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Default Extension="png" ContentType="image/png"/>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Default Extension="jpeg" ContentType="image/jpeg"/>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ListParagraph"/>
        <w:numPr>
          <w:ilvl w:val="0"/>
          <w:numId w:val="1"/>
        </w:numPr>
        <w:tabs>
          <w:tab w:pos="1156" w:val="left" w:leader="none"/>
          <w:tab w:pos="1157" w:val="left" w:leader="none"/>
        </w:tabs>
        <w:spacing w:line="240" w:lineRule="auto" w:before="151" w:after="0"/>
        <w:ind w:left="1156" w:right="0" w:hanging="937"/>
        <w:jc w:val="left"/>
        <w:rPr>
          <w:rFonts w:ascii="Cambria"/>
          <w:b/>
          <w:sz w:val="48"/>
        </w:rPr>
      </w:pPr>
      <w:bookmarkStart w:name="18. SpreadsheetML Reference Material" w:id="1"/>
      <w:bookmarkEnd w:id="1"/>
      <w:r>
        <w:rPr/>
      </w:r>
      <w:bookmarkStart w:name="18. SpreadsheetML Reference Material" w:id="2"/>
      <w:bookmarkEnd w:id="2"/>
      <w:r>
        <w:rPr>
          <w:rFonts w:ascii="Cambria"/>
          <w:b/>
          <w:color w:val="365F91"/>
          <w:sz w:val="48"/>
        </w:rPr>
        <w:t>Sprea</w:t>
      </w:r>
      <w:r>
        <w:rPr>
          <w:rFonts w:ascii="Cambria"/>
          <w:b/>
          <w:color w:val="365F91"/>
          <w:sz w:val="48"/>
        </w:rPr>
        <w:t>dsheetML Reference</w:t>
      </w:r>
      <w:r>
        <w:rPr>
          <w:rFonts w:ascii="Cambria"/>
          <w:b/>
          <w:color w:val="365F91"/>
          <w:spacing w:val="-4"/>
          <w:sz w:val="48"/>
        </w:rPr>
        <w:t> </w:t>
      </w:r>
      <w:r>
        <w:rPr>
          <w:rFonts w:ascii="Cambria"/>
          <w:b/>
          <w:color w:val="365F91"/>
          <w:sz w:val="48"/>
        </w:rPr>
        <w:t>Material</w:t>
      </w:r>
    </w:p>
    <w:p>
      <w:pPr>
        <w:pStyle w:val="BodyText"/>
        <w:spacing w:before="6"/>
        <w:rPr>
          <w:rFonts w:ascii="Cambria"/>
          <w:b/>
          <w:sz w:val="81"/>
        </w:rPr>
      </w:pPr>
    </w:p>
    <w:p>
      <w:pPr>
        <w:pStyle w:val="BodyText"/>
        <w:ind w:left="220"/>
      </w:pPr>
      <w:r>
        <w:rPr/>
        <w:t>[</w:t>
      </w:r>
      <w:r>
        <w:rPr>
          <w:i/>
        </w:rPr>
        <w:t>Note</w:t>
      </w:r>
      <w:r>
        <w:rPr/>
        <w:t>: For further information on the mapping of elements and attributes to OPC parts, see the Bibliography</w:t>
      </w:r>
    </w:p>
    <w:p>
      <w:pPr>
        <w:pStyle w:val="BodyText"/>
        <w:spacing w:before="44"/>
        <w:ind w:left="220"/>
      </w:pPr>
      <w:r>
        <w:rPr/>
        <w:t>entry, “Information on elements, attributes, and OPC parts in ISO/IEC 29500 (OOXML)”. </w:t>
      </w:r>
      <w:r>
        <w:rPr>
          <w:i/>
        </w:rPr>
        <w:t>end note</w:t>
      </w:r>
      <w:r>
        <w:rPr/>
        <w:t>]</w:t>
      </w:r>
    </w:p>
    <w:p>
      <w:pPr>
        <w:pStyle w:val="BodyText"/>
        <w:spacing w:before="6"/>
        <w:rPr>
          <w:sz w:val="19"/>
        </w:rPr>
      </w:pPr>
    </w:p>
    <w:p>
      <w:pPr>
        <w:pStyle w:val="BodyText"/>
        <w:spacing w:line="278" w:lineRule="auto"/>
        <w:ind w:left="220" w:right="503"/>
      </w:pPr>
      <w:r>
        <w:rPr/>
        <w:t>The subordinate subclauses specify the semantics for the XML markup comprising a SpreadsheetML document, as defined by §12 of this Part of ECMA-376.</w:t>
      </w:r>
    </w:p>
    <w:p>
      <w:pPr>
        <w:pStyle w:val="Heading1"/>
        <w:numPr>
          <w:ilvl w:val="1"/>
          <w:numId w:val="1"/>
        </w:numPr>
        <w:tabs>
          <w:tab w:pos="1156" w:val="left" w:leader="none"/>
          <w:tab w:pos="1157" w:val="left" w:leader="none"/>
        </w:tabs>
        <w:spacing w:line="240" w:lineRule="auto" w:before="196" w:after="0"/>
        <w:ind w:left="1156" w:right="0" w:hanging="937"/>
        <w:jc w:val="left"/>
        <w:rPr>
          <w:color w:val="4F81BC"/>
        </w:rPr>
      </w:pPr>
      <w:bookmarkStart w:name="18.1 Table of Contents" w:id="3"/>
      <w:bookmarkEnd w:id="3"/>
      <w:r>
        <w:rPr>
          <w:b w:val="0"/>
        </w:rPr>
      </w:r>
      <w:bookmarkStart w:name="18.1 Table of Contents" w:id="4"/>
      <w:bookmarkEnd w:id="4"/>
      <w:r>
        <w:rPr>
          <w:color w:val="4F81BC"/>
        </w:rPr>
        <w:t>T</w:t>
      </w:r>
      <w:r>
        <w:rPr>
          <w:color w:val="4F81BC"/>
        </w:rPr>
        <w:t>able of</w:t>
      </w:r>
      <w:r>
        <w:rPr>
          <w:color w:val="4F81BC"/>
          <w:spacing w:val="-4"/>
        </w:rPr>
        <w:t> </w:t>
      </w:r>
      <w:r>
        <w:rPr>
          <w:color w:val="4F81BC"/>
        </w:rPr>
        <w:t>Contents</w:t>
      </w:r>
    </w:p>
    <w:p>
      <w:pPr>
        <w:pStyle w:val="Heading4"/>
        <w:spacing w:before="130"/>
      </w:pPr>
      <w:r>
        <w:rPr/>
        <w:t>This subclause is informative.</w:t>
      </w:r>
    </w:p>
    <w:p>
      <w:pPr>
        <w:pStyle w:val="Heading4"/>
        <w:numPr>
          <w:ilvl w:val="1"/>
          <w:numId w:val="1"/>
        </w:numPr>
        <w:tabs>
          <w:tab w:pos="806" w:val="left" w:leader="none"/>
          <w:tab w:pos="807" w:val="left" w:leader="none"/>
          <w:tab w:pos="9625" w:val="left" w:leader="dot"/>
        </w:tabs>
        <w:spacing w:line="240" w:lineRule="auto" w:before="238" w:after="0"/>
        <w:ind w:left="1026" w:right="384" w:hanging="1027"/>
        <w:jc w:val="right"/>
      </w:pPr>
      <w:hyperlink w:history="true" w:anchor="_bookmark0">
        <w:r>
          <w:rPr/>
          <w:t>Workbook</w:t>
          <w:tab/>
        </w:r>
        <w:r>
          <w:rPr>
            <w:spacing w:val="-1"/>
          </w:rPr>
          <w:t>1542</w:t>
        </w:r>
      </w:hyperlink>
    </w:p>
    <w:p>
      <w:pPr>
        <w:pStyle w:val="ListParagraph"/>
        <w:numPr>
          <w:ilvl w:val="2"/>
          <w:numId w:val="1"/>
        </w:numPr>
        <w:tabs>
          <w:tab w:pos="897" w:val="left" w:leader="none"/>
          <w:tab w:pos="898" w:val="left" w:leader="none"/>
          <w:tab w:pos="9424" w:val="left" w:leader="dot"/>
        </w:tabs>
        <w:spacing w:line="240" w:lineRule="auto" w:before="41" w:after="0"/>
        <w:ind w:left="1319" w:right="384" w:hanging="1320"/>
        <w:jc w:val="right"/>
        <w:rPr>
          <w:sz w:val="22"/>
        </w:rPr>
      </w:pPr>
      <w:hyperlink w:history="true" w:anchor="_bookmark1">
        <w:r>
          <w:rPr>
            <w:sz w:val="22"/>
          </w:rPr>
          <w:t>bookViews</w:t>
        </w:r>
        <w:r>
          <w:rPr>
            <w:spacing w:val="-4"/>
            <w:sz w:val="22"/>
          </w:rPr>
          <w:t> </w:t>
        </w:r>
        <w:r>
          <w:rPr>
            <w:sz w:val="22"/>
          </w:rPr>
          <w:t>(Workbook Views)</w:t>
          <w:tab/>
        </w:r>
        <w:r>
          <w:rPr>
            <w:spacing w:val="-1"/>
            <w:sz w:val="22"/>
          </w:rPr>
          <w:t>1543</w:t>
        </w:r>
      </w:hyperlink>
    </w:p>
    <w:p>
      <w:pPr>
        <w:pStyle w:val="ListParagraph"/>
        <w:numPr>
          <w:ilvl w:val="2"/>
          <w:numId w:val="1"/>
        </w:numPr>
        <w:tabs>
          <w:tab w:pos="897" w:val="left" w:leader="none"/>
          <w:tab w:pos="898" w:val="left" w:leader="none"/>
          <w:tab w:pos="9424" w:val="left" w:leader="dot"/>
        </w:tabs>
        <w:spacing w:line="240" w:lineRule="auto" w:before="0" w:after="0"/>
        <w:ind w:left="1319" w:right="384" w:hanging="1320"/>
        <w:jc w:val="right"/>
        <w:rPr>
          <w:sz w:val="22"/>
        </w:rPr>
      </w:pPr>
      <w:hyperlink w:history="true" w:anchor="_bookmark2">
        <w:r>
          <w:rPr>
            <w:sz w:val="22"/>
          </w:rPr>
          <w:t>calcPr</w:t>
        </w:r>
        <w:r>
          <w:rPr>
            <w:spacing w:val="-4"/>
            <w:sz w:val="22"/>
          </w:rPr>
          <w:t> </w:t>
        </w:r>
        <w:r>
          <w:rPr>
            <w:sz w:val="22"/>
          </w:rPr>
          <w:t>(Calculation</w:t>
        </w:r>
        <w:r>
          <w:rPr>
            <w:spacing w:val="-4"/>
            <w:sz w:val="22"/>
          </w:rPr>
          <w:t> </w:t>
        </w:r>
        <w:r>
          <w:rPr>
            <w:sz w:val="22"/>
          </w:rPr>
          <w:t>Properties)</w:t>
          <w:tab/>
        </w:r>
        <w:r>
          <w:rPr>
            <w:spacing w:val="-1"/>
            <w:sz w:val="22"/>
          </w:rPr>
          <w:t>1543</w:t>
        </w:r>
      </w:hyperlink>
    </w:p>
    <w:p>
      <w:pPr>
        <w:pStyle w:val="ListParagraph"/>
        <w:numPr>
          <w:ilvl w:val="2"/>
          <w:numId w:val="1"/>
        </w:numPr>
        <w:tabs>
          <w:tab w:pos="897" w:val="left" w:leader="none"/>
          <w:tab w:pos="898" w:val="left" w:leader="none"/>
          <w:tab w:pos="9424" w:val="left" w:leader="dot"/>
        </w:tabs>
        <w:spacing w:line="240" w:lineRule="auto" w:before="0" w:after="0"/>
        <w:ind w:left="1319" w:right="384" w:hanging="1320"/>
        <w:jc w:val="right"/>
        <w:rPr>
          <w:sz w:val="22"/>
        </w:rPr>
      </w:pPr>
      <w:hyperlink w:history="true" w:anchor="_bookmark3">
        <w:r>
          <w:rPr>
            <w:sz w:val="22"/>
          </w:rPr>
          <w:t>customWorkbookView (Custom</w:t>
        </w:r>
        <w:r>
          <w:rPr>
            <w:spacing w:val="-5"/>
            <w:sz w:val="22"/>
          </w:rPr>
          <w:t> </w:t>
        </w:r>
        <w:r>
          <w:rPr>
            <w:sz w:val="22"/>
          </w:rPr>
          <w:t>Workbook</w:t>
        </w:r>
        <w:r>
          <w:rPr>
            <w:spacing w:val="-1"/>
            <w:sz w:val="22"/>
          </w:rPr>
          <w:t> </w:t>
        </w:r>
        <w:r>
          <w:rPr>
            <w:sz w:val="22"/>
          </w:rPr>
          <w:t>View)</w:t>
          <w:tab/>
        </w:r>
        <w:r>
          <w:rPr>
            <w:spacing w:val="-1"/>
            <w:sz w:val="22"/>
          </w:rPr>
          <w:t>1547</w:t>
        </w:r>
      </w:hyperlink>
    </w:p>
    <w:p>
      <w:pPr>
        <w:pStyle w:val="ListParagraph"/>
        <w:numPr>
          <w:ilvl w:val="2"/>
          <w:numId w:val="1"/>
        </w:numPr>
        <w:tabs>
          <w:tab w:pos="897" w:val="left" w:leader="none"/>
          <w:tab w:pos="898" w:val="left" w:leader="none"/>
          <w:tab w:pos="9424" w:val="left" w:leader="dot"/>
        </w:tabs>
        <w:spacing w:line="240" w:lineRule="auto" w:before="1" w:after="0"/>
        <w:ind w:left="1319" w:right="384" w:hanging="1320"/>
        <w:jc w:val="right"/>
        <w:rPr>
          <w:sz w:val="22"/>
        </w:rPr>
      </w:pPr>
      <w:hyperlink w:history="true" w:anchor="_bookmark4">
        <w:r>
          <w:rPr>
            <w:sz w:val="22"/>
          </w:rPr>
          <w:t>customWorkbookViews (Custom</w:t>
        </w:r>
        <w:r>
          <w:rPr>
            <w:spacing w:val="-4"/>
            <w:sz w:val="22"/>
          </w:rPr>
          <w:t> </w:t>
        </w:r>
        <w:r>
          <w:rPr>
            <w:sz w:val="22"/>
          </w:rPr>
          <w:t>Workbook</w:t>
        </w:r>
        <w:r>
          <w:rPr>
            <w:spacing w:val="-3"/>
            <w:sz w:val="22"/>
          </w:rPr>
          <w:t> </w:t>
        </w:r>
        <w:r>
          <w:rPr>
            <w:sz w:val="22"/>
          </w:rPr>
          <w:t>Views)</w:t>
          <w:tab/>
        </w:r>
        <w:r>
          <w:rPr>
            <w:spacing w:val="-1"/>
            <w:sz w:val="22"/>
          </w:rPr>
          <w:t>1553</w:t>
        </w:r>
      </w:hyperlink>
    </w:p>
    <w:p>
      <w:pPr>
        <w:pStyle w:val="ListParagraph"/>
        <w:numPr>
          <w:ilvl w:val="2"/>
          <w:numId w:val="1"/>
        </w:numPr>
        <w:tabs>
          <w:tab w:pos="897" w:val="left" w:leader="none"/>
          <w:tab w:pos="898" w:val="left" w:leader="none"/>
          <w:tab w:pos="9424" w:val="left" w:leader="dot"/>
        </w:tabs>
        <w:spacing w:line="240" w:lineRule="auto" w:before="0" w:after="0"/>
        <w:ind w:left="1319" w:right="384" w:hanging="1320"/>
        <w:jc w:val="right"/>
        <w:rPr>
          <w:sz w:val="22"/>
        </w:rPr>
      </w:pPr>
      <w:hyperlink w:history="true" w:anchor="_bookmark5">
        <w:r>
          <w:rPr>
            <w:sz w:val="22"/>
          </w:rPr>
          <w:t>definedName</w:t>
        </w:r>
        <w:r>
          <w:rPr>
            <w:spacing w:val="-3"/>
            <w:sz w:val="22"/>
          </w:rPr>
          <w:t> </w:t>
        </w:r>
        <w:r>
          <w:rPr>
            <w:sz w:val="22"/>
          </w:rPr>
          <w:t>(Defined Name)</w:t>
          <w:tab/>
        </w:r>
        <w:r>
          <w:rPr>
            <w:spacing w:val="-1"/>
            <w:sz w:val="22"/>
          </w:rPr>
          <w:t>1553</w:t>
        </w:r>
      </w:hyperlink>
    </w:p>
    <w:p>
      <w:pPr>
        <w:pStyle w:val="ListParagraph"/>
        <w:numPr>
          <w:ilvl w:val="2"/>
          <w:numId w:val="1"/>
        </w:numPr>
        <w:tabs>
          <w:tab w:pos="897" w:val="left" w:leader="none"/>
          <w:tab w:pos="898" w:val="left" w:leader="none"/>
          <w:tab w:pos="9424" w:val="left" w:leader="dot"/>
        </w:tabs>
        <w:spacing w:line="267" w:lineRule="exact" w:before="0" w:after="0"/>
        <w:ind w:left="1319" w:right="384" w:hanging="1320"/>
        <w:jc w:val="right"/>
        <w:rPr>
          <w:sz w:val="22"/>
        </w:rPr>
      </w:pPr>
      <w:hyperlink w:history="true" w:anchor="_bookmark6">
        <w:r>
          <w:rPr>
            <w:sz w:val="22"/>
          </w:rPr>
          <w:t>definedNames</w:t>
        </w:r>
        <w:r>
          <w:rPr>
            <w:spacing w:val="-3"/>
            <w:sz w:val="22"/>
          </w:rPr>
          <w:t> </w:t>
        </w:r>
        <w:r>
          <w:rPr>
            <w:sz w:val="22"/>
          </w:rPr>
          <w:t>(Defined</w:t>
        </w:r>
        <w:r>
          <w:rPr>
            <w:spacing w:val="-1"/>
            <w:sz w:val="22"/>
          </w:rPr>
          <w:t> </w:t>
        </w:r>
        <w:r>
          <w:rPr>
            <w:sz w:val="22"/>
          </w:rPr>
          <w:t>Names)</w:t>
          <w:tab/>
        </w:r>
        <w:r>
          <w:rPr>
            <w:spacing w:val="-1"/>
            <w:sz w:val="22"/>
          </w:rPr>
          <w:t>1558</w:t>
        </w:r>
      </w:hyperlink>
    </w:p>
    <w:p>
      <w:pPr>
        <w:pStyle w:val="ListParagraph"/>
        <w:numPr>
          <w:ilvl w:val="2"/>
          <w:numId w:val="1"/>
        </w:numPr>
        <w:tabs>
          <w:tab w:pos="897" w:val="left" w:leader="none"/>
          <w:tab w:pos="898" w:val="left" w:leader="none"/>
          <w:tab w:pos="9424" w:val="left" w:leader="dot"/>
        </w:tabs>
        <w:spacing w:line="267" w:lineRule="exact" w:before="0" w:after="0"/>
        <w:ind w:left="1319" w:right="384" w:hanging="1320"/>
        <w:jc w:val="right"/>
        <w:rPr>
          <w:sz w:val="22"/>
        </w:rPr>
      </w:pPr>
      <w:hyperlink w:history="true" w:anchor="_bookmark7">
        <w:r>
          <w:rPr>
            <w:sz w:val="22"/>
          </w:rPr>
          <w:t>ext</w:t>
        </w:r>
        <w:r>
          <w:rPr>
            <w:spacing w:val="-1"/>
            <w:sz w:val="22"/>
          </w:rPr>
          <w:t> </w:t>
        </w:r>
        <w:r>
          <w:rPr>
            <w:sz w:val="22"/>
          </w:rPr>
          <w:t>(Extension)</w:t>
          <w:tab/>
        </w:r>
        <w:r>
          <w:rPr>
            <w:spacing w:val="-1"/>
            <w:sz w:val="22"/>
          </w:rPr>
          <w:t>1559</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8">
        <w:r>
          <w:rPr>
            <w:sz w:val="22"/>
          </w:rPr>
          <w:t>externalReference</w:t>
        </w:r>
        <w:r>
          <w:rPr>
            <w:spacing w:val="-4"/>
            <w:sz w:val="22"/>
          </w:rPr>
          <w:t> </w:t>
        </w:r>
        <w:r>
          <w:rPr>
            <w:sz w:val="22"/>
          </w:rPr>
          <w:t>(External</w:t>
        </w:r>
        <w:r>
          <w:rPr>
            <w:spacing w:val="-1"/>
            <w:sz w:val="22"/>
          </w:rPr>
          <w:t> </w:t>
        </w:r>
        <w:r>
          <w:rPr>
            <w:sz w:val="22"/>
          </w:rPr>
          <w:t>Reference)</w:t>
          <w:tab/>
          <w:t>1560</w:t>
        </w:r>
      </w:hyperlink>
    </w:p>
    <w:p>
      <w:pPr>
        <w:pStyle w:val="ListParagraph"/>
        <w:numPr>
          <w:ilvl w:val="2"/>
          <w:numId w:val="1"/>
        </w:numPr>
        <w:tabs>
          <w:tab w:pos="1319" w:val="left" w:leader="none"/>
          <w:tab w:pos="1320" w:val="left" w:leader="none"/>
          <w:tab w:pos="9845" w:val="left" w:leader="dot"/>
        </w:tabs>
        <w:spacing w:line="240" w:lineRule="auto" w:before="1" w:after="0"/>
        <w:ind w:left="1319" w:right="0" w:hanging="899"/>
        <w:jc w:val="left"/>
        <w:rPr>
          <w:sz w:val="22"/>
        </w:rPr>
      </w:pPr>
      <w:hyperlink w:history="true" w:anchor="_bookmark9">
        <w:r>
          <w:rPr>
            <w:sz w:val="22"/>
          </w:rPr>
          <w:t>externalReferences</w:t>
        </w:r>
        <w:r>
          <w:rPr>
            <w:spacing w:val="-4"/>
            <w:sz w:val="22"/>
          </w:rPr>
          <w:t> </w:t>
        </w:r>
        <w:r>
          <w:rPr>
            <w:sz w:val="22"/>
          </w:rPr>
          <w:t>(External</w:t>
        </w:r>
        <w:r>
          <w:rPr>
            <w:spacing w:val="-1"/>
            <w:sz w:val="22"/>
          </w:rPr>
          <w:t> </w:t>
        </w:r>
        <w:r>
          <w:rPr>
            <w:sz w:val="22"/>
          </w:rPr>
          <w:t>References)</w:t>
          <w:tab/>
          <w:t>1560</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10">
        <w:r>
          <w:rPr>
            <w:sz w:val="22"/>
          </w:rPr>
          <w:t>extLst (Future Feature Data</w:t>
        </w:r>
        <w:r>
          <w:rPr>
            <w:spacing w:val="-6"/>
            <w:sz w:val="22"/>
          </w:rPr>
          <w:t> </w:t>
        </w:r>
        <w:r>
          <w:rPr>
            <w:sz w:val="22"/>
          </w:rPr>
          <w:t>Storage</w:t>
        </w:r>
        <w:r>
          <w:rPr>
            <w:spacing w:val="-2"/>
            <w:sz w:val="22"/>
          </w:rPr>
          <w:t> </w:t>
        </w:r>
        <w:r>
          <w:rPr>
            <w:sz w:val="22"/>
          </w:rPr>
          <w:t>Area)</w:t>
          <w:tab/>
          <w:t>1560</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11">
        <w:r>
          <w:rPr>
            <w:sz w:val="22"/>
          </w:rPr>
          <w:t>fileRecoveryPr (File</w:t>
        </w:r>
        <w:r>
          <w:rPr>
            <w:spacing w:val="-6"/>
            <w:sz w:val="22"/>
          </w:rPr>
          <w:t> </w:t>
        </w:r>
        <w:r>
          <w:rPr>
            <w:sz w:val="22"/>
          </w:rPr>
          <w:t>Recovery</w:t>
        </w:r>
        <w:r>
          <w:rPr>
            <w:spacing w:val="-1"/>
            <w:sz w:val="22"/>
          </w:rPr>
          <w:t> </w:t>
        </w:r>
        <w:r>
          <w:rPr>
            <w:sz w:val="22"/>
          </w:rPr>
          <w:t>Properties)</w:t>
          <w:tab/>
          <w:t>1561</w:t>
        </w:r>
      </w:hyperlink>
    </w:p>
    <w:p>
      <w:pPr>
        <w:pStyle w:val="ListParagraph"/>
        <w:numPr>
          <w:ilvl w:val="2"/>
          <w:numId w:val="1"/>
        </w:numPr>
        <w:tabs>
          <w:tab w:pos="1319" w:val="left" w:leader="none"/>
          <w:tab w:pos="1320" w:val="left" w:leader="none"/>
          <w:tab w:pos="9845" w:val="left" w:leader="dot"/>
        </w:tabs>
        <w:spacing w:line="240" w:lineRule="auto" w:before="1" w:after="0"/>
        <w:ind w:left="1319" w:right="0" w:hanging="899"/>
        <w:jc w:val="left"/>
        <w:rPr>
          <w:sz w:val="22"/>
        </w:rPr>
      </w:pPr>
      <w:hyperlink w:history="true" w:anchor="_bookmark12">
        <w:r>
          <w:rPr>
            <w:sz w:val="22"/>
          </w:rPr>
          <w:t>fileSharing</w:t>
        </w:r>
        <w:r>
          <w:rPr>
            <w:spacing w:val="-3"/>
            <w:sz w:val="22"/>
          </w:rPr>
          <w:t> </w:t>
        </w:r>
        <w:r>
          <w:rPr>
            <w:sz w:val="22"/>
          </w:rPr>
          <w:t>(File</w:t>
        </w:r>
        <w:r>
          <w:rPr>
            <w:spacing w:val="-1"/>
            <w:sz w:val="22"/>
          </w:rPr>
          <w:t> </w:t>
        </w:r>
        <w:r>
          <w:rPr>
            <w:sz w:val="22"/>
          </w:rPr>
          <w:t>Sharing)</w:t>
          <w:tab/>
          <w:t>1562</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13">
        <w:r>
          <w:rPr>
            <w:sz w:val="22"/>
          </w:rPr>
          <w:t>fileVersion</w:t>
        </w:r>
        <w:r>
          <w:rPr>
            <w:spacing w:val="-2"/>
            <w:sz w:val="22"/>
          </w:rPr>
          <w:t> </w:t>
        </w:r>
        <w:r>
          <w:rPr>
            <w:sz w:val="22"/>
          </w:rPr>
          <w:t>(File</w:t>
        </w:r>
        <w:r>
          <w:rPr>
            <w:spacing w:val="-1"/>
            <w:sz w:val="22"/>
          </w:rPr>
          <w:t> </w:t>
        </w:r>
        <w:r>
          <w:rPr>
            <w:sz w:val="22"/>
          </w:rPr>
          <w:t>Version)</w:t>
          <w:tab/>
          <w:t>1565</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14">
        <w:r>
          <w:rPr>
            <w:sz w:val="22"/>
          </w:rPr>
          <w:t>functionGroup</w:t>
        </w:r>
        <w:r>
          <w:rPr>
            <w:spacing w:val="-2"/>
            <w:sz w:val="22"/>
          </w:rPr>
          <w:t> </w:t>
        </w:r>
        <w:r>
          <w:rPr>
            <w:sz w:val="22"/>
          </w:rPr>
          <w:t>(Function</w:t>
        </w:r>
        <w:r>
          <w:rPr>
            <w:spacing w:val="-4"/>
            <w:sz w:val="22"/>
          </w:rPr>
          <w:t> </w:t>
        </w:r>
        <w:r>
          <w:rPr>
            <w:sz w:val="22"/>
          </w:rPr>
          <w:t>Group)</w:t>
          <w:tab/>
          <w:t>1566</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15">
        <w:r>
          <w:rPr>
            <w:sz w:val="22"/>
          </w:rPr>
          <w:t>functionGroups</w:t>
        </w:r>
        <w:r>
          <w:rPr>
            <w:spacing w:val="-2"/>
            <w:sz w:val="22"/>
          </w:rPr>
          <w:t> </w:t>
        </w:r>
        <w:r>
          <w:rPr>
            <w:sz w:val="22"/>
          </w:rPr>
          <w:t>(Function</w:t>
        </w:r>
        <w:r>
          <w:rPr>
            <w:spacing w:val="-4"/>
            <w:sz w:val="22"/>
          </w:rPr>
          <w:t> </w:t>
        </w:r>
        <w:r>
          <w:rPr>
            <w:sz w:val="22"/>
          </w:rPr>
          <w:t>Groups)</w:t>
          <w:tab/>
          <w:t>1567</w:t>
        </w:r>
      </w:hyperlink>
    </w:p>
    <w:p>
      <w:pPr>
        <w:pStyle w:val="ListParagraph"/>
        <w:numPr>
          <w:ilvl w:val="2"/>
          <w:numId w:val="1"/>
        </w:numPr>
        <w:tabs>
          <w:tab w:pos="1319" w:val="left" w:leader="none"/>
          <w:tab w:pos="1320" w:val="left" w:leader="none"/>
          <w:tab w:pos="9845" w:val="left" w:leader="dot"/>
        </w:tabs>
        <w:spacing w:line="267" w:lineRule="exact" w:before="1" w:after="0"/>
        <w:ind w:left="1319" w:right="0" w:hanging="899"/>
        <w:jc w:val="left"/>
        <w:rPr>
          <w:sz w:val="22"/>
        </w:rPr>
      </w:pPr>
      <w:hyperlink w:history="true" w:anchor="_bookmark16">
        <w:r>
          <w:rPr>
            <w:sz w:val="22"/>
          </w:rPr>
          <w:t>oleSize (Embedded</w:t>
        </w:r>
        <w:r>
          <w:rPr>
            <w:spacing w:val="-2"/>
            <w:sz w:val="22"/>
          </w:rPr>
          <w:t> </w:t>
        </w:r>
        <w:r>
          <w:rPr>
            <w:sz w:val="22"/>
          </w:rPr>
          <w:t>Object</w:t>
        </w:r>
        <w:r>
          <w:rPr>
            <w:spacing w:val="-4"/>
            <w:sz w:val="22"/>
          </w:rPr>
          <w:t> </w:t>
        </w:r>
        <w:r>
          <w:rPr>
            <w:sz w:val="22"/>
          </w:rPr>
          <w:t>Size)</w:t>
          <w:tab/>
          <w:t>1567</w:t>
        </w:r>
      </w:hyperlink>
    </w:p>
    <w:p>
      <w:pPr>
        <w:pStyle w:val="ListParagraph"/>
        <w:numPr>
          <w:ilvl w:val="2"/>
          <w:numId w:val="1"/>
        </w:numPr>
        <w:tabs>
          <w:tab w:pos="1319" w:val="left" w:leader="none"/>
          <w:tab w:pos="1320" w:val="left" w:leader="none"/>
          <w:tab w:pos="9845" w:val="left" w:leader="dot"/>
        </w:tabs>
        <w:spacing w:line="267" w:lineRule="exact" w:before="0" w:after="0"/>
        <w:ind w:left="1319" w:right="0" w:hanging="899"/>
        <w:jc w:val="left"/>
        <w:rPr>
          <w:sz w:val="22"/>
        </w:rPr>
      </w:pPr>
      <w:hyperlink w:history="true" w:anchor="_bookmark17">
        <w:r>
          <w:rPr>
            <w:sz w:val="22"/>
          </w:rPr>
          <w:t>pivotCache (PivotCache)</w:t>
          <w:tab/>
          <w:t>1567</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18">
        <w:r>
          <w:rPr>
            <w:sz w:val="22"/>
          </w:rPr>
          <w:t>pivotCaches</w:t>
        </w:r>
        <w:r>
          <w:rPr>
            <w:spacing w:val="-3"/>
            <w:sz w:val="22"/>
          </w:rPr>
          <w:t> </w:t>
        </w:r>
        <w:r>
          <w:rPr>
            <w:sz w:val="22"/>
          </w:rPr>
          <w:t>(PivotCaches)</w:t>
          <w:tab/>
          <w:t>1568</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19">
        <w:r>
          <w:rPr>
            <w:sz w:val="22"/>
          </w:rPr>
          <w:t>sheet</w:t>
        </w:r>
        <w:r>
          <w:rPr>
            <w:spacing w:val="-4"/>
            <w:sz w:val="22"/>
          </w:rPr>
          <w:t> </w:t>
        </w:r>
        <w:r>
          <w:rPr>
            <w:sz w:val="22"/>
          </w:rPr>
          <w:t>(Sheet</w:t>
        </w:r>
        <w:r>
          <w:rPr>
            <w:spacing w:val="-3"/>
            <w:sz w:val="22"/>
          </w:rPr>
          <w:t> </w:t>
        </w:r>
        <w:r>
          <w:rPr>
            <w:sz w:val="22"/>
          </w:rPr>
          <w:t>Information)</w:t>
          <w:tab/>
          <w:t>1568</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20">
        <w:r>
          <w:rPr>
            <w:sz w:val="22"/>
          </w:rPr>
          <w:t>sheets</w:t>
        </w:r>
        <w:r>
          <w:rPr>
            <w:spacing w:val="-4"/>
            <w:sz w:val="22"/>
          </w:rPr>
          <w:t> </w:t>
        </w:r>
        <w:r>
          <w:rPr>
            <w:sz w:val="22"/>
          </w:rPr>
          <w:t>(Sheets)</w:t>
          <w:tab/>
          <w:t>1569</w:t>
        </w:r>
      </w:hyperlink>
    </w:p>
    <w:p>
      <w:pPr>
        <w:pStyle w:val="ListParagraph"/>
        <w:numPr>
          <w:ilvl w:val="2"/>
          <w:numId w:val="1"/>
        </w:numPr>
        <w:tabs>
          <w:tab w:pos="1319" w:val="left" w:leader="none"/>
          <w:tab w:pos="1320" w:val="left" w:leader="none"/>
          <w:tab w:pos="9845" w:val="left" w:leader="dot"/>
        </w:tabs>
        <w:spacing w:line="240" w:lineRule="auto" w:before="1" w:after="0"/>
        <w:ind w:left="1319" w:right="0" w:hanging="899"/>
        <w:jc w:val="left"/>
        <w:rPr>
          <w:sz w:val="22"/>
        </w:rPr>
      </w:pPr>
      <w:hyperlink w:history="true" w:anchor="_bookmark21">
        <w:r>
          <w:rPr>
            <w:sz w:val="22"/>
          </w:rPr>
          <w:t>smartTagPr (Smart</w:t>
        </w:r>
        <w:r>
          <w:rPr>
            <w:spacing w:val="-7"/>
            <w:sz w:val="22"/>
          </w:rPr>
          <w:t> </w:t>
        </w:r>
        <w:r>
          <w:rPr>
            <w:sz w:val="22"/>
          </w:rPr>
          <w:t>Tag</w:t>
        </w:r>
        <w:r>
          <w:rPr>
            <w:spacing w:val="-3"/>
            <w:sz w:val="22"/>
          </w:rPr>
          <w:t> </w:t>
        </w:r>
        <w:r>
          <w:rPr>
            <w:sz w:val="22"/>
          </w:rPr>
          <w:t>Properties)</w:t>
          <w:tab/>
          <w:t>1569</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22">
        <w:r>
          <w:rPr>
            <w:sz w:val="22"/>
          </w:rPr>
          <w:t>smartTagType (Smart</w:t>
        </w:r>
        <w:r>
          <w:rPr>
            <w:spacing w:val="-5"/>
            <w:sz w:val="22"/>
          </w:rPr>
          <w:t> </w:t>
        </w:r>
        <w:r>
          <w:rPr>
            <w:sz w:val="22"/>
          </w:rPr>
          <w:t>Tag</w:t>
        </w:r>
        <w:r>
          <w:rPr>
            <w:spacing w:val="-2"/>
            <w:sz w:val="22"/>
          </w:rPr>
          <w:t> </w:t>
        </w:r>
        <w:r>
          <w:rPr>
            <w:sz w:val="22"/>
          </w:rPr>
          <w:t>Type)</w:t>
          <w:tab/>
          <w:t>1570</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23">
        <w:r>
          <w:rPr>
            <w:sz w:val="22"/>
          </w:rPr>
          <w:t>smartTagTypes (Smart</w:t>
        </w:r>
        <w:r>
          <w:rPr>
            <w:spacing w:val="-4"/>
            <w:sz w:val="22"/>
          </w:rPr>
          <w:t> </w:t>
        </w:r>
        <w:r>
          <w:rPr>
            <w:sz w:val="22"/>
          </w:rPr>
          <w:t>Tag</w:t>
        </w:r>
        <w:r>
          <w:rPr>
            <w:spacing w:val="-4"/>
            <w:sz w:val="22"/>
          </w:rPr>
          <w:t> </w:t>
        </w:r>
        <w:r>
          <w:rPr>
            <w:sz w:val="22"/>
          </w:rPr>
          <w:t>Types)</w:t>
          <w:tab/>
          <w:t>1571</w:t>
        </w:r>
      </w:hyperlink>
    </w:p>
    <w:p>
      <w:pPr>
        <w:pStyle w:val="ListParagraph"/>
        <w:numPr>
          <w:ilvl w:val="2"/>
          <w:numId w:val="1"/>
        </w:numPr>
        <w:tabs>
          <w:tab w:pos="1319" w:val="left" w:leader="none"/>
          <w:tab w:pos="1320" w:val="left" w:leader="none"/>
          <w:tab w:pos="9845" w:val="left" w:leader="dot"/>
        </w:tabs>
        <w:spacing w:line="240" w:lineRule="auto" w:before="1" w:after="0"/>
        <w:ind w:left="1319" w:right="0" w:hanging="899"/>
        <w:jc w:val="left"/>
        <w:rPr>
          <w:sz w:val="22"/>
        </w:rPr>
      </w:pPr>
      <w:hyperlink w:history="true" w:anchor="_bookmark24">
        <w:r>
          <w:rPr>
            <w:sz w:val="22"/>
          </w:rPr>
          <w:t>webPublishing (Web</w:t>
        </w:r>
        <w:r>
          <w:rPr>
            <w:spacing w:val="-7"/>
            <w:sz w:val="22"/>
          </w:rPr>
          <w:t> </w:t>
        </w:r>
        <w:r>
          <w:rPr>
            <w:sz w:val="22"/>
          </w:rPr>
          <w:t>Publishing</w:t>
        </w:r>
        <w:r>
          <w:rPr>
            <w:spacing w:val="-2"/>
            <w:sz w:val="22"/>
          </w:rPr>
          <w:t> </w:t>
        </w:r>
        <w:r>
          <w:rPr>
            <w:sz w:val="22"/>
          </w:rPr>
          <w:t>Properties)</w:t>
          <w:tab/>
          <w:t>1571</w:t>
        </w:r>
      </w:hyperlink>
    </w:p>
    <w:p>
      <w:pPr>
        <w:pStyle w:val="ListParagraph"/>
        <w:numPr>
          <w:ilvl w:val="2"/>
          <w:numId w:val="1"/>
        </w:numPr>
        <w:tabs>
          <w:tab w:pos="1319" w:val="left" w:leader="none"/>
          <w:tab w:pos="1320" w:val="left" w:leader="none"/>
          <w:tab w:pos="9845" w:val="left" w:leader="dot"/>
        </w:tabs>
        <w:spacing w:line="240" w:lineRule="auto" w:before="0" w:after="0"/>
        <w:ind w:left="1319" w:right="0" w:hanging="899"/>
        <w:jc w:val="left"/>
        <w:rPr>
          <w:sz w:val="22"/>
        </w:rPr>
      </w:pPr>
      <w:hyperlink w:history="true" w:anchor="_bookmark25">
        <w:r>
          <w:rPr>
            <w:sz w:val="22"/>
          </w:rPr>
          <w:t>webPublishObject (Web</w:t>
        </w:r>
        <w:r>
          <w:rPr>
            <w:spacing w:val="-11"/>
            <w:sz w:val="22"/>
          </w:rPr>
          <w:t> </w:t>
        </w:r>
        <w:r>
          <w:rPr>
            <w:sz w:val="22"/>
          </w:rPr>
          <w:t>Publishing</w:t>
        </w:r>
        <w:r>
          <w:rPr>
            <w:spacing w:val="-4"/>
            <w:sz w:val="22"/>
          </w:rPr>
          <w:t> </w:t>
        </w:r>
        <w:r>
          <w:rPr>
            <w:sz w:val="22"/>
          </w:rPr>
          <w:t>Object)</w:t>
          <w:tab/>
          <w:t>1573</w:t>
        </w:r>
      </w:hyperlink>
    </w:p>
    <w:p>
      <w:pPr>
        <w:pStyle w:val="ListParagraph"/>
        <w:numPr>
          <w:ilvl w:val="2"/>
          <w:numId w:val="1"/>
        </w:numPr>
        <w:tabs>
          <w:tab w:pos="1319" w:val="left" w:leader="none"/>
          <w:tab w:pos="1320" w:val="left" w:leader="none"/>
          <w:tab w:pos="9845" w:val="left" w:leader="dot"/>
        </w:tabs>
        <w:spacing w:line="267" w:lineRule="exact" w:before="0" w:after="0"/>
        <w:ind w:left="1319" w:right="0" w:hanging="899"/>
        <w:jc w:val="left"/>
        <w:rPr>
          <w:sz w:val="22"/>
        </w:rPr>
      </w:pPr>
      <w:hyperlink w:history="true" w:anchor="_bookmark26">
        <w:r>
          <w:rPr>
            <w:sz w:val="22"/>
          </w:rPr>
          <w:t>webPublishObjects (Web</w:t>
        </w:r>
        <w:r>
          <w:rPr>
            <w:spacing w:val="-12"/>
            <w:sz w:val="22"/>
          </w:rPr>
          <w:t> </w:t>
        </w:r>
        <w:r>
          <w:rPr>
            <w:sz w:val="22"/>
          </w:rPr>
          <w:t>Publish</w:t>
        </w:r>
        <w:r>
          <w:rPr>
            <w:spacing w:val="-2"/>
            <w:sz w:val="22"/>
          </w:rPr>
          <w:t> </w:t>
        </w:r>
        <w:r>
          <w:rPr>
            <w:sz w:val="22"/>
          </w:rPr>
          <w:t>Objects)</w:t>
          <w:tab/>
          <w:t>1573</w:t>
        </w:r>
      </w:hyperlink>
    </w:p>
    <w:p>
      <w:pPr>
        <w:pStyle w:val="ListParagraph"/>
        <w:numPr>
          <w:ilvl w:val="2"/>
          <w:numId w:val="1"/>
        </w:numPr>
        <w:tabs>
          <w:tab w:pos="1319" w:val="left" w:leader="none"/>
          <w:tab w:pos="1320" w:val="left" w:leader="none"/>
          <w:tab w:pos="9845" w:val="left" w:leader="dot"/>
        </w:tabs>
        <w:spacing w:line="267" w:lineRule="exact" w:before="0" w:after="0"/>
        <w:ind w:left="1319" w:right="0" w:hanging="899"/>
        <w:jc w:val="left"/>
        <w:rPr>
          <w:sz w:val="22"/>
        </w:rPr>
      </w:pPr>
      <w:hyperlink w:history="true" w:anchor="_bookmark27">
        <w:r>
          <w:rPr>
            <w:sz w:val="22"/>
          </w:rPr>
          <w:t>workbook</w:t>
        </w:r>
        <w:r>
          <w:rPr>
            <w:spacing w:val="-1"/>
            <w:sz w:val="22"/>
          </w:rPr>
          <w:t> </w:t>
        </w:r>
        <w:r>
          <w:rPr>
            <w:sz w:val="22"/>
          </w:rPr>
          <w:t>(Workbook)</w:t>
          <w:tab/>
          <w:t>1574</w:t>
        </w:r>
      </w:hyperlink>
    </w:p>
    <w:p>
      <w:pPr>
        <w:pStyle w:val="ListParagraph"/>
        <w:numPr>
          <w:ilvl w:val="2"/>
          <w:numId w:val="1"/>
        </w:numPr>
        <w:tabs>
          <w:tab w:pos="897" w:val="left" w:leader="none"/>
          <w:tab w:pos="898" w:val="left" w:leader="none"/>
          <w:tab w:pos="9424" w:val="left" w:leader="dot"/>
        </w:tabs>
        <w:spacing w:line="240" w:lineRule="auto" w:before="1" w:after="0"/>
        <w:ind w:left="1319" w:right="384" w:hanging="1320"/>
        <w:jc w:val="right"/>
        <w:rPr>
          <w:sz w:val="22"/>
        </w:rPr>
      </w:pPr>
      <w:hyperlink w:history="true" w:anchor="_bookmark28">
        <w:r>
          <w:rPr>
            <w:sz w:val="22"/>
          </w:rPr>
          <w:t>workbookPr</w:t>
        </w:r>
        <w:r>
          <w:rPr>
            <w:spacing w:val="-2"/>
            <w:sz w:val="22"/>
          </w:rPr>
          <w:t> </w:t>
        </w:r>
        <w:r>
          <w:rPr>
            <w:sz w:val="22"/>
          </w:rPr>
          <w:t>(Workbook</w:t>
        </w:r>
        <w:r>
          <w:rPr>
            <w:spacing w:val="-3"/>
            <w:sz w:val="22"/>
          </w:rPr>
          <w:t> </w:t>
        </w:r>
        <w:r>
          <w:rPr>
            <w:sz w:val="22"/>
          </w:rPr>
          <w:t>Properties)</w:t>
          <w:tab/>
        </w:r>
        <w:r>
          <w:rPr>
            <w:spacing w:val="-1"/>
            <w:sz w:val="22"/>
          </w:rPr>
          <w:t>1576</w:t>
        </w:r>
      </w:hyperlink>
    </w:p>
    <w:p>
      <w:pPr>
        <w:pStyle w:val="ListParagraph"/>
        <w:numPr>
          <w:ilvl w:val="2"/>
          <w:numId w:val="1"/>
        </w:numPr>
        <w:tabs>
          <w:tab w:pos="897" w:val="left" w:leader="none"/>
          <w:tab w:pos="898" w:val="left" w:leader="none"/>
          <w:tab w:pos="9424" w:val="left" w:leader="dot"/>
        </w:tabs>
        <w:spacing w:line="240" w:lineRule="auto" w:before="0" w:after="0"/>
        <w:ind w:left="1319" w:right="384" w:hanging="1320"/>
        <w:jc w:val="right"/>
        <w:rPr>
          <w:sz w:val="22"/>
        </w:rPr>
      </w:pPr>
      <w:hyperlink w:history="true" w:anchor="_bookmark29">
        <w:r>
          <w:rPr>
            <w:sz w:val="22"/>
          </w:rPr>
          <w:t>workbookProtection</w:t>
        </w:r>
        <w:r>
          <w:rPr>
            <w:spacing w:val="-3"/>
            <w:sz w:val="22"/>
          </w:rPr>
          <w:t> </w:t>
        </w:r>
        <w:r>
          <w:rPr>
            <w:sz w:val="22"/>
          </w:rPr>
          <w:t>(Workbook</w:t>
        </w:r>
        <w:r>
          <w:rPr>
            <w:spacing w:val="-4"/>
            <w:sz w:val="22"/>
          </w:rPr>
          <w:t> </w:t>
        </w:r>
        <w:r>
          <w:rPr>
            <w:sz w:val="22"/>
          </w:rPr>
          <w:t>Protection)</w:t>
          <w:tab/>
        </w:r>
        <w:r>
          <w:rPr>
            <w:spacing w:val="-1"/>
            <w:sz w:val="22"/>
          </w:rPr>
          <w:t>1580</w:t>
        </w:r>
      </w:hyperlink>
    </w:p>
    <w:p>
      <w:pPr>
        <w:pStyle w:val="ListParagraph"/>
        <w:numPr>
          <w:ilvl w:val="2"/>
          <w:numId w:val="1"/>
        </w:numPr>
        <w:tabs>
          <w:tab w:pos="897" w:val="left" w:leader="none"/>
          <w:tab w:pos="898" w:val="left" w:leader="none"/>
          <w:tab w:pos="9424" w:val="left" w:leader="dot"/>
        </w:tabs>
        <w:spacing w:line="240" w:lineRule="auto" w:before="0" w:after="0"/>
        <w:ind w:left="1319" w:right="384" w:hanging="1320"/>
        <w:jc w:val="right"/>
        <w:rPr>
          <w:sz w:val="22"/>
        </w:rPr>
      </w:pPr>
      <w:hyperlink w:history="true" w:anchor="_bookmark30">
        <w:r>
          <w:rPr>
            <w:sz w:val="22"/>
          </w:rPr>
          <w:t>workbookView (Workbook</w:t>
        </w:r>
        <w:r>
          <w:rPr>
            <w:spacing w:val="-3"/>
            <w:sz w:val="22"/>
          </w:rPr>
          <w:t> </w:t>
        </w:r>
        <w:r>
          <w:rPr>
            <w:sz w:val="22"/>
          </w:rPr>
          <w:t>View)</w:t>
          <w:tab/>
        </w:r>
        <w:r>
          <w:rPr>
            <w:spacing w:val="-1"/>
            <w:sz w:val="22"/>
          </w:rPr>
          <w:t>1587</w:t>
        </w:r>
      </w:hyperlink>
    </w:p>
    <w:p>
      <w:pPr>
        <w:pStyle w:val="Heading4"/>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31">
        <w:r>
          <w:rPr/>
          <w:t>Worksheets</w:t>
          <w:tab/>
        </w:r>
        <w:r>
          <w:rPr>
            <w:spacing w:val="-1"/>
          </w:rPr>
          <w:t>1589</w:t>
        </w:r>
      </w:hyperlink>
    </w:p>
    <w:p>
      <w:pPr>
        <w:spacing w:after="0" w:line="240" w:lineRule="auto"/>
        <w:jc w:val="right"/>
        <w:sectPr>
          <w:headerReference w:type="default" r:id="rId5"/>
          <w:headerReference w:type="even" r:id="rId6"/>
          <w:footerReference w:type="default" r:id="rId7"/>
          <w:footerReference w:type="even" r:id="rId8"/>
          <w:type w:val="continuous"/>
          <w:pgSz w:w="12240" w:h="15840"/>
          <w:pgMar w:header="761" w:footer="746" w:top="1340" w:bottom="940" w:left="860" w:right="700"/>
          <w:pgNumType w:start="1523"/>
        </w:sectPr>
      </w:pPr>
    </w:p>
    <w:sdt>
      <w:sdtPr>
        <w:docPartObj>
          <w:docPartGallery w:val="Table of Contents"/>
          <w:docPartUnique/>
        </w:docPartObj>
      </w:sdtPr>
      <w:sdtEndPr/>
      <w:sdtContent>
        <w:p>
          <w:pPr>
            <w:pStyle w:val="TOC2"/>
            <w:numPr>
              <w:ilvl w:val="2"/>
              <w:numId w:val="1"/>
            </w:numPr>
            <w:tabs>
              <w:tab w:pos="897" w:val="left" w:leader="none"/>
              <w:tab w:pos="898" w:val="left" w:leader="none"/>
              <w:tab w:pos="9424" w:val="left" w:leader="dot"/>
            </w:tabs>
            <w:spacing w:line="240" w:lineRule="auto" w:before="90" w:after="0"/>
            <w:ind w:left="1319" w:right="384" w:hanging="1320"/>
            <w:jc w:val="right"/>
          </w:pPr>
          <w:hyperlink w:history="true" w:anchor="_bookmark32">
            <w:r>
              <w:rPr/>
              <w:t>Worksheets</w:t>
              <w:tab/>
            </w:r>
            <w:r>
              <w:rPr>
                <w:spacing w:val="-1"/>
              </w:rPr>
              <w:t>1590</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33">
            <w:r>
              <w:rPr/>
              <w:t>anchor (Object</w:t>
            </w:r>
            <w:r>
              <w:rPr>
                <w:spacing w:val="-4"/>
              </w:rPr>
              <w:t> </w:t>
            </w:r>
            <w:r>
              <w:rPr/>
              <w:t>Cell</w:t>
            </w:r>
            <w:r>
              <w:rPr>
                <w:spacing w:val="-2"/>
              </w:rPr>
              <w:t> </w:t>
            </w:r>
            <w:r>
              <w:rPr/>
              <w:t>Anchor)</w:t>
              <w:tab/>
            </w:r>
            <w:r>
              <w:rPr>
                <w:spacing w:val="-1"/>
              </w:rPr>
              <w:t>1590</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34">
            <w:r>
              <w:rPr/>
              <w:t>autoFilter</w:t>
            </w:r>
            <w:r>
              <w:rPr>
                <w:spacing w:val="-4"/>
              </w:rPr>
              <w:t> </w:t>
            </w:r>
            <w:r>
              <w:rPr/>
              <w:t>(AutoFilter</w:t>
            </w:r>
            <w:r>
              <w:rPr>
                <w:spacing w:val="-2"/>
              </w:rPr>
              <w:t> </w:t>
            </w:r>
            <w:r>
              <w:rPr/>
              <w:t>Settings)</w:t>
              <w:tab/>
            </w:r>
            <w:r>
              <w:rPr>
                <w:spacing w:val="-1"/>
              </w:rPr>
              <w:t>1591</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35">
            <w:r>
              <w:rPr/>
              <w:t>brk</w:t>
            </w:r>
            <w:r>
              <w:rPr>
                <w:spacing w:val="-1"/>
              </w:rPr>
              <w:t> </w:t>
            </w:r>
            <w:r>
              <w:rPr/>
              <w:t>(Break)</w:t>
              <w:tab/>
            </w:r>
            <w:r>
              <w:rPr>
                <w:spacing w:val="-1"/>
              </w:rPr>
              <w:t>1592</w:t>
            </w:r>
          </w:hyperlink>
        </w:p>
        <w:p>
          <w:pPr>
            <w:pStyle w:val="TOC2"/>
            <w:tabs>
              <w:tab w:pos="1137" w:val="left" w:leader="none"/>
              <w:tab w:pos="9222" w:val="left" w:leader="dot"/>
            </w:tabs>
            <w:spacing w:line="267" w:lineRule="exact" w:before="1"/>
            <w:ind w:left="0" w:firstLine="0"/>
          </w:pPr>
          <w:hyperlink w:history="true" w:anchor="_bookmark36">
            <w:r>
              <w:rPr/>
              <w:t>18.3.1.4</w:t>
              <w:tab/>
              <w:t>c</w:t>
            </w:r>
            <w:r>
              <w:rPr>
                <w:spacing w:val="-2"/>
              </w:rPr>
              <w:t> </w:t>
            </w:r>
            <w:r>
              <w:rPr/>
              <w:t>(Cell)</w:t>
              <w:tab/>
            </w:r>
            <w:r>
              <w:rPr>
                <w:spacing w:val="-1"/>
              </w:rPr>
              <w:t>1593</w:t>
            </w:r>
          </w:hyperlink>
        </w:p>
        <w:p>
          <w:pPr>
            <w:pStyle w:val="TOC2"/>
            <w:numPr>
              <w:ilvl w:val="3"/>
              <w:numId w:val="2"/>
            </w:numPr>
            <w:tabs>
              <w:tab w:pos="1137" w:val="left" w:leader="none"/>
              <w:tab w:pos="1138" w:val="left" w:leader="none"/>
              <w:tab w:pos="9222" w:val="left" w:leader="dot"/>
            </w:tabs>
            <w:spacing w:line="267" w:lineRule="exact" w:before="0" w:after="0"/>
            <w:ind w:left="1761" w:right="384" w:hanging="1762"/>
            <w:jc w:val="right"/>
          </w:pPr>
          <w:hyperlink w:history="true" w:anchor="_bookmark37">
            <w:r>
              <w:rPr/>
              <w:t>cellSmartTag (Cell</w:t>
            </w:r>
            <w:r>
              <w:rPr>
                <w:spacing w:val="-4"/>
              </w:rPr>
              <w:t> </w:t>
            </w:r>
            <w:r>
              <w:rPr/>
              <w:t>Smart</w:t>
            </w:r>
            <w:r>
              <w:rPr>
                <w:spacing w:val="-3"/>
              </w:rPr>
              <w:t> </w:t>
            </w:r>
            <w:r>
              <w:rPr/>
              <w:t>Tag)</w:t>
              <w:tab/>
            </w:r>
            <w:r>
              <w:rPr>
                <w:spacing w:val="-1"/>
              </w:rPr>
              <w:t>1594</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38">
            <w:r>
              <w:rPr/>
              <w:t>cellSmartTagPr (Smart</w:t>
            </w:r>
            <w:r>
              <w:rPr>
                <w:spacing w:val="-6"/>
              </w:rPr>
              <w:t> </w:t>
            </w:r>
            <w:r>
              <w:rPr/>
              <w:t>Tag</w:t>
            </w:r>
            <w:r>
              <w:rPr>
                <w:spacing w:val="-4"/>
              </w:rPr>
              <w:t> </w:t>
            </w:r>
            <w:r>
              <w:rPr/>
              <w:t>Properties)</w:t>
              <w:tab/>
              <w:t>1595</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39">
            <w:r>
              <w:rPr/>
              <w:t>cellSmartTags (Cell</w:t>
            </w:r>
            <w:r>
              <w:rPr>
                <w:spacing w:val="-3"/>
              </w:rPr>
              <w:t> </w:t>
            </w:r>
            <w:r>
              <w:rPr/>
              <w:t>Smart</w:t>
            </w:r>
            <w:r>
              <w:rPr>
                <w:spacing w:val="-5"/>
              </w:rPr>
              <w:t> </w:t>
            </w:r>
            <w:r>
              <w:rPr/>
              <w:t>Tags)</w:t>
              <w:tab/>
              <w:t>1595</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40">
            <w:r>
              <w:rPr/>
              <w:t>cellWatch (Cell</w:t>
            </w:r>
            <w:r>
              <w:rPr>
                <w:spacing w:val="-5"/>
              </w:rPr>
              <w:t> </w:t>
            </w:r>
            <w:r>
              <w:rPr/>
              <w:t>Watch</w:t>
            </w:r>
            <w:r>
              <w:rPr>
                <w:spacing w:val="-1"/>
              </w:rPr>
              <w:t> </w:t>
            </w:r>
            <w:r>
              <w:rPr/>
              <w:t>Item)</w:t>
              <w:tab/>
              <w:t>1596</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41">
            <w:r>
              <w:rPr/>
              <w:t>cellWatches (Cell</w:t>
            </w:r>
            <w:r>
              <w:rPr>
                <w:spacing w:val="-5"/>
              </w:rPr>
              <w:t> </w:t>
            </w:r>
            <w:r>
              <w:rPr/>
              <w:t>Watch</w:t>
            </w:r>
            <w:r>
              <w:rPr>
                <w:spacing w:val="-2"/>
              </w:rPr>
              <w:t> </w:t>
            </w:r>
            <w:r>
              <w:rPr/>
              <w:t>Items)</w:t>
              <w:tab/>
              <w:t>1596</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42">
            <w:r>
              <w:rPr/>
              <w:t>cfRule (Conditional</w:t>
            </w:r>
            <w:r>
              <w:rPr>
                <w:spacing w:val="-4"/>
              </w:rPr>
              <w:t> </w:t>
            </w:r>
            <w:r>
              <w:rPr/>
              <w:t>Formatting</w:t>
            </w:r>
            <w:r>
              <w:rPr>
                <w:spacing w:val="-1"/>
              </w:rPr>
              <w:t> </w:t>
            </w:r>
            <w:r>
              <w:rPr/>
              <w:t>Rule)</w:t>
              <w:tab/>
              <w:t>1597</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43">
            <w:r>
              <w:rPr/>
              <w:t>cfvo (Conditional Format</w:t>
            </w:r>
            <w:r>
              <w:rPr>
                <w:spacing w:val="-5"/>
              </w:rPr>
              <w:t> </w:t>
            </w:r>
            <w:r>
              <w:rPr/>
              <w:t>Value</w:t>
            </w:r>
            <w:r>
              <w:rPr>
                <w:spacing w:val="-1"/>
              </w:rPr>
              <w:t> </w:t>
            </w:r>
            <w:r>
              <w:rPr/>
              <w:t>Object)</w:t>
              <w:tab/>
              <w:t>1599</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44">
            <w:r>
              <w:rPr/>
              <w:t>chartsheet</w:t>
            </w:r>
            <w:r>
              <w:rPr>
                <w:spacing w:val="-1"/>
              </w:rPr>
              <w:t> </w:t>
            </w:r>
            <w:r>
              <w:rPr/>
              <w:t>(Chart</w:t>
            </w:r>
            <w:r>
              <w:rPr>
                <w:spacing w:val="-3"/>
              </w:rPr>
              <w:t> </w:t>
            </w:r>
            <w:r>
              <w:rPr/>
              <w:t>Sheet)</w:t>
              <w:tab/>
              <w:t>1600</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45">
            <w:r>
              <w:rPr/>
              <w:t>col (Column Width</w:t>
            </w:r>
            <w:r>
              <w:rPr>
                <w:spacing w:val="-7"/>
              </w:rPr>
              <w:t> </w:t>
            </w:r>
            <w:r>
              <w:rPr/>
              <w:t>&amp; Formatting)</w:t>
              <w:tab/>
              <w:t>1600</w:t>
            </w:r>
          </w:hyperlink>
        </w:p>
        <w:p>
          <w:pPr>
            <w:pStyle w:val="TOC4"/>
            <w:numPr>
              <w:ilvl w:val="3"/>
              <w:numId w:val="2"/>
            </w:numPr>
            <w:tabs>
              <w:tab w:pos="1761" w:val="left" w:leader="none"/>
              <w:tab w:pos="1762" w:val="left" w:leader="none"/>
              <w:tab w:pos="9845" w:val="left" w:leader="dot"/>
            </w:tabs>
            <w:spacing w:line="267" w:lineRule="exact" w:before="0" w:after="0"/>
            <w:ind w:left="1761" w:right="0" w:hanging="1139"/>
            <w:jc w:val="left"/>
          </w:pPr>
          <w:hyperlink w:history="true" w:anchor="_bookmark46">
            <w:r>
              <w:rPr/>
              <w:t>colBreaks (Vertical</w:t>
            </w:r>
            <w:r>
              <w:rPr>
                <w:spacing w:val="-4"/>
              </w:rPr>
              <w:t> </w:t>
            </w:r>
            <w:r>
              <w:rPr/>
              <w:t>Page Breaks)</w:t>
              <w:tab/>
              <w:t>1602</w:t>
            </w:r>
          </w:hyperlink>
        </w:p>
        <w:p>
          <w:pPr>
            <w:pStyle w:val="TOC4"/>
            <w:numPr>
              <w:ilvl w:val="3"/>
              <w:numId w:val="2"/>
            </w:numPr>
            <w:tabs>
              <w:tab w:pos="1761" w:val="left" w:leader="none"/>
              <w:tab w:pos="1762" w:val="left" w:leader="none"/>
              <w:tab w:pos="9845" w:val="left" w:leader="dot"/>
            </w:tabs>
            <w:spacing w:line="267" w:lineRule="exact" w:before="0" w:after="0"/>
            <w:ind w:left="1761" w:right="0" w:hanging="1139"/>
            <w:jc w:val="left"/>
          </w:pPr>
          <w:hyperlink w:history="true" w:anchor="_bookmark47">
            <w:r>
              <w:rPr/>
              <w:t>color (Data</w:t>
            </w:r>
            <w:r>
              <w:rPr>
                <w:spacing w:val="-3"/>
              </w:rPr>
              <w:t> </w:t>
            </w:r>
            <w:r>
              <w:rPr/>
              <w:t>Bar Color)</w:t>
              <w:tab/>
              <w:t>1603</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48">
            <w:r>
              <w:rPr/>
              <w:t>colorScale</w:t>
            </w:r>
            <w:r>
              <w:rPr>
                <w:spacing w:val="-3"/>
              </w:rPr>
              <w:t> </w:t>
            </w:r>
            <w:r>
              <w:rPr/>
              <w:t>(Color</w:t>
            </w:r>
            <w:r>
              <w:rPr>
                <w:spacing w:val="-2"/>
              </w:rPr>
              <w:t> </w:t>
            </w:r>
            <w:r>
              <w:rPr/>
              <w:t>Scale)</w:t>
              <w:tab/>
              <w:t>1604</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49">
            <w:r>
              <w:rPr/>
              <w:t>cols</w:t>
            </w:r>
            <w:r>
              <w:rPr>
                <w:spacing w:val="-2"/>
              </w:rPr>
              <w:t> </w:t>
            </w:r>
            <w:r>
              <w:rPr/>
              <w:t>(Column</w:t>
            </w:r>
            <w:r>
              <w:rPr>
                <w:spacing w:val="-2"/>
              </w:rPr>
              <w:t> </w:t>
            </w:r>
            <w:r>
              <w:rPr/>
              <w:t>Information)</w:t>
              <w:tab/>
              <w:t>1605</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50">
            <w:r>
              <w:rPr/>
              <w:t>conditionalFormatting</w:t>
            </w:r>
            <w:r>
              <w:rPr>
                <w:spacing w:val="-4"/>
              </w:rPr>
              <w:t> </w:t>
            </w:r>
            <w:r>
              <w:rPr/>
              <w:t>(Conditional</w:t>
            </w:r>
            <w:r>
              <w:rPr>
                <w:spacing w:val="-3"/>
              </w:rPr>
              <w:t> </w:t>
            </w:r>
            <w:r>
              <w:rPr/>
              <w:t>Formatting)</w:t>
              <w:tab/>
              <w:t>1605</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51">
            <w:r>
              <w:rPr/>
              <w:t>control</w:t>
            </w:r>
            <w:r>
              <w:rPr>
                <w:spacing w:val="-1"/>
              </w:rPr>
              <w:t> </w:t>
            </w:r>
            <w:r>
              <w:rPr/>
              <w:t>(Embedded</w:t>
            </w:r>
            <w:r>
              <w:rPr>
                <w:spacing w:val="-4"/>
              </w:rPr>
              <w:t> </w:t>
            </w:r>
            <w:r>
              <w:rPr/>
              <w:t>Control)</w:t>
              <w:tab/>
              <w:t>1606</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52">
            <w:r>
              <w:rPr/>
              <w:t>controlPr (Embedded</w:t>
            </w:r>
            <w:r>
              <w:rPr>
                <w:spacing w:val="-4"/>
              </w:rPr>
              <w:t> </w:t>
            </w:r>
            <w:r>
              <w:rPr/>
              <w:t>Control</w:t>
            </w:r>
            <w:r>
              <w:rPr>
                <w:spacing w:val="-3"/>
              </w:rPr>
              <w:t> </w:t>
            </w:r>
            <w:r>
              <w:rPr/>
              <w:t>Properties)</w:t>
              <w:tab/>
              <w:t>1606</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53">
            <w:r>
              <w:rPr/>
              <w:t>controls</w:t>
            </w:r>
            <w:r>
              <w:rPr>
                <w:spacing w:val="-2"/>
              </w:rPr>
              <w:t> </w:t>
            </w:r>
            <w:r>
              <w:rPr/>
              <w:t>(Embedded</w:t>
            </w:r>
            <w:r>
              <w:rPr>
                <w:spacing w:val="-1"/>
              </w:rPr>
              <w:t> </w:t>
            </w:r>
            <w:r>
              <w:rPr/>
              <w:t>Controls)</w:t>
              <w:tab/>
              <w:t>1611</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54">
            <w:r>
              <w:rPr/>
              <w:t>customPr</w:t>
            </w:r>
            <w:r>
              <w:rPr>
                <w:spacing w:val="-2"/>
              </w:rPr>
              <w:t> </w:t>
            </w:r>
            <w:r>
              <w:rPr/>
              <w:t>(Custom</w:t>
            </w:r>
            <w:r>
              <w:rPr>
                <w:spacing w:val="-3"/>
              </w:rPr>
              <w:t> </w:t>
            </w:r>
            <w:r>
              <w:rPr/>
              <w:t>Property)</w:t>
              <w:tab/>
              <w:t>1611</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55">
            <w:r>
              <w:rPr/>
              <w:t>customProperties</w:t>
            </w:r>
            <w:r>
              <w:rPr>
                <w:spacing w:val="-5"/>
              </w:rPr>
              <w:t> </w:t>
            </w:r>
            <w:r>
              <w:rPr/>
              <w:t>(Custom</w:t>
            </w:r>
            <w:r>
              <w:rPr>
                <w:spacing w:val="-3"/>
              </w:rPr>
              <w:t> </w:t>
            </w:r>
            <w:r>
              <w:rPr/>
              <w:t>Properties)</w:t>
              <w:tab/>
              <w:t>1612</w:t>
            </w:r>
          </w:hyperlink>
        </w:p>
        <w:p>
          <w:pPr>
            <w:pStyle w:val="TOC4"/>
            <w:numPr>
              <w:ilvl w:val="3"/>
              <w:numId w:val="2"/>
            </w:numPr>
            <w:tabs>
              <w:tab w:pos="1761" w:val="left" w:leader="none"/>
              <w:tab w:pos="1762" w:val="left" w:leader="none"/>
              <w:tab w:pos="9845" w:val="left" w:leader="dot"/>
            </w:tabs>
            <w:spacing w:line="267" w:lineRule="exact" w:before="1" w:after="0"/>
            <w:ind w:left="1761" w:right="0" w:hanging="1139"/>
            <w:jc w:val="left"/>
          </w:pPr>
          <w:hyperlink w:history="true" w:anchor="_bookmark56">
            <w:r>
              <w:rPr/>
              <w:t>customSheetView (Custom Chart</w:t>
            </w:r>
            <w:r>
              <w:rPr>
                <w:spacing w:val="-9"/>
              </w:rPr>
              <w:t> </w:t>
            </w:r>
            <w:r>
              <w:rPr/>
              <w:t>Sheet</w:t>
            </w:r>
            <w:r>
              <w:rPr>
                <w:spacing w:val="-3"/>
              </w:rPr>
              <w:t> </w:t>
            </w:r>
            <w:r>
              <w:rPr/>
              <w:t>View)</w:t>
              <w:tab/>
              <w:t>1612</w:t>
            </w:r>
          </w:hyperlink>
        </w:p>
        <w:p>
          <w:pPr>
            <w:pStyle w:val="TOC4"/>
            <w:numPr>
              <w:ilvl w:val="3"/>
              <w:numId w:val="2"/>
            </w:numPr>
            <w:tabs>
              <w:tab w:pos="1761" w:val="left" w:leader="none"/>
              <w:tab w:pos="1762" w:val="left" w:leader="none"/>
              <w:tab w:pos="9845" w:val="left" w:leader="dot"/>
            </w:tabs>
            <w:spacing w:line="267" w:lineRule="exact" w:before="0" w:after="0"/>
            <w:ind w:left="1761" w:right="0" w:hanging="1139"/>
            <w:jc w:val="left"/>
          </w:pPr>
          <w:hyperlink w:history="true" w:anchor="_bookmark57">
            <w:r>
              <w:rPr/>
              <w:t>customSheetView (Custom</w:t>
            </w:r>
            <w:r>
              <w:rPr>
                <w:spacing w:val="-6"/>
              </w:rPr>
              <w:t> </w:t>
            </w:r>
            <w:r>
              <w:rPr/>
              <w:t>Sheet</w:t>
            </w:r>
            <w:r>
              <w:rPr>
                <w:spacing w:val="-3"/>
              </w:rPr>
              <w:t> </w:t>
            </w:r>
            <w:r>
              <w:rPr/>
              <w:t>View)</w:t>
              <w:tab/>
              <w:t>1613</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58">
            <w:r>
              <w:rPr/>
              <w:t>customSheetViews (Custom Chart</w:t>
            </w:r>
            <w:r>
              <w:rPr>
                <w:spacing w:val="-6"/>
              </w:rPr>
              <w:t> </w:t>
            </w:r>
            <w:r>
              <w:rPr/>
              <w:t>Sheet</w:t>
            </w:r>
            <w:r>
              <w:rPr>
                <w:spacing w:val="-3"/>
              </w:rPr>
              <w:t> </w:t>
            </w:r>
            <w:r>
              <w:rPr/>
              <w:t>Views)</w:t>
              <w:tab/>
              <w:t>1615</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59">
            <w:r>
              <w:rPr/>
              <w:t>customSheetViews (Custom</w:t>
            </w:r>
            <w:r>
              <w:rPr>
                <w:spacing w:val="-3"/>
              </w:rPr>
              <w:t> </w:t>
            </w:r>
            <w:r>
              <w:rPr/>
              <w:t>Sheet</w:t>
            </w:r>
            <w:r>
              <w:rPr>
                <w:spacing w:val="-2"/>
              </w:rPr>
              <w:t> </w:t>
            </w:r>
            <w:r>
              <w:rPr/>
              <w:t>Views)</w:t>
              <w:tab/>
              <w:t>1616</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60">
            <w:r>
              <w:rPr/>
              <w:t>dataBar (Data</w:t>
            </w:r>
            <w:r>
              <w:rPr>
                <w:spacing w:val="-2"/>
              </w:rPr>
              <w:t> </w:t>
            </w:r>
            <w:r>
              <w:rPr/>
              <w:t>Bar)</w:t>
              <w:tab/>
              <w:t>1616</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61">
            <w:r>
              <w:rPr/>
              <w:t>dataConsolidate</w:t>
            </w:r>
            <w:r>
              <w:rPr>
                <w:spacing w:val="-4"/>
              </w:rPr>
              <w:t> </w:t>
            </w:r>
            <w:r>
              <w:rPr/>
              <w:t>(Data</w:t>
            </w:r>
            <w:r>
              <w:rPr>
                <w:spacing w:val="-1"/>
              </w:rPr>
              <w:t> </w:t>
            </w:r>
            <w:r>
              <w:rPr/>
              <w:t>Consolidate)</w:t>
              <w:tab/>
              <w:t>1617</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62">
            <w:r>
              <w:rPr/>
              <w:t>dataRef (Data</w:t>
            </w:r>
            <w:r>
              <w:rPr>
                <w:spacing w:val="-5"/>
              </w:rPr>
              <w:t> </w:t>
            </w:r>
            <w:r>
              <w:rPr/>
              <w:t>Consolidation</w:t>
            </w:r>
            <w:r>
              <w:rPr>
                <w:spacing w:val="-2"/>
              </w:rPr>
              <w:t> </w:t>
            </w:r>
            <w:r>
              <w:rPr/>
              <w:t>Reference)</w:t>
              <w:tab/>
              <w:t>1618</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63">
            <w:r>
              <w:rPr/>
              <w:t>dataRefs (Data</w:t>
            </w:r>
            <w:r>
              <w:rPr>
                <w:spacing w:val="-4"/>
              </w:rPr>
              <w:t> </w:t>
            </w:r>
            <w:r>
              <w:rPr/>
              <w:t>Consolidation</w:t>
            </w:r>
            <w:r>
              <w:rPr>
                <w:spacing w:val="-2"/>
              </w:rPr>
              <w:t> </w:t>
            </w:r>
            <w:r>
              <w:rPr/>
              <w:t>References)</w:t>
              <w:tab/>
              <w:t>1618</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64">
            <w:r>
              <w:rPr/>
              <w:t>dataValidation</w:t>
            </w:r>
            <w:r>
              <w:rPr>
                <w:spacing w:val="-3"/>
              </w:rPr>
              <w:t> </w:t>
            </w:r>
            <w:r>
              <w:rPr/>
              <w:t>(Data</w:t>
            </w:r>
            <w:r>
              <w:rPr>
                <w:spacing w:val="-1"/>
              </w:rPr>
              <w:t> </w:t>
            </w:r>
            <w:r>
              <w:rPr/>
              <w:t>Validation)</w:t>
              <w:tab/>
              <w:t>1619</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65">
            <w:r>
              <w:rPr/>
              <w:t>dataValidations</w:t>
            </w:r>
            <w:r>
              <w:rPr>
                <w:spacing w:val="-4"/>
              </w:rPr>
              <w:t> </w:t>
            </w:r>
            <w:r>
              <w:rPr/>
              <w:t>(Data</w:t>
            </w:r>
            <w:r>
              <w:rPr>
                <w:spacing w:val="-1"/>
              </w:rPr>
              <w:t> </w:t>
            </w:r>
            <w:r>
              <w:rPr/>
              <w:t>Validations)</w:t>
              <w:tab/>
              <w:t>1620</w:t>
            </w:r>
          </w:hyperlink>
        </w:p>
        <w:p>
          <w:pPr>
            <w:pStyle w:val="TOC4"/>
            <w:numPr>
              <w:ilvl w:val="3"/>
              <w:numId w:val="2"/>
            </w:numPr>
            <w:tabs>
              <w:tab w:pos="1761" w:val="left" w:leader="none"/>
              <w:tab w:pos="1762" w:val="left" w:leader="none"/>
              <w:tab w:pos="9845" w:val="left" w:leader="dot"/>
            </w:tabs>
            <w:spacing w:line="267" w:lineRule="exact" w:before="0" w:after="0"/>
            <w:ind w:left="1761" w:right="0" w:hanging="1139"/>
            <w:jc w:val="left"/>
          </w:pPr>
          <w:hyperlink w:history="true" w:anchor="_bookmark66">
            <w:r>
              <w:rPr/>
              <w:t>dialogsheet</w:t>
            </w:r>
            <w:r>
              <w:rPr>
                <w:spacing w:val="-3"/>
              </w:rPr>
              <w:t> </w:t>
            </w:r>
            <w:r>
              <w:rPr/>
              <w:t>(Dialog</w:t>
            </w:r>
            <w:r>
              <w:rPr>
                <w:spacing w:val="-3"/>
              </w:rPr>
              <w:t> </w:t>
            </w:r>
            <w:r>
              <w:rPr/>
              <w:t>Sheet)</w:t>
              <w:tab/>
              <w:t>1622</w:t>
            </w:r>
          </w:hyperlink>
        </w:p>
        <w:p>
          <w:pPr>
            <w:pStyle w:val="TOC4"/>
            <w:numPr>
              <w:ilvl w:val="3"/>
              <w:numId w:val="2"/>
            </w:numPr>
            <w:tabs>
              <w:tab w:pos="1761" w:val="left" w:leader="none"/>
              <w:tab w:pos="1762" w:val="left" w:leader="none"/>
              <w:tab w:pos="9845" w:val="left" w:leader="dot"/>
            </w:tabs>
            <w:spacing w:line="267" w:lineRule="exact" w:before="0" w:after="0"/>
            <w:ind w:left="1761" w:right="0" w:hanging="1139"/>
            <w:jc w:val="left"/>
          </w:pPr>
          <w:hyperlink w:history="true" w:anchor="_bookmark67">
            <w:r>
              <w:rPr/>
              <w:t>dimension</w:t>
            </w:r>
            <w:r>
              <w:rPr>
                <w:spacing w:val="-2"/>
              </w:rPr>
              <w:t> </w:t>
            </w:r>
            <w:r>
              <w:rPr/>
              <w:t>(Worksheet</w:t>
            </w:r>
            <w:r>
              <w:rPr>
                <w:spacing w:val="-2"/>
              </w:rPr>
              <w:t> </w:t>
            </w:r>
            <w:r>
              <w:rPr/>
              <w:t>Dimensions)</w:t>
              <w:tab/>
              <w:t>1622</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68">
            <w:r>
              <w:rPr/>
              <w:t>drawing</w:t>
            </w:r>
            <w:r>
              <w:rPr>
                <w:spacing w:val="-2"/>
              </w:rPr>
              <w:t> </w:t>
            </w:r>
            <w:r>
              <w:rPr/>
              <w:t>(Drawing)</w:t>
              <w:tab/>
              <w:t>1622</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69">
            <w:r>
              <w:rPr/>
              <w:t>drawingHF (Drawing Reference in</w:t>
            </w:r>
            <w:r>
              <w:rPr>
                <w:spacing w:val="-7"/>
              </w:rPr>
              <w:t> </w:t>
            </w:r>
            <w:r>
              <w:rPr/>
              <w:t>Header</w:t>
            </w:r>
            <w:r>
              <w:rPr>
                <w:spacing w:val="-1"/>
              </w:rPr>
              <w:t> </w:t>
            </w:r>
            <w:r>
              <w:rPr/>
              <w:t>Footer)</w:t>
              <w:tab/>
              <w:t>1623</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70">
            <w:r>
              <w:rPr/>
              <w:t>evenFooter (Even</w:t>
            </w:r>
            <w:r>
              <w:rPr>
                <w:spacing w:val="-5"/>
              </w:rPr>
              <w:t> </w:t>
            </w:r>
            <w:r>
              <w:rPr/>
              <w:t>Page Footer)</w:t>
              <w:tab/>
              <w:t>1629</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71">
            <w:r>
              <w:rPr/>
              <w:t>evenHeader (Even</w:t>
            </w:r>
            <w:r>
              <w:rPr>
                <w:spacing w:val="-3"/>
              </w:rPr>
              <w:t> </w:t>
            </w:r>
            <w:r>
              <w:rPr/>
              <w:t>Page Header)</w:t>
              <w:tab/>
              <w:t>1629</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72">
            <w:r>
              <w:rPr/>
              <w:t>f</w:t>
            </w:r>
            <w:r>
              <w:rPr>
                <w:spacing w:val="-1"/>
              </w:rPr>
              <w:t> </w:t>
            </w:r>
            <w:r>
              <w:rPr/>
              <w:t>(Formula)</w:t>
              <w:tab/>
              <w:t>1630</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73">
            <w:r>
              <w:rPr/>
              <w:t>firstFooter (First</w:t>
            </w:r>
            <w:r>
              <w:rPr>
                <w:spacing w:val="-7"/>
              </w:rPr>
              <w:t> </w:t>
            </w:r>
            <w:r>
              <w:rPr/>
              <w:t>Page</w:t>
            </w:r>
            <w:r>
              <w:rPr>
                <w:spacing w:val="-3"/>
              </w:rPr>
              <w:t> </w:t>
            </w:r>
            <w:r>
              <w:rPr/>
              <w:t>Footer)</w:t>
              <w:tab/>
              <w:t>1633</w:t>
            </w:r>
          </w:hyperlink>
        </w:p>
        <w:p>
          <w:pPr>
            <w:pStyle w:val="TOC4"/>
            <w:numPr>
              <w:ilvl w:val="3"/>
              <w:numId w:val="2"/>
            </w:numPr>
            <w:tabs>
              <w:tab w:pos="1761" w:val="left" w:leader="none"/>
              <w:tab w:pos="1762" w:val="left" w:leader="none"/>
              <w:tab w:pos="9845" w:val="left" w:leader="dot"/>
            </w:tabs>
            <w:spacing w:line="240" w:lineRule="auto" w:before="1" w:after="0"/>
            <w:ind w:left="1761" w:right="0" w:hanging="1139"/>
            <w:jc w:val="left"/>
          </w:pPr>
          <w:hyperlink w:history="true" w:anchor="_bookmark74">
            <w:r>
              <w:rPr/>
              <w:t>firstHeader (First</w:t>
            </w:r>
            <w:r>
              <w:rPr>
                <w:spacing w:val="-9"/>
              </w:rPr>
              <w:t> </w:t>
            </w:r>
            <w:r>
              <w:rPr/>
              <w:t>Page</w:t>
            </w:r>
            <w:r>
              <w:rPr>
                <w:spacing w:val="-2"/>
              </w:rPr>
              <w:t> </w:t>
            </w:r>
            <w:r>
              <w:rPr/>
              <w:t>Header)</w:t>
              <w:tab/>
              <w:t>1634</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75">
            <w:r>
              <w:rPr/>
              <w:t>formula</w:t>
            </w:r>
            <w:r>
              <w:rPr>
                <w:spacing w:val="-4"/>
              </w:rPr>
              <w:t> </w:t>
            </w:r>
            <w:r>
              <w:rPr/>
              <w:t>(Formula)</w:t>
              <w:tab/>
              <w:t>1635</w:t>
            </w:r>
          </w:hyperlink>
        </w:p>
        <w:p>
          <w:pPr>
            <w:pStyle w:val="TOC4"/>
            <w:numPr>
              <w:ilvl w:val="3"/>
              <w:numId w:val="2"/>
            </w:numPr>
            <w:tabs>
              <w:tab w:pos="1761" w:val="left" w:leader="none"/>
              <w:tab w:pos="1762" w:val="left" w:leader="none"/>
              <w:tab w:pos="9845" w:val="left" w:leader="dot"/>
            </w:tabs>
            <w:spacing w:line="267" w:lineRule="exact" w:before="0" w:after="0"/>
            <w:ind w:left="1761" w:right="0" w:hanging="1139"/>
            <w:jc w:val="left"/>
          </w:pPr>
          <w:hyperlink w:history="true" w:anchor="_bookmark76">
            <w:r>
              <w:rPr/>
              <w:t>formula1</w:t>
            </w:r>
            <w:r>
              <w:rPr>
                <w:spacing w:val="-2"/>
              </w:rPr>
              <w:t> </w:t>
            </w:r>
            <w:r>
              <w:rPr/>
              <w:t>(Formula</w:t>
            </w:r>
            <w:r>
              <w:rPr>
                <w:spacing w:val="-1"/>
              </w:rPr>
              <w:t> </w:t>
            </w:r>
            <w:r>
              <w:rPr/>
              <w:t>1)</w:t>
              <w:tab/>
              <w:t>1635</w:t>
            </w:r>
          </w:hyperlink>
        </w:p>
        <w:p>
          <w:pPr>
            <w:pStyle w:val="TOC4"/>
            <w:numPr>
              <w:ilvl w:val="3"/>
              <w:numId w:val="2"/>
            </w:numPr>
            <w:tabs>
              <w:tab w:pos="1761" w:val="left" w:leader="none"/>
              <w:tab w:pos="1762" w:val="left" w:leader="none"/>
              <w:tab w:pos="9845" w:val="left" w:leader="dot"/>
            </w:tabs>
            <w:spacing w:line="267" w:lineRule="exact" w:before="0" w:after="0"/>
            <w:ind w:left="1761" w:right="0" w:hanging="1139"/>
            <w:jc w:val="left"/>
          </w:pPr>
          <w:hyperlink w:history="true" w:anchor="_bookmark77">
            <w:r>
              <w:rPr/>
              <w:t>formula2</w:t>
            </w:r>
            <w:r>
              <w:rPr>
                <w:spacing w:val="-2"/>
              </w:rPr>
              <w:t> </w:t>
            </w:r>
            <w:r>
              <w:rPr/>
              <w:t>(Formula</w:t>
            </w:r>
            <w:r>
              <w:rPr>
                <w:spacing w:val="-1"/>
              </w:rPr>
              <w:t> </w:t>
            </w:r>
            <w:r>
              <w:rPr/>
              <w:t>2)</w:t>
              <w:tab/>
              <w:t>1636</w:t>
            </w:r>
          </w:hyperlink>
        </w:p>
        <w:p>
          <w:pPr>
            <w:pStyle w:val="TOC4"/>
            <w:numPr>
              <w:ilvl w:val="3"/>
              <w:numId w:val="2"/>
            </w:numPr>
            <w:tabs>
              <w:tab w:pos="1761" w:val="left" w:leader="none"/>
              <w:tab w:pos="1762" w:val="left" w:leader="none"/>
              <w:tab w:pos="9845" w:val="left" w:leader="dot"/>
            </w:tabs>
            <w:spacing w:line="240" w:lineRule="auto" w:before="0" w:after="0"/>
            <w:ind w:left="1761" w:right="0" w:hanging="1139"/>
            <w:jc w:val="left"/>
          </w:pPr>
          <w:hyperlink w:history="true" w:anchor="_bookmark78">
            <w:r>
              <w:rPr/>
              <w:t>headerFooter (Header</w:t>
            </w:r>
            <w:r>
              <w:rPr>
                <w:spacing w:val="-6"/>
              </w:rPr>
              <w:t> </w:t>
            </w:r>
            <w:r>
              <w:rPr/>
              <w:t>Footer</w:t>
            </w:r>
            <w:r>
              <w:rPr>
                <w:spacing w:val="-2"/>
              </w:rPr>
              <w:t> </w:t>
            </w:r>
            <w:r>
              <w:rPr/>
              <w:t>Settings)</w:t>
              <w:tab/>
              <w:t>1636</w:t>
            </w:r>
          </w:hyperlink>
        </w:p>
        <w:p>
          <w:pPr>
            <w:pStyle w:val="TOC4"/>
            <w:numPr>
              <w:ilvl w:val="3"/>
              <w:numId w:val="2"/>
            </w:numPr>
            <w:tabs>
              <w:tab w:pos="1761" w:val="left" w:leader="none"/>
              <w:tab w:pos="1762" w:val="left" w:leader="none"/>
              <w:tab w:pos="9845" w:val="left" w:leader="dot"/>
            </w:tabs>
            <w:spacing w:line="240" w:lineRule="auto" w:before="0" w:after="77"/>
            <w:ind w:left="1761" w:right="0" w:hanging="1139"/>
            <w:jc w:val="left"/>
          </w:pPr>
          <w:hyperlink w:history="true" w:anchor="_bookmark79">
            <w:r>
              <w:rPr/>
              <w:t>hyperlink</w:t>
            </w:r>
            <w:r>
              <w:rPr>
                <w:spacing w:val="-1"/>
              </w:rPr>
              <w:t> </w:t>
            </w:r>
            <w:r>
              <w:rPr/>
              <w:t>(Hyperlink)</w:t>
              <w:tab/>
              <w:t>1641</w:t>
            </w:r>
          </w:hyperlink>
        </w:p>
        <w:p>
          <w:pPr>
            <w:pStyle w:val="TOC4"/>
            <w:numPr>
              <w:ilvl w:val="3"/>
              <w:numId w:val="2"/>
            </w:numPr>
            <w:tabs>
              <w:tab w:pos="1761" w:val="left" w:leader="none"/>
              <w:tab w:pos="1762" w:val="left" w:leader="none"/>
              <w:tab w:pos="10293" w:val="right" w:leader="dot"/>
            </w:tabs>
            <w:spacing w:line="240" w:lineRule="auto" w:before="148" w:after="0"/>
            <w:ind w:left="1761" w:right="0" w:hanging="1139"/>
            <w:jc w:val="left"/>
          </w:pPr>
          <w:hyperlink w:history="true" w:anchor="_bookmark80">
            <w:r>
              <w:rPr/>
              <w:t>hyperlinks (Hyperlinks)</w:t>
              <w:tab/>
              <w:t>1642</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81">
            <w:r>
              <w:rPr/>
              <w:t>iconSet</w:t>
            </w:r>
            <w:r>
              <w:rPr>
                <w:spacing w:val="-2"/>
              </w:rPr>
              <w:t> </w:t>
            </w:r>
            <w:r>
              <w:rPr/>
              <w:t>(Icon</w:t>
            </w:r>
            <w:r>
              <w:rPr>
                <w:spacing w:val="-2"/>
              </w:rPr>
              <w:t> </w:t>
            </w:r>
            <w:r>
              <w:rPr/>
              <w:t>Set)</w:t>
              <w:tab/>
              <w:t>1642</w:t>
            </w:r>
          </w:hyperlink>
        </w:p>
        <w:p>
          <w:pPr>
            <w:pStyle w:val="TOC4"/>
            <w:numPr>
              <w:ilvl w:val="3"/>
              <w:numId w:val="2"/>
            </w:numPr>
            <w:tabs>
              <w:tab w:pos="1761" w:val="left" w:leader="none"/>
              <w:tab w:pos="1762" w:val="left" w:leader="none"/>
              <w:tab w:pos="10293" w:val="right" w:leader="dot"/>
            </w:tabs>
            <w:spacing w:line="240" w:lineRule="auto" w:before="1" w:after="0"/>
            <w:ind w:left="1761" w:right="0" w:hanging="1139"/>
            <w:jc w:val="left"/>
          </w:pPr>
          <w:hyperlink w:history="true" w:anchor="_bookmark82">
            <w:r>
              <w:rPr/>
              <w:t>ignoredError</w:t>
            </w:r>
            <w:r>
              <w:rPr>
                <w:spacing w:val="-1"/>
              </w:rPr>
              <w:t> </w:t>
            </w:r>
            <w:r>
              <w:rPr/>
              <w:t>(Ignored Error)</w:t>
              <w:tab/>
              <w:t>1643</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83">
            <w:r>
              <w:rPr/>
              <w:t>ignoredErrors</w:t>
            </w:r>
            <w:r>
              <w:rPr>
                <w:spacing w:val="-1"/>
              </w:rPr>
              <w:t> </w:t>
            </w:r>
            <w:r>
              <w:rPr/>
              <w:t>(Ignored Errors)</w:t>
              <w:tab/>
              <w:t>1645</w:t>
            </w:r>
          </w:hyperlink>
        </w:p>
        <w:p>
          <w:pPr>
            <w:pStyle w:val="TOC4"/>
            <w:numPr>
              <w:ilvl w:val="3"/>
              <w:numId w:val="2"/>
            </w:numPr>
            <w:tabs>
              <w:tab w:pos="1761" w:val="left" w:leader="none"/>
              <w:tab w:pos="1762" w:val="left" w:leader="none"/>
              <w:tab w:pos="10293" w:val="right" w:leader="dot"/>
            </w:tabs>
            <w:spacing w:line="267" w:lineRule="exact" w:before="0" w:after="0"/>
            <w:ind w:left="1761" w:right="0" w:hanging="1139"/>
            <w:jc w:val="left"/>
          </w:pPr>
          <w:hyperlink w:history="true" w:anchor="_bookmark84">
            <w:r>
              <w:rPr/>
              <w:t>inputCells</w:t>
            </w:r>
            <w:r>
              <w:rPr>
                <w:spacing w:val="-1"/>
              </w:rPr>
              <w:t> </w:t>
            </w:r>
            <w:r>
              <w:rPr/>
              <w:t>(Input Cells)</w:t>
              <w:tab/>
              <w:t>1645</w:t>
            </w:r>
          </w:hyperlink>
        </w:p>
        <w:p>
          <w:pPr>
            <w:pStyle w:val="TOC4"/>
            <w:numPr>
              <w:ilvl w:val="3"/>
              <w:numId w:val="2"/>
            </w:numPr>
            <w:tabs>
              <w:tab w:pos="1761" w:val="left" w:leader="none"/>
              <w:tab w:pos="1762" w:val="left" w:leader="none"/>
              <w:tab w:pos="10293" w:val="right" w:leader="dot"/>
            </w:tabs>
            <w:spacing w:line="267" w:lineRule="exact" w:before="0" w:after="0"/>
            <w:ind w:left="1761" w:right="0" w:hanging="1139"/>
            <w:jc w:val="left"/>
          </w:pPr>
          <w:hyperlink w:history="true" w:anchor="_bookmark85">
            <w:r>
              <w:rPr/>
              <w:t>is (Rich</w:t>
            </w:r>
            <w:r>
              <w:rPr>
                <w:spacing w:val="-1"/>
              </w:rPr>
              <w:t> </w:t>
            </w:r>
            <w:r>
              <w:rPr/>
              <w:t>Text</w:t>
            </w:r>
            <w:r>
              <w:rPr>
                <w:spacing w:val="-2"/>
              </w:rPr>
              <w:t> </w:t>
            </w:r>
            <w:r>
              <w:rPr/>
              <w:t>Inline)</w:t>
              <w:tab/>
              <w:t>1646</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86">
            <w:r>
              <w:rPr/>
              <w:t>mergeCell</w:t>
            </w:r>
            <w:r>
              <w:rPr>
                <w:spacing w:val="-1"/>
              </w:rPr>
              <w:t> </w:t>
            </w:r>
            <w:r>
              <w:rPr/>
              <w:t>(Merged Cell)</w:t>
              <w:tab/>
              <w:t>1646</w:t>
            </w:r>
          </w:hyperlink>
        </w:p>
        <w:p>
          <w:pPr>
            <w:pStyle w:val="TOC4"/>
            <w:numPr>
              <w:ilvl w:val="3"/>
              <w:numId w:val="2"/>
            </w:numPr>
            <w:tabs>
              <w:tab w:pos="1761" w:val="left" w:leader="none"/>
              <w:tab w:pos="1762" w:val="left" w:leader="none"/>
              <w:tab w:pos="10293" w:val="right" w:leader="dot"/>
            </w:tabs>
            <w:spacing w:line="240" w:lineRule="auto" w:before="1" w:after="0"/>
            <w:ind w:left="1761" w:right="0" w:hanging="1139"/>
            <w:jc w:val="left"/>
          </w:pPr>
          <w:hyperlink w:history="true" w:anchor="_bookmark87">
            <w:r>
              <w:rPr/>
              <w:t>mergeCells</w:t>
            </w:r>
            <w:r>
              <w:rPr>
                <w:spacing w:val="-1"/>
              </w:rPr>
              <w:t> </w:t>
            </w:r>
            <w:r>
              <w:rPr/>
              <w:t>(Merge</w:t>
            </w:r>
            <w:r>
              <w:rPr>
                <w:spacing w:val="1"/>
              </w:rPr>
              <w:t> </w:t>
            </w:r>
            <w:r>
              <w:rPr/>
              <w:t>Cells)</w:t>
              <w:tab/>
              <w:t>1646</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88">
            <w:r>
              <w:rPr/>
              <w:t>objectPr (Embedded</w:t>
            </w:r>
            <w:r>
              <w:rPr>
                <w:spacing w:val="-3"/>
              </w:rPr>
              <w:t> </w:t>
            </w:r>
            <w:r>
              <w:rPr/>
              <w:t>Object Properties)</w:t>
              <w:tab/>
              <w:t>1647</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89">
            <w:r>
              <w:rPr/>
              <w:t>oddFooter (Odd</w:t>
            </w:r>
            <w:r>
              <w:rPr>
                <w:spacing w:val="-7"/>
              </w:rPr>
              <w:t> </w:t>
            </w:r>
            <w:r>
              <w:rPr/>
              <w:t>Page</w:t>
            </w:r>
            <w:r>
              <w:rPr>
                <w:spacing w:val="1"/>
              </w:rPr>
              <w:t> </w:t>
            </w:r>
            <w:r>
              <w:rPr/>
              <w:t>Footer)</w:t>
              <w:tab/>
              <w:t>1650</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90">
            <w:r>
              <w:rPr/>
              <w:t>oddHeader</w:t>
            </w:r>
            <w:r>
              <w:rPr>
                <w:spacing w:val="-1"/>
              </w:rPr>
              <w:t> </w:t>
            </w:r>
            <w:r>
              <w:rPr/>
              <w:t>(Odd</w:t>
            </w:r>
            <w:r>
              <w:rPr>
                <w:spacing w:val="-1"/>
              </w:rPr>
              <w:t> </w:t>
            </w:r>
            <w:r>
              <w:rPr/>
              <w:t>Header)</w:t>
              <w:tab/>
              <w:t>1651</w:t>
            </w:r>
          </w:hyperlink>
        </w:p>
        <w:p>
          <w:pPr>
            <w:pStyle w:val="TOC4"/>
            <w:numPr>
              <w:ilvl w:val="3"/>
              <w:numId w:val="2"/>
            </w:numPr>
            <w:tabs>
              <w:tab w:pos="1761" w:val="left" w:leader="none"/>
              <w:tab w:pos="1762" w:val="left" w:leader="none"/>
              <w:tab w:pos="10293" w:val="right" w:leader="dot"/>
            </w:tabs>
            <w:spacing w:line="240" w:lineRule="auto" w:before="1" w:after="0"/>
            <w:ind w:left="1761" w:right="0" w:hanging="1139"/>
            <w:jc w:val="left"/>
          </w:pPr>
          <w:hyperlink w:history="true" w:anchor="_bookmark91">
            <w:r>
              <w:rPr/>
              <w:t>oleObject</w:t>
            </w:r>
            <w:r>
              <w:rPr>
                <w:spacing w:val="-2"/>
              </w:rPr>
              <w:t> </w:t>
            </w:r>
            <w:r>
              <w:rPr/>
              <w:t>(Embedded Object)</w:t>
              <w:tab/>
              <w:t>1652</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92">
            <w:r>
              <w:rPr/>
              <w:t>oleObjects</w:t>
            </w:r>
            <w:r>
              <w:rPr>
                <w:spacing w:val="-4"/>
              </w:rPr>
              <w:t> </w:t>
            </w:r>
            <w:r>
              <w:rPr/>
              <w:t>(Embedded Objects)</w:t>
              <w:tab/>
              <w:t>1653</w:t>
            </w:r>
          </w:hyperlink>
        </w:p>
        <w:p>
          <w:pPr>
            <w:pStyle w:val="TOC4"/>
            <w:numPr>
              <w:ilvl w:val="3"/>
              <w:numId w:val="2"/>
            </w:numPr>
            <w:tabs>
              <w:tab w:pos="1761" w:val="left" w:leader="none"/>
              <w:tab w:pos="1762" w:val="left" w:leader="none"/>
              <w:tab w:pos="10293" w:val="right" w:leader="dot"/>
            </w:tabs>
            <w:spacing w:line="268" w:lineRule="exact" w:before="0" w:after="0"/>
            <w:ind w:left="1761" w:right="0" w:hanging="1139"/>
            <w:jc w:val="left"/>
          </w:pPr>
          <w:hyperlink w:history="true" w:anchor="_bookmark93">
            <w:r>
              <w:rPr/>
              <w:t>outlinePr</w:t>
            </w:r>
            <w:r>
              <w:rPr>
                <w:spacing w:val="-1"/>
              </w:rPr>
              <w:t> </w:t>
            </w:r>
            <w:r>
              <w:rPr/>
              <w:t>(Outline</w:t>
            </w:r>
            <w:r>
              <w:rPr>
                <w:spacing w:val="-2"/>
              </w:rPr>
              <w:t> </w:t>
            </w:r>
            <w:r>
              <w:rPr/>
              <w:t>Properties)</w:t>
              <w:tab/>
              <w:t>1653</w:t>
            </w:r>
          </w:hyperlink>
        </w:p>
        <w:p>
          <w:pPr>
            <w:pStyle w:val="TOC4"/>
            <w:numPr>
              <w:ilvl w:val="3"/>
              <w:numId w:val="2"/>
            </w:numPr>
            <w:tabs>
              <w:tab w:pos="1761" w:val="left" w:leader="none"/>
              <w:tab w:pos="1762" w:val="left" w:leader="none"/>
              <w:tab w:pos="10293" w:val="right" w:leader="dot"/>
            </w:tabs>
            <w:spacing w:line="268" w:lineRule="exact" w:before="0" w:after="0"/>
            <w:ind w:left="1761" w:right="0" w:hanging="1139"/>
            <w:jc w:val="left"/>
          </w:pPr>
          <w:hyperlink w:history="true" w:anchor="_bookmark94">
            <w:r>
              <w:rPr/>
              <w:t>pageMargins</w:t>
            </w:r>
            <w:r>
              <w:rPr>
                <w:spacing w:val="-1"/>
              </w:rPr>
              <w:t> </w:t>
            </w:r>
            <w:r>
              <w:rPr/>
              <w:t>(Page</w:t>
            </w:r>
            <w:r>
              <w:rPr>
                <w:spacing w:val="-2"/>
              </w:rPr>
              <w:t> </w:t>
            </w:r>
            <w:r>
              <w:rPr/>
              <w:t>Margins)</w:t>
              <w:tab/>
              <w:t>1655</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95">
            <w:r>
              <w:rPr/>
              <w:t>pageSetup (Page</w:t>
            </w:r>
            <w:r>
              <w:rPr>
                <w:spacing w:val="-1"/>
              </w:rPr>
              <w:t> </w:t>
            </w:r>
            <w:r>
              <w:rPr/>
              <w:t>Setup</w:t>
            </w:r>
            <w:r>
              <w:rPr>
                <w:spacing w:val="-1"/>
              </w:rPr>
              <w:t> </w:t>
            </w:r>
            <w:r>
              <w:rPr/>
              <w:t>Settings)</w:t>
              <w:tab/>
              <w:t>1655</w:t>
            </w:r>
          </w:hyperlink>
        </w:p>
        <w:p>
          <w:pPr>
            <w:pStyle w:val="TOC4"/>
            <w:numPr>
              <w:ilvl w:val="3"/>
              <w:numId w:val="2"/>
            </w:numPr>
            <w:tabs>
              <w:tab w:pos="1761" w:val="left" w:leader="none"/>
              <w:tab w:pos="1762" w:val="left" w:leader="none"/>
              <w:tab w:pos="10293" w:val="right" w:leader="dot"/>
            </w:tabs>
            <w:spacing w:line="240" w:lineRule="auto" w:before="1" w:after="0"/>
            <w:ind w:left="1761" w:right="0" w:hanging="1139"/>
            <w:jc w:val="left"/>
          </w:pPr>
          <w:hyperlink w:history="true" w:anchor="_bookmark96">
            <w:r>
              <w:rPr/>
              <w:t>pageSetup (Chart Sheet</w:t>
            </w:r>
            <w:r>
              <w:rPr>
                <w:spacing w:val="-7"/>
              </w:rPr>
              <w:t> </w:t>
            </w:r>
            <w:r>
              <w:rPr/>
              <w:t>Page</w:t>
            </w:r>
            <w:r>
              <w:rPr>
                <w:spacing w:val="1"/>
              </w:rPr>
              <w:t> </w:t>
            </w:r>
            <w:r>
              <w:rPr/>
              <w:t>Setup)</w:t>
              <w:tab/>
              <w:t>1661</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97">
            <w:r>
              <w:rPr/>
              <w:t>pageSetUpPr (Page</w:t>
            </w:r>
            <w:r>
              <w:rPr>
                <w:spacing w:val="-3"/>
              </w:rPr>
              <w:t> </w:t>
            </w:r>
            <w:r>
              <w:rPr/>
              <w:t>Setup</w:t>
            </w:r>
            <w:r>
              <w:rPr>
                <w:spacing w:val="-1"/>
              </w:rPr>
              <w:t> </w:t>
            </w:r>
            <w:r>
              <w:rPr/>
              <w:t>Properties)</w:t>
              <w:tab/>
              <w:t>1664</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98">
            <w:r>
              <w:rPr/>
              <w:t>pane (View</w:t>
            </w:r>
            <w:r>
              <w:rPr>
                <w:spacing w:val="-2"/>
              </w:rPr>
              <w:t> </w:t>
            </w:r>
            <w:r>
              <w:rPr/>
              <w:t>Pane)</w:t>
              <w:tab/>
              <w:t>1665</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99">
            <w:r>
              <w:rPr/>
              <w:t>picture (Background</w:t>
            </w:r>
            <w:r>
              <w:rPr>
                <w:spacing w:val="-1"/>
              </w:rPr>
              <w:t> </w:t>
            </w:r>
            <w:r>
              <w:rPr/>
              <w:t>Image)</w:t>
              <w:tab/>
              <w:t>1666</w:t>
            </w:r>
          </w:hyperlink>
        </w:p>
        <w:p>
          <w:pPr>
            <w:pStyle w:val="TOC4"/>
            <w:numPr>
              <w:ilvl w:val="3"/>
              <w:numId w:val="2"/>
            </w:numPr>
            <w:tabs>
              <w:tab w:pos="1761" w:val="left" w:leader="none"/>
              <w:tab w:pos="1762" w:val="left" w:leader="none"/>
              <w:tab w:pos="10293" w:val="right" w:leader="dot"/>
            </w:tabs>
            <w:spacing w:line="240" w:lineRule="auto" w:before="1" w:after="0"/>
            <w:ind w:left="1761" w:right="0" w:hanging="1139"/>
            <w:jc w:val="left"/>
          </w:pPr>
          <w:hyperlink w:history="true" w:anchor="_bookmark100">
            <w:r>
              <w:rPr/>
              <w:t>pivotArea</w:t>
            </w:r>
            <w:r>
              <w:rPr>
                <w:spacing w:val="1"/>
              </w:rPr>
              <w:t> </w:t>
            </w:r>
            <w:r>
              <w:rPr/>
              <w:t>(Pivot</w:t>
            </w:r>
            <w:r>
              <w:rPr>
                <w:spacing w:val="-2"/>
              </w:rPr>
              <w:t> </w:t>
            </w:r>
            <w:r>
              <w:rPr/>
              <w:t>Area)</w:t>
              <w:tab/>
              <w:t>1666</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101">
            <w:r>
              <w:rPr/>
              <w:t>pivotSelection</w:t>
            </w:r>
            <w:r>
              <w:rPr>
                <w:spacing w:val="-2"/>
              </w:rPr>
              <w:t> </w:t>
            </w:r>
            <w:r>
              <w:rPr/>
              <w:t>(PivotTable</w:t>
            </w:r>
            <w:r>
              <w:rPr>
                <w:spacing w:val="-2"/>
              </w:rPr>
              <w:t> </w:t>
            </w:r>
            <w:r>
              <w:rPr/>
              <w:t>Selection)</w:t>
              <w:tab/>
              <w:t>1667</w:t>
            </w:r>
          </w:hyperlink>
        </w:p>
        <w:p>
          <w:pPr>
            <w:pStyle w:val="TOC4"/>
            <w:numPr>
              <w:ilvl w:val="3"/>
              <w:numId w:val="2"/>
            </w:numPr>
            <w:tabs>
              <w:tab w:pos="1761" w:val="left" w:leader="none"/>
              <w:tab w:pos="1762" w:val="left" w:leader="none"/>
              <w:tab w:pos="10293" w:val="right" w:leader="dot"/>
            </w:tabs>
            <w:spacing w:line="240" w:lineRule="auto" w:before="0" w:after="0"/>
            <w:ind w:left="1761" w:right="0" w:hanging="1139"/>
            <w:jc w:val="left"/>
          </w:pPr>
          <w:hyperlink w:history="true" w:anchor="_bookmark102">
            <w:r>
              <w:rPr/>
              <w:t>printOptions</w:t>
            </w:r>
            <w:r>
              <w:rPr>
                <w:spacing w:val="-1"/>
              </w:rPr>
              <w:t> </w:t>
            </w:r>
            <w:r>
              <w:rPr/>
              <w:t>(Print</w:t>
            </w:r>
            <w:r>
              <w:rPr>
                <w:spacing w:val="-2"/>
              </w:rPr>
              <w:t> </w:t>
            </w:r>
            <w:r>
              <w:rPr/>
              <w:t>Options)</w:t>
              <w:tab/>
              <w:t>1671</w:t>
            </w:r>
          </w:hyperlink>
        </w:p>
        <w:p>
          <w:pPr>
            <w:pStyle w:val="TOC4"/>
            <w:numPr>
              <w:ilvl w:val="3"/>
              <w:numId w:val="2"/>
            </w:numPr>
            <w:tabs>
              <w:tab w:pos="1761" w:val="left" w:leader="none"/>
              <w:tab w:pos="1762" w:val="left" w:leader="none"/>
              <w:tab w:pos="10293" w:val="right" w:leader="dot"/>
            </w:tabs>
            <w:spacing w:line="267" w:lineRule="exact" w:before="0" w:after="0"/>
            <w:ind w:left="1761" w:right="0" w:hanging="1139"/>
            <w:jc w:val="left"/>
          </w:pPr>
          <w:hyperlink w:history="true" w:anchor="_bookmark103">
            <w:r>
              <w:rPr/>
              <w:t>protectedRange</w:t>
            </w:r>
            <w:r>
              <w:rPr>
                <w:spacing w:val="-3"/>
              </w:rPr>
              <w:t> </w:t>
            </w:r>
            <w:r>
              <w:rPr/>
              <w:t>(Protected</w:t>
            </w:r>
            <w:r>
              <w:rPr>
                <w:spacing w:val="-3"/>
              </w:rPr>
              <w:t> </w:t>
            </w:r>
            <w:r>
              <w:rPr/>
              <w:t>Range)</w:t>
              <w:tab/>
              <w:t>1671</w:t>
            </w:r>
          </w:hyperlink>
        </w:p>
        <w:p>
          <w:pPr>
            <w:pStyle w:val="TOC4"/>
            <w:numPr>
              <w:ilvl w:val="3"/>
              <w:numId w:val="2"/>
            </w:numPr>
            <w:tabs>
              <w:tab w:pos="1761" w:val="left" w:leader="none"/>
              <w:tab w:pos="1762" w:val="left" w:leader="none"/>
              <w:tab w:pos="10293" w:val="right" w:leader="dot"/>
            </w:tabs>
            <w:spacing w:line="267" w:lineRule="exact" w:before="0" w:after="0"/>
            <w:ind w:left="1761" w:right="0" w:hanging="1139"/>
            <w:jc w:val="left"/>
          </w:pPr>
          <w:hyperlink w:history="true" w:anchor="_bookmark104">
            <w:r>
              <w:rPr/>
              <w:t>protectedRanges</w:t>
            </w:r>
            <w:r>
              <w:rPr>
                <w:spacing w:val="-3"/>
              </w:rPr>
              <w:t> </w:t>
            </w:r>
            <w:r>
              <w:rPr/>
              <w:t>(Protected</w:t>
            </w:r>
            <w:r>
              <w:rPr>
                <w:spacing w:val="-1"/>
              </w:rPr>
              <w:t> </w:t>
            </w:r>
            <w:r>
              <w:rPr/>
              <w:t>Ranges)</w:t>
              <w:tab/>
              <w:t>1675</w:t>
            </w:r>
          </w:hyperlink>
        </w:p>
        <w:p>
          <w:pPr>
            <w:pStyle w:val="TOC4"/>
            <w:tabs>
              <w:tab w:pos="1761" w:val="left" w:leader="none"/>
              <w:tab w:pos="10293" w:val="right" w:leader="dot"/>
            </w:tabs>
            <w:spacing w:before="1"/>
          </w:pPr>
          <w:hyperlink w:history="true" w:anchor="_bookmark105">
            <w:r>
              <w:rPr/>
              <w:t>18.3.1.73</w:t>
              <w:tab/>
              <w:t>row</w:t>
            </w:r>
            <w:r>
              <w:rPr>
                <w:spacing w:val="-2"/>
              </w:rPr>
              <w:t> </w:t>
            </w:r>
            <w:r>
              <w:rPr/>
              <w:t>(Row)</w:t>
              <w:tab/>
              <w:t>1675</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06">
            <w:r>
              <w:rPr/>
              <w:t>rowBreaks (Horizontal Page</w:t>
            </w:r>
            <w:r>
              <w:rPr>
                <w:spacing w:val="-4"/>
              </w:rPr>
              <w:t> </w:t>
            </w:r>
            <w:r>
              <w:rPr/>
              <w:t>Breaks</w:t>
            </w:r>
            <w:r>
              <w:rPr>
                <w:spacing w:val="1"/>
              </w:rPr>
              <w:t> </w:t>
            </w:r>
            <w:r>
              <w:rPr/>
              <w:t>(Row))</w:t>
              <w:tab/>
              <w:t>1681</w:t>
            </w:r>
          </w:hyperlink>
        </w:p>
        <w:p>
          <w:pPr>
            <w:pStyle w:val="TOC4"/>
            <w:numPr>
              <w:ilvl w:val="3"/>
              <w:numId w:val="3"/>
            </w:numPr>
            <w:tabs>
              <w:tab w:pos="1761" w:val="left" w:leader="none"/>
              <w:tab w:pos="1762" w:val="left" w:leader="none"/>
              <w:tab w:pos="10293" w:val="right" w:leader="dot"/>
            </w:tabs>
            <w:spacing w:line="240" w:lineRule="auto" w:before="1" w:after="0"/>
            <w:ind w:left="1761" w:right="0" w:hanging="1139"/>
            <w:jc w:val="left"/>
          </w:pPr>
          <w:hyperlink w:history="true" w:anchor="_bookmark107">
            <w:r>
              <w:rPr/>
              <w:t>scenario</w:t>
            </w:r>
            <w:r>
              <w:rPr>
                <w:spacing w:val="-3"/>
              </w:rPr>
              <w:t> </w:t>
            </w:r>
            <w:r>
              <w:rPr/>
              <w:t>(Scenario)</w:t>
              <w:tab/>
              <w:t>1681</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08">
            <w:r>
              <w:rPr/>
              <w:t>scenarios</w:t>
            </w:r>
            <w:r>
              <w:rPr>
                <w:spacing w:val="-4"/>
              </w:rPr>
              <w:t> </w:t>
            </w:r>
            <w:r>
              <w:rPr/>
              <w:t>(Scenarios)</w:t>
              <w:tab/>
              <w:t>1682</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09">
            <w:r>
              <w:rPr/>
              <w:t>securityDescriptor</w:t>
            </w:r>
            <w:r>
              <w:rPr>
                <w:spacing w:val="-1"/>
              </w:rPr>
              <w:t> </w:t>
            </w:r>
            <w:r>
              <w:rPr/>
              <w:t>(Security Descriptor)</w:t>
              <w:tab/>
              <w:t>1683</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10">
            <w:r>
              <w:rPr/>
              <w:t>selection</w:t>
            </w:r>
            <w:r>
              <w:rPr>
                <w:spacing w:val="-2"/>
              </w:rPr>
              <w:t> </w:t>
            </w:r>
            <w:r>
              <w:rPr/>
              <w:t>(Selection)</w:t>
              <w:tab/>
              <w:t>1684</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11">
            <w:r>
              <w:rPr/>
              <w:t>sheetCalcPr (Sheet</w:t>
            </w:r>
            <w:r>
              <w:rPr>
                <w:spacing w:val="-5"/>
              </w:rPr>
              <w:t> </w:t>
            </w:r>
            <w:r>
              <w:rPr/>
              <w:t>Calculation</w:t>
            </w:r>
            <w:r>
              <w:rPr>
                <w:spacing w:val="-1"/>
              </w:rPr>
              <w:t> </w:t>
            </w:r>
            <w:r>
              <w:rPr/>
              <w:t>Properties)</w:t>
              <w:tab/>
              <w:t>1684</w:t>
            </w:r>
          </w:hyperlink>
        </w:p>
        <w:p>
          <w:pPr>
            <w:pStyle w:val="TOC4"/>
            <w:numPr>
              <w:ilvl w:val="3"/>
              <w:numId w:val="3"/>
            </w:numPr>
            <w:tabs>
              <w:tab w:pos="1761" w:val="left" w:leader="none"/>
              <w:tab w:pos="1762" w:val="left" w:leader="none"/>
              <w:tab w:pos="10293" w:val="right" w:leader="dot"/>
            </w:tabs>
            <w:spacing w:line="240" w:lineRule="auto" w:before="1" w:after="0"/>
            <w:ind w:left="1761" w:right="0" w:hanging="1139"/>
            <w:jc w:val="left"/>
          </w:pPr>
          <w:hyperlink w:history="true" w:anchor="_bookmark112">
            <w:r>
              <w:rPr/>
              <w:t>sheetData</w:t>
            </w:r>
            <w:r>
              <w:rPr>
                <w:spacing w:val="-3"/>
              </w:rPr>
              <w:t> </w:t>
            </w:r>
            <w:r>
              <w:rPr/>
              <w:t>(Sheet</w:t>
            </w:r>
            <w:r>
              <w:rPr>
                <w:spacing w:val="-2"/>
              </w:rPr>
              <w:t> </w:t>
            </w:r>
            <w:r>
              <w:rPr/>
              <w:t>Data)</w:t>
              <w:tab/>
              <w:t>1685</w:t>
            </w:r>
          </w:hyperlink>
        </w:p>
        <w:p>
          <w:pPr>
            <w:pStyle w:val="TOC4"/>
            <w:numPr>
              <w:ilvl w:val="3"/>
              <w:numId w:val="3"/>
            </w:numPr>
            <w:tabs>
              <w:tab w:pos="1761" w:val="left" w:leader="none"/>
              <w:tab w:pos="1762" w:val="left" w:leader="none"/>
              <w:tab w:pos="10293" w:val="right" w:leader="dot"/>
            </w:tabs>
            <w:spacing w:line="267" w:lineRule="exact" w:before="0" w:after="0"/>
            <w:ind w:left="1761" w:right="0" w:hanging="1139"/>
            <w:jc w:val="left"/>
          </w:pPr>
          <w:hyperlink w:history="true" w:anchor="_bookmark113">
            <w:r>
              <w:rPr/>
              <w:t>sheetFormatPr (Sheet</w:t>
            </w:r>
            <w:r>
              <w:rPr>
                <w:spacing w:val="-4"/>
              </w:rPr>
              <w:t> </w:t>
            </w:r>
            <w:r>
              <w:rPr/>
              <w:t>Format</w:t>
            </w:r>
            <w:r>
              <w:rPr>
                <w:spacing w:val="-2"/>
              </w:rPr>
              <w:t> </w:t>
            </w:r>
            <w:r>
              <w:rPr/>
              <w:t>Properties)</w:t>
              <w:tab/>
              <w:t>1685</w:t>
            </w:r>
          </w:hyperlink>
        </w:p>
        <w:p>
          <w:pPr>
            <w:pStyle w:val="TOC4"/>
            <w:numPr>
              <w:ilvl w:val="3"/>
              <w:numId w:val="3"/>
            </w:numPr>
            <w:tabs>
              <w:tab w:pos="1761" w:val="left" w:leader="none"/>
              <w:tab w:pos="1762" w:val="left" w:leader="none"/>
              <w:tab w:pos="10293" w:val="right" w:leader="dot"/>
            </w:tabs>
            <w:spacing w:line="267" w:lineRule="exact" w:before="0" w:after="0"/>
            <w:ind w:left="1761" w:right="0" w:hanging="1139"/>
            <w:jc w:val="left"/>
          </w:pPr>
          <w:hyperlink w:history="true" w:anchor="_bookmark114">
            <w:r>
              <w:rPr/>
              <w:t>sheetPr</w:t>
            </w:r>
            <w:r>
              <w:rPr>
                <w:spacing w:val="-1"/>
              </w:rPr>
              <w:t> </w:t>
            </w:r>
            <w:r>
              <w:rPr/>
              <w:t>(Sheet</w:t>
            </w:r>
            <w:r>
              <w:rPr>
                <w:spacing w:val="-2"/>
              </w:rPr>
              <w:t> </w:t>
            </w:r>
            <w:r>
              <w:rPr/>
              <w:t>Properties)</w:t>
              <w:tab/>
              <w:t>1686</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15">
            <w:r>
              <w:rPr/>
              <w:t>sheetPr (Chart</w:t>
            </w:r>
            <w:r>
              <w:rPr>
                <w:spacing w:val="-1"/>
              </w:rPr>
              <w:t> </w:t>
            </w:r>
            <w:r>
              <w:rPr/>
              <w:t>Sheet</w:t>
            </w:r>
            <w:r>
              <w:rPr>
                <w:spacing w:val="-2"/>
              </w:rPr>
              <w:t> </w:t>
            </w:r>
            <w:r>
              <w:rPr/>
              <w:t>Properties)</w:t>
              <w:tab/>
              <w:t>1688</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16">
            <w:r>
              <w:rPr/>
              <w:t>sheetProtection (Chart</w:t>
            </w:r>
            <w:r>
              <w:rPr>
                <w:spacing w:val="-4"/>
              </w:rPr>
              <w:t> </w:t>
            </w:r>
            <w:r>
              <w:rPr/>
              <w:t>Sheet</w:t>
            </w:r>
            <w:r>
              <w:rPr>
                <w:spacing w:val="-2"/>
              </w:rPr>
              <w:t> </w:t>
            </w:r>
            <w:r>
              <w:rPr/>
              <w:t>Protection)</w:t>
              <w:tab/>
              <w:t>1688</w:t>
            </w:r>
          </w:hyperlink>
        </w:p>
        <w:p>
          <w:pPr>
            <w:pStyle w:val="TOC4"/>
            <w:numPr>
              <w:ilvl w:val="3"/>
              <w:numId w:val="3"/>
            </w:numPr>
            <w:tabs>
              <w:tab w:pos="1761" w:val="left" w:leader="none"/>
              <w:tab w:pos="1762" w:val="left" w:leader="none"/>
              <w:tab w:pos="10293" w:val="right" w:leader="dot"/>
            </w:tabs>
            <w:spacing w:line="240" w:lineRule="auto" w:before="1" w:after="0"/>
            <w:ind w:left="1761" w:right="0" w:hanging="1139"/>
            <w:jc w:val="left"/>
          </w:pPr>
          <w:hyperlink w:history="true" w:anchor="_bookmark117">
            <w:r>
              <w:rPr/>
              <w:t>sheetProtection (Sheet</w:t>
            </w:r>
            <w:r>
              <w:rPr>
                <w:spacing w:val="-6"/>
              </w:rPr>
              <w:t> </w:t>
            </w:r>
            <w:r>
              <w:rPr/>
              <w:t>Protection</w:t>
            </w:r>
            <w:r>
              <w:rPr>
                <w:spacing w:val="-1"/>
              </w:rPr>
              <w:t> </w:t>
            </w:r>
            <w:r>
              <w:rPr/>
              <w:t>Options)</w:t>
              <w:tab/>
              <w:t>1691</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18">
            <w:r>
              <w:rPr/>
              <w:t>sheetView (Chart Sheet View)</w:t>
              <w:tab/>
              <w:t>1697</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19">
            <w:r>
              <w:rPr/>
              <w:t>sheetView (Worksheet View)</w:t>
              <w:tab/>
              <w:t>1698</w:t>
            </w:r>
          </w:hyperlink>
        </w:p>
        <w:p>
          <w:pPr>
            <w:pStyle w:val="TOC4"/>
            <w:numPr>
              <w:ilvl w:val="3"/>
              <w:numId w:val="3"/>
            </w:numPr>
            <w:tabs>
              <w:tab w:pos="1761" w:val="left" w:leader="none"/>
              <w:tab w:pos="1762" w:val="left" w:leader="none"/>
              <w:tab w:pos="10293" w:val="right" w:leader="dot"/>
            </w:tabs>
            <w:spacing w:line="240" w:lineRule="auto" w:before="1" w:after="0"/>
            <w:ind w:left="1761" w:right="0" w:hanging="1139"/>
            <w:jc w:val="left"/>
          </w:pPr>
          <w:hyperlink w:history="true" w:anchor="_bookmark120">
            <w:r>
              <w:rPr/>
              <w:t>sheetViews (Sheet</w:t>
            </w:r>
            <w:r>
              <w:rPr>
                <w:spacing w:val="-2"/>
              </w:rPr>
              <w:t> </w:t>
            </w:r>
            <w:r>
              <w:rPr/>
              <w:t>Views)</w:t>
              <w:tab/>
              <w:t>1702</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21">
            <w:r>
              <w:rPr/>
              <w:t>sheetViews (Chart Sheet Views)</w:t>
              <w:tab/>
              <w:t>1702</w:t>
            </w:r>
          </w:hyperlink>
        </w:p>
        <w:p>
          <w:pPr>
            <w:pStyle w:val="TOC4"/>
            <w:numPr>
              <w:ilvl w:val="3"/>
              <w:numId w:val="3"/>
            </w:numPr>
            <w:tabs>
              <w:tab w:pos="1761" w:val="left" w:leader="none"/>
              <w:tab w:pos="1762" w:val="left" w:leader="none"/>
              <w:tab w:pos="10293" w:val="right" w:leader="dot"/>
            </w:tabs>
            <w:spacing w:line="240" w:lineRule="auto" w:before="1" w:after="0"/>
            <w:ind w:left="1761" w:right="0" w:hanging="1139"/>
            <w:jc w:val="left"/>
          </w:pPr>
          <w:hyperlink w:history="true" w:anchor="_bookmark122">
            <w:r>
              <w:rPr/>
              <w:t>smartTags</w:t>
            </w:r>
            <w:r>
              <w:rPr>
                <w:spacing w:val="-1"/>
              </w:rPr>
              <w:t> </w:t>
            </w:r>
            <w:r>
              <w:rPr/>
              <w:t>(Smart</w:t>
            </w:r>
            <w:r>
              <w:rPr>
                <w:spacing w:val="-3"/>
              </w:rPr>
              <w:t> </w:t>
            </w:r>
            <w:r>
              <w:rPr/>
              <w:t>Tags)</w:t>
              <w:tab/>
              <w:t>1702</w:t>
            </w:r>
          </w:hyperlink>
        </w:p>
        <w:p>
          <w:pPr>
            <w:pStyle w:val="TOC4"/>
            <w:numPr>
              <w:ilvl w:val="3"/>
              <w:numId w:val="3"/>
            </w:numPr>
            <w:tabs>
              <w:tab w:pos="1761" w:val="left" w:leader="none"/>
              <w:tab w:pos="1762" w:val="left" w:leader="none"/>
              <w:tab w:pos="10293" w:val="right" w:leader="dot"/>
            </w:tabs>
            <w:spacing w:line="267" w:lineRule="exact" w:before="0" w:after="0"/>
            <w:ind w:left="1761" w:right="0" w:hanging="1139"/>
            <w:jc w:val="left"/>
          </w:pPr>
          <w:hyperlink w:history="true" w:anchor="_bookmark123">
            <w:r>
              <w:rPr/>
              <w:t>sortCondition</w:t>
            </w:r>
            <w:r>
              <w:rPr>
                <w:spacing w:val="-5"/>
              </w:rPr>
              <w:t> </w:t>
            </w:r>
            <w:r>
              <w:rPr/>
              <w:t>(Sort Condition)</w:t>
              <w:tab/>
              <w:t>1703</w:t>
            </w:r>
          </w:hyperlink>
        </w:p>
        <w:p>
          <w:pPr>
            <w:pStyle w:val="TOC4"/>
            <w:numPr>
              <w:ilvl w:val="3"/>
              <w:numId w:val="3"/>
            </w:numPr>
            <w:tabs>
              <w:tab w:pos="1761" w:val="left" w:leader="none"/>
              <w:tab w:pos="1762" w:val="left" w:leader="none"/>
              <w:tab w:pos="10293" w:val="right" w:leader="dot"/>
            </w:tabs>
            <w:spacing w:line="267" w:lineRule="exact" w:before="0" w:after="0"/>
            <w:ind w:left="1761" w:right="0" w:hanging="1139"/>
            <w:jc w:val="left"/>
          </w:pPr>
          <w:hyperlink w:history="true" w:anchor="_bookmark124">
            <w:r>
              <w:rPr/>
              <w:t>sortState</w:t>
            </w:r>
            <w:r>
              <w:rPr>
                <w:spacing w:val="-3"/>
              </w:rPr>
              <w:t> </w:t>
            </w:r>
            <w:r>
              <w:rPr/>
              <w:t>(Sort</w:t>
            </w:r>
            <w:r>
              <w:rPr>
                <w:spacing w:val="-2"/>
              </w:rPr>
              <w:t> </w:t>
            </w:r>
            <w:r>
              <w:rPr/>
              <w:t>State)</w:t>
              <w:tab/>
              <w:t>1704</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25">
            <w:r>
              <w:rPr/>
              <w:t>tabColor (Sheet</w:t>
            </w:r>
            <w:r>
              <w:rPr>
                <w:spacing w:val="-3"/>
              </w:rPr>
              <w:t> </w:t>
            </w:r>
            <w:r>
              <w:rPr/>
              <w:t>Tab Color)</w:t>
              <w:tab/>
              <w:t>1705</w:t>
            </w:r>
          </w:hyperlink>
        </w:p>
        <w:p>
          <w:pPr>
            <w:pStyle w:val="TOC4"/>
            <w:numPr>
              <w:ilvl w:val="3"/>
              <w:numId w:val="3"/>
            </w:numPr>
            <w:tabs>
              <w:tab w:pos="1761" w:val="left" w:leader="none"/>
              <w:tab w:pos="1762" w:val="left" w:leader="none"/>
              <w:tab w:pos="10293" w:val="right" w:leader="dot"/>
            </w:tabs>
            <w:spacing w:line="240" w:lineRule="auto" w:before="0" w:after="0"/>
            <w:ind w:left="1761" w:right="0" w:hanging="1139"/>
            <w:jc w:val="left"/>
          </w:pPr>
          <w:hyperlink w:history="true" w:anchor="_bookmark126">
            <w:r>
              <w:rPr/>
              <w:t>tablePart (Table</w:t>
            </w:r>
            <w:r>
              <w:rPr>
                <w:spacing w:val="-3"/>
              </w:rPr>
              <w:t> </w:t>
            </w:r>
            <w:r>
              <w:rPr/>
              <w:t>Part)</w:t>
              <w:tab/>
              <w:t>1706</w:t>
            </w:r>
          </w:hyperlink>
        </w:p>
        <w:p>
          <w:pPr>
            <w:pStyle w:val="TOC4"/>
            <w:numPr>
              <w:ilvl w:val="3"/>
              <w:numId w:val="3"/>
            </w:numPr>
            <w:tabs>
              <w:tab w:pos="1761" w:val="left" w:leader="none"/>
              <w:tab w:pos="1762" w:val="left" w:leader="none"/>
              <w:tab w:pos="10293" w:val="right" w:leader="dot"/>
            </w:tabs>
            <w:spacing w:line="240" w:lineRule="auto" w:before="0" w:after="20"/>
            <w:ind w:left="1761" w:right="0" w:hanging="1139"/>
            <w:jc w:val="left"/>
          </w:pPr>
          <w:hyperlink w:history="true" w:anchor="_bookmark127">
            <w:r>
              <w:rPr/>
              <w:t>tableParts (Table</w:t>
            </w:r>
            <w:r>
              <w:rPr>
                <w:spacing w:val="-2"/>
              </w:rPr>
              <w:t> </w:t>
            </w:r>
            <w:r>
              <w:rPr/>
              <w:t>Parts)</w:t>
              <w:tab/>
              <w:t>1707</w:t>
            </w:r>
          </w:hyperlink>
        </w:p>
        <w:p>
          <w:pPr>
            <w:pStyle w:val="TOC4"/>
            <w:numPr>
              <w:ilvl w:val="3"/>
              <w:numId w:val="3"/>
            </w:numPr>
            <w:tabs>
              <w:tab w:pos="1761" w:val="left" w:leader="none"/>
              <w:tab w:pos="1762" w:val="left" w:leader="none"/>
              <w:tab w:pos="9845" w:val="left" w:leader="dot"/>
            </w:tabs>
            <w:spacing w:line="240" w:lineRule="auto" w:before="90" w:after="0"/>
            <w:ind w:left="1761" w:right="0" w:hanging="1139"/>
            <w:jc w:val="left"/>
          </w:pPr>
          <w:hyperlink w:history="true" w:anchor="_bookmark128">
            <w:r>
              <w:rPr/>
              <w:t>v (Cell</w:t>
            </w:r>
            <w:r>
              <w:rPr>
                <w:spacing w:val="-1"/>
              </w:rPr>
              <w:t> </w:t>
            </w:r>
            <w:r>
              <w:rPr/>
              <w:t>Value)</w:t>
              <w:tab/>
              <w:t>1707</w:t>
            </w:r>
          </w:hyperlink>
        </w:p>
        <w:p>
          <w:pPr>
            <w:pStyle w:val="TOC4"/>
            <w:numPr>
              <w:ilvl w:val="3"/>
              <w:numId w:val="3"/>
            </w:numPr>
            <w:tabs>
              <w:tab w:pos="1761" w:val="left" w:leader="none"/>
              <w:tab w:pos="1762" w:val="left" w:leader="none"/>
              <w:tab w:pos="9845" w:val="left" w:leader="dot"/>
            </w:tabs>
            <w:spacing w:line="240" w:lineRule="auto" w:before="1" w:after="0"/>
            <w:ind w:left="1761" w:right="0" w:hanging="1139"/>
            <w:jc w:val="left"/>
          </w:pPr>
          <w:hyperlink w:history="true" w:anchor="_bookmark129">
            <w:r>
              <w:rPr/>
              <w:t>webPublishItem (Web</w:t>
            </w:r>
            <w:r>
              <w:rPr>
                <w:spacing w:val="-5"/>
              </w:rPr>
              <w:t> </w:t>
            </w:r>
            <w:r>
              <w:rPr/>
              <w:t>Publishing</w:t>
            </w:r>
            <w:r>
              <w:rPr>
                <w:spacing w:val="-2"/>
              </w:rPr>
              <w:t> </w:t>
            </w:r>
            <w:r>
              <w:rPr/>
              <w:t>Item)</w:t>
              <w:tab/>
              <w:t>1708</w:t>
            </w:r>
          </w:hyperlink>
        </w:p>
        <w:p>
          <w:pPr>
            <w:pStyle w:val="TOC4"/>
            <w:numPr>
              <w:ilvl w:val="3"/>
              <w:numId w:val="3"/>
            </w:numPr>
            <w:tabs>
              <w:tab w:pos="1761" w:val="left" w:leader="none"/>
              <w:tab w:pos="1762" w:val="left" w:leader="none"/>
              <w:tab w:pos="9845" w:val="left" w:leader="dot"/>
            </w:tabs>
            <w:spacing w:line="240" w:lineRule="auto" w:before="0" w:after="0"/>
            <w:ind w:left="1761" w:right="0" w:hanging="1139"/>
            <w:jc w:val="left"/>
          </w:pPr>
          <w:hyperlink w:history="true" w:anchor="_bookmark130">
            <w:r>
              <w:rPr/>
              <w:t>webPublishItems (Web</w:t>
            </w:r>
            <w:r>
              <w:rPr>
                <w:spacing w:val="-8"/>
              </w:rPr>
              <w:t> </w:t>
            </w:r>
            <w:r>
              <w:rPr/>
              <w:t>Publishing</w:t>
            </w:r>
            <w:r>
              <w:rPr>
                <w:spacing w:val="-3"/>
              </w:rPr>
              <w:t> </w:t>
            </w:r>
            <w:r>
              <w:rPr/>
              <w:t>Items)</w:t>
              <w:tab/>
              <w:t>1709</w:t>
            </w:r>
          </w:hyperlink>
        </w:p>
        <w:p>
          <w:pPr>
            <w:pStyle w:val="TOC4"/>
            <w:numPr>
              <w:ilvl w:val="3"/>
              <w:numId w:val="3"/>
            </w:numPr>
            <w:tabs>
              <w:tab w:pos="1761" w:val="left" w:leader="none"/>
              <w:tab w:pos="1762" w:val="left" w:leader="none"/>
              <w:tab w:pos="9845" w:val="left" w:leader="dot"/>
            </w:tabs>
            <w:spacing w:line="240" w:lineRule="auto" w:before="0" w:after="0"/>
            <w:ind w:left="1761" w:right="0" w:hanging="1139"/>
            <w:jc w:val="left"/>
          </w:pPr>
          <w:hyperlink w:history="true" w:anchor="_bookmark131">
            <w:r>
              <w:rPr/>
              <w:t>worksheet</w:t>
            </w:r>
            <w:r>
              <w:rPr>
                <w:spacing w:val="-4"/>
              </w:rPr>
              <w:t> </w:t>
            </w:r>
            <w:r>
              <w:rPr/>
              <w:t>(Worksheet)</w:t>
              <w:tab/>
              <w:t>1710</w:t>
            </w:r>
          </w:hyperlink>
        </w:p>
        <w:p>
          <w:pPr>
            <w:pStyle w:val="TOC2"/>
            <w:numPr>
              <w:ilvl w:val="2"/>
              <w:numId w:val="1"/>
            </w:numPr>
            <w:tabs>
              <w:tab w:pos="897" w:val="left" w:leader="none"/>
              <w:tab w:pos="898" w:val="left" w:leader="none"/>
              <w:tab w:pos="9424" w:val="left" w:leader="dot"/>
            </w:tabs>
            <w:spacing w:line="267" w:lineRule="exact" w:before="1" w:after="0"/>
            <w:ind w:left="1319" w:right="384" w:hanging="1320"/>
            <w:jc w:val="right"/>
          </w:pPr>
          <w:hyperlink w:history="true" w:anchor="_bookmark132">
            <w:r>
              <w:rPr/>
              <w:t>AutoFilter</w:t>
            </w:r>
            <w:r>
              <w:rPr>
                <w:spacing w:val="-3"/>
              </w:rPr>
              <w:t> </w:t>
            </w:r>
            <w:r>
              <w:rPr/>
              <w:t>Settings</w:t>
              <w:tab/>
            </w:r>
            <w:r>
              <w:rPr>
                <w:spacing w:val="-1"/>
              </w:rPr>
              <w:t>1710</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133">
            <w:r>
              <w:rPr/>
              <w:t>colorFilter (Color</w:t>
            </w:r>
            <w:r>
              <w:rPr>
                <w:spacing w:val="-5"/>
              </w:rPr>
              <w:t> </w:t>
            </w:r>
            <w:r>
              <w:rPr/>
              <w:t>Filter</w:t>
            </w:r>
            <w:r>
              <w:rPr>
                <w:spacing w:val="-1"/>
              </w:rPr>
              <w:t> </w:t>
            </w:r>
            <w:r>
              <w:rPr/>
              <w:t>Criteria)</w:t>
              <w:tab/>
            </w:r>
            <w:r>
              <w:rPr>
                <w:spacing w:val="-1"/>
              </w:rPr>
              <w:t>1710</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34">
            <w:r>
              <w:rPr/>
              <w:t>customFilter (Custom</w:t>
            </w:r>
            <w:r>
              <w:rPr>
                <w:spacing w:val="-7"/>
              </w:rPr>
              <w:t> </w:t>
            </w:r>
            <w:r>
              <w:rPr/>
              <w:t>Filter</w:t>
            </w:r>
            <w:r>
              <w:rPr>
                <w:spacing w:val="-4"/>
              </w:rPr>
              <w:t> </w:t>
            </w:r>
            <w:r>
              <w:rPr/>
              <w:t>Criteria)</w:t>
              <w:tab/>
            </w:r>
            <w:r>
              <w:rPr>
                <w:spacing w:val="-1"/>
              </w:rPr>
              <w:t>1711</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35">
            <w:r>
              <w:rPr/>
              <w:t>customFilters</w:t>
            </w:r>
            <w:r>
              <w:rPr>
                <w:spacing w:val="-3"/>
              </w:rPr>
              <w:t> </w:t>
            </w:r>
            <w:r>
              <w:rPr/>
              <w:t>(Custom</w:t>
            </w:r>
            <w:r>
              <w:rPr>
                <w:spacing w:val="-2"/>
              </w:rPr>
              <w:t> </w:t>
            </w:r>
            <w:r>
              <w:rPr/>
              <w:t>Filters)</w:t>
              <w:tab/>
            </w:r>
            <w:r>
              <w:rPr>
                <w:spacing w:val="-1"/>
              </w:rPr>
              <w:t>1712</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36">
            <w:r>
              <w:rPr/>
              <w:t>dateGroupItem</w:t>
            </w:r>
            <w:r>
              <w:rPr>
                <w:spacing w:val="-2"/>
              </w:rPr>
              <w:t> </w:t>
            </w:r>
            <w:r>
              <w:rPr/>
              <w:t>(Date</w:t>
            </w:r>
            <w:r>
              <w:rPr>
                <w:spacing w:val="-3"/>
              </w:rPr>
              <w:t> </w:t>
            </w:r>
            <w:r>
              <w:rPr/>
              <w:t>Grouping)</w:t>
              <w:tab/>
            </w:r>
            <w:r>
              <w:rPr>
                <w:spacing w:val="-1"/>
              </w:rPr>
              <w:t>1712</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137">
            <w:r>
              <w:rPr/>
              <w:t>dynamicFilter</w:t>
            </w:r>
            <w:r>
              <w:rPr>
                <w:spacing w:val="-3"/>
              </w:rPr>
              <w:t> </w:t>
            </w:r>
            <w:r>
              <w:rPr/>
              <w:t>(Dynamic</w:t>
            </w:r>
            <w:r>
              <w:rPr>
                <w:spacing w:val="-2"/>
              </w:rPr>
              <w:t> </w:t>
            </w:r>
            <w:r>
              <w:rPr/>
              <w:t>Filter)</w:t>
              <w:tab/>
            </w:r>
            <w:r>
              <w:rPr>
                <w:spacing w:val="-1"/>
              </w:rPr>
              <w:t>1713</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38">
            <w:r>
              <w:rPr/>
              <w:t>filter</w:t>
            </w:r>
            <w:r>
              <w:rPr>
                <w:spacing w:val="-2"/>
              </w:rPr>
              <w:t> </w:t>
            </w:r>
            <w:r>
              <w:rPr/>
              <w:t>(Filter)</w:t>
              <w:tab/>
            </w:r>
            <w:r>
              <w:rPr>
                <w:spacing w:val="-1"/>
              </w:rPr>
              <w:t>1714</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39">
            <w:r>
              <w:rPr/>
              <w:t>filterColumn</w:t>
            </w:r>
            <w:r>
              <w:rPr>
                <w:spacing w:val="-4"/>
              </w:rPr>
              <w:t> </w:t>
            </w:r>
            <w:r>
              <w:rPr/>
              <w:t>(AutoFilter</w:t>
            </w:r>
            <w:r>
              <w:rPr>
                <w:spacing w:val="-2"/>
              </w:rPr>
              <w:t> </w:t>
            </w:r>
            <w:r>
              <w:rPr/>
              <w:t>Column)</w:t>
              <w:tab/>
            </w:r>
            <w:r>
              <w:rPr>
                <w:spacing w:val="-1"/>
              </w:rPr>
              <w:t>1715</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40">
            <w:r>
              <w:rPr/>
              <w:t>filters</w:t>
            </w:r>
            <w:r>
              <w:rPr>
                <w:spacing w:val="-2"/>
              </w:rPr>
              <w:t> </w:t>
            </w:r>
            <w:r>
              <w:rPr/>
              <w:t>(Filter</w:t>
            </w:r>
            <w:r>
              <w:rPr>
                <w:spacing w:val="-2"/>
              </w:rPr>
              <w:t> </w:t>
            </w:r>
            <w:r>
              <w:rPr/>
              <w:t>Criteria)</w:t>
              <w:tab/>
            </w:r>
            <w:r>
              <w:rPr>
                <w:spacing w:val="-1"/>
              </w:rPr>
              <w:t>1715</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141">
            <w:r>
              <w:rPr/>
              <w:t>iconFilter</w:t>
            </w:r>
            <w:r>
              <w:rPr>
                <w:spacing w:val="-3"/>
              </w:rPr>
              <w:t> </w:t>
            </w:r>
            <w:r>
              <w:rPr/>
              <w:t>(Icon</w:t>
            </w:r>
            <w:r>
              <w:rPr>
                <w:spacing w:val="-4"/>
              </w:rPr>
              <w:t> </w:t>
            </w:r>
            <w:r>
              <w:rPr/>
              <w:t>Filter)</w:t>
              <w:tab/>
            </w:r>
            <w:r>
              <w:rPr>
                <w:spacing w:val="-1"/>
              </w:rPr>
              <w:t>1716</w:t>
            </w:r>
          </w:hyperlink>
        </w:p>
        <w:p>
          <w:pPr>
            <w:pStyle w:val="TOC2"/>
            <w:tabs>
              <w:tab w:pos="1137" w:val="left" w:leader="none"/>
              <w:tab w:pos="9222" w:val="left" w:leader="dot"/>
            </w:tabs>
            <w:ind w:left="0" w:firstLine="0"/>
          </w:pPr>
          <w:hyperlink w:history="true" w:anchor="_bookmark142">
            <w:r>
              <w:rPr/>
              <w:t>18.3.2.10</w:t>
              <w:tab/>
              <w:t>top10</w:t>
            </w:r>
            <w:r>
              <w:rPr>
                <w:spacing w:val="-1"/>
              </w:rPr>
              <w:t> </w:t>
            </w:r>
            <w:r>
              <w:rPr/>
              <w:t>(Top</w:t>
            </w:r>
            <w:r>
              <w:rPr>
                <w:spacing w:val="-3"/>
              </w:rPr>
              <w:t> </w:t>
            </w:r>
            <w:r>
              <w:rPr/>
              <w:t>10)</w:t>
              <w:tab/>
            </w:r>
            <w:r>
              <w:rPr>
                <w:spacing w:val="-1"/>
              </w:rPr>
              <w:t>1717</w:t>
            </w:r>
          </w:hyperlink>
        </w:p>
        <w:p>
          <w:pPr>
            <w:pStyle w:val="TOC1"/>
            <w:numPr>
              <w:ilvl w:val="1"/>
              <w:numId w:val="1"/>
            </w:numPr>
            <w:tabs>
              <w:tab w:pos="806" w:val="left" w:leader="none"/>
              <w:tab w:pos="807" w:val="left" w:leader="none"/>
              <w:tab w:pos="9625" w:val="left" w:leader="dot"/>
            </w:tabs>
            <w:spacing w:line="240" w:lineRule="auto" w:before="118" w:after="0"/>
            <w:ind w:left="1026" w:right="384" w:hanging="1027"/>
            <w:jc w:val="right"/>
          </w:pPr>
          <w:hyperlink w:history="true" w:anchor="_bookmark143">
            <w:r>
              <w:rPr/>
              <w:t>Shared</w:t>
            </w:r>
            <w:r>
              <w:rPr>
                <w:spacing w:val="-3"/>
              </w:rPr>
              <w:t> </w:t>
            </w:r>
            <w:r>
              <w:rPr/>
              <w:t>String</w:t>
            </w:r>
            <w:r>
              <w:rPr>
                <w:spacing w:val="-3"/>
              </w:rPr>
              <w:t> </w:t>
            </w:r>
            <w:r>
              <w:rPr/>
              <w:t>Table</w:t>
              <w:tab/>
            </w:r>
            <w:r>
              <w:rPr>
                <w:spacing w:val="-1"/>
              </w:rPr>
              <w:t>1717</w:t>
            </w:r>
          </w:hyperlink>
        </w:p>
        <w:p>
          <w:pPr>
            <w:pStyle w:val="TOC2"/>
            <w:numPr>
              <w:ilvl w:val="2"/>
              <w:numId w:val="1"/>
            </w:numPr>
            <w:tabs>
              <w:tab w:pos="897" w:val="left" w:leader="none"/>
              <w:tab w:pos="898" w:val="left" w:leader="none"/>
              <w:tab w:pos="9424" w:val="left" w:leader="dot"/>
            </w:tabs>
            <w:spacing w:line="240" w:lineRule="auto" w:before="41" w:after="0"/>
            <w:ind w:left="1319" w:right="384" w:hanging="1320"/>
            <w:jc w:val="right"/>
          </w:pPr>
          <w:hyperlink w:history="true" w:anchor="_bookmark144">
            <w:r>
              <w:rPr/>
              <w:t>charset</w:t>
            </w:r>
            <w:r>
              <w:rPr>
                <w:spacing w:val="-4"/>
              </w:rPr>
              <w:t> </w:t>
            </w:r>
            <w:r>
              <w:rPr/>
              <w:t>(Character</w:t>
            </w:r>
            <w:r>
              <w:rPr>
                <w:spacing w:val="-1"/>
              </w:rPr>
              <w:t> </w:t>
            </w:r>
            <w:r>
              <w:rPr/>
              <w:t>Set)</w:t>
              <w:tab/>
            </w:r>
            <w:r>
              <w:rPr>
                <w:spacing w:val="-1"/>
              </w:rPr>
              <w:t>1719</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145">
            <w:r>
              <w:rPr/>
              <w:t>outline</w:t>
            </w:r>
            <w:r>
              <w:rPr>
                <w:spacing w:val="-1"/>
              </w:rPr>
              <w:t> </w:t>
            </w:r>
            <w:r>
              <w:rPr/>
              <w:t>(Outline)</w:t>
              <w:tab/>
            </w:r>
            <w:r>
              <w:rPr>
                <w:spacing w:val="-1"/>
              </w:rPr>
              <w:t>1721</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46">
            <w:r>
              <w:rPr/>
              <w:t>phoneticPr</w:t>
            </w:r>
            <w:r>
              <w:rPr>
                <w:spacing w:val="-2"/>
              </w:rPr>
              <w:t> </w:t>
            </w:r>
            <w:r>
              <w:rPr/>
              <w:t>(Phonetic</w:t>
            </w:r>
            <w:r>
              <w:rPr>
                <w:spacing w:val="-3"/>
              </w:rPr>
              <w:t> </w:t>
            </w:r>
            <w:r>
              <w:rPr/>
              <w:t>Properties)</w:t>
              <w:tab/>
            </w:r>
            <w:r>
              <w:rPr>
                <w:spacing w:val="-1"/>
              </w:rPr>
              <w:t>1721</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47">
            <w:r>
              <w:rPr/>
              <w:t>r (Rich</w:t>
            </w:r>
            <w:r>
              <w:rPr>
                <w:spacing w:val="-1"/>
              </w:rPr>
              <w:t> </w:t>
            </w:r>
            <w:r>
              <w:rPr/>
              <w:t>Text</w:t>
            </w:r>
            <w:r>
              <w:rPr>
                <w:spacing w:val="-3"/>
              </w:rPr>
              <w:t> </w:t>
            </w:r>
            <w:r>
              <w:rPr/>
              <w:t>Run)</w:t>
              <w:tab/>
            </w:r>
            <w:r>
              <w:rPr>
                <w:spacing w:val="-1"/>
              </w:rPr>
              <w:t>1722</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48">
            <w:r>
              <w:rPr/>
              <w:t>rFont</w:t>
            </w:r>
            <w:r>
              <w:rPr>
                <w:spacing w:val="-1"/>
              </w:rPr>
              <w:t> </w:t>
            </w:r>
            <w:r>
              <w:rPr/>
              <w:t>(Font)</w:t>
              <w:tab/>
            </w:r>
            <w:r>
              <w:rPr>
                <w:spacing w:val="-1"/>
              </w:rPr>
              <w:t>1722</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149">
            <w:r>
              <w:rPr/>
              <w:t>rPh</w:t>
            </w:r>
            <w:r>
              <w:rPr>
                <w:spacing w:val="-2"/>
              </w:rPr>
              <w:t> </w:t>
            </w:r>
            <w:r>
              <w:rPr/>
              <w:t>(Phonetic Run)</w:t>
              <w:tab/>
            </w:r>
            <w:r>
              <w:rPr>
                <w:spacing w:val="-1"/>
              </w:rPr>
              <w:t>1723</w:t>
            </w:r>
          </w:hyperlink>
        </w:p>
        <w:p>
          <w:pPr>
            <w:pStyle w:val="TOC2"/>
            <w:numPr>
              <w:ilvl w:val="2"/>
              <w:numId w:val="1"/>
            </w:numPr>
            <w:tabs>
              <w:tab w:pos="897" w:val="left" w:leader="none"/>
              <w:tab w:pos="898" w:val="left" w:leader="none"/>
              <w:tab w:pos="9424" w:val="left" w:leader="dot"/>
            </w:tabs>
            <w:spacing w:line="267" w:lineRule="exact" w:before="0" w:after="0"/>
            <w:ind w:left="1319" w:right="384" w:hanging="1320"/>
            <w:jc w:val="right"/>
          </w:pPr>
          <w:hyperlink w:history="true" w:anchor="_bookmark150">
            <w:r>
              <w:rPr/>
              <w:t>rPr</w:t>
            </w:r>
            <w:r>
              <w:rPr>
                <w:spacing w:val="-1"/>
              </w:rPr>
              <w:t> </w:t>
            </w:r>
            <w:r>
              <w:rPr/>
              <w:t>(Run</w:t>
            </w:r>
            <w:r>
              <w:rPr>
                <w:spacing w:val="-4"/>
              </w:rPr>
              <w:t> </w:t>
            </w:r>
            <w:r>
              <w:rPr/>
              <w:t>Properties)</w:t>
              <w:tab/>
            </w:r>
            <w:r>
              <w:rPr>
                <w:spacing w:val="-1"/>
              </w:rPr>
              <w:t>1723</w:t>
            </w:r>
          </w:hyperlink>
        </w:p>
        <w:p>
          <w:pPr>
            <w:pStyle w:val="TOC2"/>
            <w:numPr>
              <w:ilvl w:val="2"/>
              <w:numId w:val="1"/>
            </w:numPr>
            <w:tabs>
              <w:tab w:pos="897" w:val="left" w:leader="none"/>
              <w:tab w:pos="898" w:val="left" w:leader="none"/>
              <w:tab w:pos="9424" w:val="left" w:leader="dot"/>
            </w:tabs>
            <w:spacing w:line="267" w:lineRule="exact" w:before="0" w:after="0"/>
            <w:ind w:left="1319" w:right="384" w:hanging="1320"/>
            <w:jc w:val="right"/>
          </w:pPr>
          <w:hyperlink w:history="true" w:anchor="_bookmark151">
            <w:r>
              <w:rPr/>
              <w:t>si</w:t>
            </w:r>
            <w:r>
              <w:rPr>
                <w:spacing w:val="-2"/>
              </w:rPr>
              <w:t> </w:t>
            </w:r>
            <w:r>
              <w:rPr/>
              <w:t>(String</w:t>
            </w:r>
            <w:r>
              <w:rPr>
                <w:spacing w:val="-2"/>
              </w:rPr>
              <w:t> </w:t>
            </w:r>
            <w:r>
              <w:rPr/>
              <w:t>Item)</w:t>
              <w:tab/>
            </w:r>
            <w:r>
              <w:rPr>
                <w:spacing w:val="-1"/>
              </w:rPr>
              <w:t>1724</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52">
            <w:r>
              <w:rPr/>
              <w:t>sst (Shared</w:t>
            </w:r>
            <w:r>
              <w:rPr>
                <w:spacing w:val="-1"/>
              </w:rPr>
              <w:t> </w:t>
            </w:r>
            <w:r>
              <w:rPr/>
              <w:t>String</w:t>
            </w:r>
            <w:r>
              <w:rPr>
                <w:spacing w:val="-2"/>
              </w:rPr>
              <w:t> </w:t>
            </w:r>
            <w:r>
              <w:rPr/>
              <w:t>Table)</w:t>
              <w:tab/>
            </w:r>
            <w:r>
              <w:rPr>
                <w:spacing w:val="-1"/>
              </w:rPr>
              <w:t>1724</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53">
            <w:r>
              <w:rPr/>
              <w:t>strike</w:t>
            </w:r>
            <w:r>
              <w:rPr>
                <w:spacing w:val="-5"/>
              </w:rPr>
              <w:t> </w:t>
            </w:r>
            <w:r>
              <w:rPr/>
              <w:t>(Strike</w:t>
            </w:r>
            <w:r>
              <w:rPr>
                <w:spacing w:val="-2"/>
              </w:rPr>
              <w:t> </w:t>
            </w:r>
            <w:r>
              <w:rPr/>
              <w:t>Through)</w:t>
              <w:tab/>
            </w:r>
            <w:r>
              <w:rPr>
                <w:spacing w:val="-1"/>
              </w:rPr>
              <w:t>1724</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154">
            <w:r>
              <w:rPr/>
              <w:t>sz</w:t>
            </w:r>
            <w:r>
              <w:rPr>
                <w:spacing w:val="-2"/>
              </w:rPr>
              <w:t> </w:t>
            </w:r>
            <w:r>
              <w:rPr/>
              <w:t>(Font</w:t>
            </w:r>
            <w:r>
              <w:rPr>
                <w:spacing w:val="-1"/>
              </w:rPr>
              <w:t> </w:t>
            </w:r>
            <w:r>
              <w:rPr/>
              <w:t>Size)</w:t>
              <w:tab/>
            </w:r>
            <w:r>
              <w:rPr>
                <w:spacing w:val="-1"/>
              </w:rPr>
              <w:t>1725</w:t>
            </w:r>
          </w:hyperlink>
        </w:p>
        <w:p>
          <w:pPr>
            <w:pStyle w:val="TOC2"/>
            <w:tabs>
              <w:tab w:pos="897" w:val="left" w:leader="none"/>
              <w:tab w:pos="9424" w:val="left" w:leader="dot"/>
            </w:tabs>
            <w:ind w:left="0" w:firstLine="0"/>
          </w:pPr>
          <w:hyperlink w:history="true" w:anchor="_bookmark155">
            <w:r>
              <w:rPr/>
              <w:t>18.4.12</w:t>
              <w:tab/>
              <w:t>t</w:t>
            </w:r>
            <w:r>
              <w:rPr>
                <w:spacing w:val="-1"/>
              </w:rPr>
              <w:t> </w:t>
            </w:r>
            <w:r>
              <w:rPr/>
              <w:t>(Text)</w:t>
              <w:tab/>
            </w:r>
            <w:r>
              <w:rPr>
                <w:spacing w:val="-1"/>
              </w:rPr>
              <w:t>1725</w:t>
            </w:r>
          </w:hyperlink>
        </w:p>
        <w:p>
          <w:pPr>
            <w:pStyle w:val="TOC2"/>
            <w:numPr>
              <w:ilvl w:val="2"/>
              <w:numId w:val="4"/>
            </w:numPr>
            <w:tabs>
              <w:tab w:pos="897" w:val="left" w:leader="none"/>
              <w:tab w:pos="898" w:val="left" w:leader="none"/>
              <w:tab w:pos="9424" w:val="left" w:leader="dot"/>
            </w:tabs>
            <w:spacing w:line="240" w:lineRule="auto" w:before="0" w:after="0"/>
            <w:ind w:left="1319" w:right="384" w:hanging="1320"/>
            <w:jc w:val="right"/>
          </w:pPr>
          <w:hyperlink w:history="true" w:anchor="_bookmark156">
            <w:r>
              <w:rPr/>
              <w:t>u</w:t>
            </w:r>
            <w:r>
              <w:rPr>
                <w:spacing w:val="-1"/>
              </w:rPr>
              <w:t> </w:t>
            </w:r>
            <w:r>
              <w:rPr/>
              <w:t>(Underline)</w:t>
              <w:tab/>
            </w:r>
            <w:r>
              <w:rPr>
                <w:spacing w:val="-1"/>
              </w:rPr>
              <w:t>1726</w:t>
            </w:r>
          </w:hyperlink>
        </w:p>
        <w:p>
          <w:pPr>
            <w:pStyle w:val="TOC2"/>
            <w:numPr>
              <w:ilvl w:val="2"/>
              <w:numId w:val="4"/>
            </w:numPr>
            <w:tabs>
              <w:tab w:pos="897" w:val="left" w:leader="none"/>
              <w:tab w:pos="898" w:val="left" w:leader="none"/>
              <w:tab w:pos="9424" w:val="left" w:leader="dot"/>
            </w:tabs>
            <w:spacing w:line="240" w:lineRule="auto" w:before="1" w:after="0"/>
            <w:ind w:left="1319" w:right="384" w:hanging="1320"/>
            <w:jc w:val="right"/>
          </w:pPr>
          <w:hyperlink w:history="true" w:anchor="_bookmark157">
            <w:r>
              <w:rPr/>
              <w:t>vertAlign</w:t>
            </w:r>
            <w:r>
              <w:rPr>
                <w:spacing w:val="-2"/>
              </w:rPr>
              <w:t> </w:t>
            </w:r>
            <w:r>
              <w:rPr/>
              <w:t>(Vertical</w:t>
            </w:r>
            <w:r>
              <w:rPr>
                <w:spacing w:val="-3"/>
              </w:rPr>
              <w:t> </w:t>
            </w:r>
            <w:r>
              <w:rPr/>
              <w:t>Alignment)</w:t>
              <w:tab/>
            </w:r>
            <w:r>
              <w:rPr>
                <w:spacing w:val="-1"/>
              </w:rPr>
              <w:t>1726</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158">
            <w:r>
              <w:rPr/>
              <w:t>Tables</w:t>
              <w:tab/>
            </w:r>
            <w:r>
              <w:rPr>
                <w:spacing w:val="-1"/>
              </w:rPr>
              <w:t>1726</w:t>
            </w:r>
          </w:hyperlink>
        </w:p>
        <w:p>
          <w:pPr>
            <w:pStyle w:val="TOC2"/>
            <w:numPr>
              <w:ilvl w:val="2"/>
              <w:numId w:val="1"/>
            </w:numPr>
            <w:tabs>
              <w:tab w:pos="897" w:val="left" w:leader="none"/>
              <w:tab w:pos="898" w:val="left" w:leader="none"/>
              <w:tab w:pos="9424" w:val="left" w:leader="dot"/>
            </w:tabs>
            <w:spacing w:line="240" w:lineRule="auto" w:before="39" w:after="0"/>
            <w:ind w:left="1319" w:right="384" w:hanging="1320"/>
            <w:jc w:val="right"/>
          </w:pPr>
          <w:hyperlink w:history="true" w:anchor="_bookmark159">
            <w:r>
              <w:rPr/>
              <w:t>Tables</w:t>
              <w:tab/>
            </w:r>
            <w:r>
              <w:rPr>
                <w:spacing w:val="-1"/>
              </w:rPr>
              <w:t>1727</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60">
            <w:r>
              <w:rPr/>
              <w:t>calculatedColumnFormula (Calculated</w:t>
            </w:r>
            <w:r>
              <w:rPr>
                <w:spacing w:val="-9"/>
              </w:rPr>
              <w:t> </w:t>
            </w:r>
            <w:r>
              <w:rPr/>
              <w:t>Column</w:t>
            </w:r>
            <w:r>
              <w:rPr>
                <w:spacing w:val="-3"/>
              </w:rPr>
              <w:t> </w:t>
            </w:r>
            <w:r>
              <w:rPr/>
              <w:t>Formula)</w:t>
              <w:tab/>
            </w:r>
            <w:r>
              <w:rPr>
                <w:spacing w:val="-1"/>
              </w:rPr>
              <w:t>1728</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61">
            <w:r>
              <w:rPr/>
              <w:t>table (Table)</w:t>
              <w:tab/>
            </w:r>
            <w:r>
              <w:rPr>
                <w:spacing w:val="-1"/>
              </w:rPr>
              <w:t>1728</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62">
            <w:r>
              <w:rPr/>
              <w:t>tableColumn</w:t>
            </w:r>
            <w:r>
              <w:rPr>
                <w:spacing w:val="-3"/>
              </w:rPr>
              <w:t> </w:t>
            </w:r>
            <w:r>
              <w:rPr/>
              <w:t>(Table Column)</w:t>
              <w:tab/>
            </w:r>
            <w:r>
              <w:rPr>
                <w:spacing w:val="-1"/>
              </w:rPr>
              <w:t>1733</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163">
            <w:r>
              <w:rPr/>
              <w:t>tableColumns</w:t>
            </w:r>
            <w:r>
              <w:rPr>
                <w:spacing w:val="-3"/>
              </w:rPr>
              <w:t> </w:t>
            </w:r>
            <w:r>
              <w:rPr/>
              <w:t>(Table</w:t>
            </w:r>
            <w:r>
              <w:rPr>
                <w:spacing w:val="-1"/>
              </w:rPr>
              <w:t> </w:t>
            </w:r>
            <w:r>
              <w:rPr/>
              <w:t>Columns)</w:t>
              <w:tab/>
            </w:r>
            <w:r>
              <w:rPr>
                <w:spacing w:val="-1"/>
              </w:rPr>
              <w:t>1735</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64">
            <w:r>
              <w:rPr/>
              <w:t>tableStyleInfo</w:t>
            </w:r>
            <w:r>
              <w:rPr>
                <w:spacing w:val="-2"/>
              </w:rPr>
              <w:t> </w:t>
            </w:r>
            <w:r>
              <w:rPr/>
              <w:t>(Table</w:t>
            </w:r>
            <w:r>
              <w:rPr>
                <w:spacing w:val="-1"/>
              </w:rPr>
              <w:t> </w:t>
            </w:r>
            <w:r>
              <w:rPr/>
              <w:t>Style)</w:t>
              <w:tab/>
            </w:r>
            <w:r>
              <w:rPr>
                <w:spacing w:val="-1"/>
              </w:rPr>
              <w:t>1736</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65">
            <w:r>
              <w:rPr/>
              <w:t>totalsRowFormula (Totals</w:t>
            </w:r>
            <w:r>
              <w:rPr>
                <w:spacing w:val="-4"/>
              </w:rPr>
              <w:t> </w:t>
            </w:r>
            <w:r>
              <w:rPr/>
              <w:t>Row</w:t>
            </w:r>
            <w:r>
              <w:rPr>
                <w:spacing w:val="-2"/>
              </w:rPr>
              <w:t> </w:t>
            </w:r>
            <w:r>
              <w:rPr/>
              <w:t>Formula)</w:t>
              <w:tab/>
            </w:r>
            <w:r>
              <w:rPr>
                <w:spacing w:val="-1"/>
              </w:rPr>
              <w:t>1737</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66">
            <w:r>
              <w:rPr/>
              <w:t>xmlColumnPr (XML</w:t>
            </w:r>
            <w:r>
              <w:rPr>
                <w:spacing w:val="-3"/>
              </w:rPr>
              <w:t> </w:t>
            </w:r>
            <w:r>
              <w:rPr/>
              <w:t>Column</w:t>
            </w:r>
            <w:r>
              <w:rPr>
                <w:spacing w:val="-5"/>
              </w:rPr>
              <w:t> </w:t>
            </w:r>
            <w:r>
              <w:rPr/>
              <w:t>Properties)</w:t>
              <w:tab/>
            </w:r>
            <w:r>
              <w:rPr>
                <w:spacing w:val="-1"/>
              </w:rPr>
              <w:t>1737</w:t>
            </w:r>
          </w:hyperlink>
        </w:p>
        <w:p>
          <w:pPr>
            <w:pStyle w:val="TOC2"/>
            <w:numPr>
              <w:ilvl w:val="2"/>
              <w:numId w:val="1"/>
            </w:numPr>
            <w:tabs>
              <w:tab w:pos="897" w:val="left" w:leader="none"/>
              <w:tab w:pos="898" w:val="left" w:leader="none"/>
              <w:tab w:pos="9424" w:val="left" w:leader="dot"/>
            </w:tabs>
            <w:spacing w:line="267" w:lineRule="exact" w:before="1" w:after="0"/>
            <w:ind w:left="1319" w:right="384" w:hanging="1320"/>
            <w:jc w:val="right"/>
          </w:pPr>
          <w:hyperlink w:history="true" w:anchor="_bookmark167">
            <w:r>
              <w:rPr/>
              <w:t>Single</w:t>
            </w:r>
            <w:r>
              <w:rPr>
                <w:spacing w:val="-1"/>
              </w:rPr>
              <w:t> </w:t>
            </w:r>
            <w:r>
              <w:rPr/>
              <w:t>Cell</w:t>
            </w:r>
            <w:r>
              <w:rPr>
                <w:spacing w:val="-2"/>
              </w:rPr>
              <w:t> </w:t>
            </w:r>
            <w:r>
              <w:rPr/>
              <w:t>Tables</w:t>
              <w:tab/>
            </w:r>
            <w:r>
              <w:rPr>
                <w:spacing w:val="-1"/>
              </w:rPr>
              <w:t>1739</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168">
            <w:r>
              <w:rPr/>
              <w:t>singleXmlCell</w:t>
            </w:r>
            <w:r>
              <w:rPr>
                <w:spacing w:val="-3"/>
              </w:rPr>
              <w:t> </w:t>
            </w:r>
            <w:r>
              <w:rPr/>
              <w:t>(Table</w:t>
            </w:r>
            <w:r>
              <w:rPr>
                <w:spacing w:val="-5"/>
              </w:rPr>
              <w:t> </w:t>
            </w:r>
            <w:r>
              <w:rPr/>
              <w:t>Properties)</w:t>
              <w:tab/>
            </w:r>
            <w:r>
              <w:rPr>
                <w:spacing w:val="-1"/>
              </w:rPr>
              <w:t>1739</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69">
            <w:r>
              <w:rPr/>
              <w:t>singleXmlCells</w:t>
            </w:r>
            <w:r>
              <w:rPr>
                <w:spacing w:val="-3"/>
              </w:rPr>
              <w:t> </w:t>
            </w:r>
            <w:r>
              <w:rPr/>
              <w:t>(Single</w:t>
            </w:r>
            <w:r>
              <w:rPr>
                <w:spacing w:val="-4"/>
              </w:rPr>
              <w:t> </w:t>
            </w:r>
            <w:r>
              <w:rPr/>
              <w:t>Cells)</w:t>
              <w:tab/>
            </w:r>
            <w:r>
              <w:rPr>
                <w:spacing w:val="-1"/>
              </w:rPr>
              <w:t>1740</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170">
            <w:r>
              <w:rPr/>
              <w:t>xmlCellPr</w:t>
            </w:r>
            <w:r>
              <w:rPr>
                <w:spacing w:val="-4"/>
              </w:rPr>
              <w:t> </w:t>
            </w:r>
            <w:r>
              <w:rPr/>
              <w:t>(Cell</w:t>
            </w:r>
            <w:r>
              <w:rPr>
                <w:spacing w:val="-3"/>
              </w:rPr>
              <w:t> </w:t>
            </w:r>
            <w:r>
              <w:rPr/>
              <w:t>Properties)</w:t>
              <w:tab/>
            </w:r>
            <w:r>
              <w:rPr>
                <w:spacing w:val="-1"/>
              </w:rPr>
              <w:t>1740</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171">
            <w:r>
              <w:rPr/>
              <w:t>xmlPr (Column</w:t>
            </w:r>
            <w:r>
              <w:rPr>
                <w:spacing w:val="-4"/>
              </w:rPr>
              <w:t> </w:t>
            </w:r>
            <w:r>
              <w:rPr/>
              <w:t>XML</w:t>
            </w:r>
            <w:r>
              <w:rPr>
                <w:spacing w:val="-4"/>
              </w:rPr>
              <w:t> </w:t>
            </w:r>
            <w:r>
              <w:rPr/>
              <w:t>Properties)</w:t>
              <w:tab/>
            </w:r>
            <w:r>
              <w:rPr>
                <w:spacing w:val="-1"/>
              </w:rPr>
              <w:t>1741</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172">
            <w:r>
              <w:rPr/>
              <w:t>Calculation</w:t>
            </w:r>
            <w:r>
              <w:rPr>
                <w:spacing w:val="-3"/>
              </w:rPr>
              <w:t> </w:t>
            </w:r>
            <w:r>
              <w:rPr/>
              <w:t>Chain</w:t>
              <w:tab/>
            </w:r>
            <w:r>
              <w:rPr>
                <w:spacing w:val="-1"/>
              </w:rPr>
              <w:t>1742</w:t>
            </w:r>
          </w:hyperlink>
        </w:p>
        <w:p>
          <w:pPr>
            <w:pStyle w:val="TOC2"/>
            <w:tabs>
              <w:tab w:pos="897" w:val="left" w:leader="none"/>
              <w:tab w:pos="9424" w:val="left" w:leader="dot"/>
            </w:tabs>
            <w:spacing w:before="41" w:after="132"/>
            <w:ind w:left="0" w:firstLine="0"/>
          </w:pPr>
          <w:hyperlink w:history="true" w:anchor="_bookmark173">
            <w:r>
              <w:rPr/>
              <w:t>18.6.1</w:t>
              <w:tab/>
              <w:t>c</w:t>
            </w:r>
            <w:r>
              <w:rPr>
                <w:spacing w:val="-2"/>
              </w:rPr>
              <w:t> </w:t>
            </w:r>
            <w:r>
              <w:rPr/>
              <w:t>(Cell)</w:t>
              <w:tab/>
            </w:r>
            <w:r>
              <w:rPr>
                <w:spacing w:val="-1"/>
              </w:rPr>
              <w:t>1744</w:t>
            </w:r>
          </w:hyperlink>
        </w:p>
        <w:p>
          <w:pPr>
            <w:pStyle w:val="TOC2"/>
            <w:tabs>
              <w:tab w:pos="897" w:val="left" w:leader="none"/>
              <w:tab w:pos="9424" w:val="left" w:leader="dot"/>
            </w:tabs>
            <w:spacing w:before="148"/>
            <w:ind w:left="0" w:firstLine="0"/>
          </w:pPr>
          <w:hyperlink w:history="true" w:anchor="_bookmark174">
            <w:r>
              <w:rPr/>
              <w:t>18.6.2</w:t>
              <w:tab/>
              <w:t>calcChain (Calculation</w:t>
            </w:r>
            <w:r>
              <w:rPr>
                <w:spacing w:val="-6"/>
              </w:rPr>
              <w:t> </w:t>
            </w:r>
            <w:r>
              <w:rPr/>
              <w:t>Chain</w:t>
            </w:r>
            <w:r>
              <w:rPr>
                <w:spacing w:val="-2"/>
              </w:rPr>
              <w:t> </w:t>
            </w:r>
            <w:r>
              <w:rPr/>
              <w:t>Info)</w:t>
              <w:tab/>
            </w:r>
            <w:r>
              <w:rPr>
                <w:spacing w:val="-1"/>
              </w:rPr>
              <w:t>1745</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175">
            <w:r>
              <w:rPr/>
              <w:t>Comments</w:t>
              <w:tab/>
            </w:r>
            <w:r>
              <w:rPr>
                <w:spacing w:val="-1"/>
              </w:rPr>
              <w:t>1745</w:t>
            </w:r>
          </w:hyperlink>
        </w:p>
        <w:p>
          <w:pPr>
            <w:pStyle w:val="TOC2"/>
            <w:numPr>
              <w:ilvl w:val="2"/>
              <w:numId w:val="1"/>
            </w:numPr>
            <w:tabs>
              <w:tab w:pos="897" w:val="left" w:leader="none"/>
              <w:tab w:pos="898" w:val="left" w:leader="none"/>
              <w:tab w:pos="9424" w:val="left" w:leader="dot"/>
            </w:tabs>
            <w:spacing w:line="240" w:lineRule="auto" w:before="39" w:after="0"/>
            <w:ind w:left="1319" w:right="384" w:hanging="1320"/>
            <w:jc w:val="right"/>
          </w:pPr>
          <w:hyperlink w:history="true" w:anchor="_bookmark176">
            <w:r>
              <w:rPr/>
              <w:t>author</w:t>
            </w:r>
            <w:r>
              <w:rPr>
                <w:spacing w:val="-1"/>
              </w:rPr>
              <w:t> </w:t>
            </w:r>
            <w:r>
              <w:rPr/>
              <w:t>(Author)</w:t>
              <w:tab/>
            </w:r>
            <w:r>
              <w:rPr>
                <w:spacing w:val="-1"/>
              </w:rPr>
              <w:t>1746</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77">
            <w:r>
              <w:rPr/>
              <w:t>authors</w:t>
            </w:r>
            <w:r>
              <w:rPr>
                <w:spacing w:val="-1"/>
              </w:rPr>
              <w:t> </w:t>
            </w:r>
            <w:r>
              <w:rPr/>
              <w:t>(Authors)</w:t>
              <w:tab/>
            </w:r>
            <w:r>
              <w:rPr>
                <w:spacing w:val="-1"/>
              </w:rPr>
              <w:t>1747</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178">
            <w:r>
              <w:rPr/>
              <w:t>comment</w:t>
            </w:r>
            <w:r>
              <w:rPr>
                <w:spacing w:val="-1"/>
              </w:rPr>
              <w:t> </w:t>
            </w:r>
            <w:r>
              <w:rPr/>
              <w:t>(Comment)</w:t>
              <w:tab/>
            </w:r>
            <w:r>
              <w:rPr>
                <w:spacing w:val="-1"/>
              </w:rPr>
              <w:t>1747</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79">
            <w:r>
              <w:rPr/>
              <w:t>commentList (List</w:t>
            </w:r>
            <w:r>
              <w:rPr>
                <w:spacing w:val="-4"/>
              </w:rPr>
              <w:t> </w:t>
            </w:r>
            <w:r>
              <w:rPr/>
              <w:t>of</w:t>
            </w:r>
            <w:r>
              <w:rPr>
                <w:spacing w:val="-2"/>
              </w:rPr>
              <w:t> </w:t>
            </w:r>
            <w:r>
              <w:rPr/>
              <w:t>Comments)</w:t>
              <w:tab/>
            </w:r>
            <w:r>
              <w:rPr>
                <w:spacing w:val="-1"/>
              </w:rPr>
              <w:t>1748</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80">
            <w:r>
              <w:rPr/>
              <w:t>commentPr</w:t>
            </w:r>
            <w:r>
              <w:rPr>
                <w:spacing w:val="-3"/>
              </w:rPr>
              <w:t> </w:t>
            </w:r>
            <w:r>
              <w:rPr/>
              <w:t>(Comment</w:t>
            </w:r>
            <w:r>
              <w:rPr>
                <w:spacing w:val="-4"/>
              </w:rPr>
              <w:t> </w:t>
            </w:r>
            <w:r>
              <w:rPr/>
              <w:t>Properties)</w:t>
              <w:tab/>
            </w:r>
            <w:r>
              <w:rPr>
                <w:spacing w:val="-1"/>
              </w:rPr>
              <w:t>1748</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181">
            <w:r>
              <w:rPr/>
              <w:t>comments</w:t>
            </w:r>
            <w:r>
              <w:rPr>
                <w:spacing w:val="-4"/>
              </w:rPr>
              <w:t> </w:t>
            </w:r>
            <w:r>
              <w:rPr/>
              <w:t>(Comments)</w:t>
              <w:tab/>
            </w:r>
            <w:r>
              <w:rPr>
                <w:spacing w:val="-1"/>
              </w:rPr>
              <w:t>1752</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182">
            <w:r>
              <w:rPr/>
              <w:t>text</w:t>
            </w:r>
            <w:r>
              <w:rPr>
                <w:spacing w:val="-3"/>
              </w:rPr>
              <w:t> </w:t>
            </w:r>
            <w:r>
              <w:rPr/>
              <w:t>(Comment</w:t>
            </w:r>
            <w:r>
              <w:rPr>
                <w:spacing w:val="-1"/>
              </w:rPr>
              <w:t> </w:t>
            </w:r>
            <w:r>
              <w:rPr/>
              <w:t>Text)</w:t>
              <w:tab/>
            </w:r>
            <w:r>
              <w:rPr>
                <w:spacing w:val="-1"/>
              </w:rPr>
              <w:t>1752</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183">
            <w:r>
              <w:rPr/>
              <w:t>Styles</w:t>
              <w:tab/>
            </w:r>
            <w:r>
              <w:rPr>
                <w:spacing w:val="-1"/>
              </w:rPr>
              <w:t>1752</w:t>
            </w:r>
          </w:hyperlink>
        </w:p>
        <w:p>
          <w:pPr>
            <w:pStyle w:val="TOC2"/>
            <w:numPr>
              <w:ilvl w:val="2"/>
              <w:numId w:val="1"/>
            </w:numPr>
            <w:tabs>
              <w:tab w:pos="897" w:val="left" w:leader="none"/>
              <w:tab w:pos="898" w:val="left" w:leader="none"/>
              <w:tab w:pos="9424" w:val="left" w:leader="dot"/>
            </w:tabs>
            <w:spacing w:line="240" w:lineRule="auto" w:before="38" w:after="0"/>
            <w:ind w:left="1319" w:right="384" w:hanging="1320"/>
            <w:jc w:val="right"/>
          </w:pPr>
          <w:hyperlink w:history="true" w:anchor="_bookmark184">
            <w:r>
              <w:rPr/>
              <w:t>alignment</w:t>
            </w:r>
            <w:r>
              <w:rPr>
                <w:spacing w:val="-2"/>
              </w:rPr>
              <w:t> </w:t>
            </w:r>
            <w:r>
              <w:rPr/>
              <w:t>(Alignment)</w:t>
              <w:tab/>
            </w:r>
            <w:r>
              <w:rPr>
                <w:spacing w:val="-1"/>
              </w:rPr>
              <w:t>1752</w:t>
            </w:r>
          </w:hyperlink>
        </w:p>
        <w:p>
          <w:pPr>
            <w:pStyle w:val="TOC2"/>
            <w:tabs>
              <w:tab w:pos="897" w:val="left" w:leader="none"/>
              <w:tab w:pos="9424" w:val="left" w:leader="dot"/>
            </w:tabs>
            <w:spacing w:before="1"/>
            <w:ind w:left="0" w:firstLine="0"/>
          </w:pPr>
          <w:hyperlink w:history="true" w:anchor="_bookmark185">
            <w:r>
              <w:rPr/>
              <w:t>18.8.2</w:t>
              <w:tab/>
              <w:t>b</w:t>
            </w:r>
            <w:r>
              <w:rPr>
                <w:spacing w:val="-1"/>
              </w:rPr>
              <w:t> </w:t>
            </w:r>
            <w:r>
              <w:rPr/>
              <w:t>(Bold)</w:t>
              <w:tab/>
            </w:r>
            <w:r>
              <w:rPr>
                <w:spacing w:val="-1"/>
              </w:rPr>
              <w:t>1755</w:t>
            </w:r>
          </w:hyperlink>
        </w:p>
        <w:p>
          <w:pPr>
            <w:pStyle w:val="TOC2"/>
            <w:numPr>
              <w:ilvl w:val="2"/>
              <w:numId w:val="5"/>
            </w:numPr>
            <w:tabs>
              <w:tab w:pos="897" w:val="left" w:leader="none"/>
              <w:tab w:pos="898" w:val="left" w:leader="none"/>
              <w:tab w:pos="9424" w:val="left" w:leader="dot"/>
            </w:tabs>
            <w:spacing w:line="240" w:lineRule="auto" w:before="1" w:after="0"/>
            <w:ind w:left="1319" w:right="384" w:hanging="1320"/>
            <w:jc w:val="right"/>
          </w:pPr>
          <w:hyperlink w:history="true" w:anchor="_bookmark186">
            <w:r>
              <w:rPr/>
              <w:t>bgColor</w:t>
            </w:r>
            <w:r>
              <w:rPr>
                <w:spacing w:val="-4"/>
              </w:rPr>
              <w:t> </w:t>
            </w:r>
            <w:r>
              <w:rPr/>
              <w:t>(Background</w:t>
            </w:r>
            <w:r>
              <w:rPr>
                <w:spacing w:val="-3"/>
              </w:rPr>
              <w:t> </w:t>
            </w:r>
            <w:r>
              <w:rPr/>
              <w:t>Color)</w:t>
              <w:tab/>
            </w:r>
            <w:r>
              <w:rPr>
                <w:spacing w:val="-1"/>
              </w:rPr>
              <w:t>1756</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187">
            <w:r>
              <w:rPr/>
              <w:t>border</w:t>
            </w:r>
            <w:r>
              <w:rPr>
                <w:spacing w:val="-1"/>
              </w:rPr>
              <w:t> </w:t>
            </w:r>
            <w:r>
              <w:rPr/>
              <w:t>(Border)</w:t>
              <w:tab/>
            </w:r>
            <w:r>
              <w:rPr>
                <w:spacing w:val="-1"/>
              </w:rPr>
              <w:t>1757</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188">
            <w:r>
              <w:rPr/>
              <w:t>borders</w:t>
            </w:r>
            <w:r>
              <w:rPr>
                <w:spacing w:val="-1"/>
              </w:rPr>
              <w:t> </w:t>
            </w:r>
            <w:r>
              <w:rPr/>
              <w:t>(Borders)</w:t>
              <w:tab/>
            </w:r>
            <w:r>
              <w:rPr>
                <w:spacing w:val="-1"/>
              </w:rPr>
              <w:t>1758</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189">
            <w:r>
              <w:rPr/>
              <w:t>bottom (Bottom Border)</w:t>
              <w:tab/>
            </w:r>
            <w:r>
              <w:rPr>
                <w:spacing w:val="-1"/>
              </w:rPr>
              <w:t>1759</w:t>
            </w:r>
          </w:hyperlink>
        </w:p>
        <w:p>
          <w:pPr>
            <w:pStyle w:val="TOC2"/>
            <w:numPr>
              <w:ilvl w:val="2"/>
              <w:numId w:val="5"/>
            </w:numPr>
            <w:tabs>
              <w:tab w:pos="897" w:val="left" w:leader="none"/>
              <w:tab w:pos="898" w:val="left" w:leader="none"/>
              <w:tab w:pos="9424" w:val="left" w:leader="dot"/>
            </w:tabs>
            <w:spacing w:line="240" w:lineRule="auto" w:before="1" w:after="0"/>
            <w:ind w:left="1319" w:right="384" w:hanging="1320"/>
            <w:jc w:val="right"/>
          </w:pPr>
          <w:hyperlink w:history="true" w:anchor="_bookmark190">
            <w:r>
              <w:rPr/>
              <w:t>cellStyle</w:t>
            </w:r>
            <w:r>
              <w:rPr>
                <w:spacing w:val="-1"/>
              </w:rPr>
              <w:t> </w:t>
            </w:r>
            <w:r>
              <w:rPr/>
              <w:t>(Cell</w:t>
            </w:r>
            <w:r>
              <w:rPr>
                <w:spacing w:val="-2"/>
              </w:rPr>
              <w:t> </w:t>
            </w:r>
            <w:r>
              <w:rPr/>
              <w:t>Style)</w:t>
              <w:tab/>
            </w:r>
            <w:r>
              <w:rPr>
                <w:spacing w:val="-1"/>
              </w:rPr>
              <w:t>1760</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191">
            <w:r>
              <w:rPr/>
              <w:t>cellStyles</w:t>
            </w:r>
            <w:r>
              <w:rPr>
                <w:spacing w:val="-1"/>
              </w:rPr>
              <w:t> </w:t>
            </w:r>
            <w:r>
              <w:rPr/>
              <w:t>(Cell</w:t>
            </w:r>
            <w:r>
              <w:rPr>
                <w:spacing w:val="-1"/>
              </w:rPr>
              <w:t> </w:t>
            </w:r>
            <w:r>
              <w:rPr/>
              <w:t>Styles)</w:t>
              <w:tab/>
            </w:r>
            <w:r>
              <w:rPr>
                <w:spacing w:val="-1"/>
              </w:rPr>
              <w:t>1761</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192">
            <w:r>
              <w:rPr/>
              <w:t>cellStyleXfs</w:t>
            </w:r>
            <w:r>
              <w:rPr>
                <w:spacing w:val="-4"/>
              </w:rPr>
              <w:t> </w:t>
            </w:r>
            <w:r>
              <w:rPr/>
              <w:t>(Formatting</w:t>
            </w:r>
            <w:r>
              <w:rPr>
                <w:spacing w:val="-3"/>
              </w:rPr>
              <w:t> </w:t>
            </w:r>
            <w:r>
              <w:rPr/>
              <w:t>Records)</w:t>
              <w:tab/>
            </w:r>
            <w:r>
              <w:rPr>
                <w:spacing w:val="-1"/>
              </w:rPr>
              <w:t>1762</w:t>
            </w:r>
          </w:hyperlink>
        </w:p>
        <w:p>
          <w:pPr>
            <w:pStyle w:val="TOC2"/>
            <w:numPr>
              <w:ilvl w:val="2"/>
              <w:numId w:val="5"/>
            </w:numPr>
            <w:tabs>
              <w:tab w:pos="897" w:val="left" w:leader="none"/>
              <w:tab w:pos="898" w:val="left" w:leader="none"/>
              <w:tab w:pos="9424" w:val="left" w:leader="dot"/>
            </w:tabs>
            <w:spacing w:line="267" w:lineRule="exact" w:before="0" w:after="0"/>
            <w:ind w:left="1319" w:right="384" w:hanging="1320"/>
            <w:jc w:val="right"/>
          </w:pPr>
          <w:hyperlink w:history="true" w:anchor="_bookmark193">
            <w:r>
              <w:rPr/>
              <w:t>cellXfs</w:t>
            </w:r>
            <w:r>
              <w:rPr>
                <w:spacing w:val="-3"/>
              </w:rPr>
              <w:t> </w:t>
            </w:r>
            <w:r>
              <w:rPr/>
              <w:t>(Cell</w:t>
            </w:r>
            <w:r>
              <w:rPr>
                <w:spacing w:val="-1"/>
              </w:rPr>
              <w:t> </w:t>
            </w:r>
            <w:r>
              <w:rPr/>
              <w:t>Formats)</w:t>
              <w:tab/>
            </w:r>
            <w:r>
              <w:rPr>
                <w:spacing w:val="-1"/>
              </w:rPr>
              <w:t>1763</w:t>
            </w:r>
          </w:hyperlink>
        </w:p>
        <w:p>
          <w:pPr>
            <w:pStyle w:val="TOC2"/>
            <w:numPr>
              <w:ilvl w:val="2"/>
              <w:numId w:val="5"/>
            </w:numPr>
            <w:tabs>
              <w:tab w:pos="897" w:val="left" w:leader="none"/>
              <w:tab w:pos="898" w:val="left" w:leader="none"/>
              <w:tab w:pos="9424" w:val="left" w:leader="dot"/>
            </w:tabs>
            <w:spacing w:line="267" w:lineRule="exact" w:before="0" w:after="0"/>
            <w:ind w:left="1319" w:right="384" w:hanging="1320"/>
            <w:jc w:val="right"/>
          </w:pPr>
          <w:hyperlink w:history="true" w:anchor="_bookmark194">
            <w:r>
              <w:rPr/>
              <w:t>colors</w:t>
            </w:r>
            <w:r>
              <w:rPr>
                <w:spacing w:val="-1"/>
              </w:rPr>
              <w:t> </w:t>
            </w:r>
            <w:r>
              <w:rPr/>
              <w:t>(Colors)</w:t>
              <w:tab/>
            </w:r>
            <w:r>
              <w:rPr>
                <w:spacing w:val="-1"/>
              </w:rPr>
              <w:t>1763</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195">
            <w:r>
              <w:rPr/>
              <w:t>condense</w:t>
            </w:r>
            <w:r>
              <w:rPr>
                <w:spacing w:val="-2"/>
              </w:rPr>
              <w:t> </w:t>
            </w:r>
            <w:r>
              <w:rPr/>
              <w:t>(Condense)</w:t>
              <w:tab/>
              <w:t>1763</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196">
            <w:r>
              <w:rPr/>
              <w:t>diagonal</w:t>
            </w:r>
            <w:r>
              <w:rPr>
                <w:spacing w:val="-1"/>
              </w:rPr>
              <w:t> </w:t>
            </w:r>
            <w:r>
              <w:rPr/>
              <w:t>(Diagonal)</w:t>
              <w:tab/>
              <w:t>1764</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197">
            <w:r>
              <w:rPr/>
              <w:t>dxf</w:t>
            </w:r>
            <w:r>
              <w:rPr>
                <w:spacing w:val="-2"/>
              </w:rPr>
              <w:t> </w:t>
            </w:r>
            <w:r>
              <w:rPr/>
              <w:t>(Formatting)</w:t>
              <w:tab/>
              <w:t>1764</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198">
            <w:r>
              <w:rPr/>
              <w:t>dxfs</w:t>
            </w:r>
            <w:r>
              <w:rPr>
                <w:spacing w:val="-2"/>
              </w:rPr>
              <w:t> </w:t>
            </w:r>
            <w:r>
              <w:rPr/>
              <w:t>(Formats)</w:t>
              <w:tab/>
              <w:t>1764</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199">
            <w:r>
              <w:rPr/>
              <w:t>end (Trailing</w:t>
            </w:r>
            <w:r>
              <w:rPr>
                <w:spacing w:val="-4"/>
              </w:rPr>
              <w:t> </w:t>
            </w:r>
            <w:r>
              <w:rPr/>
              <w:t>Edge</w:t>
            </w:r>
            <w:r>
              <w:rPr>
                <w:spacing w:val="-2"/>
              </w:rPr>
              <w:t> </w:t>
            </w:r>
            <w:r>
              <w:rPr/>
              <w:t>Border)</w:t>
              <w:tab/>
              <w:t>1764</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00">
            <w:r>
              <w:rPr/>
              <w:t>extend</w:t>
            </w:r>
            <w:r>
              <w:rPr>
                <w:spacing w:val="-4"/>
              </w:rPr>
              <w:t> </w:t>
            </w:r>
            <w:r>
              <w:rPr/>
              <w:t>(Extend)</w:t>
              <w:tab/>
              <w:t>1765</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01">
            <w:r>
              <w:rPr/>
              <w:t>family</w:t>
            </w:r>
            <w:r>
              <w:rPr>
                <w:spacing w:val="-3"/>
              </w:rPr>
              <w:t> </w:t>
            </w:r>
            <w:r>
              <w:rPr/>
              <w:t>(Font</w:t>
            </w:r>
            <w:r>
              <w:rPr>
                <w:spacing w:val="-3"/>
              </w:rPr>
              <w:t> </w:t>
            </w:r>
            <w:r>
              <w:rPr/>
              <w:t>Family)</w:t>
              <w:tab/>
              <w:t>1765</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202">
            <w:r>
              <w:rPr/>
              <w:t>fgColor</w:t>
            </w:r>
            <w:r>
              <w:rPr>
                <w:spacing w:val="-4"/>
              </w:rPr>
              <w:t> </w:t>
            </w:r>
            <w:r>
              <w:rPr/>
              <w:t>(Foreground</w:t>
            </w:r>
            <w:r>
              <w:rPr>
                <w:spacing w:val="-2"/>
              </w:rPr>
              <w:t> </w:t>
            </w:r>
            <w:r>
              <w:rPr/>
              <w:t>Color)</w:t>
              <w:tab/>
              <w:t>1765</w:t>
            </w:r>
          </w:hyperlink>
        </w:p>
        <w:p>
          <w:pPr>
            <w:pStyle w:val="TOC3"/>
            <w:numPr>
              <w:ilvl w:val="2"/>
              <w:numId w:val="5"/>
            </w:numPr>
            <w:tabs>
              <w:tab w:pos="1319" w:val="left" w:leader="none"/>
              <w:tab w:pos="1320" w:val="left" w:leader="none"/>
              <w:tab w:pos="9845" w:val="left" w:leader="dot"/>
            </w:tabs>
            <w:spacing w:line="267" w:lineRule="exact" w:before="0" w:after="0"/>
            <w:ind w:left="1319" w:right="0" w:hanging="899"/>
            <w:jc w:val="left"/>
          </w:pPr>
          <w:hyperlink w:history="true" w:anchor="_bookmark203">
            <w:r>
              <w:rPr/>
              <w:t>fill</w:t>
            </w:r>
            <w:r>
              <w:rPr>
                <w:spacing w:val="-2"/>
              </w:rPr>
              <w:t> </w:t>
            </w:r>
            <w:r>
              <w:rPr/>
              <w:t>(Fill)</w:t>
              <w:tab/>
              <w:t>1767</w:t>
            </w:r>
          </w:hyperlink>
        </w:p>
        <w:p>
          <w:pPr>
            <w:pStyle w:val="TOC3"/>
            <w:numPr>
              <w:ilvl w:val="2"/>
              <w:numId w:val="5"/>
            </w:numPr>
            <w:tabs>
              <w:tab w:pos="1319" w:val="left" w:leader="none"/>
              <w:tab w:pos="1320" w:val="left" w:leader="none"/>
              <w:tab w:pos="9845" w:val="left" w:leader="dot"/>
            </w:tabs>
            <w:spacing w:line="267" w:lineRule="exact" w:before="0" w:after="0"/>
            <w:ind w:left="1319" w:right="0" w:hanging="899"/>
            <w:jc w:val="left"/>
          </w:pPr>
          <w:hyperlink w:history="true" w:anchor="_bookmark204">
            <w:r>
              <w:rPr/>
              <w:t>fills</w:t>
            </w:r>
            <w:r>
              <w:rPr>
                <w:spacing w:val="-2"/>
              </w:rPr>
              <w:t> </w:t>
            </w:r>
            <w:r>
              <w:rPr/>
              <w:t>(Fills)</w:t>
              <w:tab/>
              <w:t>1767</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05">
            <w:r>
              <w:rPr/>
              <w:t>font</w:t>
            </w:r>
            <w:r>
              <w:rPr>
                <w:spacing w:val="-1"/>
              </w:rPr>
              <w:t> </w:t>
            </w:r>
            <w:r>
              <w:rPr/>
              <w:t>(Font)</w:t>
              <w:tab/>
              <w:t>1768</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06">
            <w:r>
              <w:rPr/>
              <w:t>fonts (Fonts)</w:t>
              <w:tab/>
              <w:t>1768</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207">
            <w:r>
              <w:rPr/>
              <w:t>gradientFill</w:t>
            </w:r>
            <w:r>
              <w:rPr>
                <w:spacing w:val="-2"/>
              </w:rPr>
              <w:t> </w:t>
            </w:r>
            <w:r>
              <w:rPr/>
              <w:t>(Gradient)</w:t>
              <w:tab/>
              <w:t>1769</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08">
            <w:r>
              <w:rPr/>
              <w:t>horizontal (Horizontal</w:t>
            </w:r>
            <w:r>
              <w:rPr>
                <w:spacing w:val="-4"/>
              </w:rPr>
              <w:t> </w:t>
            </w:r>
            <w:r>
              <w:rPr/>
              <w:t>Inner</w:t>
            </w:r>
            <w:r>
              <w:rPr>
                <w:spacing w:val="-1"/>
              </w:rPr>
              <w:t> </w:t>
            </w:r>
            <w:r>
              <w:rPr/>
              <w:t>Borders)</w:t>
              <w:tab/>
              <w:t>1771</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09">
            <w:r>
              <w:rPr/>
              <w:t>i</w:t>
            </w:r>
            <w:r>
              <w:rPr>
                <w:spacing w:val="-2"/>
              </w:rPr>
              <w:t> </w:t>
            </w:r>
            <w:r>
              <w:rPr/>
              <w:t>(Italic)</w:t>
              <w:tab/>
              <w:t>1772</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10">
            <w:r>
              <w:rPr/>
              <w:t>indexedColors</w:t>
            </w:r>
            <w:r>
              <w:rPr>
                <w:spacing w:val="-3"/>
              </w:rPr>
              <w:t> </w:t>
            </w:r>
            <w:r>
              <w:rPr/>
              <w:t>(Color</w:t>
            </w:r>
            <w:r>
              <w:rPr>
                <w:spacing w:val="-1"/>
              </w:rPr>
              <w:t> </w:t>
            </w:r>
            <w:r>
              <w:rPr/>
              <w:t>Indexes)</w:t>
              <w:tab/>
              <w:t>1772</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211">
            <w:r>
              <w:rPr/>
              <w:t>mruColors</w:t>
            </w:r>
            <w:r>
              <w:rPr>
                <w:spacing w:val="-4"/>
              </w:rPr>
              <w:t> </w:t>
            </w:r>
            <w:r>
              <w:rPr/>
              <w:t>(MRU</w:t>
            </w:r>
            <w:r>
              <w:rPr>
                <w:spacing w:val="-1"/>
              </w:rPr>
              <w:t> </w:t>
            </w:r>
            <w:r>
              <w:rPr/>
              <w:t>Colors)</w:t>
              <w:tab/>
              <w:t>1775</w:t>
            </w:r>
          </w:hyperlink>
        </w:p>
        <w:p>
          <w:pPr>
            <w:pStyle w:val="TOC3"/>
            <w:numPr>
              <w:ilvl w:val="2"/>
              <w:numId w:val="5"/>
            </w:numPr>
            <w:tabs>
              <w:tab w:pos="1319" w:val="left" w:leader="none"/>
              <w:tab w:pos="1320" w:val="left" w:leader="none"/>
              <w:tab w:pos="9845" w:val="left" w:leader="dot"/>
            </w:tabs>
            <w:spacing w:line="267" w:lineRule="exact" w:before="0" w:after="0"/>
            <w:ind w:left="1319" w:right="0" w:hanging="899"/>
            <w:jc w:val="left"/>
          </w:pPr>
          <w:hyperlink w:history="true" w:anchor="_bookmark212">
            <w:r>
              <w:rPr/>
              <w:t>name</w:t>
            </w:r>
            <w:r>
              <w:rPr>
                <w:spacing w:val="-3"/>
              </w:rPr>
              <w:t> </w:t>
            </w:r>
            <w:r>
              <w:rPr/>
              <w:t>(Font</w:t>
            </w:r>
            <w:r>
              <w:rPr>
                <w:spacing w:val="-1"/>
              </w:rPr>
              <w:t> </w:t>
            </w:r>
            <w:r>
              <w:rPr/>
              <w:t>Name)</w:t>
              <w:tab/>
              <w:t>1775</w:t>
            </w:r>
          </w:hyperlink>
        </w:p>
        <w:p>
          <w:pPr>
            <w:pStyle w:val="TOC3"/>
            <w:numPr>
              <w:ilvl w:val="2"/>
              <w:numId w:val="5"/>
            </w:numPr>
            <w:tabs>
              <w:tab w:pos="1319" w:val="left" w:leader="none"/>
              <w:tab w:pos="1320" w:val="left" w:leader="none"/>
              <w:tab w:pos="9845" w:val="left" w:leader="dot"/>
            </w:tabs>
            <w:spacing w:line="267" w:lineRule="exact" w:before="0" w:after="0"/>
            <w:ind w:left="1319" w:right="0" w:hanging="899"/>
            <w:jc w:val="left"/>
          </w:pPr>
          <w:hyperlink w:history="true" w:anchor="_bookmark213">
            <w:r>
              <w:rPr/>
              <w:t>numFmt</w:t>
            </w:r>
            <w:r>
              <w:rPr>
                <w:spacing w:val="-4"/>
              </w:rPr>
              <w:t> </w:t>
            </w:r>
            <w:r>
              <w:rPr/>
              <w:t>(Number</w:t>
            </w:r>
            <w:r>
              <w:rPr>
                <w:spacing w:val="-2"/>
              </w:rPr>
              <w:t> </w:t>
            </w:r>
            <w:r>
              <w:rPr/>
              <w:t>Format)</w:t>
              <w:tab/>
              <w:t>1776</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214">
            <w:r>
              <w:rPr/>
              <w:t>numFmts</w:t>
            </w:r>
            <w:r>
              <w:rPr>
                <w:spacing w:val="-3"/>
              </w:rPr>
              <w:t> </w:t>
            </w:r>
            <w:r>
              <w:rPr/>
              <w:t>(Number</w:t>
            </w:r>
            <w:r>
              <w:rPr>
                <w:spacing w:val="-3"/>
              </w:rPr>
              <w:t> </w:t>
            </w:r>
            <w:r>
              <w:rPr/>
              <w:t>Formats)</w:t>
              <w:tab/>
              <w:t>1783</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15">
            <w:r>
              <w:rPr/>
              <w:t>patternFill</w:t>
            </w:r>
            <w:r>
              <w:rPr>
                <w:spacing w:val="-1"/>
              </w:rPr>
              <w:t> </w:t>
            </w:r>
            <w:r>
              <w:rPr/>
              <w:t>(Pattern)</w:t>
              <w:tab/>
              <w:t>1792</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16">
            <w:r>
              <w:rPr/>
              <w:t>protection</w:t>
            </w:r>
            <w:r>
              <w:rPr>
                <w:spacing w:val="-4"/>
              </w:rPr>
              <w:t> </w:t>
            </w:r>
            <w:r>
              <w:rPr/>
              <w:t>(Protection</w:t>
            </w:r>
            <w:r>
              <w:rPr>
                <w:spacing w:val="-4"/>
              </w:rPr>
              <w:t> </w:t>
            </w:r>
            <w:r>
              <w:rPr/>
              <w:t>Properties)</w:t>
              <w:tab/>
              <w:t>1792</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17">
            <w:r>
              <w:rPr/>
              <w:t>rgbColor</w:t>
            </w:r>
            <w:r>
              <w:rPr>
                <w:spacing w:val="-3"/>
              </w:rPr>
              <w:t> </w:t>
            </w:r>
            <w:r>
              <w:rPr/>
              <w:t>(RGB</w:t>
            </w:r>
            <w:r>
              <w:rPr>
                <w:spacing w:val="-3"/>
              </w:rPr>
              <w:t> </w:t>
            </w:r>
            <w:r>
              <w:rPr/>
              <w:t>Color)</w:t>
              <w:tab/>
              <w:t>1793</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218">
            <w:r>
              <w:rPr/>
              <w:t>scheme</w:t>
            </w:r>
            <w:r>
              <w:rPr>
                <w:spacing w:val="-2"/>
              </w:rPr>
              <w:t> </w:t>
            </w:r>
            <w:r>
              <w:rPr/>
              <w:t>(Scheme)</w:t>
              <w:tab/>
              <w:t>1793</w:t>
            </w:r>
          </w:hyperlink>
        </w:p>
        <w:p>
          <w:pPr>
            <w:pStyle w:val="TOC3"/>
            <w:numPr>
              <w:ilvl w:val="2"/>
              <w:numId w:val="5"/>
            </w:numPr>
            <w:tabs>
              <w:tab w:pos="1319" w:val="left" w:leader="none"/>
              <w:tab w:pos="1320" w:val="left" w:leader="none"/>
              <w:tab w:pos="9845" w:val="left" w:leader="dot"/>
            </w:tabs>
            <w:spacing w:line="240" w:lineRule="auto" w:before="0" w:after="236"/>
            <w:ind w:left="1319" w:right="0" w:hanging="899"/>
            <w:jc w:val="left"/>
          </w:pPr>
          <w:hyperlink w:history="true" w:anchor="_bookmark219">
            <w:r>
              <w:rPr/>
              <w:t>shadow</w:t>
            </w:r>
            <w:r>
              <w:rPr>
                <w:spacing w:val="-3"/>
              </w:rPr>
              <w:t> </w:t>
            </w:r>
            <w:r>
              <w:rPr/>
              <w:t>(Shadow)</w:t>
              <w:tab/>
              <w:t>1794</w:t>
            </w:r>
          </w:hyperlink>
        </w:p>
        <w:p>
          <w:pPr>
            <w:pStyle w:val="TOC3"/>
            <w:numPr>
              <w:ilvl w:val="2"/>
              <w:numId w:val="5"/>
            </w:numPr>
            <w:tabs>
              <w:tab w:pos="1319" w:val="left" w:leader="none"/>
              <w:tab w:pos="1320" w:val="left" w:leader="none"/>
              <w:tab w:pos="9845" w:val="left" w:leader="dot"/>
            </w:tabs>
            <w:spacing w:line="240" w:lineRule="auto" w:before="90" w:after="0"/>
            <w:ind w:left="1319" w:right="0" w:hanging="899"/>
            <w:jc w:val="left"/>
          </w:pPr>
          <w:hyperlink w:history="true" w:anchor="_bookmark220">
            <w:r>
              <w:rPr/>
              <w:t>start (Leading</w:t>
            </w:r>
            <w:r>
              <w:rPr>
                <w:spacing w:val="-2"/>
              </w:rPr>
              <w:t> </w:t>
            </w:r>
            <w:r>
              <w:rPr/>
              <w:t>Edge</w:t>
            </w:r>
            <w:r>
              <w:rPr>
                <w:spacing w:val="-3"/>
              </w:rPr>
              <w:t> </w:t>
            </w:r>
            <w:r>
              <w:rPr/>
              <w:t>Border)</w:t>
              <w:tab/>
              <w:t>1794</w:t>
            </w:r>
          </w:hyperlink>
        </w:p>
        <w:p>
          <w:pPr>
            <w:pStyle w:val="TOC3"/>
            <w:numPr>
              <w:ilvl w:val="2"/>
              <w:numId w:val="5"/>
            </w:numPr>
            <w:tabs>
              <w:tab w:pos="1319" w:val="left" w:leader="none"/>
              <w:tab w:pos="1320" w:val="left" w:leader="none"/>
              <w:tab w:pos="9845" w:val="left" w:leader="dot"/>
            </w:tabs>
            <w:spacing w:line="240" w:lineRule="auto" w:before="1" w:after="0"/>
            <w:ind w:left="1319" w:right="0" w:hanging="899"/>
            <w:jc w:val="left"/>
          </w:pPr>
          <w:hyperlink w:history="true" w:anchor="_bookmark221">
            <w:r>
              <w:rPr/>
              <w:t>stop</w:t>
            </w:r>
            <w:r>
              <w:rPr>
                <w:spacing w:val="-2"/>
              </w:rPr>
              <w:t> </w:t>
            </w:r>
            <w:r>
              <w:rPr/>
              <w:t>(Gradient</w:t>
            </w:r>
            <w:r>
              <w:rPr>
                <w:spacing w:val="-1"/>
              </w:rPr>
              <w:t> </w:t>
            </w:r>
            <w:r>
              <w:rPr/>
              <w:t>Stop)</w:t>
              <w:tab/>
              <w:t>1794</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22">
            <w:r>
              <w:rPr/>
              <w:t>styleSheet</w:t>
            </w:r>
            <w:r>
              <w:rPr>
                <w:spacing w:val="-4"/>
              </w:rPr>
              <w:t> </w:t>
            </w:r>
            <w:r>
              <w:rPr/>
              <w:t>(Style</w:t>
            </w:r>
            <w:r>
              <w:rPr>
                <w:spacing w:val="-1"/>
              </w:rPr>
              <w:t> </w:t>
            </w:r>
            <w:r>
              <w:rPr/>
              <w:t>Sheet)</w:t>
              <w:tab/>
              <w:t>1795</w:t>
            </w:r>
          </w:hyperlink>
        </w:p>
        <w:p>
          <w:pPr>
            <w:pStyle w:val="TOC3"/>
            <w:numPr>
              <w:ilvl w:val="2"/>
              <w:numId w:val="5"/>
            </w:numPr>
            <w:tabs>
              <w:tab w:pos="1319" w:val="left" w:leader="none"/>
              <w:tab w:pos="1320" w:val="left" w:leader="none"/>
              <w:tab w:pos="9845" w:val="left" w:leader="dot"/>
            </w:tabs>
            <w:spacing w:line="240" w:lineRule="auto" w:before="0" w:after="0"/>
            <w:ind w:left="1319" w:right="0" w:hanging="899"/>
            <w:jc w:val="left"/>
          </w:pPr>
          <w:hyperlink w:history="true" w:anchor="_bookmark223">
            <w:r>
              <w:rPr/>
              <w:t>tableStyle</w:t>
            </w:r>
            <w:r>
              <w:rPr>
                <w:spacing w:val="-1"/>
              </w:rPr>
              <w:t> </w:t>
            </w:r>
            <w:r>
              <w:rPr/>
              <w:t>(Table Style)</w:t>
              <w:tab/>
              <w:t>1795</w:t>
            </w:r>
          </w:hyperlink>
        </w:p>
        <w:p>
          <w:pPr>
            <w:pStyle w:val="TOC3"/>
            <w:numPr>
              <w:ilvl w:val="2"/>
              <w:numId w:val="5"/>
            </w:numPr>
            <w:tabs>
              <w:tab w:pos="1319" w:val="left" w:leader="none"/>
              <w:tab w:pos="1320" w:val="left" w:leader="none"/>
              <w:tab w:pos="9845" w:val="left" w:leader="dot"/>
            </w:tabs>
            <w:spacing w:line="267" w:lineRule="exact" w:before="1" w:after="0"/>
            <w:ind w:left="1319" w:right="0" w:hanging="899"/>
            <w:jc w:val="left"/>
          </w:pPr>
          <w:hyperlink w:history="true" w:anchor="_bookmark224">
            <w:r>
              <w:rPr/>
              <w:t>tableStyleElement</w:t>
            </w:r>
            <w:r>
              <w:rPr>
                <w:spacing w:val="-4"/>
              </w:rPr>
              <w:t> </w:t>
            </w:r>
            <w:r>
              <w:rPr/>
              <w:t>(Table</w:t>
            </w:r>
            <w:r>
              <w:rPr>
                <w:spacing w:val="-1"/>
              </w:rPr>
              <w:t> </w:t>
            </w:r>
            <w:r>
              <w:rPr/>
              <w:t>Style)</w:t>
              <w:tab/>
              <w:t>1796</w:t>
            </w:r>
          </w:hyperlink>
        </w:p>
        <w:p>
          <w:pPr>
            <w:pStyle w:val="TOC3"/>
            <w:numPr>
              <w:ilvl w:val="2"/>
              <w:numId w:val="5"/>
            </w:numPr>
            <w:tabs>
              <w:tab w:pos="1319" w:val="left" w:leader="none"/>
              <w:tab w:pos="1320" w:val="left" w:leader="none"/>
              <w:tab w:pos="9845" w:val="left" w:leader="dot"/>
            </w:tabs>
            <w:spacing w:line="267" w:lineRule="exact" w:before="0" w:after="0"/>
            <w:ind w:left="1319" w:right="0" w:hanging="899"/>
            <w:jc w:val="left"/>
          </w:pPr>
          <w:hyperlink w:history="true" w:anchor="_bookmark225">
            <w:r>
              <w:rPr/>
              <w:t>tableStyles</w:t>
            </w:r>
            <w:r>
              <w:rPr>
                <w:spacing w:val="-1"/>
              </w:rPr>
              <w:t> </w:t>
            </w:r>
            <w:r>
              <w:rPr/>
              <w:t>(Table</w:t>
            </w:r>
            <w:r>
              <w:rPr>
                <w:spacing w:val="-1"/>
              </w:rPr>
              <w:t> </w:t>
            </w:r>
            <w:r>
              <w:rPr/>
              <w:t>Styles)</w:t>
              <w:tab/>
              <w:t>1798</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226">
            <w:r>
              <w:rPr/>
              <w:t>top</w:t>
            </w:r>
            <w:r>
              <w:rPr>
                <w:spacing w:val="-2"/>
              </w:rPr>
              <w:t> </w:t>
            </w:r>
            <w:r>
              <w:rPr/>
              <w:t>(Top</w:t>
            </w:r>
            <w:r>
              <w:rPr>
                <w:spacing w:val="-1"/>
              </w:rPr>
              <w:t> </w:t>
            </w:r>
            <w:r>
              <w:rPr/>
              <w:t>Border)</w:t>
              <w:tab/>
            </w:r>
            <w:r>
              <w:rPr>
                <w:spacing w:val="-1"/>
              </w:rPr>
              <w:t>1799</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227">
            <w:r>
              <w:rPr/>
              <w:t>vertical (Vertical</w:t>
            </w:r>
            <w:r>
              <w:rPr>
                <w:spacing w:val="-2"/>
              </w:rPr>
              <w:t> </w:t>
            </w:r>
            <w:r>
              <w:rPr/>
              <w:t>Inner</w:t>
            </w:r>
            <w:r>
              <w:rPr>
                <w:spacing w:val="-3"/>
              </w:rPr>
              <w:t> </w:t>
            </w:r>
            <w:r>
              <w:rPr/>
              <w:t>Border)</w:t>
              <w:tab/>
            </w:r>
            <w:r>
              <w:rPr>
                <w:spacing w:val="-1"/>
              </w:rPr>
              <w:t>1799</w:t>
            </w:r>
          </w:hyperlink>
        </w:p>
        <w:p>
          <w:pPr>
            <w:pStyle w:val="TOC2"/>
            <w:numPr>
              <w:ilvl w:val="2"/>
              <w:numId w:val="5"/>
            </w:numPr>
            <w:tabs>
              <w:tab w:pos="897" w:val="left" w:leader="none"/>
              <w:tab w:pos="898" w:val="left" w:leader="none"/>
              <w:tab w:pos="9424" w:val="left" w:leader="dot"/>
            </w:tabs>
            <w:spacing w:line="240" w:lineRule="auto" w:before="0" w:after="0"/>
            <w:ind w:left="1319" w:right="384" w:hanging="1320"/>
            <w:jc w:val="right"/>
          </w:pPr>
          <w:hyperlink w:history="true" w:anchor="_bookmark228">
            <w:r>
              <w:rPr/>
              <w:t>xf</w:t>
            </w:r>
            <w:r>
              <w:rPr>
                <w:spacing w:val="-2"/>
              </w:rPr>
              <w:t> </w:t>
            </w:r>
            <w:r>
              <w:rPr/>
              <w:t>(Format)</w:t>
              <w:tab/>
            </w:r>
            <w:r>
              <w:rPr>
                <w:spacing w:val="-1"/>
              </w:rPr>
              <w:t>1799</w:t>
            </w:r>
          </w:hyperlink>
        </w:p>
        <w:p>
          <w:pPr>
            <w:pStyle w:val="TOC1"/>
            <w:numPr>
              <w:ilvl w:val="1"/>
              <w:numId w:val="1"/>
            </w:numPr>
            <w:tabs>
              <w:tab w:pos="806" w:val="left" w:leader="none"/>
              <w:tab w:pos="807" w:val="left" w:leader="none"/>
              <w:tab w:pos="9625" w:val="left" w:leader="dot"/>
            </w:tabs>
            <w:spacing w:line="240" w:lineRule="auto" w:before="121" w:after="0"/>
            <w:ind w:left="1026" w:right="384" w:hanging="1027"/>
            <w:jc w:val="right"/>
          </w:pPr>
          <w:hyperlink w:history="true" w:anchor="_bookmark229">
            <w:r>
              <w:rPr/>
              <w:t>Metadata</w:t>
              <w:tab/>
            </w:r>
            <w:r>
              <w:rPr>
                <w:spacing w:val="-1"/>
              </w:rPr>
              <w:t>1801</w:t>
            </w:r>
          </w:hyperlink>
        </w:p>
        <w:p>
          <w:pPr>
            <w:pStyle w:val="TOC2"/>
            <w:numPr>
              <w:ilvl w:val="2"/>
              <w:numId w:val="1"/>
            </w:numPr>
            <w:tabs>
              <w:tab w:pos="897" w:val="left" w:leader="none"/>
              <w:tab w:pos="898" w:val="left" w:leader="none"/>
              <w:tab w:pos="9424" w:val="left" w:leader="dot"/>
            </w:tabs>
            <w:spacing w:line="240" w:lineRule="auto" w:before="41" w:after="0"/>
            <w:ind w:left="1319" w:right="384" w:hanging="1320"/>
            <w:jc w:val="right"/>
          </w:pPr>
          <w:hyperlink w:history="true" w:anchor="_bookmark230">
            <w:r>
              <w:rPr/>
              <w:t>bk (Metadata</w:t>
            </w:r>
            <w:r>
              <w:rPr>
                <w:spacing w:val="-3"/>
              </w:rPr>
              <w:t> </w:t>
            </w:r>
            <w:r>
              <w:rPr/>
              <w:t>Block)</w:t>
              <w:tab/>
            </w:r>
            <w:r>
              <w:rPr>
                <w:spacing w:val="-1"/>
              </w:rPr>
              <w:t>1802</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231">
            <w:r>
              <w:rPr/>
              <w:t>bk (Future</w:t>
            </w:r>
            <w:r>
              <w:rPr>
                <w:spacing w:val="-2"/>
              </w:rPr>
              <w:t> </w:t>
            </w:r>
            <w:r>
              <w:rPr/>
              <w:t>Metadata</w:t>
            </w:r>
            <w:r>
              <w:rPr>
                <w:spacing w:val="-1"/>
              </w:rPr>
              <w:t> </w:t>
            </w:r>
            <w:r>
              <w:rPr/>
              <w:t>Block)</w:t>
              <w:tab/>
            </w:r>
            <w:r>
              <w:rPr>
                <w:spacing w:val="-1"/>
              </w:rPr>
              <w:t>1803</w:t>
            </w:r>
          </w:hyperlink>
        </w:p>
        <w:p>
          <w:pPr>
            <w:pStyle w:val="TOC2"/>
            <w:numPr>
              <w:ilvl w:val="2"/>
              <w:numId w:val="1"/>
            </w:numPr>
            <w:tabs>
              <w:tab w:pos="897" w:val="left" w:leader="none"/>
              <w:tab w:pos="898" w:val="left" w:leader="none"/>
              <w:tab w:pos="9424" w:val="left" w:leader="dot"/>
            </w:tabs>
            <w:spacing w:line="268" w:lineRule="exact" w:before="0" w:after="0"/>
            <w:ind w:left="1319" w:right="384" w:hanging="1320"/>
            <w:jc w:val="right"/>
          </w:pPr>
          <w:hyperlink w:history="true" w:anchor="_bookmark232">
            <w:r>
              <w:rPr/>
              <w:t>cellMetadata</w:t>
            </w:r>
            <w:r>
              <w:rPr>
                <w:spacing w:val="-4"/>
              </w:rPr>
              <w:t> </w:t>
            </w:r>
            <w:r>
              <w:rPr/>
              <w:t>(Cell</w:t>
            </w:r>
            <w:r>
              <w:rPr>
                <w:spacing w:val="-3"/>
              </w:rPr>
              <w:t> </w:t>
            </w:r>
            <w:r>
              <w:rPr/>
              <w:t>Metadata)</w:t>
              <w:tab/>
            </w:r>
            <w:r>
              <w:rPr>
                <w:spacing w:val="-1"/>
              </w:rPr>
              <w:t>1803</w:t>
            </w:r>
          </w:hyperlink>
        </w:p>
        <w:p>
          <w:pPr>
            <w:pStyle w:val="TOC2"/>
            <w:numPr>
              <w:ilvl w:val="2"/>
              <w:numId w:val="1"/>
            </w:numPr>
            <w:tabs>
              <w:tab w:pos="897" w:val="left" w:leader="none"/>
              <w:tab w:pos="898" w:val="left" w:leader="none"/>
              <w:tab w:pos="9424" w:val="left" w:leader="dot"/>
            </w:tabs>
            <w:spacing w:line="268" w:lineRule="exact" w:before="0" w:after="0"/>
            <w:ind w:left="1319" w:right="384" w:hanging="1320"/>
            <w:jc w:val="right"/>
          </w:pPr>
          <w:hyperlink w:history="true" w:anchor="_bookmark233">
            <w:r>
              <w:rPr/>
              <w:t>futureMetadata</w:t>
            </w:r>
            <w:r>
              <w:rPr>
                <w:spacing w:val="-3"/>
              </w:rPr>
              <w:t> </w:t>
            </w:r>
            <w:r>
              <w:rPr/>
              <w:t>(Future</w:t>
            </w:r>
            <w:r>
              <w:rPr>
                <w:spacing w:val="-2"/>
              </w:rPr>
              <w:t> </w:t>
            </w:r>
            <w:r>
              <w:rPr/>
              <w:t>Metadata)</w:t>
              <w:tab/>
            </w:r>
            <w:r>
              <w:rPr>
                <w:spacing w:val="-1"/>
              </w:rPr>
              <w:t>1803</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234">
            <w:r>
              <w:rPr/>
              <w:t>k (KPI</w:t>
            </w:r>
            <w:r>
              <w:rPr>
                <w:spacing w:val="-3"/>
              </w:rPr>
              <w:t> </w:t>
            </w:r>
            <w:r>
              <w:rPr/>
              <w:t>MDX</w:t>
            </w:r>
            <w:r>
              <w:rPr>
                <w:spacing w:val="-3"/>
              </w:rPr>
              <w:t> </w:t>
            </w:r>
            <w:r>
              <w:rPr/>
              <w:t>Metadata)</w:t>
              <w:tab/>
              <w:t>1804</w:t>
            </w:r>
          </w:hyperlink>
        </w:p>
        <w:p>
          <w:pPr>
            <w:pStyle w:val="TOC3"/>
            <w:numPr>
              <w:ilvl w:val="2"/>
              <w:numId w:val="1"/>
            </w:numPr>
            <w:tabs>
              <w:tab w:pos="1319" w:val="left" w:leader="none"/>
              <w:tab w:pos="1320" w:val="left" w:leader="none"/>
              <w:tab w:pos="9845" w:val="left" w:leader="dot"/>
            </w:tabs>
            <w:spacing w:line="240" w:lineRule="auto" w:before="1" w:after="0"/>
            <w:ind w:left="1319" w:right="0" w:hanging="899"/>
            <w:jc w:val="left"/>
          </w:pPr>
          <w:hyperlink w:history="true" w:anchor="_bookmark235">
            <w:r>
              <w:rPr/>
              <w:t>mdx (MDX</w:t>
            </w:r>
            <w:r>
              <w:rPr>
                <w:spacing w:val="-5"/>
              </w:rPr>
              <w:t> </w:t>
            </w:r>
            <w:r>
              <w:rPr/>
              <w:t>Metadata</w:t>
            </w:r>
            <w:r>
              <w:rPr>
                <w:spacing w:val="-1"/>
              </w:rPr>
              <w:t> </w:t>
            </w:r>
            <w:r>
              <w:rPr/>
              <w:t>Record)</w:t>
              <w:tab/>
              <w:t>1804</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236">
            <w:r>
              <w:rPr/>
              <w:t>mdxMetadata (MDX</w:t>
            </w:r>
            <w:r>
              <w:rPr>
                <w:spacing w:val="-6"/>
              </w:rPr>
              <w:t> </w:t>
            </w:r>
            <w:r>
              <w:rPr/>
              <w:t>Metadata</w:t>
            </w:r>
            <w:r>
              <w:rPr>
                <w:spacing w:val="-1"/>
              </w:rPr>
              <w:t> </w:t>
            </w:r>
            <w:r>
              <w:rPr/>
              <w:t>Information)</w:t>
              <w:tab/>
              <w:t>1805</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237">
            <w:r>
              <w:rPr/>
              <w:t>metadata</w:t>
            </w:r>
            <w:r>
              <w:rPr>
                <w:spacing w:val="-1"/>
              </w:rPr>
              <w:t> </w:t>
            </w:r>
            <w:r>
              <w:rPr/>
              <w:t>(Metadata)</w:t>
              <w:tab/>
              <w:t>1805</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238">
            <w:r>
              <w:rPr/>
              <w:t>metadataStrings (Metadata</w:t>
            </w:r>
            <w:r>
              <w:rPr>
                <w:spacing w:val="-4"/>
              </w:rPr>
              <w:t> </w:t>
            </w:r>
            <w:r>
              <w:rPr/>
              <w:t>String</w:t>
            </w:r>
            <w:r>
              <w:rPr>
                <w:spacing w:val="-3"/>
              </w:rPr>
              <w:t> </w:t>
            </w:r>
            <w:r>
              <w:rPr/>
              <w:t>Store)</w:t>
              <w:tab/>
              <w:t>1805</w:t>
            </w:r>
          </w:hyperlink>
        </w:p>
        <w:p>
          <w:pPr>
            <w:pStyle w:val="TOC3"/>
            <w:numPr>
              <w:ilvl w:val="2"/>
              <w:numId w:val="1"/>
            </w:numPr>
            <w:tabs>
              <w:tab w:pos="1319" w:val="left" w:leader="none"/>
              <w:tab w:pos="1320" w:val="left" w:leader="none"/>
              <w:tab w:pos="9845" w:val="left" w:leader="dot"/>
            </w:tabs>
            <w:spacing w:line="240" w:lineRule="auto" w:before="1" w:after="0"/>
            <w:ind w:left="1319" w:right="0" w:hanging="899"/>
            <w:jc w:val="left"/>
          </w:pPr>
          <w:hyperlink w:history="true" w:anchor="_bookmark239">
            <w:r>
              <w:rPr/>
              <w:t>metadataType (Metadata</w:t>
            </w:r>
            <w:r>
              <w:rPr>
                <w:spacing w:val="-6"/>
              </w:rPr>
              <w:t> </w:t>
            </w:r>
            <w:r>
              <w:rPr/>
              <w:t>Type</w:t>
            </w:r>
            <w:r>
              <w:rPr>
                <w:spacing w:val="-1"/>
              </w:rPr>
              <w:t> </w:t>
            </w:r>
            <w:r>
              <w:rPr/>
              <w:t>Information)</w:t>
              <w:tab/>
              <w:t>1806</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240">
            <w:r>
              <w:rPr/>
              <w:t>metadataTypes (Metadata</w:t>
            </w:r>
            <w:r>
              <w:rPr>
                <w:spacing w:val="-5"/>
              </w:rPr>
              <w:t> </w:t>
            </w:r>
            <w:r>
              <w:rPr/>
              <w:t>Types</w:t>
            </w:r>
            <w:r>
              <w:rPr>
                <w:spacing w:val="-2"/>
              </w:rPr>
              <w:t> </w:t>
            </w:r>
            <w:r>
              <w:rPr/>
              <w:t>Collection)</w:t>
              <w:tab/>
              <w:t>1811</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241">
            <w:r>
              <w:rPr/>
              <w:t>ms (Set</w:t>
            </w:r>
            <w:r>
              <w:rPr>
                <w:spacing w:val="-3"/>
              </w:rPr>
              <w:t> </w:t>
            </w:r>
            <w:r>
              <w:rPr/>
              <w:t>MDX</w:t>
            </w:r>
            <w:r>
              <w:rPr>
                <w:spacing w:val="-2"/>
              </w:rPr>
              <w:t> </w:t>
            </w:r>
            <w:r>
              <w:rPr/>
              <w:t>Metadata)</w:t>
              <w:tab/>
              <w:t>1812</w:t>
            </w:r>
          </w:hyperlink>
        </w:p>
        <w:p>
          <w:pPr>
            <w:pStyle w:val="TOC3"/>
            <w:numPr>
              <w:ilvl w:val="2"/>
              <w:numId w:val="1"/>
            </w:numPr>
            <w:tabs>
              <w:tab w:pos="1319" w:val="left" w:leader="none"/>
              <w:tab w:pos="1320" w:val="left" w:leader="none"/>
              <w:tab w:pos="9845" w:val="left" w:leader="dot"/>
            </w:tabs>
            <w:spacing w:line="267" w:lineRule="exact" w:before="0" w:after="0"/>
            <w:ind w:left="1319" w:right="0" w:hanging="899"/>
            <w:jc w:val="left"/>
          </w:pPr>
          <w:hyperlink w:history="true" w:anchor="_bookmark242">
            <w:r>
              <w:rPr/>
              <w:t>n (Member Unique</w:t>
            </w:r>
            <w:r>
              <w:rPr>
                <w:spacing w:val="-5"/>
              </w:rPr>
              <w:t> </w:t>
            </w:r>
            <w:r>
              <w:rPr/>
              <w:t>Name Index)</w:t>
              <w:tab/>
              <w:t>1812</w:t>
            </w:r>
          </w:hyperlink>
        </w:p>
        <w:p>
          <w:pPr>
            <w:pStyle w:val="TOC3"/>
            <w:numPr>
              <w:ilvl w:val="2"/>
              <w:numId w:val="1"/>
            </w:numPr>
            <w:tabs>
              <w:tab w:pos="1319" w:val="left" w:leader="none"/>
              <w:tab w:pos="1320" w:val="left" w:leader="none"/>
              <w:tab w:pos="9845" w:val="left" w:leader="dot"/>
            </w:tabs>
            <w:spacing w:line="267" w:lineRule="exact" w:before="0" w:after="0"/>
            <w:ind w:left="1319" w:right="0" w:hanging="899"/>
            <w:jc w:val="left"/>
          </w:pPr>
          <w:hyperlink w:history="true" w:anchor="_bookmark243">
            <w:r>
              <w:rPr/>
              <w:t>p (Member Property</w:t>
            </w:r>
            <w:r>
              <w:rPr>
                <w:spacing w:val="-6"/>
              </w:rPr>
              <w:t> </w:t>
            </w:r>
            <w:r>
              <w:rPr/>
              <w:t>MDX</w:t>
            </w:r>
            <w:r>
              <w:rPr>
                <w:spacing w:val="-2"/>
              </w:rPr>
              <w:t> </w:t>
            </w:r>
            <w:r>
              <w:rPr/>
              <w:t>Metadata)</w:t>
              <w:tab/>
              <w:t>1813</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244">
            <w:r>
              <w:rPr/>
              <w:t>rc (Metadata</w:t>
            </w:r>
            <w:r>
              <w:rPr>
                <w:spacing w:val="-3"/>
              </w:rPr>
              <w:t> </w:t>
            </w:r>
            <w:r>
              <w:rPr/>
              <w:t>Record)</w:t>
              <w:tab/>
            </w:r>
            <w:r>
              <w:rPr>
                <w:spacing w:val="-1"/>
              </w:rPr>
              <w:t>1813</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245">
            <w:r>
              <w:rPr/>
              <w:t>t (Tuple</w:t>
            </w:r>
            <w:r>
              <w:rPr>
                <w:spacing w:val="-2"/>
              </w:rPr>
              <w:t> </w:t>
            </w:r>
            <w:r>
              <w:rPr/>
              <w:t>MDX</w:t>
            </w:r>
            <w:r>
              <w:rPr>
                <w:spacing w:val="-2"/>
              </w:rPr>
              <w:t> </w:t>
            </w:r>
            <w:r>
              <w:rPr/>
              <w:t>Metadata)</w:t>
              <w:tab/>
            </w:r>
            <w:r>
              <w:rPr>
                <w:spacing w:val="-1"/>
              </w:rPr>
              <w:t>1814</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246">
            <w:r>
              <w:rPr/>
              <w:t>valueMetadata</w:t>
            </w:r>
            <w:r>
              <w:rPr>
                <w:spacing w:val="-2"/>
              </w:rPr>
              <w:t> </w:t>
            </w:r>
            <w:r>
              <w:rPr/>
              <w:t>(Value</w:t>
            </w:r>
            <w:r>
              <w:rPr>
                <w:spacing w:val="-4"/>
              </w:rPr>
              <w:t> </w:t>
            </w:r>
            <w:r>
              <w:rPr/>
              <w:t>Metadata)</w:t>
              <w:tab/>
            </w:r>
            <w:r>
              <w:rPr>
                <w:spacing w:val="-1"/>
              </w:rPr>
              <w:t>1815</w:t>
            </w:r>
          </w:hyperlink>
        </w:p>
        <w:p>
          <w:pPr>
            <w:pStyle w:val="TOC1"/>
            <w:numPr>
              <w:ilvl w:val="1"/>
              <w:numId w:val="1"/>
            </w:numPr>
            <w:tabs>
              <w:tab w:pos="806" w:val="left" w:leader="none"/>
              <w:tab w:pos="807" w:val="left" w:leader="none"/>
              <w:tab w:pos="9625" w:val="left" w:leader="dot"/>
            </w:tabs>
            <w:spacing w:line="240" w:lineRule="auto" w:before="121" w:after="0"/>
            <w:ind w:left="1026" w:right="384" w:hanging="1027"/>
            <w:jc w:val="right"/>
          </w:pPr>
          <w:hyperlink w:history="true" w:anchor="_bookmark247">
            <w:r>
              <w:rPr/>
              <w:t>Pivot</w:t>
            </w:r>
            <w:r>
              <w:rPr>
                <w:spacing w:val="-3"/>
              </w:rPr>
              <w:t> </w:t>
            </w:r>
            <w:r>
              <w:rPr/>
              <w:t>Tables</w:t>
              <w:tab/>
            </w:r>
            <w:r>
              <w:rPr>
                <w:spacing w:val="-1"/>
              </w:rPr>
              <w:t>1815</w:t>
            </w:r>
          </w:hyperlink>
        </w:p>
        <w:p>
          <w:pPr>
            <w:pStyle w:val="TOC2"/>
            <w:numPr>
              <w:ilvl w:val="2"/>
              <w:numId w:val="1"/>
            </w:numPr>
            <w:tabs>
              <w:tab w:pos="897" w:val="left" w:leader="none"/>
              <w:tab w:pos="898" w:val="left" w:leader="none"/>
              <w:tab w:pos="9424" w:val="left" w:leader="dot"/>
            </w:tabs>
            <w:spacing w:line="240" w:lineRule="auto" w:before="41" w:after="0"/>
            <w:ind w:left="1319" w:right="384" w:hanging="1320"/>
            <w:jc w:val="right"/>
          </w:pPr>
          <w:hyperlink w:history="true" w:anchor="_bookmark248">
            <w:r>
              <w:rPr/>
              <w:t>Pivot</w:t>
            </w:r>
            <w:r>
              <w:rPr>
                <w:spacing w:val="-3"/>
              </w:rPr>
              <w:t> </w:t>
            </w:r>
            <w:r>
              <w:rPr/>
              <w:t>Tables</w:t>
              <w:tab/>
            </w:r>
            <w:r>
              <w:rPr>
                <w:spacing w:val="-1"/>
              </w:rPr>
              <w:t>1820</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249">
            <w:r>
              <w:rPr/>
              <w:t>autoSortScope</w:t>
            </w:r>
            <w:r>
              <w:rPr>
                <w:spacing w:val="-1"/>
              </w:rPr>
              <w:t> </w:t>
            </w:r>
            <w:r>
              <w:rPr/>
              <w:t>(AutoSort</w:t>
            </w:r>
            <w:r>
              <w:rPr>
                <w:spacing w:val="-2"/>
              </w:rPr>
              <w:t> </w:t>
            </w:r>
            <w:r>
              <w:rPr/>
              <w:t>Scope)</w:t>
              <w:tab/>
            </w:r>
            <w:r>
              <w:rPr>
                <w:spacing w:val="-1"/>
              </w:rPr>
              <w:t>1820</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250">
            <w:r>
              <w:rPr/>
              <w:t>b</w:t>
            </w:r>
            <w:r>
              <w:rPr>
                <w:spacing w:val="-1"/>
              </w:rPr>
              <w:t> </w:t>
            </w:r>
            <w:r>
              <w:rPr/>
              <w:t>(Boolean)</w:t>
              <w:tab/>
            </w:r>
            <w:r>
              <w:rPr>
                <w:spacing w:val="-1"/>
              </w:rPr>
              <w:t>1820</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251">
            <w:r>
              <w:rPr/>
              <w:t>cacheField</w:t>
            </w:r>
            <w:r>
              <w:rPr>
                <w:spacing w:val="-4"/>
              </w:rPr>
              <w:t> </w:t>
            </w:r>
            <w:r>
              <w:rPr/>
              <w:t>(PivotCache</w:t>
            </w:r>
            <w:r>
              <w:rPr>
                <w:spacing w:val="-1"/>
              </w:rPr>
              <w:t> </w:t>
            </w:r>
            <w:r>
              <w:rPr/>
              <w:t>Field)</w:t>
              <w:tab/>
            </w:r>
            <w:r>
              <w:rPr>
                <w:spacing w:val="-1"/>
              </w:rPr>
              <w:t>1821</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252">
            <w:r>
              <w:rPr/>
              <w:t>cacheFields</w:t>
            </w:r>
            <w:r>
              <w:rPr>
                <w:spacing w:val="-2"/>
              </w:rPr>
              <w:t> </w:t>
            </w:r>
            <w:r>
              <w:rPr/>
              <w:t>(PivotCache</w:t>
            </w:r>
            <w:r>
              <w:rPr>
                <w:spacing w:val="-5"/>
              </w:rPr>
              <w:t> </w:t>
            </w:r>
            <w:r>
              <w:rPr/>
              <w:t>Fields)</w:t>
              <w:tab/>
              <w:t>1824</w:t>
            </w:r>
          </w:hyperlink>
        </w:p>
        <w:p>
          <w:pPr>
            <w:pStyle w:val="TOC4"/>
            <w:numPr>
              <w:ilvl w:val="3"/>
              <w:numId w:val="1"/>
            </w:numPr>
            <w:tabs>
              <w:tab w:pos="1761" w:val="left" w:leader="none"/>
              <w:tab w:pos="1762" w:val="left" w:leader="none"/>
              <w:tab w:pos="9845" w:val="left" w:leader="dot"/>
            </w:tabs>
            <w:spacing w:line="240" w:lineRule="auto" w:before="1" w:after="0"/>
            <w:ind w:left="1761" w:right="0" w:hanging="1139"/>
            <w:jc w:val="left"/>
          </w:pPr>
          <w:hyperlink w:history="true" w:anchor="_bookmark253">
            <w:r>
              <w:rPr/>
              <w:t>cacheHierarchies</w:t>
            </w:r>
            <w:r>
              <w:rPr>
                <w:spacing w:val="-1"/>
              </w:rPr>
              <w:t> </w:t>
            </w:r>
            <w:r>
              <w:rPr/>
              <w:t>(PivotCache Hierarchies)</w:t>
              <w:tab/>
              <w:t>1825</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254">
            <w:r>
              <w:rPr/>
              <w:t>cacheHierarchy</w:t>
            </w:r>
            <w:r>
              <w:rPr>
                <w:spacing w:val="-2"/>
              </w:rPr>
              <w:t> </w:t>
            </w:r>
            <w:r>
              <w:rPr/>
              <w:t>(PivotCache Hierarchy)</w:t>
              <w:tab/>
              <w:t>1825</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255">
            <w:r>
              <w:rPr/>
              <w:t>cacheSource (PivotCache</w:t>
            </w:r>
            <w:r>
              <w:rPr>
                <w:spacing w:val="-3"/>
              </w:rPr>
              <w:t> </w:t>
            </w:r>
            <w:r>
              <w:rPr/>
              <w:t>Source</w:t>
            </w:r>
            <w:r>
              <w:rPr>
                <w:spacing w:val="-4"/>
              </w:rPr>
              <w:t> </w:t>
            </w:r>
            <w:r>
              <w:rPr/>
              <w:t>Description)</w:t>
              <w:tab/>
              <w:t>1830</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256">
            <w:r>
              <w:rPr/>
              <w:t>calculatedItem</w:t>
            </w:r>
            <w:r>
              <w:rPr>
                <w:spacing w:val="-2"/>
              </w:rPr>
              <w:t> </w:t>
            </w:r>
            <w:r>
              <w:rPr/>
              <w:t>(Calculated</w:t>
            </w:r>
            <w:r>
              <w:rPr>
                <w:spacing w:val="-3"/>
              </w:rPr>
              <w:t> </w:t>
            </w:r>
            <w:r>
              <w:rPr/>
              <w:t>Item)</w:t>
              <w:tab/>
              <w:t>1831</w:t>
            </w:r>
          </w:hyperlink>
        </w:p>
        <w:p>
          <w:pPr>
            <w:pStyle w:val="TOC4"/>
            <w:numPr>
              <w:ilvl w:val="3"/>
              <w:numId w:val="1"/>
            </w:numPr>
            <w:tabs>
              <w:tab w:pos="1761" w:val="left" w:leader="none"/>
              <w:tab w:pos="1762" w:val="left" w:leader="none"/>
              <w:tab w:pos="9845" w:val="left" w:leader="dot"/>
            </w:tabs>
            <w:spacing w:line="240" w:lineRule="auto" w:before="1" w:after="0"/>
            <w:ind w:left="1761" w:right="0" w:hanging="1139"/>
            <w:jc w:val="left"/>
          </w:pPr>
          <w:hyperlink w:history="true" w:anchor="_bookmark257">
            <w:r>
              <w:rPr/>
              <w:t>calculatedItems</w:t>
            </w:r>
            <w:r>
              <w:rPr>
                <w:spacing w:val="-5"/>
              </w:rPr>
              <w:t> </w:t>
            </w:r>
            <w:r>
              <w:rPr/>
              <w:t>(Calculated</w:t>
            </w:r>
            <w:r>
              <w:rPr>
                <w:spacing w:val="-2"/>
              </w:rPr>
              <w:t> </w:t>
            </w:r>
            <w:r>
              <w:rPr/>
              <w:t>Items)</w:t>
              <w:tab/>
              <w:t>1832</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258">
            <w:r>
              <w:rPr/>
              <w:t>calculatedMember</w:t>
            </w:r>
            <w:r>
              <w:rPr>
                <w:spacing w:val="-3"/>
              </w:rPr>
              <w:t> </w:t>
            </w:r>
            <w:r>
              <w:rPr/>
              <w:t>(Calculated</w:t>
            </w:r>
            <w:r>
              <w:rPr>
                <w:spacing w:val="-3"/>
              </w:rPr>
              <w:t> </w:t>
            </w:r>
            <w:r>
              <w:rPr/>
              <w:t>Member)</w:t>
              <w:tab/>
              <w:t>1832</w:t>
            </w:r>
          </w:hyperlink>
        </w:p>
        <w:p>
          <w:pPr>
            <w:pStyle w:val="TOC4"/>
            <w:numPr>
              <w:ilvl w:val="3"/>
              <w:numId w:val="1"/>
            </w:numPr>
            <w:tabs>
              <w:tab w:pos="1979" w:val="left" w:leader="none"/>
              <w:tab w:pos="1980" w:val="left" w:leader="none"/>
              <w:tab w:pos="9845" w:val="left" w:leader="dot"/>
            </w:tabs>
            <w:spacing w:line="267" w:lineRule="exact" w:before="1" w:after="0"/>
            <w:ind w:left="1979" w:right="0" w:hanging="1357"/>
            <w:jc w:val="left"/>
          </w:pPr>
          <w:hyperlink w:history="true" w:anchor="_bookmark259">
            <w:r>
              <w:rPr/>
              <w:t>calculatedMembers</w:t>
            </w:r>
            <w:r>
              <w:rPr>
                <w:spacing w:val="-4"/>
              </w:rPr>
              <w:t> </w:t>
            </w:r>
            <w:r>
              <w:rPr/>
              <w:t>(Calculated</w:t>
            </w:r>
            <w:r>
              <w:rPr>
                <w:spacing w:val="-3"/>
              </w:rPr>
              <w:t> </w:t>
            </w:r>
            <w:r>
              <w:rPr/>
              <w:t>Members)</w:t>
              <w:tab/>
              <w:t>1833</w:t>
            </w:r>
          </w:hyperlink>
        </w:p>
        <w:p>
          <w:pPr>
            <w:pStyle w:val="TOC4"/>
            <w:numPr>
              <w:ilvl w:val="3"/>
              <w:numId w:val="1"/>
            </w:numPr>
            <w:tabs>
              <w:tab w:pos="1979" w:val="left" w:leader="none"/>
              <w:tab w:pos="1980" w:val="left" w:leader="none"/>
              <w:tab w:pos="9845" w:val="left" w:leader="dot"/>
            </w:tabs>
            <w:spacing w:line="267" w:lineRule="exact" w:before="0" w:after="0"/>
            <w:ind w:left="1979" w:right="0" w:hanging="1357"/>
            <w:jc w:val="left"/>
          </w:pPr>
          <w:hyperlink w:history="true" w:anchor="_bookmark260">
            <w:r>
              <w:rPr/>
              <w:t>chartFormat</w:t>
            </w:r>
            <w:r>
              <w:rPr>
                <w:spacing w:val="-3"/>
              </w:rPr>
              <w:t> </w:t>
            </w:r>
            <w:r>
              <w:rPr/>
              <w:t>(PivotChart</w:t>
            </w:r>
            <w:r>
              <w:rPr>
                <w:spacing w:val="-1"/>
              </w:rPr>
              <w:t> </w:t>
            </w:r>
            <w:r>
              <w:rPr/>
              <w:t>Format)</w:t>
              <w:tab/>
              <w:t>1834</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261">
            <w:r>
              <w:rPr/>
              <w:t>chartFormats</w:t>
            </w:r>
            <w:r>
              <w:rPr>
                <w:spacing w:val="-3"/>
              </w:rPr>
              <w:t> </w:t>
            </w:r>
            <w:r>
              <w:rPr/>
              <w:t>(PivotChart</w:t>
            </w:r>
            <w:r>
              <w:rPr>
                <w:spacing w:val="-2"/>
              </w:rPr>
              <w:t> </w:t>
            </w:r>
            <w:r>
              <w:rPr/>
              <w:t>Formats)</w:t>
              <w:tab/>
              <w:t>1835</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262">
            <w:r>
              <w:rPr/>
              <w:t>colFields</w:t>
            </w:r>
            <w:r>
              <w:rPr>
                <w:spacing w:val="-2"/>
              </w:rPr>
              <w:t> </w:t>
            </w:r>
            <w:r>
              <w:rPr/>
              <w:t>(Column</w:t>
            </w:r>
            <w:r>
              <w:rPr>
                <w:spacing w:val="-3"/>
              </w:rPr>
              <w:t> </w:t>
            </w:r>
            <w:r>
              <w:rPr/>
              <w:t>Fields)</w:t>
              <w:tab/>
              <w:t>1837</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263">
            <w:r>
              <w:rPr/>
              <w:t>colHierarchiesUsage (Column OLAP</w:t>
            </w:r>
            <w:r>
              <w:rPr>
                <w:spacing w:val="-9"/>
              </w:rPr>
              <w:t> </w:t>
            </w:r>
            <w:r>
              <w:rPr/>
              <w:t>Hierarchy</w:t>
            </w:r>
            <w:r>
              <w:rPr>
                <w:spacing w:val="-4"/>
              </w:rPr>
              <w:t> </w:t>
            </w:r>
            <w:r>
              <w:rPr/>
              <w:t>References)</w:t>
              <w:tab/>
              <w:t>1837</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264">
            <w:r>
              <w:rPr/>
              <w:t>colHierarchyUsage (Column</w:t>
            </w:r>
            <w:r>
              <w:rPr>
                <w:spacing w:val="-5"/>
              </w:rPr>
              <w:t> </w:t>
            </w:r>
            <w:r>
              <w:rPr/>
              <w:t>OLAP</w:t>
            </w:r>
            <w:r>
              <w:rPr>
                <w:spacing w:val="-3"/>
              </w:rPr>
              <w:t> </w:t>
            </w:r>
            <w:r>
              <w:rPr/>
              <w:t>Hierarchies)</w:t>
              <w:tab/>
              <w:t>1838</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265">
            <w:r>
              <w:rPr/>
              <w:t>colItems</w:t>
            </w:r>
            <w:r>
              <w:rPr>
                <w:spacing w:val="-4"/>
              </w:rPr>
              <w:t> </w:t>
            </w:r>
            <w:r>
              <w:rPr/>
              <w:t>(Column</w:t>
            </w:r>
            <w:r>
              <w:rPr>
                <w:spacing w:val="-2"/>
              </w:rPr>
              <w:t> </w:t>
            </w:r>
            <w:r>
              <w:rPr/>
              <w:t>Items)</w:t>
              <w:tab/>
              <w:t>1838</w:t>
            </w:r>
          </w:hyperlink>
        </w:p>
        <w:p>
          <w:pPr>
            <w:pStyle w:val="TOC4"/>
            <w:numPr>
              <w:ilvl w:val="3"/>
              <w:numId w:val="1"/>
            </w:numPr>
            <w:tabs>
              <w:tab w:pos="1979" w:val="left" w:leader="none"/>
              <w:tab w:pos="1980" w:val="left" w:leader="none"/>
              <w:tab w:pos="9845" w:val="left" w:leader="dot"/>
            </w:tabs>
            <w:spacing w:line="240" w:lineRule="auto" w:before="0" w:after="24"/>
            <w:ind w:left="1979" w:right="0" w:hanging="1357"/>
            <w:jc w:val="left"/>
          </w:pPr>
          <w:hyperlink w:history="true" w:anchor="_bookmark266">
            <w:r>
              <w:rPr/>
              <w:t>conditionalFormat</w:t>
            </w:r>
            <w:r>
              <w:rPr>
                <w:spacing w:val="-5"/>
              </w:rPr>
              <w:t> </w:t>
            </w:r>
            <w:r>
              <w:rPr/>
              <w:t>(Conditional</w:t>
            </w:r>
            <w:r>
              <w:rPr>
                <w:spacing w:val="-2"/>
              </w:rPr>
              <w:t> </w:t>
            </w:r>
            <w:r>
              <w:rPr/>
              <w:t>Formatting)</w:t>
              <w:tab/>
              <w:t>1840</w:t>
            </w:r>
          </w:hyperlink>
        </w:p>
        <w:p>
          <w:pPr>
            <w:pStyle w:val="TOC4"/>
            <w:numPr>
              <w:ilvl w:val="3"/>
              <w:numId w:val="1"/>
            </w:numPr>
            <w:tabs>
              <w:tab w:pos="1979" w:val="left" w:leader="none"/>
              <w:tab w:pos="1980" w:val="left" w:leader="none"/>
              <w:tab w:pos="10293" w:val="right" w:leader="dot"/>
            </w:tabs>
            <w:spacing w:line="240" w:lineRule="auto" w:before="148" w:after="0"/>
            <w:ind w:left="1979" w:right="0" w:hanging="1357"/>
            <w:jc w:val="left"/>
          </w:pPr>
          <w:hyperlink w:history="true" w:anchor="_bookmark267">
            <w:r>
              <w:rPr/>
              <w:t>conditionalFormats</w:t>
            </w:r>
            <w:r>
              <w:rPr>
                <w:spacing w:val="-3"/>
              </w:rPr>
              <w:t> </w:t>
            </w:r>
            <w:r>
              <w:rPr/>
              <w:t>(Conditional Formats)</w:t>
              <w:tab/>
              <w:t>1840</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68">
            <w:r>
              <w:rPr/>
              <w:t>consolidation</w:t>
            </w:r>
            <w:r>
              <w:rPr>
                <w:spacing w:val="-4"/>
              </w:rPr>
              <w:t> </w:t>
            </w:r>
            <w:r>
              <w:rPr/>
              <w:t>(Consolidation</w:t>
            </w:r>
            <w:r>
              <w:rPr>
                <w:spacing w:val="-1"/>
              </w:rPr>
              <w:t> </w:t>
            </w:r>
            <w:r>
              <w:rPr/>
              <w:t>Source)</w:t>
              <w:tab/>
              <w:t>1841</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69">
            <w:r>
              <w:rPr/>
              <w:t>d</w:t>
            </w:r>
            <w:r>
              <w:rPr>
                <w:spacing w:val="-2"/>
              </w:rPr>
              <w:t> </w:t>
            </w:r>
            <w:r>
              <w:rPr/>
              <w:t>(Date</w:t>
            </w:r>
            <w:r>
              <w:rPr>
                <w:spacing w:val="1"/>
              </w:rPr>
              <w:t> </w:t>
            </w:r>
            <w:r>
              <w:rPr/>
              <w:t>Time)</w:t>
              <w:tab/>
              <w:t>1842</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70">
            <w:r>
              <w:rPr/>
              <w:t>dataField (Data</w:t>
            </w:r>
            <w:r>
              <w:rPr>
                <w:spacing w:val="-2"/>
              </w:rPr>
              <w:t> </w:t>
            </w:r>
            <w:r>
              <w:rPr/>
              <w:t>Field</w:t>
            </w:r>
            <w:r>
              <w:rPr>
                <w:spacing w:val="-1"/>
              </w:rPr>
              <w:t> </w:t>
            </w:r>
            <w:r>
              <w:rPr/>
              <w:t>Item)</w:t>
              <w:tab/>
              <w:t>1842</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271">
            <w:r>
              <w:rPr/>
              <w:t>dataFields</w:t>
            </w:r>
            <w:r>
              <w:rPr>
                <w:spacing w:val="-1"/>
              </w:rPr>
              <w:t> </w:t>
            </w:r>
            <w:r>
              <w:rPr/>
              <w:t>(Data Fields)</w:t>
              <w:tab/>
              <w:t>1844</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272">
            <w:r>
              <w:rPr/>
              <w:t>dimension</w:t>
            </w:r>
            <w:r>
              <w:rPr>
                <w:spacing w:val="-2"/>
              </w:rPr>
              <w:t> </w:t>
            </w:r>
            <w:r>
              <w:rPr/>
              <w:t>(OLAP</w:t>
            </w:r>
            <w:r>
              <w:rPr>
                <w:spacing w:val="-2"/>
              </w:rPr>
              <w:t> </w:t>
            </w:r>
            <w:r>
              <w:rPr/>
              <w:t>Dimension)</w:t>
              <w:tab/>
              <w:t>1845</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73">
            <w:r>
              <w:rPr/>
              <w:t>dimensions</w:t>
            </w:r>
            <w:r>
              <w:rPr>
                <w:spacing w:val="-1"/>
              </w:rPr>
              <w:t> </w:t>
            </w:r>
            <w:r>
              <w:rPr/>
              <w:t>(OLAP</w:t>
            </w:r>
            <w:r>
              <w:rPr>
                <w:spacing w:val="-2"/>
              </w:rPr>
              <w:t> </w:t>
            </w:r>
            <w:r>
              <w:rPr/>
              <w:t>Dimensions)</w:t>
              <w:tab/>
              <w:t>1845</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74">
            <w:r>
              <w:rPr/>
              <w:t>discretePr (Discrete</w:t>
            </w:r>
            <w:r>
              <w:rPr>
                <w:spacing w:val="-3"/>
              </w:rPr>
              <w:t> </w:t>
            </w:r>
            <w:r>
              <w:rPr/>
              <w:t>Grouping</w:t>
            </w:r>
            <w:r>
              <w:rPr>
                <w:spacing w:val="-1"/>
              </w:rPr>
              <w:t> </w:t>
            </w:r>
            <w:r>
              <w:rPr/>
              <w:t>Properties)</w:t>
              <w:tab/>
              <w:t>1846</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75">
            <w:r>
              <w:rPr/>
              <w:t>e (Error Value)</w:t>
              <w:tab/>
              <w:t>1848</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76">
            <w:r>
              <w:rPr/>
              <w:t>entries</w:t>
            </w:r>
            <w:r>
              <w:rPr>
                <w:spacing w:val="-3"/>
              </w:rPr>
              <w:t> </w:t>
            </w:r>
            <w:r>
              <w:rPr/>
              <w:t>(Entries)</w:t>
              <w:tab/>
              <w:t>1850</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77">
            <w:r>
              <w:rPr/>
              <w:t>field</w:t>
            </w:r>
            <w:r>
              <w:rPr>
                <w:spacing w:val="-2"/>
              </w:rPr>
              <w:t> </w:t>
            </w:r>
            <w:r>
              <w:rPr/>
              <w:t>(Field)</w:t>
              <w:tab/>
              <w:t>1851</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78">
            <w:r>
              <w:rPr/>
              <w:t>fieldGroup (Field</w:t>
            </w:r>
            <w:r>
              <w:rPr>
                <w:spacing w:val="-5"/>
              </w:rPr>
              <w:t> </w:t>
            </w:r>
            <w:r>
              <w:rPr/>
              <w:t>Group</w:t>
            </w:r>
            <w:r>
              <w:rPr>
                <w:spacing w:val="-3"/>
              </w:rPr>
              <w:t> </w:t>
            </w:r>
            <w:r>
              <w:rPr/>
              <w:t>Properties)</w:t>
              <w:tab/>
              <w:t>1851</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79">
            <w:r>
              <w:rPr/>
              <w:t>fieldsUsage (Fields Usage)</w:t>
              <w:tab/>
              <w:t>1853</w:t>
            </w:r>
          </w:hyperlink>
        </w:p>
        <w:p>
          <w:pPr>
            <w:pStyle w:val="TOC4"/>
            <w:numPr>
              <w:ilvl w:val="3"/>
              <w:numId w:val="1"/>
            </w:numPr>
            <w:tabs>
              <w:tab w:pos="1979" w:val="left" w:leader="none"/>
              <w:tab w:pos="1980" w:val="left" w:leader="none"/>
              <w:tab w:pos="10293" w:val="right" w:leader="dot"/>
            </w:tabs>
            <w:spacing w:line="268" w:lineRule="exact" w:before="0" w:after="0"/>
            <w:ind w:left="1979" w:right="0" w:hanging="1357"/>
            <w:jc w:val="left"/>
          </w:pPr>
          <w:hyperlink w:history="true" w:anchor="_bookmark280">
            <w:r>
              <w:rPr/>
              <w:t>fieldUsage (PivotCache</w:t>
            </w:r>
            <w:r>
              <w:rPr>
                <w:spacing w:val="1"/>
              </w:rPr>
              <w:t> </w:t>
            </w:r>
            <w:r>
              <w:rPr/>
              <w:t>Field</w:t>
            </w:r>
            <w:r>
              <w:rPr>
                <w:spacing w:val="-1"/>
              </w:rPr>
              <w:t> </w:t>
            </w:r>
            <w:r>
              <w:rPr/>
              <w:t>Id)</w:t>
              <w:tab/>
              <w:t>1853</w:t>
            </w:r>
          </w:hyperlink>
        </w:p>
        <w:p>
          <w:pPr>
            <w:pStyle w:val="TOC4"/>
            <w:numPr>
              <w:ilvl w:val="3"/>
              <w:numId w:val="1"/>
            </w:numPr>
            <w:tabs>
              <w:tab w:pos="1979" w:val="left" w:leader="none"/>
              <w:tab w:pos="1980" w:val="left" w:leader="none"/>
              <w:tab w:pos="10293" w:val="right" w:leader="dot"/>
            </w:tabs>
            <w:spacing w:line="268" w:lineRule="exact" w:before="0" w:after="0"/>
            <w:ind w:left="1979" w:right="0" w:hanging="1357"/>
            <w:jc w:val="left"/>
          </w:pPr>
          <w:hyperlink w:history="true" w:anchor="_bookmark281">
            <w:r>
              <w:rPr/>
              <w:t>filter (PivotTable Advanced</w:t>
            </w:r>
            <w:r>
              <w:rPr>
                <w:spacing w:val="-3"/>
              </w:rPr>
              <w:t> </w:t>
            </w:r>
            <w:r>
              <w:rPr/>
              <w:t>Filter)</w:t>
              <w:tab/>
              <w:t>1854</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82">
            <w:r>
              <w:rPr/>
              <w:t>filters</w:t>
            </w:r>
            <w:r>
              <w:rPr>
                <w:spacing w:val="-1"/>
              </w:rPr>
              <w:t> </w:t>
            </w:r>
            <w:r>
              <w:rPr/>
              <w:t>(Filters)</w:t>
              <w:tab/>
              <w:t>1855</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83">
            <w:r>
              <w:rPr/>
              <w:t>format</w:t>
            </w:r>
            <w:r>
              <w:rPr>
                <w:spacing w:val="-1"/>
              </w:rPr>
              <w:t> </w:t>
            </w:r>
            <w:r>
              <w:rPr/>
              <w:t>(PivotTable</w:t>
            </w:r>
            <w:r>
              <w:rPr>
                <w:spacing w:val="1"/>
              </w:rPr>
              <w:t> </w:t>
            </w:r>
            <w:r>
              <w:rPr/>
              <w:t>Format)</w:t>
              <w:tab/>
              <w:t>1856</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84">
            <w:r>
              <w:rPr/>
              <w:t>formats</w:t>
            </w:r>
            <w:r>
              <w:rPr>
                <w:spacing w:val="-1"/>
              </w:rPr>
              <w:t> </w:t>
            </w:r>
            <w:r>
              <w:rPr/>
              <w:t>(PivotTable</w:t>
            </w:r>
            <w:r>
              <w:rPr>
                <w:spacing w:val="-3"/>
              </w:rPr>
              <w:t> </w:t>
            </w:r>
            <w:r>
              <w:rPr/>
              <w:t>Formats)</w:t>
              <w:tab/>
              <w:t>1857</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85">
            <w:r>
              <w:rPr/>
              <w:t>group</w:t>
            </w:r>
            <w:r>
              <w:rPr>
                <w:spacing w:val="-2"/>
              </w:rPr>
              <w:t> </w:t>
            </w:r>
            <w:r>
              <w:rPr/>
              <w:t>(OLAP</w:t>
            </w:r>
            <w:r>
              <w:rPr>
                <w:spacing w:val="1"/>
              </w:rPr>
              <w:t> </w:t>
            </w:r>
            <w:r>
              <w:rPr/>
              <w:t>Group)</w:t>
              <w:tab/>
              <w:t>1857</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86">
            <w:r>
              <w:rPr/>
              <w:t>groupItems (OLAP Group</w:t>
            </w:r>
            <w:r>
              <w:rPr>
                <w:spacing w:val="-1"/>
              </w:rPr>
              <w:t> </w:t>
            </w:r>
            <w:r>
              <w:rPr/>
              <w:t>Items)</w:t>
              <w:tab/>
              <w:t>1858</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87">
            <w:r>
              <w:rPr/>
              <w:t>groupLevel (OLAP Grouping</w:t>
            </w:r>
            <w:r>
              <w:rPr>
                <w:spacing w:val="-1"/>
              </w:rPr>
              <w:t> </w:t>
            </w:r>
            <w:r>
              <w:rPr/>
              <w:t>Levels)</w:t>
              <w:tab/>
              <w:t>1859</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88">
            <w:r>
              <w:rPr/>
              <w:t>groupLevels (OLAP</w:t>
            </w:r>
            <w:r>
              <w:rPr>
                <w:spacing w:val="-2"/>
              </w:rPr>
              <w:t> </w:t>
            </w:r>
            <w:r>
              <w:rPr/>
              <w:t>Grouping</w:t>
            </w:r>
            <w:r>
              <w:rPr>
                <w:spacing w:val="-1"/>
              </w:rPr>
              <w:t> </w:t>
            </w:r>
            <w:r>
              <w:rPr/>
              <w:t>Levels)</w:t>
              <w:tab/>
              <w:t>1861</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89">
            <w:r>
              <w:rPr/>
              <w:t>groupMember (OLAP</w:t>
            </w:r>
            <w:r>
              <w:rPr>
                <w:spacing w:val="-4"/>
              </w:rPr>
              <w:t> </w:t>
            </w:r>
            <w:r>
              <w:rPr/>
              <w:t>Group</w:t>
            </w:r>
            <w:r>
              <w:rPr>
                <w:spacing w:val="-1"/>
              </w:rPr>
              <w:t> </w:t>
            </w:r>
            <w:r>
              <w:rPr/>
              <w:t>Member)</w:t>
              <w:tab/>
              <w:t>1862</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290">
            <w:r>
              <w:rPr/>
              <w:t>groupMembers (OLAP</w:t>
            </w:r>
            <w:r>
              <w:rPr>
                <w:spacing w:val="-5"/>
              </w:rPr>
              <w:t> </w:t>
            </w:r>
            <w:r>
              <w:rPr/>
              <w:t>Group</w:t>
            </w:r>
            <w:r>
              <w:rPr>
                <w:spacing w:val="-1"/>
              </w:rPr>
              <w:t> </w:t>
            </w:r>
            <w:r>
              <w:rPr/>
              <w:t>Members)</w:t>
              <w:tab/>
              <w:t>1862</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291">
            <w:r>
              <w:rPr/>
              <w:t>groups (OLAP</w:t>
            </w:r>
            <w:r>
              <w:rPr>
                <w:spacing w:val="-3"/>
              </w:rPr>
              <w:t> </w:t>
            </w:r>
            <w:r>
              <w:rPr/>
              <w:t>Level</w:t>
            </w:r>
            <w:r>
              <w:rPr>
                <w:spacing w:val="-3"/>
              </w:rPr>
              <w:t> </w:t>
            </w:r>
            <w:r>
              <w:rPr/>
              <w:t>Groups)</w:t>
              <w:tab/>
              <w:t>1863</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92">
            <w:r>
              <w:rPr/>
              <w:t>i</w:t>
            </w:r>
            <w:r>
              <w:rPr>
                <w:spacing w:val="-1"/>
              </w:rPr>
              <w:t> </w:t>
            </w:r>
            <w:r>
              <w:rPr/>
              <w:t>(Row Items)</w:t>
              <w:tab/>
              <w:t>1863</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93">
            <w:r>
              <w:rPr/>
              <w:t>item (PivotTable</w:t>
            </w:r>
            <w:r>
              <w:rPr>
                <w:spacing w:val="-1"/>
              </w:rPr>
              <w:t> </w:t>
            </w:r>
            <w:r>
              <w:rPr/>
              <w:t>Field</w:t>
            </w:r>
            <w:r>
              <w:rPr>
                <w:spacing w:val="-1"/>
              </w:rPr>
              <w:t> </w:t>
            </w:r>
            <w:r>
              <w:rPr/>
              <w:t>Item)</w:t>
              <w:tab/>
              <w:t>1864</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94">
            <w:r>
              <w:rPr/>
              <w:t>items</w:t>
            </w:r>
            <w:r>
              <w:rPr>
                <w:spacing w:val="-1"/>
              </w:rPr>
              <w:t> </w:t>
            </w:r>
            <w:r>
              <w:rPr/>
              <w:t>(Field</w:t>
            </w:r>
            <w:r>
              <w:rPr>
                <w:spacing w:val="-1"/>
              </w:rPr>
              <w:t> </w:t>
            </w:r>
            <w:r>
              <w:rPr/>
              <w:t>Items)</w:t>
              <w:tab/>
              <w:t>1867</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95">
            <w:r>
              <w:rPr/>
              <w:t>kpi</w:t>
            </w:r>
            <w:r>
              <w:rPr>
                <w:spacing w:val="-1"/>
              </w:rPr>
              <w:t> </w:t>
            </w:r>
            <w:r>
              <w:rPr/>
              <w:t>(OLAP</w:t>
            </w:r>
            <w:r>
              <w:rPr>
                <w:spacing w:val="-1"/>
              </w:rPr>
              <w:t> </w:t>
            </w:r>
            <w:r>
              <w:rPr/>
              <w:t>KPI)</w:t>
              <w:tab/>
              <w:t>1868</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96">
            <w:r>
              <w:rPr/>
              <w:t>kpis</w:t>
            </w:r>
            <w:r>
              <w:rPr>
                <w:spacing w:val="-1"/>
              </w:rPr>
              <w:t> </w:t>
            </w:r>
            <w:r>
              <w:rPr/>
              <w:t>(OLAP</w:t>
            </w:r>
            <w:r>
              <w:rPr>
                <w:spacing w:val="-2"/>
              </w:rPr>
              <w:t> </w:t>
            </w:r>
            <w:r>
              <w:rPr/>
              <w:t>KPIs)</w:t>
              <w:tab/>
              <w:t>1869</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97">
            <w:r>
              <w:rPr/>
              <w:t>location</w:t>
            </w:r>
            <w:r>
              <w:rPr>
                <w:spacing w:val="-2"/>
              </w:rPr>
              <w:t> </w:t>
            </w:r>
            <w:r>
              <w:rPr/>
              <w:t>(PivotTable</w:t>
            </w:r>
            <w:r>
              <w:rPr>
                <w:spacing w:val="-2"/>
              </w:rPr>
              <w:t> </w:t>
            </w:r>
            <w:r>
              <w:rPr/>
              <w:t>Location)</w:t>
              <w:tab/>
              <w:t>1870</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298">
            <w:r>
              <w:rPr/>
              <w:t>m (No</w:t>
            </w:r>
            <w:r>
              <w:rPr>
                <w:spacing w:val="1"/>
              </w:rPr>
              <w:t> </w:t>
            </w:r>
            <w:r>
              <w:rPr/>
              <w:t>Value)</w:t>
              <w:tab/>
              <w:t>1871</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299">
            <w:r>
              <w:rPr/>
              <w:t>map (OLAP</w:t>
            </w:r>
            <w:r>
              <w:rPr>
                <w:spacing w:val="-1"/>
              </w:rPr>
              <w:t> </w:t>
            </w:r>
            <w:r>
              <w:rPr/>
              <w:t>Measure</w:t>
            </w:r>
            <w:r>
              <w:rPr>
                <w:spacing w:val="-3"/>
              </w:rPr>
              <w:t> </w:t>
            </w:r>
            <w:r>
              <w:rPr/>
              <w:t>Group)</w:t>
              <w:tab/>
              <w:t>1873</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300">
            <w:r>
              <w:rPr/>
              <w:t>maps (OLAP</w:t>
            </w:r>
            <w:r>
              <w:rPr>
                <w:spacing w:val="-2"/>
              </w:rPr>
              <w:t> </w:t>
            </w:r>
            <w:r>
              <w:rPr/>
              <w:t>Measure</w:t>
            </w:r>
            <w:r>
              <w:rPr>
                <w:spacing w:val="-3"/>
              </w:rPr>
              <w:t> </w:t>
            </w:r>
            <w:r>
              <w:rPr/>
              <w:t>Group)</w:t>
              <w:tab/>
              <w:t>1874</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301">
            <w:r>
              <w:rPr/>
              <w:t>measureGroup (OLAP</w:t>
            </w:r>
            <w:r>
              <w:rPr>
                <w:spacing w:val="-3"/>
              </w:rPr>
              <w:t> </w:t>
            </w:r>
            <w:r>
              <w:rPr/>
              <w:t>Measure</w:t>
            </w:r>
            <w:r>
              <w:rPr>
                <w:spacing w:val="1"/>
              </w:rPr>
              <w:t> </w:t>
            </w:r>
            <w:r>
              <w:rPr/>
              <w:t>Group)</w:t>
              <w:tab/>
              <w:t>1874</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302">
            <w:r>
              <w:rPr/>
              <w:t>measureGroups (OLAP</w:t>
            </w:r>
            <w:r>
              <w:rPr>
                <w:spacing w:val="-3"/>
              </w:rPr>
              <w:t> </w:t>
            </w:r>
            <w:r>
              <w:rPr/>
              <w:t>Measure Groups)</w:t>
              <w:tab/>
              <w:t>1875</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303">
            <w:r>
              <w:rPr/>
              <w:t>member</w:t>
            </w:r>
            <w:r>
              <w:rPr>
                <w:spacing w:val="-3"/>
              </w:rPr>
              <w:t> </w:t>
            </w:r>
            <w:r>
              <w:rPr/>
              <w:t>(Member)</w:t>
              <w:tab/>
              <w:t>1876</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304">
            <w:r>
              <w:rPr/>
              <w:t>members</w:t>
            </w:r>
            <w:r>
              <w:rPr>
                <w:spacing w:val="-3"/>
              </w:rPr>
              <w:t> </w:t>
            </w:r>
            <w:r>
              <w:rPr/>
              <w:t>(Members)</w:t>
              <w:tab/>
              <w:t>1876</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305">
            <w:r>
              <w:rPr/>
              <w:t>mp (OLAP</w:t>
            </w:r>
            <w:r>
              <w:rPr>
                <w:spacing w:val="-4"/>
              </w:rPr>
              <w:t> </w:t>
            </w:r>
            <w:r>
              <w:rPr/>
              <w:t>Member</w:t>
            </w:r>
            <w:r>
              <w:rPr>
                <w:spacing w:val="-2"/>
              </w:rPr>
              <w:t> </w:t>
            </w:r>
            <w:r>
              <w:rPr/>
              <w:t>Property)</w:t>
              <w:tab/>
              <w:t>1876</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306">
            <w:r>
              <w:rPr/>
              <w:t>mpMap (Member</w:t>
            </w:r>
            <w:r>
              <w:rPr>
                <w:spacing w:val="-6"/>
              </w:rPr>
              <w:t> </w:t>
            </w:r>
            <w:r>
              <w:rPr/>
              <w:t>Properties</w:t>
            </w:r>
            <w:r>
              <w:rPr>
                <w:spacing w:val="1"/>
              </w:rPr>
              <w:t> </w:t>
            </w:r>
            <w:r>
              <w:rPr/>
              <w:t>Map)</w:t>
              <w:tab/>
              <w:t>1878</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307">
            <w:r>
              <w:rPr/>
              <w:t>mps (OLAP Member</w:t>
            </w:r>
            <w:r>
              <w:rPr>
                <w:spacing w:val="-2"/>
              </w:rPr>
              <w:t> </w:t>
            </w:r>
            <w:r>
              <w:rPr/>
              <w:t>Properties)</w:t>
              <w:tab/>
              <w:t>1879</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308">
            <w:r>
              <w:rPr/>
              <w:t>n</w:t>
            </w:r>
            <w:r>
              <w:rPr>
                <w:spacing w:val="-2"/>
              </w:rPr>
              <w:t> </w:t>
            </w:r>
            <w:r>
              <w:rPr/>
              <w:t>(Numeric)</w:t>
              <w:tab/>
              <w:t>1879</w:t>
            </w:r>
          </w:hyperlink>
        </w:p>
        <w:p>
          <w:pPr>
            <w:pStyle w:val="TOC4"/>
            <w:numPr>
              <w:ilvl w:val="3"/>
              <w:numId w:val="1"/>
            </w:numPr>
            <w:tabs>
              <w:tab w:pos="1979" w:val="left" w:leader="none"/>
              <w:tab w:pos="1980" w:val="left" w:leader="none"/>
              <w:tab w:pos="10293" w:val="right" w:leader="dot"/>
            </w:tabs>
            <w:spacing w:line="240" w:lineRule="auto" w:before="1" w:after="0"/>
            <w:ind w:left="1979" w:right="0" w:hanging="1357"/>
            <w:jc w:val="left"/>
          </w:pPr>
          <w:hyperlink w:history="true" w:anchor="_bookmark309">
            <w:r>
              <w:rPr/>
              <w:t>page (Page</w:t>
            </w:r>
            <w:r>
              <w:rPr>
                <w:spacing w:val="1"/>
              </w:rPr>
              <w:t> </w:t>
            </w:r>
            <w:r>
              <w:rPr/>
              <w:t>Items)</w:t>
              <w:tab/>
              <w:t>1881</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310">
            <w:r>
              <w:rPr/>
              <w:t>pageField</w:t>
            </w:r>
            <w:r>
              <w:rPr>
                <w:spacing w:val="-2"/>
              </w:rPr>
              <w:t> </w:t>
            </w:r>
            <w:r>
              <w:rPr/>
              <w:t>(Page</w:t>
            </w:r>
            <w:r>
              <w:rPr>
                <w:spacing w:val="1"/>
              </w:rPr>
              <w:t> </w:t>
            </w:r>
            <w:r>
              <w:rPr/>
              <w:t>Field)</w:t>
              <w:tab/>
              <w:t>1882</w:t>
            </w:r>
          </w:hyperlink>
        </w:p>
        <w:p>
          <w:pPr>
            <w:pStyle w:val="TOC4"/>
            <w:numPr>
              <w:ilvl w:val="3"/>
              <w:numId w:val="1"/>
            </w:numPr>
            <w:tabs>
              <w:tab w:pos="1979" w:val="left" w:leader="none"/>
              <w:tab w:pos="1980" w:val="left" w:leader="none"/>
              <w:tab w:pos="10293" w:val="right" w:leader="dot"/>
            </w:tabs>
            <w:spacing w:line="267" w:lineRule="exact" w:before="0" w:after="0"/>
            <w:ind w:left="1979" w:right="0" w:hanging="1357"/>
            <w:jc w:val="left"/>
          </w:pPr>
          <w:hyperlink w:history="true" w:anchor="_bookmark311">
            <w:r>
              <w:rPr/>
              <w:t>pageFields (Page Field</w:t>
            </w:r>
            <w:r>
              <w:rPr>
                <w:spacing w:val="-1"/>
              </w:rPr>
              <w:t> </w:t>
            </w:r>
            <w:r>
              <w:rPr/>
              <w:t>Items)</w:t>
              <w:tab/>
              <w:t>1883</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312">
            <w:r>
              <w:rPr/>
              <w:t>pageItem (Page</w:t>
            </w:r>
            <w:r>
              <w:rPr>
                <w:spacing w:val="1"/>
              </w:rPr>
              <w:t> </w:t>
            </w:r>
            <w:r>
              <w:rPr/>
              <w:t>Item)</w:t>
              <w:tab/>
              <w:t>1883</w:t>
            </w:r>
          </w:hyperlink>
        </w:p>
        <w:p>
          <w:pPr>
            <w:pStyle w:val="TOC4"/>
            <w:numPr>
              <w:ilvl w:val="3"/>
              <w:numId w:val="1"/>
            </w:numPr>
            <w:tabs>
              <w:tab w:pos="1979" w:val="left" w:leader="none"/>
              <w:tab w:pos="1980" w:val="left" w:leader="none"/>
              <w:tab w:pos="10293" w:val="right" w:leader="dot"/>
            </w:tabs>
            <w:spacing w:line="240" w:lineRule="auto" w:before="0" w:after="0"/>
            <w:ind w:left="1979" w:right="0" w:hanging="1357"/>
            <w:jc w:val="left"/>
          </w:pPr>
          <w:hyperlink w:history="true" w:anchor="_bookmark313">
            <w:r>
              <w:rPr/>
              <w:t>pages (Page</w:t>
            </w:r>
            <w:r>
              <w:rPr>
                <w:spacing w:val="1"/>
              </w:rPr>
              <w:t> </w:t>
            </w:r>
            <w:r>
              <w:rPr/>
              <w:t>Item</w:t>
            </w:r>
            <w:r>
              <w:rPr>
                <w:spacing w:val="-1"/>
              </w:rPr>
              <w:t> </w:t>
            </w:r>
            <w:r>
              <w:rPr/>
              <w:t>Values)</w:t>
              <w:tab/>
              <w:t>1883</w:t>
            </w:r>
          </w:hyperlink>
        </w:p>
        <w:p>
          <w:pPr>
            <w:pStyle w:val="TOC4"/>
            <w:numPr>
              <w:ilvl w:val="3"/>
              <w:numId w:val="1"/>
            </w:numPr>
            <w:tabs>
              <w:tab w:pos="1979" w:val="left" w:leader="none"/>
              <w:tab w:pos="1980" w:val="left" w:leader="none"/>
              <w:tab w:pos="10293" w:val="right" w:leader="dot"/>
            </w:tabs>
            <w:spacing w:line="240" w:lineRule="auto" w:before="0" w:after="20"/>
            <w:ind w:left="1979" w:right="0" w:hanging="1357"/>
            <w:jc w:val="left"/>
          </w:pPr>
          <w:hyperlink w:history="true" w:anchor="_bookmark314">
            <w:r>
              <w:rPr/>
              <w:t>pivotAreas (Pivot Areas)</w:t>
              <w:tab/>
              <w:t>1884</w:t>
            </w:r>
          </w:hyperlink>
        </w:p>
        <w:p>
          <w:pPr>
            <w:pStyle w:val="TOC4"/>
            <w:numPr>
              <w:ilvl w:val="3"/>
              <w:numId w:val="1"/>
            </w:numPr>
            <w:tabs>
              <w:tab w:pos="1979" w:val="left" w:leader="none"/>
              <w:tab w:pos="1980" w:val="left" w:leader="none"/>
              <w:tab w:pos="9845" w:val="left" w:leader="dot"/>
            </w:tabs>
            <w:spacing w:line="240" w:lineRule="auto" w:before="90" w:after="0"/>
            <w:ind w:left="1979" w:right="0" w:hanging="1357"/>
            <w:jc w:val="left"/>
          </w:pPr>
          <w:hyperlink w:history="true" w:anchor="_bookmark315">
            <w:r>
              <w:rPr/>
              <w:t>pivotCacheDefinition</w:t>
            </w:r>
            <w:r>
              <w:rPr>
                <w:spacing w:val="-3"/>
              </w:rPr>
              <w:t> </w:t>
            </w:r>
            <w:r>
              <w:rPr/>
              <w:t>(PivotCache</w:t>
            </w:r>
            <w:r>
              <w:rPr>
                <w:spacing w:val="-3"/>
              </w:rPr>
              <w:t> </w:t>
            </w:r>
            <w:r>
              <w:rPr/>
              <w:t>Definition)</w:t>
              <w:tab/>
              <w:t>1884</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16">
            <w:r>
              <w:rPr/>
              <w:t>pivotCacheRecords</w:t>
            </w:r>
            <w:r>
              <w:rPr>
                <w:spacing w:val="-2"/>
              </w:rPr>
              <w:t> </w:t>
            </w:r>
            <w:r>
              <w:rPr/>
              <w:t>(PivotCache Records)</w:t>
              <w:tab/>
              <w:t>1888</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17">
            <w:r>
              <w:rPr/>
              <w:t>pivotField</w:t>
            </w:r>
            <w:r>
              <w:rPr>
                <w:spacing w:val="-3"/>
              </w:rPr>
              <w:t> </w:t>
            </w:r>
            <w:r>
              <w:rPr/>
              <w:t>(PivotTable</w:t>
            </w:r>
            <w:r>
              <w:rPr>
                <w:spacing w:val="-1"/>
              </w:rPr>
              <w:t> </w:t>
            </w:r>
            <w:r>
              <w:rPr/>
              <w:t>Field)</w:t>
              <w:tab/>
              <w:t>1889</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18">
            <w:r>
              <w:rPr/>
              <w:t>pivotFields</w:t>
            </w:r>
            <w:r>
              <w:rPr>
                <w:spacing w:val="-3"/>
              </w:rPr>
              <w:t> </w:t>
            </w:r>
            <w:r>
              <w:rPr/>
              <w:t>(PivotTable</w:t>
            </w:r>
            <w:r>
              <w:rPr>
                <w:spacing w:val="-2"/>
              </w:rPr>
              <w:t> </w:t>
            </w:r>
            <w:r>
              <w:rPr/>
              <w:t>Fields)</w:t>
              <w:tab/>
              <w:t>1900</w:t>
            </w:r>
          </w:hyperlink>
        </w:p>
        <w:p>
          <w:pPr>
            <w:pStyle w:val="TOC4"/>
            <w:numPr>
              <w:ilvl w:val="3"/>
              <w:numId w:val="1"/>
            </w:numPr>
            <w:tabs>
              <w:tab w:pos="1979" w:val="left" w:leader="none"/>
              <w:tab w:pos="1980" w:val="left" w:leader="none"/>
              <w:tab w:pos="9845" w:val="left" w:leader="dot"/>
            </w:tabs>
            <w:spacing w:line="267" w:lineRule="exact" w:before="1" w:after="0"/>
            <w:ind w:left="1979" w:right="0" w:hanging="1357"/>
            <w:jc w:val="left"/>
          </w:pPr>
          <w:hyperlink w:history="true" w:anchor="_bookmark319">
            <w:r>
              <w:rPr/>
              <w:t>pivotHierarchies (PivotTable</w:t>
            </w:r>
            <w:r>
              <w:rPr>
                <w:spacing w:val="-4"/>
              </w:rPr>
              <w:t> </w:t>
            </w:r>
            <w:r>
              <w:rPr/>
              <w:t>OLAP</w:t>
            </w:r>
            <w:r>
              <w:rPr>
                <w:spacing w:val="-1"/>
              </w:rPr>
              <w:t> </w:t>
            </w:r>
            <w:r>
              <w:rPr/>
              <w:t>Hierarchies)</w:t>
              <w:tab/>
              <w:t>1901</w:t>
            </w:r>
          </w:hyperlink>
        </w:p>
        <w:p>
          <w:pPr>
            <w:pStyle w:val="TOC4"/>
            <w:numPr>
              <w:ilvl w:val="3"/>
              <w:numId w:val="1"/>
            </w:numPr>
            <w:tabs>
              <w:tab w:pos="1979" w:val="left" w:leader="none"/>
              <w:tab w:pos="1980" w:val="left" w:leader="none"/>
              <w:tab w:pos="9845" w:val="left" w:leader="dot"/>
            </w:tabs>
            <w:spacing w:line="267" w:lineRule="exact" w:before="0" w:after="0"/>
            <w:ind w:left="1979" w:right="0" w:hanging="1357"/>
            <w:jc w:val="left"/>
          </w:pPr>
          <w:hyperlink w:history="true" w:anchor="_bookmark320">
            <w:r>
              <w:rPr/>
              <w:t>pivotHierarchy</w:t>
            </w:r>
            <w:r>
              <w:rPr>
                <w:spacing w:val="-4"/>
              </w:rPr>
              <w:t> </w:t>
            </w:r>
            <w:r>
              <w:rPr/>
              <w:t>(OLAP Hierarchy)</w:t>
              <w:tab/>
              <w:t>1902</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21">
            <w:r>
              <w:rPr/>
              <w:t>pivotTableDefinition</w:t>
            </w:r>
            <w:r>
              <w:rPr>
                <w:spacing w:val="-4"/>
              </w:rPr>
              <w:t> </w:t>
            </w:r>
            <w:r>
              <w:rPr/>
              <w:t>(PivotTable</w:t>
            </w:r>
            <w:r>
              <w:rPr>
                <w:spacing w:val="-2"/>
              </w:rPr>
              <w:t> </w:t>
            </w:r>
            <w:r>
              <w:rPr/>
              <w:t>Definition)</w:t>
              <w:tab/>
              <w:t>1904</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22">
            <w:r>
              <w:rPr/>
              <w:t>pivotTableStyleInfo</w:t>
            </w:r>
            <w:r>
              <w:rPr>
                <w:spacing w:val="-4"/>
              </w:rPr>
              <w:t> </w:t>
            </w:r>
            <w:r>
              <w:rPr/>
              <w:t>(PivotTable</w:t>
            </w:r>
            <w:r>
              <w:rPr>
                <w:spacing w:val="-2"/>
              </w:rPr>
              <w:t> </w:t>
            </w:r>
            <w:r>
              <w:rPr/>
              <w:t>Style)</w:t>
              <w:tab/>
              <w:t>1934</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23">
            <w:r>
              <w:rPr/>
              <w:t>query</w:t>
            </w:r>
            <w:r>
              <w:rPr>
                <w:spacing w:val="-1"/>
              </w:rPr>
              <w:t> </w:t>
            </w:r>
            <w:r>
              <w:rPr/>
              <w:t>(Query)</w:t>
              <w:tab/>
              <w:t>1936</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24">
            <w:r>
              <w:rPr/>
              <w:t>queryCache (OLAP</w:t>
            </w:r>
            <w:r>
              <w:rPr>
                <w:spacing w:val="-6"/>
              </w:rPr>
              <w:t> </w:t>
            </w:r>
            <w:r>
              <w:rPr/>
              <w:t>Query</w:t>
            </w:r>
            <w:r>
              <w:rPr>
                <w:spacing w:val="-2"/>
              </w:rPr>
              <w:t> </w:t>
            </w:r>
            <w:r>
              <w:rPr/>
              <w:t>Cache)</w:t>
              <w:tab/>
              <w:t>1936</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25">
            <w:r>
              <w:rPr/>
              <w:t>r</w:t>
            </w:r>
            <w:r>
              <w:rPr>
                <w:spacing w:val="-1"/>
              </w:rPr>
              <w:t> </w:t>
            </w:r>
            <w:r>
              <w:rPr/>
              <w:t>(PivotCache</w:t>
            </w:r>
            <w:r>
              <w:rPr>
                <w:spacing w:val="-3"/>
              </w:rPr>
              <w:t> </w:t>
            </w:r>
            <w:r>
              <w:rPr/>
              <w:t>Record)</w:t>
              <w:tab/>
              <w:t>1936</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26">
            <w:r>
              <w:rPr/>
              <w:t>rangePr (Range</w:t>
            </w:r>
            <w:r>
              <w:rPr>
                <w:spacing w:val="-1"/>
              </w:rPr>
              <w:t> </w:t>
            </w:r>
            <w:r>
              <w:rPr/>
              <w:t>Grouping</w:t>
            </w:r>
            <w:r>
              <w:rPr>
                <w:spacing w:val="-2"/>
              </w:rPr>
              <w:t> </w:t>
            </w:r>
            <w:r>
              <w:rPr/>
              <w:t>Properties)</w:t>
              <w:tab/>
              <w:t>1937</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27">
            <w:r>
              <w:rPr/>
              <w:t>rangeSet</w:t>
            </w:r>
            <w:r>
              <w:rPr>
                <w:spacing w:val="-2"/>
              </w:rPr>
              <w:t> </w:t>
            </w:r>
            <w:r>
              <w:rPr/>
              <w:t>(Range Set)</w:t>
              <w:tab/>
              <w:t>1938</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28">
            <w:r>
              <w:rPr/>
              <w:t>rangeSets</w:t>
            </w:r>
            <w:r>
              <w:rPr>
                <w:spacing w:val="-1"/>
              </w:rPr>
              <w:t> </w:t>
            </w:r>
            <w:r>
              <w:rPr/>
              <w:t>(Range Sets)</w:t>
              <w:tab/>
              <w:t>1941</w:t>
            </w:r>
          </w:hyperlink>
        </w:p>
        <w:p>
          <w:pPr>
            <w:pStyle w:val="TOC4"/>
            <w:numPr>
              <w:ilvl w:val="3"/>
              <w:numId w:val="1"/>
            </w:numPr>
            <w:tabs>
              <w:tab w:pos="1979" w:val="left" w:leader="none"/>
              <w:tab w:pos="1980" w:val="left" w:leader="none"/>
              <w:tab w:pos="9845" w:val="left" w:leader="dot"/>
            </w:tabs>
            <w:spacing w:line="267" w:lineRule="exact" w:before="0" w:after="0"/>
            <w:ind w:left="1979" w:right="0" w:hanging="1357"/>
            <w:jc w:val="left"/>
          </w:pPr>
          <w:hyperlink w:history="true" w:anchor="_bookmark329">
            <w:r>
              <w:rPr/>
              <w:t>rowFields</w:t>
            </w:r>
            <w:r>
              <w:rPr>
                <w:spacing w:val="-5"/>
              </w:rPr>
              <w:t> </w:t>
            </w:r>
            <w:r>
              <w:rPr/>
              <w:t>(Row Fields)</w:t>
              <w:tab/>
              <w:t>1942</w:t>
            </w:r>
          </w:hyperlink>
        </w:p>
        <w:p>
          <w:pPr>
            <w:pStyle w:val="TOC4"/>
            <w:numPr>
              <w:ilvl w:val="3"/>
              <w:numId w:val="1"/>
            </w:numPr>
            <w:tabs>
              <w:tab w:pos="1979" w:val="left" w:leader="none"/>
              <w:tab w:pos="1980" w:val="left" w:leader="none"/>
              <w:tab w:pos="9845" w:val="left" w:leader="dot"/>
            </w:tabs>
            <w:spacing w:line="267" w:lineRule="exact" w:before="0" w:after="0"/>
            <w:ind w:left="1979" w:right="0" w:hanging="1357"/>
            <w:jc w:val="left"/>
          </w:pPr>
          <w:hyperlink w:history="true" w:anchor="_bookmark330">
            <w:r>
              <w:rPr/>
              <w:t>rowHierarchiesUsage (Row OLAP</w:t>
            </w:r>
            <w:r>
              <w:rPr>
                <w:spacing w:val="-9"/>
              </w:rPr>
              <w:t> </w:t>
            </w:r>
            <w:r>
              <w:rPr/>
              <w:t>Hierarchy</w:t>
            </w:r>
            <w:r>
              <w:rPr>
                <w:spacing w:val="-3"/>
              </w:rPr>
              <w:t> </w:t>
            </w:r>
            <w:r>
              <w:rPr/>
              <w:t>References)</w:t>
              <w:tab/>
              <w:t>1943</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31">
            <w:r>
              <w:rPr/>
              <w:t>rowHierarchyUsage (Row</w:t>
            </w:r>
            <w:r>
              <w:rPr>
                <w:spacing w:val="-6"/>
              </w:rPr>
              <w:t> </w:t>
            </w:r>
            <w:r>
              <w:rPr/>
              <w:t>OLAP</w:t>
            </w:r>
            <w:r>
              <w:rPr>
                <w:spacing w:val="-4"/>
              </w:rPr>
              <w:t> </w:t>
            </w:r>
            <w:r>
              <w:rPr/>
              <w:t>Hierarchies)</w:t>
              <w:tab/>
              <w:t>1943</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32">
            <w:r>
              <w:rPr/>
              <w:t>rowItems</w:t>
            </w:r>
            <w:r>
              <w:rPr>
                <w:spacing w:val="-1"/>
              </w:rPr>
              <w:t> </w:t>
            </w:r>
            <w:r>
              <w:rPr/>
              <w:t>(Row</w:t>
            </w:r>
            <w:r>
              <w:rPr>
                <w:spacing w:val="-3"/>
              </w:rPr>
              <w:t> </w:t>
            </w:r>
            <w:r>
              <w:rPr/>
              <w:t>Items)</w:t>
              <w:tab/>
              <w:t>1943</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33">
            <w:r>
              <w:rPr/>
              <w:t>s</w:t>
            </w:r>
            <w:r>
              <w:rPr>
                <w:spacing w:val="-1"/>
              </w:rPr>
              <w:t> </w:t>
            </w:r>
            <w:r>
              <w:rPr/>
              <w:t>(Character</w:t>
            </w:r>
            <w:r>
              <w:rPr>
                <w:spacing w:val="-1"/>
              </w:rPr>
              <w:t> </w:t>
            </w:r>
            <w:r>
              <w:rPr/>
              <w:t>Value)</w:t>
              <w:tab/>
              <w:t>1945</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34">
            <w:r>
              <w:rPr/>
              <w:t>serverFormat</w:t>
            </w:r>
            <w:r>
              <w:rPr>
                <w:spacing w:val="-6"/>
              </w:rPr>
              <w:t> </w:t>
            </w:r>
            <w:r>
              <w:rPr/>
              <w:t>(Server</w:t>
            </w:r>
            <w:r>
              <w:rPr>
                <w:spacing w:val="-2"/>
              </w:rPr>
              <w:t> </w:t>
            </w:r>
            <w:r>
              <w:rPr/>
              <w:t>Format)</w:t>
              <w:tab/>
              <w:t>1947</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35">
            <w:r>
              <w:rPr/>
              <w:t>serverFormats</w:t>
            </w:r>
            <w:r>
              <w:rPr>
                <w:spacing w:val="-4"/>
              </w:rPr>
              <w:t> </w:t>
            </w:r>
            <w:r>
              <w:rPr/>
              <w:t>(Server</w:t>
            </w:r>
            <w:r>
              <w:rPr>
                <w:spacing w:val="-3"/>
              </w:rPr>
              <w:t> </w:t>
            </w:r>
            <w:r>
              <w:rPr/>
              <w:t>Formats)</w:t>
              <w:tab/>
              <w:t>1947</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36">
            <w:r>
              <w:rPr/>
              <w:t>set</w:t>
            </w:r>
            <w:r>
              <w:rPr>
                <w:spacing w:val="-2"/>
              </w:rPr>
              <w:t> </w:t>
            </w:r>
            <w:r>
              <w:rPr/>
              <w:t>(OLAP</w:t>
            </w:r>
            <w:r>
              <w:rPr>
                <w:spacing w:val="-1"/>
              </w:rPr>
              <w:t> </w:t>
            </w:r>
            <w:r>
              <w:rPr/>
              <w:t>Set)</w:t>
              <w:tab/>
              <w:t>1947</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37">
            <w:r>
              <w:rPr/>
              <w:t>sets</w:t>
            </w:r>
            <w:r>
              <w:rPr>
                <w:spacing w:val="-2"/>
              </w:rPr>
              <w:t> </w:t>
            </w:r>
            <w:r>
              <w:rPr/>
              <w:t>(Sets)</w:t>
              <w:tab/>
              <w:t>1948</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38">
            <w:r>
              <w:rPr/>
              <w:t>sharedItems</w:t>
            </w:r>
            <w:r>
              <w:rPr>
                <w:spacing w:val="-2"/>
              </w:rPr>
              <w:t> </w:t>
            </w:r>
            <w:r>
              <w:rPr/>
              <w:t>(Shared</w:t>
            </w:r>
            <w:r>
              <w:rPr>
                <w:spacing w:val="-2"/>
              </w:rPr>
              <w:t> </w:t>
            </w:r>
            <w:r>
              <w:rPr/>
              <w:t>Items)</w:t>
              <w:tab/>
              <w:t>1949</w:t>
            </w:r>
          </w:hyperlink>
        </w:p>
        <w:p>
          <w:pPr>
            <w:pStyle w:val="TOC4"/>
            <w:numPr>
              <w:ilvl w:val="3"/>
              <w:numId w:val="1"/>
            </w:numPr>
            <w:tabs>
              <w:tab w:pos="1979" w:val="left" w:leader="none"/>
              <w:tab w:pos="1980" w:val="left" w:leader="none"/>
              <w:tab w:pos="9845" w:val="left" w:leader="dot"/>
            </w:tabs>
            <w:spacing w:line="267" w:lineRule="exact" w:before="1" w:after="0"/>
            <w:ind w:left="1979" w:right="0" w:hanging="1357"/>
            <w:jc w:val="left"/>
          </w:pPr>
          <w:hyperlink w:history="true" w:anchor="_bookmark339">
            <w:r>
              <w:rPr/>
              <w:t>sortByTuple (Sort</w:t>
            </w:r>
            <w:r>
              <w:rPr>
                <w:spacing w:val="-5"/>
              </w:rPr>
              <w:t> </w:t>
            </w:r>
            <w:r>
              <w:rPr/>
              <w:t>By</w:t>
            </w:r>
            <w:r>
              <w:rPr>
                <w:spacing w:val="-2"/>
              </w:rPr>
              <w:t> </w:t>
            </w:r>
            <w:r>
              <w:rPr/>
              <w:t>Tuple)</w:t>
              <w:tab/>
              <w:t>1952</w:t>
            </w:r>
          </w:hyperlink>
        </w:p>
        <w:p>
          <w:pPr>
            <w:pStyle w:val="TOC4"/>
            <w:numPr>
              <w:ilvl w:val="3"/>
              <w:numId w:val="1"/>
            </w:numPr>
            <w:tabs>
              <w:tab w:pos="1979" w:val="left" w:leader="none"/>
              <w:tab w:pos="1980" w:val="left" w:leader="none"/>
              <w:tab w:pos="9845" w:val="left" w:leader="dot"/>
            </w:tabs>
            <w:spacing w:line="267" w:lineRule="exact" w:before="0" w:after="0"/>
            <w:ind w:left="1979" w:right="0" w:hanging="1357"/>
            <w:jc w:val="left"/>
          </w:pPr>
          <w:hyperlink w:history="true" w:anchor="_bookmark340">
            <w:r>
              <w:rPr/>
              <w:t>tpl</w:t>
            </w:r>
            <w:r>
              <w:rPr>
                <w:spacing w:val="-1"/>
              </w:rPr>
              <w:t> </w:t>
            </w:r>
            <w:r>
              <w:rPr/>
              <w:t>(Tuple)</w:t>
              <w:tab/>
              <w:t>1953</w:t>
            </w:r>
          </w:hyperlink>
        </w:p>
        <w:p>
          <w:pPr>
            <w:pStyle w:val="TOC2"/>
            <w:numPr>
              <w:ilvl w:val="3"/>
              <w:numId w:val="1"/>
            </w:numPr>
            <w:tabs>
              <w:tab w:pos="1355" w:val="left" w:leader="none"/>
              <w:tab w:pos="1356" w:val="left" w:leader="none"/>
              <w:tab w:pos="9222" w:val="left" w:leader="dot"/>
            </w:tabs>
            <w:spacing w:line="240" w:lineRule="auto" w:before="0" w:after="0"/>
            <w:ind w:left="1979" w:right="384" w:hanging="1980"/>
            <w:jc w:val="right"/>
          </w:pPr>
          <w:hyperlink w:history="true" w:anchor="_bookmark341">
            <w:r>
              <w:rPr/>
              <w:t>tpls</w:t>
            </w:r>
            <w:r>
              <w:rPr>
                <w:spacing w:val="-1"/>
              </w:rPr>
              <w:t> </w:t>
            </w:r>
            <w:r>
              <w:rPr/>
              <w:t>(Tuples)</w:t>
              <w:tab/>
            </w:r>
            <w:r>
              <w:rPr>
                <w:spacing w:val="-1"/>
              </w:rPr>
              <w:t>1953</w:t>
            </w:r>
          </w:hyperlink>
        </w:p>
        <w:p>
          <w:pPr>
            <w:pStyle w:val="TOC2"/>
            <w:numPr>
              <w:ilvl w:val="3"/>
              <w:numId w:val="1"/>
            </w:numPr>
            <w:tabs>
              <w:tab w:pos="1355" w:val="left" w:leader="none"/>
              <w:tab w:pos="1356" w:val="left" w:leader="none"/>
              <w:tab w:pos="9222" w:val="left" w:leader="dot"/>
            </w:tabs>
            <w:spacing w:line="240" w:lineRule="auto" w:before="0" w:after="0"/>
            <w:ind w:left="1979" w:right="384" w:hanging="1980"/>
            <w:jc w:val="right"/>
          </w:pPr>
          <w:hyperlink w:history="true" w:anchor="_bookmark342">
            <w:r>
              <w:rPr/>
              <w:t>tupleCache</w:t>
            </w:r>
            <w:r>
              <w:rPr>
                <w:spacing w:val="-1"/>
              </w:rPr>
              <w:t> </w:t>
            </w:r>
            <w:r>
              <w:rPr/>
              <w:t>(Tuple</w:t>
            </w:r>
            <w:r>
              <w:rPr>
                <w:spacing w:val="-1"/>
              </w:rPr>
              <w:t> </w:t>
            </w:r>
            <w:r>
              <w:rPr/>
              <w:t>Cache)</w:t>
              <w:tab/>
            </w:r>
            <w:r>
              <w:rPr>
                <w:spacing w:val="-1"/>
              </w:rPr>
              <w:t>1953</w:t>
            </w:r>
          </w:hyperlink>
        </w:p>
        <w:p>
          <w:pPr>
            <w:pStyle w:val="TOC2"/>
            <w:numPr>
              <w:ilvl w:val="3"/>
              <w:numId w:val="1"/>
            </w:numPr>
            <w:tabs>
              <w:tab w:pos="1355" w:val="left" w:leader="none"/>
              <w:tab w:pos="1356" w:val="left" w:leader="none"/>
              <w:tab w:pos="9222" w:val="left" w:leader="dot"/>
            </w:tabs>
            <w:spacing w:line="240" w:lineRule="auto" w:before="1" w:after="0"/>
            <w:ind w:left="1979" w:right="384" w:hanging="1980"/>
            <w:jc w:val="right"/>
          </w:pPr>
          <w:hyperlink w:history="true" w:anchor="_bookmark343">
            <w:r>
              <w:rPr/>
              <w:t>worksheetSource (Worksheet</w:t>
            </w:r>
            <w:r>
              <w:rPr>
                <w:spacing w:val="-6"/>
              </w:rPr>
              <w:t> </w:t>
            </w:r>
            <w:r>
              <w:rPr/>
              <w:t>PivotCache</w:t>
            </w:r>
            <w:r>
              <w:rPr>
                <w:spacing w:val="-1"/>
              </w:rPr>
              <w:t> </w:t>
            </w:r>
            <w:r>
              <w:rPr/>
              <w:t>Source)</w:t>
              <w:tab/>
            </w:r>
            <w:r>
              <w:rPr>
                <w:spacing w:val="-1"/>
              </w:rPr>
              <w:t>1953</w:t>
            </w:r>
          </w:hyperlink>
        </w:p>
        <w:p>
          <w:pPr>
            <w:pStyle w:val="TOC2"/>
            <w:numPr>
              <w:ilvl w:val="3"/>
              <w:numId w:val="1"/>
            </w:numPr>
            <w:tabs>
              <w:tab w:pos="1355" w:val="left" w:leader="none"/>
              <w:tab w:pos="1356" w:val="left" w:leader="none"/>
              <w:tab w:pos="9222" w:val="left" w:leader="dot"/>
            </w:tabs>
            <w:spacing w:line="240" w:lineRule="auto" w:before="0" w:after="0"/>
            <w:ind w:left="1979" w:right="384" w:hanging="1980"/>
            <w:jc w:val="right"/>
          </w:pPr>
          <w:hyperlink w:history="true" w:anchor="_bookmark344">
            <w:r>
              <w:rPr/>
              <w:t>x (Member</w:t>
            </w:r>
            <w:r>
              <w:rPr>
                <w:spacing w:val="-4"/>
              </w:rPr>
              <w:t> </w:t>
            </w:r>
            <w:r>
              <w:rPr/>
              <w:t>Property</w:t>
            </w:r>
            <w:r>
              <w:rPr>
                <w:spacing w:val="-1"/>
              </w:rPr>
              <w:t> </w:t>
            </w:r>
            <w:r>
              <w:rPr/>
              <w:t>Index)</w:t>
              <w:tab/>
            </w:r>
            <w:r>
              <w:rPr>
                <w:spacing w:val="-1"/>
              </w:rPr>
              <w:t>1954</w:t>
            </w:r>
          </w:hyperlink>
        </w:p>
        <w:p>
          <w:pPr>
            <w:pStyle w:val="TOC2"/>
            <w:numPr>
              <w:ilvl w:val="3"/>
              <w:numId w:val="1"/>
            </w:numPr>
            <w:tabs>
              <w:tab w:pos="1355" w:val="left" w:leader="none"/>
              <w:tab w:pos="1356" w:val="left" w:leader="none"/>
              <w:tab w:pos="9222" w:val="left" w:leader="dot"/>
            </w:tabs>
            <w:spacing w:line="240" w:lineRule="auto" w:before="0" w:after="0"/>
            <w:ind w:left="1979" w:right="384" w:hanging="1980"/>
            <w:jc w:val="right"/>
          </w:pPr>
          <w:hyperlink w:history="true" w:anchor="_bookmark345">
            <w:r>
              <w:rPr/>
              <w:t>x (Shared</w:t>
            </w:r>
            <w:r>
              <w:rPr>
                <w:spacing w:val="-2"/>
              </w:rPr>
              <w:t> </w:t>
            </w:r>
            <w:r>
              <w:rPr/>
              <w:t>Items Index)</w:t>
              <w:tab/>
            </w:r>
            <w:r>
              <w:rPr>
                <w:spacing w:val="-1"/>
              </w:rPr>
              <w:t>1954</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46">
            <w:r>
              <w:rPr/>
              <w:t>Shared Pivot</w:t>
            </w:r>
            <w:r>
              <w:rPr>
                <w:spacing w:val="-3"/>
              </w:rPr>
              <w:t> </w:t>
            </w:r>
            <w:r>
              <w:rPr/>
              <w:t>Table</w:t>
            </w:r>
            <w:r>
              <w:rPr>
                <w:spacing w:val="-3"/>
              </w:rPr>
              <w:t> </w:t>
            </w:r>
            <w:r>
              <w:rPr/>
              <w:t>Data</w:t>
              <w:tab/>
            </w:r>
            <w:r>
              <w:rPr>
                <w:spacing w:val="-1"/>
              </w:rPr>
              <w:t>1955</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347">
            <w:r>
              <w:rPr/>
              <w:t>reference</w:t>
            </w:r>
            <w:r>
              <w:rPr>
                <w:spacing w:val="-1"/>
              </w:rPr>
              <w:t> </w:t>
            </w:r>
            <w:r>
              <w:rPr/>
              <w:t>(Reference)</w:t>
              <w:tab/>
            </w:r>
            <w:r>
              <w:rPr>
                <w:spacing w:val="-1"/>
              </w:rPr>
              <w:t>1955</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348">
            <w:r>
              <w:rPr/>
              <w:t>references</w:t>
            </w:r>
            <w:r>
              <w:rPr>
                <w:spacing w:val="-1"/>
              </w:rPr>
              <w:t> </w:t>
            </w:r>
            <w:r>
              <w:rPr/>
              <w:t>(References)</w:t>
              <w:tab/>
            </w:r>
            <w:r>
              <w:rPr>
                <w:spacing w:val="-1"/>
              </w:rPr>
              <w:t>1959</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349">
            <w:r>
              <w:rPr/>
              <w:t>Shared</w:t>
            </w:r>
            <w:r>
              <w:rPr>
                <w:spacing w:val="-4"/>
              </w:rPr>
              <w:t> </w:t>
            </w:r>
            <w:r>
              <w:rPr/>
              <w:t>Workbook</w:t>
            </w:r>
            <w:r>
              <w:rPr>
                <w:spacing w:val="-2"/>
              </w:rPr>
              <w:t> </w:t>
            </w:r>
            <w:r>
              <w:rPr/>
              <w:t>Data</w:t>
              <w:tab/>
            </w:r>
            <w:r>
              <w:rPr>
                <w:spacing w:val="-1"/>
              </w:rPr>
              <w:t>1959</w:t>
            </w:r>
          </w:hyperlink>
        </w:p>
        <w:p>
          <w:pPr>
            <w:pStyle w:val="TOC2"/>
            <w:numPr>
              <w:ilvl w:val="2"/>
              <w:numId w:val="1"/>
            </w:numPr>
            <w:tabs>
              <w:tab w:pos="897" w:val="left" w:leader="none"/>
              <w:tab w:pos="898" w:val="left" w:leader="none"/>
              <w:tab w:pos="9424" w:val="left" w:leader="dot"/>
            </w:tabs>
            <w:spacing w:line="240" w:lineRule="auto" w:before="39" w:after="0"/>
            <w:ind w:left="1319" w:right="384" w:hanging="1320"/>
            <w:jc w:val="right"/>
          </w:pPr>
          <w:hyperlink w:history="true" w:anchor="_bookmark350">
            <w:r>
              <w:rPr/>
              <w:t>Shared</w:t>
            </w:r>
            <w:r>
              <w:rPr>
                <w:spacing w:val="-2"/>
              </w:rPr>
              <w:t> </w:t>
            </w:r>
            <w:r>
              <w:rPr/>
              <w:t>Workbook</w:t>
            </w:r>
            <w:r>
              <w:rPr>
                <w:spacing w:val="-2"/>
              </w:rPr>
              <w:t> </w:t>
            </w:r>
            <w:r>
              <w:rPr/>
              <w:t>Data</w:t>
              <w:tab/>
            </w:r>
            <w:r>
              <w:rPr>
                <w:spacing w:val="-1"/>
              </w:rPr>
              <w:t>1960</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351">
            <w:r>
              <w:rPr/>
              <w:t>header</w:t>
            </w:r>
            <w:r>
              <w:rPr>
                <w:spacing w:val="-2"/>
              </w:rPr>
              <w:t> </w:t>
            </w:r>
            <w:r>
              <w:rPr/>
              <w:t>(Header)</w:t>
              <w:tab/>
            </w:r>
            <w:r>
              <w:rPr>
                <w:spacing w:val="-1"/>
              </w:rPr>
              <w:t>1962</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352">
            <w:r>
              <w:rPr/>
              <w:t>headers</w:t>
            </w:r>
            <w:r>
              <w:rPr>
                <w:spacing w:val="-1"/>
              </w:rPr>
              <w:t> </w:t>
            </w:r>
            <w:r>
              <w:rPr/>
              <w:t>(Revision</w:t>
            </w:r>
            <w:r>
              <w:rPr>
                <w:spacing w:val="-2"/>
              </w:rPr>
              <w:t> </w:t>
            </w:r>
            <w:r>
              <w:rPr/>
              <w:t>Headers)</w:t>
              <w:tab/>
            </w:r>
            <w:r>
              <w:rPr>
                <w:spacing w:val="-1"/>
              </w:rPr>
              <w:t>1964</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353">
            <w:r>
              <w:rPr/>
              <w:t>nc (New</w:t>
            </w:r>
            <w:r>
              <w:rPr>
                <w:spacing w:val="-2"/>
              </w:rPr>
              <w:t> </w:t>
            </w:r>
            <w:r>
              <w:rPr/>
              <w:t>Cell</w:t>
            </w:r>
            <w:r>
              <w:rPr>
                <w:spacing w:val="-3"/>
              </w:rPr>
              <w:t> </w:t>
            </w:r>
            <w:r>
              <w:rPr/>
              <w:t>Data)</w:t>
              <w:tab/>
            </w:r>
            <w:r>
              <w:rPr>
                <w:spacing w:val="-1"/>
              </w:rPr>
              <w:t>1966</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354">
            <w:r>
              <w:rPr/>
              <w:t>ndxf (New</w:t>
            </w:r>
            <w:r>
              <w:rPr>
                <w:spacing w:val="-4"/>
              </w:rPr>
              <w:t> </w:t>
            </w:r>
            <w:r>
              <w:rPr/>
              <w:t>Formatting</w:t>
            </w:r>
            <w:r>
              <w:rPr>
                <w:spacing w:val="-2"/>
              </w:rPr>
              <w:t> </w:t>
            </w:r>
            <w:r>
              <w:rPr/>
              <w:t>Information)</w:t>
              <w:tab/>
            </w:r>
            <w:r>
              <w:rPr>
                <w:spacing w:val="-1"/>
              </w:rPr>
              <w:t>1967</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355">
            <w:r>
              <w:rPr/>
              <w:t>oc (Old</w:t>
            </w:r>
            <w:r>
              <w:rPr>
                <w:spacing w:val="-3"/>
              </w:rPr>
              <w:t> </w:t>
            </w:r>
            <w:r>
              <w:rPr/>
              <w:t>Cell</w:t>
            </w:r>
            <w:r>
              <w:rPr>
                <w:spacing w:val="-3"/>
              </w:rPr>
              <w:t> </w:t>
            </w:r>
            <w:r>
              <w:rPr/>
              <w:t>Data)</w:t>
              <w:tab/>
            </w:r>
            <w:r>
              <w:rPr>
                <w:spacing w:val="-1"/>
              </w:rPr>
              <w:t>1967</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356">
            <w:r>
              <w:rPr/>
              <w:t>odxf (Old</w:t>
            </w:r>
            <w:r>
              <w:rPr>
                <w:spacing w:val="-5"/>
              </w:rPr>
              <w:t> </w:t>
            </w:r>
            <w:r>
              <w:rPr/>
              <w:t>Formatting</w:t>
            </w:r>
            <w:r>
              <w:rPr>
                <w:spacing w:val="-3"/>
              </w:rPr>
              <w:t> </w:t>
            </w:r>
            <w:r>
              <w:rPr/>
              <w:t>Information)</w:t>
              <w:tab/>
            </w:r>
            <w:r>
              <w:rPr>
                <w:spacing w:val="-1"/>
              </w:rPr>
              <w:t>1968</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357">
            <w:r>
              <w:rPr/>
              <w:t>oldFormula</w:t>
            </w:r>
            <w:r>
              <w:rPr>
                <w:spacing w:val="-2"/>
              </w:rPr>
              <w:t> </w:t>
            </w:r>
            <w:r>
              <w:rPr/>
              <w:t>(Old</w:t>
            </w:r>
            <w:r>
              <w:rPr>
                <w:spacing w:val="-4"/>
              </w:rPr>
              <w:t> </w:t>
            </w:r>
            <w:r>
              <w:rPr/>
              <w:t>Formula)</w:t>
              <w:tab/>
            </w:r>
            <w:r>
              <w:rPr>
                <w:spacing w:val="-1"/>
              </w:rPr>
              <w:t>1968</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358">
            <w:r>
              <w:rPr/>
              <w:t>raf</w:t>
            </w:r>
            <w:r>
              <w:rPr>
                <w:spacing w:val="-1"/>
              </w:rPr>
              <w:t> </w:t>
            </w:r>
            <w:r>
              <w:rPr/>
              <w:t>(Revision</w:t>
            </w:r>
            <w:r>
              <w:rPr>
                <w:spacing w:val="-2"/>
              </w:rPr>
              <w:t> </w:t>
            </w:r>
            <w:r>
              <w:rPr/>
              <w:t>AutoFormat)</w:t>
              <w:tab/>
              <w:t>1968</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359">
            <w:r>
              <w:rPr/>
              <w:t>rcc (Revision</w:t>
            </w:r>
            <w:r>
              <w:rPr>
                <w:spacing w:val="-3"/>
              </w:rPr>
              <w:t> </w:t>
            </w:r>
            <w:r>
              <w:rPr/>
              <w:t>Cell</w:t>
            </w:r>
            <w:r>
              <w:rPr>
                <w:spacing w:val="-1"/>
              </w:rPr>
              <w:t> </w:t>
            </w:r>
            <w:r>
              <w:rPr/>
              <w:t>Change)</w:t>
              <w:tab/>
              <w:t>1970</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60">
            <w:r>
              <w:rPr/>
              <w:t>rcft (Revision</w:t>
            </w:r>
            <w:r>
              <w:rPr>
                <w:spacing w:val="-5"/>
              </w:rPr>
              <w:t> </w:t>
            </w:r>
            <w:r>
              <w:rPr/>
              <w:t>Merge</w:t>
            </w:r>
            <w:r>
              <w:rPr>
                <w:spacing w:val="-3"/>
              </w:rPr>
              <w:t> </w:t>
            </w:r>
            <w:r>
              <w:rPr/>
              <w:t>Conflict)</w:t>
              <w:tab/>
              <w:t>1972</w:t>
            </w:r>
          </w:hyperlink>
        </w:p>
        <w:p>
          <w:pPr>
            <w:pStyle w:val="TOC4"/>
            <w:numPr>
              <w:ilvl w:val="3"/>
              <w:numId w:val="1"/>
            </w:numPr>
            <w:tabs>
              <w:tab w:pos="1979" w:val="left" w:leader="none"/>
              <w:tab w:pos="1980" w:val="left" w:leader="none"/>
              <w:tab w:pos="9845" w:val="left" w:leader="dot"/>
            </w:tabs>
            <w:spacing w:line="240" w:lineRule="auto" w:before="0" w:after="185"/>
            <w:ind w:left="1979" w:right="0" w:hanging="1357"/>
            <w:jc w:val="left"/>
          </w:pPr>
          <w:hyperlink w:history="true" w:anchor="_bookmark361">
            <w:r>
              <w:rPr/>
              <w:t>rcmt (Revision</w:t>
            </w:r>
            <w:r>
              <w:rPr>
                <w:spacing w:val="-4"/>
              </w:rPr>
              <w:t> </w:t>
            </w:r>
            <w:r>
              <w:rPr/>
              <w:t>Cell</w:t>
            </w:r>
            <w:r>
              <w:rPr>
                <w:spacing w:val="-4"/>
              </w:rPr>
              <w:t> </w:t>
            </w:r>
            <w:r>
              <w:rPr/>
              <w:t>Comment)</w:t>
              <w:tab/>
              <w:t>1972</w:t>
            </w:r>
          </w:hyperlink>
        </w:p>
        <w:p>
          <w:pPr>
            <w:pStyle w:val="TOC4"/>
            <w:numPr>
              <w:ilvl w:val="3"/>
              <w:numId w:val="1"/>
            </w:numPr>
            <w:tabs>
              <w:tab w:pos="1979" w:val="left" w:leader="none"/>
              <w:tab w:pos="1980" w:val="left" w:leader="none"/>
              <w:tab w:pos="9845" w:val="left" w:leader="dot"/>
            </w:tabs>
            <w:spacing w:line="240" w:lineRule="auto" w:before="148" w:after="0"/>
            <w:ind w:left="1979" w:right="0" w:hanging="1357"/>
            <w:jc w:val="left"/>
          </w:pPr>
          <w:hyperlink w:history="true" w:anchor="_bookmark362">
            <w:r>
              <w:rPr/>
              <w:t>rcv (Revision</w:t>
            </w:r>
            <w:r>
              <w:rPr>
                <w:spacing w:val="-5"/>
              </w:rPr>
              <w:t> </w:t>
            </w:r>
            <w:r>
              <w:rPr/>
              <w:t>Custom View)</w:t>
              <w:tab/>
              <w:t>1974</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63">
            <w:r>
              <w:rPr/>
              <w:t>rdn (Revision</w:t>
            </w:r>
            <w:r>
              <w:rPr>
                <w:spacing w:val="-4"/>
              </w:rPr>
              <w:t> </w:t>
            </w:r>
            <w:r>
              <w:rPr/>
              <w:t>Defined</w:t>
            </w:r>
            <w:r>
              <w:rPr>
                <w:spacing w:val="-2"/>
              </w:rPr>
              <w:t> </w:t>
            </w:r>
            <w:r>
              <w:rPr/>
              <w:t>Name)</w:t>
              <w:tab/>
              <w:t>1974</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64">
            <w:r>
              <w:rPr/>
              <w:t>reviewed</w:t>
            </w:r>
            <w:r>
              <w:rPr>
                <w:spacing w:val="-5"/>
              </w:rPr>
              <w:t> </w:t>
            </w:r>
            <w:r>
              <w:rPr/>
              <w:t>(Reviewed)</w:t>
              <w:tab/>
              <w:t>1977</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65">
            <w:r>
              <w:rPr/>
              <w:t>reviewedList</w:t>
            </w:r>
            <w:r>
              <w:rPr>
                <w:spacing w:val="-2"/>
              </w:rPr>
              <w:t> </w:t>
            </w:r>
            <w:r>
              <w:rPr/>
              <w:t>(Reviewed</w:t>
            </w:r>
            <w:r>
              <w:rPr>
                <w:spacing w:val="-2"/>
              </w:rPr>
              <w:t> </w:t>
            </w:r>
            <w:r>
              <w:rPr/>
              <w:t>List)</w:t>
              <w:tab/>
              <w:t>1978</w:t>
            </w:r>
          </w:hyperlink>
        </w:p>
        <w:p>
          <w:pPr>
            <w:pStyle w:val="TOC4"/>
            <w:numPr>
              <w:ilvl w:val="3"/>
              <w:numId w:val="1"/>
            </w:numPr>
            <w:tabs>
              <w:tab w:pos="1979" w:val="left" w:leader="none"/>
              <w:tab w:pos="1980" w:val="left" w:leader="none"/>
              <w:tab w:pos="9845" w:val="left" w:leader="dot"/>
            </w:tabs>
            <w:spacing w:line="267" w:lineRule="exact" w:before="0" w:after="0"/>
            <w:ind w:left="1979" w:right="0" w:hanging="1357"/>
            <w:jc w:val="left"/>
          </w:pPr>
          <w:hyperlink w:history="true" w:anchor="_bookmark366">
            <w:r>
              <w:rPr/>
              <w:t>revisions</w:t>
            </w:r>
            <w:r>
              <w:rPr>
                <w:spacing w:val="-2"/>
              </w:rPr>
              <w:t> </w:t>
            </w:r>
            <w:r>
              <w:rPr/>
              <w:t>(Revisions)</w:t>
              <w:tab/>
              <w:t>1978</w:t>
            </w:r>
          </w:hyperlink>
        </w:p>
        <w:p>
          <w:pPr>
            <w:pStyle w:val="TOC4"/>
            <w:numPr>
              <w:ilvl w:val="3"/>
              <w:numId w:val="1"/>
            </w:numPr>
            <w:tabs>
              <w:tab w:pos="1979" w:val="left" w:leader="none"/>
              <w:tab w:pos="1980" w:val="left" w:leader="none"/>
              <w:tab w:pos="9845" w:val="left" w:leader="dot"/>
            </w:tabs>
            <w:spacing w:line="267" w:lineRule="exact" w:before="0" w:after="0"/>
            <w:ind w:left="1979" w:right="0" w:hanging="1357"/>
            <w:jc w:val="left"/>
          </w:pPr>
          <w:hyperlink w:history="true" w:anchor="_bookmark367">
            <w:r>
              <w:rPr/>
              <w:t>rfmt</w:t>
            </w:r>
            <w:r>
              <w:rPr>
                <w:spacing w:val="-4"/>
              </w:rPr>
              <w:t> </w:t>
            </w:r>
            <w:r>
              <w:rPr/>
              <w:t>(Revision</w:t>
            </w:r>
            <w:r>
              <w:rPr>
                <w:spacing w:val="-2"/>
              </w:rPr>
              <w:t> </w:t>
            </w:r>
            <w:r>
              <w:rPr/>
              <w:t>Format)</w:t>
              <w:tab/>
              <w:t>1979</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68">
            <w:r>
              <w:rPr/>
              <w:t>ris (Revision</w:t>
            </w:r>
            <w:r>
              <w:rPr>
                <w:spacing w:val="-4"/>
              </w:rPr>
              <w:t> </w:t>
            </w:r>
            <w:r>
              <w:rPr/>
              <w:t>Insert</w:t>
            </w:r>
            <w:r>
              <w:rPr>
                <w:spacing w:val="-3"/>
              </w:rPr>
              <w:t> </w:t>
            </w:r>
            <w:r>
              <w:rPr/>
              <w:t>Sheet)</w:t>
              <w:tab/>
              <w:t>1980</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69">
            <w:r>
              <w:rPr/>
              <w:t>rm (Revision</w:t>
            </w:r>
            <w:r>
              <w:rPr>
                <w:spacing w:val="-3"/>
              </w:rPr>
              <w:t> </w:t>
            </w:r>
            <w:r>
              <w:rPr/>
              <w:t>Cell</w:t>
            </w:r>
            <w:r>
              <w:rPr>
                <w:spacing w:val="-2"/>
              </w:rPr>
              <w:t> </w:t>
            </w:r>
            <w:r>
              <w:rPr/>
              <w:t>Move)</w:t>
              <w:tab/>
              <w:t>1981</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70">
            <w:r>
              <w:rPr/>
              <w:t>rqt (Revision</w:t>
            </w:r>
            <w:r>
              <w:rPr>
                <w:spacing w:val="-4"/>
              </w:rPr>
              <w:t> </w:t>
            </w:r>
            <w:r>
              <w:rPr/>
              <w:t>Query</w:t>
            </w:r>
            <w:r>
              <w:rPr>
                <w:spacing w:val="-1"/>
              </w:rPr>
              <w:t> </w:t>
            </w:r>
            <w:r>
              <w:rPr/>
              <w:t>Table)</w:t>
              <w:tab/>
              <w:t>1982</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71">
            <w:r>
              <w:rPr/>
              <w:t>rrc (Revision Row Column</w:t>
            </w:r>
            <w:r>
              <w:rPr>
                <w:spacing w:val="-9"/>
              </w:rPr>
              <w:t> </w:t>
            </w:r>
            <w:r>
              <w:rPr/>
              <w:t>Insert</w:t>
            </w:r>
            <w:r>
              <w:rPr>
                <w:spacing w:val="-3"/>
              </w:rPr>
              <w:t> </w:t>
            </w:r>
            <w:r>
              <w:rPr/>
              <w:t>Delete)</w:t>
              <w:tab/>
              <w:t>1982</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72">
            <w:r>
              <w:rPr/>
              <w:t>rsnm (Revision</w:t>
            </w:r>
            <w:r>
              <w:rPr>
                <w:spacing w:val="-3"/>
              </w:rPr>
              <w:t> </w:t>
            </w:r>
            <w:r>
              <w:rPr/>
              <w:t>Sheet</w:t>
            </w:r>
            <w:r>
              <w:rPr>
                <w:spacing w:val="-2"/>
              </w:rPr>
              <w:t> </w:t>
            </w:r>
            <w:r>
              <w:rPr/>
              <w:t>Name)</w:t>
              <w:tab/>
              <w:t>1984</w:t>
            </w:r>
          </w:hyperlink>
        </w:p>
        <w:p>
          <w:pPr>
            <w:pStyle w:val="TOC4"/>
            <w:numPr>
              <w:ilvl w:val="3"/>
              <w:numId w:val="1"/>
            </w:numPr>
            <w:tabs>
              <w:tab w:pos="1979" w:val="left" w:leader="none"/>
              <w:tab w:pos="1980" w:val="left" w:leader="none"/>
              <w:tab w:pos="9845" w:val="left" w:leader="dot"/>
            </w:tabs>
            <w:spacing w:line="240" w:lineRule="auto" w:before="1" w:after="0"/>
            <w:ind w:left="1979" w:right="0" w:hanging="1357"/>
            <w:jc w:val="left"/>
          </w:pPr>
          <w:hyperlink w:history="true" w:anchor="_bookmark373">
            <w:r>
              <w:rPr/>
              <w:t>sheetId</w:t>
            </w:r>
            <w:r>
              <w:rPr>
                <w:spacing w:val="-2"/>
              </w:rPr>
              <w:t> </w:t>
            </w:r>
            <w:r>
              <w:rPr/>
              <w:t>(Sheet</w:t>
            </w:r>
            <w:r>
              <w:rPr>
                <w:spacing w:val="-1"/>
              </w:rPr>
              <w:t> </w:t>
            </w:r>
            <w:r>
              <w:rPr/>
              <w:t>Id)</w:t>
              <w:tab/>
              <w:t>1985</w:t>
            </w:r>
          </w:hyperlink>
        </w:p>
        <w:p>
          <w:pPr>
            <w:pStyle w:val="TOC4"/>
            <w:numPr>
              <w:ilvl w:val="3"/>
              <w:numId w:val="1"/>
            </w:numPr>
            <w:tabs>
              <w:tab w:pos="1979" w:val="left" w:leader="none"/>
              <w:tab w:pos="1980" w:val="left" w:leader="none"/>
              <w:tab w:pos="9845" w:val="left" w:leader="dot"/>
            </w:tabs>
            <w:spacing w:line="240" w:lineRule="auto" w:before="0" w:after="0"/>
            <w:ind w:left="1979" w:right="0" w:hanging="1357"/>
            <w:jc w:val="left"/>
          </w:pPr>
          <w:hyperlink w:history="true" w:anchor="_bookmark374">
            <w:r>
              <w:rPr/>
              <w:t>sheetIdMap (Sheet</w:t>
            </w:r>
            <w:r>
              <w:rPr>
                <w:spacing w:val="-6"/>
              </w:rPr>
              <w:t> </w:t>
            </w:r>
            <w:r>
              <w:rPr/>
              <w:t>Id</w:t>
            </w:r>
            <w:r>
              <w:rPr>
                <w:spacing w:val="-2"/>
              </w:rPr>
              <w:t> </w:t>
            </w:r>
            <w:r>
              <w:rPr/>
              <w:t>Map)</w:t>
              <w:tab/>
              <w:t>1985</w:t>
            </w:r>
          </w:hyperlink>
        </w:p>
        <w:p>
          <w:pPr>
            <w:pStyle w:val="TOC2"/>
            <w:numPr>
              <w:ilvl w:val="3"/>
              <w:numId w:val="1"/>
            </w:numPr>
            <w:tabs>
              <w:tab w:pos="1355" w:val="left" w:leader="none"/>
              <w:tab w:pos="1356" w:val="left" w:leader="none"/>
              <w:tab w:pos="9222" w:val="left" w:leader="dot"/>
            </w:tabs>
            <w:spacing w:line="268" w:lineRule="exact" w:before="0" w:after="0"/>
            <w:ind w:left="1979" w:right="384" w:hanging="1980"/>
            <w:jc w:val="right"/>
          </w:pPr>
          <w:hyperlink w:history="true" w:anchor="_bookmark375">
            <w:r>
              <w:rPr/>
              <w:t>undo (Undo)</w:t>
              <w:tab/>
            </w:r>
            <w:r>
              <w:rPr>
                <w:spacing w:val="-1"/>
              </w:rPr>
              <w:t>1985</w:t>
            </w:r>
          </w:hyperlink>
        </w:p>
        <w:p>
          <w:pPr>
            <w:pStyle w:val="TOC2"/>
            <w:numPr>
              <w:ilvl w:val="2"/>
              <w:numId w:val="1"/>
            </w:numPr>
            <w:tabs>
              <w:tab w:pos="897" w:val="left" w:leader="none"/>
              <w:tab w:pos="898" w:val="left" w:leader="none"/>
              <w:tab w:pos="9424" w:val="left" w:leader="dot"/>
            </w:tabs>
            <w:spacing w:line="268" w:lineRule="exact" w:before="0" w:after="0"/>
            <w:ind w:left="1319" w:right="384" w:hanging="1320"/>
            <w:jc w:val="right"/>
          </w:pPr>
          <w:hyperlink w:history="true" w:anchor="_bookmark376">
            <w:r>
              <w:rPr/>
              <w:t>Shared Workbook</w:t>
            </w:r>
            <w:r>
              <w:rPr>
                <w:spacing w:val="-4"/>
              </w:rPr>
              <w:t> </w:t>
            </w:r>
            <w:r>
              <w:rPr/>
              <w:t>User</w:t>
            </w:r>
            <w:r>
              <w:rPr>
                <w:spacing w:val="-3"/>
              </w:rPr>
              <w:t> </w:t>
            </w:r>
            <w:r>
              <w:rPr/>
              <w:t>Data</w:t>
              <w:tab/>
            </w:r>
            <w:r>
              <w:rPr>
                <w:spacing w:val="-1"/>
              </w:rPr>
              <w:t>1987</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377">
            <w:r>
              <w:rPr/>
              <w:t>userInfo</w:t>
            </w:r>
            <w:r>
              <w:rPr>
                <w:spacing w:val="-2"/>
              </w:rPr>
              <w:t> </w:t>
            </w:r>
            <w:r>
              <w:rPr/>
              <w:t>(User</w:t>
            </w:r>
            <w:r>
              <w:rPr>
                <w:spacing w:val="-3"/>
              </w:rPr>
              <w:t> </w:t>
            </w:r>
            <w:r>
              <w:rPr/>
              <w:t>Information)</w:t>
              <w:tab/>
            </w:r>
            <w:r>
              <w:rPr>
                <w:spacing w:val="-1"/>
              </w:rPr>
              <w:t>1987</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378">
            <w:r>
              <w:rPr/>
              <w:t>users</w:t>
            </w:r>
            <w:r>
              <w:rPr>
                <w:spacing w:val="-1"/>
              </w:rPr>
              <w:t> </w:t>
            </w:r>
            <w:r>
              <w:rPr/>
              <w:t>(User</w:t>
            </w:r>
            <w:r>
              <w:rPr>
                <w:spacing w:val="-3"/>
              </w:rPr>
              <w:t> </w:t>
            </w:r>
            <w:r>
              <w:rPr/>
              <w:t>List)</w:t>
              <w:tab/>
            </w:r>
            <w:r>
              <w:rPr>
                <w:spacing w:val="-1"/>
              </w:rPr>
              <w:t>1987</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379">
            <w:r>
              <w:rPr/>
              <w:t>QueryTable</w:t>
            </w:r>
            <w:r>
              <w:rPr>
                <w:spacing w:val="-6"/>
              </w:rPr>
              <w:t> </w:t>
            </w:r>
            <w:r>
              <w:rPr/>
              <w:t>Data</w:t>
              <w:tab/>
            </w:r>
            <w:r>
              <w:rPr>
                <w:spacing w:val="-1"/>
              </w:rPr>
              <w:t>1988</w:t>
            </w:r>
          </w:hyperlink>
        </w:p>
        <w:p>
          <w:pPr>
            <w:pStyle w:val="TOC2"/>
            <w:numPr>
              <w:ilvl w:val="2"/>
              <w:numId w:val="1"/>
            </w:numPr>
            <w:tabs>
              <w:tab w:pos="897" w:val="left" w:leader="none"/>
              <w:tab w:pos="898" w:val="left" w:leader="none"/>
              <w:tab w:pos="9424" w:val="left" w:leader="dot"/>
            </w:tabs>
            <w:spacing w:line="240" w:lineRule="auto" w:before="41" w:after="0"/>
            <w:ind w:left="1319" w:right="384" w:hanging="1320"/>
            <w:jc w:val="right"/>
          </w:pPr>
          <w:hyperlink w:history="true" w:anchor="_bookmark380">
            <w:r>
              <w:rPr/>
              <w:t>deletedField</w:t>
            </w:r>
            <w:r>
              <w:rPr>
                <w:spacing w:val="-4"/>
              </w:rPr>
              <w:t> </w:t>
            </w:r>
            <w:r>
              <w:rPr/>
              <w:t>(Deleted</w:t>
            </w:r>
            <w:r>
              <w:rPr>
                <w:spacing w:val="-1"/>
              </w:rPr>
              <w:t> </w:t>
            </w:r>
            <w:r>
              <w:rPr/>
              <w:t>Field)</w:t>
              <w:tab/>
            </w:r>
            <w:r>
              <w:rPr>
                <w:spacing w:val="-1"/>
              </w:rPr>
              <w:t>1989</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81">
            <w:r>
              <w:rPr/>
              <w:t>queryTable</w:t>
            </w:r>
            <w:r>
              <w:rPr>
                <w:spacing w:val="-4"/>
              </w:rPr>
              <w:t> </w:t>
            </w:r>
            <w:r>
              <w:rPr/>
              <w:t>(Query</w:t>
            </w:r>
            <w:r>
              <w:rPr>
                <w:spacing w:val="-2"/>
              </w:rPr>
              <w:t> </w:t>
            </w:r>
            <w:r>
              <w:rPr/>
              <w:t>Table)</w:t>
              <w:tab/>
            </w:r>
            <w:r>
              <w:rPr>
                <w:spacing w:val="-1"/>
              </w:rPr>
              <w:t>1989</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82">
            <w:r>
              <w:rPr/>
              <w:t>queryTableDeletedFields</w:t>
            </w:r>
            <w:r>
              <w:rPr>
                <w:spacing w:val="-5"/>
              </w:rPr>
              <w:t> </w:t>
            </w:r>
            <w:r>
              <w:rPr/>
              <w:t>(Deleted</w:t>
            </w:r>
            <w:r>
              <w:rPr>
                <w:spacing w:val="-4"/>
              </w:rPr>
              <w:t> </w:t>
            </w:r>
            <w:r>
              <w:rPr/>
              <w:t>Fields)</w:t>
              <w:tab/>
            </w:r>
            <w:r>
              <w:rPr>
                <w:spacing w:val="-1"/>
              </w:rPr>
              <w:t>1992</w:t>
            </w:r>
          </w:hyperlink>
        </w:p>
        <w:p>
          <w:pPr>
            <w:pStyle w:val="TOC2"/>
            <w:numPr>
              <w:ilvl w:val="2"/>
              <w:numId w:val="1"/>
            </w:numPr>
            <w:tabs>
              <w:tab w:pos="897" w:val="left" w:leader="none"/>
              <w:tab w:pos="898" w:val="left" w:leader="none"/>
              <w:tab w:pos="9424" w:val="left" w:leader="dot"/>
            </w:tabs>
            <w:spacing w:line="267" w:lineRule="exact" w:before="1" w:after="0"/>
            <w:ind w:left="1319" w:right="384" w:hanging="1320"/>
            <w:jc w:val="right"/>
          </w:pPr>
          <w:hyperlink w:history="true" w:anchor="_bookmark383">
            <w:r>
              <w:rPr/>
              <w:t>queryTableField</w:t>
            </w:r>
            <w:r>
              <w:rPr>
                <w:spacing w:val="-6"/>
              </w:rPr>
              <w:t> </w:t>
            </w:r>
            <w:r>
              <w:rPr/>
              <w:t>(QueryTable</w:t>
            </w:r>
            <w:r>
              <w:rPr>
                <w:spacing w:val="-3"/>
              </w:rPr>
              <w:t> </w:t>
            </w:r>
            <w:r>
              <w:rPr/>
              <w:t>Field)</w:t>
              <w:tab/>
            </w:r>
            <w:r>
              <w:rPr>
                <w:spacing w:val="-1"/>
              </w:rPr>
              <w:t>1993</w:t>
            </w:r>
          </w:hyperlink>
        </w:p>
        <w:p>
          <w:pPr>
            <w:pStyle w:val="TOC2"/>
            <w:numPr>
              <w:ilvl w:val="2"/>
              <w:numId w:val="1"/>
            </w:numPr>
            <w:tabs>
              <w:tab w:pos="897" w:val="left" w:leader="none"/>
              <w:tab w:pos="898" w:val="left" w:leader="none"/>
              <w:tab w:pos="9424" w:val="left" w:leader="dot"/>
            </w:tabs>
            <w:spacing w:line="267" w:lineRule="exact" w:before="0" w:after="0"/>
            <w:ind w:left="1319" w:right="384" w:hanging="1320"/>
            <w:jc w:val="right"/>
          </w:pPr>
          <w:hyperlink w:history="true" w:anchor="_bookmark384">
            <w:r>
              <w:rPr/>
              <w:t>queryTableFields (Query</w:t>
            </w:r>
            <w:r>
              <w:rPr>
                <w:spacing w:val="-7"/>
              </w:rPr>
              <w:t> </w:t>
            </w:r>
            <w:r>
              <w:rPr/>
              <w:t>table</w:t>
            </w:r>
            <w:r>
              <w:rPr>
                <w:spacing w:val="-3"/>
              </w:rPr>
              <w:t> </w:t>
            </w:r>
            <w:r>
              <w:rPr/>
              <w:t>fields)</w:t>
              <w:tab/>
            </w:r>
            <w:r>
              <w:rPr>
                <w:spacing w:val="-1"/>
              </w:rPr>
              <w:t>1994</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85">
            <w:r>
              <w:rPr/>
              <w:t>queryTableRefresh (QueryTable</w:t>
            </w:r>
            <w:r>
              <w:rPr>
                <w:spacing w:val="-6"/>
              </w:rPr>
              <w:t> </w:t>
            </w:r>
            <w:r>
              <w:rPr/>
              <w:t>Refresh</w:t>
            </w:r>
            <w:r>
              <w:rPr>
                <w:spacing w:val="-2"/>
              </w:rPr>
              <w:t> </w:t>
            </w:r>
            <w:r>
              <w:rPr/>
              <w:t>Information)</w:t>
              <w:tab/>
            </w:r>
            <w:r>
              <w:rPr>
                <w:spacing w:val="-1"/>
              </w:rPr>
              <w:t>1994</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386">
            <w:r>
              <w:rPr/>
              <w:t>External</w:t>
            </w:r>
            <w:r>
              <w:rPr>
                <w:spacing w:val="-2"/>
              </w:rPr>
              <w:t> </w:t>
            </w:r>
            <w:r>
              <w:rPr/>
              <w:t>Data</w:t>
            </w:r>
            <w:r>
              <w:rPr>
                <w:spacing w:val="-5"/>
              </w:rPr>
              <w:t> </w:t>
            </w:r>
            <w:r>
              <w:rPr/>
              <w:t>Connections</w:t>
              <w:tab/>
            </w:r>
            <w:r>
              <w:rPr>
                <w:spacing w:val="-1"/>
              </w:rPr>
              <w:t>1995</w:t>
            </w:r>
          </w:hyperlink>
        </w:p>
        <w:p>
          <w:pPr>
            <w:pStyle w:val="TOC2"/>
            <w:numPr>
              <w:ilvl w:val="2"/>
              <w:numId w:val="1"/>
            </w:numPr>
            <w:tabs>
              <w:tab w:pos="897" w:val="left" w:leader="none"/>
              <w:tab w:pos="898" w:val="left" w:leader="none"/>
              <w:tab w:pos="9424" w:val="left" w:leader="dot"/>
            </w:tabs>
            <w:spacing w:line="240" w:lineRule="auto" w:before="42" w:after="0"/>
            <w:ind w:left="1319" w:right="384" w:hanging="1320"/>
            <w:jc w:val="right"/>
          </w:pPr>
          <w:hyperlink w:history="true" w:anchor="_bookmark387">
            <w:r>
              <w:rPr/>
              <w:t>connection</w:t>
            </w:r>
            <w:r>
              <w:rPr>
                <w:spacing w:val="-2"/>
              </w:rPr>
              <w:t> </w:t>
            </w:r>
            <w:r>
              <w:rPr/>
              <w:t>(Connection)</w:t>
              <w:tab/>
            </w:r>
            <w:r>
              <w:rPr>
                <w:spacing w:val="-1"/>
              </w:rPr>
              <w:t>1996</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88">
            <w:r>
              <w:rPr/>
              <w:t>connections</w:t>
            </w:r>
            <w:r>
              <w:rPr>
                <w:spacing w:val="-4"/>
              </w:rPr>
              <w:t> </w:t>
            </w:r>
            <w:r>
              <w:rPr/>
              <w:t>(Connections)</w:t>
              <w:tab/>
            </w:r>
            <w:r>
              <w:rPr>
                <w:spacing w:val="-1"/>
              </w:rPr>
              <w:t>2000</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89">
            <w:r>
              <w:rPr/>
              <w:t>dbPr</w:t>
            </w:r>
            <w:r>
              <w:rPr>
                <w:spacing w:val="-1"/>
              </w:rPr>
              <w:t> </w:t>
            </w:r>
            <w:r>
              <w:rPr/>
              <w:t>(Database</w:t>
            </w:r>
            <w:r>
              <w:rPr>
                <w:spacing w:val="-3"/>
              </w:rPr>
              <w:t> </w:t>
            </w:r>
            <w:r>
              <w:rPr/>
              <w:t>Properties)</w:t>
              <w:tab/>
            </w:r>
            <w:r>
              <w:rPr>
                <w:spacing w:val="-1"/>
              </w:rPr>
              <w:t>2000</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90">
            <w:r>
              <w:rPr/>
              <w:t>m</w:t>
            </w:r>
            <w:r>
              <w:rPr>
                <w:spacing w:val="-1"/>
              </w:rPr>
              <w:t> </w:t>
            </w:r>
            <w:r>
              <w:rPr/>
              <w:t>(No Value)</w:t>
              <w:tab/>
            </w:r>
            <w:r>
              <w:rPr>
                <w:spacing w:val="-1"/>
              </w:rPr>
              <w:t>2003</w:t>
            </w:r>
          </w:hyperlink>
        </w:p>
        <w:p>
          <w:pPr>
            <w:pStyle w:val="TOC2"/>
            <w:numPr>
              <w:ilvl w:val="2"/>
              <w:numId w:val="1"/>
            </w:numPr>
            <w:tabs>
              <w:tab w:pos="897" w:val="left" w:leader="none"/>
              <w:tab w:pos="898" w:val="left" w:leader="none"/>
              <w:tab w:pos="9424" w:val="left" w:leader="dot"/>
            </w:tabs>
            <w:spacing w:line="267" w:lineRule="exact" w:before="1" w:after="0"/>
            <w:ind w:left="1319" w:right="384" w:hanging="1320"/>
            <w:jc w:val="right"/>
          </w:pPr>
          <w:hyperlink w:history="true" w:anchor="_bookmark391">
            <w:r>
              <w:rPr/>
              <w:t>olapPr</w:t>
            </w:r>
            <w:r>
              <w:rPr>
                <w:spacing w:val="-3"/>
              </w:rPr>
              <w:t> </w:t>
            </w:r>
            <w:r>
              <w:rPr/>
              <w:t>(OLAP</w:t>
            </w:r>
            <w:r>
              <w:rPr>
                <w:spacing w:val="-2"/>
              </w:rPr>
              <w:t> </w:t>
            </w:r>
            <w:r>
              <w:rPr/>
              <w:t>Properties)</w:t>
              <w:tab/>
            </w:r>
            <w:r>
              <w:rPr>
                <w:spacing w:val="-1"/>
              </w:rPr>
              <w:t>2003</w:t>
            </w:r>
          </w:hyperlink>
        </w:p>
        <w:p>
          <w:pPr>
            <w:pStyle w:val="TOC2"/>
            <w:numPr>
              <w:ilvl w:val="2"/>
              <w:numId w:val="1"/>
            </w:numPr>
            <w:tabs>
              <w:tab w:pos="897" w:val="left" w:leader="none"/>
              <w:tab w:pos="898" w:val="left" w:leader="none"/>
              <w:tab w:pos="9424" w:val="left" w:leader="dot"/>
            </w:tabs>
            <w:spacing w:line="267" w:lineRule="exact" w:before="0" w:after="0"/>
            <w:ind w:left="1319" w:right="384" w:hanging="1320"/>
            <w:jc w:val="right"/>
          </w:pPr>
          <w:hyperlink w:history="true" w:anchor="_bookmark392">
            <w:r>
              <w:rPr/>
              <w:t>parameter</w:t>
            </w:r>
            <w:r>
              <w:rPr>
                <w:spacing w:val="-2"/>
              </w:rPr>
              <w:t> </w:t>
            </w:r>
            <w:r>
              <w:rPr/>
              <w:t>(Parameter</w:t>
            </w:r>
            <w:r>
              <w:rPr>
                <w:spacing w:val="-4"/>
              </w:rPr>
              <w:t> </w:t>
            </w:r>
            <w:r>
              <w:rPr/>
              <w:t>Properties)</w:t>
              <w:tab/>
            </w:r>
            <w:r>
              <w:rPr>
                <w:spacing w:val="-1"/>
              </w:rPr>
              <w:t>2006</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93">
            <w:r>
              <w:rPr/>
              <w:t>parameters</w:t>
            </w:r>
            <w:r>
              <w:rPr>
                <w:spacing w:val="-4"/>
              </w:rPr>
              <w:t> </w:t>
            </w:r>
            <w:r>
              <w:rPr/>
              <w:t>(Query</w:t>
            </w:r>
            <w:r>
              <w:rPr>
                <w:spacing w:val="-3"/>
              </w:rPr>
              <w:t> </w:t>
            </w:r>
            <w:r>
              <w:rPr/>
              <w:t>Parameters)</w:t>
              <w:tab/>
            </w:r>
            <w:r>
              <w:rPr>
                <w:spacing w:val="-1"/>
              </w:rPr>
              <w:t>2008</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94">
            <w:r>
              <w:rPr/>
              <w:t>s</w:t>
            </w:r>
            <w:r>
              <w:rPr>
                <w:spacing w:val="-1"/>
              </w:rPr>
              <w:t> </w:t>
            </w:r>
            <w:r>
              <w:rPr/>
              <w:t>(Character</w:t>
            </w:r>
            <w:r>
              <w:rPr>
                <w:spacing w:val="-1"/>
              </w:rPr>
              <w:t> </w:t>
            </w:r>
            <w:r>
              <w:rPr/>
              <w:t>Value)</w:t>
              <w:tab/>
            </w:r>
            <w:r>
              <w:rPr>
                <w:spacing w:val="-1"/>
              </w:rPr>
              <w:t>2009</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395">
            <w:r>
              <w:rPr/>
              <w:t>tables (Tables)</w:t>
              <w:tab/>
            </w:r>
            <w:r>
              <w:rPr>
                <w:spacing w:val="-1"/>
              </w:rPr>
              <w:t>2009</w:t>
            </w:r>
          </w:hyperlink>
        </w:p>
        <w:p>
          <w:pPr>
            <w:pStyle w:val="TOC2"/>
            <w:numPr>
              <w:ilvl w:val="2"/>
              <w:numId w:val="1"/>
            </w:numPr>
            <w:tabs>
              <w:tab w:pos="1118" w:val="left" w:leader="none"/>
              <w:tab w:pos="1119" w:val="left" w:leader="none"/>
              <w:tab w:pos="9424" w:val="left" w:leader="dot"/>
            </w:tabs>
            <w:spacing w:line="240" w:lineRule="auto" w:before="1" w:after="0"/>
            <w:ind w:left="1540" w:right="384" w:hanging="1541"/>
            <w:jc w:val="right"/>
          </w:pPr>
          <w:hyperlink w:history="true" w:anchor="_bookmark396">
            <w:r>
              <w:rPr/>
              <w:t>textField (Text Import</w:t>
            </w:r>
            <w:r>
              <w:rPr>
                <w:spacing w:val="-8"/>
              </w:rPr>
              <w:t> </w:t>
            </w:r>
            <w:r>
              <w:rPr/>
              <w:t>Field</w:t>
            </w:r>
            <w:r>
              <w:rPr>
                <w:spacing w:val="-4"/>
              </w:rPr>
              <w:t> </w:t>
            </w:r>
            <w:r>
              <w:rPr/>
              <w:t>Settings)</w:t>
              <w:tab/>
            </w:r>
            <w:r>
              <w:rPr>
                <w:spacing w:val="-1"/>
              </w:rPr>
              <w:t>2009</w:t>
            </w:r>
          </w:hyperlink>
        </w:p>
        <w:p>
          <w:pPr>
            <w:pStyle w:val="TOC2"/>
            <w:numPr>
              <w:ilvl w:val="2"/>
              <w:numId w:val="1"/>
            </w:numPr>
            <w:tabs>
              <w:tab w:pos="1118" w:val="left" w:leader="none"/>
              <w:tab w:pos="1119" w:val="left" w:leader="none"/>
              <w:tab w:pos="9424" w:val="left" w:leader="dot"/>
            </w:tabs>
            <w:spacing w:line="240" w:lineRule="auto" w:before="0" w:after="0"/>
            <w:ind w:left="1540" w:right="384" w:hanging="1541"/>
            <w:jc w:val="right"/>
          </w:pPr>
          <w:hyperlink w:history="true" w:anchor="_bookmark397">
            <w:r>
              <w:rPr/>
              <w:t>textFields</w:t>
            </w:r>
            <w:r>
              <w:rPr>
                <w:spacing w:val="-4"/>
              </w:rPr>
              <w:t> </w:t>
            </w:r>
            <w:r>
              <w:rPr/>
              <w:t>(Fields)</w:t>
              <w:tab/>
            </w:r>
            <w:r>
              <w:rPr>
                <w:spacing w:val="-1"/>
              </w:rPr>
              <w:t>2010</w:t>
            </w:r>
          </w:hyperlink>
        </w:p>
        <w:p>
          <w:pPr>
            <w:pStyle w:val="TOC2"/>
            <w:numPr>
              <w:ilvl w:val="2"/>
              <w:numId w:val="1"/>
            </w:numPr>
            <w:tabs>
              <w:tab w:pos="1118" w:val="left" w:leader="none"/>
              <w:tab w:pos="1119" w:val="left" w:leader="none"/>
              <w:tab w:pos="9424" w:val="left" w:leader="dot"/>
            </w:tabs>
            <w:spacing w:line="240" w:lineRule="auto" w:before="0" w:after="0"/>
            <w:ind w:left="1540" w:right="384" w:hanging="1541"/>
            <w:jc w:val="right"/>
          </w:pPr>
          <w:hyperlink w:history="true" w:anchor="_bookmark398">
            <w:r>
              <w:rPr/>
              <w:t>textPr (Text</w:t>
            </w:r>
            <w:r>
              <w:rPr>
                <w:spacing w:val="-4"/>
              </w:rPr>
              <w:t> </w:t>
            </w:r>
            <w:r>
              <w:rPr/>
              <w:t>Import</w:t>
            </w:r>
            <w:r>
              <w:rPr>
                <w:spacing w:val="-4"/>
              </w:rPr>
              <w:t> </w:t>
            </w:r>
            <w:r>
              <w:rPr/>
              <w:t>Settings)</w:t>
              <w:tab/>
            </w:r>
            <w:r>
              <w:rPr>
                <w:spacing w:val="-1"/>
              </w:rPr>
              <w:t>2010</w:t>
            </w:r>
          </w:hyperlink>
        </w:p>
        <w:p>
          <w:pPr>
            <w:pStyle w:val="TOC2"/>
            <w:numPr>
              <w:ilvl w:val="2"/>
              <w:numId w:val="1"/>
            </w:numPr>
            <w:tabs>
              <w:tab w:pos="1118" w:val="left" w:leader="none"/>
              <w:tab w:pos="1119" w:val="left" w:leader="none"/>
              <w:tab w:pos="9424" w:val="left" w:leader="dot"/>
            </w:tabs>
            <w:spacing w:line="240" w:lineRule="auto" w:before="0" w:after="0"/>
            <w:ind w:left="1540" w:right="384" w:hanging="1541"/>
            <w:jc w:val="right"/>
          </w:pPr>
          <w:hyperlink w:history="true" w:anchor="_bookmark399">
            <w:r>
              <w:rPr/>
              <w:t>webPr (Web</w:t>
            </w:r>
            <w:r>
              <w:rPr>
                <w:spacing w:val="-5"/>
              </w:rPr>
              <w:t> </w:t>
            </w:r>
            <w:r>
              <w:rPr/>
              <w:t>Query</w:t>
            </w:r>
            <w:r>
              <w:rPr>
                <w:spacing w:val="-2"/>
              </w:rPr>
              <w:t> </w:t>
            </w:r>
            <w:r>
              <w:rPr/>
              <w:t>Properties)</w:t>
              <w:tab/>
            </w:r>
            <w:r>
              <w:rPr>
                <w:spacing w:val="-1"/>
              </w:rPr>
              <w:t>2013</w:t>
            </w:r>
          </w:hyperlink>
        </w:p>
        <w:p>
          <w:pPr>
            <w:pStyle w:val="TOC1"/>
            <w:numPr>
              <w:ilvl w:val="1"/>
              <w:numId w:val="1"/>
            </w:numPr>
            <w:tabs>
              <w:tab w:pos="806" w:val="left" w:leader="none"/>
              <w:tab w:pos="807" w:val="left" w:leader="none"/>
              <w:tab w:pos="9625" w:val="left" w:leader="dot"/>
            </w:tabs>
            <w:spacing w:line="240" w:lineRule="auto" w:before="121" w:after="0"/>
            <w:ind w:left="1026" w:right="384" w:hanging="1027"/>
            <w:jc w:val="right"/>
          </w:pPr>
          <w:hyperlink w:history="true" w:anchor="_bookmark400">
            <w:r>
              <w:rPr/>
              <w:t>Supplementary</w:t>
            </w:r>
            <w:r>
              <w:rPr>
                <w:spacing w:val="-3"/>
              </w:rPr>
              <w:t> </w:t>
            </w:r>
            <w:r>
              <w:rPr/>
              <w:t>Workbook</w:t>
            </w:r>
            <w:r>
              <w:rPr>
                <w:spacing w:val="-3"/>
              </w:rPr>
              <w:t> </w:t>
            </w:r>
            <w:r>
              <w:rPr/>
              <w:t>Data</w:t>
              <w:tab/>
            </w:r>
            <w:r>
              <w:rPr>
                <w:spacing w:val="-1"/>
              </w:rPr>
              <w:t>2016</w:t>
            </w:r>
          </w:hyperlink>
        </w:p>
        <w:p>
          <w:pPr>
            <w:pStyle w:val="TOC2"/>
            <w:numPr>
              <w:ilvl w:val="2"/>
              <w:numId w:val="1"/>
            </w:numPr>
            <w:tabs>
              <w:tab w:pos="897" w:val="left" w:leader="none"/>
              <w:tab w:pos="898" w:val="left" w:leader="none"/>
              <w:tab w:pos="9424" w:val="left" w:leader="dot"/>
            </w:tabs>
            <w:spacing w:line="240" w:lineRule="auto" w:before="39" w:after="0"/>
            <w:ind w:left="1319" w:right="384" w:hanging="1320"/>
            <w:jc w:val="right"/>
          </w:pPr>
          <w:hyperlink w:history="true" w:anchor="_bookmark401">
            <w:r>
              <w:rPr/>
              <w:t>cell (External</w:t>
            </w:r>
            <w:r>
              <w:rPr>
                <w:spacing w:val="-3"/>
              </w:rPr>
              <w:t> </w:t>
            </w:r>
            <w:r>
              <w:rPr/>
              <w:t>Cell</w:t>
            </w:r>
            <w:r>
              <w:rPr>
                <w:spacing w:val="-3"/>
              </w:rPr>
              <w:t> </w:t>
            </w:r>
            <w:r>
              <w:rPr/>
              <w:t>Data)</w:t>
              <w:tab/>
            </w:r>
            <w:r>
              <w:rPr>
                <w:spacing w:val="-1"/>
              </w:rPr>
              <w:t>2017</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02">
            <w:r>
              <w:rPr/>
              <w:t>ddeItem (DDE</w:t>
            </w:r>
            <w:r>
              <w:rPr>
                <w:spacing w:val="-7"/>
              </w:rPr>
              <w:t> </w:t>
            </w:r>
            <w:r>
              <w:rPr/>
              <w:t>Item definition)</w:t>
              <w:tab/>
            </w:r>
            <w:r>
              <w:rPr>
                <w:spacing w:val="-1"/>
              </w:rPr>
              <w:t>2018</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03">
            <w:r>
              <w:rPr/>
              <w:t>ddeItems (DDE</w:t>
            </w:r>
            <w:r>
              <w:rPr>
                <w:spacing w:val="-5"/>
              </w:rPr>
              <w:t> </w:t>
            </w:r>
            <w:r>
              <w:rPr/>
              <w:t>Items</w:t>
            </w:r>
            <w:r>
              <w:rPr>
                <w:spacing w:val="-3"/>
              </w:rPr>
              <w:t> </w:t>
            </w:r>
            <w:r>
              <w:rPr/>
              <w:t>Collection)</w:t>
              <w:tab/>
            </w:r>
            <w:r>
              <w:rPr>
                <w:spacing w:val="-1"/>
              </w:rPr>
              <w:t>2019</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404">
            <w:r>
              <w:rPr/>
              <w:t>ddeLink</w:t>
            </w:r>
            <w:r>
              <w:rPr>
                <w:spacing w:val="-1"/>
              </w:rPr>
              <w:t> </w:t>
            </w:r>
            <w:r>
              <w:rPr/>
              <w:t>(DDE</w:t>
            </w:r>
            <w:r>
              <w:rPr>
                <w:spacing w:val="-1"/>
              </w:rPr>
              <w:t> </w:t>
            </w:r>
            <w:r>
              <w:rPr/>
              <w:t>Connection)</w:t>
              <w:tab/>
            </w:r>
            <w:r>
              <w:rPr>
                <w:spacing w:val="-1"/>
              </w:rPr>
              <w:t>2019</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05">
            <w:r>
              <w:rPr/>
              <w:t>definedName</w:t>
            </w:r>
            <w:r>
              <w:rPr>
                <w:spacing w:val="-3"/>
              </w:rPr>
              <w:t> </w:t>
            </w:r>
            <w:r>
              <w:rPr/>
              <w:t>(Defined Name)</w:t>
              <w:tab/>
            </w:r>
            <w:r>
              <w:rPr>
                <w:spacing w:val="-1"/>
              </w:rPr>
              <w:t>2020</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06">
            <w:r>
              <w:rPr/>
              <w:t>definedNames</w:t>
            </w:r>
            <w:r>
              <w:rPr>
                <w:spacing w:val="-2"/>
              </w:rPr>
              <w:t> </w:t>
            </w:r>
            <w:r>
              <w:rPr/>
              <w:t>(Named</w:t>
            </w:r>
            <w:r>
              <w:rPr>
                <w:spacing w:val="-2"/>
              </w:rPr>
              <w:t> </w:t>
            </w:r>
            <w:r>
              <w:rPr/>
              <w:t>Links)</w:t>
              <w:tab/>
            </w:r>
            <w:r>
              <w:rPr>
                <w:spacing w:val="-1"/>
              </w:rPr>
              <w:t>2020</w:t>
            </w:r>
          </w:hyperlink>
        </w:p>
        <w:p>
          <w:pPr>
            <w:pStyle w:val="TOC2"/>
            <w:numPr>
              <w:ilvl w:val="2"/>
              <w:numId w:val="1"/>
            </w:numPr>
            <w:tabs>
              <w:tab w:pos="897" w:val="left" w:leader="none"/>
              <w:tab w:pos="898" w:val="left" w:leader="none"/>
              <w:tab w:pos="9424" w:val="left" w:leader="dot"/>
            </w:tabs>
            <w:spacing w:line="240" w:lineRule="auto" w:before="0" w:after="75"/>
            <w:ind w:left="1319" w:right="384" w:hanging="1320"/>
            <w:jc w:val="right"/>
          </w:pPr>
          <w:hyperlink w:history="true" w:anchor="_bookmark407">
            <w:r>
              <w:rPr/>
              <w:t>externalBook</w:t>
            </w:r>
            <w:r>
              <w:rPr>
                <w:spacing w:val="-4"/>
              </w:rPr>
              <w:t> </w:t>
            </w:r>
            <w:r>
              <w:rPr/>
              <w:t>(External</w:t>
            </w:r>
            <w:r>
              <w:rPr>
                <w:spacing w:val="-1"/>
              </w:rPr>
              <w:t> </w:t>
            </w:r>
            <w:r>
              <w:rPr/>
              <w:t>Workbook)</w:t>
              <w:tab/>
            </w:r>
            <w:r>
              <w:rPr>
                <w:spacing w:val="-1"/>
              </w:rPr>
              <w:t>2020</w:t>
            </w:r>
          </w:hyperlink>
        </w:p>
        <w:p>
          <w:pPr>
            <w:pStyle w:val="TOC3"/>
            <w:numPr>
              <w:ilvl w:val="2"/>
              <w:numId w:val="1"/>
            </w:numPr>
            <w:tabs>
              <w:tab w:pos="1319" w:val="left" w:leader="none"/>
              <w:tab w:pos="1320" w:val="left" w:leader="none"/>
              <w:tab w:pos="9845" w:val="left" w:leader="dot"/>
            </w:tabs>
            <w:spacing w:line="240" w:lineRule="auto" w:before="90" w:after="0"/>
            <w:ind w:left="1319" w:right="0" w:hanging="899"/>
            <w:jc w:val="left"/>
          </w:pPr>
          <w:hyperlink w:history="true" w:anchor="_bookmark408">
            <w:r>
              <w:rPr/>
              <w:t>externalLink</w:t>
            </w:r>
            <w:r>
              <w:rPr>
                <w:spacing w:val="-1"/>
              </w:rPr>
              <w:t> </w:t>
            </w:r>
            <w:r>
              <w:rPr/>
              <w:t>(External</w:t>
            </w:r>
            <w:r>
              <w:rPr>
                <w:spacing w:val="-2"/>
              </w:rPr>
              <w:t> </w:t>
            </w:r>
            <w:r>
              <w:rPr/>
              <w:t>Reference)</w:t>
              <w:tab/>
              <w:t>2021</w:t>
            </w:r>
          </w:hyperlink>
        </w:p>
        <w:p>
          <w:pPr>
            <w:pStyle w:val="TOC3"/>
            <w:numPr>
              <w:ilvl w:val="2"/>
              <w:numId w:val="1"/>
            </w:numPr>
            <w:tabs>
              <w:tab w:pos="1319" w:val="left" w:leader="none"/>
              <w:tab w:pos="1320" w:val="left" w:leader="none"/>
              <w:tab w:pos="9845" w:val="left" w:leader="dot"/>
            </w:tabs>
            <w:spacing w:line="240" w:lineRule="auto" w:before="1" w:after="0"/>
            <w:ind w:left="1319" w:right="0" w:hanging="899"/>
            <w:jc w:val="left"/>
          </w:pPr>
          <w:hyperlink w:history="true" w:anchor="_bookmark409">
            <w:r>
              <w:rPr/>
              <w:t>oleItem (Object</w:t>
            </w:r>
            <w:r>
              <w:rPr>
                <w:spacing w:val="-5"/>
              </w:rPr>
              <w:t> </w:t>
            </w:r>
            <w:r>
              <w:rPr/>
              <w:t>Link Item)</w:t>
              <w:tab/>
              <w:t>2021</w:t>
            </w:r>
          </w:hyperlink>
        </w:p>
        <w:p>
          <w:pPr>
            <w:pStyle w:val="TOC3"/>
            <w:numPr>
              <w:ilvl w:val="2"/>
              <w:numId w:val="1"/>
            </w:numPr>
            <w:tabs>
              <w:tab w:pos="1540" w:val="left" w:leader="none"/>
              <w:tab w:pos="1541" w:val="left" w:leader="none"/>
              <w:tab w:pos="9845" w:val="left" w:leader="dot"/>
            </w:tabs>
            <w:spacing w:line="240" w:lineRule="auto" w:before="0" w:after="0"/>
            <w:ind w:left="1540" w:right="0" w:hanging="1120"/>
            <w:jc w:val="left"/>
          </w:pPr>
          <w:hyperlink w:history="true" w:anchor="_bookmark410">
            <w:r>
              <w:rPr/>
              <w:t>oleItems (Object</w:t>
            </w:r>
            <w:r>
              <w:rPr>
                <w:spacing w:val="-4"/>
              </w:rPr>
              <w:t> </w:t>
            </w:r>
            <w:r>
              <w:rPr/>
              <w:t>Link</w:t>
            </w:r>
            <w:r>
              <w:rPr>
                <w:spacing w:val="-1"/>
              </w:rPr>
              <w:t> </w:t>
            </w:r>
            <w:r>
              <w:rPr/>
              <w:t>Items)</w:t>
              <w:tab/>
              <w:t>2022</w:t>
            </w:r>
          </w:hyperlink>
        </w:p>
        <w:p>
          <w:pPr>
            <w:pStyle w:val="TOC3"/>
            <w:numPr>
              <w:ilvl w:val="2"/>
              <w:numId w:val="1"/>
            </w:numPr>
            <w:tabs>
              <w:tab w:pos="1540" w:val="left" w:leader="none"/>
              <w:tab w:pos="1541" w:val="left" w:leader="none"/>
              <w:tab w:pos="9845" w:val="left" w:leader="dot"/>
            </w:tabs>
            <w:spacing w:line="240" w:lineRule="auto" w:before="0" w:after="0"/>
            <w:ind w:left="1540" w:right="0" w:hanging="1120"/>
            <w:jc w:val="left"/>
          </w:pPr>
          <w:hyperlink w:history="true" w:anchor="_bookmark411">
            <w:r>
              <w:rPr/>
              <w:t>oleLink (Generic Object</w:t>
            </w:r>
            <w:r>
              <w:rPr>
                <w:spacing w:val="-8"/>
              </w:rPr>
              <w:t> </w:t>
            </w:r>
            <w:r>
              <w:rPr/>
              <w:t>Link</w:t>
            </w:r>
            <w:r>
              <w:rPr>
                <w:spacing w:val="-1"/>
              </w:rPr>
              <w:t> </w:t>
            </w:r>
            <w:r>
              <w:rPr/>
              <w:t>Connection)</w:t>
              <w:tab/>
              <w:t>2022</w:t>
            </w:r>
          </w:hyperlink>
        </w:p>
        <w:p>
          <w:pPr>
            <w:pStyle w:val="TOC3"/>
            <w:tabs>
              <w:tab w:pos="1540" w:val="left" w:leader="none"/>
              <w:tab w:pos="9845" w:val="left" w:leader="dot"/>
            </w:tabs>
            <w:spacing w:line="267" w:lineRule="exact" w:before="1"/>
            <w:ind w:left="421" w:firstLine="0"/>
          </w:pPr>
          <w:hyperlink w:history="true" w:anchor="_bookmark412">
            <w:r>
              <w:rPr/>
              <w:t>18.14.12</w:t>
              <w:tab/>
              <w:t>row</w:t>
            </w:r>
            <w:r>
              <w:rPr>
                <w:spacing w:val="-2"/>
              </w:rPr>
              <w:t> </w:t>
            </w:r>
            <w:r>
              <w:rPr/>
              <w:t>(Row)</w:t>
              <w:tab/>
              <w:t>2023</w:t>
            </w:r>
          </w:hyperlink>
        </w:p>
        <w:p>
          <w:pPr>
            <w:pStyle w:val="TOC3"/>
            <w:numPr>
              <w:ilvl w:val="2"/>
              <w:numId w:val="6"/>
            </w:numPr>
            <w:tabs>
              <w:tab w:pos="1540" w:val="left" w:leader="none"/>
              <w:tab w:pos="1541" w:val="left" w:leader="none"/>
              <w:tab w:pos="9845" w:val="left" w:leader="dot"/>
            </w:tabs>
            <w:spacing w:line="267" w:lineRule="exact" w:before="0" w:after="0"/>
            <w:ind w:left="1540" w:right="0" w:hanging="1120"/>
            <w:jc w:val="left"/>
          </w:pPr>
          <w:hyperlink w:history="true" w:anchor="_bookmark413">
            <w:r>
              <w:rPr/>
              <w:t>sheetData (External Sheet</w:t>
            </w:r>
            <w:r>
              <w:rPr>
                <w:spacing w:val="-8"/>
              </w:rPr>
              <w:t> </w:t>
            </w:r>
            <w:r>
              <w:rPr/>
              <w:t>Data</w:t>
            </w:r>
            <w:r>
              <w:rPr>
                <w:spacing w:val="-1"/>
              </w:rPr>
              <w:t> </w:t>
            </w:r>
            <w:r>
              <w:rPr/>
              <w:t>Set)</w:t>
              <w:tab/>
              <w:t>2023</w:t>
            </w:r>
          </w:hyperlink>
        </w:p>
        <w:p>
          <w:pPr>
            <w:pStyle w:val="TOC2"/>
            <w:numPr>
              <w:ilvl w:val="2"/>
              <w:numId w:val="6"/>
            </w:numPr>
            <w:tabs>
              <w:tab w:pos="1118" w:val="left" w:leader="none"/>
              <w:tab w:pos="1541" w:val="left" w:leader="none"/>
              <w:tab w:pos="9424" w:val="left" w:leader="dot"/>
            </w:tabs>
            <w:spacing w:line="240" w:lineRule="auto" w:before="0" w:after="0"/>
            <w:ind w:left="1540" w:right="384" w:hanging="1541"/>
            <w:jc w:val="right"/>
          </w:pPr>
          <w:hyperlink w:history="true" w:anchor="_bookmark414">
            <w:r>
              <w:rPr/>
              <w:t>sheetDataSet (Cached</w:t>
            </w:r>
            <w:r>
              <w:rPr>
                <w:spacing w:val="-4"/>
              </w:rPr>
              <w:t> </w:t>
            </w:r>
            <w:r>
              <w:rPr/>
              <w:t>Worksheet</w:t>
            </w:r>
            <w:r>
              <w:rPr>
                <w:spacing w:val="-3"/>
              </w:rPr>
              <w:t> </w:t>
            </w:r>
            <w:r>
              <w:rPr/>
              <w:t>Data)</w:t>
              <w:tab/>
            </w:r>
            <w:r>
              <w:rPr>
                <w:spacing w:val="-1"/>
              </w:rPr>
              <w:t>2024</w:t>
            </w:r>
          </w:hyperlink>
        </w:p>
        <w:p>
          <w:pPr>
            <w:pStyle w:val="TOC2"/>
            <w:numPr>
              <w:ilvl w:val="2"/>
              <w:numId w:val="6"/>
            </w:numPr>
            <w:tabs>
              <w:tab w:pos="1118" w:val="left" w:leader="none"/>
              <w:tab w:pos="1541" w:val="left" w:leader="none"/>
              <w:tab w:pos="9424" w:val="left" w:leader="dot"/>
            </w:tabs>
            <w:spacing w:line="240" w:lineRule="auto" w:before="0" w:after="0"/>
            <w:ind w:left="1540" w:right="384" w:hanging="1541"/>
            <w:jc w:val="right"/>
          </w:pPr>
          <w:hyperlink w:history="true" w:anchor="_bookmark415">
            <w:r>
              <w:rPr/>
              <w:t>sheetName</w:t>
            </w:r>
            <w:r>
              <w:rPr>
                <w:spacing w:val="-4"/>
              </w:rPr>
              <w:t> </w:t>
            </w:r>
            <w:r>
              <w:rPr/>
              <w:t>(Sheet</w:t>
            </w:r>
            <w:r>
              <w:rPr>
                <w:spacing w:val="-3"/>
              </w:rPr>
              <w:t> </w:t>
            </w:r>
            <w:r>
              <w:rPr/>
              <w:t>Name)</w:t>
              <w:tab/>
            </w:r>
            <w:r>
              <w:rPr>
                <w:spacing w:val="-1"/>
              </w:rPr>
              <w:t>2024</w:t>
            </w:r>
          </w:hyperlink>
        </w:p>
        <w:p>
          <w:pPr>
            <w:pStyle w:val="TOC2"/>
            <w:numPr>
              <w:ilvl w:val="2"/>
              <w:numId w:val="6"/>
            </w:numPr>
            <w:tabs>
              <w:tab w:pos="1118" w:val="left" w:leader="none"/>
              <w:tab w:pos="1541" w:val="left" w:leader="none"/>
              <w:tab w:pos="9424" w:val="left" w:leader="dot"/>
            </w:tabs>
            <w:spacing w:line="240" w:lineRule="auto" w:before="0" w:after="0"/>
            <w:ind w:left="1540" w:right="384" w:hanging="1541"/>
            <w:jc w:val="right"/>
          </w:pPr>
          <w:hyperlink w:history="true" w:anchor="_bookmark416">
            <w:r>
              <w:rPr/>
              <w:t>sheetNames (Supporting Workbook</w:t>
            </w:r>
            <w:r>
              <w:rPr>
                <w:spacing w:val="-10"/>
              </w:rPr>
              <w:t> </w:t>
            </w:r>
            <w:r>
              <w:rPr/>
              <w:t>Sheet</w:t>
            </w:r>
            <w:r>
              <w:rPr>
                <w:spacing w:val="-1"/>
              </w:rPr>
              <w:t> </w:t>
            </w:r>
            <w:r>
              <w:rPr/>
              <w:t>Names)</w:t>
              <w:tab/>
            </w:r>
            <w:r>
              <w:rPr>
                <w:spacing w:val="-1"/>
              </w:rPr>
              <w:t>2024</w:t>
            </w:r>
          </w:hyperlink>
        </w:p>
        <w:p>
          <w:pPr>
            <w:pStyle w:val="TOC2"/>
            <w:numPr>
              <w:ilvl w:val="2"/>
              <w:numId w:val="6"/>
            </w:numPr>
            <w:tabs>
              <w:tab w:pos="1118" w:val="left" w:leader="none"/>
              <w:tab w:pos="1541" w:val="left" w:leader="none"/>
              <w:tab w:pos="9424" w:val="left" w:leader="dot"/>
            </w:tabs>
            <w:spacing w:line="240" w:lineRule="auto" w:before="1" w:after="0"/>
            <w:ind w:left="1540" w:right="384" w:hanging="1541"/>
            <w:jc w:val="right"/>
          </w:pPr>
          <w:hyperlink w:history="true" w:anchor="_bookmark417">
            <w:r>
              <w:rPr/>
              <w:t>val (DDE</w:t>
            </w:r>
            <w:r>
              <w:rPr>
                <w:spacing w:val="-2"/>
              </w:rPr>
              <w:t> </w:t>
            </w:r>
            <w:r>
              <w:rPr/>
              <w:t>Link</w:t>
            </w:r>
            <w:r>
              <w:rPr>
                <w:spacing w:val="-3"/>
              </w:rPr>
              <w:t> </w:t>
            </w:r>
            <w:r>
              <w:rPr/>
              <w:t>Value)</w:t>
              <w:tab/>
            </w:r>
            <w:r>
              <w:rPr>
                <w:spacing w:val="-1"/>
              </w:rPr>
              <w:t>2024</w:t>
            </w:r>
          </w:hyperlink>
        </w:p>
        <w:p>
          <w:pPr>
            <w:pStyle w:val="TOC2"/>
            <w:numPr>
              <w:ilvl w:val="2"/>
              <w:numId w:val="6"/>
            </w:numPr>
            <w:tabs>
              <w:tab w:pos="1118" w:val="left" w:leader="none"/>
              <w:tab w:pos="1541" w:val="left" w:leader="none"/>
              <w:tab w:pos="9424" w:val="left" w:leader="dot"/>
            </w:tabs>
            <w:spacing w:line="240" w:lineRule="auto" w:before="0" w:after="0"/>
            <w:ind w:left="1540" w:right="384" w:hanging="1541"/>
            <w:jc w:val="right"/>
          </w:pPr>
          <w:hyperlink w:history="true" w:anchor="_bookmark418">
            <w:r>
              <w:rPr/>
              <w:t>value</w:t>
            </w:r>
            <w:r>
              <w:rPr>
                <w:spacing w:val="-1"/>
              </w:rPr>
              <w:t> </w:t>
            </w:r>
            <w:r>
              <w:rPr/>
              <w:t>(Value)</w:t>
              <w:tab/>
            </w:r>
            <w:r>
              <w:rPr>
                <w:spacing w:val="-1"/>
              </w:rPr>
              <w:t>2025</w:t>
            </w:r>
          </w:hyperlink>
        </w:p>
        <w:p>
          <w:pPr>
            <w:pStyle w:val="TOC2"/>
            <w:numPr>
              <w:ilvl w:val="2"/>
              <w:numId w:val="6"/>
            </w:numPr>
            <w:tabs>
              <w:tab w:pos="1118" w:val="left" w:leader="none"/>
              <w:tab w:pos="1541" w:val="left" w:leader="none"/>
              <w:tab w:pos="9424" w:val="left" w:leader="dot"/>
            </w:tabs>
            <w:spacing w:line="240" w:lineRule="auto" w:before="0" w:after="0"/>
            <w:ind w:left="1540" w:right="384" w:hanging="1541"/>
            <w:jc w:val="right"/>
          </w:pPr>
          <w:hyperlink w:history="true" w:anchor="_bookmark419">
            <w:r>
              <w:rPr/>
              <w:t>values (DDE</w:t>
            </w:r>
            <w:r>
              <w:rPr>
                <w:spacing w:val="-2"/>
              </w:rPr>
              <w:t> </w:t>
            </w:r>
            <w:r>
              <w:rPr/>
              <w:t>Name</w:t>
            </w:r>
            <w:r>
              <w:rPr>
                <w:spacing w:val="-4"/>
              </w:rPr>
              <w:t> </w:t>
            </w:r>
            <w:r>
              <w:rPr/>
              <w:t>Values)</w:t>
              <w:tab/>
            </w:r>
            <w:r>
              <w:rPr>
                <w:spacing w:val="-1"/>
              </w:rPr>
              <w:t>2026</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420">
            <w:r>
              <w:rPr/>
              <w:t>Volatile</w:t>
            </w:r>
            <w:r>
              <w:rPr>
                <w:spacing w:val="-3"/>
              </w:rPr>
              <w:t> </w:t>
            </w:r>
            <w:r>
              <w:rPr/>
              <w:t>Dependencies</w:t>
              <w:tab/>
            </w:r>
            <w:r>
              <w:rPr>
                <w:spacing w:val="-1"/>
              </w:rPr>
              <w:t>2026</w:t>
            </w:r>
          </w:hyperlink>
        </w:p>
        <w:p>
          <w:pPr>
            <w:pStyle w:val="TOC2"/>
            <w:numPr>
              <w:ilvl w:val="2"/>
              <w:numId w:val="1"/>
            </w:numPr>
            <w:tabs>
              <w:tab w:pos="897" w:val="left" w:leader="none"/>
              <w:tab w:pos="898" w:val="left" w:leader="none"/>
              <w:tab w:pos="9424" w:val="left" w:leader="dot"/>
            </w:tabs>
            <w:spacing w:line="240" w:lineRule="auto" w:before="40" w:after="0"/>
            <w:ind w:left="1319" w:right="384" w:hanging="1320"/>
            <w:jc w:val="right"/>
          </w:pPr>
          <w:hyperlink w:history="true" w:anchor="_bookmark421">
            <w:r>
              <w:rPr/>
              <w:t>main</w:t>
            </w:r>
            <w:r>
              <w:rPr>
                <w:spacing w:val="-3"/>
              </w:rPr>
              <w:t> </w:t>
            </w:r>
            <w:r>
              <w:rPr/>
              <w:t>(Main)</w:t>
              <w:tab/>
            </w:r>
            <w:r>
              <w:rPr>
                <w:spacing w:val="-1"/>
              </w:rPr>
              <w:t>2028</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22">
            <w:r>
              <w:rPr/>
              <w:t>stp (Strings</w:t>
            </w:r>
            <w:r>
              <w:rPr>
                <w:spacing w:val="-3"/>
              </w:rPr>
              <w:t> </w:t>
            </w:r>
            <w:r>
              <w:rPr/>
              <w:t>in</w:t>
            </w:r>
            <w:r>
              <w:rPr>
                <w:spacing w:val="-2"/>
              </w:rPr>
              <w:t> </w:t>
            </w:r>
            <w:r>
              <w:rPr/>
              <w:t>Subtopic)</w:t>
              <w:tab/>
            </w:r>
            <w:r>
              <w:rPr>
                <w:spacing w:val="-1"/>
              </w:rPr>
              <w:t>2029</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23">
            <w:r>
              <w:rPr/>
              <w:t>tp</w:t>
            </w:r>
            <w:r>
              <w:rPr>
                <w:spacing w:val="-1"/>
              </w:rPr>
              <w:t> </w:t>
            </w:r>
            <w:r>
              <w:rPr/>
              <w:t>(Topic)</w:t>
              <w:tab/>
            </w:r>
            <w:r>
              <w:rPr>
                <w:spacing w:val="-1"/>
              </w:rPr>
              <w:t>2029</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24">
            <w:r>
              <w:rPr/>
              <w:t>tr</w:t>
            </w:r>
            <w:r>
              <w:rPr>
                <w:spacing w:val="-1"/>
              </w:rPr>
              <w:t> </w:t>
            </w:r>
            <w:r>
              <w:rPr/>
              <w:t>(References)</w:t>
              <w:tab/>
            </w:r>
            <w:r>
              <w:rPr>
                <w:spacing w:val="-1"/>
              </w:rPr>
              <w:t>2030</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425">
            <w:r>
              <w:rPr/>
              <w:t>volType (Volatile</w:t>
            </w:r>
            <w:r>
              <w:rPr>
                <w:spacing w:val="-6"/>
              </w:rPr>
              <w:t> </w:t>
            </w:r>
            <w:r>
              <w:rPr/>
              <w:t>Dependency</w:t>
            </w:r>
            <w:r>
              <w:rPr>
                <w:spacing w:val="-2"/>
              </w:rPr>
              <w:t> </w:t>
            </w:r>
            <w:r>
              <w:rPr/>
              <w:t>Type)</w:t>
              <w:tab/>
            </w:r>
            <w:r>
              <w:rPr>
                <w:spacing w:val="-1"/>
              </w:rPr>
              <w:t>2030</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26">
            <w:r>
              <w:rPr/>
              <w:t>volTypes (Volatile</w:t>
            </w:r>
            <w:r>
              <w:rPr>
                <w:spacing w:val="-6"/>
              </w:rPr>
              <w:t> </w:t>
            </w:r>
            <w:r>
              <w:rPr/>
              <w:t>Dependency</w:t>
            </w:r>
            <w:r>
              <w:rPr>
                <w:spacing w:val="-1"/>
              </w:rPr>
              <w:t> </w:t>
            </w:r>
            <w:r>
              <w:rPr/>
              <w:t>Types)</w:t>
              <w:tab/>
            </w:r>
            <w:r>
              <w:rPr>
                <w:spacing w:val="-1"/>
              </w:rPr>
              <w:t>2031</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427">
            <w:r>
              <w:rPr/>
              <w:t>Custom</w:t>
            </w:r>
            <w:r>
              <w:rPr>
                <w:spacing w:val="-3"/>
              </w:rPr>
              <w:t> </w:t>
            </w:r>
            <w:r>
              <w:rPr/>
              <w:t>XML</w:t>
            </w:r>
            <w:r>
              <w:rPr>
                <w:spacing w:val="-1"/>
              </w:rPr>
              <w:t> </w:t>
            </w:r>
            <w:r>
              <w:rPr/>
              <w:t>Mappings</w:t>
              <w:tab/>
            </w:r>
            <w:r>
              <w:rPr>
                <w:spacing w:val="-1"/>
              </w:rPr>
              <w:t>2031</w:t>
            </w:r>
          </w:hyperlink>
        </w:p>
        <w:p>
          <w:pPr>
            <w:pStyle w:val="TOC2"/>
            <w:numPr>
              <w:ilvl w:val="2"/>
              <w:numId w:val="1"/>
            </w:numPr>
            <w:tabs>
              <w:tab w:pos="897" w:val="left" w:leader="none"/>
              <w:tab w:pos="898" w:val="left" w:leader="none"/>
              <w:tab w:pos="9424" w:val="left" w:leader="dot"/>
            </w:tabs>
            <w:spacing w:line="267" w:lineRule="exact" w:before="41" w:after="0"/>
            <w:ind w:left="1319" w:right="384" w:hanging="1320"/>
            <w:jc w:val="right"/>
          </w:pPr>
          <w:hyperlink w:history="true" w:anchor="_bookmark428">
            <w:r>
              <w:rPr/>
              <w:t>DataBinding</w:t>
            </w:r>
            <w:r>
              <w:rPr>
                <w:spacing w:val="-2"/>
              </w:rPr>
              <w:t> </w:t>
            </w:r>
            <w:r>
              <w:rPr/>
              <w:t>(XML</w:t>
            </w:r>
            <w:r>
              <w:rPr>
                <w:spacing w:val="-3"/>
              </w:rPr>
              <w:t> </w:t>
            </w:r>
            <w:r>
              <w:rPr/>
              <w:t>Mapping)</w:t>
              <w:tab/>
            </w:r>
            <w:r>
              <w:rPr>
                <w:spacing w:val="-1"/>
              </w:rPr>
              <w:t>2034</w:t>
            </w:r>
          </w:hyperlink>
        </w:p>
        <w:p>
          <w:pPr>
            <w:pStyle w:val="TOC2"/>
            <w:numPr>
              <w:ilvl w:val="2"/>
              <w:numId w:val="1"/>
            </w:numPr>
            <w:tabs>
              <w:tab w:pos="897" w:val="left" w:leader="none"/>
              <w:tab w:pos="898" w:val="left" w:leader="none"/>
              <w:tab w:pos="9424" w:val="left" w:leader="dot"/>
            </w:tabs>
            <w:spacing w:line="267" w:lineRule="exact" w:before="0" w:after="0"/>
            <w:ind w:left="1319" w:right="384" w:hanging="1320"/>
            <w:jc w:val="right"/>
          </w:pPr>
          <w:hyperlink w:history="true" w:anchor="_bookmark429">
            <w:r>
              <w:rPr/>
              <w:t>Map (XML</w:t>
            </w:r>
            <w:r>
              <w:rPr>
                <w:spacing w:val="-3"/>
              </w:rPr>
              <w:t> </w:t>
            </w:r>
            <w:r>
              <w:rPr/>
              <w:t>Mapping</w:t>
            </w:r>
            <w:r>
              <w:rPr>
                <w:spacing w:val="-2"/>
              </w:rPr>
              <w:t> </w:t>
            </w:r>
            <w:r>
              <w:rPr/>
              <w:t>Properties)</w:t>
              <w:tab/>
            </w:r>
            <w:r>
              <w:rPr>
                <w:spacing w:val="-1"/>
              </w:rPr>
              <w:t>2036</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30">
            <w:r>
              <w:rPr/>
              <w:t>MapInfo (XML</w:t>
            </w:r>
            <w:r>
              <w:rPr>
                <w:spacing w:val="-3"/>
              </w:rPr>
              <w:t> </w:t>
            </w:r>
            <w:r>
              <w:rPr/>
              <w:t>Mapping)</w:t>
              <w:tab/>
            </w:r>
            <w:r>
              <w:rPr>
                <w:spacing w:val="-1"/>
              </w:rPr>
              <w:t>2037</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431">
            <w:r>
              <w:rPr/>
              <w:t>Schema</w:t>
            </w:r>
            <w:r>
              <w:rPr>
                <w:spacing w:val="-4"/>
              </w:rPr>
              <w:t> </w:t>
            </w:r>
            <w:r>
              <w:rPr/>
              <w:t>(XML</w:t>
            </w:r>
            <w:r>
              <w:rPr>
                <w:spacing w:val="-1"/>
              </w:rPr>
              <w:t> </w:t>
            </w:r>
            <w:r>
              <w:rPr/>
              <w:t>Schema)</w:t>
              <w:tab/>
            </w:r>
            <w:r>
              <w:rPr>
                <w:spacing w:val="-1"/>
              </w:rPr>
              <w:t>2038</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432">
            <w:r>
              <w:rPr/>
              <w:t>Formulas</w:t>
              <w:tab/>
            </w:r>
            <w:r>
              <w:rPr>
                <w:spacing w:val="-1"/>
              </w:rPr>
              <w:t>2039</w:t>
            </w:r>
          </w:hyperlink>
        </w:p>
        <w:p>
          <w:pPr>
            <w:pStyle w:val="TOC2"/>
            <w:numPr>
              <w:ilvl w:val="2"/>
              <w:numId w:val="1"/>
            </w:numPr>
            <w:tabs>
              <w:tab w:pos="897" w:val="left" w:leader="none"/>
              <w:tab w:pos="898" w:val="left" w:leader="none"/>
              <w:tab w:pos="9424" w:val="left" w:leader="dot"/>
            </w:tabs>
            <w:spacing w:line="240" w:lineRule="auto" w:before="41" w:after="0"/>
            <w:ind w:left="1319" w:right="384" w:hanging="1320"/>
            <w:jc w:val="right"/>
          </w:pPr>
          <w:hyperlink w:history="true" w:anchor="_bookmark433">
            <w:r>
              <w:rPr/>
              <w:t>Introduction</w:t>
              <w:tab/>
            </w:r>
            <w:r>
              <w:rPr>
                <w:spacing w:val="-1"/>
              </w:rPr>
              <w:t>2039</w:t>
            </w:r>
          </w:hyperlink>
        </w:p>
        <w:p>
          <w:pPr>
            <w:pStyle w:val="TOC2"/>
            <w:numPr>
              <w:ilvl w:val="2"/>
              <w:numId w:val="1"/>
            </w:numPr>
            <w:tabs>
              <w:tab w:pos="897" w:val="left" w:leader="none"/>
              <w:tab w:pos="898" w:val="left" w:leader="none"/>
              <w:tab w:pos="9424" w:val="left" w:leader="dot"/>
            </w:tabs>
            <w:spacing w:line="240" w:lineRule="auto" w:before="1" w:after="0"/>
            <w:ind w:left="1319" w:right="384" w:hanging="1320"/>
            <w:jc w:val="right"/>
          </w:pPr>
          <w:hyperlink w:history="true" w:anchor="_bookmark434">
            <w:r>
              <w:rPr/>
              <w:t>Syntax</w:t>
              <w:tab/>
            </w:r>
            <w:r>
              <w:rPr>
                <w:spacing w:val="-1"/>
              </w:rPr>
              <w:t>2040</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435">
            <w:r>
              <w:rPr/>
              <w:t>Constants</w:t>
              <w:tab/>
            </w:r>
            <w:r>
              <w:rPr>
                <w:spacing w:val="-1"/>
              </w:rPr>
              <w:t>2045</w:t>
            </w:r>
          </w:hyperlink>
        </w:p>
        <w:p>
          <w:pPr>
            <w:pStyle w:val="TOC2"/>
            <w:numPr>
              <w:ilvl w:val="3"/>
              <w:numId w:val="1"/>
            </w:numPr>
            <w:tabs>
              <w:tab w:pos="1137" w:val="left" w:leader="none"/>
              <w:tab w:pos="1138" w:val="left" w:leader="none"/>
              <w:tab w:pos="9222" w:val="left" w:leader="dot"/>
            </w:tabs>
            <w:spacing w:line="267" w:lineRule="exact" w:before="0" w:after="0"/>
            <w:ind w:left="1761" w:right="384" w:hanging="1762"/>
            <w:jc w:val="right"/>
          </w:pPr>
          <w:hyperlink w:history="true" w:anchor="_bookmark436">
            <w:r>
              <w:rPr/>
              <w:t>Operators</w:t>
              <w:tab/>
            </w:r>
            <w:r>
              <w:rPr>
                <w:spacing w:val="-1"/>
              </w:rPr>
              <w:t>2047</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437">
            <w:r>
              <w:rPr/>
              <w:t>Cell</w:t>
            </w:r>
            <w:r>
              <w:rPr>
                <w:spacing w:val="-1"/>
              </w:rPr>
              <w:t> </w:t>
            </w:r>
            <w:r>
              <w:rPr/>
              <w:t>References</w:t>
              <w:tab/>
            </w:r>
            <w:r>
              <w:rPr>
                <w:spacing w:val="-1"/>
              </w:rPr>
              <w:t>2049</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440">
            <w:r>
              <w:rPr/>
              <w:t>Functions</w:t>
              <w:tab/>
            </w:r>
            <w:r>
              <w:rPr>
                <w:spacing w:val="-1"/>
              </w:rPr>
              <w:t>2055</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441">
            <w:r>
              <w:rPr/>
              <w:t>Names</w:t>
              <w:tab/>
            </w:r>
            <w:r>
              <w:rPr>
                <w:spacing w:val="-1"/>
              </w:rPr>
              <w:t>2057</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442">
            <w:r>
              <w:rPr/>
              <w:t>Types</w:t>
            </w:r>
            <w:r>
              <w:rPr>
                <w:spacing w:val="-2"/>
              </w:rPr>
              <w:t> </w:t>
            </w:r>
            <w:r>
              <w:rPr/>
              <w:t>and</w:t>
            </w:r>
            <w:r>
              <w:rPr>
                <w:spacing w:val="-1"/>
              </w:rPr>
              <w:t> </w:t>
            </w:r>
            <w:r>
              <w:rPr/>
              <w:t>Values</w:t>
              <w:tab/>
            </w:r>
            <w:r>
              <w:rPr>
                <w:spacing w:val="-1"/>
              </w:rPr>
              <w:t>2058</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443">
            <w:r>
              <w:rPr/>
              <w:t>Single- and</w:t>
            </w:r>
            <w:r>
              <w:rPr>
                <w:spacing w:val="-2"/>
              </w:rPr>
              <w:t> </w:t>
            </w:r>
            <w:r>
              <w:rPr/>
              <w:t>Array</w:t>
            </w:r>
            <w:r>
              <w:rPr>
                <w:spacing w:val="1"/>
              </w:rPr>
              <w:t> </w:t>
            </w:r>
            <w:r>
              <w:rPr/>
              <w:t>Formulas</w:t>
              <w:tab/>
            </w:r>
            <w:r>
              <w:rPr>
                <w:spacing w:val="-1"/>
              </w:rPr>
              <w:t>2059</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44">
            <w:r>
              <w:rPr/>
              <w:t>Error</w:t>
            </w:r>
            <w:r>
              <w:rPr>
                <w:spacing w:val="-3"/>
              </w:rPr>
              <w:t> </w:t>
            </w:r>
            <w:r>
              <w:rPr/>
              <w:t>values</w:t>
              <w:tab/>
            </w:r>
            <w:r>
              <w:rPr>
                <w:spacing w:val="-1"/>
              </w:rPr>
              <w:t>2060</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45">
            <w:r>
              <w:rPr/>
              <w:t>Dates and</w:t>
            </w:r>
            <w:r>
              <w:rPr>
                <w:spacing w:val="-1"/>
              </w:rPr>
              <w:t> </w:t>
            </w:r>
            <w:r>
              <w:rPr/>
              <w:t>Times</w:t>
              <w:tab/>
            </w:r>
            <w:r>
              <w:rPr>
                <w:spacing w:val="-1"/>
              </w:rPr>
              <w:t>2062</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446">
            <w:r>
              <w:rPr/>
              <w:t>Date Conversion for</w:t>
            </w:r>
            <w:r>
              <w:rPr>
                <w:spacing w:val="-6"/>
              </w:rPr>
              <w:t> </w:t>
            </w:r>
            <w:r>
              <w:rPr/>
              <w:t>Serial</w:t>
            </w:r>
            <w:r>
              <w:rPr>
                <w:spacing w:val="-6"/>
              </w:rPr>
              <w:t> </w:t>
            </w:r>
            <w:r>
              <w:rPr/>
              <w:t>Date-Times</w:t>
              <w:tab/>
            </w:r>
            <w:r>
              <w:rPr>
                <w:spacing w:val="-1"/>
              </w:rPr>
              <w:t>2063</w:t>
            </w:r>
          </w:hyperlink>
        </w:p>
        <w:p>
          <w:pPr>
            <w:pStyle w:val="TOC2"/>
            <w:numPr>
              <w:ilvl w:val="3"/>
              <w:numId w:val="1"/>
            </w:numPr>
            <w:tabs>
              <w:tab w:pos="1137" w:val="left" w:leader="none"/>
              <w:tab w:pos="1138" w:val="left" w:leader="none"/>
              <w:tab w:pos="9222" w:val="left" w:leader="dot"/>
            </w:tabs>
            <w:spacing w:line="268" w:lineRule="exact" w:before="0" w:after="0"/>
            <w:ind w:left="1761" w:right="384" w:hanging="1762"/>
            <w:jc w:val="right"/>
          </w:pPr>
          <w:hyperlink w:history="true" w:anchor="_bookmark447">
            <w:r>
              <w:rPr/>
              <w:t>Time Conversion for</w:t>
            </w:r>
            <w:r>
              <w:rPr>
                <w:spacing w:val="-7"/>
              </w:rPr>
              <w:t> </w:t>
            </w:r>
            <w:r>
              <w:rPr/>
              <w:t>Serial</w:t>
            </w:r>
            <w:r>
              <w:rPr>
                <w:spacing w:val="-3"/>
              </w:rPr>
              <w:t> </w:t>
            </w:r>
            <w:r>
              <w:rPr/>
              <w:t>Date-Times</w:t>
              <w:tab/>
            </w:r>
            <w:r>
              <w:rPr>
                <w:spacing w:val="-1"/>
              </w:rPr>
              <w:t>2064</w:t>
            </w:r>
          </w:hyperlink>
        </w:p>
        <w:p>
          <w:pPr>
            <w:pStyle w:val="TOC2"/>
            <w:numPr>
              <w:ilvl w:val="3"/>
              <w:numId w:val="1"/>
            </w:numPr>
            <w:tabs>
              <w:tab w:pos="1137" w:val="left" w:leader="none"/>
              <w:tab w:pos="1138" w:val="left" w:leader="none"/>
              <w:tab w:pos="9222" w:val="left" w:leader="dot"/>
            </w:tabs>
            <w:spacing w:line="268" w:lineRule="exact" w:before="0" w:after="0"/>
            <w:ind w:left="1761" w:right="384" w:hanging="1762"/>
            <w:jc w:val="right"/>
          </w:pPr>
          <w:hyperlink w:history="true" w:anchor="_bookmark448">
            <w:r>
              <w:rPr/>
              <w:t>Combined Date and Time Conversion for</w:t>
            </w:r>
            <w:r>
              <w:rPr>
                <w:spacing w:val="-9"/>
              </w:rPr>
              <w:t> </w:t>
            </w:r>
            <w:r>
              <w:rPr/>
              <w:t>Serial</w:t>
            </w:r>
            <w:r>
              <w:rPr>
                <w:spacing w:val="-3"/>
              </w:rPr>
              <w:t> </w:t>
            </w:r>
            <w:r>
              <w:rPr/>
              <w:t>Date-Times</w:t>
              <w:tab/>
            </w:r>
            <w:r>
              <w:rPr>
                <w:spacing w:val="-1"/>
              </w:rPr>
              <w:t>2064</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49">
            <w:r>
              <w:rPr/>
              <w:t>Limits and</w:t>
            </w:r>
            <w:r>
              <w:rPr>
                <w:spacing w:val="-3"/>
              </w:rPr>
              <w:t> </w:t>
            </w:r>
            <w:r>
              <w:rPr/>
              <w:t>Precision</w:t>
              <w:tab/>
            </w:r>
            <w:r>
              <w:rPr>
                <w:spacing w:val="-1"/>
              </w:rPr>
              <w:t>2065</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450">
            <w:r>
              <w:rPr/>
              <w:t>Limits</w:t>
              <w:tab/>
            </w:r>
            <w:r>
              <w:rPr>
                <w:spacing w:val="-1"/>
              </w:rPr>
              <w:t>2065</w:t>
            </w:r>
          </w:hyperlink>
        </w:p>
        <w:p>
          <w:pPr>
            <w:pStyle w:val="TOC2"/>
            <w:numPr>
              <w:ilvl w:val="3"/>
              <w:numId w:val="1"/>
            </w:numPr>
            <w:tabs>
              <w:tab w:pos="1137" w:val="left" w:leader="none"/>
              <w:tab w:pos="1138" w:val="left" w:leader="none"/>
              <w:tab w:pos="9222" w:val="left" w:leader="dot"/>
            </w:tabs>
            <w:spacing w:line="240" w:lineRule="auto" w:before="1" w:after="0"/>
            <w:ind w:left="1761" w:right="384" w:hanging="1762"/>
            <w:jc w:val="right"/>
          </w:pPr>
          <w:hyperlink w:history="true" w:anchor="_bookmark451">
            <w:r>
              <w:rPr/>
              <w:t>Precision</w:t>
              <w:tab/>
            </w:r>
            <w:r>
              <w:rPr>
                <w:spacing w:val="-1"/>
              </w:rPr>
              <w:t>2065</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452">
            <w:r>
              <w:rPr/>
              <w:t>Lexical</w:t>
            </w:r>
            <w:r>
              <w:rPr>
                <w:spacing w:val="-3"/>
              </w:rPr>
              <w:t> </w:t>
            </w:r>
            <w:r>
              <w:rPr/>
              <w:t>Representation</w:t>
              <w:tab/>
            </w:r>
            <w:r>
              <w:rPr>
                <w:spacing w:val="-1"/>
              </w:rPr>
              <w:t>2066</w:t>
            </w:r>
          </w:hyperlink>
        </w:p>
        <w:p>
          <w:pPr>
            <w:pStyle w:val="TOC2"/>
            <w:numPr>
              <w:ilvl w:val="3"/>
              <w:numId w:val="1"/>
            </w:numPr>
            <w:tabs>
              <w:tab w:pos="1137" w:val="left" w:leader="none"/>
              <w:tab w:pos="1138" w:val="left" w:leader="none"/>
              <w:tab w:pos="9222" w:val="left" w:leader="dot"/>
            </w:tabs>
            <w:spacing w:line="240" w:lineRule="auto" w:before="0" w:after="0"/>
            <w:ind w:left="1761" w:right="384" w:hanging="1762"/>
            <w:jc w:val="right"/>
          </w:pPr>
          <w:hyperlink w:history="true" w:anchor="_bookmark453">
            <w:r>
              <w:rPr/>
              <w:t>Interpretation</w:t>
              <w:tab/>
            </w:r>
            <w:r>
              <w:rPr>
                <w:spacing w:val="-1"/>
              </w:rPr>
              <w:t>2066</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54">
            <w:r>
              <w:rPr/>
              <w:t>XML</w:t>
            </w:r>
            <w:r>
              <w:rPr>
                <w:spacing w:val="-2"/>
              </w:rPr>
              <w:t> </w:t>
            </w:r>
            <w:r>
              <w:rPr/>
              <w:t>Representation</w:t>
              <w:tab/>
            </w:r>
            <w:r>
              <w:rPr>
                <w:spacing w:val="-1"/>
              </w:rPr>
              <w:t>2067</w:t>
            </w:r>
          </w:hyperlink>
        </w:p>
        <w:p>
          <w:pPr>
            <w:pStyle w:val="TOC2"/>
            <w:numPr>
              <w:ilvl w:val="3"/>
              <w:numId w:val="1"/>
            </w:numPr>
            <w:tabs>
              <w:tab w:pos="1137" w:val="left" w:leader="none"/>
              <w:tab w:pos="1138" w:val="left" w:leader="none"/>
              <w:tab w:pos="9222" w:val="left" w:leader="dot"/>
            </w:tabs>
            <w:spacing w:line="240" w:lineRule="auto" w:before="1" w:after="132"/>
            <w:ind w:left="1761" w:right="384" w:hanging="1762"/>
            <w:jc w:val="right"/>
          </w:pPr>
          <w:hyperlink w:history="true" w:anchor="_bookmark455">
            <w:r>
              <w:rPr/>
              <w:t>Cell</w:t>
            </w:r>
            <w:r>
              <w:rPr>
                <w:spacing w:val="-2"/>
              </w:rPr>
              <w:t> </w:t>
            </w:r>
            <w:r>
              <w:rPr/>
              <w:t>Reference Style</w:t>
              <w:tab/>
            </w:r>
            <w:r>
              <w:rPr>
                <w:spacing w:val="-1"/>
              </w:rPr>
              <w:t>2067</w:t>
            </w:r>
          </w:hyperlink>
        </w:p>
        <w:p>
          <w:pPr>
            <w:pStyle w:val="TOC4"/>
            <w:numPr>
              <w:ilvl w:val="3"/>
              <w:numId w:val="1"/>
            </w:numPr>
            <w:tabs>
              <w:tab w:pos="1761" w:val="left" w:leader="none"/>
              <w:tab w:pos="1762" w:val="left" w:leader="none"/>
              <w:tab w:pos="9845" w:val="left" w:leader="dot"/>
            </w:tabs>
            <w:spacing w:line="240" w:lineRule="auto" w:before="148" w:after="0"/>
            <w:ind w:left="1761" w:right="0" w:hanging="1139"/>
            <w:jc w:val="left"/>
          </w:pPr>
          <w:hyperlink w:history="true" w:anchor="_bookmark456">
            <w:r>
              <w:rPr/>
              <w:t>Scalar</w:t>
            </w:r>
            <w:r>
              <w:rPr>
                <w:spacing w:val="-2"/>
              </w:rPr>
              <w:t> </w:t>
            </w:r>
            <w:r>
              <w:rPr/>
              <w:t>Formulas</w:t>
              <w:tab/>
              <w:t>2067</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457">
            <w:r>
              <w:rPr/>
              <w:t>Array</w:t>
            </w:r>
            <w:r>
              <w:rPr>
                <w:spacing w:val="-1"/>
              </w:rPr>
              <w:t> </w:t>
            </w:r>
            <w:r>
              <w:rPr/>
              <w:t>Formulas</w:t>
              <w:tab/>
              <w:t>2068</w:t>
            </w:r>
          </w:hyperlink>
        </w:p>
        <w:p>
          <w:pPr>
            <w:pStyle w:val="TOC4"/>
            <w:numPr>
              <w:ilvl w:val="3"/>
              <w:numId w:val="1"/>
            </w:numPr>
            <w:tabs>
              <w:tab w:pos="1761" w:val="left" w:leader="none"/>
              <w:tab w:pos="1762" w:val="left" w:leader="none"/>
              <w:tab w:pos="9845" w:val="left" w:leader="dot"/>
            </w:tabs>
            <w:spacing w:line="240" w:lineRule="auto" w:before="1" w:after="0"/>
            <w:ind w:left="1761" w:right="0" w:hanging="1139"/>
            <w:jc w:val="left"/>
          </w:pPr>
          <w:hyperlink w:history="true" w:anchor="_bookmark458">
            <w:r>
              <w:rPr/>
              <w:t>Formula</w:t>
            </w:r>
            <w:r>
              <w:rPr>
                <w:spacing w:val="-4"/>
              </w:rPr>
              <w:t> </w:t>
            </w:r>
            <w:r>
              <w:rPr/>
              <w:t>Evaluation</w:t>
            </w:r>
            <w:r>
              <w:rPr>
                <w:spacing w:val="-3"/>
              </w:rPr>
              <w:t> </w:t>
            </w:r>
            <w:r>
              <w:rPr/>
              <w:t>Order</w:t>
              <w:tab/>
              <w:t>2069</w:t>
            </w:r>
          </w:hyperlink>
        </w:p>
        <w:p>
          <w:pPr>
            <w:pStyle w:val="TOC4"/>
            <w:numPr>
              <w:ilvl w:val="3"/>
              <w:numId w:val="1"/>
            </w:numPr>
            <w:tabs>
              <w:tab w:pos="1761" w:val="left" w:leader="none"/>
              <w:tab w:pos="1762" w:val="left" w:leader="none"/>
              <w:tab w:pos="9845" w:val="left" w:leader="dot"/>
            </w:tabs>
            <w:spacing w:line="240" w:lineRule="auto" w:before="0" w:after="0"/>
            <w:ind w:left="1761" w:right="0" w:hanging="1139"/>
            <w:jc w:val="left"/>
          </w:pPr>
          <w:hyperlink w:history="true" w:anchor="_bookmark459">
            <w:r>
              <w:rPr/>
              <w:t>Name</w:t>
            </w:r>
            <w:r>
              <w:rPr>
                <w:spacing w:val="-2"/>
              </w:rPr>
              <w:t> </w:t>
            </w:r>
            <w:r>
              <w:rPr/>
              <w:t>Representation</w:t>
              <w:tab/>
              <w:t>2070</w:t>
            </w:r>
          </w:hyperlink>
        </w:p>
        <w:p>
          <w:pPr>
            <w:pStyle w:val="TOC4"/>
            <w:numPr>
              <w:ilvl w:val="3"/>
              <w:numId w:val="1"/>
            </w:numPr>
            <w:tabs>
              <w:tab w:pos="1761" w:val="left" w:leader="none"/>
              <w:tab w:pos="1762" w:val="left" w:leader="none"/>
              <w:tab w:pos="9845" w:val="left" w:leader="dot"/>
            </w:tabs>
            <w:spacing w:line="267" w:lineRule="exact" w:before="0" w:after="0"/>
            <w:ind w:left="1761" w:right="0" w:hanging="1139"/>
            <w:jc w:val="left"/>
          </w:pPr>
          <w:hyperlink w:history="true" w:anchor="_bookmark460">
            <w:r>
              <w:rPr/>
              <w:t>Value</w:t>
            </w:r>
            <w:r>
              <w:rPr>
                <w:spacing w:val="-2"/>
              </w:rPr>
              <w:t> </w:t>
            </w:r>
            <w:r>
              <w:rPr/>
              <w:t>Representation</w:t>
              <w:tab/>
              <w:t>2070</w:t>
            </w:r>
          </w:hyperlink>
        </w:p>
        <w:p>
          <w:pPr>
            <w:pStyle w:val="TOC4"/>
            <w:numPr>
              <w:ilvl w:val="3"/>
              <w:numId w:val="1"/>
            </w:numPr>
            <w:tabs>
              <w:tab w:pos="1761" w:val="left" w:leader="none"/>
              <w:tab w:pos="1762" w:val="left" w:leader="none"/>
              <w:tab w:pos="9845" w:val="left" w:leader="dot"/>
            </w:tabs>
            <w:spacing w:line="267" w:lineRule="exact" w:before="0" w:after="0"/>
            <w:ind w:left="1761" w:right="0" w:hanging="1139"/>
            <w:jc w:val="left"/>
          </w:pPr>
          <w:hyperlink w:history="true" w:anchor="_bookmark461">
            <w:r>
              <w:rPr/>
              <w:t>Dates and</w:t>
            </w:r>
            <w:r>
              <w:rPr>
                <w:spacing w:val="-1"/>
              </w:rPr>
              <w:t> </w:t>
            </w:r>
            <w:r>
              <w:rPr/>
              <w:t>Times</w:t>
              <w:tab/>
              <w:t>2070</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462">
            <w:r>
              <w:rPr/>
              <w:t>Predefined</w:t>
            </w:r>
            <w:r>
              <w:rPr>
                <w:spacing w:val="-3"/>
              </w:rPr>
              <w:t> </w:t>
            </w:r>
            <w:r>
              <w:rPr/>
              <w:t>Function</w:t>
            </w:r>
            <w:r>
              <w:rPr>
                <w:spacing w:val="-3"/>
              </w:rPr>
              <w:t> </w:t>
            </w:r>
            <w:r>
              <w:rPr/>
              <w:t>Definitions</w:t>
              <w:tab/>
            </w:r>
            <w:r>
              <w:rPr>
                <w:spacing w:val="-1"/>
              </w:rPr>
              <w:t>2071</w:t>
            </w:r>
          </w:hyperlink>
        </w:p>
        <w:p>
          <w:pPr>
            <w:pStyle w:val="TOC2"/>
            <w:tabs>
              <w:tab w:pos="1137" w:val="left" w:leader="none"/>
              <w:tab w:pos="9222" w:val="left" w:leader="dot"/>
            </w:tabs>
            <w:spacing w:before="1"/>
            <w:ind w:left="0" w:firstLine="0"/>
          </w:pPr>
          <w:hyperlink w:history="true" w:anchor="_bookmark463">
            <w:r>
              <w:rPr/>
              <w:t>18.17.7.1</w:t>
              <w:tab/>
              <w:t>ABS</w:t>
              <w:tab/>
            </w:r>
            <w:r>
              <w:rPr>
                <w:spacing w:val="-1"/>
              </w:rPr>
              <w:t>2074</w:t>
            </w:r>
          </w:hyperlink>
        </w:p>
        <w:p>
          <w:pPr>
            <w:pStyle w:val="TOC2"/>
            <w:numPr>
              <w:ilvl w:val="3"/>
              <w:numId w:val="7"/>
            </w:numPr>
            <w:tabs>
              <w:tab w:pos="1137" w:val="left" w:leader="none"/>
              <w:tab w:pos="1138" w:val="left" w:leader="none"/>
              <w:tab w:pos="9222" w:val="left" w:leader="dot"/>
            </w:tabs>
            <w:spacing w:line="240" w:lineRule="auto" w:before="0" w:after="0"/>
            <w:ind w:left="1761" w:right="384" w:hanging="1762"/>
            <w:jc w:val="right"/>
          </w:pPr>
          <w:hyperlink w:history="true" w:anchor="_bookmark464">
            <w:r>
              <w:rPr/>
              <w:t>ACCRINT</w:t>
              <w:tab/>
            </w:r>
            <w:r>
              <w:rPr>
                <w:spacing w:val="-1"/>
              </w:rPr>
              <w:t>2075</w:t>
            </w:r>
          </w:hyperlink>
        </w:p>
        <w:p>
          <w:pPr>
            <w:pStyle w:val="TOC2"/>
            <w:numPr>
              <w:ilvl w:val="3"/>
              <w:numId w:val="7"/>
            </w:numPr>
            <w:tabs>
              <w:tab w:pos="1137" w:val="left" w:leader="none"/>
              <w:tab w:pos="1138" w:val="left" w:leader="none"/>
              <w:tab w:pos="9222" w:val="left" w:leader="dot"/>
            </w:tabs>
            <w:spacing w:line="240" w:lineRule="auto" w:before="0" w:after="0"/>
            <w:ind w:left="1761" w:right="384" w:hanging="1762"/>
            <w:jc w:val="right"/>
          </w:pPr>
          <w:hyperlink w:history="true" w:anchor="_bookmark465">
            <w:r>
              <w:rPr/>
              <w:t>ACCRINTM</w:t>
              <w:tab/>
            </w:r>
            <w:r>
              <w:rPr>
                <w:spacing w:val="-1"/>
              </w:rPr>
              <w:t>2077</w:t>
            </w:r>
          </w:hyperlink>
        </w:p>
        <w:p>
          <w:pPr>
            <w:pStyle w:val="TOC2"/>
            <w:tabs>
              <w:tab w:pos="1137" w:val="left" w:leader="none"/>
              <w:tab w:pos="9222" w:val="left" w:leader="dot"/>
            </w:tabs>
            <w:ind w:left="0" w:firstLine="0"/>
          </w:pPr>
          <w:hyperlink w:history="true" w:anchor="_bookmark466">
            <w:r>
              <w:rPr/>
              <w:t>18.17.7.4</w:t>
              <w:tab/>
              <w:t>ACOS</w:t>
              <w:tab/>
            </w:r>
            <w:r>
              <w:rPr>
                <w:spacing w:val="-1"/>
              </w:rPr>
              <w:t>2080</w:t>
            </w:r>
          </w:hyperlink>
        </w:p>
        <w:p>
          <w:pPr>
            <w:pStyle w:val="TOC2"/>
            <w:numPr>
              <w:ilvl w:val="3"/>
              <w:numId w:val="8"/>
            </w:numPr>
            <w:tabs>
              <w:tab w:pos="1137" w:val="left" w:leader="none"/>
              <w:tab w:pos="1138" w:val="left" w:leader="none"/>
              <w:tab w:pos="9222" w:val="left" w:leader="dot"/>
            </w:tabs>
            <w:spacing w:line="240" w:lineRule="auto" w:before="1" w:after="0"/>
            <w:ind w:left="1761" w:right="384" w:hanging="1762"/>
            <w:jc w:val="right"/>
          </w:pPr>
          <w:hyperlink w:history="true" w:anchor="_bookmark467">
            <w:r>
              <w:rPr/>
              <w:t>ACOSH</w:t>
              <w:tab/>
            </w:r>
            <w:r>
              <w:rPr>
                <w:spacing w:val="-1"/>
              </w:rPr>
              <w:t>2081</w:t>
            </w:r>
          </w:hyperlink>
        </w:p>
        <w:p>
          <w:pPr>
            <w:pStyle w:val="TOC2"/>
            <w:numPr>
              <w:ilvl w:val="3"/>
              <w:numId w:val="8"/>
            </w:numPr>
            <w:tabs>
              <w:tab w:pos="1137" w:val="left" w:leader="none"/>
              <w:tab w:pos="1138" w:val="left" w:leader="none"/>
              <w:tab w:pos="9222" w:val="left" w:leader="dot"/>
            </w:tabs>
            <w:spacing w:line="240" w:lineRule="auto" w:before="0" w:after="0"/>
            <w:ind w:left="1761" w:right="384" w:hanging="1762"/>
            <w:jc w:val="right"/>
          </w:pPr>
          <w:hyperlink w:history="true" w:anchor="_bookmark468">
            <w:r>
              <w:rPr/>
              <w:t>ADDRESS</w:t>
              <w:tab/>
            </w:r>
            <w:r>
              <w:rPr>
                <w:spacing w:val="-1"/>
              </w:rPr>
              <w:t>2081</w:t>
            </w:r>
          </w:hyperlink>
        </w:p>
        <w:p>
          <w:pPr>
            <w:pStyle w:val="TOC2"/>
            <w:numPr>
              <w:ilvl w:val="3"/>
              <w:numId w:val="8"/>
            </w:numPr>
            <w:tabs>
              <w:tab w:pos="1137" w:val="left" w:leader="none"/>
              <w:tab w:pos="1138" w:val="left" w:leader="none"/>
              <w:tab w:pos="9222" w:val="left" w:leader="dot"/>
            </w:tabs>
            <w:spacing w:line="268" w:lineRule="exact" w:before="0" w:after="0"/>
            <w:ind w:left="1761" w:right="384" w:hanging="1762"/>
            <w:jc w:val="right"/>
          </w:pPr>
          <w:hyperlink w:history="true" w:anchor="_bookmark469">
            <w:r>
              <w:rPr/>
              <w:t>AMORDEGRC</w:t>
              <w:tab/>
            </w:r>
            <w:r>
              <w:rPr>
                <w:spacing w:val="-1"/>
              </w:rPr>
              <w:t>2082</w:t>
            </w:r>
          </w:hyperlink>
        </w:p>
        <w:p>
          <w:pPr>
            <w:pStyle w:val="TOC2"/>
            <w:numPr>
              <w:ilvl w:val="3"/>
              <w:numId w:val="8"/>
            </w:numPr>
            <w:tabs>
              <w:tab w:pos="1137" w:val="left" w:leader="none"/>
              <w:tab w:pos="1138" w:val="left" w:leader="none"/>
              <w:tab w:pos="9222" w:val="left" w:leader="dot"/>
            </w:tabs>
            <w:spacing w:line="268" w:lineRule="exact" w:before="0" w:after="0"/>
            <w:ind w:left="1761" w:right="384" w:hanging="1762"/>
            <w:jc w:val="right"/>
          </w:pPr>
          <w:hyperlink w:history="true" w:anchor="_bookmark471">
            <w:r>
              <w:rPr/>
              <w:t>AMORLINC</w:t>
              <w:tab/>
            </w:r>
            <w:r>
              <w:rPr>
                <w:spacing w:val="-1"/>
              </w:rPr>
              <w:t>2085</w:t>
            </w:r>
          </w:hyperlink>
        </w:p>
        <w:p>
          <w:pPr>
            <w:pStyle w:val="TOC4"/>
            <w:tabs>
              <w:tab w:pos="1761" w:val="left" w:leader="none"/>
              <w:tab w:pos="9845" w:val="left" w:leader="dot"/>
            </w:tabs>
          </w:pPr>
          <w:hyperlink w:history="true" w:anchor="_bookmark472">
            <w:r>
              <w:rPr/>
              <w:t>18.17.7.9</w:t>
              <w:tab/>
              <w:t>AND</w:t>
              <w:tab/>
              <w:t>2088</w:t>
            </w:r>
          </w:hyperlink>
        </w:p>
        <w:p>
          <w:pPr>
            <w:pStyle w:val="TOC4"/>
            <w:tabs>
              <w:tab w:pos="1979" w:val="left" w:leader="none"/>
              <w:tab w:pos="9845" w:val="left" w:leader="dot"/>
            </w:tabs>
            <w:spacing w:before="1"/>
          </w:pPr>
          <w:hyperlink w:history="true" w:anchor="_bookmark473">
            <w:r>
              <w:rPr/>
              <w:t>18.17.7.10</w:t>
              <w:tab/>
              <w:t>AREAS</w:t>
              <w:tab/>
              <w:t>2088</w:t>
            </w:r>
          </w:hyperlink>
        </w:p>
        <w:p>
          <w:pPr>
            <w:pStyle w:val="TOC4"/>
            <w:tabs>
              <w:tab w:pos="1979" w:val="left" w:leader="none"/>
              <w:tab w:pos="9845" w:val="left" w:leader="dot"/>
            </w:tabs>
          </w:pPr>
          <w:hyperlink w:history="true" w:anchor="_bookmark474">
            <w:r>
              <w:rPr/>
              <w:t>18.17.7.11</w:t>
              <w:tab/>
              <w:t>ASC</w:t>
              <w:tab/>
              <w:t>2089</w:t>
            </w:r>
          </w:hyperlink>
        </w:p>
        <w:p>
          <w:pPr>
            <w:pStyle w:val="TOC4"/>
            <w:tabs>
              <w:tab w:pos="1979" w:val="left" w:leader="none"/>
              <w:tab w:pos="9845" w:val="left" w:leader="dot"/>
            </w:tabs>
          </w:pPr>
          <w:hyperlink w:history="true" w:anchor="_bookmark475">
            <w:r>
              <w:rPr/>
              <w:t>18.17.7.12</w:t>
              <w:tab/>
              <w:t>ASIN</w:t>
              <w:tab/>
              <w:t>2090</w:t>
            </w:r>
          </w:hyperlink>
        </w:p>
        <w:p>
          <w:pPr>
            <w:pStyle w:val="TOC4"/>
            <w:tabs>
              <w:tab w:pos="1979" w:val="left" w:leader="none"/>
              <w:tab w:pos="9845" w:val="left" w:leader="dot"/>
            </w:tabs>
          </w:pPr>
          <w:hyperlink w:history="true" w:anchor="_bookmark476">
            <w:r>
              <w:rPr/>
              <w:t>18.17.7.13</w:t>
              <w:tab/>
              <w:t>ASINH</w:t>
              <w:tab/>
              <w:t>2090</w:t>
            </w:r>
          </w:hyperlink>
        </w:p>
        <w:p>
          <w:pPr>
            <w:pStyle w:val="TOC4"/>
            <w:tabs>
              <w:tab w:pos="1979" w:val="left" w:leader="none"/>
              <w:tab w:pos="9845" w:val="left" w:leader="dot"/>
            </w:tabs>
            <w:spacing w:before="1"/>
          </w:pPr>
          <w:hyperlink w:history="true" w:anchor="_bookmark477">
            <w:r>
              <w:rPr/>
              <w:t>18.17.7.14</w:t>
              <w:tab/>
              <w:t>ATAN</w:t>
              <w:tab/>
              <w:t>2091</w:t>
            </w:r>
          </w:hyperlink>
        </w:p>
        <w:p>
          <w:pPr>
            <w:pStyle w:val="TOC4"/>
            <w:tabs>
              <w:tab w:pos="1979" w:val="left" w:leader="none"/>
              <w:tab w:pos="9845" w:val="left" w:leader="dot"/>
            </w:tabs>
          </w:pPr>
          <w:hyperlink w:history="true" w:anchor="_bookmark478">
            <w:r>
              <w:rPr/>
              <w:t>18.17.7.15</w:t>
              <w:tab/>
              <w:t>ATAN2</w:t>
              <w:tab/>
              <w:t>2091</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79">
            <w:r>
              <w:rPr/>
              <w:t>ATANH</w:t>
              <w:tab/>
              <w:t>2092</w:t>
            </w:r>
          </w:hyperlink>
        </w:p>
        <w:p>
          <w:pPr>
            <w:pStyle w:val="TOC4"/>
            <w:numPr>
              <w:ilvl w:val="3"/>
              <w:numId w:val="9"/>
            </w:numPr>
            <w:tabs>
              <w:tab w:pos="1979" w:val="left" w:leader="none"/>
              <w:tab w:pos="1980" w:val="left" w:leader="none"/>
              <w:tab w:pos="9845" w:val="left" w:leader="dot"/>
            </w:tabs>
            <w:spacing w:line="267" w:lineRule="exact" w:before="0" w:after="0"/>
            <w:ind w:left="1979" w:right="0" w:hanging="1357"/>
            <w:jc w:val="left"/>
          </w:pPr>
          <w:hyperlink w:history="true" w:anchor="_bookmark480">
            <w:r>
              <w:rPr/>
              <w:t>AVEDEV</w:t>
              <w:tab/>
              <w:t>2092</w:t>
            </w:r>
          </w:hyperlink>
        </w:p>
        <w:p>
          <w:pPr>
            <w:pStyle w:val="TOC4"/>
            <w:numPr>
              <w:ilvl w:val="3"/>
              <w:numId w:val="9"/>
            </w:numPr>
            <w:tabs>
              <w:tab w:pos="1979" w:val="left" w:leader="none"/>
              <w:tab w:pos="1980" w:val="left" w:leader="none"/>
              <w:tab w:pos="9845" w:val="left" w:leader="dot"/>
            </w:tabs>
            <w:spacing w:line="267" w:lineRule="exact" w:before="0" w:after="0"/>
            <w:ind w:left="1979" w:right="0" w:hanging="1357"/>
            <w:jc w:val="left"/>
          </w:pPr>
          <w:hyperlink w:history="true" w:anchor="_bookmark481">
            <w:r>
              <w:rPr/>
              <w:t>AVERAGE</w:t>
              <w:tab/>
              <w:t>2093</w:t>
            </w:r>
          </w:hyperlink>
        </w:p>
        <w:p>
          <w:pPr>
            <w:pStyle w:val="TOC4"/>
            <w:numPr>
              <w:ilvl w:val="3"/>
              <w:numId w:val="9"/>
            </w:numPr>
            <w:tabs>
              <w:tab w:pos="1979" w:val="left" w:leader="none"/>
              <w:tab w:pos="1980" w:val="left" w:leader="none"/>
              <w:tab w:pos="9845" w:val="left" w:leader="dot"/>
            </w:tabs>
            <w:spacing w:line="240" w:lineRule="auto" w:before="1" w:after="0"/>
            <w:ind w:left="1979" w:right="0" w:hanging="1357"/>
            <w:jc w:val="left"/>
          </w:pPr>
          <w:hyperlink w:history="true" w:anchor="_bookmark482">
            <w:r>
              <w:rPr/>
              <w:t>AVERAGEA</w:t>
              <w:tab/>
              <w:t>2094</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83">
            <w:r>
              <w:rPr/>
              <w:t>AVERAGEIF</w:t>
              <w:tab/>
              <w:t>2095</w:t>
            </w:r>
          </w:hyperlink>
        </w:p>
        <w:p>
          <w:pPr>
            <w:pStyle w:val="TOC4"/>
            <w:numPr>
              <w:ilvl w:val="3"/>
              <w:numId w:val="9"/>
            </w:numPr>
            <w:tabs>
              <w:tab w:pos="1979" w:val="left" w:leader="none"/>
              <w:tab w:pos="1980" w:val="left" w:leader="none"/>
              <w:tab w:pos="9845" w:val="left" w:leader="dot"/>
            </w:tabs>
            <w:spacing w:line="240" w:lineRule="auto" w:before="1" w:after="0"/>
            <w:ind w:left="1979" w:right="0" w:hanging="1357"/>
            <w:jc w:val="left"/>
          </w:pPr>
          <w:hyperlink w:history="true" w:anchor="_bookmark484">
            <w:r>
              <w:rPr/>
              <w:t>AVERAGEIFS</w:t>
              <w:tab/>
              <w:t>2096</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85">
            <w:r>
              <w:rPr/>
              <w:t>BAHTTEXT</w:t>
              <w:tab/>
              <w:t>2097</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86">
            <w:r>
              <w:rPr/>
              <w:t>BESSELI</w:t>
              <w:tab/>
              <w:t>2098</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87">
            <w:r>
              <w:rPr/>
              <w:t>BESSELJ</w:t>
              <w:tab/>
              <w:t>2099</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88">
            <w:r>
              <w:rPr/>
              <w:t>BESSELK</w:t>
              <w:tab/>
              <w:t>2100</w:t>
            </w:r>
          </w:hyperlink>
        </w:p>
        <w:p>
          <w:pPr>
            <w:pStyle w:val="TOC4"/>
            <w:numPr>
              <w:ilvl w:val="3"/>
              <w:numId w:val="9"/>
            </w:numPr>
            <w:tabs>
              <w:tab w:pos="1979" w:val="left" w:leader="none"/>
              <w:tab w:pos="1980" w:val="left" w:leader="none"/>
              <w:tab w:pos="9845" w:val="left" w:leader="dot"/>
            </w:tabs>
            <w:spacing w:line="240" w:lineRule="auto" w:before="1" w:after="0"/>
            <w:ind w:left="1979" w:right="0" w:hanging="1357"/>
            <w:jc w:val="left"/>
          </w:pPr>
          <w:hyperlink w:history="true" w:anchor="_bookmark489">
            <w:r>
              <w:rPr/>
              <w:t>BESSELY</w:t>
              <w:tab/>
              <w:t>2100</w:t>
            </w:r>
          </w:hyperlink>
        </w:p>
        <w:p>
          <w:pPr>
            <w:pStyle w:val="TOC4"/>
            <w:numPr>
              <w:ilvl w:val="3"/>
              <w:numId w:val="9"/>
            </w:numPr>
            <w:tabs>
              <w:tab w:pos="1979" w:val="left" w:leader="none"/>
              <w:tab w:pos="1980" w:val="left" w:leader="none"/>
              <w:tab w:pos="9845" w:val="left" w:leader="dot"/>
            </w:tabs>
            <w:spacing w:line="267" w:lineRule="exact" w:before="0" w:after="0"/>
            <w:ind w:left="1979" w:right="0" w:hanging="1357"/>
            <w:jc w:val="left"/>
          </w:pPr>
          <w:hyperlink w:history="true" w:anchor="_bookmark490">
            <w:r>
              <w:rPr/>
              <w:t>BETADIST</w:t>
              <w:tab/>
              <w:t>2101</w:t>
            </w:r>
          </w:hyperlink>
        </w:p>
        <w:p>
          <w:pPr>
            <w:pStyle w:val="TOC4"/>
            <w:numPr>
              <w:ilvl w:val="3"/>
              <w:numId w:val="9"/>
            </w:numPr>
            <w:tabs>
              <w:tab w:pos="1979" w:val="left" w:leader="none"/>
              <w:tab w:pos="1980" w:val="left" w:leader="none"/>
              <w:tab w:pos="9845" w:val="left" w:leader="dot"/>
            </w:tabs>
            <w:spacing w:line="267" w:lineRule="exact" w:before="0" w:after="0"/>
            <w:ind w:left="1979" w:right="0" w:hanging="1357"/>
            <w:jc w:val="left"/>
          </w:pPr>
          <w:hyperlink w:history="true" w:anchor="_bookmark491">
            <w:r>
              <w:rPr/>
              <w:t>BETAINV</w:t>
              <w:tab/>
              <w:t>2102</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92">
            <w:r>
              <w:rPr/>
              <w:t>BIN2DEC</w:t>
              <w:tab/>
              <w:t>2103</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93">
            <w:r>
              <w:rPr/>
              <w:t>BIN2HEX</w:t>
              <w:tab/>
              <w:t>2104</w:t>
            </w:r>
          </w:hyperlink>
        </w:p>
        <w:p>
          <w:pPr>
            <w:pStyle w:val="TOC4"/>
            <w:numPr>
              <w:ilvl w:val="3"/>
              <w:numId w:val="9"/>
            </w:numPr>
            <w:tabs>
              <w:tab w:pos="1979" w:val="left" w:leader="none"/>
              <w:tab w:pos="1980" w:val="left" w:leader="none"/>
              <w:tab w:pos="9845" w:val="left" w:leader="dot"/>
            </w:tabs>
            <w:spacing w:line="240" w:lineRule="auto" w:before="1" w:after="0"/>
            <w:ind w:left="1979" w:right="0" w:hanging="1357"/>
            <w:jc w:val="left"/>
          </w:pPr>
          <w:hyperlink w:history="true" w:anchor="_bookmark494">
            <w:r>
              <w:rPr/>
              <w:t>BIN2OCT</w:t>
              <w:tab/>
              <w:t>2105</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95">
            <w:r>
              <w:rPr/>
              <w:t>BINOMDIST</w:t>
              <w:tab/>
              <w:t>2106</w:t>
            </w:r>
          </w:hyperlink>
        </w:p>
        <w:p>
          <w:pPr>
            <w:pStyle w:val="TOC4"/>
            <w:numPr>
              <w:ilvl w:val="3"/>
              <w:numId w:val="9"/>
            </w:numPr>
            <w:tabs>
              <w:tab w:pos="1979" w:val="left" w:leader="none"/>
              <w:tab w:pos="1980" w:val="left" w:leader="none"/>
              <w:tab w:pos="9845" w:val="left" w:leader="dot"/>
            </w:tabs>
            <w:spacing w:line="240" w:lineRule="auto" w:before="0" w:after="0"/>
            <w:ind w:left="1979" w:right="0" w:hanging="1357"/>
            <w:jc w:val="left"/>
          </w:pPr>
          <w:hyperlink w:history="true" w:anchor="_bookmark496">
            <w:r>
              <w:rPr/>
              <w:t>CEILING</w:t>
              <w:tab/>
              <w:t>2107</w:t>
            </w:r>
          </w:hyperlink>
        </w:p>
        <w:p>
          <w:pPr>
            <w:pStyle w:val="TOC4"/>
            <w:tabs>
              <w:tab w:pos="1979" w:val="left" w:leader="none"/>
              <w:tab w:pos="9845" w:val="left" w:leader="dot"/>
            </w:tabs>
            <w:spacing w:before="1"/>
          </w:pPr>
          <w:hyperlink w:history="true" w:anchor="_bookmark497">
            <w:r>
              <w:rPr/>
              <w:t>18.17.7.34</w:t>
              <w:tab/>
              <w:t>CELL</w:t>
              <w:tab/>
              <w:t>2108</w:t>
            </w:r>
          </w:hyperlink>
        </w:p>
        <w:p>
          <w:pPr>
            <w:pStyle w:val="TOC4"/>
            <w:tabs>
              <w:tab w:pos="1979" w:val="left" w:leader="none"/>
              <w:tab w:pos="9845" w:val="left" w:leader="dot"/>
            </w:tabs>
          </w:pPr>
          <w:hyperlink w:history="true" w:anchor="_bookmark498">
            <w:r>
              <w:rPr/>
              <w:t>18.17.7.35</w:t>
              <w:tab/>
              <w:t>CHAR</w:t>
              <w:tab/>
              <w:t>2115</w:t>
            </w:r>
          </w:hyperlink>
        </w:p>
        <w:p>
          <w:pPr>
            <w:pStyle w:val="TOC4"/>
            <w:numPr>
              <w:ilvl w:val="3"/>
              <w:numId w:val="10"/>
            </w:numPr>
            <w:tabs>
              <w:tab w:pos="1979" w:val="left" w:leader="none"/>
              <w:tab w:pos="1980" w:val="left" w:leader="none"/>
              <w:tab w:pos="9845" w:val="left" w:leader="dot"/>
            </w:tabs>
            <w:spacing w:line="240" w:lineRule="auto" w:before="1" w:after="0"/>
            <w:ind w:left="1979" w:right="0" w:hanging="1357"/>
            <w:jc w:val="left"/>
          </w:pPr>
          <w:hyperlink w:history="true" w:anchor="_bookmark499">
            <w:r>
              <w:rPr/>
              <w:t>CHIDIST</w:t>
              <w:tab/>
              <w:t>2115</w:t>
            </w:r>
          </w:hyperlink>
        </w:p>
        <w:p>
          <w:pPr>
            <w:pStyle w:val="TOC4"/>
            <w:numPr>
              <w:ilvl w:val="3"/>
              <w:numId w:val="10"/>
            </w:numPr>
            <w:tabs>
              <w:tab w:pos="1979" w:val="left" w:leader="none"/>
              <w:tab w:pos="1980" w:val="left" w:leader="none"/>
              <w:tab w:pos="9845" w:val="left" w:leader="dot"/>
            </w:tabs>
            <w:spacing w:line="267" w:lineRule="exact" w:before="0" w:after="0"/>
            <w:ind w:left="1979" w:right="0" w:hanging="1357"/>
            <w:jc w:val="left"/>
          </w:pPr>
          <w:hyperlink w:history="true" w:anchor="_bookmark500">
            <w:r>
              <w:rPr/>
              <w:t>CHIINV</w:t>
              <w:tab/>
              <w:t>2116</w:t>
            </w:r>
          </w:hyperlink>
        </w:p>
        <w:p>
          <w:pPr>
            <w:pStyle w:val="TOC4"/>
            <w:numPr>
              <w:ilvl w:val="3"/>
              <w:numId w:val="10"/>
            </w:numPr>
            <w:tabs>
              <w:tab w:pos="1979" w:val="left" w:leader="none"/>
              <w:tab w:pos="1980" w:val="left" w:leader="none"/>
              <w:tab w:pos="9845" w:val="left" w:leader="dot"/>
            </w:tabs>
            <w:spacing w:line="267" w:lineRule="exact" w:before="0" w:after="0"/>
            <w:ind w:left="1979" w:right="0" w:hanging="1357"/>
            <w:jc w:val="left"/>
          </w:pPr>
          <w:hyperlink w:history="true" w:anchor="_bookmark501">
            <w:r>
              <w:rPr/>
              <w:t>CHITEST</w:t>
              <w:tab/>
              <w:t>2117</w:t>
            </w:r>
          </w:hyperlink>
        </w:p>
        <w:p>
          <w:pPr>
            <w:pStyle w:val="TOC4"/>
            <w:numPr>
              <w:ilvl w:val="3"/>
              <w:numId w:val="10"/>
            </w:numPr>
            <w:tabs>
              <w:tab w:pos="1979" w:val="left" w:leader="none"/>
              <w:tab w:pos="1980" w:val="left" w:leader="none"/>
              <w:tab w:pos="9845" w:val="left" w:leader="dot"/>
            </w:tabs>
            <w:spacing w:line="240" w:lineRule="auto" w:before="0" w:after="0"/>
            <w:ind w:left="1979" w:right="0" w:hanging="1357"/>
            <w:jc w:val="left"/>
          </w:pPr>
          <w:hyperlink w:history="true" w:anchor="_bookmark502">
            <w:r>
              <w:rPr/>
              <w:t>CHOOSE</w:t>
              <w:tab/>
              <w:t>2118</w:t>
            </w:r>
          </w:hyperlink>
        </w:p>
        <w:p>
          <w:pPr>
            <w:pStyle w:val="TOC4"/>
            <w:numPr>
              <w:ilvl w:val="3"/>
              <w:numId w:val="10"/>
            </w:numPr>
            <w:tabs>
              <w:tab w:pos="1979" w:val="left" w:leader="none"/>
              <w:tab w:pos="1980" w:val="left" w:leader="none"/>
              <w:tab w:pos="9845" w:val="left" w:leader="dot"/>
            </w:tabs>
            <w:spacing w:line="240" w:lineRule="auto" w:before="0" w:after="0"/>
            <w:ind w:left="1979" w:right="0" w:hanging="1357"/>
            <w:jc w:val="left"/>
          </w:pPr>
          <w:hyperlink w:history="true" w:anchor="_bookmark503">
            <w:r>
              <w:rPr/>
              <w:t>CLEAN</w:t>
              <w:tab/>
              <w:t>2119</w:t>
            </w:r>
          </w:hyperlink>
        </w:p>
        <w:p>
          <w:pPr>
            <w:pStyle w:val="TOC4"/>
            <w:tabs>
              <w:tab w:pos="1979" w:val="left" w:leader="none"/>
              <w:tab w:pos="9845" w:val="left" w:leader="dot"/>
            </w:tabs>
            <w:spacing w:after="20"/>
          </w:pPr>
          <w:hyperlink w:history="true" w:anchor="_bookmark504">
            <w:r>
              <w:rPr/>
              <w:t>18.17.7.41</w:t>
              <w:tab/>
              <w:t>CODE</w:t>
              <w:tab/>
              <w:t>2119</w:t>
            </w:r>
          </w:hyperlink>
        </w:p>
        <w:p>
          <w:pPr>
            <w:pStyle w:val="TOC4"/>
            <w:numPr>
              <w:ilvl w:val="3"/>
              <w:numId w:val="11"/>
            </w:numPr>
            <w:tabs>
              <w:tab w:pos="1979" w:val="left" w:leader="none"/>
              <w:tab w:pos="1980" w:val="left" w:leader="none"/>
              <w:tab w:pos="10293" w:val="right" w:leader="dot"/>
            </w:tabs>
            <w:spacing w:line="240" w:lineRule="auto" w:before="90" w:after="0"/>
            <w:ind w:left="1979" w:right="0" w:hanging="1357"/>
            <w:jc w:val="left"/>
          </w:pPr>
          <w:hyperlink w:history="true" w:anchor="_bookmark505">
            <w:r>
              <w:rPr/>
              <w:t>COLUMN</w:t>
              <w:tab/>
              <w:t>2120</w:t>
            </w:r>
          </w:hyperlink>
        </w:p>
        <w:p>
          <w:pPr>
            <w:pStyle w:val="TOC4"/>
            <w:numPr>
              <w:ilvl w:val="3"/>
              <w:numId w:val="11"/>
            </w:numPr>
            <w:tabs>
              <w:tab w:pos="1979" w:val="left" w:leader="none"/>
              <w:tab w:pos="1980" w:val="left" w:leader="none"/>
              <w:tab w:pos="10293" w:val="right" w:leader="dot"/>
            </w:tabs>
            <w:spacing w:line="240" w:lineRule="auto" w:before="1" w:after="0"/>
            <w:ind w:left="1979" w:right="0" w:hanging="1357"/>
            <w:jc w:val="left"/>
          </w:pPr>
          <w:hyperlink w:history="true" w:anchor="_bookmark506">
            <w:r>
              <w:rPr/>
              <w:t>COLUMNS</w:t>
              <w:tab/>
              <w:t>2121</w:t>
            </w:r>
          </w:hyperlink>
        </w:p>
        <w:p>
          <w:pPr>
            <w:pStyle w:val="TOC4"/>
            <w:numPr>
              <w:ilvl w:val="3"/>
              <w:numId w:val="11"/>
            </w:numPr>
            <w:tabs>
              <w:tab w:pos="1979" w:val="left" w:leader="none"/>
              <w:tab w:pos="1980" w:val="left" w:leader="none"/>
              <w:tab w:pos="10293" w:val="right" w:leader="dot"/>
            </w:tabs>
            <w:spacing w:line="240" w:lineRule="auto" w:before="0" w:after="0"/>
            <w:ind w:left="1979" w:right="0" w:hanging="1357"/>
            <w:jc w:val="left"/>
          </w:pPr>
          <w:hyperlink w:history="true" w:anchor="_bookmark507">
            <w:r>
              <w:rPr/>
              <w:t>COMBIN</w:t>
              <w:tab/>
              <w:t>2121</w:t>
            </w:r>
          </w:hyperlink>
        </w:p>
        <w:p>
          <w:pPr>
            <w:pStyle w:val="TOC4"/>
            <w:numPr>
              <w:ilvl w:val="3"/>
              <w:numId w:val="11"/>
            </w:numPr>
            <w:tabs>
              <w:tab w:pos="1979" w:val="left" w:leader="none"/>
              <w:tab w:pos="1980" w:val="left" w:leader="none"/>
              <w:tab w:pos="10293" w:val="right" w:leader="dot"/>
            </w:tabs>
            <w:spacing w:line="240" w:lineRule="auto" w:before="0" w:after="0"/>
            <w:ind w:left="1979" w:right="0" w:hanging="1357"/>
            <w:jc w:val="left"/>
          </w:pPr>
          <w:hyperlink w:history="true" w:anchor="_bookmark508">
            <w:r>
              <w:rPr/>
              <w:t>COMPLEX</w:t>
              <w:tab/>
              <w:t>2122</w:t>
            </w:r>
          </w:hyperlink>
        </w:p>
        <w:p>
          <w:pPr>
            <w:pStyle w:val="TOC4"/>
            <w:numPr>
              <w:ilvl w:val="3"/>
              <w:numId w:val="11"/>
            </w:numPr>
            <w:tabs>
              <w:tab w:pos="1979" w:val="left" w:leader="none"/>
              <w:tab w:pos="1980" w:val="left" w:leader="none"/>
              <w:tab w:pos="10293" w:val="right" w:leader="dot"/>
            </w:tabs>
            <w:spacing w:line="267" w:lineRule="exact" w:before="1" w:after="0"/>
            <w:ind w:left="1979" w:right="0" w:hanging="1357"/>
            <w:jc w:val="left"/>
          </w:pPr>
          <w:hyperlink w:history="true" w:anchor="_bookmark509">
            <w:r>
              <w:rPr/>
              <w:t>CONCATENATE</w:t>
              <w:tab/>
              <w:t>2123</w:t>
            </w:r>
          </w:hyperlink>
        </w:p>
        <w:p>
          <w:pPr>
            <w:pStyle w:val="TOC4"/>
            <w:numPr>
              <w:ilvl w:val="3"/>
              <w:numId w:val="11"/>
            </w:numPr>
            <w:tabs>
              <w:tab w:pos="1979" w:val="left" w:leader="none"/>
              <w:tab w:pos="1980" w:val="left" w:leader="none"/>
              <w:tab w:pos="10293" w:val="right" w:leader="dot"/>
            </w:tabs>
            <w:spacing w:line="267" w:lineRule="exact" w:before="0" w:after="0"/>
            <w:ind w:left="1979" w:right="0" w:hanging="1357"/>
            <w:jc w:val="left"/>
          </w:pPr>
          <w:hyperlink w:history="true" w:anchor="_bookmark510">
            <w:r>
              <w:rPr/>
              <w:t>CONFIDENCE</w:t>
              <w:tab/>
              <w:t>2123</w:t>
            </w:r>
          </w:hyperlink>
        </w:p>
        <w:p>
          <w:pPr>
            <w:pStyle w:val="TOC4"/>
            <w:numPr>
              <w:ilvl w:val="3"/>
              <w:numId w:val="11"/>
            </w:numPr>
            <w:tabs>
              <w:tab w:pos="1979" w:val="left" w:leader="none"/>
              <w:tab w:pos="1980" w:val="left" w:leader="none"/>
              <w:tab w:pos="10293" w:val="right" w:leader="dot"/>
            </w:tabs>
            <w:spacing w:line="240" w:lineRule="auto" w:before="0" w:after="0"/>
            <w:ind w:left="1979" w:right="0" w:hanging="1357"/>
            <w:jc w:val="left"/>
          </w:pPr>
          <w:hyperlink w:history="true" w:anchor="_bookmark511">
            <w:r>
              <w:rPr/>
              <w:t>CONVERT</w:t>
              <w:tab/>
              <w:t>2124</w:t>
            </w:r>
          </w:hyperlink>
        </w:p>
        <w:p>
          <w:pPr>
            <w:pStyle w:val="TOC4"/>
            <w:numPr>
              <w:ilvl w:val="3"/>
              <w:numId w:val="11"/>
            </w:numPr>
            <w:tabs>
              <w:tab w:pos="1979" w:val="left" w:leader="none"/>
              <w:tab w:pos="1980" w:val="left" w:leader="none"/>
              <w:tab w:pos="10293" w:val="right" w:leader="dot"/>
            </w:tabs>
            <w:spacing w:line="240" w:lineRule="auto" w:before="0" w:after="0"/>
            <w:ind w:left="1979" w:right="0" w:hanging="1357"/>
            <w:jc w:val="left"/>
          </w:pPr>
          <w:hyperlink w:history="true" w:anchor="_bookmark512">
            <w:r>
              <w:rPr/>
              <w:t>CORREL</w:t>
              <w:tab/>
              <w:t>2129</w:t>
            </w:r>
          </w:hyperlink>
        </w:p>
        <w:p>
          <w:pPr>
            <w:pStyle w:val="TOC4"/>
            <w:tabs>
              <w:tab w:pos="1979" w:val="left" w:leader="none"/>
              <w:tab w:pos="10293" w:val="right" w:leader="dot"/>
            </w:tabs>
          </w:pPr>
          <w:hyperlink w:history="true" w:anchor="_bookmark513">
            <w:r>
              <w:rPr/>
              <w:t>18.17.7.50</w:t>
              <w:tab/>
              <w:t>COS</w:t>
              <w:tab/>
              <w:t>2130</w:t>
            </w:r>
          </w:hyperlink>
        </w:p>
        <w:p>
          <w:pPr>
            <w:pStyle w:val="TOC4"/>
            <w:tabs>
              <w:tab w:pos="1979" w:val="left" w:leader="none"/>
              <w:tab w:pos="10293" w:val="right" w:leader="dot"/>
            </w:tabs>
            <w:spacing w:before="1"/>
          </w:pPr>
          <w:hyperlink w:history="true" w:anchor="_bookmark514">
            <w:r>
              <w:rPr/>
              <w:t>18.17.7.51</w:t>
              <w:tab/>
              <w:t>COSH</w:t>
              <w:tab/>
              <w:t>2131</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15">
            <w:r>
              <w:rPr/>
              <w:t>COUNT</w:t>
              <w:tab/>
              <w:t>2132</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16">
            <w:r>
              <w:rPr/>
              <w:t>COUNTA</w:t>
              <w:tab/>
              <w:t>2132</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17">
            <w:r>
              <w:rPr/>
              <w:t>COUNTBLANK</w:t>
              <w:tab/>
              <w:t>2133</w:t>
            </w:r>
          </w:hyperlink>
        </w:p>
        <w:p>
          <w:pPr>
            <w:pStyle w:val="TOC4"/>
            <w:numPr>
              <w:ilvl w:val="3"/>
              <w:numId w:val="12"/>
            </w:numPr>
            <w:tabs>
              <w:tab w:pos="1979" w:val="left" w:leader="none"/>
              <w:tab w:pos="1980" w:val="left" w:leader="none"/>
              <w:tab w:pos="10293" w:val="right" w:leader="dot"/>
            </w:tabs>
            <w:spacing w:line="240" w:lineRule="auto" w:before="1" w:after="0"/>
            <w:ind w:left="1979" w:right="0" w:hanging="1357"/>
            <w:jc w:val="left"/>
          </w:pPr>
          <w:hyperlink w:history="true" w:anchor="_bookmark518">
            <w:r>
              <w:rPr/>
              <w:t>COUNTIF</w:t>
              <w:tab/>
              <w:t>2134</w:t>
            </w:r>
          </w:hyperlink>
        </w:p>
        <w:p>
          <w:pPr>
            <w:pStyle w:val="TOC4"/>
            <w:numPr>
              <w:ilvl w:val="3"/>
              <w:numId w:val="12"/>
            </w:numPr>
            <w:tabs>
              <w:tab w:pos="1979" w:val="left" w:leader="none"/>
              <w:tab w:pos="1980" w:val="left" w:leader="none"/>
              <w:tab w:pos="10293" w:val="right" w:leader="dot"/>
            </w:tabs>
            <w:spacing w:line="267" w:lineRule="exact" w:before="0" w:after="0"/>
            <w:ind w:left="1979" w:right="0" w:hanging="1357"/>
            <w:jc w:val="left"/>
          </w:pPr>
          <w:hyperlink w:history="true" w:anchor="_bookmark519">
            <w:r>
              <w:rPr/>
              <w:t>COUNTIFS</w:t>
              <w:tab/>
              <w:t>2134</w:t>
            </w:r>
          </w:hyperlink>
        </w:p>
        <w:p>
          <w:pPr>
            <w:pStyle w:val="TOC4"/>
            <w:numPr>
              <w:ilvl w:val="3"/>
              <w:numId w:val="12"/>
            </w:numPr>
            <w:tabs>
              <w:tab w:pos="1979" w:val="left" w:leader="none"/>
              <w:tab w:pos="1980" w:val="left" w:leader="none"/>
              <w:tab w:pos="10293" w:val="right" w:leader="dot"/>
            </w:tabs>
            <w:spacing w:line="267" w:lineRule="exact" w:before="0" w:after="0"/>
            <w:ind w:left="1979" w:right="0" w:hanging="1357"/>
            <w:jc w:val="left"/>
          </w:pPr>
          <w:hyperlink w:history="true" w:anchor="_bookmark520">
            <w:r>
              <w:rPr/>
              <w:t>COUPDAYBS</w:t>
              <w:tab/>
              <w:t>2136</w:t>
            </w:r>
          </w:hyperlink>
        </w:p>
        <w:p>
          <w:pPr>
            <w:pStyle w:val="TOC4"/>
            <w:numPr>
              <w:ilvl w:val="3"/>
              <w:numId w:val="12"/>
            </w:numPr>
            <w:tabs>
              <w:tab w:pos="1979" w:val="left" w:leader="none"/>
              <w:tab w:pos="1980" w:val="left" w:leader="none"/>
              <w:tab w:pos="10293" w:val="right" w:leader="dot"/>
            </w:tabs>
            <w:spacing w:line="240" w:lineRule="auto" w:before="1" w:after="0"/>
            <w:ind w:left="1979" w:right="0" w:hanging="1357"/>
            <w:jc w:val="left"/>
          </w:pPr>
          <w:hyperlink w:history="true" w:anchor="_bookmark521">
            <w:r>
              <w:rPr/>
              <w:t>COUPDAYS</w:t>
              <w:tab/>
              <w:t>2138</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22">
            <w:r>
              <w:rPr/>
              <w:t>COUPDAYSNC</w:t>
              <w:tab/>
              <w:t>2141</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23">
            <w:r>
              <w:rPr/>
              <w:t>COUPNCD</w:t>
              <w:tab/>
              <w:t>2143</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24">
            <w:r>
              <w:rPr/>
              <w:t>COUPNUM</w:t>
              <w:tab/>
              <w:t>2146</w:t>
            </w:r>
          </w:hyperlink>
        </w:p>
        <w:p>
          <w:pPr>
            <w:pStyle w:val="TOC4"/>
            <w:numPr>
              <w:ilvl w:val="3"/>
              <w:numId w:val="12"/>
            </w:numPr>
            <w:tabs>
              <w:tab w:pos="1979" w:val="left" w:leader="none"/>
              <w:tab w:pos="1980" w:val="left" w:leader="none"/>
              <w:tab w:pos="10293" w:val="right" w:leader="dot"/>
            </w:tabs>
            <w:spacing w:line="240" w:lineRule="auto" w:before="1" w:after="0"/>
            <w:ind w:left="1979" w:right="0" w:hanging="1357"/>
            <w:jc w:val="left"/>
          </w:pPr>
          <w:hyperlink w:history="true" w:anchor="_bookmark525">
            <w:r>
              <w:rPr/>
              <w:t>COUPPCD</w:t>
              <w:tab/>
              <w:t>2148</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26">
            <w:r>
              <w:rPr/>
              <w:t>COVAR</w:t>
              <w:tab/>
              <w:t>2151</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27">
            <w:r>
              <w:rPr/>
              <w:t>CRITBINOM</w:t>
              <w:tab/>
              <w:t>2152</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28">
            <w:r>
              <w:rPr/>
              <w:t>CUBEKPIMEMBER</w:t>
              <w:tab/>
              <w:t>2153</w:t>
            </w:r>
          </w:hyperlink>
        </w:p>
        <w:p>
          <w:pPr>
            <w:pStyle w:val="TOC4"/>
            <w:numPr>
              <w:ilvl w:val="3"/>
              <w:numId w:val="12"/>
            </w:numPr>
            <w:tabs>
              <w:tab w:pos="1979" w:val="left" w:leader="none"/>
              <w:tab w:pos="1980" w:val="left" w:leader="none"/>
              <w:tab w:pos="10293" w:val="right" w:leader="dot"/>
            </w:tabs>
            <w:spacing w:line="267" w:lineRule="exact" w:before="1" w:after="0"/>
            <w:ind w:left="1979" w:right="0" w:hanging="1357"/>
            <w:jc w:val="left"/>
          </w:pPr>
          <w:hyperlink w:history="true" w:anchor="_bookmark529">
            <w:r>
              <w:rPr/>
              <w:t>CUBEMEMBER</w:t>
              <w:tab/>
              <w:t>2154</w:t>
            </w:r>
          </w:hyperlink>
        </w:p>
        <w:p>
          <w:pPr>
            <w:pStyle w:val="TOC4"/>
            <w:numPr>
              <w:ilvl w:val="3"/>
              <w:numId w:val="12"/>
            </w:numPr>
            <w:tabs>
              <w:tab w:pos="1979" w:val="left" w:leader="none"/>
              <w:tab w:pos="1980" w:val="left" w:leader="none"/>
              <w:tab w:pos="10293" w:val="right" w:leader="dot"/>
            </w:tabs>
            <w:spacing w:line="267" w:lineRule="exact" w:before="0" w:after="0"/>
            <w:ind w:left="1979" w:right="0" w:hanging="1357"/>
            <w:jc w:val="left"/>
          </w:pPr>
          <w:hyperlink w:history="true" w:anchor="_bookmark530">
            <w:r>
              <w:rPr/>
              <w:t>CUBEMEMBERPROPERTY</w:t>
              <w:tab/>
              <w:t>2155</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31">
            <w:r>
              <w:rPr/>
              <w:t>CUBERANKEDMEMBER</w:t>
              <w:tab/>
              <w:t>2156</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32">
            <w:r>
              <w:rPr/>
              <w:t>CUBESET</w:t>
              <w:tab/>
              <w:t>2157</w:t>
            </w:r>
          </w:hyperlink>
        </w:p>
        <w:p>
          <w:pPr>
            <w:pStyle w:val="TOC4"/>
            <w:numPr>
              <w:ilvl w:val="3"/>
              <w:numId w:val="12"/>
            </w:numPr>
            <w:tabs>
              <w:tab w:pos="1979" w:val="left" w:leader="none"/>
              <w:tab w:pos="1980" w:val="left" w:leader="none"/>
              <w:tab w:pos="10293" w:val="right" w:leader="dot"/>
            </w:tabs>
            <w:spacing w:line="240" w:lineRule="auto" w:before="1" w:after="0"/>
            <w:ind w:left="1979" w:right="0" w:hanging="1357"/>
            <w:jc w:val="left"/>
          </w:pPr>
          <w:hyperlink w:history="true" w:anchor="_bookmark533">
            <w:r>
              <w:rPr/>
              <w:t>CUBESETCOUNT</w:t>
              <w:tab/>
              <w:t>2159</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34">
            <w:r>
              <w:rPr/>
              <w:t>CUBEVALUE</w:t>
              <w:tab/>
              <w:t>2160</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35">
            <w:r>
              <w:rPr/>
              <w:t>CUMIPMT</w:t>
              <w:tab/>
              <w:t>2161</w:t>
            </w:r>
          </w:hyperlink>
        </w:p>
        <w:p>
          <w:pPr>
            <w:pStyle w:val="TOC4"/>
            <w:numPr>
              <w:ilvl w:val="3"/>
              <w:numId w:val="12"/>
            </w:numPr>
            <w:tabs>
              <w:tab w:pos="1979" w:val="left" w:leader="none"/>
              <w:tab w:pos="1980" w:val="left" w:leader="none"/>
              <w:tab w:pos="10293" w:val="right" w:leader="dot"/>
            </w:tabs>
            <w:spacing w:line="240" w:lineRule="auto" w:before="0" w:after="0"/>
            <w:ind w:left="1979" w:right="0" w:hanging="1357"/>
            <w:jc w:val="left"/>
          </w:pPr>
          <w:hyperlink w:history="true" w:anchor="_bookmark536">
            <w:r>
              <w:rPr/>
              <w:t>CUMPRINC</w:t>
              <w:tab/>
              <w:t>2162</w:t>
            </w:r>
          </w:hyperlink>
        </w:p>
        <w:p>
          <w:pPr>
            <w:pStyle w:val="TOC4"/>
            <w:tabs>
              <w:tab w:pos="1979" w:val="left" w:leader="none"/>
              <w:tab w:pos="10293" w:val="right" w:leader="dot"/>
            </w:tabs>
            <w:spacing w:before="1"/>
          </w:pPr>
          <w:hyperlink w:history="true" w:anchor="_bookmark537">
            <w:r>
              <w:rPr/>
              <w:t>18.17.7.74</w:t>
              <w:tab/>
              <w:t>DATE</w:t>
              <w:tab/>
              <w:t>2163</w:t>
            </w:r>
          </w:hyperlink>
        </w:p>
        <w:p>
          <w:pPr>
            <w:pStyle w:val="TOC4"/>
            <w:numPr>
              <w:ilvl w:val="3"/>
              <w:numId w:val="13"/>
            </w:numPr>
            <w:tabs>
              <w:tab w:pos="1979" w:val="left" w:leader="none"/>
              <w:tab w:pos="1980" w:val="left" w:leader="none"/>
              <w:tab w:pos="10293" w:val="right" w:leader="dot"/>
            </w:tabs>
            <w:spacing w:line="240" w:lineRule="auto" w:before="0" w:after="0"/>
            <w:ind w:left="1979" w:right="0" w:hanging="1357"/>
            <w:jc w:val="left"/>
          </w:pPr>
          <w:hyperlink w:history="true" w:anchor="_bookmark538">
            <w:r>
              <w:rPr/>
              <w:t>DATEDIF</w:t>
              <w:tab/>
              <w:t>2164</w:t>
            </w:r>
          </w:hyperlink>
        </w:p>
        <w:p>
          <w:pPr>
            <w:pStyle w:val="TOC4"/>
            <w:numPr>
              <w:ilvl w:val="3"/>
              <w:numId w:val="13"/>
            </w:numPr>
            <w:tabs>
              <w:tab w:pos="1979" w:val="left" w:leader="none"/>
              <w:tab w:pos="1980" w:val="left" w:leader="none"/>
              <w:tab w:pos="10293" w:val="right" w:leader="dot"/>
            </w:tabs>
            <w:spacing w:line="267" w:lineRule="exact" w:before="0" w:after="0"/>
            <w:ind w:left="1979" w:right="0" w:hanging="1357"/>
            <w:jc w:val="left"/>
          </w:pPr>
          <w:hyperlink w:history="true" w:anchor="_bookmark539">
            <w:r>
              <w:rPr/>
              <w:t>DATEVALUE</w:t>
              <w:tab/>
              <w:t>2166</w:t>
            </w:r>
          </w:hyperlink>
        </w:p>
        <w:p>
          <w:pPr>
            <w:pStyle w:val="TOC4"/>
            <w:numPr>
              <w:ilvl w:val="3"/>
              <w:numId w:val="13"/>
            </w:numPr>
            <w:tabs>
              <w:tab w:pos="1979" w:val="left" w:leader="none"/>
              <w:tab w:pos="1980" w:val="left" w:leader="none"/>
              <w:tab w:pos="10293" w:val="right" w:leader="dot"/>
            </w:tabs>
            <w:spacing w:line="267" w:lineRule="exact" w:before="0" w:after="0"/>
            <w:ind w:left="1979" w:right="0" w:hanging="1357"/>
            <w:jc w:val="left"/>
          </w:pPr>
          <w:hyperlink w:history="true" w:anchor="_bookmark540">
            <w:r>
              <w:rPr/>
              <w:t>DAVERAGE</w:t>
              <w:tab/>
              <w:t>2167</w:t>
            </w:r>
          </w:hyperlink>
        </w:p>
        <w:p>
          <w:pPr>
            <w:pStyle w:val="TOC4"/>
            <w:tabs>
              <w:tab w:pos="1979" w:val="left" w:leader="none"/>
              <w:tab w:pos="10293" w:val="right" w:leader="dot"/>
            </w:tabs>
          </w:pPr>
          <w:hyperlink w:history="true" w:anchor="_bookmark541">
            <w:r>
              <w:rPr/>
              <w:t>18.17.7.78</w:t>
              <w:tab/>
              <w:t>DAY</w:t>
              <w:tab/>
              <w:t>2169</w:t>
            </w:r>
          </w:hyperlink>
        </w:p>
        <w:p>
          <w:pPr>
            <w:pStyle w:val="TOC4"/>
            <w:tabs>
              <w:tab w:pos="1979" w:val="left" w:leader="none"/>
              <w:tab w:pos="10293" w:val="right" w:leader="dot"/>
            </w:tabs>
            <w:spacing w:before="1"/>
          </w:pPr>
          <w:hyperlink w:history="true" w:anchor="_bookmark542">
            <w:r>
              <w:rPr/>
              <w:t>18.17.7.79</w:t>
              <w:tab/>
              <w:t>DAYS360</w:t>
              <w:tab/>
              <w:t>2170</w:t>
            </w:r>
          </w:hyperlink>
        </w:p>
        <w:p>
          <w:pPr>
            <w:pStyle w:val="TOC4"/>
            <w:tabs>
              <w:tab w:pos="1979" w:val="left" w:leader="none"/>
              <w:tab w:pos="10293" w:val="right" w:leader="dot"/>
            </w:tabs>
          </w:pPr>
          <w:hyperlink w:history="true" w:anchor="_bookmark543">
            <w:r>
              <w:rPr/>
              <w:t>18.17.7.80</w:t>
              <w:tab/>
              <w:t>DB</w:t>
              <w:tab/>
              <w:t>2171</w:t>
            </w:r>
          </w:hyperlink>
        </w:p>
        <w:p>
          <w:pPr>
            <w:pStyle w:val="TOC4"/>
            <w:numPr>
              <w:ilvl w:val="3"/>
              <w:numId w:val="14"/>
            </w:numPr>
            <w:tabs>
              <w:tab w:pos="1979" w:val="left" w:leader="none"/>
              <w:tab w:pos="1980" w:val="left" w:leader="none"/>
              <w:tab w:pos="10293" w:val="right" w:leader="dot"/>
            </w:tabs>
            <w:spacing w:line="240" w:lineRule="auto" w:before="0" w:after="0"/>
            <w:ind w:left="1979" w:right="0" w:hanging="1357"/>
            <w:jc w:val="left"/>
          </w:pPr>
          <w:hyperlink w:history="true" w:anchor="_bookmark544">
            <w:r>
              <w:rPr/>
              <w:t>DCOUNT</w:t>
              <w:tab/>
              <w:t>2173</w:t>
            </w:r>
          </w:hyperlink>
        </w:p>
        <w:p>
          <w:pPr>
            <w:pStyle w:val="TOC4"/>
            <w:numPr>
              <w:ilvl w:val="3"/>
              <w:numId w:val="14"/>
            </w:numPr>
            <w:tabs>
              <w:tab w:pos="1979" w:val="left" w:leader="none"/>
              <w:tab w:pos="1980" w:val="left" w:leader="none"/>
              <w:tab w:pos="10293" w:val="right" w:leader="dot"/>
            </w:tabs>
            <w:spacing w:line="240" w:lineRule="auto" w:before="1" w:after="0"/>
            <w:ind w:left="1979" w:right="0" w:hanging="1357"/>
            <w:jc w:val="left"/>
          </w:pPr>
          <w:hyperlink w:history="true" w:anchor="_bookmark545">
            <w:r>
              <w:rPr/>
              <w:t>DCOUNTA</w:t>
              <w:tab/>
              <w:t>2173</w:t>
            </w:r>
          </w:hyperlink>
        </w:p>
        <w:p>
          <w:pPr>
            <w:pStyle w:val="TOC4"/>
            <w:tabs>
              <w:tab w:pos="1979" w:val="left" w:leader="none"/>
              <w:tab w:pos="10293" w:val="right" w:leader="dot"/>
            </w:tabs>
          </w:pPr>
          <w:hyperlink w:history="true" w:anchor="_bookmark546">
            <w:r>
              <w:rPr/>
              <w:t>18.17.7.83</w:t>
              <w:tab/>
              <w:t>DDB</w:t>
              <w:tab/>
              <w:t>2174</w:t>
            </w:r>
          </w:hyperlink>
        </w:p>
        <w:p>
          <w:pPr>
            <w:pStyle w:val="TOC4"/>
            <w:numPr>
              <w:ilvl w:val="3"/>
              <w:numId w:val="15"/>
            </w:numPr>
            <w:tabs>
              <w:tab w:pos="1979" w:val="left" w:leader="none"/>
              <w:tab w:pos="1980" w:val="left" w:leader="none"/>
              <w:tab w:pos="10293" w:val="right" w:leader="dot"/>
            </w:tabs>
            <w:spacing w:line="240" w:lineRule="auto" w:before="1" w:after="0"/>
            <w:ind w:left="1979" w:right="0" w:hanging="1357"/>
            <w:jc w:val="left"/>
          </w:pPr>
          <w:hyperlink w:history="true" w:anchor="_bookmark547">
            <w:r>
              <w:rPr/>
              <w:t>DEC2BIN</w:t>
              <w:tab/>
              <w:t>2175</w:t>
            </w:r>
          </w:hyperlink>
        </w:p>
        <w:p>
          <w:pPr>
            <w:pStyle w:val="TOC4"/>
            <w:numPr>
              <w:ilvl w:val="3"/>
              <w:numId w:val="15"/>
            </w:numPr>
            <w:tabs>
              <w:tab w:pos="1979" w:val="left" w:leader="none"/>
              <w:tab w:pos="1980" w:val="left" w:leader="none"/>
              <w:tab w:pos="10293" w:val="right" w:leader="dot"/>
            </w:tabs>
            <w:spacing w:line="240" w:lineRule="auto" w:before="0" w:after="0"/>
            <w:ind w:left="1979" w:right="0" w:hanging="1357"/>
            <w:jc w:val="left"/>
          </w:pPr>
          <w:hyperlink w:history="true" w:anchor="_bookmark548">
            <w:r>
              <w:rPr/>
              <w:t>DEC2HEX</w:t>
              <w:tab/>
              <w:t>2176</w:t>
            </w:r>
          </w:hyperlink>
        </w:p>
        <w:p>
          <w:pPr>
            <w:pStyle w:val="TOC4"/>
            <w:numPr>
              <w:ilvl w:val="3"/>
              <w:numId w:val="15"/>
            </w:numPr>
            <w:tabs>
              <w:tab w:pos="1979" w:val="left" w:leader="none"/>
              <w:tab w:pos="1980" w:val="left" w:leader="none"/>
              <w:tab w:pos="10293" w:val="right" w:leader="dot"/>
            </w:tabs>
            <w:spacing w:line="267" w:lineRule="exact" w:before="0" w:after="0"/>
            <w:ind w:left="1979" w:right="0" w:hanging="1357"/>
            <w:jc w:val="left"/>
          </w:pPr>
          <w:hyperlink w:history="true" w:anchor="_bookmark549">
            <w:r>
              <w:rPr/>
              <w:t>DEC2OCT</w:t>
              <w:tab/>
              <w:t>2177</w:t>
            </w:r>
          </w:hyperlink>
        </w:p>
        <w:p>
          <w:pPr>
            <w:pStyle w:val="TOC4"/>
            <w:numPr>
              <w:ilvl w:val="3"/>
              <w:numId w:val="15"/>
            </w:numPr>
            <w:tabs>
              <w:tab w:pos="1979" w:val="left" w:leader="none"/>
              <w:tab w:pos="1980" w:val="left" w:leader="none"/>
              <w:tab w:pos="10293" w:val="right" w:leader="dot"/>
            </w:tabs>
            <w:spacing w:line="267" w:lineRule="exact" w:before="0" w:after="0"/>
            <w:ind w:left="1979" w:right="0" w:hanging="1357"/>
            <w:jc w:val="left"/>
          </w:pPr>
          <w:hyperlink w:history="true" w:anchor="_bookmark550">
            <w:r>
              <w:rPr/>
              <w:t>DEGREES</w:t>
              <w:tab/>
              <w:t>2178</w:t>
            </w:r>
          </w:hyperlink>
        </w:p>
        <w:p>
          <w:pPr>
            <w:pStyle w:val="TOC4"/>
            <w:numPr>
              <w:ilvl w:val="3"/>
              <w:numId w:val="15"/>
            </w:numPr>
            <w:tabs>
              <w:tab w:pos="1979" w:val="left" w:leader="none"/>
              <w:tab w:pos="1980" w:val="left" w:leader="none"/>
              <w:tab w:pos="10293" w:val="right" w:leader="dot"/>
            </w:tabs>
            <w:spacing w:line="240" w:lineRule="auto" w:before="0" w:after="0"/>
            <w:ind w:left="1979" w:right="0" w:hanging="1357"/>
            <w:jc w:val="left"/>
          </w:pPr>
          <w:hyperlink w:history="true" w:anchor="_bookmark551">
            <w:r>
              <w:rPr/>
              <w:t>DELTA</w:t>
              <w:tab/>
              <w:t>2178</w:t>
            </w:r>
          </w:hyperlink>
        </w:p>
        <w:p>
          <w:pPr>
            <w:pStyle w:val="TOC4"/>
            <w:numPr>
              <w:ilvl w:val="3"/>
              <w:numId w:val="15"/>
            </w:numPr>
            <w:tabs>
              <w:tab w:pos="1979" w:val="left" w:leader="none"/>
              <w:tab w:pos="1980" w:val="left" w:leader="none"/>
              <w:tab w:pos="10293" w:val="right" w:leader="dot"/>
            </w:tabs>
            <w:spacing w:line="240" w:lineRule="auto" w:before="0" w:after="77"/>
            <w:ind w:left="1979" w:right="0" w:hanging="1357"/>
            <w:jc w:val="left"/>
          </w:pPr>
          <w:hyperlink w:history="true" w:anchor="_bookmark552">
            <w:r>
              <w:rPr/>
              <w:t>DEVSQ</w:t>
              <w:tab/>
              <w:t>2179</w:t>
            </w:r>
          </w:hyperlink>
        </w:p>
        <w:p>
          <w:pPr>
            <w:pStyle w:val="TOC4"/>
            <w:tabs>
              <w:tab w:pos="1979" w:val="left" w:leader="none"/>
              <w:tab w:pos="10293" w:val="right" w:leader="dot"/>
            </w:tabs>
            <w:spacing w:before="148"/>
          </w:pPr>
          <w:hyperlink w:history="true" w:anchor="_bookmark553">
            <w:r>
              <w:rPr/>
              <w:t>18.17.7.90</w:t>
              <w:tab/>
              <w:t>DGET</w:t>
              <w:tab/>
              <w:t>2180</w:t>
            </w:r>
          </w:hyperlink>
        </w:p>
        <w:p>
          <w:pPr>
            <w:pStyle w:val="TOC4"/>
            <w:tabs>
              <w:tab w:pos="1979" w:val="left" w:leader="none"/>
              <w:tab w:pos="10293" w:val="right" w:leader="dot"/>
            </w:tabs>
          </w:pPr>
          <w:hyperlink w:history="true" w:anchor="_bookmark554">
            <w:r>
              <w:rPr/>
              <w:t>18.17.7.91</w:t>
              <w:tab/>
              <w:t>DISC</w:t>
              <w:tab/>
              <w:t>2180</w:t>
            </w:r>
          </w:hyperlink>
        </w:p>
        <w:p>
          <w:pPr>
            <w:pStyle w:val="TOC4"/>
            <w:tabs>
              <w:tab w:pos="1979" w:val="left" w:leader="none"/>
              <w:tab w:pos="10293" w:val="right" w:leader="dot"/>
            </w:tabs>
            <w:spacing w:before="1"/>
          </w:pPr>
          <w:hyperlink w:history="true" w:anchor="_bookmark555">
            <w:r>
              <w:rPr/>
              <w:t>18.17.7.92</w:t>
              <w:tab/>
              <w:t>DMAX</w:t>
              <w:tab/>
              <w:t>2183</w:t>
            </w:r>
          </w:hyperlink>
        </w:p>
        <w:p>
          <w:pPr>
            <w:pStyle w:val="TOC4"/>
            <w:tabs>
              <w:tab w:pos="1979" w:val="left" w:leader="none"/>
              <w:tab w:pos="10293" w:val="right" w:leader="dot"/>
            </w:tabs>
          </w:pPr>
          <w:hyperlink w:history="true" w:anchor="_bookmark556">
            <w:r>
              <w:rPr/>
              <w:t>18.17.7.93</w:t>
              <w:tab/>
              <w:t>DMIN</w:t>
              <w:tab/>
              <w:t>2184</w:t>
            </w:r>
          </w:hyperlink>
        </w:p>
        <w:p>
          <w:pPr>
            <w:pStyle w:val="TOC4"/>
            <w:numPr>
              <w:ilvl w:val="3"/>
              <w:numId w:val="16"/>
            </w:numPr>
            <w:tabs>
              <w:tab w:pos="1979" w:val="left" w:leader="none"/>
              <w:tab w:pos="1980" w:val="left" w:leader="none"/>
              <w:tab w:pos="10293" w:val="right" w:leader="dot"/>
            </w:tabs>
            <w:spacing w:line="267" w:lineRule="exact" w:before="0" w:after="0"/>
            <w:ind w:left="1979" w:right="0" w:hanging="1357"/>
            <w:jc w:val="left"/>
          </w:pPr>
          <w:hyperlink w:history="true" w:anchor="_bookmark557">
            <w:r>
              <w:rPr/>
              <w:t>DOLLAR</w:t>
              <w:tab/>
              <w:t>2185</w:t>
            </w:r>
          </w:hyperlink>
        </w:p>
        <w:p>
          <w:pPr>
            <w:pStyle w:val="TOC4"/>
            <w:numPr>
              <w:ilvl w:val="3"/>
              <w:numId w:val="16"/>
            </w:numPr>
            <w:tabs>
              <w:tab w:pos="1979" w:val="left" w:leader="none"/>
              <w:tab w:pos="1980" w:val="left" w:leader="none"/>
              <w:tab w:pos="10293" w:val="right" w:leader="dot"/>
            </w:tabs>
            <w:spacing w:line="267" w:lineRule="exact" w:before="0" w:after="0"/>
            <w:ind w:left="1979" w:right="0" w:hanging="1357"/>
            <w:jc w:val="left"/>
          </w:pPr>
          <w:hyperlink w:history="true" w:anchor="_bookmark558">
            <w:r>
              <w:rPr/>
              <w:t>DOLLARDE</w:t>
              <w:tab/>
              <w:t>2186</w:t>
            </w:r>
          </w:hyperlink>
        </w:p>
        <w:p>
          <w:pPr>
            <w:pStyle w:val="TOC4"/>
            <w:numPr>
              <w:ilvl w:val="3"/>
              <w:numId w:val="16"/>
            </w:numPr>
            <w:tabs>
              <w:tab w:pos="1979" w:val="left" w:leader="none"/>
              <w:tab w:pos="1980" w:val="left" w:leader="none"/>
              <w:tab w:pos="10293" w:val="right" w:leader="dot"/>
            </w:tabs>
            <w:spacing w:line="240" w:lineRule="auto" w:before="0" w:after="0"/>
            <w:ind w:left="1979" w:right="0" w:hanging="1357"/>
            <w:jc w:val="left"/>
          </w:pPr>
          <w:hyperlink w:history="true" w:anchor="_bookmark559">
            <w:r>
              <w:rPr/>
              <w:t>DOLLARFR</w:t>
              <w:tab/>
              <w:t>2186</w:t>
            </w:r>
          </w:hyperlink>
        </w:p>
        <w:p>
          <w:pPr>
            <w:pStyle w:val="TOC4"/>
            <w:numPr>
              <w:ilvl w:val="3"/>
              <w:numId w:val="16"/>
            </w:numPr>
            <w:tabs>
              <w:tab w:pos="1979" w:val="left" w:leader="none"/>
              <w:tab w:pos="1980" w:val="left" w:leader="none"/>
              <w:tab w:pos="10293" w:val="right" w:leader="dot"/>
            </w:tabs>
            <w:spacing w:line="240" w:lineRule="auto" w:before="1" w:after="0"/>
            <w:ind w:left="1979" w:right="0" w:hanging="1357"/>
            <w:jc w:val="left"/>
          </w:pPr>
          <w:hyperlink w:history="true" w:anchor="_bookmark560">
            <w:r>
              <w:rPr/>
              <w:t>DPRODUCT</w:t>
              <w:tab/>
              <w:t>2187</w:t>
            </w:r>
          </w:hyperlink>
        </w:p>
        <w:p>
          <w:pPr>
            <w:pStyle w:val="TOC4"/>
            <w:numPr>
              <w:ilvl w:val="3"/>
              <w:numId w:val="16"/>
            </w:numPr>
            <w:tabs>
              <w:tab w:pos="1979" w:val="left" w:leader="none"/>
              <w:tab w:pos="1980" w:val="left" w:leader="none"/>
              <w:tab w:pos="10293" w:val="right" w:leader="dot"/>
            </w:tabs>
            <w:spacing w:line="240" w:lineRule="auto" w:before="0" w:after="0"/>
            <w:ind w:left="1979" w:right="0" w:hanging="1357"/>
            <w:jc w:val="left"/>
          </w:pPr>
          <w:hyperlink w:history="true" w:anchor="_bookmark561">
            <w:r>
              <w:rPr/>
              <w:t>DSTDEV</w:t>
              <w:tab/>
              <w:t>2188</w:t>
            </w:r>
          </w:hyperlink>
        </w:p>
        <w:p>
          <w:pPr>
            <w:pStyle w:val="TOC4"/>
            <w:numPr>
              <w:ilvl w:val="3"/>
              <w:numId w:val="16"/>
            </w:numPr>
            <w:tabs>
              <w:tab w:pos="1979" w:val="left" w:leader="none"/>
              <w:tab w:pos="1980" w:val="left" w:leader="none"/>
              <w:tab w:pos="10293" w:val="right" w:leader="dot"/>
            </w:tabs>
            <w:spacing w:line="240" w:lineRule="auto" w:before="0" w:after="0"/>
            <w:ind w:left="1979" w:right="0" w:hanging="1357"/>
            <w:jc w:val="left"/>
          </w:pPr>
          <w:hyperlink w:history="true" w:anchor="_bookmark562">
            <w:r>
              <w:rPr/>
              <w:t>DSTDEVP</w:t>
              <w:tab/>
              <w:t>2189</w:t>
            </w:r>
          </w:hyperlink>
        </w:p>
        <w:p>
          <w:pPr>
            <w:pStyle w:val="TOC4"/>
            <w:tabs>
              <w:tab w:pos="1979" w:val="left" w:leader="none"/>
              <w:tab w:pos="10293" w:val="right" w:leader="dot"/>
            </w:tabs>
          </w:pPr>
          <w:hyperlink w:history="true" w:anchor="_bookmark563">
            <w:r>
              <w:rPr/>
              <w:t>18.17.7.100</w:t>
              <w:tab/>
              <w:t>DSUM</w:t>
              <w:tab/>
              <w:t>2189</w:t>
            </w:r>
          </w:hyperlink>
        </w:p>
        <w:p>
          <w:pPr>
            <w:pStyle w:val="TOC4"/>
            <w:tabs>
              <w:tab w:pos="1979" w:val="left" w:leader="none"/>
              <w:tab w:pos="10293" w:val="right" w:leader="dot"/>
            </w:tabs>
            <w:spacing w:before="1"/>
          </w:pPr>
          <w:hyperlink w:history="true" w:anchor="_bookmark564">
            <w:r>
              <w:rPr/>
              <w:t>18.17.7.101</w:t>
              <w:tab/>
              <w:t>DURATION</w:t>
              <w:tab/>
              <w:t>2190</w:t>
            </w:r>
          </w:hyperlink>
        </w:p>
        <w:p>
          <w:pPr>
            <w:pStyle w:val="TOC4"/>
            <w:tabs>
              <w:tab w:pos="1979" w:val="left" w:leader="none"/>
              <w:tab w:pos="10293" w:val="right" w:leader="dot"/>
            </w:tabs>
          </w:pPr>
          <w:hyperlink w:history="true" w:anchor="_bookmark565">
            <w:r>
              <w:rPr/>
              <w:t>18.17.7.102</w:t>
              <w:tab/>
              <w:t>DVAR</w:t>
              <w:tab/>
              <w:t>2193</w:t>
            </w:r>
          </w:hyperlink>
        </w:p>
        <w:p>
          <w:pPr>
            <w:pStyle w:val="TOC4"/>
            <w:tabs>
              <w:tab w:pos="1979" w:val="left" w:leader="none"/>
              <w:tab w:pos="10293" w:val="right" w:leader="dot"/>
            </w:tabs>
            <w:spacing w:line="268" w:lineRule="exact"/>
          </w:pPr>
          <w:hyperlink w:history="true" w:anchor="_bookmark566">
            <w:r>
              <w:rPr/>
              <w:t>18.17.7.103</w:t>
              <w:tab/>
              <w:t>DVARP</w:t>
              <w:tab/>
              <w:t>2193</w:t>
            </w:r>
          </w:hyperlink>
        </w:p>
        <w:p>
          <w:pPr>
            <w:pStyle w:val="TOC4"/>
            <w:tabs>
              <w:tab w:pos="1979" w:val="left" w:leader="none"/>
              <w:tab w:pos="10293" w:val="right" w:leader="dot"/>
            </w:tabs>
            <w:spacing w:line="268" w:lineRule="exact"/>
          </w:pPr>
          <w:hyperlink w:history="true" w:anchor="_bookmark567">
            <w:r>
              <w:rPr/>
              <w:t>18.17.7.104</w:t>
              <w:tab/>
              <w:t>ECMA.CEILING</w:t>
              <w:tab/>
              <w:t>2194</w:t>
            </w:r>
          </w:hyperlink>
        </w:p>
        <w:p>
          <w:pPr>
            <w:pStyle w:val="TOC4"/>
            <w:tabs>
              <w:tab w:pos="1979" w:val="left" w:leader="none"/>
              <w:tab w:pos="10293" w:val="right" w:leader="dot"/>
            </w:tabs>
          </w:pPr>
          <w:hyperlink w:history="true" w:anchor="_bookmark568">
            <w:r>
              <w:rPr/>
              <w:t>18.17.7.105</w:t>
              <w:tab/>
              <w:t>EDATE</w:t>
              <w:tab/>
              <w:t>2195</w:t>
            </w:r>
          </w:hyperlink>
        </w:p>
        <w:p>
          <w:pPr>
            <w:pStyle w:val="TOC4"/>
            <w:tabs>
              <w:tab w:pos="1979" w:val="left" w:leader="none"/>
              <w:tab w:pos="10293" w:val="right" w:leader="dot"/>
            </w:tabs>
            <w:spacing w:before="1"/>
          </w:pPr>
          <w:hyperlink w:history="true" w:anchor="_bookmark569">
            <w:r>
              <w:rPr/>
              <w:t>18.17.7.106</w:t>
              <w:tab/>
              <w:t>EFFECT</w:t>
              <w:tab/>
              <w:t>2195</w:t>
            </w:r>
          </w:hyperlink>
        </w:p>
        <w:p>
          <w:pPr>
            <w:pStyle w:val="TOC4"/>
            <w:tabs>
              <w:tab w:pos="1979" w:val="left" w:leader="none"/>
              <w:tab w:pos="10293" w:val="right" w:leader="dot"/>
            </w:tabs>
          </w:pPr>
          <w:hyperlink w:history="true" w:anchor="_bookmark570">
            <w:r>
              <w:rPr/>
              <w:t>18.17.7.107</w:t>
              <w:tab/>
              <w:t>EOMONTH</w:t>
              <w:tab/>
              <w:t>2196</w:t>
            </w:r>
          </w:hyperlink>
        </w:p>
        <w:p>
          <w:pPr>
            <w:pStyle w:val="TOC4"/>
            <w:tabs>
              <w:tab w:pos="1979" w:val="left" w:leader="none"/>
              <w:tab w:pos="10293" w:val="right" w:leader="dot"/>
            </w:tabs>
          </w:pPr>
          <w:hyperlink w:history="true" w:anchor="_bookmark571">
            <w:r>
              <w:rPr/>
              <w:t>18.17.7.108</w:t>
              <w:tab/>
              <w:t>ERF</w:t>
              <w:tab/>
              <w:t>2197</w:t>
            </w:r>
          </w:hyperlink>
        </w:p>
        <w:p>
          <w:pPr>
            <w:pStyle w:val="TOC4"/>
            <w:tabs>
              <w:tab w:pos="1979" w:val="left" w:leader="none"/>
              <w:tab w:pos="10293" w:val="right" w:leader="dot"/>
            </w:tabs>
          </w:pPr>
          <w:hyperlink w:history="true" w:anchor="_bookmark572">
            <w:r>
              <w:rPr/>
              <w:t>18.17.7.109</w:t>
              <w:tab/>
              <w:t>ERFC</w:t>
              <w:tab/>
              <w:t>2198</w:t>
            </w:r>
          </w:hyperlink>
        </w:p>
        <w:p>
          <w:pPr>
            <w:pStyle w:val="TOC4"/>
            <w:tabs>
              <w:tab w:pos="1979" w:val="left" w:leader="none"/>
              <w:tab w:pos="10293" w:val="right" w:leader="dot"/>
            </w:tabs>
            <w:spacing w:before="1"/>
          </w:pPr>
          <w:hyperlink w:history="true" w:anchor="_bookmark573">
            <w:r>
              <w:rPr/>
              <w:t>18.17.7.110</w:t>
              <w:tab/>
              <w:t>ERROR.TYPE</w:t>
              <w:tab/>
              <w:t>2199</w:t>
            </w:r>
          </w:hyperlink>
        </w:p>
        <w:p>
          <w:pPr>
            <w:pStyle w:val="TOC4"/>
            <w:tabs>
              <w:tab w:pos="1979" w:val="left" w:leader="none"/>
              <w:tab w:pos="10293" w:val="right" w:leader="dot"/>
            </w:tabs>
          </w:pPr>
          <w:hyperlink w:history="true" w:anchor="_bookmark574">
            <w:r>
              <w:rPr/>
              <w:t>18.17.7.111</w:t>
              <w:tab/>
              <w:t>EVEN</w:t>
              <w:tab/>
              <w:t>2200</w:t>
            </w:r>
          </w:hyperlink>
        </w:p>
        <w:p>
          <w:pPr>
            <w:pStyle w:val="TOC4"/>
            <w:tabs>
              <w:tab w:pos="1979" w:val="left" w:leader="none"/>
              <w:tab w:pos="10293" w:val="right" w:leader="dot"/>
            </w:tabs>
          </w:pPr>
          <w:hyperlink w:history="true" w:anchor="_bookmark575">
            <w:r>
              <w:rPr/>
              <w:t>18.17.7.112</w:t>
              <w:tab/>
              <w:t>EXACT</w:t>
              <w:tab/>
              <w:t>2201</w:t>
            </w:r>
          </w:hyperlink>
        </w:p>
        <w:p>
          <w:pPr>
            <w:pStyle w:val="TOC4"/>
            <w:tabs>
              <w:tab w:pos="1979" w:val="left" w:leader="none"/>
              <w:tab w:pos="10293" w:val="right" w:leader="dot"/>
            </w:tabs>
            <w:spacing w:line="267" w:lineRule="exact"/>
          </w:pPr>
          <w:hyperlink w:history="true" w:anchor="_bookmark576">
            <w:r>
              <w:rPr/>
              <w:t>18.17.7.113</w:t>
              <w:tab/>
              <w:t>EXP</w:t>
              <w:tab/>
              <w:t>2201</w:t>
            </w:r>
          </w:hyperlink>
        </w:p>
        <w:p>
          <w:pPr>
            <w:pStyle w:val="TOC4"/>
            <w:tabs>
              <w:tab w:pos="1979" w:val="left" w:leader="none"/>
              <w:tab w:pos="10293" w:val="right" w:leader="dot"/>
            </w:tabs>
            <w:spacing w:line="267" w:lineRule="exact"/>
          </w:pPr>
          <w:hyperlink w:history="true" w:anchor="_bookmark577">
            <w:r>
              <w:rPr/>
              <w:t>18.17.7.114</w:t>
              <w:tab/>
              <w:t>EXPONDIST</w:t>
              <w:tab/>
              <w:t>2202</w:t>
            </w:r>
          </w:hyperlink>
        </w:p>
        <w:p>
          <w:pPr>
            <w:pStyle w:val="TOC4"/>
            <w:tabs>
              <w:tab w:pos="1979" w:val="left" w:leader="none"/>
              <w:tab w:pos="10293" w:val="right" w:leader="dot"/>
            </w:tabs>
            <w:spacing w:before="1"/>
          </w:pPr>
          <w:hyperlink w:history="true" w:anchor="_bookmark578">
            <w:r>
              <w:rPr/>
              <w:t>18.17.7.115</w:t>
              <w:tab/>
              <w:t>FACT</w:t>
              <w:tab/>
              <w:t>2203</w:t>
            </w:r>
          </w:hyperlink>
        </w:p>
        <w:p>
          <w:pPr>
            <w:pStyle w:val="TOC4"/>
            <w:tabs>
              <w:tab w:pos="1979" w:val="left" w:leader="none"/>
              <w:tab w:pos="10293" w:val="right" w:leader="dot"/>
            </w:tabs>
          </w:pPr>
          <w:hyperlink w:history="true" w:anchor="_bookmark579">
            <w:r>
              <w:rPr/>
              <w:t>18.17.7.116</w:t>
              <w:tab/>
              <w:t>FACTDOUBLE</w:t>
              <w:tab/>
              <w:t>2203</w:t>
            </w:r>
          </w:hyperlink>
        </w:p>
        <w:p>
          <w:pPr>
            <w:pStyle w:val="TOC4"/>
            <w:tabs>
              <w:tab w:pos="1979" w:val="left" w:leader="none"/>
              <w:tab w:pos="10293" w:val="right" w:leader="dot"/>
            </w:tabs>
            <w:spacing w:before="1"/>
          </w:pPr>
          <w:hyperlink w:history="true" w:anchor="_bookmark580">
            <w:r>
              <w:rPr/>
              <w:t>18.17.7.117</w:t>
              <w:tab/>
              <w:t>FALSE</w:t>
              <w:tab/>
              <w:t>2204</w:t>
            </w:r>
          </w:hyperlink>
        </w:p>
        <w:p>
          <w:pPr>
            <w:pStyle w:val="TOC4"/>
            <w:tabs>
              <w:tab w:pos="1979" w:val="left" w:leader="none"/>
              <w:tab w:pos="10293" w:val="right" w:leader="dot"/>
            </w:tabs>
          </w:pPr>
          <w:hyperlink w:history="true" w:anchor="_bookmark581">
            <w:r>
              <w:rPr/>
              <w:t>18.17.7.118</w:t>
              <w:tab/>
              <w:t>FDIST</w:t>
              <w:tab/>
              <w:t>2205</w:t>
            </w:r>
          </w:hyperlink>
        </w:p>
        <w:p>
          <w:pPr>
            <w:pStyle w:val="TOC4"/>
            <w:tabs>
              <w:tab w:pos="1979" w:val="left" w:leader="none"/>
              <w:tab w:pos="10293" w:val="right" w:leader="dot"/>
            </w:tabs>
          </w:pPr>
          <w:hyperlink w:history="true" w:anchor="_bookmark582">
            <w:r>
              <w:rPr/>
              <w:t>18.17.7.119</w:t>
              <w:tab/>
              <w:t>FIND</w:t>
              <w:tab/>
              <w:t>2206</w:t>
            </w:r>
          </w:hyperlink>
        </w:p>
        <w:p>
          <w:pPr>
            <w:pStyle w:val="TOC4"/>
            <w:tabs>
              <w:tab w:pos="1979" w:val="left" w:leader="none"/>
              <w:tab w:pos="10293" w:val="right" w:leader="dot"/>
            </w:tabs>
          </w:pPr>
          <w:hyperlink w:history="true" w:anchor="_bookmark583">
            <w:r>
              <w:rPr/>
              <w:t>18.17.7.120</w:t>
              <w:tab/>
              <w:t>FINDB</w:t>
              <w:tab/>
              <w:t>2206</w:t>
            </w:r>
          </w:hyperlink>
        </w:p>
        <w:p>
          <w:pPr>
            <w:pStyle w:val="TOC4"/>
            <w:tabs>
              <w:tab w:pos="1979" w:val="left" w:leader="none"/>
              <w:tab w:pos="10293" w:val="right" w:leader="dot"/>
            </w:tabs>
          </w:pPr>
          <w:hyperlink w:history="true" w:anchor="_bookmark584">
            <w:r>
              <w:rPr/>
              <w:t>18.17.7.121</w:t>
              <w:tab/>
              <w:t>FINV</w:t>
              <w:tab/>
              <w:t>2207</w:t>
            </w:r>
          </w:hyperlink>
        </w:p>
        <w:p>
          <w:pPr>
            <w:pStyle w:val="TOC4"/>
            <w:tabs>
              <w:tab w:pos="1979" w:val="left" w:leader="none"/>
              <w:tab w:pos="10293" w:val="right" w:leader="dot"/>
            </w:tabs>
            <w:spacing w:before="1"/>
          </w:pPr>
          <w:hyperlink w:history="true" w:anchor="_bookmark585">
            <w:r>
              <w:rPr/>
              <w:t>18.17.7.122</w:t>
              <w:tab/>
              <w:t>FISHER</w:t>
              <w:tab/>
              <w:t>2208</w:t>
            </w:r>
          </w:hyperlink>
        </w:p>
        <w:p>
          <w:pPr>
            <w:pStyle w:val="TOC4"/>
            <w:tabs>
              <w:tab w:pos="1979" w:val="left" w:leader="none"/>
              <w:tab w:pos="10293" w:val="right" w:leader="dot"/>
            </w:tabs>
            <w:spacing w:line="267" w:lineRule="exact"/>
          </w:pPr>
          <w:hyperlink w:history="true" w:anchor="_bookmark586">
            <w:r>
              <w:rPr/>
              <w:t>18.17.7.123</w:t>
              <w:tab/>
              <w:t>FISHERINV</w:t>
              <w:tab/>
              <w:t>2209</w:t>
            </w:r>
          </w:hyperlink>
        </w:p>
        <w:p>
          <w:pPr>
            <w:pStyle w:val="TOC4"/>
            <w:tabs>
              <w:tab w:pos="1979" w:val="left" w:leader="none"/>
              <w:tab w:pos="10293" w:val="right" w:leader="dot"/>
            </w:tabs>
            <w:spacing w:line="267" w:lineRule="exact"/>
          </w:pPr>
          <w:hyperlink w:history="true" w:anchor="_bookmark587">
            <w:r>
              <w:rPr/>
              <w:t>18.17.7.124</w:t>
              <w:tab/>
              <w:t>FIXED</w:t>
              <w:tab/>
              <w:t>2210</w:t>
            </w:r>
          </w:hyperlink>
        </w:p>
        <w:p>
          <w:pPr>
            <w:pStyle w:val="TOC4"/>
            <w:tabs>
              <w:tab w:pos="1979" w:val="left" w:leader="none"/>
              <w:tab w:pos="10293" w:val="right" w:leader="dot"/>
            </w:tabs>
          </w:pPr>
          <w:hyperlink w:history="true" w:anchor="_bookmark588">
            <w:r>
              <w:rPr/>
              <w:t>18.17.7.125</w:t>
              <w:tab/>
              <w:t>FLOOR</w:t>
              <w:tab/>
              <w:t>2210</w:t>
            </w:r>
          </w:hyperlink>
        </w:p>
        <w:p>
          <w:pPr>
            <w:pStyle w:val="TOC4"/>
            <w:tabs>
              <w:tab w:pos="1979" w:val="left" w:leader="none"/>
              <w:tab w:pos="10293" w:val="right" w:leader="dot"/>
            </w:tabs>
          </w:pPr>
          <w:hyperlink w:history="true" w:anchor="_bookmark589">
            <w:r>
              <w:rPr/>
              <w:t>18.17.7.126</w:t>
              <w:tab/>
              <w:t>FORECAST</w:t>
              <w:tab/>
              <w:t>2211</w:t>
            </w:r>
          </w:hyperlink>
        </w:p>
        <w:p>
          <w:pPr>
            <w:pStyle w:val="TOC4"/>
            <w:tabs>
              <w:tab w:pos="1979" w:val="left" w:leader="none"/>
              <w:tab w:pos="10293" w:val="right" w:leader="dot"/>
            </w:tabs>
            <w:spacing w:before="1"/>
          </w:pPr>
          <w:hyperlink w:history="true" w:anchor="_bookmark590">
            <w:r>
              <w:rPr/>
              <w:t>18.17.7.127</w:t>
              <w:tab/>
              <w:t>FREQUENCY</w:t>
              <w:tab/>
              <w:t>2212</w:t>
            </w:r>
          </w:hyperlink>
        </w:p>
        <w:p>
          <w:pPr>
            <w:pStyle w:val="TOC4"/>
            <w:tabs>
              <w:tab w:pos="1979" w:val="left" w:leader="none"/>
              <w:tab w:pos="10293" w:val="right" w:leader="dot"/>
            </w:tabs>
          </w:pPr>
          <w:hyperlink w:history="true" w:anchor="_bookmark591">
            <w:r>
              <w:rPr/>
              <w:t>18.17.7.128</w:t>
              <w:tab/>
              <w:t>FTEST</w:t>
              <w:tab/>
              <w:t>2213</w:t>
            </w:r>
          </w:hyperlink>
        </w:p>
        <w:p>
          <w:pPr>
            <w:pStyle w:val="TOC4"/>
            <w:tabs>
              <w:tab w:pos="1979" w:val="left" w:leader="none"/>
              <w:tab w:pos="10293" w:val="right" w:leader="dot"/>
            </w:tabs>
          </w:pPr>
          <w:hyperlink w:history="true" w:anchor="_bookmark592">
            <w:r>
              <w:rPr/>
              <w:t>18.17.7.129</w:t>
              <w:tab/>
              <w:t>FV</w:t>
              <w:tab/>
              <w:t>2213</w:t>
            </w:r>
          </w:hyperlink>
        </w:p>
        <w:p>
          <w:pPr>
            <w:pStyle w:val="TOC4"/>
            <w:tabs>
              <w:tab w:pos="1979" w:val="left" w:leader="none"/>
              <w:tab w:pos="10293" w:val="right" w:leader="dot"/>
            </w:tabs>
            <w:spacing w:before="1"/>
          </w:pPr>
          <w:hyperlink w:history="true" w:anchor="_bookmark593">
            <w:r>
              <w:rPr/>
              <w:t>18.17.7.130</w:t>
              <w:tab/>
              <w:t>FVSCHEDULE</w:t>
              <w:tab/>
              <w:t>2214</w:t>
            </w:r>
          </w:hyperlink>
        </w:p>
        <w:p>
          <w:pPr>
            <w:pStyle w:val="TOC4"/>
            <w:tabs>
              <w:tab w:pos="1979" w:val="left" w:leader="none"/>
              <w:tab w:pos="10293" w:val="right" w:leader="dot"/>
            </w:tabs>
          </w:pPr>
          <w:hyperlink w:history="true" w:anchor="_bookmark594">
            <w:r>
              <w:rPr/>
              <w:t>18.17.7.131</w:t>
              <w:tab/>
              <w:t>GAMMADIST</w:t>
              <w:tab/>
              <w:t>2215</w:t>
            </w:r>
          </w:hyperlink>
        </w:p>
        <w:p>
          <w:pPr>
            <w:pStyle w:val="TOC4"/>
            <w:tabs>
              <w:tab w:pos="1979" w:val="left" w:leader="none"/>
              <w:tab w:pos="10293" w:val="right" w:leader="dot"/>
            </w:tabs>
            <w:spacing w:before="1"/>
          </w:pPr>
          <w:hyperlink w:history="true" w:anchor="_bookmark595">
            <w:r>
              <w:rPr/>
              <w:t>18.17.7.132</w:t>
              <w:tab/>
              <w:t>GAMMAINV</w:t>
              <w:tab/>
              <w:t>2216</w:t>
            </w:r>
          </w:hyperlink>
        </w:p>
        <w:p>
          <w:pPr>
            <w:pStyle w:val="TOC4"/>
            <w:tabs>
              <w:tab w:pos="1979" w:val="left" w:leader="none"/>
              <w:tab w:pos="10293" w:val="right" w:leader="dot"/>
            </w:tabs>
            <w:spacing w:line="267" w:lineRule="exact"/>
          </w:pPr>
          <w:hyperlink w:history="true" w:anchor="_bookmark596">
            <w:r>
              <w:rPr/>
              <w:t>18.17.7.133</w:t>
              <w:tab/>
              <w:t>GAMMALN</w:t>
              <w:tab/>
              <w:t>2217</w:t>
            </w:r>
          </w:hyperlink>
        </w:p>
        <w:p>
          <w:pPr>
            <w:pStyle w:val="TOC4"/>
            <w:tabs>
              <w:tab w:pos="1979" w:val="left" w:leader="none"/>
              <w:tab w:pos="10293" w:val="right" w:leader="dot"/>
            </w:tabs>
            <w:spacing w:line="267" w:lineRule="exact"/>
          </w:pPr>
          <w:hyperlink w:history="true" w:anchor="_bookmark597">
            <w:r>
              <w:rPr/>
              <w:t>18.17.7.134</w:t>
              <w:tab/>
              <w:t>GCD</w:t>
              <w:tab/>
              <w:t>2218</w:t>
            </w:r>
          </w:hyperlink>
        </w:p>
        <w:p>
          <w:pPr>
            <w:pStyle w:val="TOC4"/>
            <w:tabs>
              <w:tab w:pos="1979" w:val="left" w:leader="none"/>
              <w:tab w:pos="10293" w:val="right" w:leader="dot"/>
            </w:tabs>
          </w:pPr>
          <w:hyperlink w:history="true" w:anchor="_bookmark598">
            <w:r>
              <w:rPr/>
              <w:t>18.17.7.135</w:t>
              <w:tab/>
              <w:t>GEOMEAN</w:t>
              <w:tab/>
              <w:t>2219</w:t>
            </w:r>
          </w:hyperlink>
        </w:p>
        <w:p>
          <w:pPr>
            <w:pStyle w:val="TOC4"/>
            <w:tabs>
              <w:tab w:pos="1979" w:val="left" w:leader="none"/>
              <w:tab w:pos="10293" w:val="right" w:leader="dot"/>
            </w:tabs>
          </w:pPr>
          <w:hyperlink w:history="true" w:anchor="_bookmark599">
            <w:r>
              <w:rPr/>
              <w:t>18.17.7.136</w:t>
              <w:tab/>
              <w:t>GESTEP</w:t>
              <w:tab/>
              <w:t>2219</w:t>
            </w:r>
          </w:hyperlink>
        </w:p>
        <w:p>
          <w:pPr>
            <w:pStyle w:val="TOC4"/>
            <w:tabs>
              <w:tab w:pos="1979" w:val="left" w:leader="none"/>
              <w:tab w:pos="10293" w:val="right" w:leader="dot"/>
            </w:tabs>
            <w:spacing w:after="20"/>
          </w:pPr>
          <w:hyperlink w:history="true" w:anchor="_bookmark600">
            <w:r>
              <w:rPr/>
              <w:t>18.17.7.137</w:t>
              <w:tab/>
              <w:t>GETPIVOTDATA</w:t>
              <w:tab/>
              <w:t>2220</w:t>
            </w:r>
          </w:hyperlink>
        </w:p>
        <w:p>
          <w:pPr>
            <w:pStyle w:val="TOC4"/>
            <w:tabs>
              <w:tab w:pos="1979" w:val="left" w:leader="none"/>
              <w:tab w:pos="10293" w:val="right" w:leader="dot"/>
            </w:tabs>
            <w:spacing w:before="90"/>
          </w:pPr>
          <w:hyperlink w:history="true" w:anchor="_bookmark601">
            <w:r>
              <w:rPr/>
              <w:t>18.17.7.138</w:t>
              <w:tab/>
              <w:t>GROWTH</w:t>
              <w:tab/>
              <w:t>2222</w:t>
            </w:r>
          </w:hyperlink>
        </w:p>
        <w:p>
          <w:pPr>
            <w:pStyle w:val="TOC4"/>
            <w:tabs>
              <w:tab w:pos="1979" w:val="left" w:leader="none"/>
              <w:tab w:pos="10293" w:val="right" w:leader="dot"/>
            </w:tabs>
            <w:spacing w:before="1"/>
          </w:pPr>
          <w:hyperlink w:history="true" w:anchor="_bookmark602">
            <w:r>
              <w:rPr/>
              <w:t>18.17.7.139</w:t>
              <w:tab/>
              <w:t>HARMEAN</w:t>
              <w:tab/>
              <w:t>2223</w:t>
            </w:r>
          </w:hyperlink>
        </w:p>
        <w:p>
          <w:pPr>
            <w:pStyle w:val="TOC4"/>
            <w:tabs>
              <w:tab w:pos="1979" w:val="left" w:leader="none"/>
              <w:tab w:pos="10293" w:val="right" w:leader="dot"/>
            </w:tabs>
          </w:pPr>
          <w:hyperlink w:history="true" w:anchor="_bookmark603">
            <w:r>
              <w:rPr/>
              <w:t>18.17.7.140</w:t>
              <w:tab/>
              <w:t>HEX2BIN</w:t>
              <w:tab/>
              <w:t>2224</w:t>
            </w:r>
          </w:hyperlink>
        </w:p>
        <w:p>
          <w:pPr>
            <w:pStyle w:val="TOC4"/>
            <w:tabs>
              <w:tab w:pos="1979" w:val="left" w:leader="none"/>
              <w:tab w:pos="10293" w:val="right" w:leader="dot"/>
            </w:tabs>
          </w:pPr>
          <w:hyperlink w:history="true" w:anchor="_bookmark604">
            <w:r>
              <w:rPr/>
              <w:t>18.17.7.141</w:t>
              <w:tab/>
              <w:t>HEX2DEC</w:t>
              <w:tab/>
              <w:t>2225</w:t>
            </w:r>
          </w:hyperlink>
        </w:p>
        <w:p>
          <w:pPr>
            <w:pStyle w:val="TOC4"/>
            <w:tabs>
              <w:tab w:pos="1979" w:val="left" w:leader="none"/>
              <w:tab w:pos="10293" w:val="right" w:leader="dot"/>
            </w:tabs>
            <w:spacing w:line="267" w:lineRule="exact" w:before="1"/>
          </w:pPr>
          <w:hyperlink w:history="true" w:anchor="_bookmark605">
            <w:r>
              <w:rPr/>
              <w:t>18.17.7.142</w:t>
              <w:tab/>
              <w:t>HEX2OCT</w:t>
              <w:tab/>
              <w:t>2226</w:t>
            </w:r>
          </w:hyperlink>
        </w:p>
        <w:p>
          <w:pPr>
            <w:pStyle w:val="TOC4"/>
            <w:tabs>
              <w:tab w:pos="1979" w:val="left" w:leader="none"/>
              <w:tab w:pos="10293" w:val="right" w:leader="dot"/>
            </w:tabs>
            <w:spacing w:line="267" w:lineRule="exact"/>
          </w:pPr>
          <w:hyperlink w:history="true" w:anchor="_bookmark606">
            <w:r>
              <w:rPr/>
              <w:t>18.17.7.143</w:t>
              <w:tab/>
              <w:t>HLOOKUP</w:t>
              <w:tab/>
              <w:t>2227</w:t>
            </w:r>
          </w:hyperlink>
        </w:p>
        <w:p>
          <w:pPr>
            <w:pStyle w:val="TOC4"/>
            <w:tabs>
              <w:tab w:pos="1979" w:val="left" w:leader="none"/>
              <w:tab w:pos="10293" w:val="right" w:leader="dot"/>
            </w:tabs>
          </w:pPr>
          <w:hyperlink w:history="true" w:anchor="_bookmark607">
            <w:r>
              <w:rPr/>
              <w:t>18.17.7.144</w:t>
              <w:tab/>
              <w:t>HOUR</w:t>
              <w:tab/>
              <w:t>2228</w:t>
            </w:r>
          </w:hyperlink>
        </w:p>
        <w:p>
          <w:pPr>
            <w:pStyle w:val="TOC4"/>
            <w:tabs>
              <w:tab w:pos="1979" w:val="left" w:leader="none"/>
              <w:tab w:pos="10293" w:val="right" w:leader="dot"/>
            </w:tabs>
          </w:pPr>
          <w:hyperlink w:history="true" w:anchor="_bookmark608">
            <w:r>
              <w:rPr/>
              <w:t>18.17.7.145</w:t>
              <w:tab/>
              <w:t>HYPERLINK</w:t>
              <w:tab/>
              <w:t>2229</w:t>
            </w:r>
          </w:hyperlink>
        </w:p>
        <w:p>
          <w:pPr>
            <w:pStyle w:val="TOC4"/>
            <w:tabs>
              <w:tab w:pos="1979" w:val="left" w:leader="none"/>
              <w:tab w:pos="10293" w:val="right" w:leader="dot"/>
            </w:tabs>
          </w:pPr>
          <w:hyperlink w:history="true" w:anchor="_bookmark609">
            <w:r>
              <w:rPr/>
              <w:t>18.17.7.146</w:t>
              <w:tab/>
              <w:t>HYPGEOMDIST</w:t>
              <w:tab/>
              <w:t>2230</w:t>
            </w:r>
          </w:hyperlink>
        </w:p>
        <w:p>
          <w:pPr>
            <w:pStyle w:val="TOC4"/>
            <w:tabs>
              <w:tab w:pos="1979" w:val="left" w:leader="none"/>
              <w:tab w:pos="10293" w:val="right" w:leader="dot"/>
            </w:tabs>
            <w:spacing w:before="1"/>
          </w:pPr>
          <w:hyperlink w:history="true" w:anchor="_bookmark610">
            <w:r>
              <w:rPr/>
              <w:t>18.17.7.147</w:t>
              <w:tab/>
              <w:t>IF</w:t>
              <w:tab/>
              <w:t>2231</w:t>
            </w:r>
          </w:hyperlink>
        </w:p>
        <w:p>
          <w:pPr>
            <w:pStyle w:val="TOC4"/>
            <w:tabs>
              <w:tab w:pos="1979" w:val="left" w:leader="none"/>
              <w:tab w:pos="10293" w:val="right" w:leader="dot"/>
            </w:tabs>
          </w:pPr>
          <w:hyperlink w:history="true" w:anchor="_bookmark611">
            <w:r>
              <w:rPr/>
              <w:t>18.17.7.148</w:t>
              <w:tab/>
              <w:t>IFERROR</w:t>
              <w:tab/>
              <w:t>2232</w:t>
            </w:r>
          </w:hyperlink>
        </w:p>
        <w:p>
          <w:pPr>
            <w:pStyle w:val="TOC4"/>
            <w:tabs>
              <w:tab w:pos="1979" w:val="left" w:leader="none"/>
              <w:tab w:pos="10293" w:val="right" w:leader="dot"/>
            </w:tabs>
          </w:pPr>
          <w:hyperlink w:history="true" w:anchor="_bookmark612">
            <w:r>
              <w:rPr/>
              <w:t>18.17.7.149</w:t>
              <w:tab/>
              <w:t>IMABS</w:t>
              <w:tab/>
              <w:t>2233</w:t>
            </w:r>
          </w:hyperlink>
        </w:p>
        <w:p>
          <w:pPr>
            <w:pStyle w:val="TOC4"/>
            <w:tabs>
              <w:tab w:pos="1979" w:val="left" w:leader="none"/>
              <w:tab w:pos="10293" w:val="right" w:leader="dot"/>
            </w:tabs>
          </w:pPr>
          <w:hyperlink w:history="true" w:anchor="_bookmark613">
            <w:r>
              <w:rPr/>
              <w:t>18.17.7.150</w:t>
              <w:tab/>
              <w:t>IMAGINARY</w:t>
              <w:tab/>
              <w:t>2234</w:t>
            </w:r>
          </w:hyperlink>
        </w:p>
        <w:p>
          <w:pPr>
            <w:pStyle w:val="TOC4"/>
            <w:tabs>
              <w:tab w:pos="1979" w:val="left" w:leader="none"/>
              <w:tab w:pos="10293" w:val="right" w:leader="dot"/>
            </w:tabs>
            <w:spacing w:before="1"/>
          </w:pPr>
          <w:hyperlink w:history="true" w:anchor="_bookmark614">
            <w:r>
              <w:rPr/>
              <w:t>18.17.7.151</w:t>
              <w:tab/>
              <w:t>IMARGUMENT</w:t>
              <w:tab/>
              <w:t>2234</w:t>
            </w:r>
          </w:hyperlink>
        </w:p>
        <w:p>
          <w:pPr>
            <w:pStyle w:val="TOC4"/>
            <w:tabs>
              <w:tab w:pos="1979" w:val="left" w:leader="none"/>
              <w:tab w:pos="10293" w:val="right" w:leader="dot"/>
            </w:tabs>
            <w:spacing w:line="267" w:lineRule="exact"/>
          </w:pPr>
          <w:hyperlink w:history="true" w:anchor="_bookmark615">
            <w:r>
              <w:rPr/>
              <w:t>18.17.7.152</w:t>
              <w:tab/>
              <w:t>IMCONJUGATE</w:t>
              <w:tab/>
              <w:t>2235</w:t>
            </w:r>
          </w:hyperlink>
        </w:p>
        <w:p>
          <w:pPr>
            <w:pStyle w:val="TOC4"/>
            <w:tabs>
              <w:tab w:pos="1979" w:val="left" w:leader="none"/>
              <w:tab w:pos="10293" w:val="right" w:leader="dot"/>
            </w:tabs>
            <w:spacing w:line="267" w:lineRule="exact"/>
          </w:pPr>
          <w:hyperlink w:history="true" w:anchor="_bookmark616">
            <w:r>
              <w:rPr/>
              <w:t>18.17.7.153</w:t>
              <w:tab/>
              <w:t>IMCOS</w:t>
              <w:tab/>
              <w:t>2236</w:t>
            </w:r>
          </w:hyperlink>
        </w:p>
        <w:p>
          <w:pPr>
            <w:pStyle w:val="TOC4"/>
            <w:tabs>
              <w:tab w:pos="1979" w:val="left" w:leader="none"/>
              <w:tab w:pos="10293" w:val="right" w:leader="dot"/>
            </w:tabs>
            <w:spacing w:before="1"/>
          </w:pPr>
          <w:hyperlink w:history="true" w:anchor="_bookmark617">
            <w:r>
              <w:rPr/>
              <w:t>18.17.7.154</w:t>
              <w:tab/>
              <w:t>IMDIV</w:t>
              <w:tab/>
              <w:t>2237</w:t>
            </w:r>
          </w:hyperlink>
        </w:p>
        <w:p>
          <w:pPr>
            <w:pStyle w:val="TOC4"/>
            <w:tabs>
              <w:tab w:pos="1979" w:val="left" w:leader="none"/>
              <w:tab w:pos="10293" w:val="right" w:leader="dot"/>
            </w:tabs>
          </w:pPr>
          <w:hyperlink w:history="true" w:anchor="_bookmark618">
            <w:r>
              <w:rPr/>
              <w:t>18.17.7.155</w:t>
              <w:tab/>
              <w:t>IMEXP</w:t>
              <w:tab/>
              <w:t>2237</w:t>
            </w:r>
          </w:hyperlink>
        </w:p>
        <w:p>
          <w:pPr>
            <w:pStyle w:val="TOC4"/>
            <w:tabs>
              <w:tab w:pos="1979" w:val="left" w:leader="none"/>
              <w:tab w:pos="10293" w:val="right" w:leader="dot"/>
            </w:tabs>
          </w:pPr>
          <w:hyperlink w:history="true" w:anchor="_bookmark619">
            <w:r>
              <w:rPr/>
              <w:t>18.17.7.156</w:t>
              <w:tab/>
              <w:t>IMLN</w:t>
              <w:tab/>
              <w:t>2238</w:t>
            </w:r>
          </w:hyperlink>
        </w:p>
        <w:p>
          <w:pPr>
            <w:pStyle w:val="TOC4"/>
            <w:tabs>
              <w:tab w:pos="1979" w:val="left" w:leader="none"/>
              <w:tab w:pos="10293" w:val="right" w:leader="dot"/>
            </w:tabs>
          </w:pPr>
          <w:hyperlink w:history="true" w:anchor="_bookmark620">
            <w:r>
              <w:rPr/>
              <w:t>18.17.7.157</w:t>
              <w:tab/>
              <w:t>IMLOG10</w:t>
              <w:tab/>
              <w:t>2239</w:t>
            </w:r>
          </w:hyperlink>
        </w:p>
        <w:p>
          <w:pPr>
            <w:pStyle w:val="TOC4"/>
            <w:tabs>
              <w:tab w:pos="1979" w:val="left" w:leader="none"/>
              <w:tab w:pos="10293" w:val="right" w:leader="dot"/>
            </w:tabs>
            <w:spacing w:before="1"/>
          </w:pPr>
          <w:hyperlink w:history="true" w:anchor="_bookmark621">
            <w:r>
              <w:rPr/>
              <w:t>18.17.7.158</w:t>
              <w:tab/>
              <w:t>IMLOG2</w:t>
              <w:tab/>
              <w:t>2240</w:t>
            </w:r>
          </w:hyperlink>
        </w:p>
        <w:p>
          <w:pPr>
            <w:pStyle w:val="TOC4"/>
            <w:tabs>
              <w:tab w:pos="1979" w:val="left" w:leader="none"/>
              <w:tab w:pos="10293" w:val="right" w:leader="dot"/>
            </w:tabs>
          </w:pPr>
          <w:hyperlink w:history="true" w:anchor="_bookmark622">
            <w:r>
              <w:rPr/>
              <w:t>18.17.7.159</w:t>
              <w:tab/>
              <w:t>IMPOWER</w:t>
              <w:tab/>
              <w:t>2240</w:t>
            </w:r>
          </w:hyperlink>
        </w:p>
        <w:p>
          <w:pPr>
            <w:pStyle w:val="TOC4"/>
            <w:tabs>
              <w:tab w:pos="1979" w:val="left" w:leader="none"/>
              <w:tab w:pos="10293" w:val="right" w:leader="dot"/>
            </w:tabs>
          </w:pPr>
          <w:hyperlink w:history="true" w:anchor="_bookmark623">
            <w:r>
              <w:rPr/>
              <w:t>18.17.7.160</w:t>
              <w:tab/>
              <w:t>IMPRODUCT</w:t>
              <w:tab/>
              <w:t>2241</w:t>
            </w:r>
          </w:hyperlink>
        </w:p>
        <w:p>
          <w:pPr>
            <w:pStyle w:val="TOC4"/>
            <w:tabs>
              <w:tab w:pos="1979" w:val="left" w:leader="none"/>
              <w:tab w:pos="10293" w:val="right" w:leader="dot"/>
            </w:tabs>
          </w:pPr>
          <w:hyperlink w:history="true" w:anchor="_bookmark624">
            <w:r>
              <w:rPr/>
              <w:t>18.17.7.161</w:t>
              <w:tab/>
              <w:t>IMREAL</w:t>
              <w:tab/>
              <w:t>2242</w:t>
            </w:r>
          </w:hyperlink>
        </w:p>
        <w:p>
          <w:pPr>
            <w:pStyle w:val="TOC4"/>
            <w:tabs>
              <w:tab w:pos="1979" w:val="left" w:leader="none"/>
              <w:tab w:pos="10293" w:val="right" w:leader="dot"/>
            </w:tabs>
            <w:spacing w:line="267" w:lineRule="exact" w:before="1"/>
          </w:pPr>
          <w:hyperlink w:history="true" w:anchor="_bookmark625">
            <w:r>
              <w:rPr/>
              <w:t>18.17.7.162</w:t>
              <w:tab/>
              <w:t>IMSIN</w:t>
              <w:tab/>
              <w:t>2243</w:t>
            </w:r>
          </w:hyperlink>
        </w:p>
        <w:p>
          <w:pPr>
            <w:pStyle w:val="TOC4"/>
            <w:tabs>
              <w:tab w:pos="1979" w:val="left" w:leader="none"/>
              <w:tab w:pos="10293" w:val="right" w:leader="dot"/>
            </w:tabs>
            <w:spacing w:line="267" w:lineRule="exact"/>
          </w:pPr>
          <w:hyperlink w:history="true" w:anchor="_bookmark626">
            <w:r>
              <w:rPr/>
              <w:t>18.17.7.163</w:t>
              <w:tab/>
              <w:t>IMSQRT</w:t>
              <w:tab/>
              <w:t>2244</w:t>
            </w:r>
          </w:hyperlink>
        </w:p>
        <w:p>
          <w:pPr>
            <w:pStyle w:val="TOC4"/>
            <w:tabs>
              <w:tab w:pos="1979" w:val="left" w:leader="none"/>
              <w:tab w:pos="10293" w:val="right" w:leader="dot"/>
            </w:tabs>
          </w:pPr>
          <w:hyperlink w:history="true" w:anchor="_bookmark627">
            <w:r>
              <w:rPr/>
              <w:t>18.17.7.164</w:t>
              <w:tab/>
              <w:t>IMSUB</w:t>
              <w:tab/>
              <w:t>2245</w:t>
            </w:r>
          </w:hyperlink>
        </w:p>
        <w:p>
          <w:pPr>
            <w:pStyle w:val="TOC4"/>
            <w:tabs>
              <w:tab w:pos="1979" w:val="left" w:leader="none"/>
              <w:tab w:pos="10293" w:val="right" w:leader="dot"/>
            </w:tabs>
          </w:pPr>
          <w:hyperlink w:history="true" w:anchor="_bookmark628">
            <w:r>
              <w:rPr/>
              <w:t>18.17.7.165</w:t>
              <w:tab/>
              <w:t>IMSUM</w:t>
              <w:tab/>
              <w:t>2245</w:t>
            </w:r>
          </w:hyperlink>
        </w:p>
        <w:p>
          <w:pPr>
            <w:pStyle w:val="TOC4"/>
            <w:tabs>
              <w:tab w:pos="1979" w:val="left" w:leader="none"/>
              <w:tab w:pos="10293" w:val="right" w:leader="dot"/>
            </w:tabs>
            <w:spacing w:before="1"/>
          </w:pPr>
          <w:hyperlink w:history="true" w:anchor="_bookmark629">
            <w:r>
              <w:rPr/>
              <w:t>18.17.7.166</w:t>
              <w:tab/>
              <w:t>INDEX</w:t>
              <w:tab/>
              <w:t>2246</w:t>
            </w:r>
          </w:hyperlink>
        </w:p>
        <w:p>
          <w:pPr>
            <w:pStyle w:val="TOC4"/>
            <w:tabs>
              <w:tab w:pos="1979" w:val="left" w:leader="none"/>
              <w:tab w:pos="10293" w:val="right" w:leader="dot"/>
            </w:tabs>
          </w:pPr>
          <w:hyperlink w:history="true" w:anchor="_bookmark630">
            <w:r>
              <w:rPr/>
              <w:t>18.17.7.167</w:t>
              <w:tab/>
              <w:t>INDIRECT</w:t>
              <w:tab/>
              <w:t>2248</w:t>
            </w:r>
          </w:hyperlink>
        </w:p>
        <w:p>
          <w:pPr>
            <w:pStyle w:val="TOC4"/>
            <w:tabs>
              <w:tab w:pos="1979" w:val="left" w:leader="none"/>
              <w:tab w:pos="10293" w:val="right" w:leader="dot"/>
            </w:tabs>
          </w:pPr>
          <w:hyperlink w:history="true" w:anchor="_bookmark631">
            <w:r>
              <w:rPr/>
              <w:t>18.17.7.168</w:t>
              <w:tab/>
              <w:t>INFO</w:t>
              <w:tab/>
              <w:t>2249</w:t>
            </w:r>
          </w:hyperlink>
        </w:p>
        <w:p>
          <w:pPr>
            <w:pStyle w:val="TOC4"/>
            <w:tabs>
              <w:tab w:pos="1979" w:val="left" w:leader="none"/>
              <w:tab w:pos="10293" w:val="right" w:leader="dot"/>
            </w:tabs>
          </w:pPr>
          <w:hyperlink w:history="true" w:anchor="_bookmark632">
            <w:r>
              <w:rPr/>
              <w:t>18.17.7.169</w:t>
              <w:tab/>
              <w:t>INT</w:t>
              <w:tab/>
              <w:t>2251</w:t>
            </w:r>
          </w:hyperlink>
        </w:p>
        <w:p>
          <w:pPr>
            <w:pStyle w:val="TOC4"/>
            <w:tabs>
              <w:tab w:pos="1979" w:val="left" w:leader="none"/>
              <w:tab w:pos="10293" w:val="right" w:leader="dot"/>
            </w:tabs>
            <w:spacing w:before="1"/>
          </w:pPr>
          <w:hyperlink w:history="true" w:anchor="_bookmark633">
            <w:r>
              <w:rPr/>
              <w:t>18.17.7.170</w:t>
              <w:tab/>
              <w:t>INTERCEPT</w:t>
              <w:tab/>
              <w:t>2251</w:t>
            </w:r>
          </w:hyperlink>
        </w:p>
        <w:p>
          <w:pPr>
            <w:pStyle w:val="TOC4"/>
            <w:tabs>
              <w:tab w:pos="1979" w:val="left" w:leader="none"/>
              <w:tab w:pos="10293" w:val="right" w:leader="dot"/>
            </w:tabs>
          </w:pPr>
          <w:hyperlink w:history="true" w:anchor="_bookmark634">
            <w:r>
              <w:rPr/>
              <w:t>18.17.7.171</w:t>
              <w:tab/>
              <w:t>INTRATE</w:t>
              <w:tab/>
              <w:t>2252</w:t>
            </w:r>
          </w:hyperlink>
        </w:p>
        <w:p>
          <w:pPr>
            <w:pStyle w:val="TOC4"/>
            <w:tabs>
              <w:tab w:pos="1979" w:val="left" w:leader="none"/>
              <w:tab w:pos="10293" w:val="right" w:leader="dot"/>
            </w:tabs>
            <w:spacing w:line="267" w:lineRule="exact"/>
          </w:pPr>
          <w:hyperlink w:history="true" w:anchor="_bookmark635">
            <w:r>
              <w:rPr/>
              <w:t>18.17.7.172</w:t>
              <w:tab/>
              <w:t>IPMT</w:t>
              <w:tab/>
              <w:t>2255</w:t>
            </w:r>
          </w:hyperlink>
        </w:p>
        <w:p>
          <w:pPr>
            <w:pStyle w:val="TOC4"/>
            <w:tabs>
              <w:tab w:pos="1979" w:val="left" w:leader="none"/>
              <w:tab w:pos="10293" w:val="right" w:leader="dot"/>
            </w:tabs>
            <w:spacing w:line="267" w:lineRule="exact"/>
          </w:pPr>
          <w:hyperlink w:history="true" w:anchor="_bookmark636">
            <w:r>
              <w:rPr/>
              <w:t>18.17.7.173</w:t>
              <w:tab/>
              <w:t>IRR</w:t>
              <w:tab/>
              <w:t>2256</w:t>
            </w:r>
          </w:hyperlink>
        </w:p>
        <w:p>
          <w:pPr>
            <w:pStyle w:val="TOC4"/>
            <w:tabs>
              <w:tab w:pos="1979" w:val="left" w:leader="none"/>
              <w:tab w:pos="10293" w:val="right" w:leader="dot"/>
            </w:tabs>
          </w:pPr>
          <w:hyperlink w:history="true" w:anchor="_bookmark637">
            <w:r>
              <w:rPr/>
              <w:t>18.17.7.174</w:t>
              <w:tab/>
              <w:t>ISBLANK</w:t>
              <w:tab/>
              <w:t>2257</w:t>
            </w:r>
          </w:hyperlink>
        </w:p>
        <w:p>
          <w:pPr>
            <w:pStyle w:val="TOC4"/>
            <w:tabs>
              <w:tab w:pos="1979" w:val="left" w:leader="none"/>
              <w:tab w:pos="10293" w:val="right" w:leader="dot"/>
            </w:tabs>
            <w:spacing w:before="1"/>
          </w:pPr>
          <w:hyperlink w:history="true" w:anchor="_bookmark638">
            <w:r>
              <w:rPr/>
              <w:t>18.17.7.175</w:t>
              <w:tab/>
              <w:t>ISERR</w:t>
              <w:tab/>
              <w:t>2257</w:t>
            </w:r>
          </w:hyperlink>
        </w:p>
        <w:p>
          <w:pPr>
            <w:pStyle w:val="TOC4"/>
            <w:tabs>
              <w:tab w:pos="1979" w:val="left" w:leader="none"/>
              <w:tab w:pos="10293" w:val="right" w:leader="dot"/>
            </w:tabs>
          </w:pPr>
          <w:hyperlink w:history="true" w:anchor="_bookmark639">
            <w:r>
              <w:rPr/>
              <w:t>18.17.7.176</w:t>
              <w:tab/>
              <w:t>ISERROR</w:t>
              <w:tab/>
              <w:t>2258</w:t>
            </w:r>
          </w:hyperlink>
        </w:p>
        <w:p>
          <w:pPr>
            <w:pStyle w:val="TOC4"/>
            <w:tabs>
              <w:tab w:pos="1979" w:val="left" w:leader="none"/>
              <w:tab w:pos="10293" w:val="right" w:leader="dot"/>
            </w:tabs>
          </w:pPr>
          <w:hyperlink w:history="true" w:anchor="_bookmark640">
            <w:r>
              <w:rPr/>
              <w:t>18.17.7.177</w:t>
              <w:tab/>
              <w:t>ISEVEN</w:t>
              <w:tab/>
              <w:t>2258</w:t>
            </w:r>
          </w:hyperlink>
        </w:p>
        <w:p>
          <w:pPr>
            <w:pStyle w:val="TOC4"/>
            <w:tabs>
              <w:tab w:pos="1979" w:val="left" w:leader="none"/>
              <w:tab w:pos="10293" w:val="right" w:leader="dot"/>
            </w:tabs>
            <w:spacing w:before="1"/>
          </w:pPr>
          <w:hyperlink w:history="true" w:anchor="_bookmark641">
            <w:r>
              <w:rPr/>
              <w:t>18.17.7.178</w:t>
              <w:tab/>
              <w:t>ISLOGICAL</w:t>
              <w:tab/>
              <w:t>2259</w:t>
            </w:r>
          </w:hyperlink>
        </w:p>
        <w:p>
          <w:pPr>
            <w:pStyle w:val="TOC4"/>
            <w:tabs>
              <w:tab w:pos="1979" w:val="left" w:leader="none"/>
              <w:tab w:pos="10293" w:val="right" w:leader="dot"/>
            </w:tabs>
          </w:pPr>
          <w:hyperlink w:history="true" w:anchor="_bookmark642">
            <w:r>
              <w:rPr/>
              <w:t>18.17.7.179</w:t>
              <w:tab/>
              <w:t>ISNA</w:t>
              <w:tab/>
              <w:t>2259</w:t>
            </w:r>
          </w:hyperlink>
        </w:p>
        <w:p>
          <w:pPr>
            <w:pStyle w:val="TOC4"/>
            <w:tabs>
              <w:tab w:pos="1979" w:val="left" w:leader="none"/>
              <w:tab w:pos="10293" w:val="right" w:leader="dot"/>
            </w:tabs>
            <w:spacing w:before="1"/>
          </w:pPr>
          <w:hyperlink w:history="true" w:anchor="_bookmark643">
            <w:r>
              <w:rPr/>
              <w:t>18.17.7.180</w:t>
              <w:tab/>
              <w:t>ISNONTEXT</w:t>
              <w:tab/>
              <w:t>2260</w:t>
            </w:r>
          </w:hyperlink>
        </w:p>
        <w:p>
          <w:pPr>
            <w:pStyle w:val="TOC4"/>
            <w:tabs>
              <w:tab w:pos="1979" w:val="left" w:leader="none"/>
              <w:tab w:pos="10293" w:val="right" w:leader="dot"/>
            </w:tabs>
          </w:pPr>
          <w:hyperlink w:history="true" w:anchor="_bookmark644">
            <w:r>
              <w:rPr/>
              <w:t>18.17.7.181</w:t>
              <w:tab/>
              <w:t>ISNUMBER</w:t>
              <w:tab/>
              <w:t>2261</w:t>
            </w:r>
          </w:hyperlink>
        </w:p>
        <w:p>
          <w:pPr>
            <w:pStyle w:val="TOC4"/>
            <w:tabs>
              <w:tab w:pos="1979" w:val="left" w:leader="none"/>
              <w:tab w:pos="10293" w:val="right" w:leader="dot"/>
            </w:tabs>
            <w:spacing w:line="267" w:lineRule="exact"/>
          </w:pPr>
          <w:hyperlink w:history="true" w:anchor="_bookmark645">
            <w:r>
              <w:rPr/>
              <w:t>18.17.7.182</w:t>
              <w:tab/>
              <w:t>ISO.CEILING</w:t>
              <w:tab/>
              <w:t>2261</w:t>
            </w:r>
          </w:hyperlink>
        </w:p>
        <w:p>
          <w:pPr>
            <w:pStyle w:val="TOC4"/>
            <w:tabs>
              <w:tab w:pos="1979" w:val="left" w:leader="none"/>
              <w:tab w:pos="10293" w:val="right" w:leader="dot"/>
            </w:tabs>
            <w:spacing w:line="267" w:lineRule="exact"/>
          </w:pPr>
          <w:hyperlink w:history="true" w:anchor="_bookmark646">
            <w:r>
              <w:rPr/>
              <w:t>18.17.7.183</w:t>
              <w:tab/>
              <w:t>ISODD</w:t>
              <w:tab/>
              <w:t>2262</w:t>
            </w:r>
          </w:hyperlink>
        </w:p>
        <w:p>
          <w:pPr>
            <w:pStyle w:val="TOC4"/>
            <w:tabs>
              <w:tab w:pos="1979" w:val="left" w:leader="none"/>
              <w:tab w:pos="10293" w:val="right" w:leader="dot"/>
            </w:tabs>
          </w:pPr>
          <w:hyperlink w:history="true" w:anchor="_bookmark647">
            <w:r>
              <w:rPr/>
              <w:t>18.17.7.184</w:t>
              <w:tab/>
              <w:t>ISPMT</w:t>
              <w:tab/>
              <w:t>2262</w:t>
            </w:r>
          </w:hyperlink>
        </w:p>
        <w:p>
          <w:pPr>
            <w:pStyle w:val="TOC4"/>
            <w:tabs>
              <w:tab w:pos="1979" w:val="left" w:leader="none"/>
              <w:tab w:pos="10293" w:val="right" w:leader="dot"/>
            </w:tabs>
            <w:spacing w:after="77"/>
          </w:pPr>
          <w:hyperlink w:history="true" w:anchor="_bookmark648">
            <w:r>
              <w:rPr/>
              <w:t>18.17.7.185</w:t>
              <w:tab/>
              <w:t>ISREF</w:t>
              <w:tab/>
              <w:t>2263</w:t>
            </w:r>
          </w:hyperlink>
        </w:p>
        <w:p>
          <w:pPr>
            <w:pStyle w:val="TOC4"/>
            <w:tabs>
              <w:tab w:pos="1979" w:val="left" w:leader="none"/>
              <w:tab w:pos="10293" w:val="right" w:leader="dot"/>
            </w:tabs>
            <w:spacing w:before="148"/>
          </w:pPr>
          <w:hyperlink w:history="true" w:anchor="_bookmark649">
            <w:r>
              <w:rPr/>
              <w:t>18.17.7.186</w:t>
              <w:tab/>
              <w:t>ISTEXT</w:t>
              <w:tab/>
              <w:t>2264</w:t>
            </w:r>
          </w:hyperlink>
        </w:p>
        <w:p>
          <w:pPr>
            <w:pStyle w:val="TOC4"/>
            <w:tabs>
              <w:tab w:pos="1979" w:val="left" w:leader="none"/>
              <w:tab w:pos="10293" w:val="right" w:leader="dot"/>
            </w:tabs>
          </w:pPr>
          <w:hyperlink w:history="true" w:anchor="_bookmark650">
            <w:r>
              <w:rPr/>
              <w:t>18.17.7.187</w:t>
              <w:tab/>
              <w:t>JIS</w:t>
              <w:tab/>
              <w:t>2264</w:t>
            </w:r>
          </w:hyperlink>
        </w:p>
        <w:p>
          <w:pPr>
            <w:pStyle w:val="TOC4"/>
            <w:tabs>
              <w:tab w:pos="1979" w:val="left" w:leader="none"/>
              <w:tab w:pos="10293" w:val="right" w:leader="dot"/>
            </w:tabs>
            <w:spacing w:before="1"/>
          </w:pPr>
          <w:hyperlink w:history="true" w:anchor="_bookmark651">
            <w:r>
              <w:rPr/>
              <w:t>18.17.7.188</w:t>
              <w:tab/>
              <w:t>KURT</w:t>
              <w:tab/>
              <w:t>2265</w:t>
            </w:r>
          </w:hyperlink>
        </w:p>
        <w:p>
          <w:pPr>
            <w:pStyle w:val="TOC4"/>
            <w:tabs>
              <w:tab w:pos="1979" w:val="left" w:leader="none"/>
              <w:tab w:pos="10293" w:val="right" w:leader="dot"/>
            </w:tabs>
          </w:pPr>
          <w:hyperlink w:history="true" w:anchor="_bookmark652">
            <w:r>
              <w:rPr/>
              <w:t>18.17.7.189</w:t>
              <w:tab/>
              <w:t>LARGE</w:t>
              <w:tab/>
              <w:t>2266</w:t>
            </w:r>
          </w:hyperlink>
        </w:p>
        <w:p>
          <w:pPr>
            <w:pStyle w:val="TOC4"/>
            <w:tabs>
              <w:tab w:pos="1979" w:val="left" w:leader="none"/>
              <w:tab w:pos="10293" w:val="right" w:leader="dot"/>
            </w:tabs>
            <w:spacing w:line="267" w:lineRule="exact"/>
          </w:pPr>
          <w:hyperlink w:history="true" w:anchor="_bookmark653">
            <w:r>
              <w:rPr/>
              <w:t>18.17.7.190</w:t>
              <w:tab/>
              <w:t>LCM</w:t>
              <w:tab/>
              <w:t>2266</w:t>
            </w:r>
          </w:hyperlink>
        </w:p>
        <w:p>
          <w:pPr>
            <w:pStyle w:val="TOC4"/>
            <w:tabs>
              <w:tab w:pos="1979" w:val="left" w:leader="none"/>
              <w:tab w:pos="10293" w:val="right" w:leader="dot"/>
            </w:tabs>
            <w:spacing w:line="267" w:lineRule="exact"/>
          </w:pPr>
          <w:hyperlink w:history="true" w:anchor="_bookmark654">
            <w:r>
              <w:rPr/>
              <w:t>18.17.7.191</w:t>
              <w:tab/>
              <w:t>LEFT</w:t>
              <w:tab/>
              <w:t>2267</w:t>
            </w:r>
          </w:hyperlink>
        </w:p>
        <w:p>
          <w:pPr>
            <w:pStyle w:val="TOC4"/>
            <w:tabs>
              <w:tab w:pos="1979" w:val="left" w:leader="none"/>
              <w:tab w:pos="10293" w:val="right" w:leader="dot"/>
            </w:tabs>
          </w:pPr>
          <w:hyperlink w:history="true" w:anchor="_bookmark655">
            <w:r>
              <w:rPr/>
              <w:t>18.17.7.192</w:t>
              <w:tab/>
              <w:t>LEFTB</w:t>
              <w:tab/>
              <w:t>2268</w:t>
            </w:r>
          </w:hyperlink>
        </w:p>
        <w:p>
          <w:pPr>
            <w:pStyle w:val="TOC4"/>
            <w:tabs>
              <w:tab w:pos="1979" w:val="left" w:leader="none"/>
              <w:tab w:pos="10293" w:val="right" w:leader="dot"/>
            </w:tabs>
            <w:spacing w:before="1"/>
          </w:pPr>
          <w:hyperlink w:history="true" w:anchor="_bookmark656">
            <w:r>
              <w:rPr/>
              <w:t>18.17.7.193</w:t>
              <w:tab/>
              <w:t>LEN</w:t>
              <w:tab/>
              <w:t>2268</w:t>
            </w:r>
          </w:hyperlink>
        </w:p>
        <w:p>
          <w:pPr>
            <w:pStyle w:val="TOC4"/>
            <w:tabs>
              <w:tab w:pos="1979" w:val="left" w:leader="none"/>
              <w:tab w:pos="10293" w:val="right" w:leader="dot"/>
            </w:tabs>
          </w:pPr>
          <w:hyperlink w:history="true" w:anchor="_bookmark657">
            <w:r>
              <w:rPr/>
              <w:t>18.17.7.194</w:t>
              <w:tab/>
              <w:t>LENB</w:t>
              <w:tab/>
              <w:t>2269</w:t>
            </w:r>
          </w:hyperlink>
        </w:p>
        <w:p>
          <w:pPr>
            <w:pStyle w:val="TOC4"/>
            <w:tabs>
              <w:tab w:pos="1979" w:val="left" w:leader="none"/>
              <w:tab w:pos="10293" w:val="right" w:leader="dot"/>
            </w:tabs>
          </w:pPr>
          <w:hyperlink w:history="true" w:anchor="_bookmark658">
            <w:r>
              <w:rPr/>
              <w:t>18.17.7.195</w:t>
              <w:tab/>
              <w:t>LINEST</w:t>
              <w:tab/>
              <w:t>2269</w:t>
            </w:r>
          </w:hyperlink>
        </w:p>
        <w:p>
          <w:pPr>
            <w:pStyle w:val="TOC4"/>
            <w:tabs>
              <w:tab w:pos="1979" w:val="left" w:leader="none"/>
              <w:tab w:pos="10293" w:val="right" w:leader="dot"/>
            </w:tabs>
          </w:pPr>
          <w:hyperlink w:history="true" w:anchor="_bookmark659">
            <w:r>
              <w:rPr/>
              <w:t>18.17.7.196</w:t>
              <w:tab/>
              <w:t>LN</w:t>
              <w:tab/>
              <w:t>2272</w:t>
            </w:r>
          </w:hyperlink>
        </w:p>
        <w:p>
          <w:pPr>
            <w:pStyle w:val="TOC4"/>
            <w:tabs>
              <w:tab w:pos="1979" w:val="left" w:leader="none"/>
              <w:tab w:pos="10293" w:val="right" w:leader="dot"/>
            </w:tabs>
            <w:spacing w:before="1"/>
          </w:pPr>
          <w:hyperlink w:history="true" w:anchor="_bookmark660">
            <w:r>
              <w:rPr/>
              <w:t>18.17.7.197</w:t>
              <w:tab/>
              <w:t>LOG</w:t>
              <w:tab/>
              <w:t>2272</w:t>
            </w:r>
          </w:hyperlink>
        </w:p>
        <w:p>
          <w:pPr>
            <w:pStyle w:val="TOC4"/>
            <w:tabs>
              <w:tab w:pos="1979" w:val="left" w:leader="none"/>
              <w:tab w:pos="10293" w:val="right" w:leader="dot"/>
            </w:tabs>
          </w:pPr>
          <w:hyperlink w:history="true" w:anchor="_bookmark661">
            <w:r>
              <w:rPr/>
              <w:t>18.17.7.198</w:t>
              <w:tab/>
              <w:t>LOG10</w:t>
              <w:tab/>
              <w:t>2273</w:t>
            </w:r>
          </w:hyperlink>
        </w:p>
        <w:p>
          <w:pPr>
            <w:pStyle w:val="TOC4"/>
            <w:tabs>
              <w:tab w:pos="1979" w:val="left" w:leader="none"/>
              <w:tab w:pos="10293" w:val="right" w:leader="dot"/>
            </w:tabs>
            <w:spacing w:line="268" w:lineRule="exact"/>
          </w:pPr>
          <w:hyperlink w:history="true" w:anchor="_bookmark662">
            <w:r>
              <w:rPr/>
              <w:t>18.17.7.199</w:t>
              <w:tab/>
              <w:t>LOGEST</w:t>
              <w:tab/>
              <w:t>2273</w:t>
            </w:r>
          </w:hyperlink>
        </w:p>
        <w:p>
          <w:pPr>
            <w:pStyle w:val="TOC4"/>
            <w:tabs>
              <w:tab w:pos="1979" w:val="left" w:leader="none"/>
              <w:tab w:pos="10293" w:val="right" w:leader="dot"/>
            </w:tabs>
            <w:spacing w:line="268" w:lineRule="exact"/>
          </w:pPr>
          <w:hyperlink w:history="true" w:anchor="_bookmark663">
            <w:r>
              <w:rPr/>
              <w:t>18.17.7.200</w:t>
              <w:tab/>
              <w:t>LOGINV</w:t>
              <w:tab/>
              <w:t>2275</w:t>
            </w:r>
          </w:hyperlink>
        </w:p>
        <w:p>
          <w:pPr>
            <w:pStyle w:val="TOC4"/>
            <w:tabs>
              <w:tab w:pos="1979" w:val="left" w:leader="none"/>
              <w:tab w:pos="10293" w:val="right" w:leader="dot"/>
            </w:tabs>
          </w:pPr>
          <w:hyperlink w:history="true" w:anchor="_bookmark664">
            <w:r>
              <w:rPr/>
              <w:t>18.17.7.201</w:t>
              <w:tab/>
              <w:t>LOGNORMDIST</w:t>
              <w:tab/>
              <w:t>2276</w:t>
            </w:r>
          </w:hyperlink>
        </w:p>
        <w:p>
          <w:pPr>
            <w:pStyle w:val="TOC4"/>
            <w:tabs>
              <w:tab w:pos="1979" w:val="left" w:leader="none"/>
              <w:tab w:pos="10293" w:val="right" w:leader="dot"/>
            </w:tabs>
            <w:spacing w:before="1"/>
          </w:pPr>
          <w:hyperlink w:history="true" w:anchor="_bookmark665">
            <w:r>
              <w:rPr/>
              <w:t>18.17.7.202</w:t>
              <w:tab/>
              <w:t>LOOKUP</w:t>
              <w:tab/>
              <w:t>2277</w:t>
            </w:r>
          </w:hyperlink>
        </w:p>
        <w:p>
          <w:pPr>
            <w:pStyle w:val="TOC4"/>
            <w:tabs>
              <w:tab w:pos="1979" w:val="left" w:leader="none"/>
              <w:tab w:pos="10293" w:val="right" w:leader="dot"/>
            </w:tabs>
          </w:pPr>
          <w:hyperlink w:history="true" w:anchor="_bookmark666">
            <w:r>
              <w:rPr/>
              <w:t>18.17.7.203</w:t>
              <w:tab/>
              <w:t>LOWER</w:t>
              <w:tab/>
              <w:t>2279</w:t>
            </w:r>
          </w:hyperlink>
        </w:p>
        <w:p>
          <w:pPr>
            <w:pStyle w:val="TOC4"/>
            <w:tabs>
              <w:tab w:pos="1979" w:val="left" w:leader="none"/>
              <w:tab w:pos="10293" w:val="right" w:leader="dot"/>
            </w:tabs>
          </w:pPr>
          <w:hyperlink w:history="true" w:anchor="_bookmark667">
            <w:r>
              <w:rPr/>
              <w:t>18.17.7.204</w:t>
              <w:tab/>
              <w:t>MATCH</w:t>
              <w:tab/>
              <w:t>2279</w:t>
            </w:r>
          </w:hyperlink>
        </w:p>
        <w:p>
          <w:pPr>
            <w:pStyle w:val="TOC4"/>
            <w:tabs>
              <w:tab w:pos="1979" w:val="left" w:leader="none"/>
              <w:tab w:pos="10293" w:val="right" w:leader="dot"/>
            </w:tabs>
          </w:pPr>
          <w:hyperlink w:history="true" w:anchor="_bookmark668">
            <w:r>
              <w:rPr/>
              <w:t>18.17.7.205</w:t>
              <w:tab/>
              <w:t>MAX</w:t>
              <w:tab/>
              <w:t>2280</w:t>
            </w:r>
          </w:hyperlink>
        </w:p>
        <w:p>
          <w:pPr>
            <w:pStyle w:val="TOC4"/>
            <w:tabs>
              <w:tab w:pos="1979" w:val="left" w:leader="none"/>
              <w:tab w:pos="10293" w:val="right" w:leader="dot"/>
            </w:tabs>
            <w:spacing w:before="1"/>
          </w:pPr>
          <w:hyperlink w:history="true" w:anchor="_bookmark669">
            <w:r>
              <w:rPr/>
              <w:t>18.17.7.206</w:t>
              <w:tab/>
              <w:t>MAXA</w:t>
              <w:tab/>
              <w:t>2281</w:t>
            </w:r>
          </w:hyperlink>
        </w:p>
        <w:p>
          <w:pPr>
            <w:pStyle w:val="TOC4"/>
            <w:tabs>
              <w:tab w:pos="1979" w:val="left" w:leader="none"/>
              <w:tab w:pos="10293" w:val="right" w:leader="dot"/>
            </w:tabs>
          </w:pPr>
          <w:hyperlink w:history="true" w:anchor="_bookmark670">
            <w:r>
              <w:rPr/>
              <w:t>18.17.7.207</w:t>
              <w:tab/>
              <w:t>MDETERM</w:t>
              <w:tab/>
              <w:t>2282</w:t>
            </w:r>
          </w:hyperlink>
        </w:p>
        <w:p>
          <w:pPr>
            <w:pStyle w:val="TOC4"/>
            <w:tabs>
              <w:tab w:pos="1979" w:val="left" w:leader="none"/>
              <w:tab w:pos="10293" w:val="right" w:leader="dot"/>
            </w:tabs>
          </w:pPr>
          <w:hyperlink w:history="true" w:anchor="_bookmark671">
            <w:r>
              <w:rPr/>
              <w:t>18.17.7.208</w:t>
              <w:tab/>
              <w:t>MDURATION</w:t>
              <w:tab/>
              <w:t>2283</w:t>
            </w:r>
          </w:hyperlink>
        </w:p>
        <w:p>
          <w:pPr>
            <w:pStyle w:val="TOC4"/>
            <w:tabs>
              <w:tab w:pos="1979" w:val="left" w:leader="none"/>
              <w:tab w:pos="10293" w:val="right" w:leader="dot"/>
            </w:tabs>
            <w:spacing w:line="267" w:lineRule="exact"/>
          </w:pPr>
          <w:hyperlink w:history="true" w:anchor="_bookmark672">
            <w:r>
              <w:rPr/>
              <w:t>18.17.7.209</w:t>
              <w:tab/>
              <w:t>MEDIAN</w:t>
              <w:tab/>
              <w:t>2286</w:t>
            </w:r>
          </w:hyperlink>
        </w:p>
        <w:p>
          <w:pPr>
            <w:pStyle w:val="TOC4"/>
            <w:tabs>
              <w:tab w:pos="1979" w:val="left" w:leader="none"/>
              <w:tab w:pos="10293" w:val="right" w:leader="dot"/>
            </w:tabs>
            <w:spacing w:line="267" w:lineRule="exact"/>
          </w:pPr>
          <w:hyperlink w:history="true" w:anchor="_bookmark673">
            <w:r>
              <w:rPr/>
              <w:t>18.17.7.210</w:t>
              <w:tab/>
              <w:t>MID</w:t>
              <w:tab/>
              <w:t>2286</w:t>
            </w:r>
          </w:hyperlink>
        </w:p>
        <w:p>
          <w:pPr>
            <w:pStyle w:val="TOC4"/>
            <w:tabs>
              <w:tab w:pos="1979" w:val="left" w:leader="none"/>
              <w:tab w:pos="10293" w:val="right" w:leader="dot"/>
            </w:tabs>
            <w:spacing w:before="1"/>
          </w:pPr>
          <w:hyperlink w:history="true" w:anchor="_bookmark674">
            <w:r>
              <w:rPr/>
              <w:t>18.17.7.211</w:t>
              <w:tab/>
              <w:t>MIDB</w:t>
              <w:tab/>
              <w:t>2287</w:t>
            </w:r>
          </w:hyperlink>
        </w:p>
        <w:p>
          <w:pPr>
            <w:pStyle w:val="TOC4"/>
            <w:tabs>
              <w:tab w:pos="1979" w:val="left" w:leader="none"/>
              <w:tab w:pos="10293" w:val="right" w:leader="dot"/>
            </w:tabs>
          </w:pPr>
          <w:hyperlink w:history="true" w:anchor="_bookmark675">
            <w:r>
              <w:rPr/>
              <w:t>18.17.7.212</w:t>
              <w:tab/>
              <w:t>MIN</w:t>
              <w:tab/>
              <w:t>2288</w:t>
            </w:r>
          </w:hyperlink>
        </w:p>
        <w:p>
          <w:pPr>
            <w:pStyle w:val="TOC4"/>
            <w:tabs>
              <w:tab w:pos="1979" w:val="left" w:leader="none"/>
              <w:tab w:pos="10293" w:val="right" w:leader="dot"/>
            </w:tabs>
            <w:spacing w:before="1"/>
          </w:pPr>
          <w:hyperlink w:history="true" w:anchor="_bookmark676">
            <w:r>
              <w:rPr/>
              <w:t>18.17.7.213</w:t>
              <w:tab/>
              <w:t>MINA</w:t>
              <w:tab/>
              <w:t>2289</w:t>
            </w:r>
          </w:hyperlink>
        </w:p>
        <w:p>
          <w:pPr>
            <w:pStyle w:val="TOC4"/>
            <w:tabs>
              <w:tab w:pos="1979" w:val="left" w:leader="none"/>
              <w:tab w:pos="10293" w:val="right" w:leader="dot"/>
            </w:tabs>
          </w:pPr>
          <w:hyperlink w:history="true" w:anchor="_bookmark677">
            <w:r>
              <w:rPr/>
              <w:t>18.17.7.214</w:t>
              <w:tab/>
              <w:t>MINUTE</w:t>
              <w:tab/>
              <w:t>2290</w:t>
            </w:r>
          </w:hyperlink>
        </w:p>
        <w:p>
          <w:pPr>
            <w:pStyle w:val="TOC4"/>
            <w:tabs>
              <w:tab w:pos="1979" w:val="left" w:leader="none"/>
              <w:tab w:pos="10293" w:val="right" w:leader="dot"/>
            </w:tabs>
          </w:pPr>
          <w:hyperlink w:history="true" w:anchor="_bookmark678">
            <w:r>
              <w:rPr/>
              <w:t>18.17.7.215</w:t>
              <w:tab/>
              <w:t>MINVERSE</w:t>
              <w:tab/>
              <w:t>2291</w:t>
            </w:r>
          </w:hyperlink>
        </w:p>
        <w:p>
          <w:pPr>
            <w:pStyle w:val="TOC4"/>
            <w:tabs>
              <w:tab w:pos="1979" w:val="left" w:leader="none"/>
              <w:tab w:pos="10293" w:val="right" w:leader="dot"/>
            </w:tabs>
          </w:pPr>
          <w:hyperlink w:history="true" w:anchor="_bookmark679">
            <w:r>
              <w:rPr/>
              <w:t>18.17.7.216</w:t>
              <w:tab/>
              <w:t>MIRR</w:t>
              <w:tab/>
              <w:t>2291</w:t>
            </w:r>
          </w:hyperlink>
        </w:p>
        <w:p>
          <w:pPr>
            <w:pStyle w:val="TOC4"/>
            <w:tabs>
              <w:tab w:pos="1979" w:val="left" w:leader="none"/>
              <w:tab w:pos="10293" w:val="right" w:leader="dot"/>
            </w:tabs>
          </w:pPr>
          <w:hyperlink w:history="true" w:anchor="_bookmark680">
            <w:r>
              <w:rPr/>
              <w:t>18.17.7.217</w:t>
              <w:tab/>
              <w:t>MMULT</w:t>
              <w:tab/>
              <w:t>2292</w:t>
            </w:r>
          </w:hyperlink>
        </w:p>
        <w:p>
          <w:pPr>
            <w:pStyle w:val="TOC4"/>
            <w:tabs>
              <w:tab w:pos="1979" w:val="left" w:leader="none"/>
              <w:tab w:pos="10293" w:val="right" w:leader="dot"/>
            </w:tabs>
            <w:spacing w:before="1"/>
          </w:pPr>
          <w:hyperlink w:history="true" w:anchor="_bookmark681">
            <w:r>
              <w:rPr/>
              <w:t>18.17.7.218</w:t>
              <w:tab/>
              <w:t>MOD</w:t>
              <w:tab/>
              <w:t>2293</w:t>
            </w:r>
          </w:hyperlink>
        </w:p>
        <w:p>
          <w:pPr>
            <w:pStyle w:val="TOC4"/>
            <w:tabs>
              <w:tab w:pos="1979" w:val="left" w:leader="none"/>
              <w:tab w:pos="10293" w:val="right" w:leader="dot"/>
            </w:tabs>
            <w:spacing w:line="267" w:lineRule="exact"/>
          </w:pPr>
          <w:hyperlink w:history="true" w:anchor="_bookmark682">
            <w:r>
              <w:rPr/>
              <w:t>18.17.7.219</w:t>
              <w:tab/>
              <w:t>MODE</w:t>
              <w:tab/>
              <w:t>2294</w:t>
            </w:r>
          </w:hyperlink>
        </w:p>
        <w:p>
          <w:pPr>
            <w:pStyle w:val="TOC4"/>
            <w:tabs>
              <w:tab w:pos="1979" w:val="left" w:leader="none"/>
              <w:tab w:pos="10293" w:val="right" w:leader="dot"/>
            </w:tabs>
            <w:spacing w:line="267" w:lineRule="exact"/>
          </w:pPr>
          <w:hyperlink w:history="true" w:anchor="_bookmark683">
            <w:r>
              <w:rPr/>
              <w:t>18.17.7.220</w:t>
              <w:tab/>
              <w:t>MONTH</w:t>
              <w:tab/>
              <w:t>2295</w:t>
            </w:r>
          </w:hyperlink>
        </w:p>
        <w:p>
          <w:pPr>
            <w:pStyle w:val="TOC4"/>
            <w:tabs>
              <w:tab w:pos="1979" w:val="left" w:leader="none"/>
              <w:tab w:pos="10293" w:val="right" w:leader="dot"/>
            </w:tabs>
          </w:pPr>
          <w:hyperlink w:history="true" w:anchor="_bookmark684">
            <w:r>
              <w:rPr/>
              <w:t>18.17.7.221</w:t>
              <w:tab/>
              <w:t>MROUND</w:t>
              <w:tab/>
              <w:t>2295</w:t>
            </w:r>
          </w:hyperlink>
        </w:p>
        <w:p>
          <w:pPr>
            <w:pStyle w:val="TOC4"/>
            <w:tabs>
              <w:tab w:pos="1979" w:val="left" w:leader="none"/>
              <w:tab w:pos="10293" w:val="right" w:leader="dot"/>
            </w:tabs>
          </w:pPr>
          <w:hyperlink w:history="true" w:anchor="_bookmark685">
            <w:r>
              <w:rPr/>
              <w:t>18.17.7.222</w:t>
              <w:tab/>
              <w:t>MULTINOMIAL</w:t>
              <w:tab/>
              <w:t>2296</w:t>
            </w:r>
          </w:hyperlink>
        </w:p>
        <w:p>
          <w:pPr>
            <w:pStyle w:val="TOC4"/>
            <w:tabs>
              <w:tab w:pos="1979" w:val="left" w:leader="none"/>
              <w:tab w:pos="10293" w:val="right" w:leader="dot"/>
            </w:tabs>
            <w:spacing w:before="1"/>
          </w:pPr>
          <w:hyperlink w:history="true" w:anchor="_bookmark686">
            <w:r>
              <w:rPr/>
              <w:t>18.17.7.223</w:t>
              <w:tab/>
              <w:t>N</w:t>
              <w:tab/>
              <w:t>2297</w:t>
            </w:r>
          </w:hyperlink>
        </w:p>
        <w:p>
          <w:pPr>
            <w:pStyle w:val="TOC4"/>
            <w:tabs>
              <w:tab w:pos="1979" w:val="left" w:leader="none"/>
              <w:tab w:pos="10293" w:val="right" w:leader="dot"/>
            </w:tabs>
          </w:pPr>
          <w:hyperlink w:history="true" w:anchor="_bookmark687">
            <w:r>
              <w:rPr/>
              <w:t>18.17.7.224</w:t>
              <w:tab/>
              <w:t>NA</w:t>
              <w:tab/>
              <w:t>2298</w:t>
            </w:r>
          </w:hyperlink>
        </w:p>
        <w:p>
          <w:pPr>
            <w:pStyle w:val="TOC4"/>
            <w:tabs>
              <w:tab w:pos="1979" w:val="left" w:leader="none"/>
              <w:tab w:pos="10293" w:val="right" w:leader="dot"/>
            </w:tabs>
          </w:pPr>
          <w:hyperlink w:history="true" w:anchor="_bookmark688">
            <w:r>
              <w:rPr/>
              <w:t>18.17.7.225</w:t>
              <w:tab/>
              <w:t>NEGBINOMDIST</w:t>
              <w:tab/>
              <w:t>2298</w:t>
            </w:r>
          </w:hyperlink>
        </w:p>
        <w:p>
          <w:pPr>
            <w:pStyle w:val="TOC4"/>
            <w:tabs>
              <w:tab w:pos="1979" w:val="left" w:leader="none"/>
              <w:tab w:pos="10293" w:val="right" w:leader="dot"/>
            </w:tabs>
            <w:spacing w:before="1"/>
          </w:pPr>
          <w:hyperlink w:history="true" w:anchor="_bookmark689">
            <w:r>
              <w:rPr/>
              <w:t>18.17.7.226</w:t>
              <w:tab/>
              <w:t>NETWORKDAYS</w:t>
              <w:tab/>
              <w:t>2299</w:t>
            </w:r>
          </w:hyperlink>
        </w:p>
        <w:p>
          <w:pPr>
            <w:pStyle w:val="TOC4"/>
            <w:tabs>
              <w:tab w:pos="1979" w:val="left" w:leader="none"/>
              <w:tab w:pos="10293" w:val="right" w:leader="dot"/>
            </w:tabs>
          </w:pPr>
          <w:hyperlink w:history="true" w:anchor="_bookmark690">
            <w:r>
              <w:rPr/>
              <w:t>18.17.7.227</w:t>
              <w:tab/>
              <w:t>NETWORKDAYS.INTL</w:t>
              <w:tab/>
              <w:t>2300</w:t>
            </w:r>
          </w:hyperlink>
        </w:p>
        <w:p>
          <w:pPr>
            <w:pStyle w:val="TOC4"/>
            <w:tabs>
              <w:tab w:pos="1979" w:val="left" w:leader="none"/>
              <w:tab w:pos="10293" w:val="right" w:leader="dot"/>
            </w:tabs>
            <w:spacing w:before="1"/>
          </w:pPr>
          <w:hyperlink w:history="true" w:anchor="_bookmark691">
            <w:r>
              <w:rPr/>
              <w:t>18.17.7.228</w:t>
              <w:tab/>
              <w:t>NOMINAL</w:t>
              <w:tab/>
              <w:t>2302</w:t>
            </w:r>
          </w:hyperlink>
        </w:p>
        <w:p>
          <w:pPr>
            <w:pStyle w:val="TOC4"/>
            <w:tabs>
              <w:tab w:pos="1979" w:val="left" w:leader="none"/>
              <w:tab w:pos="10293" w:val="right" w:leader="dot"/>
            </w:tabs>
            <w:spacing w:line="267" w:lineRule="exact"/>
          </w:pPr>
          <w:hyperlink w:history="true" w:anchor="_bookmark692">
            <w:r>
              <w:rPr/>
              <w:t>18.17.7.229</w:t>
              <w:tab/>
              <w:t>NORMDIST</w:t>
              <w:tab/>
              <w:t>2302</w:t>
            </w:r>
          </w:hyperlink>
        </w:p>
        <w:p>
          <w:pPr>
            <w:pStyle w:val="TOC4"/>
            <w:tabs>
              <w:tab w:pos="1979" w:val="left" w:leader="none"/>
              <w:tab w:pos="10293" w:val="right" w:leader="dot"/>
            </w:tabs>
            <w:spacing w:line="267" w:lineRule="exact"/>
          </w:pPr>
          <w:hyperlink w:history="true" w:anchor="_bookmark693">
            <w:r>
              <w:rPr/>
              <w:t>18.17.7.230</w:t>
              <w:tab/>
              <w:t>NORMINV</w:t>
              <w:tab/>
              <w:t>2303</w:t>
            </w:r>
          </w:hyperlink>
        </w:p>
        <w:p>
          <w:pPr>
            <w:pStyle w:val="TOC4"/>
            <w:tabs>
              <w:tab w:pos="1979" w:val="left" w:leader="none"/>
              <w:tab w:pos="10293" w:val="right" w:leader="dot"/>
            </w:tabs>
          </w:pPr>
          <w:hyperlink w:history="true" w:anchor="_bookmark694">
            <w:r>
              <w:rPr/>
              <w:t>18.17.7.231</w:t>
              <w:tab/>
              <w:t>NORMSDIST</w:t>
              <w:tab/>
              <w:t>2304</w:t>
            </w:r>
          </w:hyperlink>
        </w:p>
        <w:p>
          <w:pPr>
            <w:pStyle w:val="TOC4"/>
            <w:tabs>
              <w:tab w:pos="1979" w:val="left" w:leader="none"/>
              <w:tab w:pos="10293" w:val="right" w:leader="dot"/>
            </w:tabs>
          </w:pPr>
          <w:hyperlink w:history="true" w:anchor="_bookmark695">
            <w:r>
              <w:rPr/>
              <w:t>18.17.7.232</w:t>
              <w:tab/>
              <w:t>NORMSINV</w:t>
              <w:tab/>
              <w:t>2305</w:t>
            </w:r>
          </w:hyperlink>
        </w:p>
        <w:p>
          <w:pPr>
            <w:pStyle w:val="TOC4"/>
            <w:tabs>
              <w:tab w:pos="1979" w:val="left" w:leader="none"/>
              <w:tab w:pos="10293" w:val="right" w:leader="dot"/>
            </w:tabs>
            <w:spacing w:after="20"/>
          </w:pPr>
          <w:hyperlink w:history="true" w:anchor="_bookmark696">
            <w:r>
              <w:rPr/>
              <w:t>18.17.7.233</w:t>
              <w:tab/>
              <w:t>NOT</w:t>
              <w:tab/>
              <w:t>2305</w:t>
            </w:r>
          </w:hyperlink>
        </w:p>
        <w:p>
          <w:pPr>
            <w:pStyle w:val="TOC4"/>
            <w:tabs>
              <w:tab w:pos="1979" w:val="left" w:leader="none"/>
              <w:tab w:pos="10293" w:val="right" w:leader="dot"/>
            </w:tabs>
            <w:spacing w:before="90"/>
          </w:pPr>
          <w:hyperlink w:history="true" w:anchor="_bookmark697">
            <w:r>
              <w:rPr/>
              <w:t>18.17.7.234</w:t>
              <w:tab/>
              <w:t>NOW</w:t>
              <w:tab/>
              <w:t>2306</w:t>
            </w:r>
          </w:hyperlink>
        </w:p>
        <w:p>
          <w:pPr>
            <w:pStyle w:val="TOC4"/>
            <w:tabs>
              <w:tab w:pos="1979" w:val="left" w:leader="none"/>
              <w:tab w:pos="10293" w:val="right" w:leader="dot"/>
            </w:tabs>
            <w:spacing w:before="1"/>
          </w:pPr>
          <w:hyperlink w:history="true" w:anchor="_bookmark698">
            <w:r>
              <w:rPr/>
              <w:t>18.17.7.235</w:t>
              <w:tab/>
              <w:t>NPER</w:t>
              <w:tab/>
              <w:t>2306</w:t>
            </w:r>
          </w:hyperlink>
        </w:p>
        <w:p>
          <w:pPr>
            <w:pStyle w:val="TOC4"/>
            <w:tabs>
              <w:tab w:pos="1979" w:val="left" w:leader="none"/>
              <w:tab w:pos="10293" w:val="right" w:leader="dot"/>
            </w:tabs>
          </w:pPr>
          <w:hyperlink w:history="true" w:anchor="_bookmark699">
            <w:r>
              <w:rPr/>
              <w:t>18.17.7.236</w:t>
              <w:tab/>
              <w:t>NPV</w:t>
              <w:tab/>
              <w:t>2307</w:t>
            </w:r>
          </w:hyperlink>
        </w:p>
        <w:p>
          <w:pPr>
            <w:pStyle w:val="TOC4"/>
            <w:tabs>
              <w:tab w:pos="1979" w:val="left" w:leader="none"/>
              <w:tab w:pos="10293" w:val="right" w:leader="dot"/>
            </w:tabs>
          </w:pPr>
          <w:hyperlink w:history="true" w:anchor="_bookmark700">
            <w:r>
              <w:rPr/>
              <w:t>18.17.7.237</w:t>
              <w:tab/>
              <w:t>OCT2BIN</w:t>
              <w:tab/>
              <w:t>2308</w:t>
            </w:r>
          </w:hyperlink>
        </w:p>
        <w:p>
          <w:pPr>
            <w:pStyle w:val="TOC4"/>
            <w:tabs>
              <w:tab w:pos="1979" w:val="left" w:leader="none"/>
              <w:tab w:pos="10293" w:val="right" w:leader="dot"/>
            </w:tabs>
            <w:spacing w:line="267" w:lineRule="exact" w:before="1"/>
          </w:pPr>
          <w:hyperlink w:history="true" w:anchor="_bookmark701">
            <w:r>
              <w:rPr/>
              <w:t>18.17.7.238</w:t>
              <w:tab/>
              <w:t>OCT2DEC</w:t>
              <w:tab/>
              <w:t>2309</w:t>
            </w:r>
          </w:hyperlink>
        </w:p>
        <w:p>
          <w:pPr>
            <w:pStyle w:val="TOC4"/>
            <w:tabs>
              <w:tab w:pos="1979" w:val="left" w:leader="none"/>
              <w:tab w:pos="10293" w:val="right" w:leader="dot"/>
            </w:tabs>
            <w:spacing w:line="267" w:lineRule="exact"/>
          </w:pPr>
          <w:hyperlink w:history="true" w:anchor="_bookmark702">
            <w:r>
              <w:rPr/>
              <w:t>18.17.7.239</w:t>
              <w:tab/>
              <w:t>OCT2HEX</w:t>
              <w:tab/>
              <w:t>2310</w:t>
            </w:r>
          </w:hyperlink>
        </w:p>
        <w:p>
          <w:pPr>
            <w:pStyle w:val="TOC4"/>
            <w:tabs>
              <w:tab w:pos="1979" w:val="left" w:leader="none"/>
              <w:tab w:pos="10293" w:val="right" w:leader="dot"/>
            </w:tabs>
          </w:pPr>
          <w:hyperlink w:history="true" w:anchor="_bookmark703">
            <w:r>
              <w:rPr/>
              <w:t>18.17.7.240</w:t>
              <w:tab/>
              <w:t>ODD</w:t>
              <w:tab/>
              <w:t>2311</w:t>
            </w:r>
          </w:hyperlink>
        </w:p>
        <w:p>
          <w:pPr>
            <w:pStyle w:val="TOC4"/>
            <w:tabs>
              <w:tab w:pos="1979" w:val="left" w:leader="none"/>
              <w:tab w:pos="10293" w:val="right" w:leader="dot"/>
            </w:tabs>
          </w:pPr>
          <w:hyperlink w:history="true" w:anchor="_bookmark704">
            <w:r>
              <w:rPr/>
              <w:t>18.17.7.241</w:t>
              <w:tab/>
              <w:t>ODDFPRICE</w:t>
              <w:tab/>
              <w:t>2312</w:t>
            </w:r>
          </w:hyperlink>
        </w:p>
        <w:p>
          <w:pPr>
            <w:pStyle w:val="TOC4"/>
            <w:tabs>
              <w:tab w:pos="1979" w:val="left" w:leader="none"/>
              <w:tab w:pos="10293" w:val="right" w:leader="dot"/>
            </w:tabs>
          </w:pPr>
          <w:hyperlink w:history="true" w:anchor="_bookmark705">
            <w:r>
              <w:rPr/>
              <w:t>18.17.7.242</w:t>
              <w:tab/>
              <w:t>ODDFYIELD</w:t>
              <w:tab/>
              <w:t>2316</w:t>
            </w:r>
          </w:hyperlink>
        </w:p>
        <w:p>
          <w:pPr>
            <w:pStyle w:val="TOC4"/>
            <w:tabs>
              <w:tab w:pos="1979" w:val="left" w:leader="none"/>
              <w:tab w:pos="10293" w:val="right" w:leader="dot"/>
            </w:tabs>
            <w:spacing w:before="1"/>
          </w:pPr>
          <w:hyperlink w:history="true" w:anchor="_bookmark706">
            <w:r>
              <w:rPr/>
              <w:t>18.17.7.243</w:t>
              <w:tab/>
              <w:t>ODDLPRICE</w:t>
              <w:tab/>
              <w:t>2319</w:t>
            </w:r>
          </w:hyperlink>
        </w:p>
        <w:p>
          <w:pPr>
            <w:pStyle w:val="TOC4"/>
            <w:tabs>
              <w:tab w:pos="1979" w:val="left" w:leader="none"/>
              <w:tab w:pos="10293" w:val="right" w:leader="dot"/>
            </w:tabs>
          </w:pPr>
          <w:hyperlink w:history="true" w:anchor="_bookmark707">
            <w:r>
              <w:rPr/>
              <w:t>18.17.7.244</w:t>
              <w:tab/>
              <w:t>ODDLYIELD</w:t>
              <w:tab/>
              <w:t>2322</w:t>
            </w:r>
          </w:hyperlink>
        </w:p>
        <w:p>
          <w:pPr>
            <w:pStyle w:val="TOC4"/>
            <w:tabs>
              <w:tab w:pos="1979" w:val="left" w:leader="none"/>
              <w:tab w:pos="10293" w:val="right" w:leader="dot"/>
            </w:tabs>
          </w:pPr>
          <w:hyperlink w:history="true" w:anchor="_bookmark708">
            <w:r>
              <w:rPr/>
              <w:t>18.17.7.245</w:t>
              <w:tab/>
              <w:t>OFFSET</w:t>
              <w:tab/>
              <w:t>2325</w:t>
            </w:r>
          </w:hyperlink>
        </w:p>
        <w:p>
          <w:pPr>
            <w:pStyle w:val="TOC4"/>
            <w:tabs>
              <w:tab w:pos="1979" w:val="left" w:leader="none"/>
              <w:tab w:pos="10293" w:val="right" w:leader="dot"/>
            </w:tabs>
          </w:pPr>
          <w:hyperlink w:history="true" w:anchor="_bookmark709">
            <w:r>
              <w:rPr/>
              <w:t>18.17.7.246</w:t>
              <w:tab/>
              <w:t>OR</w:t>
              <w:tab/>
              <w:t>2326</w:t>
            </w:r>
          </w:hyperlink>
        </w:p>
        <w:p>
          <w:pPr>
            <w:pStyle w:val="TOC4"/>
            <w:tabs>
              <w:tab w:pos="1979" w:val="left" w:leader="none"/>
              <w:tab w:pos="10293" w:val="right" w:leader="dot"/>
            </w:tabs>
            <w:spacing w:before="1"/>
          </w:pPr>
          <w:hyperlink w:history="true" w:anchor="_bookmark710">
            <w:r>
              <w:rPr/>
              <w:t>18.17.7.247</w:t>
              <w:tab/>
              <w:t>PEARSON</w:t>
              <w:tab/>
              <w:t>2327</w:t>
            </w:r>
          </w:hyperlink>
        </w:p>
        <w:p>
          <w:pPr>
            <w:pStyle w:val="TOC4"/>
            <w:tabs>
              <w:tab w:pos="1979" w:val="left" w:leader="none"/>
              <w:tab w:pos="10293" w:val="right" w:leader="dot"/>
            </w:tabs>
            <w:spacing w:line="267" w:lineRule="exact"/>
          </w:pPr>
          <w:hyperlink w:history="true" w:anchor="_bookmark711">
            <w:r>
              <w:rPr/>
              <w:t>18.17.7.248</w:t>
              <w:tab/>
              <w:t>PERCENTILE</w:t>
              <w:tab/>
              <w:t>2328</w:t>
            </w:r>
          </w:hyperlink>
        </w:p>
        <w:p>
          <w:pPr>
            <w:pStyle w:val="TOC4"/>
            <w:tabs>
              <w:tab w:pos="1979" w:val="left" w:leader="none"/>
              <w:tab w:pos="10293" w:val="right" w:leader="dot"/>
            </w:tabs>
            <w:spacing w:line="267" w:lineRule="exact"/>
          </w:pPr>
          <w:hyperlink w:history="true" w:anchor="_bookmark712">
            <w:r>
              <w:rPr/>
              <w:t>18.17.7.249</w:t>
              <w:tab/>
              <w:t>PERCENTRANK</w:t>
              <w:tab/>
              <w:t>2328</w:t>
            </w:r>
          </w:hyperlink>
        </w:p>
        <w:p>
          <w:pPr>
            <w:pStyle w:val="TOC4"/>
            <w:tabs>
              <w:tab w:pos="1979" w:val="left" w:leader="none"/>
              <w:tab w:pos="10293" w:val="right" w:leader="dot"/>
            </w:tabs>
            <w:spacing w:before="1"/>
          </w:pPr>
          <w:hyperlink w:history="true" w:anchor="_bookmark713">
            <w:r>
              <w:rPr/>
              <w:t>18.17.7.250</w:t>
              <w:tab/>
              <w:t>PERMUT</w:t>
              <w:tab/>
              <w:t>2329</w:t>
            </w:r>
          </w:hyperlink>
        </w:p>
        <w:p>
          <w:pPr>
            <w:pStyle w:val="TOC4"/>
            <w:tabs>
              <w:tab w:pos="1979" w:val="left" w:leader="none"/>
              <w:tab w:pos="10293" w:val="right" w:leader="dot"/>
            </w:tabs>
          </w:pPr>
          <w:hyperlink w:history="true" w:anchor="_bookmark714">
            <w:r>
              <w:rPr/>
              <w:t>18.17.7.251</w:t>
              <w:tab/>
              <w:t>PHONETIC</w:t>
              <w:tab/>
              <w:t>2330</w:t>
            </w:r>
          </w:hyperlink>
        </w:p>
        <w:p>
          <w:pPr>
            <w:pStyle w:val="TOC4"/>
            <w:tabs>
              <w:tab w:pos="1979" w:val="left" w:leader="none"/>
              <w:tab w:pos="10293" w:val="right" w:leader="dot"/>
            </w:tabs>
          </w:pPr>
          <w:hyperlink w:history="true" w:anchor="_bookmark715">
            <w:r>
              <w:rPr/>
              <w:t>18.17.7.252</w:t>
              <w:tab/>
              <w:t>PI</w:t>
              <w:tab/>
              <w:t>2330</w:t>
            </w:r>
          </w:hyperlink>
        </w:p>
        <w:p>
          <w:pPr>
            <w:pStyle w:val="TOC4"/>
            <w:tabs>
              <w:tab w:pos="1979" w:val="left" w:leader="none"/>
              <w:tab w:pos="10293" w:val="right" w:leader="dot"/>
            </w:tabs>
          </w:pPr>
          <w:hyperlink w:history="true" w:anchor="_bookmark716">
            <w:r>
              <w:rPr/>
              <w:t>18.17.7.253</w:t>
              <w:tab/>
              <w:t>PMT</w:t>
              <w:tab/>
              <w:t>2331</w:t>
            </w:r>
          </w:hyperlink>
        </w:p>
        <w:p>
          <w:pPr>
            <w:pStyle w:val="TOC4"/>
            <w:tabs>
              <w:tab w:pos="1979" w:val="left" w:leader="none"/>
              <w:tab w:pos="10293" w:val="right" w:leader="dot"/>
            </w:tabs>
            <w:spacing w:before="1"/>
          </w:pPr>
          <w:hyperlink w:history="true" w:anchor="_bookmark717">
            <w:r>
              <w:rPr/>
              <w:t>18.17.7.254</w:t>
              <w:tab/>
              <w:t>POISSON</w:t>
              <w:tab/>
              <w:t>2332</w:t>
            </w:r>
          </w:hyperlink>
        </w:p>
        <w:p>
          <w:pPr>
            <w:pStyle w:val="TOC4"/>
            <w:tabs>
              <w:tab w:pos="1979" w:val="left" w:leader="none"/>
              <w:tab w:pos="10293" w:val="right" w:leader="dot"/>
            </w:tabs>
          </w:pPr>
          <w:hyperlink w:history="true" w:anchor="_bookmark718">
            <w:r>
              <w:rPr/>
              <w:t>18.17.7.255</w:t>
              <w:tab/>
              <w:t>POWER</w:t>
              <w:tab/>
              <w:t>2333</w:t>
            </w:r>
          </w:hyperlink>
        </w:p>
        <w:p>
          <w:pPr>
            <w:pStyle w:val="TOC4"/>
            <w:tabs>
              <w:tab w:pos="1979" w:val="left" w:leader="none"/>
              <w:tab w:pos="10293" w:val="right" w:leader="dot"/>
            </w:tabs>
          </w:pPr>
          <w:hyperlink w:history="true" w:anchor="_bookmark719">
            <w:r>
              <w:rPr/>
              <w:t>18.17.7.256</w:t>
              <w:tab/>
              <w:t>PPMT</w:t>
              <w:tab/>
              <w:t>2334</w:t>
            </w:r>
          </w:hyperlink>
        </w:p>
        <w:p>
          <w:pPr>
            <w:pStyle w:val="TOC4"/>
            <w:tabs>
              <w:tab w:pos="1979" w:val="left" w:leader="none"/>
              <w:tab w:pos="10293" w:val="right" w:leader="dot"/>
            </w:tabs>
          </w:pPr>
          <w:hyperlink w:history="true" w:anchor="_bookmark720">
            <w:r>
              <w:rPr/>
              <w:t>18.17.7.257</w:t>
              <w:tab/>
              <w:t>PRICE</w:t>
              <w:tab/>
              <w:t>2335</w:t>
            </w:r>
          </w:hyperlink>
        </w:p>
        <w:p>
          <w:pPr>
            <w:pStyle w:val="TOC4"/>
            <w:tabs>
              <w:tab w:pos="1979" w:val="left" w:leader="none"/>
              <w:tab w:pos="10293" w:val="right" w:leader="dot"/>
            </w:tabs>
            <w:spacing w:line="267" w:lineRule="exact" w:before="1"/>
          </w:pPr>
          <w:hyperlink w:history="true" w:anchor="_bookmark721">
            <w:r>
              <w:rPr/>
              <w:t>18.17.7.258</w:t>
              <w:tab/>
              <w:t>PRICEDISC</w:t>
              <w:tab/>
              <w:t>2338</w:t>
            </w:r>
          </w:hyperlink>
        </w:p>
        <w:p>
          <w:pPr>
            <w:pStyle w:val="TOC4"/>
            <w:tabs>
              <w:tab w:pos="1979" w:val="left" w:leader="none"/>
              <w:tab w:pos="10293" w:val="right" w:leader="dot"/>
            </w:tabs>
            <w:spacing w:line="267" w:lineRule="exact"/>
          </w:pPr>
          <w:hyperlink w:history="true" w:anchor="_bookmark722">
            <w:r>
              <w:rPr/>
              <w:t>18.17.7.259</w:t>
              <w:tab/>
              <w:t>PRICEMAT</w:t>
              <w:tab/>
              <w:t>2341</w:t>
            </w:r>
          </w:hyperlink>
        </w:p>
        <w:p>
          <w:pPr>
            <w:pStyle w:val="TOC4"/>
            <w:tabs>
              <w:tab w:pos="1979" w:val="left" w:leader="none"/>
              <w:tab w:pos="10293" w:val="right" w:leader="dot"/>
            </w:tabs>
          </w:pPr>
          <w:hyperlink w:history="true" w:anchor="_bookmark723">
            <w:r>
              <w:rPr/>
              <w:t>18.17.7.260</w:t>
              <w:tab/>
              <w:t>PROB</w:t>
              <w:tab/>
              <w:t>2343</w:t>
            </w:r>
          </w:hyperlink>
        </w:p>
        <w:p>
          <w:pPr>
            <w:pStyle w:val="TOC4"/>
            <w:tabs>
              <w:tab w:pos="1979" w:val="left" w:leader="none"/>
              <w:tab w:pos="10293" w:val="right" w:leader="dot"/>
            </w:tabs>
          </w:pPr>
          <w:hyperlink w:history="true" w:anchor="_bookmark724">
            <w:r>
              <w:rPr/>
              <w:t>18.17.7.261</w:t>
              <w:tab/>
              <w:t>PRODUCT</w:t>
              <w:tab/>
              <w:t>2344</w:t>
            </w:r>
          </w:hyperlink>
        </w:p>
        <w:p>
          <w:pPr>
            <w:pStyle w:val="TOC4"/>
            <w:tabs>
              <w:tab w:pos="1979" w:val="left" w:leader="none"/>
              <w:tab w:pos="10293" w:val="right" w:leader="dot"/>
            </w:tabs>
            <w:spacing w:before="1"/>
          </w:pPr>
          <w:hyperlink w:history="true" w:anchor="_bookmark725">
            <w:r>
              <w:rPr/>
              <w:t>18.17.7.262</w:t>
              <w:tab/>
              <w:t>PROPER</w:t>
              <w:tab/>
              <w:t>2345</w:t>
            </w:r>
          </w:hyperlink>
        </w:p>
        <w:p>
          <w:pPr>
            <w:pStyle w:val="TOC4"/>
            <w:tabs>
              <w:tab w:pos="1979" w:val="left" w:leader="none"/>
              <w:tab w:pos="10293" w:val="right" w:leader="dot"/>
            </w:tabs>
          </w:pPr>
          <w:hyperlink w:history="true" w:anchor="_bookmark726">
            <w:r>
              <w:rPr/>
              <w:t>18.17.7.263</w:t>
              <w:tab/>
              <w:t>PV</w:t>
              <w:tab/>
              <w:t>2346</w:t>
            </w:r>
          </w:hyperlink>
        </w:p>
        <w:p>
          <w:pPr>
            <w:pStyle w:val="TOC4"/>
            <w:tabs>
              <w:tab w:pos="1979" w:val="left" w:leader="none"/>
              <w:tab w:pos="10293" w:val="right" w:leader="dot"/>
            </w:tabs>
          </w:pPr>
          <w:hyperlink w:history="true" w:anchor="_bookmark727">
            <w:r>
              <w:rPr/>
              <w:t>18.17.7.264</w:t>
              <w:tab/>
              <w:t>QUARTILE</w:t>
              <w:tab/>
              <w:t>2347</w:t>
            </w:r>
          </w:hyperlink>
        </w:p>
        <w:p>
          <w:pPr>
            <w:pStyle w:val="TOC4"/>
            <w:tabs>
              <w:tab w:pos="1979" w:val="left" w:leader="none"/>
              <w:tab w:pos="10293" w:val="right" w:leader="dot"/>
            </w:tabs>
          </w:pPr>
          <w:hyperlink w:history="true" w:anchor="_bookmark728">
            <w:r>
              <w:rPr/>
              <w:t>18.17.7.265</w:t>
              <w:tab/>
              <w:t>QUOTIENT</w:t>
              <w:tab/>
              <w:t>2348</w:t>
            </w:r>
          </w:hyperlink>
        </w:p>
        <w:p>
          <w:pPr>
            <w:pStyle w:val="TOC4"/>
            <w:tabs>
              <w:tab w:pos="1979" w:val="left" w:leader="none"/>
              <w:tab w:pos="10293" w:val="right" w:leader="dot"/>
            </w:tabs>
            <w:spacing w:before="1"/>
          </w:pPr>
          <w:hyperlink w:history="true" w:anchor="_bookmark729">
            <w:r>
              <w:rPr/>
              <w:t>18.17.7.266</w:t>
              <w:tab/>
              <w:t>RADIANS</w:t>
              <w:tab/>
              <w:t>2348</w:t>
            </w:r>
          </w:hyperlink>
        </w:p>
        <w:p>
          <w:pPr>
            <w:pStyle w:val="TOC4"/>
            <w:tabs>
              <w:tab w:pos="1979" w:val="left" w:leader="none"/>
              <w:tab w:pos="10293" w:val="right" w:leader="dot"/>
            </w:tabs>
          </w:pPr>
          <w:hyperlink w:history="true" w:anchor="_bookmark730">
            <w:r>
              <w:rPr/>
              <w:t>18.17.7.267</w:t>
              <w:tab/>
              <w:t>RAND</w:t>
              <w:tab/>
              <w:t>2349</w:t>
            </w:r>
          </w:hyperlink>
        </w:p>
        <w:p>
          <w:pPr>
            <w:pStyle w:val="TOC4"/>
            <w:tabs>
              <w:tab w:pos="1979" w:val="left" w:leader="none"/>
              <w:tab w:pos="10293" w:val="right" w:leader="dot"/>
            </w:tabs>
            <w:spacing w:line="267" w:lineRule="exact"/>
          </w:pPr>
          <w:hyperlink w:history="true" w:anchor="_bookmark731">
            <w:r>
              <w:rPr/>
              <w:t>18.17.7.268</w:t>
              <w:tab/>
              <w:t>RANDBETWEEN</w:t>
              <w:tab/>
              <w:t>2349</w:t>
            </w:r>
          </w:hyperlink>
        </w:p>
        <w:p>
          <w:pPr>
            <w:pStyle w:val="TOC4"/>
            <w:tabs>
              <w:tab w:pos="1979" w:val="left" w:leader="none"/>
              <w:tab w:pos="10293" w:val="right" w:leader="dot"/>
            </w:tabs>
            <w:spacing w:line="267" w:lineRule="exact"/>
          </w:pPr>
          <w:hyperlink w:history="true" w:anchor="_bookmark732">
            <w:r>
              <w:rPr/>
              <w:t>18.17.7.269</w:t>
              <w:tab/>
              <w:t>RANK</w:t>
              <w:tab/>
              <w:t>2350</w:t>
            </w:r>
          </w:hyperlink>
        </w:p>
        <w:p>
          <w:pPr>
            <w:pStyle w:val="TOC4"/>
            <w:tabs>
              <w:tab w:pos="1979" w:val="left" w:leader="none"/>
              <w:tab w:pos="10293" w:val="right" w:leader="dot"/>
            </w:tabs>
          </w:pPr>
          <w:hyperlink w:history="true" w:anchor="_bookmark733">
            <w:r>
              <w:rPr/>
              <w:t>18.17.7.270</w:t>
              <w:tab/>
              <w:t>RATE</w:t>
              <w:tab/>
              <w:t>2351</w:t>
            </w:r>
          </w:hyperlink>
        </w:p>
        <w:p>
          <w:pPr>
            <w:pStyle w:val="TOC4"/>
            <w:tabs>
              <w:tab w:pos="1979" w:val="left" w:leader="none"/>
              <w:tab w:pos="10293" w:val="right" w:leader="dot"/>
            </w:tabs>
            <w:spacing w:before="1"/>
          </w:pPr>
          <w:hyperlink w:history="true" w:anchor="_bookmark734">
            <w:r>
              <w:rPr/>
              <w:t>18.17.7.271</w:t>
              <w:tab/>
              <w:t>RECEIVED</w:t>
              <w:tab/>
              <w:t>2352</w:t>
            </w:r>
          </w:hyperlink>
        </w:p>
        <w:p>
          <w:pPr>
            <w:pStyle w:val="TOC4"/>
            <w:tabs>
              <w:tab w:pos="1979" w:val="left" w:leader="none"/>
              <w:tab w:pos="10293" w:val="right" w:leader="dot"/>
            </w:tabs>
          </w:pPr>
          <w:hyperlink w:history="true" w:anchor="_bookmark735">
            <w:r>
              <w:rPr/>
              <w:t>18.17.7.272</w:t>
              <w:tab/>
              <w:t>REPLACE</w:t>
              <w:tab/>
              <w:t>2354</w:t>
            </w:r>
          </w:hyperlink>
        </w:p>
        <w:p>
          <w:pPr>
            <w:pStyle w:val="TOC4"/>
            <w:tabs>
              <w:tab w:pos="1979" w:val="left" w:leader="none"/>
              <w:tab w:pos="10293" w:val="right" w:leader="dot"/>
            </w:tabs>
          </w:pPr>
          <w:hyperlink w:history="true" w:anchor="_bookmark736">
            <w:r>
              <w:rPr/>
              <w:t>18.17.7.273</w:t>
              <w:tab/>
              <w:t>REPLACEB</w:t>
              <w:tab/>
              <w:t>2355</w:t>
            </w:r>
          </w:hyperlink>
        </w:p>
        <w:p>
          <w:pPr>
            <w:pStyle w:val="TOC4"/>
            <w:tabs>
              <w:tab w:pos="1979" w:val="left" w:leader="none"/>
              <w:tab w:pos="10293" w:val="right" w:leader="dot"/>
            </w:tabs>
            <w:spacing w:before="1"/>
          </w:pPr>
          <w:hyperlink w:history="true" w:anchor="_bookmark737">
            <w:r>
              <w:rPr/>
              <w:t>18.17.7.274</w:t>
              <w:tab/>
              <w:t>REPT</w:t>
              <w:tab/>
              <w:t>2356</w:t>
            </w:r>
          </w:hyperlink>
        </w:p>
        <w:p>
          <w:pPr>
            <w:pStyle w:val="TOC4"/>
            <w:tabs>
              <w:tab w:pos="1979" w:val="left" w:leader="none"/>
              <w:tab w:pos="10293" w:val="right" w:leader="dot"/>
            </w:tabs>
          </w:pPr>
          <w:hyperlink w:history="true" w:anchor="_bookmark738">
            <w:r>
              <w:rPr/>
              <w:t>18.17.7.275</w:t>
              <w:tab/>
              <w:t>RIGHT</w:t>
              <w:tab/>
              <w:t>2357</w:t>
            </w:r>
          </w:hyperlink>
        </w:p>
        <w:p>
          <w:pPr>
            <w:pStyle w:val="TOC4"/>
            <w:tabs>
              <w:tab w:pos="1979" w:val="left" w:leader="none"/>
              <w:tab w:pos="10293" w:val="right" w:leader="dot"/>
            </w:tabs>
            <w:spacing w:before="1"/>
          </w:pPr>
          <w:hyperlink w:history="true" w:anchor="_bookmark739">
            <w:r>
              <w:rPr/>
              <w:t>18.17.7.276</w:t>
              <w:tab/>
              <w:t>RIGHTB</w:t>
              <w:tab/>
              <w:t>2358</w:t>
            </w:r>
          </w:hyperlink>
        </w:p>
        <w:p>
          <w:pPr>
            <w:pStyle w:val="TOC4"/>
            <w:tabs>
              <w:tab w:pos="1979" w:val="left" w:leader="none"/>
              <w:tab w:pos="10293" w:val="right" w:leader="dot"/>
            </w:tabs>
          </w:pPr>
          <w:hyperlink w:history="true" w:anchor="_bookmark740">
            <w:r>
              <w:rPr/>
              <w:t>18.17.7.277</w:t>
              <w:tab/>
              <w:t>ROMAN</w:t>
              <w:tab/>
              <w:t>2358</w:t>
            </w:r>
          </w:hyperlink>
        </w:p>
        <w:p>
          <w:pPr>
            <w:pStyle w:val="TOC4"/>
            <w:tabs>
              <w:tab w:pos="1979" w:val="left" w:leader="none"/>
              <w:tab w:pos="10293" w:val="right" w:leader="dot"/>
            </w:tabs>
            <w:spacing w:line="267" w:lineRule="exact"/>
          </w:pPr>
          <w:hyperlink w:history="true" w:anchor="_bookmark741">
            <w:r>
              <w:rPr/>
              <w:t>18.17.7.278</w:t>
              <w:tab/>
              <w:t>ROUND</w:t>
              <w:tab/>
              <w:t>2360</w:t>
            </w:r>
          </w:hyperlink>
        </w:p>
        <w:p>
          <w:pPr>
            <w:pStyle w:val="TOC4"/>
            <w:tabs>
              <w:tab w:pos="1979" w:val="left" w:leader="none"/>
              <w:tab w:pos="10293" w:val="right" w:leader="dot"/>
            </w:tabs>
            <w:spacing w:line="267" w:lineRule="exact"/>
          </w:pPr>
          <w:hyperlink w:history="true" w:anchor="_bookmark742">
            <w:r>
              <w:rPr/>
              <w:t>18.17.7.279</w:t>
              <w:tab/>
              <w:t>ROUNDDOWN</w:t>
              <w:tab/>
              <w:t>2360</w:t>
            </w:r>
          </w:hyperlink>
        </w:p>
        <w:p>
          <w:pPr>
            <w:pStyle w:val="TOC4"/>
            <w:tabs>
              <w:tab w:pos="1979" w:val="left" w:leader="none"/>
              <w:tab w:pos="10293" w:val="right" w:leader="dot"/>
            </w:tabs>
          </w:pPr>
          <w:hyperlink w:history="true" w:anchor="_bookmark743">
            <w:r>
              <w:rPr/>
              <w:t>18.17.7.280</w:t>
              <w:tab/>
              <w:t>ROUNDUP</w:t>
              <w:tab/>
              <w:t>2361</w:t>
            </w:r>
          </w:hyperlink>
        </w:p>
        <w:p>
          <w:pPr>
            <w:pStyle w:val="TOC4"/>
            <w:tabs>
              <w:tab w:pos="1979" w:val="left" w:leader="none"/>
              <w:tab w:pos="10293" w:val="right" w:leader="dot"/>
            </w:tabs>
            <w:spacing w:after="77"/>
          </w:pPr>
          <w:hyperlink w:history="true" w:anchor="_bookmark744">
            <w:r>
              <w:rPr/>
              <w:t>18.17.7.281</w:t>
              <w:tab/>
              <w:t>ROW</w:t>
              <w:tab/>
              <w:t>2362</w:t>
            </w:r>
          </w:hyperlink>
        </w:p>
        <w:p>
          <w:pPr>
            <w:pStyle w:val="TOC4"/>
            <w:tabs>
              <w:tab w:pos="1979" w:val="left" w:leader="none"/>
              <w:tab w:pos="10293" w:val="right" w:leader="dot"/>
            </w:tabs>
            <w:spacing w:before="148"/>
          </w:pPr>
          <w:hyperlink w:history="true" w:anchor="_bookmark745">
            <w:r>
              <w:rPr/>
              <w:t>18.17.7.282</w:t>
              <w:tab/>
              <w:t>ROWS</w:t>
              <w:tab/>
              <w:t>2363</w:t>
            </w:r>
          </w:hyperlink>
        </w:p>
        <w:p>
          <w:pPr>
            <w:pStyle w:val="TOC4"/>
            <w:tabs>
              <w:tab w:pos="1979" w:val="left" w:leader="none"/>
              <w:tab w:pos="10293" w:val="right" w:leader="dot"/>
            </w:tabs>
          </w:pPr>
          <w:hyperlink w:history="true" w:anchor="_bookmark746">
            <w:r>
              <w:rPr/>
              <w:t>18.17.7.283</w:t>
              <w:tab/>
              <w:t>RSQ</w:t>
              <w:tab/>
              <w:t>2363</w:t>
            </w:r>
          </w:hyperlink>
        </w:p>
        <w:p>
          <w:pPr>
            <w:pStyle w:val="TOC4"/>
            <w:tabs>
              <w:tab w:pos="1979" w:val="left" w:leader="none"/>
              <w:tab w:pos="10293" w:val="right" w:leader="dot"/>
            </w:tabs>
            <w:spacing w:before="1"/>
          </w:pPr>
          <w:hyperlink w:history="true" w:anchor="_bookmark747">
            <w:r>
              <w:rPr/>
              <w:t>18.17.7.284</w:t>
              <w:tab/>
              <w:t>RTD</w:t>
              <w:tab/>
              <w:t>2364</w:t>
            </w:r>
          </w:hyperlink>
        </w:p>
        <w:p>
          <w:pPr>
            <w:pStyle w:val="TOC4"/>
            <w:tabs>
              <w:tab w:pos="1979" w:val="left" w:leader="none"/>
              <w:tab w:pos="10293" w:val="right" w:leader="dot"/>
            </w:tabs>
          </w:pPr>
          <w:hyperlink w:history="true" w:anchor="_bookmark748">
            <w:r>
              <w:rPr/>
              <w:t>18.17.7.285</w:t>
              <w:tab/>
              <w:t>SEARCH</w:t>
              <w:tab/>
              <w:t>2365</w:t>
            </w:r>
          </w:hyperlink>
        </w:p>
        <w:p>
          <w:pPr>
            <w:pStyle w:val="TOC4"/>
            <w:tabs>
              <w:tab w:pos="1979" w:val="left" w:leader="none"/>
              <w:tab w:pos="10293" w:val="right" w:leader="dot"/>
            </w:tabs>
            <w:spacing w:line="267" w:lineRule="exact"/>
          </w:pPr>
          <w:hyperlink w:history="true" w:anchor="_bookmark749">
            <w:r>
              <w:rPr/>
              <w:t>18.17.7.286</w:t>
              <w:tab/>
              <w:t>SEARCHB</w:t>
              <w:tab/>
              <w:t>2366</w:t>
            </w:r>
          </w:hyperlink>
        </w:p>
        <w:p>
          <w:pPr>
            <w:pStyle w:val="TOC4"/>
            <w:tabs>
              <w:tab w:pos="1979" w:val="left" w:leader="none"/>
              <w:tab w:pos="10293" w:val="right" w:leader="dot"/>
            </w:tabs>
            <w:spacing w:line="267" w:lineRule="exact"/>
          </w:pPr>
          <w:hyperlink w:history="true" w:anchor="_bookmark750">
            <w:r>
              <w:rPr/>
              <w:t>18.17.7.287</w:t>
              <w:tab/>
              <w:t>SECOND</w:t>
              <w:tab/>
              <w:t>2367</w:t>
            </w:r>
          </w:hyperlink>
        </w:p>
        <w:p>
          <w:pPr>
            <w:pStyle w:val="TOC4"/>
            <w:tabs>
              <w:tab w:pos="1979" w:val="left" w:leader="none"/>
              <w:tab w:pos="10293" w:val="right" w:leader="dot"/>
            </w:tabs>
          </w:pPr>
          <w:hyperlink w:history="true" w:anchor="_bookmark751">
            <w:r>
              <w:rPr/>
              <w:t>18.17.7.288</w:t>
              <w:tab/>
              <w:t>SERIESSUM</w:t>
              <w:tab/>
              <w:t>2368</w:t>
            </w:r>
          </w:hyperlink>
        </w:p>
        <w:p>
          <w:pPr>
            <w:pStyle w:val="TOC4"/>
            <w:tabs>
              <w:tab w:pos="1979" w:val="left" w:leader="none"/>
              <w:tab w:pos="10293" w:val="right" w:leader="dot"/>
            </w:tabs>
            <w:spacing w:before="1"/>
          </w:pPr>
          <w:hyperlink w:history="true" w:anchor="_bookmark752">
            <w:r>
              <w:rPr/>
              <w:t>18.17.7.289</w:t>
              <w:tab/>
              <w:t>SIGN</w:t>
              <w:tab/>
              <w:t>2369</w:t>
            </w:r>
          </w:hyperlink>
        </w:p>
        <w:p>
          <w:pPr>
            <w:pStyle w:val="TOC4"/>
            <w:tabs>
              <w:tab w:pos="1979" w:val="left" w:leader="none"/>
              <w:tab w:pos="10293" w:val="right" w:leader="dot"/>
            </w:tabs>
          </w:pPr>
          <w:hyperlink w:history="true" w:anchor="_bookmark753">
            <w:r>
              <w:rPr/>
              <w:t>18.17.7.290</w:t>
              <w:tab/>
              <w:t>SIN</w:t>
              <w:tab/>
              <w:t>2369</w:t>
            </w:r>
          </w:hyperlink>
        </w:p>
        <w:p>
          <w:pPr>
            <w:pStyle w:val="TOC4"/>
            <w:tabs>
              <w:tab w:pos="1979" w:val="left" w:leader="none"/>
              <w:tab w:pos="10293" w:val="right" w:leader="dot"/>
            </w:tabs>
          </w:pPr>
          <w:hyperlink w:history="true" w:anchor="_bookmark754">
            <w:r>
              <w:rPr/>
              <w:t>18.17.7.291</w:t>
              <w:tab/>
              <w:t>SINH</w:t>
              <w:tab/>
              <w:t>2370</w:t>
            </w:r>
          </w:hyperlink>
        </w:p>
        <w:p>
          <w:pPr>
            <w:pStyle w:val="TOC4"/>
            <w:tabs>
              <w:tab w:pos="1979" w:val="left" w:leader="none"/>
              <w:tab w:pos="10293" w:val="right" w:leader="dot"/>
            </w:tabs>
          </w:pPr>
          <w:hyperlink w:history="true" w:anchor="_bookmark755">
            <w:r>
              <w:rPr/>
              <w:t>18.17.7.292</w:t>
              <w:tab/>
              <w:t>SKEW</w:t>
              <w:tab/>
              <w:t>2370</w:t>
            </w:r>
          </w:hyperlink>
        </w:p>
        <w:p>
          <w:pPr>
            <w:pStyle w:val="TOC4"/>
            <w:tabs>
              <w:tab w:pos="1979" w:val="left" w:leader="none"/>
              <w:tab w:pos="10293" w:val="right" w:leader="dot"/>
            </w:tabs>
            <w:spacing w:before="1"/>
          </w:pPr>
          <w:hyperlink w:history="true" w:anchor="_bookmark756">
            <w:r>
              <w:rPr/>
              <w:t>18.17.7.293</w:t>
              <w:tab/>
              <w:t>SLN</w:t>
              <w:tab/>
              <w:t>2371</w:t>
            </w:r>
          </w:hyperlink>
        </w:p>
        <w:p>
          <w:pPr>
            <w:pStyle w:val="TOC4"/>
            <w:tabs>
              <w:tab w:pos="1979" w:val="left" w:leader="none"/>
              <w:tab w:pos="10293" w:val="right" w:leader="dot"/>
            </w:tabs>
          </w:pPr>
          <w:hyperlink w:history="true" w:anchor="_bookmark757">
            <w:r>
              <w:rPr/>
              <w:t>18.17.7.294</w:t>
              <w:tab/>
              <w:t>SLOPE</w:t>
              <w:tab/>
              <w:t>2372</w:t>
            </w:r>
          </w:hyperlink>
        </w:p>
        <w:p>
          <w:pPr>
            <w:pStyle w:val="TOC4"/>
            <w:tabs>
              <w:tab w:pos="1979" w:val="left" w:leader="none"/>
              <w:tab w:pos="10293" w:val="right" w:leader="dot"/>
            </w:tabs>
            <w:spacing w:line="268" w:lineRule="exact"/>
          </w:pPr>
          <w:hyperlink w:history="true" w:anchor="_bookmark758">
            <w:r>
              <w:rPr/>
              <w:t>18.17.7.295</w:t>
              <w:tab/>
              <w:t>SMALL</w:t>
              <w:tab/>
              <w:t>2373</w:t>
            </w:r>
          </w:hyperlink>
        </w:p>
        <w:p>
          <w:pPr>
            <w:pStyle w:val="TOC4"/>
            <w:tabs>
              <w:tab w:pos="1979" w:val="left" w:leader="none"/>
              <w:tab w:pos="10293" w:val="right" w:leader="dot"/>
            </w:tabs>
            <w:spacing w:line="268" w:lineRule="exact"/>
          </w:pPr>
          <w:hyperlink w:history="true" w:anchor="_bookmark759">
            <w:r>
              <w:rPr/>
              <w:t>18.17.7.296</w:t>
              <w:tab/>
              <w:t>SQRT</w:t>
              <w:tab/>
              <w:t>2374</w:t>
            </w:r>
          </w:hyperlink>
        </w:p>
        <w:p>
          <w:pPr>
            <w:pStyle w:val="TOC4"/>
            <w:tabs>
              <w:tab w:pos="1979" w:val="left" w:leader="none"/>
              <w:tab w:pos="10293" w:val="right" w:leader="dot"/>
            </w:tabs>
          </w:pPr>
          <w:hyperlink w:history="true" w:anchor="_bookmark760">
            <w:r>
              <w:rPr/>
              <w:t>18.17.7.297</w:t>
              <w:tab/>
              <w:t>SQRTPI</w:t>
              <w:tab/>
              <w:t>2374</w:t>
            </w:r>
          </w:hyperlink>
        </w:p>
        <w:p>
          <w:pPr>
            <w:pStyle w:val="TOC4"/>
            <w:tabs>
              <w:tab w:pos="1979" w:val="left" w:leader="none"/>
              <w:tab w:pos="10293" w:val="right" w:leader="dot"/>
            </w:tabs>
            <w:spacing w:before="1"/>
          </w:pPr>
          <w:hyperlink w:history="true" w:anchor="_bookmark761">
            <w:r>
              <w:rPr/>
              <w:t>18.17.7.298</w:t>
              <w:tab/>
              <w:t>STANDARDIZE</w:t>
              <w:tab/>
              <w:t>2375</w:t>
            </w:r>
          </w:hyperlink>
        </w:p>
        <w:p>
          <w:pPr>
            <w:pStyle w:val="TOC4"/>
            <w:tabs>
              <w:tab w:pos="1979" w:val="left" w:leader="none"/>
              <w:tab w:pos="10293" w:val="right" w:leader="dot"/>
            </w:tabs>
          </w:pPr>
          <w:hyperlink w:history="true" w:anchor="_bookmark762">
            <w:r>
              <w:rPr/>
              <w:t>18.17.7.299</w:t>
              <w:tab/>
              <w:t>STDEV</w:t>
              <w:tab/>
              <w:t>2376</w:t>
            </w:r>
          </w:hyperlink>
        </w:p>
        <w:p>
          <w:pPr>
            <w:pStyle w:val="TOC4"/>
            <w:tabs>
              <w:tab w:pos="1979" w:val="left" w:leader="none"/>
              <w:tab w:pos="10293" w:val="right" w:leader="dot"/>
            </w:tabs>
          </w:pPr>
          <w:hyperlink w:history="true" w:anchor="_bookmark763">
            <w:r>
              <w:rPr/>
              <w:t>18.17.7.300</w:t>
              <w:tab/>
              <w:t>STDEVA</w:t>
              <w:tab/>
              <w:t>2377</w:t>
            </w:r>
          </w:hyperlink>
        </w:p>
        <w:p>
          <w:pPr>
            <w:pStyle w:val="TOC4"/>
            <w:tabs>
              <w:tab w:pos="1979" w:val="left" w:leader="none"/>
              <w:tab w:pos="10293" w:val="right" w:leader="dot"/>
            </w:tabs>
          </w:pPr>
          <w:hyperlink w:history="true" w:anchor="_bookmark764">
            <w:r>
              <w:rPr/>
              <w:t>18.17.7.301</w:t>
              <w:tab/>
              <w:t>STDEVP</w:t>
              <w:tab/>
              <w:t>2378</w:t>
            </w:r>
          </w:hyperlink>
        </w:p>
        <w:p>
          <w:pPr>
            <w:pStyle w:val="TOC4"/>
            <w:tabs>
              <w:tab w:pos="1979" w:val="left" w:leader="none"/>
              <w:tab w:pos="10293" w:val="right" w:leader="dot"/>
            </w:tabs>
            <w:spacing w:before="1"/>
          </w:pPr>
          <w:hyperlink w:history="true" w:anchor="_bookmark765">
            <w:r>
              <w:rPr/>
              <w:t>18.17.7.302</w:t>
              <w:tab/>
              <w:t>STDEVPA</w:t>
              <w:tab/>
              <w:t>2379</w:t>
            </w:r>
          </w:hyperlink>
        </w:p>
        <w:p>
          <w:pPr>
            <w:pStyle w:val="TOC4"/>
            <w:tabs>
              <w:tab w:pos="1979" w:val="left" w:leader="none"/>
              <w:tab w:pos="10293" w:val="right" w:leader="dot"/>
            </w:tabs>
          </w:pPr>
          <w:hyperlink w:history="true" w:anchor="_bookmark766">
            <w:r>
              <w:rPr/>
              <w:t>18.17.7.303</w:t>
              <w:tab/>
              <w:t>STEYX</w:t>
              <w:tab/>
              <w:t>2380</w:t>
            </w:r>
          </w:hyperlink>
        </w:p>
        <w:p>
          <w:pPr>
            <w:pStyle w:val="TOC4"/>
            <w:tabs>
              <w:tab w:pos="1979" w:val="left" w:leader="none"/>
              <w:tab w:pos="10293" w:val="right" w:leader="dot"/>
            </w:tabs>
          </w:pPr>
          <w:hyperlink w:history="true" w:anchor="_bookmark767">
            <w:r>
              <w:rPr/>
              <w:t>18.17.7.304</w:t>
              <w:tab/>
              <w:t>SUBSTITUTE</w:t>
              <w:tab/>
              <w:t>2381</w:t>
            </w:r>
          </w:hyperlink>
        </w:p>
        <w:p>
          <w:pPr>
            <w:pStyle w:val="TOC4"/>
            <w:tabs>
              <w:tab w:pos="1979" w:val="left" w:leader="none"/>
              <w:tab w:pos="10293" w:val="right" w:leader="dot"/>
            </w:tabs>
            <w:spacing w:line="267" w:lineRule="exact"/>
          </w:pPr>
          <w:hyperlink w:history="true" w:anchor="_bookmark768">
            <w:r>
              <w:rPr/>
              <w:t>18.17.7.305</w:t>
              <w:tab/>
              <w:t>SUBTOTAL</w:t>
              <w:tab/>
              <w:t>2382</w:t>
            </w:r>
          </w:hyperlink>
        </w:p>
        <w:p>
          <w:pPr>
            <w:pStyle w:val="TOC4"/>
            <w:tabs>
              <w:tab w:pos="1979" w:val="left" w:leader="none"/>
              <w:tab w:pos="10293" w:val="right" w:leader="dot"/>
            </w:tabs>
            <w:spacing w:line="267" w:lineRule="exact"/>
          </w:pPr>
          <w:hyperlink w:history="true" w:anchor="_bookmark769">
            <w:r>
              <w:rPr/>
              <w:t>18.17.7.306</w:t>
              <w:tab/>
              <w:t>SUM</w:t>
              <w:tab/>
              <w:t>2383</w:t>
            </w:r>
          </w:hyperlink>
        </w:p>
        <w:p>
          <w:pPr>
            <w:pStyle w:val="TOC4"/>
            <w:tabs>
              <w:tab w:pos="1979" w:val="left" w:leader="none"/>
              <w:tab w:pos="10293" w:val="right" w:leader="dot"/>
            </w:tabs>
            <w:spacing w:before="1"/>
          </w:pPr>
          <w:hyperlink w:history="true" w:anchor="_bookmark770">
            <w:r>
              <w:rPr/>
              <w:t>18.17.7.307</w:t>
              <w:tab/>
              <w:t>SUMIF</w:t>
              <w:tab/>
              <w:t>2384</w:t>
            </w:r>
          </w:hyperlink>
        </w:p>
        <w:p>
          <w:pPr>
            <w:pStyle w:val="TOC4"/>
            <w:tabs>
              <w:tab w:pos="1979" w:val="left" w:leader="none"/>
              <w:tab w:pos="10293" w:val="right" w:leader="dot"/>
            </w:tabs>
          </w:pPr>
          <w:hyperlink w:history="true" w:anchor="_bookmark771">
            <w:r>
              <w:rPr/>
              <w:t>18.17.7.308</w:t>
              <w:tab/>
              <w:t>SUMIFS</w:t>
              <w:tab/>
              <w:t>2385</w:t>
            </w:r>
          </w:hyperlink>
        </w:p>
        <w:p>
          <w:pPr>
            <w:pStyle w:val="TOC4"/>
            <w:tabs>
              <w:tab w:pos="1979" w:val="left" w:leader="none"/>
              <w:tab w:pos="10293" w:val="right" w:leader="dot"/>
            </w:tabs>
            <w:spacing w:before="1"/>
          </w:pPr>
          <w:hyperlink w:history="true" w:anchor="_bookmark772">
            <w:r>
              <w:rPr/>
              <w:t>18.17.7.309</w:t>
              <w:tab/>
              <w:t>SUMPRODUCT</w:t>
              <w:tab/>
              <w:t>2386</w:t>
            </w:r>
          </w:hyperlink>
        </w:p>
        <w:p>
          <w:pPr>
            <w:pStyle w:val="TOC4"/>
            <w:tabs>
              <w:tab w:pos="1979" w:val="left" w:leader="none"/>
              <w:tab w:pos="10293" w:val="right" w:leader="dot"/>
            </w:tabs>
          </w:pPr>
          <w:hyperlink w:history="true" w:anchor="_bookmark773">
            <w:r>
              <w:rPr/>
              <w:t>18.17.7.310</w:t>
              <w:tab/>
              <w:t>SUMSQ</w:t>
              <w:tab/>
              <w:t>2387</w:t>
            </w:r>
          </w:hyperlink>
        </w:p>
        <w:p>
          <w:pPr>
            <w:pStyle w:val="TOC4"/>
            <w:tabs>
              <w:tab w:pos="1979" w:val="left" w:leader="none"/>
              <w:tab w:pos="10293" w:val="right" w:leader="dot"/>
            </w:tabs>
          </w:pPr>
          <w:hyperlink w:history="true" w:anchor="_bookmark774">
            <w:r>
              <w:rPr/>
              <w:t>18.17.7.311</w:t>
              <w:tab/>
              <w:t>SUMX2MY2</w:t>
              <w:tab/>
              <w:t>2387</w:t>
            </w:r>
          </w:hyperlink>
        </w:p>
        <w:p>
          <w:pPr>
            <w:pStyle w:val="TOC4"/>
            <w:tabs>
              <w:tab w:pos="1979" w:val="left" w:leader="none"/>
              <w:tab w:pos="10293" w:val="right" w:leader="dot"/>
            </w:tabs>
          </w:pPr>
          <w:hyperlink w:history="true" w:anchor="_bookmark775">
            <w:r>
              <w:rPr/>
              <w:t>18.17.7.312</w:t>
              <w:tab/>
              <w:t>SUMX2PY2</w:t>
              <w:tab/>
              <w:t>2388</w:t>
            </w:r>
          </w:hyperlink>
        </w:p>
        <w:p>
          <w:pPr>
            <w:pStyle w:val="TOC4"/>
            <w:tabs>
              <w:tab w:pos="1979" w:val="left" w:leader="none"/>
              <w:tab w:pos="10293" w:val="right" w:leader="dot"/>
            </w:tabs>
          </w:pPr>
          <w:hyperlink w:history="true" w:anchor="_bookmark776">
            <w:r>
              <w:rPr/>
              <w:t>18.17.7.313</w:t>
              <w:tab/>
              <w:t>SUMXMY2</w:t>
              <w:tab/>
              <w:t>2389</w:t>
            </w:r>
          </w:hyperlink>
        </w:p>
        <w:p>
          <w:pPr>
            <w:pStyle w:val="TOC4"/>
            <w:tabs>
              <w:tab w:pos="1979" w:val="left" w:leader="none"/>
              <w:tab w:pos="10293" w:val="right" w:leader="dot"/>
            </w:tabs>
            <w:spacing w:before="1"/>
          </w:pPr>
          <w:hyperlink w:history="true" w:anchor="_bookmark777">
            <w:r>
              <w:rPr/>
              <w:t>18.17.7.314</w:t>
              <w:tab/>
              <w:t>SYD</w:t>
              <w:tab/>
              <w:t>2390</w:t>
            </w:r>
          </w:hyperlink>
        </w:p>
        <w:p>
          <w:pPr>
            <w:pStyle w:val="TOC4"/>
            <w:tabs>
              <w:tab w:pos="1979" w:val="left" w:leader="none"/>
              <w:tab w:pos="10293" w:val="right" w:leader="dot"/>
            </w:tabs>
            <w:spacing w:line="267" w:lineRule="exact"/>
          </w:pPr>
          <w:hyperlink w:history="true" w:anchor="_bookmark778">
            <w:r>
              <w:rPr/>
              <w:t>18.17.7.315</w:t>
              <w:tab/>
              <w:t>T</w:t>
              <w:tab/>
              <w:t>2391</w:t>
            </w:r>
          </w:hyperlink>
        </w:p>
        <w:p>
          <w:pPr>
            <w:pStyle w:val="TOC4"/>
            <w:tabs>
              <w:tab w:pos="1979" w:val="left" w:leader="none"/>
              <w:tab w:pos="10293" w:val="right" w:leader="dot"/>
            </w:tabs>
            <w:spacing w:line="267" w:lineRule="exact"/>
          </w:pPr>
          <w:hyperlink w:history="true" w:anchor="_bookmark779">
            <w:r>
              <w:rPr/>
              <w:t>18.17.7.316</w:t>
              <w:tab/>
              <w:t>TAN</w:t>
              <w:tab/>
              <w:t>2391</w:t>
            </w:r>
          </w:hyperlink>
        </w:p>
        <w:p>
          <w:pPr>
            <w:pStyle w:val="TOC4"/>
            <w:tabs>
              <w:tab w:pos="1979" w:val="left" w:leader="none"/>
              <w:tab w:pos="10293" w:val="right" w:leader="dot"/>
            </w:tabs>
          </w:pPr>
          <w:hyperlink w:history="true" w:anchor="_bookmark780">
            <w:r>
              <w:rPr/>
              <w:t>18.17.7.317</w:t>
              <w:tab/>
              <w:t>TANH</w:t>
              <w:tab/>
              <w:t>2392</w:t>
            </w:r>
          </w:hyperlink>
        </w:p>
        <w:p>
          <w:pPr>
            <w:pStyle w:val="TOC4"/>
            <w:tabs>
              <w:tab w:pos="1979" w:val="left" w:leader="none"/>
              <w:tab w:pos="10293" w:val="right" w:leader="dot"/>
            </w:tabs>
          </w:pPr>
          <w:hyperlink w:history="true" w:anchor="_bookmark781">
            <w:r>
              <w:rPr/>
              <w:t>18.17.7.318</w:t>
              <w:tab/>
              <w:t>TBILLEQ</w:t>
              <w:tab/>
              <w:t>2392</w:t>
            </w:r>
          </w:hyperlink>
        </w:p>
        <w:p>
          <w:pPr>
            <w:pStyle w:val="TOC4"/>
            <w:tabs>
              <w:tab w:pos="1979" w:val="left" w:leader="none"/>
              <w:tab w:pos="10293" w:val="right" w:leader="dot"/>
            </w:tabs>
            <w:spacing w:before="1"/>
          </w:pPr>
          <w:hyperlink w:history="true" w:anchor="_bookmark782">
            <w:r>
              <w:rPr/>
              <w:t>18.17.7.319</w:t>
              <w:tab/>
              <w:t>TBILLPRICE</w:t>
              <w:tab/>
              <w:t>2393</w:t>
            </w:r>
          </w:hyperlink>
        </w:p>
        <w:p>
          <w:pPr>
            <w:pStyle w:val="TOC4"/>
            <w:tabs>
              <w:tab w:pos="1979" w:val="left" w:leader="none"/>
              <w:tab w:pos="10293" w:val="right" w:leader="dot"/>
            </w:tabs>
          </w:pPr>
          <w:hyperlink w:history="true" w:anchor="_bookmark783">
            <w:r>
              <w:rPr/>
              <w:t>18.17.7.320</w:t>
              <w:tab/>
              <w:t>TBILLYIELD</w:t>
              <w:tab/>
              <w:t>2394</w:t>
            </w:r>
          </w:hyperlink>
        </w:p>
        <w:p>
          <w:pPr>
            <w:pStyle w:val="TOC4"/>
            <w:tabs>
              <w:tab w:pos="1979" w:val="left" w:leader="none"/>
              <w:tab w:pos="10293" w:val="right" w:leader="dot"/>
            </w:tabs>
          </w:pPr>
          <w:hyperlink w:history="true" w:anchor="_bookmark784">
            <w:r>
              <w:rPr/>
              <w:t>18.17.7.321</w:t>
              <w:tab/>
              <w:t>TDIST</w:t>
              <w:tab/>
              <w:t>2395</w:t>
            </w:r>
          </w:hyperlink>
        </w:p>
        <w:p>
          <w:pPr>
            <w:pStyle w:val="TOC4"/>
            <w:tabs>
              <w:tab w:pos="1979" w:val="left" w:leader="none"/>
              <w:tab w:pos="10293" w:val="right" w:leader="dot"/>
            </w:tabs>
            <w:spacing w:before="1"/>
          </w:pPr>
          <w:hyperlink w:history="true" w:anchor="_bookmark785">
            <w:r>
              <w:rPr/>
              <w:t>18.17.7.322</w:t>
              <w:tab/>
              <w:t>TEXT</w:t>
              <w:tab/>
              <w:t>2396</w:t>
            </w:r>
          </w:hyperlink>
        </w:p>
        <w:p>
          <w:pPr>
            <w:pStyle w:val="TOC4"/>
            <w:tabs>
              <w:tab w:pos="1979" w:val="left" w:leader="none"/>
              <w:tab w:pos="10293" w:val="right" w:leader="dot"/>
            </w:tabs>
          </w:pPr>
          <w:hyperlink w:history="true" w:anchor="_bookmark786">
            <w:r>
              <w:rPr/>
              <w:t>18.17.7.323</w:t>
              <w:tab/>
              <w:t>TIME</w:t>
              <w:tab/>
              <w:t>2396</w:t>
            </w:r>
          </w:hyperlink>
        </w:p>
        <w:p>
          <w:pPr>
            <w:pStyle w:val="TOC4"/>
            <w:tabs>
              <w:tab w:pos="1979" w:val="left" w:leader="none"/>
              <w:tab w:pos="10293" w:val="right" w:leader="dot"/>
            </w:tabs>
            <w:spacing w:before="1"/>
          </w:pPr>
          <w:hyperlink w:history="true" w:anchor="_bookmark787">
            <w:r>
              <w:rPr/>
              <w:t>18.17.7.324</w:t>
              <w:tab/>
              <w:t>TIMEVALUE</w:t>
              <w:tab/>
              <w:t>2397</w:t>
            </w:r>
          </w:hyperlink>
        </w:p>
        <w:p>
          <w:pPr>
            <w:pStyle w:val="TOC4"/>
            <w:tabs>
              <w:tab w:pos="1979" w:val="left" w:leader="none"/>
              <w:tab w:pos="10293" w:val="right" w:leader="dot"/>
            </w:tabs>
            <w:spacing w:line="267" w:lineRule="exact"/>
          </w:pPr>
          <w:hyperlink w:history="true" w:anchor="_bookmark788">
            <w:r>
              <w:rPr/>
              <w:t>18.17.7.325</w:t>
              <w:tab/>
              <w:t>TINV</w:t>
              <w:tab/>
              <w:t>2398</w:t>
            </w:r>
          </w:hyperlink>
        </w:p>
        <w:p>
          <w:pPr>
            <w:pStyle w:val="TOC4"/>
            <w:tabs>
              <w:tab w:pos="1979" w:val="left" w:leader="none"/>
              <w:tab w:pos="10293" w:val="right" w:leader="dot"/>
            </w:tabs>
            <w:spacing w:line="267" w:lineRule="exact"/>
          </w:pPr>
          <w:hyperlink w:history="true" w:anchor="_bookmark789">
            <w:r>
              <w:rPr/>
              <w:t>18.17.7.326</w:t>
              <w:tab/>
              <w:t>TODAY</w:t>
              <w:tab/>
              <w:t>2398</w:t>
            </w:r>
          </w:hyperlink>
        </w:p>
        <w:p>
          <w:pPr>
            <w:pStyle w:val="TOC4"/>
            <w:tabs>
              <w:tab w:pos="1979" w:val="left" w:leader="none"/>
              <w:tab w:pos="10293" w:val="right" w:leader="dot"/>
            </w:tabs>
          </w:pPr>
          <w:hyperlink w:history="true" w:anchor="_bookmark790">
            <w:r>
              <w:rPr/>
              <w:t>18.17.7.327</w:t>
              <w:tab/>
              <w:t>TRANSPOSE</w:t>
              <w:tab/>
              <w:t>2399</w:t>
            </w:r>
          </w:hyperlink>
        </w:p>
        <w:p>
          <w:pPr>
            <w:pStyle w:val="TOC4"/>
            <w:tabs>
              <w:tab w:pos="1979" w:val="left" w:leader="none"/>
              <w:tab w:pos="10293" w:val="right" w:leader="dot"/>
            </w:tabs>
          </w:pPr>
          <w:hyperlink w:history="true" w:anchor="_bookmark791">
            <w:r>
              <w:rPr/>
              <w:t>18.17.7.328</w:t>
              <w:tab/>
              <w:t>TREND</w:t>
              <w:tab/>
              <w:t>2399</w:t>
            </w:r>
          </w:hyperlink>
        </w:p>
        <w:p>
          <w:pPr>
            <w:pStyle w:val="TOC4"/>
            <w:tabs>
              <w:tab w:pos="1979" w:val="left" w:leader="none"/>
              <w:tab w:pos="10293" w:val="right" w:leader="dot"/>
            </w:tabs>
            <w:spacing w:after="20"/>
          </w:pPr>
          <w:hyperlink w:history="true" w:anchor="_bookmark792">
            <w:r>
              <w:rPr/>
              <w:t>18.17.7.329</w:t>
              <w:tab/>
              <w:t>TRIM</w:t>
              <w:tab/>
              <w:t>2400</w:t>
            </w:r>
          </w:hyperlink>
        </w:p>
        <w:p>
          <w:pPr>
            <w:pStyle w:val="TOC4"/>
            <w:tabs>
              <w:tab w:pos="1979" w:val="left" w:leader="none"/>
              <w:tab w:pos="9845" w:val="left" w:leader="dot"/>
            </w:tabs>
            <w:spacing w:before="90"/>
          </w:pPr>
          <w:hyperlink w:history="true" w:anchor="_bookmark793">
            <w:r>
              <w:rPr/>
              <w:t>18.17.7.330</w:t>
              <w:tab/>
              <w:t>TRIMMEAN</w:t>
              <w:tab/>
              <w:t>2401</w:t>
            </w:r>
          </w:hyperlink>
        </w:p>
        <w:p>
          <w:pPr>
            <w:pStyle w:val="TOC4"/>
            <w:tabs>
              <w:tab w:pos="1979" w:val="left" w:leader="none"/>
              <w:tab w:pos="9845" w:val="left" w:leader="dot"/>
            </w:tabs>
            <w:spacing w:before="1"/>
          </w:pPr>
          <w:hyperlink w:history="true" w:anchor="_bookmark795">
            <w:r>
              <w:rPr/>
              <w:t>18.17.7.331</w:t>
              <w:tab/>
              <w:t>TRUE</w:t>
              <w:tab/>
              <w:t>2401</w:t>
            </w:r>
          </w:hyperlink>
        </w:p>
        <w:p>
          <w:pPr>
            <w:pStyle w:val="TOC4"/>
            <w:tabs>
              <w:tab w:pos="1979" w:val="left" w:leader="none"/>
              <w:tab w:pos="9845" w:val="left" w:leader="dot"/>
            </w:tabs>
          </w:pPr>
          <w:hyperlink w:history="true" w:anchor="_bookmark796">
            <w:r>
              <w:rPr/>
              <w:t>18.17.7.332</w:t>
              <w:tab/>
              <w:t>TRUNC</w:t>
              <w:tab/>
              <w:t>2402</w:t>
            </w:r>
          </w:hyperlink>
        </w:p>
        <w:p>
          <w:pPr>
            <w:pStyle w:val="TOC4"/>
            <w:tabs>
              <w:tab w:pos="1979" w:val="left" w:leader="none"/>
              <w:tab w:pos="9845" w:val="left" w:leader="dot"/>
            </w:tabs>
          </w:pPr>
          <w:hyperlink w:history="true" w:anchor="_bookmark797">
            <w:r>
              <w:rPr/>
              <w:t>18.17.7.333</w:t>
              <w:tab/>
              <w:t>TTEST</w:t>
              <w:tab/>
              <w:t>2402</w:t>
            </w:r>
          </w:hyperlink>
        </w:p>
        <w:p>
          <w:pPr>
            <w:pStyle w:val="TOC4"/>
            <w:tabs>
              <w:tab w:pos="1979" w:val="left" w:leader="none"/>
              <w:tab w:pos="9845" w:val="left" w:leader="dot"/>
            </w:tabs>
            <w:spacing w:line="267" w:lineRule="exact" w:before="1"/>
          </w:pPr>
          <w:hyperlink w:history="true" w:anchor="_bookmark798">
            <w:r>
              <w:rPr/>
              <w:t>18.17.7.334</w:t>
              <w:tab/>
              <w:t>TYPE</w:t>
              <w:tab/>
              <w:t>2404</w:t>
            </w:r>
          </w:hyperlink>
        </w:p>
        <w:p>
          <w:pPr>
            <w:pStyle w:val="TOC4"/>
            <w:tabs>
              <w:tab w:pos="1979" w:val="left" w:leader="none"/>
              <w:tab w:pos="9845" w:val="left" w:leader="dot"/>
            </w:tabs>
            <w:spacing w:line="267" w:lineRule="exact"/>
          </w:pPr>
          <w:hyperlink w:history="true" w:anchor="_bookmark799">
            <w:r>
              <w:rPr/>
              <w:t>18.17.7.335</w:t>
              <w:tab/>
              <w:t>UPPER</w:t>
              <w:tab/>
              <w:t>2405</w:t>
            </w:r>
          </w:hyperlink>
        </w:p>
        <w:p>
          <w:pPr>
            <w:pStyle w:val="TOC4"/>
            <w:tabs>
              <w:tab w:pos="1979" w:val="left" w:leader="none"/>
              <w:tab w:pos="9845" w:val="left" w:leader="dot"/>
            </w:tabs>
          </w:pPr>
          <w:hyperlink w:history="true" w:anchor="_bookmark800">
            <w:r>
              <w:rPr/>
              <w:t>18.17.7.336</w:t>
              <w:tab/>
              <w:t>USDOLLAR</w:t>
              <w:tab/>
              <w:t>2405</w:t>
            </w:r>
          </w:hyperlink>
        </w:p>
        <w:p>
          <w:pPr>
            <w:pStyle w:val="TOC4"/>
            <w:tabs>
              <w:tab w:pos="1979" w:val="left" w:leader="none"/>
              <w:tab w:pos="9845" w:val="left" w:leader="dot"/>
            </w:tabs>
          </w:pPr>
          <w:hyperlink w:history="true" w:anchor="_bookmark801">
            <w:r>
              <w:rPr/>
              <w:t>18.17.7.337</w:t>
              <w:tab/>
              <w:t>VALUE</w:t>
              <w:tab/>
              <w:t>2406</w:t>
            </w:r>
          </w:hyperlink>
        </w:p>
        <w:p>
          <w:pPr>
            <w:pStyle w:val="TOC4"/>
            <w:tabs>
              <w:tab w:pos="1979" w:val="left" w:leader="none"/>
              <w:tab w:pos="9845" w:val="left" w:leader="dot"/>
            </w:tabs>
          </w:pPr>
          <w:hyperlink w:history="true" w:anchor="_bookmark802">
            <w:r>
              <w:rPr/>
              <w:t>18.17.7.338</w:t>
              <w:tab/>
              <w:t>VAR</w:t>
              <w:tab/>
              <w:t>2406</w:t>
            </w:r>
          </w:hyperlink>
        </w:p>
        <w:p>
          <w:pPr>
            <w:pStyle w:val="TOC4"/>
            <w:tabs>
              <w:tab w:pos="1979" w:val="left" w:leader="none"/>
              <w:tab w:pos="9845" w:val="left" w:leader="dot"/>
            </w:tabs>
            <w:spacing w:before="1"/>
          </w:pPr>
          <w:hyperlink w:history="true" w:anchor="_bookmark803">
            <w:r>
              <w:rPr/>
              <w:t>18.17.7.339</w:t>
              <w:tab/>
              <w:t>VARA</w:t>
              <w:tab/>
              <w:t>2407</w:t>
            </w:r>
          </w:hyperlink>
        </w:p>
        <w:p>
          <w:pPr>
            <w:pStyle w:val="TOC4"/>
            <w:tabs>
              <w:tab w:pos="1979" w:val="left" w:leader="none"/>
              <w:tab w:pos="9845" w:val="left" w:leader="dot"/>
            </w:tabs>
          </w:pPr>
          <w:hyperlink w:history="true" w:anchor="_bookmark804">
            <w:r>
              <w:rPr/>
              <w:t>18.17.7.340</w:t>
              <w:tab/>
              <w:t>VARP</w:t>
              <w:tab/>
              <w:t>2408</w:t>
            </w:r>
          </w:hyperlink>
        </w:p>
        <w:p>
          <w:pPr>
            <w:pStyle w:val="TOC4"/>
            <w:tabs>
              <w:tab w:pos="1979" w:val="left" w:leader="none"/>
              <w:tab w:pos="9845" w:val="left" w:leader="dot"/>
            </w:tabs>
          </w:pPr>
          <w:hyperlink w:history="true" w:anchor="_bookmark805">
            <w:r>
              <w:rPr/>
              <w:t>18.17.7.341</w:t>
              <w:tab/>
              <w:t>VARPA</w:t>
              <w:tab/>
              <w:t>2409</w:t>
            </w:r>
          </w:hyperlink>
        </w:p>
        <w:p>
          <w:pPr>
            <w:pStyle w:val="TOC4"/>
            <w:tabs>
              <w:tab w:pos="1979" w:val="left" w:leader="none"/>
              <w:tab w:pos="9845" w:val="left" w:leader="dot"/>
            </w:tabs>
          </w:pPr>
          <w:hyperlink w:history="true" w:anchor="_bookmark807">
            <w:r>
              <w:rPr/>
              <w:t>18.17.7.342</w:t>
              <w:tab/>
              <w:t>VDB</w:t>
              <w:tab/>
              <w:t>2410</w:t>
            </w:r>
          </w:hyperlink>
        </w:p>
        <w:p>
          <w:pPr>
            <w:pStyle w:val="TOC4"/>
            <w:tabs>
              <w:tab w:pos="1979" w:val="left" w:leader="none"/>
              <w:tab w:pos="9845" w:val="left" w:leader="dot"/>
            </w:tabs>
            <w:spacing w:before="1"/>
          </w:pPr>
          <w:hyperlink w:history="true" w:anchor="_bookmark808">
            <w:r>
              <w:rPr/>
              <w:t>18.17.7.343</w:t>
              <w:tab/>
              <w:t>VLOOKUP</w:t>
              <w:tab/>
              <w:t>2411</w:t>
            </w:r>
          </w:hyperlink>
        </w:p>
        <w:p>
          <w:pPr>
            <w:pStyle w:val="TOC4"/>
            <w:tabs>
              <w:tab w:pos="1979" w:val="left" w:leader="none"/>
              <w:tab w:pos="9845" w:val="left" w:leader="dot"/>
            </w:tabs>
            <w:spacing w:line="267" w:lineRule="exact"/>
          </w:pPr>
          <w:hyperlink w:history="true" w:anchor="_bookmark809">
            <w:r>
              <w:rPr/>
              <w:t>18.17.7.344</w:t>
              <w:tab/>
              <w:t>WEEKDAY</w:t>
              <w:tab/>
              <w:t>2413</w:t>
            </w:r>
          </w:hyperlink>
        </w:p>
        <w:p>
          <w:pPr>
            <w:pStyle w:val="TOC4"/>
            <w:tabs>
              <w:tab w:pos="1979" w:val="left" w:leader="none"/>
              <w:tab w:pos="9845" w:val="left" w:leader="dot"/>
            </w:tabs>
            <w:spacing w:line="267" w:lineRule="exact"/>
          </w:pPr>
          <w:hyperlink w:history="true" w:anchor="_bookmark810">
            <w:r>
              <w:rPr/>
              <w:t>18.17.7.345</w:t>
              <w:tab/>
              <w:t>WEEKNUM</w:t>
              <w:tab/>
              <w:t>2414</w:t>
            </w:r>
          </w:hyperlink>
        </w:p>
        <w:p>
          <w:pPr>
            <w:pStyle w:val="TOC4"/>
            <w:tabs>
              <w:tab w:pos="1979" w:val="left" w:leader="none"/>
              <w:tab w:pos="9845" w:val="left" w:leader="dot"/>
            </w:tabs>
            <w:spacing w:before="1"/>
          </w:pPr>
          <w:hyperlink w:history="true" w:anchor="_bookmark811">
            <w:r>
              <w:rPr/>
              <w:t>18.17.7.346</w:t>
              <w:tab/>
              <w:t>WEIBULL</w:t>
              <w:tab/>
              <w:t>2416</w:t>
            </w:r>
          </w:hyperlink>
        </w:p>
        <w:p>
          <w:pPr>
            <w:pStyle w:val="TOC4"/>
            <w:tabs>
              <w:tab w:pos="1979" w:val="left" w:leader="none"/>
              <w:tab w:pos="9845" w:val="left" w:leader="dot"/>
            </w:tabs>
          </w:pPr>
          <w:hyperlink w:history="true" w:anchor="_bookmark812">
            <w:r>
              <w:rPr/>
              <w:t>18.17.7.347</w:t>
              <w:tab/>
              <w:t>WORKDAY</w:t>
              <w:tab/>
              <w:t>2417</w:t>
            </w:r>
          </w:hyperlink>
        </w:p>
        <w:p>
          <w:pPr>
            <w:pStyle w:val="TOC4"/>
            <w:tabs>
              <w:tab w:pos="1979" w:val="left" w:leader="none"/>
              <w:tab w:pos="9845" w:val="left" w:leader="dot"/>
            </w:tabs>
          </w:pPr>
          <w:hyperlink w:history="true" w:anchor="_bookmark813">
            <w:r>
              <w:rPr/>
              <w:t>18.17.7.348</w:t>
              <w:tab/>
              <w:t>WORKDAY.INTL</w:t>
              <w:tab/>
              <w:t>2418</w:t>
            </w:r>
          </w:hyperlink>
        </w:p>
        <w:p>
          <w:pPr>
            <w:pStyle w:val="TOC4"/>
            <w:tabs>
              <w:tab w:pos="1979" w:val="left" w:leader="none"/>
              <w:tab w:pos="9845" w:val="left" w:leader="dot"/>
            </w:tabs>
          </w:pPr>
          <w:hyperlink w:history="true" w:anchor="_bookmark814">
            <w:r>
              <w:rPr/>
              <w:t>18.17.7.349</w:t>
              <w:tab/>
              <w:t>XIRR</w:t>
              <w:tab/>
              <w:t>2420</w:t>
            </w:r>
          </w:hyperlink>
        </w:p>
        <w:p>
          <w:pPr>
            <w:pStyle w:val="TOC4"/>
            <w:tabs>
              <w:tab w:pos="1979" w:val="left" w:leader="none"/>
              <w:tab w:pos="9845" w:val="left" w:leader="dot"/>
            </w:tabs>
            <w:spacing w:before="1"/>
          </w:pPr>
          <w:hyperlink w:history="true" w:anchor="_bookmark815">
            <w:r>
              <w:rPr/>
              <w:t>18.17.7.350</w:t>
              <w:tab/>
              <w:t>XNPV</w:t>
              <w:tab/>
              <w:t>2421</w:t>
            </w:r>
          </w:hyperlink>
        </w:p>
        <w:p>
          <w:pPr>
            <w:pStyle w:val="TOC4"/>
            <w:tabs>
              <w:tab w:pos="1979" w:val="left" w:leader="none"/>
              <w:tab w:pos="9845" w:val="left" w:leader="dot"/>
            </w:tabs>
          </w:pPr>
          <w:hyperlink w:history="true" w:anchor="_bookmark816">
            <w:r>
              <w:rPr/>
              <w:t>18.17.7.351</w:t>
              <w:tab/>
              <w:t>YEAR</w:t>
              <w:tab/>
              <w:t>2422</w:t>
            </w:r>
          </w:hyperlink>
        </w:p>
        <w:p>
          <w:pPr>
            <w:pStyle w:val="TOC4"/>
            <w:tabs>
              <w:tab w:pos="1979" w:val="left" w:leader="none"/>
              <w:tab w:pos="9845" w:val="left" w:leader="dot"/>
            </w:tabs>
          </w:pPr>
          <w:hyperlink w:history="true" w:anchor="_bookmark817">
            <w:r>
              <w:rPr/>
              <w:t>18.17.7.352</w:t>
              <w:tab/>
              <w:t>YEARFRAC</w:t>
              <w:tab/>
              <w:t>2423</w:t>
            </w:r>
          </w:hyperlink>
        </w:p>
        <w:p>
          <w:pPr>
            <w:pStyle w:val="TOC4"/>
            <w:tabs>
              <w:tab w:pos="1979" w:val="left" w:leader="none"/>
              <w:tab w:pos="9845" w:val="left" w:leader="dot"/>
            </w:tabs>
          </w:pPr>
          <w:hyperlink w:history="true" w:anchor="_bookmark818">
            <w:r>
              <w:rPr/>
              <w:t>18.17.7.353</w:t>
              <w:tab/>
              <w:t>YIELD</w:t>
              <w:tab/>
              <w:t>2426</w:t>
            </w:r>
          </w:hyperlink>
        </w:p>
        <w:p>
          <w:pPr>
            <w:pStyle w:val="TOC4"/>
            <w:tabs>
              <w:tab w:pos="1979" w:val="left" w:leader="none"/>
              <w:tab w:pos="9845" w:val="left" w:leader="dot"/>
            </w:tabs>
            <w:spacing w:line="267" w:lineRule="exact" w:before="1"/>
          </w:pPr>
          <w:hyperlink w:history="true" w:anchor="_bookmark819">
            <w:r>
              <w:rPr/>
              <w:t>18.17.7.354</w:t>
              <w:tab/>
              <w:t>YIELDDISC</w:t>
              <w:tab/>
              <w:t>2429</w:t>
            </w:r>
          </w:hyperlink>
        </w:p>
        <w:p>
          <w:pPr>
            <w:pStyle w:val="TOC4"/>
            <w:tabs>
              <w:tab w:pos="1979" w:val="left" w:leader="none"/>
              <w:tab w:pos="9845" w:val="left" w:leader="dot"/>
            </w:tabs>
            <w:spacing w:line="267" w:lineRule="exact"/>
          </w:pPr>
          <w:hyperlink w:history="true" w:anchor="_bookmark820">
            <w:r>
              <w:rPr/>
              <w:t>18.17.7.355</w:t>
              <w:tab/>
              <w:t>YIELDMAT</w:t>
              <w:tab/>
              <w:t>2432</w:t>
            </w:r>
          </w:hyperlink>
        </w:p>
        <w:p>
          <w:pPr>
            <w:pStyle w:val="TOC2"/>
            <w:tabs>
              <w:tab w:pos="1355" w:val="left" w:leader="none"/>
              <w:tab w:pos="9222" w:val="left" w:leader="dot"/>
            </w:tabs>
            <w:ind w:left="0" w:firstLine="0"/>
          </w:pPr>
          <w:hyperlink w:history="true" w:anchor="_bookmark821">
            <w:r>
              <w:rPr/>
              <w:t>18.17.7.356</w:t>
              <w:tab/>
              <w:t>ZTEST</w:t>
              <w:tab/>
            </w:r>
            <w:r>
              <w:rPr>
                <w:spacing w:val="-1"/>
              </w:rPr>
              <w:t>2434</w:t>
            </w:r>
          </w:hyperlink>
        </w:p>
        <w:p>
          <w:pPr>
            <w:pStyle w:val="TOC1"/>
            <w:numPr>
              <w:ilvl w:val="1"/>
              <w:numId w:val="1"/>
            </w:numPr>
            <w:tabs>
              <w:tab w:pos="806" w:val="left" w:leader="none"/>
              <w:tab w:pos="807" w:val="left" w:leader="none"/>
              <w:tab w:pos="9625" w:val="left" w:leader="dot"/>
            </w:tabs>
            <w:spacing w:line="240" w:lineRule="auto" w:before="120" w:after="0"/>
            <w:ind w:left="1026" w:right="384" w:hanging="1027"/>
            <w:jc w:val="right"/>
          </w:pPr>
          <w:hyperlink w:history="true" w:anchor="_bookmark822">
            <w:r>
              <w:rPr/>
              <w:t>Simple</w:t>
            </w:r>
            <w:r>
              <w:rPr>
                <w:spacing w:val="-4"/>
              </w:rPr>
              <w:t> </w:t>
            </w:r>
            <w:r>
              <w:rPr/>
              <w:t>Types</w:t>
              <w:tab/>
            </w:r>
            <w:r>
              <w:rPr>
                <w:spacing w:val="-1"/>
              </w:rPr>
              <w:t>2435</w:t>
            </w:r>
          </w:hyperlink>
        </w:p>
        <w:p>
          <w:pPr>
            <w:pStyle w:val="TOC2"/>
            <w:numPr>
              <w:ilvl w:val="2"/>
              <w:numId w:val="1"/>
            </w:numPr>
            <w:tabs>
              <w:tab w:pos="897" w:val="left" w:leader="none"/>
              <w:tab w:pos="898" w:val="left" w:leader="none"/>
              <w:tab w:pos="9424" w:val="left" w:leader="dot"/>
            </w:tabs>
            <w:spacing w:line="240" w:lineRule="auto" w:before="42" w:after="0"/>
            <w:ind w:left="1319" w:right="384" w:hanging="1320"/>
            <w:jc w:val="right"/>
          </w:pPr>
          <w:hyperlink w:history="true" w:anchor="_bookmark823">
            <w:r>
              <w:rPr/>
              <w:t>ST_Axis</w:t>
            </w:r>
            <w:r>
              <w:rPr>
                <w:spacing w:val="-4"/>
              </w:rPr>
              <w:t> </w:t>
            </w:r>
            <w:r>
              <w:rPr/>
              <w:t>(PivotTable</w:t>
            </w:r>
            <w:r>
              <w:rPr>
                <w:spacing w:val="-3"/>
              </w:rPr>
              <w:t> </w:t>
            </w:r>
            <w:r>
              <w:rPr/>
              <w:t>Axis)</w:t>
              <w:tab/>
            </w:r>
            <w:r>
              <w:rPr>
                <w:spacing w:val="-1"/>
              </w:rPr>
              <w:t>2435</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824">
            <w:r>
              <w:rPr/>
              <w:t>ST_BorderId</w:t>
            </w:r>
            <w:r>
              <w:rPr>
                <w:spacing w:val="-2"/>
              </w:rPr>
              <w:t> </w:t>
            </w:r>
            <w:r>
              <w:rPr/>
              <w:t>(Border</w:t>
            </w:r>
            <w:r>
              <w:rPr>
                <w:spacing w:val="-1"/>
              </w:rPr>
              <w:t> </w:t>
            </w:r>
            <w:r>
              <w:rPr/>
              <w:t>Id)</w:t>
              <w:tab/>
            </w:r>
            <w:r>
              <w:rPr>
                <w:spacing w:val="-1"/>
              </w:rPr>
              <w:t>2436</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825">
            <w:r>
              <w:rPr/>
              <w:t>ST_BorderStyle (Border</w:t>
            </w:r>
            <w:r>
              <w:rPr>
                <w:spacing w:val="-5"/>
              </w:rPr>
              <w:t> </w:t>
            </w:r>
            <w:r>
              <w:rPr/>
              <w:t>Line</w:t>
            </w:r>
            <w:r>
              <w:rPr>
                <w:spacing w:val="-1"/>
              </w:rPr>
              <w:t> </w:t>
            </w:r>
            <w:r>
              <w:rPr/>
              <w:t>Styles)</w:t>
              <w:tab/>
            </w:r>
            <w:r>
              <w:rPr>
                <w:spacing w:val="-1"/>
              </w:rPr>
              <w:t>2436</w:t>
            </w:r>
          </w:hyperlink>
        </w:p>
        <w:p>
          <w:pPr>
            <w:pStyle w:val="TOC2"/>
            <w:numPr>
              <w:ilvl w:val="2"/>
              <w:numId w:val="1"/>
            </w:numPr>
            <w:tabs>
              <w:tab w:pos="897" w:val="left" w:leader="none"/>
              <w:tab w:pos="898" w:val="left" w:leader="none"/>
              <w:tab w:pos="9424" w:val="left" w:leader="dot"/>
            </w:tabs>
            <w:spacing w:line="240" w:lineRule="auto" w:before="0" w:after="0"/>
            <w:ind w:left="1319" w:right="384" w:hanging="1320"/>
            <w:jc w:val="right"/>
          </w:pPr>
          <w:hyperlink w:history="true" w:anchor="_bookmark826">
            <w:r>
              <w:rPr/>
              <w:t>ST_CalcMode</w:t>
            </w:r>
            <w:r>
              <w:rPr>
                <w:spacing w:val="-4"/>
              </w:rPr>
              <w:t> </w:t>
            </w:r>
            <w:r>
              <w:rPr/>
              <w:t>(Calculation</w:t>
            </w:r>
            <w:r>
              <w:rPr>
                <w:spacing w:val="-5"/>
              </w:rPr>
              <w:t> </w:t>
            </w:r>
            <w:r>
              <w:rPr/>
              <w:t>Mode)</w:t>
              <w:tab/>
            </w:r>
            <w:r>
              <w:rPr>
                <w:spacing w:val="-1"/>
              </w:rPr>
              <w:t>2439</w:t>
            </w:r>
          </w:hyperlink>
        </w:p>
        <w:p>
          <w:pPr>
            <w:pStyle w:val="TOC2"/>
            <w:numPr>
              <w:ilvl w:val="2"/>
              <w:numId w:val="1"/>
            </w:numPr>
            <w:tabs>
              <w:tab w:pos="897" w:val="left" w:leader="none"/>
              <w:tab w:pos="898" w:val="left" w:leader="none"/>
              <w:tab w:pos="9424" w:val="left" w:leader="dot"/>
            </w:tabs>
            <w:spacing w:line="267" w:lineRule="exact" w:before="1" w:after="0"/>
            <w:ind w:left="1319" w:right="384" w:hanging="1320"/>
            <w:jc w:val="right"/>
          </w:pPr>
          <w:hyperlink w:history="true" w:anchor="_bookmark827">
            <w:r>
              <w:rPr/>
              <w:t>ST_CellComments</w:t>
            </w:r>
            <w:r>
              <w:rPr>
                <w:spacing w:val="-3"/>
              </w:rPr>
              <w:t> </w:t>
            </w:r>
            <w:r>
              <w:rPr/>
              <w:t>(Cell</w:t>
            </w:r>
            <w:r>
              <w:rPr>
                <w:spacing w:val="-3"/>
              </w:rPr>
              <w:t> </w:t>
            </w:r>
            <w:r>
              <w:rPr/>
              <w:t>Comments)</w:t>
              <w:tab/>
            </w:r>
            <w:r>
              <w:rPr>
                <w:spacing w:val="-1"/>
              </w:rPr>
              <w:t>2439</w:t>
            </w:r>
          </w:hyperlink>
        </w:p>
        <w:p>
          <w:pPr>
            <w:pStyle w:val="TOC2"/>
            <w:numPr>
              <w:ilvl w:val="2"/>
              <w:numId w:val="1"/>
            </w:numPr>
            <w:tabs>
              <w:tab w:pos="897" w:val="left" w:leader="none"/>
              <w:tab w:pos="898" w:val="left" w:leader="none"/>
              <w:tab w:pos="9424" w:val="left" w:leader="dot"/>
            </w:tabs>
            <w:spacing w:line="267" w:lineRule="exact" w:before="0" w:after="0"/>
            <w:ind w:left="1319" w:right="384" w:hanging="1320"/>
            <w:jc w:val="right"/>
          </w:pPr>
          <w:hyperlink w:history="true" w:anchor="_bookmark828">
            <w:r>
              <w:rPr/>
              <w:t>ST_CellFormulaType</w:t>
            </w:r>
            <w:r>
              <w:rPr>
                <w:spacing w:val="-4"/>
              </w:rPr>
              <w:t> </w:t>
            </w:r>
            <w:r>
              <w:rPr/>
              <w:t>(Formula</w:t>
            </w:r>
            <w:r>
              <w:rPr>
                <w:spacing w:val="-3"/>
              </w:rPr>
              <w:t> </w:t>
            </w:r>
            <w:r>
              <w:rPr/>
              <w:t>Type)</w:t>
              <w:tab/>
            </w:r>
            <w:r>
              <w:rPr>
                <w:spacing w:val="-1"/>
              </w:rPr>
              <w:t>2440</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829">
            <w:r>
              <w:rPr/>
              <w:t>ST_CellRef</w:t>
            </w:r>
            <w:r>
              <w:rPr>
                <w:spacing w:val="-2"/>
              </w:rPr>
              <w:t> </w:t>
            </w:r>
            <w:r>
              <w:rPr/>
              <w:t>(Cell</w:t>
            </w:r>
            <w:r>
              <w:rPr>
                <w:spacing w:val="-2"/>
              </w:rPr>
              <w:t> </w:t>
            </w:r>
            <w:r>
              <w:rPr/>
              <w:t>Reference)</w:t>
              <w:tab/>
              <w:t>2440</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830">
            <w:r>
              <w:rPr/>
              <w:t>ST_CellSpan (Cell</w:t>
            </w:r>
            <w:r>
              <w:rPr>
                <w:spacing w:val="-4"/>
              </w:rPr>
              <w:t> </w:t>
            </w:r>
            <w:r>
              <w:rPr/>
              <w:t>Span</w:t>
            </w:r>
            <w:r>
              <w:rPr>
                <w:spacing w:val="-3"/>
              </w:rPr>
              <w:t> </w:t>
            </w:r>
            <w:r>
              <w:rPr/>
              <w:t>Type)</w:t>
              <w:tab/>
              <w:t>2440</w:t>
            </w:r>
          </w:hyperlink>
        </w:p>
        <w:p>
          <w:pPr>
            <w:pStyle w:val="TOC3"/>
            <w:numPr>
              <w:ilvl w:val="2"/>
              <w:numId w:val="1"/>
            </w:numPr>
            <w:tabs>
              <w:tab w:pos="1319" w:val="left" w:leader="none"/>
              <w:tab w:pos="1320" w:val="left" w:leader="none"/>
              <w:tab w:pos="9845" w:val="left" w:leader="dot"/>
            </w:tabs>
            <w:spacing w:line="240" w:lineRule="auto" w:before="0" w:after="0"/>
            <w:ind w:left="1319" w:right="0" w:hanging="899"/>
            <w:jc w:val="left"/>
          </w:pPr>
          <w:hyperlink w:history="true" w:anchor="_bookmark831">
            <w:r>
              <w:rPr/>
              <w:t>ST_CellSpans</w:t>
            </w:r>
            <w:r>
              <w:rPr>
                <w:spacing w:val="-3"/>
              </w:rPr>
              <w:t> </w:t>
            </w:r>
            <w:r>
              <w:rPr/>
              <w:t>(Cell</w:t>
            </w:r>
            <w:r>
              <w:rPr>
                <w:spacing w:val="-2"/>
              </w:rPr>
              <w:t> </w:t>
            </w:r>
            <w:r>
              <w:rPr/>
              <w:t>Spans)</w:t>
              <w:tab/>
              <w:t>2441</w:t>
            </w:r>
          </w:hyperlink>
        </w:p>
        <w:p>
          <w:pPr>
            <w:pStyle w:val="TOC3"/>
            <w:numPr>
              <w:ilvl w:val="2"/>
              <w:numId w:val="1"/>
            </w:numPr>
            <w:tabs>
              <w:tab w:pos="1540" w:val="left" w:leader="none"/>
              <w:tab w:pos="1541" w:val="left" w:leader="none"/>
              <w:tab w:pos="9845" w:val="left" w:leader="dot"/>
            </w:tabs>
            <w:spacing w:line="240" w:lineRule="auto" w:before="1" w:after="0"/>
            <w:ind w:left="1540" w:right="0" w:hanging="1120"/>
            <w:jc w:val="left"/>
          </w:pPr>
          <w:hyperlink w:history="true" w:anchor="_bookmark832">
            <w:r>
              <w:rPr/>
              <w:t>ST_CellStyleXfId (Cell Style</w:t>
            </w:r>
            <w:r>
              <w:rPr>
                <w:spacing w:val="-15"/>
              </w:rPr>
              <w:t> </w:t>
            </w:r>
            <w:r>
              <w:rPr/>
              <w:t>Format</w:t>
            </w:r>
            <w:r>
              <w:rPr>
                <w:spacing w:val="-2"/>
              </w:rPr>
              <w:t> </w:t>
            </w:r>
            <w:r>
              <w:rPr/>
              <w:t>Id)</w:t>
              <w:tab/>
              <w:t>2441</w:t>
            </w:r>
          </w:hyperlink>
        </w:p>
        <w:p>
          <w:pPr>
            <w:pStyle w:val="TOC3"/>
            <w:numPr>
              <w:ilvl w:val="2"/>
              <w:numId w:val="1"/>
            </w:numPr>
            <w:tabs>
              <w:tab w:pos="1540" w:val="left" w:leader="none"/>
              <w:tab w:pos="1541" w:val="left" w:leader="none"/>
              <w:tab w:pos="9845" w:val="left" w:leader="dot"/>
            </w:tabs>
            <w:spacing w:line="240" w:lineRule="auto" w:before="0" w:after="0"/>
            <w:ind w:left="1540" w:right="0" w:hanging="1120"/>
            <w:jc w:val="left"/>
          </w:pPr>
          <w:hyperlink w:history="true" w:anchor="_bookmark833">
            <w:r>
              <w:rPr/>
              <w:t>ST_CellType</w:t>
            </w:r>
            <w:r>
              <w:rPr>
                <w:spacing w:val="-4"/>
              </w:rPr>
              <w:t> </w:t>
            </w:r>
            <w:r>
              <w:rPr/>
              <w:t>(Cell</w:t>
            </w:r>
            <w:r>
              <w:rPr>
                <w:spacing w:val="-3"/>
              </w:rPr>
              <w:t> </w:t>
            </w:r>
            <w:r>
              <w:rPr/>
              <w:t>Type)</w:t>
              <w:tab/>
              <w:t>2441</w:t>
            </w:r>
          </w:hyperlink>
        </w:p>
        <w:p>
          <w:pPr>
            <w:pStyle w:val="TOC3"/>
            <w:numPr>
              <w:ilvl w:val="2"/>
              <w:numId w:val="1"/>
            </w:numPr>
            <w:tabs>
              <w:tab w:pos="1540" w:val="left" w:leader="none"/>
              <w:tab w:pos="1541" w:val="left" w:leader="none"/>
              <w:tab w:pos="9845" w:val="left" w:leader="dot"/>
            </w:tabs>
            <w:spacing w:line="240" w:lineRule="auto" w:before="1" w:after="0"/>
            <w:ind w:left="1540" w:right="0" w:hanging="1120"/>
            <w:jc w:val="left"/>
          </w:pPr>
          <w:hyperlink w:history="true" w:anchor="_bookmark834">
            <w:r>
              <w:rPr/>
              <w:t>ST_CfType (Conditional</w:t>
            </w:r>
            <w:r>
              <w:rPr>
                <w:spacing w:val="-4"/>
              </w:rPr>
              <w:t> </w:t>
            </w:r>
            <w:r>
              <w:rPr/>
              <w:t>Format</w:t>
            </w:r>
            <w:r>
              <w:rPr>
                <w:spacing w:val="-4"/>
              </w:rPr>
              <w:t> </w:t>
            </w:r>
            <w:r>
              <w:rPr/>
              <w:t>Type)</w:t>
              <w:tab/>
              <w:t>2441</w:t>
            </w:r>
          </w:hyperlink>
        </w:p>
        <w:p>
          <w:pPr>
            <w:pStyle w:val="TOC3"/>
            <w:numPr>
              <w:ilvl w:val="2"/>
              <w:numId w:val="1"/>
            </w:numPr>
            <w:tabs>
              <w:tab w:pos="1540" w:val="left" w:leader="none"/>
              <w:tab w:pos="1541" w:val="left" w:leader="none"/>
              <w:tab w:pos="9845" w:val="left" w:leader="dot"/>
            </w:tabs>
            <w:spacing w:line="240" w:lineRule="auto" w:before="0" w:after="0"/>
            <w:ind w:left="1540" w:right="0" w:hanging="1120"/>
            <w:jc w:val="left"/>
          </w:pPr>
          <w:hyperlink w:history="true" w:anchor="_bookmark835">
            <w:r>
              <w:rPr/>
              <w:t>ST_CfvoType (Conditional Format Value</w:t>
            </w:r>
            <w:r>
              <w:rPr>
                <w:spacing w:val="-10"/>
              </w:rPr>
              <w:t> </w:t>
            </w:r>
            <w:r>
              <w:rPr/>
              <w:t>Object</w:t>
            </w:r>
            <w:r>
              <w:rPr>
                <w:spacing w:val="-3"/>
              </w:rPr>
              <w:t> </w:t>
            </w:r>
            <w:r>
              <w:rPr/>
              <w:t>Type)</w:t>
              <w:tab/>
              <w:t>2443</w:t>
            </w:r>
          </w:hyperlink>
        </w:p>
        <w:p>
          <w:pPr>
            <w:pStyle w:val="TOC3"/>
            <w:numPr>
              <w:ilvl w:val="2"/>
              <w:numId w:val="1"/>
            </w:numPr>
            <w:tabs>
              <w:tab w:pos="1540" w:val="left" w:leader="none"/>
              <w:tab w:pos="1541" w:val="left" w:leader="none"/>
              <w:tab w:pos="9845" w:val="left" w:leader="dot"/>
            </w:tabs>
            <w:spacing w:line="267" w:lineRule="exact" w:before="0" w:after="0"/>
            <w:ind w:left="1540" w:right="0" w:hanging="1120"/>
            <w:jc w:val="left"/>
          </w:pPr>
          <w:hyperlink w:history="true" w:anchor="_bookmark836">
            <w:r>
              <w:rPr/>
              <w:t>ST_Comments (Comment</w:t>
            </w:r>
            <w:r>
              <w:rPr>
                <w:spacing w:val="-6"/>
              </w:rPr>
              <w:t> </w:t>
            </w:r>
            <w:r>
              <w:rPr/>
              <w:t>Display</w:t>
            </w:r>
            <w:r>
              <w:rPr>
                <w:spacing w:val="-4"/>
              </w:rPr>
              <w:t> </w:t>
            </w:r>
            <w:r>
              <w:rPr/>
              <w:t>Types)</w:t>
              <w:tab/>
              <w:t>2444</w:t>
            </w:r>
          </w:hyperlink>
        </w:p>
        <w:p>
          <w:pPr>
            <w:pStyle w:val="TOC3"/>
            <w:numPr>
              <w:ilvl w:val="2"/>
              <w:numId w:val="1"/>
            </w:numPr>
            <w:tabs>
              <w:tab w:pos="1540" w:val="left" w:leader="none"/>
              <w:tab w:pos="1541" w:val="left" w:leader="none"/>
              <w:tab w:pos="9845" w:val="left" w:leader="dot"/>
            </w:tabs>
            <w:spacing w:line="267" w:lineRule="exact" w:before="0" w:after="0"/>
            <w:ind w:left="1540" w:right="0" w:hanging="1120"/>
            <w:jc w:val="left"/>
          </w:pPr>
          <w:hyperlink w:history="true" w:anchor="_bookmark837">
            <w:r>
              <w:rPr/>
              <w:t>ST_ConditionalFormattingOperator (Conditional</w:t>
            </w:r>
            <w:r>
              <w:rPr>
                <w:spacing w:val="-10"/>
              </w:rPr>
              <w:t> </w:t>
            </w:r>
            <w:r>
              <w:rPr/>
              <w:t>Format</w:t>
            </w:r>
            <w:r>
              <w:rPr>
                <w:spacing w:val="-6"/>
              </w:rPr>
              <w:t> </w:t>
            </w:r>
            <w:r>
              <w:rPr/>
              <w:t>Operators)</w:t>
              <w:tab/>
              <w:t>2444</w:t>
            </w:r>
          </w:hyperlink>
        </w:p>
        <w:p>
          <w:pPr>
            <w:pStyle w:val="TOC3"/>
            <w:numPr>
              <w:ilvl w:val="2"/>
              <w:numId w:val="1"/>
            </w:numPr>
            <w:tabs>
              <w:tab w:pos="1540" w:val="left" w:leader="none"/>
              <w:tab w:pos="1541" w:val="left" w:leader="none"/>
              <w:tab w:pos="9845" w:val="left" w:leader="dot"/>
            </w:tabs>
            <w:spacing w:line="240" w:lineRule="auto" w:before="0" w:after="0"/>
            <w:ind w:left="1540" w:right="0" w:hanging="1120"/>
            <w:jc w:val="left"/>
          </w:pPr>
          <w:hyperlink w:history="true" w:anchor="_bookmark838">
            <w:r>
              <w:rPr/>
              <w:t>ST_CredMethod</w:t>
            </w:r>
            <w:r>
              <w:rPr>
                <w:spacing w:val="-4"/>
              </w:rPr>
              <w:t> </w:t>
            </w:r>
            <w:r>
              <w:rPr/>
              <w:t>(Credentials</w:t>
            </w:r>
            <w:r>
              <w:rPr>
                <w:spacing w:val="-2"/>
              </w:rPr>
              <w:t> </w:t>
            </w:r>
            <w:r>
              <w:rPr/>
              <w:t>Method)</w:t>
              <w:tab/>
              <w:t>2445</w:t>
            </w:r>
          </w:hyperlink>
        </w:p>
        <w:p>
          <w:pPr>
            <w:pStyle w:val="TOC3"/>
            <w:numPr>
              <w:ilvl w:val="2"/>
              <w:numId w:val="1"/>
            </w:numPr>
            <w:tabs>
              <w:tab w:pos="1540" w:val="left" w:leader="none"/>
              <w:tab w:pos="1541" w:val="left" w:leader="none"/>
              <w:tab w:pos="9845" w:val="left" w:leader="dot"/>
            </w:tabs>
            <w:spacing w:line="240" w:lineRule="auto" w:before="1" w:after="0"/>
            <w:ind w:left="1540" w:right="0" w:hanging="1120"/>
            <w:jc w:val="left"/>
          </w:pPr>
          <w:hyperlink w:history="true" w:anchor="_bookmark839">
            <w:r>
              <w:rPr/>
              <w:t>ST_DataConsolidateFunction (Data</w:t>
            </w:r>
            <w:r>
              <w:rPr>
                <w:spacing w:val="-5"/>
              </w:rPr>
              <w:t> </w:t>
            </w:r>
            <w:r>
              <w:rPr/>
              <w:t>Consolidation</w:t>
            </w:r>
            <w:r>
              <w:rPr>
                <w:spacing w:val="-6"/>
              </w:rPr>
              <w:t> </w:t>
            </w:r>
            <w:r>
              <w:rPr/>
              <w:t>Functions)</w:t>
              <w:tab/>
              <w:t>2445</w:t>
            </w:r>
          </w:hyperlink>
        </w:p>
        <w:p>
          <w:pPr>
            <w:pStyle w:val="TOC3"/>
            <w:numPr>
              <w:ilvl w:val="2"/>
              <w:numId w:val="1"/>
            </w:numPr>
            <w:tabs>
              <w:tab w:pos="1540" w:val="left" w:leader="none"/>
              <w:tab w:pos="1541" w:val="left" w:leader="none"/>
              <w:tab w:pos="9845" w:val="left" w:leader="dot"/>
            </w:tabs>
            <w:spacing w:line="240" w:lineRule="auto" w:before="0" w:after="0"/>
            <w:ind w:left="1540" w:right="0" w:hanging="1120"/>
            <w:jc w:val="left"/>
          </w:pPr>
          <w:hyperlink w:history="true" w:anchor="_bookmark840">
            <w:r>
              <w:rPr/>
              <w:t>ST_DataValidationErrorStyle (Data Validation</w:t>
            </w:r>
            <w:r>
              <w:rPr>
                <w:spacing w:val="-8"/>
              </w:rPr>
              <w:t> </w:t>
            </w:r>
            <w:r>
              <w:rPr/>
              <w:t>Error</w:t>
            </w:r>
            <w:r>
              <w:rPr>
                <w:spacing w:val="-3"/>
              </w:rPr>
              <w:t> </w:t>
            </w:r>
            <w:r>
              <w:rPr/>
              <w:t>Styles)</w:t>
              <w:tab/>
              <w:t>2446</w:t>
            </w:r>
          </w:hyperlink>
        </w:p>
        <w:p>
          <w:pPr>
            <w:pStyle w:val="TOC3"/>
            <w:numPr>
              <w:ilvl w:val="2"/>
              <w:numId w:val="1"/>
            </w:numPr>
            <w:tabs>
              <w:tab w:pos="1540" w:val="left" w:leader="none"/>
              <w:tab w:pos="1541" w:val="left" w:leader="none"/>
              <w:tab w:pos="9845" w:val="left" w:leader="dot"/>
            </w:tabs>
            <w:spacing w:line="240" w:lineRule="auto" w:before="0" w:after="185"/>
            <w:ind w:left="1540" w:right="0" w:hanging="1120"/>
            <w:jc w:val="left"/>
          </w:pPr>
          <w:hyperlink w:history="true" w:anchor="_bookmark841">
            <w:r>
              <w:rPr/>
              <w:t>ST_DataValidationImeMode (Data Validation</w:t>
            </w:r>
            <w:r>
              <w:rPr>
                <w:spacing w:val="-6"/>
              </w:rPr>
              <w:t> </w:t>
            </w:r>
            <w:r>
              <w:rPr/>
              <w:t>IME</w:t>
            </w:r>
            <w:r>
              <w:rPr>
                <w:spacing w:val="-4"/>
              </w:rPr>
              <w:t> </w:t>
            </w:r>
            <w:r>
              <w:rPr/>
              <w:t>Mode)</w:t>
              <w:tab/>
              <w:t>2447</w:t>
            </w:r>
          </w:hyperlink>
        </w:p>
        <w:p>
          <w:pPr>
            <w:pStyle w:val="TOC3"/>
            <w:numPr>
              <w:ilvl w:val="2"/>
              <w:numId w:val="1"/>
            </w:numPr>
            <w:tabs>
              <w:tab w:pos="1540" w:val="left" w:leader="none"/>
              <w:tab w:pos="1541" w:val="left" w:leader="none"/>
              <w:tab w:pos="10293" w:val="right" w:leader="dot"/>
            </w:tabs>
            <w:spacing w:line="240" w:lineRule="auto" w:before="148" w:after="0"/>
            <w:ind w:left="1540" w:right="0" w:hanging="1120"/>
            <w:jc w:val="left"/>
          </w:pPr>
          <w:hyperlink w:history="true" w:anchor="_bookmark842">
            <w:r>
              <w:rPr/>
              <w:t>ST_DataValidationOperator (Data</w:t>
            </w:r>
            <w:r>
              <w:rPr>
                <w:spacing w:val="-1"/>
              </w:rPr>
              <w:t> </w:t>
            </w:r>
            <w:r>
              <w:rPr/>
              <w:t>Validation</w:t>
            </w:r>
            <w:r>
              <w:rPr>
                <w:spacing w:val="-1"/>
              </w:rPr>
              <w:t> </w:t>
            </w:r>
            <w:r>
              <w:rPr/>
              <w:t>Operator)</w:t>
              <w:tab/>
              <w:t>2448</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43">
            <w:r>
              <w:rPr/>
              <w:t>ST_DataValidationType (Data</w:t>
            </w:r>
            <w:r>
              <w:rPr>
                <w:spacing w:val="-3"/>
              </w:rPr>
              <w:t> </w:t>
            </w:r>
            <w:r>
              <w:rPr/>
              <w:t>Validation</w:t>
            </w:r>
            <w:r>
              <w:rPr>
                <w:spacing w:val="-4"/>
              </w:rPr>
              <w:t> </w:t>
            </w:r>
            <w:r>
              <w:rPr/>
              <w:t>Type)</w:t>
              <w:tab/>
              <w:t>2448</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44">
            <w:r>
              <w:rPr/>
              <w:t>ST_DateTimeGrouping (Date</w:t>
            </w:r>
            <w:r>
              <w:rPr>
                <w:spacing w:val="1"/>
              </w:rPr>
              <w:t> </w:t>
            </w:r>
            <w:r>
              <w:rPr/>
              <w:t>Time</w:t>
            </w:r>
            <w:r>
              <w:rPr>
                <w:spacing w:val="-2"/>
              </w:rPr>
              <w:t> </w:t>
            </w:r>
            <w:r>
              <w:rPr/>
              <w:t>Grouping)</w:t>
              <w:tab/>
              <w:t>2449</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45">
            <w:r>
              <w:rPr/>
              <w:t>ST_DdeValueType (DDE Value</w:t>
            </w:r>
            <w:r>
              <w:rPr>
                <w:spacing w:val="1"/>
              </w:rPr>
              <w:t> </w:t>
            </w:r>
            <w:r>
              <w:rPr/>
              <w:t>Types)</w:t>
              <w:tab/>
              <w:t>2450</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46">
            <w:r>
              <w:rPr/>
              <w:t>ST_DvAspect (Data View</w:t>
            </w:r>
            <w:r>
              <w:rPr>
                <w:spacing w:val="-1"/>
              </w:rPr>
              <w:t> </w:t>
            </w:r>
            <w:r>
              <w:rPr/>
              <w:t>Aspect</w:t>
            </w:r>
            <w:r>
              <w:rPr>
                <w:spacing w:val="1"/>
              </w:rPr>
              <w:t> </w:t>
            </w:r>
            <w:r>
              <w:rPr/>
              <w:t>Type)</w:t>
              <w:tab/>
              <w:t>2450</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47">
            <w:r>
              <w:rPr/>
              <w:t>ST_DxfId</w:t>
            </w:r>
            <w:r>
              <w:rPr>
                <w:spacing w:val="-4"/>
              </w:rPr>
              <w:t> </w:t>
            </w:r>
            <w:r>
              <w:rPr/>
              <w:t>(Format</w:t>
            </w:r>
            <w:r>
              <w:rPr>
                <w:spacing w:val="-3"/>
              </w:rPr>
              <w:t> </w:t>
            </w:r>
            <w:r>
              <w:rPr/>
              <w:t>Id)</w:t>
              <w:tab/>
              <w:t>2450</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48">
            <w:r>
              <w:rPr/>
              <w:t>ST_DynamicFilterType</w:t>
            </w:r>
            <w:r>
              <w:rPr>
                <w:spacing w:val="-3"/>
              </w:rPr>
              <w:t> </w:t>
            </w:r>
            <w:r>
              <w:rPr/>
              <w:t>(Dynamic Filter)</w:t>
              <w:tab/>
              <w:t>2451</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49">
            <w:r>
              <w:rPr/>
              <w:t>ST_ExternalConnectionType (Text Field</w:t>
            </w:r>
            <w:r>
              <w:rPr>
                <w:spacing w:val="-1"/>
              </w:rPr>
              <w:t> </w:t>
            </w:r>
            <w:r>
              <w:rPr/>
              <w:t>Datatype)</w:t>
              <w:tab/>
              <w:t>2452</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50">
            <w:r>
              <w:rPr/>
              <w:t>ST_FieldSortType (Field</w:t>
            </w:r>
            <w:r>
              <w:rPr>
                <w:spacing w:val="-4"/>
              </w:rPr>
              <w:t> </w:t>
            </w:r>
            <w:r>
              <w:rPr/>
              <w:t>Sort Type)</w:t>
              <w:tab/>
              <w:t>2453</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51">
            <w:r>
              <w:rPr/>
              <w:t>ST_FileType (File</w:t>
            </w:r>
            <w:r>
              <w:rPr>
                <w:spacing w:val="-2"/>
              </w:rPr>
              <w:t> </w:t>
            </w:r>
            <w:r>
              <w:rPr/>
              <w:t>Type)</w:t>
              <w:tab/>
              <w:t>2453</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52">
            <w:r>
              <w:rPr/>
              <w:t>ST_FillId</w:t>
            </w:r>
            <w:r>
              <w:rPr>
                <w:spacing w:val="-2"/>
              </w:rPr>
              <w:t> </w:t>
            </w:r>
            <w:r>
              <w:rPr/>
              <w:t>(Fill</w:t>
            </w:r>
            <w:r>
              <w:rPr>
                <w:spacing w:val="-1"/>
              </w:rPr>
              <w:t> </w:t>
            </w:r>
            <w:r>
              <w:rPr/>
              <w:t>Id)</w:t>
              <w:tab/>
              <w:t>2454</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53">
            <w:r>
              <w:rPr/>
              <w:t>ST_FilterOperator</w:t>
            </w:r>
            <w:r>
              <w:rPr>
                <w:spacing w:val="-1"/>
              </w:rPr>
              <w:t> </w:t>
            </w:r>
            <w:r>
              <w:rPr/>
              <w:t>(Filter Operator)</w:t>
              <w:tab/>
              <w:t>2454</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54">
            <w:r>
              <w:rPr/>
              <w:t>ST_FontId</w:t>
            </w:r>
            <w:r>
              <w:rPr>
                <w:spacing w:val="-2"/>
              </w:rPr>
              <w:t> </w:t>
            </w:r>
            <w:r>
              <w:rPr/>
              <w:t>(Font Id)</w:t>
              <w:tab/>
              <w:t>2454</w:t>
            </w:r>
          </w:hyperlink>
        </w:p>
        <w:p>
          <w:pPr>
            <w:pStyle w:val="TOC3"/>
            <w:numPr>
              <w:ilvl w:val="2"/>
              <w:numId w:val="1"/>
            </w:numPr>
            <w:tabs>
              <w:tab w:pos="1540" w:val="left" w:leader="none"/>
              <w:tab w:pos="1541" w:val="left" w:leader="none"/>
              <w:tab w:pos="10293" w:val="right" w:leader="dot"/>
            </w:tabs>
            <w:spacing w:line="268" w:lineRule="exact" w:before="0" w:after="0"/>
            <w:ind w:left="1540" w:right="0" w:hanging="1120"/>
            <w:jc w:val="left"/>
          </w:pPr>
          <w:hyperlink w:history="true" w:anchor="_bookmark855">
            <w:r>
              <w:rPr/>
              <w:t>ST_FontScheme (Font scheme</w:t>
            </w:r>
            <w:r>
              <w:rPr>
                <w:spacing w:val="1"/>
              </w:rPr>
              <w:t> </w:t>
            </w:r>
            <w:r>
              <w:rPr/>
              <w:t>Styles)</w:t>
              <w:tab/>
              <w:t>2455</w:t>
            </w:r>
          </w:hyperlink>
        </w:p>
        <w:p>
          <w:pPr>
            <w:pStyle w:val="TOC3"/>
            <w:numPr>
              <w:ilvl w:val="2"/>
              <w:numId w:val="1"/>
            </w:numPr>
            <w:tabs>
              <w:tab w:pos="1540" w:val="left" w:leader="none"/>
              <w:tab w:pos="1541" w:val="left" w:leader="none"/>
              <w:tab w:pos="10293" w:val="right" w:leader="dot"/>
            </w:tabs>
            <w:spacing w:line="268" w:lineRule="exact" w:before="0" w:after="0"/>
            <w:ind w:left="1540" w:right="0" w:hanging="1120"/>
            <w:jc w:val="left"/>
          </w:pPr>
          <w:hyperlink w:history="true" w:anchor="_bookmark856">
            <w:r>
              <w:rPr/>
              <w:t>ST_FormatAction (PivotTable</w:t>
            </w:r>
            <w:r>
              <w:rPr>
                <w:spacing w:val="-4"/>
              </w:rPr>
              <w:t> </w:t>
            </w:r>
            <w:r>
              <w:rPr/>
              <w:t>Format</w:t>
            </w:r>
            <w:r>
              <w:rPr>
                <w:spacing w:val="-3"/>
              </w:rPr>
              <w:t> </w:t>
            </w:r>
            <w:r>
              <w:rPr/>
              <w:t>Types)</w:t>
              <w:tab/>
              <w:t>2455</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57">
            <w:r>
              <w:rPr/>
              <w:t>ST_Formula</w:t>
            </w:r>
            <w:r>
              <w:rPr>
                <w:spacing w:val="-1"/>
              </w:rPr>
              <w:t> </w:t>
            </w:r>
            <w:r>
              <w:rPr/>
              <w:t>(Formula)</w:t>
              <w:tab/>
              <w:t>2455</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58">
            <w:r>
              <w:rPr/>
              <w:t>ST_FormulaExpression (Formula</w:t>
            </w:r>
            <w:r>
              <w:rPr>
                <w:spacing w:val="-5"/>
              </w:rPr>
              <w:t> </w:t>
            </w:r>
            <w:r>
              <w:rPr/>
              <w:t>Expression</w:t>
            </w:r>
            <w:r>
              <w:rPr>
                <w:spacing w:val="-1"/>
              </w:rPr>
              <w:t> </w:t>
            </w:r>
            <w:r>
              <w:rPr/>
              <w:t>Type)</w:t>
              <w:tab/>
              <w:t>2456</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59">
            <w:r>
              <w:rPr/>
              <w:t>ST_GradientType</w:t>
            </w:r>
            <w:r>
              <w:rPr>
                <w:spacing w:val="-3"/>
              </w:rPr>
              <w:t> </w:t>
            </w:r>
            <w:r>
              <w:rPr/>
              <w:t>(Gradient</w:t>
            </w:r>
            <w:r>
              <w:rPr>
                <w:spacing w:val="-2"/>
              </w:rPr>
              <w:t> </w:t>
            </w:r>
            <w:r>
              <w:rPr/>
              <w:t>Type)</w:t>
              <w:tab/>
              <w:t>2456</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60">
            <w:r>
              <w:rPr/>
              <w:t>ST_GroupBy (Values</w:t>
            </w:r>
            <w:r>
              <w:rPr>
                <w:spacing w:val="-1"/>
              </w:rPr>
              <w:t> </w:t>
            </w:r>
            <w:r>
              <w:rPr/>
              <w:t>Group</w:t>
            </w:r>
            <w:r>
              <w:rPr>
                <w:spacing w:val="-1"/>
              </w:rPr>
              <w:t> </w:t>
            </w:r>
            <w:r>
              <w:rPr/>
              <w:t>By)</w:t>
              <w:tab/>
              <w:t>2456</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61">
            <w:r>
              <w:rPr/>
              <w:t>ST_GrowShrinkType (Grow</w:t>
            </w:r>
            <w:r>
              <w:rPr>
                <w:spacing w:val="-2"/>
              </w:rPr>
              <w:t> </w:t>
            </w:r>
            <w:r>
              <w:rPr/>
              <w:t>Shrink</w:t>
            </w:r>
            <w:r>
              <w:rPr>
                <w:spacing w:val="1"/>
              </w:rPr>
              <w:t> </w:t>
            </w:r>
            <w:r>
              <w:rPr/>
              <w:t>Type)</w:t>
              <w:tab/>
              <w:t>2457</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62">
            <w:r>
              <w:rPr/>
              <w:t>ST_HorizontalAlignment (Horizontal</w:t>
            </w:r>
            <w:r>
              <w:rPr>
                <w:spacing w:val="-4"/>
              </w:rPr>
              <w:t> </w:t>
            </w:r>
            <w:r>
              <w:rPr/>
              <w:t>Alignment</w:t>
            </w:r>
            <w:r>
              <w:rPr>
                <w:spacing w:val="-2"/>
              </w:rPr>
              <w:t> </w:t>
            </w:r>
            <w:r>
              <w:rPr/>
              <w:t>Type)</w:t>
              <w:tab/>
              <w:t>2457</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63">
            <w:r>
              <w:rPr/>
              <w:t>ST_HtmlFmt (HTML</w:t>
            </w:r>
            <w:r>
              <w:rPr>
                <w:spacing w:val="-3"/>
              </w:rPr>
              <w:t> </w:t>
            </w:r>
            <w:r>
              <w:rPr/>
              <w:t>Formatting</w:t>
            </w:r>
            <w:r>
              <w:rPr>
                <w:spacing w:val="-1"/>
              </w:rPr>
              <w:t> </w:t>
            </w:r>
            <w:r>
              <w:rPr/>
              <w:t>Handling)</w:t>
              <w:tab/>
              <w:t>2461</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64">
            <w:r>
              <w:rPr/>
              <w:t>ST_IconSetType (Icon</w:t>
            </w:r>
            <w:r>
              <w:rPr>
                <w:spacing w:val="-1"/>
              </w:rPr>
              <w:t> </w:t>
            </w:r>
            <w:r>
              <w:rPr/>
              <w:t>Set Type)</w:t>
              <w:tab/>
              <w:t>2462</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65">
            <w:r>
              <w:rPr/>
              <w:t>ST_ItemType (PivotItem</w:t>
            </w:r>
            <w:r>
              <w:rPr>
                <w:spacing w:val="-1"/>
              </w:rPr>
              <w:t> </w:t>
            </w:r>
            <w:r>
              <w:rPr/>
              <w:t>Type)</w:t>
              <w:tab/>
              <w:t>2464</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66">
            <w:r>
              <w:rPr/>
              <w:t>ST_MdxFunctionType (MDX</w:t>
            </w:r>
            <w:r>
              <w:rPr>
                <w:spacing w:val="1"/>
              </w:rPr>
              <w:t> </w:t>
            </w:r>
            <w:r>
              <w:rPr/>
              <w:t>Function</w:t>
            </w:r>
            <w:r>
              <w:rPr>
                <w:spacing w:val="-3"/>
              </w:rPr>
              <w:t> </w:t>
            </w:r>
            <w:r>
              <w:rPr/>
              <w:t>Type)</w:t>
              <w:tab/>
              <w:t>2465</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67">
            <w:r>
              <w:rPr/>
              <w:t>ST_MdxKPIProperty (MDX</w:t>
            </w:r>
            <w:r>
              <w:rPr>
                <w:spacing w:val="-3"/>
              </w:rPr>
              <w:t> </w:t>
            </w:r>
            <w:r>
              <w:rPr/>
              <w:t>KPI</w:t>
            </w:r>
            <w:r>
              <w:rPr>
                <w:spacing w:val="-3"/>
              </w:rPr>
              <w:t> </w:t>
            </w:r>
            <w:r>
              <w:rPr/>
              <w:t>Property)</w:t>
              <w:tab/>
              <w:t>2466</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68">
            <w:r>
              <w:rPr/>
              <w:t>ST_MdxSetOrder (MDX</w:t>
            </w:r>
            <w:r>
              <w:rPr>
                <w:spacing w:val="-2"/>
              </w:rPr>
              <w:t> </w:t>
            </w:r>
            <w:r>
              <w:rPr/>
              <w:t>Set</w:t>
            </w:r>
            <w:r>
              <w:rPr>
                <w:spacing w:val="-2"/>
              </w:rPr>
              <w:t> </w:t>
            </w:r>
            <w:r>
              <w:rPr/>
              <w:t>Order)</w:t>
              <w:tab/>
              <w:t>2466</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69">
            <w:r>
              <w:rPr/>
              <w:t>ST_NumFmtId (Number</w:t>
            </w:r>
            <w:r>
              <w:rPr>
                <w:spacing w:val="-2"/>
              </w:rPr>
              <w:t> </w:t>
            </w:r>
            <w:r>
              <w:rPr/>
              <w:t>Format Id)</w:t>
              <w:tab/>
              <w:t>2467</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70">
            <w:r>
              <w:rPr/>
              <w:t>ST_Objects (Object</w:t>
            </w:r>
            <w:r>
              <w:rPr>
                <w:spacing w:val="-2"/>
              </w:rPr>
              <w:t> </w:t>
            </w:r>
            <w:r>
              <w:rPr/>
              <w:t>Display</w:t>
            </w:r>
            <w:r>
              <w:rPr>
                <w:spacing w:val="-2"/>
              </w:rPr>
              <w:t> </w:t>
            </w:r>
            <w:r>
              <w:rPr/>
              <w:t>Types)</w:t>
              <w:tab/>
              <w:t>2467</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71">
            <w:r>
              <w:rPr/>
              <w:t>ST_OleUpdate (OLE</w:t>
            </w:r>
            <w:r>
              <w:rPr>
                <w:spacing w:val="-3"/>
              </w:rPr>
              <w:t> </w:t>
            </w:r>
            <w:r>
              <w:rPr/>
              <w:t>Update</w:t>
            </w:r>
            <w:r>
              <w:rPr>
                <w:spacing w:val="1"/>
              </w:rPr>
              <w:t> </w:t>
            </w:r>
            <w:r>
              <w:rPr/>
              <w:t>Types)</w:t>
              <w:tab/>
              <w:t>2467</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72">
            <w:r>
              <w:rPr/>
              <w:t>ST_Orientation</w:t>
            </w:r>
            <w:r>
              <w:rPr>
                <w:spacing w:val="-4"/>
              </w:rPr>
              <w:t> </w:t>
            </w:r>
            <w:r>
              <w:rPr/>
              <w:t>(Orientation)</w:t>
              <w:tab/>
              <w:t>2468</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73">
            <w:r>
              <w:rPr/>
              <w:t>ST_PageOrder</w:t>
            </w:r>
            <w:r>
              <w:rPr>
                <w:spacing w:val="-3"/>
              </w:rPr>
              <w:t> </w:t>
            </w:r>
            <w:r>
              <w:rPr/>
              <w:t>(Page</w:t>
            </w:r>
            <w:r>
              <w:rPr>
                <w:spacing w:val="1"/>
              </w:rPr>
              <w:t> </w:t>
            </w:r>
            <w:r>
              <w:rPr/>
              <w:t>Order)</w:t>
              <w:tab/>
              <w:t>2468</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74">
            <w:r>
              <w:rPr/>
              <w:t>ST_Pane</w:t>
            </w:r>
            <w:r>
              <w:rPr>
                <w:spacing w:val="-3"/>
              </w:rPr>
              <w:t> </w:t>
            </w:r>
            <w:r>
              <w:rPr/>
              <w:t>(Pane</w:t>
            </w:r>
            <w:r>
              <w:rPr>
                <w:spacing w:val="-2"/>
              </w:rPr>
              <w:t> </w:t>
            </w:r>
            <w:r>
              <w:rPr/>
              <w:t>Types)</w:t>
              <w:tab/>
              <w:t>2468</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75">
            <w:r>
              <w:rPr/>
              <w:t>ST_PaneState</w:t>
            </w:r>
            <w:r>
              <w:rPr>
                <w:spacing w:val="-3"/>
              </w:rPr>
              <w:t> </w:t>
            </w:r>
            <w:r>
              <w:rPr/>
              <w:t>(Pane</w:t>
            </w:r>
            <w:r>
              <w:rPr>
                <w:spacing w:val="1"/>
              </w:rPr>
              <w:t> </w:t>
            </w:r>
            <w:r>
              <w:rPr/>
              <w:t>State)</w:t>
              <w:tab/>
              <w:t>2469</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76">
            <w:r>
              <w:rPr/>
              <w:t>ST_ParameterType</w:t>
            </w:r>
            <w:r>
              <w:rPr>
                <w:spacing w:val="-3"/>
              </w:rPr>
              <w:t> </w:t>
            </w:r>
            <w:r>
              <w:rPr/>
              <w:t>(Parameter</w:t>
            </w:r>
            <w:r>
              <w:rPr>
                <w:spacing w:val="-2"/>
              </w:rPr>
              <w:t> </w:t>
            </w:r>
            <w:r>
              <w:rPr/>
              <w:t>Type)</w:t>
              <w:tab/>
              <w:t>2470</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77">
            <w:r>
              <w:rPr/>
              <w:t>ST_PatternType</w:t>
            </w:r>
            <w:r>
              <w:rPr>
                <w:spacing w:val="-3"/>
              </w:rPr>
              <w:t> </w:t>
            </w:r>
            <w:r>
              <w:rPr/>
              <w:t>(Pattern</w:t>
            </w:r>
            <w:r>
              <w:rPr>
                <w:spacing w:val="-3"/>
              </w:rPr>
              <w:t> </w:t>
            </w:r>
            <w:r>
              <w:rPr/>
              <w:t>Type)</w:t>
              <w:tab/>
              <w:t>2470</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78">
            <w:r>
              <w:rPr/>
              <w:t>ST_PhoneticAlignment (Phonetic</w:t>
            </w:r>
            <w:r>
              <w:rPr>
                <w:spacing w:val="-6"/>
              </w:rPr>
              <w:t> </w:t>
            </w:r>
            <w:r>
              <w:rPr/>
              <w:t>Alignment</w:t>
            </w:r>
            <w:r>
              <w:rPr>
                <w:spacing w:val="-2"/>
              </w:rPr>
              <w:t> </w:t>
            </w:r>
            <w:r>
              <w:rPr/>
              <w:t>Types)</w:t>
              <w:tab/>
              <w:t>2475</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79">
            <w:r>
              <w:rPr/>
              <w:t>ST_PhoneticType</w:t>
            </w:r>
            <w:r>
              <w:rPr>
                <w:spacing w:val="-3"/>
              </w:rPr>
              <w:t> </w:t>
            </w:r>
            <w:r>
              <w:rPr/>
              <w:t>(Phonetic</w:t>
            </w:r>
            <w:r>
              <w:rPr>
                <w:spacing w:val="-3"/>
              </w:rPr>
              <w:t> </w:t>
            </w:r>
            <w:r>
              <w:rPr/>
              <w:t>Type)</w:t>
              <w:tab/>
              <w:t>2476</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80">
            <w:r>
              <w:rPr/>
              <w:t>ST_PivotAreaType</w:t>
            </w:r>
            <w:r>
              <w:rPr>
                <w:spacing w:val="-3"/>
              </w:rPr>
              <w:t> </w:t>
            </w:r>
            <w:r>
              <w:rPr/>
              <w:t>(Rule</w:t>
            </w:r>
            <w:r>
              <w:rPr>
                <w:spacing w:val="-2"/>
              </w:rPr>
              <w:t> </w:t>
            </w:r>
            <w:r>
              <w:rPr/>
              <w:t>Type)</w:t>
              <w:tab/>
              <w:t>2476</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81">
            <w:r>
              <w:rPr/>
              <w:t>ST_PivotFilterType (Pivot</w:t>
            </w:r>
            <w:r>
              <w:rPr>
                <w:spacing w:val="-3"/>
              </w:rPr>
              <w:t> </w:t>
            </w:r>
            <w:r>
              <w:rPr/>
              <w:t>Filter Types)</w:t>
              <w:tab/>
              <w:t>2477</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82">
            <w:r>
              <w:rPr/>
              <w:t>ST_PrintError</w:t>
            </w:r>
            <w:r>
              <w:rPr>
                <w:spacing w:val="-4"/>
              </w:rPr>
              <w:t> </w:t>
            </w:r>
            <w:r>
              <w:rPr/>
              <w:t>(Print Errors)</w:t>
              <w:tab/>
              <w:t>2479</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83">
            <w:r>
              <w:rPr/>
              <w:t>ST_Qualifier</w:t>
            </w:r>
            <w:r>
              <w:rPr>
                <w:spacing w:val="-3"/>
              </w:rPr>
              <w:t> </w:t>
            </w:r>
            <w:r>
              <w:rPr/>
              <w:t>(Qualifier)</w:t>
              <w:tab/>
              <w:t>2480</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84">
            <w:r>
              <w:rPr/>
              <w:t>ST_Ref</w:t>
            </w:r>
            <w:r>
              <w:rPr>
                <w:spacing w:val="-3"/>
              </w:rPr>
              <w:t> </w:t>
            </w:r>
            <w:r>
              <w:rPr/>
              <w:t>(Cell</w:t>
            </w:r>
            <w:r>
              <w:rPr>
                <w:spacing w:val="-2"/>
              </w:rPr>
              <w:t> </w:t>
            </w:r>
            <w:r>
              <w:rPr/>
              <w:t>References)</w:t>
              <w:tab/>
              <w:t>2480</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85">
            <w:r>
              <w:rPr/>
              <w:t>ST_RefA (Single</w:t>
            </w:r>
            <w:r>
              <w:rPr>
                <w:spacing w:val="-4"/>
              </w:rPr>
              <w:t> </w:t>
            </w:r>
            <w:r>
              <w:rPr/>
              <w:t>Cell</w:t>
            </w:r>
            <w:r>
              <w:rPr>
                <w:spacing w:val="-3"/>
              </w:rPr>
              <w:t> </w:t>
            </w:r>
            <w:r>
              <w:rPr/>
              <w:t>Reference)</w:t>
              <w:tab/>
              <w:t>2480</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86">
            <w:r>
              <w:rPr/>
              <w:t>ST_RefMode (Reference</w:t>
            </w:r>
            <w:r>
              <w:rPr>
                <w:spacing w:val="-2"/>
              </w:rPr>
              <w:t> </w:t>
            </w:r>
            <w:r>
              <w:rPr/>
              <w:t>Mode)</w:t>
              <w:tab/>
              <w:t>2481</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87">
            <w:r>
              <w:rPr/>
              <w:t>ST_RevisionAction (Revision</w:t>
            </w:r>
            <w:r>
              <w:rPr>
                <w:spacing w:val="-6"/>
              </w:rPr>
              <w:t> </w:t>
            </w:r>
            <w:r>
              <w:rPr/>
              <w:t>Action</w:t>
            </w:r>
            <w:r>
              <w:rPr>
                <w:spacing w:val="-3"/>
              </w:rPr>
              <w:t> </w:t>
            </w:r>
            <w:r>
              <w:rPr/>
              <w:t>Types)</w:t>
              <w:tab/>
              <w:t>2481</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88">
            <w:r>
              <w:rPr/>
              <w:t>ST_rwColActionType (Row Column</w:t>
            </w:r>
            <w:r>
              <w:rPr>
                <w:spacing w:val="-3"/>
              </w:rPr>
              <w:t> </w:t>
            </w:r>
            <w:r>
              <w:rPr/>
              <w:t>Action</w:t>
            </w:r>
            <w:r>
              <w:rPr>
                <w:spacing w:val="-1"/>
              </w:rPr>
              <w:t> </w:t>
            </w:r>
            <w:r>
              <w:rPr/>
              <w:t>Type)</w:t>
              <w:tab/>
              <w:t>2482</w:t>
            </w:r>
          </w:hyperlink>
        </w:p>
        <w:p>
          <w:pPr>
            <w:pStyle w:val="TOC3"/>
            <w:numPr>
              <w:ilvl w:val="2"/>
              <w:numId w:val="1"/>
            </w:numPr>
            <w:tabs>
              <w:tab w:pos="1540" w:val="left" w:leader="none"/>
              <w:tab w:pos="1541" w:val="left" w:leader="none"/>
              <w:tab w:pos="10293" w:val="right" w:leader="dot"/>
            </w:tabs>
            <w:spacing w:line="240" w:lineRule="auto" w:before="0" w:after="20"/>
            <w:ind w:left="1540" w:right="0" w:hanging="1120"/>
            <w:jc w:val="left"/>
          </w:pPr>
          <w:hyperlink w:history="true" w:anchor="_bookmark889">
            <w:r>
              <w:rPr/>
              <w:t>ST_Scope (Conditional Formatting</w:t>
            </w:r>
            <w:r>
              <w:rPr>
                <w:spacing w:val="-1"/>
              </w:rPr>
              <w:t> </w:t>
            </w:r>
            <w:r>
              <w:rPr/>
              <w:t>Scope)</w:t>
              <w:tab/>
              <w:t>2482</w:t>
            </w:r>
          </w:hyperlink>
        </w:p>
        <w:p>
          <w:pPr>
            <w:pStyle w:val="TOC3"/>
            <w:numPr>
              <w:ilvl w:val="2"/>
              <w:numId w:val="1"/>
            </w:numPr>
            <w:tabs>
              <w:tab w:pos="1540" w:val="left" w:leader="none"/>
              <w:tab w:pos="1541" w:val="left" w:leader="none"/>
              <w:tab w:pos="10293" w:val="right" w:leader="dot"/>
            </w:tabs>
            <w:spacing w:line="240" w:lineRule="auto" w:before="90" w:after="0"/>
            <w:ind w:left="1540" w:right="0" w:hanging="1120"/>
            <w:jc w:val="left"/>
          </w:pPr>
          <w:hyperlink w:history="true" w:anchor="_bookmark890">
            <w:r>
              <w:rPr/>
              <w:t>ST_SheetState (Sheet</w:t>
            </w:r>
            <w:r>
              <w:rPr>
                <w:spacing w:val="-3"/>
              </w:rPr>
              <w:t> </w:t>
            </w:r>
            <w:r>
              <w:rPr/>
              <w:t>Visibility</w:t>
            </w:r>
            <w:r>
              <w:rPr>
                <w:spacing w:val="1"/>
              </w:rPr>
              <w:t> </w:t>
            </w:r>
            <w:r>
              <w:rPr/>
              <w:t>Types)</w:t>
              <w:tab/>
              <w:t>2482</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91">
            <w:r>
              <w:rPr/>
              <w:t>ST_SheetViewType (Sheet</w:t>
            </w:r>
            <w:r>
              <w:rPr>
                <w:spacing w:val="-7"/>
              </w:rPr>
              <w:t> </w:t>
            </w:r>
            <w:r>
              <w:rPr/>
              <w:t>View Type)</w:t>
              <w:tab/>
              <w:t>2483</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92">
            <w:r>
              <w:rPr/>
              <w:t>ST_ShowDataAs (Show</w:t>
            </w:r>
            <w:r>
              <w:rPr>
                <w:spacing w:val="-3"/>
              </w:rPr>
              <w:t> </w:t>
            </w:r>
            <w:r>
              <w:rPr/>
              <w:t>Data As)</w:t>
              <w:tab/>
              <w:t>2483</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93">
            <w:r>
              <w:rPr/>
              <w:t>ST_SmartTagShow (Smart Tag</w:t>
            </w:r>
            <w:r>
              <w:rPr>
                <w:spacing w:val="-5"/>
              </w:rPr>
              <w:t> </w:t>
            </w:r>
            <w:r>
              <w:rPr/>
              <w:t>Display Types)</w:t>
              <w:tab/>
              <w:t>2484</w:t>
            </w:r>
          </w:hyperlink>
        </w:p>
        <w:p>
          <w:pPr>
            <w:pStyle w:val="TOC3"/>
            <w:numPr>
              <w:ilvl w:val="2"/>
              <w:numId w:val="1"/>
            </w:numPr>
            <w:tabs>
              <w:tab w:pos="1540" w:val="left" w:leader="none"/>
              <w:tab w:pos="1541" w:val="left" w:leader="none"/>
              <w:tab w:pos="10293" w:val="right" w:leader="dot"/>
            </w:tabs>
            <w:spacing w:line="267" w:lineRule="exact" w:before="1" w:after="0"/>
            <w:ind w:left="1540" w:right="0" w:hanging="1120"/>
            <w:jc w:val="left"/>
          </w:pPr>
          <w:hyperlink w:history="true" w:anchor="_bookmark894">
            <w:r>
              <w:rPr/>
              <w:t>ST_SortBy</w:t>
            </w:r>
            <w:r>
              <w:rPr>
                <w:spacing w:val="-3"/>
              </w:rPr>
              <w:t> </w:t>
            </w:r>
            <w:r>
              <w:rPr/>
              <w:t>(Sort</w:t>
            </w:r>
            <w:r>
              <w:rPr>
                <w:spacing w:val="-2"/>
              </w:rPr>
              <w:t> </w:t>
            </w:r>
            <w:r>
              <w:rPr/>
              <w:t>By)</w:t>
              <w:tab/>
              <w:t>2485</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895">
            <w:r>
              <w:rPr/>
              <w:t>ST_SortMethod</w:t>
            </w:r>
            <w:r>
              <w:rPr>
                <w:spacing w:val="-4"/>
              </w:rPr>
              <w:t> </w:t>
            </w:r>
            <w:r>
              <w:rPr/>
              <w:t>(Sort</w:t>
            </w:r>
            <w:r>
              <w:rPr>
                <w:spacing w:val="-2"/>
              </w:rPr>
              <w:t> </w:t>
            </w:r>
            <w:r>
              <w:rPr/>
              <w:t>Method)</w:t>
              <w:tab/>
              <w:t>2485</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96">
            <w:r>
              <w:rPr/>
              <w:t>ST_SortType (Set</w:t>
            </w:r>
            <w:r>
              <w:rPr>
                <w:spacing w:val="-3"/>
              </w:rPr>
              <w:t> </w:t>
            </w:r>
            <w:r>
              <w:rPr/>
              <w:t>Sort Order)</w:t>
              <w:tab/>
              <w:t>2485</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97">
            <w:r>
              <w:rPr/>
              <w:t>ST_SourceType (PivotCache</w:t>
            </w:r>
            <w:r>
              <w:rPr>
                <w:spacing w:val="1"/>
              </w:rPr>
              <w:t> </w:t>
            </w:r>
            <w:r>
              <w:rPr/>
              <w:t>Type)</w:t>
              <w:tab/>
              <w:t>2486</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898">
            <w:r>
              <w:rPr/>
              <w:t>ST_Sqref</w:t>
            </w:r>
            <w:r>
              <w:rPr>
                <w:spacing w:val="-1"/>
              </w:rPr>
              <w:t> </w:t>
            </w:r>
            <w:r>
              <w:rPr/>
              <w:t>(Reference</w:t>
            </w:r>
            <w:r>
              <w:rPr>
                <w:spacing w:val="1"/>
              </w:rPr>
              <w:t> </w:t>
            </w:r>
            <w:r>
              <w:rPr/>
              <w:t>Sequence)</w:t>
              <w:tab/>
              <w:t>2487</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899">
            <w:r>
              <w:rPr/>
              <w:t>ST_TableStyleType (Table</w:t>
            </w:r>
            <w:r>
              <w:rPr>
                <w:spacing w:val="-5"/>
              </w:rPr>
              <w:t> </w:t>
            </w:r>
            <w:r>
              <w:rPr/>
              <w:t>Style</w:t>
            </w:r>
            <w:r>
              <w:rPr>
                <w:spacing w:val="-2"/>
              </w:rPr>
              <w:t> </w:t>
            </w:r>
            <w:r>
              <w:rPr/>
              <w:t>Type)</w:t>
              <w:tab/>
              <w:t>2487</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00">
            <w:r>
              <w:rPr/>
              <w:t>ST_TableType</w:t>
            </w:r>
            <w:r>
              <w:rPr>
                <w:spacing w:val="-3"/>
              </w:rPr>
              <w:t> </w:t>
            </w:r>
            <w:r>
              <w:rPr/>
              <w:t>(Table</w:t>
            </w:r>
            <w:r>
              <w:rPr>
                <w:spacing w:val="-3"/>
              </w:rPr>
              <w:t> </w:t>
            </w:r>
            <w:r>
              <w:rPr/>
              <w:t>Type)</w:t>
              <w:tab/>
              <w:t>2505</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01">
            <w:r>
              <w:rPr/>
              <w:t>ST_TargetScreenSize (Target Screen</w:t>
            </w:r>
            <w:r>
              <w:rPr>
                <w:spacing w:val="-3"/>
              </w:rPr>
              <w:t> </w:t>
            </w:r>
            <w:r>
              <w:rPr/>
              <w:t>Size</w:t>
            </w:r>
            <w:r>
              <w:rPr>
                <w:spacing w:val="-2"/>
              </w:rPr>
              <w:t> </w:t>
            </w:r>
            <w:r>
              <w:rPr/>
              <w:t>Types)</w:t>
              <w:tab/>
              <w:t>2505</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02">
            <w:r>
              <w:rPr/>
              <w:t>ST_TextHAlign (Comment Text</w:t>
            </w:r>
            <w:r>
              <w:rPr>
                <w:spacing w:val="-2"/>
              </w:rPr>
              <w:t> </w:t>
            </w:r>
            <w:r>
              <w:rPr/>
              <w:t>Horizontal</w:t>
            </w:r>
            <w:r>
              <w:rPr>
                <w:spacing w:val="-3"/>
              </w:rPr>
              <w:t> </w:t>
            </w:r>
            <w:r>
              <w:rPr/>
              <w:t>Alignment)</w:t>
              <w:tab/>
              <w:t>2506</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903">
            <w:r>
              <w:rPr/>
              <w:t>ST_TextVAlign (Comment Text</w:t>
            </w:r>
            <w:r>
              <w:rPr>
                <w:spacing w:val="-2"/>
              </w:rPr>
              <w:t> </w:t>
            </w:r>
            <w:r>
              <w:rPr/>
              <w:t>Vertical Alignment)</w:t>
              <w:tab/>
              <w:t>2506</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904">
            <w:r>
              <w:rPr/>
              <w:t>ST_TimePeriod (Time</w:t>
            </w:r>
            <w:r>
              <w:rPr>
                <w:spacing w:val="-4"/>
              </w:rPr>
              <w:t> </w:t>
            </w:r>
            <w:r>
              <w:rPr/>
              <w:t>Period</w:t>
            </w:r>
            <w:r>
              <w:rPr>
                <w:spacing w:val="-1"/>
              </w:rPr>
              <w:t> </w:t>
            </w:r>
            <w:r>
              <w:rPr/>
              <w:t>Types)</w:t>
              <w:tab/>
              <w:t>2507</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905">
            <w:r>
              <w:rPr/>
              <w:t>ST_TotalsRowFunction (Totals Row</w:t>
            </w:r>
            <w:r>
              <w:rPr>
                <w:spacing w:val="-1"/>
              </w:rPr>
              <w:t> </w:t>
            </w:r>
            <w:r>
              <w:rPr/>
              <w:t>Function</w:t>
            </w:r>
            <w:r>
              <w:rPr>
                <w:spacing w:val="-1"/>
              </w:rPr>
              <w:t> </w:t>
            </w:r>
            <w:r>
              <w:rPr/>
              <w:t>Types)</w:t>
              <w:tab/>
              <w:t>2507</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906">
            <w:r>
              <w:rPr/>
              <w:t>ST_Type (Top N</w:t>
            </w:r>
            <w:r>
              <w:rPr>
                <w:spacing w:val="-4"/>
              </w:rPr>
              <w:t> </w:t>
            </w:r>
            <w:r>
              <w:rPr/>
              <w:t>Evaluation</w:t>
            </w:r>
            <w:r>
              <w:rPr>
                <w:spacing w:val="-3"/>
              </w:rPr>
              <w:t> </w:t>
            </w:r>
            <w:r>
              <w:rPr/>
              <w:t>Type)</w:t>
              <w:tab/>
              <w:t>2508</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07">
            <w:r>
              <w:rPr/>
              <w:t>ST_UnderlineValues</w:t>
            </w:r>
            <w:r>
              <w:rPr>
                <w:spacing w:val="-3"/>
              </w:rPr>
              <w:t> </w:t>
            </w:r>
            <w:r>
              <w:rPr/>
              <w:t>(Underline</w:t>
            </w:r>
            <w:r>
              <w:rPr>
                <w:spacing w:val="1"/>
              </w:rPr>
              <w:t> </w:t>
            </w:r>
            <w:r>
              <w:rPr/>
              <w:t>Types)</w:t>
              <w:tab/>
              <w:t>2508</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08">
            <w:r>
              <w:rPr/>
              <w:t>ST_UnsignedIntHex (Hex</w:t>
            </w:r>
            <w:r>
              <w:rPr>
                <w:spacing w:val="-5"/>
              </w:rPr>
              <w:t> </w:t>
            </w:r>
            <w:r>
              <w:rPr/>
              <w:t>Unsigned Integer)</w:t>
              <w:tab/>
              <w:t>2509</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09">
            <w:r>
              <w:rPr/>
              <w:t>ST_UpdateLinks (Update Links</w:t>
            </w:r>
            <w:r>
              <w:rPr>
                <w:spacing w:val="-1"/>
              </w:rPr>
              <w:t> </w:t>
            </w:r>
            <w:r>
              <w:rPr/>
              <w:t>Behavior</w:t>
            </w:r>
            <w:r>
              <w:rPr>
                <w:spacing w:val="-3"/>
              </w:rPr>
              <w:t> </w:t>
            </w:r>
            <w:r>
              <w:rPr/>
              <w:t>Types)</w:t>
              <w:tab/>
              <w:t>2509</w:t>
            </w:r>
          </w:hyperlink>
        </w:p>
        <w:p>
          <w:pPr>
            <w:pStyle w:val="TOC3"/>
            <w:numPr>
              <w:ilvl w:val="2"/>
              <w:numId w:val="1"/>
            </w:numPr>
            <w:tabs>
              <w:tab w:pos="1540" w:val="left" w:leader="none"/>
              <w:tab w:pos="1541" w:val="left" w:leader="none"/>
              <w:tab w:pos="10293" w:val="right" w:leader="dot"/>
            </w:tabs>
            <w:spacing w:line="240" w:lineRule="auto" w:before="1" w:after="0"/>
            <w:ind w:left="1540" w:right="0" w:hanging="1120"/>
            <w:jc w:val="left"/>
          </w:pPr>
          <w:hyperlink w:history="true" w:anchor="_bookmark910">
            <w:r>
              <w:rPr/>
              <w:t>ST_VerticalAlignment (Vertical</w:t>
            </w:r>
            <w:r>
              <w:rPr>
                <w:spacing w:val="-4"/>
              </w:rPr>
              <w:t> </w:t>
            </w:r>
            <w:r>
              <w:rPr/>
              <w:t>Alignment</w:t>
            </w:r>
            <w:r>
              <w:rPr>
                <w:spacing w:val="-2"/>
              </w:rPr>
              <w:t> </w:t>
            </w:r>
            <w:r>
              <w:rPr/>
              <w:t>Types)</w:t>
              <w:tab/>
              <w:t>2510</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11">
            <w:r>
              <w:rPr/>
              <w:t>ST_Visibility</w:t>
            </w:r>
            <w:r>
              <w:rPr>
                <w:spacing w:val="-3"/>
              </w:rPr>
              <w:t> </w:t>
            </w:r>
            <w:r>
              <w:rPr/>
              <w:t>(Visibility</w:t>
            </w:r>
            <w:r>
              <w:rPr>
                <w:spacing w:val="-2"/>
              </w:rPr>
              <w:t> </w:t>
            </w:r>
            <w:r>
              <w:rPr/>
              <w:t>Types)</w:t>
              <w:tab/>
              <w:t>2513</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12">
            <w:r>
              <w:rPr/>
              <w:t>ST_VolDepType (Volatile</w:t>
            </w:r>
            <w:r>
              <w:rPr>
                <w:spacing w:val="-5"/>
              </w:rPr>
              <w:t> </w:t>
            </w:r>
            <w:r>
              <w:rPr/>
              <w:t>Dependency</w:t>
            </w:r>
            <w:r>
              <w:rPr>
                <w:spacing w:val="-2"/>
              </w:rPr>
              <w:t> </w:t>
            </w:r>
            <w:r>
              <w:rPr/>
              <w:t>Types)</w:t>
              <w:tab/>
              <w:t>2513</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13">
            <w:r>
              <w:rPr/>
              <w:t>ST_VolValueType (Volatile Dependency</w:t>
            </w:r>
            <w:r>
              <w:rPr>
                <w:spacing w:val="-7"/>
              </w:rPr>
              <w:t> </w:t>
            </w:r>
            <w:r>
              <w:rPr/>
              <w:t>Value</w:t>
            </w:r>
            <w:r>
              <w:rPr>
                <w:spacing w:val="-2"/>
              </w:rPr>
              <w:t> </w:t>
            </w:r>
            <w:r>
              <w:rPr/>
              <w:t>Types)</w:t>
              <w:tab/>
              <w:t>2514</w:t>
            </w:r>
          </w:hyperlink>
        </w:p>
        <w:p>
          <w:pPr>
            <w:pStyle w:val="TOC3"/>
            <w:numPr>
              <w:ilvl w:val="2"/>
              <w:numId w:val="1"/>
            </w:numPr>
            <w:tabs>
              <w:tab w:pos="1540" w:val="left" w:leader="none"/>
              <w:tab w:pos="1541" w:val="left" w:leader="none"/>
              <w:tab w:pos="10293" w:val="right" w:leader="dot"/>
            </w:tabs>
            <w:spacing w:line="267" w:lineRule="exact" w:before="1" w:after="0"/>
            <w:ind w:left="1540" w:right="0" w:hanging="1120"/>
            <w:jc w:val="left"/>
          </w:pPr>
          <w:hyperlink w:history="true" w:anchor="_bookmark914">
            <w:r>
              <w:rPr/>
              <w:t>ST_WebSourceType (Web</w:t>
            </w:r>
            <w:r>
              <w:rPr>
                <w:spacing w:val="-5"/>
              </w:rPr>
              <w:t> </w:t>
            </w:r>
            <w:r>
              <w:rPr/>
              <w:t>Source</w:t>
            </w:r>
            <w:r>
              <w:rPr>
                <w:spacing w:val="-2"/>
              </w:rPr>
              <w:t> </w:t>
            </w:r>
            <w:r>
              <w:rPr/>
              <w:t>Type)</w:t>
              <w:tab/>
              <w:t>2514</w:t>
            </w:r>
          </w:hyperlink>
        </w:p>
        <w:p>
          <w:pPr>
            <w:pStyle w:val="TOC3"/>
            <w:numPr>
              <w:ilvl w:val="2"/>
              <w:numId w:val="1"/>
            </w:numPr>
            <w:tabs>
              <w:tab w:pos="1540" w:val="left" w:leader="none"/>
              <w:tab w:pos="1541" w:val="left" w:leader="none"/>
              <w:tab w:pos="10293" w:val="right" w:leader="dot"/>
            </w:tabs>
            <w:spacing w:line="267" w:lineRule="exact" w:before="0" w:after="0"/>
            <w:ind w:left="1540" w:right="0" w:hanging="1120"/>
            <w:jc w:val="left"/>
          </w:pPr>
          <w:hyperlink w:history="true" w:anchor="_bookmark915">
            <w:r>
              <w:rPr/>
              <w:t>ST_XmlDataType (XML</w:t>
            </w:r>
            <w:r>
              <w:rPr>
                <w:spacing w:val="-2"/>
              </w:rPr>
              <w:t> </w:t>
            </w:r>
            <w:r>
              <w:rPr/>
              <w:t>Data Types)</w:t>
              <w:tab/>
              <w:t>2515</w:t>
            </w:r>
          </w:hyperlink>
        </w:p>
        <w:p>
          <w:pPr>
            <w:pStyle w:val="TOC3"/>
            <w:numPr>
              <w:ilvl w:val="2"/>
              <w:numId w:val="1"/>
            </w:numPr>
            <w:tabs>
              <w:tab w:pos="1540" w:val="left" w:leader="none"/>
              <w:tab w:pos="1541" w:val="left" w:leader="none"/>
              <w:tab w:pos="10293" w:val="right" w:leader="dot"/>
            </w:tabs>
            <w:spacing w:line="240" w:lineRule="auto" w:before="0" w:after="0"/>
            <w:ind w:left="1540" w:right="0" w:hanging="1120"/>
            <w:jc w:val="left"/>
          </w:pPr>
          <w:hyperlink w:history="true" w:anchor="_bookmark916">
            <w:r>
              <w:rPr/>
              <w:t>ST_FontFamily</w:t>
            </w:r>
            <w:r>
              <w:rPr>
                <w:spacing w:val="-3"/>
              </w:rPr>
              <w:t> </w:t>
            </w:r>
            <w:r>
              <w:rPr/>
              <w:t>(Font Family)</w:t>
              <w:tab/>
              <w:t>2515</w:t>
            </w:r>
          </w:hyperlink>
        </w:p>
      </w:sdtContent>
    </w:sdt>
    <w:p>
      <w:pPr>
        <w:spacing w:after="0" w:line="240" w:lineRule="auto"/>
        <w:jc w:val="left"/>
        <w:sectPr>
          <w:pgSz w:w="12240" w:h="15840"/>
          <w:pgMar w:header="763" w:footer="746" w:top="1346" w:bottom="1433" w:left="860" w:right="700"/>
        </w:sectPr>
      </w:pPr>
    </w:p>
    <w:p>
      <w:pPr>
        <w:pStyle w:val="BodyText"/>
      </w:pPr>
    </w:p>
    <w:p>
      <w:pPr>
        <w:pStyle w:val="BodyText"/>
        <w:spacing w:before="11"/>
        <w:rPr>
          <w:sz w:val="19"/>
        </w:rPr>
      </w:pPr>
    </w:p>
    <w:p>
      <w:pPr>
        <w:spacing w:before="0"/>
        <w:ind w:left="220" w:right="0" w:firstLine="0"/>
        <w:jc w:val="left"/>
        <w:rPr>
          <w:b/>
          <w:sz w:val="22"/>
        </w:rPr>
      </w:pPr>
      <w:r>
        <w:rPr>
          <w:b/>
          <w:sz w:val="22"/>
        </w:rPr>
        <w:t>End of informative text.</w:t>
      </w:r>
    </w:p>
    <w:p>
      <w:pPr>
        <w:pStyle w:val="BodyText"/>
        <w:spacing w:before="7"/>
        <w:rPr>
          <w:b/>
          <w:sz w:val="19"/>
        </w:rPr>
      </w:pPr>
    </w:p>
    <w:p>
      <w:pPr>
        <w:pStyle w:val="ListParagraph"/>
        <w:numPr>
          <w:ilvl w:val="1"/>
          <w:numId w:val="17"/>
        </w:numPr>
        <w:tabs>
          <w:tab w:pos="1156" w:val="left" w:leader="none"/>
          <w:tab w:pos="1157" w:val="left" w:leader="none"/>
        </w:tabs>
        <w:spacing w:line="240" w:lineRule="auto" w:before="0" w:after="0"/>
        <w:ind w:left="1156" w:right="0" w:hanging="937"/>
        <w:jc w:val="left"/>
        <w:rPr>
          <w:rFonts w:ascii="Cambria"/>
          <w:b/>
          <w:sz w:val="28"/>
        </w:rPr>
      </w:pPr>
      <w:bookmarkStart w:name="18.2 Workbook" w:id="5"/>
      <w:bookmarkEnd w:id="5"/>
      <w:r>
        <w:rPr/>
      </w:r>
      <w:bookmarkStart w:name="_bookmark0" w:id="6"/>
      <w:bookmarkEnd w:id="6"/>
      <w:r>
        <w:rPr/>
      </w:r>
      <w:bookmarkStart w:name="_bookmark0" w:id="7"/>
      <w:bookmarkEnd w:id="7"/>
      <w:r>
        <w:rPr>
          <w:rFonts w:ascii="Cambria"/>
          <w:b/>
          <w:color w:val="4F81BC"/>
          <w:sz w:val="28"/>
        </w:rPr>
        <w:t>W</w:t>
      </w:r>
      <w:r>
        <w:rPr>
          <w:rFonts w:ascii="Cambria"/>
          <w:b/>
          <w:color w:val="4F81BC"/>
          <w:sz w:val="28"/>
        </w:rPr>
        <w:t>orkbook</w:t>
      </w:r>
    </w:p>
    <w:p>
      <w:pPr>
        <w:pStyle w:val="BodyText"/>
        <w:rPr>
          <w:rFonts w:ascii="Cambria"/>
          <w:b/>
          <w:sz w:val="32"/>
        </w:rPr>
      </w:pPr>
    </w:p>
    <w:p>
      <w:pPr>
        <w:pStyle w:val="BodyText"/>
        <w:spacing w:line="276" w:lineRule="auto" w:before="263"/>
        <w:ind w:left="220" w:right="412"/>
      </w:pPr>
      <w:r>
        <w:rPr/>
        <w:t>A workbook is composed of workbook-level properties and a collection of 1 or more sheets. The sheets are the central structure within a workbook, and can contain cells, which, in turn, can contain the text, numbers, dates, formulas, and other constructs of a workbook. The workbook part and corresponding properties comprise data used to set application and workbook-level operational state. The workbook also serves to bind all the sheets and child elements into an organized single file. The workbook XML attributes and elements include information about what application last saved the file, where and how the windows of the workbook were positioned, and an enumeration of the worksheets in the workbook.</w:t>
      </w:r>
    </w:p>
    <w:p>
      <w:pPr>
        <w:pStyle w:val="BodyText"/>
        <w:spacing w:before="5"/>
        <w:rPr>
          <w:sz w:val="16"/>
        </w:rPr>
      </w:pPr>
    </w:p>
    <w:p>
      <w:pPr>
        <w:pStyle w:val="BodyText"/>
        <w:spacing w:line="276" w:lineRule="auto"/>
        <w:ind w:left="220" w:right="542"/>
      </w:pPr>
      <w:r>
        <w:rPr/>
        <w:t>It is important for the sake of simplicity to minimize the </w:t>
      </w:r>
      <w:r>
        <w:rPr>
          <w:i/>
        </w:rPr>
        <w:t>required </w:t>
      </w:r>
      <w:r>
        <w:rPr/>
        <w:t>set of workbook XML attributes and elements that shall be present to compose a valid SpreadsheetML workbook. Therefore this is the XML for the smallest possible (blank) workbook:</w:t>
      </w:r>
    </w:p>
    <w:p>
      <w:pPr>
        <w:spacing w:after="0" w:line="276" w:lineRule="auto"/>
        <w:sectPr>
          <w:type w:val="continuous"/>
          <w:pgSz w:w="12240" w:h="15840"/>
          <w:pgMar w:top="1340" w:bottom="940" w:left="860" w:right="700"/>
        </w:sectPr>
      </w:pPr>
    </w:p>
    <w:p>
      <w:pPr>
        <w:pStyle w:val="BodyText"/>
        <w:spacing w:before="150"/>
        <w:ind w:right="8960"/>
        <w:jc w:val="right"/>
        <w:rPr>
          <w:rFonts w:ascii="Consolas"/>
        </w:rPr>
      </w:pPr>
      <w:r>
        <w:rPr>
          <w:rFonts w:ascii="Consolas"/>
          <w:spacing w:val="-1"/>
        </w:rPr>
        <w:t>&lt;workbook&gt;</w:t>
      </w:r>
    </w:p>
    <w:p>
      <w:pPr>
        <w:pStyle w:val="BodyText"/>
        <w:spacing w:before="38"/>
        <w:ind w:right="8959"/>
        <w:jc w:val="right"/>
        <w:rPr>
          <w:rFonts w:ascii="Consolas"/>
        </w:rPr>
      </w:pPr>
      <w:r>
        <w:rPr>
          <w:rFonts w:ascii="Consolas"/>
          <w:spacing w:val="-1"/>
        </w:rPr>
        <w:t>&lt;sheets&gt;</w:t>
      </w:r>
    </w:p>
    <w:p>
      <w:pPr>
        <w:pStyle w:val="BodyText"/>
        <w:spacing w:before="40"/>
        <w:ind w:left="993"/>
        <w:rPr>
          <w:rFonts w:ascii="Consolas"/>
        </w:rPr>
      </w:pPr>
      <w:r>
        <w:rPr>
          <w:rFonts w:ascii="Consolas"/>
        </w:rPr>
        <w:t>&lt;sheet name="Sheet1" sheetId="1" r:id="rId1"/&gt;</w:t>
      </w:r>
    </w:p>
    <w:p>
      <w:pPr>
        <w:pStyle w:val="BodyText"/>
        <w:spacing w:before="38"/>
        <w:ind w:right="8839"/>
        <w:jc w:val="right"/>
        <w:rPr>
          <w:rFonts w:ascii="Consolas"/>
        </w:rPr>
      </w:pPr>
      <w:r>
        <w:rPr>
          <w:rFonts w:ascii="Consolas"/>
          <w:spacing w:val="-2"/>
        </w:rPr>
        <w:t>&lt;/sheets&gt;</w:t>
      </w:r>
    </w:p>
    <w:p>
      <w:pPr>
        <w:pStyle w:val="BodyText"/>
        <w:spacing w:before="40"/>
        <w:ind w:right="8840"/>
        <w:jc w:val="right"/>
        <w:rPr>
          <w:rFonts w:ascii="Consolas"/>
        </w:rPr>
      </w:pPr>
      <w:r>
        <w:rPr>
          <w:rFonts w:ascii="Consolas"/>
          <w:spacing w:val="-2"/>
        </w:rPr>
        <w:t>&lt;/workbook&gt;</w:t>
      </w:r>
    </w:p>
    <w:p>
      <w:pPr>
        <w:pStyle w:val="BodyText"/>
        <w:rPr>
          <w:rFonts w:ascii="Consolas"/>
          <w:sz w:val="20"/>
        </w:rPr>
      </w:pPr>
    </w:p>
    <w:p>
      <w:pPr>
        <w:pStyle w:val="BodyText"/>
        <w:spacing w:line="278" w:lineRule="auto"/>
        <w:ind w:left="220" w:right="530"/>
      </w:pPr>
      <w:r>
        <w:rPr/>
        <w:t>Note that this workbook has a single sheet, named Sheet1. An Id for the sheet is required, and a relationship Id pointing to the location of the sheet definition is also required.</w:t>
      </w:r>
    </w:p>
    <w:p>
      <w:pPr>
        <w:pStyle w:val="BodyText"/>
        <w:spacing w:before="3"/>
        <w:rPr>
          <w:sz w:val="16"/>
        </w:rPr>
      </w:pPr>
    </w:p>
    <w:p>
      <w:pPr>
        <w:pStyle w:val="ListParagraph"/>
        <w:numPr>
          <w:ilvl w:val="2"/>
          <w:numId w:val="17"/>
        </w:numPr>
        <w:tabs>
          <w:tab w:pos="1444" w:val="left" w:leader="none"/>
          <w:tab w:pos="1445" w:val="left" w:leader="none"/>
        </w:tabs>
        <w:spacing w:line="240" w:lineRule="auto" w:before="0" w:after="0"/>
        <w:ind w:left="1444" w:right="0" w:hanging="1225"/>
        <w:jc w:val="left"/>
        <w:rPr>
          <w:rFonts w:ascii="Cambria"/>
          <w:b/>
          <w:sz w:val="26"/>
        </w:rPr>
      </w:pPr>
      <w:bookmarkStart w:name="18.2.1 bookViews (Workbook Views)" w:id="8"/>
      <w:bookmarkEnd w:id="8"/>
      <w:r>
        <w:rPr/>
      </w:r>
      <w:bookmarkStart w:name="_bookmark1" w:id="9"/>
      <w:bookmarkEnd w:id="9"/>
      <w:r>
        <w:rPr/>
      </w:r>
      <w:bookmarkStart w:name="_bookmark1" w:id="10"/>
      <w:bookmarkEnd w:id="10"/>
      <w:r>
        <w:rPr>
          <w:rFonts w:ascii="Cambria"/>
          <w:b/>
          <w:color w:val="4F81BC"/>
          <w:sz w:val="26"/>
        </w:rPr>
        <w:t>boo</w:t>
      </w:r>
      <w:r>
        <w:rPr>
          <w:rFonts w:ascii="Cambria"/>
          <w:b/>
          <w:color w:val="4F81BC"/>
          <w:sz w:val="26"/>
        </w:rPr>
        <w:t>kViews (Workbook Views)</w:t>
      </w:r>
    </w:p>
    <w:p>
      <w:pPr>
        <w:pStyle w:val="BodyText"/>
        <w:spacing w:line="278" w:lineRule="auto" w:before="122"/>
        <w:ind w:left="220" w:right="718"/>
      </w:pPr>
      <w:r>
        <w:rPr/>
        <w:t>This element specifies the collection of workbook views of the enclosing workbook. Each view can specify a window position, filter options, and other configurations. There is no limit on the number of workbook views that can be defined for a workbook.</w:t>
      </w:r>
    </w:p>
    <w:p>
      <w:pPr>
        <w:spacing w:before="196"/>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before="1"/>
        <w:ind w:left="508"/>
        <w:rPr>
          <w:rFonts w:ascii="Consolas"/>
        </w:rPr>
      </w:pPr>
      <w:r>
        <w:rPr>
          <w:rFonts w:ascii="Consolas"/>
        </w:rPr>
        <w:t>&lt;bookViews&gt;</w:t>
      </w:r>
    </w:p>
    <w:p>
      <w:pPr>
        <w:pStyle w:val="BodyText"/>
        <w:spacing w:line="276" w:lineRule="auto" w:before="37"/>
        <w:ind w:left="993" w:right="542" w:hanging="243"/>
        <w:rPr>
          <w:rFonts w:ascii="Consolas"/>
        </w:rPr>
      </w:pPr>
      <w:r>
        <w:rPr>
          <w:rFonts w:ascii="Consolas"/>
        </w:rPr>
        <w:t>&lt;workbookView showHorizontalScroll="0" showVerticalScroll="0" showSheetTabs="0" xWindow="120" yWindow="45" windowWidth="15135" windowHeight="8130" activeTab="2" autoFilterDateGrouping="0"/&gt;</w:t>
      </w:r>
    </w:p>
    <w:p>
      <w:pPr>
        <w:pStyle w:val="BodyText"/>
        <w:spacing w:before="2"/>
        <w:ind w:left="508"/>
        <w:rPr>
          <w:rFonts w:ascii="Consolas"/>
        </w:rPr>
      </w:pPr>
      <w:r>
        <w:rPr>
          <w:rFonts w:ascii="Consolas"/>
        </w:rPr>
        <w:t>&lt;/bookViews&gt;</w:t>
      </w:r>
    </w:p>
    <w:p>
      <w:pPr>
        <w:pStyle w:val="BodyText"/>
        <w:spacing w:before="2"/>
        <w:rPr>
          <w:rFonts w:ascii="Consolas"/>
          <w:sz w:val="20"/>
        </w:rPr>
      </w:pPr>
    </w:p>
    <w:p>
      <w:pPr>
        <w:spacing w:before="1"/>
        <w:ind w:left="220" w:right="0" w:firstLine="0"/>
        <w:jc w:val="left"/>
        <w:rPr>
          <w:sz w:val="22"/>
        </w:rPr>
      </w:pPr>
      <w:r>
        <w:rPr>
          <w:i/>
          <w:sz w:val="22"/>
        </w:rPr>
        <w:t>end example</w:t>
      </w:r>
      <w:r>
        <w:rPr>
          <w:sz w:val="22"/>
        </w:rPr>
        <w:t>]</w:t>
      </w:r>
    </w:p>
    <w:p>
      <w:pPr>
        <w:pStyle w:val="BodyText"/>
        <w:spacing w:before="5"/>
        <w:rPr>
          <w:sz w:val="19"/>
        </w:rPr>
      </w:pPr>
    </w:p>
    <w:p>
      <w:pPr>
        <w:pStyle w:val="BodyText"/>
        <w:spacing w:line="278" w:lineRule="auto"/>
        <w:ind w:left="220" w:right="505"/>
      </w:pPr>
      <w:r>
        <w:rPr/>
        <w:t>[</w:t>
      </w:r>
      <w:r>
        <w:rPr>
          <w:i/>
        </w:rPr>
        <w:t>Note</w:t>
      </w:r>
      <w:r>
        <w:rPr/>
        <w:t>: The W3C XML Schema definition of this element’s content model (</w:t>
      </w:r>
      <w:r>
        <w:rPr>
          <w:color w:val="5F5F5F"/>
          <w:u w:val="single" w:color="5F5F5F"/>
        </w:rPr>
        <w:t>CT_BookViews</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 calcPr (Calculation Properties)" w:id="11"/>
      <w:bookmarkEnd w:id="11"/>
      <w:r>
        <w:rPr>
          <w:b w:val="0"/>
        </w:rPr>
      </w:r>
      <w:bookmarkStart w:name="_bookmark2" w:id="12"/>
      <w:bookmarkEnd w:id="12"/>
      <w:r>
        <w:rPr>
          <w:b w:val="0"/>
        </w:rPr>
      </w:r>
      <w:bookmarkStart w:name="_bookmark2" w:id="13"/>
      <w:bookmarkEnd w:id="13"/>
      <w:r>
        <w:rPr>
          <w:color w:val="4F81BC"/>
        </w:rPr>
        <w:t>c</w:t>
      </w:r>
      <w:r>
        <w:rPr>
          <w:color w:val="4F81BC"/>
        </w:rPr>
        <w:t>alcPr (Calculation Properties)</w:t>
      </w:r>
    </w:p>
    <w:p>
      <w:pPr>
        <w:pStyle w:val="BodyText"/>
        <w:spacing w:line="278" w:lineRule="auto" w:before="122"/>
        <w:ind w:left="220" w:right="699"/>
      </w:pPr>
      <w:r>
        <w:rPr/>
        <w:t>This element defines the collection of properties the application uses to record calculation status and details. Calculation is the process of computing formulas and then displaying the results as values in the cells that contain the formulas.</w:t>
      </w:r>
    </w:p>
    <w:p>
      <w:pPr>
        <w:spacing w:before="195"/>
        <w:ind w:left="220" w:right="0" w:firstLine="0"/>
        <w:jc w:val="left"/>
        <w:rPr>
          <w:sz w:val="22"/>
        </w:rPr>
      </w:pPr>
      <w:r>
        <w:rPr>
          <w:sz w:val="22"/>
        </w:rPr>
        <w:t>[</w:t>
      </w:r>
      <w:r>
        <w:rPr>
          <w:i/>
          <w:sz w:val="22"/>
        </w:rPr>
        <w:t>Example</w:t>
      </w:r>
      <w:r>
        <w:rPr>
          <w:sz w:val="22"/>
        </w:rPr>
        <w:t>:</w:t>
      </w:r>
    </w:p>
    <w:p>
      <w:pPr>
        <w:pStyle w:val="BodyText"/>
        <w:spacing w:before="9"/>
        <w:rPr>
          <w:sz w:val="19"/>
        </w:rPr>
      </w:pPr>
    </w:p>
    <w:p>
      <w:pPr>
        <w:pStyle w:val="BodyText"/>
        <w:spacing w:line="276" w:lineRule="auto"/>
        <w:ind w:left="750" w:hanging="243"/>
        <w:rPr>
          <w:rFonts w:ascii="Consolas"/>
        </w:rPr>
      </w:pPr>
      <w:r>
        <w:rPr>
          <w:rFonts w:ascii="Consolas"/>
        </w:rPr>
        <w:t>&lt;calcPr calcId="122211" calcMode="auto" refMode="R1C1" iterate="1" fullPrecision="0"/&gt;</w:t>
      </w:r>
    </w:p>
    <w:p>
      <w:pPr>
        <w:pStyle w:val="BodyText"/>
        <w:rPr>
          <w:rFonts w:ascii="Consolas"/>
          <w:sz w:val="17"/>
        </w:rPr>
      </w:pPr>
    </w:p>
    <w:p>
      <w:pPr>
        <w:spacing w:before="0"/>
        <w:ind w:left="220" w:right="0" w:firstLine="0"/>
        <w:jc w:val="left"/>
        <w:rPr>
          <w:sz w:val="22"/>
        </w:rPr>
      </w:pPr>
      <w:r>
        <w:rPr>
          <w:i/>
          <w:sz w:val="22"/>
        </w:rPr>
        <w:t>end example</w:t>
      </w:r>
      <w:r>
        <w:rPr>
          <w:sz w:val="22"/>
        </w:rPr>
        <w:t>]</w:t>
      </w:r>
    </w:p>
    <w:p>
      <w:pPr>
        <w:pStyle w:val="BodyText"/>
        <w:spacing w:before="10"/>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9" w:hRule="atLeast"/>
        </w:trPr>
        <w:tc>
          <w:tcPr>
            <w:tcW w:w="2062" w:type="dxa"/>
          </w:tcPr>
          <w:p>
            <w:pPr>
              <w:pStyle w:val="TableParagraph"/>
              <w:spacing w:line="257" w:lineRule="exact" w:before="42"/>
              <w:rPr>
                <w:rFonts w:ascii="Cambria"/>
                <w:sz w:val="22"/>
              </w:rPr>
            </w:pPr>
            <w:r>
              <w:rPr>
                <w:rFonts w:ascii="Cambria"/>
                <w:sz w:val="22"/>
              </w:rPr>
              <w:t>calcCompleted</w:t>
            </w:r>
          </w:p>
          <w:p>
            <w:pPr>
              <w:pStyle w:val="TableParagraph"/>
              <w:spacing w:line="268" w:lineRule="exact" w:before="0"/>
              <w:rPr>
                <w:sz w:val="22"/>
              </w:rPr>
            </w:pPr>
            <w:r>
              <w:rPr>
                <w:sz w:val="22"/>
              </w:rPr>
              <w:t>(Calc Completed)</w:t>
            </w:r>
          </w:p>
        </w:tc>
        <w:tc>
          <w:tcPr>
            <w:tcW w:w="8250" w:type="dxa"/>
          </w:tcPr>
          <w:p>
            <w:pPr>
              <w:pStyle w:val="TableParagraph"/>
              <w:ind w:right="617"/>
              <w:rPr>
                <w:sz w:val="22"/>
              </w:rPr>
            </w:pPr>
            <w:r>
              <w:rPr>
                <w:sz w:val="22"/>
              </w:rPr>
              <w:t>Specifies a boolean value that determines whether workbook data was recalculated before the workbook was saved.</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recalculation was completed before save.</w:t>
            </w:r>
          </w:p>
        </w:tc>
      </w:tr>
    </w:tbl>
    <w:p>
      <w:pPr>
        <w:spacing w:after="0"/>
        <w:rPr>
          <w:sz w:val="22"/>
        </w:rPr>
        <w:sectPr>
          <w:footerReference w:type="default" r:id="rId9"/>
          <w:footerReference w:type="even" r:id="rId10"/>
          <w:pgSz w:w="12240" w:h="15840"/>
          <w:pgMar w:footer="746" w:header="763" w:top="1340" w:bottom="940" w:left="860" w:right="700"/>
          <w:pgNumType w:start="1543"/>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617"/>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that recalculation was not completed before save. The default value for this attribute is true.</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5448" w:hRule="atLeast"/>
        </w:trPr>
        <w:tc>
          <w:tcPr>
            <w:tcW w:w="2062" w:type="dxa"/>
          </w:tcPr>
          <w:p>
            <w:pPr>
              <w:pStyle w:val="TableParagraph"/>
              <w:ind w:right="253"/>
              <w:rPr>
                <w:sz w:val="22"/>
              </w:rPr>
            </w:pPr>
            <w:r>
              <w:rPr>
                <w:rFonts w:ascii="Cambria"/>
                <w:sz w:val="22"/>
              </w:rPr>
              <w:t>calcId </w:t>
            </w:r>
            <w:r>
              <w:rPr>
                <w:sz w:val="22"/>
              </w:rPr>
              <w:t>(Calculation Id)</w:t>
            </w:r>
          </w:p>
        </w:tc>
        <w:tc>
          <w:tcPr>
            <w:tcW w:w="8250" w:type="dxa"/>
          </w:tcPr>
          <w:p>
            <w:pPr>
              <w:pStyle w:val="TableParagraph"/>
              <w:ind w:right="106"/>
              <w:rPr>
                <w:sz w:val="22"/>
              </w:rPr>
            </w:pPr>
            <w:r>
              <w:rPr>
                <w:sz w:val="22"/>
              </w:rPr>
              <w:t>Specifies the version of the calculation engine used to calculate values in the workbook. When you open a workbook created in the current version, the application recalculates only the formulas that depend on cells that have changed. When you open a workbook that was created in an earlier version of the application, all the formulas in the workbook— those that depend on cells that have changed and those that do not— are recalculated. This ensures that the workbook is fully optimized for the current application version.</w:t>
            </w:r>
          </w:p>
          <w:p>
            <w:pPr>
              <w:pStyle w:val="TableParagraph"/>
              <w:spacing w:before="6"/>
              <w:ind w:left="0"/>
              <w:rPr>
                <w:rFonts w:ascii="Times New Roman"/>
                <w:sz w:val="23"/>
              </w:rPr>
            </w:pPr>
          </w:p>
          <w:p>
            <w:pPr>
              <w:pStyle w:val="TableParagraph"/>
              <w:spacing w:before="0"/>
              <w:ind w:right="659"/>
              <w:rPr>
                <w:sz w:val="22"/>
              </w:rPr>
            </w:pPr>
            <w:r>
              <w:rPr>
                <w:sz w:val="22"/>
              </w:rPr>
              <w:t>The value for </w:t>
            </w:r>
            <w:r>
              <w:rPr>
                <w:rFonts w:ascii="Consolas"/>
                <w:sz w:val="20"/>
              </w:rPr>
              <w:t>calcID </w:t>
            </w:r>
            <w:r>
              <w:rPr>
                <w:sz w:val="22"/>
              </w:rPr>
              <w:t>depends on the application. SpreadsheetML defaults form [version][build], where [version] refers to the version of the application, and [build] refers to the build of the application when the calculation engine changed.</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sz w:val="22"/>
              </w:rPr>
            </w:pPr>
            <w:r>
              <w:rPr>
                <w:rFonts w:ascii="Consolas"/>
                <w:sz w:val="22"/>
              </w:rPr>
              <w:t>&lt;calcPr calcId="122211"/&gt;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6" w:hRule="atLeast"/>
        </w:trPr>
        <w:tc>
          <w:tcPr>
            <w:tcW w:w="2062" w:type="dxa"/>
          </w:tcPr>
          <w:p>
            <w:pPr>
              <w:pStyle w:val="TableParagraph"/>
              <w:spacing w:line="256" w:lineRule="exact" w:before="42"/>
              <w:rPr>
                <w:rFonts w:ascii="Cambria"/>
                <w:sz w:val="22"/>
              </w:rPr>
            </w:pPr>
            <w:r>
              <w:rPr>
                <w:rFonts w:ascii="Cambria"/>
                <w:sz w:val="22"/>
              </w:rPr>
              <w:t>calcMode</w:t>
            </w:r>
          </w:p>
          <w:p>
            <w:pPr>
              <w:pStyle w:val="TableParagraph"/>
              <w:spacing w:line="267" w:lineRule="exact" w:before="0"/>
              <w:rPr>
                <w:sz w:val="22"/>
              </w:rPr>
            </w:pPr>
            <w:r>
              <w:rPr>
                <w:sz w:val="22"/>
              </w:rPr>
              <w:t>(Calculation Mode)</w:t>
            </w:r>
          </w:p>
        </w:tc>
        <w:tc>
          <w:tcPr>
            <w:tcW w:w="8250" w:type="dxa"/>
          </w:tcPr>
          <w:p>
            <w:pPr>
              <w:pStyle w:val="TableParagraph"/>
              <w:spacing w:line="480" w:lineRule="auto"/>
              <w:ind w:right="1479"/>
              <w:rPr>
                <w:sz w:val="22"/>
              </w:rPr>
            </w:pPr>
            <w:r>
              <w:rPr>
                <w:sz w:val="22"/>
              </w:rPr>
              <w:t>Specifies when the application should calculate formulas in the workbook. The default value for this attribute is "auto."</w:t>
            </w:r>
          </w:p>
          <w:p>
            <w:pPr>
              <w:pStyle w:val="TableParagraph"/>
              <w:spacing w:before="0"/>
              <w:ind w:right="791"/>
              <w:rPr>
                <w:sz w:val="22"/>
              </w:rPr>
            </w:pPr>
            <w:r>
              <w:rPr>
                <w:sz w:val="22"/>
              </w:rPr>
              <w:t>The possible values for this attribute are defined by the </w:t>
            </w:r>
            <w:r>
              <w:rPr>
                <w:rFonts w:ascii="Cambria" w:hAnsi="Cambria"/>
                <w:sz w:val="22"/>
              </w:rPr>
              <w:t>ST_CalcMode </w:t>
            </w:r>
            <w:r>
              <w:rPr>
                <w:sz w:val="22"/>
              </w:rPr>
              <w:t>simple type </w:t>
            </w:r>
            <w:hyperlink w:history="true" w:anchor="_bookmark826">
              <w:r>
                <w:rPr>
                  <w:sz w:val="22"/>
                </w:rPr>
                <w:t>(§18.18.4</w:t>
              </w:r>
            </w:hyperlink>
            <w:r>
              <w:rPr>
                <w:sz w:val="22"/>
              </w:rPr>
              <w:t>).</w:t>
            </w:r>
          </w:p>
        </w:tc>
      </w:tr>
      <w:tr>
        <w:trPr>
          <w:trHeight w:val="3309" w:hRule="atLeast"/>
        </w:trPr>
        <w:tc>
          <w:tcPr>
            <w:tcW w:w="2062" w:type="dxa"/>
          </w:tcPr>
          <w:p>
            <w:pPr>
              <w:pStyle w:val="TableParagraph"/>
              <w:spacing w:line="257" w:lineRule="exact" w:before="42"/>
              <w:rPr>
                <w:rFonts w:ascii="Cambria"/>
                <w:sz w:val="22"/>
              </w:rPr>
            </w:pPr>
            <w:r>
              <w:rPr>
                <w:rFonts w:ascii="Cambria"/>
                <w:sz w:val="22"/>
              </w:rPr>
              <w:t>calcOnSave</w:t>
            </w:r>
          </w:p>
          <w:p>
            <w:pPr>
              <w:pStyle w:val="TableParagraph"/>
              <w:spacing w:line="268" w:lineRule="exact" w:before="0"/>
              <w:rPr>
                <w:sz w:val="22"/>
              </w:rPr>
            </w:pPr>
            <w:r>
              <w:rPr>
                <w:sz w:val="22"/>
              </w:rPr>
              <w:t>(Calculate On Save)</w:t>
            </w:r>
          </w:p>
        </w:tc>
        <w:tc>
          <w:tcPr>
            <w:tcW w:w="8250" w:type="dxa"/>
          </w:tcPr>
          <w:p>
            <w:pPr>
              <w:pStyle w:val="TableParagraph"/>
              <w:ind w:right="111"/>
              <w:rPr>
                <w:sz w:val="22"/>
              </w:rPr>
            </w:pPr>
            <w:r>
              <w:rPr>
                <w:sz w:val="22"/>
              </w:rPr>
              <w:t>Specifies a boolean value that indicates whether the application recalculates values when the workbook is saved.</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recalculation is performed when the workbook is saved.</w:t>
            </w:r>
          </w:p>
          <w:p>
            <w:pPr>
              <w:pStyle w:val="TableParagraph"/>
              <w:spacing w:before="5"/>
              <w:ind w:left="0"/>
              <w:rPr>
                <w:rFonts w:ascii="Times New Roman"/>
                <w:sz w:val="23"/>
              </w:rPr>
            </w:pPr>
          </w:p>
          <w:p>
            <w:pPr>
              <w:pStyle w:val="TableParagraph"/>
              <w:spacing w:before="1"/>
              <w:ind w:right="573"/>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recalculation is not performed when the workbook is saved.</w:t>
            </w:r>
          </w:p>
          <w:p>
            <w:pPr>
              <w:pStyle w:val="TableParagraph"/>
              <w:spacing w:before="2"/>
              <w:ind w:left="0"/>
              <w:rPr>
                <w:rFonts w:ascii="Times New Roman"/>
                <w:sz w:val="23"/>
              </w:rPr>
            </w:pPr>
          </w:p>
          <w:p>
            <w:pPr>
              <w:pStyle w:val="TableParagraph"/>
              <w:spacing w:before="0"/>
              <w:rPr>
                <w:sz w:val="22"/>
              </w:rPr>
            </w:pPr>
            <w:r>
              <w:rPr>
                <w:sz w:val="22"/>
              </w:rPr>
              <w:t>The default value for this attribute is true.</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spacing w:before="42"/>
              <w:ind w:left="0" w:right="504"/>
              <w:jc w:val="right"/>
              <w:rPr>
                <w:rFonts w:ascii="Cambria"/>
                <w:sz w:val="22"/>
              </w:rPr>
            </w:pPr>
            <w:r>
              <w:rPr>
                <w:rFonts w:ascii="Cambria"/>
                <w:sz w:val="22"/>
              </w:rPr>
              <w:t>concurrentCalc</w:t>
            </w:r>
          </w:p>
        </w:tc>
        <w:tc>
          <w:tcPr>
            <w:tcW w:w="8250" w:type="dxa"/>
          </w:tcPr>
          <w:p>
            <w:pPr>
              <w:pStyle w:val="TableParagraph"/>
              <w:rPr>
                <w:sz w:val="22"/>
              </w:rPr>
            </w:pPr>
            <w:r>
              <w:rPr>
                <w:sz w:val="22"/>
              </w:rPr>
              <w:t>Specifies a boolean value that indicates whether concurrent calculation processes are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1" w:hRule="atLeast"/>
        </w:trPr>
        <w:tc>
          <w:tcPr>
            <w:tcW w:w="2062" w:type="dxa"/>
          </w:tcPr>
          <w:p>
            <w:pPr>
              <w:pStyle w:val="TableParagraph"/>
              <w:ind w:right="770"/>
              <w:rPr>
                <w:sz w:val="22"/>
              </w:rPr>
            </w:pPr>
            <w:r>
              <w:rPr>
                <w:sz w:val="22"/>
              </w:rPr>
              <w:t>(Concurrent Calculations)</w:t>
            </w:r>
          </w:p>
        </w:tc>
        <w:tc>
          <w:tcPr>
            <w:tcW w:w="8250" w:type="dxa"/>
          </w:tcPr>
          <w:p>
            <w:pPr>
              <w:pStyle w:val="TableParagraph"/>
              <w:rPr>
                <w:sz w:val="22"/>
              </w:rPr>
            </w:pPr>
            <w:r>
              <w:rPr>
                <w:sz w:val="22"/>
              </w:rPr>
              <w:t>enabled for this workbook.</w:t>
            </w:r>
          </w:p>
          <w:p>
            <w:pPr>
              <w:pStyle w:val="TableParagraph"/>
              <w:spacing w:before="4"/>
              <w:ind w:left="0"/>
              <w:rPr>
                <w:rFonts w:ascii="Times New Roman"/>
                <w:sz w:val="23"/>
              </w:rPr>
            </w:pPr>
          </w:p>
          <w:p>
            <w:pPr>
              <w:pStyle w:val="TableParagraph"/>
              <w:spacing w:line="477" w:lineRule="auto" w:before="0"/>
              <w:ind w:right="298"/>
              <w:rPr>
                <w:sz w:val="22"/>
              </w:rPr>
            </w:pPr>
            <w:r>
              <w:rPr>
                <w:sz w:val="22"/>
              </w:rPr>
              <w:t>A value of on, 1, or true indicates concurrent calculations are enabled in this workbook.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concurrent calculations are not enabled.</w:t>
            </w:r>
          </w:p>
          <w:p>
            <w:pPr>
              <w:pStyle w:val="TableParagraph"/>
              <w:spacing w:before="4"/>
              <w:rPr>
                <w:sz w:val="22"/>
              </w:rPr>
            </w:pPr>
            <w:r>
              <w:rPr>
                <w:sz w:val="22"/>
              </w:rPr>
              <w:t>The default value for this attribute is true.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spacing w:before="42"/>
              <w:ind w:right="177"/>
              <w:rPr>
                <w:sz w:val="22"/>
              </w:rPr>
            </w:pPr>
            <w:r>
              <w:rPr>
                <w:rFonts w:ascii="Cambria"/>
                <w:sz w:val="22"/>
              </w:rPr>
              <w:t>concurrentManual Count </w:t>
            </w:r>
            <w:r>
              <w:rPr>
                <w:sz w:val="22"/>
              </w:rPr>
              <w:t>(Concurrent Thread Manual Count)</w:t>
            </w:r>
          </w:p>
        </w:tc>
        <w:tc>
          <w:tcPr>
            <w:tcW w:w="8250" w:type="dxa"/>
          </w:tcPr>
          <w:p>
            <w:pPr>
              <w:pStyle w:val="TableParagraph"/>
              <w:ind w:right="617"/>
              <w:rPr>
                <w:sz w:val="22"/>
              </w:rPr>
            </w:pPr>
            <w:r>
              <w:rPr>
                <w:sz w:val="22"/>
              </w:rPr>
              <w:t>Specifies the count of concurrent calculation processes manually set by the user. If omitted, the count is set automatically by the application.</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3578" w:hRule="atLeast"/>
        </w:trPr>
        <w:tc>
          <w:tcPr>
            <w:tcW w:w="2062" w:type="dxa"/>
          </w:tcPr>
          <w:p>
            <w:pPr>
              <w:pStyle w:val="TableParagraph"/>
              <w:spacing w:before="42"/>
              <w:ind w:right="691"/>
              <w:rPr>
                <w:sz w:val="22"/>
              </w:rPr>
            </w:pPr>
            <w:r>
              <w:rPr>
                <w:rFonts w:ascii="Cambria"/>
                <w:sz w:val="22"/>
              </w:rPr>
              <w:t>forceFullCalc </w:t>
            </w:r>
            <w:r>
              <w:rPr>
                <w:sz w:val="22"/>
              </w:rPr>
              <w:t>(Force Full Calculation)</w:t>
            </w:r>
          </w:p>
        </w:tc>
        <w:tc>
          <w:tcPr>
            <w:tcW w:w="8250" w:type="dxa"/>
          </w:tcPr>
          <w:p>
            <w:pPr>
              <w:pStyle w:val="TableParagraph"/>
              <w:ind w:right="265"/>
              <w:rPr>
                <w:sz w:val="22"/>
              </w:rPr>
            </w:pPr>
            <w:r>
              <w:rPr>
                <w:sz w:val="22"/>
              </w:rPr>
              <w:t>Specifies a boolean value that indicates whether the application performs a full recalculation when one was not indicated by other calculation properties. This attribute allows the application to expose mechanisms in the user interface that give users the ability to trigger when full recalculations take place.</w:t>
            </w:r>
          </w:p>
          <w:p>
            <w:pPr>
              <w:pStyle w:val="TableParagraph"/>
              <w:spacing w:before="5"/>
              <w:ind w:left="0"/>
              <w:rPr>
                <w:rFonts w:ascii="Times New Roman"/>
                <w:sz w:val="23"/>
              </w:rPr>
            </w:pPr>
          </w:p>
          <w:p>
            <w:pPr>
              <w:pStyle w:val="TableParagraph"/>
              <w:spacing w:before="0"/>
              <w:ind w:right="937"/>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application performs a full recalculation of the workbook.</w:t>
            </w:r>
          </w:p>
          <w:p>
            <w:pPr>
              <w:pStyle w:val="TableParagraph"/>
              <w:spacing w:before="5"/>
              <w:ind w:left="0"/>
              <w:rPr>
                <w:rFonts w:ascii="Times New Roman"/>
                <w:sz w:val="23"/>
              </w:rPr>
            </w:pPr>
          </w:p>
          <w:p>
            <w:pPr>
              <w:pStyle w:val="TableParagraph"/>
              <w:spacing w:before="0"/>
              <w:ind w:right="426"/>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does not perform a full recalculation of the workbook.</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4651" w:hRule="atLeast"/>
        </w:trPr>
        <w:tc>
          <w:tcPr>
            <w:tcW w:w="2062" w:type="dxa"/>
          </w:tcPr>
          <w:p>
            <w:pPr>
              <w:pStyle w:val="TableParagraph"/>
              <w:spacing w:line="237" w:lineRule="auto" w:before="45"/>
              <w:ind w:right="178"/>
              <w:rPr>
                <w:sz w:val="22"/>
              </w:rPr>
            </w:pPr>
            <w:r>
              <w:rPr>
                <w:rFonts w:ascii="Cambria"/>
                <w:sz w:val="22"/>
              </w:rPr>
              <w:t>fullCalcOnLoad </w:t>
            </w:r>
            <w:r>
              <w:rPr>
                <w:sz w:val="22"/>
              </w:rPr>
              <w:t>(Full Calculation On Load)</w:t>
            </w:r>
          </w:p>
        </w:tc>
        <w:tc>
          <w:tcPr>
            <w:tcW w:w="8250" w:type="dxa"/>
          </w:tcPr>
          <w:p>
            <w:pPr>
              <w:pStyle w:val="TableParagraph"/>
              <w:ind w:right="321"/>
              <w:rPr>
                <w:sz w:val="22"/>
              </w:rPr>
            </w:pPr>
            <w:r>
              <w:rPr>
                <w:sz w:val="22"/>
              </w:rPr>
              <w:t>Specifies a boolean value that indicates whether the application shall perform a full recalculation when the workbook is opened. After load and successful calculation, the application should set this value to false. The application should set this value to true when cell formulas or values are modified by another process while the application has the workbook opened.</w:t>
            </w:r>
          </w:p>
          <w:p>
            <w:pPr>
              <w:pStyle w:val="TableParagraph"/>
              <w:spacing w:before="3"/>
              <w:ind w:left="0"/>
              <w:rPr>
                <w:rFonts w:ascii="Times New Roman"/>
                <w:sz w:val="23"/>
              </w:rPr>
            </w:pPr>
          </w:p>
          <w:p>
            <w:pPr>
              <w:pStyle w:val="TableParagraph"/>
              <w:spacing w:before="0"/>
              <w:ind w:right="339"/>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application performs a full recalculation of workbook values when the workbook is opened.</w:t>
            </w:r>
          </w:p>
          <w:p>
            <w:pPr>
              <w:pStyle w:val="TableParagraph"/>
              <w:spacing w:before="5"/>
              <w:ind w:left="0"/>
              <w:rPr>
                <w:rFonts w:ascii="Times New Roman"/>
                <w:sz w:val="23"/>
              </w:rPr>
            </w:pPr>
          </w:p>
          <w:p>
            <w:pPr>
              <w:pStyle w:val="TableParagraph"/>
              <w:spacing w:before="0"/>
              <w:ind w:right="11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does not perform a full recalculation when the workbook is opened.</w:t>
            </w:r>
          </w:p>
          <w:p>
            <w:pPr>
              <w:pStyle w:val="TableParagraph"/>
              <w:spacing w:before="5"/>
              <w:ind w:left="0"/>
              <w:rPr>
                <w:rFonts w:ascii="Times New Roman"/>
                <w:sz w:val="23"/>
              </w:rPr>
            </w:pPr>
          </w:p>
          <w:p>
            <w:pPr>
              <w:pStyle w:val="TableParagraph"/>
              <w:spacing w:before="0"/>
              <w:ind w:right="214"/>
              <w:rPr>
                <w:sz w:val="22"/>
              </w:rPr>
            </w:pPr>
            <w:r>
              <w:rPr>
                <w:sz w:val="22"/>
              </w:rPr>
              <w:t>[</w:t>
            </w:r>
            <w:r>
              <w:rPr>
                <w:i/>
                <w:sz w:val="22"/>
              </w:rPr>
              <w:t>Note</w:t>
            </w:r>
            <w:r>
              <w:rPr>
                <w:sz w:val="22"/>
              </w:rPr>
              <w:t>: If manual </w:t>
            </w:r>
            <w:r>
              <w:rPr>
                <w:rFonts w:ascii="Cambria"/>
                <w:sz w:val="22"/>
              </w:rPr>
              <w:t>calcMode </w:t>
            </w:r>
            <w:r>
              <w:rPr>
                <w:sz w:val="22"/>
              </w:rPr>
              <w:t>is </w:t>
            </w:r>
            <w:r>
              <w:rPr>
                <w:rFonts w:ascii="Consolas"/>
                <w:sz w:val="20"/>
              </w:rPr>
              <w:t>true</w:t>
            </w:r>
            <w:r>
              <w:rPr>
                <w:sz w:val="22"/>
              </w:rPr>
              <w:t>, then a full recalculation does not performed on load, even when this attribute is set. </w:t>
            </w:r>
            <w:r>
              <w:rPr>
                <w:i/>
                <w:sz w:val="22"/>
              </w:rPr>
              <w:t>end note</w:t>
            </w:r>
            <w:r>
              <w:rPr>
                <w:sz w:val="22"/>
              </w:rPr>
              <w:t>]</w:t>
            </w:r>
          </w:p>
          <w:p>
            <w:pPr>
              <w:pStyle w:val="TableParagraph"/>
              <w:spacing w:before="2"/>
              <w:ind w:left="0"/>
              <w:rPr>
                <w:rFonts w:ascii="Times New Roman"/>
                <w:sz w:val="23"/>
              </w:rPr>
            </w:pPr>
          </w:p>
          <w:p>
            <w:pPr>
              <w:pStyle w:val="TableParagraph"/>
              <w:spacing w:before="0"/>
              <w:rPr>
                <w:sz w:val="22"/>
              </w:rPr>
            </w:pPr>
            <w:r>
              <w:rPr>
                <w:sz w:val="22"/>
              </w:rPr>
              <w:t>The default value for this attribute is false.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530" w:hRule="atLeast"/>
        </w:trPr>
        <w:tc>
          <w:tcPr>
            <w:tcW w:w="2062" w:type="dxa"/>
          </w:tcPr>
          <w:p>
            <w:pPr>
              <w:pStyle w:val="TableParagraph"/>
              <w:ind w:right="300"/>
              <w:rPr>
                <w:sz w:val="22"/>
              </w:rPr>
            </w:pPr>
            <w:r>
              <w:rPr>
                <w:rFonts w:ascii="Cambria"/>
                <w:sz w:val="22"/>
              </w:rPr>
              <w:t>fullPrecision </w:t>
            </w:r>
            <w:r>
              <w:rPr>
                <w:sz w:val="22"/>
              </w:rPr>
              <w:t>(Full Precision Calculation)</w:t>
            </w:r>
          </w:p>
        </w:tc>
        <w:tc>
          <w:tcPr>
            <w:tcW w:w="8250" w:type="dxa"/>
          </w:tcPr>
          <w:p>
            <w:pPr>
              <w:pStyle w:val="TableParagraph"/>
              <w:ind w:right="433"/>
              <w:jc w:val="both"/>
              <w:rPr>
                <w:sz w:val="22"/>
              </w:rPr>
            </w:pPr>
            <w:r>
              <w:rPr>
                <w:sz w:val="22"/>
              </w:rPr>
              <w:t>Specifies a boolean that indicates the precision the application uses when performing calculations in the workbook. Full precision means that the application uses the entire value(s) stored in cells referenced by the formula to perform the calculation.</w:t>
            </w:r>
          </w:p>
          <w:p>
            <w:pPr>
              <w:pStyle w:val="TableParagraph"/>
              <w:spacing w:before="2"/>
              <w:ind w:left="0"/>
              <w:rPr>
                <w:rFonts w:ascii="Times New Roman"/>
                <w:sz w:val="23"/>
              </w:rPr>
            </w:pPr>
          </w:p>
          <w:p>
            <w:pPr>
              <w:pStyle w:val="TableParagraph"/>
              <w:spacing w:before="0"/>
              <w:ind w:right="87"/>
              <w:rPr>
                <w:sz w:val="22"/>
              </w:rPr>
            </w:pPr>
            <w:r>
              <w:rPr>
                <w:sz w:val="22"/>
              </w:rPr>
              <w:t>[</w:t>
            </w:r>
            <w:r>
              <w:rPr>
                <w:i/>
                <w:sz w:val="22"/>
              </w:rPr>
              <w:t>Example</w:t>
            </w:r>
            <w:r>
              <w:rPr>
                <w:sz w:val="22"/>
              </w:rPr>
              <w:t>: If two cells each contain the value 10.005 and the cells are formatted to display values in currency format, the value $10.01 is displayed in each cell. If you add the two cells together, the result is $20.01 because the application adds the stored values 10.005 and 10.005, not the displayed values. You can change the precision of calculations so that the application uses the displayed value instead of the stored value when it recalculates formulas.</w:t>
            </w:r>
          </w:p>
          <w:p>
            <w:pPr>
              <w:pStyle w:val="TableParagraph"/>
              <w:spacing w:before="6"/>
              <w:ind w:left="0"/>
              <w:rPr>
                <w:rFonts w:ascii="Times New Roman"/>
                <w:sz w:val="23"/>
              </w:rPr>
            </w:pPr>
          </w:p>
          <w:p>
            <w:pPr>
              <w:pStyle w:val="TableParagraph"/>
              <w:spacing w:before="1"/>
              <w:ind w:right="108"/>
              <w:rPr>
                <w:sz w:val="22"/>
              </w:rPr>
            </w:pPr>
            <w:r>
              <w:rPr>
                <w:sz w:val="22"/>
              </w:rPr>
              <w:t>For the above example, if </w:t>
            </w:r>
            <w:r>
              <w:rPr>
                <w:rFonts w:ascii="Cambria"/>
                <w:sz w:val="22"/>
              </w:rPr>
              <w:t>fullPrecision </w:t>
            </w:r>
            <w:r>
              <w:rPr>
                <w:sz w:val="22"/>
              </w:rPr>
              <w:t>is </w:t>
            </w:r>
            <w:r>
              <w:rPr>
                <w:rFonts w:ascii="Consolas"/>
                <w:sz w:val="20"/>
              </w:rPr>
              <w:t>false</w:t>
            </w:r>
            <w:r>
              <w:rPr>
                <w:sz w:val="22"/>
              </w:rPr>
              <w:t>, then the result must be $20.02, because each cell shows $10.01, so those are the values to be added. Furthermore, when </w:t>
            </w:r>
            <w:r>
              <w:rPr>
                <w:rFonts w:ascii="Cambria"/>
                <w:sz w:val="22"/>
              </w:rPr>
              <w:t>fullPrecision </w:t>
            </w:r>
            <w:r>
              <w:rPr>
                <w:sz w:val="22"/>
              </w:rPr>
              <w:t>is </w:t>
            </w:r>
            <w:r>
              <w:rPr>
                <w:rFonts w:ascii="Consolas"/>
                <w:sz w:val="20"/>
              </w:rPr>
              <w:t>false</w:t>
            </w:r>
            <w:r>
              <w:rPr>
                <w:sz w:val="22"/>
              </w:rPr>
              <w:t>, the calculated value as displayed must be saved to file. </w:t>
            </w:r>
            <w:r>
              <w:rPr>
                <w:i/>
                <w:sz w:val="22"/>
              </w:rPr>
              <w:t>end </w:t>
            </w:r>
            <w:r>
              <w:rPr>
                <w:i/>
                <w:sz w:val="22"/>
              </w:rPr>
              <w:t>example</w:t>
            </w:r>
            <w:r>
              <w:rPr>
                <w:sz w:val="22"/>
              </w:rPr>
              <w:t>]</w:t>
            </w:r>
          </w:p>
          <w:p>
            <w:pPr>
              <w:pStyle w:val="TableParagraph"/>
              <w:spacing w:before="2"/>
              <w:ind w:left="0"/>
              <w:rPr>
                <w:rFonts w:ascii="Times New Roman"/>
                <w:sz w:val="23"/>
              </w:rPr>
            </w:pPr>
          </w:p>
          <w:p>
            <w:pPr>
              <w:pStyle w:val="TableParagraph"/>
              <w:spacing w:before="1"/>
              <w:ind w:right="106"/>
              <w:rPr>
                <w:sz w:val="22"/>
              </w:rPr>
            </w:pPr>
            <w:r>
              <w:rPr>
                <w:sz w:val="22"/>
              </w:rPr>
              <w:t>A</w:t>
            </w:r>
            <w:r>
              <w:rPr>
                <w:spacing w:val="-1"/>
                <w:sz w:val="22"/>
              </w:rPr>
              <w:t> </w:t>
            </w:r>
            <w:r>
              <w:rPr>
                <w:sz w:val="22"/>
              </w:rPr>
              <w:t>value</w:t>
            </w:r>
            <w:r>
              <w:rPr>
                <w:spacing w:val="-2"/>
                <w:sz w:val="22"/>
              </w:rPr>
              <w:t> </w:t>
            </w:r>
            <w:r>
              <w:rPr>
                <w:sz w:val="22"/>
              </w:rPr>
              <w:t>of</w:t>
            </w:r>
            <w:r>
              <w:rPr>
                <w:spacing w:val="-2"/>
                <w:sz w:val="22"/>
              </w:rPr>
              <w:t> </w:t>
            </w:r>
            <w:r>
              <w:rPr>
                <w:rFonts w:ascii="Consolas"/>
                <w:sz w:val="20"/>
              </w:rPr>
              <w:t>1</w:t>
            </w:r>
            <w:r>
              <w:rPr>
                <w:rFonts w:ascii="Consolas"/>
                <w:spacing w:val="-59"/>
                <w:sz w:val="20"/>
              </w:rPr>
              <w:t> </w:t>
            </w:r>
            <w:r>
              <w:rPr>
                <w:sz w:val="22"/>
              </w:rPr>
              <w:t>or</w:t>
            </w:r>
            <w:r>
              <w:rPr>
                <w:spacing w:val="-3"/>
                <w:sz w:val="22"/>
              </w:rPr>
              <w:t> </w:t>
            </w:r>
            <w:r>
              <w:rPr>
                <w:rFonts w:ascii="Consolas"/>
                <w:sz w:val="20"/>
              </w:rPr>
              <w:t>true</w:t>
            </w:r>
            <w:r>
              <w:rPr>
                <w:rFonts w:ascii="Consolas"/>
                <w:spacing w:val="-62"/>
                <w:sz w:val="20"/>
              </w:rPr>
              <w:t> </w:t>
            </w:r>
            <w:r>
              <w:rPr>
                <w:sz w:val="22"/>
              </w:rPr>
              <w:t>indicates the</w:t>
            </w:r>
            <w:r>
              <w:rPr>
                <w:spacing w:val="-3"/>
                <w:sz w:val="22"/>
              </w:rPr>
              <w:t> </w:t>
            </w:r>
            <w:r>
              <w:rPr>
                <w:sz w:val="22"/>
              </w:rPr>
              <w:t>application</w:t>
            </w:r>
            <w:r>
              <w:rPr>
                <w:spacing w:val="-2"/>
                <w:sz w:val="22"/>
              </w:rPr>
              <w:t> </w:t>
            </w:r>
            <w:r>
              <w:rPr>
                <w:sz w:val="22"/>
              </w:rPr>
              <w:t>uses</w:t>
            </w:r>
            <w:r>
              <w:rPr>
                <w:spacing w:val="-2"/>
                <w:sz w:val="22"/>
              </w:rPr>
              <w:t> </w:t>
            </w:r>
            <w:r>
              <w:rPr>
                <w:sz w:val="22"/>
              </w:rPr>
              <w:t>the</w:t>
            </w:r>
            <w:r>
              <w:rPr>
                <w:spacing w:val="-2"/>
                <w:sz w:val="22"/>
              </w:rPr>
              <w:t> </w:t>
            </w:r>
            <w:r>
              <w:rPr>
                <w:sz w:val="22"/>
              </w:rPr>
              <w:t>stored</w:t>
            </w:r>
            <w:r>
              <w:rPr>
                <w:spacing w:val="-1"/>
                <w:sz w:val="22"/>
              </w:rPr>
              <w:t> </w:t>
            </w:r>
            <w:r>
              <w:rPr>
                <w:sz w:val="22"/>
              </w:rPr>
              <w:t>values</w:t>
            </w:r>
            <w:r>
              <w:rPr>
                <w:spacing w:val="-2"/>
                <w:sz w:val="22"/>
              </w:rPr>
              <w:t> </w:t>
            </w:r>
            <w:r>
              <w:rPr>
                <w:sz w:val="22"/>
              </w:rPr>
              <w:t>of</w:t>
            </w:r>
            <w:r>
              <w:rPr>
                <w:spacing w:val="-1"/>
                <w:sz w:val="22"/>
              </w:rPr>
              <w:t> </w:t>
            </w:r>
            <w:r>
              <w:rPr>
                <w:sz w:val="22"/>
              </w:rPr>
              <w:t>the</w:t>
            </w:r>
            <w:r>
              <w:rPr>
                <w:spacing w:val="-2"/>
                <w:sz w:val="22"/>
              </w:rPr>
              <w:t> </w:t>
            </w:r>
            <w:r>
              <w:rPr>
                <w:sz w:val="22"/>
              </w:rPr>
              <w:t>referenced cells when performing</w:t>
            </w:r>
            <w:r>
              <w:rPr>
                <w:spacing w:val="-2"/>
                <w:sz w:val="22"/>
              </w:rPr>
              <w:t> </w:t>
            </w:r>
            <w:r>
              <w:rPr>
                <w:sz w:val="22"/>
              </w:rPr>
              <w:t>calculations.</w:t>
            </w:r>
          </w:p>
          <w:p>
            <w:pPr>
              <w:pStyle w:val="TableParagraph"/>
              <w:spacing w:before="4"/>
              <w:ind w:left="0"/>
              <w:rPr>
                <w:rFonts w:ascii="Times New Roman"/>
                <w:sz w:val="23"/>
              </w:rPr>
            </w:pPr>
          </w:p>
          <w:p>
            <w:pPr>
              <w:pStyle w:val="TableParagraph"/>
              <w:spacing w:before="0"/>
              <w:rPr>
                <w:sz w:val="22"/>
              </w:rPr>
            </w:pPr>
            <w:r>
              <w:rPr>
                <w:sz w:val="22"/>
              </w:rPr>
              <w:t>A</w:t>
            </w:r>
            <w:r>
              <w:rPr>
                <w:spacing w:val="-1"/>
                <w:sz w:val="22"/>
              </w:rPr>
              <w:t> </w:t>
            </w:r>
            <w:r>
              <w:rPr>
                <w:sz w:val="22"/>
              </w:rPr>
              <w:t>value</w:t>
            </w:r>
            <w:r>
              <w:rPr>
                <w:spacing w:val="-3"/>
                <w:sz w:val="22"/>
              </w:rPr>
              <w:t> </w:t>
            </w:r>
            <w:r>
              <w:rPr>
                <w:sz w:val="22"/>
              </w:rPr>
              <w:t>of</w:t>
            </w:r>
            <w:r>
              <w:rPr>
                <w:spacing w:val="-2"/>
                <w:sz w:val="22"/>
              </w:rPr>
              <w:t> </w:t>
            </w:r>
            <w:r>
              <w:rPr>
                <w:rFonts w:ascii="Consolas"/>
                <w:sz w:val="20"/>
              </w:rPr>
              <w:t>0</w:t>
            </w:r>
            <w:r>
              <w:rPr>
                <w:rFonts w:ascii="Consolas"/>
                <w:spacing w:val="-60"/>
                <w:sz w:val="20"/>
              </w:rPr>
              <w:t> </w:t>
            </w:r>
            <w:r>
              <w:rPr>
                <w:sz w:val="22"/>
              </w:rPr>
              <w:t>or</w:t>
            </w:r>
            <w:r>
              <w:rPr>
                <w:spacing w:val="-3"/>
                <w:sz w:val="22"/>
              </w:rPr>
              <w:t> </w:t>
            </w:r>
            <w:r>
              <w:rPr>
                <w:rFonts w:ascii="Consolas"/>
                <w:sz w:val="20"/>
              </w:rPr>
              <w:t>false</w:t>
            </w:r>
            <w:r>
              <w:rPr>
                <w:rFonts w:ascii="Consolas"/>
                <w:spacing w:val="-59"/>
                <w:sz w:val="20"/>
              </w:rPr>
              <w:t> </w:t>
            </w:r>
            <w:r>
              <w:rPr>
                <w:sz w:val="22"/>
              </w:rPr>
              <w:t>indicates the application</w:t>
            </w:r>
            <w:r>
              <w:rPr>
                <w:spacing w:val="-2"/>
                <w:sz w:val="22"/>
              </w:rPr>
              <w:t> </w:t>
            </w:r>
            <w:r>
              <w:rPr>
                <w:sz w:val="22"/>
              </w:rPr>
              <w:t>uses</w:t>
            </w:r>
            <w:r>
              <w:rPr>
                <w:spacing w:val="-1"/>
                <w:sz w:val="22"/>
              </w:rPr>
              <w:t> </w:t>
            </w:r>
            <w:r>
              <w:rPr>
                <w:sz w:val="22"/>
              </w:rPr>
              <w:t>the display</w:t>
            </w:r>
            <w:r>
              <w:rPr>
                <w:spacing w:val="-3"/>
                <w:sz w:val="22"/>
              </w:rPr>
              <w:t> </w:t>
            </w:r>
            <w:r>
              <w:rPr>
                <w:sz w:val="22"/>
              </w:rPr>
              <w:t>values</w:t>
            </w:r>
            <w:r>
              <w:rPr>
                <w:spacing w:val="-3"/>
                <w:sz w:val="22"/>
              </w:rPr>
              <w:t> </w:t>
            </w:r>
            <w:r>
              <w:rPr>
                <w:sz w:val="22"/>
              </w:rPr>
              <w:t>of</w:t>
            </w:r>
            <w:r>
              <w:rPr>
                <w:spacing w:val="-3"/>
                <w:sz w:val="22"/>
              </w:rPr>
              <w:t> </w:t>
            </w:r>
            <w:r>
              <w:rPr>
                <w:sz w:val="22"/>
              </w:rPr>
              <w:t>the referenced cells when performing</w:t>
            </w:r>
            <w:r>
              <w:rPr>
                <w:spacing w:val="-2"/>
                <w:sz w:val="22"/>
              </w:rPr>
              <w:t> </w:t>
            </w:r>
            <w:r>
              <w:rPr>
                <w:sz w:val="22"/>
              </w:rPr>
              <w:t>calculations.</w:t>
            </w:r>
          </w:p>
          <w:p>
            <w:pPr>
              <w:pStyle w:val="TableParagraph"/>
              <w:spacing w:before="5"/>
              <w:ind w:left="0"/>
              <w:rPr>
                <w:rFonts w:ascii="Times New Roman"/>
                <w:sz w:val="23"/>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8" w:lineRule="exact" w:before="0"/>
              <w:rPr>
                <w:sz w:val="22"/>
              </w:rPr>
            </w:pPr>
            <w:r>
              <w:rPr>
                <w:sz w:val="22"/>
              </w:rPr>
              <w:t>datatype.</w:t>
            </w:r>
          </w:p>
        </w:tc>
      </w:tr>
      <w:tr>
        <w:trPr>
          <w:trHeight w:val="4920" w:hRule="atLeast"/>
        </w:trPr>
        <w:tc>
          <w:tcPr>
            <w:tcW w:w="2062" w:type="dxa"/>
          </w:tcPr>
          <w:p>
            <w:pPr>
              <w:pStyle w:val="TableParagraph"/>
              <w:ind w:right="185"/>
              <w:rPr>
                <w:sz w:val="22"/>
              </w:rPr>
            </w:pPr>
            <w:r>
              <w:rPr>
                <w:rFonts w:ascii="Cambria"/>
                <w:sz w:val="22"/>
              </w:rPr>
              <w:t>iterate </w:t>
            </w:r>
            <w:r>
              <w:rPr>
                <w:sz w:val="22"/>
              </w:rPr>
              <w:t>(Calculation Iteration)</w:t>
            </w:r>
          </w:p>
        </w:tc>
        <w:tc>
          <w:tcPr>
            <w:tcW w:w="8250" w:type="dxa"/>
          </w:tcPr>
          <w:p>
            <w:pPr>
              <w:pStyle w:val="TableParagraph"/>
              <w:ind w:right="237"/>
              <w:rPr>
                <w:sz w:val="22"/>
              </w:rPr>
            </w:pPr>
            <w:r>
              <w:rPr>
                <w:sz w:val="22"/>
              </w:rPr>
              <w:t>Specifies a boolean value that indicates whether the application should attempt to calculate formulas that contain circular references. A circular reference is a formula that refers to the cell— either directly or indirectly— that contains the formula. If a formula refers back to one of its own cells, you shall determine how many times the formula should recalculate.</w:t>
            </w:r>
          </w:p>
          <w:p>
            <w:pPr>
              <w:pStyle w:val="TableParagraph"/>
              <w:spacing w:before="5"/>
              <w:ind w:left="0"/>
              <w:rPr>
                <w:rFonts w:ascii="Times New Roman"/>
                <w:sz w:val="23"/>
              </w:rPr>
            </w:pPr>
          </w:p>
          <w:p>
            <w:pPr>
              <w:pStyle w:val="TableParagraph"/>
              <w:spacing w:before="0"/>
              <w:ind w:right="532"/>
              <w:rPr>
                <w:sz w:val="22"/>
              </w:rPr>
            </w:pPr>
            <w:r>
              <w:rPr>
                <w:sz w:val="22"/>
              </w:rPr>
              <w:t>A value of on, 1, or true indicates the application should attempt to calculate circular references. The calculation engine performs iterative </w:t>
            </w:r>
            <w:r>
              <w:rPr>
                <w:rFonts w:ascii="Consolas"/>
                <w:sz w:val="20"/>
              </w:rPr>
              <w:t>iterateCount </w:t>
            </w:r>
            <w:r>
              <w:rPr>
                <w:sz w:val="22"/>
              </w:rPr>
              <w:t>calculations to before stopping.</w:t>
            </w:r>
          </w:p>
          <w:p>
            <w:pPr>
              <w:pStyle w:val="TableParagraph"/>
              <w:spacing w:before="3"/>
              <w:ind w:left="0"/>
              <w:rPr>
                <w:rFonts w:ascii="Times New Roman"/>
                <w:sz w:val="23"/>
              </w:rPr>
            </w:pPr>
          </w:p>
          <w:p>
            <w:pPr>
              <w:pStyle w:val="TableParagraph"/>
              <w:spacing w:before="0"/>
              <w:ind w:right="111"/>
              <w:rPr>
                <w:sz w:val="22"/>
              </w:rPr>
            </w:pPr>
            <w:r>
              <w:rPr>
                <w:sz w:val="22"/>
              </w:rPr>
              <w:t>A value of </w:t>
            </w:r>
            <w:r>
              <w:rPr>
                <w:rFonts w:ascii="Consolas"/>
                <w:sz w:val="20"/>
              </w:rPr>
              <w:t>0 </w:t>
            </w:r>
            <w:r>
              <w:rPr>
                <w:sz w:val="22"/>
              </w:rPr>
              <w:t>or </w:t>
            </w:r>
            <w:r>
              <w:rPr>
                <w:rFonts w:ascii="Consolas"/>
                <w:sz w:val="20"/>
              </w:rPr>
              <w:t>false </w:t>
            </w:r>
            <w:r>
              <w:rPr>
                <w:sz w:val="22"/>
              </w:rPr>
              <w:t>indicates that the application should not attempt to calculate formulas with circular references. The calculation engine stops on the first iteration when it encounters a circular references.</w:t>
            </w:r>
          </w:p>
          <w:p>
            <w:pPr>
              <w:pStyle w:val="TableParagraph"/>
              <w:spacing w:before="5"/>
              <w:ind w:left="0"/>
              <w:rPr>
                <w:rFonts w:ascii="Times New Roman"/>
                <w:sz w:val="23"/>
              </w:rPr>
            </w:pPr>
          </w:p>
          <w:p>
            <w:pPr>
              <w:pStyle w:val="TableParagraph"/>
              <w:spacing w:before="0"/>
              <w:rPr>
                <w:sz w:val="22"/>
              </w:rPr>
            </w:pPr>
            <w:r>
              <w:rPr>
                <w:sz w:val="22"/>
              </w:rPr>
              <w:t>The default value for this attribute is false.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spacing w:before="42"/>
              <w:rPr>
                <w:rFonts w:ascii="Cambria"/>
                <w:sz w:val="22"/>
              </w:rPr>
            </w:pPr>
            <w:r>
              <w:rPr>
                <w:rFonts w:ascii="Cambria"/>
                <w:sz w:val="22"/>
              </w:rPr>
              <w:t>iterateCount</w:t>
            </w:r>
          </w:p>
        </w:tc>
        <w:tc>
          <w:tcPr>
            <w:tcW w:w="8250" w:type="dxa"/>
          </w:tcPr>
          <w:p>
            <w:pPr>
              <w:pStyle w:val="TableParagraph"/>
              <w:rPr>
                <w:sz w:val="22"/>
              </w:rPr>
            </w:pPr>
            <w:r>
              <w:rPr>
                <w:sz w:val="22"/>
              </w:rPr>
              <w:t>Specifies the number of iterations the calculation engine attempts when calculating a</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rPr>
                <w:sz w:val="22"/>
              </w:rPr>
            </w:pPr>
            <w:r>
              <w:rPr>
                <w:sz w:val="22"/>
              </w:rPr>
              <w:t>(Iteration Count)</w:t>
            </w:r>
          </w:p>
        </w:tc>
        <w:tc>
          <w:tcPr>
            <w:tcW w:w="8250" w:type="dxa"/>
          </w:tcPr>
          <w:p>
            <w:pPr>
              <w:pStyle w:val="TableParagraph"/>
              <w:spacing w:line="480" w:lineRule="auto"/>
              <w:ind w:right="2970"/>
              <w:rPr>
                <w:sz w:val="22"/>
              </w:rPr>
            </w:pPr>
            <w:r>
              <w:rPr>
                <w:sz w:val="22"/>
              </w:rPr>
              <w:t>workbook with circular references, when </w:t>
            </w:r>
            <w:r>
              <w:rPr>
                <w:rFonts w:ascii="Consolas"/>
                <w:sz w:val="20"/>
              </w:rPr>
              <w:t>iterate</w:t>
            </w:r>
            <w:r>
              <w:rPr>
                <w:rFonts w:ascii="Consolas"/>
                <w:spacing w:val="-73"/>
                <w:sz w:val="20"/>
              </w:rPr>
              <w:t> </w:t>
            </w:r>
            <w:r>
              <w:rPr>
                <w:sz w:val="22"/>
              </w:rPr>
              <w:t>is true. The default value for this attribute is 100.</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503" w:hRule="atLeast"/>
        </w:trPr>
        <w:tc>
          <w:tcPr>
            <w:tcW w:w="2062" w:type="dxa"/>
          </w:tcPr>
          <w:p>
            <w:pPr>
              <w:pStyle w:val="TableParagraph"/>
              <w:spacing w:before="42"/>
              <w:ind w:right="332"/>
              <w:rPr>
                <w:sz w:val="22"/>
              </w:rPr>
            </w:pPr>
            <w:r>
              <w:rPr>
                <w:rFonts w:ascii="Cambria"/>
                <w:sz w:val="22"/>
              </w:rPr>
              <w:t>iterateDelta </w:t>
            </w:r>
            <w:r>
              <w:rPr>
                <w:sz w:val="22"/>
              </w:rPr>
              <w:t>(Iterative Calculation Delta)</w:t>
            </w:r>
          </w:p>
        </w:tc>
        <w:tc>
          <w:tcPr>
            <w:tcW w:w="8250" w:type="dxa"/>
          </w:tcPr>
          <w:p>
            <w:pPr>
              <w:pStyle w:val="TableParagraph"/>
              <w:ind w:right="157"/>
              <w:rPr>
                <w:sz w:val="22"/>
              </w:rPr>
            </w:pPr>
            <w:r>
              <w:rPr>
                <w:sz w:val="22"/>
              </w:rPr>
              <w:t>Specifies a double that contains the maximum change for iterative calculations. The application stops calculating after </w:t>
            </w:r>
            <w:r>
              <w:rPr>
                <w:rFonts w:ascii="Cambria"/>
                <w:sz w:val="22"/>
              </w:rPr>
              <w:t>iterateCount </w:t>
            </w:r>
            <w:r>
              <w:rPr>
                <w:sz w:val="22"/>
              </w:rPr>
              <w:t>iterations or after all values in the circular reference change by less than </w:t>
            </w:r>
            <w:r>
              <w:rPr>
                <w:rFonts w:ascii="Cambria"/>
                <w:sz w:val="22"/>
              </w:rPr>
              <w:t>iterateDelta </w:t>
            </w:r>
            <w:r>
              <w:rPr>
                <w:sz w:val="22"/>
              </w:rPr>
              <w:t>between iterations, whichever comes first.</w:t>
            </w:r>
          </w:p>
          <w:p>
            <w:pPr>
              <w:pStyle w:val="TableParagraph"/>
              <w:spacing w:before="5"/>
              <w:ind w:left="0"/>
              <w:rPr>
                <w:rFonts w:ascii="Times New Roman"/>
                <w:sz w:val="23"/>
              </w:rPr>
            </w:pPr>
          </w:p>
          <w:p>
            <w:pPr>
              <w:pStyle w:val="TableParagraph"/>
              <w:spacing w:before="0"/>
              <w:rPr>
                <w:sz w:val="22"/>
              </w:rPr>
            </w:pPr>
            <w:r>
              <w:rPr>
                <w:sz w:val="22"/>
              </w:rPr>
              <w:t>The default value for this attribute is "0.001"</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double</w:t>
            </w:r>
          </w:p>
          <w:p>
            <w:pPr>
              <w:pStyle w:val="TableParagraph"/>
              <w:spacing w:line="267" w:lineRule="exact" w:before="0"/>
              <w:rPr>
                <w:sz w:val="22"/>
              </w:rPr>
            </w:pPr>
            <w:r>
              <w:rPr>
                <w:sz w:val="22"/>
              </w:rPr>
              <w:t>datatype.</w:t>
            </w:r>
          </w:p>
        </w:tc>
      </w:tr>
      <w:tr>
        <w:trPr>
          <w:trHeight w:val="2236" w:hRule="atLeast"/>
        </w:trPr>
        <w:tc>
          <w:tcPr>
            <w:tcW w:w="2062" w:type="dxa"/>
          </w:tcPr>
          <w:p>
            <w:pPr>
              <w:pStyle w:val="TableParagraph"/>
              <w:ind w:right="101"/>
              <w:rPr>
                <w:sz w:val="22"/>
              </w:rPr>
            </w:pPr>
            <w:r>
              <w:rPr>
                <w:rFonts w:ascii="Cambria"/>
                <w:sz w:val="22"/>
              </w:rPr>
              <w:t>refMode </w:t>
            </w:r>
            <w:r>
              <w:rPr>
                <w:sz w:val="22"/>
              </w:rPr>
              <w:t>(Reference Mode)</w:t>
            </w:r>
          </w:p>
        </w:tc>
        <w:tc>
          <w:tcPr>
            <w:tcW w:w="8250" w:type="dxa"/>
          </w:tcPr>
          <w:p>
            <w:pPr>
              <w:pStyle w:val="TableParagraph"/>
              <w:ind w:right="231"/>
              <w:rPr>
                <w:sz w:val="22"/>
              </w:rPr>
            </w:pPr>
            <w:r>
              <w:rPr>
                <w:sz w:val="22"/>
              </w:rPr>
              <w:t>Specifies the reference style for this workbook. Instead of using letters for columns and numbers for rows ("A1"), this option enables using numbers for both rows and columns. Cells are then referred to in this format: R1C1.</w:t>
            </w:r>
          </w:p>
          <w:p>
            <w:pPr>
              <w:pStyle w:val="TableParagraph"/>
              <w:spacing w:before="4"/>
              <w:ind w:left="0"/>
              <w:rPr>
                <w:rFonts w:ascii="Times New Roman"/>
                <w:sz w:val="23"/>
              </w:rPr>
            </w:pPr>
          </w:p>
          <w:p>
            <w:pPr>
              <w:pStyle w:val="TableParagraph"/>
              <w:spacing w:before="1"/>
              <w:rPr>
                <w:sz w:val="22"/>
              </w:rPr>
            </w:pPr>
            <w:r>
              <w:rPr>
                <w:sz w:val="22"/>
              </w:rPr>
              <w:t>The default value for this attribute is "A1."</w:t>
            </w:r>
          </w:p>
          <w:p>
            <w:pPr>
              <w:pStyle w:val="TableParagraph"/>
              <w:spacing w:before="4"/>
              <w:ind w:left="0"/>
              <w:rPr>
                <w:rFonts w:ascii="Times New Roman"/>
                <w:sz w:val="23"/>
              </w:rPr>
            </w:pPr>
          </w:p>
          <w:p>
            <w:pPr>
              <w:pStyle w:val="TableParagraph"/>
              <w:spacing w:before="0"/>
              <w:ind w:right="869"/>
              <w:rPr>
                <w:sz w:val="22"/>
              </w:rPr>
            </w:pPr>
            <w:r>
              <w:rPr>
                <w:sz w:val="22"/>
              </w:rPr>
              <w:t>The possible values for this attribute are defined by the </w:t>
            </w:r>
            <w:r>
              <w:rPr>
                <w:rFonts w:ascii="Cambria" w:hAnsi="Cambria"/>
                <w:sz w:val="22"/>
              </w:rPr>
              <w:t>ST_RefMode </w:t>
            </w:r>
            <w:r>
              <w:rPr>
                <w:sz w:val="22"/>
              </w:rPr>
              <w:t>simple type </w:t>
            </w:r>
            <w:hyperlink w:history="true" w:anchor="_bookmark886">
              <w:r>
                <w:rPr>
                  <w:sz w:val="22"/>
                </w:rPr>
                <w:t>(§18.18.64</w:t>
              </w:r>
            </w:hyperlink>
            <w:r>
              <w:rPr>
                <w:sz w:val="22"/>
              </w:rPr>
              <w:t>).</w:t>
            </w:r>
          </w:p>
        </w:tc>
      </w:tr>
    </w:tbl>
    <w:p>
      <w:pPr>
        <w:pStyle w:val="BodyText"/>
        <w:rPr>
          <w:rFonts w:ascii="Times New Roman"/>
          <w:sz w:val="20"/>
        </w:rPr>
      </w:pPr>
    </w:p>
    <w:p>
      <w:pPr>
        <w:pStyle w:val="BodyText"/>
        <w:spacing w:before="3"/>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CT_CalcPr</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3 customWorkbookView (Custom Workbo" w:id="14"/>
      <w:bookmarkEnd w:id="14"/>
      <w:r>
        <w:rPr>
          <w:b w:val="0"/>
        </w:rPr>
      </w:r>
      <w:bookmarkStart w:name="_bookmark3" w:id="15"/>
      <w:bookmarkEnd w:id="15"/>
      <w:r>
        <w:rPr>
          <w:b w:val="0"/>
        </w:rPr>
      </w:r>
      <w:bookmarkStart w:name="_bookmark3" w:id="16"/>
      <w:bookmarkEnd w:id="16"/>
      <w:r>
        <w:rPr>
          <w:color w:val="4F81BC"/>
        </w:rPr>
        <w:t>c</w:t>
      </w:r>
      <w:r>
        <w:rPr>
          <w:color w:val="4F81BC"/>
        </w:rPr>
        <w:t>ustomWorkbookView (Custom Workbook</w:t>
      </w:r>
      <w:r>
        <w:rPr>
          <w:color w:val="4F81BC"/>
          <w:spacing w:val="-2"/>
        </w:rPr>
        <w:t> </w:t>
      </w:r>
      <w:r>
        <w:rPr>
          <w:color w:val="4F81BC"/>
        </w:rPr>
        <w:t>View)</w:t>
      </w:r>
    </w:p>
    <w:p>
      <w:pPr>
        <w:pStyle w:val="BodyText"/>
        <w:spacing w:line="276" w:lineRule="auto" w:before="121"/>
        <w:ind w:left="220" w:right="513"/>
      </w:pPr>
      <w:r>
        <w:rPr/>
        <w:t>This element specifies a single custom workbook view. A custom workbook view consists of a set of display and print settings that you can name and apply to a workbook. You can create more than one custom workbook view of the same workbook. Custom Workbook Views are not required in order to construct a valid SpreadsheetML document, and are not necessary if the document is never displayed by a spreadsheet application, or if the spreadsheet application has a fixed display for workbooks. However, if a spreadsheet application chooses to implement configurable display modes, the </w:t>
      </w:r>
      <w:r>
        <w:rPr>
          <w:rFonts w:ascii="Cambria"/>
        </w:rPr>
        <w:t>customWorkbookView </w:t>
      </w:r>
      <w:r>
        <w:rPr/>
        <w:t>element should be used to persist the settings for those display modes. The settings fall into the following categories, and individual settings are detailed in the table following:</w:t>
      </w:r>
    </w:p>
    <w:p>
      <w:pPr>
        <w:pStyle w:val="BodyText"/>
        <w:spacing w:before="6"/>
        <w:rPr>
          <w:sz w:val="16"/>
        </w:rPr>
      </w:pPr>
    </w:p>
    <w:p>
      <w:pPr>
        <w:pStyle w:val="BodyText"/>
        <w:spacing w:line="278" w:lineRule="auto"/>
        <w:ind w:left="220" w:right="1028"/>
      </w:pPr>
      <w:r>
        <w:rPr/>
        <w:t>Window settings - these include size and positioning of the spreadsheet window as well as which window features should be displayed (scrollbars, sheet tabs, etc.).</w:t>
      </w:r>
    </w:p>
    <w:p>
      <w:pPr>
        <w:pStyle w:val="BodyText"/>
        <w:spacing w:line="273" w:lineRule="auto" w:before="196"/>
        <w:ind w:left="220" w:right="439"/>
      </w:pPr>
      <w:r>
        <w:rPr/>
        <w:t>Workbook content display and print settings - specifies whether features in the workbook should be included or ignored by a spreadsheet application when a custom workbook view is displayed or printed. [</w:t>
      </w:r>
      <w:r>
        <w:rPr>
          <w:i/>
        </w:rPr>
        <w:t>Example</w:t>
      </w:r>
      <w:r>
        <w:rPr/>
        <w:t>: Whether</w:t>
      </w:r>
    </w:p>
    <w:p>
      <w:pPr>
        <w:spacing w:after="0" w:line="273" w:lineRule="auto"/>
        <w:sectPr>
          <w:pgSz w:w="12240" w:h="15840"/>
          <w:pgMar w:header="763" w:footer="746" w:top="1340" w:bottom="940" w:left="860" w:right="700"/>
        </w:sectPr>
      </w:pPr>
    </w:p>
    <w:p>
      <w:pPr>
        <w:pStyle w:val="BodyText"/>
        <w:spacing w:line="278" w:lineRule="auto" w:before="90"/>
        <w:ind w:left="220" w:right="798"/>
      </w:pPr>
      <w:r>
        <w:rPr/>
        <w:pict>
          <v:rect style="position:absolute;margin-left:290.329987pt;margin-top:620.740051pt;width:2.52pt;height:.71997pt;mso-position-horizontal-relative:page;mso-position-vertical-relative:page;z-index:-335982592" filled="true" fillcolor="#006fc0" stroked="false">
            <v:fill type="solid"/>
            <w10:wrap type="none"/>
          </v:rect>
        </w:pict>
      </w:r>
      <w:r>
        <w:rPr/>
        <w:pict>
          <v:rect style="position:absolute;margin-left:248.809998pt;margin-top:674.5pt;width:2.52pt;height:.71997pt;mso-position-horizontal-relative:page;mso-position-vertical-relative:page;z-index:-335981568" filled="true" fillcolor="#006fc0" stroked="false">
            <v:fill type="solid"/>
            <w10:wrap type="none"/>
          </v:rect>
        </w:pict>
      </w:r>
      <w:r>
        <w:rPr/>
        <w:t>comments in the workbook should be displayed and how objects such as images should be displayed can be controlled by a Custom Workbook View. </w:t>
      </w:r>
      <w:r>
        <w:rPr>
          <w:i/>
        </w:rPr>
        <w:t>end example</w:t>
      </w:r>
      <w:r>
        <w:rPr/>
        <w:t>]</w:t>
      </w:r>
    </w:p>
    <w:p>
      <w:pPr>
        <w:pStyle w:val="BodyText"/>
        <w:spacing w:line="276" w:lineRule="auto" w:before="196"/>
        <w:ind w:left="220" w:right="571"/>
      </w:pPr>
      <w:r>
        <w:rPr/>
        <w:t>Persistence settings - these include settings that describe how a spreadsheet application should update persisted SpreadsheetML content if multiple spreadsheet applications are accessing a common instance of the SpreadsheetML document at the same time.</w:t>
      </w:r>
    </w:p>
    <w:p>
      <w:pPr>
        <w:pStyle w:val="BodyText"/>
        <w:spacing w:before="4"/>
        <w:rPr>
          <w:sz w:val="16"/>
        </w:rPr>
      </w:pPr>
    </w:p>
    <w:p>
      <w:pPr>
        <w:pStyle w:val="BodyText"/>
        <w:spacing w:line="276" w:lineRule="auto"/>
        <w:ind w:left="220" w:right="497"/>
      </w:pPr>
      <w:r>
        <w:rPr/>
        <w:t>When a Custom Workbook View is present, there should also be corresponding </w:t>
      </w:r>
      <w:r>
        <w:rPr>
          <w:rFonts w:ascii="Cambria" w:hAnsi="Cambria"/>
        </w:rPr>
        <w:t>customSheetView </w:t>
      </w:r>
      <w:r>
        <w:rPr/>
        <w:t>(</w:t>
      </w:r>
      <w:hyperlink w:history="true" w:anchor="_bookmark57">
        <w:r>
          <w:rPr/>
          <w:t>§18.3.1.25</w:t>
        </w:r>
      </w:hyperlink>
      <w:r>
        <w:rPr/>
        <w:t>) elements for each </w:t>
      </w:r>
      <w:r>
        <w:rPr>
          <w:rFonts w:ascii="Cambria" w:hAnsi="Cambria"/>
        </w:rPr>
        <w:t>sheet </w:t>
      </w:r>
      <w:r>
        <w:rPr/>
        <w:t>(§</w:t>
      </w:r>
      <w:hyperlink w:history="true" w:anchor="_bookmark19">
        <w:r>
          <w:rPr/>
          <w:t>18.2.19</w:t>
        </w:r>
      </w:hyperlink>
      <w:r>
        <w:rPr/>
        <w:t>) in the workbook. The guid attribute of these </w:t>
      </w:r>
      <w:r>
        <w:rPr>
          <w:rFonts w:ascii="Cambria" w:hAnsi="Cambria"/>
        </w:rPr>
        <w:t>customSheetView </w:t>
      </w:r>
      <w:r>
        <w:rPr/>
        <w:t>elements associates the </w:t>
      </w:r>
      <w:r>
        <w:rPr>
          <w:rFonts w:ascii="Cambria" w:hAnsi="Cambria"/>
        </w:rPr>
        <w:t>customSheetView </w:t>
      </w:r>
      <w:r>
        <w:rPr/>
        <w:t>with the appropriate </w:t>
      </w:r>
      <w:r>
        <w:rPr>
          <w:rFonts w:ascii="Cambria" w:hAnsi="Cambria"/>
        </w:rPr>
        <w:t>customWorkbookView</w:t>
      </w:r>
      <w:r>
        <w:rPr/>
        <w:t>. Attributes on the </w:t>
      </w:r>
      <w:r>
        <w:rPr>
          <w:rFonts w:ascii="Cambria" w:hAnsi="Cambria"/>
        </w:rPr>
        <w:t>customWorkbookView </w:t>
      </w:r>
      <w:r>
        <w:rPr/>
        <w:t>element should be used to determine which settings within the Custom Sheet View should be respected by a spreadsheet application if the Custom Workbook View is displayed.</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spacing w:line="237" w:lineRule="auto" w:before="45"/>
              <w:ind w:right="522"/>
              <w:rPr>
                <w:sz w:val="22"/>
              </w:rPr>
            </w:pPr>
            <w:r>
              <w:rPr>
                <w:rFonts w:ascii="Cambria"/>
                <w:sz w:val="22"/>
              </w:rPr>
              <w:t>activeSheetId </w:t>
            </w:r>
            <w:r>
              <w:rPr>
                <w:sz w:val="22"/>
              </w:rPr>
              <w:t>(Active Sheet in Book View)</w:t>
            </w:r>
          </w:p>
        </w:tc>
        <w:tc>
          <w:tcPr>
            <w:tcW w:w="8250" w:type="dxa"/>
          </w:tcPr>
          <w:p>
            <w:pPr>
              <w:pStyle w:val="TableParagraph"/>
              <w:ind w:right="738"/>
              <w:rPr>
                <w:sz w:val="22"/>
              </w:rPr>
            </w:pPr>
            <w:r>
              <w:rPr>
                <w:sz w:val="22"/>
              </w:rPr>
              <w:t>Specifies the </w:t>
            </w:r>
            <w:r>
              <w:rPr>
                <w:rFonts w:ascii="Cambria"/>
                <w:sz w:val="22"/>
              </w:rPr>
              <w:t>sheetId </w:t>
            </w:r>
            <w:r>
              <w:rPr>
                <w:sz w:val="22"/>
              </w:rPr>
              <w:t>of a sheet in the workbook that identifies to a consuming application the default sheet to display. Corresponds to a </w:t>
            </w:r>
            <w:r>
              <w:rPr>
                <w:rFonts w:ascii="Cambria"/>
                <w:sz w:val="22"/>
              </w:rPr>
              <w:t>sheetId </w:t>
            </w:r>
            <w:r>
              <w:rPr>
                <w:sz w:val="22"/>
              </w:rPr>
              <w:t>of a </w:t>
            </w:r>
            <w:r>
              <w:rPr>
                <w:rFonts w:ascii="Cambria"/>
                <w:sz w:val="22"/>
              </w:rPr>
              <w:t>sheet </w:t>
            </w:r>
            <w:r>
              <w:rPr>
                <w:sz w:val="22"/>
              </w:rPr>
              <w:t>in the </w:t>
            </w:r>
            <w:r>
              <w:rPr>
                <w:rFonts w:ascii="Cambria"/>
                <w:sz w:val="22"/>
              </w:rPr>
              <w:t>sheets </w:t>
            </w:r>
            <w:r>
              <w:rPr>
                <w:sz w:val="22"/>
              </w:rPr>
              <w:t>collection.</w:t>
            </w:r>
          </w:p>
          <w:p>
            <w:pPr>
              <w:pStyle w:val="TableParagraph"/>
              <w:spacing w:before="10"/>
              <w:ind w:left="0"/>
              <w:rPr>
                <w:sz w:val="21"/>
              </w:rPr>
            </w:pPr>
          </w:p>
          <w:p>
            <w:pPr>
              <w:pStyle w:val="TableParagraph"/>
              <w:spacing w:before="0"/>
              <w:rPr>
                <w:sz w:val="22"/>
              </w:rPr>
            </w:pPr>
            <w:r>
              <w:rPr>
                <w:sz w:val="22"/>
              </w:rPr>
              <w:t>This attribute is required.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4382" w:hRule="atLeast"/>
        </w:trPr>
        <w:tc>
          <w:tcPr>
            <w:tcW w:w="2062" w:type="dxa"/>
          </w:tcPr>
          <w:p>
            <w:pPr>
              <w:pStyle w:val="TableParagraph"/>
              <w:ind w:right="273"/>
              <w:rPr>
                <w:sz w:val="22"/>
              </w:rPr>
            </w:pPr>
            <w:r>
              <w:rPr>
                <w:rFonts w:ascii="Cambria"/>
                <w:sz w:val="22"/>
              </w:rPr>
              <w:t>autoUpdate </w:t>
            </w:r>
            <w:r>
              <w:rPr>
                <w:sz w:val="22"/>
              </w:rPr>
              <w:t>(Auto Update)</w:t>
            </w:r>
          </w:p>
        </w:tc>
        <w:tc>
          <w:tcPr>
            <w:tcW w:w="8250" w:type="dxa"/>
          </w:tcPr>
          <w:p>
            <w:pPr>
              <w:pStyle w:val="TableParagraph"/>
              <w:ind w:right="106"/>
              <w:rPr>
                <w:sz w:val="22"/>
              </w:rPr>
            </w:pPr>
            <w:r>
              <w:rPr>
                <w:sz w:val="22"/>
              </w:rPr>
              <w:t>Specifies a boolean value that is an instruction that if the workbook is loaded by a spreadsheet application, that spreadsheet application should automatically update changes at the interval specified by the </w:t>
            </w:r>
            <w:r>
              <w:rPr>
                <w:rFonts w:ascii="Consolas" w:hAnsi="Consolas"/>
                <w:sz w:val="20"/>
              </w:rPr>
              <w:t>mergeInterval</w:t>
            </w:r>
            <w:r>
              <w:rPr>
                <w:rFonts w:ascii="Consolas" w:hAnsi="Consolas"/>
                <w:spacing w:val="-83"/>
                <w:sz w:val="20"/>
              </w:rPr>
              <w:t> </w:t>
            </w:r>
            <w:r>
              <w:rPr>
                <w:sz w:val="22"/>
              </w:rPr>
              <w:t>attribute. This is only applicable for shared workbooks (</w:t>
            </w:r>
            <w:hyperlink w:history="true" w:anchor="_bookmark349">
              <w:r>
                <w:rPr>
                  <w:sz w:val="22"/>
                </w:rPr>
                <w:t>§18.11</w:t>
              </w:r>
            </w:hyperlink>
            <w:r>
              <w:rPr>
                <w:sz w:val="22"/>
              </w:rPr>
              <w:t>).</w:t>
            </w:r>
          </w:p>
          <w:p>
            <w:pPr>
              <w:pStyle w:val="TableParagraph"/>
              <w:spacing w:before="11"/>
              <w:ind w:left="0"/>
              <w:rPr>
                <w:sz w:val="21"/>
              </w:rPr>
            </w:pPr>
          </w:p>
          <w:p>
            <w:pPr>
              <w:pStyle w:val="TableParagraph"/>
              <w:spacing w:before="0"/>
              <w:ind w:right="298"/>
              <w:rPr>
                <w:sz w:val="22"/>
              </w:rPr>
            </w:pPr>
            <w:r>
              <w:rPr>
                <w:sz w:val="22"/>
              </w:rPr>
              <w:t>A value of </w:t>
            </w:r>
            <w:r>
              <w:rPr>
                <w:rFonts w:ascii="Consolas"/>
                <w:sz w:val="20"/>
              </w:rPr>
              <w:t>1</w:t>
            </w:r>
            <w:r>
              <w:rPr>
                <w:rFonts w:ascii="Consolas"/>
                <w:spacing w:val="-61"/>
                <w:sz w:val="20"/>
              </w:rPr>
              <w:t> </w:t>
            </w:r>
            <w:r>
              <w:rPr>
                <w:sz w:val="22"/>
              </w:rPr>
              <w:t>or </w:t>
            </w:r>
            <w:r>
              <w:rPr>
                <w:rFonts w:ascii="Consolas"/>
                <w:sz w:val="20"/>
              </w:rPr>
              <w:t>true</w:t>
            </w:r>
            <w:r>
              <w:rPr>
                <w:rFonts w:ascii="Consolas"/>
                <w:spacing w:val="-63"/>
                <w:sz w:val="20"/>
              </w:rPr>
              <w:t> </w:t>
            </w:r>
            <w:r>
              <w:rPr>
                <w:sz w:val="22"/>
              </w:rPr>
              <w:t>is an instruction to the spreadsheet application to update changes at the interval specified in the </w:t>
            </w:r>
            <w:r>
              <w:rPr>
                <w:rFonts w:ascii="Consolas"/>
                <w:sz w:val="20"/>
              </w:rPr>
              <w:t>mergeInterval</w:t>
            </w:r>
            <w:r>
              <w:rPr>
                <w:rFonts w:ascii="Consolas"/>
                <w:spacing w:val="-59"/>
                <w:sz w:val="20"/>
              </w:rPr>
              <w:t> </w:t>
            </w:r>
            <w:r>
              <w:rPr>
                <w:sz w:val="22"/>
              </w:rPr>
              <w:t>attribute.</w:t>
            </w:r>
          </w:p>
          <w:p>
            <w:pPr>
              <w:pStyle w:val="TableParagraph"/>
              <w:spacing w:before="1"/>
              <w:ind w:left="0"/>
              <w:rPr>
                <w:sz w:val="22"/>
              </w:rPr>
            </w:pPr>
          </w:p>
          <w:p>
            <w:pPr>
              <w:pStyle w:val="TableParagraph"/>
              <w:spacing w:before="0"/>
              <w:ind w:right="30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is an instruction to the spreadsheet applicationto update changes whenever the spreadsheet application generates SpreadsheetML representing the workbook.</w:t>
            </w:r>
          </w:p>
          <w:p>
            <w:pPr>
              <w:pStyle w:val="TableParagraph"/>
              <w:spacing w:before="1"/>
              <w:ind w:left="0"/>
              <w:rPr>
                <w:sz w:val="22"/>
              </w:rPr>
            </w:pPr>
          </w:p>
          <w:p>
            <w:pPr>
              <w:pStyle w:val="TableParagraph"/>
              <w:spacing w:before="0"/>
              <w:rPr>
                <w:sz w:val="22"/>
              </w:rPr>
            </w:pPr>
            <w:r>
              <w:rPr>
                <w:sz w:val="22"/>
              </w:rPr>
              <w:t>The default value for this attribute is false.</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236" w:hRule="atLeast"/>
        </w:trPr>
        <w:tc>
          <w:tcPr>
            <w:tcW w:w="2062" w:type="dxa"/>
          </w:tcPr>
          <w:p>
            <w:pPr>
              <w:pStyle w:val="TableParagraph"/>
              <w:spacing w:before="43"/>
              <w:ind w:right="214"/>
              <w:rPr>
                <w:sz w:val="22"/>
              </w:rPr>
            </w:pPr>
            <w:r>
              <w:rPr>
                <w:rFonts w:ascii="Cambria"/>
                <w:sz w:val="22"/>
              </w:rPr>
              <w:t>changesSavedWin </w:t>
            </w:r>
            <w:r>
              <w:rPr>
                <w:sz w:val="22"/>
              </w:rPr>
              <w:t>(Changes Saved Win)</w:t>
            </w:r>
          </w:p>
        </w:tc>
        <w:tc>
          <w:tcPr>
            <w:tcW w:w="8250" w:type="dxa"/>
          </w:tcPr>
          <w:p>
            <w:pPr>
              <w:pStyle w:val="TableParagraph"/>
              <w:ind w:right="233"/>
              <w:rPr>
                <w:sz w:val="22"/>
              </w:rPr>
            </w:pPr>
            <w:r>
              <w:rPr>
                <w:sz w:val="22"/>
              </w:rPr>
              <w:t>Specifies a boolean value that instructs a spreadsheet application to overwrite the persisted version of the document with the updated version being persisted. This is only applicable for shared workbooks in automatic update mode.</w:t>
            </w:r>
          </w:p>
          <w:p>
            <w:pPr>
              <w:pStyle w:val="TableParagraph"/>
              <w:spacing w:before="1"/>
              <w:ind w:left="0"/>
              <w:rPr>
                <w:sz w:val="22"/>
              </w:rPr>
            </w:pPr>
          </w:p>
          <w:p>
            <w:pPr>
              <w:pStyle w:val="TableParagraph"/>
              <w:spacing w:before="0"/>
              <w:rPr>
                <w:sz w:val="22"/>
              </w:rPr>
            </w:pPr>
            <w:r>
              <w:rPr>
                <w:sz w:val="22"/>
              </w:rPr>
              <w:t>A value of </w:t>
            </w:r>
            <w:r>
              <w:rPr>
                <w:rFonts w:ascii="Consolas"/>
                <w:sz w:val="20"/>
              </w:rPr>
              <w:t>1</w:t>
            </w:r>
            <w:r>
              <w:rPr>
                <w:rFonts w:ascii="Consolas"/>
                <w:spacing w:val="-91"/>
                <w:sz w:val="20"/>
              </w:rPr>
              <w:t> </w:t>
            </w:r>
            <w:r>
              <w:rPr>
                <w:sz w:val="22"/>
              </w:rPr>
              <w:t>or </w:t>
            </w:r>
            <w:r>
              <w:rPr>
                <w:rFonts w:ascii="Consolas"/>
                <w:sz w:val="20"/>
              </w:rPr>
              <w:t>true </w:t>
            </w:r>
            <w:r>
              <w:rPr>
                <w:sz w:val="22"/>
              </w:rPr>
              <w:t>instructs a spreadsheet application to overwrite changes in the persisted version of a shared workbook when conflicts in data are found.</w:t>
            </w:r>
          </w:p>
          <w:p>
            <w:pPr>
              <w:pStyle w:val="TableParagraph"/>
              <w:spacing w:before="1"/>
              <w:ind w:left="0"/>
              <w:rPr>
                <w:sz w:val="22"/>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instructs a spreadsheet application to not overwrite changes in the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2265"/>
              <w:rPr>
                <w:sz w:val="22"/>
              </w:rPr>
            </w:pPr>
            <w:r>
              <w:rPr>
                <w:sz w:val="22"/>
              </w:rPr>
              <w:t>persisted version of a shared workbook when conflicts are found. The default value for this attribute is false.</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92" w:hRule="atLeast"/>
        </w:trPr>
        <w:tc>
          <w:tcPr>
            <w:tcW w:w="2062" w:type="dxa"/>
          </w:tcPr>
          <w:p>
            <w:pPr>
              <w:pStyle w:val="TableParagraph"/>
              <w:ind w:right="212"/>
              <w:rPr>
                <w:sz w:val="22"/>
              </w:rPr>
            </w:pPr>
            <w:r>
              <w:rPr>
                <w:rFonts w:ascii="Cambria"/>
                <w:sz w:val="22"/>
              </w:rPr>
              <w:t>guid </w:t>
            </w:r>
            <w:r>
              <w:rPr>
                <w:sz w:val="22"/>
              </w:rPr>
              <w:t>(Custom View GUID)</w:t>
            </w:r>
          </w:p>
        </w:tc>
        <w:tc>
          <w:tcPr>
            <w:tcW w:w="8250" w:type="dxa"/>
          </w:tcPr>
          <w:p>
            <w:pPr>
              <w:pStyle w:val="TableParagraph"/>
              <w:rPr>
                <w:sz w:val="22"/>
              </w:rPr>
            </w:pPr>
            <w:r>
              <w:rPr>
                <w:sz w:val="22"/>
              </w:rPr>
              <w:t>Specifies a globally unique identifier (GUID) for this custom view</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3578" w:hRule="atLeast"/>
        </w:trPr>
        <w:tc>
          <w:tcPr>
            <w:tcW w:w="2062" w:type="dxa"/>
          </w:tcPr>
          <w:p>
            <w:pPr>
              <w:pStyle w:val="TableParagraph"/>
              <w:spacing w:line="237" w:lineRule="auto" w:before="45"/>
              <w:ind w:right="130"/>
              <w:jc w:val="both"/>
              <w:rPr>
                <w:sz w:val="22"/>
              </w:rPr>
            </w:pPr>
            <w:r>
              <w:rPr>
                <w:rFonts w:ascii="Cambria"/>
                <w:sz w:val="22"/>
              </w:rPr>
              <w:t>includeHiddenRow Col </w:t>
            </w:r>
            <w:r>
              <w:rPr>
                <w:sz w:val="22"/>
              </w:rPr>
              <w:t>(Include Hidden Rows &amp; Columns)</w:t>
            </w:r>
          </w:p>
        </w:tc>
        <w:tc>
          <w:tcPr>
            <w:tcW w:w="8250" w:type="dxa"/>
          </w:tcPr>
          <w:p>
            <w:pPr>
              <w:pStyle w:val="TableParagraph"/>
              <w:ind w:right="388"/>
              <w:rPr>
                <w:sz w:val="22"/>
              </w:rPr>
            </w:pPr>
            <w:r>
              <w:rPr>
                <w:sz w:val="22"/>
              </w:rPr>
              <w:t>Specifies a boolean value that indicates whether to include hidden rows, columns, and filter settings in this custom view.</w:t>
            </w:r>
          </w:p>
          <w:p>
            <w:pPr>
              <w:pStyle w:val="TableParagraph"/>
              <w:spacing w:before="5"/>
              <w:ind w:left="0"/>
              <w:rPr>
                <w:rFonts w:ascii="Times New Roman"/>
                <w:sz w:val="23"/>
              </w:rPr>
            </w:pPr>
          </w:p>
          <w:p>
            <w:pPr>
              <w:pStyle w:val="TableParagraph"/>
              <w:spacing w:before="0"/>
              <w:ind w:right="219"/>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that hidden rows, columns, and filter settings are included in this custom view.</w:t>
            </w:r>
          </w:p>
          <w:p>
            <w:pPr>
              <w:pStyle w:val="TableParagraph"/>
              <w:spacing w:before="2"/>
              <w:ind w:left="0"/>
              <w:rPr>
                <w:rFonts w:ascii="Times New Roman"/>
                <w:sz w:val="23"/>
              </w:rPr>
            </w:pPr>
          </w:p>
          <w:p>
            <w:pPr>
              <w:pStyle w:val="TableParagraph"/>
              <w:spacing w:before="0"/>
              <w:ind w:right="565"/>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that hidden rows, columns, and filter settings are not included.</w:t>
            </w:r>
          </w:p>
          <w:p>
            <w:pPr>
              <w:pStyle w:val="TableParagraph"/>
              <w:spacing w:before="5"/>
              <w:ind w:left="0"/>
              <w:rPr>
                <w:rFonts w:ascii="Times New Roman"/>
                <w:sz w:val="23"/>
              </w:rPr>
            </w:pPr>
          </w:p>
          <w:p>
            <w:pPr>
              <w:pStyle w:val="TableParagraph"/>
              <w:spacing w:before="0"/>
              <w:rPr>
                <w:sz w:val="22"/>
              </w:rPr>
            </w:pPr>
            <w:r>
              <w:rPr>
                <w:sz w:val="22"/>
              </w:rPr>
              <w:t>The default value for this attribute is true.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38" w:hRule="atLeast"/>
        </w:trPr>
        <w:tc>
          <w:tcPr>
            <w:tcW w:w="2062" w:type="dxa"/>
          </w:tcPr>
          <w:p>
            <w:pPr>
              <w:pStyle w:val="TableParagraph"/>
              <w:spacing w:line="237" w:lineRule="auto" w:before="45"/>
              <w:ind w:right="93"/>
              <w:rPr>
                <w:sz w:val="22"/>
              </w:rPr>
            </w:pPr>
            <w:r>
              <w:rPr>
                <w:rFonts w:ascii="Cambria"/>
                <w:sz w:val="22"/>
              </w:rPr>
              <w:t>includePrintSetting s </w:t>
            </w:r>
            <w:r>
              <w:rPr>
                <w:sz w:val="22"/>
              </w:rPr>
              <w:t>(Include Print Settings)</w:t>
            </w:r>
          </w:p>
        </w:tc>
        <w:tc>
          <w:tcPr>
            <w:tcW w:w="8250" w:type="dxa"/>
          </w:tcPr>
          <w:p>
            <w:pPr>
              <w:pStyle w:val="TableParagraph"/>
              <w:ind w:right="330"/>
              <w:jc w:val="both"/>
              <w:rPr>
                <w:sz w:val="22"/>
              </w:rPr>
            </w:pPr>
            <w:r>
              <w:rPr>
                <w:sz w:val="22"/>
              </w:rPr>
              <w:t>Specifies a boolean value that indicates whether to include print settings in this custom view.</w:t>
            </w:r>
          </w:p>
          <w:p>
            <w:pPr>
              <w:pStyle w:val="TableParagraph"/>
              <w:spacing w:before="2"/>
              <w:ind w:left="0"/>
              <w:rPr>
                <w:rFonts w:ascii="Times New Roman"/>
                <w:sz w:val="23"/>
              </w:rPr>
            </w:pPr>
          </w:p>
          <w:p>
            <w:pPr>
              <w:pStyle w:val="TableParagraph"/>
              <w:spacing w:line="480" w:lineRule="auto" w:before="0"/>
              <w:ind w:right="812"/>
              <w:jc w:val="both"/>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that print settings are included in this custom view.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print settings are not included in this custom view. The default value for this attribute is true.</w:t>
            </w:r>
          </w:p>
          <w:p>
            <w:pPr>
              <w:pStyle w:val="TableParagraph"/>
              <w:spacing w:before="2"/>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spacing w:line="256" w:lineRule="exact" w:before="45"/>
              <w:rPr>
                <w:rFonts w:ascii="Cambria"/>
                <w:sz w:val="22"/>
              </w:rPr>
            </w:pPr>
            <w:r>
              <w:rPr>
                <w:rFonts w:ascii="Cambria"/>
                <w:sz w:val="22"/>
              </w:rPr>
              <w:t>maximized</w:t>
            </w:r>
          </w:p>
          <w:p>
            <w:pPr>
              <w:pStyle w:val="TableParagraph"/>
              <w:spacing w:line="267" w:lineRule="exact" w:before="0"/>
              <w:rPr>
                <w:sz w:val="22"/>
              </w:rPr>
            </w:pPr>
            <w:r>
              <w:rPr>
                <w:sz w:val="22"/>
              </w:rPr>
              <w:t>(Maximized)</w:t>
            </w:r>
          </w:p>
        </w:tc>
        <w:tc>
          <w:tcPr>
            <w:tcW w:w="8250" w:type="dxa"/>
          </w:tcPr>
          <w:p>
            <w:pPr>
              <w:pStyle w:val="TableParagraph"/>
              <w:spacing w:line="477" w:lineRule="auto" w:before="42"/>
              <w:ind w:right="469"/>
              <w:rPr>
                <w:sz w:val="22"/>
              </w:rPr>
            </w:pPr>
            <w:r>
              <w:rPr>
                <w:sz w:val="22"/>
              </w:rPr>
              <w:t>Specifies a boolean value that indicates whether the workbook window is maximized.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workbook window is maximized.</w:t>
            </w:r>
          </w:p>
          <w:p>
            <w:pPr>
              <w:pStyle w:val="TableParagraph"/>
              <w:spacing w:line="480" w:lineRule="auto" w:before="5"/>
              <w:ind w:right="169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workbook window is not maximized. The default value for this attribute is false.</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spacing w:before="42"/>
              <w:ind w:left="0" w:right="591"/>
              <w:jc w:val="right"/>
              <w:rPr>
                <w:rFonts w:ascii="Cambria"/>
                <w:sz w:val="22"/>
              </w:rPr>
            </w:pPr>
            <w:r>
              <w:rPr>
                <w:rFonts w:ascii="Cambria"/>
                <w:sz w:val="22"/>
              </w:rPr>
              <w:t>mergeInterval</w:t>
            </w:r>
          </w:p>
        </w:tc>
        <w:tc>
          <w:tcPr>
            <w:tcW w:w="8250" w:type="dxa"/>
          </w:tcPr>
          <w:p>
            <w:pPr>
              <w:pStyle w:val="TableParagraph"/>
              <w:rPr>
                <w:sz w:val="22"/>
              </w:rPr>
            </w:pPr>
            <w:r>
              <w:rPr>
                <w:sz w:val="22"/>
              </w:rPr>
              <w:t>Automatic update interval (in minutes). Only applicable for shared workbooks in</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sz w:val="22"/>
              </w:rPr>
              <w:t>(Merge Interval)</w:t>
            </w:r>
          </w:p>
        </w:tc>
        <w:tc>
          <w:tcPr>
            <w:tcW w:w="8250" w:type="dxa"/>
          </w:tcPr>
          <w:p>
            <w:pPr>
              <w:pStyle w:val="TableParagraph"/>
              <w:rPr>
                <w:sz w:val="22"/>
              </w:rPr>
            </w:pPr>
            <w:r>
              <w:rPr>
                <w:sz w:val="22"/>
              </w:rPr>
              <w:t>automatic update mode.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772" w:hRule="atLeast"/>
        </w:trPr>
        <w:tc>
          <w:tcPr>
            <w:tcW w:w="2062" w:type="dxa"/>
          </w:tcPr>
          <w:p>
            <w:pPr>
              <w:pStyle w:val="TableParagraph"/>
              <w:spacing w:line="256" w:lineRule="exact" w:before="45"/>
              <w:rPr>
                <w:rFonts w:ascii="Cambria"/>
                <w:sz w:val="22"/>
              </w:rPr>
            </w:pPr>
            <w:r>
              <w:rPr>
                <w:rFonts w:ascii="Cambria"/>
                <w:sz w:val="22"/>
              </w:rPr>
              <w:t>minimized</w:t>
            </w:r>
          </w:p>
          <w:p>
            <w:pPr>
              <w:pStyle w:val="TableParagraph"/>
              <w:spacing w:line="267" w:lineRule="exact" w:before="0"/>
              <w:rPr>
                <w:sz w:val="22"/>
              </w:rPr>
            </w:pPr>
            <w:r>
              <w:rPr>
                <w:sz w:val="22"/>
              </w:rPr>
              <w:t>(Minimized)</w:t>
            </w:r>
          </w:p>
        </w:tc>
        <w:tc>
          <w:tcPr>
            <w:tcW w:w="8250" w:type="dxa"/>
          </w:tcPr>
          <w:p>
            <w:pPr>
              <w:pStyle w:val="TableParagraph"/>
              <w:spacing w:line="477" w:lineRule="auto" w:before="42"/>
              <w:ind w:right="503"/>
              <w:rPr>
                <w:sz w:val="22"/>
              </w:rPr>
            </w:pPr>
            <w:r>
              <w:rPr>
                <w:sz w:val="22"/>
              </w:rPr>
              <w:t>Specifies a boolean value that indicates whether the workbook window is minimized.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workbook window is minimized.</w:t>
            </w:r>
          </w:p>
          <w:p>
            <w:pPr>
              <w:pStyle w:val="TableParagraph"/>
              <w:spacing w:line="480" w:lineRule="auto" w:before="4"/>
              <w:ind w:right="1725"/>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workbook window is not minimized. The default value for this attribute is false.</w:t>
            </w:r>
          </w:p>
          <w:p>
            <w:pPr>
              <w:pStyle w:val="TableParagraph"/>
              <w:spacing w:before="2"/>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8" w:hRule="atLeast"/>
        </w:trPr>
        <w:tc>
          <w:tcPr>
            <w:tcW w:w="2062" w:type="dxa"/>
          </w:tcPr>
          <w:p>
            <w:pPr>
              <w:pStyle w:val="TableParagraph"/>
              <w:spacing w:line="237" w:lineRule="auto" w:before="44"/>
              <w:ind w:right="105"/>
              <w:rPr>
                <w:sz w:val="22"/>
              </w:rPr>
            </w:pPr>
            <w:r>
              <w:rPr>
                <w:rFonts w:ascii="Cambria"/>
                <w:sz w:val="22"/>
              </w:rPr>
              <w:t>name </w:t>
            </w:r>
            <w:r>
              <w:rPr>
                <w:sz w:val="22"/>
              </w:rPr>
              <w:t>(Custom View Name)</w:t>
            </w:r>
          </w:p>
        </w:tc>
        <w:tc>
          <w:tcPr>
            <w:tcW w:w="8250" w:type="dxa"/>
          </w:tcPr>
          <w:p>
            <w:pPr>
              <w:pStyle w:val="TableParagraph"/>
              <w:spacing w:line="477" w:lineRule="auto" w:before="42"/>
              <w:ind w:right="4604"/>
              <w:rPr>
                <w:sz w:val="22"/>
              </w:rPr>
            </w:pPr>
            <w:r>
              <w:rPr>
                <w:sz w:val="22"/>
              </w:rPr>
              <w:t>Specifies the name of the custom view. This attribute is required.</w:t>
            </w:r>
          </w:p>
          <w:p>
            <w:pPr>
              <w:pStyle w:val="TableParagraph"/>
              <w:spacing w:before="4"/>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578" w:hRule="atLeast"/>
        </w:trPr>
        <w:tc>
          <w:tcPr>
            <w:tcW w:w="2062" w:type="dxa"/>
          </w:tcPr>
          <w:p>
            <w:pPr>
              <w:pStyle w:val="TableParagraph"/>
              <w:ind w:right="540"/>
              <w:rPr>
                <w:sz w:val="22"/>
              </w:rPr>
            </w:pPr>
            <w:r>
              <w:rPr>
                <w:rFonts w:ascii="Cambria"/>
                <w:sz w:val="22"/>
              </w:rPr>
              <w:t>onlySync </w:t>
            </w:r>
            <w:r>
              <w:rPr>
                <w:sz w:val="22"/>
              </w:rPr>
              <w:t>(Only Synch)</w:t>
            </w:r>
          </w:p>
        </w:tc>
        <w:tc>
          <w:tcPr>
            <w:tcW w:w="8250" w:type="dxa"/>
          </w:tcPr>
          <w:p>
            <w:pPr>
              <w:pStyle w:val="TableParagraph"/>
              <w:rPr>
                <w:sz w:val="22"/>
              </w:rPr>
            </w:pPr>
            <w:r>
              <w:rPr>
                <w:sz w:val="22"/>
              </w:rPr>
              <w:t>Specifies a boolean value that indicates, during automatic update, the current user's changes are not saved. The workbook is only updated with other users' changes. Only applicable for shared workbooks in automatic update mode.</w:t>
            </w:r>
          </w:p>
          <w:p>
            <w:pPr>
              <w:pStyle w:val="TableParagraph"/>
              <w:spacing w:before="7"/>
              <w:ind w:left="0"/>
              <w:rPr>
                <w:rFonts w:ascii="Times New Roman"/>
                <w:sz w:val="23"/>
              </w:rPr>
            </w:pPr>
          </w:p>
          <w:p>
            <w:pPr>
              <w:pStyle w:val="TableParagraph"/>
              <w:spacing w:line="237" w:lineRule="auto" w:before="0"/>
              <w:ind w:right="373"/>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current user's changes is not saved during automatic update.</w:t>
            </w:r>
          </w:p>
          <w:p>
            <w:pPr>
              <w:pStyle w:val="TableParagraph"/>
              <w:spacing w:before="6"/>
              <w:ind w:left="0"/>
              <w:rPr>
                <w:rFonts w:ascii="Times New Roman"/>
                <w:sz w:val="23"/>
              </w:rPr>
            </w:pPr>
          </w:p>
          <w:p>
            <w:pPr>
              <w:pStyle w:val="TableParagraph"/>
              <w:spacing w:line="480" w:lineRule="auto" w:before="0"/>
              <w:ind w:right="65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current user's is saved during automatic update. The default value for this attribute is false.</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7" w:hRule="atLeast"/>
        </w:trPr>
        <w:tc>
          <w:tcPr>
            <w:tcW w:w="2062" w:type="dxa"/>
          </w:tcPr>
          <w:p>
            <w:pPr>
              <w:pStyle w:val="TableParagraph"/>
              <w:spacing w:line="256" w:lineRule="exact" w:before="42"/>
              <w:rPr>
                <w:rFonts w:ascii="Cambria"/>
                <w:sz w:val="22"/>
              </w:rPr>
            </w:pPr>
            <w:r>
              <w:rPr>
                <w:rFonts w:ascii="Cambria"/>
                <w:sz w:val="22"/>
              </w:rPr>
              <w:t>personalView</w:t>
            </w:r>
          </w:p>
          <w:p>
            <w:pPr>
              <w:pStyle w:val="TableParagraph"/>
              <w:spacing w:line="267" w:lineRule="exact" w:before="0"/>
              <w:rPr>
                <w:sz w:val="22"/>
              </w:rPr>
            </w:pPr>
            <w:r>
              <w:rPr>
                <w:sz w:val="22"/>
              </w:rPr>
              <w:t>(Personal View)</w:t>
            </w:r>
          </w:p>
        </w:tc>
        <w:tc>
          <w:tcPr>
            <w:tcW w:w="8250" w:type="dxa"/>
          </w:tcPr>
          <w:p>
            <w:pPr>
              <w:pStyle w:val="TableParagraph"/>
              <w:ind w:right="198"/>
              <w:rPr>
                <w:sz w:val="22"/>
              </w:rPr>
            </w:pPr>
            <w:r>
              <w:rPr>
                <w:sz w:val="22"/>
              </w:rPr>
              <w:t>Specifies a boolean value that indicates that this custom view is a personal view for a shared workbook user. Only applicable for shared workbooks. Personal views allow each user of a shared workbook to store their individual print and filter settings.</w:t>
            </w:r>
          </w:p>
          <w:p>
            <w:pPr>
              <w:pStyle w:val="TableParagraph"/>
              <w:spacing w:before="3"/>
              <w:ind w:left="0"/>
              <w:rPr>
                <w:rFonts w:ascii="Times New Roman"/>
                <w:sz w:val="23"/>
              </w:rPr>
            </w:pPr>
          </w:p>
          <w:p>
            <w:pPr>
              <w:pStyle w:val="TableParagraph"/>
              <w:spacing w:before="0"/>
              <w:ind w:right="21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custom view is a personal view for a shared workbook user.</w:t>
            </w:r>
          </w:p>
          <w:p>
            <w:pPr>
              <w:pStyle w:val="TableParagraph"/>
              <w:spacing w:before="5"/>
              <w:ind w:left="0"/>
              <w:rPr>
                <w:rFonts w:ascii="Times New Roman"/>
                <w:sz w:val="23"/>
              </w:rPr>
            </w:pPr>
          </w:p>
          <w:p>
            <w:pPr>
              <w:pStyle w:val="TableParagraph"/>
              <w:spacing w:line="480" w:lineRule="auto" w:before="0"/>
              <w:ind w:right="2477"/>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this view is not a personal view. The default value for this attribute is false.</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tc>
      </w:tr>
    </w:tbl>
    <w:p>
      <w:pPr>
        <w:spacing w:after="0" w:line="267" w:lineRule="exact"/>
        <w:rPr>
          <w:rFonts w:ascii="Cambria"/>
          <w:sz w:val="22"/>
        </w:rPr>
        <w:sectPr>
          <w:footerReference w:type="even" r:id="rId11"/>
          <w:footerReference w:type="default" r:id="rId12"/>
          <w:pgSz w:w="12240" w:h="15840"/>
          <w:pgMar w:footer="746" w:header="761" w:top="1340" w:bottom="940" w:left="860" w:right="700"/>
          <w:pgNumType w:start="155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showComments</w:t>
            </w:r>
          </w:p>
          <w:p>
            <w:pPr>
              <w:pStyle w:val="TableParagraph"/>
              <w:spacing w:line="267" w:lineRule="exact" w:before="0"/>
              <w:rPr>
                <w:sz w:val="22"/>
              </w:rPr>
            </w:pPr>
            <w:r>
              <w:rPr>
                <w:sz w:val="22"/>
              </w:rPr>
              <w:t>(Show Comments)</w:t>
            </w:r>
          </w:p>
        </w:tc>
        <w:tc>
          <w:tcPr>
            <w:tcW w:w="8250" w:type="dxa"/>
          </w:tcPr>
          <w:p>
            <w:pPr>
              <w:pStyle w:val="TableParagraph"/>
              <w:rPr>
                <w:sz w:val="22"/>
              </w:rPr>
            </w:pPr>
            <w:r>
              <w:rPr>
                <w:sz w:val="22"/>
              </w:rPr>
              <w:t>Specifies how comments are displayed in this custom view</w:t>
            </w:r>
          </w:p>
          <w:p>
            <w:pPr>
              <w:pStyle w:val="TableParagraph"/>
              <w:spacing w:before="6"/>
              <w:ind w:left="0"/>
              <w:rPr>
                <w:rFonts w:ascii="Times New Roman"/>
                <w:sz w:val="23"/>
              </w:rPr>
            </w:pPr>
          </w:p>
          <w:p>
            <w:pPr>
              <w:pStyle w:val="TableParagraph"/>
              <w:spacing w:line="237" w:lineRule="auto" w:before="0"/>
              <w:ind w:right="699"/>
              <w:rPr>
                <w:sz w:val="22"/>
              </w:rPr>
            </w:pPr>
            <w:r>
              <w:rPr>
                <w:sz w:val="22"/>
              </w:rPr>
              <w:t>The possible values for this attribute are defined by the </w:t>
            </w:r>
            <w:r>
              <w:rPr>
                <w:rFonts w:ascii="Cambria" w:hAnsi="Cambria"/>
                <w:sz w:val="22"/>
              </w:rPr>
              <w:t>ST_Comments </w:t>
            </w:r>
            <w:r>
              <w:rPr>
                <w:sz w:val="22"/>
              </w:rPr>
              <w:t>simple type </w:t>
            </w:r>
            <w:hyperlink w:history="true" w:anchor="_bookmark836">
              <w:r>
                <w:rPr>
                  <w:sz w:val="22"/>
                </w:rPr>
                <w:t>(§18.18.14</w:t>
              </w:r>
            </w:hyperlink>
            <w:r>
              <w:rPr>
                <w:sz w:val="22"/>
              </w:rPr>
              <w:t>).</w:t>
            </w:r>
          </w:p>
        </w:tc>
      </w:tr>
      <w:tr>
        <w:trPr>
          <w:trHeight w:val="3041" w:hRule="atLeast"/>
        </w:trPr>
        <w:tc>
          <w:tcPr>
            <w:tcW w:w="2062" w:type="dxa"/>
          </w:tcPr>
          <w:p>
            <w:pPr>
              <w:pStyle w:val="TableParagraph"/>
              <w:spacing w:line="257" w:lineRule="exact" w:before="42"/>
              <w:rPr>
                <w:rFonts w:ascii="Cambria"/>
                <w:sz w:val="22"/>
              </w:rPr>
            </w:pPr>
            <w:r>
              <w:rPr>
                <w:rFonts w:ascii="Cambria"/>
                <w:sz w:val="22"/>
              </w:rPr>
              <w:t>showFormulaBar</w:t>
            </w:r>
          </w:p>
          <w:p>
            <w:pPr>
              <w:pStyle w:val="TableParagraph"/>
              <w:spacing w:line="268" w:lineRule="exact" w:before="0"/>
              <w:rPr>
                <w:sz w:val="22"/>
              </w:rPr>
            </w:pPr>
            <w:r>
              <w:rPr>
                <w:sz w:val="22"/>
              </w:rPr>
              <w:t>(Show Formula Bar)</w:t>
            </w:r>
          </w:p>
        </w:tc>
        <w:tc>
          <w:tcPr>
            <w:tcW w:w="8250" w:type="dxa"/>
          </w:tcPr>
          <w:p>
            <w:pPr>
              <w:pStyle w:val="TableParagraph"/>
              <w:ind w:right="854"/>
              <w:rPr>
                <w:sz w:val="22"/>
              </w:rPr>
            </w:pPr>
            <w:r>
              <w:rPr>
                <w:sz w:val="22"/>
              </w:rPr>
              <w:t>Specifies a boolean value that indicates whether to display the formula bar in the application user interface.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formula bar is shown in the user interface.</w:t>
            </w:r>
          </w:p>
          <w:p>
            <w:pPr>
              <w:pStyle w:val="TableParagraph"/>
              <w:spacing w:before="5"/>
              <w:ind w:left="0"/>
              <w:rPr>
                <w:rFonts w:ascii="Times New Roman"/>
                <w:sz w:val="23"/>
              </w:rPr>
            </w:pPr>
          </w:p>
          <w:p>
            <w:pPr>
              <w:pStyle w:val="TableParagraph"/>
              <w:spacing w:line="480" w:lineRule="auto" w:before="0"/>
              <w:ind w:right="81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formula bar is not shown in the user interface. The default value for this attribute is true.</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before="42"/>
              <w:ind w:right="110"/>
              <w:jc w:val="both"/>
              <w:rPr>
                <w:sz w:val="22"/>
              </w:rPr>
            </w:pPr>
            <w:r>
              <w:rPr>
                <w:rFonts w:ascii="Cambria"/>
                <w:sz w:val="22"/>
              </w:rPr>
              <w:t>showHorizontalScr oll </w:t>
            </w:r>
            <w:r>
              <w:rPr>
                <w:sz w:val="22"/>
              </w:rPr>
              <w:t>(Show Horizontal Scroll)</w:t>
            </w:r>
          </w:p>
        </w:tc>
        <w:tc>
          <w:tcPr>
            <w:tcW w:w="8250" w:type="dxa"/>
          </w:tcPr>
          <w:p>
            <w:pPr>
              <w:pStyle w:val="TableParagraph"/>
              <w:ind w:right="132"/>
              <w:rPr>
                <w:sz w:val="22"/>
              </w:rPr>
            </w:pPr>
            <w:r>
              <w:rPr>
                <w:sz w:val="22"/>
              </w:rPr>
              <w:t>Specifies a boolean value that indicates whether to display the horizontal scroll bar in the user interface.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that the horizontal scrollbar is shown.</w:t>
            </w:r>
          </w:p>
          <w:p>
            <w:pPr>
              <w:pStyle w:val="TableParagraph"/>
              <w:spacing w:before="5"/>
              <w:ind w:left="0"/>
              <w:rPr>
                <w:rFonts w:ascii="Times New Roman"/>
                <w:sz w:val="23"/>
              </w:rPr>
            </w:pPr>
          </w:p>
          <w:p>
            <w:pPr>
              <w:pStyle w:val="TableParagraph"/>
              <w:spacing w:line="480" w:lineRule="auto" w:before="0"/>
              <w:ind w:right="1582"/>
              <w:rPr>
                <w:sz w:val="22"/>
              </w:rPr>
            </w:pPr>
            <w:r>
              <w:rPr>
                <w:sz w:val="22"/>
              </w:rPr>
              <w:t>A value of </w:t>
            </w:r>
            <w:r>
              <w:rPr>
                <w:rFonts w:ascii="Consolas"/>
                <w:sz w:val="20"/>
              </w:rPr>
              <w:t>0</w:t>
            </w:r>
            <w:r>
              <w:rPr>
                <w:rFonts w:ascii="Consolas"/>
                <w:spacing w:val="-61"/>
                <w:sz w:val="20"/>
              </w:rPr>
              <w:t> </w:t>
            </w:r>
            <w:r>
              <w:rPr>
                <w:sz w:val="22"/>
              </w:rPr>
              <w:t>or </w:t>
            </w:r>
            <w:r>
              <w:rPr>
                <w:rFonts w:ascii="Consolas"/>
                <w:sz w:val="20"/>
              </w:rPr>
              <w:t>false</w:t>
            </w:r>
            <w:r>
              <w:rPr>
                <w:rFonts w:ascii="Consolas"/>
                <w:spacing w:val="-59"/>
                <w:sz w:val="20"/>
              </w:rPr>
              <w:t> </w:t>
            </w:r>
            <w:r>
              <w:rPr>
                <w:sz w:val="22"/>
              </w:rPr>
              <w:t>indicates that the horizontal scrollbar is not shown. The default value for this attribute is true.</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112"/>
              <w:rPr>
                <w:sz w:val="22"/>
              </w:rPr>
            </w:pPr>
            <w:r>
              <w:rPr>
                <w:rFonts w:ascii="Cambria"/>
                <w:sz w:val="22"/>
              </w:rPr>
              <w:t>showObjects </w:t>
            </w:r>
            <w:r>
              <w:rPr>
                <w:sz w:val="22"/>
              </w:rPr>
              <w:t>(Show Objects)</w:t>
            </w:r>
          </w:p>
        </w:tc>
        <w:tc>
          <w:tcPr>
            <w:tcW w:w="8250" w:type="dxa"/>
          </w:tcPr>
          <w:p>
            <w:pPr>
              <w:pStyle w:val="TableParagraph"/>
              <w:spacing w:line="480" w:lineRule="auto"/>
              <w:ind w:right="3125"/>
              <w:rPr>
                <w:sz w:val="22"/>
              </w:rPr>
            </w:pPr>
            <w:r>
              <w:rPr>
                <w:sz w:val="22"/>
              </w:rPr>
              <w:t>Specifies how objects are displayed in this custom view. The default value for this attribute is "all."</w:t>
            </w:r>
          </w:p>
          <w:p>
            <w:pPr>
              <w:pStyle w:val="TableParagraph"/>
              <w:spacing w:before="1"/>
              <w:ind w:right="1009"/>
              <w:rPr>
                <w:sz w:val="22"/>
              </w:rPr>
            </w:pPr>
            <w:r>
              <w:rPr>
                <w:sz w:val="22"/>
              </w:rPr>
              <w:t>The possible values for this attribute are defined by the </w:t>
            </w:r>
            <w:r>
              <w:rPr>
                <w:rFonts w:ascii="Cambria" w:hAnsi="Cambria"/>
                <w:sz w:val="22"/>
              </w:rPr>
              <w:t>ST_Objects </w:t>
            </w:r>
            <w:r>
              <w:rPr>
                <w:sz w:val="22"/>
              </w:rPr>
              <w:t>simple type </w:t>
            </w:r>
            <w:hyperlink w:history="true" w:anchor="_bookmark870">
              <w:r>
                <w:rPr>
                  <w:sz w:val="22"/>
                </w:rPr>
                <w:t>(§18.18.48</w:t>
              </w:r>
            </w:hyperlink>
            <w:r>
              <w:rPr>
                <w:sz w:val="22"/>
              </w:rPr>
              <w:t>).</w:t>
            </w:r>
          </w:p>
        </w:tc>
      </w:tr>
      <w:tr>
        <w:trPr>
          <w:trHeight w:val="3040" w:hRule="atLeast"/>
        </w:trPr>
        <w:tc>
          <w:tcPr>
            <w:tcW w:w="2062" w:type="dxa"/>
          </w:tcPr>
          <w:p>
            <w:pPr>
              <w:pStyle w:val="TableParagraph"/>
              <w:spacing w:line="256" w:lineRule="exact" w:before="45"/>
              <w:rPr>
                <w:rFonts w:ascii="Cambria"/>
                <w:sz w:val="22"/>
              </w:rPr>
            </w:pPr>
            <w:r>
              <w:rPr>
                <w:rFonts w:ascii="Cambria"/>
                <w:sz w:val="22"/>
              </w:rPr>
              <w:t>showSheetTabs</w:t>
            </w:r>
          </w:p>
          <w:p>
            <w:pPr>
              <w:pStyle w:val="TableParagraph"/>
              <w:spacing w:line="267" w:lineRule="exact" w:before="0"/>
              <w:rPr>
                <w:sz w:val="22"/>
              </w:rPr>
            </w:pPr>
            <w:r>
              <w:rPr>
                <w:sz w:val="22"/>
              </w:rPr>
              <w:t>(Show Sheet Tabs)</w:t>
            </w:r>
          </w:p>
        </w:tc>
        <w:tc>
          <w:tcPr>
            <w:tcW w:w="8250" w:type="dxa"/>
          </w:tcPr>
          <w:p>
            <w:pPr>
              <w:pStyle w:val="TableParagraph"/>
              <w:spacing w:line="237" w:lineRule="auto" w:before="44"/>
              <w:ind w:right="546"/>
              <w:rPr>
                <w:sz w:val="22"/>
              </w:rPr>
            </w:pPr>
            <w:r>
              <w:rPr>
                <w:sz w:val="22"/>
              </w:rPr>
              <w:t>Specifies a boolean value that indicates whether to display the sheet tabs in the user interface.</w:t>
            </w:r>
          </w:p>
          <w:p>
            <w:pPr>
              <w:pStyle w:val="TableParagraph"/>
              <w:spacing w:before="6"/>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sheet tabs shall be shown.</w:t>
            </w:r>
          </w:p>
          <w:p>
            <w:pPr>
              <w:pStyle w:val="TableParagraph"/>
              <w:spacing w:before="5"/>
              <w:ind w:left="0"/>
              <w:rPr>
                <w:rFonts w:ascii="Times New Roman"/>
                <w:sz w:val="23"/>
              </w:rPr>
            </w:pPr>
          </w:p>
          <w:p>
            <w:pPr>
              <w:pStyle w:val="TableParagraph"/>
              <w:spacing w:line="480" w:lineRule="auto" w:before="0"/>
              <w:ind w:right="2186"/>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that sheet tabs shall not be shown. The default value for this attribute is true.</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spacing w:after="0" w:line="267" w:lineRule="exact"/>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spacing w:line="256" w:lineRule="exact" w:before="42"/>
              <w:rPr>
                <w:rFonts w:ascii="Cambria"/>
                <w:sz w:val="22"/>
              </w:rPr>
            </w:pPr>
            <w:r>
              <w:rPr>
                <w:rFonts w:ascii="Cambria"/>
                <w:sz w:val="22"/>
              </w:rPr>
              <w:t>showStatusbar</w:t>
            </w:r>
          </w:p>
          <w:p>
            <w:pPr>
              <w:pStyle w:val="TableParagraph"/>
              <w:spacing w:line="267" w:lineRule="exact" w:before="0"/>
              <w:rPr>
                <w:sz w:val="22"/>
              </w:rPr>
            </w:pPr>
            <w:r>
              <w:rPr>
                <w:sz w:val="22"/>
              </w:rPr>
              <w:t>(Show Status Bar)</w:t>
            </w:r>
          </w:p>
        </w:tc>
        <w:tc>
          <w:tcPr>
            <w:tcW w:w="8250" w:type="dxa"/>
          </w:tcPr>
          <w:p>
            <w:pPr>
              <w:pStyle w:val="TableParagraph"/>
              <w:ind w:right="583"/>
              <w:rPr>
                <w:sz w:val="22"/>
              </w:rPr>
            </w:pPr>
            <w:r>
              <w:rPr>
                <w:sz w:val="22"/>
              </w:rPr>
              <w:t>Specifies a boolean value that indicates whether to display the status bar in the user interface.</w:t>
            </w:r>
          </w:p>
          <w:p>
            <w:pPr>
              <w:pStyle w:val="TableParagraph"/>
              <w:spacing w:before="4"/>
              <w:ind w:left="0"/>
              <w:rPr>
                <w:rFonts w:ascii="Times New Roman"/>
                <w:sz w:val="23"/>
              </w:rPr>
            </w:pPr>
          </w:p>
          <w:p>
            <w:pPr>
              <w:pStyle w:val="TableParagraph"/>
              <w:spacing w:line="480" w:lineRule="auto" w:before="0"/>
              <w:ind w:right="2855"/>
              <w:jc w:val="both"/>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the status bar is shown.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status bar is not shown. The default value for this attribute is true.</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72" w:hRule="atLeast"/>
        </w:trPr>
        <w:tc>
          <w:tcPr>
            <w:tcW w:w="2062" w:type="dxa"/>
          </w:tcPr>
          <w:p>
            <w:pPr>
              <w:pStyle w:val="TableParagraph"/>
              <w:spacing w:line="237" w:lineRule="auto" w:before="45"/>
              <w:ind w:right="149"/>
              <w:rPr>
                <w:sz w:val="22"/>
              </w:rPr>
            </w:pPr>
            <w:r>
              <w:rPr>
                <w:rFonts w:ascii="Cambria"/>
                <w:sz w:val="22"/>
              </w:rPr>
              <w:t>showVerticalScroll </w:t>
            </w:r>
            <w:r>
              <w:rPr>
                <w:sz w:val="22"/>
              </w:rPr>
              <w:t>(Show Vertical Scroll)</w:t>
            </w:r>
          </w:p>
        </w:tc>
        <w:tc>
          <w:tcPr>
            <w:tcW w:w="8250" w:type="dxa"/>
          </w:tcPr>
          <w:p>
            <w:pPr>
              <w:pStyle w:val="TableParagraph"/>
              <w:spacing w:line="480" w:lineRule="auto"/>
              <w:ind w:right="889"/>
              <w:rPr>
                <w:sz w:val="22"/>
              </w:rPr>
            </w:pPr>
            <w:r>
              <w:rPr>
                <w:sz w:val="22"/>
              </w:rPr>
              <w:t>Specifies a boolean value that indicates whether to display the vertical scroll bar.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vertical scrollbar shall be shown.</w:t>
            </w:r>
          </w:p>
          <w:p>
            <w:pPr>
              <w:pStyle w:val="TableParagraph"/>
              <w:spacing w:line="480" w:lineRule="auto" w:before="0"/>
              <w:ind w:right="170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vertical scrollbar shall not be shown. The default value for this attribute is true.</w:t>
            </w: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ind w:right="115"/>
              <w:rPr>
                <w:sz w:val="22"/>
              </w:rPr>
            </w:pPr>
            <w:r>
              <w:rPr>
                <w:rFonts w:ascii="Cambria"/>
                <w:sz w:val="22"/>
              </w:rPr>
              <w:t>tabRatio </w:t>
            </w:r>
            <w:r>
              <w:rPr>
                <w:sz w:val="22"/>
              </w:rPr>
              <w:t>(Sheet Tab Ratio)</w:t>
            </w:r>
          </w:p>
        </w:tc>
        <w:tc>
          <w:tcPr>
            <w:tcW w:w="8250" w:type="dxa"/>
          </w:tcPr>
          <w:p>
            <w:pPr>
              <w:pStyle w:val="TableParagraph"/>
              <w:rPr>
                <w:sz w:val="22"/>
              </w:rPr>
            </w:pPr>
            <w:r>
              <w:rPr>
                <w:sz w:val="22"/>
              </w:rPr>
              <w:t>Specifies the ratio between the workbook tabs bar and the horizontal scroll bar.</w:t>
            </w:r>
          </w:p>
          <w:p>
            <w:pPr>
              <w:pStyle w:val="TableParagraph"/>
              <w:spacing w:line="480" w:lineRule="auto" w:before="0"/>
              <w:ind w:right="1479"/>
              <w:rPr>
                <w:sz w:val="22"/>
              </w:rPr>
            </w:pPr>
            <w:r>
              <w:rPr>
                <w:rFonts w:ascii="Consolas"/>
                <w:sz w:val="20"/>
              </w:rPr>
              <w:t>tabRatio</w:t>
            </w:r>
            <w:r>
              <w:rPr>
                <w:rFonts w:ascii="Consolas"/>
                <w:spacing w:val="-80"/>
                <w:sz w:val="20"/>
              </w:rPr>
              <w:t> </w:t>
            </w:r>
            <w:r>
              <w:rPr>
                <w:sz w:val="22"/>
              </w:rPr>
              <w:t>is assumed to be out of 1000 of the horizontal window width. The default value for this attribute is 600.</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windowHeight</w:t>
            </w:r>
          </w:p>
          <w:p>
            <w:pPr>
              <w:pStyle w:val="TableParagraph"/>
              <w:spacing w:line="268" w:lineRule="exact" w:before="0"/>
              <w:rPr>
                <w:sz w:val="22"/>
              </w:rPr>
            </w:pPr>
            <w:r>
              <w:rPr>
                <w:sz w:val="22"/>
              </w:rPr>
              <w:t>(Window Height)</w:t>
            </w:r>
          </w:p>
        </w:tc>
        <w:tc>
          <w:tcPr>
            <w:tcW w:w="8250" w:type="dxa"/>
          </w:tcPr>
          <w:p>
            <w:pPr>
              <w:pStyle w:val="TableParagraph"/>
              <w:ind w:right="285"/>
              <w:rPr>
                <w:sz w:val="22"/>
              </w:rPr>
            </w:pPr>
            <w:r>
              <w:rPr>
                <w:sz w:val="22"/>
              </w:rPr>
              <w:t>Specifies the height of the workbook window. The unit of measurement for this value is twips.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28" w:hRule="atLeast"/>
        </w:trPr>
        <w:tc>
          <w:tcPr>
            <w:tcW w:w="2062" w:type="dxa"/>
          </w:tcPr>
          <w:p>
            <w:pPr>
              <w:pStyle w:val="TableParagraph"/>
              <w:spacing w:line="256" w:lineRule="exact" w:before="42"/>
              <w:rPr>
                <w:rFonts w:ascii="Cambria"/>
                <w:sz w:val="22"/>
              </w:rPr>
            </w:pPr>
            <w:r>
              <w:rPr>
                <w:rFonts w:ascii="Cambria"/>
                <w:sz w:val="22"/>
              </w:rPr>
              <w:t>windowWidth</w:t>
            </w:r>
          </w:p>
          <w:p>
            <w:pPr>
              <w:pStyle w:val="TableParagraph"/>
              <w:spacing w:line="267" w:lineRule="exact" w:before="0"/>
              <w:rPr>
                <w:sz w:val="22"/>
              </w:rPr>
            </w:pPr>
            <w:r>
              <w:rPr>
                <w:sz w:val="22"/>
              </w:rPr>
              <w:t>(Window Width)</w:t>
            </w:r>
          </w:p>
        </w:tc>
        <w:tc>
          <w:tcPr>
            <w:tcW w:w="8250" w:type="dxa"/>
          </w:tcPr>
          <w:p>
            <w:pPr>
              <w:pStyle w:val="TableParagraph"/>
              <w:spacing w:line="237" w:lineRule="auto" w:before="42"/>
              <w:ind w:right="341"/>
              <w:rPr>
                <w:sz w:val="22"/>
              </w:rPr>
            </w:pPr>
            <w:r>
              <w:rPr>
                <w:sz w:val="22"/>
              </w:rPr>
              <w:t>Specifies the width of the workbook window. The unit of measurement for this value is twips.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ind w:right="168"/>
              <w:rPr>
                <w:sz w:val="22"/>
              </w:rPr>
            </w:pPr>
            <w:r>
              <w:rPr>
                <w:rFonts w:ascii="Cambria"/>
                <w:sz w:val="22"/>
              </w:rPr>
              <w:t>xWindow </w:t>
            </w:r>
            <w:r>
              <w:rPr>
                <w:sz w:val="22"/>
              </w:rPr>
              <w:t>(Top Left Corner (X Coordinate))</w:t>
            </w:r>
          </w:p>
        </w:tc>
        <w:tc>
          <w:tcPr>
            <w:tcW w:w="8250" w:type="dxa"/>
          </w:tcPr>
          <w:p>
            <w:pPr>
              <w:pStyle w:val="TableParagraph"/>
              <w:ind w:right="193"/>
              <w:rPr>
                <w:sz w:val="22"/>
              </w:rPr>
            </w:pPr>
            <w:r>
              <w:rPr>
                <w:sz w:val="22"/>
              </w:rPr>
              <w:t>Specifies the X coordinate for the upper left corner of the workbook window. The unit of measurement for this value is twips.</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623" w:hRule="atLeast"/>
        </w:trPr>
        <w:tc>
          <w:tcPr>
            <w:tcW w:w="2062" w:type="dxa"/>
          </w:tcPr>
          <w:p>
            <w:pPr>
              <w:pStyle w:val="TableParagraph"/>
              <w:ind w:right="163"/>
              <w:rPr>
                <w:sz w:val="22"/>
              </w:rPr>
            </w:pPr>
            <w:r>
              <w:rPr>
                <w:rFonts w:ascii="Cambria"/>
                <w:sz w:val="22"/>
              </w:rPr>
              <w:t>yWindow </w:t>
            </w:r>
            <w:r>
              <w:rPr>
                <w:sz w:val="22"/>
              </w:rPr>
              <w:t>(Top Left Corner (Y</w:t>
            </w:r>
          </w:p>
        </w:tc>
        <w:tc>
          <w:tcPr>
            <w:tcW w:w="8250" w:type="dxa"/>
          </w:tcPr>
          <w:p>
            <w:pPr>
              <w:pStyle w:val="TableParagraph"/>
              <w:ind w:right="200"/>
              <w:rPr>
                <w:sz w:val="22"/>
              </w:rPr>
            </w:pPr>
            <w:r>
              <w:rPr>
                <w:sz w:val="22"/>
              </w:rPr>
              <w:t>Specifies the Y coordinate for the upper left corner of the workbook window. The unit of measurement for this value is twips.</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rPr>
                <w:sz w:val="22"/>
              </w:rPr>
            </w:pPr>
            <w:r>
              <w:rPr>
                <w:sz w:val="22"/>
              </w:rPr>
              <w:t>Coordinate))</w:t>
            </w:r>
          </w:p>
        </w:tc>
        <w:tc>
          <w:tcPr>
            <w:tcW w:w="8250" w:type="dxa"/>
          </w:tcPr>
          <w:p>
            <w:pPr>
              <w:pStyle w:val="TableParagraph"/>
              <w:spacing w:before="9"/>
              <w:ind w:left="0"/>
              <w:rPr>
                <w:rFonts w:ascii="Times New Roman"/>
                <w:sz w:val="26"/>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6" w:lineRule="auto" w:before="56"/>
        <w:ind w:left="220" w:right="528"/>
      </w:pPr>
      <w:r>
        <w:rPr/>
        <w:t>[</w:t>
      </w:r>
      <w:r>
        <w:rPr>
          <w:i/>
        </w:rPr>
        <w:t>Note</w:t>
      </w:r>
      <w:r>
        <w:rPr/>
        <w:t>: The W3C XML Schema definition of this element’s content model (</w:t>
      </w:r>
      <w:r>
        <w:rPr>
          <w:color w:val="5F5F5F"/>
          <w:u w:val="single" w:color="5F5F5F"/>
        </w:rPr>
        <w:t>CT_CustomWorkbookView</w:t>
      </w:r>
      <w:r>
        <w:rPr/>
        <w:t>) is located in §A.2. </w:t>
      </w:r>
      <w:r>
        <w:rPr>
          <w:i/>
        </w:rPr>
        <w:t>end 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4 customWorkbookViews (Custom Workb" w:id="17"/>
      <w:bookmarkEnd w:id="17"/>
      <w:r>
        <w:rPr>
          <w:b w:val="0"/>
        </w:rPr>
      </w:r>
      <w:bookmarkStart w:name="_bookmark4" w:id="18"/>
      <w:bookmarkEnd w:id="18"/>
      <w:r>
        <w:rPr>
          <w:b w:val="0"/>
        </w:rPr>
      </w:r>
      <w:bookmarkStart w:name="_bookmark4" w:id="19"/>
      <w:bookmarkEnd w:id="19"/>
      <w:r>
        <w:rPr>
          <w:color w:val="4F81BC"/>
        </w:rPr>
        <w:t>c</w:t>
      </w:r>
      <w:r>
        <w:rPr>
          <w:color w:val="4F81BC"/>
        </w:rPr>
        <w:t>ustomWorkbookViews (Custom Workbook</w:t>
      </w:r>
      <w:r>
        <w:rPr>
          <w:color w:val="4F81BC"/>
          <w:spacing w:val="-1"/>
        </w:rPr>
        <w:t> </w:t>
      </w:r>
      <w:r>
        <w:rPr>
          <w:color w:val="4F81BC"/>
        </w:rPr>
        <w:t>Views)</w:t>
      </w:r>
    </w:p>
    <w:p>
      <w:pPr>
        <w:pStyle w:val="BodyText"/>
        <w:spacing w:line="276" w:lineRule="auto" w:before="124"/>
        <w:ind w:left="220" w:right="769"/>
      </w:pPr>
      <w:r>
        <w:rPr/>
        <w:t>This element defines the collection of custom workbook views that are defined for this workbook. A </w:t>
      </w:r>
      <w:r>
        <w:rPr>
          <w:rFonts w:ascii="Cambria" w:hAnsi="Cambria"/>
        </w:rPr>
        <w:t>customWorkbookView </w:t>
      </w:r>
      <w:r>
        <w:rPr/>
        <w:t>is similar in concept to a </w:t>
      </w:r>
      <w:r>
        <w:rPr>
          <w:rFonts w:ascii="Cambria" w:hAnsi="Cambria"/>
        </w:rPr>
        <w:t>workbookView </w:t>
      </w:r>
      <w:r>
        <w:rPr/>
        <w:t>(</w:t>
      </w:r>
      <w:hyperlink w:history="true" w:anchor="_bookmark30">
        <w:r>
          <w:rPr/>
          <w:t>§18.2.30</w:t>
        </w:r>
      </w:hyperlink>
      <w:r>
        <w:rPr/>
        <w:t>) in that its attributes contain settings related to the way that the workbook should be displayed on a screen by a spreadsheet application.</w:t>
      </w:r>
    </w:p>
    <w:p>
      <w:pPr>
        <w:pStyle w:val="BodyText"/>
        <w:spacing w:before="4"/>
        <w:rPr>
          <w:sz w:val="16"/>
        </w:rPr>
      </w:pPr>
    </w:p>
    <w:p>
      <w:pPr>
        <w:pStyle w:val="BodyText"/>
        <w:spacing w:line="278" w:lineRule="auto" w:before="1"/>
        <w:ind w:left="220" w:right="546"/>
      </w:pPr>
      <w:r>
        <w:rPr/>
        <w:t>[</w:t>
      </w:r>
      <w:r>
        <w:rPr>
          <w:i/>
        </w:rPr>
        <w:t>Note</w:t>
      </w:r>
      <w:r>
        <w:rPr/>
        <w:t>: Whilst a </w:t>
      </w:r>
      <w:r>
        <w:rPr>
          <w:rFonts w:ascii="Cambria"/>
        </w:rPr>
        <w:t>workbookView </w:t>
      </w:r>
      <w:r>
        <w:rPr/>
        <w:t>is intended to store the way the workbook window should be displayed by a spreadsheet application, </w:t>
      </w:r>
      <w:r>
        <w:rPr>
          <w:rFonts w:ascii="Cambria"/>
        </w:rPr>
        <w:t>customWorkbookView </w:t>
      </w:r>
      <w:r>
        <w:rPr/>
        <w:t>elements are intended to allow the user to switch between a selection of </w:t>
      </w:r>
      <w:r>
        <w:rPr>
          <w:rFonts w:ascii="Cambria"/>
        </w:rPr>
        <w:t>customWorkbookView </w:t>
      </w:r>
      <w:r>
        <w:rPr/>
        <w:t>items defining window and content display options. </w:t>
      </w:r>
      <w:r>
        <w:rPr>
          <w:i/>
        </w:rPr>
        <w:t>end note</w:t>
      </w:r>
      <w:r>
        <w:rPr/>
        <w:t>]</w:t>
      </w:r>
    </w:p>
    <w:p>
      <w:pPr>
        <w:pStyle w:val="BodyText"/>
        <w:spacing w:line="276" w:lineRule="auto" w:before="193"/>
        <w:ind w:left="220" w:right="435"/>
      </w:pPr>
      <w:r>
        <w:rPr/>
        <w:t>A </w:t>
      </w:r>
      <w:r>
        <w:rPr>
          <w:rFonts w:ascii="Cambria"/>
        </w:rPr>
        <w:t>customWorkbookView </w:t>
      </w:r>
      <w:r>
        <w:rPr/>
        <w:t>contains a greater number of settings (e.g., the presence of a formula bar; visibility of hidden data; whether or not to show comments) and is named.</w:t>
      </w:r>
    </w:p>
    <w:p>
      <w:pPr>
        <w:pStyle w:val="BodyText"/>
        <w:spacing w:before="3"/>
        <w:rPr>
          <w:sz w:val="16"/>
        </w:rPr>
      </w:pPr>
    </w:p>
    <w:p>
      <w:pPr>
        <w:pStyle w:val="BodyText"/>
        <w:spacing w:line="276" w:lineRule="auto"/>
        <w:ind w:left="220" w:right="594"/>
      </w:pPr>
      <w:r>
        <w:rPr/>
        <w:t>[</w:t>
      </w:r>
      <w:r>
        <w:rPr>
          <w:i/>
        </w:rPr>
        <w:t>Example</w:t>
      </w:r>
      <w:r>
        <w:rPr/>
        <w:t>: A workbook which is used by two different departments might contain two </w:t>
      </w:r>
      <w:r>
        <w:rPr>
          <w:rFonts w:ascii="Cambria" w:hAnsi="Cambria"/>
        </w:rPr>
        <w:t>customWorkbookView </w:t>
      </w:r>
      <w:r>
        <w:rPr/>
        <w:t>elements – one where the comments and hidden data are not shown, and one where they are. Users might switch between the </w:t>
      </w:r>
      <w:r>
        <w:rPr>
          <w:rFonts w:ascii="Cambria" w:hAnsi="Cambria"/>
        </w:rPr>
        <w:t>customWorkbookView </w:t>
      </w:r>
      <w:r>
        <w:rPr/>
        <w:t>items according to the department in which they work. </w:t>
      </w:r>
      <w:r>
        <w:rPr>
          <w:i/>
        </w:rPr>
        <w:t>end </w:t>
      </w:r>
      <w:r>
        <w:rPr>
          <w:i/>
        </w:rPr>
        <w:t>example</w:t>
      </w:r>
      <w:r>
        <w:rPr/>
        <w:t>]</w:t>
      </w:r>
    </w:p>
    <w:p>
      <w:pPr>
        <w:pStyle w:val="BodyText"/>
        <w:spacing w:before="7"/>
        <w:rPr>
          <w:sz w:val="16"/>
        </w:rPr>
      </w:pPr>
    </w:p>
    <w:p>
      <w:pPr>
        <w:pStyle w:val="BodyText"/>
        <w:spacing w:line="453" w:lineRule="auto"/>
        <w:ind w:left="220" w:right="1048"/>
      </w:pPr>
      <w:r>
        <w:rPr/>
        <w:t>There is no limit on the number of custom views that can be contained within a SpreadsheetML instance. [</w:t>
      </w:r>
      <w:r>
        <w:rPr>
          <w:i/>
        </w:rPr>
        <w:t>Example</w:t>
      </w:r>
      <w:r>
        <w:rPr/>
        <w:t>:</w:t>
      </w:r>
    </w:p>
    <w:p>
      <w:pPr>
        <w:pStyle w:val="BodyText"/>
        <w:spacing w:before="3"/>
        <w:ind w:left="508"/>
        <w:rPr>
          <w:rFonts w:ascii="Consolas"/>
        </w:rPr>
      </w:pPr>
      <w:r>
        <w:rPr>
          <w:rFonts w:ascii="Consolas"/>
        </w:rPr>
        <w:t>&lt;customWorkbookViews&gt;</w:t>
      </w:r>
    </w:p>
    <w:p>
      <w:pPr>
        <w:pStyle w:val="BodyText"/>
        <w:spacing w:before="40"/>
        <w:ind w:left="750"/>
        <w:rPr>
          <w:rFonts w:ascii="Consolas"/>
        </w:rPr>
      </w:pPr>
      <w:r>
        <w:rPr>
          <w:rFonts w:ascii="Consolas"/>
        </w:rPr>
        <w:t>&lt;customWorkbookView name="CustomView"</w:t>
      </w:r>
    </w:p>
    <w:p>
      <w:pPr>
        <w:pStyle w:val="BodyText"/>
        <w:spacing w:before="37"/>
        <w:ind w:left="993"/>
        <w:rPr>
          <w:rFonts w:ascii="Consolas"/>
        </w:rPr>
      </w:pPr>
      <w:r>
        <w:rPr>
          <w:rFonts w:ascii="Consolas"/>
        </w:rPr>
        <w:t>guid="{CE6681F1-E999-414D-8446-68A031534B57}" maximized="1" xWindow="1"</w:t>
      </w:r>
    </w:p>
    <w:p>
      <w:pPr>
        <w:pStyle w:val="BodyText"/>
        <w:spacing w:before="40"/>
        <w:ind w:left="993"/>
        <w:rPr>
          <w:rFonts w:ascii="Consolas"/>
        </w:rPr>
      </w:pPr>
      <w:r>
        <w:rPr>
          <w:rFonts w:ascii="Consolas"/>
        </w:rPr>
        <w:t>yWindow="1" windowWidth="1024" windowHeight="547" activeSheetId="1"/&gt;</w:t>
      </w:r>
    </w:p>
    <w:p>
      <w:pPr>
        <w:pStyle w:val="BodyText"/>
        <w:spacing w:before="38"/>
        <w:ind w:left="508"/>
        <w:rPr>
          <w:rFonts w:ascii="Consolas"/>
        </w:rPr>
      </w:pPr>
      <w:r>
        <w:rPr>
          <w:rFonts w:ascii="Consolas"/>
        </w:rPr>
        <w:t>&lt;/customWorkbookViews&gt;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442"/>
      </w:pPr>
      <w:r>
        <w:rPr/>
        <w:t>[</w:t>
      </w:r>
      <w:r>
        <w:rPr>
          <w:i/>
        </w:rPr>
        <w:t>Note</w:t>
      </w:r>
      <w:r>
        <w:rPr/>
        <w:t>: The W3C XML Schema definition of this element’s content model (</w:t>
      </w:r>
      <w:r>
        <w:rPr>
          <w:color w:val="5F5F5F"/>
          <w:u w:val="single" w:color="5F5F5F"/>
        </w:rPr>
        <w:t>CT_CustomWorkbookViews</w:t>
      </w:r>
      <w:r>
        <w:rPr/>
        <w:t>) is located in §A.2. </w:t>
      </w:r>
      <w:r>
        <w:rPr>
          <w:i/>
        </w:rPr>
        <w:t>end 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5 definedName (Defined Name)" w:id="20"/>
      <w:bookmarkEnd w:id="20"/>
      <w:r>
        <w:rPr>
          <w:b w:val="0"/>
        </w:rPr>
      </w:r>
      <w:bookmarkStart w:name="_bookmark5" w:id="21"/>
      <w:bookmarkEnd w:id="21"/>
      <w:r>
        <w:rPr>
          <w:b w:val="0"/>
        </w:rPr>
      </w:r>
      <w:bookmarkStart w:name="_bookmark5" w:id="22"/>
      <w:bookmarkEnd w:id="22"/>
      <w:r>
        <w:rPr>
          <w:color w:val="4F81BC"/>
        </w:rPr>
        <w:t>d</w:t>
      </w:r>
      <w:r>
        <w:rPr>
          <w:color w:val="4F81BC"/>
        </w:rPr>
        <w:t>efinedName (Defined Name)</w:t>
      </w:r>
    </w:p>
    <w:p>
      <w:pPr>
        <w:pStyle w:val="BodyText"/>
        <w:spacing w:line="278" w:lineRule="auto" w:before="121"/>
        <w:ind w:left="220" w:right="744"/>
      </w:pPr>
      <w:r>
        <w:rPr/>
        <w:t>This element defines a defined name within this workbook. A defined name is descriptive text that is used to represents a cell, range of cells, formula, or constant value.</w:t>
      </w:r>
    </w:p>
    <w:p>
      <w:pPr>
        <w:spacing w:after="0" w:line="278" w:lineRule="auto"/>
        <w:sectPr>
          <w:pgSz w:w="12240" w:h="15840"/>
          <w:pgMar w:header="763" w:footer="746" w:top="1340" w:bottom="940" w:left="860" w:right="700"/>
        </w:sectPr>
      </w:pPr>
    </w:p>
    <w:p>
      <w:pPr>
        <w:pStyle w:val="BodyText"/>
        <w:spacing w:before="90"/>
        <w:ind w:left="220" w:right="1305"/>
      </w:pPr>
      <w:r>
        <w:rPr/>
        <w:t>[</w:t>
      </w:r>
      <w:r>
        <w:rPr>
          <w:i/>
        </w:rPr>
        <w:t>Example</w:t>
      </w:r>
      <w:r>
        <w:rPr/>
        <w:t>: A defined name can make it easier to refer to ranges. The name Products might be easier to understand than the range</w:t>
      </w:r>
      <w:r>
        <w:rPr>
          <w:strike/>
        </w:rPr>
        <w:t>s</w:t>
      </w:r>
      <w:r>
        <w:rPr>
          <w:strike w:val="0"/>
        </w:rPr>
        <w:t> Sales!C20:C30. </w:t>
      </w:r>
      <w:r>
        <w:rPr>
          <w:i/>
          <w:strike w:val="0"/>
        </w:rPr>
        <w:t>end example</w:t>
      </w:r>
      <w:r>
        <w:rPr>
          <w:strike w:val="0"/>
        </w:rPr>
        <w:t>]</w:t>
      </w:r>
    </w:p>
    <w:p>
      <w:pPr>
        <w:pStyle w:val="BodyText"/>
        <w:spacing w:line="276" w:lineRule="auto" w:before="1"/>
        <w:ind w:left="220" w:right="614"/>
      </w:pPr>
      <w:r>
        <w:rPr/>
        <w:pict>
          <v:rect style="position:absolute;margin-left:98.304001pt;margin-top:11.723672pt;width:2.52pt;height:.71999pt;mso-position-horizontal-relative:page;mso-position-vertical-relative:paragraph;z-index:-335980544" filled="true" fillcolor="#000000" stroked="false">
            <v:fill type="solid"/>
            <w10:wrap type="none"/>
          </v:rect>
        </w:pict>
      </w:r>
      <w:r>
        <w:rPr/>
        <w:t>[</w:t>
      </w:r>
      <w:r>
        <w:rPr>
          <w:i/>
        </w:rPr>
        <w:t>Example</w:t>
      </w:r>
      <w:r>
        <w:rPr/>
        <w:t>: A defined name in a formula can make it easier to understand the purpose of the formula. For example, the formula =SUM(FirstQuarterSales) might be easier to identify than =SUM(C20:C30). </w:t>
      </w:r>
      <w:r>
        <w:rPr>
          <w:i/>
        </w:rPr>
        <w:t>end example</w:t>
      </w:r>
      <w:r>
        <w:rPr/>
        <w:t>]</w:t>
      </w:r>
    </w:p>
    <w:p>
      <w:pPr>
        <w:pStyle w:val="BodyText"/>
        <w:spacing w:before="3"/>
        <w:rPr>
          <w:sz w:val="16"/>
        </w:rPr>
      </w:pPr>
    </w:p>
    <w:p>
      <w:pPr>
        <w:pStyle w:val="BodyText"/>
        <w:spacing w:line="278" w:lineRule="auto"/>
        <w:ind w:left="220" w:right="596"/>
      </w:pPr>
      <w:r>
        <w:rPr/>
        <w:pict>
          <v:rect style="position:absolute;margin-left:98.304001pt;margin-top:11.673614pt;width:2.52pt;height:.72pt;mso-position-horizontal-relative:page;mso-position-vertical-relative:paragraph;z-index:-335979520" filled="true" fillcolor="#000000" stroked="false">
            <v:fill type="solid"/>
            <w10:wrap type="none"/>
          </v:rect>
        </w:pict>
      </w:r>
      <w:r>
        <w:rPr/>
        <w:t>[</w:t>
      </w:r>
      <w:r>
        <w:rPr>
          <w:i/>
        </w:rPr>
        <w:t>Example</w:t>
      </w:r>
      <w:r>
        <w:rPr/>
        <w:t>: Names are available to any sheet. For example, if the name ProjectedSales refers to the range A20:A30 on the first worksheet in a workbook, the name ProjectedSales can be used on any other sheet in the same workbook to refer to range A20:A30 on the first worksheet. </w:t>
      </w:r>
      <w:r>
        <w:rPr>
          <w:i/>
        </w:rPr>
        <w:t>end example</w:t>
      </w:r>
      <w:r>
        <w:rPr/>
        <w:t>]</w:t>
      </w:r>
    </w:p>
    <w:p>
      <w:pPr>
        <w:pStyle w:val="BodyText"/>
        <w:spacing w:line="276" w:lineRule="auto" w:before="194"/>
        <w:ind w:left="220" w:right="387"/>
      </w:pPr>
      <w:r>
        <w:rPr/>
        <w:pict>
          <v:rect style="position:absolute;margin-left:98.304001pt;margin-top:21.37365pt;width:2.52pt;height:.72pt;mso-position-horizontal-relative:page;mso-position-vertical-relative:paragraph;z-index:-335978496" filled="true" fillcolor="#000000" stroked="false">
            <v:fill type="solid"/>
            <w10:wrap type="none"/>
          </v:rect>
        </w:pict>
      </w:r>
      <w:r>
        <w:rPr/>
        <w:t>[</w:t>
      </w:r>
      <w:r>
        <w:rPr>
          <w:i/>
        </w:rPr>
        <w:t>Example</w:t>
      </w:r>
      <w:r>
        <w:rPr/>
        <w:t>: Names can be used to represent formulas or values that do not change (constants). For example, the name SalesTax can be used to represent the sales tax amount (such as 6.2 percent) applied to sales transactions. </w:t>
      </w:r>
      <w:r>
        <w:rPr>
          <w:i/>
        </w:rPr>
        <w:t>end example</w:t>
      </w:r>
      <w:r>
        <w:rPr/>
        <w:t>]</w:t>
      </w:r>
    </w:p>
    <w:p>
      <w:pPr>
        <w:pStyle w:val="BodyText"/>
        <w:spacing w:before="4"/>
        <w:rPr>
          <w:sz w:val="16"/>
        </w:rPr>
      </w:pPr>
    </w:p>
    <w:p>
      <w:pPr>
        <w:pStyle w:val="BodyText"/>
        <w:spacing w:line="278" w:lineRule="auto"/>
        <w:ind w:left="220" w:right="795"/>
        <w:jc w:val="both"/>
      </w:pPr>
      <w:r>
        <w:rPr/>
        <w:pict>
          <v:rect style="position:absolute;margin-left:98.304001pt;margin-top:11.673653pt;width:2.52pt;height:.72pt;mso-position-horizontal-relative:page;mso-position-vertical-relative:paragraph;z-index:-335977472" filled="true" fillcolor="#000000" stroked="false">
            <v:fill type="solid"/>
            <w10:wrap type="none"/>
          </v:rect>
        </w:pict>
      </w:r>
      <w:r>
        <w:rPr/>
        <w:t>[</w:t>
      </w:r>
      <w:r>
        <w:rPr>
          <w:i/>
        </w:rPr>
        <w:t>Example</w:t>
      </w:r>
      <w:r>
        <w:rPr/>
        <w:t>: A defined name in another workbook may be referenced and a defined name may refer to cells in another workbook. For example, the formula =SUM(Sales.xls!ProjectedSales) may refer to the named range ProjectedSales in the workbook named Sales. </w:t>
      </w:r>
      <w:r>
        <w:rPr>
          <w:i/>
        </w:rPr>
        <w:t>end example</w:t>
      </w:r>
      <w:r>
        <w:rPr/>
        <w:t>]</w:t>
      </w:r>
    </w:p>
    <w:p>
      <w:pPr>
        <w:pStyle w:val="BodyText"/>
        <w:spacing w:before="196"/>
        <w:ind w:left="220"/>
      </w:pPr>
      <w:r>
        <w:rPr/>
        <w:t>A compliant producer or consumer considers a defined name in the range A1-XFD1048576 to be an error.</w:t>
      </w:r>
    </w:p>
    <w:p>
      <w:pPr>
        <w:pStyle w:val="BodyText"/>
        <w:spacing w:before="8"/>
        <w:rPr>
          <w:sz w:val="19"/>
        </w:rPr>
      </w:pPr>
    </w:p>
    <w:p>
      <w:pPr>
        <w:pStyle w:val="BodyText"/>
        <w:ind w:left="220"/>
      </w:pPr>
      <w:r>
        <w:rPr/>
        <w:t>All other names outside this range can be defined as names and overrides a cell reference if an ambiguity exists.</w:t>
      </w:r>
    </w:p>
    <w:p>
      <w:pPr>
        <w:pStyle w:val="BodyText"/>
        <w:spacing w:before="6"/>
        <w:rPr>
          <w:sz w:val="19"/>
        </w:rPr>
      </w:pPr>
    </w:p>
    <w:p>
      <w:pPr>
        <w:pStyle w:val="BodyText"/>
        <w:spacing w:line="276" w:lineRule="auto"/>
        <w:ind w:left="220" w:right="699"/>
        <w:jc w:val="both"/>
      </w:pPr>
      <w:r>
        <w:rPr/>
        <w:t>[</w:t>
      </w:r>
      <w:r>
        <w:rPr>
          <w:i/>
        </w:rPr>
        <w:t>Example</w:t>
      </w:r>
      <w:r>
        <w:rPr/>
        <w:t>: For clarification: LOG10 is always a cell reference, LOG10() is always a formula, LOGO1000 can be a defined name that overrides a cell reference. </w:t>
      </w:r>
      <w:r>
        <w:rPr>
          <w:i/>
        </w:rPr>
        <w:t>end example</w:t>
      </w:r>
      <w:r>
        <w:rPr/>
        <w:t>]</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line="257" w:lineRule="exact" w:before="42"/>
              <w:rPr>
                <w:rFonts w:ascii="Cambria"/>
                <w:sz w:val="22"/>
              </w:rPr>
            </w:pPr>
            <w:r>
              <w:rPr>
                <w:rFonts w:ascii="Cambria"/>
                <w:sz w:val="22"/>
              </w:rPr>
              <w:t>comment</w:t>
            </w:r>
          </w:p>
          <w:p>
            <w:pPr>
              <w:pStyle w:val="TableParagraph"/>
              <w:spacing w:line="268" w:lineRule="exact" w:before="0"/>
              <w:rPr>
                <w:sz w:val="22"/>
              </w:rPr>
            </w:pPr>
            <w:r>
              <w:rPr>
                <w:sz w:val="22"/>
              </w:rPr>
              <w:t>(Comment)</w:t>
            </w:r>
          </w:p>
        </w:tc>
        <w:tc>
          <w:tcPr>
            <w:tcW w:w="8250" w:type="dxa"/>
          </w:tcPr>
          <w:p>
            <w:pPr>
              <w:pStyle w:val="TableParagraph"/>
              <w:rPr>
                <w:sz w:val="22"/>
              </w:rPr>
            </w:pPr>
            <w:r>
              <w:rPr>
                <w:sz w:val="22"/>
              </w:rPr>
              <w:t>Specifies the comment the user provided when the name was created.</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spacing w:line="256" w:lineRule="exact" w:before="42"/>
              <w:rPr>
                <w:rFonts w:ascii="Cambria"/>
                <w:sz w:val="22"/>
              </w:rPr>
            </w:pPr>
            <w:r>
              <w:rPr>
                <w:rFonts w:ascii="Cambria"/>
                <w:sz w:val="22"/>
              </w:rPr>
              <w:t>customMenu</w:t>
            </w:r>
          </w:p>
          <w:p>
            <w:pPr>
              <w:pStyle w:val="TableParagraph"/>
              <w:spacing w:line="267" w:lineRule="exact" w:before="0"/>
              <w:rPr>
                <w:sz w:val="22"/>
              </w:rPr>
            </w:pPr>
            <w:r>
              <w:rPr>
                <w:sz w:val="22"/>
              </w:rPr>
              <w:t>(Custom Menu Text)</w:t>
            </w:r>
          </w:p>
        </w:tc>
        <w:tc>
          <w:tcPr>
            <w:tcW w:w="8250" w:type="dxa"/>
          </w:tcPr>
          <w:p>
            <w:pPr>
              <w:pStyle w:val="TableParagraph"/>
              <w:rPr>
                <w:sz w:val="22"/>
              </w:rPr>
            </w:pPr>
            <w:r>
              <w:rPr>
                <w:sz w:val="22"/>
              </w:rPr>
              <w:t>Specifies custom menu text for the defined name.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line="256" w:lineRule="exact" w:before="45"/>
              <w:rPr>
                <w:rFonts w:ascii="Cambria"/>
                <w:sz w:val="22"/>
              </w:rPr>
            </w:pPr>
            <w:r>
              <w:rPr>
                <w:rFonts w:ascii="Cambria"/>
                <w:sz w:val="22"/>
              </w:rPr>
              <w:t>description</w:t>
            </w:r>
          </w:p>
          <w:p>
            <w:pPr>
              <w:pStyle w:val="TableParagraph"/>
              <w:spacing w:line="267" w:lineRule="exact" w:before="0"/>
              <w:rPr>
                <w:sz w:val="22"/>
              </w:rPr>
            </w:pPr>
            <w:r>
              <w:rPr>
                <w:sz w:val="22"/>
              </w:rPr>
              <w:t>(Description)</w:t>
            </w:r>
          </w:p>
        </w:tc>
        <w:tc>
          <w:tcPr>
            <w:tcW w:w="8250" w:type="dxa"/>
          </w:tcPr>
          <w:p>
            <w:pPr>
              <w:pStyle w:val="TableParagraph"/>
              <w:spacing w:before="42"/>
              <w:rPr>
                <w:sz w:val="22"/>
              </w:rPr>
            </w:pPr>
            <w:r>
              <w:rPr>
                <w:sz w:val="22"/>
              </w:rPr>
              <w:t>Specifies description text for the defined name.</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ind w:left="59" w:right="129"/>
              <w:jc w:val="center"/>
              <w:rPr>
                <w:sz w:val="22"/>
              </w:rPr>
            </w:pPr>
            <w:r>
              <w:rPr>
                <w:rFonts w:ascii="Cambria"/>
                <w:sz w:val="22"/>
              </w:rPr>
              <w:t>function </w:t>
            </w:r>
            <w:r>
              <w:rPr>
                <w:sz w:val="22"/>
              </w:rPr>
              <w:t>(Function)</w:t>
            </w:r>
          </w:p>
        </w:tc>
        <w:tc>
          <w:tcPr>
            <w:tcW w:w="8250" w:type="dxa"/>
          </w:tcPr>
          <w:p>
            <w:pPr>
              <w:pStyle w:val="TableParagraph"/>
              <w:ind w:right="282"/>
              <w:rPr>
                <w:sz w:val="22"/>
              </w:rPr>
            </w:pPr>
            <w:r>
              <w:rPr>
                <w:sz w:val="22"/>
              </w:rPr>
              <w:t>Specifies a boolean value that indicates that the defined name refers to a user-defined function. This attribute is used when there is an add-in or other code project associated with the file.</w:t>
            </w:r>
          </w:p>
          <w:p>
            <w:pPr>
              <w:pStyle w:val="TableParagraph"/>
              <w:spacing w:before="1"/>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name refers to a function.</w:t>
            </w:r>
          </w:p>
          <w:p>
            <w:pPr>
              <w:pStyle w:val="TableParagraph"/>
              <w:spacing w:before="10"/>
              <w:ind w:left="0"/>
              <w:rPr>
                <w:sz w:val="21"/>
              </w:rPr>
            </w:pPr>
          </w:p>
          <w:p>
            <w:pPr>
              <w:pStyle w:val="TableParagraph"/>
              <w:spacing w:before="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name does not refer to a function.</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The default value for this attribute is false.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23" w:hRule="atLeast"/>
        </w:trPr>
        <w:tc>
          <w:tcPr>
            <w:tcW w:w="2062" w:type="dxa"/>
            <w:tcBorders>
              <w:bottom w:val="nil"/>
            </w:tcBorders>
          </w:tcPr>
          <w:p>
            <w:pPr>
              <w:pStyle w:val="TableParagraph"/>
              <w:spacing w:before="42"/>
              <w:rPr>
                <w:rFonts w:ascii="Cambria"/>
                <w:sz w:val="22"/>
              </w:rPr>
            </w:pPr>
            <w:r>
              <w:rPr>
                <w:rFonts w:ascii="Cambria"/>
                <w:sz w:val="22"/>
              </w:rPr>
              <w:t>functionGroupId</w:t>
            </w:r>
          </w:p>
        </w:tc>
        <w:tc>
          <w:tcPr>
            <w:tcW w:w="8250" w:type="dxa"/>
            <w:tcBorders>
              <w:bottom w:val="nil"/>
            </w:tcBorders>
          </w:tcPr>
          <w:p>
            <w:pPr>
              <w:pStyle w:val="TableParagraph"/>
              <w:spacing w:line="264" w:lineRule="exact"/>
              <w:rPr>
                <w:sz w:val="22"/>
              </w:rPr>
            </w:pPr>
            <w:r>
              <w:rPr>
                <w:sz w:val="22"/>
              </w:rPr>
              <w:t>Specifies the function group index if the defined name refers to a function. The function</w:t>
            </w:r>
          </w:p>
        </w:tc>
      </w:tr>
      <w:tr>
        <w:trPr>
          <w:trHeight w:val="273" w:hRule="atLeast"/>
        </w:trPr>
        <w:tc>
          <w:tcPr>
            <w:tcW w:w="2062" w:type="dxa"/>
            <w:tcBorders>
              <w:top w:val="nil"/>
              <w:bottom w:val="nil"/>
            </w:tcBorders>
          </w:tcPr>
          <w:p>
            <w:pPr>
              <w:pStyle w:val="TableParagraph"/>
              <w:spacing w:line="244" w:lineRule="exact" w:before="0"/>
              <w:rPr>
                <w:sz w:val="22"/>
              </w:rPr>
            </w:pPr>
            <w:r>
              <w:rPr>
                <w:sz w:val="22"/>
              </w:rPr>
              <w:t>(Function Group Id)</w:t>
            </w:r>
          </w:p>
        </w:tc>
        <w:tc>
          <w:tcPr>
            <w:tcW w:w="8250" w:type="dxa"/>
            <w:tcBorders>
              <w:top w:val="nil"/>
              <w:bottom w:val="nil"/>
            </w:tcBorders>
          </w:tcPr>
          <w:p>
            <w:pPr>
              <w:pStyle w:val="TableParagraph"/>
              <w:spacing w:line="253" w:lineRule="exact" w:before="0"/>
              <w:rPr>
                <w:sz w:val="22"/>
              </w:rPr>
            </w:pPr>
            <w:r>
              <w:rPr>
                <w:sz w:val="22"/>
              </w:rPr>
              <w:t>group defines the general category for the function. This attribute is used when there is</w:t>
            </w:r>
          </w:p>
        </w:tc>
      </w:tr>
      <w:tr>
        <w:trPr>
          <w:trHeight w:val="403"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an add-in or other code project associated with the file.</w:t>
            </w:r>
          </w:p>
        </w:tc>
      </w:tr>
      <w:tr>
        <w:trPr>
          <w:trHeight w:val="403"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4"/>
              <w:rPr>
                <w:sz w:val="22"/>
              </w:rPr>
            </w:pPr>
            <w:r>
              <w:rPr>
                <w:sz w:val="22"/>
              </w:rPr>
              <w:t>The following functionGroupIds are defined in SpreadsheetML for applications that</w:t>
            </w:r>
          </w:p>
        </w:tc>
      </w:tr>
      <w:tr>
        <w:trPr>
          <w:trHeight w:val="4866"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support the association of an add-in or code project for their workbook:</w:t>
            </w:r>
          </w:p>
          <w:p>
            <w:pPr>
              <w:pStyle w:val="TableParagraph"/>
              <w:numPr>
                <w:ilvl w:val="0"/>
                <w:numId w:val="18"/>
              </w:numPr>
              <w:tabs>
                <w:tab w:pos="834" w:val="left" w:leader="none"/>
                <w:tab w:pos="835" w:val="left" w:leader="none"/>
                <w:tab w:pos="1555" w:val="left" w:leader="none"/>
              </w:tabs>
              <w:spacing w:line="240" w:lineRule="auto" w:before="0" w:after="0"/>
              <w:ind w:left="835" w:right="0" w:hanging="360"/>
              <w:jc w:val="left"/>
              <w:rPr>
                <w:sz w:val="22"/>
              </w:rPr>
            </w:pPr>
            <w:r>
              <w:rPr>
                <w:sz w:val="22"/>
              </w:rPr>
              <w:t>1</w:t>
              <w:tab/>
              <w:t>Financial</w:t>
            </w:r>
          </w:p>
          <w:p>
            <w:pPr>
              <w:pStyle w:val="TableParagraph"/>
              <w:numPr>
                <w:ilvl w:val="0"/>
                <w:numId w:val="18"/>
              </w:numPr>
              <w:tabs>
                <w:tab w:pos="834" w:val="left" w:leader="none"/>
                <w:tab w:pos="835" w:val="left" w:leader="none"/>
                <w:tab w:pos="1555" w:val="left" w:leader="none"/>
              </w:tabs>
              <w:spacing w:line="280" w:lineRule="exact" w:before="1" w:after="0"/>
              <w:ind w:left="835" w:right="0" w:hanging="360"/>
              <w:jc w:val="left"/>
              <w:rPr>
                <w:sz w:val="22"/>
              </w:rPr>
            </w:pPr>
            <w:r>
              <w:rPr>
                <w:sz w:val="22"/>
              </w:rPr>
              <w:t>2</w:t>
              <w:tab/>
              <w:t>Date and</w:t>
            </w:r>
            <w:r>
              <w:rPr>
                <w:spacing w:val="-2"/>
                <w:sz w:val="22"/>
              </w:rPr>
              <w:t> </w:t>
            </w:r>
            <w:r>
              <w:rPr>
                <w:sz w:val="22"/>
              </w:rPr>
              <w:t>Time</w:t>
            </w:r>
          </w:p>
          <w:p>
            <w:pPr>
              <w:pStyle w:val="TableParagraph"/>
              <w:numPr>
                <w:ilvl w:val="0"/>
                <w:numId w:val="18"/>
              </w:numPr>
              <w:tabs>
                <w:tab w:pos="834" w:val="left" w:leader="none"/>
                <w:tab w:pos="835" w:val="left" w:leader="none"/>
                <w:tab w:pos="1555" w:val="left" w:leader="none"/>
              </w:tabs>
              <w:spacing w:line="280" w:lineRule="exact" w:before="0" w:after="0"/>
              <w:ind w:left="835" w:right="0" w:hanging="360"/>
              <w:jc w:val="left"/>
              <w:rPr>
                <w:sz w:val="22"/>
              </w:rPr>
            </w:pPr>
            <w:r>
              <w:rPr>
                <w:sz w:val="22"/>
              </w:rPr>
              <w:t>3</w:t>
              <w:tab/>
              <w:t>Math and</w:t>
            </w:r>
            <w:r>
              <w:rPr>
                <w:spacing w:val="-2"/>
                <w:sz w:val="22"/>
              </w:rPr>
              <w:t> </w:t>
            </w:r>
            <w:r>
              <w:rPr>
                <w:sz w:val="22"/>
              </w:rPr>
              <w:t>Trig</w:t>
            </w:r>
          </w:p>
          <w:p>
            <w:pPr>
              <w:pStyle w:val="TableParagraph"/>
              <w:numPr>
                <w:ilvl w:val="0"/>
                <w:numId w:val="18"/>
              </w:numPr>
              <w:tabs>
                <w:tab w:pos="834" w:val="left" w:leader="none"/>
                <w:tab w:pos="835" w:val="left" w:leader="none"/>
                <w:tab w:pos="1555" w:val="left" w:leader="none"/>
              </w:tabs>
              <w:spacing w:line="240" w:lineRule="auto" w:before="0" w:after="0"/>
              <w:ind w:left="835" w:right="0" w:hanging="360"/>
              <w:jc w:val="left"/>
              <w:rPr>
                <w:sz w:val="22"/>
              </w:rPr>
            </w:pPr>
            <w:r>
              <w:rPr>
                <w:sz w:val="22"/>
              </w:rPr>
              <w:t>4</w:t>
              <w:tab/>
              <w:t>Statistical</w:t>
            </w:r>
          </w:p>
          <w:p>
            <w:pPr>
              <w:pStyle w:val="TableParagraph"/>
              <w:numPr>
                <w:ilvl w:val="0"/>
                <w:numId w:val="18"/>
              </w:numPr>
              <w:tabs>
                <w:tab w:pos="834" w:val="left" w:leader="none"/>
                <w:tab w:pos="835" w:val="left" w:leader="none"/>
                <w:tab w:pos="1555" w:val="left" w:leader="none"/>
              </w:tabs>
              <w:spacing w:line="240" w:lineRule="auto" w:before="1" w:after="0"/>
              <w:ind w:left="835" w:right="0" w:hanging="360"/>
              <w:jc w:val="left"/>
              <w:rPr>
                <w:sz w:val="22"/>
              </w:rPr>
            </w:pPr>
            <w:r>
              <w:rPr>
                <w:sz w:val="22"/>
              </w:rPr>
              <w:t>5</w:t>
              <w:tab/>
              <w:t>Lookup and</w:t>
            </w:r>
            <w:r>
              <w:rPr>
                <w:spacing w:val="-3"/>
                <w:sz w:val="22"/>
              </w:rPr>
              <w:t> </w:t>
            </w:r>
            <w:r>
              <w:rPr>
                <w:sz w:val="22"/>
              </w:rPr>
              <w:t>Reference</w:t>
            </w:r>
          </w:p>
          <w:p>
            <w:pPr>
              <w:pStyle w:val="TableParagraph"/>
              <w:numPr>
                <w:ilvl w:val="0"/>
                <w:numId w:val="18"/>
              </w:numPr>
              <w:tabs>
                <w:tab w:pos="834" w:val="left" w:leader="none"/>
                <w:tab w:pos="835" w:val="left" w:leader="none"/>
                <w:tab w:pos="1555" w:val="left" w:leader="none"/>
              </w:tabs>
              <w:spacing w:line="240" w:lineRule="auto" w:before="0" w:after="0"/>
              <w:ind w:left="835" w:right="0" w:hanging="360"/>
              <w:jc w:val="left"/>
              <w:rPr>
                <w:sz w:val="22"/>
              </w:rPr>
            </w:pPr>
            <w:r>
              <w:rPr>
                <w:sz w:val="22"/>
              </w:rPr>
              <w:t>6</w:t>
              <w:tab/>
              <w:t>Database</w:t>
            </w:r>
          </w:p>
          <w:p>
            <w:pPr>
              <w:pStyle w:val="TableParagraph"/>
              <w:numPr>
                <w:ilvl w:val="0"/>
                <w:numId w:val="18"/>
              </w:numPr>
              <w:tabs>
                <w:tab w:pos="834" w:val="left" w:leader="none"/>
                <w:tab w:pos="835" w:val="left" w:leader="none"/>
                <w:tab w:pos="1555" w:val="left" w:leader="none"/>
              </w:tabs>
              <w:spacing w:line="279" w:lineRule="exact" w:before="1" w:after="0"/>
              <w:ind w:left="835" w:right="0" w:hanging="360"/>
              <w:jc w:val="left"/>
              <w:rPr>
                <w:sz w:val="22"/>
              </w:rPr>
            </w:pPr>
            <w:r>
              <w:rPr>
                <w:sz w:val="22"/>
              </w:rPr>
              <w:t>7</w:t>
              <w:tab/>
              <w:t>Text</w:t>
            </w:r>
          </w:p>
          <w:p>
            <w:pPr>
              <w:pStyle w:val="TableParagraph"/>
              <w:numPr>
                <w:ilvl w:val="0"/>
                <w:numId w:val="18"/>
              </w:numPr>
              <w:tabs>
                <w:tab w:pos="834" w:val="left" w:leader="none"/>
                <w:tab w:pos="835" w:val="left" w:leader="none"/>
                <w:tab w:pos="1555" w:val="left" w:leader="none"/>
              </w:tabs>
              <w:spacing w:line="279" w:lineRule="exact" w:before="0" w:after="0"/>
              <w:ind w:left="835" w:right="0" w:hanging="360"/>
              <w:jc w:val="left"/>
              <w:rPr>
                <w:sz w:val="22"/>
              </w:rPr>
            </w:pPr>
            <w:r>
              <w:rPr>
                <w:sz w:val="22"/>
              </w:rPr>
              <w:t>8</w:t>
              <w:tab/>
              <w:t>Logical</w:t>
            </w:r>
          </w:p>
          <w:p>
            <w:pPr>
              <w:pStyle w:val="TableParagraph"/>
              <w:numPr>
                <w:ilvl w:val="0"/>
                <w:numId w:val="18"/>
              </w:numPr>
              <w:tabs>
                <w:tab w:pos="834" w:val="left" w:leader="none"/>
                <w:tab w:pos="835" w:val="left" w:leader="none"/>
                <w:tab w:pos="1555" w:val="left" w:leader="none"/>
              </w:tabs>
              <w:spacing w:line="240" w:lineRule="auto" w:before="0" w:after="0"/>
              <w:ind w:left="835" w:right="0" w:hanging="360"/>
              <w:jc w:val="left"/>
              <w:rPr>
                <w:sz w:val="22"/>
              </w:rPr>
            </w:pPr>
            <w:r>
              <w:rPr>
                <w:sz w:val="22"/>
              </w:rPr>
              <w:t>9</w:t>
              <w:tab/>
              <w:t>Information</w:t>
            </w:r>
          </w:p>
          <w:p>
            <w:pPr>
              <w:pStyle w:val="TableParagraph"/>
              <w:numPr>
                <w:ilvl w:val="0"/>
                <w:numId w:val="18"/>
              </w:numPr>
              <w:tabs>
                <w:tab w:pos="834" w:val="left" w:leader="none"/>
                <w:tab w:pos="835" w:val="left" w:leader="none"/>
                <w:tab w:pos="1555" w:val="left" w:leader="none"/>
              </w:tabs>
              <w:spacing w:line="240" w:lineRule="auto" w:before="1" w:after="0"/>
              <w:ind w:left="835" w:right="0" w:hanging="360"/>
              <w:jc w:val="left"/>
              <w:rPr>
                <w:sz w:val="22"/>
              </w:rPr>
            </w:pPr>
            <w:r>
              <w:rPr>
                <w:sz w:val="22"/>
              </w:rPr>
              <w:t>10</w:t>
              <w:tab/>
              <w:t>Commands</w:t>
            </w:r>
          </w:p>
          <w:p>
            <w:pPr>
              <w:pStyle w:val="TableParagraph"/>
              <w:numPr>
                <w:ilvl w:val="0"/>
                <w:numId w:val="18"/>
              </w:numPr>
              <w:tabs>
                <w:tab w:pos="834" w:val="left" w:leader="none"/>
                <w:tab w:pos="835" w:val="left" w:leader="none"/>
                <w:tab w:pos="1555" w:val="left" w:leader="none"/>
              </w:tabs>
              <w:spacing w:line="279" w:lineRule="exact" w:before="1" w:after="0"/>
              <w:ind w:left="835" w:right="0" w:hanging="360"/>
              <w:jc w:val="left"/>
              <w:rPr>
                <w:sz w:val="22"/>
              </w:rPr>
            </w:pPr>
            <w:r>
              <w:rPr>
                <w:sz w:val="22"/>
              </w:rPr>
              <w:t>11</w:t>
              <w:tab/>
              <w:t>Customizing</w:t>
            </w:r>
          </w:p>
          <w:p>
            <w:pPr>
              <w:pStyle w:val="TableParagraph"/>
              <w:numPr>
                <w:ilvl w:val="0"/>
                <w:numId w:val="18"/>
              </w:numPr>
              <w:tabs>
                <w:tab w:pos="834" w:val="left" w:leader="none"/>
                <w:tab w:pos="835" w:val="left" w:leader="none"/>
                <w:tab w:pos="1555" w:val="left" w:leader="none"/>
              </w:tabs>
              <w:spacing w:line="279" w:lineRule="exact" w:before="0" w:after="0"/>
              <w:ind w:left="835" w:right="0" w:hanging="360"/>
              <w:jc w:val="left"/>
              <w:rPr>
                <w:sz w:val="22"/>
              </w:rPr>
            </w:pPr>
            <w:r>
              <w:rPr>
                <w:sz w:val="22"/>
              </w:rPr>
              <w:t>12</w:t>
              <w:tab/>
              <w:t>Macro</w:t>
            </w:r>
            <w:r>
              <w:rPr>
                <w:spacing w:val="-3"/>
                <w:sz w:val="22"/>
              </w:rPr>
              <w:t> </w:t>
            </w:r>
            <w:r>
              <w:rPr>
                <w:sz w:val="22"/>
              </w:rPr>
              <w:t>Control</w:t>
            </w:r>
          </w:p>
          <w:p>
            <w:pPr>
              <w:pStyle w:val="TableParagraph"/>
              <w:numPr>
                <w:ilvl w:val="0"/>
                <w:numId w:val="18"/>
              </w:numPr>
              <w:tabs>
                <w:tab w:pos="834" w:val="left" w:leader="none"/>
                <w:tab w:pos="835" w:val="left" w:leader="none"/>
                <w:tab w:pos="1555" w:val="left" w:leader="none"/>
              </w:tabs>
              <w:spacing w:line="240" w:lineRule="auto" w:before="0" w:after="0"/>
              <w:ind w:left="835" w:right="0" w:hanging="360"/>
              <w:jc w:val="left"/>
              <w:rPr>
                <w:sz w:val="22"/>
              </w:rPr>
            </w:pPr>
            <w:r>
              <w:rPr>
                <w:sz w:val="22"/>
              </w:rPr>
              <w:t>13</w:t>
              <w:tab/>
              <w:t>DDE /</w:t>
            </w:r>
            <w:r>
              <w:rPr>
                <w:spacing w:val="-4"/>
                <w:sz w:val="22"/>
              </w:rPr>
              <w:t> </w:t>
            </w:r>
            <w:r>
              <w:rPr>
                <w:sz w:val="22"/>
              </w:rPr>
              <w:t>External</w:t>
            </w:r>
          </w:p>
          <w:p>
            <w:pPr>
              <w:pStyle w:val="TableParagraph"/>
              <w:numPr>
                <w:ilvl w:val="0"/>
                <w:numId w:val="18"/>
              </w:numPr>
              <w:tabs>
                <w:tab w:pos="834" w:val="left" w:leader="none"/>
                <w:tab w:pos="835" w:val="left" w:leader="none"/>
                <w:tab w:pos="1555" w:val="left" w:leader="none"/>
              </w:tabs>
              <w:spacing w:line="240" w:lineRule="auto" w:before="1" w:after="0"/>
              <w:ind w:left="835" w:right="0" w:hanging="360"/>
              <w:jc w:val="left"/>
              <w:rPr>
                <w:sz w:val="22"/>
              </w:rPr>
            </w:pPr>
            <w:r>
              <w:rPr>
                <w:sz w:val="22"/>
              </w:rPr>
              <w:t>14</w:t>
              <w:tab/>
              <w:t>User</w:t>
            </w:r>
            <w:r>
              <w:rPr>
                <w:spacing w:val="-2"/>
                <w:sz w:val="22"/>
              </w:rPr>
              <w:t> </w:t>
            </w:r>
            <w:r>
              <w:rPr>
                <w:sz w:val="22"/>
              </w:rPr>
              <w:t>Defined</w:t>
            </w:r>
          </w:p>
          <w:p>
            <w:pPr>
              <w:pStyle w:val="TableParagraph"/>
              <w:numPr>
                <w:ilvl w:val="0"/>
                <w:numId w:val="18"/>
              </w:numPr>
              <w:tabs>
                <w:tab w:pos="834" w:val="left" w:leader="none"/>
                <w:tab w:pos="835" w:val="left" w:leader="none"/>
                <w:tab w:pos="1555" w:val="left" w:leader="none"/>
              </w:tabs>
              <w:spacing w:line="240" w:lineRule="auto" w:before="1" w:after="0"/>
              <w:ind w:left="835" w:right="0" w:hanging="360"/>
              <w:jc w:val="left"/>
              <w:rPr>
                <w:sz w:val="22"/>
              </w:rPr>
            </w:pPr>
            <w:r>
              <w:rPr>
                <w:sz w:val="22"/>
              </w:rPr>
              <w:t>15</w:t>
              <w:tab/>
              <w:t>Engineering</w:t>
            </w:r>
          </w:p>
          <w:p>
            <w:pPr>
              <w:pStyle w:val="TableParagraph"/>
              <w:numPr>
                <w:ilvl w:val="0"/>
                <w:numId w:val="18"/>
              </w:numPr>
              <w:tabs>
                <w:tab w:pos="834" w:val="left" w:leader="none"/>
                <w:tab w:pos="835" w:val="left" w:leader="none"/>
                <w:tab w:pos="1555" w:val="left" w:leader="none"/>
              </w:tabs>
              <w:spacing w:line="240" w:lineRule="auto" w:before="0" w:after="0"/>
              <w:ind w:left="835" w:right="0" w:hanging="360"/>
              <w:jc w:val="left"/>
              <w:rPr>
                <w:sz w:val="22"/>
              </w:rPr>
            </w:pPr>
            <w:r>
              <w:rPr>
                <w:sz w:val="22"/>
              </w:rPr>
              <w:t>16</w:t>
              <w:tab/>
              <w:t>Cube</w:t>
            </w:r>
          </w:p>
        </w:tc>
      </w:tr>
      <w:tr>
        <w:trPr>
          <w:trHeight w:val="424"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35"/>
              <w:rPr>
                <w:rFonts w:ascii="Cambria"/>
                <w:sz w:val="22"/>
              </w:rPr>
            </w:pPr>
            <w:r>
              <w:rPr>
                <w:sz w:val="22"/>
              </w:rPr>
              <w:t>The possible values for this attribute are defined by the W3C XML Schema </w:t>
            </w:r>
            <w:r>
              <w:rPr>
                <w:rFonts w:ascii="Cambria"/>
                <w:sz w:val="22"/>
              </w:rPr>
              <w:t>unsignedInt</w:t>
            </w:r>
          </w:p>
        </w:tc>
      </w:tr>
      <w:tr>
        <w:trPr>
          <w:trHeight w:val="294"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9" w:lineRule="exact"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help </w:t>
            </w:r>
            <w:r>
              <w:rPr>
                <w:sz w:val="22"/>
              </w:rPr>
              <w:t>(Help)</w:t>
            </w:r>
          </w:p>
        </w:tc>
        <w:tc>
          <w:tcPr>
            <w:tcW w:w="8250" w:type="dxa"/>
          </w:tcPr>
          <w:p>
            <w:pPr>
              <w:pStyle w:val="TableParagraph"/>
              <w:rPr>
                <w:sz w:val="22"/>
              </w:rPr>
            </w:pPr>
            <w:r>
              <w:rPr>
                <w:sz w:val="22"/>
              </w:rPr>
              <w:t>Specifies the help topic to display for this defined name.</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5" w:hRule="atLeast"/>
        </w:trPr>
        <w:tc>
          <w:tcPr>
            <w:tcW w:w="2062" w:type="dxa"/>
          </w:tcPr>
          <w:p>
            <w:pPr>
              <w:pStyle w:val="TableParagraph"/>
              <w:spacing w:line="237" w:lineRule="auto" w:before="44"/>
              <w:ind w:right="501"/>
              <w:rPr>
                <w:sz w:val="22"/>
              </w:rPr>
            </w:pPr>
            <w:r>
              <w:rPr>
                <w:rFonts w:ascii="Cambria"/>
                <w:sz w:val="22"/>
              </w:rPr>
              <w:t>hidden </w:t>
            </w:r>
            <w:r>
              <w:rPr>
                <w:sz w:val="22"/>
              </w:rPr>
              <w:t>(Hidden Name)</w:t>
            </w:r>
          </w:p>
        </w:tc>
        <w:tc>
          <w:tcPr>
            <w:tcW w:w="8250" w:type="dxa"/>
          </w:tcPr>
          <w:p>
            <w:pPr>
              <w:pStyle w:val="TableParagraph"/>
              <w:spacing w:line="237" w:lineRule="auto" w:before="44"/>
              <w:ind w:right="286"/>
              <w:rPr>
                <w:sz w:val="22"/>
              </w:rPr>
            </w:pPr>
            <w:r>
              <w:rPr>
                <w:sz w:val="22"/>
              </w:rPr>
              <w:t>Specifies a boolean value that indicates whether the defined name is hidden in the user interface.</w:t>
            </w:r>
          </w:p>
          <w:p>
            <w:pPr>
              <w:pStyle w:val="TableParagraph"/>
              <w:spacing w:before="6"/>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name is hidden.</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name is not hidden.</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ind w:right="190"/>
              <w:rPr>
                <w:sz w:val="22"/>
              </w:rPr>
            </w:pPr>
            <w:r>
              <w:rPr>
                <w:rFonts w:ascii="Cambria"/>
                <w:sz w:val="22"/>
              </w:rPr>
              <w:t>localSheetId </w:t>
            </w:r>
            <w:r>
              <w:rPr>
                <w:sz w:val="22"/>
              </w:rPr>
              <w:t>(Local Name Sheet Id)</w:t>
            </w:r>
          </w:p>
        </w:tc>
        <w:tc>
          <w:tcPr>
            <w:tcW w:w="8250" w:type="dxa"/>
          </w:tcPr>
          <w:p>
            <w:pPr>
              <w:pStyle w:val="TableParagraph"/>
              <w:ind w:right="642"/>
              <w:rPr>
                <w:sz w:val="22"/>
              </w:rPr>
            </w:pPr>
            <w:r>
              <w:rPr>
                <w:sz w:val="22"/>
              </w:rPr>
              <w:t>Specifies the sheet index in this workbook where data from an external reference is displayed.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50"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656"/>
              <w:rPr>
                <w:sz w:val="22"/>
              </w:rPr>
            </w:pPr>
            <w:r>
              <w:rPr>
                <w:sz w:val="22"/>
              </w:rPr>
              <w:t>[</w:t>
            </w:r>
            <w:r>
              <w:rPr>
                <w:i/>
                <w:sz w:val="22"/>
              </w:rPr>
              <w:t>Example</w:t>
            </w:r>
            <w:r>
              <w:rPr>
                <w:sz w:val="22"/>
              </w:rPr>
              <w:t>: In the following example, the defined name refers to a range whose data source is an external database called “Northwind_Database”:</w:t>
            </w:r>
          </w:p>
          <w:p>
            <w:pPr>
              <w:pStyle w:val="TableParagraph"/>
              <w:spacing w:before="7"/>
              <w:ind w:left="0"/>
              <w:rPr>
                <w:rFonts w:ascii="Times New Roman"/>
                <w:sz w:val="23"/>
              </w:rPr>
            </w:pPr>
          </w:p>
          <w:p>
            <w:pPr>
              <w:pStyle w:val="TableParagraph"/>
              <w:spacing w:before="1"/>
              <w:ind w:left="645" w:right="617" w:hanging="243"/>
              <w:rPr>
                <w:rFonts w:ascii="Consolas"/>
                <w:sz w:val="22"/>
              </w:rPr>
            </w:pPr>
            <w:r>
              <w:rPr>
                <w:rFonts w:ascii="Consolas"/>
                <w:sz w:val="22"/>
              </w:rPr>
              <w:t>&lt;definedName name="Northwind_Database" localSheetId="2"&gt;Sheet5!$A$1:$T$47&lt;/definedName&gt;</w:t>
            </w:r>
          </w:p>
          <w:p>
            <w:pPr>
              <w:pStyle w:val="TableParagraph"/>
              <w:spacing w:line="265" w:lineRule="exact"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857" w:hRule="atLeast"/>
        </w:trPr>
        <w:tc>
          <w:tcPr>
            <w:tcW w:w="2062" w:type="dxa"/>
          </w:tcPr>
          <w:p>
            <w:pPr>
              <w:pStyle w:val="TableParagraph"/>
              <w:ind w:right="578"/>
              <w:rPr>
                <w:sz w:val="22"/>
              </w:rPr>
            </w:pPr>
            <w:r>
              <w:rPr>
                <w:rFonts w:ascii="Cambria"/>
                <w:sz w:val="22"/>
              </w:rPr>
              <w:t>name </w:t>
            </w:r>
            <w:r>
              <w:rPr>
                <w:sz w:val="22"/>
              </w:rPr>
              <w:t>(Defined Name)</w:t>
            </w:r>
          </w:p>
        </w:tc>
        <w:tc>
          <w:tcPr>
            <w:tcW w:w="8250" w:type="dxa"/>
          </w:tcPr>
          <w:p>
            <w:pPr>
              <w:pStyle w:val="TableParagraph"/>
              <w:ind w:right="127"/>
              <w:rPr>
                <w:sz w:val="22"/>
              </w:rPr>
            </w:pPr>
            <w:r>
              <w:rPr>
                <w:sz w:val="22"/>
              </w:rPr>
              <w:t>Specifies the name that appears in the user interface for the defined name. This attribute is required. The following built-in names are defined in this SpreadsheetML specification:</w:t>
            </w:r>
          </w:p>
          <w:p>
            <w:pPr>
              <w:pStyle w:val="TableParagraph"/>
              <w:spacing w:before="1"/>
              <w:ind w:left="475"/>
              <w:rPr>
                <w:rFonts w:ascii="Symbol" w:hAnsi="Symbol"/>
                <w:sz w:val="22"/>
              </w:rPr>
            </w:pPr>
            <w:r>
              <w:rPr>
                <w:rFonts w:ascii="Symbol" w:hAnsi="Symbol"/>
                <w:w w:val="100"/>
                <w:sz w:val="22"/>
              </w:rPr>
              <w:t></w:t>
            </w:r>
          </w:p>
          <w:p>
            <w:pPr>
              <w:pStyle w:val="TableParagraph"/>
              <w:numPr>
                <w:ilvl w:val="0"/>
                <w:numId w:val="19"/>
              </w:numPr>
              <w:tabs>
                <w:tab w:pos="834" w:val="left" w:leader="none"/>
                <w:tab w:pos="835" w:val="left" w:leader="none"/>
              </w:tabs>
              <w:spacing w:line="240" w:lineRule="auto" w:before="9" w:after="0"/>
              <w:ind w:left="835" w:right="0" w:hanging="360"/>
              <w:jc w:val="left"/>
              <w:rPr>
                <w:b/>
                <w:sz w:val="22"/>
              </w:rPr>
            </w:pPr>
            <w:r>
              <w:rPr>
                <w:b/>
                <w:sz w:val="22"/>
              </w:rPr>
              <w:t>Print</w:t>
            </w:r>
          </w:p>
          <w:p>
            <w:pPr>
              <w:pStyle w:val="TableParagraph"/>
              <w:numPr>
                <w:ilvl w:val="0"/>
                <w:numId w:val="19"/>
              </w:numPr>
              <w:tabs>
                <w:tab w:pos="834" w:val="left" w:leader="none"/>
                <w:tab w:pos="835" w:val="left" w:leader="none"/>
              </w:tabs>
              <w:spacing w:line="240" w:lineRule="auto" w:before="0" w:after="0"/>
              <w:ind w:left="835" w:right="0" w:hanging="360"/>
              <w:jc w:val="left"/>
              <w:rPr>
                <w:sz w:val="22"/>
              </w:rPr>
            </w:pPr>
            <w:r>
              <w:rPr>
                <w:sz w:val="22"/>
              </w:rPr>
              <w:t>_xlnm .Print_Area: this defined name specifies the workbook's print</w:t>
            </w:r>
            <w:r>
              <w:rPr>
                <w:spacing w:val="-9"/>
                <w:sz w:val="22"/>
              </w:rPr>
              <w:t> </w:t>
            </w:r>
            <w:r>
              <w:rPr>
                <w:sz w:val="22"/>
              </w:rPr>
              <w:t>area.</w:t>
            </w:r>
          </w:p>
          <w:p>
            <w:pPr>
              <w:pStyle w:val="TableParagraph"/>
              <w:numPr>
                <w:ilvl w:val="0"/>
                <w:numId w:val="19"/>
              </w:numPr>
              <w:tabs>
                <w:tab w:pos="834" w:val="left" w:leader="none"/>
                <w:tab w:pos="835" w:val="left" w:leader="none"/>
              </w:tabs>
              <w:spacing w:line="240" w:lineRule="auto" w:before="1" w:after="0"/>
              <w:ind w:left="835" w:right="164" w:hanging="360"/>
              <w:jc w:val="left"/>
              <w:rPr>
                <w:sz w:val="22"/>
              </w:rPr>
            </w:pPr>
            <w:r>
              <w:rPr>
                <w:sz w:val="22"/>
              </w:rPr>
              <w:t>_xlnm .Print_Titles: this defined name specifies the row(s) or column(s) to repeat at the top of each printed</w:t>
            </w:r>
            <w:r>
              <w:rPr>
                <w:spacing w:val="-10"/>
                <w:sz w:val="22"/>
              </w:rPr>
              <w:t> </w:t>
            </w:r>
            <w:r>
              <w:rPr>
                <w:sz w:val="22"/>
              </w:rPr>
              <w:t>page.</w:t>
            </w:r>
          </w:p>
          <w:p>
            <w:pPr>
              <w:pStyle w:val="TableParagraph"/>
              <w:spacing w:before="1"/>
              <w:ind w:left="475"/>
              <w:rPr>
                <w:rFonts w:ascii="Symbol" w:hAnsi="Symbol"/>
                <w:sz w:val="22"/>
              </w:rPr>
            </w:pPr>
            <w:r>
              <w:rPr>
                <w:rFonts w:ascii="Symbol" w:hAnsi="Symbol"/>
                <w:w w:val="100"/>
                <w:sz w:val="22"/>
              </w:rPr>
              <w:t></w:t>
            </w:r>
          </w:p>
          <w:p>
            <w:pPr>
              <w:pStyle w:val="TableParagraph"/>
              <w:numPr>
                <w:ilvl w:val="0"/>
                <w:numId w:val="19"/>
              </w:numPr>
              <w:tabs>
                <w:tab w:pos="834" w:val="left" w:leader="none"/>
                <w:tab w:pos="835" w:val="left" w:leader="none"/>
              </w:tabs>
              <w:spacing w:line="240" w:lineRule="auto" w:before="9" w:after="0"/>
              <w:ind w:left="835" w:right="0" w:hanging="360"/>
              <w:jc w:val="left"/>
              <w:rPr>
                <w:b/>
                <w:sz w:val="22"/>
              </w:rPr>
            </w:pPr>
            <w:r>
              <w:rPr>
                <w:b/>
                <w:sz w:val="22"/>
              </w:rPr>
              <w:t>Filter &amp; Advanced</w:t>
            </w:r>
            <w:r>
              <w:rPr>
                <w:b/>
                <w:spacing w:val="-6"/>
                <w:sz w:val="22"/>
              </w:rPr>
              <w:t> </w:t>
            </w:r>
            <w:r>
              <w:rPr>
                <w:b/>
                <w:sz w:val="22"/>
              </w:rPr>
              <w:t>Filter</w:t>
            </w:r>
          </w:p>
          <w:p>
            <w:pPr>
              <w:pStyle w:val="TableParagraph"/>
              <w:numPr>
                <w:ilvl w:val="0"/>
                <w:numId w:val="19"/>
              </w:numPr>
              <w:tabs>
                <w:tab w:pos="834" w:val="left" w:leader="none"/>
                <w:tab w:pos="835" w:val="left" w:leader="none"/>
              </w:tabs>
              <w:spacing w:line="240" w:lineRule="auto" w:before="0" w:after="0"/>
              <w:ind w:left="835" w:right="198" w:hanging="360"/>
              <w:jc w:val="left"/>
              <w:rPr>
                <w:sz w:val="22"/>
              </w:rPr>
            </w:pPr>
            <w:r>
              <w:rPr>
                <w:sz w:val="22"/>
              </w:rPr>
              <w:t>_xlnm .Criteria: this defined name refers to a range containing the criteria</w:t>
            </w:r>
            <w:r>
              <w:rPr>
                <w:spacing w:val="-25"/>
                <w:sz w:val="22"/>
              </w:rPr>
              <w:t> </w:t>
            </w:r>
            <w:r>
              <w:rPr>
                <w:sz w:val="22"/>
              </w:rPr>
              <w:t>values to be used in applying an advanced filter to a range of</w:t>
            </w:r>
            <w:r>
              <w:rPr>
                <w:spacing w:val="-15"/>
                <w:sz w:val="22"/>
              </w:rPr>
              <w:t> </w:t>
            </w:r>
            <w:r>
              <w:rPr>
                <w:sz w:val="22"/>
              </w:rPr>
              <w:t>data.</w:t>
            </w:r>
          </w:p>
          <w:p>
            <w:pPr>
              <w:pStyle w:val="TableParagraph"/>
              <w:numPr>
                <w:ilvl w:val="0"/>
                <w:numId w:val="19"/>
              </w:numPr>
              <w:tabs>
                <w:tab w:pos="834" w:val="left" w:leader="none"/>
                <w:tab w:pos="835" w:val="left" w:leader="none"/>
              </w:tabs>
              <w:spacing w:line="240" w:lineRule="auto" w:before="1" w:after="0"/>
              <w:ind w:left="835" w:right="0" w:hanging="360"/>
              <w:jc w:val="left"/>
              <w:rPr>
                <w:sz w:val="22"/>
              </w:rPr>
            </w:pPr>
            <w:r>
              <w:rPr>
                <w:sz w:val="22"/>
              </w:rPr>
              <w:t>_xlnm ._FilterDatabase: can be one of the</w:t>
            </w:r>
            <w:r>
              <w:rPr>
                <w:spacing w:val="-10"/>
                <w:sz w:val="22"/>
              </w:rPr>
              <w:t> </w:t>
            </w:r>
            <w:r>
              <w:rPr>
                <w:sz w:val="22"/>
              </w:rPr>
              <w:t>following</w:t>
            </w:r>
          </w:p>
          <w:p>
            <w:pPr>
              <w:pStyle w:val="TableParagraph"/>
              <w:numPr>
                <w:ilvl w:val="1"/>
                <w:numId w:val="19"/>
              </w:numPr>
              <w:tabs>
                <w:tab w:pos="1556" w:val="left" w:leader="none"/>
              </w:tabs>
              <w:spacing w:line="240" w:lineRule="auto" w:before="0" w:after="0"/>
              <w:ind w:left="1555" w:right="202" w:hanging="360"/>
              <w:jc w:val="left"/>
              <w:rPr>
                <w:sz w:val="22"/>
              </w:rPr>
            </w:pPr>
            <w:r>
              <w:rPr>
                <w:sz w:val="22"/>
              </w:rPr>
              <w:t>this defined name refers to a range to which an advanced filter has been applied. This represents the source data range,</w:t>
            </w:r>
            <w:r>
              <w:rPr>
                <w:spacing w:val="-3"/>
                <w:sz w:val="22"/>
              </w:rPr>
              <w:t> </w:t>
            </w:r>
            <w:r>
              <w:rPr>
                <w:sz w:val="22"/>
              </w:rPr>
              <w:t>unfiltered.</w:t>
            </w:r>
          </w:p>
          <w:p>
            <w:pPr>
              <w:pStyle w:val="TableParagraph"/>
              <w:numPr>
                <w:ilvl w:val="1"/>
                <w:numId w:val="19"/>
              </w:numPr>
              <w:tabs>
                <w:tab w:pos="1556" w:val="left" w:leader="none"/>
              </w:tabs>
              <w:spacing w:line="240" w:lineRule="auto" w:before="0" w:after="0"/>
              <w:ind w:left="1555" w:right="610" w:hanging="360"/>
              <w:jc w:val="left"/>
              <w:rPr>
                <w:sz w:val="22"/>
              </w:rPr>
            </w:pPr>
            <w:r>
              <w:rPr>
                <w:sz w:val="22"/>
              </w:rPr>
              <w:t>This defined name refers to a range to which an AutoFilter has been applied.</w:t>
            </w:r>
          </w:p>
          <w:p>
            <w:pPr>
              <w:pStyle w:val="TableParagraph"/>
              <w:numPr>
                <w:ilvl w:val="0"/>
                <w:numId w:val="19"/>
              </w:numPr>
              <w:tabs>
                <w:tab w:pos="835" w:val="left" w:leader="none"/>
              </w:tabs>
              <w:spacing w:line="240" w:lineRule="auto" w:before="0" w:after="0"/>
              <w:ind w:left="835" w:right="635" w:hanging="360"/>
              <w:jc w:val="both"/>
              <w:rPr>
                <w:sz w:val="22"/>
              </w:rPr>
            </w:pPr>
            <w:r>
              <w:rPr>
                <w:sz w:val="22"/>
              </w:rPr>
              <w:t>_xlnm .Extract: this defined name refers to the range containing the filtered output values resulting from applying an advanced filter criteria to a source range.</w:t>
            </w:r>
          </w:p>
          <w:p>
            <w:pPr>
              <w:pStyle w:val="TableParagraph"/>
              <w:spacing w:before="0"/>
              <w:ind w:left="475"/>
              <w:rPr>
                <w:rFonts w:ascii="Symbol" w:hAnsi="Symbol"/>
                <w:sz w:val="22"/>
              </w:rPr>
            </w:pPr>
            <w:r>
              <w:rPr>
                <w:rFonts w:ascii="Symbol" w:hAnsi="Symbol"/>
                <w:w w:val="100"/>
                <w:sz w:val="22"/>
              </w:rPr>
              <w:t></w:t>
            </w:r>
          </w:p>
          <w:p>
            <w:pPr>
              <w:pStyle w:val="TableParagraph"/>
              <w:numPr>
                <w:ilvl w:val="0"/>
                <w:numId w:val="19"/>
              </w:numPr>
              <w:tabs>
                <w:tab w:pos="834" w:val="left" w:leader="none"/>
                <w:tab w:pos="835" w:val="left" w:leader="none"/>
              </w:tabs>
              <w:spacing w:line="279" w:lineRule="exact" w:before="12" w:after="0"/>
              <w:ind w:left="835" w:right="0" w:hanging="360"/>
              <w:jc w:val="left"/>
              <w:rPr>
                <w:b/>
                <w:sz w:val="22"/>
              </w:rPr>
            </w:pPr>
            <w:r>
              <w:rPr>
                <w:b/>
                <w:sz w:val="22"/>
              </w:rPr>
              <w:t>Miscellaneous</w:t>
            </w:r>
          </w:p>
          <w:p>
            <w:pPr>
              <w:pStyle w:val="TableParagraph"/>
              <w:numPr>
                <w:ilvl w:val="0"/>
                <w:numId w:val="19"/>
              </w:numPr>
              <w:tabs>
                <w:tab w:pos="834" w:val="left" w:leader="none"/>
                <w:tab w:pos="835" w:val="left" w:leader="none"/>
              </w:tabs>
              <w:spacing w:line="279" w:lineRule="exact" w:before="0" w:after="0"/>
              <w:ind w:left="835" w:right="0" w:hanging="360"/>
              <w:jc w:val="left"/>
              <w:rPr>
                <w:sz w:val="22"/>
              </w:rPr>
            </w:pPr>
            <w:r>
              <w:rPr>
                <w:sz w:val="22"/>
              </w:rPr>
              <w:t>_xlnm .Consolidate_Area: the defined name refers to a consolidation</w:t>
            </w:r>
            <w:r>
              <w:rPr>
                <w:spacing w:val="-9"/>
                <w:sz w:val="22"/>
              </w:rPr>
              <w:t> </w:t>
            </w:r>
            <w:r>
              <w:rPr>
                <w:sz w:val="22"/>
              </w:rPr>
              <w:t>area.</w:t>
            </w:r>
          </w:p>
          <w:p>
            <w:pPr>
              <w:pStyle w:val="TableParagraph"/>
              <w:numPr>
                <w:ilvl w:val="0"/>
                <w:numId w:val="19"/>
              </w:numPr>
              <w:tabs>
                <w:tab w:pos="834" w:val="left" w:leader="none"/>
                <w:tab w:pos="835" w:val="left" w:leader="none"/>
              </w:tabs>
              <w:spacing w:line="240" w:lineRule="auto" w:before="0" w:after="0"/>
              <w:ind w:left="835" w:right="556" w:hanging="360"/>
              <w:jc w:val="left"/>
              <w:rPr>
                <w:sz w:val="22"/>
              </w:rPr>
            </w:pPr>
            <w:r>
              <w:rPr>
                <w:sz w:val="22"/>
              </w:rPr>
              <w:t>_xlnm .Database: the range specified in the defined name is from a</w:t>
            </w:r>
            <w:r>
              <w:rPr>
                <w:spacing w:val="-30"/>
                <w:sz w:val="22"/>
              </w:rPr>
              <w:t> </w:t>
            </w:r>
            <w:r>
              <w:rPr>
                <w:sz w:val="22"/>
              </w:rPr>
              <w:t>database data source.</w:t>
            </w:r>
          </w:p>
          <w:p>
            <w:pPr>
              <w:pStyle w:val="TableParagraph"/>
              <w:numPr>
                <w:ilvl w:val="0"/>
                <w:numId w:val="19"/>
              </w:numPr>
              <w:tabs>
                <w:tab w:pos="834" w:val="left" w:leader="none"/>
                <w:tab w:pos="835" w:val="left" w:leader="none"/>
              </w:tabs>
              <w:spacing w:line="240" w:lineRule="auto" w:before="1" w:after="0"/>
              <w:ind w:left="835" w:right="0" w:hanging="360"/>
              <w:jc w:val="left"/>
              <w:rPr>
                <w:sz w:val="22"/>
              </w:rPr>
            </w:pPr>
            <w:r>
              <w:rPr>
                <w:sz w:val="22"/>
              </w:rPr>
              <w:t>_xlnm .Sheet_Title: the defined name refers to a sheet</w:t>
            </w:r>
            <w:r>
              <w:rPr>
                <w:spacing w:val="-5"/>
                <w:sz w:val="22"/>
              </w:rPr>
              <w:t> </w:t>
            </w:r>
            <w:r>
              <w:rPr>
                <w:sz w:val="22"/>
              </w:rPr>
              <w:t>title.</w:t>
            </w:r>
          </w:p>
          <w:p>
            <w:pPr>
              <w:pStyle w:val="TableParagraph"/>
              <w:spacing w:before="1"/>
              <w:ind w:left="475"/>
              <w:rPr>
                <w:rFonts w:ascii="Symbol" w:hAnsi="Symbol"/>
                <w:sz w:val="22"/>
              </w:rPr>
            </w:pPr>
            <w:r>
              <w:rPr>
                <w:rFonts w:ascii="Symbol" w:hAnsi="Symbol"/>
                <w:w w:val="100"/>
                <w:sz w:val="22"/>
              </w:rPr>
              <w:t></w:t>
            </w:r>
          </w:p>
          <w:p>
            <w:pPr>
              <w:pStyle w:val="TableParagraph"/>
              <w:spacing w:before="1"/>
              <w:ind w:left="0"/>
              <w:rPr>
                <w:rFonts w:ascii="Times New Roman"/>
                <w:sz w:val="24"/>
              </w:rPr>
            </w:pPr>
          </w:p>
          <w:p>
            <w:pPr>
              <w:pStyle w:val="TableParagraph"/>
              <w:spacing w:before="1"/>
              <w:ind w:right="313"/>
              <w:rPr>
                <w:sz w:val="22"/>
              </w:rPr>
            </w:pPr>
            <w:r>
              <w:rPr>
                <w:sz w:val="22"/>
              </w:rPr>
              <w:t>Built-in names reserved by SpreadsheetML begin with "_xlnm.". End users shall not use this string for custom names in the user interface.</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spacing w:line="256" w:lineRule="exact" w:before="42"/>
              <w:rPr>
                <w:rFonts w:ascii="Cambria"/>
                <w:sz w:val="22"/>
              </w:rPr>
            </w:pPr>
            <w:r>
              <w:rPr>
                <w:rFonts w:ascii="Cambria"/>
                <w:sz w:val="22"/>
              </w:rPr>
              <w:t>publishToServer</w:t>
            </w:r>
          </w:p>
          <w:p>
            <w:pPr>
              <w:pStyle w:val="TableParagraph"/>
              <w:spacing w:line="267" w:lineRule="exact" w:before="0"/>
              <w:rPr>
                <w:sz w:val="22"/>
              </w:rPr>
            </w:pPr>
            <w:r>
              <w:rPr>
                <w:sz w:val="22"/>
              </w:rPr>
              <w:t>(Publish To Server)</w:t>
            </w:r>
          </w:p>
        </w:tc>
        <w:tc>
          <w:tcPr>
            <w:tcW w:w="8250" w:type="dxa"/>
          </w:tcPr>
          <w:p>
            <w:pPr>
              <w:pStyle w:val="TableParagraph"/>
              <w:ind w:right="180"/>
              <w:rPr>
                <w:sz w:val="22"/>
              </w:rPr>
            </w:pPr>
            <w:r>
              <w:rPr>
                <w:sz w:val="22"/>
              </w:rPr>
              <w:t>Specifies a boolean value that indicates whether the defined name is included in the version of the workbook that is published to or rendered on a Web or application server.</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name shall be published.</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name shall not be published.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shortcutKey</w:t>
            </w:r>
          </w:p>
          <w:p>
            <w:pPr>
              <w:pStyle w:val="TableParagraph"/>
              <w:spacing w:line="268" w:lineRule="exact" w:before="0"/>
              <w:rPr>
                <w:sz w:val="22"/>
              </w:rPr>
            </w:pPr>
            <w:r>
              <w:rPr>
                <w:sz w:val="22"/>
              </w:rPr>
              <w:t>(Shortcut Key)</w:t>
            </w:r>
          </w:p>
        </w:tc>
        <w:tc>
          <w:tcPr>
            <w:tcW w:w="8250" w:type="dxa"/>
          </w:tcPr>
          <w:p>
            <w:pPr>
              <w:pStyle w:val="TableParagraph"/>
              <w:rPr>
                <w:sz w:val="22"/>
              </w:rPr>
            </w:pPr>
            <w:r>
              <w:rPr>
                <w:sz w:val="22"/>
              </w:rPr>
              <w:t>Specifies the keyboard shortcut for the defined name.</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8" w:hRule="atLeast"/>
        </w:trPr>
        <w:tc>
          <w:tcPr>
            <w:tcW w:w="2062" w:type="dxa"/>
          </w:tcPr>
          <w:p>
            <w:pPr>
              <w:pStyle w:val="TableParagraph"/>
              <w:ind w:right="346"/>
              <w:rPr>
                <w:sz w:val="22"/>
              </w:rPr>
            </w:pPr>
            <w:r>
              <w:rPr>
                <w:rFonts w:ascii="Cambria"/>
                <w:sz w:val="22"/>
              </w:rPr>
              <w:t>statusBar </w:t>
            </w:r>
            <w:r>
              <w:rPr>
                <w:sz w:val="22"/>
              </w:rPr>
              <w:t>(Status Bar)</w:t>
            </w:r>
          </w:p>
        </w:tc>
        <w:tc>
          <w:tcPr>
            <w:tcW w:w="8250" w:type="dxa"/>
          </w:tcPr>
          <w:p>
            <w:pPr>
              <w:pStyle w:val="TableParagraph"/>
              <w:ind w:right="338"/>
              <w:rPr>
                <w:sz w:val="22"/>
              </w:rPr>
            </w:pPr>
            <w:r>
              <w:rPr>
                <w:sz w:val="22"/>
              </w:rPr>
              <w:t>Specifies text that is displayed on the application status bar when the user places focus on the defined name.</w:t>
            </w:r>
          </w:p>
          <w:p>
            <w:pPr>
              <w:pStyle w:val="TableParagraph"/>
              <w:spacing w:before="7"/>
              <w:ind w:left="0"/>
              <w:rPr>
                <w:rFonts w:ascii="Times New Roman"/>
                <w:sz w:val="23"/>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847" w:hRule="atLeast"/>
        </w:trPr>
        <w:tc>
          <w:tcPr>
            <w:tcW w:w="2062" w:type="dxa"/>
          </w:tcPr>
          <w:p>
            <w:pPr>
              <w:pStyle w:val="TableParagraph"/>
              <w:spacing w:line="257" w:lineRule="exact" w:before="42"/>
              <w:rPr>
                <w:rFonts w:ascii="Cambria"/>
                <w:sz w:val="22"/>
              </w:rPr>
            </w:pPr>
            <w:r>
              <w:rPr>
                <w:rFonts w:ascii="Cambria"/>
                <w:sz w:val="22"/>
              </w:rPr>
              <w:t>vbProcedure</w:t>
            </w:r>
          </w:p>
          <w:p>
            <w:pPr>
              <w:pStyle w:val="TableParagraph"/>
              <w:spacing w:line="268" w:lineRule="exact" w:before="0"/>
              <w:rPr>
                <w:sz w:val="22"/>
              </w:rPr>
            </w:pPr>
            <w:r>
              <w:rPr>
                <w:sz w:val="22"/>
              </w:rPr>
              <w:t>(Procedure)</w:t>
            </w:r>
          </w:p>
        </w:tc>
        <w:tc>
          <w:tcPr>
            <w:tcW w:w="8250" w:type="dxa"/>
          </w:tcPr>
          <w:p>
            <w:pPr>
              <w:pStyle w:val="TableParagraph"/>
              <w:ind w:right="617"/>
              <w:rPr>
                <w:sz w:val="22"/>
              </w:rPr>
            </w:pPr>
            <w:r>
              <w:rPr>
                <w:sz w:val="22"/>
              </w:rPr>
              <w:t>Specifies a boolean value that indicates whether the defined name is related to an external function, command, or other executable code.</w:t>
            </w:r>
          </w:p>
          <w:p>
            <w:pPr>
              <w:pStyle w:val="TableParagraph"/>
              <w:spacing w:before="4"/>
              <w:ind w:left="0"/>
              <w:rPr>
                <w:rFonts w:ascii="Times New Roman"/>
                <w:sz w:val="23"/>
              </w:rPr>
            </w:pPr>
          </w:p>
          <w:p>
            <w:pPr>
              <w:pStyle w:val="TableParagraph"/>
              <w:spacing w:before="0"/>
              <w:ind w:right="130"/>
              <w:rPr>
                <w:sz w:val="22"/>
              </w:rPr>
            </w:pPr>
            <w:r>
              <w:rPr>
                <w:sz w:val="22"/>
              </w:rPr>
              <w:t>A value of </w:t>
            </w:r>
            <w:r>
              <w:rPr>
                <w:rFonts w:ascii="Consolas"/>
                <w:sz w:val="20"/>
              </w:rPr>
              <w:t>1 </w:t>
            </w:r>
            <w:r>
              <w:rPr>
                <w:sz w:val="22"/>
              </w:rPr>
              <w:t>or </w:t>
            </w:r>
            <w:r>
              <w:rPr>
                <w:rFonts w:ascii="Consolas"/>
                <w:sz w:val="20"/>
              </w:rPr>
              <w:t>true </w:t>
            </w:r>
            <w:r>
              <w:rPr>
                <w:sz w:val="22"/>
              </w:rPr>
              <w:t>indicates the name is related to an external function, command, or other executable code, and the loading application can optionally decide whether to load and/or execute the commands.</w:t>
            </w:r>
          </w:p>
          <w:p>
            <w:pPr>
              <w:pStyle w:val="TableParagraph"/>
              <w:spacing w:before="5"/>
              <w:ind w:left="0"/>
              <w:rPr>
                <w:rFonts w:ascii="Times New Roman"/>
                <w:sz w:val="23"/>
              </w:rPr>
            </w:pPr>
          </w:p>
          <w:p>
            <w:pPr>
              <w:pStyle w:val="TableParagraph"/>
              <w:spacing w:before="0"/>
              <w:ind w:right="98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name does not refer to an external function, command, or other executable code.</w:t>
            </w:r>
          </w:p>
          <w:p>
            <w:pPr>
              <w:pStyle w:val="TableParagraph"/>
              <w:spacing w:before="3"/>
              <w:ind w:left="0"/>
              <w:rPr>
                <w:rFonts w:ascii="Times New Roman"/>
                <w:sz w:val="23"/>
              </w:rPr>
            </w:pPr>
          </w:p>
          <w:p>
            <w:pPr>
              <w:pStyle w:val="TableParagraph"/>
              <w:spacing w:before="0"/>
              <w:rPr>
                <w:sz w:val="22"/>
              </w:rPr>
            </w:pPr>
            <w:r>
              <w:rPr>
                <w:sz w:val="22"/>
              </w:rPr>
              <w:t>The default value for this attribute is false.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9" w:hRule="atLeast"/>
        </w:trPr>
        <w:tc>
          <w:tcPr>
            <w:tcW w:w="2062" w:type="dxa"/>
          </w:tcPr>
          <w:p>
            <w:pPr>
              <w:pStyle w:val="TableParagraph"/>
              <w:spacing w:line="237" w:lineRule="auto" w:before="45"/>
              <w:ind w:right="148"/>
              <w:rPr>
                <w:sz w:val="22"/>
              </w:rPr>
            </w:pPr>
            <w:r>
              <w:rPr>
                <w:rFonts w:ascii="Cambria"/>
                <w:sz w:val="22"/>
              </w:rPr>
              <w:t>workbookParamet er </w:t>
            </w:r>
            <w:r>
              <w:rPr>
                <w:sz w:val="22"/>
              </w:rPr>
              <w:t>(Workbook Parameter (Server))</w:t>
            </w:r>
          </w:p>
        </w:tc>
        <w:tc>
          <w:tcPr>
            <w:tcW w:w="8250" w:type="dxa"/>
          </w:tcPr>
          <w:p>
            <w:pPr>
              <w:pStyle w:val="TableParagraph"/>
              <w:ind w:right="264"/>
              <w:rPr>
                <w:sz w:val="22"/>
              </w:rPr>
            </w:pPr>
            <w:r>
              <w:rPr>
                <w:sz w:val="22"/>
              </w:rPr>
              <w:t>Specifies a boolean value that indicates that the name is used as a workbook parameter on a version of the workbook that is published to or rendered on a Web or application server.</w:t>
            </w:r>
          </w:p>
          <w:p>
            <w:pPr>
              <w:pStyle w:val="TableParagraph"/>
              <w:spacing w:before="7"/>
              <w:ind w:left="0"/>
              <w:rPr>
                <w:rFonts w:ascii="Times New Roman"/>
                <w:sz w:val="23"/>
              </w:rPr>
            </w:pPr>
          </w:p>
          <w:p>
            <w:pPr>
              <w:pStyle w:val="TableParagraph"/>
              <w:spacing w:line="237" w:lineRule="auto" w:before="0"/>
              <w:ind w:right="617"/>
              <w:rPr>
                <w:sz w:val="22"/>
              </w:rPr>
            </w:pPr>
            <w:r>
              <w:rPr>
                <w:sz w:val="22"/>
              </w:rPr>
              <w:t>A</w:t>
            </w:r>
            <w:r>
              <w:rPr>
                <w:spacing w:val="-1"/>
                <w:sz w:val="22"/>
              </w:rPr>
              <w:t> </w:t>
            </w:r>
            <w:r>
              <w:rPr>
                <w:sz w:val="22"/>
              </w:rPr>
              <w:t>value</w:t>
            </w:r>
            <w:r>
              <w:rPr>
                <w:spacing w:val="-2"/>
                <w:sz w:val="22"/>
              </w:rPr>
              <w:t> </w:t>
            </w:r>
            <w:r>
              <w:rPr>
                <w:sz w:val="22"/>
              </w:rPr>
              <w:t>of</w:t>
            </w:r>
            <w:r>
              <w:rPr>
                <w:spacing w:val="-2"/>
                <w:sz w:val="22"/>
              </w:rPr>
              <w:t> </w:t>
            </w:r>
            <w:r>
              <w:rPr>
                <w:rFonts w:ascii="Consolas"/>
                <w:sz w:val="20"/>
              </w:rPr>
              <w:t>1</w:t>
            </w:r>
            <w:r>
              <w:rPr>
                <w:rFonts w:ascii="Consolas"/>
                <w:spacing w:val="-59"/>
                <w:sz w:val="20"/>
              </w:rPr>
              <w:t> </w:t>
            </w:r>
            <w:r>
              <w:rPr>
                <w:sz w:val="22"/>
              </w:rPr>
              <w:t>or</w:t>
            </w:r>
            <w:r>
              <w:rPr>
                <w:spacing w:val="-2"/>
                <w:sz w:val="22"/>
              </w:rPr>
              <w:t> </w:t>
            </w:r>
            <w:r>
              <w:rPr>
                <w:rFonts w:ascii="Consolas"/>
                <w:sz w:val="20"/>
              </w:rPr>
              <w:t>true</w:t>
            </w:r>
            <w:r>
              <w:rPr>
                <w:rFonts w:ascii="Consolas"/>
                <w:spacing w:val="-63"/>
                <w:sz w:val="20"/>
              </w:rPr>
              <w:t> </w:t>
            </w:r>
            <w:r>
              <w:rPr>
                <w:sz w:val="22"/>
              </w:rPr>
              <w:t>indicates the</w:t>
            </w:r>
            <w:r>
              <w:rPr>
                <w:spacing w:val="-3"/>
                <w:sz w:val="22"/>
              </w:rPr>
              <w:t> </w:t>
            </w:r>
            <w:r>
              <w:rPr>
                <w:sz w:val="22"/>
              </w:rPr>
              <w:t>name is used</w:t>
            </w:r>
            <w:r>
              <w:rPr>
                <w:spacing w:val="-1"/>
                <w:sz w:val="22"/>
              </w:rPr>
              <w:t> </w:t>
            </w:r>
            <w:r>
              <w:rPr>
                <w:sz w:val="22"/>
              </w:rPr>
              <w:t>as a</w:t>
            </w:r>
            <w:r>
              <w:rPr>
                <w:spacing w:val="-3"/>
                <w:sz w:val="22"/>
              </w:rPr>
              <w:t> </w:t>
            </w:r>
            <w:r>
              <w:rPr>
                <w:sz w:val="22"/>
              </w:rPr>
              <w:t>workbook</w:t>
            </w:r>
            <w:r>
              <w:rPr>
                <w:spacing w:val="-3"/>
                <w:sz w:val="22"/>
              </w:rPr>
              <w:t> </w:t>
            </w:r>
            <w:r>
              <w:rPr>
                <w:sz w:val="22"/>
              </w:rPr>
              <w:t>parameter</w:t>
            </w:r>
            <w:r>
              <w:rPr>
                <w:spacing w:val="-2"/>
                <w:sz w:val="22"/>
              </w:rPr>
              <w:t> </w:t>
            </w:r>
            <w:r>
              <w:rPr>
                <w:sz w:val="22"/>
              </w:rPr>
              <w:t>on</w:t>
            </w:r>
            <w:r>
              <w:rPr>
                <w:spacing w:val="-1"/>
                <w:sz w:val="22"/>
              </w:rPr>
              <w:t> </w:t>
            </w:r>
            <w:r>
              <w:rPr>
                <w:sz w:val="22"/>
              </w:rPr>
              <w:t>the application</w:t>
            </w:r>
            <w:r>
              <w:rPr>
                <w:spacing w:val="-1"/>
                <w:sz w:val="22"/>
              </w:rPr>
              <w:t> </w:t>
            </w:r>
            <w:r>
              <w:rPr>
                <w:sz w:val="22"/>
              </w:rPr>
              <w:t>server.</w:t>
            </w:r>
          </w:p>
          <w:p>
            <w:pPr>
              <w:pStyle w:val="TableParagraph"/>
              <w:spacing w:before="5"/>
              <w:ind w:left="0"/>
              <w:rPr>
                <w:rFonts w:ascii="Times New Roman"/>
                <w:sz w:val="23"/>
              </w:rPr>
            </w:pPr>
          </w:p>
          <w:p>
            <w:pPr>
              <w:pStyle w:val="TableParagraph"/>
              <w:spacing w:before="0"/>
              <w:rPr>
                <w:sz w:val="22"/>
              </w:rPr>
            </w:pPr>
            <w:r>
              <w:rPr>
                <w:sz w:val="22"/>
              </w:rPr>
              <w:t>A</w:t>
            </w:r>
            <w:r>
              <w:rPr>
                <w:spacing w:val="-1"/>
                <w:sz w:val="22"/>
              </w:rPr>
              <w:t> </w:t>
            </w:r>
            <w:r>
              <w:rPr>
                <w:sz w:val="22"/>
              </w:rPr>
              <w:t>value</w:t>
            </w:r>
            <w:r>
              <w:rPr>
                <w:spacing w:val="-3"/>
                <w:sz w:val="22"/>
              </w:rPr>
              <w:t> </w:t>
            </w:r>
            <w:r>
              <w:rPr>
                <w:sz w:val="22"/>
              </w:rPr>
              <w:t>of</w:t>
            </w:r>
            <w:r>
              <w:rPr>
                <w:spacing w:val="-2"/>
                <w:sz w:val="22"/>
              </w:rPr>
              <w:t> </w:t>
            </w:r>
            <w:r>
              <w:rPr>
                <w:rFonts w:ascii="Consolas"/>
                <w:sz w:val="20"/>
              </w:rPr>
              <w:t>0</w:t>
            </w:r>
            <w:r>
              <w:rPr>
                <w:rFonts w:ascii="Consolas"/>
                <w:spacing w:val="-60"/>
                <w:sz w:val="20"/>
              </w:rPr>
              <w:t> </w:t>
            </w:r>
            <w:r>
              <w:rPr>
                <w:sz w:val="22"/>
              </w:rPr>
              <w:t>or</w:t>
            </w:r>
            <w:r>
              <w:rPr>
                <w:spacing w:val="-3"/>
                <w:sz w:val="22"/>
              </w:rPr>
              <w:t> </w:t>
            </w:r>
            <w:r>
              <w:rPr>
                <w:rFonts w:ascii="Consolas"/>
                <w:sz w:val="20"/>
              </w:rPr>
              <w:t>false</w:t>
            </w:r>
            <w:r>
              <w:rPr>
                <w:rFonts w:ascii="Consolas"/>
                <w:spacing w:val="-59"/>
                <w:sz w:val="20"/>
              </w:rPr>
              <w:t> </w:t>
            </w:r>
            <w:r>
              <w:rPr>
                <w:sz w:val="22"/>
              </w:rPr>
              <w:t>indicates</w:t>
            </w:r>
            <w:r>
              <w:rPr>
                <w:spacing w:val="-1"/>
                <w:sz w:val="22"/>
              </w:rPr>
              <w:t> </w:t>
            </w:r>
            <w:r>
              <w:rPr>
                <w:sz w:val="22"/>
              </w:rPr>
              <w:t>the name is</w:t>
            </w:r>
            <w:r>
              <w:rPr>
                <w:spacing w:val="-3"/>
                <w:sz w:val="22"/>
              </w:rPr>
              <w:t> </w:t>
            </w:r>
            <w:r>
              <w:rPr>
                <w:sz w:val="22"/>
              </w:rPr>
              <w:t>not</w:t>
            </w:r>
            <w:r>
              <w:rPr>
                <w:spacing w:val="-3"/>
                <w:sz w:val="22"/>
              </w:rPr>
              <w:t> </w:t>
            </w:r>
            <w:r>
              <w:rPr>
                <w:sz w:val="22"/>
              </w:rPr>
              <w:t>used</w:t>
            </w:r>
            <w:r>
              <w:rPr>
                <w:spacing w:val="-1"/>
                <w:sz w:val="22"/>
              </w:rPr>
              <w:t> </w:t>
            </w:r>
            <w:r>
              <w:rPr>
                <w:sz w:val="22"/>
              </w:rPr>
              <w:t>as</w:t>
            </w:r>
            <w:r>
              <w:rPr>
                <w:spacing w:val="-1"/>
                <w:sz w:val="22"/>
              </w:rPr>
              <w:t> </w:t>
            </w:r>
            <w:r>
              <w:rPr>
                <w:sz w:val="22"/>
              </w:rPr>
              <w:t>a</w:t>
            </w:r>
            <w:r>
              <w:rPr>
                <w:spacing w:val="-1"/>
                <w:sz w:val="22"/>
              </w:rPr>
              <w:t> </w:t>
            </w:r>
            <w:r>
              <w:rPr>
                <w:sz w:val="22"/>
              </w:rPr>
              <w:t>workbook parameter</w:t>
            </w:r>
            <w:r>
              <w:rPr>
                <w:spacing w:val="-2"/>
                <w:sz w:val="22"/>
              </w:rPr>
              <w:t> </w:t>
            </w:r>
            <w:r>
              <w:rPr>
                <w:sz w:val="22"/>
              </w:rPr>
              <w:t>on</w:t>
            </w:r>
            <w:r>
              <w:rPr>
                <w:spacing w:val="-2"/>
                <w:sz w:val="22"/>
              </w:rPr>
              <w:t> </w:t>
            </w:r>
            <w:r>
              <w:rPr>
                <w:sz w:val="22"/>
              </w:rPr>
              <w:t>the application</w:t>
            </w:r>
            <w:r>
              <w:rPr>
                <w:spacing w:val="-1"/>
                <w:sz w:val="22"/>
              </w:rPr>
              <w:t> </w:t>
            </w:r>
            <w:r>
              <w:rPr>
                <w:sz w:val="22"/>
              </w:rPr>
              <w:t>server.</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89" w:hRule="atLeast"/>
        </w:trPr>
        <w:tc>
          <w:tcPr>
            <w:tcW w:w="2062" w:type="dxa"/>
          </w:tcPr>
          <w:p>
            <w:pPr>
              <w:pStyle w:val="TableParagraph"/>
              <w:ind w:right="718"/>
              <w:rPr>
                <w:sz w:val="22"/>
              </w:rPr>
            </w:pPr>
            <w:r>
              <w:rPr>
                <w:rFonts w:ascii="Cambria"/>
                <w:sz w:val="22"/>
              </w:rPr>
              <w:t>xlm </w:t>
            </w:r>
            <w:r>
              <w:rPr>
                <w:sz w:val="22"/>
              </w:rPr>
              <w:t>(External Function)</w:t>
            </w:r>
          </w:p>
        </w:tc>
        <w:tc>
          <w:tcPr>
            <w:tcW w:w="8250" w:type="dxa"/>
          </w:tcPr>
          <w:p>
            <w:pPr>
              <w:pStyle w:val="TableParagraph"/>
              <w:ind w:right="759"/>
              <w:rPr>
                <w:sz w:val="22"/>
              </w:rPr>
            </w:pPr>
            <w:r>
              <w:rPr>
                <w:sz w:val="22"/>
              </w:rPr>
              <w:t>Specifies a boolean value that indicates whether the defined name is related to an external function, command, or other executable code.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spacing w:before="0"/>
              <w:ind w:left="0"/>
              <w:rPr>
                <w:rFonts w:ascii="Times New Roman"/>
                <w:sz w:val="22"/>
              </w:rPr>
            </w:pPr>
          </w:p>
        </w:tc>
        <w:tc>
          <w:tcPr>
            <w:tcW w:w="8250" w:type="dxa"/>
          </w:tcPr>
          <w:p>
            <w:pPr>
              <w:pStyle w:val="TableParagraph"/>
              <w:ind w:right="130"/>
              <w:rPr>
                <w:sz w:val="22"/>
              </w:rPr>
            </w:pPr>
            <w:r>
              <w:rPr>
                <w:sz w:val="22"/>
              </w:rPr>
              <w:t>A value of </w:t>
            </w:r>
            <w:r>
              <w:rPr>
                <w:rFonts w:ascii="Consolas"/>
                <w:sz w:val="20"/>
              </w:rPr>
              <w:t>1 </w:t>
            </w:r>
            <w:r>
              <w:rPr>
                <w:sz w:val="22"/>
              </w:rPr>
              <w:t>or </w:t>
            </w:r>
            <w:r>
              <w:rPr>
                <w:rFonts w:ascii="Consolas"/>
                <w:sz w:val="20"/>
              </w:rPr>
              <w:t>true </w:t>
            </w:r>
            <w:r>
              <w:rPr>
                <w:sz w:val="22"/>
              </w:rPr>
              <w:t>indicates the name is related to an external function, command, or other executable code, and the loading application can optionally decide whether to load and/or execute the commands.</w:t>
            </w:r>
          </w:p>
          <w:p>
            <w:pPr>
              <w:pStyle w:val="TableParagraph"/>
              <w:spacing w:before="7"/>
              <w:ind w:left="0"/>
              <w:rPr>
                <w:rFonts w:ascii="Times New Roman"/>
                <w:sz w:val="23"/>
              </w:rPr>
            </w:pPr>
          </w:p>
          <w:p>
            <w:pPr>
              <w:pStyle w:val="TableParagraph"/>
              <w:spacing w:line="237" w:lineRule="auto" w:before="0"/>
              <w:ind w:right="98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name does not refer to an external function, command, or other executable code.</w:t>
            </w:r>
          </w:p>
          <w:p>
            <w:pPr>
              <w:pStyle w:val="TableParagraph"/>
              <w:spacing w:before="5"/>
              <w:ind w:left="0"/>
              <w:rPr>
                <w:rFonts w:ascii="Times New Roman"/>
                <w:sz w:val="23"/>
              </w:rPr>
            </w:pPr>
          </w:p>
          <w:p>
            <w:pPr>
              <w:pStyle w:val="TableParagraph"/>
              <w:spacing w:before="0"/>
              <w:rPr>
                <w:sz w:val="22"/>
              </w:rPr>
            </w:pPr>
            <w:r>
              <w:rPr>
                <w:sz w:val="22"/>
              </w:rPr>
              <w:t>The default value for this attribute is false.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ind w:right="139"/>
              <w:jc w:val="both"/>
              <w:rPr>
                <w:sz w:val="22"/>
              </w:rPr>
            </w:pPr>
            <w:r>
              <w:rPr>
                <w:rFonts w:ascii="Cambria"/>
                <w:sz w:val="22"/>
              </w:rPr>
              <w:t>Xml:space </w:t>
            </w:r>
            <w:r>
              <w:rPr>
                <w:sz w:val="22"/>
              </w:rPr>
              <w:t>(Content Contains Significant Whitespace)</w:t>
            </w:r>
          </w:p>
          <w:p>
            <w:pPr>
              <w:pStyle w:val="TableParagraph"/>
              <w:spacing w:before="3"/>
              <w:ind w:left="0"/>
              <w:rPr>
                <w:rFonts w:ascii="Times New Roman"/>
                <w:sz w:val="23"/>
              </w:rPr>
            </w:pPr>
          </w:p>
          <w:p>
            <w:pPr>
              <w:pStyle w:val="TableParagraph"/>
              <w:spacing w:before="0"/>
              <w:ind w:right="161"/>
              <w:rPr>
                <w:sz w:val="22"/>
              </w:rPr>
            </w:pPr>
            <w:r>
              <w:rPr>
                <w:sz w:val="22"/>
              </w:rPr>
              <w:t>Namespace: </w:t>
            </w:r>
            <w:hyperlink r:id="rId13">
              <w:r>
                <w:rPr>
                  <w:color w:val="5F5F5F"/>
                  <w:sz w:val="22"/>
                  <w:u w:val="single" w:color="5F5F5F"/>
                </w:rPr>
                <w:t>http://www.w3.org</w:t>
              </w:r>
            </w:hyperlink>
          </w:p>
          <w:p>
            <w:pPr>
              <w:pStyle w:val="TableParagraph"/>
              <w:spacing w:before="0"/>
              <w:ind w:right="113"/>
              <w:rPr>
                <w:sz w:val="22"/>
              </w:rPr>
            </w:pPr>
            <w:hyperlink r:id="rId13">
              <w:r>
                <w:rPr>
                  <w:color w:val="5F5F5F"/>
                  <w:sz w:val="22"/>
                  <w:u w:val="single" w:color="5F5F5F"/>
                </w:rPr>
                <w:t>/XML/1998/namesp</w:t>
              </w:r>
            </w:hyperlink>
            <w:r>
              <w:rPr>
                <w:color w:val="5F5F5F"/>
                <w:sz w:val="22"/>
              </w:rPr>
              <w:t> </w:t>
            </w:r>
            <w:hyperlink r:id="rId13">
              <w:r>
                <w:rPr>
                  <w:color w:val="5F5F5F"/>
                  <w:sz w:val="22"/>
                  <w:u w:val="single" w:color="5F5F5F"/>
                </w:rPr>
                <w:t>ace</w:t>
              </w:r>
            </w:hyperlink>
          </w:p>
        </w:tc>
        <w:tc>
          <w:tcPr>
            <w:tcW w:w="8250" w:type="dxa"/>
          </w:tcPr>
          <w:p>
            <w:pPr>
              <w:pStyle w:val="TableParagraph"/>
              <w:ind w:right="304"/>
              <w:rPr>
                <w:sz w:val="22"/>
              </w:rPr>
            </w:pPr>
            <w:r>
              <w:rPr>
                <w:sz w:val="22"/>
              </w:rPr>
              <w:t>Specifies how white space should be handled for the contents of this element using the W3C space preservation rules.</w:t>
            </w:r>
          </w:p>
          <w:p>
            <w:pPr>
              <w:pStyle w:val="TableParagraph"/>
              <w:spacing w:before="5"/>
              <w:ind w:left="0"/>
              <w:rPr>
                <w:rFonts w:ascii="Times New Roman"/>
                <w:sz w:val="23"/>
              </w:rPr>
            </w:pPr>
          </w:p>
          <w:p>
            <w:pPr>
              <w:pStyle w:val="TableParagraph"/>
              <w:spacing w:before="0"/>
              <w:rPr>
                <w:sz w:val="22"/>
              </w:rPr>
            </w:pPr>
            <w:r>
              <w:rPr>
                <w:sz w:val="22"/>
              </w:rPr>
              <w:t>The possible values for this attribute are defined by §2.10 of the XML 1.0 specification.</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CT_DefinedName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6 definedNames (Defined Names)" w:id="23"/>
      <w:bookmarkEnd w:id="23"/>
      <w:r>
        <w:rPr>
          <w:b w:val="0"/>
        </w:rPr>
      </w:r>
      <w:bookmarkStart w:name="_bookmark6" w:id="24"/>
      <w:bookmarkEnd w:id="24"/>
      <w:r>
        <w:rPr>
          <w:b w:val="0"/>
        </w:rPr>
      </w:r>
      <w:bookmarkStart w:name="_bookmark6" w:id="25"/>
      <w:bookmarkEnd w:id="25"/>
      <w:r>
        <w:rPr>
          <w:color w:val="4F81BC"/>
        </w:rPr>
        <w:t>d</w:t>
      </w:r>
      <w:r>
        <w:rPr>
          <w:color w:val="4F81BC"/>
        </w:rPr>
        <w:t>efinedNames (Defined</w:t>
      </w:r>
      <w:r>
        <w:rPr>
          <w:color w:val="4F81BC"/>
          <w:spacing w:val="-1"/>
        </w:rPr>
        <w:t> </w:t>
      </w:r>
      <w:r>
        <w:rPr>
          <w:color w:val="4F81BC"/>
        </w:rPr>
        <w:t>Names)</w:t>
      </w:r>
    </w:p>
    <w:p>
      <w:pPr>
        <w:pStyle w:val="BodyText"/>
        <w:spacing w:line="278" w:lineRule="auto" w:before="122"/>
        <w:ind w:left="220" w:right="390"/>
        <w:jc w:val="both"/>
      </w:pPr>
      <w:r>
        <w:rPr/>
        <w:t>This element defines the collection of defined names for this workbook. Defined names are descriptive names to represent cells, ranges of cells, formulas, or constant values. Defined names can be used to represent a range on any worksheet.</w:t>
      </w:r>
    </w:p>
    <w:p>
      <w:pPr>
        <w:spacing w:before="196"/>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&lt;definedNames&gt;</w:t>
      </w:r>
    </w:p>
    <w:p>
      <w:pPr>
        <w:pStyle w:val="BodyText"/>
        <w:spacing w:before="38"/>
        <w:ind w:left="750"/>
        <w:rPr>
          <w:rFonts w:ascii="Consolas"/>
        </w:rPr>
      </w:pPr>
      <w:r>
        <w:rPr>
          <w:rFonts w:ascii="Consolas"/>
        </w:rPr>
        <w:t>&lt;definedName name="NamedFormula"</w:t>
      </w:r>
    </w:p>
    <w:p>
      <w:pPr>
        <w:pStyle w:val="BodyText"/>
        <w:spacing w:before="37"/>
        <w:ind w:left="993"/>
        <w:rPr>
          <w:rFonts w:ascii="Consolas"/>
        </w:rPr>
      </w:pPr>
      <w:r>
        <w:rPr>
          <w:rFonts w:ascii="Consolas"/>
        </w:rPr>
        <w:t>comment="Comment text for defined name."&gt;SUM(Sheet3!$B$2:$B$9)&lt;/definedName&gt;</w:t>
      </w:r>
    </w:p>
    <w:p>
      <w:pPr>
        <w:pStyle w:val="BodyText"/>
        <w:spacing w:before="40"/>
        <w:ind w:left="750"/>
        <w:rPr>
          <w:rFonts w:ascii="Consolas"/>
        </w:rPr>
      </w:pPr>
      <w:r>
        <w:rPr>
          <w:rFonts w:ascii="Consolas"/>
        </w:rPr>
        <w:t>&lt;definedName name="NamedRange"&gt;Sheet3!$A$1:$C$12&lt;/definedName&gt;</w:t>
      </w:r>
    </w:p>
    <w:p>
      <w:pPr>
        <w:pStyle w:val="BodyText"/>
        <w:spacing w:line="278" w:lineRule="auto" w:before="38"/>
        <w:ind w:left="993" w:hanging="243"/>
        <w:rPr>
          <w:rFonts w:ascii="Consolas"/>
        </w:rPr>
      </w:pPr>
      <w:r>
        <w:rPr>
          <w:rFonts w:ascii="Consolas"/>
        </w:rPr>
        <w:t>&lt;definedName name="NamedRangeFromExternalReference" localSheetId="2" hidden="1"&gt;Sheet5!$A$1:$T$47&lt;/definedName&gt;</w:t>
      </w:r>
    </w:p>
    <w:p>
      <w:pPr>
        <w:pStyle w:val="BodyText"/>
        <w:spacing w:line="253" w:lineRule="exact"/>
        <w:ind w:left="508"/>
        <w:rPr>
          <w:rFonts w:ascii="Consolas"/>
        </w:rPr>
      </w:pPr>
      <w:r>
        <w:rPr>
          <w:rFonts w:ascii="Consolas"/>
        </w:rPr>
        <w:t>&lt;/definedNames&gt;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CT_DefinedNames</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1" w:footer="746" w:top="1340" w:bottom="940" w:left="860" w:right="70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2.7 ext (Extension)" w:id="26"/>
      <w:bookmarkEnd w:id="26"/>
      <w:r>
        <w:rPr>
          <w:b w:val="0"/>
        </w:rPr>
      </w:r>
      <w:bookmarkStart w:name="_bookmark7" w:id="27"/>
      <w:bookmarkEnd w:id="27"/>
      <w:r>
        <w:rPr>
          <w:b w:val="0"/>
        </w:rPr>
      </w:r>
      <w:bookmarkStart w:name="_bookmark7" w:id="28"/>
      <w:bookmarkEnd w:id="28"/>
      <w:r>
        <w:rPr>
          <w:color w:val="4F81BC"/>
        </w:rPr>
        <w:t>ex</w:t>
      </w:r>
      <w:r>
        <w:rPr>
          <w:color w:val="4F81BC"/>
        </w:rPr>
        <w:t>t</w:t>
      </w:r>
      <w:r>
        <w:rPr>
          <w:color w:val="4F81BC"/>
          <w:spacing w:val="-2"/>
        </w:rPr>
        <w:t> </w:t>
      </w:r>
      <w:r>
        <w:rPr>
          <w:color w:val="4F81BC"/>
        </w:rPr>
        <w:t>(Extension)</w:t>
      </w:r>
    </w:p>
    <w:p>
      <w:pPr>
        <w:pStyle w:val="BodyText"/>
        <w:spacing w:line="278" w:lineRule="auto" w:before="122"/>
        <w:ind w:left="220" w:right="452"/>
      </w:pPr>
      <w:r>
        <w:rPr/>
        <w:t>Each extension within an extension list shall be contained within an </w:t>
      </w:r>
      <w:r>
        <w:rPr>
          <w:rFonts w:ascii="Cambria"/>
        </w:rPr>
        <w:t>ext </w:t>
      </w:r>
      <w:r>
        <w:rPr/>
        <w:t>element. Extensions shall be versioned by namespace, using the </w:t>
      </w:r>
      <w:r>
        <w:rPr>
          <w:rFonts w:ascii="Cambria"/>
        </w:rPr>
        <w:t>uri </w:t>
      </w:r>
      <w:r>
        <w:rPr/>
        <w:t>attribute, and shall be allowed to appear in any order within the extension list. Any number of extensions shall be allowed within an extension list.</w:t>
      </w:r>
    </w:p>
    <w:p>
      <w:pPr>
        <w:pStyle w:val="BodyText"/>
        <w:spacing w:line="276" w:lineRule="auto" w:before="193"/>
        <w:ind w:left="220" w:right="502"/>
      </w:pPr>
      <w:r>
        <w:rPr/>
        <w:t>When extension lists are processed, a consumer might understand some extensions, and might not understand other extensions. The preservation model for extensions is that unprocessed extensions shall always be preserved (when consuming) and written out (when producing) in whole, as long as there is not some ancestor element of the extension list that is discarded as a result of MCE processing. [</w:t>
      </w:r>
      <w:r>
        <w:rPr>
          <w:i/>
        </w:rPr>
        <w:t>Example</w:t>
      </w:r>
      <w:r>
        <w:rPr/>
        <w:t>: If, when consumed by a SpreadsheetML editor, a sheet contains several extensions within an extension list, but the sheet no longer exists after editing, the extensions associated with that sheet are not written out in the resulting edited SpreadsheetML document. </w:t>
      </w:r>
      <w:r>
        <w:rPr>
          <w:i/>
        </w:rPr>
        <w:t>end example</w:t>
      </w:r>
      <w:r>
        <w:rPr/>
        <w:t>].</w:t>
      </w:r>
    </w:p>
    <w:p>
      <w:pPr>
        <w:pStyle w:val="BodyText"/>
        <w:spacing w:before="5"/>
        <w:rPr>
          <w:sz w:val="16"/>
        </w:rPr>
      </w:pPr>
    </w:p>
    <w:p>
      <w:pPr>
        <w:pStyle w:val="BodyText"/>
        <w:spacing w:line="276" w:lineRule="auto"/>
        <w:ind w:left="220" w:right="705"/>
      </w:pPr>
      <w:r>
        <w:rPr/>
        <w:t>Markup namespaces within extensions shall not be required to be listed in the </w:t>
      </w:r>
      <w:r>
        <w:rPr>
          <w:rFonts w:ascii="Cambria" w:hAnsi="Cambria"/>
        </w:rPr>
        <w:t>Ignorable </w:t>
      </w:r>
      <w:r>
        <w:rPr/>
        <w:t>Compatibility-Rule attribute. [</w:t>
      </w:r>
      <w:r>
        <w:rPr>
          <w:i/>
        </w:rPr>
        <w:t>Note</w:t>
      </w:r>
      <w:r>
        <w:rPr/>
        <w:t>: See §10 for additional discussion on Application-Defined Extension Elements and processing rules. </w:t>
      </w:r>
      <w:r>
        <w:rPr>
          <w:i/>
        </w:rPr>
        <w:t>end note</w:t>
      </w:r>
      <w:r>
        <w:rPr/>
        <w:t>]</w:t>
      </w:r>
    </w:p>
    <w:p>
      <w:pPr>
        <w:pStyle w:val="BodyText"/>
        <w:spacing w:before="6"/>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5"/>
        <w:rPr>
          <w:sz w:val="19"/>
        </w:rPr>
      </w:pPr>
    </w:p>
    <w:p>
      <w:pPr>
        <w:pStyle w:val="BodyText"/>
        <w:spacing w:line="278" w:lineRule="auto" w:before="1"/>
        <w:ind w:left="220" w:right="466"/>
        <w:jc w:val="both"/>
      </w:pPr>
      <w:r>
        <w:rPr/>
        <w:t>In this example, there are two extensions written. The first extension describes a new structure that might have been defined by a fictitious second version of ECMA-376. The second extension describes a structure that might be introduced by a private party, developed independently from ECMA-376.</w:t>
      </w:r>
    </w:p>
    <w:p>
      <w:pPr>
        <w:pStyle w:val="BodyText"/>
        <w:spacing w:before="195"/>
        <w:ind w:left="508"/>
        <w:rPr>
          <w:rFonts w:ascii="Consolas"/>
        </w:rPr>
      </w:pPr>
      <w:r>
        <w:rPr>
          <w:rFonts w:ascii="Consolas"/>
        </w:rPr>
        <w:t>&lt;extLst&gt;</w:t>
      </w:r>
    </w:p>
    <w:p>
      <w:pPr>
        <w:pStyle w:val="BodyText"/>
        <w:spacing w:before="38"/>
        <w:ind w:left="750"/>
        <w:rPr>
          <w:rFonts w:ascii="Consolas"/>
        </w:rPr>
      </w:pPr>
      <w:r>
        <w:rPr>
          <w:rFonts w:ascii="Consolas"/>
        </w:rPr>
        <w:t>&lt;ext uri</w:t>
      </w:r>
      <w:hyperlink r:id="rId14">
        <w:r>
          <w:rPr>
            <w:rFonts w:ascii="Consolas"/>
          </w:rPr>
          <w:t>='http://purl.oclc.org/ooxml/spreadsheetml/versionTwoExtension'&gt;</w:t>
        </w:r>
      </w:hyperlink>
    </w:p>
    <w:p>
      <w:pPr>
        <w:pStyle w:val="BodyText"/>
        <w:spacing w:line="278" w:lineRule="auto" w:before="38"/>
        <w:ind w:left="508" w:right="1564" w:firstLine="484"/>
        <w:rPr>
          <w:rFonts w:ascii="Consolas"/>
        </w:rPr>
      </w:pPr>
      <w:r>
        <w:rPr>
          <w:rFonts w:ascii="Consolas"/>
        </w:rPr>
        <w:t>&lt;v2:newContent xmln:v2='</w:t>
      </w:r>
      <w:hyperlink r:id="rId14">
        <w:r>
          <w:rPr>
            <w:rFonts w:ascii="Consolas"/>
          </w:rPr>
          <w:t>http://purl.oclc.org/ooxml/spreadsheetml/versionTwoExtension'&gt;</w:t>
        </w:r>
      </w:hyperlink>
    </w:p>
    <w:p>
      <w:pPr>
        <w:pStyle w:val="BodyText"/>
        <w:spacing w:line="253" w:lineRule="exact"/>
        <w:ind w:left="1235"/>
        <w:rPr>
          <w:rFonts w:ascii="Consolas" w:hAnsi="Consolas"/>
        </w:rPr>
      </w:pPr>
      <w:r>
        <w:rPr>
          <w:rFonts w:ascii="Consolas" w:hAnsi="Consolas"/>
          <w:w w:val="100"/>
        </w:rPr>
        <w:t>…</w:t>
      </w:r>
    </w:p>
    <w:p>
      <w:pPr>
        <w:pStyle w:val="BodyText"/>
        <w:spacing w:before="40"/>
        <w:ind w:left="993"/>
        <w:rPr>
          <w:rFonts w:ascii="Consolas"/>
        </w:rPr>
      </w:pPr>
      <w:r>
        <w:rPr>
          <w:rFonts w:ascii="Consolas"/>
        </w:rPr>
        <w:t>&lt;/v2:newContent&gt;</w:t>
      </w:r>
    </w:p>
    <w:p>
      <w:pPr>
        <w:pStyle w:val="BodyText"/>
        <w:spacing w:before="37"/>
        <w:ind w:left="750"/>
        <w:rPr>
          <w:rFonts w:ascii="Consolas"/>
        </w:rPr>
      </w:pPr>
      <w:r>
        <w:rPr>
          <w:rFonts w:ascii="Consolas"/>
        </w:rPr>
        <w:t>&lt;/ext&gt;</w:t>
      </w:r>
    </w:p>
    <w:p>
      <w:pPr>
        <w:pStyle w:val="BodyText"/>
        <w:spacing w:before="40"/>
        <w:ind w:left="750"/>
        <w:rPr>
          <w:rFonts w:ascii="Consolas"/>
        </w:rPr>
      </w:pPr>
      <w:r>
        <w:rPr>
          <w:rFonts w:ascii="Consolas"/>
        </w:rPr>
        <w:t>&lt;ext uri='</w:t>
      </w:r>
      <w:hyperlink r:id="rId15">
        <w:r>
          <w:rPr>
            <w:rFonts w:ascii="Consolas"/>
          </w:rPr>
          <w:t>http://www.extension.com/versionOneExtension'</w:t>
        </w:r>
      </w:hyperlink>
      <w:r>
        <w:rPr>
          <w:rFonts w:ascii="Consolas"/>
        </w:rPr>
        <w:t>&gt;</w:t>
      </w:r>
    </w:p>
    <w:p>
      <w:pPr>
        <w:pStyle w:val="BodyText"/>
        <w:spacing w:before="38"/>
        <w:ind w:left="993"/>
        <w:rPr>
          <w:rFonts w:ascii="Consolas"/>
        </w:rPr>
      </w:pPr>
      <w:r>
        <w:rPr>
          <w:rFonts w:ascii="Consolas"/>
        </w:rPr>
        <w:t>&lt;v2:moreContent xmlsn:v2='</w:t>
      </w:r>
      <w:hyperlink r:id="rId15">
        <w:r>
          <w:rPr>
            <w:rFonts w:ascii="Consolas"/>
          </w:rPr>
          <w:t>http://www.extension.com/versionOneExtension'</w:t>
        </w:r>
      </w:hyperlink>
      <w:r>
        <w:rPr>
          <w:rFonts w:ascii="Consolas"/>
        </w:rPr>
        <w:t>&gt;</w:t>
      </w:r>
    </w:p>
    <w:p>
      <w:pPr>
        <w:pStyle w:val="BodyText"/>
        <w:spacing w:before="38"/>
        <w:ind w:left="1235"/>
        <w:rPr>
          <w:rFonts w:ascii="Consolas" w:hAnsi="Consolas"/>
        </w:rPr>
      </w:pPr>
      <w:r>
        <w:rPr>
          <w:rFonts w:ascii="Consolas" w:hAnsi="Consolas"/>
          <w:w w:val="100"/>
        </w:rPr>
        <w:t>…</w:t>
      </w:r>
    </w:p>
    <w:p>
      <w:pPr>
        <w:pStyle w:val="BodyText"/>
        <w:spacing w:before="40"/>
        <w:ind w:left="993"/>
        <w:rPr>
          <w:rFonts w:ascii="Consolas"/>
        </w:rPr>
      </w:pPr>
      <w:r>
        <w:rPr>
          <w:rFonts w:ascii="Consolas"/>
        </w:rPr>
        <w:t>&lt;/v2:moreContent&gt;</w:t>
      </w:r>
    </w:p>
    <w:p>
      <w:pPr>
        <w:pStyle w:val="BodyText"/>
        <w:spacing w:before="37"/>
        <w:ind w:left="6" w:right="8456"/>
        <w:jc w:val="center"/>
        <w:rPr>
          <w:rFonts w:ascii="Consolas"/>
        </w:rPr>
      </w:pPr>
      <w:r>
        <w:rPr>
          <w:rFonts w:ascii="Consolas"/>
        </w:rPr>
        <w:t>&lt;/ext&gt;</w:t>
      </w:r>
    </w:p>
    <w:p>
      <w:pPr>
        <w:pStyle w:val="BodyText"/>
        <w:spacing w:before="40"/>
        <w:ind w:left="5" w:right="8456"/>
        <w:jc w:val="center"/>
        <w:rPr>
          <w:rFonts w:ascii="Consolas"/>
        </w:rPr>
      </w:pPr>
      <w:r>
        <w:rPr>
          <w:rFonts w:ascii="Consolas"/>
        </w:rPr>
        <w:t>&lt;/extList&gt;</w:t>
      </w:r>
    </w:p>
    <w:p>
      <w:pPr>
        <w:pStyle w:val="BodyText"/>
        <w:spacing w:before="6"/>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464"/>
      </w:pPr>
      <w:r>
        <w:rPr/>
        <w:t>Each extension has an </w:t>
      </w:r>
      <w:r>
        <w:rPr>
          <w:rFonts w:ascii="Cambria"/>
        </w:rPr>
        <w:t>uri </w:t>
      </w:r>
      <w:r>
        <w:rPr/>
        <w:t>attribute, which serves as an identifier to indicate information about the extension. [</w:t>
      </w:r>
      <w:r>
        <w:rPr>
          <w:i/>
        </w:rPr>
        <w:t>Note</w:t>
      </w:r>
      <w:r>
        <w:rPr/>
        <w:t>: For example, the </w:t>
      </w:r>
      <w:r>
        <w:rPr>
          <w:rFonts w:ascii="Cambria"/>
        </w:rPr>
        <w:t>uri </w:t>
      </w:r>
      <w:r>
        <w:rPr/>
        <w:t>might state the version of a markup specification to which the content conforms, or it might state the version of a producing application that wrote the content. </w:t>
      </w:r>
      <w:r>
        <w:rPr>
          <w:i/>
        </w:rPr>
        <w:t>end note</w:t>
      </w:r>
      <w:r>
        <w:rPr/>
        <w:t>] Upon encountering extensions, a processing consumer shall determine whether it knows how to process extensions using the value of the </w:t>
      </w:r>
      <w:r>
        <w:rPr>
          <w:rFonts w:ascii="Cambria"/>
        </w:rPr>
        <w:t>uri</w:t>
      </w:r>
      <w:r>
        <w:rPr/>
        <w:t>. If the consumer knows how to process such an extension, the markup contained within that</w:t>
      </w:r>
    </w:p>
    <w:p>
      <w:pPr>
        <w:spacing w:after="0" w:line="276" w:lineRule="auto"/>
        <w:sectPr>
          <w:pgSz w:w="12240" w:h="15840"/>
          <w:pgMar w:header="763" w:footer="746" w:top="1340" w:bottom="940" w:left="860" w:right="700"/>
        </w:sectPr>
      </w:pPr>
    </w:p>
    <w:p>
      <w:pPr>
        <w:pStyle w:val="BodyText"/>
        <w:spacing w:line="278" w:lineRule="auto" w:before="90"/>
        <w:ind w:left="220" w:right="1077"/>
      </w:pPr>
      <w:r>
        <w:rPr/>
        <w:t>extension is processed. Otherwise, the extension content shall be preserved so long as the structure that contains the </w:t>
      </w:r>
      <w:r>
        <w:rPr>
          <w:rFonts w:ascii="Cambria"/>
        </w:rPr>
        <w:t>extLst </w:t>
      </w:r>
      <w:r>
        <w:rPr/>
        <w:t>has not been removed.</w:t>
      </w:r>
    </w:p>
    <w:p>
      <w:pPr>
        <w:pStyle w:val="BodyText"/>
        <w:spacing w:before="4"/>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uri </w:t>
            </w:r>
            <w:r>
              <w:rPr>
                <w:sz w:val="22"/>
              </w:rPr>
              <w:t>(URI)</w:t>
            </w:r>
          </w:p>
        </w:tc>
        <w:tc>
          <w:tcPr>
            <w:tcW w:w="8250" w:type="dxa"/>
          </w:tcPr>
          <w:p>
            <w:pPr>
              <w:pStyle w:val="TableParagraph"/>
              <w:rPr>
                <w:sz w:val="22"/>
              </w:rPr>
            </w:pPr>
            <w:r>
              <w:rPr>
                <w:sz w:val="22"/>
              </w:rPr>
              <w:t>A token to identify version and application information for this particular extension.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token</w:t>
            </w:r>
          </w:p>
          <w:p>
            <w:pPr>
              <w:pStyle w:val="TableParagraph"/>
              <w:spacing w:before="0"/>
              <w:rPr>
                <w:sz w:val="22"/>
              </w:rPr>
            </w:pPr>
            <w:r>
              <w:rPr>
                <w:sz w:val="22"/>
              </w:rPr>
              <w:t>datatype.</w:t>
            </w:r>
          </w:p>
        </w:tc>
      </w:tr>
    </w:tbl>
    <w:p>
      <w:pPr>
        <w:pStyle w:val="BodyText"/>
        <w:rPr>
          <w:sz w:val="26"/>
        </w:rPr>
      </w:pPr>
    </w:p>
    <w:p>
      <w:pPr>
        <w:pStyle w:val="BodyText"/>
        <w:spacing w:line="278" w:lineRule="auto" w:before="188"/>
        <w:ind w:left="220" w:right="615"/>
      </w:pPr>
      <w:r>
        <w:rPr/>
        <w:t>[</w:t>
      </w:r>
      <w:r>
        <w:rPr>
          <w:i/>
        </w:rPr>
        <w:t>Note</w:t>
      </w:r>
      <w:r>
        <w:rPr/>
        <w:t>: The W3C XML Schema definition of this element’s content model (</w:t>
      </w:r>
      <w:r>
        <w:rPr>
          <w:color w:val="5F5F5F"/>
          <w:u w:val="single" w:color="5F5F5F"/>
        </w:rPr>
        <w:t>CT_Extension</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8 externalReference (External Refer" w:id="29"/>
      <w:bookmarkEnd w:id="29"/>
      <w:r>
        <w:rPr>
          <w:b w:val="0"/>
        </w:rPr>
      </w:r>
      <w:bookmarkStart w:name="_bookmark8" w:id="30"/>
      <w:bookmarkEnd w:id="30"/>
      <w:r>
        <w:rPr>
          <w:b w:val="0"/>
        </w:rPr>
      </w:r>
      <w:bookmarkStart w:name="_bookmark8" w:id="31"/>
      <w:bookmarkEnd w:id="31"/>
      <w:r>
        <w:rPr>
          <w:color w:val="4F81BC"/>
        </w:rPr>
        <w:t>ext</w:t>
      </w:r>
      <w:r>
        <w:rPr>
          <w:color w:val="4F81BC"/>
        </w:rPr>
        <w:t>ernalReference (External</w:t>
      </w:r>
      <w:r>
        <w:rPr>
          <w:color w:val="4F81BC"/>
          <w:spacing w:val="4"/>
        </w:rPr>
        <w:t> </w:t>
      </w:r>
      <w:r>
        <w:rPr>
          <w:color w:val="4F81BC"/>
        </w:rPr>
        <w:t>Reference)</w:t>
      </w:r>
    </w:p>
    <w:p>
      <w:pPr>
        <w:pStyle w:val="BodyText"/>
        <w:spacing w:before="124"/>
        <w:ind w:left="220"/>
      </w:pPr>
      <w:r>
        <w:rPr/>
        <w:t>This element defines an external reference that stores data for workbook elements.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96" w:right="84"/>
              <w:jc w:val="center"/>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328" w:hRule="atLeast"/>
        </w:trPr>
        <w:tc>
          <w:tcPr>
            <w:tcW w:w="2062" w:type="dxa"/>
            <w:tcBorders>
              <w:bottom w:val="nil"/>
            </w:tcBorders>
          </w:tcPr>
          <w:p>
            <w:pPr>
              <w:pStyle w:val="TableParagraph"/>
              <w:ind w:left="6" w:right="129"/>
              <w:jc w:val="center"/>
              <w:rPr>
                <w:sz w:val="22"/>
              </w:rPr>
            </w:pPr>
            <w:r>
              <w:rPr>
                <w:rFonts w:ascii="Cambria"/>
                <w:sz w:val="22"/>
              </w:rPr>
              <w:t>id </w:t>
            </w:r>
            <w:r>
              <w:rPr>
                <w:sz w:val="22"/>
              </w:rPr>
              <w:t>(Relationship Id)</w:t>
            </w:r>
          </w:p>
        </w:tc>
        <w:tc>
          <w:tcPr>
            <w:tcW w:w="8250" w:type="dxa"/>
            <w:tcBorders>
              <w:bottom w:val="nil"/>
            </w:tcBorders>
          </w:tcPr>
          <w:p>
            <w:pPr>
              <w:pStyle w:val="TableParagraph"/>
              <w:rPr>
                <w:sz w:val="22"/>
              </w:rPr>
            </w:pPr>
            <w:r>
              <w:rPr>
                <w:sz w:val="22"/>
              </w:rPr>
              <w:t>Specifies a unique identifier that is used to identify a relationship to another part in the</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file. Relationship identifiers link the element definition with the part where data for the</w:t>
            </w:r>
          </w:p>
        </w:tc>
      </w:tr>
      <w:tr>
        <w:trPr>
          <w:trHeight w:val="1595" w:hRule="atLeast"/>
        </w:trPr>
        <w:tc>
          <w:tcPr>
            <w:tcW w:w="2062" w:type="dxa"/>
            <w:tcBorders>
              <w:top w:val="nil"/>
            </w:tcBorders>
          </w:tcPr>
          <w:p>
            <w:pPr>
              <w:pStyle w:val="TableParagraph"/>
              <w:spacing w:line="249" w:lineRule="exact" w:before="0"/>
              <w:rPr>
                <w:sz w:val="22"/>
              </w:rPr>
            </w:pPr>
            <w:r>
              <w:rPr>
                <w:sz w:val="22"/>
              </w:rPr>
              <w:t>Namespace:</w:t>
            </w:r>
          </w:p>
          <w:p>
            <w:pPr>
              <w:pStyle w:val="TableParagraph"/>
              <w:spacing w:before="3"/>
              <w:ind w:right="153"/>
              <w:jc w:val="both"/>
              <w:rPr>
                <w:rFonts w:ascii="Cambria"/>
                <w:sz w:val="22"/>
              </w:rPr>
            </w:pPr>
            <w:hyperlink r:id="rId18">
              <w:r>
                <w:rPr>
                  <w:rFonts w:ascii="Cambria"/>
                  <w:sz w:val="22"/>
                </w:rPr>
                <w:t>http://purl.oclc.or</w:t>
              </w:r>
            </w:hyperlink>
            <w:r>
              <w:rPr>
                <w:rFonts w:ascii="Cambria"/>
                <w:sz w:val="22"/>
              </w:rPr>
              <w:t> g/ooxml/officeDoc ument/relationshi ps</w:t>
            </w:r>
          </w:p>
        </w:tc>
        <w:tc>
          <w:tcPr>
            <w:tcW w:w="8250" w:type="dxa"/>
            <w:tcBorders>
              <w:top w:val="nil"/>
            </w:tcBorders>
          </w:tcPr>
          <w:p>
            <w:pPr>
              <w:pStyle w:val="TableParagraph"/>
              <w:spacing w:line="249" w:lineRule="exact" w:before="0"/>
              <w:rPr>
                <w:sz w:val="22"/>
              </w:rPr>
            </w:pPr>
            <w:r>
              <w:rPr>
                <w:sz w:val="22"/>
              </w:rPr>
              <w:t>element is stored.</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CT_ExternalReference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9 externalReferences (External Refe" w:id="32"/>
      <w:bookmarkEnd w:id="32"/>
      <w:r>
        <w:rPr>
          <w:b w:val="0"/>
        </w:rPr>
      </w:r>
      <w:bookmarkStart w:name="_bookmark9" w:id="33"/>
      <w:bookmarkEnd w:id="33"/>
      <w:r>
        <w:rPr>
          <w:b w:val="0"/>
        </w:rPr>
      </w:r>
      <w:bookmarkStart w:name="_bookmark9" w:id="34"/>
      <w:bookmarkEnd w:id="34"/>
      <w:r>
        <w:rPr>
          <w:color w:val="4F81BC"/>
        </w:rPr>
        <w:t>ext</w:t>
      </w:r>
      <w:r>
        <w:rPr>
          <w:color w:val="4F81BC"/>
        </w:rPr>
        <w:t>ernalReferences (External</w:t>
      </w:r>
      <w:r>
        <w:rPr>
          <w:color w:val="4F81BC"/>
          <w:spacing w:val="2"/>
        </w:rPr>
        <w:t> </w:t>
      </w:r>
      <w:r>
        <w:rPr>
          <w:color w:val="4F81BC"/>
        </w:rPr>
        <w:t>References)</w:t>
      </w:r>
    </w:p>
    <w:p>
      <w:pPr>
        <w:pStyle w:val="BodyText"/>
        <w:spacing w:before="124"/>
        <w:ind w:left="220"/>
      </w:pPr>
      <w:r>
        <w:rPr/>
        <w:t>This element defines the collection of external references for this workbook.</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CT_ExternalReferences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10 extLst (Future Feature Data Stor" w:id="35"/>
      <w:bookmarkEnd w:id="35"/>
      <w:r>
        <w:rPr>
          <w:b w:val="0"/>
        </w:rPr>
      </w:r>
      <w:bookmarkStart w:name="_bookmark10" w:id="36"/>
      <w:bookmarkEnd w:id="36"/>
      <w:r>
        <w:rPr>
          <w:b w:val="0"/>
        </w:rPr>
      </w:r>
      <w:bookmarkStart w:name="_bookmark10" w:id="37"/>
      <w:bookmarkEnd w:id="37"/>
      <w:r>
        <w:rPr>
          <w:color w:val="4F81BC"/>
        </w:rPr>
        <w:t>ex</w:t>
      </w:r>
      <w:r>
        <w:rPr>
          <w:color w:val="4F81BC"/>
        </w:rPr>
        <w:t>tLst (Future Feature Data Storage</w:t>
      </w:r>
      <w:r>
        <w:rPr>
          <w:color w:val="4F81BC"/>
          <w:spacing w:val="-3"/>
        </w:rPr>
        <w:t> </w:t>
      </w:r>
      <w:r>
        <w:rPr>
          <w:color w:val="4F81BC"/>
        </w:rPr>
        <w:t>Area)</w:t>
      </w:r>
    </w:p>
    <w:p>
      <w:pPr>
        <w:pStyle w:val="BodyText"/>
        <w:spacing w:line="276" w:lineRule="auto" w:before="123"/>
        <w:ind w:left="220" w:right="443"/>
      </w:pPr>
      <w:r>
        <w:rPr/>
        <w:t>This element provides a convention for extending spreadsheetML in predefined locations. The locations shall be denoted with the extLst element, and are called extension lists. Extension list locations within the markup document are specified in the markup specification and can be used to store extensions to the markup specification, whether those are future version extensions of the markup specification or are private extensions implemented independently from the markup specification. Markup within an extension might not be understood by a consumer.</w:t>
      </w:r>
    </w:p>
    <w:p>
      <w:pPr>
        <w:spacing w:after="0" w:line="276" w:lineRule="auto"/>
        <w:sectPr>
          <w:footerReference w:type="even" r:id="rId16"/>
          <w:footerReference w:type="default" r:id="rId17"/>
          <w:pgSz w:w="12240" w:h="15840"/>
          <w:pgMar w:footer="746" w:header="761" w:top="1340" w:bottom="940" w:left="860" w:right="700"/>
          <w:pgNumType w:start="1560"/>
        </w:sectPr>
      </w:pPr>
    </w:p>
    <w:p>
      <w:pPr>
        <w:pStyle w:val="BodyText"/>
        <w:spacing w:before="150"/>
        <w:ind w:left="220"/>
      </w:pPr>
      <w:r>
        <w:rPr>
          <w:rFonts w:ascii="Cambria" w:hAnsi="Cambria"/>
        </w:rPr>
        <w:t>extLst </w:t>
      </w:r>
      <w:r>
        <w:rPr/>
        <w:t>elements contain </w:t>
      </w:r>
      <w:r>
        <w:rPr>
          <w:rFonts w:ascii="Cambria" w:hAnsi="Cambria"/>
        </w:rPr>
        <w:t>ext </w:t>
      </w:r>
      <w:r>
        <w:rPr/>
        <w:t>elements, called </w:t>
      </w:r>
      <w:r>
        <w:rPr>
          <w:i/>
        </w:rPr>
        <w:t>extensions</w:t>
      </w:r>
      <w:r>
        <w:rPr/>
        <w:t>. See </w:t>
      </w:r>
      <w:hyperlink w:history="true" w:anchor="_bookmark7">
        <w:r>
          <w:rPr/>
          <w:t>§18.2.7 </w:t>
        </w:r>
      </w:hyperlink>
      <w:r>
        <w:rPr/>
        <w:t>for more discussion of extensions.</w:t>
      </w:r>
    </w:p>
    <w:p>
      <w:pPr>
        <w:pStyle w:val="BodyText"/>
        <w:spacing w:before="6"/>
        <w:rPr>
          <w:sz w:val="19"/>
        </w:rPr>
      </w:pPr>
    </w:p>
    <w:p>
      <w:pPr>
        <w:pStyle w:val="BodyText"/>
        <w:spacing w:line="276" w:lineRule="auto" w:before="1"/>
        <w:ind w:left="220" w:right="376"/>
      </w:pPr>
      <w:r>
        <w:rPr/>
        <w:t>[</w:t>
      </w:r>
      <w:r>
        <w:rPr>
          <w:i/>
        </w:rPr>
        <w:t>Note</w:t>
      </w:r>
      <w:r>
        <w:rPr/>
        <w:t>: Allowing markup specification extensions and private markup extensions within an extension list does not violate interoperability because the rules articulated within §10, </w:t>
      </w:r>
      <w:hyperlink w:history="true" w:anchor="_bookmark7">
        <w:r>
          <w:rPr/>
          <w:t>§18.2.7 </w:t>
        </w:r>
      </w:hyperlink>
      <w:r>
        <w:rPr/>
        <w:t>and Part 3 describe how producers and consumers must generate and consume markup documents containing application defined extension elements. </w:t>
      </w:r>
      <w:r>
        <w:rPr>
          <w:i/>
        </w:rPr>
        <w:t>end note</w:t>
      </w:r>
      <w:r>
        <w:rPr/>
        <w:t>]</w:t>
      </w:r>
    </w:p>
    <w:p>
      <w:pPr>
        <w:pStyle w:val="BodyText"/>
        <w:spacing w:before="4"/>
        <w:rPr>
          <w:sz w:val="16"/>
        </w:rPr>
      </w:pPr>
    </w:p>
    <w:p>
      <w:pPr>
        <w:pStyle w:val="BodyText"/>
        <w:spacing w:line="278" w:lineRule="auto"/>
        <w:ind w:left="220" w:right="737"/>
      </w:pPr>
      <w:r>
        <w:rPr/>
        <w:t>[</w:t>
      </w:r>
      <w:r>
        <w:rPr>
          <w:i/>
        </w:rPr>
        <w:t>Note</w:t>
      </w:r>
      <w:r>
        <w:rPr/>
        <w:t>: This element is not intended to reintroduce transitional schema into the strict conformance class. </w:t>
      </w:r>
      <w:r>
        <w:rPr>
          <w:i/>
        </w:rPr>
        <w:t>end </w:t>
      </w:r>
      <w:r>
        <w:rPr>
          <w:i/>
        </w:rPr>
        <w:t>note</w:t>
      </w:r>
      <w:r>
        <w:rPr/>
        <w:t>]</w:t>
      </w:r>
    </w:p>
    <w:p>
      <w:pPr>
        <w:pStyle w:val="BodyText"/>
        <w:spacing w:before="195"/>
        <w:ind w:left="220"/>
      </w:pPr>
      <w:r>
        <w:rPr/>
        <w:t>[</w:t>
      </w:r>
      <w:r>
        <w:rPr>
          <w:i/>
        </w:rPr>
        <w:t>Note</w:t>
      </w:r>
      <w:r>
        <w:rPr/>
        <w:t>: The W3C XML Schema definition of this element’s content model (</w:t>
      </w:r>
      <w:r>
        <w:rPr>
          <w:color w:val="5F5F5F"/>
          <w:u w:val="single" w:color="5F5F5F"/>
        </w:rPr>
        <w:t>CT_ExtensionList</w:t>
      </w:r>
      <w:r>
        <w:rPr/>
        <w:t>) is located in §A.2.</w:t>
      </w:r>
    </w:p>
    <w:p>
      <w:pPr>
        <w:spacing w:before="41"/>
        <w:ind w:left="220" w:right="0" w:firstLine="0"/>
        <w:jc w:val="left"/>
        <w:rPr>
          <w:sz w:val="22"/>
        </w:rPr>
      </w:pPr>
      <w:r>
        <w:rPr>
          <w:i/>
          <w:sz w:val="22"/>
        </w:rPr>
        <w:t>end note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11 fileRecoveryPr (File Recovery Pr" w:id="38"/>
      <w:bookmarkEnd w:id="38"/>
      <w:r>
        <w:rPr>
          <w:b w:val="0"/>
        </w:rPr>
      </w:r>
      <w:bookmarkStart w:name="_bookmark11" w:id="39"/>
      <w:bookmarkEnd w:id="39"/>
      <w:r>
        <w:rPr>
          <w:b w:val="0"/>
        </w:rPr>
      </w:r>
      <w:bookmarkStart w:name="_bookmark11" w:id="40"/>
      <w:bookmarkEnd w:id="40"/>
      <w:r>
        <w:rPr>
          <w:color w:val="4F81BC"/>
        </w:rPr>
        <w:t>fi</w:t>
      </w:r>
      <w:r>
        <w:rPr>
          <w:color w:val="4F81BC"/>
        </w:rPr>
        <w:t>leRecoveryPr (File Recovery</w:t>
      </w:r>
      <w:r>
        <w:rPr>
          <w:color w:val="4F81BC"/>
          <w:spacing w:val="2"/>
        </w:rPr>
        <w:t> </w:t>
      </w:r>
      <w:r>
        <w:rPr>
          <w:color w:val="4F81BC"/>
        </w:rPr>
        <w:t>Properties)</w:t>
      </w:r>
    </w:p>
    <w:p>
      <w:pPr>
        <w:pStyle w:val="BodyText"/>
        <w:spacing w:line="276" w:lineRule="auto" w:before="124"/>
        <w:ind w:left="220" w:right="781"/>
      </w:pPr>
      <w:r>
        <w:rPr/>
        <w:t>This element defines properties that track the state of the workbook file, such as whether the file was saved during a crash, or whether it should be opened in auto-recover mode.</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3040" w:hRule="atLeast"/>
        </w:trPr>
        <w:tc>
          <w:tcPr>
            <w:tcW w:w="2062" w:type="dxa"/>
          </w:tcPr>
          <w:p>
            <w:pPr>
              <w:pStyle w:val="TableParagraph"/>
              <w:ind w:right="182"/>
              <w:rPr>
                <w:sz w:val="22"/>
              </w:rPr>
            </w:pPr>
            <w:r>
              <w:rPr>
                <w:rFonts w:ascii="Cambria"/>
                <w:sz w:val="22"/>
              </w:rPr>
              <w:t>autoRecover </w:t>
            </w:r>
            <w:r>
              <w:rPr>
                <w:sz w:val="22"/>
              </w:rPr>
              <w:t>(Auto Recover)</w:t>
            </w:r>
          </w:p>
        </w:tc>
        <w:tc>
          <w:tcPr>
            <w:tcW w:w="8250" w:type="dxa"/>
          </w:tcPr>
          <w:p>
            <w:pPr>
              <w:pStyle w:val="TableParagraph"/>
              <w:ind w:right="740"/>
              <w:rPr>
                <w:sz w:val="22"/>
              </w:rPr>
            </w:pPr>
            <w:r>
              <w:rPr>
                <w:sz w:val="22"/>
              </w:rPr>
              <w:t>Specifies a boolean value that indicates whether the file is mark for auto-recovery. Applications typically mark files for auto-recover following a crash.</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file is marked for auto-recover.</w:t>
            </w:r>
          </w:p>
          <w:p>
            <w:pPr>
              <w:pStyle w:val="TableParagraph"/>
              <w:spacing w:before="1"/>
              <w:ind w:left="0"/>
              <w:rPr>
                <w:sz w:val="22"/>
              </w:rPr>
            </w:pPr>
          </w:p>
          <w:p>
            <w:pPr>
              <w:pStyle w:val="TableParagraph"/>
              <w:spacing w:line="480" w:lineRule="auto" w:before="0"/>
              <w:ind w:right="1838"/>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file is not marked for auto-recover. The default value for this attribute is false.</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3040" w:hRule="atLeast"/>
        </w:trPr>
        <w:tc>
          <w:tcPr>
            <w:tcW w:w="2062" w:type="dxa"/>
          </w:tcPr>
          <w:p>
            <w:pPr>
              <w:pStyle w:val="TableParagraph"/>
              <w:ind w:right="354"/>
              <w:rPr>
                <w:sz w:val="22"/>
              </w:rPr>
            </w:pPr>
            <w:r>
              <w:rPr>
                <w:rFonts w:ascii="Cambria"/>
                <w:sz w:val="22"/>
              </w:rPr>
              <w:t>crashSave </w:t>
            </w:r>
            <w:r>
              <w:rPr>
                <w:sz w:val="22"/>
              </w:rPr>
              <w:t>(Crash Save)</w:t>
            </w:r>
          </w:p>
        </w:tc>
        <w:tc>
          <w:tcPr>
            <w:tcW w:w="8250" w:type="dxa"/>
          </w:tcPr>
          <w:p>
            <w:pPr>
              <w:pStyle w:val="TableParagraph"/>
              <w:ind w:right="167"/>
              <w:rPr>
                <w:sz w:val="22"/>
              </w:rPr>
            </w:pPr>
            <w:r>
              <w:rPr>
                <w:sz w:val="22"/>
              </w:rPr>
              <w:t>Specifies a boolean value that indicates whether the application last saved the workbook file after a crash.</w:t>
            </w:r>
          </w:p>
          <w:p>
            <w:pPr>
              <w:pStyle w:val="TableParagraph"/>
              <w:spacing w:before="0"/>
              <w:ind w:left="0"/>
              <w:rPr>
                <w:sz w:val="22"/>
              </w:rPr>
            </w:pPr>
          </w:p>
          <w:p>
            <w:pPr>
              <w:pStyle w:val="TableParagraph"/>
              <w:spacing w:line="480" w:lineRule="auto" w:before="0"/>
              <w:ind w:right="162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workbook was last saved after a crash.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was not last saved as part of a crash.</w:t>
            </w:r>
          </w:p>
          <w:p>
            <w:pPr>
              <w:pStyle w:val="TableParagraph"/>
              <w:spacing w:before="1"/>
              <w:rPr>
                <w:sz w:val="22"/>
              </w:rPr>
            </w:pPr>
            <w:r>
              <w:rPr>
                <w:sz w:val="22"/>
              </w:rPr>
              <w:t>The default value for this attribute is false.</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spacing w:line="257" w:lineRule="exact" w:before="42"/>
              <w:rPr>
                <w:rFonts w:ascii="Cambria"/>
                <w:sz w:val="22"/>
              </w:rPr>
            </w:pPr>
            <w:r>
              <w:rPr>
                <w:rFonts w:ascii="Cambria"/>
                <w:sz w:val="22"/>
              </w:rPr>
              <w:t>dataExtractLoad</w:t>
            </w:r>
          </w:p>
          <w:p>
            <w:pPr>
              <w:pStyle w:val="TableParagraph"/>
              <w:spacing w:line="268" w:lineRule="exact" w:before="0"/>
              <w:rPr>
                <w:sz w:val="22"/>
              </w:rPr>
            </w:pPr>
            <w:r>
              <w:rPr>
                <w:sz w:val="22"/>
              </w:rPr>
              <w:t>(Data Extract Load)</w:t>
            </w:r>
          </w:p>
        </w:tc>
        <w:tc>
          <w:tcPr>
            <w:tcW w:w="8250" w:type="dxa"/>
          </w:tcPr>
          <w:p>
            <w:pPr>
              <w:pStyle w:val="TableParagraph"/>
              <w:ind w:right="948"/>
              <w:rPr>
                <w:sz w:val="22"/>
              </w:rPr>
            </w:pPr>
            <w:r>
              <w:rPr>
                <w:sz w:val="22"/>
              </w:rPr>
              <w:t>Specifies a boolean value that indicates whether the application last opened the workbook for data recovery.</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workbook was last opened for data recovery.</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1865"/>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was not last opened for data recovery. The default value for this attribute is true.</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3040" w:hRule="atLeast"/>
        </w:trPr>
        <w:tc>
          <w:tcPr>
            <w:tcW w:w="2062" w:type="dxa"/>
          </w:tcPr>
          <w:p>
            <w:pPr>
              <w:pStyle w:val="TableParagraph"/>
              <w:ind w:right="180"/>
              <w:rPr>
                <w:sz w:val="22"/>
              </w:rPr>
            </w:pPr>
            <w:r>
              <w:rPr>
                <w:rFonts w:ascii="Cambria"/>
                <w:sz w:val="22"/>
              </w:rPr>
              <w:t>repairLoad </w:t>
            </w:r>
            <w:r>
              <w:rPr>
                <w:sz w:val="22"/>
              </w:rPr>
              <w:t>(Repair Load)</w:t>
            </w:r>
          </w:p>
        </w:tc>
        <w:tc>
          <w:tcPr>
            <w:tcW w:w="8250" w:type="dxa"/>
          </w:tcPr>
          <w:p>
            <w:pPr>
              <w:pStyle w:val="TableParagraph"/>
              <w:ind w:right="948"/>
              <w:rPr>
                <w:sz w:val="22"/>
              </w:rPr>
            </w:pPr>
            <w:r>
              <w:rPr>
                <w:sz w:val="22"/>
              </w:rPr>
              <w:t>Specifies a boolean value that indicates whether the application last opened the workbook in safe or repair mode.</w:t>
            </w:r>
          </w:p>
          <w:p>
            <w:pPr>
              <w:pStyle w:val="TableParagraph"/>
              <w:spacing w:before="0"/>
              <w:ind w:left="0"/>
              <w:rPr>
                <w:sz w:val="22"/>
              </w:rPr>
            </w:pPr>
          </w:p>
          <w:p>
            <w:pPr>
              <w:pStyle w:val="TableParagraph"/>
              <w:spacing w:line="480" w:lineRule="auto" w:before="0"/>
              <w:ind w:right="60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workbook was last opened in safe or repair mode.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workbook was last opened without problems.</w:t>
            </w:r>
          </w:p>
          <w:p>
            <w:pPr>
              <w:pStyle w:val="TableParagraph"/>
              <w:spacing w:before="2"/>
              <w:rPr>
                <w:sz w:val="22"/>
              </w:rPr>
            </w:pPr>
            <w:r>
              <w:rPr>
                <w:sz w:val="22"/>
              </w:rPr>
              <w:t>The default value for this attribute is false.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jc w:val="both"/>
      </w:pPr>
      <w:r>
        <w:rPr/>
        <w:t>[</w:t>
      </w:r>
      <w:r>
        <w:rPr>
          <w:i/>
        </w:rPr>
        <w:t>Note</w:t>
      </w:r>
      <w:r>
        <w:rPr/>
        <w:t>: The W3C XML Schema definition of this element’s content model (</w:t>
      </w:r>
      <w:r>
        <w:rPr>
          <w:color w:val="5F5F5F"/>
          <w:u w:val="single" w:color="5F5F5F"/>
        </w:rPr>
        <w:t>CT_FileRecoveryPr</w:t>
      </w:r>
      <w:r>
        <w:rPr/>
        <w:t>) is located in §A.2.</w:t>
      </w:r>
    </w:p>
    <w:p>
      <w:pPr>
        <w:spacing w:before="44"/>
        <w:ind w:left="220" w:right="0" w:firstLine="0"/>
        <w:jc w:val="both"/>
        <w:rPr>
          <w:sz w:val="22"/>
        </w:rPr>
      </w:pPr>
      <w:r>
        <w:rPr>
          <w:i/>
          <w:sz w:val="22"/>
        </w:rPr>
        <w:t>end note</w:t>
      </w:r>
      <w:r>
        <w:rPr>
          <w:sz w:val="22"/>
        </w:rPr>
        <w:t>]</w:t>
      </w:r>
    </w:p>
    <w:p>
      <w:pPr>
        <w:pStyle w:val="BodyText"/>
        <w:spacing w:before="8"/>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2.12 fileSharing (File Sharing)" w:id="41"/>
      <w:bookmarkEnd w:id="41"/>
      <w:r>
        <w:rPr>
          <w:b w:val="0"/>
        </w:rPr>
      </w:r>
      <w:bookmarkStart w:name="_bookmark12" w:id="42"/>
      <w:bookmarkEnd w:id="42"/>
      <w:r>
        <w:rPr>
          <w:b w:val="0"/>
        </w:rPr>
      </w:r>
      <w:bookmarkStart w:name="_bookmark12" w:id="43"/>
      <w:bookmarkEnd w:id="43"/>
      <w:r>
        <w:rPr>
          <w:color w:val="4F81BC"/>
        </w:rPr>
        <w:t>fi</w:t>
      </w:r>
      <w:r>
        <w:rPr>
          <w:color w:val="4F81BC"/>
        </w:rPr>
        <w:t>leSharing (File</w:t>
      </w:r>
      <w:r>
        <w:rPr>
          <w:color w:val="4F81BC"/>
          <w:spacing w:val="-1"/>
        </w:rPr>
        <w:t> </w:t>
      </w:r>
      <w:r>
        <w:rPr>
          <w:color w:val="4F81BC"/>
        </w:rPr>
        <w:t>Sharing)</w:t>
      </w:r>
    </w:p>
    <w:p>
      <w:pPr>
        <w:pStyle w:val="BodyText"/>
        <w:spacing w:line="278" w:lineRule="auto" w:before="121"/>
        <w:ind w:left="220" w:right="624"/>
        <w:jc w:val="both"/>
      </w:pPr>
      <w:r>
        <w:rPr/>
        <w:t>This element tracks file sharing settings for the workbook. When a password is to be hashed and stored in this element, it shall be hashed starting from a UTF-16LE encoded string value. If there is a leading BOM character (U+FEFF) in the encoded password it is removed before hash calculation.</w:t>
      </w:r>
    </w:p>
    <w:p>
      <w:pPr>
        <w:pStyle w:val="BodyText"/>
        <w:spacing w:before="2"/>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gridSpan w:val="4"/>
            <w:shd w:val="clear" w:color="auto" w:fill="C0C0C0"/>
          </w:tcPr>
          <w:p>
            <w:pPr>
              <w:pStyle w:val="TableParagraph"/>
              <w:ind w:left="98" w:right="91"/>
              <w:jc w:val="center"/>
              <w:rPr>
                <w:b/>
                <w:sz w:val="22"/>
              </w:rPr>
            </w:pPr>
            <w:r>
              <w:rPr>
                <w:b/>
                <w:sz w:val="22"/>
              </w:rPr>
              <w:t>Description</w:t>
            </w:r>
          </w:p>
        </w:tc>
      </w:tr>
      <w:tr>
        <w:trPr>
          <w:trHeight w:val="1115" w:hRule="atLeast"/>
        </w:trPr>
        <w:tc>
          <w:tcPr>
            <w:tcW w:w="2062" w:type="dxa"/>
            <w:vMerge w:val="restart"/>
          </w:tcPr>
          <w:p>
            <w:pPr>
              <w:pStyle w:val="TableParagraph"/>
              <w:spacing w:line="237" w:lineRule="auto" w:before="45"/>
              <w:ind w:right="378"/>
              <w:rPr>
                <w:sz w:val="22"/>
              </w:rPr>
            </w:pPr>
            <w:r>
              <w:rPr>
                <w:rFonts w:ascii="Cambria"/>
                <w:sz w:val="22"/>
              </w:rPr>
              <w:t>algorithmName </w:t>
            </w:r>
            <w:r>
              <w:rPr>
                <w:sz w:val="22"/>
              </w:rPr>
              <w:t>(Cryptographic Algorithm Name)</w:t>
            </w:r>
          </w:p>
        </w:tc>
        <w:tc>
          <w:tcPr>
            <w:tcW w:w="8250" w:type="dxa"/>
            <w:gridSpan w:val="4"/>
          </w:tcPr>
          <w:p>
            <w:pPr>
              <w:pStyle w:val="TableParagraph"/>
              <w:rPr>
                <w:sz w:val="22"/>
              </w:rPr>
            </w:pPr>
            <w:r>
              <w:rPr>
                <w:sz w:val="22"/>
              </w:rPr>
              <w:t>Specifies the specific cryptographic hashing algorithm which shall be used along with the</w:t>
            </w:r>
          </w:p>
          <w:p>
            <w:pPr>
              <w:pStyle w:val="TableParagraph"/>
              <w:spacing w:before="0"/>
              <w:rPr>
                <w:sz w:val="22"/>
              </w:rPr>
            </w:pPr>
            <w:r>
              <w:rPr>
                <w:rFonts w:ascii="Cambria"/>
                <w:sz w:val="22"/>
              </w:rPr>
              <w:t>salt </w:t>
            </w:r>
            <w:r>
              <w:rPr>
                <w:sz w:val="22"/>
              </w:rPr>
              <w:t>attribute and input password in order to compute the hash value.</w:t>
            </w:r>
          </w:p>
          <w:p>
            <w:pPr>
              <w:pStyle w:val="TableParagraph"/>
              <w:spacing w:before="10"/>
              <w:ind w:left="0"/>
              <w:rPr>
                <w:sz w:val="21"/>
              </w:rPr>
            </w:pPr>
          </w:p>
          <w:p>
            <w:pPr>
              <w:pStyle w:val="TableParagraph"/>
              <w:spacing w:line="252" w:lineRule="exact" w:before="0"/>
              <w:rPr>
                <w:sz w:val="22"/>
              </w:rPr>
            </w:pPr>
            <w:r>
              <w:rPr>
                <w:sz w:val="22"/>
              </w:rPr>
              <w:t>The following values are reserved:</w:t>
            </w:r>
          </w:p>
        </w:tc>
      </w:tr>
      <w:tr>
        <w:trPr>
          <w:trHeight w:val="354" w:hRule="atLeast"/>
        </w:trPr>
        <w:tc>
          <w:tcPr>
            <w:tcW w:w="2062" w:type="dxa"/>
            <w:vMerge/>
            <w:tcBorders>
              <w:top w:val="nil"/>
            </w:tcBorders>
          </w:tcPr>
          <w:p>
            <w:pPr>
              <w:rPr>
                <w:sz w:val="2"/>
                <w:szCs w:val="2"/>
              </w:rPr>
            </w:pPr>
          </w:p>
        </w:tc>
        <w:tc>
          <w:tcPr>
            <w:tcW w:w="120" w:type="dxa"/>
            <w:vMerge w:val="restart"/>
            <w:tcBorders>
              <w:top w:val="nil"/>
            </w:tcBorders>
          </w:tcPr>
          <w:p>
            <w:pPr>
              <w:pStyle w:val="TableParagraph"/>
              <w:spacing w:before="0"/>
              <w:ind w:left="0"/>
              <w:rPr>
                <w:rFonts w:ascii="Times New Roman"/>
                <w:sz w:val="22"/>
              </w:rPr>
            </w:pPr>
          </w:p>
        </w:tc>
        <w:tc>
          <w:tcPr>
            <w:tcW w:w="1894" w:type="dxa"/>
            <w:shd w:val="clear" w:color="auto" w:fill="C0C0C0"/>
          </w:tcPr>
          <w:p>
            <w:pPr>
              <w:pStyle w:val="TableParagraph"/>
              <w:ind w:left="665" w:right="656"/>
              <w:jc w:val="center"/>
              <w:rPr>
                <w:b/>
                <w:sz w:val="22"/>
              </w:rPr>
            </w:pPr>
            <w:r>
              <w:rPr>
                <w:b/>
                <w:sz w:val="22"/>
              </w:rPr>
              <w:t>Value</w:t>
            </w:r>
          </w:p>
        </w:tc>
        <w:tc>
          <w:tcPr>
            <w:tcW w:w="6116" w:type="dxa"/>
            <w:shd w:val="clear" w:color="auto" w:fill="C0C0C0"/>
          </w:tcPr>
          <w:p>
            <w:pPr>
              <w:pStyle w:val="TableParagraph"/>
              <w:ind w:left="2579" w:right="2571"/>
              <w:jc w:val="center"/>
              <w:rPr>
                <w:b/>
                <w:sz w:val="22"/>
              </w:rPr>
            </w:pPr>
            <w:r>
              <w:rPr>
                <w:b/>
                <w:sz w:val="22"/>
              </w:rPr>
              <w:t>Algorithm</w:t>
            </w:r>
          </w:p>
        </w:tc>
        <w:tc>
          <w:tcPr>
            <w:tcW w:w="120" w:type="dxa"/>
            <w:tcBorders>
              <w:top w:val="nil"/>
              <w:bottom w:val="nil"/>
            </w:tcBorders>
          </w:tcPr>
          <w:p>
            <w:pPr>
              <w:pStyle w:val="TableParagraph"/>
              <w:spacing w:before="0"/>
              <w:ind w:left="0"/>
              <w:rPr>
                <w:rFonts w:ascii="Times New Roman"/>
                <w:sz w:val="22"/>
              </w:rPr>
            </w:pPr>
          </w:p>
        </w:tc>
      </w:tr>
      <w:tr>
        <w:trPr>
          <w:trHeight w:val="1699"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MD2</w:t>
            </w:r>
          </w:p>
        </w:tc>
        <w:tc>
          <w:tcPr>
            <w:tcW w:w="6116" w:type="dxa"/>
          </w:tcPr>
          <w:p>
            <w:pPr>
              <w:pStyle w:val="TableParagraph"/>
              <w:ind w:right="329"/>
              <w:rPr>
                <w:sz w:val="22"/>
              </w:rPr>
            </w:pPr>
            <w:r>
              <w:rPr>
                <w:sz w:val="22"/>
              </w:rPr>
              <w:t>Specifies that the MD2 algorithm, as defined by RFC 1319, shall be used.</w:t>
            </w:r>
          </w:p>
          <w:p>
            <w:pPr>
              <w:pStyle w:val="TableParagraph"/>
              <w:spacing w:before="1"/>
              <w:ind w:left="0"/>
              <w:rPr>
                <w:sz w:val="22"/>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122"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Borders>
              <w:bottom w:val="double" w:sz="1" w:space="0" w:color="000000"/>
            </w:tcBorders>
          </w:tcPr>
          <w:p>
            <w:pPr>
              <w:pStyle w:val="TableParagraph"/>
              <w:spacing w:before="41"/>
              <w:rPr>
                <w:rFonts w:ascii="Consolas"/>
                <w:sz w:val="20"/>
              </w:rPr>
            </w:pPr>
            <w:r>
              <w:rPr>
                <w:rFonts w:ascii="Consolas"/>
                <w:sz w:val="20"/>
              </w:rPr>
              <w:t>MD4</w:t>
            </w:r>
          </w:p>
        </w:tc>
        <w:tc>
          <w:tcPr>
            <w:tcW w:w="6116" w:type="dxa"/>
            <w:tcBorders>
              <w:bottom w:val="double" w:sz="1" w:space="0" w:color="000000"/>
            </w:tcBorders>
          </w:tcPr>
          <w:p>
            <w:pPr>
              <w:pStyle w:val="TableParagraph"/>
              <w:ind w:right="329"/>
              <w:rPr>
                <w:sz w:val="22"/>
              </w:rPr>
            </w:pPr>
            <w:r>
              <w:rPr>
                <w:sz w:val="22"/>
              </w:rPr>
              <w:t>Specifies that the MD4 algorithm, as defined by RFC 1320, shall be used.</w:t>
            </w:r>
          </w:p>
          <w:p>
            <w:pPr>
              <w:pStyle w:val="TableParagraph"/>
              <w:spacing w:before="10"/>
              <w:ind w:left="0"/>
              <w:rPr>
                <w:sz w:val="21"/>
              </w:rPr>
            </w:pPr>
          </w:p>
          <w:p>
            <w:pPr>
              <w:pStyle w:val="TableParagraph"/>
              <w:spacing w:line="258" w:lineRule="exact" w:before="0"/>
              <w:rPr>
                <w:sz w:val="22"/>
              </w:rPr>
            </w:pPr>
            <w:r>
              <w:rPr>
                <w:sz w:val="22"/>
              </w:rPr>
              <w:t>[</w:t>
            </w:r>
            <w:r>
              <w:rPr>
                <w:i/>
                <w:sz w:val="22"/>
              </w:rPr>
              <w:t>Note</w:t>
            </w:r>
            <w:r>
              <w:rPr>
                <w:sz w:val="22"/>
              </w:rPr>
              <w:t>: It is recommended that applications should avoid using</w:t>
            </w:r>
          </w:p>
        </w:tc>
        <w:tc>
          <w:tcPr>
            <w:tcW w:w="120"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71" w:hRule="atLeast"/>
        </w:trPr>
        <w:tc>
          <w:tcPr>
            <w:tcW w:w="2062" w:type="dxa"/>
            <w:shd w:val="clear" w:color="auto" w:fill="C0C0C0"/>
          </w:tcPr>
          <w:p>
            <w:pPr>
              <w:pStyle w:val="TableParagraph"/>
              <w:ind w:left="566"/>
              <w:rPr>
                <w:b/>
                <w:sz w:val="22"/>
              </w:rPr>
            </w:pPr>
            <w:r>
              <w:rPr>
                <w:b/>
                <w:sz w:val="22"/>
              </w:rPr>
              <w:t>Attributes</w:t>
            </w:r>
          </w:p>
        </w:tc>
        <w:tc>
          <w:tcPr>
            <w:tcW w:w="8250" w:type="dxa"/>
            <w:gridSpan w:val="4"/>
            <w:tcBorders>
              <w:bottom w:val="double" w:sz="1" w:space="0" w:color="000000"/>
            </w:tcBorders>
            <w:shd w:val="clear" w:color="auto" w:fill="C0C0C0"/>
          </w:tcPr>
          <w:p>
            <w:pPr>
              <w:pStyle w:val="TableParagraph"/>
              <w:ind w:left="98" w:right="91"/>
              <w:jc w:val="center"/>
              <w:rPr>
                <w:b/>
                <w:sz w:val="22"/>
              </w:rPr>
            </w:pPr>
            <w:r>
              <w:rPr>
                <w:b/>
                <w:sz w:val="22"/>
              </w:rPr>
              <w:t>Description</w:t>
            </w:r>
          </w:p>
        </w:tc>
      </w:tr>
      <w:tr>
        <w:trPr>
          <w:trHeight w:val="640" w:hRule="atLeast"/>
        </w:trPr>
        <w:tc>
          <w:tcPr>
            <w:tcW w:w="2062" w:type="dxa"/>
            <w:vMerge w:val="restart"/>
          </w:tcPr>
          <w:p>
            <w:pPr>
              <w:pStyle w:val="TableParagraph"/>
              <w:spacing w:before="0"/>
              <w:ind w:left="0"/>
              <w:rPr>
                <w:rFonts w:ascii="Times New Roman"/>
                <w:sz w:val="20"/>
              </w:rPr>
            </w:pPr>
          </w:p>
        </w:tc>
        <w:tc>
          <w:tcPr>
            <w:tcW w:w="120" w:type="dxa"/>
            <w:vMerge w:val="restart"/>
            <w:tcBorders>
              <w:bottom w:val="nil"/>
            </w:tcBorders>
          </w:tcPr>
          <w:p>
            <w:pPr>
              <w:pStyle w:val="TableParagraph"/>
              <w:spacing w:before="0"/>
              <w:ind w:left="0"/>
              <w:rPr>
                <w:rFonts w:ascii="Times New Roman"/>
                <w:sz w:val="20"/>
              </w:rPr>
            </w:pPr>
          </w:p>
        </w:tc>
        <w:tc>
          <w:tcPr>
            <w:tcW w:w="1894" w:type="dxa"/>
            <w:tcBorders>
              <w:top w:val="double" w:sz="1" w:space="0" w:color="000000"/>
            </w:tcBorders>
          </w:tcPr>
          <w:p>
            <w:pPr>
              <w:pStyle w:val="TableParagraph"/>
              <w:spacing w:before="0"/>
              <w:ind w:left="0"/>
              <w:rPr>
                <w:rFonts w:ascii="Times New Roman"/>
                <w:sz w:val="20"/>
              </w:rPr>
            </w:pPr>
          </w:p>
        </w:tc>
        <w:tc>
          <w:tcPr>
            <w:tcW w:w="6116" w:type="dxa"/>
            <w:tcBorders>
              <w:top w:val="double" w:sz="1" w:space="0" w:color="000000"/>
            </w:tcBorders>
          </w:tcPr>
          <w:p>
            <w:pPr>
              <w:pStyle w:val="TableParagraph"/>
              <w:spacing w:before="56"/>
              <w:ind w:right="220"/>
              <w:rPr>
                <w:sz w:val="22"/>
              </w:rPr>
            </w:pPr>
            <w:r>
              <w:rPr>
                <w:sz w:val="22"/>
              </w:rPr>
              <w:t>this algorithm to store new hash values, due to publically known breaks. </w:t>
            </w:r>
            <w:r>
              <w:rPr>
                <w:i/>
                <w:sz w:val="22"/>
              </w:rPr>
              <w:t>end note</w:t>
            </w:r>
            <w:r>
              <w:rPr>
                <w:sz w:val="22"/>
              </w:rPr>
              <w:t>]</w:t>
            </w:r>
          </w:p>
        </w:tc>
        <w:tc>
          <w:tcPr>
            <w:tcW w:w="120" w:type="dxa"/>
            <w:tcBorders>
              <w:bottom w:val="nil"/>
            </w:tcBorders>
          </w:tcPr>
          <w:p>
            <w:pPr>
              <w:pStyle w:val="TableParagraph"/>
              <w:spacing w:before="0"/>
              <w:ind w:left="0"/>
              <w:rPr>
                <w:rFonts w:ascii="Times New Roman"/>
                <w:sz w:val="20"/>
              </w:rPr>
            </w:pPr>
          </w:p>
        </w:tc>
      </w:tr>
      <w:tr>
        <w:trPr>
          <w:trHeight w:val="1696"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MD5</w:t>
            </w:r>
          </w:p>
        </w:tc>
        <w:tc>
          <w:tcPr>
            <w:tcW w:w="6116" w:type="dxa"/>
          </w:tcPr>
          <w:p>
            <w:pPr>
              <w:pStyle w:val="TableParagraph"/>
              <w:ind w:right="329"/>
              <w:rPr>
                <w:sz w:val="22"/>
              </w:rPr>
            </w:pPr>
            <w:r>
              <w:rPr>
                <w:sz w:val="22"/>
              </w:rPr>
              <w:t>Specifies that the MD5 algorithm, as defined by RFC 1321, shall be used.</w:t>
            </w:r>
          </w:p>
          <w:p>
            <w:pPr>
              <w:pStyle w:val="TableParagraph"/>
              <w:spacing w:before="2"/>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0"/>
              </w:rPr>
            </w:pPr>
          </w:p>
        </w:tc>
      </w:tr>
      <w:tr>
        <w:trPr>
          <w:trHeight w:val="1697"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RIPEMD-128</w:t>
            </w:r>
          </w:p>
        </w:tc>
        <w:tc>
          <w:tcPr>
            <w:tcW w:w="6116" w:type="dxa"/>
          </w:tcPr>
          <w:p>
            <w:pPr>
              <w:pStyle w:val="TableParagraph"/>
              <w:ind w:right="339"/>
              <w:rPr>
                <w:sz w:val="22"/>
              </w:rPr>
            </w:pPr>
            <w:r>
              <w:rPr>
                <w:sz w:val="22"/>
              </w:rPr>
              <w:t>Specifies that the RIPEMD-128 algorithm, as defined by ISO/IEC 10118-3:2004 shall be used.</w:t>
            </w:r>
          </w:p>
          <w:p>
            <w:pPr>
              <w:pStyle w:val="TableParagraph"/>
              <w:spacing w:before="5"/>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4"/>
              <w:rPr>
                <w:rFonts w:ascii="Consolas"/>
                <w:sz w:val="20"/>
              </w:rPr>
            </w:pPr>
            <w:r>
              <w:rPr>
                <w:rFonts w:ascii="Consolas"/>
                <w:sz w:val="20"/>
              </w:rPr>
              <w:t>RIPEMD-160</w:t>
            </w:r>
          </w:p>
        </w:tc>
        <w:tc>
          <w:tcPr>
            <w:tcW w:w="6116" w:type="dxa"/>
          </w:tcPr>
          <w:p>
            <w:pPr>
              <w:pStyle w:val="TableParagraph"/>
              <w:spacing w:line="237" w:lineRule="auto" w:before="44"/>
              <w:ind w:right="339"/>
              <w:rPr>
                <w:sz w:val="22"/>
              </w:rPr>
            </w:pPr>
            <w:r>
              <w:rPr>
                <w:sz w:val="22"/>
              </w:rPr>
              <w:t>Specifies that the RIPEMD-160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SHA-1</w:t>
            </w:r>
          </w:p>
        </w:tc>
        <w:tc>
          <w:tcPr>
            <w:tcW w:w="6116" w:type="dxa"/>
          </w:tcPr>
          <w:p>
            <w:pPr>
              <w:pStyle w:val="TableParagraph"/>
              <w:ind w:right="224"/>
              <w:rPr>
                <w:sz w:val="22"/>
              </w:rPr>
            </w:pPr>
            <w:r>
              <w:rPr>
                <w:sz w:val="22"/>
              </w:rPr>
              <w:t>Specifies that the SHA-1 algorithm, as defined by ISO/IEC 10118- 3:2004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SHA-256</w:t>
            </w:r>
          </w:p>
        </w:tc>
        <w:tc>
          <w:tcPr>
            <w:tcW w:w="6116" w:type="dxa"/>
          </w:tcPr>
          <w:p>
            <w:pPr>
              <w:pStyle w:val="TableParagraph"/>
              <w:ind w:right="689"/>
              <w:rPr>
                <w:sz w:val="22"/>
              </w:rPr>
            </w:pPr>
            <w:r>
              <w:rPr>
                <w:sz w:val="22"/>
              </w:rPr>
              <w:t>Specifies that the SHA-256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SHA-384</w:t>
            </w:r>
          </w:p>
        </w:tc>
        <w:tc>
          <w:tcPr>
            <w:tcW w:w="6116" w:type="dxa"/>
          </w:tcPr>
          <w:p>
            <w:pPr>
              <w:pStyle w:val="TableParagraph"/>
              <w:ind w:right="688"/>
              <w:rPr>
                <w:sz w:val="22"/>
              </w:rPr>
            </w:pPr>
            <w:r>
              <w:rPr>
                <w:sz w:val="22"/>
              </w:rPr>
              <w:t>Specifies that the SHA-384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1"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2"/>
              <w:rPr>
                <w:rFonts w:ascii="Consolas"/>
                <w:sz w:val="20"/>
              </w:rPr>
            </w:pPr>
            <w:r>
              <w:rPr>
                <w:rFonts w:ascii="Consolas"/>
                <w:sz w:val="20"/>
              </w:rPr>
              <w:t>SHA-512</w:t>
            </w:r>
          </w:p>
        </w:tc>
        <w:tc>
          <w:tcPr>
            <w:tcW w:w="6116" w:type="dxa"/>
          </w:tcPr>
          <w:p>
            <w:pPr>
              <w:pStyle w:val="TableParagraph"/>
              <w:ind w:right="689"/>
              <w:rPr>
                <w:sz w:val="22"/>
              </w:rPr>
            </w:pPr>
            <w:r>
              <w:rPr>
                <w:sz w:val="22"/>
              </w:rPr>
              <w:t>Specifies that the SHA-512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4"/>
              <w:rPr>
                <w:rFonts w:ascii="Consolas"/>
                <w:sz w:val="20"/>
              </w:rPr>
            </w:pPr>
            <w:r>
              <w:rPr>
                <w:rFonts w:ascii="Consolas"/>
                <w:sz w:val="20"/>
              </w:rPr>
              <w:t>WHIRLPOOL</w:t>
            </w:r>
          </w:p>
        </w:tc>
        <w:tc>
          <w:tcPr>
            <w:tcW w:w="6116" w:type="dxa"/>
          </w:tcPr>
          <w:p>
            <w:pPr>
              <w:pStyle w:val="TableParagraph"/>
              <w:spacing w:line="237" w:lineRule="auto" w:before="44"/>
              <w:ind w:right="361"/>
              <w:rPr>
                <w:sz w:val="22"/>
              </w:rPr>
            </w:pPr>
            <w:r>
              <w:rPr>
                <w:sz w:val="22"/>
              </w:rPr>
              <w:t>Specifies that the WHIRLPOOL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3513" w:hRule="atLeast"/>
        </w:trPr>
        <w:tc>
          <w:tcPr>
            <w:tcW w:w="2062" w:type="dxa"/>
            <w:vMerge/>
            <w:tcBorders>
              <w:top w:val="nil"/>
            </w:tcBorders>
          </w:tcPr>
          <w:p>
            <w:pPr>
              <w:rPr>
                <w:sz w:val="2"/>
                <w:szCs w:val="2"/>
              </w:rPr>
            </w:pPr>
          </w:p>
        </w:tc>
        <w:tc>
          <w:tcPr>
            <w:tcW w:w="8250" w:type="dxa"/>
            <w:gridSpan w:val="4"/>
          </w:tcPr>
          <w:p>
            <w:pPr>
              <w:pStyle w:val="TableParagraph"/>
              <w:spacing w:before="1"/>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 algorithmName="SHA-1" hashValue="9oN7nWkCAyEZib1RomSJTjmPpCY=" /&gt;</w:t>
            </w:r>
          </w:p>
          <w:p>
            <w:pPr>
              <w:pStyle w:val="TableParagraph"/>
              <w:spacing w:before="3"/>
              <w:ind w:left="0"/>
              <w:rPr>
                <w:rFonts w:ascii="Times New Roman"/>
                <w:sz w:val="23"/>
              </w:rPr>
            </w:pPr>
          </w:p>
          <w:p>
            <w:pPr>
              <w:pStyle w:val="TableParagraph"/>
              <w:spacing w:before="0"/>
              <w:ind w:right="910"/>
              <w:jc w:val="both"/>
              <w:rPr>
                <w:sz w:val="22"/>
              </w:rPr>
            </w:pPr>
            <w:r>
              <w:rPr>
                <w:sz w:val="22"/>
              </w:rPr>
              <w:t>The </w:t>
            </w:r>
            <w:r>
              <w:rPr>
                <w:rFonts w:ascii="Cambria" w:hAnsi="Cambria"/>
                <w:sz w:val="22"/>
              </w:rPr>
              <w:t>algorithmName </w:t>
            </w:r>
            <w:r>
              <w:rPr>
                <w:sz w:val="22"/>
              </w:rPr>
              <w:t>attribute value of </w:t>
            </w:r>
            <w:r>
              <w:rPr>
                <w:rFonts w:ascii="Consolas" w:hAnsi="Consolas"/>
                <w:sz w:val="20"/>
              </w:rPr>
              <w:t>“SHA-1”</w:t>
            </w:r>
            <w:r>
              <w:rPr>
                <w:rFonts w:ascii="Consolas" w:hAnsi="Consolas"/>
                <w:spacing w:val="-90"/>
                <w:sz w:val="20"/>
              </w:rPr>
              <w:t> </w:t>
            </w:r>
            <w:r>
              <w:rPr>
                <w:sz w:val="22"/>
              </w:rPr>
              <w:t>specifies that the SHA-1 hashing algorithm must be used to generate a hash from the user-defined password. </w:t>
            </w:r>
            <w:r>
              <w:rPr>
                <w:i/>
                <w:sz w:val="22"/>
              </w:rPr>
              <w:t>end </w:t>
            </w:r>
            <w:r>
              <w:rPr>
                <w:i/>
                <w:sz w:val="22"/>
              </w:rPr>
              <w:t>example</w:t>
            </w:r>
            <w:r>
              <w:rPr>
                <w:sz w:val="22"/>
              </w:rPr>
              <w:t>]</w:t>
            </w:r>
          </w:p>
          <w:p>
            <w:pPr>
              <w:pStyle w:val="TableParagraph"/>
              <w:spacing w:before="3"/>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spacing w:line="237" w:lineRule="auto" w:before="45"/>
              <w:ind w:right="499"/>
              <w:rPr>
                <w:sz w:val="22"/>
              </w:rPr>
            </w:pPr>
            <w:r>
              <w:rPr>
                <w:rFonts w:ascii="Cambria"/>
                <w:sz w:val="22"/>
              </w:rPr>
              <w:t>hashValue </w:t>
            </w:r>
            <w:r>
              <w:rPr>
                <w:sz w:val="22"/>
              </w:rPr>
              <w:t>(Password Hash Value)</w:t>
            </w:r>
          </w:p>
        </w:tc>
        <w:tc>
          <w:tcPr>
            <w:tcW w:w="8250" w:type="dxa"/>
            <w:gridSpan w:val="4"/>
          </w:tcPr>
          <w:p>
            <w:pPr>
              <w:pStyle w:val="TableParagraph"/>
              <w:ind w:right="91"/>
              <w:rPr>
                <w:sz w:val="22"/>
              </w:rPr>
            </w:pPr>
            <w:r>
              <w:rPr>
                <w:sz w:val="22"/>
              </w:rPr>
              <w:t>Specifies the hash value for the password required for editing this workbook. This value shall be compared with the resulting hash value after hashing the user-supplied password using the algorithm specified by the preceding attributes and parent XML element, and if</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5167"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the two values match, the protection shall no longer be enforced.</w:t>
            </w:r>
          </w:p>
          <w:p>
            <w:pPr>
              <w:pStyle w:val="TableParagraph"/>
              <w:spacing w:before="4"/>
              <w:ind w:left="0"/>
              <w:rPr>
                <w:rFonts w:ascii="Times New Roman"/>
                <w:sz w:val="23"/>
              </w:rPr>
            </w:pPr>
          </w:p>
          <w:p>
            <w:pPr>
              <w:pStyle w:val="TableParagraph"/>
              <w:spacing w:before="0"/>
              <w:ind w:right="834"/>
              <w:rPr>
                <w:sz w:val="22"/>
              </w:rPr>
            </w:pPr>
            <w:r>
              <w:rPr>
                <w:sz w:val="22"/>
              </w:rPr>
              <w:t>If this value is omitted, then the </w:t>
            </w:r>
            <w:r>
              <w:rPr>
                <w:rFonts w:ascii="Cambria"/>
                <w:sz w:val="22"/>
              </w:rPr>
              <w:t>reservationPassword </w:t>
            </w:r>
            <w:r>
              <w:rPr>
                <w:sz w:val="22"/>
              </w:rPr>
              <w:t>attribute shall contain the password hash for the</w:t>
            </w:r>
            <w:r>
              <w:rPr>
                <w:spacing w:val="-7"/>
                <w:sz w:val="22"/>
              </w:rPr>
              <w:t> </w:t>
            </w:r>
            <w:r>
              <w:rPr>
                <w:sz w:val="22"/>
              </w:rPr>
              <w:t>workbook.</w:t>
            </w:r>
          </w:p>
          <w:p>
            <w:pPr>
              <w:pStyle w:val="TableParagraph"/>
              <w:spacing w:before="2"/>
              <w:ind w:left="0"/>
              <w:rPr>
                <w:rFonts w:ascii="Times New Roman"/>
                <w:sz w:val="23"/>
              </w:rPr>
            </w:pPr>
          </w:p>
          <w:p>
            <w:pPr>
              <w:pStyle w:val="TableParagraph"/>
              <w:spacing w:before="1"/>
              <w:ind w:right="173"/>
              <w:rPr>
                <w:sz w:val="22"/>
              </w:rPr>
            </w:pPr>
            <w:r>
              <w:rPr>
                <w:sz w:val="22"/>
              </w:rPr>
              <w:t>[</w:t>
            </w:r>
            <w:r>
              <w:rPr>
                <w:i/>
                <w:sz w:val="22"/>
              </w:rPr>
              <w:t>Example</w:t>
            </w:r>
            <w:r>
              <w:rPr>
                <w:sz w:val="22"/>
              </w:rPr>
              <w:t>: Consider an Office Open XML document with the following information stored in one of its protection</w:t>
            </w:r>
            <w:r>
              <w:rPr>
                <w:spacing w:val="-7"/>
                <w:sz w:val="22"/>
              </w:rPr>
              <w:t> </w:t>
            </w:r>
            <w:r>
              <w:rPr>
                <w:sz w:val="22"/>
              </w:rPr>
              <w:t>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algorithmName="SHA-1" hashValue="9oN7nWkCAyEZib1RomSJTjmPpCY=" /&gt;</w:t>
            </w:r>
          </w:p>
          <w:p>
            <w:pPr>
              <w:pStyle w:val="TableParagraph"/>
              <w:spacing w:before="2"/>
              <w:ind w:left="0"/>
              <w:rPr>
                <w:rFonts w:ascii="Times New Roman"/>
                <w:sz w:val="23"/>
              </w:rPr>
            </w:pPr>
          </w:p>
          <w:p>
            <w:pPr>
              <w:pStyle w:val="TableParagraph"/>
              <w:spacing w:before="1"/>
              <w:ind w:right="292"/>
              <w:rPr>
                <w:sz w:val="22"/>
              </w:rPr>
            </w:pPr>
            <w:r>
              <w:rPr>
                <w:sz w:val="22"/>
              </w:rPr>
              <w:t>The </w:t>
            </w:r>
            <w:r>
              <w:rPr>
                <w:rFonts w:ascii="Cambria"/>
                <w:sz w:val="22"/>
              </w:rPr>
              <w:t>hashValue </w:t>
            </w:r>
            <w:r>
              <w:rPr>
                <w:sz w:val="22"/>
              </w:rPr>
              <w:t>attribute value of </w:t>
            </w:r>
            <w:r>
              <w:rPr>
                <w:rFonts w:ascii="Consolas"/>
                <w:sz w:val="20"/>
              </w:rPr>
              <w:t>9oN7nWkCAyEZib1RomSJTjmPpCY= </w:t>
            </w:r>
            <w:r>
              <w:rPr>
                <w:sz w:val="22"/>
              </w:rPr>
              <w:t>specifies that the user-supplied password must be hashed using the pre-processing defined by the parent element (if any) followed by the SHA-1 algorithm (specified via the </w:t>
            </w:r>
            <w:r>
              <w:rPr>
                <w:rFonts w:ascii="Cambria"/>
                <w:sz w:val="22"/>
              </w:rPr>
              <w:t>cryptAlgorithmSid </w:t>
            </w:r>
            <w:r>
              <w:rPr>
                <w:sz w:val="22"/>
              </w:rPr>
              <w:t>attribute value of </w:t>
            </w:r>
            <w:r>
              <w:rPr>
                <w:rFonts w:ascii="Consolas"/>
                <w:sz w:val="20"/>
              </w:rPr>
              <w:t>1</w:t>
            </w:r>
            <w:r>
              <w:rPr>
                <w:sz w:val="22"/>
              </w:rPr>
              <w:t>) and that the resulting has value must be </w:t>
            </w:r>
            <w:r>
              <w:rPr>
                <w:rFonts w:ascii="Consolas"/>
                <w:sz w:val="20"/>
              </w:rPr>
              <w:t>9oN7nWkCAyEZib1RomSJTjmPpCY=</w:t>
            </w:r>
            <w:r>
              <w:rPr>
                <w:rFonts w:ascii="Consolas"/>
                <w:spacing w:val="-78"/>
                <w:sz w:val="20"/>
              </w:rPr>
              <w:t> </w:t>
            </w:r>
            <w:r>
              <w:rPr>
                <w:sz w:val="22"/>
              </w:rPr>
              <w:t>for the protection to be disabled. </w:t>
            </w:r>
            <w:r>
              <w:rPr>
                <w:i/>
                <w:sz w:val="22"/>
              </w:rPr>
              <w:t>end example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1"/>
              <w:rPr>
                <w:sz w:val="22"/>
              </w:rPr>
            </w:pPr>
            <w:r>
              <w:rPr>
                <w:sz w:val="22"/>
              </w:rPr>
              <w:t>datatype.</w:t>
            </w:r>
          </w:p>
        </w:tc>
      </w:tr>
      <w:tr>
        <w:trPr>
          <w:trHeight w:val="1427" w:hRule="atLeast"/>
        </w:trPr>
        <w:tc>
          <w:tcPr>
            <w:tcW w:w="2062" w:type="dxa"/>
          </w:tcPr>
          <w:p>
            <w:pPr>
              <w:pStyle w:val="TableParagraph"/>
              <w:spacing w:line="237" w:lineRule="auto" w:before="45"/>
              <w:ind w:right="121"/>
              <w:rPr>
                <w:sz w:val="22"/>
              </w:rPr>
            </w:pPr>
            <w:r>
              <w:rPr>
                <w:rFonts w:ascii="Cambria"/>
                <w:sz w:val="22"/>
              </w:rPr>
              <w:t>readOnlyRecomme nded </w:t>
            </w:r>
            <w:r>
              <w:rPr>
                <w:sz w:val="22"/>
              </w:rPr>
              <w:t>(Read Only Recommended)</w:t>
            </w:r>
          </w:p>
        </w:tc>
        <w:tc>
          <w:tcPr>
            <w:tcW w:w="8250" w:type="dxa"/>
          </w:tcPr>
          <w:p>
            <w:pPr>
              <w:pStyle w:val="TableParagraph"/>
              <w:ind w:right="213"/>
              <w:rPr>
                <w:sz w:val="22"/>
              </w:rPr>
            </w:pPr>
            <w:r>
              <w:rPr>
                <w:sz w:val="22"/>
              </w:rPr>
              <w:t>Specifies a boolean value that indicates on open, whether the application alerts the user that the file be marked as read-only.</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5705" w:hRule="atLeast"/>
        </w:trPr>
        <w:tc>
          <w:tcPr>
            <w:tcW w:w="2062" w:type="dxa"/>
          </w:tcPr>
          <w:p>
            <w:pPr>
              <w:pStyle w:val="TableParagraph"/>
              <w:ind w:right="195"/>
              <w:rPr>
                <w:sz w:val="22"/>
              </w:rPr>
            </w:pPr>
            <w:r>
              <w:rPr>
                <w:rFonts w:ascii="Cambria"/>
                <w:sz w:val="22"/>
              </w:rPr>
              <w:t>saltValue </w:t>
            </w:r>
            <w:r>
              <w:rPr>
                <w:sz w:val="22"/>
              </w:rPr>
              <w:t>(Salt Value for Password Verifier)</w:t>
            </w:r>
          </w:p>
        </w:tc>
        <w:tc>
          <w:tcPr>
            <w:tcW w:w="8250" w:type="dxa"/>
          </w:tcPr>
          <w:p>
            <w:pPr>
              <w:pStyle w:val="TableParagraph"/>
              <w:ind w:right="106"/>
              <w:rPr>
                <w:sz w:val="22"/>
              </w:rPr>
            </w:pPr>
            <w:r>
              <w:rPr>
                <w:sz w:val="22"/>
              </w:rPr>
              <w:t>Specifies the salt that was prepended to the user-supplied password before it was hashed using the hashing algorithm defined by the preceding attribute values to generate the </w:t>
            </w:r>
            <w:r>
              <w:rPr>
                <w:rFonts w:ascii="Cambria"/>
                <w:sz w:val="22"/>
              </w:rPr>
              <w:t>hashValue </w:t>
            </w:r>
            <w:r>
              <w:rPr>
                <w:sz w:val="22"/>
              </w:rPr>
              <w:t>attribute, and that shall also be prepended to the user-supplied password before attempting to generate a hash value for comparison. A </w:t>
            </w:r>
            <w:r>
              <w:rPr>
                <w:i/>
                <w:sz w:val="22"/>
              </w:rPr>
              <w:t>salt </w:t>
            </w:r>
            <w:r>
              <w:rPr>
                <w:sz w:val="22"/>
              </w:rPr>
              <w:t>is a random string which is added to a user-supplied password before it is hashed in order to prevent a malicious party from pre-calculating all possible password/hash combinations and simply using those pre-calculated values (often referred to as a "dictionary</w:t>
            </w:r>
            <w:r>
              <w:rPr>
                <w:spacing w:val="-12"/>
                <w:sz w:val="22"/>
              </w:rPr>
              <w:t> </w:t>
            </w:r>
            <w:r>
              <w:rPr>
                <w:sz w:val="22"/>
              </w:rPr>
              <w:t>attack").</w:t>
            </w:r>
          </w:p>
          <w:p>
            <w:pPr>
              <w:pStyle w:val="TableParagraph"/>
              <w:spacing w:before="8"/>
              <w:ind w:left="0"/>
              <w:rPr>
                <w:rFonts w:ascii="Times New Roman"/>
                <w:sz w:val="23"/>
              </w:rPr>
            </w:pPr>
          </w:p>
          <w:p>
            <w:pPr>
              <w:pStyle w:val="TableParagraph"/>
              <w:spacing w:line="237" w:lineRule="auto" w:before="0"/>
              <w:ind w:right="121"/>
              <w:rPr>
                <w:sz w:val="22"/>
              </w:rPr>
            </w:pPr>
            <w:r>
              <w:rPr>
                <w:sz w:val="22"/>
              </w:rPr>
              <w:t>If this attribute is omitted, then no salt shall be prepended to the user-supplied password before it is hashed for comparison with the stored hash value.</w:t>
            </w:r>
          </w:p>
          <w:p>
            <w:pPr>
              <w:pStyle w:val="TableParagraph"/>
              <w:spacing w:before="6"/>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line="257" w:lineRule="exact" w:before="1"/>
              <w:ind w:left="403"/>
              <w:rPr>
                <w:rFonts w:ascii="Consolas" w:hAnsi="Consolas"/>
                <w:sz w:val="22"/>
              </w:rPr>
            </w:pPr>
            <w:r>
              <w:rPr>
                <w:rFonts w:ascii="Consolas" w:hAnsi="Consolas"/>
                <w:sz w:val="22"/>
              </w:rPr>
              <w:t>&lt;… saltValue="ZUdHa+D8F/OAKP3I7ssUnQ=="</w:t>
            </w:r>
          </w:p>
          <w:p>
            <w:pPr>
              <w:pStyle w:val="TableParagraph"/>
              <w:spacing w:line="257" w:lineRule="exact" w:before="0"/>
              <w:ind w:left="645"/>
              <w:rPr>
                <w:rFonts w:ascii="Consolas"/>
                <w:sz w:val="22"/>
              </w:rPr>
            </w:pPr>
            <w:r>
              <w:rPr>
                <w:rFonts w:ascii="Consolas"/>
                <w:sz w:val="22"/>
              </w:rPr>
              <w:t>hashValue="9oN7nWkCAyEZib1RomSJTjmPpCY=" /&gt;</w:t>
            </w:r>
          </w:p>
          <w:p>
            <w:pPr>
              <w:pStyle w:val="TableParagraph"/>
              <w:spacing w:before="3"/>
              <w:ind w:left="0"/>
              <w:rPr>
                <w:rFonts w:ascii="Times New Roman"/>
                <w:sz w:val="23"/>
              </w:rPr>
            </w:pPr>
          </w:p>
          <w:p>
            <w:pPr>
              <w:pStyle w:val="TableParagraph"/>
              <w:spacing w:before="0"/>
              <w:ind w:right="195"/>
              <w:rPr>
                <w:sz w:val="22"/>
              </w:rPr>
            </w:pPr>
            <w:r>
              <w:rPr>
                <w:sz w:val="22"/>
              </w:rPr>
              <w:t>The </w:t>
            </w:r>
            <w:r>
              <w:rPr>
                <w:rFonts w:ascii="Cambria"/>
                <w:sz w:val="22"/>
              </w:rPr>
              <w:t>saltValue </w:t>
            </w:r>
            <w:r>
              <w:rPr>
                <w:sz w:val="22"/>
              </w:rPr>
              <w:t>attribute value of </w:t>
            </w:r>
            <w:r>
              <w:rPr>
                <w:rFonts w:ascii="Consolas"/>
                <w:sz w:val="20"/>
              </w:rPr>
              <w:t>ZUdHa+D8F/OAKP3I7ssUnQ== </w:t>
            </w:r>
            <w:r>
              <w:rPr>
                <w:sz w:val="22"/>
              </w:rPr>
              <w:t>specifies that the user- supplied password must have this value prepended before it is run through the specified hashing algorithm to generate a resulting hash value for comparison. </w:t>
            </w:r>
            <w:r>
              <w:rPr>
                <w:i/>
                <w:sz w:val="22"/>
              </w:rPr>
              <w:t>end example</w:t>
            </w:r>
            <w:r>
              <w:rPr>
                <w:sz w:val="22"/>
              </w:rPr>
              <w: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base64Binary</w:t>
            </w:r>
          </w:p>
          <w:p>
            <w:pPr>
              <w:pStyle w:val="TableParagraph"/>
              <w:spacing w:before="0"/>
              <w:rPr>
                <w:sz w:val="22"/>
              </w:rPr>
            </w:pPr>
            <w:r>
              <w:rPr>
                <w:sz w:val="22"/>
              </w:rPr>
              <w:t>datatype.</w:t>
            </w:r>
          </w:p>
        </w:tc>
      </w:tr>
      <w:tr>
        <w:trPr>
          <w:trHeight w:val="5971" w:hRule="atLeast"/>
        </w:trPr>
        <w:tc>
          <w:tcPr>
            <w:tcW w:w="2062" w:type="dxa"/>
          </w:tcPr>
          <w:p>
            <w:pPr>
              <w:pStyle w:val="TableParagraph"/>
              <w:spacing w:line="237" w:lineRule="auto" w:before="45"/>
              <w:ind w:right="197"/>
              <w:rPr>
                <w:sz w:val="22"/>
              </w:rPr>
            </w:pPr>
            <w:r>
              <w:rPr>
                <w:rFonts w:ascii="Cambria"/>
                <w:sz w:val="22"/>
              </w:rPr>
              <w:t>spinCount </w:t>
            </w:r>
            <w:r>
              <w:rPr>
                <w:sz w:val="22"/>
              </w:rPr>
              <w:t>(Iterations to Run Hashing Algorithm)</w:t>
            </w:r>
          </w:p>
        </w:tc>
        <w:tc>
          <w:tcPr>
            <w:tcW w:w="8250" w:type="dxa"/>
          </w:tcPr>
          <w:p>
            <w:pPr>
              <w:pStyle w:val="TableParagraph"/>
              <w:ind w:right="287"/>
              <w:rPr>
                <w:sz w:val="22"/>
              </w:rPr>
            </w:pPr>
            <w:r>
              <w:rPr>
                <w:sz w:val="22"/>
              </w:rPr>
              <w:t>Specifies the number of times the hashing function shall be iteratively run (runs using each iteration's result plus a 4 byte value (0-based, little endian) containing the number of the iteration as the input for the next iteration) when attempting to compare a user- supplied password with the value stored in the </w:t>
            </w:r>
            <w:r>
              <w:rPr>
                <w:rFonts w:ascii="Cambria"/>
                <w:sz w:val="22"/>
              </w:rPr>
              <w:t>hashValue </w:t>
            </w:r>
            <w:r>
              <w:rPr>
                <w:sz w:val="22"/>
              </w:rPr>
              <w:t>attribute.</w:t>
            </w:r>
          </w:p>
          <w:p>
            <w:pPr>
              <w:pStyle w:val="TableParagraph"/>
              <w:spacing w:before="2"/>
              <w:ind w:left="0"/>
              <w:rPr>
                <w:rFonts w:ascii="Times New Roman"/>
                <w:sz w:val="23"/>
              </w:rPr>
            </w:pPr>
          </w:p>
          <w:p>
            <w:pPr>
              <w:pStyle w:val="TableParagraph"/>
              <w:spacing w:before="1"/>
              <w:ind w:right="170"/>
              <w:rPr>
                <w:sz w:val="22"/>
              </w:rPr>
            </w:pPr>
            <w:r>
              <w:rPr>
                <w:sz w:val="22"/>
              </w:rPr>
              <w:t>[</w:t>
            </w:r>
            <w:r>
              <w:rPr>
                <w:i/>
                <w:sz w:val="22"/>
              </w:rPr>
              <w:t>Rationale</w:t>
            </w:r>
            <w:r>
              <w:rPr>
                <w:sz w:val="22"/>
              </w:rPr>
              <w:t>: Running the algorithm many times increases the cost of exhaustive search attacks correspondingly. Storing this value allows for the number of iterations to be increased over time to accommodate faster hardware (and hence the ability to run more iterations in less time). </w:t>
            </w:r>
            <w:r>
              <w:rPr>
                <w:i/>
                <w:sz w:val="22"/>
              </w:rPr>
              <w:t>end rationale</w:t>
            </w:r>
            <w:r>
              <w:rPr>
                <w:sz w:val="22"/>
              </w:rPr>
              <w:t>]</w:t>
            </w:r>
          </w:p>
          <w:p>
            <w:pPr>
              <w:pStyle w:val="TableParagraph"/>
              <w:spacing w:before="5"/>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5"/>
              <w:ind w:left="0"/>
              <w:rPr>
                <w:rFonts w:ascii="Times New Roman"/>
                <w:sz w:val="23"/>
              </w:rPr>
            </w:pPr>
          </w:p>
          <w:p>
            <w:pPr>
              <w:pStyle w:val="TableParagraph"/>
              <w:spacing w:before="0"/>
              <w:ind w:left="403"/>
              <w:rPr>
                <w:rFonts w:ascii="Consolas" w:hAnsi="Consolas"/>
                <w:sz w:val="22"/>
              </w:rPr>
            </w:pPr>
            <w:r>
              <w:rPr>
                <w:rFonts w:ascii="Consolas" w:hAnsi="Consolas"/>
                <w:sz w:val="22"/>
              </w:rPr>
              <w:t>&lt;… spinCount="100000"</w:t>
            </w:r>
          </w:p>
          <w:p>
            <w:pPr>
              <w:pStyle w:val="TableParagraph"/>
              <w:spacing w:before="2"/>
              <w:ind w:left="645"/>
              <w:rPr>
                <w:rFonts w:ascii="Consolas"/>
                <w:sz w:val="22"/>
              </w:rPr>
            </w:pPr>
            <w:r>
              <w:rPr>
                <w:rFonts w:ascii="Consolas"/>
                <w:sz w:val="22"/>
              </w:rPr>
              <w:t>hashValue="9oN7nWkCAyEZib1RomSJTjmPpCY=" /&gt;</w:t>
            </w:r>
          </w:p>
          <w:p>
            <w:pPr>
              <w:pStyle w:val="TableParagraph"/>
              <w:spacing w:before="1"/>
              <w:ind w:left="0"/>
              <w:rPr>
                <w:rFonts w:ascii="Times New Roman"/>
                <w:sz w:val="23"/>
              </w:rPr>
            </w:pPr>
          </w:p>
          <w:p>
            <w:pPr>
              <w:pStyle w:val="TableParagraph"/>
              <w:spacing w:before="0"/>
              <w:ind w:right="157"/>
              <w:rPr>
                <w:sz w:val="22"/>
              </w:rPr>
            </w:pPr>
            <w:r>
              <w:rPr>
                <w:sz w:val="22"/>
              </w:rPr>
              <w:t>The </w:t>
            </w:r>
            <w:r>
              <w:rPr>
                <w:rFonts w:ascii="Cambria"/>
                <w:sz w:val="22"/>
              </w:rPr>
              <w:t>spinCount </w:t>
            </w:r>
            <w:r>
              <w:rPr>
                <w:sz w:val="22"/>
              </w:rPr>
              <w:t>attribute value of </w:t>
            </w:r>
            <w:r>
              <w:rPr>
                <w:rFonts w:ascii="Consolas"/>
                <w:sz w:val="20"/>
              </w:rPr>
              <w:t>100000</w:t>
            </w:r>
            <w:r>
              <w:rPr>
                <w:rFonts w:ascii="Consolas"/>
                <w:spacing w:val="-85"/>
                <w:sz w:val="20"/>
              </w:rPr>
              <w:t> </w:t>
            </w:r>
            <w:r>
              <w:rPr>
                <w:sz w:val="22"/>
              </w:rPr>
              <w:t>specifies that the hashing function must be run one hundred thousand times to generate a hash value for comparison with the </w:t>
            </w:r>
            <w:r>
              <w:rPr>
                <w:rFonts w:ascii="Cambria"/>
                <w:sz w:val="22"/>
              </w:rPr>
              <w:t>hashValue </w:t>
            </w:r>
            <w:r>
              <w:rPr>
                <w:sz w:val="22"/>
              </w:rPr>
              <w:t>attribute. </w:t>
            </w:r>
            <w:r>
              <w:rPr>
                <w:i/>
                <w:sz w:val="22"/>
              </w:rPr>
              <w:t>end example</w:t>
            </w:r>
            <w:r>
              <w:rPr>
                <w:sz w:val="22"/>
              </w:rPr>
              <w: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426"/>
              <w:rPr>
                <w:sz w:val="22"/>
              </w:rPr>
            </w:pPr>
            <w:r>
              <w:rPr>
                <w:rFonts w:ascii="Cambria"/>
                <w:sz w:val="22"/>
              </w:rPr>
              <w:t>userName </w:t>
            </w:r>
            <w:r>
              <w:rPr>
                <w:sz w:val="22"/>
              </w:rPr>
              <w:t>(User Name)</w:t>
            </w:r>
          </w:p>
        </w:tc>
        <w:tc>
          <w:tcPr>
            <w:tcW w:w="8250" w:type="dxa"/>
          </w:tcPr>
          <w:p>
            <w:pPr>
              <w:pStyle w:val="TableParagraph"/>
              <w:rPr>
                <w:sz w:val="22"/>
              </w:rPr>
            </w:pPr>
            <w:r>
              <w:rPr>
                <w:sz w:val="22"/>
              </w:rPr>
              <w:t>Specifies the username of the person with write reservation for this workbook.</w:t>
            </w:r>
          </w:p>
          <w:p>
            <w:pPr>
              <w:pStyle w:val="TableParagraph"/>
              <w:spacing w:before="4"/>
              <w:ind w:left="0"/>
              <w:rPr>
                <w:rFonts w:ascii="Times New Roman"/>
                <w:sz w:val="23"/>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6"/>
        <w:ind w:left="220" w:right="505"/>
      </w:pPr>
      <w:r>
        <w:rPr/>
        <w:t>[</w:t>
      </w:r>
      <w:r>
        <w:rPr>
          <w:i/>
        </w:rPr>
        <w:t>Note</w:t>
      </w:r>
      <w:r>
        <w:rPr/>
        <w:t>: The W3C XML Schema definition of this element’s content model (</w:t>
      </w:r>
      <w:r>
        <w:rPr>
          <w:color w:val="5F5F5F"/>
          <w:u w:val="single" w:color="5F5F5F"/>
        </w:rPr>
        <w:t>CT_FileSharing</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13 fileVersion (File Version)" w:id="44"/>
      <w:bookmarkEnd w:id="44"/>
      <w:r>
        <w:rPr>
          <w:b w:val="0"/>
        </w:rPr>
      </w:r>
      <w:bookmarkStart w:name="_bookmark13" w:id="45"/>
      <w:bookmarkEnd w:id="45"/>
      <w:r>
        <w:rPr>
          <w:b w:val="0"/>
        </w:rPr>
      </w:r>
      <w:bookmarkStart w:name="_bookmark13" w:id="46"/>
      <w:bookmarkEnd w:id="46"/>
      <w:r>
        <w:rPr>
          <w:color w:val="4F81BC"/>
        </w:rPr>
        <w:t>fi</w:t>
      </w:r>
      <w:r>
        <w:rPr>
          <w:color w:val="4F81BC"/>
        </w:rPr>
        <w:t>leVersion (File</w:t>
      </w:r>
      <w:r>
        <w:rPr>
          <w:color w:val="4F81BC"/>
          <w:spacing w:val="-3"/>
        </w:rPr>
        <w:t> </w:t>
      </w:r>
      <w:r>
        <w:rPr>
          <w:color w:val="4F81BC"/>
        </w:rPr>
        <w:t>Version)</w:t>
      </w:r>
    </w:p>
    <w:p>
      <w:pPr>
        <w:pStyle w:val="BodyText"/>
        <w:spacing w:line="278" w:lineRule="auto" w:before="122"/>
        <w:ind w:left="220"/>
      </w:pPr>
      <w:r>
        <w:rPr/>
        <w:t>This element defines properties that track which version of the application accessed the data and source code contained in the file.</w:t>
      </w:r>
    </w:p>
    <w:p>
      <w:pPr>
        <w:pStyle w:val="BodyText"/>
        <w:spacing w:before="3"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line="256" w:lineRule="exact" w:before="42"/>
              <w:rPr>
                <w:rFonts w:ascii="Cambria"/>
                <w:sz w:val="22"/>
              </w:rPr>
            </w:pPr>
            <w:r>
              <w:rPr>
                <w:rFonts w:ascii="Cambria"/>
                <w:sz w:val="22"/>
              </w:rPr>
              <w:t>appName</w:t>
            </w:r>
          </w:p>
          <w:p>
            <w:pPr>
              <w:pStyle w:val="TableParagraph"/>
              <w:spacing w:line="267" w:lineRule="exact" w:before="0"/>
              <w:rPr>
                <w:sz w:val="22"/>
              </w:rPr>
            </w:pPr>
            <w:r>
              <w:rPr>
                <w:sz w:val="22"/>
              </w:rPr>
              <w:t>(Application Name)</w:t>
            </w:r>
          </w:p>
        </w:tc>
        <w:tc>
          <w:tcPr>
            <w:tcW w:w="8250" w:type="dxa"/>
          </w:tcPr>
          <w:p>
            <w:pPr>
              <w:pStyle w:val="TableParagraph"/>
              <w:ind w:right="102"/>
              <w:rPr>
                <w:sz w:val="22"/>
              </w:rPr>
            </w:pPr>
            <w:r>
              <w:rPr>
                <w:sz w:val="22"/>
              </w:rPr>
              <w:t>Specifies the application name. When saving, applications can write their appName value and optionally write </w:t>
            </w:r>
            <w:r>
              <w:rPr>
                <w:rFonts w:ascii="Consolas"/>
                <w:sz w:val="20"/>
              </w:rPr>
              <w:t>lastEdited</w:t>
            </w:r>
            <w:r>
              <w:rPr>
                <w:rFonts w:ascii="Consolas"/>
                <w:spacing w:val="-59"/>
                <w:sz w:val="20"/>
              </w:rPr>
              <w:t> </w:t>
            </w:r>
            <w:r>
              <w:rPr>
                <w:sz w:val="22"/>
              </w:rPr>
              <w:t>and </w:t>
            </w:r>
            <w:r>
              <w:rPr>
                <w:rFonts w:ascii="Consolas"/>
                <w:sz w:val="20"/>
              </w:rPr>
              <w:t>lowestEdited</w:t>
            </w:r>
            <w:r>
              <w:rPr>
                <w:rFonts w:ascii="Consolas"/>
                <w:spacing w:val="-62"/>
                <w:sz w:val="20"/>
              </w:rPr>
              <w:t> </w:t>
            </w:r>
            <w:r>
              <w:rPr>
                <w:sz w:val="22"/>
              </w:rPr>
              <w:t>attributes to track the version of the application that performed those actions. When opening the workbook, applications can examine the value of </w:t>
            </w:r>
            <w:r>
              <w:rPr>
                <w:rFonts w:ascii="Consolas"/>
                <w:sz w:val="20"/>
              </w:rPr>
              <w:t>appName </w:t>
            </w:r>
            <w:r>
              <w:rPr>
                <w:sz w:val="22"/>
              </w:rPr>
              <w:t>and decide how to interpret the </w:t>
            </w:r>
            <w:r>
              <w:rPr>
                <w:rFonts w:ascii="Consolas"/>
                <w:sz w:val="20"/>
              </w:rPr>
              <w:t>lastEdited</w:t>
            </w:r>
            <w:r>
              <w:rPr>
                <w:sz w:val="22"/>
              </w:rPr>
              <w:t>, </w:t>
            </w:r>
            <w:r>
              <w:rPr>
                <w:rFonts w:ascii="Consolas"/>
                <w:sz w:val="20"/>
              </w:rPr>
              <w:t>lowestEdited</w:t>
            </w:r>
            <w:r>
              <w:rPr>
                <w:sz w:val="22"/>
              </w:rPr>
              <w:t>, and </w:t>
            </w:r>
            <w:r>
              <w:rPr>
                <w:rFonts w:ascii="Consolas"/>
                <w:sz w:val="20"/>
              </w:rPr>
              <w:t>rupBuild</w:t>
            </w:r>
            <w:r>
              <w:rPr>
                <w:rFonts w:ascii="Consolas"/>
                <w:spacing w:val="-63"/>
                <w:sz w:val="20"/>
              </w:rPr>
              <w:t> </w:t>
            </w:r>
            <w:r>
              <w:rPr>
                <w:sz w:val="22"/>
              </w:rPr>
              <w:t>attributes.</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696" w:hRule="atLeast"/>
        </w:trPr>
        <w:tc>
          <w:tcPr>
            <w:tcW w:w="2062" w:type="dxa"/>
          </w:tcPr>
          <w:p>
            <w:pPr>
              <w:pStyle w:val="TableParagraph"/>
              <w:ind w:right="352"/>
              <w:rPr>
                <w:sz w:val="22"/>
              </w:rPr>
            </w:pPr>
            <w:r>
              <w:rPr>
                <w:rFonts w:ascii="Cambria"/>
                <w:sz w:val="22"/>
              </w:rPr>
              <w:t>codeName </w:t>
            </w:r>
            <w:r>
              <w:rPr>
                <w:sz w:val="22"/>
              </w:rPr>
              <w:t>(Code Name)</w:t>
            </w:r>
          </w:p>
        </w:tc>
        <w:tc>
          <w:tcPr>
            <w:tcW w:w="8250" w:type="dxa"/>
          </w:tcPr>
          <w:p>
            <w:pPr>
              <w:pStyle w:val="TableParagraph"/>
              <w:rPr>
                <w:sz w:val="22"/>
              </w:rPr>
            </w:pPr>
            <w:r>
              <w:rPr>
                <w:sz w:val="22"/>
              </w:rPr>
              <w:t>Specifies the GUID that identifies the code project that is associated with the workbook.</w:t>
            </w:r>
          </w:p>
          <w:p>
            <w:pPr>
              <w:pStyle w:val="TableParagraph"/>
              <w:spacing w:before="2"/>
              <w:ind w:left="0"/>
              <w:rPr>
                <w:sz w:val="22"/>
              </w:rPr>
            </w:pPr>
          </w:p>
          <w:p>
            <w:pPr>
              <w:pStyle w:val="TableParagraph"/>
              <w:spacing w:line="237" w:lineRule="auto" w:before="0"/>
              <w:ind w:right="279"/>
              <w:rPr>
                <w:sz w:val="22"/>
              </w:rPr>
            </w:pPr>
            <w:r>
              <w:rPr>
                <w:sz w:val="22"/>
              </w:rPr>
              <w:t>[</w:t>
            </w:r>
            <w:r>
              <w:rPr>
                <w:i/>
                <w:sz w:val="22"/>
              </w:rPr>
              <w:t>Note</w:t>
            </w:r>
            <w:r>
              <w:rPr>
                <w:sz w:val="22"/>
              </w:rPr>
              <w:t>: the primary use of this attribute is to track the version of the compiled code. </w:t>
            </w:r>
            <w:r>
              <w:rPr>
                <w:i/>
                <w:sz w:val="22"/>
              </w:rPr>
              <w:t>end </w:t>
            </w:r>
            <w:r>
              <w:rPr>
                <w:i/>
                <w:sz w:val="22"/>
              </w:rPr>
              <w:t>note</w:t>
            </w:r>
            <w:r>
              <w:rPr>
                <w:sz w:val="22"/>
              </w:rPr>
              <w:t>]</w:t>
            </w:r>
          </w:p>
          <w:p>
            <w:pPr>
              <w:pStyle w:val="TableParagraph"/>
              <w:spacing w:before="2"/>
              <w:ind w:left="0"/>
              <w:rPr>
                <w:sz w:val="22"/>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1430" w:hRule="atLeast"/>
        </w:trPr>
        <w:tc>
          <w:tcPr>
            <w:tcW w:w="2062" w:type="dxa"/>
          </w:tcPr>
          <w:p>
            <w:pPr>
              <w:pStyle w:val="TableParagraph"/>
              <w:ind w:right="494"/>
              <w:rPr>
                <w:sz w:val="22"/>
              </w:rPr>
            </w:pPr>
            <w:r>
              <w:rPr>
                <w:rFonts w:ascii="Cambria"/>
                <w:sz w:val="22"/>
              </w:rPr>
              <w:t>lastEdited </w:t>
            </w:r>
            <w:r>
              <w:rPr>
                <w:sz w:val="22"/>
              </w:rPr>
              <w:t>(Last Edited Version)</w:t>
            </w:r>
          </w:p>
        </w:tc>
        <w:tc>
          <w:tcPr>
            <w:tcW w:w="8250" w:type="dxa"/>
          </w:tcPr>
          <w:p>
            <w:pPr>
              <w:pStyle w:val="TableParagraph"/>
              <w:ind w:right="520"/>
              <w:rPr>
                <w:sz w:val="22"/>
              </w:rPr>
            </w:pPr>
            <w:r>
              <w:rPr>
                <w:sz w:val="22"/>
              </w:rPr>
              <w:t>Specifies the version of the application that last saved the workbook. This attribute is application-dependent.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r>
        <w:trPr>
          <w:trHeight w:val="1696" w:hRule="atLeast"/>
        </w:trPr>
        <w:tc>
          <w:tcPr>
            <w:tcW w:w="2062" w:type="dxa"/>
          </w:tcPr>
          <w:p>
            <w:pPr>
              <w:pStyle w:val="TableParagraph"/>
              <w:spacing w:line="237" w:lineRule="auto" w:before="45"/>
              <w:ind w:right="593"/>
              <w:rPr>
                <w:sz w:val="22"/>
              </w:rPr>
            </w:pPr>
            <w:r>
              <w:rPr>
                <w:rFonts w:ascii="Cambria"/>
                <w:sz w:val="22"/>
              </w:rPr>
              <w:t>lowestEdited </w:t>
            </w:r>
            <w:r>
              <w:rPr>
                <w:sz w:val="22"/>
              </w:rPr>
              <w:t>(Lowest Edited Version)</w:t>
            </w:r>
          </w:p>
        </w:tc>
        <w:tc>
          <w:tcPr>
            <w:tcW w:w="8250" w:type="dxa"/>
          </w:tcPr>
          <w:p>
            <w:pPr>
              <w:pStyle w:val="TableParagraph"/>
              <w:ind w:right="151"/>
              <w:rPr>
                <w:sz w:val="22"/>
              </w:rPr>
            </w:pPr>
            <w:r>
              <w:rPr>
                <w:sz w:val="22"/>
              </w:rPr>
              <w:t>Specifies the earliest version of the application that saved the workbook. This value is reset any time an application that can read all data in the file saves the file. This attribute is application-dependent.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r>
        <w:trPr>
          <w:trHeight w:val="1430" w:hRule="atLeast"/>
        </w:trPr>
        <w:tc>
          <w:tcPr>
            <w:tcW w:w="2062" w:type="dxa"/>
          </w:tcPr>
          <w:p>
            <w:pPr>
              <w:pStyle w:val="TableParagraph"/>
              <w:ind w:right="516"/>
              <w:rPr>
                <w:sz w:val="22"/>
              </w:rPr>
            </w:pPr>
            <w:r>
              <w:rPr>
                <w:rFonts w:ascii="Cambria"/>
                <w:sz w:val="22"/>
              </w:rPr>
              <w:t>rupBuild </w:t>
            </w:r>
            <w:r>
              <w:rPr>
                <w:sz w:val="22"/>
              </w:rPr>
              <w:t>(Build Version)</w:t>
            </w:r>
          </w:p>
        </w:tc>
        <w:tc>
          <w:tcPr>
            <w:tcW w:w="8250" w:type="dxa"/>
          </w:tcPr>
          <w:p>
            <w:pPr>
              <w:pStyle w:val="TableParagraph"/>
              <w:ind w:right="617"/>
              <w:rPr>
                <w:sz w:val="22"/>
              </w:rPr>
            </w:pPr>
            <w:r>
              <w:rPr>
                <w:sz w:val="22"/>
              </w:rPr>
              <w:t>Specifies the incremental public release of the application. [</w:t>
            </w:r>
            <w:r>
              <w:rPr>
                <w:i/>
                <w:sz w:val="22"/>
              </w:rPr>
              <w:t>Example</w:t>
            </w:r>
            <w:r>
              <w:rPr>
                <w:sz w:val="22"/>
              </w:rPr>
              <w:t>: Betas, service packs, and versions. </w:t>
            </w: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6"/>
        <w:ind w:left="220" w:right="494"/>
      </w:pPr>
      <w:r>
        <w:rPr/>
        <w:t>[</w:t>
      </w:r>
      <w:r>
        <w:rPr>
          <w:i/>
        </w:rPr>
        <w:t>Note</w:t>
      </w:r>
      <w:r>
        <w:rPr/>
        <w:t>: The W3C XML Schema definition of this element’s content model (</w:t>
      </w:r>
      <w:r>
        <w:rPr>
          <w:color w:val="5F5F5F"/>
          <w:u w:val="single" w:color="5F5F5F"/>
        </w:rPr>
        <w:t>CT_FileVersion</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14 functionGroup (Function Group)" w:id="47"/>
      <w:bookmarkEnd w:id="47"/>
      <w:r>
        <w:rPr>
          <w:b w:val="0"/>
        </w:rPr>
      </w:r>
      <w:bookmarkStart w:name="_bookmark14" w:id="48"/>
      <w:bookmarkEnd w:id="48"/>
      <w:r>
        <w:rPr>
          <w:b w:val="0"/>
        </w:rPr>
      </w:r>
      <w:bookmarkStart w:name="_bookmark14" w:id="49"/>
      <w:bookmarkEnd w:id="49"/>
      <w:r>
        <w:rPr>
          <w:color w:val="4F81BC"/>
        </w:rPr>
        <w:t>f</w:t>
      </w:r>
      <w:r>
        <w:rPr>
          <w:color w:val="4F81BC"/>
        </w:rPr>
        <w:t>unctionGroup (Function</w:t>
      </w:r>
      <w:r>
        <w:rPr>
          <w:color w:val="4F81BC"/>
          <w:spacing w:val="-1"/>
        </w:rPr>
        <w:t> </w:t>
      </w:r>
      <w:r>
        <w:rPr>
          <w:color w:val="4F81BC"/>
        </w:rPr>
        <w:t>Group)</w:t>
      </w:r>
    </w:p>
    <w:p>
      <w:pPr>
        <w:pStyle w:val="BodyText"/>
        <w:spacing w:before="127"/>
        <w:ind w:left="220"/>
      </w:pPr>
      <w:r>
        <w:rPr/>
        <w:t>This element represents a single function group.</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rPr>
                <w:sz w:val="22"/>
              </w:rPr>
            </w:pPr>
            <w:r>
              <w:rPr>
                <w:rFonts w:ascii="Cambria"/>
                <w:sz w:val="22"/>
              </w:rPr>
              <w:t>name </w:t>
            </w:r>
            <w:r>
              <w:rPr>
                <w:sz w:val="22"/>
              </w:rPr>
              <w:t>(Name)</w:t>
            </w:r>
          </w:p>
        </w:tc>
        <w:tc>
          <w:tcPr>
            <w:tcW w:w="8250" w:type="dxa"/>
          </w:tcPr>
          <w:p>
            <w:pPr>
              <w:pStyle w:val="TableParagraph"/>
              <w:rPr>
                <w:sz w:val="22"/>
              </w:rPr>
            </w:pPr>
            <w:r>
              <w:rPr>
                <w:sz w:val="22"/>
              </w:rPr>
              <w:t>Specifies the name of the function group.</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CT_FunctionGroup</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1" w:footer="746" w:top="1340" w:bottom="940" w:left="860" w:right="70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2.15 functionGroups (Function Groups)" w:id="50"/>
      <w:bookmarkEnd w:id="50"/>
      <w:r>
        <w:rPr>
          <w:b w:val="0"/>
        </w:rPr>
      </w:r>
      <w:bookmarkStart w:name="_bookmark15" w:id="51"/>
      <w:bookmarkEnd w:id="51"/>
      <w:r>
        <w:rPr>
          <w:b w:val="0"/>
        </w:rPr>
      </w:r>
      <w:bookmarkStart w:name="_bookmark15" w:id="52"/>
      <w:bookmarkEnd w:id="52"/>
      <w:r>
        <w:rPr>
          <w:color w:val="4F81BC"/>
        </w:rPr>
        <w:t>f</w:t>
      </w:r>
      <w:r>
        <w:rPr>
          <w:color w:val="4F81BC"/>
        </w:rPr>
        <w:t>unctionGroups (Function</w:t>
      </w:r>
      <w:r>
        <w:rPr>
          <w:color w:val="4F81BC"/>
          <w:spacing w:val="1"/>
        </w:rPr>
        <w:t> </w:t>
      </w:r>
      <w:r>
        <w:rPr>
          <w:color w:val="4F81BC"/>
        </w:rPr>
        <w:t>Groups)</w:t>
      </w:r>
    </w:p>
    <w:p>
      <w:pPr>
        <w:pStyle w:val="BodyText"/>
        <w:spacing w:before="124"/>
        <w:ind w:left="220"/>
      </w:pPr>
      <w:r>
        <w:rPr/>
        <w:t>This element defines the collection of function groups for the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7" w:hRule="atLeast"/>
        </w:trPr>
        <w:tc>
          <w:tcPr>
            <w:tcW w:w="2062" w:type="dxa"/>
          </w:tcPr>
          <w:p>
            <w:pPr>
              <w:pStyle w:val="TableParagraph"/>
              <w:spacing w:before="42"/>
              <w:ind w:right="157"/>
              <w:rPr>
                <w:sz w:val="22"/>
              </w:rPr>
            </w:pPr>
            <w:r>
              <w:rPr>
                <w:rFonts w:ascii="Cambria"/>
                <w:sz w:val="22"/>
              </w:rPr>
              <w:t>builtInGroupCount </w:t>
            </w:r>
            <w:r>
              <w:rPr>
                <w:sz w:val="22"/>
              </w:rPr>
              <w:t>(Built-in Function Group Count)</w:t>
            </w:r>
          </w:p>
        </w:tc>
        <w:tc>
          <w:tcPr>
            <w:tcW w:w="8250" w:type="dxa"/>
          </w:tcPr>
          <w:p>
            <w:pPr>
              <w:pStyle w:val="TableParagraph"/>
              <w:ind w:right="809"/>
              <w:rPr>
                <w:sz w:val="22"/>
              </w:rPr>
            </w:pPr>
            <w:r>
              <w:rPr>
                <w:sz w:val="22"/>
              </w:rPr>
              <w:t>Specifies the count of built-in function groups that the application provides in this workbook.</w:t>
            </w:r>
          </w:p>
          <w:p>
            <w:pPr>
              <w:pStyle w:val="TableParagraph"/>
              <w:spacing w:before="0"/>
              <w:ind w:left="0"/>
              <w:rPr>
                <w:sz w:val="22"/>
              </w:rPr>
            </w:pPr>
          </w:p>
          <w:p>
            <w:pPr>
              <w:pStyle w:val="TableParagraph"/>
              <w:spacing w:before="0"/>
              <w:rPr>
                <w:sz w:val="22"/>
              </w:rPr>
            </w:pPr>
            <w:r>
              <w:rPr>
                <w:sz w:val="22"/>
              </w:rPr>
              <w:t>The default value for this attribute is 16.</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CT_FunctionGroups</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16 oleSize (Embedded Object Size)" w:id="53"/>
      <w:bookmarkEnd w:id="53"/>
      <w:r>
        <w:rPr>
          <w:b w:val="0"/>
        </w:rPr>
      </w:r>
      <w:bookmarkStart w:name="_bookmark16" w:id="54"/>
      <w:bookmarkEnd w:id="54"/>
      <w:r>
        <w:rPr>
          <w:b w:val="0"/>
        </w:rPr>
      </w:r>
      <w:bookmarkStart w:name="_bookmark16" w:id="55"/>
      <w:bookmarkEnd w:id="55"/>
      <w:r>
        <w:rPr>
          <w:color w:val="4F81BC"/>
        </w:rPr>
        <w:t>o</w:t>
      </w:r>
      <w:r>
        <w:rPr>
          <w:color w:val="4F81BC"/>
        </w:rPr>
        <w:t>leSize (Embedded Object</w:t>
      </w:r>
      <w:r>
        <w:rPr>
          <w:color w:val="4F81BC"/>
          <w:spacing w:val="-2"/>
        </w:rPr>
        <w:t> </w:t>
      </w:r>
      <w:r>
        <w:rPr>
          <w:color w:val="4F81BC"/>
        </w:rPr>
        <w:t>Size)</w:t>
      </w:r>
    </w:p>
    <w:p>
      <w:pPr>
        <w:pStyle w:val="BodyText"/>
        <w:spacing w:before="126"/>
        <w:ind w:left="220"/>
      </w:pPr>
      <w:r>
        <w:rPr/>
        <w:t>This element defines the embedded object server for this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left="0" w:right="574"/>
              <w:jc w:val="right"/>
              <w:rPr>
                <w:sz w:val="22"/>
              </w:rPr>
            </w:pPr>
            <w:r>
              <w:rPr>
                <w:rFonts w:ascii="Cambria"/>
                <w:sz w:val="22"/>
              </w:rPr>
              <w:t>ref </w:t>
            </w:r>
            <w:r>
              <w:rPr>
                <w:sz w:val="22"/>
              </w:rPr>
              <w:t>(Reference)</w:t>
            </w:r>
          </w:p>
        </w:tc>
        <w:tc>
          <w:tcPr>
            <w:tcW w:w="8250" w:type="dxa"/>
          </w:tcPr>
          <w:p>
            <w:pPr>
              <w:pStyle w:val="TableParagraph"/>
              <w:rPr>
                <w:sz w:val="22"/>
              </w:rPr>
            </w:pPr>
            <w:r>
              <w:rPr>
                <w:sz w:val="22"/>
              </w:rPr>
              <w:t>Specifies the reference for the embedded object.</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bl>
    <w:p>
      <w:pPr>
        <w:pStyle w:val="BodyText"/>
      </w:pPr>
    </w:p>
    <w:p>
      <w:pPr>
        <w:pStyle w:val="BodyText"/>
        <w:spacing w:before="5"/>
        <w:rPr>
          <w:sz w:val="19"/>
        </w:rPr>
      </w:pPr>
    </w:p>
    <w:p>
      <w:pPr>
        <w:pStyle w:val="BodyText"/>
        <w:spacing w:line="276" w:lineRule="auto"/>
        <w:ind w:left="220" w:right="831"/>
      </w:pPr>
      <w:r>
        <w:rPr/>
        <w:t>[</w:t>
      </w:r>
      <w:r>
        <w:rPr>
          <w:i/>
        </w:rPr>
        <w:t>Note</w:t>
      </w:r>
      <w:r>
        <w:rPr/>
        <w:t>: The W3C XML Schema definition of this element’s content model (</w:t>
      </w:r>
      <w:r>
        <w:rPr>
          <w:color w:val="5F5F5F"/>
          <w:u w:val="single" w:color="5F5F5F"/>
        </w:rPr>
        <w:t>CT_OleSize</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2.17 pivotCache (PivotCache)" w:id="56"/>
      <w:bookmarkEnd w:id="56"/>
      <w:r>
        <w:rPr>
          <w:b w:val="0"/>
        </w:rPr>
      </w:r>
      <w:bookmarkStart w:name="_bookmark17" w:id="57"/>
      <w:bookmarkEnd w:id="57"/>
      <w:r>
        <w:rPr>
          <w:b w:val="0"/>
        </w:rPr>
      </w:r>
      <w:bookmarkStart w:name="_bookmark17" w:id="58"/>
      <w:bookmarkEnd w:id="58"/>
      <w:r>
        <w:rPr>
          <w:color w:val="4F81BC"/>
        </w:rPr>
        <w:t>p</w:t>
      </w:r>
      <w:r>
        <w:rPr>
          <w:color w:val="4F81BC"/>
        </w:rPr>
        <w:t>ivotCache (PivotCache)</w:t>
      </w:r>
    </w:p>
    <w:p>
      <w:pPr>
        <w:pStyle w:val="BodyText"/>
        <w:spacing w:before="126"/>
        <w:ind w:left="220"/>
      </w:pPr>
      <w:r>
        <w:rPr/>
        <w:t>This element represents a cache of data for pivot tables and formulas in the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line="256" w:lineRule="exact" w:before="42"/>
              <w:rPr>
                <w:rFonts w:ascii="Cambria"/>
                <w:sz w:val="22"/>
              </w:rPr>
            </w:pPr>
            <w:r>
              <w:rPr>
                <w:rFonts w:ascii="Cambria"/>
                <w:sz w:val="22"/>
              </w:rPr>
              <w:t>cacheId</w:t>
            </w:r>
          </w:p>
          <w:p>
            <w:pPr>
              <w:pStyle w:val="TableParagraph"/>
              <w:spacing w:line="267" w:lineRule="exact" w:before="0"/>
              <w:rPr>
                <w:sz w:val="22"/>
              </w:rPr>
            </w:pPr>
            <w:r>
              <w:rPr>
                <w:sz w:val="22"/>
              </w:rPr>
              <w:t>(PivotCache Id)</w:t>
            </w:r>
          </w:p>
        </w:tc>
        <w:tc>
          <w:tcPr>
            <w:tcW w:w="8250" w:type="dxa"/>
          </w:tcPr>
          <w:p>
            <w:pPr>
              <w:pStyle w:val="TableParagraph"/>
              <w:ind w:right="435"/>
              <w:rPr>
                <w:sz w:val="22"/>
              </w:rPr>
            </w:pPr>
            <w:r>
              <w:rPr>
                <w:sz w:val="22"/>
              </w:rPr>
              <w:t>Specifies the unique identifier for the pivot cache for this workbook in the pivot cache part.</w:t>
            </w:r>
          </w:p>
          <w:p>
            <w:pPr>
              <w:pStyle w:val="TableParagraph"/>
              <w:spacing w:before="10"/>
              <w:ind w:left="0"/>
              <w:rPr>
                <w:sz w:val="21"/>
              </w:rPr>
            </w:pPr>
          </w:p>
          <w:p>
            <w:pPr>
              <w:pStyle w:val="TableParagraph"/>
              <w:spacing w:before="0"/>
              <w:rPr>
                <w:sz w:val="22"/>
              </w:rPr>
            </w:pPr>
            <w:r>
              <w:rPr>
                <w:sz w:val="22"/>
              </w:rPr>
              <w:t>This attribute is required.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462" w:hRule="atLeast"/>
        </w:trPr>
        <w:tc>
          <w:tcPr>
            <w:tcW w:w="2062" w:type="dxa"/>
            <w:tcBorders>
              <w:bottom w:val="nil"/>
            </w:tcBorders>
          </w:tcPr>
          <w:p>
            <w:pPr>
              <w:pStyle w:val="TableParagraph"/>
              <w:rPr>
                <w:sz w:val="22"/>
              </w:rPr>
            </w:pPr>
            <w:r>
              <w:rPr>
                <w:rFonts w:ascii="Cambria"/>
                <w:sz w:val="22"/>
              </w:rPr>
              <w:t>id </w:t>
            </w:r>
            <w:r>
              <w:rPr>
                <w:sz w:val="22"/>
              </w:rPr>
              <w:t>(Relationship Id)</w:t>
            </w:r>
          </w:p>
        </w:tc>
        <w:tc>
          <w:tcPr>
            <w:tcW w:w="8250" w:type="dxa"/>
            <w:tcBorders>
              <w:bottom w:val="nil"/>
            </w:tcBorders>
          </w:tcPr>
          <w:p>
            <w:pPr>
              <w:pStyle w:val="TableParagraph"/>
              <w:rPr>
                <w:sz w:val="22"/>
              </w:rPr>
            </w:pPr>
            <w:r>
              <w:rPr>
                <w:sz w:val="22"/>
              </w:rPr>
              <w:t>Specifies the identifier to a pivot cache definition part where cached data is stored.</w:t>
            </w:r>
          </w:p>
        </w:tc>
      </w:tr>
      <w:tr>
        <w:trPr>
          <w:trHeight w:val="382" w:hRule="atLeast"/>
        </w:trPr>
        <w:tc>
          <w:tcPr>
            <w:tcW w:w="2062" w:type="dxa"/>
            <w:tcBorders>
              <w:top w:val="nil"/>
              <w:bottom w:val="nil"/>
            </w:tcBorders>
          </w:tcPr>
          <w:p>
            <w:pPr>
              <w:pStyle w:val="TableParagraph"/>
              <w:spacing w:line="248" w:lineRule="exact" w:before="114"/>
              <w:rPr>
                <w:sz w:val="22"/>
              </w:rPr>
            </w:pPr>
            <w:r>
              <w:rPr>
                <w:sz w:val="22"/>
              </w:rPr>
              <w:t>Namespace:</w:t>
            </w:r>
          </w:p>
        </w:tc>
        <w:tc>
          <w:tcPr>
            <w:tcW w:w="8250" w:type="dxa"/>
            <w:tcBorders>
              <w:top w:val="nil"/>
              <w:bottom w:val="nil"/>
            </w:tcBorders>
          </w:tcPr>
          <w:p>
            <w:pPr>
              <w:pStyle w:val="TableParagraph"/>
              <w:spacing w:line="248" w:lineRule="exact" w:before="114"/>
              <w:rPr>
                <w:sz w:val="22"/>
              </w:rPr>
            </w:pPr>
            <w:r>
              <w:rPr>
                <w:sz w:val="22"/>
              </w:rPr>
              <w:t>This attribute is required.</w:t>
            </w:r>
          </w:p>
        </w:tc>
      </w:tr>
      <w:tr>
        <w:trPr>
          <w:trHeight w:val="260" w:hRule="atLeast"/>
        </w:trPr>
        <w:tc>
          <w:tcPr>
            <w:tcW w:w="2062" w:type="dxa"/>
            <w:tcBorders>
              <w:top w:val="nil"/>
              <w:bottom w:val="nil"/>
            </w:tcBorders>
          </w:tcPr>
          <w:p>
            <w:pPr>
              <w:pStyle w:val="TableParagraph"/>
              <w:spacing w:line="237" w:lineRule="exact" w:before="4"/>
              <w:rPr>
                <w:rFonts w:ascii="Cambria"/>
                <w:sz w:val="22"/>
              </w:rPr>
            </w:pPr>
            <w:hyperlink r:id="rId18">
              <w:r>
                <w:rPr>
                  <w:rFonts w:ascii="Cambria"/>
                  <w:sz w:val="22"/>
                </w:rPr>
                <w:t>http://purl.oclc.or</w:t>
              </w:r>
            </w:hyperlink>
          </w:p>
        </w:tc>
        <w:tc>
          <w:tcPr>
            <w:tcW w:w="8250" w:type="dxa"/>
            <w:tcBorders>
              <w:top w:val="nil"/>
              <w:bottom w:val="nil"/>
            </w:tcBorders>
          </w:tcPr>
          <w:p>
            <w:pPr>
              <w:pStyle w:val="TableParagraph"/>
              <w:spacing w:before="0"/>
              <w:ind w:left="0"/>
              <w:rPr>
                <w:rFonts w:ascii="Times New Roman"/>
                <w:sz w:val="18"/>
              </w:rPr>
            </w:pPr>
          </w:p>
        </w:tc>
      </w:tr>
      <w:tr>
        <w:trPr>
          <w:trHeight w:val="321" w:hRule="atLeast"/>
        </w:trPr>
        <w:tc>
          <w:tcPr>
            <w:tcW w:w="2062" w:type="dxa"/>
            <w:tcBorders>
              <w:top w:val="nil"/>
            </w:tcBorders>
          </w:tcPr>
          <w:p>
            <w:pPr>
              <w:pStyle w:val="TableParagraph"/>
              <w:spacing w:line="258" w:lineRule="exact" w:before="0"/>
              <w:rPr>
                <w:rFonts w:ascii="Cambria"/>
                <w:sz w:val="22"/>
              </w:rPr>
            </w:pPr>
            <w:r>
              <w:rPr>
                <w:rFonts w:ascii="Cambria"/>
                <w:sz w:val="22"/>
              </w:rPr>
              <w:t>g/ooxml/officeDoc</w:t>
            </w:r>
          </w:p>
        </w:tc>
        <w:tc>
          <w:tcPr>
            <w:tcW w:w="8250" w:type="dxa"/>
            <w:tcBorders>
              <w:top w:val="nil"/>
            </w:tcBorders>
          </w:tcPr>
          <w:p>
            <w:pPr>
              <w:pStyle w:val="TableParagraph"/>
              <w:spacing w:before="9"/>
              <w:rPr>
                <w:sz w:val="22"/>
              </w:rPr>
            </w:pPr>
            <w:r>
              <w:rPr>
                <w:sz w:val="22"/>
              </w:rPr>
              <w:t>The possible values for this attribute are defined by the </w:t>
            </w:r>
            <w:r>
              <w:rPr>
                <w:rFonts w:ascii="Cambria"/>
                <w:sz w:val="22"/>
              </w:rPr>
              <w:t>ST_RelationshipId </w:t>
            </w:r>
            <w:r>
              <w:rPr>
                <w:sz w:val="22"/>
              </w:rPr>
              <w:t>simple type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70" w:hRule="atLeast"/>
        </w:trPr>
        <w:tc>
          <w:tcPr>
            <w:tcW w:w="2062" w:type="dxa"/>
          </w:tcPr>
          <w:p>
            <w:pPr>
              <w:pStyle w:val="TableParagraph"/>
              <w:spacing w:before="42"/>
              <w:ind w:right="182"/>
              <w:rPr>
                <w:rFonts w:ascii="Cambria"/>
                <w:sz w:val="22"/>
              </w:rPr>
            </w:pPr>
            <w:r>
              <w:rPr>
                <w:rFonts w:ascii="Cambria"/>
                <w:sz w:val="22"/>
              </w:rPr>
              <w:t>ument/relationshi ps</w:t>
            </w:r>
          </w:p>
        </w:tc>
        <w:tc>
          <w:tcPr>
            <w:tcW w:w="8250" w:type="dxa"/>
          </w:tcPr>
          <w:p>
            <w:pPr>
              <w:pStyle w:val="TableParagraph"/>
              <w:rPr>
                <w:sz w:val="22"/>
              </w:rPr>
            </w:pPr>
            <w:r>
              <w:rPr>
                <w:sz w:val="22"/>
              </w:rPr>
              <w:t>(§22.8.2.1).</w:t>
            </w:r>
          </w:p>
        </w:tc>
      </w:tr>
    </w:tbl>
    <w:p>
      <w:pPr>
        <w:pStyle w:val="BodyText"/>
        <w:rPr>
          <w:sz w:val="20"/>
        </w:rPr>
      </w:pPr>
    </w:p>
    <w:p>
      <w:pPr>
        <w:pStyle w:val="BodyText"/>
        <w:spacing w:before="10"/>
        <w:rPr>
          <w:sz w:val="16"/>
        </w:rPr>
      </w:pPr>
    </w:p>
    <w:p>
      <w:pPr>
        <w:pStyle w:val="BodyText"/>
        <w:spacing w:line="278" w:lineRule="auto" w:before="56"/>
        <w:ind w:left="220" w:right="491"/>
      </w:pPr>
      <w:r>
        <w:rPr/>
        <w:t>[</w:t>
      </w:r>
      <w:r>
        <w:rPr>
          <w:i/>
        </w:rPr>
        <w:t>Note</w:t>
      </w:r>
      <w:r>
        <w:rPr/>
        <w:t>: The W3C XML Schema definition of this element’s content model (</w:t>
      </w:r>
      <w:r>
        <w:rPr>
          <w:color w:val="5F5F5F"/>
          <w:u w:val="single" w:color="5F5F5F"/>
        </w:rPr>
        <w:t>CT_PivotCache</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18 pivotCaches (PivotCaches)" w:id="59"/>
      <w:bookmarkEnd w:id="59"/>
      <w:r>
        <w:rPr>
          <w:b w:val="0"/>
        </w:rPr>
      </w:r>
      <w:bookmarkStart w:name="_bookmark18" w:id="60"/>
      <w:bookmarkEnd w:id="60"/>
      <w:r>
        <w:rPr>
          <w:b w:val="0"/>
        </w:rPr>
      </w:r>
      <w:bookmarkStart w:name="_bookmark18" w:id="61"/>
      <w:bookmarkEnd w:id="61"/>
      <w:r>
        <w:rPr>
          <w:color w:val="4F81BC"/>
        </w:rPr>
        <w:t>p</w:t>
      </w:r>
      <w:r>
        <w:rPr>
          <w:color w:val="4F81BC"/>
        </w:rPr>
        <w:t>ivotCaches</w:t>
      </w:r>
      <w:r>
        <w:rPr>
          <w:color w:val="4F81BC"/>
          <w:spacing w:val="1"/>
        </w:rPr>
        <w:t> </w:t>
      </w:r>
      <w:r>
        <w:rPr>
          <w:color w:val="4F81BC"/>
        </w:rPr>
        <w:t>(PivotCaches)</w:t>
      </w:r>
    </w:p>
    <w:p>
      <w:pPr>
        <w:pStyle w:val="BodyText"/>
        <w:spacing w:line="453" w:lineRule="auto" w:before="124"/>
        <w:ind w:left="220" w:right="1007"/>
      </w:pPr>
      <w:r>
        <w:rPr/>
        <w:t>This element enumerates pivot cache definition parts used by pivot tables and formulas in this workbook. [</w:t>
      </w:r>
      <w:r>
        <w:rPr>
          <w:i/>
        </w:rPr>
        <w:t>Example</w:t>
      </w:r>
      <w:r>
        <w:rPr/>
        <w:t>:</w:t>
      </w:r>
    </w:p>
    <w:p>
      <w:pPr>
        <w:pStyle w:val="BodyText"/>
        <w:spacing w:before="3"/>
        <w:ind w:left="508"/>
        <w:rPr>
          <w:rFonts w:ascii="Consolas"/>
        </w:rPr>
      </w:pPr>
      <w:r>
        <w:rPr>
          <w:rFonts w:ascii="Consolas"/>
        </w:rPr>
        <w:t>&lt;pivotCaches&gt;</w:t>
      </w:r>
    </w:p>
    <w:p>
      <w:pPr>
        <w:pStyle w:val="BodyText"/>
        <w:spacing w:before="38"/>
        <w:ind w:left="750"/>
        <w:rPr>
          <w:rFonts w:ascii="Consolas"/>
        </w:rPr>
      </w:pPr>
      <w:r>
        <w:rPr>
          <w:rFonts w:ascii="Consolas"/>
        </w:rPr>
        <w:t>&lt;pivotCache cacheId="4" r:id="rId8"/&gt;</w:t>
      </w:r>
    </w:p>
    <w:p>
      <w:pPr>
        <w:pStyle w:val="BodyText"/>
        <w:spacing w:before="40"/>
        <w:ind w:left="508"/>
        <w:rPr>
          <w:rFonts w:ascii="Consolas"/>
        </w:rPr>
      </w:pPr>
      <w:r>
        <w:rPr>
          <w:rFonts w:ascii="Consolas"/>
        </w:rPr>
        <w:t>&lt;/pivotCaches&gt;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405"/>
      </w:pPr>
      <w:r>
        <w:rPr/>
        <w:t>[</w:t>
      </w:r>
      <w:r>
        <w:rPr>
          <w:i/>
        </w:rPr>
        <w:t>Note</w:t>
      </w:r>
      <w:r>
        <w:rPr/>
        <w:t>: The W3C XML Schema definition of this element’s content model (</w:t>
      </w:r>
      <w:r>
        <w:rPr>
          <w:color w:val="5F5F5F"/>
          <w:u w:val="single" w:color="5F5F5F"/>
        </w:rPr>
        <w:t>CT_PivotCaches</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19 sheet (Sheet Information)" w:id="62"/>
      <w:bookmarkEnd w:id="62"/>
      <w:r>
        <w:rPr>
          <w:b w:val="0"/>
        </w:rPr>
      </w:r>
      <w:bookmarkStart w:name="_bookmark19" w:id="63"/>
      <w:bookmarkEnd w:id="63"/>
      <w:r>
        <w:rPr>
          <w:b w:val="0"/>
        </w:rPr>
      </w:r>
      <w:bookmarkStart w:name="_bookmark19" w:id="64"/>
      <w:bookmarkEnd w:id="64"/>
      <w:r>
        <w:rPr>
          <w:color w:val="4F81BC"/>
        </w:rPr>
        <w:t>s</w:t>
      </w:r>
      <w:r>
        <w:rPr>
          <w:color w:val="4F81BC"/>
        </w:rPr>
        <w:t>heet (Sheet</w:t>
      </w:r>
      <w:r>
        <w:rPr>
          <w:color w:val="4F81BC"/>
          <w:spacing w:val="-4"/>
        </w:rPr>
        <w:t> </w:t>
      </w:r>
      <w:r>
        <w:rPr>
          <w:color w:val="4F81BC"/>
        </w:rPr>
        <w:t>Information)</w:t>
      </w:r>
    </w:p>
    <w:p>
      <w:pPr>
        <w:pStyle w:val="BodyText"/>
        <w:spacing w:before="127"/>
        <w:ind w:left="220"/>
      </w:pPr>
      <w:r>
        <w:rPr/>
        <w:t>This element defines a sheet in this workbook. Sheet data is stored in a separate part.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190" w:hRule="atLeast"/>
        </w:trPr>
        <w:tc>
          <w:tcPr>
            <w:tcW w:w="2062" w:type="dxa"/>
          </w:tcPr>
          <w:p>
            <w:pPr>
              <w:pStyle w:val="TableParagraph"/>
              <w:rPr>
                <w:sz w:val="22"/>
              </w:rPr>
            </w:pPr>
            <w:r>
              <w:rPr>
                <w:rFonts w:ascii="Cambria"/>
                <w:sz w:val="22"/>
              </w:rPr>
              <w:t>id </w:t>
            </w:r>
            <w:r>
              <w:rPr>
                <w:sz w:val="22"/>
              </w:rPr>
              <w:t>(Relationship Id)</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spacing w:line="480" w:lineRule="auto"/>
              <w:ind w:right="579"/>
              <w:rPr>
                <w:sz w:val="22"/>
              </w:rPr>
            </w:pPr>
            <w:r>
              <w:rPr>
                <w:sz w:val="22"/>
              </w:rPr>
              <w:t>Specifies the identifier of the sheet part where the definition for this sheet is stored. This attribute is required.</w:t>
            </w: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699" w:hRule="atLeast"/>
        </w:trPr>
        <w:tc>
          <w:tcPr>
            <w:tcW w:w="2062" w:type="dxa"/>
          </w:tcPr>
          <w:p>
            <w:pPr>
              <w:pStyle w:val="TableParagraph"/>
              <w:ind w:left="68" w:right="90"/>
              <w:jc w:val="center"/>
              <w:rPr>
                <w:sz w:val="22"/>
              </w:rPr>
            </w:pPr>
            <w:r>
              <w:rPr>
                <w:rFonts w:ascii="Cambria"/>
                <w:sz w:val="22"/>
              </w:rPr>
              <w:t>name </w:t>
            </w:r>
            <w:r>
              <w:rPr>
                <w:sz w:val="22"/>
              </w:rPr>
              <w:t>(Sheet Name)</w:t>
            </w:r>
          </w:p>
        </w:tc>
        <w:tc>
          <w:tcPr>
            <w:tcW w:w="8250" w:type="dxa"/>
          </w:tcPr>
          <w:p>
            <w:pPr>
              <w:pStyle w:val="TableParagraph"/>
              <w:spacing w:line="480" w:lineRule="auto"/>
              <w:ind w:right="2811"/>
              <w:rPr>
                <w:sz w:val="22"/>
              </w:rPr>
            </w:pPr>
            <w:r>
              <w:rPr>
                <w:sz w:val="22"/>
              </w:rPr>
              <w:t>Specifies the name of the sheet. This name shall be unique. This attribute is required.</w:t>
            </w: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spacing w:line="237" w:lineRule="auto" w:before="42"/>
              <w:ind w:right="216"/>
              <w:rPr>
                <w:sz w:val="22"/>
              </w:rPr>
            </w:pPr>
            <w:r>
              <w:rPr>
                <w:rFonts w:ascii="Cambria"/>
                <w:sz w:val="22"/>
              </w:rPr>
              <w:t>sheetId </w:t>
            </w:r>
            <w:r>
              <w:rPr>
                <w:sz w:val="22"/>
              </w:rPr>
              <w:t>(Sheet Tab Id)</w:t>
            </w:r>
          </w:p>
        </w:tc>
        <w:tc>
          <w:tcPr>
            <w:tcW w:w="8250" w:type="dxa"/>
          </w:tcPr>
          <w:p>
            <w:pPr>
              <w:pStyle w:val="TableParagraph"/>
              <w:spacing w:line="477" w:lineRule="auto"/>
              <w:ind w:right="1362"/>
              <w:rPr>
                <w:sz w:val="22"/>
              </w:rPr>
            </w:pPr>
            <w:r>
              <w:rPr>
                <w:sz w:val="22"/>
              </w:rPr>
              <w:t>Specifies the internal identifier for the sheet. This identifier shall be unique. This attribute is required.</w:t>
            </w:r>
          </w:p>
        </w:tc>
      </w:tr>
    </w:tbl>
    <w:p>
      <w:pPr>
        <w:spacing w:after="0" w:line="477" w:lineRule="auto"/>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6" w:hRule="atLeast"/>
        </w:trPr>
        <w:tc>
          <w:tcPr>
            <w:tcW w:w="2062" w:type="dxa"/>
          </w:tcPr>
          <w:p>
            <w:pPr>
              <w:pStyle w:val="TableParagraph"/>
              <w:ind w:left="54" w:right="129"/>
              <w:jc w:val="center"/>
              <w:rPr>
                <w:sz w:val="22"/>
              </w:rPr>
            </w:pPr>
            <w:r>
              <w:rPr>
                <w:rFonts w:ascii="Cambria"/>
                <w:sz w:val="22"/>
              </w:rPr>
              <w:t>state </w:t>
            </w:r>
            <w:r>
              <w:rPr>
                <w:sz w:val="22"/>
              </w:rPr>
              <w:t>(Visible State)</w:t>
            </w:r>
          </w:p>
        </w:tc>
        <w:tc>
          <w:tcPr>
            <w:tcW w:w="8250" w:type="dxa"/>
          </w:tcPr>
          <w:p>
            <w:pPr>
              <w:pStyle w:val="TableParagraph"/>
              <w:rPr>
                <w:sz w:val="22"/>
              </w:rPr>
            </w:pPr>
            <w:r>
              <w:rPr>
                <w:sz w:val="22"/>
              </w:rPr>
              <w:t>Specifies the visible state of this sheet.</w:t>
            </w:r>
          </w:p>
          <w:p>
            <w:pPr>
              <w:pStyle w:val="TableParagraph"/>
              <w:spacing w:before="10"/>
              <w:ind w:left="0"/>
              <w:rPr>
                <w:sz w:val="21"/>
              </w:rPr>
            </w:pPr>
          </w:p>
          <w:p>
            <w:pPr>
              <w:pStyle w:val="TableParagraph"/>
              <w:spacing w:before="0"/>
              <w:rPr>
                <w:sz w:val="22"/>
              </w:rPr>
            </w:pPr>
            <w:r>
              <w:rPr>
                <w:sz w:val="22"/>
              </w:rPr>
              <w:t>The default value for this attribute is "visible."</w:t>
            </w:r>
          </w:p>
          <w:p>
            <w:pPr>
              <w:pStyle w:val="TableParagraph"/>
              <w:spacing w:before="0"/>
              <w:ind w:left="0"/>
              <w:rPr>
                <w:sz w:val="22"/>
              </w:rPr>
            </w:pPr>
          </w:p>
          <w:p>
            <w:pPr>
              <w:pStyle w:val="TableParagraph"/>
              <w:spacing w:before="0"/>
              <w:ind w:right="712"/>
              <w:rPr>
                <w:sz w:val="22"/>
              </w:rPr>
            </w:pPr>
            <w:r>
              <w:rPr>
                <w:sz w:val="22"/>
              </w:rPr>
              <w:t>The possible values for this attribute are defined by the </w:t>
            </w:r>
            <w:r>
              <w:rPr>
                <w:rFonts w:ascii="Cambria" w:hAnsi="Cambria"/>
                <w:sz w:val="22"/>
              </w:rPr>
              <w:t>ST_SheetState </w:t>
            </w:r>
            <w:r>
              <w:rPr>
                <w:sz w:val="22"/>
              </w:rPr>
              <w:t>simple type </w:t>
            </w:r>
            <w:hyperlink w:history="true" w:anchor="_bookmark890">
              <w:r>
                <w:rPr>
                  <w:sz w:val="22"/>
                </w:rPr>
                <w:t>(§18.18.68</w:t>
              </w:r>
            </w:hyperlink>
            <w:r>
              <w:rPr>
                <w:sz w:val="22"/>
              </w:rPr>
              <w:t>).</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CT_Sheet</w:t>
      </w:r>
      <w:r>
        <w:rPr/>
        <w:t>) is located in §A.2. </w:t>
      </w:r>
      <w:r>
        <w:rPr>
          <w:i/>
        </w:rPr>
        <w:t>end note</w:t>
      </w:r>
      <w:r>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0 sheets (Sheets)" w:id="65"/>
      <w:bookmarkEnd w:id="65"/>
      <w:r>
        <w:rPr>
          <w:b w:val="0"/>
        </w:rPr>
      </w:r>
      <w:bookmarkStart w:name="_bookmark20" w:id="66"/>
      <w:bookmarkEnd w:id="66"/>
      <w:r>
        <w:rPr>
          <w:b w:val="0"/>
        </w:rPr>
      </w:r>
      <w:bookmarkStart w:name="_bookmark20" w:id="67"/>
      <w:bookmarkEnd w:id="67"/>
      <w:r>
        <w:rPr>
          <w:color w:val="4F81BC"/>
        </w:rPr>
        <w:t>s</w:t>
      </w:r>
      <w:r>
        <w:rPr>
          <w:color w:val="4F81BC"/>
        </w:rPr>
        <w:t>heets (Sheets)</w:t>
      </w:r>
    </w:p>
    <w:p>
      <w:pPr>
        <w:pStyle w:val="BodyText"/>
        <w:spacing w:line="276" w:lineRule="auto" w:before="124"/>
        <w:ind w:left="220" w:right="524"/>
      </w:pPr>
      <w:r>
        <w:rPr/>
        <w:t>This element represents the collection of sheets in the workbook. There are different types of sheets you can create in SpreadsheetML. The most common sheet type is a worksheet; also called a spreadsheet. A worksheet is the primary document that you use in SpreadsheetML to store and work with data. A worksheet consists of cells that are organized into columns and rows.</w:t>
      </w:r>
    </w:p>
    <w:p>
      <w:pPr>
        <w:pStyle w:val="BodyText"/>
        <w:spacing w:before="4"/>
        <w:rPr>
          <w:sz w:val="16"/>
        </w:rPr>
      </w:pPr>
    </w:p>
    <w:p>
      <w:pPr>
        <w:pStyle w:val="BodyText"/>
        <w:spacing w:line="276" w:lineRule="auto"/>
        <w:ind w:left="220" w:right="587"/>
      </w:pPr>
      <w:r>
        <w:rPr/>
        <w:t>Some workbooks might have a modular design where there is one sheet for data and another worksheet for each specific analysis performed on that data. In a complex modular system, you might have dozens of sheets, each dedicated to a specific task.</w:t>
      </w:r>
    </w:p>
    <w:p>
      <w:pPr>
        <w:pStyle w:val="BodyText"/>
        <w:spacing w:before="6"/>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&lt;sheets&gt;</w:t>
      </w:r>
    </w:p>
    <w:p>
      <w:pPr>
        <w:pStyle w:val="BodyText"/>
        <w:spacing w:before="38"/>
        <w:ind w:left="750"/>
        <w:rPr>
          <w:rFonts w:ascii="Consolas"/>
        </w:rPr>
      </w:pPr>
      <w:r>
        <w:rPr>
          <w:rFonts w:ascii="Consolas"/>
        </w:rPr>
        <w:t>&lt;sheet name="Sheet1" sheetId="1"</w:t>
      </w:r>
      <w:r>
        <w:rPr>
          <w:rFonts w:ascii="Consolas"/>
          <w:spacing w:val="-33"/>
        </w:rPr>
        <w:t> </w:t>
      </w:r>
      <w:r>
        <w:rPr>
          <w:rFonts w:ascii="Consolas"/>
        </w:rPr>
        <w:t>r:id="rId1"/&gt;</w:t>
      </w:r>
    </w:p>
    <w:p>
      <w:pPr>
        <w:pStyle w:val="BodyText"/>
        <w:spacing w:before="40"/>
        <w:ind w:left="750"/>
        <w:rPr>
          <w:rFonts w:ascii="Consolas"/>
        </w:rPr>
      </w:pPr>
      <w:r>
        <w:rPr>
          <w:rFonts w:ascii="Consolas"/>
        </w:rPr>
        <w:t>&lt;sheet name="Sheet2" sheetId="2"</w:t>
      </w:r>
      <w:r>
        <w:rPr>
          <w:rFonts w:ascii="Consolas"/>
          <w:spacing w:val="-33"/>
        </w:rPr>
        <w:t> </w:t>
      </w:r>
      <w:r>
        <w:rPr>
          <w:rFonts w:ascii="Consolas"/>
        </w:rPr>
        <w:t>r:id="rId2"/&gt;</w:t>
      </w:r>
    </w:p>
    <w:p>
      <w:pPr>
        <w:pStyle w:val="BodyText"/>
        <w:spacing w:before="37"/>
        <w:ind w:left="750"/>
        <w:rPr>
          <w:rFonts w:ascii="Consolas"/>
        </w:rPr>
      </w:pPr>
      <w:r>
        <w:rPr>
          <w:rFonts w:ascii="Consolas"/>
        </w:rPr>
        <w:t>&lt;sheet name="Sheet5" sheetId="3"</w:t>
      </w:r>
      <w:r>
        <w:rPr>
          <w:rFonts w:ascii="Consolas"/>
          <w:spacing w:val="-33"/>
        </w:rPr>
        <w:t> </w:t>
      </w:r>
      <w:r>
        <w:rPr>
          <w:rFonts w:ascii="Consolas"/>
        </w:rPr>
        <w:t>r:id="rId3"/&gt;</w:t>
      </w:r>
    </w:p>
    <w:p>
      <w:pPr>
        <w:pStyle w:val="BodyText"/>
        <w:spacing w:before="40"/>
        <w:ind w:left="750"/>
        <w:rPr>
          <w:rFonts w:ascii="Consolas"/>
        </w:rPr>
      </w:pPr>
      <w:r>
        <w:rPr>
          <w:rFonts w:ascii="Consolas"/>
        </w:rPr>
        <w:t>&lt;sheet name="Chart1" sheetId="4"</w:t>
      </w:r>
      <w:r>
        <w:rPr>
          <w:rFonts w:ascii="Consolas"/>
          <w:spacing w:val="-33"/>
        </w:rPr>
        <w:t> </w:t>
      </w:r>
      <w:r>
        <w:rPr>
          <w:rFonts w:ascii="Consolas"/>
        </w:rPr>
        <w:t>r:id="rId4"/&gt;</w:t>
      </w:r>
    </w:p>
    <w:p>
      <w:pPr>
        <w:pStyle w:val="BodyText"/>
        <w:spacing w:before="38"/>
        <w:ind w:left="508"/>
        <w:rPr>
          <w:rFonts w:ascii="Consolas"/>
        </w:rPr>
      </w:pPr>
      <w:r>
        <w:rPr>
          <w:rFonts w:ascii="Consolas"/>
        </w:rPr>
        <w:t>&lt;/sheets&gt;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CT_Sheets</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2.21 smartTagPr (Smart Tag Properties" w:id="68"/>
      <w:bookmarkEnd w:id="68"/>
      <w:r>
        <w:rPr>
          <w:b w:val="0"/>
        </w:rPr>
      </w:r>
      <w:bookmarkStart w:name="_bookmark21" w:id="69"/>
      <w:bookmarkEnd w:id="69"/>
      <w:r>
        <w:rPr>
          <w:b w:val="0"/>
        </w:rPr>
      </w:r>
      <w:bookmarkStart w:name="_bookmark21" w:id="70"/>
      <w:bookmarkEnd w:id="70"/>
      <w:r>
        <w:rPr>
          <w:color w:val="4F81BC"/>
        </w:rPr>
        <w:t>s</w:t>
      </w:r>
      <w:r>
        <w:rPr>
          <w:color w:val="4F81BC"/>
        </w:rPr>
        <w:t>martTagPr (Smart Tag Properties)</w:t>
      </w:r>
    </w:p>
    <w:p>
      <w:pPr>
        <w:pStyle w:val="BodyText"/>
        <w:spacing w:line="453" w:lineRule="auto" w:before="124"/>
        <w:ind w:left="220"/>
      </w:pPr>
      <w:r>
        <w:rPr/>
        <w:t>This element defines a collection of smart tag properties that determine smart tag behavior in the workbook. [</w:t>
      </w:r>
      <w:r>
        <w:rPr>
          <w:i/>
        </w:rPr>
        <w:t>Example</w:t>
      </w:r>
      <w:r>
        <w:rPr/>
        <w:t>:</w:t>
      </w:r>
    </w:p>
    <w:p>
      <w:pPr>
        <w:pStyle w:val="BodyText"/>
        <w:spacing w:before="2"/>
        <w:ind w:left="508"/>
        <w:rPr>
          <w:rFonts w:ascii="Consolas"/>
        </w:rPr>
      </w:pPr>
      <w:r>
        <w:rPr>
          <w:rFonts w:ascii="Consolas"/>
        </w:rPr>
        <w:t>&lt;smartTagPr embed="1" show="noIndicator"/&gt;</w:t>
      </w:r>
    </w:p>
    <w:p>
      <w:pPr>
        <w:pStyle w:val="BodyText"/>
        <w:spacing w:before="5"/>
        <w:rPr>
          <w:rFonts w:ascii="Consolas"/>
          <w:sz w:val="20"/>
        </w:rPr>
      </w:pPr>
    </w:p>
    <w:p>
      <w:pPr>
        <w:spacing w:before="1"/>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78" w:hRule="atLeast"/>
        </w:trPr>
        <w:tc>
          <w:tcPr>
            <w:tcW w:w="2062" w:type="dxa"/>
          </w:tcPr>
          <w:p>
            <w:pPr>
              <w:pStyle w:val="TableParagraph"/>
              <w:ind w:right="537"/>
              <w:rPr>
                <w:sz w:val="22"/>
              </w:rPr>
            </w:pPr>
            <w:r>
              <w:rPr>
                <w:rFonts w:ascii="Cambria"/>
                <w:sz w:val="22"/>
              </w:rPr>
              <w:t>embed </w:t>
            </w:r>
            <w:r>
              <w:rPr>
                <w:sz w:val="22"/>
              </w:rPr>
              <w:t>(Embed SmartTags)</w:t>
            </w:r>
          </w:p>
        </w:tc>
        <w:tc>
          <w:tcPr>
            <w:tcW w:w="8250" w:type="dxa"/>
          </w:tcPr>
          <w:p>
            <w:pPr>
              <w:pStyle w:val="TableParagraph"/>
              <w:ind w:right="342"/>
              <w:rPr>
                <w:sz w:val="22"/>
              </w:rPr>
            </w:pPr>
            <w:r>
              <w:rPr>
                <w:sz w:val="22"/>
              </w:rPr>
              <w:t>Specifies a boolean value that indicates whether the application saves smart tags with the workbook. Smart tag information is saved both in the workbook part and the sheet parts.</w:t>
            </w:r>
          </w:p>
          <w:p>
            <w:pPr>
              <w:pStyle w:val="TableParagraph"/>
              <w:spacing w:before="0"/>
              <w:ind w:left="0"/>
              <w:rPr>
                <w:sz w:val="22"/>
              </w:rPr>
            </w:pPr>
          </w:p>
          <w:p>
            <w:pPr>
              <w:pStyle w:val="TableParagraph"/>
              <w:spacing w:before="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application saves smart tags with the workbook.</w:t>
            </w:r>
          </w:p>
          <w:p>
            <w:pPr>
              <w:pStyle w:val="TableParagraph"/>
              <w:spacing w:before="10"/>
              <w:ind w:left="0"/>
              <w:rPr>
                <w:sz w:val="21"/>
              </w:rPr>
            </w:pPr>
          </w:p>
          <w:p>
            <w:pPr>
              <w:pStyle w:val="TableParagraph"/>
              <w:spacing w:before="0"/>
              <w:ind w:right="908"/>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application does not save smart tags with the workbook.</w:t>
            </w:r>
          </w:p>
          <w:p>
            <w:pPr>
              <w:pStyle w:val="TableParagraph"/>
              <w:spacing w:before="0"/>
              <w:ind w:left="0"/>
              <w:rPr>
                <w:sz w:val="22"/>
              </w:rPr>
            </w:pPr>
          </w:p>
          <w:p>
            <w:pPr>
              <w:pStyle w:val="TableParagraph"/>
              <w:spacing w:before="1"/>
              <w:rPr>
                <w:sz w:val="22"/>
              </w:rPr>
            </w:pPr>
            <w:r>
              <w:rPr>
                <w:sz w:val="22"/>
              </w:rPr>
              <w:t>The default value for this attribute is false.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6" w:hRule="atLeast"/>
        </w:trPr>
        <w:tc>
          <w:tcPr>
            <w:tcW w:w="2062" w:type="dxa"/>
          </w:tcPr>
          <w:p>
            <w:pPr>
              <w:pStyle w:val="TableParagraph"/>
              <w:ind w:right="226"/>
              <w:rPr>
                <w:sz w:val="22"/>
              </w:rPr>
            </w:pPr>
            <w:r>
              <w:rPr>
                <w:rFonts w:ascii="Cambria"/>
                <w:sz w:val="22"/>
              </w:rPr>
              <w:t>show </w:t>
            </w:r>
            <w:r>
              <w:rPr>
                <w:sz w:val="22"/>
              </w:rPr>
              <w:t>(Show Smart Tags)</w:t>
            </w:r>
          </w:p>
        </w:tc>
        <w:tc>
          <w:tcPr>
            <w:tcW w:w="8250" w:type="dxa"/>
          </w:tcPr>
          <w:p>
            <w:pPr>
              <w:pStyle w:val="TableParagraph"/>
              <w:spacing w:line="477" w:lineRule="auto"/>
              <w:ind w:right="1841"/>
              <w:rPr>
                <w:sz w:val="22"/>
              </w:rPr>
            </w:pPr>
            <w:r>
              <w:rPr>
                <w:sz w:val="22"/>
              </w:rPr>
              <w:t>Specifies how the application displays smart tags in the user interface. The default value for this attribute is "all."</w:t>
            </w:r>
          </w:p>
          <w:p>
            <w:pPr>
              <w:pStyle w:val="TableParagraph"/>
              <w:spacing w:before="4"/>
              <w:ind w:right="275"/>
              <w:rPr>
                <w:sz w:val="22"/>
              </w:rPr>
            </w:pPr>
            <w:r>
              <w:rPr>
                <w:sz w:val="22"/>
              </w:rPr>
              <w:t>The possible values for this attribute are defined by the </w:t>
            </w:r>
            <w:r>
              <w:rPr>
                <w:rFonts w:ascii="Cambria" w:hAnsi="Cambria"/>
                <w:sz w:val="22"/>
              </w:rPr>
              <w:t>ST_SmartTagShow </w:t>
            </w:r>
            <w:r>
              <w:rPr>
                <w:sz w:val="22"/>
              </w:rPr>
              <w:t>simple type </w:t>
            </w:r>
            <w:hyperlink w:history="true" w:anchor="_bookmark893">
              <w:r>
                <w:rPr>
                  <w:sz w:val="22"/>
                </w:rPr>
                <w:t>(§18.18.71</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446"/>
      </w:pPr>
      <w:r>
        <w:rPr/>
        <w:t>[</w:t>
      </w:r>
      <w:r>
        <w:rPr>
          <w:i/>
        </w:rPr>
        <w:t>Note</w:t>
      </w:r>
      <w:r>
        <w:rPr/>
        <w:t>: The W3C XML Schema definition of this element’s content model (</w:t>
      </w:r>
      <w:r>
        <w:rPr>
          <w:color w:val="5F5F5F"/>
          <w:u w:val="single" w:color="5F5F5F"/>
        </w:rPr>
        <w:t>CT_SmartTagPr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2 smartTagType (Smart Tag Type)" w:id="71"/>
      <w:bookmarkEnd w:id="71"/>
      <w:r>
        <w:rPr>
          <w:b w:val="0"/>
        </w:rPr>
      </w:r>
      <w:bookmarkStart w:name="_bookmark22" w:id="72"/>
      <w:bookmarkEnd w:id="72"/>
      <w:r>
        <w:rPr>
          <w:b w:val="0"/>
        </w:rPr>
      </w:r>
      <w:bookmarkStart w:name="_bookmark22" w:id="73"/>
      <w:bookmarkEnd w:id="73"/>
      <w:r>
        <w:rPr>
          <w:color w:val="4F81BC"/>
        </w:rPr>
        <w:t>s</w:t>
      </w:r>
      <w:r>
        <w:rPr>
          <w:color w:val="4F81BC"/>
        </w:rPr>
        <w:t>martTagType (Smart Tag</w:t>
      </w:r>
      <w:r>
        <w:rPr>
          <w:color w:val="4F81BC"/>
          <w:spacing w:val="-3"/>
        </w:rPr>
        <w:t> </w:t>
      </w:r>
      <w:r>
        <w:rPr>
          <w:color w:val="4F81BC"/>
        </w:rPr>
        <w:t>Type)</w:t>
      </w:r>
    </w:p>
    <w:p>
      <w:pPr>
        <w:pStyle w:val="BodyText"/>
        <w:spacing w:before="125"/>
        <w:ind w:left="220"/>
      </w:pPr>
      <w:r>
        <w:rPr/>
        <w:t>This element represents a smart tag in the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name </w:t>
            </w:r>
            <w:r>
              <w:rPr>
                <w:sz w:val="22"/>
              </w:rPr>
              <w:t>(Name)</w:t>
            </w:r>
          </w:p>
        </w:tc>
        <w:tc>
          <w:tcPr>
            <w:tcW w:w="8250" w:type="dxa"/>
          </w:tcPr>
          <w:p>
            <w:pPr>
              <w:pStyle w:val="TableParagraph"/>
              <w:rPr>
                <w:sz w:val="22"/>
              </w:rPr>
            </w:pPr>
            <w:r>
              <w:rPr>
                <w:sz w:val="22"/>
              </w:rPr>
              <w:t>Specifies the element name used for a smart tag that is used by the application.</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8" w:hRule="atLeast"/>
        </w:trPr>
        <w:tc>
          <w:tcPr>
            <w:tcW w:w="2062" w:type="dxa"/>
          </w:tcPr>
          <w:p>
            <w:pPr>
              <w:pStyle w:val="TableParagraph"/>
              <w:spacing w:line="237" w:lineRule="auto" w:before="45"/>
              <w:ind w:right="442"/>
              <w:rPr>
                <w:sz w:val="22"/>
              </w:rPr>
            </w:pPr>
            <w:r>
              <w:rPr>
                <w:rFonts w:ascii="Cambria"/>
                <w:sz w:val="22"/>
              </w:rPr>
              <w:t>namespaceUri </w:t>
            </w:r>
            <w:r>
              <w:rPr>
                <w:sz w:val="22"/>
              </w:rPr>
              <w:t>(SmartTag Namespace URI)</w:t>
            </w:r>
          </w:p>
        </w:tc>
        <w:tc>
          <w:tcPr>
            <w:tcW w:w="8250" w:type="dxa"/>
          </w:tcPr>
          <w:p>
            <w:pPr>
              <w:pStyle w:val="TableParagraph"/>
              <w:ind w:right="413"/>
              <w:rPr>
                <w:sz w:val="22"/>
              </w:rPr>
            </w:pPr>
            <w:r>
              <w:rPr>
                <w:sz w:val="22"/>
              </w:rPr>
              <w:t>Specifies the namespace Uniform Resource Identifier (URI) for a smart tag used by the application.</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rPr>
                <w:sz w:val="22"/>
              </w:rPr>
            </w:pPr>
            <w:r>
              <w:rPr>
                <w:rFonts w:ascii="Cambria"/>
                <w:sz w:val="22"/>
              </w:rPr>
              <w:t>url </w:t>
            </w:r>
            <w:r>
              <w:rPr>
                <w:sz w:val="22"/>
              </w:rPr>
              <w:t>(Smart Tag URL)</w:t>
            </w:r>
          </w:p>
        </w:tc>
        <w:tc>
          <w:tcPr>
            <w:tcW w:w="8250" w:type="dxa"/>
          </w:tcPr>
          <w:p>
            <w:pPr>
              <w:pStyle w:val="TableParagraph"/>
              <w:rPr>
                <w:sz w:val="22"/>
              </w:rPr>
            </w:pPr>
            <w:r>
              <w:rPr>
                <w:sz w:val="22"/>
              </w:rPr>
              <w:t>Specifies the URL for a smart tag provided by the smart tag provider in the application.</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footerReference w:type="even" r:id="rId19"/>
          <w:footerReference w:type="default" r:id="rId20"/>
          <w:pgSz w:w="12240" w:h="15840"/>
          <w:pgMar w:footer="746" w:header="761" w:top="1340" w:bottom="940" w:left="860" w:right="700"/>
          <w:pgNumType w:start="1570"/>
        </w:sectPr>
      </w:pPr>
    </w:p>
    <w:p>
      <w:pPr>
        <w:pStyle w:val="BodyText"/>
        <w:spacing w:before="148"/>
        <w:ind w:left="220"/>
      </w:pPr>
      <w:r>
        <w:rPr/>
        <w:t>[</w:t>
      </w:r>
      <w:r>
        <w:rPr>
          <w:i/>
        </w:rPr>
        <w:t>Note</w:t>
      </w:r>
      <w:r>
        <w:rPr/>
        <w:t>: The W3C XML Schema definition of this element’s content model (</w:t>
      </w:r>
      <w:r>
        <w:rPr>
          <w:color w:val="5F5F5F"/>
          <w:u w:val="single" w:color="5F5F5F"/>
        </w:rPr>
        <w:t>CT_SmartTagType</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3 smartTagTypes (Smart Tag Types)" w:id="74"/>
      <w:bookmarkEnd w:id="74"/>
      <w:r>
        <w:rPr>
          <w:b w:val="0"/>
        </w:rPr>
      </w:r>
      <w:bookmarkStart w:name="_bookmark23" w:id="75"/>
      <w:bookmarkEnd w:id="75"/>
      <w:r>
        <w:rPr>
          <w:b w:val="0"/>
        </w:rPr>
      </w:r>
      <w:bookmarkStart w:name="_bookmark23" w:id="76"/>
      <w:bookmarkEnd w:id="76"/>
      <w:r>
        <w:rPr>
          <w:color w:val="4F81BC"/>
        </w:rPr>
        <w:t>s</w:t>
      </w:r>
      <w:r>
        <w:rPr>
          <w:color w:val="4F81BC"/>
        </w:rPr>
        <w:t>martTagTypes (Smart Tag</w:t>
      </w:r>
      <w:r>
        <w:rPr>
          <w:color w:val="4F81BC"/>
          <w:spacing w:val="-2"/>
        </w:rPr>
        <w:t> </w:t>
      </w:r>
      <w:r>
        <w:rPr>
          <w:color w:val="4F81BC"/>
        </w:rPr>
        <w:t>Types)</w:t>
      </w:r>
    </w:p>
    <w:p>
      <w:pPr>
        <w:pStyle w:val="BodyText"/>
        <w:spacing w:line="278" w:lineRule="auto" w:before="121"/>
        <w:ind w:left="220" w:right="1105"/>
      </w:pPr>
      <w:r>
        <w:rPr/>
        <w:t>This element defines the collection of smart tag types in the workbook. Smart tags represent data that is recognized and labeled as a particular type.</w:t>
      </w:r>
    </w:p>
    <w:p>
      <w:pPr>
        <w:pStyle w:val="BodyText"/>
        <w:spacing w:before="3"/>
        <w:rPr>
          <w:sz w:val="16"/>
        </w:rPr>
      </w:pPr>
    </w:p>
    <w:p>
      <w:pPr>
        <w:pStyle w:val="BodyText"/>
        <w:ind w:left="220"/>
      </w:pPr>
      <w:r>
        <w:rPr/>
        <w:t>[</w:t>
      </w:r>
      <w:r>
        <w:rPr>
          <w:i/>
        </w:rPr>
        <w:t>Example</w:t>
      </w:r>
      <w:r>
        <w:rPr/>
        <w:t>: For example, a person's name or a date can be recognized and labeled with a smart tag.</w:t>
      </w:r>
    </w:p>
    <w:p>
      <w:pPr>
        <w:pStyle w:val="BodyText"/>
        <w:spacing w:before="8"/>
        <w:rPr>
          <w:sz w:val="19"/>
        </w:rPr>
      </w:pPr>
    </w:p>
    <w:p>
      <w:pPr>
        <w:pStyle w:val="BodyText"/>
        <w:ind w:left="508"/>
        <w:rPr>
          <w:rFonts w:ascii="Consolas"/>
        </w:rPr>
      </w:pPr>
      <w:r>
        <w:rPr>
          <w:rFonts w:ascii="Consolas"/>
        </w:rPr>
        <w:t>&lt;smartTagTypes&gt;</w:t>
      </w:r>
    </w:p>
    <w:p>
      <w:pPr>
        <w:pStyle w:val="BodyText"/>
        <w:spacing w:line="278" w:lineRule="auto" w:before="38"/>
        <w:ind w:left="993" w:right="717" w:hanging="243"/>
        <w:rPr>
          <w:rFonts w:ascii="Consolas"/>
        </w:rPr>
      </w:pPr>
      <w:r>
        <w:rPr>
          <w:rFonts w:ascii="Consolas"/>
        </w:rPr>
        <w:t>&lt;smartTagType namespaceUri="urn:schemas-openxmlformats-org:office:smarttags" name="date"/&gt;</w:t>
      </w:r>
    </w:p>
    <w:p>
      <w:pPr>
        <w:pStyle w:val="BodyText"/>
        <w:spacing w:line="253" w:lineRule="exact"/>
        <w:ind w:left="508"/>
        <w:rPr>
          <w:rFonts w:ascii="Consolas"/>
        </w:rPr>
      </w:pPr>
      <w:r>
        <w:rPr>
          <w:rFonts w:ascii="Consolas"/>
        </w:rPr>
        <w:t>&lt;/smartTagTypes&gt;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CT_SmartTagTypes</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4 webPublishing (Web Publishing Pr" w:id="77"/>
      <w:bookmarkEnd w:id="77"/>
      <w:r>
        <w:rPr>
          <w:b w:val="0"/>
        </w:rPr>
      </w:r>
      <w:bookmarkStart w:name="_bookmark24" w:id="78"/>
      <w:bookmarkEnd w:id="78"/>
      <w:r>
        <w:rPr>
          <w:b w:val="0"/>
        </w:rPr>
      </w:r>
      <w:bookmarkStart w:name="_bookmark24" w:id="79"/>
      <w:bookmarkEnd w:id="79"/>
      <w:r>
        <w:rPr>
          <w:color w:val="4F81BC"/>
        </w:rPr>
        <w:t>w</w:t>
      </w:r>
      <w:r>
        <w:rPr>
          <w:color w:val="4F81BC"/>
        </w:rPr>
        <w:t>ebPublishing (Web Publishing</w:t>
      </w:r>
      <w:r>
        <w:rPr>
          <w:color w:val="4F81BC"/>
          <w:spacing w:val="-2"/>
        </w:rPr>
        <w:t> </w:t>
      </w:r>
      <w:r>
        <w:rPr>
          <w:color w:val="4F81BC"/>
        </w:rPr>
        <w:t>Properties)</w:t>
      </w:r>
    </w:p>
    <w:p>
      <w:pPr>
        <w:pStyle w:val="BodyText"/>
        <w:spacing w:before="127"/>
        <w:ind w:left="220"/>
      </w:pPr>
      <w:r>
        <w:rPr/>
        <w:t>This element defines properties that relate to publishing this workbook to the Web.</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ind w:right="429"/>
              <w:rPr>
                <w:sz w:val="22"/>
              </w:rPr>
            </w:pPr>
            <w:r>
              <w:rPr>
                <w:rFonts w:ascii="Cambria"/>
                <w:sz w:val="22"/>
              </w:rPr>
              <w:t>allowPng </w:t>
            </w:r>
            <w:r>
              <w:rPr>
                <w:sz w:val="22"/>
              </w:rPr>
              <w:t>(Allow PNG)</w:t>
            </w:r>
          </w:p>
        </w:tc>
        <w:tc>
          <w:tcPr>
            <w:tcW w:w="8250" w:type="dxa"/>
          </w:tcPr>
          <w:p>
            <w:pPr>
              <w:pStyle w:val="TableParagraph"/>
              <w:ind w:right="168"/>
              <w:rPr>
                <w:sz w:val="22"/>
              </w:rPr>
            </w:pPr>
            <w:r>
              <w:rPr>
                <w:sz w:val="22"/>
              </w:rPr>
              <w:t>Specifies a boolean value that indicates whether the application saves images in the PNG (Portable Network Graphics) graphic format.</w:t>
            </w:r>
          </w:p>
          <w:p>
            <w:pPr>
              <w:pStyle w:val="TableParagraph"/>
              <w:spacing w:before="1"/>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application supports PNG .</w:t>
            </w:r>
          </w:p>
          <w:p>
            <w:pPr>
              <w:pStyle w:val="TableParagraph"/>
              <w:spacing w:before="10"/>
              <w:ind w:left="0"/>
              <w:rPr>
                <w:sz w:val="21"/>
              </w:rPr>
            </w:pPr>
          </w:p>
          <w:p>
            <w:pPr>
              <w:pStyle w:val="TableParagraph"/>
              <w:spacing w:line="480" w:lineRule="auto" w:before="0"/>
              <w:ind w:right="189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does not support PNG. The default value for this attribute is false.</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56" w:lineRule="exact" w:before="42"/>
              <w:rPr>
                <w:rFonts w:ascii="Cambria"/>
                <w:sz w:val="22"/>
              </w:rPr>
            </w:pPr>
            <w:r>
              <w:rPr>
                <w:rFonts w:ascii="Cambria"/>
                <w:sz w:val="22"/>
              </w:rPr>
              <w:t>characterSet</w:t>
            </w:r>
          </w:p>
          <w:p>
            <w:pPr>
              <w:pStyle w:val="TableParagraph"/>
              <w:spacing w:line="267" w:lineRule="exact" w:before="0"/>
              <w:rPr>
                <w:sz w:val="22"/>
              </w:rPr>
            </w:pPr>
            <w:r>
              <w:rPr>
                <w:sz w:val="22"/>
              </w:rPr>
              <w:t>(Character Set)</w:t>
            </w:r>
          </w:p>
        </w:tc>
        <w:tc>
          <w:tcPr>
            <w:tcW w:w="8250" w:type="dxa"/>
          </w:tcPr>
          <w:p>
            <w:pPr>
              <w:pStyle w:val="TableParagraph"/>
              <w:ind w:right="307"/>
              <w:rPr>
                <w:sz w:val="22"/>
              </w:rPr>
            </w:pPr>
            <w:r>
              <w:rPr>
                <w:sz w:val="22"/>
              </w:rPr>
              <w:t>Name of the character set the application uses when a Web page is saved. The values alllowed within this attribute are names and aliases listed in the IANA CHARACTER SETS listing found at </w:t>
            </w:r>
            <w:hyperlink r:id="rId21">
              <w:r>
                <w:rPr>
                  <w:color w:val="5F5F5F"/>
                  <w:sz w:val="22"/>
                  <w:u w:val="single" w:color="5F5F5F"/>
                </w:rPr>
                <w:t>http://www.iana.org/assignments/character-sets</w:t>
              </w:r>
            </w:hyperlink>
            <w:r>
              <w:rPr>
                <w:sz w:val="22"/>
              </w:rPr>
              <w:t>.</w:t>
            </w:r>
          </w:p>
          <w:p>
            <w:pPr>
              <w:pStyle w:val="TableParagraph"/>
              <w:spacing w:before="11"/>
              <w:ind w:left="0"/>
              <w:rPr>
                <w:sz w:val="21"/>
              </w:rPr>
            </w:pPr>
          </w:p>
          <w:p>
            <w:pPr>
              <w:pStyle w:val="TableParagraph"/>
              <w:spacing w:before="0"/>
              <w:rPr>
                <w:sz w:val="22"/>
              </w:rPr>
            </w:pPr>
            <w:r>
              <w:rPr>
                <w:sz w:val="22"/>
              </w:rPr>
              <w:t>If this attribute is not present then the </w:t>
            </w:r>
            <w:r>
              <w:rPr>
                <w:rFonts w:ascii="Cambria"/>
                <w:sz w:val="22"/>
              </w:rPr>
              <w:t>codePage </w:t>
            </w:r>
            <w:r>
              <w:rPr>
                <w:sz w:val="22"/>
              </w:rPr>
              <w:t>attribute can be used.</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892" w:hRule="atLeast"/>
        </w:trPr>
        <w:tc>
          <w:tcPr>
            <w:tcW w:w="2062" w:type="dxa"/>
          </w:tcPr>
          <w:p>
            <w:pPr>
              <w:pStyle w:val="TableParagraph"/>
              <w:rPr>
                <w:sz w:val="22"/>
              </w:rPr>
            </w:pPr>
            <w:r>
              <w:rPr>
                <w:rFonts w:ascii="Cambria"/>
                <w:sz w:val="22"/>
              </w:rPr>
              <w:t>css </w:t>
            </w:r>
            <w:r>
              <w:rPr>
                <w:sz w:val="22"/>
              </w:rPr>
              <w:t>(Use CSS)</w:t>
            </w:r>
          </w:p>
        </w:tc>
        <w:tc>
          <w:tcPr>
            <w:tcW w:w="8250" w:type="dxa"/>
          </w:tcPr>
          <w:p>
            <w:pPr>
              <w:pStyle w:val="TableParagraph"/>
              <w:ind w:right="520"/>
              <w:rPr>
                <w:sz w:val="22"/>
              </w:rPr>
            </w:pPr>
            <w:r>
              <w:rPr>
                <w:sz w:val="22"/>
              </w:rPr>
              <w:t>Specifies a boolean value that indicates whether the application uses Cascading Style Sheet (CSS) for font formatting on Web pages.</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475"/>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application uses CSS for font formats in Web pages.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application does not use CSS for font formats.</w:t>
            </w:r>
          </w:p>
          <w:p>
            <w:pPr>
              <w:pStyle w:val="TableParagraph"/>
              <w:spacing w:before="1"/>
              <w:rPr>
                <w:sz w:val="22"/>
              </w:rPr>
            </w:pPr>
            <w:r>
              <w:rPr>
                <w:sz w:val="22"/>
              </w:rPr>
              <w:t>The default value for this attribute is true.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rPr>
                <w:sz w:val="22"/>
              </w:rPr>
            </w:pPr>
            <w:r>
              <w:rPr>
                <w:rFonts w:ascii="Cambria"/>
                <w:sz w:val="22"/>
              </w:rPr>
              <w:t>dpi </w:t>
            </w:r>
            <w:r>
              <w:rPr>
                <w:sz w:val="22"/>
              </w:rPr>
              <w:t>(DPI)</w:t>
            </w:r>
          </w:p>
        </w:tc>
        <w:tc>
          <w:tcPr>
            <w:tcW w:w="8250" w:type="dxa"/>
          </w:tcPr>
          <w:p>
            <w:pPr>
              <w:pStyle w:val="TableParagraph"/>
              <w:ind w:right="106"/>
              <w:rPr>
                <w:sz w:val="22"/>
              </w:rPr>
            </w:pPr>
            <w:r>
              <w:rPr>
                <w:sz w:val="22"/>
              </w:rPr>
              <w:t>Specifies the DPI (defined as the number of pixels per inch) that are used to display images in Web pages. The specified DPI affects the size of graphics relative to the size of text on the screen.</w:t>
            </w:r>
          </w:p>
          <w:p>
            <w:pPr>
              <w:pStyle w:val="TableParagraph"/>
              <w:spacing w:before="0"/>
              <w:rPr>
                <w:sz w:val="22"/>
              </w:rPr>
            </w:pPr>
            <w:r>
              <w:rPr>
                <w:sz w:val="22"/>
              </w:rPr>
              <w:t>The default value for this attribute is 96.</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8" w:hRule="atLeast"/>
        </w:trPr>
        <w:tc>
          <w:tcPr>
            <w:tcW w:w="2062" w:type="dxa"/>
          </w:tcPr>
          <w:p>
            <w:pPr>
              <w:pStyle w:val="TableParagraph"/>
              <w:spacing w:before="42"/>
              <w:ind w:right="407"/>
              <w:rPr>
                <w:sz w:val="22"/>
              </w:rPr>
            </w:pPr>
            <w:r>
              <w:rPr>
                <w:rFonts w:ascii="Cambria"/>
                <w:sz w:val="22"/>
              </w:rPr>
              <w:t>longFileNames </w:t>
            </w:r>
            <w:r>
              <w:rPr>
                <w:sz w:val="22"/>
              </w:rPr>
              <w:t>(Enable Long File Names)</w:t>
            </w:r>
          </w:p>
        </w:tc>
        <w:tc>
          <w:tcPr>
            <w:tcW w:w="8250" w:type="dxa"/>
          </w:tcPr>
          <w:p>
            <w:pPr>
              <w:pStyle w:val="TableParagraph"/>
              <w:ind w:right="187"/>
              <w:rPr>
                <w:sz w:val="22"/>
              </w:rPr>
            </w:pPr>
            <w:r>
              <w:rPr>
                <w:sz w:val="22"/>
              </w:rPr>
              <w:t>Specifies a boolean value that indicates whether the application allows file names longer than 8 octets with a three octet extension for Web pages. File names are not case- sensitive.</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spacing w:line="256" w:lineRule="exact" w:before="42"/>
              <w:rPr>
                <w:rFonts w:ascii="Cambria"/>
                <w:sz w:val="22"/>
              </w:rPr>
            </w:pPr>
            <w:r>
              <w:rPr>
                <w:rFonts w:ascii="Cambria"/>
                <w:sz w:val="22"/>
              </w:rPr>
              <w:t>targetScreenSize</w:t>
            </w:r>
          </w:p>
          <w:p>
            <w:pPr>
              <w:pStyle w:val="TableParagraph"/>
              <w:spacing w:line="267" w:lineRule="exact" w:before="0"/>
              <w:rPr>
                <w:sz w:val="22"/>
              </w:rPr>
            </w:pPr>
            <w:r>
              <w:rPr>
                <w:sz w:val="22"/>
              </w:rPr>
              <w:t>(Target Screen Size)</w:t>
            </w:r>
          </w:p>
        </w:tc>
        <w:tc>
          <w:tcPr>
            <w:tcW w:w="8250" w:type="dxa"/>
          </w:tcPr>
          <w:p>
            <w:pPr>
              <w:pStyle w:val="TableParagraph"/>
              <w:ind w:right="106"/>
              <w:rPr>
                <w:sz w:val="22"/>
              </w:rPr>
            </w:pPr>
            <w:r>
              <w:rPr>
                <w:sz w:val="22"/>
              </w:rPr>
              <w:t>Specifies the screen size on which Web pages are displayed. The specified screen size might affect the size and layout of images on web pages.</w:t>
            </w:r>
          </w:p>
          <w:p>
            <w:pPr>
              <w:pStyle w:val="TableParagraph"/>
              <w:spacing w:before="1"/>
              <w:ind w:left="0"/>
              <w:rPr>
                <w:sz w:val="22"/>
              </w:rPr>
            </w:pPr>
          </w:p>
          <w:p>
            <w:pPr>
              <w:pStyle w:val="TableParagraph"/>
              <w:spacing w:before="0"/>
              <w:rPr>
                <w:sz w:val="22"/>
              </w:rPr>
            </w:pPr>
            <w:r>
              <w:rPr>
                <w:sz w:val="22"/>
              </w:rPr>
              <w:t>The default value of this attribute is "800x600."</w:t>
            </w:r>
          </w:p>
          <w:p>
            <w:pPr>
              <w:pStyle w:val="TableParagraph"/>
              <w:spacing w:before="10"/>
              <w:ind w:left="0"/>
              <w:rPr>
                <w:sz w:val="21"/>
              </w:rPr>
            </w:pPr>
          </w:p>
          <w:p>
            <w:pPr>
              <w:pStyle w:val="TableParagraph"/>
              <w:spacing w:before="0"/>
              <w:ind w:right="521"/>
              <w:rPr>
                <w:sz w:val="22"/>
              </w:rPr>
            </w:pPr>
            <w:r>
              <w:rPr>
                <w:sz w:val="22"/>
              </w:rPr>
              <w:t>The possible values for this attribute are defined by the </w:t>
            </w:r>
            <w:r>
              <w:rPr>
                <w:rFonts w:ascii="Cambria" w:hAnsi="Cambria"/>
                <w:sz w:val="22"/>
              </w:rPr>
              <w:t>ST_TargetScreenSize </w:t>
            </w:r>
            <w:r>
              <w:rPr>
                <w:sz w:val="22"/>
              </w:rPr>
              <w:t>simple type (§</w:t>
            </w:r>
            <w:hyperlink w:history="true" w:anchor="_bookmark901">
              <w:r>
                <w:rPr>
                  <w:sz w:val="22"/>
                </w:rPr>
                <w:t>18.18.79</w:t>
              </w:r>
            </w:hyperlink>
            <w:r>
              <w:rPr>
                <w:sz w:val="22"/>
              </w:rPr>
              <w:t>).</w:t>
            </w:r>
          </w:p>
        </w:tc>
      </w:tr>
      <w:tr>
        <w:trPr>
          <w:trHeight w:val="1429" w:hRule="atLeast"/>
        </w:trPr>
        <w:tc>
          <w:tcPr>
            <w:tcW w:w="2062" w:type="dxa"/>
          </w:tcPr>
          <w:p>
            <w:pPr>
              <w:pStyle w:val="TableParagraph"/>
              <w:rPr>
                <w:sz w:val="22"/>
              </w:rPr>
            </w:pPr>
            <w:r>
              <w:rPr>
                <w:rFonts w:ascii="Cambria"/>
                <w:sz w:val="22"/>
              </w:rPr>
              <w:t>thicket </w:t>
            </w:r>
            <w:r>
              <w:rPr>
                <w:sz w:val="22"/>
              </w:rPr>
              <w:t>(Thicket)</w:t>
            </w:r>
          </w:p>
        </w:tc>
        <w:tc>
          <w:tcPr>
            <w:tcW w:w="8250" w:type="dxa"/>
          </w:tcPr>
          <w:p>
            <w:pPr>
              <w:pStyle w:val="TableParagraph"/>
              <w:ind w:right="293"/>
              <w:rPr>
                <w:sz w:val="22"/>
              </w:rPr>
            </w:pPr>
            <w:r>
              <w:rPr>
                <w:sz w:val="22"/>
              </w:rPr>
              <w:t>Specifies a boolean value that indicates that the application stores supporting files such as bullets, background textures, and graphics in a separate folder from the Web page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spacing w:line="237" w:lineRule="auto" w:before="42"/>
              <w:ind w:right="827"/>
              <w:rPr>
                <w:sz w:val="22"/>
              </w:rPr>
            </w:pPr>
            <w:r>
              <w:rPr>
                <w:rFonts w:ascii="Cambria"/>
                <w:sz w:val="22"/>
              </w:rPr>
              <w:t>vml </w:t>
            </w:r>
            <w:r>
              <w:rPr>
                <w:sz w:val="22"/>
              </w:rPr>
              <w:t>(VML in Browsers)</w:t>
            </w:r>
          </w:p>
        </w:tc>
        <w:tc>
          <w:tcPr>
            <w:tcW w:w="8250" w:type="dxa"/>
          </w:tcPr>
          <w:p>
            <w:pPr>
              <w:pStyle w:val="TableParagraph"/>
              <w:spacing w:line="237" w:lineRule="auto" w:before="42"/>
              <w:ind w:right="617"/>
              <w:rPr>
                <w:sz w:val="22"/>
              </w:rPr>
            </w:pPr>
            <w:r>
              <w:rPr>
                <w:sz w:val="22"/>
              </w:rPr>
              <w:t>Specifies a boolean value that indicates whether the application uses VML (Vector Markup Language) to display graphics in Web browsers</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CT_WebPublishing</w:t>
      </w:r>
      <w:r>
        <w:rPr/>
        <w:t>) is located in §A.2.</w:t>
      </w:r>
    </w:p>
    <w:p>
      <w:pPr>
        <w:spacing w:before="44"/>
        <w:ind w:left="220" w:right="0" w:firstLine="0"/>
        <w:jc w:val="left"/>
        <w:rPr>
          <w:sz w:val="22"/>
        </w:rPr>
      </w:pPr>
      <w:r>
        <w:rPr>
          <w:i/>
          <w:sz w:val="22"/>
        </w:rPr>
        <w:t>end note</w:t>
      </w:r>
      <w:r>
        <w:rPr>
          <w:sz w:val="22"/>
        </w:rPr>
        <w:t>]</w:t>
      </w:r>
    </w:p>
    <w:p>
      <w:pPr>
        <w:spacing w:after="0"/>
        <w:jc w:val="left"/>
        <w:rPr>
          <w:sz w:val="22"/>
        </w:rPr>
        <w:sectPr>
          <w:pgSz w:w="12240" w:h="15840"/>
          <w:pgMar w:header="761" w:footer="746" w:top="1340" w:bottom="940" w:left="860" w:right="70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2.25 webPublishObject (Web Publishing" w:id="80"/>
      <w:bookmarkEnd w:id="80"/>
      <w:r>
        <w:rPr>
          <w:b w:val="0"/>
        </w:rPr>
      </w:r>
      <w:bookmarkStart w:name="_bookmark25" w:id="81"/>
      <w:bookmarkEnd w:id="81"/>
      <w:r>
        <w:rPr>
          <w:b w:val="0"/>
        </w:rPr>
      </w:r>
      <w:bookmarkStart w:name="_bookmark25" w:id="82"/>
      <w:bookmarkEnd w:id="82"/>
      <w:r>
        <w:rPr>
          <w:color w:val="4F81BC"/>
        </w:rPr>
        <w:t>w</w:t>
      </w:r>
      <w:r>
        <w:rPr>
          <w:color w:val="4F81BC"/>
        </w:rPr>
        <w:t>ebPublishObject (Web Publishing</w:t>
      </w:r>
      <w:r>
        <w:rPr>
          <w:color w:val="4F81BC"/>
          <w:spacing w:val="-1"/>
        </w:rPr>
        <w:t> </w:t>
      </w:r>
      <w:r>
        <w:rPr>
          <w:color w:val="4F81BC"/>
        </w:rPr>
        <w:t>Object)</w:t>
      </w:r>
    </w:p>
    <w:p>
      <w:pPr>
        <w:pStyle w:val="BodyText"/>
        <w:spacing w:line="278" w:lineRule="auto" w:before="122"/>
        <w:ind w:left="220" w:right="503"/>
      </w:pPr>
      <w:r>
        <w:rPr/>
        <w:t>This element defines a single Web publishing object for the workbook. This element tracks basic information about an object in the workbook, such as a named range, that is published to the Web.</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1" w:hRule="atLeast"/>
        </w:trPr>
        <w:tc>
          <w:tcPr>
            <w:tcW w:w="2062" w:type="dxa"/>
          </w:tcPr>
          <w:p>
            <w:pPr>
              <w:pStyle w:val="TableParagraph"/>
              <w:spacing w:line="256" w:lineRule="exact" w:before="42"/>
              <w:rPr>
                <w:rFonts w:ascii="Cambria"/>
                <w:sz w:val="22"/>
              </w:rPr>
            </w:pPr>
            <w:r>
              <w:rPr>
                <w:rFonts w:ascii="Cambria"/>
                <w:sz w:val="22"/>
              </w:rPr>
              <w:t>autoRepublish</w:t>
            </w:r>
          </w:p>
          <w:p>
            <w:pPr>
              <w:pStyle w:val="TableParagraph"/>
              <w:spacing w:line="267" w:lineRule="exact" w:before="0"/>
              <w:rPr>
                <w:sz w:val="22"/>
              </w:rPr>
            </w:pPr>
            <w:r>
              <w:rPr>
                <w:sz w:val="22"/>
              </w:rPr>
              <w:t>(Auto Republish)</w:t>
            </w:r>
          </w:p>
        </w:tc>
        <w:tc>
          <w:tcPr>
            <w:tcW w:w="8250" w:type="dxa"/>
          </w:tcPr>
          <w:p>
            <w:pPr>
              <w:pStyle w:val="TableParagraph"/>
              <w:rPr>
                <w:sz w:val="22"/>
              </w:rPr>
            </w:pPr>
            <w:r>
              <w:rPr>
                <w:sz w:val="22"/>
              </w:rPr>
              <w:t>Specifies a boolean value that indicates whether the object specified in </w:t>
            </w:r>
            <w:r>
              <w:rPr>
                <w:rFonts w:ascii="Consolas"/>
                <w:sz w:val="20"/>
              </w:rPr>
              <w:t>sourceObject</w:t>
            </w:r>
            <w:r>
              <w:rPr>
                <w:rFonts w:ascii="Consolas"/>
                <w:spacing w:val="-87"/>
                <w:sz w:val="20"/>
              </w:rPr>
              <w:t> </w:t>
            </w:r>
            <w:r>
              <w:rPr>
                <w:sz w:val="22"/>
              </w:rPr>
              <w:t>is automatically published every time the workbook is saved.</w:t>
            </w:r>
          </w:p>
          <w:p>
            <w:pPr>
              <w:pStyle w:val="TableParagraph"/>
              <w:spacing w:before="0"/>
              <w:ind w:left="0"/>
              <w:rPr>
                <w:sz w:val="22"/>
              </w:rPr>
            </w:pPr>
          </w:p>
          <w:p>
            <w:pPr>
              <w:pStyle w:val="TableParagraph"/>
              <w:spacing w:before="0"/>
              <w:ind w:right="415"/>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application will publish the </w:t>
            </w:r>
            <w:r>
              <w:rPr>
                <w:rFonts w:ascii="Consolas"/>
                <w:sz w:val="20"/>
              </w:rPr>
              <w:t>sourceObject</w:t>
            </w:r>
            <w:r>
              <w:rPr>
                <w:rFonts w:ascii="Consolas"/>
                <w:spacing w:val="-61"/>
                <w:sz w:val="20"/>
              </w:rPr>
              <w:t> </w:t>
            </w:r>
            <w:r>
              <w:rPr>
                <w:sz w:val="22"/>
              </w:rPr>
              <w:t>when the workbook is saved.</w:t>
            </w:r>
          </w:p>
          <w:p>
            <w:pPr>
              <w:pStyle w:val="TableParagraph"/>
              <w:spacing w:before="11"/>
              <w:ind w:left="0"/>
              <w:rPr>
                <w:sz w:val="21"/>
              </w:rPr>
            </w:pPr>
          </w:p>
          <w:p>
            <w:pPr>
              <w:pStyle w:val="TableParagraph"/>
              <w:spacing w:before="0"/>
              <w:ind w:right="293"/>
              <w:rPr>
                <w:sz w:val="22"/>
              </w:rPr>
            </w:pPr>
            <w:r>
              <w:rPr>
                <w:sz w:val="22"/>
              </w:rPr>
              <w:t>A value of </w:t>
            </w:r>
            <w:r>
              <w:rPr>
                <w:rFonts w:ascii="Consolas"/>
                <w:sz w:val="20"/>
              </w:rPr>
              <w:t>0</w:t>
            </w:r>
            <w:r>
              <w:rPr>
                <w:rFonts w:ascii="Consolas"/>
                <w:spacing w:val="-61"/>
                <w:sz w:val="20"/>
              </w:rPr>
              <w:t> </w:t>
            </w:r>
            <w:r>
              <w:rPr>
                <w:sz w:val="22"/>
              </w:rPr>
              <w:t>or </w:t>
            </w:r>
            <w:r>
              <w:rPr>
                <w:rFonts w:ascii="Consolas"/>
                <w:sz w:val="20"/>
              </w:rPr>
              <w:t>false</w:t>
            </w:r>
            <w:r>
              <w:rPr>
                <w:rFonts w:ascii="Consolas"/>
                <w:spacing w:val="-59"/>
                <w:sz w:val="20"/>
              </w:rPr>
              <w:t> </w:t>
            </w:r>
            <w:r>
              <w:rPr>
                <w:sz w:val="22"/>
              </w:rPr>
              <w:t>indicates the application will not publish the </w:t>
            </w:r>
            <w:r>
              <w:rPr>
                <w:rFonts w:ascii="Consolas"/>
                <w:sz w:val="20"/>
              </w:rPr>
              <w:t>sourceObject</w:t>
            </w:r>
            <w:r>
              <w:rPr>
                <w:rFonts w:ascii="Consolas"/>
                <w:spacing w:val="-58"/>
                <w:sz w:val="20"/>
              </w:rPr>
              <w:t> </w:t>
            </w:r>
            <w:r>
              <w:rPr>
                <w:sz w:val="22"/>
              </w:rPr>
              <w:t>when the workbook is saved.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destinationFile</w:t>
            </w:r>
          </w:p>
          <w:p>
            <w:pPr>
              <w:pStyle w:val="TableParagraph"/>
              <w:spacing w:line="267" w:lineRule="exact" w:before="0"/>
              <w:rPr>
                <w:sz w:val="22"/>
              </w:rPr>
            </w:pPr>
            <w:r>
              <w:rPr>
                <w:sz w:val="22"/>
              </w:rPr>
              <w:t>(Destination File)</w:t>
            </w:r>
          </w:p>
        </w:tc>
        <w:tc>
          <w:tcPr>
            <w:tcW w:w="8250" w:type="dxa"/>
          </w:tcPr>
          <w:p>
            <w:pPr>
              <w:pStyle w:val="TableParagraph"/>
              <w:rPr>
                <w:sz w:val="22"/>
              </w:rPr>
            </w:pPr>
            <w:r>
              <w:rPr>
                <w:sz w:val="22"/>
              </w:rPr>
              <w:t>Specifies the destination file name to which the </w:t>
            </w:r>
            <w:r>
              <w:rPr>
                <w:rFonts w:ascii="Consolas"/>
                <w:sz w:val="20"/>
              </w:rPr>
              <w:t>sourceObject</w:t>
            </w:r>
            <w:r>
              <w:rPr>
                <w:rFonts w:ascii="Consolas"/>
                <w:spacing w:val="-66"/>
                <w:sz w:val="20"/>
              </w:rPr>
              <w:t> </w:t>
            </w:r>
            <w:r>
              <w:rPr>
                <w:sz w:val="22"/>
              </w:rPr>
              <w:t>is published.</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rPr>
                <w:sz w:val="22"/>
              </w:rPr>
            </w:pPr>
            <w:r>
              <w:rPr>
                <w:rFonts w:ascii="Cambria"/>
                <w:sz w:val="22"/>
              </w:rPr>
              <w:t>divId </w:t>
            </w:r>
            <w:r>
              <w:rPr>
                <w:sz w:val="22"/>
              </w:rPr>
              <w:t>(Div Id)</w:t>
            </w:r>
          </w:p>
        </w:tc>
        <w:tc>
          <w:tcPr>
            <w:tcW w:w="8250" w:type="dxa"/>
          </w:tcPr>
          <w:p>
            <w:pPr>
              <w:pStyle w:val="TableParagraph"/>
              <w:rPr>
                <w:sz w:val="22"/>
              </w:rPr>
            </w:pPr>
            <w:r>
              <w:rPr>
                <w:sz w:val="22"/>
              </w:rPr>
              <w:t>Specifies the destination bookmark (div id) for the published object.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rPr>
                <w:sz w:val="22"/>
              </w:rPr>
            </w:pPr>
            <w:r>
              <w:rPr>
                <w:rFonts w:ascii="Cambria"/>
                <w:sz w:val="22"/>
              </w:rPr>
              <w:t>id </w:t>
            </w:r>
            <w:r>
              <w:rPr>
                <w:sz w:val="22"/>
              </w:rPr>
              <w:t>(Id)</w:t>
            </w:r>
          </w:p>
        </w:tc>
        <w:tc>
          <w:tcPr>
            <w:tcW w:w="8250" w:type="dxa"/>
          </w:tcPr>
          <w:p>
            <w:pPr>
              <w:pStyle w:val="TableParagraph"/>
              <w:rPr>
                <w:sz w:val="22"/>
              </w:rPr>
            </w:pPr>
            <w:r>
              <w:rPr>
                <w:sz w:val="22"/>
              </w:rPr>
              <w:t>Specifies the number, in "nnnnn" format, used in generated div id, in style id's, token filenames, and other variables.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line="256" w:lineRule="exact" w:before="45"/>
              <w:rPr>
                <w:rFonts w:ascii="Cambria"/>
                <w:sz w:val="22"/>
              </w:rPr>
            </w:pPr>
            <w:r>
              <w:rPr>
                <w:rFonts w:ascii="Cambria"/>
                <w:sz w:val="22"/>
              </w:rPr>
              <w:t>sourceObject</w:t>
            </w:r>
          </w:p>
          <w:p>
            <w:pPr>
              <w:pStyle w:val="TableParagraph"/>
              <w:spacing w:line="267" w:lineRule="exact" w:before="0"/>
              <w:rPr>
                <w:sz w:val="22"/>
              </w:rPr>
            </w:pPr>
            <w:r>
              <w:rPr>
                <w:sz w:val="22"/>
              </w:rPr>
              <w:t>(Source Object)</w:t>
            </w:r>
          </w:p>
        </w:tc>
        <w:tc>
          <w:tcPr>
            <w:tcW w:w="8250" w:type="dxa"/>
          </w:tcPr>
          <w:p>
            <w:pPr>
              <w:pStyle w:val="TableParagraph"/>
              <w:spacing w:before="42"/>
              <w:rPr>
                <w:sz w:val="22"/>
              </w:rPr>
            </w:pPr>
            <w:r>
              <w:rPr>
                <w:sz w:val="22"/>
              </w:rPr>
              <w:t>Specifies the named range to be published. If omitted, the entire workbook is published.</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rPr>
                <w:sz w:val="22"/>
              </w:rPr>
            </w:pPr>
            <w:r>
              <w:rPr>
                <w:rFonts w:ascii="Cambria"/>
                <w:sz w:val="22"/>
              </w:rPr>
              <w:t>title </w:t>
            </w:r>
            <w:r>
              <w:rPr>
                <w:sz w:val="22"/>
              </w:rPr>
              <w:t>(Title)</w:t>
            </w:r>
          </w:p>
        </w:tc>
        <w:tc>
          <w:tcPr>
            <w:tcW w:w="8250" w:type="dxa"/>
          </w:tcPr>
          <w:p>
            <w:pPr>
              <w:pStyle w:val="TableParagraph"/>
              <w:rPr>
                <w:sz w:val="22"/>
              </w:rPr>
            </w:pPr>
            <w:r>
              <w:rPr>
                <w:sz w:val="22"/>
              </w:rPr>
              <w:t>Specifies the title of the published item.</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CT_WebPublishObject</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6 webPublishObjects (Web Publish O" w:id="83"/>
      <w:bookmarkEnd w:id="83"/>
      <w:r>
        <w:rPr>
          <w:b w:val="0"/>
        </w:rPr>
      </w:r>
      <w:bookmarkStart w:name="_bookmark26" w:id="84"/>
      <w:bookmarkEnd w:id="84"/>
      <w:r>
        <w:rPr>
          <w:b w:val="0"/>
        </w:rPr>
      </w:r>
      <w:bookmarkStart w:name="_bookmark26" w:id="85"/>
      <w:bookmarkEnd w:id="85"/>
      <w:r>
        <w:rPr>
          <w:color w:val="4F81BC"/>
        </w:rPr>
        <w:t>w</w:t>
      </w:r>
      <w:r>
        <w:rPr>
          <w:color w:val="4F81BC"/>
        </w:rPr>
        <w:t>ebPublishObjects (Web Publish</w:t>
      </w:r>
      <w:r>
        <w:rPr>
          <w:color w:val="4F81BC"/>
          <w:spacing w:val="-1"/>
        </w:rPr>
        <w:t> </w:t>
      </w:r>
      <w:r>
        <w:rPr>
          <w:color w:val="4F81BC"/>
        </w:rPr>
        <w:t>Objects)</w:t>
      </w:r>
    </w:p>
    <w:p>
      <w:pPr>
        <w:pStyle w:val="BodyText"/>
        <w:spacing w:before="126"/>
        <w:ind w:left="220"/>
      </w:pPr>
      <w:r>
        <w:rPr/>
        <w:t>This element defines the collection of Web publishing objects in the workbook.</w:t>
      </w:r>
    </w:p>
    <w:p>
      <w:pPr>
        <w:spacing w:after="0"/>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count </w:t>
            </w:r>
            <w:r>
              <w:rPr>
                <w:sz w:val="22"/>
              </w:rPr>
              <w:t>(Count)</w:t>
            </w:r>
          </w:p>
        </w:tc>
        <w:tc>
          <w:tcPr>
            <w:tcW w:w="8250" w:type="dxa"/>
          </w:tcPr>
          <w:p>
            <w:pPr>
              <w:pStyle w:val="TableParagraph"/>
              <w:rPr>
                <w:sz w:val="22"/>
              </w:rPr>
            </w:pPr>
            <w:r>
              <w:rPr>
                <w:sz w:val="22"/>
              </w:rPr>
              <w:t>Specifies the number of items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CT_WebPublishObjects</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7 workbook (Workbook)" w:id="86"/>
      <w:bookmarkEnd w:id="86"/>
      <w:r>
        <w:rPr>
          <w:b w:val="0"/>
        </w:rPr>
      </w:r>
      <w:bookmarkStart w:name="_bookmark27" w:id="87"/>
      <w:bookmarkEnd w:id="87"/>
      <w:r>
        <w:rPr>
          <w:b w:val="0"/>
        </w:rPr>
      </w:r>
      <w:bookmarkStart w:name="_bookmark27" w:id="88"/>
      <w:bookmarkEnd w:id="88"/>
      <w:r>
        <w:rPr>
          <w:color w:val="4F81BC"/>
        </w:rPr>
        <w:t>w</w:t>
      </w:r>
      <w:r>
        <w:rPr>
          <w:color w:val="4F81BC"/>
        </w:rPr>
        <w:t>orkbook (Workbook)</w:t>
      </w:r>
    </w:p>
    <w:p>
      <w:pPr>
        <w:pStyle w:val="BodyText"/>
        <w:spacing w:line="276" w:lineRule="auto" w:before="124"/>
        <w:ind w:left="220" w:right="558"/>
      </w:pPr>
      <w:r>
        <w:rPr/>
        <w:t>The </w:t>
      </w:r>
      <w:r>
        <w:rPr>
          <w:rFonts w:ascii="Cambria"/>
        </w:rPr>
        <w:t>workbook </w:t>
      </w:r>
      <w:r>
        <w:rPr/>
        <w:t>element is the top level element. It contains elements and attributes that encompass the data content of the workbook. The workbook's child elements each have their own subclause references, and these are shown in the child elements table below. A partial list of the workbook's structures that these elements represent are:</w:t>
      </w:r>
    </w:p>
    <w:p>
      <w:pPr>
        <w:pStyle w:val="BodyText"/>
        <w:spacing w:before="5"/>
        <w:rPr>
          <w:sz w:val="16"/>
        </w:rPr>
      </w:pPr>
    </w:p>
    <w:p>
      <w:pPr>
        <w:pStyle w:val="ListParagraph"/>
        <w:numPr>
          <w:ilvl w:val="3"/>
          <w:numId w:val="17"/>
        </w:numPr>
        <w:tabs>
          <w:tab w:pos="940" w:val="left" w:leader="none"/>
          <w:tab w:pos="941" w:val="left" w:leader="none"/>
        </w:tabs>
        <w:spacing w:line="273" w:lineRule="auto" w:before="1" w:after="0"/>
        <w:ind w:left="940" w:right="512" w:hanging="360"/>
        <w:jc w:val="left"/>
        <w:rPr>
          <w:sz w:val="22"/>
        </w:rPr>
      </w:pPr>
      <w:r>
        <w:rPr>
          <w:sz w:val="22"/>
        </w:rPr>
        <w:t>Sheets: represents the collection of worksheets in the workbook. The sheets are the central structure within a workbook, and contain the text, numbers, dates, formulas, and other elements of a</w:t>
      </w:r>
      <w:r>
        <w:rPr>
          <w:spacing w:val="-20"/>
          <w:sz w:val="22"/>
        </w:rPr>
        <w:t> </w:t>
      </w:r>
      <w:r>
        <w:rPr>
          <w:sz w:val="22"/>
        </w:rPr>
        <w:t>workbook.</w:t>
      </w:r>
    </w:p>
    <w:p>
      <w:pPr>
        <w:pStyle w:val="ListParagraph"/>
        <w:numPr>
          <w:ilvl w:val="3"/>
          <w:numId w:val="17"/>
        </w:numPr>
        <w:tabs>
          <w:tab w:pos="940" w:val="left" w:leader="none"/>
          <w:tab w:pos="941" w:val="left" w:leader="none"/>
        </w:tabs>
        <w:spacing w:line="276" w:lineRule="auto" w:before="4" w:after="0"/>
        <w:ind w:left="940" w:right="394" w:hanging="360"/>
        <w:jc w:val="left"/>
        <w:rPr>
          <w:sz w:val="22"/>
        </w:rPr>
      </w:pPr>
      <w:r>
        <w:rPr>
          <w:sz w:val="22"/>
        </w:rPr>
        <w:t>Views: SpreadsheetML defines a collection of Workbook views that define basic window dimensions and position of the workbook if it is ever displayed by a spreadsheet application. It also defines a collection of Custom Workbook Views that allows SpreadsheetML to describe one or more views of the data within a</w:t>
      </w:r>
      <w:r>
        <w:rPr>
          <w:spacing w:val="-2"/>
          <w:sz w:val="22"/>
        </w:rPr>
        <w:t> </w:t>
      </w:r>
      <w:r>
        <w:rPr>
          <w:sz w:val="22"/>
        </w:rPr>
        <w:t>workbook.</w:t>
      </w:r>
    </w:p>
    <w:p>
      <w:pPr>
        <w:pStyle w:val="ListParagraph"/>
        <w:numPr>
          <w:ilvl w:val="3"/>
          <w:numId w:val="17"/>
        </w:numPr>
        <w:tabs>
          <w:tab w:pos="940" w:val="left" w:leader="none"/>
          <w:tab w:pos="941" w:val="left" w:leader="none"/>
        </w:tabs>
        <w:spacing w:line="273" w:lineRule="auto" w:before="1" w:after="0"/>
        <w:ind w:left="940" w:right="426" w:hanging="360"/>
        <w:jc w:val="left"/>
        <w:rPr>
          <w:sz w:val="22"/>
        </w:rPr>
      </w:pPr>
      <w:r>
        <w:rPr>
          <w:sz w:val="22"/>
        </w:rPr>
        <w:t>Properties: the workbook has several property collection that store basic workbook settings, such as the date system to use, file protection settings, calculation settings, and smart tag</w:t>
      </w:r>
      <w:r>
        <w:rPr>
          <w:spacing w:val="-15"/>
          <w:sz w:val="22"/>
        </w:rPr>
        <w:t> </w:t>
      </w:r>
      <w:r>
        <w:rPr>
          <w:sz w:val="22"/>
        </w:rPr>
        <w:t>behaviors.</w:t>
      </w:r>
    </w:p>
    <w:p>
      <w:pPr>
        <w:pStyle w:val="ListParagraph"/>
        <w:numPr>
          <w:ilvl w:val="3"/>
          <w:numId w:val="17"/>
        </w:numPr>
        <w:tabs>
          <w:tab w:pos="940" w:val="left" w:leader="none"/>
          <w:tab w:pos="941" w:val="left" w:leader="none"/>
        </w:tabs>
        <w:spacing w:line="448" w:lineRule="auto" w:before="5" w:after="0"/>
        <w:ind w:left="220" w:right="452" w:firstLine="360"/>
        <w:jc w:val="left"/>
        <w:rPr>
          <w:sz w:val="22"/>
        </w:rPr>
      </w:pPr>
      <w:r>
        <w:rPr>
          <w:sz w:val="22"/>
        </w:rPr>
        <w:t>Names: words or strings of characters that represent cells, ranges of cells, formulas, or constant values. [</w:t>
      </w:r>
      <w:r>
        <w:rPr>
          <w:i/>
          <w:sz w:val="22"/>
        </w:rPr>
        <w:t>Example</w:t>
      </w:r>
      <w:r>
        <w:rPr>
          <w:sz w:val="22"/>
        </w:rPr>
        <w:t>:</w:t>
      </w:r>
    </w:p>
    <w:p>
      <w:pPr>
        <w:pStyle w:val="BodyText"/>
        <w:spacing w:before="15"/>
        <w:ind w:left="508"/>
        <w:rPr>
          <w:rFonts w:ascii="Consolas"/>
        </w:rPr>
      </w:pPr>
      <w:r>
        <w:rPr>
          <w:rFonts w:ascii="Consolas"/>
        </w:rPr>
        <w:t>&lt;?xml version="1.0" encoding="UTF-8" standalone="yes"?&gt;</w:t>
      </w:r>
    </w:p>
    <w:p>
      <w:pPr>
        <w:pStyle w:val="BodyText"/>
        <w:spacing w:line="278" w:lineRule="auto" w:before="37"/>
        <w:ind w:left="508" w:right="2289"/>
        <w:rPr>
          <w:rFonts w:ascii="Consolas"/>
        </w:rPr>
      </w:pPr>
      <w:r>
        <w:rPr>
          <w:rFonts w:ascii="Consolas"/>
        </w:rPr>
        <w:t>&lt;workbook xmlns="</w:t>
      </w:r>
      <w:hyperlink r:id="rId22">
        <w:r>
          <w:rPr>
            <w:rFonts w:ascii="Consolas"/>
          </w:rPr>
          <w:t>http://purl.oclc.org/ooxml/spreadsheetml/main</w:t>
        </w:r>
      </w:hyperlink>
      <w:r>
        <w:rPr>
          <w:rFonts w:ascii="Consolas"/>
        </w:rPr>
        <w:t>" mlns:r="</w:t>
      </w:r>
      <w:hyperlink r:id="rId23">
        <w:r>
          <w:rPr>
            <w:rFonts w:ascii="Consolas"/>
          </w:rPr>
          <w:t>http://purl.oclc.org/ooxml/officeDocument/relationships</w:t>
        </w:r>
      </w:hyperlink>
      <w:r>
        <w:rPr>
          <w:rFonts w:ascii="Consolas"/>
        </w:rPr>
        <w:t>"&gt;</w:t>
      </w:r>
    </w:p>
    <w:p>
      <w:pPr>
        <w:pStyle w:val="BodyText"/>
        <w:spacing w:line="253" w:lineRule="exact"/>
        <w:ind w:left="750"/>
        <w:rPr>
          <w:rFonts w:ascii="Consolas"/>
        </w:rPr>
      </w:pPr>
      <w:r>
        <w:rPr>
          <w:rFonts w:ascii="Consolas"/>
        </w:rPr>
        <w:t>&lt;fileVersion lastEdited="4" lowestEdited="4" rupBuild="4017"/&gt;</w:t>
      </w:r>
    </w:p>
    <w:p>
      <w:pPr>
        <w:pStyle w:val="BodyText"/>
        <w:spacing w:before="40"/>
        <w:ind w:left="750"/>
        <w:rPr>
          <w:rFonts w:ascii="Consolas"/>
        </w:rPr>
      </w:pPr>
      <w:r>
        <w:rPr>
          <w:rFonts w:ascii="Consolas"/>
        </w:rPr>
        <w:t>&lt;workbookPr vbName="ThisWorkbook" defaultThemeVersion="123820"/&gt;</w:t>
      </w:r>
    </w:p>
    <w:p>
      <w:pPr>
        <w:pStyle w:val="BodyText"/>
        <w:spacing w:before="38"/>
        <w:ind w:left="750"/>
        <w:rPr>
          <w:rFonts w:ascii="Consolas"/>
        </w:rPr>
      </w:pPr>
      <w:r>
        <w:rPr>
          <w:rFonts w:ascii="Consolas"/>
        </w:rPr>
        <w:t>&lt;bookViews&gt;</w:t>
      </w:r>
    </w:p>
    <w:p>
      <w:pPr>
        <w:pStyle w:val="BodyText"/>
        <w:spacing w:line="278" w:lineRule="auto" w:before="38"/>
        <w:ind w:left="1235" w:right="503" w:hanging="243"/>
        <w:rPr>
          <w:rFonts w:ascii="Consolas"/>
        </w:rPr>
      </w:pPr>
      <w:r>
        <w:rPr>
          <w:rFonts w:ascii="Consolas"/>
        </w:rPr>
        <w:t>&lt;workbookView xWindow="120" yWindow="45" windowWidth="15135" windowHeight="7650" activeTab="4"/&gt;</w:t>
      </w:r>
    </w:p>
    <w:p>
      <w:pPr>
        <w:pStyle w:val="BodyText"/>
        <w:spacing w:line="253" w:lineRule="exact"/>
        <w:ind w:left="750"/>
        <w:rPr>
          <w:rFonts w:ascii="Consolas"/>
        </w:rPr>
      </w:pPr>
      <w:r>
        <w:rPr>
          <w:rFonts w:ascii="Consolas"/>
        </w:rPr>
        <w:t>&lt;/bookViews&gt;</w:t>
      </w:r>
    </w:p>
    <w:p>
      <w:pPr>
        <w:pStyle w:val="BodyText"/>
        <w:spacing w:before="40"/>
        <w:ind w:left="750"/>
        <w:rPr>
          <w:rFonts w:ascii="Consolas"/>
        </w:rPr>
      </w:pPr>
      <w:r>
        <w:rPr>
          <w:rFonts w:ascii="Consolas"/>
        </w:rPr>
        <w:t>&lt;sheets&gt;</w:t>
      </w:r>
    </w:p>
    <w:p>
      <w:pPr>
        <w:pStyle w:val="BodyText"/>
        <w:spacing w:before="37"/>
        <w:ind w:left="993"/>
        <w:rPr>
          <w:rFonts w:ascii="Consolas"/>
        </w:rPr>
      </w:pPr>
      <w:r>
        <w:rPr>
          <w:rFonts w:ascii="Consolas"/>
        </w:rPr>
        <w:t>&lt;sheet name="Sheet1" sheetId="1"</w:t>
      </w:r>
      <w:r>
        <w:rPr>
          <w:rFonts w:ascii="Consolas"/>
          <w:spacing w:val="-33"/>
        </w:rPr>
        <w:t> </w:t>
      </w:r>
      <w:r>
        <w:rPr>
          <w:rFonts w:ascii="Consolas"/>
        </w:rPr>
        <w:t>r:id="rId1"/&gt;</w:t>
      </w:r>
    </w:p>
    <w:p>
      <w:pPr>
        <w:pStyle w:val="BodyText"/>
        <w:spacing w:before="40"/>
        <w:ind w:left="993"/>
        <w:rPr>
          <w:rFonts w:ascii="Consolas"/>
        </w:rPr>
      </w:pPr>
      <w:r>
        <w:rPr>
          <w:rFonts w:ascii="Consolas"/>
        </w:rPr>
        <w:t>&lt;sheet name="Sheet2" sheetId="2"</w:t>
      </w:r>
      <w:r>
        <w:rPr>
          <w:rFonts w:ascii="Consolas"/>
          <w:spacing w:val="-29"/>
        </w:rPr>
        <w:t> </w:t>
      </w:r>
      <w:r>
        <w:rPr>
          <w:rFonts w:ascii="Consolas"/>
        </w:rPr>
        <w:t>r:id="rId2"/&gt;</w:t>
      </w:r>
    </w:p>
    <w:p>
      <w:pPr>
        <w:pStyle w:val="BodyText"/>
        <w:spacing w:before="38"/>
        <w:ind w:left="993"/>
        <w:rPr>
          <w:rFonts w:ascii="Consolas"/>
        </w:rPr>
      </w:pPr>
      <w:r>
        <w:rPr>
          <w:rFonts w:ascii="Consolas"/>
        </w:rPr>
        <w:t>&lt;sheet name="Sheet5" sheetId="3"</w:t>
      </w:r>
      <w:r>
        <w:rPr>
          <w:rFonts w:ascii="Consolas"/>
          <w:spacing w:val="-33"/>
        </w:rPr>
        <w:t> </w:t>
      </w:r>
      <w:r>
        <w:rPr>
          <w:rFonts w:ascii="Consolas"/>
        </w:rPr>
        <w:t>r:id="rId3"/&gt;</w:t>
      </w:r>
    </w:p>
    <w:p>
      <w:pPr>
        <w:pStyle w:val="BodyText"/>
        <w:spacing w:before="37"/>
        <w:ind w:left="993"/>
        <w:rPr>
          <w:rFonts w:ascii="Consolas"/>
        </w:rPr>
      </w:pPr>
      <w:r>
        <w:rPr>
          <w:rFonts w:ascii="Consolas"/>
        </w:rPr>
        <w:t>&lt;sheet name="Chart1" sheetId="4"</w:t>
      </w:r>
      <w:r>
        <w:rPr>
          <w:rFonts w:ascii="Consolas"/>
          <w:spacing w:val="-33"/>
        </w:rPr>
        <w:t> </w:t>
      </w:r>
      <w:r>
        <w:rPr>
          <w:rFonts w:ascii="Consolas"/>
        </w:rPr>
        <w:t>r:id="rId4"/&gt;</w:t>
      </w:r>
    </w:p>
    <w:p>
      <w:pPr>
        <w:pStyle w:val="BodyText"/>
        <w:spacing w:before="40"/>
        <w:ind w:left="750"/>
        <w:rPr>
          <w:rFonts w:ascii="Consolas"/>
        </w:rPr>
      </w:pPr>
      <w:r>
        <w:rPr>
          <w:rFonts w:ascii="Consolas"/>
        </w:rPr>
        <w:t>&lt;/sheets&gt;</w:t>
      </w:r>
    </w:p>
    <w:p>
      <w:pPr>
        <w:spacing w:after="0"/>
        <w:rPr>
          <w:rFonts w:ascii="Consolas"/>
        </w:rPr>
        <w:sectPr>
          <w:pgSz w:w="12240" w:h="15840"/>
          <w:pgMar w:header="761" w:footer="746" w:top="1340" w:bottom="940" w:left="860" w:right="700"/>
        </w:sectPr>
      </w:pPr>
    </w:p>
    <w:p>
      <w:pPr>
        <w:pStyle w:val="BodyText"/>
        <w:spacing w:before="150"/>
        <w:ind w:left="750"/>
        <w:rPr>
          <w:rFonts w:ascii="Consolas"/>
        </w:rPr>
      </w:pPr>
      <w:r>
        <w:rPr>
          <w:rFonts w:ascii="Consolas"/>
        </w:rPr>
        <w:t>&lt;definedNames&gt;</w:t>
      </w:r>
    </w:p>
    <w:p>
      <w:pPr>
        <w:pStyle w:val="BodyText"/>
        <w:spacing w:before="38"/>
        <w:ind w:left="993"/>
        <w:rPr>
          <w:rFonts w:ascii="Consolas"/>
        </w:rPr>
      </w:pPr>
      <w:r>
        <w:rPr>
          <w:rFonts w:ascii="Consolas"/>
        </w:rPr>
        <w:t>&lt;definedName name="MyDefinedName"&gt;Sheet3!$A$1:$C$12&lt;/definedName&gt;</w:t>
      </w:r>
    </w:p>
    <w:p>
      <w:pPr>
        <w:pStyle w:val="BodyText"/>
        <w:spacing w:before="40"/>
        <w:ind w:left="750"/>
        <w:rPr>
          <w:rFonts w:ascii="Consolas"/>
        </w:rPr>
      </w:pPr>
      <w:r>
        <w:rPr>
          <w:rFonts w:ascii="Consolas"/>
        </w:rPr>
        <w:t>&lt;/definedNames&gt;</w:t>
      </w:r>
    </w:p>
    <w:p>
      <w:pPr>
        <w:pStyle w:val="BodyText"/>
        <w:spacing w:line="278" w:lineRule="auto" w:before="38"/>
        <w:ind w:left="993" w:hanging="243"/>
        <w:rPr>
          <w:rFonts w:ascii="Consolas"/>
        </w:rPr>
      </w:pPr>
      <w:r>
        <w:rPr>
          <w:rFonts w:ascii="Consolas"/>
        </w:rPr>
        <w:t>&lt;calcPr calcId="122211" calcMode="autoNoTable" refMode="R1C1"</w:t>
      </w:r>
      <w:r>
        <w:rPr>
          <w:rFonts w:ascii="Consolas"/>
          <w:spacing w:val="-48"/>
        </w:rPr>
        <w:t> </w:t>
      </w:r>
      <w:r>
        <w:rPr>
          <w:rFonts w:ascii="Consolas"/>
        </w:rPr>
        <w:t>iterate="1" fullPrecision="0"/&gt;</w:t>
      </w:r>
    </w:p>
    <w:p>
      <w:pPr>
        <w:pStyle w:val="BodyText"/>
        <w:spacing w:line="253" w:lineRule="exact"/>
        <w:ind w:left="750"/>
        <w:rPr>
          <w:rFonts w:ascii="Consolas"/>
        </w:rPr>
      </w:pPr>
      <w:r>
        <w:rPr>
          <w:rFonts w:ascii="Consolas"/>
        </w:rPr>
        <w:t>&lt;customWorkbookViews&gt;</w:t>
      </w:r>
    </w:p>
    <w:p>
      <w:pPr>
        <w:pStyle w:val="BodyText"/>
        <w:spacing w:before="40"/>
        <w:ind w:left="993"/>
        <w:rPr>
          <w:rFonts w:ascii="Consolas"/>
        </w:rPr>
      </w:pPr>
      <w:r>
        <w:rPr>
          <w:rFonts w:ascii="Consolas"/>
        </w:rPr>
        <w:t>&lt;customWorkbookView name="CustomView1"</w:t>
      </w:r>
    </w:p>
    <w:p>
      <w:pPr>
        <w:pStyle w:val="BodyText"/>
        <w:spacing w:before="37"/>
        <w:ind w:left="1235"/>
        <w:rPr>
          <w:rFonts w:ascii="Consolas"/>
        </w:rPr>
      </w:pPr>
      <w:r>
        <w:rPr>
          <w:rFonts w:ascii="Consolas"/>
        </w:rPr>
        <w:t>guid="{CE6681F1-E999-414D-8446-68A031534B57}" maximized="1" xWindow="1"</w:t>
      </w:r>
    </w:p>
    <w:p>
      <w:pPr>
        <w:pStyle w:val="BodyText"/>
        <w:spacing w:before="38"/>
        <w:ind w:left="1235"/>
        <w:rPr>
          <w:rFonts w:ascii="Consolas"/>
        </w:rPr>
      </w:pPr>
      <w:r>
        <w:rPr>
          <w:rFonts w:ascii="Consolas"/>
        </w:rPr>
        <w:t>yWindow="1" windowWidth="1024" windowHeight="547" activeSheetId="1"/&gt;</w:t>
      </w:r>
    </w:p>
    <w:p>
      <w:pPr>
        <w:pStyle w:val="BodyText"/>
        <w:spacing w:before="40"/>
        <w:ind w:left="750"/>
        <w:rPr>
          <w:rFonts w:ascii="Consolas"/>
        </w:rPr>
      </w:pPr>
      <w:r>
        <w:rPr>
          <w:rFonts w:ascii="Consolas"/>
        </w:rPr>
        <w:t>&lt;/customWorkbookViews&gt;</w:t>
      </w:r>
    </w:p>
    <w:p>
      <w:pPr>
        <w:pStyle w:val="BodyText"/>
        <w:spacing w:before="38"/>
        <w:ind w:left="750"/>
        <w:rPr>
          <w:rFonts w:ascii="Consolas"/>
        </w:rPr>
      </w:pPr>
      <w:r>
        <w:rPr>
          <w:rFonts w:ascii="Consolas"/>
        </w:rPr>
        <w:t>&lt;pivotCaches&gt;</w:t>
      </w:r>
    </w:p>
    <w:p>
      <w:pPr>
        <w:pStyle w:val="BodyText"/>
        <w:spacing w:before="40"/>
        <w:ind w:left="993"/>
        <w:rPr>
          <w:rFonts w:ascii="Consolas"/>
        </w:rPr>
      </w:pPr>
      <w:r>
        <w:rPr>
          <w:rFonts w:ascii="Consolas"/>
        </w:rPr>
        <w:t>&lt;pivotCache cacheId="0" r:id="rId8"/&gt;</w:t>
      </w:r>
    </w:p>
    <w:p>
      <w:pPr>
        <w:pStyle w:val="BodyText"/>
        <w:spacing w:before="38"/>
        <w:ind w:left="750"/>
        <w:rPr>
          <w:rFonts w:ascii="Consolas"/>
        </w:rPr>
      </w:pPr>
      <w:r>
        <w:rPr>
          <w:rFonts w:ascii="Consolas"/>
        </w:rPr>
        <w:t>&lt;/pivotCaches&gt;</w:t>
      </w:r>
    </w:p>
    <w:p>
      <w:pPr>
        <w:pStyle w:val="BodyText"/>
        <w:spacing w:before="40"/>
        <w:ind w:left="750"/>
        <w:rPr>
          <w:rFonts w:ascii="Consolas"/>
        </w:rPr>
      </w:pPr>
      <w:r>
        <w:rPr>
          <w:rFonts w:ascii="Consolas"/>
        </w:rPr>
        <w:t>&lt;smartTagPr embed="1" show="noIndicator"/&gt;</w:t>
      </w:r>
    </w:p>
    <w:p>
      <w:pPr>
        <w:pStyle w:val="BodyText"/>
        <w:spacing w:before="37"/>
        <w:ind w:left="750"/>
        <w:rPr>
          <w:rFonts w:ascii="Consolas"/>
        </w:rPr>
      </w:pPr>
      <w:r>
        <w:rPr>
          <w:rFonts w:ascii="Consolas"/>
        </w:rPr>
        <w:t>&lt;smartTagTypes&gt;</w:t>
      </w:r>
    </w:p>
    <w:p>
      <w:pPr>
        <w:pStyle w:val="BodyText"/>
        <w:spacing w:line="278" w:lineRule="auto" w:before="38"/>
        <w:ind w:left="1235" w:right="475" w:hanging="243"/>
        <w:rPr>
          <w:rFonts w:ascii="Consolas"/>
        </w:rPr>
      </w:pPr>
      <w:r>
        <w:rPr>
          <w:rFonts w:ascii="Consolas"/>
        </w:rPr>
        <w:t>&lt;smartTagType namespaceUri="urn:schemas-openxmlformats-org:office:smarttags" name="date"/&gt;</w:t>
      </w:r>
    </w:p>
    <w:p>
      <w:pPr>
        <w:pStyle w:val="BodyText"/>
        <w:spacing w:line="253" w:lineRule="exact"/>
        <w:ind w:left="750"/>
        <w:rPr>
          <w:rFonts w:ascii="Consolas"/>
        </w:rPr>
      </w:pPr>
      <w:r>
        <w:rPr>
          <w:rFonts w:ascii="Consolas"/>
        </w:rPr>
        <w:t>&lt;/smartTagTypes&gt;</w:t>
      </w:r>
    </w:p>
    <w:p>
      <w:pPr>
        <w:pStyle w:val="BodyText"/>
        <w:spacing w:before="40"/>
        <w:ind w:left="750"/>
        <w:rPr>
          <w:rFonts w:ascii="Consolas"/>
        </w:rPr>
      </w:pPr>
      <w:r>
        <w:rPr>
          <w:rFonts w:ascii="Consolas"/>
        </w:rPr>
        <w:t>&lt;webPublishing codePage="1252"/&gt;</w:t>
      </w:r>
    </w:p>
    <w:p>
      <w:pPr>
        <w:pStyle w:val="BodyText"/>
        <w:spacing w:before="38"/>
        <w:ind w:left="508"/>
        <w:rPr>
          <w:rFonts w:ascii="Consolas"/>
        </w:rPr>
      </w:pPr>
      <w:r>
        <w:rPr>
          <w:rFonts w:ascii="Consolas"/>
        </w:rPr>
        <w:t>&lt;/workbook&gt;</w:t>
      </w:r>
    </w:p>
    <w:p>
      <w:pPr>
        <w:pStyle w:val="BodyText"/>
        <w:spacing w:before="4"/>
        <w:rPr>
          <w:rFonts w:ascii="Consolas"/>
          <w:sz w:val="20"/>
        </w:rPr>
      </w:pPr>
    </w:p>
    <w:p>
      <w:pPr>
        <w:spacing w:before="1"/>
        <w:ind w:left="220" w:right="0" w:firstLine="0"/>
        <w:jc w:val="left"/>
        <w:rPr>
          <w:sz w:val="22"/>
        </w:rPr>
      </w:pPr>
      <w:r>
        <w:rPr>
          <w:i/>
          <w:sz w:val="22"/>
        </w:rPr>
        <w:t>end example</w:t>
      </w:r>
      <w:r>
        <w:rPr>
          <w:sz w:val="22"/>
        </w:rPr>
        <w: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083" w:hRule="atLeast"/>
        </w:trPr>
        <w:tc>
          <w:tcPr>
            <w:tcW w:w="2062" w:type="dxa"/>
          </w:tcPr>
          <w:p>
            <w:pPr>
              <w:pStyle w:val="TableParagraph"/>
              <w:spacing w:line="237" w:lineRule="auto" w:before="45"/>
              <w:ind w:right="147"/>
              <w:rPr>
                <w:sz w:val="22"/>
              </w:rPr>
            </w:pPr>
            <w:r>
              <w:rPr>
                <w:rFonts w:ascii="Cambria"/>
                <w:sz w:val="22"/>
              </w:rPr>
              <w:t>conformance </w:t>
            </w:r>
            <w:r>
              <w:rPr>
                <w:sz w:val="22"/>
              </w:rPr>
              <w:t>(Document Conformance Class)</w:t>
            </w:r>
          </w:p>
        </w:tc>
        <w:tc>
          <w:tcPr>
            <w:tcW w:w="8250" w:type="dxa"/>
          </w:tcPr>
          <w:p>
            <w:pPr>
              <w:pStyle w:val="TableParagraph"/>
              <w:spacing w:line="480" w:lineRule="auto"/>
              <w:ind w:right="164"/>
              <w:rPr>
                <w:sz w:val="22"/>
              </w:rPr>
            </w:pPr>
            <w:r>
              <w:rPr>
                <w:sz w:val="22"/>
              </w:rPr>
              <w:t>Specifies the conformance class (§2.1) to which the SpreadsheetML document conforms. If this attribute is omitted, its default value is </w:t>
            </w:r>
            <w:r>
              <w:rPr>
                <w:rFonts w:ascii="Consolas" w:hAnsi="Consolas"/>
                <w:sz w:val="20"/>
              </w:rPr>
              <w:t>transitional</w:t>
            </w:r>
            <w:r>
              <w:rPr>
                <w:sz w:val="22"/>
              </w:rPr>
              <w:t>.</w:t>
            </w:r>
          </w:p>
          <w:p>
            <w:pPr>
              <w:pStyle w:val="TableParagraph"/>
              <w:spacing w:line="267" w:lineRule="exact" w:before="0"/>
              <w:rPr>
                <w:sz w:val="22"/>
              </w:rPr>
            </w:pPr>
            <w:r>
              <w:rPr>
                <w:sz w:val="22"/>
              </w:rPr>
              <w:t>[</w:t>
            </w:r>
            <w:r>
              <w:rPr>
                <w:i/>
                <w:sz w:val="22"/>
              </w:rPr>
              <w:t>Example</w:t>
            </w:r>
            <w:r>
              <w:rPr>
                <w:sz w:val="22"/>
              </w:rPr>
              <w:t>: Consider the following SpreadsheetML Workbook part markup:</w:t>
            </w:r>
          </w:p>
          <w:p>
            <w:pPr>
              <w:pStyle w:val="TableParagraph"/>
              <w:spacing w:before="3"/>
              <w:ind w:left="0"/>
              <w:rPr>
                <w:sz w:val="22"/>
              </w:rPr>
            </w:pPr>
          </w:p>
          <w:p>
            <w:pPr>
              <w:pStyle w:val="TableParagraph"/>
              <w:spacing w:before="0"/>
              <w:ind w:left="403"/>
              <w:rPr>
                <w:rFonts w:ascii="Consolas"/>
                <w:sz w:val="22"/>
              </w:rPr>
            </w:pPr>
            <w:r>
              <w:rPr>
                <w:rFonts w:ascii="Consolas"/>
                <w:sz w:val="22"/>
              </w:rPr>
              <w:t>&lt;workbook conformance="strict"&gt;</w:t>
            </w:r>
          </w:p>
          <w:p>
            <w:pPr>
              <w:pStyle w:val="TableParagraph"/>
              <w:spacing w:line="257" w:lineRule="exact" w:before="1"/>
              <w:ind w:left="645"/>
              <w:rPr>
                <w:rFonts w:ascii="Consolas" w:hAnsi="Consolas"/>
                <w:sz w:val="22"/>
              </w:rPr>
            </w:pPr>
            <w:r>
              <w:rPr>
                <w:rFonts w:ascii="Consolas" w:hAnsi="Consolas"/>
                <w:w w:val="100"/>
                <w:sz w:val="22"/>
              </w:rPr>
              <w:t>…</w:t>
            </w:r>
          </w:p>
          <w:p>
            <w:pPr>
              <w:pStyle w:val="TableParagraph"/>
              <w:spacing w:line="257" w:lineRule="exact" w:before="0"/>
              <w:ind w:left="403"/>
              <w:rPr>
                <w:rFonts w:ascii="Consolas"/>
                <w:sz w:val="22"/>
              </w:rPr>
            </w:pPr>
            <w:r>
              <w:rPr>
                <w:rFonts w:ascii="Consolas"/>
                <w:sz w:val="22"/>
              </w:rPr>
              <w:t>&lt;/workbook&gt;</w:t>
            </w:r>
          </w:p>
          <w:p>
            <w:pPr>
              <w:pStyle w:val="TableParagraph"/>
              <w:spacing w:before="10"/>
              <w:ind w:left="0"/>
              <w:rPr>
                <w:sz w:val="21"/>
              </w:rPr>
            </w:pPr>
          </w:p>
          <w:p>
            <w:pPr>
              <w:pStyle w:val="TableParagraph"/>
              <w:spacing w:before="0"/>
              <w:ind w:right="407"/>
              <w:rPr>
                <w:sz w:val="22"/>
              </w:rPr>
            </w:pPr>
            <w:r>
              <w:rPr>
                <w:sz w:val="22"/>
              </w:rPr>
              <w:t>This document has a </w:t>
            </w:r>
            <w:r>
              <w:rPr>
                <w:rFonts w:ascii="Cambria"/>
                <w:sz w:val="22"/>
              </w:rPr>
              <w:t>conformance </w:t>
            </w:r>
            <w:r>
              <w:rPr>
                <w:sz w:val="22"/>
              </w:rPr>
              <w:t>attribute value of </w:t>
            </w:r>
            <w:r>
              <w:rPr>
                <w:rFonts w:ascii="Consolas"/>
                <w:sz w:val="20"/>
              </w:rPr>
              <w:t>strict</w:t>
            </w:r>
            <w:r>
              <w:rPr>
                <w:sz w:val="22"/>
              </w:rPr>
              <w:t>, therefore it conforms to the SML Strict conformance class. </w:t>
            </w:r>
            <w:r>
              <w:rPr>
                <w:i/>
                <w:sz w:val="22"/>
              </w:rPr>
              <w:t>end example</w:t>
            </w:r>
            <w:r>
              <w:rPr>
                <w:sz w:val="22"/>
              </w:rPr>
              <w:t>]</w:t>
            </w:r>
          </w:p>
          <w:p>
            <w:pPr>
              <w:pStyle w:val="TableParagraph"/>
              <w:spacing w:before="1"/>
              <w:ind w:left="0"/>
              <w:rPr>
                <w:sz w:val="22"/>
              </w:rPr>
            </w:pPr>
          </w:p>
          <w:p>
            <w:pPr>
              <w:pStyle w:val="TableParagraph"/>
              <w:spacing w:before="0"/>
              <w:ind w:right="418"/>
              <w:rPr>
                <w:sz w:val="22"/>
              </w:rPr>
            </w:pPr>
            <w:r>
              <w:rPr>
                <w:sz w:val="22"/>
              </w:rPr>
              <w:t>The possible values for this attribute are defined by the </w:t>
            </w:r>
            <w:r>
              <w:rPr>
                <w:rFonts w:ascii="Cambria" w:hAnsi="Cambria"/>
                <w:sz w:val="22"/>
              </w:rPr>
              <w:t>ST_ConformanceClass </w:t>
            </w:r>
            <w:r>
              <w:rPr>
                <w:sz w:val="22"/>
              </w:rPr>
              <w:t>simple type (§22.9.2.2).</w:t>
            </w:r>
          </w:p>
        </w:tc>
      </w:tr>
    </w:tbl>
    <w:p>
      <w:pPr>
        <w:pStyle w:val="BodyText"/>
      </w:pPr>
    </w:p>
    <w:p>
      <w:pPr>
        <w:pStyle w:val="BodyText"/>
        <w:spacing w:before="5"/>
        <w:rPr>
          <w:sz w:val="19"/>
        </w:rPr>
      </w:pPr>
    </w:p>
    <w:p>
      <w:pPr>
        <w:pStyle w:val="BodyText"/>
        <w:spacing w:line="276" w:lineRule="auto"/>
        <w:ind w:left="220" w:right="549"/>
      </w:pPr>
      <w:r>
        <w:rPr/>
        <w:t>[</w:t>
      </w:r>
      <w:r>
        <w:rPr>
          <w:i/>
        </w:rPr>
        <w:t>Note</w:t>
      </w:r>
      <w:r>
        <w:rPr/>
        <w:t>: The W3C XML Schema definition of this element’s content model (</w:t>
      </w:r>
      <w:r>
        <w:rPr>
          <w:color w:val="5F5F5F"/>
          <w:u w:val="single" w:color="5F5F5F"/>
        </w:rPr>
        <w:t>CT_Workbook</w:t>
      </w:r>
      <w:r>
        <w:rPr/>
        <w:t>) is located in §A.2. </w:t>
      </w:r>
      <w:r>
        <w:rPr>
          <w:i/>
        </w:rPr>
        <w:t>end </w:t>
      </w:r>
      <w:r>
        <w:rPr>
          <w:i/>
        </w:rPr>
        <w:t>note</w:t>
      </w:r>
      <w:r>
        <w:rPr/>
        <w:t>]</w:t>
      </w:r>
    </w:p>
    <w:p>
      <w:pPr>
        <w:spacing w:after="0" w:line="276" w:lineRule="auto"/>
        <w:sectPr>
          <w:pgSz w:w="12240" w:h="15840"/>
          <w:pgMar w:header="763" w:footer="746" w:top="1340" w:bottom="940" w:left="860" w:right="700"/>
        </w:sectPr>
      </w:pPr>
    </w:p>
    <w:p>
      <w:pPr>
        <w:pStyle w:val="Heading2"/>
        <w:numPr>
          <w:ilvl w:val="2"/>
          <w:numId w:val="17"/>
        </w:numPr>
        <w:tabs>
          <w:tab w:pos="1444" w:val="left" w:leader="none"/>
          <w:tab w:pos="1445" w:val="left" w:leader="none"/>
        </w:tabs>
        <w:spacing w:line="240" w:lineRule="auto" w:before="93" w:after="0"/>
        <w:ind w:left="1444" w:right="0" w:hanging="1225"/>
        <w:jc w:val="left"/>
      </w:pPr>
      <w:bookmarkStart w:name="18.2.28 workbookPr (Workbook Properties)" w:id="89"/>
      <w:bookmarkEnd w:id="89"/>
      <w:r>
        <w:rPr>
          <w:b w:val="0"/>
        </w:rPr>
      </w:r>
      <w:bookmarkStart w:name="_bookmark28" w:id="90"/>
      <w:bookmarkEnd w:id="90"/>
      <w:r>
        <w:rPr>
          <w:b w:val="0"/>
        </w:rPr>
      </w:r>
      <w:bookmarkStart w:name="_bookmark28" w:id="91"/>
      <w:bookmarkEnd w:id="91"/>
      <w:r>
        <w:rPr>
          <w:color w:val="4F81BC"/>
        </w:rPr>
        <w:t>w</w:t>
      </w:r>
      <w:r>
        <w:rPr>
          <w:color w:val="4F81BC"/>
        </w:rPr>
        <w:t>orkbookPr (Workbook</w:t>
      </w:r>
      <w:r>
        <w:rPr>
          <w:color w:val="4F81BC"/>
          <w:spacing w:val="-1"/>
        </w:rPr>
        <w:t> </w:t>
      </w:r>
      <w:r>
        <w:rPr>
          <w:color w:val="4F81BC"/>
        </w:rPr>
        <w:t>Properties)</w:t>
      </w:r>
    </w:p>
    <w:p>
      <w:pPr>
        <w:pStyle w:val="BodyText"/>
        <w:spacing w:line="453" w:lineRule="auto" w:before="125"/>
        <w:ind w:left="220" w:right="5295"/>
      </w:pPr>
      <w:r>
        <w:rPr/>
        <w:t>This element defines a collection of workbook properties. [</w:t>
      </w:r>
      <w:r>
        <w:rPr>
          <w:i/>
        </w:rPr>
        <w:t>Example</w:t>
      </w:r>
      <w:r>
        <w:rPr/>
        <w:t>:</w:t>
      </w:r>
    </w:p>
    <w:p>
      <w:pPr>
        <w:pStyle w:val="BodyText"/>
        <w:spacing w:line="278" w:lineRule="auto" w:before="2"/>
        <w:ind w:left="750" w:hanging="243"/>
        <w:rPr>
          <w:rFonts w:ascii="Consolas"/>
        </w:rPr>
      </w:pPr>
      <w:r>
        <w:rPr>
          <w:rFonts w:ascii="Consolas"/>
        </w:rPr>
        <w:t>&lt;workbookPr showObjects="none" saveExternalLinkValues="0" defaultThemeVersion="123820"/&gt;</w:t>
      </w:r>
    </w:p>
    <w:p>
      <w:pPr>
        <w:spacing w:before="197"/>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307" w:hRule="atLeast"/>
        </w:trPr>
        <w:tc>
          <w:tcPr>
            <w:tcW w:w="2062" w:type="dxa"/>
          </w:tcPr>
          <w:p>
            <w:pPr>
              <w:pStyle w:val="TableParagraph"/>
              <w:spacing w:line="237" w:lineRule="auto" w:before="45"/>
              <w:ind w:right="103"/>
              <w:rPr>
                <w:sz w:val="22"/>
              </w:rPr>
            </w:pPr>
            <w:r>
              <w:rPr>
                <w:rFonts w:ascii="Cambria"/>
                <w:sz w:val="22"/>
              </w:rPr>
              <w:t>allowRefreshQuery </w:t>
            </w:r>
            <w:r>
              <w:rPr>
                <w:sz w:val="22"/>
              </w:rPr>
              <w:t>(Allow Refresh Query)</w:t>
            </w:r>
          </w:p>
        </w:tc>
        <w:tc>
          <w:tcPr>
            <w:tcW w:w="8250" w:type="dxa"/>
          </w:tcPr>
          <w:p>
            <w:pPr>
              <w:pStyle w:val="TableParagraph"/>
              <w:ind w:right="187"/>
              <w:rPr>
                <w:sz w:val="22"/>
              </w:rPr>
            </w:pPr>
            <w:r>
              <w:rPr>
                <w:sz w:val="22"/>
              </w:rPr>
              <w:t>Specifies a boolean value that indicates whether the application will refresh query tables in this workbook.</w:t>
            </w:r>
          </w:p>
          <w:p>
            <w:pPr>
              <w:pStyle w:val="TableParagraph"/>
              <w:spacing w:before="11"/>
              <w:ind w:left="0"/>
              <w:rPr>
                <w:sz w:val="21"/>
              </w:rPr>
            </w:pPr>
          </w:p>
          <w:p>
            <w:pPr>
              <w:pStyle w:val="TableParagraph"/>
              <w:spacing w:before="0"/>
              <w:ind w:right="982"/>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application will refresh query tables when the workbook is loaded.</w:t>
            </w:r>
          </w:p>
          <w:p>
            <w:pPr>
              <w:pStyle w:val="TableParagraph"/>
              <w:spacing w:before="0"/>
              <w:ind w:left="0"/>
              <w:rPr>
                <w:sz w:val="22"/>
              </w:rPr>
            </w:pPr>
          </w:p>
          <w:p>
            <w:pPr>
              <w:pStyle w:val="TableParagraph"/>
              <w:spacing w:line="480" w:lineRule="auto" w:before="1"/>
              <w:ind w:right="1354"/>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application will not refresh query tables. The default value for this attribute is false.</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4956" w:hRule="atLeast"/>
        </w:trPr>
        <w:tc>
          <w:tcPr>
            <w:tcW w:w="2062" w:type="dxa"/>
          </w:tcPr>
          <w:p>
            <w:pPr>
              <w:pStyle w:val="TableParagraph"/>
              <w:spacing w:before="42"/>
              <w:ind w:right="199"/>
              <w:rPr>
                <w:sz w:val="22"/>
              </w:rPr>
            </w:pPr>
            <w:r>
              <w:rPr>
                <w:rFonts w:ascii="Cambria"/>
                <w:sz w:val="22"/>
              </w:rPr>
              <w:t>autoCompressPict ures </w:t>
            </w:r>
            <w:r>
              <w:rPr>
                <w:sz w:val="22"/>
              </w:rPr>
              <w:t>(Auto Compress Pictures)</w:t>
            </w:r>
          </w:p>
        </w:tc>
        <w:tc>
          <w:tcPr>
            <w:tcW w:w="8250" w:type="dxa"/>
          </w:tcPr>
          <w:p>
            <w:pPr>
              <w:pStyle w:val="TableParagraph"/>
              <w:ind w:right="803"/>
              <w:rPr>
                <w:sz w:val="22"/>
              </w:rPr>
            </w:pPr>
            <w:r>
              <w:rPr>
                <w:sz w:val="22"/>
              </w:rPr>
              <w:t>Specifies a boolean value that indicates the application automatically compressed pictures in the workbook.</w:t>
            </w:r>
          </w:p>
          <w:p>
            <w:pPr>
              <w:pStyle w:val="TableParagraph"/>
              <w:spacing w:before="1"/>
              <w:ind w:left="0"/>
              <w:rPr>
                <w:sz w:val="22"/>
              </w:rPr>
            </w:pPr>
          </w:p>
          <w:p>
            <w:pPr>
              <w:pStyle w:val="TableParagraph"/>
              <w:spacing w:before="0"/>
              <w:ind w:right="365"/>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application automatically compresses pictures of the workbook. When a picture is compressed, the application:</w:t>
            </w:r>
          </w:p>
          <w:p>
            <w:pPr>
              <w:pStyle w:val="TableParagraph"/>
              <w:numPr>
                <w:ilvl w:val="0"/>
                <w:numId w:val="20"/>
              </w:numPr>
              <w:tabs>
                <w:tab w:pos="834" w:val="left" w:leader="none"/>
                <w:tab w:pos="835" w:val="left" w:leader="none"/>
              </w:tabs>
              <w:spacing w:line="240" w:lineRule="auto" w:before="1" w:after="0"/>
              <w:ind w:left="835" w:right="248" w:hanging="360"/>
              <w:jc w:val="left"/>
              <w:rPr>
                <w:sz w:val="22"/>
              </w:rPr>
            </w:pPr>
            <w:r>
              <w:rPr>
                <w:sz w:val="22"/>
              </w:rPr>
              <w:t>Reduces resolution (to 96 dots per inch (dpi) for Web and 200 dpi for print), and unnecessary information is</w:t>
            </w:r>
            <w:r>
              <w:rPr>
                <w:spacing w:val="-6"/>
                <w:sz w:val="22"/>
              </w:rPr>
              <w:t> </w:t>
            </w:r>
            <w:r>
              <w:rPr>
                <w:sz w:val="22"/>
              </w:rPr>
              <w:t>discarded.</w:t>
            </w:r>
          </w:p>
          <w:p>
            <w:pPr>
              <w:pStyle w:val="TableParagraph"/>
              <w:numPr>
                <w:ilvl w:val="0"/>
                <w:numId w:val="20"/>
              </w:numPr>
              <w:tabs>
                <w:tab w:pos="834" w:val="left" w:leader="none"/>
                <w:tab w:pos="835" w:val="left" w:leader="none"/>
              </w:tabs>
              <w:spacing w:line="237" w:lineRule="auto" w:before="2" w:after="0"/>
              <w:ind w:left="835" w:right="568" w:hanging="360"/>
              <w:jc w:val="left"/>
              <w:rPr>
                <w:sz w:val="22"/>
              </w:rPr>
            </w:pPr>
            <w:r>
              <w:rPr>
                <w:sz w:val="22"/>
              </w:rPr>
              <w:t>Discards extra information. [</w:t>
            </w:r>
            <w:r>
              <w:rPr>
                <w:i/>
                <w:sz w:val="22"/>
              </w:rPr>
              <w:t>Example</w:t>
            </w:r>
            <w:r>
              <w:rPr>
                <w:sz w:val="22"/>
              </w:rPr>
              <w:t>: When a picture has been cropped or resized, the "hidden" parts of the picture are stored in the file. </w:t>
            </w:r>
            <w:r>
              <w:rPr>
                <w:i/>
                <w:sz w:val="22"/>
              </w:rPr>
              <w:t>end</w:t>
            </w:r>
            <w:r>
              <w:rPr>
                <w:i/>
                <w:spacing w:val="-17"/>
                <w:sz w:val="22"/>
              </w:rPr>
              <w:t> </w:t>
            </w:r>
            <w:r>
              <w:rPr>
                <w:i/>
                <w:sz w:val="22"/>
              </w:rPr>
              <w:t>example</w:t>
            </w:r>
            <w:r>
              <w:rPr>
                <w:sz w:val="22"/>
              </w:rPr>
              <w:t>]</w:t>
            </w:r>
          </w:p>
          <w:p>
            <w:pPr>
              <w:pStyle w:val="TableParagraph"/>
              <w:numPr>
                <w:ilvl w:val="0"/>
                <w:numId w:val="20"/>
              </w:numPr>
              <w:tabs>
                <w:tab w:pos="834" w:val="left" w:leader="none"/>
                <w:tab w:pos="835" w:val="left" w:leader="none"/>
              </w:tabs>
              <w:spacing w:line="240" w:lineRule="auto" w:before="2" w:after="0"/>
              <w:ind w:left="835" w:right="0" w:hanging="360"/>
              <w:jc w:val="left"/>
              <w:rPr>
                <w:sz w:val="22"/>
              </w:rPr>
            </w:pPr>
            <w:r>
              <w:rPr>
                <w:sz w:val="22"/>
              </w:rPr>
              <w:t>Compress the picture, if</w:t>
            </w:r>
            <w:r>
              <w:rPr>
                <w:spacing w:val="-2"/>
                <w:sz w:val="22"/>
              </w:rPr>
              <w:t> </w:t>
            </w:r>
            <w:r>
              <w:rPr>
                <w:sz w:val="22"/>
              </w:rPr>
              <w:t>possible.</w:t>
            </w:r>
          </w:p>
          <w:p>
            <w:pPr>
              <w:pStyle w:val="TableParagraph"/>
              <w:spacing w:before="0"/>
              <w:ind w:left="0"/>
              <w:rPr>
                <w:sz w:val="22"/>
              </w:rPr>
            </w:pPr>
          </w:p>
          <w:p>
            <w:pPr>
              <w:pStyle w:val="TableParagraph"/>
              <w:spacing w:before="1"/>
              <w:ind w:right="87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60"/>
                <w:sz w:val="20"/>
              </w:rPr>
              <w:t> </w:t>
            </w:r>
            <w:r>
              <w:rPr>
                <w:sz w:val="22"/>
              </w:rPr>
              <w:t>indicates the application does not compress pictures in this workbook.</w:t>
            </w:r>
          </w:p>
          <w:p>
            <w:pPr>
              <w:pStyle w:val="TableParagraph"/>
              <w:spacing w:before="0"/>
              <w:ind w:left="0"/>
              <w:rPr>
                <w:sz w:val="22"/>
              </w:rPr>
            </w:pPr>
          </w:p>
          <w:p>
            <w:pPr>
              <w:pStyle w:val="TableParagraph"/>
              <w:spacing w:before="0"/>
              <w:rPr>
                <w:sz w:val="22"/>
              </w:rPr>
            </w:pPr>
            <w:r>
              <w:rPr>
                <w:sz w:val="22"/>
              </w:rPr>
              <w:t>The default value for this attribute is true.</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ind w:right="179"/>
              <w:rPr>
                <w:sz w:val="22"/>
              </w:rPr>
            </w:pPr>
            <w:r>
              <w:rPr>
                <w:rFonts w:ascii="Cambria"/>
                <w:sz w:val="22"/>
              </w:rPr>
              <w:t>backupFile </w:t>
            </w:r>
            <w:r>
              <w:rPr>
                <w:sz w:val="22"/>
              </w:rPr>
              <w:t>(Create Backup File)</w:t>
            </w:r>
          </w:p>
        </w:tc>
        <w:tc>
          <w:tcPr>
            <w:tcW w:w="8250" w:type="dxa"/>
          </w:tcPr>
          <w:p>
            <w:pPr>
              <w:pStyle w:val="TableParagraph"/>
              <w:ind w:right="258"/>
              <w:rPr>
                <w:sz w:val="22"/>
              </w:rPr>
            </w:pPr>
            <w:r>
              <w:rPr>
                <w:sz w:val="22"/>
              </w:rPr>
              <w:t>Specifies a boolean value that indicates whether the application creates a backup of the workbook on save.</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application creates a backup of the workbook on save.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1618"/>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60"/>
                <w:sz w:val="20"/>
              </w:rPr>
              <w:t> </w:t>
            </w:r>
            <w:r>
              <w:rPr>
                <w:sz w:val="22"/>
              </w:rPr>
              <w:t>indicates the application does not create a backup. The default value for this attribute is false.</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78" w:hRule="atLeast"/>
        </w:trPr>
        <w:tc>
          <w:tcPr>
            <w:tcW w:w="2062" w:type="dxa"/>
          </w:tcPr>
          <w:p>
            <w:pPr>
              <w:pStyle w:val="TableParagraph"/>
              <w:spacing w:before="42"/>
              <w:ind w:right="120"/>
              <w:rPr>
                <w:sz w:val="22"/>
              </w:rPr>
            </w:pPr>
            <w:r>
              <w:rPr>
                <w:rFonts w:ascii="Cambria"/>
                <w:spacing w:val="-1"/>
                <w:sz w:val="22"/>
              </w:rPr>
              <w:t>checkCompatibility </w:t>
            </w:r>
            <w:r>
              <w:rPr>
                <w:sz w:val="22"/>
              </w:rPr>
              <w:t>(Check Compatibility On Save)</w:t>
            </w:r>
          </w:p>
        </w:tc>
        <w:tc>
          <w:tcPr>
            <w:tcW w:w="8250" w:type="dxa"/>
          </w:tcPr>
          <w:p>
            <w:pPr>
              <w:pStyle w:val="TableParagraph"/>
              <w:ind w:right="217"/>
              <w:rPr>
                <w:sz w:val="22"/>
              </w:rPr>
            </w:pPr>
            <w:r>
              <w:rPr>
                <w:sz w:val="22"/>
              </w:rPr>
              <w:t>Specifies a boolean value that indicates whether the application checks for compatibility when saving this workbook to older file formats.</w:t>
            </w:r>
          </w:p>
          <w:p>
            <w:pPr>
              <w:pStyle w:val="TableParagraph"/>
              <w:spacing w:before="4"/>
              <w:ind w:left="0"/>
              <w:rPr>
                <w:rFonts w:ascii="Times New Roman"/>
                <w:sz w:val="23"/>
              </w:rPr>
            </w:pPr>
          </w:p>
          <w:p>
            <w:pPr>
              <w:pStyle w:val="TableParagraph"/>
              <w:spacing w:before="0"/>
              <w:ind w:right="119"/>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application performs a compatibility check when saving to legacy binary formats.</w:t>
            </w:r>
          </w:p>
          <w:p>
            <w:pPr>
              <w:pStyle w:val="TableParagraph"/>
              <w:spacing w:before="6"/>
              <w:ind w:left="0"/>
              <w:rPr>
                <w:rFonts w:ascii="Times New Roman"/>
                <w:sz w:val="23"/>
              </w:rPr>
            </w:pPr>
          </w:p>
          <w:p>
            <w:pPr>
              <w:pStyle w:val="TableParagraph"/>
              <w:spacing w:before="0"/>
              <w:ind w:right="417"/>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does not perform a compatibility check when saving to legacy binary formats.</w:t>
            </w:r>
          </w:p>
          <w:p>
            <w:pPr>
              <w:pStyle w:val="TableParagraph"/>
              <w:spacing w:before="2"/>
              <w:ind w:left="0"/>
              <w:rPr>
                <w:rFonts w:ascii="Times New Roman"/>
                <w:sz w:val="23"/>
              </w:rPr>
            </w:pPr>
          </w:p>
          <w:p>
            <w:pPr>
              <w:pStyle w:val="TableParagraph"/>
              <w:spacing w:before="0"/>
              <w:rPr>
                <w:sz w:val="22"/>
              </w:rPr>
            </w:pPr>
            <w:r>
              <w:rPr>
                <w:sz w:val="22"/>
              </w:rPr>
              <w:t>The default value for this attribute is false.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ind w:right="352"/>
              <w:rPr>
                <w:sz w:val="22"/>
              </w:rPr>
            </w:pPr>
            <w:r>
              <w:rPr>
                <w:rFonts w:ascii="Cambria"/>
                <w:sz w:val="22"/>
              </w:rPr>
              <w:t>codeName </w:t>
            </w:r>
            <w:r>
              <w:rPr>
                <w:sz w:val="22"/>
              </w:rPr>
              <w:t>(Code Name)</w:t>
            </w:r>
          </w:p>
        </w:tc>
        <w:tc>
          <w:tcPr>
            <w:tcW w:w="8250" w:type="dxa"/>
          </w:tcPr>
          <w:p>
            <w:pPr>
              <w:pStyle w:val="TableParagraph"/>
              <w:ind w:right="225"/>
              <w:rPr>
                <w:sz w:val="22"/>
              </w:rPr>
            </w:pPr>
            <w:r>
              <w:rPr>
                <w:sz w:val="22"/>
              </w:rPr>
              <w:t>Specifies the codename of the application that created this workbook. Use this attribute to track file content in incremental releases of the application.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r>
        <w:trPr>
          <w:trHeight w:val="3578" w:hRule="atLeast"/>
        </w:trPr>
        <w:tc>
          <w:tcPr>
            <w:tcW w:w="2062" w:type="dxa"/>
          </w:tcPr>
          <w:p>
            <w:pPr>
              <w:pStyle w:val="TableParagraph"/>
              <w:ind w:right="479"/>
              <w:rPr>
                <w:sz w:val="22"/>
              </w:rPr>
            </w:pPr>
            <w:r>
              <w:rPr>
                <w:rFonts w:ascii="Cambria"/>
                <w:sz w:val="22"/>
              </w:rPr>
              <w:t>date1904 </w:t>
            </w:r>
            <w:r>
              <w:rPr>
                <w:sz w:val="22"/>
              </w:rPr>
              <w:t>(Date 1904)</w:t>
            </w:r>
          </w:p>
        </w:tc>
        <w:tc>
          <w:tcPr>
            <w:tcW w:w="8250" w:type="dxa"/>
          </w:tcPr>
          <w:p>
            <w:pPr>
              <w:pStyle w:val="TableParagraph"/>
              <w:ind w:right="335"/>
              <w:rPr>
                <w:sz w:val="22"/>
              </w:rPr>
            </w:pPr>
            <w:r>
              <w:rPr>
                <w:sz w:val="22"/>
              </w:rPr>
              <w:t>Value that indicates whether to use a 1900 or 1904 date system when converting serial date-times in the workbook to dates.</w:t>
            </w:r>
          </w:p>
          <w:p>
            <w:pPr>
              <w:pStyle w:val="TableParagraph"/>
              <w:spacing w:before="5"/>
              <w:ind w:left="0"/>
              <w:rPr>
                <w:rFonts w:ascii="Times New Roman"/>
                <w:sz w:val="23"/>
              </w:rPr>
            </w:pPr>
          </w:p>
          <w:p>
            <w:pPr>
              <w:pStyle w:val="TableParagraph"/>
              <w:spacing w:line="480" w:lineRule="auto" w:before="0"/>
              <w:ind w:right="1600"/>
              <w:rPr>
                <w:sz w:val="22"/>
              </w:rPr>
            </w:pPr>
            <w:r>
              <w:rPr>
                <w:sz w:val="22"/>
              </w:rPr>
              <w:t>A value</w:t>
            </w:r>
            <w:r>
              <w:rPr>
                <w:spacing w:val="-2"/>
                <w:sz w:val="22"/>
              </w:rPr>
              <w:t> </w:t>
            </w:r>
            <w:r>
              <w:rPr>
                <w:sz w:val="22"/>
              </w:rPr>
              <w:t>of</w:t>
            </w:r>
            <w:r>
              <w:rPr>
                <w:spacing w:val="-1"/>
                <w:sz w:val="22"/>
              </w:rPr>
              <w:t> </w:t>
            </w:r>
            <w:r>
              <w:rPr>
                <w:rFonts w:ascii="Consolas" w:hAnsi="Consolas"/>
                <w:sz w:val="20"/>
              </w:rPr>
              <w:t>1</w:t>
            </w:r>
            <w:r>
              <w:rPr>
                <w:rFonts w:ascii="Consolas" w:hAnsi="Consolas"/>
                <w:spacing w:val="-59"/>
                <w:sz w:val="20"/>
              </w:rPr>
              <w:t> </w:t>
            </w:r>
            <w:r>
              <w:rPr>
                <w:sz w:val="22"/>
              </w:rPr>
              <w:t>or</w:t>
            </w:r>
            <w:r>
              <w:rPr>
                <w:spacing w:val="-2"/>
                <w:sz w:val="22"/>
              </w:rPr>
              <w:t> </w:t>
            </w:r>
            <w:r>
              <w:rPr>
                <w:rFonts w:ascii="Consolas" w:hAnsi="Consolas"/>
                <w:sz w:val="20"/>
              </w:rPr>
              <w:t>true</w:t>
            </w:r>
            <w:r>
              <w:rPr>
                <w:rFonts w:ascii="Consolas" w:hAnsi="Consolas"/>
                <w:spacing w:val="-62"/>
                <w:sz w:val="20"/>
              </w:rPr>
              <w:t> </w:t>
            </w:r>
            <w:r>
              <w:rPr>
                <w:sz w:val="22"/>
              </w:rPr>
              <w:t>indicates</w:t>
            </w:r>
            <w:r>
              <w:rPr>
                <w:spacing w:val="1"/>
                <w:sz w:val="22"/>
              </w:rPr>
              <w:t> </w:t>
            </w:r>
            <w:r>
              <w:rPr>
                <w:sz w:val="22"/>
              </w:rPr>
              <w:t>the</w:t>
            </w:r>
            <w:r>
              <w:rPr>
                <w:spacing w:val="-3"/>
                <w:sz w:val="22"/>
              </w:rPr>
              <w:t> </w:t>
            </w:r>
            <w:r>
              <w:rPr>
                <w:sz w:val="22"/>
              </w:rPr>
              <w:t>workbook</w:t>
            </w:r>
            <w:r>
              <w:rPr>
                <w:spacing w:val="1"/>
                <w:sz w:val="22"/>
              </w:rPr>
              <w:t> </w:t>
            </w:r>
            <w:r>
              <w:rPr>
                <w:sz w:val="22"/>
              </w:rPr>
              <w:t>uses</w:t>
            </w:r>
            <w:r>
              <w:rPr>
                <w:spacing w:val="-2"/>
                <w:sz w:val="22"/>
              </w:rPr>
              <w:t> </w:t>
            </w:r>
            <w:r>
              <w:rPr>
                <w:sz w:val="22"/>
              </w:rPr>
              <w:t>the</w:t>
            </w:r>
            <w:r>
              <w:rPr>
                <w:spacing w:val="-1"/>
                <w:sz w:val="22"/>
              </w:rPr>
              <w:t> </w:t>
            </w:r>
            <w:r>
              <w:rPr>
                <w:sz w:val="22"/>
              </w:rPr>
              <w:t>1904</w:t>
            </w:r>
            <w:r>
              <w:rPr>
                <w:spacing w:val="1"/>
                <w:sz w:val="22"/>
              </w:rPr>
              <w:t> </w:t>
            </w:r>
            <w:r>
              <w:rPr>
                <w:sz w:val="22"/>
              </w:rPr>
              <w:t>date</w:t>
            </w:r>
            <w:r>
              <w:rPr>
                <w:spacing w:val="-2"/>
                <w:sz w:val="22"/>
              </w:rPr>
              <w:t> </w:t>
            </w:r>
            <w:r>
              <w:rPr>
                <w:sz w:val="22"/>
              </w:rPr>
              <w:t>system. A</w:t>
            </w:r>
            <w:r>
              <w:rPr>
                <w:spacing w:val="-2"/>
                <w:sz w:val="22"/>
              </w:rPr>
              <w:t> </w:t>
            </w:r>
            <w:r>
              <w:rPr>
                <w:sz w:val="22"/>
              </w:rPr>
              <w:t>value</w:t>
            </w:r>
            <w:r>
              <w:rPr>
                <w:spacing w:val="-3"/>
                <w:sz w:val="22"/>
              </w:rPr>
              <w:t> </w:t>
            </w:r>
            <w:r>
              <w:rPr>
                <w:sz w:val="22"/>
              </w:rPr>
              <w:t>of</w:t>
            </w:r>
            <w:r>
              <w:rPr>
                <w:spacing w:val="-3"/>
                <w:sz w:val="22"/>
              </w:rPr>
              <w:t> </w:t>
            </w:r>
            <w:r>
              <w:rPr>
                <w:rFonts w:ascii="Consolas" w:hAnsi="Consolas"/>
                <w:sz w:val="20"/>
              </w:rPr>
              <w:t>0</w:t>
            </w:r>
            <w:r>
              <w:rPr>
                <w:rFonts w:ascii="Consolas" w:hAnsi="Consolas"/>
                <w:spacing w:val="-61"/>
                <w:sz w:val="20"/>
              </w:rPr>
              <w:t> </w:t>
            </w:r>
            <w:r>
              <w:rPr>
                <w:sz w:val="22"/>
              </w:rPr>
              <w:t>or</w:t>
            </w:r>
            <w:r>
              <w:rPr>
                <w:spacing w:val="-3"/>
                <w:sz w:val="22"/>
              </w:rPr>
              <w:t> </w:t>
            </w:r>
            <w:r>
              <w:rPr>
                <w:rFonts w:ascii="Consolas" w:hAnsi="Consolas"/>
                <w:sz w:val="20"/>
              </w:rPr>
              <w:t>false</w:t>
            </w:r>
            <w:r>
              <w:rPr>
                <w:rFonts w:ascii="Consolas" w:hAnsi="Consolas"/>
                <w:spacing w:val="-60"/>
                <w:sz w:val="20"/>
              </w:rPr>
              <w:t> </w:t>
            </w:r>
            <w:r>
              <w:rPr>
                <w:sz w:val="22"/>
              </w:rPr>
              <w:t>indicates</w:t>
            </w:r>
            <w:r>
              <w:rPr>
                <w:spacing w:val="-1"/>
                <w:sz w:val="22"/>
              </w:rPr>
              <w:t> </w:t>
            </w:r>
            <w:r>
              <w:rPr>
                <w:sz w:val="22"/>
              </w:rPr>
              <w:t>the</w:t>
            </w:r>
            <w:r>
              <w:rPr>
                <w:spacing w:val="-1"/>
                <w:sz w:val="22"/>
              </w:rPr>
              <w:t> </w:t>
            </w:r>
            <w:r>
              <w:rPr>
                <w:sz w:val="22"/>
              </w:rPr>
              <w:t>workbook uses</w:t>
            </w:r>
            <w:r>
              <w:rPr>
                <w:spacing w:val="-1"/>
                <w:sz w:val="22"/>
              </w:rPr>
              <w:t> </w:t>
            </w:r>
            <w:r>
              <w:rPr>
                <w:sz w:val="22"/>
              </w:rPr>
              <w:t>the 1900</w:t>
            </w:r>
            <w:r>
              <w:rPr>
                <w:spacing w:val="-1"/>
                <w:sz w:val="22"/>
              </w:rPr>
              <w:t> </w:t>
            </w:r>
            <w:r>
              <w:rPr>
                <w:sz w:val="22"/>
              </w:rPr>
              <w:t>date system. (See §</w:t>
            </w:r>
            <w:hyperlink w:history="true" w:anchor="_bookmark446">
              <w:r>
                <w:rPr>
                  <w:sz w:val="22"/>
                </w:rPr>
                <w:t>18.17.4.1 </w:t>
              </w:r>
            </w:hyperlink>
            <w:r>
              <w:rPr>
                <w:sz w:val="22"/>
              </w:rPr>
              <w:t>for the definition of the date</w:t>
            </w:r>
            <w:r>
              <w:rPr>
                <w:spacing w:val="-12"/>
                <w:sz w:val="22"/>
              </w:rPr>
              <w:t> </w:t>
            </w:r>
            <w:r>
              <w:rPr>
                <w:sz w:val="22"/>
              </w:rPr>
              <w:t>systems.)</w:t>
            </w:r>
          </w:p>
          <w:p>
            <w:pPr>
              <w:pStyle w:val="TableParagraph"/>
              <w:spacing w:before="1"/>
              <w:rPr>
                <w:sz w:val="22"/>
              </w:rPr>
            </w:pPr>
            <w:r>
              <w:rPr>
                <w:sz w:val="22"/>
              </w:rPr>
              <w:t>The default value for this attribute is false.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965" w:hRule="atLeast"/>
        </w:trPr>
        <w:tc>
          <w:tcPr>
            <w:tcW w:w="2062" w:type="dxa"/>
          </w:tcPr>
          <w:p>
            <w:pPr>
              <w:pStyle w:val="TableParagraph"/>
              <w:spacing w:line="237" w:lineRule="auto" w:before="45"/>
              <w:ind w:right="121"/>
              <w:rPr>
                <w:sz w:val="22"/>
              </w:rPr>
            </w:pPr>
            <w:r>
              <w:rPr>
                <w:rFonts w:ascii="Cambria"/>
                <w:sz w:val="22"/>
              </w:rPr>
              <w:t>defaultThemeVersi on </w:t>
            </w:r>
            <w:r>
              <w:rPr>
                <w:sz w:val="22"/>
              </w:rPr>
              <w:t>(Default Theme Version)</w:t>
            </w:r>
          </w:p>
        </w:tc>
        <w:tc>
          <w:tcPr>
            <w:tcW w:w="8250" w:type="dxa"/>
          </w:tcPr>
          <w:p>
            <w:pPr>
              <w:pStyle w:val="TableParagraph"/>
              <w:rPr>
                <w:sz w:val="22"/>
              </w:rPr>
            </w:pPr>
            <w:r>
              <w:rPr>
                <w:sz w:val="22"/>
              </w:rPr>
              <w:t>Specifies the default version of themes to apply in the workbook.</w:t>
            </w:r>
          </w:p>
          <w:p>
            <w:pPr>
              <w:pStyle w:val="TableParagraph"/>
              <w:spacing w:before="5"/>
              <w:ind w:left="0"/>
              <w:rPr>
                <w:rFonts w:ascii="Times New Roman"/>
                <w:sz w:val="23"/>
              </w:rPr>
            </w:pPr>
          </w:p>
          <w:p>
            <w:pPr>
              <w:pStyle w:val="TableParagraph"/>
              <w:spacing w:before="0"/>
              <w:ind w:right="151"/>
              <w:rPr>
                <w:sz w:val="22"/>
              </w:rPr>
            </w:pPr>
            <w:r>
              <w:rPr>
                <w:sz w:val="22"/>
              </w:rPr>
              <w:t>The value for </w:t>
            </w:r>
            <w:r>
              <w:rPr>
                <w:rFonts w:ascii="Cambria"/>
                <w:sz w:val="22"/>
              </w:rPr>
              <w:t>defaultThemeVersion </w:t>
            </w:r>
            <w:r>
              <w:rPr>
                <w:sz w:val="22"/>
              </w:rPr>
              <w:t>depends on the application. SpreadsheetML defaults to the form [version][build], where [version] refers to the version of the application, and [build] refers to the build of the application when the themes in the user interface</w:t>
            </w:r>
            <w:r>
              <w:rPr>
                <w:spacing w:val="-2"/>
                <w:sz w:val="22"/>
              </w:rPr>
              <w:t> </w:t>
            </w:r>
            <w:r>
              <w:rPr>
                <w:sz w:val="22"/>
              </w:rPr>
              <w:t>changed.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4113" w:hRule="atLeast"/>
        </w:trPr>
        <w:tc>
          <w:tcPr>
            <w:tcW w:w="2062" w:type="dxa"/>
          </w:tcPr>
          <w:p>
            <w:pPr>
              <w:pStyle w:val="TableParagraph"/>
              <w:ind w:right="176"/>
              <w:rPr>
                <w:sz w:val="22"/>
              </w:rPr>
            </w:pPr>
            <w:r>
              <w:rPr>
                <w:rFonts w:ascii="Cambria"/>
                <w:sz w:val="22"/>
              </w:rPr>
              <w:t>filterPrivacy </w:t>
            </w:r>
            <w:r>
              <w:rPr>
                <w:sz w:val="22"/>
              </w:rPr>
              <w:t>(Filter Privacy)</w:t>
            </w:r>
          </w:p>
        </w:tc>
        <w:tc>
          <w:tcPr>
            <w:tcW w:w="8250" w:type="dxa"/>
          </w:tcPr>
          <w:p>
            <w:pPr>
              <w:pStyle w:val="TableParagraph"/>
              <w:ind w:right="382"/>
              <w:rPr>
                <w:sz w:val="22"/>
              </w:rPr>
            </w:pPr>
            <w:r>
              <w:rPr>
                <w:sz w:val="22"/>
              </w:rPr>
              <w:t>Specifies a boolean value that indicates whether the application has inspected the workbook for personally identifying information (PII). If this flag is set, the application warns the user any time the user performs an action that will insert PII into the document. [</w:t>
            </w:r>
            <w:r>
              <w:rPr>
                <w:i/>
                <w:sz w:val="22"/>
              </w:rPr>
              <w:t>Example</w:t>
            </w:r>
            <w:r>
              <w:rPr>
                <w:sz w:val="22"/>
              </w:rPr>
              <w:t>: Inserting a comment might insert the user's name. </w:t>
            </w:r>
            <w:r>
              <w:rPr>
                <w:i/>
                <w:sz w:val="22"/>
              </w:rPr>
              <w:t>end example</w:t>
            </w:r>
            <w:r>
              <w:rPr>
                <w:sz w:val="22"/>
              </w:rPr>
              <w:t>]</w:t>
            </w:r>
          </w:p>
          <w:p>
            <w:pPr>
              <w:pStyle w:val="TableParagraph"/>
              <w:spacing w:before="2"/>
              <w:ind w:left="0"/>
              <w:rPr>
                <w:rFonts w:ascii="Times New Roman"/>
                <w:sz w:val="23"/>
              </w:rPr>
            </w:pPr>
          </w:p>
          <w:p>
            <w:pPr>
              <w:pStyle w:val="TableParagraph"/>
              <w:spacing w:before="1"/>
              <w:ind w:right="19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application will warn the user when they insert PII into the workbook.</w:t>
            </w:r>
          </w:p>
          <w:p>
            <w:pPr>
              <w:pStyle w:val="TableParagraph"/>
              <w:spacing w:before="4"/>
              <w:ind w:left="0"/>
              <w:rPr>
                <w:rFonts w:ascii="Times New Roman"/>
                <w:sz w:val="23"/>
              </w:rPr>
            </w:pPr>
          </w:p>
          <w:p>
            <w:pPr>
              <w:pStyle w:val="TableParagraph"/>
              <w:spacing w:before="0"/>
              <w:ind w:right="136"/>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will not warn the user when they insert PII into the workbook; the workbook has not been inspected for PII.</w:t>
            </w:r>
          </w:p>
          <w:p>
            <w:pPr>
              <w:pStyle w:val="TableParagraph"/>
              <w:spacing w:before="6"/>
              <w:ind w:left="0"/>
              <w:rPr>
                <w:rFonts w:ascii="Times New Roman"/>
                <w:sz w:val="23"/>
              </w:rPr>
            </w:pPr>
          </w:p>
          <w:p>
            <w:pPr>
              <w:pStyle w:val="TableParagraph"/>
              <w:spacing w:before="0"/>
              <w:rPr>
                <w:sz w:val="22"/>
              </w:rPr>
            </w:pPr>
            <w:r>
              <w:rPr>
                <w:sz w:val="22"/>
              </w:rPr>
              <w:t>The default value for this attribute is false.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before="42"/>
              <w:ind w:right="200"/>
              <w:rPr>
                <w:sz w:val="22"/>
              </w:rPr>
            </w:pPr>
            <w:r>
              <w:rPr>
                <w:rFonts w:ascii="Cambria"/>
                <w:sz w:val="22"/>
              </w:rPr>
              <w:t>hidePivotFieldList </w:t>
            </w:r>
            <w:r>
              <w:rPr>
                <w:sz w:val="22"/>
              </w:rPr>
              <w:t>(Hide Pivot Field List)</w:t>
            </w:r>
          </w:p>
        </w:tc>
        <w:tc>
          <w:tcPr>
            <w:tcW w:w="8250" w:type="dxa"/>
          </w:tcPr>
          <w:p>
            <w:pPr>
              <w:pStyle w:val="TableParagraph"/>
              <w:ind w:right="109"/>
              <w:rPr>
                <w:sz w:val="22"/>
              </w:rPr>
            </w:pPr>
            <w:r>
              <w:rPr>
                <w:sz w:val="22"/>
              </w:rPr>
              <w:t>Specifies a boolean value that indicates whether a list of fields is shown for pivot tables in the application user interface.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 list of fields is show for pivot tables.</w:t>
            </w:r>
          </w:p>
          <w:p>
            <w:pPr>
              <w:pStyle w:val="TableParagraph"/>
              <w:spacing w:before="5"/>
              <w:ind w:left="0"/>
              <w:rPr>
                <w:rFonts w:ascii="Times New Roman"/>
                <w:sz w:val="23"/>
              </w:rPr>
            </w:pPr>
          </w:p>
          <w:p>
            <w:pPr>
              <w:pStyle w:val="TableParagraph"/>
              <w:spacing w:line="480" w:lineRule="auto" w:before="0"/>
              <w:ind w:right="149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a list of fields is not shown for pivot tables. The default value for this attribute is false.</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spacing w:line="237" w:lineRule="auto" w:before="45"/>
              <w:ind w:right="100"/>
              <w:rPr>
                <w:sz w:val="22"/>
              </w:rPr>
            </w:pPr>
            <w:r>
              <w:rPr>
                <w:rFonts w:ascii="Cambria"/>
                <w:sz w:val="22"/>
              </w:rPr>
              <w:t>promptedSolutions </w:t>
            </w:r>
            <w:r>
              <w:rPr>
                <w:sz w:val="22"/>
              </w:rPr>
              <w:t>(Prompted Solutions)</w:t>
            </w:r>
          </w:p>
        </w:tc>
        <w:tc>
          <w:tcPr>
            <w:tcW w:w="8250" w:type="dxa"/>
          </w:tcPr>
          <w:p>
            <w:pPr>
              <w:pStyle w:val="TableParagraph"/>
              <w:ind w:right="414"/>
              <w:rPr>
                <w:sz w:val="22"/>
              </w:rPr>
            </w:pPr>
            <w:r>
              <w:rPr>
                <w:sz w:val="22"/>
              </w:rPr>
              <w:t>Specifies a boolean value that indicates whether the user has received an alert to load Smart Document components.</w:t>
            </w:r>
          </w:p>
          <w:p>
            <w:pPr>
              <w:pStyle w:val="TableParagraph"/>
              <w:spacing w:before="4"/>
              <w:ind w:left="0"/>
              <w:rPr>
                <w:rFonts w:ascii="Times New Roman"/>
                <w:sz w:val="23"/>
              </w:rPr>
            </w:pPr>
          </w:p>
          <w:p>
            <w:pPr>
              <w:pStyle w:val="TableParagraph"/>
              <w:spacing w:line="480" w:lineRule="auto" w:before="0"/>
              <w:ind w:right="147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user received an alert to load SmartDoc.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user did not receive an alert.</w:t>
            </w:r>
          </w:p>
          <w:p>
            <w:pPr>
              <w:pStyle w:val="TableParagraph"/>
              <w:spacing w:line="267" w:lineRule="exact" w:before="0"/>
              <w:rPr>
                <w:sz w:val="22"/>
              </w:rPr>
            </w:pPr>
            <w:r>
              <w:rPr>
                <w:sz w:val="22"/>
              </w:rPr>
              <w:t>The default value for this attribute is false.</w:t>
            </w:r>
          </w:p>
          <w:p>
            <w:pPr>
              <w:pStyle w:val="TableParagraph"/>
              <w:spacing w:before="5"/>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spacing w:line="256" w:lineRule="exact" w:before="42"/>
              <w:rPr>
                <w:rFonts w:ascii="Cambria"/>
                <w:sz w:val="22"/>
              </w:rPr>
            </w:pPr>
            <w:r>
              <w:rPr>
                <w:rFonts w:ascii="Cambria"/>
                <w:sz w:val="22"/>
              </w:rPr>
              <w:t>publishItems</w:t>
            </w:r>
          </w:p>
          <w:p>
            <w:pPr>
              <w:pStyle w:val="TableParagraph"/>
              <w:spacing w:line="267" w:lineRule="exact" w:before="0"/>
              <w:rPr>
                <w:sz w:val="22"/>
              </w:rPr>
            </w:pPr>
            <w:r>
              <w:rPr>
                <w:sz w:val="22"/>
              </w:rPr>
              <w:t>(Publish Items)</w:t>
            </w:r>
          </w:p>
        </w:tc>
        <w:tc>
          <w:tcPr>
            <w:tcW w:w="8250" w:type="dxa"/>
          </w:tcPr>
          <w:p>
            <w:pPr>
              <w:pStyle w:val="TableParagraph"/>
              <w:ind w:right="250"/>
              <w:rPr>
                <w:sz w:val="22"/>
              </w:rPr>
            </w:pPr>
            <w:r>
              <w:rPr>
                <w:sz w:val="22"/>
              </w:rPr>
              <w:t>Specifies a boolean value that indicates whether the publish the workbook or workbook items to the application server.</w:t>
            </w:r>
          </w:p>
          <w:p>
            <w:pPr>
              <w:pStyle w:val="TableParagraph"/>
              <w:spacing w:line="530" w:lineRule="atLeast" w:before="7"/>
              <w:ind w:right="2244"/>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that workbook items are published. A value of </w:t>
            </w:r>
            <w:r>
              <w:rPr>
                <w:rFonts w:ascii="Consolas"/>
                <w:sz w:val="20"/>
              </w:rPr>
              <w:t>0 </w:t>
            </w:r>
            <w:r>
              <w:rPr>
                <w:sz w:val="22"/>
              </w:rPr>
              <w:t>or </w:t>
            </w:r>
            <w:r>
              <w:rPr>
                <w:rFonts w:ascii="Consolas"/>
                <w:sz w:val="20"/>
              </w:rPr>
              <w:t>false</w:t>
            </w:r>
            <w:r>
              <w:rPr>
                <w:rFonts w:ascii="Consolas"/>
                <w:spacing w:val="-74"/>
                <w:sz w:val="20"/>
              </w:rPr>
              <w:t> </w:t>
            </w:r>
            <w:r>
              <w:rPr>
                <w:sz w:val="22"/>
              </w:rPr>
              <w:t>indicates that the workbook is published.</w:t>
            </w:r>
          </w:p>
        </w:tc>
      </w:tr>
    </w:tbl>
    <w:p>
      <w:pPr>
        <w:spacing w:after="0" w:line="530" w:lineRule="atLeast"/>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sz w:val="22"/>
              </w:rPr>
              <w:t>The default value for this attribute is </w:t>
            </w:r>
            <w:r>
              <w:rPr>
                <w:rFonts w:ascii="Consolas"/>
                <w:sz w:val="20"/>
              </w:rPr>
              <w:t>false</w:t>
            </w:r>
            <w:r>
              <w:rPr>
                <w:sz w:val="22"/>
              </w:rPr>
              <w: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968" w:hRule="atLeast"/>
        </w:trPr>
        <w:tc>
          <w:tcPr>
            <w:tcW w:w="2062" w:type="dxa"/>
          </w:tcPr>
          <w:p>
            <w:pPr>
              <w:pStyle w:val="TableParagraph"/>
              <w:spacing w:before="42"/>
              <w:ind w:right="155"/>
              <w:rPr>
                <w:sz w:val="22"/>
              </w:rPr>
            </w:pPr>
            <w:r>
              <w:rPr>
                <w:rFonts w:ascii="Cambria"/>
                <w:sz w:val="22"/>
              </w:rPr>
              <w:t>refreshAllConnecti ons </w:t>
            </w:r>
            <w:r>
              <w:rPr>
                <w:sz w:val="22"/>
              </w:rPr>
              <w:t>(Refresh all Connections on Open)</w:t>
            </w:r>
          </w:p>
        </w:tc>
        <w:tc>
          <w:tcPr>
            <w:tcW w:w="8250" w:type="dxa"/>
          </w:tcPr>
          <w:p>
            <w:pPr>
              <w:pStyle w:val="TableParagraph"/>
              <w:ind w:right="850"/>
              <w:rPr>
                <w:sz w:val="22"/>
              </w:rPr>
            </w:pPr>
            <w:r>
              <w:rPr>
                <w:sz w:val="22"/>
              </w:rPr>
              <w:t>Specifies a boolean value that indicates whether the workbok shall refresh all the connections to data sources during load.</w:t>
            </w:r>
          </w:p>
          <w:p>
            <w:pPr>
              <w:pStyle w:val="TableParagraph"/>
              <w:spacing w:before="4"/>
              <w:ind w:left="0"/>
              <w:rPr>
                <w:rFonts w:ascii="Times New Roman"/>
                <w:sz w:val="23"/>
              </w:rPr>
            </w:pPr>
          </w:p>
          <w:p>
            <w:pPr>
              <w:pStyle w:val="TableParagraph"/>
              <w:spacing w:before="0"/>
              <w:rPr>
                <w:sz w:val="22"/>
              </w:rPr>
            </w:pPr>
            <w:r>
              <w:rPr>
                <w:sz w:val="22"/>
              </w:rPr>
              <w:t>The default value for this attribute is </w:t>
            </w:r>
            <w:r>
              <w:rPr>
                <w:rFonts w:ascii="Consolas"/>
                <w:sz w:val="20"/>
              </w:rPr>
              <w:t>false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6" w:hRule="atLeast"/>
        </w:trPr>
        <w:tc>
          <w:tcPr>
            <w:tcW w:w="2062" w:type="dxa"/>
          </w:tcPr>
          <w:p>
            <w:pPr>
              <w:pStyle w:val="TableParagraph"/>
              <w:spacing w:line="237" w:lineRule="auto" w:before="45"/>
              <w:ind w:right="127"/>
              <w:jc w:val="both"/>
              <w:rPr>
                <w:sz w:val="22"/>
              </w:rPr>
            </w:pPr>
            <w:r>
              <w:rPr>
                <w:rFonts w:ascii="Cambria"/>
                <w:sz w:val="22"/>
              </w:rPr>
              <w:t>saveExternalLinkV alues </w:t>
            </w:r>
            <w:r>
              <w:rPr>
                <w:sz w:val="22"/>
              </w:rPr>
              <w:t>(Save External Link Values)</w:t>
            </w:r>
          </w:p>
        </w:tc>
        <w:tc>
          <w:tcPr>
            <w:tcW w:w="8250" w:type="dxa"/>
          </w:tcPr>
          <w:p>
            <w:pPr>
              <w:pStyle w:val="TableParagraph"/>
              <w:ind w:right="106"/>
              <w:rPr>
                <w:sz w:val="22"/>
              </w:rPr>
            </w:pPr>
            <w:r>
              <w:rPr>
                <w:sz w:val="22"/>
              </w:rPr>
              <w:t>Specifies a boolean value that indicates whether the application will cache values retrieved from other workbooks via an externally linking formula. Data is cached at</w:t>
            </w:r>
            <w:r>
              <w:rPr>
                <w:spacing w:val="-18"/>
                <w:sz w:val="22"/>
              </w:rPr>
              <w:t> </w:t>
            </w:r>
            <w:r>
              <w:rPr>
                <w:sz w:val="22"/>
              </w:rPr>
              <w:t>save.</w:t>
            </w:r>
          </w:p>
          <w:p>
            <w:pPr>
              <w:pStyle w:val="TableParagraph"/>
              <w:spacing w:before="2"/>
              <w:ind w:left="0"/>
              <w:rPr>
                <w:rFonts w:ascii="Times New Roman"/>
                <w:sz w:val="23"/>
              </w:rPr>
            </w:pPr>
          </w:p>
          <w:p>
            <w:pPr>
              <w:pStyle w:val="TableParagraph"/>
              <w:spacing w:before="0"/>
              <w:ind w:right="106"/>
              <w:rPr>
                <w:sz w:val="22"/>
              </w:rPr>
            </w:pPr>
            <w:r>
              <w:rPr>
                <w:sz w:val="22"/>
              </w:rPr>
              <w:t>A value of </w:t>
            </w:r>
            <w:r>
              <w:rPr>
                <w:rFonts w:ascii="Consolas"/>
                <w:sz w:val="20"/>
              </w:rPr>
              <w:t>1 </w:t>
            </w:r>
            <w:r>
              <w:rPr>
                <w:sz w:val="22"/>
              </w:rPr>
              <w:t>or </w:t>
            </w:r>
            <w:r>
              <w:rPr>
                <w:rFonts w:ascii="Consolas"/>
                <w:sz w:val="20"/>
              </w:rPr>
              <w:t>true </w:t>
            </w:r>
            <w:r>
              <w:rPr>
                <w:sz w:val="22"/>
              </w:rPr>
              <w:t>indicates data from externally linked formulas is cached. A supporting part is written out containing a cached cell table from the external</w:t>
            </w:r>
            <w:r>
              <w:rPr>
                <w:spacing w:val="-18"/>
                <w:sz w:val="22"/>
              </w:rPr>
              <w:t> </w:t>
            </w:r>
            <w:r>
              <w:rPr>
                <w:sz w:val="22"/>
              </w:rPr>
              <w:t>workbook.</w:t>
            </w:r>
          </w:p>
          <w:p>
            <w:pPr>
              <w:pStyle w:val="TableParagraph"/>
              <w:spacing w:before="5"/>
              <w:ind w:left="0"/>
              <w:rPr>
                <w:rFonts w:ascii="Times New Roman"/>
                <w:sz w:val="23"/>
              </w:rPr>
            </w:pPr>
          </w:p>
          <w:p>
            <w:pPr>
              <w:pStyle w:val="TableParagraph"/>
              <w:spacing w:line="480" w:lineRule="auto" w:before="0"/>
              <w:ind w:right="778"/>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data from externally linked formulas is not cached. The default value for this attribute is true.</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before="43"/>
              <w:ind w:right="117"/>
              <w:rPr>
                <w:sz w:val="22"/>
              </w:rPr>
            </w:pPr>
            <w:r>
              <w:rPr>
                <w:rFonts w:ascii="Cambria"/>
                <w:sz w:val="22"/>
              </w:rPr>
              <w:t>showBorderUnsele ctedTables </w:t>
            </w:r>
            <w:r>
              <w:rPr>
                <w:sz w:val="22"/>
              </w:rPr>
              <w:t>(Show Border Unselected Table)</w:t>
            </w:r>
          </w:p>
        </w:tc>
        <w:tc>
          <w:tcPr>
            <w:tcW w:w="8250" w:type="dxa"/>
          </w:tcPr>
          <w:p>
            <w:pPr>
              <w:pStyle w:val="TableParagraph"/>
              <w:ind w:right="439"/>
              <w:rPr>
                <w:sz w:val="22"/>
              </w:rPr>
            </w:pPr>
            <w:r>
              <w:rPr>
                <w:sz w:val="22"/>
              </w:rPr>
              <w:t>Specifies a boolean value that indicates whether a border is drawn around unselected tables in the workbook.</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borders are drawn around unselected tables.</w:t>
            </w:r>
          </w:p>
          <w:p>
            <w:pPr>
              <w:pStyle w:val="TableParagraph"/>
              <w:spacing w:before="4"/>
              <w:ind w:left="0"/>
              <w:rPr>
                <w:rFonts w:ascii="Times New Roman"/>
                <w:sz w:val="23"/>
              </w:rPr>
            </w:pPr>
          </w:p>
          <w:p>
            <w:pPr>
              <w:pStyle w:val="TableParagraph"/>
              <w:spacing w:line="480" w:lineRule="auto" w:before="0"/>
              <w:ind w:right="93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borders are not drawn around unselected tables. The default value for this attribute is true.</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503" w:hRule="atLeast"/>
        </w:trPr>
        <w:tc>
          <w:tcPr>
            <w:tcW w:w="2062" w:type="dxa"/>
          </w:tcPr>
          <w:p>
            <w:pPr>
              <w:pStyle w:val="TableParagraph"/>
              <w:spacing w:before="42"/>
              <w:ind w:right="170"/>
              <w:rPr>
                <w:sz w:val="22"/>
              </w:rPr>
            </w:pPr>
            <w:r>
              <w:rPr>
                <w:rFonts w:ascii="Cambria"/>
                <w:sz w:val="22"/>
              </w:rPr>
              <w:t>showInkAnnotatio n </w:t>
            </w:r>
            <w:r>
              <w:rPr>
                <w:sz w:val="22"/>
              </w:rPr>
              <w:t>(Show Ink Annotations)</w:t>
            </w:r>
          </w:p>
        </w:tc>
        <w:tc>
          <w:tcPr>
            <w:tcW w:w="8250" w:type="dxa"/>
          </w:tcPr>
          <w:p>
            <w:pPr>
              <w:pStyle w:val="TableParagraph"/>
              <w:spacing w:line="480" w:lineRule="auto"/>
              <w:ind w:right="832"/>
              <w:rPr>
                <w:sz w:val="22"/>
              </w:rPr>
            </w:pPr>
            <w:r>
              <w:rPr>
                <w:sz w:val="22"/>
              </w:rPr>
              <w:t>Specifies a boolean value that indicates whether the book shows ink annotations.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ink annotations are shown in the workbook.</w:t>
            </w:r>
          </w:p>
          <w:p>
            <w:pPr>
              <w:pStyle w:val="TableParagraph"/>
              <w:spacing w:line="480" w:lineRule="auto" w:before="1"/>
              <w:ind w:right="60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that ink annotations are not shown in the workbook. The default value for this attribute is true.</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tc>
      </w:tr>
    </w:tbl>
    <w:p>
      <w:pPr>
        <w:spacing w:after="0" w:line="267" w:lineRule="exact"/>
        <w:rPr>
          <w:rFonts w:ascii="Cambria"/>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2233" w:hRule="atLeast"/>
        </w:trPr>
        <w:tc>
          <w:tcPr>
            <w:tcW w:w="2062" w:type="dxa"/>
          </w:tcPr>
          <w:p>
            <w:pPr>
              <w:pStyle w:val="TableParagraph"/>
              <w:ind w:right="112"/>
              <w:rPr>
                <w:sz w:val="22"/>
              </w:rPr>
            </w:pPr>
            <w:r>
              <w:rPr>
                <w:rFonts w:ascii="Cambria"/>
                <w:sz w:val="22"/>
              </w:rPr>
              <w:t>showObjects </w:t>
            </w:r>
            <w:r>
              <w:rPr>
                <w:sz w:val="22"/>
              </w:rPr>
              <w:t>(Show Objects)</w:t>
            </w:r>
          </w:p>
        </w:tc>
        <w:tc>
          <w:tcPr>
            <w:tcW w:w="8250" w:type="dxa"/>
          </w:tcPr>
          <w:p>
            <w:pPr>
              <w:pStyle w:val="TableParagraph"/>
              <w:spacing w:line="480" w:lineRule="auto"/>
              <w:ind w:right="1603"/>
              <w:rPr>
                <w:sz w:val="22"/>
              </w:rPr>
            </w:pPr>
            <w:r>
              <w:rPr>
                <w:sz w:val="22"/>
              </w:rPr>
              <w:t>Specifies how the application shows embedded objects in the workbook. This attribute it optional.</w:t>
            </w:r>
          </w:p>
          <w:p>
            <w:pPr>
              <w:pStyle w:val="TableParagraph"/>
              <w:spacing w:line="267" w:lineRule="exact" w:before="0"/>
              <w:rPr>
                <w:sz w:val="22"/>
              </w:rPr>
            </w:pPr>
            <w:r>
              <w:rPr>
                <w:sz w:val="22"/>
              </w:rPr>
              <w:t>The default value for this attribute is "all."</w:t>
            </w:r>
          </w:p>
          <w:p>
            <w:pPr>
              <w:pStyle w:val="TableParagraph"/>
              <w:spacing w:before="4"/>
              <w:ind w:left="0"/>
              <w:rPr>
                <w:rFonts w:ascii="Times New Roman"/>
                <w:sz w:val="23"/>
              </w:rPr>
            </w:pPr>
          </w:p>
          <w:p>
            <w:pPr>
              <w:pStyle w:val="TableParagraph"/>
              <w:spacing w:before="0"/>
              <w:ind w:right="1009"/>
              <w:rPr>
                <w:sz w:val="22"/>
              </w:rPr>
            </w:pPr>
            <w:r>
              <w:rPr>
                <w:sz w:val="22"/>
              </w:rPr>
              <w:t>The possible values for this attribute are defined by the </w:t>
            </w:r>
            <w:r>
              <w:rPr>
                <w:rFonts w:ascii="Cambria" w:hAnsi="Cambria"/>
                <w:sz w:val="22"/>
              </w:rPr>
              <w:t>ST_Objects </w:t>
            </w:r>
            <w:r>
              <w:rPr>
                <w:sz w:val="22"/>
              </w:rPr>
              <w:t>simple type </w:t>
            </w:r>
            <w:hyperlink w:history="true" w:anchor="_bookmark870">
              <w:r>
                <w:rPr>
                  <w:sz w:val="22"/>
                </w:rPr>
                <w:t>(§18.18.48</w:t>
              </w:r>
            </w:hyperlink>
            <w:r>
              <w:rPr>
                <w:sz w:val="22"/>
              </w:rPr>
              <w:t>).</w:t>
            </w:r>
          </w:p>
        </w:tc>
      </w:tr>
      <w:tr>
        <w:trPr>
          <w:trHeight w:val="3041" w:hRule="atLeast"/>
        </w:trPr>
        <w:tc>
          <w:tcPr>
            <w:tcW w:w="2062" w:type="dxa"/>
          </w:tcPr>
          <w:p>
            <w:pPr>
              <w:pStyle w:val="TableParagraph"/>
              <w:spacing w:line="237" w:lineRule="auto" w:before="45"/>
              <w:ind w:right="112"/>
              <w:rPr>
                <w:sz w:val="22"/>
              </w:rPr>
            </w:pPr>
            <w:r>
              <w:rPr>
                <w:rFonts w:ascii="Cambria"/>
                <w:spacing w:val="-1"/>
                <w:sz w:val="22"/>
              </w:rPr>
              <w:t>showPivotChartFilt </w:t>
            </w:r>
            <w:r>
              <w:rPr>
                <w:rFonts w:ascii="Cambria"/>
                <w:sz w:val="22"/>
              </w:rPr>
              <w:t>er </w:t>
            </w:r>
            <w:r>
              <w:rPr>
                <w:sz w:val="22"/>
              </w:rPr>
              <w:t>(Show Pivot Chart</w:t>
            </w:r>
            <w:r>
              <w:rPr>
                <w:spacing w:val="-1"/>
                <w:sz w:val="22"/>
              </w:rPr>
              <w:t> </w:t>
            </w:r>
            <w:r>
              <w:rPr>
                <w:sz w:val="22"/>
              </w:rPr>
              <w:t>Filter)</w:t>
            </w:r>
          </w:p>
        </w:tc>
        <w:tc>
          <w:tcPr>
            <w:tcW w:w="8250" w:type="dxa"/>
          </w:tcPr>
          <w:p>
            <w:pPr>
              <w:pStyle w:val="TableParagraph"/>
              <w:ind w:right="517"/>
              <w:rPr>
                <w:sz w:val="22"/>
              </w:rPr>
            </w:pPr>
            <w:r>
              <w:rPr>
                <w:sz w:val="22"/>
              </w:rPr>
              <w:t>Specifies a boolean value that indicates whether filtering options are shown for pivot charts in the workbook.</w:t>
            </w:r>
          </w:p>
          <w:p>
            <w:pPr>
              <w:pStyle w:val="TableParagraph"/>
              <w:spacing w:before="5"/>
              <w:ind w:left="0"/>
              <w:rPr>
                <w:rFonts w:ascii="Times New Roman"/>
                <w:sz w:val="23"/>
              </w:rPr>
            </w:pPr>
          </w:p>
          <w:p>
            <w:pPr>
              <w:pStyle w:val="TableParagraph"/>
              <w:spacing w:line="480" w:lineRule="auto" w:before="0"/>
              <w:ind w:right="1162"/>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filtering options shall be shown for pivot charts.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filtering options shall not be shown.</w:t>
            </w:r>
          </w:p>
          <w:p>
            <w:pPr>
              <w:pStyle w:val="TableParagraph"/>
              <w:spacing w:line="267" w:lineRule="exact" w:before="0"/>
              <w:rPr>
                <w:sz w:val="22"/>
              </w:rPr>
            </w:pPr>
            <w:r>
              <w:rPr>
                <w:sz w:val="22"/>
              </w:rPr>
              <w:t>The default value for this attribute is false.</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spacing w:line="237" w:lineRule="auto" w:before="45"/>
              <w:ind w:right="711"/>
              <w:jc w:val="both"/>
              <w:rPr>
                <w:sz w:val="22"/>
              </w:rPr>
            </w:pPr>
            <w:r>
              <w:rPr>
                <w:rFonts w:ascii="Cambria"/>
                <w:sz w:val="22"/>
              </w:rPr>
              <w:t>updateLinks </w:t>
            </w:r>
            <w:r>
              <w:rPr>
                <w:sz w:val="22"/>
              </w:rPr>
              <w:t>(Update Links Behavior)</w:t>
            </w:r>
          </w:p>
        </w:tc>
        <w:tc>
          <w:tcPr>
            <w:tcW w:w="8250" w:type="dxa"/>
          </w:tcPr>
          <w:p>
            <w:pPr>
              <w:pStyle w:val="TableParagraph"/>
              <w:spacing w:line="480" w:lineRule="auto"/>
              <w:ind w:right="667"/>
              <w:rPr>
                <w:sz w:val="22"/>
              </w:rPr>
            </w:pPr>
            <w:r>
              <w:rPr>
                <w:sz w:val="22"/>
              </w:rPr>
              <w:t>Specifies how the application updates external links when the workbook is opened. The default value for this attribute is userSet.</w:t>
            </w:r>
          </w:p>
          <w:p>
            <w:pPr>
              <w:pStyle w:val="TableParagraph"/>
              <w:spacing w:line="237" w:lineRule="auto" w:before="3"/>
              <w:ind w:right="517"/>
              <w:rPr>
                <w:sz w:val="22"/>
              </w:rPr>
            </w:pPr>
            <w:r>
              <w:rPr>
                <w:sz w:val="22"/>
              </w:rPr>
              <w:t>The possible values for this attribute are defined by the </w:t>
            </w:r>
            <w:r>
              <w:rPr>
                <w:rFonts w:ascii="Cambria" w:hAnsi="Cambria"/>
                <w:sz w:val="22"/>
              </w:rPr>
              <w:t>ST_UpdateLinks </w:t>
            </w:r>
            <w:r>
              <w:rPr>
                <w:sz w:val="22"/>
              </w:rPr>
              <w:t>simple type </w:t>
            </w:r>
            <w:hyperlink w:history="true" w:anchor="_bookmark909">
              <w:r>
                <w:rPr>
                  <w:sz w:val="22"/>
                </w:rPr>
                <w:t>(§18.18.87</w:t>
              </w:r>
            </w:hyperlink>
            <w:r>
              <w:rPr>
                <w:sz w:val="22"/>
              </w:rPr>
              <w:t>).</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CT_WorkbookPr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29 workbookProtection (Workbook Pro" w:id="92"/>
      <w:bookmarkEnd w:id="92"/>
      <w:r>
        <w:rPr>
          <w:b w:val="0"/>
        </w:rPr>
      </w:r>
      <w:bookmarkStart w:name="_bookmark29" w:id="93"/>
      <w:bookmarkEnd w:id="93"/>
      <w:r>
        <w:rPr>
          <w:b w:val="0"/>
        </w:rPr>
      </w:r>
      <w:bookmarkStart w:name="_bookmark29" w:id="94"/>
      <w:bookmarkEnd w:id="94"/>
      <w:r>
        <w:rPr>
          <w:color w:val="4F81BC"/>
        </w:rPr>
        <w:t>w</w:t>
      </w:r>
      <w:r>
        <w:rPr>
          <w:color w:val="4F81BC"/>
        </w:rPr>
        <w:t>orkbookProtection (Workbook Protection)</w:t>
      </w:r>
    </w:p>
    <w:p>
      <w:pPr>
        <w:pStyle w:val="BodyText"/>
        <w:spacing w:line="276" w:lineRule="auto" w:before="124"/>
        <w:ind w:left="220" w:right="425"/>
      </w:pPr>
      <w:r>
        <w:rPr/>
        <w:t>This element specifies options for protecting data in the workbook. Applications might use workbook protection to prevent anyone from accidentally changing, moving, or deleting important data. This protection can be ignored by applications which choose not to support this optional protection mechanism.</w:t>
      </w:r>
    </w:p>
    <w:p>
      <w:pPr>
        <w:pStyle w:val="BodyText"/>
        <w:spacing w:before="4"/>
        <w:rPr>
          <w:sz w:val="16"/>
        </w:rPr>
      </w:pPr>
    </w:p>
    <w:p>
      <w:pPr>
        <w:pStyle w:val="BodyText"/>
        <w:spacing w:line="276" w:lineRule="auto"/>
        <w:ind w:left="220" w:right="399"/>
      </w:pPr>
      <w:r>
        <w:rPr/>
        <w:t>When a password is to be hashed and stored in this element, it shall be hashed as defined below, starting from a UTF-16LE encoded string value. If there is a leading BOM character (U+FEFF) in the encoded password it is removed before hash calculation.</w:t>
      </w:r>
    </w:p>
    <w:p>
      <w:pPr>
        <w:pStyle w:val="BodyText"/>
        <w:spacing w:before="4"/>
        <w:rPr>
          <w:sz w:val="16"/>
        </w:rPr>
      </w:pPr>
    </w:p>
    <w:p>
      <w:pPr>
        <w:pStyle w:val="BodyText"/>
        <w:spacing w:line="278" w:lineRule="auto"/>
        <w:ind w:left="220" w:right="503"/>
      </w:pPr>
      <w:r>
        <w:rPr/>
        <w:t>[</w:t>
      </w:r>
      <w:r>
        <w:rPr>
          <w:i/>
        </w:rPr>
        <w:t>Note</w:t>
      </w:r>
      <w:r>
        <w:rPr/>
        <w:t>: Worksheet or workbook element protection should not be confused with file security. It is not meant to make your workbook safe from unintentional modification, and cannot protect it from malicious modification. </w:t>
      </w:r>
      <w:r>
        <w:rPr>
          <w:i/>
        </w:rPr>
        <w:t>end note</w:t>
      </w:r>
      <w:r>
        <w:rPr/>
        <w:t>]</w:t>
      </w:r>
    </w:p>
    <w:p>
      <w:pPr>
        <w:spacing w:after="0" w:line="278" w:lineRule="auto"/>
        <w:sectPr>
          <w:footerReference w:type="even" r:id="rId24"/>
          <w:footerReference w:type="default" r:id="rId25"/>
          <w:pgSz w:w="12240" w:h="15840"/>
          <w:pgMar w:footer="746" w:header="761" w:top="1340" w:bottom="940" w:left="860" w:right="700"/>
          <w:pgNumType w:start="1580"/>
        </w:sectPr>
      </w:pPr>
    </w:p>
    <w:p>
      <w:pPr>
        <w:pStyle w:val="BodyText"/>
        <w:spacing w:before="1"/>
        <w:rPr>
          <w:rFonts w:ascii="Times New Roman"/>
          <w:sz w:val="13"/>
        </w:rPr>
      </w:pPr>
      <w:r>
        <w:rPr/>
        <w:pict>
          <v:shape style="position:absolute;margin-left:157.100006pt;margin-top:553.390015pt;width:401.25pt;height:159.9pt;mso-position-horizontal-relative:page;mso-position-vertical-relative:page;z-index:2516643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4"/>
                    <w:gridCol w:w="6116"/>
                  </w:tblGrid>
                  <w:tr>
                    <w:trPr>
                      <w:trHeight w:val="352" w:hRule="atLeast"/>
                    </w:trPr>
                    <w:tc>
                      <w:tcPr>
                        <w:tcW w:w="1894" w:type="dxa"/>
                        <w:shd w:val="clear" w:color="auto" w:fill="C0C0C0"/>
                      </w:tcPr>
                      <w:p>
                        <w:pPr>
                          <w:pStyle w:val="TableParagraph"/>
                          <w:ind w:left="665" w:right="656"/>
                          <w:jc w:val="center"/>
                          <w:rPr>
                            <w:b/>
                            <w:sz w:val="22"/>
                          </w:rPr>
                        </w:pPr>
                        <w:r>
                          <w:rPr>
                            <w:b/>
                            <w:sz w:val="22"/>
                          </w:rPr>
                          <w:t>Value</w:t>
                        </w:r>
                      </w:p>
                    </w:tc>
                    <w:tc>
                      <w:tcPr>
                        <w:tcW w:w="6116" w:type="dxa"/>
                        <w:shd w:val="clear" w:color="auto" w:fill="C0C0C0"/>
                      </w:tcPr>
                      <w:p>
                        <w:pPr>
                          <w:pStyle w:val="TableParagraph"/>
                          <w:ind w:left="2579" w:right="2571"/>
                          <w:jc w:val="center"/>
                          <w:rPr>
                            <w:b/>
                            <w:sz w:val="22"/>
                          </w:rPr>
                        </w:pPr>
                        <w:r>
                          <w:rPr>
                            <w:b/>
                            <w:sz w:val="22"/>
                          </w:rPr>
                          <w:t>Algorithm</w:t>
                        </w:r>
                      </w:p>
                    </w:tc>
                  </w:tr>
                  <w:tr>
                    <w:trPr>
                      <w:trHeight w:val="1699" w:hRule="atLeast"/>
                    </w:trPr>
                    <w:tc>
                      <w:tcPr>
                        <w:tcW w:w="1894" w:type="dxa"/>
                      </w:tcPr>
                      <w:p>
                        <w:pPr>
                          <w:pStyle w:val="TableParagraph"/>
                          <w:spacing w:before="41"/>
                          <w:rPr>
                            <w:rFonts w:ascii="Consolas"/>
                            <w:sz w:val="20"/>
                          </w:rPr>
                        </w:pPr>
                        <w:r>
                          <w:rPr>
                            <w:rFonts w:ascii="Consolas"/>
                            <w:sz w:val="20"/>
                          </w:rPr>
                          <w:t>MD2</w:t>
                        </w:r>
                      </w:p>
                    </w:tc>
                    <w:tc>
                      <w:tcPr>
                        <w:tcW w:w="6116" w:type="dxa"/>
                      </w:tcPr>
                      <w:p>
                        <w:pPr>
                          <w:pStyle w:val="TableParagraph"/>
                          <w:ind w:right="329"/>
                          <w:rPr>
                            <w:sz w:val="22"/>
                          </w:rPr>
                        </w:pPr>
                        <w:r>
                          <w:rPr>
                            <w:sz w:val="22"/>
                          </w:rPr>
                          <w:t>Specifies that the MD2 algorithm, as defined by RFC 1319, shall be used.</w:t>
                        </w:r>
                      </w:p>
                      <w:p>
                        <w:pPr>
                          <w:pStyle w:val="TableParagraph"/>
                          <w:spacing w:before="5"/>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r>
                  <w:tr>
                    <w:trPr>
                      <w:trHeight w:val="1105" w:hRule="atLeast"/>
                    </w:trPr>
                    <w:tc>
                      <w:tcPr>
                        <w:tcW w:w="1894" w:type="dxa"/>
                      </w:tcPr>
                      <w:p>
                        <w:pPr>
                          <w:pStyle w:val="TableParagraph"/>
                          <w:spacing w:before="41"/>
                          <w:rPr>
                            <w:rFonts w:ascii="Consolas"/>
                            <w:sz w:val="20"/>
                          </w:rPr>
                        </w:pPr>
                        <w:r>
                          <w:rPr>
                            <w:rFonts w:ascii="Consolas"/>
                            <w:sz w:val="20"/>
                          </w:rPr>
                          <w:t>MD4</w:t>
                        </w:r>
                      </w:p>
                    </w:tc>
                    <w:tc>
                      <w:tcPr>
                        <w:tcW w:w="6116" w:type="dxa"/>
                      </w:tcPr>
                      <w:p>
                        <w:pPr>
                          <w:pStyle w:val="TableParagraph"/>
                          <w:ind w:right="329"/>
                          <w:rPr>
                            <w:sz w:val="22"/>
                          </w:rPr>
                        </w:pPr>
                        <w:r>
                          <w:rPr>
                            <w:sz w:val="22"/>
                          </w:rPr>
                          <w:t>Specifies that the MD4 algorithm, as defined by RFC 1320, shall be used.</w:t>
                        </w:r>
                      </w:p>
                      <w:p>
                        <w:pPr>
                          <w:pStyle w:val="TableParagraph"/>
                          <w:spacing w:before="4"/>
                          <w:ind w:left="0"/>
                          <w:rPr>
                            <w:rFonts w:ascii="Times New Roman"/>
                            <w:sz w:val="23"/>
                          </w:rPr>
                        </w:pPr>
                      </w:p>
                      <w:p>
                        <w:pPr>
                          <w:pStyle w:val="TableParagraph"/>
                          <w:spacing w:line="240" w:lineRule="exact" w:before="0"/>
                          <w:rPr>
                            <w:sz w:val="22"/>
                          </w:rPr>
                        </w:pPr>
                        <w:r>
                          <w:rPr>
                            <w:sz w:val="22"/>
                          </w:rPr>
                          <w:t>[</w:t>
                        </w:r>
                        <w:r>
                          <w:rPr>
                            <w:i/>
                            <w:sz w:val="22"/>
                          </w:rPr>
                          <w:t>Note</w:t>
                        </w:r>
                        <w:r>
                          <w:rPr>
                            <w:sz w:val="22"/>
                          </w:rPr>
                          <w:t>: It is recommended that applications should avoid using</w:t>
                        </w:r>
                      </w:p>
                    </w:tc>
                  </w:tr>
                </w:tbl>
                <w:p>
                  <w:pPr>
                    <w:pStyle w:val="BodyText"/>
                  </w:pPr>
                </w:p>
              </w:txbxContent>
            </v:textbox>
            <w10:wrap type="none"/>
          </v:shape>
        </w:pic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200"/>
              <w:rPr>
                <w:sz w:val="22"/>
              </w:rPr>
            </w:pPr>
            <w:r>
              <w:rPr>
                <w:rFonts w:ascii="Cambria"/>
                <w:sz w:val="22"/>
              </w:rPr>
              <w:t>lockRevision </w:t>
            </w:r>
            <w:r>
              <w:rPr>
                <w:sz w:val="22"/>
              </w:rPr>
              <w:t>(Lock Revisions)</w:t>
            </w:r>
          </w:p>
        </w:tc>
        <w:tc>
          <w:tcPr>
            <w:tcW w:w="8250" w:type="dxa"/>
          </w:tcPr>
          <w:p>
            <w:pPr>
              <w:pStyle w:val="TableParagraph"/>
              <w:rPr>
                <w:sz w:val="22"/>
              </w:rPr>
            </w:pPr>
            <w:r>
              <w:rPr>
                <w:sz w:val="22"/>
              </w:rPr>
              <w:t>Specifies a boolean value that indicates whether the workbook is locked for revisions.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9" w:hRule="atLeast"/>
        </w:trPr>
        <w:tc>
          <w:tcPr>
            <w:tcW w:w="2062" w:type="dxa"/>
          </w:tcPr>
          <w:p>
            <w:pPr>
              <w:pStyle w:val="TableParagraph"/>
              <w:ind w:right="124"/>
              <w:rPr>
                <w:sz w:val="22"/>
              </w:rPr>
            </w:pPr>
            <w:r>
              <w:rPr>
                <w:rFonts w:ascii="Cambria"/>
                <w:sz w:val="22"/>
              </w:rPr>
              <w:t>lockStructure </w:t>
            </w:r>
            <w:r>
              <w:rPr>
                <w:sz w:val="22"/>
              </w:rPr>
              <w:t>(Lock Structure)</w:t>
            </w:r>
          </w:p>
        </w:tc>
        <w:tc>
          <w:tcPr>
            <w:tcW w:w="8250" w:type="dxa"/>
          </w:tcPr>
          <w:p>
            <w:pPr>
              <w:pStyle w:val="TableParagraph"/>
              <w:jc w:val="both"/>
              <w:rPr>
                <w:sz w:val="22"/>
              </w:rPr>
            </w:pPr>
            <w:r>
              <w:rPr>
                <w:sz w:val="22"/>
              </w:rPr>
              <w:t>Specifies a boolean value that indicates whether structure of workbook is locked.</w:t>
            </w:r>
          </w:p>
          <w:p>
            <w:pPr>
              <w:pStyle w:val="TableParagraph"/>
              <w:spacing w:before="4"/>
              <w:ind w:left="0"/>
              <w:rPr>
                <w:rFonts w:ascii="Times New Roman"/>
                <w:sz w:val="23"/>
              </w:rPr>
            </w:pPr>
          </w:p>
          <w:p>
            <w:pPr>
              <w:pStyle w:val="TableParagraph"/>
              <w:spacing w:before="0"/>
              <w:ind w:right="182"/>
              <w:jc w:val="both"/>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structure of the workbook is locked. Worksheets in the workbook can't be moved, deleted, hidden, unhidden, or renamed, and new worksheets can't be inserted.</w:t>
            </w:r>
          </w:p>
          <w:p>
            <w:pPr>
              <w:pStyle w:val="TableParagraph"/>
              <w:spacing w:before="5"/>
              <w:ind w:left="0"/>
              <w:rPr>
                <w:rFonts w:ascii="Times New Roman"/>
                <w:sz w:val="23"/>
              </w:rPr>
            </w:pPr>
          </w:p>
          <w:p>
            <w:pPr>
              <w:pStyle w:val="TableParagraph"/>
              <w:spacing w:line="480" w:lineRule="auto" w:before="0"/>
              <w:ind w:right="138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structure of the workbook is not locked. The default value for this attribute is false.</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9" w:hRule="atLeast"/>
        </w:trPr>
        <w:tc>
          <w:tcPr>
            <w:tcW w:w="2062" w:type="dxa"/>
          </w:tcPr>
          <w:p>
            <w:pPr>
              <w:pStyle w:val="TableParagraph"/>
              <w:ind w:right="121"/>
              <w:rPr>
                <w:sz w:val="22"/>
              </w:rPr>
            </w:pPr>
            <w:r>
              <w:rPr>
                <w:rFonts w:ascii="Cambria"/>
                <w:sz w:val="22"/>
              </w:rPr>
              <w:t>lockWindows </w:t>
            </w:r>
            <w:r>
              <w:rPr>
                <w:sz w:val="22"/>
              </w:rPr>
              <w:t>(Lock Windows)</w:t>
            </w:r>
          </w:p>
        </w:tc>
        <w:tc>
          <w:tcPr>
            <w:tcW w:w="8250" w:type="dxa"/>
          </w:tcPr>
          <w:p>
            <w:pPr>
              <w:pStyle w:val="TableParagraph"/>
              <w:ind w:right="947"/>
              <w:rPr>
                <w:sz w:val="22"/>
              </w:rPr>
            </w:pPr>
            <w:r>
              <w:rPr>
                <w:sz w:val="22"/>
              </w:rPr>
              <w:t>Specifies a boolean value that indicates whether the windows that comprise the workbook are locked.</w:t>
            </w:r>
          </w:p>
          <w:p>
            <w:pPr>
              <w:pStyle w:val="TableParagraph"/>
              <w:spacing w:before="4"/>
              <w:ind w:left="0"/>
              <w:rPr>
                <w:rFonts w:ascii="Times New Roman"/>
                <w:sz w:val="23"/>
              </w:rPr>
            </w:pPr>
          </w:p>
          <w:p>
            <w:pPr>
              <w:pStyle w:val="TableParagraph"/>
              <w:spacing w:before="0"/>
              <w:ind w:right="197"/>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workbook windows are locked. Windows are the same size and position each time the workbook is opened.</w:t>
            </w:r>
          </w:p>
          <w:p>
            <w:pPr>
              <w:pStyle w:val="TableParagraph"/>
              <w:spacing w:before="5"/>
              <w:ind w:left="0"/>
              <w:rPr>
                <w:rFonts w:ascii="Times New Roman"/>
                <w:sz w:val="23"/>
              </w:rPr>
            </w:pPr>
          </w:p>
          <w:p>
            <w:pPr>
              <w:pStyle w:val="TableParagraph"/>
              <w:spacing w:line="477" w:lineRule="auto" w:before="0"/>
              <w:ind w:right="183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workbook windows are not locked. The default value for this attribute is false.</w:t>
            </w:r>
          </w:p>
          <w:p>
            <w:pPr>
              <w:pStyle w:val="TableParagraph"/>
              <w:spacing w:before="5"/>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4629" w:hRule="atLeast"/>
        </w:trPr>
        <w:tc>
          <w:tcPr>
            <w:tcW w:w="2062" w:type="dxa"/>
          </w:tcPr>
          <w:p>
            <w:pPr>
              <w:pStyle w:val="TableParagraph"/>
              <w:spacing w:before="42"/>
              <w:ind w:right="103"/>
              <w:rPr>
                <w:sz w:val="22"/>
              </w:rPr>
            </w:pPr>
            <w:r>
              <w:rPr>
                <w:rFonts w:ascii="Cambria"/>
                <w:sz w:val="22"/>
              </w:rPr>
              <w:t>revisionsAlgorithm Name </w:t>
            </w:r>
            <w:r>
              <w:rPr>
                <w:sz w:val="22"/>
              </w:rPr>
              <w:t>(Cryptographic Algorithm Name)</w:t>
            </w:r>
          </w:p>
        </w:tc>
        <w:tc>
          <w:tcPr>
            <w:tcW w:w="8250" w:type="dxa"/>
          </w:tcPr>
          <w:p>
            <w:pPr>
              <w:pStyle w:val="TableParagraph"/>
              <w:ind w:right="188"/>
              <w:rPr>
                <w:sz w:val="22"/>
              </w:rPr>
            </w:pPr>
            <w:r>
              <w:rPr>
                <w:sz w:val="22"/>
              </w:rPr>
              <w:t>Specifies the specific cryptographic hashing algorithm which shall be used along with the </w:t>
            </w:r>
            <w:r>
              <w:rPr>
                <w:rFonts w:ascii="Cambria"/>
                <w:sz w:val="22"/>
              </w:rPr>
              <w:t>salt </w:t>
            </w:r>
            <w:r>
              <w:rPr>
                <w:sz w:val="22"/>
              </w:rPr>
              <w:t>attribute and input password in order to compute the hash value for the </w:t>
            </w:r>
            <w:r>
              <w:rPr>
                <w:rFonts w:ascii="Cambria"/>
                <w:sz w:val="22"/>
              </w:rPr>
              <w:t>revisionsHashValue </w:t>
            </w:r>
            <w:r>
              <w:rPr>
                <w:sz w:val="22"/>
              </w:rPr>
              <w:t>attribute.</w:t>
            </w:r>
          </w:p>
          <w:p>
            <w:pPr>
              <w:pStyle w:val="TableParagraph"/>
              <w:spacing w:before="4"/>
              <w:ind w:left="0"/>
              <w:rPr>
                <w:rFonts w:ascii="Times New Roman"/>
                <w:sz w:val="23"/>
              </w:rPr>
            </w:pPr>
          </w:p>
          <w:p>
            <w:pPr>
              <w:pStyle w:val="TableParagraph"/>
              <w:spacing w:before="1"/>
              <w:rPr>
                <w:sz w:val="22"/>
              </w:rPr>
            </w:pPr>
            <w:r>
              <w:rPr>
                <w:sz w:val="22"/>
              </w:rPr>
              <w:t>The following values are reserved: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71" w:hRule="atLeast"/>
        </w:trPr>
        <w:tc>
          <w:tcPr>
            <w:tcW w:w="2062" w:type="dxa"/>
            <w:shd w:val="clear" w:color="auto" w:fill="C0C0C0"/>
          </w:tcPr>
          <w:p>
            <w:pPr>
              <w:pStyle w:val="TableParagraph"/>
              <w:ind w:left="566"/>
              <w:rPr>
                <w:b/>
                <w:sz w:val="22"/>
              </w:rPr>
            </w:pPr>
            <w:r>
              <w:rPr>
                <w:b/>
                <w:sz w:val="22"/>
              </w:rPr>
              <w:t>Attributes</w:t>
            </w:r>
          </w:p>
        </w:tc>
        <w:tc>
          <w:tcPr>
            <w:tcW w:w="8250" w:type="dxa"/>
            <w:gridSpan w:val="4"/>
            <w:tcBorders>
              <w:bottom w:val="double" w:sz="1" w:space="0" w:color="000000"/>
            </w:tcBorders>
            <w:shd w:val="clear" w:color="auto" w:fill="C0C0C0"/>
          </w:tcPr>
          <w:p>
            <w:pPr>
              <w:pStyle w:val="TableParagraph"/>
              <w:ind w:left="98" w:right="91"/>
              <w:jc w:val="center"/>
              <w:rPr>
                <w:b/>
                <w:sz w:val="22"/>
              </w:rPr>
            </w:pPr>
            <w:r>
              <w:rPr>
                <w:b/>
                <w:sz w:val="22"/>
              </w:rPr>
              <w:t>Description</w:t>
            </w:r>
          </w:p>
        </w:tc>
      </w:tr>
      <w:tr>
        <w:trPr>
          <w:trHeight w:val="640" w:hRule="atLeast"/>
        </w:trPr>
        <w:tc>
          <w:tcPr>
            <w:tcW w:w="2062" w:type="dxa"/>
            <w:vMerge w:val="restart"/>
          </w:tcPr>
          <w:p>
            <w:pPr>
              <w:pStyle w:val="TableParagraph"/>
              <w:spacing w:before="0"/>
              <w:ind w:left="0"/>
              <w:rPr>
                <w:rFonts w:ascii="Times New Roman"/>
                <w:sz w:val="22"/>
              </w:rPr>
            </w:pPr>
          </w:p>
        </w:tc>
        <w:tc>
          <w:tcPr>
            <w:tcW w:w="120" w:type="dxa"/>
            <w:vMerge w:val="restart"/>
            <w:tcBorders>
              <w:bottom w:val="nil"/>
            </w:tcBorders>
          </w:tcPr>
          <w:p>
            <w:pPr>
              <w:pStyle w:val="TableParagraph"/>
              <w:spacing w:before="0"/>
              <w:ind w:left="0"/>
              <w:rPr>
                <w:rFonts w:ascii="Times New Roman"/>
                <w:sz w:val="22"/>
              </w:rPr>
            </w:pPr>
          </w:p>
        </w:tc>
        <w:tc>
          <w:tcPr>
            <w:tcW w:w="1894" w:type="dxa"/>
            <w:tcBorders>
              <w:top w:val="double" w:sz="1" w:space="0" w:color="000000"/>
            </w:tcBorders>
          </w:tcPr>
          <w:p>
            <w:pPr>
              <w:pStyle w:val="TableParagraph"/>
              <w:spacing w:before="0"/>
              <w:ind w:left="0"/>
              <w:rPr>
                <w:rFonts w:ascii="Times New Roman"/>
                <w:sz w:val="22"/>
              </w:rPr>
            </w:pPr>
          </w:p>
        </w:tc>
        <w:tc>
          <w:tcPr>
            <w:tcW w:w="6116" w:type="dxa"/>
            <w:tcBorders>
              <w:top w:val="double" w:sz="1" w:space="0" w:color="000000"/>
            </w:tcBorders>
          </w:tcPr>
          <w:p>
            <w:pPr>
              <w:pStyle w:val="TableParagraph"/>
              <w:spacing w:before="56"/>
              <w:ind w:right="220"/>
              <w:rPr>
                <w:sz w:val="22"/>
              </w:rPr>
            </w:pPr>
            <w:r>
              <w:rPr>
                <w:sz w:val="22"/>
              </w:rPr>
              <w:t>this algorithm to store new hash values, due to publically known breaks. </w:t>
            </w:r>
            <w:r>
              <w:rPr>
                <w:i/>
                <w:sz w:val="22"/>
              </w:rPr>
              <w:t>end note</w:t>
            </w:r>
            <w:r>
              <w:rPr>
                <w:sz w:val="22"/>
              </w:rPr>
              <w:t>]</w:t>
            </w:r>
          </w:p>
        </w:tc>
        <w:tc>
          <w:tcPr>
            <w:tcW w:w="120" w:type="dxa"/>
            <w:tcBorders>
              <w:bottom w:val="nil"/>
            </w:tcBorders>
          </w:tcPr>
          <w:p>
            <w:pPr>
              <w:pStyle w:val="TableParagraph"/>
              <w:spacing w:before="0"/>
              <w:ind w:left="0"/>
              <w:rPr>
                <w:rFonts w:ascii="Times New Roman"/>
                <w:sz w:val="22"/>
              </w:rPr>
            </w:pPr>
          </w:p>
        </w:tc>
      </w:tr>
      <w:tr>
        <w:trPr>
          <w:trHeight w:val="1696"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MD5</w:t>
            </w:r>
          </w:p>
        </w:tc>
        <w:tc>
          <w:tcPr>
            <w:tcW w:w="6116" w:type="dxa"/>
          </w:tcPr>
          <w:p>
            <w:pPr>
              <w:pStyle w:val="TableParagraph"/>
              <w:ind w:right="329"/>
              <w:rPr>
                <w:sz w:val="22"/>
              </w:rPr>
            </w:pPr>
            <w:r>
              <w:rPr>
                <w:sz w:val="22"/>
              </w:rPr>
              <w:t>Specifies that the MD5 algorithm, as defined by RFC 1321, shall be used.</w:t>
            </w:r>
          </w:p>
          <w:p>
            <w:pPr>
              <w:pStyle w:val="TableParagraph"/>
              <w:spacing w:before="4"/>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9"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RIPEMD-128</w:t>
            </w:r>
          </w:p>
        </w:tc>
        <w:tc>
          <w:tcPr>
            <w:tcW w:w="6116" w:type="dxa"/>
          </w:tcPr>
          <w:p>
            <w:pPr>
              <w:pStyle w:val="TableParagraph"/>
              <w:ind w:right="339"/>
              <w:rPr>
                <w:sz w:val="22"/>
              </w:rPr>
            </w:pPr>
            <w:r>
              <w:rPr>
                <w:sz w:val="22"/>
              </w:rPr>
              <w:t>Specifies that the RIPEMD-128 algorithm, as defined by ISO/IEC 10118-3:2004 shall be used.</w:t>
            </w:r>
          </w:p>
          <w:p>
            <w:pPr>
              <w:pStyle w:val="TableParagraph"/>
              <w:spacing w:before="5"/>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621"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RIPEMD-160</w:t>
            </w:r>
          </w:p>
        </w:tc>
        <w:tc>
          <w:tcPr>
            <w:tcW w:w="6116" w:type="dxa"/>
          </w:tcPr>
          <w:p>
            <w:pPr>
              <w:pStyle w:val="TableParagraph"/>
              <w:ind w:right="339"/>
              <w:rPr>
                <w:sz w:val="22"/>
              </w:rPr>
            </w:pPr>
            <w:r>
              <w:rPr>
                <w:sz w:val="22"/>
              </w:rPr>
              <w:t>Specifies that the RIPEMD-160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SHA-1</w:t>
            </w:r>
          </w:p>
        </w:tc>
        <w:tc>
          <w:tcPr>
            <w:tcW w:w="6116" w:type="dxa"/>
          </w:tcPr>
          <w:p>
            <w:pPr>
              <w:pStyle w:val="TableParagraph"/>
              <w:ind w:right="224"/>
              <w:rPr>
                <w:sz w:val="22"/>
              </w:rPr>
            </w:pPr>
            <w:r>
              <w:rPr>
                <w:sz w:val="22"/>
              </w:rPr>
              <w:t>Specifies that the SHA-1 algorithm, as defined by ISO/IEC 10118- 3:2004 shall be used.</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SHA-256</w:t>
            </w:r>
          </w:p>
        </w:tc>
        <w:tc>
          <w:tcPr>
            <w:tcW w:w="6116" w:type="dxa"/>
          </w:tcPr>
          <w:p>
            <w:pPr>
              <w:pStyle w:val="TableParagraph"/>
              <w:ind w:right="689"/>
              <w:rPr>
                <w:sz w:val="22"/>
              </w:rPr>
            </w:pPr>
            <w:r>
              <w:rPr>
                <w:sz w:val="22"/>
              </w:rPr>
              <w:t>Specifies that the SHA-256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SHA-384</w:t>
            </w:r>
          </w:p>
        </w:tc>
        <w:tc>
          <w:tcPr>
            <w:tcW w:w="6116" w:type="dxa"/>
          </w:tcPr>
          <w:p>
            <w:pPr>
              <w:pStyle w:val="TableParagraph"/>
              <w:ind w:right="688"/>
              <w:rPr>
                <w:sz w:val="22"/>
              </w:rPr>
            </w:pPr>
            <w:r>
              <w:rPr>
                <w:sz w:val="22"/>
              </w:rPr>
              <w:t>Specifies that the SHA-384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SHA-512</w:t>
            </w:r>
          </w:p>
        </w:tc>
        <w:tc>
          <w:tcPr>
            <w:tcW w:w="6116" w:type="dxa"/>
          </w:tcPr>
          <w:p>
            <w:pPr>
              <w:pStyle w:val="TableParagraph"/>
              <w:ind w:right="689"/>
              <w:rPr>
                <w:sz w:val="22"/>
              </w:rPr>
            </w:pPr>
            <w:r>
              <w:rPr>
                <w:sz w:val="22"/>
              </w:rPr>
              <w:t>Specifies that the SHA-512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1"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WHIRLPOOL</w:t>
            </w:r>
          </w:p>
        </w:tc>
        <w:tc>
          <w:tcPr>
            <w:tcW w:w="6116" w:type="dxa"/>
          </w:tcPr>
          <w:p>
            <w:pPr>
              <w:pStyle w:val="TableParagraph"/>
              <w:spacing w:line="237" w:lineRule="auto" w:before="42"/>
              <w:ind w:right="361"/>
              <w:rPr>
                <w:sz w:val="22"/>
              </w:rPr>
            </w:pPr>
            <w:r>
              <w:rPr>
                <w:sz w:val="22"/>
              </w:rPr>
              <w:t>Specifies that the WHIRLPOOL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3513" w:hRule="atLeast"/>
        </w:trPr>
        <w:tc>
          <w:tcPr>
            <w:tcW w:w="2062" w:type="dxa"/>
            <w:vMerge/>
            <w:tcBorders>
              <w:top w:val="nil"/>
            </w:tcBorders>
          </w:tcPr>
          <w:p>
            <w:pPr>
              <w:rPr>
                <w:sz w:val="2"/>
                <w:szCs w:val="2"/>
              </w:rPr>
            </w:pPr>
          </w:p>
        </w:tc>
        <w:tc>
          <w:tcPr>
            <w:tcW w:w="8250" w:type="dxa"/>
            <w:gridSpan w:val="4"/>
          </w:tcPr>
          <w:p>
            <w:pPr>
              <w:pStyle w:val="TableParagraph"/>
              <w:spacing w:before="1"/>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 revisionsAlgorithmName="SHA-1" revisionsHashValue="9oN7nWkCAyEZib1RomSJTjmPpCY=" /&gt;</w:t>
            </w:r>
          </w:p>
          <w:p>
            <w:pPr>
              <w:pStyle w:val="TableParagraph"/>
              <w:spacing w:before="3"/>
              <w:ind w:left="0"/>
              <w:rPr>
                <w:rFonts w:ascii="Times New Roman"/>
                <w:sz w:val="23"/>
              </w:rPr>
            </w:pPr>
          </w:p>
          <w:p>
            <w:pPr>
              <w:pStyle w:val="TableParagraph"/>
              <w:spacing w:before="0"/>
              <w:ind w:right="199"/>
              <w:rPr>
                <w:sz w:val="22"/>
              </w:rPr>
            </w:pPr>
            <w:r>
              <w:rPr>
                <w:sz w:val="22"/>
              </w:rPr>
              <w:t>The </w:t>
            </w:r>
            <w:r>
              <w:rPr>
                <w:rFonts w:ascii="Cambria" w:hAnsi="Cambria"/>
                <w:sz w:val="22"/>
              </w:rPr>
              <w:t>revisionsAlgorithmName </w:t>
            </w:r>
            <w:r>
              <w:rPr>
                <w:sz w:val="22"/>
              </w:rPr>
              <w:t>attribute value of </w:t>
            </w:r>
            <w:r>
              <w:rPr>
                <w:rFonts w:ascii="Consolas" w:hAnsi="Consolas"/>
                <w:sz w:val="20"/>
              </w:rPr>
              <w:t>“SHA-1” </w:t>
            </w:r>
            <w:r>
              <w:rPr>
                <w:sz w:val="22"/>
              </w:rPr>
              <w:t>specifies that the SHA-1 hashing algorithm shall be used to generate a hash from the user-defined password. </w:t>
            </w:r>
            <w:r>
              <w:rPr>
                <w:i/>
                <w:sz w:val="22"/>
              </w:rPr>
              <w:t>end </w:t>
            </w:r>
            <w:r>
              <w:rPr>
                <w:i/>
                <w:sz w:val="22"/>
              </w:rPr>
              <w:t>example</w:t>
            </w:r>
            <w:r>
              <w:rPr>
                <w:sz w:val="22"/>
              </w:rPr>
              <w:t>]</w:t>
            </w:r>
          </w:p>
          <w:p>
            <w:pPr>
              <w:pStyle w:val="TableParagraph"/>
              <w:spacing w:before="3"/>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spacing w:line="237" w:lineRule="auto" w:before="45"/>
              <w:ind w:right="161"/>
              <w:rPr>
                <w:sz w:val="22"/>
              </w:rPr>
            </w:pPr>
            <w:r>
              <w:rPr>
                <w:rFonts w:ascii="Cambria"/>
                <w:sz w:val="22"/>
              </w:rPr>
              <w:t>revisionsHashValu e </w:t>
            </w:r>
            <w:r>
              <w:rPr>
                <w:sz w:val="22"/>
              </w:rPr>
              <w:t>(Password Hash Value)</w:t>
            </w:r>
          </w:p>
        </w:tc>
        <w:tc>
          <w:tcPr>
            <w:tcW w:w="8250" w:type="dxa"/>
            <w:gridSpan w:val="4"/>
          </w:tcPr>
          <w:p>
            <w:pPr>
              <w:pStyle w:val="TableParagraph"/>
              <w:ind w:right="123"/>
              <w:rPr>
                <w:sz w:val="22"/>
              </w:rPr>
            </w:pPr>
            <w:r>
              <w:rPr>
                <w:sz w:val="22"/>
              </w:rPr>
              <w:t>Specifies the hash value for the password stored for unlocking revisions in this workbook. This value shall be compared with the resulting hash value after hashing the user- supplied password using the algorithm specified by the preceding attributes and parent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5167"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XML element, and if the two values match, the protection shall no longer be enforced.</w:t>
            </w:r>
          </w:p>
          <w:p>
            <w:pPr>
              <w:pStyle w:val="TableParagraph"/>
              <w:spacing w:before="4"/>
              <w:ind w:left="0"/>
              <w:rPr>
                <w:rFonts w:ascii="Times New Roman"/>
                <w:sz w:val="23"/>
              </w:rPr>
            </w:pPr>
          </w:p>
          <w:p>
            <w:pPr>
              <w:pStyle w:val="TableParagraph"/>
              <w:spacing w:before="0"/>
              <w:ind w:right="834"/>
              <w:rPr>
                <w:sz w:val="22"/>
              </w:rPr>
            </w:pPr>
            <w:r>
              <w:rPr>
                <w:sz w:val="22"/>
              </w:rPr>
              <w:t>If this value is omitted, then the </w:t>
            </w:r>
            <w:r>
              <w:rPr>
                <w:rFonts w:ascii="Cambria"/>
                <w:sz w:val="22"/>
              </w:rPr>
              <w:t>reservationPassword </w:t>
            </w:r>
            <w:r>
              <w:rPr>
                <w:sz w:val="22"/>
              </w:rPr>
              <w:t>attribute shall contain the password hash for the workbook.</w:t>
            </w:r>
          </w:p>
          <w:p>
            <w:pPr>
              <w:pStyle w:val="TableParagraph"/>
              <w:spacing w:before="2"/>
              <w:ind w:left="0"/>
              <w:rPr>
                <w:rFonts w:ascii="Times New Roman"/>
                <w:sz w:val="23"/>
              </w:rPr>
            </w:pPr>
          </w:p>
          <w:p>
            <w:pPr>
              <w:pStyle w:val="TableParagraph"/>
              <w:spacing w:before="1"/>
              <w:ind w:right="187"/>
              <w:rPr>
                <w:sz w:val="22"/>
              </w:rPr>
            </w:pPr>
            <w:r>
              <w:rPr>
                <w:sz w:val="22"/>
              </w:rPr>
              <w:t>[</w:t>
            </w:r>
            <w:r>
              <w:rPr>
                <w:i/>
                <w:sz w:val="22"/>
              </w:rPr>
              <w:t>Example</w:t>
            </w:r>
            <w:r>
              <w:rPr>
                <w:sz w:val="22"/>
              </w:rPr>
              <w:t>: Consider a SpreadsheetML document with the following information stored in one of its protection 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revisionsAlgorithmName="SHA-1" revisionsHashValue="9oN7nWkCAyEZib1RomSJTjmPpCY=" /&gt;</w:t>
            </w:r>
          </w:p>
          <w:p>
            <w:pPr>
              <w:pStyle w:val="TableParagraph"/>
              <w:spacing w:before="2"/>
              <w:ind w:left="0"/>
              <w:rPr>
                <w:rFonts w:ascii="Times New Roman"/>
                <w:sz w:val="23"/>
              </w:rPr>
            </w:pPr>
          </w:p>
          <w:p>
            <w:pPr>
              <w:pStyle w:val="TableParagraph"/>
              <w:spacing w:before="1"/>
              <w:ind w:right="100"/>
              <w:rPr>
                <w:sz w:val="22"/>
              </w:rPr>
            </w:pPr>
            <w:r>
              <w:rPr>
                <w:sz w:val="22"/>
              </w:rPr>
              <w:t>The </w:t>
            </w:r>
            <w:r>
              <w:rPr>
                <w:rFonts w:ascii="Cambria"/>
                <w:sz w:val="22"/>
              </w:rPr>
              <w:t>revisionsHashValue </w:t>
            </w:r>
            <w:r>
              <w:rPr>
                <w:sz w:val="22"/>
              </w:rPr>
              <w:t>attribute value of </w:t>
            </w:r>
            <w:r>
              <w:rPr>
                <w:rFonts w:ascii="Consolas"/>
                <w:sz w:val="20"/>
              </w:rPr>
              <w:t>9oN7nWkCAyEZib1RomSJTjmPpCY= </w:t>
            </w:r>
            <w:r>
              <w:rPr>
                <w:sz w:val="22"/>
              </w:rPr>
              <w:t>specifies that the user-supplied password must be hashed using the pre-processing defined by the parent element (if any) followed by the SHA-1 algorithm (specified via the </w:t>
            </w:r>
            <w:r>
              <w:rPr>
                <w:rFonts w:ascii="Cambria"/>
                <w:sz w:val="22"/>
              </w:rPr>
              <w:t>revisionsAlgorithmName </w:t>
            </w:r>
            <w:r>
              <w:rPr>
                <w:sz w:val="22"/>
              </w:rPr>
              <w:t>attribute value of </w:t>
            </w:r>
            <w:r>
              <w:rPr>
                <w:rFonts w:ascii="Consolas"/>
                <w:sz w:val="20"/>
              </w:rPr>
              <w:t>SHA-1</w:t>
            </w:r>
            <w:r>
              <w:rPr>
                <w:sz w:val="22"/>
              </w:rPr>
              <w:t>) and that the resulting has value must be </w:t>
            </w:r>
            <w:r>
              <w:rPr>
                <w:rFonts w:ascii="Consolas"/>
                <w:sz w:val="20"/>
              </w:rPr>
              <w:t>9oN7nWkCAyEZib1RomSJTjmPpCY=</w:t>
            </w:r>
            <w:r>
              <w:rPr>
                <w:rFonts w:ascii="Consolas"/>
                <w:spacing w:val="-71"/>
                <w:sz w:val="20"/>
              </w:rPr>
              <w:t> </w:t>
            </w:r>
            <w:r>
              <w:rPr>
                <w:sz w:val="22"/>
              </w:rPr>
              <w:t>for the protection to be disabled. </w:t>
            </w:r>
            <w:r>
              <w:rPr>
                <w:i/>
                <w:sz w:val="22"/>
              </w:rPr>
              <w:t>end example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1"/>
              <w:rPr>
                <w:sz w:val="22"/>
              </w:rPr>
            </w:pPr>
            <w:r>
              <w:rPr>
                <w:sz w:val="22"/>
              </w:rPr>
              <w:t>datatype.</w:t>
            </w:r>
          </w:p>
        </w:tc>
      </w:tr>
      <w:tr>
        <w:trPr>
          <w:trHeight w:val="6509" w:hRule="atLeast"/>
        </w:trPr>
        <w:tc>
          <w:tcPr>
            <w:tcW w:w="2062" w:type="dxa"/>
          </w:tcPr>
          <w:p>
            <w:pPr>
              <w:pStyle w:val="TableParagraph"/>
              <w:spacing w:line="237" w:lineRule="auto" w:before="45"/>
              <w:ind w:right="177"/>
              <w:rPr>
                <w:sz w:val="22"/>
              </w:rPr>
            </w:pPr>
            <w:r>
              <w:rPr>
                <w:rFonts w:ascii="Cambria"/>
                <w:sz w:val="22"/>
              </w:rPr>
              <w:t>revisionsSaltValue </w:t>
            </w:r>
            <w:r>
              <w:rPr>
                <w:sz w:val="22"/>
              </w:rPr>
              <w:t>(Salt Value for Password Verifier)</w:t>
            </w:r>
          </w:p>
        </w:tc>
        <w:tc>
          <w:tcPr>
            <w:tcW w:w="8250" w:type="dxa"/>
          </w:tcPr>
          <w:p>
            <w:pPr>
              <w:pStyle w:val="TableParagraph"/>
              <w:ind w:right="106"/>
              <w:rPr>
                <w:sz w:val="22"/>
              </w:rPr>
            </w:pPr>
            <w:r>
              <w:rPr>
                <w:sz w:val="22"/>
              </w:rPr>
              <w:t>Specifies the salt that was prepended to the user-supplied password before it was hashed using the hashing algorithm defined by the preceding attribute values to generate the </w:t>
            </w:r>
            <w:r>
              <w:rPr>
                <w:rFonts w:ascii="Cambria"/>
                <w:sz w:val="22"/>
              </w:rPr>
              <w:t>revisionsHashValue </w:t>
            </w:r>
            <w:r>
              <w:rPr>
                <w:sz w:val="22"/>
              </w:rPr>
              <w:t>attribute, and that shall also be prepended to the user-supplied password before attempting to generate a hash value for comparison. A </w:t>
            </w:r>
            <w:r>
              <w:rPr>
                <w:i/>
                <w:sz w:val="22"/>
              </w:rPr>
              <w:t>salt </w:t>
            </w:r>
            <w:r>
              <w:rPr>
                <w:sz w:val="22"/>
              </w:rPr>
              <w:t>is a random string which is added to a user-supplied password before it is hashed in order to prevent a malicious party from pre-calculating all possible password/hash combinations and simply using those pre-calculated values (often referred to as a "dictionary</w:t>
            </w:r>
            <w:r>
              <w:rPr>
                <w:spacing w:val="-13"/>
                <w:sz w:val="22"/>
              </w:rPr>
              <w:t> </w:t>
            </w:r>
            <w:r>
              <w:rPr>
                <w:sz w:val="22"/>
              </w:rPr>
              <w:t>attack").</w:t>
            </w:r>
          </w:p>
          <w:p>
            <w:pPr>
              <w:pStyle w:val="TableParagraph"/>
              <w:spacing w:before="3"/>
              <w:ind w:left="0"/>
              <w:rPr>
                <w:rFonts w:ascii="Times New Roman"/>
                <w:sz w:val="23"/>
              </w:rPr>
            </w:pPr>
          </w:p>
          <w:p>
            <w:pPr>
              <w:pStyle w:val="TableParagraph"/>
              <w:spacing w:before="1"/>
              <w:ind w:right="121"/>
              <w:rPr>
                <w:sz w:val="22"/>
              </w:rPr>
            </w:pPr>
            <w:r>
              <w:rPr>
                <w:sz w:val="22"/>
              </w:rPr>
              <w:t>If this attribute is omitted, then no salt shall be prepended to the user-supplied password before it is hashed for comparison with the stored hash value.</w:t>
            </w:r>
          </w:p>
          <w:p>
            <w:pPr>
              <w:pStyle w:val="TableParagraph"/>
              <w:spacing w:before="4"/>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5"/>
              <w:ind w:left="0"/>
              <w:rPr>
                <w:rFonts w:ascii="Times New Roman"/>
                <w:sz w:val="23"/>
              </w:rPr>
            </w:pPr>
          </w:p>
          <w:p>
            <w:pPr>
              <w:pStyle w:val="TableParagraph"/>
              <w:spacing w:before="0"/>
              <w:ind w:left="403"/>
              <w:rPr>
                <w:rFonts w:ascii="Consolas" w:hAnsi="Consolas"/>
                <w:sz w:val="22"/>
              </w:rPr>
            </w:pPr>
            <w:r>
              <w:rPr>
                <w:rFonts w:ascii="Consolas" w:hAnsi="Consolas"/>
                <w:sz w:val="22"/>
              </w:rPr>
              <w:t>&lt;… revisionsSaltValue="ZUdHa+D8F/OAKP3I7ssUnQ=="</w:t>
            </w:r>
          </w:p>
          <w:p>
            <w:pPr>
              <w:pStyle w:val="TableParagraph"/>
              <w:spacing w:before="2"/>
              <w:ind w:left="645"/>
              <w:rPr>
                <w:rFonts w:ascii="Consolas"/>
                <w:sz w:val="22"/>
              </w:rPr>
            </w:pPr>
            <w:r>
              <w:rPr>
                <w:rFonts w:ascii="Consolas"/>
                <w:sz w:val="22"/>
              </w:rPr>
              <w:t>revisionsHashValue="9oN7nWkCAyEZib1RomSJTjmPpCY=" /&gt;</w:t>
            </w:r>
          </w:p>
          <w:p>
            <w:pPr>
              <w:pStyle w:val="TableParagraph"/>
              <w:spacing w:before="1"/>
              <w:ind w:left="0"/>
              <w:rPr>
                <w:rFonts w:ascii="Times New Roman"/>
                <w:sz w:val="23"/>
              </w:rPr>
            </w:pPr>
          </w:p>
          <w:p>
            <w:pPr>
              <w:pStyle w:val="TableParagraph"/>
              <w:spacing w:before="0"/>
              <w:ind w:right="117"/>
              <w:rPr>
                <w:sz w:val="22"/>
              </w:rPr>
            </w:pPr>
            <w:r>
              <w:rPr>
                <w:sz w:val="22"/>
              </w:rPr>
              <w:t>The </w:t>
            </w:r>
            <w:r>
              <w:rPr>
                <w:rFonts w:ascii="Cambria"/>
                <w:sz w:val="22"/>
              </w:rPr>
              <w:t>revisionsSaltValue </w:t>
            </w:r>
            <w:r>
              <w:rPr>
                <w:sz w:val="22"/>
              </w:rPr>
              <w:t>attribute value of </w:t>
            </w:r>
            <w:r>
              <w:rPr>
                <w:rFonts w:ascii="Consolas"/>
                <w:sz w:val="20"/>
              </w:rPr>
              <w:t>ZUdHa+D8F/OAKP3I7ssUnQ==</w:t>
            </w:r>
            <w:r>
              <w:rPr>
                <w:rFonts w:ascii="Consolas"/>
                <w:spacing w:val="-91"/>
                <w:sz w:val="20"/>
              </w:rPr>
              <w:t> </w:t>
            </w:r>
            <w:r>
              <w:rPr>
                <w:sz w:val="22"/>
              </w:rPr>
              <w:t>specifies that the user-supplied password must have this value prepended before it is run through the specified hashing algorithm to generate a resulting hash value for comparison. </w:t>
            </w:r>
            <w:r>
              <w:rPr>
                <w:i/>
                <w:sz w:val="22"/>
              </w:rPr>
              <w:t>end </w:t>
            </w:r>
            <w:r>
              <w:rPr>
                <w:i/>
                <w:sz w:val="22"/>
              </w:rPr>
              <w:t>example</w:t>
            </w:r>
            <w:r>
              <w:rPr>
                <w:sz w:val="22"/>
              </w:rPr>
              <w:t>]</w:t>
            </w:r>
          </w:p>
          <w:p>
            <w:pPr>
              <w:pStyle w:val="TableParagraph"/>
              <w:spacing w:before="3"/>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base64Binary</w:t>
            </w:r>
          </w:p>
          <w:p>
            <w:pPr>
              <w:pStyle w:val="TableParagraph"/>
              <w:spacing w:before="0"/>
              <w:rPr>
                <w:sz w:val="22"/>
              </w:rPr>
            </w:pPr>
            <w:r>
              <w:rPr>
                <w:sz w:val="22"/>
              </w:rPr>
              <w:t>datatype.</w:t>
            </w:r>
          </w:p>
        </w:tc>
      </w:tr>
      <w:tr>
        <w:trPr>
          <w:trHeight w:val="623" w:hRule="atLeast"/>
        </w:trPr>
        <w:tc>
          <w:tcPr>
            <w:tcW w:w="2062" w:type="dxa"/>
          </w:tcPr>
          <w:p>
            <w:pPr>
              <w:pStyle w:val="TableParagraph"/>
              <w:spacing w:before="42"/>
              <w:ind w:right="156"/>
              <w:rPr>
                <w:sz w:val="22"/>
              </w:rPr>
            </w:pPr>
            <w:r>
              <w:rPr>
                <w:rFonts w:ascii="Cambria"/>
                <w:sz w:val="22"/>
              </w:rPr>
              <w:t>revisionsSpinCoun t </w:t>
            </w:r>
            <w:r>
              <w:rPr>
                <w:sz w:val="22"/>
              </w:rPr>
              <w:t>(Iterations to Run</w:t>
            </w:r>
          </w:p>
        </w:tc>
        <w:tc>
          <w:tcPr>
            <w:tcW w:w="8250" w:type="dxa"/>
          </w:tcPr>
          <w:p>
            <w:pPr>
              <w:pStyle w:val="TableParagraph"/>
              <w:ind w:right="287"/>
              <w:rPr>
                <w:sz w:val="22"/>
              </w:rPr>
            </w:pPr>
            <w:r>
              <w:rPr>
                <w:sz w:val="22"/>
              </w:rPr>
              <w:t>Specifies the number of times the hashing function shall be iteratively run (runs using each iteration's result plus a 4 byte value (0-based, little endian) containing the number</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gridSpan w:val="4"/>
            <w:shd w:val="clear" w:color="auto" w:fill="C0C0C0"/>
          </w:tcPr>
          <w:p>
            <w:pPr>
              <w:pStyle w:val="TableParagraph"/>
              <w:ind w:left="98" w:right="91"/>
              <w:jc w:val="center"/>
              <w:rPr>
                <w:b/>
                <w:sz w:val="22"/>
              </w:rPr>
            </w:pPr>
            <w:r>
              <w:rPr>
                <w:b/>
                <w:sz w:val="22"/>
              </w:rPr>
              <w:t>Description</w:t>
            </w:r>
          </w:p>
        </w:tc>
      </w:tr>
      <w:tr>
        <w:trPr>
          <w:trHeight w:val="5436" w:hRule="atLeast"/>
        </w:trPr>
        <w:tc>
          <w:tcPr>
            <w:tcW w:w="2062" w:type="dxa"/>
          </w:tcPr>
          <w:p>
            <w:pPr>
              <w:pStyle w:val="TableParagraph"/>
              <w:ind w:left="33" w:right="129"/>
              <w:jc w:val="center"/>
              <w:rPr>
                <w:sz w:val="22"/>
              </w:rPr>
            </w:pPr>
            <w:r>
              <w:rPr>
                <w:sz w:val="22"/>
              </w:rPr>
              <w:t>Hashing Algorithm)</w:t>
            </w:r>
          </w:p>
        </w:tc>
        <w:tc>
          <w:tcPr>
            <w:tcW w:w="8250" w:type="dxa"/>
            <w:gridSpan w:val="4"/>
          </w:tcPr>
          <w:p>
            <w:pPr>
              <w:pStyle w:val="TableParagraph"/>
              <w:ind w:right="316"/>
              <w:rPr>
                <w:sz w:val="22"/>
              </w:rPr>
            </w:pPr>
            <w:r>
              <w:rPr>
                <w:sz w:val="22"/>
              </w:rPr>
              <w:t>of the iteration as the input for the next iteration) when attempting to compare a user- supplied password with the value stored in the </w:t>
            </w:r>
            <w:r>
              <w:rPr>
                <w:rFonts w:ascii="Cambria"/>
                <w:sz w:val="22"/>
              </w:rPr>
              <w:t>revisionsHashValue </w:t>
            </w:r>
            <w:r>
              <w:rPr>
                <w:sz w:val="22"/>
              </w:rPr>
              <w:t>attribute.</w:t>
            </w:r>
          </w:p>
          <w:p>
            <w:pPr>
              <w:pStyle w:val="TableParagraph"/>
              <w:spacing w:before="4"/>
              <w:ind w:left="0"/>
              <w:rPr>
                <w:rFonts w:ascii="Times New Roman"/>
                <w:sz w:val="23"/>
              </w:rPr>
            </w:pPr>
          </w:p>
          <w:p>
            <w:pPr>
              <w:pStyle w:val="TableParagraph"/>
              <w:spacing w:before="0"/>
              <w:ind w:right="170"/>
              <w:rPr>
                <w:sz w:val="22"/>
              </w:rPr>
            </w:pPr>
            <w:r>
              <w:rPr>
                <w:sz w:val="22"/>
              </w:rPr>
              <w:t>[</w:t>
            </w:r>
            <w:r>
              <w:rPr>
                <w:i/>
                <w:sz w:val="22"/>
              </w:rPr>
              <w:t>Rationale</w:t>
            </w:r>
            <w:r>
              <w:rPr>
                <w:sz w:val="22"/>
              </w:rPr>
              <w:t>: Running the algorithm many times increases the cost of exhaustive search attacks correspondingly. Storing this value allows for the number of iterations to be increased over time to accommodate faster hardware (and hence the ability to run more iterations in less time). </w:t>
            </w:r>
            <w:r>
              <w:rPr>
                <w:i/>
                <w:sz w:val="22"/>
              </w:rPr>
              <w:t>end rationale</w:t>
            </w:r>
            <w:r>
              <w:rPr>
                <w:sz w:val="22"/>
              </w:rPr>
              <w:t>]</w:t>
            </w:r>
          </w:p>
          <w:p>
            <w:pPr>
              <w:pStyle w:val="TableParagraph"/>
              <w:spacing w:before="3"/>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 revisionsSpinCount="100000"</w:t>
            </w:r>
          </w:p>
          <w:p>
            <w:pPr>
              <w:pStyle w:val="TableParagraph"/>
              <w:spacing w:before="0"/>
              <w:ind w:left="645"/>
              <w:rPr>
                <w:rFonts w:ascii="Consolas"/>
                <w:sz w:val="22"/>
              </w:rPr>
            </w:pPr>
            <w:r>
              <w:rPr>
                <w:rFonts w:ascii="Consolas"/>
                <w:sz w:val="22"/>
              </w:rPr>
              <w:t>revisionHashValue="9oN7nWkCAyEZib1RomSJTjmPpCY=" /&gt;</w:t>
            </w:r>
          </w:p>
          <w:p>
            <w:pPr>
              <w:pStyle w:val="TableParagraph"/>
              <w:spacing w:before="1"/>
              <w:ind w:left="0"/>
              <w:rPr>
                <w:rFonts w:ascii="Times New Roman"/>
                <w:sz w:val="23"/>
              </w:rPr>
            </w:pPr>
          </w:p>
          <w:p>
            <w:pPr>
              <w:pStyle w:val="TableParagraph"/>
              <w:spacing w:before="0"/>
              <w:ind w:right="271"/>
              <w:rPr>
                <w:sz w:val="22"/>
              </w:rPr>
            </w:pPr>
            <w:r>
              <w:rPr>
                <w:sz w:val="22"/>
              </w:rPr>
              <w:t>The </w:t>
            </w:r>
            <w:r>
              <w:rPr>
                <w:rFonts w:ascii="Cambria"/>
                <w:sz w:val="22"/>
              </w:rPr>
              <w:t>revisionsSpinCount </w:t>
            </w:r>
            <w:r>
              <w:rPr>
                <w:sz w:val="22"/>
              </w:rPr>
              <w:t>attribute value of </w:t>
            </w:r>
            <w:r>
              <w:rPr>
                <w:rFonts w:ascii="Consolas"/>
                <w:sz w:val="20"/>
              </w:rPr>
              <w:t>100000 </w:t>
            </w:r>
            <w:r>
              <w:rPr>
                <w:sz w:val="22"/>
              </w:rPr>
              <w:t>specifies that the hashing function must be run one hundred thousand times to generate a hash value for comparison with the </w:t>
            </w:r>
            <w:r>
              <w:rPr>
                <w:rFonts w:ascii="Cambria"/>
                <w:sz w:val="22"/>
              </w:rPr>
              <w:t>revisionsHashValue </w:t>
            </w:r>
            <w:r>
              <w:rPr>
                <w:sz w:val="22"/>
              </w:rPr>
              <w:t>attribute. </w:t>
            </w:r>
            <w:r>
              <w:rPr>
                <w:i/>
                <w:sz w:val="22"/>
              </w:rPr>
              <w:t>end example</w:t>
            </w:r>
            <w:r>
              <w:rPr>
                <w:sz w:val="22"/>
              </w:rPr>
              <w:t>]</w:t>
            </w:r>
          </w:p>
          <w:p>
            <w:pPr>
              <w:pStyle w:val="TableParagraph"/>
              <w:spacing w:before="5"/>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384" w:hRule="atLeast"/>
        </w:trPr>
        <w:tc>
          <w:tcPr>
            <w:tcW w:w="2062" w:type="dxa"/>
            <w:vMerge w:val="restart"/>
          </w:tcPr>
          <w:p>
            <w:pPr>
              <w:pStyle w:val="TableParagraph"/>
              <w:spacing w:before="42"/>
              <w:ind w:right="183"/>
              <w:rPr>
                <w:sz w:val="22"/>
              </w:rPr>
            </w:pPr>
            <w:r>
              <w:rPr>
                <w:rFonts w:ascii="Cambria"/>
                <w:sz w:val="22"/>
              </w:rPr>
              <w:t>workbookAlgorith mName </w:t>
            </w:r>
            <w:r>
              <w:rPr>
                <w:sz w:val="22"/>
              </w:rPr>
              <w:t>(Cryptographic Algorithm Name)</w:t>
            </w:r>
          </w:p>
        </w:tc>
        <w:tc>
          <w:tcPr>
            <w:tcW w:w="8250" w:type="dxa"/>
            <w:gridSpan w:val="4"/>
          </w:tcPr>
          <w:p>
            <w:pPr>
              <w:pStyle w:val="TableParagraph"/>
              <w:ind w:right="188"/>
              <w:rPr>
                <w:sz w:val="22"/>
              </w:rPr>
            </w:pPr>
            <w:r>
              <w:rPr>
                <w:sz w:val="22"/>
              </w:rPr>
              <w:t>Specifies the specific cryptographic hashing algorithm which shall be used along with the </w:t>
            </w:r>
            <w:r>
              <w:rPr>
                <w:rFonts w:ascii="Cambria"/>
                <w:sz w:val="22"/>
              </w:rPr>
              <w:t>salt </w:t>
            </w:r>
            <w:r>
              <w:rPr>
                <w:sz w:val="22"/>
              </w:rPr>
              <w:t>attribute and input password in order to compute the hash value for the </w:t>
            </w:r>
            <w:r>
              <w:rPr>
                <w:rFonts w:ascii="Cambria"/>
                <w:sz w:val="22"/>
              </w:rPr>
              <w:t>workbookHashValue </w:t>
            </w:r>
            <w:r>
              <w:rPr>
                <w:sz w:val="22"/>
              </w:rPr>
              <w:t>attribute.</w:t>
            </w:r>
          </w:p>
          <w:p>
            <w:pPr>
              <w:pStyle w:val="TableParagraph"/>
              <w:spacing w:before="2"/>
              <w:ind w:left="0"/>
              <w:rPr>
                <w:rFonts w:ascii="Times New Roman"/>
                <w:sz w:val="23"/>
              </w:rPr>
            </w:pPr>
          </w:p>
          <w:p>
            <w:pPr>
              <w:pStyle w:val="TableParagraph"/>
              <w:spacing w:line="252" w:lineRule="exact" w:before="0"/>
              <w:rPr>
                <w:sz w:val="22"/>
              </w:rPr>
            </w:pPr>
            <w:r>
              <w:rPr>
                <w:sz w:val="22"/>
              </w:rPr>
              <w:t>The following values are reserved:</w:t>
            </w:r>
          </w:p>
        </w:tc>
      </w:tr>
      <w:tr>
        <w:trPr>
          <w:trHeight w:val="355" w:hRule="atLeast"/>
        </w:trPr>
        <w:tc>
          <w:tcPr>
            <w:tcW w:w="2062" w:type="dxa"/>
            <w:vMerge/>
            <w:tcBorders>
              <w:top w:val="nil"/>
            </w:tcBorders>
          </w:tcPr>
          <w:p>
            <w:pPr>
              <w:rPr>
                <w:sz w:val="2"/>
                <w:szCs w:val="2"/>
              </w:rPr>
            </w:pPr>
          </w:p>
        </w:tc>
        <w:tc>
          <w:tcPr>
            <w:tcW w:w="120" w:type="dxa"/>
            <w:vMerge w:val="restart"/>
            <w:tcBorders>
              <w:top w:val="nil"/>
            </w:tcBorders>
          </w:tcPr>
          <w:p>
            <w:pPr>
              <w:pStyle w:val="TableParagraph"/>
              <w:spacing w:before="0"/>
              <w:ind w:left="0"/>
              <w:rPr>
                <w:rFonts w:ascii="Times New Roman"/>
                <w:sz w:val="22"/>
              </w:rPr>
            </w:pPr>
          </w:p>
        </w:tc>
        <w:tc>
          <w:tcPr>
            <w:tcW w:w="1894" w:type="dxa"/>
            <w:shd w:val="clear" w:color="auto" w:fill="C0C0C0"/>
          </w:tcPr>
          <w:p>
            <w:pPr>
              <w:pStyle w:val="TableParagraph"/>
              <w:ind w:left="665" w:right="656"/>
              <w:jc w:val="center"/>
              <w:rPr>
                <w:b/>
                <w:sz w:val="22"/>
              </w:rPr>
            </w:pPr>
            <w:r>
              <w:rPr>
                <w:b/>
                <w:sz w:val="22"/>
              </w:rPr>
              <w:t>Value</w:t>
            </w:r>
          </w:p>
        </w:tc>
        <w:tc>
          <w:tcPr>
            <w:tcW w:w="6116" w:type="dxa"/>
            <w:shd w:val="clear" w:color="auto" w:fill="C0C0C0"/>
          </w:tcPr>
          <w:p>
            <w:pPr>
              <w:pStyle w:val="TableParagraph"/>
              <w:ind w:left="2579" w:right="2571"/>
              <w:jc w:val="center"/>
              <w:rPr>
                <w:b/>
                <w:sz w:val="22"/>
              </w:rPr>
            </w:pPr>
            <w:r>
              <w:rPr>
                <w:b/>
                <w:sz w:val="22"/>
              </w:rPr>
              <w:t>Algorithm</w:t>
            </w:r>
          </w:p>
        </w:tc>
        <w:tc>
          <w:tcPr>
            <w:tcW w:w="120" w:type="dxa"/>
            <w:tcBorders>
              <w:top w:val="nil"/>
              <w:bottom w:val="nil"/>
            </w:tcBorders>
          </w:tcPr>
          <w:p>
            <w:pPr>
              <w:pStyle w:val="TableParagraph"/>
              <w:spacing w:before="0"/>
              <w:ind w:left="0"/>
              <w:rPr>
                <w:rFonts w:ascii="Times New Roman"/>
                <w:sz w:val="22"/>
              </w:rPr>
            </w:pPr>
          </w:p>
        </w:tc>
      </w:tr>
      <w:tr>
        <w:trPr>
          <w:trHeight w:val="1698"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MD2</w:t>
            </w:r>
          </w:p>
        </w:tc>
        <w:tc>
          <w:tcPr>
            <w:tcW w:w="6116" w:type="dxa"/>
          </w:tcPr>
          <w:p>
            <w:pPr>
              <w:pStyle w:val="TableParagraph"/>
              <w:ind w:right="329"/>
              <w:rPr>
                <w:sz w:val="22"/>
              </w:rPr>
            </w:pPr>
            <w:r>
              <w:rPr>
                <w:sz w:val="22"/>
              </w:rPr>
              <w:t>Specifies that the MD2 algorithm, as defined by RFC 1319, shall be used.</w:t>
            </w:r>
          </w:p>
          <w:p>
            <w:pPr>
              <w:pStyle w:val="TableParagraph"/>
              <w:spacing w:before="4"/>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7"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MD4</w:t>
            </w:r>
          </w:p>
        </w:tc>
        <w:tc>
          <w:tcPr>
            <w:tcW w:w="6116" w:type="dxa"/>
          </w:tcPr>
          <w:p>
            <w:pPr>
              <w:pStyle w:val="TableParagraph"/>
              <w:ind w:right="329"/>
              <w:rPr>
                <w:sz w:val="22"/>
              </w:rPr>
            </w:pPr>
            <w:r>
              <w:rPr>
                <w:sz w:val="22"/>
              </w:rPr>
              <w:t>Specifies that the MD4 algorithm, as defined by RFC 1320, shall be used.</w:t>
            </w:r>
          </w:p>
          <w:p>
            <w:pPr>
              <w:pStyle w:val="TableParagraph"/>
              <w:spacing w:before="2"/>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715"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Borders>
              <w:bottom w:val="double" w:sz="1" w:space="0" w:color="000000"/>
            </w:tcBorders>
          </w:tcPr>
          <w:p>
            <w:pPr>
              <w:pStyle w:val="TableParagraph"/>
              <w:spacing w:before="41"/>
              <w:rPr>
                <w:rFonts w:ascii="Consolas"/>
                <w:sz w:val="20"/>
              </w:rPr>
            </w:pPr>
            <w:r>
              <w:rPr>
                <w:rFonts w:ascii="Consolas"/>
                <w:sz w:val="20"/>
              </w:rPr>
              <w:t>MD5</w:t>
            </w:r>
          </w:p>
        </w:tc>
        <w:tc>
          <w:tcPr>
            <w:tcW w:w="6116" w:type="dxa"/>
            <w:tcBorders>
              <w:bottom w:val="double" w:sz="1" w:space="0" w:color="000000"/>
            </w:tcBorders>
          </w:tcPr>
          <w:p>
            <w:pPr>
              <w:pStyle w:val="TableParagraph"/>
              <w:ind w:right="329"/>
              <w:rPr>
                <w:sz w:val="22"/>
              </w:rPr>
            </w:pPr>
            <w:r>
              <w:rPr>
                <w:sz w:val="22"/>
              </w:rPr>
              <w:t>Specifies that the MD5 algorithm, as defined by RFC 1321, shall be used.</w:t>
            </w:r>
          </w:p>
          <w:p>
            <w:pPr>
              <w:pStyle w:val="TableParagraph"/>
              <w:spacing w:before="4"/>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71" w:hRule="atLeast"/>
        </w:trPr>
        <w:tc>
          <w:tcPr>
            <w:tcW w:w="2062" w:type="dxa"/>
            <w:shd w:val="clear" w:color="auto" w:fill="C0C0C0"/>
          </w:tcPr>
          <w:p>
            <w:pPr>
              <w:pStyle w:val="TableParagraph"/>
              <w:ind w:left="566"/>
              <w:rPr>
                <w:b/>
                <w:sz w:val="22"/>
              </w:rPr>
            </w:pPr>
            <w:r>
              <w:rPr>
                <w:b/>
                <w:sz w:val="22"/>
              </w:rPr>
              <w:t>Attributes</w:t>
            </w:r>
          </w:p>
        </w:tc>
        <w:tc>
          <w:tcPr>
            <w:tcW w:w="8250" w:type="dxa"/>
            <w:gridSpan w:val="4"/>
            <w:tcBorders>
              <w:bottom w:val="double" w:sz="1" w:space="0" w:color="000000"/>
            </w:tcBorders>
            <w:shd w:val="clear" w:color="auto" w:fill="C0C0C0"/>
          </w:tcPr>
          <w:p>
            <w:pPr>
              <w:pStyle w:val="TableParagraph"/>
              <w:ind w:left="98" w:right="91"/>
              <w:jc w:val="center"/>
              <w:rPr>
                <w:b/>
                <w:sz w:val="22"/>
              </w:rPr>
            </w:pPr>
            <w:r>
              <w:rPr>
                <w:b/>
                <w:sz w:val="22"/>
              </w:rPr>
              <w:t>Description</w:t>
            </w:r>
          </w:p>
        </w:tc>
      </w:tr>
      <w:tr>
        <w:trPr>
          <w:trHeight w:val="1712" w:hRule="atLeast"/>
        </w:trPr>
        <w:tc>
          <w:tcPr>
            <w:tcW w:w="2062" w:type="dxa"/>
            <w:vMerge w:val="restart"/>
          </w:tcPr>
          <w:p>
            <w:pPr>
              <w:pStyle w:val="TableParagraph"/>
              <w:spacing w:before="0"/>
              <w:ind w:left="0"/>
              <w:rPr>
                <w:rFonts w:ascii="Times New Roman"/>
                <w:sz w:val="22"/>
              </w:rPr>
            </w:pPr>
          </w:p>
        </w:tc>
        <w:tc>
          <w:tcPr>
            <w:tcW w:w="120" w:type="dxa"/>
            <w:vMerge w:val="restart"/>
            <w:tcBorders>
              <w:bottom w:val="nil"/>
            </w:tcBorders>
          </w:tcPr>
          <w:p>
            <w:pPr>
              <w:pStyle w:val="TableParagraph"/>
              <w:spacing w:before="0"/>
              <w:ind w:left="0"/>
              <w:rPr>
                <w:rFonts w:ascii="Times New Roman"/>
                <w:sz w:val="22"/>
              </w:rPr>
            </w:pPr>
          </w:p>
        </w:tc>
        <w:tc>
          <w:tcPr>
            <w:tcW w:w="1894" w:type="dxa"/>
            <w:tcBorders>
              <w:top w:val="double" w:sz="1" w:space="0" w:color="000000"/>
            </w:tcBorders>
          </w:tcPr>
          <w:p>
            <w:pPr>
              <w:pStyle w:val="TableParagraph"/>
              <w:spacing w:before="58"/>
              <w:rPr>
                <w:rFonts w:ascii="Consolas"/>
                <w:sz w:val="20"/>
              </w:rPr>
            </w:pPr>
            <w:r>
              <w:rPr>
                <w:rFonts w:ascii="Consolas"/>
                <w:sz w:val="20"/>
              </w:rPr>
              <w:t>RIPEMD-128</w:t>
            </w:r>
          </w:p>
        </w:tc>
        <w:tc>
          <w:tcPr>
            <w:tcW w:w="6116" w:type="dxa"/>
            <w:tcBorders>
              <w:top w:val="double" w:sz="1" w:space="0" w:color="000000"/>
            </w:tcBorders>
          </w:tcPr>
          <w:p>
            <w:pPr>
              <w:pStyle w:val="TableParagraph"/>
              <w:spacing w:before="56"/>
              <w:ind w:right="339"/>
              <w:rPr>
                <w:sz w:val="22"/>
              </w:rPr>
            </w:pPr>
            <w:r>
              <w:rPr>
                <w:sz w:val="22"/>
              </w:rPr>
              <w:t>Specifies that the RIPEMD-128 algorithm, as defined by ISO/IEC 10118-3:2004 shall be used.</w:t>
            </w:r>
          </w:p>
          <w:p>
            <w:pPr>
              <w:pStyle w:val="TableParagraph"/>
              <w:spacing w:before="5"/>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RIPEMD-160</w:t>
            </w:r>
          </w:p>
        </w:tc>
        <w:tc>
          <w:tcPr>
            <w:tcW w:w="6116" w:type="dxa"/>
          </w:tcPr>
          <w:p>
            <w:pPr>
              <w:pStyle w:val="TableParagraph"/>
              <w:ind w:right="339"/>
              <w:rPr>
                <w:sz w:val="22"/>
              </w:rPr>
            </w:pPr>
            <w:r>
              <w:rPr>
                <w:sz w:val="22"/>
              </w:rPr>
              <w:t>Specifies that the RIPEMD-160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SHA-1</w:t>
            </w:r>
          </w:p>
        </w:tc>
        <w:tc>
          <w:tcPr>
            <w:tcW w:w="6116" w:type="dxa"/>
          </w:tcPr>
          <w:p>
            <w:pPr>
              <w:pStyle w:val="TableParagraph"/>
              <w:ind w:right="224"/>
              <w:rPr>
                <w:sz w:val="22"/>
              </w:rPr>
            </w:pPr>
            <w:r>
              <w:rPr>
                <w:sz w:val="22"/>
              </w:rPr>
              <w:t>Specifies that the SHA-1 algorithm, as defined by ISO/IEC 10118- 3:2004 shall be used.</w:t>
            </w:r>
          </w:p>
        </w:tc>
        <w:tc>
          <w:tcPr>
            <w:tcW w:w="120" w:type="dxa"/>
            <w:tcBorders>
              <w:top w:val="nil"/>
              <w:bottom w:val="nil"/>
            </w:tcBorders>
          </w:tcPr>
          <w:p>
            <w:pPr>
              <w:pStyle w:val="TableParagraph"/>
              <w:spacing w:before="0"/>
              <w:ind w:left="0"/>
              <w:rPr>
                <w:rFonts w:ascii="Times New Roman"/>
                <w:sz w:val="22"/>
              </w:rPr>
            </w:pPr>
          </w:p>
        </w:tc>
      </w:tr>
      <w:tr>
        <w:trPr>
          <w:trHeight w:val="624"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SHA-256</w:t>
            </w:r>
          </w:p>
        </w:tc>
        <w:tc>
          <w:tcPr>
            <w:tcW w:w="6116" w:type="dxa"/>
          </w:tcPr>
          <w:p>
            <w:pPr>
              <w:pStyle w:val="TableParagraph"/>
              <w:ind w:right="689"/>
              <w:rPr>
                <w:sz w:val="22"/>
              </w:rPr>
            </w:pPr>
            <w:r>
              <w:rPr>
                <w:sz w:val="22"/>
              </w:rPr>
              <w:t>Specifies that the SHA-256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1"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SHA-384</w:t>
            </w:r>
          </w:p>
        </w:tc>
        <w:tc>
          <w:tcPr>
            <w:tcW w:w="6116" w:type="dxa"/>
          </w:tcPr>
          <w:p>
            <w:pPr>
              <w:pStyle w:val="TableParagraph"/>
              <w:ind w:right="689"/>
              <w:rPr>
                <w:sz w:val="22"/>
              </w:rPr>
            </w:pPr>
            <w:r>
              <w:rPr>
                <w:sz w:val="22"/>
              </w:rPr>
              <w:t>Specifies that the SHA-384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4"/>
              <w:rPr>
                <w:rFonts w:ascii="Consolas"/>
                <w:sz w:val="20"/>
              </w:rPr>
            </w:pPr>
            <w:r>
              <w:rPr>
                <w:rFonts w:ascii="Consolas"/>
                <w:sz w:val="20"/>
              </w:rPr>
              <w:t>SHA-512</w:t>
            </w:r>
          </w:p>
        </w:tc>
        <w:tc>
          <w:tcPr>
            <w:tcW w:w="6116" w:type="dxa"/>
          </w:tcPr>
          <w:p>
            <w:pPr>
              <w:pStyle w:val="TableParagraph"/>
              <w:spacing w:line="237" w:lineRule="auto" w:before="44"/>
              <w:ind w:right="689"/>
              <w:rPr>
                <w:sz w:val="22"/>
              </w:rPr>
            </w:pPr>
            <w:r>
              <w:rPr>
                <w:sz w:val="22"/>
              </w:rPr>
              <w:t>Specifies that the SHA-512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WHIRLPOOL</w:t>
            </w:r>
          </w:p>
        </w:tc>
        <w:tc>
          <w:tcPr>
            <w:tcW w:w="6116" w:type="dxa"/>
          </w:tcPr>
          <w:p>
            <w:pPr>
              <w:pStyle w:val="TableParagraph"/>
              <w:ind w:right="361"/>
              <w:rPr>
                <w:sz w:val="22"/>
              </w:rPr>
            </w:pPr>
            <w:r>
              <w:rPr>
                <w:sz w:val="22"/>
              </w:rPr>
              <w:t>Specifies that the WHIRLPOOL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3513" w:hRule="atLeast"/>
        </w:trPr>
        <w:tc>
          <w:tcPr>
            <w:tcW w:w="2062" w:type="dxa"/>
            <w:vMerge/>
            <w:tcBorders>
              <w:top w:val="nil"/>
            </w:tcBorders>
          </w:tcPr>
          <w:p>
            <w:pPr>
              <w:rPr>
                <w:sz w:val="2"/>
                <w:szCs w:val="2"/>
              </w:rPr>
            </w:pPr>
          </w:p>
        </w:tc>
        <w:tc>
          <w:tcPr>
            <w:tcW w:w="8250" w:type="dxa"/>
            <w:gridSpan w:val="4"/>
          </w:tcPr>
          <w:p>
            <w:pPr>
              <w:pStyle w:val="TableParagraph"/>
              <w:spacing w:before="1"/>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 workbookAlgorithmName="SHA-1" workbookHashValue="9oN7nWkCAyEZib1RomSJTjmPpCY=" /&gt;</w:t>
            </w:r>
          </w:p>
          <w:p>
            <w:pPr>
              <w:pStyle w:val="TableParagraph"/>
              <w:spacing w:before="1"/>
              <w:ind w:left="0"/>
              <w:rPr>
                <w:rFonts w:ascii="Times New Roman"/>
                <w:sz w:val="23"/>
              </w:rPr>
            </w:pPr>
          </w:p>
          <w:p>
            <w:pPr>
              <w:pStyle w:val="TableParagraph"/>
              <w:spacing w:before="0"/>
              <w:ind w:right="156"/>
              <w:rPr>
                <w:sz w:val="22"/>
              </w:rPr>
            </w:pPr>
            <w:r>
              <w:rPr>
                <w:sz w:val="22"/>
              </w:rPr>
              <w:t>The </w:t>
            </w:r>
            <w:r>
              <w:rPr>
                <w:rFonts w:ascii="Cambria" w:hAnsi="Cambria"/>
                <w:sz w:val="22"/>
              </w:rPr>
              <w:t>workbookAlgorithmName </w:t>
            </w:r>
            <w:r>
              <w:rPr>
                <w:sz w:val="22"/>
              </w:rPr>
              <w:t>attribute value of </w:t>
            </w:r>
            <w:r>
              <w:rPr>
                <w:rFonts w:ascii="Consolas" w:hAnsi="Consolas"/>
                <w:sz w:val="20"/>
              </w:rPr>
              <w:t>“SHA-1” </w:t>
            </w:r>
            <w:r>
              <w:rPr>
                <w:sz w:val="22"/>
              </w:rPr>
              <w:t>specifies that the SHA-1 hashing algorithm must be used to generate a hash from the user-defined password. </w:t>
            </w:r>
            <w:r>
              <w:rPr>
                <w:i/>
                <w:sz w:val="22"/>
              </w:rPr>
              <w:t>end </w:t>
            </w:r>
            <w:r>
              <w:rPr>
                <w:i/>
                <w:sz w:val="22"/>
              </w:rPr>
              <w:t>example</w:t>
            </w:r>
            <w:r>
              <w:rPr>
                <w:sz w:val="22"/>
              </w:rPr>
              <w:t>]</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297" w:hRule="atLeast"/>
        </w:trPr>
        <w:tc>
          <w:tcPr>
            <w:tcW w:w="2062" w:type="dxa"/>
          </w:tcPr>
          <w:p>
            <w:pPr>
              <w:pStyle w:val="TableParagraph"/>
              <w:spacing w:line="237" w:lineRule="auto" w:before="45"/>
              <w:ind w:right="196"/>
              <w:jc w:val="both"/>
              <w:rPr>
                <w:sz w:val="22"/>
              </w:rPr>
            </w:pPr>
            <w:r>
              <w:rPr>
                <w:rFonts w:ascii="Cambria"/>
                <w:sz w:val="22"/>
              </w:rPr>
              <w:t>workbookHashVal ue </w:t>
            </w:r>
            <w:r>
              <w:rPr>
                <w:sz w:val="22"/>
              </w:rPr>
              <w:t>(Password Hash Value)</w:t>
            </w:r>
          </w:p>
        </w:tc>
        <w:tc>
          <w:tcPr>
            <w:tcW w:w="8250" w:type="dxa"/>
            <w:gridSpan w:val="4"/>
          </w:tcPr>
          <w:p>
            <w:pPr>
              <w:pStyle w:val="TableParagraph"/>
              <w:ind w:right="91"/>
              <w:rPr>
                <w:sz w:val="22"/>
              </w:rPr>
            </w:pPr>
            <w:r>
              <w:rPr>
                <w:sz w:val="22"/>
              </w:rPr>
              <w:t>Specifies the hash value for the password stored for unlocking this workbook. This value shall be compared with the resulting hash value after hashing the user-supplied password using the algorithm specified by the preceding attributes and parent XML element, and if the two values match, the protection shall no longer be enforced.</w:t>
            </w:r>
          </w:p>
          <w:p>
            <w:pPr>
              <w:pStyle w:val="TableParagraph"/>
              <w:spacing w:before="3"/>
              <w:ind w:left="0"/>
              <w:rPr>
                <w:rFonts w:ascii="Times New Roman"/>
                <w:sz w:val="23"/>
              </w:rPr>
            </w:pPr>
          </w:p>
          <w:p>
            <w:pPr>
              <w:pStyle w:val="TableParagraph"/>
              <w:spacing w:before="0"/>
              <w:ind w:right="834"/>
              <w:rPr>
                <w:sz w:val="22"/>
              </w:rPr>
            </w:pPr>
            <w:r>
              <w:rPr>
                <w:sz w:val="22"/>
              </w:rPr>
              <w:t>If this value is omitted, then the </w:t>
            </w:r>
            <w:r>
              <w:rPr>
                <w:rFonts w:ascii="Cambria"/>
                <w:sz w:val="22"/>
              </w:rPr>
              <w:t>reservationPassword </w:t>
            </w:r>
            <w:r>
              <w:rPr>
                <w:sz w:val="22"/>
              </w:rPr>
              <w:t>attribute shall contain the password hash for the workbook.</w:t>
            </w:r>
          </w:p>
          <w:p>
            <w:pPr>
              <w:pStyle w:val="TableParagraph"/>
              <w:spacing w:before="5"/>
              <w:ind w:left="0"/>
              <w:rPr>
                <w:rFonts w:ascii="Times New Roman"/>
                <w:sz w:val="23"/>
              </w:rPr>
            </w:pPr>
          </w:p>
          <w:p>
            <w:pPr>
              <w:pStyle w:val="TableParagraph"/>
              <w:spacing w:before="0"/>
              <w:ind w:right="187"/>
              <w:rPr>
                <w:sz w:val="22"/>
              </w:rPr>
            </w:pPr>
            <w:r>
              <w:rPr>
                <w:sz w:val="22"/>
              </w:rPr>
              <w:t>[</w:t>
            </w:r>
            <w:r>
              <w:rPr>
                <w:i/>
                <w:sz w:val="22"/>
              </w:rPr>
              <w:t>Example</w:t>
            </w:r>
            <w:r>
              <w:rPr>
                <w:sz w:val="22"/>
              </w:rPr>
              <w:t>: Consider a SpreadsheetML document with the following information stored in one of its protection elements:</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 workbookAlgorithmName="SHA-1"</w:t>
            </w:r>
          </w:p>
        </w:tc>
      </w:tr>
    </w:tbl>
    <w:p>
      <w:pPr>
        <w:spacing w:after="0"/>
        <w:rPr>
          <w:rFonts w:ascii="Consolas" w:hAnsi="Consolas"/>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28" w:hRule="atLeast"/>
        </w:trPr>
        <w:tc>
          <w:tcPr>
            <w:tcW w:w="2062" w:type="dxa"/>
          </w:tcPr>
          <w:p>
            <w:pPr>
              <w:pStyle w:val="TableParagraph"/>
              <w:spacing w:before="0"/>
              <w:ind w:left="0"/>
              <w:rPr>
                <w:rFonts w:ascii="Times New Roman"/>
                <w:sz w:val="22"/>
              </w:rPr>
            </w:pPr>
          </w:p>
        </w:tc>
        <w:tc>
          <w:tcPr>
            <w:tcW w:w="8250" w:type="dxa"/>
          </w:tcPr>
          <w:p>
            <w:pPr>
              <w:pStyle w:val="TableParagraph"/>
              <w:spacing w:before="42"/>
              <w:ind w:left="645"/>
              <w:rPr>
                <w:rFonts w:ascii="Consolas"/>
                <w:sz w:val="22"/>
              </w:rPr>
            </w:pPr>
            <w:r>
              <w:rPr>
                <w:rFonts w:ascii="Consolas"/>
                <w:sz w:val="22"/>
              </w:rPr>
              <w:t>workbookHashValue="9oN7nWkCAyEZib1RomSJTjmPpCY=" /&gt;</w:t>
            </w:r>
          </w:p>
          <w:p>
            <w:pPr>
              <w:pStyle w:val="TableParagraph"/>
              <w:spacing w:before="1"/>
              <w:ind w:left="0"/>
              <w:rPr>
                <w:rFonts w:ascii="Times New Roman"/>
                <w:sz w:val="23"/>
              </w:rPr>
            </w:pPr>
          </w:p>
          <w:p>
            <w:pPr>
              <w:pStyle w:val="TableParagraph"/>
              <w:spacing w:before="0"/>
              <w:ind w:right="155"/>
              <w:rPr>
                <w:sz w:val="22"/>
              </w:rPr>
            </w:pPr>
            <w:r>
              <w:rPr>
                <w:sz w:val="22"/>
              </w:rPr>
              <w:t>The </w:t>
            </w:r>
            <w:r>
              <w:rPr>
                <w:rFonts w:ascii="Cambria"/>
                <w:sz w:val="22"/>
              </w:rPr>
              <w:t>workbookHashValue </w:t>
            </w:r>
            <w:r>
              <w:rPr>
                <w:sz w:val="22"/>
              </w:rPr>
              <w:t>attribute value of </w:t>
            </w:r>
            <w:r>
              <w:rPr>
                <w:rFonts w:ascii="Consolas"/>
                <w:sz w:val="20"/>
              </w:rPr>
              <w:t>9oN7nWkCAyEZib1RomSJTjmPpCY=</w:t>
            </w:r>
            <w:r>
              <w:rPr>
                <w:rFonts w:ascii="Consolas"/>
                <w:spacing w:val="-81"/>
                <w:sz w:val="20"/>
              </w:rPr>
              <w:t> </w:t>
            </w:r>
            <w:r>
              <w:rPr>
                <w:sz w:val="22"/>
              </w:rPr>
              <w:t>specifies that the user-supplied password must be hashed using the pre-processing defined by the parent element (if any) followed by the SHA-1 algorithm (specified via the </w:t>
            </w:r>
            <w:r>
              <w:rPr>
                <w:rFonts w:ascii="Cambria"/>
                <w:sz w:val="22"/>
              </w:rPr>
              <w:t>workbookAlgorithmName </w:t>
            </w:r>
            <w:r>
              <w:rPr>
                <w:sz w:val="22"/>
              </w:rPr>
              <w:t>attribute value of </w:t>
            </w:r>
            <w:r>
              <w:rPr>
                <w:rFonts w:ascii="Consolas"/>
                <w:sz w:val="20"/>
              </w:rPr>
              <w:t>SHA-1</w:t>
            </w:r>
            <w:r>
              <w:rPr>
                <w:sz w:val="22"/>
              </w:rPr>
              <w:t>) and that the resulting has value must be </w:t>
            </w:r>
            <w:r>
              <w:rPr>
                <w:rFonts w:ascii="Consolas"/>
                <w:sz w:val="20"/>
              </w:rPr>
              <w:t>9oN7nWkCAyEZib1RomSJTjmPpCY= </w:t>
            </w:r>
            <w:r>
              <w:rPr>
                <w:sz w:val="22"/>
              </w:rPr>
              <w:t>for the protection to be disabled. </w:t>
            </w:r>
            <w:r>
              <w:rPr>
                <w:i/>
                <w:sz w:val="22"/>
              </w:rPr>
              <w:t>end </w:t>
            </w:r>
            <w:r>
              <w:rPr>
                <w:i/>
                <w:sz w:val="22"/>
              </w:rPr>
              <w:t>example</w:t>
            </w:r>
            <w:r>
              <w:rPr>
                <w:sz w:val="22"/>
              </w:rPr>
              <w:t>]</w:t>
            </w:r>
          </w:p>
          <w:p>
            <w:pPr>
              <w:pStyle w:val="TableParagraph"/>
              <w:spacing w:before="3"/>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base64Binary</w:t>
            </w:r>
          </w:p>
          <w:p>
            <w:pPr>
              <w:pStyle w:val="TableParagraph"/>
              <w:spacing w:before="0"/>
              <w:rPr>
                <w:sz w:val="22"/>
              </w:rPr>
            </w:pPr>
            <w:r>
              <w:rPr>
                <w:sz w:val="22"/>
              </w:rPr>
              <w:t>datatype.</w:t>
            </w:r>
          </w:p>
        </w:tc>
      </w:tr>
      <w:tr>
        <w:trPr>
          <w:trHeight w:val="6511" w:hRule="atLeast"/>
        </w:trPr>
        <w:tc>
          <w:tcPr>
            <w:tcW w:w="2062" w:type="dxa"/>
          </w:tcPr>
          <w:p>
            <w:pPr>
              <w:pStyle w:val="TableParagraph"/>
              <w:spacing w:before="42"/>
              <w:ind w:right="182"/>
              <w:rPr>
                <w:sz w:val="22"/>
              </w:rPr>
            </w:pPr>
            <w:r>
              <w:rPr>
                <w:rFonts w:ascii="Cambria"/>
                <w:sz w:val="22"/>
              </w:rPr>
              <w:t>workbookSaltValu e </w:t>
            </w:r>
            <w:r>
              <w:rPr>
                <w:sz w:val="22"/>
              </w:rPr>
              <w:t>(Salt Value for Password Verifier)</w:t>
            </w:r>
          </w:p>
        </w:tc>
        <w:tc>
          <w:tcPr>
            <w:tcW w:w="8250" w:type="dxa"/>
          </w:tcPr>
          <w:p>
            <w:pPr>
              <w:pStyle w:val="TableParagraph"/>
              <w:ind w:right="90"/>
              <w:rPr>
                <w:sz w:val="22"/>
              </w:rPr>
            </w:pPr>
            <w:r>
              <w:rPr>
                <w:sz w:val="22"/>
              </w:rPr>
              <w:t>Specifies the salt which was prepended to the user-supplied password before it was hashed using the hashing algorithm defined by the preceding attribute values to generate the </w:t>
            </w:r>
            <w:r>
              <w:rPr>
                <w:rFonts w:ascii="Cambria"/>
                <w:sz w:val="22"/>
              </w:rPr>
              <w:t>workbookHashValue </w:t>
            </w:r>
            <w:r>
              <w:rPr>
                <w:sz w:val="22"/>
              </w:rPr>
              <w:t>attribute, and which shall also be prepended to the user- supplied password before attempting to generate a hash value for comparison. A </w:t>
            </w:r>
            <w:r>
              <w:rPr>
                <w:i/>
                <w:sz w:val="22"/>
              </w:rPr>
              <w:t>salt </w:t>
            </w:r>
            <w:r>
              <w:rPr>
                <w:sz w:val="22"/>
              </w:rPr>
              <w:t>is a random string which is added to a user-supplied password before it is hashed in order to prevent a malicious party from pre-calculating all possible password/hash combinations and simply using those pre-calculated values (often referred to as a "dictionary attack").</w:t>
            </w:r>
          </w:p>
          <w:p>
            <w:pPr>
              <w:pStyle w:val="TableParagraph"/>
              <w:spacing w:before="4"/>
              <w:ind w:left="0"/>
              <w:rPr>
                <w:rFonts w:ascii="Times New Roman"/>
                <w:sz w:val="23"/>
              </w:rPr>
            </w:pPr>
          </w:p>
          <w:p>
            <w:pPr>
              <w:pStyle w:val="TableParagraph"/>
              <w:spacing w:before="0"/>
              <w:ind w:right="121"/>
              <w:rPr>
                <w:sz w:val="22"/>
              </w:rPr>
            </w:pPr>
            <w:r>
              <w:rPr>
                <w:sz w:val="22"/>
              </w:rPr>
              <w:t>If this attribute is omitted, then no salt shall be prepended to the user-supplied password before it is hashed for comparison with the stored hash value.</w:t>
            </w:r>
          </w:p>
          <w:p>
            <w:pPr>
              <w:pStyle w:val="TableParagraph"/>
              <w:spacing w:before="4"/>
              <w:ind w:left="0"/>
              <w:rPr>
                <w:rFonts w:ascii="Times New Roman"/>
                <w:sz w:val="23"/>
              </w:rPr>
            </w:pPr>
          </w:p>
          <w:p>
            <w:pPr>
              <w:pStyle w:val="TableParagraph"/>
              <w:spacing w:before="1"/>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line="257" w:lineRule="exact" w:before="0"/>
              <w:ind w:left="403"/>
              <w:rPr>
                <w:rFonts w:ascii="Consolas" w:hAnsi="Consolas"/>
                <w:sz w:val="22"/>
              </w:rPr>
            </w:pPr>
            <w:r>
              <w:rPr>
                <w:rFonts w:ascii="Consolas" w:hAnsi="Consolas"/>
                <w:sz w:val="22"/>
              </w:rPr>
              <w:t>&lt;… workbookSaltValue="ZUdHa+D8F/OAKP3I7ssUnQ=="</w:t>
            </w:r>
          </w:p>
          <w:p>
            <w:pPr>
              <w:pStyle w:val="TableParagraph"/>
              <w:spacing w:line="257" w:lineRule="exact" w:before="0"/>
              <w:ind w:left="645"/>
              <w:rPr>
                <w:rFonts w:ascii="Consolas"/>
                <w:sz w:val="22"/>
              </w:rPr>
            </w:pPr>
            <w:r>
              <w:rPr>
                <w:rFonts w:ascii="Consolas"/>
                <w:sz w:val="22"/>
              </w:rPr>
              <w:t>workbookHashValue="9oN7nWkCAyEZib1RomSJTjmPpCY=" /&gt;</w:t>
            </w:r>
          </w:p>
          <w:p>
            <w:pPr>
              <w:pStyle w:val="TableParagraph"/>
              <w:spacing w:before="1"/>
              <w:ind w:left="0"/>
              <w:rPr>
                <w:rFonts w:ascii="Times New Roman"/>
                <w:sz w:val="23"/>
              </w:rPr>
            </w:pPr>
          </w:p>
          <w:p>
            <w:pPr>
              <w:pStyle w:val="TableParagraph"/>
              <w:spacing w:before="0"/>
              <w:ind w:right="238"/>
              <w:rPr>
                <w:sz w:val="22"/>
              </w:rPr>
            </w:pPr>
            <w:r>
              <w:rPr>
                <w:sz w:val="22"/>
              </w:rPr>
              <w:t>The </w:t>
            </w:r>
            <w:r>
              <w:rPr>
                <w:rFonts w:ascii="Cambria"/>
                <w:sz w:val="22"/>
              </w:rPr>
              <w:t>workbookSaltValue </w:t>
            </w:r>
            <w:r>
              <w:rPr>
                <w:sz w:val="22"/>
              </w:rPr>
              <w:t>attribute value of </w:t>
            </w:r>
            <w:r>
              <w:rPr>
                <w:rFonts w:ascii="Consolas"/>
                <w:sz w:val="20"/>
              </w:rPr>
              <w:t>ZUdHa+D8F/OAKP3I7ssUnQ== </w:t>
            </w:r>
            <w:r>
              <w:rPr>
                <w:sz w:val="22"/>
              </w:rPr>
              <w:t>specifies that the user-supplied password must have this value prepended before it is run through the specified hashing algorithm to generate a resulting hash value for comparison. </w:t>
            </w:r>
            <w:r>
              <w:rPr>
                <w:i/>
                <w:sz w:val="22"/>
              </w:rPr>
              <w:t>end </w:t>
            </w:r>
            <w:r>
              <w:rPr>
                <w:i/>
                <w:sz w:val="22"/>
              </w:rPr>
              <w:t>example</w:t>
            </w:r>
            <w:r>
              <w:rPr>
                <w:sz w:val="22"/>
              </w:rPr>
              <w:t>]</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0"/>
              <w:rPr>
                <w:sz w:val="22"/>
              </w:rPr>
            </w:pPr>
            <w:r>
              <w:rPr>
                <w:sz w:val="22"/>
              </w:rPr>
              <w:t>datatype.</w:t>
            </w:r>
          </w:p>
        </w:tc>
      </w:tr>
      <w:tr>
        <w:trPr>
          <w:trHeight w:val="2772" w:hRule="atLeast"/>
        </w:trPr>
        <w:tc>
          <w:tcPr>
            <w:tcW w:w="2062" w:type="dxa"/>
          </w:tcPr>
          <w:p>
            <w:pPr>
              <w:pStyle w:val="TableParagraph"/>
              <w:spacing w:line="237" w:lineRule="auto" w:before="45"/>
              <w:ind w:right="102"/>
              <w:rPr>
                <w:sz w:val="22"/>
              </w:rPr>
            </w:pPr>
            <w:r>
              <w:rPr>
                <w:rFonts w:ascii="Cambria"/>
                <w:sz w:val="22"/>
              </w:rPr>
              <w:t>workbookSpinCou nt </w:t>
            </w:r>
            <w:r>
              <w:rPr>
                <w:sz w:val="22"/>
              </w:rPr>
              <w:t>(Iterations to Run Hashing Algorithm)</w:t>
            </w:r>
          </w:p>
        </w:tc>
        <w:tc>
          <w:tcPr>
            <w:tcW w:w="8250" w:type="dxa"/>
          </w:tcPr>
          <w:p>
            <w:pPr>
              <w:pStyle w:val="TableParagraph"/>
              <w:ind w:right="287"/>
              <w:rPr>
                <w:sz w:val="22"/>
              </w:rPr>
            </w:pPr>
            <w:r>
              <w:rPr>
                <w:sz w:val="22"/>
              </w:rPr>
              <w:t>Specifies the number of times the hashing function shall be iteratively run (runs using each iteration's result plus a 4 byte value (0-based, little endian) containing the number of the iteration as the input for the next iteration) when attempting to compare a user- supplied password with the value stored in the </w:t>
            </w:r>
            <w:r>
              <w:rPr>
                <w:rFonts w:ascii="Cambria"/>
                <w:sz w:val="22"/>
              </w:rPr>
              <w:t>workbookHashValue </w:t>
            </w:r>
            <w:r>
              <w:rPr>
                <w:sz w:val="22"/>
              </w:rPr>
              <w:t>attribute.</w:t>
            </w:r>
          </w:p>
          <w:p>
            <w:pPr>
              <w:pStyle w:val="TableParagraph"/>
              <w:spacing w:before="3"/>
              <w:ind w:left="0"/>
              <w:rPr>
                <w:rFonts w:ascii="Times New Roman"/>
                <w:sz w:val="23"/>
              </w:rPr>
            </w:pPr>
          </w:p>
          <w:p>
            <w:pPr>
              <w:pStyle w:val="TableParagraph"/>
              <w:spacing w:before="0"/>
              <w:ind w:right="170"/>
              <w:rPr>
                <w:sz w:val="22"/>
              </w:rPr>
            </w:pPr>
            <w:r>
              <w:rPr>
                <w:sz w:val="22"/>
              </w:rPr>
              <w:t>[</w:t>
            </w:r>
            <w:r>
              <w:rPr>
                <w:i/>
                <w:sz w:val="22"/>
              </w:rPr>
              <w:t>Rationale</w:t>
            </w:r>
            <w:r>
              <w:rPr>
                <w:sz w:val="22"/>
              </w:rPr>
              <w:t>: Running the algorithm many times increases the cost of exhaustive search attacks correspondingly. Storing this value allows for the number of iterations to be increased over time to accommodate faster hardware (and hence the ability to run more iterations in less time). </w:t>
            </w:r>
            <w:r>
              <w:rPr>
                <w:i/>
                <w:sz w:val="22"/>
              </w:rPr>
              <w:t>end rationale</w:t>
            </w:r>
            <w:r>
              <w:rPr>
                <w:sz w:val="22"/>
              </w:rPr>
              <w: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87" w:hRule="atLeast"/>
        </w:trPr>
        <w:tc>
          <w:tcPr>
            <w:tcW w:w="2062" w:type="dxa"/>
          </w:tcPr>
          <w:p>
            <w:pPr>
              <w:pStyle w:val="TableParagraph"/>
              <w:spacing w:before="0"/>
              <w:ind w:left="0"/>
              <w:rPr>
                <w:rFonts w:ascii="Times New Roman"/>
                <w:sz w:val="22"/>
              </w:rPr>
            </w:pPr>
          </w:p>
        </w:tc>
        <w:tc>
          <w:tcPr>
            <w:tcW w:w="8250" w:type="dxa"/>
          </w:tcPr>
          <w:p>
            <w:pPr>
              <w:pStyle w:val="TableParagraph"/>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line="257" w:lineRule="exact" w:before="0"/>
              <w:ind w:left="403"/>
              <w:rPr>
                <w:rFonts w:ascii="Consolas" w:hAnsi="Consolas"/>
                <w:sz w:val="22"/>
              </w:rPr>
            </w:pPr>
            <w:r>
              <w:rPr>
                <w:rFonts w:ascii="Consolas" w:hAnsi="Consolas"/>
                <w:sz w:val="22"/>
              </w:rPr>
              <w:t>&lt;… workbookSpinCount="100000"</w:t>
            </w:r>
          </w:p>
          <w:p>
            <w:pPr>
              <w:pStyle w:val="TableParagraph"/>
              <w:spacing w:line="257" w:lineRule="exact" w:before="0"/>
              <w:ind w:left="645"/>
              <w:rPr>
                <w:rFonts w:ascii="Consolas"/>
                <w:sz w:val="22"/>
              </w:rPr>
            </w:pPr>
            <w:r>
              <w:rPr>
                <w:rFonts w:ascii="Consolas"/>
                <w:sz w:val="22"/>
              </w:rPr>
              <w:t>revisionHashValue="9oN7nWkCAyEZib1RomSJTjmPpCY=" /&gt;</w:t>
            </w:r>
          </w:p>
          <w:p>
            <w:pPr>
              <w:pStyle w:val="TableParagraph"/>
              <w:spacing w:before="1"/>
              <w:ind w:left="0"/>
              <w:rPr>
                <w:rFonts w:ascii="Times New Roman"/>
                <w:sz w:val="23"/>
              </w:rPr>
            </w:pPr>
          </w:p>
          <w:p>
            <w:pPr>
              <w:pStyle w:val="TableParagraph"/>
              <w:spacing w:before="0"/>
              <w:ind w:right="271"/>
              <w:rPr>
                <w:sz w:val="22"/>
              </w:rPr>
            </w:pPr>
            <w:r>
              <w:rPr>
                <w:sz w:val="22"/>
              </w:rPr>
              <w:t>The </w:t>
            </w:r>
            <w:r>
              <w:rPr>
                <w:rFonts w:ascii="Cambria"/>
                <w:sz w:val="22"/>
              </w:rPr>
              <w:t>workbookSpinCount </w:t>
            </w:r>
            <w:r>
              <w:rPr>
                <w:sz w:val="22"/>
              </w:rPr>
              <w:t>attribute value of </w:t>
            </w:r>
            <w:r>
              <w:rPr>
                <w:rFonts w:ascii="Consolas"/>
                <w:sz w:val="20"/>
              </w:rPr>
              <w:t>100000 </w:t>
            </w:r>
            <w:r>
              <w:rPr>
                <w:sz w:val="22"/>
              </w:rPr>
              <w:t>specifies that the hashing function must be run one hundred thousand times to generate a hash value for comparison with the </w:t>
            </w:r>
            <w:r>
              <w:rPr>
                <w:rFonts w:ascii="Cambria"/>
                <w:sz w:val="22"/>
              </w:rPr>
              <w:t>workbookHashValue </w:t>
            </w:r>
            <w:r>
              <w:rPr>
                <w:sz w:val="22"/>
              </w:rPr>
              <w:t>attribute. </w:t>
            </w: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CT_WorkbookProtection</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2.30 workbookView (Workbook View)" w:id="95"/>
      <w:bookmarkEnd w:id="95"/>
      <w:r>
        <w:rPr>
          <w:b w:val="0"/>
        </w:rPr>
      </w:r>
      <w:bookmarkStart w:name="_bookmark30" w:id="96"/>
      <w:bookmarkEnd w:id="96"/>
      <w:r>
        <w:rPr>
          <w:b w:val="0"/>
        </w:rPr>
      </w:r>
      <w:bookmarkStart w:name="_bookmark30" w:id="97"/>
      <w:bookmarkEnd w:id="97"/>
      <w:r>
        <w:rPr>
          <w:color w:val="4F81BC"/>
        </w:rPr>
        <w:t>w</w:t>
      </w:r>
      <w:r>
        <w:rPr>
          <w:color w:val="4F81BC"/>
        </w:rPr>
        <w:t>orkbookView (Workbook</w:t>
      </w:r>
      <w:r>
        <w:rPr>
          <w:color w:val="4F81BC"/>
          <w:spacing w:val="-1"/>
        </w:rPr>
        <w:t> </w:t>
      </w:r>
      <w:r>
        <w:rPr>
          <w:color w:val="4F81BC"/>
        </w:rPr>
        <w:t>View)</w:t>
      </w:r>
    </w:p>
    <w:p>
      <w:pPr>
        <w:pStyle w:val="BodyText"/>
        <w:spacing w:before="126"/>
        <w:ind w:left="220"/>
      </w:pPr>
      <w:r>
        <w:rPr/>
        <w:t>This element specifies a single Workbook view.</w:t>
      </w:r>
    </w:p>
    <w:p>
      <w:pPr>
        <w:pStyle w:val="BodyText"/>
        <w:spacing w:before="6"/>
        <w:rPr>
          <w:sz w:val="19"/>
        </w:rPr>
      </w:pPr>
    </w:p>
    <w:p>
      <w:pPr>
        <w:pStyle w:val="BodyText"/>
        <w:spacing w:line="276" w:lineRule="auto"/>
        <w:ind w:left="220" w:right="868"/>
      </w:pPr>
      <w:r>
        <w:rPr/>
        <w:t>Units for window widths and other dimensions are expressed in twips. Twip measurements are portable between different display resolutions. The formula is (screen pixels) * (20 * 72) / (logical device dpi), where the logical device dpi can be different for x and y coordinates.</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ind w:right="332"/>
              <w:rPr>
                <w:sz w:val="22"/>
              </w:rPr>
            </w:pPr>
            <w:r>
              <w:rPr>
                <w:rFonts w:ascii="Cambria"/>
                <w:sz w:val="22"/>
              </w:rPr>
              <w:t>activeTab </w:t>
            </w:r>
            <w:r>
              <w:rPr>
                <w:sz w:val="22"/>
              </w:rPr>
              <w:t>(Active Sheet Index)</w:t>
            </w:r>
          </w:p>
        </w:tc>
        <w:tc>
          <w:tcPr>
            <w:tcW w:w="8250" w:type="dxa"/>
          </w:tcPr>
          <w:p>
            <w:pPr>
              <w:pStyle w:val="TableParagraph"/>
              <w:spacing w:line="480" w:lineRule="auto"/>
              <w:ind w:right="513"/>
              <w:rPr>
                <w:sz w:val="22"/>
              </w:rPr>
            </w:pPr>
            <w:r>
              <w:rPr>
                <w:sz w:val="22"/>
              </w:rPr>
              <w:t>Specifies an unsignedInt that contains the index to the active sheet in this book view. The default value for this attribute is 0.</w:t>
            </w: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041" w:hRule="atLeast"/>
        </w:trPr>
        <w:tc>
          <w:tcPr>
            <w:tcW w:w="2062" w:type="dxa"/>
          </w:tcPr>
          <w:p>
            <w:pPr>
              <w:pStyle w:val="TableParagraph"/>
              <w:spacing w:before="42"/>
              <w:ind w:right="88"/>
              <w:rPr>
                <w:sz w:val="22"/>
              </w:rPr>
            </w:pPr>
            <w:r>
              <w:rPr>
                <w:rFonts w:ascii="Cambria"/>
                <w:sz w:val="22"/>
              </w:rPr>
              <w:t>autoFilterDateGrou ping </w:t>
            </w:r>
            <w:r>
              <w:rPr>
                <w:sz w:val="22"/>
              </w:rPr>
              <w:t>(AutoFilter Date Grouping)</w:t>
            </w:r>
          </w:p>
        </w:tc>
        <w:tc>
          <w:tcPr>
            <w:tcW w:w="8250" w:type="dxa"/>
          </w:tcPr>
          <w:p>
            <w:pPr>
              <w:pStyle w:val="TableParagraph"/>
              <w:ind w:right="87"/>
              <w:rPr>
                <w:sz w:val="22"/>
              </w:rPr>
            </w:pPr>
            <w:r>
              <w:rPr>
                <w:sz w:val="22"/>
              </w:rPr>
              <w:t>Specifies a boolean value that indicates whether to group dates when presenting the user with filtering options in the user interface.</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dates are grouped.</w:t>
            </w:r>
          </w:p>
          <w:p>
            <w:pPr>
              <w:pStyle w:val="TableParagraph"/>
              <w:spacing w:before="1"/>
              <w:ind w:left="0"/>
              <w:rPr>
                <w:sz w:val="22"/>
              </w:rPr>
            </w:pPr>
          </w:p>
          <w:p>
            <w:pPr>
              <w:pStyle w:val="TableParagraph"/>
              <w:spacing w:line="480" w:lineRule="auto" w:before="0"/>
              <w:ind w:right="285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that dates are not grouped. The default value for this attribute is true.</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623" w:hRule="atLeast"/>
        </w:trPr>
        <w:tc>
          <w:tcPr>
            <w:tcW w:w="2062" w:type="dxa"/>
          </w:tcPr>
          <w:p>
            <w:pPr>
              <w:pStyle w:val="TableParagraph"/>
              <w:ind w:right="506"/>
              <w:rPr>
                <w:sz w:val="22"/>
              </w:rPr>
            </w:pPr>
            <w:r>
              <w:rPr>
                <w:rFonts w:ascii="Cambria"/>
                <w:sz w:val="22"/>
              </w:rPr>
              <w:t>firstSheet </w:t>
            </w:r>
            <w:r>
              <w:rPr>
                <w:sz w:val="22"/>
              </w:rPr>
              <w:t>(First Sheet)</w:t>
            </w:r>
          </w:p>
        </w:tc>
        <w:tc>
          <w:tcPr>
            <w:tcW w:w="8250" w:type="dxa"/>
          </w:tcPr>
          <w:p>
            <w:pPr>
              <w:pStyle w:val="TableParagraph"/>
              <w:rPr>
                <w:sz w:val="22"/>
              </w:rPr>
            </w:pPr>
            <w:r>
              <w:rPr>
                <w:sz w:val="22"/>
              </w:rPr>
              <w:t>Specifies the index to the first sheet in this book view.</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The default value for this attribute is 0.</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772" w:hRule="atLeast"/>
        </w:trPr>
        <w:tc>
          <w:tcPr>
            <w:tcW w:w="2062" w:type="dxa"/>
          </w:tcPr>
          <w:p>
            <w:pPr>
              <w:pStyle w:val="TableParagraph"/>
              <w:spacing w:line="256" w:lineRule="exact" w:before="45"/>
              <w:rPr>
                <w:rFonts w:ascii="Cambria"/>
                <w:sz w:val="22"/>
              </w:rPr>
            </w:pPr>
            <w:r>
              <w:rPr>
                <w:rFonts w:ascii="Cambria"/>
                <w:sz w:val="22"/>
              </w:rPr>
              <w:t>minimized</w:t>
            </w:r>
          </w:p>
          <w:p>
            <w:pPr>
              <w:pStyle w:val="TableParagraph"/>
              <w:spacing w:line="267" w:lineRule="exact" w:before="0"/>
              <w:rPr>
                <w:sz w:val="22"/>
              </w:rPr>
            </w:pPr>
            <w:r>
              <w:rPr>
                <w:sz w:val="22"/>
              </w:rPr>
              <w:t>(Minimized)</w:t>
            </w:r>
          </w:p>
        </w:tc>
        <w:tc>
          <w:tcPr>
            <w:tcW w:w="8250" w:type="dxa"/>
          </w:tcPr>
          <w:p>
            <w:pPr>
              <w:pStyle w:val="TableParagraph"/>
              <w:spacing w:line="477" w:lineRule="auto" w:before="42"/>
              <w:ind w:right="503"/>
              <w:rPr>
                <w:sz w:val="22"/>
              </w:rPr>
            </w:pPr>
            <w:r>
              <w:rPr>
                <w:sz w:val="22"/>
              </w:rPr>
              <w:t>Specifies a boolean value that indicates whether the workbook window is minimized.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workbook window is minimized.</w:t>
            </w:r>
          </w:p>
          <w:p>
            <w:pPr>
              <w:pStyle w:val="TableParagraph"/>
              <w:spacing w:line="480" w:lineRule="auto" w:before="4"/>
              <w:ind w:right="1725"/>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workbook window is not minimized. The default value for this attribute is false.</w:t>
            </w:r>
          </w:p>
          <w:p>
            <w:pPr>
              <w:pStyle w:val="TableParagraph"/>
              <w:spacing w:before="2"/>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line="237" w:lineRule="auto" w:before="47"/>
              <w:ind w:right="110"/>
              <w:jc w:val="both"/>
              <w:rPr>
                <w:sz w:val="22"/>
              </w:rPr>
            </w:pPr>
            <w:r>
              <w:rPr>
                <w:rFonts w:ascii="Cambria"/>
                <w:sz w:val="22"/>
              </w:rPr>
              <w:t>showHorizontalScr oll </w:t>
            </w:r>
            <w:r>
              <w:rPr>
                <w:sz w:val="22"/>
              </w:rPr>
              <w:t>(Show Horizontal Scroll)</w:t>
            </w:r>
          </w:p>
        </w:tc>
        <w:tc>
          <w:tcPr>
            <w:tcW w:w="8250" w:type="dxa"/>
          </w:tcPr>
          <w:p>
            <w:pPr>
              <w:pStyle w:val="TableParagraph"/>
              <w:spacing w:line="237" w:lineRule="auto" w:before="44"/>
              <w:ind w:right="132"/>
              <w:rPr>
                <w:sz w:val="22"/>
              </w:rPr>
            </w:pPr>
            <w:r>
              <w:rPr>
                <w:sz w:val="22"/>
              </w:rPr>
              <w:t>Specifies a boolean value that indicates whether to display the horizontal scroll bar in the user interface.</w:t>
            </w:r>
          </w:p>
          <w:p>
            <w:pPr>
              <w:pStyle w:val="TableParagraph"/>
              <w:spacing w:before="6"/>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the horizontal scrollbar shall be shown.</w:t>
            </w:r>
          </w:p>
          <w:p>
            <w:pPr>
              <w:pStyle w:val="TableParagraph"/>
              <w:spacing w:before="4"/>
              <w:ind w:left="0"/>
              <w:rPr>
                <w:rFonts w:ascii="Times New Roman"/>
                <w:sz w:val="23"/>
              </w:rPr>
            </w:pPr>
          </w:p>
          <w:p>
            <w:pPr>
              <w:pStyle w:val="TableParagraph"/>
              <w:spacing w:line="480" w:lineRule="auto" w:before="0"/>
              <w:ind w:right="1035"/>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that the horizontal scrollbar shall not be shown. The default value for this attribute is true.</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40" w:hRule="atLeast"/>
        </w:trPr>
        <w:tc>
          <w:tcPr>
            <w:tcW w:w="2062" w:type="dxa"/>
          </w:tcPr>
          <w:p>
            <w:pPr>
              <w:pStyle w:val="TableParagraph"/>
              <w:spacing w:line="257" w:lineRule="exact" w:before="42"/>
              <w:rPr>
                <w:rFonts w:ascii="Cambria"/>
                <w:sz w:val="22"/>
              </w:rPr>
            </w:pPr>
            <w:r>
              <w:rPr>
                <w:rFonts w:ascii="Cambria"/>
                <w:sz w:val="22"/>
              </w:rPr>
              <w:t>showSheetTabs</w:t>
            </w:r>
          </w:p>
          <w:p>
            <w:pPr>
              <w:pStyle w:val="TableParagraph"/>
              <w:spacing w:line="268" w:lineRule="exact" w:before="0"/>
              <w:rPr>
                <w:sz w:val="22"/>
              </w:rPr>
            </w:pPr>
            <w:r>
              <w:rPr>
                <w:sz w:val="22"/>
              </w:rPr>
              <w:t>(Show Sheet Tabs)</w:t>
            </w:r>
          </w:p>
        </w:tc>
        <w:tc>
          <w:tcPr>
            <w:tcW w:w="8250" w:type="dxa"/>
          </w:tcPr>
          <w:p>
            <w:pPr>
              <w:pStyle w:val="TableParagraph"/>
              <w:ind w:right="546"/>
              <w:rPr>
                <w:sz w:val="22"/>
              </w:rPr>
            </w:pPr>
            <w:r>
              <w:rPr>
                <w:sz w:val="22"/>
              </w:rPr>
              <w:t>Specifies a boolean value that indicates whether to display the sheet tabs in the user interface.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sheet tabs shall be shown.</w:t>
            </w:r>
          </w:p>
          <w:p>
            <w:pPr>
              <w:pStyle w:val="TableParagraph"/>
              <w:spacing w:before="5"/>
              <w:ind w:left="0"/>
              <w:rPr>
                <w:rFonts w:ascii="Times New Roman"/>
                <w:sz w:val="23"/>
              </w:rPr>
            </w:pPr>
          </w:p>
          <w:p>
            <w:pPr>
              <w:pStyle w:val="TableParagraph"/>
              <w:spacing w:line="480" w:lineRule="auto" w:before="0"/>
              <w:ind w:right="2185"/>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that sheet tabs shall not be shown. The default value for this attribute is true.</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spacing w:before="42"/>
              <w:ind w:right="149"/>
              <w:rPr>
                <w:sz w:val="22"/>
              </w:rPr>
            </w:pPr>
            <w:r>
              <w:rPr>
                <w:rFonts w:ascii="Cambria"/>
                <w:sz w:val="22"/>
              </w:rPr>
              <w:t>showVerticalScroll </w:t>
            </w:r>
            <w:r>
              <w:rPr>
                <w:sz w:val="22"/>
              </w:rPr>
              <w:t>(Show Vertical Scroll)</w:t>
            </w:r>
          </w:p>
        </w:tc>
        <w:tc>
          <w:tcPr>
            <w:tcW w:w="8250" w:type="dxa"/>
          </w:tcPr>
          <w:p>
            <w:pPr>
              <w:pStyle w:val="TableParagraph"/>
              <w:spacing w:line="480" w:lineRule="auto"/>
              <w:ind w:right="889"/>
              <w:rPr>
                <w:sz w:val="22"/>
              </w:rPr>
            </w:pPr>
            <w:r>
              <w:rPr>
                <w:sz w:val="22"/>
              </w:rPr>
              <w:t>Specifies a boolean value that indicates whether to display the vertical scroll bar.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vertical scrollbar shall be shown.</w:t>
            </w:r>
          </w:p>
          <w:p>
            <w:pPr>
              <w:pStyle w:val="TableParagraph"/>
              <w:spacing w:line="480" w:lineRule="auto" w:before="1"/>
              <w:ind w:right="170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vertical scrollbar shall not be shown. The default value for this attribute is true.</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tc>
      </w:tr>
    </w:tbl>
    <w:p>
      <w:pPr>
        <w:spacing w:after="0" w:line="267" w:lineRule="exact"/>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5"/>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696" w:hRule="atLeast"/>
        </w:trPr>
        <w:tc>
          <w:tcPr>
            <w:tcW w:w="2062" w:type="dxa"/>
          </w:tcPr>
          <w:p>
            <w:pPr>
              <w:pStyle w:val="TableParagraph"/>
              <w:ind w:right="115"/>
              <w:rPr>
                <w:sz w:val="22"/>
              </w:rPr>
            </w:pPr>
            <w:r>
              <w:rPr>
                <w:rFonts w:ascii="Cambria"/>
                <w:sz w:val="22"/>
              </w:rPr>
              <w:t>tabRatio </w:t>
            </w:r>
            <w:r>
              <w:rPr>
                <w:sz w:val="22"/>
              </w:rPr>
              <w:t>(Sheet Tab Ratio)</w:t>
            </w:r>
          </w:p>
        </w:tc>
        <w:tc>
          <w:tcPr>
            <w:tcW w:w="8250" w:type="dxa"/>
          </w:tcPr>
          <w:p>
            <w:pPr>
              <w:pStyle w:val="TableParagraph"/>
              <w:spacing w:line="480" w:lineRule="auto"/>
              <w:ind w:right="1319"/>
              <w:rPr>
                <w:sz w:val="22"/>
              </w:rPr>
            </w:pPr>
            <w:r>
              <w:rPr>
                <w:sz w:val="22"/>
              </w:rPr>
              <w:t>Specifies ratio between the workbook tabs bar and the horizontal scroll bar. The default value for this attribute is 600.</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7" w:hRule="atLeast"/>
        </w:trPr>
        <w:tc>
          <w:tcPr>
            <w:tcW w:w="2062" w:type="dxa"/>
          </w:tcPr>
          <w:p>
            <w:pPr>
              <w:pStyle w:val="TableParagraph"/>
              <w:ind w:left="62" w:right="129"/>
              <w:jc w:val="center"/>
              <w:rPr>
                <w:sz w:val="22"/>
              </w:rPr>
            </w:pPr>
            <w:r>
              <w:rPr>
                <w:rFonts w:ascii="Cambria"/>
                <w:sz w:val="22"/>
              </w:rPr>
              <w:t>visibility </w:t>
            </w:r>
            <w:r>
              <w:rPr>
                <w:sz w:val="22"/>
              </w:rPr>
              <w:t>(Visibility)</w:t>
            </w:r>
          </w:p>
        </w:tc>
        <w:tc>
          <w:tcPr>
            <w:tcW w:w="8250" w:type="dxa"/>
          </w:tcPr>
          <w:p>
            <w:pPr>
              <w:pStyle w:val="TableParagraph"/>
              <w:spacing w:line="480" w:lineRule="auto"/>
              <w:ind w:right="3866"/>
              <w:rPr>
                <w:sz w:val="22"/>
              </w:rPr>
            </w:pPr>
            <w:r>
              <w:rPr>
                <w:sz w:val="22"/>
              </w:rPr>
              <w:t>Specifies visible state of the workbook window. The default value for this attribute is "visible."</w:t>
            </w:r>
          </w:p>
          <w:p>
            <w:pPr>
              <w:pStyle w:val="TableParagraph"/>
              <w:spacing w:before="1"/>
              <w:ind w:right="867"/>
              <w:rPr>
                <w:sz w:val="22"/>
              </w:rPr>
            </w:pPr>
            <w:r>
              <w:rPr>
                <w:sz w:val="22"/>
              </w:rPr>
              <w:t>The possible values for this attribute are defined by the </w:t>
            </w:r>
            <w:r>
              <w:rPr>
                <w:rFonts w:ascii="Cambria" w:hAnsi="Cambria"/>
                <w:sz w:val="22"/>
              </w:rPr>
              <w:t>ST_Visibility </w:t>
            </w:r>
            <w:r>
              <w:rPr>
                <w:sz w:val="22"/>
              </w:rPr>
              <w:t>simple type </w:t>
            </w:r>
            <w:hyperlink w:history="true" w:anchor="_bookmark911">
              <w:r>
                <w:rPr>
                  <w:sz w:val="22"/>
                </w:rPr>
                <w:t>(§18.18.89</w:t>
              </w:r>
            </w:hyperlink>
            <w:r>
              <w:rPr>
                <w:sz w:val="22"/>
              </w:rPr>
              <w:t>).</w:t>
            </w:r>
          </w:p>
        </w:tc>
      </w:tr>
      <w:tr>
        <w:trPr>
          <w:trHeight w:val="1430" w:hRule="atLeast"/>
        </w:trPr>
        <w:tc>
          <w:tcPr>
            <w:tcW w:w="2062" w:type="dxa"/>
          </w:tcPr>
          <w:p>
            <w:pPr>
              <w:pStyle w:val="TableParagraph"/>
              <w:spacing w:line="256" w:lineRule="exact" w:before="45"/>
              <w:rPr>
                <w:rFonts w:ascii="Cambria"/>
                <w:sz w:val="22"/>
              </w:rPr>
            </w:pPr>
            <w:r>
              <w:rPr>
                <w:rFonts w:ascii="Cambria"/>
                <w:sz w:val="22"/>
              </w:rPr>
              <w:t>windowHeight</w:t>
            </w:r>
          </w:p>
          <w:p>
            <w:pPr>
              <w:pStyle w:val="TableParagraph"/>
              <w:spacing w:line="267" w:lineRule="exact" w:before="0"/>
              <w:rPr>
                <w:sz w:val="22"/>
              </w:rPr>
            </w:pPr>
            <w:r>
              <w:rPr>
                <w:sz w:val="22"/>
              </w:rPr>
              <w:t>(Window Height)</w:t>
            </w:r>
          </w:p>
        </w:tc>
        <w:tc>
          <w:tcPr>
            <w:tcW w:w="8250" w:type="dxa"/>
          </w:tcPr>
          <w:p>
            <w:pPr>
              <w:pStyle w:val="TableParagraph"/>
              <w:spacing w:line="237" w:lineRule="auto" w:before="44"/>
              <w:ind w:right="285"/>
              <w:rPr>
                <w:sz w:val="22"/>
              </w:rPr>
            </w:pPr>
            <w:r>
              <w:rPr>
                <w:sz w:val="22"/>
              </w:rPr>
              <w:t>Specifies the height of the workbook window. The unit of measurement for this value is twips.</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spacing w:line="257" w:lineRule="exact" w:before="42"/>
              <w:rPr>
                <w:rFonts w:ascii="Cambria"/>
                <w:sz w:val="22"/>
              </w:rPr>
            </w:pPr>
            <w:r>
              <w:rPr>
                <w:rFonts w:ascii="Cambria"/>
                <w:sz w:val="22"/>
              </w:rPr>
              <w:t>windowWidth</w:t>
            </w:r>
          </w:p>
          <w:p>
            <w:pPr>
              <w:pStyle w:val="TableParagraph"/>
              <w:spacing w:line="268" w:lineRule="exact" w:before="0"/>
              <w:rPr>
                <w:sz w:val="22"/>
              </w:rPr>
            </w:pPr>
            <w:r>
              <w:rPr>
                <w:sz w:val="22"/>
              </w:rPr>
              <w:t>(Window Width)</w:t>
            </w:r>
          </w:p>
        </w:tc>
        <w:tc>
          <w:tcPr>
            <w:tcW w:w="8250" w:type="dxa"/>
          </w:tcPr>
          <w:p>
            <w:pPr>
              <w:pStyle w:val="TableParagraph"/>
              <w:ind w:right="341"/>
              <w:rPr>
                <w:sz w:val="22"/>
              </w:rPr>
            </w:pPr>
            <w:r>
              <w:rPr>
                <w:sz w:val="22"/>
              </w:rPr>
              <w:t>Specifies the width of the workbook window. The unit of measurement for this value is twips.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spacing w:before="42"/>
              <w:ind w:right="341"/>
              <w:rPr>
                <w:sz w:val="22"/>
              </w:rPr>
            </w:pPr>
            <w:r>
              <w:rPr>
                <w:rFonts w:ascii="Cambria"/>
                <w:sz w:val="22"/>
              </w:rPr>
              <w:t>xWindow </w:t>
            </w:r>
            <w:r>
              <w:rPr>
                <w:sz w:val="22"/>
              </w:rPr>
              <w:t>(Upper Left Corner (X Coordinate))</w:t>
            </w:r>
          </w:p>
        </w:tc>
        <w:tc>
          <w:tcPr>
            <w:tcW w:w="8250" w:type="dxa"/>
          </w:tcPr>
          <w:p>
            <w:pPr>
              <w:pStyle w:val="TableParagraph"/>
              <w:spacing w:line="237" w:lineRule="auto" w:before="45"/>
              <w:ind w:right="193"/>
              <w:rPr>
                <w:sz w:val="22"/>
              </w:rPr>
            </w:pPr>
            <w:r>
              <w:rPr>
                <w:sz w:val="22"/>
              </w:rPr>
              <w:t>Specifies the X coordinate for the upper left corner of the workbook window. The unit of measurement for this value is twips.</w:t>
            </w:r>
          </w:p>
          <w:p>
            <w:pPr>
              <w:pStyle w:val="TableParagraph"/>
              <w:spacing w:before="5"/>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1161" w:hRule="atLeast"/>
        </w:trPr>
        <w:tc>
          <w:tcPr>
            <w:tcW w:w="2062" w:type="dxa"/>
          </w:tcPr>
          <w:p>
            <w:pPr>
              <w:pStyle w:val="TableParagraph"/>
              <w:ind w:right="336"/>
              <w:rPr>
                <w:sz w:val="22"/>
              </w:rPr>
            </w:pPr>
            <w:r>
              <w:rPr>
                <w:rFonts w:ascii="Cambria"/>
                <w:sz w:val="22"/>
              </w:rPr>
              <w:t>yWindow </w:t>
            </w:r>
            <w:r>
              <w:rPr>
                <w:sz w:val="22"/>
              </w:rPr>
              <w:t>(Upper Left Corner (Y Coordinate))</w:t>
            </w:r>
          </w:p>
        </w:tc>
        <w:tc>
          <w:tcPr>
            <w:tcW w:w="8250" w:type="dxa"/>
          </w:tcPr>
          <w:p>
            <w:pPr>
              <w:pStyle w:val="TableParagraph"/>
              <w:ind w:right="200"/>
              <w:rPr>
                <w:sz w:val="22"/>
              </w:rPr>
            </w:pPr>
            <w:r>
              <w:rPr>
                <w:sz w:val="22"/>
              </w:rPr>
              <w:t>Specifies the Y coordinate for the upper left corner of the workbook window. The unit of measurement for this value is twips.</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6" w:lineRule="auto" w:before="56"/>
        <w:ind w:left="220" w:right="591"/>
      </w:pPr>
      <w:r>
        <w:rPr/>
        <w:t>[</w:t>
      </w:r>
      <w:r>
        <w:rPr>
          <w:i/>
        </w:rPr>
        <w:t>Note</w:t>
      </w:r>
      <w:r>
        <w:rPr/>
        <w:t>: The W3C XML Schema definition of this element’s content model (</w:t>
      </w:r>
      <w:r>
        <w:rPr>
          <w:color w:val="5F5F5F"/>
          <w:u w:val="single" w:color="5F5F5F"/>
        </w:rPr>
        <w:t>CT_BookView</w:t>
      </w:r>
      <w:r>
        <w:rPr/>
        <w:t>) is located in §A.2. </w:t>
      </w:r>
      <w:r>
        <w:rPr>
          <w:i/>
        </w:rPr>
        <w:t>end </w:t>
      </w:r>
      <w:r>
        <w:rPr>
          <w:i/>
        </w:rPr>
        <w:t>note</w:t>
      </w:r>
      <w:r>
        <w:rPr/>
        <w:t>]</w:t>
      </w:r>
    </w:p>
    <w:p>
      <w:pPr>
        <w:pStyle w:val="BodyText"/>
        <w:spacing w:before="7"/>
        <w:rPr>
          <w:sz w:val="16"/>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3 Worksheets" w:id="98"/>
      <w:bookmarkEnd w:id="98"/>
      <w:r>
        <w:rPr>
          <w:b w:val="0"/>
        </w:rPr>
      </w:r>
      <w:bookmarkStart w:name="_bookmark31" w:id="99"/>
      <w:bookmarkEnd w:id="99"/>
      <w:r>
        <w:rPr>
          <w:b w:val="0"/>
        </w:rPr>
      </w:r>
      <w:bookmarkStart w:name="_bookmark31" w:id="100"/>
      <w:bookmarkEnd w:id="100"/>
      <w:r>
        <w:rPr>
          <w:color w:val="4F81BC"/>
        </w:rPr>
        <w:t>W</w:t>
      </w:r>
      <w:r>
        <w:rPr>
          <w:color w:val="4F81BC"/>
        </w:rPr>
        <w:t>orksheets</w:t>
      </w:r>
    </w:p>
    <w:p>
      <w:pPr>
        <w:pStyle w:val="BodyText"/>
        <w:spacing w:line="276" w:lineRule="auto" w:before="127"/>
        <w:ind w:left="220" w:right="399"/>
      </w:pPr>
      <w:r>
        <w:rPr/>
        <w:t>Sheets are the central structures within a workbook, and are where the user does most of their spreadsheet work. The most common type of sheet is the worksheet, which is represented as a grid of cells. Worksheet cells can contain text, numbers, dates, and formulas. Cells can be formatted as well. Workbooks usually contain more than one sheet. To aid in the analysis of data and making informed decisions, spreadsheet applications often implement features and objects which help calculate, sort, filter, organize, and graphically display information.</w:t>
      </w:r>
    </w:p>
    <w:p>
      <w:pPr>
        <w:spacing w:after="0" w:line="276" w:lineRule="auto"/>
        <w:sectPr>
          <w:pgSz w:w="12240" w:h="15840"/>
          <w:pgMar w:header="763" w:footer="746" w:top="1340" w:bottom="940" w:left="860" w:right="700"/>
        </w:sectPr>
      </w:pPr>
    </w:p>
    <w:p>
      <w:pPr>
        <w:pStyle w:val="BodyText"/>
        <w:spacing w:line="278" w:lineRule="auto" w:before="90"/>
        <w:ind w:left="220" w:right="645"/>
      </w:pPr>
      <w:r>
        <w:rPr/>
        <w:t>Since these features are often connected very tightly with the spreadsheet grid, these are also included in the sheet definition on disk.</w:t>
      </w:r>
    </w:p>
    <w:p>
      <w:pPr>
        <w:pStyle w:val="BodyText"/>
        <w:spacing w:before="3"/>
        <w:rPr>
          <w:sz w:val="16"/>
        </w:rPr>
      </w:pPr>
    </w:p>
    <w:p>
      <w:pPr>
        <w:pStyle w:val="BodyText"/>
        <w:spacing w:line="453" w:lineRule="auto"/>
        <w:ind w:left="220" w:right="4547"/>
      </w:pPr>
      <w:r>
        <w:rPr/>
        <w:t>Other types of sheets include chart sheets and dialog sheets. Note that sheet information is organized into three main</w:t>
      </w:r>
      <w:r>
        <w:rPr>
          <w:spacing w:val="-16"/>
        </w:rPr>
        <w:t> </w:t>
      </w:r>
      <w:r>
        <w:rPr/>
        <w:t>sections:</w:t>
      </w:r>
    </w:p>
    <w:p>
      <w:pPr>
        <w:pStyle w:val="ListParagraph"/>
        <w:numPr>
          <w:ilvl w:val="0"/>
          <w:numId w:val="21"/>
        </w:numPr>
        <w:tabs>
          <w:tab w:pos="940" w:val="left" w:leader="none"/>
          <w:tab w:pos="941" w:val="left" w:leader="none"/>
        </w:tabs>
        <w:spacing w:line="240" w:lineRule="auto" w:before="0" w:after="0"/>
        <w:ind w:left="940" w:right="0" w:hanging="361"/>
        <w:jc w:val="left"/>
        <w:rPr>
          <w:sz w:val="22"/>
        </w:rPr>
      </w:pPr>
      <w:r>
        <w:rPr>
          <w:sz w:val="22"/>
        </w:rPr>
        <w:t>Top-level sheet properties (everything before</w:t>
      </w:r>
      <w:r>
        <w:rPr>
          <w:spacing w:val="-6"/>
          <w:sz w:val="22"/>
        </w:rPr>
        <w:t> </w:t>
      </w:r>
      <w:r>
        <w:rPr>
          <w:rFonts w:ascii="Cambria" w:hAnsi="Cambria"/>
          <w:sz w:val="22"/>
        </w:rPr>
        <w:t>sheetData</w:t>
      </w:r>
      <w:r>
        <w:rPr>
          <w:sz w:val="22"/>
        </w:rPr>
        <w:t>)</w:t>
      </w:r>
    </w:p>
    <w:p>
      <w:pPr>
        <w:pStyle w:val="ListParagraph"/>
        <w:numPr>
          <w:ilvl w:val="0"/>
          <w:numId w:val="21"/>
        </w:numPr>
        <w:tabs>
          <w:tab w:pos="940" w:val="left" w:leader="none"/>
          <w:tab w:pos="941" w:val="left" w:leader="none"/>
        </w:tabs>
        <w:spacing w:line="240" w:lineRule="auto" w:before="39" w:after="0"/>
        <w:ind w:left="940" w:right="0" w:hanging="361"/>
        <w:jc w:val="left"/>
        <w:rPr>
          <w:sz w:val="22"/>
        </w:rPr>
      </w:pPr>
      <w:r>
        <w:rPr>
          <w:sz w:val="22"/>
        </w:rPr>
        <w:t>The cell table</w:t>
      </w:r>
      <w:r>
        <w:rPr>
          <w:spacing w:val="-5"/>
          <w:sz w:val="22"/>
        </w:rPr>
        <w:t> </w:t>
      </w:r>
      <w:r>
        <w:rPr>
          <w:sz w:val="22"/>
        </w:rPr>
        <w:t>(</w:t>
      </w:r>
      <w:r>
        <w:rPr>
          <w:rFonts w:ascii="Cambria" w:hAnsi="Cambria"/>
          <w:sz w:val="22"/>
        </w:rPr>
        <w:t>sheetData</w:t>
      </w:r>
      <w:r>
        <w:rPr>
          <w:sz w:val="22"/>
        </w:rPr>
        <w:t>)</w:t>
      </w:r>
    </w:p>
    <w:p>
      <w:pPr>
        <w:pStyle w:val="ListParagraph"/>
        <w:numPr>
          <w:ilvl w:val="0"/>
          <w:numId w:val="21"/>
        </w:numPr>
        <w:tabs>
          <w:tab w:pos="940" w:val="left" w:leader="none"/>
          <w:tab w:pos="941" w:val="left" w:leader="none"/>
        </w:tabs>
        <w:spacing w:line="240" w:lineRule="auto" w:before="42" w:after="0"/>
        <w:ind w:left="940" w:right="0" w:hanging="361"/>
        <w:jc w:val="left"/>
        <w:rPr>
          <w:sz w:val="22"/>
        </w:rPr>
      </w:pPr>
      <w:r>
        <w:rPr>
          <w:sz w:val="22"/>
        </w:rPr>
        <w:t>Supporting sheet features (everything after</w:t>
      </w:r>
      <w:r>
        <w:rPr>
          <w:spacing w:val="-5"/>
          <w:sz w:val="22"/>
        </w:rPr>
        <w:t> </w:t>
      </w:r>
      <w:r>
        <w:rPr>
          <w:rFonts w:ascii="Cambria" w:hAnsi="Cambria"/>
          <w:sz w:val="22"/>
        </w:rPr>
        <w:t>sheetData</w:t>
      </w:r>
      <w:r>
        <w:rPr>
          <w:sz w:val="22"/>
        </w:rPr>
        <w:t>)</w:t>
      </w:r>
    </w:p>
    <w:p>
      <w:pPr>
        <w:pStyle w:val="Heading2"/>
        <w:numPr>
          <w:ilvl w:val="2"/>
          <w:numId w:val="17"/>
        </w:numPr>
        <w:tabs>
          <w:tab w:pos="1444" w:val="left" w:leader="none"/>
          <w:tab w:pos="1445" w:val="left" w:leader="none"/>
        </w:tabs>
        <w:spacing w:line="240" w:lineRule="auto" w:before="243" w:after="0"/>
        <w:ind w:left="1444" w:right="0" w:hanging="1225"/>
        <w:jc w:val="left"/>
      </w:pPr>
      <w:bookmarkStart w:name="18.3.1 Worksheets" w:id="101"/>
      <w:bookmarkEnd w:id="101"/>
      <w:r>
        <w:rPr>
          <w:b w:val="0"/>
        </w:rPr>
      </w:r>
      <w:bookmarkStart w:name="_bookmark32" w:id="102"/>
      <w:bookmarkEnd w:id="102"/>
      <w:r>
        <w:rPr>
          <w:b w:val="0"/>
        </w:rPr>
      </w:r>
      <w:bookmarkStart w:name="_bookmark32" w:id="103"/>
      <w:bookmarkEnd w:id="103"/>
      <w:r>
        <w:rPr>
          <w:color w:val="4F81BC"/>
        </w:rPr>
        <w:t>Work</w:t>
      </w:r>
      <w:r>
        <w:rPr>
          <w:color w:val="4F81BC"/>
        </w:rPr>
        <w:t>sheets</w:t>
      </w:r>
    </w:p>
    <w:p>
      <w:pPr>
        <w:pStyle w:val="BodyText"/>
        <w:spacing w:before="124"/>
        <w:ind w:left="220"/>
      </w:pPr>
      <w:r>
        <w:rPr/>
        <w:t>The following elements define a sheet and its contents:</w:t>
      </w:r>
    </w:p>
    <w:p>
      <w:pPr>
        <w:pStyle w:val="BodyText"/>
        <w:spacing w:before="9"/>
        <w:rPr>
          <w:sz w:val="19"/>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1 anchor (Object Cell Anchor)" w:id="104"/>
      <w:bookmarkEnd w:id="104"/>
      <w:r>
        <w:rPr/>
      </w:r>
      <w:bookmarkStart w:name="_bookmark33" w:id="105"/>
      <w:bookmarkEnd w:id="105"/>
      <w:r>
        <w:rPr/>
      </w:r>
      <w:bookmarkStart w:name="_bookmark33" w:id="106"/>
      <w:bookmarkEnd w:id="106"/>
      <w:r>
        <w:rPr>
          <w:color w:val="4F81BC"/>
        </w:rPr>
        <w:t>a</w:t>
      </w:r>
      <w:r>
        <w:rPr>
          <w:color w:val="4F81BC"/>
        </w:rPr>
        <w:t>nchor (Object Cell</w:t>
      </w:r>
      <w:r>
        <w:rPr>
          <w:color w:val="4F81BC"/>
          <w:spacing w:val="-2"/>
        </w:rPr>
        <w:t> </w:t>
      </w:r>
      <w:r>
        <w:rPr>
          <w:color w:val="4F81BC"/>
        </w:rPr>
        <w:t>Anchor)</w:t>
      </w:r>
    </w:p>
    <w:p>
      <w:pPr>
        <w:pStyle w:val="BodyText"/>
        <w:spacing w:before="121"/>
        <w:ind w:left="220"/>
      </w:pPr>
      <w:r>
        <w:rPr/>
        <w:t>This element specifies the position of an embedded object or embedded control.</w:t>
      </w:r>
    </w:p>
    <w:p>
      <w:pPr>
        <w:pStyle w:val="BodyText"/>
        <w:spacing w:before="6"/>
        <w:rPr>
          <w:sz w:val="19"/>
        </w:rPr>
      </w:pPr>
    </w:p>
    <w:p>
      <w:pPr>
        <w:pStyle w:val="BodyText"/>
        <w:spacing w:line="278" w:lineRule="auto"/>
        <w:ind w:left="220" w:right="678"/>
      </w:pPr>
      <w:r>
        <w:rPr/>
        <w:t>[</w:t>
      </w:r>
      <w:r>
        <w:rPr>
          <w:i/>
        </w:rPr>
        <w:t>Example</w:t>
      </w:r>
      <w:r>
        <w:rPr/>
        <w:t>: The following example demonstrates an embedded object whose top-left corner is at the top-left point of the cell in the first column and first row and whose bottom-right corner is offset horizontally into the cell at the fifth column and eleventh row.</w:t>
      </w:r>
    </w:p>
    <w:p>
      <w:pPr>
        <w:pStyle w:val="BodyText"/>
        <w:spacing w:before="195"/>
        <w:ind w:left="508"/>
        <w:rPr>
          <w:rFonts w:ascii="Consolas" w:hAnsi="Consolas"/>
        </w:rPr>
      </w:pPr>
      <w:r>
        <w:rPr>
          <w:rFonts w:ascii="Consolas" w:hAnsi="Consolas"/>
        </w:rPr>
        <w:t>&lt;oleObject … &gt;</w:t>
      </w:r>
    </w:p>
    <w:p>
      <w:pPr>
        <w:pStyle w:val="BodyText"/>
        <w:spacing w:before="38"/>
        <w:ind w:left="750"/>
        <w:rPr>
          <w:rFonts w:ascii="Consolas" w:hAnsi="Consolas"/>
        </w:rPr>
      </w:pPr>
      <w:r>
        <w:rPr>
          <w:rFonts w:ascii="Consolas" w:hAnsi="Consolas"/>
        </w:rPr>
        <w:t>&lt;objectPr … &gt;</w:t>
      </w:r>
    </w:p>
    <w:p>
      <w:pPr>
        <w:pStyle w:val="BodyText"/>
        <w:spacing w:before="40"/>
        <w:ind w:left="993"/>
        <w:rPr>
          <w:rFonts w:ascii="Consolas"/>
        </w:rPr>
      </w:pPr>
      <w:r>
        <w:rPr>
          <w:rFonts w:ascii="Consolas"/>
        </w:rPr>
        <w:t>&lt;anchor sizeWithCells="true"&gt;</w:t>
      </w:r>
    </w:p>
    <w:p>
      <w:pPr>
        <w:pStyle w:val="BodyText"/>
        <w:spacing w:before="38"/>
        <w:ind w:left="1235"/>
        <w:rPr>
          <w:rFonts w:ascii="Consolas"/>
        </w:rPr>
      </w:pPr>
      <w:r>
        <w:rPr>
          <w:rFonts w:ascii="Consolas"/>
        </w:rPr>
        <w:t>&lt;from&gt;</w:t>
      </w:r>
    </w:p>
    <w:p>
      <w:pPr>
        <w:pStyle w:val="BodyText"/>
        <w:spacing w:before="38"/>
        <w:ind w:left="1478"/>
        <w:rPr>
          <w:rFonts w:ascii="Consolas"/>
        </w:rPr>
      </w:pPr>
      <w:r>
        <w:rPr>
          <w:rFonts w:ascii="Consolas"/>
        </w:rPr>
        <w:t>&lt;col&gt;0&lt;/col&gt;</w:t>
      </w:r>
    </w:p>
    <w:p>
      <w:pPr>
        <w:pStyle w:val="BodyText"/>
        <w:spacing w:before="40"/>
        <w:ind w:left="1478"/>
        <w:rPr>
          <w:rFonts w:ascii="Consolas"/>
        </w:rPr>
      </w:pPr>
      <w:r>
        <w:rPr>
          <w:rFonts w:ascii="Consolas"/>
        </w:rPr>
        <w:t>&lt;colOff&gt;0&lt;/colOff&gt;</w:t>
      </w:r>
    </w:p>
    <w:p>
      <w:pPr>
        <w:pStyle w:val="BodyText"/>
        <w:spacing w:before="37"/>
        <w:ind w:left="1478"/>
        <w:rPr>
          <w:rFonts w:ascii="Consolas"/>
        </w:rPr>
      </w:pPr>
      <w:r>
        <w:rPr>
          <w:rFonts w:ascii="Consolas"/>
        </w:rPr>
        <w:t>&lt;row&gt;0&lt;/row&gt;</w:t>
      </w:r>
    </w:p>
    <w:p>
      <w:pPr>
        <w:pStyle w:val="BodyText"/>
        <w:spacing w:before="40"/>
        <w:ind w:left="1478"/>
        <w:rPr>
          <w:rFonts w:ascii="Consolas"/>
        </w:rPr>
      </w:pPr>
      <w:r>
        <w:rPr>
          <w:rFonts w:ascii="Consolas"/>
        </w:rPr>
        <w:t>&lt;rowOff&gt;0&lt;/rowOff&gt;</w:t>
      </w:r>
    </w:p>
    <w:p>
      <w:pPr>
        <w:pStyle w:val="BodyText"/>
        <w:spacing w:before="38"/>
        <w:ind w:left="1235"/>
        <w:rPr>
          <w:rFonts w:ascii="Consolas"/>
        </w:rPr>
      </w:pPr>
      <w:r>
        <w:rPr>
          <w:rFonts w:ascii="Consolas"/>
        </w:rPr>
        <w:t>&lt;/from&gt;</w:t>
      </w:r>
    </w:p>
    <w:p>
      <w:pPr>
        <w:pStyle w:val="BodyText"/>
        <w:spacing w:before="40"/>
        <w:ind w:left="1235"/>
        <w:rPr>
          <w:rFonts w:ascii="Consolas"/>
        </w:rPr>
      </w:pPr>
      <w:r>
        <w:rPr>
          <w:rFonts w:ascii="Consolas"/>
        </w:rPr>
        <w:t>&lt;to&gt;</w:t>
      </w:r>
    </w:p>
    <w:p>
      <w:pPr>
        <w:pStyle w:val="BodyText"/>
        <w:spacing w:before="38"/>
        <w:ind w:left="1478"/>
        <w:rPr>
          <w:rFonts w:ascii="Consolas"/>
        </w:rPr>
      </w:pPr>
      <w:r>
        <w:rPr>
          <w:rFonts w:ascii="Consolas"/>
        </w:rPr>
        <w:t>&lt;col&gt;4&lt;/col&gt;</w:t>
      </w:r>
    </w:p>
    <w:p>
      <w:pPr>
        <w:pStyle w:val="BodyText"/>
        <w:spacing w:before="37"/>
        <w:ind w:left="1478"/>
        <w:rPr>
          <w:rFonts w:ascii="Consolas"/>
        </w:rPr>
      </w:pPr>
      <w:r>
        <w:rPr>
          <w:rFonts w:ascii="Consolas"/>
        </w:rPr>
        <w:t>&lt;colOff&gt;182880&lt;/colOff&gt;</w:t>
      </w:r>
    </w:p>
    <w:p>
      <w:pPr>
        <w:pStyle w:val="BodyText"/>
        <w:spacing w:before="40"/>
        <w:ind w:left="1478"/>
        <w:rPr>
          <w:rFonts w:ascii="Consolas"/>
        </w:rPr>
      </w:pPr>
      <w:r>
        <w:rPr>
          <w:rFonts w:ascii="Consolas"/>
        </w:rPr>
        <w:t>&lt;row&gt;10&lt;/row&gt;</w:t>
      </w:r>
    </w:p>
    <w:p>
      <w:pPr>
        <w:pStyle w:val="BodyText"/>
        <w:spacing w:before="38"/>
        <w:ind w:left="1478"/>
        <w:rPr>
          <w:rFonts w:ascii="Consolas"/>
        </w:rPr>
      </w:pPr>
      <w:r>
        <w:rPr>
          <w:rFonts w:ascii="Consolas"/>
        </w:rPr>
        <w:t>&lt;rowOff&gt;0&lt;/rowOff&gt;</w:t>
      </w:r>
    </w:p>
    <w:p>
      <w:pPr>
        <w:pStyle w:val="BodyText"/>
        <w:spacing w:before="40"/>
        <w:ind w:left="1235"/>
        <w:rPr>
          <w:rFonts w:ascii="Consolas"/>
        </w:rPr>
      </w:pPr>
      <w:r>
        <w:rPr>
          <w:rFonts w:ascii="Consolas"/>
        </w:rPr>
        <w:t>&lt;/to&gt;</w:t>
      </w:r>
    </w:p>
    <w:p>
      <w:pPr>
        <w:pStyle w:val="BodyText"/>
        <w:spacing w:before="37"/>
        <w:ind w:left="993"/>
        <w:rPr>
          <w:rFonts w:ascii="Consolas"/>
        </w:rPr>
      </w:pPr>
      <w:r>
        <w:rPr>
          <w:rFonts w:ascii="Consolas"/>
        </w:rPr>
        <w:t>&lt;anchor&gt;</w:t>
      </w:r>
    </w:p>
    <w:p>
      <w:pPr>
        <w:pStyle w:val="BodyText"/>
        <w:spacing w:before="41"/>
        <w:ind w:left="750"/>
        <w:rPr>
          <w:rFonts w:ascii="Consolas"/>
        </w:rPr>
      </w:pPr>
      <w:r>
        <w:rPr>
          <w:rFonts w:ascii="Consolas"/>
        </w:rPr>
        <w:t>&lt;/objectPr&gt;</w:t>
      </w:r>
    </w:p>
    <w:p>
      <w:pPr>
        <w:pStyle w:val="BodyText"/>
        <w:spacing w:before="38"/>
        <w:ind w:left="508"/>
        <w:rPr>
          <w:rFonts w:ascii="Consolas"/>
        </w:rPr>
      </w:pPr>
      <w:r>
        <w:rPr>
          <w:rFonts w:ascii="Consolas"/>
        </w:rPr>
        <w:t>&lt;/oleObject&gt;</w:t>
      </w:r>
    </w:p>
    <w:p>
      <w:pPr>
        <w:pStyle w:val="BodyText"/>
        <w:spacing w:before="4"/>
        <w:rPr>
          <w:rFonts w:ascii="Consolas"/>
          <w:sz w:val="20"/>
        </w:rPr>
      </w:pPr>
    </w:p>
    <w:p>
      <w:pPr>
        <w:spacing w:before="1"/>
        <w:ind w:left="220" w:right="0" w:firstLine="0"/>
        <w:jc w:val="left"/>
        <w:rPr>
          <w:sz w:val="22"/>
        </w:rPr>
      </w:pPr>
      <w:r>
        <w:rPr>
          <w:i/>
          <w:sz w:val="22"/>
        </w:rPr>
        <w:t>end example</w:t>
      </w:r>
      <w:r>
        <w:rPr>
          <w:sz w:val="22"/>
        </w:rPr>
        <w: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42"/>
              <w:ind w:left="0" w:right="511"/>
              <w:jc w:val="right"/>
              <w:rPr>
                <w:rFonts w:ascii="Cambria"/>
                <w:sz w:val="22"/>
              </w:rPr>
            </w:pPr>
            <w:r>
              <w:rPr>
                <w:rFonts w:ascii="Cambria"/>
                <w:sz w:val="22"/>
              </w:rPr>
              <w:t>moveWithCells</w:t>
            </w:r>
          </w:p>
        </w:tc>
        <w:tc>
          <w:tcPr>
            <w:tcW w:w="8250" w:type="dxa"/>
          </w:tcPr>
          <w:p>
            <w:pPr>
              <w:pStyle w:val="TableParagraph"/>
              <w:rPr>
                <w:sz w:val="22"/>
              </w:rPr>
            </w:pPr>
            <w:r>
              <w:rPr>
                <w:sz w:val="22"/>
              </w:rPr>
              <w:t>Specifies that the object moves with its underlying cells.</w:t>
            </w:r>
          </w:p>
        </w:tc>
      </w:tr>
    </w:tbl>
    <w:p>
      <w:pPr>
        <w:spacing w:after="0"/>
        <w:rPr>
          <w:sz w:val="22"/>
        </w:rPr>
        <w:sectPr>
          <w:footerReference w:type="even" r:id="rId26"/>
          <w:footerReference w:type="default" r:id="rId27"/>
          <w:pgSz w:w="12240" w:h="15840"/>
          <w:pgMar w:footer="746" w:header="761" w:top="1340" w:bottom="940" w:left="860" w:right="700"/>
          <w:pgNumType w:start="159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490" w:hRule="atLeast"/>
        </w:trPr>
        <w:tc>
          <w:tcPr>
            <w:tcW w:w="2062" w:type="dxa"/>
          </w:tcPr>
          <w:p>
            <w:pPr>
              <w:pStyle w:val="TableParagraph"/>
              <w:rPr>
                <w:sz w:val="22"/>
              </w:rPr>
            </w:pPr>
            <w:r>
              <w:rPr>
                <w:sz w:val="22"/>
              </w:rPr>
              <w:t>(Move With Cells)</w:t>
            </w:r>
          </w:p>
        </w:tc>
        <w:tc>
          <w:tcPr>
            <w:tcW w:w="8250" w:type="dxa"/>
          </w:tcPr>
          <w:p>
            <w:pPr>
              <w:pStyle w:val="TableParagraph"/>
              <w:spacing w:before="3"/>
              <w:ind w:left="0"/>
              <w:rPr>
                <w:sz w:val="25"/>
              </w:rPr>
            </w:pPr>
          </w:p>
          <w:p>
            <w:pPr>
              <w:pStyle w:val="TableParagraph"/>
              <w:spacing w:before="0"/>
              <w:rPr>
                <w:sz w:val="22"/>
              </w:rPr>
            </w:pPr>
            <w:r>
              <w:rPr>
                <w:sz w:val="22"/>
              </w:rPr>
              <w:t>[</w:t>
            </w:r>
            <w:r>
              <w:rPr>
                <w:i/>
                <w:sz w:val="22"/>
              </w:rPr>
              <w:t>Example</w:t>
            </w:r>
            <w:r>
              <w:rPr>
                <w:sz w:val="22"/>
              </w:rPr>
              <w:t>:</w:t>
            </w:r>
          </w:p>
          <w:p>
            <w:pPr>
              <w:pStyle w:val="TableParagraph"/>
              <w:spacing w:before="3"/>
              <w:ind w:left="0"/>
              <w:rPr>
                <w:sz w:val="22"/>
              </w:rPr>
            </w:pPr>
          </w:p>
          <w:p>
            <w:pPr>
              <w:pStyle w:val="TableParagraph"/>
              <w:spacing w:before="0"/>
              <w:ind w:left="403"/>
              <w:rPr>
                <w:rFonts w:ascii="Consolas" w:hAnsi="Consolas"/>
                <w:sz w:val="22"/>
              </w:rPr>
            </w:pPr>
            <w:r>
              <w:rPr>
                <w:rFonts w:ascii="Consolas" w:hAnsi="Consolas"/>
                <w:sz w:val="22"/>
              </w:rPr>
              <w:t>&lt;anchor moveWithCells="true" … &gt;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62" w:hRule="atLeast"/>
        </w:trPr>
        <w:tc>
          <w:tcPr>
            <w:tcW w:w="2062" w:type="dxa"/>
          </w:tcPr>
          <w:p>
            <w:pPr>
              <w:pStyle w:val="TableParagraph"/>
              <w:ind w:right="186"/>
              <w:rPr>
                <w:sz w:val="22"/>
              </w:rPr>
            </w:pPr>
            <w:r>
              <w:rPr>
                <w:rFonts w:ascii="Cambria"/>
                <w:sz w:val="22"/>
              </w:rPr>
              <w:t>sizeWithCells </w:t>
            </w:r>
            <w:r>
              <w:rPr>
                <w:sz w:val="22"/>
              </w:rPr>
              <w:t>(Size With Cells)</w:t>
            </w:r>
          </w:p>
        </w:tc>
        <w:tc>
          <w:tcPr>
            <w:tcW w:w="8250" w:type="dxa"/>
          </w:tcPr>
          <w:p>
            <w:pPr>
              <w:pStyle w:val="TableParagraph"/>
              <w:spacing w:line="480" w:lineRule="auto"/>
              <w:ind w:right="3086"/>
              <w:rPr>
                <w:sz w:val="22"/>
              </w:rPr>
            </w:pPr>
            <w:r>
              <w:rPr>
                <w:sz w:val="22"/>
              </w:rPr>
              <w:t>Specifies that the object resizes with its underlying cells.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&lt;anchor sizeWithCells="true" … &gt;</w:t>
            </w:r>
          </w:p>
          <w:p>
            <w:pPr>
              <w:pStyle w:val="TableParagraph"/>
              <w:spacing w:before="10"/>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297" w:hRule="atLeast"/>
        </w:trPr>
        <w:tc>
          <w:tcPr>
            <w:tcW w:w="2062" w:type="dxa"/>
          </w:tcPr>
          <w:p>
            <w:pPr>
              <w:pStyle w:val="TableParagraph"/>
              <w:rPr>
                <w:sz w:val="22"/>
              </w:rPr>
            </w:pPr>
            <w:r>
              <w:rPr>
                <w:rFonts w:ascii="Cambria"/>
                <w:sz w:val="22"/>
              </w:rPr>
              <w:t>z-order </w:t>
            </w:r>
            <w:r>
              <w:rPr>
                <w:sz w:val="22"/>
              </w:rPr>
              <w:t>(Z-Order)</w:t>
            </w:r>
          </w:p>
        </w:tc>
        <w:tc>
          <w:tcPr>
            <w:tcW w:w="8250" w:type="dxa"/>
          </w:tcPr>
          <w:p>
            <w:pPr>
              <w:pStyle w:val="TableParagraph"/>
              <w:ind w:right="108"/>
              <w:rPr>
                <w:sz w:val="22"/>
              </w:rPr>
            </w:pPr>
            <w:r>
              <w:rPr>
                <w:sz w:val="22"/>
              </w:rPr>
              <w:t>Specifies the Z-order index of the object. Higher numbers indicate higher Z-order. Objects with higher Z-order are rendered on top of objects with lower Z-order when they intersect or overlap.</w:t>
            </w:r>
          </w:p>
          <w:p>
            <w:pPr>
              <w:pStyle w:val="TableParagraph"/>
              <w:spacing w:before="10"/>
              <w:ind w:left="0"/>
              <w:rPr>
                <w:sz w:val="21"/>
              </w:rPr>
            </w:pPr>
          </w:p>
          <w:p>
            <w:pPr>
              <w:pStyle w:val="TableParagraph"/>
              <w:spacing w:before="0"/>
              <w:rPr>
                <w:sz w:val="22"/>
              </w:rPr>
            </w:pPr>
            <w:r>
              <w:rPr>
                <w:sz w:val="22"/>
              </w:rPr>
              <w:t>[</w:t>
            </w:r>
            <w:r>
              <w:rPr>
                <w:i/>
                <w:sz w:val="22"/>
              </w:rPr>
              <w:t>Example</w:t>
            </w:r>
            <w:r>
              <w:rPr>
                <w:sz w:val="22"/>
              </w:rPr>
              <w:t>:</w:t>
            </w:r>
          </w:p>
          <w:p>
            <w:pPr>
              <w:pStyle w:val="TableParagraph"/>
              <w:spacing w:before="3"/>
              <w:ind w:left="0"/>
              <w:rPr>
                <w:sz w:val="22"/>
              </w:rPr>
            </w:pPr>
          </w:p>
          <w:p>
            <w:pPr>
              <w:pStyle w:val="TableParagraph"/>
              <w:spacing w:before="1"/>
              <w:ind w:left="403"/>
              <w:rPr>
                <w:rFonts w:ascii="Consolas" w:hAnsi="Consolas"/>
                <w:sz w:val="22"/>
              </w:rPr>
            </w:pPr>
            <w:r>
              <w:rPr>
                <w:rFonts w:ascii="Consolas" w:hAnsi="Consolas"/>
                <w:sz w:val="22"/>
              </w:rPr>
              <w:t>&lt;anchor z-order="10 " … &gt;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CT_ObjectAnchor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2 autoFilter (AutoFilter Settings" w:id="107"/>
      <w:bookmarkEnd w:id="107"/>
      <w:r>
        <w:rPr/>
      </w:r>
      <w:bookmarkStart w:name="_bookmark34" w:id="108"/>
      <w:bookmarkEnd w:id="108"/>
      <w:r>
        <w:rPr/>
      </w:r>
      <w:bookmarkStart w:name="_bookmark34" w:id="109"/>
      <w:bookmarkEnd w:id="109"/>
      <w:r>
        <w:rPr>
          <w:color w:val="4F81BC"/>
        </w:rPr>
        <w:t>auto</w:t>
      </w:r>
      <w:r>
        <w:rPr>
          <w:color w:val="4F81BC"/>
        </w:rPr>
        <w:t>Filter (AutoFilter</w:t>
      </w:r>
      <w:r>
        <w:rPr>
          <w:color w:val="4F81BC"/>
          <w:spacing w:val="-3"/>
        </w:rPr>
        <w:t> </w:t>
      </w:r>
      <w:r>
        <w:rPr>
          <w:color w:val="4F81BC"/>
        </w:rPr>
        <w:t>Settings)</w:t>
      </w:r>
    </w:p>
    <w:p>
      <w:pPr>
        <w:pStyle w:val="BodyText"/>
        <w:spacing w:line="278" w:lineRule="auto" w:before="120"/>
        <w:ind w:left="220" w:right="437"/>
      </w:pPr>
      <w:r>
        <w:rPr/>
        <w:t>AutoFilter temporarily hides rows based on a filter criteria, which is applied column by column to a table of data in the worksheet. This collection expresses AutoFilter settings.</w:t>
      </w:r>
    </w:p>
    <w:p>
      <w:pPr>
        <w:pStyle w:val="BodyText"/>
        <w:spacing w:line="276" w:lineRule="auto" w:before="195"/>
        <w:ind w:left="220" w:right="412"/>
      </w:pPr>
      <w:r>
        <w:rPr/>
        <w:t>[</w:t>
      </w:r>
      <w:r>
        <w:rPr>
          <w:i/>
        </w:rPr>
        <w:t>Example</w:t>
      </w:r>
      <w:r>
        <w:rPr/>
        <w:t>: This example expresses a filter indicating to 'show only values greater than 0.5'. The filter is being applied to the range B3:E8, and the criteria is being applied to values in the column whose </w:t>
      </w:r>
      <w:r>
        <w:rPr>
          <w:rFonts w:ascii="Cambria"/>
        </w:rPr>
        <w:t>colId </w:t>
      </w:r>
      <w:r>
        <w:rPr/>
        <w:t>is </w:t>
      </w:r>
      <w:r>
        <w:rPr>
          <w:rFonts w:ascii="Consolas"/>
          <w:sz w:val="20"/>
        </w:rPr>
        <w:t>1</w:t>
      </w:r>
      <w:r>
        <w:rPr>
          <w:rFonts w:ascii="Consolas"/>
          <w:spacing w:val="-85"/>
          <w:sz w:val="20"/>
        </w:rPr>
        <w:t> </w:t>
      </w:r>
      <w:r>
        <w:rPr/>
        <w:t>(zero based column numbering, from left to right). Therefore any rows must be hidden if the value in that particular column is less than or equal to 0.5.</w:t>
      </w:r>
    </w:p>
    <w:p>
      <w:pPr>
        <w:spacing w:after="0" w:line="276" w:lineRule="auto"/>
        <w:sectPr>
          <w:pgSz w:w="12240" w:h="15840"/>
          <w:pgMar w:header="763" w:footer="746" w:top="1340" w:bottom="940" w:left="860" w:right="700"/>
        </w:sectPr>
      </w:pPr>
    </w:p>
    <w:p>
      <w:pPr>
        <w:pStyle w:val="BodyText"/>
        <w:spacing w:before="93"/>
        <w:ind w:left="508"/>
        <w:rPr>
          <w:rFonts w:ascii="Consolas"/>
        </w:rPr>
      </w:pPr>
      <w:r>
        <w:rPr>
          <w:rFonts w:ascii="Consolas"/>
        </w:rPr>
        <w:t>&lt;autoFilter ref="B3:E8"&gt;</w:t>
      </w:r>
    </w:p>
    <w:p>
      <w:pPr>
        <w:pStyle w:val="BodyText"/>
        <w:spacing w:before="38"/>
        <w:ind w:left="750"/>
        <w:rPr>
          <w:rFonts w:ascii="Consolas"/>
        </w:rPr>
      </w:pPr>
      <w:r>
        <w:rPr>
          <w:rFonts w:ascii="Consolas"/>
        </w:rPr>
        <w:t>&lt;filterColumn colId="1"&gt;</w:t>
      </w:r>
    </w:p>
    <w:p>
      <w:pPr>
        <w:pStyle w:val="BodyText"/>
        <w:spacing w:before="40"/>
        <w:ind w:left="993"/>
        <w:rPr>
          <w:rFonts w:ascii="Consolas"/>
        </w:rPr>
      </w:pPr>
      <w:r>
        <w:rPr>
          <w:rFonts w:ascii="Consolas"/>
        </w:rPr>
        <w:t>&lt;customFilters&gt;</w:t>
      </w:r>
    </w:p>
    <w:p>
      <w:pPr>
        <w:pStyle w:val="BodyText"/>
        <w:spacing w:before="37"/>
        <w:ind w:left="1235"/>
        <w:rPr>
          <w:rFonts w:ascii="Consolas"/>
        </w:rPr>
      </w:pPr>
      <w:r>
        <w:rPr>
          <w:rFonts w:ascii="Consolas"/>
        </w:rPr>
        <w:t>&lt;customFilter operator="greaterThan" val="0.5"/&gt;</w:t>
      </w:r>
    </w:p>
    <w:p>
      <w:pPr>
        <w:pStyle w:val="BodyText"/>
        <w:spacing w:before="40"/>
        <w:ind w:left="993"/>
        <w:rPr>
          <w:rFonts w:ascii="Consolas"/>
        </w:rPr>
      </w:pPr>
      <w:r>
        <w:rPr>
          <w:rFonts w:ascii="Consolas"/>
        </w:rPr>
        <w:t>&lt;/customFilters&gt;</w:t>
      </w:r>
    </w:p>
    <w:p>
      <w:pPr>
        <w:pStyle w:val="BodyText"/>
        <w:spacing w:before="38"/>
        <w:ind w:left="750"/>
        <w:rPr>
          <w:rFonts w:ascii="Consolas"/>
        </w:rPr>
      </w:pPr>
      <w:r>
        <w:rPr>
          <w:rFonts w:ascii="Consolas"/>
        </w:rPr>
        <w:t>&lt;/filterColumn&gt;</w:t>
      </w:r>
    </w:p>
    <w:p>
      <w:pPr>
        <w:pStyle w:val="BodyText"/>
        <w:spacing w:before="40"/>
        <w:ind w:left="508"/>
        <w:rPr>
          <w:rFonts w:ascii="Consolas"/>
        </w:rPr>
      </w:pPr>
      <w:r>
        <w:rPr>
          <w:rFonts w:ascii="Consolas"/>
        </w:rPr>
        <w:t>&lt;/autoFilter&gt;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rPr>
          <w:sz w:val="20"/>
        </w:rPr>
      </w:pPr>
    </w:p>
    <w:p>
      <w:pPr>
        <w:pStyle w:val="BodyText"/>
        <w:rPr>
          <w:sz w:val="20"/>
        </w:rPr>
      </w:pPr>
    </w:p>
    <w:p>
      <w:pPr>
        <w:pStyle w:val="BodyText"/>
        <w:spacing w:before="5" w:after="1"/>
        <w:rPr>
          <w:sz w:val="21"/>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3" w:hRule="atLeast"/>
        </w:trPr>
        <w:tc>
          <w:tcPr>
            <w:tcW w:w="2062" w:type="dxa"/>
          </w:tcPr>
          <w:p>
            <w:pPr>
              <w:pStyle w:val="TableParagraph"/>
              <w:ind w:right="363"/>
              <w:rPr>
                <w:sz w:val="22"/>
              </w:rPr>
            </w:pPr>
            <w:r>
              <w:rPr>
                <w:rFonts w:ascii="Cambria"/>
                <w:sz w:val="22"/>
              </w:rPr>
              <w:t>ref </w:t>
            </w:r>
            <w:r>
              <w:rPr>
                <w:sz w:val="22"/>
              </w:rPr>
              <w:t>(Cell or Range Reference)</w:t>
            </w:r>
          </w:p>
        </w:tc>
        <w:tc>
          <w:tcPr>
            <w:tcW w:w="8250" w:type="dxa"/>
          </w:tcPr>
          <w:p>
            <w:pPr>
              <w:pStyle w:val="TableParagraph"/>
              <w:rPr>
                <w:sz w:val="22"/>
              </w:rPr>
            </w:pPr>
            <w:r>
              <w:rPr>
                <w:sz w:val="22"/>
              </w:rPr>
              <w:t>Reference to the cell range to which the AutoFilter is applied.</w:t>
            </w:r>
          </w:p>
          <w:p>
            <w:pPr>
              <w:pStyle w:val="TableParagraph"/>
              <w:spacing w:before="1"/>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590"/>
      </w:pPr>
      <w:r>
        <w:rPr/>
        <w:t>[</w:t>
      </w:r>
      <w:r>
        <w:rPr>
          <w:i/>
        </w:rPr>
        <w:t>Note</w:t>
      </w:r>
      <w:r>
        <w:rPr/>
        <w:t>: The W3C XML Schema definition of this element’s content model (</w:t>
      </w:r>
      <w:r>
        <w:rPr>
          <w:color w:val="5F5F5F"/>
          <w:u w:val="single" w:color="5F5F5F"/>
        </w:rPr>
        <w:t>CT_AutoFilter</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3 brk (Break)" w:id="110"/>
      <w:bookmarkEnd w:id="110"/>
      <w:r>
        <w:rPr/>
      </w:r>
      <w:bookmarkStart w:name="_bookmark35" w:id="111"/>
      <w:bookmarkEnd w:id="111"/>
      <w:r>
        <w:rPr/>
      </w:r>
      <w:bookmarkStart w:name="_bookmark35" w:id="112"/>
      <w:bookmarkEnd w:id="112"/>
      <w:r>
        <w:rPr>
          <w:color w:val="4F81BC"/>
        </w:rPr>
        <w:t>b</w:t>
      </w:r>
      <w:r>
        <w:rPr>
          <w:color w:val="4F81BC"/>
        </w:rPr>
        <w:t>rk</w:t>
      </w:r>
      <w:r>
        <w:rPr>
          <w:color w:val="4F81BC"/>
          <w:spacing w:val="-2"/>
        </w:rPr>
        <w:t> </w:t>
      </w:r>
      <w:r>
        <w:rPr>
          <w:color w:val="4F81BC"/>
        </w:rPr>
        <w:t>(Break)</w:t>
      </w:r>
    </w:p>
    <w:p>
      <w:pPr>
        <w:pStyle w:val="BodyText"/>
        <w:spacing w:line="278" w:lineRule="auto" w:before="119"/>
        <w:ind w:left="220" w:right="906"/>
      </w:pPr>
      <w:r>
        <w:rPr/>
        <w:t>A row or column break to use when paginating a worksheet. [</w:t>
      </w:r>
      <w:r>
        <w:rPr>
          <w:i/>
        </w:rPr>
        <w:t>Note</w:t>
      </w:r>
      <w:r>
        <w:rPr/>
        <w:t>: See §</w:t>
      </w:r>
      <w:hyperlink w:history="true" w:anchor="_bookmark891">
        <w:r>
          <w:rPr/>
          <w:t>18.18.69 </w:t>
        </w:r>
      </w:hyperlink>
      <w:r>
        <w:rPr/>
        <w:t>for more information on worksheet views. </w:t>
      </w:r>
      <w:r>
        <w:rPr>
          <w:i/>
        </w:rPr>
        <w:t>end note</w:t>
      </w:r>
      <w:r>
        <w:rPr/>
        <w:t>]</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rPr>
                <w:sz w:val="22"/>
              </w:rPr>
            </w:pPr>
            <w:r>
              <w:rPr>
                <w:rFonts w:ascii="Cambria"/>
                <w:sz w:val="22"/>
              </w:rPr>
              <w:t>id </w:t>
            </w:r>
            <w:r>
              <w:rPr>
                <w:sz w:val="22"/>
              </w:rPr>
              <w:t>(Id)</w:t>
            </w:r>
          </w:p>
        </w:tc>
        <w:tc>
          <w:tcPr>
            <w:tcW w:w="8250" w:type="dxa"/>
          </w:tcPr>
          <w:p>
            <w:pPr>
              <w:pStyle w:val="TableParagraph"/>
              <w:ind w:right="461"/>
              <w:rPr>
                <w:sz w:val="22"/>
              </w:rPr>
            </w:pPr>
            <w:r>
              <w:rPr>
                <w:sz w:val="22"/>
              </w:rPr>
              <w:t>Zero-based row or column Id of the page break. Breaks occur above the specified row and left of the specified column.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226"/>
              <w:rPr>
                <w:sz w:val="22"/>
              </w:rPr>
            </w:pPr>
            <w:r>
              <w:rPr>
                <w:rFonts w:ascii="Cambria"/>
                <w:sz w:val="22"/>
              </w:rPr>
              <w:t>man </w:t>
            </w:r>
            <w:r>
              <w:rPr>
                <w:sz w:val="22"/>
              </w:rPr>
              <w:t>(Manual Page Break)</w:t>
            </w:r>
          </w:p>
        </w:tc>
        <w:tc>
          <w:tcPr>
            <w:tcW w:w="8250" w:type="dxa"/>
          </w:tcPr>
          <w:p>
            <w:pPr>
              <w:pStyle w:val="TableParagraph"/>
              <w:rPr>
                <w:sz w:val="22"/>
              </w:rPr>
            </w:pPr>
            <w:r>
              <w:rPr>
                <w:sz w:val="22"/>
              </w:rPr>
              <w:t>Manual Break flag. 1 means the break is a manually inserted break.</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rPr>
                <w:sz w:val="22"/>
              </w:rPr>
            </w:pPr>
            <w:r>
              <w:rPr>
                <w:rFonts w:ascii="Cambria"/>
                <w:sz w:val="22"/>
              </w:rPr>
              <w:t>max </w:t>
            </w:r>
            <w:r>
              <w:rPr>
                <w:sz w:val="22"/>
              </w:rPr>
              <w:t>(Maximum)</w:t>
            </w:r>
          </w:p>
        </w:tc>
        <w:tc>
          <w:tcPr>
            <w:tcW w:w="8250" w:type="dxa"/>
          </w:tcPr>
          <w:p>
            <w:pPr>
              <w:pStyle w:val="TableParagraph"/>
              <w:ind w:right="414"/>
              <w:rPr>
                <w:sz w:val="22"/>
              </w:rPr>
            </w:pPr>
            <w:r>
              <w:rPr>
                <w:sz w:val="22"/>
              </w:rPr>
              <w:t>Zero-based index of end row or column of the break. For row breaks, specifies column index; for column breaks, specifies row index.</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min </w:t>
            </w:r>
            <w:r>
              <w:rPr>
                <w:sz w:val="22"/>
              </w:rPr>
              <w:t>(Minimum)</w:t>
            </w:r>
          </w:p>
        </w:tc>
        <w:tc>
          <w:tcPr>
            <w:tcW w:w="8250" w:type="dxa"/>
          </w:tcPr>
          <w:p>
            <w:pPr>
              <w:pStyle w:val="TableParagraph"/>
              <w:ind w:right="339"/>
              <w:rPr>
                <w:sz w:val="22"/>
              </w:rPr>
            </w:pPr>
            <w:r>
              <w:rPr>
                <w:sz w:val="22"/>
              </w:rPr>
              <w:t>Zero-based index of start row or column of the break. For row breaks, specifies column index; for column breaks, specifies row index.</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158" w:hRule="atLeast"/>
        </w:trPr>
        <w:tc>
          <w:tcPr>
            <w:tcW w:w="2062" w:type="dxa"/>
          </w:tcPr>
          <w:p>
            <w:pPr>
              <w:pStyle w:val="TableParagraph"/>
              <w:ind w:right="376"/>
              <w:rPr>
                <w:sz w:val="22"/>
              </w:rPr>
            </w:pPr>
            <w:r>
              <w:rPr>
                <w:rFonts w:ascii="Cambria"/>
                <w:sz w:val="22"/>
              </w:rPr>
              <w:t>pt </w:t>
            </w:r>
            <w:r>
              <w:rPr>
                <w:sz w:val="22"/>
              </w:rPr>
              <w:t>(Pivot-Created Page Break)</w:t>
            </w:r>
          </w:p>
        </w:tc>
        <w:tc>
          <w:tcPr>
            <w:tcW w:w="8250" w:type="dxa"/>
          </w:tcPr>
          <w:p>
            <w:pPr>
              <w:pStyle w:val="TableParagraph"/>
              <w:rPr>
                <w:sz w:val="22"/>
              </w:rPr>
            </w:pPr>
            <w:r>
              <w:rPr>
                <w:sz w:val="22"/>
              </w:rPr>
              <w:t>Flag indicating that a PivotTable created this break.</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CT_Break</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 c (Cell)" w:id="113"/>
      <w:bookmarkEnd w:id="113"/>
      <w:r>
        <w:rPr/>
      </w:r>
      <w:bookmarkStart w:name="_bookmark36" w:id="114"/>
      <w:bookmarkEnd w:id="114"/>
      <w:r>
        <w:rPr/>
      </w:r>
      <w:bookmarkStart w:name="_bookmark36" w:id="115"/>
      <w:bookmarkEnd w:id="115"/>
      <w:r>
        <w:rPr>
          <w:color w:val="4F81BC"/>
        </w:rPr>
        <w:t>c</w:t>
      </w:r>
      <w:r>
        <w:rPr>
          <w:color w:val="4F81BC"/>
          <w:spacing w:val="-2"/>
        </w:rPr>
        <w:t> </w:t>
      </w:r>
      <w:r>
        <w:rPr>
          <w:color w:val="4F81BC"/>
        </w:rPr>
        <w:t>(Cell)</w:t>
      </w:r>
    </w:p>
    <w:p>
      <w:pPr>
        <w:pStyle w:val="BodyText"/>
        <w:spacing w:line="278" w:lineRule="auto" w:before="121"/>
        <w:ind w:left="220" w:right="592"/>
      </w:pPr>
      <w:r>
        <w:rPr/>
        <w:t>This collection represents a cell in the worksheet. Information about the cell's location (reference), value, data type, formatting, and formula is expressed here.</w:t>
      </w:r>
    </w:p>
    <w:p>
      <w:pPr>
        <w:pStyle w:val="BodyText"/>
        <w:spacing w:line="278" w:lineRule="auto" w:before="194"/>
        <w:ind w:left="220" w:right="577"/>
      </w:pPr>
      <w:r>
        <w:rPr/>
        <w:t>[</w:t>
      </w:r>
      <w:r>
        <w:rPr>
          <w:i/>
        </w:rPr>
        <w:t>Example</w:t>
      </w:r>
      <w:r>
        <w:rPr/>
        <w:t>: This example shows the information stored for a cell whose address in the grid is C6, whose style index is '6', and whose value metadata index is '15'. The cell contains a formula as well as a calculated result of that formula.</w:t>
      </w:r>
    </w:p>
    <w:p>
      <w:pPr>
        <w:pStyle w:val="BodyText"/>
        <w:spacing w:before="196"/>
        <w:ind w:left="508"/>
        <w:rPr>
          <w:rFonts w:ascii="Consolas"/>
        </w:rPr>
      </w:pPr>
      <w:r>
        <w:rPr>
          <w:rFonts w:ascii="Consolas"/>
        </w:rPr>
        <w:t>&lt;c r="C6" s="1" vm="15"&gt;</w:t>
      </w:r>
    </w:p>
    <w:p>
      <w:pPr>
        <w:pStyle w:val="BodyText"/>
        <w:spacing w:before="37"/>
        <w:ind w:left="750"/>
        <w:rPr>
          <w:rFonts w:ascii="Consolas"/>
        </w:rPr>
      </w:pPr>
      <w:r>
        <w:rPr>
          <w:rFonts w:ascii="Consolas"/>
        </w:rPr>
        <w:t>&lt;f&gt;CUBEVALUE("xlextdat9 Adventure Works",C$5,$A6)&lt;/f&gt;</w:t>
      </w:r>
    </w:p>
    <w:p>
      <w:pPr>
        <w:pStyle w:val="BodyText"/>
        <w:spacing w:before="40"/>
        <w:ind w:left="750"/>
        <w:rPr>
          <w:rFonts w:ascii="Consolas"/>
        </w:rPr>
      </w:pPr>
      <w:r>
        <w:rPr>
          <w:rFonts w:ascii="Consolas"/>
        </w:rPr>
        <w:t>&lt;v&gt;2838512.355&lt;/v&gt;</w:t>
      </w:r>
    </w:p>
    <w:p>
      <w:pPr>
        <w:pStyle w:val="BodyText"/>
        <w:spacing w:before="38"/>
        <w:ind w:left="508"/>
        <w:rPr>
          <w:rFonts w:ascii="Consolas"/>
        </w:rPr>
      </w:pPr>
      <w:r>
        <w:rPr>
          <w:rFonts w:ascii="Consolas"/>
        </w:rPr>
        <w:t>&lt;/c&gt;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503"/>
      </w:pPr>
      <w:r>
        <w:rPr/>
        <w:t>While a cell can have a formula element </w:t>
      </w:r>
      <w:r>
        <w:rPr>
          <w:rFonts w:ascii="Cambria"/>
        </w:rPr>
        <w:t>f </w:t>
      </w:r>
      <w:r>
        <w:rPr/>
        <w:t>and a value element </w:t>
      </w:r>
      <w:r>
        <w:rPr>
          <w:rFonts w:ascii="Cambria"/>
        </w:rPr>
        <w:t>v</w:t>
      </w:r>
      <w:r>
        <w:rPr/>
        <w:t>, when the cell's type </w:t>
      </w:r>
      <w:r>
        <w:rPr>
          <w:rFonts w:ascii="Cambria"/>
        </w:rPr>
        <w:t>t </w:t>
      </w:r>
      <w:r>
        <w:rPr/>
        <w:t>is </w:t>
      </w:r>
      <w:r>
        <w:rPr>
          <w:rFonts w:ascii="Consolas"/>
          <w:sz w:val="20"/>
        </w:rPr>
        <w:t>inlineStr</w:t>
      </w:r>
      <w:r>
        <w:rPr>
          <w:rFonts w:ascii="Consolas"/>
          <w:spacing w:val="-87"/>
          <w:sz w:val="20"/>
        </w:rPr>
        <w:t> </w:t>
      </w:r>
      <w:r>
        <w:rPr/>
        <w:t>then only the element </w:t>
      </w:r>
      <w:r>
        <w:rPr>
          <w:rFonts w:ascii="Cambria"/>
        </w:rPr>
        <w:t>is </w:t>
      </w:r>
      <w:r>
        <w:rPr/>
        <w:t>is allowed as a child element.</w:t>
      </w:r>
    </w:p>
    <w:p>
      <w:pPr>
        <w:spacing w:before="203"/>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before="1"/>
        <w:ind w:left="220"/>
      </w:pPr>
      <w:r>
        <w:rPr/>
        <w:t>Here is an example of expressing a string in the cell rather than using the shared string table.</w:t>
      </w:r>
    </w:p>
    <w:p>
      <w:pPr>
        <w:pStyle w:val="BodyText"/>
        <w:spacing w:before="8"/>
        <w:rPr>
          <w:sz w:val="19"/>
        </w:rPr>
      </w:pPr>
    </w:p>
    <w:p>
      <w:pPr>
        <w:pStyle w:val="BodyText"/>
        <w:ind w:left="508"/>
        <w:rPr>
          <w:rFonts w:ascii="Consolas"/>
        </w:rPr>
      </w:pPr>
      <w:r>
        <w:rPr>
          <w:rFonts w:ascii="Consolas"/>
        </w:rPr>
        <w:t>&lt;row r="1" spans="1:1"&gt;</w:t>
      </w:r>
    </w:p>
    <w:p>
      <w:pPr>
        <w:pStyle w:val="BodyText"/>
        <w:spacing w:before="37"/>
        <w:ind w:left="750"/>
        <w:rPr>
          <w:rFonts w:ascii="Consolas"/>
        </w:rPr>
      </w:pPr>
      <w:r>
        <w:rPr>
          <w:rFonts w:ascii="Consolas"/>
        </w:rPr>
        <w:t>&lt;c r="A1" t="inlineStr"&gt;</w:t>
      </w:r>
    </w:p>
    <w:p>
      <w:pPr>
        <w:pStyle w:val="BodyText"/>
        <w:spacing w:before="38"/>
        <w:ind w:left="993"/>
        <w:rPr>
          <w:rFonts w:ascii="Consolas"/>
        </w:rPr>
      </w:pPr>
      <w:r>
        <w:rPr>
          <w:rFonts w:ascii="Consolas"/>
        </w:rPr>
        <w:t>&lt;is&gt;&lt;t&gt;This is inline string example&lt;/t&gt;&lt;/is&gt;</w:t>
      </w:r>
    </w:p>
    <w:p>
      <w:pPr>
        <w:pStyle w:val="BodyText"/>
        <w:spacing w:before="40"/>
        <w:ind w:right="9443"/>
        <w:jc w:val="right"/>
        <w:rPr>
          <w:rFonts w:ascii="Consolas"/>
        </w:rPr>
      </w:pPr>
      <w:r>
        <w:rPr>
          <w:rFonts w:ascii="Consolas"/>
          <w:spacing w:val="-1"/>
        </w:rPr>
        <w:t>&lt;/c&gt;</w:t>
      </w:r>
    </w:p>
    <w:p>
      <w:pPr>
        <w:pStyle w:val="BodyText"/>
        <w:spacing w:before="38"/>
        <w:ind w:right="9444"/>
        <w:jc w:val="right"/>
        <w:rPr>
          <w:rFonts w:ascii="Consolas"/>
        </w:rPr>
      </w:pPr>
      <w:r>
        <w:rPr>
          <w:rFonts w:ascii="Consolas"/>
          <w:spacing w:val="-1"/>
        </w:rPr>
        <w:t>&lt;/row&gt;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67"/>
              <w:rPr>
                <w:sz w:val="22"/>
              </w:rPr>
            </w:pPr>
            <w:r>
              <w:rPr>
                <w:rFonts w:ascii="Cambria"/>
                <w:sz w:val="22"/>
              </w:rPr>
              <w:t>cm </w:t>
            </w:r>
            <w:r>
              <w:rPr>
                <w:sz w:val="22"/>
              </w:rPr>
              <w:t>(Cell Metadata Index)</w:t>
            </w:r>
          </w:p>
        </w:tc>
        <w:tc>
          <w:tcPr>
            <w:tcW w:w="8250" w:type="dxa"/>
          </w:tcPr>
          <w:p>
            <w:pPr>
              <w:pStyle w:val="TableParagraph"/>
              <w:ind w:right="207"/>
              <w:rPr>
                <w:sz w:val="22"/>
              </w:rPr>
            </w:pPr>
            <w:r>
              <w:rPr>
                <w:sz w:val="22"/>
              </w:rPr>
              <w:t>The zero-based index of the cell metadata record associated with this cell. Metadata information is found in the Metadata Part. Cell metadata is extra information stored at the cell level, and is attached to the cell (travels through moves, copy / paste, clear, etc). Cell metadata is not accessible via formula reference.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5" w:hRule="atLeast"/>
        </w:trPr>
        <w:tc>
          <w:tcPr>
            <w:tcW w:w="2062" w:type="dxa"/>
          </w:tcPr>
          <w:p>
            <w:pPr>
              <w:pStyle w:val="TableParagraph"/>
              <w:rPr>
                <w:sz w:val="22"/>
              </w:rPr>
            </w:pPr>
            <w:r>
              <w:rPr>
                <w:rFonts w:ascii="Cambria"/>
                <w:sz w:val="22"/>
              </w:rPr>
              <w:t>ph </w:t>
            </w:r>
            <w:r>
              <w:rPr>
                <w:sz w:val="22"/>
              </w:rPr>
              <w:t>(Show Phonetic)</w:t>
            </w:r>
          </w:p>
        </w:tc>
        <w:tc>
          <w:tcPr>
            <w:tcW w:w="8250" w:type="dxa"/>
          </w:tcPr>
          <w:p>
            <w:pPr>
              <w:pStyle w:val="TableParagraph"/>
              <w:ind w:right="214"/>
              <w:rPr>
                <w:sz w:val="22"/>
              </w:rPr>
            </w:pPr>
            <w:r>
              <w:rPr>
                <w:sz w:val="22"/>
              </w:rPr>
              <w:t>A Boolean value indicating if the spreadsheet application should show phonetic information. Phonetic information is displayed in the same cell across the top of the cell and serves as a 'hint' which indicates how the text should be pronounced. This should only be used for East Asian languages.</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An A1 style reference to the location of this cell</w:t>
            </w:r>
          </w:p>
          <w:p>
            <w:pPr>
              <w:pStyle w:val="TableParagraph"/>
              <w:spacing w:before="1"/>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161" w:hRule="atLeast"/>
        </w:trPr>
        <w:tc>
          <w:tcPr>
            <w:tcW w:w="2062" w:type="dxa"/>
          </w:tcPr>
          <w:p>
            <w:pPr>
              <w:pStyle w:val="TableParagraph"/>
              <w:spacing w:before="42"/>
              <w:rPr>
                <w:sz w:val="22"/>
              </w:rPr>
            </w:pPr>
            <w:r>
              <w:rPr>
                <w:rFonts w:ascii="Cambria"/>
                <w:sz w:val="22"/>
              </w:rPr>
              <w:t>s </w:t>
            </w:r>
            <w:r>
              <w:rPr>
                <w:sz w:val="22"/>
              </w:rPr>
              <w:t>(Style Index)</w:t>
            </w:r>
          </w:p>
        </w:tc>
        <w:tc>
          <w:tcPr>
            <w:tcW w:w="8250" w:type="dxa"/>
          </w:tcPr>
          <w:p>
            <w:pPr>
              <w:pStyle w:val="TableParagraph"/>
              <w:spacing w:before="42"/>
              <w:rPr>
                <w:sz w:val="22"/>
              </w:rPr>
            </w:pPr>
            <w:r>
              <w:rPr>
                <w:sz w:val="22"/>
              </w:rPr>
              <w:t>The index of this cell's style. Style records are stored in the Styles Part.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t </w:t>
            </w:r>
            <w:r>
              <w:rPr>
                <w:sz w:val="22"/>
              </w:rPr>
              <w:t>(Cell Data Type)</w:t>
            </w:r>
          </w:p>
        </w:tc>
        <w:tc>
          <w:tcPr>
            <w:tcW w:w="8250" w:type="dxa"/>
          </w:tcPr>
          <w:p>
            <w:pPr>
              <w:pStyle w:val="TableParagraph"/>
              <w:rPr>
                <w:sz w:val="22"/>
              </w:rPr>
            </w:pPr>
            <w:r>
              <w:rPr>
                <w:sz w:val="22"/>
              </w:rPr>
              <w:t>An enumeration representing the cell's data type.</w:t>
            </w:r>
          </w:p>
          <w:p>
            <w:pPr>
              <w:pStyle w:val="TableParagraph"/>
              <w:spacing w:before="0"/>
              <w:ind w:left="0"/>
              <w:rPr>
                <w:sz w:val="22"/>
              </w:rPr>
            </w:pPr>
          </w:p>
          <w:p>
            <w:pPr>
              <w:pStyle w:val="TableParagraph"/>
              <w:spacing w:before="0"/>
              <w:ind w:right="883"/>
              <w:rPr>
                <w:sz w:val="22"/>
              </w:rPr>
            </w:pPr>
            <w:r>
              <w:rPr>
                <w:sz w:val="22"/>
              </w:rPr>
              <w:t>The possible values for this attribute are defined by the </w:t>
            </w:r>
            <w:r>
              <w:rPr>
                <w:rFonts w:ascii="Cambria" w:hAnsi="Cambria"/>
                <w:sz w:val="22"/>
              </w:rPr>
              <w:t>ST_CellType </w:t>
            </w:r>
            <w:r>
              <w:rPr>
                <w:sz w:val="22"/>
              </w:rPr>
              <w:t>simple type </w:t>
            </w:r>
            <w:hyperlink w:history="true" w:anchor="_bookmark833">
              <w:r>
                <w:rPr>
                  <w:sz w:val="22"/>
                </w:rPr>
                <w:t>(§18.18.11</w:t>
              </w:r>
            </w:hyperlink>
            <w:r>
              <w:rPr>
                <w:sz w:val="22"/>
              </w:rPr>
              <w:t>).</w:t>
            </w:r>
          </w:p>
        </w:tc>
      </w:tr>
      <w:tr>
        <w:trPr>
          <w:trHeight w:val="1965" w:hRule="atLeast"/>
        </w:trPr>
        <w:tc>
          <w:tcPr>
            <w:tcW w:w="2062" w:type="dxa"/>
          </w:tcPr>
          <w:p>
            <w:pPr>
              <w:pStyle w:val="TableParagraph"/>
              <w:ind w:right="432"/>
              <w:rPr>
                <w:sz w:val="22"/>
              </w:rPr>
            </w:pPr>
            <w:r>
              <w:rPr>
                <w:rFonts w:ascii="Cambria"/>
                <w:sz w:val="22"/>
              </w:rPr>
              <w:t>vm </w:t>
            </w:r>
            <w:r>
              <w:rPr>
                <w:sz w:val="22"/>
              </w:rPr>
              <w:t>(Value Metadata Index)</w:t>
            </w:r>
          </w:p>
        </w:tc>
        <w:tc>
          <w:tcPr>
            <w:tcW w:w="8250" w:type="dxa"/>
          </w:tcPr>
          <w:p>
            <w:pPr>
              <w:pStyle w:val="TableParagraph"/>
              <w:ind w:right="292"/>
              <w:rPr>
                <w:sz w:val="22"/>
              </w:rPr>
            </w:pPr>
            <w:r>
              <w:rPr>
                <w:sz w:val="22"/>
              </w:rPr>
              <w:t>The zero-based index of the value metadata record associated with this cell's value. Metadata records are stored in the Metadata Part. Value metadata is extra information stored at the cell level, but associated with the value rather than the cell itself. Value metadata is accessible via formula reference.</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CT_Cell</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 cellSmartTag (Cell Smart Tag)" w:id="116"/>
      <w:bookmarkEnd w:id="116"/>
      <w:r>
        <w:rPr/>
      </w:r>
      <w:bookmarkStart w:name="_bookmark37" w:id="117"/>
      <w:bookmarkEnd w:id="117"/>
      <w:r>
        <w:rPr/>
      </w:r>
      <w:bookmarkStart w:name="_bookmark37" w:id="118"/>
      <w:bookmarkEnd w:id="118"/>
      <w:r>
        <w:rPr>
          <w:color w:val="4F81BC"/>
        </w:rPr>
        <w:t>cellSma</w:t>
      </w:r>
      <w:r>
        <w:rPr>
          <w:color w:val="4F81BC"/>
        </w:rPr>
        <w:t>rtTag (Cell Smart</w:t>
      </w:r>
      <w:r>
        <w:rPr>
          <w:color w:val="4F81BC"/>
          <w:spacing w:val="-3"/>
        </w:rPr>
        <w:t> </w:t>
      </w:r>
      <w:r>
        <w:rPr>
          <w:color w:val="4F81BC"/>
        </w:rPr>
        <w:t>Tag)</w:t>
      </w:r>
    </w:p>
    <w:p>
      <w:pPr>
        <w:pStyle w:val="BodyText"/>
        <w:spacing w:before="121"/>
        <w:ind w:left="220"/>
      </w:pPr>
      <w:r>
        <w:rPr/>
        <w:t>Single smart tag associated with a cell. There can be more than one cellSmartTag for a cell.</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8" w:hRule="atLeast"/>
        </w:trPr>
        <w:tc>
          <w:tcPr>
            <w:tcW w:w="2062" w:type="dxa"/>
          </w:tcPr>
          <w:p>
            <w:pPr>
              <w:pStyle w:val="TableParagraph"/>
              <w:rPr>
                <w:sz w:val="22"/>
              </w:rPr>
            </w:pPr>
            <w:r>
              <w:rPr>
                <w:rFonts w:ascii="Cambria"/>
                <w:sz w:val="22"/>
              </w:rPr>
              <w:t>deleted </w:t>
            </w:r>
            <w:r>
              <w:rPr>
                <w:sz w:val="22"/>
              </w:rPr>
              <w:t>(Deleted)</w:t>
            </w:r>
          </w:p>
        </w:tc>
        <w:tc>
          <w:tcPr>
            <w:tcW w:w="8250" w:type="dxa"/>
          </w:tcPr>
          <w:p>
            <w:pPr>
              <w:pStyle w:val="TableParagraph"/>
              <w:ind w:right="172"/>
              <w:rPr>
                <w:sz w:val="22"/>
              </w:rPr>
            </w:pPr>
            <w:r>
              <w:rPr>
                <w:sz w:val="22"/>
              </w:rPr>
              <w:t>Boolean flag indicating that the application shouldn't display a particular smart tag in the cell. [</w:t>
            </w:r>
            <w:r>
              <w:rPr>
                <w:i/>
                <w:sz w:val="22"/>
              </w:rPr>
              <w:t>Example</w:t>
            </w:r>
            <w:r>
              <w:rPr>
                <w:sz w:val="22"/>
              </w:rPr>
              <w:t>: When the user has chosen to explicitly remove the Smart Tag by interacting with the application's user interface. </w:t>
            </w:r>
            <w:r>
              <w:rPr>
                <w:i/>
                <w:sz w:val="22"/>
              </w:rPr>
              <w:t>end example</w:t>
            </w:r>
            <w:r>
              <w:rPr>
                <w:sz w:val="22"/>
              </w:rPr>
              <w:t>]</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ind w:right="488"/>
              <w:rPr>
                <w:sz w:val="22"/>
              </w:rPr>
            </w:pPr>
            <w:r>
              <w:rPr>
                <w:rFonts w:ascii="Cambria"/>
                <w:sz w:val="22"/>
              </w:rPr>
              <w:t>type </w:t>
            </w:r>
            <w:r>
              <w:rPr>
                <w:sz w:val="22"/>
              </w:rPr>
              <w:t>(Smart Tag Type Index)</w:t>
            </w:r>
          </w:p>
        </w:tc>
        <w:tc>
          <w:tcPr>
            <w:tcW w:w="8250" w:type="dxa"/>
          </w:tcPr>
          <w:p>
            <w:pPr>
              <w:pStyle w:val="TableParagraph"/>
              <w:rPr>
                <w:sz w:val="22"/>
              </w:rPr>
            </w:pPr>
            <w:r>
              <w:rPr>
                <w:sz w:val="22"/>
              </w:rPr>
              <w:t>Book-level zero-based index of the smart tag type. This index references a</w:t>
            </w:r>
          </w:p>
          <w:p>
            <w:pPr>
              <w:pStyle w:val="TableParagraph"/>
              <w:spacing w:before="0"/>
              <w:ind w:right="294"/>
              <w:rPr>
                <w:sz w:val="22"/>
              </w:rPr>
            </w:pPr>
            <w:r>
              <w:rPr>
                <w:rFonts w:ascii="Consolas"/>
                <w:sz w:val="22"/>
              </w:rPr>
              <w:t>&lt;smartTagType&gt;</w:t>
            </w:r>
            <w:r>
              <w:rPr>
                <w:rFonts w:ascii="Consolas"/>
                <w:spacing w:val="-72"/>
                <w:sz w:val="22"/>
              </w:rPr>
              <w:t> </w:t>
            </w:r>
            <w:r>
              <w:rPr>
                <w:sz w:val="22"/>
              </w:rPr>
              <w:t>element in the </w:t>
            </w:r>
            <w:r>
              <w:rPr>
                <w:rFonts w:ascii="Consolas"/>
                <w:sz w:val="22"/>
              </w:rPr>
              <w:t>&lt;smartTagTypes&gt;</w:t>
            </w:r>
            <w:r>
              <w:rPr>
                <w:rFonts w:ascii="Consolas"/>
                <w:spacing w:val="-70"/>
                <w:sz w:val="22"/>
              </w:rPr>
              <w:t> </w:t>
            </w:r>
            <w:r>
              <w:rPr>
                <w:sz w:val="22"/>
              </w:rPr>
              <w:t>collection in the workbook start part.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9" w:hRule="atLeast"/>
        </w:trPr>
        <w:tc>
          <w:tcPr>
            <w:tcW w:w="2062" w:type="dxa"/>
          </w:tcPr>
          <w:p>
            <w:pPr>
              <w:pStyle w:val="TableParagraph"/>
              <w:ind w:right="492"/>
              <w:rPr>
                <w:sz w:val="22"/>
              </w:rPr>
            </w:pPr>
            <w:r>
              <w:rPr>
                <w:rFonts w:ascii="Cambria"/>
                <w:sz w:val="22"/>
              </w:rPr>
              <w:t>xmlBased </w:t>
            </w:r>
            <w:r>
              <w:rPr>
                <w:sz w:val="22"/>
              </w:rPr>
              <w:t>(XML Based)</w:t>
            </w:r>
          </w:p>
        </w:tc>
        <w:tc>
          <w:tcPr>
            <w:tcW w:w="8250" w:type="dxa"/>
          </w:tcPr>
          <w:p>
            <w:pPr>
              <w:pStyle w:val="TableParagraph"/>
              <w:ind w:right="400"/>
              <w:rPr>
                <w:sz w:val="22"/>
              </w:rPr>
            </w:pPr>
            <w:r>
              <w:rPr>
                <w:sz w:val="22"/>
              </w:rPr>
              <w:t>Boolean flag indicating the Smart Tag recognition is triggered because the cell is associated with an XML map (schema-based semantic recognition), as contrasted with the more usual cell-content-based recognition of smart tags.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CT_CellSmartTag</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6 cellSmartTagPr (Smart Tag Prope" w:id="119"/>
      <w:bookmarkEnd w:id="119"/>
      <w:r>
        <w:rPr/>
      </w:r>
      <w:bookmarkStart w:name="_bookmark38" w:id="120"/>
      <w:bookmarkEnd w:id="120"/>
      <w:r>
        <w:rPr/>
      </w:r>
      <w:bookmarkStart w:name="_bookmark38" w:id="121"/>
      <w:bookmarkEnd w:id="121"/>
      <w:r>
        <w:rPr>
          <w:color w:val="4F81BC"/>
        </w:rPr>
        <w:t>cellSma</w:t>
      </w:r>
      <w:r>
        <w:rPr>
          <w:color w:val="4F81BC"/>
        </w:rPr>
        <w:t>rtTagPr (Smart Tag</w:t>
      </w:r>
      <w:r>
        <w:rPr>
          <w:color w:val="4F81BC"/>
          <w:spacing w:val="-2"/>
        </w:rPr>
        <w:t> </w:t>
      </w:r>
      <w:r>
        <w:rPr>
          <w:color w:val="4F81BC"/>
        </w:rPr>
        <w:t>Properties)</w:t>
      </w:r>
    </w:p>
    <w:p>
      <w:pPr>
        <w:pStyle w:val="BodyText"/>
        <w:spacing w:before="124"/>
        <w:ind w:left="220"/>
      </w:pPr>
      <w:r>
        <w:rPr/>
        <w:t>Represents a single property of a smart tag in a cell; contains a key-value pair.</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rPr>
                <w:sz w:val="22"/>
              </w:rPr>
            </w:pPr>
            <w:r>
              <w:rPr>
                <w:rFonts w:ascii="Cambria"/>
                <w:sz w:val="22"/>
              </w:rPr>
              <w:t>key </w:t>
            </w:r>
            <w:r>
              <w:rPr>
                <w:sz w:val="22"/>
              </w:rPr>
              <w:t>(Key Name)</w:t>
            </w:r>
          </w:p>
        </w:tc>
        <w:tc>
          <w:tcPr>
            <w:tcW w:w="8250" w:type="dxa"/>
          </w:tcPr>
          <w:p>
            <w:pPr>
              <w:pStyle w:val="TableParagraph"/>
              <w:rPr>
                <w:sz w:val="22"/>
              </w:rPr>
            </w:pPr>
            <w:r>
              <w:rPr>
                <w:sz w:val="22"/>
              </w:rPr>
              <w:t>Key name of a single property of a smart tag in a cell.</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rPr>
                <w:sz w:val="22"/>
              </w:rPr>
            </w:pPr>
            <w:r>
              <w:rPr>
                <w:sz w:val="22"/>
              </w:rPr>
              <w:t>String value of a single property of a smart tag in a cell.</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CT_CellSmartTagPr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 cellSmartTags (Cell Smart Tags)" w:id="122"/>
      <w:bookmarkEnd w:id="122"/>
      <w:r>
        <w:rPr/>
      </w:r>
      <w:bookmarkStart w:name="_bookmark39" w:id="123"/>
      <w:bookmarkEnd w:id="123"/>
      <w:r>
        <w:rPr/>
      </w:r>
      <w:bookmarkStart w:name="_bookmark39" w:id="124"/>
      <w:bookmarkEnd w:id="124"/>
      <w:r>
        <w:rPr>
          <w:color w:val="4F81BC"/>
        </w:rPr>
        <w:t>cellSma</w:t>
      </w:r>
      <w:r>
        <w:rPr>
          <w:color w:val="4F81BC"/>
        </w:rPr>
        <w:t>rtTags (Cell Smart</w:t>
      </w:r>
      <w:r>
        <w:rPr>
          <w:color w:val="4F81BC"/>
          <w:spacing w:val="-3"/>
        </w:rPr>
        <w:t> </w:t>
      </w:r>
      <w:r>
        <w:rPr>
          <w:color w:val="4F81BC"/>
        </w:rPr>
        <w:t>Tags)</w:t>
      </w:r>
    </w:p>
    <w:p>
      <w:pPr>
        <w:pStyle w:val="BodyText"/>
        <w:spacing w:line="276" w:lineRule="auto" w:before="119"/>
        <w:ind w:left="220" w:right="583"/>
      </w:pPr>
      <w:r>
        <w:rPr/>
        <w:t>The element is used to label the cell with a smart tag. A cell can be determined to have semantic meaning and the cell containing this data can be labeled with a smart tag. The actions which can be taken depend on the semantic meaning of the data and the actions that the application decides to associate with that type of smart tag.</w:t>
      </w:r>
    </w:p>
    <w:p>
      <w:pPr>
        <w:pStyle w:val="BodyText"/>
        <w:spacing w:before="5"/>
        <w:rPr>
          <w:sz w:val="16"/>
        </w:rPr>
      </w:pPr>
    </w:p>
    <w:p>
      <w:pPr>
        <w:pStyle w:val="BodyText"/>
        <w:spacing w:line="276" w:lineRule="auto"/>
        <w:ind w:left="220" w:right="327"/>
      </w:pPr>
      <w:r>
        <w:rPr/>
        <w:t>[</w:t>
      </w:r>
      <w:r>
        <w:rPr>
          <w:i/>
        </w:rPr>
        <w:t>Example</w:t>
      </w:r>
      <w:r>
        <w:rPr/>
        <w:t>: If you recently sent mail to "Chad Rothschiller", and you type the name into a cell on the worksheet, the name is recognized and given a smart tag with actions you can take including Send Mail, Schedule a Meeting, Open Contact, or Add to Contacts.</w:t>
      </w:r>
    </w:p>
    <w:p>
      <w:pPr>
        <w:spacing w:after="0" w:line="276" w:lineRule="auto"/>
        <w:sectPr>
          <w:pgSz w:w="12240" w:h="15840"/>
          <w:pgMar w:header="763" w:footer="746" w:top="1340" w:bottom="940" w:left="860" w:right="700"/>
        </w:sectPr>
      </w:pPr>
    </w:p>
    <w:p>
      <w:pPr>
        <w:spacing w:before="93"/>
        <w:ind w:left="220" w:right="0" w:firstLine="0"/>
        <w:jc w:val="left"/>
        <w:rPr>
          <w:sz w:val="22"/>
        </w:rPr>
      </w:pPr>
      <w:r>
        <w:rPr>
          <w:i/>
          <w:sz w:val="22"/>
        </w:rPr>
        <w:t>end example</w:t>
      </w:r>
      <w:r>
        <w:rPr>
          <w:sz w:val="22"/>
        </w:rPr>
        <w:t>]</w:t>
      </w:r>
    </w:p>
    <w:p>
      <w:pPr>
        <w:pStyle w:val="BodyText"/>
        <w:spacing w:before="8"/>
        <w:rPr>
          <w:sz w:val="19"/>
        </w:rPr>
      </w:pPr>
    </w:p>
    <w:p>
      <w:pPr>
        <w:pStyle w:val="BodyText"/>
        <w:spacing w:line="453" w:lineRule="auto"/>
        <w:ind w:left="220" w:right="2340"/>
      </w:pPr>
      <w:r>
        <w:rPr/>
        <w:t>An application can decide that the smart tag indicators appear in the cell in the worksheet. This collection represents a collection of smart tags on a cell.</w:t>
      </w:r>
    </w:p>
    <w:p>
      <w:pPr>
        <w:pStyle w:val="BodyText"/>
        <w:spacing w:line="278" w:lineRule="auto"/>
        <w:ind w:left="220" w:right="474"/>
      </w:pPr>
      <w:r>
        <w:rPr/>
        <w:t>[</w:t>
      </w:r>
      <w:r>
        <w:rPr>
          <w:i/>
        </w:rPr>
        <w:t>Example</w:t>
      </w:r>
      <w:r>
        <w:rPr/>
        <w:t>: This example expresses a smart tag associated with cell A1. The @type is used to associate this smart tag with a workbook-level smart tag type defined in the workbook start part.</w:t>
      </w:r>
    </w:p>
    <w:p>
      <w:pPr>
        <w:pStyle w:val="BodyText"/>
        <w:spacing w:before="3"/>
        <w:rPr>
          <w:sz w:val="16"/>
        </w:rPr>
      </w:pPr>
    </w:p>
    <w:p>
      <w:pPr>
        <w:pStyle w:val="BodyText"/>
        <w:ind w:left="508"/>
        <w:rPr>
          <w:rFonts w:ascii="Consolas"/>
        </w:rPr>
      </w:pPr>
      <w:r>
        <w:rPr>
          <w:rFonts w:ascii="Consolas"/>
        </w:rPr>
        <w:t>&lt;cellSmartTags r="A1"&gt;</w:t>
      </w:r>
    </w:p>
    <w:p>
      <w:pPr>
        <w:pStyle w:val="BodyText"/>
        <w:spacing w:before="37"/>
        <w:ind w:left="750"/>
        <w:rPr>
          <w:rFonts w:ascii="Consolas"/>
        </w:rPr>
      </w:pPr>
      <w:r>
        <w:rPr>
          <w:rFonts w:ascii="Consolas"/>
        </w:rPr>
        <w:t>&lt;cellSmartTag type="0"/&gt;</w:t>
      </w:r>
    </w:p>
    <w:p>
      <w:pPr>
        <w:pStyle w:val="BodyText"/>
        <w:spacing w:before="40"/>
        <w:ind w:left="508"/>
        <w:rPr>
          <w:rFonts w:ascii="Consolas"/>
        </w:rPr>
      </w:pPr>
      <w:r>
        <w:rPr>
          <w:rFonts w:ascii="Consolas"/>
        </w:rPr>
        <w:t>&lt;/cellSmartTags&gt;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Reference to the cell that contains this set of smart tags.</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CT_CellSmartTags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 cellWatch (Cell Watch Item)" w:id="125"/>
      <w:bookmarkEnd w:id="125"/>
      <w:r>
        <w:rPr/>
      </w:r>
      <w:bookmarkStart w:name="_bookmark40" w:id="126"/>
      <w:bookmarkEnd w:id="126"/>
      <w:r>
        <w:rPr/>
      </w:r>
      <w:bookmarkStart w:name="_bookmark40" w:id="127"/>
      <w:bookmarkEnd w:id="127"/>
      <w:r>
        <w:rPr>
          <w:color w:val="4F81BC"/>
        </w:rPr>
        <w:t>cellWatch</w:t>
      </w:r>
      <w:r>
        <w:rPr>
          <w:color w:val="4F81BC"/>
        </w:rPr>
        <w:t> (Cell Watch</w:t>
      </w:r>
      <w:r>
        <w:rPr>
          <w:color w:val="4F81BC"/>
          <w:spacing w:val="-3"/>
        </w:rPr>
        <w:t> </w:t>
      </w:r>
      <w:r>
        <w:rPr>
          <w:color w:val="4F81BC"/>
        </w:rPr>
        <w:t>Item)</w:t>
      </w:r>
    </w:p>
    <w:p>
      <w:pPr>
        <w:pStyle w:val="BodyText"/>
        <w:spacing w:line="276" w:lineRule="auto" w:before="120"/>
        <w:ind w:left="220" w:right="420"/>
      </w:pPr>
      <w:r>
        <w:rPr/>
        <w:t>The watch window is a single UI location where the application user can keep track of certain cell formulas &amp; values which they have chosen to be in the set of watched cells. This element expresses the cell address of a cell being watched. It is always a reference to a single cell.</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0"/>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Cell reference of the cell being watched.</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bl>
    <w:p>
      <w:pPr>
        <w:pStyle w:val="BodyText"/>
      </w:pPr>
    </w:p>
    <w:p>
      <w:pPr>
        <w:pStyle w:val="BodyText"/>
        <w:spacing w:before="5"/>
        <w:rPr>
          <w:sz w:val="19"/>
        </w:rPr>
      </w:pPr>
    </w:p>
    <w:p>
      <w:pPr>
        <w:pStyle w:val="BodyText"/>
        <w:spacing w:line="278" w:lineRule="auto"/>
        <w:ind w:left="220" w:right="574"/>
      </w:pPr>
      <w:r>
        <w:rPr/>
        <w:t>[</w:t>
      </w:r>
      <w:r>
        <w:rPr>
          <w:i/>
        </w:rPr>
        <w:t>Note</w:t>
      </w:r>
      <w:r>
        <w:rPr/>
        <w:t>: The W3C XML Schema definition of this element’s content model (</w:t>
      </w:r>
      <w:r>
        <w:rPr>
          <w:color w:val="5F5F5F"/>
          <w:u w:val="single" w:color="5F5F5F"/>
        </w:rPr>
        <w:t>CT_CellWatch</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9 cellWatches (Cell Watch Items)" w:id="128"/>
      <w:bookmarkEnd w:id="128"/>
      <w:r>
        <w:rPr/>
      </w:r>
      <w:bookmarkStart w:name="_bookmark41" w:id="129"/>
      <w:bookmarkEnd w:id="129"/>
      <w:r>
        <w:rPr/>
      </w:r>
      <w:bookmarkStart w:name="_bookmark41" w:id="130"/>
      <w:bookmarkEnd w:id="130"/>
      <w:r>
        <w:rPr>
          <w:color w:val="4F81BC"/>
        </w:rPr>
        <w:t>cellWatches</w:t>
      </w:r>
      <w:r>
        <w:rPr>
          <w:color w:val="4F81BC"/>
        </w:rPr>
        <w:t> (Cell Watch</w:t>
      </w:r>
      <w:r>
        <w:rPr>
          <w:color w:val="4F81BC"/>
          <w:spacing w:val="-2"/>
        </w:rPr>
        <w:t> </w:t>
      </w:r>
      <w:r>
        <w:rPr>
          <w:color w:val="4F81BC"/>
        </w:rPr>
        <w:t>Items)</w:t>
      </w:r>
    </w:p>
    <w:p>
      <w:pPr>
        <w:pStyle w:val="BodyText"/>
        <w:spacing w:line="453" w:lineRule="auto" w:before="121"/>
        <w:ind w:left="220" w:right="3786"/>
      </w:pPr>
      <w:r>
        <w:rPr/>
        <w:t>Collection of cells on this worksheet being watched in the 'watch window'. [</w:t>
      </w:r>
      <w:r>
        <w:rPr>
          <w:i/>
        </w:rPr>
        <w:t>Example</w:t>
      </w:r>
      <w:r>
        <w:rPr/>
        <w:t>: In this example, cells B3 and B4 are being watched.</w:t>
      </w:r>
    </w:p>
    <w:p>
      <w:pPr>
        <w:spacing w:after="0" w:line="453" w:lineRule="auto"/>
        <w:sectPr>
          <w:pgSz w:w="12240" w:h="15840"/>
          <w:pgMar w:header="761" w:footer="746" w:top="1340" w:bottom="940" w:left="860" w:right="700"/>
        </w:sectPr>
      </w:pPr>
    </w:p>
    <w:p>
      <w:pPr>
        <w:pStyle w:val="BodyText"/>
        <w:spacing w:before="150"/>
        <w:ind w:left="508"/>
        <w:rPr>
          <w:rFonts w:ascii="Consolas"/>
        </w:rPr>
      </w:pPr>
      <w:r>
        <w:rPr>
          <w:rFonts w:ascii="Consolas"/>
        </w:rPr>
        <w:t>&lt;cellWatches&gt;</w:t>
      </w:r>
    </w:p>
    <w:p>
      <w:pPr>
        <w:pStyle w:val="BodyText"/>
        <w:spacing w:before="38"/>
        <w:ind w:left="750"/>
        <w:rPr>
          <w:rFonts w:ascii="Consolas"/>
        </w:rPr>
      </w:pPr>
      <w:r>
        <w:rPr>
          <w:rFonts w:ascii="Consolas"/>
        </w:rPr>
        <w:t>&lt;cellWatch</w:t>
      </w:r>
      <w:r>
        <w:rPr>
          <w:rFonts w:ascii="Consolas"/>
          <w:spacing w:val="-14"/>
        </w:rPr>
        <w:t> </w:t>
      </w:r>
      <w:r>
        <w:rPr>
          <w:rFonts w:ascii="Consolas"/>
        </w:rPr>
        <w:t>r="B3"/&gt;</w:t>
      </w:r>
    </w:p>
    <w:p>
      <w:pPr>
        <w:pStyle w:val="BodyText"/>
        <w:spacing w:before="40"/>
        <w:ind w:left="750"/>
        <w:rPr>
          <w:rFonts w:ascii="Consolas"/>
        </w:rPr>
      </w:pPr>
      <w:r>
        <w:rPr>
          <w:rFonts w:ascii="Consolas"/>
        </w:rPr>
        <w:t>&lt;cellWatch</w:t>
      </w:r>
      <w:r>
        <w:rPr>
          <w:rFonts w:ascii="Consolas"/>
          <w:spacing w:val="-14"/>
        </w:rPr>
        <w:t> </w:t>
      </w:r>
      <w:r>
        <w:rPr>
          <w:rFonts w:ascii="Consolas"/>
        </w:rPr>
        <w:t>r="B4"/&gt;</w:t>
      </w:r>
    </w:p>
    <w:p>
      <w:pPr>
        <w:pStyle w:val="BodyText"/>
        <w:spacing w:before="38"/>
        <w:ind w:left="508"/>
        <w:rPr>
          <w:rFonts w:ascii="Consolas"/>
        </w:rPr>
      </w:pPr>
      <w:r>
        <w:rPr>
          <w:rFonts w:ascii="Consolas"/>
        </w:rPr>
        <w:t>&lt;/cellWatches&gt;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pPr>
    </w:p>
    <w:p>
      <w:pPr>
        <w:pStyle w:val="BodyText"/>
      </w:pPr>
    </w:p>
    <w:p>
      <w:pPr>
        <w:pStyle w:val="BodyText"/>
        <w:spacing w:before="2"/>
        <w:rPr>
          <w:sz w:val="17"/>
        </w:rPr>
      </w:pPr>
    </w:p>
    <w:p>
      <w:pPr>
        <w:pStyle w:val="BodyText"/>
        <w:spacing w:line="278" w:lineRule="auto"/>
        <w:ind w:left="220" w:right="378"/>
      </w:pPr>
      <w:r>
        <w:rPr/>
        <w:t>[</w:t>
      </w:r>
      <w:r>
        <w:rPr>
          <w:i/>
        </w:rPr>
        <w:t>Note</w:t>
      </w:r>
      <w:r>
        <w:rPr/>
        <w:t>: The W3C XML Schema definition of this element’s content model (</w:t>
      </w:r>
      <w:r>
        <w:rPr>
          <w:color w:val="5F5F5F"/>
          <w:u w:val="single" w:color="5F5F5F"/>
        </w:rPr>
        <w:t>CT_CellWatches</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0 cfRule (Conditional Formatting" w:id="131"/>
      <w:bookmarkEnd w:id="131"/>
      <w:r>
        <w:rPr/>
      </w:r>
      <w:bookmarkStart w:name="_bookmark42" w:id="132"/>
      <w:bookmarkEnd w:id="132"/>
      <w:r>
        <w:rPr/>
      </w:r>
      <w:bookmarkStart w:name="_bookmark42" w:id="133"/>
      <w:bookmarkEnd w:id="133"/>
      <w:r>
        <w:rPr>
          <w:color w:val="4F81BC"/>
        </w:rPr>
        <w:t>c</w:t>
      </w:r>
      <w:r>
        <w:rPr>
          <w:color w:val="4F81BC"/>
        </w:rPr>
        <w:t>fRule (Conditional Formatting</w:t>
      </w:r>
      <w:r>
        <w:rPr>
          <w:color w:val="4F81BC"/>
          <w:spacing w:val="-4"/>
        </w:rPr>
        <w:t> </w:t>
      </w:r>
      <w:r>
        <w:rPr>
          <w:color w:val="4F81BC"/>
        </w:rPr>
        <w:t>Rule)</w:t>
      </w:r>
    </w:p>
    <w:p>
      <w:pPr>
        <w:pStyle w:val="BodyText"/>
        <w:spacing w:line="453" w:lineRule="auto" w:before="122"/>
        <w:ind w:left="220" w:right="4041"/>
      </w:pPr>
      <w:r>
        <w:rPr/>
        <w:t>This collection represents a description of a conditional formatting rule. [</w:t>
      </w:r>
      <w:r>
        <w:rPr>
          <w:i/>
        </w:rPr>
        <w:t>Example</w:t>
      </w:r>
      <w:r>
        <w:rPr/>
        <w:t>:</w:t>
      </w:r>
    </w:p>
    <w:p>
      <w:pPr>
        <w:pStyle w:val="BodyText"/>
        <w:spacing w:line="278" w:lineRule="auto"/>
        <w:ind w:left="220" w:right="455"/>
      </w:pPr>
      <w:r>
        <w:rPr/>
        <w:t>This example shows a conditional formatting rule highlighting cells whose values are greater than 0.5. Note that in this case the content of </w:t>
      </w:r>
      <w:r>
        <w:rPr>
          <w:rFonts w:ascii="Consolas"/>
        </w:rPr>
        <w:t>&lt;formula&gt;</w:t>
      </w:r>
      <w:r>
        <w:rPr>
          <w:rFonts w:ascii="Consolas"/>
          <w:spacing w:val="-92"/>
        </w:rPr>
        <w:t> </w:t>
      </w:r>
      <w:r>
        <w:rPr/>
        <w:t>is a static value, but can also be a formula expression.</w:t>
      </w:r>
    </w:p>
    <w:p>
      <w:pPr>
        <w:pStyle w:val="BodyText"/>
        <w:spacing w:before="197"/>
        <w:ind w:left="508"/>
        <w:rPr>
          <w:rFonts w:ascii="Consolas"/>
        </w:rPr>
      </w:pPr>
      <w:r>
        <w:rPr>
          <w:rFonts w:ascii="Consolas"/>
        </w:rPr>
        <w:t>&lt;conditionalFormatting sqref="E3:E9"&gt;</w:t>
      </w:r>
    </w:p>
    <w:p>
      <w:pPr>
        <w:pStyle w:val="BodyText"/>
        <w:spacing w:before="38"/>
        <w:ind w:left="750"/>
        <w:rPr>
          <w:rFonts w:ascii="Consolas"/>
        </w:rPr>
      </w:pPr>
      <w:r>
        <w:rPr>
          <w:rFonts w:ascii="Consolas"/>
        </w:rPr>
        <w:t>&lt;cfRule type="cellIs" dxfId="0" priority="1" operator="greaterThan"&gt;</w:t>
      </w:r>
    </w:p>
    <w:p>
      <w:pPr>
        <w:pStyle w:val="BodyText"/>
        <w:spacing w:before="38"/>
        <w:ind w:left="993"/>
        <w:rPr>
          <w:rFonts w:ascii="Consolas"/>
        </w:rPr>
      </w:pPr>
      <w:r>
        <w:rPr>
          <w:rFonts w:ascii="Consolas"/>
        </w:rPr>
        <w:t>&lt;formula&gt;0.5&lt;/formula&gt;</w:t>
      </w:r>
    </w:p>
    <w:p>
      <w:pPr>
        <w:pStyle w:val="BodyText"/>
        <w:spacing w:before="40"/>
        <w:ind w:left="750"/>
        <w:rPr>
          <w:rFonts w:ascii="Consolas"/>
        </w:rPr>
      </w:pPr>
      <w:r>
        <w:rPr>
          <w:rFonts w:ascii="Consolas"/>
        </w:rPr>
        <w:t>&lt;/cfRule&gt;</w:t>
      </w:r>
    </w:p>
    <w:p>
      <w:pPr>
        <w:pStyle w:val="BodyText"/>
        <w:spacing w:before="37"/>
        <w:ind w:left="508"/>
        <w:rPr>
          <w:rFonts w:ascii="Consolas"/>
        </w:rPr>
      </w:pPr>
      <w:r>
        <w:rPr>
          <w:rFonts w:ascii="Consolas"/>
        </w:rPr>
        <w:t>&lt;/conditionalFormatting&gt;</w:t>
      </w:r>
    </w:p>
    <w:p>
      <w:pPr>
        <w:pStyle w:val="BodyText"/>
        <w:spacing w:before="6"/>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Only rules with a </w:t>
      </w:r>
      <w:r>
        <w:rPr>
          <w:rFonts w:ascii="Cambria"/>
        </w:rPr>
        <w:t>type </w:t>
      </w:r>
      <w:r>
        <w:rPr/>
        <w:t>attribute value of </w:t>
      </w:r>
      <w:r>
        <w:rPr>
          <w:rFonts w:ascii="Consolas"/>
          <w:sz w:val="20"/>
        </w:rPr>
        <w:t>expression</w:t>
      </w:r>
      <w:r>
        <w:rPr>
          <w:rFonts w:ascii="Consolas"/>
          <w:spacing w:val="-73"/>
          <w:sz w:val="20"/>
        </w:rPr>
        <w:t> </w:t>
      </w:r>
      <w:r>
        <w:rPr/>
        <w:t>support formula syntax.</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line="237" w:lineRule="auto" w:before="45"/>
              <w:ind w:right="407"/>
              <w:rPr>
                <w:sz w:val="22"/>
              </w:rPr>
            </w:pPr>
            <w:r>
              <w:rPr>
                <w:rFonts w:ascii="Cambria"/>
                <w:sz w:val="22"/>
              </w:rPr>
              <w:t>aboveAverage </w:t>
            </w:r>
            <w:r>
              <w:rPr>
                <w:sz w:val="22"/>
              </w:rPr>
              <w:t>(Above Or Below Average)</w:t>
            </w:r>
          </w:p>
        </w:tc>
        <w:tc>
          <w:tcPr>
            <w:tcW w:w="8250" w:type="dxa"/>
          </w:tcPr>
          <w:p>
            <w:pPr>
              <w:pStyle w:val="TableParagraph"/>
              <w:ind w:right="369"/>
              <w:rPr>
                <w:sz w:val="22"/>
              </w:rPr>
            </w:pPr>
            <w:r>
              <w:rPr>
                <w:sz w:val="22"/>
              </w:rPr>
              <w:t>Indicates whether the rule is an "above average" rule. 1 indicates 'above average'. This attribute is ignored if </w:t>
            </w:r>
            <w:r>
              <w:rPr>
                <w:rFonts w:ascii="Cambria"/>
                <w:sz w:val="22"/>
              </w:rPr>
              <w:t>type </w:t>
            </w:r>
            <w:r>
              <w:rPr>
                <w:sz w:val="22"/>
              </w:rPr>
              <w:t>is not equal to </w:t>
            </w:r>
            <w:r>
              <w:rPr>
                <w:rFonts w:ascii="Consolas"/>
                <w:sz w:val="20"/>
              </w:rPr>
              <w:t>aboveAverage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spacing w:before="42"/>
              <w:ind w:left="47" w:right="129"/>
              <w:jc w:val="center"/>
              <w:rPr>
                <w:sz w:val="22"/>
              </w:rPr>
            </w:pPr>
            <w:r>
              <w:rPr>
                <w:rFonts w:ascii="Cambria"/>
                <w:sz w:val="22"/>
              </w:rPr>
              <w:t>bottom </w:t>
            </w:r>
            <w:r>
              <w:rPr>
                <w:sz w:val="22"/>
              </w:rPr>
              <w:t>(Bottom N)</w:t>
            </w:r>
          </w:p>
        </w:tc>
        <w:tc>
          <w:tcPr>
            <w:tcW w:w="8250" w:type="dxa"/>
          </w:tcPr>
          <w:p>
            <w:pPr>
              <w:pStyle w:val="TableParagraph"/>
              <w:spacing w:line="237" w:lineRule="auto" w:before="44"/>
              <w:ind w:right="329"/>
              <w:rPr>
                <w:sz w:val="22"/>
              </w:rPr>
            </w:pPr>
            <w:r>
              <w:rPr>
                <w:sz w:val="22"/>
              </w:rPr>
              <w:t>Indicates whether a "top/bottom n" rule is a "bottom n" rule. 1 indicates 'bottom'. This attribute is ignored if </w:t>
            </w:r>
            <w:r>
              <w:rPr>
                <w:rFonts w:ascii="Cambria"/>
                <w:sz w:val="22"/>
              </w:rPr>
              <w:t>type </w:t>
            </w:r>
            <w:r>
              <w:rPr>
                <w:sz w:val="22"/>
              </w:rPr>
              <w:t>is not equal to </w:t>
            </w:r>
            <w:r>
              <w:rPr>
                <w:rFonts w:ascii="Consolas"/>
                <w:sz w:val="20"/>
              </w:rPr>
              <w:t>top10</w:t>
            </w:r>
            <w:r>
              <w:rPr>
                <w:sz w:val="22"/>
              </w:rPr>
              <w:t>.</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9" w:hRule="atLeast"/>
        </w:trPr>
        <w:tc>
          <w:tcPr>
            <w:tcW w:w="2062" w:type="dxa"/>
          </w:tcPr>
          <w:p>
            <w:pPr>
              <w:pStyle w:val="TableParagraph"/>
              <w:ind w:right="302"/>
              <w:rPr>
                <w:sz w:val="22"/>
              </w:rPr>
            </w:pPr>
            <w:r>
              <w:rPr>
                <w:rFonts w:ascii="Cambria"/>
                <w:sz w:val="22"/>
              </w:rPr>
              <w:t>dxfId </w:t>
            </w:r>
            <w:r>
              <w:rPr>
                <w:sz w:val="22"/>
              </w:rPr>
              <w:t>(Differential Formatting Id)</w:t>
            </w:r>
          </w:p>
        </w:tc>
        <w:tc>
          <w:tcPr>
            <w:tcW w:w="8250" w:type="dxa"/>
          </w:tcPr>
          <w:p>
            <w:pPr>
              <w:pStyle w:val="TableParagraph"/>
              <w:ind w:right="561"/>
              <w:rPr>
                <w:sz w:val="22"/>
              </w:rPr>
            </w:pPr>
            <w:r>
              <w:rPr>
                <w:sz w:val="22"/>
              </w:rPr>
              <w:t>This is an index to a </w:t>
            </w:r>
            <w:r>
              <w:rPr>
                <w:rFonts w:ascii="Cambria"/>
                <w:sz w:val="22"/>
              </w:rPr>
              <w:t>dxf </w:t>
            </w:r>
            <w:r>
              <w:rPr>
                <w:sz w:val="22"/>
              </w:rPr>
              <w:t>element in the Styles Part indicating which cell formatting to apply when the conditional formatting rule criteria is met.</w:t>
            </w:r>
          </w:p>
          <w:p>
            <w:pPr>
              <w:pStyle w:val="TableParagraph"/>
              <w:spacing w:before="0"/>
              <w:ind w:left="0"/>
              <w:rPr>
                <w:sz w:val="22"/>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line="256" w:lineRule="exact" w:before="42"/>
              <w:rPr>
                <w:rFonts w:ascii="Cambria"/>
                <w:sz w:val="22"/>
              </w:rPr>
            </w:pPr>
            <w:r>
              <w:rPr>
                <w:rFonts w:ascii="Cambria"/>
                <w:sz w:val="22"/>
              </w:rPr>
              <w:t>equalAverage</w:t>
            </w:r>
          </w:p>
          <w:p>
            <w:pPr>
              <w:pStyle w:val="TableParagraph"/>
              <w:spacing w:line="267" w:lineRule="exact" w:before="0"/>
              <w:rPr>
                <w:sz w:val="22"/>
              </w:rPr>
            </w:pPr>
            <w:r>
              <w:rPr>
                <w:sz w:val="22"/>
              </w:rPr>
              <w:t>(Equal Average)</w:t>
            </w:r>
          </w:p>
        </w:tc>
        <w:tc>
          <w:tcPr>
            <w:tcW w:w="8250" w:type="dxa"/>
          </w:tcPr>
          <w:p>
            <w:pPr>
              <w:pStyle w:val="TableParagraph"/>
              <w:rPr>
                <w:sz w:val="22"/>
              </w:rPr>
            </w:pPr>
            <w:r>
              <w:rPr>
                <w:sz w:val="22"/>
              </w:rPr>
              <w:t>Flag indicating whether the 'aboveAverage' and 'belowAverage' criteria is inclusive of the average itself, or exclusive of that value. 1 indicates to include the average value in the criteria. This attribute is ignored if </w:t>
            </w:r>
            <w:r>
              <w:rPr>
                <w:rFonts w:ascii="Cambria"/>
                <w:sz w:val="22"/>
              </w:rPr>
              <w:t>type </w:t>
            </w:r>
            <w:r>
              <w:rPr>
                <w:sz w:val="22"/>
              </w:rPr>
              <w:t>is not equal to </w:t>
            </w:r>
            <w:r>
              <w:rPr>
                <w:rFonts w:ascii="Consolas"/>
                <w:sz w:val="20"/>
              </w:rPr>
              <w:t>aboveAverage</w:t>
            </w:r>
            <w:r>
              <w:rPr>
                <w:sz w:val="22"/>
              </w:rPr>
              <w:t>.</w:t>
            </w:r>
          </w:p>
          <w:p>
            <w:pPr>
              <w:pStyle w:val="TableParagraph"/>
              <w:spacing w:before="4"/>
              <w:ind w:left="0"/>
              <w:rPr>
                <w:rFonts w:ascii="Times New Roman"/>
                <w:sz w:val="23"/>
              </w:rPr>
            </w:pP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rPr>
                <w:sz w:val="22"/>
              </w:rPr>
            </w:pPr>
            <w:r>
              <w:rPr>
                <w:rFonts w:ascii="Cambria"/>
                <w:sz w:val="22"/>
              </w:rPr>
              <w:t>operator </w:t>
            </w:r>
            <w:r>
              <w:rPr>
                <w:sz w:val="22"/>
              </w:rPr>
              <w:t>(Operator)</w:t>
            </w:r>
          </w:p>
        </w:tc>
        <w:tc>
          <w:tcPr>
            <w:tcW w:w="8250" w:type="dxa"/>
          </w:tcPr>
          <w:p>
            <w:pPr>
              <w:pStyle w:val="TableParagraph"/>
              <w:rPr>
                <w:sz w:val="22"/>
              </w:rPr>
            </w:pPr>
            <w:r>
              <w:rPr>
                <w:sz w:val="22"/>
              </w:rPr>
              <w:t>The operator in a "cell value is" conditional formatting rule. This attribute is ignored if</w:t>
            </w:r>
          </w:p>
          <w:p>
            <w:pPr>
              <w:pStyle w:val="TableParagraph"/>
              <w:spacing w:before="0"/>
              <w:rPr>
                <w:rFonts w:ascii="Consolas"/>
                <w:sz w:val="20"/>
              </w:rPr>
            </w:pPr>
            <w:r>
              <w:rPr>
                <w:rFonts w:ascii="Cambria"/>
                <w:sz w:val="22"/>
              </w:rPr>
              <w:t>type </w:t>
            </w:r>
            <w:r>
              <w:rPr>
                <w:sz w:val="22"/>
              </w:rPr>
              <w:t>is not equal to </w:t>
            </w:r>
            <w:r>
              <w:rPr>
                <w:rFonts w:ascii="Consolas"/>
                <w:sz w:val="20"/>
              </w:rPr>
              <w:t>cellIs</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w:t>
            </w:r>
          </w:p>
          <w:p>
            <w:pPr>
              <w:pStyle w:val="TableParagraph"/>
              <w:spacing w:before="1"/>
              <w:rPr>
                <w:sz w:val="22"/>
              </w:rPr>
            </w:pPr>
            <w:r>
              <w:rPr>
                <w:rFonts w:ascii="Cambria" w:hAnsi="Cambria"/>
                <w:sz w:val="22"/>
              </w:rPr>
              <w:t>ST_ConditionalFormattingOperator </w:t>
            </w:r>
            <w:r>
              <w:rPr>
                <w:sz w:val="22"/>
              </w:rPr>
              <w:t>simple type (§</w:t>
            </w:r>
            <w:hyperlink w:history="true" w:anchor="_bookmark837">
              <w:r>
                <w:rPr>
                  <w:sz w:val="22"/>
                </w:rPr>
                <w:t>18.18.15</w:t>
              </w:r>
            </w:hyperlink>
            <w:r>
              <w:rPr>
                <w:sz w:val="22"/>
              </w:rPr>
              <w:t>).</w:t>
            </w:r>
          </w:p>
        </w:tc>
      </w:tr>
      <w:tr>
        <w:trPr>
          <w:trHeight w:val="1428" w:hRule="atLeast"/>
        </w:trPr>
        <w:tc>
          <w:tcPr>
            <w:tcW w:w="2062" w:type="dxa"/>
          </w:tcPr>
          <w:p>
            <w:pPr>
              <w:pStyle w:val="TableParagraph"/>
              <w:ind w:right="468"/>
              <w:rPr>
                <w:sz w:val="22"/>
              </w:rPr>
            </w:pPr>
            <w:r>
              <w:rPr>
                <w:rFonts w:ascii="Cambria"/>
                <w:sz w:val="22"/>
              </w:rPr>
              <w:t>percent </w:t>
            </w:r>
            <w:r>
              <w:rPr>
                <w:sz w:val="22"/>
              </w:rPr>
              <w:t>(Top 10 Percent)</w:t>
            </w:r>
          </w:p>
        </w:tc>
        <w:tc>
          <w:tcPr>
            <w:tcW w:w="8250" w:type="dxa"/>
          </w:tcPr>
          <w:p>
            <w:pPr>
              <w:pStyle w:val="TableParagraph"/>
              <w:ind w:right="235"/>
              <w:rPr>
                <w:sz w:val="22"/>
              </w:rPr>
            </w:pPr>
            <w:r>
              <w:rPr>
                <w:sz w:val="22"/>
              </w:rPr>
              <w:t>Indicates whether a "top/bottom n" rule is a "top/bottom n percent" rule. This attribute is ignored if </w:t>
            </w:r>
            <w:r>
              <w:rPr>
                <w:rFonts w:ascii="Cambria"/>
                <w:sz w:val="22"/>
              </w:rPr>
              <w:t>type </w:t>
            </w:r>
            <w:r>
              <w:rPr>
                <w:sz w:val="22"/>
              </w:rPr>
              <w:t>is not equal to </w:t>
            </w:r>
            <w:r>
              <w:rPr>
                <w:rFonts w:ascii="Consolas"/>
                <w:sz w:val="20"/>
              </w:rPr>
              <w:t>top10</w:t>
            </w:r>
            <w:r>
              <w:rPr>
                <w:sz w:val="22"/>
              </w:rPr>
              <w: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967" w:hRule="atLeast"/>
        </w:trPr>
        <w:tc>
          <w:tcPr>
            <w:tcW w:w="2062" w:type="dxa"/>
          </w:tcPr>
          <w:p>
            <w:pPr>
              <w:pStyle w:val="TableParagraph"/>
              <w:rPr>
                <w:sz w:val="22"/>
              </w:rPr>
            </w:pPr>
            <w:r>
              <w:rPr>
                <w:rFonts w:ascii="Cambria"/>
                <w:sz w:val="22"/>
              </w:rPr>
              <w:t>priority </w:t>
            </w:r>
            <w:r>
              <w:rPr>
                <w:sz w:val="22"/>
              </w:rPr>
              <w:t>(Priority)</w:t>
            </w:r>
          </w:p>
        </w:tc>
        <w:tc>
          <w:tcPr>
            <w:tcW w:w="8250" w:type="dxa"/>
          </w:tcPr>
          <w:p>
            <w:pPr>
              <w:pStyle w:val="TableParagraph"/>
              <w:ind w:right="176"/>
              <w:rPr>
                <w:sz w:val="22"/>
              </w:rPr>
            </w:pPr>
            <w:r>
              <w:rPr>
                <w:sz w:val="22"/>
              </w:rPr>
              <w:t>The priority of this conditional formatting rule. This value is used to determine which format should be evaluated and rendered. Lower numeric values are higher priority than higher numeric values, where 1 is the highest priority.</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2"/>
              <w:ind w:left="0"/>
              <w:rPr>
                <w:rFonts w:ascii="Times New Roman"/>
                <w:sz w:val="26"/>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1427" w:hRule="atLeast"/>
        </w:trPr>
        <w:tc>
          <w:tcPr>
            <w:tcW w:w="2062" w:type="dxa"/>
          </w:tcPr>
          <w:p>
            <w:pPr>
              <w:pStyle w:val="TableParagraph"/>
              <w:rPr>
                <w:sz w:val="22"/>
              </w:rPr>
            </w:pPr>
            <w:r>
              <w:rPr>
                <w:rFonts w:ascii="Cambria"/>
                <w:sz w:val="22"/>
              </w:rPr>
              <w:t>rank </w:t>
            </w:r>
            <w:r>
              <w:rPr>
                <w:sz w:val="22"/>
              </w:rPr>
              <w:t>(Rank)</w:t>
            </w:r>
          </w:p>
        </w:tc>
        <w:tc>
          <w:tcPr>
            <w:tcW w:w="8250" w:type="dxa"/>
          </w:tcPr>
          <w:p>
            <w:pPr>
              <w:pStyle w:val="TableParagraph"/>
              <w:ind w:right="150"/>
              <w:rPr>
                <w:sz w:val="22"/>
              </w:rPr>
            </w:pPr>
            <w:r>
              <w:rPr>
                <w:sz w:val="22"/>
              </w:rPr>
              <w:t>The value of "n" in a "top/bottom n" conditional formatting rule. This attribute is ignored if </w:t>
            </w:r>
            <w:r>
              <w:rPr>
                <w:rFonts w:ascii="Cambria"/>
                <w:sz w:val="22"/>
              </w:rPr>
              <w:t>type </w:t>
            </w:r>
            <w:r>
              <w:rPr>
                <w:sz w:val="22"/>
              </w:rPr>
              <w:t>is not equal to </w:t>
            </w:r>
            <w:r>
              <w:rPr>
                <w:rFonts w:ascii="Consolas"/>
                <w:sz w:val="20"/>
              </w:rPr>
              <w:t>top10</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6" w:hRule="atLeast"/>
        </w:trPr>
        <w:tc>
          <w:tcPr>
            <w:tcW w:w="2062" w:type="dxa"/>
          </w:tcPr>
          <w:p>
            <w:pPr>
              <w:pStyle w:val="TableParagraph"/>
              <w:rPr>
                <w:sz w:val="22"/>
              </w:rPr>
            </w:pPr>
            <w:r>
              <w:rPr>
                <w:rFonts w:ascii="Cambria"/>
                <w:sz w:val="22"/>
              </w:rPr>
              <w:t>stdDev </w:t>
            </w:r>
            <w:r>
              <w:rPr>
                <w:sz w:val="22"/>
              </w:rPr>
              <w:t>(StdDev)</w:t>
            </w:r>
          </w:p>
        </w:tc>
        <w:tc>
          <w:tcPr>
            <w:tcW w:w="8250" w:type="dxa"/>
          </w:tcPr>
          <w:p>
            <w:pPr>
              <w:pStyle w:val="TableParagraph"/>
              <w:ind w:right="289"/>
              <w:rPr>
                <w:sz w:val="22"/>
              </w:rPr>
            </w:pPr>
            <w:r>
              <w:rPr>
                <w:sz w:val="22"/>
              </w:rPr>
              <w:t>The number of standard deviations to include above or below the average in the conditional formatting rule. This attribute is ignored if </w:t>
            </w:r>
            <w:r>
              <w:rPr>
                <w:rFonts w:ascii="Cambria"/>
                <w:sz w:val="22"/>
              </w:rPr>
              <w:t>type </w:t>
            </w:r>
            <w:r>
              <w:rPr>
                <w:sz w:val="22"/>
              </w:rPr>
              <w:t>is not equal to </w:t>
            </w:r>
            <w:r>
              <w:rPr>
                <w:rFonts w:ascii="Consolas"/>
                <w:sz w:val="20"/>
              </w:rPr>
              <w:t>aboveAverage</w:t>
            </w:r>
            <w:r>
              <w:rPr>
                <w:sz w:val="22"/>
              </w:rPr>
              <w:t>. If a value is present for </w:t>
            </w:r>
            <w:r>
              <w:rPr>
                <w:rFonts w:ascii="Cambria"/>
                <w:sz w:val="22"/>
              </w:rPr>
              <w:t>stdDev </w:t>
            </w:r>
            <w:r>
              <w:rPr>
                <w:sz w:val="22"/>
              </w:rPr>
              <w:t>and the rule </w:t>
            </w:r>
            <w:r>
              <w:rPr>
                <w:rFonts w:ascii="Cambria"/>
                <w:sz w:val="22"/>
              </w:rPr>
              <w:t>type </w:t>
            </w:r>
            <w:r>
              <w:rPr>
                <w:sz w:val="22"/>
              </w:rPr>
              <w:t>= </w:t>
            </w:r>
            <w:r>
              <w:rPr>
                <w:rFonts w:ascii="Consolas"/>
                <w:sz w:val="20"/>
              </w:rPr>
              <w:t>aboveAverage</w:t>
            </w:r>
            <w:r>
              <w:rPr>
                <w:sz w:val="22"/>
              </w:rPr>
              <w:t>, then this rule is automatically an "above or below N standard deviations" rule.</w:t>
            </w:r>
          </w:p>
          <w:p>
            <w:pPr>
              <w:pStyle w:val="TableParagraph"/>
              <w:spacing w:before="5"/>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1430" w:hRule="atLeast"/>
        </w:trPr>
        <w:tc>
          <w:tcPr>
            <w:tcW w:w="2062" w:type="dxa"/>
          </w:tcPr>
          <w:p>
            <w:pPr>
              <w:pStyle w:val="TableParagraph"/>
              <w:ind w:right="226"/>
              <w:rPr>
                <w:sz w:val="22"/>
              </w:rPr>
            </w:pPr>
            <w:r>
              <w:rPr>
                <w:rFonts w:ascii="Cambria"/>
                <w:sz w:val="22"/>
              </w:rPr>
              <w:t>stopIfTrue </w:t>
            </w:r>
            <w:r>
              <w:rPr>
                <w:sz w:val="22"/>
              </w:rPr>
              <w:t>(Stop If True)</w:t>
            </w:r>
          </w:p>
        </w:tc>
        <w:tc>
          <w:tcPr>
            <w:tcW w:w="8250" w:type="dxa"/>
          </w:tcPr>
          <w:p>
            <w:pPr>
              <w:pStyle w:val="TableParagraph"/>
              <w:ind w:right="289"/>
              <w:rPr>
                <w:sz w:val="22"/>
              </w:rPr>
            </w:pPr>
            <w:r>
              <w:rPr>
                <w:sz w:val="22"/>
              </w:rPr>
              <w:t>If this flag is 1, no rules with lower priority shall be applied over this rule, when this rule evaluates to true.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rPr>
                <w:sz w:val="22"/>
              </w:rPr>
            </w:pPr>
            <w:r>
              <w:rPr>
                <w:rFonts w:ascii="Cambria"/>
                <w:sz w:val="22"/>
              </w:rPr>
              <w:t>text </w:t>
            </w:r>
            <w:r>
              <w:rPr>
                <w:sz w:val="22"/>
              </w:rPr>
              <w:t>(Text)</w:t>
            </w:r>
          </w:p>
        </w:tc>
        <w:tc>
          <w:tcPr>
            <w:tcW w:w="8250" w:type="dxa"/>
          </w:tcPr>
          <w:p>
            <w:pPr>
              <w:pStyle w:val="TableParagraph"/>
              <w:rPr>
                <w:sz w:val="22"/>
              </w:rPr>
            </w:pPr>
            <w:r>
              <w:rPr>
                <w:sz w:val="22"/>
              </w:rPr>
              <w:t>The text value in a "text contains" conditional formatting rule. This attribute is ignored if</w:t>
            </w:r>
          </w:p>
          <w:p>
            <w:pPr>
              <w:pStyle w:val="TableParagraph"/>
              <w:spacing w:before="0"/>
              <w:rPr>
                <w:sz w:val="22"/>
              </w:rPr>
            </w:pPr>
            <w:r>
              <w:rPr>
                <w:rFonts w:ascii="Cambria"/>
                <w:sz w:val="22"/>
              </w:rPr>
              <w:t>type </w:t>
            </w:r>
            <w:r>
              <w:rPr>
                <w:sz w:val="22"/>
              </w:rPr>
              <w:t>is not equal to </w:t>
            </w:r>
            <w:r>
              <w:rPr>
                <w:rFonts w:ascii="Consolas"/>
                <w:sz w:val="20"/>
              </w:rPr>
              <w:t>containsText</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309"/>
              <w:rPr>
                <w:sz w:val="22"/>
              </w:rPr>
            </w:pPr>
            <w:r>
              <w:rPr>
                <w:rFonts w:ascii="Cambria"/>
                <w:sz w:val="22"/>
              </w:rPr>
              <w:t>timePeriod </w:t>
            </w:r>
            <w:r>
              <w:rPr>
                <w:sz w:val="22"/>
              </w:rPr>
              <w:t>(Time Period)</w:t>
            </w:r>
          </w:p>
        </w:tc>
        <w:tc>
          <w:tcPr>
            <w:tcW w:w="8250" w:type="dxa"/>
          </w:tcPr>
          <w:p>
            <w:pPr>
              <w:pStyle w:val="TableParagraph"/>
              <w:ind w:right="748"/>
              <w:rPr>
                <w:sz w:val="22"/>
              </w:rPr>
            </w:pPr>
            <w:r>
              <w:rPr>
                <w:sz w:val="22"/>
              </w:rPr>
              <w:t>The applicable time period in a "date occurring…" conditional formatting rule. This attribute is ignored if </w:t>
            </w:r>
            <w:r>
              <w:rPr>
                <w:rFonts w:ascii="Cambria" w:hAnsi="Cambria"/>
                <w:sz w:val="22"/>
              </w:rPr>
              <w:t>type </w:t>
            </w:r>
            <w:r>
              <w:rPr>
                <w:sz w:val="22"/>
              </w:rPr>
              <w:t>is not equal to </w:t>
            </w:r>
            <w:r>
              <w:rPr>
                <w:rFonts w:ascii="Consolas" w:hAnsi="Consolas"/>
                <w:sz w:val="20"/>
              </w:rPr>
              <w:t>timePeriod</w:t>
            </w:r>
            <w:r>
              <w:rPr>
                <w:sz w:val="22"/>
              </w:rPr>
              <w:t>.</w:t>
            </w:r>
          </w:p>
          <w:p>
            <w:pPr>
              <w:pStyle w:val="TableParagraph"/>
              <w:spacing w:before="6"/>
              <w:ind w:left="0"/>
              <w:rPr>
                <w:rFonts w:ascii="Times New Roman"/>
                <w:sz w:val="23"/>
              </w:rPr>
            </w:pPr>
          </w:p>
          <w:p>
            <w:pPr>
              <w:pStyle w:val="TableParagraph"/>
              <w:spacing w:line="237" w:lineRule="auto" w:before="1"/>
              <w:ind w:right="600"/>
              <w:rPr>
                <w:sz w:val="22"/>
              </w:rPr>
            </w:pPr>
            <w:r>
              <w:rPr>
                <w:sz w:val="22"/>
              </w:rPr>
              <w:t>The possible values for this attribute are defined by the </w:t>
            </w:r>
            <w:r>
              <w:rPr>
                <w:rFonts w:ascii="Cambria" w:hAnsi="Cambria"/>
                <w:sz w:val="22"/>
              </w:rPr>
              <w:t>ST_TimePeriod </w:t>
            </w:r>
            <w:r>
              <w:rPr>
                <w:sz w:val="22"/>
              </w:rPr>
              <w:t>simple type </w:t>
            </w:r>
            <w:hyperlink w:history="true" w:anchor="_bookmark904">
              <w:r>
                <w:rPr>
                  <w:sz w:val="22"/>
                </w:rPr>
                <w:t>(§18.18.82</w:t>
              </w:r>
            </w:hyperlink>
            <w:r>
              <w:rPr>
                <w:sz w:val="22"/>
              </w:rPr>
              <w:t>).</w:t>
            </w:r>
          </w:p>
        </w:tc>
      </w:tr>
      <w:tr>
        <w:trPr>
          <w:trHeight w:val="1161" w:hRule="atLeast"/>
        </w:trPr>
        <w:tc>
          <w:tcPr>
            <w:tcW w:w="2062" w:type="dxa"/>
          </w:tcPr>
          <w:p>
            <w:pPr>
              <w:pStyle w:val="TableParagraph"/>
              <w:rPr>
                <w:sz w:val="22"/>
              </w:rPr>
            </w:pPr>
            <w:r>
              <w:rPr>
                <w:rFonts w:ascii="Cambria"/>
                <w:sz w:val="22"/>
              </w:rPr>
              <w:t>type </w:t>
            </w:r>
            <w:r>
              <w:rPr>
                <w:sz w:val="22"/>
              </w:rPr>
              <w:t>(Type)</w:t>
            </w:r>
          </w:p>
        </w:tc>
        <w:tc>
          <w:tcPr>
            <w:tcW w:w="8250" w:type="dxa"/>
          </w:tcPr>
          <w:p>
            <w:pPr>
              <w:pStyle w:val="TableParagraph"/>
              <w:rPr>
                <w:sz w:val="22"/>
              </w:rPr>
            </w:pPr>
            <w:r>
              <w:rPr>
                <w:sz w:val="22"/>
              </w:rPr>
              <w:t>Type of conditional formatting rule.</w:t>
            </w:r>
          </w:p>
          <w:p>
            <w:pPr>
              <w:pStyle w:val="TableParagraph"/>
              <w:spacing w:before="4"/>
              <w:ind w:left="0"/>
              <w:rPr>
                <w:rFonts w:ascii="Times New Roman"/>
                <w:sz w:val="23"/>
              </w:rPr>
            </w:pPr>
          </w:p>
          <w:p>
            <w:pPr>
              <w:pStyle w:val="TableParagraph"/>
              <w:spacing w:before="0"/>
              <w:ind w:right="1043"/>
              <w:rPr>
                <w:sz w:val="22"/>
              </w:rPr>
            </w:pPr>
            <w:r>
              <w:rPr>
                <w:sz w:val="22"/>
              </w:rPr>
              <w:t>The possible values for this attribute are defined by the </w:t>
            </w:r>
            <w:r>
              <w:rPr>
                <w:rFonts w:ascii="Cambria" w:hAnsi="Cambria"/>
                <w:sz w:val="22"/>
              </w:rPr>
              <w:t>ST_CfType </w:t>
            </w:r>
            <w:r>
              <w:rPr>
                <w:sz w:val="22"/>
              </w:rPr>
              <w:t>simple type </w:t>
            </w:r>
            <w:hyperlink w:history="true" w:anchor="_bookmark834">
              <w:r>
                <w:rPr>
                  <w:sz w:val="22"/>
                </w:rPr>
                <w:t>(§18.18.12</w:t>
              </w:r>
            </w:hyperlink>
            <w:r>
              <w:rPr>
                <w:sz w:val="22"/>
              </w:rPr>
              <w:t>).</w:t>
            </w: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CT_CfRule</w:t>
      </w:r>
      <w:r>
        <w:rPr/>
        <w:t>) is located in §A.2. </w:t>
      </w:r>
      <w:r>
        <w:rPr>
          <w:i/>
        </w:rPr>
        <w:t>end note</w:t>
      </w:r>
      <w:r>
        <w:rPr/>
        <w:t>]</w:t>
      </w:r>
    </w:p>
    <w:p>
      <w:pPr>
        <w:pStyle w:val="BodyText"/>
        <w:spacing w:before="10"/>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1 cfvo (Conditional Format Value" w:id="134"/>
      <w:bookmarkEnd w:id="134"/>
      <w:r>
        <w:rPr/>
      </w:r>
      <w:bookmarkStart w:name="_bookmark43" w:id="135"/>
      <w:bookmarkEnd w:id="135"/>
      <w:r>
        <w:rPr/>
      </w:r>
      <w:bookmarkStart w:name="_bookmark43" w:id="136"/>
      <w:bookmarkEnd w:id="136"/>
      <w:r>
        <w:rPr>
          <w:color w:val="4F81BC"/>
        </w:rPr>
        <w:t>c</w:t>
      </w:r>
      <w:r>
        <w:rPr>
          <w:color w:val="4F81BC"/>
        </w:rPr>
        <w:t>fvo (Conditional Format Value</w:t>
      </w:r>
      <w:r>
        <w:rPr>
          <w:color w:val="4F81BC"/>
          <w:spacing w:val="-4"/>
        </w:rPr>
        <w:t> </w:t>
      </w:r>
      <w:r>
        <w:rPr>
          <w:color w:val="4F81BC"/>
        </w:rPr>
        <w:t>Object)</w:t>
      </w:r>
    </w:p>
    <w:p>
      <w:pPr>
        <w:pStyle w:val="BodyText"/>
        <w:spacing w:before="121"/>
        <w:ind w:left="220"/>
      </w:pPr>
      <w:r>
        <w:rPr/>
        <w:t>Describes the values of the interpolation points in a gradient scale.</w:t>
      </w:r>
    </w:p>
    <w:p>
      <w:pPr>
        <w:pStyle w:val="BodyText"/>
        <w:spacing w:before="6"/>
        <w:rPr>
          <w:sz w:val="19"/>
        </w:rPr>
      </w:pPr>
    </w:p>
    <w:p>
      <w:pPr>
        <w:pStyle w:val="BodyText"/>
        <w:spacing w:line="276" w:lineRule="auto"/>
        <w:ind w:left="220" w:right="514"/>
      </w:pPr>
      <w:r>
        <w:rPr/>
        <w:t>[</w:t>
      </w:r>
      <w:r>
        <w:rPr>
          <w:i/>
        </w:rPr>
        <w:t>Example</w:t>
      </w:r>
      <w:r>
        <w:rPr/>
        <w:t>: This example demonstrates a color scale conditional formatting rule, which defines a color for the minimum value in the range of cell values, a color for the midpoint value, and a color for the maximum value in the in the range of cell values. Information is given about how to define the midpoint. In this case, it is the 50 percent mark.</w:t>
      </w:r>
    </w:p>
    <w:p>
      <w:pPr>
        <w:pStyle w:val="BodyText"/>
        <w:spacing w:before="7"/>
        <w:rPr>
          <w:sz w:val="16"/>
        </w:rPr>
      </w:pPr>
    </w:p>
    <w:p>
      <w:pPr>
        <w:pStyle w:val="BodyText"/>
        <w:ind w:left="508"/>
        <w:rPr>
          <w:rFonts w:ascii="Consolas"/>
        </w:rPr>
      </w:pPr>
      <w:r>
        <w:rPr>
          <w:rFonts w:ascii="Consolas"/>
        </w:rPr>
        <w:t>&lt;colorScale&gt;</w:t>
      </w:r>
    </w:p>
    <w:p>
      <w:pPr>
        <w:pStyle w:val="BodyText"/>
        <w:spacing w:before="40"/>
        <w:ind w:left="750"/>
        <w:rPr>
          <w:rFonts w:ascii="Consolas"/>
        </w:rPr>
      </w:pPr>
      <w:r>
        <w:rPr>
          <w:rFonts w:ascii="Consolas"/>
        </w:rPr>
        <w:t>&lt;cfvo type="min" val="0"/&gt;</w:t>
      </w:r>
    </w:p>
    <w:p>
      <w:pPr>
        <w:pStyle w:val="BodyText"/>
        <w:spacing w:before="37"/>
        <w:ind w:left="750"/>
        <w:rPr>
          <w:rFonts w:ascii="Consolas"/>
        </w:rPr>
      </w:pPr>
      <w:r>
        <w:rPr>
          <w:rFonts w:ascii="Consolas"/>
        </w:rPr>
        <w:t>&lt;cfvo type="percent" val="50"/&gt;</w:t>
      </w:r>
    </w:p>
    <w:p>
      <w:pPr>
        <w:pStyle w:val="BodyText"/>
        <w:spacing w:before="41"/>
        <w:ind w:left="750"/>
        <w:rPr>
          <w:rFonts w:ascii="Consolas"/>
        </w:rPr>
      </w:pPr>
      <w:r>
        <w:rPr>
          <w:rFonts w:ascii="Consolas"/>
        </w:rPr>
        <w:t>&lt;cfvo type="max" val="0"/&gt;</w:t>
      </w:r>
    </w:p>
    <w:p>
      <w:pPr>
        <w:pStyle w:val="BodyText"/>
        <w:spacing w:before="37"/>
        <w:ind w:left="750"/>
        <w:rPr>
          <w:rFonts w:ascii="Consolas"/>
        </w:rPr>
      </w:pPr>
      <w:r>
        <w:rPr>
          <w:rFonts w:ascii="Consolas"/>
        </w:rPr>
        <w:t>&lt;color</w:t>
      </w:r>
      <w:r>
        <w:rPr>
          <w:rFonts w:ascii="Consolas"/>
          <w:spacing w:val="-16"/>
        </w:rPr>
        <w:t> </w:t>
      </w:r>
      <w:r>
        <w:rPr>
          <w:rFonts w:ascii="Consolas"/>
        </w:rPr>
        <w:t>rgb="FFFF0000"/&gt;</w:t>
      </w:r>
    </w:p>
    <w:p>
      <w:pPr>
        <w:pStyle w:val="BodyText"/>
        <w:spacing w:before="38"/>
        <w:ind w:left="750"/>
        <w:rPr>
          <w:rFonts w:ascii="Consolas"/>
        </w:rPr>
      </w:pPr>
      <w:r>
        <w:rPr>
          <w:rFonts w:ascii="Consolas"/>
        </w:rPr>
        <w:t>&lt;color</w:t>
      </w:r>
      <w:r>
        <w:rPr>
          <w:rFonts w:ascii="Consolas"/>
          <w:spacing w:val="-16"/>
        </w:rPr>
        <w:t> </w:t>
      </w:r>
      <w:r>
        <w:rPr>
          <w:rFonts w:ascii="Consolas"/>
        </w:rPr>
        <w:t>rgb="FFFFFF00"/&gt;</w:t>
      </w:r>
    </w:p>
    <w:p>
      <w:pPr>
        <w:pStyle w:val="BodyText"/>
        <w:spacing w:before="40"/>
        <w:ind w:left="750"/>
        <w:rPr>
          <w:rFonts w:ascii="Consolas"/>
        </w:rPr>
      </w:pPr>
      <w:r>
        <w:rPr>
          <w:rFonts w:ascii="Consolas"/>
        </w:rPr>
        <w:t>&lt;color</w:t>
      </w:r>
      <w:r>
        <w:rPr>
          <w:rFonts w:ascii="Consolas"/>
          <w:spacing w:val="-16"/>
        </w:rPr>
        <w:t> </w:t>
      </w:r>
      <w:r>
        <w:rPr>
          <w:rFonts w:ascii="Consolas"/>
        </w:rPr>
        <w:t>rgb="FF00B050"/&gt;</w:t>
      </w:r>
    </w:p>
    <w:p>
      <w:pPr>
        <w:pStyle w:val="BodyText"/>
        <w:spacing w:before="38"/>
        <w:ind w:left="508"/>
        <w:rPr>
          <w:rFonts w:ascii="Consolas"/>
        </w:rPr>
      </w:pPr>
      <w:r>
        <w:rPr>
          <w:rFonts w:ascii="Consolas"/>
        </w:rPr>
        <w:t>&lt;/colorScale&gt;</w:t>
      </w:r>
    </w:p>
    <w:p>
      <w:pPr>
        <w:pStyle w:val="BodyText"/>
        <w:spacing w:before="5"/>
        <w:rPr>
          <w:rFonts w:ascii="Consolas"/>
          <w:sz w:val="20"/>
        </w:rPr>
      </w:pPr>
    </w:p>
    <w:p>
      <w:pPr>
        <w:pStyle w:val="BodyText"/>
        <w:ind w:left="220"/>
      </w:pPr>
      <w:r>
        <w:rPr/>
        <w:t>The first &lt;</w:t>
      </w:r>
      <w:r>
        <w:rPr>
          <w:rFonts w:ascii="Consolas"/>
        </w:rPr>
        <w:t>cfvo&gt; </w:t>
      </w:r>
      <w:r>
        <w:rPr/>
        <w:t>element corresponds with the first </w:t>
      </w:r>
      <w:r>
        <w:rPr>
          <w:rFonts w:ascii="Consolas"/>
        </w:rPr>
        <w:t>&lt;color&gt;</w:t>
      </w:r>
      <w:r>
        <w:rPr>
          <w:rFonts w:ascii="Consolas"/>
          <w:spacing w:val="-82"/>
        </w:rPr>
        <w:t> </w:t>
      </w:r>
      <w:r>
        <w:rPr/>
        <w:t>definition, and so on.</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ind w:right="327"/>
              <w:rPr>
                <w:sz w:val="22"/>
              </w:rPr>
            </w:pPr>
            <w:r>
              <w:rPr>
                <w:rFonts w:ascii="Cambria"/>
                <w:sz w:val="22"/>
              </w:rPr>
              <w:t>gte </w:t>
            </w:r>
            <w:r>
              <w:rPr>
                <w:sz w:val="22"/>
              </w:rPr>
              <w:t>(Greater Than Or Equal)</w:t>
            </w:r>
          </w:p>
        </w:tc>
        <w:tc>
          <w:tcPr>
            <w:tcW w:w="8250" w:type="dxa"/>
          </w:tcPr>
          <w:p>
            <w:pPr>
              <w:pStyle w:val="TableParagraph"/>
              <w:ind w:right="244"/>
              <w:rPr>
                <w:sz w:val="22"/>
              </w:rPr>
            </w:pPr>
            <w:r>
              <w:rPr>
                <w:sz w:val="22"/>
              </w:rPr>
              <w:t>For icon sets, determines whether this threshold value uses the greater than or equal to operator. 0 indicates 'greater than' is used instead of 'greater than or equal to'.</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89" w:hRule="atLeast"/>
        </w:trPr>
        <w:tc>
          <w:tcPr>
            <w:tcW w:w="2062" w:type="dxa"/>
          </w:tcPr>
          <w:p>
            <w:pPr>
              <w:pStyle w:val="TableParagraph"/>
              <w:rPr>
                <w:sz w:val="22"/>
              </w:rPr>
            </w:pPr>
            <w:r>
              <w:rPr>
                <w:rFonts w:ascii="Cambria"/>
                <w:sz w:val="22"/>
              </w:rPr>
              <w:t>type </w:t>
            </w:r>
            <w:r>
              <w:rPr>
                <w:sz w:val="22"/>
              </w:rPr>
              <w:t>(Type)</w:t>
            </w:r>
          </w:p>
        </w:tc>
        <w:tc>
          <w:tcPr>
            <w:tcW w:w="8250" w:type="dxa"/>
          </w:tcPr>
          <w:p>
            <w:pPr>
              <w:pStyle w:val="TableParagraph"/>
              <w:ind w:right="248"/>
              <w:rPr>
                <w:sz w:val="22"/>
              </w:rPr>
            </w:pPr>
            <w:r>
              <w:rPr>
                <w:sz w:val="22"/>
              </w:rPr>
              <w:t>The type of this conditional formatting value object. [</w:t>
            </w:r>
            <w:r>
              <w:rPr>
                <w:i/>
                <w:sz w:val="22"/>
              </w:rPr>
              <w:t>Example</w:t>
            </w:r>
            <w:r>
              <w:rPr>
                <w:sz w:val="22"/>
              </w:rPr>
              <w:t>: 'min' and 'max' would be used (in conjunction with </w:t>
            </w:r>
            <w:r>
              <w:rPr>
                <w:rFonts w:ascii="Consolas"/>
                <w:sz w:val="22"/>
              </w:rPr>
              <w:t>@val</w:t>
            </w:r>
            <w:r>
              <w:rPr>
                <w:sz w:val="22"/>
              </w:rPr>
              <w:t>) to express the lower and upper values to be used in a gradient. </w:t>
            </w:r>
            <w:r>
              <w:rPr>
                <w:i/>
                <w:sz w:val="22"/>
              </w:rPr>
              <w:t>end example</w:t>
            </w: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ind w:right="816"/>
              <w:rPr>
                <w:sz w:val="22"/>
              </w:rPr>
            </w:pPr>
            <w:r>
              <w:rPr>
                <w:sz w:val="22"/>
              </w:rPr>
              <w:t>The possible values for this attribute are defined by the </w:t>
            </w:r>
            <w:r>
              <w:rPr>
                <w:rFonts w:ascii="Cambria" w:hAnsi="Cambria"/>
                <w:sz w:val="22"/>
              </w:rPr>
              <w:t>ST_CfvoType </w:t>
            </w:r>
            <w:r>
              <w:rPr>
                <w:sz w:val="22"/>
              </w:rPr>
              <w:t>simple type </w:t>
            </w:r>
            <w:hyperlink w:history="true" w:anchor="_bookmark835">
              <w:r>
                <w:rPr>
                  <w:sz w:val="22"/>
                </w:rPr>
                <w:t>(§18.18.13</w:t>
              </w:r>
            </w:hyperlink>
            <w:r>
              <w:rPr>
                <w:sz w:val="22"/>
              </w:rPr>
              <w:t>).</w:t>
            </w:r>
          </w:p>
        </w:tc>
      </w:tr>
      <w:tr>
        <w:trPr>
          <w:trHeight w:val="1158"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rPr>
                <w:sz w:val="22"/>
              </w:rPr>
            </w:pPr>
            <w:r>
              <w:rPr>
                <w:sz w:val="22"/>
              </w:rPr>
              <w:t>The value of this conditional formatting value object.</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CT_Cfvo</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2 chartsheet (Chart Sheet)" w:id="137"/>
      <w:bookmarkEnd w:id="137"/>
      <w:r>
        <w:rPr/>
      </w:r>
      <w:bookmarkStart w:name="_bookmark44" w:id="138"/>
      <w:bookmarkEnd w:id="138"/>
      <w:r>
        <w:rPr/>
      </w:r>
      <w:bookmarkStart w:name="_bookmark44" w:id="139"/>
      <w:bookmarkEnd w:id="139"/>
      <w:r>
        <w:rPr>
          <w:color w:val="4F81BC"/>
        </w:rPr>
        <w:t>c</w:t>
      </w:r>
      <w:r>
        <w:rPr>
          <w:color w:val="4F81BC"/>
        </w:rPr>
        <w:t>hartsheet (Chart</w:t>
      </w:r>
      <w:r>
        <w:rPr>
          <w:color w:val="4F81BC"/>
          <w:spacing w:val="-1"/>
        </w:rPr>
        <w:t> </w:t>
      </w:r>
      <w:r>
        <w:rPr>
          <w:color w:val="4F81BC"/>
        </w:rPr>
        <w:t>Sheet)</w:t>
      </w:r>
    </w:p>
    <w:p>
      <w:pPr>
        <w:pStyle w:val="BodyText"/>
        <w:spacing w:before="124"/>
        <w:ind w:left="220"/>
      </w:pPr>
      <w:r>
        <w:rPr/>
        <w:t>This is the root element of Chartsheet Parts in a SpreadsheetML document.</w:t>
      </w:r>
    </w:p>
    <w:p>
      <w:pPr>
        <w:pStyle w:val="BodyText"/>
        <w:spacing w:before="6"/>
        <w:rPr>
          <w:sz w:val="19"/>
        </w:rPr>
      </w:pPr>
    </w:p>
    <w:p>
      <w:pPr>
        <w:pStyle w:val="BodyText"/>
        <w:spacing w:line="276" w:lineRule="auto"/>
        <w:ind w:left="220" w:right="502"/>
      </w:pPr>
      <w:r>
        <w:rPr/>
        <w:t>[</w:t>
      </w:r>
      <w:r>
        <w:rPr>
          <w:i/>
        </w:rPr>
        <w:t>Note</w:t>
      </w:r>
      <w:r>
        <w:rPr/>
        <w:t>: The W3C XML Schema definition of this element’s content model (</w:t>
      </w:r>
      <w:r>
        <w:rPr>
          <w:color w:val="5F5F5F"/>
          <w:u w:val="single" w:color="5F5F5F"/>
        </w:rPr>
        <w:t>CT_Chartsheet</w:t>
      </w:r>
      <w:r>
        <w:rPr/>
        <w:t>) is located in §A.2. </w:t>
      </w:r>
      <w:r>
        <w:rPr>
          <w:i/>
        </w:rPr>
        <w:t>end </w:t>
      </w:r>
      <w:r>
        <w:rPr>
          <w:i/>
        </w:rPr>
        <w:t>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3 col (Column Width &amp; Formatting" w:id="140"/>
      <w:bookmarkEnd w:id="140"/>
      <w:r>
        <w:rPr/>
      </w:r>
      <w:bookmarkStart w:name="_bookmark45" w:id="141"/>
      <w:bookmarkEnd w:id="141"/>
      <w:r>
        <w:rPr/>
      </w:r>
      <w:bookmarkStart w:name="_bookmark45" w:id="142"/>
      <w:bookmarkEnd w:id="142"/>
      <w:r>
        <w:rPr>
          <w:color w:val="4F81BC"/>
        </w:rPr>
        <w:t>co</w:t>
      </w:r>
      <w:r>
        <w:rPr>
          <w:color w:val="4F81BC"/>
        </w:rPr>
        <w:t>l (Column Width &amp;</w:t>
      </w:r>
      <w:r>
        <w:rPr>
          <w:color w:val="4F81BC"/>
          <w:spacing w:val="-4"/>
        </w:rPr>
        <w:t> </w:t>
      </w:r>
      <w:r>
        <w:rPr>
          <w:color w:val="4F81BC"/>
        </w:rPr>
        <w:t>Formatting)</w:t>
      </w:r>
    </w:p>
    <w:p>
      <w:pPr>
        <w:pStyle w:val="BodyText"/>
        <w:spacing w:line="453" w:lineRule="auto" w:before="122"/>
        <w:ind w:left="220" w:right="2474"/>
      </w:pPr>
      <w:r>
        <w:rPr/>
        <w:t>Defines column width and column formatting for one or more columns of the worksheet. [</w:t>
      </w:r>
      <w:r>
        <w:rPr>
          <w:i/>
        </w:rPr>
        <w:t>Example</w:t>
      </w:r>
      <w:r>
        <w:rPr/>
        <w:t>: This example shows that column 5 (E) has width and style information applied.</w:t>
      </w:r>
    </w:p>
    <w:p>
      <w:pPr>
        <w:pStyle w:val="BodyText"/>
        <w:spacing w:before="2"/>
        <w:ind w:left="508"/>
        <w:rPr>
          <w:rFonts w:ascii="Consolas"/>
        </w:rPr>
      </w:pPr>
      <w:r>
        <w:rPr>
          <w:rFonts w:ascii="Consolas"/>
        </w:rPr>
        <w:t>&lt;col min="5" max="5" width="9.140625" style="3"/&gt;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355" w:hRule="atLeast"/>
        </w:trPr>
        <w:tc>
          <w:tcPr>
            <w:tcW w:w="2062" w:type="dxa"/>
          </w:tcPr>
          <w:p>
            <w:pPr>
              <w:pStyle w:val="TableParagraph"/>
              <w:ind w:right="487"/>
              <w:rPr>
                <w:sz w:val="22"/>
              </w:rPr>
            </w:pPr>
            <w:r>
              <w:rPr>
                <w:rFonts w:ascii="Cambria"/>
                <w:sz w:val="22"/>
              </w:rPr>
              <w:t>bestFit </w:t>
            </w:r>
            <w:r>
              <w:rPr>
                <w:sz w:val="22"/>
              </w:rPr>
              <w:t>(Best Fit Column Width)</w:t>
            </w:r>
          </w:p>
        </w:tc>
        <w:tc>
          <w:tcPr>
            <w:tcW w:w="8250" w:type="dxa"/>
          </w:tcPr>
          <w:p>
            <w:pPr>
              <w:pStyle w:val="TableParagraph"/>
              <w:rPr>
                <w:sz w:val="22"/>
              </w:rPr>
            </w:pPr>
            <w:r>
              <w:rPr>
                <w:sz w:val="22"/>
              </w:rPr>
              <w:t>Flag indicating if the specified column(s) is set to 'best fit'. 'Best fit' is set to </w:t>
            </w:r>
            <w:r>
              <w:rPr>
                <w:rFonts w:ascii="Consolas"/>
                <w:sz w:val="20"/>
              </w:rPr>
              <w:t>true</w:t>
            </w:r>
            <w:r>
              <w:rPr>
                <w:rFonts w:ascii="Consolas"/>
                <w:spacing w:val="-90"/>
                <w:sz w:val="20"/>
              </w:rPr>
              <w:t> </w:t>
            </w:r>
            <w:r>
              <w:rPr>
                <w:sz w:val="22"/>
              </w:rPr>
              <w:t>under these conditions:</w:t>
            </w:r>
          </w:p>
          <w:p>
            <w:pPr>
              <w:pStyle w:val="TableParagraph"/>
              <w:numPr>
                <w:ilvl w:val="0"/>
                <w:numId w:val="23"/>
              </w:numPr>
              <w:tabs>
                <w:tab w:pos="834" w:val="left" w:leader="none"/>
                <w:tab w:pos="835" w:val="left" w:leader="none"/>
              </w:tabs>
              <w:spacing w:line="240" w:lineRule="auto" w:before="0" w:after="0"/>
              <w:ind w:left="835" w:right="0" w:hanging="360"/>
              <w:jc w:val="left"/>
              <w:rPr>
                <w:sz w:val="22"/>
              </w:rPr>
            </w:pPr>
            <w:r>
              <w:rPr>
                <w:sz w:val="22"/>
              </w:rPr>
              <w:t>The column width has never been manually set by the user,</w:t>
            </w:r>
            <w:r>
              <w:rPr>
                <w:spacing w:val="-13"/>
                <w:sz w:val="22"/>
              </w:rPr>
              <w:t> </w:t>
            </w:r>
            <w:r>
              <w:rPr>
                <w:sz w:val="22"/>
              </w:rPr>
              <w:t>AND</w:t>
            </w:r>
          </w:p>
          <w:p>
            <w:pPr>
              <w:pStyle w:val="TableParagraph"/>
              <w:numPr>
                <w:ilvl w:val="0"/>
                <w:numId w:val="23"/>
              </w:numPr>
              <w:tabs>
                <w:tab w:pos="834" w:val="left" w:leader="none"/>
                <w:tab w:pos="835" w:val="left" w:leader="none"/>
              </w:tabs>
              <w:spacing w:line="240" w:lineRule="auto" w:before="1" w:after="0"/>
              <w:ind w:left="835" w:right="0" w:hanging="360"/>
              <w:jc w:val="left"/>
              <w:rPr>
                <w:sz w:val="22"/>
              </w:rPr>
            </w:pPr>
            <w:r>
              <w:rPr>
                <w:sz w:val="22"/>
              </w:rPr>
              <w:t>The column width is not the default</w:t>
            </w:r>
            <w:r>
              <w:rPr>
                <w:spacing w:val="-8"/>
                <w:sz w:val="22"/>
              </w:rPr>
              <w:t> </w:t>
            </w:r>
            <w:r>
              <w:rPr>
                <w:sz w:val="22"/>
              </w:rPr>
              <w:t>width</w:t>
            </w:r>
          </w:p>
          <w:p>
            <w:pPr>
              <w:pStyle w:val="TableParagraph"/>
              <w:spacing w:before="0"/>
              <w:ind w:left="475"/>
              <w:rPr>
                <w:rFonts w:ascii="Symbol" w:hAnsi="Symbol"/>
                <w:sz w:val="22"/>
              </w:rPr>
            </w:pPr>
            <w:r>
              <w:rPr>
                <w:rFonts w:ascii="Symbol" w:hAnsi="Symbol"/>
                <w:w w:val="100"/>
                <w:sz w:val="22"/>
              </w:rPr>
              <w:t></w:t>
            </w:r>
          </w:p>
          <w:p>
            <w:pPr>
              <w:pStyle w:val="TableParagraph"/>
              <w:numPr>
                <w:ilvl w:val="0"/>
                <w:numId w:val="23"/>
              </w:numPr>
              <w:tabs>
                <w:tab w:pos="834" w:val="left" w:leader="none"/>
                <w:tab w:pos="835" w:val="left" w:leader="none"/>
              </w:tabs>
              <w:spacing w:line="240" w:lineRule="auto" w:before="9" w:after="0"/>
              <w:ind w:left="835" w:right="192" w:hanging="360"/>
              <w:jc w:val="left"/>
              <w:rPr>
                <w:sz w:val="22"/>
              </w:rPr>
            </w:pPr>
            <w:r>
              <w:rPr>
                <w:sz w:val="22"/>
              </w:rPr>
              <w:t>'Best fit' means that when numbers are typed into a cell contained in a 'best fit' column, the column width should automatically resize to display the number. [</w:t>
            </w:r>
            <w:r>
              <w:rPr>
                <w:i/>
                <w:sz w:val="22"/>
              </w:rPr>
              <w:t>Note</w:t>
            </w:r>
            <w:r>
              <w:rPr>
                <w:sz w:val="22"/>
              </w:rPr>
              <w:t>: In best fit cases, column width must not be made smaller, only larger. </w:t>
            </w:r>
            <w:r>
              <w:rPr>
                <w:i/>
                <w:sz w:val="22"/>
              </w:rPr>
              <w:t>end </w:t>
            </w:r>
            <w:r>
              <w:rPr>
                <w:i/>
                <w:sz w:val="22"/>
              </w:rPr>
              <w:t>note</w:t>
            </w:r>
            <w:r>
              <w:rPr>
                <w:sz w:val="22"/>
              </w:rPr>
              <w:t>]</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spacing w:line="257" w:lineRule="exact" w:before="42"/>
              <w:rPr>
                <w:rFonts w:ascii="Cambria"/>
                <w:sz w:val="22"/>
              </w:rPr>
            </w:pPr>
            <w:r>
              <w:rPr>
                <w:rFonts w:ascii="Cambria"/>
                <w:sz w:val="22"/>
              </w:rPr>
              <w:t>collapsed</w:t>
            </w:r>
          </w:p>
          <w:p>
            <w:pPr>
              <w:pStyle w:val="TableParagraph"/>
              <w:spacing w:line="268" w:lineRule="exact" w:before="0"/>
              <w:rPr>
                <w:sz w:val="22"/>
              </w:rPr>
            </w:pPr>
            <w:r>
              <w:rPr>
                <w:sz w:val="22"/>
              </w:rPr>
              <w:t>(Collapsed)</w:t>
            </w:r>
          </w:p>
        </w:tc>
        <w:tc>
          <w:tcPr>
            <w:tcW w:w="8250" w:type="dxa"/>
          </w:tcPr>
          <w:p>
            <w:pPr>
              <w:pStyle w:val="TableParagraph"/>
              <w:ind w:right="590"/>
              <w:rPr>
                <w:sz w:val="22"/>
              </w:rPr>
            </w:pPr>
            <w:r>
              <w:rPr>
                <w:sz w:val="22"/>
              </w:rPr>
              <w:t>Flag indicating if the outlining of the affected column(s) is in the collapsed state. See description of </w:t>
            </w:r>
            <w:r>
              <w:rPr>
                <w:rFonts w:ascii="Cambria"/>
                <w:sz w:val="22"/>
              </w:rPr>
              <w:t>row collapsed </w:t>
            </w:r>
            <w:r>
              <w:rPr>
                <w:sz w:val="22"/>
              </w:rPr>
              <w:t>and </w:t>
            </w:r>
            <w:r>
              <w:rPr>
                <w:rFonts w:ascii="Cambria"/>
                <w:sz w:val="22"/>
              </w:rPr>
              <w:t>outlinePr </w:t>
            </w:r>
            <w:r>
              <w:rPr>
                <w:sz w:val="22"/>
              </w:rPr>
              <w:t>element's </w:t>
            </w:r>
            <w:r>
              <w:rPr>
                <w:rFonts w:ascii="Cambria"/>
                <w:sz w:val="22"/>
              </w:rPr>
              <w:t>summaryBelow </w:t>
            </w:r>
            <w:r>
              <w:rPr>
                <w:sz w:val="22"/>
              </w:rPr>
              <w:t>and </w:t>
            </w:r>
            <w:r>
              <w:rPr>
                <w:rFonts w:ascii="Cambria"/>
                <w:sz w:val="22"/>
              </w:rPr>
              <w:t>summaryRight </w:t>
            </w:r>
            <w:r>
              <w:rPr>
                <w:sz w:val="22"/>
              </w:rPr>
              <w:t>attributes for detailed information.</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footerReference w:type="even" r:id="rId28"/>
          <w:footerReference w:type="default" r:id="rId29"/>
          <w:pgSz w:w="12240" w:h="15840"/>
          <w:pgMar w:footer="746" w:header="761" w:top="1340" w:bottom="940" w:left="860" w:right="700"/>
          <w:pgNumType w:start="16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427" w:hRule="atLeast"/>
        </w:trPr>
        <w:tc>
          <w:tcPr>
            <w:tcW w:w="2062" w:type="dxa"/>
          </w:tcPr>
          <w:p>
            <w:pPr>
              <w:pStyle w:val="TableParagraph"/>
              <w:spacing w:line="256" w:lineRule="exact" w:before="42"/>
              <w:rPr>
                <w:rFonts w:ascii="Cambria"/>
                <w:sz w:val="22"/>
              </w:rPr>
            </w:pPr>
            <w:r>
              <w:rPr>
                <w:rFonts w:ascii="Cambria"/>
                <w:sz w:val="22"/>
              </w:rPr>
              <w:t>customWidth</w:t>
            </w:r>
          </w:p>
          <w:p>
            <w:pPr>
              <w:pStyle w:val="TableParagraph"/>
              <w:spacing w:line="267" w:lineRule="exact" w:before="0"/>
              <w:rPr>
                <w:sz w:val="22"/>
              </w:rPr>
            </w:pPr>
            <w:r>
              <w:rPr>
                <w:sz w:val="22"/>
              </w:rPr>
              <w:t>(Custom Width)</w:t>
            </w:r>
          </w:p>
        </w:tc>
        <w:tc>
          <w:tcPr>
            <w:tcW w:w="8250" w:type="dxa"/>
          </w:tcPr>
          <w:p>
            <w:pPr>
              <w:pStyle w:val="TableParagraph"/>
              <w:ind w:right="536"/>
              <w:rPr>
                <w:sz w:val="22"/>
              </w:rPr>
            </w:pPr>
            <w:r>
              <w:rPr>
                <w:sz w:val="22"/>
              </w:rPr>
              <w:t>Flag indicating that the column width for the affected column(s) is different from the default or has been manually set.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501"/>
              <w:rPr>
                <w:sz w:val="22"/>
              </w:rPr>
            </w:pPr>
            <w:r>
              <w:rPr>
                <w:rFonts w:ascii="Cambria"/>
                <w:sz w:val="22"/>
              </w:rPr>
              <w:t>hidden </w:t>
            </w:r>
            <w:r>
              <w:rPr>
                <w:sz w:val="22"/>
              </w:rPr>
              <w:t>(Hidden Columns)</w:t>
            </w:r>
          </w:p>
        </w:tc>
        <w:tc>
          <w:tcPr>
            <w:tcW w:w="8250" w:type="dxa"/>
          </w:tcPr>
          <w:p>
            <w:pPr>
              <w:pStyle w:val="TableParagraph"/>
              <w:rPr>
                <w:sz w:val="22"/>
              </w:rPr>
            </w:pPr>
            <w:r>
              <w:rPr>
                <w:sz w:val="22"/>
              </w:rPr>
              <w:t>Flag indicating if the affected column(s) are hidden on this worksheet.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ind w:right="498"/>
              <w:rPr>
                <w:sz w:val="22"/>
              </w:rPr>
            </w:pPr>
            <w:r>
              <w:rPr>
                <w:rFonts w:ascii="Cambria"/>
                <w:sz w:val="22"/>
              </w:rPr>
              <w:t>max </w:t>
            </w:r>
            <w:r>
              <w:rPr>
                <w:sz w:val="22"/>
              </w:rPr>
              <w:t>(Maximum Column)</w:t>
            </w:r>
          </w:p>
        </w:tc>
        <w:tc>
          <w:tcPr>
            <w:tcW w:w="8250" w:type="dxa"/>
          </w:tcPr>
          <w:p>
            <w:pPr>
              <w:pStyle w:val="TableParagraph"/>
              <w:rPr>
                <w:sz w:val="22"/>
              </w:rPr>
            </w:pPr>
            <w:r>
              <w:rPr>
                <w:sz w:val="22"/>
              </w:rPr>
              <w:t>Last column affected by this 'column info' record.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563"/>
              <w:rPr>
                <w:sz w:val="22"/>
              </w:rPr>
            </w:pPr>
            <w:r>
              <w:rPr>
                <w:rFonts w:ascii="Cambria"/>
                <w:sz w:val="22"/>
              </w:rPr>
              <w:t>min </w:t>
            </w:r>
            <w:r>
              <w:rPr>
                <w:sz w:val="22"/>
              </w:rPr>
              <w:t>(Minimum Column)</w:t>
            </w:r>
          </w:p>
        </w:tc>
        <w:tc>
          <w:tcPr>
            <w:tcW w:w="8250" w:type="dxa"/>
          </w:tcPr>
          <w:p>
            <w:pPr>
              <w:pStyle w:val="TableParagraph"/>
              <w:rPr>
                <w:sz w:val="22"/>
              </w:rPr>
            </w:pPr>
            <w:r>
              <w:rPr>
                <w:sz w:val="22"/>
              </w:rPr>
              <w:t>First column affected by this 'column info' record.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spacing w:line="257" w:lineRule="exact" w:before="42"/>
              <w:rPr>
                <w:rFonts w:ascii="Cambria"/>
                <w:sz w:val="22"/>
              </w:rPr>
            </w:pPr>
            <w:r>
              <w:rPr>
                <w:rFonts w:ascii="Cambria"/>
                <w:sz w:val="22"/>
              </w:rPr>
              <w:t>outlineLevel</w:t>
            </w:r>
          </w:p>
          <w:p>
            <w:pPr>
              <w:pStyle w:val="TableParagraph"/>
              <w:spacing w:line="268" w:lineRule="exact" w:before="0"/>
              <w:rPr>
                <w:sz w:val="22"/>
              </w:rPr>
            </w:pPr>
            <w:r>
              <w:rPr>
                <w:sz w:val="22"/>
              </w:rPr>
              <w:t>(Outline Level)</w:t>
            </w:r>
          </w:p>
        </w:tc>
        <w:tc>
          <w:tcPr>
            <w:tcW w:w="8250" w:type="dxa"/>
          </w:tcPr>
          <w:p>
            <w:pPr>
              <w:pStyle w:val="TableParagraph"/>
              <w:rPr>
                <w:rFonts w:ascii="Cambria"/>
                <w:sz w:val="22"/>
              </w:rPr>
            </w:pPr>
            <w:r>
              <w:rPr>
                <w:sz w:val="22"/>
              </w:rPr>
              <w:t>Outline level of affected column(s). Range is 0 to 7. See description of </w:t>
            </w:r>
            <w:r>
              <w:rPr>
                <w:rFonts w:ascii="Cambria"/>
                <w:sz w:val="22"/>
              </w:rPr>
              <w:t>outlinePr</w:t>
            </w:r>
          </w:p>
          <w:p>
            <w:pPr>
              <w:pStyle w:val="TableParagraph"/>
              <w:spacing w:before="0"/>
              <w:rPr>
                <w:sz w:val="22"/>
              </w:rPr>
            </w:pPr>
            <w:r>
              <w:rPr>
                <w:sz w:val="22"/>
              </w:rPr>
              <w:t>element's </w:t>
            </w:r>
            <w:r>
              <w:rPr>
                <w:rFonts w:ascii="Cambria"/>
                <w:sz w:val="22"/>
              </w:rPr>
              <w:t>summaryBelow </w:t>
            </w:r>
            <w:r>
              <w:rPr>
                <w:sz w:val="22"/>
              </w:rPr>
              <w:t>and </w:t>
            </w:r>
            <w:r>
              <w:rPr>
                <w:rFonts w:ascii="Cambria"/>
                <w:sz w:val="22"/>
              </w:rPr>
              <w:t>summaryRight </w:t>
            </w:r>
            <w:r>
              <w:rPr>
                <w:sz w:val="22"/>
              </w:rPr>
              <w:t>attributes for detailed information.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1"/>
              <w:rPr>
                <w:sz w:val="22"/>
              </w:rPr>
            </w:pPr>
            <w:r>
              <w:rPr>
                <w:sz w:val="22"/>
              </w:rPr>
              <w:t>datatype.</w:t>
            </w:r>
          </w:p>
        </w:tc>
      </w:tr>
      <w:tr>
        <w:trPr>
          <w:trHeight w:val="1430" w:hRule="atLeast"/>
        </w:trPr>
        <w:tc>
          <w:tcPr>
            <w:tcW w:w="2062" w:type="dxa"/>
          </w:tcPr>
          <w:p>
            <w:pPr>
              <w:pStyle w:val="TableParagraph"/>
              <w:spacing w:before="42"/>
              <w:ind w:right="488"/>
              <w:rPr>
                <w:sz w:val="22"/>
              </w:rPr>
            </w:pPr>
            <w:r>
              <w:rPr>
                <w:rFonts w:ascii="Cambria"/>
                <w:sz w:val="22"/>
              </w:rPr>
              <w:t>phonetic </w:t>
            </w:r>
            <w:r>
              <w:rPr>
                <w:sz w:val="22"/>
              </w:rPr>
              <w:t>(Show Phonetic Information)</w:t>
            </w:r>
          </w:p>
        </w:tc>
        <w:tc>
          <w:tcPr>
            <w:tcW w:w="8250" w:type="dxa"/>
          </w:tcPr>
          <w:p>
            <w:pPr>
              <w:pStyle w:val="TableParagraph"/>
              <w:spacing w:line="237" w:lineRule="auto" w:before="45"/>
              <w:ind w:right="130"/>
              <w:rPr>
                <w:sz w:val="22"/>
              </w:rPr>
            </w:pPr>
            <w:r>
              <w:rPr>
                <w:sz w:val="22"/>
              </w:rPr>
              <w:t>Flag indicating if the phonetic information should be displayed by default for the affected column(s) of the worksheet.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style </w:t>
            </w:r>
            <w:r>
              <w:rPr>
                <w:sz w:val="22"/>
              </w:rPr>
              <w:t>(Style)</w:t>
            </w:r>
          </w:p>
        </w:tc>
        <w:tc>
          <w:tcPr>
            <w:tcW w:w="8250" w:type="dxa"/>
          </w:tcPr>
          <w:p>
            <w:pPr>
              <w:pStyle w:val="TableParagraph"/>
              <w:ind w:right="265"/>
              <w:rPr>
                <w:sz w:val="22"/>
              </w:rPr>
            </w:pPr>
            <w:r>
              <w:rPr>
                <w:sz w:val="22"/>
              </w:rPr>
              <w:t>Default style for the affected column(s). Affects cells not yet allocated in the column(s). In other words, this style applies to new columns.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2774" w:hRule="atLeast"/>
        </w:trPr>
        <w:tc>
          <w:tcPr>
            <w:tcW w:w="2062" w:type="dxa"/>
          </w:tcPr>
          <w:p>
            <w:pPr>
              <w:pStyle w:val="TableParagraph"/>
              <w:spacing w:line="237" w:lineRule="auto" w:before="44"/>
              <w:ind w:right="561"/>
              <w:rPr>
                <w:sz w:val="22"/>
              </w:rPr>
            </w:pPr>
            <w:r>
              <w:rPr>
                <w:rFonts w:ascii="Cambria"/>
                <w:sz w:val="22"/>
              </w:rPr>
              <w:t>width </w:t>
            </w:r>
            <w:r>
              <w:rPr>
                <w:sz w:val="22"/>
              </w:rPr>
              <w:t>(Column Width)</w:t>
            </w:r>
          </w:p>
        </w:tc>
        <w:tc>
          <w:tcPr>
            <w:tcW w:w="8250" w:type="dxa"/>
          </w:tcPr>
          <w:p>
            <w:pPr>
              <w:pStyle w:val="TableParagraph"/>
              <w:spacing w:before="42"/>
              <w:ind w:right="244"/>
              <w:jc w:val="both"/>
              <w:rPr>
                <w:sz w:val="22"/>
              </w:rPr>
            </w:pPr>
            <w:r>
              <w:rPr>
                <w:sz w:val="22"/>
              </w:rPr>
              <w:t>Column width measured as the number of characters of the maximum digit width of the numbers 0, 1, 2, …, 9 as rendered in the normal style's font. There are 4 pixels of margin padding (two on each side), plus 1 pixel padding for the gridlines.</w:t>
            </w:r>
          </w:p>
          <w:p>
            <w:pPr>
              <w:pStyle w:val="TableParagraph"/>
              <w:spacing w:before="3"/>
              <w:ind w:left="0"/>
              <w:rPr>
                <w:rFonts w:ascii="Times New Roman"/>
                <w:sz w:val="23"/>
              </w:rPr>
            </w:pPr>
          </w:p>
          <w:p>
            <w:pPr>
              <w:pStyle w:val="TableParagraph"/>
              <w:spacing w:before="0"/>
              <w:ind w:right="1158"/>
              <w:rPr>
                <w:sz w:val="22"/>
              </w:rPr>
            </w:pPr>
            <w:r>
              <w:rPr>
                <w:sz w:val="22"/>
              </w:rPr>
              <w:t>width = Truncate([{Number of Characters} * {Maximum Digit Width} + {5 pixel padding}]/{Maximum Digit Width}*256)/256</w:t>
            </w:r>
          </w:p>
          <w:p>
            <w:pPr>
              <w:pStyle w:val="TableParagraph"/>
              <w:spacing w:before="5"/>
              <w:ind w:left="0"/>
              <w:rPr>
                <w:rFonts w:ascii="Times New Roman"/>
                <w:sz w:val="23"/>
              </w:rPr>
            </w:pPr>
          </w:p>
          <w:p>
            <w:pPr>
              <w:pStyle w:val="TableParagraph"/>
              <w:spacing w:before="0"/>
              <w:ind w:right="161"/>
              <w:rPr>
                <w:sz w:val="22"/>
              </w:rPr>
            </w:pPr>
            <w:r>
              <w:rPr>
                <w:sz w:val="22"/>
              </w:rPr>
              <w:t>[</w:t>
            </w:r>
            <w:r>
              <w:rPr>
                <w:i/>
                <w:sz w:val="22"/>
              </w:rPr>
              <w:t>Example</w:t>
            </w:r>
            <w:r>
              <w:rPr>
                <w:sz w:val="22"/>
              </w:rPr>
              <w:t>: Using the Calibri font as an example, the maximum digit width of 11 point font size is 7 pixels (at 96 dpi). In fact, each digit is the same width for this font. Therefore, if the cell width is 8 characters wide, the value of this attribute must be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706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Truncate([8*7+5]/7*256)/256 = 8.7109375. </w:t>
            </w:r>
            <w:r>
              <w:rPr>
                <w:i/>
                <w:sz w:val="22"/>
              </w:rPr>
              <w:t>end example</w:t>
            </w:r>
            <w:r>
              <w:rPr>
                <w:sz w:val="22"/>
              </w:rPr>
              <w:t>]</w:t>
            </w:r>
          </w:p>
          <w:p>
            <w:pPr>
              <w:pStyle w:val="TableParagraph"/>
              <w:spacing w:before="4"/>
              <w:ind w:left="0"/>
              <w:rPr>
                <w:rFonts w:ascii="Times New Roman"/>
                <w:sz w:val="23"/>
              </w:rPr>
            </w:pPr>
          </w:p>
          <w:p>
            <w:pPr>
              <w:pStyle w:val="TableParagraph"/>
              <w:spacing w:before="0"/>
              <w:ind w:right="911"/>
              <w:rPr>
                <w:sz w:val="22"/>
              </w:rPr>
            </w:pPr>
            <w:r>
              <w:rPr>
                <w:sz w:val="22"/>
              </w:rPr>
              <w:t>To translate the value of width in the file into the column width value at runtime (expressed in terms of pixels), use this calculation:</w:t>
            </w:r>
          </w:p>
          <w:p>
            <w:pPr>
              <w:pStyle w:val="TableParagraph"/>
              <w:spacing w:before="2"/>
              <w:ind w:left="0"/>
              <w:rPr>
                <w:rFonts w:ascii="Times New Roman"/>
                <w:sz w:val="23"/>
              </w:rPr>
            </w:pPr>
          </w:p>
          <w:p>
            <w:pPr>
              <w:pStyle w:val="TableParagraph"/>
              <w:spacing w:before="1"/>
              <w:ind w:right="498"/>
              <w:rPr>
                <w:sz w:val="22"/>
              </w:rPr>
            </w:pPr>
            <w:r>
              <w:rPr>
                <w:sz w:val="22"/>
              </w:rPr>
              <w:t>=Truncate(((256 * {width} + Truncate(128/{Maximum Digit Width}))/256)*{Maximum Digit Width})</w:t>
            </w:r>
          </w:p>
          <w:p>
            <w:pPr>
              <w:pStyle w:val="TableParagraph"/>
              <w:spacing w:before="4"/>
              <w:ind w:left="0"/>
              <w:rPr>
                <w:rFonts w:ascii="Times New Roman"/>
                <w:sz w:val="23"/>
              </w:rPr>
            </w:pPr>
          </w:p>
          <w:p>
            <w:pPr>
              <w:pStyle w:val="TableParagraph"/>
              <w:spacing w:before="0"/>
              <w:ind w:right="1006"/>
              <w:rPr>
                <w:sz w:val="22"/>
              </w:rPr>
            </w:pPr>
            <w:r>
              <w:rPr>
                <w:sz w:val="22"/>
              </w:rPr>
              <w:t>[</w:t>
            </w:r>
            <w:r>
              <w:rPr>
                <w:i/>
                <w:sz w:val="22"/>
              </w:rPr>
              <w:t>Example</w:t>
            </w:r>
            <w:r>
              <w:rPr>
                <w:sz w:val="22"/>
              </w:rPr>
              <w:t>: Using the same example as above, the calculation would be Truncate(((256*8.7109375+Truncate(128/7))/256)*7) = 61 pixels. </w:t>
            </w:r>
            <w:r>
              <w:rPr>
                <w:i/>
                <w:sz w:val="22"/>
              </w:rPr>
              <w:t>end example</w:t>
            </w:r>
            <w:r>
              <w:rPr>
                <w:sz w:val="22"/>
              </w:rPr>
              <w:t>]</w:t>
            </w:r>
          </w:p>
          <w:p>
            <w:pPr>
              <w:pStyle w:val="TableParagraph"/>
              <w:spacing w:before="5"/>
              <w:ind w:left="0"/>
              <w:rPr>
                <w:rFonts w:ascii="Times New Roman"/>
                <w:sz w:val="23"/>
              </w:rPr>
            </w:pPr>
          </w:p>
          <w:p>
            <w:pPr>
              <w:pStyle w:val="TableParagraph"/>
              <w:spacing w:before="0"/>
              <w:rPr>
                <w:sz w:val="22"/>
              </w:rPr>
            </w:pPr>
            <w:r>
              <w:rPr>
                <w:sz w:val="22"/>
              </w:rPr>
              <w:t>To translate from pixels to character width, use this calculation:</w:t>
            </w:r>
          </w:p>
          <w:p>
            <w:pPr>
              <w:pStyle w:val="TableParagraph"/>
              <w:spacing w:before="1"/>
              <w:rPr>
                <w:sz w:val="22"/>
              </w:rPr>
            </w:pPr>
            <w:r>
              <w:rPr>
                <w:sz w:val="22"/>
              </w:rPr>
              <w:t>=Truncate(({pixels}-5)/{Maximum Digit Width} * 100+0.5)/100</w:t>
            </w:r>
          </w:p>
          <w:p>
            <w:pPr>
              <w:pStyle w:val="TableParagraph"/>
              <w:spacing w:before="7"/>
              <w:ind w:left="0"/>
              <w:rPr>
                <w:rFonts w:ascii="Times New Roman"/>
                <w:sz w:val="23"/>
              </w:rPr>
            </w:pPr>
          </w:p>
          <w:p>
            <w:pPr>
              <w:pStyle w:val="TableParagraph"/>
              <w:spacing w:line="237" w:lineRule="auto" w:before="0"/>
              <w:ind w:right="1346"/>
              <w:rPr>
                <w:sz w:val="22"/>
              </w:rPr>
            </w:pPr>
            <w:r>
              <w:rPr>
                <w:sz w:val="22"/>
              </w:rPr>
              <w:t>[</w:t>
            </w:r>
            <w:r>
              <w:rPr>
                <w:i/>
                <w:sz w:val="22"/>
              </w:rPr>
              <w:t>Example</w:t>
            </w:r>
            <w:r>
              <w:rPr>
                <w:sz w:val="22"/>
              </w:rPr>
              <w:t>: Using the example above, the calculation would be Truncate((61- 5)/7*100+0.5)/100 = 8 characters. </w:t>
            </w:r>
            <w:r>
              <w:rPr>
                <w:i/>
                <w:sz w:val="22"/>
              </w:rPr>
              <w:t>end example</w:t>
            </w:r>
            <w:r>
              <w:rPr>
                <w:sz w:val="22"/>
              </w:rPr>
              <w:t>]</w:t>
            </w:r>
          </w:p>
          <w:p>
            <w:pPr>
              <w:pStyle w:val="TableParagraph"/>
              <w:spacing w:before="5"/>
              <w:ind w:left="0"/>
              <w:rPr>
                <w:rFonts w:ascii="Times New Roman"/>
                <w:sz w:val="23"/>
              </w:rPr>
            </w:pPr>
          </w:p>
          <w:p>
            <w:pPr>
              <w:pStyle w:val="TableParagraph"/>
              <w:spacing w:before="0"/>
              <w:ind w:right="124"/>
              <w:rPr>
                <w:sz w:val="22"/>
              </w:rPr>
            </w:pPr>
            <w:r>
              <w:rPr>
                <w:sz w:val="22"/>
              </w:rPr>
              <w:t>[</w:t>
            </w:r>
            <w:r>
              <w:rPr>
                <w:i/>
                <w:sz w:val="22"/>
              </w:rPr>
              <w:t>Note</w:t>
            </w:r>
            <w:r>
              <w:rPr>
                <w:sz w:val="22"/>
              </w:rPr>
              <w:t>: when wide borders are applied, part of the left/right border must overlap with the 2 pixel padding on each side. Wide borders do not affect the width calculation of the column. </w:t>
            </w:r>
            <w:r>
              <w:rPr>
                <w:i/>
                <w:sz w:val="22"/>
              </w:rPr>
              <w:t>end note</w:t>
            </w:r>
            <w:r>
              <w:rPr>
                <w:sz w:val="22"/>
              </w:rPr>
              <w:t>]</w:t>
            </w:r>
          </w:p>
          <w:p>
            <w:pPr>
              <w:pStyle w:val="TableParagraph"/>
              <w:spacing w:before="5"/>
              <w:ind w:left="0"/>
              <w:rPr>
                <w:rFonts w:ascii="Times New Roman"/>
                <w:sz w:val="23"/>
              </w:rPr>
            </w:pPr>
          </w:p>
          <w:p>
            <w:pPr>
              <w:pStyle w:val="TableParagraph"/>
              <w:spacing w:before="0"/>
              <w:ind w:right="209"/>
              <w:rPr>
                <w:sz w:val="22"/>
              </w:rPr>
            </w:pPr>
            <w:r>
              <w:rPr>
                <w:sz w:val="22"/>
              </w:rPr>
              <w:t>[</w:t>
            </w:r>
            <w:r>
              <w:rPr>
                <w:i/>
                <w:sz w:val="22"/>
              </w:rPr>
              <w:t>Note</w:t>
            </w:r>
            <w:r>
              <w:rPr>
                <w:sz w:val="22"/>
              </w:rPr>
              <w:t>: When the sheet is in the mode to view formulas instead of values, the pixel width of the column is doubled. </w:t>
            </w:r>
            <w:r>
              <w:rPr>
                <w:i/>
                <w:sz w:val="22"/>
              </w:rPr>
              <w:t>end note</w:t>
            </w:r>
            <w:r>
              <w:rPr>
                <w:sz w:val="22"/>
              </w:rPr>
              <w:t>]</w:t>
            </w:r>
          </w:p>
          <w:p>
            <w:pPr>
              <w:pStyle w:val="TableParagraph"/>
              <w:spacing w:before="5"/>
              <w:ind w:left="0"/>
              <w:rPr>
                <w:rFonts w:ascii="Times New Roman"/>
                <w:sz w:val="23"/>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double</w:t>
            </w:r>
          </w:p>
          <w:p>
            <w:pPr>
              <w:pStyle w:val="TableParagraph"/>
              <w:spacing w:line="268" w:lineRule="exact" w:before="0"/>
              <w:rPr>
                <w:sz w:val="22"/>
              </w:rPr>
            </w:pPr>
            <w:r>
              <w:rPr>
                <w:sz w:val="22"/>
              </w:rPr>
              <w:t>datatype.</w:t>
            </w: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CT_Col</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4 colBreaks (Vertical Page Break" w:id="143"/>
      <w:bookmarkEnd w:id="143"/>
      <w:r>
        <w:rPr/>
      </w:r>
      <w:bookmarkStart w:name="_bookmark46" w:id="144"/>
      <w:bookmarkEnd w:id="144"/>
      <w:r>
        <w:rPr/>
      </w:r>
      <w:bookmarkStart w:name="_bookmark46" w:id="145"/>
      <w:bookmarkEnd w:id="145"/>
      <w:r>
        <w:rPr>
          <w:color w:val="4F81BC"/>
        </w:rPr>
        <w:t>co</w:t>
      </w:r>
      <w:r>
        <w:rPr>
          <w:color w:val="4F81BC"/>
        </w:rPr>
        <w:t>lBreaks (Vertical Page</w:t>
      </w:r>
      <w:r>
        <w:rPr>
          <w:color w:val="4F81BC"/>
          <w:spacing w:val="-2"/>
        </w:rPr>
        <w:t> </w:t>
      </w:r>
      <w:r>
        <w:rPr>
          <w:color w:val="4F81BC"/>
        </w:rPr>
        <w:t>Breaks)</w:t>
      </w:r>
    </w:p>
    <w:p>
      <w:pPr>
        <w:pStyle w:val="BodyText"/>
        <w:spacing w:line="453" w:lineRule="auto" w:before="124"/>
        <w:ind w:left="220" w:right="6730"/>
      </w:pPr>
      <w:r>
        <w:rPr/>
        <w:t>A collection of column breaks (§</w:t>
      </w:r>
      <w:hyperlink w:history="true" w:anchor="_bookmark35">
        <w:r>
          <w:rPr/>
          <w:t>18.3.1.3</w:t>
        </w:r>
      </w:hyperlink>
      <w:r>
        <w:rPr/>
        <w:t>). [</w:t>
      </w:r>
      <w:r>
        <w:rPr>
          <w:i/>
        </w:rPr>
        <w:t>Example</w:t>
      </w:r>
      <w:r>
        <w:rPr/>
        <w:t>:</w:t>
      </w:r>
    </w:p>
    <w:p>
      <w:pPr>
        <w:pStyle w:val="BodyText"/>
        <w:spacing w:before="2"/>
        <w:ind w:left="220"/>
      </w:pPr>
      <w:r>
        <w:rPr/>
        <w:t>In this example, a page break has been inserted at C3 (the break occurs left and above C3).</w:t>
      </w:r>
    </w:p>
    <w:p>
      <w:pPr>
        <w:pStyle w:val="BodyText"/>
        <w:spacing w:before="8"/>
        <w:rPr>
          <w:sz w:val="19"/>
        </w:rPr>
      </w:pPr>
    </w:p>
    <w:p>
      <w:pPr>
        <w:pStyle w:val="BodyText"/>
        <w:ind w:left="508"/>
        <w:rPr>
          <w:rFonts w:ascii="Consolas"/>
        </w:rPr>
      </w:pPr>
      <w:r>
        <w:rPr>
          <w:rFonts w:ascii="Consolas"/>
        </w:rPr>
        <w:t>&lt;colBreaks count="1" manualBreakCount="1"&gt;</w:t>
      </w:r>
    </w:p>
    <w:p>
      <w:pPr>
        <w:pStyle w:val="BodyText"/>
        <w:spacing w:before="38"/>
        <w:ind w:left="750"/>
        <w:rPr>
          <w:rFonts w:ascii="Consolas"/>
        </w:rPr>
      </w:pPr>
      <w:r>
        <w:rPr>
          <w:rFonts w:ascii="Consolas"/>
        </w:rPr>
        <w:t>&lt;brk id="2" max="1048575" man="1"/&gt;</w:t>
      </w:r>
    </w:p>
    <w:p>
      <w:pPr>
        <w:pStyle w:val="BodyText"/>
        <w:spacing w:before="40"/>
        <w:ind w:left="508"/>
        <w:rPr>
          <w:rFonts w:ascii="Consolas"/>
        </w:rPr>
      </w:pPr>
      <w:r>
        <w:rPr>
          <w:rFonts w:ascii="Consolas"/>
        </w:rPr>
        <w:t>&lt;/colBreaks&gt;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276"/>
              <w:rPr>
                <w:sz w:val="22"/>
              </w:rPr>
            </w:pPr>
            <w:r>
              <w:rPr>
                <w:rFonts w:ascii="Cambria"/>
                <w:sz w:val="22"/>
              </w:rPr>
              <w:t>count </w:t>
            </w:r>
            <w:r>
              <w:rPr>
                <w:sz w:val="22"/>
              </w:rPr>
              <w:t>(Page Break Count)</w:t>
            </w:r>
          </w:p>
        </w:tc>
        <w:tc>
          <w:tcPr>
            <w:tcW w:w="8250" w:type="dxa"/>
          </w:tcPr>
          <w:p>
            <w:pPr>
              <w:pStyle w:val="TableParagraph"/>
              <w:rPr>
                <w:sz w:val="22"/>
              </w:rPr>
            </w:pPr>
            <w:r>
              <w:rPr>
                <w:sz w:val="22"/>
              </w:rPr>
              <w:t>Number of breaks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00"/>
              <w:rPr>
                <w:sz w:val="22"/>
              </w:rPr>
            </w:pPr>
            <w:r>
              <w:rPr>
                <w:rFonts w:ascii="Cambria"/>
                <w:sz w:val="22"/>
              </w:rPr>
              <w:t>manualBreakCount </w:t>
            </w:r>
            <w:r>
              <w:rPr>
                <w:sz w:val="22"/>
              </w:rPr>
              <w:t>(Manual Break Count)</w:t>
            </w:r>
          </w:p>
        </w:tc>
        <w:tc>
          <w:tcPr>
            <w:tcW w:w="8250" w:type="dxa"/>
          </w:tcPr>
          <w:p>
            <w:pPr>
              <w:pStyle w:val="TableParagraph"/>
              <w:rPr>
                <w:sz w:val="22"/>
              </w:rPr>
            </w:pPr>
            <w:r>
              <w:rPr>
                <w:sz w:val="22"/>
              </w:rPr>
              <w:t>Number of manual breaks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542"/>
      </w:pPr>
      <w:r>
        <w:rPr/>
        <w:t>[</w:t>
      </w:r>
      <w:r>
        <w:rPr>
          <w:i/>
        </w:rPr>
        <w:t>Note</w:t>
      </w:r>
      <w:r>
        <w:rPr/>
        <w:t>: The W3C XML Schema definition of this element’s content model (</w:t>
      </w:r>
      <w:r>
        <w:rPr>
          <w:color w:val="5F5F5F"/>
          <w:u w:val="single" w:color="5F5F5F"/>
        </w:rPr>
        <w:t>CT_PageBreak</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15 color (Data Bar Color)" w:id="146"/>
      <w:bookmarkEnd w:id="146"/>
      <w:r>
        <w:rPr/>
      </w:r>
      <w:bookmarkStart w:name="_bookmark47" w:id="147"/>
      <w:bookmarkEnd w:id="147"/>
      <w:r>
        <w:rPr/>
      </w:r>
      <w:bookmarkStart w:name="_bookmark47" w:id="148"/>
      <w:bookmarkEnd w:id="148"/>
      <w:r>
        <w:rPr>
          <w:color w:val="4F81BC"/>
        </w:rPr>
        <w:t>colo</w:t>
      </w:r>
      <w:r>
        <w:rPr>
          <w:color w:val="4F81BC"/>
        </w:rPr>
        <w:t>r (Data Bar</w:t>
      </w:r>
      <w:r>
        <w:rPr>
          <w:color w:val="4F81BC"/>
          <w:spacing w:val="-3"/>
        </w:rPr>
        <w:t> </w:t>
      </w:r>
      <w:r>
        <w:rPr>
          <w:color w:val="4F81BC"/>
        </w:rPr>
        <w:t>Color)</w:t>
      </w:r>
    </w:p>
    <w:p>
      <w:pPr>
        <w:pStyle w:val="BodyText"/>
        <w:spacing w:line="453" w:lineRule="auto" w:before="121" w:after="3"/>
        <w:ind w:left="220" w:right="4768"/>
      </w:pPr>
      <w:r>
        <w:rPr/>
        <w:t>One of the colors associated with the data bar or color scale. The </w:t>
      </w:r>
      <w:r>
        <w:rPr>
          <w:rFonts w:ascii="Cambria"/>
        </w:rPr>
        <w:t>auto </w:t>
      </w:r>
      <w:r>
        <w:rPr/>
        <w:t>attribute shall not be used in the context of data bars.</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auto </w:t>
            </w:r>
            <w:r>
              <w:rPr>
                <w:sz w:val="22"/>
              </w:rPr>
              <w:t>(Automatic)</w:t>
            </w:r>
          </w:p>
        </w:tc>
        <w:tc>
          <w:tcPr>
            <w:tcW w:w="8250" w:type="dxa"/>
          </w:tcPr>
          <w:p>
            <w:pPr>
              <w:pStyle w:val="TableParagraph"/>
              <w:rPr>
                <w:sz w:val="22"/>
              </w:rPr>
            </w:pPr>
            <w:r>
              <w:rPr>
                <w:sz w:val="22"/>
              </w:rPr>
              <w:t>A boolean value indicating the color is automatic and system color dependent.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rPr>
                <w:sz w:val="22"/>
              </w:rPr>
            </w:pPr>
            <w:r>
              <w:rPr>
                <w:rFonts w:ascii="Cambria"/>
                <w:sz w:val="22"/>
              </w:rPr>
              <w:t>indexed </w:t>
            </w:r>
            <w:r>
              <w:rPr>
                <w:sz w:val="22"/>
              </w:rPr>
              <w:t>(Index)</w:t>
            </w:r>
          </w:p>
        </w:tc>
        <w:tc>
          <w:tcPr>
            <w:tcW w:w="8250" w:type="dxa"/>
          </w:tcPr>
          <w:p>
            <w:pPr>
              <w:pStyle w:val="TableParagraph"/>
              <w:rPr>
                <w:sz w:val="22"/>
              </w:rPr>
            </w:pPr>
            <w:r>
              <w:rPr>
                <w:sz w:val="22"/>
              </w:rPr>
              <w:t>Indexed color value. Only used for backwards compatibility. References a color in</w:t>
            </w:r>
          </w:p>
          <w:p>
            <w:pPr>
              <w:pStyle w:val="TableParagraph"/>
              <w:spacing w:before="0"/>
              <w:rPr>
                <w:sz w:val="22"/>
              </w:rPr>
            </w:pPr>
            <w:r>
              <w:rPr>
                <w:rFonts w:ascii="Cambria"/>
                <w:sz w:val="22"/>
              </w:rPr>
              <w:t>indexedColors</w:t>
            </w:r>
            <w:r>
              <w:rPr>
                <w:sz w:val="22"/>
              </w:rPr>
              <w:t>.</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395"/>
              <w:rPr>
                <w:sz w:val="22"/>
              </w:rPr>
            </w:pPr>
            <w:r>
              <w:rPr>
                <w:rFonts w:ascii="Cambria"/>
                <w:sz w:val="22"/>
              </w:rPr>
              <w:t>rgb </w:t>
            </w:r>
            <w:r>
              <w:rPr>
                <w:sz w:val="22"/>
              </w:rPr>
              <w:t>(Alpha Red Green Blue Color Value)</w:t>
            </w:r>
          </w:p>
        </w:tc>
        <w:tc>
          <w:tcPr>
            <w:tcW w:w="8250" w:type="dxa"/>
          </w:tcPr>
          <w:p>
            <w:pPr>
              <w:pStyle w:val="TableParagraph"/>
              <w:rPr>
                <w:sz w:val="22"/>
              </w:rPr>
            </w:pPr>
            <w:r>
              <w:rPr>
                <w:sz w:val="22"/>
              </w:rPr>
              <w:t>Standard Alpha Red Green Blue color value (ARGB).</w:t>
            </w:r>
          </w:p>
          <w:p>
            <w:pPr>
              <w:pStyle w:val="TableParagraph"/>
              <w:spacing w:before="0"/>
              <w:ind w:left="0"/>
              <w:rPr>
                <w:sz w:val="22"/>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428" w:hRule="atLeast"/>
        </w:trPr>
        <w:tc>
          <w:tcPr>
            <w:tcW w:w="2062" w:type="dxa"/>
          </w:tcPr>
          <w:p>
            <w:pPr>
              <w:pStyle w:val="TableParagraph"/>
              <w:ind w:right="590"/>
              <w:rPr>
                <w:sz w:val="22"/>
              </w:rPr>
            </w:pPr>
            <w:r>
              <w:rPr>
                <w:rFonts w:ascii="Cambria"/>
                <w:sz w:val="22"/>
              </w:rPr>
              <w:t>theme </w:t>
            </w:r>
            <w:r>
              <w:rPr>
                <w:sz w:val="22"/>
              </w:rPr>
              <w:t>(Theme Color)</w:t>
            </w:r>
          </w:p>
        </w:tc>
        <w:tc>
          <w:tcPr>
            <w:tcW w:w="8250" w:type="dxa"/>
          </w:tcPr>
          <w:p>
            <w:pPr>
              <w:pStyle w:val="TableParagraph"/>
              <w:rPr>
                <w:sz w:val="22"/>
              </w:rPr>
            </w:pPr>
            <w:r>
              <w:rPr>
                <w:sz w:val="22"/>
              </w:rPr>
              <w:t>A zero-based index into the </w:t>
            </w:r>
            <w:r>
              <w:rPr>
                <w:rFonts w:ascii="Consolas" w:hAnsi="Consolas"/>
                <w:sz w:val="22"/>
              </w:rPr>
              <w:t>&lt;clrScheme&gt;</w:t>
            </w:r>
            <w:r>
              <w:rPr>
                <w:rFonts w:ascii="Consolas" w:hAnsi="Consolas"/>
                <w:spacing w:val="-93"/>
                <w:sz w:val="22"/>
              </w:rPr>
              <w:t> </w:t>
            </w:r>
            <w:r>
              <w:rPr>
                <w:sz w:val="22"/>
              </w:rPr>
              <w:t>collection (§20.1.6.2), referencing a particular</w:t>
            </w:r>
          </w:p>
          <w:p>
            <w:pPr>
              <w:pStyle w:val="TableParagraph"/>
              <w:spacing w:before="0"/>
              <w:rPr>
                <w:sz w:val="22"/>
              </w:rPr>
            </w:pPr>
            <w:r>
              <w:rPr>
                <w:rFonts w:ascii="Consolas"/>
                <w:sz w:val="22"/>
              </w:rPr>
              <w:t>&lt;sysClr&gt;</w:t>
            </w:r>
            <w:r>
              <w:rPr>
                <w:rFonts w:ascii="Consolas"/>
                <w:spacing w:val="-72"/>
                <w:sz w:val="22"/>
              </w:rPr>
              <w:t> </w:t>
            </w:r>
            <w:r>
              <w:rPr>
                <w:sz w:val="22"/>
              </w:rPr>
              <w:t>or </w:t>
            </w:r>
            <w:r>
              <w:rPr>
                <w:rFonts w:ascii="Consolas"/>
                <w:sz w:val="22"/>
              </w:rPr>
              <w:t>&lt;srgbClr&gt;</w:t>
            </w:r>
            <w:r>
              <w:rPr>
                <w:rFonts w:ascii="Consolas"/>
                <w:spacing w:val="-73"/>
                <w:sz w:val="22"/>
              </w:rPr>
              <w:t> </w:t>
            </w:r>
            <w:r>
              <w:rPr>
                <w:sz w:val="22"/>
              </w:rPr>
              <w:t>value expressed in the Theme part.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8" w:hRule="atLeast"/>
        </w:trPr>
        <w:tc>
          <w:tcPr>
            <w:tcW w:w="2062" w:type="dxa"/>
          </w:tcPr>
          <w:p>
            <w:pPr>
              <w:pStyle w:val="TableParagraph"/>
              <w:rPr>
                <w:sz w:val="22"/>
              </w:rPr>
            </w:pPr>
            <w:r>
              <w:rPr>
                <w:rFonts w:ascii="Cambria"/>
                <w:sz w:val="22"/>
              </w:rPr>
              <w:t>tint </w:t>
            </w:r>
            <w:r>
              <w:rPr>
                <w:sz w:val="22"/>
              </w:rPr>
              <w:t>(Tint)</w:t>
            </w:r>
          </w:p>
        </w:tc>
        <w:tc>
          <w:tcPr>
            <w:tcW w:w="8250" w:type="dxa"/>
          </w:tcPr>
          <w:p>
            <w:pPr>
              <w:pStyle w:val="TableParagraph"/>
              <w:rPr>
                <w:sz w:val="22"/>
              </w:rPr>
            </w:pPr>
            <w:r>
              <w:rPr>
                <w:sz w:val="22"/>
              </w:rPr>
              <w:t>Specifies the tint value applied to the color.</w:t>
            </w:r>
          </w:p>
          <w:p>
            <w:pPr>
              <w:pStyle w:val="TableParagraph"/>
              <w:spacing w:before="0"/>
              <w:ind w:left="0"/>
              <w:rPr>
                <w:sz w:val="22"/>
              </w:rPr>
            </w:pPr>
          </w:p>
          <w:p>
            <w:pPr>
              <w:pStyle w:val="TableParagraph"/>
              <w:spacing w:before="0"/>
              <w:ind w:right="391"/>
              <w:rPr>
                <w:sz w:val="22"/>
              </w:rPr>
            </w:pPr>
            <w:r>
              <w:rPr>
                <w:sz w:val="22"/>
              </w:rPr>
              <w:t>If tint is supplied, then it is applied to the RGB value of the color to determine the final color applied.</w:t>
            </w:r>
          </w:p>
          <w:p>
            <w:pPr>
              <w:pStyle w:val="TableParagraph"/>
              <w:spacing w:before="1"/>
              <w:ind w:left="0"/>
              <w:rPr>
                <w:sz w:val="22"/>
              </w:rPr>
            </w:pPr>
          </w:p>
          <w:p>
            <w:pPr>
              <w:pStyle w:val="TableParagraph"/>
              <w:spacing w:before="0"/>
              <w:rPr>
                <w:sz w:val="22"/>
              </w:rPr>
            </w:pPr>
            <w:r>
              <w:rPr>
                <w:sz w:val="22"/>
              </w:rPr>
              <w:t>The tint value is stored as a double from -1.0 .. 1.0, where -1.0 means 100% darken and</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9485"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1.0 means 100% lighten. Also, 0.0 means no change.</w:t>
            </w:r>
          </w:p>
          <w:p>
            <w:pPr>
              <w:pStyle w:val="TableParagraph"/>
              <w:spacing w:before="0"/>
              <w:ind w:left="0"/>
              <w:rPr>
                <w:sz w:val="22"/>
              </w:rPr>
            </w:pPr>
          </w:p>
          <w:p>
            <w:pPr>
              <w:pStyle w:val="TableParagraph"/>
              <w:spacing w:before="0"/>
              <w:ind w:right="132"/>
              <w:rPr>
                <w:sz w:val="22"/>
              </w:rPr>
            </w:pPr>
            <w:r>
              <w:rPr>
                <w:sz w:val="22"/>
              </w:rPr>
              <w:t>In loading the RGB value, it is converted to HLS where HLS values are (0..HLSMAX), where HLSMAX is currently 255.</w:t>
            </w:r>
          </w:p>
          <w:p>
            <w:pPr>
              <w:pStyle w:val="TableParagraph"/>
              <w:spacing w:before="10"/>
              <w:ind w:left="0"/>
              <w:rPr>
                <w:sz w:val="21"/>
              </w:rPr>
            </w:pPr>
          </w:p>
          <w:p>
            <w:pPr>
              <w:pStyle w:val="TableParagraph"/>
              <w:spacing w:before="1"/>
              <w:rPr>
                <w:sz w:val="22"/>
              </w:rPr>
            </w:pPr>
            <w:r>
              <w:rPr>
                <w:sz w:val="22"/>
              </w:rPr>
              <w:t>[</w:t>
            </w:r>
            <w:r>
              <w:rPr>
                <w:i/>
                <w:sz w:val="22"/>
              </w:rPr>
              <w:t>Example</w:t>
            </w:r>
            <w:r>
              <w:rPr>
                <w:sz w:val="22"/>
              </w:rPr>
              <w:t>:</w:t>
            </w:r>
          </w:p>
          <w:p>
            <w:pPr>
              <w:pStyle w:val="TableParagraph"/>
              <w:spacing w:before="0"/>
              <w:ind w:left="0"/>
              <w:rPr>
                <w:sz w:val="22"/>
              </w:rPr>
            </w:pPr>
          </w:p>
          <w:p>
            <w:pPr>
              <w:pStyle w:val="TableParagraph"/>
              <w:spacing w:before="0"/>
              <w:rPr>
                <w:sz w:val="22"/>
              </w:rPr>
            </w:pPr>
            <w:r>
              <w:rPr>
                <w:sz w:val="22"/>
              </w:rPr>
              <w:t>Here are some examples of how to apply tint to color:</w:t>
            </w:r>
          </w:p>
          <w:p>
            <w:pPr>
              <w:pStyle w:val="TableParagraph"/>
              <w:spacing w:before="0"/>
              <w:ind w:left="0"/>
              <w:rPr>
                <w:sz w:val="22"/>
              </w:rPr>
            </w:pPr>
          </w:p>
          <w:p>
            <w:pPr>
              <w:pStyle w:val="TableParagraph"/>
              <w:spacing w:before="1"/>
              <w:rPr>
                <w:b/>
                <w:sz w:val="22"/>
              </w:rPr>
            </w:pPr>
            <w:r>
              <w:rPr>
                <w:b/>
                <w:sz w:val="22"/>
              </w:rPr>
              <w:t>If (tint &lt; 0)</w:t>
            </w:r>
          </w:p>
          <w:p>
            <w:pPr>
              <w:pStyle w:val="TableParagraph"/>
              <w:spacing w:before="0"/>
              <w:ind w:left="215"/>
              <w:rPr>
                <w:sz w:val="22"/>
              </w:rPr>
            </w:pPr>
            <w:r>
              <w:rPr>
                <w:sz w:val="22"/>
              </w:rPr>
              <w:t>Lum’ = Lum * (1.0 + tint)</w:t>
            </w:r>
          </w:p>
          <w:p>
            <w:pPr>
              <w:pStyle w:val="TableParagraph"/>
              <w:spacing w:before="1"/>
              <w:ind w:left="0"/>
              <w:rPr>
                <w:sz w:val="22"/>
              </w:rPr>
            </w:pPr>
          </w:p>
          <w:p>
            <w:pPr>
              <w:pStyle w:val="TableParagraph"/>
              <w:spacing w:before="0"/>
              <w:rPr>
                <w:sz w:val="22"/>
              </w:rPr>
            </w:pPr>
            <w:r>
              <w:rPr>
                <w:sz w:val="22"/>
              </w:rPr>
              <w:t>For example: Lum = 200; tint = -0.5; Darken 50%</w:t>
            </w:r>
          </w:p>
          <w:p>
            <w:pPr>
              <w:pStyle w:val="TableParagraph"/>
              <w:spacing w:before="0"/>
              <w:ind w:left="215"/>
              <w:rPr>
                <w:sz w:val="22"/>
              </w:rPr>
            </w:pPr>
            <w:r>
              <w:rPr>
                <w:sz w:val="22"/>
              </w:rPr>
              <w:t>Lum‘ = 200 * (0.5) =&gt; 100</w:t>
            </w:r>
          </w:p>
          <w:p>
            <w:pPr>
              <w:pStyle w:val="TableParagraph"/>
              <w:spacing w:before="10"/>
              <w:ind w:left="0"/>
              <w:rPr>
                <w:sz w:val="21"/>
              </w:rPr>
            </w:pPr>
          </w:p>
          <w:p>
            <w:pPr>
              <w:pStyle w:val="TableParagraph"/>
              <w:spacing w:before="1"/>
              <w:rPr>
                <w:sz w:val="22"/>
              </w:rPr>
            </w:pPr>
            <w:r>
              <w:rPr>
                <w:sz w:val="22"/>
              </w:rPr>
              <w:t>For example: Lum = 200; tint = -1.0; Darken 100% (make black)</w:t>
            </w:r>
          </w:p>
          <w:p>
            <w:pPr>
              <w:pStyle w:val="TableParagraph"/>
              <w:spacing w:before="0"/>
              <w:ind w:left="215"/>
              <w:rPr>
                <w:sz w:val="22"/>
              </w:rPr>
            </w:pPr>
            <w:r>
              <w:rPr>
                <w:sz w:val="22"/>
              </w:rPr>
              <w:t>Lum‘ = 200 * (1.0-1.0) =&gt; 0</w:t>
            </w:r>
          </w:p>
          <w:p>
            <w:pPr>
              <w:pStyle w:val="TableParagraph"/>
              <w:spacing w:before="0"/>
              <w:ind w:left="0"/>
              <w:rPr>
                <w:sz w:val="22"/>
              </w:rPr>
            </w:pPr>
          </w:p>
          <w:p>
            <w:pPr>
              <w:pStyle w:val="TableParagraph"/>
              <w:spacing w:before="0"/>
              <w:rPr>
                <w:b/>
                <w:sz w:val="22"/>
              </w:rPr>
            </w:pPr>
            <w:r>
              <w:rPr>
                <w:b/>
                <w:sz w:val="22"/>
              </w:rPr>
              <w:t>If (tint &gt; 0)</w:t>
            </w:r>
          </w:p>
          <w:p>
            <w:pPr>
              <w:pStyle w:val="TableParagraph"/>
              <w:spacing w:before="1"/>
              <w:ind w:left="215"/>
              <w:rPr>
                <w:sz w:val="22"/>
              </w:rPr>
            </w:pPr>
            <w:r>
              <w:rPr>
                <w:sz w:val="22"/>
              </w:rPr>
              <w:t>Lum‘ = Lum * (1.0-tint) + (HLSMAX – HLSMAX * (1.0-tint))</w:t>
            </w:r>
          </w:p>
          <w:p>
            <w:pPr>
              <w:pStyle w:val="TableParagraph"/>
              <w:spacing w:before="0"/>
              <w:ind w:left="0"/>
              <w:rPr>
                <w:sz w:val="22"/>
              </w:rPr>
            </w:pPr>
          </w:p>
          <w:p>
            <w:pPr>
              <w:pStyle w:val="TableParagraph"/>
              <w:spacing w:before="0"/>
              <w:rPr>
                <w:sz w:val="22"/>
              </w:rPr>
            </w:pPr>
            <w:r>
              <w:rPr>
                <w:sz w:val="22"/>
              </w:rPr>
              <w:t>For example: Lum = 100; tint = 0.75; Lighten 75%</w:t>
            </w:r>
          </w:p>
          <w:p>
            <w:pPr>
              <w:pStyle w:val="TableParagraph"/>
              <w:tabs>
                <w:tab w:pos="853" w:val="left" w:leader="none"/>
              </w:tabs>
              <w:spacing w:before="0"/>
              <w:rPr>
                <w:sz w:val="22"/>
              </w:rPr>
            </w:pPr>
            <w:r>
              <w:rPr>
                <w:sz w:val="22"/>
              </w:rPr>
              <w:t>Lum‘</w:t>
              <w:tab/>
              <w:t>= 100 * (1-.75) + (HLSMAX –</w:t>
            </w:r>
            <w:r>
              <w:rPr>
                <w:spacing w:val="-7"/>
                <w:sz w:val="22"/>
              </w:rPr>
              <w:t> </w:t>
            </w:r>
            <w:r>
              <w:rPr>
                <w:sz w:val="22"/>
              </w:rPr>
              <w:t>HLSMAX*(1-.75))</w:t>
            </w:r>
          </w:p>
          <w:p>
            <w:pPr>
              <w:pStyle w:val="TableParagraph"/>
              <w:spacing w:before="0"/>
              <w:ind w:left="911"/>
              <w:rPr>
                <w:sz w:val="22"/>
              </w:rPr>
            </w:pPr>
            <w:r>
              <w:rPr>
                <w:sz w:val="22"/>
              </w:rPr>
              <w:t>= 100 * .25 + (255 – 255 * .25)</w:t>
            </w:r>
          </w:p>
          <w:p>
            <w:pPr>
              <w:pStyle w:val="TableParagraph"/>
              <w:spacing w:before="1"/>
              <w:ind w:left="911"/>
              <w:rPr>
                <w:sz w:val="22"/>
              </w:rPr>
            </w:pPr>
            <w:r>
              <w:rPr>
                <w:sz w:val="22"/>
              </w:rPr>
              <w:t>= 25 + (255 – 63) = 25 + 192 = 217</w:t>
            </w:r>
          </w:p>
          <w:p>
            <w:pPr>
              <w:pStyle w:val="TableParagraph"/>
              <w:spacing w:before="10"/>
              <w:ind w:left="0"/>
              <w:rPr>
                <w:sz w:val="21"/>
              </w:rPr>
            </w:pPr>
          </w:p>
          <w:p>
            <w:pPr>
              <w:pStyle w:val="TableParagraph"/>
              <w:spacing w:before="0"/>
              <w:rPr>
                <w:sz w:val="22"/>
              </w:rPr>
            </w:pPr>
            <w:r>
              <w:rPr>
                <w:sz w:val="22"/>
              </w:rPr>
              <w:t>For example: Lum = 100; tint = 1.0; Lighten 100% (make white)</w:t>
            </w:r>
          </w:p>
          <w:p>
            <w:pPr>
              <w:pStyle w:val="TableParagraph"/>
              <w:tabs>
                <w:tab w:pos="853" w:val="left" w:leader="none"/>
              </w:tabs>
              <w:spacing w:before="1"/>
              <w:rPr>
                <w:sz w:val="22"/>
              </w:rPr>
            </w:pPr>
            <w:r>
              <w:rPr>
                <w:sz w:val="22"/>
              </w:rPr>
              <w:t>Lum‘</w:t>
              <w:tab/>
              <w:t>= 100 * (1-1) + (HLSMAX –</w:t>
            </w:r>
            <w:r>
              <w:rPr>
                <w:spacing w:val="-10"/>
                <w:sz w:val="22"/>
              </w:rPr>
              <w:t> </w:t>
            </w:r>
            <w:r>
              <w:rPr>
                <w:sz w:val="22"/>
              </w:rPr>
              <w:t>HLSMAX*(1-1))</w:t>
            </w:r>
          </w:p>
          <w:p>
            <w:pPr>
              <w:pStyle w:val="TableParagraph"/>
              <w:spacing w:before="0"/>
              <w:ind w:left="911"/>
              <w:rPr>
                <w:sz w:val="22"/>
              </w:rPr>
            </w:pPr>
            <w:r>
              <w:rPr>
                <w:sz w:val="22"/>
              </w:rPr>
              <w:t>= 100 * 0 + (255 – 255 * 0)</w:t>
            </w:r>
          </w:p>
          <w:p>
            <w:pPr>
              <w:pStyle w:val="TableParagraph"/>
              <w:spacing w:before="0"/>
              <w:ind w:left="911"/>
              <w:rPr>
                <w:sz w:val="22"/>
              </w:rPr>
            </w:pPr>
            <w:r>
              <w:rPr>
                <w:sz w:val="22"/>
              </w:rPr>
              <w:t>= 0 + (255 – 0) = 255</w:t>
            </w:r>
          </w:p>
          <w:p>
            <w:pPr>
              <w:pStyle w:val="TableParagraph"/>
              <w:spacing w:before="0"/>
              <w:ind w:left="0"/>
              <w:rPr>
                <w:sz w:val="22"/>
              </w:rPr>
            </w:pPr>
          </w:p>
          <w:p>
            <w:pPr>
              <w:pStyle w:val="TableParagraph"/>
              <w:spacing w:before="1"/>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CT_Color</w:t>
      </w:r>
      <w:r>
        <w:rPr/>
        <w:t>) is located in §A.2. </w:t>
      </w:r>
      <w:r>
        <w:rPr>
          <w:i/>
        </w:rPr>
        <w:t>end note</w:t>
      </w:r>
      <w:r>
        <w:rPr/>
        <w:t>]</w:t>
      </w:r>
    </w:p>
    <w:p>
      <w:pPr>
        <w:pStyle w:val="BodyText"/>
        <w:rPr>
          <w:sz w:val="20"/>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6 colorScale (Color Scale)" w:id="149"/>
      <w:bookmarkEnd w:id="149"/>
      <w:r>
        <w:rPr/>
      </w:r>
      <w:bookmarkStart w:name="_bookmark48" w:id="150"/>
      <w:bookmarkEnd w:id="150"/>
      <w:r>
        <w:rPr/>
      </w:r>
      <w:bookmarkStart w:name="_bookmark48" w:id="151"/>
      <w:bookmarkEnd w:id="151"/>
      <w:r>
        <w:rPr>
          <w:color w:val="4F81BC"/>
        </w:rPr>
        <w:t>co</w:t>
      </w:r>
      <w:r>
        <w:rPr>
          <w:color w:val="4F81BC"/>
        </w:rPr>
        <w:t>lorScale (Color</w:t>
      </w:r>
      <w:r>
        <w:rPr>
          <w:color w:val="4F81BC"/>
          <w:spacing w:val="-2"/>
        </w:rPr>
        <w:t> </w:t>
      </w:r>
      <w:r>
        <w:rPr>
          <w:color w:val="4F81BC"/>
        </w:rPr>
        <w:t>Scale)</w:t>
      </w:r>
    </w:p>
    <w:p>
      <w:pPr>
        <w:pStyle w:val="BodyText"/>
        <w:spacing w:line="453" w:lineRule="auto" w:before="121"/>
        <w:ind w:left="220" w:right="4462"/>
      </w:pPr>
      <w:r>
        <w:rPr/>
        <w:t>Describes a gradated color scale in this conditional formatting rule. [</w:t>
      </w:r>
      <w:r>
        <w:rPr>
          <w:i/>
        </w:rPr>
        <w:t>Example</w:t>
      </w:r>
      <w:r>
        <w:rPr/>
        <w:t>:</w:t>
      </w:r>
    </w:p>
    <w:p>
      <w:pPr>
        <w:spacing w:after="0" w:line="453" w:lineRule="auto"/>
        <w:sectPr>
          <w:pgSz w:w="12240" w:h="15840"/>
          <w:pgMar w:header="761" w:footer="746" w:top="1340" w:bottom="940" w:left="860" w:right="700"/>
        </w:sectPr>
      </w:pPr>
    </w:p>
    <w:p>
      <w:pPr>
        <w:pStyle w:val="BodyText"/>
        <w:spacing w:before="150"/>
        <w:ind w:left="508"/>
        <w:rPr>
          <w:rFonts w:ascii="Consolas"/>
        </w:rPr>
      </w:pPr>
      <w:r>
        <w:rPr>
          <w:rFonts w:ascii="Consolas"/>
        </w:rPr>
        <w:t>&lt;colorScale&gt;</w:t>
      </w:r>
    </w:p>
    <w:p>
      <w:pPr>
        <w:pStyle w:val="BodyText"/>
        <w:spacing w:before="38"/>
        <w:ind w:left="750"/>
        <w:rPr>
          <w:rFonts w:ascii="Consolas"/>
        </w:rPr>
      </w:pPr>
      <w:r>
        <w:rPr>
          <w:rFonts w:ascii="Consolas"/>
        </w:rPr>
        <w:t>&lt;cfvo type="min"</w:t>
      </w:r>
      <w:r>
        <w:rPr>
          <w:rFonts w:ascii="Consolas"/>
          <w:spacing w:val="-18"/>
        </w:rPr>
        <w:t> </w:t>
      </w:r>
      <w:r>
        <w:rPr>
          <w:rFonts w:ascii="Consolas"/>
        </w:rPr>
        <w:t>val="0"/&gt;</w:t>
      </w:r>
    </w:p>
    <w:p>
      <w:pPr>
        <w:pStyle w:val="BodyText"/>
        <w:spacing w:before="40"/>
        <w:ind w:left="750"/>
        <w:rPr>
          <w:rFonts w:ascii="Consolas"/>
        </w:rPr>
      </w:pPr>
      <w:r>
        <w:rPr>
          <w:rFonts w:ascii="Consolas"/>
        </w:rPr>
        <w:t>&lt;cfvo type="max"</w:t>
      </w:r>
      <w:r>
        <w:rPr>
          <w:rFonts w:ascii="Consolas"/>
          <w:spacing w:val="-18"/>
        </w:rPr>
        <w:t> </w:t>
      </w:r>
      <w:r>
        <w:rPr>
          <w:rFonts w:ascii="Consolas"/>
        </w:rPr>
        <w:t>val="0"/&gt;</w:t>
      </w:r>
    </w:p>
    <w:p>
      <w:pPr>
        <w:pStyle w:val="BodyText"/>
        <w:spacing w:before="38"/>
        <w:ind w:left="750"/>
        <w:rPr>
          <w:rFonts w:ascii="Consolas"/>
        </w:rPr>
      </w:pPr>
      <w:r>
        <w:rPr>
          <w:rFonts w:ascii="Consolas"/>
        </w:rPr>
        <w:t>&lt;color theme="5"/&gt;</w:t>
      </w:r>
    </w:p>
    <w:p>
      <w:pPr>
        <w:pStyle w:val="BodyText"/>
        <w:spacing w:before="40"/>
        <w:ind w:left="750"/>
        <w:rPr>
          <w:rFonts w:ascii="Consolas"/>
        </w:rPr>
      </w:pPr>
      <w:r>
        <w:rPr>
          <w:rFonts w:ascii="Consolas"/>
        </w:rPr>
        <w:t>&lt;color rgb="FFFFEF9C"/&gt;</w:t>
      </w:r>
    </w:p>
    <w:p>
      <w:pPr>
        <w:pStyle w:val="BodyText"/>
        <w:spacing w:before="37"/>
        <w:ind w:left="508"/>
        <w:rPr>
          <w:rFonts w:ascii="Consolas"/>
        </w:rPr>
      </w:pPr>
      <w:r>
        <w:rPr>
          <w:rFonts w:ascii="Consolas"/>
        </w:rPr>
        <w:t>&lt;/colorScale&gt;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549"/>
      </w:pPr>
      <w:r>
        <w:rPr/>
        <w:t>[</w:t>
      </w:r>
      <w:r>
        <w:rPr>
          <w:i/>
        </w:rPr>
        <w:t>Note</w:t>
      </w:r>
      <w:r>
        <w:rPr/>
        <w:t>: The W3C XML Schema definition of this element’s content model (</w:t>
      </w:r>
      <w:r>
        <w:rPr>
          <w:color w:val="5F5F5F"/>
          <w:u w:val="single" w:color="5F5F5F"/>
        </w:rPr>
        <w:t>CT_ColorScale</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7 cols (Column Information)" w:id="152"/>
      <w:bookmarkEnd w:id="152"/>
      <w:r>
        <w:rPr/>
      </w:r>
      <w:bookmarkStart w:name="_bookmark49" w:id="153"/>
      <w:bookmarkEnd w:id="153"/>
      <w:r>
        <w:rPr/>
      </w:r>
      <w:bookmarkStart w:name="_bookmark49" w:id="154"/>
      <w:bookmarkEnd w:id="154"/>
      <w:r>
        <w:rPr>
          <w:color w:val="4F81BC"/>
        </w:rPr>
        <w:t>col</w:t>
      </w:r>
      <w:r>
        <w:rPr>
          <w:color w:val="4F81BC"/>
        </w:rPr>
        <w:t>s (Column Information)</w:t>
      </w:r>
    </w:p>
    <w:p>
      <w:pPr>
        <w:pStyle w:val="BodyText"/>
        <w:spacing w:line="453" w:lineRule="auto" w:before="122"/>
        <w:ind w:left="220" w:right="5764"/>
      </w:pPr>
      <w:r>
        <w:rPr/>
        <w:t>Information about whole columns of the worksheet. [</w:t>
      </w:r>
      <w:r>
        <w:rPr>
          <w:i/>
        </w:rPr>
        <w:t>Example</w:t>
      </w:r>
      <w:r>
        <w:rPr/>
        <w:t>:</w:t>
      </w:r>
    </w:p>
    <w:p>
      <w:pPr>
        <w:pStyle w:val="BodyText"/>
        <w:spacing w:line="276" w:lineRule="auto"/>
        <w:ind w:left="220" w:right="423"/>
      </w:pPr>
      <w:r>
        <w:rPr/>
        <w:t>This example shows that column 4 (D) has 'best fit' applied to it, which is also a custom width. Also, column 5 (E) is listed as having a custom width and a style applied at the column level (as opposed to the cell level).</w:t>
      </w:r>
    </w:p>
    <w:p>
      <w:pPr>
        <w:pStyle w:val="BodyText"/>
        <w:spacing w:before="5"/>
        <w:rPr>
          <w:sz w:val="16"/>
        </w:rPr>
      </w:pPr>
    </w:p>
    <w:p>
      <w:pPr>
        <w:pStyle w:val="BodyText"/>
        <w:spacing w:before="1"/>
        <w:ind w:left="508"/>
        <w:rPr>
          <w:rFonts w:ascii="Consolas"/>
        </w:rPr>
      </w:pPr>
      <w:r>
        <w:rPr>
          <w:rFonts w:ascii="Consolas"/>
        </w:rPr>
        <w:t>&lt;cols&gt;</w:t>
      </w:r>
    </w:p>
    <w:p>
      <w:pPr>
        <w:pStyle w:val="BodyText"/>
        <w:spacing w:before="40"/>
        <w:ind w:left="750"/>
        <w:rPr>
          <w:rFonts w:ascii="Consolas"/>
        </w:rPr>
      </w:pPr>
      <w:r>
        <w:rPr>
          <w:rFonts w:ascii="Consolas"/>
        </w:rPr>
        <w:t>&lt;col min="4" max="4" width="12" bestFit="1" customWidth="1"/&gt;</w:t>
      </w:r>
    </w:p>
    <w:p>
      <w:pPr>
        <w:pStyle w:val="BodyText"/>
        <w:spacing w:before="37"/>
        <w:ind w:left="750"/>
        <w:rPr>
          <w:rFonts w:ascii="Consolas"/>
        </w:rPr>
      </w:pPr>
      <w:r>
        <w:rPr>
          <w:rFonts w:ascii="Consolas"/>
        </w:rPr>
        <w:t>&lt;col min="5" max="5" width="9.140625" style="3"/&gt;</w:t>
      </w:r>
    </w:p>
    <w:p>
      <w:pPr>
        <w:pStyle w:val="BodyText"/>
        <w:spacing w:before="40"/>
        <w:ind w:left="508"/>
        <w:rPr>
          <w:rFonts w:ascii="Consolas"/>
        </w:rPr>
      </w:pPr>
      <w:r>
        <w:rPr>
          <w:rFonts w:ascii="Consolas"/>
        </w:rPr>
        <w:t>&lt;/cols&gt;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11"/>
        <w:rPr>
          <w:sz w:val="19"/>
        </w:rPr>
      </w:pPr>
    </w:p>
    <w:p>
      <w:pPr>
        <w:pStyle w:val="BodyText"/>
        <w:ind w:left="220"/>
      </w:pPr>
      <w:r>
        <w:rPr/>
        <w:t>[</w:t>
      </w:r>
      <w:r>
        <w:rPr>
          <w:i/>
        </w:rPr>
        <w:t>Note</w:t>
      </w:r>
      <w:r>
        <w:rPr/>
        <w:t>: The W3C XML Schema definition of this element’s content model (</w:t>
      </w:r>
      <w:r>
        <w:rPr>
          <w:color w:val="5F5F5F"/>
          <w:u w:val="single" w:color="5F5F5F"/>
        </w:rPr>
        <w:t>CT_Cols</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8 conditionalFormatting (Conditi" w:id="155"/>
      <w:bookmarkEnd w:id="155"/>
      <w:r>
        <w:rPr/>
      </w:r>
      <w:bookmarkStart w:name="_bookmark50" w:id="156"/>
      <w:bookmarkEnd w:id="156"/>
      <w:r>
        <w:rPr/>
      </w:r>
      <w:bookmarkStart w:name="_bookmark50" w:id="157"/>
      <w:bookmarkEnd w:id="157"/>
      <w:r>
        <w:rPr>
          <w:color w:val="4F81BC"/>
        </w:rPr>
        <w:t>con</w:t>
      </w:r>
      <w:r>
        <w:rPr>
          <w:color w:val="4F81BC"/>
        </w:rPr>
        <w:t>ditionalFormatting (Conditional</w:t>
      </w:r>
      <w:r>
        <w:rPr>
          <w:color w:val="4F81BC"/>
          <w:spacing w:val="-2"/>
        </w:rPr>
        <w:t> </w:t>
      </w:r>
      <w:r>
        <w:rPr>
          <w:color w:val="4F81BC"/>
        </w:rPr>
        <w:t>Formatting)</w:t>
      </w:r>
    </w:p>
    <w:p>
      <w:pPr>
        <w:pStyle w:val="BodyText"/>
        <w:spacing w:line="276" w:lineRule="auto" w:before="119"/>
        <w:ind w:left="220" w:right="478"/>
      </w:pPr>
      <w:r>
        <w:rPr/>
        <w:t>A Conditional Format is a format, such as cell shading or font color, that a spreadsheet application can automatically apply to cells if a specified condition is true. This collection expresses conditional formatting rules applied to a particular cell or range.</w:t>
      </w:r>
    </w:p>
    <w:p>
      <w:pPr>
        <w:pStyle w:val="BodyText"/>
        <w:spacing w:before="3"/>
        <w:rPr>
          <w:sz w:val="16"/>
        </w:rPr>
      </w:pPr>
    </w:p>
    <w:p>
      <w:pPr>
        <w:pStyle w:val="BodyText"/>
        <w:spacing w:line="278" w:lineRule="auto" w:before="1"/>
        <w:ind w:left="220" w:right="454"/>
      </w:pPr>
      <w:r>
        <w:rPr/>
        <w:t>[</w:t>
      </w:r>
      <w:r>
        <w:rPr>
          <w:i/>
        </w:rPr>
        <w:t>Example</w:t>
      </w:r>
      <w:r>
        <w:rPr/>
        <w:t>: This example applies a 'top10' rule to the cells C3:C8. The </w:t>
      </w:r>
      <w:r>
        <w:rPr>
          <w:rFonts w:ascii="Consolas"/>
        </w:rPr>
        <w:t>@dxfId</w:t>
      </w:r>
      <w:r>
        <w:rPr>
          <w:rFonts w:ascii="Consolas"/>
          <w:spacing w:val="-71"/>
        </w:rPr>
        <w:t> </w:t>
      </w:r>
      <w:r>
        <w:rPr/>
        <w:t>references the formatting (defined in the styles part) to be applied to cells that match the criteria.</w:t>
      </w:r>
    </w:p>
    <w:p>
      <w:pPr>
        <w:pStyle w:val="BodyText"/>
        <w:spacing w:before="197"/>
        <w:ind w:left="508"/>
        <w:rPr>
          <w:rFonts w:ascii="Consolas"/>
        </w:rPr>
      </w:pPr>
      <w:r>
        <w:rPr>
          <w:rFonts w:ascii="Consolas"/>
        </w:rPr>
        <w:t>&lt;conditionalFormatting sqref="C3:C8"&gt;</w:t>
      </w:r>
    </w:p>
    <w:p>
      <w:pPr>
        <w:pStyle w:val="BodyText"/>
        <w:spacing w:before="38"/>
        <w:ind w:left="750"/>
        <w:rPr>
          <w:rFonts w:ascii="Consolas"/>
        </w:rPr>
      </w:pPr>
      <w:r>
        <w:rPr>
          <w:rFonts w:ascii="Consolas"/>
        </w:rPr>
        <w:t>&lt;cfRule type="top10" dxfId="1" priority="3" rank="2"/&gt;</w:t>
      </w:r>
    </w:p>
    <w:p>
      <w:pPr>
        <w:pStyle w:val="BodyText"/>
        <w:spacing w:before="40"/>
        <w:ind w:left="508"/>
        <w:rPr>
          <w:rFonts w:ascii="Consolas"/>
        </w:rPr>
      </w:pPr>
      <w:r>
        <w:rPr>
          <w:rFonts w:ascii="Consolas"/>
        </w:rPr>
        <w:t>&lt;/conditionalFormatting&gt;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ind w:right="374"/>
              <w:rPr>
                <w:sz w:val="22"/>
              </w:rPr>
            </w:pPr>
            <w:r>
              <w:rPr>
                <w:rFonts w:ascii="Cambria"/>
                <w:sz w:val="22"/>
              </w:rPr>
              <w:t>pivot </w:t>
            </w:r>
            <w:r>
              <w:rPr>
                <w:sz w:val="22"/>
              </w:rPr>
              <w:t>(PivotTable Conditional</w:t>
            </w:r>
          </w:p>
        </w:tc>
        <w:tc>
          <w:tcPr>
            <w:tcW w:w="8250" w:type="dxa"/>
          </w:tcPr>
          <w:p>
            <w:pPr>
              <w:pStyle w:val="TableParagraph"/>
              <w:rPr>
                <w:sz w:val="22"/>
              </w:rPr>
            </w:pPr>
            <w:r>
              <w:rPr>
                <w:sz w:val="22"/>
              </w:rPr>
              <w:t>Flag indicating if this is conditional formatting associated with a PivotTable.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rPr>
                <w:sz w:val="22"/>
              </w:rPr>
            </w:pPr>
            <w:r>
              <w:rPr>
                <w:sz w:val="22"/>
              </w:rPr>
              <w:t>Formatting)</w:t>
            </w: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ind w:right="219"/>
              <w:rPr>
                <w:sz w:val="22"/>
              </w:rPr>
            </w:pPr>
            <w:r>
              <w:rPr>
                <w:rFonts w:ascii="Cambria"/>
                <w:sz w:val="22"/>
              </w:rPr>
              <w:t>sqref </w:t>
            </w:r>
            <w:r>
              <w:rPr>
                <w:sz w:val="22"/>
              </w:rPr>
              <w:t>(Sequence of Refernces)</w:t>
            </w:r>
          </w:p>
        </w:tc>
        <w:tc>
          <w:tcPr>
            <w:tcW w:w="8250" w:type="dxa"/>
          </w:tcPr>
          <w:p>
            <w:pPr>
              <w:pStyle w:val="TableParagraph"/>
              <w:rPr>
                <w:sz w:val="22"/>
              </w:rPr>
            </w:pPr>
            <w:r>
              <w:rPr>
                <w:sz w:val="22"/>
              </w:rPr>
              <w:t>Range over which these conditional formatting rules apply.</w:t>
            </w:r>
          </w:p>
          <w:p>
            <w:pPr>
              <w:pStyle w:val="TableParagraph"/>
              <w:spacing w:before="2"/>
              <w:ind w:left="0"/>
              <w:rPr>
                <w:sz w:val="22"/>
              </w:rPr>
            </w:pPr>
          </w:p>
          <w:p>
            <w:pPr>
              <w:pStyle w:val="TableParagraph"/>
              <w:spacing w:line="237" w:lineRule="auto" w:before="0"/>
              <w:ind w:right="1210"/>
              <w:rPr>
                <w:sz w:val="22"/>
              </w:rPr>
            </w:pPr>
            <w:r>
              <w:rPr>
                <w:sz w:val="22"/>
              </w:rPr>
              <w:t>The possible values for this attribute are defined by the </w:t>
            </w:r>
            <w:r>
              <w:rPr>
                <w:rFonts w:ascii="Cambria" w:hAnsi="Cambria"/>
                <w:sz w:val="22"/>
              </w:rPr>
              <w:t>ST_Sqref </w:t>
            </w:r>
            <w:r>
              <w:rPr>
                <w:sz w:val="22"/>
              </w:rPr>
              <w:t>simple type </w:t>
            </w:r>
            <w:hyperlink w:history="true" w:anchor="_bookmark898">
              <w:r>
                <w:rPr>
                  <w:sz w:val="22"/>
                </w:rPr>
                <w:t>(§18.18.76</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572"/>
      </w:pPr>
      <w:r>
        <w:rPr/>
        <w:t>[</w:t>
      </w:r>
      <w:r>
        <w:rPr>
          <w:i/>
        </w:rPr>
        <w:t>Note</w:t>
      </w:r>
      <w:r>
        <w:rPr/>
        <w:t>: The W3C XML Schema definition of this element’s content model (</w:t>
      </w:r>
      <w:r>
        <w:rPr>
          <w:color w:val="5F5F5F"/>
          <w:u w:val="single" w:color="5F5F5F"/>
        </w:rPr>
        <w:t>CT_ConditionalFormatting</w:t>
      </w:r>
      <w:r>
        <w:rPr/>
        <w:t>) is located in §A.2. </w:t>
      </w:r>
      <w:r>
        <w:rPr>
          <w:i/>
        </w:rPr>
        <w:t>end 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19 control (Embedded Control)" w:id="158"/>
      <w:bookmarkEnd w:id="158"/>
      <w:r>
        <w:rPr/>
      </w:r>
      <w:bookmarkStart w:name="_bookmark51" w:id="159"/>
      <w:bookmarkEnd w:id="159"/>
      <w:r>
        <w:rPr/>
      </w:r>
      <w:bookmarkStart w:name="_bookmark51" w:id="160"/>
      <w:bookmarkEnd w:id="160"/>
      <w:r>
        <w:rPr>
          <w:color w:val="4F81BC"/>
        </w:rPr>
        <w:t>contr</w:t>
      </w:r>
      <w:r>
        <w:rPr>
          <w:color w:val="4F81BC"/>
        </w:rPr>
        <w:t>ol (Embedded</w:t>
      </w:r>
      <w:r>
        <w:rPr>
          <w:color w:val="4F81BC"/>
          <w:spacing w:val="-3"/>
        </w:rPr>
        <w:t> </w:t>
      </w:r>
      <w:r>
        <w:rPr>
          <w:color w:val="4F81BC"/>
        </w:rPr>
        <w:t>Control)</w:t>
      </w:r>
    </w:p>
    <w:p>
      <w:pPr>
        <w:pStyle w:val="BodyText"/>
        <w:spacing w:before="122"/>
        <w:ind w:left="220"/>
      </w:pPr>
      <w:r>
        <w:rPr/>
        <w:t>A single embedded control.</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24" w:hRule="atLeast"/>
        </w:trPr>
        <w:tc>
          <w:tcPr>
            <w:tcW w:w="2062" w:type="dxa"/>
          </w:tcPr>
          <w:p>
            <w:pPr>
              <w:pStyle w:val="TableParagraph"/>
              <w:rPr>
                <w:sz w:val="22"/>
              </w:rPr>
            </w:pPr>
            <w:r>
              <w:rPr>
                <w:rFonts w:ascii="Cambria"/>
                <w:sz w:val="22"/>
              </w:rPr>
              <w:t>id </w:t>
            </w:r>
            <w:r>
              <w:rPr>
                <w:sz w:val="22"/>
              </w:rPr>
              <w:t>(Relationship Id)</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ind w:right="350"/>
              <w:rPr>
                <w:sz w:val="22"/>
              </w:rPr>
            </w:pPr>
            <w:r>
              <w:rPr>
                <w:sz w:val="22"/>
              </w:rPr>
              <w:t>This relationship ID references an Embedded Control Data part which contains control- specific properties and state information about this particular embedded control.</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159" w:hRule="atLeast"/>
        </w:trPr>
        <w:tc>
          <w:tcPr>
            <w:tcW w:w="2062" w:type="dxa"/>
          </w:tcPr>
          <w:p>
            <w:pPr>
              <w:pStyle w:val="TableParagraph"/>
              <w:ind w:right="615"/>
              <w:rPr>
                <w:sz w:val="22"/>
              </w:rPr>
            </w:pPr>
            <w:r>
              <w:rPr>
                <w:rFonts w:ascii="Cambria"/>
                <w:sz w:val="22"/>
              </w:rPr>
              <w:t>name </w:t>
            </w:r>
            <w:r>
              <w:rPr>
                <w:sz w:val="22"/>
              </w:rPr>
              <w:t>(Control Name)</w:t>
            </w:r>
          </w:p>
        </w:tc>
        <w:tc>
          <w:tcPr>
            <w:tcW w:w="8250" w:type="dxa"/>
          </w:tcPr>
          <w:p>
            <w:pPr>
              <w:pStyle w:val="TableParagraph"/>
              <w:rPr>
                <w:sz w:val="22"/>
              </w:rPr>
            </w:pPr>
            <w:r>
              <w:rPr>
                <w:sz w:val="22"/>
              </w:rPr>
              <w:t>The code name of the control.</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430" w:hRule="atLeast"/>
        </w:trPr>
        <w:tc>
          <w:tcPr>
            <w:tcW w:w="2062" w:type="dxa"/>
          </w:tcPr>
          <w:p>
            <w:pPr>
              <w:pStyle w:val="TableParagraph"/>
              <w:ind w:left="9" w:right="129"/>
              <w:jc w:val="center"/>
              <w:rPr>
                <w:sz w:val="22"/>
              </w:rPr>
            </w:pPr>
            <w:r>
              <w:rPr>
                <w:rFonts w:ascii="Cambria"/>
                <w:sz w:val="22"/>
              </w:rPr>
              <w:t>shapeId </w:t>
            </w:r>
            <w:r>
              <w:rPr>
                <w:sz w:val="22"/>
              </w:rPr>
              <w:t>(Shape Id)</w:t>
            </w:r>
          </w:p>
        </w:tc>
        <w:tc>
          <w:tcPr>
            <w:tcW w:w="8250" w:type="dxa"/>
          </w:tcPr>
          <w:p>
            <w:pPr>
              <w:pStyle w:val="TableParagraph"/>
              <w:ind w:right="206"/>
              <w:rPr>
                <w:sz w:val="22"/>
              </w:rPr>
            </w:pPr>
            <w:r>
              <w:rPr>
                <w:sz w:val="22"/>
              </w:rPr>
              <w:t>ID of the drawing shape in the DrawingML part with which this control is associated. The drawing is used to draw the control in the sheet.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8" w:lineRule="auto"/>
        <w:ind w:left="220" w:right="819"/>
      </w:pPr>
      <w:r>
        <w:rPr/>
        <w:t>[</w:t>
      </w:r>
      <w:r>
        <w:rPr>
          <w:i/>
        </w:rPr>
        <w:t>Note</w:t>
      </w:r>
      <w:r>
        <w:rPr/>
        <w:t>: The W3C XML Schema definition of this element’s content model (</w:t>
      </w:r>
      <w:r>
        <w:rPr>
          <w:color w:val="5F5F5F"/>
          <w:u w:val="single" w:color="5F5F5F"/>
        </w:rPr>
        <w:t>CT_Control</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20 controlPr (Embedded Control Pr" w:id="161"/>
      <w:bookmarkEnd w:id="161"/>
      <w:r>
        <w:rPr/>
      </w:r>
      <w:bookmarkStart w:name="_bookmark52" w:id="162"/>
      <w:bookmarkEnd w:id="162"/>
      <w:r>
        <w:rPr/>
      </w:r>
      <w:bookmarkStart w:name="_bookmark52" w:id="163"/>
      <w:bookmarkEnd w:id="163"/>
      <w:r>
        <w:rPr>
          <w:color w:val="4F81BC"/>
        </w:rPr>
        <w:t>contr</w:t>
      </w:r>
      <w:r>
        <w:rPr>
          <w:color w:val="4F81BC"/>
        </w:rPr>
        <w:t>olPr (Embedded Control</w:t>
      </w:r>
      <w:r>
        <w:rPr>
          <w:color w:val="4F81BC"/>
          <w:spacing w:val="-1"/>
        </w:rPr>
        <w:t> </w:t>
      </w:r>
      <w:r>
        <w:rPr>
          <w:color w:val="4F81BC"/>
        </w:rPr>
        <w:t>Properties)</w:t>
      </w:r>
    </w:p>
    <w:p>
      <w:pPr>
        <w:pStyle w:val="BodyText"/>
        <w:spacing w:before="121"/>
        <w:ind w:left="220"/>
      </w:pPr>
      <w:r>
        <w:rPr/>
        <w:t>This element specifies the visual, positional and cell linkage properties of an embedded control.</w:t>
      </w:r>
    </w:p>
    <w:p>
      <w:pPr>
        <w:pStyle w:val="BodyText"/>
        <w:spacing w:before="6"/>
        <w:rPr>
          <w:sz w:val="19"/>
        </w:rPr>
      </w:pPr>
    </w:p>
    <w:p>
      <w:pPr>
        <w:pStyle w:val="BodyText"/>
        <w:spacing w:line="278" w:lineRule="auto"/>
        <w:ind w:left="220" w:right="971"/>
      </w:pPr>
      <w:r>
        <w:rPr/>
        <w:t>[</w:t>
      </w:r>
      <w:r>
        <w:rPr>
          <w:i/>
        </w:rPr>
        <w:t>Example</w:t>
      </w:r>
      <w:r>
        <w:rPr/>
        <w:t>: The following example demonstrates an non-printing embedded control linked to cell A4 that is represented as an image:</w:t>
      </w:r>
    </w:p>
    <w:p>
      <w:pPr>
        <w:pStyle w:val="BodyText"/>
        <w:spacing w:before="197"/>
        <w:ind w:left="508"/>
        <w:rPr>
          <w:rFonts w:ascii="Consolas"/>
        </w:rPr>
      </w:pPr>
      <w:r>
        <w:rPr>
          <w:rFonts w:ascii="Consolas"/>
        </w:rPr>
        <w:t>&lt;controls&gt;</w:t>
      </w:r>
    </w:p>
    <w:p>
      <w:pPr>
        <w:pStyle w:val="BodyText"/>
        <w:spacing w:before="38"/>
        <w:ind w:left="750"/>
        <w:rPr>
          <w:rFonts w:ascii="Consolas" w:hAnsi="Consolas"/>
        </w:rPr>
      </w:pPr>
      <w:r>
        <w:rPr>
          <w:rFonts w:ascii="Consolas" w:hAnsi="Consolas"/>
        </w:rPr>
        <w:t>&lt;control … &gt;</w:t>
      </w:r>
    </w:p>
    <w:p>
      <w:pPr>
        <w:spacing w:after="0"/>
        <w:rPr>
          <w:rFonts w:ascii="Consolas" w:hAnsi="Consolas"/>
        </w:rPr>
        <w:sectPr>
          <w:pgSz w:w="12240" w:h="15840"/>
          <w:pgMar w:header="761" w:footer="746" w:top="1340" w:bottom="940" w:left="860" w:right="700"/>
        </w:sectPr>
      </w:pPr>
    </w:p>
    <w:p>
      <w:pPr>
        <w:pStyle w:val="BodyText"/>
        <w:spacing w:line="276" w:lineRule="auto" w:before="150"/>
        <w:ind w:left="508" w:firstLine="484"/>
        <w:rPr>
          <w:rFonts w:ascii="Consolas"/>
        </w:rPr>
      </w:pPr>
      <w:r>
        <w:rPr>
          <w:rFonts w:ascii="Consolas"/>
        </w:rPr>
        <w:t>&lt;controlPr print="false" autoLine="false" linkedCell="$A$4" cf="pict" r:id="rId5"&gt;</w:t>
      </w:r>
    </w:p>
    <w:p>
      <w:pPr>
        <w:pStyle w:val="BodyText"/>
        <w:spacing w:before="1"/>
        <w:ind w:left="1235"/>
        <w:rPr>
          <w:rFonts w:ascii="Consolas"/>
        </w:rPr>
      </w:pPr>
      <w:r>
        <w:rPr>
          <w:rFonts w:ascii="Consolas"/>
        </w:rPr>
        <w:t>&lt;anchor sizeWithCells="true"&gt;</w:t>
      </w:r>
    </w:p>
    <w:p>
      <w:pPr>
        <w:pStyle w:val="BodyText"/>
        <w:spacing w:before="37"/>
        <w:ind w:left="1478"/>
        <w:rPr>
          <w:rFonts w:ascii="Consolas" w:hAnsi="Consolas"/>
        </w:rPr>
      </w:pPr>
      <w:r>
        <w:rPr>
          <w:rFonts w:ascii="Consolas" w:hAnsi="Consolas"/>
        </w:rPr>
        <w:t>&lt;from&gt; … &lt;/from&gt;</w:t>
      </w:r>
    </w:p>
    <w:p>
      <w:pPr>
        <w:pStyle w:val="BodyText"/>
        <w:spacing w:before="40"/>
        <w:ind w:left="1478"/>
        <w:rPr>
          <w:rFonts w:ascii="Consolas" w:hAnsi="Consolas"/>
        </w:rPr>
      </w:pPr>
      <w:r>
        <w:rPr>
          <w:rFonts w:ascii="Consolas" w:hAnsi="Consolas"/>
        </w:rPr>
        <w:t>&lt;to&gt; … &lt;/to&gt;</w:t>
      </w:r>
    </w:p>
    <w:p>
      <w:pPr>
        <w:pStyle w:val="BodyText"/>
        <w:spacing w:before="38"/>
        <w:ind w:left="1235"/>
        <w:rPr>
          <w:rFonts w:ascii="Consolas"/>
        </w:rPr>
      </w:pPr>
      <w:r>
        <w:rPr>
          <w:rFonts w:ascii="Consolas"/>
        </w:rPr>
        <w:t>&lt;/anchor&gt;</w:t>
      </w:r>
    </w:p>
    <w:p>
      <w:pPr>
        <w:pStyle w:val="BodyText"/>
        <w:spacing w:before="40"/>
        <w:ind w:left="993"/>
        <w:rPr>
          <w:rFonts w:ascii="Consolas"/>
        </w:rPr>
      </w:pPr>
      <w:r>
        <w:rPr>
          <w:rFonts w:ascii="Consolas"/>
        </w:rPr>
        <w:t>&lt;/controlPr&gt;</w:t>
      </w:r>
    </w:p>
    <w:p>
      <w:pPr>
        <w:pStyle w:val="BodyText"/>
        <w:spacing w:before="38"/>
        <w:ind w:left="750"/>
        <w:rPr>
          <w:rFonts w:ascii="Consolas"/>
        </w:rPr>
      </w:pPr>
      <w:r>
        <w:rPr>
          <w:rFonts w:ascii="Consolas"/>
        </w:rPr>
        <w:t>&lt;/control&gt;</w:t>
      </w:r>
    </w:p>
    <w:p>
      <w:pPr>
        <w:pStyle w:val="BodyText"/>
        <w:spacing w:before="37"/>
        <w:ind w:left="508"/>
        <w:rPr>
          <w:rFonts w:ascii="Consolas"/>
        </w:rPr>
      </w:pPr>
      <w:r>
        <w:rPr>
          <w:rFonts w:ascii="Consolas"/>
        </w:rPr>
        <w:t>&lt;/controls&gt;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59" w:hRule="atLeast"/>
        </w:trPr>
        <w:tc>
          <w:tcPr>
            <w:tcW w:w="2062" w:type="dxa"/>
          </w:tcPr>
          <w:p>
            <w:pPr>
              <w:pStyle w:val="TableParagraph"/>
              <w:ind w:right="150"/>
              <w:rPr>
                <w:sz w:val="22"/>
              </w:rPr>
            </w:pPr>
            <w:r>
              <w:rPr>
                <w:rFonts w:ascii="Cambria"/>
                <w:sz w:val="22"/>
              </w:rPr>
              <w:t>altText </w:t>
            </w:r>
            <w:r>
              <w:rPr>
                <w:sz w:val="22"/>
              </w:rPr>
              <w:t>(Alternative Text)</w:t>
            </w:r>
          </w:p>
        </w:tc>
        <w:tc>
          <w:tcPr>
            <w:tcW w:w="8250" w:type="dxa"/>
          </w:tcPr>
          <w:p>
            <w:pPr>
              <w:pStyle w:val="TableParagraph"/>
              <w:spacing w:line="480" w:lineRule="auto"/>
              <w:ind w:right="231"/>
              <w:rPr>
                <w:sz w:val="22"/>
              </w:rPr>
            </w:pPr>
            <w:r>
              <w:rPr>
                <w:sz w:val="22"/>
              </w:rPr>
              <w:t>Specifies alternative text for the object, for use by assistive technologies or applications.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&lt;controlPr altText="Alternate text" … /&gt;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762" w:hRule="atLeast"/>
        </w:trPr>
        <w:tc>
          <w:tcPr>
            <w:tcW w:w="2062" w:type="dxa"/>
          </w:tcPr>
          <w:p>
            <w:pPr>
              <w:pStyle w:val="TableParagraph"/>
              <w:spacing w:line="237" w:lineRule="auto" w:before="44"/>
              <w:ind w:right="152"/>
              <w:rPr>
                <w:sz w:val="22"/>
              </w:rPr>
            </w:pPr>
            <w:r>
              <w:rPr>
                <w:rFonts w:ascii="Cambria"/>
                <w:sz w:val="22"/>
              </w:rPr>
              <w:t>autoFill </w:t>
            </w:r>
            <w:r>
              <w:rPr>
                <w:sz w:val="22"/>
              </w:rPr>
              <w:t>(Automatic Fill Flag)</w:t>
            </w:r>
          </w:p>
        </w:tc>
        <w:tc>
          <w:tcPr>
            <w:tcW w:w="8250" w:type="dxa"/>
          </w:tcPr>
          <w:p>
            <w:pPr>
              <w:pStyle w:val="TableParagraph"/>
              <w:spacing w:before="42"/>
              <w:rPr>
                <w:sz w:val="22"/>
              </w:rPr>
            </w:pPr>
            <w:r>
              <w:rPr>
                <w:sz w:val="22"/>
              </w:rPr>
              <w:t>Specifies whether the object’s fill formatting is provided automatically by the application.</w:t>
            </w:r>
          </w:p>
          <w:p>
            <w:pPr>
              <w:pStyle w:val="TableParagraph"/>
              <w:spacing w:before="11"/>
              <w:ind w:left="0"/>
              <w:rPr>
                <w:sz w:val="21"/>
              </w:rPr>
            </w:pPr>
          </w:p>
          <w:p>
            <w:pPr>
              <w:pStyle w:val="TableParagraph"/>
              <w:spacing w:before="0"/>
              <w:rPr>
                <w:sz w:val="22"/>
              </w:rPr>
            </w:pPr>
            <w:r>
              <w:rPr>
                <w:sz w:val="22"/>
              </w:rPr>
              <w:t>[</w:t>
            </w:r>
            <w:r>
              <w:rPr>
                <w:i/>
                <w:sz w:val="22"/>
              </w:rPr>
              <w:t>Example</w:t>
            </w:r>
            <w:r>
              <w:rPr>
                <w:sz w:val="22"/>
              </w:rPr>
              <w:t>:</w:t>
            </w:r>
          </w:p>
          <w:p>
            <w:pPr>
              <w:pStyle w:val="TableParagraph"/>
              <w:spacing w:before="2"/>
              <w:ind w:left="0"/>
              <w:rPr>
                <w:sz w:val="22"/>
              </w:rPr>
            </w:pPr>
          </w:p>
          <w:p>
            <w:pPr>
              <w:pStyle w:val="TableParagraph"/>
              <w:spacing w:before="1"/>
              <w:ind w:left="403"/>
              <w:rPr>
                <w:rFonts w:ascii="Consolas" w:hAnsi="Consolas"/>
                <w:sz w:val="22"/>
              </w:rPr>
            </w:pPr>
            <w:r>
              <w:rPr>
                <w:rFonts w:ascii="Consolas" w:hAnsi="Consolas"/>
                <w:sz w:val="22"/>
              </w:rPr>
              <w:t>&lt;controlPr autoFill="false" … /&gt;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29" w:hRule="atLeast"/>
        </w:trPr>
        <w:tc>
          <w:tcPr>
            <w:tcW w:w="2062" w:type="dxa"/>
          </w:tcPr>
          <w:p>
            <w:pPr>
              <w:pStyle w:val="TableParagraph"/>
              <w:spacing w:line="237" w:lineRule="auto" w:before="45"/>
              <w:ind w:right="501"/>
              <w:rPr>
                <w:sz w:val="22"/>
              </w:rPr>
            </w:pPr>
            <w:r>
              <w:rPr>
                <w:rFonts w:ascii="Cambria"/>
                <w:sz w:val="22"/>
              </w:rPr>
              <w:t>autoLine </w:t>
            </w:r>
            <w:r>
              <w:rPr>
                <w:sz w:val="22"/>
              </w:rPr>
              <w:t>(Automatic Line Flag)</w:t>
            </w:r>
          </w:p>
        </w:tc>
        <w:tc>
          <w:tcPr>
            <w:tcW w:w="8250" w:type="dxa"/>
          </w:tcPr>
          <w:p>
            <w:pPr>
              <w:pStyle w:val="TableParagraph"/>
              <w:rPr>
                <w:sz w:val="22"/>
              </w:rPr>
            </w:pPr>
            <w:r>
              <w:rPr>
                <w:sz w:val="22"/>
              </w:rPr>
              <w:t>Specifies whether the object’s line formatting is provided automatically by the</w:t>
            </w:r>
          </w:p>
          <w:p>
            <w:pPr>
              <w:pStyle w:val="TableParagraph"/>
              <w:spacing w:line="480" w:lineRule="auto" w:before="0"/>
              <w:ind w:right="7057"/>
              <w:rPr>
                <w:sz w:val="22"/>
              </w:rPr>
            </w:pPr>
            <w:r>
              <w:rPr>
                <w:sz w:val="22"/>
              </w:rPr>
              <w:t>application. [</w:t>
            </w:r>
            <w:r>
              <w:rPr>
                <w:i/>
                <w:sz w:val="22"/>
              </w:rPr>
              <w:t>Example</w:t>
            </w:r>
            <w:r>
              <w:rPr>
                <w:sz w:val="22"/>
              </w:rPr>
              <w:t>:</w:t>
            </w:r>
          </w:p>
          <w:p>
            <w:pPr>
              <w:pStyle w:val="TableParagraph"/>
              <w:spacing w:before="1"/>
              <w:ind w:left="403"/>
              <w:rPr>
                <w:rFonts w:ascii="Consolas" w:hAnsi="Consolas"/>
                <w:sz w:val="22"/>
              </w:rPr>
            </w:pPr>
            <w:r>
              <w:rPr>
                <w:rFonts w:ascii="Consolas" w:hAnsi="Consolas"/>
                <w:sz w:val="22"/>
              </w:rPr>
              <w:t>&lt;controlPr autoLine="false" … /&gt;</w:t>
            </w:r>
          </w:p>
          <w:p>
            <w:pPr>
              <w:pStyle w:val="TableParagraph"/>
              <w:spacing w:before="0"/>
              <w:ind w:left="0"/>
              <w:rPr>
                <w:sz w:val="22"/>
              </w:rPr>
            </w:pPr>
          </w:p>
          <w:p>
            <w:pPr>
              <w:pStyle w:val="TableParagraph"/>
              <w:spacing w:before="0"/>
              <w:rPr>
                <w:sz w:val="22"/>
              </w:rPr>
            </w:pPr>
            <w:r>
              <w:rPr>
                <w:i/>
                <w:sz w:val="22"/>
              </w:rPr>
              <w:t>end example</w:t>
            </w:r>
            <w:r>
              <w:rPr>
                <w:sz w:val="22"/>
              </w:rPr>
              <w: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ind w:left="94" w:right="90"/>
              <w:jc w:val="center"/>
              <w:rPr>
                <w:sz w:val="22"/>
              </w:rPr>
            </w:pPr>
            <w:r>
              <w:rPr>
                <w:rFonts w:ascii="Cambria"/>
                <w:sz w:val="22"/>
              </w:rPr>
              <w:t>autoPict </w:t>
            </w:r>
            <w:r>
              <w:rPr>
                <w:sz w:val="22"/>
              </w:rPr>
              <w:t>(Automatic</w:t>
            </w:r>
          </w:p>
        </w:tc>
        <w:tc>
          <w:tcPr>
            <w:tcW w:w="8250" w:type="dxa"/>
          </w:tcPr>
          <w:p>
            <w:pPr>
              <w:pStyle w:val="TableParagraph"/>
              <w:rPr>
                <w:sz w:val="22"/>
              </w:rPr>
            </w:pPr>
            <w:r>
              <w:rPr>
                <w:sz w:val="22"/>
              </w:rPr>
              <w:t>Specifies whether the object’s size is formatted automatically by the application.</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490" w:hRule="atLeast"/>
        </w:trPr>
        <w:tc>
          <w:tcPr>
            <w:tcW w:w="2062" w:type="dxa"/>
          </w:tcPr>
          <w:p>
            <w:pPr>
              <w:pStyle w:val="TableParagraph"/>
              <w:rPr>
                <w:sz w:val="22"/>
              </w:rPr>
            </w:pPr>
            <w:r>
              <w:rPr>
                <w:sz w:val="22"/>
              </w:rPr>
              <w:t>Size Flag)</w:t>
            </w:r>
          </w:p>
        </w:tc>
        <w:tc>
          <w:tcPr>
            <w:tcW w:w="8250" w:type="dxa"/>
          </w:tcPr>
          <w:p>
            <w:pPr>
              <w:pStyle w:val="TableParagraph"/>
              <w:spacing w:before="9"/>
              <w:ind w:left="0"/>
              <w:rPr>
                <w:rFonts w:ascii="Times New Roman"/>
                <w:sz w:val="26"/>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&lt;controlPr autoPict="false" … /&gt;</w:t>
            </w:r>
          </w:p>
          <w:p>
            <w:pPr>
              <w:pStyle w:val="TableParagraph"/>
              <w:spacing w:before="1"/>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62" w:hRule="atLeast"/>
        </w:trPr>
        <w:tc>
          <w:tcPr>
            <w:tcW w:w="2062" w:type="dxa"/>
          </w:tcPr>
          <w:p>
            <w:pPr>
              <w:pStyle w:val="TableParagraph"/>
              <w:rPr>
                <w:sz w:val="22"/>
              </w:rPr>
            </w:pPr>
            <w:r>
              <w:rPr>
                <w:rFonts w:ascii="Cambria"/>
                <w:sz w:val="22"/>
              </w:rPr>
              <w:t>cf </w:t>
            </w:r>
            <w:r>
              <w:rPr>
                <w:sz w:val="22"/>
              </w:rPr>
              <w:t>(Image Format)</w:t>
            </w:r>
          </w:p>
        </w:tc>
        <w:tc>
          <w:tcPr>
            <w:tcW w:w="8250" w:type="dxa"/>
          </w:tcPr>
          <w:p>
            <w:pPr>
              <w:pStyle w:val="TableParagraph"/>
              <w:spacing w:line="480" w:lineRule="auto"/>
              <w:ind w:right="3331"/>
              <w:rPr>
                <w:sz w:val="22"/>
              </w:rPr>
            </w:pPr>
            <w:r>
              <w:rPr>
                <w:sz w:val="22"/>
              </w:rPr>
              <w:t>Specifies the image format used to render the object.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&lt;controlPr cf="pict" … /&gt;</w:t>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759" w:hRule="atLeast"/>
        </w:trPr>
        <w:tc>
          <w:tcPr>
            <w:tcW w:w="2062" w:type="dxa"/>
          </w:tcPr>
          <w:p>
            <w:pPr>
              <w:pStyle w:val="TableParagraph"/>
              <w:ind w:right="108"/>
              <w:rPr>
                <w:sz w:val="22"/>
              </w:rPr>
            </w:pPr>
            <w:r>
              <w:rPr>
                <w:rFonts w:ascii="Cambria"/>
                <w:sz w:val="22"/>
              </w:rPr>
              <w:t>defaultSize </w:t>
            </w:r>
            <w:r>
              <w:rPr>
                <w:sz w:val="22"/>
              </w:rPr>
              <w:t>(Default Size Flag)</w:t>
            </w:r>
          </w:p>
        </w:tc>
        <w:tc>
          <w:tcPr>
            <w:tcW w:w="8250" w:type="dxa"/>
          </w:tcPr>
          <w:p>
            <w:pPr>
              <w:pStyle w:val="TableParagraph"/>
              <w:spacing w:line="480" w:lineRule="auto"/>
              <w:ind w:right="3755"/>
              <w:rPr>
                <w:sz w:val="22"/>
              </w:rPr>
            </w:pPr>
            <w:r>
              <w:rPr>
                <w:sz w:val="22"/>
              </w:rPr>
              <w:t>Specifies whether the object is at its default size. [</w:t>
            </w:r>
            <w:r>
              <w:rPr>
                <w:i/>
                <w:sz w:val="22"/>
              </w:rPr>
              <w:t>Example</w:t>
            </w:r>
            <w:r>
              <w:rPr>
                <w:sz w:val="22"/>
              </w:rPr>
              <w:t>:</w:t>
            </w:r>
          </w:p>
          <w:p>
            <w:pPr>
              <w:pStyle w:val="TableParagraph"/>
              <w:spacing w:before="0"/>
              <w:ind w:left="403"/>
              <w:rPr>
                <w:rFonts w:ascii="Consolas" w:hAnsi="Consolas"/>
                <w:sz w:val="22"/>
              </w:rPr>
            </w:pPr>
            <w:r>
              <w:rPr>
                <w:rFonts w:ascii="Consolas" w:hAnsi="Consolas"/>
                <w:sz w:val="22"/>
              </w:rPr>
              <w:t>&lt;controlPr defaultSize="false" … /&gt;</w:t>
            </w:r>
          </w:p>
          <w:p>
            <w:pPr>
              <w:pStyle w:val="TableParagraph"/>
              <w:spacing w:before="4"/>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762" w:hRule="atLeast"/>
        </w:trPr>
        <w:tc>
          <w:tcPr>
            <w:tcW w:w="2062" w:type="dxa"/>
          </w:tcPr>
          <w:p>
            <w:pPr>
              <w:pStyle w:val="TableParagraph"/>
              <w:ind w:right="238"/>
              <w:rPr>
                <w:sz w:val="22"/>
              </w:rPr>
            </w:pPr>
            <w:r>
              <w:rPr>
                <w:rFonts w:ascii="Cambria"/>
                <w:sz w:val="22"/>
              </w:rPr>
              <w:t>disabled </w:t>
            </w:r>
            <w:r>
              <w:rPr>
                <w:sz w:val="22"/>
              </w:rPr>
              <w:t>(Disabled Flag)</w:t>
            </w:r>
          </w:p>
        </w:tc>
        <w:tc>
          <w:tcPr>
            <w:tcW w:w="8250" w:type="dxa"/>
          </w:tcPr>
          <w:p>
            <w:pPr>
              <w:pStyle w:val="TableParagraph"/>
              <w:spacing w:line="480" w:lineRule="auto"/>
              <w:ind w:right="2233"/>
              <w:rPr>
                <w:sz w:val="22"/>
              </w:rPr>
            </w:pPr>
            <w:r>
              <w:rPr>
                <w:sz w:val="22"/>
              </w:rPr>
              <w:t>Specifies whether the object is allowed to run an attached macro.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&lt;controlPr disabled="true"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28" w:hRule="atLeast"/>
        </w:trPr>
        <w:tc>
          <w:tcPr>
            <w:tcW w:w="2062" w:type="dxa"/>
            <w:tcBorders>
              <w:bottom w:val="nil"/>
            </w:tcBorders>
          </w:tcPr>
          <w:p>
            <w:pPr>
              <w:pStyle w:val="TableParagraph"/>
              <w:rPr>
                <w:sz w:val="22"/>
              </w:rPr>
            </w:pPr>
            <w:r>
              <w:rPr>
                <w:rFonts w:ascii="Cambria"/>
                <w:sz w:val="22"/>
              </w:rPr>
              <w:t>id </w:t>
            </w:r>
            <w:r>
              <w:rPr>
                <w:sz w:val="22"/>
              </w:rPr>
              <w:t>(Relationship ID</w:t>
            </w:r>
          </w:p>
        </w:tc>
        <w:tc>
          <w:tcPr>
            <w:tcW w:w="8250" w:type="dxa"/>
            <w:tcBorders>
              <w:bottom w:val="nil"/>
            </w:tcBorders>
          </w:tcPr>
          <w:p>
            <w:pPr>
              <w:pStyle w:val="TableParagraph"/>
              <w:rPr>
                <w:sz w:val="22"/>
              </w:rPr>
            </w:pPr>
            <w:r>
              <w:rPr>
                <w:sz w:val="22"/>
              </w:rPr>
              <w:t>Specifies the relationship ID for the relationship which contains the properties for this</w:t>
            </w:r>
          </w:p>
        </w:tc>
      </w:tr>
      <w:tr>
        <w:trPr>
          <w:trHeight w:val="268" w:hRule="atLeast"/>
        </w:trPr>
        <w:tc>
          <w:tcPr>
            <w:tcW w:w="2062" w:type="dxa"/>
            <w:tcBorders>
              <w:top w:val="nil"/>
              <w:bottom w:val="nil"/>
            </w:tcBorders>
          </w:tcPr>
          <w:p>
            <w:pPr>
              <w:pStyle w:val="TableParagraph"/>
              <w:spacing w:line="249" w:lineRule="exact" w:before="0"/>
              <w:rPr>
                <w:sz w:val="22"/>
              </w:rPr>
            </w:pPr>
            <w:r>
              <w:rPr>
                <w:sz w:val="22"/>
              </w:rPr>
              <w:t>for Embedded</w:t>
            </w:r>
          </w:p>
        </w:tc>
        <w:tc>
          <w:tcPr>
            <w:tcW w:w="8250" w:type="dxa"/>
            <w:tcBorders>
              <w:top w:val="nil"/>
              <w:bottom w:val="nil"/>
            </w:tcBorders>
          </w:tcPr>
          <w:p>
            <w:pPr>
              <w:pStyle w:val="TableParagraph"/>
              <w:spacing w:line="249" w:lineRule="exact" w:before="0"/>
              <w:rPr>
                <w:sz w:val="22"/>
              </w:rPr>
            </w:pPr>
            <w:r>
              <w:rPr>
                <w:sz w:val="22"/>
              </w:rPr>
              <w:t>embedded control. This property bag is contained in a separate part within the package.</w:t>
            </w:r>
          </w:p>
        </w:tc>
      </w:tr>
      <w:tr>
        <w:trPr>
          <w:trHeight w:val="267" w:hRule="atLeast"/>
        </w:trPr>
        <w:tc>
          <w:tcPr>
            <w:tcW w:w="2062" w:type="dxa"/>
            <w:tcBorders>
              <w:top w:val="nil"/>
              <w:bottom w:val="nil"/>
            </w:tcBorders>
          </w:tcPr>
          <w:p>
            <w:pPr>
              <w:pStyle w:val="TableParagraph"/>
              <w:spacing w:line="248" w:lineRule="exact" w:before="0"/>
              <w:rPr>
                <w:sz w:val="22"/>
              </w:rPr>
            </w:pPr>
            <w:r>
              <w:rPr>
                <w:sz w:val="22"/>
              </w:rPr>
              <w:t>Control Properties)</w:t>
            </w:r>
          </w:p>
        </w:tc>
        <w:tc>
          <w:tcPr>
            <w:tcW w:w="8250" w:type="dxa"/>
            <w:tcBorders>
              <w:top w:val="nil"/>
              <w:bottom w:val="nil"/>
            </w:tcBorders>
          </w:tcPr>
          <w:p>
            <w:pPr>
              <w:pStyle w:val="TableParagraph"/>
              <w:spacing w:before="0"/>
              <w:ind w:left="0"/>
              <w:rPr>
                <w:rFonts w:ascii="Times New Roman"/>
                <w:sz w:val="18"/>
              </w:rPr>
            </w:pPr>
          </w:p>
        </w:tc>
      </w:tr>
      <w:tr>
        <w:trPr>
          <w:trHeight w:val="267"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7" w:lineRule="exact" w:before="0"/>
              <w:rPr>
                <w:sz w:val="22"/>
              </w:rPr>
            </w:pPr>
            <w:r>
              <w:rPr>
                <w:sz w:val="22"/>
              </w:rPr>
              <w:t>The relationship explicitly targeted by this attribute shall be of relationship type</w:t>
            </w:r>
          </w:p>
        </w:tc>
      </w:tr>
      <w:tr>
        <w:trPr>
          <w:trHeight w:val="563" w:hRule="atLeast"/>
        </w:trPr>
        <w:tc>
          <w:tcPr>
            <w:tcW w:w="2062" w:type="dxa"/>
            <w:tcBorders>
              <w:top w:val="nil"/>
            </w:tcBorders>
          </w:tcPr>
          <w:p>
            <w:pPr>
              <w:pStyle w:val="TableParagraph"/>
              <w:spacing w:line="249" w:lineRule="exact" w:before="0"/>
              <w:rPr>
                <w:sz w:val="22"/>
              </w:rPr>
            </w:pPr>
            <w:r>
              <w:rPr>
                <w:sz w:val="22"/>
              </w:rPr>
              <w:t>Namespace:</w:t>
            </w:r>
          </w:p>
          <w:p>
            <w:pPr>
              <w:pStyle w:val="TableParagraph"/>
              <w:spacing w:before="3"/>
              <w:rPr>
                <w:rFonts w:ascii="Cambria"/>
                <w:sz w:val="22"/>
              </w:rPr>
            </w:pPr>
            <w:hyperlink r:id="rId18">
              <w:r>
                <w:rPr>
                  <w:rFonts w:ascii="Cambria"/>
                  <w:sz w:val="22"/>
                </w:rPr>
                <w:t>http://purl.oclc.or</w:t>
              </w:r>
            </w:hyperlink>
          </w:p>
        </w:tc>
        <w:tc>
          <w:tcPr>
            <w:tcW w:w="8250" w:type="dxa"/>
            <w:tcBorders>
              <w:top w:val="nil"/>
            </w:tcBorders>
          </w:tcPr>
          <w:p>
            <w:pPr>
              <w:pStyle w:val="TableParagraph"/>
              <w:spacing w:line="249" w:lineRule="exact" w:before="0"/>
              <w:rPr>
                <w:sz w:val="22"/>
              </w:rPr>
            </w:pPr>
            <w:hyperlink r:id="rId30">
              <w:r>
                <w:rPr>
                  <w:sz w:val="22"/>
                </w:rPr>
                <w:t>http://purl.oclc.org/ooxml/officeDocument/relationships/control </w:t>
              </w:r>
            </w:hyperlink>
            <w:r>
              <w:rPr>
                <w:sz w:val="22"/>
              </w:rPr>
              <w:t>or the document shall</w:t>
            </w:r>
          </w:p>
          <w:p>
            <w:pPr>
              <w:pStyle w:val="TableParagraph"/>
              <w:spacing w:before="0"/>
              <w:rPr>
                <w:sz w:val="22"/>
              </w:rPr>
            </w:pPr>
            <w:r>
              <w:rPr>
                <w:sz w:val="22"/>
              </w:rPr>
              <w:t>be conisdered non-conformant.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617" w:hRule="atLeast"/>
        </w:trPr>
        <w:tc>
          <w:tcPr>
            <w:tcW w:w="2062" w:type="dxa"/>
          </w:tcPr>
          <w:p>
            <w:pPr>
              <w:pStyle w:val="TableParagraph"/>
              <w:spacing w:before="42"/>
              <w:ind w:right="153"/>
              <w:jc w:val="both"/>
              <w:rPr>
                <w:rFonts w:ascii="Cambria"/>
                <w:sz w:val="22"/>
              </w:rPr>
            </w:pPr>
            <w:r>
              <w:rPr>
                <w:rFonts w:ascii="Cambria"/>
                <w:sz w:val="22"/>
              </w:rPr>
              <w:t>g/ooxml/officeDoc ument/relationshi ps</w:t>
            </w:r>
          </w:p>
        </w:tc>
        <w:tc>
          <w:tcPr>
            <w:tcW w:w="8250" w:type="dxa"/>
          </w:tcPr>
          <w:p>
            <w:pPr>
              <w:pStyle w:val="TableParagraph"/>
              <w:spacing w:before="9"/>
              <w:ind w:left="0"/>
              <w:rPr>
                <w:rFonts w:ascii="Times New Roman"/>
                <w:sz w:val="26"/>
              </w:rPr>
            </w:pPr>
          </w:p>
          <w:p>
            <w:pPr>
              <w:pStyle w:val="TableParagraph"/>
              <w:spacing w:before="0"/>
              <w:ind w:right="487"/>
              <w:rPr>
                <w:sz w:val="22"/>
              </w:rPr>
            </w:pPr>
            <w:r>
              <w:rPr>
                <w:sz w:val="22"/>
              </w:rPr>
              <w:t>If this attribute is omitted, then the embedded control shall be given no property bag when instantiated.</w:t>
            </w:r>
          </w:p>
          <w:p>
            <w:pPr>
              <w:pStyle w:val="TableParagraph"/>
              <w:spacing w:before="3"/>
              <w:ind w:left="0"/>
              <w:rPr>
                <w:rFonts w:ascii="Times New Roman"/>
                <w:sz w:val="23"/>
              </w:rPr>
            </w:pPr>
          </w:p>
          <w:p>
            <w:pPr>
              <w:pStyle w:val="TableParagraph"/>
              <w:spacing w:before="0"/>
              <w:ind w:right="128"/>
              <w:rPr>
                <w:sz w:val="22"/>
              </w:rPr>
            </w:pPr>
            <w:r>
              <w:rPr>
                <w:sz w:val="22"/>
              </w:rPr>
              <w:t>[</w:t>
            </w:r>
            <w:r>
              <w:rPr>
                <w:i/>
                <w:sz w:val="22"/>
              </w:rPr>
              <w:t>Example</w:t>
            </w:r>
            <w:r>
              <w:rPr>
                <w:sz w:val="22"/>
              </w:rPr>
              <w:t>: Consider the following WordprocessingML markup for an embedded control in a document:</w:t>
            </w:r>
          </w:p>
          <w:p>
            <w:pPr>
              <w:pStyle w:val="TableParagraph"/>
              <w:spacing w:before="7"/>
              <w:ind w:left="0"/>
              <w:rPr>
                <w:rFonts w:ascii="Times New Roman"/>
                <w:sz w:val="23"/>
              </w:rPr>
            </w:pPr>
          </w:p>
          <w:p>
            <w:pPr>
              <w:pStyle w:val="TableParagraph"/>
              <w:spacing w:before="0"/>
              <w:ind w:left="403" w:right="680"/>
              <w:rPr>
                <w:rFonts w:ascii="Consolas"/>
                <w:sz w:val="22"/>
              </w:rPr>
            </w:pPr>
            <w:r>
              <w:rPr>
                <w:rFonts w:ascii="Consolas"/>
                <w:sz w:val="22"/>
              </w:rPr>
              <w:t>&lt;w:control r:id="rId5" w:id="CheckBox1" w:name="CheckBox1" w:shapeid="_x0000_s1027" w:class="shape" w:w="145" w:h="28" w:align="left" /&gt;</w:t>
            </w:r>
          </w:p>
          <w:p>
            <w:pPr>
              <w:pStyle w:val="TableParagraph"/>
              <w:spacing w:before="2"/>
              <w:ind w:left="0"/>
              <w:rPr>
                <w:rFonts w:ascii="Times New Roman"/>
                <w:sz w:val="23"/>
              </w:rPr>
            </w:pPr>
          </w:p>
          <w:p>
            <w:pPr>
              <w:pStyle w:val="TableParagraph"/>
              <w:spacing w:before="0"/>
              <w:rPr>
                <w:sz w:val="22"/>
              </w:rPr>
            </w:pPr>
            <w:r>
              <w:rPr>
                <w:sz w:val="22"/>
              </w:rPr>
              <w:t>The </w:t>
            </w:r>
            <w:r>
              <w:rPr>
                <w:rFonts w:ascii="Cambria"/>
                <w:sz w:val="22"/>
              </w:rPr>
              <w:t>id </w:t>
            </w:r>
            <w:r>
              <w:rPr>
                <w:sz w:val="22"/>
              </w:rPr>
              <w:t>attribute in the relationship reference namespace specifies that the relationship with relationship ID </w:t>
            </w:r>
            <w:r>
              <w:rPr>
                <w:rFonts w:ascii="Consolas"/>
                <w:sz w:val="20"/>
              </w:rPr>
              <w:t>rId5</w:t>
            </w:r>
            <w:r>
              <w:rPr>
                <w:rFonts w:ascii="Consolas"/>
                <w:spacing w:val="-79"/>
                <w:sz w:val="20"/>
              </w:rPr>
              <w:t> </w:t>
            </w:r>
            <w:r>
              <w:rPr>
                <w:sz w:val="22"/>
              </w:rPr>
              <w:t>must contain the property data for this embedded control. </w:t>
            </w:r>
            <w:r>
              <w:rPr>
                <w:i/>
                <w:sz w:val="22"/>
              </w:rPr>
              <w:t>end </w:t>
            </w:r>
            <w:r>
              <w:rPr>
                <w:i/>
                <w:sz w:val="22"/>
              </w:rPr>
              <w:t>example</w:t>
            </w:r>
            <w:r>
              <w:rPr>
                <w:sz w:val="22"/>
              </w:rPr>
              <w:t>]</w:t>
            </w:r>
          </w:p>
          <w:p>
            <w:pPr>
              <w:pStyle w:val="TableParagraph"/>
              <w:spacing w:before="5"/>
              <w:ind w:left="0"/>
              <w:rPr>
                <w:rFonts w:ascii="Times New Roman"/>
                <w:sz w:val="23"/>
              </w:rPr>
            </w:pPr>
          </w:p>
          <w:p>
            <w:pPr>
              <w:pStyle w:val="TableParagraph"/>
              <w:spacing w:before="1"/>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3566" w:hRule="atLeast"/>
        </w:trPr>
        <w:tc>
          <w:tcPr>
            <w:tcW w:w="2062" w:type="dxa"/>
          </w:tcPr>
          <w:p>
            <w:pPr>
              <w:pStyle w:val="TableParagraph"/>
              <w:ind w:right="279"/>
              <w:rPr>
                <w:sz w:val="22"/>
              </w:rPr>
            </w:pPr>
            <w:r>
              <w:rPr>
                <w:rFonts w:ascii="Cambria"/>
                <w:sz w:val="22"/>
              </w:rPr>
              <w:t>linkedCell </w:t>
            </w:r>
            <w:r>
              <w:rPr>
                <w:sz w:val="22"/>
              </w:rPr>
              <w:t>(Linked Formula)</w:t>
            </w:r>
          </w:p>
        </w:tc>
        <w:tc>
          <w:tcPr>
            <w:tcW w:w="8250" w:type="dxa"/>
          </w:tcPr>
          <w:p>
            <w:pPr>
              <w:pStyle w:val="TableParagraph"/>
              <w:ind w:right="232"/>
              <w:rPr>
                <w:sz w:val="22"/>
              </w:rPr>
            </w:pPr>
            <w:r>
              <w:rPr>
                <w:sz w:val="22"/>
              </w:rPr>
              <w:t>Specifies the cell the control is linked to, using standard cell A1-style reference syntax as described in §</w:t>
            </w:r>
            <w:hyperlink w:history="true" w:anchor="_bookmark438">
              <w:r>
                <w:rPr>
                  <w:sz w:val="22"/>
                </w:rPr>
                <w:t>18.17.2.3.1. </w:t>
              </w:r>
            </w:hyperlink>
            <w:r>
              <w:rPr>
                <w:sz w:val="22"/>
              </w:rPr>
              <w:t>The value in the linked cell and the index of the selected item in the object are linked together. This link is ignored if the control allows multiple selections.</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&lt;controlPr linkedCell="$A$4"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ind w:right="907"/>
              <w:rPr>
                <w:sz w:val="22"/>
              </w:rPr>
            </w:pPr>
            <w:r>
              <w:rPr>
                <w:sz w:val="22"/>
              </w:rPr>
              <w:t>The possible values for this attribute are defined by the </w:t>
            </w:r>
            <w:r>
              <w:rPr>
                <w:rFonts w:ascii="Cambria" w:hAnsi="Cambria"/>
                <w:sz w:val="22"/>
              </w:rPr>
              <w:t>ST_Formula </w:t>
            </w:r>
            <w:r>
              <w:rPr>
                <w:sz w:val="22"/>
              </w:rPr>
              <w:t>simple type </w:t>
            </w:r>
            <w:hyperlink w:history="true" w:anchor="_bookmark857">
              <w:r>
                <w:rPr>
                  <w:sz w:val="22"/>
                </w:rPr>
                <w:t>(§18.18.35</w:t>
              </w:r>
            </w:hyperlink>
            <w:r>
              <w:rPr>
                <w:sz w:val="22"/>
              </w:rPr>
              <w:t>).</w:t>
            </w:r>
          </w:p>
        </w:tc>
      </w:tr>
      <w:tr>
        <w:trPr>
          <w:trHeight w:val="3031" w:hRule="atLeast"/>
        </w:trPr>
        <w:tc>
          <w:tcPr>
            <w:tcW w:w="2062" w:type="dxa"/>
          </w:tcPr>
          <w:p>
            <w:pPr>
              <w:pStyle w:val="TableParagraph"/>
              <w:spacing w:line="237" w:lineRule="auto" w:before="44"/>
              <w:ind w:right="85"/>
              <w:rPr>
                <w:sz w:val="22"/>
              </w:rPr>
            </w:pPr>
            <w:r>
              <w:rPr>
                <w:rFonts w:ascii="Cambria"/>
                <w:sz w:val="22"/>
              </w:rPr>
              <w:t>listFillRange </w:t>
            </w:r>
            <w:r>
              <w:rPr>
                <w:sz w:val="22"/>
              </w:rPr>
              <w:t>(List Items Source Range)</w:t>
            </w:r>
          </w:p>
        </w:tc>
        <w:tc>
          <w:tcPr>
            <w:tcW w:w="8250" w:type="dxa"/>
          </w:tcPr>
          <w:p>
            <w:pPr>
              <w:pStyle w:val="TableParagraph"/>
              <w:spacing w:line="237" w:lineRule="auto" w:before="44"/>
              <w:ind w:right="266"/>
              <w:rPr>
                <w:sz w:val="22"/>
              </w:rPr>
            </w:pPr>
            <w:r>
              <w:rPr>
                <w:sz w:val="22"/>
              </w:rPr>
              <w:t>Specifies the range of source data cells used to populate the list box, using standard A1- style cell reference syntax as described in §</w:t>
            </w:r>
            <w:hyperlink w:history="true" w:anchor="_bookmark438">
              <w:r>
                <w:rPr>
                  <w:sz w:val="22"/>
                </w:rPr>
                <w:t>18.17.2.3.1.</w:t>
              </w:r>
            </w:hyperlink>
          </w:p>
          <w:p>
            <w:pPr>
              <w:pStyle w:val="TableParagraph"/>
              <w:spacing w:before="6"/>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&lt;controlPr listFillRange="$A$1:$A$15"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ind w:right="907"/>
              <w:rPr>
                <w:sz w:val="22"/>
              </w:rPr>
            </w:pPr>
            <w:r>
              <w:rPr>
                <w:sz w:val="22"/>
              </w:rPr>
              <w:t>The possible values for this attribute are defined by the </w:t>
            </w:r>
            <w:r>
              <w:rPr>
                <w:rFonts w:ascii="Cambria" w:hAnsi="Cambria"/>
                <w:sz w:val="22"/>
              </w:rPr>
              <w:t>ST_Formula </w:t>
            </w:r>
            <w:r>
              <w:rPr>
                <w:sz w:val="22"/>
              </w:rPr>
              <w:t>simple type </w:t>
            </w:r>
            <w:hyperlink w:history="true" w:anchor="_bookmark857">
              <w:r>
                <w:rPr>
                  <w:sz w:val="22"/>
                </w:rPr>
                <w:t>(§18.18.35</w:t>
              </w:r>
            </w:hyperlink>
            <w:r>
              <w:rPr>
                <w:sz w:val="22"/>
              </w:rPr>
              <w:t>).</w:t>
            </w:r>
          </w:p>
        </w:tc>
      </w:tr>
      <w:tr>
        <w:trPr>
          <w:trHeight w:val="1161" w:hRule="atLeast"/>
        </w:trPr>
        <w:tc>
          <w:tcPr>
            <w:tcW w:w="2062" w:type="dxa"/>
          </w:tcPr>
          <w:p>
            <w:pPr>
              <w:pStyle w:val="TableParagraph"/>
              <w:ind w:right="557"/>
              <w:rPr>
                <w:sz w:val="22"/>
              </w:rPr>
            </w:pPr>
            <w:r>
              <w:rPr>
                <w:rFonts w:ascii="Cambria"/>
                <w:sz w:val="22"/>
              </w:rPr>
              <w:t>locked </w:t>
            </w:r>
            <w:r>
              <w:rPr>
                <w:sz w:val="22"/>
              </w:rPr>
              <w:t>(Locked Flag)</w:t>
            </w:r>
          </w:p>
        </w:tc>
        <w:tc>
          <w:tcPr>
            <w:tcW w:w="8250" w:type="dxa"/>
          </w:tcPr>
          <w:p>
            <w:pPr>
              <w:pStyle w:val="TableParagraph"/>
              <w:spacing w:line="480" w:lineRule="auto"/>
              <w:ind w:right="2510"/>
              <w:rPr>
                <w:sz w:val="22"/>
              </w:rPr>
            </w:pPr>
            <w:r>
              <w:rPr>
                <w:sz w:val="22"/>
              </w:rPr>
              <w:t>Specifies that the object is locked when the sheet is protected. [</w:t>
            </w:r>
            <w:r>
              <w:rPr>
                <w:i/>
                <w:sz w:val="22"/>
              </w:rPr>
              <w:t>Example</w:t>
            </w:r>
            <w:r>
              <w:rPr>
                <w:sz w:val="22"/>
              </w:rPr>
              <w:t>:</w:t>
            </w:r>
          </w:p>
        </w:tc>
      </w:tr>
    </w:tbl>
    <w:p>
      <w:pPr>
        <w:spacing w:after="0" w:line="480" w:lineRule="auto"/>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86" w:hRule="atLeast"/>
        </w:trPr>
        <w:tc>
          <w:tcPr>
            <w:tcW w:w="2062" w:type="dxa"/>
          </w:tcPr>
          <w:p>
            <w:pPr>
              <w:pStyle w:val="TableParagraph"/>
              <w:spacing w:before="0"/>
              <w:ind w:left="0"/>
              <w:rPr>
                <w:rFonts w:ascii="Times New Roman"/>
                <w:sz w:val="22"/>
              </w:rPr>
            </w:pPr>
          </w:p>
        </w:tc>
        <w:tc>
          <w:tcPr>
            <w:tcW w:w="8250" w:type="dxa"/>
          </w:tcPr>
          <w:p>
            <w:pPr>
              <w:pStyle w:val="TableParagraph"/>
              <w:spacing w:before="42"/>
              <w:ind w:left="403"/>
              <w:rPr>
                <w:rFonts w:ascii="Consolas" w:hAnsi="Consolas"/>
                <w:sz w:val="22"/>
              </w:rPr>
            </w:pPr>
            <w:r>
              <w:rPr>
                <w:rFonts w:ascii="Consolas" w:hAnsi="Consolas"/>
                <w:sz w:val="22"/>
              </w:rPr>
              <w:t>&lt;controlPr locked="false"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28" w:hRule="atLeast"/>
        </w:trPr>
        <w:tc>
          <w:tcPr>
            <w:tcW w:w="2062" w:type="dxa"/>
          </w:tcPr>
          <w:p>
            <w:pPr>
              <w:pStyle w:val="TableParagraph"/>
              <w:ind w:right="522"/>
              <w:rPr>
                <w:sz w:val="22"/>
              </w:rPr>
            </w:pPr>
            <w:r>
              <w:rPr>
                <w:rFonts w:ascii="Cambria"/>
                <w:sz w:val="22"/>
              </w:rPr>
              <w:t>macro </w:t>
            </w:r>
            <w:r>
              <w:rPr>
                <w:sz w:val="22"/>
              </w:rPr>
              <w:t>(Custom Function)</w:t>
            </w:r>
          </w:p>
        </w:tc>
        <w:tc>
          <w:tcPr>
            <w:tcW w:w="8250" w:type="dxa"/>
          </w:tcPr>
          <w:p>
            <w:pPr>
              <w:pStyle w:val="TableParagraph"/>
              <w:ind w:right="111"/>
              <w:rPr>
                <w:sz w:val="22"/>
              </w:rPr>
            </w:pPr>
            <w:r>
              <w:rPr>
                <w:sz w:val="22"/>
              </w:rPr>
              <w:t>Specifies the custom function associated with the object. [</w:t>
            </w:r>
            <w:r>
              <w:rPr>
                <w:i/>
                <w:sz w:val="22"/>
              </w:rPr>
              <w:t>Example</w:t>
            </w:r>
            <w:r>
              <w:rPr>
                <w:sz w:val="22"/>
              </w:rPr>
              <w:t>: A macro script, add- in function, and so on. </w:t>
            </w:r>
            <w:r>
              <w:rPr>
                <w:i/>
                <w:sz w:val="22"/>
              </w:rPr>
              <w:t>end example</w:t>
            </w:r>
            <w:r>
              <w:rPr>
                <w:sz w:val="22"/>
              </w:rPr>
              <w:t>]</w:t>
            </w:r>
          </w:p>
          <w:p>
            <w:pPr>
              <w:pStyle w:val="TableParagraph"/>
              <w:spacing w:before="2"/>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&lt;controlPr macro="Button1_Click()" … /&gt;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ind w:right="907"/>
              <w:rPr>
                <w:sz w:val="22"/>
              </w:rPr>
            </w:pPr>
            <w:r>
              <w:rPr>
                <w:sz w:val="22"/>
              </w:rPr>
              <w:t>The possible values for this attribute are defined by the </w:t>
            </w:r>
            <w:r>
              <w:rPr>
                <w:rFonts w:ascii="Cambria" w:hAnsi="Cambria"/>
                <w:sz w:val="22"/>
              </w:rPr>
              <w:t>ST_Formula </w:t>
            </w:r>
            <w:r>
              <w:rPr>
                <w:sz w:val="22"/>
              </w:rPr>
              <w:t>simple type </w:t>
            </w:r>
            <w:hyperlink w:history="true" w:anchor="_bookmark857">
              <w:r>
                <w:rPr>
                  <w:sz w:val="22"/>
                </w:rPr>
                <w:t>(§18.18.35</w:t>
              </w:r>
            </w:hyperlink>
            <w:r>
              <w:rPr>
                <w:sz w:val="22"/>
              </w:rPr>
              <w:t>).</w:t>
            </w:r>
          </w:p>
        </w:tc>
      </w:tr>
      <w:tr>
        <w:trPr>
          <w:trHeight w:val="2760" w:hRule="atLeast"/>
        </w:trPr>
        <w:tc>
          <w:tcPr>
            <w:tcW w:w="2062" w:type="dxa"/>
          </w:tcPr>
          <w:p>
            <w:pPr>
              <w:pStyle w:val="TableParagraph"/>
              <w:rPr>
                <w:sz w:val="22"/>
              </w:rPr>
            </w:pPr>
            <w:r>
              <w:rPr>
                <w:rFonts w:ascii="Cambria"/>
                <w:sz w:val="22"/>
              </w:rPr>
              <w:t>print </w:t>
            </w:r>
            <w:r>
              <w:rPr>
                <w:sz w:val="22"/>
              </w:rPr>
              <w:t>(Print Flag)</w:t>
            </w:r>
          </w:p>
        </w:tc>
        <w:tc>
          <w:tcPr>
            <w:tcW w:w="8250" w:type="dxa"/>
          </w:tcPr>
          <w:p>
            <w:pPr>
              <w:pStyle w:val="TableParagraph"/>
              <w:spacing w:line="480" w:lineRule="auto"/>
              <w:ind w:right="1853"/>
              <w:rPr>
                <w:sz w:val="22"/>
              </w:rPr>
            </w:pPr>
            <w:r>
              <w:rPr>
                <w:sz w:val="22"/>
              </w:rPr>
              <w:t>Specifies whether the object is printed when the document is printed.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&lt;controlPr print="false"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0" w:hRule="atLeast"/>
        </w:trPr>
        <w:tc>
          <w:tcPr>
            <w:tcW w:w="2062" w:type="dxa"/>
          </w:tcPr>
          <w:p>
            <w:pPr>
              <w:pStyle w:val="TableParagraph"/>
              <w:spacing w:line="256" w:lineRule="exact" w:before="45"/>
              <w:rPr>
                <w:rFonts w:ascii="Cambria"/>
                <w:sz w:val="22"/>
              </w:rPr>
            </w:pPr>
            <w:r>
              <w:rPr>
                <w:rFonts w:ascii="Cambria"/>
                <w:sz w:val="22"/>
              </w:rPr>
              <w:t>recalcAlways</w:t>
            </w:r>
          </w:p>
          <w:p>
            <w:pPr>
              <w:pStyle w:val="TableParagraph"/>
              <w:spacing w:line="267" w:lineRule="exact" w:before="0"/>
              <w:rPr>
                <w:sz w:val="22"/>
              </w:rPr>
            </w:pPr>
            <w:r>
              <w:rPr>
                <w:sz w:val="22"/>
              </w:rPr>
              <w:t>(Recalculation Flag)</w:t>
            </w:r>
          </w:p>
        </w:tc>
        <w:tc>
          <w:tcPr>
            <w:tcW w:w="8250" w:type="dxa"/>
          </w:tcPr>
          <w:p>
            <w:pPr>
              <w:pStyle w:val="TableParagraph"/>
              <w:spacing w:before="42"/>
              <w:ind w:right="310"/>
              <w:rPr>
                <w:sz w:val="22"/>
              </w:rPr>
            </w:pPr>
            <w:r>
              <w:rPr>
                <w:sz w:val="22"/>
              </w:rPr>
              <w:t>Specifies whether the object is always included in recalculation. This is used by controls that reference cells in the spreadsheet to update themselves when the spreadsheet changes.</w:t>
            </w:r>
          </w:p>
          <w:p>
            <w:pPr>
              <w:pStyle w:val="TableParagraph"/>
              <w:spacing w:before="2"/>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&lt;controlPr recalcAlways="true"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86" w:hRule="atLeast"/>
        </w:trPr>
        <w:tc>
          <w:tcPr>
            <w:tcW w:w="2062" w:type="dxa"/>
          </w:tcPr>
          <w:p>
            <w:pPr>
              <w:pStyle w:val="TableParagraph"/>
              <w:ind w:right="181"/>
              <w:rPr>
                <w:sz w:val="22"/>
              </w:rPr>
            </w:pPr>
            <w:r>
              <w:rPr>
                <w:rFonts w:ascii="Cambria"/>
                <w:sz w:val="22"/>
              </w:rPr>
              <w:t>uiObject </w:t>
            </w:r>
            <w:r>
              <w:rPr>
                <w:sz w:val="22"/>
              </w:rPr>
              <w:t>(UI Object Flag)</w:t>
            </w:r>
          </w:p>
        </w:tc>
        <w:tc>
          <w:tcPr>
            <w:tcW w:w="8250" w:type="dxa"/>
          </w:tcPr>
          <w:p>
            <w:pPr>
              <w:pStyle w:val="TableParagraph"/>
              <w:ind w:right="610"/>
              <w:rPr>
                <w:sz w:val="22"/>
              </w:rPr>
            </w:pPr>
            <w:r>
              <w:rPr>
                <w:sz w:val="22"/>
              </w:rPr>
              <w:t>Specifies whether the object is a UI-only object. Applications should prevent UI-only objects from being selected and edited in their user interface.</w:t>
            </w:r>
          </w:p>
          <w:p>
            <w:pPr>
              <w:pStyle w:val="TableParagraph"/>
              <w:spacing w:before="2"/>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&lt;objectPr uiObject="true" … /&gt;</w:t>
            </w:r>
          </w:p>
        </w:tc>
      </w:tr>
    </w:tbl>
    <w:p>
      <w:pPr>
        <w:spacing w:after="0"/>
        <w:rPr>
          <w:rFonts w:ascii="Consolas" w:hAnsi="Consolas"/>
          <w:sz w:val="22"/>
        </w:rPr>
        <w:sectPr>
          <w:footerReference w:type="even" r:id="rId31"/>
          <w:footerReference w:type="default" r:id="rId32"/>
          <w:pgSz w:w="12240" w:h="15840"/>
          <w:pgMar w:footer="746" w:header="761" w:top="1340" w:bottom="940" w:left="860" w:right="700"/>
          <w:pgNumType w:start="161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6"/>
        <w:ind w:left="220" w:right="629"/>
      </w:pPr>
      <w:r>
        <w:rPr/>
        <w:t>[</w:t>
      </w:r>
      <w:r>
        <w:rPr>
          <w:i/>
        </w:rPr>
        <w:t>Note</w:t>
      </w:r>
      <w:r>
        <w:rPr/>
        <w:t>: The W3C XML Schema definition of this element’s content model (</w:t>
      </w:r>
      <w:r>
        <w:rPr>
          <w:color w:val="5F5F5F"/>
          <w:u w:val="single" w:color="5F5F5F"/>
        </w:rPr>
        <w:t>CT_ControlPr</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21 controls (Embedded Controls)" w:id="164"/>
      <w:bookmarkEnd w:id="164"/>
      <w:r>
        <w:rPr/>
      </w:r>
      <w:bookmarkStart w:name="_bookmark53" w:id="165"/>
      <w:bookmarkEnd w:id="165"/>
      <w:r>
        <w:rPr/>
      </w:r>
      <w:bookmarkStart w:name="_bookmark53" w:id="166"/>
      <w:bookmarkEnd w:id="166"/>
      <w:r>
        <w:rPr>
          <w:color w:val="4F81BC"/>
        </w:rPr>
        <w:t>contr</w:t>
      </w:r>
      <w:r>
        <w:rPr>
          <w:color w:val="4F81BC"/>
        </w:rPr>
        <w:t>ols (Embedded</w:t>
      </w:r>
      <w:r>
        <w:rPr>
          <w:color w:val="4F81BC"/>
          <w:spacing w:val="-3"/>
        </w:rPr>
        <w:t> </w:t>
      </w:r>
      <w:r>
        <w:rPr>
          <w:color w:val="4F81BC"/>
        </w:rPr>
        <w:t>Controls)</w:t>
      </w:r>
    </w:p>
    <w:p>
      <w:pPr>
        <w:pStyle w:val="BodyText"/>
        <w:spacing w:line="278" w:lineRule="auto" w:before="119"/>
        <w:ind w:left="220" w:right="431"/>
      </w:pPr>
      <w:r>
        <w:rPr/>
        <w:t>Worksheets can have embedded controls embedded in them. This collection is a listing of embedded controls in this worksheet. This collection is used to reference individual Embedded Control Data part definitions, enumerate the code name of each control, and reference drawing information used to draw the control.</w:t>
      </w:r>
    </w:p>
    <w:p>
      <w:pPr>
        <w:pStyle w:val="BodyText"/>
        <w:spacing w:line="276" w:lineRule="auto" w:before="194"/>
        <w:ind w:left="220" w:right="733"/>
      </w:pPr>
      <w:r>
        <w:rPr/>
        <w:t>[</w:t>
      </w:r>
      <w:r>
        <w:rPr>
          <w:i/>
        </w:rPr>
        <w:t>Note</w:t>
      </w:r>
      <w:r>
        <w:rPr/>
        <w:t>: The W3C XML Schema definition of this element’s content model (</w:t>
      </w:r>
      <w:r>
        <w:rPr>
          <w:color w:val="5F5F5F"/>
          <w:u w:val="single" w:color="5F5F5F"/>
        </w:rPr>
        <w:t>CT_Controls</w:t>
      </w:r>
      <w:r>
        <w:rPr/>
        <w:t>) is located in §A.2. </w:t>
      </w:r>
      <w:r>
        <w:rPr>
          <w:i/>
        </w:rPr>
        <w:t>end </w:t>
      </w:r>
      <w:r>
        <w:rPr>
          <w:i/>
        </w:rPr>
        <w:t>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22 customPr (Custom Property)" w:id="167"/>
      <w:bookmarkEnd w:id="167"/>
      <w:r>
        <w:rPr/>
      </w:r>
      <w:bookmarkStart w:name="_bookmark54" w:id="168"/>
      <w:bookmarkEnd w:id="168"/>
      <w:r>
        <w:rPr/>
      </w:r>
      <w:bookmarkStart w:name="_bookmark54" w:id="169"/>
      <w:bookmarkEnd w:id="169"/>
      <w:r>
        <w:rPr>
          <w:color w:val="4F81BC"/>
        </w:rPr>
        <w:t>c</w:t>
      </w:r>
      <w:r>
        <w:rPr>
          <w:color w:val="4F81BC"/>
        </w:rPr>
        <w:t>ustomPr (Custom</w:t>
      </w:r>
      <w:r>
        <w:rPr>
          <w:color w:val="4F81BC"/>
          <w:spacing w:val="-4"/>
        </w:rPr>
        <w:t> </w:t>
      </w:r>
      <w:r>
        <w:rPr>
          <w:color w:val="4F81BC"/>
        </w:rPr>
        <w:t>Property)</w:t>
      </w:r>
    </w:p>
    <w:p>
      <w:pPr>
        <w:pStyle w:val="BodyText"/>
        <w:spacing w:line="276" w:lineRule="auto" w:before="121"/>
        <w:ind w:left="220" w:right="607"/>
      </w:pPr>
      <w:r>
        <w:rPr/>
        <w:t>The custom property element provides a mechanism to store name/value pairs of arbitrary user-defined data. The name is stored in the attribute </w:t>
      </w:r>
      <w:r>
        <w:rPr>
          <w:rFonts w:ascii="Cambria"/>
        </w:rPr>
        <w:t>name</w:t>
      </w:r>
      <w:r>
        <w:rPr/>
        <w:t>, the arbitrary data is stored in the binary part referenced by the relationshipId.</w:t>
      </w:r>
    </w:p>
    <w:p>
      <w:pPr>
        <w:pStyle w:val="BodyText"/>
        <w:spacing w:before="6"/>
        <w:rPr>
          <w:sz w:val="16"/>
        </w:rPr>
      </w:pPr>
    </w:p>
    <w:p>
      <w:pPr>
        <w:pStyle w:val="BodyText"/>
        <w:spacing w:before="1"/>
        <w:ind w:left="270"/>
      </w:pPr>
      <w:r>
        <w:rPr/>
        <w:t>[</w:t>
      </w:r>
      <w:r>
        <w:rPr>
          <w:i/>
        </w:rPr>
        <w:t>Note</w:t>
      </w:r>
      <w:r>
        <w:rPr/>
        <w:t>: There is nothing in the binary part except the arbitrary data itself.</w:t>
      </w:r>
    </w:p>
    <w:p>
      <w:pPr>
        <w:pStyle w:val="BodyText"/>
        <w:spacing w:before="5"/>
        <w:rPr>
          <w:sz w:val="19"/>
        </w:rPr>
      </w:pPr>
    </w:p>
    <w:p>
      <w:pPr>
        <w:pStyle w:val="BodyText"/>
        <w:spacing w:line="276" w:lineRule="auto" w:before="1"/>
        <w:ind w:left="220" w:right="421"/>
        <w:jc w:val="both"/>
      </w:pPr>
      <w:r>
        <w:rPr/>
        <w:t>Custom XML Data Properties provide a preferred mechanism for storing arbitrary data. The </w:t>
      </w:r>
      <w:r>
        <w:rPr>
          <w:rFonts w:ascii="Cambria"/>
        </w:rPr>
        <w:t>customPr </w:t>
      </w:r>
      <w:r>
        <w:rPr/>
        <w:t>supports legacy third-party document components, as well as those situations that have a stringent need for binary parts. </w:t>
      </w:r>
      <w:r>
        <w:rPr>
          <w:i/>
        </w:rPr>
        <w:t>end note</w:t>
      </w:r>
      <w:r>
        <w:rPr/>
        <w:t>]</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25" w:hRule="atLeast"/>
        </w:trPr>
        <w:tc>
          <w:tcPr>
            <w:tcW w:w="2062" w:type="dxa"/>
          </w:tcPr>
          <w:p>
            <w:pPr>
              <w:pStyle w:val="TableParagraph"/>
              <w:rPr>
                <w:sz w:val="22"/>
              </w:rPr>
            </w:pPr>
            <w:r>
              <w:rPr>
                <w:rFonts w:ascii="Cambria"/>
                <w:sz w:val="22"/>
              </w:rPr>
              <w:t>id </w:t>
            </w:r>
            <w:r>
              <w:rPr>
                <w:sz w:val="22"/>
              </w:rPr>
              <w:t>(Relationship Id)</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rPr>
                <w:sz w:val="22"/>
              </w:rPr>
            </w:pPr>
            <w:r>
              <w:rPr>
                <w:sz w:val="22"/>
              </w:rPr>
              <w:t>This relationship references the binary part containing the specified custom properties.</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161" w:hRule="atLeast"/>
        </w:trPr>
        <w:tc>
          <w:tcPr>
            <w:tcW w:w="2062" w:type="dxa"/>
          </w:tcPr>
          <w:p>
            <w:pPr>
              <w:pStyle w:val="TableParagraph"/>
              <w:ind w:right="486"/>
              <w:rPr>
                <w:sz w:val="22"/>
              </w:rPr>
            </w:pPr>
            <w:r>
              <w:rPr>
                <w:rFonts w:ascii="Cambria"/>
                <w:sz w:val="22"/>
              </w:rPr>
              <w:t>name </w:t>
            </w:r>
            <w:r>
              <w:rPr>
                <w:sz w:val="22"/>
              </w:rPr>
              <w:t>(Custom Property Name)</w:t>
            </w:r>
          </w:p>
        </w:tc>
        <w:tc>
          <w:tcPr>
            <w:tcW w:w="8250" w:type="dxa"/>
          </w:tcPr>
          <w:p>
            <w:pPr>
              <w:pStyle w:val="TableParagraph"/>
              <w:rPr>
                <w:sz w:val="22"/>
              </w:rPr>
            </w:pPr>
            <w:r>
              <w:rPr>
                <w:sz w:val="22"/>
              </w:rPr>
              <w:t>Name of the custom property</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3" w:footer="746" w:top="1340" w:bottom="940" w:left="860" w:right="700"/>
        </w:sectPr>
      </w:pPr>
    </w:p>
    <w:p>
      <w:pPr>
        <w:pStyle w:val="BodyText"/>
        <w:spacing w:before="90"/>
        <w:ind w:left="220"/>
      </w:pPr>
      <w:r>
        <w:rPr/>
        <w:t>[</w:t>
      </w:r>
      <w:r>
        <w:rPr>
          <w:i/>
        </w:rPr>
        <w:t>Note</w:t>
      </w:r>
      <w:r>
        <w:rPr/>
        <w:t>: The W3C XML Schema definition of this element’s content model (</w:t>
      </w:r>
      <w:r>
        <w:rPr>
          <w:color w:val="5F5F5F"/>
          <w:u w:val="single" w:color="5F5F5F"/>
        </w:rPr>
        <w:t>CT_CustomProperty</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23 customProperties (Custom Prope" w:id="170"/>
      <w:bookmarkEnd w:id="170"/>
      <w:r>
        <w:rPr/>
      </w:r>
      <w:bookmarkStart w:name="_bookmark55" w:id="171"/>
      <w:bookmarkEnd w:id="171"/>
      <w:r>
        <w:rPr/>
      </w:r>
      <w:bookmarkStart w:name="_bookmark55" w:id="172"/>
      <w:bookmarkEnd w:id="172"/>
      <w:r>
        <w:rPr>
          <w:color w:val="4F81BC"/>
        </w:rPr>
        <w:t>c</w:t>
      </w:r>
      <w:r>
        <w:rPr>
          <w:color w:val="4F81BC"/>
        </w:rPr>
        <w:t>ustomProperties (Custom</w:t>
      </w:r>
      <w:r>
        <w:rPr>
          <w:color w:val="4F81BC"/>
          <w:spacing w:val="-1"/>
        </w:rPr>
        <w:t> </w:t>
      </w:r>
      <w:r>
        <w:rPr>
          <w:color w:val="4F81BC"/>
        </w:rPr>
        <w:t>Properties)</w:t>
      </w:r>
    </w:p>
    <w:p>
      <w:pPr>
        <w:pStyle w:val="BodyText"/>
        <w:spacing w:before="121"/>
        <w:ind w:left="220"/>
      </w:pPr>
      <w:r>
        <w:rPr/>
        <w:t>This collection is used to reference binary parts containing arbitrary user-defined data.</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CT_CustomProperties</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24 customSheetView (Custom Chart " w:id="173"/>
      <w:bookmarkEnd w:id="173"/>
      <w:r>
        <w:rPr/>
      </w:r>
      <w:bookmarkStart w:name="_bookmark56" w:id="174"/>
      <w:bookmarkEnd w:id="174"/>
      <w:r>
        <w:rPr/>
      </w:r>
      <w:bookmarkStart w:name="_bookmark56" w:id="175"/>
      <w:bookmarkEnd w:id="175"/>
      <w:r>
        <w:rPr>
          <w:color w:val="4F81BC"/>
        </w:rPr>
        <w:t>c</w:t>
      </w:r>
      <w:r>
        <w:rPr>
          <w:color w:val="4F81BC"/>
        </w:rPr>
        <w:t>ustomSheetView (Custom Chart Sheet</w:t>
      </w:r>
      <w:r>
        <w:rPr>
          <w:color w:val="4F81BC"/>
          <w:spacing w:val="-3"/>
        </w:rPr>
        <w:t> </w:t>
      </w:r>
      <w:r>
        <w:rPr>
          <w:color w:val="4F81BC"/>
        </w:rPr>
        <w:t>View)</w:t>
      </w:r>
    </w:p>
    <w:p>
      <w:pPr>
        <w:pStyle w:val="BodyText"/>
        <w:spacing w:line="276" w:lineRule="auto" w:before="119"/>
        <w:ind w:left="220" w:right="503"/>
      </w:pPr>
      <w:r>
        <w:rPr/>
        <w:t>This element defines custom view properties for chart sheets. [</w:t>
      </w:r>
      <w:r>
        <w:rPr>
          <w:i/>
        </w:rPr>
        <w:t>Note</w:t>
      </w:r>
      <w:r>
        <w:rPr/>
        <w:t>: See </w:t>
      </w:r>
      <w:r>
        <w:rPr>
          <w:rFonts w:ascii="Cambria" w:hAnsi="Cambria"/>
        </w:rPr>
        <w:t>customSheetView </w:t>
      </w:r>
      <w:r>
        <w:rPr/>
        <w:t>(</w:t>
      </w:r>
      <w:hyperlink w:history="true" w:anchor="_bookmark57">
        <w:r>
          <w:rPr/>
          <w:t>§18.3.1.25</w:t>
        </w:r>
      </w:hyperlink>
      <w:r>
        <w:rPr/>
        <w:t>) for an example. </w:t>
      </w:r>
      <w:r>
        <w:rPr>
          <w:i/>
        </w:rPr>
        <w:t>end note</w:t>
      </w:r>
      <w:r>
        <w:rPr/>
        <w:t>]</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spacing w:before="43"/>
              <w:ind w:left="566"/>
              <w:rPr>
                <w:b/>
                <w:sz w:val="22"/>
              </w:rPr>
            </w:pPr>
            <w:r>
              <w:rPr>
                <w:b/>
                <w:sz w:val="22"/>
              </w:rPr>
              <w:t>Attributes</w:t>
            </w:r>
          </w:p>
        </w:tc>
        <w:tc>
          <w:tcPr>
            <w:tcW w:w="8250" w:type="dxa"/>
            <w:shd w:val="clear" w:color="auto" w:fill="C0C0C0"/>
          </w:tcPr>
          <w:p>
            <w:pPr>
              <w:pStyle w:val="TableParagraph"/>
              <w:spacing w:before="43"/>
              <w:ind w:left="98" w:right="91"/>
              <w:jc w:val="center"/>
              <w:rPr>
                <w:b/>
                <w:sz w:val="22"/>
              </w:rPr>
            </w:pPr>
            <w:r>
              <w:rPr>
                <w:b/>
                <w:sz w:val="22"/>
              </w:rPr>
              <w:t>Description</w:t>
            </w:r>
          </w:p>
        </w:tc>
      </w:tr>
      <w:tr>
        <w:trPr>
          <w:trHeight w:val="892" w:hRule="atLeast"/>
        </w:trPr>
        <w:tc>
          <w:tcPr>
            <w:tcW w:w="2062" w:type="dxa"/>
          </w:tcPr>
          <w:p>
            <w:pPr>
              <w:pStyle w:val="TableParagraph"/>
              <w:rPr>
                <w:sz w:val="22"/>
              </w:rPr>
            </w:pPr>
            <w:r>
              <w:rPr>
                <w:rFonts w:ascii="Cambria"/>
                <w:sz w:val="22"/>
              </w:rPr>
              <w:t>guid </w:t>
            </w:r>
            <w:r>
              <w:rPr>
                <w:sz w:val="22"/>
              </w:rPr>
              <w:t>(GUID)</w:t>
            </w:r>
          </w:p>
        </w:tc>
        <w:tc>
          <w:tcPr>
            <w:tcW w:w="8250" w:type="dxa"/>
          </w:tcPr>
          <w:p>
            <w:pPr>
              <w:pStyle w:val="TableParagraph"/>
              <w:rPr>
                <w:sz w:val="22"/>
              </w:rPr>
            </w:pPr>
            <w:r>
              <w:rPr>
                <w:sz w:val="22"/>
              </w:rPr>
              <w:t>Unique identifier of this custom view</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4382" w:hRule="atLeast"/>
        </w:trPr>
        <w:tc>
          <w:tcPr>
            <w:tcW w:w="2062" w:type="dxa"/>
          </w:tcPr>
          <w:p>
            <w:pPr>
              <w:pStyle w:val="TableParagraph"/>
              <w:rPr>
                <w:sz w:val="22"/>
              </w:rPr>
            </w:pPr>
            <w:r>
              <w:rPr>
                <w:rFonts w:ascii="Cambria"/>
                <w:sz w:val="22"/>
              </w:rPr>
              <w:t>scale </w:t>
            </w:r>
            <w:r>
              <w:rPr>
                <w:sz w:val="22"/>
              </w:rPr>
              <w:t>(Print Scale)</w:t>
            </w:r>
          </w:p>
        </w:tc>
        <w:tc>
          <w:tcPr>
            <w:tcW w:w="8250" w:type="dxa"/>
          </w:tcPr>
          <w:p>
            <w:pPr>
              <w:pStyle w:val="TableParagraph"/>
              <w:ind w:right="261"/>
              <w:rPr>
                <w:sz w:val="22"/>
              </w:rPr>
            </w:pPr>
            <w:r>
              <w:rPr>
                <w:sz w:val="22"/>
              </w:rPr>
              <w:t>Print scaling, representing percent values. The values of this attribute shall be restricted to the range from 10 to 400. Horizontal &amp; Vertical scale together.</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1"/>
              <w:ind w:left="0"/>
              <w:rPr>
                <w:sz w:val="22"/>
              </w:rPr>
            </w:pPr>
          </w:p>
          <w:p>
            <w:pPr>
              <w:pStyle w:val="TableParagraph"/>
              <w:spacing w:line="267" w:lineRule="exact" w:before="0"/>
              <w:rPr>
                <w:sz w:val="22"/>
              </w:rPr>
            </w:pPr>
            <w:r>
              <w:rPr>
                <w:sz w:val="22"/>
              </w:rPr>
              <w:t>10 -</w:t>
            </w:r>
            <w:r>
              <w:rPr>
                <w:spacing w:val="-2"/>
                <w:sz w:val="22"/>
              </w:rPr>
              <w:t> </w:t>
            </w:r>
            <w:r>
              <w:rPr>
                <w:sz w:val="22"/>
              </w:rPr>
              <w:t>10%</w:t>
            </w:r>
          </w:p>
          <w:p>
            <w:pPr>
              <w:pStyle w:val="TableParagraph"/>
              <w:spacing w:line="267" w:lineRule="exact" w:before="0"/>
              <w:rPr>
                <w:sz w:val="22"/>
              </w:rPr>
            </w:pPr>
            <w:r>
              <w:rPr>
                <w:sz w:val="22"/>
              </w:rPr>
              <w:t>20 -</w:t>
            </w:r>
            <w:r>
              <w:rPr>
                <w:spacing w:val="-2"/>
                <w:sz w:val="22"/>
              </w:rPr>
              <w:t> </w:t>
            </w:r>
            <w:r>
              <w:rPr>
                <w:sz w:val="22"/>
              </w:rPr>
              <w:t>20%</w:t>
            </w:r>
          </w:p>
          <w:p>
            <w:pPr>
              <w:pStyle w:val="TableParagraph"/>
              <w:spacing w:before="0"/>
              <w:rPr>
                <w:sz w:val="22"/>
              </w:rPr>
            </w:pPr>
            <w:r>
              <w:rPr>
                <w:w w:val="100"/>
                <w:sz w:val="22"/>
              </w:rPr>
              <w:t>…</w:t>
            </w:r>
          </w:p>
          <w:p>
            <w:pPr>
              <w:pStyle w:val="TableParagraph"/>
              <w:spacing w:before="1"/>
              <w:rPr>
                <w:sz w:val="22"/>
              </w:rPr>
            </w:pPr>
            <w:r>
              <w:rPr>
                <w:sz w:val="22"/>
              </w:rPr>
              <w:t>100 -</w:t>
            </w:r>
            <w:r>
              <w:rPr>
                <w:spacing w:val="-3"/>
                <w:sz w:val="22"/>
              </w:rPr>
              <w:t> </w:t>
            </w:r>
            <w:r>
              <w:rPr>
                <w:sz w:val="22"/>
              </w:rPr>
              <w:t>100%</w:t>
            </w:r>
          </w:p>
          <w:p>
            <w:pPr>
              <w:pStyle w:val="TableParagraph"/>
              <w:spacing w:before="0"/>
              <w:rPr>
                <w:sz w:val="22"/>
              </w:rPr>
            </w:pPr>
            <w:r>
              <w:rPr>
                <w:w w:val="100"/>
                <w:sz w:val="22"/>
              </w:rPr>
              <w:t>…</w:t>
            </w:r>
          </w:p>
          <w:p>
            <w:pPr>
              <w:pStyle w:val="TableParagraph"/>
              <w:spacing w:before="0"/>
              <w:rPr>
                <w:sz w:val="22"/>
              </w:rPr>
            </w:pPr>
            <w:r>
              <w:rPr>
                <w:sz w:val="22"/>
              </w:rPr>
              <w:t>400 -</w:t>
            </w:r>
            <w:r>
              <w:rPr>
                <w:spacing w:val="-3"/>
                <w:sz w:val="22"/>
              </w:rPr>
              <w:t> </w:t>
            </w:r>
            <w:r>
              <w:rPr>
                <w:sz w:val="22"/>
              </w:rPr>
              <w:t>400%</w:t>
            </w:r>
          </w:p>
          <w:p>
            <w:pPr>
              <w:pStyle w:val="TableParagraph"/>
              <w:spacing w:before="1"/>
              <w:ind w:left="0"/>
              <w:rPr>
                <w:sz w:val="22"/>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state </w:t>
            </w:r>
            <w:r>
              <w:rPr>
                <w:sz w:val="22"/>
              </w:rPr>
              <w:t>(Visible State)</w:t>
            </w:r>
          </w:p>
        </w:tc>
        <w:tc>
          <w:tcPr>
            <w:tcW w:w="8250" w:type="dxa"/>
          </w:tcPr>
          <w:p>
            <w:pPr>
              <w:pStyle w:val="TableParagraph"/>
              <w:rPr>
                <w:sz w:val="22"/>
              </w:rPr>
            </w:pPr>
            <w:r>
              <w:rPr>
                <w:sz w:val="22"/>
              </w:rPr>
              <w:t>Visibility state of the sheet.</w:t>
            </w:r>
          </w:p>
          <w:p>
            <w:pPr>
              <w:pStyle w:val="TableParagraph"/>
              <w:spacing w:before="0"/>
              <w:ind w:left="0"/>
              <w:rPr>
                <w:sz w:val="22"/>
              </w:rPr>
            </w:pPr>
          </w:p>
          <w:p>
            <w:pPr>
              <w:pStyle w:val="TableParagraph"/>
              <w:spacing w:before="0"/>
              <w:ind w:right="712"/>
              <w:rPr>
                <w:sz w:val="22"/>
              </w:rPr>
            </w:pPr>
            <w:r>
              <w:rPr>
                <w:sz w:val="22"/>
              </w:rPr>
              <w:t>The possible values for this attribute are defined by the </w:t>
            </w:r>
            <w:r>
              <w:rPr>
                <w:rFonts w:ascii="Cambria" w:hAnsi="Cambria"/>
                <w:sz w:val="22"/>
              </w:rPr>
              <w:t>ST_SheetState </w:t>
            </w:r>
            <w:r>
              <w:rPr>
                <w:sz w:val="22"/>
              </w:rPr>
              <w:t>simple type </w:t>
            </w:r>
            <w:hyperlink w:history="true" w:anchor="_bookmark890">
              <w:r>
                <w:rPr>
                  <w:sz w:val="22"/>
                </w:rPr>
                <w:t>(§18.18.68</w:t>
              </w:r>
            </w:hyperlink>
            <w:r>
              <w:rPr>
                <w:sz w:val="22"/>
              </w:rPr>
              <w:t>).</w:t>
            </w:r>
          </w:p>
        </w:tc>
      </w:tr>
      <w:tr>
        <w:trPr>
          <w:trHeight w:val="1161" w:hRule="atLeast"/>
        </w:trPr>
        <w:tc>
          <w:tcPr>
            <w:tcW w:w="2062" w:type="dxa"/>
          </w:tcPr>
          <w:p>
            <w:pPr>
              <w:pStyle w:val="TableParagraph"/>
              <w:ind w:right="273"/>
              <w:rPr>
                <w:sz w:val="22"/>
              </w:rPr>
            </w:pPr>
            <w:r>
              <w:rPr>
                <w:rFonts w:ascii="Cambria"/>
                <w:sz w:val="22"/>
              </w:rPr>
              <w:t>zoomToFit </w:t>
            </w:r>
            <w:r>
              <w:rPr>
                <w:sz w:val="22"/>
              </w:rPr>
              <w:t>(Zoom To Fit)</w:t>
            </w:r>
          </w:p>
        </w:tc>
        <w:tc>
          <w:tcPr>
            <w:tcW w:w="8250" w:type="dxa"/>
          </w:tcPr>
          <w:p>
            <w:pPr>
              <w:pStyle w:val="TableParagraph"/>
              <w:rPr>
                <w:sz w:val="22"/>
              </w:rPr>
            </w:pPr>
            <w:r>
              <w:rPr>
                <w:sz w:val="22"/>
              </w:rPr>
              <w:t>Flag indicating whether chart sheet is zoom to fit window.</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ind w:left="220" w:right="482"/>
      </w:pPr>
      <w:r>
        <w:rPr/>
        <w:t>[</w:t>
      </w:r>
      <w:r>
        <w:rPr>
          <w:i/>
        </w:rPr>
        <w:t>Note</w:t>
      </w:r>
      <w:r>
        <w:rPr/>
        <w:t>: The W3C XML Schema definition of this element’s content model (</w:t>
      </w:r>
      <w:r>
        <w:rPr>
          <w:color w:val="5F5F5F"/>
          <w:u w:val="single" w:color="5F5F5F"/>
        </w:rPr>
        <w:t>CT_CustomChartsheetView</w:t>
      </w:r>
      <w:r>
        <w:rPr/>
        <w:t>) is located in §A.2. </w:t>
      </w:r>
      <w:r>
        <w:rPr>
          <w:i/>
        </w:rPr>
        <w:t>end note</w:t>
      </w:r>
      <w:r>
        <w:rPr/>
        <w:t>]</w:t>
      </w:r>
    </w:p>
    <w:p>
      <w:pPr>
        <w:spacing w:after="0" w:line="276" w:lineRule="auto"/>
        <w:sectPr>
          <w:pgSz w:w="12240" w:h="15840"/>
          <w:pgMar w:header="761" w:footer="746" w:top="1340" w:bottom="940" w:left="860" w:right="700"/>
        </w:sectPr>
      </w:pPr>
    </w:p>
    <w:p>
      <w:pPr>
        <w:pStyle w:val="Heading3"/>
        <w:numPr>
          <w:ilvl w:val="3"/>
          <w:numId w:val="22"/>
        </w:numPr>
        <w:tabs>
          <w:tab w:pos="1732" w:val="left" w:leader="none"/>
          <w:tab w:pos="1733" w:val="left" w:leader="none"/>
        </w:tabs>
        <w:spacing w:line="240" w:lineRule="auto" w:before="151" w:after="0"/>
        <w:ind w:left="1732" w:right="0" w:hanging="1513"/>
        <w:jc w:val="left"/>
      </w:pPr>
      <w:bookmarkStart w:name="18.3.1.25 customSheetView (Custom Sheet " w:id="176"/>
      <w:bookmarkEnd w:id="176"/>
      <w:r>
        <w:rPr/>
      </w:r>
      <w:bookmarkStart w:name="_bookmark57" w:id="177"/>
      <w:bookmarkEnd w:id="177"/>
      <w:r>
        <w:rPr/>
      </w:r>
      <w:bookmarkStart w:name="_bookmark57" w:id="178"/>
      <w:bookmarkEnd w:id="178"/>
      <w:r>
        <w:rPr>
          <w:color w:val="4F81BC"/>
        </w:rPr>
        <w:t>c</w:t>
      </w:r>
      <w:r>
        <w:rPr>
          <w:color w:val="4F81BC"/>
        </w:rPr>
        <w:t>ustomSheetView (Custom Sheet</w:t>
      </w:r>
      <w:r>
        <w:rPr>
          <w:color w:val="4F81BC"/>
          <w:spacing w:val="-2"/>
        </w:rPr>
        <w:t> </w:t>
      </w:r>
      <w:r>
        <w:rPr>
          <w:color w:val="4F81BC"/>
        </w:rPr>
        <w:t>View)</w:t>
      </w:r>
    </w:p>
    <w:p>
      <w:pPr>
        <w:pStyle w:val="BodyText"/>
        <w:spacing w:line="276" w:lineRule="auto" w:before="119"/>
        <w:ind w:left="220" w:right="553"/>
      </w:pPr>
      <w:r>
        <w:rPr/>
        <w:t>This collection stores information pertaining to one custom sheet view definition. A custom view is a collection of settings defining a particular view of the sheet. These views can be selected by the user for quick access to predefined views of the sheet.</w:t>
      </w:r>
    </w:p>
    <w:p>
      <w:pPr>
        <w:pStyle w:val="BodyText"/>
        <w:spacing w:before="4"/>
        <w:rPr>
          <w:sz w:val="16"/>
        </w:rPr>
      </w:pPr>
    </w:p>
    <w:p>
      <w:pPr>
        <w:pStyle w:val="BodyText"/>
        <w:spacing w:line="278" w:lineRule="auto"/>
        <w:ind w:left="220" w:right="461"/>
      </w:pPr>
      <w:r>
        <w:rPr/>
        <w:t>[</w:t>
      </w:r>
      <w:r>
        <w:rPr>
          <w:i/>
        </w:rPr>
        <w:t>Example</w:t>
      </w:r>
      <w:r>
        <w:rPr/>
        <w:t>: This example indicates that there is both a horizontal and vertical split in the sheet view, and that the top left cell of the bottom right pane is F7. Page margin, print options, page setup, and header / footer information is also stored with this view.</w:t>
      </w:r>
    </w:p>
    <w:p>
      <w:pPr>
        <w:pStyle w:val="BodyText"/>
        <w:spacing w:before="196"/>
        <w:ind w:left="508"/>
        <w:rPr>
          <w:rFonts w:ascii="Consolas"/>
        </w:rPr>
      </w:pPr>
      <w:r>
        <w:rPr>
          <w:rFonts w:ascii="Consolas"/>
        </w:rPr>
        <w:t>&lt;customSheetView guid="{F3A061A9-D5FD-4F9C-A7CD-483AD476BA25}"</w:t>
      </w:r>
    </w:p>
    <w:p>
      <w:pPr>
        <w:pStyle w:val="BodyText"/>
        <w:spacing w:before="37"/>
        <w:ind w:left="750"/>
        <w:rPr>
          <w:rFonts w:ascii="Consolas"/>
        </w:rPr>
      </w:pPr>
      <w:r>
        <w:rPr>
          <w:rFonts w:ascii="Consolas"/>
        </w:rPr>
        <w:t>sizeWithWindow="0"&gt;</w:t>
      </w:r>
    </w:p>
    <w:p>
      <w:pPr>
        <w:pStyle w:val="BodyText"/>
        <w:spacing w:before="40"/>
        <w:ind w:left="750"/>
        <w:rPr>
          <w:rFonts w:ascii="Consolas"/>
        </w:rPr>
      </w:pPr>
      <w:r>
        <w:rPr>
          <w:rFonts w:ascii="Consolas"/>
        </w:rPr>
        <w:t>&lt;pane xSplit="5" ySplit="6" topLeftCell="F7"/&gt;</w:t>
      </w:r>
    </w:p>
    <w:p>
      <w:pPr>
        <w:pStyle w:val="BodyText"/>
        <w:spacing w:before="38"/>
        <w:ind w:left="750"/>
        <w:rPr>
          <w:rFonts w:ascii="Consolas"/>
        </w:rPr>
      </w:pPr>
      <w:r>
        <w:rPr>
          <w:rFonts w:ascii="Consolas"/>
        </w:rPr>
        <w:t>&lt;selection/&gt;</w:t>
      </w:r>
    </w:p>
    <w:p>
      <w:pPr>
        <w:pStyle w:val="BodyText"/>
        <w:spacing w:line="276" w:lineRule="auto" w:before="40"/>
        <w:ind w:left="993" w:hanging="243"/>
        <w:rPr>
          <w:rFonts w:ascii="Consolas"/>
        </w:rPr>
      </w:pPr>
      <w:r>
        <w:rPr>
          <w:rFonts w:ascii="Consolas"/>
        </w:rPr>
        <w:t>&lt;pageMargins left="0.7" right="0.7" top="0.75" bottom="0.75" header="0.3" footer="0.3"/&gt;</w:t>
      </w:r>
    </w:p>
    <w:p>
      <w:pPr>
        <w:pStyle w:val="BodyText"/>
        <w:spacing w:line="256" w:lineRule="exact"/>
        <w:ind w:left="750"/>
        <w:rPr>
          <w:rFonts w:ascii="Consolas"/>
        </w:rPr>
      </w:pPr>
      <w:r>
        <w:rPr>
          <w:rFonts w:ascii="Consolas"/>
        </w:rPr>
        <w:t>&lt;printOptions gridLinesSet="0"/&gt;</w:t>
      </w:r>
    </w:p>
    <w:p>
      <w:pPr>
        <w:pStyle w:val="BodyText"/>
        <w:spacing w:line="276" w:lineRule="auto" w:before="40"/>
        <w:ind w:left="993" w:right="1080" w:hanging="243"/>
        <w:rPr>
          <w:rFonts w:ascii="Consolas"/>
        </w:rPr>
      </w:pPr>
      <w:r>
        <w:rPr>
          <w:rFonts w:ascii="Consolas"/>
        </w:rPr>
        <w:t>&lt;pageSetup paperSize="0" scale="0" orientation="portrait" printDriver="0" horizontalDpi="0" verticalDpi="0" copies="0"/&gt;</w:t>
      </w:r>
    </w:p>
    <w:p>
      <w:pPr>
        <w:pStyle w:val="BodyText"/>
        <w:spacing w:before="1"/>
        <w:ind w:left="750"/>
        <w:rPr>
          <w:rFonts w:ascii="Consolas"/>
        </w:rPr>
      </w:pPr>
      <w:r>
        <w:rPr>
          <w:rFonts w:ascii="Consolas"/>
        </w:rPr>
        <w:t>&lt;headerFooter/&gt;</w:t>
      </w:r>
    </w:p>
    <w:p>
      <w:pPr>
        <w:pStyle w:val="BodyText"/>
        <w:spacing w:before="37"/>
        <w:ind w:left="508"/>
        <w:rPr>
          <w:rFonts w:ascii="Consolas"/>
        </w:rPr>
      </w:pPr>
      <w:r>
        <w:rPr>
          <w:rFonts w:ascii="Consolas"/>
        </w:rPr>
        <w:t>&lt;/customSheetView&gt;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rPr>
                <w:sz w:val="22"/>
              </w:rPr>
            </w:pPr>
            <w:r>
              <w:rPr>
                <w:rFonts w:ascii="Cambria"/>
                <w:sz w:val="22"/>
              </w:rPr>
              <w:t>colorId </w:t>
            </w:r>
            <w:r>
              <w:rPr>
                <w:sz w:val="22"/>
              </w:rPr>
              <w:t>(Color Id)</w:t>
            </w:r>
          </w:p>
        </w:tc>
        <w:tc>
          <w:tcPr>
            <w:tcW w:w="8250" w:type="dxa"/>
          </w:tcPr>
          <w:p>
            <w:pPr>
              <w:pStyle w:val="TableParagraph"/>
              <w:ind w:right="126"/>
              <w:rPr>
                <w:sz w:val="22"/>
              </w:rPr>
            </w:pPr>
            <w:r>
              <w:rPr>
                <w:sz w:val="22"/>
              </w:rPr>
              <w:t>Index to the color value for the text in row/column headings and gridlines for this custom view. This is an 'index color value' (ICV) rather than rgb value.</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filter </w:t>
            </w:r>
            <w:r>
              <w:rPr>
                <w:sz w:val="22"/>
              </w:rPr>
              <w:t>(Filtered List)</w:t>
            </w:r>
          </w:p>
        </w:tc>
        <w:tc>
          <w:tcPr>
            <w:tcW w:w="8250" w:type="dxa"/>
          </w:tcPr>
          <w:p>
            <w:pPr>
              <w:pStyle w:val="TableParagraph"/>
              <w:rPr>
                <w:sz w:val="22"/>
              </w:rPr>
            </w:pPr>
            <w:r>
              <w:rPr>
                <w:sz w:val="22"/>
              </w:rPr>
              <w:t>Flag indicating whether the view contains a filtered range.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rPr>
                <w:sz w:val="22"/>
              </w:rPr>
            </w:pPr>
            <w:r>
              <w:rPr>
                <w:rFonts w:ascii="Cambria"/>
                <w:sz w:val="22"/>
              </w:rPr>
              <w:t>filterUnique </w:t>
            </w:r>
            <w:r>
              <w:rPr>
                <w:sz w:val="22"/>
              </w:rPr>
              <w:t>(Filter)</w:t>
            </w:r>
          </w:p>
        </w:tc>
        <w:tc>
          <w:tcPr>
            <w:tcW w:w="8250" w:type="dxa"/>
          </w:tcPr>
          <w:p>
            <w:pPr>
              <w:pStyle w:val="TableParagraph"/>
              <w:ind w:right="767"/>
              <w:rPr>
                <w:sz w:val="22"/>
              </w:rPr>
            </w:pPr>
            <w:r>
              <w:rPr>
                <w:sz w:val="22"/>
              </w:rPr>
              <w:t>Indicates whether an advanced filter has been applied, and the option to filter out duplicate records from the data list has been selected, in this custom view.</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ind w:right="405"/>
              <w:rPr>
                <w:sz w:val="22"/>
              </w:rPr>
            </w:pPr>
            <w:r>
              <w:rPr>
                <w:rFonts w:ascii="Cambria"/>
                <w:sz w:val="22"/>
              </w:rPr>
              <w:t>fitToPage </w:t>
            </w:r>
            <w:r>
              <w:rPr>
                <w:sz w:val="22"/>
              </w:rPr>
              <w:t>(Fit To Page)</w:t>
            </w:r>
          </w:p>
        </w:tc>
        <w:tc>
          <w:tcPr>
            <w:tcW w:w="8250" w:type="dxa"/>
          </w:tcPr>
          <w:p>
            <w:pPr>
              <w:pStyle w:val="TableParagraph"/>
              <w:rPr>
                <w:sz w:val="22"/>
              </w:rPr>
            </w:pPr>
            <w:r>
              <w:rPr>
                <w:sz w:val="22"/>
              </w:rPr>
              <w:t>Flag indicating whether this view should be fit to page when printing this custom view.</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rPr>
                <w:sz w:val="22"/>
              </w:rPr>
            </w:pPr>
            <w:r>
              <w:rPr>
                <w:rFonts w:ascii="Cambria"/>
                <w:sz w:val="22"/>
              </w:rPr>
              <w:t>guid </w:t>
            </w:r>
            <w:r>
              <w:rPr>
                <w:sz w:val="22"/>
              </w:rPr>
              <w:t>(GUID)</w:t>
            </w:r>
          </w:p>
        </w:tc>
        <w:tc>
          <w:tcPr>
            <w:tcW w:w="8250" w:type="dxa"/>
          </w:tcPr>
          <w:p>
            <w:pPr>
              <w:pStyle w:val="TableParagraph"/>
              <w:ind w:right="121"/>
              <w:rPr>
                <w:sz w:val="22"/>
              </w:rPr>
            </w:pPr>
            <w:r>
              <w:rPr>
                <w:sz w:val="22"/>
              </w:rPr>
              <w:t>Unique identifier of this custom view. This is used to ensure uniqueness. It is generated when the view is created. Shall correspond to a </w:t>
            </w:r>
            <w:r>
              <w:rPr>
                <w:rFonts w:ascii="Cambria"/>
                <w:sz w:val="22"/>
              </w:rPr>
              <w:t>customWorkbookView guid </w:t>
            </w:r>
            <w:r>
              <w:rPr>
                <w:sz w:val="22"/>
              </w:rPr>
              <w:t>value in the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workbook Start Part.</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1158" w:hRule="atLeast"/>
        </w:trPr>
        <w:tc>
          <w:tcPr>
            <w:tcW w:w="2062" w:type="dxa"/>
          </w:tcPr>
          <w:p>
            <w:pPr>
              <w:pStyle w:val="TableParagraph"/>
              <w:spacing w:line="256" w:lineRule="exact" w:before="42"/>
              <w:rPr>
                <w:rFonts w:ascii="Cambria"/>
                <w:sz w:val="22"/>
              </w:rPr>
            </w:pPr>
            <w:r>
              <w:rPr>
                <w:rFonts w:ascii="Cambria"/>
                <w:sz w:val="22"/>
              </w:rPr>
              <w:t>hiddenColumns</w:t>
            </w:r>
          </w:p>
          <w:p>
            <w:pPr>
              <w:pStyle w:val="TableParagraph"/>
              <w:spacing w:line="267" w:lineRule="exact" w:before="0"/>
              <w:rPr>
                <w:sz w:val="22"/>
              </w:rPr>
            </w:pPr>
            <w:r>
              <w:rPr>
                <w:sz w:val="22"/>
              </w:rPr>
              <w:t>(Hidden Columns)</w:t>
            </w:r>
          </w:p>
        </w:tc>
        <w:tc>
          <w:tcPr>
            <w:tcW w:w="8250" w:type="dxa"/>
          </w:tcPr>
          <w:p>
            <w:pPr>
              <w:pStyle w:val="TableParagraph"/>
              <w:rPr>
                <w:sz w:val="22"/>
              </w:rPr>
            </w:pPr>
            <w:r>
              <w:rPr>
                <w:sz w:val="22"/>
              </w:rPr>
              <w:t>Flag indicating that there is one or more hidden column(s) in this custom view.</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hiddenRows</w:t>
            </w:r>
          </w:p>
          <w:p>
            <w:pPr>
              <w:pStyle w:val="TableParagraph"/>
              <w:spacing w:line="268" w:lineRule="exact" w:before="0"/>
              <w:rPr>
                <w:sz w:val="22"/>
              </w:rPr>
            </w:pPr>
            <w:r>
              <w:rPr>
                <w:sz w:val="22"/>
              </w:rPr>
              <w:t>(Hidden Rows)</w:t>
            </w:r>
          </w:p>
        </w:tc>
        <w:tc>
          <w:tcPr>
            <w:tcW w:w="8250" w:type="dxa"/>
          </w:tcPr>
          <w:p>
            <w:pPr>
              <w:pStyle w:val="TableParagraph"/>
              <w:rPr>
                <w:sz w:val="22"/>
              </w:rPr>
            </w:pPr>
            <w:r>
              <w:rPr>
                <w:sz w:val="22"/>
              </w:rPr>
              <w:t>Flag indicating that there is one or more hidden row(s) in this custom view.</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line="237" w:lineRule="auto" w:before="45"/>
              <w:ind w:right="458"/>
              <w:rPr>
                <w:sz w:val="22"/>
              </w:rPr>
            </w:pPr>
            <w:r>
              <w:rPr>
                <w:rFonts w:ascii="Cambria"/>
                <w:sz w:val="22"/>
              </w:rPr>
              <w:t>outlineSymbols </w:t>
            </w:r>
            <w:r>
              <w:rPr>
                <w:sz w:val="22"/>
              </w:rPr>
              <w:t>(Show Outline Symbols)</w:t>
            </w:r>
          </w:p>
        </w:tc>
        <w:tc>
          <w:tcPr>
            <w:tcW w:w="8250" w:type="dxa"/>
          </w:tcPr>
          <w:p>
            <w:pPr>
              <w:pStyle w:val="TableParagraph"/>
              <w:rPr>
                <w:sz w:val="22"/>
              </w:rPr>
            </w:pPr>
            <w:r>
              <w:rPr>
                <w:sz w:val="22"/>
              </w:rPr>
              <w:t>Flag indicating whether outline symbols are displayed in this custom view.</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457"/>
              <w:rPr>
                <w:sz w:val="22"/>
              </w:rPr>
            </w:pPr>
            <w:r>
              <w:rPr>
                <w:rFonts w:ascii="Cambria"/>
                <w:sz w:val="22"/>
              </w:rPr>
              <w:t>printArea </w:t>
            </w:r>
            <w:r>
              <w:rPr>
                <w:sz w:val="22"/>
              </w:rPr>
              <w:t>(Print Area Defined)</w:t>
            </w:r>
          </w:p>
        </w:tc>
        <w:tc>
          <w:tcPr>
            <w:tcW w:w="8250" w:type="dxa"/>
          </w:tcPr>
          <w:p>
            <w:pPr>
              <w:pStyle w:val="TableParagraph"/>
              <w:rPr>
                <w:sz w:val="22"/>
              </w:rPr>
            </w:pPr>
            <w:r>
              <w:rPr>
                <w:sz w:val="22"/>
              </w:rPr>
              <w:t>Flag indicating whether a print area is defined as part of this custom view.</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4113" w:hRule="atLeast"/>
        </w:trPr>
        <w:tc>
          <w:tcPr>
            <w:tcW w:w="2062" w:type="dxa"/>
          </w:tcPr>
          <w:p>
            <w:pPr>
              <w:pStyle w:val="TableParagraph"/>
              <w:rPr>
                <w:sz w:val="22"/>
              </w:rPr>
            </w:pPr>
            <w:r>
              <w:rPr>
                <w:rFonts w:ascii="Cambria"/>
                <w:sz w:val="22"/>
              </w:rPr>
              <w:t>scale </w:t>
            </w:r>
            <w:r>
              <w:rPr>
                <w:sz w:val="22"/>
              </w:rPr>
              <w:t>(Print Scale)</w:t>
            </w:r>
          </w:p>
        </w:tc>
        <w:tc>
          <w:tcPr>
            <w:tcW w:w="8250" w:type="dxa"/>
          </w:tcPr>
          <w:p>
            <w:pPr>
              <w:pStyle w:val="TableParagraph"/>
              <w:ind w:right="418"/>
              <w:rPr>
                <w:sz w:val="22"/>
              </w:rPr>
            </w:pPr>
            <w:r>
              <w:rPr>
                <w:sz w:val="22"/>
              </w:rPr>
              <w:t>Print scaling for this custom view. The values of this attribute shall be restricted to the range from 10 to 400.</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1"/>
              <w:rPr>
                <w:sz w:val="22"/>
              </w:rPr>
            </w:pPr>
            <w:r>
              <w:rPr>
                <w:sz w:val="22"/>
              </w:rPr>
              <w:t>10 -</w:t>
            </w:r>
            <w:r>
              <w:rPr>
                <w:spacing w:val="-2"/>
                <w:sz w:val="22"/>
              </w:rPr>
              <w:t> </w:t>
            </w:r>
            <w:r>
              <w:rPr>
                <w:sz w:val="22"/>
              </w:rPr>
              <w:t>10%</w:t>
            </w:r>
          </w:p>
          <w:p>
            <w:pPr>
              <w:pStyle w:val="TableParagraph"/>
              <w:spacing w:line="267" w:lineRule="exact" w:before="0"/>
              <w:rPr>
                <w:sz w:val="22"/>
              </w:rPr>
            </w:pPr>
            <w:r>
              <w:rPr>
                <w:sz w:val="22"/>
              </w:rPr>
              <w:t>20 -</w:t>
            </w:r>
            <w:r>
              <w:rPr>
                <w:spacing w:val="-2"/>
                <w:sz w:val="22"/>
              </w:rPr>
              <w:t> </w:t>
            </w:r>
            <w:r>
              <w:rPr>
                <w:sz w:val="22"/>
              </w:rPr>
              <w:t>20%</w:t>
            </w:r>
          </w:p>
          <w:p>
            <w:pPr>
              <w:pStyle w:val="TableParagraph"/>
              <w:spacing w:line="267" w:lineRule="exact" w:before="0"/>
              <w:rPr>
                <w:sz w:val="22"/>
              </w:rPr>
            </w:pPr>
            <w:r>
              <w:rPr>
                <w:w w:val="100"/>
                <w:sz w:val="22"/>
              </w:rPr>
              <w:t>…</w:t>
            </w:r>
          </w:p>
          <w:p>
            <w:pPr>
              <w:pStyle w:val="TableParagraph"/>
              <w:spacing w:before="1"/>
              <w:rPr>
                <w:sz w:val="22"/>
              </w:rPr>
            </w:pPr>
            <w:r>
              <w:rPr>
                <w:sz w:val="22"/>
              </w:rPr>
              <w:t>100 -</w:t>
            </w:r>
            <w:r>
              <w:rPr>
                <w:spacing w:val="-3"/>
                <w:sz w:val="22"/>
              </w:rPr>
              <w:t> </w:t>
            </w:r>
            <w:r>
              <w:rPr>
                <w:sz w:val="22"/>
              </w:rPr>
              <w:t>100%</w:t>
            </w:r>
          </w:p>
          <w:p>
            <w:pPr>
              <w:pStyle w:val="TableParagraph"/>
              <w:spacing w:before="0"/>
              <w:rPr>
                <w:sz w:val="22"/>
              </w:rPr>
            </w:pPr>
            <w:r>
              <w:rPr>
                <w:w w:val="100"/>
                <w:sz w:val="22"/>
              </w:rPr>
              <w:t>…</w:t>
            </w:r>
          </w:p>
          <w:p>
            <w:pPr>
              <w:pStyle w:val="TableParagraph"/>
              <w:spacing w:before="0"/>
              <w:rPr>
                <w:sz w:val="22"/>
              </w:rPr>
            </w:pPr>
            <w:r>
              <w:rPr>
                <w:sz w:val="22"/>
              </w:rPr>
              <w:t>400 -</w:t>
            </w:r>
            <w:r>
              <w:rPr>
                <w:spacing w:val="-3"/>
                <w:sz w:val="22"/>
              </w:rPr>
              <w:t> </w:t>
            </w:r>
            <w:r>
              <w:rPr>
                <w:sz w:val="22"/>
              </w:rPr>
              <w:t>400%</w:t>
            </w:r>
          </w:p>
          <w:p>
            <w:pPr>
              <w:pStyle w:val="TableParagraph"/>
              <w:spacing w:before="4"/>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416"/>
              <w:rPr>
                <w:sz w:val="22"/>
              </w:rPr>
            </w:pPr>
            <w:r>
              <w:rPr>
                <w:rFonts w:ascii="Cambria"/>
                <w:sz w:val="22"/>
              </w:rPr>
              <w:t>showAutoFilter </w:t>
            </w:r>
            <w:r>
              <w:rPr>
                <w:sz w:val="22"/>
              </w:rPr>
              <w:t>(Show AutoFilter Drop Down Controls)</w:t>
            </w:r>
          </w:p>
        </w:tc>
        <w:tc>
          <w:tcPr>
            <w:tcW w:w="8250" w:type="dxa"/>
          </w:tcPr>
          <w:p>
            <w:pPr>
              <w:pStyle w:val="TableParagraph"/>
              <w:rPr>
                <w:sz w:val="22"/>
              </w:rPr>
            </w:pPr>
            <w:r>
              <w:rPr>
                <w:sz w:val="22"/>
              </w:rPr>
              <w:t>Flag indicating whether the autofilter dropdown buttons are visible in this custom view.</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showFormulas</w:t>
            </w:r>
          </w:p>
          <w:p>
            <w:pPr>
              <w:pStyle w:val="TableParagraph"/>
              <w:spacing w:line="268" w:lineRule="exact" w:before="0"/>
              <w:rPr>
                <w:sz w:val="22"/>
              </w:rPr>
            </w:pPr>
            <w:r>
              <w:rPr>
                <w:sz w:val="22"/>
              </w:rPr>
              <w:t>(Show Formulas)</w:t>
            </w:r>
          </w:p>
        </w:tc>
        <w:tc>
          <w:tcPr>
            <w:tcW w:w="8250" w:type="dxa"/>
          </w:tcPr>
          <w:p>
            <w:pPr>
              <w:pStyle w:val="TableParagraph"/>
              <w:rPr>
                <w:sz w:val="22"/>
              </w:rPr>
            </w:pPr>
            <w:r>
              <w:rPr>
                <w:sz w:val="22"/>
              </w:rPr>
              <w:t>Flag indicating whether formulas are shown in this custom view.</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spacing w:before="42"/>
              <w:rPr>
                <w:rFonts w:ascii="Cambria"/>
                <w:sz w:val="22"/>
              </w:rPr>
            </w:pPr>
            <w:r>
              <w:rPr>
                <w:rFonts w:ascii="Cambria"/>
                <w:sz w:val="22"/>
              </w:rPr>
              <w:t>showGridLines</w:t>
            </w:r>
          </w:p>
        </w:tc>
        <w:tc>
          <w:tcPr>
            <w:tcW w:w="8250" w:type="dxa"/>
          </w:tcPr>
          <w:p>
            <w:pPr>
              <w:pStyle w:val="TableParagraph"/>
              <w:rPr>
                <w:sz w:val="22"/>
              </w:rPr>
            </w:pPr>
            <w:r>
              <w:rPr>
                <w:sz w:val="22"/>
              </w:rPr>
              <w:t>Flag indicating whether gridlines are shown in this custom view.</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(Show Grid Lines)</w:t>
            </w: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showPageBreaks</w:t>
            </w:r>
          </w:p>
          <w:p>
            <w:pPr>
              <w:pStyle w:val="TableParagraph"/>
              <w:spacing w:line="267" w:lineRule="exact" w:before="0"/>
              <w:rPr>
                <w:sz w:val="22"/>
              </w:rPr>
            </w:pPr>
            <w:r>
              <w:rPr>
                <w:sz w:val="22"/>
              </w:rPr>
              <w:t>(Show Page Breaks)</w:t>
            </w:r>
          </w:p>
        </w:tc>
        <w:tc>
          <w:tcPr>
            <w:tcW w:w="8250" w:type="dxa"/>
          </w:tcPr>
          <w:p>
            <w:pPr>
              <w:pStyle w:val="TableParagraph"/>
              <w:rPr>
                <w:sz w:val="22"/>
              </w:rPr>
            </w:pPr>
            <w:r>
              <w:rPr>
                <w:sz w:val="22"/>
              </w:rPr>
              <w:t>Flag indicating whether page breaks are shown in this custom view.</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showRowCol</w:t>
            </w:r>
          </w:p>
          <w:p>
            <w:pPr>
              <w:pStyle w:val="TableParagraph"/>
              <w:spacing w:line="268" w:lineRule="exact" w:before="0"/>
              <w:rPr>
                <w:sz w:val="22"/>
              </w:rPr>
            </w:pPr>
            <w:r>
              <w:rPr>
                <w:sz w:val="22"/>
              </w:rPr>
              <w:t>(Show Headers)</w:t>
            </w:r>
          </w:p>
        </w:tc>
        <w:tc>
          <w:tcPr>
            <w:tcW w:w="8250" w:type="dxa"/>
          </w:tcPr>
          <w:p>
            <w:pPr>
              <w:pStyle w:val="TableParagraph"/>
              <w:rPr>
                <w:sz w:val="22"/>
              </w:rPr>
            </w:pPr>
            <w:r>
              <w:rPr>
                <w:sz w:val="22"/>
              </w:rPr>
              <w:t>Flag indicating whether row and column headers are shown in this custom view.</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ind w:right="292"/>
              <w:rPr>
                <w:sz w:val="22"/>
              </w:rPr>
            </w:pPr>
            <w:r>
              <w:rPr>
                <w:rFonts w:ascii="Cambria"/>
                <w:sz w:val="22"/>
              </w:rPr>
              <w:t>showRuler </w:t>
            </w:r>
            <w:r>
              <w:rPr>
                <w:sz w:val="22"/>
              </w:rPr>
              <w:t>(Show Ruler)</w:t>
            </w:r>
          </w:p>
        </w:tc>
        <w:tc>
          <w:tcPr>
            <w:tcW w:w="8250" w:type="dxa"/>
          </w:tcPr>
          <w:p>
            <w:pPr>
              <w:pStyle w:val="TableParagraph"/>
              <w:ind w:right="633"/>
              <w:rPr>
                <w:sz w:val="22"/>
              </w:rPr>
            </w:pPr>
            <w:r>
              <w:rPr>
                <w:sz w:val="22"/>
              </w:rPr>
              <w:t>Flag indicating whether to show the ruler in this custom view. Only applicable if this Custom View is in page layout view (§</w:t>
            </w:r>
            <w:hyperlink w:history="true" w:anchor="_bookmark891">
              <w:r>
                <w:rPr>
                  <w:sz w:val="22"/>
                </w:rPr>
                <w:t>18.18.69</w:t>
              </w:r>
            </w:hyperlink>
            <w:r>
              <w:rPr>
                <w:sz w:val="22"/>
              </w:rPr>
              <w:t>).</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state </w:t>
            </w:r>
            <w:r>
              <w:rPr>
                <w:sz w:val="22"/>
              </w:rPr>
              <w:t>(Visible State)</w:t>
            </w:r>
          </w:p>
        </w:tc>
        <w:tc>
          <w:tcPr>
            <w:tcW w:w="8250" w:type="dxa"/>
          </w:tcPr>
          <w:p>
            <w:pPr>
              <w:pStyle w:val="TableParagraph"/>
              <w:rPr>
                <w:sz w:val="22"/>
              </w:rPr>
            </w:pPr>
            <w:r>
              <w:rPr>
                <w:sz w:val="22"/>
              </w:rPr>
              <w:t>Visibility state for this custom view.</w:t>
            </w:r>
          </w:p>
          <w:p>
            <w:pPr>
              <w:pStyle w:val="TableParagraph"/>
              <w:spacing w:before="4"/>
              <w:ind w:left="0"/>
              <w:rPr>
                <w:rFonts w:ascii="Times New Roman"/>
                <w:sz w:val="23"/>
              </w:rPr>
            </w:pPr>
          </w:p>
          <w:p>
            <w:pPr>
              <w:pStyle w:val="TableParagraph"/>
              <w:spacing w:before="0"/>
              <w:ind w:right="712"/>
              <w:rPr>
                <w:sz w:val="22"/>
              </w:rPr>
            </w:pPr>
            <w:r>
              <w:rPr>
                <w:sz w:val="22"/>
              </w:rPr>
              <w:t>The possible values for this attribute are defined by the </w:t>
            </w:r>
            <w:r>
              <w:rPr>
                <w:rFonts w:ascii="Cambria" w:hAnsi="Cambria"/>
                <w:sz w:val="22"/>
              </w:rPr>
              <w:t>ST_SheetState </w:t>
            </w:r>
            <w:r>
              <w:rPr>
                <w:sz w:val="22"/>
              </w:rPr>
              <w:t>simple type </w:t>
            </w:r>
            <w:hyperlink w:history="true" w:anchor="_bookmark890">
              <w:r>
                <w:rPr>
                  <w:sz w:val="22"/>
                </w:rPr>
                <w:t>(§18.18.68</w:t>
              </w:r>
            </w:hyperlink>
            <w:r>
              <w:rPr>
                <w:sz w:val="22"/>
              </w:rPr>
              <w:t>).</w:t>
            </w:r>
          </w:p>
        </w:tc>
      </w:tr>
      <w:tr>
        <w:trPr>
          <w:trHeight w:val="1428" w:hRule="atLeast"/>
        </w:trPr>
        <w:tc>
          <w:tcPr>
            <w:tcW w:w="2062" w:type="dxa"/>
          </w:tcPr>
          <w:p>
            <w:pPr>
              <w:pStyle w:val="TableParagraph"/>
              <w:ind w:right="432"/>
              <w:rPr>
                <w:sz w:val="22"/>
              </w:rPr>
            </w:pPr>
            <w:r>
              <w:rPr>
                <w:rFonts w:ascii="Cambria"/>
                <w:sz w:val="22"/>
              </w:rPr>
              <w:t>topLeftCell </w:t>
            </w:r>
            <w:r>
              <w:rPr>
                <w:sz w:val="22"/>
              </w:rPr>
              <w:t>(Top Left Visible Cell)</w:t>
            </w:r>
          </w:p>
        </w:tc>
        <w:tc>
          <w:tcPr>
            <w:tcW w:w="8250" w:type="dxa"/>
          </w:tcPr>
          <w:p>
            <w:pPr>
              <w:pStyle w:val="TableParagraph"/>
              <w:ind w:right="255"/>
              <w:rPr>
                <w:sz w:val="22"/>
              </w:rPr>
            </w:pPr>
            <w:r>
              <w:rPr>
                <w:sz w:val="22"/>
              </w:rPr>
              <w:t>Location of the top left visible cell in the bottom right pane in this custom view (when in Left-to-Right mode).</w:t>
            </w:r>
          </w:p>
          <w:p>
            <w:pPr>
              <w:pStyle w:val="TableParagraph"/>
              <w:spacing w:before="7"/>
              <w:ind w:left="0"/>
              <w:rPr>
                <w:rFonts w:ascii="Times New Roman"/>
                <w:sz w:val="23"/>
              </w:rPr>
            </w:pPr>
          </w:p>
          <w:p>
            <w:pPr>
              <w:pStyle w:val="TableParagraph"/>
              <w:spacing w:line="237" w:lineRule="auto"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161" w:hRule="atLeast"/>
        </w:trPr>
        <w:tc>
          <w:tcPr>
            <w:tcW w:w="2062" w:type="dxa"/>
          </w:tcPr>
          <w:p>
            <w:pPr>
              <w:pStyle w:val="TableParagraph"/>
              <w:rPr>
                <w:sz w:val="22"/>
              </w:rPr>
            </w:pPr>
            <w:r>
              <w:rPr>
                <w:rFonts w:ascii="Cambria"/>
                <w:sz w:val="22"/>
              </w:rPr>
              <w:t>view </w:t>
            </w:r>
            <w:r>
              <w:rPr>
                <w:sz w:val="22"/>
              </w:rPr>
              <w:t>(View Type)</w:t>
            </w:r>
          </w:p>
        </w:tc>
        <w:tc>
          <w:tcPr>
            <w:tcW w:w="8250" w:type="dxa"/>
          </w:tcPr>
          <w:p>
            <w:pPr>
              <w:pStyle w:val="TableParagraph"/>
              <w:rPr>
                <w:sz w:val="22"/>
              </w:rPr>
            </w:pPr>
            <w:r>
              <w:rPr>
                <w:sz w:val="22"/>
              </w:rPr>
              <w:t>Indicates the view type for this Custom View</w:t>
            </w:r>
          </w:p>
          <w:p>
            <w:pPr>
              <w:pStyle w:val="TableParagraph"/>
              <w:spacing w:before="4"/>
              <w:ind w:left="0"/>
              <w:rPr>
                <w:rFonts w:ascii="Times New Roman"/>
                <w:sz w:val="23"/>
              </w:rPr>
            </w:pPr>
          </w:p>
          <w:p>
            <w:pPr>
              <w:pStyle w:val="TableParagraph"/>
              <w:spacing w:before="0"/>
              <w:ind w:right="243"/>
              <w:rPr>
                <w:sz w:val="22"/>
              </w:rPr>
            </w:pPr>
            <w:r>
              <w:rPr>
                <w:sz w:val="22"/>
              </w:rPr>
              <w:t>The possible values for this attribute are defined by the </w:t>
            </w:r>
            <w:r>
              <w:rPr>
                <w:rFonts w:ascii="Cambria" w:hAnsi="Cambria"/>
                <w:sz w:val="22"/>
              </w:rPr>
              <w:t>ST_SheetViewType </w:t>
            </w:r>
            <w:r>
              <w:rPr>
                <w:sz w:val="22"/>
              </w:rPr>
              <w:t>simple type </w:t>
            </w:r>
            <w:hyperlink w:history="true" w:anchor="_bookmark891">
              <w:r>
                <w:rPr>
                  <w:sz w:val="22"/>
                </w:rPr>
                <w:t>(§18.18.69</w:t>
              </w:r>
            </w:hyperlink>
            <w:r>
              <w:rPr>
                <w:sz w:val="22"/>
              </w:rPr>
              <w:t>).</w:t>
            </w:r>
          </w:p>
        </w:tc>
      </w:tr>
      <w:tr>
        <w:trPr>
          <w:trHeight w:val="1161" w:hRule="atLeast"/>
        </w:trPr>
        <w:tc>
          <w:tcPr>
            <w:tcW w:w="2062" w:type="dxa"/>
          </w:tcPr>
          <w:p>
            <w:pPr>
              <w:pStyle w:val="TableParagraph"/>
              <w:ind w:right="273"/>
              <w:rPr>
                <w:sz w:val="22"/>
              </w:rPr>
            </w:pPr>
            <w:r>
              <w:rPr>
                <w:rFonts w:ascii="Cambria"/>
                <w:sz w:val="22"/>
              </w:rPr>
              <w:t>zeroValues </w:t>
            </w:r>
            <w:r>
              <w:rPr>
                <w:sz w:val="22"/>
              </w:rPr>
              <w:t>(Show Zero Values)</w:t>
            </w:r>
          </w:p>
        </w:tc>
        <w:tc>
          <w:tcPr>
            <w:tcW w:w="8250" w:type="dxa"/>
          </w:tcPr>
          <w:p>
            <w:pPr>
              <w:pStyle w:val="TableParagraph"/>
              <w:rPr>
                <w:sz w:val="22"/>
              </w:rPr>
            </w:pPr>
            <w:r>
              <w:rPr>
                <w:sz w:val="22"/>
              </w:rPr>
              <w:t>Flag indicating whether the window should display 0 (zero) values in this custom view.</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CT_CustomSheetView</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26 customSheetViews (Custom Chart" w:id="179"/>
      <w:bookmarkEnd w:id="179"/>
      <w:r>
        <w:rPr/>
      </w:r>
      <w:bookmarkStart w:name="_bookmark58" w:id="180"/>
      <w:bookmarkEnd w:id="180"/>
      <w:r>
        <w:rPr/>
      </w:r>
      <w:bookmarkStart w:name="_bookmark58" w:id="181"/>
      <w:bookmarkEnd w:id="181"/>
      <w:r>
        <w:rPr>
          <w:color w:val="4F81BC"/>
        </w:rPr>
        <w:t>c</w:t>
      </w:r>
      <w:r>
        <w:rPr>
          <w:color w:val="4F81BC"/>
        </w:rPr>
        <w:t>ustomSheetViews (Custom Chart Sheet</w:t>
      </w:r>
      <w:r>
        <w:rPr>
          <w:color w:val="4F81BC"/>
          <w:spacing w:val="-3"/>
        </w:rPr>
        <w:t> </w:t>
      </w:r>
      <w:r>
        <w:rPr>
          <w:color w:val="4F81BC"/>
        </w:rPr>
        <w:t>Views)</w:t>
      </w:r>
    </w:p>
    <w:p>
      <w:pPr>
        <w:pStyle w:val="BodyText"/>
        <w:spacing w:before="121"/>
        <w:ind w:left="220"/>
      </w:pPr>
      <w:r>
        <w:rPr/>
        <w:t>Collection of custom Chart Sheet View information.</w:t>
      </w:r>
    </w:p>
    <w:p>
      <w:pPr>
        <w:pStyle w:val="BodyText"/>
        <w:spacing w:before="5"/>
        <w:rPr>
          <w:sz w:val="19"/>
        </w:rPr>
      </w:pPr>
    </w:p>
    <w:p>
      <w:pPr>
        <w:pStyle w:val="BodyText"/>
        <w:spacing w:line="278" w:lineRule="auto" w:before="1"/>
        <w:ind w:left="220" w:right="396"/>
      </w:pPr>
      <w:r>
        <w:rPr/>
        <w:t>[</w:t>
      </w:r>
      <w:r>
        <w:rPr>
          <w:i/>
        </w:rPr>
        <w:t>Note</w:t>
      </w:r>
      <w:r>
        <w:rPr/>
        <w:t>: The W3C XML Schema definition of this element’s content model (</w:t>
      </w:r>
      <w:r>
        <w:rPr>
          <w:color w:val="5F5F5F"/>
          <w:u w:val="single" w:color="5F5F5F"/>
        </w:rPr>
        <w:t>CT_CustomChartsheetViews</w:t>
      </w:r>
      <w:r>
        <w:rPr/>
        <w:t>) is located in §A.2. </w:t>
      </w:r>
      <w:r>
        <w:rPr>
          <w:i/>
        </w:rPr>
        <w:t>end note</w:t>
      </w:r>
      <w:r>
        <w:rPr/>
        <w:t>]</w:t>
      </w:r>
    </w:p>
    <w:p>
      <w:pPr>
        <w:spacing w:after="0" w:line="278" w:lineRule="auto"/>
        <w:sectPr>
          <w:pgSz w:w="12240" w:h="15840"/>
          <w:pgMar w:header="763" w:footer="746" w:top="1340" w:bottom="940" w:left="860" w:right="700"/>
        </w:sectPr>
      </w:pPr>
    </w:p>
    <w:p>
      <w:pPr>
        <w:pStyle w:val="Heading3"/>
        <w:numPr>
          <w:ilvl w:val="3"/>
          <w:numId w:val="22"/>
        </w:numPr>
        <w:tabs>
          <w:tab w:pos="1732" w:val="left" w:leader="none"/>
          <w:tab w:pos="1733" w:val="left" w:leader="none"/>
        </w:tabs>
        <w:spacing w:line="240" w:lineRule="auto" w:before="93" w:after="0"/>
        <w:ind w:left="1732" w:right="0" w:hanging="1513"/>
        <w:jc w:val="left"/>
      </w:pPr>
      <w:bookmarkStart w:name="18.3.1.27 customSheetViews (Custom Sheet" w:id="182"/>
      <w:bookmarkEnd w:id="182"/>
      <w:r>
        <w:rPr/>
      </w:r>
      <w:bookmarkStart w:name="_bookmark59" w:id="183"/>
      <w:bookmarkEnd w:id="183"/>
      <w:r>
        <w:rPr/>
      </w:r>
      <w:bookmarkStart w:name="_bookmark59" w:id="184"/>
      <w:bookmarkEnd w:id="184"/>
      <w:r>
        <w:rPr>
          <w:color w:val="4F81BC"/>
        </w:rPr>
        <w:t>c</w:t>
      </w:r>
      <w:r>
        <w:rPr>
          <w:color w:val="4F81BC"/>
        </w:rPr>
        <w:t>ustomSheetViews (Custom Sheet</w:t>
      </w:r>
      <w:r>
        <w:rPr>
          <w:color w:val="4F81BC"/>
          <w:spacing w:val="-2"/>
        </w:rPr>
        <w:t> </w:t>
      </w:r>
      <w:r>
        <w:rPr>
          <w:color w:val="4F81BC"/>
        </w:rPr>
        <w:t>Views)</w:t>
      </w:r>
    </w:p>
    <w:p>
      <w:pPr>
        <w:pStyle w:val="BodyText"/>
        <w:spacing w:before="122"/>
        <w:ind w:left="220"/>
      </w:pPr>
      <w:r>
        <w:rPr/>
        <w:t>This is a collection of custom sheet views.</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CT_CustomSheetViews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28 dataBar (Data Bar)" w:id="185"/>
      <w:bookmarkEnd w:id="185"/>
      <w:r>
        <w:rPr/>
      </w:r>
      <w:bookmarkStart w:name="_bookmark60" w:id="186"/>
      <w:bookmarkEnd w:id="186"/>
      <w:r>
        <w:rPr/>
      </w:r>
      <w:bookmarkStart w:name="_bookmark60" w:id="187"/>
      <w:bookmarkEnd w:id="187"/>
      <w:r>
        <w:rPr>
          <w:color w:val="4F81BC"/>
        </w:rPr>
        <w:t>d</w:t>
      </w:r>
      <w:r>
        <w:rPr>
          <w:color w:val="4F81BC"/>
        </w:rPr>
        <w:t>ataBar (Data</w:t>
      </w:r>
      <w:r>
        <w:rPr>
          <w:color w:val="4F81BC"/>
          <w:spacing w:val="-2"/>
        </w:rPr>
        <w:t> </w:t>
      </w:r>
      <w:r>
        <w:rPr>
          <w:color w:val="4F81BC"/>
        </w:rPr>
        <w:t>Bar)</w:t>
      </w:r>
    </w:p>
    <w:p>
      <w:pPr>
        <w:pStyle w:val="BodyText"/>
        <w:spacing w:line="453" w:lineRule="auto" w:before="121"/>
        <w:ind w:left="220" w:right="6108"/>
      </w:pPr>
      <w:r>
        <w:rPr/>
        <w:t>Describes a data bar conditional formatting rule. [</w:t>
      </w:r>
      <w:r>
        <w:rPr>
          <w:i/>
        </w:rPr>
        <w:t>Example</w:t>
      </w:r>
      <w:r>
        <w:rPr/>
        <w:t>:</w:t>
      </w:r>
    </w:p>
    <w:p>
      <w:pPr>
        <w:pStyle w:val="BodyText"/>
        <w:spacing w:line="278" w:lineRule="auto"/>
        <w:ind w:left="220" w:right="521"/>
      </w:pPr>
      <w:r>
        <w:rPr/>
        <w:t>In this example a data bar conditional format is expressed, which spreads across all cell values in the cell range, and whose color is blue.</w:t>
      </w:r>
    </w:p>
    <w:p>
      <w:pPr>
        <w:pStyle w:val="BodyText"/>
        <w:spacing w:before="3"/>
        <w:rPr>
          <w:sz w:val="16"/>
        </w:rPr>
      </w:pPr>
    </w:p>
    <w:p>
      <w:pPr>
        <w:pStyle w:val="BodyText"/>
        <w:ind w:left="508"/>
        <w:rPr>
          <w:rFonts w:ascii="Consolas"/>
        </w:rPr>
      </w:pPr>
      <w:r>
        <w:rPr>
          <w:rFonts w:ascii="Consolas"/>
        </w:rPr>
        <w:t>&lt;dataBar&gt;</w:t>
      </w:r>
    </w:p>
    <w:p>
      <w:pPr>
        <w:pStyle w:val="BodyText"/>
        <w:spacing w:before="38"/>
        <w:ind w:left="750"/>
        <w:rPr>
          <w:rFonts w:ascii="Consolas"/>
        </w:rPr>
      </w:pPr>
      <w:r>
        <w:rPr>
          <w:rFonts w:ascii="Consolas"/>
        </w:rPr>
        <w:t>&lt;cfvo type="min"</w:t>
      </w:r>
      <w:r>
        <w:rPr>
          <w:rFonts w:ascii="Consolas"/>
          <w:spacing w:val="-18"/>
        </w:rPr>
        <w:t> </w:t>
      </w:r>
      <w:r>
        <w:rPr>
          <w:rFonts w:ascii="Consolas"/>
        </w:rPr>
        <w:t>val="0"/&gt;</w:t>
      </w:r>
    </w:p>
    <w:p>
      <w:pPr>
        <w:pStyle w:val="BodyText"/>
        <w:spacing w:before="40"/>
        <w:ind w:left="750"/>
        <w:rPr>
          <w:rFonts w:ascii="Consolas"/>
        </w:rPr>
      </w:pPr>
      <w:r>
        <w:rPr>
          <w:rFonts w:ascii="Consolas"/>
        </w:rPr>
        <w:t>&lt;cfvo type="max"</w:t>
      </w:r>
      <w:r>
        <w:rPr>
          <w:rFonts w:ascii="Consolas"/>
          <w:spacing w:val="-14"/>
        </w:rPr>
        <w:t> </w:t>
      </w:r>
      <w:r>
        <w:rPr>
          <w:rFonts w:ascii="Consolas"/>
        </w:rPr>
        <w:t>val="0"/&gt;</w:t>
      </w:r>
    </w:p>
    <w:p>
      <w:pPr>
        <w:pStyle w:val="BodyText"/>
        <w:spacing w:before="38"/>
        <w:ind w:left="750"/>
        <w:rPr>
          <w:rFonts w:ascii="Consolas"/>
        </w:rPr>
      </w:pPr>
      <w:r>
        <w:rPr>
          <w:rFonts w:ascii="Consolas"/>
        </w:rPr>
        <w:t>&lt;color rgb="FF638EC6"/&gt;</w:t>
      </w:r>
    </w:p>
    <w:p>
      <w:pPr>
        <w:pStyle w:val="BodyText"/>
        <w:spacing w:before="37"/>
        <w:ind w:left="508"/>
        <w:rPr>
          <w:rFonts w:ascii="Consolas"/>
        </w:rPr>
      </w:pPr>
      <w:r>
        <w:rPr>
          <w:rFonts w:ascii="Consolas"/>
        </w:rPr>
        <w:t>&lt;/dataBar&gt;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spacing w:before="1"/>
        <w:ind w:left="220"/>
      </w:pPr>
      <w:r>
        <w:rPr/>
        <w:t>The length of the data bar for any cell can be calculated as follows:</w:t>
      </w:r>
    </w:p>
    <w:p>
      <w:pPr>
        <w:pStyle w:val="BodyText"/>
        <w:spacing w:before="5"/>
        <w:rPr>
          <w:sz w:val="19"/>
        </w:rPr>
      </w:pPr>
    </w:p>
    <w:p>
      <w:pPr>
        <w:pStyle w:val="BodyText"/>
        <w:spacing w:line="278" w:lineRule="auto" w:before="1"/>
        <w:ind w:left="220" w:right="1119"/>
      </w:pPr>
      <w:r>
        <w:rPr/>
        <w:t>Data bar length = minLength + (cell value - minimum value in the range) / (maximum value in the range - minimum value in the range) * (maxLength - minLength),</w:t>
      </w:r>
    </w:p>
    <w:p>
      <w:pPr>
        <w:pStyle w:val="BodyText"/>
        <w:spacing w:line="453" w:lineRule="auto" w:before="198" w:after="3"/>
        <w:ind w:left="220" w:right="578"/>
      </w:pPr>
      <w:r>
        <w:rPr/>
        <w:t>where min and max length are a fixed percentage of the column width (by default, 10% and 90% respectively.) The minimum difference in length (or increment amount) is 1 pixel.</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56" w:lineRule="exact" w:before="42"/>
              <w:rPr>
                <w:rFonts w:ascii="Cambria"/>
                <w:sz w:val="22"/>
              </w:rPr>
            </w:pPr>
            <w:r>
              <w:rPr>
                <w:rFonts w:ascii="Cambria"/>
                <w:sz w:val="22"/>
              </w:rPr>
              <w:t>maxLength</w:t>
            </w:r>
          </w:p>
          <w:p>
            <w:pPr>
              <w:pStyle w:val="TableParagraph"/>
              <w:spacing w:line="267" w:lineRule="exact" w:before="0"/>
              <w:rPr>
                <w:sz w:val="22"/>
              </w:rPr>
            </w:pPr>
            <w:r>
              <w:rPr>
                <w:sz w:val="22"/>
              </w:rPr>
              <w:t>(Maximum Length)</w:t>
            </w:r>
          </w:p>
        </w:tc>
        <w:tc>
          <w:tcPr>
            <w:tcW w:w="8250" w:type="dxa"/>
          </w:tcPr>
          <w:p>
            <w:pPr>
              <w:pStyle w:val="TableParagraph"/>
              <w:rPr>
                <w:sz w:val="22"/>
              </w:rPr>
            </w:pPr>
            <w:r>
              <w:rPr>
                <w:sz w:val="22"/>
              </w:rPr>
              <w:t>The maximum length of the data bar, as a percentage of the cell width.</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line="256" w:lineRule="exact" w:before="45"/>
              <w:rPr>
                <w:rFonts w:ascii="Cambria"/>
                <w:sz w:val="22"/>
              </w:rPr>
            </w:pPr>
            <w:r>
              <w:rPr>
                <w:rFonts w:ascii="Cambria"/>
                <w:sz w:val="22"/>
              </w:rPr>
              <w:t>minLength</w:t>
            </w:r>
          </w:p>
          <w:p>
            <w:pPr>
              <w:pStyle w:val="TableParagraph"/>
              <w:spacing w:line="267" w:lineRule="exact" w:before="0"/>
              <w:rPr>
                <w:sz w:val="22"/>
              </w:rPr>
            </w:pPr>
            <w:r>
              <w:rPr>
                <w:sz w:val="22"/>
              </w:rPr>
              <w:t>(Minimum Length)</w:t>
            </w:r>
          </w:p>
        </w:tc>
        <w:tc>
          <w:tcPr>
            <w:tcW w:w="8250" w:type="dxa"/>
          </w:tcPr>
          <w:p>
            <w:pPr>
              <w:pStyle w:val="TableParagraph"/>
              <w:spacing w:before="42"/>
              <w:rPr>
                <w:sz w:val="22"/>
              </w:rPr>
            </w:pPr>
            <w:r>
              <w:rPr>
                <w:sz w:val="22"/>
              </w:rPr>
              <w:t>The minimum length of the data bar, as a percentage of the cell width.</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280"/>
              <w:rPr>
                <w:sz w:val="22"/>
              </w:rPr>
            </w:pPr>
            <w:r>
              <w:rPr>
                <w:rFonts w:ascii="Cambria"/>
                <w:sz w:val="22"/>
              </w:rPr>
              <w:t>showValue </w:t>
            </w:r>
            <w:r>
              <w:rPr>
                <w:sz w:val="22"/>
              </w:rPr>
              <w:t>(Show Values)</w:t>
            </w:r>
          </w:p>
        </w:tc>
        <w:tc>
          <w:tcPr>
            <w:tcW w:w="8250" w:type="dxa"/>
          </w:tcPr>
          <w:p>
            <w:pPr>
              <w:pStyle w:val="TableParagraph"/>
              <w:rPr>
                <w:sz w:val="22"/>
              </w:rPr>
            </w:pPr>
            <w:r>
              <w:rPr>
                <w:sz w:val="22"/>
              </w:rPr>
              <w:t>Indicates whether to show the values of the cells on which this data bar is applied.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line="278" w:lineRule="auto" w:before="148"/>
        <w:ind w:left="220" w:right="763"/>
      </w:pPr>
      <w:r>
        <w:rPr/>
        <w:t>[</w:t>
      </w:r>
      <w:r>
        <w:rPr>
          <w:i/>
        </w:rPr>
        <w:t>Note</w:t>
      </w:r>
      <w:r>
        <w:rPr/>
        <w:t>: The W3C XML Schema definition of this element’s content model (</w:t>
      </w:r>
      <w:r>
        <w:rPr>
          <w:color w:val="5F5F5F"/>
          <w:u w:val="single" w:color="5F5F5F"/>
        </w:rPr>
        <w:t>CT_DataBar</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29 dataConsolidate (Data Consolid" w:id="188"/>
      <w:bookmarkEnd w:id="188"/>
      <w:r>
        <w:rPr/>
      </w:r>
      <w:bookmarkStart w:name="_bookmark61" w:id="189"/>
      <w:bookmarkEnd w:id="189"/>
      <w:r>
        <w:rPr/>
      </w:r>
      <w:bookmarkStart w:name="_bookmark61" w:id="190"/>
      <w:bookmarkEnd w:id="190"/>
      <w:r>
        <w:rPr>
          <w:color w:val="4F81BC"/>
        </w:rPr>
        <w:t>d</w:t>
      </w:r>
      <w:r>
        <w:rPr>
          <w:color w:val="4F81BC"/>
        </w:rPr>
        <w:t>ataConsolidate (Data</w:t>
      </w:r>
      <w:r>
        <w:rPr>
          <w:color w:val="4F81BC"/>
          <w:spacing w:val="1"/>
        </w:rPr>
        <w:t> </w:t>
      </w:r>
      <w:r>
        <w:rPr>
          <w:color w:val="4F81BC"/>
        </w:rPr>
        <w:t>Consolidate)</w:t>
      </w:r>
    </w:p>
    <w:p>
      <w:pPr>
        <w:pStyle w:val="BodyText"/>
        <w:spacing w:line="276" w:lineRule="auto" w:before="119"/>
        <w:ind w:left="220" w:right="1016"/>
      </w:pPr>
      <w:r>
        <w:rPr/>
        <w:t>Data consolidation settings. The dataRefs are the set of source ranges containing data to consolidate. The function indicates the function that shall be used to consolidate the data.</w:t>
      </w:r>
    </w:p>
    <w:p>
      <w:pPr>
        <w:pStyle w:val="BodyText"/>
        <w:spacing w:before="5"/>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19"/>
        </w:rPr>
      </w:pPr>
    </w:p>
    <w:p>
      <w:pPr>
        <w:pStyle w:val="BodyText"/>
        <w:ind w:left="220"/>
      </w:pPr>
      <w:r>
        <w:rPr/>
        <w:t>This example demonstrates consolidating the ranges A1:C1 and A3:C3 by using the 'count' function.</w:t>
      </w:r>
    </w:p>
    <w:p>
      <w:pPr>
        <w:pStyle w:val="BodyText"/>
        <w:spacing w:before="8"/>
        <w:rPr>
          <w:sz w:val="19"/>
        </w:rPr>
      </w:pPr>
    </w:p>
    <w:p>
      <w:pPr>
        <w:pStyle w:val="BodyText"/>
        <w:ind w:left="508"/>
        <w:rPr>
          <w:rFonts w:ascii="Consolas"/>
        </w:rPr>
      </w:pPr>
      <w:r>
        <w:rPr>
          <w:rFonts w:ascii="Consolas"/>
        </w:rPr>
        <w:t>&lt;dataConsolidate function="count"&gt;</w:t>
      </w:r>
    </w:p>
    <w:p>
      <w:pPr>
        <w:pStyle w:val="BodyText"/>
        <w:spacing w:before="40"/>
        <w:ind w:left="750"/>
        <w:rPr>
          <w:rFonts w:ascii="Consolas"/>
        </w:rPr>
      </w:pPr>
      <w:r>
        <w:rPr>
          <w:rFonts w:ascii="Consolas"/>
        </w:rPr>
        <w:t>&lt;dataRefs count="2"&gt;</w:t>
      </w:r>
    </w:p>
    <w:p>
      <w:pPr>
        <w:pStyle w:val="BodyText"/>
        <w:spacing w:before="38"/>
        <w:ind w:left="993"/>
        <w:rPr>
          <w:rFonts w:ascii="Consolas"/>
        </w:rPr>
      </w:pPr>
      <w:r>
        <w:rPr>
          <w:rFonts w:ascii="Consolas"/>
        </w:rPr>
        <w:t>&lt;dataRef ref="A1:C1"</w:t>
      </w:r>
      <w:r>
        <w:rPr>
          <w:rFonts w:ascii="Consolas"/>
          <w:spacing w:val="-24"/>
        </w:rPr>
        <w:t> </w:t>
      </w:r>
      <w:r>
        <w:rPr>
          <w:rFonts w:ascii="Consolas"/>
        </w:rPr>
        <w:t>sheet="Sheet1"/&gt;</w:t>
      </w:r>
    </w:p>
    <w:p>
      <w:pPr>
        <w:pStyle w:val="BodyText"/>
        <w:spacing w:before="40"/>
        <w:ind w:left="993"/>
        <w:rPr>
          <w:rFonts w:ascii="Consolas"/>
        </w:rPr>
      </w:pPr>
      <w:r>
        <w:rPr>
          <w:rFonts w:ascii="Consolas"/>
        </w:rPr>
        <w:t>&lt;dataRef ref="A3:C3"</w:t>
      </w:r>
      <w:r>
        <w:rPr>
          <w:rFonts w:ascii="Consolas"/>
          <w:spacing w:val="-27"/>
        </w:rPr>
        <w:t> </w:t>
      </w:r>
      <w:r>
        <w:rPr>
          <w:rFonts w:ascii="Consolas"/>
        </w:rPr>
        <w:t>sheet="Sheet1"/&gt;</w:t>
      </w:r>
    </w:p>
    <w:p>
      <w:pPr>
        <w:pStyle w:val="BodyText"/>
        <w:spacing w:before="38"/>
        <w:ind w:left="750"/>
        <w:rPr>
          <w:rFonts w:ascii="Consolas"/>
        </w:rPr>
      </w:pPr>
      <w:r>
        <w:rPr>
          <w:rFonts w:ascii="Consolas"/>
        </w:rPr>
        <w:t>&lt;/dataRefs&gt;</w:t>
      </w:r>
    </w:p>
    <w:p>
      <w:pPr>
        <w:pStyle w:val="BodyText"/>
        <w:spacing w:before="40"/>
        <w:ind w:left="508"/>
        <w:rPr>
          <w:rFonts w:ascii="Consolas"/>
        </w:rPr>
      </w:pPr>
      <w:r>
        <w:rPr>
          <w:rFonts w:ascii="Consolas"/>
        </w:rPr>
        <w:t>&lt;/dataConsolidate&gt;</w:t>
      </w:r>
    </w:p>
    <w:p>
      <w:pPr>
        <w:pStyle w:val="BodyText"/>
        <w:spacing w:before="2"/>
        <w:rPr>
          <w:rFonts w:ascii="Consolas"/>
          <w:sz w:val="20"/>
        </w:rPr>
      </w:pPr>
    </w:p>
    <w:p>
      <w:pPr>
        <w:spacing w:before="1"/>
        <w:ind w:left="220" w:right="0" w:firstLine="0"/>
        <w:jc w:val="left"/>
        <w:rPr>
          <w:sz w:val="22"/>
        </w:rPr>
      </w:pPr>
      <w:r>
        <w:rPr>
          <w:i/>
          <w:sz w:val="22"/>
        </w:rPr>
        <w:t>end example</w:t>
      </w:r>
      <w:r>
        <w:rPr>
          <w:sz w:val="22"/>
        </w:rPr>
        <w: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ind w:right="237"/>
              <w:rPr>
                <w:sz w:val="22"/>
              </w:rPr>
            </w:pPr>
            <w:r>
              <w:rPr>
                <w:rFonts w:ascii="Cambria"/>
                <w:sz w:val="22"/>
              </w:rPr>
              <w:t>function </w:t>
            </w:r>
            <w:r>
              <w:rPr>
                <w:sz w:val="22"/>
              </w:rPr>
              <w:t>(Function Index)</w:t>
            </w:r>
          </w:p>
        </w:tc>
        <w:tc>
          <w:tcPr>
            <w:tcW w:w="8250" w:type="dxa"/>
          </w:tcPr>
          <w:p>
            <w:pPr>
              <w:pStyle w:val="TableParagraph"/>
              <w:rPr>
                <w:sz w:val="22"/>
              </w:rPr>
            </w:pPr>
            <w:r>
              <w:rPr>
                <w:sz w:val="22"/>
              </w:rPr>
              <w:t>Indicates which function to use when consolidating the ranges.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t>
            </w:r>
            <w:r>
              <w:rPr>
                <w:rFonts w:ascii="Cambria"/>
                <w:sz w:val="22"/>
              </w:rPr>
              <w:t>ST_DataConsolidateFunction</w:t>
            </w:r>
          </w:p>
          <w:p>
            <w:pPr>
              <w:pStyle w:val="TableParagraph"/>
              <w:spacing w:before="0"/>
              <w:rPr>
                <w:sz w:val="22"/>
              </w:rPr>
            </w:pPr>
            <w:r>
              <w:rPr>
                <w:sz w:val="22"/>
              </w:rPr>
              <w:t>simple type (§</w:t>
            </w:r>
            <w:hyperlink w:history="true" w:anchor="_bookmark839">
              <w:r>
                <w:rPr>
                  <w:sz w:val="22"/>
                </w:rPr>
                <w:t>18.18.17</w:t>
              </w:r>
            </w:hyperlink>
            <w:r>
              <w:rPr>
                <w:sz w:val="22"/>
              </w:rPr>
              <w:t>).</w:t>
            </w:r>
          </w:p>
        </w:tc>
      </w:tr>
      <w:tr>
        <w:trPr>
          <w:trHeight w:val="1161" w:hRule="atLeast"/>
        </w:trPr>
        <w:tc>
          <w:tcPr>
            <w:tcW w:w="2062" w:type="dxa"/>
          </w:tcPr>
          <w:p>
            <w:pPr>
              <w:pStyle w:val="TableParagraph"/>
              <w:rPr>
                <w:sz w:val="22"/>
              </w:rPr>
            </w:pPr>
            <w:r>
              <w:rPr>
                <w:rFonts w:ascii="Cambria"/>
                <w:sz w:val="22"/>
              </w:rPr>
              <w:t>link </w:t>
            </w:r>
            <w:r>
              <w:rPr>
                <w:sz w:val="22"/>
              </w:rPr>
              <w:t>(Link)</w:t>
            </w:r>
          </w:p>
        </w:tc>
        <w:tc>
          <w:tcPr>
            <w:tcW w:w="8250" w:type="dxa"/>
          </w:tcPr>
          <w:p>
            <w:pPr>
              <w:pStyle w:val="TableParagraph"/>
              <w:rPr>
                <w:sz w:val="22"/>
              </w:rPr>
            </w:pPr>
            <w:r>
              <w:rPr>
                <w:sz w:val="22"/>
              </w:rPr>
              <w:t>Create links to source data.</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ind w:right="430"/>
              <w:jc w:val="both"/>
              <w:rPr>
                <w:sz w:val="22"/>
              </w:rPr>
            </w:pPr>
            <w:r>
              <w:rPr>
                <w:rFonts w:ascii="Cambria"/>
                <w:sz w:val="22"/>
              </w:rPr>
              <w:t>startLabels </w:t>
            </w:r>
            <w:r>
              <w:rPr>
                <w:sz w:val="22"/>
              </w:rPr>
              <w:t>(Use Starting Column Labels)</w:t>
            </w:r>
          </w:p>
        </w:tc>
        <w:tc>
          <w:tcPr>
            <w:tcW w:w="8250" w:type="dxa"/>
          </w:tcPr>
          <w:p>
            <w:pPr>
              <w:pStyle w:val="TableParagraph"/>
              <w:rPr>
                <w:sz w:val="22"/>
              </w:rPr>
            </w:pPr>
            <w:r>
              <w:rPr>
                <w:sz w:val="22"/>
              </w:rPr>
              <w:t>Use labels in first column. Both </w:t>
            </w:r>
            <w:r>
              <w:rPr>
                <w:rFonts w:ascii="Cambria"/>
                <w:sz w:val="22"/>
              </w:rPr>
              <w:t>startLabels </w:t>
            </w:r>
            <w:r>
              <w:rPr>
                <w:sz w:val="22"/>
              </w:rPr>
              <w:t>and </w:t>
            </w:r>
            <w:r>
              <w:rPr>
                <w:rFonts w:ascii="Cambria"/>
                <w:sz w:val="22"/>
              </w:rPr>
              <w:t>topLabels </w:t>
            </w:r>
            <w:r>
              <w:rPr>
                <w:sz w:val="22"/>
              </w:rPr>
              <w:t>can be </w:t>
            </w:r>
            <w:r>
              <w:rPr>
                <w:rFonts w:ascii="Consolas"/>
                <w:sz w:val="20"/>
              </w:rPr>
              <w:t>true</w:t>
            </w:r>
            <w:r>
              <w:rPr>
                <w:rFonts w:ascii="Consolas"/>
                <w:spacing w:val="-86"/>
                <w:sz w:val="20"/>
              </w:rPr>
              <w:t> </w:t>
            </w:r>
            <w:r>
              <w:rPr>
                <w:sz w:val="22"/>
              </w:rPr>
              <w:t>at the same time.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100"/>
              <w:rPr>
                <w:sz w:val="22"/>
              </w:rPr>
            </w:pPr>
            <w:r>
              <w:rPr>
                <w:rFonts w:ascii="Cambria"/>
                <w:sz w:val="22"/>
              </w:rPr>
              <w:t>topLabels </w:t>
            </w:r>
            <w:r>
              <w:rPr>
                <w:sz w:val="22"/>
              </w:rPr>
              <w:t>(Labels In Top Row)</w:t>
            </w:r>
          </w:p>
        </w:tc>
        <w:tc>
          <w:tcPr>
            <w:tcW w:w="8250" w:type="dxa"/>
          </w:tcPr>
          <w:p>
            <w:pPr>
              <w:pStyle w:val="TableParagraph"/>
              <w:rPr>
                <w:sz w:val="22"/>
              </w:rPr>
            </w:pPr>
            <w:r>
              <w:rPr>
                <w:sz w:val="22"/>
              </w:rPr>
              <w:t>Use labels in top row. Both </w:t>
            </w:r>
            <w:r>
              <w:rPr>
                <w:rFonts w:ascii="Cambria"/>
                <w:sz w:val="22"/>
              </w:rPr>
              <w:t>leftLabels </w:t>
            </w:r>
            <w:r>
              <w:rPr>
                <w:sz w:val="22"/>
              </w:rPr>
              <w:t>and </w:t>
            </w:r>
            <w:r>
              <w:rPr>
                <w:rFonts w:ascii="Cambria"/>
                <w:sz w:val="22"/>
              </w:rPr>
              <w:t>topLabels </w:t>
            </w:r>
            <w:r>
              <w:rPr>
                <w:sz w:val="22"/>
              </w:rPr>
              <w:t>can be </w:t>
            </w:r>
            <w:r>
              <w:rPr>
                <w:rFonts w:ascii="Consolas"/>
                <w:sz w:val="20"/>
              </w:rPr>
              <w:t>true</w:t>
            </w:r>
            <w:r>
              <w:rPr>
                <w:rFonts w:ascii="Consolas"/>
                <w:spacing w:val="-79"/>
                <w:sz w:val="20"/>
              </w:rPr>
              <w:t> </w:t>
            </w:r>
            <w:r>
              <w:rPr>
                <w:sz w:val="22"/>
              </w:rPr>
              <w:t>at the same time.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ind w:right="158"/>
              <w:jc w:val="both"/>
              <w:rPr>
                <w:sz w:val="22"/>
              </w:rPr>
            </w:pPr>
            <w:r>
              <w:rPr>
                <w:rFonts w:ascii="Cambria"/>
                <w:sz w:val="22"/>
              </w:rPr>
              <w:t>xml:space </w:t>
            </w:r>
            <w:r>
              <w:rPr>
                <w:sz w:val="22"/>
              </w:rPr>
              <w:t>(Content Contains Significant Whitespace)</w:t>
            </w:r>
          </w:p>
          <w:p>
            <w:pPr>
              <w:pStyle w:val="TableParagraph"/>
              <w:spacing w:before="11"/>
              <w:ind w:left="0"/>
              <w:rPr>
                <w:sz w:val="21"/>
              </w:rPr>
            </w:pPr>
          </w:p>
          <w:p>
            <w:pPr>
              <w:pStyle w:val="TableParagraph"/>
              <w:spacing w:before="0"/>
              <w:ind w:right="161"/>
              <w:rPr>
                <w:sz w:val="22"/>
              </w:rPr>
            </w:pPr>
            <w:r>
              <w:rPr>
                <w:sz w:val="22"/>
              </w:rPr>
              <w:t>Namespace: </w:t>
            </w:r>
            <w:hyperlink r:id="rId13">
              <w:r>
                <w:rPr>
                  <w:color w:val="5F5F5F"/>
                  <w:sz w:val="22"/>
                  <w:u w:val="single" w:color="5F5F5F"/>
                </w:rPr>
                <w:t>http://www.w3.org</w:t>
              </w:r>
            </w:hyperlink>
          </w:p>
          <w:p>
            <w:pPr>
              <w:pStyle w:val="TableParagraph"/>
              <w:spacing w:before="0"/>
              <w:ind w:right="113"/>
              <w:rPr>
                <w:sz w:val="22"/>
              </w:rPr>
            </w:pPr>
            <w:hyperlink r:id="rId13">
              <w:r>
                <w:rPr>
                  <w:color w:val="5F5F5F"/>
                  <w:sz w:val="22"/>
                  <w:u w:val="single" w:color="5F5F5F"/>
                </w:rPr>
                <w:t>/XML/1998/namesp</w:t>
              </w:r>
            </w:hyperlink>
            <w:r>
              <w:rPr>
                <w:color w:val="5F5F5F"/>
                <w:sz w:val="22"/>
              </w:rPr>
              <w:t> </w:t>
            </w:r>
            <w:hyperlink r:id="rId13">
              <w:r>
                <w:rPr>
                  <w:color w:val="5F5F5F"/>
                  <w:sz w:val="22"/>
                  <w:u w:val="single" w:color="5F5F5F"/>
                </w:rPr>
                <w:t>ace</w:t>
              </w:r>
            </w:hyperlink>
          </w:p>
        </w:tc>
        <w:tc>
          <w:tcPr>
            <w:tcW w:w="8250" w:type="dxa"/>
          </w:tcPr>
          <w:p>
            <w:pPr>
              <w:pStyle w:val="TableParagraph"/>
              <w:ind w:right="304"/>
              <w:rPr>
                <w:sz w:val="22"/>
              </w:rPr>
            </w:pPr>
            <w:r>
              <w:rPr>
                <w:sz w:val="22"/>
              </w:rPr>
              <w:t>Specifies how white space should be handled for the contents of this element using the W3C space preservation rules.</w:t>
            </w:r>
          </w:p>
          <w:p>
            <w:pPr>
              <w:pStyle w:val="TableParagraph"/>
              <w:spacing w:before="11"/>
              <w:ind w:left="0"/>
              <w:rPr>
                <w:sz w:val="21"/>
              </w:rPr>
            </w:pPr>
          </w:p>
          <w:p>
            <w:pPr>
              <w:pStyle w:val="TableParagraph"/>
              <w:spacing w:before="0"/>
              <w:rPr>
                <w:sz w:val="22"/>
              </w:rPr>
            </w:pPr>
            <w:r>
              <w:rPr>
                <w:sz w:val="22"/>
              </w:rPr>
              <w:t>The possible values for this attribute are defined by §2.10 of the XML 1.0 specification.</w:t>
            </w:r>
          </w:p>
        </w:tc>
      </w:tr>
    </w:tbl>
    <w:p>
      <w:pPr>
        <w:spacing w:after="0"/>
        <w:rPr>
          <w:sz w:val="22"/>
        </w:rPr>
        <w:sectPr>
          <w:pgSz w:w="12240" w:h="15840"/>
          <w:pgMar w:header="763" w:footer="746" w:top="1340" w:bottom="940" w:left="860" w:right="700"/>
        </w:sectPr>
      </w:pPr>
    </w:p>
    <w:p>
      <w:pPr>
        <w:pStyle w:val="BodyText"/>
        <w:rPr>
          <w:sz w:val="20"/>
        </w:rPr>
      </w:pPr>
    </w:p>
    <w:p>
      <w:pPr>
        <w:pStyle w:val="BodyText"/>
        <w:spacing w:before="6"/>
        <w:rPr>
          <w:sz w:val="24"/>
        </w:rPr>
      </w:pPr>
    </w:p>
    <w:p>
      <w:pPr>
        <w:pStyle w:val="BodyText"/>
        <w:spacing w:before="56"/>
        <w:ind w:left="220"/>
      </w:pPr>
      <w:r>
        <w:rPr/>
        <w:t>[</w:t>
      </w:r>
      <w:r>
        <w:rPr>
          <w:i/>
        </w:rPr>
        <w:t>Note</w:t>
      </w:r>
      <w:r>
        <w:rPr/>
        <w:t>: The W3C XML Schema definition of this element’s content model (</w:t>
      </w:r>
      <w:r>
        <w:rPr>
          <w:color w:val="5F5F5F"/>
          <w:u w:val="single" w:color="5F5F5F"/>
        </w:rPr>
        <w:t>CT_DataConsolidate</w:t>
      </w:r>
      <w:r>
        <w:rPr/>
        <w:t>) is located in §A.2.</w:t>
      </w:r>
    </w:p>
    <w:p>
      <w:pPr>
        <w:spacing w:before="44"/>
        <w:ind w:left="220" w:right="0" w:firstLine="0"/>
        <w:jc w:val="left"/>
        <w:rPr>
          <w:sz w:val="22"/>
        </w:rPr>
      </w:pPr>
      <w:r>
        <w:rPr>
          <w:i/>
          <w:sz w:val="22"/>
        </w:rPr>
        <w:t>end note</w:t>
      </w:r>
      <w:r>
        <w:rPr>
          <w:sz w:val="22"/>
        </w:rPr>
        <w:t>]</w:t>
      </w:r>
    </w:p>
    <w:p>
      <w:pPr>
        <w:pStyle w:val="BodyText"/>
        <w:spacing w:before="8"/>
        <w:rPr>
          <w:sz w:val="19"/>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30 dataRef (Data Consolidation Re" w:id="191"/>
      <w:bookmarkEnd w:id="191"/>
      <w:r>
        <w:rPr/>
      </w:r>
      <w:bookmarkStart w:name="_bookmark62" w:id="192"/>
      <w:bookmarkEnd w:id="192"/>
      <w:r>
        <w:rPr/>
      </w:r>
      <w:bookmarkStart w:name="_bookmark62" w:id="193"/>
      <w:bookmarkEnd w:id="193"/>
      <w:r>
        <w:rPr>
          <w:color w:val="4F81BC"/>
        </w:rPr>
        <w:t>d</w:t>
      </w:r>
      <w:r>
        <w:rPr>
          <w:color w:val="4F81BC"/>
        </w:rPr>
        <w:t>ataRef (Data Consolidation</w:t>
      </w:r>
      <w:r>
        <w:rPr>
          <w:color w:val="4F81BC"/>
          <w:spacing w:val="-3"/>
        </w:rPr>
        <w:t> </w:t>
      </w:r>
      <w:r>
        <w:rPr>
          <w:color w:val="4F81BC"/>
        </w:rPr>
        <w:t>Reference)</w:t>
      </w:r>
    </w:p>
    <w:p>
      <w:pPr>
        <w:pStyle w:val="BodyText"/>
        <w:spacing w:before="118"/>
        <w:ind w:left="220"/>
      </w:pPr>
      <w:r>
        <w:rPr/>
        <w:t>A single data consolidate reference. One </w:t>
      </w:r>
      <w:r>
        <w:rPr>
          <w:rFonts w:ascii="Cambria"/>
        </w:rPr>
        <w:t>dataRef </w:t>
      </w:r>
      <w:r>
        <w:rPr/>
        <w:t>shall use either </w:t>
      </w:r>
      <w:r>
        <w:rPr>
          <w:rFonts w:ascii="Cambria"/>
        </w:rPr>
        <w:t>name </w:t>
      </w:r>
      <w:r>
        <w:rPr/>
        <w:t>or </w:t>
      </w:r>
      <w:r>
        <w:rPr>
          <w:rFonts w:ascii="Cambria"/>
        </w:rPr>
        <w:t>sheet </w:t>
      </w:r>
      <w:r>
        <w:rPr/>
        <w:t>&amp; </w:t>
      </w:r>
      <w:r>
        <w:rPr>
          <w:rFonts w:ascii="Cambria"/>
        </w:rPr>
        <w:t>ref</w:t>
      </w:r>
      <w:r>
        <w:rPr/>
        <w:t>, but not both on the same</w:t>
      </w:r>
    </w:p>
    <w:p>
      <w:pPr>
        <w:pStyle w:val="BodyText"/>
        <w:spacing w:before="44"/>
        <w:ind w:left="220"/>
      </w:pPr>
      <w:r>
        <w:rPr>
          <w:rFonts w:ascii="Cambria"/>
        </w:rPr>
        <w:t>dataRef</w:t>
      </w:r>
      <w:r>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42" w:hRule="atLeast"/>
        </w:trPr>
        <w:tc>
          <w:tcPr>
            <w:tcW w:w="2062" w:type="dxa"/>
            <w:tcBorders>
              <w:bottom w:val="nil"/>
            </w:tcBorders>
          </w:tcPr>
          <w:p>
            <w:pPr>
              <w:pStyle w:val="TableParagraph"/>
              <w:spacing w:before="42"/>
              <w:rPr>
                <w:sz w:val="22"/>
              </w:rPr>
            </w:pPr>
            <w:r>
              <w:rPr>
                <w:rFonts w:ascii="Cambria"/>
                <w:sz w:val="22"/>
              </w:rPr>
              <w:t>id </w:t>
            </w:r>
            <w:r>
              <w:rPr>
                <w:sz w:val="22"/>
              </w:rPr>
              <w:t>(relationship Id)</w:t>
            </w:r>
          </w:p>
        </w:tc>
        <w:tc>
          <w:tcPr>
            <w:tcW w:w="8250" w:type="dxa"/>
            <w:tcBorders>
              <w:bottom w:val="nil"/>
            </w:tcBorders>
          </w:tcPr>
          <w:p>
            <w:pPr>
              <w:pStyle w:val="TableParagraph"/>
              <w:spacing w:before="42"/>
              <w:rPr>
                <w:sz w:val="22"/>
              </w:rPr>
            </w:pPr>
            <w:r>
              <w:rPr>
                <w:sz w:val="22"/>
              </w:rPr>
              <w:t>Used only when the source range is external to this workbook.</w:t>
            </w:r>
          </w:p>
        </w:tc>
      </w:tr>
      <w:tr>
        <w:trPr>
          <w:trHeight w:val="403" w:hRule="atLeast"/>
        </w:trPr>
        <w:tc>
          <w:tcPr>
            <w:tcW w:w="2062" w:type="dxa"/>
            <w:tcBorders>
              <w:top w:val="nil"/>
              <w:bottom w:val="nil"/>
            </w:tcBorders>
          </w:tcPr>
          <w:p>
            <w:pPr>
              <w:pStyle w:val="TableParagraph"/>
              <w:spacing w:line="248" w:lineRule="exact" w:before="135"/>
              <w:rPr>
                <w:sz w:val="22"/>
              </w:rPr>
            </w:pPr>
            <w:r>
              <w:rPr>
                <w:sz w:val="22"/>
              </w:rPr>
              <w:t>Namespace:</w:t>
            </w:r>
          </w:p>
        </w:tc>
        <w:tc>
          <w:tcPr>
            <w:tcW w:w="8250" w:type="dxa"/>
            <w:tcBorders>
              <w:top w:val="nil"/>
              <w:bottom w:val="nil"/>
            </w:tcBorders>
          </w:tcPr>
          <w:p>
            <w:pPr>
              <w:pStyle w:val="TableParagraph"/>
              <w:spacing w:line="248" w:lineRule="exact" w:before="135"/>
              <w:rPr>
                <w:sz w:val="22"/>
              </w:rPr>
            </w:pPr>
            <w:r>
              <w:rPr>
                <w:sz w:val="22"/>
              </w:rPr>
              <w:t>The possible values for this attribute are defined by the </w:t>
            </w:r>
            <w:r>
              <w:rPr>
                <w:rFonts w:ascii="Cambria"/>
                <w:sz w:val="22"/>
              </w:rPr>
              <w:t>ST_RelationshipId </w:t>
            </w:r>
            <w:r>
              <w:rPr>
                <w:sz w:val="22"/>
              </w:rPr>
              <w:t>simple type</w:t>
            </w:r>
          </w:p>
        </w:tc>
      </w:tr>
      <w:tr>
        <w:trPr>
          <w:trHeight w:val="264" w:hRule="atLeast"/>
        </w:trPr>
        <w:tc>
          <w:tcPr>
            <w:tcW w:w="2062" w:type="dxa"/>
            <w:tcBorders>
              <w:top w:val="nil"/>
              <w:bottom w:val="nil"/>
            </w:tcBorders>
          </w:tcPr>
          <w:p>
            <w:pPr>
              <w:pStyle w:val="TableParagraph"/>
              <w:spacing w:line="240" w:lineRule="exact" w:before="4"/>
              <w:rPr>
                <w:rFonts w:ascii="Cambria"/>
                <w:sz w:val="22"/>
              </w:rPr>
            </w:pPr>
            <w:hyperlink r:id="rId18">
              <w:r>
                <w:rPr>
                  <w:rFonts w:ascii="Cambria"/>
                  <w:sz w:val="22"/>
                </w:rPr>
                <w:t>http://purl.oclc.or</w:t>
              </w:r>
            </w:hyperlink>
          </w:p>
        </w:tc>
        <w:tc>
          <w:tcPr>
            <w:tcW w:w="8250" w:type="dxa"/>
            <w:tcBorders>
              <w:top w:val="nil"/>
              <w:bottom w:val="nil"/>
            </w:tcBorders>
          </w:tcPr>
          <w:p>
            <w:pPr>
              <w:pStyle w:val="TableParagraph"/>
              <w:spacing w:line="243" w:lineRule="exact" w:before="1"/>
              <w:rPr>
                <w:sz w:val="22"/>
              </w:rPr>
            </w:pPr>
            <w:r>
              <w:rPr>
                <w:sz w:val="22"/>
              </w:rPr>
              <w:t>(§22.8.2.1).</w:t>
            </w:r>
          </w:p>
        </w:tc>
      </w:tr>
      <w:tr>
        <w:trPr>
          <w:trHeight w:val="256" w:hRule="atLeast"/>
        </w:trPr>
        <w:tc>
          <w:tcPr>
            <w:tcW w:w="2062" w:type="dxa"/>
            <w:tcBorders>
              <w:top w:val="nil"/>
              <w:bottom w:val="nil"/>
            </w:tcBorders>
          </w:tcPr>
          <w:p>
            <w:pPr>
              <w:pStyle w:val="TableParagraph"/>
              <w:spacing w:line="236" w:lineRule="exact" w:before="0"/>
              <w:rPr>
                <w:rFonts w:ascii="Cambria"/>
                <w:sz w:val="22"/>
              </w:rPr>
            </w:pPr>
            <w:r>
              <w:rPr>
                <w:rFonts w:ascii="Cambria"/>
                <w:sz w:val="22"/>
              </w:rPr>
              <w:t>g/ooxml/officeDoc</w:t>
            </w:r>
          </w:p>
        </w:tc>
        <w:tc>
          <w:tcPr>
            <w:tcW w:w="8250" w:type="dxa"/>
            <w:tcBorders>
              <w:top w:val="nil"/>
              <w:bottom w:val="nil"/>
            </w:tcBorders>
          </w:tcPr>
          <w:p>
            <w:pPr>
              <w:pStyle w:val="TableParagraph"/>
              <w:spacing w:before="0"/>
              <w:ind w:left="0"/>
              <w:rPr>
                <w:rFonts w:ascii="Times New Roman"/>
                <w:sz w:val="18"/>
              </w:rPr>
            </w:pPr>
          </w:p>
        </w:tc>
      </w:tr>
      <w:tr>
        <w:trPr>
          <w:trHeight w:val="257" w:hRule="atLeast"/>
        </w:trPr>
        <w:tc>
          <w:tcPr>
            <w:tcW w:w="2062" w:type="dxa"/>
            <w:tcBorders>
              <w:top w:val="nil"/>
              <w:bottom w:val="nil"/>
            </w:tcBorders>
          </w:tcPr>
          <w:p>
            <w:pPr>
              <w:pStyle w:val="TableParagraph"/>
              <w:spacing w:line="238" w:lineRule="exact" w:before="0"/>
              <w:rPr>
                <w:rFonts w:ascii="Cambria"/>
                <w:sz w:val="22"/>
              </w:rPr>
            </w:pPr>
            <w:r>
              <w:rPr>
                <w:rFonts w:ascii="Cambria"/>
                <w:sz w:val="22"/>
              </w:rPr>
              <w:t>ument/relationshi</w:t>
            </w:r>
          </w:p>
        </w:tc>
        <w:tc>
          <w:tcPr>
            <w:tcW w:w="8250" w:type="dxa"/>
            <w:tcBorders>
              <w:top w:val="nil"/>
              <w:bottom w:val="nil"/>
            </w:tcBorders>
          </w:tcPr>
          <w:p>
            <w:pPr>
              <w:pStyle w:val="TableParagraph"/>
              <w:spacing w:before="0"/>
              <w:ind w:left="0"/>
              <w:rPr>
                <w:rFonts w:ascii="Times New Roman"/>
                <w:sz w:val="18"/>
              </w:rPr>
            </w:pPr>
          </w:p>
        </w:tc>
      </w:tr>
      <w:tr>
        <w:trPr>
          <w:trHeight w:val="300" w:hRule="atLeast"/>
        </w:trPr>
        <w:tc>
          <w:tcPr>
            <w:tcW w:w="2062" w:type="dxa"/>
            <w:tcBorders>
              <w:top w:val="nil"/>
            </w:tcBorders>
          </w:tcPr>
          <w:p>
            <w:pPr>
              <w:pStyle w:val="TableParagraph"/>
              <w:spacing w:before="1"/>
              <w:rPr>
                <w:rFonts w:ascii="Cambria"/>
                <w:sz w:val="22"/>
              </w:rPr>
            </w:pPr>
            <w:r>
              <w:rPr>
                <w:rFonts w:ascii="Cambria"/>
                <w:sz w:val="22"/>
              </w:rPr>
              <w:t>ps</w:t>
            </w:r>
          </w:p>
        </w:tc>
        <w:tc>
          <w:tcPr>
            <w:tcW w:w="8250" w:type="dxa"/>
            <w:tcBorders>
              <w:top w:val="nil"/>
            </w:tcBorders>
          </w:tcPr>
          <w:p>
            <w:pPr>
              <w:pStyle w:val="TableParagraph"/>
              <w:spacing w:before="0"/>
              <w:ind w:left="0"/>
              <w:rPr>
                <w:rFonts w:ascii="Times New Roman"/>
                <w:sz w:val="22"/>
              </w:rPr>
            </w:pPr>
          </w:p>
        </w:tc>
      </w:tr>
      <w:tr>
        <w:trPr>
          <w:trHeight w:val="1161" w:hRule="atLeast"/>
        </w:trPr>
        <w:tc>
          <w:tcPr>
            <w:tcW w:w="2062" w:type="dxa"/>
          </w:tcPr>
          <w:p>
            <w:pPr>
              <w:pStyle w:val="TableParagraph"/>
              <w:ind w:right="633"/>
              <w:rPr>
                <w:sz w:val="22"/>
              </w:rPr>
            </w:pPr>
            <w:r>
              <w:rPr>
                <w:rFonts w:ascii="Cambria"/>
                <w:sz w:val="22"/>
              </w:rPr>
              <w:t>name </w:t>
            </w:r>
            <w:r>
              <w:rPr>
                <w:sz w:val="22"/>
              </w:rPr>
              <w:t>(Named Range)</w:t>
            </w:r>
          </w:p>
        </w:tc>
        <w:tc>
          <w:tcPr>
            <w:tcW w:w="8250" w:type="dxa"/>
          </w:tcPr>
          <w:p>
            <w:pPr>
              <w:pStyle w:val="TableParagraph"/>
              <w:rPr>
                <w:sz w:val="22"/>
              </w:rPr>
            </w:pPr>
            <w:r>
              <w:rPr>
                <w:sz w:val="22"/>
              </w:rPr>
              <w:t>Named range, either in this workbook or the external workbook referenced by </w:t>
            </w:r>
            <w:r>
              <w:rPr>
                <w:rFonts w:ascii="Cambria"/>
                <w:sz w:val="22"/>
              </w:rPr>
              <w:t>r:Id</w:t>
            </w:r>
            <w:r>
              <w:rPr>
                <w:sz w:val="22"/>
              </w:rPr>
              <w: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0"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rPr>
                <w:sz w:val="22"/>
              </w:rPr>
            </w:pPr>
            <w:r>
              <w:rPr>
                <w:sz w:val="22"/>
              </w:rPr>
              <w:t>Cell range.</w:t>
            </w:r>
          </w:p>
          <w:p>
            <w:pPr>
              <w:pStyle w:val="TableParagraph"/>
              <w:spacing w:before="10"/>
              <w:ind w:left="0"/>
              <w:rPr>
                <w:sz w:val="21"/>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61" w:hRule="atLeast"/>
        </w:trPr>
        <w:tc>
          <w:tcPr>
            <w:tcW w:w="2062" w:type="dxa"/>
          </w:tcPr>
          <w:p>
            <w:pPr>
              <w:pStyle w:val="TableParagraph"/>
              <w:rPr>
                <w:sz w:val="22"/>
              </w:rPr>
            </w:pPr>
            <w:r>
              <w:rPr>
                <w:rFonts w:ascii="Cambria"/>
                <w:sz w:val="22"/>
              </w:rPr>
              <w:t>sheet </w:t>
            </w:r>
            <w:r>
              <w:rPr>
                <w:sz w:val="22"/>
              </w:rPr>
              <w:t>(Sheet Name)</w:t>
            </w:r>
          </w:p>
        </w:tc>
        <w:tc>
          <w:tcPr>
            <w:tcW w:w="8250" w:type="dxa"/>
          </w:tcPr>
          <w:p>
            <w:pPr>
              <w:pStyle w:val="TableParagraph"/>
              <w:rPr>
                <w:sz w:val="22"/>
              </w:rPr>
            </w:pPr>
            <w:r>
              <w:rPr>
                <w:sz w:val="22"/>
              </w:rPr>
              <w:t>Sheet</w:t>
            </w:r>
            <w:r>
              <w:rPr>
                <w:spacing w:val="-4"/>
                <w:sz w:val="22"/>
              </w:rPr>
              <w:t> </w:t>
            </w:r>
            <w:r>
              <w:rPr>
                <w:sz w:val="22"/>
              </w:rPr>
              <w:t>name.</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6"/>
        </w:rPr>
      </w:pPr>
    </w:p>
    <w:p>
      <w:pPr>
        <w:pStyle w:val="BodyText"/>
        <w:spacing w:line="278" w:lineRule="auto" w:before="188"/>
        <w:ind w:left="220" w:right="769"/>
      </w:pPr>
      <w:r>
        <w:rPr/>
        <w:t>[</w:t>
      </w:r>
      <w:r>
        <w:rPr>
          <w:i/>
        </w:rPr>
        <w:t>Note</w:t>
      </w:r>
      <w:r>
        <w:rPr/>
        <w:t>: The W3C XML Schema definition of this element’s content model (</w:t>
      </w:r>
      <w:r>
        <w:rPr>
          <w:color w:val="5F5F5F"/>
          <w:u w:val="single" w:color="5F5F5F"/>
        </w:rPr>
        <w:t>CT_DataRef</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31 dataRefs (Data Consolidation R" w:id="194"/>
      <w:bookmarkEnd w:id="194"/>
      <w:r>
        <w:rPr/>
      </w:r>
      <w:bookmarkStart w:name="_bookmark63" w:id="195"/>
      <w:bookmarkEnd w:id="195"/>
      <w:r>
        <w:rPr/>
      </w:r>
      <w:bookmarkStart w:name="_bookmark63" w:id="196"/>
      <w:bookmarkEnd w:id="196"/>
      <w:r>
        <w:rPr>
          <w:color w:val="4F81BC"/>
        </w:rPr>
        <w:t>d</w:t>
      </w:r>
      <w:r>
        <w:rPr>
          <w:color w:val="4F81BC"/>
        </w:rPr>
        <w:t>ataRefs (Data Consolidation</w:t>
      </w:r>
      <w:r>
        <w:rPr>
          <w:color w:val="4F81BC"/>
          <w:spacing w:val="-2"/>
        </w:rPr>
        <w:t> </w:t>
      </w:r>
      <w:r>
        <w:rPr>
          <w:color w:val="4F81BC"/>
        </w:rPr>
        <w:t>References)</w:t>
      </w:r>
    </w:p>
    <w:p>
      <w:pPr>
        <w:pStyle w:val="BodyText"/>
        <w:spacing w:before="121"/>
        <w:ind w:left="220"/>
      </w:pPr>
      <w:r>
        <w:rPr/>
        <w:t>Data consolidate reference collection.</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52"/>
              <w:rPr>
                <w:sz w:val="22"/>
              </w:rPr>
            </w:pPr>
            <w:r>
              <w:rPr>
                <w:rFonts w:ascii="Cambria"/>
                <w:sz w:val="22"/>
              </w:rPr>
              <w:t>count </w:t>
            </w:r>
            <w:r>
              <w:rPr>
                <w:sz w:val="22"/>
              </w:rPr>
              <w:t>(Data Consolidation Reference Count)</w:t>
            </w:r>
          </w:p>
        </w:tc>
        <w:tc>
          <w:tcPr>
            <w:tcW w:w="8250" w:type="dxa"/>
          </w:tcPr>
          <w:p>
            <w:pPr>
              <w:pStyle w:val="TableParagraph"/>
              <w:rPr>
                <w:sz w:val="22"/>
              </w:rPr>
            </w:pPr>
            <w:r>
              <w:rPr>
                <w:sz w:val="22"/>
              </w:rPr>
              <w:t>Count of data consolidate references.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line="278" w:lineRule="auto" w:before="148"/>
        <w:ind w:left="220" w:right="683"/>
      </w:pPr>
      <w:r>
        <w:rPr/>
        <w:t>[</w:t>
      </w:r>
      <w:r>
        <w:rPr>
          <w:i/>
        </w:rPr>
        <w:t>Note</w:t>
      </w:r>
      <w:r>
        <w:rPr/>
        <w:t>: The W3C XML Schema definition of this element’s content model (</w:t>
      </w:r>
      <w:r>
        <w:rPr>
          <w:color w:val="5F5F5F"/>
          <w:u w:val="single" w:color="5F5F5F"/>
        </w:rPr>
        <w:t>CT_DataRefs</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32 dataValidation (Data Validatio" w:id="197"/>
      <w:bookmarkEnd w:id="197"/>
      <w:r>
        <w:rPr/>
      </w:r>
      <w:bookmarkStart w:name="_bookmark64" w:id="198"/>
      <w:bookmarkEnd w:id="198"/>
      <w:r>
        <w:rPr/>
      </w:r>
      <w:bookmarkStart w:name="_bookmark64" w:id="199"/>
      <w:bookmarkEnd w:id="199"/>
      <w:r>
        <w:rPr>
          <w:color w:val="4F81BC"/>
        </w:rPr>
        <w:t>d</w:t>
      </w:r>
      <w:r>
        <w:rPr>
          <w:color w:val="4F81BC"/>
        </w:rPr>
        <w:t>ataValidation (Data</w:t>
      </w:r>
      <w:r>
        <w:rPr>
          <w:color w:val="4F81BC"/>
          <w:spacing w:val="1"/>
        </w:rPr>
        <w:t> </w:t>
      </w:r>
      <w:r>
        <w:rPr>
          <w:color w:val="4F81BC"/>
        </w:rPr>
        <w:t>Validation)</w:t>
      </w:r>
    </w:p>
    <w:p>
      <w:pPr>
        <w:pStyle w:val="BodyText"/>
        <w:spacing w:before="121"/>
        <w:ind w:left="220"/>
      </w:pPr>
      <w:r>
        <w:rPr/>
        <w:t>A single item of data validation defined on a range of the worksheet.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246"/>
              <w:rPr>
                <w:sz w:val="22"/>
              </w:rPr>
            </w:pPr>
            <w:r>
              <w:rPr>
                <w:rFonts w:ascii="Cambria"/>
                <w:sz w:val="22"/>
              </w:rPr>
              <w:t>allowBlank </w:t>
            </w:r>
            <w:r>
              <w:rPr>
                <w:sz w:val="22"/>
              </w:rPr>
              <w:t>(Allow Blank)</w:t>
            </w:r>
          </w:p>
        </w:tc>
        <w:tc>
          <w:tcPr>
            <w:tcW w:w="8250" w:type="dxa"/>
          </w:tcPr>
          <w:p>
            <w:pPr>
              <w:pStyle w:val="TableParagraph"/>
              <w:ind w:right="247"/>
              <w:rPr>
                <w:sz w:val="22"/>
              </w:rPr>
            </w:pPr>
            <w:r>
              <w:rPr>
                <w:sz w:val="22"/>
              </w:rPr>
              <w:t>A boolean value indicating whether the data validation allows the use of empty or blank entries. 1 means empty entries are OK and do not violate the validation constraints.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851"/>
              <w:rPr>
                <w:sz w:val="22"/>
              </w:rPr>
            </w:pPr>
            <w:r>
              <w:rPr>
                <w:rFonts w:ascii="Cambria"/>
                <w:sz w:val="22"/>
              </w:rPr>
              <w:t>error </w:t>
            </w:r>
            <w:r>
              <w:rPr>
                <w:sz w:val="22"/>
              </w:rPr>
              <w:t>(Error Message)</w:t>
            </w:r>
          </w:p>
        </w:tc>
        <w:tc>
          <w:tcPr>
            <w:tcW w:w="8250" w:type="dxa"/>
          </w:tcPr>
          <w:p>
            <w:pPr>
              <w:pStyle w:val="TableParagraph"/>
              <w:rPr>
                <w:sz w:val="22"/>
              </w:rPr>
            </w:pPr>
            <w:r>
              <w:rPr>
                <w:sz w:val="22"/>
              </w:rPr>
              <w:t>Message text of error alert.</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423"/>
              <w:rPr>
                <w:sz w:val="22"/>
              </w:rPr>
            </w:pPr>
            <w:r>
              <w:rPr>
                <w:rFonts w:ascii="Cambria"/>
                <w:sz w:val="22"/>
              </w:rPr>
              <w:t>errorStyle </w:t>
            </w:r>
            <w:r>
              <w:rPr>
                <w:sz w:val="22"/>
              </w:rPr>
              <w:t>(Data Validation Error Style)</w:t>
            </w:r>
          </w:p>
        </w:tc>
        <w:tc>
          <w:tcPr>
            <w:tcW w:w="8250" w:type="dxa"/>
          </w:tcPr>
          <w:p>
            <w:pPr>
              <w:pStyle w:val="TableParagraph"/>
              <w:rPr>
                <w:sz w:val="22"/>
              </w:rPr>
            </w:pPr>
            <w:r>
              <w:rPr>
                <w:sz w:val="22"/>
              </w:rPr>
              <w:t>The style of error alert used for this data validation.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t>
            </w:r>
            <w:r>
              <w:rPr>
                <w:rFonts w:ascii="Cambria"/>
                <w:sz w:val="22"/>
              </w:rPr>
              <w:t>ST_DataValidationErrorStyle</w:t>
            </w:r>
          </w:p>
          <w:p>
            <w:pPr>
              <w:pStyle w:val="TableParagraph"/>
              <w:spacing w:before="0"/>
              <w:rPr>
                <w:sz w:val="22"/>
              </w:rPr>
            </w:pPr>
            <w:r>
              <w:rPr>
                <w:sz w:val="22"/>
              </w:rPr>
              <w:t>simple type (§</w:t>
            </w:r>
            <w:hyperlink w:history="true" w:anchor="_bookmark840">
              <w:r>
                <w:rPr>
                  <w:sz w:val="22"/>
                </w:rPr>
                <w:t>18.18.18</w:t>
              </w:r>
            </w:hyperlink>
            <w:r>
              <w:rPr>
                <w:sz w:val="22"/>
              </w:rPr>
              <w:t>).</w:t>
            </w:r>
          </w:p>
        </w:tc>
      </w:tr>
      <w:tr>
        <w:trPr>
          <w:trHeight w:val="1161" w:hRule="atLeast"/>
        </w:trPr>
        <w:tc>
          <w:tcPr>
            <w:tcW w:w="2062" w:type="dxa"/>
          </w:tcPr>
          <w:p>
            <w:pPr>
              <w:pStyle w:val="TableParagraph"/>
              <w:ind w:right="418"/>
              <w:rPr>
                <w:sz w:val="22"/>
              </w:rPr>
            </w:pPr>
            <w:r>
              <w:rPr>
                <w:rFonts w:ascii="Cambria"/>
                <w:sz w:val="22"/>
              </w:rPr>
              <w:t>errorTitle </w:t>
            </w:r>
            <w:r>
              <w:rPr>
                <w:sz w:val="22"/>
              </w:rPr>
              <w:t>(Error Alert Text)</w:t>
            </w:r>
          </w:p>
        </w:tc>
        <w:tc>
          <w:tcPr>
            <w:tcW w:w="8250" w:type="dxa"/>
          </w:tcPr>
          <w:p>
            <w:pPr>
              <w:pStyle w:val="TableParagraph"/>
              <w:rPr>
                <w:sz w:val="22"/>
              </w:rPr>
            </w:pPr>
            <w:r>
              <w:rPr>
                <w:sz w:val="22"/>
              </w:rPr>
              <w:t>Title bar text of error alert.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29" w:hRule="atLeast"/>
        </w:trPr>
        <w:tc>
          <w:tcPr>
            <w:tcW w:w="2062" w:type="dxa"/>
            <w:tcBorders>
              <w:bottom w:val="nil"/>
            </w:tcBorders>
          </w:tcPr>
          <w:p>
            <w:pPr>
              <w:pStyle w:val="TableParagraph"/>
              <w:rPr>
                <w:sz w:val="22"/>
              </w:rPr>
            </w:pPr>
            <w:r>
              <w:rPr>
                <w:rFonts w:ascii="Cambria"/>
                <w:sz w:val="22"/>
              </w:rPr>
              <w:t>imeMode </w:t>
            </w:r>
            <w:r>
              <w:rPr>
                <w:sz w:val="22"/>
              </w:rPr>
              <w:t>(IME</w:t>
            </w:r>
          </w:p>
        </w:tc>
        <w:tc>
          <w:tcPr>
            <w:tcW w:w="8250" w:type="dxa"/>
            <w:tcBorders>
              <w:bottom w:val="nil"/>
            </w:tcBorders>
          </w:tcPr>
          <w:p>
            <w:pPr>
              <w:pStyle w:val="TableParagraph"/>
              <w:rPr>
                <w:sz w:val="22"/>
              </w:rPr>
            </w:pPr>
            <w:r>
              <w:rPr>
                <w:sz w:val="22"/>
              </w:rPr>
              <w:t>The IME (input method editor) mode enforced by this data validation. Only applies for</w:t>
            </w:r>
          </w:p>
        </w:tc>
      </w:tr>
      <w:tr>
        <w:trPr>
          <w:trHeight w:val="2217" w:hRule="atLeast"/>
        </w:trPr>
        <w:tc>
          <w:tcPr>
            <w:tcW w:w="2062" w:type="dxa"/>
            <w:tcBorders>
              <w:top w:val="nil"/>
              <w:bottom w:val="nil"/>
            </w:tcBorders>
          </w:tcPr>
          <w:p>
            <w:pPr>
              <w:pStyle w:val="TableParagraph"/>
              <w:spacing w:line="249" w:lineRule="exact" w:before="0"/>
              <w:rPr>
                <w:sz w:val="22"/>
              </w:rPr>
            </w:pPr>
            <w:r>
              <w:rPr>
                <w:sz w:val="22"/>
              </w:rPr>
              <w:t>Mode Enforced)</w:t>
            </w:r>
          </w:p>
        </w:tc>
        <w:tc>
          <w:tcPr>
            <w:tcW w:w="8250" w:type="dxa"/>
            <w:tcBorders>
              <w:top w:val="nil"/>
              <w:bottom w:val="nil"/>
            </w:tcBorders>
          </w:tcPr>
          <w:p>
            <w:pPr>
              <w:pStyle w:val="TableParagraph"/>
              <w:spacing w:line="249" w:lineRule="exact" w:before="0"/>
              <w:rPr>
                <w:sz w:val="22"/>
              </w:rPr>
            </w:pPr>
            <w:r>
              <w:rPr>
                <w:sz w:val="22"/>
              </w:rPr>
              <w:t>these languages:</w:t>
            </w:r>
          </w:p>
          <w:p>
            <w:pPr>
              <w:pStyle w:val="TableParagraph"/>
              <w:numPr>
                <w:ilvl w:val="0"/>
                <w:numId w:val="24"/>
              </w:numPr>
              <w:tabs>
                <w:tab w:pos="834" w:val="left" w:leader="none"/>
                <w:tab w:pos="835" w:val="left" w:leader="none"/>
              </w:tabs>
              <w:spacing w:line="240" w:lineRule="auto" w:before="0" w:after="0"/>
              <w:ind w:left="835" w:right="0" w:hanging="360"/>
              <w:jc w:val="left"/>
              <w:rPr>
                <w:sz w:val="22"/>
              </w:rPr>
            </w:pPr>
            <w:r>
              <w:rPr>
                <w:sz w:val="22"/>
              </w:rPr>
              <w:t>Chinese</w:t>
            </w:r>
            <w:r>
              <w:rPr>
                <w:spacing w:val="-1"/>
                <w:sz w:val="22"/>
              </w:rPr>
              <w:t> </w:t>
            </w:r>
            <w:r>
              <w:rPr>
                <w:sz w:val="22"/>
              </w:rPr>
              <w:t>Simplified</w:t>
            </w:r>
          </w:p>
          <w:p>
            <w:pPr>
              <w:pStyle w:val="TableParagraph"/>
              <w:numPr>
                <w:ilvl w:val="0"/>
                <w:numId w:val="24"/>
              </w:numPr>
              <w:tabs>
                <w:tab w:pos="834" w:val="left" w:leader="none"/>
                <w:tab w:pos="835" w:val="left" w:leader="none"/>
              </w:tabs>
              <w:spacing w:line="279" w:lineRule="exact" w:before="1" w:after="0"/>
              <w:ind w:left="835" w:right="0" w:hanging="360"/>
              <w:jc w:val="left"/>
              <w:rPr>
                <w:sz w:val="22"/>
              </w:rPr>
            </w:pPr>
            <w:r>
              <w:rPr>
                <w:sz w:val="22"/>
              </w:rPr>
              <w:t>Chinese</w:t>
            </w:r>
            <w:r>
              <w:rPr>
                <w:spacing w:val="-1"/>
                <w:sz w:val="22"/>
              </w:rPr>
              <w:t> </w:t>
            </w:r>
            <w:r>
              <w:rPr>
                <w:sz w:val="22"/>
              </w:rPr>
              <w:t>Traditional</w:t>
            </w:r>
          </w:p>
          <w:p>
            <w:pPr>
              <w:pStyle w:val="TableParagraph"/>
              <w:numPr>
                <w:ilvl w:val="0"/>
                <w:numId w:val="24"/>
              </w:numPr>
              <w:tabs>
                <w:tab w:pos="834" w:val="left" w:leader="none"/>
                <w:tab w:pos="835" w:val="left" w:leader="none"/>
              </w:tabs>
              <w:spacing w:line="279" w:lineRule="exact" w:before="0" w:after="0"/>
              <w:ind w:left="835" w:right="0" w:hanging="360"/>
              <w:jc w:val="left"/>
              <w:rPr>
                <w:sz w:val="22"/>
              </w:rPr>
            </w:pPr>
            <w:r>
              <w:rPr>
                <w:sz w:val="22"/>
              </w:rPr>
              <w:t>Japanese</w:t>
            </w:r>
          </w:p>
          <w:p>
            <w:pPr>
              <w:pStyle w:val="TableParagraph"/>
              <w:numPr>
                <w:ilvl w:val="0"/>
                <w:numId w:val="24"/>
              </w:numPr>
              <w:tabs>
                <w:tab w:pos="834" w:val="left" w:leader="none"/>
                <w:tab w:pos="835" w:val="left" w:leader="none"/>
              </w:tabs>
              <w:spacing w:line="240" w:lineRule="auto" w:before="0" w:after="0"/>
              <w:ind w:left="835" w:right="0" w:hanging="360"/>
              <w:jc w:val="left"/>
              <w:rPr>
                <w:sz w:val="22"/>
              </w:rPr>
            </w:pPr>
            <w:r>
              <w:rPr>
                <w:sz w:val="22"/>
              </w:rPr>
              <w:t>Korean</w:t>
            </w:r>
          </w:p>
          <w:p>
            <w:pPr>
              <w:pStyle w:val="TableParagraph"/>
              <w:spacing w:before="1"/>
              <w:ind w:left="475"/>
              <w:rPr>
                <w:rFonts w:ascii="Symbol" w:hAnsi="Symbol"/>
                <w:sz w:val="22"/>
              </w:rPr>
            </w:pPr>
            <w:r>
              <w:rPr>
                <w:rFonts w:ascii="Symbol" w:hAnsi="Symbol"/>
                <w:w w:val="100"/>
                <w:sz w:val="22"/>
              </w:rPr>
              <w:t></w:t>
            </w:r>
          </w:p>
          <w:p>
            <w:pPr>
              <w:pStyle w:val="TableParagraph"/>
              <w:numPr>
                <w:ilvl w:val="0"/>
                <w:numId w:val="24"/>
              </w:numPr>
              <w:tabs>
                <w:tab w:pos="834" w:val="left" w:leader="none"/>
                <w:tab w:pos="835" w:val="left" w:leader="none"/>
              </w:tabs>
              <w:spacing w:line="237" w:lineRule="auto" w:before="13" w:after="0"/>
              <w:ind w:left="835" w:right="127" w:hanging="360"/>
              <w:jc w:val="left"/>
              <w:rPr>
                <w:sz w:val="22"/>
              </w:rPr>
            </w:pPr>
            <w:r>
              <w:rPr>
                <w:sz w:val="22"/>
              </w:rPr>
              <w:t>When </w:t>
            </w:r>
            <w:r>
              <w:rPr>
                <w:rFonts w:ascii="Cambria" w:hAnsi="Cambria"/>
                <w:sz w:val="22"/>
              </w:rPr>
              <w:t>imeMode </w:t>
            </w:r>
            <w:r>
              <w:rPr>
                <w:sz w:val="22"/>
              </w:rPr>
              <w:t>is set, the input for the cell can be restricted to specific sets of characters, as specified by the value of </w:t>
            </w:r>
            <w:r>
              <w:rPr>
                <w:rFonts w:ascii="Cambria" w:hAnsi="Cambria"/>
                <w:sz w:val="22"/>
              </w:rPr>
              <w:t>imeMode</w:t>
            </w:r>
            <w:r>
              <w:rPr>
                <w:sz w:val="22"/>
              </w:rPr>
              <w:t>. See the simple type</w:t>
            </w:r>
            <w:r>
              <w:rPr>
                <w:spacing w:val="-23"/>
                <w:sz w:val="22"/>
              </w:rPr>
              <w:t> </w:t>
            </w:r>
            <w:r>
              <w:rPr>
                <w:sz w:val="22"/>
              </w:rPr>
              <w:t>referenced</w:t>
            </w:r>
          </w:p>
        </w:tc>
      </w:tr>
      <w:tr>
        <w:trPr>
          <w:trHeight w:val="818"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ind w:left="835"/>
              <w:rPr>
                <w:sz w:val="22"/>
              </w:rPr>
            </w:pPr>
            <w:r>
              <w:rPr>
                <w:sz w:val="22"/>
              </w:rPr>
              <w:t>below for additional details.</w:t>
            </w:r>
          </w:p>
          <w:p>
            <w:pPr>
              <w:pStyle w:val="TableParagraph"/>
              <w:spacing w:before="0"/>
              <w:ind w:left="475"/>
              <w:rPr>
                <w:rFonts w:ascii="Symbol" w:hAnsi="Symbol"/>
                <w:sz w:val="22"/>
              </w:rPr>
            </w:pPr>
            <w:r>
              <w:rPr>
                <w:rFonts w:ascii="Symbol" w:hAnsi="Symbol"/>
                <w:w w:val="100"/>
                <w:sz w:val="22"/>
              </w:rPr>
              <w:t></w:t>
            </w:r>
          </w:p>
          <w:p>
            <w:pPr>
              <w:pStyle w:val="TableParagraph"/>
              <w:spacing w:before="11"/>
              <w:rPr>
                <w:sz w:val="22"/>
              </w:rPr>
            </w:pPr>
            <w:r>
              <w:rPr>
                <w:sz w:val="22"/>
              </w:rPr>
              <w:t>When </w:t>
            </w:r>
            <w:r>
              <w:rPr>
                <w:rFonts w:ascii="Cambria"/>
                <w:sz w:val="22"/>
              </w:rPr>
              <w:t>imeMode </w:t>
            </w:r>
            <w:r>
              <w:rPr>
                <w:sz w:val="22"/>
              </w:rPr>
              <w:t>is set but the application's language is not one of the languages listed</w:t>
            </w:r>
          </w:p>
        </w:tc>
      </w:tr>
      <w:tr>
        <w:trPr>
          <w:trHeight w:val="381"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above, then the default value is </w:t>
            </w:r>
            <w:r>
              <w:rPr>
                <w:rFonts w:ascii="Consolas"/>
                <w:sz w:val="20"/>
              </w:rPr>
              <w:t>noControl</w:t>
            </w:r>
            <w:r>
              <w:rPr>
                <w:sz w:val="22"/>
              </w:rPr>
              <w:t>.</w:t>
            </w:r>
          </w:p>
        </w:tc>
      </w:tr>
      <w:tr>
        <w:trPr>
          <w:trHeight w:val="425"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37"/>
              <w:rPr>
                <w:rFonts w:ascii="Cambria"/>
                <w:sz w:val="22"/>
              </w:rPr>
            </w:pPr>
            <w:r>
              <w:rPr>
                <w:sz w:val="22"/>
              </w:rPr>
              <w:t>The possible values for this attribute are defined by the </w:t>
            </w:r>
            <w:r>
              <w:rPr>
                <w:rFonts w:ascii="Cambria"/>
                <w:sz w:val="22"/>
              </w:rPr>
              <w:t>ST_DataValidationImeMode</w:t>
            </w:r>
          </w:p>
        </w:tc>
      </w:tr>
      <w:tr>
        <w:trPr>
          <w:trHeight w:val="292" w:hRule="atLeast"/>
        </w:trPr>
        <w:tc>
          <w:tcPr>
            <w:tcW w:w="2062" w:type="dxa"/>
            <w:tcBorders>
              <w:top w:val="nil"/>
            </w:tcBorders>
          </w:tcPr>
          <w:p>
            <w:pPr>
              <w:pStyle w:val="TableParagraph"/>
              <w:spacing w:before="0"/>
              <w:ind w:left="0"/>
              <w:rPr>
                <w:rFonts w:ascii="Times New Roman"/>
                <w:sz w:val="20"/>
              </w:rPr>
            </w:pPr>
          </w:p>
        </w:tc>
        <w:tc>
          <w:tcPr>
            <w:tcW w:w="8250" w:type="dxa"/>
            <w:tcBorders>
              <w:top w:val="nil"/>
            </w:tcBorders>
          </w:tcPr>
          <w:p>
            <w:pPr>
              <w:pStyle w:val="TableParagraph"/>
              <w:spacing w:line="249" w:lineRule="exact" w:before="0"/>
              <w:rPr>
                <w:sz w:val="22"/>
              </w:rPr>
            </w:pPr>
            <w:r>
              <w:rPr>
                <w:sz w:val="22"/>
              </w:rPr>
              <w:t>simple type (§</w:t>
            </w:r>
            <w:hyperlink w:history="true" w:anchor="_bookmark841">
              <w:r>
                <w:rPr>
                  <w:sz w:val="22"/>
                </w:rPr>
                <w:t>18.18.19</w:t>
              </w:r>
            </w:hyperlink>
            <w:r>
              <w:rPr>
                <w:sz w:val="22"/>
              </w:rPr>
              <w:t>).</w:t>
            </w:r>
          </w:p>
        </w:tc>
      </w:tr>
      <w:tr>
        <w:trPr>
          <w:trHeight w:val="1161" w:hRule="atLeast"/>
        </w:trPr>
        <w:tc>
          <w:tcPr>
            <w:tcW w:w="2062" w:type="dxa"/>
          </w:tcPr>
          <w:p>
            <w:pPr>
              <w:pStyle w:val="TableParagraph"/>
              <w:spacing w:before="42"/>
              <w:rPr>
                <w:sz w:val="22"/>
              </w:rPr>
            </w:pPr>
            <w:r>
              <w:rPr>
                <w:rFonts w:ascii="Cambria"/>
                <w:sz w:val="22"/>
              </w:rPr>
              <w:t>operator </w:t>
            </w:r>
            <w:r>
              <w:rPr>
                <w:sz w:val="22"/>
              </w:rPr>
              <w:t>(Operator)</w:t>
            </w:r>
          </w:p>
        </w:tc>
        <w:tc>
          <w:tcPr>
            <w:tcW w:w="8250" w:type="dxa"/>
          </w:tcPr>
          <w:p>
            <w:pPr>
              <w:pStyle w:val="TableParagraph"/>
              <w:spacing w:before="42"/>
              <w:rPr>
                <w:sz w:val="22"/>
              </w:rPr>
            </w:pPr>
            <w:r>
              <w:rPr>
                <w:sz w:val="22"/>
              </w:rPr>
              <w:t>The relational operator used with this data validation.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t>
            </w:r>
            <w:r>
              <w:rPr>
                <w:rFonts w:ascii="Cambria"/>
                <w:sz w:val="22"/>
              </w:rPr>
              <w:t>ST_DataValidationOperator</w:t>
            </w:r>
          </w:p>
          <w:p>
            <w:pPr>
              <w:pStyle w:val="TableParagraph"/>
              <w:spacing w:before="0"/>
              <w:rPr>
                <w:sz w:val="22"/>
              </w:rPr>
            </w:pPr>
            <w:r>
              <w:rPr>
                <w:sz w:val="22"/>
              </w:rPr>
              <w:t>simple type (§</w:t>
            </w:r>
            <w:hyperlink w:history="true" w:anchor="_bookmark842">
              <w:r>
                <w:rPr>
                  <w:sz w:val="22"/>
                </w:rPr>
                <w:t>18.18.20</w:t>
              </w:r>
            </w:hyperlink>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616"/>
              <w:rPr>
                <w:sz w:val="22"/>
              </w:rPr>
            </w:pPr>
            <w:r>
              <w:rPr>
                <w:rFonts w:ascii="Cambria"/>
                <w:sz w:val="22"/>
              </w:rPr>
              <w:t>prompt </w:t>
            </w:r>
            <w:r>
              <w:rPr>
                <w:sz w:val="22"/>
              </w:rPr>
              <w:t>(Input Prompt)</w:t>
            </w:r>
          </w:p>
        </w:tc>
        <w:tc>
          <w:tcPr>
            <w:tcW w:w="8250" w:type="dxa"/>
          </w:tcPr>
          <w:p>
            <w:pPr>
              <w:pStyle w:val="TableParagraph"/>
              <w:rPr>
                <w:sz w:val="22"/>
              </w:rPr>
            </w:pPr>
            <w:r>
              <w:rPr>
                <w:sz w:val="22"/>
              </w:rPr>
              <w:t>Message text of input prompt.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line="256" w:lineRule="exact" w:before="45"/>
              <w:rPr>
                <w:rFonts w:ascii="Cambria"/>
                <w:sz w:val="22"/>
              </w:rPr>
            </w:pPr>
            <w:r>
              <w:rPr>
                <w:rFonts w:ascii="Cambria"/>
                <w:sz w:val="22"/>
              </w:rPr>
              <w:t>promptTitle</w:t>
            </w:r>
          </w:p>
          <w:p>
            <w:pPr>
              <w:pStyle w:val="TableParagraph"/>
              <w:spacing w:line="267" w:lineRule="exact" w:before="0"/>
              <w:rPr>
                <w:sz w:val="22"/>
              </w:rPr>
            </w:pPr>
            <w:r>
              <w:rPr>
                <w:sz w:val="22"/>
              </w:rPr>
              <w:t>(Prompt Title)</w:t>
            </w:r>
          </w:p>
        </w:tc>
        <w:tc>
          <w:tcPr>
            <w:tcW w:w="8250" w:type="dxa"/>
          </w:tcPr>
          <w:p>
            <w:pPr>
              <w:pStyle w:val="TableParagraph"/>
              <w:spacing w:before="42"/>
              <w:rPr>
                <w:sz w:val="22"/>
              </w:rPr>
            </w:pPr>
            <w:r>
              <w:rPr>
                <w:sz w:val="22"/>
              </w:rPr>
              <w:t>Title bar text of input prompt.</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30" w:hRule="atLeast"/>
        </w:trPr>
        <w:tc>
          <w:tcPr>
            <w:tcW w:w="2062" w:type="dxa"/>
          </w:tcPr>
          <w:p>
            <w:pPr>
              <w:pStyle w:val="TableParagraph"/>
              <w:spacing w:line="257" w:lineRule="exact" w:before="42"/>
              <w:rPr>
                <w:rFonts w:ascii="Cambria"/>
                <w:sz w:val="22"/>
              </w:rPr>
            </w:pPr>
            <w:r>
              <w:rPr>
                <w:rFonts w:ascii="Cambria"/>
                <w:sz w:val="22"/>
              </w:rPr>
              <w:t>showDropDown</w:t>
            </w:r>
          </w:p>
          <w:p>
            <w:pPr>
              <w:pStyle w:val="TableParagraph"/>
              <w:spacing w:line="268" w:lineRule="exact" w:before="0"/>
              <w:rPr>
                <w:sz w:val="22"/>
              </w:rPr>
            </w:pPr>
            <w:r>
              <w:rPr>
                <w:sz w:val="22"/>
              </w:rPr>
              <w:t>(Show Drop Down)</w:t>
            </w:r>
          </w:p>
        </w:tc>
        <w:tc>
          <w:tcPr>
            <w:tcW w:w="8250" w:type="dxa"/>
          </w:tcPr>
          <w:p>
            <w:pPr>
              <w:pStyle w:val="TableParagraph"/>
              <w:ind w:right="177"/>
              <w:rPr>
                <w:sz w:val="22"/>
              </w:rPr>
            </w:pPr>
            <w:r>
              <w:rPr>
                <w:sz w:val="22"/>
              </w:rPr>
              <w:t>A boolean value indicating whether to display a dropdown combo box for a list type data validation.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7" w:hRule="atLeast"/>
        </w:trPr>
        <w:tc>
          <w:tcPr>
            <w:tcW w:w="2062" w:type="dxa"/>
          </w:tcPr>
          <w:p>
            <w:pPr>
              <w:pStyle w:val="TableParagraph"/>
              <w:spacing w:line="237" w:lineRule="auto" w:before="45"/>
              <w:ind w:right="98"/>
              <w:rPr>
                <w:sz w:val="22"/>
              </w:rPr>
            </w:pPr>
            <w:r>
              <w:rPr>
                <w:rFonts w:ascii="Cambria"/>
                <w:sz w:val="22"/>
              </w:rPr>
              <w:t>showErrorMessage </w:t>
            </w:r>
            <w:r>
              <w:rPr>
                <w:sz w:val="22"/>
              </w:rPr>
              <w:t>(Show Error Message)</w:t>
            </w:r>
          </w:p>
        </w:tc>
        <w:tc>
          <w:tcPr>
            <w:tcW w:w="8250" w:type="dxa"/>
          </w:tcPr>
          <w:p>
            <w:pPr>
              <w:pStyle w:val="TableParagraph"/>
              <w:ind w:right="425"/>
              <w:rPr>
                <w:sz w:val="22"/>
              </w:rPr>
            </w:pPr>
            <w:r>
              <w:rPr>
                <w:sz w:val="22"/>
              </w:rPr>
              <w:t>A boolean value indicating whether to display the error alert message when an invalid value has been entered, according to the criteria specified.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5"/>
              <w:ind w:right="102"/>
              <w:rPr>
                <w:sz w:val="22"/>
              </w:rPr>
            </w:pPr>
            <w:r>
              <w:rPr>
                <w:rFonts w:ascii="Cambria"/>
                <w:sz w:val="22"/>
              </w:rPr>
              <w:t>showInputMessage </w:t>
            </w:r>
            <w:r>
              <w:rPr>
                <w:sz w:val="22"/>
              </w:rPr>
              <w:t>(Show Input Message)</w:t>
            </w:r>
          </w:p>
        </w:tc>
        <w:tc>
          <w:tcPr>
            <w:tcW w:w="8250" w:type="dxa"/>
          </w:tcPr>
          <w:p>
            <w:pPr>
              <w:pStyle w:val="TableParagraph"/>
              <w:rPr>
                <w:sz w:val="22"/>
              </w:rPr>
            </w:pPr>
            <w:r>
              <w:rPr>
                <w:sz w:val="22"/>
              </w:rPr>
              <w:t>A boolean value indicating whether to display the input prompt message.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ind w:right="219"/>
              <w:rPr>
                <w:sz w:val="22"/>
              </w:rPr>
            </w:pPr>
            <w:r>
              <w:rPr>
                <w:rFonts w:ascii="Cambria"/>
                <w:sz w:val="22"/>
              </w:rPr>
              <w:t>sqref </w:t>
            </w:r>
            <w:r>
              <w:rPr>
                <w:sz w:val="22"/>
              </w:rPr>
              <w:t>(Sequence of References)</w:t>
            </w:r>
          </w:p>
        </w:tc>
        <w:tc>
          <w:tcPr>
            <w:tcW w:w="8250" w:type="dxa"/>
          </w:tcPr>
          <w:p>
            <w:pPr>
              <w:pStyle w:val="TableParagraph"/>
              <w:rPr>
                <w:sz w:val="22"/>
              </w:rPr>
            </w:pPr>
            <w:r>
              <w:rPr>
                <w:sz w:val="22"/>
              </w:rPr>
              <w:t>Range over which data validation is applied.</w:t>
            </w:r>
          </w:p>
          <w:p>
            <w:pPr>
              <w:pStyle w:val="TableParagraph"/>
              <w:spacing w:before="2"/>
              <w:ind w:left="0"/>
              <w:rPr>
                <w:sz w:val="22"/>
              </w:rPr>
            </w:pPr>
          </w:p>
          <w:p>
            <w:pPr>
              <w:pStyle w:val="TableParagraph"/>
              <w:spacing w:line="237" w:lineRule="auto" w:before="1"/>
              <w:ind w:right="1210"/>
              <w:rPr>
                <w:sz w:val="22"/>
              </w:rPr>
            </w:pPr>
            <w:r>
              <w:rPr>
                <w:sz w:val="22"/>
              </w:rPr>
              <w:t>The possible values for this attribute are defined by the </w:t>
            </w:r>
            <w:r>
              <w:rPr>
                <w:rFonts w:ascii="Cambria" w:hAnsi="Cambria"/>
                <w:sz w:val="22"/>
              </w:rPr>
              <w:t>ST_Sqref </w:t>
            </w:r>
            <w:r>
              <w:rPr>
                <w:sz w:val="22"/>
              </w:rPr>
              <w:t>simple type </w:t>
            </w:r>
            <w:hyperlink w:history="true" w:anchor="_bookmark898">
              <w:r>
                <w:rPr>
                  <w:sz w:val="22"/>
                </w:rPr>
                <w:t>(§18.18.76</w:t>
              </w:r>
            </w:hyperlink>
            <w:r>
              <w:rPr>
                <w:sz w:val="22"/>
              </w:rPr>
              <w:t>).</w:t>
            </w:r>
          </w:p>
        </w:tc>
      </w:tr>
      <w:tr>
        <w:trPr>
          <w:trHeight w:val="1161" w:hRule="atLeast"/>
        </w:trPr>
        <w:tc>
          <w:tcPr>
            <w:tcW w:w="2062" w:type="dxa"/>
          </w:tcPr>
          <w:p>
            <w:pPr>
              <w:pStyle w:val="TableParagraph"/>
              <w:ind w:right="460"/>
              <w:rPr>
                <w:sz w:val="22"/>
              </w:rPr>
            </w:pPr>
            <w:r>
              <w:rPr>
                <w:rFonts w:ascii="Cambria"/>
                <w:sz w:val="22"/>
              </w:rPr>
              <w:t>type </w:t>
            </w:r>
            <w:r>
              <w:rPr>
                <w:sz w:val="22"/>
              </w:rPr>
              <w:t>(Data Validation Type)</w:t>
            </w:r>
          </w:p>
        </w:tc>
        <w:tc>
          <w:tcPr>
            <w:tcW w:w="8250" w:type="dxa"/>
          </w:tcPr>
          <w:p>
            <w:pPr>
              <w:pStyle w:val="TableParagraph"/>
              <w:rPr>
                <w:sz w:val="22"/>
              </w:rPr>
            </w:pPr>
            <w:r>
              <w:rPr>
                <w:sz w:val="22"/>
              </w:rPr>
              <w:t>The type of data validation.</w:t>
            </w:r>
          </w:p>
          <w:p>
            <w:pPr>
              <w:pStyle w:val="TableParagraph"/>
              <w:spacing w:before="0"/>
              <w:ind w:left="0"/>
              <w:rPr>
                <w:sz w:val="22"/>
              </w:rPr>
            </w:pPr>
          </w:p>
          <w:p>
            <w:pPr>
              <w:pStyle w:val="TableParagraph"/>
              <w:spacing w:before="0"/>
              <w:ind w:right="281"/>
              <w:rPr>
                <w:sz w:val="22"/>
              </w:rPr>
            </w:pPr>
            <w:r>
              <w:rPr>
                <w:sz w:val="22"/>
              </w:rPr>
              <w:t>The possible values for this attribute are defined by the </w:t>
            </w:r>
            <w:r>
              <w:rPr>
                <w:rFonts w:ascii="Cambria" w:hAnsi="Cambria"/>
                <w:sz w:val="22"/>
              </w:rPr>
              <w:t>ST_DataValidationType </w:t>
            </w:r>
            <w:r>
              <w:rPr>
                <w:sz w:val="22"/>
              </w:rPr>
              <w:t>simple type (</w:t>
            </w:r>
            <w:hyperlink w:history="true" w:anchor="_bookmark843">
              <w:r>
                <w:rPr>
                  <w:sz w:val="22"/>
                </w:rPr>
                <w:t>§18.18.21</w:t>
              </w:r>
            </w:hyperlink>
            <w:r>
              <w:rPr>
                <w:sz w:val="22"/>
              </w:rPr>
              <w:t>).</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CT_DataValidation</w:t>
      </w:r>
      <w:r>
        <w:rPr/>
        <w:t>) is located in §A.2.</w:t>
      </w:r>
    </w:p>
    <w:p>
      <w:pPr>
        <w:spacing w:before="44"/>
        <w:ind w:left="220" w:right="0" w:firstLine="0"/>
        <w:jc w:val="left"/>
        <w:rPr>
          <w:sz w:val="22"/>
        </w:rPr>
      </w:pPr>
      <w:r>
        <w:rPr>
          <w:i/>
          <w:sz w:val="22"/>
        </w:rPr>
        <w:t>end note</w:t>
      </w:r>
      <w:r>
        <w:rPr>
          <w:sz w:val="22"/>
        </w:rPr>
        <w:t>]</w:t>
      </w:r>
    </w:p>
    <w:p>
      <w:pPr>
        <w:pStyle w:val="BodyText"/>
        <w:spacing w:before="8"/>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33 dataValidations (Data Validati" w:id="200"/>
      <w:bookmarkEnd w:id="200"/>
      <w:r>
        <w:rPr/>
      </w:r>
      <w:bookmarkStart w:name="_bookmark65" w:id="201"/>
      <w:bookmarkEnd w:id="201"/>
      <w:r>
        <w:rPr/>
      </w:r>
      <w:bookmarkStart w:name="_bookmark65" w:id="202"/>
      <w:bookmarkEnd w:id="202"/>
      <w:r>
        <w:rPr>
          <w:color w:val="4F81BC"/>
        </w:rPr>
        <w:t>d</w:t>
      </w:r>
      <w:r>
        <w:rPr>
          <w:color w:val="4F81BC"/>
        </w:rPr>
        <w:t>ataValidations (Data</w:t>
      </w:r>
      <w:r>
        <w:rPr>
          <w:color w:val="4F81BC"/>
          <w:spacing w:val="1"/>
        </w:rPr>
        <w:t> </w:t>
      </w:r>
      <w:r>
        <w:rPr>
          <w:color w:val="4F81BC"/>
        </w:rPr>
        <w:t>Validations)</w:t>
      </w:r>
    </w:p>
    <w:p>
      <w:pPr>
        <w:pStyle w:val="BodyText"/>
        <w:spacing w:line="278" w:lineRule="auto" w:before="120"/>
        <w:ind w:left="220" w:right="588"/>
      </w:pPr>
      <w:r>
        <w:rPr/>
        <w:t>This collection expresses all data validation information for cells in a sheet which have data validation features applied.</w:t>
      </w:r>
    </w:p>
    <w:p>
      <w:pPr>
        <w:pStyle w:val="BodyText"/>
        <w:spacing w:line="276" w:lineRule="auto" w:before="195"/>
        <w:ind w:left="220" w:right="752"/>
      </w:pPr>
      <w:r>
        <w:rPr/>
        <w:t>Data validation is used to specify constraints on the data that can be entered into a cell. Additional UI can be provided to help the user select values (e.g., a dropdown control on the cell or hover text when the cell is active), and to help the user understand why a particular entry was disallowed (e.g., alerts and messages).</w:t>
      </w:r>
    </w:p>
    <w:p>
      <w:pPr>
        <w:spacing w:after="0" w:line="276" w:lineRule="auto"/>
        <w:sectPr>
          <w:footerReference w:type="even" r:id="rId33"/>
          <w:footerReference w:type="default" r:id="rId34"/>
          <w:pgSz w:w="12240" w:h="15840"/>
          <w:pgMar w:footer="746" w:header="761" w:top="1340" w:bottom="940" w:left="860" w:right="700"/>
          <w:pgNumType w:start="1620"/>
        </w:sectPr>
      </w:pPr>
    </w:p>
    <w:p>
      <w:pPr>
        <w:pStyle w:val="BodyText"/>
        <w:spacing w:line="276" w:lineRule="auto" w:before="148"/>
        <w:ind w:left="220" w:right="420"/>
      </w:pPr>
      <w:r>
        <w:rPr/>
        <w:t>Various data types can be selected, and logical operators (e.g., greater than, less than, equal to, etc) can be used. Additionally, instead of specifying an explicit set of values that are permitted, a cell or range reference can be used.</w:t>
      </w:r>
    </w:p>
    <w:p>
      <w:pPr>
        <w:pStyle w:val="BodyText"/>
        <w:spacing w:before="4"/>
        <w:rPr>
          <w:sz w:val="16"/>
        </w:rPr>
      </w:pPr>
    </w:p>
    <w:p>
      <w:pPr>
        <w:pStyle w:val="BodyText"/>
        <w:spacing w:line="278" w:lineRule="auto"/>
        <w:ind w:left="220" w:right="387"/>
        <w:jc w:val="both"/>
      </w:pPr>
      <w:r>
        <w:rPr/>
        <w:t>An input message can be specified to help the user know what kind of value is expected, and a warning message (and warning type) can be specified to alert the user when they've entered data which is not permitted based on the data validations specified in the worksheet.</w:t>
      </w:r>
    </w:p>
    <w:p>
      <w:pPr>
        <w:spacing w:before="196"/>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&lt;dataValidations count="1"&gt;</w:t>
      </w:r>
    </w:p>
    <w:p>
      <w:pPr>
        <w:pStyle w:val="BodyText"/>
        <w:spacing w:line="276" w:lineRule="auto" w:before="38"/>
        <w:ind w:left="993" w:right="1028" w:hanging="243"/>
        <w:rPr>
          <w:rFonts w:ascii="Consolas"/>
        </w:rPr>
      </w:pPr>
      <w:r>
        <w:rPr>
          <w:rFonts w:ascii="Consolas"/>
        </w:rPr>
        <w:t>&lt;dataValidation type="whole" errorStyle="warning" operator="greaterThan" showInputMessage="1" showErrorMessage="1" errorTitle="Invalid Data" error="The value must be a whole number greater than 0." promptTitle="Whole Number"</w:t>
      </w:r>
    </w:p>
    <w:p>
      <w:pPr>
        <w:pStyle w:val="BodyText"/>
        <w:spacing w:before="1"/>
        <w:ind w:left="993"/>
        <w:rPr>
          <w:rFonts w:ascii="Consolas"/>
        </w:rPr>
      </w:pPr>
      <w:r>
        <w:rPr>
          <w:rFonts w:ascii="Consolas"/>
        </w:rPr>
        <w:t>prompt="Please enter a whole number greater than 0." sqref="A1"&gt;</w:t>
      </w:r>
    </w:p>
    <w:p>
      <w:pPr>
        <w:pStyle w:val="BodyText"/>
        <w:spacing w:before="37"/>
        <w:ind w:left="993"/>
        <w:rPr>
          <w:rFonts w:ascii="Consolas"/>
        </w:rPr>
      </w:pPr>
      <w:r>
        <w:rPr>
          <w:rFonts w:ascii="Consolas"/>
        </w:rPr>
        <w:t>&lt;formula1&gt;0&lt;/formula1&gt;</w:t>
      </w:r>
    </w:p>
    <w:p>
      <w:pPr>
        <w:pStyle w:val="BodyText"/>
        <w:spacing w:before="40"/>
        <w:ind w:left="750"/>
        <w:rPr>
          <w:rFonts w:ascii="Consolas"/>
        </w:rPr>
      </w:pPr>
      <w:r>
        <w:rPr>
          <w:rFonts w:ascii="Consolas"/>
        </w:rPr>
        <w:t>&lt;/dataValidation&gt;</w:t>
      </w:r>
    </w:p>
    <w:p>
      <w:pPr>
        <w:pStyle w:val="BodyText"/>
        <w:spacing w:before="38"/>
        <w:ind w:left="508"/>
        <w:rPr>
          <w:rFonts w:ascii="Consolas"/>
        </w:rPr>
      </w:pPr>
      <w:r>
        <w:rPr>
          <w:rFonts w:ascii="Consolas"/>
        </w:rPr>
        <w:t>&lt;/dataValidations&gt;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545"/>
              <w:rPr>
                <w:sz w:val="22"/>
              </w:rPr>
            </w:pPr>
            <w:r>
              <w:rPr>
                <w:rFonts w:ascii="Cambria"/>
                <w:sz w:val="22"/>
              </w:rPr>
              <w:t>count </w:t>
            </w:r>
            <w:r>
              <w:rPr>
                <w:sz w:val="22"/>
              </w:rPr>
              <w:t>(Data Validation Item Count)</w:t>
            </w:r>
          </w:p>
        </w:tc>
        <w:tc>
          <w:tcPr>
            <w:tcW w:w="8250" w:type="dxa"/>
          </w:tcPr>
          <w:p>
            <w:pPr>
              <w:pStyle w:val="TableParagraph"/>
              <w:rPr>
                <w:sz w:val="22"/>
              </w:rPr>
            </w:pPr>
            <w:r>
              <w:rPr>
                <w:sz w:val="22"/>
              </w:rPr>
              <w:t>The expected number of data validation items for this worksheet.</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disablePrompts</w:t>
            </w:r>
          </w:p>
          <w:p>
            <w:pPr>
              <w:pStyle w:val="TableParagraph"/>
              <w:spacing w:line="268" w:lineRule="exact" w:before="0"/>
              <w:rPr>
                <w:sz w:val="22"/>
              </w:rPr>
            </w:pPr>
            <w:r>
              <w:rPr>
                <w:sz w:val="22"/>
              </w:rPr>
              <w:t>(Disable Prompts)</w:t>
            </w:r>
          </w:p>
        </w:tc>
        <w:tc>
          <w:tcPr>
            <w:tcW w:w="8250" w:type="dxa"/>
          </w:tcPr>
          <w:p>
            <w:pPr>
              <w:pStyle w:val="TableParagraph"/>
              <w:rPr>
                <w:sz w:val="22"/>
              </w:rPr>
            </w:pPr>
            <w:r>
              <w:rPr>
                <w:sz w:val="22"/>
              </w:rPr>
              <w:t>A boolean value indicating whether all input prompts for the worksheet are disabled.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ind w:right="168"/>
              <w:rPr>
                <w:sz w:val="22"/>
              </w:rPr>
            </w:pPr>
            <w:r>
              <w:rPr>
                <w:rFonts w:ascii="Cambria"/>
                <w:sz w:val="22"/>
              </w:rPr>
              <w:t>xWindow </w:t>
            </w:r>
            <w:r>
              <w:rPr>
                <w:sz w:val="22"/>
              </w:rPr>
              <w:t>(Top Left Corner (X Coodrinate))</w:t>
            </w:r>
          </w:p>
        </w:tc>
        <w:tc>
          <w:tcPr>
            <w:tcW w:w="8250" w:type="dxa"/>
          </w:tcPr>
          <w:p>
            <w:pPr>
              <w:pStyle w:val="TableParagraph"/>
              <w:ind w:right="651"/>
              <w:rPr>
                <w:sz w:val="22"/>
              </w:rPr>
            </w:pPr>
            <w:r>
              <w:rPr>
                <w:sz w:val="22"/>
              </w:rPr>
              <w:t>The x-coordinate (relative to window) of top-left corner of the data validation input prompt (textbox). This is per sheet, not per cell. Units in pixels.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30" w:hRule="atLeast"/>
        </w:trPr>
        <w:tc>
          <w:tcPr>
            <w:tcW w:w="2062" w:type="dxa"/>
          </w:tcPr>
          <w:p>
            <w:pPr>
              <w:pStyle w:val="TableParagraph"/>
              <w:spacing w:before="42"/>
              <w:ind w:right="163"/>
              <w:rPr>
                <w:sz w:val="22"/>
              </w:rPr>
            </w:pPr>
            <w:r>
              <w:rPr>
                <w:rFonts w:ascii="Cambria"/>
                <w:sz w:val="22"/>
              </w:rPr>
              <w:t>yWindow </w:t>
            </w:r>
            <w:r>
              <w:rPr>
                <w:sz w:val="22"/>
              </w:rPr>
              <w:t>(Top Left Corner (Y Coordinate))</w:t>
            </w:r>
          </w:p>
        </w:tc>
        <w:tc>
          <w:tcPr>
            <w:tcW w:w="8250" w:type="dxa"/>
          </w:tcPr>
          <w:p>
            <w:pPr>
              <w:pStyle w:val="TableParagraph"/>
              <w:spacing w:before="42"/>
              <w:ind w:right="647"/>
              <w:rPr>
                <w:sz w:val="22"/>
              </w:rPr>
            </w:pPr>
            <w:r>
              <w:rPr>
                <w:sz w:val="22"/>
              </w:rPr>
              <w:t>The y-coordinate (relative to window) of top-left corner of the data validation input prompt (textbox). This is per sheet, not per cell. Units in pixels.</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CT_DataValidations</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3"/>
        <w:numPr>
          <w:ilvl w:val="3"/>
          <w:numId w:val="22"/>
        </w:numPr>
        <w:tabs>
          <w:tab w:pos="1732" w:val="left" w:leader="none"/>
          <w:tab w:pos="1733" w:val="left" w:leader="none"/>
        </w:tabs>
        <w:spacing w:line="240" w:lineRule="auto" w:before="93" w:after="0"/>
        <w:ind w:left="1732" w:right="0" w:hanging="1513"/>
        <w:jc w:val="left"/>
      </w:pPr>
      <w:bookmarkStart w:name="18.3.1.34 dialogsheet (Dialog Sheet)" w:id="203"/>
      <w:bookmarkEnd w:id="203"/>
      <w:r>
        <w:rPr/>
      </w:r>
      <w:bookmarkStart w:name="_bookmark66" w:id="204"/>
      <w:bookmarkEnd w:id="204"/>
      <w:r>
        <w:rPr/>
      </w:r>
      <w:bookmarkStart w:name="_bookmark66" w:id="205"/>
      <w:bookmarkEnd w:id="205"/>
      <w:r>
        <w:rPr>
          <w:color w:val="4F81BC"/>
        </w:rPr>
        <w:t>d</w:t>
      </w:r>
      <w:r>
        <w:rPr>
          <w:color w:val="4F81BC"/>
        </w:rPr>
        <w:t>ialogsheet (Dialog</w:t>
      </w:r>
      <w:r>
        <w:rPr>
          <w:color w:val="4F81BC"/>
          <w:spacing w:val="-1"/>
        </w:rPr>
        <w:t> </w:t>
      </w:r>
      <w:r>
        <w:rPr>
          <w:color w:val="4F81BC"/>
        </w:rPr>
        <w:t>Sheet)</w:t>
      </w:r>
    </w:p>
    <w:p>
      <w:pPr>
        <w:pStyle w:val="BodyText"/>
        <w:spacing w:before="122"/>
        <w:ind w:left="220"/>
      </w:pPr>
      <w:r>
        <w:rPr/>
        <w:t>This is the root element for Dialogsheet parts within a SpreadsheetML document.</w:t>
      </w:r>
    </w:p>
    <w:p>
      <w:pPr>
        <w:pStyle w:val="BodyText"/>
        <w:spacing w:before="6"/>
        <w:rPr>
          <w:sz w:val="19"/>
        </w:rPr>
      </w:pPr>
    </w:p>
    <w:p>
      <w:pPr>
        <w:pStyle w:val="BodyText"/>
        <w:spacing w:line="278" w:lineRule="auto"/>
        <w:ind w:left="220" w:right="444"/>
        <w:jc w:val="both"/>
      </w:pPr>
      <w:r>
        <w:rPr/>
        <w:t>[</w:t>
      </w:r>
      <w:r>
        <w:rPr>
          <w:i/>
        </w:rPr>
        <w:t>Note</w:t>
      </w:r>
      <w:r>
        <w:rPr/>
        <w:t>: The W3C XML Schema definition of this element’s content model (</w:t>
      </w:r>
      <w:r>
        <w:rPr>
          <w:color w:val="5F5F5F"/>
          <w:u w:val="single" w:color="5F5F5F"/>
        </w:rPr>
        <w:t>CT_Dialogsheet</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35 dimension (Worksheet Dimension" w:id="206"/>
      <w:bookmarkEnd w:id="206"/>
      <w:r>
        <w:rPr/>
      </w:r>
      <w:bookmarkStart w:name="_bookmark67" w:id="207"/>
      <w:bookmarkEnd w:id="207"/>
      <w:r>
        <w:rPr/>
      </w:r>
      <w:bookmarkStart w:name="_bookmark67" w:id="208"/>
      <w:bookmarkEnd w:id="208"/>
      <w:r>
        <w:rPr>
          <w:color w:val="4F81BC"/>
        </w:rPr>
        <w:t>d</w:t>
      </w:r>
      <w:r>
        <w:rPr>
          <w:color w:val="4F81BC"/>
        </w:rPr>
        <w:t>imension (Worksheet</w:t>
      </w:r>
      <w:r>
        <w:rPr>
          <w:color w:val="4F81BC"/>
          <w:spacing w:val="1"/>
        </w:rPr>
        <w:t> </w:t>
      </w:r>
      <w:r>
        <w:rPr>
          <w:color w:val="4F81BC"/>
        </w:rPr>
        <w:t>Dimensions)</w:t>
      </w:r>
    </w:p>
    <w:p>
      <w:pPr>
        <w:pStyle w:val="BodyText"/>
        <w:spacing w:line="276" w:lineRule="auto" w:before="119"/>
        <w:ind w:left="220" w:right="543"/>
        <w:jc w:val="both"/>
      </w:pPr>
      <w:r>
        <w:rPr/>
        <w:t>This element specifies the used range of the worksheet. It specifies the row and column bounds of used cells in the worksheet. This is optional and is not required. Used cells include cells with formulas, text content, and cell formatting. When an entire column is formatted, only the first cell in that column is considered used.</w:t>
      </w:r>
    </w:p>
    <w:p>
      <w:pPr>
        <w:pStyle w:val="BodyText"/>
        <w:spacing w:before="6"/>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before="1"/>
        <w:ind w:left="508"/>
        <w:rPr>
          <w:rFonts w:ascii="Consolas"/>
        </w:rPr>
      </w:pPr>
      <w:r>
        <w:rPr>
          <w:rFonts w:ascii="Consolas"/>
        </w:rPr>
        <w:t>&lt;dimension ref="A1:C2"/&gt;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ind w:left="0" w:right="574"/>
              <w:jc w:val="right"/>
              <w:rPr>
                <w:sz w:val="22"/>
              </w:rPr>
            </w:pPr>
            <w:r>
              <w:rPr>
                <w:rFonts w:ascii="Cambria"/>
                <w:sz w:val="22"/>
              </w:rPr>
              <w:t>ref </w:t>
            </w:r>
            <w:r>
              <w:rPr>
                <w:sz w:val="22"/>
              </w:rPr>
              <w:t>(Reference)</w:t>
            </w:r>
          </w:p>
        </w:tc>
        <w:tc>
          <w:tcPr>
            <w:tcW w:w="8250" w:type="dxa"/>
          </w:tcPr>
          <w:p>
            <w:pPr>
              <w:pStyle w:val="TableParagraph"/>
              <w:ind w:right="256"/>
              <w:jc w:val="both"/>
              <w:rPr>
                <w:sz w:val="22"/>
              </w:rPr>
            </w:pPr>
            <w:r>
              <w:rPr>
                <w:sz w:val="22"/>
              </w:rPr>
              <w:t>The row and column bounds of all cells in this worksheet. Corresponds to the range that would contain all </w:t>
            </w:r>
            <w:r>
              <w:rPr>
                <w:rFonts w:ascii="Cambria"/>
                <w:sz w:val="22"/>
              </w:rPr>
              <w:t>c </w:t>
            </w:r>
            <w:r>
              <w:rPr>
                <w:sz w:val="22"/>
              </w:rPr>
              <w:t>elements written under </w:t>
            </w:r>
            <w:r>
              <w:rPr>
                <w:rFonts w:ascii="Cambria"/>
                <w:sz w:val="22"/>
              </w:rPr>
              <w:t>sheetData</w:t>
            </w:r>
            <w:r>
              <w:rPr>
                <w:sz w:val="22"/>
              </w:rPr>
              <w:t>. Does not support whole column or whole row reference notation.</w:t>
            </w:r>
          </w:p>
          <w:p>
            <w:pPr>
              <w:pStyle w:val="TableParagraph"/>
              <w:spacing w:before="0"/>
              <w:ind w:left="0"/>
              <w:rPr>
                <w:sz w:val="22"/>
              </w:rPr>
            </w:pPr>
          </w:p>
          <w:p>
            <w:pPr>
              <w:pStyle w:val="TableParagraph"/>
              <w:spacing w:before="1"/>
              <w:jc w:val="both"/>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CT_SheetDimension</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36 drawing (Drawing)" w:id="209"/>
      <w:bookmarkEnd w:id="209"/>
      <w:r>
        <w:rPr/>
      </w:r>
      <w:bookmarkStart w:name="_bookmark68" w:id="210"/>
      <w:bookmarkEnd w:id="210"/>
      <w:r>
        <w:rPr/>
      </w:r>
      <w:bookmarkStart w:name="_bookmark68" w:id="211"/>
      <w:bookmarkEnd w:id="211"/>
      <w:r>
        <w:rPr>
          <w:color w:val="4F81BC"/>
        </w:rPr>
        <w:t>d</w:t>
      </w:r>
      <w:r>
        <w:rPr>
          <w:color w:val="4F81BC"/>
        </w:rPr>
        <w:t>rawing</w:t>
      </w:r>
      <w:r>
        <w:rPr>
          <w:color w:val="4F81BC"/>
          <w:spacing w:val="-2"/>
        </w:rPr>
        <w:t> </w:t>
      </w:r>
      <w:r>
        <w:rPr>
          <w:color w:val="4F81BC"/>
        </w:rPr>
        <w:t>(Drawing)</w:t>
      </w:r>
    </w:p>
    <w:p>
      <w:pPr>
        <w:pStyle w:val="BodyText"/>
        <w:spacing w:line="276" w:lineRule="auto" w:before="122"/>
        <w:ind w:left="220" w:right="972"/>
      </w:pPr>
      <w:r>
        <w:rPr/>
        <w:t>This element indicates that the sheet contains drawing components built on the drawingML platform. The relationship Id references the part containing the drawingML definitions.</w:t>
      </w:r>
    </w:p>
    <w:p>
      <w:pPr>
        <w:pStyle w:val="BodyText"/>
        <w:spacing w:before="5"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25" w:hRule="atLeast"/>
        </w:trPr>
        <w:tc>
          <w:tcPr>
            <w:tcW w:w="2062" w:type="dxa"/>
          </w:tcPr>
          <w:p>
            <w:pPr>
              <w:pStyle w:val="TableParagraph"/>
              <w:rPr>
                <w:sz w:val="22"/>
              </w:rPr>
            </w:pPr>
            <w:r>
              <w:rPr>
                <w:rFonts w:ascii="Cambria"/>
                <w:sz w:val="22"/>
              </w:rPr>
              <w:t>id </w:t>
            </w:r>
            <w:r>
              <w:rPr>
                <w:sz w:val="22"/>
              </w:rPr>
              <w:t>(Relationship id)</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rPr>
                <w:sz w:val="22"/>
              </w:rPr>
            </w:pPr>
            <w:r>
              <w:rPr>
                <w:sz w:val="22"/>
              </w:rPr>
              <w:t>Relationship Id referencing a part containing drawingML definitions for this worksheet.</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bl>
    <w:p>
      <w:pPr>
        <w:pStyle w:val="BodyText"/>
      </w:pPr>
    </w:p>
    <w:p>
      <w:pPr>
        <w:pStyle w:val="BodyText"/>
        <w:spacing w:before="5"/>
        <w:rPr>
          <w:sz w:val="19"/>
        </w:rPr>
      </w:pPr>
    </w:p>
    <w:p>
      <w:pPr>
        <w:pStyle w:val="BodyText"/>
        <w:spacing w:line="278" w:lineRule="auto"/>
        <w:ind w:left="220" w:right="741"/>
      </w:pPr>
      <w:r>
        <w:rPr/>
        <w:t>[</w:t>
      </w:r>
      <w:r>
        <w:rPr>
          <w:i/>
        </w:rPr>
        <w:t>Note</w:t>
      </w:r>
      <w:r>
        <w:rPr/>
        <w:t>: The W3C XML Schema definition of this element’s content model (</w:t>
      </w:r>
      <w:r>
        <w:rPr>
          <w:color w:val="5F5F5F"/>
          <w:u w:val="single" w:color="5F5F5F"/>
        </w:rPr>
        <w:t>CT_Drawing</w:t>
      </w:r>
      <w:r>
        <w:rPr/>
        <w:t>) is located in §A.2. </w:t>
      </w:r>
      <w:r>
        <w:rPr>
          <w:i/>
        </w:rPr>
        <w:t>end </w:t>
      </w:r>
      <w:r>
        <w:rPr>
          <w:i/>
        </w:rPr>
        <w:t>note</w:t>
      </w:r>
      <w:r>
        <w:rPr/>
        <w:t>]</w:t>
      </w:r>
    </w:p>
    <w:p>
      <w:pPr>
        <w:spacing w:after="0" w:line="278" w:lineRule="auto"/>
        <w:sectPr>
          <w:pgSz w:w="12240" w:h="15840"/>
          <w:pgMar w:header="761" w:footer="746" w:top="1340" w:bottom="940" w:left="860" w:right="700"/>
        </w:sectPr>
      </w:pPr>
    </w:p>
    <w:p>
      <w:pPr>
        <w:pStyle w:val="Heading3"/>
        <w:numPr>
          <w:ilvl w:val="3"/>
          <w:numId w:val="22"/>
        </w:numPr>
        <w:tabs>
          <w:tab w:pos="1732" w:val="left" w:leader="none"/>
          <w:tab w:pos="1733" w:val="left" w:leader="none"/>
        </w:tabs>
        <w:spacing w:line="240" w:lineRule="auto" w:before="151" w:after="0"/>
        <w:ind w:left="1732" w:right="0" w:hanging="1513"/>
        <w:jc w:val="left"/>
      </w:pPr>
      <w:r>
        <w:rPr/>
        <w:pict>
          <v:rect style="position:absolute;margin-left:445.149994pt;margin-top:560.109985pt;width:2.52pt;height:.72003pt;mso-position-horizontal-relative:page;mso-position-vertical-relative:page;z-index:-335974400" filled="true" fillcolor="#000000" stroked="false">
            <v:fill type="solid"/>
            <w10:wrap type="none"/>
          </v:rect>
        </w:pict>
      </w:r>
      <w:bookmarkStart w:name="18.3.1.37 drawingHF (Drawing Reference i" w:id="212"/>
      <w:bookmarkEnd w:id="212"/>
      <w:r>
        <w:rPr/>
      </w:r>
      <w:bookmarkStart w:name="_bookmark69" w:id="213"/>
      <w:bookmarkEnd w:id="213"/>
      <w:r>
        <w:rPr/>
      </w:r>
      <w:bookmarkStart w:name="_bookmark69" w:id="214"/>
      <w:bookmarkEnd w:id="214"/>
      <w:r>
        <w:rPr>
          <w:color w:val="4F81BC"/>
        </w:rPr>
        <w:t>d</w:t>
      </w:r>
      <w:r>
        <w:rPr>
          <w:color w:val="4F81BC"/>
        </w:rPr>
        <w:t>rawingHF (Drawing Reference in Header Footer)</w:t>
      </w:r>
    </w:p>
    <w:p>
      <w:pPr>
        <w:pStyle w:val="BodyText"/>
        <w:spacing w:line="276" w:lineRule="auto" w:before="119"/>
        <w:ind w:left="220" w:right="384"/>
      </w:pPr>
      <w:r>
        <w:rPr/>
        <w:t>This element specifies the usage of drawing objects to be rendered in the headers and footers of the sheet. It specifies an explicit relationship to the part containing the DrawingML shapes used in the headers and footers. It also indicates where in the headers and footers each shape belongs. One drawing object can appear in each of the left section, center section and right section of a header and a footer.</w:t>
      </w:r>
    </w:p>
    <w:p>
      <w:pPr>
        <w:pStyle w:val="BodyText"/>
        <w:spacing w:before="4"/>
        <w:rPr>
          <w:sz w:val="16"/>
        </w:rPr>
      </w:pPr>
    </w:p>
    <w:p>
      <w:pPr>
        <w:pStyle w:val="BodyText"/>
        <w:spacing w:line="276" w:lineRule="auto" w:before="1"/>
        <w:ind w:left="220" w:right="448"/>
      </w:pPr>
      <w:r>
        <w:rPr/>
        <w:t>[</w:t>
      </w:r>
      <w:r>
        <w:rPr>
          <w:i/>
        </w:rPr>
        <w:t>Example</w:t>
      </w:r>
      <w:r>
        <w:rPr/>
        <w:t>: This example shows a worksheet with graphics in the header. The DrawingML part referred to by rId2 contains at least two objects. The object with ID 6 is shown in the left section of the header on the first page only. The object with ID 7 is shown in the left section of the header for the other pages.</w:t>
      </w:r>
    </w:p>
    <w:p>
      <w:pPr>
        <w:pStyle w:val="BodyText"/>
        <w:spacing w:before="8"/>
        <w:rPr>
          <w:sz w:val="16"/>
        </w:rPr>
      </w:pPr>
    </w:p>
    <w:p>
      <w:pPr>
        <w:pStyle w:val="BodyText"/>
        <w:ind w:left="508"/>
        <w:rPr>
          <w:rFonts w:ascii="Consolas" w:hAnsi="Consolas"/>
        </w:rPr>
      </w:pPr>
      <w:r>
        <w:rPr>
          <w:rFonts w:ascii="Consolas" w:hAnsi="Consolas"/>
        </w:rPr>
        <w:t>&lt;worksheet … &gt;</w:t>
      </w:r>
    </w:p>
    <w:p>
      <w:pPr>
        <w:pStyle w:val="BodyText"/>
        <w:spacing w:before="38"/>
        <w:ind w:left="750"/>
        <w:rPr>
          <w:rFonts w:ascii="Consolas" w:hAnsi="Consolas"/>
        </w:rPr>
      </w:pPr>
      <w:r>
        <w:rPr>
          <w:rFonts w:ascii="Consolas" w:hAnsi="Consolas"/>
          <w:w w:val="100"/>
        </w:rPr>
        <w:t>…</w:t>
      </w:r>
    </w:p>
    <w:p>
      <w:pPr>
        <w:pStyle w:val="BodyText"/>
        <w:spacing w:before="38"/>
        <w:ind w:left="750"/>
        <w:rPr>
          <w:rFonts w:ascii="Consolas" w:hAnsi="Consolas"/>
        </w:rPr>
      </w:pPr>
      <w:r>
        <w:rPr>
          <w:rFonts w:ascii="Consolas" w:hAnsi="Consolas"/>
        </w:rPr>
        <w:t>&lt;headerFooter differentFirst="1" … &gt;</w:t>
      </w:r>
    </w:p>
    <w:p>
      <w:pPr>
        <w:pStyle w:val="BodyText"/>
        <w:spacing w:before="40"/>
        <w:ind w:left="993"/>
        <w:rPr>
          <w:rFonts w:ascii="Consolas" w:hAnsi="Consolas"/>
        </w:rPr>
      </w:pPr>
      <w:r>
        <w:rPr>
          <w:rFonts w:ascii="Consolas" w:hAnsi="Consolas"/>
          <w:w w:val="100"/>
        </w:rPr>
        <w:t>…</w:t>
      </w:r>
    </w:p>
    <w:p>
      <w:pPr>
        <w:pStyle w:val="BodyText"/>
        <w:spacing w:before="37"/>
        <w:ind w:left="750"/>
        <w:rPr>
          <w:rFonts w:ascii="Consolas"/>
        </w:rPr>
      </w:pPr>
      <w:r>
        <w:rPr>
          <w:rFonts w:ascii="Consolas"/>
        </w:rPr>
        <w:t>&lt;/headerFooter&gt;</w:t>
      </w:r>
    </w:p>
    <w:p>
      <w:pPr>
        <w:pStyle w:val="BodyText"/>
        <w:spacing w:before="40"/>
        <w:ind w:left="750"/>
        <w:rPr>
          <w:rFonts w:ascii="Consolas"/>
        </w:rPr>
      </w:pPr>
      <w:r>
        <w:rPr>
          <w:rFonts w:ascii="Consolas"/>
        </w:rPr>
        <w:t>&lt;drawingHF r:id="rId2" lho="7" lhf="6"/&gt;</w:t>
      </w:r>
    </w:p>
    <w:p>
      <w:pPr>
        <w:pStyle w:val="BodyText"/>
        <w:spacing w:before="38"/>
        <w:ind w:left="508"/>
        <w:rPr>
          <w:rFonts w:ascii="Consolas"/>
        </w:rPr>
      </w:pPr>
      <w:r>
        <w:rPr>
          <w:rFonts w:ascii="Consolas"/>
        </w:rPr>
        <w:t>&lt;/worksheet&gt;</w:t>
      </w:r>
    </w:p>
    <w:p>
      <w:pPr>
        <w:pStyle w:val="BodyText"/>
        <w:spacing w:before="5"/>
        <w:rPr>
          <w:rFonts w:ascii="Consolas"/>
          <w:sz w:val="20"/>
        </w:rPr>
      </w:pPr>
    </w:p>
    <w:p>
      <w:pPr>
        <w:spacing w:before="0"/>
        <w:ind w:left="220" w:right="0" w:firstLine="0"/>
        <w:jc w:val="left"/>
        <w:rPr>
          <w:sz w:val="22"/>
        </w:rPr>
      </w:pPr>
      <w:r>
        <w:rPr/>
        <w:pict>
          <v:rect style="position:absolute;margin-left:445.149994pt;margin-top:57.873646pt;width:2.52pt;height:.72pt;mso-position-horizontal-relative:page;mso-position-vertical-relative:paragraph;z-index:-335975424" filled="true" fillcolor="#000000" stroked="false">
            <v:fill type="solid"/>
            <w10:wrap type="none"/>
          </v:rect>
        </w:pict>
      </w: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97" w:hRule="atLeast"/>
        </w:trPr>
        <w:tc>
          <w:tcPr>
            <w:tcW w:w="2062" w:type="dxa"/>
          </w:tcPr>
          <w:p>
            <w:pPr>
              <w:pStyle w:val="TableParagraph"/>
              <w:ind w:right="286"/>
              <w:rPr>
                <w:sz w:val="22"/>
              </w:rPr>
            </w:pPr>
            <w:r>
              <w:rPr>
                <w:rFonts w:ascii="Cambria"/>
                <w:sz w:val="22"/>
              </w:rPr>
              <w:t>cfe </w:t>
            </w:r>
            <w:r>
              <w:rPr>
                <w:sz w:val="22"/>
              </w:rPr>
              <w:t>(Center Footer for Even Pages)</w:t>
            </w:r>
          </w:p>
        </w:tc>
        <w:tc>
          <w:tcPr>
            <w:tcW w:w="8250" w:type="dxa"/>
          </w:tcPr>
          <w:p>
            <w:pPr>
              <w:pStyle w:val="TableParagraph"/>
              <w:ind w:right="404"/>
              <w:jc w:val="both"/>
              <w:rPr>
                <w:sz w:val="22"/>
              </w:rPr>
            </w:pPr>
            <w:r>
              <w:rPr>
                <w:sz w:val="22"/>
              </w:rPr>
              <w:t>Specifies the DrawingML shape to be used for the center section of the footer on even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11"/>
              <w:ind w:left="0"/>
              <w:rPr>
                <w:sz w:val="21"/>
              </w:rPr>
            </w:pPr>
          </w:p>
          <w:p>
            <w:pPr>
              <w:pStyle w:val="TableParagraph"/>
              <w:spacing w:before="0"/>
              <w:rPr>
                <w:sz w:val="22"/>
              </w:rPr>
            </w:pPr>
            <w:r>
              <w:rPr>
                <w:sz w:val="22"/>
              </w:rPr>
              <w:t>[</w:t>
            </w:r>
            <w:r>
              <w:rPr>
                <w:i/>
                <w:sz w:val="22"/>
              </w:rPr>
              <w:t>Example</w:t>
            </w:r>
            <w:r>
              <w:rPr>
                <w:sz w:val="22"/>
              </w:rPr>
              <w:t>:</w:t>
            </w:r>
          </w:p>
          <w:p>
            <w:pPr>
              <w:pStyle w:val="TableParagraph"/>
              <w:spacing w:before="2"/>
              <w:ind w:left="0"/>
              <w:rPr>
                <w:sz w:val="22"/>
              </w:rPr>
            </w:pPr>
          </w:p>
          <w:p>
            <w:pPr>
              <w:pStyle w:val="TableParagraph"/>
              <w:spacing w:before="1"/>
              <w:ind w:left="403"/>
              <w:rPr>
                <w:rFonts w:ascii="Consolas" w:hAnsi="Consolas"/>
                <w:sz w:val="22"/>
              </w:rPr>
            </w:pPr>
            <w:r>
              <w:rPr>
                <w:rFonts w:ascii="Consolas" w:hAnsi="Consolas"/>
                <w:sz w:val="22"/>
              </w:rPr>
              <w:t>&lt;drawingHF … cfe="5"/&gt;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297" w:hRule="atLeast"/>
        </w:trPr>
        <w:tc>
          <w:tcPr>
            <w:tcW w:w="2062" w:type="dxa"/>
          </w:tcPr>
          <w:p>
            <w:pPr>
              <w:pStyle w:val="TableParagraph"/>
              <w:ind w:right="326"/>
              <w:rPr>
                <w:sz w:val="22"/>
              </w:rPr>
            </w:pPr>
            <w:r>
              <w:rPr>
                <w:rFonts w:ascii="Cambria"/>
                <w:sz w:val="22"/>
              </w:rPr>
              <w:t>cff </w:t>
            </w:r>
            <w:r>
              <w:rPr>
                <w:sz w:val="22"/>
              </w:rPr>
              <w:t>(Center Footer for First Page)</w:t>
            </w:r>
          </w:p>
        </w:tc>
        <w:tc>
          <w:tcPr>
            <w:tcW w:w="8250" w:type="dxa"/>
          </w:tcPr>
          <w:p>
            <w:pPr>
              <w:pStyle w:val="TableParagraph"/>
              <w:ind w:right="123"/>
              <w:rPr>
                <w:sz w:val="22"/>
              </w:rPr>
            </w:pPr>
            <w:r>
              <w:rPr>
                <w:sz w:val="22"/>
              </w:rPr>
              <w:t>Specifies the DrawingML shape to be used for the center section of the footer on the first page if the </w:t>
            </w:r>
            <w:r>
              <w:rPr>
                <w:rFonts w:ascii="Cambria" w:hAnsi="Cambria"/>
                <w:sz w:val="22"/>
              </w:rPr>
              <w:t>differentFirst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1"/>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0"/>
              <w:ind w:left="0"/>
              <w:rPr>
                <w:sz w:val="22"/>
              </w:rPr>
            </w:pPr>
          </w:p>
          <w:p>
            <w:pPr>
              <w:pStyle w:val="TableParagraph"/>
              <w:spacing w:before="1"/>
              <w:ind w:left="403"/>
              <w:rPr>
                <w:rFonts w:ascii="Consolas" w:hAnsi="Consolas"/>
                <w:sz w:val="22"/>
              </w:rPr>
            </w:pPr>
            <w:r>
              <w:rPr>
                <w:rFonts w:ascii="Consolas" w:hAnsi="Consolas"/>
                <w:sz w:val="22"/>
              </w:rPr>
              <w:t>&lt;drawingHF … cff="5"/&gt;</w:t>
            </w:r>
          </w:p>
          <w:p>
            <w:pPr>
              <w:pStyle w:val="TableParagraph"/>
              <w:spacing w:before="11"/>
              <w:ind w:left="0"/>
              <w:rPr>
                <w:sz w:val="21"/>
              </w:rPr>
            </w:pPr>
          </w:p>
          <w:p>
            <w:pPr>
              <w:pStyle w:val="TableParagraph"/>
              <w:spacing w:before="0"/>
              <w:rPr>
                <w:sz w:val="22"/>
              </w:rPr>
            </w:pPr>
            <w:r>
              <w:rPr>
                <w:i/>
                <w:sz w:val="22"/>
              </w:rPr>
              <w:t>end example</w:t>
            </w:r>
            <w:r>
              <w:rPr>
                <w:sz w:val="22"/>
              </w:rPr>
              <w:t>]</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835" w:hRule="atLeast"/>
        </w:trPr>
        <w:tc>
          <w:tcPr>
            <w:tcW w:w="2062" w:type="dxa"/>
          </w:tcPr>
          <w:p>
            <w:pPr>
              <w:pStyle w:val="TableParagraph"/>
              <w:ind w:right="276"/>
              <w:rPr>
                <w:sz w:val="22"/>
              </w:rPr>
            </w:pPr>
            <w:r>
              <w:rPr>
                <w:rFonts w:ascii="Cambria"/>
                <w:sz w:val="22"/>
              </w:rPr>
              <w:t>cfo </w:t>
            </w:r>
            <w:r>
              <w:rPr>
                <w:sz w:val="22"/>
              </w:rPr>
              <w:t>(Center Footer for Odd Pages)</w:t>
            </w:r>
          </w:p>
        </w:tc>
        <w:tc>
          <w:tcPr>
            <w:tcW w:w="8250" w:type="dxa"/>
          </w:tcPr>
          <w:p>
            <w:pPr>
              <w:pStyle w:val="TableParagraph"/>
              <w:ind w:right="176"/>
              <w:rPr>
                <w:sz w:val="22"/>
              </w:rPr>
            </w:pPr>
            <w:r>
              <w:rPr>
                <w:sz w:val="22"/>
              </w:rPr>
              <w:t>Specifies the DrawingML shape to be used for the center section of the footer on odd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 If the </w:t>
            </w:r>
            <w:r>
              <w:rPr>
                <w:rFonts w:ascii="Cambria" w:hAnsi="Cambria"/>
                <w:sz w:val="22"/>
              </w:rPr>
              <w:t>differentOddEven </w:t>
            </w:r>
            <w:r>
              <w:rPr>
                <w:sz w:val="22"/>
              </w:rPr>
              <w:t>attribute is false, this attribute specifies the DrawingML shape to be used for the center section of the footer on both odd and even pages.</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&lt;drawingHF … cfo="5"/&gt;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297" w:hRule="atLeast"/>
        </w:trPr>
        <w:tc>
          <w:tcPr>
            <w:tcW w:w="2062" w:type="dxa"/>
          </w:tcPr>
          <w:p>
            <w:pPr>
              <w:pStyle w:val="TableParagraph"/>
              <w:ind w:right="170"/>
              <w:rPr>
                <w:sz w:val="22"/>
              </w:rPr>
            </w:pPr>
            <w:r>
              <w:rPr>
                <w:rFonts w:ascii="Cambria"/>
                <w:sz w:val="22"/>
              </w:rPr>
              <w:t>che </w:t>
            </w:r>
            <w:r>
              <w:rPr>
                <w:sz w:val="22"/>
              </w:rPr>
              <w:t>(Center Header for Even Pages)</w:t>
            </w:r>
          </w:p>
        </w:tc>
        <w:tc>
          <w:tcPr>
            <w:tcW w:w="8250" w:type="dxa"/>
          </w:tcPr>
          <w:p>
            <w:pPr>
              <w:pStyle w:val="TableParagraph"/>
              <w:ind w:right="318"/>
              <w:rPr>
                <w:sz w:val="22"/>
              </w:rPr>
            </w:pPr>
            <w:r>
              <w:rPr>
                <w:sz w:val="22"/>
              </w:rPr>
              <w:t>Specifies the DrawingML shape to be used for the center section of the header on even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4"/>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4"/>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che="5"/&gt;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297" w:hRule="atLeast"/>
        </w:trPr>
        <w:tc>
          <w:tcPr>
            <w:tcW w:w="2062" w:type="dxa"/>
          </w:tcPr>
          <w:p>
            <w:pPr>
              <w:pStyle w:val="TableParagraph"/>
              <w:ind w:right="211"/>
              <w:rPr>
                <w:sz w:val="22"/>
              </w:rPr>
            </w:pPr>
            <w:r>
              <w:rPr>
                <w:rFonts w:ascii="Cambria"/>
                <w:sz w:val="22"/>
              </w:rPr>
              <w:t>chf </w:t>
            </w:r>
            <w:r>
              <w:rPr>
                <w:sz w:val="22"/>
              </w:rPr>
              <w:t>(Center Header for First Page)</w:t>
            </w:r>
          </w:p>
        </w:tc>
        <w:tc>
          <w:tcPr>
            <w:tcW w:w="8250" w:type="dxa"/>
          </w:tcPr>
          <w:p>
            <w:pPr>
              <w:pStyle w:val="TableParagraph"/>
              <w:ind w:right="453"/>
              <w:rPr>
                <w:sz w:val="22"/>
              </w:rPr>
            </w:pPr>
            <w:r>
              <w:rPr>
                <w:sz w:val="22"/>
              </w:rPr>
              <w:t>Specifies the DrawingML shape to be used for the center section of the header on the first page if the </w:t>
            </w:r>
            <w:r>
              <w:rPr>
                <w:rFonts w:ascii="Cambria" w:hAnsi="Cambria"/>
                <w:sz w:val="22"/>
              </w:rPr>
              <w:t>differentFirst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4"/>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&lt;drawingHF … chf="5"/&gt;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967" w:hRule="atLeast"/>
        </w:trPr>
        <w:tc>
          <w:tcPr>
            <w:tcW w:w="2062" w:type="dxa"/>
          </w:tcPr>
          <w:p>
            <w:pPr>
              <w:pStyle w:val="TableParagraph"/>
              <w:ind w:right="161"/>
              <w:rPr>
                <w:sz w:val="22"/>
              </w:rPr>
            </w:pPr>
            <w:r>
              <w:rPr>
                <w:rFonts w:ascii="Cambria"/>
                <w:sz w:val="22"/>
              </w:rPr>
              <w:t>cho </w:t>
            </w:r>
            <w:r>
              <w:rPr>
                <w:sz w:val="22"/>
              </w:rPr>
              <w:t>(Center Header for Odd Pages)</w:t>
            </w:r>
          </w:p>
        </w:tc>
        <w:tc>
          <w:tcPr>
            <w:tcW w:w="8250" w:type="dxa"/>
          </w:tcPr>
          <w:p>
            <w:pPr>
              <w:pStyle w:val="TableParagraph"/>
              <w:ind w:right="176"/>
              <w:rPr>
                <w:sz w:val="22"/>
              </w:rPr>
            </w:pPr>
            <w:r>
              <w:rPr>
                <w:sz w:val="22"/>
              </w:rPr>
              <w:t>Specifies the DrawingML shape to be used for the center section of the header on odd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 If the </w:t>
            </w:r>
            <w:r>
              <w:rPr>
                <w:rFonts w:ascii="Cambria" w:hAnsi="Cambria"/>
                <w:sz w:val="22"/>
              </w:rPr>
              <w:t>differentOddEven </w:t>
            </w:r>
            <w:r>
              <w:rPr>
                <w:sz w:val="22"/>
              </w:rPr>
              <w:t>attribute is false, this attribute specifies the DrawingML shape to be used for the center section of the header on both odd and even pages.</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55" w:hRule="atLeast"/>
        </w:trPr>
        <w:tc>
          <w:tcPr>
            <w:tcW w:w="2062" w:type="dxa"/>
          </w:tcPr>
          <w:p>
            <w:pPr>
              <w:pStyle w:val="TableParagraph"/>
              <w:spacing w:before="0"/>
              <w:ind w:left="0"/>
              <w:rPr>
                <w:rFonts w:ascii="Times New Roman"/>
                <w:sz w:val="22"/>
              </w:rPr>
            </w:pPr>
          </w:p>
        </w:tc>
        <w:tc>
          <w:tcPr>
            <w:tcW w:w="8250" w:type="dxa"/>
          </w:tcPr>
          <w:p>
            <w:pPr>
              <w:pStyle w:val="TableParagraph"/>
              <w:spacing w:before="0"/>
              <w:ind w:left="0"/>
              <w:rPr>
                <w:rFonts w:ascii="Times New Roman"/>
                <w:sz w:val="27"/>
              </w:rPr>
            </w:pPr>
          </w:p>
          <w:p>
            <w:pPr>
              <w:pStyle w:val="TableParagraph"/>
              <w:spacing w:before="0"/>
              <w:ind w:left="403"/>
              <w:rPr>
                <w:rFonts w:ascii="Consolas" w:hAnsi="Consolas"/>
                <w:sz w:val="22"/>
              </w:rPr>
            </w:pPr>
            <w:r>
              <w:rPr>
                <w:rFonts w:ascii="Consolas" w:hAnsi="Consolas"/>
                <w:sz w:val="22"/>
              </w:rPr>
              <w:t>&lt;drawingHF … cho="5"/&gt;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835" w:hRule="atLeast"/>
        </w:trPr>
        <w:tc>
          <w:tcPr>
            <w:tcW w:w="2062" w:type="dxa"/>
          </w:tcPr>
          <w:p>
            <w:pPr>
              <w:pStyle w:val="TableParagraph"/>
              <w:ind w:right="206"/>
              <w:rPr>
                <w:sz w:val="22"/>
              </w:rPr>
            </w:pPr>
            <w:r>
              <w:rPr>
                <w:rFonts w:ascii="Cambria"/>
                <w:sz w:val="22"/>
              </w:rPr>
              <w:t>id </w:t>
            </w:r>
            <w:r>
              <w:rPr>
                <w:sz w:val="22"/>
              </w:rPr>
              <w:t>(Relationship ID for Embedded Control Properties)</w:t>
            </w:r>
          </w:p>
          <w:p>
            <w:pPr>
              <w:pStyle w:val="TableParagraph"/>
              <w:spacing w:before="2"/>
              <w:ind w:left="0"/>
              <w:rPr>
                <w:rFonts w:ascii="Times New Roman"/>
                <w:sz w:val="23"/>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ind w:right="188"/>
              <w:rPr>
                <w:sz w:val="22"/>
              </w:rPr>
            </w:pPr>
            <w:r>
              <w:rPr>
                <w:sz w:val="22"/>
              </w:rPr>
              <w:t>Specifies the relationship ID for the relationship to the DrawingML part that contains the drawing objects used in the header and footer. This DrawingML part is a separate part within the package.</w:t>
            </w:r>
          </w:p>
          <w:p>
            <w:pPr>
              <w:pStyle w:val="TableParagraph"/>
              <w:spacing w:before="2"/>
              <w:ind w:left="0"/>
              <w:rPr>
                <w:rFonts w:ascii="Times New Roman"/>
                <w:sz w:val="23"/>
              </w:rPr>
            </w:pPr>
          </w:p>
          <w:p>
            <w:pPr>
              <w:pStyle w:val="TableParagraph"/>
              <w:spacing w:before="0"/>
              <w:ind w:left="165"/>
              <w:rPr>
                <w:sz w:val="22"/>
              </w:rPr>
            </w:pPr>
            <w:r>
              <w:rPr>
                <w:sz w:val="22"/>
              </w:rPr>
              <w:t>[</w:t>
            </w:r>
            <w:r>
              <w:rPr>
                <w:i/>
                <w:sz w:val="22"/>
              </w:rPr>
              <w:t>Example</w:t>
            </w:r>
            <w:r>
              <w:rPr>
                <w:sz w:val="22"/>
              </w:rPr>
              <w:t>:</w:t>
            </w:r>
          </w:p>
          <w:p>
            <w:pPr>
              <w:pStyle w:val="TableParagraph"/>
              <w:spacing w:before="8"/>
              <w:ind w:left="0"/>
              <w:rPr>
                <w:rFonts w:ascii="Times New Roman"/>
                <w:sz w:val="23"/>
              </w:rPr>
            </w:pPr>
          </w:p>
          <w:p>
            <w:pPr>
              <w:pStyle w:val="TableParagraph"/>
              <w:spacing w:before="0"/>
              <w:ind w:left="403"/>
              <w:rPr>
                <w:rFonts w:ascii="Consolas"/>
                <w:sz w:val="22"/>
              </w:rPr>
            </w:pPr>
            <w:r>
              <w:rPr>
                <w:rFonts w:ascii="Consolas"/>
                <w:sz w:val="22"/>
              </w:rPr>
              <w:t>&lt;drawingHF r:id="rId2" lho="7" lhf="6"/&gt;</w:t>
            </w:r>
          </w:p>
          <w:p>
            <w:pPr>
              <w:pStyle w:val="TableParagraph"/>
              <w:spacing w:before="1"/>
              <w:ind w:left="0"/>
              <w:rPr>
                <w:rFonts w:ascii="Times New Roman"/>
                <w:sz w:val="23"/>
              </w:rPr>
            </w:pPr>
          </w:p>
          <w:p>
            <w:pPr>
              <w:pStyle w:val="TableParagraph"/>
              <w:spacing w:before="0"/>
              <w:ind w:right="336"/>
              <w:rPr>
                <w:sz w:val="22"/>
              </w:rPr>
            </w:pPr>
            <w:r>
              <w:rPr>
                <w:sz w:val="22"/>
              </w:rPr>
              <w:t>The </w:t>
            </w:r>
            <w:r>
              <w:rPr>
                <w:rFonts w:ascii="Cambria"/>
                <w:sz w:val="22"/>
              </w:rPr>
              <w:t>id </w:t>
            </w:r>
            <w:r>
              <w:rPr>
                <w:sz w:val="22"/>
              </w:rPr>
              <w:t>attribute in the relationship reference namespace specifies that the relationship with relationship ID </w:t>
            </w:r>
            <w:r>
              <w:rPr>
                <w:rFonts w:ascii="Consolas"/>
                <w:sz w:val="20"/>
              </w:rPr>
              <w:t>rId5 </w:t>
            </w:r>
            <w:r>
              <w:rPr>
                <w:sz w:val="22"/>
              </w:rPr>
              <w:t>must contain the drawing objects used in the header and footer. </w:t>
            </w:r>
            <w:r>
              <w:rPr>
                <w:i/>
                <w:sz w:val="22"/>
              </w:rPr>
              <w:t>end example</w:t>
            </w:r>
            <w:r>
              <w:rPr>
                <w:sz w:val="22"/>
              </w:rPr>
              <w:t>]</w:t>
            </w:r>
          </w:p>
          <w:p>
            <w:pPr>
              <w:pStyle w:val="TableParagraph"/>
              <w:spacing w:before="5"/>
              <w:ind w:left="0"/>
              <w:rPr>
                <w:rFonts w:ascii="Times New Roman"/>
                <w:sz w:val="23"/>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3297" w:hRule="atLeast"/>
        </w:trPr>
        <w:tc>
          <w:tcPr>
            <w:tcW w:w="2062" w:type="dxa"/>
          </w:tcPr>
          <w:p>
            <w:pPr>
              <w:pStyle w:val="TableParagraph"/>
              <w:ind w:right="273"/>
              <w:rPr>
                <w:sz w:val="22"/>
              </w:rPr>
            </w:pPr>
            <w:r>
              <w:rPr>
                <w:rFonts w:ascii="Cambria"/>
                <w:sz w:val="22"/>
              </w:rPr>
              <w:t>lfe </w:t>
            </w:r>
            <w:r>
              <w:rPr>
                <w:sz w:val="22"/>
              </w:rPr>
              <w:t>(Left Footer for Even Pages)</w:t>
            </w:r>
          </w:p>
        </w:tc>
        <w:tc>
          <w:tcPr>
            <w:tcW w:w="8250" w:type="dxa"/>
          </w:tcPr>
          <w:p>
            <w:pPr>
              <w:pStyle w:val="TableParagraph"/>
              <w:ind w:right="99"/>
              <w:rPr>
                <w:sz w:val="22"/>
              </w:rPr>
            </w:pPr>
            <w:r>
              <w:rPr>
                <w:sz w:val="22"/>
              </w:rPr>
              <w:t>Specifies the DrawingML shape to be used for the left section of the footer on even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2"/>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&lt;drawingHF … lfe="5"/&gt;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297" w:hRule="atLeast"/>
        </w:trPr>
        <w:tc>
          <w:tcPr>
            <w:tcW w:w="2062" w:type="dxa"/>
          </w:tcPr>
          <w:p>
            <w:pPr>
              <w:pStyle w:val="TableParagraph"/>
              <w:ind w:right="313"/>
              <w:rPr>
                <w:sz w:val="22"/>
              </w:rPr>
            </w:pPr>
            <w:r>
              <w:rPr>
                <w:rFonts w:ascii="Cambria"/>
                <w:sz w:val="22"/>
              </w:rPr>
              <w:t>lff </w:t>
            </w:r>
            <w:r>
              <w:rPr>
                <w:sz w:val="22"/>
              </w:rPr>
              <w:t>(Left Footer for First Page)</w:t>
            </w:r>
          </w:p>
        </w:tc>
        <w:tc>
          <w:tcPr>
            <w:tcW w:w="8250" w:type="dxa"/>
          </w:tcPr>
          <w:p>
            <w:pPr>
              <w:pStyle w:val="TableParagraph"/>
              <w:ind w:right="400"/>
              <w:rPr>
                <w:sz w:val="22"/>
              </w:rPr>
            </w:pPr>
            <w:r>
              <w:rPr>
                <w:sz w:val="22"/>
              </w:rPr>
              <w:t>Specifies the DrawingML shape to be used for the left section of the footer on the first page if the </w:t>
            </w:r>
            <w:r>
              <w:rPr>
                <w:rFonts w:ascii="Cambria" w:hAnsi="Cambria"/>
                <w:sz w:val="22"/>
              </w:rPr>
              <w:t>differentFirst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lff="5"/&gt;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835" w:hRule="atLeast"/>
        </w:trPr>
        <w:tc>
          <w:tcPr>
            <w:tcW w:w="2062" w:type="dxa"/>
          </w:tcPr>
          <w:p>
            <w:pPr>
              <w:pStyle w:val="TableParagraph"/>
              <w:ind w:right="263"/>
              <w:rPr>
                <w:sz w:val="22"/>
              </w:rPr>
            </w:pPr>
            <w:r>
              <w:rPr>
                <w:rFonts w:ascii="Cambria"/>
                <w:sz w:val="22"/>
              </w:rPr>
              <w:t>lfo </w:t>
            </w:r>
            <w:r>
              <w:rPr>
                <w:sz w:val="22"/>
              </w:rPr>
              <w:t>(Left Footer for Odd Pages)</w:t>
            </w:r>
          </w:p>
        </w:tc>
        <w:tc>
          <w:tcPr>
            <w:tcW w:w="8250" w:type="dxa"/>
          </w:tcPr>
          <w:p>
            <w:pPr>
              <w:pStyle w:val="TableParagraph"/>
              <w:ind w:right="176"/>
              <w:rPr>
                <w:sz w:val="22"/>
              </w:rPr>
            </w:pPr>
            <w:r>
              <w:rPr>
                <w:sz w:val="22"/>
              </w:rPr>
              <w:t>Specifies the DrawingML shape to be used for the left section of the footer on odd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 If the </w:t>
            </w:r>
            <w:r>
              <w:rPr>
                <w:rFonts w:ascii="Cambria" w:hAnsi="Cambria"/>
                <w:sz w:val="22"/>
              </w:rPr>
              <w:t>differentOddEven </w:t>
            </w:r>
            <w:r>
              <w:rPr>
                <w:sz w:val="22"/>
              </w:rPr>
              <w:t>attribute is false, this attribute specifies the DrawingML shape to be used for the left section of the footer on both odd and even pages.</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&lt;drawingHF … lfo="5"/&gt;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297" w:hRule="atLeast"/>
        </w:trPr>
        <w:tc>
          <w:tcPr>
            <w:tcW w:w="2062" w:type="dxa"/>
          </w:tcPr>
          <w:p>
            <w:pPr>
              <w:pStyle w:val="TableParagraph"/>
              <w:ind w:right="157"/>
              <w:rPr>
                <w:sz w:val="22"/>
              </w:rPr>
            </w:pPr>
            <w:r>
              <w:rPr>
                <w:rFonts w:ascii="Cambria"/>
                <w:sz w:val="22"/>
              </w:rPr>
              <w:t>lhe </w:t>
            </w:r>
            <w:r>
              <w:rPr>
                <w:sz w:val="22"/>
              </w:rPr>
              <w:t>(Left Header for Even Pages)</w:t>
            </w:r>
          </w:p>
        </w:tc>
        <w:tc>
          <w:tcPr>
            <w:tcW w:w="8250" w:type="dxa"/>
          </w:tcPr>
          <w:p>
            <w:pPr>
              <w:pStyle w:val="TableParagraph"/>
              <w:ind w:right="457"/>
              <w:rPr>
                <w:sz w:val="22"/>
              </w:rPr>
            </w:pPr>
            <w:r>
              <w:rPr>
                <w:sz w:val="22"/>
              </w:rPr>
              <w:t>Specifies the DrawingML shape to be used for the left section of the header on even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4"/>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4"/>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lhe="5"/&gt;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297" w:hRule="atLeast"/>
        </w:trPr>
        <w:tc>
          <w:tcPr>
            <w:tcW w:w="2062" w:type="dxa"/>
          </w:tcPr>
          <w:p>
            <w:pPr>
              <w:pStyle w:val="TableParagraph"/>
              <w:ind w:right="198"/>
              <w:rPr>
                <w:sz w:val="22"/>
              </w:rPr>
            </w:pPr>
            <w:r>
              <w:rPr>
                <w:rFonts w:ascii="Cambria"/>
                <w:sz w:val="22"/>
              </w:rPr>
              <w:t>lhf </w:t>
            </w:r>
            <w:r>
              <w:rPr>
                <w:sz w:val="22"/>
              </w:rPr>
              <w:t>(Left Header for First Page)</w:t>
            </w:r>
          </w:p>
        </w:tc>
        <w:tc>
          <w:tcPr>
            <w:tcW w:w="8250" w:type="dxa"/>
          </w:tcPr>
          <w:p>
            <w:pPr>
              <w:pStyle w:val="TableParagraph"/>
              <w:ind w:right="327"/>
              <w:rPr>
                <w:sz w:val="22"/>
              </w:rPr>
            </w:pPr>
            <w:r>
              <w:rPr>
                <w:sz w:val="22"/>
              </w:rPr>
              <w:t>Specifies the DrawingML shape to be used for the left section of the header on the first page if the </w:t>
            </w:r>
            <w:r>
              <w:rPr>
                <w:rFonts w:ascii="Cambria" w:hAnsi="Cambria"/>
                <w:sz w:val="22"/>
              </w:rPr>
              <w:t>differentFirst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4"/>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&lt;drawingHF … lhf="5"/&gt;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967" w:hRule="atLeast"/>
        </w:trPr>
        <w:tc>
          <w:tcPr>
            <w:tcW w:w="2062" w:type="dxa"/>
          </w:tcPr>
          <w:p>
            <w:pPr>
              <w:pStyle w:val="TableParagraph"/>
              <w:ind w:right="148"/>
              <w:rPr>
                <w:sz w:val="22"/>
              </w:rPr>
            </w:pPr>
            <w:r>
              <w:rPr>
                <w:rFonts w:ascii="Cambria"/>
                <w:sz w:val="22"/>
              </w:rPr>
              <w:t>lho </w:t>
            </w:r>
            <w:r>
              <w:rPr>
                <w:sz w:val="22"/>
              </w:rPr>
              <w:t>(Left Header for Odd Pages)</w:t>
            </w:r>
          </w:p>
        </w:tc>
        <w:tc>
          <w:tcPr>
            <w:tcW w:w="8250" w:type="dxa"/>
          </w:tcPr>
          <w:p>
            <w:pPr>
              <w:pStyle w:val="TableParagraph"/>
              <w:ind w:right="112"/>
              <w:rPr>
                <w:sz w:val="22"/>
              </w:rPr>
            </w:pPr>
            <w:r>
              <w:rPr>
                <w:sz w:val="22"/>
              </w:rPr>
              <w:t>Specifies the DrawingML shape to be used for the left section of the header on odd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 If the </w:t>
            </w:r>
            <w:r>
              <w:rPr>
                <w:rFonts w:ascii="Cambria" w:hAnsi="Cambria"/>
                <w:sz w:val="22"/>
              </w:rPr>
              <w:t>differentOddEven </w:t>
            </w:r>
            <w:r>
              <w:rPr>
                <w:sz w:val="22"/>
              </w:rPr>
              <w:t>attribute is false, this attribute specifies the DrawingML shape to be used for the left section of the header on both odd and even pages.</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55" w:hRule="atLeast"/>
        </w:trPr>
        <w:tc>
          <w:tcPr>
            <w:tcW w:w="2062" w:type="dxa"/>
          </w:tcPr>
          <w:p>
            <w:pPr>
              <w:pStyle w:val="TableParagraph"/>
              <w:spacing w:before="0"/>
              <w:ind w:left="0"/>
              <w:rPr>
                <w:rFonts w:ascii="Times New Roman"/>
                <w:sz w:val="22"/>
              </w:rPr>
            </w:pPr>
          </w:p>
        </w:tc>
        <w:tc>
          <w:tcPr>
            <w:tcW w:w="8250" w:type="dxa"/>
          </w:tcPr>
          <w:p>
            <w:pPr>
              <w:pStyle w:val="TableParagraph"/>
              <w:spacing w:before="0"/>
              <w:ind w:left="0"/>
              <w:rPr>
                <w:rFonts w:ascii="Times New Roman"/>
                <w:sz w:val="27"/>
              </w:rPr>
            </w:pPr>
          </w:p>
          <w:p>
            <w:pPr>
              <w:pStyle w:val="TableParagraph"/>
              <w:spacing w:before="0"/>
              <w:ind w:left="403"/>
              <w:rPr>
                <w:rFonts w:ascii="Consolas" w:hAnsi="Consolas"/>
                <w:sz w:val="22"/>
              </w:rPr>
            </w:pPr>
            <w:r>
              <w:rPr>
                <w:rFonts w:ascii="Consolas" w:hAnsi="Consolas"/>
                <w:sz w:val="22"/>
              </w:rPr>
              <w:t>&lt;drawingHF … lho="5"/&gt;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297" w:hRule="atLeast"/>
        </w:trPr>
        <w:tc>
          <w:tcPr>
            <w:tcW w:w="2062" w:type="dxa"/>
          </w:tcPr>
          <w:p>
            <w:pPr>
              <w:pStyle w:val="TableParagraph"/>
              <w:ind w:right="121"/>
              <w:rPr>
                <w:sz w:val="22"/>
              </w:rPr>
            </w:pPr>
            <w:r>
              <w:rPr>
                <w:rFonts w:ascii="Cambria"/>
                <w:sz w:val="22"/>
              </w:rPr>
              <w:t>rfe </w:t>
            </w:r>
            <w:r>
              <w:rPr>
                <w:sz w:val="22"/>
              </w:rPr>
              <w:t>(Right Footer for Even Pages)</w:t>
            </w:r>
          </w:p>
        </w:tc>
        <w:tc>
          <w:tcPr>
            <w:tcW w:w="8250" w:type="dxa"/>
          </w:tcPr>
          <w:p>
            <w:pPr>
              <w:pStyle w:val="TableParagraph"/>
              <w:ind w:right="457"/>
              <w:rPr>
                <w:sz w:val="22"/>
              </w:rPr>
            </w:pPr>
            <w:r>
              <w:rPr>
                <w:sz w:val="22"/>
              </w:rPr>
              <w:t>Specifies the DrawingML shape to be used for the right section of the footer on even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2"/>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8"/>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rfe="5"/&gt;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297" w:hRule="atLeast"/>
        </w:trPr>
        <w:tc>
          <w:tcPr>
            <w:tcW w:w="2062" w:type="dxa"/>
          </w:tcPr>
          <w:p>
            <w:pPr>
              <w:pStyle w:val="TableParagraph"/>
              <w:ind w:right="162"/>
              <w:rPr>
                <w:sz w:val="22"/>
              </w:rPr>
            </w:pPr>
            <w:r>
              <w:rPr>
                <w:rFonts w:ascii="Cambria"/>
                <w:sz w:val="22"/>
              </w:rPr>
              <w:t>rff </w:t>
            </w:r>
            <w:r>
              <w:rPr>
                <w:sz w:val="22"/>
              </w:rPr>
              <w:t>(Right Footer for First Page)</w:t>
            </w:r>
          </w:p>
        </w:tc>
        <w:tc>
          <w:tcPr>
            <w:tcW w:w="8250" w:type="dxa"/>
          </w:tcPr>
          <w:p>
            <w:pPr>
              <w:pStyle w:val="TableParagraph"/>
              <w:ind w:right="281"/>
              <w:rPr>
                <w:sz w:val="22"/>
              </w:rPr>
            </w:pPr>
            <w:r>
              <w:rPr>
                <w:sz w:val="22"/>
              </w:rPr>
              <w:t>Specifies the DrawingML shape to be used for the right section of the footer on the first page if the </w:t>
            </w:r>
            <w:r>
              <w:rPr>
                <w:rFonts w:ascii="Cambria" w:hAnsi="Cambria"/>
                <w:sz w:val="22"/>
              </w:rPr>
              <w:t>differentFirst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2"/>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1"/>
              <w:ind w:left="403"/>
              <w:rPr>
                <w:rFonts w:ascii="Consolas" w:hAnsi="Consolas"/>
                <w:sz w:val="22"/>
              </w:rPr>
            </w:pPr>
            <w:r>
              <w:rPr>
                <w:rFonts w:ascii="Consolas" w:hAnsi="Consolas"/>
                <w:sz w:val="22"/>
              </w:rPr>
              <w:t>&lt;drawingHF … rff="5"/&gt;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835" w:hRule="atLeast"/>
        </w:trPr>
        <w:tc>
          <w:tcPr>
            <w:tcW w:w="2062" w:type="dxa"/>
          </w:tcPr>
          <w:p>
            <w:pPr>
              <w:pStyle w:val="TableParagraph"/>
              <w:ind w:right="112"/>
              <w:rPr>
                <w:sz w:val="22"/>
              </w:rPr>
            </w:pPr>
            <w:r>
              <w:rPr>
                <w:rFonts w:ascii="Cambria"/>
                <w:sz w:val="22"/>
              </w:rPr>
              <w:t>rfo </w:t>
            </w:r>
            <w:r>
              <w:rPr>
                <w:sz w:val="22"/>
              </w:rPr>
              <w:t>(Right Footer for Odd Pages)</w:t>
            </w:r>
          </w:p>
        </w:tc>
        <w:tc>
          <w:tcPr>
            <w:tcW w:w="8250" w:type="dxa"/>
          </w:tcPr>
          <w:p>
            <w:pPr>
              <w:pStyle w:val="TableParagraph"/>
              <w:ind w:right="176"/>
              <w:rPr>
                <w:sz w:val="22"/>
              </w:rPr>
            </w:pPr>
            <w:r>
              <w:rPr>
                <w:sz w:val="22"/>
              </w:rPr>
              <w:t>Specifies the DrawingML shape to be used for the right section of the footer on odd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 If the </w:t>
            </w:r>
            <w:r>
              <w:rPr>
                <w:rFonts w:ascii="Cambria" w:hAnsi="Cambria"/>
                <w:sz w:val="22"/>
              </w:rPr>
              <w:t>differentOddEven </w:t>
            </w:r>
            <w:r>
              <w:rPr>
                <w:sz w:val="22"/>
              </w:rPr>
              <w:t>attribute is false, this attribute specifies the DrawingML shape to be used for the right section of the footer on both odd and even pages.</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rfo="5"/&gt;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97" w:hRule="atLeast"/>
        </w:trPr>
        <w:tc>
          <w:tcPr>
            <w:tcW w:w="2062" w:type="dxa"/>
          </w:tcPr>
          <w:p>
            <w:pPr>
              <w:pStyle w:val="TableParagraph"/>
              <w:ind w:right="315"/>
              <w:rPr>
                <w:sz w:val="22"/>
              </w:rPr>
            </w:pPr>
            <w:r>
              <w:rPr>
                <w:rFonts w:ascii="Cambria"/>
                <w:sz w:val="22"/>
              </w:rPr>
              <w:t>rhe </w:t>
            </w:r>
            <w:r>
              <w:rPr>
                <w:sz w:val="22"/>
              </w:rPr>
              <w:t>(Right Header for Even Pages)</w:t>
            </w:r>
          </w:p>
        </w:tc>
        <w:tc>
          <w:tcPr>
            <w:tcW w:w="8250" w:type="dxa"/>
          </w:tcPr>
          <w:p>
            <w:pPr>
              <w:pStyle w:val="TableParagraph"/>
              <w:ind w:right="548"/>
              <w:rPr>
                <w:sz w:val="22"/>
              </w:rPr>
            </w:pPr>
            <w:r>
              <w:rPr>
                <w:sz w:val="22"/>
              </w:rPr>
              <w:t>Specifies the DrawingML shape to be used for the right section side of the header on even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4"/>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4"/>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rhe="5"/&gt;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297" w:hRule="atLeast"/>
        </w:trPr>
        <w:tc>
          <w:tcPr>
            <w:tcW w:w="2062" w:type="dxa"/>
          </w:tcPr>
          <w:p>
            <w:pPr>
              <w:pStyle w:val="TableParagraph"/>
              <w:ind w:right="356"/>
              <w:rPr>
                <w:sz w:val="22"/>
              </w:rPr>
            </w:pPr>
            <w:r>
              <w:rPr>
                <w:rFonts w:ascii="Cambria"/>
                <w:sz w:val="22"/>
              </w:rPr>
              <w:t>rhf </w:t>
            </w:r>
            <w:r>
              <w:rPr>
                <w:sz w:val="22"/>
              </w:rPr>
              <w:t>(Right Header for First Page)</w:t>
            </w:r>
          </w:p>
        </w:tc>
        <w:tc>
          <w:tcPr>
            <w:tcW w:w="8250" w:type="dxa"/>
          </w:tcPr>
          <w:p>
            <w:pPr>
              <w:pStyle w:val="TableParagraph"/>
              <w:ind w:right="207"/>
              <w:rPr>
                <w:sz w:val="22"/>
              </w:rPr>
            </w:pPr>
            <w:r>
              <w:rPr>
                <w:sz w:val="22"/>
              </w:rPr>
              <w:t>Specifies the DrawingML shape to be used for the right section of the header on the first page if the </w:t>
            </w:r>
            <w:r>
              <w:rPr>
                <w:rFonts w:ascii="Cambria" w:hAnsi="Cambria"/>
                <w:sz w:val="22"/>
              </w:rPr>
              <w:t>differentFirst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rhf="5"/&gt;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3835" w:hRule="atLeast"/>
        </w:trPr>
        <w:tc>
          <w:tcPr>
            <w:tcW w:w="2062" w:type="dxa"/>
          </w:tcPr>
          <w:p>
            <w:pPr>
              <w:pStyle w:val="TableParagraph"/>
              <w:ind w:right="306"/>
              <w:rPr>
                <w:sz w:val="22"/>
              </w:rPr>
            </w:pPr>
            <w:r>
              <w:rPr>
                <w:rFonts w:ascii="Cambria"/>
                <w:sz w:val="22"/>
              </w:rPr>
              <w:t>rho </w:t>
            </w:r>
            <w:r>
              <w:rPr>
                <w:sz w:val="22"/>
              </w:rPr>
              <w:t>(Right Header for Odd Pages)</w:t>
            </w:r>
          </w:p>
        </w:tc>
        <w:tc>
          <w:tcPr>
            <w:tcW w:w="8250" w:type="dxa"/>
          </w:tcPr>
          <w:p>
            <w:pPr>
              <w:pStyle w:val="TableParagraph"/>
              <w:ind w:right="176"/>
              <w:rPr>
                <w:sz w:val="22"/>
              </w:rPr>
            </w:pPr>
            <w:r>
              <w:rPr>
                <w:sz w:val="22"/>
              </w:rPr>
              <w:t>Specifies the DrawingML shape to be used for the right section of the header on odd pages if the </w:t>
            </w:r>
            <w:r>
              <w:rPr>
                <w:rFonts w:ascii="Cambria" w:hAnsi="Cambria"/>
                <w:sz w:val="22"/>
              </w:rPr>
              <w:t>differentOddEven </w:t>
            </w:r>
            <w:r>
              <w:rPr>
                <w:sz w:val="22"/>
              </w:rPr>
              <w:t>attribute of the corresponding </w:t>
            </w:r>
            <w:r>
              <w:rPr>
                <w:rFonts w:ascii="Cambria" w:hAnsi="Cambria"/>
                <w:sz w:val="22"/>
              </w:rPr>
              <w:t>headerFooter </w:t>
            </w:r>
            <w:r>
              <w:rPr>
                <w:sz w:val="22"/>
              </w:rPr>
              <w:t>element </w:t>
            </w:r>
            <w:hyperlink w:history="true" w:anchor="_bookmark78">
              <w:r>
                <w:rPr>
                  <w:sz w:val="22"/>
                </w:rPr>
                <w:t>(§18.3.1.46</w:t>
              </w:r>
            </w:hyperlink>
            <w:r>
              <w:rPr>
                <w:sz w:val="22"/>
              </w:rPr>
              <w:t>) is true. If the </w:t>
            </w:r>
            <w:r>
              <w:rPr>
                <w:rFonts w:ascii="Cambria" w:hAnsi="Cambria"/>
                <w:sz w:val="22"/>
              </w:rPr>
              <w:t>differentOddEven </w:t>
            </w:r>
            <w:r>
              <w:rPr>
                <w:sz w:val="22"/>
              </w:rPr>
              <w:t>attribute is false, this attribute specifies the DrawingML shape to be used for the right section of the header on both odd and even pages.</w:t>
            </w:r>
          </w:p>
          <w:p>
            <w:pPr>
              <w:pStyle w:val="TableParagraph"/>
              <w:spacing w:before="5"/>
              <w:ind w:left="0"/>
              <w:rPr>
                <w:rFonts w:ascii="Times New Roman"/>
                <w:sz w:val="23"/>
              </w:rPr>
            </w:pPr>
          </w:p>
          <w:p>
            <w:pPr>
              <w:pStyle w:val="TableParagraph"/>
              <w:spacing w:before="1"/>
              <w:rPr>
                <w:sz w:val="22"/>
              </w:rPr>
            </w:pPr>
            <w:r>
              <w:rPr>
                <w:sz w:val="22"/>
              </w:rPr>
              <w:t>[</w:t>
            </w:r>
            <w:r>
              <w:rPr>
                <w:i/>
                <w:sz w:val="22"/>
              </w:rPr>
              <w:t>Example</w:t>
            </w:r>
            <w:r>
              <w:rPr>
                <w:sz w:val="22"/>
              </w:rPr>
              <w:t>:</w:t>
            </w:r>
          </w:p>
          <w:p>
            <w:pPr>
              <w:pStyle w:val="TableParagraph"/>
              <w:spacing w:before="6"/>
              <w:ind w:left="0"/>
              <w:rPr>
                <w:rFonts w:ascii="Times New Roman"/>
                <w:sz w:val="23"/>
              </w:rPr>
            </w:pPr>
          </w:p>
          <w:p>
            <w:pPr>
              <w:pStyle w:val="TableParagraph"/>
              <w:spacing w:before="0"/>
              <w:ind w:left="403"/>
              <w:rPr>
                <w:rFonts w:ascii="Consolas" w:hAnsi="Consolas"/>
                <w:sz w:val="22"/>
              </w:rPr>
            </w:pPr>
            <w:r>
              <w:rPr>
                <w:rFonts w:ascii="Consolas" w:hAnsi="Consolas"/>
                <w:sz w:val="22"/>
              </w:rPr>
              <w:t>&lt;drawingHF … rho="5"/&gt;</w:t>
            </w:r>
          </w:p>
          <w:p>
            <w:pPr>
              <w:pStyle w:val="TableParagraph"/>
              <w:spacing w:before="1"/>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502"/>
      </w:pPr>
      <w:r>
        <w:rPr/>
        <w:t>[</w:t>
      </w:r>
      <w:r>
        <w:rPr>
          <w:i/>
        </w:rPr>
        <w:t>Note</w:t>
      </w:r>
      <w:r>
        <w:rPr/>
        <w:t>: The W3C XML Schema definition of this element’s content model (</w:t>
      </w:r>
      <w:r>
        <w:rPr>
          <w:color w:val="5F5F5F"/>
          <w:u w:val="single" w:color="5F5F5F"/>
        </w:rPr>
        <w:t>CT_DrawingHF</w:t>
      </w:r>
      <w:r>
        <w:rPr/>
        <w:t>) is located in §A.2. </w:t>
      </w:r>
      <w:r>
        <w:rPr>
          <w:i/>
        </w:rPr>
        <w:t>end </w:t>
      </w:r>
      <w:r>
        <w:rPr>
          <w:i/>
        </w:rPr>
        <w:t>note</w:t>
      </w:r>
      <w:r>
        <w:rPr/>
        <w:t>]</w:t>
      </w:r>
    </w:p>
    <w:p>
      <w:pPr>
        <w:spacing w:after="0" w:line="278" w:lineRule="auto"/>
        <w:sectPr>
          <w:pgSz w:w="12240" w:h="15840"/>
          <w:pgMar w:header="761" w:footer="746" w:top="1340" w:bottom="940" w:left="860" w:right="700"/>
        </w:sectPr>
      </w:pPr>
    </w:p>
    <w:p>
      <w:pPr>
        <w:pStyle w:val="Heading3"/>
        <w:numPr>
          <w:ilvl w:val="3"/>
          <w:numId w:val="22"/>
        </w:numPr>
        <w:tabs>
          <w:tab w:pos="1732" w:val="left" w:leader="none"/>
          <w:tab w:pos="1733" w:val="left" w:leader="none"/>
        </w:tabs>
        <w:spacing w:line="240" w:lineRule="auto" w:before="151" w:after="0"/>
        <w:ind w:left="1732" w:right="0" w:hanging="1513"/>
        <w:jc w:val="left"/>
      </w:pPr>
      <w:bookmarkStart w:name="18.3.1.38 evenFooter (Even Page Footer)" w:id="215"/>
      <w:bookmarkEnd w:id="215"/>
      <w:r>
        <w:rPr/>
      </w:r>
      <w:bookmarkStart w:name="_bookmark70" w:id="216"/>
      <w:bookmarkEnd w:id="216"/>
      <w:r>
        <w:rPr/>
      </w:r>
      <w:bookmarkStart w:name="_bookmark70" w:id="217"/>
      <w:bookmarkEnd w:id="217"/>
      <w:r>
        <w:rPr>
          <w:color w:val="4F81BC"/>
        </w:rPr>
        <w:t>even</w:t>
      </w:r>
      <w:r>
        <w:rPr>
          <w:color w:val="4F81BC"/>
        </w:rPr>
        <w:t>Footer (Even Page</w:t>
      </w:r>
      <w:r>
        <w:rPr>
          <w:color w:val="4F81BC"/>
          <w:spacing w:val="-4"/>
        </w:rPr>
        <w:t> </w:t>
      </w:r>
      <w:r>
        <w:rPr>
          <w:color w:val="4F81BC"/>
        </w:rPr>
        <w:t>Footer)</w:t>
      </w:r>
    </w:p>
    <w:p>
      <w:pPr>
        <w:pStyle w:val="BodyText"/>
        <w:spacing w:line="278" w:lineRule="auto" w:before="119"/>
        <w:ind w:left="220" w:right="362"/>
      </w:pPr>
      <w:r>
        <w:rPr/>
        <w:t>Specifies the contents of the page footer used on even-numbered pages. [</w:t>
      </w:r>
      <w:r>
        <w:rPr>
          <w:i/>
        </w:rPr>
        <w:t>Note</w:t>
      </w:r>
      <w:r>
        <w:rPr/>
        <w:t>: Even page(s) in the sheet cannot be printed if the print area is specified to be a range such that it falls outside an even page's scope. </w:t>
      </w:r>
      <w:r>
        <w:rPr>
          <w:i/>
        </w:rPr>
        <w:t>end note</w:t>
      </w:r>
      <w:r>
        <w:rPr/>
        <w:t>]</w:t>
      </w:r>
    </w:p>
    <w:p>
      <w:pPr>
        <w:pStyle w:val="BodyText"/>
        <w:spacing w:before="2"/>
        <w:rPr>
          <w:sz w:val="16"/>
        </w:rPr>
      </w:pPr>
    </w:p>
    <w:p>
      <w:pPr>
        <w:pStyle w:val="BodyText"/>
        <w:spacing w:line="453" w:lineRule="auto"/>
        <w:ind w:left="220" w:right="2315"/>
      </w:pPr>
      <w:r>
        <w:rPr/>
        <w:t>If no even footer is specified, then the odd footer's value is assumed for even page footers. The format of a footer is defined in §</w:t>
      </w:r>
      <w:hyperlink w:history="true" w:anchor="_bookmark78">
        <w:r>
          <w:rPr/>
          <w:t>18.3.1.46</w:t>
        </w:r>
      </w:hyperlink>
      <w:r>
        <w:rPr/>
        <w:t>.</w:t>
      </w:r>
    </w:p>
    <w:p>
      <w:pPr>
        <w:pStyle w:val="BodyText"/>
        <w:spacing w:before="3"/>
        <w:ind w:left="220"/>
      </w:pPr>
      <w:r>
        <w:rPr/>
        <w:t>The possible values for this element are defined by the </w:t>
      </w:r>
      <w:r>
        <w:rPr>
          <w:rFonts w:ascii="Cambria" w:hAnsi="Cambria"/>
        </w:rPr>
        <w:t>ST_Xstring </w:t>
      </w:r>
      <w:r>
        <w:rPr/>
        <w:t>simple type (§22.9.2.19).</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65" w:hRule="atLeast"/>
        </w:trPr>
        <w:tc>
          <w:tcPr>
            <w:tcW w:w="2062" w:type="dxa"/>
            <w:tcBorders>
              <w:bottom w:val="nil"/>
            </w:tcBorders>
          </w:tcPr>
          <w:p>
            <w:pPr>
              <w:pStyle w:val="TableParagraph"/>
              <w:ind w:right="158"/>
              <w:jc w:val="both"/>
              <w:rPr>
                <w:sz w:val="22"/>
              </w:rPr>
            </w:pPr>
            <w:r>
              <w:rPr>
                <w:rFonts w:ascii="Cambria"/>
                <w:sz w:val="22"/>
              </w:rPr>
              <w:t>xml:space </w:t>
            </w:r>
            <w:r>
              <w:rPr>
                <w:sz w:val="22"/>
              </w:rPr>
              <w:t>(Content Contains Significant Whitespace)</w:t>
            </w:r>
          </w:p>
        </w:tc>
        <w:tc>
          <w:tcPr>
            <w:tcW w:w="8250" w:type="dxa"/>
            <w:tcBorders>
              <w:bottom w:val="nil"/>
            </w:tcBorders>
          </w:tcPr>
          <w:p>
            <w:pPr>
              <w:pStyle w:val="TableParagraph"/>
              <w:ind w:right="304"/>
              <w:rPr>
                <w:sz w:val="22"/>
              </w:rPr>
            </w:pPr>
            <w:r>
              <w:rPr>
                <w:sz w:val="22"/>
              </w:rPr>
              <w:t>Specifies how white space should be handled for the contents of this element using the W3C space preservation rules.</w:t>
            </w:r>
          </w:p>
        </w:tc>
      </w:tr>
      <w:tr>
        <w:trPr>
          <w:trHeight w:val="267"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7" w:lineRule="exact" w:before="0"/>
              <w:rPr>
                <w:sz w:val="22"/>
              </w:rPr>
            </w:pPr>
            <w:r>
              <w:rPr>
                <w:sz w:val="22"/>
              </w:rPr>
              <w:t>The possible values for this attribute are defined by §2.10 of the XML 1.0 specification.</w:t>
            </w:r>
          </w:p>
        </w:tc>
      </w:tr>
      <w:tr>
        <w:trPr>
          <w:trHeight w:val="1101" w:hRule="atLeast"/>
        </w:trPr>
        <w:tc>
          <w:tcPr>
            <w:tcW w:w="2062" w:type="dxa"/>
            <w:tcBorders>
              <w:top w:val="nil"/>
            </w:tcBorders>
          </w:tcPr>
          <w:p>
            <w:pPr>
              <w:pStyle w:val="TableParagraph"/>
              <w:spacing w:line="249" w:lineRule="exact" w:before="0"/>
              <w:rPr>
                <w:sz w:val="22"/>
              </w:rPr>
            </w:pPr>
            <w:r>
              <w:rPr>
                <w:sz w:val="22"/>
              </w:rPr>
              <w:t>Namespace:</w:t>
            </w:r>
          </w:p>
          <w:p>
            <w:pPr>
              <w:pStyle w:val="TableParagraph"/>
              <w:spacing w:before="0"/>
              <w:rPr>
                <w:sz w:val="22"/>
              </w:rPr>
            </w:pPr>
            <w:hyperlink r:id="rId13">
              <w:r>
                <w:rPr>
                  <w:color w:val="5F5F5F"/>
                  <w:sz w:val="22"/>
                  <w:u w:val="single" w:color="5F5F5F"/>
                </w:rPr>
                <w:t>http://www.w3.org</w:t>
              </w:r>
            </w:hyperlink>
          </w:p>
          <w:p>
            <w:pPr>
              <w:pStyle w:val="TableParagraph"/>
              <w:spacing w:before="0"/>
              <w:ind w:right="113"/>
              <w:rPr>
                <w:sz w:val="22"/>
              </w:rPr>
            </w:pPr>
            <w:hyperlink r:id="rId13">
              <w:r>
                <w:rPr>
                  <w:color w:val="5F5F5F"/>
                  <w:sz w:val="22"/>
                  <w:u w:val="single" w:color="5F5F5F"/>
                </w:rPr>
                <w:t>/XML/1998/namesp</w:t>
              </w:r>
            </w:hyperlink>
            <w:r>
              <w:rPr>
                <w:color w:val="5F5F5F"/>
                <w:sz w:val="22"/>
              </w:rPr>
              <w:t> </w:t>
            </w:r>
            <w:hyperlink r:id="rId13">
              <w:r>
                <w:rPr>
                  <w:color w:val="5F5F5F"/>
                  <w:sz w:val="22"/>
                  <w:u w:val="single" w:color="5F5F5F"/>
                </w:rPr>
                <w:t>ace</w:t>
              </w:r>
            </w:hyperlink>
          </w:p>
        </w:tc>
        <w:tc>
          <w:tcPr>
            <w:tcW w:w="8250" w:type="dxa"/>
            <w:tcBorders>
              <w:top w:val="nil"/>
            </w:tcBorders>
          </w:tcPr>
          <w:p>
            <w:pPr>
              <w:pStyle w:val="TableParagraph"/>
              <w:spacing w:before="0"/>
              <w:ind w:left="0"/>
              <w:rPr>
                <w:rFonts w:ascii="Times New Roman"/>
                <w:sz w:val="22"/>
              </w:rPr>
            </w:pPr>
          </w:p>
        </w:tc>
      </w:tr>
    </w:tbl>
    <w:p>
      <w:pPr>
        <w:pStyle w:val="BodyText"/>
        <w:rPr>
          <w:sz w:val="26"/>
        </w:rPr>
      </w:pPr>
    </w:p>
    <w:p>
      <w:pPr>
        <w:pStyle w:val="BodyText"/>
        <w:spacing w:line="278" w:lineRule="auto" w:before="188"/>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39 evenHeader (Even Page Header)" w:id="218"/>
      <w:bookmarkEnd w:id="218"/>
      <w:r>
        <w:rPr/>
      </w:r>
      <w:bookmarkStart w:name="_bookmark71" w:id="219"/>
      <w:bookmarkEnd w:id="219"/>
      <w:r>
        <w:rPr/>
      </w:r>
      <w:bookmarkStart w:name="_bookmark71" w:id="220"/>
      <w:bookmarkEnd w:id="220"/>
      <w:r>
        <w:rPr>
          <w:color w:val="4F81BC"/>
        </w:rPr>
        <w:t>even</w:t>
      </w:r>
      <w:r>
        <w:rPr>
          <w:color w:val="4F81BC"/>
        </w:rPr>
        <w:t>Header (Even Page</w:t>
      </w:r>
      <w:r>
        <w:rPr>
          <w:color w:val="4F81BC"/>
          <w:spacing w:val="-4"/>
        </w:rPr>
        <w:t> </w:t>
      </w:r>
      <w:r>
        <w:rPr>
          <w:color w:val="4F81BC"/>
        </w:rPr>
        <w:t>Header)</w:t>
      </w:r>
    </w:p>
    <w:p>
      <w:pPr>
        <w:pStyle w:val="BodyText"/>
        <w:spacing w:line="276" w:lineRule="auto" w:before="119"/>
        <w:ind w:left="220" w:right="574"/>
      </w:pPr>
      <w:r>
        <w:rPr/>
        <w:t>Specifies the contents of the page header used on even-numbered pages. [</w:t>
      </w:r>
      <w:r>
        <w:rPr>
          <w:i/>
        </w:rPr>
        <w:t>Note</w:t>
      </w:r>
      <w:r>
        <w:rPr/>
        <w:t>: Even page(s) in the sheet cannot be printed if the print area is specified to be a range such that it falls outside an even page's scope. </w:t>
      </w:r>
      <w:r>
        <w:rPr>
          <w:i/>
        </w:rPr>
        <w:t>end </w:t>
      </w:r>
      <w:r>
        <w:rPr>
          <w:i/>
        </w:rPr>
        <w:t>note</w:t>
      </w:r>
      <w:r>
        <w:rPr/>
        <w:t>]</w:t>
      </w:r>
    </w:p>
    <w:p>
      <w:pPr>
        <w:pStyle w:val="BodyText"/>
        <w:spacing w:before="6"/>
        <w:rPr>
          <w:sz w:val="16"/>
        </w:rPr>
      </w:pPr>
    </w:p>
    <w:p>
      <w:pPr>
        <w:pStyle w:val="BodyText"/>
        <w:spacing w:line="453" w:lineRule="auto"/>
        <w:ind w:left="220" w:right="2089"/>
      </w:pPr>
      <w:r>
        <w:rPr/>
        <w:t>If no even header is specified, then the odd header’s value is assumed for even page headers. The format of a header is defined in </w:t>
      </w:r>
      <w:hyperlink w:history="true" w:anchor="_bookmark78">
        <w:r>
          <w:rPr/>
          <w:t>§18.3.1.46</w:t>
        </w:r>
      </w:hyperlink>
      <w:r>
        <w:rPr/>
        <w:t>.</w:t>
      </w:r>
    </w:p>
    <w:p>
      <w:pPr>
        <w:pStyle w:val="BodyText"/>
        <w:spacing w:before="3"/>
        <w:ind w:left="220"/>
      </w:pPr>
      <w:r>
        <w:rPr/>
        <w:t>The possible values for this element are defined by the </w:t>
      </w:r>
      <w:r>
        <w:rPr>
          <w:rFonts w:ascii="Cambria" w:hAnsi="Cambria"/>
        </w:rPr>
        <w:t>ST_Xstring </w:t>
      </w:r>
      <w:r>
        <w:rPr/>
        <w:t>simple type (§22.9.2.19).</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0"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8"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09" w:hRule="atLeast"/>
        </w:trPr>
        <w:tc>
          <w:tcPr>
            <w:tcW w:w="2062" w:type="dxa"/>
            <w:tcBorders>
              <w:top w:val="nil"/>
              <w:bottom w:val="nil"/>
            </w:tcBorders>
          </w:tcPr>
          <w:p>
            <w:pPr>
              <w:pStyle w:val="TableParagraph"/>
              <w:spacing w:before="0"/>
              <w:rPr>
                <w:sz w:val="22"/>
              </w:rPr>
            </w:pPr>
            <w:r>
              <w:rPr>
                <w:sz w:val="22"/>
              </w:rPr>
              <w:t>Contains Significant</w:t>
            </w:r>
          </w:p>
        </w:tc>
        <w:tc>
          <w:tcPr>
            <w:tcW w:w="8250" w:type="dxa"/>
            <w:tcBorders>
              <w:top w:val="nil"/>
              <w:bottom w:val="nil"/>
            </w:tcBorders>
          </w:tcPr>
          <w:p>
            <w:pPr>
              <w:pStyle w:val="TableParagraph"/>
              <w:spacing w:before="0"/>
              <w:rPr>
                <w:sz w:val="22"/>
              </w:rPr>
            </w:pPr>
            <w:r>
              <w:rPr>
                <w:sz w:val="22"/>
              </w:rPr>
              <w:t>W3C space preservation rules.</w:t>
            </w:r>
          </w:p>
        </w:tc>
      </w:tr>
      <w:tr>
        <w:trPr>
          <w:trHeight w:val="506" w:hRule="atLeast"/>
        </w:trPr>
        <w:tc>
          <w:tcPr>
            <w:tcW w:w="2062" w:type="dxa"/>
            <w:tcBorders>
              <w:top w:val="nil"/>
              <w:bottom w:val="nil"/>
            </w:tcBorders>
          </w:tcPr>
          <w:p>
            <w:pPr>
              <w:pStyle w:val="TableParagraph"/>
              <w:spacing w:before="1"/>
              <w:rPr>
                <w:sz w:val="22"/>
              </w:rPr>
            </w:pPr>
            <w:r>
              <w:rPr>
                <w:sz w:val="22"/>
              </w:rPr>
              <w:t>Whitespace)</w:t>
            </w:r>
          </w:p>
        </w:tc>
        <w:tc>
          <w:tcPr>
            <w:tcW w:w="8250" w:type="dxa"/>
            <w:tcBorders>
              <w:top w:val="nil"/>
              <w:bottom w:val="nil"/>
            </w:tcBorders>
          </w:tcPr>
          <w:p>
            <w:pPr>
              <w:pStyle w:val="TableParagraph"/>
              <w:spacing w:before="197"/>
              <w:rPr>
                <w:sz w:val="22"/>
              </w:rPr>
            </w:pPr>
            <w:r>
              <w:rPr>
                <w:sz w:val="22"/>
              </w:rPr>
              <w:t>The possible values for this attribute are defined by §2.10 of the XML 1.0 specification.</w:t>
            </w:r>
          </w:p>
        </w:tc>
      </w:tr>
      <w:tr>
        <w:trPr>
          <w:trHeight w:val="1443"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3" w:footer="746" w:top="1340" w:bottom="940" w:left="860" w:right="700"/>
        </w:sectPr>
      </w:pPr>
    </w:p>
    <w:p>
      <w:pPr>
        <w:pStyle w:val="BodyText"/>
        <w:rPr>
          <w:sz w:val="20"/>
        </w:rPr>
      </w:pPr>
    </w:p>
    <w:p>
      <w:pPr>
        <w:pStyle w:val="BodyText"/>
        <w:spacing w:before="6"/>
        <w:rPr>
          <w:sz w:val="24"/>
        </w:rPr>
      </w:pPr>
    </w:p>
    <w:p>
      <w:pPr>
        <w:pStyle w:val="BodyText"/>
        <w:spacing w:line="278" w:lineRule="auto" w:before="56"/>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0 f (Formula)" w:id="221"/>
      <w:bookmarkEnd w:id="221"/>
      <w:r>
        <w:rPr/>
      </w:r>
      <w:bookmarkStart w:name="_bookmark72" w:id="222"/>
      <w:bookmarkEnd w:id="222"/>
      <w:r>
        <w:rPr/>
      </w:r>
      <w:bookmarkStart w:name="_bookmark72" w:id="223"/>
      <w:bookmarkEnd w:id="223"/>
      <w:r>
        <w:rPr>
          <w:color w:val="4F81BC"/>
        </w:rPr>
        <w:t>f</w:t>
      </w:r>
      <w:r>
        <w:rPr>
          <w:color w:val="4F81BC"/>
          <w:spacing w:val="-2"/>
        </w:rPr>
        <w:t> </w:t>
      </w:r>
      <w:r>
        <w:rPr>
          <w:color w:val="4F81BC"/>
        </w:rPr>
        <w:t>(Formula)</w:t>
      </w:r>
    </w:p>
    <w:p>
      <w:pPr>
        <w:pStyle w:val="BodyText"/>
        <w:spacing w:line="453" w:lineRule="auto" w:before="122"/>
        <w:ind w:left="220" w:right="1925"/>
      </w:pPr>
      <w:r>
        <w:rPr/>
        <w:t>Formula for the cell. The formula expression is contained in the character node of this element. [</w:t>
      </w:r>
      <w:r>
        <w:rPr>
          <w:i/>
        </w:rPr>
        <w:t>Example</w:t>
      </w:r>
      <w:r>
        <w:rPr/>
        <w:t>:</w:t>
      </w:r>
    </w:p>
    <w:p>
      <w:pPr>
        <w:pStyle w:val="BodyText"/>
        <w:spacing w:before="2"/>
        <w:ind w:left="508"/>
        <w:rPr>
          <w:rFonts w:ascii="Consolas"/>
        </w:rPr>
      </w:pPr>
      <w:r>
        <w:rPr>
          <w:rFonts w:ascii="Consolas"/>
        </w:rPr>
        <w:t>&lt;f&gt;SUM(C4:E4)&lt;/f&gt;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BodyText"/>
        <w:ind w:left="220"/>
      </w:pPr>
      <w:r>
        <w:rPr/>
        <w:t>The possible values for the </w:t>
      </w:r>
      <w:r>
        <w:rPr>
          <w:rFonts w:ascii="Cambria"/>
        </w:rPr>
        <w:t>t </w:t>
      </w:r>
      <w:r>
        <w:rPr/>
        <w:t>attribute are defined by the simple type </w:t>
      </w:r>
      <w:r>
        <w:rPr>
          <w:rFonts w:ascii="Cambria"/>
        </w:rPr>
        <w:t>ST_CellFormulaType</w:t>
      </w:r>
      <w:r>
        <w:rPr/>
        <w:t>, and are as follows: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6"/>
              <w:jc w:val="center"/>
              <w:rPr>
                <w:b/>
                <w:sz w:val="22"/>
              </w:rPr>
            </w:pPr>
            <w:r>
              <w:rPr>
                <w:b/>
                <w:sz w:val="22"/>
              </w:rPr>
              <w:t>Value</w:t>
            </w:r>
          </w:p>
        </w:tc>
        <w:tc>
          <w:tcPr>
            <w:tcW w:w="8250" w:type="dxa"/>
            <w:shd w:val="clear" w:color="auto" w:fill="C0C0C0"/>
          </w:tcPr>
          <w:p>
            <w:pPr>
              <w:pStyle w:val="TableParagraph"/>
              <w:ind w:left="98" w:right="91"/>
              <w:jc w:val="center"/>
              <w:rPr>
                <w:b/>
                <w:sz w:val="22"/>
              </w:rPr>
            </w:pPr>
            <w:r>
              <w:rPr>
                <w:b/>
                <w:sz w:val="22"/>
              </w:rPr>
              <w:t>Description</w:t>
            </w:r>
          </w:p>
        </w:tc>
      </w:tr>
      <w:tr>
        <w:trPr>
          <w:trHeight w:val="890" w:hRule="atLeast"/>
        </w:trPr>
        <w:tc>
          <w:tcPr>
            <w:tcW w:w="2062" w:type="dxa"/>
          </w:tcPr>
          <w:p>
            <w:pPr>
              <w:pStyle w:val="TableParagraph"/>
              <w:spacing w:before="42"/>
              <w:ind w:right="739"/>
              <w:rPr>
                <w:rFonts w:ascii="Cambria"/>
                <w:sz w:val="22"/>
              </w:rPr>
            </w:pPr>
            <w:r>
              <w:rPr>
                <w:rFonts w:ascii="Cambria"/>
                <w:sz w:val="22"/>
              </w:rPr>
              <w:t>array (Array formula)</w:t>
            </w:r>
          </w:p>
        </w:tc>
        <w:tc>
          <w:tcPr>
            <w:tcW w:w="8250" w:type="dxa"/>
          </w:tcPr>
          <w:p>
            <w:pPr>
              <w:pStyle w:val="TableParagraph"/>
              <w:ind w:right="91"/>
              <w:rPr>
                <w:sz w:val="22"/>
              </w:rPr>
            </w:pPr>
            <w:r>
              <w:rPr>
                <w:sz w:val="22"/>
              </w:rPr>
              <w:t>Array formula. An array formula is a single formula, applied across a range of one or more cells. An array formula can return multiple results from one single calculation, the results spanning the cells in which it is contained (</w:t>
            </w:r>
            <w:hyperlink w:history="true" w:anchor="_bookmark443">
              <w:r>
                <w:rPr>
                  <w:sz w:val="22"/>
                </w:rPr>
                <w:t>§18.17.2.7</w:t>
              </w:r>
            </w:hyperlink>
            <w:r>
              <w:rPr>
                <w:sz w:val="22"/>
              </w:rPr>
              <w:t>).</w:t>
            </w:r>
          </w:p>
        </w:tc>
      </w:tr>
      <w:tr>
        <w:trPr>
          <w:trHeight w:val="7070" w:hRule="atLeast"/>
        </w:trPr>
        <w:tc>
          <w:tcPr>
            <w:tcW w:w="2062" w:type="dxa"/>
          </w:tcPr>
          <w:p>
            <w:pPr>
              <w:pStyle w:val="TableParagraph"/>
              <w:spacing w:before="42"/>
              <w:ind w:right="322"/>
              <w:rPr>
                <w:rFonts w:ascii="Cambria"/>
                <w:sz w:val="22"/>
              </w:rPr>
            </w:pPr>
            <w:r>
              <w:rPr>
                <w:rFonts w:ascii="Cambria"/>
                <w:sz w:val="22"/>
              </w:rPr>
              <w:t>dataTable (Table formula)</w:t>
            </w:r>
          </w:p>
        </w:tc>
        <w:tc>
          <w:tcPr>
            <w:tcW w:w="8250" w:type="dxa"/>
          </w:tcPr>
          <w:p>
            <w:pPr>
              <w:pStyle w:val="TableParagraph"/>
              <w:ind w:right="189"/>
              <w:rPr>
                <w:sz w:val="22"/>
              </w:rPr>
            </w:pPr>
            <w:r>
              <w:rPr>
                <w:sz w:val="22"/>
              </w:rPr>
              <w:t>Data table. A </w:t>
            </w:r>
            <w:r>
              <w:rPr>
                <w:i/>
                <w:sz w:val="22"/>
              </w:rPr>
              <w:t>data table </w:t>
            </w:r>
            <w:r>
              <w:rPr>
                <w:sz w:val="22"/>
              </w:rPr>
              <w:t>is a range of cells that shows how changing certain values in one or more formulas affects the results of those formulas. A data table provides a shortcut for calculating multiple versions in one operation, and a way to include the results of all of the different variations in a sheet.</w:t>
            </w:r>
          </w:p>
          <w:p>
            <w:pPr>
              <w:pStyle w:val="TableParagraph"/>
              <w:spacing w:before="1"/>
              <w:ind w:left="0"/>
              <w:rPr>
                <w:sz w:val="22"/>
              </w:rPr>
            </w:pPr>
          </w:p>
          <w:p>
            <w:pPr>
              <w:pStyle w:val="TableParagraph"/>
              <w:spacing w:before="0"/>
              <w:ind w:right="159"/>
              <w:rPr>
                <w:sz w:val="22"/>
              </w:rPr>
            </w:pPr>
            <w:r>
              <w:rPr>
                <w:sz w:val="22"/>
              </w:rPr>
              <w:t>Both one- and two-input variable data tables can be created (see attribute dt2D).[</w:t>
            </w:r>
            <w:r>
              <w:rPr>
                <w:i/>
                <w:sz w:val="22"/>
              </w:rPr>
              <w:t>Example</w:t>
            </w:r>
            <w:r>
              <w:rPr>
                <w:sz w:val="22"/>
              </w:rPr>
              <w:t>: A one-input variable data table might be used to calculate how different interest rates affect a monthly mortgage payment, while a two-input variable data table might be used to calculate how different interest rates and loan terms will affect the mortgage payment. </w:t>
            </w:r>
            <w:r>
              <w:rPr>
                <w:i/>
                <w:sz w:val="22"/>
              </w:rPr>
              <w:t>end example</w:t>
            </w:r>
            <w:r>
              <w:rPr>
                <w:sz w:val="22"/>
              </w:rPr>
              <w:t>]</w:t>
            </w:r>
          </w:p>
          <w:p>
            <w:pPr>
              <w:pStyle w:val="TableParagraph"/>
              <w:spacing w:before="11"/>
              <w:ind w:left="0"/>
              <w:rPr>
                <w:sz w:val="21"/>
              </w:rPr>
            </w:pPr>
          </w:p>
          <w:p>
            <w:pPr>
              <w:pStyle w:val="TableParagraph"/>
              <w:spacing w:before="1"/>
              <w:ind w:right="724"/>
              <w:rPr>
                <w:sz w:val="22"/>
              </w:rPr>
            </w:pPr>
            <w:r>
              <w:rPr>
                <w:sz w:val="22"/>
              </w:rPr>
              <w:t>In a one-input variable data table, values are listed either down a column (column- oriented) or across a row (row-oriented) (see attribute dtr).</w:t>
            </w:r>
          </w:p>
          <w:p>
            <w:pPr>
              <w:pStyle w:val="TableParagraph"/>
              <w:spacing w:before="0"/>
              <w:ind w:left="0"/>
              <w:rPr>
                <w:sz w:val="22"/>
              </w:rPr>
            </w:pPr>
          </w:p>
          <w:p>
            <w:pPr>
              <w:pStyle w:val="TableParagraph"/>
              <w:spacing w:before="0"/>
              <w:ind w:right="235"/>
              <w:jc w:val="both"/>
              <w:rPr>
                <w:sz w:val="22"/>
              </w:rPr>
            </w:pPr>
            <w:r>
              <w:rPr>
                <w:sz w:val="22"/>
              </w:rPr>
              <w:t>Formulas that are used in a one-input variable data table shall refer to an input cell (see attribute r1), the cell in which each input value from a data table is substituted. Any cell on a worksheet can be the input cell. Although the input cell does not need to be part of the data table, the formulas in data tables shall refer to that input cell.</w:t>
            </w:r>
          </w:p>
          <w:p>
            <w:pPr>
              <w:pStyle w:val="TableParagraph"/>
              <w:spacing w:before="12"/>
              <w:ind w:left="0"/>
              <w:rPr>
                <w:sz w:val="21"/>
              </w:rPr>
            </w:pPr>
          </w:p>
          <w:p>
            <w:pPr>
              <w:pStyle w:val="TableParagraph"/>
              <w:spacing w:before="0"/>
              <w:ind w:right="396"/>
              <w:rPr>
                <w:sz w:val="22"/>
              </w:rPr>
            </w:pPr>
            <w:r>
              <w:rPr>
                <w:sz w:val="22"/>
              </w:rPr>
              <w:t>Two-input variable data tables use only one formula with two lists of input values. The formula shall refer to two input cells (see attributes r1 and r2).</w:t>
            </w:r>
          </w:p>
          <w:p>
            <w:pPr>
              <w:pStyle w:val="TableParagraph"/>
              <w:spacing w:before="0"/>
              <w:ind w:left="0"/>
              <w:rPr>
                <w:sz w:val="22"/>
              </w:rPr>
            </w:pPr>
          </w:p>
          <w:p>
            <w:pPr>
              <w:pStyle w:val="TableParagraph"/>
              <w:spacing w:before="1"/>
              <w:jc w:val="both"/>
              <w:rPr>
                <w:sz w:val="22"/>
              </w:rPr>
            </w:pPr>
            <w:r>
              <w:rPr>
                <w:sz w:val="22"/>
              </w:rPr>
              <w:t>The top-left cell in the data table is called the </w:t>
            </w:r>
            <w:r>
              <w:rPr>
                <w:i/>
                <w:sz w:val="22"/>
              </w:rPr>
              <w:t>master cell</w:t>
            </w:r>
            <w:r>
              <w:rPr>
                <w:sz w:val="22"/>
              </w:rPr>
              <w:t>.</w:t>
            </w:r>
          </w:p>
          <w:p>
            <w:pPr>
              <w:pStyle w:val="TableParagraph"/>
              <w:spacing w:before="0"/>
              <w:ind w:left="0"/>
              <w:rPr>
                <w:sz w:val="22"/>
              </w:rPr>
            </w:pPr>
          </w:p>
          <w:p>
            <w:pPr>
              <w:pStyle w:val="TableParagraph"/>
              <w:spacing w:before="0"/>
              <w:ind w:right="627"/>
              <w:rPr>
                <w:sz w:val="22"/>
              </w:rPr>
            </w:pPr>
            <w:r>
              <w:rPr>
                <w:sz w:val="22"/>
              </w:rPr>
              <w:t>[</w:t>
            </w:r>
            <w:r>
              <w:rPr>
                <w:i/>
                <w:sz w:val="22"/>
              </w:rPr>
              <w:t>Guidance</w:t>
            </w:r>
            <w:r>
              <w:rPr>
                <w:sz w:val="22"/>
              </w:rPr>
              <w:t>: It is recommended that Spreadsheet applications recalculate data tables whenever a worksheet is recalculated. </w:t>
            </w:r>
            <w:r>
              <w:rPr>
                <w:i/>
                <w:sz w:val="22"/>
              </w:rPr>
              <w:t>end guidance</w:t>
            </w:r>
            <w:r>
              <w:rPr>
                <w:sz w:val="22"/>
              </w:rPr>
              <w:t>]</w:t>
            </w:r>
          </w:p>
        </w:tc>
      </w:tr>
    </w:tbl>
    <w:p>
      <w:pPr>
        <w:spacing w:after="0"/>
        <w:rPr>
          <w:sz w:val="22"/>
        </w:rPr>
        <w:sectPr>
          <w:footerReference w:type="even" r:id="rId35"/>
          <w:footerReference w:type="default" r:id="rId36"/>
          <w:pgSz w:w="12240" w:h="15840"/>
          <w:pgMar w:footer="746" w:header="761" w:top="1340" w:bottom="940" w:left="860" w:right="700"/>
          <w:pgNumType w:start="163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6"/>
              <w:jc w:val="center"/>
              <w:rPr>
                <w:b/>
                <w:sz w:val="22"/>
              </w:rPr>
            </w:pPr>
            <w:r>
              <w:rPr>
                <w:b/>
                <w:sz w:val="22"/>
              </w:rPr>
              <w:t>Value</w:t>
            </w:r>
          </w:p>
        </w:tc>
        <w:tc>
          <w:tcPr>
            <w:tcW w:w="8250" w:type="dxa"/>
            <w:shd w:val="clear" w:color="auto" w:fill="C0C0C0"/>
          </w:tcPr>
          <w:p>
            <w:pPr>
              <w:pStyle w:val="TableParagraph"/>
              <w:ind w:left="98" w:right="91"/>
              <w:jc w:val="center"/>
              <w:rPr>
                <w:b/>
                <w:sz w:val="22"/>
              </w:rPr>
            </w:pPr>
            <w:r>
              <w:rPr>
                <w:b/>
                <w:sz w:val="22"/>
              </w:rPr>
              <w:t>Description</w:t>
            </w:r>
          </w:p>
        </w:tc>
      </w:tr>
      <w:tr>
        <w:trPr>
          <w:trHeight w:val="602" w:hRule="atLeast"/>
        </w:trPr>
        <w:tc>
          <w:tcPr>
            <w:tcW w:w="2062" w:type="dxa"/>
          </w:tcPr>
          <w:p>
            <w:pPr>
              <w:pStyle w:val="TableParagraph"/>
              <w:spacing w:before="42"/>
              <w:ind w:right="396"/>
              <w:rPr>
                <w:rFonts w:ascii="Cambria"/>
                <w:sz w:val="22"/>
              </w:rPr>
            </w:pPr>
            <w:r>
              <w:rPr>
                <w:rFonts w:ascii="Cambria"/>
                <w:sz w:val="22"/>
              </w:rPr>
              <w:t>normal (Normal formula)</w:t>
            </w:r>
          </w:p>
        </w:tc>
        <w:tc>
          <w:tcPr>
            <w:tcW w:w="8250" w:type="dxa"/>
          </w:tcPr>
          <w:p>
            <w:pPr>
              <w:pStyle w:val="TableParagraph"/>
              <w:rPr>
                <w:sz w:val="22"/>
              </w:rPr>
            </w:pPr>
            <w:r>
              <w:rPr>
                <w:sz w:val="22"/>
              </w:rPr>
              <w:t>Normal cell formula (§</w:t>
            </w:r>
            <w:hyperlink w:history="true" w:anchor="_bookmark432">
              <w:r>
                <w:rPr>
                  <w:sz w:val="22"/>
                </w:rPr>
                <w:t>18.17</w:t>
              </w:r>
            </w:hyperlink>
            <w:r>
              <w:rPr>
                <w:sz w:val="22"/>
              </w:rPr>
              <w:t>).</w:t>
            </w:r>
          </w:p>
        </w:tc>
      </w:tr>
      <w:tr>
        <w:trPr>
          <w:trHeight w:val="1158" w:hRule="atLeast"/>
        </w:trPr>
        <w:tc>
          <w:tcPr>
            <w:tcW w:w="2062" w:type="dxa"/>
          </w:tcPr>
          <w:p>
            <w:pPr>
              <w:pStyle w:val="TableParagraph"/>
              <w:spacing w:before="42"/>
              <w:ind w:right="482"/>
              <w:rPr>
                <w:rFonts w:ascii="Cambria"/>
                <w:sz w:val="22"/>
              </w:rPr>
            </w:pPr>
            <w:r>
              <w:rPr>
                <w:rFonts w:ascii="Cambria"/>
                <w:sz w:val="22"/>
              </w:rPr>
              <w:t>shared (Shared formula)</w:t>
            </w:r>
          </w:p>
        </w:tc>
        <w:tc>
          <w:tcPr>
            <w:tcW w:w="8250" w:type="dxa"/>
          </w:tcPr>
          <w:p>
            <w:pPr>
              <w:pStyle w:val="TableParagraph"/>
              <w:ind w:right="418"/>
              <w:rPr>
                <w:sz w:val="22"/>
              </w:rPr>
            </w:pPr>
            <w:r>
              <w:rPr>
                <w:sz w:val="22"/>
              </w:rPr>
              <w:t>Shared formula. If a cell contains the same formula as another cell, the “shared” value can be used for the t attribute and the si attribute can be used to refer to the cell containing the formula. Two formulas are considered to be the same when their respective representations in R1C1-reference notation, are the same.</w:t>
            </w:r>
          </w:p>
        </w:tc>
      </w:tr>
    </w:tbl>
    <w:p>
      <w:pPr>
        <w:pStyle w:val="BodyText"/>
        <w:rPr>
          <w:rFonts w:ascii="Times New Roman"/>
          <w:sz w:val="20"/>
        </w:rPr>
      </w:pPr>
    </w:p>
    <w:p>
      <w:pPr>
        <w:pStyle w:val="BodyText"/>
        <w:spacing w:before="5"/>
        <w:rPr>
          <w:rFonts w:ascii="Times New Roman"/>
          <w:sz w:val="2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2" w:hRule="atLeast"/>
        </w:trPr>
        <w:tc>
          <w:tcPr>
            <w:tcW w:w="2062" w:type="dxa"/>
          </w:tcPr>
          <w:p>
            <w:pPr>
              <w:pStyle w:val="TableParagraph"/>
              <w:ind w:right="494"/>
              <w:rPr>
                <w:sz w:val="22"/>
              </w:rPr>
            </w:pPr>
            <w:r>
              <w:rPr>
                <w:rFonts w:ascii="Cambria"/>
                <w:sz w:val="22"/>
              </w:rPr>
              <w:t>aca </w:t>
            </w:r>
            <w:r>
              <w:rPr>
                <w:sz w:val="22"/>
              </w:rPr>
              <w:t>(Always Calculate Array)</w:t>
            </w:r>
          </w:p>
        </w:tc>
        <w:tc>
          <w:tcPr>
            <w:tcW w:w="8250" w:type="dxa"/>
          </w:tcPr>
          <w:p>
            <w:pPr>
              <w:pStyle w:val="TableParagraph"/>
              <w:ind w:right="199"/>
              <w:jc w:val="both"/>
              <w:rPr>
                <w:sz w:val="22"/>
              </w:rPr>
            </w:pPr>
            <w:r>
              <w:rPr>
                <w:sz w:val="22"/>
              </w:rPr>
              <w:t>Only applies to array formulas. </w:t>
            </w:r>
            <w:r>
              <w:rPr>
                <w:rFonts w:ascii="Consolas"/>
                <w:sz w:val="20"/>
              </w:rPr>
              <w:t>true </w:t>
            </w:r>
            <w:r>
              <w:rPr>
                <w:sz w:val="22"/>
              </w:rPr>
              <w:t>indicates that the entire array shall be calculated in full. If </w:t>
            </w:r>
            <w:r>
              <w:rPr>
                <w:rFonts w:ascii="Consolas"/>
                <w:sz w:val="20"/>
              </w:rPr>
              <w:t>false</w:t>
            </w:r>
            <w:r>
              <w:rPr>
                <w:rFonts w:ascii="Consolas"/>
                <w:spacing w:val="-62"/>
                <w:sz w:val="20"/>
              </w:rPr>
              <w:t> </w:t>
            </w:r>
            <w:r>
              <w:rPr>
                <w:sz w:val="22"/>
              </w:rPr>
              <w:t>the individual cells of the array shall be calculated as needed. The </w:t>
            </w:r>
            <w:r>
              <w:rPr>
                <w:rFonts w:ascii="Consolas"/>
                <w:sz w:val="20"/>
              </w:rPr>
              <w:t>aca</w:t>
            </w:r>
            <w:r>
              <w:rPr>
                <w:rFonts w:ascii="Consolas"/>
                <w:spacing w:val="-59"/>
                <w:sz w:val="20"/>
              </w:rPr>
              <w:t> </w:t>
            </w:r>
            <w:r>
              <w:rPr>
                <w:sz w:val="22"/>
              </w:rPr>
              <w:t>value shall be ignored unless the value of the corresponding </w:t>
            </w:r>
            <w:r>
              <w:rPr>
                <w:rFonts w:ascii="Cambria"/>
                <w:sz w:val="22"/>
              </w:rPr>
              <w:t>t </w:t>
            </w:r>
            <w:r>
              <w:rPr>
                <w:sz w:val="22"/>
              </w:rPr>
              <w:t>attribute is array.</w:t>
            </w:r>
          </w:p>
          <w:p>
            <w:pPr>
              <w:pStyle w:val="TableParagraph"/>
              <w:spacing w:before="5"/>
              <w:ind w:left="0"/>
              <w:rPr>
                <w:rFonts w:ascii="Times New Roman"/>
                <w:sz w:val="23"/>
              </w:rPr>
            </w:pPr>
          </w:p>
          <w:p>
            <w:pPr>
              <w:pStyle w:val="TableParagraph"/>
              <w:spacing w:before="0"/>
              <w:ind w:right="281"/>
              <w:rPr>
                <w:sz w:val="22"/>
              </w:rPr>
            </w:pPr>
            <w:r>
              <w:rPr>
                <w:sz w:val="22"/>
              </w:rPr>
              <w:t>[</w:t>
            </w:r>
            <w:r>
              <w:rPr>
                <w:i/>
                <w:sz w:val="22"/>
              </w:rPr>
              <w:t>Note</w:t>
            </w:r>
            <w:r>
              <w:rPr>
                <w:sz w:val="22"/>
              </w:rPr>
              <w:t>: The primary case where an array formula must be calculated in part instead of in full is when some cells in the array depend on other cells that are semi-calculated, e.g., contains the function =RAND(). </w:t>
            </w:r>
            <w:r>
              <w:rPr>
                <w:i/>
                <w:sz w:val="22"/>
              </w:rPr>
              <w:t>end note</w:t>
            </w:r>
            <w:r>
              <w:rPr>
                <w:sz w:val="22"/>
              </w:rPr>
              <w:t>]</w:t>
            </w:r>
          </w:p>
          <w:p>
            <w:pPr>
              <w:pStyle w:val="TableParagraph"/>
              <w:spacing w:before="5"/>
              <w:ind w:left="0"/>
              <w:rPr>
                <w:rFonts w:ascii="Times New Roman"/>
                <w:sz w:val="23"/>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ind w:right="125"/>
              <w:rPr>
                <w:sz w:val="22"/>
              </w:rPr>
            </w:pPr>
            <w:r>
              <w:rPr>
                <w:rFonts w:ascii="Cambria"/>
                <w:sz w:val="22"/>
              </w:rPr>
              <w:t>bx </w:t>
            </w:r>
            <w:r>
              <w:rPr>
                <w:sz w:val="22"/>
              </w:rPr>
              <w:t>(Assigns Value to Name)</w:t>
            </w:r>
          </w:p>
        </w:tc>
        <w:tc>
          <w:tcPr>
            <w:tcW w:w="8250" w:type="dxa"/>
          </w:tcPr>
          <w:p>
            <w:pPr>
              <w:pStyle w:val="TableParagraph"/>
              <w:rPr>
                <w:sz w:val="22"/>
              </w:rPr>
            </w:pPr>
            <w:r>
              <w:rPr>
                <w:sz w:val="22"/>
              </w:rPr>
              <w:t>Specifies that this formula assigns a value to a name.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rPr>
                <w:sz w:val="22"/>
              </w:rPr>
            </w:pPr>
            <w:r>
              <w:rPr>
                <w:rFonts w:ascii="Cambria"/>
                <w:sz w:val="22"/>
              </w:rPr>
              <w:t>ca </w:t>
            </w:r>
            <w:r>
              <w:rPr>
                <w:sz w:val="22"/>
              </w:rPr>
              <w:t>(Calculate Cell)</w:t>
            </w:r>
          </w:p>
        </w:tc>
        <w:tc>
          <w:tcPr>
            <w:tcW w:w="8250" w:type="dxa"/>
          </w:tcPr>
          <w:p>
            <w:pPr>
              <w:pStyle w:val="TableParagraph"/>
              <w:ind w:right="330"/>
              <w:rPr>
                <w:sz w:val="22"/>
              </w:rPr>
            </w:pPr>
            <w:r>
              <w:rPr>
                <w:sz w:val="22"/>
              </w:rPr>
              <w:t>Indicates that this formula needs to be recalculated the next time calculation is performed. [</w:t>
            </w:r>
            <w:r>
              <w:rPr>
                <w:i/>
                <w:sz w:val="22"/>
              </w:rPr>
              <w:t>Example</w:t>
            </w:r>
            <w:r>
              <w:rPr>
                <w:sz w:val="22"/>
              </w:rPr>
              <w:t>: This is always set on volatile functions, like =RAND(), and circular references. </w:t>
            </w: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ind w:right="753"/>
              <w:rPr>
                <w:sz w:val="22"/>
              </w:rPr>
            </w:pPr>
            <w:r>
              <w:rPr>
                <w:rFonts w:ascii="Cambria"/>
                <w:sz w:val="22"/>
              </w:rPr>
              <w:t>del1 </w:t>
            </w:r>
            <w:r>
              <w:rPr>
                <w:sz w:val="22"/>
              </w:rPr>
              <w:t>(Input 1 Deleted)</w:t>
            </w:r>
          </w:p>
        </w:tc>
        <w:tc>
          <w:tcPr>
            <w:tcW w:w="8250" w:type="dxa"/>
          </w:tcPr>
          <w:p>
            <w:pPr>
              <w:pStyle w:val="TableParagraph"/>
              <w:ind w:right="118"/>
              <w:rPr>
                <w:sz w:val="22"/>
              </w:rPr>
            </w:pPr>
            <w:r>
              <w:rPr>
                <w:sz w:val="22"/>
              </w:rPr>
              <w:t>Whether the first input cell for data table has been deleted. Applies to data table formula only. Written on master cell of data table formula only.</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ind w:right="753"/>
              <w:rPr>
                <w:sz w:val="22"/>
              </w:rPr>
            </w:pPr>
            <w:r>
              <w:rPr>
                <w:rFonts w:ascii="Cambria"/>
                <w:sz w:val="22"/>
              </w:rPr>
              <w:t>del2 </w:t>
            </w:r>
            <w:r>
              <w:rPr>
                <w:sz w:val="22"/>
              </w:rPr>
              <w:t>(Input 2 Deleted)</w:t>
            </w:r>
          </w:p>
        </w:tc>
        <w:tc>
          <w:tcPr>
            <w:tcW w:w="8250" w:type="dxa"/>
          </w:tcPr>
          <w:p>
            <w:pPr>
              <w:pStyle w:val="TableParagraph"/>
              <w:ind w:right="593"/>
              <w:rPr>
                <w:sz w:val="22"/>
              </w:rPr>
            </w:pPr>
            <w:r>
              <w:rPr>
                <w:sz w:val="22"/>
              </w:rPr>
              <w:t>Whether the second input cell for data table has been deleted. Applies to data table formula only. Written on master cell of data table formula only.</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151"/>
              <w:rPr>
                <w:sz w:val="22"/>
              </w:rPr>
            </w:pPr>
            <w:r>
              <w:rPr>
                <w:rFonts w:ascii="Cambria"/>
                <w:sz w:val="22"/>
              </w:rPr>
              <w:t>dt2D </w:t>
            </w:r>
            <w:r>
              <w:rPr>
                <w:sz w:val="22"/>
              </w:rPr>
              <w:t>(Data Table 2- D)</w:t>
            </w:r>
          </w:p>
        </w:tc>
        <w:tc>
          <w:tcPr>
            <w:tcW w:w="8250" w:type="dxa"/>
          </w:tcPr>
          <w:p>
            <w:pPr>
              <w:pStyle w:val="TableParagraph"/>
              <w:ind w:right="745"/>
              <w:rPr>
                <w:sz w:val="22"/>
              </w:rPr>
            </w:pPr>
            <w:r>
              <w:rPr>
                <w:sz w:val="22"/>
              </w:rPr>
              <w:t>Data table is two-dimentional. Only applies to the data tables function. Written on master cell of data table formula only.</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427" w:hRule="atLeast"/>
        </w:trPr>
        <w:tc>
          <w:tcPr>
            <w:tcW w:w="2062" w:type="dxa"/>
          </w:tcPr>
          <w:p>
            <w:pPr>
              <w:pStyle w:val="TableParagraph"/>
              <w:ind w:right="556"/>
              <w:rPr>
                <w:sz w:val="22"/>
              </w:rPr>
            </w:pPr>
            <w:r>
              <w:rPr>
                <w:rFonts w:ascii="Cambria"/>
                <w:sz w:val="22"/>
              </w:rPr>
              <w:t>dtr </w:t>
            </w:r>
            <w:r>
              <w:rPr>
                <w:sz w:val="22"/>
              </w:rPr>
              <w:t>(Data Table Row)</w:t>
            </w:r>
          </w:p>
        </w:tc>
        <w:tc>
          <w:tcPr>
            <w:tcW w:w="8250" w:type="dxa"/>
          </w:tcPr>
          <w:p>
            <w:pPr>
              <w:pStyle w:val="TableParagraph"/>
              <w:rPr>
                <w:sz w:val="22"/>
              </w:rPr>
            </w:pPr>
            <w:r>
              <w:rPr>
                <w:rFonts w:ascii="Consolas"/>
                <w:sz w:val="20"/>
              </w:rPr>
              <w:t>true</w:t>
            </w:r>
            <w:r>
              <w:rPr>
                <w:rFonts w:ascii="Consolas"/>
                <w:spacing w:val="-84"/>
                <w:sz w:val="20"/>
              </w:rPr>
              <w:t> </w:t>
            </w:r>
            <w:r>
              <w:rPr>
                <w:sz w:val="22"/>
              </w:rPr>
              <w:t>if one-dimentional data table is a row, otherwise it's a column. Only applies to the data tables function. Written on master cell of data table formula only.</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ind w:right="253"/>
              <w:rPr>
                <w:sz w:val="22"/>
              </w:rPr>
            </w:pPr>
            <w:r>
              <w:rPr>
                <w:rFonts w:ascii="Cambria"/>
                <w:sz w:val="22"/>
              </w:rPr>
              <w:t>r1 </w:t>
            </w:r>
            <w:r>
              <w:rPr>
                <w:sz w:val="22"/>
              </w:rPr>
              <w:t>(Data Table Cell 1)</w:t>
            </w:r>
          </w:p>
        </w:tc>
        <w:tc>
          <w:tcPr>
            <w:tcW w:w="8250" w:type="dxa"/>
          </w:tcPr>
          <w:p>
            <w:pPr>
              <w:pStyle w:val="TableParagraph"/>
              <w:ind w:right="472"/>
              <w:rPr>
                <w:sz w:val="22"/>
              </w:rPr>
            </w:pPr>
            <w:r>
              <w:rPr>
                <w:sz w:val="22"/>
              </w:rPr>
              <w:t>First input cell for data table. Only applies to the data tables array function "TABLE()". Written on master cell of data table formula only.</w:t>
            </w:r>
          </w:p>
          <w:p>
            <w:pPr>
              <w:pStyle w:val="TableParagraph"/>
              <w:spacing w:before="4"/>
              <w:ind w:left="0"/>
              <w:rPr>
                <w:rFonts w:ascii="Times New Roman"/>
                <w:sz w:val="23"/>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428" w:hRule="atLeast"/>
        </w:trPr>
        <w:tc>
          <w:tcPr>
            <w:tcW w:w="2062" w:type="dxa"/>
          </w:tcPr>
          <w:p>
            <w:pPr>
              <w:pStyle w:val="TableParagraph"/>
              <w:rPr>
                <w:sz w:val="22"/>
              </w:rPr>
            </w:pPr>
            <w:r>
              <w:rPr>
                <w:rFonts w:ascii="Cambria"/>
                <w:sz w:val="22"/>
              </w:rPr>
              <w:t>r2 </w:t>
            </w:r>
            <w:r>
              <w:rPr>
                <w:sz w:val="22"/>
              </w:rPr>
              <w:t>(Input Cell 2)</w:t>
            </w:r>
          </w:p>
        </w:tc>
        <w:tc>
          <w:tcPr>
            <w:tcW w:w="8250" w:type="dxa"/>
          </w:tcPr>
          <w:p>
            <w:pPr>
              <w:pStyle w:val="TableParagraph"/>
              <w:ind w:right="568"/>
              <w:rPr>
                <w:sz w:val="22"/>
              </w:rPr>
            </w:pPr>
            <w:r>
              <w:rPr>
                <w:sz w:val="22"/>
              </w:rPr>
              <w:t>Second input cell for data table when </w:t>
            </w:r>
            <w:r>
              <w:rPr>
                <w:rFonts w:ascii="Cambria"/>
                <w:sz w:val="22"/>
              </w:rPr>
              <w:t>dt2D </w:t>
            </w:r>
            <w:r>
              <w:rPr>
                <w:sz w:val="22"/>
              </w:rPr>
              <w:t>is 1. Only applies to the data tables array function "TABLE()".Written on master cell of data table formula only.</w:t>
            </w:r>
          </w:p>
          <w:p>
            <w:pPr>
              <w:pStyle w:val="TableParagraph"/>
              <w:spacing w:before="7"/>
              <w:ind w:left="0"/>
              <w:rPr>
                <w:rFonts w:ascii="Times New Roman"/>
                <w:sz w:val="23"/>
              </w:rPr>
            </w:pPr>
          </w:p>
          <w:p>
            <w:pPr>
              <w:pStyle w:val="TableParagraph"/>
              <w:spacing w:line="237" w:lineRule="auto"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430" w:hRule="atLeast"/>
        </w:trPr>
        <w:tc>
          <w:tcPr>
            <w:tcW w:w="2062" w:type="dxa"/>
          </w:tcPr>
          <w:p>
            <w:pPr>
              <w:pStyle w:val="TableParagraph"/>
              <w:rPr>
                <w:sz w:val="22"/>
              </w:rPr>
            </w:pPr>
            <w:r>
              <w:rPr>
                <w:rFonts w:ascii="Cambria"/>
                <w:sz w:val="22"/>
              </w:rPr>
              <w:t>ref </w:t>
            </w:r>
            <w:r>
              <w:rPr>
                <w:sz w:val="22"/>
              </w:rPr>
              <w:t>(Range of Cells)</w:t>
            </w:r>
          </w:p>
        </w:tc>
        <w:tc>
          <w:tcPr>
            <w:tcW w:w="8250" w:type="dxa"/>
          </w:tcPr>
          <w:p>
            <w:pPr>
              <w:pStyle w:val="TableParagraph"/>
              <w:ind w:right="569"/>
              <w:rPr>
                <w:sz w:val="22"/>
              </w:rPr>
            </w:pPr>
            <w:r>
              <w:rPr>
                <w:sz w:val="22"/>
              </w:rPr>
              <w:t>Range of cells which the formula applies to. Only required for shared formula, array formula or data table. Only written on the master formula, not subsequent formulas belonging to the same shared group, array, or data table.</w:t>
            </w:r>
          </w:p>
          <w:p>
            <w:pPr>
              <w:pStyle w:val="TableParagraph"/>
              <w:spacing w:before="4"/>
              <w:ind w:left="0"/>
              <w:rPr>
                <w:rFonts w:ascii="Times New Roman"/>
                <w:sz w:val="23"/>
              </w:rPr>
            </w:pPr>
          </w:p>
          <w:p>
            <w:pPr>
              <w:pStyle w:val="TableParagraph"/>
              <w:spacing w:before="1"/>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6264" w:hRule="atLeast"/>
        </w:trPr>
        <w:tc>
          <w:tcPr>
            <w:tcW w:w="2062" w:type="dxa"/>
          </w:tcPr>
          <w:p>
            <w:pPr>
              <w:pStyle w:val="TableParagraph"/>
              <w:ind w:right="409"/>
              <w:rPr>
                <w:sz w:val="22"/>
              </w:rPr>
            </w:pPr>
            <w:r>
              <w:rPr>
                <w:rFonts w:ascii="Cambria"/>
                <w:sz w:val="22"/>
              </w:rPr>
              <w:t>si </w:t>
            </w:r>
            <w:r>
              <w:rPr>
                <w:sz w:val="22"/>
              </w:rPr>
              <w:t>(Shared Group Index)</w:t>
            </w:r>
          </w:p>
        </w:tc>
        <w:tc>
          <w:tcPr>
            <w:tcW w:w="8250" w:type="dxa"/>
          </w:tcPr>
          <w:p>
            <w:pPr>
              <w:pStyle w:val="TableParagraph"/>
              <w:rPr>
                <w:sz w:val="22"/>
              </w:rPr>
            </w:pPr>
            <w:r>
              <w:rPr>
                <w:sz w:val="22"/>
              </w:rPr>
              <w:t>Optional attribute to optimize load performance by sharing formulas.</w:t>
            </w:r>
          </w:p>
          <w:p>
            <w:pPr>
              <w:pStyle w:val="TableParagraph"/>
              <w:spacing w:before="4"/>
              <w:ind w:left="0"/>
              <w:rPr>
                <w:rFonts w:ascii="Times New Roman"/>
                <w:sz w:val="23"/>
              </w:rPr>
            </w:pPr>
          </w:p>
          <w:p>
            <w:pPr>
              <w:pStyle w:val="TableParagraph"/>
              <w:spacing w:before="1"/>
              <w:ind w:right="247"/>
              <w:rPr>
                <w:sz w:val="22"/>
              </w:rPr>
            </w:pPr>
            <w:r>
              <w:rPr>
                <w:sz w:val="22"/>
              </w:rPr>
              <w:t>When a formula is a shared formula (</w:t>
            </w:r>
            <w:r>
              <w:rPr>
                <w:rFonts w:ascii="Cambria"/>
                <w:sz w:val="22"/>
              </w:rPr>
              <w:t>t </w:t>
            </w:r>
            <w:r>
              <w:rPr>
                <w:sz w:val="22"/>
              </w:rPr>
              <w:t>value is </w:t>
            </w:r>
            <w:r>
              <w:rPr>
                <w:rFonts w:ascii="Consolas"/>
                <w:sz w:val="20"/>
              </w:rPr>
              <w:t>shared</w:t>
            </w:r>
            <w:r>
              <w:rPr>
                <w:sz w:val="22"/>
              </w:rPr>
              <w:t>) then this value indicates the group to which this particular cell's formula belongs. The first formula in a group of shared formulas is saved in the </w:t>
            </w:r>
            <w:r>
              <w:rPr>
                <w:rFonts w:ascii="Cambria"/>
                <w:sz w:val="22"/>
              </w:rPr>
              <w:t>f </w:t>
            </w:r>
            <w:r>
              <w:rPr>
                <w:sz w:val="22"/>
              </w:rPr>
              <w:t>element. This is considered the 'master' formula cell. Subsequent cells sharing this formula need not have the formula written in their </w:t>
            </w:r>
            <w:r>
              <w:rPr>
                <w:rFonts w:ascii="Cambria"/>
                <w:sz w:val="22"/>
              </w:rPr>
              <w:t>f </w:t>
            </w:r>
            <w:r>
              <w:rPr>
                <w:sz w:val="22"/>
              </w:rPr>
              <w:t>element. Instead, the attribute </w:t>
            </w:r>
            <w:r>
              <w:rPr>
                <w:rFonts w:ascii="Cambria"/>
                <w:sz w:val="22"/>
              </w:rPr>
              <w:t>si </w:t>
            </w:r>
            <w:r>
              <w:rPr>
                <w:sz w:val="22"/>
              </w:rPr>
              <w:t>value for a particular cell is used to figure what the formula expression should be based on the cell's relative location to the master formula cell.</w:t>
            </w:r>
          </w:p>
          <w:p>
            <w:pPr>
              <w:pStyle w:val="TableParagraph"/>
              <w:spacing w:before="3"/>
              <w:ind w:left="0"/>
              <w:rPr>
                <w:rFonts w:ascii="Times New Roman"/>
                <w:sz w:val="23"/>
              </w:rPr>
            </w:pPr>
          </w:p>
          <w:p>
            <w:pPr>
              <w:pStyle w:val="TableParagraph"/>
              <w:spacing w:before="0"/>
              <w:ind w:right="353"/>
              <w:rPr>
                <w:sz w:val="22"/>
              </w:rPr>
            </w:pPr>
            <w:r>
              <w:rPr>
                <w:sz w:val="22"/>
              </w:rPr>
              <w:t>A cell is shared only when </w:t>
            </w:r>
            <w:r>
              <w:rPr>
                <w:rFonts w:ascii="Cambria"/>
                <w:sz w:val="22"/>
              </w:rPr>
              <w:t>si </w:t>
            </w:r>
            <w:r>
              <w:rPr>
                <w:sz w:val="22"/>
              </w:rPr>
              <w:t>is used and </w:t>
            </w:r>
            <w:r>
              <w:rPr>
                <w:rFonts w:ascii="Cambria"/>
                <w:sz w:val="22"/>
              </w:rPr>
              <w:t>t </w:t>
            </w:r>
            <w:r>
              <w:rPr>
                <w:sz w:val="22"/>
              </w:rPr>
              <w:t>is </w:t>
            </w:r>
            <w:r>
              <w:rPr>
                <w:rFonts w:ascii="Consolas"/>
                <w:sz w:val="20"/>
              </w:rPr>
              <w:t>shared</w:t>
            </w:r>
            <w:r>
              <w:rPr>
                <w:sz w:val="22"/>
              </w:rPr>
              <w:t>. The formula expression for a cell that is specified to be part of a shared formula (and is not the master) shall be ignored, and the master formula shall override.</w:t>
            </w:r>
          </w:p>
          <w:p>
            <w:pPr>
              <w:pStyle w:val="TableParagraph"/>
              <w:spacing w:before="3"/>
              <w:ind w:left="0"/>
              <w:rPr>
                <w:rFonts w:ascii="Times New Roman"/>
                <w:sz w:val="23"/>
              </w:rPr>
            </w:pPr>
          </w:p>
          <w:p>
            <w:pPr>
              <w:pStyle w:val="TableParagraph"/>
              <w:spacing w:before="0"/>
              <w:ind w:right="463"/>
              <w:rPr>
                <w:sz w:val="22"/>
              </w:rPr>
            </w:pPr>
            <w:r>
              <w:rPr>
                <w:sz w:val="22"/>
              </w:rPr>
              <w:t>If a master cell of a shared formula range specifies that a particular cell is part of the shared formula range, and that particular cell does not use the si and t attributes to indicate that it is shared, then the particular cell's formula shall override the shared master formula. If this cell occurs in the middle of a range of shared formula cells, the earlier and later formulas shall continue sharing the master formula, and the cell in question shall not share the formula of the master cell formula.</w:t>
            </w:r>
          </w:p>
          <w:p>
            <w:pPr>
              <w:pStyle w:val="TableParagraph"/>
              <w:spacing w:before="6"/>
              <w:ind w:left="0"/>
              <w:rPr>
                <w:rFonts w:ascii="Times New Roman"/>
                <w:sz w:val="23"/>
              </w:rPr>
            </w:pPr>
          </w:p>
          <w:p>
            <w:pPr>
              <w:pStyle w:val="TableParagraph"/>
              <w:spacing w:before="0"/>
              <w:rPr>
                <w:sz w:val="22"/>
              </w:rPr>
            </w:pPr>
            <w:r>
              <w:rPr>
                <w:sz w:val="22"/>
              </w:rPr>
              <w:t>Loading and handling of a cell and formula using an </w:t>
            </w:r>
            <w:r>
              <w:rPr>
                <w:rFonts w:ascii="Cambria"/>
                <w:sz w:val="22"/>
              </w:rPr>
              <w:t>si </w:t>
            </w:r>
            <w:r>
              <w:rPr>
                <w:sz w:val="22"/>
              </w:rPr>
              <w:t>attribute and whose </w:t>
            </w:r>
            <w:r>
              <w:rPr>
                <w:rFonts w:ascii="Cambria"/>
                <w:sz w:val="22"/>
              </w:rPr>
              <w:t>t </w:t>
            </w:r>
            <w:r>
              <w:rPr>
                <w:sz w:val="22"/>
              </w:rPr>
              <w:t>value</w:t>
            </w:r>
            <w:r>
              <w:rPr>
                <w:spacing w:val="-17"/>
                <w:sz w:val="22"/>
              </w:rPr>
              <w:t> </w:t>
            </w:r>
            <w:r>
              <w:rPr>
                <w:sz w:val="22"/>
              </w:rPr>
              <w:t>is</w:t>
            </w:r>
          </w:p>
          <w:p>
            <w:pPr>
              <w:pStyle w:val="TableParagraph"/>
              <w:spacing w:before="0"/>
              <w:rPr>
                <w:rFonts w:ascii="Cambria"/>
                <w:sz w:val="22"/>
              </w:rPr>
            </w:pPr>
            <w:r>
              <w:rPr>
                <w:rFonts w:ascii="Consolas"/>
                <w:sz w:val="20"/>
              </w:rPr>
              <w:t>shared</w:t>
            </w:r>
            <w:r>
              <w:rPr>
                <w:sz w:val="22"/>
              </w:rPr>
              <w:t>, located outside the range specified in the master cell associated with the</w:t>
            </w:r>
            <w:r>
              <w:rPr>
                <w:spacing w:val="-28"/>
                <w:sz w:val="22"/>
              </w:rPr>
              <w:t> </w:t>
            </w:r>
            <w:r>
              <w:rPr>
                <w:rFonts w:ascii="Cambria"/>
                <w:sz w:val="22"/>
              </w:rPr>
              <w:t>si</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group, is implementation defined.</w:t>
            </w:r>
          </w:p>
          <w:p>
            <w:pPr>
              <w:pStyle w:val="TableParagraph"/>
              <w:spacing w:before="4"/>
              <w:ind w:left="0"/>
              <w:rPr>
                <w:rFonts w:ascii="Times New Roman"/>
                <w:sz w:val="23"/>
              </w:rPr>
            </w:pPr>
          </w:p>
          <w:p>
            <w:pPr>
              <w:pStyle w:val="TableParagraph"/>
              <w:spacing w:before="0"/>
              <w:rPr>
                <w:sz w:val="22"/>
              </w:rPr>
            </w:pPr>
            <w:r>
              <w:rPr>
                <w:sz w:val="22"/>
              </w:rPr>
              <w:t>Master cell references on the same sheet shall not overlap with each other.</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t </w:t>
            </w:r>
            <w:r>
              <w:rPr>
                <w:sz w:val="22"/>
              </w:rPr>
              <w:t>(Formula Type)</w:t>
            </w:r>
          </w:p>
        </w:tc>
        <w:tc>
          <w:tcPr>
            <w:tcW w:w="8250" w:type="dxa"/>
          </w:tcPr>
          <w:p>
            <w:pPr>
              <w:pStyle w:val="TableParagraph"/>
              <w:rPr>
                <w:sz w:val="22"/>
              </w:rPr>
            </w:pPr>
            <w:r>
              <w:rPr>
                <w:sz w:val="22"/>
              </w:rPr>
              <w:t>Type of formula.</w:t>
            </w:r>
          </w:p>
          <w:p>
            <w:pPr>
              <w:pStyle w:val="TableParagraph"/>
              <w:spacing w:before="4"/>
              <w:ind w:left="0"/>
              <w:rPr>
                <w:rFonts w:ascii="Times New Roman"/>
                <w:sz w:val="23"/>
              </w:rPr>
            </w:pPr>
          </w:p>
          <w:p>
            <w:pPr>
              <w:pStyle w:val="TableParagraph"/>
              <w:spacing w:before="0"/>
              <w:ind w:right="534"/>
              <w:rPr>
                <w:sz w:val="22"/>
              </w:rPr>
            </w:pPr>
            <w:r>
              <w:rPr>
                <w:sz w:val="22"/>
              </w:rPr>
              <w:t>The possible values for this attribute are defined by the </w:t>
            </w:r>
            <w:r>
              <w:rPr>
                <w:rFonts w:ascii="Cambria" w:hAnsi="Cambria"/>
                <w:sz w:val="22"/>
              </w:rPr>
              <w:t>ST_CellFormulaType </w:t>
            </w:r>
            <w:r>
              <w:rPr>
                <w:sz w:val="22"/>
              </w:rPr>
              <w:t>simple type (§</w:t>
            </w:r>
            <w:hyperlink w:history="true" w:anchor="_bookmark828">
              <w:r>
                <w:rPr>
                  <w:sz w:val="22"/>
                </w:rPr>
                <w:t>18.18.6</w:t>
              </w:r>
            </w:hyperlink>
            <w:r>
              <w:rPr>
                <w:sz w:val="22"/>
              </w:rPr>
              <w:t>).</w:t>
            </w:r>
          </w:p>
        </w:tc>
      </w:tr>
      <w:tr>
        <w:trPr>
          <w:trHeight w:val="2234" w:hRule="atLeast"/>
        </w:trPr>
        <w:tc>
          <w:tcPr>
            <w:tcW w:w="2062" w:type="dxa"/>
          </w:tcPr>
          <w:p>
            <w:pPr>
              <w:pStyle w:val="TableParagraph"/>
              <w:ind w:right="158"/>
              <w:jc w:val="both"/>
              <w:rPr>
                <w:sz w:val="22"/>
              </w:rPr>
            </w:pPr>
            <w:r>
              <w:rPr>
                <w:rFonts w:ascii="Cambria"/>
                <w:sz w:val="22"/>
              </w:rPr>
              <w:t>xml:space </w:t>
            </w:r>
            <w:r>
              <w:rPr>
                <w:sz w:val="22"/>
              </w:rPr>
              <w:t>(Content Contains Significant Whitespace)</w:t>
            </w:r>
          </w:p>
          <w:p>
            <w:pPr>
              <w:pStyle w:val="TableParagraph"/>
              <w:spacing w:before="3"/>
              <w:ind w:left="0"/>
              <w:rPr>
                <w:rFonts w:ascii="Times New Roman"/>
                <w:sz w:val="23"/>
              </w:rPr>
            </w:pPr>
          </w:p>
          <w:p>
            <w:pPr>
              <w:pStyle w:val="TableParagraph"/>
              <w:spacing w:before="0"/>
              <w:ind w:right="161"/>
              <w:rPr>
                <w:sz w:val="22"/>
              </w:rPr>
            </w:pPr>
            <w:r>
              <w:rPr>
                <w:sz w:val="22"/>
              </w:rPr>
              <w:t>Namespace: </w:t>
            </w:r>
            <w:hyperlink r:id="rId13">
              <w:r>
                <w:rPr>
                  <w:color w:val="5F5F5F"/>
                  <w:sz w:val="22"/>
                  <w:u w:val="single" w:color="5F5F5F"/>
                </w:rPr>
                <w:t>http://www.w3.org</w:t>
              </w:r>
            </w:hyperlink>
          </w:p>
          <w:p>
            <w:pPr>
              <w:pStyle w:val="TableParagraph"/>
              <w:spacing w:before="0"/>
              <w:ind w:right="113"/>
              <w:rPr>
                <w:sz w:val="22"/>
              </w:rPr>
            </w:pPr>
            <w:hyperlink r:id="rId13">
              <w:r>
                <w:rPr>
                  <w:color w:val="5F5F5F"/>
                  <w:sz w:val="22"/>
                  <w:u w:val="single" w:color="5F5F5F"/>
                </w:rPr>
                <w:t>/XML/1998/namesp</w:t>
              </w:r>
            </w:hyperlink>
            <w:r>
              <w:rPr>
                <w:color w:val="5F5F5F"/>
                <w:sz w:val="22"/>
              </w:rPr>
              <w:t> </w:t>
            </w:r>
            <w:hyperlink r:id="rId13">
              <w:r>
                <w:rPr>
                  <w:color w:val="5F5F5F"/>
                  <w:sz w:val="22"/>
                  <w:u w:val="single" w:color="5F5F5F"/>
                </w:rPr>
                <w:t>ace</w:t>
              </w:r>
            </w:hyperlink>
          </w:p>
        </w:tc>
        <w:tc>
          <w:tcPr>
            <w:tcW w:w="8250" w:type="dxa"/>
          </w:tcPr>
          <w:p>
            <w:pPr>
              <w:pStyle w:val="TableParagraph"/>
              <w:ind w:right="304"/>
              <w:rPr>
                <w:sz w:val="22"/>
              </w:rPr>
            </w:pPr>
            <w:r>
              <w:rPr>
                <w:sz w:val="22"/>
              </w:rPr>
              <w:t>Specifies how white space should be handled for the contents of this element using the W3C space preservation rules.</w:t>
            </w:r>
          </w:p>
          <w:p>
            <w:pPr>
              <w:pStyle w:val="TableParagraph"/>
              <w:spacing w:before="5"/>
              <w:ind w:left="0"/>
              <w:rPr>
                <w:rFonts w:ascii="Times New Roman"/>
                <w:sz w:val="23"/>
              </w:rPr>
            </w:pPr>
          </w:p>
          <w:p>
            <w:pPr>
              <w:pStyle w:val="TableParagraph"/>
              <w:spacing w:before="0"/>
              <w:rPr>
                <w:sz w:val="22"/>
              </w:rPr>
            </w:pPr>
            <w:r>
              <w:rPr>
                <w:sz w:val="22"/>
              </w:rPr>
              <w:t>The possible values for this attribute are defined by §2.10 of the XML 1.0 specification.</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6"/>
        <w:ind w:left="220" w:right="416"/>
      </w:pPr>
      <w:r>
        <w:rPr/>
        <w:t>[</w:t>
      </w:r>
      <w:r>
        <w:rPr>
          <w:i/>
        </w:rPr>
        <w:t>Note</w:t>
      </w:r>
      <w:r>
        <w:rPr/>
        <w:t>: The W3C XML Schema definition of this element’s content model (</w:t>
      </w:r>
      <w:r>
        <w:rPr>
          <w:color w:val="5F5F5F"/>
          <w:u w:val="single" w:color="5F5F5F"/>
        </w:rPr>
        <w:t>CT_CellFormula</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1 firstFooter (First Page Footer" w:id="224"/>
      <w:bookmarkEnd w:id="224"/>
      <w:r>
        <w:rPr/>
      </w:r>
      <w:bookmarkStart w:name="_bookmark73" w:id="225"/>
      <w:bookmarkEnd w:id="225"/>
      <w:r>
        <w:rPr/>
      </w:r>
      <w:bookmarkStart w:name="_bookmark73" w:id="226"/>
      <w:bookmarkEnd w:id="226"/>
      <w:r>
        <w:rPr>
          <w:color w:val="4F81BC"/>
        </w:rPr>
        <w:t>fi</w:t>
      </w:r>
      <w:r>
        <w:rPr>
          <w:color w:val="4F81BC"/>
        </w:rPr>
        <w:t>rstFooter (First Page</w:t>
      </w:r>
      <w:r>
        <w:rPr>
          <w:color w:val="4F81BC"/>
          <w:spacing w:val="-2"/>
        </w:rPr>
        <w:t> </w:t>
      </w:r>
      <w:r>
        <w:rPr>
          <w:color w:val="4F81BC"/>
        </w:rPr>
        <w:t>Footer)</w:t>
      </w:r>
    </w:p>
    <w:p>
      <w:pPr>
        <w:pStyle w:val="BodyText"/>
        <w:spacing w:line="276" w:lineRule="auto" w:before="119"/>
        <w:ind w:left="220" w:right="412"/>
      </w:pPr>
      <w:r>
        <w:rPr/>
        <w:t>Specifies the contents of the footer used on the first page. Only used when </w:t>
      </w:r>
      <w:r>
        <w:rPr>
          <w:rFonts w:ascii="Consolas"/>
        </w:rPr>
        <w:t>headerFooter@differentFirst </w:t>
      </w:r>
      <w:r>
        <w:rPr/>
        <w:t>is '1'. [</w:t>
      </w:r>
      <w:r>
        <w:rPr>
          <w:i/>
        </w:rPr>
        <w:t>Note</w:t>
      </w:r>
      <w:r>
        <w:rPr/>
        <w:t>:The first logical page in the sheet cannot be printed if the print area is specified to be a range such that it falls outside the first page's scope. </w:t>
      </w:r>
      <w:r>
        <w:rPr>
          <w:i/>
        </w:rPr>
        <w:t>end note</w:t>
      </w:r>
      <w:r>
        <w:rPr/>
        <w:t>]</w:t>
      </w:r>
    </w:p>
    <w:p>
      <w:pPr>
        <w:pStyle w:val="BodyText"/>
        <w:spacing w:before="6"/>
        <w:rPr>
          <w:sz w:val="16"/>
        </w:rPr>
      </w:pPr>
    </w:p>
    <w:p>
      <w:pPr>
        <w:pStyle w:val="BodyText"/>
        <w:ind w:left="220"/>
      </w:pPr>
      <w:r>
        <w:rPr/>
        <w:t>The format of a footer is defined in §18.3.1.46.</w:t>
      </w:r>
    </w:p>
    <w:p>
      <w:pPr>
        <w:pStyle w:val="BodyText"/>
        <w:spacing w:before="9"/>
        <w:rPr>
          <w:sz w:val="19"/>
        </w:rPr>
      </w:pPr>
    </w:p>
    <w:p>
      <w:pPr>
        <w:pStyle w:val="BodyText"/>
        <w:ind w:left="220"/>
      </w:pPr>
      <w:r>
        <w:rPr/>
        <w:t>The possible values for this element are defined by the </w:t>
      </w:r>
      <w:r>
        <w:rPr>
          <w:rFonts w:ascii="Cambria" w:hAnsi="Cambria"/>
        </w:rPr>
        <w:t>ST_Xstring </w:t>
      </w:r>
      <w:r>
        <w:rPr/>
        <w:t>simple type (§22.9.2.19).</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0"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9"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1" w:hRule="atLeast"/>
        </w:trPr>
        <w:tc>
          <w:tcPr>
            <w:tcW w:w="2062" w:type="dxa"/>
            <w:tcBorders>
              <w:top w:val="nil"/>
              <w:bottom w:val="nil"/>
            </w:tcBorders>
          </w:tcPr>
          <w:p>
            <w:pPr>
              <w:pStyle w:val="TableParagraph"/>
              <w:spacing w:before="0"/>
              <w:rPr>
                <w:sz w:val="22"/>
              </w:rPr>
            </w:pPr>
            <w:r>
              <w:rPr>
                <w:sz w:val="22"/>
              </w:rPr>
              <w:t>Contains Significant</w:t>
            </w:r>
          </w:p>
        </w:tc>
        <w:tc>
          <w:tcPr>
            <w:tcW w:w="8250" w:type="dxa"/>
            <w:tcBorders>
              <w:top w:val="nil"/>
              <w:bottom w:val="nil"/>
            </w:tcBorders>
          </w:tcPr>
          <w:p>
            <w:pPr>
              <w:pStyle w:val="TableParagraph"/>
              <w:spacing w:before="3"/>
              <w:rPr>
                <w:sz w:val="22"/>
              </w:rPr>
            </w:pPr>
            <w:r>
              <w:rPr>
                <w:sz w:val="22"/>
              </w:rPr>
              <w:t>W3C space preservation rules.</w:t>
            </w:r>
          </w:p>
        </w:tc>
      </w:tr>
      <w:tr>
        <w:trPr>
          <w:trHeight w:val="508"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5"/>
              <w:ind w:left="0"/>
              <w:rPr>
                <w:sz w:val="16"/>
              </w:rPr>
            </w:pPr>
          </w:p>
          <w:p>
            <w:pPr>
              <w:pStyle w:val="TableParagraph"/>
              <w:spacing w:before="0"/>
              <w:rPr>
                <w:sz w:val="22"/>
              </w:rPr>
            </w:pPr>
            <w:r>
              <w:rPr>
                <w:sz w:val="22"/>
              </w:rPr>
              <w:t>The possible values for this attribute are defined by §2.10 of the XML 1.0 specification.</w:t>
            </w:r>
          </w:p>
        </w:tc>
      </w:tr>
      <w:tr>
        <w:trPr>
          <w:trHeight w:val="1442"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3" w:footer="746" w:top="1340" w:bottom="940" w:left="860" w:right="700"/>
        </w:sectPr>
      </w:pPr>
    </w:p>
    <w:p>
      <w:pPr>
        <w:pStyle w:val="BodyText"/>
        <w:spacing w:line="278" w:lineRule="auto" w:before="90"/>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42 firstHeader (First Page Header" w:id="227"/>
      <w:bookmarkEnd w:id="227"/>
      <w:r>
        <w:rPr/>
      </w:r>
      <w:bookmarkStart w:name="_bookmark74" w:id="228"/>
      <w:bookmarkEnd w:id="228"/>
      <w:r>
        <w:rPr/>
      </w:r>
      <w:bookmarkStart w:name="_bookmark74" w:id="229"/>
      <w:bookmarkEnd w:id="229"/>
      <w:r>
        <w:rPr>
          <w:color w:val="4F81BC"/>
        </w:rPr>
        <w:t>fi</w:t>
      </w:r>
      <w:r>
        <w:rPr>
          <w:color w:val="4F81BC"/>
        </w:rPr>
        <w:t>rstHeader (First Page</w:t>
      </w:r>
      <w:r>
        <w:rPr>
          <w:color w:val="4F81BC"/>
          <w:spacing w:val="-2"/>
        </w:rPr>
        <w:t> </w:t>
      </w:r>
      <w:r>
        <w:rPr>
          <w:color w:val="4F81BC"/>
        </w:rPr>
        <w:t>Header)</w:t>
      </w:r>
    </w:p>
    <w:p>
      <w:pPr>
        <w:pStyle w:val="BodyText"/>
        <w:spacing w:line="276" w:lineRule="auto" w:before="118"/>
        <w:ind w:left="220" w:right="362"/>
      </w:pPr>
      <w:r>
        <w:rPr/>
        <w:t>Specifies the contents of the header used on the first page. Only used when </w:t>
      </w:r>
      <w:r>
        <w:rPr>
          <w:rFonts w:ascii="Consolas"/>
        </w:rPr>
        <w:t>headerFooter@differentFirst </w:t>
      </w:r>
      <w:r>
        <w:rPr/>
        <w:t>is 1. [</w:t>
      </w:r>
      <w:r>
        <w:rPr>
          <w:i/>
        </w:rPr>
        <w:t>Note</w:t>
      </w:r>
      <w:r>
        <w:rPr/>
        <w:t>: The first logical page in the sheet cannot be printed if the print area is specified to be a range such that it falls outside the first page's scope. </w:t>
      </w:r>
      <w:r>
        <w:rPr>
          <w:i/>
        </w:rPr>
        <w:t>end note</w:t>
      </w:r>
      <w:r>
        <w:rPr/>
        <w:t>]</w:t>
      </w:r>
    </w:p>
    <w:p>
      <w:pPr>
        <w:pStyle w:val="BodyText"/>
        <w:spacing w:before="6"/>
        <w:rPr>
          <w:sz w:val="16"/>
        </w:rPr>
      </w:pPr>
    </w:p>
    <w:p>
      <w:pPr>
        <w:pStyle w:val="BodyText"/>
        <w:spacing w:before="1"/>
        <w:ind w:left="220"/>
      </w:pPr>
      <w:r>
        <w:rPr/>
        <w:t>The format of a header is defined in </w:t>
      </w:r>
      <w:hyperlink w:history="true" w:anchor="_bookmark78">
        <w:r>
          <w:rPr/>
          <w:t>§18.3.1.46</w:t>
        </w:r>
      </w:hyperlink>
      <w:r>
        <w:rPr/>
        <w:t>.</w:t>
      </w:r>
    </w:p>
    <w:p>
      <w:pPr>
        <w:pStyle w:val="BodyText"/>
        <w:spacing w:before="8"/>
        <w:rPr>
          <w:sz w:val="19"/>
        </w:rPr>
      </w:pPr>
    </w:p>
    <w:p>
      <w:pPr>
        <w:pStyle w:val="BodyText"/>
        <w:ind w:left="220"/>
      </w:pPr>
      <w:r>
        <w:rPr/>
        <w:t>The possible values for this element are defined by the </w:t>
      </w:r>
      <w:r>
        <w:rPr>
          <w:rFonts w:ascii="Cambria" w:hAnsi="Cambria"/>
        </w:rPr>
        <w:t>ST_Xstring </w:t>
      </w:r>
      <w:r>
        <w:rPr/>
        <w:t>simple type (§22.9.2.19).</w:t>
      </w:r>
    </w:p>
    <w:p>
      <w:pPr>
        <w:spacing w:after="0"/>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1"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7"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0" w:hRule="atLeast"/>
        </w:trPr>
        <w:tc>
          <w:tcPr>
            <w:tcW w:w="2062" w:type="dxa"/>
            <w:tcBorders>
              <w:top w:val="nil"/>
              <w:bottom w:val="nil"/>
            </w:tcBorders>
          </w:tcPr>
          <w:p>
            <w:pPr>
              <w:pStyle w:val="TableParagraph"/>
              <w:spacing w:line="268" w:lineRule="exact" w:before="0"/>
              <w:rPr>
                <w:sz w:val="22"/>
              </w:rPr>
            </w:pPr>
            <w:r>
              <w:rPr>
                <w:sz w:val="22"/>
              </w:rPr>
              <w:t>Contains Significant</w:t>
            </w:r>
          </w:p>
        </w:tc>
        <w:tc>
          <w:tcPr>
            <w:tcW w:w="8250" w:type="dxa"/>
            <w:tcBorders>
              <w:top w:val="nil"/>
              <w:bottom w:val="nil"/>
            </w:tcBorders>
          </w:tcPr>
          <w:p>
            <w:pPr>
              <w:pStyle w:val="TableParagraph"/>
              <w:spacing w:before="1"/>
              <w:rPr>
                <w:sz w:val="22"/>
              </w:rPr>
            </w:pPr>
            <w:r>
              <w:rPr>
                <w:sz w:val="22"/>
              </w:rPr>
              <w:t>W3C space preservation rules.</w:t>
            </w:r>
          </w:p>
        </w:tc>
      </w:tr>
      <w:tr>
        <w:trPr>
          <w:trHeight w:val="507"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4"/>
              <w:ind w:left="0"/>
              <w:rPr>
                <w:sz w:val="16"/>
              </w:rPr>
            </w:pPr>
          </w:p>
          <w:p>
            <w:pPr>
              <w:pStyle w:val="TableParagraph"/>
              <w:spacing w:before="0"/>
              <w:rPr>
                <w:sz w:val="22"/>
              </w:rPr>
            </w:pPr>
            <w:r>
              <w:rPr>
                <w:sz w:val="22"/>
              </w:rPr>
              <w:t>The possible values for this attribute are defined by §2.10 of the XML 1.0 specification.</w:t>
            </w:r>
          </w:p>
        </w:tc>
      </w:tr>
      <w:tr>
        <w:trPr>
          <w:trHeight w:val="1444"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6"/>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43 formula (Formula)" w:id="230"/>
      <w:bookmarkEnd w:id="230"/>
      <w:r>
        <w:rPr/>
      </w:r>
      <w:bookmarkStart w:name="_bookmark75" w:id="231"/>
      <w:bookmarkEnd w:id="231"/>
      <w:r>
        <w:rPr/>
      </w:r>
      <w:bookmarkStart w:name="_bookmark75" w:id="232"/>
      <w:bookmarkEnd w:id="232"/>
      <w:r>
        <w:rPr>
          <w:color w:val="4F81BC"/>
        </w:rPr>
        <w:t>f</w:t>
      </w:r>
      <w:r>
        <w:rPr>
          <w:color w:val="4F81BC"/>
        </w:rPr>
        <w:t>ormula</w:t>
      </w:r>
      <w:r>
        <w:rPr>
          <w:color w:val="4F81BC"/>
          <w:spacing w:val="-1"/>
        </w:rPr>
        <w:t> </w:t>
      </w:r>
      <w:r>
        <w:rPr>
          <w:color w:val="4F81BC"/>
        </w:rPr>
        <w:t>(Formula)</w:t>
      </w:r>
    </w:p>
    <w:p>
      <w:pPr>
        <w:pStyle w:val="BodyText"/>
        <w:spacing w:line="278" w:lineRule="auto" w:before="118"/>
        <w:ind w:left="220" w:right="1172"/>
      </w:pPr>
      <w:r>
        <w:rPr/>
        <w:t>The content of this element is a formula whose calculated value specifies the criteria for the conditional formatting rule.</w:t>
      </w:r>
    </w:p>
    <w:p>
      <w:pPr>
        <w:pStyle w:val="BodyText"/>
        <w:spacing w:before="3"/>
        <w:rPr>
          <w:sz w:val="16"/>
        </w:rPr>
      </w:pPr>
    </w:p>
    <w:p>
      <w:pPr>
        <w:pStyle w:val="BodyText"/>
        <w:ind w:left="220"/>
      </w:pPr>
      <w:r>
        <w:rPr/>
        <w:t>The possible values for this element are defined by the </w:t>
      </w:r>
      <w:r>
        <w:rPr>
          <w:rFonts w:ascii="Cambria" w:hAnsi="Cambria"/>
        </w:rPr>
        <w:t>ST_Formula </w:t>
      </w:r>
      <w:r>
        <w:rPr/>
        <w:t>simple type (</w:t>
      </w:r>
      <w:hyperlink w:history="true" w:anchor="_bookmark857">
        <w:r>
          <w:rPr/>
          <w:t>§18.18.35</w:t>
        </w:r>
      </w:hyperlink>
      <w:r>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28"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9"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2" w:hRule="atLeast"/>
        </w:trPr>
        <w:tc>
          <w:tcPr>
            <w:tcW w:w="2062" w:type="dxa"/>
            <w:tcBorders>
              <w:top w:val="nil"/>
              <w:bottom w:val="nil"/>
            </w:tcBorders>
          </w:tcPr>
          <w:p>
            <w:pPr>
              <w:pStyle w:val="TableParagraph"/>
              <w:spacing w:before="0"/>
              <w:rPr>
                <w:sz w:val="22"/>
              </w:rPr>
            </w:pPr>
            <w:r>
              <w:rPr>
                <w:sz w:val="22"/>
              </w:rPr>
              <w:t>Contains Significant</w:t>
            </w:r>
          </w:p>
        </w:tc>
        <w:tc>
          <w:tcPr>
            <w:tcW w:w="8250" w:type="dxa"/>
            <w:tcBorders>
              <w:top w:val="nil"/>
              <w:bottom w:val="nil"/>
            </w:tcBorders>
          </w:tcPr>
          <w:p>
            <w:pPr>
              <w:pStyle w:val="TableParagraph"/>
              <w:spacing w:before="3"/>
              <w:rPr>
                <w:sz w:val="22"/>
              </w:rPr>
            </w:pPr>
            <w:r>
              <w:rPr>
                <w:sz w:val="22"/>
              </w:rPr>
              <w:t>W3C space preservation rules.</w:t>
            </w:r>
          </w:p>
        </w:tc>
      </w:tr>
      <w:tr>
        <w:trPr>
          <w:trHeight w:val="507"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4"/>
              <w:ind w:left="0"/>
              <w:rPr>
                <w:sz w:val="16"/>
              </w:rPr>
            </w:pPr>
          </w:p>
          <w:p>
            <w:pPr>
              <w:pStyle w:val="TableParagraph"/>
              <w:spacing w:before="0"/>
              <w:rPr>
                <w:sz w:val="22"/>
              </w:rPr>
            </w:pPr>
            <w:r>
              <w:rPr>
                <w:sz w:val="22"/>
              </w:rPr>
              <w:t>The possible values for this attribute are defined by §2.10 of the XML 1.0 specification.</w:t>
            </w:r>
          </w:p>
        </w:tc>
      </w:tr>
      <w:tr>
        <w:trPr>
          <w:trHeight w:val="1444"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6"/>
        </w:rPr>
      </w:pPr>
    </w:p>
    <w:p>
      <w:pPr>
        <w:pStyle w:val="BodyText"/>
        <w:spacing w:line="276" w:lineRule="auto" w:before="188"/>
        <w:ind w:left="220" w:right="760"/>
      </w:pPr>
      <w:r>
        <w:rPr/>
        <w:t>[</w:t>
      </w:r>
      <w:r>
        <w:rPr>
          <w:i/>
        </w:rPr>
        <w:t>Note</w:t>
      </w:r>
      <w:r>
        <w:rPr/>
        <w:t>: The W3C XML Schema definition of this element’s content model (</w:t>
      </w:r>
      <w:r>
        <w:rPr>
          <w:color w:val="5F5F5F"/>
          <w:u w:val="single" w:color="5F5F5F"/>
        </w:rPr>
        <w:t>ST_Formula</w:t>
      </w:r>
      <w:r>
        <w:rPr/>
        <w:t>) is located in §A.2. </w:t>
      </w:r>
      <w:r>
        <w:rPr>
          <w:i/>
        </w:rPr>
        <w:t>end </w:t>
      </w:r>
      <w:r>
        <w:rPr>
          <w:i/>
        </w:rPr>
        <w:t>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4 formula1 (Formula 1)" w:id="233"/>
      <w:bookmarkEnd w:id="233"/>
      <w:r>
        <w:rPr/>
      </w:r>
      <w:bookmarkStart w:name="_bookmark76" w:id="234"/>
      <w:bookmarkEnd w:id="234"/>
      <w:r>
        <w:rPr/>
      </w:r>
      <w:bookmarkStart w:name="_bookmark76" w:id="235"/>
      <w:bookmarkEnd w:id="235"/>
      <w:r>
        <w:rPr>
          <w:color w:val="4F81BC"/>
        </w:rPr>
        <w:t>f</w:t>
      </w:r>
      <w:r>
        <w:rPr>
          <w:color w:val="4F81BC"/>
        </w:rPr>
        <w:t>ormula1 (Formula 1)</w:t>
      </w:r>
    </w:p>
    <w:p>
      <w:pPr>
        <w:pStyle w:val="BodyText"/>
        <w:spacing w:line="278" w:lineRule="auto" w:before="119"/>
        <w:ind w:left="220" w:right="509"/>
      </w:pPr>
      <w:r>
        <w:rPr/>
        <w:t>The first formula in the Data Validation dropdown. It is used as a bounds for 'between' and 'notBetween' relational operators, and the only formula used for other relational operators (equal, notEqual, lessThan, lessThanOrEqual, greaterThan, greaterThanOrEqual), or for custom or list type data validation. The content can be a formula or a constant or a list series (comma separated values).</w:t>
      </w:r>
    </w:p>
    <w:p>
      <w:pPr>
        <w:pStyle w:val="BodyText"/>
        <w:spacing w:before="194"/>
        <w:ind w:left="220"/>
      </w:pPr>
      <w:r>
        <w:rPr/>
        <w:t>The possible values for this element are defined by the </w:t>
      </w:r>
      <w:r>
        <w:rPr>
          <w:rFonts w:ascii="Cambria" w:hAnsi="Cambria"/>
        </w:rPr>
        <w:t>ST_Formula </w:t>
      </w:r>
      <w:r>
        <w:rPr/>
        <w:t>simple type (</w:t>
      </w:r>
      <w:hyperlink w:history="true" w:anchor="_bookmark857">
        <w:r>
          <w:rPr/>
          <w:t>§18.18.35</w:t>
        </w:r>
      </w:hyperlink>
      <w:r>
        <w:rPr/>
        <w:t>).</w:t>
      </w:r>
    </w:p>
    <w:p>
      <w:pPr>
        <w:spacing w:after="0"/>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1"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7"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0" w:hRule="atLeast"/>
        </w:trPr>
        <w:tc>
          <w:tcPr>
            <w:tcW w:w="2062" w:type="dxa"/>
            <w:tcBorders>
              <w:top w:val="nil"/>
              <w:bottom w:val="nil"/>
            </w:tcBorders>
          </w:tcPr>
          <w:p>
            <w:pPr>
              <w:pStyle w:val="TableParagraph"/>
              <w:spacing w:line="268" w:lineRule="exact" w:before="0"/>
              <w:rPr>
                <w:sz w:val="22"/>
              </w:rPr>
            </w:pPr>
            <w:r>
              <w:rPr>
                <w:sz w:val="22"/>
              </w:rPr>
              <w:t>Contains Significant</w:t>
            </w:r>
          </w:p>
        </w:tc>
        <w:tc>
          <w:tcPr>
            <w:tcW w:w="8250" w:type="dxa"/>
            <w:tcBorders>
              <w:top w:val="nil"/>
              <w:bottom w:val="nil"/>
            </w:tcBorders>
          </w:tcPr>
          <w:p>
            <w:pPr>
              <w:pStyle w:val="TableParagraph"/>
              <w:spacing w:before="1"/>
              <w:rPr>
                <w:sz w:val="22"/>
              </w:rPr>
            </w:pPr>
            <w:r>
              <w:rPr>
                <w:sz w:val="22"/>
              </w:rPr>
              <w:t>W3C space preservation rules.</w:t>
            </w:r>
          </w:p>
        </w:tc>
      </w:tr>
      <w:tr>
        <w:trPr>
          <w:trHeight w:val="508"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6"/>
              <w:ind w:left="0"/>
              <w:rPr>
                <w:sz w:val="16"/>
              </w:rPr>
            </w:pPr>
          </w:p>
          <w:p>
            <w:pPr>
              <w:pStyle w:val="TableParagraph"/>
              <w:spacing w:before="1"/>
              <w:rPr>
                <w:sz w:val="22"/>
              </w:rPr>
            </w:pPr>
            <w:r>
              <w:rPr>
                <w:sz w:val="22"/>
              </w:rPr>
              <w:t>The possible values for this attribute are defined by §2.10 of the XML 1.0 specification.</w:t>
            </w:r>
          </w:p>
        </w:tc>
      </w:tr>
      <w:tr>
        <w:trPr>
          <w:trHeight w:val="1443"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6"/>
        <w:ind w:left="220" w:right="760"/>
      </w:pPr>
      <w:r>
        <w:rPr/>
        <w:t>[</w:t>
      </w:r>
      <w:r>
        <w:rPr>
          <w:i/>
        </w:rPr>
        <w:t>Note</w:t>
      </w:r>
      <w:r>
        <w:rPr/>
        <w:t>: The W3C XML Schema definition of this element’s content model (</w:t>
      </w:r>
      <w:r>
        <w:rPr>
          <w:color w:val="5F5F5F"/>
          <w:u w:val="single" w:color="5F5F5F"/>
        </w:rPr>
        <w:t>ST_Formula</w:t>
      </w:r>
      <w:r>
        <w:rPr/>
        <w:t>) is located in §A.2. </w:t>
      </w:r>
      <w:r>
        <w:rPr>
          <w:i/>
        </w:rPr>
        <w:t>end </w:t>
      </w:r>
      <w:r>
        <w:rPr>
          <w:i/>
        </w:rPr>
        <w:t>note</w:t>
      </w:r>
      <w:r>
        <w:rPr/>
        <w:t>]</w:t>
      </w:r>
    </w:p>
    <w:p>
      <w:pPr>
        <w:pStyle w:val="BodyText"/>
        <w:spacing w:before="4"/>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5 formula2 (Formula 2)" w:id="236"/>
      <w:bookmarkEnd w:id="236"/>
      <w:r>
        <w:rPr/>
      </w:r>
      <w:bookmarkStart w:name="_bookmark77" w:id="237"/>
      <w:bookmarkEnd w:id="237"/>
      <w:r>
        <w:rPr/>
      </w:r>
      <w:bookmarkStart w:name="_bookmark77" w:id="238"/>
      <w:bookmarkEnd w:id="238"/>
      <w:r>
        <w:rPr>
          <w:color w:val="4F81BC"/>
        </w:rPr>
        <w:t>f</w:t>
      </w:r>
      <w:r>
        <w:rPr>
          <w:color w:val="4F81BC"/>
        </w:rPr>
        <w:t>ormula2 (Formula 2)</w:t>
      </w:r>
    </w:p>
    <w:p>
      <w:pPr>
        <w:pStyle w:val="BodyText"/>
        <w:spacing w:line="278" w:lineRule="auto" w:before="119"/>
        <w:ind w:left="220" w:right="858"/>
      </w:pPr>
      <w:r>
        <w:rPr/>
        <w:t>The second formula in the DataValidation dropdown. It is used as a bounds for 'between' and 'notBetween' relational operators only.</w:t>
      </w:r>
    </w:p>
    <w:p>
      <w:pPr>
        <w:pStyle w:val="BodyText"/>
        <w:spacing w:before="197"/>
        <w:ind w:left="220"/>
      </w:pPr>
      <w:r>
        <w:rPr/>
        <w:t>The possible values for this element are defined by the </w:t>
      </w:r>
      <w:r>
        <w:rPr>
          <w:rFonts w:ascii="Cambria" w:hAnsi="Cambria"/>
        </w:rPr>
        <w:t>ST_Formula </w:t>
      </w:r>
      <w:r>
        <w:rPr/>
        <w:t>simple type (</w:t>
      </w:r>
      <w:hyperlink w:history="true" w:anchor="_bookmark857">
        <w:r>
          <w:rPr/>
          <w:t>§18.18.35</w:t>
        </w:r>
      </w:hyperlink>
      <w:r>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28"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9"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2" w:hRule="atLeast"/>
        </w:trPr>
        <w:tc>
          <w:tcPr>
            <w:tcW w:w="2062" w:type="dxa"/>
            <w:tcBorders>
              <w:top w:val="nil"/>
              <w:bottom w:val="nil"/>
            </w:tcBorders>
          </w:tcPr>
          <w:p>
            <w:pPr>
              <w:pStyle w:val="TableParagraph"/>
              <w:spacing w:before="0"/>
              <w:rPr>
                <w:sz w:val="22"/>
              </w:rPr>
            </w:pPr>
            <w:r>
              <w:rPr>
                <w:sz w:val="22"/>
              </w:rPr>
              <w:t>Contains Significant</w:t>
            </w:r>
          </w:p>
        </w:tc>
        <w:tc>
          <w:tcPr>
            <w:tcW w:w="8250" w:type="dxa"/>
            <w:tcBorders>
              <w:top w:val="nil"/>
              <w:bottom w:val="nil"/>
            </w:tcBorders>
          </w:tcPr>
          <w:p>
            <w:pPr>
              <w:pStyle w:val="TableParagraph"/>
              <w:spacing w:before="3"/>
              <w:rPr>
                <w:sz w:val="22"/>
              </w:rPr>
            </w:pPr>
            <w:r>
              <w:rPr>
                <w:sz w:val="22"/>
              </w:rPr>
              <w:t>W3C space preservation rules.</w:t>
            </w:r>
          </w:p>
        </w:tc>
      </w:tr>
      <w:tr>
        <w:trPr>
          <w:trHeight w:val="507"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4"/>
              <w:ind w:left="0"/>
              <w:rPr>
                <w:sz w:val="16"/>
              </w:rPr>
            </w:pPr>
          </w:p>
          <w:p>
            <w:pPr>
              <w:pStyle w:val="TableParagraph"/>
              <w:spacing w:before="1"/>
              <w:rPr>
                <w:sz w:val="22"/>
              </w:rPr>
            </w:pPr>
            <w:r>
              <w:rPr>
                <w:sz w:val="22"/>
              </w:rPr>
              <w:t>The possible values for this attribute are defined by §2.10 of the XML 1.0 specification.</w:t>
            </w:r>
          </w:p>
        </w:tc>
      </w:tr>
      <w:tr>
        <w:trPr>
          <w:trHeight w:val="1444"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6"/>
        </w:rPr>
      </w:pPr>
    </w:p>
    <w:p>
      <w:pPr>
        <w:pStyle w:val="BodyText"/>
        <w:spacing w:line="276" w:lineRule="auto" w:before="188"/>
        <w:ind w:left="220" w:right="760"/>
      </w:pPr>
      <w:r>
        <w:rPr/>
        <w:t>[</w:t>
      </w:r>
      <w:r>
        <w:rPr>
          <w:i/>
        </w:rPr>
        <w:t>Note</w:t>
      </w:r>
      <w:r>
        <w:rPr/>
        <w:t>: The W3C XML Schema definition of this element’s content model (</w:t>
      </w:r>
      <w:r>
        <w:rPr>
          <w:color w:val="5F5F5F"/>
          <w:u w:val="single" w:color="5F5F5F"/>
        </w:rPr>
        <w:t>ST_Formula</w:t>
      </w:r>
      <w:r>
        <w:rPr/>
        <w:t>) is located in §A.2. </w:t>
      </w:r>
      <w:r>
        <w:rPr>
          <w:i/>
        </w:rPr>
        <w:t>end </w:t>
      </w:r>
      <w:r>
        <w:rPr>
          <w:i/>
        </w:rPr>
        <w:t>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6 headerFooter (Header Footer Se" w:id="239"/>
      <w:bookmarkEnd w:id="239"/>
      <w:r>
        <w:rPr/>
      </w:r>
      <w:bookmarkStart w:name="_bookmark78" w:id="240"/>
      <w:bookmarkEnd w:id="240"/>
      <w:r>
        <w:rPr/>
      </w:r>
      <w:bookmarkStart w:name="_bookmark78" w:id="241"/>
      <w:bookmarkEnd w:id="241"/>
      <w:r>
        <w:rPr>
          <w:color w:val="4F81BC"/>
        </w:rPr>
        <w:t>hea</w:t>
      </w:r>
      <w:r>
        <w:rPr>
          <w:color w:val="4F81BC"/>
        </w:rPr>
        <w:t>derFooter (Header Footer</w:t>
      </w:r>
      <w:r>
        <w:rPr>
          <w:color w:val="4F81BC"/>
          <w:spacing w:val="-2"/>
        </w:rPr>
        <w:t> </w:t>
      </w:r>
      <w:r>
        <w:rPr>
          <w:color w:val="4F81BC"/>
        </w:rPr>
        <w:t>Settings)</w:t>
      </w:r>
    </w:p>
    <w:p>
      <w:pPr>
        <w:pStyle w:val="BodyText"/>
        <w:spacing w:before="124"/>
        <w:ind w:left="220"/>
      </w:pPr>
      <w:r>
        <w:rPr/>
        <w:t>Header and footer settings.</w:t>
      </w:r>
    </w:p>
    <w:p>
      <w:pPr>
        <w:pStyle w:val="BodyText"/>
        <w:spacing w:before="6"/>
        <w:rPr>
          <w:sz w:val="19"/>
        </w:rPr>
      </w:pPr>
    </w:p>
    <w:p>
      <w:pPr>
        <w:pStyle w:val="BodyText"/>
        <w:spacing w:line="276" w:lineRule="auto"/>
        <w:ind w:left="220" w:right="365"/>
      </w:pPr>
      <w:r>
        <w:rPr/>
        <w:t>When printed or viewed in page layout view (§</w:t>
      </w:r>
      <w:hyperlink w:history="true" w:anchor="_bookmark891">
        <w:r>
          <w:rPr/>
          <w:t>18.18.69</w:t>
        </w:r>
      </w:hyperlink>
      <w:r>
        <w:rPr/>
        <w:t>), each page of a worksheet can have a </w:t>
      </w:r>
      <w:r>
        <w:rPr>
          <w:i/>
        </w:rPr>
        <w:t>page header</w:t>
      </w:r>
      <w:r>
        <w:rPr/>
        <w:t>, a </w:t>
      </w:r>
      <w:r>
        <w:rPr>
          <w:i/>
        </w:rPr>
        <w:t>page footer</w:t>
      </w:r>
      <w:r>
        <w:rPr/>
        <w:t>, or both. The headers and footers on odd-numbered pages can differ from those on even-numbered pages, and the headers and footers on the first page can differ from those on odd- and even-numbered pages. In the latter case, the first page is not considered an odd page.</w:t>
      </w:r>
    </w:p>
    <w:p>
      <w:pPr>
        <w:spacing w:after="0" w:line="276" w:lineRule="auto"/>
        <w:sectPr>
          <w:pgSz w:w="12240" w:h="15840"/>
          <w:pgMar w:header="761" w:footer="746" w:top="1340" w:bottom="940" w:left="860" w:right="700"/>
        </w:sectPr>
      </w:pPr>
    </w:p>
    <w:p>
      <w:pPr>
        <w:pStyle w:val="BodyText"/>
        <w:spacing w:line="276" w:lineRule="auto" w:before="148"/>
        <w:ind w:left="220" w:right="392"/>
      </w:pPr>
      <w:r>
        <w:rPr/>
        <w:t>Each header and footer is divided into three areas: a </w:t>
      </w:r>
      <w:r>
        <w:rPr>
          <w:i/>
        </w:rPr>
        <w:t>left section</w:t>
      </w:r>
      <w:r>
        <w:rPr/>
        <w:t>, a </w:t>
      </w:r>
      <w:r>
        <w:rPr>
          <w:i/>
        </w:rPr>
        <w:t>center section</w:t>
      </w:r>
      <w:r>
        <w:rPr/>
        <w:t>, and a </w:t>
      </w:r>
      <w:r>
        <w:rPr>
          <w:i/>
        </w:rPr>
        <w:t>right section</w:t>
      </w:r>
      <w:r>
        <w:rPr/>
        <w:t>, which are specified, respectively, by one or more </w:t>
      </w:r>
      <w:r>
        <w:rPr>
          <w:i/>
        </w:rPr>
        <w:t>left-section-specifier</w:t>
      </w:r>
      <w:r>
        <w:rPr/>
        <w:t>s, one or more </w:t>
      </w:r>
      <w:r>
        <w:rPr>
          <w:i/>
        </w:rPr>
        <w:t>center-section specifier</w:t>
      </w:r>
      <w:r>
        <w:rPr/>
        <w:t>s, and one or more </w:t>
      </w:r>
      <w:r>
        <w:rPr>
          <w:i/>
        </w:rPr>
        <w:t>right-section specifier</w:t>
      </w:r>
      <w:r>
        <w:rPr/>
        <w:t>s. All sections are optional. Each section specifier shall begin with a </w:t>
      </w:r>
      <w:r>
        <w:rPr>
          <w:i/>
        </w:rPr>
        <w:t>formatting code </w:t>
      </w:r>
      <w:r>
        <w:rPr/>
        <w:t>that indicates whether it is a left-, center-, or right-section specifier. The section specifiers for a header or footer can appear in any order. If a header or footer has multiple section specifiers for the same section, an implementation can concatenate them in the lexical order of their occurrence, into a single, equivalent section specifier. After any such concatenation, the resulting section specifier can contain one or more pieces of text, one or more </w:t>
      </w:r>
      <w:r>
        <w:rPr>
          <w:i/>
        </w:rPr>
        <w:t>formatting codes</w:t>
      </w:r>
      <w:r>
        <w:rPr/>
        <w:t>, one drawing reference, or a combination thereof. Once specified within a section specifier, a formatting code remains in effect until the end of that section specifier unless toggled or overridden by a subsequent formatting code in that same section specifier.</w:t>
      </w:r>
    </w:p>
    <w:p>
      <w:pPr>
        <w:pStyle w:val="BodyText"/>
        <w:spacing w:before="4"/>
        <w:rPr>
          <w:sz w:val="16"/>
        </w:rPr>
      </w:pPr>
    </w:p>
    <w:p>
      <w:pPr>
        <w:pStyle w:val="BodyText"/>
        <w:spacing w:line="276" w:lineRule="auto" w:before="1"/>
        <w:ind w:left="220" w:right="705"/>
      </w:pPr>
      <w:r>
        <w:rPr/>
        <w:t>The values resulting from formatting codes can be localized. An implementation can decide which locales are supported. Even when a locale is not supported, the header and footer text shall be used with only the unsupported formatting being discarded.</w:t>
      </w:r>
    </w:p>
    <w:p>
      <w:pPr>
        <w:pStyle w:val="BodyText"/>
        <w:spacing w:before="6"/>
        <w:rPr>
          <w:sz w:val="16"/>
        </w:rPr>
      </w:pPr>
    </w:p>
    <w:p>
      <w:pPr>
        <w:pStyle w:val="BodyText"/>
        <w:ind w:left="220"/>
      </w:pPr>
      <w:r>
        <w:rPr/>
        <w:t>Headers and footers are specified using the following elements:</w:t>
      </w:r>
    </w:p>
    <w:p>
      <w:pPr>
        <w:pStyle w:val="BodyText"/>
        <w:spacing w:before="6"/>
        <w:rPr>
          <w:sz w:val="19"/>
        </w:rPr>
      </w:pPr>
    </w:p>
    <w:p>
      <w:pPr>
        <w:pStyle w:val="ListParagraph"/>
        <w:numPr>
          <w:ilvl w:val="4"/>
          <w:numId w:val="22"/>
        </w:numPr>
        <w:tabs>
          <w:tab w:pos="940" w:val="left" w:leader="none"/>
          <w:tab w:pos="941" w:val="left" w:leader="none"/>
        </w:tabs>
        <w:spacing w:line="240" w:lineRule="auto" w:before="0" w:after="0"/>
        <w:ind w:left="940" w:right="0" w:hanging="361"/>
        <w:jc w:val="left"/>
        <w:rPr>
          <w:sz w:val="22"/>
        </w:rPr>
      </w:pPr>
      <w:r>
        <w:rPr>
          <w:rFonts w:ascii="Cambria" w:hAnsi="Cambria"/>
          <w:sz w:val="22"/>
        </w:rPr>
        <w:t>firstFooter </w:t>
      </w:r>
      <w:r>
        <w:rPr>
          <w:sz w:val="22"/>
        </w:rPr>
        <w:t>(First Page Footer)</w:t>
      </w:r>
      <w:r>
        <w:rPr>
          <w:spacing w:val="-5"/>
          <w:sz w:val="22"/>
        </w:rPr>
        <w:t> </w:t>
      </w:r>
      <w:r>
        <w:rPr>
          <w:sz w:val="22"/>
        </w:rPr>
        <w:t>(§</w:t>
      </w:r>
      <w:hyperlink w:history="true" w:anchor="_bookmark73">
        <w:r>
          <w:rPr>
            <w:sz w:val="22"/>
          </w:rPr>
          <w:t>18.3.1.41</w:t>
        </w:r>
      </w:hyperlink>
      <w:r>
        <w:rPr>
          <w:sz w:val="22"/>
        </w:rPr>
        <w:t>)</w:t>
      </w:r>
    </w:p>
    <w:p>
      <w:pPr>
        <w:pStyle w:val="ListParagraph"/>
        <w:numPr>
          <w:ilvl w:val="4"/>
          <w:numId w:val="22"/>
        </w:numPr>
        <w:tabs>
          <w:tab w:pos="940" w:val="left" w:leader="none"/>
          <w:tab w:pos="941" w:val="left" w:leader="none"/>
        </w:tabs>
        <w:spacing w:line="240" w:lineRule="auto" w:before="42" w:after="0"/>
        <w:ind w:left="940" w:right="0" w:hanging="361"/>
        <w:jc w:val="left"/>
        <w:rPr>
          <w:sz w:val="22"/>
        </w:rPr>
      </w:pPr>
      <w:r>
        <w:rPr>
          <w:rFonts w:ascii="Cambria" w:hAnsi="Cambria"/>
          <w:sz w:val="22"/>
        </w:rPr>
        <w:t>firstHeader </w:t>
      </w:r>
      <w:r>
        <w:rPr>
          <w:sz w:val="22"/>
        </w:rPr>
        <w:t>(First Page Header) (§</w:t>
      </w:r>
      <w:hyperlink w:history="true" w:anchor="_bookmark74">
        <w:r>
          <w:rPr>
            <w:sz w:val="22"/>
          </w:rPr>
          <w:t>18.3.1.42</w:t>
        </w:r>
      </w:hyperlink>
      <w:r>
        <w:rPr>
          <w:sz w:val="22"/>
        </w:rPr>
        <w:t>)</w:t>
      </w:r>
    </w:p>
    <w:p>
      <w:pPr>
        <w:pStyle w:val="ListParagraph"/>
        <w:numPr>
          <w:ilvl w:val="4"/>
          <w:numId w:val="22"/>
        </w:numPr>
        <w:tabs>
          <w:tab w:pos="940" w:val="left" w:leader="none"/>
          <w:tab w:pos="941" w:val="left" w:leader="none"/>
        </w:tabs>
        <w:spacing w:line="240" w:lineRule="auto" w:before="41" w:after="0"/>
        <w:ind w:left="940" w:right="0" w:hanging="361"/>
        <w:jc w:val="left"/>
        <w:rPr>
          <w:sz w:val="22"/>
        </w:rPr>
      </w:pPr>
      <w:r>
        <w:rPr>
          <w:rFonts w:ascii="Cambria" w:hAnsi="Cambria"/>
          <w:sz w:val="22"/>
        </w:rPr>
        <w:t>oddFooter </w:t>
      </w:r>
      <w:r>
        <w:rPr>
          <w:sz w:val="22"/>
        </w:rPr>
        <w:t>(Odd Page Footer)</w:t>
      </w:r>
      <w:r>
        <w:rPr>
          <w:spacing w:val="-3"/>
          <w:sz w:val="22"/>
        </w:rPr>
        <w:t> </w:t>
      </w:r>
      <w:r>
        <w:rPr>
          <w:sz w:val="22"/>
        </w:rPr>
        <w:t>(§</w:t>
      </w:r>
      <w:hyperlink w:history="true" w:anchor="_bookmark89">
        <w:r>
          <w:rPr>
            <w:sz w:val="22"/>
          </w:rPr>
          <w:t>18.3.1.57</w:t>
        </w:r>
      </w:hyperlink>
      <w:r>
        <w:rPr>
          <w:sz w:val="22"/>
        </w:rPr>
        <w:t>)</w:t>
      </w:r>
    </w:p>
    <w:p>
      <w:pPr>
        <w:pStyle w:val="ListParagraph"/>
        <w:numPr>
          <w:ilvl w:val="4"/>
          <w:numId w:val="22"/>
        </w:numPr>
        <w:tabs>
          <w:tab w:pos="940" w:val="left" w:leader="none"/>
          <w:tab w:pos="941" w:val="left" w:leader="none"/>
        </w:tabs>
        <w:spacing w:line="240" w:lineRule="auto" w:before="39" w:after="0"/>
        <w:ind w:left="940" w:right="0" w:hanging="361"/>
        <w:jc w:val="left"/>
        <w:rPr>
          <w:sz w:val="22"/>
        </w:rPr>
      </w:pPr>
      <w:r>
        <w:rPr>
          <w:rFonts w:ascii="Cambria" w:hAnsi="Cambria"/>
          <w:sz w:val="22"/>
        </w:rPr>
        <w:t>oddHeader </w:t>
      </w:r>
      <w:r>
        <w:rPr>
          <w:sz w:val="22"/>
        </w:rPr>
        <w:t>(Odd Header)</w:t>
      </w:r>
      <w:r>
        <w:rPr>
          <w:spacing w:val="-3"/>
          <w:sz w:val="22"/>
        </w:rPr>
        <w:t> </w:t>
      </w:r>
      <w:r>
        <w:rPr>
          <w:sz w:val="22"/>
        </w:rPr>
        <w:t>(</w:t>
      </w:r>
      <w:hyperlink w:history="true" w:anchor="_bookmark90">
        <w:r>
          <w:rPr>
            <w:sz w:val="22"/>
          </w:rPr>
          <w:t>§18.3.1.58</w:t>
        </w:r>
      </w:hyperlink>
      <w:r>
        <w:rPr>
          <w:sz w:val="22"/>
        </w:rPr>
        <w:t>)</w:t>
      </w:r>
    </w:p>
    <w:p>
      <w:pPr>
        <w:pStyle w:val="ListParagraph"/>
        <w:numPr>
          <w:ilvl w:val="4"/>
          <w:numId w:val="22"/>
        </w:numPr>
        <w:tabs>
          <w:tab w:pos="940" w:val="left" w:leader="none"/>
          <w:tab w:pos="941" w:val="left" w:leader="none"/>
        </w:tabs>
        <w:spacing w:line="240" w:lineRule="auto" w:before="41" w:after="0"/>
        <w:ind w:left="940" w:right="0" w:hanging="361"/>
        <w:jc w:val="left"/>
        <w:rPr>
          <w:sz w:val="22"/>
        </w:rPr>
      </w:pPr>
      <w:r>
        <w:rPr>
          <w:rFonts w:ascii="Cambria" w:hAnsi="Cambria"/>
          <w:sz w:val="22"/>
        </w:rPr>
        <w:t>evenFooter </w:t>
      </w:r>
      <w:r>
        <w:rPr>
          <w:sz w:val="22"/>
        </w:rPr>
        <w:t>(Even Page Footer)</w:t>
      </w:r>
      <w:r>
        <w:rPr>
          <w:spacing w:val="-1"/>
          <w:sz w:val="22"/>
        </w:rPr>
        <w:t> </w:t>
      </w:r>
      <w:r>
        <w:rPr>
          <w:sz w:val="22"/>
        </w:rPr>
        <w:t>(§</w:t>
      </w:r>
      <w:hyperlink w:history="true" w:anchor="_bookmark70">
        <w:r>
          <w:rPr>
            <w:sz w:val="22"/>
          </w:rPr>
          <w:t>18.3.1.38</w:t>
        </w:r>
      </w:hyperlink>
      <w:r>
        <w:rPr>
          <w:sz w:val="22"/>
        </w:rPr>
        <w:t>)</w:t>
      </w:r>
    </w:p>
    <w:p>
      <w:pPr>
        <w:pStyle w:val="ListParagraph"/>
        <w:numPr>
          <w:ilvl w:val="4"/>
          <w:numId w:val="22"/>
        </w:numPr>
        <w:tabs>
          <w:tab w:pos="940" w:val="left" w:leader="none"/>
          <w:tab w:pos="941" w:val="left" w:leader="none"/>
        </w:tabs>
        <w:spacing w:line="240" w:lineRule="auto" w:before="39" w:after="0"/>
        <w:ind w:left="940" w:right="0" w:hanging="361"/>
        <w:jc w:val="left"/>
        <w:rPr>
          <w:sz w:val="22"/>
        </w:rPr>
      </w:pPr>
      <w:r>
        <w:rPr>
          <w:rFonts w:ascii="Cambria" w:hAnsi="Cambria"/>
          <w:sz w:val="22"/>
        </w:rPr>
        <w:t>evenHeader </w:t>
      </w:r>
      <w:r>
        <w:rPr>
          <w:sz w:val="22"/>
        </w:rPr>
        <w:t>(Even Page Header)</w:t>
      </w:r>
      <w:r>
        <w:rPr>
          <w:spacing w:val="-4"/>
          <w:sz w:val="22"/>
        </w:rPr>
        <w:t> </w:t>
      </w:r>
      <w:r>
        <w:rPr>
          <w:sz w:val="22"/>
        </w:rPr>
        <w:t>(§</w:t>
      </w:r>
      <w:hyperlink w:history="true" w:anchor="_bookmark71">
        <w:r>
          <w:rPr>
            <w:sz w:val="22"/>
          </w:rPr>
          <w:t>18.3.1.39</w:t>
        </w:r>
      </w:hyperlink>
      <w:r>
        <w:rPr>
          <w:sz w:val="22"/>
        </w:rPr>
        <w:t>)</w:t>
      </w:r>
    </w:p>
    <w:p>
      <w:pPr>
        <w:pStyle w:val="ListParagraph"/>
        <w:numPr>
          <w:ilvl w:val="4"/>
          <w:numId w:val="22"/>
        </w:numPr>
        <w:tabs>
          <w:tab w:pos="940" w:val="left" w:leader="none"/>
          <w:tab w:pos="941" w:val="left" w:leader="none"/>
        </w:tabs>
        <w:spacing w:line="448" w:lineRule="auto" w:before="42" w:after="0"/>
        <w:ind w:left="220" w:right="4104" w:firstLine="360"/>
        <w:jc w:val="left"/>
        <w:rPr>
          <w:sz w:val="22"/>
        </w:rPr>
      </w:pPr>
      <w:r>
        <w:rPr>
          <w:rFonts w:ascii="Cambria" w:hAnsi="Cambria"/>
          <w:sz w:val="22"/>
        </w:rPr>
        <w:t>drawingHF </w:t>
      </w:r>
      <w:r>
        <w:rPr>
          <w:sz w:val="22"/>
        </w:rPr>
        <w:t>(Drawing Reference in Header Footer) (§</w:t>
      </w:r>
      <w:hyperlink w:history="true" w:anchor="_bookmark69">
        <w:r>
          <w:rPr>
            <w:sz w:val="22"/>
          </w:rPr>
          <w:t>18.3.1.37</w:t>
        </w:r>
      </w:hyperlink>
      <w:r>
        <w:rPr>
          <w:sz w:val="22"/>
        </w:rPr>
        <w:t>) [</w:t>
      </w:r>
      <w:r>
        <w:rPr>
          <w:i/>
          <w:sz w:val="22"/>
        </w:rPr>
        <w:t>Example</w:t>
      </w:r>
      <w:r>
        <w:rPr>
          <w:sz w:val="22"/>
        </w:rPr>
        <w:t>:</w:t>
      </w:r>
    </w:p>
    <w:p>
      <w:pPr>
        <w:pStyle w:val="BodyText"/>
        <w:spacing w:before="15"/>
        <w:ind w:left="508"/>
        <w:rPr>
          <w:rFonts w:ascii="Consolas"/>
        </w:rPr>
      </w:pPr>
      <w:r>
        <w:rPr>
          <w:rFonts w:ascii="Consolas"/>
        </w:rPr>
        <w:t>&lt;headerFooter differentFirst="1" differentOddEven="1"&gt; &gt;</w:t>
      </w:r>
    </w:p>
    <w:p>
      <w:pPr>
        <w:pStyle w:val="BodyText"/>
        <w:spacing w:before="37"/>
        <w:ind w:left="750"/>
        <w:rPr>
          <w:rFonts w:ascii="Consolas"/>
        </w:rPr>
      </w:pPr>
      <w:r>
        <w:rPr>
          <w:rFonts w:ascii="Consolas"/>
        </w:rPr>
        <w:t>&lt;oddHeader&gt;&amp;amp;R&amp;amp;P&lt;/oddHeader&gt;</w:t>
      </w:r>
    </w:p>
    <w:p>
      <w:pPr>
        <w:pStyle w:val="BodyText"/>
        <w:spacing w:before="40"/>
        <w:ind w:left="750"/>
        <w:rPr>
          <w:rFonts w:ascii="Consolas"/>
        </w:rPr>
      </w:pPr>
      <w:r>
        <w:rPr>
          <w:rFonts w:ascii="Consolas"/>
        </w:rPr>
        <w:t>&lt;oddFooter&gt;&amp;amp;C&amp;amp;F&lt;/oddFooter&gt;</w:t>
      </w:r>
    </w:p>
    <w:p>
      <w:pPr>
        <w:pStyle w:val="BodyText"/>
        <w:spacing w:before="38"/>
        <w:ind w:left="750"/>
        <w:rPr>
          <w:rFonts w:ascii="Consolas"/>
        </w:rPr>
      </w:pPr>
      <w:r>
        <w:rPr>
          <w:rFonts w:ascii="Consolas"/>
        </w:rPr>
        <w:t>&lt;evenHeader&gt;&amp;amp;L&amp;amp;P&lt;/oddHeader&gt;</w:t>
      </w:r>
    </w:p>
    <w:p>
      <w:pPr>
        <w:pStyle w:val="BodyText"/>
        <w:spacing w:before="38"/>
        <w:ind w:left="750"/>
        <w:rPr>
          <w:rFonts w:ascii="Consolas"/>
        </w:rPr>
      </w:pPr>
      <w:r>
        <w:rPr>
          <w:rFonts w:ascii="Consolas"/>
        </w:rPr>
        <w:t>&lt;evenFooter&gt;&amp;amp;L&amp;amp;D&amp;amp;R&amp;amp;T&lt;/oddFooter&gt;</w:t>
      </w:r>
    </w:p>
    <w:p>
      <w:pPr>
        <w:pStyle w:val="BodyText"/>
        <w:spacing w:line="276" w:lineRule="auto" w:before="40"/>
        <w:ind w:left="508" w:right="4607" w:firstLine="242"/>
        <w:rPr>
          <w:rFonts w:ascii="Consolas"/>
        </w:rPr>
      </w:pPr>
      <w:r>
        <w:rPr>
          <w:rFonts w:ascii="Consolas"/>
        </w:rPr>
        <w:t>&lt;firstHeader&gt;&amp;amp;CCenter &amp;amp;"-,Bold"Bold &amp;amp;"-,Regular"Header</w:t>
      </w:r>
      <w:r>
        <w:rPr>
          <w:rFonts w:ascii="Consolas"/>
          <w:i/>
        </w:rPr>
        <w:t>U+000A</w:t>
      </w:r>
      <w:r>
        <w:rPr>
          <w:rFonts w:ascii="Consolas"/>
        </w:rPr>
        <w:t>&amp;amp;D&lt;/oddHeader&gt;</w:t>
      </w:r>
    </w:p>
    <w:p>
      <w:pPr>
        <w:pStyle w:val="BodyText"/>
        <w:ind w:left="508"/>
        <w:rPr>
          <w:rFonts w:ascii="Consolas"/>
        </w:rPr>
      </w:pPr>
      <w:r>
        <w:rPr>
          <w:rFonts w:ascii="Consolas"/>
        </w:rPr>
        <w:t>&lt;/headerFooter&gt;</w:t>
      </w:r>
    </w:p>
    <w:p>
      <w:pPr>
        <w:pStyle w:val="BodyText"/>
        <w:spacing w:before="5"/>
        <w:rPr>
          <w:rFonts w:ascii="Consolas"/>
          <w:sz w:val="20"/>
        </w:rPr>
      </w:pPr>
    </w:p>
    <w:p>
      <w:pPr>
        <w:pStyle w:val="BodyText"/>
        <w:ind w:left="220"/>
      </w:pPr>
      <w:r>
        <w:rPr/>
        <w:t>This example shows</w:t>
      </w:r>
    </w:p>
    <w:p>
      <w:pPr>
        <w:pStyle w:val="BodyText"/>
        <w:spacing w:before="7"/>
        <w:rPr>
          <w:sz w:val="19"/>
        </w:rPr>
      </w:pPr>
    </w:p>
    <w:p>
      <w:pPr>
        <w:pStyle w:val="ListParagraph"/>
        <w:numPr>
          <w:ilvl w:val="4"/>
          <w:numId w:val="22"/>
        </w:numPr>
        <w:tabs>
          <w:tab w:pos="940" w:val="left" w:leader="none"/>
          <w:tab w:pos="941" w:val="left" w:leader="none"/>
        </w:tabs>
        <w:spacing w:line="240" w:lineRule="auto" w:before="0" w:after="0"/>
        <w:ind w:left="940" w:right="0" w:hanging="361"/>
        <w:jc w:val="left"/>
        <w:rPr>
          <w:sz w:val="22"/>
        </w:rPr>
      </w:pPr>
      <w:r>
        <w:rPr>
          <w:sz w:val="22"/>
        </w:rPr>
        <w:t>The first page has its own header and</w:t>
      </w:r>
      <w:r>
        <w:rPr>
          <w:spacing w:val="-6"/>
          <w:sz w:val="22"/>
        </w:rPr>
        <w:t> </w:t>
      </w:r>
      <w:r>
        <w:rPr>
          <w:sz w:val="22"/>
        </w:rPr>
        <w:t>footer</w:t>
      </w:r>
    </w:p>
    <w:p>
      <w:pPr>
        <w:pStyle w:val="ListParagraph"/>
        <w:numPr>
          <w:ilvl w:val="4"/>
          <w:numId w:val="22"/>
        </w:numPr>
        <w:tabs>
          <w:tab w:pos="940" w:val="left" w:leader="none"/>
          <w:tab w:pos="941" w:val="left" w:leader="none"/>
        </w:tabs>
        <w:spacing w:line="240" w:lineRule="auto" w:before="39" w:after="0"/>
        <w:ind w:left="940" w:right="0" w:hanging="361"/>
        <w:jc w:val="left"/>
        <w:rPr>
          <w:sz w:val="22"/>
        </w:rPr>
      </w:pPr>
      <w:r>
        <w:rPr>
          <w:sz w:val="22"/>
        </w:rPr>
        <w:t>Odd- and even-numbered pages have different headers and</w:t>
      </w:r>
      <w:r>
        <w:rPr>
          <w:spacing w:val="-11"/>
          <w:sz w:val="22"/>
        </w:rPr>
        <w:t> </w:t>
      </w:r>
      <w:r>
        <w:rPr>
          <w:sz w:val="22"/>
        </w:rPr>
        <w:t>footers</w:t>
      </w:r>
    </w:p>
    <w:p>
      <w:pPr>
        <w:pStyle w:val="ListParagraph"/>
        <w:numPr>
          <w:ilvl w:val="4"/>
          <w:numId w:val="22"/>
        </w:numPr>
        <w:tabs>
          <w:tab w:pos="940" w:val="left" w:leader="none"/>
          <w:tab w:pos="941" w:val="left" w:leader="none"/>
        </w:tabs>
        <w:spacing w:line="240" w:lineRule="auto" w:before="41" w:after="0"/>
        <w:ind w:left="940" w:right="0" w:hanging="361"/>
        <w:jc w:val="left"/>
        <w:rPr>
          <w:sz w:val="22"/>
        </w:rPr>
      </w:pPr>
      <w:r>
        <w:rPr>
          <w:sz w:val="22"/>
        </w:rPr>
        <w:t>Current page number in the right section of odd-page</w:t>
      </w:r>
      <w:r>
        <w:rPr>
          <w:spacing w:val="-9"/>
          <w:sz w:val="22"/>
        </w:rPr>
        <w:t> </w:t>
      </w:r>
      <w:r>
        <w:rPr>
          <w:sz w:val="22"/>
        </w:rPr>
        <w:t>headers</w:t>
      </w:r>
    </w:p>
    <w:p>
      <w:pPr>
        <w:pStyle w:val="ListParagraph"/>
        <w:numPr>
          <w:ilvl w:val="4"/>
          <w:numId w:val="22"/>
        </w:numPr>
        <w:tabs>
          <w:tab w:pos="940" w:val="left" w:leader="none"/>
          <w:tab w:pos="941" w:val="left" w:leader="none"/>
        </w:tabs>
        <w:spacing w:line="240" w:lineRule="auto" w:before="39" w:after="0"/>
        <w:ind w:left="940" w:right="0" w:hanging="361"/>
        <w:jc w:val="left"/>
        <w:rPr>
          <w:sz w:val="22"/>
        </w:rPr>
      </w:pPr>
      <w:r>
        <w:rPr>
          <w:sz w:val="22"/>
        </w:rPr>
        <w:t>Current workbook's file name in the center section of odd-page</w:t>
      </w:r>
      <w:r>
        <w:rPr>
          <w:spacing w:val="-15"/>
          <w:sz w:val="22"/>
        </w:rPr>
        <w:t> </w:t>
      </w:r>
      <w:r>
        <w:rPr>
          <w:sz w:val="22"/>
        </w:rPr>
        <w:t>footers</w:t>
      </w:r>
    </w:p>
    <w:p>
      <w:pPr>
        <w:pStyle w:val="ListParagraph"/>
        <w:numPr>
          <w:ilvl w:val="4"/>
          <w:numId w:val="22"/>
        </w:numPr>
        <w:tabs>
          <w:tab w:pos="940" w:val="left" w:leader="none"/>
          <w:tab w:pos="941" w:val="left" w:leader="none"/>
        </w:tabs>
        <w:spacing w:line="240" w:lineRule="auto" w:before="41" w:after="0"/>
        <w:ind w:left="940" w:right="0" w:hanging="361"/>
        <w:jc w:val="left"/>
        <w:rPr>
          <w:sz w:val="22"/>
        </w:rPr>
      </w:pPr>
      <w:r>
        <w:rPr>
          <w:sz w:val="22"/>
        </w:rPr>
        <w:t>Current page number in the left section of even-page</w:t>
      </w:r>
      <w:r>
        <w:rPr>
          <w:spacing w:val="-12"/>
          <w:sz w:val="22"/>
        </w:rPr>
        <w:t> </w:t>
      </w:r>
      <w:r>
        <w:rPr>
          <w:sz w:val="22"/>
        </w:rPr>
        <w:t>headers</w:t>
      </w:r>
    </w:p>
    <w:p>
      <w:pPr>
        <w:pStyle w:val="ListParagraph"/>
        <w:numPr>
          <w:ilvl w:val="4"/>
          <w:numId w:val="22"/>
        </w:numPr>
        <w:tabs>
          <w:tab w:pos="940" w:val="left" w:leader="none"/>
          <w:tab w:pos="941" w:val="left" w:leader="none"/>
        </w:tabs>
        <w:spacing w:line="240" w:lineRule="auto" w:before="39" w:after="0"/>
        <w:ind w:left="940" w:right="0" w:hanging="361"/>
        <w:jc w:val="left"/>
        <w:rPr>
          <w:sz w:val="22"/>
        </w:rPr>
      </w:pPr>
      <w:r>
        <w:rPr>
          <w:sz w:val="22"/>
        </w:rPr>
        <w:t>Current date in the left section and the current time in the right section of even-page</w:t>
      </w:r>
      <w:r>
        <w:rPr>
          <w:spacing w:val="-13"/>
          <w:sz w:val="22"/>
        </w:rPr>
        <w:t> </w:t>
      </w:r>
      <w:r>
        <w:rPr>
          <w:sz w:val="22"/>
        </w:rPr>
        <w:t>footers</w:t>
      </w:r>
    </w:p>
    <w:p>
      <w:pPr>
        <w:spacing w:after="0" w:line="240" w:lineRule="auto"/>
        <w:jc w:val="left"/>
        <w:rPr>
          <w:sz w:val="22"/>
        </w:rPr>
        <w:sectPr>
          <w:pgSz w:w="12240" w:h="15840"/>
          <w:pgMar w:header="763" w:footer="746" w:top="1340" w:bottom="940" w:left="860" w:right="700"/>
        </w:sectPr>
      </w:pPr>
    </w:p>
    <w:p>
      <w:pPr>
        <w:pStyle w:val="ListParagraph"/>
        <w:numPr>
          <w:ilvl w:val="4"/>
          <w:numId w:val="22"/>
        </w:numPr>
        <w:tabs>
          <w:tab w:pos="940" w:val="left" w:leader="none"/>
          <w:tab w:pos="941" w:val="left" w:leader="none"/>
        </w:tabs>
        <w:spacing w:line="240" w:lineRule="auto" w:before="91" w:after="0"/>
        <w:ind w:left="940" w:right="0" w:hanging="361"/>
        <w:jc w:val="left"/>
        <w:rPr>
          <w:sz w:val="22"/>
        </w:rPr>
      </w:pPr>
      <w:r>
        <w:rPr>
          <w:sz w:val="22"/>
        </w:rPr>
        <w:t>The text “Center </w:t>
      </w:r>
      <w:r>
        <w:rPr>
          <w:b/>
          <w:sz w:val="22"/>
        </w:rPr>
        <w:t>Bold </w:t>
      </w:r>
      <w:r>
        <w:rPr>
          <w:sz w:val="22"/>
        </w:rPr>
        <w:t>Header” on the first line of the center section of the first page, and the date</w:t>
      </w:r>
      <w:r>
        <w:rPr>
          <w:spacing w:val="-32"/>
          <w:sz w:val="22"/>
        </w:rPr>
        <w:t> </w:t>
      </w:r>
      <w:r>
        <w:rPr>
          <w:sz w:val="22"/>
        </w:rPr>
        <w:t>on</w:t>
      </w:r>
    </w:p>
    <w:p>
      <w:pPr>
        <w:pStyle w:val="BodyText"/>
        <w:spacing w:before="41"/>
        <w:ind w:left="940"/>
      </w:pPr>
      <w:r>
        <w:rPr/>
        <w:t>the second line of the center section of that same page</w:t>
      </w:r>
    </w:p>
    <w:p>
      <w:pPr>
        <w:pStyle w:val="ListParagraph"/>
        <w:numPr>
          <w:ilvl w:val="4"/>
          <w:numId w:val="22"/>
        </w:numPr>
        <w:tabs>
          <w:tab w:pos="940" w:val="left" w:leader="none"/>
          <w:tab w:pos="941" w:val="left" w:leader="none"/>
        </w:tabs>
        <w:spacing w:line="240" w:lineRule="auto" w:before="39" w:after="0"/>
        <w:ind w:left="940" w:right="0" w:hanging="361"/>
        <w:jc w:val="left"/>
        <w:rPr>
          <w:sz w:val="22"/>
        </w:rPr>
      </w:pPr>
      <w:r>
        <w:rPr>
          <w:sz w:val="22"/>
        </w:rPr>
        <w:t>No footer on the first</w:t>
      </w:r>
      <w:r>
        <w:rPr>
          <w:spacing w:val="-5"/>
          <w:sz w:val="22"/>
        </w:rPr>
        <w:t> </w:t>
      </w:r>
      <w:r>
        <w:rPr>
          <w:sz w:val="22"/>
        </w:rPr>
        <w:t>page</w:t>
      </w:r>
    </w:p>
    <w:p>
      <w:pPr>
        <w:spacing w:line="453" w:lineRule="auto" w:before="243"/>
        <w:ind w:left="220" w:right="9235" w:firstLine="0"/>
        <w:jc w:val="left"/>
        <w:rPr>
          <w:sz w:val="22"/>
        </w:rPr>
      </w:pPr>
      <w:r>
        <w:rPr>
          <w:i/>
          <w:sz w:val="22"/>
        </w:rPr>
        <w:t>end example</w:t>
      </w:r>
      <w:r>
        <w:rPr>
          <w:sz w:val="22"/>
        </w:rPr>
        <w:t>] [</w:t>
      </w:r>
      <w:r>
        <w:rPr>
          <w:i/>
          <w:sz w:val="22"/>
        </w:rPr>
        <w:t>Example</w:t>
      </w:r>
      <w:r>
        <w:rPr>
          <w:sz w:val="22"/>
        </w:rPr>
        <w:t>:</w:t>
      </w:r>
    </w:p>
    <w:p>
      <w:pPr>
        <w:pStyle w:val="BodyText"/>
        <w:spacing w:before="2"/>
        <w:ind w:left="220"/>
      </w:pPr>
      <w:r>
        <w:rPr/>
        <w:t>An implementation is permitted to concatenate the multiple-like section specifiers in the following:</w:t>
      </w:r>
    </w:p>
    <w:p>
      <w:pPr>
        <w:pStyle w:val="BodyText"/>
        <w:spacing w:before="8"/>
        <w:rPr>
          <w:sz w:val="19"/>
        </w:rPr>
      </w:pPr>
    </w:p>
    <w:p>
      <w:pPr>
        <w:pStyle w:val="BodyText"/>
        <w:ind w:left="462"/>
        <w:rPr>
          <w:rFonts w:ascii="Consolas"/>
        </w:rPr>
      </w:pPr>
      <w:r>
        <w:rPr>
          <w:rFonts w:ascii="Consolas"/>
        </w:rPr>
        <w:t>&lt;oddHeader&gt;&amp;amp;LA&amp;amp;CD&amp;amp;RG&amp;amp;LB&amp;amp;CE&amp;amp;RH&lt;/oddHeader&gt;</w:t>
      </w:r>
    </w:p>
    <w:p>
      <w:pPr>
        <w:pStyle w:val="BodyText"/>
        <w:spacing w:before="5"/>
        <w:rPr>
          <w:rFonts w:ascii="Consolas"/>
          <w:sz w:val="20"/>
        </w:rPr>
      </w:pPr>
    </w:p>
    <w:p>
      <w:pPr>
        <w:pStyle w:val="BodyText"/>
        <w:ind w:left="220"/>
      </w:pPr>
      <w:r>
        <w:rPr/>
        <w:t>treating it as though it was defined instead as follows:</w:t>
      </w:r>
    </w:p>
    <w:p>
      <w:pPr>
        <w:pStyle w:val="BodyText"/>
        <w:spacing w:before="9"/>
        <w:rPr>
          <w:sz w:val="19"/>
        </w:rPr>
      </w:pPr>
    </w:p>
    <w:p>
      <w:pPr>
        <w:pStyle w:val="BodyText"/>
        <w:ind w:left="462"/>
        <w:rPr>
          <w:rFonts w:ascii="Consolas"/>
        </w:rPr>
      </w:pPr>
      <w:r>
        <w:rPr>
          <w:rFonts w:ascii="Consolas"/>
        </w:rPr>
        <w:t>&lt;oddHeader&gt;&amp;amp;LAB&amp;amp;CDE&amp;amp;RGH&lt;/oddHeader&gt;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pPr>
      <w:r>
        <w:rPr/>
        <w:t>The formatting codes are, as follows (for ease of reading, the “</w:t>
      </w:r>
      <w:r>
        <w:rPr>
          <w:rFonts w:ascii="Consolas" w:hAnsi="Consolas"/>
        </w:rPr>
        <w:t>amp;</w:t>
      </w:r>
      <w:r>
        <w:rPr/>
        <w:t>“ suffix has been omitted from each </w:t>
      </w:r>
      <w:r>
        <w:rPr>
          <w:rFonts w:ascii="Consolas" w:hAnsi="Consolas"/>
        </w:rPr>
        <w:t>&amp;</w:t>
      </w:r>
      <w:r>
        <w:rPr>
          <w:rFonts w:ascii="Consolas" w:hAnsi="Consolas"/>
          <w:spacing w:val="-99"/>
        </w:rPr>
        <w:t> </w:t>
      </w:r>
      <w:r>
        <w:rPr/>
        <w:t>in the entries in the </w:t>
      </w:r>
      <w:r>
        <w:rPr>
          <w:b/>
        </w:rPr>
        <w:t>Formatting Code </w:t>
      </w:r>
      <w:r>
        <w:rPr/>
        <w:t>column):</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6"/>
        <w:gridCol w:w="8282"/>
      </w:tblGrid>
      <w:tr>
        <w:trPr>
          <w:trHeight w:val="330" w:hRule="atLeast"/>
        </w:trPr>
        <w:tc>
          <w:tcPr>
            <w:tcW w:w="1736" w:type="dxa"/>
            <w:shd w:val="clear" w:color="auto" w:fill="C0C0C0"/>
          </w:tcPr>
          <w:p>
            <w:pPr>
              <w:pStyle w:val="TableParagraph"/>
              <w:spacing w:before="44"/>
              <w:ind w:left="172"/>
              <w:rPr>
                <w:b/>
                <w:sz w:val="20"/>
              </w:rPr>
            </w:pPr>
            <w:r>
              <w:rPr>
                <w:b/>
                <w:sz w:val="20"/>
              </w:rPr>
              <w:t>Formatting Code</w:t>
            </w:r>
          </w:p>
        </w:tc>
        <w:tc>
          <w:tcPr>
            <w:tcW w:w="8282" w:type="dxa"/>
            <w:shd w:val="clear" w:color="auto" w:fill="C0C0C0"/>
          </w:tcPr>
          <w:p>
            <w:pPr>
              <w:pStyle w:val="TableParagraph"/>
              <w:spacing w:before="44"/>
              <w:ind w:left="3752" w:right="3747"/>
              <w:jc w:val="center"/>
              <w:rPr>
                <w:b/>
                <w:sz w:val="20"/>
              </w:rPr>
            </w:pPr>
            <w:r>
              <w:rPr>
                <w:b/>
                <w:sz w:val="20"/>
              </w:rPr>
              <w:t>Meaning</w:t>
            </w:r>
          </w:p>
        </w:tc>
      </w:tr>
      <w:tr>
        <w:trPr>
          <w:trHeight w:val="623" w:hRule="atLeast"/>
        </w:trPr>
        <w:tc>
          <w:tcPr>
            <w:tcW w:w="1736" w:type="dxa"/>
          </w:tcPr>
          <w:p>
            <w:pPr>
              <w:pStyle w:val="TableParagraph"/>
              <w:spacing w:before="42"/>
              <w:rPr>
                <w:rFonts w:ascii="Consolas"/>
                <w:sz w:val="22"/>
              </w:rPr>
            </w:pPr>
            <w:r>
              <w:rPr>
                <w:rFonts w:ascii="Consolas"/>
                <w:sz w:val="22"/>
              </w:rPr>
              <w:t>&amp;&amp;</w:t>
            </w:r>
          </w:p>
        </w:tc>
        <w:tc>
          <w:tcPr>
            <w:tcW w:w="8282" w:type="dxa"/>
          </w:tcPr>
          <w:p>
            <w:pPr>
              <w:pStyle w:val="TableParagraph"/>
              <w:ind w:left="114" w:right="389"/>
              <w:rPr>
                <w:sz w:val="22"/>
              </w:rPr>
            </w:pPr>
            <w:r>
              <w:rPr>
                <w:sz w:val="22"/>
              </w:rPr>
              <w:t>The character “&amp;”. [</w:t>
            </w:r>
            <w:r>
              <w:rPr>
                <w:i/>
                <w:sz w:val="22"/>
              </w:rPr>
              <w:t>Example</w:t>
            </w:r>
            <w:r>
              <w:rPr>
                <w:sz w:val="22"/>
              </w:rPr>
              <w:t>: “Smith &amp;amp;&amp;amp; Sons“ results in “Smith &amp; Sons“ </w:t>
            </w:r>
            <w:r>
              <w:rPr>
                <w:i/>
                <w:sz w:val="22"/>
              </w:rPr>
              <w:t>end </w:t>
            </w:r>
            <w:r>
              <w:rPr>
                <w:i/>
                <w:sz w:val="22"/>
              </w:rPr>
              <w:t>example</w:t>
            </w:r>
            <w:r>
              <w:rPr>
                <w:sz w:val="22"/>
              </w:rPr>
              <w:t>]</w:t>
            </w:r>
          </w:p>
        </w:tc>
      </w:tr>
      <w:tr>
        <w:trPr>
          <w:trHeight w:val="1233" w:hRule="atLeast"/>
        </w:trPr>
        <w:tc>
          <w:tcPr>
            <w:tcW w:w="1736" w:type="dxa"/>
          </w:tcPr>
          <w:p>
            <w:pPr>
              <w:pStyle w:val="TableParagraph"/>
              <w:rPr>
                <w:i/>
                <w:sz w:val="22"/>
              </w:rPr>
            </w:pPr>
            <w:r>
              <w:rPr>
                <w:rFonts w:ascii="Consolas"/>
                <w:sz w:val="22"/>
              </w:rPr>
              <w:t>&amp;</w:t>
            </w:r>
            <w:r>
              <w:rPr>
                <w:i/>
                <w:sz w:val="22"/>
              </w:rPr>
              <w:t>font-size</w:t>
            </w:r>
          </w:p>
        </w:tc>
        <w:tc>
          <w:tcPr>
            <w:tcW w:w="8282" w:type="dxa"/>
          </w:tcPr>
          <w:p>
            <w:pPr>
              <w:pStyle w:val="TableParagraph"/>
              <w:ind w:left="114"/>
              <w:rPr>
                <w:sz w:val="22"/>
              </w:rPr>
            </w:pPr>
            <w:r>
              <w:rPr>
                <w:sz w:val="22"/>
              </w:rPr>
              <w:t>Size of the text font, where </w:t>
            </w:r>
            <w:r>
              <w:rPr>
                <w:i/>
                <w:sz w:val="22"/>
              </w:rPr>
              <w:t>font-size </w:t>
            </w:r>
            <w:r>
              <w:rPr>
                <w:sz w:val="22"/>
              </w:rPr>
              <w:t>is a decimal font size in points. [</w:t>
            </w:r>
            <w:r>
              <w:rPr>
                <w:i/>
                <w:sz w:val="22"/>
              </w:rPr>
              <w:t>Example</w:t>
            </w:r>
            <w:r>
              <w:rPr>
                <w:sz w:val="22"/>
              </w:rPr>
              <w:t>:</w:t>
            </w:r>
          </w:p>
          <w:p>
            <w:pPr>
              <w:pStyle w:val="TableParagraph"/>
              <w:spacing w:before="2"/>
              <w:ind w:left="114"/>
              <w:rPr>
                <w:sz w:val="22"/>
              </w:rPr>
            </w:pPr>
            <w:r>
              <w:rPr>
                <w:spacing w:val="1"/>
                <w:w w:val="100"/>
                <w:sz w:val="22"/>
              </w:rPr>
              <w:t>“</w:t>
            </w:r>
            <w:r>
              <w:rPr>
                <w:spacing w:val="-1"/>
                <w:w w:val="100"/>
                <w:sz w:val="22"/>
              </w:rPr>
              <w:t>&amp;</w:t>
            </w:r>
            <w:r>
              <w:rPr>
                <w:spacing w:val="-3"/>
                <w:w w:val="100"/>
                <w:sz w:val="22"/>
              </w:rPr>
              <w:t>a</w:t>
            </w:r>
            <w:r>
              <w:rPr>
                <w:w w:val="100"/>
                <w:sz w:val="22"/>
              </w:rPr>
              <w:t>m</w:t>
            </w:r>
            <w:r>
              <w:rPr>
                <w:spacing w:val="-1"/>
                <w:w w:val="100"/>
                <w:sz w:val="22"/>
              </w:rPr>
              <w:t>p</w:t>
            </w:r>
            <w:r>
              <w:rPr>
                <w:spacing w:val="-2"/>
                <w:w w:val="100"/>
                <w:sz w:val="22"/>
              </w:rPr>
              <w:t>;</w:t>
            </w:r>
            <w:r>
              <w:rPr>
                <w:w w:val="100"/>
                <w:sz w:val="22"/>
              </w:rPr>
              <w:t>18</w:t>
            </w:r>
            <w:r>
              <w:rPr>
                <w:spacing w:val="-3"/>
                <w:w w:val="100"/>
                <w:sz w:val="22"/>
              </w:rPr>
              <w:t>A</w:t>
            </w:r>
            <w:r>
              <w:rPr>
                <w:spacing w:val="-1"/>
                <w:w w:val="100"/>
                <w:sz w:val="22"/>
              </w:rPr>
              <w:t>&amp;</w:t>
            </w:r>
            <w:r>
              <w:rPr>
                <w:spacing w:val="-3"/>
                <w:w w:val="100"/>
                <w:sz w:val="22"/>
              </w:rPr>
              <w:t>a</w:t>
            </w:r>
            <w:r>
              <w:rPr>
                <w:w w:val="100"/>
                <w:sz w:val="22"/>
              </w:rPr>
              <w:t>m</w:t>
            </w:r>
            <w:r>
              <w:rPr>
                <w:spacing w:val="-1"/>
                <w:w w:val="100"/>
                <w:sz w:val="22"/>
              </w:rPr>
              <w:t>p</w:t>
            </w:r>
            <w:r>
              <w:rPr>
                <w:w w:val="100"/>
                <w:sz w:val="22"/>
              </w:rPr>
              <w:t>;</w:t>
            </w:r>
            <w:r>
              <w:rPr>
                <w:spacing w:val="-2"/>
                <w:w w:val="100"/>
                <w:sz w:val="22"/>
              </w:rPr>
              <w:t>3</w:t>
            </w:r>
            <w:r>
              <w:rPr>
                <w:w w:val="100"/>
                <w:sz w:val="22"/>
              </w:rPr>
              <w:t>6</w:t>
            </w:r>
            <w:r>
              <w:rPr>
                <w:spacing w:val="-3"/>
                <w:w w:val="100"/>
                <w:sz w:val="22"/>
              </w:rPr>
              <w:t>B</w:t>
            </w:r>
            <w:r>
              <w:rPr>
                <w:w w:val="100"/>
                <w:sz w:val="22"/>
              </w:rPr>
              <w:t>“</w:t>
            </w:r>
            <w:r>
              <w:rPr>
                <w:spacing w:val="1"/>
                <w:sz w:val="22"/>
              </w:rPr>
              <w:t> </w:t>
            </w:r>
            <w:r>
              <w:rPr>
                <w:w w:val="100"/>
                <w:sz w:val="22"/>
              </w:rPr>
              <w:t>r</w:t>
            </w:r>
            <w:r>
              <w:rPr>
                <w:spacing w:val="-2"/>
                <w:w w:val="100"/>
                <w:sz w:val="22"/>
              </w:rPr>
              <w:t>e</w:t>
            </w:r>
            <w:r>
              <w:rPr>
                <w:spacing w:val="-3"/>
                <w:w w:val="100"/>
                <w:sz w:val="22"/>
              </w:rPr>
              <w:t>s</w:t>
            </w:r>
            <w:r>
              <w:rPr>
                <w:spacing w:val="-1"/>
                <w:w w:val="100"/>
                <w:sz w:val="22"/>
              </w:rPr>
              <w:t>u</w:t>
            </w:r>
            <w:r>
              <w:rPr>
                <w:w w:val="100"/>
                <w:sz w:val="22"/>
              </w:rPr>
              <w:t>lts</w:t>
            </w:r>
            <w:r>
              <w:rPr>
                <w:sz w:val="22"/>
              </w:rPr>
              <w:t> </w:t>
            </w:r>
            <w:r>
              <w:rPr>
                <w:w w:val="100"/>
                <w:sz w:val="22"/>
              </w:rPr>
              <w:t>in</w:t>
            </w:r>
            <w:r>
              <w:rPr>
                <w:sz w:val="22"/>
              </w:rPr>
              <w:t> </w:t>
            </w:r>
            <w:r>
              <w:rPr>
                <w:spacing w:val="2"/>
                <w:w w:val="100"/>
                <w:sz w:val="22"/>
              </w:rPr>
              <w:t>“</w:t>
            </w:r>
            <w:r>
              <w:rPr>
                <w:sz w:val="36"/>
              </w:rPr>
              <w:t>A</w:t>
            </w:r>
            <w:r>
              <w:rPr>
                <w:spacing w:val="-3"/>
                <w:sz w:val="72"/>
              </w:rPr>
              <w:t>B</w:t>
            </w:r>
            <w:r>
              <w:rPr>
                <w:w w:val="100"/>
                <w:sz w:val="22"/>
              </w:rPr>
              <w:t>“</w:t>
            </w:r>
            <w:r>
              <w:rPr>
                <w:spacing w:val="2"/>
                <w:sz w:val="22"/>
              </w:rPr>
              <w:t> </w:t>
            </w:r>
            <w:r>
              <w:rPr>
                <w:i/>
                <w:w w:val="100"/>
                <w:sz w:val="22"/>
              </w:rPr>
              <w:t>end</w:t>
            </w:r>
            <w:r>
              <w:rPr>
                <w:i/>
                <w:spacing w:val="-4"/>
                <w:sz w:val="22"/>
              </w:rPr>
              <w:t> </w:t>
            </w:r>
            <w:r>
              <w:rPr>
                <w:i/>
                <w:w w:val="100"/>
                <w:sz w:val="22"/>
              </w:rPr>
              <w:t>exam</w:t>
            </w:r>
            <w:r>
              <w:rPr>
                <w:i/>
                <w:spacing w:val="-3"/>
                <w:w w:val="100"/>
                <w:sz w:val="22"/>
              </w:rPr>
              <w:t>p</w:t>
            </w:r>
            <w:r>
              <w:rPr>
                <w:i/>
                <w:w w:val="100"/>
                <w:sz w:val="22"/>
              </w:rPr>
              <w:t>l</w:t>
            </w:r>
            <w:r>
              <w:rPr>
                <w:i/>
                <w:spacing w:val="-1"/>
                <w:w w:val="100"/>
                <w:sz w:val="22"/>
              </w:rPr>
              <w:t>e</w:t>
            </w:r>
            <w:r>
              <w:rPr>
                <w:w w:val="100"/>
                <w:sz w:val="22"/>
              </w:rPr>
              <w:t>]</w:t>
            </w:r>
          </w:p>
        </w:tc>
      </w:tr>
      <w:tr>
        <w:trPr>
          <w:trHeight w:val="1696" w:hRule="atLeast"/>
        </w:trPr>
        <w:tc>
          <w:tcPr>
            <w:tcW w:w="1736" w:type="dxa"/>
          </w:tcPr>
          <w:p>
            <w:pPr>
              <w:pStyle w:val="TableParagraph"/>
              <w:ind w:right="597"/>
              <w:rPr>
                <w:rFonts w:ascii="Consolas"/>
                <w:sz w:val="22"/>
              </w:rPr>
            </w:pPr>
            <w:r>
              <w:rPr>
                <w:rFonts w:ascii="Consolas"/>
                <w:sz w:val="22"/>
              </w:rPr>
              <w:t>&amp;"</w:t>
            </w:r>
            <w:r>
              <w:rPr>
                <w:i/>
                <w:sz w:val="22"/>
              </w:rPr>
              <w:t>font </w:t>
            </w:r>
            <w:r>
              <w:rPr>
                <w:i/>
                <w:sz w:val="22"/>
              </w:rPr>
              <w:t>name</w:t>
            </w:r>
            <w:r>
              <w:rPr>
                <w:rFonts w:ascii="Consolas"/>
                <w:sz w:val="22"/>
              </w:rPr>
              <w:t>,</w:t>
            </w:r>
            <w:r>
              <w:rPr>
                <w:i/>
                <w:sz w:val="22"/>
              </w:rPr>
              <w:t>font </w:t>
            </w:r>
            <w:r>
              <w:rPr>
                <w:i/>
                <w:sz w:val="22"/>
              </w:rPr>
              <w:t>type</w:t>
            </w:r>
            <w:r>
              <w:rPr>
                <w:rFonts w:ascii="Consolas"/>
                <w:sz w:val="22"/>
              </w:rPr>
              <w:t>"</w:t>
            </w:r>
          </w:p>
        </w:tc>
        <w:tc>
          <w:tcPr>
            <w:tcW w:w="8282" w:type="dxa"/>
          </w:tcPr>
          <w:p>
            <w:pPr>
              <w:pStyle w:val="TableParagraph"/>
              <w:ind w:left="114" w:right="126"/>
              <w:rPr>
                <w:sz w:val="22"/>
              </w:rPr>
            </w:pPr>
            <w:r>
              <w:rPr>
                <w:sz w:val="22"/>
              </w:rPr>
              <w:t>A text font-name string, </w:t>
            </w:r>
            <w:r>
              <w:rPr>
                <w:i/>
                <w:sz w:val="22"/>
              </w:rPr>
              <w:t>font name</w:t>
            </w:r>
            <w:r>
              <w:rPr>
                <w:sz w:val="22"/>
              </w:rPr>
              <w:t>, and a text font-type string, </w:t>
            </w:r>
            <w:r>
              <w:rPr>
                <w:i/>
                <w:sz w:val="22"/>
              </w:rPr>
              <w:t>font type</w:t>
            </w:r>
            <w:r>
              <w:rPr>
                <w:sz w:val="22"/>
              </w:rPr>
              <w:t>. A </w:t>
            </w:r>
            <w:r>
              <w:rPr>
                <w:i/>
                <w:sz w:val="22"/>
              </w:rPr>
              <w:t>font-name </w:t>
            </w:r>
            <w:r>
              <w:rPr>
                <w:sz w:val="22"/>
              </w:rPr>
              <w:t>of “</w:t>
            </w:r>
            <w:r>
              <w:rPr>
                <w:rFonts w:ascii="Consolas" w:hAnsi="Consolas"/>
                <w:sz w:val="22"/>
              </w:rPr>
              <w:t>-</w:t>
            </w:r>
            <w:r>
              <w:rPr>
                <w:sz w:val="22"/>
              </w:rPr>
              <w:t>“ (U+002D) means “no font name is specified”. Both </w:t>
            </w:r>
            <w:r>
              <w:rPr>
                <w:i/>
                <w:sz w:val="22"/>
              </w:rPr>
              <w:t>font-name </w:t>
            </w:r>
            <w:r>
              <w:rPr>
                <w:sz w:val="22"/>
              </w:rPr>
              <w:t>and </w:t>
            </w:r>
            <w:r>
              <w:rPr>
                <w:i/>
                <w:sz w:val="22"/>
              </w:rPr>
              <w:t>font-type </w:t>
            </w:r>
            <w:r>
              <w:rPr>
                <w:sz w:val="22"/>
              </w:rPr>
              <w:t>can be localized values. Although ISO/IEC 14496-22 permits commas in font family/subfamily/full names, name, and font type, the lexically-first comma in the string is the one recognized as the separating comma. [</w:t>
            </w:r>
            <w:r>
              <w:rPr>
                <w:i/>
                <w:sz w:val="22"/>
              </w:rPr>
              <w:t>Example</w:t>
            </w:r>
            <w:r>
              <w:rPr>
                <w:sz w:val="22"/>
              </w:rPr>
              <w:t>: “</w:t>
            </w:r>
            <w:r>
              <w:rPr>
                <w:rFonts w:ascii="Consolas" w:hAnsi="Consolas"/>
                <w:sz w:val="22"/>
              </w:rPr>
              <w:t>&amp;amp;"Arial,Regular"…</w:t>
            </w:r>
            <w:r>
              <w:rPr>
                <w:sz w:val="22"/>
              </w:rPr>
              <w:t>”, “</w:t>
            </w:r>
            <w:r>
              <w:rPr>
                <w:rFonts w:ascii="Consolas" w:hAnsi="Consolas"/>
                <w:sz w:val="22"/>
              </w:rPr>
              <w:t>&amp;amp;"Lucida Sans Typewriter,Regular"…</w:t>
            </w:r>
            <w:r>
              <w:rPr>
                <w:sz w:val="22"/>
              </w:rPr>
              <w:t>”, and “</w:t>
            </w:r>
            <w:r>
              <w:rPr>
                <w:rFonts w:ascii="Consolas" w:hAnsi="Consolas"/>
                <w:sz w:val="22"/>
              </w:rPr>
              <w:t>mp;"-,Bold Italic"…</w:t>
            </w:r>
            <w:r>
              <w:rPr>
                <w:sz w:val="22"/>
              </w:rPr>
              <w:t>“ </w:t>
            </w:r>
            <w:r>
              <w:rPr>
                <w:i/>
                <w:sz w:val="22"/>
              </w:rPr>
              <w:t>end example</w:t>
            </w:r>
            <w:r>
              <w:rPr>
                <w:sz w:val="22"/>
              </w:rPr>
              <w:t>]</w:t>
            </w:r>
          </w:p>
        </w:tc>
      </w:tr>
      <w:tr>
        <w:trPr>
          <w:trHeight w:val="354" w:hRule="atLeast"/>
        </w:trPr>
        <w:tc>
          <w:tcPr>
            <w:tcW w:w="1736" w:type="dxa"/>
          </w:tcPr>
          <w:p>
            <w:pPr>
              <w:pStyle w:val="TableParagraph"/>
              <w:spacing w:before="44"/>
              <w:rPr>
                <w:rFonts w:ascii="Consolas"/>
                <w:sz w:val="22"/>
              </w:rPr>
            </w:pPr>
            <w:r>
              <w:rPr>
                <w:rFonts w:ascii="Consolas"/>
                <w:sz w:val="22"/>
              </w:rPr>
              <w:t>&amp;"-,Regular"</w:t>
            </w:r>
          </w:p>
        </w:tc>
        <w:tc>
          <w:tcPr>
            <w:tcW w:w="8282" w:type="dxa"/>
          </w:tcPr>
          <w:p>
            <w:pPr>
              <w:pStyle w:val="TableParagraph"/>
              <w:spacing w:before="42"/>
              <w:ind w:left="114"/>
              <w:rPr>
                <w:sz w:val="22"/>
              </w:rPr>
            </w:pPr>
            <w:r>
              <w:rPr>
                <w:sz w:val="22"/>
              </w:rPr>
              <w:t>Regular text format. Toggles bold and italic modes to off.</w:t>
            </w:r>
          </w:p>
        </w:tc>
      </w:tr>
      <w:tr>
        <w:trPr>
          <w:trHeight w:val="354" w:hRule="atLeast"/>
        </w:trPr>
        <w:tc>
          <w:tcPr>
            <w:tcW w:w="1736" w:type="dxa"/>
          </w:tcPr>
          <w:p>
            <w:pPr>
              <w:pStyle w:val="TableParagraph"/>
              <w:spacing w:before="42"/>
              <w:rPr>
                <w:rFonts w:ascii="Consolas"/>
                <w:sz w:val="22"/>
              </w:rPr>
            </w:pPr>
            <w:r>
              <w:rPr>
                <w:rFonts w:ascii="Consolas"/>
                <w:sz w:val="22"/>
              </w:rPr>
              <w:t>&amp;A</w:t>
            </w:r>
          </w:p>
        </w:tc>
        <w:tc>
          <w:tcPr>
            <w:tcW w:w="8282" w:type="dxa"/>
          </w:tcPr>
          <w:p>
            <w:pPr>
              <w:pStyle w:val="TableParagraph"/>
              <w:ind w:left="114"/>
              <w:rPr>
                <w:sz w:val="22"/>
              </w:rPr>
            </w:pPr>
            <w:r>
              <w:rPr>
                <w:sz w:val="22"/>
              </w:rPr>
              <w:t>Current worksheet’s tab name</w:t>
            </w:r>
          </w:p>
        </w:tc>
      </w:tr>
      <w:tr>
        <w:trPr>
          <w:trHeight w:val="893" w:hRule="atLeast"/>
        </w:trPr>
        <w:tc>
          <w:tcPr>
            <w:tcW w:w="1736" w:type="dxa"/>
          </w:tcPr>
          <w:p>
            <w:pPr>
              <w:pStyle w:val="TableParagraph"/>
              <w:spacing w:before="42"/>
              <w:rPr>
                <w:rFonts w:ascii="Consolas"/>
                <w:sz w:val="22"/>
              </w:rPr>
            </w:pPr>
            <w:r>
              <w:rPr>
                <w:rFonts w:ascii="Consolas"/>
                <w:sz w:val="22"/>
              </w:rPr>
              <w:t>&amp;B</w:t>
            </w:r>
          </w:p>
          <w:p>
            <w:pPr>
              <w:pStyle w:val="TableParagraph"/>
              <w:spacing w:before="2"/>
              <w:ind w:left="357"/>
              <w:rPr>
                <w:rFonts w:ascii="Consolas"/>
                <w:sz w:val="22"/>
              </w:rPr>
            </w:pPr>
            <w:r>
              <w:rPr>
                <w:rFonts w:ascii="Consolas"/>
                <w:sz w:val="22"/>
              </w:rPr>
              <w:t>or</w:t>
            </w:r>
          </w:p>
          <w:p>
            <w:pPr>
              <w:pStyle w:val="TableParagraph"/>
              <w:spacing w:before="0"/>
              <w:rPr>
                <w:rFonts w:ascii="Consolas"/>
                <w:sz w:val="22"/>
              </w:rPr>
            </w:pPr>
            <w:r>
              <w:rPr>
                <w:rFonts w:ascii="Consolas"/>
                <w:sz w:val="22"/>
              </w:rPr>
              <w:t>&amp;"-,Bold"</w:t>
            </w:r>
          </w:p>
        </w:tc>
        <w:tc>
          <w:tcPr>
            <w:tcW w:w="8282" w:type="dxa"/>
          </w:tcPr>
          <w:p>
            <w:pPr>
              <w:pStyle w:val="TableParagraph"/>
              <w:ind w:left="114" w:right="520"/>
              <w:rPr>
                <w:sz w:val="22"/>
              </w:rPr>
            </w:pPr>
            <w:r>
              <w:rPr>
                <w:sz w:val="22"/>
              </w:rPr>
              <w:t>Bold text format. The next occurrence in a section specifier toggles bold mode, either from off to on, or vice versa. The default mode is off. [</w:t>
            </w:r>
            <w:r>
              <w:rPr>
                <w:i/>
                <w:sz w:val="22"/>
              </w:rPr>
              <w:t>Example</w:t>
            </w:r>
            <w:r>
              <w:rPr>
                <w:sz w:val="22"/>
              </w:rPr>
              <w:t>: “</w:t>
            </w:r>
            <w:r>
              <w:rPr>
                <w:rFonts w:ascii="Consolas" w:hAnsi="Consolas"/>
                <w:sz w:val="22"/>
              </w:rPr>
              <w:t>ab&amp;amp;Bcd&amp;amp;Bef&amp;amp;Bgh</w:t>
            </w:r>
            <w:r>
              <w:rPr>
                <w:sz w:val="22"/>
              </w:rPr>
              <w:t>“ results in “ab</w:t>
            </w:r>
            <w:r>
              <w:rPr>
                <w:b/>
                <w:sz w:val="22"/>
              </w:rPr>
              <w:t>cd</w:t>
            </w:r>
            <w:r>
              <w:rPr>
                <w:sz w:val="22"/>
              </w:rPr>
              <w:t>ef</w:t>
            </w:r>
            <w:r>
              <w:rPr>
                <w:b/>
                <w:sz w:val="22"/>
              </w:rPr>
              <w:t>gh</w:t>
            </w:r>
            <w:r>
              <w:rPr>
                <w:sz w:val="22"/>
              </w:rPr>
              <w:t>“ </w:t>
            </w:r>
            <w:r>
              <w:rPr>
                <w:i/>
                <w:sz w:val="22"/>
              </w:rPr>
              <w:t>end example</w:t>
            </w:r>
            <w:r>
              <w:rPr>
                <w:sz w:val="22"/>
              </w:rPr>
              <w:t>]</w:t>
            </w:r>
          </w:p>
        </w:tc>
      </w:tr>
      <w:tr>
        <w:trPr>
          <w:trHeight w:val="354" w:hRule="atLeast"/>
        </w:trPr>
        <w:tc>
          <w:tcPr>
            <w:tcW w:w="1736" w:type="dxa"/>
          </w:tcPr>
          <w:p>
            <w:pPr>
              <w:pStyle w:val="TableParagraph"/>
              <w:spacing w:before="42"/>
              <w:rPr>
                <w:rFonts w:ascii="Consolas"/>
                <w:sz w:val="22"/>
              </w:rPr>
            </w:pPr>
            <w:r>
              <w:rPr>
                <w:rFonts w:ascii="Consolas"/>
                <w:sz w:val="22"/>
              </w:rPr>
              <w:t>&amp;C</w:t>
            </w:r>
          </w:p>
        </w:tc>
        <w:tc>
          <w:tcPr>
            <w:tcW w:w="8282" w:type="dxa"/>
          </w:tcPr>
          <w:p>
            <w:pPr>
              <w:pStyle w:val="TableParagraph"/>
              <w:ind w:left="114"/>
              <w:rPr>
                <w:sz w:val="22"/>
              </w:rPr>
            </w:pPr>
            <w:r>
              <w:rPr>
                <w:sz w:val="22"/>
              </w:rPr>
              <w:t>Center section</w:t>
            </w:r>
          </w:p>
        </w:tc>
      </w:tr>
      <w:tr>
        <w:trPr>
          <w:trHeight w:val="354" w:hRule="atLeast"/>
        </w:trPr>
        <w:tc>
          <w:tcPr>
            <w:tcW w:w="1736" w:type="dxa"/>
          </w:tcPr>
          <w:p>
            <w:pPr>
              <w:pStyle w:val="TableParagraph"/>
              <w:spacing w:before="42"/>
              <w:rPr>
                <w:rFonts w:ascii="Consolas"/>
                <w:sz w:val="22"/>
              </w:rPr>
            </w:pPr>
            <w:r>
              <w:rPr>
                <w:rFonts w:ascii="Consolas"/>
                <w:sz w:val="22"/>
              </w:rPr>
              <w:t>&amp;D</w:t>
            </w:r>
          </w:p>
        </w:tc>
        <w:tc>
          <w:tcPr>
            <w:tcW w:w="8282" w:type="dxa"/>
          </w:tcPr>
          <w:p>
            <w:pPr>
              <w:pStyle w:val="TableParagraph"/>
              <w:ind w:left="114"/>
              <w:rPr>
                <w:sz w:val="22"/>
              </w:rPr>
            </w:pPr>
            <w:r>
              <w:rPr>
                <w:sz w:val="22"/>
              </w:rPr>
              <w:t>Current date</w:t>
            </w:r>
          </w:p>
        </w:tc>
      </w:tr>
      <w:tr>
        <w:trPr>
          <w:trHeight w:val="892" w:hRule="atLeast"/>
        </w:trPr>
        <w:tc>
          <w:tcPr>
            <w:tcW w:w="1736" w:type="dxa"/>
          </w:tcPr>
          <w:p>
            <w:pPr>
              <w:pStyle w:val="TableParagraph"/>
              <w:spacing w:before="42"/>
              <w:rPr>
                <w:rFonts w:ascii="Consolas"/>
                <w:sz w:val="22"/>
              </w:rPr>
            </w:pPr>
            <w:r>
              <w:rPr>
                <w:rFonts w:ascii="Consolas"/>
                <w:sz w:val="22"/>
              </w:rPr>
              <w:t>&amp;E</w:t>
            </w:r>
          </w:p>
        </w:tc>
        <w:tc>
          <w:tcPr>
            <w:tcW w:w="8282" w:type="dxa"/>
          </w:tcPr>
          <w:p>
            <w:pPr>
              <w:pStyle w:val="TableParagraph"/>
              <w:ind w:left="114" w:right="267"/>
              <w:rPr>
                <w:sz w:val="22"/>
              </w:rPr>
            </w:pPr>
            <w:r>
              <w:rPr>
                <w:sz w:val="22"/>
              </w:rPr>
              <w:t>Double-underline text format. The next occurrence in a section specifier toggles double- underline mode, from off to on, or vice versa. The default mode is off. [</w:t>
            </w:r>
            <w:r>
              <w:rPr>
                <w:i/>
                <w:sz w:val="22"/>
              </w:rPr>
              <w:t>Example</w:t>
            </w:r>
            <w:r>
              <w:rPr>
                <w:sz w:val="22"/>
              </w:rPr>
              <w:t>: “</w:t>
            </w:r>
            <w:r>
              <w:rPr>
                <w:rFonts w:ascii="Consolas" w:hAnsi="Consolas"/>
                <w:sz w:val="22"/>
              </w:rPr>
              <w:t>ab&amp;amp;Ecd&amp;amp;Eef&amp;amp;Egh</w:t>
            </w:r>
            <w:r>
              <w:rPr>
                <w:sz w:val="22"/>
              </w:rPr>
              <w:t>“ results in “abcdefgh“ </w:t>
            </w:r>
            <w:r>
              <w:rPr>
                <w:i/>
                <w:sz w:val="22"/>
              </w:rPr>
              <w:t>end example</w:t>
            </w:r>
            <w:r>
              <w:rPr>
                <w:sz w:val="22"/>
              </w:rPr>
              <w: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6"/>
        <w:gridCol w:w="8282"/>
      </w:tblGrid>
      <w:tr>
        <w:trPr>
          <w:trHeight w:val="331" w:hRule="atLeast"/>
        </w:trPr>
        <w:tc>
          <w:tcPr>
            <w:tcW w:w="1736" w:type="dxa"/>
            <w:shd w:val="clear" w:color="auto" w:fill="C0C0C0"/>
          </w:tcPr>
          <w:p>
            <w:pPr>
              <w:pStyle w:val="TableParagraph"/>
              <w:spacing w:before="42"/>
              <w:ind w:left="172"/>
              <w:rPr>
                <w:b/>
                <w:sz w:val="20"/>
              </w:rPr>
            </w:pPr>
            <w:r>
              <w:rPr>
                <w:b/>
                <w:sz w:val="20"/>
              </w:rPr>
              <w:t>Formatting Code</w:t>
            </w:r>
          </w:p>
        </w:tc>
        <w:tc>
          <w:tcPr>
            <w:tcW w:w="8282" w:type="dxa"/>
            <w:shd w:val="clear" w:color="auto" w:fill="C0C0C0"/>
          </w:tcPr>
          <w:p>
            <w:pPr>
              <w:pStyle w:val="TableParagraph"/>
              <w:spacing w:before="42"/>
              <w:ind w:left="3752" w:right="3747"/>
              <w:jc w:val="center"/>
              <w:rPr>
                <w:b/>
                <w:sz w:val="20"/>
              </w:rPr>
            </w:pPr>
            <w:r>
              <w:rPr>
                <w:b/>
                <w:sz w:val="20"/>
              </w:rPr>
              <w:t>Meaning</w:t>
            </w:r>
          </w:p>
        </w:tc>
      </w:tr>
      <w:tr>
        <w:trPr>
          <w:trHeight w:val="354" w:hRule="atLeast"/>
        </w:trPr>
        <w:tc>
          <w:tcPr>
            <w:tcW w:w="1736" w:type="dxa"/>
          </w:tcPr>
          <w:p>
            <w:pPr>
              <w:pStyle w:val="TableParagraph"/>
              <w:spacing w:before="42"/>
              <w:rPr>
                <w:rFonts w:ascii="Consolas"/>
                <w:sz w:val="22"/>
              </w:rPr>
            </w:pPr>
            <w:r>
              <w:rPr>
                <w:rFonts w:ascii="Consolas"/>
                <w:sz w:val="22"/>
              </w:rPr>
              <w:t>&amp;F</w:t>
            </w:r>
          </w:p>
        </w:tc>
        <w:tc>
          <w:tcPr>
            <w:tcW w:w="8282" w:type="dxa"/>
          </w:tcPr>
          <w:p>
            <w:pPr>
              <w:pStyle w:val="TableParagraph"/>
              <w:ind w:left="114"/>
              <w:rPr>
                <w:sz w:val="22"/>
              </w:rPr>
            </w:pPr>
            <w:r>
              <w:rPr>
                <w:sz w:val="22"/>
              </w:rPr>
              <w:t>Current workbook's file name</w:t>
            </w:r>
          </w:p>
        </w:tc>
      </w:tr>
      <w:tr>
        <w:trPr>
          <w:trHeight w:val="1091" w:hRule="atLeast"/>
        </w:trPr>
        <w:tc>
          <w:tcPr>
            <w:tcW w:w="1736" w:type="dxa"/>
          </w:tcPr>
          <w:p>
            <w:pPr>
              <w:pStyle w:val="TableParagraph"/>
              <w:spacing w:before="42"/>
              <w:rPr>
                <w:rFonts w:ascii="Consolas"/>
                <w:sz w:val="22"/>
              </w:rPr>
            </w:pPr>
            <w:r>
              <w:rPr>
                <w:rFonts w:ascii="Consolas"/>
                <w:sz w:val="22"/>
              </w:rPr>
              <w:t>&amp;G</w:t>
            </w:r>
          </w:p>
        </w:tc>
        <w:tc>
          <w:tcPr>
            <w:tcW w:w="8282" w:type="dxa"/>
          </w:tcPr>
          <w:p>
            <w:pPr>
              <w:pStyle w:val="TableParagraph"/>
              <w:ind w:left="114" w:right="520"/>
              <w:rPr>
                <w:sz w:val="20"/>
              </w:rPr>
            </w:pPr>
            <w:r>
              <w:rPr>
                <w:sz w:val="22"/>
              </w:rPr>
              <w:t>Drawing object as background. </w:t>
            </w:r>
            <w:r>
              <w:rPr>
                <w:sz w:val="20"/>
              </w:rPr>
              <w:t>[</w:t>
            </w:r>
            <w:r>
              <w:rPr>
                <w:i/>
                <w:sz w:val="22"/>
              </w:rPr>
              <w:t>Example</w:t>
            </w:r>
            <w:r>
              <w:rPr>
                <w:sz w:val="20"/>
              </w:rPr>
              <w:t>: “</w:t>
            </w:r>
            <w:r>
              <w:rPr>
                <w:rFonts w:ascii="Consolas" w:hAnsi="Consolas"/>
                <w:sz w:val="20"/>
              </w:rPr>
              <w:t>&amp;amp;L--&amp;amp;G--&amp;amp;R--&amp;amp;G--</w:t>
            </w:r>
            <w:r>
              <w:rPr>
                <w:sz w:val="22"/>
              </w:rPr>
              <w:t>“ results in a drawing with text before and after, in both the left and right sections. </w:t>
            </w:r>
            <w:r>
              <w:rPr>
                <w:i/>
                <w:sz w:val="22"/>
              </w:rPr>
              <w:t>end </w:t>
            </w:r>
            <w:r>
              <w:rPr>
                <w:i/>
                <w:sz w:val="22"/>
              </w:rPr>
              <w:t>example</w:t>
            </w:r>
            <w:r>
              <w:rPr>
                <w:sz w:val="20"/>
              </w:rPr>
              <w:t>]</w:t>
            </w:r>
          </w:p>
        </w:tc>
      </w:tr>
      <w:tr>
        <w:trPr>
          <w:trHeight w:val="621" w:hRule="atLeast"/>
        </w:trPr>
        <w:tc>
          <w:tcPr>
            <w:tcW w:w="1736" w:type="dxa"/>
          </w:tcPr>
          <w:p>
            <w:pPr>
              <w:pStyle w:val="TableParagraph"/>
              <w:spacing w:before="42"/>
              <w:rPr>
                <w:rFonts w:ascii="Consolas"/>
                <w:sz w:val="22"/>
              </w:rPr>
            </w:pPr>
            <w:r>
              <w:rPr>
                <w:rFonts w:ascii="Consolas"/>
                <w:sz w:val="22"/>
              </w:rPr>
              <w:t>&amp;H</w:t>
            </w:r>
          </w:p>
        </w:tc>
        <w:tc>
          <w:tcPr>
            <w:tcW w:w="8282" w:type="dxa"/>
          </w:tcPr>
          <w:p>
            <w:pPr>
              <w:pStyle w:val="TableParagraph"/>
              <w:ind w:left="114" w:right="498"/>
              <w:rPr>
                <w:sz w:val="22"/>
              </w:rPr>
            </w:pPr>
            <w:r>
              <w:rPr>
                <w:sz w:val="22"/>
              </w:rPr>
              <w:t>Shadow text format. The next occurrence in a section specifier toggles shadow mode, either from off to on, or vice versa. The default mode is off.</w:t>
            </w:r>
          </w:p>
        </w:tc>
      </w:tr>
      <w:tr>
        <w:trPr>
          <w:trHeight w:val="1214" w:hRule="atLeast"/>
        </w:trPr>
        <w:tc>
          <w:tcPr>
            <w:tcW w:w="1736" w:type="dxa"/>
          </w:tcPr>
          <w:p>
            <w:pPr>
              <w:pStyle w:val="TableParagraph"/>
              <w:spacing w:before="42"/>
              <w:rPr>
                <w:rFonts w:ascii="Consolas"/>
                <w:sz w:val="22"/>
              </w:rPr>
            </w:pPr>
            <w:r>
              <w:rPr>
                <w:rFonts w:ascii="Consolas"/>
                <w:sz w:val="22"/>
              </w:rPr>
              <w:t>&amp;I</w:t>
            </w:r>
          </w:p>
          <w:p>
            <w:pPr>
              <w:pStyle w:val="TableParagraph"/>
              <w:spacing w:line="257" w:lineRule="exact" w:before="2"/>
              <w:ind w:left="357"/>
              <w:rPr>
                <w:rFonts w:ascii="Consolas"/>
                <w:sz w:val="22"/>
              </w:rPr>
            </w:pPr>
            <w:r>
              <w:rPr>
                <w:rFonts w:ascii="Consolas"/>
                <w:sz w:val="22"/>
              </w:rPr>
              <w:t>or</w:t>
            </w:r>
          </w:p>
          <w:p>
            <w:pPr>
              <w:pStyle w:val="TableParagraph"/>
              <w:spacing w:line="257" w:lineRule="exact" w:before="0"/>
              <w:rPr>
                <w:rFonts w:ascii="Consolas"/>
                <w:sz w:val="22"/>
              </w:rPr>
            </w:pPr>
            <w:r>
              <w:rPr>
                <w:rFonts w:ascii="Consolas"/>
                <w:sz w:val="22"/>
              </w:rPr>
              <w:t>&amp;"-,Italic"</w:t>
            </w:r>
          </w:p>
        </w:tc>
        <w:tc>
          <w:tcPr>
            <w:tcW w:w="8282" w:type="dxa"/>
          </w:tcPr>
          <w:p>
            <w:pPr>
              <w:pStyle w:val="TableParagraph"/>
              <w:spacing w:line="278" w:lineRule="auto"/>
              <w:ind w:left="114" w:right="468"/>
              <w:rPr>
                <w:sz w:val="22"/>
              </w:rPr>
            </w:pPr>
            <w:r>
              <w:rPr>
                <w:sz w:val="22"/>
              </w:rPr>
              <w:t>Italic text format. The next occurrence in a section specifier toggles italic mode, either from off to on, or vice versa. The default mode is off. [</w:t>
            </w:r>
            <w:r>
              <w:rPr>
                <w:i/>
                <w:sz w:val="22"/>
              </w:rPr>
              <w:t>Example</w:t>
            </w:r>
            <w:r>
              <w:rPr>
                <w:sz w:val="22"/>
              </w:rPr>
              <w:t>: “</w:t>
            </w:r>
            <w:r>
              <w:rPr>
                <w:rFonts w:ascii="Consolas" w:hAnsi="Consolas"/>
                <w:sz w:val="22"/>
              </w:rPr>
              <w:t>ab&amp;amp;Icd&amp;amp;Ief&amp;amp;Igh</w:t>
            </w:r>
            <w:r>
              <w:rPr>
                <w:sz w:val="22"/>
              </w:rPr>
              <w:t>“ results in “ab</w:t>
            </w:r>
            <w:r>
              <w:rPr>
                <w:i/>
                <w:sz w:val="22"/>
              </w:rPr>
              <w:t>cd</w:t>
            </w:r>
            <w:r>
              <w:rPr>
                <w:sz w:val="22"/>
              </w:rPr>
              <w:t>ef</w:t>
            </w:r>
            <w:r>
              <w:rPr>
                <w:i/>
                <w:sz w:val="22"/>
              </w:rPr>
              <w:t>gh</w:t>
            </w:r>
            <w:r>
              <w:rPr>
                <w:sz w:val="22"/>
              </w:rPr>
              <w:t>“ </w:t>
            </w:r>
            <w:r>
              <w:rPr>
                <w:i/>
                <w:sz w:val="22"/>
              </w:rPr>
              <w:t>end example</w:t>
            </w:r>
            <w:r>
              <w:rPr>
                <w:sz w:val="22"/>
              </w:rPr>
              <w:t>]</w:t>
            </w:r>
          </w:p>
        </w:tc>
      </w:tr>
      <w:tr>
        <w:trPr>
          <w:trHeight w:val="2563" w:hRule="atLeast"/>
        </w:trPr>
        <w:tc>
          <w:tcPr>
            <w:tcW w:w="1736" w:type="dxa"/>
          </w:tcPr>
          <w:p>
            <w:pPr>
              <w:pStyle w:val="TableParagraph"/>
              <w:spacing w:before="43"/>
              <w:rPr>
                <w:rFonts w:ascii="Consolas"/>
                <w:sz w:val="22"/>
              </w:rPr>
            </w:pPr>
            <w:r>
              <w:rPr>
                <w:rFonts w:ascii="Consolas"/>
                <w:sz w:val="22"/>
              </w:rPr>
              <w:t>&amp;K</w:t>
            </w:r>
          </w:p>
        </w:tc>
        <w:tc>
          <w:tcPr>
            <w:tcW w:w="8282" w:type="dxa"/>
          </w:tcPr>
          <w:p>
            <w:pPr>
              <w:pStyle w:val="TableParagraph"/>
              <w:spacing w:before="43"/>
              <w:ind w:left="114"/>
              <w:rPr>
                <w:sz w:val="22"/>
              </w:rPr>
            </w:pPr>
            <w:r>
              <w:rPr>
                <w:sz w:val="22"/>
              </w:rPr>
              <w:t>Text font color</w:t>
            </w:r>
          </w:p>
          <w:p>
            <w:pPr>
              <w:pStyle w:val="TableParagraph"/>
              <w:spacing w:before="8"/>
              <w:ind w:left="0"/>
              <w:rPr>
                <w:rFonts w:ascii="Times New Roman"/>
                <w:sz w:val="20"/>
              </w:rPr>
            </w:pPr>
          </w:p>
          <w:p>
            <w:pPr>
              <w:pStyle w:val="TableParagraph"/>
              <w:numPr>
                <w:ilvl w:val="0"/>
                <w:numId w:val="25"/>
              </w:numPr>
              <w:tabs>
                <w:tab w:pos="834" w:val="left" w:leader="none"/>
                <w:tab w:pos="835" w:val="left" w:leader="none"/>
              </w:tabs>
              <w:spacing w:line="240" w:lineRule="auto" w:before="0" w:after="0"/>
              <w:ind w:left="834" w:right="0" w:hanging="361"/>
              <w:jc w:val="left"/>
              <w:rPr>
                <w:i/>
                <w:sz w:val="22"/>
              </w:rPr>
            </w:pPr>
            <w:r>
              <w:rPr>
                <w:sz w:val="22"/>
              </w:rPr>
              <w:t>An RGB Color is specified as</w:t>
            </w:r>
            <w:r>
              <w:rPr>
                <w:spacing w:val="-5"/>
                <w:sz w:val="22"/>
              </w:rPr>
              <w:t> </w:t>
            </w:r>
            <w:r>
              <w:rPr>
                <w:i/>
                <w:sz w:val="22"/>
              </w:rPr>
              <w:t>RRGGBB</w:t>
            </w:r>
          </w:p>
          <w:p>
            <w:pPr>
              <w:pStyle w:val="TableParagraph"/>
              <w:numPr>
                <w:ilvl w:val="0"/>
                <w:numId w:val="25"/>
              </w:numPr>
              <w:tabs>
                <w:tab w:pos="834" w:val="left" w:leader="none"/>
                <w:tab w:pos="835" w:val="left" w:leader="none"/>
              </w:tabs>
              <w:spacing w:line="278" w:lineRule="auto" w:before="39" w:after="0"/>
              <w:ind w:left="834" w:right="836" w:hanging="360"/>
              <w:jc w:val="left"/>
              <w:rPr>
                <w:sz w:val="22"/>
              </w:rPr>
            </w:pPr>
            <w:r>
              <w:rPr>
                <w:sz w:val="22"/>
              </w:rPr>
              <w:t>A Theme Color is specified as </w:t>
            </w:r>
            <w:r>
              <w:rPr>
                <w:i/>
                <w:sz w:val="22"/>
              </w:rPr>
              <w:t>TTSNNN </w:t>
            </w:r>
            <w:r>
              <w:rPr>
                <w:sz w:val="22"/>
              </w:rPr>
              <w:t>where </w:t>
            </w:r>
            <w:r>
              <w:rPr>
                <w:i/>
                <w:sz w:val="22"/>
              </w:rPr>
              <w:t>TT </w:t>
            </w:r>
            <w:r>
              <w:rPr>
                <w:sz w:val="22"/>
              </w:rPr>
              <w:t>is the theme color Id, </w:t>
            </w:r>
            <w:r>
              <w:rPr>
                <w:i/>
                <w:sz w:val="22"/>
              </w:rPr>
              <w:t>S </w:t>
            </w:r>
            <w:r>
              <w:rPr>
                <w:sz w:val="22"/>
              </w:rPr>
              <w:t>is either “</w:t>
            </w:r>
            <w:r>
              <w:rPr>
                <w:rFonts w:ascii="Consolas" w:hAnsi="Consolas"/>
                <w:sz w:val="22"/>
              </w:rPr>
              <w:t>+</w:t>
            </w:r>
            <w:r>
              <w:rPr>
                <w:sz w:val="22"/>
              </w:rPr>
              <w:t>” or “</w:t>
            </w:r>
            <w:r>
              <w:rPr>
                <w:rFonts w:ascii="Consolas" w:hAnsi="Consolas"/>
                <w:sz w:val="22"/>
              </w:rPr>
              <w:t>-</w:t>
            </w:r>
            <w:r>
              <w:rPr>
                <w:sz w:val="22"/>
              </w:rPr>
              <w:t>“ of the tint/shade value, and </w:t>
            </w:r>
            <w:r>
              <w:rPr>
                <w:i/>
                <w:sz w:val="22"/>
              </w:rPr>
              <w:t>NNN </w:t>
            </w:r>
            <w:r>
              <w:rPr>
                <w:sz w:val="22"/>
              </w:rPr>
              <w:t>is the tint/shade</w:t>
            </w:r>
            <w:r>
              <w:rPr>
                <w:spacing w:val="-19"/>
                <w:sz w:val="22"/>
              </w:rPr>
              <w:t> </w:t>
            </w:r>
            <w:r>
              <w:rPr>
                <w:sz w:val="22"/>
              </w:rPr>
              <w:t>value.</w:t>
            </w:r>
          </w:p>
          <w:p>
            <w:pPr>
              <w:pStyle w:val="TableParagraph"/>
              <w:spacing w:before="195"/>
              <w:ind w:left="114"/>
              <w:rPr>
                <w:sz w:val="22"/>
              </w:rPr>
            </w:pPr>
            <w:r>
              <w:rPr>
                <w:sz w:val="22"/>
              </w:rPr>
              <w:t>[</w:t>
            </w:r>
            <w:r>
              <w:rPr>
                <w:i/>
                <w:sz w:val="22"/>
              </w:rPr>
              <w:t>Example</w:t>
            </w:r>
            <w:r>
              <w:rPr>
                <w:sz w:val="22"/>
              </w:rPr>
              <w:t>: “</w:t>
            </w:r>
            <w:r>
              <w:rPr>
                <w:rFonts w:ascii="Consolas" w:hAnsi="Consolas"/>
                <w:sz w:val="22"/>
              </w:rPr>
              <w:t>A&amp;amp;KFF0000B&amp;amp;K0070C0C&amp;amp;K01+000D&amp;amp;K07+037E</w:t>
            </w:r>
            <w:r>
              <w:rPr>
                <w:sz w:val="22"/>
              </w:rPr>
              <w:t>“</w:t>
            </w:r>
          </w:p>
          <w:p>
            <w:pPr>
              <w:pStyle w:val="TableParagraph"/>
              <w:spacing w:before="43"/>
              <w:ind w:left="114"/>
              <w:rPr>
                <w:sz w:val="22"/>
              </w:rPr>
            </w:pPr>
            <w:r>
              <w:rPr>
                <w:sz w:val="22"/>
              </w:rPr>
              <w:t>might result in something like “ABCDE“ </w:t>
            </w:r>
            <w:r>
              <w:rPr>
                <w:i/>
                <w:sz w:val="22"/>
              </w:rPr>
              <w:t>end example</w:t>
            </w:r>
            <w:r>
              <w:rPr>
                <w:sz w:val="22"/>
              </w:rPr>
              <w:t>]</w:t>
            </w:r>
          </w:p>
        </w:tc>
      </w:tr>
      <w:tr>
        <w:trPr>
          <w:trHeight w:val="419" w:hRule="atLeast"/>
        </w:trPr>
        <w:tc>
          <w:tcPr>
            <w:tcW w:w="1736" w:type="dxa"/>
          </w:tcPr>
          <w:p>
            <w:pPr>
              <w:pStyle w:val="TableParagraph"/>
              <w:spacing w:before="42"/>
              <w:rPr>
                <w:rFonts w:ascii="Consolas"/>
                <w:sz w:val="22"/>
              </w:rPr>
            </w:pPr>
            <w:r>
              <w:rPr>
                <w:rFonts w:ascii="Consolas"/>
                <w:sz w:val="22"/>
              </w:rPr>
              <w:t>&amp;L</w:t>
            </w:r>
          </w:p>
        </w:tc>
        <w:tc>
          <w:tcPr>
            <w:tcW w:w="8282" w:type="dxa"/>
          </w:tcPr>
          <w:p>
            <w:pPr>
              <w:pStyle w:val="TableParagraph"/>
              <w:ind w:left="114"/>
              <w:rPr>
                <w:sz w:val="22"/>
              </w:rPr>
            </w:pPr>
            <w:r>
              <w:rPr>
                <w:sz w:val="22"/>
              </w:rPr>
              <w:t>Left section</w:t>
            </w:r>
          </w:p>
        </w:tc>
      </w:tr>
      <w:tr>
        <w:trPr>
          <w:trHeight w:val="624" w:hRule="atLeast"/>
        </w:trPr>
        <w:tc>
          <w:tcPr>
            <w:tcW w:w="1736" w:type="dxa"/>
          </w:tcPr>
          <w:p>
            <w:pPr>
              <w:pStyle w:val="TableParagraph"/>
              <w:spacing w:before="42"/>
              <w:rPr>
                <w:rFonts w:ascii="Consolas"/>
                <w:sz w:val="22"/>
              </w:rPr>
            </w:pPr>
            <w:r>
              <w:rPr>
                <w:rFonts w:ascii="Consolas"/>
                <w:sz w:val="22"/>
              </w:rPr>
              <w:t>&amp;N</w:t>
            </w:r>
          </w:p>
        </w:tc>
        <w:tc>
          <w:tcPr>
            <w:tcW w:w="8282" w:type="dxa"/>
          </w:tcPr>
          <w:p>
            <w:pPr>
              <w:pStyle w:val="TableParagraph"/>
              <w:ind w:left="114" w:right="326"/>
              <w:rPr>
                <w:sz w:val="22"/>
              </w:rPr>
            </w:pPr>
            <w:r>
              <w:rPr>
                <w:sz w:val="22"/>
              </w:rPr>
              <w:t>Total number of pages. [</w:t>
            </w:r>
            <w:r>
              <w:rPr>
                <w:i/>
                <w:sz w:val="22"/>
              </w:rPr>
              <w:t>Example</w:t>
            </w:r>
            <w:r>
              <w:rPr>
                <w:sz w:val="22"/>
              </w:rPr>
              <w:t>: “Page &amp;amp;P of &amp;amp;N“ might result in something like “Page 1 of 3“ </w:t>
            </w:r>
            <w:r>
              <w:rPr>
                <w:i/>
                <w:sz w:val="22"/>
              </w:rPr>
              <w:t>end example</w:t>
            </w:r>
            <w:r>
              <w:rPr>
                <w:sz w:val="22"/>
              </w:rPr>
              <w:t>]</w:t>
            </w:r>
          </w:p>
        </w:tc>
      </w:tr>
      <w:tr>
        <w:trPr>
          <w:trHeight w:val="621" w:hRule="atLeast"/>
        </w:trPr>
        <w:tc>
          <w:tcPr>
            <w:tcW w:w="1736" w:type="dxa"/>
          </w:tcPr>
          <w:p>
            <w:pPr>
              <w:pStyle w:val="TableParagraph"/>
              <w:spacing w:before="42"/>
              <w:rPr>
                <w:rFonts w:ascii="Consolas"/>
                <w:sz w:val="22"/>
              </w:rPr>
            </w:pPr>
            <w:r>
              <w:rPr>
                <w:rFonts w:ascii="Consolas"/>
                <w:sz w:val="22"/>
              </w:rPr>
              <w:t>&amp;O</w:t>
            </w:r>
          </w:p>
        </w:tc>
        <w:tc>
          <w:tcPr>
            <w:tcW w:w="8282" w:type="dxa"/>
          </w:tcPr>
          <w:p>
            <w:pPr>
              <w:pStyle w:val="TableParagraph"/>
              <w:ind w:left="114" w:right="613"/>
              <w:rPr>
                <w:sz w:val="22"/>
              </w:rPr>
            </w:pPr>
            <w:r>
              <w:rPr>
                <w:sz w:val="22"/>
              </w:rPr>
              <w:t>Outline text format. The next occurrence in a section specifier toggles outline mode, either from off to on, or vice versa. The default mode is off.</w:t>
            </w:r>
          </w:p>
        </w:tc>
      </w:tr>
      <w:tr>
        <w:trPr>
          <w:trHeight w:val="1161" w:hRule="atLeast"/>
        </w:trPr>
        <w:tc>
          <w:tcPr>
            <w:tcW w:w="1736" w:type="dxa"/>
          </w:tcPr>
          <w:p>
            <w:pPr>
              <w:pStyle w:val="TableParagraph"/>
              <w:rPr>
                <w:sz w:val="22"/>
              </w:rPr>
            </w:pPr>
            <w:r>
              <w:rPr>
                <w:rFonts w:ascii="Consolas"/>
                <w:sz w:val="22"/>
              </w:rPr>
              <w:t>&amp;P</w:t>
            </w:r>
            <w:r>
              <w:rPr>
                <w:sz w:val="22"/>
              </w:rPr>
              <w:t>[[</w:t>
            </w:r>
            <w:r>
              <w:rPr>
                <w:rFonts w:ascii="Consolas"/>
                <w:sz w:val="22"/>
              </w:rPr>
              <w:t>+</w:t>
            </w:r>
            <w:r>
              <w:rPr>
                <w:sz w:val="22"/>
              </w:rPr>
              <w:t>|</w:t>
            </w:r>
            <w:r>
              <w:rPr>
                <w:rFonts w:ascii="Consolas"/>
                <w:sz w:val="22"/>
              </w:rPr>
              <w:t>-</w:t>
            </w:r>
            <w:r>
              <w:rPr>
                <w:sz w:val="22"/>
              </w:rPr>
              <w:t>]</w:t>
            </w:r>
            <w:r>
              <w:rPr>
                <w:rFonts w:ascii="Consolas"/>
                <w:i/>
                <w:sz w:val="22"/>
              </w:rPr>
              <w:t>n</w:t>
            </w:r>
            <w:r>
              <w:rPr>
                <w:sz w:val="22"/>
              </w:rPr>
              <w:t>]</w:t>
            </w:r>
          </w:p>
        </w:tc>
        <w:tc>
          <w:tcPr>
            <w:tcW w:w="8282" w:type="dxa"/>
          </w:tcPr>
          <w:p>
            <w:pPr>
              <w:pStyle w:val="TableParagraph"/>
              <w:ind w:left="114" w:right="104"/>
              <w:rPr>
                <w:sz w:val="22"/>
              </w:rPr>
            </w:pPr>
            <w:r>
              <w:rPr>
                <w:sz w:val="22"/>
              </w:rPr>
              <w:t>Without the optional suffix, the current page number in decimal. [</w:t>
            </w:r>
            <w:r>
              <w:rPr>
                <w:i/>
                <w:sz w:val="22"/>
              </w:rPr>
              <w:t>Example</w:t>
            </w:r>
            <w:r>
              <w:rPr>
                <w:sz w:val="22"/>
              </w:rPr>
              <w:t>: See formatting code </w:t>
            </w:r>
            <w:r>
              <w:rPr>
                <w:rFonts w:ascii="Consolas"/>
                <w:sz w:val="22"/>
              </w:rPr>
              <w:t>&amp;N</w:t>
            </w:r>
            <w:r>
              <w:rPr>
                <w:sz w:val="22"/>
              </w:rPr>
              <w:t>. </w:t>
            </w:r>
            <w:r>
              <w:rPr>
                <w:i/>
                <w:sz w:val="22"/>
              </w:rPr>
              <w:t>end example</w:t>
            </w:r>
            <w:r>
              <w:rPr>
                <w:sz w:val="22"/>
              </w:rPr>
              <w:t>] With the optional suffix, the current page number in decimal +/- the decimal number </w:t>
            </w:r>
            <w:r>
              <w:rPr>
                <w:i/>
                <w:sz w:val="22"/>
              </w:rPr>
              <w:t>n</w:t>
            </w:r>
            <w:r>
              <w:rPr>
                <w:sz w:val="22"/>
              </w:rPr>
              <w:t>. [</w:t>
            </w:r>
            <w:r>
              <w:rPr>
                <w:i/>
                <w:sz w:val="22"/>
              </w:rPr>
              <w:t>Example</w:t>
            </w:r>
            <w:r>
              <w:rPr>
                <w:sz w:val="22"/>
              </w:rPr>
              <w:t>: On Page 1, </w:t>
            </w:r>
            <w:r>
              <w:rPr>
                <w:rFonts w:ascii="Consolas"/>
                <w:sz w:val="22"/>
              </w:rPr>
              <w:t>&amp;</w:t>
            </w:r>
            <w:r>
              <w:rPr>
                <w:sz w:val="22"/>
              </w:rPr>
              <w:t>amp;</w:t>
            </w:r>
            <w:r>
              <w:rPr>
                <w:rFonts w:ascii="Consolas"/>
                <w:sz w:val="22"/>
              </w:rPr>
              <w:t>P</w:t>
            </w:r>
            <w:r>
              <w:rPr>
                <w:rFonts w:ascii="Consolas"/>
                <w:spacing w:val="-72"/>
                <w:sz w:val="22"/>
              </w:rPr>
              <w:t> </w:t>
            </w:r>
            <w:r>
              <w:rPr>
                <w:sz w:val="22"/>
              </w:rPr>
              <w:t>is 1, </w:t>
            </w:r>
            <w:r>
              <w:rPr>
                <w:rFonts w:ascii="Consolas"/>
                <w:sz w:val="22"/>
              </w:rPr>
              <w:t>&amp;</w:t>
            </w:r>
            <w:r>
              <w:rPr>
                <w:sz w:val="22"/>
              </w:rPr>
              <w:t>amp;</w:t>
            </w:r>
            <w:r>
              <w:rPr>
                <w:rFonts w:ascii="Consolas"/>
                <w:sz w:val="22"/>
              </w:rPr>
              <w:t>P+100</w:t>
            </w:r>
            <w:r>
              <w:rPr>
                <w:rFonts w:ascii="Consolas"/>
                <w:spacing w:val="-71"/>
                <w:sz w:val="22"/>
              </w:rPr>
              <w:t> </w:t>
            </w:r>
            <w:r>
              <w:rPr>
                <w:sz w:val="22"/>
              </w:rPr>
              <w:t>is 101, and </w:t>
            </w:r>
            <w:r>
              <w:rPr>
                <w:rFonts w:ascii="Consolas"/>
                <w:sz w:val="22"/>
              </w:rPr>
              <w:t>&amp;</w:t>
            </w:r>
            <w:r>
              <w:rPr>
                <w:sz w:val="22"/>
              </w:rPr>
              <w:t>amp;</w:t>
            </w:r>
            <w:r>
              <w:rPr>
                <w:rFonts w:ascii="Consolas"/>
                <w:sz w:val="22"/>
              </w:rPr>
              <w:t>P-5</w:t>
            </w:r>
            <w:r>
              <w:rPr>
                <w:rFonts w:ascii="Consolas"/>
                <w:spacing w:val="-74"/>
                <w:sz w:val="22"/>
              </w:rPr>
              <w:t> </w:t>
            </w:r>
            <w:r>
              <w:rPr>
                <w:sz w:val="22"/>
              </w:rPr>
              <w:t>is -4. </w:t>
            </w:r>
            <w:r>
              <w:rPr>
                <w:i/>
                <w:sz w:val="22"/>
              </w:rPr>
              <w:t>end example</w:t>
            </w:r>
            <w:r>
              <w:rPr>
                <w:sz w:val="22"/>
              </w:rPr>
              <w:t>]</w:t>
            </w:r>
          </w:p>
        </w:tc>
      </w:tr>
      <w:tr>
        <w:trPr>
          <w:trHeight w:val="354" w:hRule="atLeast"/>
        </w:trPr>
        <w:tc>
          <w:tcPr>
            <w:tcW w:w="1736" w:type="dxa"/>
          </w:tcPr>
          <w:p>
            <w:pPr>
              <w:pStyle w:val="TableParagraph"/>
              <w:spacing w:before="42"/>
              <w:rPr>
                <w:rFonts w:ascii="Consolas"/>
                <w:sz w:val="22"/>
              </w:rPr>
            </w:pPr>
            <w:r>
              <w:rPr>
                <w:rFonts w:ascii="Consolas"/>
                <w:sz w:val="22"/>
              </w:rPr>
              <w:t>&amp;R</w:t>
            </w:r>
          </w:p>
        </w:tc>
        <w:tc>
          <w:tcPr>
            <w:tcW w:w="8282" w:type="dxa"/>
          </w:tcPr>
          <w:p>
            <w:pPr>
              <w:pStyle w:val="TableParagraph"/>
              <w:ind w:left="114"/>
              <w:rPr>
                <w:sz w:val="22"/>
              </w:rPr>
            </w:pPr>
            <w:r>
              <w:rPr>
                <w:sz w:val="22"/>
              </w:rPr>
              <w:t>Right section</w:t>
            </w:r>
          </w:p>
        </w:tc>
      </w:tr>
      <w:tr>
        <w:trPr>
          <w:trHeight w:val="892" w:hRule="atLeast"/>
        </w:trPr>
        <w:tc>
          <w:tcPr>
            <w:tcW w:w="1736" w:type="dxa"/>
          </w:tcPr>
          <w:p>
            <w:pPr>
              <w:pStyle w:val="TableParagraph"/>
              <w:spacing w:before="42"/>
              <w:rPr>
                <w:rFonts w:ascii="Consolas"/>
                <w:sz w:val="22"/>
              </w:rPr>
            </w:pPr>
            <w:r>
              <w:rPr>
                <w:rFonts w:ascii="Consolas"/>
                <w:sz w:val="22"/>
              </w:rPr>
              <w:t>&amp;S</w:t>
            </w:r>
          </w:p>
        </w:tc>
        <w:tc>
          <w:tcPr>
            <w:tcW w:w="8282" w:type="dxa"/>
          </w:tcPr>
          <w:p>
            <w:pPr>
              <w:pStyle w:val="TableParagraph"/>
              <w:ind w:left="114" w:right="953"/>
              <w:rPr>
                <w:sz w:val="22"/>
              </w:rPr>
            </w:pPr>
            <w:r>
              <w:rPr>
                <w:sz w:val="22"/>
              </w:rPr>
              <w:t>Strikethrough text format. The next occurrence in a section specifier toggles strikethrough mode, either from off to on, or vice versa. The default mode is off. [</w:t>
            </w:r>
            <w:r>
              <w:rPr>
                <w:i/>
                <w:sz w:val="22"/>
              </w:rPr>
              <w:t>Example</w:t>
            </w:r>
            <w:r>
              <w:rPr>
                <w:sz w:val="22"/>
              </w:rPr>
              <w:t>: “</w:t>
            </w:r>
            <w:r>
              <w:rPr>
                <w:rFonts w:ascii="Consolas" w:hAnsi="Consolas"/>
                <w:sz w:val="22"/>
              </w:rPr>
              <w:t>aa&amp;amp;Sbb&amp;amp;Scc</w:t>
            </w:r>
            <w:r>
              <w:rPr>
                <w:sz w:val="22"/>
              </w:rPr>
              <w:t>“, results in “aa</w:t>
            </w:r>
            <w:r>
              <w:rPr>
                <w:strike/>
                <w:sz w:val="22"/>
              </w:rPr>
              <w:t>bb</w:t>
            </w:r>
            <w:r>
              <w:rPr>
                <w:strike w:val="0"/>
                <w:sz w:val="22"/>
              </w:rPr>
              <w:t>cc“. </w:t>
            </w:r>
            <w:r>
              <w:rPr>
                <w:i/>
                <w:strike w:val="0"/>
                <w:sz w:val="22"/>
              </w:rPr>
              <w:t>end example</w:t>
            </w:r>
            <w:r>
              <w:rPr>
                <w:strike w:val="0"/>
                <w:sz w:val="22"/>
              </w:rPr>
              <w:t>]</w:t>
            </w:r>
          </w:p>
        </w:tc>
      </w:tr>
      <w:tr>
        <w:trPr>
          <w:trHeight w:val="353" w:hRule="atLeast"/>
        </w:trPr>
        <w:tc>
          <w:tcPr>
            <w:tcW w:w="1736" w:type="dxa"/>
          </w:tcPr>
          <w:p>
            <w:pPr>
              <w:pStyle w:val="TableParagraph"/>
              <w:spacing w:before="42"/>
              <w:rPr>
                <w:rFonts w:ascii="Consolas"/>
                <w:sz w:val="22"/>
              </w:rPr>
            </w:pPr>
            <w:r>
              <w:rPr>
                <w:rFonts w:ascii="Consolas"/>
                <w:sz w:val="22"/>
              </w:rPr>
              <w:t>&amp;T</w:t>
            </w:r>
          </w:p>
        </w:tc>
        <w:tc>
          <w:tcPr>
            <w:tcW w:w="8282" w:type="dxa"/>
          </w:tcPr>
          <w:p>
            <w:pPr>
              <w:pStyle w:val="TableParagraph"/>
              <w:ind w:left="114"/>
              <w:rPr>
                <w:sz w:val="22"/>
              </w:rPr>
            </w:pPr>
            <w:r>
              <w:rPr>
                <w:sz w:val="22"/>
              </w:rPr>
              <w:t>Current time</w:t>
            </w:r>
          </w:p>
        </w:tc>
      </w:tr>
      <w:tr>
        <w:trPr>
          <w:trHeight w:val="1430" w:hRule="atLeast"/>
        </w:trPr>
        <w:tc>
          <w:tcPr>
            <w:tcW w:w="1736" w:type="dxa"/>
          </w:tcPr>
          <w:p>
            <w:pPr>
              <w:pStyle w:val="TableParagraph"/>
              <w:spacing w:before="42"/>
              <w:rPr>
                <w:rFonts w:ascii="Consolas"/>
                <w:sz w:val="22"/>
              </w:rPr>
            </w:pPr>
            <w:r>
              <w:rPr>
                <w:rFonts w:ascii="Consolas"/>
                <w:sz w:val="22"/>
              </w:rPr>
              <w:t>&amp;U</w:t>
            </w:r>
          </w:p>
        </w:tc>
        <w:tc>
          <w:tcPr>
            <w:tcW w:w="8282" w:type="dxa"/>
          </w:tcPr>
          <w:p>
            <w:pPr>
              <w:pStyle w:val="TableParagraph"/>
              <w:ind w:left="114" w:right="487"/>
              <w:rPr>
                <w:sz w:val="22"/>
              </w:rPr>
            </w:pPr>
            <w:r>
              <w:rPr>
                <w:sz w:val="22"/>
              </w:rPr>
              <w:t>Single-underline text format. If double-underline mode is on, the next occurrence in a section specifier toggles double-underline mode to off; otherwise, it toggles single- underline mode, from off to on, or vice versa. The default mode is off. [</w:t>
            </w:r>
            <w:r>
              <w:rPr>
                <w:i/>
                <w:sz w:val="22"/>
              </w:rPr>
              <w:t>Example</w:t>
            </w:r>
            <w:r>
              <w:rPr>
                <w:sz w:val="22"/>
              </w:rPr>
              <w:t>: “</w:t>
            </w:r>
            <w:r>
              <w:rPr>
                <w:rFonts w:ascii="Consolas" w:hAnsi="Consolas"/>
                <w:sz w:val="22"/>
              </w:rPr>
              <w:t>&amp;amp;Ucd&amp;amp;Uef&amp;amp;Ugh</w:t>
            </w:r>
            <w:r>
              <w:rPr>
                <w:sz w:val="22"/>
              </w:rPr>
              <w:t>“ results in “cdefgh“ while </w:t>
            </w:r>
            <w:r>
              <w:rPr>
                <w:rFonts w:ascii="Consolas" w:hAnsi="Consolas"/>
                <w:sz w:val="22"/>
              </w:rPr>
              <w:t>&amp;amp;Uaa&amp;amp;Ebb&amp;amp;Ucc</w:t>
            </w:r>
            <w:r>
              <w:rPr>
                <w:sz w:val="22"/>
              </w:rPr>
              <w:t>“ results in “aabbcc“. </w:t>
            </w:r>
            <w:r>
              <w:rPr>
                <w:i/>
                <w:sz w:val="22"/>
              </w:rPr>
              <w:t>end example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6"/>
        <w:gridCol w:w="8282"/>
      </w:tblGrid>
      <w:tr>
        <w:trPr>
          <w:trHeight w:val="331" w:hRule="atLeast"/>
        </w:trPr>
        <w:tc>
          <w:tcPr>
            <w:tcW w:w="1736" w:type="dxa"/>
            <w:shd w:val="clear" w:color="auto" w:fill="C0C0C0"/>
          </w:tcPr>
          <w:p>
            <w:pPr>
              <w:pStyle w:val="TableParagraph"/>
              <w:spacing w:before="42"/>
              <w:ind w:left="172"/>
              <w:rPr>
                <w:b/>
                <w:sz w:val="20"/>
              </w:rPr>
            </w:pPr>
            <w:r>
              <w:rPr>
                <w:b/>
                <w:sz w:val="20"/>
              </w:rPr>
              <w:t>Formatting Code</w:t>
            </w:r>
          </w:p>
        </w:tc>
        <w:tc>
          <w:tcPr>
            <w:tcW w:w="8282" w:type="dxa"/>
            <w:shd w:val="clear" w:color="auto" w:fill="C0C0C0"/>
          </w:tcPr>
          <w:p>
            <w:pPr>
              <w:pStyle w:val="TableParagraph"/>
              <w:spacing w:before="42"/>
              <w:ind w:left="3752" w:right="3747"/>
              <w:jc w:val="center"/>
              <w:rPr>
                <w:b/>
                <w:sz w:val="20"/>
              </w:rPr>
            </w:pPr>
            <w:r>
              <w:rPr>
                <w:b/>
                <w:sz w:val="20"/>
              </w:rPr>
              <w:t>Meaning</w:t>
            </w:r>
          </w:p>
        </w:tc>
      </w:tr>
      <w:tr>
        <w:trPr>
          <w:trHeight w:val="1696" w:hRule="atLeast"/>
        </w:trPr>
        <w:tc>
          <w:tcPr>
            <w:tcW w:w="1736" w:type="dxa"/>
          </w:tcPr>
          <w:p>
            <w:pPr>
              <w:pStyle w:val="TableParagraph"/>
              <w:spacing w:before="42"/>
              <w:rPr>
                <w:rFonts w:ascii="Consolas"/>
                <w:sz w:val="22"/>
              </w:rPr>
            </w:pPr>
            <w:r>
              <w:rPr>
                <w:rFonts w:ascii="Consolas"/>
                <w:sz w:val="22"/>
              </w:rPr>
              <w:t>&amp;X</w:t>
            </w:r>
          </w:p>
        </w:tc>
        <w:tc>
          <w:tcPr>
            <w:tcW w:w="8282" w:type="dxa"/>
          </w:tcPr>
          <w:p>
            <w:pPr>
              <w:pStyle w:val="TableParagraph"/>
              <w:ind w:left="114" w:right="107"/>
              <w:rPr>
                <w:sz w:val="22"/>
              </w:rPr>
            </w:pPr>
            <w:r>
              <w:rPr>
                <w:sz w:val="22"/>
              </w:rPr>
              <w:t>Superscript text format. The next occurrence in a section specifier toggles superscript mode, either from off to on, or vice versa. The default mode is off. However, superscript and subscript mode cannot be on at the same time. If superscript mode is on, a subsequent subscript format code sets superscript mode off and subscript mode on. [</w:t>
            </w:r>
            <w:r>
              <w:rPr>
                <w:i/>
                <w:sz w:val="22"/>
              </w:rPr>
              <w:t>Example</w:t>
            </w:r>
            <w:r>
              <w:rPr>
                <w:sz w:val="22"/>
              </w:rPr>
              <w:t>: “</w:t>
            </w:r>
            <w:r>
              <w:rPr>
                <w:rFonts w:ascii="Consolas" w:hAnsi="Consolas"/>
                <w:sz w:val="22"/>
              </w:rPr>
              <w:t>aa&amp;amp;Xbb&amp;amp;Xcc&amp;amp;Ydd&amp;amp;Yee&amp;amp;Xff&amp;amp;Ygg</w:t>
            </w:r>
            <w:r>
              <w:rPr>
                <w:sz w:val="22"/>
              </w:rPr>
              <w:t>“ results in </w:t>
            </w:r>
            <w:r>
              <w:rPr>
                <w:position w:val="2"/>
                <w:sz w:val="22"/>
              </w:rPr>
              <w:t>“aa</w:t>
            </w:r>
            <w:r>
              <w:rPr>
                <w:position w:val="2"/>
                <w:sz w:val="22"/>
                <w:vertAlign w:val="superscript"/>
              </w:rPr>
              <w:t>bb</w:t>
            </w:r>
            <w:r>
              <w:rPr>
                <w:position w:val="2"/>
                <w:sz w:val="22"/>
                <w:vertAlign w:val="baseline"/>
              </w:rPr>
              <w:t>cc</w:t>
            </w:r>
            <w:r>
              <w:rPr>
                <w:sz w:val="14"/>
                <w:vertAlign w:val="baseline"/>
              </w:rPr>
              <w:t>dd</w:t>
            </w:r>
            <w:r>
              <w:rPr>
                <w:position w:val="2"/>
                <w:sz w:val="22"/>
                <w:vertAlign w:val="baseline"/>
              </w:rPr>
              <w:t>ee</w:t>
            </w:r>
            <w:r>
              <w:rPr>
                <w:position w:val="2"/>
                <w:sz w:val="22"/>
                <w:vertAlign w:val="superscript"/>
              </w:rPr>
              <w:t>ff</w:t>
            </w:r>
            <w:r>
              <w:rPr>
                <w:position w:val="2"/>
                <w:sz w:val="22"/>
                <w:vertAlign w:val="baseline"/>
              </w:rPr>
              <w:t> “. </w:t>
            </w:r>
            <w:r>
              <w:rPr>
                <w:i/>
                <w:position w:val="2"/>
                <w:sz w:val="22"/>
                <w:vertAlign w:val="baseline"/>
              </w:rPr>
              <w:t>end example</w:t>
            </w:r>
            <w:r>
              <w:rPr>
                <w:position w:val="2"/>
                <w:sz w:val="22"/>
                <w:vertAlign w:val="baseline"/>
              </w:rPr>
              <w:t>]</w:t>
            </w:r>
          </w:p>
          <w:p>
            <w:pPr>
              <w:pStyle w:val="TableParagraph"/>
              <w:spacing w:line="23" w:lineRule="exact" w:before="0"/>
              <w:ind w:left="1201"/>
              <w:rPr>
                <w:sz w:val="14"/>
              </w:rPr>
            </w:pPr>
            <w:r>
              <w:rPr>
                <w:sz w:val="14"/>
              </w:rPr>
              <w:t>gg</w:t>
            </w:r>
          </w:p>
        </w:tc>
      </w:tr>
      <w:tr>
        <w:trPr>
          <w:trHeight w:val="1430" w:hRule="atLeast"/>
        </w:trPr>
        <w:tc>
          <w:tcPr>
            <w:tcW w:w="1736" w:type="dxa"/>
          </w:tcPr>
          <w:p>
            <w:pPr>
              <w:pStyle w:val="TableParagraph"/>
              <w:spacing w:before="42"/>
              <w:rPr>
                <w:rFonts w:ascii="Consolas"/>
                <w:sz w:val="22"/>
              </w:rPr>
            </w:pPr>
            <w:r>
              <w:rPr>
                <w:rFonts w:ascii="Consolas"/>
                <w:sz w:val="22"/>
              </w:rPr>
              <w:t>&amp;Y</w:t>
            </w:r>
          </w:p>
        </w:tc>
        <w:tc>
          <w:tcPr>
            <w:tcW w:w="8282" w:type="dxa"/>
          </w:tcPr>
          <w:p>
            <w:pPr>
              <w:pStyle w:val="TableParagraph"/>
              <w:ind w:left="114"/>
              <w:rPr>
                <w:sz w:val="22"/>
              </w:rPr>
            </w:pPr>
            <w:r>
              <w:rPr>
                <w:sz w:val="22"/>
              </w:rPr>
              <w:t>Subscript text format. The next occurrence in a section specifier toggles subscript mode, either from off to on, or vice versa. The default mode is off. However, superscript and subscript mode cannot be on at the same time. If subscript mode is on, a subsequent superscript format code sets subscript mode off and superscript mode on. [</w:t>
            </w:r>
            <w:r>
              <w:rPr>
                <w:i/>
                <w:sz w:val="22"/>
              </w:rPr>
              <w:t>Example</w:t>
            </w:r>
            <w:r>
              <w:rPr>
                <w:sz w:val="22"/>
              </w:rPr>
              <w:t>: See formatting code </w:t>
            </w:r>
            <w:r>
              <w:rPr>
                <w:rFonts w:ascii="Consolas"/>
                <w:sz w:val="22"/>
              </w:rPr>
              <w:t>&amp;X</w:t>
            </w:r>
            <w:r>
              <w:rPr>
                <w:sz w:val="22"/>
              </w:rPr>
              <w:t>. </w:t>
            </w:r>
            <w:r>
              <w:rPr>
                <w:i/>
                <w:sz w:val="22"/>
              </w:rPr>
              <w:t>end example</w:t>
            </w:r>
            <w:r>
              <w:rPr>
                <w:sz w:val="22"/>
              </w:rPr>
              <w:t>]</w:t>
            </w:r>
          </w:p>
        </w:tc>
      </w:tr>
      <w:tr>
        <w:trPr>
          <w:trHeight w:val="355" w:hRule="atLeast"/>
        </w:trPr>
        <w:tc>
          <w:tcPr>
            <w:tcW w:w="1736" w:type="dxa"/>
          </w:tcPr>
          <w:p>
            <w:pPr>
              <w:pStyle w:val="TableParagraph"/>
              <w:spacing w:before="42"/>
              <w:rPr>
                <w:rFonts w:ascii="Consolas"/>
                <w:sz w:val="22"/>
              </w:rPr>
            </w:pPr>
            <w:r>
              <w:rPr>
                <w:rFonts w:ascii="Consolas"/>
                <w:sz w:val="22"/>
              </w:rPr>
              <w:t>&amp;Z</w:t>
            </w:r>
          </w:p>
        </w:tc>
        <w:tc>
          <w:tcPr>
            <w:tcW w:w="8282" w:type="dxa"/>
          </w:tcPr>
          <w:p>
            <w:pPr>
              <w:pStyle w:val="TableParagraph"/>
              <w:ind w:left="114"/>
              <w:rPr>
                <w:sz w:val="22"/>
              </w:rPr>
            </w:pPr>
            <w:r>
              <w:rPr>
                <w:sz w:val="22"/>
              </w:rPr>
              <w:t>Current workbook's file path</w:t>
            </w:r>
          </w:p>
        </w:tc>
      </w:tr>
    </w:tbl>
    <w:p>
      <w:pPr>
        <w:pStyle w:val="BodyText"/>
        <w:rPr>
          <w:rFonts w:ascii="Times New Roman"/>
          <w:sz w:val="20"/>
        </w:rPr>
      </w:pPr>
    </w:p>
    <w:p>
      <w:pPr>
        <w:pStyle w:val="BodyText"/>
        <w:spacing w:before="4"/>
        <w:rPr>
          <w:rFonts w:ascii="Times New Roman"/>
          <w:sz w:val="19"/>
        </w:rPr>
      </w:pPr>
    </w:p>
    <w:p>
      <w:pPr>
        <w:spacing w:before="56"/>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220"/>
      </w:pPr>
      <w:r>
        <w:rPr/>
        <w:t>This example demonstrates "Header" at the top and "Footer" at the bottom of a page.</w:t>
      </w:r>
    </w:p>
    <w:p>
      <w:pPr>
        <w:pStyle w:val="BodyText"/>
        <w:spacing w:before="8"/>
        <w:rPr>
          <w:sz w:val="19"/>
        </w:rPr>
      </w:pPr>
    </w:p>
    <w:p>
      <w:pPr>
        <w:pStyle w:val="BodyText"/>
        <w:ind w:left="508"/>
        <w:rPr>
          <w:rFonts w:ascii="Consolas"/>
        </w:rPr>
      </w:pPr>
      <w:r>
        <w:rPr>
          <w:rFonts w:ascii="Consolas"/>
        </w:rPr>
        <w:t>&lt;headerFooter&gt;</w:t>
      </w:r>
    </w:p>
    <w:p>
      <w:pPr>
        <w:pStyle w:val="BodyText"/>
        <w:spacing w:before="38"/>
        <w:ind w:left="750"/>
        <w:rPr>
          <w:rFonts w:ascii="Consolas"/>
        </w:rPr>
      </w:pPr>
      <w:r>
        <w:rPr>
          <w:rFonts w:ascii="Consolas"/>
        </w:rPr>
        <w:t>&lt;oddHeader&gt;&amp;amp;CHeader&lt;/oddHeader&gt;</w:t>
      </w:r>
    </w:p>
    <w:p>
      <w:pPr>
        <w:pStyle w:val="BodyText"/>
        <w:spacing w:before="40"/>
        <w:ind w:left="750"/>
        <w:rPr>
          <w:rFonts w:ascii="Consolas"/>
        </w:rPr>
      </w:pPr>
      <w:r>
        <w:rPr>
          <w:rFonts w:ascii="Consolas"/>
        </w:rPr>
        <w:t>&lt;oddFooter&gt;&amp;amp;CFooter&lt;/oddFooter&gt;</w:t>
      </w:r>
    </w:p>
    <w:p>
      <w:pPr>
        <w:pStyle w:val="BodyText"/>
        <w:spacing w:before="38"/>
        <w:ind w:left="508"/>
        <w:rPr>
          <w:rFonts w:ascii="Consolas"/>
        </w:rPr>
      </w:pPr>
      <w:r>
        <w:rPr>
          <w:rFonts w:ascii="Consolas"/>
        </w:rPr>
        <w:t>&lt;/headerFooter&gt;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1094"/>
        <w:jc w:val="both"/>
      </w:pPr>
      <w:r>
        <w:rPr/>
        <w:t>The tokens in the header &amp; footer elements can be localized. An application can decide which locales are supported. Even when a locale is not supported, the header and footer text shall be loaded, and only the formatting is discarded.</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line="257" w:lineRule="exact" w:before="42"/>
              <w:rPr>
                <w:rFonts w:ascii="Cambria"/>
                <w:sz w:val="22"/>
              </w:rPr>
            </w:pPr>
            <w:r>
              <w:rPr>
                <w:rFonts w:ascii="Cambria"/>
                <w:sz w:val="22"/>
              </w:rPr>
              <w:t>alignWithMargins</w:t>
            </w:r>
          </w:p>
          <w:p>
            <w:pPr>
              <w:pStyle w:val="TableParagraph"/>
              <w:spacing w:line="268" w:lineRule="exact" w:before="0"/>
              <w:rPr>
                <w:sz w:val="22"/>
              </w:rPr>
            </w:pPr>
            <w:r>
              <w:rPr>
                <w:sz w:val="22"/>
              </w:rPr>
              <w:t>(Align Margins)</w:t>
            </w:r>
          </w:p>
        </w:tc>
        <w:tc>
          <w:tcPr>
            <w:tcW w:w="8250" w:type="dxa"/>
          </w:tcPr>
          <w:p>
            <w:pPr>
              <w:pStyle w:val="TableParagraph"/>
              <w:ind w:right="360"/>
              <w:rPr>
                <w:sz w:val="22"/>
              </w:rPr>
            </w:pPr>
            <w:r>
              <w:rPr>
                <w:sz w:val="22"/>
              </w:rPr>
              <w:t>Align header footer margins with page margins. When </w:t>
            </w:r>
            <w:r>
              <w:rPr>
                <w:rFonts w:ascii="Consolas"/>
                <w:sz w:val="20"/>
              </w:rPr>
              <w:t>true</w:t>
            </w:r>
            <w:r>
              <w:rPr>
                <w:sz w:val="22"/>
              </w:rPr>
              <w:t>, as left/right margins grow and shrink, the header and footer edges stay aligned with the margins. When </w:t>
            </w:r>
            <w:r>
              <w:rPr>
                <w:rFonts w:ascii="Consolas"/>
                <w:sz w:val="20"/>
              </w:rPr>
              <w:t>false</w:t>
            </w:r>
            <w:r>
              <w:rPr>
                <w:sz w:val="22"/>
              </w:rPr>
              <w:t>, headers and footers are aligned on the paper edges, regardless of margins.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9" w:hRule="atLeast"/>
        </w:trPr>
        <w:tc>
          <w:tcPr>
            <w:tcW w:w="2062" w:type="dxa"/>
          </w:tcPr>
          <w:p>
            <w:pPr>
              <w:pStyle w:val="TableParagraph"/>
              <w:spacing w:line="237" w:lineRule="auto" w:before="47"/>
              <w:ind w:right="621"/>
              <w:jc w:val="both"/>
              <w:rPr>
                <w:sz w:val="22"/>
              </w:rPr>
            </w:pPr>
            <w:r>
              <w:rPr>
                <w:rFonts w:ascii="Cambria"/>
                <w:sz w:val="22"/>
              </w:rPr>
              <w:t>differentFirst </w:t>
            </w:r>
            <w:r>
              <w:rPr>
                <w:sz w:val="22"/>
              </w:rPr>
              <w:t>(Different First Page)</w:t>
            </w:r>
          </w:p>
        </w:tc>
        <w:tc>
          <w:tcPr>
            <w:tcW w:w="8250" w:type="dxa"/>
          </w:tcPr>
          <w:p>
            <w:pPr>
              <w:pStyle w:val="TableParagraph"/>
              <w:spacing w:before="42"/>
              <w:rPr>
                <w:sz w:val="22"/>
              </w:rPr>
            </w:pPr>
            <w:r>
              <w:rPr>
                <w:sz w:val="22"/>
              </w:rPr>
              <w:t>Different first-page header and footer indicator. When </w:t>
            </w:r>
            <w:r>
              <w:rPr>
                <w:rFonts w:ascii="Consolas"/>
                <w:sz w:val="20"/>
              </w:rPr>
              <w:t>true </w:t>
            </w:r>
            <w:r>
              <w:rPr>
                <w:sz w:val="22"/>
              </w:rPr>
              <w:t>then </w:t>
            </w:r>
            <w:r>
              <w:rPr>
                <w:rFonts w:ascii="Cambria"/>
                <w:sz w:val="22"/>
              </w:rPr>
              <w:t>firstHeader </w:t>
            </w:r>
            <w:r>
              <w:rPr>
                <w:sz w:val="22"/>
              </w:rPr>
              <w:t>and </w:t>
            </w:r>
            <w:r>
              <w:rPr>
                <w:rFonts w:ascii="Cambria"/>
                <w:sz w:val="22"/>
              </w:rPr>
              <w:t>firstFooter </w:t>
            </w:r>
            <w:r>
              <w:rPr>
                <w:sz w:val="22"/>
              </w:rPr>
              <w:t>specify the first page header and footer values, respectively. If </w:t>
            </w:r>
            <w:r>
              <w:rPr>
                <w:rFonts w:ascii="Consolas"/>
                <w:sz w:val="20"/>
              </w:rPr>
              <w:t>false</w:t>
            </w:r>
            <w:r>
              <w:rPr>
                <w:rFonts w:ascii="Consolas"/>
                <w:spacing w:val="-89"/>
                <w:sz w:val="20"/>
              </w:rPr>
              <w:t> </w:t>
            </w:r>
            <w:r>
              <w:rPr>
                <w:sz w:val="22"/>
              </w:rPr>
              <w:t>and </w:t>
            </w:r>
            <w:r>
              <w:rPr>
                <w:rFonts w:ascii="Cambria"/>
                <w:sz w:val="22"/>
              </w:rPr>
              <w:t>firstHeader</w:t>
            </w:r>
            <w:r>
              <w:rPr>
                <w:sz w:val="22"/>
              </w:rPr>
              <w:t>/</w:t>
            </w:r>
            <w:r>
              <w:rPr>
                <w:rFonts w:ascii="Cambria"/>
                <w:sz w:val="22"/>
              </w:rPr>
              <w:t>firstFooter </w:t>
            </w:r>
            <w:r>
              <w:rPr>
                <w:sz w:val="22"/>
              </w:rPr>
              <w:t>are present, they are ignored.</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623" w:hRule="atLeast"/>
        </w:trPr>
        <w:tc>
          <w:tcPr>
            <w:tcW w:w="2062" w:type="dxa"/>
          </w:tcPr>
          <w:p>
            <w:pPr>
              <w:pStyle w:val="TableParagraph"/>
              <w:spacing w:line="256" w:lineRule="exact" w:before="42"/>
              <w:rPr>
                <w:rFonts w:ascii="Cambria"/>
                <w:sz w:val="22"/>
              </w:rPr>
            </w:pPr>
            <w:r>
              <w:rPr>
                <w:rFonts w:ascii="Cambria"/>
                <w:sz w:val="22"/>
              </w:rPr>
              <w:t>differentOddEven</w:t>
            </w:r>
          </w:p>
          <w:p>
            <w:pPr>
              <w:pStyle w:val="TableParagraph"/>
              <w:spacing w:line="267" w:lineRule="exact" w:before="0"/>
              <w:rPr>
                <w:sz w:val="22"/>
              </w:rPr>
            </w:pPr>
            <w:r>
              <w:rPr>
                <w:sz w:val="22"/>
              </w:rPr>
              <w:t>(Different Odd Even</w:t>
            </w:r>
          </w:p>
        </w:tc>
        <w:tc>
          <w:tcPr>
            <w:tcW w:w="8250" w:type="dxa"/>
          </w:tcPr>
          <w:p>
            <w:pPr>
              <w:pStyle w:val="TableParagraph"/>
              <w:rPr>
                <w:sz w:val="22"/>
              </w:rPr>
            </w:pPr>
            <w:r>
              <w:rPr>
                <w:sz w:val="22"/>
              </w:rPr>
              <w:t>Different odd and even page headers and footers indicator. When </w:t>
            </w:r>
            <w:r>
              <w:rPr>
                <w:rFonts w:ascii="Consolas"/>
                <w:sz w:val="20"/>
              </w:rPr>
              <w:t>true</w:t>
            </w:r>
            <w:r>
              <w:rPr>
                <w:rFonts w:ascii="Consolas"/>
                <w:spacing w:val="-70"/>
                <w:sz w:val="20"/>
              </w:rPr>
              <w:t> </w:t>
            </w:r>
            <w:r>
              <w:rPr>
                <w:sz w:val="22"/>
              </w:rPr>
              <w:t>then</w:t>
            </w:r>
          </w:p>
          <w:p>
            <w:pPr>
              <w:pStyle w:val="TableParagraph"/>
              <w:spacing w:before="0"/>
              <w:rPr>
                <w:sz w:val="22"/>
              </w:rPr>
            </w:pPr>
            <w:r>
              <w:rPr>
                <w:rFonts w:ascii="Cambria"/>
                <w:sz w:val="22"/>
              </w:rPr>
              <w:t>oddHeader/oddFooter </w:t>
            </w:r>
            <w:r>
              <w:rPr>
                <w:sz w:val="22"/>
              </w:rPr>
              <w:t>and </w:t>
            </w:r>
            <w:r>
              <w:rPr>
                <w:rFonts w:ascii="Cambria"/>
                <w:sz w:val="22"/>
              </w:rPr>
              <w:t>evenHeader/evenFooter </w:t>
            </w:r>
            <w:r>
              <w:rPr>
                <w:sz w:val="22"/>
              </w:rPr>
              <w:t>specify the page header and</w:t>
            </w:r>
          </w:p>
        </w:tc>
      </w:tr>
    </w:tbl>
    <w:p>
      <w:pPr>
        <w:spacing w:after="0"/>
        <w:rPr>
          <w:sz w:val="22"/>
        </w:rPr>
        <w:sectPr>
          <w:footerReference w:type="even" r:id="rId37"/>
          <w:footerReference w:type="default" r:id="rId38"/>
          <w:pgSz w:w="12240" w:h="15840"/>
          <w:pgMar w:footer="746" w:header="761" w:top="1340" w:bottom="940" w:left="860" w:right="700"/>
          <w:pgNumType w:start="164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left="0" w:right="569"/>
              <w:jc w:val="right"/>
              <w:rPr>
                <w:sz w:val="22"/>
              </w:rPr>
            </w:pPr>
            <w:r>
              <w:rPr>
                <w:sz w:val="22"/>
              </w:rPr>
              <w:t>Header Footer)</w:t>
            </w:r>
          </w:p>
        </w:tc>
        <w:tc>
          <w:tcPr>
            <w:tcW w:w="8250" w:type="dxa"/>
          </w:tcPr>
          <w:p>
            <w:pPr>
              <w:pStyle w:val="TableParagraph"/>
              <w:rPr>
                <w:rFonts w:ascii="Cambria"/>
                <w:sz w:val="22"/>
              </w:rPr>
            </w:pPr>
            <w:r>
              <w:rPr>
                <w:sz w:val="22"/>
              </w:rPr>
              <w:t>footer values for odd and even pages, respectively. If </w:t>
            </w:r>
            <w:r>
              <w:rPr>
                <w:rFonts w:ascii="Consolas"/>
                <w:sz w:val="20"/>
              </w:rPr>
              <w:t>false</w:t>
            </w:r>
            <w:r>
              <w:rPr>
                <w:rFonts w:ascii="Consolas"/>
                <w:spacing w:val="-87"/>
                <w:sz w:val="20"/>
              </w:rPr>
              <w:t> </w:t>
            </w:r>
            <w:r>
              <w:rPr>
                <w:sz w:val="22"/>
              </w:rPr>
              <w:t>then </w:t>
            </w:r>
            <w:r>
              <w:rPr>
                <w:rFonts w:ascii="Cambria"/>
                <w:sz w:val="22"/>
              </w:rPr>
              <w:t>oddHeader</w:t>
            </w:r>
            <w:r>
              <w:rPr>
                <w:sz w:val="22"/>
              </w:rPr>
              <w:t>/</w:t>
            </w:r>
            <w:r>
              <w:rPr>
                <w:rFonts w:ascii="Cambria"/>
                <w:sz w:val="22"/>
              </w:rPr>
              <w:t>oddFooter</w:t>
            </w:r>
          </w:p>
          <w:p>
            <w:pPr>
              <w:pStyle w:val="TableParagraph"/>
              <w:spacing w:before="0"/>
              <w:rPr>
                <w:sz w:val="22"/>
              </w:rPr>
            </w:pPr>
            <w:r>
              <w:rPr>
                <w:sz w:val="22"/>
              </w:rPr>
              <w:t>is used, even when </w:t>
            </w:r>
            <w:r>
              <w:rPr>
                <w:rFonts w:ascii="Cambria"/>
                <w:sz w:val="22"/>
              </w:rPr>
              <w:t>evenHeader</w:t>
            </w:r>
            <w:r>
              <w:rPr>
                <w:sz w:val="22"/>
              </w:rPr>
              <w:t>/</w:t>
            </w:r>
            <w:r>
              <w:rPr>
                <w:rFonts w:ascii="Cambria"/>
                <w:sz w:val="22"/>
              </w:rPr>
              <w:t>evenFooter </w:t>
            </w:r>
            <w:r>
              <w:rPr>
                <w:sz w:val="22"/>
              </w:rPr>
              <w:t>are present.</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spacing w:before="42"/>
              <w:ind w:right="487"/>
              <w:rPr>
                <w:sz w:val="22"/>
              </w:rPr>
            </w:pPr>
            <w:r>
              <w:rPr>
                <w:rFonts w:ascii="Cambria"/>
                <w:sz w:val="22"/>
              </w:rPr>
              <w:t>scaleWithDoc </w:t>
            </w:r>
            <w:r>
              <w:rPr>
                <w:sz w:val="22"/>
              </w:rPr>
              <w:t>(Scale Header &amp; Footer With Document)</w:t>
            </w:r>
          </w:p>
        </w:tc>
        <w:tc>
          <w:tcPr>
            <w:tcW w:w="8250" w:type="dxa"/>
          </w:tcPr>
          <w:p>
            <w:pPr>
              <w:pStyle w:val="TableParagraph"/>
              <w:rPr>
                <w:sz w:val="22"/>
              </w:rPr>
            </w:pPr>
            <w:r>
              <w:rPr>
                <w:sz w:val="22"/>
              </w:rPr>
              <w:t>Scale header and footer with document scaling.</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CT_HeaderFooter</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7 hyperlink (Hyperlink)" w:id="242"/>
      <w:bookmarkEnd w:id="242"/>
      <w:r>
        <w:rPr/>
      </w:r>
      <w:bookmarkStart w:name="_bookmark79" w:id="243"/>
      <w:bookmarkEnd w:id="243"/>
      <w:r>
        <w:rPr/>
      </w:r>
      <w:bookmarkStart w:name="_bookmark79" w:id="244"/>
      <w:bookmarkEnd w:id="244"/>
      <w:r>
        <w:rPr>
          <w:color w:val="4F81BC"/>
        </w:rPr>
        <w:t>h</w:t>
      </w:r>
      <w:r>
        <w:rPr>
          <w:color w:val="4F81BC"/>
        </w:rPr>
        <w:t>yperlink</w:t>
      </w:r>
      <w:r>
        <w:rPr>
          <w:color w:val="4F81BC"/>
          <w:spacing w:val="-2"/>
        </w:rPr>
        <w:t> </w:t>
      </w:r>
      <w:r>
        <w:rPr>
          <w:color w:val="4F81BC"/>
        </w:rPr>
        <w:t>(Hyperlink)</w:t>
      </w:r>
    </w:p>
    <w:p>
      <w:pPr>
        <w:pStyle w:val="BodyText"/>
        <w:spacing w:before="121"/>
        <w:ind w:left="220"/>
      </w:pPr>
      <w:r>
        <w:rPr/>
        <w:t>A single hyperlink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480"/>
              <w:rPr>
                <w:sz w:val="22"/>
              </w:rPr>
            </w:pPr>
            <w:r>
              <w:rPr>
                <w:rFonts w:ascii="Cambria"/>
                <w:sz w:val="22"/>
              </w:rPr>
              <w:t>display </w:t>
            </w:r>
            <w:r>
              <w:rPr>
                <w:sz w:val="22"/>
              </w:rPr>
              <w:t>(Display String)</w:t>
            </w:r>
          </w:p>
        </w:tc>
        <w:tc>
          <w:tcPr>
            <w:tcW w:w="8250" w:type="dxa"/>
          </w:tcPr>
          <w:p>
            <w:pPr>
              <w:pStyle w:val="TableParagraph"/>
              <w:ind w:right="379"/>
              <w:rPr>
                <w:sz w:val="22"/>
              </w:rPr>
            </w:pPr>
            <w:r>
              <w:rPr>
                <w:sz w:val="22"/>
              </w:rPr>
              <w:t>Display string, if different from string in string table. This is a property on the hyperlink object, but does not need to appear in the spreadsheet application UI.</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29" w:hRule="atLeast"/>
        </w:trPr>
        <w:tc>
          <w:tcPr>
            <w:tcW w:w="2062" w:type="dxa"/>
            <w:tcBorders>
              <w:bottom w:val="nil"/>
            </w:tcBorders>
          </w:tcPr>
          <w:p>
            <w:pPr>
              <w:pStyle w:val="TableParagraph"/>
              <w:rPr>
                <w:sz w:val="22"/>
              </w:rPr>
            </w:pPr>
            <w:r>
              <w:rPr>
                <w:rFonts w:ascii="Cambria"/>
                <w:sz w:val="22"/>
              </w:rPr>
              <w:t>id </w:t>
            </w:r>
            <w:r>
              <w:rPr>
                <w:sz w:val="22"/>
              </w:rPr>
              <w:t>(Relationship Id)</w:t>
            </w:r>
          </w:p>
        </w:tc>
        <w:tc>
          <w:tcPr>
            <w:tcW w:w="8250" w:type="dxa"/>
            <w:tcBorders>
              <w:bottom w:val="nil"/>
            </w:tcBorders>
          </w:tcPr>
          <w:p>
            <w:pPr>
              <w:pStyle w:val="TableParagraph"/>
              <w:rPr>
                <w:sz w:val="22"/>
              </w:rPr>
            </w:pPr>
            <w:r>
              <w:rPr>
                <w:sz w:val="22"/>
              </w:rPr>
              <w:t>Relationship Id in this sheet's relationships part, expressing the target location of the</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resource.</w:t>
            </w:r>
          </w:p>
        </w:tc>
      </w:tr>
      <w:tr>
        <w:trPr>
          <w:trHeight w:val="246" w:hRule="atLeast"/>
        </w:trPr>
        <w:tc>
          <w:tcPr>
            <w:tcW w:w="2062" w:type="dxa"/>
            <w:tcBorders>
              <w:top w:val="nil"/>
              <w:bottom w:val="nil"/>
            </w:tcBorders>
          </w:tcPr>
          <w:p>
            <w:pPr>
              <w:pStyle w:val="TableParagraph"/>
              <w:spacing w:line="227" w:lineRule="exact" w:before="0"/>
              <w:rPr>
                <w:sz w:val="22"/>
              </w:rPr>
            </w:pPr>
            <w:r>
              <w:rPr>
                <w:sz w:val="22"/>
              </w:rPr>
              <w:t>Namespace:</w:t>
            </w:r>
          </w:p>
        </w:tc>
        <w:tc>
          <w:tcPr>
            <w:tcW w:w="8250" w:type="dxa"/>
            <w:tcBorders>
              <w:top w:val="nil"/>
              <w:bottom w:val="nil"/>
            </w:tcBorders>
          </w:tcPr>
          <w:p>
            <w:pPr>
              <w:pStyle w:val="TableParagraph"/>
              <w:spacing w:before="0"/>
              <w:ind w:left="0"/>
              <w:rPr>
                <w:rFonts w:ascii="Times New Roman"/>
                <w:sz w:val="16"/>
              </w:rPr>
            </w:pPr>
          </w:p>
        </w:tc>
      </w:tr>
      <w:tr>
        <w:trPr>
          <w:trHeight w:val="265" w:hRule="atLeast"/>
        </w:trPr>
        <w:tc>
          <w:tcPr>
            <w:tcW w:w="2062" w:type="dxa"/>
            <w:tcBorders>
              <w:top w:val="nil"/>
              <w:bottom w:val="nil"/>
            </w:tcBorders>
          </w:tcPr>
          <w:p>
            <w:pPr>
              <w:pStyle w:val="TableParagraph"/>
              <w:spacing w:line="240" w:lineRule="exact" w:before="5"/>
              <w:rPr>
                <w:rFonts w:ascii="Cambria"/>
                <w:sz w:val="22"/>
              </w:rPr>
            </w:pPr>
            <w:hyperlink r:id="rId18">
              <w:r>
                <w:rPr>
                  <w:rFonts w:ascii="Cambria"/>
                  <w:sz w:val="22"/>
                </w:rPr>
                <w:t>http://purl.oclc.or</w:t>
              </w:r>
            </w:hyperlink>
          </w:p>
        </w:tc>
        <w:tc>
          <w:tcPr>
            <w:tcW w:w="8250" w:type="dxa"/>
            <w:tcBorders>
              <w:top w:val="nil"/>
              <w:bottom w:val="nil"/>
            </w:tcBorders>
          </w:tcPr>
          <w:p>
            <w:pPr>
              <w:pStyle w:val="TableParagraph"/>
              <w:spacing w:line="243" w:lineRule="exact" w:before="2"/>
              <w:rPr>
                <w:sz w:val="22"/>
              </w:rPr>
            </w:pPr>
            <w:r>
              <w:rPr>
                <w:sz w:val="22"/>
              </w:rPr>
              <w:t>The possible values for this attribute are defined by the </w:t>
            </w:r>
            <w:r>
              <w:rPr>
                <w:rFonts w:ascii="Cambria"/>
                <w:sz w:val="22"/>
              </w:rPr>
              <w:t>ST_RelationshipId </w:t>
            </w:r>
            <w:r>
              <w:rPr>
                <w:sz w:val="22"/>
              </w:rPr>
              <w:t>simple type</w:t>
            </w:r>
          </w:p>
        </w:tc>
      </w:tr>
      <w:tr>
        <w:trPr>
          <w:trHeight w:val="256" w:hRule="atLeast"/>
        </w:trPr>
        <w:tc>
          <w:tcPr>
            <w:tcW w:w="2062" w:type="dxa"/>
            <w:tcBorders>
              <w:top w:val="nil"/>
              <w:bottom w:val="nil"/>
            </w:tcBorders>
          </w:tcPr>
          <w:p>
            <w:pPr>
              <w:pStyle w:val="TableParagraph"/>
              <w:spacing w:line="236" w:lineRule="exact" w:before="0"/>
              <w:rPr>
                <w:rFonts w:ascii="Cambria"/>
                <w:sz w:val="22"/>
              </w:rPr>
            </w:pPr>
            <w:r>
              <w:rPr>
                <w:rFonts w:ascii="Cambria"/>
                <w:sz w:val="22"/>
              </w:rPr>
              <w:t>g/ooxml/officeDoc</w:t>
            </w:r>
          </w:p>
        </w:tc>
        <w:tc>
          <w:tcPr>
            <w:tcW w:w="8250" w:type="dxa"/>
            <w:vMerge w:val="restart"/>
            <w:tcBorders>
              <w:top w:val="nil"/>
              <w:bottom w:val="nil"/>
            </w:tcBorders>
          </w:tcPr>
          <w:p>
            <w:pPr>
              <w:pStyle w:val="TableParagraph"/>
              <w:spacing w:line="237" w:lineRule="exact" w:before="6"/>
              <w:rPr>
                <w:sz w:val="22"/>
              </w:rPr>
            </w:pPr>
            <w:r>
              <w:rPr>
                <w:sz w:val="22"/>
              </w:rPr>
              <w:t>(§22.8.2.1).</w:t>
            </w:r>
          </w:p>
        </w:tc>
      </w:tr>
      <w:tr>
        <w:trPr>
          <w:trHeight w:val="7" w:hRule="atLeast"/>
        </w:trPr>
        <w:tc>
          <w:tcPr>
            <w:tcW w:w="2062" w:type="dxa"/>
            <w:vMerge w:val="restart"/>
            <w:tcBorders>
              <w:top w:val="nil"/>
              <w:bottom w:val="nil"/>
            </w:tcBorders>
          </w:tcPr>
          <w:p>
            <w:pPr>
              <w:pStyle w:val="TableParagraph"/>
              <w:spacing w:line="237" w:lineRule="exact" w:before="0"/>
              <w:rPr>
                <w:rFonts w:ascii="Cambria"/>
                <w:sz w:val="22"/>
              </w:rPr>
            </w:pPr>
            <w:r>
              <w:rPr>
                <w:rFonts w:ascii="Cambria"/>
                <w:sz w:val="22"/>
              </w:rPr>
              <w:t>ument/relationshi</w:t>
            </w:r>
          </w:p>
        </w:tc>
        <w:tc>
          <w:tcPr>
            <w:tcW w:w="8250" w:type="dxa"/>
            <w:vMerge/>
            <w:tcBorders>
              <w:top w:val="nil"/>
              <w:bottom w:val="nil"/>
            </w:tcBorders>
          </w:tcPr>
          <w:p>
            <w:pPr>
              <w:rPr>
                <w:sz w:val="2"/>
                <w:szCs w:val="2"/>
              </w:rPr>
            </w:pPr>
          </w:p>
        </w:tc>
      </w:tr>
      <w:tr>
        <w:trPr>
          <w:trHeight w:val="249" w:hRule="atLeast"/>
        </w:trPr>
        <w:tc>
          <w:tcPr>
            <w:tcW w:w="2062" w:type="dxa"/>
            <w:vMerge/>
            <w:tcBorders>
              <w:top w:val="nil"/>
              <w:bottom w:val="nil"/>
            </w:tcBorders>
          </w:tcPr>
          <w:p>
            <w:pPr>
              <w:rPr>
                <w:sz w:val="2"/>
                <w:szCs w:val="2"/>
              </w:rPr>
            </w:pPr>
          </w:p>
        </w:tc>
        <w:tc>
          <w:tcPr>
            <w:tcW w:w="8250" w:type="dxa"/>
            <w:tcBorders>
              <w:top w:val="nil"/>
              <w:bottom w:val="nil"/>
            </w:tcBorders>
          </w:tcPr>
          <w:p>
            <w:pPr>
              <w:pStyle w:val="TableParagraph"/>
              <w:spacing w:before="0"/>
              <w:ind w:left="0"/>
              <w:rPr>
                <w:rFonts w:ascii="Times New Roman"/>
                <w:sz w:val="18"/>
              </w:rPr>
            </w:pPr>
          </w:p>
        </w:tc>
      </w:tr>
      <w:tr>
        <w:trPr>
          <w:trHeight w:val="302" w:hRule="atLeast"/>
        </w:trPr>
        <w:tc>
          <w:tcPr>
            <w:tcW w:w="2062" w:type="dxa"/>
            <w:tcBorders>
              <w:top w:val="nil"/>
            </w:tcBorders>
          </w:tcPr>
          <w:p>
            <w:pPr>
              <w:pStyle w:val="TableParagraph"/>
              <w:spacing w:line="258" w:lineRule="exact" w:before="0"/>
              <w:rPr>
                <w:rFonts w:ascii="Cambria"/>
                <w:sz w:val="22"/>
              </w:rPr>
            </w:pPr>
            <w:r>
              <w:rPr>
                <w:rFonts w:ascii="Cambria"/>
                <w:sz w:val="22"/>
              </w:rPr>
              <w:t>ps</w:t>
            </w:r>
          </w:p>
        </w:tc>
        <w:tc>
          <w:tcPr>
            <w:tcW w:w="8250" w:type="dxa"/>
            <w:tcBorders>
              <w:top w:val="nil"/>
            </w:tcBorders>
          </w:tcPr>
          <w:p>
            <w:pPr>
              <w:pStyle w:val="TableParagraph"/>
              <w:spacing w:before="0"/>
              <w:ind w:left="0"/>
              <w:rPr>
                <w:rFonts w:ascii="Times New Roman"/>
                <w:sz w:val="22"/>
              </w:rPr>
            </w:pPr>
          </w:p>
        </w:tc>
      </w:tr>
      <w:tr>
        <w:trPr>
          <w:trHeight w:val="1427" w:hRule="atLeast"/>
        </w:trPr>
        <w:tc>
          <w:tcPr>
            <w:tcW w:w="2062" w:type="dxa"/>
          </w:tcPr>
          <w:p>
            <w:pPr>
              <w:pStyle w:val="TableParagraph"/>
              <w:rPr>
                <w:sz w:val="22"/>
              </w:rPr>
            </w:pPr>
            <w:r>
              <w:rPr>
                <w:rFonts w:ascii="Cambria"/>
                <w:sz w:val="22"/>
              </w:rPr>
              <w:t>location </w:t>
            </w:r>
            <w:r>
              <w:rPr>
                <w:sz w:val="22"/>
              </w:rPr>
              <w:t>(Location)</w:t>
            </w:r>
          </w:p>
        </w:tc>
        <w:tc>
          <w:tcPr>
            <w:tcW w:w="8250" w:type="dxa"/>
          </w:tcPr>
          <w:p>
            <w:pPr>
              <w:pStyle w:val="TableParagraph"/>
              <w:ind w:right="612"/>
              <w:rPr>
                <w:sz w:val="22"/>
              </w:rPr>
            </w:pPr>
            <w:r>
              <w:rPr>
                <w:sz w:val="22"/>
              </w:rPr>
              <w:t>Location within target. If target is a workbook (or this workbook) this shall refer to a sheet and cell or a defined name. Can also be an HTML anchor if target is HTML file.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3"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rPr>
                <w:sz w:val="22"/>
              </w:rPr>
            </w:pPr>
            <w:r>
              <w:rPr>
                <w:sz w:val="22"/>
              </w:rPr>
              <w:t>Cell location of hyperlink on worksheet.</w:t>
            </w:r>
          </w:p>
          <w:p>
            <w:pPr>
              <w:pStyle w:val="TableParagraph"/>
              <w:spacing w:before="1"/>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429" w:hRule="atLeast"/>
        </w:trPr>
        <w:tc>
          <w:tcPr>
            <w:tcW w:w="2062" w:type="dxa"/>
          </w:tcPr>
          <w:p>
            <w:pPr>
              <w:pStyle w:val="TableParagraph"/>
              <w:rPr>
                <w:sz w:val="22"/>
              </w:rPr>
            </w:pPr>
            <w:r>
              <w:rPr>
                <w:rFonts w:ascii="Cambria"/>
                <w:sz w:val="22"/>
              </w:rPr>
              <w:t>tooltip </w:t>
            </w:r>
            <w:r>
              <w:rPr>
                <w:sz w:val="22"/>
              </w:rPr>
              <w:t>(Tool Tip)</w:t>
            </w:r>
          </w:p>
        </w:tc>
        <w:tc>
          <w:tcPr>
            <w:tcW w:w="8250" w:type="dxa"/>
          </w:tcPr>
          <w:p>
            <w:pPr>
              <w:pStyle w:val="TableParagraph"/>
              <w:ind w:right="338"/>
              <w:rPr>
                <w:sz w:val="22"/>
              </w:rPr>
            </w:pPr>
            <w:r>
              <w:rPr>
                <w:sz w:val="22"/>
              </w:rPr>
              <w:t>This is additional text to help the user understand more about the hyperlink. [</w:t>
            </w:r>
            <w:r>
              <w:rPr>
                <w:i/>
                <w:sz w:val="22"/>
              </w:rPr>
              <w:t>Example</w:t>
            </w:r>
            <w:r>
              <w:rPr>
                <w:sz w:val="22"/>
              </w:rPr>
              <w:t>: This can be displayed as hover text when the mouse is over the link. </w:t>
            </w:r>
            <w:r>
              <w:rPr>
                <w:i/>
                <w:sz w:val="22"/>
              </w:rPr>
              <w:t>end example</w:t>
            </w:r>
            <w:r>
              <w:rPr>
                <w:sz w:val="22"/>
              </w:rPr>
              <w: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3" w:footer="746" w:top="1340" w:bottom="940" w:left="860" w:right="700"/>
        </w:sectPr>
      </w:pPr>
    </w:p>
    <w:p>
      <w:pPr>
        <w:pStyle w:val="BodyText"/>
        <w:rPr>
          <w:sz w:val="20"/>
        </w:rPr>
      </w:pPr>
    </w:p>
    <w:p>
      <w:pPr>
        <w:pStyle w:val="BodyText"/>
        <w:spacing w:before="6"/>
        <w:rPr>
          <w:sz w:val="24"/>
        </w:rPr>
      </w:pPr>
    </w:p>
    <w:p>
      <w:pPr>
        <w:pStyle w:val="BodyText"/>
        <w:spacing w:line="278" w:lineRule="auto" w:before="56"/>
        <w:ind w:left="220" w:right="630"/>
      </w:pPr>
      <w:r>
        <w:rPr/>
        <w:t>[</w:t>
      </w:r>
      <w:r>
        <w:rPr>
          <w:i/>
        </w:rPr>
        <w:t>Note</w:t>
      </w:r>
      <w:r>
        <w:rPr/>
        <w:t>: The W3C XML Schema definition of this element’s content model (</w:t>
      </w:r>
      <w:r>
        <w:rPr>
          <w:color w:val="5F5F5F"/>
          <w:u w:val="single" w:color="5F5F5F"/>
        </w:rPr>
        <w:t>CT_Hyperlink</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8 hyperlinks (Hyperlinks)" w:id="245"/>
      <w:bookmarkEnd w:id="245"/>
      <w:r>
        <w:rPr/>
      </w:r>
      <w:bookmarkStart w:name="_bookmark80" w:id="246"/>
      <w:bookmarkEnd w:id="246"/>
      <w:r>
        <w:rPr/>
      </w:r>
      <w:bookmarkStart w:name="_bookmark80" w:id="247"/>
      <w:bookmarkEnd w:id="247"/>
      <w:r>
        <w:rPr>
          <w:color w:val="4F81BC"/>
        </w:rPr>
        <w:t>h</w:t>
      </w:r>
      <w:r>
        <w:rPr>
          <w:color w:val="4F81BC"/>
        </w:rPr>
        <w:t>yperlinks</w:t>
      </w:r>
      <w:r>
        <w:rPr>
          <w:color w:val="4F81BC"/>
          <w:spacing w:val="-1"/>
        </w:rPr>
        <w:t> </w:t>
      </w:r>
      <w:r>
        <w:rPr>
          <w:color w:val="4F81BC"/>
        </w:rPr>
        <w:t>(Hyperlinks)</w:t>
      </w:r>
    </w:p>
    <w:p>
      <w:pPr>
        <w:pStyle w:val="BodyText"/>
        <w:spacing w:line="453" w:lineRule="auto" w:before="122"/>
        <w:ind w:left="220" w:right="8289"/>
      </w:pPr>
      <w:r>
        <w:rPr/>
        <w:t>Collection of hyperlinks. [</w:t>
      </w:r>
      <w:r>
        <w:rPr>
          <w:i/>
        </w:rPr>
        <w:t>Example</w:t>
      </w:r>
      <w:r>
        <w:rPr/>
        <w:t>:</w:t>
      </w:r>
    </w:p>
    <w:p>
      <w:pPr>
        <w:pStyle w:val="BodyText"/>
        <w:spacing w:line="278" w:lineRule="auto"/>
        <w:ind w:left="220" w:right="1155"/>
      </w:pPr>
      <w:r>
        <w:rPr/>
        <w:t>This example shows a hyperlink in cell A11, with hover text displaying "Search Page". The relationship Id references a relationship from the sheet to the external target resource.</w:t>
      </w:r>
    </w:p>
    <w:p>
      <w:pPr>
        <w:pStyle w:val="BodyText"/>
        <w:spacing w:before="197"/>
        <w:ind w:left="508"/>
        <w:rPr>
          <w:rFonts w:ascii="Consolas"/>
        </w:rPr>
      </w:pPr>
      <w:r>
        <w:rPr>
          <w:rFonts w:ascii="Consolas"/>
        </w:rPr>
        <w:t>&lt;hyperlinks&gt;</w:t>
      </w:r>
    </w:p>
    <w:p>
      <w:pPr>
        <w:pStyle w:val="BodyText"/>
        <w:spacing w:before="38"/>
        <w:ind w:left="750"/>
        <w:rPr>
          <w:rFonts w:ascii="Consolas"/>
        </w:rPr>
      </w:pPr>
      <w:r>
        <w:rPr>
          <w:rFonts w:ascii="Consolas"/>
        </w:rPr>
        <w:t>&lt;hyperlink ref="A11" r:id="rId1" tooltip="Search Page"/&gt;</w:t>
      </w:r>
    </w:p>
    <w:p>
      <w:pPr>
        <w:pStyle w:val="BodyText"/>
        <w:spacing w:before="38"/>
        <w:ind w:left="508"/>
        <w:rPr>
          <w:rFonts w:ascii="Consolas"/>
        </w:rPr>
      </w:pPr>
      <w:r>
        <w:rPr>
          <w:rFonts w:ascii="Consolas"/>
        </w:rPr>
        <w:t>&lt;/hyperlinks&gt;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544"/>
      </w:pPr>
      <w:r>
        <w:rPr/>
        <w:t>[</w:t>
      </w:r>
      <w:r>
        <w:rPr>
          <w:i/>
        </w:rPr>
        <w:t>Note</w:t>
      </w:r>
      <w:r>
        <w:rPr/>
        <w:t>: The W3C XML Schema definition of this element’s content model (</w:t>
      </w:r>
      <w:r>
        <w:rPr>
          <w:color w:val="5F5F5F"/>
          <w:u w:val="single" w:color="5F5F5F"/>
        </w:rPr>
        <w:t>CT_Hyperlinks</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49 iconSet (Icon Set)" w:id="248"/>
      <w:bookmarkEnd w:id="248"/>
      <w:r>
        <w:rPr/>
      </w:r>
      <w:bookmarkStart w:name="_bookmark81" w:id="249"/>
      <w:bookmarkEnd w:id="249"/>
      <w:r>
        <w:rPr/>
      </w:r>
      <w:bookmarkStart w:name="_bookmark81" w:id="250"/>
      <w:bookmarkEnd w:id="250"/>
      <w:r>
        <w:rPr>
          <w:color w:val="4F81BC"/>
        </w:rPr>
        <w:t>icon</w:t>
      </w:r>
      <w:r>
        <w:rPr>
          <w:color w:val="4F81BC"/>
        </w:rPr>
        <w:t>Set (Icon</w:t>
      </w:r>
      <w:r>
        <w:rPr>
          <w:color w:val="4F81BC"/>
          <w:spacing w:val="-2"/>
        </w:rPr>
        <w:t> </w:t>
      </w:r>
      <w:r>
        <w:rPr>
          <w:color w:val="4F81BC"/>
        </w:rPr>
        <w:t>Set)</w:t>
      </w:r>
    </w:p>
    <w:p>
      <w:pPr>
        <w:pStyle w:val="BodyText"/>
        <w:spacing w:before="121"/>
        <w:ind w:left="220"/>
      </w:pPr>
      <w:r>
        <w:rPr/>
        <w:t>Describes an icon set conditional formatting rule.</w:t>
      </w:r>
    </w:p>
    <w:p>
      <w:pPr>
        <w:pStyle w:val="BodyText"/>
        <w:spacing w:before="6"/>
        <w:rPr>
          <w:sz w:val="19"/>
        </w:rPr>
      </w:pPr>
    </w:p>
    <w:p>
      <w:pPr>
        <w:pStyle w:val="BodyText"/>
        <w:spacing w:line="276" w:lineRule="auto"/>
        <w:ind w:left="220" w:right="421"/>
      </w:pPr>
      <w:r>
        <w:rPr/>
        <w:t>[</w:t>
      </w:r>
      <w:r>
        <w:rPr>
          <w:i/>
        </w:rPr>
        <w:t>Example</w:t>
      </w:r>
      <w:r>
        <w:rPr/>
        <w:t>: This example demonstrates the "3Arrows" style of icons. The first icon in the set must be shown if the cell's value is less than the 33rd percentile. The second icon in the set must be shown if the cell's value is less than the 67th percentile, and greater than or equal to the 33rd percentile. The third icon in the set must be shown if the cell's value is greater than or equal to the 67th percentile.</w:t>
      </w:r>
    </w:p>
    <w:p>
      <w:pPr>
        <w:pStyle w:val="BodyText"/>
        <w:spacing w:before="7"/>
        <w:rPr>
          <w:sz w:val="16"/>
        </w:rPr>
      </w:pPr>
    </w:p>
    <w:p>
      <w:pPr>
        <w:pStyle w:val="BodyText"/>
        <w:spacing w:before="1"/>
        <w:ind w:left="508"/>
        <w:rPr>
          <w:rFonts w:ascii="Consolas"/>
        </w:rPr>
      </w:pPr>
      <w:r>
        <w:rPr>
          <w:rFonts w:ascii="Consolas"/>
        </w:rPr>
        <w:t>&lt;iconSet iconSet="3Arrows"&gt;</w:t>
      </w:r>
    </w:p>
    <w:p>
      <w:pPr>
        <w:pStyle w:val="BodyText"/>
        <w:spacing w:before="40"/>
        <w:ind w:left="750"/>
        <w:rPr>
          <w:rFonts w:ascii="Consolas"/>
        </w:rPr>
      </w:pPr>
      <w:r>
        <w:rPr>
          <w:rFonts w:ascii="Consolas"/>
        </w:rPr>
        <w:t>&lt;cfvo type="percentile" val="0"/&gt;</w:t>
      </w:r>
    </w:p>
    <w:p>
      <w:pPr>
        <w:pStyle w:val="BodyText"/>
        <w:spacing w:before="37"/>
        <w:ind w:left="750"/>
        <w:rPr>
          <w:rFonts w:ascii="Consolas"/>
        </w:rPr>
      </w:pPr>
      <w:r>
        <w:rPr>
          <w:rFonts w:ascii="Consolas"/>
        </w:rPr>
        <w:t>&lt;cfvo type="percentile"</w:t>
      </w:r>
      <w:r>
        <w:rPr>
          <w:rFonts w:ascii="Consolas"/>
          <w:spacing w:val="-24"/>
        </w:rPr>
        <w:t> </w:t>
      </w:r>
      <w:r>
        <w:rPr>
          <w:rFonts w:ascii="Consolas"/>
        </w:rPr>
        <w:t>val="33"/&gt;</w:t>
      </w:r>
    </w:p>
    <w:p>
      <w:pPr>
        <w:pStyle w:val="BodyText"/>
        <w:spacing w:before="38"/>
        <w:ind w:left="750"/>
        <w:rPr>
          <w:rFonts w:ascii="Consolas"/>
        </w:rPr>
      </w:pPr>
      <w:r>
        <w:rPr>
          <w:rFonts w:ascii="Consolas"/>
        </w:rPr>
        <w:t>&lt;cfvo type="percentile"</w:t>
      </w:r>
      <w:r>
        <w:rPr>
          <w:rFonts w:ascii="Consolas"/>
          <w:spacing w:val="-24"/>
        </w:rPr>
        <w:t> </w:t>
      </w:r>
      <w:r>
        <w:rPr>
          <w:rFonts w:ascii="Consolas"/>
        </w:rPr>
        <w:t>val="67"/&gt;</w:t>
      </w:r>
    </w:p>
    <w:p>
      <w:pPr>
        <w:pStyle w:val="BodyText"/>
        <w:spacing w:before="40"/>
        <w:ind w:left="508"/>
        <w:rPr>
          <w:rFonts w:ascii="Consolas"/>
        </w:rPr>
      </w:pPr>
      <w:r>
        <w:rPr>
          <w:rFonts w:ascii="Consolas"/>
        </w:rPr>
        <w:t>&lt;/iconSet&gt;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iconSet </w:t>
            </w:r>
            <w:r>
              <w:rPr>
                <w:sz w:val="22"/>
              </w:rPr>
              <w:t>(Icon Set)</w:t>
            </w:r>
          </w:p>
        </w:tc>
        <w:tc>
          <w:tcPr>
            <w:tcW w:w="8250" w:type="dxa"/>
          </w:tcPr>
          <w:p>
            <w:pPr>
              <w:pStyle w:val="TableParagraph"/>
              <w:rPr>
                <w:sz w:val="22"/>
              </w:rPr>
            </w:pPr>
            <w:r>
              <w:rPr>
                <w:sz w:val="22"/>
              </w:rPr>
              <w:t>The icon set to display.</w:t>
            </w:r>
          </w:p>
          <w:p>
            <w:pPr>
              <w:pStyle w:val="TableParagraph"/>
              <w:spacing w:before="10"/>
              <w:ind w:left="0"/>
              <w:rPr>
                <w:sz w:val="21"/>
              </w:rPr>
            </w:pPr>
          </w:p>
          <w:p>
            <w:pPr>
              <w:pStyle w:val="TableParagraph"/>
              <w:spacing w:before="0"/>
              <w:ind w:right="535"/>
              <w:rPr>
                <w:sz w:val="22"/>
              </w:rPr>
            </w:pPr>
            <w:r>
              <w:rPr>
                <w:sz w:val="22"/>
              </w:rPr>
              <w:t>The possible values for this attribute are defined by the </w:t>
            </w:r>
            <w:r>
              <w:rPr>
                <w:rFonts w:ascii="Cambria" w:hAnsi="Cambria"/>
                <w:sz w:val="22"/>
              </w:rPr>
              <w:t>ST_IconSetType </w:t>
            </w:r>
            <w:r>
              <w:rPr>
                <w:sz w:val="22"/>
              </w:rPr>
              <w:t>simple type </w:t>
            </w:r>
            <w:hyperlink w:history="true" w:anchor="_bookmark864">
              <w:r>
                <w:rPr>
                  <w:sz w:val="22"/>
                </w:rPr>
                <w:t>(§18.18.42</w:t>
              </w:r>
            </w:hyperlink>
            <w:r>
              <w:rPr>
                <w:sz w:val="22"/>
              </w:rPr>
              <w:t>).</w:t>
            </w:r>
          </w:p>
        </w:tc>
      </w:tr>
      <w:tr>
        <w:trPr>
          <w:trHeight w:val="623" w:hRule="atLeast"/>
        </w:trPr>
        <w:tc>
          <w:tcPr>
            <w:tcW w:w="2062" w:type="dxa"/>
          </w:tcPr>
          <w:p>
            <w:pPr>
              <w:pStyle w:val="TableParagraph"/>
              <w:rPr>
                <w:sz w:val="22"/>
              </w:rPr>
            </w:pPr>
            <w:r>
              <w:rPr>
                <w:rFonts w:ascii="Cambria"/>
                <w:sz w:val="22"/>
              </w:rPr>
              <w:t>percent </w:t>
            </w:r>
            <w:r>
              <w:rPr>
                <w:sz w:val="22"/>
              </w:rPr>
              <w:t>(Percent)</w:t>
            </w:r>
          </w:p>
        </w:tc>
        <w:tc>
          <w:tcPr>
            <w:tcW w:w="8250" w:type="dxa"/>
          </w:tcPr>
          <w:p>
            <w:pPr>
              <w:pStyle w:val="TableParagraph"/>
              <w:rPr>
                <w:sz w:val="22"/>
              </w:rPr>
            </w:pPr>
            <w:r>
              <w:rPr>
                <w:sz w:val="22"/>
              </w:rPr>
              <w:t>Indicates whether the thresholds indicate percentile values, instead of number values.</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ind w:right="382"/>
              <w:rPr>
                <w:sz w:val="22"/>
              </w:rPr>
            </w:pPr>
            <w:r>
              <w:rPr>
                <w:rFonts w:ascii="Cambria"/>
                <w:sz w:val="22"/>
              </w:rPr>
              <w:t>reverse </w:t>
            </w:r>
            <w:r>
              <w:rPr>
                <w:sz w:val="22"/>
              </w:rPr>
              <w:t>(Reverse Icons)</w:t>
            </w:r>
          </w:p>
        </w:tc>
        <w:tc>
          <w:tcPr>
            <w:tcW w:w="8250" w:type="dxa"/>
          </w:tcPr>
          <w:p>
            <w:pPr>
              <w:pStyle w:val="TableParagraph"/>
              <w:rPr>
                <w:sz w:val="22"/>
              </w:rPr>
            </w:pPr>
            <w:r>
              <w:rPr>
                <w:sz w:val="22"/>
              </w:rPr>
              <w:t>If 1, reverses the default order of the icons in this icon set.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280"/>
              <w:rPr>
                <w:sz w:val="22"/>
              </w:rPr>
            </w:pPr>
            <w:r>
              <w:rPr>
                <w:rFonts w:ascii="Cambria"/>
                <w:sz w:val="22"/>
              </w:rPr>
              <w:t>showValue </w:t>
            </w:r>
            <w:r>
              <w:rPr>
                <w:sz w:val="22"/>
              </w:rPr>
              <w:t>(Show Value)</w:t>
            </w:r>
          </w:p>
        </w:tc>
        <w:tc>
          <w:tcPr>
            <w:tcW w:w="8250" w:type="dxa"/>
          </w:tcPr>
          <w:p>
            <w:pPr>
              <w:pStyle w:val="TableParagraph"/>
              <w:rPr>
                <w:sz w:val="22"/>
              </w:rPr>
            </w:pPr>
            <w:r>
              <w:rPr>
                <w:sz w:val="22"/>
              </w:rPr>
              <w:t>Indicates whether to show the values of the cells on which this icon set is applied.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7"/>
        <w:ind w:left="220" w:right="821"/>
      </w:pPr>
      <w:r>
        <w:rPr/>
        <w:t>[</w:t>
      </w:r>
      <w:r>
        <w:rPr>
          <w:i/>
        </w:rPr>
        <w:t>Note</w:t>
      </w:r>
      <w:r>
        <w:rPr/>
        <w:t>: The W3C XML Schema definition of this element’s content model (</w:t>
      </w:r>
      <w:r>
        <w:rPr>
          <w:color w:val="5F5F5F"/>
          <w:u w:val="single" w:color="5F5F5F"/>
        </w:rPr>
        <w:t>CT_IconSet</w:t>
      </w:r>
      <w:r>
        <w:rPr/>
        <w:t>) is located in §A.2. </w:t>
      </w:r>
      <w:r>
        <w:rPr>
          <w:i/>
        </w:rPr>
        <w:t>end </w:t>
      </w:r>
      <w:r>
        <w:rPr>
          <w:i/>
        </w:rPr>
        <w:t>note</w:t>
      </w:r>
      <w:r>
        <w:rPr/>
        <w:t>]</w:t>
      </w:r>
    </w:p>
    <w:p>
      <w:pPr>
        <w:pStyle w:val="BodyText"/>
        <w:spacing w:before="2"/>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50 ignoredError (Ignored Error)" w:id="251"/>
      <w:bookmarkEnd w:id="251"/>
      <w:r>
        <w:rPr/>
      </w:r>
      <w:bookmarkStart w:name="_bookmark82" w:id="252"/>
      <w:bookmarkEnd w:id="252"/>
      <w:r>
        <w:rPr/>
      </w:r>
      <w:bookmarkStart w:name="_bookmark82" w:id="253"/>
      <w:bookmarkEnd w:id="253"/>
      <w:r>
        <w:rPr>
          <w:color w:val="4F81BC"/>
        </w:rPr>
        <w:t>igno</w:t>
      </w:r>
      <w:r>
        <w:rPr>
          <w:color w:val="4F81BC"/>
        </w:rPr>
        <w:t>redError (Ignored</w:t>
      </w:r>
      <w:r>
        <w:rPr>
          <w:color w:val="4F81BC"/>
          <w:spacing w:val="2"/>
        </w:rPr>
        <w:t> </w:t>
      </w:r>
      <w:r>
        <w:rPr>
          <w:color w:val="4F81BC"/>
        </w:rPr>
        <w:t>Error)</w:t>
      </w:r>
    </w:p>
    <w:p>
      <w:pPr>
        <w:pStyle w:val="BodyText"/>
        <w:spacing w:before="121"/>
        <w:ind w:left="220"/>
      </w:pPr>
      <w:r>
        <w:rPr/>
        <w:t>A single ignored error for a range of cells.</w:t>
      </w:r>
    </w:p>
    <w:p>
      <w:pPr>
        <w:pStyle w:val="BodyText"/>
        <w:spacing w:before="6"/>
        <w:rPr>
          <w:sz w:val="19"/>
        </w:rPr>
      </w:pPr>
    </w:p>
    <w:p>
      <w:pPr>
        <w:pStyle w:val="BodyText"/>
        <w:spacing w:line="276" w:lineRule="auto"/>
        <w:ind w:left="220" w:right="489"/>
      </w:pPr>
      <w:r>
        <w:rPr/>
        <w:t>A cell is considered to have an error condition when it meets one of the conditions specified in the attribute descriptions below. [</w:t>
      </w:r>
      <w:r>
        <w:rPr>
          <w:i/>
        </w:rPr>
        <w:t>Example</w:t>
      </w:r>
      <w:r>
        <w:rPr/>
        <w:t>: If a cell is formatted as text but contains a numeric value, this is considered to be a potential error because the number won't be treated as a number, for example, in calculations. </w:t>
      </w:r>
      <w:r>
        <w:rPr>
          <w:i/>
        </w:rPr>
        <w:t>end example</w:t>
      </w:r>
      <w:r>
        <w:rPr/>
        <w:t>]</w:t>
      </w:r>
    </w:p>
    <w:p>
      <w:pPr>
        <w:pStyle w:val="BodyText"/>
        <w:spacing w:before="3"/>
        <w:rPr>
          <w:sz w:val="16"/>
        </w:rPr>
      </w:pPr>
    </w:p>
    <w:p>
      <w:pPr>
        <w:pStyle w:val="BodyText"/>
        <w:spacing w:line="276" w:lineRule="auto" w:before="1"/>
        <w:ind w:left="220" w:right="485"/>
      </w:pPr>
      <w:r>
        <w:rPr/>
        <w:t>This is simply a guess by the implementing application, and a recommendation to the user. Cells with the errors specified below might be deliberately defined as such. [</w:t>
      </w:r>
      <w:r>
        <w:rPr>
          <w:i/>
        </w:rPr>
        <w:t>Example</w:t>
      </w:r>
      <w:r>
        <w:rPr/>
        <w:t>: A cell formatted as text which contains numeric Postal Codes or Order numbers. It is useful to format these cells as text so that leading zeros remain as part of the value instead of being removed. </w:t>
      </w:r>
      <w:r>
        <w:rPr>
          <w:i/>
        </w:rPr>
        <w:t>end example</w:t>
      </w:r>
      <w:r>
        <w:rPr/>
        <w:t>]</w:t>
      </w:r>
    </w:p>
    <w:p>
      <w:pPr>
        <w:pStyle w:val="BodyText"/>
        <w:spacing w:before="4"/>
        <w:rPr>
          <w:sz w:val="16"/>
        </w:rPr>
      </w:pPr>
    </w:p>
    <w:p>
      <w:pPr>
        <w:pStyle w:val="BodyText"/>
        <w:spacing w:line="276" w:lineRule="auto"/>
        <w:ind w:left="220" w:right="437"/>
      </w:pPr>
      <w:r>
        <w:rPr/>
        <w:t>An </w:t>
      </w:r>
      <w:r>
        <w:rPr>
          <w:rFonts w:ascii="Consolas"/>
        </w:rPr>
        <w:t>&lt;ignoreError&gt; </w:t>
      </w:r>
      <w:r>
        <w:rPr/>
        <w:t>element is not written in the file unless the user has specifically reviewed the error and decided to keep the cell state as it is, and no longer wishes to be alerted about it for this cell. This can be helpful for the application to decide which errors should be surfaced to the user vs kept quiet because the user doesn't want these to be surfaced (e.g., because they are legitimate cell states).</w:t>
      </w:r>
    </w:p>
    <w:p>
      <w:pPr>
        <w:pStyle w:val="BodyText"/>
        <w:spacing w:before="5"/>
        <w:rPr>
          <w:sz w:val="16"/>
        </w:rPr>
      </w:pPr>
    </w:p>
    <w:p>
      <w:pPr>
        <w:pStyle w:val="BodyText"/>
        <w:spacing w:line="278" w:lineRule="auto"/>
        <w:ind w:left="220" w:right="427"/>
      </w:pPr>
      <w:r>
        <w:rPr/>
        <w:t>[</w:t>
      </w:r>
      <w:r>
        <w:rPr>
          <w:i/>
        </w:rPr>
        <w:t>Example</w:t>
      </w:r>
      <w:r>
        <w:rPr/>
        <w:t>: This example shows that cells A1 and B2 both contain numbers stored as text, and this error has been reviewed and specifically flagged to be no longer surfaced as an error to the user.</w:t>
      </w:r>
    </w:p>
    <w:p>
      <w:pPr>
        <w:pStyle w:val="BodyText"/>
        <w:spacing w:before="198"/>
        <w:ind w:left="508"/>
        <w:rPr>
          <w:rFonts w:ascii="Consolas"/>
        </w:rPr>
      </w:pPr>
      <w:r>
        <w:rPr>
          <w:rFonts w:ascii="Consolas"/>
        </w:rPr>
        <w:t>&lt;ignoredErrors&gt;</w:t>
      </w:r>
    </w:p>
    <w:p>
      <w:pPr>
        <w:pStyle w:val="BodyText"/>
        <w:spacing w:before="38"/>
        <w:ind w:left="750"/>
        <w:rPr>
          <w:rFonts w:ascii="Consolas"/>
        </w:rPr>
      </w:pPr>
      <w:r>
        <w:rPr>
          <w:rFonts w:ascii="Consolas"/>
        </w:rPr>
        <w:t>&lt;ignoredError sqref="A1 B2" numberStoredAsText="1"/&gt;</w:t>
      </w:r>
    </w:p>
    <w:p>
      <w:pPr>
        <w:pStyle w:val="BodyText"/>
        <w:spacing w:before="40"/>
        <w:ind w:left="508"/>
        <w:rPr>
          <w:rFonts w:ascii="Consolas"/>
        </w:rPr>
      </w:pPr>
      <w:r>
        <w:rPr>
          <w:rFonts w:ascii="Consolas"/>
        </w:rPr>
        <w:t>&lt;/ignoredErrors&gt;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More than one kind of error can exist on a cell. These flags are not mutually exclusive.</w:t>
      </w:r>
    </w:p>
    <w:p>
      <w:pPr>
        <w:spacing w:after="0"/>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line="256" w:lineRule="exact" w:before="42"/>
              <w:rPr>
                <w:rFonts w:ascii="Cambria"/>
                <w:sz w:val="22"/>
              </w:rPr>
            </w:pPr>
            <w:r>
              <w:rPr>
                <w:rFonts w:ascii="Cambria"/>
                <w:sz w:val="22"/>
              </w:rPr>
              <w:t>calculatedColumn</w:t>
            </w:r>
          </w:p>
          <w:p>
            <w:pPr>
              <w:pStyle w:val="TableParagraph"/>
              <w:spacing w:line="267" w:lineRule="exact" w:before="0"/>
              <w:rPr>
                <w:sz w:val="22"/>
              </w:rPr>
            </w:pPr>
            <w:r>
              <w:rPr>
                <w:sz w:val="22"/>
              </w:rPr>
              <w:t>(Calculated Column)</w:t>
            </w:r>
          </w:p>
        </w:tc>
        <w:tc>
          <w:tcPr>
            <w:tcW w:w="8250" w:type="dxa"/>
          </w:tcPr>
          <w:p>
            <w:pPr>
              <w:pStyle w:val="TableParagraph"/>
              <w:ind w:right="182"/>
              <w:rPr>
                <w:sz w:val="22"/>
              </w:rPr>
            </w:pPr>
            <w:r>
              <w:rPr>
                <w:sz w:val="22"/>
              </w:rPr>
              <w:t>Ignore errors when cells contain a value different from a calculated column formula. In other words, for a calculated column, a cell in that column is considered to have an error if its formula is different from the calculated column formula, or doesn't contain a formula at all.</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32"/>
              <w:rPr>
                <w:sz w:val="22"/>
              </w:rPr>
            </w:pPr>
            <w:r>
              <w:rPr>
                <w:rFonts w:ascii="Cambria"/>
                <w:sz w:val="22"/>
              </w:rPr>
              <w:t>emptyCellReferenc e </w:t>
            </w:r>
            <w:r>
              <w:rPr>
                <w:sz w:val="22"/>
              </w:rPr>
              <w:t>(Empty Cell Reference)</w:t>
            </w:r>
          </w:p>
        </w:tc>
        <w:tc>
          <w:tcPr>
            <w:tcW w:w="8250" w:type="dxa"/>
          </w:tcPr>
          <w:p>
            <w:pPr>
              <w:pStyle w:val="TableParagraph"/>
              <w:rPr>
                <w:sz w:val="22"/>
              </w:rPr>
            </w:pPr>
            <w:r>
              <w:rPr>
                <w:sz w:val="22"/>
              </w:rPr>
              <w:t>Ignore errors when formulas refer to empty cells.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line="256" w:lineRule="exact" w:before="42"/>
              <w:rPr>
                <w:rFonts w:ascii="Cambria"/>
                <w:sz w:val="22"/>
              </w:rPr>
            </w:pPr>
            <w:r>
              <w:rPr>
                <w:rFonts w:ascii="Cambria"/>
                <w:sz w:val="22"/>
              </w:rPr>
              <w:t>evalError</w:t>
            </w:r>
          </w:p>
          <w:p>
            <w:pPr>
              <w:pStyle w:val="TableParagraph"/>
              <w:spacing w:line="267" w:lineRule="exact" w:before="0"/>
              <w:rPr>
                <w:sz w:val="22"/>
              </w:rPr>
            </w:pPr>
            <w:r>
              <w:rPr>
                <w:sz w:val="22"/>
              </w:rPr>
              <w:t>(Evaluation Error)</w:t>
            </w:r>
          </w:p>
        </w:tc>
        <w:tc>
          <w:tcPr>
            <w:tcW w:w="8250" w:type="dxa"/>
          </w:tcPr>
          <w:p>
            <w:pPr>
              <w:pStyle w:val="TableParagraph"/>
              <w:rPr>
                <w:sz w:val="22"/>
              </w:rPr>
            </w:pPr>
            <w:r>
              <w:rPr>
                <w:sz w:val="22"/>
              </w:rPr>
              <w:t>Ignore errors when cells contain formulas that result in an error.</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rPr>
                <w:sz w:val="22"/>
              </w:rPr>
            </w:pPr>
            <w:r>
              <w:rPr>
                <w:rFonts w:ascii="Cambria"/>
                <w:sz w:val="22"/>
              </w:rPr>
              <w:t>formula </w:t>
            </w:r>
            <w:r>
              <w:rPr>
                <w:sz w:val="22"/>
              </w:rPr>
              <w:t>(Formula)</w:t>
            </w:r>
          </w:p>
        </w:tc>
        <w:tc>
          <w:tcPr>
            <w:tcW w:w="8250" w:type="dxa"/>
          </w:tcPr>
          <w:p>
            <w:pPr>
              <w:pStyle w:val="TableParagraph"/>
              <w:ind w:right="92"/>
              <w:rPr>
                <w:sz w:val="22"/>
              </w:rPr>
            </w:pPr>
            <w:r>
              <w:rPr>
                <w:sz w:val="22"/>
              </w:rPr>
              <w:t>Ignore errors when a formula in a region of your worksheet differs from other formulas in the same region.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9" w:hRule="atLeast"/>
        </w:trPr>
        <w:tc>
          <w:tcPr>
            <w:tcW w:w="2062" w:type="dxa"/>
          </w:tcPr>
          <w:p>
            <w:pPr>
              <w:pStyle w:val="TableParagraph"/>
              <w:spacing w:line="256" w:lineRule="exact" w:before="42"/>
              <w:rPr>
                <w:rFonts w:ascii="Cambria"/>
                <w:sz w:val="22"/>
              </w:rPr>
            </w:pPr>
            <w:r>
              <w:rPr>
                <w:rFonts w:ascii="Cambria"/>
                <w:sz w:val="22"/>
              </w:rPr>
              <w:t>formulaRange</w:t>
            </w:r>
          </w:p>
          <w:p>
            <w:pPr>
              <w:pStyle w:val="TableParagraph"/>
              <w:spacing w:line="267" w:lineRule="exact" w:before="0"/>
              <w:rPr>
                <w:sz w:val="22"/>
              </w:rPr>
            </w:pPr>
            <w:r>
              <w:rPr>
                <w:sz w:val="22"/>
              </w:rPr>
              <w:t>(Formula Range)</w:t>
            </w:r>
          </w:p>
        </w:tc>
        <w:tc>
          <w:tcPr>
            <w:tcW w:w="8250" w:type="dxa"/>
          </w:tcPr>
          <w:p>
            <w:pPr>
              <w:pStyle w:val="TableParagraph"/>
              <w:rPr>
                <w:sz w:val="22"/>
              </w:rPr>
            </w:pPr>
            <w:r>
              <w:rPr>
                <w:sz w:val="22"/>
              </w:rPr>
              <w:t>Ignore errors when formulas omit certain cells in a region.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line="237" w:lineRule="auto" w:before="47"/>
              <w:ind w:right="226"/>
              <w:rPr>
                <w:sz w:val="22"/>
              </w:rPr>
            </w:pPr>
            <w:r>
              <w:rPr>
                <w:rFonts w:ascii="Cambria"/>
                <w:sz w:val="22"/>
              </w:rPr>
              <w:t>listDataValidation </w:t>
            </w:r>
            <w:r>
              <w:rPr>
                <w:sz w:val="22"/>
              </w:rPr>
              <w:t>(List Data Validation)</w:t>
            </w:r>
          </w:p>
        </w:tc>
        <w:tc>
          <w:tcPr>
            <w:tcW w:w="8250" w:type="dxa"/>
          </w:tcPr>
          <w:p>
            <w:pPr>
              <w:pStyle w:val="TableParagraph"/>
              <w:spacing w:line="237" w:lineRule="auto" w:before="44"/>
              <w:ind w:right="553"/>
              <w:rPr>
                <w:sz w:val="22"/>
              </w:rPr>
            </w:pPr>
            <w:r>
              <w:rPr>
                <w:sz w:val="22"/>
              </w:rPr>
              <w:t>Ignore errors when a cell's value in a Table does not comply with the Data Validation rules specified.</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5"/>
              <w:ind w:right="150"/>
              <w:jc w:val="both"/>
              <w:rPr>
                <w:sz w:val="22"/>
              </w:rPr>
            </w:pPr>
            <w:r>
              <w:rPr>
                <w:rFonts w:ascii="Cambria"/>
                <w:sz w:val="22"/>
              </w:rPr>
              <w:t>numberStoredAsT ext </w:t>
            </w:r>
            <w:r>
              <w:rPr>
                <w:sz w:val="22"/>
              </w:rPr>
              <w:t>(Number Stored As Text)</w:t>
            </w:r>
          </w:p>
        </w:tc>
        <w:tc>
          <w:tcPr>
            <w:tcW w:w="8250" w:type="dxa"/>
          </w:tcPr>
          <w:p>
            <w:pPr>
              <w:pStyle w:val="TableParagraph"/>
              <w:rPr>
                <w:sz w:val="22"/>
              </w:rPr>
            </w:pPr>
            <w:r>
              <w:rPr>
                <w:sz w:val="22"/>
              </w:rPr>
              <w:t>Ignore errors when numbers are formatted as text or are preceded by an apostrophe.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line="237" w:lineRule="auto" w:before="42"/>
              <w:ind w:right="219"/>
              <w:rPr>
                <w:sz w:val="22"/>
              </w:rPr>
            </w:pPr>
            <w:r>
              <w:rPr>
                <w:rFonts w:ascii="Cambria"/>
                <w:sz w:val="22"/>
              </w:rPr>
              <w:t>sqref </w:t>
            </w:r>
            <w:r>
              <w:rPr>
                <w:sz w:val="22"/>
              </w:rPr>
              <w:t>(Sequence of References)</w:t>
            </w:r>
          </w:p>
        </w:tc>
        <w:tc>
          <w:tcPr>
            <w:tcW w:w="8250" w:type="dxa"/>
          </w:tcPr>
          <w:p>
            <w:pPr>
              <w:pStyle w:val="TableParagraph"/>
              <w:rPr>
                <w:sz w:val="22"/>
              </w:rPr>
            </w:pPr>
            <w:r>
              <w:rPr>
                <w:sz w:val="22"/>
              </w:rPr>
              <w:t>Reference to a range of cells that have this ignored error.</w:t>
            </w:r>
          </w:p>
          <w:p>
            <w:pPr>
              <w:pStyle w:val="TableParagraph"/>
              <w:spacing w:before="2"/>
              <w:ind w:left="0"/>
              <w:rPr>
                <w:rFonts w:ascii="Times New Roman"/>
                <w:sz w:val="23"/>
              </w:rPr>
            </w:pPr>
          </w:p>
          <w:p>
            <w:pPr>
              <w:pStyle w:val="TableParagraph"/>
              <w:spacing w:before="0"/>
              <w:ind w:right="1210"/>
              <w:rPr>
                <w:sz w:val="22"/>
              </w:rPr>
            </w:pPr>
            <w:r>
              <w:rPr>
                <w:sz w:val="22"/>
              </w:rPr>
              <w:t>The possible values for this attribute are defined by the </w:t>
            </w:r>
            <w:r>
              <w:rPr>
                <w:rFonts w:ascii="Cambria" w:hAnsi="Cambria"/>
                <w:sz w:val="22"/>
              </w:rPr>
              <w:t>ST_Sqref </w:t>
            </w:r>
            <w:r>
              <w:rPr>
                <w:sz w:val="22"/>
              </w:rPr>
              <w:t>simple type </w:t>
            </w:r>
            <w:hyperlink w:history="true" w:anchor="_bookmark898">
              <w:r>
                <w:rPr>
                  <w:sz w:val="22"/>
                </w:rPr>
                <w:t>(§18.18.76</w:t>
              </w:r>
            </w:hyperlink>
            <w:r>
              <w:rPr>
                <w:sz w:val="22"/>
              </w:rPr>
              <w:t>).</w:t>
            </w:r>
          </w:p>
        </w:tc>
      </w:tr>
      <w:tr>
        <w:trPr>
          <w:trHeight w:val="1429" w:hRule="atLeast"/>
        </w:trPr>
        <w:tc>
          <w:tcPr>
            <w:tcW w:w="2062" w:type="dxa"/>
          </w:tcPr>
          <w:p>
            <w:pPr>
              <w:pStyle w:val="TableParagraph"/>
              <w:spacing w:before="42"/>
              <w:ind w:right="254"/>
              <w:rPr>
                <w:sz w:val="22"/>
              </w:rPr>
            </w:pPr>
            <w:r>
              <w:rPr>
                <w:rFonts w:ascii="Cambria"/>
                <w:sz w:val="22"/>
              </w:rPr>
              <w:t>twoDigitTextYear </w:t>
            </w:r>
            <w:r>
              <w:rPr>
                <w:sz w:val="22"/>
              </w:rPr>
              <w:t>(Two Digit Text Year)</w:t>
            </w:r>
          </w:p>
        </w:tc>
        <w:tc>
          <w:tcPr>
            <w:tcW w:w="8250" w:type="dxa"/>
          </w:tcPr>
          <w:p>
            <w:pPr>
              <w:pStyle w:val="TableParagraph"/>
              <w:ind w:right="499"/>
              <w:rPr>
                <w:sz w:val="22"/>
              </w:rPr>
            </w:pPr>
            <w:r>
              <w:rPr>
                <w:sz w:val="22"/>
              </w:rPr>
              <w:t>Ignore errors when formulas contain text formatted cells with years represented as 2 digits.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54" w:hRule="atLeast"/>
        </w:trPr>
        <w:tc>
          <w:tcPr>
            <w:tcW w:w="2062" w:type="dxa"/>
          </w:tcPr>
          <w:p>
            <w:pPr>
              <w:pStyle w:val="TableParagraph"/>
              <w:spacing w:before="42"/>
              <w:rPr>
                <w:rFonts w:ascii="Cambria"/>
                <w:sz w:val="22"/>
              </w:rPr>
            </w:pPr>
            <w:r>
              <w:rPr>
                <w:rFonts w:ascii="Cambria"/>
                <w:sz w:val="22"/>
              </w:rPr>
              <w:t>unlockedFormula</w:t>
            </w:r>
          </w:p>
        </w:tc>
        <w:tc>
          <w:tcPr>
            <w:tcW w:w="8250" w:type="dxa"/>
          </w:tcPr>
          <w:p>
            <w:pPr>
              <w:pStyle w:val="TableParagraph"/>
              <w:rPr>
                <w:sz w:val="22"/>
              </w:rPr>
            </w:pPr>
            <w:r>
              <w:rPr>
                <w:sz w:val="22"/>
              </w:rPr>
              <w:t>Ignore errors when unlocked cells contain formulas.</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left="78" w:right="129"/>
              <w:jc w:val="center"/>
              <w:rPr>
                <w:sz w:val="22"/>
              </w:rPr>
            </w:pPr>
            <w:r>
              <w:rPr>
                <w:sz w:val="22"/>
              </w:rPr>
              <w:t>(Unlocked Formula)</w:t>
            </w: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CT_IgnoredError</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1 ignoredErrors (Ignored Errors)" w:id="254"/>
      <w:bookmarkEnd w:id="254"/>
      <w:r>
        <w:rPr/>
      </w:r>
      <w:bookmarkStart w:name="_bookmark83" w:id="255"/>
      <w:bookmarkEnd w:id="255"/>
      <w:r>
        <w:rPr/>
      </w:r>
      <w:bookmarkStart w:name="_bookmark83" w:id="256"/>
      <w:bookmarkEnd w:id="256"/>
      <w:r>
        <w:rPr>
          <w:color w:val="4F81BC"/>
        </w:rPr>
        <w:t>igno</w:t>
      </w:r>
      <w:r>
        <w:rPr>
          <w:color w:val="4F81BC"/>
        </w:rPr>
        <w:t>redErrors (Ignored</w:t>
      </w:r>
      <w:r>
        <w:rPr>
          <w:color w:val="4F81BC"/>
          <w:spacing w:val="3"/>
        </w:rPr>
        <w:t> </w:t>
      </w:r>
      <w:r>
        <w:rPr>
          <w:color w:val="4F81BC"/>
        </w:rPr>
        <w:t>Errors)</w:t>
      </w:r>
    </w:p>
    <w:p>
      <w:pPr>
        <w:pStyle w:val="BodyText"/>
        <w:spacing w:before="124"/>
        <w:ind w:left="220"/>
      </w:pPr>
      <w:r>
        <w:rPr/>
        <w:t>A collection of ignored errors, by cell range.</w:t>
      </w: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CT_IgnoredErrors</w:t>
      </w:r>
      <w:r>
        <w:rPr/>
        <w:t>) is located in §A.2.</w:t>
      </w:r>
    </w:p>
    <w:p>
      <w:pPr>
        <w:spacing w:before="42"/>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2 inputCells (Input Cells)" w:id="257"/>
      <w:bookmarkEnd w:id="257"/>
      <w:r>
        <w:rPr/>
      </w:r>
      <w:bookmarkStart w:name="_bookmark84" w:id="258"/>
      <w:bookmarkEnd w:id="258"/>
      <w:r>
        <w:rPr/>
      </w:r>
      <w:bookmarkStart w:name="_bookmark84" w:id="259"/>
      <w:bookmarkEnd w:id="259"/>
      <w:r>
        <w:rPr>
          <w:color w:val="4F81BC"/>
        </w:rPr>
        <w:t>inp</w:t>
      </w:r>
      <w:r>
        <w:rPr>
          <w:color w:val="4F81BC"/>
        </w:rPr>
        <w:t>utCells (Input</w:t>
      </w:r>
      <w:r>
        <w:rPr>
          <w:color w:val="4F81BC"/>
          <w:spacing w:val="-2"/>
        </w:rPr>
        <w:t> </w:t>
      </w:r>
      <w:r>
        <w:rPr>
          <w:color w:val="4F81BC"/>
        </w:rPr>
        <w:t>Cells)</w:t>
      </w:r>
    </w:p>
    <w:p>
      <w:pPr>
        <w:pStyle w:val="BodyText"/>
        <w:spacing w:before="121"/>
        <w:ind w:left="220"/>
      </w:pPr>
      <w:r>
        <w:rPr/>
        <w:t>This collection describes each input cell for the scenario.</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430" w:hRule="atLeast"/>
        </w:trPr>
        <w:tc>
          <w:tcPr>
            <w:tcW w:w="2062" w:type="dxa"/>
          </w:tcPr>
          <w:p>
            <w:pPr>
              <w:pStyle w:val="TableParagraph"/>
              <w:rPr>
                <w:sz w:val="22"/>
              </w:rPr>
            </w:pPr>
            <w:r>
              <w:rPr>
                <w:rFonts w:ascii="Cambria"/>
                <w:sz w:val="22"/>
              </w:rPr>
              <w:t>deleted </w:t>
            </w:r>
            <w:r>
              <w:rPr>
                <w:sz w:val="22"/>
              </w:rPr>
              <w:t>(Deleted)</w:t>
            </w:r>
          </w:p>
        </w:tc>
        <w:tc>
          <w:tcPr>
            <w:tcW w:w="8250" w:type="dxa"/>
          </w:tcPr>
          <w:p>
            <w:pPr>
              <w:pStyle w:val="TableParagraph"/>
              <w:ind w:right="283"/>
              <w:rPr>
                <w:sz w:val="22"/>
              </w:rPr>
            </w:pPr>
            <w:r>
              <w:rPr>
                <w:sz w:val="22"/>
              </w:rPr>
              <w:t>Input cell was deleted. This input cell shall be present in the file format, but shall not be presented to the user as part of the scenario inputs, nor run as part of the scenario.</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6" w:hRule="atLeast"/>
        </w:trPr>
        <w:tc>
          <w:tcPr>
            <w:tcW w:w="2062" w:type="dxa"/>
          </w:tcPr>
          <w:p>
            <w:pPr>
              <w:pStyle w:val="TableParagraph"/>
              <w:spacing w:line="256" w:lineRule="exact" w:before="43"/>
              <w:rPr>
                <w:rFonts w:ascii="Cambria"/>
                <w:sz w:val="22"/>
              </w:rPr>
            </w:pPr>
            <w:r>
              <w:rPr>
                <w:rFonts w:ascii="Cambria"/>
                <w:sz w:val="22"/>
              </w:rPr>
              <w:t>numFmtId</w:t>
            </w:r>
          </w:p>
          <w:p>
            <w:pPr>
              <w:pStyle w:val="TableParagraph"/>
              <w:spacing w:line="267" w:lineRule="exact" w:before="0"/>
              <w:rPr>
                <w:sz w:val="22"/>
              </w:rPr>
            </w:pPr>
            <w:r>
              <w:rPr>
                <w:sz w:val="22"/>
              </w:rPr>
              <w:t>(Number Format Id)</w:t>
            </w:r>
          </w:p>
        </w:tc>
        <w:tc>
          <w:tcPr>
            <w:tcW w:w="8250" w:type="dxa"/>
          </w:tcPr>
          <w:p>
            <w:pPr>
              <w:pStyle w:val="TableParagraph"/>
              <w:ind w:right="130"/>
              <w:rPr>
                <w:sz w:val="22"/>
              </w:rPr>
            </w:pPr>
            <w:r>
              <w:rPr>
                <w:sz w:val="22"/>
              </w:rPr>
              <w:t>This number format Id is used only when displaying the scenario manager input UI, and is used to properly format for display the cached input values (see </w:t>
            </w:r>
            <w:r>
              <w:rPr>
                <w:rFonts w:ascii="Cambria"/>
                <w:sz w:val="22"/>
              </w:rPr>
              <w:t>val </w:t>
            </w:r>
            <w:r>
              <w:rPr>
                <w:sz w:val="22"/>
              </w:rPr>
              <w:t>attribute) for the scenario.</w:t>
            </w:r>
          </w:p>
          <w:p>
            <w:pPr>
              <w:pStyle w:val="TableParagraph"/>
              <w:spacing w:before="11"/>
              <w:ind w:left="0"/>
              <w:rPr>
                <w:sz w:val="21"/>
              </w:rPr>
            </w:pPr>
          </w:p>
          <w:p>
            <w:pPr>
              <w:pStyle w:val="TableParagraph"/>
              <w:spacing w:before="0"/>
              <w:ind w:right="682"/>
              <w:rPr>
                <w:sz w:val="22"/>
              </w:rPr>
            </w:pPr>
            <w:r>
              <w:rPr>
                <w:sz w:val="22"/>
              </w:rPr>
              <w:t>The possible values for this attribute are defined by the </w:t>
            </w:r>
            <w:r>
              <w:rPr>
                <w:rFonts w:ascii="Cambria" w:hAnsi="Cambria"/>
                <w:sz w:val="22"/>
              </w:rPr>
              <w:t>ST_NumFmtId </w:t>
            </w:r>
            <w:r>
              <w:rPr>
                <w:sz w:val="22"/>
              </w:rPr>
              <w:t>simple type </w:t>
            </w:r>
            <w:hyperlink w:history="true" w:anchor="_bookmark869">
              <w:r>
                <w:rPr>
                  <w:sz w:val="22"/>
                </w:rPr>
                <w:t>(§18.18.47</w:t>
              </w:r>
            </w:hyperlink>
            <w:r>
              <w:rPr>
                <w:sz w:val="22"/>
              </w:rPr>
              <w:t>).</w:t>
            </w:r>
          </w:p>
        </w:tc>
      </w:tr>
      <w:tr>
        <w:trPr>
          <w:trHeight w:val="1161"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Cell reference indicating the input cell address.</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697" w:hRule="atLeast"/>
        </w:trPr>
        <w:tc>
          <w:tcPr>
            <w:tcW w:w="2062" w:type="dxa"/>
          </w:tcPr>
          <w:p>
            <w:pPr>
              <w:pStyle w:val="TableParagraph"/>
              <w:rPr>
                <w:sz w:val="22"/>
              </w:rPr>
            </w:pPr>
            <w:r>
              <w:rPr>
                <w:rFonts w:ascii="Cambria"/>
                <w:sz w:val="22"/>
              </w:rPr>
              <w:t>undone </w:t>
            </w:r>
            <w:r>
              <w:rPr>
                <w:sz w:val="22"/>
              </w:rPr>
              <w:t>(Undone)</w:t>
            </w:r>
          </w:p>
        </w:tc>
        <w:tc>
          <w:tcPr>
            <w:tcW w:w="8250" w:type="dxa"/>
          </w:tcPr>
          <w:p>
            <w:pPr>
              <w:pStyle w:val="TableParagraph"/>
              <w:ind w:right="102"/>
              <w:rPr>
                <w:sz w:val="22"/>
              </w:rPr>
            </w:pPr>
            <w:r>
              <w:rPr>
                <w:sz w:val="22"/>
              </w:rPr>
              <w:t>Cell's deletion was undone. When true the r (reference) value shall not adjust in response to the cell moving due to row / column insert or delete,or cell move.</w:t>
            </w:r>
          </w:p>
          <w:p>
            <w:pPr>
              <w:pStyle w:val="TableParagraph"/>
              <w:spacing w:before="0"/>
              <w:ind w:left="0"/>
              <w:rPr>
                <w:sz w:val="22"/>
              </w:rPr>
            </w:pP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rPr>
                <w:sz w:val="22"/>
              </w:rPr>
            </w:pPr>
            <w:r>
              <w:rPr>
                <w:sz w:val="22"/>
              </w:rPr>
              <w:t>Value that should be used for the cell when this scenario is run.</w:t>
            </w:r>
          </w:p>
          <w:p>
            <w:pPr>
              <w:pStyle w:val="TableParagraph"/>
              <w:spacing w:before="0"/>
              <w:ind w:left="0"/>
              <w:rPr>
                <w:sz w:val="22"/>
              </w:rPr>
            </w:pPr>
          </w:p>
          <w:p>
            <w:pPr>
              <w:pStyle w:val="TableParagraph"/>
              <w:spacing w:before="0"/>
              <w:ind w:right="625"/>
              <w:rPr>
                <w:sz w:val="22"/>
              </w:rPr>
            </w:pPr>
            <w:r>
              <w:rPr>
                <w:rFonts w:ascii="Cambria"/>
                <w:sz w:val="22"/>
              </w:rPr>
              <w:t>val </w:t>
            </w:r>
            <w:r>
              <w:rPr>
                <w:sz w:val="22"/>
              </w:rPr>
              <w:t>does not need a corresponding data type, the value is put into the cell when the scenario is run.</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6" w:lineRule="auto" w:before="56"/>
        <w:ind w:left="220" w:right="595"/>
      </w:pPr>
      <w:r>
        <w:rPr/>
        <w:t>[</w:t>
      </w:r>
      <w:r>
        <w:rPr>
          <w:i/>
        </w:rPr>
        <w:t>Note</w:t>
      </w:r>
      <w:r>
        <w:rPr/>
        <w:t>: The W3C XML Schema definition of this element’s content model (</w:t>
      </w:r>
      <w:r>
        <w:rPr>
          <w:color w:val="5F5F5F"/>
          <w:u w:val="single" w:color="5F5F5F"/>
        </w:rPr>
        <w:t>CT_InputCells</w:t>
      </w:r>
      <w:r>
        <w:rPr/>
        <w:t>) is located in §A.2. </w:t>
      </w:r>
      <w:r>
        <w:rPr>
          <w:i/>
        </w:rPr>
        <w:t>end </w:t>
      </w:r>
      <w:r>
        <w:rPr>
          <w:i/>
        </w:rPr>
        <w:t>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3 is (Rich Text Inline)" w:id="260"/>
      <w:bookmarkEnd w:id="260"/>
      <w:r>
        <w:rPr/>
      </w:r>
      <w:bookmarkStart w:name="_bookmark85" w:id="261"/>
      <w:bookmarkEnd w:id="261"/>
      <w:r>
        <w:rPr/>
      </w:r>
      <w:bookmarkStart w:name="_bookmark85" w:id="262"/>
      <w:bookmarkEnd w:id="262"/>
      <w:r>
        <w:rPr>
          <w:color w:val="4F81BC"/>
        </w:rPr>
        <w:t>is</w:t>
      </w:r>
      <w:r>
        <w:rPr>
          <w:color w:val="4F81BC"/>
        </w:rPr>
        <w:t> (Rich Text</w:t>
      </w:r>
      <w:r>
        <w:rPr>
          <w:color w:val="4F81BC"/>
          <w:spacing w:val="-2"/>
        </w:rPr>
        <w:t> </w:t>
      </w:r>
      <w:r>
        <w:rPr>
          <w:color w:val="4F81BC"/>
        </w:rPr>
        <w:t>Inline)</w:t>
      </w:r>
    </w:p>
    <w:p>
      <w:pPr>
        <w:pStyle w:val="BodyText"/>
        <w:spacing w:line="276" w:lineRule="auto" w:before="121"/>
        <w:ind w:left="220" w:right="460"/>
      </w:pPr>
      <w:r>
        <w:rPr/>
        <w:t>This element allows for strings to be expressed directly in the cell definition instead of implementing the shared string table.</w:t>
      </w:r>
    </w:p>
    <w:p>
      <w:pPr>
        <w:pStyle w:val="BodyText"/>
        <w:spacing w:before="6"/>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before="1"/>
        <w:ind w:left="508"/>
        <w:rPr>
          <w:rFonts w:ascii="Consolas"/>
        </w:rPr>
      </w:pPr>
      <w:r>
        <w:rPr>
          <w:rFonts w:ascii="Consolas"/>
        </w:rPr>
        <w:t>&lt;c r="A1"&gt;</w:t>
      </w:r>
    </w:p>
    <w:p>
      <w:pPr>
        <w:pStyle w:val="BodyText"/>
        <w:spacing w:before="40"/>
        <w:ind w:left="750"/>
        <w:rPr>
          <w:rFonts w:ascii="Consolas"/>
        </w:rPr>
      </w:pPr>
      <w:r>
        <w:rPr>
          <w:rFonts w:ascii="Consolas"/>
        </w:rPr>
        <w:t>&lt;is&gt;</w:t>
      </w:r>
    </w:p>
    <w:p>
      <w:pPr>
        <w:pStyle w:val="BodyText"/>
        <w:spacing w:before="37"/>
        <w:ind w:left="993"/>
        <w:rPr>
          <w:rFonts w:ascii="Consolas"/>
        </w:rPr>
      </w:pPr>
      <w:r>
        <w:rPr>
          <w:rFonts w:ascii="Consolas"/>
        </w:rPr>
        <w:t>&lt;t&gt;String&lt;/t&gt;</w:t>
      </w:r>
    </w:p>
    <w:p>
      <w:pPr>
        <w:pStyle w:val="BodyText"/>
        <w:spacing w:before="40"/>
        <w:ind w:left="750"/>
        <w:rPr>
          <w:rFonts w:ascii="Consolas"/>
        </w:rPr>
      </w:pPr>
      <w:r>
        <w:rPr>
          <w:rFonts w:ascii="Consolas"/>
        </w:rPr>
        <w:t>&lt;/is&gt;</w:t>
      </w:r>
    </w:p>
    <w:p>
      <w:pPr>
        <w:pStyle w:val="BodyText"/>
        <w:spacing w:before="38"/>
        <w:ind w:left="508"/>
        <w:rPr>
          <w:rFonts w:ascii="Consolas"/>
        </w:rPr>
      </w:pPr>
      <w:r>
        <w:rPr>
          <w:rFonts w:ascii="Consolas"/>
        </w:rPr>
        <w:t>&lt;/c&gt;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CT_Rst</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4 mergeCell (Merged Cell)" w:id="263"/>
      <w:bookmarkEnd w:id="263"/>
      <w:r>
        <w:rPr/>
      </w:r>
      <w:bookmarkStart w:name="_bookmark86" w:id="264"/>
      <w:bookmarkEnd w:id="264"/>
      <w:r>
        <w:rPr/>
      </w:r>
      <w:bookmarkStart w:name="_bookmark86" w:id="265"/>
      <w:bookmarkEnd w:id="265"/>
      <w:r>
        <w:rPr>
          <w:color w:val="4F81BC"/>
        </w:rPr>
        <w:t>me</w:t>
      </w:r>
      <w:r>
        <w:rPr>
          <w:color w:val="4F81BC"/>
        </w:rPr>
        <w:t>rgeCell (Merged</w:t>
      </w:r>
      <w:r>
        <w:rPr>
          <w:color w:val="4F81BC"/>
          <w:spacing w:val="-1"/>
        </w:rPr>
        <w:t> </w:t>
      </w:r>
      <w:r>
        <w:rPr>
          <w:color w:val="4F81BC"/>
        </w:rPr>
        <w:t>Cell)</w:t>
      </w:r>
    </w:p>
    <w:p>
      <w:pPr>
        <w:pStyle w:val="BodyText"/>
        <w:spacing w:before="122"/>
        <w:ind w:left="220"/>
      </w:pPr>
      <w:r>
        <w:rPr/>
        <w:t>A single merged cell</w:t>
      </w:r>
    </w:p>
    <w:p>
      <w:pPr>
        <w:pStyle w:val="BodyText"/>
        <w:spacing w:before="5"/>
        <w:rPr>
          <w:sz w:val="19"/>
        </w:rPr>
      </w:pPr>
    </w:p>
    <w:p>
      <w:pPr>
        <w:pStyle w:val="BodyText"/>
        <w:spacing w:line="278" w:lineRule="auto" w:before="1"/>
        <w:ind w:left="220" w:right="570"/>
      </w:pPr>
      <w:r>
        <w:rPr/>
        <w:t>[</w:t>
      </w:r>
      <w:r>
        <w:rPr>
          <w:i/>
        </w:rPr>
        <w:t>Note</w:t>
      </w:r>
      <w:r>
        <w:rPr/>
        <w:t>: The W3C XML Schema definition of this element’s content model (</w:t>
      </w:r>
      <w:r>
        <w:rPr>
          <w:color w:val="5F5F5F"/>
          <w:u w:val="single" w:color="5F5F5F"/>
        </w:rPr>
        <w:t>CT_MergeCell</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5 mergeCells (Merge Cells)" w:id="266"/>
      <w:bookmarkEnd w:id="266"/>
      <w:r>
        <w:rPr/>
      </w:r>
      <w:bookmarkStart w:name="_bookmark87" w:id="267"/>
      <w:bookmarkEnd w:id="267"/>
      <w:r>
        <w:rPr/>
      </w:r>
      <w:bookmarkStart w:name="_bookmark87" w:id="268"/>
      <w:bookmarkEnd w:id="268"/>
      <w:r>
        <w:rPr>
          <w:color w:val="4F81BC"/>
        </w:rPr>
        <w:t>me</w:t>
      </w:r>
      <w:r>
        <w:rPr>
          <w:color w:val="4F81BC"/>
        </w:rPr>
        <w:t>rgeCells (Merge</w:t>
      </w:r>
      <w:r>
        <w:rPr>
          <w:color w:val="4F81BC"/>
          <w:spacing w:val="-2"/>
        </w:rPr>
        <w:t> </w:t>
      </w:r>
      <w:r>
        <w:rPr>
          <w:color w:val="4F81BC"/>
        </w:rPr>
        <w:t>Cells)</w:t>
      </w:r>
    </w:p>
    <w:p>
      <w:pPr>
        <w:pStyle w:val="BodyText"/>
        <w:spacing w:line="453" w:lineRule="auto" w:before="121"/>
        <w:ind w:left="220" w:right="5290"/>
      </w:pPr>
      <w:r>
        <w:rPr/>
        <w:t>This collection expresses all the merged cells in the sheet. [</w:t>
      </w:r>
      <w:r>
        <w:rPr>
          <w:i/>
        </w:rPr>
        <w:t>Example</w:t>
      </w:r>
      <w:r>
        <w:rPr/>
        <w:t>:</w:t>
      </w:r>
    </w:p>
    <w:p>
      <w:pPr>
        <w:pStyle w:val="BodyText"/>
        <w:spacing w:line="278" w:lineRule="auto"/>
        <w:ind w:left="220" w:right="600"/>
      </w:pPr>
      <w:r>
        <w:rPr/>
        <w:t>This example shows that three ranges are merged. The formatting and content for the merged range is always stored in the top left cell.</w:t>
      </w:r>
    </w:p>
    <w:p>
      <w:pPr>
        <w:pStyle w:val="BodyText"/>
        <w:spacing w:before="3"/>
        <w:rPr>
          <w:sz w:val="16"/>
        </w:rPr>
      </w:pPr>
    </w:p>
    <w:p>
      <w:pPr>
        <w:pStyle w:val="BodyText"/>
        <w:ind w:left="508"/>
        <w:rPr>
          <w:rFonts w:ascii="Consolas"/>
        </w:rPr>
      </w:pPr>
      <w:r>
        <w:rPr>
          <w:rFonts w:ascii="Consolas"/>
        </w:rPr>
        <w:t>&lt;mergeCells&gt;</w:t>
      </w:r>
    </w:p>
    <w:p>
      <w:pPr>
        <w:pStyle w:val="BodyText"/>
        <w:spacing w:before="38"/>
        <w:ind w:left="750"/>
        <w:rPr>
          <w:rFonts w:ascii="Consolas"/>
        </w:rPr>
      </w:pPr>
      <w:r>
        <w:rPr>
          <w:rFonts w:ascii="Consolas"/>
        </w:rPr>
        <w:t>&lt;mergeCell ref="C2:F2"/&gt;</w:t>
      </w:r>
    </w:p>
    <w:p>
      <w:pPr>
        <w:pStyle w:val="BodyText"/>
        <w:spacing w:before="37"/>
        <w:ind w:left="750"/>
        <w:rPr>
          <w:rFonts w:ascii="Consolas"/>
        </w:rPr>
      </w:pPr>
      <w:r>
        <w:rPr>
          <w:rFonts w:ascii="Consolas"/>
        </w:rPr>
        <w:t>&lt;mergeCell</w:t>
      </w:r>
      <w:r>
        <w:rPr>
          <w:rFonts w:ascii="Consolas"/>
          <w:spacing w:val="-15"/>
        </w:rPr>
        <w:t> </w:t>
      </w:r>
      <w:r>
        <w:rPr>
          <w:rFonts w:ascii="Consolas"/>
        </w:rPr>
        <w:t>ref="B19:C20"/&gt;</w:t>
      </w:r>
    </w:p>
    <w:p>
      <w:pPr>
        <w:pStyle w:val="BodyText"/>
        <w:spacing w:before="40"/>
        <w:ind w:left="750"/>
        <w:rPr>
          <w:rFonts w:ascii="Consolas"/>
        </w:rPr>
      </w:pPr>
      <w:r>
        <w:rPr>
          <w:rFonts w:ascii="Consolas"/>
        </w:rPr>
        <w:t>&lt;mergeCell</w:t>
      </w:r>
      <w:r>
        <w:rPr>
          <w:rFonts w:ascii="Consolas"/>
          <w:spacing w:val="-18"/>
        </w:rPr>
        <w:t> </w:t>
      </w:r>
      <w:r>
        <w:rPr>
          <w:rFonts w:ascii="Consolas"/>
        </w:rPr>
        <w:t>ref="E19:G19"/&gt;</w:t>
      </w:r>
    </w:p>
    <w:p>
      <w:pPr>
        <w:pStyle w:val="BodyText"/>
        <w:spacing w:before="38"/>
        <w:ind w:left="508"/>
        <w:rPr>
          <w:rFonts w:ascii="Consolas"/>
        </w:rPr>
      </w:pPr>
      <w:r>
        <w:rPr>
          <w:rFonts w:ascii="Consolas"/>
        </w:rPr>
        <w:t>&lt;/mergeCells&gt;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count </w:t>
            </w:r>
            <w:r>
              <w:rPr>
                <w:sz w:val="22"/>
              </w:rPr>
              <w:t>(Count)</w:t>
            </w:r>
          </w:p>
        </w:tc>
        <w:tc>
          <w:tcPr>
            <w:tcW w:w="8250" w:type="dxa"/>
          </w:tcPr>
          <w:p>
            <w:pPr>
              <w:pStyle w:val="TableParagraph"/>
              <w:rPr>
                <w:sz w:val="22"/>
              </w:rPr>
            </w:pPr>
            <w:r>
              <w:rPr>
                <w:sz w:val="22"/>
              </w:rPr>
              <w:t>A count of merged cell collections.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6"/>
        <w:ind w:left="220" w:right="484"/>
      </w:pPr>
      <w:r>
        <w:rPr/>
        <w:t>[</w:t>
      </w:r>
      <w:r>
        <w:rPr>
          <w:i/>
        </w:rPr>
        <w:t>Note</w:t>
      </w:r>
      <w:r>
        <w:rPr/>
        <w:t>: The W3C XML Schema definition of this element’s content model (</w:t>
      </w:r>
      <w:r>
        <w:rPr>
          <w:color w:val="5F5F5F"/>
          <w:u w:val="single" w:color="5F5F5F"/>
        </w:rPr>
        <w:t>CT_MergeCells</w:t>
      </w:r>
      <w:r>
        <w:rPr/>
        <w:t>) is located in §A.2. </w:t>
      </w:r>
      <w:r>
        <w:rPr>
          <w:i/>
        </w:rPr>
        <w:t>end </w:t>
      </w:r>
      <w:r>
        <w:rPr>
          <w:i/>
        </w:rPr>
        <w:t>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6 objectPr (Embedded Object Prop" w:id="269"/>
      <w:bookmarkEnd w:id="269"/>
      <w:r>
        <w:rPr/>
      </w:r>
      <w:bookmarkStart w:name="_bookmark88" w:id="270"/>
      <w:bookmarkEnd w:id="270"/>
      <w:r>
        <w:rPr/>
      </w:r>
      <w:bookmarkStart w:name="_bookmark88" w:id="271"/>
      <w:bookmarkEnd w:id="271"/>
      <w:r>
        <w:rPr>
          <w:color w:val="4F81BC"/>
        </w:rPr>
        <w:t>ob</w:t>
      </w:r>
      <w:r>
        <w:rPr>
          <w:color w:val="4F81BC"/>
        </w:rPr>
        <w:t>jectPr (Embedded Object</w:t>
      </w:r>
      <w:r>
        <w:rPr>
          <w:color w:val="4F81BC"/>
          <w:spacing w:val="-3"/>
        </w:rPr>
        <w:t> </w:t>
      </w:r>
      <w:r>
        <w:rPr>
          <w:color w:val="4F81BC"/>
        </w:rPr>
        <w:t>Properties)</w:t>
      </w:r>
    </w:p>
    <w:p>
      <w:pPr>
        <w:pStyle w:val="BodyText"/>
        <w:spacing w:before="121"/>
        <w:ind w:left="220"/>
      </w:pPr>
      <w:r>
        <w:rPr/>
        <w:t>This element specifies the visual, positional and cell linkage properties of an embedded object.</w:t>
      </w:r>
    </w:p>
    <w:p>
      <w:pPr>
        <w:pStyle w:val="BodyText"/>
        <w:spacing w:before="7"/>
        <w:rPr>
          <w:sz w:val="19"/>
        </w:rPr>
      </w:pPr>
    </w:p>
    <w:p>
      <w:pPr>
        <w:pStyle w:val="BodyText"/>
        <w:spacing w:line="278" w:lineRule="auto"/>
        <w:ind w:left="220" w:right="888"/>
      </w:pPr>
      <w:r>
        <w:rPr/>
        <w:t>[</w:t>
      </w:r>
      <w:r>
        <w:rPr>
          <w:i/>
        </w:rPr>
        <w:t>Example</w:t>
      </w:r>
      <w:r>
        <w:rPr/>
        <w:t>: The following example demonstrates an embedded object that does not print and that is resized when the cells underlying it are resized:</w:t>
      </w:r>
    </w:p>
    <w:p>
      <w:pPr>
        <w:pStyle w:val="BodyText"/>
        <w:spacing w:before="197"/>
        <w:ind w:left="508"/>
        <w:rPr>
          <w:rFonts w:ascii="Consolas"/>
        </w:rPr>
      </w:pPr>
      <w:r>
        <w:rPr>
          <w:rFonts w:ascii="Consolas"/>
        </w:rPr>
        <w:t>&lt;oleObjects&gt;</w:t>
      </w:r>
    </w:p>
    <w:p>
      <w:pPr>
        <w:pStyle w:val="BodyText"/>
        <w:spacing w:before="40"/>
        <w:ind w:left="750"/>
        <w:rPr>
          <w:rFonts w:ascii="Consolas" w:hAnsi="Consolas"/>
        </w:rPr>
      </w:pPr>
      <w:r>
        <w:rPr>
          <w:rFonts w:ascii="Consolas" w:hAnsi="Consolas"/>
        </w:rPr>
        <w:t>&lt;oleObject … &gt;</w:t>
      </w:r>
    </w:p>
    <w:p>
      <w:pPr>
        <w:pStyle w:val="BodyText"/>
        <w:spacing w:before="38"/>
        <w:ind w:left="993"/>
        <w:rPr>
          <w:rFonts w:ascii="Consolas"/>
        </w:rPr>
      </w:pPr>
      <w:r>
        <w:rPr>
          <w:rFonts w:ascii="Consolas"/>
        </w:rPr>
        <w:t>&lt;objectPr print="false" autoLine="false" r:id="rId5"&gt;</w:t>
      </w:r>
    </w:p>
    <w:p>
      <w:pPr>
        <w:pStyle w:val="BodyText"/>
        <w:spacing w:before="38"/>
        <w:ind w:left="1235"/>
        <w:rPr>
          <w:rFonts w:ascii="Consolas"/>
        </w:rPr>
      </w:pPr>
      <w:r>
        <w:rPr>
          <w:rFonts w:ascii="Consolas"/>
        </w:rPr>
        <w:t>&lt;anchor sizeWithCells="true"&gt;</w:t>
      </w:r>
    </w:p>
    <w:p>
      <w:pPr>
        <w:pStyle w:val="BodyText"/>
        <w:spacing w:before="40"/>
        <w:ind w:left="1478"/>
        <w:rPr>
          <w:rFonts w:ascii="Consolas" w:hAnsi="Consolas"/>
        </w:rPr>
      </w:pPr>
      <w:r>
        <w:rPr>
          <w:rFonts w:ascii="Consolas" w:hAnsi="Consolas"/>
        </w:rPr>
        <w:t>&lt;from&gt; … &lt;/from&gt;</w:t>
      </w:r>
    </w:p>
    <w:p>
      <w:pPr>
        <w:pStyle w:val="BodyText"/>
        <w:spacing w:before="37"/>
        <w:ind w:left="1478"/>
        <w:rPr>
          <w:rFonts w:ascii="Consolas" w:hAnsi="Consolas"/>
        </w:rPr>
      </w:pPr>
      <w:r>
        <w:rPr>
          <w:rFonts w:ascii="Consolas" w:hAnsi="Consolas"/>
        </w:rPr>
        <w:t>&lt;to&gt; … &lt;/to&gt;</w:t>
      </w:r>
    </w:p>
    <w:p>
      <w:pPr>
        <w:pStyle w:val="BodyText"/>
        <w:spacing w:before="40"/>
        <w:ind w:right="8354"/>
        <w:jc w:val="right"/>
        <w:rPr>
          <w:rFonts w:ascii="Consolas"/>
        </w:rPr>
      </w:pPr>
      <w:r>
        <w:rPr>
          <w:rFonts w:ascii="Consolas"/>
          <w:spacing w:val="-1"/>
        </w:rPr>
        <w:t>&lt;/anchor&gt;</w:t>
      </w:r>
    </w:p>
    <w:p>
      <w:pPr>
        <w:pStyle w:val="BodyText"/>
        <w:spacing w:before="38"/>
        <w:ind w:right="8355"/>
        <w:jc w:val="right"/>
        <w:rPr>
          <w:rFonts w:ascii="Consolas"/>
        </w:rPr>
      </w:pPr>
      <w:r>
        <w:rPr>
          <w:rFonts w:ascii="Consolas"/>
          <w:spacing w:val="-2"/>
        </w:rPr>
        <w:t>&lt;/objectPr&gt;</w:t>
      </w:r>
    </w:p>
    <w:p>
      <w:pPr>
        <w:pStyle w:val="BodyText"/>
        <w:spacing w:before="40"/>
        <w:ind w:left="750"/>
        <w:rPr>
          <w:rFonts w:ascii="Consolas"/>
        </w:rPr>
      </w:pPr>
      <w:r>
        <w:rPr>
          <w:rFonts w:ascii="Consolas"/>
        </w:rPr>
        <w:t>&lt;/oleObject&gt;</w:t>
      </w:r>
    </w:p>
    <w:p>
      <w:pPr>
        <w:pStyle w:val="BodyText"/>
        <w:spacing w:before="38"/>
        <w:ind w:left="508"/>
        <w:rPr>
          <w:rFonts w:ascii="Consolas"/>
        </w:rPr>
      </w:pPr>
      <w:r>
        <w:rPr>
          <w:rFonts w:ascii="Consolas"/>
        </w:rPr>
        <w:t>&lt;/oleObjects&gt;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60" w:hRule="atLeast"/>
        </w:trPr>
        <w:tc>
          <w:tcPr>
            <w:tcW w:w="2062" w:type="dxa"/>
          </w:tcPr>
          <w:p>
            <w:pPr>
              <w:pStyle w:val="TableParagraph"/>
              <w:ind w:right="150"/>
              <w:rPr>
                <w:sz w:val="22"/>
              </w:rPr>
            </w:pPr>
            <w:r>
              <w:rPr>
                <w:rFonts w:ascii="Cambria"/>
                <w:sz w:val="22"/>
              </w:rPr>
              <w:t>altText </w:t>
            </w:r>
            <w:r>
              <w:rPr>
                <w:sz w:val="22"/>
              </w:rPr>
              <w:t>(Alternative Text)</w:t>
            </w:r>
          </w:p>
        </w:tc>
        <w:tc>
          <w:tcPr>
            <w:tcW w:w="8250" w:type="dxa"/>
          </w:tcPr>
          <w:p>
            <w:pPr>
              <w:pStyle w:val="TableParagraph"/>
              <w:spacing w:line="480" w:lineRule="auto"/>
              <w:ind w:right="231"/>
              <w:rPr>
                <w:sz w:val="22"/>
              </w:rPr>
            </w:pPr>
            <w:r>
              <w:rPr>
                <w:sz w:val="22"/>
              </w:rPr>
              <w:t>Specifies alternative text for the object, for use by assistive technologies or applications. [</w:t>
            </w:r>
            <w:r>
              <w:rPr>
                <w:i/>
                <w:sz w:val="22"/>
              </w:rPr>
              <w:t>Example</w:t>
            </w:r>
            <w:r>
              <w:rPr>
                <w:sz w:val="22"/>
              </w:rPr>
              <w:t>:</w:t>
            </w:r>
          </w:p>
          <w:p>
            <w:pPr>
              <w:pStyle w:val="TableParagraph"/>
              <w:spacing w:before="0"/>
              <w:ind w:left="403"/>
              <w:rPr>
                <w:rFonts w:ascii="Consolas" w:hAnsi="Consolas"/>
                <w:sz w:val="22"/>
              </w:rPr>
            </w:pPr>
            <w:r>
              <w:rPr>
                <w:rFonts w:ascii="Consolas" w:hAnsi="Consolas"/>
                <w:sz w:val="22"/>
              </w:rPr>
              <w:t>&lt;objectPr altText="Alternate text" … /&gt;</w:t>
            </w:r>
          </w:p>
          <w:p>
            <w:pPr>
              <w:pStyle w:val="TableParagraph"/>
              <w:spacing w:before="0"/>
              <w:ind w:left="0"/>
              <w:rPr>
                <w:sz w:val="22"/>
              </w:rPr>
            </w:pPr>
          </w:p>
          <w:p>
            <w:pPr>
              <w:pStyle w:val="TableParagraph"/>
              <w:spacing w:before="0"/>
              <w:rPr>
                <w:sz w:val="22"/>
              </w:rPr>
            </w:pPr>
            <w:r>
              <w:rPr>
                <w:i/>
                <w:sz w:val="22"/>
              </w:rPr>
              <w:t>end example</w:t>
            </w:r>
            <w:r>
              <w:rPr>
                <w:sz w:val="22"/>
              </w:rPr>
              <w:t>]</w:t>
            </w:r>
          </w:p>
          <w:p>
            <w:pPr>
              <w:pStyle w:val="TableParagraph"/>
              <w:spacing w:before="11"/>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17" w:hRule="atLeast"/>
        </w:trPr>
        <w:tc>
          <w:tcPr>
            <w:tcW w:w="2062" w:type="dxa"/>
          </w:tcPr>
          <w:p>
            <w:pPr>
              <w:pStyle w:val="TableParagraph"/>
              <w:ind w:right="152"/>
              <w:rPr>
                <w:sz w:val="22"/>
              </w:rPr>
            </w:pPr>
            <w:r>
              <w:rPr>
                <w:rFonts w:ascii="Cambria"/>
                <w:sz w:val="22"/>
              </w:rPr>
              <w:t>autoFill </w:t>
            </w:r>
            <w:r>
              <w:rPr>
                <w:sz w:val="22"/>
              </w:rPr>
              <w:t>(Automatic Fill Flag)</w:t>
            </w:r>
          </w:p>
        </w:tc>
        <w:tc>
          <w:tcPr>
            <w:tcW w:w="8250" w:type="dxa"/>
          </w:tcPr>
          <w:p>
            <w:pPr>
              <w:pStyle w:val="TableParagraph"/>
              <w:rPr>
                <w:sz w:val="22"/>
              </w:rPr>
            </w:pPr>
            <w:r>
              <w:rPr>
                <w:sz w:val="22"/>
              </w:rPr>
              <w:t>Specifies whether the object’s fill formatting is provided automatically by the application.</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3"/>
              <w:ind w:left="0"/>
              <w:rPr>
                <w:sz w:val="22"/>
              </w:rPr>
            </w:pPr>
          </w:p>
          <w:p>
            <w:pPr>
              <w:pStyle w:val="TableParagraph"/>
              <w:spacing w:before="0"/>
              <w:ind w:left="403"/>
              <w:rPr>
                <w:rFonts w:ascii="Consolas" w:hAnsi="Consolas"/>
                <w:sz w:val="22"/>
              </w:rPr>
            </w:pPr>
            <w:r>
              <w:rPr>
                <w:rFonts w:ascii="Consolas" w:hAnsi="Consolas"/>
                <w:sz w:val="22"/>
              </w:rPr>
              <w:t>&lt;objectPr autoFill="false" … /&gt;</w:t>
            </w:r>
          </w:p>
        </w:tc>
      </w:tr>
    </w:tbl>
    <w:p>
      <w:pPr>
        <w:spacing w:after="0"/>
        <w:rPr>
          <w:rFonts w:ascii="Consolas" w:hAnsi="Consolas"/>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31" w:hRule="atLeast"/>
        </w:trPr>
        <w:tc>
          <w:tcPr>
            <w:tcW w:w="2062" w:type="dxa"/>
          </w:tcPr>
          <w:p>
            <w:pPr>
              <w:pStyle w:val="TableParagraph"/>
              <w:spacing w:before="42"/>
              <w:ind w:right="501"/>
              <w:rPr>
                <w:sz w:val="22"/>
              </w:rPr>
            </w:pPr>
            <w:r>
              <w:rPr>
                <w:rFonts w:ascii="Cambria"/>
                <w:sz w:val="22"/>
              </w:rPr>
              <w:t>autoLine </w:t>
            </w:r>
            <w:r>
              <w:rPr>
                <w:sz w:val="22"/>
              </w:rPr>
              <w:t>(Automatic Line Flag)</w:t>
            </w:r>
          </w:p>
        </w:tc>
        <w:tc>
          <w:tcPr>
            <w:tcW w:w="8250" w:type="dxa"/>
          </w:tcPr>
          <w:p>
            <w:pPr>
              <w:pStyle w:val="TableParagraph"/>
              <w:rPr>
                <w:sz w:val="22"/>
              </w:rPr>
            </w:pPr>
            <w:r>
              <w:rPr>
                <w:sz w:val="22"/>
              </w:rPr>
              <w:t>Specifies whether the object’s line formatting is provided automatically by the</w:t>
            </w:r>
          </w:p>
          <w:p>
            <w:pPr>
              <w:pStyle w:val="TableParagraph"/>
              <w:spacing w:line="480" w:lineRule="auto" w:before="0"/>
              <w:ind w:right="7057"/>
              <w:rPr>
                <w:sz w:val="22"/>
              </w:rPr>
            </w:pPr>
            <w:r>
              <w:rPr>
                <w:sz w:val="22"/>
              </w:rPr>
              <w:t>application.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&lt;objectPr autoLine="false" … /&gt;</w:t>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59" w:hRule="atLeast"/>
        </w:trPr>
        <w:tc>
          <w:tcPr>
            <w:tcW w:w="2062" w:type="dxa"/>
          </w:tcPr>
          <w:p>
            <w:pPr>
              <w:pStyle w:val="TableParagraph"/>
              <w:ind w:right="93"/>
              <w:rPr>
                <w:sz w:val="22"/>
              </w:rPr>
            </w:pPr>
            <w:r>
              <w:rPr>
                <w:rFonts w:ascii="Cambria"/>
                <w:sz w:val="22"/>
              </w:rPr>
              <w:t>autoPict </w:t>
            </w:r>
            <w:r>
              <w:rPr>
                <w:sz w:val="22"/>
              </w:rPr>
              <w:t>(Automatic Size Flag)</w:t>
            </w:r>
          </w:p>
        </w:tc>
        <w:tc>
          <w:tcPr>
            <w:tcW w:w="8250" w:type="dxa"/>
          </w:tcPr>
          <w:p>
            <w:pPr>
              <w:pStyle w:val="TableParagraph"/>
              <w:rPr>
                <w:sz w:val="22"/>
              </w:rPr>
            </w:pPr>
            <w:r>
              <w:rPr>
                <w:sz w:val="22"/>
              </w:rPr>
              <w:t>Specifies whether the object’s size is formatted automatically by the application.</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4"/>
              <w:ind w:left="0"/>
              <w:rPr>
                <w:rFonts w:ascii="Times New Roman"/>
                <w:sz w:val="23"/>
              </w:rPr>
            </w:pPr>
          </w:p>
          <w:p>
            <w:pPr>
              <w:pStyle w:val="TableParagraph"/>
              <w:spacing w:before="1"/>
              <w:ind w:left="403"/>
              <w:rPr>
                <w:rFonts w:ascii="Consolas" w:hAnsi="Consolas"/>
                <w:sz w:val="22"/>
              </w:rPr>
            </w:pPr>
            <w:r>
              <w:rPr>
                <w:rFonts w:ascii="Consolas" w:hAnsi="Consolas"/>
                <w:sz w:val="22"/>
              </w:rPr>
              <w:t>&lt;objectPr autoPict="false" … /&gt;</w:t>
            </w:r>
          </w:p>
          <w:p>
            <w:pPr>
              <w:pStyle w:val="TableParagraph"/>
              <w:spacing w:before="3"/>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62" w:hRule="atLeast"/>
        </w:trPr>
        <w:tc>
          <w:tcPr>
            <w:tcW w:w="2062" w:type="dxa"/>
          </w:tcPr>
          <w:p>
            <w:pPr>
              <w:pStyle w:val="TableParagraph"/>
              <w:ind w:right="205"/>
              <w:rPr>
                <w:sz w:val="22"/>
              </w:rPr>
            </w:pPr>
            <w:r>
              <w:rPr>
                <w:rFonts w:ascii="Cambria"/>
                <w:sz w:val="22"/>
              </w:rPr>
              <w:t>dde </w:t>
            </w:r>
            <w:r>
              <w:rPr>
                <w:sz w:val="22"/>
              </w:rPr>
              <w:t>(Dynamic Data Exchange Flag)</w:t>
            </w:r>
          </w:p>
        </w:tc>
        <w:tc>
          <w:tcPr>
            <w:tcW w:w="8250" w:type="dxa"/>
          </w:tcPr>
          <w:p>
            <w:pPr>
              <w:pStyle w:val="TableParagraph"/>
              <w:spacing w:line="480" w:lineRule="auto"/>
              <w:ind w:right="2603"/>
              <w:rPr>
                <w:sz w:val="22"/>
              </w:rPr>
            </w:pPr>
            <w:r>
              <w:rPr>
                <w:sz w:val="22"/>
              </w:rPr>
              <w:t>Specifies whether the object is a Dynamic Data Exchange link.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&lt;objectPr dde="true"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491" w:hRule="atLeast"/>
        </w:trPr>
        <w:tc>
          <w:tcPr>
            <w:tcW w:w="2062" w:type="dxa"/>
          </w:tcPr>
          <w:p>
            <w:pPr>
              <w:pStyle w:val="TableParagraph"/>
              <w:ind w:right="108"/>
              <w:rPr>
                <w:sz w:val="22"/>
              </w:rPr>
            </w:pPr>
            <w:r>
              <w:rPr>
                <w:rFonts w:ascii="Cambria"/>
                <w:sz w:val="22"/>
              </w:rPr>
              <w:t>defaultSize </w:t>
            </w:r>
            <w:r>
              <w:rPr>
                <w:sz w:val="22"/>
              </w:rPr>
              <w:t>(Default Size Flag)</w:t>
            </w:r>
          </w:p>
        </w:tc>
        <w:tc>
          <w:tcPr>
            <w:tcW w:w="8250" w:type="dxa"/>
          </w:tcPr>
          <w:p>
            <w:pPr>
              <w:pStyle w:val="TableParagraph"/>
              <w:spacing w:line="480" w:lineRule="auto"/>
              <w:ind w:right="3755"/>
              <w:rPr>
                <w:sz w:val="22"/>
              </w:rPr>
            </w:pPr>
            <w:r>
              <w:rPr>
                <w:sz w:val="22"/>
              </w:rPr>
              <w:t>Specifies whether the object is at its default size. [</w:t>
            </w:r>
            <w:r>
              <w:rPr>
                <w:i/>
                <w:sz w:val="22"/>
              </w:rPr>
              <w:t>Example</w:t>
            </w:r>
            <w:r>
              <w:rPr>
                <w:sz w:val="22"/>
              </w:rPr>
              <w:t>:</w:t>
            </w:r>
          </w:p>
          <w:p>
            <w:pPr>
              <w:pStyle w:val="TableParagraph"/>
              <w:spacing w:before="1"/>
              <w:ind w:left="403"/>
              <w:rPr>
                <w:rFonts w:ascii="Consolas" w:hAnsi="Consolas"/>
                <w:sz w:val="22"/>
              </w:rPr>
            </w:pPr>
            <w:r>
              <w:rPr>
                <w:rFonts w:ascii="Consolas" w:hAnsi="Consolas"/>
                <w:sz w:val="22"/>
              </w:rPr>
              <w:t>&lt;objectPr defaultSize="false"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2759" w:hRule="atLeast"/>
        </w:trPr>
        <w:tc>
          <w:tcPr>
            <w:tcW w:w="2062" w:type="dxa"/>
          </w:tcPr>
          <w:p>
            <w:pPr>
              <w:pStyle w:val="TableParagraph"/>
              <w:ind w:right="238"/>
              <w:rPr>
                <w:sz w:val="22"/>
              </w:rPr>
            </w:pPr>
            <w:r>
              <w:rPr>
                <w:rFonts w:ascii="Cambria"/>
                <w:sz w:val="22"/>
              </w:rPr>
              <w:t>disabled </w:t>
            </w:r>
            <w:r>
              <w:rPr>
                <w:sz w:val="22"/>
              </w:rPr>
              <w:t>(Disabled Flag)</w:t>
            </w:r>
          </w:p>
        </w:tc>
        <w:tc>
          <w:tcPr>
            <w:tcW w:w="8250" w:type="dxa"/>
          </w:tcPr>
          <w:p>
            <w:pPr>
              <w:pStyle w:val="TableParagraph"/>
              <w:spacing w:line="480" w:lineRule="auto"/>
              <w:ind w:right="2233"/>
              <w:rPr>
                <w:sz w:val="22"/>
              </w:rPr>
            </w:pPr>
            <w:r>
              <w:rPr>
                <w:sz w:val="22"/>
              </w:rPr>
              <w:t>Specifies whether the object is allowed to run an attached macro. [</w:t>
            </w:r>
            <w:r>
              <w:rPr>
                <w:i/>
                <w:sz w:val="22"/>
              </w:rPr>
              <w:t>Example</w:t>
            </w:r>
            <w:r>
              <w:rPr>
                <w:sz w:val="22"/>
              </w:rPr>
              <w:t>:</w:t>
            </w:r>
          </w:p>
          <w:p>
            <w:pPr>
              <w:pStyle w:val="TableParagraph"/>
              <w:spacing w:before="0"/>
              <w:ind w:left="403"/>
              <w:rPr>
                <w:rFonts w:ascii="Consolas" w:hAnsi="Consolas"/>
                <w:sz w:val="22"/>
              </w:rPr>
            </w:pPr>
            <w:r>
              <w:rPr>
                <w:rFonts w:ascii="Consolas" w:hAnsi="Consolas"/>
                <w:sz w:val="22"/>
              </w:rPr>
              <w:t>&lt;objectPr disabled="true" … /&gt;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4373" w:hRule="atLeast"/>
        </w:trPr>
        <w:tc>
          <w:tcPr>
            <w:tcW w:w="2062" w:type="dxa"/>
          </w:tcPr>
          <w:p>
            <w:pPr>
              <w:pStyle w:val="TableParagraph"/>
              <w:ind w:right="269"/>
              <w:rPr>
                <w:sz w:val="22"/>
              </w:rPr>
            </w:pPr>
            <w:r>
              <w:rPr>
                <w:rFonts w:ascii="Cambria"/>
                <w:sz w:val="22"/>
              </w:rPr>
              <w:t>id </w:t>
            </w:r>
            <w:r>
              <w:rPr>
                <w:sz w:val="22"/>
              </w:rPr>
              <w:t>(Relationship ID to Embedded Object Data)</w:t>
            </w:r>
          </w:p>
          <w:p>
            <w:pPr>
              <w:pStyle w:val="TableParagraph"/>
              <w:spacing w:before="5"/>
              <w:ind w:left="0"/>
              <w:rPr>
                <w:rFonts w:ascii="Times New Roman"/>
                <w:sz w:val="23"/>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ind w:right="163"/>
              <w:rPr>
                <w:sz w:val="22"/>
              </w:rPr>
            </w:pPr>
            <w:r>
              <w:rPr>
                <w:sz w:val="22"/>
              </w:rPr>
              <w:t>Specifies the relationship ID for the relationship which targets the Embedded Object Part containing the embedded object data.</w:t>
            </w:r>
          </w:p>
          <w:p>
            <w:pPr>
              <w:pStyle w:val="TableParagraph"/>
              <w:spacing w:before="5"/>
              <w:ind w:left="0"/>
              <w:rPr>
                <w:rFonts w:ascii="Times New Roman"/>
                <w:sz w:val="23"/>
              </w:rPr>
            </w:pPr>
          </w:p>
          <w:p>
            <w:pPr>
              <w:pStyle w:val="TableParagraph"/>
              <w:spacing w:before="0"/>
              <w:ind w:right="475"/>
              <w:rPr>
                <w:sz w:val="22"/>
              </w:rPr>
            </w:pPr>
            <w:r>
              <w:rPr>
                <w:sz w:val="22"/>
              </w:rPr>
              <w:t>The specified relationship shall be of type</w:t>
            </w:r>
            <w:hyperlink r:id="rId39">
              <w:r>
                <w:rPr>
                  <w:sz w:val="22"/>
                </w:rPr>
                <w:t> http://purl.oclc.org/ooxml/officeDocument/relationships/oleObject </w:t>
              </w:r>
            </w:hyperlink>
            <w:r>
              <w:rPr>
                <w:sz w:val="22"/>
              </w:rPr>
              <w:t>or the document shall be considered non-conformant.</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w:t>
            </w:r>
            <w:r>
              <w:rPr>
                <w:sz w:val="22"/>
              </w:rPr>
              <w:t>: Consider an XML element which has the following </w:t>
            </w:r>
            <w:r>
              <w:rPr>
                <w:rFonts w:ascii="Cambria"/>
                <w:sz w:val="22"/>
              </w:rPr>
              <w:t>id </w:t>
            </w:r>
            <w:r>
              <w:rPr>
                <w:sz w:val="22"/>
              </w:rPr>
              <w:t>attribute:</w:t>
            </w:r>
          </w:p>
          <w:p>
            <w:pPr>
              <w:pStyle w:val="TableParagraph"/>
              <w:spacing w:before="6"/>
              <w:ind w:left="0"/>
              <w:rPr>
                <w:rFonts w:ascii="Times New Roman"/>
                <w:sz w:val="23"/>
              </w:rPr>
            </w:pPr>
          </w:p>
          <w:p>
            <w:pPr>
              <w:pStyle w:val="TableParagraph"/>
              <w:spacing w:before="1"/>
              <w:ind w:left="403"/>
              <w:rPr>
                <w:rFonts w:ascii="Consolas" w:hAnsi="Consolas"/>
                <w:sz w:val="22"/>
              </w:rPr>
            </w:pPr>
            <w:r>
              <w:rPr>
                <w:rFonts w:ascii="Consolas" w:hAnsi="Consolas"/>
                <w:sz w:val="22"/>
              </w:rPr>
              <w:t>&lt;… r:id="rId1" /&gt;</w:t>
            </w:r>
          </w:p>
          <w:p>
            <w:pPr>
              <w:pStyle w:val="TableParagraph"/>
              <w:spacing w:before="5"/>
              <w:ind w:left="0"/>
              <w:rPr>
                <w:rFonts w:ascii="Times New Roman"/>
                <w:sz w:val="23"/>
              </w:rPr>
            </w:pPr>
          </w:p>
          <w:p>
            <w:pPr>
              <w:pStyle w:val="TableParagraph"/>
              <w:spacing w:line="237" w:lineRule="auto" w:before="0"/>
              <w:ind w:right="298"/>
              <w:rPr>
                <w:sz w:val="22"/>
              </w:rPr>
            </w:pPr>
            <w:r>
              <w:rPr>
                <w:sz w:val="22"/>
              </w:rPr>
              <w:t>The markup specifies the associated relationship part with relationship ID </w:t>
            </w:r>
            <w:r>
              <w:rPr>
                <w:rFonts w:ascii="Consolas"/>
                <w:sz w:val="20"/>
              </w:rPr>
              <w:t>rId1</w:t>
            </w:r>
            <w:r>
              <w:rPr>
                <w:rFonts w:ascii="Consolas"/>
                <w:spacing w:val="-84"/>
                <w:sz w:val="20"/>
              </w:rPr>
              <w:t> </w:t>
            </w:r>
            <w:r>
              <w:rPr>
                <w:sz w:val="22"/>
              </w:rPr>
              <w:t>targets the part containing the corresponding embedded object information. </w:t>
            </w:r>
            <w:r>
              <w:rPr>
                <w:i/>
                <w:sz w:val="22"/>
              </w:rPr>
              <w:t>end example</w:t>
            </w:r>
            <w:r>
              <w:rPr>
                <w:sz w:val="22"/>
              </w:rPr>
              <w:t>]</w:t>
            </w:r>
          </w:p>
          <w:p>
            <w:pPr>
              <w:pStyle w:val="TableParagraph"/>
              <w:spacing w:before="6"/>
              <w:ind w:left="0"/>
              <w:rPr>
                <w:rFonts w:ascii="Times New Roman"/>
                <w:sz w:val="23"/>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2759" w:hRule="atLeast"/>
        </w:trPr>
        <w:tc>
          <w:tcPr>
            <w:tcW w:w="2062" w:type="dxa"/>
          </w:tcPr>
          <w:p>
            <w:pPr>
              <w:pStyle w:val="TableParagraph"/>
              <w:ind w:right="557"/>
              <w:rPr>
                <w:sz w:val="22"/>
              </w:rPr>
            </w:pPr>
            <w:r>
              <w:rPr>
                <w:rFonts w:ascii="Cambria"/>
                <w:sz w:val="22"/>
              </w:rPr>
              <w:t>locked </w:t>
            </w:r>
            <w:r>
              <w:rPr>
                <w:sz w:val="22"/>
              </w:rPr>
              <w:t>(Locked Flag)</w:t>
            </w:r>
          </w:p>
        </w:tc>
        <w:tc>
          <w:tcPr>
            <w:tcW w:w="8250" w:type="dxa"/>
          </w:tcPr>
          <w:p>
            <w:pPr>
              <w:pStyle w:val="TableParagraph"/>
              <w:spacing w:line="480" w:lineRule="auto"/>
              <w:ind w:right="2510"/>
              <w:rPr>
                <w:sz w:val="22"/>
              </w:rPr>
            </w:pPr>
            <w:r>
              <w:rPr>
                <w:sz w:val="22"/>
              </w:rPr>
              <w:t>Specifies that the object is locked when the sheet is protected.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&lt;objectPr locked="false"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24" w:hRule="atLeast"/>
        </w:trPr>
        <w:tc>
          <w:tcPr>
            <w:tcW w:w="2062" w:type="dxa"/>
          </w:tcPr>
          <w:p>
            <w:pPr>
              <w:pStyle w:val="TableParagraph"/>
              <w:ind w:right="522"/>
              <w:rPr>
                <w:sz w:val="22"/>
              </w:rPr>
            </w:pPr>
            <w:r>
              <w:rPr>
                <w:rFonts w:ascii="Cambria"/>
                <w:sz w:val="22"/>
              </w:rPr>
              <w:t>macro </w:t>
            </w:r>
            <w:r>
              <w:rPr>
                <w:sz w:val="22"/>
              </w:rPr>
              <w:t>(Custom Function)</w:t>
            </w:r>
          </w:p>
        </w:tc>
        <w:tc>
          <w:tcPr>
            <w:tcW w:w="8250" w:type="dxa"/>
          </w:tcPr>
          <w:p>
            <w:pPr>
              <w:pStyle w:val="TableParagraph"/>
              <w:ind w:right="111"/>
              <w:rPr>
                <w:sz w:val="22"/>
              </w:rPr>
            </w:pPr>
            <w:r>
              <w:rPr>
                <w:sz w:val="22"/>
              </w:rPr>
              <w:t>Specifies the custom function associated with the object. [</w:t>
            </w:r>
            <w:r>
              <w:rPr>
                <w:i/>
                <w:sz w:val="22"/>
              </w:rPr>
              <w:t>Example</w:t>
            </w:r>
            <w:r>
              <w:rPr>
                <w:sz w:val="22"/>
              </w:rPr>
              <w:t>: A macro script, add- in function, and so on. </w:t>
            </w:r>
            <w:r>
              <w:rPr>
                <w:i/>
                <w:sz w:val="22"/>
              </w:rPr>
              <w:t>end example</w:t>
            </w:r>
            <w:r>
              <w:rPr>
                <w:sz w:val="22"/>
              </w:rPr>
              <w:t>]</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&lt;objectPr macro="Button1_Click()"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907"/>
              <w:rPr>
                <w:sz w:val="22"/>
              </w:rPr>
            </w:pPr>
            <w:r>
              <w:rPr>
                <w:sz w:val="22"/>
              </w:rPr>
              <w:t>The possible values for this attribute are defined by the </w:t>
            </w:r>
            <w:r>
              <w:rPr>
                <w:rFonts w:ascii="Cambria" w:hAnsi="Cambria"/>
                <w:sz w:val="22"/>
              </w:rPr>
              <w:t>ST_Formula </w:t>
            </w:r>
            <w:r>
              <w:rPr>
                <w:sz w:val="22"/>
              </w:rPr>
              <w:t>simple type </w:t>
            </w:r>
            <w:hyperlink w:history="true" w:anchor="_bookmark857">
              <w:r>
                <w:rPr>
                  <w:sz w:val="22"/>
                </w:rPr>
                <w:t>(§18.18.35</w:t>
              </w:r>
            </w:hyperlink>
            <w:r>
              <w:rPr>
                <w:sz w:val="22"/>
              </w:rPr>
              <w:t>).</w:t>
            </w:r>
          </w:p>
        </w:tc>
      </w:tr>
      <w:tr>
        <w:trPr>
          <w:trHeight w:val="2760" w:hRule="atLeast"/>
        </w:trPr>
        <w:tc>
          <w:tcPr>
            <w:tcW w:w="2062" w:type="dxa"/>
          </w:tcPr>
          <w:p>
            <w:pPr>
              <w:pStyle w:val="TableParagraph"/>
              <w:rPr>
                <w:sz w:val="22"/>
              </w:rPr>
            </w:pPr>
            <w:r>
              <w:rPr>
                <w:rFonts w:ascii="Cambria"/>
                <w:sz w:val="22"/>
              </w:rPr>
              <w:t>print </w:t>
            </w:r>
            <w:r>
              <w:rPr>
                <w:sz w:val="22"/>
              </w:rPr>
              <w:t>(Print Flag)</w:t>
            </w:r>
          </w:p>
        </w:tc>
        <w:tc>
          <w:tcPr>
            <w:tcW w:w="8250" w:type="dxa"/>
          </w:tcPr>
          <w:p>
            <w:pPr>
              <w:pStyle w:val="TableParagraph"/>
              <w:spacing w:line="477" w:lineRule="auto"/>
              <w:ind w:right="1853"/>
              <w:rPr>
                <w:sz w:val="22"/>
              </w:rPr>
            </w:pPr>
            <w:r>
              <w:rPr>
                <w:sz w:val="22"/>
              </w:rPr>
              <w:t>Specifies whether the object is printed when the document is printed. [</w:t>
            </w:r>
            <w:r>
              <w:rPr>
                <w:i/>
                <w:sz w:val="22"/>
              </w:rPr>
              <w:t>Example</w:t>
            </w:r>
            <w:r>
              <w:rPr>
                <w:sz w:val="22"/>
              </w:rPr>
              <w:t>:</w:t>
            </w:r>
          </w:p>
          <w:p>
            <w:pPr>
              <w:pStyle w:val="TableParagraph"/>
              <w:spacing w:before="6"/>
              <w:ind w:left="403"/>
              <w:rPr>
                <w:rFonts w:ascii="Consolas" w:hAnsi="Consolas"/>
                <w:sz w:val="22"/>
              </w:rPr>
            </w:pPr>
            <w:r>
              <w:rPr>
                <w:rFonts w:ascii="Consolas" w:hAnsi="Consolas"/>
                <w:sz w:val="22"/>
              </w:rPr>
              <w:t>&lt;objectPr print="false"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28" w:hRule="atLeast"/>
        </w:trPr>
        <w:tc>
          <w:tcPr>
            <w:tcW w:w="2062" w:type="dxa"/>
          </w:tcPr>
          <w:p>
            <w:pPr>
              <w:pStyle w:val="TableParagraph"/>
              <w:ind w:right="181"/>
              <w:rPr>
                <w:sz w:val="22"/>
              </w:rPr>
            </w:pPr>
            <w:r>
              <w:rPr>
                <w:rFonts w:ascii="Cambria"/>
                <w:sz w:val="22"/>
              </w:rPr>
              <w:t>uiObject </w:t>
            </w:r>
            <w:r>
              <w:rPr>
                <w:sz w:val="22"/>
              </w:rPr>
              <w:t>(UI Object Flag)</w:t>
            </w:r>
          </w:p>
        </w:tc>
        <w:tc>
          <w:tcPr>
            <w:tcW w:w="8250" w:type="dxa"/>
          </w:tcPr>
          <w:p>
            <w:pPr>
              <w:pStyle w:val="TableParagraph"/>
              <w:ind w:right="610"/>
              <w:rPr>
                <w:sz w:val="22"/>
              </w:rPr>
            </w:pPr>
            <w:r>
              <w:rPr>
                <w:sz w:val="22"/>
              </w:rPr>
              <w:t>Specifies whether the object is a UI-only object. Applications should prevent UI-only objects from being selected and edited in their user interface.</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&lt;objectPr uiObject="true" … /&gt;</w:t>
            </w:r>
          </w:p>
          <w:p>
            <w:pPr>
              <w:pStyle w:val="TableParagraph"/>
              <w:spacing w:before="1"/>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pStyle w:val="BodyText"/>
        <w:rPr>
          <w:rFonts w:ascii="Times New Roman"/>
          <w:sz w:val="20"/>
        </w:rPr>
      </w:pPr>
    </w:p>
    <w:p>
      <w:pPr>
        <w:pStyle w:val="BodyText"/>
        <w:spacing w:before="2"/>
        <w:rPr>
          <w:rFonts w:ascii="Times New Roman"/>
          <w:sz w:val="19"/>
        </w:rPr>
      </w:pPr>
    </w:p>
    <w:p>
      <w:pPr>
        <w:pStyle w:val="BodyText"/>
        <w:spacing w:line="278" w:lineRule="auto" w:before="56"/>
        <w:ind w:left="220" w:right="705"/>
      </w:pPr>
      <w:r>
        <w:rPr/>
        <w:t>[</w:t>
      </w:r>
      <w:r>
        <w:rPr>
          <w:i/>
        </w:rPr>
        <w:t>Note</w:t>
      </w:r>
      <w:r>
        <w:rPr/>
        <w:t>: The W3C XML Schema definition of this element’s content model (</w:t>
      </w:r>
      <w:r>
        <w:rPr>
          <w:color w:val="5F5F5F"/>
          <w:u w:val="single" w:color="5F5F5F"/>
        </w:rPr>
        <w:t>CT_ObjectPr</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7 oddFooter (Odd Page Footer)" w:id="272"/>
      <w:bookmarkEnd w:id="272"/>
      <w:r>
        <w:rPr/>
      </w:r>
      <w:bookmarkStart w:name="_bookmark89" w:id="273"/>
      <w:bookmarkEnd w:id="273"/>
      <w:r>
        <w:rPr/>
      </w:r>
      <w:bookmarkStart w:name="_bookmark89" w:id="274"/>
      <w:bookmarkEnd w:id="274"/>
      <w:r>
        <w:rPr>
          <w:color w:val="4F81BC"/>
        </w:rPr>
        <w:t>o</w:t>
      </w:r>
      <w:r>
        <w:rPr>
          <w:color w:val="4F81BC"/>
        </w:rPr>
        <w:t>ddFooter (Odd Page</w:t>
      </w:r>
      <w:r>
        <w:rPr>
          <w:color w:val="4F81BC"/>
          <w:spacing w:val="-4"/>
        </w:rPr>
        <w:t> </w:t>
      </w:r>
      <w:r>
        <w:rPr>
          <w:color w:val="4F81BC"/>
        </w:rPr>
        <w:t>Footer)</w:t>
      </w:r>
    </w:p>
    <w:p>
      <w:pPr>
        <w:pStyle w:val="BodyText"/>
        <w:spacing w:line="278" w:lineRule="auto" w:before="119"/>
        <w:ind w:left="220" w:right="504"/>
      </w:pPr>
      <w:r>
        <w:rPr/>
        <w:t>Specifies the contents of the page footer used on odd-numbered pages. [</w:t>
      </w:r>
      <w:r>
        <w:rPr>
          <w:i/>
        </w:rPr>
        <w:t>Note</w:t>
      </w:r>
      <w:r>
        <w:rPr/>
        <w:t>: Odd page(s) in the sheet cannot be printed if the print area is specified to be a range such that it falls outside an odd page's scope. </w:t>
      </w:r>
      <w:r>
        <w:rPr>
          <w:i/>
        </w:rPr>
        <w:t>end note</w:t>
      </w:r>
      <w:r>
        <w:rPr/>
        <w:t>]</w:t>
      </w:r>
    </w:p>
    <w:p>
      <w:pPr>
        <w:pStyle w:val="BodyText"/>
        <w:spacing w:before="198"/>
        <w:ind w:left="220"/>
      </w:pPr>
      <w:r>
        <w:rPr/>
        <w:t>The format of a footer is defined in §</w:t>
      </w:r>
      <w:hyperlink w:history="true" w:anchor="_bookmark78">
        <w:r>
          <w:rPr/>
          <w:t>18.3.1.46</w:t>
        </w:r>
      </w:hyperlink>
      <w:r>
        <w:rPr/>
        <w:t>.</w:t>
      </w:r>
    </w:p>
    <w:p>
      <w:pPr>
        <w:pStyle w:val="BodyText"/>
        <w:spacing w:before="8"/>
        <w:rPr>
          <w:sz w:val="19"/>
        </w:rPr>
      </w:pPr>
    </w:p>
    <w:p>
      <w:pPr>
        <w:pStyle w:val="BodyText"/>
        <w:ind w:left="220"/>
      </w:pPr>
      <w:r>
        <w:rPr/>
        <w:t>The possible values for this element are defined by the </w:t>
      </w:r>
      <w:r>
        <w:rPr>
          <w:rFonts w:ascii="Cambria" w:hAnsi="Cambria"/>
        </w:rPr>
        <w:t>ST_Xstring </w:t>
      </w:r>
      <w:r>
        <w:rPr/>
        <w:t>simple type (§22.9.2.19).</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1"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bl>
    <w:p>
      <w:pPr>
        <w:spacing w:after="0"/>
        <w:jc w:val="center"/>
        <w:rPr>
          <w:sz w:val="20"/>
        </w:rPr>
        <w:sectPr>
          <w:footerReference w:type="even" r:id="rId40"/>
          <w:footerReference w:type="default" r:id="rId41"/>
          <w:pgSz w:w="12240" w:h="15840"/>
          <w:pgMar w:footer="746" w:header="761" w:top="1340" w:bottom="940" w:left="860" w:right="700"/>
          <w:pgNumType w:start="165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1"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7"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0" w:hRule="atLeast"/>
        </w:trPr>
        <w:tc>
          <w:tcPr>
            <w:tcW w:w="2062" w:type="dxa"/>
            <w:tcBorders>
              <w:top w:val="nil"/>
              <w:bottom w:val="nil"/>
            </w:tcBorders>
          </w:tcPr>
          <w:p>
            <w:pPr>
              <w:pStyle w:val="TableParagraph"/>
              <w:spacing w:line="268" w:lineRule="exact" w:before="0"/>
              <w:rPr>
                <w:sz w:val="22"/>
              </w:rPr>
            </w:pPr>
            <w:r>
              <w:rPr>
                <w:sz w:val="22"/>
              </w:rPr>
              <w:t>Contains Significant</w:t>
            </w:r>
          </w:p>
        </w:tc>
        <w:tc>
          <w:tcPr>
            <w:tcW w:w="8250" w:type="dxa"/>
            <w:tcBorders>
              <w:top w:val="nil"/>
              <w:bottom w:val="nil"/>
            </w:tcBorders>
          </w:tcPr>
          <w:p>
            <w:pPr>
              <w:pStyle w:val="TableParagraph"/>
              <w:spacing w:before="1"/>
              <w:rPr>
                <w:sz w:val="22"/>
              </w:rPr>
            </w:pPr>
            <w:r>
              <w:rPr>
                <w:sz w:val="22"/>
              </w:rPr>
              <w:t>W3C space preservation rules.</w:t>
            </w:r>
          </w:p>
        </w:tc>
      </w:tr>
      <w:tr>
        <w:trPr>
          <w:trHeight w:val="507"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4"/>
              <w:ind w:left="0"/>
              <w:rPr>
                <w:sz w:val="16"/>
              </w:rPr>
            </w:pPr>
          </w:p>
          <w:p>
            <w:pPr>
              <w:pStyle w:val="TableParagraph"/>
              <w:spacing w:before="0"/>
              <w:rPr>
                <w:sz w:val="22"/>
              </w:rPr>
            </w:pPr>
            <w:r>
              <w:rPr>
                <w:sz w:val="22"/>
              </w:rPr>
              <w:t>The possible values for this attribute are defined by §2.10 of the XML 1.0 specification.</w:t>
            </w:r>
          </w:p>
        </w:tc>
      </w:tr>
      <w:tr>
        <w:trPr>
          <w:trHeight w:val="1444"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6"/>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58 oddHeader (Odd Header)" w:id="275"/>
      <w:bookmarkEnd w:id="275"/>
      <w:r>
        <w:rPr/>
      </w:r>
      <w:bookmarkStart w:name="_bookmark90" w:id="276"/>
      <w:bookmarkEnd w:id="276"/>
      <w:r>
        <w:rPr/>
      </w:r>
      <w:bookmarkStart w:name="_bookmark90" w:id="277"/>
      <w:bookmarkEnd w:id="277"/>
      <w:r>
        <w:rPr>
          <w:color w:val="4F81BC"/>
        </w:rPr>
        <w:t>o</w:t>
      </w:r>
      <w:r>
        <w:rPr>
          <w:color w:val="4F81BC"/>
        </w:rPr>
        <w:t>ddHeader (Odd</w:t>
      </w:r>
      <w:r>
        <w:rPr>
          <w:color w:val="4F81BC"/>
          <w:spacing w:val="-4"/>
        </w:rPr>
        <w:t> </w:t>
      </w:r>
      <w:r>
        <w:rPr>
          <w:color w:val="4F81BC"/>
        </w:rPr>
        <w:t>Header)</w:t>
      </w:r>
    </w:p>
    <w:p>
      <w:pPr>
        <w:pStyle w:val="BodyText"/>
        <w:spacing w:line="278" w:lineRule="auto" w:before="118"/>
        <w:ind w:left="220" w:right="387"/>
      </w:pPr>
      <w:r>
        <w:rPr/>
        <w:t>Specifies the contents of the page header used on odd-numbered pages. [</w:t>
      </w:r>
      <w:r>
        <w:rPr>
          <w:i/>
        </w:rPr>
        <w:t>Note</w:t>
      </w:r>
      <w:r>
        <w:rPr/>
        <w:t>: Odd page(s) in the sheet cannot be printed if the print area is specified to be a range such that it falls outside an odd page's scope. </w:t>
      </w:r>
      <w:r>
        <w:rPr>
          <w:i/>
        </w:rPr>
        <w:t>end note</w:t>
      </w:r>
      <w:r>
        <w:rPr/>
        <w:t>]</w:t>
      </w:r>
    </w:p>
    <w:p>
      <w:pPr>
        <w:pStyle w:val="BodyText"/>
        <w:spacing w:before="3"/>
        <w:rPr>
          <w:sz w:val="16"/>
        </w:rPr>
      </w:pPr>
    </w:p>
    <w:p>
      <w:pPr>
        <w:pStyle w:val="BodyText"/>
        <w:ind w:left="220"/>
      </w:pPr>
      <w:r>
        <w:rPr/>
        <w:t>The format of a header is defined in </w:t>
      </w:r>
      <w:hyperlink w:history="true" w:anchor="_bookmark78">
        <w:r>
          <w:rPr/>
          <w:t>§18.3.1.46</w:t>
        </w:r>
      </w:hyperlink>
      <w:r>
        <w:rPr/>
        <w:t>.</w:t>
      </w:r>
    </w:p>
    <w:p>
      <w:pPr>
        <w:pStyle w:val="BodyText"/>
        <w:spacing w:before="8"/>
        <w:rPr>
          <w:sz w:val="19"/>
        </w:rPr>
      </w:pPr>
    </w:p>
    <w:p>
      <w:pPr>
        <w:pStyle w:val="BodyText"/>
        <w:ind w:left="220"/>
      </w:pPr>
      <w:r>
        <w:rPr/>
        <w:t>The possible values for this element are defined by the </w:t>
      </w:r>
      <w:r>
        <w:rPr>
          <w:rFonts w:ascii="Cambria" w:hAnsi="Cambria"/>
        </w:rPr>
        <w:t>ST_Xstring </w:t>
      </w:r>
      <w:r>
        <w:rPr/>
        <w:t>simple type (§22.9.2.19).</w:t>
      </w:r>
    </w:p>
    <w:p>
      <w:pPr>
        <w:spacing w:after="0"/>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1" w:hRule="atLeast"/>
        </w:trPr>
        <w:tc>
          <w:tcPr>
            <w:tcW w:w="2062" w:type="dxa"/>
            <w:shd w:val="clear" w:color="auto" w:fill="C0C0C0"/>
          </w:tcPr>
          <w:p>
            <w:pPr>
              <w:pStyle w:val="TableParagraph"/>
              <w:spacing w:before="42"/>
              <w:ind w:left="607"/>
              <w:rPr>
                <w:b/>
                <w:sz w:val="20"/>
              </w:rPr>
            </w:pPr>
            <w:r>
              <w:rPr>
                <w:b/>
                <w:sz w:val="20"/>
              </w:rPr>
              <w:t>Attributes</w:t>
            </w:r>
          </w:p>
        </w:tc>
        <w:tc>
          <w:tcPr>
            <w:tcW w:w="8250" w:type="dxa"/>
            <w:shd w:val="clear" w:color="auto" w:fill="C0C0C0"/>
          </w:tcPr>
          <w:p>
            <w:pPr>
              <w:pStyle w:val="TableParagraph"/>
              <w:spacing w:before="42"/>
              <w:ind w:left="98" w:right="92"/>
              <w:jc w:val="center"/>
              <w:rPr>
                <w:b/>
                <w:sz w:val="20"/>
              </w:rPr>
            </w:pPr>
            <w:r>
              <w:rPr>
                <w:b/>
                <w:sz w:val="20"/>
              </w:rPr>
              <w:t>Description</w:t>
            </w:r>
          </w:p>
        </w:tc>
      </w:tr>
      <w:tr>
        <w:trPr>
          <w:trHeight w:val="347"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0" w:hRule="atLeast"/>
        </w:trPr>
        <w:tc>
          <w:tcPr>
            <w:tcW w:w="2062" w:type="dxa"/>
            <w:tcBorders>
              <w:top w:val="nil"/>
              <w:bottom w:val="nil"/>
            </w:tcBorders>
          </w:tcPr>
          <w:p>
            <w:pPr>
              <w:pStyle w:val="TableParagraph"/>
              <w:spacing w:line="268" w:lineRule="exact" w:before="0"/>
              <w:rPr>
                <w:sz w:val="22"/>
              </w:rPr>
            </w:pPr>
            <w:r>
              <w:rPr>
                <w:sz w:val="22"/>
              </w:rPr>
              <w:t>Contains Significant</w:t>
            </w:r>
          </w:p>
        </w:tc>
        <w:tc>
          <w:tcPr>
            <w:tcW w:w="8250" w:type="dxa"/>
            <w:tcBorders>
              <w:top w:val="nil"/>
              <w:bottom w:val="nil"/>
            </w:tcBorders>
          </w:tcPr>
          <w:p>
            <w:pPr>
              <w:pStyle w:val="TableParagraph"/>
              <w:spacing w:before="1"/>
              <w:rPr>
                <w:sz w:val="22"/>
              </w:rPr>
            </w:pPr>
            <w:r>
              <w:rPr>
                <w:sz w:val="22"/>
              </w:rPr>
              <w:t>W3C space preservation rules.</w:t>
            </w:r>
          </w:p>
        </w:tc>
      </w:tr>
      <w:tr>
        <w:trPr>
          <w:trHeight w:val="508"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6"/>
              <w:ind w:left="0"/>
              <w:rPr>
                <w:sz w:val="16"/>
              </w:rPr>
            </w:pPr>
          </w:p>
          <w:p>
            <w:pPr>
              <w:pStyle w:val="TableParagraph"/>
              <w:spacing w:before="1"/>
              <w:rPr>
                <w:sz w:val="22"/>
              </w:rPr>
            </w:pPr>
            <w:r>
              <w:rPr>
                <w:sz w:val="22"/>
              </w:rPr>
              <w:t>The possible values for this attribute are defined by §2.10 of the XML 1.0 specification.</w:t>
            </w:r>
          </w:p>
        </w:tc>
      </w:tr>
      <w:tr>
        <w:trPr>
          <w:trHeight w:val="1443"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6"/>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4"/>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59 oleObject (Embedded Object)" w:id="278"/>
      <w:bookmarkEnd w:id="278"/>
      <w:r>
        <w:rPr/>
      </w:r>
      <w:bookmarkStart w:name="_bookmark91" w:id="279"/>
      <w:bookmarkEnd w:id="279"/>
      <w:r>
        <w:rPr/>
      </w:r>
      <w:bookmarkStart w:name="_bookmark91" w:id="280"/>
      <w:bookmarkEnd w:id="280"/>
      <w:r>
        <w:rPr>
          <w:color w:val="4F81BC"/>
        </w:rPr>
        <w:t>ole</w:t>
      </w:r>
      <w:r>
        <w:rPr>
          <w:color w:val="4F81BC"/>
        </w:rPr>
        <w:t>Object (Embedded</w:t>
      </w:r>
      <w:r>
        <w:rPr>
          <w:color w:val="4F81BC"/>
          <w:spacing w:val="-2"/>
        </w:rPr>
        <w:t> </w:t>
      </w:r>
      <w:r>
        <w:rPr>
          <w:color w:val="4F81BC"/>
        </w:rPr>
        <w:t>Object)</w:t>
      </w:r>
    </w:p>
    <w:p>
      <w:pPr>
        <w:pStyle w:val="BodyText"/>
        <w:spacing w:before="121"/>
        <w:ind w:left="220"/>
      </w:pPr>
      <w:r>
        <w:rPr/>
        <w:t>Information for an individual embedded object.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484"/>
              <w:rPr>
                <w:sz w:val="22"/>
              </w:rPr>
            </w:pPr>
            <w:r>
              <w:rPr>
                <w:rFonts w:ascii="Cambria"/>
                <w:sz w:val="22"/>
              </w:rPr>
              <w:t>autoLoad </w:t>
            </w:r>
            <w:r>
              <w:rPr>
                <w:sz w:val="22"/>
              </w:rPr>
              <w:t>(Auto Load)</w:t>
            </w:r>
          </w:p>
        </w:tc>
        <w:tc>
          <w:tcPr>
            <w:tcW w:w="8250" w:type="dxa"/>
          </w:tcPr>
          <w:p>
            <w:pPr>
              <w:pStyle w:val="TableParagraph"/>
              <w:ind w:right="415"/>
              <w:rPr>
                <w:sz w:val="22"/>
              </w:rPr>
            </w:pPr>
            <w:r>
              <w:rPr>
                <w:sz w:val="22"/>
              </w:rPr>
              <w:t>Specifies whether the host application for the embedded object shall be called to load the object data automatically when the parent workbook is opened.</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273"/>
              <w:rPr>
                <w:sz w:val="22"/>
              </w:rPr>
            </w:pPr>
            <w:r>
              <w:rPr>
                <w:rFonts w:ascii="Cambria"/>
                <w:sz w:val="22"/>
              </w:rPr>
              <w:t>dvAspect </w:t>
            </w:r>
            <w:r>
              <w:rPr>
                <w:sz w:val="22"/>
              </w:rPr>
              <w:t>(Data or View Aspect)</w:t>
            </w:r>
          </w:p>
        </w:tc>
        <w:tc>
          <w:tcPr>
            <w:tcW w:w="8250" w:type="dxa"/>
          </w:tcPr>
          <w:p>
            <w:pPr>
              <w:pStyle w:val="TableParagraph"/>
              <w:rPr>
                <w:sz w:val="22"/>
              </w:rPr>
            </w:pPr>
            <w:r>
              <w:rPr>
                <w:sz w:val="22"/>
              </w:rPr>
              <w:t>Specifies the desired Data or View Aspect of the object when drawing or getting data</w:t>
            </w:r>
          </w:p>
          <w:p>
            <w:pPr>
              <w:pStyle w:val="TableParagraph"/>
              <w:spacing w:before="0"/>
              <w:ind w:left="0"/>
              <w:rPr>
                <w:sz w:val="22"/>
              </w:rPr>
            </w:pPr>
          </w:p>
          <w:p>
            <w:pPr>
              <w:pStyle w:val="TableParagraph"/>
              <w:spacing w:before="1"/>
              <w:ind w:right="816"/>
              <w:rPr>
                <w:sz w:val="22"/>
              </w:rPr>
            </w:pPr>
            <w:r>
              <w:rPr>
                <w:sz w:val="22"/>
              </w:rPr>
              <w:t>The possible values for this attribute are defined by the </w:t>
            </w:r>
            <w:r>
              <w:rPr>
                <w:rFonts w:ascii="Cambria" w:hAnsi="Cambria"/>
                <w:sz w:val="22"/>
              </w:rPr>
              <w:t>ST_DvAspect </w:t>
            </w:r>
            <w:r>
              <w:rPr>
                <w:sz w:val="22"/>
              </w:rPr>
              <w:t>simple type </w:t>
            </w:r>
            <w:hyperlink w:history="true" w:anchor="_bookmark846">
              <w:r>
                <w:rPr>
                  <w:sz w:val="22"/>
                </w:rPr>
                <w:t>(§18.18.24</w:t>
              </w:r>
            </w:hyperlink>
            <w:r>
              <w:rPr>
                <w:sz w:val="22"/>
              </w:rPr>
              <w:t>).</w:t>
            </w:r>
          </w:p>
        </w:tc>
      </w:tr>
      <w:tr>
        <w:trPr>
          <w:trHeight w:val="1922" w:hRule="atLeast"/>
        </w:trPr>
        <w:tc>
          <w:tcPr>
            <w:tcW w:w="2062" w:type="dxa"/>
          </w:tcPr>
          <w:p>
            <w:pPr>
              <w:pStyle w:val="TableParagraph"/>
              <w:rPr>
                <w:sz w:val="22"/>
              </w:rPr>
            </w:pPr>
            <w:r>
              <w:rPr>
                <w:rFonts w:ascii="Cambria"/>
                <w:sz w:val="22"/>
              </w:rPr>
              <w:t>id </w:t>
            </w:r>
            <w:r>
              <w:rPr>
                <w:sz w:val="22"/>
              </w:rPr>
              <w:t>(Relationship Id)</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rPr>
                <w:sz w:val="22"/>
              </w:rPr>
            </w:pPr>
            <w:r>
              <w:rPr>
                <w:sz w:val="22"/>
              </w:rPr>
              <w:t>Relationship Id of the relationship pointing to the object persistence part.</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161" w:hRule="atLeast"/>
        </w:trPr>
        <w:tc>
          <w:tcPr>
            <w:tcW w:w="2062" w:type="dxa"/>
          </w:tcPr>
          <w:p>
            <w:pPr>
              <w:pStyle w:val="TableParagraph"/>
              <w:spacing w:before="42"/>
              <w:ind w:right="478"/>
              <w:rPr>
                <w:sz w:val="22"/>
              </w:rPr>
            </w:pPr>
            <w:r>
              <w:rPr>
                <w:rFonts w:ascii="Cambria"/>
                <w:sz w:val="22"/>
              </w:rPr>
              <w:t>link </w:t>
            </w:r>
            <w:r>
              <w:rPr>
                <w:sz w:val="22"/>
              </w:rPr>
              <w:t>(Embedded Object's Link Moniker)</w:t>
            </w:r>
          </w:p>
        </w:tc>
        <w:tc>
          <w:tcPr>
            <w:tcW w:w="8250" w:type="dxa"/>
          </w:tcPr>
          <w:p>
            <w:pPr>
              <w:pStyle w:val="TableParagraph"/>
              <w:spacing w:before="42"/>
              <w:rPr>
                <w:sz w:val="22"/>
              </w:rPr>
            </w:pPr>
            <w:r>
              <w:rPr>
                <w:sz w:val="22"/>
              </w:rPr>
              <w:t>The embedded object's link moniker.</w:t>
            </w:r>
          </w:p>
          <w:p>
            <w:pPr>
              <w:pStyle w:val="TableParagraph"/>
              <w:spacing w:before="11"/>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9" w:hRule="atLeast"/>
        </w:trPr>
        <w:tc>
          <w:tcPr>
            <w:tcW w:w="2062" w:type="dxa"/>
          </w:tcPr>
          <w:p>
            <w:pPr>
              <w:pStyle w:val="TableParagraph"/>
              <w:ind w:right="270"/>
              <w:jc w:val="both"/>
              <w:rPr>
                <w:sz w:val="22"/>
              </w:rPr>
            </w:pPr>
            <w:r>
              <w:rPr>
                <w:rFonts w:ascii="Cambria"/>
                <w:sz w:val="22"/>
              </w:rPr>
              <w:t>oleUpdate </w:t>
            </w:r>
            <w:r>
              <w:rPr>
                <w:sz w:val="22"/>
              </w:rPr>
              <w:t>(Linked Embedded Object Update)</w:t>
            </w:r>
          </w:p>
        </w:tc>
        <w:tc>
          <w:tcPr>
            <w:tcW w:w="8250" w:type="dxa"/>
          </w:tcPr>
          <w:p>
            <w:pPr>
              <w:pStyle w:val="TableParagraph"/>
              <w:ind w:right="205"/>
              <w:rPr>
                <w:sz w:val="22"/>
              </w:rPr>
            </w:pPr>
            <w:r>
              <w:rPr>
                <w:sz w:val="22"/>
              </w:rPr>
              <w:t>Indicates whether the linked object updates the cached data automatically or only when the container requests an update, only present if the embedded object is linked.</w:t>
            </w:r>
          </w:p>
          <w:p>
            <w:pPr>
              <w:pStyle w:val="TableParagraph"/>
              <w:spacing w:before="0"/>
              <w:ind w:left="0"/>
              <w:rPr>
                <w:sz w:val="22"/>
              </w:rPr>
            </w:pPr>
          </w:p>
          <w:p>
            <w:pPr>
              <w:pStyle w:val="TableParagraph"/>
              <w:spacing w:before="0"/>
              <w:ind w:right="718"/>
              <w:rPr>
                <w:sz w:val="22"/>
              </w:rPr>
            </w:pPr>
            <w:r>
              <w:rPr>
                <w:sz w:val="22"/>
              </w:rPr>
              <w:t>The possible values for this attribute are defined by the </w:t>
            </w:r>
            <w:r>
              <w:rPr>
                <w:rFonts w:ascii="Cambria" w:hAnsi="Cambria"/>
                <w:sz w:val="22"/>
              </w:rPr>
              <w:t>ST_OleUpdate </w:t>
            </w:r>
            <w:r>
              <w:rPr>
                <w:sz w:val="22"/>
              </w:rPr>
              <w:t>simple type </w:t>
            </w:r>
            <w:hyperlink w:history="true" w:anchor="_bookmark871">
              <w:r>
                <w:rPr>
                  <w:sz w:val="22"/>
                </w:rPr>
                <w:t>(§18.18.49</w:t>
              </w:r>
            </w:hyperlink>
            <w:r>
              <w:rPr>
                <w:sz w:val="22"/>
              </w:rPr>
              <w:t>).</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205"/>
              <w:rPr>
                <w:sz w:val="22"/>
              </w:rPr>
            </w:pPr>
            <w:r>
              <w:rPr>
                <w:rFonts w:ascii="Cambria"/>
                <w:sz w:val="22"/>
              </w:rPr>
              <w:t>progId </w:t>
            </w:r>
            <w:r>
              <w:rPr>
                <w:sz w:val="22"/>
              </w:rPr>
              <w:t>(Embedded Object ProgId)</w:t>
            </w:r>
          </w:p>
        </w:tc>
        <w:tc>
          <w:tcPr>
            <w:tcW w:w="8250" w:type="dxa"/>
          </w:tcPr>
          <w:p>
            <w:pPr>
              <w:pStyle w:val="TableParagraph"/>
              <w:rPr>
                <w:sz w:val="22"/>
              </w:rPr>
            </w:pPr>
            <w:r>
              <w:rPr>
                <w:sz w:val="22"/>
              </w:rPr>
              <w:t>ProgId of the embedded object.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430" w:hRule="atLeast"/>
        </w:trPr>
        <w:tc>
          <w:tcPr>
            <w:tcW w:w="2062" w:type="dxa"/>
          </w:tcPr>
          <w:p>
            <w:pPr>
              <w:pStyle w:val="TableParagraph"/>
              <w:ind w:left="9" w:right="129"/>
              <w:jc w:val="center"/>
              <w:rPr>
                <w:sz w:val="22"/>
              </w:rPr>
            </w:pPr>
            <w:r>
              <w:rPr>
                <w:rFonts w:ascii="Cambria"/>
                <w:sz w:val="22"/>
              </w:rPr>
              <w:t>shapeId </w:t>
            </w:r>
            <w:r>
              <w:rPr>
                <w:sz w:val="22"/>
              </w:rPr>
              <w:t>(Shape Id)</w:t>
            </w:r>
          </w:p>
        </w:tc>
        <w:tc>
          <w:tcPr>
            <w:tcW w:w="8250" w:type="dxa"/>
          </w:tcPr>
          <w:p>
            <w:pPr>
              <w:pStyle w:val="TableParagraph"/>
              <w:rPr>
                <w:sz w:val="22"/>
              </w:rPr>
            </w:pPr>
            <w:r>
              <w:rPr>
                <w:sz w:val="22"/>
              </w:rPr>
              <w:t>Id of the shape this object is associated with. Corresponds with the shape @id in the drawingML part.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589"/>
      </w:pPr>
      <w:r>
        <w:rPr/>
        <w:t>[</w:t>
      </w:r>
      <w:r>
        <w:rPr>
          <w:i/>
        </w:rPr>
        <w:t>Note</w:t>
      </w:r>
      <w:r>
        <w:rPr/>
        <w:t>: The W3C XML Schema definition of this element’s content model (</w:t>
      </w:r>
      <w:r>
        <w:rPr>
          <w:color w:val="5F5F5F"/>
          <w:u w:val="single" w:color="5F5F5F"/>
        </w:rPr>
        <w:t>CT_OleObject</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60 oleObjects (Embedded Objects)" w:id="281"/>
      <w:bookmarkEnd w:id="281"/>
      <w:r>
        <w:rPr/>
      </w:r>
      <w:bookmarkStart w:name="_bookmark92" w:id="282"/>
      <w:bookmarkEnd w:id="282"/>
      <w:r>
        <w:rPr/>
      </w:r>
      <w:bookmarkStart w:name="_bookmark92" w:id="283"/>
      <w:bookmarkEnd w:id="283"/>
      <w:r>
        <w:rPr>
          <w:color w:val="4F81BC"/>
        </w:rPr>
        <w:t>ole</w:t>
      </w:r>
      <w:r>
        <w:rPr>
          <w:color w:val="4F81BC"/>
        </w:rPr>
        <w:t>Objects (Embedded</w:t>
      </w:r>
      <w:r>
        <w:rPr>
          <w:color w:val="4F81BC"/>
          <w:spacing w:val="-2"/>
        </w:rPr>
        <w:t> </w:t>
      </w:r>
      <w:r>
        <w:rPr>
          <w:color w:val="4F81BC"/>
        </w:rPr>
        <w:t>Objects)</w:t>
      </w:r>
    </w:p>
    <w:p>
      <w:pPr>
        <w:pStyle w:val="BodyText"/>
        <w:spacing w:line="453" w:lineRule="auto" w:before="121"/>
        <w:ind w:left="220" w:right="6220"/>
      </w:pPr>
      <w:r>
        <w:rPr/>
        <w:t>Embedded objects collection in this worksheet. [</w:t>
      </w:r>
      <w:r>
        <w:rPr>
          <w:i/>
        </w:rPr>
        <w:t>Example</w:t>
      </w:r>
      <w:r>
        <w:rPr/>
        <w:t>:</w:t>
      </w:r>
    </w:p>
    <w:p>
      <w:pPr>
        <w:pStyle w:val="BodyText"/>
        <w:spacing w:before="2"/>
        <w:ind w:left="220"/>
      </w:pPr>
      <w:r>
        <w:rPr/>
        <w:t>This example shows two embedded objects.</w:t>
      </w:r>
    </w:p>
    <w:p>
      <w:pPr>
        <w:pStyle w:val="BodyText"/>
        <w:spacing w:before="8"/>
        <w:rPr>
          <w:sz w:val="19"/>
        </w:rPr>
      </w:pPr>
    </w:p>
    <w:p>
      <w:pPr>
        <w:pStyle w:val="BodyText"/>
        <w:spacing w:before="1"/>
        <w:ind w:left="508"/>
        <w:rPr>
          <w:rFonts w:ascii="Consolas"/>
        </w:rPr>
      </w:pPr>
      <w:r>
        <w:rPr>
          <w:rFonts w:ascii="Consolas"/>
        </w:rPr>
        <w:t>&lt;oleObjects&gt;</w:t>
      </w:r>
    </w:p>
    <w:p>
      <w:pPr>
        <w:pStyle w:val="BodyText"/>
        <w:spacing w:before="37"/>
        <w:ind w:left="750"/>
        <w:rPr>
          <w:rFonts w:ascii="Consolas"/>
        </w:rPr>
      </w:pPr>
      <w:r>
        <w:rPr>
          <w:rFonts w:ascii="Consolas"/>
        </w:rPr>
        <w:t>&lt;oleObject progId="Word.Document.12" shapeId="1025" r:id="rId4"/&gt;</w:t>
      </w:r>
    </w:p>
    <w:p>
      <w:pPr>
        <w:pStyle w:val="BodyText"/>
        <w:spacing w:before="40"/>
        <w:ind w:left="750"/>
        <w:rPr>
          <w:rFonts w:ascii="Consolas"/>
        </w:rPr>
      </w:pPr>
      <w:r>
        <w:rPr>
          <w:rFonts w:ascii="Consolas"/>
        </w:rPr>
        <w:t>&lt;oleObject progId="PowerPoint.Show.12" shapeId="1026" r:id="rId5"/&gt;</w:t>
      </w:r>
    </w:p>
    <w:p>
      <w:pPr>
        <w:pStyle w:val="BodyText"/>
        <w:spacing w:before="38"/>
        <w:ind w:left="508"/>
        <w:rPr>
          <w:rFonts w:ascii="Consolas"/>
        </w:rPr>
      </w:pPr>
      <w:r>
        <w:rPr>
          <w:rFonts w:ascii="Consolas"/>
        </w:rPr>
        <w:t>&lt;/oleObjects&gt;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503"/>
      </w:pPr>
      <w:r>
        <w:rPr/>
        <w:t>[</w:t>
      </w:r>
      <w:r>
        <w:rPr>
          <w:i/>
        </w:rPr>
        <w:t>Note</w:t>
      </w:r>
      <w:r>
        <w:rPr/>
        <w:t>: The W3C XML Schema definition of this element’s content model (</w:t>
      </w:r>
      <w:r>
        <w:rPr>
          <w:color w:val="5F5F5F"/>
          <w:u w:val="single" w:color="5F5F5F"/>
        </w:rPr>
        <w:t>CT_OleObjects</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61 outlinePr (Outline Properties)" w:id="284"/>
      <w:bookmarkEnd w:id="284"/>
      <w:r>
        <w:rPr/>
      </w:r>
      <w:bookmarkStart w:name="_bookmark93" w:id="285"/>
      <w:bookmarkEnd w:id="285"/>
      <w:r>
        <w:rPr/>
      </w:r>
      <w:bookmarkStart w:name="_bookmark93" w:id="286"/>
      <w:bookmarkEnd w:id="286"/>
      <w:r>
        <w:rPr>
          <w:color w:val="4F81BC"/>
        </w:rPr>
        <w:t>o</w:t>
      </w:r>
      <w:r>
        <w:rPr>
          <w:color w:val="4F81BC"/>
        </w:rPr>
        <w:t>utlinePr (Outline</w:t>
      </w:r>
      <w:r>
        <w:rPr>
          <w:color w:val="4F81BC"/>
          <w:spacing w:val="-1"/>
        </w:rPr>
        <w:t> </w:t>
      </w:r>
      <w:r>
        <w:rPr>
          <w:color w:val="4F81BC"/>
        </w:rPr>
        <w:t>Properties)</w:t>
      </w:r>
    </w:p>
    <w:p>
      <w:pPr>
        <w:pStyle w:val="BodyText"/>
        <w:spacing w:before="121"/>
        <w:ind w:left="220"/>
      </w:pPr>
      <w:r>
        <w:rPr/>
        <w:t>Outline properties of the worksheet.</w:t>
      </w:r>
    </w:p>
    <w:p>
      <w:pPr>
        <w:pStyle w:val="BodyText"/>
        <w:spacing w:before="6"/>
        <w:rPr>
          <w:sz w:val="19"/>
        </w:rPr>
      </w:pPr>
    </w:p>
    <w:p>
      <w:pPr>
        <w:pStyle w:val="BodyText"/>
        <w:spacing w:line="278" w:lineRule="auto"/>
        <w:ind w:left="220" w:right="841"/>
      </w:pPr>
      <w:r>
        <w:rPr/>
        <w:t>[</w:t>
      </w:r>
      <w:r>
        <w:rPr>
          <w:i/>
        </w:rPr>
        <w:t>Example</w:t>
      </w:r>
      <w:r>
        <w:rPr/>
        <w:t>: This example indicates that when an outline is applied to data, formatting must be applied to the outline result.</w:t>
      </w:r>
    </w:p>
    <w:p>
      <w:pPr>
        <w:pStyle w:val="BodyText"/>
        <w:spacing w:before="3"/>
        <w:rPr>
          <w:sz w:val="16"/>
        </w:rPr>
      </w:pPr>
    </w:p>
    <w:p>
      <w:pPr>
        <w:pStyle w:val="BodyText"/>
        <w:ind w:left="508"/>
        <w:rPr>
          <w:rFonts w:ascii="Consolas"/>
        </w:rPr>
      </w:pPr>
      <w:r>
        <w:rPr>
          <w:rFonts w:ascii="Consolas"/>
        </w:rPr>
        <w:t>&lt;sheetPr&gt;</w:t>
      </w:r>
    </w:p>
    <w:p>
      <w:pPr>
        <w:pStyle w:val="BodyText"/>
        <w:spacing w:before="38"/>
        <w:ind w:left="750"/>
        <w:rPr>
          <w:rFonts w:ascii="Consolas"/>
        </w:rPr>
      </w:pPr>
      <w:r>
        <w:rPr>
          <w:rFonts w:ascii="Consolas"/>
        </w:rPr>
        <w:t>&lt;outlinePr applyStyles="1"/&gt;</w:t>
      </w:r>
    </w:p>
    <w:p>
      <w:pPr>
        <w:pStyle w:val="BodyText"/>
        <w:spacing w:before="37"/>
        <w:ind w:left="508"/>
        <w:rPr>
          <w:rFonts w:ascii="Consolas"/>
        </w:rPr>
      </w:pPr>
      <w:r>
        <w:rPr>
          <w:rFonts w:ascii="Consolas"/>
        </w:rPr>
        <w:t>&lt;/sheetPr&gt;</w:t>
      </w:r>
    </w:p>
    <w:p>
      <w:pPr>
        <w:pStyle w:val="BodyText"/>
        <w:spacing w:before="5"/>
        <w:rPr>
          <w:rFonts w:ascii="Consolas"/>
          <w:sz w:val="20"/>
        </w:rPr>
      </w:pPr>
    </w:p>
    <w:p>
      <w:pPr>
        <w:spacing w:before="1"/>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214"/>
              <w:rPr>
                <w:sz w:val="22"/>
              </w:rPr>
            </w:pPr>
            <w:r>
              <w:rPr>
                <w:rFonts w:ascii="Cambria"/>
                <w:sz w:val="22"/>
              </w:rPr>
              <w:t>applyStyles </w:t>
            </w:r>
            <w:r>
              <w:rPr>
                <w:sz w:val="22"/>
              </w:rPr>
              <w:t>(Apply Styles in Outline)</w:t>
            </w:r>
          </w:p>
        </w:tc>
        <w:tc>
          <w:tcPr>
            <w:tcW w:w="8250" w:type="dxa"/>
          </w:tcPr>
          <w:p>
            <w:pPr>
              <w:pStyle w:val="TableParagraph"/>
              <w:ind w:right="566"/>
              <w:rPr>
                <w:sz w:val="22"/>
              </w:rPr>
            </w:pPr>
            <w:r>
              <w:rPr>
                <w:sz w:val="22"/>
              </w:rPr>
              <w:t>Flag indicating whether to apply styles in an outline, when outline is applied. Outline styles are described in Styles (§</w:t>
            </w:r>
            <w:hyperlink w:history="true" w:anchor="_bookmark183">
              <w:r>
                <w:rPr>
                  <w:sz w:val="22"/>
                </w:rPr>
                <w:t>18.8</w:t>
              </w:r>
            </w:hyperlink>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spacing w:before="42"/>
              <w:ind w:right="199"/>
              <w:rPr>
                <w:sz w:val="22"/>
              </w:rPr>
            </w:pPr>
            <w:r>
              <w:rPr>
                <w:rFonts w:ascii="Cambria"/>
                <w:sz w:val="22"/>
              </w:rPr>
              <w:t>showOutlineSymb ols </w:t>
            </w:r>
            <w:r>
              <w:rPr>
                <w:sz w:val="22"/>
              </w:rPr>
              <w:t>(Show Outline Symbols)</w:t>
            </w:r>
          </w:p>
        </w:tc>
        <w:tc>
          <w:tcPr>
            <w:tcW w:w="8250" w:type="dxa"/>
          </w:tcPr>
          <w:p>
            <w:pPr>
              <w:pStyle w:val="TableParagraph"/>
              <w:ind w:right="237"/>
              <w:rPr>
                <w:sz w:val="22"/>
              </w:rPr>
            </w:pPr>
            <w:r>
              <w:rPr>
                <w:sz w:val="22"/>
              </w:rPr>
              <w:t>Flag indicating whether the sheet has outline symbols visible. This flag shall always be overridden by the showOutlineSymbols attribute on </w:t>
            </w:r>
            <w:r>
              <w:rPr>
                <w:rFonts w:ascii="Cambria"/>
                <w:sz w:val="22"/>
              </w:rPr>
              <w:t>sheetView </w:t>
            </w:r>
            <w:r>
              <w:rPr>
                <w:sz w:val="22"/>
              </w:rPr>
              <w:t>when there is a conflict.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4114" w:hRule="atLeast"/>
        </w:trPr>
        <w:tc>
          <w:tcPr>
            <w:tcW w:w="2062" w:type="dxa"/>
          </w:tcPr>
          <w:p>
            <w:pPr>
              <w:pStyle w:val="TableParagraph"/>
              <w:spacing w:line="256" w:lineRule="exact" w:before="42"/>
              <w:rPr>
                <w:rFonts w:ascii="Cambria"/>
                <w:sz w:val="22"/>
              </w:rPr>
            </w:pPr>
            <w:r>
              <w:rPr>
                <w:rFonts w:ascii="Cambria"/>
                <w:sz w:val="22"/>
              </w:rPr>
              <w:t>summaryBelow</w:t>
            </w:r>
          </w:p>
          <w:p>
            <w:pPr>
              <w:pStyle w:val="TableParagraph"/>
              <w:spacing w:line="267" w:lineRule="exact" w:before="0"/>
              <w:rPr>
                <w:sz w:val="22"/>
              </w:rPr>
            </w:pPr>
            <w:r>
              <w:rPr>
                <w:sz w:val="22"/>
              </w:rPr>
              <w:t>(Summary Below)</w:t>
            </w:r>
          </w:p>
        </w:tc>
        <w:tc>
          <w:tcPr>
            <w:tcW w:w="8250" w:type="dxa"/>
          </w:tcPr>
          <w:p>
            <w:pPr>
              <w:pStyle w:val="TableParagraph"/>
              <w:ind w:right="235"/>
              <w:rPr>
                <w:sz w:val="22"/>
              </w:rPr>
            </w:pPr>
            <w:r>
              <w:rPr>
                <w:sz w:val="22"/>
              </w:rPr>
              <w:t>Flag indicating whether summary rows appear below detail in an outline, when applying an outline.</w:t>
            </w:r>
          </w:p>
          <w:p>
            <w:pPr>
              <w:pStyle w:val="TableParagraph"/>
              <w:spacing w:before="1"/>
              <w:ind w:left="0"/>
              <w:rPr>
                <w:sz w:val="22"/>
              </w:rPr>
            </w:pPr>
          </w:p>
          <w:p>
            <w:pPr>
              <w:pStyle w:val="TableParagraph"/>
              <w:spacing w:before="0"/>
              <w:rPr>
                <w:sz w:val="22"/>
              </w:rPr>
            </w:pPr>
            <w:r>
              <w:rPr>
                <w:sz w:val="22"/>
              </w:rPr>
              <w:t>When </w:t>
            </w:r>
            <w:r>
              <w:rPr>
                <w:rFonts w:ascii="Consolas"/>
                <w:sz w:val="20"/>
              </w:rPr>
              <w:t>true</w:t>
            </w:r>
            <w:r>
              <w:rPr>
                <w:rFonts w:ascii="Consolas"/>
                <w:spacing w:val="-83"/>
                <w:sz w:val="20"/>
              </w:rPr>
              <w:t> </w:t>
            </w:r>
            <w:r>
              <w:rPr>
                <w:sz w:val="22"/>
              </w:rPr>
              <w:t>a summary row is inserted below the detailed data being summarized and a new outline level is established on that</w:t>
            </w:r>
            <w:r>
              <w:rPr>
                <w:spacing w:val="-8"/>
                <w:sz w:val="22"/>
              </w:rPr>
              <w:t> </w:t>
            </w:r>
            <w:r>
              <w:rPr>
                <w:sz w:val="22"/>
              </w:rPr>
              <w:t>row.</w:t>
            </w:r>
          </w:p>
          <w:p>
            <w:pPr>
              <w:pStyle w:val="TableParagraph"/>
              <w:spacing w:before="10"/>
              <w:ind w:left="0"/>
              <w:rPr>
                <w:sz w:val="21"/>
              </w:rPr>
            </w:pPr>
          </w:p>
          <w:p>
            <w:pPr>
              <w:pStyle w:val="TableParagraph"/>
              <w:spacing w:before="1"/>
              <w:rPr>
                <w:sz w:val="22"/>
              </w:rPr>
            </w:pPr>
            <w:r>
              <w:rPr>
                <w:sz w:val="22"/>
              </w:rPr>
              <w:t>When </w:t>
            </w:r>
            <w:r>
              <w:rPr>
                <w:rFonts w:ascii="Consolas"/>
                <w:sz w:val="20"/>
              </w:rPr>
              <w:t>false</w:t>
            </w:r>
            <w:r>
              <w:rPr>
                <w:rFonts w:ascii="Consolas"/>
                <w:spacing w:val="-81"/>
                <w:sz w:val="20"/>
              </w:rPr>
              <w:t> </w:t>
            </w:r>
            <w:r>
              <w:rPr>
                <w:sz w:val="22"/>
              </w:rPr>
              <w:t>a summary row is inserted above the detailed data being summarized and a new outline level is established on that</w:t>
            </w:r>
            <w:r>
              <w:rPr>
                <w:spacing w:val="-6"/>
                <w:sz w:val="22"/>
              </w:rPr>
              <w:t> </w:t>
            </w:r>
            <w:r>
              <w:rPr>
                <w:sz w:val="22"/>
              </w:rPr>
              <w:t>row.</w:t>
            </w:r>
          </w:p>
          <w:p>
            <w:pPr>
              <w:pStyle w:val="TableParagraph"/>
              <w:spacing w:before="0"/>
              <w:ind w:left="0"/>
              <w:rPr>
                <w:sz w:val="22"/>
              </w:rPr>
            </w:pPr>
          </w:p>
          <w:p>
            <w:pPr>
              <w:pStyle w:val="TableParagraph"/>
              <w:spacing w:before="0"/>
              <w:ind w:right="93"/>
              <w:rPr>
                <w:sz w:val="22"/>
              </w:rPr>
            </w:pPr>
            <w:r>
              <w:rPr>
                <w:sz w:val="22"/>
              </w:rPr>
              <w:t>Note that toggling this flag on existing outlines requires an update to cell table, specifically, putting the summary functions in the proper rows, and flagging these rows as new outline levels, and possibly resetting their collapsed state.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4116" w:hRule="atLeast"/>
        </w:trPr>
        <w:tc>
          <w:tcPr>
            <w:tcW w:w="2062" w:type="dxa"/>
          </w:tcPr>
          <w:p>
            <w:pPr>
              <w:pStyle w:val="TableParagraph"/>
              <w:spacing w:line="257" w:lineRule="exact" w:before="42"/>
              <w:rPr>
                <w:rFonts w:ascii="Cambria"/>
                <w:sz w:val="22"/>
              </w:rPr>
            </w:pPr>
            <w:r>
              <w:rPr>
                <w:rFonts w:ascii="Cambria"/>
                <w:sz w:val="22"/>
              </w:rPr>
              <w:t>summaryRight</w:t>
            </w:r>
          </w:p>
          <w:p>
            <w:pPr>
              <w:pStyle w:val="TableParagraph"/>
              <w:spacing w:line="268" w:lineRule="exact" w:before="0"/>
              <w:rPr>
                <w:sz w:val="22"/>
              </w:rPr>
            </w:pPr>
            <w:r>
              <w:rPr>
                <w:sz w:val="22"/>
              </w:rPr>
              <w:t>(Summary Right)</w:t>
            </w:r>
          </w:p>
        </w:tc>
        <w:tc>
          <w:tcPr>
            <w:tcW w:w="8250" w:type="dxa"/>
          </w:tcPr>
          <w:p>
            <w:pPr>
              <w:pStyle w:val="TableParagraph"/>
              <w:ind w:right="580"/>
              <w:rPr>
                <w:sz w:val="22"/>
              </w:rPr>
            </w:pPr>
            <w:r>
              <w:rPr>
                <w:sz w:val="22"/>
              </w:rPr>
              <w:t>Flag indicating whether summary columns appear to the right of detail in an outline, when applying an outline.</w:t>
            </w:r>
          </w:p>
          <w:p>
            <w:pPr>
              <w:pStyle w:val="TableParagraph"/>
              <w:spacing w:before="0"/>
              <w:ind w:left="0"/>
              <w:rPr>
                <w:sz w:val="22"/>
              </w:rPr>
            </w:pPr>
          </w:p>
          <w:p>
            <w:pPr>
              <w:pStyle w:val="TableParagraph"/>
              <w:spacing w:before="0"/>
              <w:ind w:right="876"/>
              <w:rPr>
                <w:sz w:val="22"/>
              </w:rPr>
            </w:pPr>
            <w:r>
              <w:rPr>
                <w:sz w:val="22"/>
              </w:rPr>
              <w:t>When </w:t>
            </w:r>
            <w:r>
              <w:rPr>
                <w:rFonts w:ascii="Consolas"/>
                <w:sz w:val="20"/>
              </w:rPr>
              <w:t>true </w:t>
            </w:r>
            <w:r>
              <w:rPr>
                <w:sz w:val="22"/>
              </w:rPr>
              <w:t>a summary column is inserted to the right of the detailed data being summarized and a new outline level is established on that</w:t>
            </w:r>
            <w:r>
              <w:rPr>
                <w:spacing w:val="-13"/>
                <w:sz w:val="22"/>
              </w:rPr>
              <w:t> </w:t>
            </w:r>
            <w:r>
              <w:rPr>
                <w:sz w:val="22"/>
              </w:rPr>
              <w:t>column.</w:t>
            </w:r>
          </w:p>
          <w:p>
            <w:pPr>
              <w:pStyle w:val="TableParagraph"/>
              <w:spacing w:before="1"/>
              <w:ind w:left="0"/>
              <w:rPr>
                <w:sz w:val="22"/>
              </w:rPr>
            </w:pPr>
          </w:p>
          <w:p>
            <w:pPr>
              <w:pStyle w:val="TableParagraph"/>
              <w:spacing w:before="0"/>
              <w:ind w:right="617"/>
              <w:rPr>
                <w:sz w:val="22"/>
              </w:rPr>
            </w:pPr>
            <w:r>
              <w:rPr>
                <w:sz w:val="22"/>
              </w:rPr>
              <w:t>When </w:t>
            </w:r>
            <w:r>
              <w:rPr>
                <w:rFonts w:ascii="Consolas"/>
                <w:sz w:val="20"/>
              </w:rPr>
              <w:t>false</w:t>
            </w:r>
            <w:r>
              <w:rPr>
                <w:rFonts w:ascii="Consolas"/>
                <w:spacing w:val="-87"/>
                <w:sz w:val="20"/>
              </w:rPr>
              <w:t> </w:t>
            </w:r>
            <w:r>
              <w:rPr>
                <w:sz w:val="22"/>
              </w:rPr>
              <w:t>a summary column is inserted to the left of the detailed data being summarized and a new outline level is established on that</w:t>
            </w:r>
            <w:r>
              <w:rPr>
                <w:spacing w:val="-14"/>
                <w:sz w:val="22"/>
              </w:rPr>
              <w:t> </w:t>
            </w:r>
            <w:r>
              <w:rPr>
                <w:sz w:val="22"/>
              </w:rPr>
              <w:t>column.</w:t>
            </w:r>
          </w:p>
          <w:p>
            <w:pPr>
              <w:pStyle w:val="TableParagraph"/>
              <w:spacing w:before="10"/>
              <w:ind w:left="0"/>
              <w:rPr>
                <w:sz w:val="21"/>
              </w:rPr>
            </w:pPr>
          </w:p>
          <w:p>
            <w:pPr>
              <w:pStyle w:val="TableParagraph"/>
              <w:spacing w:before="1"/>
              <w:ind w:right="504"/>
              <w:rPr>
                <w:sz w:val="22"/>
              </w:rPr>
            </w:pPr>
            <w:r>
              <w:rPr>
                <w:sz w:val="22"/>
              </w:rPr>
              <w:t>Note that toggling this flag on existing outlines requires an update to cell table, specifically, putting the summary functions in the proper columns, and flagging these columns as new outline levels, and possibly resetting their collapsed state.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634"/>
      </w:pPr>
      <w:r>
        <w:rPr/>
        <w:t>[</w:t>
      </w:r>
      <w:r>
        <w:rPr>
          <w:i/>
        </w:rPr>
        <w:t>Note</w:t>
      </w:r>
      <w:r>
        <w:rPr/>
        <w:t>: The W3C XML Schema definition of this element’s content model (</w:t>
      </w:r>
      <w:r>
        <w:rPr>
          <w:color w:val="5F5F5F"/>
          <w:u w:val="single" w:color="5F5F5F"/>
        </w:rPr>
        <w:t>CT_OutlinePr</w:t>
      </w:r>
      <w:r>
        <w:rPr/>
        <w:t>) is located in §A.2. </w:t>
      </w:r>
      <w:r>
        <w:rPr>
          <w:i/>
        </w:rPr>
        <w:t>end </w:t>
      </w:r>
      <w:r>
        <w:rPr>
          <w:i/>
        </w:rPr>
        <w:t>note</w:t>
      </w:r>
      <w:r>
        <w:rPr/>
        <w:t>]</w:t>
      </w:r>
    </w:p>
    <w:p>
      <w:pPr>
        <w:spacing w:after="0" w:line="278" w:lineRule="auto"/>
        <w:sectPr>
          <w:pgSz w:w="12240" w:h="15840"/>
          <w:pgMar w:header="761" w:footer="746" w:top="1340" w:bottom="940" w:left="860" w:right="700"/>
        </w:sectPr>
      </w:pPr>
    </w:p>
    <w:p>
      <w:pPr>
        <w:pStyle w:val="Heading3"/>
        <w:numPr>
          <w:ilvl w:val="3"/>
          <w:numId w:val="22"/>
        </w:numPr>
        <w:tabs>
          <w:tab w:pos="1732" w:val="left" w:leader="none"/>
          <w:tab w:pos="1733" w:val="left" w:leader="none"/>
        </w:tabs>
        <w:spacing w:line="240" w:lineRule="auto" w:before="151" w:after="0"/>
        <w:ind w:left="1732" w:right="0" w:hanging="1513"/>
        <w:jc w:val="left"/>
      </w:pPr>
      <w:bookmarkStart w:name="18.3.1.62 pageMargins (Page Margins)" w:id="287"/>
      <w:bookmarkEnd w:id="287"/>
      <w:r>
        <w:rPr/>
      </w:r>
      <w:bookmarkStart w:name="_bookmark94" w:id="288"/>
      <w:bookmarkEnd w:id="288"/>
      <w:r>
        <w:rPr/>
      </w:r>
      <w:bookmarkStart w:name="_bookmark94" w:id="289"/>
      <w:bookmarkEnd w:id="289"/>
      <w:r>
        <w:rPr>
          <w:color w:val="4F81BC"/>
        </w:rPr>
        <w:t>p</w:t>
      </w:r>
      <w:r>
        <w:rPr>
          <w:color w:val="4F81BC"/>
        </w:rPr>
        <w:t>ageMargins (Page Margins)</w:t>
      </w:r>
    </w:p>
    <w:p>
      <w:pPr>
        <w:pStyle w:val="BodyText"/>
        <w:spacing w:line="453" w:lineRule="auto" w:before="121"/>
        <w:ind w:left="220" w:right="6062"/>
      </w:pPr>
      <w:r>
        <w:rPr/>
        <w:t>Page margins for a sheet or a custom sheet view. [</w:t>
      </w:r>
      <w:r>
        <w:rPr>
          <w:i/>
        </w:rPr>
        <w:t>Example</w:t>
      </w:r>
      <w:r>
        <w:rPr/>
        <w:t>:</w:t>
      </w:r>
    </w:p>
    <w:p>
      <w:pPr>
        <w:pStyle w:val="BodyText"/>
        <w:spacing w:line="278" w:lineRule="auto" w:before="3"/>
        <w:ind w:left="750" w:hanging="243"/>
        <w:rPr>
          <w:rFonts w:ascii="Consolas"/>
        </w:rPr>
      </w:pPr>
      <w:r>
        <w:rPr>
          <w:rFonts w:ascii="Consolas"/>
        </w:rPr>
        <w:t>&lt;pageMargins left="0.7" right="0.7" top="0.75" bottom="0.75" header="0.3" footer="0.3"/&gt;</w:t>
      </w:r>
    </w:p>
    <w:p>
      <w:pPr>
        <w:spacing w:before="194"/>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41"/>
              <w:rPr>
                <w:sz w:val="22"/>
              </w:rPr>
            </w:pPr>
            <w:r>
              <w:rPr>
                <w:rFonts w:ascii="Cambria"/>
                <w:sz w:val="22"/>
              </w:rPr>
              <w:t>bottom </w:t>
            </w:r>
            <w:r>
              <w:rPr>
                <w:sz w:val="22"/>
              </w:rPr>
              <w:t>(Bottom Page Margin)</w:t>
            </w:r>
          </w:p>
        </w:tc>
        <w:tc>
          <w:tcPr>
            <w:tcW w:w="8250" w:type="dxa"/>
          </w:tcPr>
          <w:p>
            <w:pPr>
              <w:pStyle w:val="TableParagraph"/>
              <w:rPr>
                <w:sz w:val="22"/>
              </w:rPr>
            </w:pPr>
            <w:r>
              <w:rPr>
                <w:sz w:val="22"/>
              </w:rPr>
              <w:t>Bottom Page Margin in inches.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158" w:hRule="atLeast"/>
        </w:trPr>
        <w:tc>
          <w:tcPr>
            <w:tcW w:w="2062" w:type="dxa"/>
          </w:tcPr>
          <w:p>
            <w:pPr>
              <w:pStyle w:val="TableParagraph"/>
              <w:ind w:right="154"/>
              <w:rPr>
                <w:sz w:val="22"/>
              </w:rPr>
            </w:pPr>
            <w:r>
              <w:rPr>
                <w:rFonts w:ascii="Cambria"/>
                <w:sz w:val="22"/>
              </w:rPr>
              <w:t>footer </w:t>
            </w:r>
            <w:r>
              <w:rPr>
                <w:sz w:val="22"/>
              </w:rPr>
              <w:t>(Footer Page Margin)</w:t>
            </w:r>
          </w:p>
        </w:tc>
        <w:tc>
          <w:tcPr>
            <w:tcW w:w="8250" w:type="dxa"/>
          </w:tcPr>
          <w:p>
            <w:pPr>
              <w:pStyle w:val="TableParagraph"/>
              <w:rPr>
                <w:sz w:val="22"/>
              </w:rPr>
            </w:pPr>
            <w:r>
              <w:rPr>
                <w:sz w:val="22"/>
              </w:rPr>
              <w:t>Footer Page Margin in inches.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161" w:hRule="atLeast"/>
        </w:trPr>
        <w:tc>
          <w:tcPr>
            <w:tcW w:w="2062" w:type="dxa"/>
          </w:tcPr>
          <w:p>
            <w:pPr>
              <w:pStyle w:val="TableParagraph"/>
              <w:ind w:right="491"/>
              <w:rPr>
                <w:sz w:val="22"/>
              </w:rPr>
            </w:pPr>
            <w:r>
              <w:rPr>
                <w:rFonts w:ascii="Cambria"/>
                <w:sz w:val="22"/>
              </w:rPr>
              <w:t>header </w:t>
            </w:r>
            <w:r>
              <w:rPr>
                <w:sz w:val="22"/>
              </w:rPr>
              <w:t>(Header Page Margin)</w:t>
            </w:r>
          </w:p>
        </w:tc>
        <w:tc>
          <w:tcPr>
            <w:tcW w:w="8250" w:type="dxa"/>
          </w:tcPr>
          <w:p>
            <w:pPr>
              <w:pStyle w:val="TableParagraph"/>
              <w:rPr>
                <w:sz w:val="22"/>
              </w:rPr>
            </w:pPr>
            <w:r>
              <w:rPr>
                <w:sz w:val="22"/>
              </w:rPr>
              <w:t>Header Page Margin in inches.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161" w:hRule="atLeast"/>
        </w:trPr>
        <w:tc>
          <w:tcPr>
            <w:tcW w:w="2062" w:type="dxa"/>
          </w:tcPr>
          <w:p>
            <w:pPr>
              <w:pStyle w:val="TableParagraph"/>
              <w:ind w:right="669"/>
              <w:rPr>
                <w:sz w:val="22"/>
              </w:rPr>
            </w:pPr>
            <w:r>
              <w:rPr>
                <w:rFonts w:ascii="Cambria"/>
                <w:sz w:val="22"/>
              </w:rPr>
              <w:t>left </w:t>
            </w:r>
            <w:r>
              <w:rPr>
                <w:sz w:val="22"/>
              </w:rPr>
              <w:t>(Left Page Margin)</w:t>
            </w:r>
          </w:p>
        </w:tc>
        <w:tc>
          <w:tcPr>
            <w:tcW w:w="8250" w:type="dxa"/>
          </w:tcPr>
          <w:p>
            <w:pPr>
              <w:pStyle w:val="TableParagraph"/>
              <w:rPr>
                <w:sz w:val="22"/>
              </w:rPr>
            </w:pPr>
            <w:r>
              <w:rPr>
                <w:sz w:val="22"/>
              </w:rPr>
              <w:t>Left Page Margin in inches.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158" w:hRule="atLeast"/>
        </w:trPr>
        <w:tc>
          <w:tcPr>
            <w:tcW w:w="2062" w:type="dxa"/>
          </w:tcPr>
          <w:p>
            <w:pPr>
              <w:pStyle w:val="TableParagraph"/>
              <w:ind w:right="400"/>
              <w:rPr>
                <w:sz w:val="22"/>
              </w:rPr>
            </w:pPr>
            <w:r>
              <w:rPr>
                <w:rFonts w:ascii="Cambria"/>
                <w:sz w:val="22"/>
              </w:rPr>
              <w:t>right </w:t>
            </w:r>
            <w:r>
              <w:rPr>
                <w:sz w:val="22"/>
              </w:rPr>
              <w:t>(Right Page Margin)</w:t>
            </w:r>
          </w:p>
        </w:tc>
        <w:tc>
          <w:tcPr>
            <w:tcW w:w="8250" w:type="dxa"/>
          </w:tcPr>
          <w:p>
            <w:pPr>
              <w:pStyle w:val="TableParagraph"/>
              <w:rPr>
                <w:sz w:val="22"/>
              </w:rPr>
            </w:pPr>
            <w:r>
              <w:rPr>
                <w:sz w:val="22"/>
              </w:rPr>
              <w:t>Right page margin in inches.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161" w:hRule="atLeast"/>
        </w:trPr>
        <w:tc>
          <w:tcPr>
            <w:tcW w:w="2062" w:type="dxa"/>
          </w:tcPr>
          <w:p>
            <w:pPr>
              <w:pStyle w:val="TableParagraph"/>
              <w:ind w:right="667"/>
              <w:rPr>
                <w:sz w:val="22"/>
              </w:rPr>
            </w:pPr>
            <w:r>
              <w:rPr>
                <w:rFonts w:ascii="Cambria"/>
                <w:sz w:val="22"/>
              </w:rPr>
              <w:t>top </w:t>
            </w:r>
            <w:r>
              <w:rPr>
                <w:sz w:val="22"/>
              </w:rPr>
              <w:t>(Top Page Margin)</w:t>
            </w:r>
          </w:p>
        </w:tc>
        <w:tc>
          <w:tcPr>
            <w:tcW w:w="8250" w:type="dxa"/>
          </w:tcPr>
          <w:p>
            <w:pPr>
              <w:pStyle w:val="TableParagraph"/>
              <w:rPr>
                <w:sz w:val="22"/>
              </w:rPr>
            </w:pPr>
            <w:r>
              <w:rPr>
                <w:sz w:val="22"/>
              </w:rPr>
              <w:t>Top Page Margin in inches.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CT_PageMargins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63 pageSetup (Page Setup Settings" w:id="290"/>
      <w:bookmarkEnd w:id="290"/>
      <w:r>
        <w:rPr/>
      </w:r>
      <w:bookmarkStart w:name="_bookmark95" w:id="291"/>
      <w:bookmarkEnd w:id="291"/>
      <w:r>
        <w:rPr/>
      </w:r>
      <w:bookmarkStart w:name="_bookmark95" w:id="292"/>
      <w:bookmarkEnd w:id="292"/>
      <w:r>
        <w:rPr>
          <w:color w:val="4F81BC"/>
        </w:rPr>
        <w:t>p</w:t>
      </w:r>
      <w:r>
        <w:rPr>
          <w:color w:val="4F81BC"/>
        </w:rPr>
        <w:t>ageSetup (Page Setup</w:t>
      </w:r>
      <w:r>
        <w:rPr>
          <w:color w:val="4F81BC"/>
          <w:spacing w:val="-5"/>
        </w:rPr>
        <w:t> </w:t>
      </w:r>
      <w:r>
        <w:rPr>
          <w:color w:val="4F81BC"/>
        </w:rPr>
        <w:t>Settings)</w:t>
      </w:r>
    </w:p>
    <w:p>
      <w:pPr>
        <w:pStyle w:val="BodyText"/>
        <w:spacing w:before="121"/>
        <w:ind w:left="220"/>
      </w:pPr>
      <w:r>
        <w:rPr/>
        <w:t>Page setup settings for the worksheet.</w:t>
      </w:r>
    </w:p>
    <w:p>
      <w:pPr>
        <w:spacing w:after="0"/>
        <w:sectPr>
          <w:pgSz w:w="12240" w:h="15840"/>
          <w:pgMar w:header="763" w:footer="746" w:top="1340" w:bottom="940" w:left="860" w:right="700"/>
        </w:sectPr>
      </w:pPr>
    </w:p>
    <w:p>
      <w:pPr>
        <w:pStyle w:val="BodyText"/>
        <w:spacing w:line="278" w:lineRule="auto" w:before="90"/>
        <w:ind w:left="220" w:right="691"/>
      </w:pPr>
      <w:r>
        <w:rPr/>
        <w:t>[</w:t>
      </w:r>
      <w:r>
        <w:rPr>
          <w:i/>
        </w:rPr>
        <w:t>Example</w:t>
      </w:r>
      <w:r>
        <w:rPr/>
        <w:t>: The following example shows the </w:t>
      </w:r>
      <w:r>
        <w:rPr>
          <w:rFonts w:ascii="Cambria"/>
        </w:rPr>
        <w:t>pageSetup </w:t>
      </w:r>
      <w:r>
        <w:rPr/>
        <w:t>element for ISO A0 paper, printed in black and white, with graphics:</w:t>
      </w:r>
    </w:p>
    <w:p>
      <w:pPr>
        <w:pStyle w:val="BodyText"/>
        <w:spacing w:before="3"/>
        <w:rPr>
          <w:sz w:val="16"/>
        </w:rPr>
      </w:pPr>
    </w:p>
    <w:p>
      <w:pPr>
        <w:pStyle w:val="BodyText"/>
        <w:spacing w:line="276" w:lineRule="auto"/>
        <w:ind w:left="508" w:right="2168"/>
        <w:rPr>
          <w:rFonts w:ascii="Consolas"/>
        </w:rPr>
      </w:pPr>
      <w:r>
        <w:rPr>
          <w:rFonts w:ascii="Consolas"/>
        </w:rPr>
        <w:t>&lt;pageSetup blackAndWhite="true" draft="false" paperHeight="1189mm" paperWidth="841mm" /&gt;</w:t>
      </w:r>
    </w:p>
    <w:p>
      <w:pPr>
        <w:pStyle w:val="BodyText"/>
        <w:rPr>
          <w:rFonts w:ascii="Consolas"/>
          <w:sz w:val="17"/>
        </w:rPr>
      </w:pPr>
    </w:p>
    <w:p>
      <w:pPr>
        <w:spacing w:before="1"/>
        <w:ind w:left="220" w:right="0" w:firstLine="0"/>
        <w:jc w:val="left"/>
        <w:rPr>
          <w:sz w:val="22"/>
        </w:rPr>
      </w:pPr>
      <w:r>
        <w:rPr>
          <w:i/>
          <w:sz w:val="22"/>
        </w:rPr>
        <w:t>end example</w:t>
      </w:r>
      <w:r>
        <w:rPr>
          <w:sz w:val="22"/>
        </w:rPr>
        <w: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56" w:lineRule="exact" w:before="42"/>
              <w:rPr>
                <w:rFonts w:ascii="Cambria"/>
                <w:sz w:val="22"/>
              </w:rPr>
            </w:pPr>
            <w:r>
              <w:rPr>
                <w:rFonts w:ascii="Cambria"/>
                <w:sz w:val="22"/>
              </w:rPr>
              <w:t>blackAndWhite</w:t>
            </w:r>
          </w:p>
          <w:p>
            <w:pPr>
              <w:pStyle w:val="TableParagraph"/>
              <w:spacing w:line="267" w:lineRule="exact" w:before="0"/>
              <w:rPr>
                <w:sz w:val="22"/>
              </w:rPr>
            </w:pPr>
            <w:r>
              <w:rPr>
                <w:sz w:val="22"/>
              </w:rPr>
              <w:t>(Black And White)</w:t>
            </w:r>
          </w:p>
        </w:tc>
        <w:tc>
          <w:tcPr>
            <w:tcW w:w="8250" w:type="dxa"/>
          </w:tcPr>
          <w:p>
            <w:pPr>
              <w:pStyle w:val="TableParagraph"/>
              <w:rPr>
                <w:sz w:val="22"/>
              </w:rPr>
            </w:pPr>
            <w:r>
              <w:rPr>
                <w:sz w:val="22"/>
              </w:rPr>
              <w:t>Print black and white.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3"/>
              <w:ind w:right="587"/>
              <w:rPr>
                <w:sz w:val="22"/>
              </w:rPr>
            </w:pPr>
            <w:r>
              <w:rPr>
                <w:rFonts w:ascii="Cambria"/>
                <w:sz w:val="22"/>
              </w:rPr>
              <w:t>cellComments </w:t>
            </w:r>
            <w:r>
              <w:rPr>
                <w:sz w:val="22"/>
              </w:rPr>
              <w:t>(Print Cell Comments)</w:t>
            </w:r>
          </w:p>
        </w:tc>
        <w:tc>
          <w:tcPr>
            <w:tcW w:w="8250" w:type="dxa"/>
          </w:tcPr>
          <w:p>
            <w:pPr>
              <w:pStyle w:val="TableParagraph"/>
              <w:rPr>
                <w:sz w:val="22"/>
              </w:rPr>
            </w:pPr>
            <w:r>
              <w:rPr>
                <w:sz w:val="22"/>
              </w:rPr>
              <w:t>This attribute specifies how to print cell comments.</w:t>
            </w:r>
          </w:p>
          <w:p>
            <w:pPr>
              <w:pStyle w:val="TableParagraph"/>
              <w:spacing w:before="1"/>
              <w:ind w:left="0"/>
              <w:rPr>
                <w:sz w:val="22"/>
              </w:rPr>
            </w:pPr>
          </w:p>
          <w:p>
            <w:pPr>
              <w:pStyle w:val="TableParagraph"/>
              <w:spacing w:before="0"/>
              <w:ind w:right="349"/>
              <w:rPr>
                <w:sz w:val="22"/>
              </w:rPr>
            </w:pPr>
            <w:r>
              <w:rPr>
                <w:sz w:val="22"/>
              </w:rPr>
              <w:t>The possible values for this attribute are defined by the </w:t>
            </w:r>
            <w:r>
              <w:rPr>
                <w:rFonts w:ascii="Cambria" w:hAnsi="Cambria"/>
                <w:sz w:val="22"/>
              </w:rPr>
              <w:t>ST_CellComments </w:t>
            </w:r>
            <w:r>
              <w:rPr>
                <w:sz w:val="22"/>
              </w:rPr>
              <w:t>simple type </w:t>
            </w:r>
            <w:hyperlink w:history="true" w:anchor="_bookmark827">
              <w:r>
                <w:rPr>
                  <w:sz w:val="22"/>
                </w:rPr>
                <w:t>(§18.18.5</w:t>
              </w:r>
            </w:hyperlink>
            <w:r>
              <w:rPr>
                <w:sz w:val="22"/>
              </w:rPr>
              <w:t>).</w:t>
            </w:r>
          </w:p>
        </w:tc>
      </w:tr>
      <w:tr>
        <w:trPr>
          <w:trHeight w:val="1161" w:hRule="atLeast"/>
        </w:trPr>
        <w:tc>
          <w:tcPr>
            <w:tcW w:w="2062" w:type="dxa"/>
          </w:tcPr>
          <w:p>
            <w:pPr>
              <w:pStyle w:val="TableParagraph"/>
              <w:ind w:right="205"/>
              <w:rPr>
                <w:sz w:val="22"/>
              </w:rPr>
            </w:pPr>
            <w:r>
              <w:rPr>
                <w:rFonts w:ascii="Cambria"/>
                <w:sz w:val="22"/>
              </w:rPr>
              <w:t>copies </w:t>
            </w:r>
            <w:r>
              <w:rPr>
                <w:sz w:val="22"/>
              </w:rPr>
              <w:t>(Number Of Copies)</w:t>
            </w:r>
          </w:p>
        </w:tc>
        <w:tc>
          <w:tcPr>
            <w:tcW w:w="8250" w:type="dxa"/>
          </w:tcPr>
          <w:p>
            <w:pPr>
              <w:pStyle w:val="TableParagraph"/>
              <w:rPr>
                <w:sz w:val="22"/>
              </w:rPr>
            </w:pPr>
            <w:r>
              <w:rPr>
                <w:sz w:val="22"/>
              </w:rPr>
              <w:t>Number of copies to print.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draft </w:t>
            </w:r>
            <w:r>
              <w:rPr>
                <w:sz w:val="22"/>
              </w:rPr>
              <w:t>(Draft)</w:t>
            </w:r>
          </w:p>
        </w:tc>
        <w:tc>
          <w:tcPr>
            <w:tcW w:w="8250" w:type="dxa"/>
          </w:tcPr>
          <w:p>
            <w:pPr>
              <w:pStyle w:val="TableParagraph"/>
              <w:rPr>
                <w:sz w:val="22"/>
              </w:rPr>
            </w:pPr>
            <w:r>
              <w:rPr>
                <w:sz w:val="22"/>
              </w:rPr>
              <w:t>Print without graphics.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276"/>
              <w:rPr>
                <w:sz w:val="22"/>
              </w:rPr>
            </w:pPr>
            <w:r>
              <w:rPr>
                <w:rFonts w:ascii="Cambria"/>
                <w:sz w:val="22"/>
              </w:rPr>
              <w:t>errors </w:t>
            </w:r>
            <w:r>
              <w:rPr>
                <w:sz w:val="22"/>
              </w:rPr>
              <w:t>(Print Error Handling)</w:t>
            </w:r>
          </w:p>
        </w:tc>
        <w:tc>
          <w:tcPr>
            <w:tcW w:w="8250" w:type="dxa"/>
          </w:tcPr>
          <w:p>
            <w:pPr>
              <w:pStyle w:val="TableParagraph"/>
              <w:rPr>
                <w:sz w:val="22"/>
              </w:rPr>
            </w:pPr>
            <w:r>
              <w:rPr>
                <w:sz w:val="22"/>
              </w:rPr>
              <w:t>Specifies how to print cell values for cells with errors.</w:t>
            </w:r>
          </w:p>
          <w:p>
            <w:pPr>
              <w:pStyle w:val="TableParagraph"/>
              <w:spacing w:before="0"/>
              <w:ind w:left="0"/>
              <w:rPr>
                <w:sz w:val="22"/>
              </w:rPr>
            </w:pPr>
          </w:p>
          <w:p>
            <w:pPr>
              <w:pStyle w:val="TableParagraph"/>
              <w:spacing w:before="1"/>
              <w:ind w:right="714"/>
              <w:rPr>
                <w:sz w:val="22"/>
              </w:rPr>
            </w:pPr>
            <w:r>
              <w:rPr>
                <w:sz w:val="22"/>
              </w:rPr>
              <w:t>The possible values for this attribute are defined by the </w:t>
            </w:r>
            <w:r>
              <w:rPr>
                <w:rFonts w:ascii="Cambria" w:hAnsi="Cambria"/>
                <w:sz w:val="22"/>
              </w:rPr>
              <w:t>ST_PrintError </w:t>
            </w:r>
            <w:r>
              <w:rPr>
                <w:sz w:val="22"/>
              </w:rPr>
              <w:t>simple type </w:t>
            </w:r>
            <w:hyperlink w:history="true" w:anchor="_bookmark882">
              <w:r>
                <w:rPr>
                  <w:sz w:val="22"/>
                </w:rPr>
                <w:t>(§18.18.60</w:t>
              </w:r>
            </w:hyperlink>
            <w:r>
              <w:rPr>
                <w:sz w:val="22"/>
              </w:rPr>
              <w:t>).</w:t>
            </w:r>
          </w:p>
        </w:tc>
      </w:tr>
      <w:tr>
        <w:trPr>
          <w:trHeight w:val="1158" w:hRule="atLeast"/>
        </w:trPr>
        <w:tc>
          <w:tcPr>
            <w:tcW w:w="2062" w:type="dxa"/>
          </w:tcPr>
          <w:p>
            <w:pPr>
              <w:pStyle w:val="TableParagraph"/>
              <w:spacing w:line="256" w:lineRule="exact" w:before="42"/>
              <w:rPr>
                <w:rFonts w:ascii="Cambria"/>
                <w:sz w:val="22"/>
              </w:rPr>
            </w:pPr>
            <w:r>
              <w:rPr>
                <w:rFonts w:ascii="Cambria"/>
                <w:sz w:val="22"/>
              </w:rPr>
              <w:t>firstPageNumber</w:t>
            </w:r>
          </w:p>
          <w:p>
            <w:pPr>
              <w:pStyle w:val="TableParagraph"/>
              <w:spacing w:line="267" w:lineRule="exact" w:before="0"/>
              <w:rPr>
                <w:sz w:val="22"/>
              </w:rPr>
            </w:pPr>
            <w:r>
              <w:rPr>
                <w:sz w:val="22"/>
              </w:rPr>
              <w:t>(First Page Number)</w:t>
            </w:r>
          </w:p>
        </w:tc>
        <w:tc>
          <w:tcPr>
            <w:tcW w:w="8250" w:type="dxa"/>
          </w:tcPr>
          <w:p>
            <w:pPr>
              <w:pStyle w:val="TableParagraph"/>
              <w:rPr>
                <w:sz w:val="22"/>
              </w:rPr>
            </w:pPr>
            <w:r>
              <w:rPr>
                <w:sz w:val="22"/>
              </w:rPr>
              <w:t>Page number for first printed page. If no value is specified, then 'automatic' is</w:t>
            </w:r>
            <w:r>
              <w:rPr>
                <w:spacing w:val="-25"/>
                <w:sz w:val="22"/>
              </w:rPr>
              <w:t> </w:t>
            </w:r>
            <w:r>
              <w:rPr>
                <w:sz w:val="22"/>
              </w:rPr>
              <w:t>assumed.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230"/>
              <w:rPr>
                <w:sz w:val="22"/>
              </w:rPr>
            </w:pPr>
            <w:r>
              <w:rPr>
                <w:rFonts w:ascii="Cambria"/>
                <w:sz w:val="22"/>
              </w:rPr>
              <w:t>fitToHeight </w:t>
            </w:r>
            <w:r>
              <w:rPr>
                <w:sz w:val="22"/>
              </w:rPr>
              <w:t>(Fit To Height)</w:t>
            </w:r>
          </w:p>
        </w:tc>
        <w:tc>
          <w:tcPr>
            <w:tcW w:w="8250" w:type="dxa"/>
          </w:tcPr>
          <w:p>
            <w:pPr>
              <w:pStyle w:val="TableParagraph"/>
              <w:rPr>
                <w:sz w:val="22"/>
              </w:rPr>
            </w:pPr>
            <w:r>
              <w:rPr>
                <w:sz w:val="22"/>
              </w:rPr>
              <w:t>Number of vertical pages to fit 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272"/>
              <w:rPr>
                <w:sz w:val="22"/>
              </w:rPr>
            </w:pPr>
            <w:r>
              <w:rPr>
                <w:rFonts w:ascii="Cambria"/>
                <w:sz w:val="22"/>
              </w:rPr>
              <w:t>fitToWidth </w:t>
            </w:r>
            <w:r>
              <w:rPr>
                <w:sz w:val="22"/>
              </w:rPr>
              <w:t>(Fit To Width)</w:t>
            </w:r>
          </w:p>
        </w:tc>
        <w:tc>
          <w:tcPr>
            <w:tcW w:w="8250" w:type="dxa"/>
          </w:tcPr>
          <w:p>
            <w:pPr>
              <w:pStyle w:val="TableParagraph"/>
              <w:rPr>
                <w:sz w:val="22"/>
              </w:rPr>
            </w:pPr>
            <w:r>
              <w:rPr>
                <w:sz w:val="22"/>
              </w:rPr>
              <w:t>Number of horizontal pages to fit on.</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89" w:hRule="atLeast"/>
        </w:trPr>
        <w:tc>
          <w:tcPr>
            <w:tcW w:w="2062" w:type="dxa"/>
          </w:tcPr>
          <w:p>
            <w:pPr>
              <w:pStyle w:val="TableParagraph"/>
              <w:spacing w:line="256" w:lineRule="exact" w:before="42"/>
              <w:rPr>
                <w:rFonts w:ascii="Cambria"/>
                <w:sz w:val="22"/>
              </w:rPr>
            </w:pPr>
            <w:r>
              <w:rPr>
                <w:rFonts w:ascii="Cambria"/>
                <w:sz w:val="22"/>
              </w:rPr>
              <w:t>horizontalDpi</w:t>
            </w:r>
          </w:p>
          <w:p>
            <w:pPr>
              <w:pStyle w:val="TableParagraph"/>
              <w:spacing w:line="267" w:lineRule="exact" w:before="0"/>
              <w:rPr>
                <w:sz w:val="22"/>
              </w:rPr>
            </w:pPr>
            <w:r>
              <w:rPr>
                <w:sz w:val="22"/>
              </w:rPr>
              <w:t>(Horizontal DPI)</w:t>
            </w:r>
          </w:p>
        </w:tc>
        <w:tc>
          <w:tcPr>
            <w:tcW w:w="8250" w:type="dxa"/>
          </w:tcPr>
          <w:p>
            <w:pPr>
              <w:pStyle w:val="TableParagraph"/>
              <w:rPr>
                <w:sz w:val="22"/>
              </w:rPr>
            </w:pPr>
            <w:r>
              <w:rPr>
                <w:sz w:val="22"/>
              </w:rPr>
              <w:t>Horizontal print resolution of the device.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922" w:hRule="atLeast"/>
        </w:trPr>
        <w:tc>
          <w:tcPr>
            <w:tcW w:w="2062" w:type="dxa"/>
          </w:tcPr>
          <w:p>
            <w:pPr>
              <w:pStyle w:val="TableParagraph"/>
              <w:rPr>
                <w:sz w:val="22"/>
              </w:rPr>
            </w:pPr>
            <w:r>
              <w:rPr>
                <w:rFonts w:ascii="Cambria"/>
                <w:sz w:val="22"/>
              </w:rPr>
              <w:t>id </w:t>
            </w:r>
            <w:r>
              <w:rPr>
                <w:sz w:val="22"/>
              </w:rPr>
              <w:t>(Id)</w:t>
            </w:r>
          </w:p>
          <w:p>
            <w:pPr>
              <w:pStyle w:val="TableParagraph"/>
              <w:spacing w:before="4"/>
              <w:ind w:left="0"/>
              <w:rPr>
                <w:rFonts w:ascii="Times New Roman"/>
                <w:sz w:val="23"/>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rPr>
                <w:sz w:val="22"/>
              </w:rPr>
            </w:pPr>
            <w:r>
              <w:rPr>
                <w:sz w:val="22"/>
              </w:rPr>
              <w:t>Relationship Id of the devMode printer settings part.</w:t>
            </w:r>
          </w:p>
          <w:p>
            <w:pPr>
              <w:pStyle w:val="TableParagraph"/>
              <w:spacing w:before="6"/>
              <w:ind w:left="0"/>
              <w:rPr>
                <w:rFonts w:ascii="Times New Roman"/>
                <w:sz w:val="23"/>
              </w:rPr>
            </w:pPr>
          </w:p>
          <w:p>
            <w:pPr>
              <w:pStyle w:val="TableParagraph"/>
              <w:spacing w:line="237" w:lineRule="auto"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161" w:hRule="atLeast"/>
        </w:trPr>
        <w:tc>
          <w:tcPr>
            <w:tcW w:w="2062" w:type="dxa"/>
          </w:tcPr>
          <w:p>
            <w:pPr>
              <w:pStyle w:val="TableParagraph"/>
              <w:spacing w:line="257" w:lineRule="exact" w:before="42"/>
              <w:rPr>
                <w:rFonts w:ascii="Cambria"/>
                <w:sz w:val="22"/>
              </w:rPr>
            </w:pPr>
            <w:r>
              <w:rPr>
                <w:rFonts w:ascii="Cambria"/>
                <w:sz w:val="22"/>
              </w:rPr>
              <w:t>orientation</w:t>
            </w:r>
          </w:p>
          <w:p>
            <w:pPr>
              <w:pStyle w:val="TableParagraph"/>
              <w:spacing w:line="268" w:lineRule="exact" w:before="0"/>
              <w:rPr>
                <w:sz w:val="22"/>
              </w:rPr>
            </w:pPr>
            <w:r>
              <w:rPr>
                <w:sz w:val="22"/>
              </w:rPr>
              <w:t>(Orientation)</w:t>
            </w:r>
          </w:p>
        </w:tc>
        <w:tc>
          <w:tcPr>
            <w:tcW w:w="8250" w:type="dxa"/>
          </w:tcPr>
          <w:p>
            <w:pPr>
              <w:pStyle w:val="TableParagraph"/>
              <w:rPr>
                <w:sz w:val="22"/>
              </w:rPr>
            </w:pPr>
            <w:r>
              <w:rPr>
                <w:sz w:val="22"/>
              </w:rPr>
              <w:t>Orientation of the page.</w:t>
            </w:r>
          </w:p>
          <w:p>
            <w:pPr>
              <w:pStyle w:val="TableParagraph"/>
              <w:spacing w:before="4"/>
              <w:ind w:left="0"/>
              <w:rPr>
                <w:rFonts w:ascii="Times New Roman"/>
                <w:sz w:val="23"/>
              </w:rPr>
            </w:pPr>
          </w:p>
          <w:p>
            <w:pPr>
              <w:pStyle w:val="TableParagraph"/>
              <w:spacing w:before="0"/>
              <w:ind w:right="622"/>
              <w:rPr>
                <w:sz w:val="22"/>
              </w:rPr>
            </w:pPr>
            <w:r>
              <w:rPr>
                <w:sz w:val="22"/>
              </w:rPr>
              <w:t>The possible values for this attribute are defined by the </w:t>
            </w:r>
            <w:r>
              <w:rPr>
                <w:rFonts w:ascii="Cambria" w:hAnsi="Cambria"/>
                <w:sz w:val="22"/>
              </w:rPr>
              <w:t>ST_Orientation </w:t>
            </w:r>
            <w:r>
              <w:rPr>
                <w:sz w:val="22"/>
              </w:rPr>
              <w:t>simple type </w:t>
            </w:r>
            <w:hyperlink w:history="true" w:anchor="_bookmark872">
              <w:r>
                <w:rPr>
                  <w:sz w:val="22"/>
                </w:rPr>
                <w:t>(§18.18.50</w:t>
              </w:r>
            </w:hyperlink>
            <w:r>
              <w:rPr>
                <w:sz w:val="22"/>
              </w:rPr>
              <w:t>).</w:t>
            </w:r>
          </w:p>
        </w:tc>
      </w:tr>
      <w:tr>
        <w:trPr>
          <w:trHeight w:val="1158" w:hRule="atLeast"/>
        </w:trPr>
        <w:tc>
          <w:tcPr>
            <w:tcW w:w="2062" w:type="dxa"/>
          </w:tcPr>
          <w:p>
            <w:pPr>
              <w:pStyle w:val="TableParagraph"/>
              <w:ind w:right="368"/>
              <w:rPr>
                <w:sz w:val="22"/>
              </w:rPr>
            </w:pPr>
            <w:r>
              <w:rPr>
                <w:rFonts w:ascii="Cambria"/>
                <w:sz w:val="22"/>
              </w:rPr>
              <w:t>pageOrder </w:t>
            </w:r>
            <w:r>
              <w:rPr>
                <w:sz w:val="22"/>
              </w:rPr>
              <w:t>(Page Order)</w:t>
            </w:r>
          </w:p>
        </w:tc>
        <w:tc>
          <w:tcPr>
            <w:tcW w:w="8250" w:type="dxa"/>
          </w:tcPr>
          <w:p>
            <w:pPr>
              <w:pStyle w:val="TableParagraph"/>
              <w:rPr>
                <w:sz w:val="22"/>
              </w:rPr>
            </w:pPr>
            <w:r>
              <w:rPr>
                <w:sz w:val="22"/>
              </w:rPr>
              <w:t>Order of printed pages.</w:t>
            </w:r>
          </w:p>
          <w:p>
            <w:pPr>
              <w:pStyle w:val="TableParagraph"/>
              <w:spacing w:before="4"/>
              <w:ind w:left="0"/>
              <w:rPr>
                <w:rFonts w:ascii="Times New Roman"/>
                <w:sz w:val="23"/>
              </w:rPr>
            </w:pPr>
          </w:p>
          <w:p>
            <w:pPr>
              <w:pStyle w:val="TableParagraph"/>
              <w:spacing w:before="0"/>
              <w:ind w:right="701"/>
              <w:rPr>
                <w:sz w:val="22"/>
              </w:rPr>
            </w:pPr>
            <w:r>
              <w:rPr>
                <w:sz w:val="22"/>
              </w:rPr>
              <w:t>The possible values for this attribute are defined by the </w:t>
            </w:r>
            <w:r>
              <w:rPr>
                <w:rFonts w:ascii="Cambria" w:hAnsi="Cambria"/>
                <w:sz w:val="22"/>
              </w:rPr>
              <w:t>ST_PageOrder </w:t>
            </w:r>
            <w:r>
              <w:rPr>
                <w:sz w:val="22"/>
              </w:rPr>
              <w:t>simple type </w:t>
            </w:r>
            <w:hyperlink w:history="true" w:anchor="_bookmark873">
              <w:r>
                <w:rPr>
                  <w:sz w:val="22"/>
                </w:rPr>
                <w:t>(§18.18.51</w:t>
              </w:r>
            </w:hyperlink>
            <w:r>
              <w:rPr>
                <w:sz w:val="22"/>
              </w:rPr>
              <w:t>).</w:t>
            </w:r>
          </w:p>
        </w:tc>
      </w:tr>
      <w:tr>
        <w:trPr>
          <w:trHeight w:val="1967" w:hRule="atLeast"/>
        </w:trPr>
        <w:tc>
          <w:tcPr>
            <w:tcW w:w="2062" w:type="dxa"/>
          </w:tcPr>
          <w:p>
            <w:pPr>
              <w:pStyle w:val="TableParagraph"/>
              <w:spacing w:line="237" w:lineRule="auto" w:before="44"/>
              <w:ind w:right="106"/>
              <w:rPr>
                <w:sz w:val="22"/>
              </w:rPr>
            </w:pPr>
            <w:r>
              <w:rPr>
                <w:rFonts w:ascii="Cambria"/>
                <w:sz w:val="22"/>
              </w:rPr>
              <w:t>paperHeight </w:t>
            </w:r>
            <w:r>
              <w:rPr>
                <w:sz w:val="22"/>
              </w:rPr>
              <w:t>(Paper Height)</w:t>
            </w:r>
          </w:p>
        </w:tc>
        <w:tc>
          <w:tcPr>
            <w:tcW w:w="8250" w:type="dxa"/>
          </w:tcPr>
          <w:p>
            <w:pPr>
              <w:pStyle w:val="TableParagraph"/>
              <w:spacing w:line="267" w:lineRule="exact" w:before="42"/>
              <w:rPr>
                <w:rFonts w:ascii="Consolas"/>
                <w:sz w:val="20"/>
              </w:rPr>
            </w:pPr>
            <w:r>
              <w:rPr>
                <w:sz w:val="22"/>
              </w:rPr>
              <w:t>Height of custom paper as a number followed by a unit identifier. [</w:t>
            </w:r>
            <w:r>
              <w:rPr>
                <w:i/>
                <w:sz w:val="22"/>
              </w:rPr>
              <w:t>Example</w:t>
            </w:r>
            <w:r>
              <w:rPr>
                <w:sz w:val="22"/>
              </w:rPr>
              <w:t>: </w:t>
            </w:r>
            <w:r>
              <w:rPr>
                <w:rFonts w:ascii="Consolas"/>
                <w:sz w:val="20"/>
              </w:rPr>
              <w:t>297mm</w:t>
            </w:r>
            <w:r>
              <w:rPr>
                <w:sz w:val="22"/>
              </w:rPr>
              <w:t>, </w:t>
            </w:r>
            <w:r>
              <w:rPr>
                <w:rFonts w:ascii="Consolas"/>
                <w:sz w:val="20"/>
              </w:rPr>
              <w:t>11in</w:t>
            </w:r>
          </w:p>
          <w:p>
            <w:pPr>
              <w:pStyle w:val="TableParagraph"/>
              <w:spacing w:line="267" w:lineRule="exact"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rPr>
                <w:sz w:val="22"/>
              </w:rPr>
            </w:pPr>
            <w:r>
              <w:rPr>
                <w:sz w:val="22"/>
              </w:rPr>
              <w:t>When </w:t>
            </w:r>
            <w:r>
              <w:rPr>
                <w:rFonts w:ascii="Cambria"/>
                <w:sz w:val="22"/>
              </w:rPr>
              <w:t>paperHeight </w:t>
            </w:r>
            <w:r>
              <w:rPr>
                <w:sz w:val="22"/>
              </w:rPr>
              <w:t>and </w:t>
            </w:r>
            <w:r>
              <w:rPr>
                <w:rFonts w:ascii="Cambria"/>
                <w:sz w:val="22"/>
              </w:rPr>
              <w:t>paperWidth </w:t>
            </w:r>
            <w:r>
              <w:rPr>
                <w:sz w:val="22"/>
              </w:rPr>
              <w:t>are specified, </w:t>
            </w:r>
            <w:r>
              <w:rPr>
                <w:rFonts w:ascii="Cambria"/>
                <w:sz w:val="22"/>
              </w:rPr>
              <w:t>paperSize </w:t>
            </w:r>
            <w:r>
              <w:rPr>
                <w:sz w:val="22"/>
              </w:rPr>
              <w:t>shall be ignored.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t>
            </w:r>
            <w:r>
              <w:rPr>
                <w:rFonts w:ascii="Cambria"/>
                <w:sz w:val="22"/>
              </w:rPr>
              <w:t>ST_PositiveUniversalMeasure</w:t>
            </w:r>
          </w:p>
          <w:p>
            <w:pPr>
              <w:pStyle w:val="TableParagraph"/>
              <w:spacing w:before="0"/>
              <w:rPr>
                <w:sz w:val="22"/>
              </w:rPr>
            </w:pPr>
            <w:r>
              <w:rPr>
                <w:sz w:val="22"/>
              </w:rPr>
              <w:t>simple type (§22.9.2.12).</w:t>
            </w:r>
          </w:p>
        </w:tc>
      </w:tr>
      <w:tr>
        <w:trPr>
          <w:trHeight w:val="5726" w:hRule="atLeast"/>
        </w:trPr>
        <w:tc>
          <w:tcPr>
            <w:tcW w:w="2062" w:type="dxa"/>
          </w:tcPr>
          <w:p>
            <w:pPr>
              <w:pStyle w:val="TableParagraph"/>
              <w:ind w:right="353"/>
              <w:rPr>
                <w:sz w:val="22"/>
              </w:rPr>
            </w:pPr>
            <w:r>
              <w:rPr>
                <w:rFonts w:ascii="Cambria"/>
                <w:sz w:val="22"/>
              </w:rPr>
              <w:t>paperSize </w:t>
            </w:r>
            <w:r>
              <w:rPr>
                <w:sz w:val="22"/>
              </w:rPr>
              <w:t>(Paper Size)</w:t>
            </w:r>
          </w:p>
        </w:tc>
        <w:tc>
          <w:tcPr>
            <w:tcW w:w="8250" w:type="dxa"/>
          </w:tcPr>
          <w:p>
            <w:pPr>
              <w:pStyle w:val="TableParagraph"/>
              <w:rPr>
                <w:sz w:val="22"/>
              </w:rPr>
            </w:pPr>
            <w:r>
              <w:rPr>
                <w:sz w:val="22"/>
              </w:rPr>
              <w:t>Paper size</w:t>
            </w:r>
          </w:p>
          <w:p>
            <w:pPr>
              <w:pStyle w:val="TableParagraph"/>
              <w:spacing w:before="0"/>
              <w:rPr>
                <w:sz w:val="22"/>
              </w:rPr>
            </w:pPr>
            <w:r>
              <w:rPr>
                <w:sz w:val="22"/>
              </w:rPr>
              <w:t>1 = Letter paper (8.5 in. by 11 in.)</w:t>
            </w:r>
          </w:p>
          <w:p>
            <w:pPr>
              <w:pStyle w:val="TableParagraph"/>
              <w:spacing w:before="1"/>
              <w:ind w:right="4616"/>
              <w:rPr>
                <w:sz w:val="22"/>
              </w:rPr>
            </w:pPr>
            <w:r>
              <w:rPr>
                <w:sz w:val="22"/>
              </w:rPr>
              <w:t>2 = Letter small paper (8.5 in. by 11 in.) 3 = Tabloid paper (11 in. by 17 in.)</w:t>
            </w:r>
          </w:p>
          <w:p>
            <w:pPr>
              <w:pStyle w:val="TableParagraph"/>
              <w:spacing w:line="267" w:lineRule="exact" w:before="0"/>
              <w:rPr>
                <w:sz w:val="22"/>
              </w:rPr>
            </w:pPr>
            <w:r>
              <w:rPr>
                <w:sz w:val="22"/>
              </w:rPr>
              <w:t>4 = Ledger paper (17 in. by 11 in.)</w:t>
            </w:r>
          </w:p>
          <w:p>
            <w:pPr>
              <w:pStyle w:val="TableParagraph"/>
              <w:spacing w:before="0"/>
              <w:rPr>
                <w:sz w:val="22"/>
              </w:rPr>
            </w:pPr>
            <w:r>
              <w:rPr>
                <w:sz w:val="22"/>
              </w:rPr>
              <w:t>5 = Legal paper (8.5 in. by 14 in.)</w:t>
            </w:r>
          </w:p>
          <w:p>
            <w:pPr>
              <w:pStyle w:val="TableParagraph"/>
              <w:spacing w:before="0"/>
              <w:rPr>
                <w:sz w:val="22"/>
              </w:rPr>
            </w:pPr>
            <w:r>
              <w:rPr>
                <w:sz w:val="22"/>
              </w:rPr>
              <w:t>6 = Statement paper (5.5 in. by 8.5 in.)</w:t>
            </w:r>
          </w:p>
          <w:p>
            <w:pPr>
              <w:pStyle w:val="TableParagraph"/>
              <w:spacing w:before="0"/>
              <w:rPr>
                <w:sz w:val="22"/>
              </w:rPr>
            </w:pPr>
            <w:r>
              <w:rPr>
                <w:sz w:val="22"/>
              </w:rPr>
              <w:t>7 = Executive paper (7.25 in. by 10.5 in.)</w:t>
            </w:r>
          </w:p>
          <w:p>
            <w:pPr>
              <w:pStyle w:val="TableParagraph"/>
              <w:spacing w:before="0"/>
              <w:rPr>
                <w:sz w:val="22"/>
              </w:rPr>
            </w:pPr>
            <w:r>
              <w:rPr>
                <w:sz w:val="22"/>
              </w:rPr>
              <w:t>8 = A3 paper (297 mm by 420</w:t>
            </w:r>
            <w:r>
              <w:rPr>
                <w:spacing w:val="-17"/>
                <w:sz w:val="22"/>
              </w:rPr>
              <w:t> </w:t>
            </w:r>
            <w:r>
              <w:rPr>
                <w:sz w:val="22"/>
              </w:rPr>
              <w:t>mm)</w:t>
            </w:r>
          </w:p>
          <w:p>
            <w:pPr>
              <w:pStyle w:val="TableParagraph"/>
              <w:spacing w:before="1"/>
              <w:rPr>
                <w:sz w:val="22"/>
              </w:rPr>
            </w:pPr>
            <w:r>
              <w:rPr>
                <w:sz w:val="22"/>
              </w:rPr>
              <w:t>9 = A4 paper (210 mm by 297</w:t>
            </w:r>
            <w:r>
              <w:rPr>
                <w:spacing w:val="-17"/>
                <w:sz w:val="22"/>
              </w:rPr>
              <w:t> </w:t>
            </w:r>
            <w:r>
              <w:rPr>
                <w:sz w:val="22"/>
              </w:rPr>
              <w:t>mm)</w:t>
            </w:r>
          </w:p>
          <w:p>
            <w:pPr>
              <w:pStyle w:val="TableParagraph"/>
              <w:spacing w:before="0"/>
              <w:ind w:right="4374"/>
              <w:rPr>
                <w:sz w:val="22"/>
              </w:rPr>
            </w:pPr>
            <w:r>
              <w:rPr>
                <w:sz w:val="22"/>
              </w:rPr>
              <w:t>10 = A4 small paper (210 mm by 297 mm) 11 = A5 paper (148 mm by 210</w:t>
            </w:r>
            <w:r>
              <w:rPr>
                <w:spacing w:val="-14"/>
                <w:sz w:val="22"/>
              </w:rPr>
              <w:t> </w:t>
            </w:r>
            <w:r>
              <w:rPr>
                <w:sz w:val="22"/>
              </w:rPr>
              <w:t>mm)</w:t>
            </w:r>
          </w:p>
          <w:p>
            <w:pPr>
              <w:pStyle w:val="TableParagraph"/>
              <w:spacing w:line="268" w:lineRule="exact" w:before="0"/>
              <w:rPr>
                <w:sz w:val="22"/>
              </w:rPr>
            </w:pPr>
            <w:r>
              <w:rPr>
                <w:sz w:val="22"/>
              </w:rPr>
              <w:t>12 = B4 paper (250 mm by 353</w:t>
            </w:r>
            <w:r>
              <w:rPr>
                <w:spacing w:val="-18"/>
                <w:sz w:val="22"/>
              </w:rPr>
              <w:t> </w:t>
            </w:r>
            <w:r>
              <w:rPr>
                <w:sz w:val="22"/>
              </w:rPr>
              <w:t>mm)</w:t>
            </w:r>
          </w:p>
          <w:p>
            <w:pPr>
              <w:pStyle w:val="TableParagraph"/>
              <w:spacing w:line="268" w:lineRule="exact" w:before="0"/>
              <w:rPr>
                <w:sz w:val="22"/>
              </w:rPr>
            </w:pPr>
            <w:r>
              <w:rPr>
                <w:sz w:val="22"/>
              </w:rPr>
              <w:t>13 = B5 paper (176 mm by 250</w:t>
            </w:r>
            <w:r>
              <w:rPr>
                <w:spacing w:val="-18"/>
                <w:sz w:val="22"/>
              </w:rPr>
              <w:t> </w:t>
            </w:r>
            <w:r>
              <w:rPr>
                <w:sz w:val="22"/>
              </w:rPr>
              <w:t>mm)</w:t>
            </w:r>
          </w:p>
          <w:p>
            <w:pPr>
              <w:pStyle w:val="TableParagraph"/>
              <w:spacing w:before="1"/>
              <w:rPr>
                <w:sz w:val="22"/>
              </w:rPr>
            </w:pPr>
            <w:r>
              <w:rPr>
                <w:sz w:val="22"/>
              </w:rPr>
              <w:t>14 = Folio paper (8.5 in. by 13 in.)</w:t>
            </w:r>
          </w:p>
          <w:p>
            <w:pPr>
              <w:pStyle w:val="TableParagraph"/>
              <w:spacing w:before="0"/>
              <w:rPr>
                <w:sz w:val="22"/>
              </w:rPr>
            </w:pPr>
            <w:r>
              <w:rPr>
                <w:sz w:val="22"/>
              </w:rPr>
              <w:t>15 = Quarto paper (215 mm by 275 mm)</w:t>
            </w:r>
          </w:p>
          <w:p>
            <w:pPr>
              <w:pStyle w:val="TableParagraph"/>
              <w:spacing w:before="0"/>
              <w:rPr>
                <w:sz w:val="22"/>
              </w:rPr>
            </w:pPr>
            <w:r>
              <w:rPr>
                <w:sz w:val="22"/>
              </w:rPr>
              <w:t>16 = Standard paper (10 in. by 14</w:t>
            </w:r>
            <w:r>
              <w:rPr>
                <w:spacing w:val="-14"/>
                <w:sz w:val="22"/>
              </w:rPr>
              <w:t> </w:t>
            </w:r>
            <w:r>
              <w:rPr>
                <w:sz w:val="22"/>
              </w:rPr>
              <w:t>in.)</w:t>
            </w:r>
          </w:p>
          <w:p>
            <w:pPr>
              <w:pStyle w:val="TableParagraph"/>
              <w:spacing w:before="0"/>
              <w:rPr>
                <w:sz w:val="22"/>
              </w:rPr>
            </w:pPr>
            <w:r>
              <w:rPr>
                <w:sz w:val="22"/>
              </w:rPr>
              <w:t>17 = Standard paper (11 in. by 17</w:t>
            </w:r>
            <w:r>
              <w:rPr>
                <w:spacing w:val="-15"/>
                <w:sz w:val="22"/>
              </w:rPr>
              <w:t> </w:t>
            </w:r>
            <w:r>
              <w:rPr>
                <w:sz w:val="22"/>
              </w:rPr>
              <w:t>in.)</w:t>
            </w:r>
          </w:p>
          <w:p>
            <w:pPr>
              <w:pStyle w:val="TableParagraph"/>
              <w:spacing w:before="1"/>
              <w:rPr>
                <w:sz w:val="22"/>
              </w:rPr>
            </w:pPr>
            <w:r>
              <w:rPr>
                <w:sz w:val="22"/>
              </w:rPr>
              <w:t>18 = Note paper (8.5 in. by 11 in.)</w:t>
            </w:r>
          </w:p>
          <w:p>
            <w:pPr>
              <w:pStyle w:val="TableParagraph"/>
              <w:spacing w:before="0"/>
              <w:rPr>
                <w:sz w:val="22"/>
              </w:rPr>
            </w:pPr>
            <w:r>
              <w:rPr>
                <w:sz w:val="22"/>
              </w:rPr>
              <w:t>19 = #9 envelope (3.875 in. by 8.875 in.)</w:t>
            </w:r>
          </w:p>
          <w:p>
            <w:pPr>
              <w:pStyle w:val="TableParagraph"/>
              <w:spacing w:before="0"/>
              <w:rPr>
                <w:sz w:val="22"/>
              </w:rPr>
            </w:pPr>
            <w:r>
              <w:rPr>
                <w:sz w:val="22"/>
              </w:rPr>
              <w:t>20 = #10 envelope (4.125 in. by 9.5 in.)</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2440"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21 = #11 envelope (4.5 in. by 10.375 in.)</w:t>
            </w:r>
          </w:p>
          <w:p>
            <w:pPr>
              <w:pStyle w:val="TableParagraph"/>
              <w:spacing w:before="0"/>
              <w:rPr>
                <w:sz w:val="22"/>
              </w:rPr>
            </w:pPr>
            <w:r>
              <w:rPr>
                <w:sz w:val="22"/>
              </w:rPr>
              <w:t>22 = #12 envelope (4.75 in. by 11 in.)</w:t>
            </w:r>
          </w:p>
          <w:p>
            <w:pPr>
              <w:pStyle w:val="TableParagraph"/>
              <w:spacing w:before="0"/>
              <w:rPr>
                <w:sz w:val="22"/>
              </w:rPr>
            </w:pPr>
            <w:r>
              <w:rPr>
                <w:sz w:val="22"/>
              </w:rPr>
              <w:t>23 = #14 envelope (5 in. by 11.5 in.)</w:t>
            </w:r>
          </w:p>
          <w:p>
            <w:pPr>
              <w:pStyle w:val="TableParagraph"/>
              <w:spacing w:before="0"/>
              <w:rPr>
                <w:sz w:val="22"/>
              </w:rPr>
            </w:pPr>
            <w:r>
              <w:rPr>
                <w:sz w:val="22"/>
              </w:rPr>
              <w:t>24 = C paper (17 in. by 22</w:t>
            </w:r>
            <w:r>
              <w:rPr>
                <w:spacing w:val="-15"/>
                <w:sz w:val="22"/>
              </w:rPr>
              <w:t> </w:t>
            </w:r>
            <w:r>
              <w:rPr>
                <w:sz w:val="22"/>
              </w:rPr>
              <w:t>in.)</w:t>
            </w:r>
          </w:p>
          <w:p>
            <w:pPr>
              <w:pStyle w:val="TableParagraph"/>
              <w:spacing w:line="267" w:lineRule="exact" w:before="1"/>
              <w:rPr>
                <w:sz w:val="22"/>
              </w:rPr>
            </w:pPr>
            <w:r>
              <w:rPr>
                <w:sz w:val="22"/>
              </w:rPr>
              <w:t>25 = D paper (22 in. by 34</w:t>
            </w:r>
            <w:r>
              <w:rPr>
                <w:spacing w:val="-16"/>
                <w:sz w:val="22"/>
              </w:rPr>
              <w:t> </w:t>
            </w:r>
            <w:r>
              <w:rPr>
                <w:sz w:val="22"/>
              </w:rPr>
              <w:t>in.)</w:t>
            </w:r>
          </w:p>
          <w:p>
            <w:pPr>
              <w:pStyle w:val="TableParagraph"/>
              <w:spacing w:line="267" w:lineRule="exact" w:before="0"/>
              <w:rPr>
                <w:sz w:val="22"/>
              </w:rPr>
            </w:pPr>
            <w:r>
              <w:rPr>
                <w:sz w:val="22"/>
              </w:rPr>
              <w:t>26 = E paper (34 in. by 44</w:t>
            </w:r>
            <w:r>
              <w:rPr>
                <w:spacing w:val="-14"/>
                <w:sz w:val="22"/>
              </w:rPr>
              <w:t> </w:t>
            </w:r>
            <w:r>
              <w:rPr>
                <w:sz w:val="22"/>
              </w:rPr>
              <w:t>in.)</w:t>
            </w:r>
          </w:p>
          <w:p>
            <w:pPr>
              <w:pStyle w:val="TableParagraph"/>
              <w:spacing w:before="0"/>
              <w:rPr>
                <w:sz w:val="22"/>
              </w:rPr>
            </w:pPr>
            <w:r>
              <w:rPr>
                <w:sz w:val="22"/>
              </w:rPr>
              <w:t>27 = DL envelope (110 mm by 220</w:t>
            </w:r>
            <w:r>
              <w:rPr>
                <w:spacing w:val="-15"/>
                <w:sz w:val="22"/>
              </w:rPr>
              <w:t> </w:t>
            </w:r>
            <w:r>
              <w:rPr>
                <w:sz w:val="22"/>
              </w:rPr>
              <w:t>mm)</w:t>
            </w:r>
          </w:p>
          <w:p>
            <w:pPr>
              <w:pStyle w:val="TableParagraph"/>
              <w:spacing w:before="0"/>
              <w:rPr>
                <w:sz w:val="22"/>
              </w:rPr>
            </w:pPr>
            <w:r>
              <w:rPr>
                <w:sz w:val="22"/>
              </w:rPr>
              <w:t>28 = C5 envelope (162 mm by 229</w:t>
            </w:r>
            <w:r>
              <w:rPr>
                <w:spacing w:val="-17"/>
                <w:sz w:val="22"/>
              </w:rPr>
              <w:t> </w:t>
            </w:r>
            <w:r>
              <w:rPr>
                <w:sz w:val="22"/>
              </w:rPr>
              <w:t>mm)</w:t>
            </w:r>
          </w:p>
          <w:p>
            <w:pPr>
              <w:pStyle w:val="TableParagraph"/>
              <w:spacing w:before="0"/>
              <w:rPr>
                <w:sz w:val="22"/>
              </w:rPr>
            </w:pPr>
            <w:r>
              <w:rPr>
                <w:sz w:val="22"/>
              </w:rPr>
              <w:t>29 = C3 envelope (324 mm by 458</w:t>
            </w:r>
            <w:r>
              <w:rPr>
                <w:spacing w:val="-17"/>
                <w:sz w:val="22"/>
              </w:rPr>
              <w:t> </w:t>
            </w:r>
            <w:r>
              <w:rPr>
                <w:sz w:val="22"/>
              </w:rPr>
              <w:t>mm)</w:t>
            </w:r>
          </w:p>
          <w:p>
            <w:pPr>
              <w:pStyle w:val="TableParagraph"/>
              <w:spacing w:before="1"/>
              <w:rPr>
                <w:sz w:val="22"/>
              </w:rPr>
            </w:pPr>
            <w:r>
              <w:rPr>
                <w:sz w:val="22"/>
              </w:rPr>
              <w:t>30 = C4 envelope (229 mm by 324</w:t>
            </w:r>
            <w:r>
              <w:rPr>
                <w:spacing w:val="-17"/>
                <w:sz w:val="22"/>
              </w:rPr>
              <w:t> </w:t>
            </w:r>
            <w:r>
              <w:rPr>
                <w:sz w:val="22"/>
              </w:rPr>
              <w:t>mm)</w:t>
            </w:r>
          </w:p>
          <w:p>
            <w:pPr>
              <w:pStyle w:val="TableParagraph"/>
              <w:spacing w:before="0"/>
              <w:rPr>
                <w:sz w:val="22"/>
              </w:rPr>
            </w:pPr>
            <w:r>
              <w:rPr>
                <w:sz w:val="22"/>
              </w:rPr>
              <w:t>31 = C6 envelope (114 mm by 162</w:t>
            </w:r>
            <w:r>
              <w:rPr>
                <w:spacing w:val="-17"/>
                <w:sz w:val="22"/>
              </w:rPr>
              <w:t> </w:t>
            </w:r>
            <w:r>
              <w:rPr>
                <w:sz w:val="22"/>
              </w:rPr>
              <w:t>mm)</w:t>
            </w:r>
          </w:p>
          <w:p>
            <w:pPr>
              <w:pStyle w:val="TableParagraph"/>
              <w:spacing w:before="0"/>
              <w:rPr>
                <w:sz w:val="22"/>
              </w:rPr>
            </w:pPr>
            <w:r>
              <w:rPr>
                <w:sz w:val="22"/>
              </w:rPr>
              <w:t>32 = C65 envelope (114 mm by 229 mm)</w:t>
            </w:r>
          </w:p>
          <w:p>
            <w:pPr>
              <w:pStyle w:val="TableParagraph"/>
              <w:spacing w:before="1"/>
              <w:rPr>
                <w:sz w:val="22"/>
              </w:rPr>
            </w:pPr>
            <w:r>
              <w:rPr>
                <w:sz w:val="22"/>
              </w:rPr>
              <w:t>33 = B4 envelope (250 mm by 353</w:t>
            </w:r>
            <w:r>
              <w:rPr>
                <w:spacing w:val="-17"/>
                <w:sz w:val="22"/>
              </w:rPr>
              <w:t> </w:t>
            </w:r>
            <w:r>
              <w:rPr>
                <w:sz w:val="22"/>
              </w:rPr>
              <w:t>mm)</w:t>
            </w:r>
          </w:p>
          <w:p>
            <w:pPr>
              <w:pStyle w:val="TableParagraph"/>
              <w:spacing w:before="0"/>
              <w:rPr>
                <w:sz w:val="22"/>
              </w:rPr>
            </w:pPr>
            <w:r>
              <w:rPr>
                <w:sz w:val="22"/>
              </w:rPr>
              <w:t>34 = B5 envelope (176 mm by 250</w:t>
            </w:r>
            <w:r>
              <w:rPr>
                <w:spacing w:val="-17"/>
                <w:sz w:val="22"/>
              </w:rPr>
              <w:t> </w:t>
            </w:r>
            <w:r>
              <w:rPr>
                <w:sz w:val="22"/>
              </w:rPr>
              <w:t>mm)</w:t>
            </w:r>
          </w:p>
          <w:p>
            <w:pPr>
              <w:pStyle w:val="TableParagraph"/>
              <w:spacing w:line="267" w:lineRule="exact" w:before="0"/>
              <w:rPr>
                <w:sz w:val="22"/>
              </w:rPr>
            </w:pPr>
            <w:r>
              <w:rPr>
                <w:sz w:val="22"/>
              </w:rPr>
              <w:t>35 = B6 envelope (176 mm by 125</w:t>
            </w:r>
            <w:r>
              <w:rPr>
                <w:spacing w:val="-17"/>
                <w:sz w:val="22"/>
              </w:rPr>
              <w:t> </w:t>
            </w:r>
            <w:r>
              <w:rPr>
                <w:sz w:val="22"/>
              </w:rPr>
              <w:t>mm)</w:t>
            </w:r>
          </w:p>
          <w:p>
            <w:pPr>
              <w:pStyle w:val="TableParagraph"/>
              <w:spacing w:line="267" w:lineRule="exact" w:before="0"/>
              <w:rPr>
                <w:sz w:val="22"/>
              </w:rPr>
            </w:pPr>
            <w:r>
              <w:rPr>
                <w:sz w:val="22"/>
              </w:rPr>
              <w:t>36 = Italy envelope (110 mm by 230 mm)</w:t>
            </w:r>
          </w:p>
          <w:p>
            <w:pPr>
              <w:pStyle w:val="TableParagraph"/>
              <w:spacing w:before="1"/>
              <w:rPr>
                <w:sz w:val="22"/>
              </w:rPr>
            </w:pPr>
            <w:r>
              <w:rPr>
                <w:sz w:val="22"/>
              </w:rPr>
              <w:t>37 = Monarch envelope (3.875 in. by 7.5 in.).</w:t>
            </w:r>
          </w:p>
          <w:p>
            <w:pPr>
              <w:pStyle w:val="TableParagraph"/>
              <w:spacing w:before="0"/>
              <w:rPr>
                <w:sz w:val="22"/>
              </w:rPr>
            </w:pPr>
            <w:r>
              <w:rPr>
                <w:sz w:val="22"/>
              </w:rPr>
              <w:t>38 = 6 3/4 envelope (3.625 in. by 6.5 in.)</w:t>
            </w:r>
          </w:p>
          <w:p>
            <w:pPr>
              <w:pStyle w:val="TableParagraph"/>
              <w:spacing w:before="0"/>
              <w:ind w:right="3878"/>
              <w:rPr>
                <w:sz w:val="22"/>
              </w:rPr>
            </w:pPr>
            <w:r>
              <w:rPr>
                <w:sz w:val="22"/>
              </w:rPr>
              <w:t>39 = US standard fanfold (14.875 in. by 11 in.) 40 = German standard fanfold (8.5 in. by 12 in.) 41 = German legal fanfold (8.5 in. by 13 in.)</w:t>
            </w:r>
          </w:p>
          <w:p>
            <w:pPr>
              <w:pStyle w:val="TableParagraph"/>
              <w:spacing w:before="1"/>
              <w:rPr>
                <w:sz w:val="22"/>
              </w:rPr>
            </w:pPr>
            <w:r>
              <w:rPr>
                <w:sz w:val="22"/>
              </w:rPr>
              <w:t>42 = ISO B4 (250 mm by 353 mm)</w:t>
            </w:r>
          </w:p>
          <w:p>
            <w:pPr>
              <w:pStyle w:val="TableParagraph"/>
              <w:spacing w:before="0"/>
              <w:ind w:right="3382"/>
              <w:rPr>
                <w:sz w:val="22"/>
              </w:rPr>
            </w:pPr>
            <w:r>
              <w:rPr>
                <w:sz w:val="22"/>
              </w:rPr>
              <w:t>43 = Japanese double postcard (200 mm by 148 mm) 44 = Standard paper (9 in. by 11 in.)</w:t>
            </w:r>
          </w:p>
          <w:p>
            <w:pPr>
              <w:pStyle w:val="TableParagraph"/>
              <w:spacing w:line="268" w:lineRule="exact" w:before="1"/>
              <w:rPr>
                <w:sz w:val="22"/>
              </w:rPr>
            </w:pPr>
            <w:r>
              <w:rPr>
                <w:sz w:val="22"/>
              </w:rPr>
              <w:t>45 = Standard paper (10 in. by 11</w:t>
            </w:r>
            <w:r>
              <w:rPr>
                <w:spacing w:val="-15"/>
                <w:sz w:val="22"/>
              </w:rPr>
              <w:t> </w:t>
            </w:r>
            <w:r>
              <w:rPr>
                <w:sz w:val="22"/>
              </w:rPr>
              <w:t>in.)</w:t>
            </w:r>
          </w:p>
          <w:p>
            <w:pPr>
              <w:pStyle w:val="TableParagraph"/>
              <w:spacing w:line="268" w:lineRule="exact" w:before="0"/>
              <w:rPr>
                <w:sz w:val="22"/>
              </w:rPr>
            </w:pPr>
            <w:r>
              <w:rPr>
                <w:sz w:val="22"/>
              </w:rPr>
              <w:t>46 = Standard paper (15 in. by 11</w:t>
            </w:r>
            <w:r>
              <w:rPr>
                <w:spacing w:val="-13"/>
                <w:sz w:val="22"/>
              </w:rPr>
              <w:t> </w:t>
            </w:r>
            <w:r>
              <w:rPr>
                <w:sz w:val="22"/>
              </w:rPr>
              <w:t>in.)</w:t>
            </w:r>
          </w:p>
          <w:p>
            <w:pPr>
              <w:pStyle w:val="TableParagraph"/>
              <w:spacing w:before="0"/>
              <w:ind w:right="4164"/>
              <w:rPr>
                <w:sz w:val="22"/>
              </w:rPr>
            </w:pPr>
            <w:r>
              <w:rPr>
                <w:sz w:val="22"/>
              </w:rPr>
              <w:t>47 = Invite envelope (220 mm by 220 mm) 50 = Letter extra paper (9.275 in. by 12 in.) 51 = Legal extra paper (9.275 in. by 15 in.) 52 = Tabloid extra paper (11.69 in. by 18 in.) 53 = A4 extra paper (236 mm by 322 mm)</w:t>
            </w:r>
          </w:p>
          <w:p>
            <w:pPr>
              <w:pStyle w:val="TableParagraph"/>
              <w:spacing w:before="1"/>
              <w:ind w:right="3811"/>
              <w:rPr>
                <w:sz w:val="22"/>
              </w:rPr>
            </w:pPr>
            <w:r>
              <w:rPr>
                <w:sz w:val="22"/>
              </w:rPr>
              <w:t>54 = Letter transverse paper (8.275 in. by 11 in.) 55 = A4 transverse paper (210 mm by 297 mm)</w:t>
            </w:r>
          </w:p>
          <w:p>
            <w:pPr>
              <w:pStyle w:val="TableParagraph"/>
              <w:spacing w:before="1"/>
              <w:ind w:right="3301"/>
              <w:rPr>
                <w:sz w:val="22"/>
              </w:rPr>
            </w:pPr>
            <w:r>
              <w:rPr>
                <w:sz w:val="22"/>
              </w:rPr>
              <w:t>56 = Letter extra transverse paper (9.275 in. by 12 in.) 57 = SuperA/SuperA/A4 paper (227 mm by 356 mm)</w:t>
            </w:r>
          </w:p>
          <w:p>
            <w:pPr>
              <w:pStyle w:val="TableParagraph"/>
              <w:spacing w:before="0"/>
              <w:ind w:right="3446"/>
              <w:rPr>
                <w:sz w:val="22"/>
              </w:rPr>
            </w:pPr>
            <w:r>
              <w:rPr>
                <w:sz w:val="22"/>
              </w:rPr>
              <w:t>58 = SuperB/SuperB/A3 paper (305 mm by 487 mm) 59 = Letter plus paper (8.5 in. by 12.69 in.)</w:t>
            </w:r>
          </w:p>
          <w:p>
            <w:pPr>
              <w:pStyle w:val="TableParagraph"/>
              <w:spacing w:before="0"/>
              <w:rPr>
                <w:sz w:val="22"/>
              </w:rPr>
            </w:pPr>
            <w:r>
              <w:rPr>
                <w:sz w:val="22"/>
              </w:rPr>
              <w:t>60 = A4 plus paper (210 mm by 330 mm)</w:t>
            </w:r>
          </w:p>
          <w:p>
            <w:pPr>
              <w:pStyle w:val="TableParagraph"/>
              <w:spacing w:before="0"/>
              <w:ind w:right="3651"/>
              <w:rPr>
                <w:sz w:val="22"/>
              </w:rPr>
            </w:pPr>
            <w:r>
              <w:rPr>
                <w:sz w:val="22"/>
              </w:rPr>
              <w:t>61 = A5 transverse paper (148 mm by 210 mm)  62 = JIS B5 transverse paper (182 mm by 257 mm) 63 = A3 extra paper (322 mm by 445</w:t>
            </w:r>
            <w:r>
              <w:rPr>
                <w:spacing w:val="-12"/>
                <w:sz w:val="22"/>
              </w:rPr>
              <w:t> </w:t>
            </w:r>
            <w:r>
              <w:rPr>
                <w:sz w:val="22"/>
              </w:rPr>
              <w:t>mm)</w:t>
            </w:r>
          </w:p>
          <w:p>
            <w:pPr>
              <w:pStyle w:val="TableParagraph"/>
              <w:spacing w:before="0"/>
              <w:rPr>
                <w:sz w:val="22"/>
              </w:rPr>
            </w:pPr>
            <w:r>
              <w:rPr>
                <w:sz w:val="22"/>
              </w:rPr>
              <w:t>64 = A5 extra paper (174 mm by 235</w:t>
            </w:r>
            <w:r>
              <w:rPr>
                <w:spacing w:val="-14"/>
                <w:sz w:val="22"/>
              </w:rPr>
              <w:t> </w:t>
            </w:r>
            <w:r>
              <w:rPr>
                <w:sz w:val="22"/>
              </w:rPr>
              <w:t>mm)</w:t>
            </w:r>
          </w:p>
          <w:p>
            <w:pPr>
              <w:pStyle w:val="TableParagraph"/>
              <w:spacing w:before="0"/>
              <w:ind w:right="4037"/>
              <w:rPr>
                <w:sz w:val="22"/>
              </w:rPr>
            </w:pPr>
            <w:r>
              <w:rPr>
                <w:sz w:val="22"/>
              </w:rPr>
              <w:t>65 = ISO B5 extra paper (201 mm by 276 mm) 66 = A2 paper (420 mm by 594 mm)</w:t>
            </w:r>
          </w:p>
          <w:p>
            <w:pPr>
              <w:pStyle w:val="TableParagraph"/>
              <w:spacing w:line="267" w:lineRule="exact" w:before="0"/>
              <w:rPr>
                <w:sz w:val="22"/>
              </w:rPr>
            </w:pPr>
            <w:r>
              <w:rPr>
                <w:sz w:val="22"/>
              </w:rPr>
              <w:t>67 = A3 transverse paper (297 mm by 420 mm)</w:t>
            </w:r>
          </w:p>
          <w:p>
            <w:pPr>
              <w:pStyle w:val="TableParagraph"/>
              <w:spacing w:before="0"/>
              <w:rPr>
                <w:sz w:val="22"/>
              </w:rPr>
            </w:pPr>
            <w:r>
              <w:rPr>
                <w:sz w:val="22"/>
              </w:rPr>
              <w:t>68 = A3 extra transverse paper (322 mm by 445 mm)</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2440" w:hRule="atLeast"/>
        </w:trPr>
        <w:tc>
          <w:tcPr>
            <w:tcW w:w="2062" w:type="dxa"/>
          </w:tcPr>
          <w:p>
            <w:pPr>
              <w:pStyle w:val="TableParagraph"/>
              <w:spacing w:before="0"/>
              <w:ind w:left="0"/>
              <w:rPr>
                <w:rFonts w:ascii="Times New Roman"/>
                <w:sz w:val="22"/>
              </w:rPr>
            </w:pPr>
          </w:p>
        </w:tc>
        <w:tc>
          <w:tcPr>
            <w:tcW w:w="8250" w:type="dxa"/>
          </w:tcPr>
          <w:p>
            <w:pPr>
              <w:pStyle w:val="TableParagraph"/>
              <w:ind w:right="3484"/>
              <w:rPr>
                <w:sz w:val="22"/>
              </w:rPr>
            </w:pPr>
            <w:r>
              <w:rPr>
                <w:sz w:val="22"/>
              </w:rPr>
              <w:t>69 = Japanese Double Postcard (200 mm x 148 mm) 70 = A6 (105 mm x 148 mm)</w:t>
            </w:r>
          </w:p>
          <w:p>
            <w:pPr>
              <w:pStyle w:val="TableParagraph"/>
              <w:spacing w:before="0"/>
              <w:rPr>
                <w:sz w:val="22"/>
              </w:rPr>
            </w:pPr>
            <w:r>
              <w:rPr>
                <w:sz w:val="22"/>
              </w:rPr>
              <w:t>71 = Japanese Envelope Kaku</w:t>
            </w:r>
            <w:r>
              <w:rPr>
                <w:spacing w:val="-7"/>
                <w:sz w:val="22"/>
              </w:rPr>
              <w:t> </w:t>
            </w:r>
            <w:r>
              <w:rPr>
                <w:sz w:val="22"/>
              </w:rPr>
              <w:t>#2</w:t>
            </w:r>
          </w:p>
          <w:p>
            <w:pPr>
              <w:pStyle w:val="TableParagraph"/>
              <w:spacing w:line="267" w:lineRule="exact" w:before="0"/>
              <w:rPr>
                <w:sz w:val="22"/>
              </w:rPr>
            </w:pPr>
            <w:r>
              <w:rPr>
                <w:sz w:val="22"/>
              </w:rPr>
              <w:t>72 = Japanese Envelope Kaku</w:t>
            </w:r>
            <w:r>
              <w:rPr>
                <w:spacing w:val="-8"/>
                <w:sz w:val="22"/>
              </w:rPr>
              <w:t> </w:t>
            </w:r>
            <w:r>
              <w:rPr>
                <w:sz w:val="22"/>
              </w:rPr>
              <w:t>#3</w:t>
            </w:r>
          </w:p>
          <w:p>
            <w:pPr>
              <w:pStyle w:val="TableParagraph"/>
              <w:spacing w:line="267" w:lineRule="exact" w:before="0"/>
              <w:rPr>
                <w:sz w:val="22"/>
              </w:rPr>
            </w:pPr>
            <w:r>
              <w:rPr>
                <w:sz w:val="22"/>
              </w:rPr>
              <w:t>73 = Japanese Envelope Chou</w:t>
            </w:r>
            <w:r>
              <w:rPr>
                <w:spacing w:val="-10"/>
                <w:sz w:val="22"/>
              </w:rPr>
              <w:t> </w:t>
            </w:r>
            <w:r>
              <w:rPr>
                <w:sz w:val="22"/>
              </w:rPr>
              <w:t>#3</w:t>
            </w:r>
          </w:p>
          <w:p>
            <w:pPr>
              <w:pStyle w:val="TableParagraph"/>
              <w:spacing w:before="1"/>
              <w:rPr>
                <w:sz w:val="22"/>
              </w:rPr>
            </w:pPr>
            <w:r>
              <w:rPr>
                <w:sz w:val="22"/>
              </w:rPr>
              <w:t>74 = Japanese Envelope Chou</w:t>
            </w:r>
            <w:r>
              <w:rPr>
                <w:spacing w:val="-10"/>
                <w:sz w:val="22"/>
              </w:rPr>
              <w:t> </w:t>
            </w:r>
            <w:r>
              <w:rPr>
                <w:sz w:val="22"/>
              </w:rPr>
              <w:t>#4</w:t>
            </w:r>
          </w:p>
          <w:p>
            <w:pPr>
              <w:pStyle w:val="TableParagraph"/>
              <w:spacing w:before="0"/>
              <w:ind w:right="4649"/>
              <w:rPr>
                <w:sz w:val="22"/>
              </w:rPr>
            </w:pPr>
            <w:r>
              <w:rPr>
                <w:sz w:val="22"/>
              </w:rPr>
              <w:t>75 = Letter Rotated (11in x 8 1/2 11 in) 76 = A3 Rotated (420 mm x 297</w:t>
            </w:r>
            <w:r>
              <w:rPr>
                <w:spacing w:val="-13"/>
                <w:sz w:val="22"/>
              </w:rPr>
              <w:t> </w:t>
            </w:r>
            <w:r>
              <w:rPr>
                <w:sz w:val="22"/>
              </w:rPr>
              <w:t>mm)</w:t>
            </w:r>
          </w:p>
          <w:p>
            <w:pPr>
              <w:pStyle w:val="TableParagraph"/>
              <w:spacing w:before="0"/>
              <w:rPr>
                <w:sz w:val="22"/>
              </w:rPr>
            </w:pPr>
            <w:r>
              <w:rPr>
                <w:sz w:val="22"/>
              </w:rPr>
              <w:t>77 = A4 Rotated (297 mm x 210</w:t>
            </w:r>
            <w:r>
              <w:rPr>
                <w:spacing w:val="-13"/>
                <w:sz w:val="22"/>
              </w:rPr>
              <w:t> </w:t>
            </w:r>
            <w:r>
              <w:rPr>
                <w:sz w:val="22"/>
              </w:rPr>
              <w:t>mm)</w:t>
            </w:r>
          </w:p>
          <w:p>
            <w:pPr>
              <w:pStyle w:val="TableParagraph"/>
              <w:spacing w:before="1"/>
              <w:rPr>
                <w:sz w:val="22"/>
              </w:rPr>
            </w:pPr>
            <w:r>
              <w:rPr>
                <w:sz w:val="22"/>
              </w:rPr>
              <w:t>78 = A5 Rotated (210 mm x 148</w:t>
            </w:r>
            <w:r>
              <w:rPr>
                <w:spacing w:val="-13"/>
                <w:sz w:val="22"/>
              </w:rPr>
              <w:t> </w:t>
            </w:r>
            <w:r>
              <w:rPr>
                <w:sz w:val="22"/>
              </w:rPr>
              <w:t>mm)</w:t>
            </w:r>
          </w:p>
          <w:p>
            <w:pPr>
              <w:pStyle w:val="TableParagraph"/>
              <w:spacing w:before="0"/>
              <w:ind w:right="4419"/>
              <w:rPr>
                <w:sz w:val="22"/>
              </w:rPr>
            </w:pPr>
            <w:r>
              <w:rPr>
                <w:sz w:val="22"/>
              </w:rPr>
              <w:t>79 = B4 (JIS) Rotated (364 mm x 257 mm) 80 = B5 (JIS) Rotated (257 mm x 182 mm)</w:t>
            </w:r>
          </w:p>
          <w:p>
            <w:pPr>
              <w:pStyle w:val="TableParagraph"/>
              <w:spacing w:before="1"/>
              <w:rPr>
                <w:sz w:val="22"/>
              </w:rPr>
            </w:pPr>
            <w:r>
              <w:rPr>
                <w:sz w:val="22"/>
              </w:rPr>
              <w:t>81 = Japanese Postcard Rotated (148 mm x 100 mm)</w:t>
            </w:r>
          </w:p>
          <w:p>
            <w:pPr>
              <w:pStyle w:val="TableParagraph"/>
              <w:spacing w:line="237" w:lineRule="auto" w:before="2"/>
              <w:ind w:right="2721"/>
              <w:rPr>
                <w:sz w:val="22"/>
              </w:rPr>
            </w:pPr>
            <w:r>
              <w:rPr>
                <w:sz w:val="22"/>
              </w:rPr>
              <w:t>82 = Double Japanese Postcard Rotated (148 mm x 200 mm) 83 = A6 Rotated (148 mm x 105 mm)</w:t>
            </w:r>
          </w:p>
          <w:p>
            <w:pPr>
              <w:pStyle w:val="TableParagraph"/>
              <w:spacing w:before="2"/>
              <w:ind w:right="4452"/>
              <w:jc w:val="both"/>
              <w:rPr>
                <w:sz w:val="22"/>
              </w:rPr>
            </w:pPr>
            <w:r>
              <w:rPr>
                <w:sz w:val="22"/>
              </w:rPr>
              <w:t>84 = Japanese Envelope Kaku #2 Rotated 85 = Japanese Envelope Kaku #3 Rotated 86 = Japanese Envelope Chou #3 Rotated 87 = Japanese Envelope Chou #4 Rotated 88 = B6 (JIS) (128 mm x 182 mm)</w:t>
            </w:r>
          </w:p>
          <w:p>
            <w:pPr>
              <w:pStyle w:val="TableParagraph"/>
              <w:spacing w:before="1"/>
              <w:ind w:right="4437"/>
              <w:jc w:val="both"/>
              <w:rPr>
                <w:sz w:val="22"/>
              </w:rPr>
            </w:pPr>
            <w:r>
              <w:rPr>
                <w:sz w:val="22"/>
              </w:rPr>
              <w:t>89 = B6 (JIS) Rotated (182 mm x 128 mm) 90 = (12 in x 11 in)</w:t>
            </w:r>
          </w:p>
          <w:p>
            <w:pPr>
              <w:pStyle w:val="TableParagraph"/>
              <w:spacing w:before="0"/>
              <w:jc w:val="both"/>
              <w:rPr>
                <w:sz w:val="22"/>
              </w:rPr>
            </w:pPr>
            <w:r>
              <w:rPr>
                <w:sz w:val="22"/>
              </w:rPr>
              <w:t>91 = Japanese Envelope You #4</w:t>
            </w:r>
          </w:p>
          <w:p>
            <w:pPr>
              <w:pStyle w:val="TableParagraph"/>
              <w:spacing w:line="237" w:lineRule="auto" w:before="3"/>
              <w:ind w:right="4560"/>
              <w:rPr>
                <w:sz w:val="22"/>
              </w:rPr>
            </w:pPr>
            <w:r>
              <w:rPr>
                <w:sz w:val="22"/>
              </w:rPr>
              <w:t>92 = Japanese Envelope You #4 Rotated 93 = PRC 16K (146 mm x 215 mm)</w:t>
            </w:r>
          </w:p>
          <w:p>
            <w:pPr>
              <w:pStyle w:val="TableParagraph"/>
              <w:spacing w:before="1"/>
              <w:rPr>
                <w:sz w:val="22"/>
              </w:rPr>
            </w:pPr>
            <w:r>
              <w:rPr>
                <w:sz w:val="22"/>
              </w:rPr>
              <w:t>94 = PRC 32K (97 mm x 151 mm)</w:t>
            </w:r>
          </w:p>
          <w:p>
            <w:pPr>
              <w:pStyle w:val="TableParagraph"/>
              <w:spacing w:before="1"/>
              <w:rPr>
                <w:sz w:val="22"/>
              </w:rPr>
            </w:pPr>
            <w:r>
              <w:rPr>
                <w:sz w:val="22"/>
              </w:rPr>
              <w:t>95 = PRC 32K(Big) (97 mm x 151 mm)</w:t>
            </w:r>
          </w:p>
          <w:p>
            <w:pPr>
              <w:pStyle w:val="TableParagraph"/>
              <w:spacing w:before="0"/>
              <w:rPr>
                <w:sz w:val="22"/>
              </w:rPr>
            </w:pPr>
            <w:r>
              <w:rPr>
                <w:sz w:val="22"/>
              </w:rPr>
              <w:t>96 = PRC Envelope #1 (102 mm x 165</w:t>
            </w:r>
            <w:r>
              <w:rPr>
                <w:spacing w:val="-18"/>
                <w:sz w:val="22"/>
              </w:rPr>
              <w:t> </w:t>
            </w:r>
            <w:r>
              <w:rPr>
                <w:sz w:val="22"/>
              </w:rPr>
              <w:t>mm)</w:t>
            </w:r>
          </w:p>
          <w:p>
            <w:pPr>
              <w:pStyle w:val="TableParagraph"/>
              <w:spacing w:before="0"/>
              <w:rPr>
                <w:sz w:val="22"/>
              </w:rPr>
            </w:pPr>
            <w:r>
              <w:rPr>
                <w:sz w:val="22"/>
              </w:rPr>
              <w:t>97 = PRC Envelope #2 (102 mm x 176</w:t>
            </w:r>
            <w:r>
              <w:rPr>
                <w:spacing w:val="-18"/>
                <w:sz w:val="22"/>
              </w:rPr>
              <w:t> </w:t>
            </w:r>
            <w:r>
              <w:rPr>
                <w:sz w:val="22"/>
              </w:rPr>
              <w:t>mm)</w:t>
            </w:r>
          </w:p>
          <w:p>
            <w:pPr>
              <w:pStyle w:val="TableParagraph"/>
              <w:spacing w:before="0"/>
              <w:rPr>
                <w:sz w:val="22"/>
              </w:rPr>
            </w:pPr>
            <w:r>
              <w:rPr>
                <w:sz w:val="22"/>
              </w:rPr>
              <w:t>98 = PRC Envelope #3 (125 mm x 176</w:t>
            </w:r>
            <w:r>
              <w:rPr>
                <w:spacing w:val="-18"/>
                <w:sz w:val="22"/>
              </w:rPr>
              <w:t> </w:t>
            </w:r>
            <w:r>
              <w:rPr>
                <w:sz w:val="22"/>
              </w:rPr>
              <w:t>mm)</w:t>
            </w:r>
          </w:p>
          <w:p>
            <w:pPr>
              <w:pStyle w:val="TableParagraph"/>
              <w:spacing w:before="1"/>
              <w:rPr>
                <w:sz w:val="22"/>
              </w:rPr>
            </w:pPr>
            <w:r>
              <w:rPr>
                <w:sz w:val="22"/>
              </w:rPr>
              <w:t>99 = PRC Envelope #4 (110 mm x 208</w:t>
            </w:r>
            <w:r>
              <w:rPr>
                <w:spacing w:val="-16"/>
                <w:sz w:val="22"/>
              </w:rPr>
              <w:t> </w:t>
            </w:r>
            <w:r>
              <w:rPr>
                <w:sz w:val="22"/>
              </w:rPr>
              <w:t>mm)</w:t>
            </w:r>
          </w:p>
          <w:p>
            <w:pPr>
              <w:pStyle w:val="TableParagraph"/>
              <w:spacing w:before="0"/>
              <w:rPr>
                <w:sz w:val="22"/>
              </w:rPr>
            </w:pPr>
            <w:r>
              <w:rPr>
                <w:sz w:val="22"/>
              </w:rPr>
              <w:t>100 = PRC Envelope #5 (110 mm x 220</w:t>
            </w:r>
            <w:r>
              <w:rPr>
                <w:spacing w:val="-17"/>
                <w:sz w:val="22"/>
              </w:rPr>
              <w:t> </w:t>
            </w:r>
            <w:r>
              <w:rPr>
                <w:sz w:val="22"/>
              </w:rPr>
              <w:t>mm)</w:t>
            </w:r>
          </w:p>
          <w:p>
            <w:pPr>
              <w:pStyle w:val="TableParagraph"/>
              <w:spacing w:before="0"/>
              <w:rPr>
                <w:sz w:val="22"/>
              </w:rPr>
            </w:pPr>
            <w:r>
              <w:rPr>
                <w:sz w:val="22"/>
              </w:rPr>
              <w:t>101 = PRC Envelope #6 (120 mm x 230</w:t>
            </w:r>
            <w:r>
              <w:rPr>
                <w:spacing w:val="-17"/>
                <w:sz w:val="22"/>
              </w:rPr>
              <w:t> </w:t>
            </w:r>
            <w:r>
              <w:rPr>
                <w:sz w:val="22"/>
              </w:rPr>
              <w:t>mm)</w:t>
            </w:r>
          </w:p>
          <w:p>
            <w:pPr>
              <w:pStyle w:val="TableParagraph"/>
              <w:spacing w:line="267" w:lineRule="exact" w:before="0"/>
              <w:rPr>
                <w:sz w:val="22"/>
              </w:rPr>
            </w:pPr>
            <w:r>
              <w:rPr>
                <w:sz w:val="22"/>
              </w:rPr>
              <w:t>102 = PRC Envelope #7 (160 mm x 230</w:t>
            </w:r>
            <w:r>
              <w:rPr>
                <w:spacing w:val="-17"/>
                <w:sz w:val="22"/>
              </w:rPr>
              <w:t> </w:t>
            </w:r>
            <w:r>
              <w:rPr>
                <w:sz w:val="22"/>
              </w:rPr>
              <w:t>mm)</w:t>
            </w:r>
          </w:p>
          <w:p>
            <w:pPr>
              <w:pStyle w:val="TableParagraph"/>
              <w:spacing w:line="267" w:lineRule="exact" w:before="0"/>
              <w:rPr>
                <w:sz w:val="22"/>
              </w:rPr>
            </w:pPr>
            <w:r>
              <w:rPr>
                <w:sz w:val="22"/>
              </w:rPr>
              <w:t>103 = PRC Envelope #8 (120 mm x 309</w:t>
            </w:r>
            <w:r>
              <w:rPr>
                <w:spacing w:val="-17"/>
                <w:sz w:val="22"/>
              </w:rPr>
              <w:t> </w:t>
            </w:r>
            <w:r>
              <w:rPr>
                <w:sz w:val="22"/>
              </w:rPr>
              <w:t>mm)</w:t>
            </w:r>
          </w:p>
          <w:p>
            <w:pPr>
              <w:pStyle w:val="TableParagraph"/>
              <w:spacing w:before="1"/>
              <w:rPr>
                <w:sz w:val="22"/>
              </w:rPr>
            </w:pPr>
            <w:r>
              <w:rPr>
                <w:sz w:val="22"/>
              </w:rPr>
              <w:t>104 = PRC Envelope #9 (229 mm x 324</w:t>
            </w:r>
            <w:r>
              <w:rPr>
                <w:spacing w:val="-17"/>
                <w:sz w:val="22"/>
              </w:rPr>
              <w:t> </w:t>
            </w:r>
            <w:r>
              <w:rPr>
                <w:sz w:val="22"/>
              </w:rPr>
              <w:t>mm)</w:t>
            </w:r>
          </w:p>
          <w:p>
            <w:pPr>
              <w:pStyle w:val="TableParagraph"/>
              <w:spacing w:before="0"/>
              <w:ind w:right="4106"/>
              <w:rPr>
                <w:sz w:val="22"/>
              </w:rPr>
            </w:pPr>
            <w:r>
              <w:rPr>
                <w:sz w:val="22"/>
              </w:rPr>
              <w:t>105 = PRC Envelope #10 (324 mm x 458 mm) 106 = PRC 16K</w:t>
            </w:r>
            <w:r>
              <w:rPr>
                <w:spacing w:val="-7"/>
                <w:sz w:val="22"/>
              </w:rPr>
              <w:t> </w:t>
            </w:r>
            <w:r>
              <w:rPr>
                <w:sz w:val="22"/>
              </w:rPr>
              <w:t>Rotated</w:t>
            </w:r>
          </w:p>
          <w:p>
            <w:pPr>
              <w:pStyle w:val="TableParagraph"/>
              <w:spacing w:before="1"/>
              <w:rPr>
                <w:sz w:val="22"/>
              </w:rPr>
            </w:pPr>
            <w:r>
              <w:rPr>
                <w:sz w:val="22"/>
              </w:rPr>
              <w:t>107 = PRC 32K</w:t>
            </w:r>
            <w:r>
              <w:rPr>
                <w:spacing w:val="-6"/>
                <w:sz w:val="22"/>
              </w:rPr>
              <w:t> </w:t>
            </w:r>
            <w:r>
              <w:rPr>
                <w:sz w:val="22"/>
              </w:rPr>
              <w:t>Rotated</w:t>
            </w:r>
          </w:p>
          <w:p>
            <w:pPr>
              <w:pStyle w:val="TableParagraph"/>
              <w:spacing w:before="0"/>
              <w:rPr>
                <w:sz w:val="22"/>
              </w:rPr>
            </w:pPr>
            <w:r>
              <w:rPr>
                <w:sz w:val="22"/>
              </w:rPr>
              <w:t>108 = PRC 32K(Big) Rotated</w:t>
            </w:r>
          </w:p>
          <w:p>
            <w:pPr>
              <w:pStyle w:val="TableParagraph"/>
              <w:spacing w:before="0"/>
              <w:rPr>
                <w:sz w:val="22"/>
              </w:rPr>
            </w:pPr>
            <w:r>
              <w:rPr>
                <w:sz w:val="22"/>
              </w:rPr>
              <w:t>109 = PRC Envelope #1 Rotated (165 mm x 102</w:t>
            </w:r>
            <w:r>
              <w:rPr>
                <w:spacing w:val="-17"/>
                <w:sz w:val="22"/>
              </w:rPr>
              <w:t> </w:t>
            </w:r>
            <w:r>
              <w:rPr>
                <w:sz w:val="22"/>
              </w:rPr>
              <w:t>mm)</w:t>
            </w:r>
          </w:p>
          <w:p>
            <w:pPr>
              <w:pStyle w:val="TableParagraph"/>
              <w:spacing w:before="1"/>
              <w:rPr>
                <w:sz w:val="22"/>
              </w:rPr>
            </w:pPr>
            <w:r>
              <w:rPr>
                <w:sz w:val="22"/>
              </w:rPr>
              <w:t>110 = PRC Envelope #2 Rotated (176 mm x 102</w:t>
            </w:r>
            <w:r>
              <w:rPr>
                <w:spacing w:val="-17"/>
                <w:sz w:val="22"/>
              </w:rPr>
              <w:t> </w:t>
            </w:r>
            <w:r>
              <w:rPr>
                <w:sz w:val="22"/>
              </w:rPr>
              <w:t>mm)</w:t>
            </w:r>
          </w:p>
          <w:p>
            <w:pPr>
              <w:pStyle w:val="TableParagraph"/>
              <w:spacing w:line="267" w:lineRule="exact" w:before="0"/>
              <w:rPr>
                <w:sz w:val="22"/>
              </w:rPr>
            </w:pPr>
            <w:r>
              <w:rPr>
                <w:sz w:val="22"/>
              </w:rPr>
              <w:t>111 = PRC Envelope #3 Rotated (176 mm x 125</w:t>
            </w:r>
            <w:r>
              <w:rPr>
                <w:spacing w:val="-17"/>
                <w:sz w:val="22"/>
              </w:rPr>
              <w:t> </w:t>
            </w:r>
            <w:r>
              <w:rPr>
                <w:sz w:val="22"/>
              </w:rPr>
              <w:t>mm)</w:t>
            </w:r>
          </w:p>
          <w:p>
            <w:pPr>
              <w:pStyle w:val="TableParagraph"/>
              <w:spacing w:line="267" w:lineRule="exact" w:before="0"/>
              <w:rPr>
                <w:sz w:val="22"/>
              </w:rPr>
            </w:pPr>
            <w:r>
              <w:rPr>
                <w:sz w:val="22"/>
              </w:rPr>
              <w:t>112 = PRC Envelope #4 Rotated (208 mm x 110</w:t>
            </w:r>
            <w:r>
              <w:rPr>
                <w:spacing w:val="-14"/>
                <w:sz w:val="22"/>
              </w:rPr>
              <w:t> </w:t>
            </w:r>
            <w:r>
              <w:rPr>
                <w:sz w:val="22"/>
              </w:rPr>
              <w:t>mm)</w:t>
            </w:r>
          </w:p>
          <w:p>
            <w:pPr>
              <w:pStyle w:val="TableParagraph"/>
              <w:spacing w:before="0"/>
              <w:rPr>
                <w:sz w:val="22"/>
              </w:rPr>
            </w:pPr>
            <w:r>
              <w:rPr>
                <w:sz w:val="22"/>
              </w:rPr>
              <w:t>113 = PRC Envelope #5 Rotated (220 mm x 110</w:t>
            </w:r>
            <w:r>
              <w:rPr>
                <w:spacing w:val="-17"/>
                <w:sz w:val="22"/>
              </w:rPr>
              <w:t> </w:t>
            </w:r>
            <w:r>
              <w:rPr>
                <w:sz w:val="22"/>
              </w:rPr>
              <w:t>mm)</w:t>
            </w:r>
          </w:p>
          <w:p>
            <w:pPr>
              <w:pStyle w:val="TableParagraph"/>
              <w:spacing w:before="0"/>
              <w:rPr>
                <w:sz w:val="22"/>
              </w:rPr>
            </w:pPr>
            <w:r>
              <w:rPr>
                <w:sz w:val="22"/>
              </w:rPr>
              <w:t>114 = PRC Envelope #6 Rotated (230 mm x 120</w:t>
            </w:r>
            <w:r>
              <w:rPr>
                <w:spacing w:val="-17"/>
                <w:sz w:val="22"/>
              </w:rPr>
              <w:t> </w:t>
            </w:r>
            <w:r>
              <w:rPr>
                <w:sz w:val="22"/>
              </w:rPr>
              <w:t>mm)</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651"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115 = PRC Envelope #7 Rotated (230 mm x 160</w:t>
            </w:r>
            <w:r>
              <w:rPr>
                <w:spacing w:val="-17"/>
                <w:sz w:val="22"/>
              </w:rPr>
              <w:t> </w:t>
            </w:r>
            <w:r>
              <w:rPr>
                <w:sz w:val="22"/>
              </w:rPr>
              <w:t>mm)</w:t>
            </w:r>
          </w:p>
          <w:p>
            <w:pPr>
              <w:pStyle w:val="TableParagraph"/>
              <w:spacing w:before="0"/>
              <w:rPr>
                <w:sz w:val="22"/>
              </w:rPr>
            </w:pPr>
            <w:r>
              <w:rPr>
                <w:sz w:val="22"/>
              </w:rPr>
              <w:t>116 = PRC Envelope #8 Rotated (309 mm x 120</w:t>
            </w:r>
            <w:r>
              <w:rPr>
                <w:spacing w:val="-17"/>
                <w:sz w:val="22"/>
              </w:rPr>
              <w:t> </w:t>
            </w:r>
            <w:r>
              <w:rPr>
                <w:sz w:val="22"/>
              </w:rPr>
              <w:t>mm)</w:t>
            </w:r>
          </w:p>
          <w:p>
            <w:pPr>
              <w:pStyle w:val="TableParagraph"/>
              <w:spacing w:before="0"/>
              <w:rPr>
                <w:sz w:val="22"/>
              </w:rPr>
            </w:pPr>
            <w:r>
              <w:rPr>
                <w:sz w:val="22"/>
              </w:rPr>
              <w:t>117 = PRC Envelope #9 Rotated (324 mm x 229</w:t>
            </w:r>
            <w:r>
              <w:rPr>
                <w:spacing w:val="-17"/>
                <w:sz w:val="22"/>
              </w:rPr>
              <w:t> </w:t>
            </w:r>
            <w:r>
              <w:rPr>
                <w:sz w:val="22"/>
              </w:rPr>
              <w:t>mm)</w:t>
            </w:r>
          </w:p>
          <w:p>
            <w:pPr>
              <w:pStyle w:val="TableParagraph"/>
              <w:spacing w:before="0"/>
              <w:rPr>
                <w:sz w:val="22"/>
              </w:rPr>
            </w:pPr>
            <w:r>
              <w:rPr>
                <w:sz w:val="22"/>
              </w:rPr>
              <w:t>118 = PRC Envelope #10 Rotated (458 mm x 324 mm)</w:t>
            </w:r>
          </w:p>
          <w:p>
            <w:pPr>
              <w:pStyle w:val="TableParagraph"/>
              <w:spacing w:before="2"/>
              <w:ind w:left="0"/>
              <w:rPr>
                <w:rFonts w:ascii="Times New Roman"/>
                <w:sz w:val="23"/>
              </w:rPr>
            </w:pPr>
          </w:p>
          <w:p>
            <w:pPr>
              <w:pStyle w:val="TableParagraph"/>
              <w:spacing w:before="1"/>
              <w:ind w:right="276"/>
              <w:rPr>
                <w:sz w:val="22"/>
              </w:rPr>
            </w:pPr>
            <w:r>
              <w:rPr>
                <w:sz w:val="22"/>
              </w:rPr>
              <w:t>[</w:t>
            </w:r>
            <w:r>
              <w:rPr>
                <w:i/>
                <w:sz w:val="22"/>
              </w:rPr>
              <w:t>Note</w:t>
            </w:r>
            <w:r>
              <w:rPr>
                <w:sz w:val="22"/>
              </w:rPr>
              <w:t>: To maximize interoperability, implementers should restrict the content of this attribute to enumerations present in the above list. Additional values may be used, but interoperability will only be possible via mutual agreement between implementers. </w:t>
            </w:r>
            <w:r>
              <w:rPr>
                <w:i/>
                <w:sz w:val="22"/>
              </w:rPr>
              <w:t>end </w:t>
            </w:r>
            <w:r>
              <w:rPr>
                <w:i/>
                <w:sz w:val="22"/>
              </w:rPr>
              <w:t>note</w:t>
            </w:r>
            <w:r>
              <w:rPr>
                <w:sz w:val="22"/>
              </w:rPr>
              <w:t>]</w:t>
            </w:r>
          </w:p>
          <w:p>
            <w:pPr>
              <w:pStyle w:val="TableParagraph"/>
              <w:spacing w:before="5"/>
              <w:ind w:left="0"/>
              <w:rPr>
                <w:rFonts w:ascii="Times New Roman"/>
                <w:sz w:val="23"/>
              </w:rPr>
            </w:pPr>
          </w:p>
          <w:p>
            <w:pPr>
              <w:pStyle w:val="TableParagraph"/>
              <w:spacing w:before="0"/>
              <w:ind w:right="590"/>
              <w:rPr>
                <w:sz w:val="22"/>
              </w:rPr>
            </w:pPr>
            <w:r>
              <w:rPr>
                <w:sz w:val="22"/>
              </w:rPr>
              <w:t>When values not present in the above list are used, the behavior is implementation- defined.</w:t>
            </w:r>
          </w:p>
          <w:p>
            <w:pPr>
              <w:pStyle w:val="TableParagraph"/>
              <w:spacing w:before="5"/>
              <w:ind w:left="0"/>
              <w:rPr>
                <w:rFonts w:ascii="Times New Roman"/>
                <w:sz w:val="23"/>
              </w:rPr>
            </w:pPr>
          </w:p>
          <w:p>
            <w:pPr>
              <w:pStyle w:val="TableParagraph"/>
              <w:spacing w:before="0"/>
              <w:rPr>
                <w:sz w:val="22"/>
              </w:rPr>
            </w:pPr>
            <w:r>
              <w:rPr>
                <w:sz w:val="22"/>
              </w:rPr>
              <w:t>When </w:t>
            </w:r>
            <w:r>
              <w:rPr>
                <w:rFonts w:ascii="Cambria"/>
                <w:sz w:val="22"/>
              </w:rPr>
              <w:t>paperHeight </w:t>
            </w:r>
            <w:r>
              <w:rPr>
                <w:sz w:val="22"/>
              </w:rPr>
              <w:t>and </w:t>
            </w:r>
            <w:r>
              <w:rPr>
                <w:rFonts w:ascii="Cambria"/>
                <w:sz w:val="22"/>
              </w:rPr>
              <w:t>paperWidth </w:t>
            </w:r>
            <w:r>
              <w:rPr>
                <w:sz w:val="22"/>
              </w:rPr>
              <w:t>are specified, </w:t>
            </w:r>
            <w:r>
              <w:rPr>
                <w:rFonts w:ascii="Cambria"/>
                <w:sz w:val="22"/>
              </w:rPr>
              <w:t>paperSize </w:t>
            </w:r>
            <w:r>
              <w:rPr>
                <w:sz w:val="22"/>
              </w:rPr>
              <w:t>should be ignored.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965" w:hRule="atLeast"/>
        </w:trPr>
        <w:tc>
          <w:tcPr>
            <w:tcW w:w="2062" w:type="dxa"/>
          </w:tcPr>
          <w:p>
            <w:pPr>
              <w:pStyle w:val="TableParagraph"/>
              <w:ind w:right="148"/>
              <w:rPr>
                <w:sz w:val="22"/>
              </w:rPr>
            </w:pPr>
            <w:r>
              <w:rPr>
                <w:rFonts w:ascii="Cambria"/>
                <w:sz w:val="22"/>
              </w:rPr>
              <w:t>paperWidth </w:t>
            </w:r>
            <w:r>
              <w:rPr>
                <w:sz w:val="22"/>
              </w:rPr>
              <w:t>(Paper Width)</w:t>
            </w:r>
          </w:p>
        </w:tc>
        <w:tc>
          <w:tcPr>
            <w:tcW w:w="8250" w:type="dxa"/>
          </w:tcPr>
          <w:p>
            <w:pPr>
              <w:pStyle w:val="TableParagraph"/>
              <w:rPr>
                <w:rFonts w:ascii="Consolas"/>
                <w:sz w:val="20"/>
              </w:rPr>
            </w:pPr>
            <w:r>
              <w:rPr>
                <w:sz w:val="22"/>
              </w:rPr>
              <w:t>Width of custom paper as a number followed by a unit identifier. [</w:t>
            </w:r>
            <w:r>
              <w:rPr>
                <w:i/>
                <w:sz w:val="22"/>
              </w:rPr>
              <w:t>Example</w:t>
            </w:r>
            <w:r>
              <w:rPr>
                <w:sz w:val="22"/>
              </w:rPr>
              <w:t>: </w:t>
            </w:r>
            <w:r>
              <w:rPr>
                <w:rFonts w:ascii="Consolas"/>
                <w:sz w:val="20"/>
              </w:rPr>
              <w:t>21cm</w:t>
            </w:r>
            <w:r>
              <w:rPr>
                <w:sz w:val="22"/>
              </w:rPr>
              <w:t>, </w:t>
            </w:r>
            <w:r>
              <w:rPr>
                <w:rFonts w:ascii="Consolas"/>
                <w:sz w:val="20"/>
              </w:rPr>
              <w:t>8.5in</w:t>
            </w: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sz w:val="22"/>
              </w:rPr>
            </w:pPr>
            <w:r>
              <w:rPr>
                <w:sz w:val="22"/>
              </w:rPr>
              <w:t>When </w:t>
            </w:r>
            <w:r>
              <w:rPr>
                <w:rFonts w:ascii="Cambria"/>
                <w:sz w:val="22"/>
              </w:rPr>
              <w:t>paperHeight </w:t>
            </w:r>
            <w:r>
              <w:rPr>
                <w:sz w:val="22"/>
              </w:rPr>
              <w:t>and </w:t>
            </w:r>
            <w:r>
              <w:rPr>
                <w:rFonts w:ascii="Cambria"/>
                <w:sz w:val="22"/>
              </w:rPr>
              <w:t>paperWidth </w:t>
            </w:r>
            <w:r>
              <w:rPr>
                <w:sz w:val="22"/>
              </w:rPr>
              <w:t>are specified, </w:t>
            </w:r>
            <w:r>
              <w:rPr>
                <w:rFonts w:ascii="Cambria"/>
                <w:sz w:val="22"/>
              </w:rPr>
              <w:t>paperSize </w:t>
            </w:r>
            <w:r>
              <w:rPr>
                <w:sz w:val="22"/>
              </w:rPr>
              <w:t>shall be ignored.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t>
            </w:r>
            <w:r>
              <w:rPr>
                <w:rFonts w:ascii="Cambria"/>
                <w:sz w:val="22"/>
              </w:rPr>
              <w:t>ST_PositiveUniversalMeasure</w:t>
            </w:r>
          </w:p>
          <w:p>
            <w:pPr>
              <w:pStyle w:val="TableParagraph"/>
              <w:spacing w:before="0"/>
              <w:rPr>
                <w:sz w:val="22"/>
              </w:rPr>
            </w:pPr>
            <w:r>
              <w:rPr>
                <w:sz w:val="22"/>
              </w:rPr>
              <w:t>simple type (§22.9.2.12).</w:t>
            </w:r>
          </w:p>
        </w:tc>
      </w:tr>
      <w:tr>
        <w:trPr>
          <w:trHeight w:val="4654" w:hRule="atLeast"/>
        </w:trPr>
        <w:tc>
          <w:tcPr>
            <w:tcW w:w="2062" w:type="dxa"/>
          </w:tcPr>
          <w:p>
            <w:pPr>
              <w:pStyle w:val="TableParagraph"/>
              <w:spacing w:before="42"/>
              <w:rPr>
                <w:sz w:val="22"/>
              </w:rPr>
            </w:pPr>
            <w:r>
              <w:rPr>
                <w:rFonts w:ascii="Cambria"/>
                <w:sz w:val="22"/>
              </w:rPr>
              <w:t>scale </w:t>
            </w:r>
            <w:r>
              <w:rPr>
                <w:sz w:val="22"/>
              </w:rPr>
              <w:t>(Print Scale)</w:t>
            </w:r>
          </w:p>
        </w:tc>
        <w:tc>
          <w:tcPr>
            <w:tcW w:w="8250" w:type="dxa"/>
          </w:tcPr>
          <w:p>
            <w:pPr>
              <w:pStyle w:val="TableParagraph"/>
              <w:spacing w:line="477" w:lineRule="auto" w:before="42"/>
              <w:ind w:right="1597"/>
              <w:rPr>
                <w:sz w:val="22"/>
              </w:rPr>
            </w:pPr>
            <w:r>
              <w:rPr>
                <w:sz w:val="22"/>
              </w:rPr>
              <w:t>Print scaling. This attribute is restricted to values ranging from 10 to 400. [</w:t>
            </w:r>
            <w:r>
              <w:rPr>
                <w:i/>
                <w:sz w:val="22"/>
              </w:rPr>
              <w:t>Example</w:t>
            </w:r>
            <w:r>
              <w:rPr>
                <w:sz w:val="22"/>
              </w:rPr>
              <w:t>:</w:t>
            </w:r>
          </w:p>
          <w:p>
            <w:pPr>
              <w:pStyle w:val="TableParagraph"/>
              <w:spacing w:before="4"/>
              <w:rPr>
                <w:sz w:val="22"/>
              </w:rPr>
            </w:pPr>
            <w:r>
              <w:rPr>
                <w:sz w:val="22"/>
              </w:rPr>
              <w:t>10 -</w:t>
            </w:r>
            <w:r>
              <w:rPr>
                <w:spacing w:val="-2"/>
                <w:sz w:val="22"/>
              </w:rPr>
              <w:t> </w:t>
            </w:r>
            <w:r>
              <w:rPr>
                <w:sz w:val="22"/>
              </w:rPr>
              <w:t>10%</w:t>
            </w:r>
          </w:p>
          <w:p>
            <w:pPr>
              <w:pStyle w:val="TableParagraph"/>
              <w:spacing w:before="1"/>
              <w:rPr>
                <w:sz w:val="22"/>
              </w:rPr>
            </w:pPr>
            <w:r>
              <w:rPr>
                <w:sz w:val="22"/>
              </w:rPr>
              <w:t>20 -</w:t>
            </w:r>
            <w:r>
              <w:rPr>
                <w:spacing w:val="-2"/>
                <w:sz w:val="22"/>
              </w:rPr>
              <w:t> </w:t>
            </w:r>
            <w:r>
              <w:rPr>
                <w:sz w:val="22"/>
              </w:rPr>
              <w:t>20%</w:t>
            </w:r>
          </w:p>
          <w:p>
            <w:pPr>
              <w:pStyle w:val="TableParagraph"/>
              <w:spacing w:before="0"/>
              <w:rPr>
                <w:sz w:val="22"/>
              </w:rPr>
            </w:pPr>
            <w:r>
              <w:rPr>
                <w:w w:val="100"/>
                <w:sz w:val="22"/>
              </w:rPr>
              <w:t>…</w:t>
            </w:r>
          </w:p>
          <w:p>
            <w:pPr>
              <w:pStyle w:val="TableParagraph"/>
              <w:spacing w:before="0"/>
              <w:rPr>
                <w:sz w:val="22"/>
              </w:rPr>
            </w:pPr>
            <w:r>
              <w:rPr>
                <w:sz w:val="22"/>
              </w:rPr>
              <w:t>100 -</w:t>
            </w:r>
            <w:r>
              <w:rPr>
                <w:spacing w:val="-3"/>
                <w:sz w:val="22"/>
              </w:rPr>
              <w:t> </w:t>
            </w:r>
            <w:r>
              <w:rPr>
                <w:sz w:val="22"/>
              </w:rPr>
              <w:t>100%</w:t>
            </w:r>
          </w:p>
          <w:p>
            <w:pPr>
              <w:pStyle w:val="TableParagraph"/>
              <w:spacing w:before="0"/>
              <w:rPr>
                <w:sz w:val="22"/>
              </w:rPr>
            </w:pPr>
            <w:r>
              <w:rPr>
                <w:w w:val="100"/>
                <w:sz w:val="22"/>
              </w:rPr>
              <w:t>…</w:t>
            </w:r>
          </w:p>
          <w:p>
            <w:pPr>
              <w:pStyle w:val="TableParagraph"/>
              <w:spacing w:before="1"/>
              <w:rPr>
                <w:sz w:val="22"/>
              </w:rPr>
            </w:pPr>
            <w:r>
              <w:rPr>
                <w:sz w:val="22"/>
              </w:rPr>
              <w:t>400 -</w:t>
            </w:r>
            <w:r>
              <w:rPr>
                <w:spacing w:val="-3"/>
                <w:sz w:val="22"/>
              </w:rPr>
              <w:t> </w:t>
            </w:r>
            <w:r>
              <w:rPr>
                <w:sz w:val="22"/>
              </w:rPr>
              <w:t>400%</w:t>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sz w:val="22"/>
              </w:rPr>
            </w:pPr>
            <w:r>
              <w:rPr>
                <w:sz w:val="22"/>
              </w:rPr>
              <w:t>This setting is overridden when fitToWidth and/or fitToHeight are in use.</w:t>
            </w:r>
          </w:p>
          <w:p>
            <w:pPr>
              <w:pStyle w:val="TableParagraph"/>
              <w:spacing w:before="5"/>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spacing w:line="237" w:lineRule="auto" w:before="45"/>
              <w:ind w:right="131"/>
              <w:rPr>
                <w:sz w:val="22"/>
              </w:rPr>
            </w:pPr>
            <w:r>
              <w:rPr>
                <w:rFonts w:ascii="Cambria"/>
                <w:sz w:val="22"/>
              </w:rPr>
              <w:t>useFirstPageNumb er </w:t>
            </w:r>
            <w:r>
              <w:rPr>
                <w:sz w:val="22"/>
              </w:rPr>
              <w:t>(Use First Page Number)</w:t>
            </w:r>
          </w:p>
        </w:tc>
        <w:tc>
          <w:tcPr>
            <w:tcW w:w="8250" w:type="dxa"/>
          </w:tcPr>
          <w:p>
            <w:pPr>
              <w:pStyle w:val="TableParagraph"/>
              <w:rPr>
                <w:sz w:val="22"/>
              </w:rPr>
            </w:pPr>
            <w:r>
              <w:rPr>
                <w:sz w:val="22"/>
              </w:rPr>
              <w:t>Use </w:t>
            </w:r>
            <w:r>
              <w:rPr>
                <w:rFonts w:ascii="Cambria"/>
                <w:sz w:val="22"/>
              </w:rPr>
              <w:t>firstPageNumber </w:t>
            </w:r>
            <w:r>
              <w:rPr>
                <w:sz w:val="22"/>
              </w:rPr>
              <w:t>value for first page number, and do not auto number the pages.</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spacing w:after="0" w:line="267" w:lineRule="exact"/>
        <w:rPr>
          <w:sz w:val="22"/>
        </w:rPr>
        <w:sectPr>
          <w:footerReference w:type="even" r:id="rId42"/>
          <w:footerReference w:type="default" r:id="rId43"/>
          <w:pgSz w:w="12240" w:h="15840"/>
          <w:pgMar w:footer="746" w:header="761" w:top="1340" w:bottom="940" w:left="860" w:right="700"/>
          <w:pgNumType w:start="166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line="237" w:lineRule="auto" w:before="45"/>
              <w:ind w:right="144"/>
              <w:rPr>
                <w:sz w:val="22"/>
              </w:rPr>
            </w:pPr>
            <w:r>
              <w:rPr>
                <w:rFonts w:ascii="Cambria"/>
                <w:sz w:val="22"/>
              </w:rPr>
              <w:t>usePrinterDefaults </w:t>
            </w:r>
            <w:r>
              <w:rPr>
                <w:sz w:val="22"/>
              </w:rPr>
              <w:t>(Use Printer Defaults)</w:t>
            </w:r>
          </w:p>
        </w:tc>
        <w:tc>
          <w:tcPr>
            <w:tcW w:w="8250" w:type="dxa"/>
          </w:tcPr>
          <w:p>
            <w:pPr>
              <w:pStyle w:val="TableParagraph"/>
              <w:ind w:right="212"/>
              <w:rPr>
                <w:sz w:val="22"/>
              </w:rPr>
            </w:pPr>
            <w:r>
              <w:rPr>
                <w:sz w:val="22"/>
              </w:rPr>
              <w:t>Use the printer’s defaults settings for page setup values and don't use the default values specified in the schema. [</w:t>
            </w:r>
            <w:r>
              <w:rPr>
                <w:i/>
                <w:sz w:val="22"/>
              </w:rPr>
              <w:t>Example</w:t>
            </w:r>
            <w:r>
              <w:rPr>
                <w:sz w:val="22"/>
              </w:rPr>
              <w:t>: If dpi is not present or specified in the XML, the application must not assume 600dpi as specified in the schema as a default and instead must let the printer specify the default dpi. </w:t>
            </w:r>
            <w:r>
              <w:rPr>
                <w:i/>
                <w:sz w:val="22"/>
              </w:rPr>
              <w:t>end example</w:t>
            </w:r>
            <w:r>
              <w:rPr>
                <w:sz w:val="22"/>
              </w:rPr>
              <w:t>]</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verticalDpi</w:t>
            </w:r>
          </w:p>
          <w:p>
            <w:pPr>
              <w:pStyle w:val="TableParagraph"/>
              <w:spacing w:line="268" w:lineRule="exact" w:before="0"/>
              <w:rPr>
                <w:sz w:val="22"/>
              </w:rPr>
            </w:pPr>
            <w:r>
              <w:rPr>
                <w:sz w:val="22"/>
              </w:rPr>
              <w:t>(Vertical DPI)</w:t>
            </w:r>
          </w:p>
        </w:tc>
        <w:tc>
          <w:tcPr>
            <w:tcW w:w="8250" w:type="dxa"/>
          </w:tcPr>
          <w:p>
            <w:pPr>
              <w:pStyle w:val="TableParagraph"/>
              <w:rPr>
                <w:sz w:val="22"/>
              </w:rPr>
            </w:pPr>
            <w:r>
              <w:rPr>
                <w:sz w:val="22"/>
              </w:rPr>
              <w:t>Vertical print resolution of the device.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537"/>
      </w:pPr>
      <w:r>
        <w:rPr/>
        <w:t>[</w:t>
      </w:r>
      <w:r>
        <w:rPr>
          <w:i/>
        </w:rPr>
        <w:t>Note</w:t>
      </w:r>
      <w:r>
        <w:rPr/>
        <w:t>: The W3C XML Schema definition of this element’s content model (</w:t>
      </w:r>
      <w:r>
        <w:rPr>
          <w:color w:val="5F5F5F"/>
          <w:u w:val="single" w:color="5F5F5F"/>
        </w:rPr>
        <w:t>CT_PageSetup</w:t>
      </w:r>
      <w:r>
        <w:rPr/>
        <w:t>) is located in §A.2. </w:t>
      </w:r>
      <w:r>
        <w:rPr>
          <w:i/>
        </w:rPr>
        <w:t>end </w:t>
      </w:r>
      <w:r>
        <w:rPr>
          <w:i/>
        </w:rPr>
        <w:t>note</w:t>
      </w:r>
      <w:r>
        <w:rPr/>
        <w:t>]</w:t>
      </w:r>
    </w:p>
    <w:p>
      <w:pPr>
        <w:pStyle w:val="BodyText"/>
        <w:spacing w:before="2"/>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64 pageSetup (Chart Sheet Page Se" w:id="293"/>
      <w:bookmarkEnd w:id="293"/>
      <w:r>
        <w:rPr/>
      </w:r>
      <w:bookmarkStart w:name="_bookmark96" w:id="294"/>
      <w:bookmarkEnd w:id="294"/>
      <w:r>
        <w:rPr/>
      </w:r>
      <w:bookmarkStart w:name="_bookmark96" w:id="295"/>
      <w:bookmarkEnd w:id="295"/>
      <w:r>
        <w:rPr>
          <w:color w:val="4F81BC"/>
        </w:rPr>
        <w:t>p</w:t>
      </w:r>
      <w:r>
        <w:rPr>
          <w:color w:val="4F81BC"/>
        </w:rPr>
        <w:t>ageSetup (Chart Sheet Page</w:t>
      </w:r>
      <w:r>
        <w:rPr>
          <w:color w:val="4F81BC"/>
          <w:spacing w:val="-3"/>
        </w:rPr>
        <w:t> </w:t>
      </w:r>
      <w:r>
        <w:rPr>
          <w:color w:val="4F81BC"/>
        </w:rPr>
        <w:t>Setup)</w:t>
      </w:r>
    </w:p>
    <w:p>
      <w:pPr>
        <w:pStyle w:val="BodyText"/>
        <w:spacing w:before="121"/>
        <w:ind w:left="220"/>
      </w:pPr>
      <w:r>
        <w:rPr/>
        <w:t>This element provides page setup properties for chart sheets.</w:t>
      </w:r>
    </w:p>
    <w:p>
      <w:pPr>
        <w:pStyle w:val="BodyText"/>
        <w:spacing w:before="6"/>
        <w:rPr>
          <w:sz w:val="19"/>
        </w:rPr>
      </w:pPr>
    </w:p>
    <w:p>
      <w:pPr>
        <w:pStyle w:val="BodyText"/>
        <w:spacing w:line="276" w:lineRule="auto"/>
        <w:ind w:left="220" w:right="691"/>
      </w:pPr>
      <w:r>
        <w:rPr/>
        <w:t>[</w:t>
      </w:r>
      <w:r>
        <w:rPr>
          <w:i/>
        </w:rPr>
        <w:t>Example</w:t>
      </w:r>
      <w:r>
        <w:rPr/>
        <w:t>: The following example shows the </w:t>
      </w:r>
      <w:r>
        <w:rPr>
          <w:rFonts w:ascii="Cambria"/>
        </w:rPr>
        <w:t>pageSetup </w:t>
      </w:r>
      <w:r>
        <w:rPr/>
        <w:t>element for ISO A0 paper, printed in black and white, with graphics:</w:t>
      </w:r>
    </w:p>
    <w:p>
      <w:pPr>
        <w:pStyle w:val="BodyText"/>
        <w:spacing w:before="5"/>
        <w:rPr>
          <w:sz w:val="16"/>
        </w:rPr>
      </w:pPr>
    </w:p>
    <w:p>
      <w:pPr>
        <w:pStyle w:val="BodyText"/>
        <w:spacing w:line="278" w:lineRule="auto"/>
        <w:ind w:left="508" w:right="2168"/>
        <w:rPr>
          <w:rFonts w:ascii="Consolas"/>
        </w:rPr>
      </w:pPr>
      <w:r>
        <w:rPr>
          <w:rFonts w:ascii="Consolas"/>
        </w:rPr>
        <w:t>&lt;pageSetup blackAndWhite="true" draft="false" paperHeight="1189mm" paperWidth="841mm" /&gt;</w:t>
      </w:r>
    </w:p>
    <w:p>
      <w:pPr>
        <w:spacing w:before="197"/>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56" w:lineRule="exact" w:before="42"/>
              <w:rPr>
                <w:rFonts w:ascii="Cambria"/>
                <w:sz w:val="22"/>
              </w:rPr>
            </w:pPr>
            <w:r>
              <w:rPr>
                <w:rFonts w:ascii="Cambria"/>
                <w:sz w:val="22"/>
              </w:rPr>
              <w:t>blackAndWhite</w:t>
            </w:r>
          </w:p>
          <w:p>
            <w:pPr>
              <w:pStyle w:val="TableParagraph"/>
              <w:spacing w:line="267" w:lineRule="exact" w:before="0"/>
              <w:rPr>
                <w:sz w:val="22"/>
              </w:rPr>
            </w:pPr>
            <w:r>
              <w:rPr>
                <w:sz w:val="22"/>
              </w:rPr>
              <w:t>(Black And White)</w:t>
            </w:r>
          </w:p>
        </w:tc>
        <w:tc>
          <w:tcPr>
            <w:tcW w:w="8250" w:type="dxa"/>
          </w:tcPr>
          <w:p>
            <w:pPr>
              <w:pStyle w:val="TableParagraph"/>
              <w:rPr>
                <w:sz w:val="22"/>
              </w:rPr>
            </w:pPr>
            <w:r>
              <w:rPr>
                <w:sz w:val="22"/>
              </w:rPr>
              <w:t>Print black and white.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205"/>
              <w:rPr>
                <w:sz w:val="22"/>
              </w:rPr>
            </w:pPr>
            <w:r>
              <w:rPr>
                <w:rFonts w:ascii="Cambria"/>
                <w:sz w:val="22"/>
              </w:rPr>
              <w:t>copies </w:t>
            </w:r>
            <w:r>
              <w:rPr>
                <w:sz w:val="22"/>
              </w:rPr>
              <w:t>(Number Of Copies)</w:t>
            </w:r>
          </w:p>
        </w:tc>
        <w:tc>
          <w:tcPr>
            <w:tcW w:w="8250" w:type="dxa"/>
          </w:tcPr>
          <w:p>
            <w:pPr>
              <w:pStyle w:val="TableParagraph"/>
              <w:rPr>
                <w:sz w:val="22"/>
              </w:rPr>
            </w:pPr>
            <w:r>
              <w:rPr>
                <w:sz w:val="22"/>
              </w:rPr>
              <w:t>Number of copies to print.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9" w:hRule="atLeast"/>
        </w:trPr>
        <w:tc>
          <w:tcPr>
            <w:tcW w:w="2062" w:type="dxa"/>
          </w:tcPr>
          <w:p>
            <w:pPr>
              <w:pStyle w:val="TableParagraph"/>
              <w:rPr>
                <w:sz w:val="22"/>
              </w:rPr>
            </w:pPr>
            <w:r>
              <w:rPr>
                <w:rFonts w:ascii="Cambria"/>
                <w:sz w:val="22"/>
              </w:rPr>
              <w:t>draft </w:t>
            </w:r>
            <w:r>
              <w:rPr>
                <w:sz w:val="22"/>
              </w:rPr>
              <w:t>(Draft)</w:t>
            </w:r>
          </w:p>
        </w:tc>
        <w:tc>
          <w:tcPr>
            <w:tcW w:w="8250" w:type="dxa"/>
          </w:tcPr>
          <w:p>
            <w:pPr>
              <w:pStyle w:val="TableParagraph"/>
              <w:rPr>
                <w:sz w:val="22"/>
              </w:rPr>
            </w:pPr>
            <w:r>
              <w:rPr>
                <w:sz w:val="22"/>
              </w:rPr>
              <w:t>Print draft quality.</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892" w:hRule="atLeast"/>
        </w:trPr>
        <w:tc>
          <w:tcPr>
            <w:tcW w:w="2062" w:type="dxa"/>
          </w:tcPr>
          <w:p>
            <w:pPr>
              <w:pStyle w:val="TableParagraph"/>
              <w:spacing w:line="257" w:lineRule="exact" w:before="42"/>
              <w:rPr>
                <w:rFonts w:ascii="Cambria"/>
                <w:sz w:val="22"/>
              </w:rPr>
            </w:pPr>
            <w:r>
              <w:rPr>
                <w:rFonts w:ascii="Cambria"/>
                <w:sz w:val="22"/>
              </w:rPr>
              <w:t>firstPageNumber</w:t>
            </w:r>
          </w:p>
          <w:p>
            <w:pPr>
              <w:pStyle w:val="TableParagraph"/>
              <w:spacing w:line="268" w:lineRule="exact" w:before="0"/>
              <w:rPr>
                <w:sz w:val="22"/>
              </w:rPr>
            </w:pPr>
            <w:r>
              <w:rPr>
                <w:sz w:val="22"/>
              </w:rPr>
              <w:t>(First Page Number)</w:t>
            </w:r>
          </w:p>
        </w:tc>
        <w:tc>
          <w:tcPr>
            <w:tcW w:w="8250" w:type="dxa"/>
          </w:tcPr>
          <w:p>
            <w:pPr>
              <w:pStyle w:val="TableParagraph"/>
              <w:rPr>
                <w:sz w:val="22"/>
              </w:rPr>
            </w:pPr>
            <w:r>
              <w:rPr>
                <w:sz w:val="22"/>
              </w:rPr>
              <w:t>Page number for first printed page. If no value is specified, then 'automatic' is</w:t>
            </w:r>
            <w:r>
              <w:rPr>
                <w:spacing w:val="-26"/>
                <w:sz w:val="22"/>
              </w:rPr>
              <w:t> </w:t>
            </w:r>
            <w:r>
              <w:rPr>
                <w:sz w:val="22"/>
              </w:rPr>
              <w:t>assumed.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unsignedInt</w:t>
            </w:r>
          </w:p>
        </w:tc>
      </w:tr>
    </w:tbl>
    <w:p>
      <w:pPr>
        <w:spacing w:after="0"/>
        <w:rPr>
          <w:rFonts w:ascii="Cambria"/>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horizontalDpi</w:t>
            </w:r>
          </w:p>
          <w:p>
            <w:pPr>
              <w:pStyle w:val="TableParagraph"/>
              <w:spacing w:line="267" w:lineRule="exact" w:before="0"/>
              <w:rPr>
                <w:sz w:val="22"/>
              </w:rPr>
            </w:pPr>
            <w:r>
              <w:rPr>
                <w:sz w:val="22"/>
              </w:rPr>
              <w:t>(Horizontal DPI)</w:t>
            </w:r>
          </w:p>
        </w:tc>
        <w:tc>
          <w:tcPr>
            <w:tcW w:w="8250" w:type="dxa"/>
          </w:tcPr>
          <w:p>
            <w:pPr>
              <w:pStyle w:val="TableParagraph"/>
              <w:rPr>
                <w:sz w:val="22"/>
              </w:rPr>
            </w:pPr>
            <w:r>
              <w:rPr>
                <w:sz w:val="22"/>
              </w:rPr>
              <w:t>Horizontal print resolution of the device.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440" w:hRule="atLeast"/>
        </w:trPr>
        <w:tc>
          <w:tcPr>
            <w:tcW w:w="2062" w:type="dxa"/>
            <w:tcBorders>
              <w:bottom w:val="nil"/>
            </w:tcBorders>
          </w:tcPr>
          <w:p>
            <w:pPr>
              <w:pStyle w:val="TableParagraph"/>
              <w:rPr>
                <w:sz w:val="22"/>
              </w:rPr>
            </w:pPr>
            <w:r>
              <w:rPr>
                <w:rFonts w:ascii="Cambria"/>
                <w:sz w:val="22"/>
              </w:rPr>
              <w:t>id </w:t>
            </w:r>
            <w:r>
              <w:rPr>
                <w:sz w:val="22"/>
              </w:rPr>
              <w:t>(Id)</w:t>
            </w:r>
          </w:p>
        </w:tc>
        <w:tc>
          <w:tcPr>
            <w:tcW w:w="8250" w:type="dxa"/>
            <w:tcBorders>
              <w:bottom w:val="nil"/>
            </w:tcBorders>
          </w:tcPr>
          <w:p>
            <w:pPr>
              <w:pStyle w:val="TableParagraph"/>
              <w:rPr>
                <w:sz w:val="22"/>
              </w:rPr>
            </w:pPr>
            <w:r>
              <w:rPr>
                <w:sz w:val="22"/>
              </w:rPr>
              <w:t>Relationship Id of the devMode printer settings part.</w:t>
            </w:r>
          </w:p>
        </w:tc>
      </w:tr>
      <w:tr>
        <w:trPr>
          <w:trHeight w:val="404" w:hRule="atLeast"/>
        </w:trPr>
        <w:tc>
          <w:tcPr>
            <w:tcW w:w="2062" w:type="dxa"/>
            <w:tcBorders>
              <w:top w:val="nil"/>
              <w:bottom w:val="nil"/>
            </w:tcBorders>
          </w:tcPr>
          <w:p>
            <w:pPr>
              <w:pStyle w:val="TableParagraph"/>
              <w:spacing w:line="248" w:lineRule="exact" w:before="136"/>
              <w:rPr>
                <w:sz w:val="22"/>
              </w:rPr>
            </w:pPr>
            <w:r>
              <w:rPr>
                <w:sz w:val="22"/>
              </w:rPr>
              <w:t>Namespace:</w:t>
            </w:r>
          </w:p>
        </w:tc>
        <w:tc>
          <w:tcPr>
            <w:tcW w:w="8250" w:type="dxa"/>
            <w:tcBorders>
              <w:top w:val="nil"/>
              <w:bottom w:val="nil"/>
            </w:tcBorders>
          </w:tcPr>
          <w:p>
            <w:pPr>
              <w:pStyle w:val="TableParagraph"/>
              <w:spacing w:line="248" w:lineRule="exact" w:before="136"/>
              <w:rPr>
                <w:sz w:val="22"/>
              </w:rPr>
            </w:pPr>
            <w:r>
              <w:rPr>
                <w:sz w:val="22"/>
              </w:rPr>
              <w:t>The possible values for this attribute are defined by the </w:t>
            </w:r>
            <w:r>
              <w:rPr>
                <w:rFonts w:ascii="Cambria"/>
                <w:sz w:val="22"/>
              </w:rPr>
              <w:t>ST_RelationshipId </w:t>
            </w:r>
            <w:r>
              <w:rPr>
                <w:sz w:val="22"/>
              </w:rPr>
              <w:t>simple type</w:t>
            </w:r>
          </w:p>
        </w:tc>
      </w:tr>
      <w:tr>
        <w:trPr>
          <w:trHeight w:val="263" w:hRule="atLeast"/>
        </w:trPr>
        <w:tc>
          <w:tcPr>
            <w:tcW w:w="2062" w:type="dxa"/>
            <w:tcBorders>
              <w:top w:val="nil"/>
              <w:bottom w:val="nil"/>
            </w:tcBorders>
          </w:tcPr>
          <w:p>
            <w:pPr>
              <w:pStyle w:val="TableParagraph"/>
              <w:spacing w:line="240" w:lineRule="exact" w:before="4"/>
              <w:rPr>
                <w:rFonts w:ascii="Cambria"/>
                <w:sz w:val="22"/>
              </w:rPr>
            </w:pPr>
            <w:hyperlink r:id="rId18">
              <w:r>
                <w:rPr>
                  <w:rFonts w:ascii="Cambria"/>
                  <w:sz w:val="22"/>
                </w:rPr>
                <w:t>http://purl.oclc.or</w:t>
              </w:r>
            </w:hyperlink>
          </w:p>
        </w:tc>
        <w:tc>
          <w:tcPr>
            <w:tcW w:w="8250" w:type="dxa"/>
            <w:tcBorders>
              <w:top w:val="nil"/>
              <w:bottom w:val="nil"/>
            </w:tcBorders>
          </w:tcPr>
          <w:p>
            <w:pPr>
              <w:pStyle w:val="TableParagraph"/>
              <w:spacing w:line="243" w:lineRule="exact" w:before="1"/>
              <w:rPr>
                <w:sz w:val="22"/>
              </w:rPr>
            </w:pPr>
            <w:r>
              <w:rPr>
                <w:sz w:val="22"/>
              </w:rPr>
              <w:t>(§22.8.2.1).</w:t>
            </w:r>
          </w:p>
        </w:tc>
      </w:tr>
      <w:tr>
        <w:trPr>
          <w:trHeight w:val="256" w:hRule="atLeast"/>
        </w:trPr>
        <w:tc>
          <w:tcPr>
            <w:tcW w:w="2062" w:type="dxa"/>
            <w:tcBorders>
              <w:top w:val="nil"/>
              <w:bottom w:val="nil"/>
            </w:tcBorders>
          </w:tcPr>
          <w:p>
            <w:pPr>
              <w:pStyle w:val="TableParagraph"/>
              <w:spacing w:line="236" w:lineRule="exact" w:before="0"/>
              <w:rPr>
                <w:rFonts w:ascii="Cambria"/>
                <w:sz w:val="22"/>
              </w:rPr>
            </w:pPr>
            <w:r>
              <w:rPr>
                <w:rFonts w:ascii="Cambria"/>
                <w:sz w:val="22"/>
              </w:rPr>
              <w:t>g/ooxml/officeDoc</w:t>
            </w:r>
          </w:p>
        </w:tc>
        <w:tc>
          <w:tcPr>
            <w:tcW w:w="8250" w:type="dxa"/>
            <w:tcBorders>
              <w:top w:val="nil"/>
              <w:bottom w:val="nil"/>
            </w:tcBorders>
          </w:tcPr>
          <w:p>
            <w:pPr>
              <w:pStyle w:val="TableParagraph"/>
              <w:spacing w:before="0"/>
              <w:ind w:left="0"/>
              <w:rPr>
                <w:rFonts w:ascii="Times New Roman"/>
                <w:sz w:val="18"/>
              </w:rPr>
            </w:pPr>
          </w:p>
        </w:tc>
      </w:tr>
      <w:tr>
        <w:trPr>
          <w:trHeight w:val="258" w:hRule="atLeast"/>
        </w:trPr>
        <w:tc>
          <w:tcPr>
            <w:tcW w:w="2062" w:type="dxa"/>
            <w:tcBorders>
              <w:top w:val="nil"/>
              <w:bottom w:val="nil"/>
            </w:tcBorders>
          </w:tcPr>
          <w:p>
            <w:pPr>
              <w:pStyle w:val="TableParagraph"/>
              <w:spacing w:line="238" w:lineRule="exact" w:before="0"/>
              <w:rPr>
                <w:rFonts w:ascii="Cambria"/>
                <w:sz w:val="22"/>
              </w:rPr>
            </w:pPr>
            <w:r>
              <w:rPr>
                <w:rFonts w:ascii="Cambria"/>
                <w:sz w:val="22"/>
              </w:rPr>
              <w:t>ument/relationshi</w:t>
            </w:r>
          </w:p>
        </w:tc>
        <w:tc>
          <w:tcPr>
            <w:tcW w:w="8250" w:type="dxa"/>
            <w:tcBorders>
              <w:top w:val="nil"/>
              <w:bottom w:val="nil"/>
            </w:tcBorders>
          </w:tcPr>
          <w:p>
            <w:pPr>
              <w:pStyle w:val="TableParagraph"/>
              <w:spacing w:before="0"/>
              <w:ind w:left="0"/>
              <w:rPr>
                <w:rFonts w:ascii="Times New Roman"/>
                <w:sz w:val="18"/>
              </w:rPr>
            </w:pPr>
          </w:p>
        </w:tc>
      </w:tr>
      <w:tr>
        <w:trPr>
          <w:trHeight w:val="301" w:hRule="atLeast"/>
        </w:trPr>
        <w:tc>
          <w:tcPr>
            <w:tcW w:w="2062" w:type="dxa"/>
            <w:tcBorders>
              <w:top w:val="nil"/>
            </w:tcBorders>
          </w:tcPr>
          <w:p>
            <w:pPr>
              <w:pStyle w:val="TableParagraph"/>
              <w:spacing w:before="1"/>
              <w:rPr>
                <w:rFonts w:ascii="Cambria"/>
                <w:sz w:val="22"/>
              </w:rPr>
            </w:pPr>
            <w:r>
              <w:rPr>
                <w:rFonts w:ascii="Cambria"/>
                <w:sz w:val="22"/>
              </w:rPr>
              <w:t>ps</w:t>
            </w:r>
          </w:p>
        </w:tc>
        <w:tc>
          <w:tcPr>
            <w:tcW w:w="8250" w:type="dxa"/>
            <w:tcBorders>
              <w:top w:val="nil"/>
            </w:tcBorders>
          </w:tcPr>
          <w:p>
            <w:pPr>
              <w:pStyle w:val="TableParagraph"/>
              <w:spacing w:before="0"/>
              <w:ind w:left="0"/>
              <w:rPr>
                <w:rFonts w:ascii="Times New Roman"/>
                <w:sz w:val="22"/>
              </w:rPr>
            </w:pPr>
          </w:p>
        </w:tc>
      </w:tr>
      <w:tr>
        <w:trPr>
          <w:trHeight w:val="1161" w:hRule="atLeast"/>
        </w:trPr>
        <w:tc>
          <w:tcPr>
            <w:tcW w:w="2062" w:type="dxa"/>
          </w:tcPr>
          <w:p>
            <w:pPr>
              <w:pStyle w:val="TableParagraph"/>
              <w:spacing w:line="256" w:lineRule="exact" w:before="42"/>
              <w:rPr>
                <w:rFonts w:ascii="Cambria"/>
                <w:sz w:val="22"/>
              </w:rPr>
            </w:pPr>
            <w:r>
              <w:rPr>
                <w:rFonts w:ascii="Cambria"/>
                <w:sz w:val="22"/>
              </w:rPr>
              <w:t>orientation</w:t>
            </w:r>
          </w:p>
          <w:p>
            <w:pPr>
              <w:pStyle w:val="TableParagraph"/>
              <w:spacing w:line="267" w:lineRule="exact" w:before="0"/>
              <w:rPr>
                <w:sz w:val="22"/>
              </w:rPr>
            </w:pPr>
            <w:r>
              <w:rPr>
                <w:sz w:val="22"/>
              </w:rPr>
              <w:t>(Orientation)</w:t>
            </w:r>
          </w:p>
        </w:tc>
        <w:tc>
          <w:tcPr>
            <w:tcW w:w="8250" w:type="dxa"/>
          </w:tcPr>
          <w:p>
            <w:pPr>
              <w:pStyle w:val="TableParagraph"/>
              <w:rPr>
                <w:sz w:val="22"/>
              </w:rPr>
            </w:pPr>
            <w:r>
              <w:rPr>
                <w:sz w:val="22"/>
              </w:rPr>
              <w:t>Orientation of the page.</w:t>
            </w:r>
          </w:p>
          <w:p>
            <w:pPr>
              <w:pStyle w:val="TableParagraph"/>
              <w:spacing w:before="4"/>
              <w:ind w:left="0"/>
              <w:rPr>
                <w:rFonts w:ascii="Times New Roman"/>
                <w:sz w:val="23"/>
              </w:rPr>
            </w:pPr>
          </w:p>
          <w:p>
            <w:pPr>
              <w:pStyle w:val="TableParagraph"/>
              <w:spacing w:before="0"/>
              <w:ind w:right="622"/>
              <w:rPr>
                <w:sz w:val="22"/>
              </w:rPr>
            </w:pPr>
            <w:r>
              <w:rPr>
                <w:sz w:val="22"/>
              </w:rPr>
              <w:t>The possible values for this attribute are defined by the </w:t>
            </w:r>
            <w:r>
              <w:rPr>
                <w:rFonts w:ascii="Cambria" w:hAnsi="Cambria"/>
                <w:sz w:val="22"/>
              </w:rPr>
              <w:t>ST_Orientation </w:t>
            </w:r>
            <w:r>
              <w:rPr>
                <w:sz w:val="22"/>
              </w:rPr>
              <w:t>simple type </w:t>
            </w:r>
            <w:hyperlink w:history="true" w:anchor="_bookmark872">
              <w:r>
                <w:rPr>
                  <w:sz w:val="22"/>
                </w:rPr>
                <w:t>(§18.18.50</w:t>
              </w:r>
            </w:hyperlink>
            <w:r>
              <w:rPr>
                <w:sz w:val="22"/>
              </w:rPr>
              <w:t>).</w:t>
            </w:r>
          </w:p>
        </w:tc>
      </w:tr>
      <w:tr>
        <w:trPr>
          <w:trHeight w:val="1965" w:hRule="atLeast"/>
        </w:trPr>
        <w:tc>
          <w:tcPr>
            <w:tcW w:w="2062" w:type="dxa"/>
          </w:tcPr>
          <w:p>
            <w:pPr>
              <w:pStyle w:val="TableParagraph"/>
              <w:ind w:right="106"/>
              <w:rPr>
                <w:sz w:val="22"/>
              </w:rPr>
            </w:pPr>
            <w:r>
              <w:rPr>
                <w:rFonts w:ascii="Cambria"/>
                <w:sz w:val="22"/>
              </w:rPr>
              <w:t>paperHeight </w:t>
            </w:r>
            <w:r>
              <w:rPr>
                <w:sz w:val="22"/>
              </w:rPr>
              <w:t>(Paper Height)</w:t>
            </w:r>
          </w:p>
        </w:tc>
        <w:tc>
          <w:tcPr>
            <w:tcW w:w="8250" w:type="dxa"/>
          </w:tcPr>
          <w:p>
            <w:pPr>
              <w:pStyle w:val="TableParagraph"/>
              <w:rPr>
                <w:rFonts w:ascii="Consolas"/>
                <w:sz w:val="20"/>
              </w:rPr>
            </w:pPr>
            <w:r>
              <w:rPr>
                <w:sz w:val="22"/>
              </w:rPr>
              <w:t>Height of custom paper as a number followed by a unit identifier. [</w:t>
            </w:r>
            <w:r>
              <w:rPr>
                <w:i/>
                <w:sz w:val="22"/>
              </w:rPr>
              <w:t>Example</w:t>
            </w:r>
            <w:r>
              <w:rPr>
                <w:sz w:val="22"/>
              </w:rPr>
              <w:t>: </w:t>
            </w:r>
            <w:r>
              <w:rPr>
                <w:rFonts w:ascii="Consolas"/>
                <w:sz w:val="20"/>
              </w:rPr>
              <w:t>297mm</w:t>
            </w:r>
            <w:r>
              <w:rPr>
                <w:sz w:val="22"/>
              </w:rPr>
              <w:t>, </w:t>
            </w:r>
            <w:r>
              <w:rPr>
                <w:rFonts w:ascii="Consolas"/>
                <w:sz w:val="20"/>
              </w:rPr>
              <w:t>11in</w:t>
            </w: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sz w:val="22"/>
              </w:rPr>
            </w:pPr>
            <w:r>
              <w:rPr>
                <w:sz w:val="22"/>
              </w:rPr>
              <w:t>When </w:t>
            </w:r>
            <w:r>
              <w:rPr>
                <w:rFonts w:ascii="Cambria"/>
                <w:sz w:val="22"/>
              </w:rPr>
              <w:t>paperHeight </w:t>
            </w:r>
            <w:r>
              <w:rPr>
                <w:sz w:val="22"/>
              </w:rPr>
              <w:t>and </w:t>
            </w:r>
            <w:r>
              <w:rPr>
                <w:rFonts w:ascii="Cambria"/>
                <w:sz w:val="22"/>
              </w:rPr>
              <w:t>paperWidth </w:t>
            </w:r>
            <w:r>
              <w:rPr>
                <w:sz w:val="22"/>
              </w:rPr>
              <w:t>are specified, </w:t>
            </w:r>
            <w:r>
              <w:rPr>
                <w:rFonts w:ascii="Cambria"/>
                <w:sz w:val="22"/>
              </w:rPr>
              <w:t>paperSize </w:t>
            </w:r>
            <w:r>
              <w:rPr>
                <w:sz w:val="22"/>
              </w:rPr>
              <w:t>shall be ignored.</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t>
            </w:r>
            <w:r>
              <w:rPr>
                <w:rFonts w:ascii="Cambria"/>
                <w:sz w:val="22"/>
              </w:rPr>
              <w:t>ST_PositiveUniversalMeasure</w:t>
            </w:r>
          </w:p>
          <w:p>
            <w:pPr>
              <w:pStyle w:val="TableParagraph"/>
              <w:spacing w:before="0"/>
              <w:rPr>
                <w:sz w:val="22"/>
              </w:rPr>
            </w:pPr>
            <w:r>
              <w:rPr>
                <w:sz w:val="22"/>
              </w:rPr>
              <w:t>simple type (§22.9.2.12).</w:t>
            </w:r>
          </w:p>
        </w:tc>
      </w:tr>
      <w:tr>
        <w:trPr>
          <w:trHeight w:val="5726" w:hRule="atLeast"/>
        </w:trPr>
        <w:tc>
          <w:tcPr>
            <w:tcW w:w="2062" w:type="dxa"/>
          </w:tcPr>
          <w:p>
            <w:pPr>
              <w:pStyle w:val="TableParagraph"/>
              <w:ind w:right="353"/>
              <w:rPr>
                <w:sz w:val="22"/>
              </w:rPr>
            </w:pPr>
            <w:r>
              <w:rPr>
                <w:rFonts w:ascii="Cambria"/>
                <w:sz w:val="22"/>
              </w:rPr>
              <w:t>paperSize </w:t>
            </w:r>
            <w:r>
              <w:rPr>
                <w:sz w:val="22"/>
              </w:rPr>
              <w:t>(Paper Size)</w:t>
            </w:r>
          </w:p>
        </w:tc>
        <w:tc>
          <w:tcPr>
            <w:tcW w:w="8250" w:type="dxa"/>
          </w:tcPr>
          <w:p>
            <w:pPr>
              <w:pStyle w:val="TableParagraph"/>
              <w:rPr>
                <w:sz w:val="22"/>
              </w:rPr>
            </w:pPr>
            <w:r>
              <w:rPr>
                <w:sz w:val="22"/>
              </w:rPr>
              <w:t>1 = Letter paper (8.5 in. by 11 in.)</w:t>
            </w:r>
          </w:p>
          <w:p>
            <w:pPr>
              <w:pStyle w:val="TableParagraph"/>
              <w:spacing w:before="0"/>
              <w:ind w:right="4616"/>
              <w:rPr>
                <w:sz w:val="22"/>
              </w:rPr>
            </w:pPr>
            <w:r>
              <w:rPr>
                <w:sz w:val="22"/>
              </w:rPr>
              <w:t>2 = Letter small paper (8.5 in. by 11 in.) 3 = Tabloid paper (11 in. by 17 in.)</w:t>
            </w:r>
          </w:p>
          <w:p>
            <w:pPr>
              <w:pStyle w:val="TableParagraph"/>
              <w:spacing w:line="267" w:lineRule="exact" w:before="1"/>
              <w:rPr>
                <w:sz w:val="22"/>
              </w:rPr>
            </w:pPr>
            <w:r>
              <w:rPr>
                <w:sz w:val="22"/>
              </w:rPr>
              <w:t>4 = Ledger paper (17 in. by 11 in.)</w:t>
            </w:r>
          </w:p>
          <w:p>
            <w:pPr>
              <w:pStyle w:val="TableParagraph"/>
              <w:spacing w:line="267" w:lineRule="exact" w:before="0"/>
              <w:rPr>
                <w:sz w:val="22"/>
              </w:rPr>
            </w:pPr>
            <w:r>
              <w:rPr>
                <w:sz w:val="22"/>
              </w:rPr>
              <w:t>5 = Legal paper (8.5 in. by 14 in.)</w:t>
            </w:r>
          </w:p>
          <w:p>
            <w:pPr>
              <w:pStyle w:val="TableParagraph"/>
              <w:spacing w:before="0"/>
              <w:rPr>
                <w:sz w:val="22"/>
              </w:rPr>
            </w:pPr>
            <w:r>
              <w:rPr>
                <w:sz w:val="22"/>
              </w:rPr>
              <w:t>6 = Statement paper (5.5 in. by 8.5 in.)</w:t>
            </w:r>
          </w:p>
          <w:p>
            <w:pPr>
              <w:pStyle w:val="TableParagraph"/>
              <w:spacing w:before="0"/>
              <w:rPr>
                <w:sz w:val="22"/>
              </w:rPr>
            </w:pPr>
            <w:r>
              <w:rPr>
                <w:sz w:val="22"/>
              </w:rPr>
              <w:t>7 = Executive paper (7.25 in. by 10.5 in.)</w:t>
            </w:r>
          </w:p>
          <w:p>
            <w:pPr>
              <w:pStyle w:val="TableParagraph"/>
              <w:spacing w:before="0"/>
              <w:rPr>
                <w:sz w:val="22"/>
              </w:rPr>
            </w:pPr>
            <w:r>
              <w:rPr>
                <w:sz w:val="22"/>
              </w:rPr>
              <w:t>8 = A3 paper (297 mm by 420</w:t>
            </w:r>
            <w:r>
              <w:rPr>
                <w:spacing w:val="-17"/>
                <w:sz w:val="22"/>
              </w:rPr>
              <w:t> </w:t>
            </w:r>
            <w:r>
              <w:rPr>
                <w:sz w:val="22"/>
              </w:rPr>
              <w:t>mm)</w:t>
            </w:r>
          </w:p>
          <w:p>
            <w:pPr>
              <w:pStyle w:val="TableParagraph"/>
              <w:spacing w:before="1"/>
              <w:rPr>
                <w:sz w:val="22"/>
              </w:rPr>
            </w:pPr>
            <w:r>
              <w:rPr>
                <w:sz w:val="22"/>
              </w:rPr>
              <w:t>9 = A4 paper (210 mm by 297</w:t>
            </w:r>
            <w:r>
              <w:rPr>
                <w:spacing w:val="-17"/>
                <w:sz w:val="22"/>
              </w:rPr>
              <w:t> </w:t>
            </w:r>
            <w:r>
              <w:rPr>
                <w:sz w:val="22"/>
              </w:rPr>
              <w:t>mm)</w:t>
            </w:r>
          </w:p>
          <w:p>
            <w:pPr>
              <w:pStyle w:val="TableParagraph"/>
              <w:spacing w:before="0"/>
              <w:ind w:right="4374"/>
              <w:rPr>
                <w:sz w:val="22"/>
              </w:rPr>
            </w:pPr>
            <w:r>
              <w:rPr>
                <w:sz w:val="22"/>
              </w:rPr>
              <w:t>10 = A4 small paper (210 mm by 297 mm) 11 = A5 paper (148 mm by 210</w:t>
            </w:r>
            <w:r>
              <w:rPr>
                <w:spacing w:val="-14"/>
                <w:sz w:val="22"/>
              </w:rPr>
              <w:t> </w:t>
            </w:r>
            <w:r>
              <w:rPr>
                <w:sz w:val="22"/>
              </w:rPr>
              <w:t>mm)</w:t>
            </w:r>
          </w:p>
          <w:p>
            <w:pPr>
              <w:pStyle w:val="TableParagraph"/>
              <w:spacing w:before="0"/>
              <w:rPr>
                <w:sz w:val="22"/>
              </w:rPr>
            </w:pPr>
            <w:r>
              <w:rPr>
                <w:sz w:val="22"/>
              </w:rPr>
              <w:t>12 = B4 paper (250 mm by 353</w:t>
            </w:r>
            <w:r>
              <w:rPr>
                <w:spacing w:val="-18"/>
                <w:sz w:val="22"/>
              </w:rPr>
              <w:t> </w:t>
            </w:r>
            <w:r>
              <w:rPr>
                <w:sz w:val="22"/>
              </w:rPr>
              <w:t>mm)</w:t>
            </w:r>
          </w:p>
          <w:p>
            <w:pPr>
              <w:pStyle w:val="TableParagraph"/>
              <w:spacing w:before="1"/>
              <w:rPr>
                <w:sz w:val="22"/>
              </w:rPr>
            </w:pPr>
            <w:r>
              <w:rPr>
                <w:sz w:val="22"/>
              </w:rPr>
              <w:t>13 = B5 paper (176 mm by 250</w:t>
            </w:r>
            <w:r>
              <w:rPr>
                <w:spacing w:val="-18"/>
                <w:sz w:val="22"/>
              </w:rPr>
              <w:t> </w:t>
            </w:r>
            <w:r>
              <w:rPr>
                <w:sz w:val="22"/>
              </w:rPr>
              <w:t>mm)</w:t>
            </w:r>
          </w:p>
          <w:p>
            <w:pPr>
              <w:pStyle w:val="TableParagraph"/>
              <w:spacing w:line="268" w:lineRule="exact" w:before="0"/>
              <w:rPr>
                <w:sz w:val="22"/>
              </w:rPr>
            </w:pPr>
            <w:r>
              <w:rPr>
                <w:sz w:val="22"/>
              </w:rPr>
              <w:t>14 = Folio paper (8.5 in. by 13 in.)</w:t>
            </w:r>
          </w:p>
          <w:p>
            <w:pPr>
              <w:pStyle w:val="TableParagraph"/>
              <w:spacing w:line="268" w:lineRule="exact" w:before="0"/>
              <w:rPr>
                <w:sz w:val="22"/>
              </w:rPr>
            </w:pPr>
            <w:r>
              <w:rPr>
                <w:sz w:val="22"/>
              </w:rPr>
              <w:t>15 = Quarto paper (215 mm by 275 mm)</w:t>
            </w:r>
          </w:p>
          <w:p>
            <w:pPr>
              <w:pStyle w:val="TableParagraph"/>
              <w:spacing w:before="0"/>
              <w:rPr>
                <w:sz w:val="22"/>
              </w:rPr>
            </w:pPr>
            <w:r>
              <w:rPr>
                <w:sz w:val="22"/>
              </w:rPr>
              <w:t>16 = Standard paper (10 in. by 14</w:t>
            </w:r>
            <w:r>
              <w:rPr>
                <w:spacing w:val="-14"/>
                <w:sz w:val="22"/>
              </w:rPr>
              <w:t> </w:t>
            </w:r>
            <w:r>
              <w:rPr>
                <w:sz w:val="22"/>
              </w:rPr>
              <w:t>in.)</w:t>
            </w:r>
          </w:p>
          <w:p>
            <w:pPr>
              <w:pStyle w:val="TableParagraph"/>
              <w:spacing w:before="0"/>
              <w:rPr>
                <w:sz w:val="22"/>
              </w:rPr>
            </w:pPr>
            <w:r>
              <w:rPr>
                <w:sz w:val="22"/>
              </w:rPr>
              <w:t>17 = Standard paper (11 in. by 17</w:t>
            </w:r>
            <w:r>
              <w:rPr>
                <w:spacing w:val="-15"/>
                <w:sz w:val="22"/>
              </w:rPr>
              <w:t> </w:t>
            </w:r>
            <w:r>
              <w:rPr>
                <w:sz w:val="22"/>
              </w:rPr>
              <w:t>in.)</w:t>
            </w:r>
          </w:p>
          <w:p>
            <w:pPr>
              <w:pStyle w:val="TableParagraph"/>
              <w:spacing w:before="1"/>
              <w:rPr>
                <w:sz w:val="22"/>
              </w:rPr>
            </w:pPr>
            <w:r>
              <w:rPr>
                <w:sz w:val="22"/>
              </w:rPr>
              <w:t>18 = Note paper (8.5 in. by 11 in.)</w:t>
            </w:r>
          </w:p>
          <w:p>
            <w:pPr>
              <w:pStyle w:val="TableParagraph"/>
              <w:spacing w:before="0"/>
              <w:rPr>
                <w:sz w:val="22"/>
              </w:rPr>
            </w:pPr>
            <w:r>
              <w:rPr>
                <w:sz w:val="22"/>
              </w:rPr>
              <w:t>19 = #9 envelope (3.875 in. by 8.875 in.)</w:t>
            </w:r>
          </w:p>
          <w:p>
            <w:pPr>
              <w:pStyle w:val="TableParagraph"/>
              <w:spacing w:before="0"/>
              <w:rPr>
                <w:sz w:val="22"/>
              </w:rPr>
            </w:pPr>
            <w:r>
              <w:rPr>
                <w:sz w:val="22"/>
              </w:rPr>
              <w:t>20 = #10 envelope (4.125 in. by 9.5 in.)</w:t>
            </w:r>
          </w:p>
          <w:p>
            <w:pPr>
              <w:pStyle w:val="TableParagraph"/>
              <w:spacing w:before="0"/>
              <w:rPr>
                <w:sz w:val="22"/>
              </w:rPr>
            </w:pPr>
            <w:r>
              <w:rPr>
                <w:sz w:val="22"/>
              </w:rPr>
              <w:t>21 = #11 envelope (4.5 in. by 10.375 in.)</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2440"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22 = #12 envelope (4.75 in. by 11 in.)</w:t>
            </w:r>
          </w:p>
          <w:p>
            <w:pPr>
              <w:pStyle w:val="TableParagraph"/>
              <w:spacing w:before="0"/>
              <w:rPr>
                <w:sz w:val="22"/>
              </w:rPr>
            </w:pPr>
            <w:r>
              <w:rPr>
                <w:sz w:val="22"/>
              </w:rPr>
              <w:t>23 = #14 envelope (5 in. by 11.5 in.)</w:t>
            </w:r>
          </w:p>
          <w:p>
            <w:pPr>
              <w:pStyle w:val="TableParagraph"/>
              <w:spacing w:before="0"/>
              <w:rPr>
                <w:sz w:val="22"/>
              </w:rPr>
            </w:pPr>
            <w:r>
              <w:rPr>
                <w:sz w:val="22"/>
              </w:rPr>
              <w:t>24 = C paper (17 in. by 22</w:t>
            </w:r>
            <w:r>
              <w:rPr>
                <w:spacing w:val="-15"/>
                <w:sz w:val="22"/>
              </w:rPr>
              <w:t> </w:t>
            </w:r>
            <w:r>
              <w:rPr>
                <w:sz w:val="22"/>
              </w:rPr>
              <w:t>in.)</w:t>
            </w:r>
          </w:p>
          <w:p>
            <w:pPr>
              <w:pStyle w:val="TableParagraph"/>
              <w:spacing w:line="267" w:lineRule="exact" w:before="0"/>
              <w:rPr>
                <w:sz w:val="22"/>
              </w:rPr>
            </w:pPr>
            <w:r>
              <w:rPr>
                <w:sz w:val="22"/>
              </w:rPr>
              <w:t>25 = D paper (22 in. by 34</w:t>
            </w:r>
            <w:r>
              <w:rPr>
                <w:spacing w:val="-16"/>
                <w:sz w:val="22"/>
              </w:rPr>
              <w:t> </w:t>
            </w:r>
            <w:r>
              <w:rPr>
                <w:sz w:val="22"/>
              </w:rPr>
              <w:t>in.)</w:t>
            </w:r>
          </w:p>
          <w:p>
            <w:pPr>
              <w:pStyle w:val="TableParagraph"/>
              <w:spacing w:line="267" w:lineRule="exact" w:before="0"/>
              <w:rPr>
                <w:sz w:val="22"/>
              </w:rPr>
            </w:pPr>
            <w:r>
              <w:rPr>
                <w:sz w:val="22"/>
              </w:rPr>
              <w:t>26 = E paper (34 in. by 44</w:t>
            </w:r>
            <w:r>
              <w:rPr>
                <w:spacing w:val="-14"/>
                <w:sz w:val="22"/>
              </w:rPr>
              <w:t> </w:t>
            </w:r>
            <w:r>
              <w:rPr>
                <w:sz w:val="22"/>
              </w:rPr>
              <w:t>in.)</w:t>
            </w:r>
          </w:p>
          <w:p>
            <w:pPr>
              <w:pStyle w:val="TableParagraph"/>
              <w:spacing w:before="1"/>
              <w:rPr>
                <w:sz w:val="22"/>
              </w:rPr>
            </w:pPr>
            <w:r>
              <w:rPr>
                <w:sz w:val="22"/>
              </w:rPr>
              <w:t>27 = DL envelope (110 mm by 220</w:t>
            </w:r>
            <w:r>
              <w:rPr>
                <w:spacing w:val="-15"/>
                <w:sz w:val="22"/>
              </w:rPr>
              <w:t> </w:t>
            </w:r>
            <w:r>
              <w:rPr>
                <w:sz w:val="22"/>
              </w:rPr>
              <w:t>mm)</w:t>
            </w:r>
          </w:p>
          <w:p>
            <w:pPr>
              <w:pStyle w:val="TableParagraph"/>
              <w:spacing w:before="0"/>
              <w:rPr>
                <w:sz w:val="22"/>
              </w:rPr>
            </w:pPr>
            <w:r>
              <w:rPr>
                <w:sz w:val="22"/>
              </w:rPr>
              <w:t>28 = C5 envelope (162 mm by 229</w:t>
            </w:r>
            <w:r>
              <w:rPr>
                <w:spacing w:val="-17"/>
                <w:sz w:val="22"/>
              </w:rPr>
              <w:t> </w:t>
            </w:r>
            <w:r>
              <w:rPr>
                <w:sz w:val="22"/>
              </w:rPr>
              <w:t>mm)</w:t>
            </w:r>
          </w:p>
          <w:p>
            <w:pPr>
              <w:pStyle w:val="TableParagraph"/>
              <w:spacing w:before="0"/>
              <w:rPr>
                <w:sz w:val="22"/>
              </w:rPr>
            </w:pPr>
            <w:r>
              <w:rPr>
                <w:sz w:val="22"/>
              </w:rPr>
              <w:t>29 = C3 envelope (324 mm by 458</w:t>
            </w:r>
            <w:r>
              <w:rPr>
                <w:spacing w:val="-16"/>
                <w:sz w:val="22"/>
              </w:rPr>
              <w:t> </w:t>
            </w:r>
            <w:r>
              <w:rPr>
                <w:sz w:val="22"/>
              </w:rPr>
              <w:t>mm)</w:t>
            </w:r>
          </w:p>
          <w:p>
            <w:pPr>
              <w:pStyle w:val="TableParagraph"/>
              <w:spacing w:before="0"/>
              <w:rPr>
                <w:sz w:val="22"/>
              </w:rPr>
            </w:pPr>
            <w:r>
              <w:rPr>
                <w:sz w:val="22"/>
              </w:rPr>
              <w:t>30 = C4 envelope (229 mm by 324</w:t>
            </w:r>
            <w:r>
              <w:rPr>
                <w:spacing w:val="-17"/>
                <w:sz w:val="22"/>
              </w:rPr>
              <w:t> </w:t>
            </w:r>
            <w:r>
              <w:rPr>
                <w:sz w:val="22"/>
              </w:rPr>
              <w:t>mm)</w:t>
            </w:r>
          </w:p>
          <w:p>
            <w:pPr>
              <w:pStyle w:val="TableParagraph"/>
              <w:spacing w:before="1"/>
              <w:rPr>
                <w:sz w:val="22"/>
              </w:rPr>
            </w:pPr>
            <w:r>
              <w:rPr>
                <w:sz w:val="22"/>
              </w:rPr>
              <w:t>31 = C6 envelope (114 mm by 162</w:t>
            </w:r>
            <w:r>
              <w:rPr>
                <w:spacing w:val="-17"/>
                <w:sz w:val="22"/>
              </w:rPr>
              <w:t> </w:t>
            </w:r>
            <w:r>
              <w:rPr>
                <w:sz w:val="22"/>
              </w:rPr>
              <w:t>mm)</w:t>
            </w:r>
          </w:p>
          <w:p>
            <w:pPr>
              <w:pStyle w:val="TableParagraph"/>
              <w:spacing w:before="0"/>
              <w:rPr>
                <w:sz w:val="22"/>
              </w:rPr>
            </w:pPr>
            <w:r>
              <w:rPr>
                <w:sz w:val="22"/>
              </w:rPr>
              <w:t>32 = C65 envelope (114 mm by 229 mm)</w:t>
            </w:r>
          </w:p>
          <w:p>
            <w:pPr>
              <w:pStyle w:val="TableParagraph"/>
              <w:spacing w:before="0"/>
              <w:rPr>
                <w:sz w:val="22"/>
              </w:rPr>
            </w:pPr>
            <w:r>
              <w:rPr>
                <w:sz w:val="22"/>
              </w:rPr>
              <w:t>33 = B4 envelope (250 mm by 353</w:t>
            </w:r>
            <w:r>
              <w:rPr>
                <w:spacing w:val="-17"/>
                <w:sz w:val="22"/>
              </w:rPr>
              <w:t> </w:t>
            </w:r>
            <w:r>
              <w:rPr>
                <w:sz w:val="22"/>
              </w:rPr>
              <w:t>mm)</w:t>
            </w:r>
          </w:p>
          <w:p>
            <w:pPr>
              <w:pStyle w:val="TableParagraph"/>
              <w:spacing w:before="1"/>
              <w:rPr>
                <w:sz w:val="22"/>
              </w:rPr>
            </w:pPr>
            <w:r>
              <w:rPr>
                <w:sz w:val="22"/>
              </w:rPr>
              <w:t>34 = B5 envelope (176 mm by 250</w:t>
            </w:r>
            <w:r>
              <w:rPr>
                <w:spacing w:val="-17"/>
                <w:sz w:val="22"/>
              </w:rPr>
              <w:t> </w:t>
            </w:r>
            <w:r>
              <w:rPr>
                <w:sz w:val="22"/>
              </w:rPr>
              <w:t>mm)</w:t>
            </w:r>
          </w:p>
          <w:p>
            <w:pPr>
              <w:pStyle w:val="TableParagraph"/>
              <w:spacing w:line="267" w:lineRule="exact" w:before="0"/>
              <w:rPr>
                <w:sz w:val="22"/>
              </w:rPr>
            </w:pPr>
            <w:r>
              <w:rPr>
                <w:sz w:val="22"/>
              </w:rPr>
              <w:t>35 = B6 envelope (176 mm by 125</w:t>
            </w:r>
            <w:r>
              <w:rPr>
                <w:spacing w:val="-17"/>
                <w:sz w:val="22"/>
              </w:rPr>
              <w:t> </w:t>
            </w:r>
            <w:r>
              <w:rPr>
                <w:sz w:val="22"/>
              </w:rPr>
              <w:t>mm)</w:t>
            </w:r>
          </w:p>
          <w:p>
            <w:pPr>
              <w:pStyle w:val="TableParagraph"/>
              <w:spacing w:line="267" w:lineRule="exact" w:before="0"/>
              <w:rPr>
                <w:sz w:val="22"/>
              </w:rPr>
            </w:pPr>
            <w:r>
              <w:rPr>
                <w:sz w:val="22"/>
              </w:rPr>
              <w:t>36 = Italy envelope (110 mm by 230 mm)</w:t>
            </w:r>
          </w:p>
          <w:p>
            <w:pPr>
              <w:pStyle w:val="TableParagraph"/>
              <w:spacing w:before="0"/>
              <w:rPr>
                <w:sz w:val="22"/>
              </w:rPr>
            </w:pPr>
            <w:r>
              <w:rPr>
                <w:sz w:val="22"/>
              </w:rPr>
              <w:t>37 = Monarch envelope (3.875 in. by 7.5 in.).</w:t>
            </w:r>
          </w:p>
          <w:p>
            <w:pPr>
              <w:pStyle w:val="TableParagraph"/>
              <w:spacing w:before="1"/>
              <w:rPr>
                <w:sz w:val="22"/>
              </w:rPr>
            </w:pPr>
            <w:r>
              <w:rPr>
                <w:sz w:val="22"/>
              </w:rPr>
              <w:t>38 = 6 3/4 envelope (3.625 in. by 6.5 in.)</w:t>
            </w:r>
          </w:p>
          <w:p>
            <w:pPr>
              <w:pStyle w:val="TableParagraph"/>
              <w:spacing w:before="0"/>
              <w:ind w:right="3878"/>
              <w:rPr>
                <w:sz w:val="22"/>
              </w:rPr>
            </w:pPr>
            <w:r>
              <w:rPr>
                <w:sz w:val="22"/>
              </w:rPr>
              <w:t>39 = US standard fanfold (14.875 in. by 11 in.) 40 = German standard fanfold (8.5 in. by 12 in.) 41 = German legal fanfold (8.5 in. by 13 in.)</w:t>
            </w:r>
          </w:p>
          <w:p>
            <w:pPr>
              <w:pStyle w:val="TableParagraph"/>
              <w:spacing w:before="1"/>
              <w:rPr>
                <w:sz w:val="22"/>
              </w:rPr>
            </w:pPr>
            <w:r>
              <w:rPr>
                <w:sz w:val="22"/>
              </w:rPr>
              <w:t>42 = ISO B4 (250 mm by 353 mm)</w:t>
            </w:r>
          </w:p>
          <w:p>
            <w:pPr>
              <w:pStyle w:val="TableParagraph"/>
              <w:spacing w:before="0"/>
              <w:ind w:right="3382"/>
              <w:rPr>
                <w:sz w:val="22"/>
              </w:rPr>
            </w:pPr>
            <w:r>
              <w:rPr>
                <w:sz w:val="22"/>
              </w:rPr>
              <w:t>43 = Japanese double postcard (200 mm by 148 mm) 44 = Standard paper (9 in. by 11 in.)</w:t>
            </w:r>
          </w:p>
          <w:p>
            <w:pPr>
              <w:pStyle w:val="TableParagraph"/>
              <w:spacing w:line="267" w:lineRule="exact" w:before="0"/>
              <w:rPr>
                <w:sz w:val="22"/>
              </w:rPr>
            </w:pPr>
            <w:r>
              <w:rPr>
                <w:sz w:val="22"/>
              </w:rPr>
              <w:t>45 = Standard paper (10 in. by 11</w:t>
            </w:r>
            <w:r>
              <w:rPr>
                <w:spacing w:val="-15"/>
                <w:sz w:val="22"/>
              </w:rPr>
              <w:t> </w:t>
            </w:r>
            <w:r>
              <w:rPr>
                <w:sz w:val="22"/>
              </w:rPr>
              <w:t>in.)</w:t>
            </w:r>
          </w:p>
          <w:p>
            <w:pPr>
              <w:pStyle w:val="TableParagraph"/>
              <w:spacing w:line="267" w:lineRule="exact" w:before="0"/>
              <w:rPr>
                <w:sz w:val="22"/>
              </w:rPr>
            </w:pPr>
            <w:r>
              <w:rPr>
                <w:sz w:val="22"/>
              </w:rPr>
              <w:t>46 = Standard paper (15 in. by 11</w:t>
            </w:r>
            <w:r>
              <w:rPr>
                <w:spacing w:val="-15"/>
                <w:sz w:val="22"/>
              </w:rPr>
              <w:t> </w:t>
            </w:r>
            <w:r>
              <w:rPr>
                <w:sz w:val="22"/>
              </w:rPr>
              <w:t>in.)</w:t>
            </w:r>
          </w:p>
          <w:p>
            <w:pPr>
              <w:pStyle w:val="TableParagraph"/>
              <w:spacing w:before="1"/>
              <w:ind w:right="4164"/>
              <w:rPr>
                <w:sz w:val="22"/>
              </w:rPr>
            </w:pPr>
            <w:r>
              <w:rPr>
                <w:sz w:val="22"/>
              </w:rPr>
              <w:t>47 = Invite envelope (220 mm by 220 mm) 50 = Letter extra paper (9.275 in. by 12 in.) 51 = Legal extra paper (9.275 in. by 15 in.) 52 = Tabloid extra paper (11.69 in. by 18 in.) 53 = A4 extra paper (236 mm by 322 mm)</w:t>
            </w:r>
          </w:p>
          <w:p>
            <w:pPr>
              <w:pStyle w:val="TableParagraph"/>
              <w:spacing w:before="1"/>
              <w:ind w:right="3811"/>
              <w:rPr>
                <w:sz w:val="22"/>
              </w:rPr>
            </w:pPr>
            <w:r>
              <w:rPr>
                <w:sz w:val="22"/>
              </w:rPr>
              <w:t>54 = Letter transverse paper (8.275 in. by 11 in.) 55 = A4 transverse paper (210 mm by 297 mm)</w:t>
            </w:r>
          </w:p>
          <w:p>
            <w:pPr>
              <w:pStyle w:val="TableParagraph"/>
              <w:spacing w:before="1"/>
              <w:ind w:right="3301"/>
              <w:rPr>
                <w:sz w:val="22"/>
              </w:rPr>
            </w:pPr>
            <w:r>
              <w:rPr>
                <w:sz w:val="22"/>
              </w:rPr>
              <w:t>56 = Letter extra transverse paper (9.275 in. by 12 in.) 57 = SuperA/SuperA/A4 paper (227 mm by 356 mm)</w:t>
            </w:r>
          </w:p>
          <w:p>
            <w:pPr>
              <w:pStyle w:val="TableParagraph"/>
              <w:spacing w:before="0"/>
              <w:ind w:right="3446"/>
              <w:rPr>
                <w:sz w:val="22"/>
              </w:rPr>
            </w:pPr>
            <w:r>
              <w:rPr>
                <w:sz w:val="22"/>
              </w:rPr>
              <w:t>58 = SuperB/SuperB/A3 paper (305 mm by 487 mm) 59 = Letter plus paper (8.5 in. by 12.69 in.)</w:t>
            </w:r>
          </w:p>
          <w:p>
            <w:pPr>
              <w:pStyle w:val="TableParagraph"/>
              <w:spacing w:before="0"/>
              <w:rPr>
                <w:sz w:val="22"/>
              </w:rPr>
            </w:pPr>
            <w:r>
              <w:rPr>
                <w:sz w:val="22"/>
              </w:rPr>
              <w:t>60 = A4 plus paper (210 mm by 330 mm)</w:t>
            </w:r>
          </w:p>
          <w:p>
            <w:pPr>
              <w:pStyle w:val="TableParagraph"/>
              <w:spacing w:before="0"/>
              <w:ind w:right="3651"/>
              <w:rPr>
                <w:sz w:val="22"/>
              </w:rPr>
            </w:pPr>
            <w:r>
              <w:rPr>
                <w:sz w:val="22"/>
              </w:rPr>
              <w:t>61 = A5 transverse paper (148 mm by 210 mm)  62 = JIS B5 transverse paper (182 mm by 257 mm) 63 = A3 extra paper (322 mm by 445</w:t>
            </w:r>
            <w:r>
              <w:rPr>
                <w:spacing w:val="-12"/>
                <w:sz w:val="22"/>
              </w:rPr>
              <w:t> </w:t>
            </w:r>
            <w:r>
              <w:rPr>
                <w:sz w:val="22"/>
              </w:rPr>
              <w:t>mm)</w:t>
            </w:r>
          </w:p>
          <w:p>
            <w:pPr>
              <w:pStyle w:val="TableParagraph"/>
              <w:spacing w:before="0"/>
              <w:rPr>
                <w:sz w:val="22"/>
              </w:rPr>
            </w:pPr>
            <w:r>
              <w:rPr>
                <w:sz w:val="22"/>
              </w:rPr>
              <w:t>64 = A5 extra paper (174 mm by 235</w:t>
            </w:r>
            <w:r>
              <w:rPr>
                <w:spacing w:val="-14"/>
                <w:sz w:val="22"/>
              </w:rPr>
              <w:t> </w:t>
            </w:r>
            <w:r>
              <w:rPr>
                <w:sz w:val="22"/>
              </w:rPr>
              <w:t>mm)</w:t>
            </w:r>
          </w:p>
          <w:p>
            <w:pPr>
              <w:pStyle w:val="TableParagraph"/>
              <w:spacing w:before="0"/>
              <w:ind w:right="4037"/>
              <w:rPr>
                <w:sz w:val="22"/>
              </w:rPr>
            </w:pPr>
            <w:r>
              <w:rPr>
                <w:sz w:val="22"/>
              </w:rPr>
              <w:t>65 = ISO B5 extra paper (201 mm by 276 mm) 66 = A2 paper (420 mm by 594 mm)</w:t>
            </w:r>
          </w:p>
          <w:p>
            <w:pPr>
              <w:pStyle w:val="TableParagraph"/>
              <w:spacing w:line="267" w:lineRule="exact" w:before="0"/>
              <w:rPr>
                <w:sz w:val="22"/>
              </w:rPr>
            </w:pPr>
            <w:r>
              <w:rPr>
                <w:sz w:val="22"/>
              </w:rPr>
              <w:t>67 = A3 transverse paper (297 mm by 420 mm)</w:t>
            </w:r>
          </w:p>
          <w:p>
            <w:pPr>
              <w:pStyle w:val="TableParagraph"/>
              <w:spacing w:before="0"/>
              <w:rPr>
                <w:sz w:val="22"/>
              </w:rPr>
            </w:pPr>
            <w:r>
              <w:rPr>
                <w:sz w:val="22"/>
              </w:rPr>
              <w:t>68 = A3 extra transverse paper (322 mm by 445 mm)</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309" w:hRule="atLeast"/>
        </w:trPr>
        <w:tc>
          <w:tcPr>
            <w:tcW w:w="2062" w:type="dxa"/>
          </w:tcPr>
          <w:p>
            <w:pPr>
              <w:pStyle w:val="TableParagraph"/>
              <w:spacing w:before="0"/>
              <w:ind w:left="0"/>
              <w:rPr>
                <w:rFonts w:ascii="Times New Roman"/>
                <w:sz w:val="22"/>
              </w:rPr>
            </w:pPr>
          </w:p>
        </w:tc>
        <w:tc>
          <w:tcPr>
            <w:tcW w:w="8250" w:type="dxa"/>
          </w:tcPr>
          <w:p>
            <w:pPr>
              <w:pStyle w:val="TableParagraph"/>
              <w:ind w:right="276"/>
              <w:rPr>
                <w:sz w:val="22"/>
              </w:rPr>
            </w:pPr>
            <w:r>
              <w:rPr>
                <w:sz w:val="22"/>
              </w:rPr>
              <w:t>[</w:t>
            </w:r>
            <w:r>
              <w:rPr>
                <w:i/>
                <w:sz w:val="22"/>
              </w:rPr>
              <w:t>Note</w:t>
            </w:r>
            <w:r>
              <w:rPr>
                <w:sz w:val="22"/>
              </w:rPr>
              <w:t>: To maximize interoperability, implementers should restrict the content of this attribute to enumerations present in the above list. Additional values may be used, but interoperability will only be possible via mutual agreement between implementers. </w:t>
            </w:r>
            <w:r>
              <w:rPr>
                <w:i/>
                <w:sz w:val="22"/>
              </w:rPr>
              <w:t>end </w:t>
            </w:r>
            <w:r>
              <w:rPr>
                <w:i/>
                <w:sz w:val="22"/>
              </w:rPr>
              <w:t>note</w:t>
            </w:r>
            <w:r>
              <w:rPr>
                <w:sz w:val="22"/>
              </w:rPr>
              <w:t>]</w:t>
            </w:r>
          </w:p>
          <w:p>
            <w:pPr>
              <w:pStyle w:val="TableParagraph"/>
              <w:spacing w:before="2"/>
              <w:ind w:left="0"/>
              <w:rPr>
                <w:rFonts w:ascii="Times New Roman"/>
                <w:sz w:val="23"/>
              </w:rPr>
            </w:pPr>
          </w:p>
          <w:p>
            <w:pPr>
              <w:pStyle w:val="TableParagraph"/>
              <w:spacing w:before="1"/>
              <w:ind w:right="590"/>
              <w:rPr>
                <w:sz w:val="22"/>
              </w:rPr>
            </w:pPr>
            <w:r>
              <w:rPr>
                <w:sz w:val="22"/>
              </w:rPr>
              <w:t>When values not present in the above list are used, the behavior is implementation- defined.</w:t>
            </w:r>
          </w:p>
          <w:p>
            <w:pPr>
              <w:pStyle w:val="TableParagraph"/>
              <w:spacing w:before="4"/>
              <w:ind w:left="0"/>
              <w:rPr>
                <w:rFonts w:ascii="Times New Roman"/>
                <w:sz w:val="23"/>
              </w:rPr>
            </w:pPr>
          </w:p>
          <w:p>
            <w:pPr>
              <w:pStyle w:val="TableParagraph"/>
              <w:spacing w:before="0"/>
              <w:rPr>
                <w:sz w:val="22"/>
              </w:rPr>
            </w:pPr>
            <w:r>
              <w:rPr>
                <w:sz w:val="22"/>
              </w:rPr>
              <w:t>When </w:t>
            </w:r>
            <w:r>
              <w:rPr>
                <w:rFonts w:ascii="Cambria"/>
                <w:sz w:val="22"/>
              </w:rPr>
              <w:t>paperHeight </w:t>
            </w:r>
            <w:r>
              <w:rPr>
                <w:sz w:val="22"/>
              </w:rPr>
              <w:t>and </w:t>
            </w:r>
            <w:r>
              <w:rPr>
                <w:rFonts w:ascii="Cambria"/>
                <w:sz w:val="22"/>
              </w:rPr>
              <w:t>paperWidth </w:t>
            </w:r>
            <w:r>
              <w:rPr>
                <w:sz w:val="22"/>
              </w:rPr>
              <w:t>are specified, </w:t>
            </w:r>
            <w:r>
              <w:rPr>
                <w:rFonts w:ascii="Cambria"/>
                <w:sz w:val="22"/>
              </w:rPr>
              <w:t>paperSize </w:t>
            </w:r>
            <w:r>
              <w:rPr>
                <w:sz w:val="22"/>
              </w:rPr>
              <w:t>should be ignored.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5" w:hRule="atLeast"/>
        </w:trPr>
        <w:tc>
          <w:tcPr>
            <w:tcW w:w="2062" w:type="dxa"/>
          </w:tcPr>
          <w:p>
            <w:pPr>
              <w:pStyle w:val="TableParagraph"/>
              <w:ind w:right="148"/>
              <w:rPr>
                <w:sz w:val="22"/>
              </w:rPr>
            </w:pPr>
            <w:r>
              <w:rPr>
                <w:rFonts w:ascii="Cambria"/>
                <w:sz w:val="22"/>
              </w:rPr>
              <w:t>paperWidth </w:t>
            </w:r>
            <w:r>
              <w:rPr>
                <w:sz w:val="22"/>
              </w:rPr>
              <w:t>(Paper Width)</w:t>
            </w:r>
          </w:p>
        </w:tc>
        <w:tc>
          <w:tcPr>
            <w:tcW w:w="8250" w:type="dxa"/>
          </w:tcPr>
          <w:p>
            <w:pPr>
              <w:pStyle w:val="TableParagraph"/>
              <w:rPr>
                <w:rFonts w:ascii="Consolas"/>
                <w:sz w:val="20"/>
              </w:rPr>
            </w:pPr>
            <w:r>
              <w:rPr>
                <w:sz w:val="22"/>
              </w:rPr>
              <w:t>Width of custom paper as a number followed by a unit identifier. [</w:t>
            </w:r>
            <w:r>
              <w:rPr>
                <w:i/>
                <w:sz w:val="22"/>
              </w:rPr>
              <w:t>Example</w:t>
            </w:r>
            <w:r>
              <w:rPr>
                <w:sz w:val="22"/>
              </w:rPr>
              <w:t>: </w:t>
            </w:r>
            <w:r>
              <w:rPr>
                <w:rFonts w:ascii="Consolas"/>
                <w:sz w:val="20"/>
              </w:rPr>
              <w:t>21cm</w:t>
            </w:r>
            <w:r>
              <w:rPr>
                <w:sz w:val="22"/>
              </w:rPr>
              <w:t>, </w:t>
            </w:r>
            <w:r>
              <w:rPr>
                <w:rFonts w:ascii="Consolas"/>
                <w:sz w:val="20"/>
              </w:rPr>
              <w:t>8.5in</w:t>
            </w: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1"/>
              <w:rPr>
                <w:sz w:val="22"/>
              </w:rPr>
            </w:pPr>
            <w:r>
              <w:rPr>
                <w:sz w:val="22"/>
              </w:rPr>
              <w:t>When </w:t>
            </w:r>
            <w:r>
              <w:rPr>
                <w:rFonts w:ascii="Cambria"/>
                <w:sz w:val="22"/>
              </w:rPr>
              <w:t>paperHeight </w:t>
            </w:r>
            <w:r>
              <w:rPr>
                <w:sz w:val="22"/>
              </w:rPr>
              <w:t>and </w:t>
            </w:r>
            <w:r>
              <w:rPr>
                <w:rFonts w:ascii="Cambria"/>
                <w:sz w:val="22"/>
              </w:rPr>
              <w:t>paperWidth </w:t>
            </w:r>
            <w:r>
              <w:rPr>
                <w:sz w:val="22"/>
              </w:rPr>
              <w:t>are specified, </w:t>
            </w:r>
            <w:r>
              <w:rPr>
                <w:rFonts w:ascii="Cambria"/>
                <w:sz w:val="22"/>
              </w:rPr>
              <w:t>paperSize </w:t>
            </w:r>
            <w:r>
              <w:rPr>
                <w:sz w:val="22"/>
              </w:rPr>
              <w:t>shall be ignored.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t>
            </w:r>
            <w:r>
              <w:rPr>
                <w:rFonts w:ascii="Cambria"/>
                <w:sz w:val="22"/>
              </w:rPr>
              <w:t>ST_PositiveUniversalMeasure</w:t>
            </w:r>
          </w:p>
          <w:p>
            <w:pPr>
              <w:pStyle w:val="TableParagraph"/>
              <w:spacing w:before="0"/>
              <w:rPr>
                <w:sz w:val="22"/>
              </w:rPr>
            </w:pPr>
            <w:r>
              <w:rPr>
                <w:sz w:val="22"/>
              </w:rPr>
              <w:t>simple type (§22.9.2.12).</w:t>
            </w:r>
          </w:p>
        </w:tc>
      </w:tr>
      <w:tr>
        <w:trPr>
          <w:trHeight w:val="1161" w:hRule="atLeast"/>
        </w:trPr>
        <w:tc>
          <w:tcPr>
            <w:tcW w:w="2062" w:type="dxa"/>
          </w:tcPr>
          <w:p>
            <w:pPr>
              <w:pStyle w:val="TableParagraph"/>
              <w:spacing w:line="237" w:lineRule="auto" w:before="45"/>
              <w:ind w:right="131"/>
              <w:rPr>
                <w:sz w:val="22"/>
              </w:rPr>
            </w:pPr>
            <w:r>
              <w:rPr>
                <w:rFonts w:ascii="Cambria"/>
                <w:sz w:val="22"/>
              </w:rPr>
              <w:t>useFirstPageNumb er </w:t>
            </w:r>
            <w:r>
              <w:rPr>
                <w:sz w:val="22"/>
              </w:rPr>
              <w:t>(Use First Page Number)</w:t>
            </w:r>
          </w:p>
        </w:tc>
        <w:tc>
          <w:tcPr>
            <w:tcW w:w="8250" w:type="dxa"/>
          </w:tcPr>
          <w:p>
            <w:pPr>
              <w:pStyle w:val="TableParagraph"/>
              <w:rPr>
                <w:sz w:val="22"/>
              </w:rPr>
            </w:pPr>
            <w:r>
              <w:rPr>
                <w:sz w:val="22"/>
              </w:rPr>
              <w:t>Use </w:t>
            </w:r>
            <w:r>
              <w:rPr>
                <w:rFonts w:ascii="Cambria"/>
                <w:sz w:val="22"/>
              </w:rPr>
              <w:t>firstPageNumber </w:t>
            </w:r>
            <w:r>
              <w:rPr>
                <w:sz w:val="22"/>
              </w:rPr>
              <w:t>value for first page number, and do not auto number the pages.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spacing w:line="237" w:lineRule="auto" w:before="45"/>
              <w:ind w:right="144"/>
              <w:rPr>
                <w:sz w:val="22"/>
              </w:rPr>
            </w:pPr>
            <w:r>
              <w:rPr>
                <w:rFonts w:ascii="Cambria"/>
                <w:sz w:val="22"/>
              </w:rPr>
              <w:t>usePrinterDefaults </w:t>
            </w:r>
            <w:r>
              <w:rPr>
                <w:sz w:val="22"/>
              </w:rPr>
              <w:t>(Use Printer Defaults)</w:t>
            </w:r>
          </w:p>
        </w:tc>
        <w:tc>
          <w:tcPr>
            <w:tcW w:w="8250" w:type="dxa"/>
          </w:tcPr>
          <w:p>
            <w:pPr>
              <w:pStyle w:val="TableParagraph"/>
              <w:ind w:right="212"/>
              <w:rPr>
                <w:sz w:val="22"/>
              </w:rPr>
            </w:pPr>
            <w:r>
              <w:rPr>
                <w:sz w:val="22"/>
              </w:rPr>
              <w:t>Use the printer’s defaults settings for page setup values and don't use the default values specified in the schema. [</w:t>
            </w:r>
            <w:r>
              <w:rPr>
                <w:i/>
                <w:sz w:val="22"/>
              </w:rPr>
              <w:t>Example</w:t>
            </w:r>
            <w:r>
              <w:rPr>
                <w:sz w:val="22"/>
              </w:rPr>
              <w:t>: If dpi is not present or specified in the XML, the application must not assume 600dpi as specified in the schema as a default and instead must let the printer specify the default dpi. </w:t>
            </w:r>
            <w:r>
              <w:rPr>
                <w:i/>
                <w:sz w:val="22"/>
              </w:rPr>
              <w:t>end example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6" w:lineRule="exact" w:before="42"/>
              <w:rPr>
                <w:rFonts w:ascii="Cambria"/>
                <w:sz w:val="22"/>
              </w:rPr>
            </w:pPr>
            <w:r>
              <w:rPr>
                <w:rFonts w:ascii="Cambria"/>
                <w:sz w:val="22"/>
              </w:rPr>
              <w:t>verticalDpi</w:t>
            </w:r>
          </w:p>
          <w:p>
            <w:pPr>
              <w:pStyle w:val="TableParagraph"/>
              <w:spacing w:line="267" w:lineRule="exact" w:before="0"/>
              <w:rPr>
                <w:sz w:val="22"/>
              </w:rPr>
            </w:pPr>
            <w:r>
              <w:rPr>
                <w:sz w:val="22"/>
              </w:rPr>
              <w:t>(Vertical DPI)</w:t>
            </w:r>
          </w:p>
        </w:tc>
        <w:tc>
          <w:tcPr>
            <w:tcW w:w="8250" w:type="dxa"/>
          </w:tcPr>
          <w:p>
            <w:pPr>
              <w:pStyle w:val="TableParagraph"/>
              <w:rPr>
                <w:sz w:val="22"/>
              </w:rPr>
            </w:pPr>
            <w:r>
              <w:rPr>
                <w:sz w:val="22"/>
              </w:rPr>
              <w:t>Vertical print resolution of the device.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CT_CsPageSetup</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65 pageSetUpPr (Page Setup Proper" w:id="296"/>
      <w:bookmarkEnd w:id="296"/>
      <w:r>
        <w:rPr/>
      </w:r>
      <w:bookmarkStart w:name="_bookmark97" w:id="297"/>
      <w:bookmarkEnd w:id="297"/>
      <w:r>
        <w:rPr/>
      </w:r>
      <w:bookmarkStart w:name="_bookmark97" w:id="298"/>
      <w:bookmarkEnd w:id="298"/>
      <w:r>
        <w:rPr>
          <w:color w:val="4F81BC"/>
        </w:rPr>
        <w:t>p</w:t>
      </w:r>
      <w:r>
        <w:rPr>
          <w:color w:val="4F81BC"/>
        </w:rPr>
        <w:t>ageSetUpPr (Page Setup</w:t>
      </w:r>
      <w:r>
        <w:rPr>
          <w:color w:val="4F81BC"/>
          <w:spacing w:val="-2"/>
        </w:rPr>
        <w:t> </w:t>
      </w:r>
      <w:r>
        <w:rPr>
          <w:color w:val="4F81BC"/>
        </w:rPr>
        <w:t>Properties)</w:t>
      </w:r>
    </w:p>
    <w:p>
      <w:pPr>
        <w:pStyle w:val="BodyText"/>
        <w:spacing w:before="121"/>
        <w:ind w:left="220"/>
      </w:pPr>
      <w:r>
        <w:rPr/>
        <w:t>Page setup properties of the worksheet</w:t>
      </w:r>
    </w:p>
    <w:p>
      <w:pPr>
        <w:spacing w:after="0"/>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37" w:lineRule="auto" w:before="45"/>
              <w:ind w:right="412"/>
              <w:jc w:val="both"/>
              <w:rPr>
                <w:sz w:val="22"/>
              </w:rPr>
            </w:pPr>
            <w:r>
              <w:rPr>
                <w:rFonts w:ascii="Cambria"/>
                <w:sz w:val="22"/>
              </w:rPr>
              <w:t>autoPageBreaks </w:t>
            </w:r>
            <w:r>
              <w:rPr>
                <w:sz w:val="22"/>
              </w:rPr>
              <w:t>(Show Auto Page Breaks)</w:t>
            </w:r>
          </w:p>
        </w:tc>
        <w:tc>
          <w:tcPr>
            <w:tcW w:w="8250" w:type="dxa"/>
          </w:tcPr>
          <w:p>
            <w:pPr>
              <w:pStyle w:val="TableParagraph"/>
              <w:rPr>
                <w:sz w:val="22"/>
              </w:rPr>
            </w:pPr>
            <w:r>
              <w:rPr>
                <w:sz w:val="22"/>
              </w:rPr>
              <w:t>Flag indicating whether the sheet displays Automatic Page Breaks.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405"/>
              <w:rPr>
                <w:sz w:val="22"/>
              </w:rPr>
            </w:pPr>
            <w:r>
              <w:rPr>
                <w:rFonts w:ascii="Cambria"/>
                <w:sz w:val="22"/>
              </w:rPr>
              <w:t>fitToPage </w:t>
            </w:r>
            <w:r>
              <w:rPr>
                <w:sz w:val="22"/>
              </w:rPr>
              <w:t>(Fit To Page)</w:t>
            </w:r>
          </w:p>
        </w:tc>
        <w:tc>
          <w:tcPr>
            <w:tcW w:w="8250" w:type="dxa"/>
          </w:tcPr>
          <w:p>
            <w:pPr>
              <w:pStyle w:val="TableParagraph"/>
              <w:rPr>
                <w:sz w:val="22"/>
              </w:rPr>
            </w:pPr>
            <w:r>
              <w:rPr>
                <w:sz w:val="22"/>
              </w:rPr>
              <w:t>Flag indicating whether the Fit to Page print option is enabled.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CT_PageSetUpPr</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66 pane (View Pane)" w:id="299"/>
      <w:bookmarkEnd w:id="299"/>
      <w:r>
        <w:rPr/>
      </w:r>
      <w:bookmarkStart w:name="_bookmark98" w:id="300"/>
      <w:bookmarkEnd w:id="300"/>
      <w:r>
        <w:rPr/>
      </w:r>
      <w:bookmarkStart w:name="_bookmark98" w:id="301"/>
      <w:bookmarkEnd w:id="301"/>
      <w:r>
        <w:rPr>
          <w:color w:val="4F81BC"/>
        </w:rPr>
        <w:t>p</w:t>
      </w:r>
      <w:r>
        <w:rPr>
          <w:color w:val="4F81BC"/>
        </w:rPr>
        <w:t>ane (View</w:t>
      </w:r>
      <w:r>
        <w:rPr>
          <w:color w:val="4F81BC"/>
          <w:spacing w:val="-2"/>
        </w:rPr>
        <w:t> </w:t>
      </w:r>
      <w:r>
        <w:rPr>
          <w:color w:val="4F81BC"/>
        </w:rPr>
        <w:t>Pane)</w:t>
      </w:r>
    </w:p>
    <w:p>
      <w:pPr>
        <w:pStyle w:val="BodyText"/>
        <w:spacing w:before="121"/>
        <w:ind w:left="220"/>
      </w:pPr>
      <w:r>
        <w:rPr/>
        <w:t>Worksheet view pane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right="227"/>
              <w:rPr>
                <w:sz w:val="22"/>
              </w:rPr>
            </w:pPr>
            <w:r>
              <w:rPr>
                <w:rFonts w:ascii="Cambria"/>
                <w:sz w:val="22"/>
              </w:rPr>
              <w:t>activePane </w:t>
            </w:r>
            <w:r>
              <w:rPr>
                <w:sz w:val="22"/>
              </w:rPr>
              <w:t>(Active Pane)</w:t>
            </w:r>
          </w:p>
        </w:tc>
        <w:tc>
          <w:tcPr>
            <w:tcW w:w="8250" w:type="dxa"/>
          </w:tcPr>
          <w:p>
            <w:pPr>
              <w:pStyle w:val="TableParagraph"/>
              <w:rPr>
                <w:sz w:val="22"/>
              </w:rPr>
            </w:pPr>
            <w:r>
              <w:rPr>
                <w:sz w:val="22"/>
              </w:rPr>
              <w:t>The pane that is active.</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ST_Pane </w:t>
            </w:r>
            <w:r>
              <w:rPr>
                <w:sz w:val="22"/>
              </w:rPr>
              <w:t>simple type (§</w:t>
            </w:r>
            <w:hyperlink w:history="true" w:anchor="_bookmark874">
              <w:r>
                <w:rPr>
                  <w:sz w:val="22"/>
                </w:rPr>
                <w:t>18.18.52</w:t>
              </w:r>
            </w:hyperlink>
            <w:r>
              <w:rPr>
                <w:sz w:val="22"/>
              </w:rPr>
              <w:t>).</w:t>
            </w:r>
          </w:p>
        </w:tc>
      </w:tr>
      <w:tr>
        <w:trPr>
          <w:trHeight w:val="1427" w:hRule="atLeast"/>
        </w:trPr>
        <w:tc>
          <w:tcPr>
            <w:tcW w:w="2062" w:type="dxa"/>
          </w:tcPr>
          <w:p>
            <w:pPr>
              <w:pStyle w:val="TableParagraph"/>
              <w:rPr>
                <w:sz w:val="22"/>
              </w:rPr>
            </w:pPr>
            <w:r>
              <w:rPr>
                <w:rFonts w:ascii="Cambria"/>
                <w:sz w:val="22"/>
              </w:rPr>
              <w:t>state </w:t>
            </w:r>
            <w:r>
              <w:rPr>
                <w:sz w:val="22"/>
              </w:rPr>
              <w:t>(Split State)</w:t>
            </w:r>
          </w:p>
        </w:tc>
        <w:tc>
          <w:tcPr>
            <w:tcW w:w="8250" w:type="dxa"/>
          </w:tcPr>
          <w:p>
            <w:pPr>
              <w:pStyle w:val="TableParagraph"/>
              <w:ind w:right="327"/>
              <w:rPr>
                <w:sz w:val="22"/>
              </w:rPr>
            </w:pPr>
            <w:r>
              <w:rPr>
                <w:sz w:val="22"/>
              </w:rPr>
              <w:t>Indicates whether the pane has horizontal / vertical splits, and whether those splits are frozen.</w:t>
            </w:r>
          </w:p>
          <w:p>
            <w:pPr>
              <w:pStyle w:val="TableParagraph"/>
              <w:spacing w:before="10"/>
              <w:ind w:left="0"/>
              <w:rPr>
                <w:sz w:val="21"/>
              </w:rPr>
            </w:pPr>
          </w:p>
          <w:p>
            <w:pPr>
              <w:pStyle w:val="TableParagraph"/>
              <w:spacing w:before="1"/>
              <w:ind w:right="770"/>
              <w:rPr>
                <w:sz w:val="22"/>
              </w:rPr>
            </w:pPr>
            <w:r>
              <w:rPr>
                <w:sz w:val="22"/>
              </w:rPr>
              <w:t>The possible values for this attribute are defined by the </w:t>
            </w:r>
            <w:r>
              <w:rPr>
                <w:rFonts w:ascii="Cambria" w:hAnsi="Cambria"/>
                <w:sz w:val="22"/>
              </w:rPr>
              <w:t>ST_PaneState </w:t>
            </w:r>
            <w:r>
              <w:rPr>
                <w:sz w:val="22"/>
              </w:rPr>
              <w:t>simple type </w:t>
            </w:r>
            <w:hyperlink w:history="true" w:anchor="_bookmark875">
              <w:r>
                <w:rPr>
                  <w:sz w:val="22"/>
                </w:rPr>
                <w:t>(§18.18.53</w:t>
              </w:r>
            </w:hyperlink>
            <w:r>
              <w:rPr>
                <w:sz w:val="22"/>
              </w:rPr>
              <w:t>).</w:t>
            </w:r>
          </w:p>
        </w:tc>
      </w:tr>
      <w:tr>
        <w:trPr>
          <w:trHeight w:val="1161" w:hRule="atLeast"/>
        </w:trPr>
        <w:tc>
          <w:tcPr>
            <w:tcW w:w="2062" w:type="dxa"/>
          </w:tcPr>
          <w:p>
            <w:pPr>
              <w:pStyle w:val="TableParagraph"/>
              <w:ind w:right="432"/>
              <w:rPr>
                <w:sz w:val="22"/>
              </w:rPr>
            </w:pPr>
            <w:r>
              <w:rPr>
                <w:rFonts w:ascii="Cambria"/>
                <w:sz w:val="22"/>
              </w:rPr>
              <w:t>topLeftCell </w:t>
            </w:r>
            <w:r>
              <w:rPr>
                <w:sz w:val="22"/>
              </w:rPr>
              <w:t>(Top Left Visible Cell)</w:t>
            </w:r>
          </w:p>
        </w:tc>
        <w:tc>
          <w:tcPr>
            <w:tcW w:w="8250" w:type="dxa"/>
          </w:tcPr>
          <w:p>
            <w:pPr>
              <w:pStyle w:val="TableParagraph"/>
              <w:rPr>
                <w:sz w:val="22"/>
              </w:rPr>
            </w:pPr>
            <w:r>
              <w:rPr>
                <w:sz w:val="22"/>
              </w:rPr>
              <w:t>Location of the top left visible cell in the bottom right pane (when in Left-To-Right mode).</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427" w:hRule="atLeast"/>
        </w:trPr>
        <w:tc>
          <w:tcPr>
            <w:tcW w:w="2062" w:type="dxa"/>
          </w:tcPr>
          <w:p>
            <w:pPr>
              <w:pStyle w:val="TableParagraph"/>
              <w:ind w:right="340"/>
              <w:rPr>
                <w:sz w:val="22"/>
              </w:rPr>
            </w:pPr>
            <w:r>
              <w:rPr>
                <w:rFonts w:ascii="Cambria"/>
                <w:sz w:val="22"/>
              </w:rPr>
              <w:t>xSplit </w:t>
            </w:r>
            <w:r>
              <w:rPr>
                <w:sz w:val="22"/>
              </w:rPr>
              <w:t>(Horizontal Split Position)</w:t>
            </w:r>
          </w:p>
        </w:tc>
        <w:tc>
          <w:tcPr>
            <w:tcW w:w="8250" w:type="dxa"/>
          </w:tcPr>
          <w:p>
            <w:pPr>
              <w:pStyle w:val="TableParagraph"/>
              <w:rPr>
                <w:sz w:val="22"/>
              </w:rPr>
            </w:pPr>
            <w:r>
              <w:rPr>
                <w:sz w:val="22"/>
              </w:rPr>
              <w:t>Horizontal position of the split, in 1/20th of a point; 0 (zero) if none. If the pane is frozen, this value indicates the number of columns visible in the top pane.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430" w:hRule="atLeast"/>
        </w:trPr>
        <w:tc>
          <w:tcPr>
            <w:tcW w:w="2062" w:type="dxa"/>
          </w:tcPr>
          <w:p>
            <w:pPr>
              <w:pStyle w:val="TableParagraph"/>
              <w:ind w:right="139"/>
              <w:rPr>
                <w:sz w:val="22"/>
              </w:rPr>
            </w:pPr>
            <w:r>
              <w:rPr>
                <w:rFonts w:ascii="Cambria"/>
                <w:sz w:val="22"/>
              </w:rPr>
              <w:t>ySplit </w:t>
            </w:r>
            <w:r>
              <w:rPr>
                <w:sz w:val="22"/>
              </w:rPr>
              <w:t>(Vertical Split Position)</w:t>
            </w:r>
          </w:p>
        </w:tc>
        <w:tc>
          <w:tcPr>
            <w:tcW w:w="8250" w:type="dxa"/>
          </w:tcPr>
          <w:p>
            <w:pPr>
              <w:pStyle w:val="TableParagraph"/>
              <w:ind w:right="298"/>
              <w:rPr>
                <w:sz w:val="22"/>
              </w:rPr>
            </w:pPr>
            <w:r>
              <w:rPr>
                <w:sz w:val="22"/>
              </w:rPr>
              <w:t>Vertical position of the split, in 1/20th of a point; 0 (zero) if none. If the pane is frozen, this value indicates the number of rows visible in the left pane.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CT_Pane</w:t>
      </w:r>
      <w:r>
        <w:rPr/>
        <w:t>) is located in §A.2. </w:t>
      </w:r>
      <w:r>
        <w:rPr>
          <w:i/>
        </w:rPr>
        <w:t>end note</w:t>
      </w:r>
      <w:r>
        <w:rPr/>
        <w:t>]</w:t>
      </w:r>
    </w:p>
    <w:p>
      <w:pPr>
        <w:spacing w:after="0"/>
        <w:sectPr>
          <w:pgSz w:w="12240" w:h="15840"/>
          <w:pgMar w:header="763" w:footer="746" w:top="1340" w:bottom="940" w:left="860" w:right="700"/>
        </w:sectPr>
      </w:pPr>
    </w:p>
    <w:p>
      <w:pPr>
        <w:pStyle w:val="Heading3"/>
        <w:numPr>
          <w:ilvl w:val="3"/>
          <w:numId w:val="22"/>
        </w:numPr>
        <w:tabs>
          <w:tab w:pos="1732" w:val="left" w:leader="none"/>
          <w:tab w:pos="1733" w:val="left" w:leader="none"/>
        </w:tabs>
        <w:spacing w:line="240" w:lineRule="auto" w:before="93" w:after="0"/>
        <w:ind w:left="1732" w:right="0" w:hanging="1513"/>
        <w:jc w:val="left"/>
      </w:pPr>
      <w:bookmarkStart w:name="18.3.1.67 picture (Background Image)" w:id="302"/>
      <w:bookmarkEnd w:id="302"/>
      <w:r>
        <w:rPr/>
      </w:r>
      <w:bookmarkStart w:name="_bookmark99" w:id="303"/>
      <w:bookmarkEnd w:id="303"/>
      <w:r>
        <w:rPr/>
      </w:r>
      <w:bookmarkStart w:name="_bookmark99" w:id="304"/>
      <w:bookmarkEnd w:id="304"/>
      <w:r>
        <w:rPr>
          <w:color w:val="4F81BC"/>
        </w:rPr>
        <w:t>pict</w:t>
      </w:r>
      <w:r>
        <w:rPr>
          <w:color w:val="4F81BC"/>
        </w:rPr>
        <w:t>ure (Background</w:t>
      </w:r>
      <w:r>
        <w:rPr>
          <w:color w:val="4F81BC"/>
          <w:spacing w:val="-3"/>
        </w:rPr>
        <w:t> </w:t>
      </w:r>
      <w:r>
        <w:rPr>
          <w:color w:val="4F81BC"/>
        </w:rPr>
        <w:t>Image)</w:t>
      </w:r>
    </w:p>
    <w:p>
      <w:pPr>
        <w:spacing w:line="453" w:lineRule="auto" w:before="122"/>
        <w:ind w:left="220" w:right="8185" w:firstLine="0"/>
        <w:jc w:val="left"/>
        <w:rPr>
          <w:sz w:val="22"/>
        </w:rPr>
      </w:pPr>
      <w:r>
        <w:rPr>
          <w:sz w:val="22"/>
        </w:rPr>
        <w:t>Background sheet image. [</w:t>
      </w:r>
      <w:r>
        <w:rPr>
          <w:i/>
          <w:sz w:val="22"/>
        </w:rPr>
        <w:t>Example</w:t>
      </w:r>
      <w:r>
        <w:rPr>
          <w:sz w:val="22"/>
        </w:rPr>
        <w:t>:</w:t>
      </w:r>
    </w:p>
    <w:p>
      <w:pPr>
        <w:pStyle w:val="BodyText"/>
        <w:spacing w:before="2"/>
        <w:ind w:left="508"/>
        <w:rPr>
          <w:rFonts w:ascii="Consolas"/>
        </w:rPr>
      </w:pPr>
      <w:r>
        <w:rPr>
          <w:rFonts w:ascii="Consolas"/>
        </w:rPr>
        <w:t>&lt;picture r:id="rId1"/&gt;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24" w:hRule="atLeast"/>
        </w:trPr>
        <w:tc>
          <w:tcPr>
            <w:tcW w:w="2062" w:type="dxa"/>
          </w:tcPr>
          <w:p>
            <w:pPr>
              <w:pStyle w:val="TableParagraph"/>
              <w:rPr>
                <w:sz w:val="22"/>
              </w:rPr>
            </w:pPr>
            <w:r>
              <w:rPr>
                <w:rFonts w:ascii="Cambria"/>
                <w:sz w:val="22"/>
              </w:rPr>
              <w:t>id </w:t>
            </w:r>
            <w:r>
              <w:rPr>
                <w:sz w:val="22"/>
              </w:rPr>
              <w:t>(Relationship Id)</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rPr>
                <w:sz w:val="22"/>
              </w:rPr>
            </w:pPr>
            <w:r>
              <w:rPr>
                <w:sz w:val="22"/>
              </w:rPr>
              <w:t>Relationship Id pointing to the image part.</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bl>
    <w:p>
      <w:pPr>
        <w:pStyle w:val="BodyText"/>
      </w:pPr>
    </w:p>
    <w:p>
      <w:pPr>
        <w:pStyle w:val="BodyText"/>
        <w:spacing w:before="5"/>
        <w:rPr>
          <w:sz w:val="19"/>
        </w:rPr>
      </w:pPr>
    </w:p>
    <w:p>
      <w:pPr>
        <w:pStyle w:val="BodyText"/>
        <w:spacing w:line="276" w:lineRule="auto"/>
        <w:ind w:left="220" w:right="388"/>
      </w:pPr>
      <w:r>
        <w:rPr/>
        <w:t>[</w:t>
      </w:r>
      <w:r>
        <w:rPr>
          <w:i/>
        </w:rPr>
        <w:t>Note</w:t>
      </w:r>
      <w:r>
        <w:rPr/>
        <w:t>: The W3C XML Schema definition of this element’s content model (</w:t>
      </w:r>
      <w:r>
        <w:rPr>
          <w:color w:val="5F5F5F"/>
          <w:u w:val="single" w:color="5F5F5F"/>
        </w:rPr>
        <w:t>CT_SheetBackgroundPicture</w:t>
      </w:r>
      <w:r>
        <w:rPr/>
        <w:t>) is located in §A.2. </w:t>
      </w:r>
      <w:r>
        <w:rPr>
          <w:i/>
        </w:rPr>
        <w:t>end 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68 pivotArea (Pivot Area)" w:id="305"/>
      <w:bookmarkEnd w:id="305"/>
      <w:r>
        <w:rPr/>
      </w:r>
      <w:bookmarkStart w:name="_bookmark100" w:id="306"/>
      <w:bookmarkEnd w:id="306"/>
      <w:r>
        <w:rPr/>
      </w:r>
      <w:bookmarkStart w:name="_bookmark100" w:id="307"/>
      <w:bookmarkEnd w:id="307"/>
      <w:r>
        <w:rPr>
          <w:color w:val="4F81BC"/>
        </w:rPr>
        <w:t>piv</w:t>
      </w:r>
      <w:r>
        <w:rPr>
          <w:color w:val="4F81BC"/>
        </w:rPr>
        <w:t>otArea (Pivot Area)</w:t>
      </w:r>
    </w:p>
    <w:p>
      <w:pPr>
        <w:pStyle w:val="BodyText"/>
        <w:spacing w:before="121"/>
        <w:ind w:left="220"/>
      </w:pPr>
      <w:r>
        <w:rPr/>
        <w:t>Rule describing a PivotTable selection.</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892" w:hRule="atLeast"/>
        </w:trPr>
        <w:tc>
          <w:tcPr>
            <w:tcW w:w="2062" w:type="dxa"/>
          </w:tcPr>
          <w:p>
            <w:pPr>
              <w:pStyle w:val="TableParagraph"/>
              <w:rPr>
                <w:sz w:val="22"/>
              </w:rPr>
            </w:pPr>
            <w:r>
              <w:rPr>
                <w:rFonts w:ascii="Cambria"/>
                <w:sz w:val="22"/>
              </w:rPr>
              <w:t>axis </w:t>
            </w:r>
            <w:r>
              <w:rPr>
                <w:sz w:val="22"/>
              </w:rPr>
              <w:t>(Axis)</w:t>
            </w:r>
          </w:p>
        </w:tc>
        <w:tc>
          <w:tcPr>
            <w:tcW w:w="8250" w:type="dxa"/>
          </w:tcPr>
          <w:p>
            <w:pPr>
              <w:pStyle w:val="TableParagraph"/>
              <w:rPr>
                <w:sz w:val="22"/>
              </w:rPr>
            </w:pPr>
            <w:r>
              <w:rPr>
                <w:sz w:val="22"/>
              </w:rPr>
              <w:t>The region of the PivotTable to which this rule applies.</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ST_Axis </w:t>
            </w:r>
            <w:r>
              <w:rPr>
                <w:sz w:val="22"/>
              </w:rPr>
              <w:t>simple type (§</w:t>
            </w:r>
            <w:hyperlink w:history="true" w:anchor="_bookmark823">
              <w:r>
                <w:rPr>
                  <w:sz w:val="22"/>
                </w:rPr>
                <w:t>18.18.1</w:t>
              </w:r>
            </w:hyperlink>
            <w:r>
              <w:rPr>
                <w:sz w:val="22"/>
              </w:rPr>
              <w:t>).</w:t>
            </w:r>
          </w:p>
        </w:tc>
      </w:tr>
      <w:tr>
        <w:trPr>
          <w:trHeight w:val="1429" w:hRule="atLeast"/>
        </w:trPr>
        <w:tc>
          <w:tcPr>
            <w:tcW w:w="2062" w:type="dxa"/>
          </w:tcPr>
          <w:p>
            <w:pPr>
              <w:pStyle w:val="TableParagraph"/>
              <w:ind w:right="201"/>
              <w:rPr>
                <w:sz w:val="22"/>
              </w:rPr>
            </w:pPr>
            <w:r>
              <w:rPr>
                <w:rFonts w:ascii="Cambria"/>
                <w:sz w:val="22"/>
              </w:rPr>
              <w:t>cacheIndex </w:t>
            </w:r>
            <w:r>
              <w:rPr>
                <w:sz w:val="22"/>
              </w:rPr>
              <w:t>(Cache Index)</w:t>
            </w:r>
          </w:p>
        </w:tc>
        <w:tc>
          <w:tcPr>
            <w:tcW w:w="8250" w:type="dxa"/>
          </w:tcPr>
          <w:p>
            <w:pPr>
              <w:pStyle w:val="TableParagraph"/>
              <w:ind w:right="143"/>
              <w:rPr>
                <w:sz w:val="22"/>
              </w:rPr>
            </w:pPr>
            <w:r>
              <w:rPr>
                <w:sz w:val="22"/>
              </w:rPr>
              <w:t>Flag indicating whether any indexes refer to fields or items in the Pivot cache and not the view.</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9" w:hRule="atLeast"/>
        </w:trPr>
        <w:tc>
          <w:tcPr>
            <w:tcW w:w="2062" w:type="dxa"/>
          </w:tcPr>
          <w:p>
            <w:pPr>
              <w:pStyle w:val="TableParagraph"/>
              <w:spacing w:line="237" w:lineRule="auto" w:before="45"/>
              <w:ind w:right="113"/>
              <w:rPr>
                <w:sz w:val="22"/>
              </w:rPr>
            </w:pPr>
            <w:r>
              <w:rPr>
                <w:rFonts w:ascii="Cambria"/>
                <w:spacing w:val="-1"/>
                <w:sz w:val="22"/>
              </w:rPr>
              <w:t>collapsedLevelsAre </w:t>
            </w:r>
            <w:r>
              <w:rPr>
                <w:rFonts w:ascii="Cambria"/>
                <w:sz w:val="22"/>
              </w:rPr>
              <w:t>Subtotals </w:t>
            </w:r>
            <w:r>
              <w:rPr>
                <w:sz w:val="22"/>
              </w:rPr>
              <w:t>(Collapsed Levels Are Subtotals)</w:t>
            </w:r>
          </w:p>
        </w:tc>
        <w:tc>
          <w:tcPr>
            <w:tcW w:w="8250" w:type="dxa"/>
          </w:tcPr>
          <w:p>
            <w:pPr>
              <w:pStyle w:val="TableParagraph"/>
              <w:rPr>
                <w:sz w:val="22"/>
              </w:rPr>
            </w:pPr>
            <w:r>
              <w:rPr>
                <w:sz w:val="22"/>
              </w:rPr>
              <w:t>Flag indicating if collapsed levels/dimensions are considered subtotals.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ind w:right="533"/>
              <w:rPr>
                <w:sz w:val="22"/>
              </w:rPr>
            </w:pPr>
            <w:r>
              <w:rPr>
                <w:rFonts w:ascii="Cambria"/>
                <w:sz w:val="22"/>
              </w:rPr>
              <w:t>dataOnly </w:t>
            </w:r>
            <w:r>
              <w:rPr>
                <w:sz w:val="22"/>
              </w:rPr>
              <w:t>(Data Only)</w:t>
            </w:r>
          </w:p>
        </w:tc>
        <w:tc>
          <w:tcPr>
            <w:tcW w:w="8250" w:type="dxa"/>
          </w:tcPr>
          <w:p>
            <w:pPr>
              <w:pStyle w:val="TableParagraph"/>
              <w:ind w:right="486"/>
              <w:rPr>
                <w:sz w:val="22"/>
              </w:rPr>
            </w:pPr>
            <w:r>
              <w:rPr>
                <w:sz w:val="22"/>
              </w:rPr>
              <w:t>Flag indicating whether only the data values (in the data area of the view) for an item selection are selected and does not include the item labels.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623" w:hRule="atLeast"/>
        </w:trPr>
        <w:tc>
          <w:tcPr>
            <w:tcW w:w="2062" w:type="dxa"/>
          </w:tcPr>
          <w:p>
            <w:pPr>
              <w:pStyle w:val="TableParagraph"/>
              <w:rPr>
                <w:sz w:val="22"/>
              </w:rPr>
            </w:pPr>
            <w:r>
              <w:rPr>
                <w:rFonts w:ascii="Cambria"/>
                <w:sz w:val="22"/>
              </w:rPr>
              <w:t>field </w:t>
            </w:r>
            <w:r>
              <w:rPr>
                <w:sz w:val="22"/>
              </w:rPr>
              <w:t>(Field Index)</w:t>
            </w:r>
          </w:p>
        </w:tc>
        <w:tc>
          <w:tcPr>
            <w:tcW w:w="8250" w:type="dxa"/>
          </w:tcPr>
          <w:p>
            <w:pPr>
              <w:pStyle w:val="TableParagraph"/>
              <w:rPr>
                <w:sz w:val="22"/>
              </w:rPr>
            </w:pPr>
            <w:r>
              <w:rPr>
                <w:sz w:val="22"/>
              </w:rPr>
              <w:t>Index of the field that this selection rule refers to.</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The possible values for this attribute are defined by the W3C XML Schema </w:t>
            </w:r>
            <w:r>
              <w:rPr>
                <w:rFonts w:ascii="Cambria"/>
                <w:sz w:val="22"/>
              </w:rPr>
              <w:t>int </w:t>
            </w:r>
            <w:r>
              <w:rPr>
                <w:sz w:val="22"/>
              </w:rPr>
              <w:t>datatype.</w:t>
            </w:r>
          </w:p>
        </w:tc>
      </w:tr>
      <w:tr>
        <w:trPr>
          <w:trHeight w:val="1158" w:hRule="atLeast"/>
        </w:trPr>
        <w:tc>
          <w:tcPr>
            <w:tcW w:w="2062" w:type="dxa"/>
          </w:tcPr>
          <w:p>
            <w:pPr>
              <w:pStyle w:val="TableParagraph"/>
              <w:ind w:right="185"/>
              <w:rPr>
                <w:sz w:val="22"/>
              </w:rPr>
            </w:pPr>
            <w:r>
              <w:rPr>
                <w:rFonts w:ascii="Cambria"/>
                <w:sz w:val="22"/>
              </w:rPr>
              <w:t>fieldPosition </w:t>
            </w:r>
            <w:r>
              <w:rPr>
                <w:sz w:val="22"/>
              </w:rPr>
              <w:t>(Field Position)</w:t>
            </w:r>
          </w:p>
        </w:tc>
        <w:tc>
          <w:tcPr>
            <w:tcW w:w="8250" w:type="dxa"/>
          </w:tcPr>
          <w:p>
            <w:pPr>
              <w:pStyle w:val="TableParagraph"/>
              <w:rPr>
                <w:sz w:val="22"/>
              </w:rPr>
            </w:pPr>
            <w:r>
              <w:rPr>
                <w:sz w:val="22"/>
              </w:rPr>
              <w:t>Position of the field within the axis to which this rule applies.</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294"/>
              <w:rPr>
                <w:sz w:val="22"/>
              </w:rPr>
            </w:pPr>
            <w:r>
              <w:rPr>
                <w:rFonts w:ascii="Cambria"/>
                <w:sz w:val="22"/>
              </w:rPr>
              <w:t>grandCol </w:t>
            </w:r>
            <w:r>
              <w:rPr>
                <w:sz w:val="22"/>
              </w:rPr>
              <w:t>(Include Column Grand Total)</w:t>
            </w:r>
          </w:p>
        </w:tc>
        <w:tc>
          <w:tcPr>
            <w:tcW w:w="8250" w:type="dxa"/>
          </w:tcPr>
          <w:p>
            <w:pPr>
              <w:pStyle w:val="TableParagraph"/>
              <w:rPr>
                <w:sz w:val="22"/>
              </w:rPr>
            </w:pPr>
            <w:r>
              <w:rPr>
                <w:sz w:val="22"/>
              </w:rPr>
              <w:t>Flag indicating whether the column grand total is included.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ind w:right="170"/>
              <w:rPr>
                <w:sz w:val="22"/>
              </w:rPr>
            </w:pPr>
            <w:r>
              <w:rPr>
                <w:rFonts w:ascii="Cambria"/>
                <w:sz w:val="22"/>
              </w:rPr>
              <w:t>grandRow </w:t>
            </w:r>
            <w:r>
              <w:rPr>
                <w:sz w:val="22"/>
              </w:rPr>
              <w:t>(Include Row Grand Total)</w:t>
            </w:r>
          </w:p>
        </w:tc>
        <w:tc>
          <w:tcPr>
            <w:tcW w:w="8250" w:type="dxa"/>
          </w:tcPr>
          <w:p>
            <w:pPr>
              <w:pStyle w:val="TableParagraph"/>
              <w:rPr>
                <w:sz w:val="22"/>
              </w:rPr>
            </w:pPr>
            <w:r>
              <w:rPr>
                <w:sz w:val="22"/>
              </w:rPr>
              <w:t>Flag indicating whether the row grand total is included.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line="237" w:lineRule="auto" w:before="44"/>
              <w:ind w:right="350"/>
              <w:rPr>
                <w:sz w:val="22"/>
              </w:rPr>
            </w:pPr>
            <w:r>
              <w:rPr>
                <w:rFonts w:ascii="Cambria"/>
                <w:sz w:val="22"/>
              </w:rPr>
              <w:t>labelOnly </w:t>
            </w:r>
            <w:r>
              <w:rPr>
                <w:sz w:val="22"/>
              </w:rPr>
              <w:t>(Labels Only)</w:t>
            </w:r>
          </w:p>
        </w:tc>
        <w:tc>
          <w:tcPr>
            <w:tcW w:w="8250" w:type="dxa"/>
          </w:tcPr>
          <w:p>
            <w:pPr>
              <w:pStyle w:val="TableParagraph"/>
              <w:spacing w:line="237" w:lineRule="auto" w:before="44"/>
              <w:ind w:right="312"/>
              <w:rPr>
                <w:sz w:val="22"/>
              </w:rPr>
            </w:pPr>
            <w:r>
              <w:rPr>
                <w:sz w:val="22"/>
              </w:rPr>
              <w:t>Flag indicating whether only the item labels for an item selection are selected and does not include the data values (in the data area of the view).</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726"/>
              <w:rPr>
                <w:sz w:val="22"/>
              </w:rPr>
            </w:pPr>
            <w:r>
              <w:rPr>
                <w:rFonts w:ascii="Cambria"/>
                <w:sz w:val="22"/>
              </w:rPr>
              <w:t>offset </w:t>
            </w:r>
            <w:r>
              <w:rPr>
                <w:sz w:val="22"/>
              </w:rPr>
              <w:t>(Offset Reference)</w:t>
            </w:r>
          </w:p>
        </w:tc>
        <w:tc>
          <w:tcPr>
            <w:tcW w:w="8250" w:type="dxa"/>
          </w:tcPr>
          <w:p>
            <w:pPr>
              <w:pStyle w:val="TableParagraph"/>
              <w:ind w:right="298"/>
              <w:rPr>
                <w:sz w:val="22"/>
              </w:rPr>
            </w:pPr>
            <w:r>
              <w:rPr>
                <w:sz w:val="22"/>
              </w:rPr>
              <w:t>A Reference that specifies a subset of the selection area. Points are relative to the top left of the selection area.</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59" w:hRule="atLeast"/>
        </w:trPr>
        <w:tc>
          <w:tcPr>
            <w:tcW w:w="2062" w:type="dxa"/>
          </w:tcPr>
          <w:p>
            <w:pPr>
              <w:pStyle w:val="TableParagraph"/>
              <w:rPr>
                <w:sz w:val="22"/>
              </w:rPr>
            </w:pPr>
            <w:r>
              <w:rPr>
                <w:rFonts w:ascii="Cambria"/>
                <w:sz w:val="22"/>
              </w:rPr>
              <w:t>outline </w:t>
            </w:r>
            <w:r>
              <w:rPr>
                <w:sz w:val="22"/>
              </w:rPr>
              <w:t>(Outline)</w:t>
            </w:r>
          </w:p>
        </w:tc>
        <w:tc>
          <w:tcPr>
            <w:tcW w:w="8250" w:type="dxa"/>
          </w:tcPr>
          <w:p>
            <w:pPr>
              <w:pStyle w:val="TableParagraph"/>
              <w:rPr>
                <w:sz w:val="22"/>
              </w:rPr>
            </w:pPr>
            <w:r>
              <w:rPr>
                <w:sz w:val="22"/>
              </w:rPr>
              <w:t>Flag indicating whether the rule refers to an area that is in outline mode.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type </w:t>
            </w:r>
            <w:r>
              <w:rPr>
                <w:sz w:val="22"/>
              </w:rPr>
              <w:t>(Rule Type)</w:t>
            </w:r>
          </w:p>
        </w:tc>
        <w:tc>
          <w:tcPr>
            <w:tcW w:w="8250" w:type="dxa"/>
          </w:tcPr>
          <w:p>
            <w:pPr>
              <w:pStyle w:val="TableParagraph"/>
              <w:rPr>
                <w:sz w:val="22"/>
              </w:rPr>
            </w:pPr>
            <w:r>
              <w:rPr>
                <w:sz w:val="22"/>
              </w:rPr>
              <w:t>Indicates the type of selection rule.</w:t>
            </w:r>
          </w:p>
          <w:p>
            <w:pPr>
              <w:pStyle w:val="TableParagraph"/>
              <w:spacing w:before="0"/>
              <w:ind w:left="0"/>
              <w:rPr>
                <w:sz w:val="22"/>
              </w:rPr>
            </w:pPr>
          </w:p>
          <w:p>
            <w:pPr>
              <w:pStyle w:val="TableParagraph"/>
              <w:spacing w:before="0"/>
              <w:ind w:right="303"/>
              <w:rPr>
                <w:sz w:val="22"/>
              </w:rPr>
            </w:pPr>
            <w:r>
              <w:rPr>
                <w:sz w:val="22"/>
              </w:rPr>
              <w:t>The possible values for this attribute are defined by the </w:t>
            </w:r>
            <w:r>
              <w:rPr>
                <w:rFonts w:ascii="Cambria" w:hAnsi="Cambria"/>
                <w:sz w:val="22"/>
              </w:rPr>
              <w:t>ST_PivotAreaType </w:t>
            </w:r>
            <w:r>
              <w:rPr>
                <w:sz w:val="22"/>
              </w:rPr>
              <w:t>simple type </w:t>
            </w:r>
            <w:hyperlink w:history="true" w:anchor="_bookmark880">
              <w:r>
                <w:rPr>
                  <w:sz w:val="22"/>
                </w:rPr>
                <w:t>(§18.18.58</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613"/>
      </w:pPr>
      <w:r>
        <w:rPr/>
        <w:t>[</w:t>
      </w:r>
      <w:r>
        <w:rPr>
          <w:i/>
        </w:rPr>
        <w:t>Note</w:t>
      </w:r>
      <w:r>
        <w:rPr/>
        <w:t>: The W3C XML Schema definition of this element’s content model (</w:t>
      </w:r>
      <w:r>
        <w:rPr>
          <w:color w:val="5F5F5F"/>
          <w:u w:val="single" w:color="5F5F5F"/>
        </w:rPr>
        <w:t>CT_PivotArea</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69 pivotSelection (PivotTable Sel" w:id="308"/>
      <w:bookmarkEnd w:id="308"/>
      <w:r>
        <w:rPr/>
      </w:r>
      <w:bookmarkStart w:name="_bookmark101" w:id="309"/>
      <w:bookmarkEnd w:id="309"/>
      <w:r>
        <w:rPr/>
      </w:r>
      <w:bookmarkStart w:name="_bookmark101" w:id="310"/>
      <w:bookmarkEnd w:id="310"/>
      <w:r>
        <w:rPr>
          <w:color w:val="4F81BC"/>
        </w:rPr>
        <w:t>piv</w:t>
      </w:r>
      <w:r>
        <w:rPr>
          <w:color w:val="4F81BC"/>
        </w:rPr>
        <w:t>otSelection (PivotTable Selection)</w:t>
      </w:r>
    </w:p>
    <w:p>
      <w:pPr>
        <w:pStyle w:val="BodyText"/>
        <w:spacing w:line="276" w:lineRule="auto" w:before="118"/>
        <w:ind w:left="220" w:right="406"/>
      </w:pPr>
      <w:r>
        <w:rPr/>
        <w:t>A collection of PivotTable structure selections. A PivotTable structure selection is a way of specifying what cells in the PivotTable are selected. Instead of specifying cell addresses in a sqref, a particular area or structure within the PivotTable is specified. In this way there is semantic meaning regarding what is selected, rather than simply a list of cell or ranges contained in the selection. Typically fields on the row or column axis are</w:t>
      </w:r>
      <w:r>
        <w:rPr>
          <w:spacing w:val="-19"/>
        </w:rPr>
        <w:t> </w:t>
      </w:r>
      <w:r>
        <w:rPr/>
        <w:t>selected.</w:t>
      </w:r>
    </w:p>
    <w:p>
      <w:pPr>
        <w:pStyle w:val="BodyText"/>
        <w:spacing w:before="7"/>
        <w:rPr>
          <w:sz w:val="16"/>
        </w:rPr>
      </w:pPr>
    </w:p>
    <w:p>
      <w:pPr>
        <w:pStyle w:val="BodyText"/>
        <w:ind w:left="220"/>
      </w:pPr>
      <w:r>
        <w:rPr/>
        <w:t>[</w:t>
      </w:r>
      <w:r>
        <w:rPr>
          <w:i/>
        </w:rPr>
        <w:t>Example</w:t>
      </w:r>
      <w:r>
        <w:rPr/>
        <w:t>: For example, the innermost field (Product SubCategory) is selected in this PivotTable:</w:t>
      </w:r>
    </w:p>
    <w:p>
      <w:pPr>
        <w:spacing w:after="0"/>
        <w:sectPr>
          <w:pgSz w:w="12240" w:h="15840"/>
          <w:pgMar w:header="763" w:footer="746" w:top="1340" w:bottom="940" w:left="860" w:right="700"/>
        </w:sectPr>
      </w:pPr>
    </w:p>
    <w:p>
      <w:pPr>
        <w:pStyle w:val="BodyText"/>
        <w:spacing w:before="8"/>
        <w:rPr>
          <w:sz w:val="7"/>
        </w:rPr>
      </w:pPr>
    </w:p>
    <w:p>
      <w:pPr>
        <w:pStyle w:val="BodyText"/>
        <w:ind w:left="220"/>
        <w:rPr>
          <w:sz w:val="20"/>
        </w:rPr>
      </w:pPr>
      <w:r>
        <w:rPr>
          <w:sz w:val="20"/>
        </w:rPr>
        <w:drawing>
          <wp:inline distT="0" distB="0" distL="0" distR="0">
            <wp:extent cx="3628235" cy="676275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44" cstate="print"/>
                    <a:stretch>
                      <a:fillRect/>
                    </a:stretch>
                  </pic:blipFill>
                  <pic:spPr>
                    <a:xfrm>
                      <a:off x="0" y="0"/>
                      <a:ext cx="3628235" cy="6762750"/>
                    </a:xfrm>
                    <a:prstGeom prst="rect">
                      <a:avLst/>
                    </a:prstGeom>
                  </pic:spPr>
                </pic:pic>
              </a:graphicData>
            </a:graphic>
          </wp:inline>
        </w:drawing>
      </w:r>
      <w:r>
        <w:rPr>
          <w:sz w:val="20"/>
        </w:rPr>
      </w:r>
    </w:p>
    <w:p>
      <w:pPr>
        <w:pStyle w:val="BodyText"/>
        <w:spacing w:before="3"/>
        <w:rPr>
          <w:sz w:val="15"/>
        </w:rPr>
      </w:pPr>
    </w:p>
    <w:p>
      <w:pPr>
        <w:pStyle w:val="BodyText"/>
        <w:spacing w:before="56"/>
        <w:ind w:left="220"/>
      </w:pPr>
      <w:r>
        <w:rPr/>
        <w:t>The corresponding pivotSelection XML should look like this:</w:t>
      </w:r>
    </w:p>
    <w:p>
      <w:pPr>
        <w:pStyle w:val="BodyText"/>
        <w:spacing w:before="8"/>
        <w:rPr>
          <w:sz w:val="19"/>
        </w:rPr>
      </w:pPr>
    </w:p>
    <w:p>
      <w:pPr>
        <w:pStyle w:val="BodyText"/>
        <w:spacing w:line="276" w:lineRule="auto"/>
        <w:ind w:left="462" w:right="503" w:hanging="243"/>
        <w:rPr>
          <w:rFonts w:ascii="Consolas"/>
        </w:rPr>
      </w:pPr>
      <w:r>
        <w:rPr>
          <w:rFonts w:ascii="Consolas"/>
        </w:rPr>
        <w:t>&lt;pivotSelection pane="bottomRight" showHeader="1" axis="axisRow"</w:t>
      </w:r>
      <w:r>
        <w:rPr>
          <w:rFonts w:ascii="Consolas"/>
          <w:spacing w:val="-52"/>
        </w:rPr>
        <w:t> </w:t>
      </w:r>
      <w:r>
        <w:rPr>
          <w:rFonts w:ascii="Consolas"/>
        </w:rPr>
        <w:t>dimension="2" activeRow="11" activeCol="1" previousRow="11" previousCol="1" click="1" r:id="rId1"&gt;</w:t>
      </w:r>
    </w:p>
    <w:p>
      <w:pPr>
        <w:spacing w:after="0" w:line="276" w:lineRule="auto"/>
        <w:rPr>
          <w:rFonts w:ascii="Consolas"/>
        </w:rPr>
        <w:sectPr>
          <w:pgSz w:w="12240" w:h="15840"/>
          <w:pgMar w:header="761" w:footer="746" w:top="1340" w:bottom="940" w:left="860" w:right="700"/>
        </w:sectPr>
      </w:pPr>
    </w:p>
    <w:p>
      <w:pPr>
        <w:pStyle w:val="BodyText"/>
        <w:spacing w:before="150"/>
        <w:ind w:left="750"/>
        <w:rPr>
          <w:rFonts w:ascii="Consolas"/>
        </w:rPr>
      </w:pPr>
      <w:r>
        <w:rPr>
          <w:rFonts w:ascii="Consolas"/>
        </w:rPr>
        <w:t>&lt;pivotArea dataOnly="0" labelOnly="1" fieldPosition="0"&gt;</w:t>
      </w:r>
    </w:p>
    <w:p>
      <w:pPr>
        <w:pStyle w:val="BodyText"/>
        <w:spacing w:before="38"/>
        <w:ind w:left="993"/>
        <w:rPr>
          <w:rFonts w:ascii="Consolas"/>
        </w:rPr>
      </w:pPr>
      <w:r>
        <w:rPr>
          <w:rFonts w:ascii="Consolas"/>
        </w:rPr>
        <w:t>&lt;references count="1"&gt;</w:t>
      </w:r>
    </w:p>
    <w:p>
      <w:pPr>
        <w:pStyle w:val="BodyText"/>
        <w:spacing w:before="40"/>
        <w:ind w:left="1235"/>
        <w:rPr>
          <w:rFonts w:ascii="Consolas"/>
        </w:rPr>
      </w:pPr>
      <w:r>
        <w:rPr>
          <w:rFonts w:ascii="Consolas"/>
        </w:rPr>
        <w:t>&lt;reference field="9" count="0"/&gt;</w:t>
      </w:r>
    </w:p>
    <w:p>
      <w:pPr>
        <w:pStyle w:val="BodyText"/>
        <w:spacing w:before="38"/>
        <w:ind w:left="993"/>
        <w:rPr>
          <w:rFonts w:ascii="Consolas"/>
        </w:rPr>
      </w:pPr>
      <w:r>
        <w:rPr>
          <w:rFonts w:ascii="Consolas"/>
        </w:rPr>
        <w:t>&lt;/references&gt;</w:t>
      </w:r>
    </w:p>
    <w:p>
      <w:pPr>
        <w:pStyle w:val="BodyText"/>
        <w:spacing w:before="40"/>
        <w:ind w:left="750"/>
        <w:rPr>
          <w:rFonts w:ascii="Consolas"/>
        </w:rPr>
      </w:pPr>
      <w:r>
        <w:rPr>
          <w:rFonts w:ascii="Consolas"/>
        </w:rPr>
        <w:t>&lt;/pivotArea&gt;</w:t>
      </w:r>
    </w:p>
    <w:p>
      <w:pPr>
        <w:pStyle w:val="BodyText"/>
        <w:spacing w:before="37"/>
        <w:ind w:left="508"/>
        <w:rPr>
          <w:rFonts w:ascii="Consolas"/>
        </w:rPr>
      </w:pPr>
      <w:r>
        <w:rPr>
          <w:rFonts w:ascii="Consolas"/>
        </w:rPr>
        <w:t>&lt;/pivotSelection&gt;</w:t>
      </w:r>
    </w:p>
    <w:p>
      <w:pPr>
        <w:pStyle w:val="BodyText"/>
        <w:spacing w:before="3"/>
        <w:rPr>
          <w:rFonts w:ascii="Consolas"/>
          <w:sz w:val="20"/>
        </w:rPr>
      </w:pPr>
    </w:p>
    <w:p>
      <w:pPr>
        <w:pStyle w:val="BodyText"/>
        <w:spacing w:line="276" w:lineRule="auto"/>
        <w:ind w:left="220" w:right="414"/>
      </w:pPr>
      <w:r>
        <w:rPr>
          <w:rFonts w:ascii="Cambria"/>
        </w:rPr>
        <w:t>axis </w:t>
      </w:r>
      <w:r>
        <w:rPr/>
        <w:t>indicates that this selection is on the row axis, </w:t>
      </w:r>
      <w:r>
        <w:rPr>
          <w:rFonts w:ascii="Cambria"/>
        </w:rPr>
        <w:t>dimension </w:t>
      </w:r>
      <w:r>
        <w:rPr/>
        <w:t>indicates the field level within the row axis that is selected (zero-based index), </w:t>
      </w:r>
      <w:r>
        <w:rPr>
          <w:rFonts w:ascii="Cambria"/>
        </w:rPr>
        <w:t>activeCol </w:t>
      </w:r>
      <w:r>
        <w:rPr/>
        <w:t>and </w:t>
      </w:r>
      <w:r>
        <w:rPr>
          <w:rFonts w:ascii="Cambria"/>
        </w:rPr>
        <w:t>activeRow </w:t>
      </w:r>
      <w:r>
        <w:rPr/>
        <w:t>respectively indicate where in the grid the selection is located, and </w:t>
      </w:r>
      <w:r>
        <w:rPr>
          <w:rFonts w:ascii="Cambria"/>
        </w:rPr>
        <w:t>reference field </w:t>
      </w:r>
      <w:r>
        <w:rPr/>
        <w:t>indicates to which particular field the selection corresponds.</w:t>
      </w:r>
    </w:p>
    <w:p>
      <w:pPr>
        <w:spacing w:before="202"/>
        <w:ind w:left="220" w:right="0" w:firstLine="0"/>
        <w:jc w:val="left"/>
        <w:rPr>
          <w:sz w:val="22"/>
        </w:rPr>
      </w:pPr>
      <w:r>
        <w:rPr>
          <w:i/>
          <w:sz w:val="22"/>
        </w:rPr>
        <w:t>end example</w:t>
      </w:r>
      <w:r>
        <w:rPr>
          <w:sz w:val="22"/>
        </w:rPr>
        <w: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90"/>
              <w:rPr>
                <w:sz w:val="22"/>
              </w:rPr>
            </w:pPr>
            <w:r>
              <w:rPr>
                <w:rFonts w:ascii="Cambria"/>
                <w:sz w:val="22"/>
              </w:rPr>
              <w:t>activeCol </w:t>
            </w:r>
            <w:r>
              <w:rPr>
                <w:sz w:val="22"/>
              </w:rPr>
              <w:t>(Active Column)</w:t>
            </w:r>
          </w:p>
        </w:tc>
        <w:tc>
          <w:tcPr>
            <w:tcW w:w="8250" w:type="dxa"/>
          </w:tcPr>
          <w:p>
            <w:pPr>
              <w:pStyle w:val="TableParagraph"/>
              <w:rPr>
                <w:sz w:val="22"/>
              </w:rPr>
            </w:pPr>
            <w:r>
              <w:rPr>
                <w:sz w:val="22"/>
              </w:rPr>
              <w:t>The column (zero-based) of active cell for structure selection.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ind w:right="266"/>
              <w:rPr>
                <w:sz w:val="22"/>
              </w:rPr>
            </w:pPr>
            <w:r>
              <w:rPr>
                <w:rFonts w:ascii="Cambria"/>
                <w:sz w:val="22"/>
              </w:rPr>
              <w:t>activeRow </w:t>
            </w:r>
            <w:r>
              <w:rPr>
                <w:sz w:val="22"/>
              </w:rPr>
              <w:t>(Active Row)</w:t>
            </w:r>
          </w:p>
        </w:tc>
        <w:tc>
          <w:tcPr>
            <w:tcW w:w="8250" w:type="dxa"/>
          </w:tcPr>
          <w:p>
            <w:pPr>
              <w:pStyle w:val="TableParagraph"/>
              <w:rPr>
                <w:sz w:val="22"/>
              </w:rPr>
            </w:pPr>
            <w:r>
              <w:rPr>
                <w:sz w:val="22"/>
              </w:rPr>
              <w:t>The row (zero-based) of active cell for structure selection.</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892" w:hRule="atLeast"/>
        </w:trPr>
        <w:tc>
          <w:tcPr>
            <w:tcW w:w="2062" w:type="dxa"/>
          </w:tcPr>
          <w:p>
            <w:pPr>
              <w:pStyle w:val="TableParagraph"/>
              <w:rPr>
                <w:sz w:val="22"/>
              </w:rPr>
            </w:pPr>
            <w:r>
              <w:rPr>
                <w:rFonts w:ascii="Cambria"/>
                <w:sz w:val="22"/>
              </w:rPr>
              <w:t>axis </w:t>
            </w:r>
            <w:r>
              <w:rPr>
                <w:sz w:val="22"/>
              </w:rPr>
              <w:t>(Axis)</w:t>
            </w:r>
          </w:p>
        </w:tc>
        <w:tc>
          <w:tcPr>
            <w:tcW w:w="8250" w:type="dxa"/>
          </w:tcPr>
          <w:p>
            <w:pPr>
              <w:pStyle w:val="TableParagraph"/>
              <w:rPr>
                <w:sz w:val="22"/>
              </w:rPr>
            </w:pPr>
            <w:r>
              <w:rPr>
                <w:sz w:val="22"/>
              </w:rPr>
              <w:t>Axis of the PivotTable on which this selection lies.</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ST_Axis </w:t>
            </w:r>
            <w:r>
              <w:rPr>
                <w:sz w:val="22"/>
              </w:rPr>
              <w:t>simple type (§</w:t>
            </w:r>
            <w:hyperlink w:history="true" w:anchor="_bookmark823">
              <w:r>
                <w:rPr>
                  <w:sz w:val="22"/>
                </w:rPr>
                <w:t>18.18.1</w:t>
              </w:r>
            </w:hyperlink>
            <w:r>
              <w:rPr>
                <w:sz w:val="22"/>
              </w:rPr>
              <w:t>).</w:t>
            </w:r>
          </w:p>
        </w:tc>
      </w:tr>
      <w:tr>
        <w:trPr>
          <w:trHeight w:val="1965" w:hRule="atLeast"/>
        </w:trPr>
        <w:tc>
          <w:tcPr>
            <w:tcW w:w="2062" w:type="dxa"/>
          </w:tcPr>
          <w:p>
            <w:pPr>
              <w:pStyle w:val="TableParagraph"/>
              <w:rPr>
                <w:sz w:val="22"/>
              </w:rPr>
            </w:pPr>
            <w:r>
              <w:rPr>
                <w:rFonts w:ascii="Cambria"/>
                <w:sz w:val="22"/>
              </w:rPr>
              <w:t>click </w:t>
            </w:r>
            <w:r>
              <w:rPr>
                <w:sz w:val="22"/>
              </w:rPr>
              <w:t>(Click Count)</w:t>
            </w:r>
          </w:p>
        </w:tc>
        <w:tc>
          <w:tcPr>
            <w:tcW w:w="8250" w:type="dxa"/>
          </w:tcPr>
          <w:p>
            <w:pPr>
              <w:pStyle w:val="TableParagraph"/>
              <w:ind w:right="226"/>
              <w:rPr>
                <w:sz w:val="22"/>
              </w:rPr>
            </w:pPr>
            <w:r>
              <w:rPr>
                <w:sz w:val="22"/>
              </w:rPr>
              <w:t>Number of clicks for this structure selection. For some selection combinations, subsequent clicks on the same target area cycles the actual selection through some variances. Therefore number of clicks on the selection shall be recorded, if it is desirable to restore this state of the selection cycle on load.</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450"/>
              <w:rPr>
                <w:sz w:val="22"/>
              </w:rPr>
            </w:pPr>
            <w:r>
              <w:rPr>
                <w:rFonts w:ascii="Cambria"/>
                <w:sz w:val="22"/>
              </w:rPr>
              <w:t>count </w:t>
            </w:r>
            <w:r>
              <w:rPr>
                <w:sz w:val="22"/>
              </w:rPr>
              <w:t>(Selection Count)</w:t>
            </w:r>
          </w:p>
        </w:tc>
        <w:tc>
          <w:tcPr>
            <w:tcW w:w="8250" w:type="dxa"/>
          </w:tcPr>
          <w:p>
            <w:pPr>
              <w:pStyle w:val="TableParagraph"/>
              <w:rPr>
                <w:sz w:val="22"/>
              </w:rPr>
            </w:pPr>
            <w:r>
              <w:rPr>
                <w:sz w:val="22"/>
              </w:rPr>
              <w:t>Number of selections for the structure selection.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9" w:hRule="atLeast"/>
        </w:trPr>
        <w:tc>
          <w:tcPr>
            <w:tcW w:w="2062" w:type="dxa"/>
          </w:tcPr>
          <w:p>
            <w:pPr>
              <w:pStyle w:val="TableParagraph"/>
              <w:ind w:right="970"/>
              <w:rPr>
                <w:sz w:val="22"/>
              </w:rPr>
            </w:pPr>
            <w:r>
              <w:rPr>
                <w:rFonts w:ascii="Cambria"/>
                <w:sz w:val="22"/>
              </w:rPr>
              <w:t>data </w:t>
            </w:r>
            <w:r>
              <w:rPr>
                <w:sz w:val="22"/>
              </w:rPr>
              <w:t>(Data Selection)</w:t>
            </w:r>
          </w:p>
        </w:tc>
        <w:tc>
          <w:tcPr>
            <w:tcW w:w="8250" w:type="dxa"/>
          </w:tcPr>
          <w:p>
            <w:pPr>
              <w:pStyle w:val="TableParagraph"/>
              <w:rPr>
                <w:sz w:val="22"/>
              </w:rPr>
            </w:pPr>
            <w:r>
              <w:rPr>
                <w:sz w:val="22"/>
              </w:rPr>
              <w:t>Flag indicating whether the structure selection is for data only.</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6" w:lineRule="exact" w:before="45"/>
              <w:rPr>
                <w:rFonts w:ascii="Cambria"/>
                <w:sz w:val="22"/>
              </w:rPr>
            </w:pPr>
            <w:r>
              <w:rPr>
                <w:rFonts w:ascii="Cambria"/>
                <w:sz w:val="22"/>
              </w:rPr>
              <w:t>dimension</w:t>
            </w:r>
          </w:p>
          <w:p>
            <w:pPr>
              <w:pStyle w:val="TableParagraph"/>
              <w:spacing w:line="267" w:lineRule="exact" w:before="0"/>
              <w:rPr>
                <w:sz w:val="22"/>
              </w:rPr>
            </w:pPr>
            <w:r>
              <w:rPr>
                <w:sz w:val="22"/>
              </w:rPr>
              <w:t>(Dimension)</w:t>
            </w:r>
          </w:p>
        </w:tc>
        <w:tc>
          <w:tcPr>
            <w:tcW w:w="8250" w:type="dxa"/>
          </w:tcPr>
          <w:p>
            <w:pPr>
              <w:pStyle w:val="TableParagraph"/>
              <w:spacing w:before="42"/>
              <w:rPr>
                <w:sz w:val="22"/>
              </w:rPr>
            </w:pPr>
            <w:r>
              <w:rPr>
                <w:sz w:val="22"/>
              </w:rPr>
              <w:t>Indicates the field level within the axis that is selected (zero-based index).</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56" w:lineRule="exact" w:before="42"/>
              <w:rPr>
                <w:rFonts w:ascii="Cambria"/>
                <w:sz w:val="22"/>
              </w:rPr>
            </w:pPr>
            <w:r>
              <w:rPr>
                <w:rFonts w:ascii="Cambria"/>
                <w:sz w:val="22"/>
              </w:rPr>
              <w:t>extendable</w:t>
            </w:r>
          </w:p>
          <w:p>
            <w:pPr>
              <w:pStyle w:val="TableParagraph"/>
              <w:spacing w:line="267" w:lineRule="exact" w:before="0"/>
              <w:rPr>
                <w:sz w:val="22"/>
              </w:rPr>
            </w:pPr>
            <w:r>
              <w:rPr>
                <w:sz w:val="22"/>
              </w:rPr>
              <w:t>(Extendable)</w:t>
            </w:r>
          </w:p>
        </w:tc>
        <w:tc>
          <w:tcPr>
            <w:tcW w:w="8250" w:type="dxa"/>
          </w:tcPr>
          <w:p>
            <w:pPr>
              <w:pStyle w:val="TableParagraph"/>
              <w:rPr>
                <w:sz w:val="22"/>
              </w:rPr>
            </w:pPr>
            <w:r>
              <w:rPr>
                <w:sz w:val="22"/>
              </w:rPr>
              <w:t>Flag indicating whether the structure selection can have additional selections added to it.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24" w:hRule="atLeast"/>
        </w:trPr>
        <w:tc>
          <w:tcPr>
            <w:tcW w:w="2062" w:type="dxa"/>
          </w:tcPr>
          <w:p>
            <w:pPr>
              <w:pStyle w:val="TableParagraph"/>
              <w:spacing w:before="42"/>
              <w:rPr>
                <w:sz w:val="22"/>
              </w:rPr>
            </w:pPr>
            <w:r>
              <w:rPr>
                <w:rFonts w:ascii="Cambria"/>
                <w:sz w:val="22"/>
              </w:rPr>
              <w:t>id </w:t>
            </w:r>
            <w:r>
              <w:rPr>
                <w:sz w:val="22"/>
              </w:rPr>
              <w:t>(Relationship Id)</w:t>
            </w:r>
          </w:p>
          <w:p>
            <w:pPr>
              <w:pStyle w:val="TableParagraph"/>
              <w:spacing w:before="2"/>
              <w:ind w:left="0"/>
              <w:rPr>
                <w:rFonts w:ascii="Times New Roman"/>
                <w:sz w:val="23"/>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spacing w:before="42"/>
              <w:rPr>
                <w:sz w:val="22"/>
              </w:rPr>
            </w:pPr>
            <w:r>
              <w:rPr>
                <w:sz w:val="22"/>
              </w:rPr>
              <w:t>Relationship Id pointing to the particular PivotTable Part corresponding to this selection.</w:t>
            </w:r>
          </w:p>
          <w:p>
            <w:pPr>
              <w:pStyle w:val="TableParagraph"/>
              <w:spacing w:before="2"/>
              <w:ind w:left="0"/>
              <w:rPr>
                <w:rFonts w:ascii="Times New Roman"/>
                <w:sz w:val="23"/>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430" w:hRule="atLeast"/>
        </w:trPr>
        <w:tc>
          <w:tcPr>
            <w:tcW w:w="2062" w:type="dxa"/>
          </w:tcPr>
          <w:p>
            <w:pPr>
              <w:pStyle w:val="TableParagraph"/>
              <w:rPr>
                <w:sz w:val="22"/>
              </w:rPr>
            </w:pPr>
            <w:r>
              <w:rPr>
                <w:rFonts w:ascii="Cambria"/>
                <w:sz w:val="22"/>
              </w:rPr>
              <w:t>label </w:t>
            </w:r>
            <w:r>
              <w:rPr>
                <w:sz w:val="22"/>
              </w:rPr>
              <w:t>(Label)</w:t>
            </w:r>
          </w:p>
        </w:tc>
        <w:tc>
          <w:tcPr>
            <w:tcW w:w="8250" w:type="dxa"/>
          </w:tcPr>
          <w:p>
            <w:pPr>
              <w:pStyle w:val="TableParagraph"/>
              <w:ind w:right="174"/>
              <w:rPr>
                <w:sz w:val="22"/>
              </w:rPr>
            </w:pPr>
            <w:r>
              <w:rPr>
                <w:sz w:val="22"/>
              </w:rPr>
              <w:t>Flag indicating whether the structure selection is for labels only (e.g., a grand total row is selected).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max </w:t>
            </w:r>
            <w:r>
              <w:rPr>
                <w:sz w:val="22"/>
              </w:rPr>
              <w:t>(Maximum)</w:t>
            </w:r>
          </w:p>
        </w:tc>
        <w:tc>
          <w:tcPr>
            <w:tcW w:w="8250" w:type="dxa"/>
          </w:tcPr>
          <w:p>
            <w:pPr>
              <w:pStyle w:val="TableParagraph"/>
              <w:rPr>
                <w:sz w:val="22"/>
              </w:rPr>
            </w:pPr>
            <w:r>
              <w:rPr>
                <w:sz w:val="22"/>
              </w:rPr>
              <w:t>The maximum line the structure selection contains.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min </w:t>
            </w:r>
            <w:r>
              <w:rPr>
                <w:sz w:val="22"/>
              </w:rPr>
              <w:t>(Minimum)</w:t>
            </w:r>
          </w:p>
        </w:tc>
        <w:tc>
          <w:tcPr>
            <w:tcW w:w="8250" w:type="dxa"/>
          </w:tcPr>
          <w:p>
            <w:pPr>
              <w:pStyle w:val="TableParagraph"/>
              <w:rPr>
                <w:sz w:val="22"/>
              </w:rPr>
            </w:pPr>
            <w:r>
              <w:rPr>
                <w:sz w:val="22"/>
              </w:rPr>
              <w:t>The minimum line the structure selection contains.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90" w:hRule="atLeast"/>
        </w:trPr>
        <w:tc>
          <w:tcPr>
            <w:tcW w:w="2062" w:type="dxa"/>
          </w:tcPr>
          <w:p>
            <w:pPr>
              <w:pStyle w:val="TableParagraph"/>
              <w:rPr>
                <w:sz w:val="22"/>
              </w:rPr>
            </w:pPr>
            <w:r>
              <w:rPr>
                <w:rFonts w:ascii="Cambria"/>
                <w:sz w:val="22"/>
              </w:rPr>
              <w:t>pane </w:t>
            </w:r>
            <w:r>
              <w:rPr>
                <w:sz w:val="22"/>
              </w:rPr>
              <w:t>(Pane)</w:t>
            </w:r>
          </w:p>
        </w:tc>
        <w:tc>
          <w:tcPr>
            <w:tcW w:w="8250" w:type="dxa"/>
          </w:tcPr>
          <w:p>
            <w:pPr>
              <w:pStyle w:val="TableParagraph"/>
              <w:rPr>
                <w:sz w:val="22"/>
              </w:rPr>
            </w:pPr>
            <w:r>
              <w:rPr>
                <w:sz w:val="22"/>
              </w:rPr>
              <w:t>The pane to which this PivotTable structure selection belongs.</w:t>
            </w:r>
          </w:p>
          <w:p>
            <w:pPr>
              <w:pStyle w:val="TableParagraph"/>
              <w:spacing w:before="4"/>
              <w:ind w:left="0"/>
              <w:rPr>
                <w:rFonts w:ascii="Times New Roman"/>
                <w:sz w:val="23"/>
              </w:rPr>
            </w:pPr>
          </w:p>
          <w:p>
            <w:pPr>
              <w:pStyle w:val="TableParagraph"/>
              <w:spacing w:before="1"/>
              <w:rPr>
                <w:sz w:val="22"/>
              </w:rPr>
            </w:pPr>
            <w:r>
              <w:rPr>
                <w:sz w:val="22"/>
              </w:rPr>
              <w:t>The possible values for this attribute are defined by the </w:t>
            </w:r>
            <w:r>
              <w:rPr>
                <w:rFonts w:ascii="Cambria" w:hAnsi="Cambria"/>
                <w:sz w:val="22"/>
              </w:rPr>
              <w:t>ST_Pane </w:t>
            </w:r>
            <w:r>
              <w:rPr>
                <w:sz w:val="22"/>
              </w:rPr>
              <w:t>simple type (§</w:t>
            </w:r>
            <w:hyperlink w:history="true" w:anchor="_bookmark874">
              <w:r>
                <w:rPr>
                  <w:sz w:val="22"/>
                </w:rPr>
                <w:t>18.18.52</w:t>
              </w:r>
            </w:hyperlink>
            <w:r>
              <w:rPr>
                <w:sz w:val="22"/>
              </w:rPr>
              <w:t>).</w:t>
            </w:r>
          </w:p>
        </w:tc>
      </w:tr>
      <w:tr>
        <w:trPr>
          <w:trHeight w:val="1161" w:hRule="atLeast"/>
        </w:trPr>
        <w:tc>
          <w:tcPr>
            <w:tcW w:w="2062" w:type="dxa"/>
          </w:tcPr>
          <w:p>
            <w:pPr>
              <w:pStyle w:val="TableParagraph"/>
              <w:spacing w:before="42"/>
              <w:ind w:right="342"/>
              <w:rPr>
                <w:sz w:val="22"/>
              </w:rPr>
            </w:pPr>
            <w:r>
              <w:rPr>
                <w:rFonts w:ascii="Cambria"/>
                <w:sz w:val="22"/>
              </w:rPr>
              <w:t>previousCol </w:t>
            </w:r>
            <w:r>
              <w:rPr>
                <w:sz w:val="22"/>
              </w:rPr>
              <w:t>(Previous Column Selection)</w:t>
            </w:r>
          </w:p>
        </w:tc>
        <w:tc>
          <w:tcPr>
            <w:tcW w:w="8250" w:type="dxa"/>
          </w:tcPr>
          <w:p>
            <w:pPr>
              <w:pStyle w:val="TableParagraph"/>
              <w:rPr>
                <w:sz w:val="22"/>
              </w:rPr>
            </w:pPr>
            <w:r>
              <w:rPr>
                <w:sz w:val="22"/>
              </w:rPr>
              <w:t>1-based index to the column immediately left of the structure selection.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previousRow</w:t>
            </w:r>
          </w:p>
          <w:p>
            <w:pPr>
              <w:pStyle w:val="TableParagraph"/>
              <w:spacing w:line="268" w:lineRule="exact" w:before="0"/>
              <w:rPr>
                <w:sz w:val="22"/>
              </w:rPr>
            </w:pPr>
            <w:r>
              <w:rPr>
                <w:sz w:val="22"/>
              </w:rPr>
              <w:t>(Previous Row)</w:t>
            </w:r>
          </w:p>
        </w:tc>
        <w:tc>
          <w:tcPr>
            <w:tcW w:w="8250" w:type="dxa"/>
          </w:tcPr>
          <w:p>
            <w:pPr>
              <w:pStyle w:val="TableParagraph"/>
              <w:rPr>
                <w:sz w:val="22"/>
              </w:rPr>
            </w:pPr>
            <w:r>
              <w:rPr>
                <w:sz w:val="22"/>
              </w:rPr>
              <w:t>1-based index to the row immediately above the structure selection.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8" w:hRule="atLeast"/>
        </w:trPr>
        <w:tc>
          <w:tcPr>
            <w:tcW w:w="2062" w:type="dxa"/>
          </w:tcPr>
          <w:p>
            <w:pPr>
              <w:pStyle w:val="TableParagraph"/>
              <w:ind w:right="122"/>
              <w:rPr>
                <w:sz w:val="22"/>
              </w:rPr>
            </w:pPr>
            <w:r>
              <w:rPr>
                <w:rFonts w:ascii="Cambria"/>
                <w:sz w:val="22"/>
              </w:rPr>
              <w:t>showHeader </w:t>
            </w:r>
            <w:r>
              <w:rPr>
                <w:sz w:val="22"/>
              </w:rPr>
              <w:t>(Show Header)</w:t>
            </w:r>
          </w:p>
        </w:tc>
        <w:tc>
          <w:tcPr>
            <w:tcW w:w="8250" w:type="dxa"/>
          </w:tcPr>
          <w:p>
            <w:pPr>
              <w:pStyle w:val="TableParagraph"/>
              <w:rPr>
                <w:sz w:val="22"/>
              </w:rPr>
            </w:pPr>
            <w:r>
              <w:rPr>
                <w:sz w:val="22"/>
              </w:rPr>
              <w:t>Flag indicating whether selection toggle from data only to header only to both is enabled.</w:t>
            </w:r>
          </w:p>
          <w:p>
            <w:pPr>
              <w:pStyle w:val="TableParagraph"/>
              <w:spacing w:before="0"/>
              <w:rPr>
                <w:sz w:val="22"/>
              </w:rPr>
            </w:pPr>
            <w:r>
              <w:rPr>
                <w:rFonts w:ascii="Consolas"/>
                <w:sz w:val="20"/>
              </w:rPr>
              <w:t>False</w:t>
            </w:r>
            <w:r>
              <w:rPr>
                <w:rFonts w:ascii="Consolas"/>
                <w:spacing w:val="-66"/>
                <w:sz w:val="20"/>
              </w:rPr>
              <w:t> </w:t>
            </w:r>
            <w:r>
              <w:rPr>
                <w:sz w:val="22"/>
              </w:rPr>
              <w:t>means disabled.</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92" w:hRule="atLeast"/>
        </w:trPr>
        <w:tc>
          <w:tcPr>
            <w:tcW w:w="2062" w:type="dxa"/>
          </w:tcPr>
          <w:p>
            <w:pPr>
              <w:pStyle w:val="TableParagraph"/>
              <w:rPr>
                <w:sz w:val="22"/>
              </w:rPr>
            </w:pPr>
            <w:r>
              <w:rPr>
                <w:rFonts w:ascii="Cambria"/>
                <w:sz w:val="22"/>
              </w:rPr>
              <w:t>start </w:t>
            </w:r>
            <w:r>
              <w:rPr>
                <w:sz w:val="22"/>
              </w:rPr>
              <w:t>(Start)</w:t>
            </w:r>
          </w:p>
        </w:tc>
        <w:tc>
          <w:tcPr>
            <w:tcW w:w="8250" w:type="dxa"/>
          </w:tcPr>
          <w:p>
            <w:pPr>
              <w:pStyle w:val="TableParagraph"/>
              <w:ind w:right="218"/>
              <w:rPr>
                <w:sz w:val="22"/>
              </w:rPr>
            </w:pPr>
            <w:r>
              <w:rPr>
                <w:sz w:val="22"/>
              </w:rPr>
              <w:t>The line the structure selection begins (zero-based). This is the line clicked to initiate the structure selection.</w:t>
            </w:r>
          </w:p>
        </w:tc>
      </w:tr>
    </w:tbl>
    <w:p>
      <w:pPr>
        <w:spacing w:after="0"/>
        <w:rPr>
          <w:sz w:val="22"/>
        </w:rPr>
        <w:sectPr>
          <w:footerReference w:type="even" r:id="rId45"/>
          <w:footerReference w:type="default" r:id="rId46"/>
          <w:pgSz w:w="12240" w:h="15840"/>
          <w:pgMar w:footer="746" w:header="761" w:top="1340" w:bottom="940" w:left="860" w:right="700"/>
          <w:pgNumType w:start="167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CT_PivotSelection</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0 printOptions (Print Options)" w:id="311"/>
      <w:bookmarkEnd w:id="311"/>
      <w:r>
        <w:rPr/>
      </w:r>
      <w:bookmarkStart w:name="_bookmark102" w:id="312"/>
      <w:bookmarkEnd w:id="312"/>
      <w:r>
        <w:rPr/>
      </w:r>
      <w:bookmarkStart w:name="_bookmark102" w:id="313"/>
      <w:bookmarkEnd w:id="313"/>
      <w:r>
        <w:rPr>
          <w:color w:val="4F81BC"/>
        </w:rPr>
        <w:t>p</w:t>
      </w:r>
      <w:r>
        <w:rPr>
          <w:color w:val="4F81BC"/>
        </w:rPr>
        <w:t>rintOptions (Print Options)</w:t>
      </w:r>
    </w:p>
    <w:p>
      <w:pPr>
        <w:pStyle w:val="BodyText"/>
        <w:spacing w:line="276" w:lineRule="auto" w:before="121"/>
        <w:ind w:left="220" w:right="543"/>
      </w:pPr>
      <w:r>
        <w:rPr/>
        <w:t>Print options for the sheet. Printer-specific settings are stored separately in the Printer Settings part as defined in §15.2.15.</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ind w:right="485"/>
              <w:rPr>
                <w:sz w:val="22"/>
              </w:rPr>
            </w:pPr>
            <w:r>
              <w:rPr>
                <w:rFonts w:ascii="Cambria"/>
                <w:sz w:val="22"/>
              </w:rPr>
              <w:t>gridLines </w:t>
            </w:r>
            <w:r>
              <w:rPr>
                <w:sz w:val="22"/>
              </w:rPr>
              <w:t>(Print Grid Lines)</w:t>
            </w:r>
          </w:p>
        </w:tc>
        <w:tc>
          <w:tcPr>
            <w:tcW w:w="8250" w:type="dxa"/>
          </w:tcPr>
          <w:p>
            <w:pPr>
              <w:pStyle w:val="TableParagraph"/>
              <w:ind w:right="118"/>
              <w:rPr>
                <w:sz w:val="22"/>
              </w:rPr>
            </w:pPr>
            <w:r>
              <w:rPr>
                <w:sz w:val="22"/>
              </w:rPr>
              <w:t>Used in conjunction with </w:t>
            </w:r>
            <w:r>
              <w:rPr>
                <w:rFonts w:ascii="Cambria"/>
                <w:sz w:val="22"/>
              </w:rPr>
              <w:t>gridLinesSet</w:t>
            </w:r>
            <w:r>
              <w:rPr>
                <w:sz w:val="22"/>
              </w:rPr>
              <w:t>. If both </w:t>
            </w:r>
            <w:r>
              <w:rPr>
                <w:rFonts w:ascii="Cambria"/>
                <w:sz w:val="22"/>
              </w:rPr>
              <w:t>gridLines </w:t>
            </w:r>
            <w:r>
              <w:rPr>
                <w:sz w:val="22"/>
              </w:rPr>
              <w:t>and </w:t>
            </w:r>
            <w:r>
              <w:rPr>
                <w:rFonts w:ascii="Cambria"/>
                <w:sz w:val="22"/>
              </w:rPr>
              <w:t>gridlinesSet </w:t>
            </w:r>
            <w:r>
              <w:rPr>
                <w:sz w:val="22"/>
              </w:rPr>
              <w:t>are </w:t>
            </w:r>
            <w:r>
              <w:rPr>
                <w:rFonts w:ascii="Consolas"/>
                <w:sz w:val="20"/>
              </w:rPr>
              <w:t>true</w:t>
            </w:r>
            <w:r>
              <w:rPr>
                <w:sz w:val="22"/>
              </w:rPr>
              <w:t>, then grid lines shall print. Otherwise, they shall not (i.e., one or both have </w:t>
            </w:r>
            <w:r>
              <w:rPr>
                <w:rFonts w:ascii="Consolas"/>
                <w:sz w:val="20"/>
              </w:rPr>
              <w:t>false</w:t>
            </w:r>
            <w:r>
              <w:rPr>
                <w:rFonts w:ascii="Consolas"/>
                <w:spacing w:val="-83"/>
                <w:sz w:val="20"/>
              </w:rPr>
              <w:t> </w:t>
            </w:r>
            <w:r>
              <w:rPr>
                <w:sz w:val="22"/>
              </w:rPr>
              <w:t>values).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boolean</w:t>
            </w:r>
          </w:p>
          <w:p>
            <w:pPr>
              <w:pStyle w:val="TableParagraph"/>
              <w:spacing w:before="1"/>
              <w:rPr>
                <w:sz w:val="22"/>
              </w:rPr>
            </w:pPr>
            <w:r>
              <w:rPr>
                <w:sz w:val="22"/>
              </w:rPr>
              <w:t>datatype.</w:t>
            </w:r>
          </w:p>
        </w:tc>
      </w:tr>
      <w:tr>
        <w:trPr>
          <w:trHeight w:val="1427" w:hRule="atLeast"/>
        </w:trPr>
        <w:tc>
          <w:tcPr>
            <w:tcW w:w="2062" w:type="dxa"/>
          </w:tcPr>
          <w:p>
            <w:pPr>
              <w:pStyle w:val="TableParagraph"/>
              <w:ind w:right="242"/>
              <w:rPr>
                <w:sz w:val="22"/>
              </w:rPr>
            </w:pPr>
            <w:r>
              <w:rPr>
                <w:rFonts w:ascii="Cambria"/>
                <w:sz w:val="22"/>
              </w:rPr>
              <w:t>gridLinesSet </w:t>
            </w:r>
            <w:r>
              <w:rPr>
                <w:sz w:val="22"/>
              </w:rPr>
              <w:t>(Grid Lines Set)</w:t>
            </w:r>
          </w:p>
        </w:tc>
        <w:tc>
          <w:tcPr>
            <w:tcW w:w="8250" w:type="dxa"/>
          </w:tcPr>
          <w:p>
            <w:pPr>
              <w:pStyle w:val="TableParagraph"/>
              <w:ind w:right="351"/>
              <w:rPr>
                <w:sz w:val="22"/>
              </w:rPr>
            </w:pPr>
            <w:r>
              <w:rPr>
                <w:sz w:val="22"/>
              </w:rPr>
              <w:t>Used in conjunction with </w:t>
            </w:r>
            <w:r>
              <w:rPr>
                <w:rFonts w:ascii="Cambria"/>
                <w:sz w:val="22"/>
              </w:rPr>
              <w:t>gridLines</w:t>
            </w:r>
            <w:r>
              <w:rPr>
                <w:sz w:val="22"/>
              </w:rPr>
              <w:t>. If both </w:t>
            </w:r>
            <w:r>
              <w:rPr>
                <w:rFonts w:ascii="Cambria"/>
                <w:sz w:val="22"/>
              </w:rPr>
              <w:t>gridLines </w:t>
            </w:r>
            <w:r>
              <w:rPr>
                <w:sz w:val="22"/>
              </w:rPr>
              <w:t>and </w:t>
            </w:r>
            <w:r>
              <w:rPr>
                <w:rFonts w:ascii="Cambria"/>
                <w:sz w:val="22"/>
              </w:rPr>
              <w:t>gridLinesSet </w:t>
            </w:r>
            <w:r>
              <w:rPr>
                <w:sz w:val="22"/>
              </w:rPr>
              <w:t>are </w:t>
            </w:r>
            <w:r>
              <w:rPr>
                <w:rFonts w:ascii="Consolas"/>
                <w:sz w:val="20"/>
              </w:rPr>
              <w:t>true</w:t>
            </w:r>
            <w:r>
              <w:rPr>
                <w:sz w:val="22"/>
              </w:rPr>
              <w:t>, then grid lines shall print. Otherwise, they shall not (i.e., one or both have </w:t>
            </w:r>
            <w:r>
              <w:rPr>
                <w:rFonts w:ascii="Consolas"/>
                <w:sz w:val="20"/>
              </w:rPr>
              <w:t>false</w:t>
            </w:r>
            <w:r>
              <w:rPr>
                <w:rFonts w:ascii="Consolas"/>
                <w:spacing w:val="-81"/>
                <w:sz w:val="20"/>
              </w:rPr>
              <w:t> </w:t>
            </w:r>
            <w:r>
              <w:rPr>
                <w:sz w:val="22"/>
              </w:rPr>
              <w:t>values).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526"/>
              <w:rPr>
                <w:sz w:val="22"/>
              </w:rPr>
            </w:pPr>
            <w:r>
              <w:rPr>
                <w:rFonts w:ascii="Cambria"/>
                <w:sz w:val="22"/>
              </w:rPr>
              <w:t>headings </w:t>
            </w:r>
            <w:r>
              <w:rPr>
                <w:sz w:val="22"/>
              </w:rPr>
              <w:t>(Print Headings)</w:t>
            </w:r>
          </w:p>
        </w:tc>
        <w:tc>
          <w:tcPr>
            <w:tcW w:w="8250" w:type="dxa"/>
          </w:tcPr>
          <w:p>
            <w:pPr>
              <w:pStyle w:val="TableParagraph"/>
              <w:rPr>
                <w:sz w:val="22"/>
              </w:rPr>
            </w:pPr>
            <w:r>
              <w:rPr>
                <w:sz w:val="22"/>
              </w:rPr>
              <w:t>Print row and column headings.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37" w:lineRule="auto" w:before="45"/>
              <w:ind w:right="89"/>
              <w:rPr>
                <w:sz w:val="22"/>
              </w:rPr>
            </w:pPr>
            <w:r>
              <w:rPr>
                <w:rFonts w:ascii="Cambria"/>
                <w:sz w:val="22"/>
              </w:rPr>
              <w:t>horizontalCentered </w:t>
            </w:r>
            <w:r>
              <w:rPr>
                <w:sz w:val="22"/>
              </w:rPr>
              <w:t>(Horizontal Centered)</w:t>
            </w:r>
          </w:p>
        </w:tc>
        <w:tc>
          <w:tcPr>
            <w:tcW w:w="8250" w:type="dxa"/>
          </w:tcPr>
          <w:p>
            <w:pPr>
              <w:pStyle w:val="TableParagraph"/>
              <w:rPr>
                <w:sz w:val="22"/>
              </w:rPr>
            </w:pPr>
            <w:r>
              <w:rPr>
                <w:sz w:val="22"/>
              </w:rPr>
              <w:t>Center on page horizontally when printing.</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verticalCentered</w:t>
            </w:r>
          </w:p>
          <w:p>
            <w:pPr>
              <w:pStyle w:val="TableParagraph"/>
              <w:spacing w:line="268" w:lineRule="exact" w:before="0"/>
              <w:rPr>
                <w:sz w:val="22"/>
              </w:rPr>
            </w:pPr>
            <w:r>
              <w:rPr>
                <w:sz w:val="22"/>
              </w:rPr>
              <w:t>(Vertical Centered)</w:t>
            </w:r>
          </w:p>
        </w:tc>
        <w:tc>
          <w:tcPr>
            <w:tcW w:w="8250" w:type="dxa"/>
          </w:tcPr>
          <w:p>
            <w:pPr>
              <w:pStyle w:val="TableParagraph"/>
              <w:rPr>
                <w:sz w:val="22"/>
              </w:rPr>
            </w:pPr>
            <w:r>
              <w:rPr>
                <w:sz w:val="22"/>
              </w:rPr>
              <w:t>Center on page vertically when printing.</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CT_PrintOptions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1 protectedRange (Protected Rang" w:id="314"/>
      <w:bookmarkEnd w:id="314"/>
      <w:r>
        <w:rPr/>
      </w:r>
      <w:bookmarkStart w:name="_bookmark103" w:id="315"/>
      <w:bookmarkEnd w:id="315"/>
      <w:r>
        <w:rPr/>
      </w:r>
      <w:bookmarkStart w:name="_bookmark103" w:id="316"/>
      <w:bookmarkEnd w:id="316"/>
      <w:r>
        <w:rPr>
          <w:color w:val="4F81BC"/>
        </w:rPr>
        <w:t>p</w:t>
      </w:r>
      <w:r>
        <w:rPr>
          <w:color w:val="4F81BC"/>
        </w:rPr>
        <w:t>rotectedRange (Protected</w:t>
      </w:r>
      <w:r>
        <w:rPr>
          <w:color w:val="4F81BC"/>
          <w:spacing w:val="-1"/>
        </w:rPr>
        <w:t> </w:t>
      </w:r>
      <w:r>
        <w:rPr>
          <w:color w:val="4F81BC"/>
        </w:rPr>
        <w:t>Range)</w:t>
      </w:r>
    </w:p>
    <w:p>
      <w:pPr>
        <w:pStyle w:val="BodyText"/>
        <w:spacing w:line="276" w:lineRule="auto" w:before="119"/>
        <w:ind w:left="220" w:right="671"/>
      </w:pPr>
      <w:r>
        <w:rPr/>
        <w:t>A specified range to be protected. Ranges listed here are protected only when the sheet protection is ON and the cell is flagged as being locked. If no password is specified here, then read/write permissions are</w:t>
      </w:r>
    </w:p>
    <w:p>
      <w:pPr>
        <w:spacing w:after="0" w:line="276" w:lineRule="auto"/>
        <w:sectPr>
          <w:pgSz w:w="12240" w:h="15840"/>
          <w:pgMar w:header="763" w:footer="746" w:top="1340" w:bottom="940" w:left="860" w:right="700"/>
        </w:sectPr>
      </w:pPr>
    </w:p>
    <w:p>
      <w:pPr>
        <w:pStyle w:val="BodyText"/>
        <w:spacing w:line="276" w:lineRule="auto" w:before="90"/>
        <w:ind w:left="220" w:right="691"/>
      </w:pPr>
      <w:r>
        <w:rPr/>
        <w:t>automatically given to all users, regardless of additional security descriptor information. In other words, the security descriptor information (specific types of access) at the user level is only applied if a password for this range is specified.</w:t>
      </w:r>
    </w:p>
    <w:p>
      <w:pPr>
        <w:pStyle w:val="BodyText"/>
        <w:spacing w:before="4"/>
        <w:rPr>
          <w:sz w:val="16"/>
        </w:rPr>
      </w:pPr>
    </w:p>
    <w:p>
      <w:pPr>
        <w:pStyle w:val="BodyText"/>
        <w:spacing w:line="278" w:lineRule="auto"/>
        <w:ind w:left="220" w:right="399"/>
      </w:pPr>
      <w:r>
        <w:rPr/>
        <w:t>When a password is to be hashed and stored in this element, it shall be hashed as defined below, starting from a UTF-16LE encoded string value. If there is a leading BOM character (U+FEFF) in the encoded password it is removed before hash calculation.</w:t>
      </w:r>
    </w:p>
    <w:p>
      <w:pPr>
        <w:pStyle w:val="BodyText"/>
        <w:spacing w:line="276" w:lineRule="auto" w:before="194"/>
        <w:ind w:left="220" w:right="875"/>
      </w:pPr>
      <w:r>
        <w:rPr/>
        <w:t>When a password is specified, then users not listed specifically as having access should be prompted with a password. If that user supplies the correct password, then they can edit the range or cell in question. This protection is optional and can be ignored by applications that choose not to support this functionality.</w:t>
      </w:r>
    </w:p>
    <w:p>
      <w:pPr>
        <w:pStyle w:val="BodyText"/>
        <w:spacing w:before="6"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gridSpan w:val="4"/>
            <w:shd w:val="clear" w:color="auto" w:fill="C0C0C0"/>
          </w:tcPr>
          <w:p>
            <w:pPr>
              <w:pStyle w:val="TableParagraph"/>
              <w:ind w:left="98" w:right="91"/>
              <w:jc w:val="center"/>
              <w:rPr>
                <w:b/>
                <w:sz w:val="22"/>
              </w:rPr>
            </w:pPr>
            <w:r>
              <w:rPr>
                <w:b/>
                <w:sz w:val="22"/>
              </w:rPr>
              <w:t>Description</w:t>
            </w:r>
          </w:p>
        </w:tc>
      </w:tr>
      <w:tr>
        <w:trPr>
          <w:trHeight w:val="1118" w:hRule="atLeast"/>
        </w:trPr>
        <w:tc>
          <w:tcPr>
            <w:tcW w:w="2062" w:type="dxa"/>
            <w:vMerge w:val="restart"/>
          </w:tcPr>
          <w:p>
            <w:pPr>
              <w:pStyle w:val="TableParagraph"/>
              <w:spacing w:line="237" w:lineRule="auto" w:before="45"/>
              <w:ind w:right="378"/>
              <w:rPr>
                <w:sz w:val="22"/>
              </w:rPr>
            </w:pPr>
            <w:r>
              <w:rPr>
                <w:rFonts w:ascii="Cambria"/>
                <w:sz w:val="22"/>
              </w:rPr>
              <w:t>algorithmName </w:t>
            </w:r>
            <w:r>
              <w:rPr>
                <w:sz w:val="22"/>
              </w:rPr>
              <w:t>(Cryptographic Algorithm Name)</w:t>
            </w:r>
          </w:p>
        </w:tc>
        <w:tc>
          <w:tcPr>
            <w:tcW w:w="8250" w:type="dxa"/>
            <w:gridSpan w:val="4"/>
          </w:tcPr>
          <w:p>
            <w:pPr>
              <w:pStyle w:val="TableParagraph"/>
              <w:rPr>
                <w:sz w:val="22"/>
              </w:rPr>
            </w:pPr>
            <w:r>
              <w:rPr>
                <w:sz w:val="22"/>
              </w:rPr>
              <w:t>Specifies the specific cryptographic hashing algorithm which shall be used along with the</w:t>
            </w:r>
          </w:p>
          <w:p>
            <w:pPr>
              <w:pStyle w:val="TableParagraph"/>
              <w:spacing w:before="0"/>
              <w:rPr>
                <w:sz w:val="22"/>
              </w:rPr>
            </w:pPr>
            <w:r>
              <w:rPr>
                <w:rFonts w:ascii="Cambria"/>
                <w:sz w:val="22"/>
              </w:rPr>
              <w:t>salt </w:t>
            </w:r>
            <w:r>
              <w:rPr>
                <w:sz w:val="22"/>
              </w:rPr>
              <w:t>attribute and input password in order to compute the hash value.</w:t>
            </w:r>
          </w:p>
          <w:p>
            <w:pPr>
              <w:pStyle w:val="TableParagraph"/>
              <w:spacing w:before="1"/>
              <w:ind w:left="0"/>
              <w:rPr>
                <w:sz w:val="22"/>
              </w:rPr>
            </w:pPr>
          </w:p>
          <w:p>
            <w:pPr>
              <w:pStyle w:val="TableParagraph"/>
              <w:spacing w:line="252" w:lineRule="exact" w:before="0"/>
              <w:rPr>
                <w:sz w:val="22"/>
              </w:rPr>
            </w:pPr>
            <w:r>
              <w:rPr>
                <w:sz w:val="22"/>
              </w:rPr>
              <w:t>The following values are reserved:</w:t>
            </w:r>
          </w:p>
        </w:tc>
      </w:tr>
      <w:tr>
        <w:trPr>
          <w:trHeight w:val="354" w:hRule="atLeast"/>
        </w:trPr>
        <w:tc>
          <w:tcPr>
            <w:tcW w:w="2062" w:type="dxa"/>
            <w:vMerge/>
            <w:tcBorders>
              <w:top w:val="nil"/>
            </w:tcBorders>
          </w:tcPr>
          <w:p>
            <w:pPr>
              <w:rPr>
                <w:sz w:val="2"/>
                <w:szCs w:val="2"/>
              </w:rPr>
            </w:pPr>
          </w:p>
        </w:tc>
        <w:tc>
          <w:tcPr>
            <w:tcW w:w="120" w:type="dxa"/>
            <w:vMerge w:val="restart"/>
            <w:tcBorders>
              <w:top w:val="nil"/>
            </w:tcBorders>
          </w:tcPr>
          <w:p>
            <w:pPr>
              <w:pStyle w:val="TableParagraph"/>
              <w:spacing w:before="0"/>
              <w:ind w:left="0"/>
              <w:rPr>
                <w:rFonts w:ascii="Times New Roman"/>
                <w:sz w:val="22"/>
              </w:rPr>
            </w:pPr>
          </w:p>
        </w:tc>
        <w:tc>
          <w:tcPr>
            <w:tcW w:w="1894" w:type="dxa"/>
            <w:shd w:val="clear" w:color="auto" w:fill="C0C0C0"/>
          </w:tcPr>
          <w:p>
            <w:pPr>
              <w:pStyle w:val="TableParagraph"/>
              <w:ind w:left="665" w:right="656"/>
              <w:jc w:val="center"/>
              <w:rPr>
                <w:b/>
                <w:sz w:val="22"/>
              </w:rPr>
            </w:pPr>
            <w:r>
              <w:rPr>
                <w:b/>
                <w:sz w:val="22"/>
              </w:rPr>
              <w:t>Value</w:t>
            </w:r>
          </w:p>
        </w:tc>
        <w:tc>
          <w:tcPr>
            <w:tcW w:w="6116" w:type="dxa"/>
            <w:shd w:val="clear" w:color="auto" w:fill="C0C0C0"/>
          </w:tcPr>
          <w:p>
            <w:pPr>
              <w:pStyle w:val="TableParagraph"/>
              <w:ind w:left="2579" w:right="2571"/>
              <w:jc w:val="center"/>
              <w:rPr>
                <w:b/>
                <w:sz w:val="22"/>
              </w:rPr>
            </w:pPr>
            <w:r>
              <w:rPr>
                <w:b/>
                <w:sz w:val="22"/>
              </w:rPr>
              <w:t>Algorithm</w:t>
            </w:r>
          </w:p>
        </w:tc>
        <w:tc>
          <w:tcPr>
            <w:tcW w:w="120" w:type="dxa"/>
            <w:tcBorders>
              <w:top w:val="nil"/>
              <w:bottom w:val="nil"/>
            </w:tcBorders>
          </w:tcPr>
          <w:p>
            <w:pPr>
              <w:pStyle w:val="TableParagraph"/>
              <w:spacing w:before="0"/>
              <w:ind w:left="0"/>
              <w:rPr>
                <w:rFonts w:ascii="Times New Roman"/>
                <w:sz w:val="22"/>
              </w:rPr>
            </w:pPr>
          </w:p>
        </w:tc>
      </w:tr>
      <w:tr>
        <w:trPr>
          <w:trHeight w:val="1696"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MD2</w:t>
            </w:r>
          </w:p>
        </w:tc>
        <w:tc>
          <w:tcPr>
            <w:tcW w:w="6116" w:type="dxa"/>
          </w:tcPr>
          <w:p>
            <w:pPr>
              <w:pStyle w:val="TableParagraph"/>
              <w:ind w:right="329"/>
              <w:rPr>
                <w:sz w:val="22"/>
              </w:rPr>
            </w:pPr>
            <w:r>
              <w:rPr>
                <w:sz w:val="22"/>
              </w:rPr>
              <w:t>Specifies that the MD2 algorithm, as defined by RFC 1319, shall be used.</w:t>
            </w:r>
          </w:p>
          <w:p>
            <w:pPr>
              <w:pStyle w:val="TableParagraph"/>
              <w:spacing w:before="10"/>
              <w:ind w:left="0"/>
              <w:rPr>
                <w:sz w:val="21"/>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6"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MD4</w:t>
            </w:r>
          </w:p>
        </w:tc>
        <w:tc>
          <w:tcPr>
            <w:tcW w:w="6116" w:type="dxa"/>
          </w:tcPr>
          <w:p>
            <w:pPr>
              <w:pStyle w:val="TableParagraph"/>
              <w:ind w:right="329"/>
              <w:rPr>
                <w:sz w:val="22"/>
              </w:rPr>
            </w:pPr>
            <w:r>
              <w:rPr>
                <w:sz w:val="22"/>
              </w:rPr>
              <w:t>Specifies that the MD4 algorithm, as defined by RFC 1320, shall be used.</w:t>
            </w:r>
          </w:p>
          <w:p>
            <w:pPr>
              <w:pStyle w:val="TableParagraph"/>
              <w:spacing w:before="1"/>
              <w:ind w:left="0"/>
              <w:rPr>
                <w:sz w:val="22"/>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8"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MD5</w:t>
            </w:r>
          </w:p>
        </w:tc>
        <w:tc>
          <w:tcPr>
            <w:tcW w:w="6116" w:type="dxa"/>
          </w:tcPr>
          <w:p>
            <w:pPr>
              <w:pStyle w:val="TableParagraph"/>
              <w:ind w:right="329"/>
              <w:rPr>
                <w:sz w:val="22"/>
              </w:rPr>
            </w:pPr>
            <w:r>
              <w:rPr>
                <w:sz w:val="22"/>
              </w:rPr>
              <w:t>Specifies that the MD5 algorithm, as defined by RFC 1321, shall be used.</w:t>
            </w:r>
          </w:p>
          <w:p>
            <w:pPr>
              <w:pStyle w:val="TableParagraph"/>
              <w:spacing w:before="0"/>
              <w:ind w:left="0"/>
              <w:rPr>
                <w:sz w:val="22"/>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7"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RIPEMD-128</w:t>
            </w:r>
          </w:p>
        </w:tc>
        <w:tc>
          <w:tcPr>
            <w:tcW w:w="6116" w:type="dxa"/>
          </w:tcPr>
          <w:p>
            <w:pPr>
              <w:pStyle w:val="TableParagraph"/>
              <w:ind w:right="339"/>
              <w:rPr>
                <w:sz w:val="22"/>
              </w:rPr>
            </w:pPr>
            <w:r>
              <w:rPr>
                <w:sz w:val="22"/>
              </w:rPr>
              <w:t>Specifies that the RIPEMD-128 algorithm, as defined by ISO/IEC 10118-3:2004 shall be used.</w:t>
            </w:r>
          </w:p>
          <w:p>
            <w:pPr>
              <w:pStyle w:val="TableParagraph"/>
              <w:spacing w:before="1"/>
              <w:ind w:left="0"/>
              <w:rPr>
                <w:sz w:val="22"/>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639"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Borders>
              <w:bottom w:val="double" w:sz="1" w:space="0" w:color="000000"/>
            </w:tcBorders>
          </w:tcPr>
          <w:p>
            <w:pPr>
              <w:pStyle w:val="TableParagraph"/>
              <w:spacing w:before="41"/>
              <w:rPr>
                <w:rFonts w:ascii="Consolas"/>
                <w:sz w:val="20"/>
              </w:rPr>
            </w:pPr>
            <w:r>
              <w:rPr>
                <w:rFonts w:ascii="Consolas"/>
                <w:sz w:val="20"/>
              </w:rPr>
              <w:t>RIPEMD-160</w:t>
            </w:r>
          </w:p>
        </w:tc>
        <w:tc>
          <w:tcPr>
            <w:tcW w:w="6116" w:type="dxa"/>
            <w:tcBorders>
              <w:bottom w:val="double" w:sz="1" w:space="0" w:color="000000"/>
            </w:tcBorders>
          </w:tcPr>
          <w:p>
            <w:pPr>
              <w:pStyle w:val="TableParagraph"/>
              <w:ind w:right="339"/>
              <w:rPr>
                <w:sz w:val="22"/>
              </w:rPr>
            </w:pPr>
            <w:r>
              <w:rPr>
                <w:sz w:val="22"/>
              </w:rPr>
              <w:t>Specifies that the RIPEMD-160 algorithm, as defined by ISO/IEC 10118-3:2004 shall be used.</w:t>
            </w:r>
          </w:p>
        </w:tc>
        <w:tc>
          <w:tcPr>
            <w:tcW w:w="120"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71" w:hRule="atLeast"/>
        </w:trPr>
        <w:tc>
          <w:tcPr>
            <w:tcW w:w="2062" w:type="dxa"/>
            <w:shd w:val="clear" w:color="auto" w:fill="C0C0C0"/>
          </w:tcPr>
          <w:p>
            <w:pPr>
              <w:pStyle w:val="TableParagraph"/>
              <w:ind w:left="566"/>
              <w:rPr>
                <w:b/>
                <w:sz w:val="22"/>
              </w:rPr>
            </w:pPr>
            <w:r>
              <w:rPr>
                <w:b/>
                <w:sz w:val="22"/>
              </w:rPr>
              <w:t>Attributes</w:t>
            </w:r>
          </w:p>
        </w:tc>
        <w:tc>
          <w:tcPr>
            <w:tcW w:w="8250" w:type="dxa"/>
            <w:gridSpan w:val="4"/>
            <w:tcBorders>
              <w:bottom w:val="double" w:sz="1" w:space="0" w:color="000000"/>
            </w:tcBorders>
            <w:shd w:val="clear" w:color="auto" w:fill="C0C0C0"/>
          </w:tcPr>
          <w:p>
            <w:pPr>
              <w:pStyle w:val="TableParagraph"/>
              <w:ind w:left="98" w:right="91"/>
              <w:jc w:val="center"/>
              <w:rPr>
                <w:b/>
                <w:sz w:val="22"/>
              </w:rPr>
            </w:pPr>
            <w:r>
              <w:rPr>
                <w:b/>
                <w:sz w:val="22"/>
              </w:rPr>
              <w:t>Description</w:t>
            </w:r>
          </w:p>
        </w:tc>
      </w:tr>
      <w:tr>
        <w:trPr>
          <w:trHeight w:val="640" w:hRule="atLeast"/>
        </w:trPr>
        <w:tc>
          <w:tcPr>
            <w:tcW w:w="2062" w:type="dxa"/>
            <w:vMerge w:val="restart"/>
          </w:tcPr>
          <w:p>
            <w:pPr>
              <w:pStyle w:val="TableParagraph"/>
              <w:spacing w:before="0"/>
              <w:ind w:left="0"/>
              <w:rPr>
                <w:rFonts w:ascii="Times New Roman"/>
                <w:sz w:val="20"/>
              </w:rPr>
            </w:pPr>
          </w:p>
        </w:tc>
        <w:tc>
          <w:tcPr>
            <w:tcW w:w="120" w:type="dxa"/>
            <w:vMerge w:val="restart"/>
            <w:tcBorders>
              <w:bottom w:val="nil"/>
            </w:tcBorders>
          </w:tcPr>
          <w:p>
            <w:pPr>
              <w:pStyle w:val="TableParagraph"/>
              <w:spacing w:before="0"/>
              <w:ind w:left="0"/>
              <w:rPr>
                <w:rFonts w:ascii="Times New Roman"/>
                <w:sz w:val="20"/>
              </w:rPr>
            </w:pPr>
          </w:p>
        </w:tc>
        <w:tc>
          <w:tcPr>
            <w:tcW w:w="1894" w:type="dxa"/>
            <w:tcBorders>
              <w:top w:val="double" w:sz="1" w:space="0" w:color="000000"/>
            </w:tcBorders>
          </w:tcPr>
          <w:p>
            <w:pPr>
              <w:pStyle w:val="TableParagraph"/>
              <w:spacing w:before="58"/>
              <w:rPr>
                <w:rFonts w:ascii="Consolas"/>
                <w:sz w:val="20"/>
              </w:rPr>
            </w:pPr>
            <w:r>
              <w:rPr>
                <w:rFonts w:ascii="Consolas"/>
                <w:sz w:val="20"/>
              </w:rPr>
              <w:t>SHA-1</w:t>
            </w:r>
          </w:p>
        </w:tc>
        <w:tc>
          <w:tcPr>
            <w:tcW w:w="6116" w:type="dxa"/>
            <w:tcBorders>
              <w:top w:val="double" w:sz="1" w:space="0" w:color="000000"/>
            </w:tcBorders>
          </w:tcPr>
          <w:p>
            <w:pPr>
              <w:pStyle w:val="TableParagraph"/>
              <w:spacing w:before="56"/>
              <w:ind w:right="224"/>
              <w:rPr>
                <w:sz w:val="22"/>
              </w:rPr>
            </w:pPr>
            <w:r>
              <w:rPr>
                <w:sz w:val="22"/>
              </w:rPr>
              <w:t>Specifies that the SHA-1 algorithm, as defined by ISO/IEC 10118- 3:2004 shall be used.</w:t>
            </w:r>
          </w:p>
        </w:tc>
        <w:tc>
          <w:tcPr>
            <w:tcW w:w="120" w:type="dxa"/>
            <w:tcBorders>
              <w:bottom w:val="nil"/>
            </w:tcBorders>
          </w:tcPr>
          <w:p>
            <w:pPr>
              <w:pStyle w:val="TableParagraph"/>
              <w:spacing w:before="0"/>
              <w:ind w:left="0"/>
              <w:rPr>
                <w:rFonts w:ascii="Times New Roman"/>
                <w:sz w:val="20"/>
              </w:rPr>
            </w:pPr>
          </w:p>
        </w:tc>
      </w:tr>
      <w:tr>
        <w:trPr>
          <w:trHeight w:val="621"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SHA-256</w:t>
            </w:r>
          </w:p>
        </w:tc>
        <w:tc>
          <w:tcPr>
            <w:tcW w:w="6116" w:type="dxa"/>
          </w:tcPr>
          <w:p>
            <w:pPr>
              <w:pStyle w:val="TableParagraph"/>
              <w:ind w:right="689"/>
              <w:rPr>
                <w:sz w:val="22"/>
              </w:rPr>
            </w:pPr>
            <w:r>
              <w:rPr>
                <w:sz w:val="22"/>
              </w:rPr>
              <w:t>Specifies that the SHA-256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4"/>
              <w:rPr>
                <w:rFonts w:ascii="Consolas"/>
                <w:sz w:val="20"/>
              </w:rPr>
            </w:pPr>
            <w:r>
              <w:rPr>
                <w:rFonts w:ascii="Consolas"/>
                <w:sz w:val="20"/>
              </w:rPr>
              <w:t>SHA-384</w:t>
            </w:r>
          </w:p>
        </w:tc>
        <w:tc>
          <w:tcPr>
            <w:tcW w:w="6116" w:type="dxa"/>
          </w:tcPr>
          <w:p>
            <w:pPr>
              <w:pStyle w:val="TableParagraph"/>
              <w:spacing w:line="237" w:lineRule="auto" w:before="44"/>
              <w:ind w:right="689"/>
              <w:rPr>
                <w:sz w:val="22"/>
              </w:rPr>
            </w:pPr>
            <w:r>
              <w:rPr>
                <w:sz w:val="22"/>
              </w:rPr>
              <w:t>Specifies that the SHA-384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SHA-512</w:t>
            </w:r>
          </w:p>
        </w:tc>
        <w:tc>
          <w:tcPr>
            <w:tcW w:w="6116" w:type="dxa"/>
          </w:tcPr>
          <w:p>
            <w:pPr>
              <w:pStyle w:val="TableParagraph"/>
              <w:ind w:right="689"/>
              <w:rPr>
                <w:sz w:val="22"/>
              </w:rPr>
            </w:pPr>
            <w:r>
              <w:rPr>
                <w:sz w:val="22"/>
              </w:rPr>
              <w:t>Specifies that the SHA-512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WHIRLPOOL</w:t>
            </w:r>
          </w:p>
        </w:tc>
        <w:tc>
          <w:tcPr>
            <w:tcW w:w="6116" w:type="dxa"/>
          </w:tcPr>
          <w:p>
            <w:pPr>
              <w:pStyle w:val="TableParagraph"/>
              <w:ind w:right="360"/>
              <w:rPr>
                <w:sz w:val="22"/>
              </w:rPr>
            </w:pPr>
            <w:r>
              <w:rPr>
                <w:sz w:val="22"/>
              </w:rPr>
              <w:t>Specifies that the WHIRLPOOL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3511" w:hRule="atLeast"/>
        </w:trPr>
        <w:tc>
          <w:tcPr>
            <w:tcW w:w="2062" w:type="dxa"/>
            <w:vMerge/>
            <w:tcBorders>
              <w:top w:val="nil"/>
            </w:tcBorders>
          </w:tcPr>
          <w:p>
            <w:pPr>
              <w:rPr>
                <w:sz w:val="2"/>
                <w:szCs w:val="2"/>
              </w:rPr>
            </w:pPr>
          </w:p>
        </w:tc>
        <w:tc>
          <w:tcPr>
            <w:tcW w:w="8250" w:type="dxa"/>
            <w:gridSpan w:val="4"/>
          </w:tcPr>
          <w:p>
            <w:pPr>
              <w:pStyle w:val="TableParagraph"/>
              <w:spacing w:before="1"/>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 algorithmName="SHA-1" hashValue="9oN7nWkCAyEZib1RomSJTjmPpCY=" /&gt;</w:t>
            </w:r>
          </w:p>
          <w:p>
            <w:pPr>
              <w:pStyle w:val="TableParagraph"/>
              <w:spacing w:before="1"/>
              <w:ind w:left="0"/>
              <w:rPr>
                <w:rFonts w:ascii="Times New Roman"/>
                <w:sz w:val="23"/>
              </w:rPr>
            </w:pPr>
          </w:p>
          <w:p>
            <w:pPr>
              <w:pStyle w:val="TableParagraph"/>
              <w:spacing w:before="0"/>
              <w:ind w:right="910"/>
              <w:jc w:val="both"/>
              <w:rPr>
                <w:sz w:val="22"/>
              </w:rPr>
            </w:pPr>
            <w:r>
              <w:rPr>
                <w:sz w:val="22"/>
              </w:rPr>
              <w:t>The </w:t>
            </w:r>
            <w:r>
              <w:rPr>
                <w:rFonts w:ascii="Cambria" w:hAnsi="Cambria"/>
                <w:sz w:val="22"/>
              </w:rPr>
              <w:t>algorithmName </w:t>
            </w:r>
            <w:r>
              <w:rPr>
                <w:sz w:val="22"/>
              </w:rPr>
              <w:t>attribute value of </w:t>
            </w:r>
            <w:r>
              <w:rPr>
                <w:rFonts w:ascii="Consolas" w:hAnsi="Consolas"/>
                <w:sz w:val="20"/>
              </w:rPr>
              <w:t>“SHA-1”</w:t>
            </w:r>
            <w:r>
              <w:rPr>
                <w:rFonts w:ascii="Consolas" w:hAnsi="Consolas"/>
                <w:spacing w:val="-90"/>
                <w:sz w:val="20"/>
              </w:rPr>
              <w:t> </w:t>
            </w:r>
            <w:r>
              <w:rPr>
                <w:sz w:val="22"/>
              </w:rPr>
              <w:t>specifies that the SHA-1 hashing algorithm must be used to generate a hash from the user-defined password. </w:t>
            </w:r>
            <w:r>
              <w:rPr>
                <w:i/>
                <w:sz w:val="22"/>
              </w:rPr>
              <w:t>end </w:t>
            </w:r>
            <w:r>
              <w:rPr>
                <w:i/>
                <w:sz w:val="22"/>
              </w:rPr>
              <w:t>example</w:t>
            </w:r>
            <w:r>
              <w:rPr>
                <w:sz w:val="22"/>
              </w:rPr>
              <w:t>]</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5705" w:hRule="atLeast"/>
        </w:trPr>
        <w:tc>
          <w:tcPr>
            <w:tcW w:w="2062" w:type="dxa"/>
          </w:tcPr>
          <w:p>
            <w:pPr>
              <w:pStyle w:val="TableParagraph"/>
              <w:spacing w:line="237" w:lineRule="auto" w:before="47"/>
              <w:ind w:right="499"/>
              <w:rPr>
                <w:sz w:val="22"/>
              </w:rPr>
            </w:pPr>
            <w:r>
              <w:rPr>
                <w:rFonts w:ascii="Cambria"/>
                <w:sz w:val="22"/>
              </w:rPr>
              <w:t>hashValue </w:t>
            </w:r>
            <w:r>
              <w:rPr>
                <w:sz w:val="22"/>
              </w:rPr>
              <w:t>(Password Hash Value)</w:t>
            </w:r>
          </w:p>
        </w:tc>
        <w:tc>
          <w:tcPr>
            <w:tcW w:w="8250" w:type="dxa"/>
            <w:gridSpan w:val="4"/>
          </w:tcPr>
          <w:p>
            <w:pPr>
              <w:pStyle w:val="TableParagraph"/>
              <w:spacing w:before="42"/>
              <w:ind w:right="299"/>
              <w:jc w:val="both"/>
              <w:rPr>
                <w:sz w:val="22"/>
              </w:rPr>
            </w:pPr>
            <w:r>
              <w:rPr>
                <w:sz w:val="22"/>
              </w:rPr>
              <w:t>Specifies the hash value for the password required to edit this range. This value shall be compared with the resulting hash value after hashing the user-supplied password using the algorithm specified by the preceding attributes and parent XML element, and if the two values match, the protection shall no longer be enforced.</w:t>
            </w:r>
          </w:p>
          <w:p>
            <w:pPr>
              <w:pStyle w:val="TableParagraph"/>
              <w:spacing w:before="3"/>
              <w:ind w:left="0"/>
              <w:rPr>
                <w:rFonts w:ascii="Times New Roman"/>
                <w:sz w:val="23"/>
              </w:rPr>
            </w:pPr>
          </w:p>
          <w:p>
            <w:pPr>
              <w:pStyle w:val="TableParagraph"/>
              <w:spacing w:before="0"/>
              <w:ind w:right="834"/>
              <w:rPr>
                <w:sz w:val="22"/>
              </w:rPr>
            </w:pPr>
            <w:r>
              <w:rPr>
                <w:sz w:val="22"/>
              </w:rPr>
              <w:t>If this value is omitted, then the </w:t>
            </w:r>
            <w:r>
              <w:rPr>
                <w:rFonts w:ascii="Cambria"/>
                <w:sz w:val="22"/>
              </w:rPr>
              <w:t>reservationPassword </w:t>
            </w:r>
            <w:r>
              <w:rPr>
                <w:sz w:val="22"/>
              </w:rPr>
              <w:t>attribute shall contain the password hash for the</w:t>
            </w:r>
            <w:r>
              <w:rPr>
                <w:spacing w:val="-7"/>
                <w:sz w:val="22"/>
              </w:rPr>
              <w:t> </w:t>
            </w:r>
            <w:r>
              <w:rPr>
                <w:sz w:val="22"/>
              </w:rPr>
              <w:t>workbook.</w:t>
            </w:r>
          </w:p>
          <w:p>
            <w:pPr>
              <w:pStyle w:val="TableParagraph"/>
              <w:spacing w:before="5"/>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w:t>
            </w:r>
            <w:r>
              <w:rPr>
                <w:spacing w:val="-7"/>
                <w:sz w:val="22"/>
              </w:rPr>
              <w:t> </w:t>
            </w:r>
            <w:r>
              <w:rPr>
                <w:sz w:val="22"/>
              </w:rPr>
              <w:t>elements:</w:t>
            </w:r>
          </w:p>
          <w:p>
            <w:pPr>
              <w:pStyle w:val="TableParagraph"/>
              <w:spacing w:before="5"/>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AlgorithmName="SHA-1" hashValue="9oN7nWkCAyEZib1RomSJTjmPpCY=" /&gt;</w:t>
            </w:r>
          </w:p>
          <w:p>
            <w:pPr>
              <w:pStyle w:val="TableParagraph"/>
              <w:spacing w:before="3"/>
              <w:ind w:left="0"/>
              <w:rPr>
                <w:rFonts w:ascii="Times New Roman"/>
                <w:sz w:val="23"/>
              </w:rPr>
            </w:pPr>
          </w:p>
          <w:p>
            <w:pPr>
              <w:pStyle w:val="TableParagraph"/>
              <w:spacing w:before="0"/>
              <w:ind w:right="290"/>
              <w:rPr>
                <w:sz w:val="22"/>
              </w:rPr>
            </w:pPr>
            <w:r>
              <w:rPr>
                <w:sz w:val="22"/>
              </w:rPr>
              <w:t>The </w:t>
            </w:r>
            <w:r>
              <w:rPr>
                <w:rFonts w:ascii="Cambria"/>
                <w:sz w:val="22"/>
              </w:rPr>
              <w:t>hashValue </w:t>
            </w:r>
            <w:r>
              <w:rPr>
                <w:sz w:val="22"/>
              </w:rPr>
              <w:t>attribute value of </w:t>
            </w:r>
            <w:r>
              <w:rPr>
                <w:rFonts w:ascii="Consolas"/>
                <w:sz w:val="20"/>
              </w:rPr>
              <w:t>9oN7nWkCAyEZib1RomSJTjmPpCY= </w:t>
            </w:r>
            <w:r>
              <w:rPr>
                <w:sz w:val="22"/>
              </w:rPr>
              <w:t>specifies that the user-supplied password must be hashed using the pre-processing defined by the parent element (if any) followed by the SHA-1 algorithm (specified via the </w:t>
            </w:r>
            <w:r>
              <w:rPr>
                <w:rFonts w:ascii="Cambria"/>
                <w:sz w:val="22"/>
              </w:rPr>
              <w:t>algorithmName </w:t>
            </w:r>
            <w:r>
              <w:rPr>
                <w:sz w:val="22"/>
              </w:rPr>
              <w:t>attribute value of </w:t>
            </w:r>
            <w:r>
              <w:rPr>
                <w:rFonts w:ascii="Consolas"/>
                <w:sz w:val="20"/>
              </w:rPr>
              <w:t>SHA-1</w:t>
            </w:r>
            <w:r>
              <w:rPr>
                <w:sz w:val="22"/>
              </w:rPr>
              <w:t>) and that the resulting has value must be </w:t>
            </w:r>
            <w:r>
              <w:rPr>
                <w:rFonts w:ascii="Consolas"/>
                <w:sz w:val="20"/>
              </w:rPr>
              <w:t>9oN7nWkCAyEZib1RomSJTjmPpCY=</w:t>
            </w:r>
            <w:r>
              <w:rPr>
                <w:rFonts w:ascii="Consolas"/>
                <w:spacing w:val="-78"/>
                <w:sz w:val="20"/>
              </w:rPr>
              <w:t> </w:t>
            </w:r>
            <w:r>
              <w:rPr>
                <w:sz w:val="22"/>
              </w:rPr>
              <w:t>for the protection to be disabled. </w:t>
            </w:r>
            <w:r>
              <w:rPr>
                <w:i/>
                <w:sz w:val="22"/>
              </w:rPr>
              <w:t>end example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tc>
      </w:tr>
    </w:tbl>
    <w:p>
      <w:pPr>
        <w:spacing w:after="0"/>
        <w:rPr>
          <w:rFonts w:ascii="Cambria"/>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158" w:hRule="atLeast"/>
        </w:trPr>
        <w:tc>
          <w:tcPr>
            <w:tcW w:w="2062" w:type="dxa"/>
          </w:tcPr>
          <w:p>
            <w:pPr>
              <w:pStyle w:val="TableParagraph"/>
              <w:rPr>
                <w:sz w:val="22"/>
              </w:rPr>
            </w:pPr>
            <w:r>
              <w:rPr>
                <w:rFonts w:ascii="Cambria"/>
                <w:sz w:val="22"/>
              </w:rPr>
              <w:t>name </w:t>
            </w:r>
            <w:r>
              <w:rPr>
                <w:sz w:val="22"/>
              </w:rPr>
              <w:t>(Name)</w:t>
            </w:r>
          </w:p>
        </w:tc>
        <w:tc>
          <w:tcPr>
            <w:tcW w:w="8250" w:type="dxa"/>
          </w:tcPr>
          <w:p>
            <w:pPr>
              <w:pStyle w:val="TableParagraph"/>
              <w:rPr>
                <w:sz w:val="22"/>
              </w:rPr>
            </w:pPr>
            <w:r>
              <w:rPr>
                <w:sz w:val="22"/>
              </w:rPr>
              <w:t>Range title. This is used as a descriptor, not as a named range definition.</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6243" w:hRule="atLeast"/>
        </w:trPr>
        <w:tc>
          <w:tcPr>
            <w:tcW w:w="2062" w:type="dxa"/>
          </w:tcPr>
          <w:p>
            <w:pPr>
              <w:pStyle w:val="TableParagraph"/>
              <w:ind w:right="195"/>
              <w:rPr>
                <w:sz w:val="22"/>
              </w:rPr>
            </w:pPr>
            <w:r>
              <w:rPr>
                <w:rFonts w:ascii="Cambria"/>
                <w:sz w:val="22"/>
              </w:rPr>
              <w:t>saltValue </w:t>
            </w:r>
            <w:r>
              <w:rPr>
                <w:sz w:val="22"/>
              </w:rPr>
              <w:t>(Salt Value for Password Verifier)</w:t>
            </w:r>
          </w:p>
        </w:tc>
        <w:tc>
          <w:tcPr>
            <w:tcW w:w="8250" w:type="dxa"/>
          </w:tcPr>
          <w:p>
            <w:pPr>
              <w:pStyle w:val="TableParagraph"/>
              <w:ind w:right="106"/>
              <w:rPr>
                <w:sz w:val="22"/>
              </w:rPr>
            </w:pPr>
            <w:r>
              <w:rPr>
                <w:sz w:val="22"/>
              </w:rPr>
              <w:t>Specifies the salt which was prepended to the user-supplied password before it was hashed using the hashing algorithm defined by the preceding attribute values to generate the </w:t>
            </w:r>
            <w:r>
              <w:rPr>
                <w:rFonts w:ascii="Cambria"/>
                <w:sz w:val="22"/>
              </w:rPr>
              <w:t>hashValue </w:t>
            </w:r>
            <w:r>
              <w:rPr>
                <w:sz w:val="22"/>
              </w:rPr>
              <w:t>attribute, and which shall also be prepended to the user-supplied password before attempting to generate a hash value for comparison. A </w:t>
            </w:r>
            <w:r>
              <w:rPr>
                <w:i/>
                <w:sz w:val="22"/>
              </w:rPr>
              <w:t>salt </w:t>
            </w:r>
            <w:r>
              <w:rPr>
                <w:sz w:val="22"/>
              </w:rPr>
              <w:t>is a random string which is added to a user-supplied password before it is hashed in order to prevent a malicious party from pre-calculating all possible password/hash combinations and simply using those pre-calculated values (often referred to as a "dictionary</w:t>
            </w:r>
            <w:r>
              <w:rPr>
                <w:spacing w:val="-16"/>
                <w:sz w:val="22"/>
              </w:rPr>
              <w:t> </w:t>
            </w:r>
            <w:r>
              <w:rPr>
                <w:sz w:val="22"/>
              </w:rPr>
              <w:t>attack").</w:t>
            </w:r>
          </w:p>
          <w:p>
            <w:pPr>
              <w:pStyle w:val="TableParagraph"/>
              <w:spacing w:before="6"/>
              <w:ind w:left="0"/>
              <w:rPr>
                <w:rFonts w:ascii="Times New Roman"/>
                <w:sz w:val="23"/>
              </w:rPr>
            </w:pPr>
          </w:p>
          <w:p>
            <w:pPr>
              <w:pStyle w:val="TableParagraph"/>
              <w:spacing w:before="0"/>
              <w:ind w:right="121"/>
              <w:rPr>
                <w:sz w:val="22"/>
              </w:rPr>
            </w:pPr>
            <w:r>
              <w:rPr>
                <w:sz w:val="22"/>
              </w:rPr>
              <w:t>If this attribute is omitted, then no salt shall be prepended to the user-supplied password before it is hashed for comparison with the stored hash value.</w:t>
            </w:r>
          </w:p>
          <w:p>
            <w:pPr>
              <w:pStyle w:val="TableParagraph"/>
              <w:spacing w:before="2"/>
              <w:ind w:left="0"/>
              <w:rPr>
                <w:rFonts w:ascii="Times New Roman"/>
                <w:sz w:val="23"/>
              </w:rPr>
            </w:pPr>
          </w:p>
          <w:p>
            <w:pPr>
              <w:pStyle w:val="TableParagraph"/>
              <w:spacing w:before="1"/>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line="257" w:lineRule="exact" w:before="0"/>
              <w:ind w:left="403"/>
              <w:rPr>
                <w:rFonts w:ascii="Consolas" w:hAnsi="Consolas"/>
                <w:sz w:val="22"/>
              </w:rPr>
            </w:pPr>
            <w:r>
              <w:rPr>
                <w:rFonts w:ascii="Consolas" w:hAnsi="Consolas"/>
                <w:sz w:val="22"/>
              </w:rPr>
              <w:t>&lt;… saltValue="ZUdHa+D8F/OAKP3I7ssUnQ=="</w:t>
            </w:r>
          </w:p>
          <w:p>
            <w:pPr>
              <w:pStyle w:val="TableParagraph"/>
              <w:spacing w:line="257" w:lineRule="exact" w:before="0"/>
              <w:ind w:left="645"/>
              <w:rPr>
                <w:rFonts w:ascii="Consolas"/>
                <w:sz w:val="22"/>
              </w:rPr>
            </w:pPr>
            <w:r>
              <w:rPr>
                <w:rFonts w:ascii="Consolas"/>
                <w:sz w:val="22"/>
              </w:rPr>
              <w:t>hashValue="9oN7nWkCAyEZib1RomSJTjmPpCY=" /&gt;</w:t>
            </w:r>
          </w:p>
          <w:p>
            <w:pPr>
              <w:pStyle w:val="TableParagraph"/>
              <w:spacing w:before="3"/>
              <w:ind w:left="0"/>
              <w:rPr>
                <w:rFonts w:ascii="Times New Roman"/>
                <w:sz w:val="23"/>
              </w:rPr>
            </w:pPr>
          </w:p>
          <w:p>
            <w:pPr>
              <w:pStyle w:val="TableParagraph"/>
              <w:spacing w:before="0"/>
              <w:ind w:right="195"/>
              <w:rPr>
                <w:sz w:val="22"/>
              </w:rPr>
            </w:pPr>
            <w:r>
              <w:rPr>
                <w:sz w:val="22"/>
              </w:rPr>
              <w:t>The </w:t>
            </w:r>
            <w:r>
              <w:rPr>
                <w:rFonts w:ascii="Cambria"/>
                <w:sz w:val="22"/>
              </w:rPr>
              <w:t>saltValue </w:t>
            </w:r>
            <w:r>
              <w:rPr>
                <w:sz w:val="22"/>
              </w:rPr>
              <w:t>attribute value of </w:t>
            </w:r>
            <w:r>
              <w:rPr>
                <w:rFonts w:ascii="Consolas"/>
                <w:sz w:val="20"/>
              </w:rPr>
              <w:t>ZUdHa+D8F/OAKP3I7ssUnQ== </w:t>
            </w:r>
            <w:r>
              <w:rPr>
                <w:sz w:val="22"/>
              </w:rPr>
              <w:t>specifies that the user- supplied password must have this value prepended before it is run through the specified hashing algorithm to generate a resulting hash value for comparison. </w:t>
            </w:r>
            <w:r>
              <w:rPr>
                <w:i/>
                <w:sz w:val="22"/>
              </w:rPr>
              <w:t>end example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1"/>
              <w:rPr>
                <w:sz w:val="22"/>
              </w:rPr>
            </w:pPr>
            <w:r>
              <w:rPr>
                <w:sz w:val="22"/>
              </w:rPr>
              <w:t>datatype.</w:t>
            </w:r>
          </w:p>
        </w:tc>
      </w:tr>
      <w:tr>
        <w:trPr>
          <w:trHeight w:val="4629" w:hRule="atLeast"/>
        </w:trPr>
        <w:tc>
          <w:tcPr>
            <w:tcW w:w="2062" w:type="dxa"/>
          </w:tcPr>
          <w:p>
            <w:pPr>
              <w:pStyle w:val="TableParagraph"/>
              <w:spacing w:line="237" w:lineRule="auto" w:before="45"/>
              <w:ind w:right="197"/>
              <w:rPr>
                <w:sz w:val="22"/>
              </w:rPr>
            </w:pPr>
            <w:r>
              <w:rPr>
                <w:rFonts w:ascii="Cambria"/>
                <w:sz w:val="22"/>
              </w:rPr>
              <w:t>spinCount </w:t>
            </w:r>
            <w:r>
              <w:rPr>
                <w:sz w:val="22"/>
              </w:rPr>
              <w:t>(Iterations to Run Hashing Algorithm)</w:t>
            </w:r>
          </w:p>
        </w:tc>
        <w:tc>
          <w:tcPr>
            <w:tcW w:w="8250" w:type="dxa"/>
          </w:tcPr>
          <w:p>
            <w:pPr>
              <w:pStyle w:val="TableParagraph"/>
              <w:ind w:right="287"/>
              <w:rPr>
                <w:sz w:val="22"/>
              </w:rPr>
            </w:pPr>
            <w:r>
              <w:rPr>
                <w:sz w:val="22"/>
              </w:rPr>
              <w:t>Specifies the number of times the hashing function shall be iteratively run (runs using each iteration's result plus a 4 byte value (0-based, little endian) containing the number of the iteration as the input for the next iteration) when attempting to compare a user- supplied password with the value stored in the </w:t>
            </w:r>
            <w:r>
              <w:rPr>
                <w:rFonts w:ascii="Cambria"/>
                <w:sz w:val="22"/>
              </w:rPr>
              <w:t>hashValue </w:t>
            </w:r>
            <w:r>
              <w:rPr>
                <w:sz w:val="22"/>
              </w:rPr>
              <w:t>attribute.</w:t>
            </w:r>
          </w:p>
          <w:p>
            <w:pPr>
              <w:pStyle w:val="TableParagraph"/>
              <w:spacing w:before="2"/>
              <w:ind w:left="0"/>
              <w:rPr>
                <w:rFonts w:ascii="Times New Roman"/>
                <w:sz w:val="23"/>
              </w:rPr>
            </w:pPr>
          </w:p>
          <w:p>
            <w:pPr>
              <w:pStyle w:val="TableParagraph"/>
              <w:spacing w:before="1"/>
              <w:ind w:right="170"/>
              <w:rPr>
                <w:sz w:val="22"/>
              </w:rPr>
            </w:pPr>
            <w:r>
              <w:rPr>
                <w:sz w:val="22"/>
              </w:rPr>
              <w:t>[</w:t>
            </w:r>
            <w:r>
              <w:rPr>
                <w:i/>
                <w:sz w:val="22"/>
              </w:rPr>
              <w:t>Rationale</w:t>
            </w:r>
            <w:r>
              <w:rPr>
                <w:sz w:val="22"/>
              </w:rPr>
              <w:t>: Running the algorithm many times increases the cost of exhaustive search attacks correspondingly. Storing this value allows for the number of iterations to be increased over time to accommodate faster hardware (and hence the ability to run more iterations in less time). </w:t>
            </w:r>
            <w:r>
              <w:rPr>
                <w:i/>
                <w:sz w:val="22"/>
              </w:rPr>
              <w:t>end rationale</w:t>
            </w:r>
            <w:r>
              <w:rPr>
                <w:sz w:val="22"/>
              </w:rPr>
              <w:t>]</w:t>
            </w:r>
          </w:p>
          <w:p>
            <w:pPr>
              <w:pStyle w:val="TableParagraph"/>
              <w:spacing w:before="5"/>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line="257" w:lineRule="exact" w:before="1"/>
              <w:ind w:left="403"/>
              <w:rPr>
                <w:rFonts w:ascii="Consolas" w:hAnsi="Consolas"/>
                <w:sz w:val="22"/>
              </w:rPr>
            </w:pPr>
            <w:r>
              <w:rPr>
                <w:rFonts w:ascii="Consolas" w:hAnsi="Consolas"/>
                <w:sz w:val="22"/>
              </w:rPr>
              <w:t>&lt;… spinCount="100000"</w:t>
            </w:r>
          </w:p>
          <w:p>
            <w:pPr>
              <w:pStyle w:val="TableParagraph"/>
              <w:spacing w:line="257" w:lineRule="exact" w:before="0"/>
              <w:ind w:left="645"/>
              <w:rPr>
                <w:rFonts w:ascii="Consolas"/>
                <w:sz w:val="22"/>
              </w:rPr>
            </w:pPr>
            <w:r>
              <w:rPr>
                <w:rFonts w:ascii="Consolas"/>
                <w:sz w:val="22"/>
              </w:rPr>
              <w:t>hashValue="9oN7nWkCAyEZib1RomSJTjmPpCY=" /&gt;</w:t>
            </w:r>
          </w:p>
          <w:p>
            <w:pPr>
              <w:pStyle w:val="TableParagraph"/>
              <w:spacing w:before="1"/>
              <w:ind w:left="0"/>
              <w:rPr>
                <w:rFonts w:ascii="Times New Roman"/>
                <w:sz w:val="23"/>
              </w:rPr>
            </w:pPr>
          </w:p>
          <w:p>
            <w:pPr>
              <w:pStyle w:val="TableParagraph"/>
              <w:spacing w:before="0"/>
              <w:rPr>
                <w:sz w:val="22"/>
              </w:rPr>
            </w:pPr>
            <w:r>
              <w:rPr>
                <w:sz w:val="22"/>
              </w:rPr>
              <w:t>The </w:t>
            </w:r>
            <w:r>
              <w:rPr>
                <w:rFonts w:ascii="Cambria"/>
                <w:sz w:val="22"/>
              </w:rPr>
              <w:t>spinCount </w:t>
            </w:r>
            <w:r>
              <w:rPr>
                <w:sz w:val="22"/>
              </w:rPr>
              <w:t>attribute value of </w:t>
            </w:r>
            <w:r>
              <w:rPr>
                <w:rFonts w:ascii="Consolas"/>
                <w:sz w:val="20"/>
              </w:rPr>
              <w:t>100000</w:t>
            </w:r>
            <w:r>
              <w:rPr>
                <w:rFonts w:ascii="Consolas"/>
                <w:spacing w:val="-81"/>
                <w:sz w:val="20"/>
              </w:rPr>
              <w:t> </w:t>
            </w:r>
            <w:r>
              <w:rPr>
                <w:sz w:val="22"/>
              </w:rPr>
              <w:t>specifies that the hashing function must be run</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one hundred thousand times to generate a hash value for comparison with the</w:t>
            </w:r>
          </w:p>
          <w:p>
            <w:pPr>
              <w:pStyle w:val="TableParagraph"/>
              <w:spacing w:before="0"/>
              <w:rPr>
                <w:sz w:val="22"/>
              </w:rPr>
            </w:pPr>
            <w:r>
              <w:rPr>
                <w:rFonts w:ascii="Cambria"/>
                <w:sz w:val="22"/>
              </w:rPr>
              <w:t>hashValue </w:t>
            </w:r>
            <w:r>
              <w:rPr>
                <w:sz w:val="22"/>
              </w:rPr>
              <w:t>attribute. </w:t>
            </w:r>
            <w:r>
              <w:rPr>
                <w:i/>
                <w:sz w:val="22"/>
              </w:rPr>
              <w:t>end example</w:t>
            </w:r>
            <w:r>
              <w:rPr>
                <w:sz w:val="22"/>
              </w:rPr>
              <w: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219"/>
              <w:rPr>
                <w:sz w:val="22"/>
              </w:rPr>
            </w:pPr>
            <w:r>
              <w:rPr>
                <w:rFonts w:ascii="Cambria"/>
                <w:sz w:val="22"/>
              </w:rPr>
              <w:t>sqref </w:t>
            </w:r>
            <w:r>
              <w:rPr>
                <w:sz w:val="22"/>
              </w:rPr>
              <w:t>(Sequence of References)</w:t>
            </w:r>
          </w:p>
        </w:tc>
        <w:tc>
          <w:tcPr>
            <w:tcW w:w="8250" w:type="dxa"/>
          </w:tcPr>
          <w:p>
            <w:pPr>
              <w:pStyle w:val="TableParagraph"/>
              <w:rPr>
                <w:sz w:val="22"/>
              </w:rPr>
            </w:pPr>
            <w:r>
              <w:rPr>
                <w:sz w:val="22"/>
              </w:rPr>
              <w:t>The range to be protected.</w:t>
            </w:r>
          </w:p>
          <w:p>
            <w:pPr>
              <w:pStyle w:val="TableParagraph"/>
              <w:spacing w:before="4"/>
              <w:ind w:left="0"/>
              <w:rPr>
                <w:rFonts w:ascii="Times New Roman"/>
                <w:sz w:val="23"/>
              </w:rPr>
            </w:pPr>
          </w:p>
          <w:p>
            <w:pPr>
              <w:pStyle w:val="TableParagraph"/>
              <w:spacing w:before="0"/>
              <w:ind w:right="1210"/>
              <w:rPr>
                <w:sz w:val="22"/>
              </w:rPr>
            </w:pPr>
            <w:r>
              <w:rPr>
                <w:sz w:val="22"/>
              </w:rPr>
              <w:t>The possible values for this attribute are defined by the </w:t>
            </w:r>
            <w:r>
              <w:rPr>
                <w:rFonts w:ascii="Cambria" w:hAnsi="Cambria"/>
                <w:sz w:val="22"/>
              </w:rPr>
              <w:t>ST_Sqref </w:t>
            </w:r>
            <w:r>
              <w:rPr>
                <w:sz w:val="22"/>
              </w:rPr>
              <w:t>simple type </w:t>
            </w:r>
            <w:hyperlink w:history="true" w:anchor="_bookmark898">
              <w:r>
                <w:rPr>
                  <w:sz w:val="22"/>
                </w:rPr>
                <w:t>(§18.18.76</w:t>
              </w:r>
            </w:hyperlink>
            <w:r>
              <w:rPr>
                <w:sz w:val="22"/>
              </w:rPr>
              <w:t>).</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CT_ProtectedRange</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2 protectedRanges (Protected Ran" w:id="317"/>
      <w:bookmarkEnd w:id="317"/>
      <w:r>
        <w:rPr/>
      </w:r>
      <w:bookmarkStart w:name="_bookmark104" w:id="318"/>
      <w:bookmarkEnd w:id="318"/>
      <w:r>
        <w:rPr/>
      </w:r>
      <w:bookmarkStart w:name="_bookmark104" w:id="319"/>
      <w:bookmarkEnd w:id="319"/>
      <w:r>
        <w:rPr>
          <w:color w:val="4F81BC"/>
        </w:rPr>
        <w:t>p</w:t>
      </w:r>
      <w:r>
        <w:rPr>
          <w:color w:val="4F81BC"/>
        </w:rPr>
        <w:t>rotectedRanges (Protected</w:t>
      </w:r>
      <w:r>
        <w:rPr>
          <w:color w:val="4F81BC"/>
          <w:spacing w:val="-1"/>
        </w:rPr>
        <w:t> </w:t>
      </w:r>
      <w:r>
        <w:rPr>
          <w:color w:val="4F81BC"/>
        </w:rPr>
        <w:t>Ranges)</w:t>
      </w:r>
    </w:p>
    <w:p>
      <w:pPr>
        <w:pStyle w:val="BodyText"/>
        <w:spacing w:line="453" w:lineRule="auto" w:before="121"/>
        <w:ind w:left="220" w:right="4803"/>
      </w:pPr>
      <w:r>
        <w:rPr/>
        <w:t>This collection specifies all protected ranges on this worksheet. [</w:t>
      </w:r>
      <w:r>
        <w:rPr>
          <w:i/>
        </w:rPr>
        <w:t>Example</w:t>
      </w:r>
      <w:r>
        <w:rPr/>
        <w:t>:</w:t>
      </w:r>
    </w:p>
    <w:p>
      <w:pPr>
        <w:pStyle w:val="BodyText"/>
        <w:spacing w:before="3"/>
        <w:ind w:left="220"/>
      </w:pPr>
      <w:r>
        <w:rPr/>
        <w:t>This example demonstrates that A1:C5 have been protected, with no password specified.</w:t>
      </w:r>
    </w:p>
    <w:p>
      <w:pPr>
        <w:pStyle w:val="BodyText"/>
        <w:spacing w:before="8"/>
        <w:rPr>
          <w:sz w:val="19"/>
        </w:rPr>
      </w:pPr>
    </w:p>
    <w:p>
      <w:pPr>
        <w:pStyle w:val="BodyText"/>
        <w:ind w:left="508"/>
        <w:rPr>
          <w:rFonts w:ascii="Consolas"/>
        </w:rPr>
      </w:pPr>
      <w:r>
        <w:rPr>
          <w:rFonts w:ascii="Consolas"/>
        </w:rPr>
        <w:t>&lt;protectedRanges&gt;</w:t>
      </w:r>
    </w:p>
    <w:p>
      <w:pPr>
        <w:pStyle w:val="BodyText"/>
        <w:spacing w:before="37"/>
        <w:ind w:left="750"/>
        <w:rPr>
          <w:rFonts w:ascii="Consolas"/>
        </w:rPr>
      </w:pPr>
      <w:r>
        <w:rPr>
          <w:rFonts w:ascii="Consolas"/>
        </w:rPr>
        <w:t>&lt;protectedRange sqref="A1:C5" name="Range1"/&gt;</w:t>
      </w:r>
    </w:p>
    <w:p>
      <w:pPr>
        <w:pStyle w:val="BodyText"/>
        <w:spacing w:before="40"/>
        <w:ind w:left="508"/>
        <w:rPr>
          <w:rFonts w:ascii="Consolas"/>
        </w:rPr>
      </w:pPr>
      <w:r>
        <w:rPr>
          <w:rFonts w:ascii="Consolas"/>
        </w:rPr>
        <w:t>&lt;/protectedRanges&gt;</w:t>
      </w:r>
    </w:p>
    <w:p>
      <w:pPr>
        <w:pStyle w:val="BodyText"/>
        <w:spacing w:before="6"/>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CT_ProtectedRanges</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3 row (Row)" w:id="320"/>
      <w:bookmarkEnd w:id="320"/>
      <w:r>
        <w:rPr/>
      </w:r>
      <w:bookmarkStart w:name="_bookmark105" w:id="321"/>
      <w:bookmarkEnd w:id="321"/>
      <w:r>
        <w:rPr/>
      </w:r>
      <w:bookmarkStart w:name="_bookmark105" w:id="322"/>
      <w:bookmarkEnd w:id="322"/>
      <w:r>
        <w:rPr>
          <w:color w:val="4F81BC"/>
        </w:rPr>
        <w:t>r</w:t>
      </w:r>
      <w:r>
        <w:rPr>
          <w:color w:val="4F81BC"/>
        </w:rPr>
        <w:t>ow</w:t>
      </w:r>
      <w:r>
        <w:rPr>
          <w:color w:val="4F81BC"/>
          <w:spacing w:val="-3"/>
        </w:rPr>
        <w:t> </w:t>
      </w:r>
      <w:r>
        <w:rPr>
          <w:color w:val="4F81BC"/>
        </w:rPr>
        <w:t>(Row)</w:t>
      </w:r>
    </w:p>
    <w:p>
      <w:pPr>
        <w:pStyle w:val="BodyText"/>
        <w:spacing w:line="278" w:lineRule="auto" w:before="119"/>
        <w:ind w:left="220" w:right="743"/>
      </w:pPr>
      <w:r>
        <w:rPr/>
        <w:t>The element expresses information about an entire row of a worksheet, and contains all cell definitions for a particular row in the worksheet.</w:t>
      </w:r>
    </w:p>
    <w:p>
      <w:pPr>
        <w:spacing w:before="197"/>
        <w:ind w:left="220" w:right="0" w:firstLine="0"/>
        <w:jc w:val="left"/>
        <w:rPr>
          <w:sz w:val="22"/>
        </w:rPr>
      </w:pPr>
      <w:r>
        <w:rPr>
          <w:sz w:val="22"/>
        </w:rPr>
        <w:t>[</w:t>
      </w:r>
      <w:r>
        <w:rPr>
          <w:i/>
          <w:sz w:val="22"/>
        </w:rPr>
        <w:t>Example</w:t>
      </w:r>
      <w:r>
        <w:rPr>
          <w:sz w:val="22"/>
        </w:rPr>
        <w:t>:</w:t>
      </w:r>
    </w:p>
    <w:p>
      <w:pPr>
        <w:pStyle w:val="BodyText"/>
        <w:spacing w:before="9"/>
        <w:rPr>
          <w:sz w:val="19"/>
        </w:rPr>
      </w:pPr>
    </w:p>
    <w:p>
      <w:pPr>
        <w:pStyle w:val="BodyText"/>
        <w:ind w:left="220"/>
      </w:pPr>
      <w:r>
        <w:rPr/>
        <w:t>This row expresses information about row 2 in the worksheet, and contains 3 cell definitions.</w:t>
      </w:r>
    </w:p>
    <w:p>
      <w:pPr>
        <w:pStyle w:val="BodyText"/>
        <w:spacing w:before="8"/>
        <w:rPr>
          <w:sz w:val="19"/>
        </w:rPr>
      </w:pPr>
    </w:p>
    <w:p>
      <w:pPr>
        <w:pStyle w:val="BodyText"/>
        <w:spacing w:before="1"/>
        <w:ind w:left="508"/>
        <w:rPr>
          <w:rFonts w:ascii="Consolas"/>
        </w:rPr>
      </w:pPr>
      <w:r>
        <w:rPr>
          <w:rFonts w:ascii="Consolas"/>
        </w:rPr>
        <w:t>&lt;row r="2" spans="2:12"&gt;</w:t>
      </w:r>
    </w:p>
    <w:p>
      <w:pPr>
        <w:pStyle w:val="BodyText"/>
        <w:spacing w:before="40"/>
        <w:ind w:left="750"/>
        <w:rPr>
          <w:rFonts w:ascii="Consolas"/>
        </w:rPr>
      </w:pPr>
      <w:r>
        <w:rPr>
          <w:rFonts w:ascii="Consolas"/>
        </w:rPr>
        <w:t>&lt;c r="C2" s="1"&gt;</w:t>
      </w:r>
    </w:p>
    <w:p>
      <w:pPr>
        <w:pStyle w:val="BodyText"/>
        <w:spacing w:before="37"/>
        <w:ind w:left="993"/>
        <w:rPr>
          <w:rFonts w:ascii="Consolas"/>
        </w:rPr>
      </w:pPr>
      <w:r>
        <w:rPr>
          <w:rFonts w:ascii="Consolas"/>
        </w:rPr>
        <w:t>&lt;f&gt;PMT(B3/12,B4,-B5)&lt;/f&gt;</w:t>
      </w:r>
    </w:p>
    <w:p>
      <w:pPr>
        <w:pStyle w:val="BodyText"/>
        <w:spacing w:before="38"/>
        <w:ind w:left="993"/>
        <w:rPr>
          <w:rFonts w:ascii="Consolas"/>
        </w:rPr>
      </w:pPr>
      <w:r>
        <w:rPr>
          <w:rFonts w:ascii="Consolas"/>
        </w:rPr>
        <w:t>&lt;v&gt;672.68336574300008&lt;/v&gt;</w:t>
      </w:r>
    </w:p>
    <w:p>
      <w:pPr>
        <w:pStyle w:val="BodyText"/>
        <w:spacing w:before="40"/>
        <w:ind w:left="750"/>
        <w:rPr>
          <w:rFonts w:ascii="Consolas"/>
        </w:rPr>
      </w:pPr>
      <w:r>
        <w:rPr>
          <w:rFonts w:ascii="Consolas"/>
        </w:rPr>
        <w:t>&lt;/c&gt;</w:t>
      </w:r>
    </w:p>
    <w:p>
      <w:pPr>
        <w:spacing w:after="0"/>
        <w:rPr>
          <w:rFonts w:ascii="Consolas"/>
        </w:rPr>
        <w:sectPr>
          <w:pgSz w:w="12240" w:h="15840"/>
          <w:pgMar w:header="763" w:footer="746" w:top="1340" w:bottom="940" w:left="860" w:right="700"/>
        </w:sectPr>
      </w:pPr>
    </w:p>
    <w:p>
      <w:pPr>
        <w:pStyle w:val="BodyText"/>
        <w:spacing w:before="93"/>
        <w:ind w:left="750"/>
        <w:rPr>
          <w:rFonts w:ascii="Consolas"/>
        </w:rPr>
      </w:pPr>
      <w:r>
        <w:rPr>
          <w:rFonts w:ascii="Consolas"/>
        </w:rPr>
        <w:t>&lt;c r="D2"&gt;</w:t>
      </w:r>
    </w:p>
    <w:p>
      <w:pPr>
        <w:pStyle w:val="BodyText"/>
        <w:spacing w:before="38"/>
        <w:ind w:left="993"/>
        <w:rPr>
          <w:rFonts w:ascii="Consolas"/>
        </w:rPr>
      </w:pPr>
      <w:r>
        <w:rPr>
          <w:rFonts w:ascii="Consolas"/>
        </w:rPr>
        <w:t>&lt;v&gt;180&lt;/v&gt;</w:t>
      </w:r>
    </w:p>
    <w:p>
      <w:pPr>
        <w:pStyle w:val="BodyText"/>
        <w:spacing w:before="40"/>
        <w:ind w:left="750"/>
        <w:rPr>
          <w:rFonts w:ascii="Consolas"/>
        </w:rPr>
      </w:pPr>
      <w:r>
        <w:rPr>
          <w:rFonts w:ascii="Consolas"/>
        </w:rPr>
        <w:t>&lt;/c&gt;</w:t>
      </w:r>
    </w:p>
    <w:p>
      <w:pPr>
        <w:pStyle w:val="BodyText"/>
        <w:spacing w:before="37"/>
        <w:ind w:left="750"/>
        <w:rPr>
          <w:rFonts w:ascii="Consolas"/>
        </w:rPr>
      </w:pPr>
      <w:r>
        <w:rPr>
          <w:rFonts w:ascii="Consolas"/>
        </w:rPr>
        <w:t>&lt;c r="E2"&gt;</w:t>
      </w:r>
    </w:p>
    <w:p>
      <w:pPr>
        <w:pStyle w:val="BodyText"/>
        <w:spacing w:before="40"/>
        <w:ind w:left="993"/>
        <w:rPr>
          <w:rFonts w:ascii="Consolas"/>
        </w:rPr>
      </w:pPr>
      <w:r>
        <w:rPr>
          <w:rFonts w:ascii="Consolas"/>
        </w:rPr>
        <w:t>&lt;v&gt;360&lt;/v&gt;</w:t>
      </w:r>
    </w:p>
    <w:p>
      <w:pPr>
        <w:pStyle w:val="BodyText"/>
        <w:spacing w:before="38"/>
        <w:ind w:right="9443"/>
        <w:jc w:val="right"/>
        <w:rPr>
          <w:rFonts w:ascii="Consolas"/>
        </w:rPr>
      </w:pPr>
      <w:r>
        <w:rPr>
          <w:rFonts w:ascii="Consolas"/>
          <w:spacing w:val="-1"/>
        </w:rPr>
        <w:t>&lt;/c&gt;</w:t>
      </w:r>
    </w:p>
    <w:p>
      <w:pPr>
        <w:pStyle w:val="BodyText"/>
        <w:spacing w:before="40"/>
        <w:ind w:right="9444"/>
        <w:jc w:val="right"/>
        <w:rPr>
          <w:rFonts w:ascii="Consolas"/>
        </w:rPr>
      </w:pPr>
      <w:r>
        <w:rPr>
          <w:rFonts w:ascii="Consolas"/>
          <w:spacing w:val="-1"/>
        </w:rPr>
        <w:t>&lt;/row&gt;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9591" w:hRule="atLeast"/>
        </w:trPr>
        <w:tc>
          <w:tcPr>
            <w:tcW w:w="2062" w:type="dxa"/>
          </w:tcPr>
          <w:p>
            <w:pPr>
              <w:pStyle w:val="TableParagraph"/>
              <w:spacing w:line="257" w:lineRule="exact" w:before="42"/>
              <w:rPr>
                <w:rFonts w:ascii="Cambria"/>
                <w:sz w:val="22"/>
              </w:rPr>
            </w:pPr>
            <w:r>
              <w:rPr>
                <w:rFonts w:ascii="Cambria"/>
                <w:sz w:val="22"/>
              </w:rPr>
              <w:t>collapsed</w:t>
            </w:r>
          </w:p>
          <w:p>
            <w:pPr>
              <w:pStyle w:val="TableParagraph"/>
              <w:spacing w:line="268" w:lineRule="exact" w:before="0"/>
              <w:rPr>
                <w:sz w:val="22"/>
              </w:rPr>
            </w:pPr>
            <w:r>
              <w:rPr>
                <w:sz w:val="22"/>
              </w:rPr>
              <w:t>(Collapsed)</w:t>
            </w:r>
          </w:p>
        </w:tc>
        <w:tc>
          <w:tcPr>
            <w:tcW w:w="8250" w:type="dxa"/>
          </w:tcPr>
          <w:p>
            <w:pPr>
              <w:pStyle w:val="TableParagraph"/>
              <w:ind w:right="220"/>
              <w:jc w:val="both"/>
              <w:rPr>
                <w:sz w:val="22"/>
              </w:rPr>
            </w:pPr>
            <w:r>
              <w:rPr>
                <w:sz w:val="22"/>
              </w:rPr>
              <w:t>1 if the rows 1 level of outlining deeper than the current row are in the collapsed outline state. It means that the rows which are 1 outline level deeper (numerically higher value) than the current row are currently hidden due to a collapsed outline state.</w:t>
            </w:r>
          </w:p>
          <w:p>
            <w:pPr>
              <w:pStyle w:val="TableParagraph"/>
              <w:spacing w:before="1"/>
              <w:ind w:left="0"/>
              <w:rPr>
                <w:sz w:val="22"/>
              </w:rPr>
            </w:pPr>
          </w:p>
          <w:p>
            <w:pPr>
              <w:pStyle w:val="TableParagraph"/>
              <w:spacing w:before="0"/>
              <w:ind w:right="442"/>
              <w:jc w:val="both"/>
              <w:rPr>
                <w:sz w:val="22"/>
              </w:rPr>
            </w:pPr>
            <w:r>
              <w:rPr>
                <w:sz w:val="22"/>
              </w:rPr>
              <w:t>It is possible for </w:t>
            </w:r>
            <w:r>
              <w:rPr>
                <w:rFonts w:ascii="Cambria"/>
                <w:sz w:val="22"/>
              </w:rPr>
              <w:t>collapsed </w:t>
            </w:r>
            <w:r>
              <w:rPr>
                <w:sz w:val="22"/>
              </w:rPr>
              <w:t>to be </w:t>
            </w:r>
            <w:r>
              <w:rPr>
                <w:rFonts w:ascii="Consolas"/>
                <w:sz w:val="20"/>
              </w:rPr>
              <w:t>false</w:t>
            </w:r>
            <w:r>
              <w:rPr>
                <w:rFonts w:ascii="Consolas"/>
                <w:spacing w:val="-89"/>
                <w:sz w:val="20"/>
              </w:rPr>
              <w:t> </w:t>
            </w:r>
            <w:r>
              <w:rPr>
                <w:sz w:val="22"/>
              </w:rPr>
              <w:t>and yet still have the rows in question hidden. This can be achieved by having a lower outline level collapsed, thus hiding all the</w:t>
            </w:r>
            <w:r>
              <w:rPr>
                <w:spacing w:val="-32"/>
                <w:sz w:val="22"/>
              </w:rPr>
              <w:t> </w:t>
            </w:r>
            <w:r>
              <w:rPr>
                <w:sz w:val="22"/>
              </w:rPr>
              <w:t>child rows.</w:t>
            </w:r>
          </w:p>
          <w:p>
            <w:pPr>
              <w:pStyle w:val="TableParagraph"/>
              <w:spacing w:before="1"/>
              <w:ind w:left="0"/>
              <w:rPr>
                <w:sz w:val="22"/>
              </w:rPr>
            </w:pPr>
          </w:p>
          <w:p>
            <w:pPr>
              <w:pStyle w:val="TableParagraph"/>
              <w:spacing w:line="267" w:lineRule="exact" w:before="0"/>
              <w:rPr>
                <w:sz w:val="22"/>
              </w:rPr>
            </w:pPr>
            <w:r>
              <w:rPr>
                <w:sz w:val="22"/>
              </w:rPr>
              <w:t>[</w:t>
            </w:r>
            <w:r>
              <w:rPr>
                <w:i/>
                <w:sz w:val="22"/>
              </w:rPr>
              <w:t>Example</w:t>
            </w:r>
            <w:r>
              <w:rPr>
                <w:sz w:val="22"/>
              </w:rPr>
              <w:t>:</w:t>
            </w:r>
          </w:p>
          <w:p>
            <w:pPr>
              <w:pStyle w:val="TableParagraph"/>
              <w:spacing w:line="267" w:lineRule="exact" w:before="0"/>
              <w:rPr>
                <w:sz w:val="22"/>
              </w:rPr>
            </w:pPr>
            <w:r>
              <w:rPr>
                <w:sz w:val="22"/>
              </w:rPr>
              <w:t>This example shows 3 levels of outlining:</w:t>
            </w:r>
          </w:p>
          <w:p>
            <w:pPr>
              <w:pStyle w:val="TableParagraph"/>
              <w:spacing w:before="5" w:after="1"/>
              <w:ind w:left="0"/>
              <w:rPr>
                <w:sz w:val="23"/>
              </w:rPr>
            </w:pPr>
          </w:p>
          <w:p>
            <w:pPr>
              <w:pStyle w:val="TableParagraph"/>
              <w:spacing w:before="0"/>
              <w:ind w:left="145"/>
              <w:rPr>
                <w:sz w:val="20"/>
              </w:rPr>
            </w:pPr>
            <w:r>
              <w:rPr>
                <w:sz w:val="20"/>
              </w:rPr>
              <w:drawing>
                <wp:inline distT="0" distB="0" distL="0" distR="0">
                  <wp:extent cx="894588" cy="2314575"/>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47" cstate="print"/>
                          <a:stretch>
                            <a:fillRect/>
                          </a:stretch>
                        </pic:blipFill>
                        <pic:spPr>
                          <a:xfrm>
                            <a:off x="0" y="0"/>
                            <a:ext cx="894588" cy="2314575"/>
                          </a:xfrm>
                          <a:prstGeom prst="rect">
                            <a:avLst/>
                          </a:prstGeom>
                        </pic:spPr>
                      </pic:pic>
                    </a:graphicData>
                  </a:graphic>
                </wp:inline>
              </w:drawing>
            </w:r>
            <w:r>
              <w:rPr>
                <w:sz w:val="20"/>
              </w:rPr>
            </w:r>
          </w:p>
          <w:p>
            <w:pPr>
              <w:pStyle w:val="TableParagraph"/>
              <w:spacing w:before="10"/>
              <w:ind w:left="0"/>
              <w:rPr>
                <w:sz w:val="21"/>
              </w:rPr>
            </w:pPr>
          </w:p>
          <w:p>
            <w:pPr>
              <w:pStyle w:val="TableParagraph"/>
              <w:spacing w:before="0"/>
              <w:jc w:val="both"/>
              <w:rPr>
                <w:sz w:val="22"/>
              </w:rPr>
            </w:pPr>
            <w:r>
              <w:rPr>
                <w:sz w:val="22"/>
              </w:rPr>
              <w:t>In the XML must be:</w:t>
            </w:r>
          </w:p>
          <w:p>
            <w:pPr>
              <w:pStyle w:val="TableParagraph"/>
              <w:spacing w:before="3"/>
              <w:ind w:left="403"/>
              <w:rPr>
                <w:rFonts w:ascii="Consolas"/>
                <w:sz w:val="22"/>
              </w:rPr>
            </w:pPr>
            <w:r>
              <w:rPr>
                <w:rFonts w:ascii="Consolas"/>
                <w:sz w:val="22"/>
              </w:rPr>
              <w:t>&lt;sheetData&gt;</w:t>
            </w:r>
          </w:p>
          <w:p>
            <w:pPr>
              <w:pStyle w:val="TableParagraph"/>
              <w:spacing w:before="0"/>
              <w:ind w:left="645"/>
              <w:rPr>
                <w:rFonts w:ascii="Consolas"/>
                <w:sz w:val="22"/>
              </w:rPr>
            </w:pPr>
            <w:r>
              <w:rPr>
                <w:rFonts w:ascii="Consolas"/>
                <w:sz w:val="22"/>
              </w:rPr>
              <w:t>&lt;row r="6"</w:t>
            </w:r>
            <w:r>
              <w:rPr>
                <w:rFonts w:ascii="Consolas"/>
                <w:spacing w:val="-20"/>
                <w:sz w:val="22"/>
              </w:rPr>
              <w:t> </w:t>
            </w:r>
            <w:r>
              <w:rPr>
                <w:rFonts w:ascii="Consolas"/>
                <w:sz w:val="22"/>
              </w:rPr>
              <w:t>outlineLevel="3"/&gt;</w:t>
            </w:r>
          </w:p>
          <w:p>
            <w:pPr>
              <w:pStyle w:val="TableParagraph"/>
              <w:spacing w:line="257" w:lineRule="exact" w:before="1"/>
              <w:ind w:left="645"/>
              <w:rPr>
                <w:rFonts w:ascii="Consolas"/>
                <w:sz w:val="22"/>
              </w:rPr>
            </w:pPr>
            <w:r>
              <w:rPr>
                <w:rFonts w:ascii="Consolas"/>
                <w:sz w:val="22"/>
              </w:rPr>
              <w:t>&lt;row r="7"</w:t>
            </w:r>
            <w:r>
              <w:rPr>
                <w:rFonts w:ascii="Consolas"/>
                <w:spacing w:val="-21"/>
                <w:sz w:val="22"/>
              </w:rPr>
              <w:t> </w:t>
            </w:r>
            <w:r>
              <w:rPr>
                <w:rFonts w:ascii="Consolas"/>
                <w:sz w:val="22"/>
              </w:rPr>
              <w:t>outlineLevel="3"/&gt;</w:t>
            </w:r>
          </w:p>
          <w:p>
            <w:pPr>
              <w:pStyle w:val="TableParagraph"/>
              <w:spacing w:line="257" w:lineRule="exact" w:before="0"/>
              <w:ind w:left="645"/>
              <w:rPr>
                <w:rFonts w:ascii="Consolas"/>
                <w:sz w:val="22"/>
              </w:rPr>
            </w:pPr>
            <w:r>
              <w:rPr>
                <w:rFonts w:ascii="Consolas"/>
                <w:sz w:val="22"/>
              </w:rPr>
              <w:t>&lt;row r="8"</w:t>
            </w:r>
            <w:r>
              <w:rPr>
                <w:rFonts w:ascii="Consolas"/>
                <w:spacing w:val="-21"/>
                <w:sz w:val="22"/>
              </w:rPr>
              <w:t> </w:t>
            </w:r>
            <w:r>
              <w:rPr>
                <w:rFonts w:ascii="Consolas"/>
                <w:sz w:val="22"/>
              </w:rPr>
              <w:t>outlineLevel="2"/&gt;</w:t>
            </w:r>
          </w:p>
          <w:p>
            <w:pPr>
              <w:pStyle w:val="TableParagraph"/>
              <w:spacing w:line="257" w:lineRule="exact" w:before="0"/>
              <w:ind w:left="645"/>
              <w:rPr>
                <w:rFonts w:ascii="Consolas"/>
                <w:sz w:val="22"/>
              </w:rPr>
            </w:pPr>
            <w:r>
              <w:rPr>
                <w:rFonts w:ascii="Consolas"/>
                <w:sz w:val="22"/>
              </w:rPr>
              <w:t>&lt;row r="9"</w:t>
            </w:r>
            <w:r>
              <w:rPr>
                <w:rFonts w:ascii="Consolas"/>
                <w:spacing w:val="-21"/>
                <w:sz w:val="22"/>
              </w:rPr>
              <w:t> </w:t>
            </w:r>
            <w:r>
              <w:rPr>
                <w:rFonts w:ascii="Consolas"/>
                <w:sz w:val="22"/>
              </w:rPr>
              <w:t>outlineLevel="1"/&gt;</w:t>
            </w:r>
          </w:p>
          <w:p>
            <w:pPr>
              <w:pStyle w:val="TableParagraph"/>
              <w:spacing w:before="2"/>
              <w:ind w:left="403"/>
              <w:rPr>
                <w:rFonts w:ascii="Consolas"/>
                <w:sz w:val="22"/>
              </w:rPr>
            </w:pPr>
            <w:r>
              <w:rPr>
                <w:rFonts w:ascii="Consolas"/>
                <w:sz w:val="22"/>
              </w:rPr>
              <w:t>&lt;/sheetData&gt;</w:t>
            </w:r>
          </w:p>
          <w:p>
            <w:pPr>
              <w:pStyle w:val="TableParagraph"/>
              <w:spacing w:before="9"/>
              <w:ind w:left="0"/>
              <w:rPr>
                <w:sz w:val="21"/>
              </w:rPr>
            </w:pPr>
          </w:p>
          <w:p>
            <w:pPr>
              <w:pStyle w:val="TableParagraph"/>
              <w:spacing w:before="0"/>
              <w:jc w:val="both"/>
              <w:rPr>
                <w:sz w:val="22"/>
              </w:rPr>
            </w:pPr>
            <w:r>
              <w:rPr>
                <w:i/>
                <w:sz w:val="22"/>
              </w:rPr>
              <w:t>end example</w:t>
            </w:r>
            <w:r>
              <w:rPr>
                <w:sz w:val="22"/>
              </w:rPr>
              <w:t>]</w:t>
            </w:r>
          </w:p>
        </w:tc>
      </w:tr>
    </w:tbl>
    <w:p>
      <w:pPr>
        <w:spacing w:after="0"/>
        <w:jc w:val="both"/>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2365"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w:t>
            </w:r>
            <w:r>
              <w:rPr>
                <w:i/>
                <w:sz w:val="22"/>
              </w:rPr>
              <w:t>Example</w:t>
            </w:r>
            <w:r>
              <w:rPr>
                <w:sz w:val="22"/>
              </w:rPr>
              <w:t>:</w:t>
            </w:r>
          </w:p>
          <w:p>
            <w:pPr>
              <w:pStyle w:val="TableParagraph"/>
              <w:spacing w:before="0"/>
              <w:rPr>
                <w:sz w:val="22"/>
              </w:rPr>
            </w:pPr>
            <w:r>
              <w:rPr>
                <w:sz w:val="22"/>
              </w:rPr>
              <w:t>This example shows the same outline feature, with the middle level collapsed:</w:t>
            </w:r>
          </w:p>
          <w:p>
            <w:pPr>
              <w:pStyle w:val="TableParagraph"/>
              <w:spacing w:before="7"/>
              <w:ind w:left="0"/>
              <w:rPr>
                <w:rFonts w:ascii="Times New Roman"/>
                <w:sz w:val="23"/>
              </w:rPr>
            </w:pPr>
          </w:p>
          <w:p>
            <w:pPr>
              <w:pStyle w:val="TableParagraph"/>
              <w:spacing w:before="0"/>
              <w:ind w:left="145"/>
              <w:rPr>
                <w:rFonts w:ascii="Times New Roman"/>
                <w:sz w:val="20"/>
              </w:rPr>
            </w:pPr>
            <w:r>
              <w:rPr>
                <w:rFonts w:ascii="Times New Roman"/>
                <w:sz w:val="20"/>
              </w:rPr>
              <w:drawing>
                <wp:inline distT="0" distB="0" distL="0" distR="0">
                  <wp:extent cx="904325" cy="174307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48" cstate="print"/>
                          <a:stretch>
                            <a:fillRect/>
                          </a:stretch>
                        </pic:blipFill>
                        <pic:spPr>
                          <a:xfrm>
                            <a:off x="0" y="0"/>
                            <a:ext cx="904325" cy="1743075"/>
                          </a:xfrm>
                          <a:prstGeom prst="rect">
                            <a:avLst/>
                          </a:prstGeom>
                        </pic:spPr>
                      </pic:pic>
                    </a:graphicData>
                  </a:graphic>
                </wp:inline>
              </w:drawing>
            </w:r>
            <w:r>
              <w:rPr>
                <w:rFonts w:ascii="Times New Roman"/>
                <w:sz w:val="20"/>
              </w:rPr>
            </w:r>
          </w:p>
          <w:p>
            <w:pPr>
              <w:pStyle w:val="TableParagraph"/>
              <w:spacing w:before="0"/>
              <w:ind w:left="0"/>
              <w:rPr>
                <w:rFonts w:ascii="Times New Roman"/>
                <w:sz w:val="23"/>
              </w:rPr>
            </w:pPr>
          </w:p>
          <w:p>
            <w:pPr>
              <w:pStyle w:val="TableParagraph"/>
              <w:spacing w:before="0"/>
              <w:rPr>
                <w:sz w:val="22"/>
              </w:rPr>
            </w:pPr>
            <w:r>
              <w:rPr>
                <w:sz w:val="22"/>
              </w:rPr>
              <w:t>In the XML must be:</w:t>
            </w:r>
          </w:p>
          <w:p>
            <w:pPr>
              <w:pStyle w:val="TableParagraph"/>
              <w:spacing w:line="257" w:lineRule="exact" w:before="3"/>
              <w:ind w:left="403"/>
              <w:rPr>
                <w:rFonts w:ascii="Consolas"/>
                <w:sz w:val="22"/>
              </w:rPr>
            </w:pPr>
            <w:r>
              <w:rPr>
                <w:rFonts w:ascii="Consolas"/>
                <w:sz w:val="22"/>
              </w:rPr>
              <w:t>&lt;sheetData&gt;</w:t>
            </w:r>
          </w:p>
          <w:p>
            <w:pPr>
              <w:pStyle w:val="TableParagraph"/>
              <w:spacing w:line="257" w:lineRule="exact" w:before="0"/>
              <w:ind w:left="645"/>
              <w:rPr>
                <w:rFonts w:ascii="Consolas"/>
                <w:sz w:val="22"/>
              </w:rPr>
            </w:pPr>
            <w:r>
              <w:rPr>
                <w:rFonts w:ascii="Consolas"/>
                <w:sz w:val="22"/>
              </w:rPr>
              <w:t>&lt;row r="6" hidden="1"</w:t>
            </w:r>
            <w:r>
              <w:rPr>
                <w:rFonts w:ascii="Consolas"/>
                <w:spacing w:val="-27"/>
                <w:sz w:val="22"/>
              </w:rPr>
              <w:t> </w:t>
            </w:r>
            <w:r>
              <w:rPr>
                <w:rFonts w:ascii="Consolas"/>
                <w:sz w:val="22"/>
              </w:rPr>
              <w:t>outlineLevel="3"/&gt;</w:t>
            </w:r>
          </w:p>
          <w:p>
            <w:pPr>
              <w:pStyle w:val="TableParagraph"/>
              <w:spacing w:line="257" w:lineRule="exact" w:before="1"/>
              <w:ind w:left="645"/>
              <w:rPr>
                <w:rFonts w:ascii="Consolas"/>
                <w:sz w:val="22"/>
              </w:rPr>
            </w:pPr>
            <w:r>
              <w:rPr>
                <w:rFonts w:ascii="Consolas"/>
                <w:sz w:val="22"/>
              </w:rPr>
              <w:t>&lt;row r="7" hidden="1"</w:t>
            </w:r>
            <w:r>
              <w:rPr>
                <w:rFonts w:ascii="Consolas"/>
                <w:spacing w:val="-27"/>
                <w:sz w:val="22"/>
              </w:rPr>
              <w:t> </w:t>
            </w:r>
            <w:r>
              <w:rPr>
                <w:rFonts w:ascii="Consolas"/>
                <w:sz w:val="22"/>
              </w:rPr>
              <w:t>outlineLevel="3"/&gt;</w:t>
            </w:r>
          </w:p>
          <w:p>
            <w:pPr>
              <w:pStyle w:val="TableParagraph"/>
              <w:spacing w:line="257" w:lineRule="exact" w:before="0"/>
              <w:ind w:left="645"/>
              <w:rPr>
                <w:rFonts w:ascii="Consolas"/>
                <w:sz w:val="22"/>
              </w:rPr>
            </w:pPr>
            <w:r>
              <w:rPr>
                <w:rFonts w:ascii="Consolas"/>
                <w:sz w:val="22"/>
              </w:rPr>
              <w:t>&lt;row r="8" hidden="1"</w:t>
            </w:r>
            <w:r>
              <w:rPr>
                <w:rFonts w:ascii="Consolas"/>
                <w:spacing w:val="-27"/>
                <w:sz w:val="22"/>
              </w:rPr>
              <w:t> </w:t>
            </w:r>
            <w:r>
              <w:rPr>
                <w:rFonts w:ascii="Consolas"/>
                <w:sz w:val="22"/>
              </w:rPr>
              <w:t>outlineLevel="2"/&gt;</w:t>
            </w:r>
          </w:p>
          <w:p>
            <w:pPr>
              <w:pStyle w:val="TableParagraph"/>
              <w:spacing w:line="257" w:lineRule="exact" w:before="0"/>
              <w:ind w:left="645"/>
              <w:rPr>
                <w:rFonts w:ascii="Consolas"/>
                <w:sz w:val="22"/>
              </w:rPr>
            </w:pPr>
            <w:r>
              <w:rPr>
                <w:rFonts w:ascii="Consolas"/>
                <w:sz w:val="22"/>
              </w:rPr>
              <w:t>&lt;row r="9" outlineLevel="1" collapsed="1"/&gt;</w:t>
            </w:r>
          </w:p>
          <w:p>
            <w:pPr>
              <w:pStyle w:val="TableParagraph"/>
              <w:spacing w:before="2"/>
              <w:ind w:left="403"/>
              <w:rPr>
                <w:rFonts w:ascii="Consolas"/>
                <w:sz w:val="22"/>
              </w:rPr>
            </w:pPr>
            <w:r>
              <w:rPr>
                <w:rFonts w:ascii="Consolas"/>
                <w:sz w:val="22"/>
              </w:rPr>
              <w:t>&lt;/sheetData&gt;</w:t>
            </w:r>
          </w:p>
          <w:p>
            <w:pPr>
              <w:pStyle w:val="TableParagraph"/>
              <w:spacing w:line="538" w:lineRule="exact" w:before="45"/>
              <w:ind w:right="6900"/>
              <w:rPr>
                <w:sz w:val="22"/>
              </w:rPr>
            </w:pPr>
            <w:r>
              <w:rPr>
                <w:i/>
                <w:sz w:val="22"/>
              </w:rPr>
              <w:t>end example</w:t>
            </w:r>
            <w:r>
              <w:rPr>
                <w:sz w:val="22"/>
              </w:rPr>
              <w:t>] [</w:t>
            </w:r>
            <w:r>
              <w:rPr>
                <w:i/>
                <w:sz w:val="22"/>
              </w:rPr>
              <w:t>Example</w:t>
            </w:r>
            <w:r>
              <w:rPr>
                <w:sz w:val="22"/>
              </w:rPr>
              <w:t>:</w:t>
            </w:r>
          </w:p>
          <w:p>
            <w:pPr>
              <w:pStyle w:val="TableParagraph"/>
              <w:spacing w:line="220" w:lineRule="exact" w:before="0"/>
              <w:rPr>
                <w:sz w:val="22"/>
              </w:rPr>
            </w:pPr>
            <w:r>
              <w:rPr>
                <w:sz w:val="22"/>
              </w:rPr>
              <w:t>This example shows the same outline feature as above, where both the middle and</w:t>
            </w:r>
          </w:p>
          <w:p>
            <w:pPr>
              <w:pStyle w:val="TableParagraph"/>
              <w:spacing w:before="0"/>
              <w:rPr>
                <w:sz w:val="22"/>
              </w:rPr>
            </w:pPr>
            <w:r>
              <w:rPr>
                <w:sz w:val="22"/>
              </w:rPr>
              <w:t>lowest level are collapsed:</w:t>
            </w:r>
          </w:p>
          <w:p>
            <w:pPr>
              <w:pStyle w:val="TableParagraph"/>
              <w:spacing w:before="4"/>
              <w:ind w:left="0"/>
              <w:rPr>
                <w:rFonts w:ascii="Times New Roman"/>
                <w:sz w:val="23"/>
              </w:rPr>
            </w:pPr>
          </w:p>
          <w:p>
            <w:pPr>
              <w:pStyle w:val="TableParagraph"/>
              <w:spacing w:before="0"/>
              <w:ind w:left="145"/>
              <w:rPr>
                <w:rFonts w:ascii="Times New Roman"/>
                <w:sz w:val="20"/>
              </w:rPr>
            </w:pPr>
            <w:r>
              <w:rPr>
                <w:rFonts w:ascii="Times New Roman"/>
                <w:sz w:val="20"/>
              </w:rPr>
              <w:drawing>
                <wp:inline distT="0" distB="0" distL="0" distR="0">
                  <wp:extent cx="893921" cy="1533525"/>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49" cstate="print"/>
                          <a:stretch>
                            <a:fillRect/>
                          </a:stretch>
                        </pic:blipFill>
                        <pic:spPr>
                          <a:xfrm>
                            <a:off x="0" y="0"/>
                            <a:ext cx="893921" cy="1533525"/>
                          </a:xfrm>
                          <a:prstGeom prst="rect">
                            <a:avLst/>
                          </a:prstGeom>
                        </pic:spPr>
                      </pic:pic>
                    </a:graphicData>
                  </a:graphic>
                </wp:inline>
              </w:drawing>
            </w:r>
            <w:r>
              <w:rPr>
                <w:rFonts w:ascii="Times New Roman"/>
                <w:sz w:val="20"/>
              </w:rPr>
            </w:r>
          </w:p>
          <w:p>
            <w:pPr>
              <w:pStyle w:val="TableParagraph"/>
              <w:spacing w:before="5"/>
              <w:ind w:left="0"/>
              <w:rPr>
                <w:rFonts w:ascii="Times New Roman"/>
                <w:sz w:val="23"/>
              </w:rPr>
            </w:pPr>
          </w:p>
          <w:p>
            <w:pPr>
              <w:pStyle w:val="TableParagraph"/>
              <w:spacing w:before="0"/>
              <w:rPr>
                <w:sz w:val="22"/>
              </w:rPr>
            </w:pPr>
            <w:r>
              <w:rPr>
                <w:sz w:val="22"/>
              </w:rPr>
              <w:t>In the XML must be:</w:t>
            </w:r>
          </w:p>
          <w:p>
            <w:pPr>
              <w:pStyle w:val="TableParagraph"/>
              <w:spacing w:before="4"/>
              <w:ind w:left="0"/>
              <w:rPr>
                <w:rFonts w:ascii="Times New Roman"/>
                <w:sz w:val="23"/>
              </w:rPr>
            </w:pPr>
          </w:p>
          <w:p>
            <w:pPr>
              <w:pStyle w:val="TableParagraph"/>
              <w:spacing w:before="0"/>
              <w:ind w:left="403"/>
              <w:rPr>
                <w:rFonts w:ascii="Consolas"/>
                <w:sz w:val="22"/>
              </w:rPr>
            </w:pPr>
            <w:r>
              <w:rPr>
                <w:rFonts w:ascii="Consolas"/>
                <w:sz w:val="22"/>
              </w:rPr>
              <w:t>&lt;sheetData&gt;</w:t>
            </w:r>
          </w:p>
          <w:p>
            <w:pPr>
              <w:pStyle w:val="TableParagraph"/>
              <w:spacing w:line="257" w:lineRule="exact" w:before="2"/>
              <w:ind w:left="645"/>
              <w:rPr>
                <w:rFonts w:ascii="Consolas"/>
                <w:sz w:val="22"/>
              </w:rPr>
            </w:pPr>
            <w:r>
              <w:rPr>
                <w:rFonts w:ascii="Consolas"/>
                <w:sz w:val="22"/>
              </w:rPr>
              <w:t>&lt;row r="6" hidden="1"</w:t>
            </w:r>
            <w:r>
              <w:rPr>
                <w:rFonts w:ascii="Consolas"/>
                <w:spacing w:val="-27"/>
                <w:sz w:val="22"/>
              </w:rPr>
              <w:t> </w:t>
            </w:r>
            <w:r>
              <w:rPr>
                <w:rFonts w:ascii="Consolas"/>
                <w:sz w:val="22"/>
              </w:rPr>
              <w:t>outlineLevel="3"/&gt;</w:t>
            </w:r>
          </w:p>
          <w:p>
            <w:pPr>
              <w:pStyle w:val="TableParagraph"/>
              <w:spacing w:line="257" w:lineRule="exact" w:before="0"/>
              <w:ind w:left="645"/>
              <w:rPr>
                <w:rFonts w:ascii="Consolas"/>
                <w:sz w:val="22"/>
              </w:rPr>
            </w:pPr>
            <w:r>
              <w:rPr>
                <w:rFonts w:ascii="Consolas"/>
                <w:sz w:val="22"/>
              </w:rPr>
              <w:t>&lt;row r="7" hidden="1"</w:t>
            </w:r>
            <w:r>
              <w:rPr>
                <w:rFonts w:ascii="Consolas"/>
                <w:spacing w:val="-27"/>
                <w:sz w:val="22"/>
              </w:rPr>
              <w:t> </w:t>
            </w:r>
            <w:r>
              <w:rPr>
                <w:rFonts w:ascii="Consolas"/>
                <w:sz w:val="22"/>
              </w:rPr>
              <w:t>outlineLevel="3"/&gt;</w:t>
            </w:r>
          </w:p>
          <w:p>
            <w:pPr>
              <w:pStyle w:val="TableParagraph"/>
              <w:spacing w:line="257" w:lineRule="exact" w:before="0"/>
              <w:ind w:left="645"/>
              <w:rPr>
                <w:rFonts w:ascii="Consolas"/>
                <w:sz w:val="22"/>
              </w:rPr>
            </w:pPr>
            <w:r>
              <w:rPr>
                <w:rFonts w:ascii="Consolas"/>
                <w:sz w:val="22"/>
              </w:rPr>
              <w:t>&lt;row r="8" hidden="1"</w:t>
            </w:r>
            <w:r>
              <w:rPr>
                <w:rFonts w:ascii="Consolas"/>
                <w:spacing w:val="-27"/>
                <w:sz w:val="22"/>
              </w:rPr>
              <w:t> </w:t>
            </w:r>
            <w:r>
              <w:rPr>
                <w:rFonts w:ascii="Consolas"/>
                <w:sz w:val="22"/>
              </w:rPr>
              <w:t>outlineLevel="2"/&gt;</w:t>
            </w:r>
          </w:p>
          <w:p>
            <w:pPr>
              <w:pStyle w:val="TableParagraph"/>
              <w:spacing w:line="257" w:lineRule="exact" w:before="1"/>
              <w:ind w:left="645"/>
              <w:rPr>
                <w:rFonts w:ascii="Consolas"/>
                <w:sz w:val="22"/>
              </w:rPr>
            </w:pPr>
            <w:r>
              <w:rPr>
                <w:rFonts w:ascii="Consolas"/>
                <w:sz w:val="22"/>
              </w:rPr>
              <w:t>&lt;row r="9" hidden="1" outlineLevel="1" collapsed="1"/&gt;</w:t>
            </w:r>
          </w:p>
          <w:p>
            <w:pPr>
              <w:pStyle w:val="TableParagraph"/>
              <w:spacing w:line="257" w:lineRule="exact" w:before="0"/>
              <w:ind w:left="645"/>
              <w:rPr>
                <w:rFonts w:ascii="Consolas"/>
                <w:sz w:val="22"/>
              </w:rPr>
            </w:pPr>
            <w:r>
              <w:rPr>
                <w:rFonts w:ascii="Consolas"/>
                <w:sz w:val="22"/>
              </w:rPr>
              <w:t>&lt;row r="10" collapsed="1"/&gt;</w:t>
            </w:r>
          </w:p>
        </w:tc>
      </w:tr>
    </w:tbl>
    <w:p>
      <w:pPr>
        <w:spacing w:after="0" w:line="257" w:lineRule="exact"/>
        <w:rPr>
          <w:rFonts w:ascii="Consolas"/>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97" w:hRule="atLeast"/>
        </w:trPr>
        <w:tc>
          <w:tcPr>
            <w:tcW w:w="2062" w:type="dxa"/>
          </w:tcPr>
          <w:p>
            <w:pPr>
              <w:pStyle w:val="TableParagraph"/>
              <w:spacing w:before="0"/>
              <w:ind w:left="0"/>
              <w:rPr>
                <w:rFonts w:ascii="Times New Roman"/>
                <w:sz w:val="22"/>
              </w:rPr>
            </w:pPr>
          </w:p>
        </w:tc>
        <w:tc>
          <w:tcPr>
            <w:tcW w:w="8250" w:type="dxa"/>
          </w:tcPr>
          <w:p>
            <w:pPr>
              <w:pStyle w:val="TableParagraph"/>
              <w:spacing w:before="42"/>
              <w:ind w:left="403"/>
              <w:rPr>
                <w:rFonts w:ascii="Consolas"/>
                <w:sz w:val="22"/>
              </w:rPr>
            </w:pPr>
            <w:r>
              <w:rPr>
                <w:rFonts w:ascii="Consolas"/>
                <w:sz w:val="22"/>
              </w:rPr>
              <w:t>&lt;/sheetData&gt;</w:t>
            </w:r>
          </w:p>
          <w:p>
            <w:pPr>
              <w:pStyle w:val="TableParagraph"/>
              <w:spacing w:before="1"/>
              <w:ind w:left="0"/>
              <w:rPr>
                <w:rFonts w:ascii="Times New Roman"/>
                <w:sz w:val="23"/>
              </w:rPr>
            </w:pPr>
          </w:p>
          <w:p>
            <w:pPr>
              <w:pStyle w:val="TableParagraph"/>
              <w:spacing w:before="0"/>
              <w:ind w:right="266"/>
              <w:rPr>
                <w:sz w:val="22"/>
              </w:rPr>
            </w:pPr>
            <w:r>
              <w:rPr>
                <w:sz w:val="22"/>
              </w:rPr>
              <w:t>Note that in this case, if the lowest level were expanded, the middle level would remain collapsed due to </w:t>
            </w:r>
            <w:r>
              <w:rPr>
                <w:rFonts w:ascii="Cambria"/>
                <w:sz w:val="22"/>
              </w:rPr>
              <w:t>collapsed </w:t>
            </w:r>
            <w:r>
              <w:rPr>
                <w:sz w:val="22"/>
              </w:rPr>
              <w:t>being </w:t>
            </w:r>
            <w:r>
              <w:rPr>
                <w:rFonts w:ascii="Consolas"/>
                <w:sz w:val="20"/>
              </w:rPr>
              <w:t>true</w:t>
            </w:r>
            <w:r>
              <w:rPr>
                <w:rFonts w:ascii="Consolas"/>
                <w:spacing w:val="-70"/>
                <w:sz w:val="20"/>
              </w:rPr>
              <w:t> </w:t>
            </w:r>
            <w:r>
              <w:rPr>
                <w:sz w:val="22"/>
              </w:rPr>
              <w:t>on row 9.</w:t>
            </w:r>
          </w:p>
          <w:p>
            <w:pPr>
              <w:pStyle w:val="TableParagraph"/>
              <w:spacing w:before="5"/>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ind w:right="356"/>
              <w:rPr>
                <w:sz w:val="22"/>
              </w:rPr>
            </w:pPr>
            <w:r>
              <w:rPr>
                <w:sz w:val="22"/>
              </w:rPr>
              <w:t>See description of </w:t>
            </w:r>
            <w:r>
              <w:rPr>
                <w:rFonts w:ascii="Cambria"/>
                <w:sz w:val="22"/>
              </w:rPr>
              <w:t>outlinePr </w:t>
            </w:r>
            <w:r>
              <w:rPr>
                <w:sz w:val="22"/>
              </w:rPr>
              <w:t>element's </w:t>
            </w:r>
            <w:r>
              <w:rPr>
                <w:rFonts w:ascii="Cambria"/>
                <w:sz w:val="22"/>
              </w:rPr>
              <w:t>summaryBelow </w:t>
            </w:r>
            <w:r>
              <w:rPr>
                <w:sz w:val="22"/>
              </w:rPr>
              <w:t>and </w:t>
            </w:r>
            <w:r>
              <w:rPr>
                <w:rFonts w:ascii="Cambria"/>
                <w:sz w:val="22"/>
              </w:rPr>
              <w:t>summaryRight </w:t>
            </w:r>
            <w:r>
              <w:rPr>
                <w:sz w:val="22"/>
              </w:rPr>
              <w:t>attributes for detailed information.</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3"/>
              <w:rPr>
                <w:rFonts w:ascii="Cambria"/>
                <w:sz w:val="22"/>
              </w:rPr>
            </w:pPr>
            <w:r>
              <w:rPr>
                <w:rFonts w:ascii="Cambria"/>
                <w:sz w:val="22"/>
              </w:rPr>
              <w:t>customFormat</w:t>
            </w:r>
          </w:p>
          <w:p>
            <w:pPr>
              <w:pStyle w:val="TableParagraph"/>
              <w:spacing w:line="268" w:lineRule="exact" w:before="0"/>
              <w:rPr>
                <w:sz w:val="22"/>
              </w:rPr>
            </w:pPr>
            <w:r>
              <w:rPr>
                <w:sz w:val="22"/>
              </w:rPr>
              <w:t>(Custom Format)</w:t>
            </w:r>
          </w:p>
        </w:tc>
        <w:tc>
          <w:tcPr>
            <w:tcW w:w="8250" w:type="dxa"/>
          </w:tcPr>
          <w:p>
            <w:pPr>
              <w:pStyle w:val="TableParagraph"/>
              <w:rPr>
                <w:sz w:val="22"/>
              </w:rPr>
            </w:pPr>
            <w:r>
              <w:rPr>
                <w:sz w:val="22"/>
              </w:rPr>
              <w:t>1 if the row style should be applied.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customHeight</w:t>
            </w:r>
          </w:p>
          <w:p>
            <w:pPr>
              <w:pStyle w:val="TableParagraph"/>
              <w:spacing w:line="267" w:lineRule="exact" w:before="0"/>
              <w:rPr>
                <w:sz w:val="22"/>
              </w:rPr>
            </w:pPr>
            <w:r>
              <w:rPr>
                <w:sz w:val="22"/>
              </w:rPr>
              <w:t>(Custom Height)</w:t>
            </w:r>
          </w:p>
        </w:tc>
        <w:tc>
          <w:tcPr>
            <w:tcW w:w="8250" w:type="dxa"/>
          </w:tcPr>
          <w:p>
            <w:pPr>
              <w:pStyle w:val="TableParagraph"/>
              <w:rPr>
                <w:sz w:val="22"/>
              </w:rPr>
            </w:pPr>
            <w:r>
              <w:rPr>
                <w:sz w:val="22"/>
              </w:rPr>
              <w:t>1 if the row height has been manually set.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rPr>
                <w:sz w:val="22"/>
              </w:rPr>
            </w:pPr>
            <w:r>
              <w:rPr>
                <w:rFonts w:ascii="Cambria"/>
                <w:sz w:val="22"/>
              </w:rPr>
              <w:t>hidden </w:t>
            </w:r>
            <w:r>
              <w:rPr>
                <w:sz w:val="22"/>
              </w:rPr>
              <w:t>(Hidden)</w:t>
            </w:r>
          </w:p>
        </w:tc>
        <w:tc>
          <w:tcPr>
            <w:tcW w:w="8250" w:type="dxa"/>
          </w:tcPr>
          <w:p>
            <w:pPr>
              <w:pStyle w:val="TableParagraph"/>
              <w:ind w:right="111"/>
              <w:rPr>
                <w:sz w:val="22"/>
              </w:rPr>
            </w:pPr>
            <w:r>
              <w:rPr>
                <w:sz w:val="22"/>
              </w:rPr>
              <w:t>1 if the row is hidden, e.g., due to a collapsed outline or by manually selecting and hiding a row.</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rPr>
                <w:sz w:val="22"/>
              </w:rPr>
            </w:pPr>
            <w:r>
              <w:rPr>
                <w:rFonts w:ascii="Cambria"/>
                <w:sz w:val="22"/>
              </w:rPr>
              <w:t>ht </w:t>
            </w:r>
            <w:r>
              <w:rPr>
                <w:sz w:val="22"/>
              </w:rPr>
              <w:t>(Row Height)</w:t>
            </w:r>
          </w:p>
        </w:tc>
        <w:tc>
          <w:tcPr>
            <w:tcW w:w="8250" w:type="dxa"/>
          </w:tcPr>
          <w:p>
            <w:pPr>
              <w:pStyle w:val="TableParagraph"/>
              <w:rPr>
                <w:sz w:val="22"/>
              </w:rPr>
            </w:pPr>
            <w:r>
              <w:rPr>
                <w:sz w:val="22"/>
              </w:rPr>
              <w:t>Row height measured in point size. There is no margin padding on row height.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outlineLevel</w:t>
            </w:r>
          </w:p>
          <w:p>
            <w:pPr>
              <w:pStyle w:val="TableParagraph"/>
              <w:spacing w:line="268" w:lineRule="exact" w:before="0"/>
              <w:rPr>
                <w:sz w:val="22"/>
              </w:rPr>
            </w:pPr>
            <w:r>
              <w:rPr>
                <w:sz w:val="22"/>
              </w:rPr>
              <w:t>(Outline Level)</w:t>
            </w:r>
          </w:p>
        </w:tc>
        <w:tc>
          <w:tcPr>
            <w:tcW w:w="8250" w:type="dxa"/>
          </w:tcPr>
          <w:p>
            <w:pPr>
              <w:pStyle w:val="TableParagraph"/>
              <w:rPr>
                <w:sz w:val="22"/>
              </w:rPr>
            </w:pPr>
            <w:r>
              <w:rPr>
                <w:sz w:val="22"/>
              </w:rPr>
              <w:t>Outlining level of the row, when outlining is on. See description of </w:t>
            </w:r>
            <w:r>
              <w:rPr>
                <w:rFonts w:ascii="Cambria"/>
                <w:sz w:val="22"/>
              </w:rPr>
              <w:t>outlinePr </w:t>
            </w:r>
            <w:r>
              <w:rPr>
                <w:sz w:val="22"/>
              </w:rPr>
              <w:t>element's</w:t>
            </w:r>
          </w:p>
          <w:p>
            <w:pPr>
              <w:pStyle w:val="TableParagraph"/>
              <w:spacing w:before="0"/>
              <w:rPr>
                <w:sz w:val="22"/>
              </w:rPr>
            </w:pPr>
            <w:r>
              <w:rPr>
                <w:rFonts w:ascii="Cambria"/>
                <w:sz w:val="22"/>
              </w:rPr>
              <w:t>summaryBelow </w:t>
            </w:r>
            <w:r>
              <w:rPr>
                <w:sz w:val="22"/>
              </w:rPr>
              <w:t>and </w:t>
            </w:r>
            <w:r>
              <w:rPr>
                <w:rFonts w:ascii="Cambria"/>
                <w:sz w:val="22"/>
              </w:rPr>
              <w:t>summaryRight </w:t>
            </w:r>
            <w:r>
              <w:rPr>
                <w:sz w:val="22"/>
              </w:rPr>
              <w:t>attributes for detailed information.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1"/>
              <w:rPr>
                <w:sz w:val="22"/>
              </w:rPr>
            </w:pPr>
            <w:r>
              <w:rPr>
                <w:sz w:val="22"/>
              </w:rPr>
              <w:t>datatype.</w:t>
            </w:r>
          </w:p>
        </w:tc>
      </w:tr>
      <w:tr>
        <w:trPr>
          <w:trHeight w:val="1159" w:hRule="atLeast"/>
        </w:trPr>
        <w:tc>
          <w:tcPr>
            <w:tcW w:w="2062" w:type="dxa"/>
          </w:tcPr>
          <w:p>
            <w:pPr>
              <w:pStyle w:val="TableParagraph"/>
              <w:rPr>
                <w:sz w:val="22"/>
              </w:rPr>
            </w:pPr>
            <w:r>
              <w:rPr>
                <w:rFonts w:ascii="Cambria"/>
                <w:sz w:val="22"/>
              </w:rPr>
              <w:t>ph </w:t>
            </w:r>
            <w:r>
              <w:rPr>
                <w:sz w:val="22"/>
              </w:rPr>
              <w:t>(Show Phonetic)</w:t>
            </w:r>
          </w:p>
        </w:tc>
        <w:tc>
          <w:tcPr>
            <w:tcW w:w="8250" w:type="dxa"/>
          </w:tcPr>
          <w:p>
            <w:pPr>
              <w:pStyle w:val="TableParagraph"/>
              <w:rPr>
                <w:sz w:val="22"/>
              </w:rPr>
            </w:pPr>
            <w:r>
              <w:rPr>
                <w:sz w:val="22"/>
              </w:rPr>
              <w:t>1 if the row should show phonetic.</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rPr>
                <w:sz w:val="22"/>
              </w:rPr>
            </w:pPr>
            <w:r>
              <w:rPr>
                <w:rFonts w:ascii="Cambria"/>
                <w:sz w:val="22"/>
              </w:rPr>
              <w:t>r </w:t>
            </w:r>
            <w:r>
              <w:rPr>
                <w:sz w:val="22"/>
              </w:rPr>
              <w:t>(Row Index)</w:t>
            </w:r>
          </w:p>
        </w:tc>
        <w:tc>
          <w:tcPr>
            <w:tcW w:w="8250" w:type="dxa"/>
          </w:tcPr>
          <w:p>
            <w:pPr>
              <w:pStyle w:val="TableParagraph"/>
              <w:spacing w:before="42"/>
              <w:rPr>
                <w:sz w:val="22"/>
              </w:rPr>
            </w:pPr>
            <w:r>
              <w:rPr>
                <w:sz w:val="22"/>
              </w:rPr>
              <w:t>Row index. Indicates to which row in the sheet this &lt;row&gt; definition corresponds.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54" w:hRule="atLeast"/>
        </w:trPr>
        <w:tc>
          <w:tcPr>
            <w:tcW w:w="2062" w:type="dxa"/>
          </w:tcPr>
          <w:p>
            <w:pPr>
              <w:pStyle w:val="TableParagraph"/>
              <w:rPr>
                <w:sz w:val="22"/>
              </w:rPr>
            </w:pPr>
            <w:r>
              <w:rPr>
                <w:rFonts w:ascii="Cambria"/>
                <w:sz w:val="22"/>
              </w:rPr>
              <w:t>s </w:t>
            </w:r>
            <w:r>
              <w:rPr>
                <w:sz w:val="22"/>
              </w:rPr>
              <w:t>(Style Index)</w:t>
            </w:r>
          </w:p>
        </w:tc>
        <w:tc>
          <w:tcPr>
            <w:tcW w:w="8250" w:type="dxa"/>
          </w:tcPr>
          <w:p>
            <w:pPr>
              <w:pStyle w:val="TableParagraph"/>
              <w:rPr>
                <w:sz w:val="22"/>
              </w:rPr>
            </w:pPr>
            <w:r>
              <w:rPr>
                <w:sz w:val="22"/>
              </w:rPr>
              <w:t>Index to style record for the row (only applied if customFormat attribute is '1')</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360" w:hRule="atLeast"/>
        </w:trPr>
        <w:tc>
          <w:tcPr>
            <w:tcW w:w="2062" w:type="dxa"/>
          </w:tcPr>
          <w:p>
            <w:pPr>
              <w:pStyle w:val="TableParagraph"/>
              <w:rPr>
                <w:sz w:val="22"/>
              </w:rPr>
            </w:pPr>
            <w:r>
              <w:rPr>
                <w:rFonts w:ascii="Cambria"/>
                <w:sz w:val="22"/>
              </w:rPr>
              <w:t>spans </w:t>
            </w:r>
            <w:r>
              <w:rPr>
                <w:sz w:val="22"/>
              </w:rPr>
              <w:t>(Spans)</w:t>
            </w:r>
          </w:p>
        </w:tc>
        <w:tc>
          <w:tcPr>
            <w:tcW w:w="8250" w:type="dxa"/>
          </w:tcPr>
          <w:p>
            <w:pPr>
              <w:pStyle w:val="TableParagraph"/>
              <w:ind w:right="396"/>
              <w:rPr>
                <w:sz w:val="22"/>
              </w:rPr>
            </w:pPr>
            <w:r>
              <w:rPr>
                <w:sz w:val="22"/>
              </w:rPr>
              <w:t>Optimization only, and not required. Specifies the range of non-empty columns (in the format X:Y) for the block of rows to which the current row belongs. To achieve the optimization, span attribute values in a single block should be the same.</w:t>
            </w:r>
          </w:p>
          <w:p>
            <w:pPr>
              <w:pStyle w:val="TableParagraph"/>
              <w:spacing w:before="2"/>
              <w:ind w:left="0"/>
              <w:rPr>
                <w:rFonts w:ascii="Times New Roman"/>
                <w:sz w:val="23"/>
              </w:rPr>
            </w:pPr>
          </w:p>
          <w:p>
            <w:pPr>
              <w:pStyle w:val="TableParagraph"/>
              <w:spacing w:before="0"/>
              <w:rPr>
                <w:sz w:val="22"/>
              </w:rPr>
            </w:pPr>
            <w:r>
              <w:rPr>
                <w:sz w:val="22"/>
              </w:rPr>
              <w:t>There are 16 rows per block, beginning with the first row.</w:t>
            </w:r>
          </w:p>
          <w:p>
            <w:pPr>
              <w:pStyle w:val="TableParagraph"/>
              <w:spacing w:before="5"/>
              <w:ind w:left="0"/>
              <w:rPr>
                <w:rFonts w:ascii="Times New Roman"/>
                <w:sz w:val="23"/>
              </w:rPr>
            </w:pPr>
          </w:p>
          <w:p>
            <w:pPr>
              <w:pStyle w:val="TableParagraph"/>
              <w:spacing w:before="0"/>
              <w:ind w:right="505"/>
              <w:rPr>
                <w:sz w:val="22"/>
              </w:rPr>
            </w:pPr>
            <w:r>
              <w:rPr>
                <w:sz w:val="22"/>
              </w:rPr>
              <w:t>[</w:t>
            </w:r>
            <w:r>
              <w:rPr>
                <w:i/>
                <w:sz w:val="22"/>
              </w:rPr>
              <w:t>Note</w:t>
            </w:r>
            <w:r>
              <w:rPr>
                <w:sz w:val="22"/>
              </w:rPr>
              <w:t>: this is an optimization, and is purely optional. Different span values within the same row block is allowed. Not writing the span value at all is also allowed. </w:t>
            </w:r>
            <w:r>
              <w:rPr>
                <w:i/>
                <w:sz w:val="22"/>
              </w:rPr>
              <w:t>end note</w:t>
            </w:r>
            <w:r>
              <w:rPr>
                <w:sz w:val="22"/>
              </w:rPr>
              <w:t>]</w:t>
            </w:r>
          </w:p>
          <w:p>
            <w:pPr>
              <w:pStyle w:val="TableParagraph"/>
              <w:spacing w:before="5"/>
              <w:ind w:left="0"/>
              <w:rPr>
                <w:rFonts w:ascii="Times New Roman"/>
                <w:sz w:val="23"/>
              </w:rPr>
            </w:pPr>
          </w:p>
          <w:p>
            <w:pPr>
              <w:pStyle w:val="TableParagraph"/>
              <w:spacing w:before="0"/>
              <w:rPr>
                <w:sz w:val="22"/>
              </w:rPr>
            </w:pPr>
            <w:r>
              <w:rPr>
                <w:sz w:val="22"/>
              </w:rPr>
              <w:t>Blank rows are not required to write out span values.</w:t>
            </w:r>
          </w:p>
          <w:p>
            <w:pPr>
              <w:pStyle w:val="TableParagraph"/>
              <w:spacing w:before="2"/>
              <w:ind w:left="0"/>
              <w:rPr>
                <w:rFonts w:ascii="Times New Roman"/>
                <w:sz w:val="23"/>
              </w:rPr>
            </w:pPr>
          </w:p>
          <w:p>
            <w:pPr>
              <w:pStyle w:val="TableParagraph"/>
              <w:spacing w:before="0"/>
              <w:ind w:right="106"/>
              <w:rPr>
                <w:sz w:val="22"/>
              </w:rPr>
            </w:pPr>
            <w:r>
              <w:rPr>
                <w:sz w:val="22"/>
              </w:rPr>
              <w:t>[</w:t>
            </w:r>
            <w:r>
              <w:rPr>
                <w:i/>
                <w:sz w:val="22"/>
              </w:rPr>
              <w:t>Example</w:t>
            </w:r>
            <w:r>
              <w:rPr>
                <w:sz w:val="22"/>
              </w:rPr>
              <w:t>: If cells F8, E9, and D10 have data in them and the rest of the sheet is empty, then for those three rows (8,9, and 10), the spans value should each be "4:6":</w:t>
            </w:r>
          </w:p>
          <w:p>
            <w:pPr>
              <w:pStyle w:val="TableParagraph"/>
              <w:spacing w:before="7"/>
              <w:ind w:left="0"/>
              <w:rPr>
                <w:rFonts w:ascii="Times New Roman"/>
                <w:sz w:val="23"/>
              </w:rPr>
            </w:pPr>
          </w:p>
          <w:p>
            <w:pPr>
              <w:pStyle w:val="TableParagraph"/>
              <w:spacing w:line="257" w:lineRule="exact" w:before="1"/>
              <w:ind w:left="403"/>
              <w:rPr>
                <w:rFonts w:ascii="Consolas"/>
                <w:sz w:val="22"/>
              </w:rPr>
            </w:pPr>
            <w:r>
              <w:rPr>
                <w:rFonts w:ascii="Consolas"/>
                <w:sz w:val="22"/>
              </w:rPr>
              <w:t>&lt;sheetData&gt;</w:t>
            </w:r>
          </w:p>
          <w:p>
            <w:pPr>
              <w:pStyle w:val="TableParagraph"/>
              <w:spacing w:line="257" w:lineRule="exact" w:before="0"/>
              <w:ind w:left="645"/>
              <w:rPr>
                <w:rFonts w:ascii="Consolas"/>
                <w:sz w:val="22"/>
              </w:rPr>
            </w:pPr>
            <w:r>
              <w:rPr>
                <w:rFonts w:ascii="Consolas"/>
                <w:sz w:val="22"/>
              </w:rPr>
              <w:t>&lt;row r="8" spans="4:6"&gt;</w:t>
            </w:r>
          </w:p>
          <w:p>
            <w:pPr>
              <w:pStyle w:val="TableParagraph"/>
              <w:spacing w:line="257" w:lineRule="exact" w:before="1"/>
              <w:ind w:left="0" w:right="6140"/>
              <w:jc w:val="right"/>
              <w:rPr>
                <w:rFonts w:ascii="Consolas"/>
                <w:sz w:val="22"/>
              </w:rPr>
            </w:pPr>
            <w:r>
              <w:rPr>
                <w:rFonts w:ascii="Consolas"/>
                <w:sz w:val="22"/>
              </w:rPr>
              <w:t>&lt;c</w:t>
            </w:r>
            <w:r>
              <w:rPr>
                <w:rFonts w:ascii="Consolas"/>
                <w:spacing w:val="-6"/>
                <w:sz w:val="22"/>
              </w:rPr>
              <w:t> </w:t>
            </w:r>
            <w:r>
              <w:rPr>
                <w:rFonts w:ascii="Consolas"/>
                <w:sz w:val="22"/>
              </w:rPr>
              <w:t>r="F8"&gt;</w:t>
            </w:r>
          </w:p>
          <w:p>
            <w:pPr>
              <w:pStyle w:val="TableParagraph"/>
              <w:spacing w:line="257" w:lineRule="exact" w:before="0"/>
              <w:ind w:left="0" w:right="6139"/>
              <w:jc w:val="right"/>
              <w:rPr>
                <w:rFonts w:ascii="Consolas"/>
                <w:sz w:val="22"/>
              </w:rPr>
            </w:pPr>
            <w:r>
              <w:rPr>
                <w:rFonts w:ascii="Consolas"/>
                <w:spacing w:val="-1"/>
                <w:sz w:val="22"/>
              </w:rPr>
              <w:t>&lt;v&gt;1&lt;/v&gt;</w:t>
            </w:r>
          </w:p>
          <w:p>
            <w:pPr>
              <w:pStyle w:val="TableParagraph"/>
              <w:spacing w:line="257" w:lineRule="exact" w:before="0"/>
              <w:ind w:left="0" w:right="6866"/>
              <w:jc w:val="right"/>
              <w:rPr>
                <w:rFonts w:ascii="Consolas"/>
                <w:sz w:val="22"/>
              </w:rPr>
            </w:pPr>
            <w:r>
              <w:rPr>
                <w:rFonts w:ascii="Consolas"/>
                <w:spacing w:val="-1"/>
                <w:sz w:val="22"/>
              </w:rPr>
              <w:t>&lt;/c&gt;</w:t>
            </w:r>
          </w:p>
          <w:p>
            <w:pPr>
              <w:pStyle w:val="TableParagraph"/>
              <w:spacing w:line="257" w:lineRule="exact" w:before="2"/>
              <w:ind w:left="0" w:right="6867"/>
              <w:jc w:val="right"/>
              <w:rPr>
                <w:rFonts w:ascii="Consolas"/>
                <w:sz w:val="22"/>
              </w:rPr>
            </w:pPr>
            <w:r>
              <w:rPr>
                <w:rFonts w:ascii="Consolas"/>
                <w:spacing w:val="-1"/>
                <w:sz w:val="22"/>
              </w:rPr>
              <w:t>&lt;/row&gt;</w:t>
            </w:r>
          </w:p>
          <w:p>
            <w:pPr>
              <w:pStyle w:val="TableParagraph"/>
              <w:spacing w:line="257" w:lineRule="exact" w:before="0"/>
              <w:ind w:left="645"/>
              <w:rPr>
                <w:rFonts w:ascii="Consolas"/>
                <w:sz w:val="22"/>
              </w:rPr>
            </w:pPr>
            <w:r>
              <w:rPr>
                <w:rFonts w:ascii="Consolas"/>
                <w:sz w:val="22"/>
              </w:rPr>
              <w:t>&lt;row r="9" spans="4:6"&gt;</w:t>
            </w:r>
          </w:p>
          <w:p>
            <w:pPr>
              <w:pStyle w:val="TableParagraph"/>
              <w:spacing w:line="257" w:lineRule="exact" w:before="0"/>
              <w:ind w:left="0" w:right="6140"/>
              <w:jc w:val="right"/>
              <w:rPr>
                <w:rFonts w:ascii="Consolas"/>
                <w:sz w:val="22"/>
              </w:rPr>
            </w:pPr>
            <w:r>
              <w:rPr>
                <w:rFonts w:ascii="Consolas"/>
                <w:sz w:val="22"/>
              </w:rPr>
              <w:t>&lt;c</w:t>
            </w:r>
            <w:r>
              <w:rPr>
                <w:rFonts w:ascii="Consolas"/>
                <w:spacing w:val="-6"/>
                <w:sz w:val="22"/>
              </w:rPr>
              <w:t> </w:t>
            </w:r>
            <w:r>
              <w:rPr>
                <w:rFonts w:ascii="Consolas"/>
                <w:sz w:val="22"/>
              </w:rPr>
              <w:t>r="E9"&gt;</w:t>
            </w:r>
          </w:p>
          <w:p>
            <w:pPr>
              <w:pStyle w:val="TableParagraph"/>
              <w:spacing w:line="257" w:lineRule="exact" w:before="2"/>
              <w:ind w:left="0" w:right="6139"/>
              <w:jc w:val="right"/>
              <w:rPr>
                <w:rFonts w:ascii="Consolas"/>
                <w:sz w:val="22"/>
              </w:rPr>
            </w:pPr>
            <w:r>
              <w:rPr>
                <w:rFonts w:ascii="Consolas"/>
                <w:spacing w:val="-1"/>
                <w:sz w:val="22"/>
              </w:rPr>
              <w:t>&lt;v&gt;2&lt;/v&gt;</w:t>
            </w:r>
          </w:p>
          <w:p>
            <w:pPr>
              <w:pStyle w:val="TableParagraph"/>
              <w:spacing w:line="257" w:lineRule="exact" w:before="0"/>
              <w:ind w:left="0" w:right="6866"/>
              <w:jc w:val="right"/>
              <w:rPr>
                <w:rFonts w:ascii="Consolas"/>
                <w:sz w:val="22"/>
              </w:rPr>
            </w:pPr>
            <w:r>
              <w:rPr>
                <w:rFonts w:ascii="Consolas"/>
                <w:spacing w:val="-1"/>
                <w:sz w:val="22"/>
              </w:rPr>
              <w:t>&lt;/c&gt;</w:t>
            </w:r>
          </w:p>
          <w:p>
            <w:pPr>
              <w:pStyle w:val="TableParagraph"/>
              <w:spacing w:line="257" w:lineRule="exact" w:before="0"/>
              <w:ind w:left="0" w:right="6867"/>
              <w:jc w:val="right"/>
              <w:rPr>
                <w:rFonts w:ascii="Consolas"/>
                <w:sz w:val="22"/>
              </w:rPr>
            </w:pPr>
            <w:r>
              <w:rPr>
                <w:rFonts w:ascii="Consolas"/>
                <w:spacing w:val="-1"/>
                <w:sz w:val="22"/>
              </w:rPr>
              <w:t>&lt;/row&gt;</w:t>
            </w:r>
          </w:p>
          <w:p>
            <w:pPr>
              <w:pStyle w:val="TableParagraph"/>
              <w:spacing w:line="257" w:lineRule="exact" w:before="1"/>
              <w:ind w:left="645"/>
              <w:rPr>
                <w:rFonts w:ascii="Consolas"/>
                <w:sz w:val="22"/>
              </w:rPr>
            </w:pPr>
            <w:r>
              <w:rPr>
                <w:rFonts w:ascii="Consolas"/>
                <w:sz w:val="22"/>
              </w:rPr>
              <w:t>&lt;row r="10" spans="4:6"&gt;</w:t>
            </w:r>
          </w:p>
          <w:p>
            <w:pPr>
              <w:pStyle w:val="TableParagraph"/>
              <w:spacing w:line="257" w:lineRule="exact" w:before="0"/>
              <w:ind w:left="887"/>
              <w:rPr>
                <w:rFonts w:ascii="Consolas"/>
                <w:sz w:val="22"/>
              </w:rPr>
            </w:pPr>
            <w:r>
              <w:rPr>
                <w:rFonts w:ascii="Consolas"/>
                <w:sz w:val="22"/>
              </w:rPr>
              <w:t>&lt;c r="D10"&gt;</w:t>
            </w:r>
          </w:p>
          <w:p>
            <w:pPr>
              <w:pStyle w:val="TableParagraph"/>
              <w:spacing w:line="257" w:lineRule="exact" w:before="0"/>
              <w:ind w:left="1130"/>
              <w:rPr>
                <w:rFonts w:ascii="Consolas"/>
                <w:sz w:val="22"/>
              </w:rPr>
            </w:pPr>
            <w:r>
              <w:rPr>
                <w:rFonts w:ascii="Consolas"/>
                <w:sz w:val="22"/>
              </w:rPr>
              <w:t>&lt;v&gt;3&lt;/v&gt;</w:t>
            </w:r>
          </w:p>
          <w:p>
            <w:pPr>
              <w:pStyle w:val="TableParagraph"/>
              <w:spacing w:line="257" w:lineRule="exact" w:before="2"/>
              <w:ind w:left="0" w:right="6866"/>
              <w:jc w:val="right"/>
              <w:rPr>
                <w:rFonts w:ascii="Consolas"/>
                <w:sz w:val="22"/>
              </w:rPr>
            </w:pPr>
            <w:r>
              <w:rPr>
                <w:rFonts w:ascii="Consolas"/>
                <w:spacing w:val="-1"/>
                <w:sz w:val="22"/>
              </w:rPr>
              <w:t>&lt;/c&gt;</w:t>
            </w:r>
          </w:p>
          <w:p>
            <w:pPr>
              <w:pStyle w:val="TableParagraph"/>
              <w:spacing w:line="257" w:lineRule="exact" w:before="0"/>
              <w:ind w:left="0" w:right="6867"/>
              <w:jc w:val="right"/>
              <w:rPr>
                <w:rFonts w:ascii="Consolas"/>
                <w:sz w:val="22"/>
              </w:rPr>
            </w:pPr>
            <w:r>
              <w:rPr>
                <w:rFonts w:ascii="Consolas"/>
                <w:spacing w:val="-1"/>
                <w:sz w:val="22"/>
              </w:rPr>
              <w:t>&lt;/row&gt;</w:t>
            </w:r>
          </w:p>
          <w:p>
            <w:pPr>
              <w:pStyle w:val="TableParagraph"/>
              <w:spacing w:line="257" w:lineRule="exact" w:before="0"/>
              <w:ind w:left="403"/>
              <w:rPr>
                <w:rFonts w:ascii="Consolas"/>
                <w:sz w:val="22"/>
              </w:rPr>
            </w:pPr>
            <w:r>
              <w:rPr>
                <w:rFonts w:ascii="Consolas"/>
                <w:sz w:val="22"/>
              </w:rPr>
              <w:t>&lt;/sheetData&gt;</w:t>
            </w:r>
          </w:p>
          <w:p>
            <w:pPr>
              <w:pStyle w:val="TableParagraph"/>
              <w:spacing w:before="3"/>
              <w:ind w:left="0"/>
              <w:rPr>
                <w:rFonts w:ascii="Times New Roman"/>
                <w:sz w:val="23"/>
              </w:rPr>
            </w:pPr>
          </w:p>
          <w:p>
            <w:pPr>
              <w:pStyle w:val="TableParagraph"/>
              <w:spacing w:before="1"/>
              <w:ind w:right="437"/>
              <w:rPr>
                <w:sz w:val="22"/>
              </w:rPr>
            </w:pPr>
            <w:r>
              <w:rPr>
                <w:sz w:val="22"/>
              </w:rPr>
              <w:t>If cells A1 and J10 have data in them and the rest of the sheet is empty, then the rows should be written like this:</w:t>
            </w:r>
          </w:p>
          <w:p>
            <w:pPr>
              <w:pStyle w:val="TableParagraph"/>
              <w:spacing w:before="5"/>
              <w:ind w:left="0"/>
              <w:rPr>
                <w:rFonts w:ascii="Times New Roman"/>
                <w:sz w:val="23"/>
              </w:rPr>
            </w:pPr>
          </w:p>
          <w:p>
            <w:pPr>
              <w:pStyle w:val="TableParagraph"/>
              <w:spacing w:before="0"/>
              <w:ind w:left="403"/>
              <w:rPr>
                <w:rFonts w:ascii="Consolas"/>
                <w:sz w:val="22"/>
              </w:rPr>
            </w:pPr>
            <w:r>
              <w:rPr>
                <w:rFonts w:ascii="Consolas"/>
                <w:sz w:val="22"/>
              </w:rPr>
              <w:t>&lt;sheetData&gt;</w:t>
            </w:r>
          </w:p>
          <w:p>
            <w:pPr>
              <w:pStyle w:val="TableParagraph"/>
              <w:spacing w:line="257" w:lineRule="exact" w:before="1"/>
              <w:ind w:left="645"/>
              <w:rPr>
                <w:rFonts w:ascii="Consolas"/>
                <w:sz w:val="22"/>
              </w:rPr>
            </w:pPr>
            <w:r>
              <w:rPr>
                <w:rFonts w:ascii="Consolas"/>
                <w:sz w:val="22"/>
              </w:rPr>
              <w:t>&lt;row r="1" spans="1:10"&gt;</w:t>
            </w:r>
          </w:p>
          <w:p>
            <w:pPr>
              <w:pStyle w:val="TableParagraph"/>
              <w:spacing w:line="257" w:lineRule="exact" w:before="0"/>
              <w:ind w:left="0" w:right="6140"/>
              <w:jc w:val="right"/>
              <w:rPr>
                <w:rFonts w:ascii="Consolas"/>
                <w:sz w:val="22"/>
              </w:rPr>
            </w:pPr>
            <w:r>
              <w:rPr>
                <w:rFonts w:ascii="Consolas"/>
                <w:sz w:val="22"/>
              </w:rPr>
              <w:t>&lt;c</w:t>
            </w:r>
            <w:r>
              <w:rPr>
                <w:rFonts w:ascii="Consolas"/>
                <w:spacing w:val="-6"/>
                <w:sz w:val="22"/>
              </w:rPr>
              <w:t> </w:t>
            </w:r>
            <w:r>
              <w:rPr>
                <w:rFonts w:ascii="Consolas"/>
                <w:sz w:val="22"/>
              </w:rPr>
              <w:t>r="A1"&gt;</w:t>
            </w:r>
          </w:p>
          <w:p>
            <w:pPr>
              <w:pStyle w:val="TableParagraph"/>
              <w:spacing w:line="257" w:lineRule="exact" w:before="0"/>
              <w:ind w:left="0" w:right="6139"/>
              <w:jc w:val="right"/>
              <w:rPr>
                <w:rFonts w:ascii="Consolas"/>
                <w:sz w:val="22"/>
              </w:rPr>
            </w:pPr>
            <w:r>
              <w:rPr>
                <w:rFonts w:ascii="Consolas"/>
                <w:spacing w:val="-1"/>
                <w:sz w:val="22"/>
              </w:rPr>
              <w:t>&lt;v&gt;1&lt;/v&gt;</w:t>
            </w:r>
          </w:p>
          <w:p>
            <w:pPr>
              <w:pStyle w:val="TableParagraph"/>
              <w:spacing w:line="257" w:lineRule="exact" w:before="2"/>
              <w:ind w:left="0" w:right="6866"/>
              <w:jc w:val="right"/>
              <w:rPr>
                <w:rFonts w:ascii="Consolas"/>
                <w:sz w:val="22"/>
              </w:rPr>
            </w:pPr>
            <w:r>
              <w:rPr>
                <w:rFonts w:ascii="Consolas"/>
                <w:spacing w:val="-1"/>
                <w:sz w:val="22"/>
              </w:rPr>
              <w:t>&lt;/c&gt;</w:t>
            </w:r>
          </w:p>
          <w:p>
            <w:pPr>
              <w:pStyle w:val="TableParagraph"/>
              <w:spacing w:line="257" w:lineRule="exact" w:before="0"/>
              <w:ind w:left="0" w:right="6867"/>
              <w:jc w:val="right"/>
              <w:rPr>
                <w:rFonts w:ascii="Consolas"/>
                <w:sz w:val="22"/>
              </w:rPr>
            </w:pPr>
            <w:r>
              <w:rPr>
                <w:rFonts w:ascii="Consolas"/>
                <w:spacing w:val="-1"/>
                <w:sz w:val="22"/>
              </w:rPr>
              <w:t>&lt;/row&gt;</w:t>
            </w:r>
          </w:p>
          <w:p>
            <w:pPr>
              <w:pStyle w:val="TableParagraph"/>
              <w:spacing w:line="257" w:lineRule="exact" w:before="0"/>
              <w:ind w:left="645"/>
              <w:rPr>
                <w:rFonts w:ascii="Consolas"/>
                <w:sz w:val="22"/>
              </w:rPr>
            </w:pPr>
            <w:r>
              <w:rPr>
                <w:rFonts w:ascii="Consolas"/>
                <w:sz w:val="22"/>
              </w:rPr>
              <w:t>&lt;row r="10" spans="1:10"&gt;</w:t>
            </w:r>
          </w:p>
          <w:p>
            <w:pPr>
              <w:pStyle w:val="TableParagraph"/>
              <w:spacing w:before="2"/>
              <w:ind w:left="887"/>
              <w:rPr>
                <w:rFonts w:ascii="Consolas"/>
                <w:sz w:val="22"/>
              </w:rPr>
            </w:pPr>
            <w:r>
              <w:rPr>
                <w:rFonts w:ascii="Consolas"/>
                <w:sz w:val="22"/>
              </w:rPr>
              <w:t>&lt;c r="J10"&gt;</w:t>
            </w:r>
          </w:p>
        </w:tc>
      </w:tr>
    </w:tbl>
    <w:p>
      <w:pPr>
        <w:spacing w:after="0"/>
        <w:rPr>
          <w:rFonts w:ascii="Consolas"/>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459" w:hRule="atLeast"/>
        </w:trPr>
        <w:tc>
          <w:tcPr>
            <w:tcW w:w="2062" w:type="dxa"/>
          </w:tcPr>
          <w:p>
            <w:pPr>
              <w:pStyle w:val="TableParagraph"/>
              <w:spacing w:before="0"/>
              <w:ind w:left="0"/>
              <w:rPr>
                <w:rFonts w:ascii="Times New Roman"/>
                <w:sz w:val="22"/>
              </w:rPr>
            </w:pPr>
          </w:p>
        </w:tc>
        <w:tc>
          <w:tcPr>
            <w:tcW w:w="8250" w:type="dxa"/>
          </w:tcPr>
          <w:p>
            <w:pPr>
              <w:pStyle w:val="TableParagraph"/>
              <w:spacing w:line="257" w:lineRule="exact" w:before="42"/>
              <w:ind w:left="1130"/>
              <w:rPr>
                <w:rFonts w:ascii="Consolas"/>
                <w:sz w:val="22"/>
              </w:rPr>
            </w:pPr>
            <w:r>
              <w:rPr>
                <w:rFonts w:ascii="Consolas"/>
                <w:sz w:val="22"/>
              </w:rPr>
              <w:t>&lt;v&gt;2&lt;/v&gt;</w:t>
            </w:r>
          </w:p>
          <w:p>
            <w:pPr>
              <w:pStyle w:val="TableParagraph"/>
              <w:spacing w:line="257" w:lineRule="exact" w:before="0"/>
              <w:ind w:left="0" w:right="6866"/>
              <w:jc w:val="right"/>
              <w:rPr>
                <w:rFonts w:ascii="Consolas"/>
                <w:sz w:val="22"/>
              </w:rPr>
            </w:pPr>
            <w:r>
              <w:rPr>
                <w:rFonts w:ascii="Consolas"/>
                <w:spacing w:val="-1"/>
                <w:sz w:val="22"/>
              </w:rPr>
              <w:t>&lt;/c&gt;</w:t>
            </w:r>
          </w:p>
          <w:p>
            <w:pPr>
              <w:pStyle w:val="TableParagraph"/>
              <w:spacing w:line="257" w:lineRule="exact" w:before="2"/>
              <w:ind w:left="0" w:right="6867"/>
              <w:jc w:val="right"/>
              <w:rPr>
                <w:rFonts w:ascii="Consolas"/>
                <w:sz w:val="22"/>
              </w:rPr>
            </w:pPr>
            <w:r>
              <w:rPr>
                <w:rFonts w:ascii="Consolas"/>
                <w:spacing w:val="-1"/>
                <w:sz w:val="22"/>
              </w:rPr>
              <w:t>&lt;/row&gt;</w:t>
            </w:r>
          </w:p>
          <w:p>
            <w:pPr>
              <w:pStyle w:val="TableParagraph"/>
              <w:spacing w:line="257" w:lineRule="exact" w:before="0"/>
              <w:ind w:left="403"/>
              <w:rPr>
                <w:rFonts w:ascii="Consolas"/>
                <w:sz w:val="22"/>
              </w:rPr>
            </w:pPr>
            <w:r>
              <w:rPr>
                <w:rFonts w:ascii="Consolas"/>
                <w:sz w:val="22"/>
              </w:rPr>
              <w:t>&lt;/sheetData&gt;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ind w:right="798"/>
              <w:rPr>
                <w:sz w:val="22"/>
              </w:rPr>
            </w:pPr>
            <w:r>
              <w:rPr>
                <w:sz w:val="22"/>
              </w:rPr>
              <w:t>The possible values for this attribute are defined by the </w:t>
            </w:r>
            <w:r>
              <w:rPr>
                <w:rFonts w:ascii="Cambria" w:hAnsi="Cambria"/>
                <w:sz w:val="22"/>
              </w:rPr>
              <w:t>ST_CellSpans </w:t>
            </w:r>
            <w:r>
              <w:rPr>
                <w:sz w:val="22"/>
              </w:rPr>
              <w:t>simple type </w:t>
            </w:r>
            <w:hyperlink w:history="true" w:anchor="_bookmark831">
              <w:r>
                <w:rPr>
                  <w:sz w:val="22"/>
                </w:rPr>
                <w:t>(§18.18.9</w:t>
              </w:r>
            </w:hyperlink>
            <w:r>
              <w:rPr>
                <w:sz w:val="22"/>
              </w:rPr>
              <w:t>).</w:t>
            </w:r>
          </w:p>
        </w:tc>
      </w:tr>
      <w:tr>
        <w:trPr>
          <w:trHeight w:val="5830" w:hRule="atLeast"/>
        </w:trPr>
        <w:tc>
          <w:tcPr>
            <w:tcW w:w="2062" w:type="dxa"/>
          </w:tcPr>
          <w:p>
            <w:pPr>
              <w:pStyle w:val="TableParagraph"/>
              <w:ind w:right="540"/>
              <w:rPr>
                <w:sz w:val="22"/>
              </w:rPr>
            </w:pPr>
            <w:r>
              <w:rPr>
                <w:rFonts w:ascii="Cambria"/>
                <w:sz w:val="22"/>
              </w:rPr>
              <w:t>thickBot </w:t>
            </w:r>
            <w:r>
              <w:rPr>
                <w:sz w:val="22"/>
              </w:rPr>
              <w:t>(Thick Bottom)</w:t>
            </w:r>
          </w:p>
        </w:tc>
        <w:tc>
          <w:tcPr>
            <w:tcW w:w="8250" w:type="dxa"/>
          </w:tcPr>
          <w:p>
            <w:pPr>
              <w:pStyle w:val="TableParagraph"/>
              <w:ind w:right="239"/>
              <w:rPr>
                <w:sz w:val="22"/>
              </w:rPr>
            </w:pPr>
            <w:r>
              <w:rPr>
                <w:sz w:val="22"/>
              </w:rPr>
              <w:t>1 if any cell in the row has a medium or thick bottom border, or if any cell in the row directly below the current row has a thick top border. When </w:t>
            </w:r>
            <w:r>
              <w:rPr>
                <w:rFonts w:ascii="Consolas"/>
                <w:sz w:val="20"/>
              </w:rPr>
              <w:t>true </w:t>
            </w:r>
            <w:r>
              <w:rPr>
                <w:sz w:val="22"/>
              </w:rPr>
              <w:t>and </w:t>
            </w:r>
            <w:r>
              <w:rPr>
                <w:rFonts w:ascii="Cambria"/>
                <w:sz w:val="22"/>
              </w:rPr>
              <w:t>customHeight </w:t>
            </w:r>
            <w:r>
              <w:rPr>
                <w:sz w:val="22"/>
              </w:rPr>
              <w:t>is </w:t>
            </w:r>
            <w:r>
              <w:rPr>
                <w:rFonts w:ascii="Consolas"/>
                <w:sz w:val="20"/>
              </w:rPr>
              <w:t>false</w:t>
            </w:r>
            <w:r>
              <w:rPr>
                <w:sz w:val="22"/>
              </w:rPr>
              <w:t>, this flag means that the row height has been adjusted higher by .75 points of the normal style font height. This also means that if the row no longer contains these borders, then the height is automatically re-adjusted down.</w:t>
            </w:r>
          </w:p>
          <w:p>
            <w:pPr>
              <w:pStyle w:val="TableParagraph"/>
              <w:spacing w:line="538" w:lineRule="exact" w:before="47"/>
              <w:ind w:right="1370"/>
              <w:rPr>
                <w:sz w:val="22"/>
              </w:rPr>
            </w:pPr>
            <w:r>
              <w:rPr>
                <w:sz w:val="22"/>
              </w:rPr>
              <w:t>This adjustment is in addition to any adjustment of height due to </w:t>
            </w:r>
            <w:r>
              <w:rPr>
                <w:rFonts w:ascii="Cambria"/>
                <w:sz w:val="22"/>
              </w:rPr>
              <w:t>thickTop</w:t>
            </w:r>
            <w:r>
              <w:rPr>
                <w:sz w:val="22"/>
              </w:rPr>
              <w:t>. Medium borders are these enumeration values from the Styles Part:</w:t>
            </w:r>
          </w:p>
          <w:p>
            <w:pPr>
              <w:pStyle w:val="TableParagraph"/>
              <w:numPr>
                <w:ilvl w:val="0"/>
                <w:numId w:val="26"/>
              </w:numPr>
              <w:tabs>
                <w:tab w:pos="834" w:val="left" w:leader="none"/>
                <w:tab w:pos="835" w:val="left" w:leader="none"/>
              </w:tabs>
              <w:spacing w:line="232" w:lineRule="exact" w:before="0" w:after="0"/>
              <w:ind w:left="835" w:right="0" w:hanging="360"/>
              <w:jc w:val="left"/>
              <w:rPr>
                <w:sz w:val="22"/>
              </w:rPr>
            </w:pPr>
            <w:r>
              <w:rPr>
                <w:sz w:val="22"/>
              </w:rPr>
              <w:t>mediumDashDotDot</w:t>
            </w:r>
          </w:p>
          <w:p>
            <w:pPr>
              <w:pStyle w:val="TableParagraph"/>
              <w:numPr>
                <w:ilvl w:val="0"/>
                <w:numId w:val="26"/>
              </w:numPr>
              <w:tabs>
                <w:tab w:pos="834" w:val="left" w:leader="none"/>
                <w:tab w:pos="835" w:val="left" w:leader="none"/>
              </w:tabs>
              <w:spacing w:line="279" w:lineRule="exact" w:before="0" w:after="0"/>
              <w:ind w:left="835" w:right="0" w:hanging="360"/>
              <w:jc w:val="left"/>
              <w:rPr>
                <w:sz w:val="22"/>
              </w:rPr>
            </w:pPr>
            <w:r>
              <w:rPr>
                <w:sz w:val="22"/>
              </w:rPr>
              <w:t>slantDashDot</w:t>
            </w:r>
          </w:p>
          <w:p>
            <w:pPr>
              <w:pStyle w:val="TableParagraph"/>
              <w:numPr>
                <w:ilvl w:val="0"/>
                <w:numId w:val="26"/>
              </w:numPr>
              <w:tabs>
                <w:tab w:pos="834" w:val="left" w:leader="none"/>
                <w:tab w:pos="835" w:val="left" w:leader="none"/>
              </w:tabs>
              <w:spacing w:line="279" w:lineRule="exact" w:before="0" w:after="0"/>
              <w:ind w:left="835" w:right="0" w:hanging="360"/>
              <w:jc w:val="left"/>
              <w:rPr>
                <w:sz w:val="22"/>
              </w:rPr>
            </w:pPr>
            <w:r>
              <w:rPr>
                <w:sz w:val="22"/>
              </w:rPr>
              <w:t>mediumDashDot</w:t>
            </w:r>
          </w:p>
          <w:p>
            <w:pPr>
              <w:pStyle w:val="TableParagraph"/>
              <w:numPr>
                <w:ilvl w:val="0"/>
                <w:numId w:val="26"/>
              </w:numPr>
              <w:tabs>
                <w:tab w:pos="834" w:val="left" w:leader="none"/>
                <w:tab w:pos="835" w:val="left" w:leader="none"/>
              </w:tabs>
              <w:spacing w:line="240" w:lineRule="auto" w:before="1" w:after="0"/>
              <w:ind w:left="835" w:right="0" w:hanging="360"/>
              <w:jc w:val="left"/>
              <w:rPr>
                <w:sz w:val="22"/>
              </w:rPr>
            </w:pPr>
            <w:r>
              <w:rPr>
                <w:sz w:val="22"/>
              </w:rPr>
              <w:t>mediumDashed</w:t>
            </w:r>
          </w:p>
          <w:p>
            <w:pPr>
              <w:pStyle w:val="TableParagraph"/>
              <w:numPr>
                <w:ilvl w:val="0"/>
                <w:numId w:val="26"/>
              </w:numPr>
              <w:tabs>
                <w:tab w:pos="834" w:val="left" w:leader="none"/>
                <w:tab w:pos="835" w:val="left" w:leader="none"/>
              </w:tabs>
              <w:spacing w:line="240" w:lineRule="auto" w:before="1" w:after="0"/>
              <w:ind w:left="835" w:right="0" w:hanging="360"/>
              <w:jc w:val="left"/>
              <w:rPr>
                <w:sz w:val="22"/>
              </w:rPr>
            </w:pPr>
            <w:r>
              <w:rPr>
                <w:sz w:val="22"/>
              </w:rPr>
              <w:t>medium</w:t>
            </w:r>
          </w:p>
          <w:p>
            <w:pPr>
              <w:pStyle w:val="TableParagraph"/>
              <w:spacing w:before="0"/>
              <w:ind w:left="403"/>
              <w:rPr>
                <w:rFonts w:ascii="Symbol" w:hAnsi="Symbol"/>
                <w:sz w:val="22"/>
              </w:rPr>
            </w:pPr>
            <w:r>
              <w:rPr>
                <w:rFonts w:ascii="Symbol" w:hAnsi="Symbol"/>
                <w:w w:val="100"/>
                <w:sz w:val="22"/>
              </w:rPr>
              <w:t></w:t>
            </w:r>
          </w:p>
          <w:p>
            <w:pPr>
              <w:pStyle w:val="TableParagraph"/>
              <w:numPr>
                <w:ilvl w:val="0"/>
                <w:numId w:val="26"/>
              </w:numPr>
              <w:tabs>
                <w:tab w:pos="834" w:val="left" w:leader="none"/>
                <w:tab w:pos="835" w:val="left" w:leader="none"/>
              </w:tabs>
              <w:spacing w:line="280" w:lineRule="exact" w:before="11" w:after="0"/>
              <w:ind w:left="835" w:right="0" w:hanging="360"/>
              <w:jc w:val="left"/>
              <w:rPr>
                <w:sz w:val="22"/>
              </w:rPr>
            </w:pPr>
            <w:r>
              <w:rPr>
                <w:sz w:val="22"/>
              </w:rPr>
              <w:t>Thick borders are these enumeration values from the Styles</w:t>
            </w:r>
            <w:r>
              <w:rPr>
                <w:spacing w:val="-11"/>
                <w:sz w:val="22"/>
              </w:rPr>
              <w:t> </w:t>
            </w:r>
            <w:r>
              <w:rPr>
                <w:sz w:val="22"/>
              </w:rPr>
              <w:t>Part:</w:t>
            </w:r>
          </w:p>
          <w:p>
            <w:pPr>
              <w:pStyle w:val="TableParagraph"/>
              <w:numPr>
                <w:ilvl w:val="0"/>
                <w:numId w:val="26"/>
              </w:numPr>
              <w:tabs>
                <w:tab w:pos="834" w:val="left" w:leader="none"/>
                <w:tab w:pos="835" w:val="left" w:leader="none"/>
              </w:tabs>
              <w:spacing w:line="280" w:lineRule="exact" w:before="0" w:after="0"/>
              <w:ind w:left="835" w:right="0" w:hanging="360"/>
              <w:jc w:val="left"/>
              <w:rPr>
                <w:sz w:val="22"/>
              </w:rPr>
            </w:pPr>
            <w:r>
              <w:rPr>
                <w:sz w:val="22"/>
              </w:rPr>
              <w:t>thick</w:t>
            </w:r>
          </w:p>
          <w:p>
            <w:pPr>
              <w:pStyle w:val="TableParagraph"/>
              <w:numPr>
                <w:ilvl w:val="0"/>
                <w:numId w:val="26"/>
              </w:numPr>
              <w:tabs>
                <w:tab w:pos="834" w:val="left" w:leader="none"/>
                <w:tab w:pos="835" w:val="left" w:leader="none"/>
              </w:tabs>
              <w:spacing w:line="240" w:lineRule="auto" w:before="1" w:after="0"/>
              <w:ind w:left="835" w:right="0" w:hanging="360"/>
              <w:jc w:val="left"/>
              <w:rPr>
                <w:sz w:val="22"/>
              </w:rPr>
            </w:pPr>
            <w:r>
              <w:rPr>
                <w:sz w:val="22"/>
              </w:rPr>
              <w:t>double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4173" w:hRule="atLeast"/>
        </w:trPr>
        <w:tc>
          <w:tcPr>
            <w:tcW w:w="2062" w:type="dxa"/>
          </w:tcPr>
          <w:p>
            <w:pPr>
              <w:pStyle w:val="TableParagraph"/>
              <w:spacing w:line="237" w:lineRule="auto" w:before="44"/>
              <w:ind w:right="108"/>
              <w:rPr>
                <w:sz w:val="22"/>
              </w:rPr>
            </w:pPr>
            <w:r>
              <w:rPr>
                <w:rFonts w:ascii="Cambria"/>
                <w:sz w:val="22"/>
              </w:rPr>
              <w:t>thickTop </w:t>
            </w:r>
            <w:r>
              <w:rPr>
                <w:sz w:val="22"/>
              </w:rPr>
              <w:t>(Thick Top Border)</w:t>
            </w:r>
          </w:p>
        </w:tc>
        <w:tc>
          <w:tcPr>
            <w:tcW w:w="8250" w:type="dxa"/>
          </w:tcPr>
          <w:p>
            <w:pPr>
              <w:pStyle w:val="TableParagraph"/>
              <w:spacing w:before="42"/>
              <w:ind w:right="110"/>
              <w:rPr>
                <w:sz w:val="22"/>
              </w:rPr>
            </w:pPr>
            <w:r>
              <w:rPr>
                <w:rFonts w:ascii="Consolas"/>
                <w:sz w:val="20"/>
              </w:rPr>
              <w:t>True </w:t>
            </w:r>
            <w:r>
              <w:rPr>
                <w:sz w:val="22"/>
              </w:rPr>
              <w:t>if the row has a medium or thick top border, or if any cell in the row directly above the current row has a thick bottom border. When </w:t>
            </w:r>
            <w:r>
              <w:rPr>
                <w:rFonts w:ascii="Consolas"/>
                <w:sz w:val="20"/>
              </w:rPr>
              <w:t>true </w:t>
            </w:r>
            <w:r>
              <w:rPr>
                <w:sz w:val="22"/>
              </w:rPr>
              <w:t>and </w:t>
            </w:r>
            <w:r>
              <w:rPr>
                <w:rFonts w:ascii="Cambria"/>
                <w:sz w:val="22"/>
              </w:rPr>
              <w:t>customHeight </w:t>
            </w:r>
            <w:r>
              <w:rPr>
                <w:sz w:val="22"/>
              </w:rPr>
              <w:t>is </w:t>
            </w:r>
            <w:r>
              <w:rPr>
                <w:rFonts w:ascii="Consolas"/>
                <w:sz w:val="20"/>
              </w:rPr>
              <w:t>false</w:t>
            </w:r>
            <w:r>
              <w:rPr>
                <w:sz w:val="22"/>
              </w:rPr>
              <w:t>, this flag means that the row height has been adjusted higher by .75 points of the normal style font height. This also means that if the row no longer contains these borders, then the height is automatically re-adjusted down.</w:t>
            </w:r>
          </w:p>
          <w:p>
            <w:pPr>
              <w:pStyle w:val="TableParagraph"/>
              <w:spacing w:line="538" w:lineRule="exact" w:before="47"/>
              <w:ind w:right="1413"/>
              <w:rPr>
                <w:sz w:val="22"/>
              </w:rPr>
            </w:pPr>
            <w:r>
              <w:rPr>
                <w:sz w:val="22"/>
              </w:rPr>
              <w:t>This adjustment is in addition to any adjustment of height due to </w:t>
            </w:r>
            <w:r>
              <w:rPr>
                <w:rFonts w:ascii="Cambria"/>
                <w:sz w:val="22"/>
              </w:rPr>
              <w:t>thickBot</w:t>
            </w:r>
            <w:r>
              <w:rPr>
                <w:sz w:val="22"/>
              </w:rPr>
              <w:t>. Medium borders are these enumeration values from the Styles Part:</w:t>
            </w:r>
          </w:p>
          <w:p>
            <w:pPr>
              <w:pStyle w:val="TableParagraph"/>
              <w:numPr>
                <w:ilvl w:val="0"/>
                <w:numId w:val="27"/>
              </w:numPr>
              <w:tabs>
                <w:tab w:pos="834" w:val="left" w:leader="none"/>
                <w:tab w:pos="835" w:val="left" w:leader="none"/>
              </w:tabs>
              <w:spacing w:line="232" w:lineRule="exact" w:before="0" w:after="0"/>
              <w:ind w:left="835" w:right="0" w:hanging="360"/>
              <w:jc w:val="left"/>
              <w:rPr>
                <w:sz w:val="22"/>
              </w:rPr>
            </w:pPr>
            <w:r>
              <w:rPr>
                <w:sz w:val="22"/>
              </w:rPr>
              <w:t>mediumDashDotDot</w:t>
            </w:r>
          </w:p>
          <w:p>
            <w:pPr>
              <w:pStyle w:val="TableParagraph"/>
              <w:numPr>
                <w:ilvl w:val="0"/>
                <w:numId w:val="27"/>
              </w:numPr>
              <w:tabs>
                <w:tab w:pos="834" w:val="left" w:leader="none"/>
                <w:tab w:pos="835" w:val="left" w:leader="none"/>
              </w:tabs>
              <w:spacing w:line="279" w:lineRule="exact" w:before="0" w:after="0"/>
              <w:ind w:left="835" w:right="0" w:hanging="360"/>
              <w:jc w:val="left"/>
              <w:rPr>
                <w:sz w:val="22"/>
              </w:rPr>
            </w:pPr>
            <w:r>
              <w:rPr>
                <w:sz w:val="22"/>
              </w:rPr>
              <w:t>slantDashDot</w:t>
            </w:r>
          </w:p>
          <w:p>
            <w:pPr>
              <w:pStyle w:val="TableParagraph"/>
              <w:numPr>
                <w:ilvl w:val="0"/>
                <w:numId w:val="27"/>
              </w:numPr>
              <w:tabs>
                <w:tab w:pos="834" w:val="left" w:leader="none"/>
                <w:tab w:pos="835" w:val="left" w:leader="none"/>
              </w:tabs>
              <w:spacing w:line="240" w:lineRule="auto" w:before="0" w:after="0"/>
              <w:ind w:left="835" w:right="0" w:hanging="360"/>
              <w:jc w:val="left"/>
              <w:rPr>
                <w:sz w:val="22"/>
              </w:rPr>
            </w:pPr>
            <w:r>
              <w:rPr>
                <w:sz w:val="22"/>
              </w:rPr>
              <w:t>mediumDashDot</w:t>
            </w:r>
          </w:p>
          <w:p>
            <w:pPr>
              <w:pStyle w:val="TableParagraph"/>
              <w:numPr>
                <w:ilvl w:val="0"/>
                <w:numId w:val="27"/>
              </w:numPr>
              <w:tabs>
                <w:tab w:pos="834" w:val="left" w:leader="none"/>
                <w:tab w:pos="835" w:val="left" w:leader="none"/>
              </w:tabs>
              <w:spacing w:line="240" w:lineRule="auto" w:before="1" w:after="0"/>
              <w:ind w:left="835" w:right="0" w:hanging="360"/>
              <w:jc w:val="left"/>
              <w:rPr>
                <w:sz w:val="22"/>
              </w:rPr>
            </w:pPr>
            <w:r>
              <w:rPr>
                <w:sz w:val="22"/>
              </w:rPr>
              <w:t>mediumDashed</w:t>
            </w:r>
          </w:p>
          <w:p>
            <w:pPr>
              <w:pStyle w:val="TableParagraph"/>
              <w:numPr>
                <w:ilvl w:val="0"/>
                <w:numId w:val="27"/>
              </w:numPr>
              <w:tabs>
                <w:tab w:pos="834" w:val="left" w:leader="none"/>
                <w:tab w:pos="835" w:val="left" w:leader="none"/>
              </w:tabs>
              <w:spacing w:line="240" w:lineRule="auto" w:before="0" w:after="0"/>
              <w:ind w:left="835" w:right="0" w:hanging="360"/>
              <w:jc w:val="left"/>
              <w:rPr>
                <w:sz w:val="22"/>
              </w:rPr>
            </w:pPr>
            <w:r>
              <w:rPr>
                <w:sz w:val="22"/>
              </w:rPr>
              <w:t>medium</w:t>
            </w:r>
          </w:p>
        </w:tc>
      </w:tr>
    </w:tbl>
    <w:p>
      <w:pPr>
        <w:spacing w:after="0" w:line="240" w:lineRule="auto"/>
        <w:jc w:val="left"/>
        <w:rPr>
          <w:sz w:val="22"/>
        </w:rPr>
        <w:sectPr>
          <w:footerReference w:type="even" r:id="rId50"/>
          <w:footerReference w:type="default" r:id="rId51"/>
          <w:pgSz w:w="12240" w:h="15840"/>
          <w:pgMar w:footer="746" w:header="761" w:top="1340" w:bottom="940" w:left="860" w:right="700"/>
          <w:pgNumType w:start="168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720"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Thick borders are these enumeration values from the Styles Part:</w:t>
            </w:r>
          </w:p>
          <w:p>
            <w:pPr>
              <w:pStyle w:val="TableParagraph"/>
              <w:numPr>
                <w:ilvl w:val="0"/>
                <w:numId w:val="28"/>
              </w:numPr>
              <w:tabs>
                <w:tab w:pos="834" w:val="left" w:leader="none"/>
                <w:tab w:pos="835" w:val="left" w:leader="none"/>
              </w:tabs>
              <w:spacing w:line="240" w:lineRule="auto" w:before="0" w:after="0"/>
              <w:ind w:left="835" w:right="0" w:hanging="360"/>
              <w:jc w:val="left"/>
              <w:rPr>
                <w:sz w:val="22"/>
              </w:rPr>
            </w:pPr>
            <w:r>
              <w:rPr>
                <w:sz w:val="22"/>
              </w:rPr>
              <w:t>thick</w:t>
            </w:r>
          </w:p>
          <w:p>
            <w:pPr>
              <w:pStyle w:val="TableParagraph"/>
              <w:numPr>
                <w:ilvl w:val="0"/>
                <w:numId w:val="28"/>
              </w:numPr>
              <w:tabs>
                <w:tab w:pos="834" w:val="left" w:leader="none"/>
                <w:tab w:pos="835" w:val="left" w:leader="none"/>
              </w:tabs>
              <w:spacing w:line="240" w:lineRule="auto" w:before="1" w:after="0"/>
              <w:ind w:left="835" w:right="0" w:hanging="360"/>
              <w:jc w:val="left"/>
              <w:rPr>
                <w:sz w:val="22"/>
              </w:rPr>
            </w:pPr>
            <w:r>
              <w:rPr>
                <w:sz w:val="22"/>
              </w:rPr>
              <w:t>double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CT_Row</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4 rowBreaks (Horizontal Page Bre" w:id="323"/>
      <w:bookmarkEnd w:id="323"/>
      <w:r>
        <w:rPr/>
      </w:r>
      <w:bookmarkStart w:name="_bookmark106" w:id="324"/>
      <w:bookmarkEnd w:id="324"/>
      <w:r>
        <w:rPr/>
      </w:r>
      <w:bookmarkStart w:name="_bookmark106" w:id="325"/>
      <w:bookmarkEnd w:id="325"/>
      <w:r>
        <w:rPr>
          <w:color w:val="4F81BC"/>
        </w:rPr>
        <w:t>r</w:t>
      </w:r>
      <w:r>
        <w:rPr>
          <w:color w:val="4F81BC"/>
        </w:rPr>
        <w:t>owBreaks (Horizontal Page Breaks</w:t>
      </w:r>
      <w:r>
        <w:rPr>
          <w:color w:val="4F81BC"/>
          <w:spacing w:val="2"/>
        </w:rPr>
        <w:t> </w:t>
      </w:r>
      <w:r>
        <w:rPr>
          <w:color w:val="4F81BC"/>
        </w:rPr>
        <w:t>(Row))</w:t>
      </w:r>
    </w:p>
    <w:p>
      <w:pPr>
        <w:pStyle w:val="BodyText"/>
        <w:spacing w:before="122"/>
        <w:ind w:left="220"/>
      </w:pPr>
      <w:r>
        <w:rPr/>
        <w:t>A collection of row breaks (§</w:t>
      </w:r>
      <w:hyperlink w:history="true" w:anchor="_bookmark35">
        <w:r>
          <w:rPr/>
          <w:t>18.3.1.3</w:t>
        </w:r>
      </w:hyperlink>
      <w:r>
        <w:rPr/>
        <w:t>).</w:t>
      </w:r>
    </w:p>
    <w:p>
      <w:pPr>
        <w:pStyle w:val="BodyText"/>
        <w:spacing w:before="8"/>
        <w:rPr>
          <w:sz w:val="19"/>
        </w:rPr>
      </w:pPr>
    </w:p>
    <w:p>
      <w:pPr>
        <w:pStyle w:val="BodyText"/>
        <w:ind w:left="220"/>
      </w:pPr>
      <w:r>
        <w:rPr/>
        <w:t>[</w:t>
      </w:r>
      <w:r>
        <w:rPr>
          <w:i/>
        </w:rPr>
        <w:t>Example</w:t>
      </w:r>
      <w:r>
        <w:rPr/>
        <w:t>: This example shows a break inserted at cell B25:</w:t>
      </w:r>
    </w:p>
    <w:p>
      <w:pPr>
        <w:pStyle w:val="BodyText"/>
        <w:spacing w:before="8"/>
        <w:rPr>
          <w:sz w:val="19"/>
        </w:rPr>
      </w:pPr>
    </w:p>
    <w:p>
      <w:pPr>
        <w:pStyle w:val="BodyText"/>
        <w:spacing w:before="1"/>
        <w:ind w:left="508"/>
        <w:rPr>
          <w:rFonts w:ascii="Consolas"/>
        </w:rPr>
      </w:pPr>
      <w:r>
        <w:rPr>
          <w:rFonts w:ascii="Consolas"/>
        </w:rPr>
        <w:t>&lt;rowBreaks count="1" manualBreakCount="1"&gt;</w:t>
      </w:r>
    </w:p>
    <w:p>
      <w:pPr>
        <w:pStyle w:val="BodyText"/>
        <w:spacing w:before="40"/>
        <w:ind w:left="750"/>
        <w:rPr>
          <w:rFonts w:ascii="Consolas"/>
        </w:rPr>
      </w:pPr>
      <w:r>
        <w:rPr>
          <w:rFonts w:ascii="Consolas"/>
        </w:rPr>
        <w:t>&lt;brk id="24" max="16383" man="1"/&gt;</w:t>
      </w:r>
    </w:p>
    <w:p>
      <w:pPr>
        <w:pStyle w:val="BodyText"/>
        <w:spacing w:before="37"/>
        <w:ind w:left="508"/>
        <w:rPr>
          <w:rFonts w:ascii="Consolas"/>
        </w:rPr>
      </w:pPr>
      <w:r>
        <w:rPr>
          <w:rFonts w:ascii="Consolas"/>
        </w:rPr>
        <w:t>&lt;/rowBreaks&gt;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276"/>
              <w:rPr>
                <w:sz w:val="22"/>
              </w:rPr>
            </w:pPr>
            <w:r>
              <w:rPr>
                <w:rFonts w:ascii="Cambria"/>
                <w:sz w:val="22"/>
              </w:rPr>
              <w:t>count </w:t>
            </w:r>
            <w:r>
              <w:rPr>
                <w:sz w:val="22"/>
              </w:rPr>
              <w:t>(Page Break Count)</w:t>
            </w:r>
          </w:p>
        </w:tc>
        <w:tc>
          <w:tcPr>
            <w:tcW w:w="8250" w:type="dxa"/>
          </w:tcPr>
          <w:p>
            <w:pPr>
              <w:pStyle w:val="TableParagraph"/>
              <w:rPr>
                <w:sz w:val="22"/>
              </w:rPr>
            </w:pPr>
            <w:r>
              <w:rPr>
                <w:sz w:val="22"/>
              </w:rPr>
              <w:t>Number of breaks in the collection.</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7"/>
              <w:ind w:right="100"/>
              <w:rPr>
                <w:sz w:val="22"/>
              </w:rPr>
            </w:pPr>
            <w:r>
              <w:rPr>
                <w:rFonts w:ascii="Cambria"/>
                <w:sz w:val="22"/>
              </w:rPr>
              <w:t>manualBreakCount </w:t>
            </w:r>
            <w:r>
              <w:rPr>
                <w:sz w:val="22"/>
              </w:rPr>
              <w:t>(Manual Break Count)</w:t>
            </w:r>
          </w:p>
        </w:tc>
        <w:tc>
          <w:tcPr>
            <w:tcW w:w="8250" w:type="dxa"/>
          </w:tcPr>
          <w:p>
            <w:pPr>
              <w:pStyle w:val="TableParagraph"/>
              <w:spacing w:before="42"/>
              <w:rPr>
                <w:sz w:val="22"/>
              </w:rPr>
            </w:pPr>
            <w:r>
              <w:rPr>
                <w:sz w:val="22"/>
              </w:rPr>
              <w:t>Number of manual breaks in the collection.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8" w:lineRule="auto"/>
        <w:ind w:left="220" w:right="542"/>
      </w:pPr>
      <w:r>
        <w:rPr/>
        <w:t>[</w:t>
      </w:r>
      <w:r>
        <w:rPr>
          <w:i/>
        </w:rPr>
        <w:t>Note</w:t>
      </w:r>
      <w:r>
        <w:rPr/>
        <w:t>: The W3C XML Schema definition of this element’s content model (</w:t>
      </w:r>
      <w:r>
        <w:rPr>
          <w:color w:val="5F5F5F"/>
          <w:u w:val="single" w:color="5F5F5F"/>
        </w:rPr>
        <w:t>CT_PageBreak</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5 scenario (Scenario)" w:id="326"/>
      <w:bookmarkEnd w:id="326"/>
      <w:r>
        <w:rPr/>
      </w:r>
      <w:bookmarkStart w:name="_bookmark107" w:id="327"/>
      <w:bookmarkEnd w:id="327"/>
      <w:r>
        <w:rPr/>
      </w:r>
      <w:bookmarkStart w:name="_bookmark107" w:id="328"/>
      <w:bookmarkEnd w:id="328"/>
      <w:r>
        <w:rPr>
          <w:color w:val="4F81BC"/>
        </w:rPr>
        <w:t>scen</w:t>
      </w:r>
      <w:r>
        <w:rPr>
          <w:color w:val="4F81BC"/>
        </w:rPr>
        <w:t>ario</w:t>
      </w:r>
      <w:r>
        <w:rPr>
          <w:color w:val="4F81BC"/>
          <w:spacing w:val="-1"/>
        </w:rPr>
        <w:t> </w:t>
      </w:r>
      <w:r>
        <w:rPr>
          <w:color w:val="4F81BC"/>
        </w:rPr>
        <w:t>(Scenario)</w:t>
      </w:r>
    </w:p>
    <w:p>
      <w:pPr>
        <w:pStyle w:val="BodyText"/>
        <w:spacing w:before="122"/>
        <w:ind w:left="220"/>
      </w:pPr>
      <w:r>
        <w:rPr/>
        <w:t>An individual scenario description. [</w:t>
      </w:r>
      <w:r>
        <w:rPr>
          <w:i/>
        </w:rPr>
        <w:t>Note</w:t>
      </w:r>
      <w:r>
        <w:rPr/>
        <w:t>: See parent element for an example. </w:t>
      </w:r>
      <w:r>
        <w:rPr>
          <w:i/>
        </w:rPr>
        <w:t>end note</w:t>
      </w:r>
      <w:r>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49"/>
              <w:rPr>
                <w:sz w:val="22"/>
              </w:rPr>
            </w:pPr>
            <w:r>
              <w:rPr>
                <w:rFonts w:ascii="Cambria"/>
                <w:sz w:val="22"/>
              </w:rPr>
              <w:t>comment </w:t>
            </w:r>
            <w:r>
              <w:rPr>
                <w:sz w:val="22"/>
              </w:rPr>
              <w:t>(Scenario Comment)</w:t>
            </w:r>
          </w:p>
        </w:tc>
        <w:tc>
          <w:tcPr>
            <w:tcW w:w="8250" w:type="dxa"/>
          </w:tcPr>
          <w:p>
            <w:pPr>
              <w:pStyle w:val="TableParagraph"/>
              <w:rPr>
                <w:sz w:val="22"/>
              </w:rPr>
            </w:pPr>
            <w:r>
              <w:rPr>
                <w:sz w:val="22"/>
              </w:rPr>
              <w:t>Comment for this scenario, rich text not supported.</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442"/>
              <w:rPr>
                <w:sz w:val="22"/>
              </w:rPr>
            </w:pPr>
            <w:r>
              <w:rPr>
                <w:rFonts w:ascii="Cambria"/>
                <w:sz w:val="22"/>
              </w:rPr>
              <w:t>count </w:t>
            </w:r>
            <w:r>
              <w:rPr>
                <w:sz w:val="22"/>
              </w:rPr>
              <w:t>(Changing Cell Count)</w:t>
            </w:r>
          </w:p>
        </w:tc>
        <w:tc>
          <w:tcPr>
            <w:tcW w:w="8250" w:type="dxa"/>
          </w:tcPr>
          <w:p>
            <w:pPr>
              <w:pStyle w:val="TableParagraph"/>
              <w:rPr>
                <w:sz w:val="22"/>
              </w:rPr>
            </w:pPr>
            <w:r>
              <w:rPr>
                <w:sz w:val="22"/>
              </w:rPr>
              <w:t>Number of input cells.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8" w:hRule="atLeast"/>
        </w:trPr>
        <w:tc>
          <w:tcPr>
            <w:tcW w:w="2062" w:type="dxa"/>
          </w:tcPr>
          <w:p>
            <w:pPr>
              <w:pStyle w:val="TableParagraph"/>
              <w:spacing w:line="237" w:lineRule="auto" w:before="44"/>
              <w:ind w:right="501"/>
              <w:rPr>
                <w:sz w:val="22"/>
              </w:rPr>
            </w:pPr>
            <w:r>
              <w:rPr>
                <w:rFonts w:ascii="Cambria"/>
                <w:sz w:val="22"/>
              </w:rPr>
              <w:t>hidden </w:t>
            </w:r>
            <w:r>
              <w:rPr>
                <w:sz w:val="22"/>
              </w:rPr>
              <w:t>(Hidden Scenario)</w:t>
            </w:r>
          </w:p>
        </w:tc>
        <w:tc>
          <w:tcPr>
            <w:tcW w:w="8250" w:type="dxa"/>
          </w:tcPr>
          <w:p>
            <w:pPr>
              <w:pStyle w:val="TableParagraph"/>
              <w:spacing w:before="42"/>
              <w:ind w:right="620"/>
              <w:rPr>
                <w:sz w:val="22"/>
              </w:rPr>
            </w:pPr>
            <w:r>
              <w:rPr>
                <w:sz w:val="22"/>
              </w:rPr>
              <w:t>Scenario is hidden when the sheet is protected and 'edit scenarios' is not enabled in sheet protection options. If the scenario is marked as hidden but sheet protection options specify to allow editing scenarios, then the scenario shall not be hidden.</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ind w:right="415"/>
              <w:rPr>
                <w:sz w:val="22"/>
              </w:rPr>
            </w:pPr>
            <w:r>
              <w:rPr>
                <w:rFonts w:ascii="Cambria"/>
                <w:sz w:val="22"/>
              </w:rPr>
              <w:t>locked </w:t>
            </w:r>
            <w:r>
              <w:rPr>
                <w:sz w:val="22"/>
              </w:rPr>
              <w:t>(Scenario Locked)</w:t>
            </w:r>
          </w:p>
        </w:tc>
        <w:tc>
          <w:tcPr>
            <w:tcW w:w="8250" w:type="dxa"/>
          </w:tcPr>
          <w:p>
            <w:pPr>
              <w:pStyle w:val="TableParagraph"/>
              <w:ind w:right="214"/>
              <w:rPr>
                <w:sz w:val="22"/>
              </w:rPr>
            </w:pPr>
            <w:r>
              <w:rPr>
                <w:sz w:val="22"/>
              </w:rPr>
              <w:t>Scenario is locked for editing when the sheet is protected. If sheet is protected and "edit scenarios" is enabled, then this setting is ignored.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513"/>
              <w:rPr>
                <w:sz w:val="22"/>
              </w:rPr>
            </w:pPr>
            <w:r>
              <w:rPr>
                <w:rFonts w:ascii="Cambria"/>
                <w:sz w:val="22"/>
              </w:rPr>
              <w:t>name </w:t>
            </w:r>
            <w:r>
              <w:rPr>
                <w:sz w:val="22"/>
              </w:rPr>
              <w:t>(Scenario Name)</w:t>
            </w:r>
          </w:p>
        </w:tc>
        <w:tc>
          <w:tcPr>
            <w:tcW w:w="8250" w:type="dxa"/>
          </w:tcPr>
          <w:p>
            <w:pPr>
              <w:pStyle w:val="TableParagraph"/>
              <w:rPr>
                <w:sz w:val="22"/>
              </w:rPr>
            </w:pPr>
            <w:r>
              <w:rPr>
                <w:sz w:val="22"/>
              </w:rPr>
              <w:t>Scenario's name (user input). Shall be unique for the worksheet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rPr>
                <w:sz w:val="22"/>
              </w:rPr>
            </w:pPr>
            <w:r>
              <w:rPr>
                <w:rFonts w:ascii="Cambria"/>
                <w:sz w:val="22"/>
              </w:rPr>
              <w:t>user </w:t>
            </w:r>
            <w:r>
              <w:rPr>
                <w:sz w:val="22"/>
              </w:rPr>
              <w:t>(User Name)</w:t>
            </w:r>
          </w:p>
        </w:tc>
        <w:tc>
          <w:tcPr>
            <w:tcW w:w="8250" w:type="dxa"/>
          </w:tcPr>
          <w:p>
            <w:pPr>
              <w:pStyle w:val="TableParagraph"/>
              <w:rPr>
                <w:sz w:val="22"/>
              </w:rPr>
            </w:pPr>
            <w:r>
              <w:rPr>
                <w:sz w:val="22"/>
              </w:rPr>
              <w:t>Name of user who last changed the scenario.</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6" w:lineRule="auto" w:before="57"/>
        <w:ind w:left="220" w:right="717"/>
      </w:pPr>
      <w:r>
        <w:rPr/>
        <w:t>[</w:t>
      </w:r>
      <w:r>
        <w:rPr>
          <w:i/>
        </w:rPr>
        <w:t>Note</w:t>
      </w:r>
      <w:r>
        <w:rPr/>
        <w:t>: The W3C XML Schema definition of this element’s content model (</w:t>
      </w:r>
      <w:r>
        <w:rPr>
          <w:color w:val="5F5F5F"/>
          <w:u w:val="single" w:color="5F5F5F"/>
        </w:rPr>
        <w:t>CT_Scenario</w:t>
      </w:r>
      <w:r>
        <w:rPr/>
        <w:t>) is located in §A.2. </w:t>
      </w:r>
      <w:r>
        <w:rPr>
          <w:i/>
        </w:rPr>
        <w:t>end </w:t>
      </w:r>
      <w:r>
        <w:rPr>
          <w:i/>
        </w:rPr>
        <w:t>note</w:t>
      </w:r>
      <w:r>
        <w:rPr/>
        <w:t>]</w:t>
      </w:r>
    </w:p>
    <w:p>
      <w:pPr>
        <w:pStyle w:val="BodyText"/>
        <w:spacing w:before="5"/>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76 scenarios (Scenarios)" w:id="329"/>
      <w:bookmarkEnd w:id="329"/>
      <w:r>
        <w:rPr/>
      </w:r>
      <w:bookmarkStart w:name="_bookmark108" w:id="330"/>
      <w:bookmarkEnd w:id="330"/>
      <w:r>
        <w:rPr/>
      </w:r>
      <w:bookmarkStart w:name="_bookmark108" w:id="331"/>
      <w:bookmarkEnd w:id="331"/>
      <w:r>
        <w:rPr>
          <w:color w:val="4F81BC"/>
        </w:rPr>
        <w:t>scen</w:t>
      </w:r>
      <w:r>
        <w:rPr>
          <w:color w:val="4F81BC"/>
        </w:rPr>
        <w:t>arios</w:t>
      </w:r>
      <w:r>
        <w:rPr>
          <w:color w:val="4F81BC"/>
          <w:spacing w:val="-1"/>
        </w:rPr>
        <w:t> </w:t>
      </w:r>
      <w:r>
        <w:rPr>
          <w:color w:val="4F81BC"/>
        </w:rPr>
        <w:t>(Scenarios)</w:t>
      </w:r>
    </w:p>
    <w:p>
      <w:pPr>
        <w:pStyle w:val="BodyText"/>
        <w:spacing w:line="276" w:lineRule="auto" w:before="121"/>
        <w:ind w:left="220" w:right="425"/>
      </w:pPr>
      <w:r>
        <w:rPr/>
        <w:t>A collection of Scenarios. A scenario is a named what-if model that includes variable cells linked together by one or more formulas.</w:t>
      </w:r>
    </w:p>
    <w:p>
      <w:pPr>
        <w:pStyle w:val="BodyText"/>
        <w:spacing w:before="3"/>
        <w:rPr>
          <w:sz w:val="16"/>
        </w:rPr>
      </w:pPr>
    </w:p>
    <w:p>
      <w:pPr>
        <w:pStyle w:val="BodyText"/>
        <w:spacing w:line="278" w:lineRule="auto"/>
        <w:ind w:left="220" w:right="842"/>
      </w:pPr>
      <w:r>
        <w:rPr/>
        <w:t>[</w:t>
      </w:r>
      <w:r>
        <w:rPr>
          <w:i/>
        </w:rPr>
        <w:t>Example</w:t>
      </w:r>
      <w:r>
        <w:rPr/>
        <w:t>: For example, you might want to compare best-case and worst-case scenarios for sales in a coffee shop, based on the number of cups of coffee sold in a week.</w:t>
      </w:r>
    </w:p>
    <w:p>
      <w:pPr>
        <w:pStyle w:val="BodyText"/>
        <w:spacing w:before="197"/>
        <w:ind w:left="508"/>
        <w:rPr>
          <w:rFonts w:ascii="Consolas"/>
        </w:rPr>
      </w:pPr>
      <w:r>
        <w:rPr>
          <w:rFonts w:ascii="Consolas"/>
        </w:rPr>
        <w:t>&lt;scenarios current="1" show="0" sqref="G4 G6 G7 G8"&gt;</w:t>
      </w:r>
    </w:p>
    <w:p>
      <w:pPr>
        <w:pStyle w:val="BodyText"/>
        <w:spacing w:line="278" w:lineRule="auto" w:before="39"/>
        <w:ind w:left="993" w:right="2168" w:hanging="243"/>
        <w:rPr>
          <w:rFonts w:ascii="Consolas"/>
        </w:rPr>
      </w:pPr>
      <w:r>
        <w:rPr>
          <w:rFonts w:ascii="Consolas"/>
        </w:rPr>
        <w:t>&lt;scenario name="Best Case" locked="1" count="3" user="anonymous" comment="Created on 6/9/2006_x000a_Modified on 6/9/2006"&gt;</w:t>
      </w:r>
    </w:p>
    <w:p>
      <w:pPr>
        <w:pStyle w:val="BodyText"/>
        <w:spacing w:line="253" w:lineRule="exact"/>
        <w:ind w:left="993"/>
        <w:rPr>
          <w:rFonts w:ascii="Consolas"/>
        </w:rPr>
      </w:pPr>
      <w:r>
        <w:rPr>
          <w:rFonts w:ascii="Consolas"/>
        </w:rPr>
        <w:t>&lt;inputCells r="D5" val="151" numFmtId="37"/&gt;</w:t>
      </w:r>
    </w:p>
    <w:p>
      <w:pPr>
        <w:pStyle w:val="BodyText"/>
        <w:spacing w:before="40"/>
        <w:ind w:left="993"/>
        <w:rPr>
          <w:rFonts w:ascii="Consolas"/>
        </w:rPr>
      </w:pPr>
      <w:r>
        <w:rPr>
          <w:rFonts w:ascii="Consolas"/>
        </w:rPr>
        <w:t>&lt;inputCells r="D9" val="226"/&gt;</w:t>
      </w:r>
    </w:p>
    <w:p>
      <w:pPr>
        <w:pStyle w:val="BodyText"/>
        <w:spacing w:before="37"/>
        <w:ind w:left="993"/>
        <w:rPr>
          <w:rFonts w:ascii="Consolas"/>
        </w:rPr>
      </w:pPr>
      <w:r>
        <w:rPr>
          <w:rFonts w:ascii="Consolas"/>
        </w:rPr>
        <w:t>&lt;inputCells r="D13" val="126"/&gt;</w:t>
      </w:r>
    </w:p>
    <w:p>
      <w:pPr>
        <w:pStyle w:val="BodyText"/>
        <w:spacing w:before="40"/>
        <w:ind w:left="750"/>
        <w:rPr>
          <w:rFonts w:ascii="Consolas"/>
        </w:rPr>
      </w:pPr>
      <w:r>
        <w:rPr>
          <w:rFonts w:ascii="Consolas"/>
        </w:rPr>
        <w:t>&lt;/scenario&gt;</w:t>
      </w:r>
    </w:p>
    <w:p>
      <w:pPr>
        <w:spacing w:after="0"/>
        <w:rPr>
          <w:rFonts w:ascii="Consolas"/>
        </w:rPr>
        <w:sectPr>
          <w:pgSz w:w="12240" w:h="15840"/>
          <w:pgMar w:header="761" w:footer="746" w:top="1340" w:bottom="940" w:left="860" w:right="700"/>
        </w:sectPr>
      </w:pPr>
    </w:p>
    <w:p>
      <w:pPr>
        <w:pStyle w:val="BodyText"/>
        <w:spacing w:line="276" w:lineRule="auto" w:before="150"/>
        <w:ind w:left="993" w:right="2047" w:hanging="243"/>
        <w:rPr>
          <w:rFonts w:ascii="Consolas"/>
        </w:rPr>
      </w:pPr>
      <w:r>
        <w:rPr>
          <w:rFonts w:ascii="Consolas"/>
        </w:rPr>
        <w:t>&lt;scenario name="Worst Case" locked="1" count="3" user="anonymous" comment="Created on 6/9/2006"&gt;</w:t>
      </w:r>
    </w:p>
    <w:p>
      <w:pPr>
        <w:pStyle w:val="BodyText"/>
        <w:spacing w:before="1"/>
        <w:ind w:left="993"/>
        <w:rPr>
          <w:rFonts w:ascii="Consolas"/>
        </w:rPr>
      </w:pPr>
      <w:r>
        <w:rPr>
          <w:rFonts w:ascii="Consolas"/>
        </w:rPr>
        <w:t>&lt;inputCells r="D5" val="50" numFmtId="37"/&gt;</w:t>
      </w:r>
    </w:p>
    <w:p>
      <w:pPr>
        <w:pStyle w:val="BodyText"/>
        <w:spacing w:before="37"/>
        <w:ind w:left="993"/>
        <w:rPr>
          <w:rFonts w:ascii="Consolas"/>
        </w:rPr>
      </w:pPr>
      <w:r>
        <w:rPr>
          <w:rFonts w:ascii="Consolas"/>
        </w:rPr>
        <w:t>&lt;inputCells r="D9" val="40"/&gt;</w:t>
      </w:r>
    </w:p>
    <w:p>
      <w:pPr>
        <w:pStyle w:val="BodyText"/>
        <w:spacing w:before="40"/>
        <w:ind w:left="993"/>
        <w:rPr>
          <w:rFonts w:ascii="Consolas"/>
        </w:rPr>
      </w:pPr>
      <w:r>
        <w:rPr>
          <w:rFonts w:ascii="Consolas"/>
        </w:rPr>
        <w:t>&lt;inputCells r="D13" val="30"/&gt;</w:t>
      </w:r>
    </w:p>
    <w:p>
      <w:pPr>
        <w:pStyle w:val="BodyText"/>
        <w:spacing w:before="38"/>
        <w:ind w:left="750"/>
        <w:rPr>
          <w:rFonts w:ascii="Consolas"/>
        </w:rPr>
      </w:pPr>
      <w:r>
        <w:rPr>
          <w:rFonts w:ascii="Consolas"/>
        </w:rPr>
        <w:t>&lt;/scenario&gt;</w:t>
      </w:r>
    </w:p>
    <w:p>
      <w:pPr>
        <w:pStyle w:val="BodyText"/>
        <w:spacing w:before="40"/>
        <w:ind w:left="508"/>
        <w:rPr>
          <w:rFonts w:ascii="Consolas"/>
        </w:rPr>
      </w:pPr>
      <w:r>
        <w:rPr>
          <w:rFonts w:ascii="Consolas"/>
        </w:rPr>
        <w:t>&lt;/scenarios&gt;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11"/>
              <w:rPr>
                <w:sz w:val="22"/>
              </w:rPr>
            </w:pPr>
            <w:r>
              <w:rPr>
                <w:rFonts w:ascii="Cambria"/>
                <w:sz w:val="22"/>
              </w:rPr>
              <w:t>current </w:t>
            </w:r>
            <w:r>
              <w:rPr>
                <w:sz w:val="22"/>
              </w:rPr>
              <w:t>(Current Scenario)</w:t>
            </w:r>
          </w:p>
        </w:tc>
        <w:tc>
          <w:tcPr>
            <w:tcW w:w="8250" w:type="dxa"/>
          </w:tcPr>
          <w:p>
            <w:pPr>
              <w:pStyle w:val="TableParagraph"/>
              <w:rPr>
                <w:sz w:val="22"/>
              </w:rPr>
            </w:pPr>
            <w:r>
              <w:rPr>
                <w:sz w:val="22"/>
              </w:rPr>
              <w:t>Zero-based index to current scenario selected. Can correspond to selection UI.</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ind w:right="285"/>
              <w:rPr>
                <w:sz w:val="22"/>
              </w:rPr>
            </w:pPr>
            <w:r>
              <w:rPr>
                <w:rFonts w:ascii="Cambria"/>
                <w:sz w:val="22"/>
              </w:rPr>
              <w:t>show </w:t>
            </w:r>
            <w:r>
              <w:rPr>
                <w:sz w:val="22"/>
              </w:rPr>
              <w:t>(Last Shown Scenario)</w:t>
            </w:r>
          </w:p>
        </w:tc>
        <w:tc>
          <w:tcPr>
            <w:tcW w:w="8250" w:type="dxa"/>
          </w:tcPr>
          <w:p>
            <w:pPr>
              <w:pStyle w:val="TableParagraph"/>
              <w:ind w:right="397"/>
              <w:rPr>
                <w:sz w:val="22"/>
              </w:rPr>
            </w:pPr>
            <w:r>
              <w:rPr>
                <w:sz w:val="22"/>
              </w:rPr>
              <w:t>Zero-based index to last shown scenario. Indicates which scenario was last selected by the user to be run/shown.</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219"/>
              <w:rPr>
                <w:sz w:val="22"/>
              </w:rPr>
            </w:pPr>
            <w:r>
              <w:rPr>
                <w:rFonts w:ascii="Cambria"/>
                <w:sz w:val="22"/>
              </w:rPr>
              <w:t>sqref </w:t>
            </w:r>
            <w:r>
              <w:rPr>
                <w:sz w:val="22"/>
              </w:rPr>
              <w:t>(Sequence of References)</w:t>
            </w:r>
          </w:p>
        </w:tc>
        <w:tc>
          <w:tcPr>
            <w:tcW w:w="8250" w:type="dxa"/>
          </w:tcPr>
          <w:p>
            <w:pPr>
              <w:pStyle w:val="TableParagraph"/>
              <w:rPr>
                <w:sz w:val="22"/>
              </w:rPr>
            </w:pPr>
            <w:r>
              <w:rPr>
                <w:sz w:val="22"/>
              </w:rPr>
              <w:t>Range or sequence of cells used for scenario results summary.</w:t>
            </w:r>
          </w:p>
          <w:p>
            <w:pPr>
              <w:pStyle w:val="TableParagraph"/>
              <w:spacing w:before="0"/>
              <w:ind w:left="0"/>
              <w:rPr>
                <w:sz w:val="22"/>
              </w:rPr>
            </w:pPr>
          </w:p>
          <w:p>
            <w:pPr>
              <w:pStyle w:val="TableParagraph"/>
              <w:spacing w:before="0"/>
              <w:ind w:right="1210"/>
              <w:rPr>
                <w:sz w:val="22"/>
              </w:rPr>
            </w:pPr>
            <w:r>
              <w:rPr>
                <w:sz w:val="22"/>
              </w:rPr>
              <w:t>The possible values for this attribute are defined by the </w:t>
            </w:r>
            <w:r>
              <w:rPr>
                <w:rFonts w:ascii="Cambria" w:hAnsi="Cambria"/>
                <w:sz w:val="22"/>
              </w:rPr>
              <w:t>ST_Sqref </w:t>
            </w:r>
            <w:r>
              <w:rPr>
                <w:sz w:val="22"/>
              </w:rPr>
              <w:t>simple type </w:t>
            </w:r>
            <w:hyperlink w:history="true" w:anchor="_bookmark898">
              <w:r>
                <w:rPr>
                  <w:sz w:val="22"/>
                </w:rPr>
                <w:t>(§18.18.76</w:t>
              </w:r>
            </w:hyperlink>
            <w:r>
              <w:rPr>
                <w:sz w:val="22"/>
              </w:rPr>
              <w:t>).</w:t>
            </w:r>
          </w:p>
        </w:tc>
      </w:tr>
    </w:tbl>
    <w:p>
      <w:pPr>
        <w:pStyle w:val="BodyText"/>
      </w:pPr>
    </w:p>
    <w:p>
      <w:pPr>
        <w:pStyle w:val="BodyText"/>
        <w:spacing w:before="5"/>
        <w:rPr>
          <w:sz w:val="19"/>
        </w:rPr>
      </w:pPr>
    </w:p>
    <w:p>
      <w:pPr>
        <w:pStyle w:val="BodyText"/>
        <w:spacing w:line="278" w:lineRule="auto"/>
        <w:ind w:left="220" w:right="631"/>
      </w:pPr>
      <w:r>
        <w:rPr/>
        <w:t>[</w:t>
      </w:r>
      <w:r>
        <w:rPr>
          <w:i/>
        </w:rPr>
        <w:t>Note</w:t>
      </w:r>
      <w:r>
        <w:rPr/>
        <w:t>: The W3C XML Schema definition of this element’s content model (</w:t>
      </w:r>
      <w:r>
        <w:rPr>
          <w:color w:val="5F5F5F"/>
          <w:u w:val="single" w:color="5F5F5F"/>
        </w:rPr>
        <w:t>CT_Scenarios</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7 securityDescriptor (Security D" w:id="332"/>
      <w:bookmarkEnd w:id="332"/>
      <w:r>
        <w:rPr/>
      </w:r>
      <w:bookmarkStart w:name="_bookmark109" w:id="333"/>
      <w:bookmarkEnd w:id="333"/>
      <w:r>
        <w:rPr/>
      </w:r>
      <w:bookmarkStart w:name="_bookmark109" w:id="334"/>
      <w:bookmarkEnd w:id="334"/>
      <w:r>
        <w:rPr>
          <w:color w:val="4F81BC"/>
        </w:rPr>
        <w:t>secu</w:t>
      </w:r>
      <w:r>
        <w:rPr>
          <w:color w:val="4F81BC"/>
        </w:rPr>
        <w:t>rityDescriptor (Security</w:t>
      </w:r>
      <w:r>
        <w:rPr>
          <w:color w:val="4F81BC"/>
          <w:spacing w:val="-2"/>
        </w:rPr>
        <w:t> </w:t>
      </w:r>
      <w:r>
        <w:rPr>
          <w:color w:val="4F81BC"/>
        </w:rPr>
        <w:t>Descriptor)</w:t>
      </w:r>
    </w:p>
    <w:p>
      <w:pPr>
        <w:pStyle w:val="BodyText"/>
        <w:spacing w:line="278" w:lineRule="auto" w:before="119"/>
        <w:ind w:left="220" w:right="721"/>
      </w:pPr>
      <w:r>
        <w:rPr/>
        <w:t>Optional setting to specify the relative security descriptor. The security descriptor defines user accounts who may edit this range without providing a password to access the range.</w:t>
      </w:r>
    </w:p>
    <w:p>
      <w:pPr>
        <w:pStyle w:val="BodyText"/>
        <w:spacing w:line="276" w:lineRule="auto" w:before="196"/>
        <w:ind w:left="220" w:right="484"/>
      </w:pPr>
      <w:r>
        <w:rPr/>
        <w:t>[</w:t>
      </w:r>
      <w:r>
        <w:rPr>
          <w:i/>
        </w:rPr>
        <w:t>Note</w:t>
      </w:r>
      <w:r>
        <w:rPr/>
        <w:t>: The format of a securityDescriptor is application defined; however, it is recommended that the following format be used for interoperability between implementations: </w:t>
      </w:r>
      <w:r>
        <w:rPr>
          <w:rFonts w:ascii="Consolas"/>
        </w:rPr>
        <w:t>username@domain</w:t>
      </w:r>
      <w:r>
        <w:rPr/>
        <w:t>. This format follows the form of </w:t>
      </w:r>
      <w:r>
        <w:rPr>
          <w:rFonts w:ascii="Consolas"/>
        </w:rPr>
        <w:t>addr-spec</w:t>
      </w:r>
      <w:r>
        <w:rPr>
          <w:rFonts w:ascii="Consolas"/>
          <w:spacing w:val="-88"/>
        </w:rPr>
        <w:t> </w:t>
      </w:r>
      <w:r>
        <w:rPr/>
        <w:t>as defined in RFC 822, Standard for ARPA Internet Text Messages. </w:t>
      </w:r>
      <w:r>
        <w:rPr>
          <w:i/>
        </w:rPr>
        <w:t>end note</w:t>
      </w:r>
      <w:r>
        <w:rPr/>
        <w:t>]</w:t>
      </w:r>
    </w:p>
    <w:p>
      <w:pPr>
        <w:pStyle w:val="BodyText"/>
        <w:spacing w:before="6"/>
        <w:rPr>
          <w:sz w:val="16"/>
        </w:rPr>
      </w:pPr>
    </w:p>
    <w:p>
      <w:pPr>
        <w:pStyle w:val="BodyText"/>
        <w:ind w:left="220"/>
      </w:pPr>
      <w:r>
        <w:rPr/>
        <w:t>[</w:t>
      </w:r>
      <w:r>
        <w:rPr>
          <w:i/>
        </w:rPr>
        <w:t>Example</w:t>
      </w:r>
      <w:r>
        <w:rPr/>
        <w:t>: This example demonstrates two user accounts in the security descriptor attribute:</w:t>
      </w:r>
    </w:p>
    <w:p>
      <w:pPr>
        <w:pStyle w:val="BodyText"/>
        <w:spacing w:before="8"/>
        <w:rPr>
          <w:sz w:val="19"/>
        </w:rPr>
      </w:pPr>
    </w:p>
    <w:p>
      <w:pPr>
        <w:pStyle w:val="BodyText"/>
        <w:spacing w:before="1"/>
        <w:ind w:left="508"/>
        <w:rPr>
          <w:rFonts w:ascii="Consolas"/>
        </w:rPr>
      </w:pPr>
      <w:r>
        <w:rPr>
          <w:rFonts w:ascii="Consolas"/>
        </w:rPr>
        <w:t>&lt;protectedRanges&gt;</w:t>
      </w:r>
    </w:p>
    <w:p>
      <w:pPr>
        <w:pStyle w:val="BodyText"/>
        <w:spacing w:before="37"/>
        <w:ind w:left="750"/>
        <w:rPr>
          <w:rFonts w:ascii="Consolas"/>
        </w:rPr>
      </w:pPr>
      <w:r>
        <w:rPr>
          <w:rFonts w:ascii="Consolas"/>
        </w:rPr>
        <w:t>&lt;protectedRange sqref="A1:C5" name="Range1"&gt;</w:t>
      </w:r>
    </w:p>
    <w:p>
      <w:pPr>
        <w:pStyle w:val="BodyText"/>
        <w:spacing w:before="40"/>
        <w:ind w:left="993"/>
        <w:rPr>
          <w:rFonts w:ascii="Consolas"/>
        </w:rPr>
      </w:pPr>
      <w:r>
        <w:rPr>
          <w:rFonts w:ascii="Consolas"/>
        </w:rPr>
        <w:t>&lt;securityDescriptor&gt;</w:t>
      </w:r>
      <w:hyperlink r:id="rId52">
        <w:r>
          <w:rPr>
            <w:rFonts w:ascii="Consolas"/>
          </w:rPr>
          <w:t>user1@iso.org</w:t>
        </w:r>
      </w:hyperlink>
      <w:r>
        <w:rPr>
          <w:rFonts w:ascii="Consolas"/>
        </w:rPr>
        <w:t>&lt;/securityDescriptor&gt;</w:t>
      </w:r>
    </w:p>
    <w:p>
      <w:pPr>
        <w:pStyle w:val="BodyText"/>
        <w:spacing w:before="38"/>
        <w:ind w:left="993"/>
        <w:rPr>
          <w:rFonts w:ascii="Consolas"/>
        </w:rPr>
      </w:pPr>
      <w:r>
        <w:rPr>
          <w:rFonts w:ascii="Consolas"/>
        </w:rPr>
        <w:t>&lt;securityDescriptor&gt;</w:t>
      </w:r>
      <w:hyperlink r:id="rId53">
        <w:r>
          <w:rPr>
            <w:rFonts w:ascii="Consolas"/>
          </w:rPr>
          <w:t>user2@iso.org</w:t>
        </w:r>
      </w:hyperlink>
      <w:r>
        <w:rPr>
          <w:rFonts w:ascii="Consolas"/>
        </w:rPr>
        <w:t>&lt;/securityDescriptor&gt;</w:t>
      </w:r>
    </w:p>
    <w:p>
      <w:pPr>
        <w:pStyle w:val="BodyText"/>
        <w:spacing w:before="40"/>
        <w:ind w:left="750"/>
        <w:rPr>
          <w:rFonts w:ascii="Consolas"/>
        </w:rPr>
      </w:pPr>
      <w:r>
        <w:rPr>
          <w:rFonts w:ascii="Consolas"/>
        </w:rPr>
        <w:t>&lt;/protectedRange&gt;</w:t>
      </w:r>
    </w:p>
    <w:p>
      <w:pPr>
        <w:pStyle w:val="BodyText"/>
        <w:spacing w:before="37"/>
        <w:ind w:left="508"/>
        <w:rPr>
          <w:rFonts w:ascii="Consolas"/>
        </w:rPr>
      </w:pPr>
      <w:r>
        <w:rPr>
          <w:rFonts w:ascii="Consolas"/>
        </w:rPr>
        <w:t>&lt;/protectedRanges&gt;</w:t>
      </w:r>
    </w:p>
    <w:p>
      <w:pPr>
        <w:spacing w:after="0"/>
        <w:rPr>
          <w:rFonts w:ascii="Consolas"/>
        </w:rPr>
        <w:sectPr>
          <w:pgSz w:w="12240" w:h="15840"/>
          <w:pgMar w:header="763" w:footer="746" w:top="1340" w:bottom="940" w:left="860" w:right="700"/>
        </w:sectPr>
      </w:pPr>
    </w:p>
    <w:p>
      <w:pPr>
        <w:spacing w:before="93"/>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The possible values for this element are defined by the W3C XML Schema </w:t>
      </w:r>
      <w:r>
        <w:rPr>
          <w:rFonts w:ascii="Cambria"/>
        </w:rPr>
        <w:t>string </w:t>
      </w:r>
      <w:r>
        <w:rPr/>
        <w:t>datatype.</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8 selection (Selection)" w:id="335"/>
      <w:bookmarkEnd w:id="335"/>
      <w:r>
        <w:rPr/>
      </w:r>
      <w:bookmarkStart w:name="_bookmark110" w:id="336"/>
      <w:bookmarkEnd w:id="336"/>
      <w:r>
        <w:rPr/>
      </w:r>
      <w:bookmarkStart w:name="_bookmark110" w:id="337"/>
      <w:bookmarkEnd w:id="337"/>
      <w:r>
        <w:rPr>
          <w:color w:val="4F81BC"/>
        </w:rPr>
        <w:t>selection</w:t>
      </w:r>
      <w:r>
        <w:rPr>
          <w:color w:val="4F81BC"/>
          <w:spacing w:val="-1"/>
        </w:rPr>
        <w:t> </w:t>
      </w:r>
      <w:r>
        <w:rPr>
          <w:color w:val="4F81BC"/>
        </w:rPr>
        <w:t>(Selection)</w:t>
      </w:r>
    </w:p>
    <w:p>
      <w:pPr>
        <w:pStyle w:val="BodyText"/>
        <w:spacing w:before="121"/>
        <w:ind w:left="220"/>
      </w:pPr>
      <w:r>
        <w:rPr/>
        <w:t>Worksheet view selection.</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39"/>
              <w:rPr>
                <w:sz w:val="22"/>
              </w:rPr>
            </w:pPr>
            <w:r>
              <w:rPr>
                <w:rFonts w:ascii="Cambria"/>
                <w:sz w:val="22"/>
              </w:rPr>
              <w:t>activeCell </w:t>
            </w:r>
            <w:r>
              <w:rPr>
                <w:sz w:val="22"/>
              </w:rPr>
              <w:t>(Active Cell Location)</w:t>
            </w:r>
          </w:p>
        </w:tc>
        <w:tc>
          <w:tcPr>
            <w:tcW w:w="8250" w:type="dxa"/>
          </w:tcPr>
          <w:p>
            <w:pPr>
              <w:pStyle w:val="TableParagraph"/>
              <w:rPr>
                <w:sz w:val="22"/>
              </w:rPr>
            </w:pPr>
            <w:r>
              <w:rPr>
                <w:sz w:val="22"/>
              </w:rPr>
              <w:t>Location of the active cell.</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2503" w:hRule="atLeast"/>
        </w:trPr>
        <w:tc>
          <w:tcPr>
            <w:tcW w:w="2062" w:type="dxa"/>
          </w:tcPr>
          <w:p>
            <w:pPr>
              <w:pStyle w:val="TableParagraph"/>
              <w:ind w:right="146"/>
              <w:rPr>
                <w:sz w:val="22"/>
              </w:rPr>
            </w:pPr>
            <w:r>
              <w:rPr>
                <w:rFonts w:ascii="Cambria"/>
                <w:sz w:val="22"/>
              </w:rPr>
              <w:t>activeCellId </w:t>
            </w:r>
            <w:r>
              <w:rPr>
                <w:sz w:val="22"/>
              </w:rPr>
              <w:t>(Active Cell Index)</w:t>
            </w:r>
          </w:p>
        </w:tc>
        <w:tc>
          <w:tcPr>
            <w:tcW w:w="8250" w:type="dxa"/>
          </w:tcPr>
          <w:p>
            <w:pPr>
              <w:pStyle w:val="TableParagraph"/>
              <w:ind w:right="376"/>
              <w:rPr>
                <w:sz w:val="22"/>
              </w:rPr>
            </w:pPr>
            <w:r>
              <w:rPr>
                <w:sz w:val="22"/>
              </w:rPr>
              <w:t>0-based index of the range reference (in the array of references listed in </w:t>
            </w:r>
            <w:r>
              <w:rPr>
                <w:rFonts w:ascii="Cambria"/>
                <w:sz w:val="22"/>
              </w:rPr>
              <w:t>sqref</w:t>
            </w:r>
            <w:r>
              <w:rPr>
                <w:sz w:val="22"/>
              </w:rPr>
              <w:t>) containing the active cell. Only used when the selection in </w:t>
            </w:r>
            <w:r>
              <w:rPr>
                <w:rFonts w:ascii="Cambria"/>
                <w:sz w:val="22"/>
              </w:rPr>
              <w:t>sqref </w:t>
            </w:r>
            <w:r>
              <w:rPr>
                <w:sz w:val="22"/>
              </w:rPr>
              <w:t>is not contiguous. Therefore, this value needs to be aware of the order in which the range references are written in </w:t>
            </w:r>
            <w:r>
              <w:rPr>
                <w:rFonts w:ascii="Cambria"/>
                <w:sz w:val="22"/>
              </w:rPr>
              <w:t>sqref</w:t>
            </w:r>
            <w:r>
              <w:rPr>
                <w:sz w:val="22"/>
              </w:rPr>
              <w:t>.</w:t>
            </w:r>
          </w:p>
          <w:p>
            <w:pPr>
              <w:pStyle w:val="TableParagraph"/>
              <w:spacing w:before="11"/>
              <w:ind w:left="0"/>
              <w:rPr>
                <w:sz w:val="21"/>
              </w:rPr>
            </w:pPr>
          </w:p>
          <w:p>
            <w:pPr>
              <w:pStyle w:val="TableParagraph"/>
              <w:spacing w:before="0"/>
              <w:rPr>
                <w:sz w:val="22"/>
              </w:rPr>
            </w:pPr>
            <w:r>
              <w:rPr>
                <w:sz w:val="22"/>
              </w:rPr>
              <w:t>When this value is out of range then activeCell can be used.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90" w:hRule="atLeast"/>
        </w:trPr>
        <w:tc>
          <w:tcPr>
            <w:tcW w:w="2062" w:type="dxa"/>
          </w:tcPr>
          <w:p>
            <w:pPr>
              <w:pStyle w:val="TableParagraph"/>
              <w:rPr>
                <w:sz w:val="22"/>
              </w:rPr>
            </w:pPr>
            <w:r>
              <w:rPr>
                <w:rFonts w:ascii="Cambria"/>
                <w:sz w:val="22"/>
              </w:rPr>
              <w:t>pane </w:t>
            </w:r>
            <w:r>
              <w:rPr>
                <w:sz w:val="22"/>
              </w:rPr>
              <w:t>(Pane)</w:t>
            </w:r>
          </w:p>
        </w:tc>
        <w:tc>
          <w:tcPr>
            <w:tcW w:w="8250" w:type="dxa"/>
          </w:tcPr>
          <w:p>
            <w:pPr>
              <w:pStyle w:val="TableParagraph"/>
              <w:rPr>
                <w:sz w:val="22"/>
              </w:rPr>
            </w:pPr>
            <w:r>
              <w:rPr>
                <w:sz w:val="22"/>
              </w:rPr>
              <w:t>The pane to which this selection belongs.</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ST_Pane </w:t>
            </w:r>
            <w:r>
              <w:rPr>
                <w:sz w:val="22"/>
              </w:rPr>
              <w:t>simple type (§</w:t>
            </w:r>
            <w:hyperlink w:history="true" w:anchor="_bookmark874">
              <w:r>
                <w:rPr>
                  <w:sz w:val="22"/>
                </w:rPr>
                <w:t>18.18.52</w:t>
              </w:r>
            </w:hyperlink>
            <w:r>
              <w:rPr>
                <w:sz w:val="22"/>
              </w:rPr>
              <w:t>).</w:t>
            </w:r>
          </w:p>
        </w:tc>
      </w:tr>
      <w:tr>
        <w:trPr>
          <w:trHeight w:val="1161" w:hRule="atLeast"/>
        </w:trPr>
        <w:tc>
          <w:tcPr>
            <w:tcW w:w="2062" w:type="dxa"/>
          </w:tcPr>
          <w:p>
            <w:pPr>
              <w:pStyle w:val="TableParagraph"/>
              <w:spacing w:before="42"/>
              <w:ind w:right="219"/>
              <w:rPr>
                <w:sz w:val="22"/>
              </w:rPr>
            </w:pPr>
            <w:r>
              <w:rPr>
                <w:rFonts w:ascii="Cambria"/>
                <w:sz w:val="22"/>
              </w:rPr>
              <w:t>sqref </w:t>
            </w:r>
            <w:r>
              <w:rPr>
                <w:sz w:val="22"/>
              </w:rPr>
              <w:t>(Sequence of References)</w:t>
            </w:r>
          </w:p>
        </w:tc>
        <w:tc>
          <w:tcPr>
            <w:tcW w:w="8250" w:type="dxa"/>
          </w:tcPr>
          <w:p>
            <w:pPr>
              <w:pStyle w:val="TableParagraph"/>
              <w:spacing w:before="42"/>
              <w:rPr>
                <w:sz w:val="22"/>
              </w:rPr>
            </w:pPr>
            <w:r>
              <w:rPr>
                <w:sz w:val="22"/>
              </w:rPr>
              <w:t>Range of the selection. Can be non-contiguous set of ranges.</w:t>
            </w:r>
          </w:p>
          <w:p>
            <w:pPr>
              <w:pStyle w:val="TableParagraph"/>
              <w:spacing w:before="11"/>
              <w:ind w:left="0"/>
              <w:rPr>
                <w:sz w:val="21"/>
              </w:rPr>
            </w:pPr>
          </w:p>
          <w:p>
            <w:pPr>
              <w:pStyle w:val="TableParagraph"/>
              <w:spacing w:before="0"/>
              <w:ind w:right="1210"/>
              <w:rPr>
                <w:sz w:val="22"/>
              </w:rPr>
            </w:pPr>
            <w:r>
              <w:rPr>
                <w:sz w:val="22"/>
              </w:rPr>
              <w:t>The possible values for this attribute are defined by the </w:t>
            </w:r>
            <w:r>
              <w:rPr>
                <w:rFonts w:ascii="Cambria" w:hAnsi="Cambria"/>
                <w:sz w:val="22"/>
              </w:rPr>
              <w:t>ST_Sqref </w:t>
            </w:r>
            <w:r>
              <w:rPr>
                <w:sz w:val="22"/>
              </w:rPr>
              <w:t>simple type </w:t>
            </w:r>
            <w:hyperlink w:history="true" w:anchor="_bookmark898">
              <w:r>
                <w:rPr>
                  <w:sz w:val="22"/>
                </w:rPr>
                <w:t>(§18.18.76</w:t>
              </w:r>
            </w:hyperlink>
            <w:r>
              <w:rPr>
                <w:sz w:val="22"/>
              </w:rPr>
              <w:t>).</w:t>
            </w:r>
          </w:p>
        </w:tc>
      </w:tr>
    </w:tbl>
    <w:p>
      <w:pPr>
        <w:pStyle w:val="BodyText"/>
      </w:pPr>
    </w:p>
    <w:p>
      <w:pPr>
        <w:pStyle w:val="BodyText"/>
        <w:spacing w:before="5"/>
        <w:rPr>
          <w:sz w:val="19"/>
        </w:rPr>
      </w:pPr>
    </w:p>
    <w:p>
      <w:pPr>
        <w:pStyle w:val="BodyText"/>
        <w:spacing w:line="278" w:lineRule="auto"/>
        <w:ind w:left="220" w:right="666"/>
      </w:pPr>
      <w:r>
        <w:rPr/>
        <w:t>[</w:t>
      </w:r>
      <w:r>
        <w:rPr>
          <w:i/>
        </w:rPr>
        <w:t>Note</w:t>
      </w:r>
      <w:r>
        <w:rPr/>
        <w:t>: The W3C XML Schema definition of this element’s content model (</w:t>
      </w:r>
      <w:r>
        <w:rPr>
          <w:color w:val="5F5F5F"/>
          <w:u w:val="single" w:color="5F5F5F"/>
        </w:rPr>
        <w:t>CT_Selection</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79 sheetCalcPr (Sheet Calculation" w:id="338"/>
      <w:bookmarkEnd w:id="338"/>
      <w:r>
        <w:rPr/>
      </w:r>
      <w:bookmarkStart w:name="_bookmark111" w:id="339"/>
      <w:bookmarkEnd w:id="339"/>
      <w:r>
        <w:rPr/>
      </w:r>
      <w:bookmarkStart w:name="_bookmark111" w:id="340"/>
      <w:bookmarkEnd w:id="340"/>
      <w:r>
        <w:rPr>
          <w:color w:val="4F81BC"/>
        </w:rPr>
        <w:t>sheet</w:t>
      </w:r>
      <w:r>
        <w:rPr>
          <w:color w:val="4F81BC"/>
        </w:rPr>
        <w:t>CalcPr (Sheet Calculation</w:t>
      </w:r>
      <w:r>
        <w:rPr>
          <w:color w:val="4F81BC"/>
          <w:spacing w:val="-2"/>
        </w:rPr>
        <w:t> </w:t>
      </w:r>
      <w:r>
        <w:rPr>
          <w:color w:val="4F81BC"/>
        </w:rPr>
        <w:t>Properties)</w:t>
      </w:r>
    </w:p>
    <w:p>
      <w:pPr>
        <w:pStyle w:val="BodyText"/>
        <w:spacing w:before="121"/>
        <w:ind w:left="220"/>
      </w:pPr>
      <w:r>
        <w:rPr/>
        <w:t>This element contains calculation properties for the worksheet.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9" w:hRule="atLeast"/>
        </w:trPr>
        <w:tc>
          <w:tcPr>
            <w:tcW w:w="2062" w:type="dxa"/>
          </w:tcPr>
          <w:p>
            <w:pPr>
              <w:pStyle w:val="TableParagraph"/>
              <w:spacing w:line="237" w:lineRule="auto" w:before="45"/>
              <w:ind w:right="178"/>
              <w:rPr>
                <w:sz w:val="22"/>
              </w:rPr>
            </w:pPr>
            <w:r>
              <w:rPr>
                <w:rFonts w:ascii="Cambria"/>
                <w:sz w:val="22"/>
              </w:rPr>
              <w:t>fullCalcOnLoad </w:t>
            </w:r>
            <w:r>
              <w:rPr>
                <w:sz w:val="22"/>
              </w:rPr>
              <w:t>(Full Calculation On Load)</w:t>
            </w:r>
          </w:p>
        </w:tc>
        <w:tc>
          <w:tcPr>
            <w:tcW w:w="8250" w:type="dxa"/>
          </w:tcPr>
          <w:p>
            <w:pPr>
              <w:pStyle w:val="TableParagraph"/>
              <w:ind w:right="106"/>
              <w:rPr>
                <w:sz w:val="22"/>
              </w:rPr>
            </w:pPr>
            <w:r>
              <w:rPr>
                <w:sz w:val="22"/>
              </w:rPr>
              <w:t>Indicates whether the application should do a full calculate on load due to contents on this sheet. After load and successful calc, the application shall set this value to false. Set this to true when the application should calculate the workbook on load.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line="278" w:lineRule="auto" w:before="148"/>
        <w:ind w:left="220" w:right="419"/>
      </w:pPr>
      <w:r>
        <w:rPr/>
        <w:t>[</w:t>
      </w:r>
      <w:r>
        <w:rPr>
          <w:i/>
        </w:rPr>
        <w:t>Note</w:t>
      </w:r>
      <w:r>
        <w:rPr/>
        <w:t>: The W3C XML Schema definition of this element’s content model (</w:t>
      </w:r>
      <w:r>
        <w:rPr>
          <w:color w:val="5F5F5F"/>
          <w:u w:val="single" w:color="5F5F5F"/>
        </w:rPr>
        <w:t>CT_SheetCalcPr</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0 sheetData (Sheet Data)" w:id="341"/>
      <w:bookmarkEnd w:id="341"/>
      <w:r>
        <w:rPr/>
      </w:r>
      <w:bookmarkStart w:name="_bookmark112" w:id="342"/>
      <w:bookmarkEnd w:id="342"/>
      <w:r>
        <w:rPr/>
      </w:r>
      <w:bookmarkStart w:name="_bookmark112" w:id="343"/>
      <w:bookmarkEnd w:id="343"/>
      <w:r>
        <w:rPr>
          <w:color w:val="4F81BC"/>
        </w:rPr>
        <w:t>sheetData</w:t>
      </w:r>
      <w:r>
        <w:rPr>
          <w:color w:val="4F81BC"/>
        </w:rPr>
        <w:t> (Sheet</w:t>
      </w:r>
      <w:r>
        <w:rPr>
          <w:color w:val="4F81BC"/>
          <w:spacing w:val="-1"/>
        </w:rPr>
        <w:t> </w:t>
      </w:r>
      <w:r>
        <w:rPr>
          <w:color w:val="4F81BC"/>
        </w:rPr>
        <w:t>Data)</w:t>
      </w:r>
    </w:p>
    <w:p>
      <w:pPr>
        <w:pStyle w:val="BodyText"/>
        <w:spacing w:line="276" w:lineRule="auto" w:before="119"/>
        <w:ind w:left="220" w:right="782"/>
      </w:pPr>
      <w:r>
        <w:rPr/>
        <w:t>This collection represents the cell table itself. This collection expresses information about each cell, grouped together by rows in the worksheet.</w:t>
      </w:r>
    </w:p>
    <w:p>
      <w:pPr>
        <w:pStyle w:val="BodyText"/>
        <w:spacing w:before="3"/>
        <w:rPr>
          <w:sz w:val="16"/>
        </w:rPr>
      </w:pPr>
    </w:p>
    <w:p>
      <w:pPr>
        <w:pStyle w:val="BodyText"/>
        <w:spacing w:line="278" w:lineRule="auto"/>
        <w:ind w:left="220" w:right="556"/>
      </w:pPr>
      <w:r>
        <w:rPr/>
        <w:t>[</w:t>
      </w:r>
      <w:r>
        <w:rPr>
          <w:i/>
        </w:rPr>
        <w:t>Note</w:t>
      </w:r>
      <w:r>
        <w:rPr/>
        <w:t>: The W3C XML Schema definition of this element’s content model (</w:t>
      </w:r>
      <w:r>
        <w:rPr>
          <w:color w:val="5F5F5F"/>
          <w:u w:val="single" w:color="5F5F5F"/>
        </w:rPr>
        <w:t>CT_SheetData</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1 sheetFormatPr (Sheet Format Pr" w:id="344"/>
      <w:bookmarkEnd w:id="344"/>
      <w:r>
        <w:rPr/>
      </w:r>
      <w:bookmarkStart w:name="_bookmark113" w:id="345"/>
      <w:bookmarkEnd w:id="345"/>
      <w:r>
        <w:rPr/>
      </w:r>
      <w:bookmarkStart w:name="_bookmark113" w:id="346"/>
      <w:bookmarkEnd w:id="346"/>
      <w:r>
        <w:rPr>
          <w:color w:val="4F81BC"/>
        </w:rPr>
        <w:t>sheetFo</w:t>
      </w:r>
      <w:r>
        <w:rPr>
          <w:color w:val="4F81BC"/>
        </w:rPr>
        <w:t>rmatPr (Sheet Format</w:t>
      </w:r>
      <w:r>
        <w:rPr>
          <w:color w:val="4F81BC"/>
          <w:spacing w:val="-2"/>
        </w:rPr>
        <w:t> </w:t>
      </w:r>
      <w:r>
        <w:rPr>
          <w:color w:val="4F81BC"/>
        </w:rPr>
        <w:t>Properties)</w:t>
      </w:r>
    </w:p>
    <w:p>
      <w:pPr>
        <w:pStyle w:val="BodyText"/>
        <w:spacing w:before="121"/>
        <w:ind w:left="220"/>
      </w:pPr>
      <w:r>
        <w:rPr/>
        <w:t>Sheet formatting properties.</w:t>
      </w:r>
    </w:p>
    <w:p>
      <w:pPr>
        <w:pStyle w:val="BodyText"/>
        <w:spacing w:before="10"/>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spacing w:before="42"/>
              <w:ind w:right="605"/>
              <w:rPr>
                <w:sz w:val="22"/>
              </w:rPr>
            </w:pPr>
            <w:r>
              <w:rPr>
                <w:rFonts w:ascii="Cambria"/>
                <w:sz w:val="22"/>
              </w:rPr>
              <w:t>baseColWidth </w:t>
            </w:r>
            <w:r>
              <w:rPr>
                <w:sz w:val="22"/>
              </w:rPr>
              <w:t>(Base Column Width)</w:t>
            </w:r>
          </w:p>
        </w:tc>
        <w:tc>
          <w:tcPr>
            <w:tcW w:w="8250" w:type="dxa"/>
          </w:tcPr>
          <w:p>
            <w:pPr>
              <w:pStyle w:val="TableParagraph"/>
              <w:ind w:right="114"/>
              <w:rPr>
                <w:sz w:val="22"/>
              </w:rPr>
            </w:pPr>
            <w:r>
              <w:rPr>
                <w:sz w:val="22"/>
              </w:rPr>
              <w:t>Specifies the number of characters of the maximum digit width of the normal style's font. This value does not include margin padding or extra padding for gridlines. It is only the number of characters.</w:t>
            </w:r>
          </w:p>
          <w:p>
            <w:pPr>
              <w:pStyle w:val="TableParagraph"/>
              <w:spacing w:before="0"/>
              <w:ind w:left="0"/>
              <w:rPr>
                <w:sz w:val="22"/>
              </w:rPr>
            </w:pPr>
          </w:p>
          <w:p>
            <w:pPr>
              <w:pStyle w:val="TableParagraph"/>
              <w:spacing w:before="1"/>
              <w:rPr>
                <w:sz w:val="22"/>
              </w:rPr>
            </w:pPr>
            <w:r>
              <w:rPr>
                <w:sz w:val="22"/>
              </w:rPr>
              <w:t>See defaultColWidth description in this section for details on calculating this value.</w:t>
            </w:r>
          </w:p>
          <w:p>
            <w:pPr>
              <w:pStyle w:val="TableParagraph"/>
              <w:spacing w:before="0"/>
              <w:ind w:left="0"/>
              <w:rPr>
                <w:sz w:val="22"/>
              </w:rPr>
            </w:pPr>
          </w:p>
          <w:p>
            <w:pPr>
              <w:pStyle w:val="TableParagraph"/>
              <w:spacing w:before="0"/>
              <w:ind w:right="415"/>
              <w:rPr>
                <w:sz w:val="22"/>
              </w:rPr>
            </w:pPr>
            <w:r>
              <w:rPr>
                <w:sz w:val="22"/>
              </w:rPr>
              <w:t>See the </w:t>
            </w:r>
            <w:r>
              <w:rPr>
                <w:rFonts w:ascii="Cambria"/>
                <w:sz w:val="22"/>
              </w:rPr>
              <w:t>col </w:t>
            </w:r>
            <w:r>
              <w:rPr>
                <w:sz w:val="22"/>
              </w:rPr>
              <w:t>element description, particularly the </w:t>
            </w:r>
            <w:r>
              <w:rPr>
                <w:rFonts w:ascii="Cambria"/>
                <w:sz w:val="22"/>
              </w:rPr>
              <w:t>width </w:t>
            </w:r>
            <w:r>
              <w:rPr>
                <w:sz w:val="22"/>
              </w:rPr>
              <w:t>attribute description, for more information on what is meant by "maximum digit width".</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30" w:hRule="atLeast"/>
        </w:trPr>
        <w:tc>
          <w:tcPr>
            <w:tcW w:w="2062" w:type="dxa"/>
          </w:tcPr>
          <w:p>
            <w:pPr>
              <w:pStyle w:val="TableParagraph"/>
              <w:spacing w:line="257" w:lineRule="exact" w:before="43"/>
              <w:rPr>
                <w:rFonts w:ascii="Cambria"/>
                <w:sz w:val="22"/>
              </w:rPr>
            </w:pPr>
            <w:r>
              <w:rPr>
                <w:rFonts w:ascii="Cambria"/>
                <w:sz w:val="22"/>
              </w:rPr>
              <w:t>customHeight</w:t>
            </w:r>
          </w:p>
          <w:p>
            <w:pPr>
              <w:pStyle w:val="TableParagraph"/>
              <w:spacing w:line="268" w:lineRule="exact" w:before="0"/>
              <w:rPr>
                <w:sz w:val="22"/>
              </w:rPr>
            </w:pPr>
            <w:r>
              <w:rPr>
                <w:sz w:val="22"/>
              </w:rPr>
              <w:t>(Custom Height)</w:t>
            </w:r>
          </w:p>
        </w:tc>
        <w:tc>
          <w:tcPr>
            <w:tcW w:w="8250" w:type="dxa"/>
          </w:tcPr>
          <w:p>
            <w:pPr>
              <w:pStyle w:val="TableParagraph"/>
              <w:ind w:right="263"/>
              <w:rPr>
                <w:sz w:val="22"/>
              </w:rPr>
            </w:pPr>
            <w:r>
              <w:rPr>
                <w:sz w:val="22"/>
              </w:rPr>
              <w:t>'True' if </w:t>
            </w:r>
            <w:r>
              <w:rPr>
                <w:rFonts w:ascii="Cambria"/>
                <w:sz w:val="22"/>
              </w:rPr>
              <w:t>defaultRowHeight </w:t>
            </w:r>
            <w:r>
              <w:rPr>
                <w:sz w:val="22"/>
              </w:rPr>
              <w:t>value has been manually set, or is different from the default value.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7" w:hRule="atLeast"/>
        </w:trPr>
        <w:tc>
          <w:tcPr>
            <w:tcW w:w="2062" w:type="dxa"/>
          </w:tcPr>
          <w:p>
            <w:pPr>
              <w:pStyle w:val="TableParagraph"/>
              <w:spacing w:line="237" w:lineRule="auto" w:before="45"/>
              <w:ind w:right="376"/>
              <w:rPr>
                <w:sz w:val="22"/>
              </w:rPr>
            </w:pPr>
            <w:r>
              <w:rPr>
                <w:rFonts w:ascii="Cambria"/>
                <w:sz w:val="22"/>
              </w:rPr>
              <w:t>defaultColWidth </w:t>
            </w:r>
            <w:r>
              <w:rPr>
                <w:sz w:val="22"/>
              </w:rPr>
              <w:t>(Default Column Width)</w:t>
            </w:r>
          </w:p>
        </w:tc>
        <w:tc>
          <w:tcPr>
            <w:tcW w:w="8250" w:type="dxa"/>
          </w:tcPr>
          <w:p>
            <w:pPr>
              <w:pStyle w:val="TableParagraph"/>
              <w:ind w:right="129"/>
              <w:rPr>
                <w:sz w:val="22"/>
              </w:rPr>
            </w:pPr>
            <w:r>
              <w:rPr>
                <w:sz w:val="22"/>
              </w:rPr>
              <w:t>Default column width measured as the number of characters of the maximum digit width of the normal style's font.</w:t>
            </w:r>
          </w:p>
          <w:p>
            <w:pPr>
              <w:pStyle w:val="TableParagraph"/>
              <w:spacing w:before="10"/>
              <w:ind w:left="0"/>
              <w:rPr>
                <w:sz w:val="21"/>
              </w:rPr>
            </w:pPr>
          </w:p>
          <w:p>
            <w:pPr>
              <w:pStyle w:val="TableParagraph"/>
              <w:spacing w:before="0"/>
              <w:rPr>
                <w:sz w:val="22"/>
              </w:rPr>
            </w:pPr>
            <w:r>
              <w:rPr>
                <w:sz w:val="22"/>
              </w:rPr>
              <w:t>If the user has not set this manually, then it can be calculated:</w:t>
            </w:r>
          </w:p>
          <w:p>
            <w:pPr>
              <w:pStyle w:val="TableParagraph"/>
              <w:spacing w:before="0"/>
              <w:ind w:right="146"/>
              <w:rPr>
                <w:sz w:val="22"/>
              </w:rPr>
            </w:pPr>
            <w:r>
              <w:rPr>
                <w:rFonts w:ascii="Cambria"/>
                <w:sz w:val="22"/>
              </w:rPr>
              <w:t>defaultColWidth </w:t>
            </w:r>
            <w:r>
              <w:rPr>
                <w:sz w:val="22"/>
              </w:rPr>
              <w:t>= </w:t>
            </w:r>
            <w:r>
              <w:rPr>
                <w:rFonts w:ascii="Cambria"/>
                <w:sz w:val="22"/>
              </w:rPr>
              <w:t>baseColumnWidth </w:t>
            </w:r>
            <w:r>
              <w:rPr>
                <w:sz w:val="22"/>
              </w:rPr>
              <w:t>+ {margin padding (2 pixels on each side, totalling 4 pixels)} + {gridline (1pixel)}</w:t>
            </w:r>
          </w:p>
          <w:p>
            <w:pPr>
              <w:pStyle w:val="TableParagraph"/>
              <w:spacing w:before="2"/>
              <w:ind w:left="0"/>
              <w:rPr>
                <w:sz w:val="22"/>
              </w:rPr>
            </w:pPr>
          </w:p>
          <w:p>
            <w:pPr>
              <w:pStyle w:val="TableParagraph"/>
              <w:spacing w:before="0"/>
              <w:ind w:right="796"/>
              <w:rPr>
                <w:sz w:val="22"/>
              </w:rPr>
            </w:pPr>
            <w:r>
              <w:rPr>
                <w:sz w:val="22"/>
              </w:rPr>
              <w:t>If the user has set this manually, then there is no calculation, and simply a value is specified.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1"/>
              <w:rPr>
                <w:sz w:val="22"/>
              </w:rPr>
            </w:pPr>
            <w:r>
              <w:rPr>
                <w:sz w:val="22"/>
              </w:rPr>
              <w:t>datatype.</w:t>
            </w:r>
          </w:p>
        </w:tc>
      </w:tr>
      <w:tr>
        <w:trPr>
          <w:trHeight w:val="892" w:hRule="atLeast"/>
        </w:trPr>
        <w:tc>
          <w:tcPr>
            <w:tcW w:w="2062" w:type="dxa"/>
          </w:tcPr>
          <w:p>
            <w:pPr>
              <w:pStyle w:val="TableParagraph"/>
              <w:spacing w:before="42"/>
              <w:ind w:right="210"/>
              <w:rPr>
                <w:sz w:val="22"/>
              </w:rPr>
            </w:pPr>
            <w:r>
              <w:rPr>
                <w:rFonts w:ascii="Cambria"/>
                <w:sz w:val="22"/>
              </w:rPr>
              <w:t>defaultRowHeight </w:t>
            </w:r>
            <w:r>
              <w:rPr>
                <w:sz w:val="22"/>
              </w:rPr>
              <w:t>(Default Row Height)</w:t>
            </w:r>
          </w:p>
        </w:tc>
        <w:tc>
          <w:tcPr>
            <w:tcW w:w="8250" w:type="dxa"/>
          </w:tcPr>
          <w:p>
            <w:pPr>
              <w:pStyle w:val="TableParagraph"/>
              <w:ind w:right="360"/>
              <w:rPr>
                <w:sz w:val="22"/>
              </w:rPr>
            </w:pPr>
            <w:r>
              <w:rPr>
                <w:sz w:val="22"/>
              </w:rPr>
              <w:t>Default row height measured in point size. Optimization so we don't have to write the height on all rows. This can be written out if most rows have custom height, to achieve the optimization.</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ind w:right="107"/>
              <w:rPr>
                <w:sz w:val="22"/>
              </w:rPr>
            </w:pPr>
            <w:r>
              <w:rPr>
                <w:sz w:val="22"/>
              </w:rPr>
              <w:t>When the row height of all rows in a sheet is the default value, then that value is written here, and </w:t>
            </w:r>
            <w:r>
              <w:rPr>
                <w:rFonts w:ascii="Cambria"/>
                <w:sz w:val="22"/>
              </w:rPr>
              <w:t>customHeight </w:t>
            </w:r>
            <w:r>
              <w:rPr>
                <w:sz w:val="22"/>
              </w:rPr>
              <w:t>is not set. If a few rows have a different height, that information is written directly on each row. However, if most or all of the rows in the sheet have the same height, but that height isn't the default height, then that height value should be written here (as an optimization), and the </w:t>
            </w:r>
            <w:r>
              <w:rPr>
                <w:rFonts w:ascii="Cambria"/>
                <w:sz w:val="22"/>
              </w:rPr>
              <w:t>customHeight </w:t>
            </w:r>
            <w:r>
              <w:rPr>
                <w:sz w:val="22"/>
              </w:rPr>
              <w:t>flag should also be set. In this case, all rows having this height do not need to express the height, only rows whose height differs from this value need to be explicitly expressed.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428" w:hRule="atLeast"/>
        </w:trPr>
        <w:tc>
          <w:tcPr>
            <w:tcW w:w="2062" w:type="dxa"/>
          </w:tcPr>
          <w:p>
            <w:pPr>
              <w:pStyle w:val="TableParagraph"/>
              <w:spacing w:line="237" w:lineRule="auto" w:before="45"/>
              <w:ind w:right="465"/>
              <w:jc w:val="both"/>
              <w:rPr>
                <w:sz w:val="22"/>
              </w:rPr>
            </w:pPr>
            <w:r>
              <w:rPr>
                <w:rFonts w:ascii="Cambria"/>
                <w:sz w:val="22"/>
              </w:rPr>
              <w:t>outlineLevelCol </w:t>
            </w:r>
            <w:r>
              <w:rPr>
                <w:sz w:val="22"/>
              </w:rPr>
              <w:t>(Column Outline Level)</w:t>
            </w:r>
          </w:p>
        </w:tc>
        <w:tc>
          <w:tcPr>
            <w:tcW w:w="8250" w:type="dxa"/>
          </w:tcPr>
          <w:p>
            <w:pPr>
              <w:pStyle w:val="TableParagraph"/>
              <w:ind w:right="197"/>
              <w:rPr>
                <w:sz w:val="22"/>
              </w:rPr>
            </w:pPr>
            <w:r>
              <w:rPr>
                <w:sz w:val="22"/>
              </w:rPr>
              <w:t>Highest number of outline levels for columns in this sheet. These values shall be in synch with the actual sheet outline levels.</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unsignedByte</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spacing w:before="42"/>
              <w:ind w:right="233"/>
              <w:rPr>
                <w:sz w:val="22"/>
              </w:rPr>
            </w:pPr>
            <w:r>
              <w:rPr>
                <w:rFonts w:ascii="Cambria"/>
                <w:sz w:val="22"/>
              </w:rPr>
              <w:t>outlineLevelRow </w:t>
            </w:r>
            <w:r>
              <w:rPr>
                <w:sz w:val="22"/>
              </w:rPr>
              <w:t>(Maximum Outline Row)</w:t>
            </w:r>
          </w:p>
        </w:tc>
        <w:tc>
          <w:tcPr>
            <w:tcW w:w="8250" w:type="dxa"/>
          </w:tcPr>
          <w:p>
            <w:pPr>
              <w:pStyle w:val="TableParagraph"/>
              <w:ind w:right="153"/>
              <w:rPr>
                <w:sz w:val="22"/>
              </w:rPr>
            </w:pPr>
            <w:r>
              <w:rPr>
                <w:sz w:val="22"/>
              </w:rPr>
              <w:t>Highest number of outline level for rows in this sheet. These values shall be in synch with the actual sheet outline levels.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1"/>
              <w:rPr>
                <w:sz w:val="22"/>
              </w:rPr>
            </w:pPr>
            <w:r>
              <w:rPr>
                <w:sz w:val="22"/>
              </w:rPr>
              <w:t>datatype.</w:t>
            </w:r>
          </w:p>
        </w:tc>
      </w:tr>
      <w:tr>
        <w:trPr>
          <w:trHeight w:val="1159" w:hRule="atLeast"/>
        </w:trPr>
        <w:tc>
          <w:tcPr>
            <w:tcW w:w="2062" w:type="dxa"/>
          </w:tcPr>
          <w:p>
            <w:pPr>
              <w:pStyle w:val="TableParagraph"/>
              <w:ind w:right="166"/>
              <w:rPr>
                <w:sz w:val="22"/>
              </w:rPr>
            </w:pPr>
            <w:r>
              <w:rPr>
                <w:rFonts w:ascii="Cambria"/>
                <w:sz w:val="22"/>
              </w:rPr>
              <w:t>thickBottom </w:t>
            </w:r>
            <w:r>
              <w:rPr>
                <w:sz w:val="22"/>
              </w:rPr>
              <w:t>(Thick Bottom Border)</w:t>
            </w:r>
          </w:p>
        </w:tc>
        <w:tc>
          <w:tcPr>
            <w:tcW w:w="8250" w:type="dxa"/>
          </w:tcPr>
          <w:p>
            <w:pPr>
              <w:pStyle w:val="TableParagraph"/>
              <w:rPr>
                <w:sz w:val="22"/>
              </w:rPr>
            </w:pPr>
            <w:r>
              <w:rPr>
                <w:sz w:val="22"/>
              </w:rPr>
              <w:t>'True' if rows have a thick bottom border by default.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ind w:right="108"/>
              <w:rPr>
                <w:sz w:val="22"/>
              </w:rPr>
            </w:pPr>
            <w:r>
              <w:rPr>
                <w:rFonts w:ascii="Cambria"/>
                <w:sz w:val="22"/>
              </w:rPr>
              <w:t>thickTop </w:t>
            </w:r>
            <w:r>
              <w:rPr>
                <w:sz w:val="22"/>
              </w:rPr>
              <w:t>(Thick Top Border)</w:t>
            </w:r>
          </w:p>
        </w:tc>
        <w:tc>
          <w:tcPr>
            <w:tcW w:w="8250" w:type="dxa"/>
          </w:tcPr>
          <w:p>
            <w:pPr>
              <w:pStyle w:val="TableParagraph"/>
              <w:rPr>
                <w:sz w:val="22"/>
              </w:rPr>
            </w:pPr>
            <w:r>
              <w:rPr>
                <w:sz w:val="22"/>
              </w:rPr>
              <w:t>'True' if rows have a thick top border by default.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ind w:right="118"/>
              <w:rPr>
                <w:sz w:val="22"/>
              </w:rPr>
            </w:pPr>
            <w:r>
              <w:rPr>
                <w:rFonts w:ascii="Cambria"/>
                <w:sz w:val="22"/>
              </w:rPr>
              <w:t>zeroHeight </w:t>
            </w:r>
            <w:r>
              <w:rPr>
                <w:sz w:val="22"/>
              </w:rPr>
              <w:t>(Hidden By Default)</w:t>
            </w:r>
          </w:p>
        </w:tc>
        <w:tc>
          <w:tcPr>
            <w:tcW w:w="8250" w:type="dxa"/>
          </w:tcPr>
          <w:p>
            <w:pPr>
              <w:pStyle w:val="TableParagraph"/>
              <w:ind w:right="205"/>
              <w:rPr>
                <w:sz w:val="22"/>
              </w:rPr>
            </w:pPr>
            <w:r>
              <w:rPr>
                <w:sz w:val="22"/>
              </w:rPr>
              <w:t>'True' if rows are hidden by default. This setting is an optimization used when most rows of the sheet are hidden. In this case, instead of writing out every row and specifying hidden, it is much shorter to only write out the rows that are not hidden, and specify here that rows are hidden by default, and only not hidden if specified.</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7"/>
        <w:ind w:left="220"/>
      </w:pPr>
      <w:r>
        <w:rPr/>
        <w:t>[</w:t>
      </w:r>
      <w:r>
        <w:rPr>
          <w:i/>
        </w:rPr>
        <w:t>Note</w:t>
      </w:r>
      <w:r>
        <w:rPr/>
        <w:t>: The W3C XML Schema definition of this element’s content model (</w:t>
      </w:r>
      <w:r>
        <w:rPr>
          <w:color w:val="5F5F5F"/>
          <w:u w:val="single" w:color="5F5F5F"/>
        </w:rPr>
        <w:t>CT_SheetFormatPr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2 sheetPr (Sheet Properties)" w:id="347"/>
      <w:bookmarkEnd w:id="347"/>
      <w:r>
        <w:rPr/>
      </w:r>
      <w:bookmarkStart w:name="_bookmark114" w:id="348"/>
      <w:bookmarkEnd w:id="348"/>
      <w:r>
        <w:rPr/>
      </w:r>
      <w:bookmarkStart w:name="_bookmark114" w:id="349"/>
      <w:bookmarkEnd w:id="349"/>
      <w:r>
        <w:rPr>
          <w:color w:val="4F81BC"/>
        </w:rPr>
        <w:t>sheetPr</w:t>
      </w:r>
      <w:r>
        <w:rPr>
          <w:color w:val="4F81BC"/>
        </w:rPr>
        <w:t> (Sheet</w:t>
      </w:r>
      <w:r>
        <w:rPr>
          <w:color w:val="4F81BC"/>
          <w:spacing w:val="-2"/>
        </w:rPr>
        <w:t> </w:t>
      </w:r>
      <w:r>
        <w:rPr>
          <w:color w:val="4F81BC"/>
        </w:rPr>
        <w:t>Properties)</w:t>
      </w:r>
    </w:p>
    <w:p>
      <w:pPr>
        <w:pStyle w:val="BodyText"/>
        <w:spacing w:before="121"/>
        <w:ind w:left="220"/>
      </w:pPr>
      <w:r>
        <w:rPr/>
        <w:t>Sheet-level properties.</w:t>
      </w:r>
    </w:p>
    <w:p>
      <w:pPr>
        <w:spacing w:after="0"/>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ind w:right="352"/>
              <w:rPr>
                <w:sz w:val="22"/>
              </w:rPr>
            </w:pPr>
            <w:r>
              <w:rPr>
                <w:rFonts w:ascii="Cambria"/>
                <w:sz w:val="22"/>
              </w:rPr>
              <w:t>codeName </w:t>
            </w:r>
            <w:r>
              <w:rPr>
                <w:sz w:val="22"/>
              </w:rPr>
              <w:t>(Code Name)</w:t>
            </w:r>
          </w:p>
        </w:tc>
        <w:tc>
          <w:tcPr>
            <w:tcW w:w="8250" w:type="dxa"/>
          </w:tcPr>
          <w:p>
            <w:pPr>
              <w:pStyle w:val="TableParagraph"/>
              <w:ind w:right="379"/>
              <w:rPr>
                <w:sz w:val="22"/>
              </w:rPr>
            </w:pPr>
            <w:r>
              <w:rPr>
                <w:sz w:val="22"/>
              </w:rPr>
              <w:t>Specifies a stable name of the sheet, which should not change over time, and does not change from user input. This name should be used by code to reference a particular sheet.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r>
        <w:trPr>
          <w:trHeight w:val="2772" w:hRule="atLeast"/>
        </w:trPr>
        <w:tc>
          <w:tcPr>
            <w:tcW w:w="2062" w:type="dxa"/>
          </w:tcPr>
          <w:p>
            <w:pPr>
              <w:pStyle w:val="TableParagraph"/>
              <w:spacing w:before="42"/>
              <w:ind w:right="115"/>
              <w:rPr>
                <w:sz w:val="22"/>
              </w:rPr>
            </w:pPr>
            <w:r>
              <w:rPr>
                <w:rFonts w:ascii="Cambria"/>
                <w:sz w:val="22"/>
              </w:rPr>
              <w:t>enableFormatCond itionsCalculation </w:t>
            </w:r>
            <w:r>
              <w:rPr>
                <w:sz w:val="22"/>
              </w:rPr>
              <w:t>(Enable Conditional Formatting Calculations)</w:t>
            </w:r>
          </w:p>
        </w:tc>
        <w:tc>
          <w:tcPr>
            <w:tcW w:w="8250" w:type="dxa"/>
          </w:tcPr>
          <w:p>
            <w:pPr>
              <w:pStyle w:val="TableParagraph"/>
              <w:ind w:right="232"/>
              <w:jc w:val="both"/>
              <w:rPr>
                <w:sz w:val="22"/>
              </w:rPr>
            </w:pPr>
            <w:r>
              <w:rPr>
                <w:sz w:val="22"/>
              </w:rPr>
              <w:t>Flag indicating whether the conditional formatting calculations shall be evaluated. If set to </w:t>
            </w:r>
            <w:r>
              <w:rPr>
                <w:rFonts w:ascii="Consolas"/>
                <w:sz w:val="20"/>
              </w:rPr>
              <w:t>false</w:t>
            </w:r>
            <w:r>
              <w:rPr>
                <w:sz w:val="22"/>
              </w:rPr>
              <w:t>, then the min/max values of color scales or databars or threshold values in Top N rules shall not be updated. Essentially the conditional formatting "calc" is off.</w:t>
            </w:r>
          </w:p>
          <w:p>
            <w:pPr>
              <w:pStyle w:val="TableParagraph"/>
              <w:spacing w:before="4"/>
              <w:ind w:left="0"/>
              <w:rPr>
                <w:rFonts w:ascii="Times New Roman"/>
                <w:sz w:val="23"/>
              </w:rPr>
            </w:pPr>
          </w:p>
          <w:p>
            <w:pPr>
              <w:pStyle w:val="TableParagraph"/>
              <w:spacing w:before="1"/>
              <w:ind w:right="332"/>
              <w:rPr>
                <w:sz w:val="22"/>
              </w:rPr>
            </w:pPr>
            <w:r>
              <w:rPr>
                <w:sz w:val="22"/>
              </w:rPr>
              <w:t>This is useful when conditional formats are being set programmatically at runtime, recalculation of the conditional formatting does not need to be done until the program execution has finished setting all the conditional formatting properties.</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354"/>
              <w:rPr>
                <w:sz w:val="22"/>
              </w:rPr>
            </w:pPr>
            <w:r>
              <w:rPr>
                <w:rFonts w:ascii="Cambria"/>
                <w:sz w:val="22"/>
              </w:rPr>
              <w:t>filterMode </w:t>
            </w:r>
            <w:r>
              <w:rPr>
                <w:sz w:val="22"/>
              </w:rPr>
              <w:t>(Filter Mode)</w:t>
            </w:r>
          </w:p>
        </w:tc>
        <w:tc>
          <w:tcPr>
            <w:tcW w:w="8250" w:type="dxa"/>
          </w:tcPr>
          <w:p>
            <w:pPr>
              <w:pStyle w:val="TableParagraph"/>
              <w:rPr>
                <w:sz w:val="22"/>
              </w:rPr>
            </w:pPr>
            <w:r>
              <w:rPr>
                <w:sz w:val="22"/>
              </w:rPr>
              <w:t>Flag indicating whether the worksheet has one or more autofilters or advanced filters 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published</w:t>
            </w:r>
          </w:p>
          <w:p>
            <w:pPr>
              <w:pStyle w:val="TableParagraph"/>
              <w:spacing w:line="267" w:lineRule="exact" w:before="0"/>
              <w:rPr>
                <w:sz w:val="22"/>
              </w:rPr>
            </w:pPr>
            <w:r>
              <w:rPr>
                <w:sz w:val="22"/>
              </w:rPr>
              <w:t>(Published)</w:t>
            </w:r>
          </w:p>
        </w:tc>
        <w:tc>
          <w:tcPr>
            <w:tcW w:w="8250" w:type="dxa"/>
          </w:tcPr>
          <w:p>
            <w:pPr>
              <w:pStyle w:val="TableParagraph"/>
              <w:rPr>
                <w:sz w:val="22"/>
              </w:rPr>
            </w:pPr>
            <w:r>
              <w:rPr>
                <w:sz w:val="22"/>
              </w:rPr>
              <w:t>Flag indicating whether the worksheet is published.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9" w:hRule="atLeast"/>
        </w:trPr>
        <w:tc>
          <w:tcPr>
            <w:tcW w:w="2062" w:type="dxa"/>
          </w:tcPr>
          <w:p>
            <w:pPr>
              <w:pStyle w:val="TableParagraph"/>
              <w:spacing w:line="257" w:lineRule="exact" w:before="43"/>
              <w:rPr>
                <w:rFonts w:ascii="Cambria"/>
                <w:sz w:val="22"/>
              </w:rPr>
            </w:pPr>
            <w:r>
              <w:rPr>
                <w:rFonts w:ascii="Cambria"/>
                <w:sz w:val="22"/>
              </w:rPr>
              <w:t>syncHorizontal</w:t>
            </w:r>
          </w:p>
          <w:p>
            <w:pPr>
              <w:pStyle w:val="TableParagraph"/>
              <w:spacing w:line="268" w:lineRule="exact" w:before="0"/>
              <w:rPr>
                <w:sz w:val="22"/>
              </w:rPr>
            </w:pPr>
            <w:r>
              <w:rPr>
                <w:sz w:val="22"/>
              </w:rPr>
              <w:t>(Synch Horizontal)</w:t>
            </w:r>
          </w:p>
        </w:tc>
        <w:tc>
          <w:tcPr>
            <w:tcW w:w="8250" w:type="dxa"/>
          </w:tcPr>
          <w:p>
            <w:pPr>
              <w:pStyle w:val="TableParagraph"/>
              <w:ind w:right="243"/>
              <w:rPr>
                <w:sz w:val="22"/>
              </w:rPr>
            </w:pPr>
            <w:r>
              <w:rPr>
                <w:sz w:val="22"/>
              </w:rPr>
              <w:t>Flag indicating whether this worksheet is horizontally synced to the </w:t>
            </w:r>
            <w:r>
              <w:rPr>
                <w:rFonts w:ascii="Cambria"/>
                <w:sz w:val="22"/>
              </w:rPr>
              <w:t>synchRef </w:t>
            </w:r>
            <w:r>
              <w:rPr>
                <w:sz w:val="22"/>
              </w:rPr>
              <w:t>anchor point. When true and scroll location is missing from the window properties, the window view shall be scrolled to the horizontal (row) aspect of the </w:t>
            </w:r>
            <w:r>
              <w:rPr>
                <w:rFonts w:ascii="Cambria"/>
                <w:sz w:val="22"/>
              </w:rPr>
              <w:t>synchRef </w:t>
            </w:r>
            <w:r>
              <w:rPr>
                <w:sz w:val="22"/>
              </w:rPr>
              <w:t>value.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89" w:hRule="atLeast"/>
        </w:trPr>
        <w:tc>
          <w:tcPr>
            <w:tcW w:w="2062" w:type="dxa"/>
          </w:tcPr>
          <w:p>
            <w:pPr>
              <w:pStyle w:val="TableParagraph"/>
              <w:ind w:right="541"/>
              <w:rPr>
                <w:sz w:val="22"/>
              </w:rPr>
            </w:pPr>
            <w:r>
              <w:rPr>
                <w:rFonts w:ascii="Cambria"/>
                <w:sz w:val="22"/>
              </w:rPr>
              <w:t>syncRef </w:t>
            </w:r>
            <w:r>
              <w:rPr>
                <w:sz w:val="22"/>
              </w:rPr>
              <w:t>(Synch Reference)</w:t>
            </w:r>
          </w:p>
        </w:tc>
        <w:tc>
          <w:tcPr>
            <w:tcW w:w="8250" w:type="dxa"/>
          </w:tcPr>
          <w:p>
            <w:pPr>
              <w:pStyle w:val="TableParagraph"/>
              <w:rPr>
                <w:sz w:val="22"/>
              </w:rPr>
            </w:pPr>
            <w:r>
              <w:rPr>
                <w:sz w:val="22"/>
              </w:rPr>
              <w:t>Anchor point for worksheet's window.</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699" w:hRule="atLeast"/>
        </w:trPr>
        <w:tc>
          <w:tcPr>
            <w:tcW w:w="2062" w:type="dxa"/>
          </w:tcPr>
          <w:p>
            <w:pPr>
              <w:pStyle w:val="TableParagraph"/>
              <w:spacing w:line="237" w:lineRule="auto" w:before="44"/>
              <w:ind w:right="121"/>
              <w:rPr>
                <w:sz w:val="22"/>
              </w:rPr>
            </w:pPr>
            <w:r>
              <w:rPr>
                <w:rFonts w:ascii="Cambria"/>
                <w:sz w:val="22"/>
              </w:rPr>
              <w:t>syncVertical </w:t>
            </w:r>
            <w:r>
              <w:rPr>
                <w:sz w:val="22"/>
              </w:rPr>
              <w:t>(Synch Vertical)</w:t>
            </w:r>
          </w:p>
        </w:tc>
        <w:tc>
          <w:tcPr>
            <w:tcW w:w="8250" w:type="dxa"/>
          </w:tcPr>
          <w:p>
            <w:pPr>
              <w:pStyle w:val="TableParagraph"/>
              <w:spacing w:before="42"/>
              <w:ind w:right="188"/>
              <w:rPr>
                <w:sz w:val="22"/>
              </w:rPr>
            </w:pPr>
            <w:r>
              <w:rPr>
                <w:sz w:val="22"/>
              </w:rPr>
              <w:t>Flag indicating whether this worksheet is vertically synced to the </w:t>
            </w:r>
            <w:r>
              <w:rPr>
                <w:rFonts w:ascii="Cambria"/>
                <w:sz w:val="22"/>
              </w:rPr>
              <w:t>synchRef </w:t>
            </w:r>
            <w:r>
              <w:rPr>
                <w:sz w:val="22"/>
              </w:rPr>
              <w:t>anchor point. When true and scroll location is missing from the window properties, the window view shall be scrolled to the vertical (column) aspect of the </w:t>
            </w:r>
            <w:r>
              <w:rPr>
                <w:rFonts w:ascii="Cambria"/>
                <w:sz w:val="22"/>
              </w:rPr>
              <w:t>synchRef </w:t>
            </w:r>
            <w:r>
              <w:rPr>
                <w:sz w:val="22"/>
              </w:rPr>
              <w:t>value.</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spacing w:line="237" w:lineRule="auto" w:before="45"/>
              <w:ind w:right="162"/>
              <w:rPr>
                <w:sz w:val="22"/>
              </w:rPr>
            </w:pPr>
            <w:r>
              <w:rPr>
                <w:rFonts w:ascii="Cambria"/>
                <w:sz w:val="22"/>
              </w:rPr>
              <w:t>transitionEntry </w:t>
            </w:r>
            <w:r>
              <w:rPr>
                <w:sz w:val="22"/>
              </w:rPr>
              <w:t>(Transition Formula Entry)</w:t>
            </w:r>
          </w:p>
        </w:tc>
        <w:tc>
          <w:tcPr>
            <w:tcW w:w="8250" w:type="dxa"/>
          </w:tcPr>
          <w:p>
            <w:pPr>
              <w:pStyle w:val="TableParagraph"/>
              <w:ind w:right="694"/>
              <w:rPr>
                <w:sz w:val="22"/>
              </w:rPr>
            </w:pPr>
            <w:r>
              <w:rPr>
                <w:sz w:val="22"/>
              </w:rPr>
              <w:t>Flag indicating whether the Transition Formula Entry (Lotus compatibility) option is enabled.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298" w:hRule="atLeast"/>
        </w:trPr>
        <w:tc>
          <w:tcPr>
            <w:tcW w:w="2062" w:type="dxa"/>
            <w:tcBorders>
              <w:bottom w:val="nil"/>
            </w:tcBorders>
          </w:tcPr>
          <w:p>
            <w:pPr>
              <w:pStyle w:val="TableParagraph"/>
              <w:spacing w:line="236" w:lineRule="exact" w:before="42"/>
              <w:rPr>
                <w:rFonts w:ascii="Cambria"/>
                <w:sz w:val="22"/>
              </w:rPr>
            </w:pPr>
            <w:r>
              <w:rPr>
                <w:rFonts w:ascii="Cambria"/>
                <w:sz w:val="22"/>
              </w:rPr>
              <w:t>transitionEvaluatio</w:t>
            </w:r>
          </w:p>
        </w:tc>
        <w:tc>
          <w:tcPr>
            <w:tcW w:w="8250" w:type="dxa"/>
            <w:tcBorders>
              <w:bottom w:val="nil"/>
            </w:tcBorders>
          </w:tcPr>
          <w:p>
            <w:pPr>
              <w:pStyle w:val="TableParagraph"/>
              <w:spacing w:line="239" w:lineRule="exact"/>
              <w:rPr>
                <w:sz w:val="22"/>
              </w:rPr>
            </w:pPr>
            <w:r>
              <w:rPr>
                <w:sz w:val="22"/>
              </w:rPr>
              <w:t>Flag indicating whether the Transition Formula Evaluation (Lotus compatibility) option is</w:t>
            </w:r>
          </w:p>
        </w:tc>
      </w:tr>
      <w:tr>
        <w:trPr>
          <w:trHeight w:val="292" w:hRule="atLeast"/>
        </w:trPr>
        <w:tc>
          <w:tcPr>
            <w:tcW w:w="2062" w:type="dxa"/>
            <w:tcBorders>
              <w:top w:val="nil"/>
              <w:bottom w:val="nil"/>
            </w:tcBorders>
          </w:tcPr>
          <w:p>
            <w:pPr>
              <w:pStyle w:val="TableParagraph"/>
              <w:spacing w:line="267" w:lineRule="exact" w:before="0"/>
              <w:rPr>
                <w:sz w:val="22"/>
              </w:rPr>
            </w:pPr>
            <w:r>
              <w:rPr>
                <w:rFonts w:ascii="Cambria"/>
                <w:sz w:val="22"/>
              </w:rPr>
              <w:t>n </w:t>
            </w:r>
            <w:r>
              <w:rPr>
                <w:sz w:val="22"/>
              </w:rPr>
              <w:t>(Transition</w:t>
            </w:r>
          </w:p>
        </w:tc>
        <w:tc>
          <w:tcPr>
            <w:tcW w:w="8250" w:type="dxa"/>
            <w:tcBorders>
              <w:top w:val="nil"/>
              <w:bottom w:val="nil"/>
            </w:tcBorders>
          </w:tcPr>
          <w:p>
            <w:pPr>
              <w:pStyle w:val="TableParagraph"/>
              <w:spacing w:line="263" w:lineRule="exact" w:before="10"/>
              <w:rPr>
                <w:sz w:val="22"/>
              </w:rPr>
            </w:pPr>
            <w:r>
              <w:rPr>
                <w:sz w:val="22"/>
              </w:rPr>
              <w:t>enabled.</w:t>
            </w:r>
          </w:p>
        </w:tc>
      </w:tr>
      <w:tr>
        <w:trPr>
          <w:trHeight w:val="246" w:hRule="atLeast"/>
        </w:trPr>
        <w:tc>
          <w:tcPr>
            <w:tcW w:w="2062" w:type="dxa"/>
            <w:tcBorders>
              <w:top w:val="nil"/>
              <w:bottom w:val="nil"/>
            </w:tcBorders>
          </w:tcPr>
          <w:p>
            <w:pPr>
              <w:pStyle w:val="TableParagraph"/>
              <w:spacing w:line="227" w:lineRule="exact" w:before="0"/>
              <w:rPr>
                <w:sz w:val="22"/>
              </w:rPr>
            </w:pPr>
            <w:r>
              <w:rPr>
                <w:sz w:val="22"/>
              </w:rPr>
              <w:t>Formula Evaluation)</w:t>
            </w:r>
          </w:p>
        </w:tc>
        <w:tc>
          <w:tcPr>
            <w:tcW w:w="8250" w:type="dxa"/>
            <w:tcBorders>
              <w:top w:val="nil"/>
              <w:bottom w:val="nil"/>
            </w:tcBorders>
          </w:tcPr>
          <w:p>
            <w:pPr>
              <w:pStyle w:val="TableParagraph"/>
              <w:spacing w:before="0"/>
              <w:ind w:left="0"/>
              <w:rPr>
                <w:rFonts w:ascii="Times New Roman"/>
                <w:sz w:val="16"/>
              </w:rPr>
            </w:pPr>
          </w:p>
        </w:tc>
      </w:tr>
      <w:tr>
        <w:trPr>
          <w:trHeight w:val="295"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67" w:lineRule="exact" w:before="8"/>
              <w:rPr>
                <w:rFonts w:ascii="Cambria"/>
                <w:sz w:val="22"/>
              </w:rPr>
            </w:pPr>
            <w:r>
              <w:rPr>
                <w:sz w:val="22"/>
              </w:rPr>
              <w:t>The possible values for this attribute are defined by the W3C XML Schema </w:t>
            </w:r>
            <w:r>
              <w:rPr>
                <w:rFonts w:ascii="Cambria"/>
                <w:sz w:val="22"/>
              </w:rPr>
              <w:t>boolean</w:t>
            </w:r>
          </w:p>
        </w:tc>
      </w:tr>
      <w:tr>
        <w:trPr>
          <w:trHeight w:val="293"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7" w:lineRule="exact"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785"/>
      </w:pPr>
      <w:r>
        <w:rPr/>
        <w:t>[</w:t>
      </w:r>
      <w:r>
        <w:rPr>
          <w:i/>
        </w:rPr>
        <w:t>Note</w:t>
      </w:r>
      <w:r>
        <w:rPr/>
        <w:t>: The W3C XML Schema definition of this element’s content model (</w:t>
      </w:r>
      <w:r>
        <w:rPr>
          <w:color w:val="5F5F5F"/>
          <w:u w:val="single" w:color="5F5F5F"/>
        </w:rPr>
        <w:t>CT_SheetPr</w:t>
      </w:r>
      <w:r>
        <w:rPr/>
        <w:t>) is located in §A.2. </w:t>
      </w:r>
      <w:r>
        <w:rPr>
          <w:i/>
        </w:rPr>
        <w:t>end </w:t>
      </w:r>
      <w:r>
        <w:rPr>
          <w:i/>
        </w:rPr>
        <w:t>note</w:t>
      </w:r>
      <w:r>
        <w:rPr/>
        <w:t>]</w:t>
      </w:r>
    </w:p>
    <w:p>
      <w:pPr>
        <w:pStyle w:val="BodyText"/>
        <w:spacing w:before="2"/>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83 sheetPr (Chart Sheet Propertie" w:id="350"/>
      <w:bookmarkEnd w:id="350"/>
      <w:r>
        <w:rPr/>
      </w:r>
      <w:bookmarkStart w:name="_bookmark115" w:id="351"/>
      <w:bookmarkEnd w:id="351"/>
      <w:r>
        <w:rPr/>
      </w:r>
      <w:bookmarkStart w:name="_bookmark115" w:id="352"/>
      <w:bookmarkEnd w:id="352"/>
      <w:r>
        <w:rPr>
          <w:color w:val="4F81BC"/>
        </w:rPr>
        <w:t>sheetPr</w:t>
      </w:r>
      <w:r>
        <w:rPr>
          <w:color w:val="4F81BC"/>
        </w:rPr>
        <w:t> (Chart Sheet</w:t>
      </w:r>
      <w:r>
        <w:rPr>
          <w:color w:val="4F81BC"/>
          <w:spacing w:val="-3"/>
        </w:rPr>
        <w:t> </w:t>
      </w:r>
      <w:r>
        <w:rPr>
          <w:color w:val="4F81BC"/>
        </w:rPr>
        <w:t>Properties)</w:t>
      </w:r>
    </w:p>
    <w:p>
      <w:pPr>
        <w:pStyle w:val="BodyText"/>
        <w:spacing w:before="121"/>
        <w:ind w:left="220"/>
      </w:pPr>
      <w:r>
        <w:rPr/>
        <w:t>This element specifies chart sheet properties.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8" w:hRule="atLeast"/>
        </w:trPr>
        <w:tc>
          <w:tcPr>
            <w:tcW w:w="2062" w:type="dxa"/>
          </w:tcPr>
          <w:p>
            <w:pPr>
              <w:pStyle w:val="TableParagraph"/>
              <w:ind w:right="352"/>
              <w:rPr>
                <w:sz w:val="22"/>
              </w:rPr>
            </w:pPr>
            <w:r>
              <w:rPr>
                <w:rFonts w:ascii="Cambria"/>
                <w:sz w:val="22"/>
              </w:rPr>
              <w:t>codeName </w:t>
            </w:r>
            <w:r>
              <w:rPr>
                <w:sz w:val="22"/>
              </w:rPr>
              <w:t>(Code Name)</w:t>
            </w:r>
          </w:p>
        </w:tc>
        <w:tc>
          <w:tcPr>
            <w:tcW w:w="8250" w:type="dxa"/>
          </w:tcPr>
          <w:p>
            <w:pPr>
              <w:pStyle w:val="TableParagraph"/>
              <w:ind w:right="379"/>
              <w:rPr>
                <w:sz w:val="22"/>
              </w:rPr>
            </w:pPr>
            <w:r>
              <w:rPr>
                <w:sz w:val="22"/>
              </w:rPr>
              <w:t>Specifies a stable name of the sheet, which should not change over time, and does not change from user input. This name should be used by code to reference a particular sheet.</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159" w:hRule="atLeast"/>
        </w:trPr>
        <w:tc>
          <w:tcPr>
            <w:tcW w:w="2062" w:type="dxa"/>
          </w:tcPr>
          <w:p>
            <w:pPr>
              <w:pStyle w:val="TableParagraph"/>
              <w:spacing w:line="256" w:lineRule="exact" w:before="42"/>
              <w:rPr>
                <w:rFonts w:ascii="Cambria"/>
                <w:sz w:val="22"/>
              </w:rPr>
            </w:pPr>
            <w:r>
              <w:rPr>
                <w:rFonts w:ascii="Cambria"/>
                <w:sz w:val="22"/>
              </w:rPr>
              <w:t>published</w:t>
            </w:r>
          </w:p>
          <w:p>
            <w:pPr>
              <w:pStyle w:val="TableParagraph"/>
              <w:spacing w:line="267" w:lineRule="exact" w:before="0"/>
              <w:rPr>
                <w:sz w:val="22"/>
              </w:rPr>
            </w:pPr>
            <w:r>
              <w:rPr>
                <w:sz w:val="22"/>
              </w:rPr>
              <w:t>(Published)</w:t>
            </w:r>
          </w:p>
        </w:tc>
        <w:tc>
          <w:tcPr>
            <w:tcW w:w="8250" w:type="dxa"/>
          </w:tcPr>
          <w:p>
            <w:pPr>
              <w:pStyle w:val="TableParagraph"/>
              <w:rPr>
                <w:sz w:val="22"/>
              </w:rPr>
            </w:pPr>
            <w:r>
              <w:rPr>
                <w:sz w:val="22"/>
              </w:rPr>
              <w:t>Flag indicating whether the chart sheet is published.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CT_ChartsheetPr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4 sheetProtection (Chart Sheet P" w:id="353"/>
      <w:bookmarkEnd w:id="353"/>
      <w:r>
        <w:rPr/>
      </w:r>
      <w:bookmarkStart w:name="_bookmark116" w:id="354"/>
      <w:bookmarkEnd w:id="354"/>
      <w:r>
        <w:rPr/>
      </w:r>
      <w:bookmarkStart w:name="_bookmark116" w:id="355"/>
      <w:bookmarkEnd w:id="355"/>
      <w:r>
        <w:rPr>
          <w:color w:val="4F81BC"/>
        </w:rPr>
        <w:t>sheetPr</w:t>
      </w:r>
      <w:r>
        <w:rPr>
          <w:color w:val="4F81BC"/>
        </w:rPr>
        <w:t>otection (Chart Sheet</w:t>
      </w:r>
      <w:r>
        <w:rPr>
          <w:color w:val="4F81BC"/>
          <w:spacing w:val="-1"/>
        </w:rPr>
        <w:t> </w:t>
      </w:r>
      <w:r>
        <w:rPr>
          <w:color w:val="4F81BC"/>
        </w:rPr>
        <w:t>Protection)</w:t>
      </w:r>
    </w:p>
    <w:p>
      <w:pPr>
        <w:pStyle w:val="BodyText"/>
        <w:spacing w:before="122"/>
        <w:ind w:left="220"/>
      </w:pPr>
      <w:r>
        <w:rPr/>
        <w:pict>
          <v:shape style="position:absolute;margin-left:157.100006pt;margin-top:106.24366pt;width:401.25pt;height:61.1pt;mso-position-horizontal-relative:page;mso-position-vertical-relative:paragraph;z-index:2516674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4"/>
                    <w:gridCol w:w="6116"/>
                  </w:tblGrid>
                  <w:tr>
                    <w:trPr>
                      <w:trHeight w:val="354" w:hRule="atLeast"/>
                    </w:trPr>
                    <w:tc>
                      <w:tcPr>
                        <w:tcW w:w="1894" w:type="dxa"/>
                        <w:shd w:val="clear" w:color="auto" w:fill="C0C0C0"/>
                      </w:tcPr>
                      <w:p>
                        <w:pPr>
                          <w:pStyle w:val="TableParagraph"/>
                          <w:ind w:left="665" w:right="656"/>
                          <w:jc w:val="center"/>
                          <w:rPr>
                            <w:b/>
                            <w:sz w:val="22"/>
                          </w:rPr>
                        </w:pPr>
                        <w:r>
                          <w:rPr>
                            <w:b/>
                            <w:sz w:val="22"/>
                          </w:rPr>
                          <w:t>Value</w:t>
                        </w:r>
                      </w:p>
                    </w:tc>
                    <w:tc>
                      <w:tcPr>
                        <w:tcW w:w="6116" w:type="dxa"/>
                        <w:shd w:val="clear" w:color="auto" w:fill="C0C0C0"/>
                      </w:tcPr>
                      <w:p>
                        <w:pPr>
                          <w:pStyle w:val="TableParagraph"/>
                          <w:ind w:left="2579" w:right="2571"/>
                          <w:jc w:val="center"/>
                          <w:rPr>
                            <w:b/>
                            <w:sz w:val="22"/>
                          </w:rPr>
                        </w:pPr>
                        <w:r>
                          <w:rPr>
                            <w:b/>
                            <w:sz w:val="22"/>
                          </w:rPr>
                          <w:t>Algorithm</w:t>
                        </w:r>
                      </w:p>
                    </w:tc>
                  </w:tr>
                  <w:tr>
                    <w:trPr>
                      <w:trHeight w:val="837" w:hRule="atLeast"/>
                    </w:trPr>
                    <w:tc>
                      <w:tcPr>
                        <w:tcW w:w="1894" w:type="dxa"/>
                      </w:tcPr>
                      <w:p>
                        <w:pPr>
                          <w:pStyle w:val="TableParagraph"/>
                          <w:spacing w:before="41"/>
                          <w:rPr>
                            <w:rFonts w:ascii="Consolas"/>
                            <w:sz w:val="20"/>
                          </w:rPr>
                        </w:pPr>
                        <w:r>
                          <w:rPr>
                            <w:rFonts w:ascii="Consolas"/>
                            <w:sz w:val="20"/>
                          </w:rPr>
                          <w:t>MD2</w:t>
                        </w:r>
                      </w:p>
                    </w:tc>
                    <w:tc>
                      <w:tcPr>
                        <w:tcW w:w="6116" w:type="dxa"/>
                      </w:tcPr>
                      <w:p>
                        <w:pPr>
                          <w:pStyle w:val="TableParagraph"/>
                          <w:ind w:right="329"/>
                          <w:rPr>
                            <w:sz w:val="22"/>
                          </w:rPr>
                        </w:pPr>
                        <w:r>
                          <w:rPr>
                            <w:sz w:val="22"/>
                          </w:rPr>
                          <w:t>Specifies that the MD2 algorithm, as defined by RFC 1319, shall be used.</w:t>
                        </w:r>
                      </w:p>
                    </w:tc>
                  </w:tr>
                </w:tbl>
                <w:p>
                  <w:pPr>
                    <w:pStyle w:val="BodyText"/>
                  </w:pPr>
                </w:p>
              </w:txbxContent>
            </v:textbox>
            <w10:wrap type="none"/>
          </v:shape>
        </w:pict>
      </w:r>
      <w:r>
        <w:rPr/>
        <w:t>This collection expresses the chart sheet protection options to enforce when the chart sheet is protected.</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385" w:hRule="atLeast"/>
        </w:trPr>
        <w:tc>
          <w:tcPr>
            <w:tcW w:w="2062" w:type="dxa"/>
          </w:tcPr>
          <w:p>
            <w:pPr>
              <w:pStyle w:val="TableParagraph"/>
              <w:spacing w:before="42"/>
              <w:ind w:right="378"/>
              <w:rPr>
                <w:sz w:val="22"/>
              </w:rPr>
            </w:pPr>
            <w:r>
              <w:rPr>
                <w:rFonts w:ascii="Cambria"/>
                <w:sz w:val="22"/>
              </w:rPr>
              <w:t>algorithmName </w:t>
            </w:r>
            <w:r>
              <w:rPr>
                <w:sz w:val="22"/>
              </w:rPr>
              <w:t>(Cryptographic Algorithm Name)</w:t>
            </w:r>
          </w:p>
        </w:tc>
        <w:tc>
          <w:tcPr>
            <w:tcW w:w="8250" w:type="dxa"/>
          </w:tcPr>
          <w:p>
            <w:pPr>
              <w:pStyle w:val="TableParagraph"/>
              <w:rPr>
                <w:sz w:val="22"/>
              </w:rPr>
            </w:pPr>
            <w:r>
              <w:rPr>
                <w:sz w:val="22"/>
              </w:rPr>
              <w:t>Specifies the specific cryptographic hashing algorithm which shall be used along with the</w:t>
            </w:r>
          </w:p>
          <w:p>
            <w:pPr>
              <w:pStyle w:val="TableParagraph"/>
              <w:spacing w:line="480" w:lineRule="auto" w:before="0"/>
              <w:ind w:right="1856"/>
              <w:rPr>
                <w:sz w:val="22"/>
              </w:rPr>
            </w:pPr>
            <w:r>
              <w:rPr>
                <w:rFonts w:ascii="Cambria"/>
                <w:sz w:val="22"/>
              </w:rPr>
              <w:t>salt </w:t>
            </w:r>
            <w:r>
              <w:rPr>
                <w:sz w:val="22"/>
              </w:rPr>
              <w:t>attribute and input password in order to compute the hash value. The following values are reserved:</w:t>
            </w:r>
          </w:p>
        </w:tc>
      </w:tr>
    </w:tbl>
    <w:p>
      <w:pPr>
        <w:spacing w:after="0" w:line="480" w:lineRule="auto"/>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71" w:hRule="atLeast"/>
        </w:trPr>
        <w:tc>
          <w:tcPr>
            <w:tcW w:w="2062" w:type="dxa"/>
            <w:shd w:val="clear" w:color="auto" w:fill="C0C0C0"/>
          </w:tcPr>
          <w:p>
            <w:pPr>
              <w:pStyle w:val="TableParagraph"/>
              <w:ind w:left="566"/>
              <w:rPr>
                <w:b/>
                <w:sz w:val="22"/>
              </w:rPr>
            </w:pPr>
            <w:r>
              <w:rPr>
                <w:b/>
                <w:sz w:val="22"/>
              </w:rPr>
              <w:t>Attributes</w:t>
            </w:r>
          </w:p>
        </w:tc>
        <w:tc>
          <w:tcPr>
            <w:tcW w:w="8250" w:type="dxa"/>
            <w:gridSpan w:val="4"/>
            <w:tcBorders>
              <w:bottom w:val="double" w:sz="1" w:space="0" w:color="000000"/>
            </w:tcBorders>
            <w:shd w:val="clear" w:color="auto" w:fill="C0C0C0"/>
          </w:tcPr>
          <w:p>
            <w:pPr>
              <w:pStyle w:val="TableParagraph"/>
              <w:ind w:left="98" w:right="91"/>
              <w:jc w:val="center"/>
              <w:rPr>
                <w:b/>
                <w:sz w:val="22"/>
              </w:rPr>
            </w:pPr>
            <w:r>
              <w:rPr>
                <w:b/>
                <w:sz w:val="22"/>
              </w:rPr>
              <w:t>Description</w:t>
            </w:r>
          </w:p>
        </w:tc>
      </w:tr>
      <w:tr>
        <w:trPr>
          <w:trHeight w:val="908" w:hRule="atLeast"/>
        </w:trPr>
        <w:tc>
          <w:tcPr>
            <w:tcW w:w="2062" w:type="dxa"/>
            <w:vMerge w:val="restart"/>
          </w:tcPr>
          <w:p>
            <w:pPr>
              <w:pStyle w:val="TableParagraph"/>
              <w:spacing w:before="0"/>
              <w:ind w:left="0"/>
              <w:rPr>
                <w:rFonts w:ascii="Times New Roman"/>
                <w:sz w:val="20"/>
              </w:rPr>
            </w:pPr>
          </w:p>
        </w:tc>
        <w:tc>
          <w:tcPr>
            <w:tcW w:w="120" w:type="dxa"/>
            <w:vMerge w:val="restart"/>
            <w:tcBorders>
              <w:bottom w:val="nil"/>
            </w:tcBorders>
          </w:tcPr>
          <w:p>
            <w:pPr>
              <w:pStyle w:val="TableParagraph"/>
              <w:spacing w:before="0"/>
              <w:ind w:left="0"/>
              <w:rPr>
                <w:rFonts w:ascii="Times New Roman"/>
                <w:sz w:val="20"/>
              </w:rPr>
            </w:pPr>
          </w:p>
        </w:tc>
        <w:tc>
          <w:tcPr>
            <w:tcW w:w="1894" w:type="dxa"/>
            <w:tcBorders>
              <w:top w:val="double" w:sz="1" w:space="0" w:color="000000"/>
            </w:tcBorders>
          </w:tcPr>
          <w:p>
            <w:pPr>
              <w:pStyle w:val="TableParagraph"/>
              <w:spacing w:before="0"/>
              <w:ind w:left="0"/>
              <w:rPr>
                <w:rFonts w:ascii="Times New Roman"/>
                <w:sz w:val="20"/>
              </w:rPr>
            </w:pPr>
          </w:p>
        </w:tc>
        <w:tc>
          <w:tcPr>
            <w:tcW w:w="6116" w:type="dxa"/>
            <w:tcBorders>
              <w:top w:val="double" w:sz="1" w:space="0" w:color="000000"/>
            </w:tcBorders>
          </w:tcPr>
          <w:p>
            <w:pPr>
              <w:pStyle w:val="TableParagraph"/>
              <w:spacing w:before="56"/>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bottom w:val="nil"/>
            </w:tcBorders>
          </w:tcPr>
          <w:p>
            <w:pPr>
              <w:pStyle w:val="TableParagraph"/>
              <w:spacing w:before="0"/>
              <w:ind w:left="0"/>
              <w:rPr>
                <w:rFonts w:ascii="Times New Roman"/>
                <w:sz w:val="20"/>
              </w:rPr>
            </w:pPr>
          </w:p>
        </w:tc>
      </w:tr>
      <w:tr>
        <w:trPr>
          <w:trHeight w:val="1696"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MD4</w:t>
            </w:r>
          </w:p>
        </w:tc>
        <w:tc>
          <w:tcPr>
            <w:tcW w:w="6116" w:type="dxa"/>
          </w:tcPr>
          <w:p>
            <w:pPr>
              <w:pStyle w:val="TableParagraph"/>
              <w:ind w:right="329"/>
              <w:rPr>
                <w:sz w:val="22"/>
              </w:rPr>
            </w:pPr>
            <w:r>
              <w:rPr>
                <w:sz w:val="22"/>
              </w:rPr>
              <w:t>Specifies that the MD4 algorithm, as defined by RFC 1320, shall be used.</w:t>
            </w:r>
          </w:p>
          <w:p>
            <w:pPr>
              <w:pStyle w:val="TableParagraph"/>
              <w:spacing w:before="2"/>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0"/>
              </w:rPr>
            </w:pPr>
          </w:p>
        </w:tc>
      </w:tr>
      <w:tr>
        <w:trPr>
          <w:trHeight w:val="1696"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MD5</w:t>
            </w:r>
          </w:p>
        </w:tc>
        <w:tc>
          <w:tcPr>
            <w:tcW w:w="6116" w:type="dxa"/>
          </w:tcPr>
          <w:p>
            <w:pPr>
              <w:pStyle w:val="TableParagraph"/>
              <w:ind w:right="329"/>
              <w:rPr>
                <w:sz w:val="22"/>
              </w:rPr>
            </w:pPr>
            <w:r>
              <w:rPr>
                <w:sz w:val="22"/>
              </w:rPr>
              <w:t>Specifies that the MD5 algorithm, as defined by RFC 1321, shall be used.</w:t>
            </w:r>
          </w:p>
          <w:p>
            <w:pPr>
              <w:pStyle w:val="TableParagraph"/>
              <w:spacing w:before="5"/>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0"/>
              </w:rPr>
            </w:pPr>
          </w:p>
        </w:tc>
      </w:tr>
      <w:tr>
        <w:trPr>
          <w:trHeight w:val="1698"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RIPEMD-128</w:t>
            </w:r>
          </w:p>
        </w:tc>
        <w:tc>
          <w:tcPr>
            <w:tcW w:w="6116" w:type="dxa"/>
          </w:tcPr>
          <w:p>
            <w:pPr>
              <w:pStyle w:val="TableParagraph"/>
              <w:ind w:right="339"/>
              <w:rPr>
                <w:sz w:val="22"/>
              </w:rPr>
            </w:pPr>
            <w:r>
              <w:rPr>
                <w:sz w:val="22"/>
              </w:rPr>
              <w:t>Specifies that the RIPEMD-128 algorithm, as defined by ISO/IEC 10118-3:2004 shall be used.</w:t>
            </w:r>
          </w:p>
          <w:p>
            <w:pPr>
              <w:pStyle w:val="TableParagraph"/>
              <w:spacing w:before="4"/>
              <w:ind w:left="0"/>
              <w:rPr>
                <w:rFonts w:ascii="Times New Roman"/>
                <w:sz w:val="23"/>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RIPEMD-160</w:t>
            </w:r>
          </w:p>
        </w:tc>
        <w:tc>
          <w:tcPr>
            <w:tcW w:w="6116" w:type="dxa"/>
          </w:tcPr>
          <w:p>
            <w:pPr>
              <w:pStyle w:val="TableParagraph"/>
              <w:ind w:right="339"/>
              <w:rPr>
                <w:sz w:val="22"/>
              </w:rPr>
            </w:pPr>
            <w:r>
              <w:rPr>
                <w:sz w:val="22"/>
              </w:rPr>
              <w:t>Specifies that the RIPEMD-160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1"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2"/>
              <w:rPr>
                <w:rFonts w:ascii="Consolas"/>
                <w:sz w:val="20"/>
              </w:rPr>
            </w:pPr>
            <w:r>
              <w:rPr>
                <w:rFonts w:ascii="Consolas"/>
                <w:sz w:val="20"/>
              </w:rPr>
              <w:t>SHA-1</w:t>
            </w:r>
          </w:p>
        </w:tc>
        <w:tc>
          <w:tcPr>
            <w:tcW w:w="6116" w:type="dxa"/>
          </w:tcPr>
          <w:p>
            <w:pPr>
              <w:pStyle w:val="TableParagraph"/>
              <w:ind w:right="224"/>
              <w:rPr>
                <w:sz w:val="22"/>
              </w:rPr>
            </w:pPr>
            <w:r>
              <w:rPr>
                <w:sz w:val="22"/>
              </w:rPr>
              <w:t>Specifies that the SHA-1 algorithm, as defined by ISO/IEC 10118- 3:2004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SHA-256</w:t>
            </w:r>
          </w:p>
        </w:tc>
        <w:tc>
          <w:tcPr>
            <w:tcW w:w="6116" w:type="dxa"/>
          </w:tcPr>
          <w:p>
            <w:pPr>
              <w:pStyle w:val="TableParagraph"/>
              <w:ind w:right="689"/>
              <w:rPr>
                <w:sz w:val="22"/>
              </w:rPr>
            </w:pPr>
            <w:r>
              <w:rPr>
                <w:sz w:val="22"/>
              </w:rPr>
              <w:t>Specifies that the SHA-256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SHA-384</w:t>
            </w:r>
          </w:p>
        </w:tc>
        <w:tc>
          <w:tcPr>
            <w:tcW w:w="6116" w:type="dxa"/>
          </w:tcPr>
          <w:p>
            <w:pPr>
              <w:pStyle w:val="TableParagraph"/>
              <w:ind w:right="689"/>
              <w:rPr>
                <w:sz w:val="22"/>
              </w:rPr>
            </w:pPr>
            <w:r>
              <w:rPr>
                <w:sz w:val="22"/>
              </w:rPr>
              <w:t>Specifies that the SHA-384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SHA-512</w:t>
            </w:r>
          </w:p>
        </w:tc>
        <w:tc>
          <w:tcPr>
            <w:tcW w:w="6116" w:type="dxa"/>
          </w:tcPr>
          <w:p>
            <w:pPr>
              <w:pStyle w:val="TableParagraph"/>
              <w:ind w:right="689"/>
              <w:rPr>
                <w:sz w:val="22"/>
              </w:rPr>
            </w:pPr>
            <w:r>
              <w:rPr>
                <w:sz w:val="22"/>
              </w:rPr>
              <w:t>Specifies that the SHA-512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WHIRLPOOL</w:t>
            </w:r>
          </w:p>
        </w:tc>
        <w:tc>
          <w:tcPr>
            <w:tcW w:w="6116" w:type="dxa"/>
          </w:tcPr>
          <w:p>
            <w:pPr>
              <w:pStyle w:val="TableParagraph"/>
              <w:ind w:right="361"/>
              <w:rPr>
                <w:sz w:val="22"/>
              </w:rPr>
            </w:pPr>
            <w:r>
              <w:rPr>
                <w:sz w:val="22"/>
              </w:rPr>
              <w:t>Specifies that the WHIRLPOOL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2438" w:hRule="atLeast"/>
        </w:trPr>
        <w:tc>
          <w:tcPr>
            <w:tcW w:w="2062" w:type="dxa"/>
            <w:vMerge/>
            <w:tcBorders>
              <w:top w:val="nil"/>
            </w:tcBorders>
          </w:tcPr>
          <w:p>
            <w:pPr>
              <w:rPr>
                <w:sz w:val="2"/>
                <w:szCs w:val="2"/>
              </w:rPr>
            </w:pPr>
          </w:p>
        </w:tc>
        <w:tc>
          <w:tcPr>
            <w:tcW w:w="8250" w:type="dxa"/>
            <w:gridSpan w:val="4"/>
          </w:tcPr>
          <w:p>
            <w:pPr>
              <w:pStyle w:val="TableParagraph"/>
              <w:spacing w:before="3"/>
              <w:ind w:left="0"/>
              <w:rPr>
                <w:rFonts w:ascii="Times New Roman"/>
                <w:sz w:val="23"/>
              </w:rPr>
            </w:pPr>
          </w:p>
          <w:p>
            <w:pPr>
              <w:pStyle w:val="TableParagraph"/>
              <w:spacing w:line="237" w:lineRule="auto"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8"/>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 algorithmName="SHA-1" hashValue="9oN7nWkCAyEZib1RomSJTjmPpCY=" /&gt;</w:t>
            </w:r>
          </w:p>
          <w:p>
            <w:pPr>
              <w:pStyle w:val="TableParagraph"/>
              <w:spacing w:before="3"/>
              <w:ind w:left="0"/>
              <w:rPr>
                <w:rFonts w:ascii="Times New Roman"/>
                <w:sz w:val="23"/>
              </w:rPr>
            </w:pPr>
          </w:p>
          <w:p>
            <w:pPr>
              <w:pStyle w:val="TableParagraph"/>
              <w:spacing w:before="0"/>
              <w:ind w:right="898"/>
              <w:rPr>
                <w:i/>
                <w:sz w:val="22"/>
              </w:rPr>
            </w:pPr>
            <w:r>
              <w:rPr>
                <w:sz w:val="22"/>
              </w:rPr>
              <w:t>The </w:t>
            </w:r>
            <w:r>
              <w:rPr>
                <w:rFonts w:ascii="Cambria" w:hAnsi="Cambria"/>
                <w:sz w:val="22"/>
              </w:rPr>
              <w:t>algorithmName </w:t>
            </w:r>
            <w:r>
              <w:rPr>
                <w:sz w:val="22"/>
              </w:rPr>
              <w:t>attribute value of </w:t>
            </w:r>
            <w:r>
              <w:rPr>
                <w:rFonts w:ascii="Consolas" w:hAnsi="Consolas"/>
                <w:sz w:val="20"/>
              </w:rPr>
              <w:t>“SHA-1”</w:t>
            </w:r>
            <w:r>
              <w:rPr>
                <w:rFonts w:ascii="Consolas" w:hAnsi="Consolas"/>
                <w:spacing w:val="-90"/>
                <w:sz w:val="20"/>
              </w:rPr>
              <w:t> </w:t>
            </w:r>
            <w:r>
              <w:rPr>
                <w:sz w:val="22"/>
              </w:rPr>
              <w:t>specifies that the SHA-1 hashing algorithm must be used to generate a hash from the user-defined password. </w:t>
            </w:r>
            <w:r>
              <w:rPr>
                <w:i/>
                <w:sz w:val="22"/>
              </w:rPr>
              <w:t>end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i/>
                <w:sz w:val="22"/>
              </w:rPr>
              <w:t>example</w:t>
            </w:r>
            <w:r>
              <w:rPr>
                <w:sz w:val="22"/>
              </w:rPr>
              <w:t>]</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8" w:hRule="atLeast"/>
        </w:trPr>
        <w:tc>
          <w:tcPr>
            <w:tcW w:w="2062" w:type="dxa"/>
          </w:tcPr>
          <w:p>
            <w:pPr>
              <w:pStyle w:val="TableParagraph"/>
              <w:spacing w:before="42"/>
              <w:ind w:left="18" w:right="129"/>
              <w:jc w:val="center"/>
              <w:rPr>
                <w:sz w:val="22"/>
              </w:rPr>
            </w:pPr>
            <w:r>
              <w:rPr>
                <w:rFonts w:ascii="Cambria"/>
                <w:sz w:val="22"/>
              </w:rPr>
              <w:t>content </w:t>
            </w:r>
            <w:r>
              <w:rPr>
                <w:sz w:val="22"/>
              </w:rPr>
              <w:t>(Contents)</w:t>
            </w:r>
          </w:p>
        </w:tc>
        <w:tc>
          <w:tcPr>
            <w:tcW w:w="8250" w:type="dxa"/>
          </w:tcPr>
          <w:p>
            <w:pPr>
              <w:pStyle w:val="TableParagraph"/>
              <w:spacing w:before="42"/>
              <w:ind w:right="244"/>
              <w:rPr>
                <w:sz w:val="22"/>
              </w:rPr>
            </w:pPr>
            <w:r>
              <w:rPr>
                <w:sz w:val="22"/>
              </w:rPr>
              <w:t>When true prevents users from making changes to items that are part of the chart, such as data series, axes, and legends. The chart continues to reflect changes made to its source data.</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5971" w:hRule="atLeast"/>
        </w:trPr>
        <w:tc>
          <w:tcPr>
            <w:tcW w:w="2062" w:type="dxa"/>
          </w:tcPr>
          <w:p>
            <w:pPr>
              <w:pStyle w:val="TableParagraph"/>
              <w:spacing w:line="237" w:lineRule="auto" w:before="45"/>
              <w:ind w:right="499"/>
              <w:rPr>
                <w:sz w:val="22"/>
              </w:rPr>
            </w:pPr>
            <w:r>
              <w:rPr>
                <w:rFonts w:ascii="Cambria"/>
                <w:sz w:val="22"/>
              </w:rPr>
              <w:t>hashValue </w:t>
            </w:r>
            <w:r>
              <w:rPr>
                <w:sz w:val="22"/>
              </w:rPr>
              <w:t>(Password Hash Value)</w:t>
            </w:r>
          </w:p>
        </w:tc>
        <w:tc>
          <w:tcPr>
            <w:tcW w:w="8250" w:type="dxa"/>
          </w:tcPr>
          <w:p>
            <w:pPr>
              <w:pStyle w:val="TableParagraph"/>
              <w:ind w:right="110"/>
              <w:rPr>
                <w:sz w:val="22"/>
              </w:rPr>
            </w:pPr>
            <w:r>
              <w:rPr>
                <w:sz w:val="22"/>
              </w:rPr>
              <w:t>Specifies the hash value for the password required to edit this chartsheet. This value shall be compared with the resulting hash value after hashing the user-supplied password using the algorithm specified by the preceding attributes and parent XML element, and if the two values match, the protection shall no longer be enforced.</w:t>
            </w:r>
          </w:p>
          <w:p>
            <w:pPr>
              <w:pStyle w:val="TableParagraph"/>
              <w:spacing w:before="3"/>
              <w:ind w:left="0"/>
              <w:rPr>
                <w:rFonts w:ascii="Times New Roman"/>
                <w:sz w:val="23"/>
              </w:rPr>
            </w:pPr>
          </w:p>
          <w:p>
            <w:pPr>
              <w:pStyle w:val="TableParagraph"/>
              <w:spacing w:before="0"/>
              <w:ind w:right="834"/>
              <w:rPr>
                <w:sz w:val="22"/>
              </w:rPr>
            </w:pPr>
            <w:r>
              <w:rPr>
                <w:sz w:val="22"/>
              </w:rPr>
              <w:t>If this value is omitted, then the </w:t>
            </w:r>
            <w:r>
              <w:rPr>
                <w:rFonts w:ascii="Cambria"/>
                <w:sz w:val="22"/>
              </w:rPr>
              <w:t>reservationPassword </w:t>
            </w:r>
            <w:r>
              <w:rPr>
                <w:sz w:val="22"/>
              </w:rPr>
              <w:t>attribute shall contain the password hash for the</w:t>
            </w:r>
            <w:r>
              <w:rPr>
                <w:spacing w:val="-7"/>
                <w:sz w:val="22"/>
              </w:rPr>
              <w:t> </w:t>
            </w:r>
            <w:r>
              <w:rPr>
                <w:sz w:val="22"/>
              </w:rPr>
              <w:t>workbook.</w:t>
            </w:r>
          </w:p>
          <w:p>
            <w:pPr>
              <w:pStyle w:val="TableParagraph"/>
              <w:spacing w:before="5"/>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w:t>
            </w:r>
            <w:r>
              <w:rPr>
                <w:spacing w:val="-7"/>
                <w:sz w:val="22"/>
              </w:rPr>
              <w:t> </w:t>
            </w:r>
            <w:r>
              <w:rPr>
                <w:sz w:val="22"/>
              </w:rPr>
              <w:t>elements:</w:t>
            </w:r>
          </w:p>
          <w:p>
            <w:pPr>
              <w:pStyle w:val="TableParagraph"/>
              <w:spacing w:before="7"/>
              <w:ind w:left="0"/>
              <w:rPr>
                <w:rFonts w:ascii="Times New Roman"/>
                <w:sz w:val="23"/>
              </w:rPr>
            </w:pPr>
          </w:p>
          <w:p>
            <w:pPr>
              <w:pStyle w:val="TableParagraph"/>
              <w:spacing w:before="0"/>
              <w:ind w:left="645" w:right="2373" w:hanging="243"/>
              <w:rPr>
                <w:rFonts w:ascii="Consolas" w:hAnsi="Consolas"/>
                <w:sz w:val="22"/>
              </w:rPr>
            </w:pPr>
            <w:r>
              <w:rPr>
                <w:rFonts w:ascii="Consolas" w:hAnsi="Consolas"/>
                <w:sz w:val="22"/>
              </w:rPr>
              <w:t>&lt;… algorithmName="SHA-1" hashValue="9oN7nWkCAyEZib1RomSJTjmPpCY=" /&gt;</w:t>
            </w:r>
          </w:p>
          <w:p>
            <w:pPr>
              <w:pStyle w:val="TableParagraph"/>
              <w:spacing w:before="0"/>
              <w:ind w:left="0"/>
              <w:rPr>
                <w:rFonts w:ascii="Times New Roman"/>
                <w:sz w:val="23"/>
              </w:rPr>
            </w:pPr>
          </w:p>
          <w:p>
            <w:pPr>
              <w:pStyle w:val="TableParagraph"/>
              <w:spacing w:before="0"/>
              <w:ind w:right="334"/>
              <w:rPr>
                <w:sz w:val="22"/>
              </w:rPr>
            </w:pPr>
            <w:r>
              <w:rPr>
                <w:sz w:val="22"/>
              </w:rPr>
              <w:t>The </w:t>
            </w:r>
            <w:r>
              <w:rPr>
                <w:rFonts w:ascii="Cambria"/>
                <w:sz w:val="22"/>
              </w:rPr>
              <w:t>hashValue </w:t>
            </w:r>
            <w:r>
              <w:rPr>
                <w:sz w:val="22"/>
              </w:rPr>
              <w:t>attribute value of </w:t>
            </w:r>
            <w:r>
              <w:rPr>
                <w:rFonts w:ascii="Consolas"/>
                <w:sz w:val="20"/>
              </w:rPr>
              <w:t>9oN7nWkCAyEZib1RomSJTjmPpCY= </w:t>
            </w:r>
            <w:r>
              <w:rPr>
                <w:sz w:val="22"/>
              </w:rPr>
              <w:t>specifies that the user-supplied password shall be hashed using the pre-processing defined by the parent element (if any) followed by the SHA-1 algorithm (specified via the </w:t>
            </w:r>
            <w:r>
              <w:rPr>
                <w:rFonts w:ascii="Cambria"/>
                <w:sz w:val="22"/>
              </w:rPr>
              <w:t>algorithmName </w:t>
            </w:r>
            <w:r>
              <w:rPr>
                <w:sz w:val="22"/>
              </w:rPr>
              <w:t>attribute value of </w:t>
            </w:r>
            <w:r>
              <w:rPr>
                <w:rFonts w:ascii="Consolas"/>
                <w:sz w:val="20"/>
              </w:rPr>
              <w:t>SHA-1</w:t>
            </w:r>
            <w:r>
              <w:rPr>
                <w:sz w:val="22"/>
              </w:rPr>
              <w:t>) and that the resulting has value must be </w:t>
            </w:r>
            <w:r>
              <w:rPr>
                <w:rFonts w:ascii="Consolas"/>
                <w:sz w:val="20"/>
              </w:rPr>
              <w:t>9oN7nWkCAyEZib1RomSJTjmPpCY=</w:t>
            </w:r>
            <w:r>
              <w:rPr>
                <w:rFonts w:ascii="Consolas"/>
                <w:spacing w:val="-79"/>
                <w:sz w:val="20"/>
              </w:rPr>
              <w:t> </w:t>
            </w:r>
            <w:r>
              <w:rPr>
                <w:sz w:val="22"/>
              </w:rPr>
              <w:t>for the protection to be disabled. </w:t>
            </w:r>
            <w:r>
              <w:rPr>
                <w:i/>
                <w:sz w:val="22"/>
              </w:rPr>
              <w:t>end example</w:t>
            </w:r>
            <w:r>
              <w:rPr>
                <w:sz w:val="22"/>
              </w:rPr>
              <w:t>]</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1"/>
              <w:rPr>
                <w:sz w:val="22"/>
              </w:rPr>
            </w:pPr>
            <w:r>
              <w:rPr>
                <w:sz w:val="22"/>
              </w:rPr>
              <w:t>datatype.</w:t>
            </w:r>
          </w:p>
        </w:tc>
      </w:tr>
      <w:tr>
        <w:trPr>
          <w:trHeight w:val="1699" w:hRule="atLeast"/>
        </w:trPr>
        <w:tc>
          <w:tcPr>
            <w:tcW w:w="2062" w:type="dxa"/>
          </w:tcPr>
          <w:p>
            <w:pPr>
              <w:pStyle w:val="TableParagraph"/>
              <w:spacing w:line="237" w:lineRule="auto" w:before="44"/>
              <w:ind w:right="456"/>
              <w:rPr>
                <w:sz w:val="22"/>
              </w:rPr>
            </w:pPr>
            <w:r>
              <w:rPr>
                <w:rFonts w:ascii="Cambria"/>
                <w:sz w:val="22"/>
              </w:rPr>
              <w:t>objects </w:t>
            </w:r>
            <w:r>
              <w:rPr>
                <w:sz w:val="22"/>
              </w:rPr>
              <w:t>(Objects Locked)</w:t>
            </w:r>
          </w:p>
        </w:tc>
        <w:tc>
          <w:tcPr>
            <w:tcW w:w="8250" w:type="dxa"/>
          </w:tcPr>
          <w:p>
            <w:pPr>
              <w:pStyle w:val="TableParagraph"/>
              <w:spacing w:before="42"/>
              <w:ind w:right="287"/>
              <w:rPr>
                <w:sz w:val="22"/>
              </w:rPr>
            </w:pPr>
            <w:r>
              <w:rPr>
                <w:sz w:val="22"/>
              </w:rPr>
              <w:t>When true prevents users from making changes to graphic objects— including shapes, text boxes, and controls— unless you unlock the specific objects before you protect the chart sheet.</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965" w:hRule="atLeast"/>
        </w:trPr>
        <w:tc>
          <w:tcPr>
            <w:tcW w:w="2062" w:type="dxa"/>
          </w:tcPr>
          <w:p>
            <w:pPr>
              <w:pStyle w:val="TableParagraph"/>
              <w:ind w:right="195"/>
              <w:rPr>
                <w:sz w:val="22"/>
              </w:rPr>
            </w:pPr>
            <w:r>
              <w:rPr>
                <w:rFonts w:ascii="Cambria"/>
                <w:sz w:val="22"/>
              </w:rPr>
              <w:t>saltValue </w:t>
            </w:r>
            <w:r>
              <w:rPr>
                <w:sz w:val="22"/>
              </w:rPr>
              <w:t>(Salt Value for Password Verifier)</w:t>
            </w:r>
          </w:p>
        </w:tc>
        <w:tc>
          <w:tcPr>
            <w:tcW w:w="8250" w:type="dxa"/>
          </w:tcPr>
          <w:p>
            <w:pPr>
              <w:pStyle w:val="TableParagraph"/>
              <w:ind w:right="105"/>
              <w:rPr>
                <w:sz w:val="22"/>
              </w:rPr>
            </w:pPr>
            <w:r>
              <w:rPr>
                <w:sz w:val="22"/>
              </w:rPr>
              <w:t>Specifies the salt which was prepended to the user-supplied password before it was hashed using the hashing algorithm defined by the preceding attribute values to generate the </w:t>
            </w:r>
            <w:r>
              <w:rPr>
                <w:rFonts w:ascii="Cambria"/>
                <w:sz w:val="22"/>
              </w:rPr>
              <w:t>hashValue </w:t>
            </w:r>
            <w:r>
              <w:rPr>
                <w:sz w:val="22"/>
              </w:rPr>
              <w:t>attribute, and which shall also be prepended to the user-supplied password before attempting to generate a hash value for comparison. A </w:t>
            </w:r>
            <w:r>
              <w:rPr>
                <w:i/>
                <w:sz w:val="22"/>
              </w:rPr>
              <w:t>salt </w:t>
            </w:r>
            <w:r>
              <w:rPr>
                <w:sz w:val="22"/>
              </w:rPr>
              <w:t>is a random string which is added to a user-supplied password before it is hashed in order to prevent a malicious party from pre-calculating all possible password/hash combinations and simply using those pre-calculated values (often referred to as a "dictionary</w:t>
            </w:r>
            <w:r>
              <w:rPr>
                <w:spacing w:val="-15"/>
                <w:sz w:val="22"/>
              </w:rPr>
              <w:t> </w:t>
            </w:r>
            <w:r>
              <w:rPr>
                <w:sz w:val="22"/>
              </w:rPr>
              <w:t>attack").</w:t>
            </w:r>
          </w:p>
        </w:tc>
      </w:tr>
    </w:tbl>
    <w:p>
      <w:pPr>
        <w:spacing w:after="0"/>
        <w:rPr>
          <w:sz w:val="22"/>
        </w:rPr>
        <w:sectPr>
          <w:footerReference w:type="even" r:id="rId54"/>
          <w:footerReference w:type="default" r:id="rId55"/>
          <w:pgSz w:w="12240" w:h="15840"/>
          <w:pgMar w:footer="746" w:header="761" w:top="1340" w:bottom="940" w:left="860" w:right="700"/>
          <w:pgNumType w:start="169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360"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121"/>
              <w:rPr>
                <w:sz w:val="22"/>
              </w:rPr>
            </w:pPr>
            <w:r>
              <w:rPr>
                <w:sz w:val="22"/>
              </w:rPr>
              <w:t>If this attribute is omitted, then no salt shall be prepended to the user-supplied password before it is hashed for comparison with the stored hash value.</w:t>
            </w:r>
          </w:p>
          <w:p>
            <w:pPr>
              <w:pStyle w:val="TableParagraph"/>
              <w:spacing w:before="3"/>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saltValue="ZUdHa+D8F/OAKP3I7ssUnQ==" hashValue="9oN7nWkCAyEZib1RomSJTjmPpCY=" /&gt;</w:t>
            </w:r>
          </w:p>
          <w:p>
            <w:pPr>
              <w:pStyle w:val="TableParagraph"/>
              <w:spacing w:before="3"/>
              <w:ind w:left="0"/>
              <w:rPr>
                <w:rFonts w:ascii="Times New Roman"/>
                <w:sz w:val="23"/>
              </w:rPr>
            </w:pPr>
          </w:p>
          <w:p>
            <w:pPr>
              <w:pStyle w:val="TableParagraph"/>
              <w:spacing w:before="0"/>
              <w:ind w:right="195"/>
              <w:rPr>
                <w:sz w:val="22"/>
              </w:rPr>
            </w:pPr>
            <w:r>
              <w:rPr>
                <w:sz w:val="22"/>
              </w:rPr>
              <w:t>The </w:t>
            </w:r>
            <w:r>
              <w:rPr>
                <w:rFonts w:ascii="Cambria"/>
                <w:sz w:val="22"/>
              </w:rPr>
              <w:t>saltValue </w:t>
            </w:r>
            <w:r>
              <w:rPr>
                <w:sz w:val="22"/>
              </w:rPr>
              <w:t>attribute value of </w:t>
            </w:r>
            <w:r>
              <w:rPr>
                <w:rFonts w:ascii="Consolas"/>
                <w:sz w:val="20"/>
              </w:rPr>
              <w:t>ZUdHa+D8F/OAKP3I7ssUnQ== </w:t>
            </w:r>
            <w:r>
              <w:rPr>
                <w:sz w:val="22"/>
              </w:rPr>
              <w:t>specifies that the user- supplied password must have this value prepended before it is run through the specified hashing algorithm to generate a resulting hash value for comparison. </w:t>
            </w:r>
            <w:r>
              <w:rPr>
                <w:i/>
                <w:sz w:val="22"/>
              </w:rPr>
              <w:t>end example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0"/>
              <w:rPr>
                <w:sz w:val="22"/>
              </w:rPr>
            </w:pPr>
            <w:r>
              <w:rPr>
                <w:sz w:val="22"/>
              </w:rPr>
              <w:t>datatype.</w:t>
            </w:r>
          </w:p>
        </w:tc>
      </w:tr>
      <w:tr>
        <w:trPr>
          <w:trHeight w:val="5974" w:hRule="atLeast"/>
        </w:trPr>
        <w:tc>
          <w:tcPr>
            <w:tcW w:w="2062" w:type="dxa"/>
          </w:tcPr>
          <w:p>
            <w:pPr>
              <w:pStyle w:val="TableParagraph"/>
              <w:spacing w:line="237" w:lineRule="auto" w:before="45"/>
              <w:ind w:right="197"/>
              <w:rPr>
                <w:sz w:val="22"/>
              </w:rPr>
            </w:pPr>
            <w:r>
              <w:rPr>
                <w:rFonts w:ascii="Cambria"/>
                <w:sz w:val="22"/>
              </w:rPr>
              <w:t>spinCount </w:t>
            </w:r>
            <w:r>
              <w:rPr>
                <w:sz w:val="22"/>
              </w:rPr>
              <w:t>(Iterations to Run Hashing Algorithm)</w:t>
            </w:r>
          </w:p>
        </w:tc>
        <w:tc>
          <w:tcPr>
            <w:tcW w:w="8250" w:type="dxa"/>
          </w:tcPr>
          <w:p>
            <w:pPr>
              <w:pStyle w:val="TableParagraph"/>
              <w:ind w:right="287"/>
              <w:rPr>
                <w:sz w:val="22"/>
              </w:rPr>
            </w:pPr>
            <w:r>
              <w:rPr>
                <w:sz w:val="22"/>
              </w:rPr>
              <w:t>Specifies the number of times the hashing function shall be iteratively run (runs using each iteration's result plus a 4 byte value (0-based, little endian) containing the number of the iteration as the input for the next iteration) when attempting to compare a user- supplied password with the value stored in the </w:t>
            </w:r>
            <w:r>
              <w:rPr>
                <w:rFonts w:ascii="Cambria"/>
                <w:sz w:val="22"/>
              </w:rPr>
              <w:t>hashValue </w:t>
            </w:r>
            <w:r>
              <w:rPr>
                <w:sz w:val="22"/>
              </w:rPr>
              <w:t>attribute.</w:t>
            </w:r>
          </w:p>
          <w:p>
            <w:pPr>
              <w:pStyle w:val="TableParagraph"/>
              <w:spacing w:before="5"/>
              <w:ind w:left="0"/>
              <w:rPr>
                <w:rFonts w:ascii="Times New Roman"/>
                <w:sz w:val="23"/>
              </w:rPr>
            </w:pPr>
          </w:p>
          <w:p>
            <w:pPr>
              <w:pStyle w:val="TableParagraph"/>
              <w:spacing w:before="0"/>
              <w:ind w:right="170"/>
              <w:rPr>
                <w:sz w:val="22"/>
              </w:rPr>
            </w:pPr>
            <w:r>
              <w:rPr>
                <w:sz w:val="22"/>
              </w:rPr>
              <w:t>[</w:t>
            </w:r>
            <w:r>
              <w:rPr>
                <w:i/>
                <w:sz w:val="22"/>
              </w:rPr>
              <w:t>Rationale</w:t>
            </w:r>
            <w:r>
              <w:rPr>
                <w:sz w:val="22"/>
              </w:rPr>
              <w:t>: Running the algorithm many times increases the cost of exhaustive search attacks correspondingly. Storing this value allows for the number of iterations to be increased over time to accommodate faster hardware (and hence the ability to run more iterations in less time). </w:t>
            </w:r>
            <w:r>
              <w:rPr>
                <w:i/>
                <w:sz w:val="22"/>
              </w:rPr>
              <w:t>end rationale</w:t>
            </w:r>
            <w:r>
              <w:rPr>
                <w:sz w:val="22"/>
              </w:rPr>
              <w:t>]</w:t>
            </w:r>
          </w:p>
          <w:p>
            <w:pPr>
              <w:pStyle w:val="TableParagraph"/>
              <w:spacing w:before="3"/>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line="257" w:lineRule="exact" w:before="0"/>
              <w:ind w:left="403"/>
              <w:rPr>
                <w:rFonts w:ascii="Consolas" w:hAnsi="Consolas"/>
                <w:sz w:val="22"/>
              </w:rPr>
            </w:pPr>
            <w:r>
              <w:rPr>
                <w:rFonts w:ascii="Consolas" w:hAnsi="Consolas"/>
                <w:sz w:val="22"/>
              </w:rPr>
              <w:t>&lt;… spinCount="100000"</w:t>
            </w:r>
          </w:p>
          <w:p>
            <w:pPr>
              <w:pStyle w:val="TableParagraph"/>
              <w:spacing w:line="257" w:lineRule="exact" w:before="0"/>
              <w:ind w:left="645"/>
              <w:rPr>
                <w:rFonts w:ascii="Consolas"/>
                <w:sz w:val="22"/>
              </w:rPr>
            </w:pPr>
            <w:r>
              <w:rPr>
                <w:rFonts w:ascii="Consolas"/>
                <w:sz w:val="22"/>
              </w:rPr>
              <w:t>hashValue="9oN7nWkCAyEZib1RomSJTjmPpCY=" /&gt;</w:t>
            </w:r>
          </w:p>
          <w:p>
            <w:pPr>
              <w:pStyle w:val="TableParagraph"/>
              <w:spacing w:before="1"/>
              <w:ind w:left="0"/>
              <w:rPr>
                <w:rFonts w:ascii="Times New Roman"/>
                <w:sz w:val="23"/>
              </w:rPr>
            </w:pPr>
          </w:p>
          <w:p>
            <w:pPr>
              <w:pStyle w:val="TableParagraph"/>
              <w:spacing w:before="1"/>
              <w:ind w:right="157"/>
              <w:rPr>
                <w:sz w:val="22"/>
              </w:rPr>
            </w:pPr>
            <w:r>
              <w:rPr>
                <w:sz w:val="22"/>
              </w:rPr>
              <w:t>The </w:t>
            </w:r>
            <w:r>
              <w:rPr>
                <w:rFonts w:ascii="Cambria"/>
                <w:sz w:val="22"/>
              </w:rPr>
              <w:t>spinCount </w:t>
            </w:r>
            <w:r>
              <w:rPr>
                <w:sz w:val="22"/>
              </w:rPr>
              <w:t>attribute value of </w:t>
            </w:r>
            <w:r>
              <w:rPr>
                <w:rFonts w:ascii="Consolas"/>
                <w:sz w:val="20"/>
              </w:rPr>
              <w:t>100000</w:t>
            </w:r>
            <w:r>
              <w:rPr>
                <w:rFonts w:ascii="Consolas"/>
                <w:spacing w:val="-86"/>
                <w:sz w:val="20"/>
              </w:rPr>
              <w:t> </w:t>
            </w:r>
            <w:r>
              <w:rPr>
                <w:sz w:val="22"/>
              </w:rPr>
              <w:t>specifies that the hashing function must be run one hundred thousand times to generate a hash value for comparison with the </w:t>
            </w:r>
            <w:r>
              <w:rPr>
                <w:rFonts w:ascii="Cambria"/>
                <w:sz w:val="22"/>
              </w:rPr>
              <w:t>hashValue </w:t>
            </w:r>
            <w:r>
              <w:rPr>
                <w:sz w:val="22"/>
              </w:rPr>
              <w:t>attribute. </w:t>
            </w:r>
            <w:r>
              <w:rPr>
                <w:i/>
                <w:sz w:val="22"/>
              </w:rPr>
              <w:t>end example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CT_ChartsheetProtection</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5 sheetProtection (Sheet Protect" w:id="356"/>
      <w:bookmarkEnd w:id="356"/>
      <w:r>
        <w:rPr/>
      </w:r>
      <w:bookmarkStart w:name="_bookmark117" w:id="357"/>
      <w:bookmarkEnd w:id="357"/>
      <w:r>
        <w:rPr/>
      </w:r>
      <w:bookmarkStart w:name="_bookmark117" w:id="358"/>
      <w:bookmarkEnd w:id="358"/>
      <w:r>
        <w:rPr>
          <w:color w:val="4F81BC"/>
        </w:rPr>
        <w:t>sheetPr</w:t>
      </w:r>
      <w:r>
        <w:rPr>
          <w:color w:val="4F81BC"/>
        </w:rPr>
        <w:t>otection (Sheet Protection</w:t>
      </w:r>
      <w:r>
        <w:rPr>
          <w:color w:val="4F81BC"/>
          <w:spacing w:val="-3"/>
        </w:rPr>
        <w:t> </w:t>
      </w:r>
      <w:r>
        <w:rPr>
          <w:color w:val="4F81BC"/>
        </w:rPr>
        <w:t>Options)</w:t>
      </w:r>
    </w:p>
    <w:p>
      <w:pPr>
        <w:pStyle w:val="BodyText"/>
        <w:spacing w:before="121"/>
        <w:ind w:left="220"/>
      </w:pPr>
      <w:r>
        <w:rPr/>
        <w:t>This collection expresses the sheet protection options to enforce when the sheet is protected.</w:t>
      </w:r>
    </w:p>
    <w:p>
      <w:pPr>
        <w:spacing w:after="0"/>
        <w:sectPr>
          <w:pgSz w:w="12240" w:h="15840"/>
          <w:pgMar w:header="763" w:footer="746" w:top="1340" w:bottom="940" w:left="860" w:right="700"/>
        </w:sectPr>
      </w:pPr>
    </w:p>
    <w:p>
      <w:pPr>
        <w:spacing w:before="93"/>
        <w:ind w:left="220" w:right="0" w:firstLine="0"/>
        <w:jc w:val="left"/>
        <w:rPr>
          <w:sz w:val="22"/>
        </w:rPr>
      </w:pPr>
      <w:r>
        <w:rPr>
          <w:sz w:val="22"/>
        </w:rPr>
        <w:t>[</w:t>
      </w:r>
      <w:r>
        <w:rPr>
          <w:i/>
          <w:sz w:val="22"/>
        </w:rPr>
        <w:t>Example</w:t>
      </w:r>
      <w:r>
        <w:rPr>
          <w:sz w:val="22"/>
        </w:rPr>
        <w:t>:</w:t>
      </w:r>
    </w:p>
    <w:p>
      <w:pPr>
        <w:pStyle w:val="BodyText"/>
        <w:spacing w:before="6"/>
        <w:rPr>
          <w:sz w:val="19"/>
        </w:rPr>
      </w:pPr>
    </w:p>
    <w:p>
      <w:pPr>
        <w:pStyle w:val="BodyText"/>
        <w:spacing w:line="278" w:lineRule="auto"/>
        <w:ind w:left="220" w:right="656"/>
      </w:pPr>
      <w:r>
        <w:rPr/>
        <w:t>This example demonstrates that the sheet is protected, objects and scenarios can be edited, cell formatting is allowed,and selection of locked cells is not allowed:</w:t>
      </w:r>
    </w:p>
    <w:p>
      <w:pPr>
        <w:pStyle w:val="BodyText"/>
        <w:spacing w:line="276" w:lineRule="auto" w:before="198"/>
        <w:ind w:left="750" w:hanging="243"/>
        <w:rPr>
          <w:rFonts w:ascii="Consolas"/>
        </w:rPr>
      </w:pPr>
      <w:r>
        <w:rPr>
          <w:rFonts w:ascii="Consolas"/>
        </w:rPr>
        <w:t>&lt;sheetProtection sheet="1" objects="1" scenarios="1" formatCells="0" selectLockedCells="1"/&gt;</w:t>
      </w:r>
    </w:p>
    <w:p>
      <w:pPr>
        <w:pStyle w:val="BodyText"/>
        <w:rPr>
          <w:rFonts w:ascii="Consolas"/>
          <w:sz w:val="17"/>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gridSpan w:val="4"/>
            <w:shd w:val="clear" w:color="auto" w:fill="C0C0C0"/>
          </w:tcPr>
          <w:p>
            <w:pPr>
              <w:pStyle w:val="TableParagraph"/>
              <w:ind w:left="98" w:right="91"/>
              <w:jc w:val="center"/>
              <w:rPr>
                <w:b/>
                <w:sz w:val="22"/>
              </w:rPr>
            </w:pPr>
            <w:r>
              <w:rPr>
                <w:b/>
                <w:sz w:val="22"/>
              </w:rPr>
              <w:t>Description</w:t>
            </w:r>
          </w:p>
        </w:tc>
      </w:tr>
      <w:tr>
        <w:trPr>
          <w:trHeight w:val="1116" w:hRule="atLeast"/>
        </w:trPr>
        <w:tc>
          <w:tcPr>
            <w:tcW w:w="2062" w:type="dxa"/>
            <w:vMerge w:val="restart"/>
          </w:tcPr>
          <w:p>
            <w:pPr>
              <w:pStyle w:val="TableParagraph"/>
              <w:spacing w:line="237" w:lineRule="auto" w:before="45"/>
              <w:ind w:right="378"/>
              <w:rPr>
                <w:sz w:val="22"/>
              </w:rPr>
            </w:pPr>
            <w:r>
              <w:rPr>
                <w:rFonts w:ascii="Cambria"/>
                <w:sz w:val="22"/>
              </w:rPr>
              <w:t>algorithmName </w:t>
            </w:r>
            <w:r>
              <w:rPr>
                <w:sz w:val="22"/>
              </w:rPr>
              <w:t>(Cryptographic Algorithm Name)</w:t>
            </w:r>
          </w:p>
        </w:tc>
        <w:tc>
          <w:tcPr>
            <w:tcW w:w="8250" w:type="dxa"/>
            <w:gridSpan w:val="4"/>
          </w:tcPr>
          <w:p>
            <w:pPr>
              <w:pStyle w:val="TableParagraph"/>
              <w:rPr>
                <w:sz w:val="22"/>
              </w:rPr>
            </w:pPr>
            <w:r>
              <w:rPr>
                <w:sz w:val="22"/>
              </w:rPr>
              <w:t>Specifies the specific cryptographic hashing algorithm which shall be used along with the</w:t>
            </w:r>
          </w:p>
          <w:p>
            <w:pPr>
              <w:pStyle w:val="TableParagraph"/>
              <w:spacing w:before="0"/>
              <w:rPr>
                <w:sz w:val="22"/>
              </w:rPr>
            </w:pPr>
            <w:r>
              <w:rPr>
                <w:rFonts w:ascii="Cambria"/>
                <w:sz w:val="22"/>
              </w:rPr>
              <w:t>salt </w:t>
            </w:r>
            <w:r>
              <w:rPr>
                <w:sz w:val="22"/>
              </w:rPr>
              <w:t>attribute and input password in order to compute the hash value.</w:t>
            </w:r>
          </w:p>
          <w:p>
            <w:pPr>
              <w:pStyle w:val="TableParagraph"/>
              <w:spacing w:before="1"/>
              <w:ind w:left="0"/>
              <w:rPr>
                <w:sz w:val="22"/>
              </w:rPr>
            </w:pPr>
          </w:p>
          <w:p>
            <w:pPr>
              <w:pStyle w:val="TableParagraph"/>
              <w:spacing w:line="249" w:lineRule="exact" w:before="0"/>
              <w:rPr>
                <w:sz w:val="22"/>
              </w:rPr>
            </w:pPr>
            <w:r>
              <w:rPr>
                <w:sz w:val="22"/>
              </w:rPr>
              <w:t>The following values are reserved:</w:t>
            </w:r>
          </w:p>
        </w:tc>
      </w:tr>
      <w:tr>
        <w:trPr>
          <w:trHeight w:val="354" w:hRule="atLeast"/>
        </w:trPr>
        <w:tc>
          <w:tcPr>
            <w:tcW w:w="2062" w:type="dxa"/>
            <w:vMerge/>
            <w:tcBorders>
              <w:top w:val="nil"/>
            </w:tcBorders>
          </w:tcPr>
          <w:p>
            <w:pPr>
              <w:rPr>
                <w:sz w:val="2"/>
                <w:szCs w:val="2"/>
              </w:rPr>
            </w:pPr>
          </w:p>
        </w:tc>
        <w:tc>
          <w:tcPr>
            <w:tcW w:w="120" w:type="dxa"/>
            <w:vMerge w:val="restart"/>
            <w:tcBorders>
              <w:top w:val="nil"/>
            </w:tcBorders>
          </w:tcPr>
          <w:p>
            <w:pPr>
              <w:pStyle w:val="TableParagraph"/>
              <w:spacing w:before="0"/>
              <w:ind w:left="0"/>
              <w:rPr>
                <w:rFonts w:ascii="Times New Roman"/>
                <w:sz w:val="22"/>
              </w:rPr>
            </w:pPr>
          </w:p>
        </w:tc>
        <w:tc>
          <w:tcPr>
            <w:tcW w:w="1894" w:type="dxa"/>
            <w:shd w:val="clear" w:color="auto" w:fill="C0C0C0"/>
          </w:tcPr>
          <w:p>
            <w:pPr>
              <w:pStyle w:val="TableParagraph"/>
              <w:spacing w:before="42"/>
              <w:ind w:left="665" w:right="656"/>
              <w:jc w:val="center"/>
              <w:rPr>
                <w:b/>
                <w:sz w:val="22"/>
              </w:rPr>
            </w:pPr>
            <w:r>
              <w:rPr>
                <w:b/>
                <w:sz w:val="22"/>
              </w:rPr>
              <w:t>Value</w:t>
            </w:r>
          </w:p>
        </w:tc>
        <w:tc>
          <w:tcPr>
            <w:tcW w:w="6116" w:type="dxa"/>
            <w:shd w:val="clear" w:color="auto" w:fill="C0C0C0"/>
          </w:tcPr>
          <w:p>
            <w:pPr>
              <w:pStyle w:val="TableParagraph"/>
              <w:spacing w:before="42"/>
              <w:ind w:left="2579" w:right="2571"/>
              <w:jc w:val="center"/>
              <w:rPr>
                <w:b/>
                <w:sz w:val="22"/>
              </w:rPr>
            </w:pPr>
            <w:r>
              <w:rPr>
                <w:b/>
                <w:sz w:val="22"/>
              </w:rPr>
              <w:t>Algorithm</w:t>
            </w:r>
          </w:p>
        </w:tc>
        <w:tc>
          <w:tcPr>
            <w:tcW w:w="120" w:type="dxa"/>
            <w:tcBorders>
              <w:top w:val="nil"/>
              <w:bottom w:val="nil"/>
            </w:tcBorders>
          </w:tcPr>
          <w:p>
            <w:pPr>
              <w:pStyle w:val="TableParagraph"/>
              <w:spacing w:before="0"/>
              <w:ind w:left="0"/>
              <w:rPr>
                <w:rFonts w:ascii="Times New Roman"/>
                <w:sz w:val="22"/>
              </w:rPr>
            </w:pPr>
          </w:p>
        </w:tc>
      </w:tr>
      <w:tr>
        <w:trPr>
          <w:trHeight w:val="1698"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MD2</w:t>
            </w:r>
          </w:p>
        </w:tc>
        <w:tc>
          <w:tcPr>
            <w:tcW w:w="6116" w:type="dxa"/>
          </w:tcPr>
          <w:p>
            <w:pPr>
              <w:pStyle w:val="TableParagraph"/>
              <w:ind w:right="329"/>
              <w:rPr>
                <w:sz w:val="22"/>
              </w:rPr>
            </w:pPr>
            <w:r>
              <w:rPr>
                <w:sz w:val="22"/>
              </w:rPr>
              <w:t>Specifies that the MD2 algorithm, as defined by RFC 1319, shall be used.</w:t>
            </w:r>
          </w:p>
          <w:p>
            <w:pPr>
              <w:pStyle w:val="TableParagraph"/>
              <w:spacing w:before="0"/>
              <w:ind w:left="0"/>
              <w:rPr>
                <w:sz w:val="22"/>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6"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MD4</w:t>
            </w:r>
          </w:p>
        </w:tc>
        <w:tc>
          <w:tcPr>
            <w:tcW w:w="6116" w:type="dxa"/>
          </w:tcPr>
          <w:p>
            <w:pPr>
              <w:pStyle w:val="TableParagraph"/>
              <w:ind w:right="329"/>
              <w:rPr>
                <w:sz w:val="22"/>
              </w:rPr>
            </w:pPr>
            <w:r>
              <w:rPr>
                <w:sz w:val="22"/>
              </w:rPr>
              <w:t>Specifies that the MD4 algorithm, as defined by RFC 1320, shall be used.</w:t>
            </w:r>
          </w:p>
          <w:p>
            <w:pPr>
              <w:pStyle w:val="TableParagraph"/>
              <w:spacing w:before="0"/>
              <w:ind w:left="0"/>
              <w:rPr>
                <w:sz w:val="22"/>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8"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MD5</w:t>
            </w:r>
          </w:p>
        </w:tc>
        <w:tc>
          <w:tcPr>
            <w:tcW w:w="6116" w:type="dxa"/>
          </w:tcPr>
          <w:p>
            <w:pPr>
              <w:pStyle w:val="TableParagraph"/>
              <w:ind w:right="329"/>
              <w:rPr>
                <w:sz w:val="22"/>
              </w:rPr>
            </w:pPr>
            <w:r>
              <w:rPr>
                <w:sz w:val="22"/>
              </w:rPr>
              <w:t>Specifies that the MD5 algorithm, as defined by RFC 1321, shall be used.</w:t>
            </w:r>
          </w:p>
          <w:p>
            <w:pPr>
              <w:pStyle w:val="TableParagraph"/>
              <w:spacing w:before="0"/>
              <w:ind w:left="0"/>
              <w:rPr>
                <w:sz w:val="22"/>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1697"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RIPEMD-128</w:t>
            </w:r>
          </w:p>
        </w:tc>
        <w:tc>
          <w:tcPr>
            <w:tcW w:w="6116" w:type="dxa"/>
          </w:tcPr>
          <w:p>
            <w:pPr>
              <w:pStyle w:val="TableParagraph"/>
              <w:ind w:right="339"/>
              <w:rPr>
                <w:sz w:val="22"/>
              </w:rPr>
            </w:pPr>
            <w:r>
              <w:rPr>
                <w:sz w:val="22"/>
              </w:rPr>
              <w:t>Specifies that the RIPEMD-128 algorithm, as defined by ISO/IEC 10118-3:2004 shall be used.</w:t>
            </w:r>
          </w:p>
          <w:p>
            <w:pPr>
              <w:pStyle w:val="TableParagraph"/>
              <w:spacing w:before="10"/>
              <w:ind w:left="0"/>
              <w:rPr>
                <w:sz w:val="21"/>
              </w:rPr>
            </w:pPr>
          </w:p>
          <w:p>
            <w:pPr>
              <w:pStyle w:val="TableParagraph"/>
              <w:spacing w:before="0"/>
              <w:ind w:right="220"/>
              <w:rPr>
                <w:sz w:val="22"/>
              </w:rPr>
            </w:pPr>
            <w:r>
              <w:rPr>
                <w:sz w:val="22"/>
              </w:rPr>
              <w:t>[</w:t>
            </w:r>
            <w:r>
              <w:rPr>
                <w:i/>
                <w:sz w:val="22"/>
              </w:rPr>
              <w:t>Note</w:t>
            </w:r>
            <w:r>
              <w:rPr>
                <w:sz w:val="22"/>
              </w:rPr>
              <w:t>: It is recommended that applications should avoid using this algorithm to store new hash values, due to publically known breaks. </w:t>
            </w:r>
            <w:r>
              <w:rPr>
                <w:i/>
                <w:sz w:val="22"/>
              </w:rPr>
              <w:t>end note</w:t>
            </w:r>
            <w:r>
              <w:rPr>
                <w:sz w:val="22"/>
              </w:rPr>
              <w:t>]</w:t>
            </w:r>
          </w:p>
        </w:tc>
        <w:tc>
          <w:tcPr>
            <w:tcW w:w="120" w:type="dxa"/>
            <w:tcBorders>
              <w:top w:val="nil"/>
              <w:bottom w:val="nil"/>
            </w:tcBorders>
          </w:tcPr>
          <w:p>
            <w:pPr>
              <w:pStyle w:val="TableParagraph"/>
              <w:spacing w:before="0"/>
              <w:ind w:left="0"/>
              <w:rPr>
                <w:rFonts w:ascii="Times New Roman"/>
                <w:sz w:val="22"/>
              </w:rPr>
            </w:pPr>
          </w:p>
        </w:tc>
      </w:tr>
      <w:tr>
        <w:trPr>
          <w:trHeight w:val="623"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Pr>
          <w:p>
            <w:pPr>
              <w:pStyle w:val="TableParagraph"/>
              <w:spacing w:before="41"/>
              <w:rPr>
                <w:rFonts w:ascii="Consolas"/>
                <w:sz w:val="20"/>
              </w:rPr>
            </w:pPr>
            <w:r>
              <w:rPr>
                <w:rFonts w:ascii="Consolas"/>
                <w:sz w:val="20"/>
              </w:rPr>
              <w:t>RIPEMD-160</w:t>
            </w:r>
          </w:p>
        </w:tc>
        <w:tc>
          <w:tcPr>
            <w:tcW w:w="6116" w:type="dxa"/>
          </w:tcPr>
          <w:p>
            <w:pPr>
              <w:pStyle w:val="TableParagraph"/>
              <w:ind w:right="339"/>
              <w:rPr>
                <w:sz w:val="22"/>
              </w:rPr>
            </w:pPr>
            <w:r>
              <w:rPr>
                <w:sz w:val="22"/>
              </w:rPr>
              <w:t>Specifies that the RIPEMD-160 algorithm, as defined by ISO/IEC 10118-3:2004 shall be used.</w:t>
            </w:r>
          </w:p>
        </w:tc>
        <w:tc>
          <w:tcPr>
            <w:tcW w:w="120" w:type="dxa"/>
            <w:tcBorders>
              <w:top w:val="nil"/>
              <w:bottom w:val="nil"/>
            </w:tcBorders>
          </w:tcPr>
          <w:p>
            <w:pPr>
              <w:pStyle w:val="TableParagraph"/>
              <w:spacing w:before="0"/>
              <w:ind w:left="0"/>
              <w:rPr>
                <w:rFonts w:ascii="Times New Roman"/>
                <w:sz w:val="22"/>
              </w:rPr>
            </w:pPr>
          </w:p>
        </w:tc>
      </w:tr>
      <w:tr>
        <w:trPr>
          <w:trHeight w:val="639" w:hRule="atLeast"/>
        </w:trPr>
        <w:tc>
          <w:tcPr>
            <w:tcW w:w="2062" w:type="dxa"/>
            <w:vMerge/>
            <w:tcBorders>
              <w:top w:val="nil"/>
            </w:tcBorders>
          </w:tcPr>
          <w:p>
            <w:pPr>
              <w:rPr>
                <w:sz w:val="2"/>
                <w:szCs w:val="2"/>
              </w:rPr>
            </w:pPr>
          </w:p>
        </w:tc>
        <w:tc>
          <w:tcPr>
            <w:tcW w:w="120" w:type="dxa"/>
            <w:vMerge/>
            <w:tcBorders>
              <w:top w:val="nil"/>
            </w:tcBorders>
          </w:tcPr>
          <w:p>
            <w:pPr>
              <w:rPr>
                <w:sz w:val="2"/>
                <w:szCs w:val="2"/>
              </w:rPr>
            </w:pPr>
          </w:p>
        </w:tc>
        <w:tc>
          <w:tcPr>
            <w:tcW w:w="1894" w:type="dxa"/>
            <w:tcBorders>
              <w:bottom w:val="double" w:sz="1" w:space="0" w:color="000000"/>
            </w:tcBorders>
          </w:tcPr>
          <w:p>
            <w:pPr>
              <w:pStyle w:val="TableParagraph"/>
              <w:spacing w:before="41"/>
              <w:rPr>
                <w:rFonts w:ascii="Consolas"/>
                <w:sz w:val="20"/>
              </w:rPr>
            </w:pPr>
            <w:r>
              <w:rPr>
                <w:rFonts w:ascii="Consolas"/>
                <w:sz w:val="20"/>
              </w:rPr>
              <w:t>SHA-1</w:t>
            </w:r>
          </w:p>
        </w:tc>
        <w:tc>
          <w:tcPr>
            <w:tcW w:w="6116" w:type="dxa"/>
            <w:tcBorders>
              <w:bottom w:val="double" w:sz="1" w:space="0" w:color="000000"/>
            </w:tcBorders>
          </w:tcPr>
          <w:p>
            <w:pPr>
              <w:pStyle w:val="TableParagraph"/>
              <w:ind w:right="224"/>
              <w:rPr>
                <w:sz w:val="22"/>
              </w:rPr>
            </w:pPr>
            <w:r>
              <w:rPr>
                <w:sz w:val="22"/>
              </w:rPr>
              <w:t>Specifies that the SHA-1 algorithm, as defined by ISO/IEC 10118- 3:2004 shall be used.</w:t>
            </w:r>
          </w:p>
        </w:tc>
        <w:tc>
          <w:tcPr>
            <w:tcW w:w="120"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20"/>
        <w:gridCol w:w="1894"/>
        <w:gridCol w:w="6116"/>
        <w:gridCol w:w="120"/>
      </w:tblGrid>
      <w:tr>
        <w:trPr>
          <w:trHeight w:val="371" w:hRule="atLeast"/>
        </w:trPr>
        <w:tc>
          <w:tcPr>
            <w:tcW w:w="2062" w:type="dxa"/>
            <w:shd w:val="clear" w:color="auto" w:fill="C0C0C0"/>
          </w:tcPr>
          <w:p>
            <w:pPr>
              <w:pStyle w:val="TableParagraph"/>
              <w:ind w:left="566"/>
              <w:rPr>
                <w:b/>
                <w:sz w:val="22"/>
              </w:rPr>
            </w:pPr>
            <w:r>
              <w:rPr>
                <w:b/>
                <w:sz w:val="22"/>
              </w:rPr>
              <w:t>Attributes</w:t>
            </w:r>
          </w:p>
        </w:tc>
        <w:tc>
          <w:tcPr>
            <w:tcW w:w="8250" w:type="dxa"/>
            <w:gridSpan w:val="4"/>
            <w:tcBorders>
              <w:bottom w:val="double" w:sz="1" w:space="0" w:color="000000"/>
            </w:tcBorders>
            <w:shd w:val="clear" w:color="auto" w:fill="C0C0C0"/>
          </w:tcPr>
          <w:p>
            <w:pPr>
              <w:pStyle w:val="TableParagraph"/>
              <w:ind w:left="98" w:right="91"/>
              <w:jc w:val="center"/>
              <w:rPr>
                <w:b/>
                <w:sz w:val="22"/>
              </w:rPr>
            </w:pPr>
            <w:r>
              <w:rPr>
                <w:b/>
                <w:sz w:val="22"/>
              </w:rPr>
              <w:t>Description</w:t>
            </w:r>
          </w:p>
        </w:tc>
      </w:tr>
      <w:tr>
        <w:trPr>
          <w:trHeight w:val="640" w:hRule="atLeast"/>
        </w:trPr>
        <w:tc>
          <w:tcPr>
            <w:tcW w:w="2062" w:type="dxa"/>
            <w:vMerge w:val="restart"/>
          </w:tcPr>
          <w:p>
            <w:pPr>
              <w:pStyle w:val="TableParagraph"/>
              <w:spacing w:before="0"/>
              <w:ind w:left="0"/>
              <w:rPr>
                <w:rFonts w:ascii="Times New Roman"/>
                <w:sz w:val="20"/>
              </w:rPr>
            </w:pPr>
          </w:p>
        </w:tc>
        <w:tc>
          <w:tcPr>
            <w:tcW w:w="120" w:type="dxa"/>
            <w:vMerge w:val="restart"/>
            <w:tcBorders>
              <w:bottom w:val="nil"/>
            </w:tcBorders>
          </w:tcPr>
          <w:p>
            <w:pPr>
              <w:pStyle w:val="TableParagraph"/>
              <w:spacing w:before="0"/>
              <w:ind w:left="0"/>
              <w:rPr>
                <w:rFonts w:ascii="Times New Roman"/>
                <w:sz w:val="20"/>
              </w:rPr>
            </w:pPr>
          </w:p>
        </w:tc>
        <w:tc>
          <w:tcPr>
            <w:tcW w:w="1894" w:type="dxa"/>
            <w:tcBorders>
              <w:top w:val="double" w:sz="1" w:space="0" w:color="000000"/>
            </w:tcBorders>
          </w:tcPr>
          <w:p>
            <w:pPr>
              <w:pStyle w:val="TableParagraph"/>
              <w:spacing w:before="58"/>
              <w:rPr>
                <w:rFonts w:ascii="Consolas"/>
                <w:sz w:val="20"/>
              </w:rPr>
            </w:pPr>
            <w:r>
              <w:rPr>
                <w:rFonts w:ascii="Consolas"/>
                <w:sz w:val="20"/>
              </w:rPr>
              <w:t>SHA-256</w:t>
            </w:r>
          </w:p>
        </w:tc>
        <w:tc>
          <w:tcPr>
            <w:tcW w:w="6116" w:type="dxa"/>
            <w:tcBorders>
              <w:top w:val="double" w:sz="1" w:space="0" w:color="000000"/>
            </w:tcBorders>
          </w:tcPr>
          <w:p>
            <w:pPr>
              <w:pStyle w:val="TableParagraph"/>
              <w:spacing w:before="56"/>
              <w:ind w:right="689"/>
              <w:rPr>
                <w:sz w:val="22"/>
              </w:rPr>
            </w:pPr>
            <w:r>
              <w:rPr>
                <w:sz w:val="22"/>
              </w:rPr>
              <w:t>Specifies that the SHA-256 algorithm, as defined by ISO/IEC 10118-3:2004 shall be used.</w:t>
            </w:r>
          </w:p>
        </w:tc>
        <w:tc>
          <w:tcPr>
            <w:tcW w:w="120" w:type="dxa"/>
            <w:tcBorders>
              <w:bottom w:val="nil"/>
            </w:tcBorders>
          </w:tcPr>
          <w:p>
            <w:pPr>
              <w:pStyle w:val="TableParagraph"/>
              <w:spacing w:before="0"/>
              <w:ind w:left="0"/>
              <w:rPr>
                <w:rFonts w:ascii="Times New Roman"/>
                <w:sz w:val="20"/>
              </w:rPr>
            </w:pPr>
          </w:p>
        </w:tc>
      </w:tr>
      <w:tr>
        <w:trPr>
          <w:trHeight w:val="621"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SHA-384</w:t>
            </w:r>
          </w:p>
        </w:tc>
        <w:tc>
          <w:tcPr>
            <w:tcW w:w="6116" w:type="dxa"/>
          </w:tcPr>
          <w:p>
            <w:pPr>
              <w:pStyle w:val="TableParagraph"/>
              <w:ind w:right="689"/>
              <w:rPr>
                <w:sz w:val="22"/>
              </w:rPr>
            </w:pPr>
            <w:r>
              <w:rPr>
                <w:sz w:val="22"/>
              </w:rPr>
              <w:t>Specifies that the SHA-384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4"/>
              <w:rPr>
                <w:rFonts w:ascii="Consolas"/>
                <w:sz w:val="20"/>
              </w:rPr>
            </w:pPr>
            <w:r>
              <w:rPr>
                <w:rFonts w:ascii="Consolas"/>
                <w:sz w:val="20"/>
              </w:rPr>
              <w:t>SHA-512</w:t>
            </w:r>
          </w:p>
        </w:tc>
        <w:tc>
          <w:tcPr>
            <w:tcW w:w="6116" w:type="dxa"/>
          </w:tcPr>
          <w:p>
            <w:pPr>
              <w:pStyle w:val="TableParagraph"/>
              <w:spacing w:line="237" w:lineRule="auto" w:before="44"/>
              <w:ind w:right="689"/>
              <w:rPr>
                <w:sz w:val="22"/>
              </w:rPr>
            </w:pPr>
            <w:r>
              <w:rPr>
                <w:sz w:val="22"/>
              </w:rPr>
              <w:t>Specifies that the SHA-512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623" w:hRule="atLeast"/>
        </w:trPr>
        <w:tc>
          <w:tcPr>
            <w:tcW w:w="2062" w:type="dxa"/>
            <w:vMerge/>
            <w:tcBorders>
              <w:top w:val="nil"/>
            </w:tcBorders>
          </w:tcPr>
          <w:p>
            <w:pPr>
              <w:rPr>
                <w:sz w:val="2"/>
                <w:szCs w:val="2"/>
              </w:rPr>
            </w:pPr>
          </w:p>
        </w:tc>
        <w:tc>
          <w:tcPr>
            <w:tcW w:w="120" w:type="dxa"/>
            <w:vMerge/>
            <w:tcBorders>
              <w:top w:val="nil"/>
              <w:bottom w:val="nil"/>
            </w:tcBorders>
          </w:tcPr>
          <w:p>
            <w:pPr>
              <w:rPr>
                <w:sz w:val="2"/>
                <w:szCs w:val="2"/>
              </w:rPr>
            </w:pPr>
          </w:p>
        </w:tc>
        <w:tc>
          <w:tcPr>
            <w:tcW w:w="1894" w:type="dxa"/>
          </w:tcPr>
          <w:p>
            <w:pPr>
              <w:pStyle w:val="TableParagraph"/>
              <w:spacing w:before="41"/>
              <w:rPr>
                <w:rFonts w:ascii="Consolas"/>
                <w:sz w:val="20"/>
              </w:rPr>
            </w:pPr>
            <w:r>
              <w:rPr>
                <w:rFonts w:ascii="Consolas"/>
                <w:sz w:val="20"/>
              </w:rPr>
              <w:t>WHIRLPOOL</w:t>
            </w:r>
          </w:p>
        </w:tc>
        <w:tc>
          <w:tcPr>
            <w:tcW w:w="6116" w:type="dxa"/>
          </w:tcPr>
          <w:p>
            <w:pPr>
              <w:pStyle w:val="TableParagraph"/>
              <w:ind w:right="361"/>
              <w:rPr>
                <w:sz w:val="22"/>
              </w:rPr>
            </w:pPr>
            <w:r>
              <w:rPr>
                <w:sz w:val="22"/>
              </w:rPr>
              <w:t>Specifies that the WHIRLPOOL algorithm, as defined by ISO/IEC 10118-3:2004 shall be used.</w:t>
            </w:r>
          </w:p>
        </w:tc>
        <w:tc>
          <w:tcPr>
            <w:tcW w:w="120" w:type="dxa"/>
            <w:tcBorders>
              <w:top w:val="nil"/>
              <w:bottom w:val="nil"/>
            </w:tcBorders>
          </w:tcPr>
          <w:p>
            <w:pPr>
              <w:pStyle w:val="TableParagraph"/>
              <w:spacing w:before="0"/>
              <w:ind w:left="0"/>
              <w:rPr>
                <w:rFonts w:ascii="Times New Roman"/>
                <w:sz w:val="20"/>
              </w:rPr>
            </w:pPr>
          </w:p>
        </w:tc>
      </w:tr>
      <w:tr>
        <w:trPr>
          <w:trHeight w:val="3513" w:hRule="atLeast"/>
        </w:trPr>
        <w:tc>
          <w:tcPr>
            <w:tcW w:w="2062" w:type="dxa"/>
            <w:vMerge/>
            <w:tcBorders>
              <w:top w:val="nil"/>
            </w:tcBorders>
          </w:tcPr>
          <w:p>
            <w:pPr>
              <w:rPr>
                <w:sz w:val="2"/>
                <w:szCs w:val="2"/>
              </w:rPr>
            </w:pPr>
          </w:p>
        </w:tc>
        <w:tc>
          <w:tcPr>
            <w:tcW w:w="8250" w:type="dxa"/>
            <w:gridSpan w:val="4"/>
          </w:tcPr>
          <w:p>
            <w:pPr>
              <w:pStyle w:val="TableParagraph"/>
              <w:spacing w:before="1"/>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 algorithmName="SHA-1" hashValue="9oN7nWkCAyEZib1RomSJTjmPpCY=" /&gt;</w:t>
            </w:r>
          </w:p>
          <w:p>
            <w:pPr>
              <w:pStyle w:val="TableParagraph"/>
              <w:spacing w:before="1"/>
              <w:ind w:left="0"/>
              <w:rPr>
                <w:rFonts w:ascii="Times New Roman"/>
                <w:sz w:val="23"/>
              </w:rPr>
            </w:pPr>
          </w:p>
          <w:p>
            <w:pPr>
              <w:pStyle w:val="TableParagraph"/>
              <w:spacing w:before="0"/>
              <w:ind w:right="910"/>
              <w:jc w:val="both"/>
              <w:rPr>
                <w:sz w:val="22"/>
              </w:rPr>
            </w:pPr>
            <w:r>
              <w:rPr>
                <w:sz w:val="22"/>
              </w:rPr>
              <w:t>The </w:t>
            </w:r>
            <w:r>
              <w:rPr>
                <w:rFonts w:ascii="Cambria" w:hAnsi="Cambria"/>
                <w:sz w:val="22"/>
              </w:rPr>
              <w:t>algorithmName </w:t>
            </w:r>
            <w:r>
              <w:rPr>
                <w:sz w:val="22"/>
              </w:rPr>
              <w:t>attribute value of </w:t>
            </w:r>
            <w:r>
              <w:rPr>
                <w:rFonts w:ascii="Consolas" w:hAnsi="Consolas"/>
                <w:sz w:val="20"/>
              </w:rPr>
              <w:t>“SHA-1”</w:t>
            </w:r>
            <w:r>
              <w:rPr>
                <w:rFonts w:ascii="Consolas" w:hAnsi="Consolas"/>
                <w:spacing w:val="-90"/>
                <w:sz w:val="20"/>
              </w:rPr>
              <w:t> </w:t>
            </w:r>
            <w:r>
              <w:rPr>
                <w:sz w:val="22"/>
              </w:rPr>
              <w:t>specifies that the SHA-1 hashing algorithm must be used to generate a hash from the user-defined password. </w:t>
            </w:r>
            <w:r>
              <w:rPr>
                <w:i/>
                <w:sz w:val="22"/>
              </w:rPr>
              <w:t>end </w:t>
            </w:r>
            <w:r>
              <w:rPr>
                <w:i/>
                <w:sz w:val="22"/>
              </w:rPr>
              <w:t>example</w:t>
            </w:r>
            <w:r>
              <w:rPr>
                <w:sz w:val="22"/>
              </w:rPr>
              <w:t>]</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5" w:hRule="atLeast"/>
        </w:trPr>
        <w:tc>
          <w:tcPr>
            <w:tcW w:w="2062" w:type="dxa"/>
          </w:tcPr>
          <w:p>
            <w:pPr>
              <w:pStyle w:val="TableParagraph"/>
              <w:spacing w:line="256" w:lineRule="exact" w:before="42"/>
              <w:rPr>
                <w:rFonts w:ascii="Cambria"/>
                <w:sz w:val="22"/>
              </w:rPr>
            </w:pPr>
            <w:r>
              <w:rPr>
                <w:rFonts w:ascii="Cambria"/>
                <w:sz w:val="22"/>
              </w:rPr>
              <w:t>autoFilter</w:t>
            </w:r>
          </w:p>
          <w:p>
            <w:pPr>
              <w:pStyle w:val="TableParagraph"/>
              <w:spacing w:line="267" w:lineRule="exact" w:before="0"/>
              <w:rPr>
                <w:sz w:val="22"/>
              </w:rPr>
            </w:pPr>
            <w:r>
              <w:rPr>
                <w:sz w:val="22"/>
              </w:rPr>
              <w:t>(AutoFilter Locked)</w:t>
            </w:r>
          </w:p>
        </w:tc>
        <w:tc>
          <w:tcPr>
            <w:tcW w:w="8250" w:type="dxa"/>
            <w:gridSpan w:val="4"/>
          </w:tcPr>
          <w:p>
            <w:pPr>
              <w:pStyle w:val="TableParagraph"/>
              <w:ind w:right="942"/>
              <w:rPr>
                <w:sz w:val="22"/>
              </w:rPr>
            </w:pPr>
            <w:r>
              <w:rPr>
                <w:sz w:val="22"/>
              </w:rPr>
              <w:t>If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then AutoFilters should not be allowed to operate when the sheet is protected.</w:t>
            </w:r>
          </w:p>
          <w:p>
            <w:pPr>
              <w:pStyle w:val="TableParagraph"/>
              <w:spacing w:line="538" w:lineRule="exact" w:before="46"/>
              <w:ind w:right="195"/>
              <w:rPr>
                <w:rFonts w:ascii="Cambria"/>
                <w:sz w:val="22"/>
              </w:rPr>
            </w:pPr>
            <w:r>
              <w:rPr>
                <w:sz w:val="22"/>
              </w:rPr>
              <w:t>If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then AutoFilters should be allowed to operate when the sheet is protected.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1696" w:hRule="atLeast"/>
        </w:trPr>
        <w:tc>
          <w:tcPr>
            <w:tcW w:w="2062" w:type="dxa"/>
          </w:tcPr>
          <w:p>
            <w:pPr>
              <w:pStyle w:val="TableParagraph"/>
              <w:spacing w:line="237" w:lineRule="auto" w:before="45"/>
              <w:ind w:right="435"/>
              <w:rPr>
                <w:sz w:val="22"/>
              </w:rPr>
            </w:pPr>
            <w:r>
              <w:rPr>
                <w:rFonts w:ascii="Cambria"/>
                <w:sz w:val="22"/>
              </w:rPr>
              <w:t>deleteColumns </w:t>
            </w:r>
            <w:r>
              <w:rPr>
                <w:sz w:val="22"/>
              </w:rPr>
              <w:t>(Delete Columns Locked)</w:t>
            </w:r>
          </w:p>
        </w:tc>
        <w:tc>
          <w:tcPr>
            <w:tcW w:w="8250" w:type="dxa"/>
            <w:gridSpan w:val="4"/>
          </w:tcPr>
          <w:p>
            <w:pPr>
              <w:pStyle w:val="TableParagraph"/>
              <w:spacing w:line="480" w:lineRule="auto"/>
              <w:ind w:right="399"/>
              <w:rPr>
                <w:sz w:val="22"/>
              </w:rPr>
            </w:pPr>
            <w:r>
              <w:rPr>
                <w:sz w:val="22"/>
              </w:rPr>
              <w:t>If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then deleting columns should not be allowed when the sheet is protected. If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then deleting columns should be allowed when the sheet is protected.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9" w:hRule="atLeast"/>
        </w:trPr>
        <w:tc>
          <w:tcPr>
            <w:tcW w:w="2062" w:type="dxa"/>
          </w:tcPr>
          <w:p>
            <w:pPr>
              <w:pStyle w:val="TableParagraph"/>
              <w:ind w:right="117"/>
              <w:rPr>
                <w:sz w:val="22"/>
              </w:rPr>
            </w:pPr>
            <w:r>
              <w:rPr>
                <w:rFonts w:ascii="Cambria"/>
                <w:sz w:val="22"/>
              </w:rPr>
              <w:t>deleteRows </w:t>
            </w:r>
            <w:r>
              <w:rPr>
                <w:sz w:val="22"/>
              </w:rPr>
              <w:t>(Delete Rows Locked)</w:t>
            </w:r>
          </w:p>
        </w:tc>
        <w:tc>
          <w:tcPr>
            <w:tcW w:w="8250" w:type="dxa"/>
            <w:gridSpan w:val="4"/>
          </w:tcPr>
          <w:p>
            <w:pPr>
              <w:pStyle w:val="TableParagraph"/>
              <w:rPr>
                <w:sz w:val="22"/>
              </w:rPr>
            </w:pPr>
            <w:r>
              <w:rPr>
                <w:sz w:val="22"/>
              </w:rPr>
              <w:t>If</w:t>
            </w:r>
            <w:r>
              <w:rPr>
                <w:spacing w:val="-1"/>
                <w:sz w:val="22"/>
              </w:rPr>
              <w:t> </w:t>
            </w:r>
            <w:r>
              <w:rPr>
                <w:rFonts w:ascii="Consolas"/>
                <w:sz w:val="20"/>
              </w:rPr>
              <w:t>1</w:t>
            </w:r>
            <w:r>
              <w:rPr>
                <w:rFonts w:ascii="Consolas"/>
                <w:spacing w:val="-60"/>
                <w:sz w:val="20"/>
              </w:rPr>
              <w:t> </w:t>
            </w:r>
            <w:r>
              <w:rPr>
                <w:sz w:val="22"/>
              </w:rPr>
              <w:t>or</w:t>
            </w:r>
            <w:r>
              <w:rPr>
                <w:spacing w:val="-3"/>
                <w:sz w:val="22"/>
              </w:rPr>
              <w:t> </w:t>
            </w:r>
            <w:r>
              <w:rPr>
                <w:rFonts w:ascii="Consolas"/>
                <w:sz w:val="20"/>
              </w:rPr>
              <w:t>true</w:t>
            </w:r>
            <w:r>
              <w:rPr>
                <w:rFonts w:ascii="Consolas"/>
                <w:spacing w:val="-61"/>
                <w:sz w:val="20"/>
              </w:rPr>
              <w:t> </w:t>
            </w:r>
            <w:r>
              <w:rPr>
                <w:sz w:val="22"/>
              </w:rPr>
              <w:t>then</w:t>
            </w:r>
            <w:r>
              <w:rPr>
                <w:spacing w:val="-2"/>
                <w:sz w:val="22"/>
              </w:rPr>
              <w:t> </w:t>
            </w:r>
            <w:r>
              <w:rPr>
                <w:sz w:val="22"/>
              </w:rPr>
              <w:t>deleting</w:t>
            </w:r>
            <w:r>
              <w:rPr>
                <w:spacing w:val="-2"/>
                <w:sz w:val="22"/>
              </w:rPr>
              <w:t> </w:t>
            </w:r>
            <w:r>
              <w:rPr>
                <w:sz w:val="22"/>
              </w:rPr>
              <w:t>rows</w:t>
            </w:r>
            <w:r>
              <w:rPr>
                <w:spacing w:val="-1"/>
                <w:sz w:val="22"/>
              </w:rPr>
              <w:t> </w:t>
            </w:r>
            <w:r>
              <w:rPr>
                <w:sz w:val="22"/>
              </w:rPr>
              <w:t>should</w:t>
            </w:r>
            <w:r>
              <w:rPr>
                <w:spacing w:val="-3"/>
                <w:sz w:val="22"/>
              </w:rPr>
              <w:t> </w:t>
            </w:r>
            <w:r>
              <w:rPr>
                <w:sz w:val="22"/>
              </w:rPr>
              <w:t>not</w:t>
            </w:r>
            <w:r>
              <w:rPr>
                <w:spacing w:val="-1"/>
                <w:sz w:val="22"/>
              </w:rPr>
              <w:t> </w:t>
            </w:r>
            <w:r>
              <w:rPr>
                <w:sz w:val="22"/>
              </w:rPr>
              <w:t>be</w:t>
            </w:r>
            <w:r>
              <w:rPr>
                <w:spacing w:val="-2"/>
                <w:sz w:val="22"/>
              </w:rPr>
              <w:t> </w:t>
            </w:r>
            <w:r>
              <w:rPr>
                <w:sz w:val="22"/>
              </w:rPr>
              <w:t>allowed</w:t>
            </w:r>
            <w:r>
              <w:rPr>
                <w:spacing w:val="-3"/>
                <w:sz w:val="22"/>
              </w:rPr>
              <w:t> </w:t>
            </w:r>
            <w:r>
              <w:rPr>
                <w:sz w:val="22"/>
              </w:rPr>
              <w:t>when</w:t>
            </w:r>
            <w:r>
              <w:rPr>
                <w:spacing w:val="-1"/>
                <w:sz w:val="22"/>
              </w:rPr>
              <w:t> </w:t>
            </w:r>
            <w:r>
              <w:rPr>
                <w:sz w:val="22"/>
              </w:rPr>
              <w:t>the</w:t>
            </w:r>
            <w:r>
              <w:rPr>
                <w:spacing w:val="-3"/>
                <w:sz w:val="22"/>
              </w:rPr>
              <w:t> </w:t>
            </w:r>
            <w:r>
              <w:rPr>
                <w:sz w:val="22"/>
              </w:rPr>
              <w:t>sheet</w:t>
            </w:r>
            <w:r>
              <w:rPr>
                <w:spacing w:val="-1"/>
                <w:sz w:val="22"/>
              </w:rPr>
              <w:t> </w:t>
            </w:r>
            <w:r>
              <w:rPr>
                <w:sz w:val="22"/>
              </w:rPr>
              <w:t>is</w:t>
            </w:r>
            <w:r>
              <w:rPr>
                <w:spacing w:val="-1"/>
                <w:sz w:val="22"/>
              </w:rPr>
              <w:t> </w:t>
            </w:r>
            <w:r>
              <w:rPr>
                <w:sz w:val="22"/>
              </w:rPr>
              <w:t>protected.</w:t>
            </w:r>
          </w:p>
          <w:p>
            <w:pPr>
              <w:pStyle w:val="TableParagraph"/>
              <w:spacing w:line="530" w:lineRule="atLeast" w:before="8"/>
              <w:ind w:right="617"/>
              <w:rPr>
                <w:rFonts w:ascii="Cambria"/>
                <w:sz w:val="22"/>
              </w:rPr>
            </w:pPr>
            <w:r>
              <w:rPr>
                <w:sz w:val="22"/>
              </w:rPr>
              <w:t>If </w:t>
            </w:r>
            <w:r>
              <w:rPr>
                <w:rFonts w:ascii="Consolas"/>
                <w:sz w:val="20"/>
              </w:rPr>
              <w:t>0 </w:t>
            </w:r>
            <w:r>
              <w:rPr>
                <w:sz w:val="22"/>
              </w:rPr>
              <w:t>or </w:t>
            </w:r>
            <w:r>
              <w:rPr>
                <w:rFonts w:ascii="Consolas"/>
                <w:sz w:val="20"/>
              </w:rPr>
              <w:t>false </w:t>
            </w:r>
            <w:r>
              <w:rPr>
                <w:sz w:val="22"/>
              </w:rPr>
              <w:t>then deleting rows should be allowed when the sheet is protected. The possible values for this attribute are defined by the W3C XML Schema</w:t>
            </w:r>
            <w:r>
              <w:rPr>
                <w:spacing w:val="-27"/>
                <w:sz w:val="22"/>
              </w:rPr>
              <w:t> </w:t>
            </w:r>
            <w:r>
              <w:rPr>
                <w:rFonts w:ascii="Cambria"/>
                <w:sz w:val="22"/>
              </w:rPr>
              <w:t>boolean</w:t>
            </w:r>
          </w:p>
          <w:p>
            <w:pPr>
              <w:pStyle w:val="TableParagraph"/>
              <w:spacing w:before="8"/>
              <w:rPr>
                <w:sz w:val="22"/>
              </w:rPr>
            </w:pPr>
            <w:r>
              <w:rPr>
                <w:sz w:val="22"/>
              </w:rPr>
              <w:t>datatype.</w:t>
            </w:r>
          </w:p>
        </w:tc>
      </w:tr>
      <w:tr>
        <w:trPr>
          <w:trHeight w:val="892" w:hRule="atLeast"/>
        </w:trPr>
        <w:tc>
          <w:tcPr>
            <w:tcW w:w="2062" w:type="dxa"/>
          </w:tcPr>
          <w:p>
            <w:pPr>
              <w:pStyle w:val="TableParagraph"/>
              <w:spacing w:line="237" w:lineRule="auto" w:before="45"/>
              <w:ind w:right="738"/>
              <w:rPr>
                <w:sz w:val="22"/>
              </w:rPr>
            </w:pPr>
            <w:r>
              <w:rPr>
                <w:rFonts w:ascii="Cambria"/>
                <w:sz w:val="22"/>
              </w:rPr>
              <w:t>formatCells </w:t>
            </w:r>
            <w:r>
              <w:rPr>
                <w:sz w:val="22"/>
              </w:rPr>
              <w:t>(Format Cells Locked)</w:t>
            </w:r>
          </w:p>
        </w:tc>
        <w:tc>
          <w:tcPr>
            <w:tcW w:w="8250" w:type="dxa"/>
            <w:gridSpan w:val="4"/>
          </w:tcPr>
          <w:p>
            <w:pPr>
              <w:pStyle w:val="TableParagraph"/>
              <w:rPr>
                <w:sz w:val="22"/>
              </w:rPr>
            </w:pPr>
            <w:r>
              <w:rPr>
                <w:sz w:val="22"/>
              </w:rPr>
              <w:t>If </w:t>
            </w:r>
            <w:r>
              <w:rPr>
                <w:rFonts w:ascii="Consolas"/>
                <w:sz w:val="20"/>
              </w:rPr>
              <w:t>1</w:t>
            </w:r>
            <w:r>
              <w:rPr>
                <w:rFonts w:ascii="Consolas"/>
                <w:spacing w:val="-59"/>
                <w:sz w:val="20"/>
              </w:rPr>
              <w:t> </w:t>
            </w:r>
            <w:r>
              <w:rPr>
                <w:sz w:val="22"/>
              </w:rPr>
              <w:t>or </w:t>
            </w:r>
            <w:r>
              <w:rPr>
                <w:rFonts w:ascii="Consolas"/>
                <w:sz w:val="20"/>
              </w:rPr>
              <w:t>true</w:t>
            </w:r>
            <w:r>
              <w:rPr>
                <w:rFonts w:ascii="Consolas"/>
                <w:spacing w:val="-61"/>
                <w:sz w:val="20"/>
              </w:rPr>
              <w:t> </w:t>
            </w:r>
            <w:r>
              <w:rPr>
                <w:sz w:val="22"/>
              </w:rPr>
              <w:t>then formatting cells should not be allowed when the sheet is protected.</w:t>
            </w:r>
          </w:p>
          <w:p>
            <w:pPr>
              <w:pStyle w:val="TableParagraph"/>
              <w:spacing w:before="4"/>
              <w:ind w:left="0"/>
              <w:rPr>
                <w:rFonts w:ascii="Times New Roman"/>
                <w:sz w:val="23"/>
              </w:rPr>
            </w:pPr>
          </w:p>
          <w:p>
            <w:pPr>
              <w:pStyle w:val="TableParagraph"/>
              <w:spacing w:before="0"/>
              <w:rPr>
                <w:sz w:val="22"/>
              </w:rPr>
            </w:pPr>
            <w:r>
              <w:rPr>
                <w:sz w:val="22"/>
              </w:rPr>
              <w:t>If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then formatting cells should be allowed when the sheet is protected.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0"/>
              </w:rPr>
            </w:pPr>
          </w:p>
        </w:tc>
        <w:tc>
          <w:tcPr>
            <w:tcW w:w="8250" w:type="dxa"/>
          </w:tcPr>
          <w:p>
            <w:pPr>
              <w:pStyle w:val="TableParagraph"/>
              <w:spacing w:before="0"/>
              <w:ind w:left="0"/>
              <w:rPr>
                <w:rFonts w:ascii="Times New Roman"/>
                <w:sz w:val="26"/>
              </w:rPr>
            </w:pPr>
          </w:p>
          <w:p>
            <w:pPr>
              <w:pStyle w:val="TableParagraph"/>
              <w:spacing w:before="2"/>
              <w:ind w:left="0"/>
              <w:rPr>
                <w:rFonts w:ascii="Times New Roman"/>
                <w:sz w:val="24"/>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8" w:hRule="atLeast"/>
        </w:trPr>
        <w:tc>
          <w:tcPr>
            <w:tcW w:w="2062" w:type="dxa"/>
          </w:tcPr>
          <w:p>
            <w:pPr>
              <w:pStyle w:val="TableParagraph"/>
              <w:spacing w:line="237" w:lineRule="auto" w:before="47"/>
              <w:ind w:right="375"/>
              <w:rPr>
                <w:sz w:val="22"/>
              </w:rPr>
            </w:pPr>
            <w:r>
              <w:rPr>
                <w:rFonts w:ascii="Cambria"/>
                <w:sz w:val="22"/>
              </w:rPr>
              <w:t>formatColumns </w:t>
            </w:r>
            <w:r>
              <w:rPr>
                <w:sz w:val="22"/>
              </w:rPr>
              <w:t>(Format Columns Locked)</w:t>
            </w:r>
          </w:p>
        </w:tc>
        <w:tc>
          <w:tcPr>
            <w:tcW w:w="8250" w:type="dxa"/>
          </w:tcPr>
          <w:p>
            <w:pPr>
              <w:pStyle w:val="TableParagraph"/>
              <w:spacing w:line="477" w:lineRule="auto" w:before="42"/>
              <w:ind w:right="170"/>
              <w:rPr>
                <w:sz w:val="22"/>
              </w:rPr>
            </w:pPr>
            <w:r>
              <w:rPr>
                <w:sz w:val="22"/>
              </w:rPr>
              <w:t>If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then formatting columns should not be allowed when the sheet is protected. If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then formatting columns should be allowed when the sheet is protected.</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7" w:hRule="atLeast"/>
        </w:trPr>
        <w:tc>
          <w:tcPr>
            <w:tcW w:w="2062" w:type="dxa"/>
          </w:tcPr>
          <w:p>
            <w:pPr>
              <w:pStyle w:val="TableParagraph"/>
              <w:spacing w:line="237" w:lineRule="auto" w:before="45"/>
              <w:ind w:right="673"/>
              <w:rPr>
                <w:sz w:val="22"/>
              </w:rPr>
            </w:pPr>
            <w:r>
              <w:rPr>
                <w:rFonts w:ascii="Cambria"/>
                <w:sz w:val="22"/>
              </w:rPr>
              <w:t>formatRows </w:t>
            </w:r>
            <w:r>
              <w:rPr>
                <w:sz w:val="22"/>
              </w:rPr>
              <w:t>(Format Rows Locked)</w:t>
            </w:r>
          </w:p>
        </w:tc>
        <w:tc>
          <w:tcPr>
            <w:tcW w:w="8250" w:type="dxa"/>
          </w:tcPr>
          <w:p>
            <w:pPr>
              <w:pStyle w:val="TableParagraph"/>
              <w:spacing w:line="480" w:lineRule="auto"/>
              <w:ind w:right="426"/>
              <w:rPr>
                <w:sz w:val="22"/>
              </w:rPr>
            </w:pPr>
            <w:r>
              <w:rPr>
                <w:sz w:val="22"/>
              </w:rPr>
              <w:t>If </w:t>
            </w:r>
            <w:r>
              <w:rPr>
                <w:rFonts w:ascii="Consolas"/>
                <w:sz w:val="20"/>
              </w:rPr>
              <w:t>1 </w:t>
            </w:r>
            <w:r>
              <w:rPr>
                <w:sz w:val="22"/>
              </w:rPr>
              <w:t>or </w:t>
            </w:r>
            <w:r>
              <w:rPr>
                <w:rFonts w:ascii="Consolas"/>
                <w:sz w:val="20"/>
              </w:rPr>
              <w:t>true</w:t>
            </w:r>
            <w:r>
              <w:rPr>
                <w:rFonts w:ascii="Consolas"/>
                <w:spacing w:val="-81"/>
                <w:sz w:val="20"/>
              </w:rPr>
              <w:t> </w:t>
            </w:r>
            <w:r>
              <w:rPr>
                <w:sz w:val="22"/>
              </w:rPr>
              <w:t>then formatting rows should not be allowed when the sheet is protected. If 0 or false then formatting rows should be allowed when the sheet is protected.</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5974" w:hRule="atLeast"/>
        </w:trPr>
        <w:tc>
          <w:tcPr>
            <w:tcW w:w="2062" w:type="dxa"/>
          </w:tcPr>
          <w:p>
            <w:pPr>
              <w:pStyle w:val="TableParagraph"/>
              <w:spacing w:before="42"/>
              <w:ind w:right="499"/>
              <w:rPr>
                <w:sz w:val="22"/>
              </w:rPr>
            </w:pPr>
            <w:r>
              <w:rPr>
                <w:rFonts w:ascii="Cambria"/>
                <w:sz w:val="22"/>
              </w:rPr>
              <w:t>hashValue </w:t>
            </w:r>
            <w:r>
              <w:rPr>
                <w:sz w:val="22"/>
              </w:rPr>
              <w:t>(Password Hash Value)</w:t>
            </w:r>
          </w:p>
        </w:tc>
        <w:tc>
          <w:tcPr>
            <w:tcW w:w="8250" w:type="dxa"/>
          </w:tcPr>
          <w:p>
            <w:pPr>
              <w:pStyle w:val="TableParagraph"/>
              <w:ind w:right="125"/>
              <w:rPr>
                <w:sz w:val="22"/>
              </w:rPr>
            </w:pPr>
            <w:r>
              <w:rPr>
                <w:sz w:val="22"/>
              </w:rPr>
              <w:t>Specifies the hash value for the password required to edit this worksheet. This value shall be compared with the resulting hash value after hashing the user-supplied password using the algorithm specified by the preceding attributes and parent XML element, and if the two values match, the protection shall no longer be enforced.</w:t>
            </w:r>
          </w:p>
          <w:p>
            <w:pPr>
              <w:pStyle w:val="TableParagraph"/>
              <w:spacing w:before="5"/>
              <w:ind w:left="0"/>
              <w:rPr>
                <w:rFonts w:ascii="Times New Roman"/>
                <w:sz w:val="23"/>
              </w:rPr>
            </w:pPr>
          </w:p>
          <w:p>
            <w:pPr>
              <w:pStyle w:val="TableParagraph"/>
              <w:spacing w:before="0"/>
              <w:ind w:right="834"/>
              <w:rPr>
                <w:sz w:val="22"/>
              </w:rPr>
            </w:pPr>
            <w:r>
              <w:rPr>
                <w:sz w:val="22"/>
              </w:rPr>
              <w:t>If this value is omitted, then the </w:t>
            </w:r>
            <w:r>
              <w:rPr>
                <w:rFonts w:ascii="Cambria"/>
                <w:sz w:val="22"/>
              </w:rPr>
              <w:t>reservationPassword </w:t>
            </w:r>
            <w:r>
              <w:rPr>
                <w:sz w:val="22"/>
              </w:rPr>
              <w:t>attribute shall contain the password hash for the</w:t>
            </w:r>
            <w:r>
              <w:rPr>
                <w:spacing w:val="-7"/>
                <w:sz w:val="22"/>
              </w:rPr>
              <w:t> </w:t>
            </w:r>
            <w:r>
              <w:rPr>
                <w:sz w:val="22"/>
              </w:rPr>
              <w:t>workbook.</w:t>
            </w:r>
          </w:p>
          <w:p>
            <w:pPr>
              <w:pStyle w:val="TableParagraph"/>
              <w:spacing w:before="7"/>
              <w:ind w:left="0"/>
              <w:rPr>
                <w:rFonts w:ascii="Times New Roman"/>
                <w:sz w:val="23"/>
              </w:rPr>
            </w:pPr>
          </w:p>
          <w:p>
            <w:pPr>
              <w:pStyle w:val="TableParagraph"/>
              <w:spacing w:line="237" w:lineRule="auto" w:before="0"/>
              <w:ind w:right="173"/>
              <w:rPr>
                <w:sz w:val="22"/>
              </w:rPr>
            </w:pPr>
            <w:r>
              <w:rPr>
                <w:sz w:val="22"/>
              </w:rPr>
              <w:t>[</w:t>
            </w:r>
            <w:r>
              <w:rPr>
                <w:i/>
                <w:sz w:val="22"/>
              </w:rPr>
              <w:t>Example</w:t>
            </w:r>
            <w:r>
              <w:rPr>
                <w:sz w:val="22"/>
              </w:rPr>
              <w:t>: Consider an Office Open XML document with the following information stored in one of its protection</w:t>
            </w:r>
            <w:r>
              <w:rPr>
                <w:spacing w:val="-7"/>
                <w:sz w:val="22"/>
              </w:rPr>
              <w:t> </w:t>
            </w:r>
            <w:r>
              <w:rPr>
                <w:sz w:val="22"/>
              </w:rPr>
              <w:t>elements:</w:t>
            </w:r>
          </w:p>
          <w:p>
            <w:pPr>
              <w:pStyle w:val="TableParagraph"/>
              <w:spacing w:before="8"/>
              <w:ind w:left="0"/>
              <w:rPr>
                <w:rFonts w:ascii="Times New Roman"/>
                <w:sz w:val="23"/>
              </w:rPr>
            </w:pPr>
          </w:p>
          <w:p>
            <w:pPr>
              <w:pStyle w:val="TableParagraph"/>
              <w:spacing w:before="0"/>
              <w:ind w:left="645" w:right="617" w:hanging="243"/>
              <w:rPr>
                <w:rFonts w:ascii="Consolas" w:hAnsi="Consolas"/>
                <w:sz w:val="22"/>
              </w:rPr>
            </w:pPr>
            <w:r>
              <w:rPr>
                <w:rFonts w:ascii="Consolas" w:hAnsi="Consolas"/>
                <w:sz w:val="22"/>
              </w:rPr>
              <w:t>&lt;… algorithmName="SHA-1" hashValue="9oN7nWkCAyEZib1RomSJTjmPpCY=" /&gt;</w:t>
            </w:r>
          </w:p>
          <w:p>
            <w:pPr>
              <w:pStyle w:val="TableParagraph"/>
              <w:spacing w:before="3"/>
              <w:ind w:left="0"/>
              <w:rPr>
                <w:rFonts w:ascii="Times New Roman"/>
                <w:sz w:val="23"/>
              </w:rPr>
            </w:pPr>
          </w:p>
          <w:p>
            <w:pPr>
              <w:pStyle w:val="TableParagraph"/>
              <w:spacing w:before="0"/>
              <w:ind w:right="290"/>
              <w:rPr>
                <w:sz w:val="22"/>
              </w:rPr>
            </w:pPr>
            <w:r>
              <w:rPr>
                <w:sz w:val="22"/>
              </w:rPr>
              <w:t>The </w:t>
            </w:r>
            <w:r>
              <w:rPr>
                <w:rFonts w:ascii="Cambria"/>
                <w:sz w:val="22"/>
              </w:rPr>
              <w:t>hashValue </w:t>
            </w:r>
            <w:r>
              <w:rPr>
                <w:sz w:val="22"/>
              </w:rPr>
              <w:t>attribute value of </w:t>
            </w:r>
            <w:r>
              <w:rPr>
                <w:rFonts w:ascii="Consolas"/>
                <w:sz w:val="20"/>
              </w:rPr>
              <w:t>9oN7nWkCAyEZib1RomSJTjmPpCY= </w:t>
            </w:r>
            <w:r>
              <w:rPr>
                <w:sz w:val="22"/>
              </w:rPr>
              <w:t>specifies that the user-supplied password must be hashed using the pre-processing defined by the parent element (if any) followed by the SHA-1 algorithm (specified via the </w:t>
            </w:r>
            <w:r>
              <w:rPr>
                <w:rFonts w:ascii="Cambria"/>
                <w:sz w:val="22"/>
              </w:rPr>
              <w:t>algorithmName </w:t>
            </w:r>
            <w:r>
              <w:rPr>
                <w:sz w:val="22"/>
              </w:rPr>
              <w:t>attribute value of </w:t>
            </w:r>
            <w:r>
              <w:rPr>
                <w:rFonts w:ascii="Consolas"/>
                <w:sz w:val="20"/>
              </w:rPr>
              <w:t>SHA-1</w:t>
            </w:r>
            <w:r>
              <w:rPr>
                <w:sz w:val="22"/>
              </w:rPr>
              <w:t>) and that the resulting hash value must be </w:t>
            </w:r>
            <w:r>
              <w:rPr>
                <w:rFonts w:ascii="Consolas"/>
                <w:sz w:val="20"/>
              </w:rPr>
              <w:t>9oN7nWkCAyEZib1RomSJTjmPpCY=</w:t>
            </w:r>
            <w:r>
              <w:rPr>
                <w:rFonts w:ascii="Consolas"/>
                <w:spacing w:val="-78"/>
                <w:sz w:val="20"/>
              </w:rPr>
              <w:t> </w:t>
            </w:r>
            <w:r>
              <w:rPr>
                <w:sz w:val="22"/>
              </w:rPr>
              <w:t>for the protection to be disabled. </w:t>
            </w:r>
            <w:r>
              <w:rPr>
                <w:i/>
                <w:sz w:val="22"/>
              </w:rPr>
              <w:t>end example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1"/>
              <w:rPr>
                <w:sz w:val="22"/>
              </w:rPr>
            </w:pPr>
            <w:r>
              <w:rPr>
                <w:sz w:val="22"/>
              </w:rPr>
              <w:t>datatype.</w:t>
            </w:r>
          </w:p>
        </w:tc>
      </w:tr>
      <w:tr>
        <w:trPr>
          <w:trHeight w:val="1965" w:hRule="atLeast"/>
        </w:trPr>
        <w:tc>
          <w:tcPr>
            <w:tcW w:w="2062" w:type="dxa"/>
          </w:tcPr>
          <w:p>
            <w:pPr>
              <w:pStyle w:val="TableParagraph"/>
              <w:spacing w:line="237" w:lineRule="auto" w:before="45"/>
              <w:ind w:right="521"/>
              <w:jc w:val="both"/>
              <w:rPr>
                <w:sz w:val="22"/>
              </w:rPr>
            </w:pPr>
            <w:r>
              <w:rPr>
                <w:rFonts w:ascii="Cambria"/>
                <w:sz w:val="22"/>
              </w:rPr>
              <w:t>insertColumns </w:t>
            </w:r>
            <w:r>
              <w:rPr>
                <w:sz w:val="22"/>
              </w:rPr>
              <w:t>(Insert Columns Locked)</w:t>
            </w:r>
          </w:p>
        </w:tc>
        <w:tc>
          <w:tcPr>
            <w:tcW w:w="8250" w:type="dxa"/>
          </w:tcPr>
          <w:p>
            <w:pPr>
              <w:pStyle w:val="TableParagraph"/>
              <w:spacing w:line="480" w:lineRule="auto"/>
              <w:ind w:right="265"/>
              <w:rPr>
                <w:sz w:val="22"/>
              </w:rPr>
            </w:pPr>
            <w:r>
              <w:rPr>
                <w:sz w:val="22"/>
              </w:rPr>
              <w:t>If </w:t>
            </w:r>
            <w:r>
              <w:rPr>
                <w:rFonts w:ascii="Consolas"/>
                <w:sz w:val="20"/>
              </w:rPr>
              <w:t>1 </w:t>
            </w:r>
            <w:r>
              <w:rPr>
                <w:sz w:val="22"/>
              </w:rPr>
              <w:t>or </w:t>
            </w:r>
            <w:r>
              <w:rPr>
                <w:rFonts w:ascii="Consolas"/>
                <w:sz w:val="20"/>
              </w:rPr>
              <w:t>true</w:t>
            </w:r>
            <w:r>
              <w:rPr>
                <w:rFonts w:ascii="Consolas"/>
                <w:spacing w:val="-83"/>
                <w:sz w:val="20"/>
              </w:rPr>
              <w:t> </w:t>
            </w:r>
            <w:r>
              <w:rPr>
                <w:sz w:val="22"/>
              </w:rPr>
              <w:t>then inserting columns should not be allowed when the sheet is protected. If 0 or false then inserting columns should be allowed when the sheet is</w:t>
            </w:r>
            <w:r>
              <w:rPr>
                <w:spacing w:val="-22"/>
                <w:sz w:val="22"/>
              </w:rPr>
              <w:t> </w:t>
            </w:r>
            <w:r>
              <w:rPr>
                <w:sz w:val="22"/>
              </w:rPr>
              <w:t>protected.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boolean</w:t>
            </w:r>
          </w:p>
          <w:p>
            <w:pPr>
              <w:pStyle w:val="TableParagraph"/>
              <w:spacing w:before="1"/>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line="237" w:lineRule="auto" w:before="45"/>
              <w:ind w:right="347"/>
              <w:jc w:val="both"/>
              <w:rPr>
                <w:sz w:val="22"/>
              </w:rPr>
            </w:pPr>
            <w:r>
              <w:rPr>
                <w:rFonts w:ascii="Cambria"/>
                <w:sz w:val="22"/>
              </w:rPr>
              <w:t>insertHyperlinks </w:t>
            </w:r>
            <w:r>
              <w:rPr>
                <w:sz w:val="22"/>
              </w:rPr>
              <w:t>(Insert Hyperlinks Locked)</w:t>
            </w:r>
          </w:p>
        </w:tc>
        <w:tc>
          <w:tcPr>
            <w:tcW w:w="8250" w:type="dxa"/>
          </w:tcPr>
          <w:p>
            <w:pPr>
              <w:pStyle w:val="TableParagraph"/>
              <w:spacing w:line="480" w:lineRule="auto"/>
              <w:ind w:right="106"/>
              <w:rPr>
                <w:sz w:val="22"/>
              </w:rPr>
            </w:pPr>
            <w:r>
              <w:rPr>
                <w:sz w:val="22"/>
              </w:rPr>
              <w:t>If </w:t>
            </w:r>
            <w:r>
              <w:rPr>
                <w:rFonts w:ascii="Consolas"/>
                <w:sz w:val="20"/>
              </w:rPr>
              <w:t>1 </w:t>
            </w:r>
            <w:r>
              <w:rPr>
                <w:sz w:val="22"/>
              </w:rPr>
              <w:t>or </w:t>
            </w:r>
            <w:r>
              <w:rPr>
                <w:rFonts w:ascii="Consolas"/>
                <w:sz w:val="20"/>
              </w:rPr>
              <w:t>true</w:t>
            </w:r>
            <w:r>
              <w:rPr>
                <w:rFonts w:ascii="Consolas"/>
                <w:spacing w:val="-81"/>
                <w:sz w:val="20"/>
              </w:rPr>
              <w:t> </w:t>
            </w:r>
            <w:r>
              <w:rPr>
                <w:sz w:val="22"/>
              </w:rPr>
              <w:t>then inserting hyperlinks should not be allowed when the sheet is protected. If 0 or false then inserting hyperlinks should be allowed when the sheet is protected.</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9" w:hRule="atLeast"/>
        </w:trPr>
        <w:tc>
          <w:tcPr>
            <w:tcW w:w="2062" w:type="dxa"/>
          </w:tcPr>
          <w:p>
            <w:pPr>
              <w:pStyle w:val="TableParagraph"/>
              <w:ind w:right="215"/>
              <w:rPr>
                <w:sz w:val="22"/>
              </w:rPr>
            </w:pPr>
            <w:r>
              <w:rPr>
                <w:rFonts w:ascii="Cambria"/>
                <w:sz w:val="22"/>
              </w:rPr>
              <w:t>insertRows </w:t>
            </w:r>
            <w:r>
              <w:rPr>
                <w:sz w:val="22"/>
              </w:rPr>
              <w:t>(Insert Rows Locked)</w:t>
            </w:r>
          </w:p>
        </w:tc>
        <w:tc>
          <w:tcPr>
            <w:tcW w:w="8250" w:type="dxa"/>
          </w:tcPr>
          <w:p>
            <w:pPr>
              <w:pStyle w:val="TableParagraph"/>
              <w:spacing w:line="480" w:lineRule="auto"/>
              <w:ind w:right="573"/>
              <w:rPr>
                <w:sz w:val="22"/>
              </w:rPr>
            </w:pPr>
            <w:r>
              <w:rPr>
                <w:sz w:val="22"/>
              </w:rPr>
              <w:t>If </w:t>
            </w:r>
            <w:r>
              <w:rPr>
                <w:rFonts w:ascii="Consolas"/>
                <w:sz w:val="20"/>
              </w:rPr>
              <w:t>1 </w:t>
            </w:r>
            <w:r>
              <w:rPr>
                <w:sz w:val="22"/>
              </w:rPr>
              <w:t>or </w:t>
            </w:r>
            <w:r>
              <w:rPr>
                <w:rFonts w:ascii="Consolas"/>
                <w:sz w:val="20"/>
              </w:rPr>
              <w:t>true</w:t>
            </w:r>
            <w:r>
              <w:rPr>
                <w:rFonts w:ascii="Consolas"/>
                <w:spacing w:val="-85"/>
                <w:sz w:val="20"/>
              </w:rPr>
              <w:t> </w:t>
            </w:r>
            <w:r>
              <w:rPr>
                <w:sz w:val="22"/>
              </w:rPr>
              <w:t>then inserting rows should not be allowed when the sheet is protected. If 0 or false then inserting rows should be allowed when the sheet is protected.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456"/>
              <w:rPr>
                <w:sz w:val="22"/>
              </w:rPr>
            </w:pPr>
            <w:r>
              <w:rPr>
                <w:rFonts w:ascii="Cambria"/>
                <w:sz w:val="22"/>
              </w:rPr>
              <w:t>objects </w:t>
            </w:r>
            <w:r>
              <w:rPr>
                <w:sz w:val="22"/>
              </w:rPr>
              <w:t>(Objects Locked)</w:t>
            </w:r>
          </w:p>
        </w:tc>
        <w:tc>
          <w:tcPr>
            <w:tcW w:w="8250" w:type="dxa"/>
          </w:tcPr>
          <w:p>
            <w:pPr>
              <w:pStyle w:val="TableParagraph"/>
              <w:spacing w:line="477" w:lineRule="auto"/>
              <w:ind w:right="298"/>
              <w:rPr>
                <w:sz w:val="22"/>
              </w:rPr>
            </w:pPr>
            <w:r>
              <w:rPr>
                <w:sz w:val="22"/>
              </w:rPr>
              <w:t>If </w:t>
            </w:r>
            <w:r>
              <w:rPr>
                <w:rFonts w:ascii="Consolas"/>
                <w:sz w:val="20"/>
              </w:rPr>
              <w:t>1 </w:t>
            </w:r>
            <w:r>
              <w:rPr>
                <w:sz w:val="22"/>
              </w:rPr>
              <w:t>or </w:t>
            </w:r>
            <w:r>
              <w:rPr>
                <w:rFonts w:ascii="Consolas"/>
                <w:sz w:val="20"/>
              </w:rPr>
              <w:t>true</w:t>
            </w:r>
            <w:r>
              <w:rPr>
                <w:rFonts w:ascii="Consolas"/>
                <w:spacing w:val="-83"/>
                <w:sz w:val="20"/>
              </w:rPr>
              <w:t> </w:t>
            </w:r>
            <w:r>
              <w:rPr>
                <w:sz w:val="22"/>
              </w:rPr>
              <w:t>then editing of objects should not be allowed when the sheet is protected. If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then objects are allowed to be edited when the sheet is protected.</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ind w:right="243"/>
              <w:rPr>
                <w:sz w:val="22"/>
              </w:rPr>
            </w:pPr>
            <w:r>
              <w:rPr>
                <w:rFonts w:ascii="Cambria"/>
                <w:sz w:val="22"/>
              </w:rPr>
              <w:t>pivotTables </w:t>
            </w:r>
            <w:r>
              <w:rPr>
                <w:sz w:val="22"/>
              </w:rPr>
              <w:t>(Pivot Tables Locked)</w:t>
            </w:r>
          </w:p>
        </w:tc>
        <w:tc>
          <w:tcPr>
            <w:tcW w:w="8250" w:type="dxa"/>
          </w:tcPr>
          <w:p>
            <w:pPr>
              <w:pStyle w:val="TableParagraph"/>
              <w:ind w:right="617"/>
              <w:rPr>
                <w:sz w:val="22"/>
              </w:rPr>
            </w:pPr>
            <w:r>
              <w:rPr>
                <w:sz w:val="22"/>
              </w:rPr>
              <w:t>If </w:t>
            </w:r>
            <w:r>
              <w:rPr>
                <w:rFonts w:ascii="Consolas"/>
                <w:sz w:val="20"/>
              </w:rPr>
              <w:t>1 </w:t>
            </w:r>
            <w:r>
              <w:rPr>
                <w:sz w:val="22"/>
              </w:rPr>
              <w:t>or </w:t>
            </w:r>
            <w:r>
              <w:rPr>
                <w:rFonts w:ascii="Consolas"/>
                <w:sz w:val="20"/>
              </w:rPr>
              <w:t>true</w:t>
            </w:r>
            <w:r>
              <w:rPr>
                <w:rFonts w:ascii="Consolas"/>
                <w:spacing w:val="-88"/>
                <w:sz w:val="20"/>
              </w:rPr>
              <w:t> </w:t>
            </w:r>
            <w:r>
              <w:rPr>
                <w:sz w:val="22"/>
              </w:rPr>
              <w:t>then PivotTables should not be allowed to operate when the sheet is protected.</w:t>
            </w:r>
          </w:p>
          <w:p>
            <w:pPr>
              <w:pStyle w:val="TableParagraph"/>
              <w:spacing w:line="530" w:lineRule="atLeast" w:before="7"/>
              <w:ind w:right="280"/>
              <w:rPr>
                <w:rFonts w:ascii="Cambria"/>
                <w:sz w:val="22"/>
              </w:rPr>
            </w:pPr>
            <w:r>
              <w:rPr>
                <w:sz w:val="22"/>
              </w:rPr>
              <w:t>If 0 or false then PivotTables should be allowed to operate when the sheet is protected. The possible values for this attribute are defined by the W3C XML Schema </w:t>
            </w:r>
            <w:r>
              <w:rPr>
                <w:rFonts w:ascii="Cambria"/>
                <w:sz w:val="22"/>
              </w:rPr>
              <w:t>boolean</w:t>
            </w:r>
          </w:p>
          <w:p>
            <w:pPr>
              <w:pStyle w:val="TableParagraph"/>
              <w:spacing w:before="6"/>
              <w:rPr>
                <w:sz w:val="22"/>
              </w:rPr>
            </w:pPr>
            <w:r>
              <w:rPr>
                <w:sz w:val="22"/>
              </w:rPr>
              <w:t>datatype.</w:t>
            </w:r>
          </w:p>
        </w:tc>
      </w:tr>
      <w:tr>
        <w:trPr>
          <w:trHeight w:val="5167" w:hRule="atLeast"/>
        </w:trPr>
        <w:tc>
          <w:tcPr>
            <w:tcW w:w="2062" w:type="dxa"/>
          </w:tcPr>
          <w:p>
            <w:pPr>
              <w:pStyle w:val="TableParagraph"/>
              <w:ind w:right="195"/>
              <w:rPr>
                <w:sz w:val="22"/>
              </w:rPr>
            </w:pPr>
            <w:r>
              <w:rPr>
                <w:rFonts w:ascii="Cambria"/>
                <w:sz w:val="22"/>
              </w:rPr>
              <w:t>saltValue </w:t>
            </w:r>
            <w:r>
              <w:rPr>
                <w:sz w:val="22"/>
              </w:rPr>
              <w:t>(Salt Value for Password Verifier)</w:t>
            </w:r>
          </w:p>
        </w:tc>
        <w:tc>
          <w:tcPr>
            <w:tcW w:w="8250" w:type="dxa"/>
          </w:tcPr>
          <w:p>
            <w:pPr>
              <w:pStyle w:val="TableParagraph"/>
              <w:ind w:right="106"/>
              <w:rPr>
                <w:sz w:val="22"/>
              </w:rPr>
            </w:pPr>
            <w:r>
              <w:rPr>
                <w:sz w:val="22"/>
              </w:rPr>
              <w:t>Specifies the salt which was prepended to the user-supplied password before it was hashed using the hashing algorithm defined by the preceding attribute values to generate the </w:t>
            </w:r>
            <w:r>
              <w:rPr>
                <w:rFonts w:ascii="Cambria"/>
                <w:sz w:val="22"/>
              </w:rPr>
              <w:t>hashValue </w:t>
            </w:r>
            <w:r>
              <w:rPr>
                <w:sz w:val="22"/>
              </w:rPr>
              <w:t>attribute, and which shall also be prepended to the user-supplied password before attempting to generate a hash value for comparison. A </w:t>
            </w:r>
            <w:r>
              <w:rPr>
                <w:i/>
                <w:sz w:val="22"/>
              </w:rPr>
              <w:t>salt </w:t>
            </w:r>
            <w:r>
              <w:rPr>
                <w:sz w:val="22"/>
              </w:rPr>
              <w:t>is a random string which is added to a user-supplied password before it is hashed in order to prevent a malicious party from pre-calculating all possible password/hash combinations and simply using those pre-calculated values (often referred to as a "dictionary</w:t>
            </w:r>
            <w:r>
              <w:rPr>
                <w:spacing w:val="-15"/>
                <w:sz w:val="22"/>
              </w:rPr>
              <w:t> </w:t>
            </w:r>
            <w:r>
              <w:rPr>
                <w:sz w:val="22"/>
              </w:rPr>
              <w:t>attack").</w:t>
            </w:r>
          </w:p>
          <w:p>
            <w:pPr>
              <w:pStyle w:val="TableParagraph"/>
              <w:spacing w:before="8"/>
              <w:ind w:left="0"/>
              <w:rPr>
                <w:rFonts w:ascii="Times New Roman"/>
                <w:sz w:val="23"/>
              </w:rPr>
            </w:pPr>
          </w:p>
          <w:p>
            <w:pPr>
              <w:pStyle w:val="TableParagraph"/>
              <w:spacing w:line="237" w:lineRule="auto" w:before="0"/>
              <w:ind w:right="121"/>
              <w:rPr>
                <w:sz w:val="22"/>
              </w:rPr>
            </w:pPr>
            <w:r>
              <w:rPr>
                <w:sz w:val="22"/>
              </w:rPr>
              <w:t>If this attribute is omitted, then no salt shall be prepended to the user-supplied password before it is hashed for comparison with the stored hash value.</w:t>
            </w:r>
          </w:p>
          <w:p>
            <w:pPr>
              <w:pStyle w:val="TableParagraph"/>
              <w:spacing w:before="5"/>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8"/>
              <w:ind w:left="0"/>
              <w:rPr>
                <w:rFonts w:ascii="Times New Roman"/>
                <w:sz w:val="23"/>
              </w:rPr>
            </w:pPr>
          </w:p>
          <w:p>
            <w:pPr>
              <w:pStyle w:val="TableParagraph"/>
              <w:spacing w:line="257" w:lineRule="exact" w:before="0"/>
              <w:ind w:left="403"/>
              <w:rPr>
                <w:rFonts w:ascii="Consolas" w:hAnsi="Consolas"/>
                <w:sz w:val="22"/>
              </w:rPr>
            </w:pPr>
            <w:r>
              <w:rPr>
                <w:rFonts w:ascii="Consolas" w:hAnsi="Consolas"/>
                <w:sz w:val="22"/>
              </w:rPr>
              <w:t>&lt;… saltValue="ZUdHa+D8F/OAKP3I7ssUnQ=="</w:t>
            </w:r>
          </w:p>
          <w:p>
            <w:pPr>
              <w:pStyle w:val="TableParagraph"/>
              <w:spacing w:line="257" w:lineRule="exact" w:before="0"/>
              <w:ind w:left="645"/>
              <w:rPr>
                <w:rFonts w:ascii="Consolas"/>
                <w:sz w:val="22"/>
              </w:rPr>
            </w:pPr>
            <w:r>
              <w:rPr>
                <w:rFonts w:ascii="Consolas"/>
                <w:sz w:val="22"/>
              </w:rPr>
              <w:t>hashValue="9oN7nWkCAyEZib1RomSJTjmPpCY=" /&gt;</w:t>
            </w:r>
          </w:p>
          <w:p>
            <w:pPr>
              <w:pStyle w:val="TableParagraph"/>
              <w:spacing w:before="1"/>
              <w:ind w:left="0"/>
              <w:rPr>
                <w:rFonts w:ascii="Times New Roman"/>
                <w:sz w:val="23"/>
              </w:rPr>
            </w:pPr>
          </w:p>
          <w:p>
            <w:pPr>
              <w:pStyle w:val="TableParagraph"/>
              <w:spacing w:before="0"/>
              <w:ind w:right="195"/>
              <w:rPr>
                <w:sz w:val="22"/>
              </w:rPr>
            </w:pPr>
            <w:r>
              <w:rPr>
                <w:sz w:val="22"/>
              </w:rPr>
              <w:t>The </w:t>
            </w:r>
            <w:r>
              <w:rPr>
                <w:rFonts w:ascii="Cambria"/>
                <w:sz w:val="22"/>
              </w:rPr>
              <w:t>saltValue </w:t>
            </w:r>
            <w:r>
              <w:rPr>
                <w:sz w:val="22"/>
              </w:rPr>
              <w:t>attribute value of </w:t>
            </w:r>
            <w:r>
              <w:rPr>
                <w:rFonts w:ascii="Consolas"/>
                <w:sz w:val="20"/>
              </w:rPr>
              <w:t>ZUdHa+D8F/OAKP3I7ssUnQ== </w:t>
            </w:r>
            <w:r>
              <w:rPr>
                <w:sz w:val="22"/>
              </w:rPr>
              <w:t>specifies that the user- supplied password must have this value prepended before it is run through the specified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hashing algorithm to generate a resulting hash value for comparison. </w:t>
            </w: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base64Binary</w:t>
            </w:r>
          </w:p>
          <w:p>
            <w:pPr>
              <w:pStyle w:val="TableParagraph"/>
              <w:spacing w:before="0"/>
              <w:rPr>
                <w:sz w:val="22"/>
              </w:rPr>
            </w:pPr>
            <w:r>
              <w:rPr>
                <w:sz w:val="22"/>
              </w:rPr>
              <w:t>datatype.</w:t>
            </w:r>
          </w:p>
        </w:tc>
      </w:tr>
      <w:tr>
        <w:trPr>
          <w:trHeight w:val="1698" w:hRule="atLeast"/>
        </w:trPr>
        <w:tc>
          <w:tcPr>
            <w:tcW w:w="2062" w:type="dxa"/>
          </w:tcPr>
          <w:p>
            <w:pPr>
              <w:pStyle w:val="TableParagraph"/>
              <w:spacing w:line="256" w:lineRule="exact" w:before="45"/>
              <w:rPr>
                <w:rFonts w:ascii="Cambria"/>
                <w:sz w:val="22"/>
              </w:rPr>
            </w:pPr>
            <w:r>
              <w:rPr>
                <w:rFonts w:ascii="Cambria"/>
                <w:sz w:val="22"/>
              </w:rPr>
              <w:t>scenarios</w:t>
            </w:r>
          </w:p>
          <w:p>
            <w:pPr>
              <w:pStyle w:val="TableParagraph"/>
              <w:spacing w:line="267" w:lineRule="exact" w:before="0"/>
              <w:rPr>
                <w:sz w:val="22"/>
              </w:rPr>
            </w:pPr>
            <w:r>
              <w:rPr>
                <w:sz w:val="22"/>
              </w:rPr>
              <w:t>(Scenarios Locked)</w:t>
            </w:r>
          </w:p>
        </w:tc>
        <w:tc>
          <w:tcPr>
            <w:tcW w:w="8250" w:type="dxa"/>
          </w:tcPr>
          <w:p>
            <w:pPr>
              <w:pStyle w:val="TableParagraph"/>
              <w:spacing w:before="42"/>
              <w:rPr>
                <w:sz w:val="22"/>
              </w:rPr>
            </w:pPr>
            <w:r>
              <w:rPr>
                <w:sz w:val="22"/>
              </w:rPr>
              <w:t>If </w:t>
            </w:r>
            <w:r>
              <w:rPr>
                <w:rFonts w:ascii="Consolas"/>
                <w:sz w:val="20"/>
              </w:rPr>
              <w:t>1</w:t>
            </w:r>
            <w:r>
              <w:rPr>
                <w:rFonts w:ascii="Consolas"/>
                <w:spacing w:val="-59"/>
                <w:sz w:val="20"/>
              </w:rPr>
              <w:t> </w:t>
            </w:r>
            <w:r>
              <w:rPr>
                <w:sz w:val="22"/>
              </w:rPr>
              <w:t>or </w:t>
            </w:r>
            <w:r>
              <w:rPr>
                <w:rFonts w:ascii="Consolas"/>
                <w:sz w:val="20"/>
              </w:rPr>
              <w:t>true</w:t>
            </w:r>
            <w:r>
              <w:rPr>
                <w:rFonts w:ascii="Consolas"/>
                <w:spacing w:val="-61"/>
                <w:sz w:val="20"/>
              </w:rPr>
              <w:t> </w:t>
            </w:r>
            <w:r>
              <w:rPr>
                <w:sz w:val="22"/>
              </w:rPr>
              <w:t>then Scenarios should not be edited when the sheet is protected.</w:t>
            </w:r>
          </w:p>
          <w:p>
            <w:pPr>
              <w:pStyle w:val="TableParagraph"/>
              <w:spacing w:line="538" w:lineRule="exact" w:before="46"/>
              <w:ind w:right="690"/>
              <w:rPr>
                <w:rFonts w:ascii="Cambria"/>
                <w:sz w:val="22"/>
              </w:rPr>
            </w:pPr>
            <w:r>
              <w:rPr>
                <w:sz w:val="22"/>
              </w:rPr>
              <w:t>If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then Scenarios are allowed to be edited when the sheet is protected.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1965" w:hRule="atLeast"/>
        </w:trPr>
        <w:tc>
          <w:tcPr>
            <w:tcW w:w="2062" w:type="dxa"/>
          </w:tcPr>
          <w:p>
            <w:pPr>
              <w:pStyle w:val="TableParagraph"/>
              <w:spacing w:line="237" w:lineRule="auto" w:before="45"/>
              <w:ind w:right="173"/>
              <w:rPr>
                <w:sz w:val="22"/>
              </w:rPr>
            </w:pPr>
            <w:r>
              <w:rPr>
                <w:rFonts w:ascii="Cambria"/>
                <w:sz w:val="22"/>
              </w:rPr>
              <w:t>selectLockedCells </w:t>
            </w:r>
            <w:r>
              <w:rPr>
                <w:sz w:val="22"/>
              </w:rPr>
              <w:t>(Select Locked Cells Locked)</w:t>
            </w:r>
          </w:p>
        </w:tc>
        <w:tc>
          <w:tcPr>
            <w:tcW w:w="8250" w:type="dxa"/>
          </w:tcPr>
          <w:p>
            <w:pPr>
              <w:pStyle w:val="TableParagraph"/>
              <w:ind w:right="617"/>
              <w:rPr>
                <w:sz w:val="22"/>
              </w:rPr>
            </w:pPr>
            <w:r>
              <w:rPr>
                <w:sz w:val="22"/>
              </w:rPr>
              <w:t>If </w:t>
            </w:r>
            <w:r>
              <w:rPr>
                <w:rFonts w:ascii="Consolas"/>
                <w:sz w:val="20"/>
              </w:rPr>
              <w:t>1 </w:t>
            </w:r>
            <w:r>
              <w:rPr>
                <w:sz w:val="22"/>
              </w:rPr>
              <w:t>or </w:t>
            </w:r>
            <w:r>
              <w:rPr>
                <w:rFonts w:ascii="Consolas"/>
                <w:sz w:val="20"/>
              </w:rPr>
              <w:t>true</w:t>
            </w:r>
            <w:r>
              <w:rPr>
                <w:rFonts w:ascii="Consolas"/>
                <w:spacing w:val="-82"/>
                <w:sz w:val="20"/>
              </w:rPr>
              <w:t> </w:t>
            </w:r>
            <w:r>
              <w:rPr>
                <w:sz w:val="22"/>
              </w:rPr>
              <w:t>then selection of locked cells should not be allowed when the sheet is protected.</w:t>
            </w:r>
          </w:p>
          <w:p>
            <w:pPr>
              <w:pStyle w:val="TableParagraph"/>
              <w:spacing w:line="530" w:lineRule="atLeast" w:before="8"/>
              <w:ind w:right="192"/>
              <w:rPr>
                <w:rFonts w:ascii="Cambria"/>
                <w:sz w:val="22"/>
              </w:rPr>
            </w:pPr>
            <w:r>
              <w:rPr>
                <w:sz w:val="22"/>
              </w:rPr>
              <w:t>If 0 or false then selection of locked cells should be allowed when the sheet is protected. The possible values for this attribute are defined by the W3C XML Schema </w:t>
            </w:r>
            <w:r>
              <w:rPr>
                <w:rFonts w:ascii="Cambria"/>
                <w:sz w:val="22"/>
              </w:rPr>
              <w:t>boolean</w:t>
            </w:r>
          </w:p>
          <w:p>
            <w:pPr>
              <w:pStyle w:val="TableParagraph"/>
              <w:spacing w:before="6"/>
              <w:rPr>
                <w:sz w:val="22"/>
              </w:rPr>
            </w:pPr>
            <w:r>
              <w:rPr>
                <w:sz w:val="22"/>
              </w:rPr>
              <w:t>datatype.</w:t>
            </w:r>
          </w:p>
        </w:tc>
      </w:tr>
      <w:tr>
        <w:trPr>
          <w:trHeight w:val="2234" w:hRule="atLeast"/>
        </w:trPr>
        <w:tc>
          <w:tcPr>
            <w:tcW w:w="2062" w:type="dxa"/>
          </w:tcPr>
          <w:p>
            <w:pPr>
              <w:pStyle w:val="TableParagraph"/>
              <w:spacing w:before="42"/>
              <w:ind w:right="142"/>
              <w:rPr>
                <w:sz w:val="22"/>
              </w:rPr>
            </w:pPr>
            <w:r>
              <w:rPr>
                <w:rFonts w:ascii="Cambria"/>
                <w:sz w:val="22"/>
              </w:rPr>
              <w:t>selectUnlockedCell s </w:t>
            </w:r>
            <w:r>
              <w:rPr>
                <w:sz w:val="22"/>
              </w:rPr>
              <w:t>(Select Unlocked Cells Locked)</w:t>
            </w:r>
          </w:p>
        </w:tc>
        <w:tc>
          <w:tcPr>
            <w:tcW w:w="8250" w:type="dxa"/>
          </w:tcPr>
          <w:p>
            <w:pPr>
              <w:pStyle w:val="TableParagraph"/>
              <w:rPr>
                <w:sz w:val="22"/>
              </w:rPr>
            </w:pPr>
            <w:r>
              <w:rPr>
                <w:sz w:val="22"/>
              </w:rPr>
              <w:t>If </w:t>
            </w:r>
            <w:r>
              <w:rPr>
                <w:rFonts w:ascii="Consolas"/>
                <w:sz w:val="20"/>
              </w:rPr>
              <w:t>1 </w:t>
            </w:r>
            <w:r>
              <w:rPr>
                <w:sz w:val="22"/>
              </w:rPr>
              <w:t>or </w:t>
            </w:r>
            <w:r>
              <w:rPr>
                <w:rFonts w:ascii="Consolas"/>
                <w:sz w:val="20"/>
              </w:rPr>
              <w:t>true</w:t>
            </w:r>
            <w:r>
              <w:rPr>
                <w:rFonts w:ascii="Consolas"/>
                <w:spacing w:val="-79"/>
                <w:sz w:val="20"/>
              </w:rPr>
              <w:t> </w:t>
            </w:r>
            <w:r>
              <w:rPr>
                <w:sz w:val="22"/>
              </w:rPr>
              <w:t>then selection of unlocked cells should not be allowed when the sheet is protected.</w:t>
            </w:r>
          </w:p>
          <w:p>
            <w:pPr>
              <w:pStyle w:val="TableParagraph"/>
              <w:spacing w:before="4"/>
              <w:ind w:left="0"/>
              <w:rPr>
                <w:rFonts w:ascii="Times New Roman"/>
                <w:sz w:val="23"/>
              </w:rPr>
            </w:pPr>
          </w:p>
          <w:p>
            <w:pPr>
              <w:pStyle w:val="TableParagraph"/>
              <w:spacing w:before="0"/>
              <w:ind w:right="950"/>
              <w:rPr>
                <w:sz w:val="22"/>
              </w:rPr>
            </w:pPr>
            <w:r>
              <w:rPr>
                <w:sz w:val="22"/>
              </w:rPr>
              <w:t>If 0 or false then selection of unlocked cells should be allowed when the sheet is protected.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71" w:hRule="atLeast"/>
        </w:trPr>
        <w:tc>
          <w:tcPr>
            <w:tcW w:w="2062" w:type="dxa"/>
          </w:tcPr>
          <w:p>
            <w:pPr>
              <w:pStyle w:val="TableParagraph"/>
              <w:ind w:right="787"/>
              <w:rPr>
                <w:sz w:val="22"/>
              </w:rPr>
            </w:pPr>
            <w:r>
              <w:rPr>
                <w:rFonts w:ascii="Cambria"/>
                <w:sz w:val="22"/>
              </w:rPr>
              <w:t>sheet </w:t>
            </w:r>
            <w:r>
              <w:rPr>
                <w:sz w:val="22"/>
              </w:rPr>
              <w:t>(Sheet Locked)</w:t>
            </w:r>
          </w:p>
        </w:tc>
        <w:tc>
          <w:tcPr>
            <w:tcW w:w="8250" w:type="dxa"/>
          </w:tcPr>
          <w:p>
            <w:pPr>
              <w:pStyle w:val="TableParagraph"/>
              <w:rPr>
                <w:sz w:val="22"/>
              </w:rPr>
            </w:pPr>
            <w:r>
              <w:rPr>
                <w:sz w:val="22"/>
              </w:rPr>
              <w:t>If </w:t>
            </w:r>
            <w:r>
              <w:rPr>
                <w:rFonts w:ascii="Consolas"/>
                <w:sz w:val="20"/>
              </w:rPr>
              <w:t>1</w:t>
            </w:r>
            <w:r>
              <w:rPr>
                <w:rFonts w:ascii="Consolas"/>
                <w:spacing w:val="-59"/>
                <w:sz w:val="20"/>
              </w:rPr>
              <w:t> </w:t>
            </w:r>
            <w:r>
              <w:rPr>
                <w:sz w:val="22"/>
              </w:rPr>
              <w:t>or </w:t>
            </w:r>
            <w:r>
              <w:rPr>
                <w:rFonts w:ascii="Consolas"/>
                <w:sz w:val="20"/>
              </w:rPr>
              <w:t>true</w:t>
            </w:r>
            <w:r>
              <w:rPr>
                <w:rFonts w:ascii="Consolas"/>
                <w:spacing w:val="-61"/>
                <w:sz w:val="20"/>
              </w:rPr>
              <w:t> </w:t>
            </w:r>
            <w:r>
              <w:rPr>
                <w:sz w:val="22"/>
              </w:rPr>
              <w:t>then the sheet is protected.</w:t>
            </w:r>
          </w:p>
          <w:p>
            <w:pPr>
              <w:pStyle w:val="TableParagraph"/>
              <w:spacing w:before="4"/>
              <w:ind w:left="0"/>
              <w:rPr>
                <w:rFonts w:ascii="Times New Roman"/>
                <w:sz w:val="23"/>
              </w:rPr>
            </w:pPr>
          </w:p>
          <w:p>
            <w:pPr>
              <w:pStyle w:val="TableParagraph"/>
              <w:spacing w:before="0"/>
              <w:rPr>
                <w:sz w:val="22"/>
              </w:rPr>
            </w:pPr>
            <w:r>
              <w:rPr>
                <w:sz w:val="22"/>
              </w:rPr>
              <w:t>If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then the sheet is not protected.</w:t>
            </w:r>
          </w:p>
          <w:p>
            <w:pPr>
              <w:pStyle w:val="TableParagraph"/>
              <w:spacing w:before="5"/>
              <w:ind w:left="0"/>
              <w:rPr>
                <w:rFonts w:ascii="Times New Roman"/>
                <w:sz w:val="23"/>
              </w:rPr>
            </w:pPr>
          </w:p>
          <w:p>
            <w:pPr>
              <w:pStyle w:val="TableParagraph"/>
              <w:spacing w:before="0"/>
              <w:ind w:right="239"/>
              <w:rPr>
                <w:sz w:val="22"/>
              </w:rPr>
            </w:pPr>
            <w:r>
              <w:rPr>
                <w:sz w:val="22"/>
              </w:rPr>
              <w:t>The value of this attribute dictates whether the other attributes of </w:t>
            </w:r>
            <w:r>
              <w:rPr>
                <w:rFonts w:ascii="Cambria"/>
                <w:sz w:val="22"/>
              </w:rPr>
              <w:t>sheetProtection </w:t>
            </w:r>
            <w:r>
              <w:rPr>
                <w:sz w:val="22"/>
              </w:rPr>
              <w:t>should be applied. If 1 or true then the other attributes of </w:t>
            </w:r>
            <w:r>
              <w:rPr>
                <w:rFonts w:ascii="Cambria"/>
                <w:sz w:val="22"/>
              </w:rPr>
              <w:t>sheetProtection </w:t>
            </w:r>
            <w:r>
              <w:rPr>
                <w:sz w:val="22"/>
              </w:rPr>
              <w:t>should be applied. If 0 or false then the other attributes of </w:t>
            </w:r>
            <w:r>
              <w:rPr>
                <w:rFonts w:ascii="Cambria"/>
                <w:sz w:val="22"/>
              </w:rPr>
              <w:t>sheetProtection </w:t>
            </w:r>
            <w:r>
              <w:rPr>
                <w:sz w:val="22"/>
              </w:rPr>
              <w:t>should not be applied.</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699" w:hRule="atLeast"/>
        </w:trPr>
        <w:tc>
          <w:tcPr>
            <w:tcW w:w="2062" w:type="dxa"/>
          </w:tcPr>
          <w:p>
            <w:pPr>
              <w:pStyle w:val="TableParagraph"/>
              <w:rPr>
                <w:sz w:val="22"/>
              </w:rPr>
            </w:pPr>
            <w:r>
              <w:rPr>
                <w:rFonts w:ascii="Cambria"/>
                <w:sz w:val="22"/>
              </w:rPr>
              <w:t>sort </w:t>
            </w:r>
            <w:r>
              <w:rPr>
                <w:sz w:val="22"/>
              </w:rPr>
              <w:t>(Sort Locked)</w:t>
            </w:r>
          </w:p>
        </w:tc>
        <w:tc>
          <w:tcPr>
            <w:tcW w:w="8250" w:type="dxa"/>
          </w:tcPr>
          <w:p>
            <w:pPr>
              <w:pStyle w:val="TableParagraph"/>
              <w:spacing w:line="480" w:lineRule="auto"/>
              <w:ind w:right="1308"/>
              <w:rPr>
                <w:sz w:val="22"/>
              </w:rPr>
            </w:pPr>
            <w:r>
              <w:rPr>
                <w:sz w:val="22"/>
              </w:rPr>
              <w:t>If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then sorting should not be allowed when the sheet is protected. If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then sorting should be allowed when the sheet is protected.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92" w:hRule="atLeast"/>
        </w:trPr>
        <w:tc>
          <w:tcPr>
            <w:tcW w:w="2062" w:type="dxa"/>
          </w:tcPr>
          <w:p>
            <w:pPr>
              <w:pStyle w:val="TableParagraph"/>
              <w:spacing w:line="237" w:lineRule="auto" w:before="45"/>
              <w:ind w:right="197"/>
              <w:rPr>
                <w:sz w:val="22"/>
              </w:rPr>
            </w:pPr>
            <w:r>
              <w:rPr>
                <w:rFonts w:ascii="Cambria"/>
                <w:sz w:val="22"/>
              </w:rPr>
              <w:t>spinCount </w:t>
            </w:r>
            <w:r>
              <w:rPr>
                <w:sz w:val="22"/>
              </w:rPr>
              <w:t>(Iterations to Run Hashing Algorithm)</w:t>
            </w:r>
          </w:p>
        </w:tc>
        <w:tc>
          <w:tcPr>
            <w:tcW w:w="8250" w:type="dxa"/>
          </w:tcPr>
          <w:p>
            <w:pPr>
              <w:pStyle w:val="TableParagraph"/>
              <w:ind w:right="287"/>
              <w:rPr>
                <w:sz w:val="22"/>
              </w:rPr>
            </w:pPr>
            <w:r>
              <w:rPr>
                <w:sz w:val="22"/>
              </w:rPr>
              <w:t>Specifies the number of times the hashing function shall be iteratively run (runs using each iteration's result plus a 4 byte value (0-based, little endian) containing the number of the iteration as the input for the next iteration) when attempting to compare a user-</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5167"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supplied password with the value stored in the </w:t>
            </w:r>
            <w:r>
              <w:rPr>
                <w:rFonts w:ascii="Cambria"/>
                <w:sz w:val="22"/>
              </w:rPr>
              <w:t>hashValue </w:t>
            </w:r>
            <w:r>
              <w:rPr>
                <w:sz w:val="22"/>
              </w:rPr>
              <w:t>attribute.</w:t>
            </w:r>
          </w:p>
          <w:p>
            <w:pPr>
              <w:pStyle w:val="TableParagraph"/>
              <w:spacing w:before="4"/>
              <w:ind w:left="0"/>
              <w:rPr>
                <w:rFonts w:ascii="Times New Roman"/>
                <w:sz w:val="23"/>
              </w:rPr>
            </w:pPr>
          </w:p>
          <w:p>
            <w:pPr>
              <w:pStyle w:val="TableParagraph"/>
              <w:spacing w:before="0"/>
              <w:ind w:right="170"/>
              <w:rPr>
                <w:sz w:val="22"/>
              </w:rPr>
            </w:pPr>
            <w:r>
              <w:rPr>
                <w:sz w:val="22"/>
              </w:rPr>
              <w:t>[</w:t>
            </w:r>
            <w:r>
              <w:rPr>
                <w:i/>
                <w:sz w:val="22"/>
              </w:rPr>
              <w:t>Rationale</w:t>
            </w:r>
            <w:r>
              <w:rPr>
                <w:sz w:val="22"/>
              </w:rPr>
              <w:t>: Running the algorithm many times increases the cost of exhaustive search attacks correspondingly. Storing this value allows for the number of iterations to be increased over time to accommodate faster hardware (and hence the ability to run more iterations in less time). </w:t>
            </w:r>
            <w:r>
              <w:rPr>
                <w:i/>
                <w:sz w:val="22"/>
              </w:rPr>
              <w:t>end rationale</w:t>
            </w:r>
            <w:r>
              <w:rPr>
                <w:sz w:val="22"/>
              </w:rPr>
              <w:t>]</w:t>
            </w:r>
          </w:p>
          <w:p>
            <w:pPr>
              <w:pStyle w:val="TableParagraph"/>
              <w:spacing w:before="3"/>
              <w:ind w:left="0"/>
              <w:rPr>
                <w:rFonts w:ascii="Times New Roman"/>
                <w:sz w:val="23"/>
              </w:rPr>
            </w:pPr>
          </w:p>
          <w:p>
            <w:pPr>
              <w:pStyle w:val="TableParagraph"/>
              <w:spacing w:before="0"/>
              <w:ind w:right="173"/>
              <w:rPr>
                <w:sz w:val="22"/>
              </w:rPr>
            </w:pPr>
            <w:r>
              <w:rPr>
                <w:sz w:val="22"/>
              </w:rPr>
              <w:t>[</w:t>
            </w:r>
            <w:r>
              <w:rPr>
                <w:i/>
                <w:sz w:val="22"/>
              </w:rPr>
              <w:t>Example</w:t>
            </w:r>
            <w:r>
              <w:rPr>
                <w:sz w:val="22"/>
              </w:rPr>
              <w:t>: Consider an Office Open XML document with the following information stored in one of its protection elements:</w:t>
            </w:r>
          </w:p>
          <w:p>
            <w:pPr>
              <w:pStyle w:val="TableParagraph"/>
              <w:spacing w:before="7"/>
              <w:ind w:left="0"/>
              <w:rPr>
                <w:rFonts w:ascii="Times New Roman"/>
                <w:sz w:val="23"/>
              </w:rPr>
            </w:pPr>
          </w:p>
          <w:p>
            <w:pPr>
              <w:pStyle w:val="TableParagraph"/>
              <w:spacing w:line="257" w:lineRule="exact" w:before="0"/>
              <w:ind w:left="403"/>
              <w:rPr>
                <w:rFonts w:ascii="Consolas" w:hAnsi="Consolas"/>
                <w:sz w:val="22"/>
              </w:rPr>
            </w:pPr>
            <w:r>
              <w:rPr>
                <w:rFonts w:ascii="Consolas" w:hAnsi="Consolas"/>
                <w:sz w:val="22"/>
              </w:rPr>
              <w:t>&lt;… spinCount="100000"</w:t>
            </w:r>
          </w:p>
          <w:p>
            <w:pPr>
              <w:pStyle w:val="TableParagraph"/>
              <w:spacing w:line="257" w:lineRule="exact" w:before="0"/>
              <w:ind w:left="645"/>
              <w:rPr>
                <w:rFonts w:ascii="Consolas"/>
                <w:sz w:val="22"/>
              </w:rPr>
            </w:pPr>
            <w:r>
              <w:rPr>
                <w:rFonts w:ascii="Consolas"/>
                <w:sz w:val="22"/>
              </w:rPr>
              <w:t>hashValue="9oN7nWkCAyEZib1RomSJTjmPpCY=" /&gt;</w:t>
            </w:r>
          </w:p>
          <w:p>
            <w:pPr>
              <w:pStyle w:val="TableParagraph"/>
              <w:spacing w:before="2"/>
              <w:ind w:left="0"/>
              <w:rPr>
                <w:rFonts w:ascii="Times New Roman"/>
                <w:sz w:val="23"/>
              </w:rPr>
            </w:pPr>
          </w:p>
          <w:p>
            <w:pPr>
              <w:pStyle w:val="TableParagraph"/>
              <w:spacing w:before="0"/>
              <w:ind w:right="157"/>
              <w:rPr>
                <w:sz w:val="22"/>
              </w:rPr>
            </w:pPr>
            <w:r>
              <w:rPr>
                <w:sz w:val="22"/>
              </w:rPr>
              <w:t>The </w:t>
            </w:r>
            <w:r>
              <w:rPr>
                <w:rFonts w:ascii="Cambria"/>
                <w:sz w:val="22"/>
              </w:rPr>
              <w:t>spinCount </w:t>
            </w:r>
            <w:r>
              <w:rPr>
                <w:sz w:val="22"/>
              </w:rPr>
              <w:t>attribute value of </w:t>
            </w:r>
            <w:r>
              <w:rPr>
                <w:rFonts w:ascii="Consolas"/>
                <w:sz w:val="20"/>
              </w:rPr>
              <w:t>100000</w:t>
            </w:r>
            <w:r>
              <w:rPr>
                <w:rFonts w:ascii="Consolas"/>
                <w:spacing w:val="-86"/>
                <w:sz w:val="20"/>
              </w:rPr>
              <w:t> </w:t>
            </w:r>
            <w:r>
              <w:rPr>
                <w:sz w:val="22"/>
              </w:rPr>
              <w:t>specifies that the hashing function must be run one hundred thousand times to generate a hash value for comparison with the </w:t>
            </w:r>
            <w:r>
              <w:rPr>
                <w:rFonts w:ascii="Cambria"/>
                <w:sz w:val="22"/>
              </w:rPr>
              <w:t>hashValue </w:t>
            </w:r>
            <w:r>
              <w:rPr>
                <w:sz w:val="22"/>
              </w:rPr>
              <w:t>attribute. </w:t>
            </w: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CT_SheetProtection</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6 sheetView (Chart Sheet View)" w:id="359"/>
      <w:bookmarkEnd w:id="359"/>
      <w:r>
        <w:rPr/>
      </w:r>
      <w:bookmarkStart w:name="_bookmark118" w:id="360"/>
      <w:bookmarkEnd w:id="360"/>
      <w:r>
        <w:rPr/>
      </w:r>
      <w:bookmarkStart w:name="_bookmark118" w:id="361"/>
      <w:bookmarkEnd w:id="361"/>
      <w:r>
        <w:rPr>
          <w:color w:val="4F81BC"/>
        </w:rPr>
        <w:t>sheet</w:t>
      </w:r>
      <w:r>
        <w:rPr>
          <w:color w:val="4F81BC"/>
        </w:rPr>
        <w:t>View (Chart Sheet</w:t>
      </w:r>
      <w:r>
        <w:rPr>
          <w:color w:val="4F81BC"/>
          <w:spacing w:val="-3"/>
        </w:rPr>
        <w:t> </w:t>
      </w:r>
      <w:r>
        <w:rPr>
          <w:color w:val="4F81BC"/>
        </w:rPr>
        <w:t>View)</w:t>
      </w:r>
    </w:p>
    <w:p>
      <w:pPr>
        <w:pStyle w:val="BodyText"/>
        <w:spacing w:before="122"/>
        <w:ind w:left="220"/>
      </w:pPr>
      <w:r>
        <w:rPr/>
        <w:t>This element specifies a chart sheet view. [</w:t>
      </w:r>
      <w:r>
        <w:rPr>
          <w:i/>
        </w:rPr>
        <w:t>Note</w:t>
      </w:r>
      <w:r>
        <w:rPr/>
        <w:t>: See </w:t>
      </w:r>
      <w:r>
        <w:rPr>
          <w:rFonts w:ascii="Cambria" w:hAnsi="Cambria"/>
        </w:rPr>
        <w:t>sheetView </w:t>
      </w:r>
      <w:r>
        <w:rPr/>
        <w:t>(§</w:t>
      </w:r>
      <w:hyperlink w:history="true" w:anchor="_bookmark119">
        <w:r>
          <w:rPr/>
          <w:t>18.3.1.87</w:t>
        </w:r>
      </w:hyperlink>
      <w:r>
        <w:rPr/>
        <w:t>) for an example. </w:t>
      </w:r>
      <w:r>
        <w:rPr>
          <w:i/>
        </w:rPr>
        <w:t>end note</w:t>
      </w:r>
      <w:r>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205"/>
              <w:rPr>
                <w:sz w:val="22"/>
              </w:rPr>
            </w:pPr>
            <w:r>
              <w:rPr>
                <w:rFonts w:ascii="Cambria"/>
                <w:sz w:val="22"/>
              </w:rPr>
              <w:t>tabSelected </w:t>
            </w:r>
            <w:r>
              <w:rPr>
                <w:sz w:val="22"/>
              </w:rPr>
              <w:t>(Sheet Tab Selected)</w:t>
            </w:r>
          </w:p>
        </w:tc>
        <w:tc>
          <w:tcPr>
            <w:tcW w:w="8250" w:type="dxa"/>
          </w:tcPr>
          <w:p>
            <w:pPr>
              <w:pStyle w:val="TableParagraph"/>
              <w:rPr>
                <w:sz w:val="22"/>
              </w:rPr>
            </w:pPr>
            <w:r>
              <w:rPr>
                <w:sz w:val="22"/>
              </w:rPr>
              <w:t>Flag indicating whether the sheet tab is selected.</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306" w:hRule="atLeast"/>
        </w:trPr>
        <w:tc>
          <w:tcPr>
            <w:tcW w:w="2062" w:type="dxa"/>
            <w:tcBorders>
              <w:bottom w:val="nil"/>
            </w:tcBorders>
          </w:tcPr>
          <w:p>
            <w:pPr>
              <w:pStyle w:val="TableParagraph"/>
              <w:spacing w:line="244" w:lineRule="exact" w:before="42"/>
              <w:rPr>
                <w:rFonts w:ascii="Cambria"/>
                <w:sz w:val="22"/>
              </w:rPr>
            </w:pPr>
            <w:r>
              <w:rPr>
                <w:rFonts w:ascii="Cambria"/>
                <w:sz w:val="22"/>
              </w:rPr>
              <w:t>workbookViewId</w:t>
            </w:r>
          </w:p>
        </w:tc>
        <w:tc>
          <w:tcPr>
            <w:tcW w:w="8250" w:type="dxa"/>
            <w:tcBorders>
              <w:bottom w:val="nil"/>
            </w:tcBorders>
          </w:tcPr>
          <w:p>
            <w:pPr>
              <w:pStyle w:val="TableParagraph"/>
              <w:spacing w:line="247" w:lineRule="exact"/>
              <w:rPr>
                <w:sz w:val="22"/>
              </w:rPr>
            </w:pPr>
            <w:r>
              <w:rPr>
                <w:sz w:val="22"/>
              </w:rPr>
              <w:t>Zero-based index of this workbook view, pointing to a </w:t>
            </w:r>
            <w:r>
              <w:rPr>
                <w:rFonts w:ascii="Cambria"/>
                <w:sz w:val="22"/>
              </w:rPr>
              <w:t>workbookView </w:t>
            </w:r>
            <w:r>
              <w:rPr>
                <w:sz w:val="22"/>
              </w:rPr>
              <w:t>element in the</w:t>
            </w:r>
          </w:p>
        </w:tc>
      </w:tr>
      <w:tr>
        <w:trPr>
          <w:trHeight w:val="537" w:hRule="atLeast"/>
        </w:trPr>
        <w:tc>
          <w:tcPr>
            <w:tcW w:w="2062" w:type="dxa"/>
            <w:tcBorders>
              <w:top w:val="nil"/>
              <w:bottom w:val="nil"/>
            </w:tcBorders>
          </w:tcPr>
          <w:p>
            <w:pPr>
              <w:pStyle w:val="TableParagraph"/>
              <w:spacing w:line="261" w:lineRule="exact" w:before="0"/>
              <w:rPr>
                <w:sz w:val="22"/>
              </w:rPr>
            </w:pPr>
            <w:r>
              <w:rPr>
                <w:sz w:val="22"/>
              </w:rPr>
              <w:t>(Workbook View Id)</w:t>
            </w:r>
          </w:p>
        </w:tc>
        <w:tc>
          <w:tcPr>
            <w:tcW w:w="8250" w:type="dxa"/>
            <w:tcBorders>
              <w:top w:val="nil"/>
              <w:bottom w:val="nil"/>
            </w:tcBorders>
          </w:tcPr>
          <w:p>
            <w:pPr>
              <w:pStyle w:val="TableParagraph"/>
              <w:spacing w:before="2"/>
              <w:rPr>
                <w:sz w:val="22"/>
              </w:rPr>
            </w:pPr>
            <w:r>
              <w:rPr>
                <w:rFonts w:ascii="Cambria"/>
                <w:sz w:val="22"/>
              </w:rPr>
              <w:t>bookViews </w:t>
            </w:r>
            <w:r>
              <w:rPr>
                <w:sz w:val="22"/>
              </w:rPr>
              <w:t>collection.</w:t>
            </w:r>
          </w:p>
        </w:tc>
      </w:tr>
      <w:tr>
        <w:trPr>
          <w:trHeight w:val="560"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r>
        <w:trPr>
          <w:trHeight w:val="295"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9" w:lineRule="exact" w:before="0"/>
              <w:rPr>
                <w:sz w:val="22"/>
              </w:rPr>
            </w:pPr>
            <w:r>
              <w:rPr>
                <w:sz w:val="22"/>
              </w:rPr>
              <w:t>datatype.</w:t>
            </w:r>
          </w:p>
        </w:tc>
      </w:tr>
      <w:tr>
        <w:trPr>
          <w:trHeight w:val="858" w:hRule="atLeast"/>
        </w:trPr>
        <w:tc>
          <w:tcPr>
            <w:tcW w:w="2062" w:type="dxa"/>
            <w:tcBorders>
              <w:bottom w:val="nil"/>
            </w:tcBorders>
          </w:tcPr>
          <w:p>
            <w:pPr>
              <w:pStyle w:val="TableParagraph"/>
              <w:spacing w:line="237" w:lineRule="auto" w:before="45"/>
              <w:ind w:right="539"/>
              <w:rPr>
                <w:sz w:val="22"/>
              </w:rPr>
            </w:pPr>
            <w:r>
              <w:rPr>
                <w:rFonts w:ascii="Cambria"/>
                <w:sz w:val="22"/>
              </w:rPr>
              <w:t>zoomScale </w:t>
            </w:r>
            <w:r>
              <w:rPr>
                <w:sz w:val="22"/>
              </w:rPr>
              <w:t>(Window Zoom Scale)</w:t>
            </w:r>
          </w:p>
        </w:tc>
        <w:tc>
          <w:tcPr>
            <w:tcW w:w="8250" w:type="dxa"/>
            <w:tcBorders>
              <w:bottom w:val="nil"/>
            </w:tcBorders>
          </w:tcPr>
          <w:p>
            <w:pPr>
              <w:pStyle w:val="TableParagraph"/>
              <w:ind w:right="282"/>
              <w:rPr>
                <w:sz w:val="22"/>
              </w:rPr>
            </w:pPr>
            <w:r>
              <w:rPr>
                <w:sz w:val="22"/>
              </w:rPr>
              <w:t>Window zoom magnification, representing percent values. This attribute is restricted to values ranging from 10 to 400. Horizontal &amp; Vertical scale together.</w:t>
            </w:r>
          </w:p>
        </w:tc>
      </w:tr>
      <w:tr>
        <w:trPr>
          <w:trHeight w:val="407"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53" w:lineRule="exact" w:before="0"/>
              <w:rPr>
                <w:sz w:val="22"/>
              </w:rPr>
            </w:pPr>
            <w:r>
              <w:rPr>
                <w:sz w:val="22"/>
              </w:rPr>
              <w:t>[</w:t>
            </w:r>
            <w:r>
              <w:rPr>
                <w:i/>
                <w:sz w:val="22"/>
              </w:rPr>
              <w:t>Example</w:t>
            </w:r>
            <w:r>
              <w:rPr>
                <w:sz w:val="22"/>
              </w:rPr>
              <w:t>:</w:t>
            </w:r>
          </w:p>
        </w:tc>
      </w:tr>
      <w:tr>
        <w:trPr>
          <w:trHeight w:val="429"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before="114"/>
              <w:rPr>
                <w:sz w:val="22"/>
              </w:rPr>
            </w:pPr>
            <w:r>
              <w:rPr>
                <w:sz w:val="22"/>
              </w:rPr>
              <w:t>10 - 10%</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1"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20 - 20%</w:t>
            </w:r>
          </w:p>
          <w:p>
            <w:pPr>
              <w:pStyle w:val="TableParagraph"/>
              <w:spacing w:before="0"/>
              <w:rPr>
                <w:sz w:val="22"/>
              </w:rPr>
            </w:pPr>
            <w:r>
              <w:rPr>
                <w:w w:val="100"/>
                <w:sz w:val="22"/>
              </w:rPr>
              <w:t>…</w:t>
            </w:r>
          </w:p>
          <w:p>
            <w:pPr>
              <w:pStyle w:val="TableParagraph"/>
              <w:spacing w:before="0"/>
              <w:rPr>
                <w:sz w:val="22"/>
              </w:rPr>
            </w:pPr>
            <w:r>
              <w:rPr>
                <w:sz w:val="22"/>
              </w:rPr>
              <w:t>100 -</w:t>
            </w:r>
            <w:r>
              <w:rPr>
                <w:spacing w:val="-3"/>
                <w:sz w:val="22"/>
              </w:rPr>
              <w:t> </w:t>
            </w:r>
            <w:r>
              <w:rPr>
                <w:sz w:val="22"/>
              </w:rPr>
              <w:t>100%</w:t>
            </w:r>
          </w:p>
          <w:p>
            <w:pPr>
              <w:pStyle w:val="TableParagraph"/>
              <w:spacing w:before="0"/>
              <w:rPr>
                <w:sz w:val="22"/>
              </w:rPr>
            </w:pPr>
            <w:r>
              <w:rPr>
                <w:w w:val="100"/>
                <w:sz w:val="22"/>
              </w:rPr>
              <w:t>…</w:t>
            </w:r>
          </w:p>
          <w:p>
            <w:pPr>
              <w:pStyle w:val="TableParagraph"/>
              <w:spacing w:before="1"/>
              <w:rPr>
                <w:sz w:val="22"/>
              </w:rPr>
            </w:pPr>
            <w:r>
              <w:rPr>
                <w:sz w:val="22"/>
              </w:rPr>
              <w:t>400 -</w:t>
            </w:r>
            <w:r>
              <w:rPr>
                <w:spacing w:val="-3"/>
                <w:sz w:val="22"/>
              </w:rPr>
              <w:t> </w:t>
            </w:r>
            <w:r>
              <w:rPr>
                <w:sz w:val="22"/>
              </w:rPr>
              <w:t>400%</w:t>
            </w:r>
          </w:p>
          <w:p>
            <w:pPr>
              <w:pStyle w:val="TableParagraph"/>
              <w:spacing w:before="10"/>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ind w:right="273"/>
              <w:rPr>
                <w:sz w:val="22"/>
              </w:rPr>
            </w:pPr>
            <w:r>
              <w:rPr>
                <w:rFonts w:ascii="Cambria"/>
                <w:sz w:val="22"/>
              </w:rPr>
              <w:t>zoomToFit </w:t>
            </w:r>
            <w:r>
              <w:rPr>
                <w:sz w:val="22"/>
              </w:rPr>
              <w:t>(Zoom To Fit)</w:t>
            </w:r>
          </w:p>
        </w:tc>
        <w:tc>
          <w:tcPr>
            <w:tcW w:w="8250" w:type="dxa"/>
          </w:tcPr>
          <w:p>
            <w:pPr>
              <w:pStyle w:val="TableParagraph"/>
              <w:rPr>
                <w:sz w:val="22"/>
              </w:rPr>
            </w:pPr>
            <w:r>
              <w:rPr>
                <w:sz w:val="22"/>
              </w:rPr>
              <w:t>Flag indicating whether chart sheet is zoom to fit window.</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CT_ChartsheetView</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7 sheetView (Worksheet View)" w:id="362"/>
      <w:bookmarkEnd w:id="362"/>
      <w:r>
        <w:rPr/>
      </w:r>
      <w:bookmarkStart w:name="_bookmark119" w:id="363"/>
      <w:bookmarkEnd w:id="363"/>
      <w:r>
        <w:rPr/>
      </w:r>
      <w:bookmarkStart w:name="_bookmark119" w:id="364"/>
      <w:bookmarkEnd w:id="364"/>
      <w:r>
        <w:rPr>
          <w:color w:val="4F81BC"/>
        </w:rPr>
        <w:t>sheet</w:t>
      </w:r>
      <w:r>
        <w:rPr>
          <w:color w:val="4F81BC"/>
        </w:rPr>
        <w:t>View (Worksheet View)</w:t>
      </w:r>
    </w:p>
    <w:p>
      <w:pPr>
        <w:pStyle w:val="BodyText"/>
        <w:spacing w:line="276" w:lineRule="auto" w:before="119"/>
        <w:ind w:left="220" w:right="368"/>
      </w:pPr>
      <w:r>
        <w:rPr/>
        <w:t>A single sheet view definition. When more than one sheet view is defined in the file, it means that when opening the workbook, each sheet view corresponds to a separate window within the spreadsheet application, where each window is showing the particular sheet containing the same </w:t>
      </w:r>
      <w:r>
        <w:rPr>
          <w:rFonts w:ascii="Cambria"/>
        </w:rPr>
        <w:t>workbookViewId </w:t>
      </w:r>
      <w:r>
        <w:rPr/>
        <w:t>value, the last </w:t>
      </w:r>
      <w:r>
        <w:rPr>
          <w:rFonts w:ascii="Cambria"/>
        </w:rPr>
        <w:t>sheetView </w:t>
      </w:r>
      <w:r>
        <w:rPr/>
        <w:t>definition is loaded, and the others are discarded. When multiple windows are viewing the same sheet, multiple </w:t>
      </w:r>
      <w:r>
        <w:rPr>
          <w:rFonts w:ascii="Cambria"/>
        </w:rPr>
        <w:t>sheetView </w:t>
      </w:r>
      <w:r>
        <w:rPr/>
        <w:t>elements (with corresponding </w:t>
      </w:r>
      <w:r>
        <w:rPr>
          <w:rFonts w:ascii="Cambria"/>
        </w:rPr>
        <w:t>workbookView </w:t>
      </w:r>
      <w:r>
        <w:rPr/>
        <w:t>entries) are saved.</w:t>
      </w:r>
    </w:p>
    <w:p>
      <w:pPr>
        <w:pStyle w:val="BodyText"/>
        <w:spacing w:before="8"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9" w:hRule="atLeast"/>
        </w:trPr>
        <w:tc>
          <w:tcPr>
            <w:tcW w:w="2062" w:type="dxa"/>
          </w:tcPr>
          <w:p>
            <w:pPr>
              <w:pStyle w:val="TableParagraph"/>
              <w:rPr>
                <w:sz w:val="22"/>
              </w:rPr>
            </w:pPr>
            <w:r>
              <w:rPr>
                <w:rFonts w:ascii="Cambria"/>
                <w:sz w:val="22"/>
              </w:rPr>
              <w:t>colorId </w:t>
            </w:r>
            <w:r>
              <w:rPr>
                <w:sz w:val="22"/>
              </w:rPr>
              <w:t>(Color Id)</w:t>
            </w:r>
          </w:p>
        </w:tc>
        <w:tc>
          <w:tcPr>
            <w:tcW w:w="8250" w:type="dxa"/>
          </w:tcPr>
          <w:p>
            <w:pPr>
              <w:pStyle w:val="TableParagraph"/>
              <w:ind w:right="579"/>
              <w:rPr>
                <w:sz w:val="22"/>
              </w:rPr>
            </w:pPr>
            <w:r>
              <w:rPr>
                <w:sz w:val="22"/>
              </w:rPr>
              <w:t>Index to the color value for row/column text headings and gridlines. This is an 'index color value' (ICV) rather than rgb value.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28" w:hRule="atLeast"/>
        </w:trPr>
        <w:tc>
          <w:tcPr>
            <w:tcW w:w="2062" w:type="dxa"/>
          </w:tcPr>
          <w:p>
            <w:pPr>
              <w:pStyle w:val="TableParagraph"/>
              <w:spacing w:line="256" w:lineRule="exact" w:before="42"/>
              <w:rPr>
                <w:rFonts w:ascii="Cambria"/>
                <w:sz w:val="22"/>
              </w:rPr>
            </w:pPr>
            <w:r>
              <w:rPr>
                <w:rFonts w:ascii="Cambria"/>
                <w:sz w:val="22"/>
              </w:rPr>
              <w:t>defaultGridColor</w:t>
            </w:r>
          </w:p>
          <w:p>
            <w:pPr>
              <w:pStyle w:val="TableParagraph"/>
              <w:spacing w:line="267" w:lineRule="exact" w:before="0"/>
              <w:rPr>
                <w:sz w:val="22"/>
              </w:rPr>
            </w:pPr>
            <w:r>
              <w:rPr>
                <w:sz w:val="22"/>
              </w:rPr>
              <w:t>(Default Grid Color)</w:t>
            </w:r>
          </w:p>
        </w:tc>
        <w:tc>
          <w:tcPr>
            <w:tcW w:w="8250" w:type="dxa"/>
          </w:tcPr>
          <w:p>
            <w:pPr>
              <w:pStyle w:val="TableParagraph"/>
              <w:ind w:right="586"/>
              <w:rPr>
                <w:sz w:val="22"/>
              </w:rPr>
            </w:pPr>
            <w:r>
              <w:rPr>
                <w:sz w:val="22"/>
              </w:rPr>
              <w:t>Flag indicating that the consuming application should use the default grid lines color (system dependent). Overrides any color specified in </w:t>
            </w:r>
            <w:r>
              <w:rPr>
                <w:rFonts w:ascii="Cambria"/>
                <w:sz w:val="22"/>
              </w:rPr>
              <w:t>colorId</w:t>
            </w:r>
            <w:r>
              <w:rPr>
                <w:sz w:val="22"/>
              </w:rPr>
              <w: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8" w:hRule="atLeast"/>
        </w:trPr>
        <w:tc>
          <w:tcPr>
            <w:tcW w:w="2062" w:type="dxa"/>
          </w:tcPr>
          <w:p>
            <w:pPr>
              <w:pStyle w:val="TableParagraph"/>
              <w:ind w:right="268"/>
              <w:rPr>
                <w:sz w:val="22"/>
              </w:rPr>
            </w:pPr>
            <w:r>
              <w:rPr>
                <w:rFonts w:ascii="Cambria"/>
                <w:sz w:val="22"/>
              </w:rPr>
              <w:t>rightToLeft </w:t>
            </w:r>
            <w:r>
              <w:rPr>
                <w:sz w:val="22"/>
              </w:rPr>
              <w:t>(Right To Left)</w:t>
            </w:r>
          </w:p>
        </w:tc>
        <w:tc>
          <w:tcPr>
            <w:tcW w:w="8250" w:type="dxa"/>
          </w:tcPr>
          <w:p>
            <w:pPr>
              <w:pStyle w:val="TableParagraph"/>
              <w:ind w:right="320"/>
              <w:rPr>
                <w:sz w:val="22"/>
              </w:rPr>
            </w:pPr>
            <w:r>
              <w:rPr>
                <w:sz w:val="22"/>
              </w:rPr>
              <w:t>Flag indicating whether the sheet is in 'right to left' display mode. When in this mode, Column A is on the far right, Column B ;is one column left of Column A, and so on. Also, information in cells is displayed in the Right to Left format.</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56" w:lineRule="exact" w:before="42"/>
              <w:rPr>
                <w:rFonts w:ascii="Cambria"/>
                <w:sz w:val="22"/>
              </w:rPr>
            </w:pPr>
            <w:r>
              <w:rPr>
                <w:rFonts w:ascii="Cambria"/>
                <w:sz w:val="22"/>
              </w:rPr>
              <w:t>showFormulas</w:t>
            </w:r>
          </w:p>
          <w:p>
            <w:pPr>
              <w:pStyle w:val="TableParagraph"/>
              <w:spacing w:line="267" w:lineRule="exact" w:before="0"/>
              <w:rPr>
                <w:sz w:val="22"/>
              </w:rPr>
            </w:pPr>
            <w:r>
              <w:rPr>
                <w:sz w:val="22"/>
              </w:rPr>
              <w:t>(Show Formulas)</w:t>
            </w:r>
          </w:p>
        </w:tc>
        <w:tc>
          <w:tcPr>
            <w:tcW w:w="8250" w:type="dxa"/>
          </w:tcPr>
          <w:p>
            <w:pPr>
              <w:pStyle w:val="TableParagraph"/>
              <w:rPr>
                <w:sz w:val="22"/>
              </w:rPr>
            </w:pPr>
            <w:r>
              <w:rPr>
                <w:sz w:val="22"/>
              </w:rPr>
              <w:t>Flag indicating whether this sheet should display formulas.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showGridLines</w:t>
            </w:r>
          </w:p>
          <w:p>
            <w:pPr>
              <w:pStyle w:val="TableParagraph"/>
              <w:spacing w:line="268" w:lineRule="exact" w:before="0"/>
              <w:rPr>
                <w:sz w:val="22"/>
              </w:rPr>
            </w:pPr>
            <w:r>
              <w:rPr>
                <w:sz w:val="22"/>
              </w:rPr>
              <w:t>(Show Grid Lines)</w:t>
            </w:r>
          </w:p>
        </w:tc>
        <w:tc>
          <w:tcPr>
            <w:tcW w:w="8250" w:type="dxa"/>
          </w:tcPr>
          <w:p>
            <w:pPr>
              <w:pStyle w:val="TableParagraph"/>
              <w:rPr>
                <w:sz w:val="22"/>
              </w:rPr>
            </w:pPr>
            <w:r>
              <w:rPr>
                <w:sz w:val="22"/>
              </w:rPr>
              <w:t>Flag indicating whether this sheet should display gridlines.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7" w:hRule="atLeast"/>
        </w:trPr>
        <w:tc>
          <w:tcPr>
            <w:tcW w:w="2062" w:type="dxa"/>
          </w:tcPr>
          <w:p>
            <w:pPr>
              <w:pStyle w:val="TableParagraph"/>
              <w:spacing w:line="237" w:lineRule="auto" w:before="45"/>
              <w:ind w:right="199"/>
              <w:rPr>
                <w:sz w:val="22"/>
              </w:rPr>
            </w:pPr>
            <w:r>
              <w:rPr>
                <w:rFonts w:ascii="Cambria"/>
                <w:sz w:val="22"/>
              </w:rPr>
              <w:t>showOutlineSymb ols </w:t>
            </w:r>
            <w:r>
              <w:rPr>
                <w:sz w:val="22"/>
              </w:rPr>
              <w:t>(Show Outline Symbols)</w:t>
            </w:r>
          </w:p>
        </w:tc>
        <w:tc>
          <w:tcPr>
            <w:tcW w:w="8250" w:type="dxa"/>
          </w:tcPr>
          <w:p>
            <w:pPr>
              <w:pStyle w:val="TableParagraph"/>
              <w:ind w:right="739"/>
              <w:rPr>
                <w:sz w:val="22"/>
              </w:rPr>
            </w:pPr>
            <w:r>
              <w:rPr>
                <w:sz w:val="22"/>
              </w:rPr>
              <w:t>Flag indicating whether the sheet has outline symbols visible. This flag shall always override </w:t>
            </w:r>
            <w:r>
              <w:rPr>
                <w:rFonts w:ascii="Cambria"/>
                <w:sz w:val="22"/>
              </w:rPr>
              <w:t>SheetPr </w:t>
            </w:r>
            <w:r>
              <w:rPr>
                <w:sz w:val="22"/>
              </w:rPr>
              <w:t>element's </w:t>
            </w:r>
            <w:r>
              <w:rPr>
                <w:rFonts w:ascii="Cambria"/>
                <w:sz w:val="22"/>
              </w:rPr>
              <w:t>outlinePr </w:t>
            </w:r>
            <w:r>
              <w:rPr>
                <w:sz w:val="22"/>
              </w:rPr>
              <w:t>child element whose attribute is named </w:t>
            </w:r>
            <w:r>
              <w:rPr>
                <w:rFonts w:ascii="Cambria"/>
                <w:sz w:val="22"/>
              </w:rPr>
              <w:t>showOutlineSymbols </w:t>
            </w:r>
            <w:r>
              <w:rPr>
                <w:sz w:val="22"/>
              </w:rPr>
              <w:t>when there is a conflict.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spacing w:before="42"/>
              <w:ind w:right="94"/>
              <w:rPr>
                <w:sz w:val="22"/>
              </w:rPr>
            </w:pPr>
            <w:r>
              <w:rPr>
                <w:rFonts w:ascii="Cambria"/>
                <w:sz w:val="22"/>
              </w:rPr>
              <w:t>showRowColHeade rs </w:t>
            </w:r>
            <w:r>
              <w:rPr>
                <w:sz w:val="22"/>
              </w:rPr>
              <w:t>(Show Headers)</w:t>
            </w:r>
          </w:p>
        </w:tc>
        <w:tc>
          <w:tcPr>
            <w:tcW w:w="8250" w:type="dxa"/>
          </w:tcPr>
          <w:p>
            <w:pPr>
              <w:pStyle w:val="TableParagraph"/>
              <w:rPr>
                <w:sz w:val="22"/>
              </w:rPr>
            </w:pPr>
            <w:r>
              <w:rPr>
                <w:sz w:val="22"/>
              </w:rPr>
              <w:t>Flag indicating whether the sheet should display row and column headings.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292"/>
              <w:rPr>
                <w:sz w:val="22"/>
              </w:rPr>
            </w:pPr>
            <w:r>
              <w:rPr>
                <w:rFonts w:ascii="Cambria"/>
                <w:sz w:val="22"/>
              </w:rPr>
              <w:t>showRuler </w:t>
            </w:r>
            <w:r>
              <w:rPr>
                <w:sz w:val="22"/>
              </w:rPr>
              <w:t>(Show Ruler)</w:t>
            </w:r>
          </w:p>
        </w:tc>
        <w:tc>
          <w:tcPr>
            <w:tcW w:w="8250" w:type="dxa"/>
          </w:tcPr>
          <w:p>
            <w:pPr>
              <w:pStyle w:val="TableParagraph"/>
              <w:rPr>
                <w:sz w:val="22"/>
              </w:rPr>
            </w:pPr>
            <w:r>
              <w:rPr>
                <w:sz w:val="22"/>
              </w:rPr>
              <w:t>Show the ruler in page layout view (§</w:t>
            </w:r>
            <w:hyperlink w:history="true" w:anchor="_bookmark891">
              <w:r>
                <w:rPr>
                  <w:sz w:val="22"/>
                </w:rPr>
                <w:t>18.18.69</w:t>
              </w:r>
            </w:hyperlink>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spacing w:line="256" w:lineRule="exact" w:before="42"/>
              <w:rPr>
                <w:rFonts w:ascii="Cambria"/>
                <w:sz w:val="22"/>
              </w:rPr>
            </w:pPr>
            <w:r>
              <w:rPr>
                <w:rFonts w:ascii="Cambria"/>
                <w:sz w:val="22"/>
              </w:rPr>
              <w:t>showWhiteSpace</w:t>
            </w:r>
          </w:p>
          <w:p>
            <w:pPr>
              <w:pStyle w:val="TableParagraph"/>
              <w:spacing w:line="267" w:lineRule="exact" w:before="0"/>
              <w:rPr>
                <w:sz w:val="22"/>
              </w:rPr>
            </w:pPr>
            <w:r>
              <w:rPr>
                <w:sz w:val="22"/>
              </w:rPr>
              <w:t>(Show White Space)</w:t>
            </w:r>
          </w:p>
        </w:tc>
        <w:tc>
          <w:tcPr>
            <w:tcW w:w="8250" w:type="dxa"/>
          </w:tcPr>
          <w:p>
            <w:pPr>
              <w:pStyle w:val="TableParagraph"/>
              <w:ind w:right="274"/>
              <w:jc w:val="both"/>
              <w:rPr>
                <w:sz w:val="22"/>
              </w:rPr>
            </w:pPr>
            <w:r>
              <w:rPr>
                <w:sz w:val="22"/>
              </w:rPr>
              <w:t>Flag indicating whether page layout view (§</w:t>
            </w:r>
            <w:hyperlink w:history="true" w:anchor="_bookmark891">
              <w:r>
                <w:rPr>
                  <w:sz w:val="22"/>
                </w:rPr>
                <w:t>18.18.69</w:t>
              </w:r>
            </w:hyperlink>
            <w:r>
              <w:rPr>
                <w:sz w:val="22"/>
              </w:rPr>
              <w:t>) shall display margins. False means do not display left, right, top (header), and bottom (footer) margins (even when there is data in the header or footer).</w:t>
            </w:r>
          </w:p>
          <w:p>
            <w:pPr>
              <w:pStyle w:val="TableParagraph"/>
              <w:spacing w:before="2"/>
              <w:ind w:left="0"/>
              <w:rPr>
                <w:rFonts w:ascii="Times New Roman"/>
                <w:sz w:val="23"/>
              </w:rPr>
            </w:pPr>
          </w:p>
          <w:p>
            <w:pPr>
              <w:pStyle w:val="TableParagraph"/>
              <w:spacing w:before="1"/>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ind w:right="280"/>
              <w:rPr>
                <w:sz w:val="22"/>
              </w:rPr>
            </w:pPr>
            <w:r>
              <w:rPr>
                <w:rFonts w:ascii="Cambria"/>
                <w:sz w:val="22"/>
              </w:rPr>
              <w:t>showZeros </w:t>
            </w:r>
            <w:r>
              <w:rPr>
                <w:sz w:val="22"/>
              </w:rPr>
              <w:t>(Show Zero Values)</w:t>
            </w:r>
          </w:p>
        </w:tc>
        <w:tc>
          <w:tcPr>
            <w:tcW w:w="8250" w:type="dxa"/>
          </w:tcPr>
          <w:p>
            <w:pPr>
              <w:pStyle w:val="TableParagraph"/>
              <w:ind w:right="327"/>
              <w:rPr>
                <w:sz w:val="22"/>
              </w:rPr>
            </w:pPr>
            <w:r>
              <w:rPr>
                <w:sz w:val="22"/>
              </w:rPr>
              <w:t>Flag indicating whether the window should show 0 (zero) in cells containing zero value. When false, cells with zero value appear blank instead of showing the number zero.</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237" w:hRule="atLeast"/>
        </w:trPr>
        <w:tc>
          <w:tcPr>
            <w:tcW w:w="2062" w:type="dxa"/>
          </w:tcPr>
          <w:p>
            <w:pPr>
              <w:pStyle w:val="TableParagraph"/>
              <w:spacing w:line="237" w:lineRule="auto" w:before="44"/>
              <w:ind w:right="205"/>
              <w:rPr>
                <w:sz w:val="22"/>
              </w:rPr>
            </w:pPr>
            <w:r>
              <w:rPr>
                <w:rFonts w:ascii="Cambria"/>
                <w:sz w:val="22"/>
              </w:rPr>
              <w:t>tabSelected </w:t>
            </w:r>
            <w:r>
              <w:rPr>
                <w:sz w:val="22"/>
              </w:rPr>
              <w:t>(Sheet Tab Selected)</w:t>
            </w:r>
          </w:p>
        </w:tc>
        <w:tc>
          <w:tcPr>
            <w:tcW w:w="8250" w:type="dxa"/>
          </w:tcPr>
          <w:p>
            <w:pPr>
              <w:pStyle w:val="TableParagraph"/>
              <w:spacing w:before="42"/>
              <w:ind w:right="139"/>
              <w:rPr>
                <w:sz w:val="22"/>
              </w:rPr>
            </w:pPr>
            <w:r>
              <w:rPr>
                <w:sz w:val="22"/>
              </w:rPr>
              <w:t>Flag indicating whether this sheet is selected. When only 1 sheet is selected and active, this value should be in synch with the </w:t>
            </w:r>
            <w:r>
              <w:rPr>
                <w:rFonts w:ascii="Cambria"/>
                <w:sz w:val="22"/>
              </w:rPr>
              <w:t>activeTab </w:t>
            </w:r>
            <w:r>
              <w:rPr>
                <w:sz w:val="22"/>
              </w:rPr>
              <w:t>value. In case of a conflict, the Start Part setting wins and sets the active sheet tab.</w:t>
            </w:r>
          </w:p>
          <w:p>
            <w:pPr>
              <w:pStyle w:val="TableParagraph"/>
              <w:spacing w:line="538" w:lineRule="exact" w:before="47"/>
              <w:ind w:right="707"/>
              <w:rPr>
                <w:rFonts w:ascii="Cambria"/>
                <w:sz w:val="22"/>
              </w:rPr>
            </w:pPr>
            <w:r>
              <w:rPr>
                <w:sz w:val="22"/>
              </w:rPr>
              <w:t>Multiple sheets can be selected, but only one sheet shall be active at one time. The possible values for this attribute are defined by the W3C XML Schema</w:t>
            </w:r>
            <w:r>
              <w:rPr>
                <w:spacing w:val="-26"/>
                <w:sz w:val="22"/>
              </w:rPr>
              <w:t> </w:t>
            </w:r>
            <w:r>
              <w:rPr>
                <w:rFonts w:ascii="Cambria"/>
                <w:sz w:val="22"/>
              </w:rPr>
              <w:t>boolean</w:t>
            </w:r>
          </w:p>
          <w:p>
            <w:pPr>
              <w:pStyle w:val="TableParagraph"/>
              <w:spacing w:line="220" w:lineRule="exact" w:before="0"/>
              <w:rPr>
                <w:sz w:val="22"/>
              </w:rPr>
            </w:pPr>
            <w:r>
              <w:rPr>
                <w:sz w:val="22"/>
              </w:rPr>
              <w:t>datatype.</w:t>
            </w:r>
          </w:p>
        </w:tc>
      </w:tr>
      <w:tr>
        <w:trPr>
          <w:trHeight w:val="623" w:hRule="atLeast"/>
        </w:trPr>
        <w:tc>
          <w:tcPr>
            <w:tcW w:w="2062" w:type="dxa"/>
          </w:tcPr>
          <w:p>
            <w:pPr>
              <w:pStyle w:val="TableParagraph"/>
              <w:ind w:right="432"/>
              <w:rPr>
                <w:sz w:val="22"/>
              </w:rPr>
            </w:pPr>
            <w:r>
              <w:rPr>
                <w:rFonts w:ascii="Cambria"/>
                <w:sz w:val="22"/>
              </w:rPr>
              <w:t>topLeftCell </w:t>
            </w:r>
            <w:r>
              <w:rPr>
                <w:sz w:val="22"/>
              </w:rPr>
              <w:t>(Top Left Visible Cell)</w:t>
            </w:r>
          </w:p>
        </w:tc>
        <w:tc>
          <w:tcPr>
            <w:tcW w:w="8250" w:type="dxa"/>
          </w:tcPr>
          <w:p>
            <w:pPr>
              <w:pStyle w:val="TableParagraph"/>
              <w:ind w:right="271"/>
              <w:rPr>
                <w:sz w:val="22"/>
              </w:rPr>
            </w:pPr>
            <w:r>
              <w:rPr>
                <w:sz w:val="22"/>
              </w:rPr>
              <w:t>Location of the top left visible cell Location of the top left visible cell in the bottom right pane (when in Left-to-Right mode).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696" w:hRule="atLeast"/>
        </w:trPr>
        <w:tc>
          <w:tcPr>
            <w:tcW w:w="2062" w:type="dxa"/>
          </w:tcPr>
          <w:p>
            <w:pPr>
              <w:pStyle w:val="TableParagraph"/>
              <w:rPr>
                <w:sz w:val="22"/>
              </w:rPr>
            </w:pPr>
            <w:r>
              <w:rPr>
                <w:rFonts w:ascii="Cambria"/>
                <w:sz w:val="22"/>
              </w:rPr>
              <w:t>view </w:t>
            </w:r>
            <w:r>
              <w:rPr>
                <w:sz w:val="22"/>
              </w:rPr>
              <w:t>(View Type)</w:t>
            </w:r>
          </w:p>
        </w:tc>
        <w:tc>
          <w:tcPr>
            <w:tcW w:w="8250" w:type="dxa"/>
          </w:tcPr>
          <w:p>
            <w:pPr>
              <w:pStyle w:val="TableParagraph"/>
              <w:ind w:right="246"/>
              <w:rPr>
                <w:sz w:val="22"/>
              </w:rPr>
            </w:pPr>
            <w:r>
              <w:rPr>
                <w:sz w:val="22"/>
              </w:rPr>
              <w:t>Indicates the view type. [</w:t>
            </w:r>
            <w:r>
              <w:rPr>
                <w:i/>
                <w:sz w:val="22"/>
              </w:rPr>
              <w:t>Note</w:t>
            </w:r>
            <w:r>
              <w:rPr>
                <w:sz w:val="22"/>
              </w:rPr>
              <w:t>: Although this Standard is for a file format, occasionally, guidance is given regarding intent in dealing with things outside that file format, such as the rendering of documents to a screen or printer. </w:t>
            </w:r>
            <w:r>
              <w:rPr>
                <w:i/>
                <w:sz w:val="22"/>
              </w:rPr>
              <w:t>end note</w:t>
            </w:r>
            <w:r>
              <w:rPr>
                <w:sz w:val="22"/>
              </w:rPr>
              <w:t>]</w:t>
            </w:r>
          </w:p>
          <w:p>
            <w:pPr>
              <w:pStyle w:val="TableParagraph"/>
              <w:spacing w:before="2"/>
              <w:ind w:left="0"/>
              <w:rPr>
                <w:rFonts w:ascii="Times New Roman"/>
                <w:sz w:val="23"/>
              </w:rPr>
            </w:pPr>
          </w:p>
          <w:p>
            <w:pPr>
              <w:pStyle w:val="TableParagraph"/>
              <w:spacing w:before="0"/>
              <w:ind w:right="243"/>
              <w:rPr>
                <w:sz w:val="22"/>
              </w:rPr>
            </w:pPr>
            <w:r>
              <w:rPr>
                <w:sz w:val="22"/>
              </w:rPr>
              <w:t>The possible values for this attribute are defined by the </w:t>
            </w:r>
            <w:r>
              <w:rPr>
                <w:rFonts w:ascii="Cambria" w:hAnsi="Cambria"/>
                <w:sz w:val="22"/>
              </w:rPr>
              <w:t>ST_SheetViewType </w:t>
            </w:r>
            <w:r>
              <w:rPr>
                <w:sz w:val="22"/>
              </w:rPr>
              <w:t>simple type </w:t>
            </w:r>
            <w:hyperlink w:history="true" w:anchor="_bookmark891">
              <w:r>
                <w:rPr>
                  <w:sz w:val="22"/>
                </w:rPr>
                <w:t>(§18.18.69</w:t>
              </w:r>
            </w:hyperlink>
            <w:r>
              <w:rPr>
                <w:sz w:val="22"/>
              </w:rPr>
              <w:t>).</w:t>
            </w:r>
          </w:p>
        </w:tc>
      </w:tr>
      <w:tr>
        <w:trPr>
          <w:trHeight w:val="1428" w:hRule="atLeast"/>
        </w:trPr>
        <w:tc>
          <w:tcPr>
            <w:tcW w:w="2062" w:type="dxa"/>
          </w:tcPr>
          <w:p>
            <w:pPr>
              <w:pStyle w:val="TableParagraph"/>
              <w:spacing w:line="237" w:lineRule="auto" w:before="45"/>
              <w:ind w:right="167"/>
              <w:rPr>
                <w:sz w:val="22"/>
              </w:rPr>
            </w:pPr>
            <w:r>
              <w:rPr>
                <w:rFonts w:ascii="Cambria"/>
                <w:sz w:val="22"/>
              </w:rPr>
              <w:t>windowProtection </w:t>
            </w:r>
            <w:r>
              <w:rPr>
                <w:sz w:val="22"/>
              </w:rPr>
              <w:t>(Window Protection)</w:t>
            </w:r>
          </w:p>
        </w:tc>
        <w:tc>
          <w:tcPr>
            <w:tcW w:w="8250" w:type="dxa"/>
          </w:tcPr>
          <w:p>
            <w:pPr>
              <w:pStyle w:val="TableParagraph"/>
              <w:ind w:right="158"/>
              <w:rPr>
                <w:sz w:val="22"/>
              </w:rPr>
            </w:pPr>
            <w:r>
              <w:rPr>
                <w:sz w:val="22"/>
              </w:rPr>
              <w:t>Flag indicating whether the panes in the window are locked due to workbook protection. This is an option when the workbook structure is protected.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line="237" w:lineRule="auto" w:before="47"/>
              <w:ind w:right="289"/>
              <w:rPr>
                <w:sz w:val="22"/>
              </w:rPr>
            </w:pPr>
            <w:r>
              <w:rPr>
                <w:rFonts w:ascii="Cambria"/>
                <w:sz w:val="22"/>
              </w:rPr>
              <w:t>workbookViewId </w:t>
            </w:r>
            <w:r>
              <w:rPr>
                <w:sz w:val="22"/>
              </w:rPr>
              <w:t>(Workbook View Index)</w:t>
            </w:r>
          </w:p>
        </w:tc>
        <w:tc>
          <w:tcPr>
            <w:tcW w:w="8250" w:type="dxa"/>
          </w:tcPr>
          <w:p>
            <w:pPr>
              <w:pStyle w:val="TableParagraph"/>
              <w:spacing w:line="267" w:lineRule="exact" w:before="42"/>
              <w:rPr>
                <w:sz w:val="22"/>
              </w:rPr>
            </w:pPr>
            <w:r>
              <w:rPr>
                <w:sz w:val="22"/>
              </w:rPr>
              <w:t>Zero-based index of this workbook view, pointing to a </w:t>
            </w:r>
            <w:r>
              <w:rPr>
                <w:rFonts w:ascii="Cambria"/>
                <w:sz w:val="22"/>
              </w:rPr>
              <w:t>workbookView </w:t>
            </w:r>
            <w:r>
              <w:rPr>
                <w:sz w:val="22"/>
              </w:rPr>
              <w:t>element in the</w:t>
            </w:r>
          </w:p>
          <w:p>
            <w:pPr>
              <w:pStyle w:val="TableParagraph"/>
              <w:spacing w:line="267" w:lineRule="exact" w:before="0"/>
              <w:rPr>
                <w:sz w:val="22"/>
              </w:rPr>
            </w:pPr>
            <w:r>
              <w:rPr>
                <w:rFonts w:ascii="Cambria"/>
                <w:sz w:val="22"/>
              </w:rPr>
              <w:t>bookViews </w:t>
            </w:r>
            <w:r>
              <w:rPr>
                <w:sz w:val="22"/>
              </w:rPr>
              <w:t>collection.</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5189" w:hRule="atLeast"/>
        </w:trPr>
        <w:tc>
          <w:tcPr>
            <w:tcW w:w="2062" w:type="dxa"/>
          </w:tcPr>
          <w:p>
            <w:pPr>
              <w:pStyle w:val="TableParagraph"/>
              <w:ind w:right="293"/>
              <w:rPr>
                <w:sz w:val="22"/>
              </w:rPr>
            </w:pPr>
            <w:r>
              <w:rPr>
                <w:rFonts w:ascii="Cambria"/>
                <w:sz w:val="22"/>
              </w:rPr>
              <w:t>zoomScale </w:t>
            </w:r>
            <w:r>
              <w:rPr>
                <w:sz w:val="22"/>
              </w:rPr>
              <w:t>(Zoom Scale)</w:t>
            </w:r>
          </w:p>
        </w:tc>
        <w:tc>
          <w:tcPr>
            <w:tcW w:w="8250" w:type="dxa"/>
          </w:tcPr>
          <w:p>
            <w:pPr>
              <w:pStyle w:val="TableParagraph"/>
              <w:ind w:right="191"/>
              <w:rPr>
                <w:sz w:val="22"/>
              </w:rPr>
            </w:pPr>
            <w:r>
              <w:rPr>
                <w:sz w:val="22"/>
              </w:rPr>
              <w:t>Window zoom magnification for current view representing percent values. This attribute is restricted to values ranging from 10 to 400. Horizontal &amp; Vertical scale together.</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5"/>
              <w:ind w:left="0"/>
              <w:rPr>
                <w:rFonts w:ascii="Times New Roman"/>
                <w:sz w:val="23"/>
              </w:rPr>
            </w:pPr>
          </w:p>
          <w:p>
            <w:pPr>
              <w:pStyle w:val="TableParagraph"/>
              <w:spacing w:line="267" w:lineRule="exact" w:before="0"/>
              <w:rPr>
                <w:sz w:val="22"/>
              </w:rPr>
            </w:pPr>
            <w:r>
              <w:rPr>
                <w:sz w:val="22"/>
              </w:rPr>
              <w:t>10 -</w:t>
            </w:r>
            <w:r>
              <w:rPr>
                <w:spacing w:val="-2"/>
                <w:sz w:val="22"/>
              </w:rPr>
              <w:t> </w:t>
            </w:r>
            <w:r>
              <w:rPr>
                <w:sz w:val="22"/>
              </w:rPr>
              <w:t>10%</w:t>
            </w:r>
          </w:p>
          <w:p>
            <w:pPr>
              <w:pStyle w:val="TableParagraph"/>
              <w:spacing w:line="267" w:lineRule="exact" w:before="0"/>
              <w:rPr>
                <w:sz w:val="22"/>
              </w:rPr>
            </w:pPr>
            <w:r>
              <w:rPr>
                <w:sz w:val="22"/>
              </w:rPr>
              <w:t>20 -</w:t>
            </w:r>
            <w:r>
              <w:rPr>
                <w:spacing w:val="-2"/>
                <w:sz w:val="22"/>
              </w:rPr>
              <w:t> </w:t>
            </w:r>
            <w:r>
              <w:rPr>
                <w:sz w:val="22"/>
              </w:rPr>
              <w:t>20%</w:t>
            </w:r>
          </w:p>
          <w:p>
            <w:pPr>
              <w:pStyle w:val="TableParagraph"/>
              <w:spacing w:before="1"/>
              <w:rPr>
                <w:sz w:val="22"/>
              </w:rPr>
            </w:pPr>
            <w:r>
              <w:rPr>
                <w:w w:val="100"/>
                <w:sz w:val="22"/>
              </w:rPr>
              <w:t>…</w:t>
            </w:r>
          </w:p>
          <w:p>
            <w:pPr>
              <w:pStyle w:val="TableParagraph"/>
              <w:spacing w:before="0"/>
              <w:rPr>
                <w:sz w:val="22"/>
              </w:rPr>
            </w:pPr>
            <w:r>
              <w:rPr>
                <w:sz w:val="22"/>
              </w:rPr>
              <w:t>100 -</w:t>
            </w:r>
            <w:r>
              <w:rPr>
                <w:spacing w:val="-3"/>
                <w:sz w:val="22"/>
              </w:rPr>
              <w:t> </w:t>
            </w:r>
            <w:r>
              <w:rPr>
                <w:sz w:val="22"/>
              </w:rPr>
              <w:t>100%</w:t>
            </w:r>
          </w:p>
          <w:p>
            <w:pPr>
              <w:pStyle w:val="TableParagraph"/>
              <w:spacing w:before="0"/>
              <w:rPr>
                <w:sz w:val="22"/>
              </w:rPr>
            </w:pPr>
            <w:r>
              <w:rPr>
                <w:w w:val="100"/>
                <w:sz w:val="22"/>
              </w:rPr>
              <w:t>…</w:t>
            </w:r>
          </w:p>
          <w:p>
            <w:pPr>
              <w:pStyle w:val="TableParagraph"/>
              <w:spacing w:before="0"/>
              <w:rPr>
                <w:sz w:val="22"/>
              </w:rPr>
            </w:pPr>
            <w:r>
              <w:rPr>
                <w:sz w:val="22"/>
              </w:rPr>
              <w:t>400 -</w:t>
            </w:r>
            <w:r>
              <w:rPr>
                <w:spacing w:val="-3"/>
                <w:sz w:val="22"/>
              </w:rPr>
              <w:t> </w:t>
            </w:r>
            <w:r>
              <w:rPr>
                <w:sz w:val="22"/>
              </w:rPr>
              <w:t>400%</w:t>
            </w:r>
          </w:p>
          <w:p>
            <w:pPr>
              <w:pStyle w:val="TableParagraph"/>
              <w:spacing w:before="5"/>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6"/>
              <w:ind w:left="0"/>
              <w:rPr>
                <w:rFonts w:ascii="Times New Roman"/>
                <w:sz w:val="23"/>
              </w:rPr>
            </w:pPr>
          </w:p>
          <w:p>
            <w:pPr>
              <w:pStyle w:val="TableParagraph"/>
              <w:spacing w:line="237" w:lineRule="auto" w:before="1"/>
              <w:ind w:right="1080"/>
              <w:rPr>
                <w:sz w:val="22"/>
              </w:rPr>
            </w:pPr>
            <w:r>
              <w:rPr>
                <w:sz w:val="22"/>
              </w:rPr>
              <w:t>The current view can be normal view</w:t>
            </w:r>
            <w:r>
              <w:rPr>
                <w:i/>
                <w:sz w:val="22"/>
              </w:rPr>
              <w:t>, </w:t>
            </w:r>
            <w:r>
              <w:rPr>
                <w:sz w:val="22"/>
              </w:rPr>
              <w:t>page break preview, or page layout view </w:t>
            </w:r>
            <w:hyperlink w:history="true" w:anchor="_bookmark891">
              <w:r>
                <w:rPr>
                  <w:sz w:val="22"/>
                </w:rPr>
                <w:t>(§18.18.69</w:t>
              </w:r>
            </w:hyperlink>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8" w:hRule="atLeast"/>
        </w:trPr>
        <w:tc>
          <w:tcPr>
            <w:tcW w:w="2062" w:type="dxa"/>
          </w:tcPr>
          <w:p>
            <w:pPr>
              <w:pStyle w:val="TableParagraph"/>
              <w:spacing w:line="237" w:lineRule="auto" w:before="45"/>
              <w:ind w:right="114"/>
              <w:rPr>
                <w:sz w:val="22"/>
              </w:rPr>
            </w:pPr>
            <w:r>
              <w:rPr>
                <w:rFonts w:ascii="Cambria"/>
                <w:sz w:val="22"/>
              </w:rPr>
              <w:t>zoomScaleNormal </w:t>
            </w:r>
            <w:r>
              <w:rPr>
                <w:sz w:val="22"/>
              </w:rPr>
              <w:t>(Zoom Scale Normal View)</w:t>
            </w:r>
          </w:p>
        </w:tc>
        <w:tc>
          <w:tcPr>
            <w:tcW w:w="8250" w:type="dxa"/>
          </w:tcPr>
          <w:p>
            <w:pPr>
              <w:pStyle w:val="TableParagraph"/>
              <w:ind w:right="204"/>
              <w:rPr>
                <w:sz w:val="22"/>
              </w:rPr>
            </w:pPr>
            <w:r>
              <w:rPr>
                <w:sz w:val="22"/>
              </w:rPr>
              <w:t>Zoom magnification to use when in normal view (</w:t>
            </w:r>
            <w:hyperlink w:history="true" w:anchor="_bookmark891">
              <w:r>
                <w:rPr>
                  <w:sz w:val="22"/>
                </w:rPr>
                <w:t>§18.18.69</w:t>
              </w:r>
            </w:hyperlink>
            <w:r>
              <w:rPr>
                <w:sz w:val="22"/>
              </w:rPr>
              <w:t>), representing percent values. This attribute is restricted to values ranging from 10 to 400. Horizontal &amp; Vertical scale together.</w:t>
            </w:r>
          </w:p>
          <w:p>
            <w:pPr>
              <w:pStyle w:val="TableParagraph"/>
              <w:spacing w:before="4"/>
              <w:ind w:left="0"/>
              <w:rPr>
                <w:rFonts w:ascii="Times New Roman"/>
                <w:sz w:val="23"/>
              </w:rPr>
            </w:pPr>
          </w:p>
          <w:p>
            <w:pPr>
              <w:pStyle w:val="TableParagraph"/>
              <w:spacing w:before="1"/>
              <w:ind w:right="7220"/>
              <w:rPr>
                <w:sz w:val="22"/>
              </w:rPr>
            </w:pPr>
            <w:r>
              <w:rPr>
                <w:sz w:val="22"/>
              </w:rPr>
              <w:t>[</w:t>
            </w:r>
            <w:r>
              <w:rPr>
                <w:i/>
                <w:sz w:val="22"/>
              </w:rPr>
              <w:t>Example</w:t>
            </w:r>
            <w:r>
              <w:rPr>
                <w:sz w:val="22"/>
              </w:rPr>
              <w:t>: 10 - 10%</w:t>
            </w:r>
          </w:p>
        </w:tc>
      </w:tr>
    </w:tbl>
    <w:p>
      <w:pPr>
        <w:spacing w:after="0"/>
        <w:rPr>
          <w:sz w:val="22"/>
        </w:rPr>
        <w:sectPr>
          <w:footerReference w:type="even" r:id="rId56"/>
          <w:footerReference w:type="default" r:id="rId57"/>
          <w:pgSz w:w="12240" w:h="15840"/>
          <w:pgMar w:footer="746" w:header="761" w:top="1340" w:bottom="940" w:left="860" w:right="700"/>
          <w:pgNumType w:start="1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3" w:hRule="atLeast"/>
        </w:trPr>
        <w:tc>
          <w:tcPr>
            <w:tcW w:w="2062" w:type="dxa"/>
            <w:vMerge w:val="restart"/>
          </w:tcPr>
          <w:p>
            <w:pPr>
              <w:pStyle w:val="TableParagraph"/>
              <w:spacing w:before="0"/>
              <w:ind w:left="0"/>
              <w:rPr>
                <w:rFonts w:ascii="Times New Roman"/>
                <w:sz w:val="22"/>
              </w:rPr>
            </w:pPr>
          </w:p>
        </w:tc>
        <w:tc>
          <w:tcPr>
            <w:tcW w:w="8250" w:type="dxa"/>
            <w:tcBorders>
              <w:bottom w:val="nil"/>
            </w:tcBorders>
          </w:tcPr>
          <w:p>
            <w:pPr>
              <w:pStyle w:val="TableParagraph"/>
              <w:spacing w:line="264" w:lineRule="exact"/>
              <w:rPr>
                <w:sz w:val="22"/>
              </w:rPr>
            </w:pPr>
            <w:r>
              <w:rPr>
                <w:sz w:val="22"/>
              </w:rPr>
              <w:t>20 - 20%</w:t>
            </w:r>
          </w:p>
        </w:tc>
      </w:tr>
      <w:tr>
        <w:trPr>
          <w:trHeight w:val="258" w:hRule="atLeast"/>
        </w:trPr>
        <w:tc>
          <w:tcPr>
            <w:tcW w:w="2062" w:type="dxa"/>
            <w:vMerge/>
            <w:tcBorders>
              <w:top w:val="nil"/>
            </w:tcBorders>
          </w:tcPr>
          <w:p>
            <w:pPr>
              <w:rPr>
                <w:sz w:val="2"/>
                <w:szCs w:val="2"/>
              </w:rPr>
            </w:pPr>
          </w:p>
        </w:tc>
        <w:tc>
          <w:tcPr>
            <w:tcW w:w="8250" w:type="dxa"/>
            <w:tcBorders>
              <w:top w:val="nil"/>
              <w:bottom w:val="nil"/>
            </w:tcBorders>
          </w:tcPr>
          <w:p>
            <w:pPr>
              <w:pStyle w:val="TableParagraph"/>
              <w:spacing w:line="239" w:lineRule="exact" w:before="0"/>
              <w:rPr>
                <w:sz w:val="22"/>
              </w:rPr>
            </w:pPr>
            <w:r>
              <w:rPr>
                <w:w w:val="100"/>
                <w:sz w:val="22"/>
              </w:rPr>
              <w:t>…</w:t>
            </w:r>
          </w:p>
        </w:tc>
      </w:tr>
      <w:tr>
        <w:trPr>
          <w:trHeight w:val="258" w:hRule="atLeast"/>
        </w:trPr>
        <w:tc>
          <w:tcPr>
            <w:tcW w:w="2062" w:type="dxa"/>
            <w:vMerge/>
            <w:tcBorders>
              <w:top w:val="nil"/>
            </w:tcBorders>
          </w:tcPr>
          <w:p>
            <w:pPr>
              <w:rPr>
                <w:sz w:val="2"/>
                <w:szCs w:val="2"/>
              </w:rPr>
            </w:pPr>
          </w:p>
        </w:tc>
        <w:tc>
          <w:tcPr>
            <w:tcW w:w="8250" w:type="dxa"/>
            <w:tcBorders>
              <w:top w:val="nil"/>
              <w:bottom w:val="nil"/>
            </w:tcBorders>
          </w:tcPr>
          <w:p>
            <w:pPr>
              <w:pStyle w:val="TableParagraph"/>
              <w:spacing w:line="239" w:lineRule="exact" w:before="0"/>
              <w:rPr>
                <w:sz w:val="22"/>
              </w:rPr>
            </w:pPr>
            <w:r>
              <w:rPr>
                <w:sz w:val="22"/>
              </w:rPr>
              <w:t>100 - 100%</w:t>
            </w:r>
          </w:p>
        </w:tc>
      </w:tr>
      <w:tr>
        <w:trPr>
          <w:trHeight w:val="257" w:hRule="atLeast"/>
        </w:trPr>
        <w:tc>
          <w:tcPr>
            <w:tcW w:w="2062" w:type="dxa"/>
            <w:vMerge/>
            <w:tcBorders>
              <w:top w:val="nil"/>
            </w:tcBorders>
          </w:tcPr>
          <w:p>
            <w:pPr>
              <w:rPr>
                <w:sz w:val="2"/>
                <w:szCs w:val="2"/>
              </w:rPr>
            </w:pPr>
          </w:p>
        </w:tc>
        <w:tc>
          <w:tcPr>
            <w:tcW w:w="8250" w:type="dxa"/>
            <w:tcBorders>
              <w:top w:val="nil"/>
              <w:bottom w:val="nil"/>
            </w:tcBorders>
          </w:tcPr>
          <w:p>
            <w:pPr>
              <w:pStyle w:val="TableParagraph"/>
              <w:spacing w:line="238" w:lineRule="exact" w:before="0"/>
              <w:rPr>
                <w:sz w:val="22"/>
              </w:rPr>
            </w:pPr>
            <w:r>
              <w:rPr>
                <w:w w:val="100"/>
                <w:sz w:val="22"/>
              </w:rPr>
              <w:t>…</w:t>
            </w:r>
          </w:p>
        </w:tc>
      </w:tr>
      <w:tr>
        <w:trPr>
          <w:trHeight w:val="392" w:hRule="atLeast"/>
        </w:trPr>
        <w:tc>
          <w:tcPr>
            <w:tcW w:w="2062" w:type="dxa"/>
            <w:vMerge/>
            <w:tcBorders>
              <w:top w:val="nil"/>
            </w:tcBorders>
          </w:tcPr>
          <w:p>
            <w:pPr>
              <w:rPr>
                <w:sz w:val="2"/>
                <w:szCs w:val="2"/>
              </w:rPr>
            </w:pPr>
          </w:p>
        </w:tc>
        <w:tc>
          <w:tcPr>
            <w:tcW w:w="8250" w:type="dxa"/>
            <w:tcBorders>
              <w:top w:val="nil"/>
              <w:bottom w:val="nil"/>
            </w:tcBorders>
          </w:tcPr>
          <w:p>
            <w:pPr>
              <w:pStyle w:val="TableParagraph"/>
              <w:spacing w:line="242" w:lineRule="exact" w:before="0"/>
              <w:rPr>
                <w:sz w:val="22"/>
              </w:rPr>
            </w:pPr>
            <w:r>
              <w:rPr>
                <w:sz w:val="22"/>
              </w:rPr>
              <w:t>400 - 400%</w:t>
            </w:r>
          </w:p>
        </w:tc>
      </w:tr>
      <w:tr>
        <w:trPr>
          <w:trHeight w:val="527" w:hRule="atLeast"/>
        </w:trPr>
        <w:tc>
          <w:tcPr>
            <w:tcW w:w="2062" w:type="dxa"/>
            <w:vMerge/>
            <w:tcBorders>
              <w:top w:val="nil"/>
            </w:tcBorders>
          </w:tcPr>
          <w:p>
            <w:pPr>
              <w:rPr>
                <w:sz w:val="2"/>
                <w:szCs w:val="2"/>
              </w:rPr>
            </w:pPr>
          </w:p>
        </w:tc>
        <w:tc>
          <w:tcPr>
            <w:tcW w:w="8250" w:type="dxa"/>
            <w:tcBorders>
              <w:top w:val="nil"/>
              <w:bottom w:val="nil"/>
            </w:tcBorders>
          </w:tcPr>
          <w:p>
            <w:pPr>
              <w:pStyle w:val="TableParagraph"/>
              <w:spacing w:before="109"/>
              <w:rPr>
                <w:sz w:val="22"/>
              </w:rPr>
            </w:pPr>
            <w:r>
              <w:rPr>
                <w:i/>
                <w:sz w:val="22"/>
              </w:rPr>
              <w:t>end example</w:t>
            </w:r>
            <w:r>
              <w:rPr>
                <w:sz w:val="22"/>
              </w:rPr>
              <w:t>]</w:t>
            </w:r>
          </w:p>
        </w:tc>
      </w:tr>
      <w:tr>
        <w:trPr>
          <w:trHeight w:val="505" w:hRule="atLeast"/>
        </w:trPr>
        <w:tc>
          <w:tcPr>
            <w:tcW w:w="2062" w:type="dxa"/>
            <w:vMerge/>
            <w:tcBorders>
              <w:top w:val="nil"/>
            </w:tcBorders>
          </w:tcPr>
          <w:p>
            <w:pPr>
              <w:rPr>
                <w:sz w:val="2"/>
                <w:szCs w:val="2"/>
              </w:rPr>
            </w:pPr>
          </w:p>
        </w:tc>
        <w:tc>
          <w:tcPr>
            <w:tcW w:w="8250" w:type="dxa"/>
            <w:tcBorders>
              <w:top w:val="nil"/>
              <w:bottom w:val="nil"/>
            </w:tcBorders>
          </w:tcPr>
          <w:p>
            <w:pPr>
              <w:pStyle w:val="TableParagraph"/>
              <w:spacing w:before="109"/>
              <w:rPr>
                <w:sz w:val="22"/>
              </w:rPr>
            </w:pPr>
            <w:r>
              <w:rPr>
                <w:sz w:val="22"/>
              </w:rPr>
              <w:t>Applies for worksheets only; zero implies the automatic setting.</w:t>
            </w:r>
          </w:p>
        </w:tc>
      </w:tr>
      <w:tr>
        <w:trPr>
          <w:trHeight w:val="415" w:hRule="atLeast"/>
        </w:trPr>
        <w:tc>
          <w:tcPr>
            <w:tcW w:w="2062" w:type="dxa"/>
            <w:vMerge/>
            <w:tcBorders>
              <w:top w:val="nil"/>
            </w:tcBorders>
          </w:tcPr>
          <w:p>
            <w:pPr>
              <w:rPr>
                <w:sz w:val="2"/>
                <w:szCs w:val="2"/>
              </w:rPr>
            </w:pPr>
          </w:p>
        </w:tc>
        <w:tc>
          <w:tcPr>
            <w:tcW w:w="8250" w:type="dxa"/>
            <w:tcBorders>
              <w:top w:val="nil"/>
              <w:bottom w:val="nil"/>
            </w:tcBorders>
          </w:tcPr>
          <w:p>
            <w:pPr>
              <w:pStyle w:val="TableParagraph"/>
              <w:spacing w:line="264" w:lineRule="exact" w:before="131"/>
              <w:rPr>
                <w:rFonts w:ascii="Cambria"/>
                <w:sz w:val="22"/>
              </w:rPr>
            </w:pPr>
            <w:r>
              <w:rPr>
                <w:sz w:val="22"/>
              </w:rPr>
              <w:t>The possible values for this attribute are defined by the W3C XML Schema </w:t>
            </w:r>
            <w:r>
              <w:rPr>
                <w:rFonts w:ascii="Cambria"/>
                <w:sz w:val="22"/>
              </w:rPr>
              <w:t>unsignedInt</w:t>
            </w:r>
          </w:p>
        </w:tc>
      </w:tr>
      <w:tr>
        <w:trPr>
          <w:trHeight w:val="289" w:hRule="atLeast"/>
        </w:trPr>
        <w:tc>
          <w:tcPr>
            <w:tcW w:w="2062" w:type="dxa"/>
            <w:vMerge/>
            <w:tcBorders>
              <w:top w:val="nil"/>
            </w:tcBorders>
          </w:tcPr>
          <w:p>
            <w:pPr>
              <w:rPr>
                <w:sz w:val="2"/>
                <w:szCs w:val="2"/>
              </w:rPr>
            </w:pPr>
          </w:p>
        </w:tc>
        <w:tc>
          <w:tcPr>
            <w:tcW w:w="8250" w:type="dxa"/>
            <w:tcBorders>
              <w:top w:val="nil"/>
            </w:tcBorders>
          </w:tcPr>
          <w:p>
            <w:pPr>
              <w:pStyle w:val="TableParagraph"/>
              <w:spacing w:line="244" w:lineRule="exact" w:before="0"/>
              <w:rPr>
                <w:sz w:val="22"/>
              </w:rPr>
            </w:pPr>
            <w:r>
              <w:rPr>
                <w:sz w:val="22"/>
              </w:rPr>
              <w:t>datatype.</w:t>
            </w:r>
          </w:p>
        </w:tc>
      </w:tr>
      <w:tr>
        <w:trPr>
          <w:trHeight w:val="299" w:hRule="atLeast"/>
        </w:trPr>
        <w:tc>
          <w:tcPr>
            <w:tcW w:w="2062" w:type="dxa"/>
            <w:tcBorders>
              <w:bottom w:val="nil"/>
            </w:tcBorders>
          </w:tcPr>
          <w:p>
            <w:pPr>
              <w:pStyle w:val="TableParagraph"/>
              <w:spacing w:line="236" w:lineRule="exact" w:before="43"/>
              <w:rPr>
                <w:rFonts w:ascii="Cambria"/>
                <w:sz w:val="22"/>
              </w:rPr>
            </w:pPr>
            <w:r>
              <w:rPr>
                <w:rFonts w:ascii="Cambria"/>
                <w:sz w:val="22"/>
              </w:rPr>
              <w:t>zoomScalePageLay</w:t>
            </w:r>
          </w:p>
        </w:tc>
        <w:tc>
          <w:tcPr>
            <w:tcW w:w="8250" w:type="dxa"/>
            <w:tcBorders>
              <w:bottom w:val="nil"/>
            </w:tcBorders>
          </w:tcPr>
          <w:p>
            <w:pPr>
              <w:pStyle w:val="TableParagraph"/>
              <w:spacing w:line="239" w:lineRule="exact"/>
              <w:rPr>
                <w:sz w:val="22"/>
              </w:rPr>
            </w:pPr>
            <w:r>
              <w:rPr>
                <w:sz w:val="22"/>
              </w:rPr>
              <w:t>Zoom magnification to use when in page layout view (</w:t>
            </w:r>
            <w:hyperlink w:history="true" w:anchor="_bookmark891">
              <w:r>
                <w:rPr>
                  <w:sz w:val="22"/>
                </w:rPr>
                <w:t>§18.18.69</w:t>
              </w:r>
            </w:hyperlink>
            <w:r>
              <w:rPr>
                <w:sz w:val="22"/>
              </w:rPr>
              <w:t>), representing percent</w:t>
            </w:r>
          </w:p>
        </w:tc>
      </w:tr>
      <w:tr>
        <w:trPr>
          <w:trHeight w:val="292" w:hRule="atLeast"/>
        </w:trPr>
        <w:tc>
          <w:tcPr>
            <w:tcW w:w="2062" w:type="dxa"/>
            <w:tcBorders>
              <w:top w:val="nil"/>
              <w:bottom w:val="nil"/>
            </w:tcBorders>
          </w:tcPr>
          <w:p>
            <w:pPr>
              <w:pStyle w:val="TableParagraph"/>
              <w:spacing w:line="267" w:lineRule="exact" w:before="0"/>
              <w:rPr>
                <w:sz w:val="22"/>
              </w:rPr>
            </w:pPr>
            <w:r>
              <w:rPr>
                <w:rFonts w:ascii="Cambria"/>
                <w:sz w:val="22"/>
              </w:rPr>
              <w:t>outView </w:t>
            </w:r>
            <w:r>
              <w:rPr>
                <w:sz w:val="22"/>
              </w:rPr>
              <w:t>(Zoom</w:t>
            </w:r>
          </w:p>
        </w:tc>
        <w:tc>
          <w:tcPr>
            <w:tcW w:w="8250" w:type="dxa"/>
            <w:tcBorders>
              <w:top w:val="nil"/>
              <w:bottom w:val="nil"/>
            </w:tcBorders>
          </w:tcPr>
          <w:p>
            <w:pPr>
              <w:pStyle w:val="TableParagraph"/>
              <w:spacing w:line="263" w:lineRule="exact" w:before="10"/>
              <w:rPr>
                <w:sz w:val="22"/>
              </w:rPr>
            </w:pPr>
            <w:r>
              <w:rPr>
                <w:sz w:val="22"/>
              </w:rPr>
              <w:t>values. This attribute is restricted to values ranging from 10 to 400. Horizontal &amp; Vertical</w:t>
            </w:r>
          </w:p>
        </w:tc>
      </w:tr>
      <w:tr>
        <w:trPr>
          <w:trHeight w:val="267" w:hRule="atLeast"/>
        </w:trPr>
        <w:tc>
          <w:tcPr>
            <w:tcW w:w="2062" w:type="dxa"/>
            <w:tcBorders>
              <w:top w:val="nil"/>
              <w:bottom w:val="nil"/>
            </w:tcBorders>
          </w:tcPr>
          <w:p>
            <w:pPr>
              <w:pStyle w:val="TableParagraph"/>
              <w:spacing w:line="243" w:lineRule="exact" w:before="0"/>
              <w:rPr>
                <w:sz w:val="22"/>
              </w:rPr>
            </w:pPr>
            <w:r>
              <w:rPr>
                <w:sz w:val="22"/>
              </w:rPr>
              <w:t>Scale Page Layout</w:t>
            </w:r>
          </w:p>
        </w:tc>
        <w:tc>
          <w:tcPr>
            <w:tcW w:w="8250" w:type="dxa"/>
            <w:tcBorders>
              <w:top w:val="nil"/>
              <w:bottom w:val="nil"/>
            </w:tcBorders>
          </w:tcPr>
          <w:p>
            <w:pPr>
              <w:pStyle w:val="TableParagraph"/>
              <w:spacing w:line="248" w:lineRule="exact" w:before="0"/>
              <w:rPr>
                <w:sz w:val="22"/>
              </w:rPr>
            </w:pPr>
            <w:r>
              <w:rPr>
                <w:sz w:val="22"/>
              </w:rPr>
              <w:t>scale together.</w:t>
            </w:r>
          </w:p>
        </w:tc>
      </w:tr>
      <w:tr>
        <w:trPr>
          <w:trHeight w:val="268" w:hRule="atLeast"/>
        </w:trPr>
        <w:tc>
          <w:tcPr>
            <w:tcW w:w="2062" w:type="dxa"/>
            <w:tcBorders>
              <w:top w:val="nil"/>
              <w:bottom w:val="nil"/>
            </w:tcBorders>
          </w:tcPr>
          <w:p>
            <w:pPr>
              <w:pStyle w:val="TableParagraph"/>
              <w:spacing w:line="244" w:lineRule="exact" w:before="0"/>
              <w:rPr>
                <w:sz w:val="22"/>
              </w:rPr>
            </w:pPr>
            <w:r>
              <w:rPr>
                <w:sz w:val="22"/>
              </w:rPr>
              <w:t>View)</w:t>
            </w:r>
          </w:p>
        </w:tc>
        <w:tc>
          <w:tcPr>
            <w:tcW w:w="8250" w:type="dxa"/>
            <w:tcBorders>
              <w:top w:val="nil"/>
              <w:bottom w:val="nil"/>
            </w:tcBorders>
          </w:tcPr>
          <w:p>
            <w:pPr>
              <w:pStyle w:val="TableParagraph"/>
              <w:spacing w:before="0"/>
              <w:ind w:left="0"/>
              <w:rPr>
                <w:rFonts w:ascii="Times New Roman"/>
                <w:sz w:val="18"/>
              </w:rPr>
            </w:pPr>
          </w:p>
        </w:tc>
      </w:tr>
      <w:tr>
        <w:trPr>
          <w:trHeight w:val="408"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53" w:lineRule="exact" w:before="0"/>
              <w:rPr>
                <w:sz w:val="22"/>
              </w:rPr>
            </w:pPr>
            <w:r>
              <w:rPr>
                <w:sz w:val="22"/>
              </w:rPr>
              <w:t>[</w:t>
            </w:r>
            <w:r>
              <w:rPr>
                <w:i/>
                <w:sz w:val="22"/>
              </w:rPr>
              <w:t>Example</w:t>
            </w:r>
            <w:r>
              <w:rPr>
                <w:sz w:val="22"/>
              </w:rPr>
              <w:t>:</w:t>
            </w:r>
          </w:p>
        </w:tc>
      </w:tr>
      <w:tr>
        <w:trPr>
          <w:trHeight w:val="403"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4"/>
              <w:rPr>
                <w:sz w:val="22"/>
              </w:rPr>
            </w:pPr>
            <w:r>
              <w:rPr>
                <w:sz w:val="22"/>
              </w:rPr>
              <w:t>10 - 10%</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20 - 20%</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w w:val="100"/>
                <w:sz w:val="22"/>
              </w:rPr>
              <w:t>…</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100 - 100%</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w w:val="100"/>
                <w:sz w:val="22"/>
              </w:rPr>
              <w:t>…</w:t>
            </w:r>
          </w:p>
        </w:tc>
      </w:tr>
      <w:tr>
        <w:trPr>
          <w:trHeight w:val="402"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400 - 400%</w:t>
            </w:r>
          </w:p>
        </w:tc>
      </w:tr>
      <w:tr>
        <w:trPr>
          <w:trHeight w:val="536"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3"/>
              <w:rPr>
                <w:sz w:val="22"/>
              </w:rPr>
            </w:pPr>
            <w:r>
              <w:rPr>
                <w:i/>
                <w:sz w:val="22"/>
              </w:rPr>
              <w:t>end example</w:t>
            </w:r>
            <w:r>
              <w:rPr>
                <w:sz w:val="22"/>
              </w:rPr>
              <w:t>]</w:t>
            </w:r>
          </w:p>
        </w:tc>
      </w:tr>
      <w:tr>
        <w:trPr>
          <w:trHeight w:val="515"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4"/>
              <w:rPr>
                <w:sz w:val="22"/>
              </w:rPr>
            </w:pPr>
            <w:r>
              <w:rPr>
                <w:sz w:val="22"/>
              </w:rPr>
              <w:t>Applies for worksheets only; zero implies the automatic setting.</w:t>
            </w:r>
          </w:p>
        </w:tc>
      </w:tr>
      <w:tr>
        <w:trPr>
          <w:trHeight w:val="425"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36"/>
              <w:rPr>
                <w:rFonts w:ascii="Cambria"/>
                <w:sz w:val="22"/>
              </w:rPr>
            </w:pPr>
            <w:r>
              <w:rPr>
                <w:sz w:val="22"/>
              </w:rPr>
              <w:t>The possible values for this attribute are defined by the W3C XML Schema </w:t>
            </w:r>
            <w:r>
              <w:rPr>
                <w:rFonts w:ascii="Cambria"/>
                <w:sz w:val="22"/>
              </w:rPr>
              <w:t>unsignedInt</w:t>
            </w:r>
          </w:p>
        </w:tc>
      </w:tr>
      <w:tr>
        <w:trPr>
          <w:trHeight w:val="295"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9" w:lineRule="exact" w:before="0"/>
              <w:rPr>
                <w:sz w:val="22"/>
              </w:rPr>
            </w:pPr>
            <w:r>
              <w:rPr>
                <w:sz w:val="22"/>
              </w:rPr>
              <w:t>datatype.</w:t>
            </w:r>
          </w:p>
        </w:tc>
      </w:tr>
      <w:tr>
        <w:trPr>
          <w:trHeight w:val="298" w:hRule="atLeast"/>
        </w:trPr>
        <w:tc>
          <w:tcPr>
            <w:tcW w:w="2062" w:type="dxa"/>
            <w:tcBorders>
              <w:bottom w:val="nil"/>
            </w:tcBorders>
          </w:tcPr>
          <w:p>
            <w:pPr>
              <w:pStyle w:val="TableParagraph"/>
              <w:spacing w:line="236" w:lineRule="exact" w:before="42"/>
              <w:rPr>
                <w:rFonts w:ascii="Cambria"/>
                <w:sz w:val="22"/>
              </w:rPr>
            </w:pPr>
            <w:r>
              <w:rPr>
                <w:rFonts w:ascii="Cambria"/>
                <w:sz w:val="22"/>
              </w:rPr>
              <w:t>zoomScaleSheetLa</w:t>
            </w:r>
          </w:p>
        </w:tc>
        <w:tc>
          <w:tcPr>
            <w:tcW w:w="8250" w:type="dxa"/>
            <w:tcBorders>
              <w:bottom w:val="nil"/>
            </w:tcBorders>
          </w:tcPr>
          <w:p>
            <w:pPr>
              <w:pStyle w:val="TableParagraph"/>
              <w:spacing w:line="239" w:lineRule="exact"/>
              <w:rPr>
                <w:sz w:val="22"/>
              </w:rPr>
            </w:pPr>
            <w:r>
              <w:rPr>
                <w:sz w:val="22"/>
              </w:rPr>
              <w:t>Zoom magnification to use when in page break preview (§</w:t>
            </w:r>
            <w:hyperlink w:history="true" w:anchor="_bookmark891">
              <w:r>
                <w:rPr>
                  <w:sz w:val="22"/>
                </w:rPr>
                <w:t>18.18.69</w:t>
              </w:r>
            </w:hyperlink>
            <w:r>
              <w:rPr>
                <w:sz w:val="22"/>
              </w:rPr>
              <w:t>), representing</w:t>
            </w:r>
          </w:p>
        </w:tc>
      </w:tr>
      <w:tr>
        <w:trPr>
          <w:trHeight w:val="292" w:hRule="atLeast"/>
        </w:trPr>
        <w:tc>
          <w:tcPr>
            <w:tcW w:w="2062" w:type="dxa"/>
            <w:tcBorders>
              <w:top w:val="nil"/>
              <w:bottom w:val="nil"/>
            </w:tcBorders>
          </w:tcPr>
          <w:p>
            <w:pPr>
              <w:pStyle w:val="TableParagraph"/>
              <w:spacing w:line="267" w:lineRule="exact" w:before="0"/>
              <w:rPr>
                <w:sz w:val="22"/>
              </w:rPr>
            </w:pPr>
            <w:r>
              <w:rPr>
                <w:rFonts w:ascii="Cambria"/>
                <w:sz w:val="22"/>
              </w:rPr>
              <w:t>youtView </w:t>
            </w:r>
            <w:r>
              <w:rPr>
                <w:sz w:val="22"/>
              </w:rPr>
              <w:t>(Zoom</w:t>
            </w:r>
          </w:p>
        </w:tc>
        <w:tc>
          <w:tcPr>
            <w:tcW w:w="8250" w:type="dxa"/>
            <w:tcBorders>
              <w:top w:val="nil"/>
              <w:bottom w:val="nil"/>
            </w:tcBorders>
          </w:tcPr>
          <w:p>
            <w:pPr>
              <w:pStyle w:val="TableParagraph"/>
              <w:spacing w:line="263" w:lineRule="exact" w:before="10"/>
              <w:rPr>
                <w:sz w:val="22"/>
              </w:rPr>
            </w:pPr>
            <w:r>
              <w:rPr>
                <w:sz w:val="22"/>
              </w:rPr>
              <w:t>percent values. This attribute is restricted to values ranging from 10 to 400. Horizontal &amp;</w:t>
            </w:r>
          </w:p>
        </w:tc>
      </w:tr>
      <w:tr>
        <w:trPr>
          <w:trHeight w:val="268" w:hRule="atLeast"/>
        </w:trPr>
        <w:tc>
          <w:tcPr>
            <w:tcW w:w="2062" w:type="dxa"/>
            <w:tcBorders>
              <w:top w:val="nil"/>
              <w:bottom w:val="nil"/>
            </w:tcBorders>
          </w:tcPr>
          <w:p>
            <w:pPr>
              <w:pStyle w:val="TableParagraph"/>
              <w:spacing w:line="243" w:lineRule="exact" w:before="0"/>
              <w:rPr>
                <w:sz w:val="22"/>
              </w:rPr>
            </w:pPr>
            <w:r>
              <w:rPr>
                <w:sz w:val="22"/>
              </w:rPr>
              <w:t>Scale Page Break</w:t>
            </w:r>
          </w:p>
        </w:tc>
        <w:tc>
          <w:tcPr>
            <w:tcW w:w="8250" w:type="dxa"/>
            <w:tcBorders>
              <w:top w:val="nil"/>
              <w:bottom w:val="nil"/>
            </w:tcBorders>
          </w:tcPr>
          <w:p>
            <w:pPr>
              <w:pStyle w:val="TableParagraph"/>
              <w:spacing w:line="249" w:lineRule="exact" w:before="0"/>
              <w:rPr>
                <w:sz w:val="22"/>
              </w:rPr>
            </w:pPr>
            <w:r>
              <w:rPr>
                <w:sz w:val="22"/>
              </w:rPr>
              <w:t>Vertical scale together.</w:t>
            </w:r>
          </w:p>
        </w:tc>
      </w:tr>
      <w:tr>
        <w:trPr>
          <w:trHeight w:val="267" w:hRule="atLeast"/>
        </w:trPr>
        <w:tc>
          <w:tcPr>
            <w:tcW w:w="2062" w:type="dxa"/>
            <w:tcBorders>
              <w:top w:val="nil"/>
              <w:bottom w:val="nil"/>
            </w:tcBorders>
          </w:tcPr>
          <w:p>
            <w:pPr>
              <w:pStyle w:val="TableParagraph"/>
              <w:spacing w:line="243" w:lineRule="exact" w:before="0"/>
              <w:rPr>
                <w:sz w:val="22"/>
              </w:rPr>
            </w:pPr>
            <w:r>
              <w:rPr>
                <w:sz w:val="22"/>
              </w:rPr>
              <w:t>Preview)</w:t>
            </w:r>
          </w:p>
        </w:tc>
        <w:tc>
          <w:tcPr>
            <w:tcW w:w="8250" w:type="dxa"/>
            <w:tcBorders>
              <w:top w:val="nil"/>
              <w:bottom w:val="nil"/>
            </w:tcBorders>
          </w:tcPr>
          <w:p>
            <w:pPr>
              <w:pStyle w:val="TableParagraph"/>
              <w:spacing w:before="0"/>
              <w:ind w:left="0"/>
              <w:rPr>
                <w:rFonts w:ascii="Times New Roman"/>
                <w:sz w:val="18"/>
              </w:rPr>
            </w:pPr>
          </w:p>
        </w:tc>
      </w:tr>
      <w:tr>
        <w:trPr>
          <w:trHeight w:val="273" w:hRule="atLeast"/>
        </w:trPr>
        <w:tc>
          <w:tcPr>
            <w:tcW w:w="2062" w:type="dxa"/>
            <w:tcBorders>
              <w:top w:val="nil"/>
              <w:bottom w:val="nil"/>
            </w:tcBorders>
          </w:tcPr>
          <w:p>
            <w:pPr>
              <w:pStyle w:val="TableParagraph"/>
              <w:spacing w:before="0"/>
              <w:ind w:left="0"/>
              <w:rPr>
                <w:rFonts w:ascii="Times New Roman"/>
                <w:sz w:val="20"/>
              </w:rPr>
            </w:pPr>
          </w:p>
        </w:tc>
        <w:tc>
          <w:tcPr>
            <w:tcW w:w="8250" w:type="dxa"/>
            <w:tcBorders>
              <w:top w:val="nil"/>
              <w:bottom w:val="nil"/>
            </w:tcBorders>
          </w:tcPr>
          <w:p>
            <w:pPr>
              <w:pStyle w:val="TableParagraph"/>
              <w:spacing w:line="253" w:lineRule="exact" w:before="0"/>
              <w:rPr>
                <w:sz w:val="22"/>
              </w:rPr>
            </w:pPr>
            <w:r>
              <w:rPr>
                <w:sz w:val="22"/>
              </w:rPr>
              <w:t>[</w:t>
            </w:r>
            <w:r>
              <w:rPr>
                <w:i/>
                <w:sz w:val="22"/>
              </w:rPr>
              <w:t>Example</w:t>
            </w:r>
            <w:r>
              <w:rPr>
                <w:sz w:val="22"/>
              </w:rPr>
              <w:t>:</w:t>
            </w:r>
          </w:p>
        </w:tc>
      </w:tr>
      <w:tr>
        <w:trPr>
          <w:trHeight w:val="269"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10 - 10%</w:t>
            </w:r>
          </w:p>
        </w:tc>
      </w:tr>
      <w:tr>
        <w:trPr>
          <w:trHeight w:val="269"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20 - 20%</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w w:val="100"/>
                <w:sz w:val="22"/>
              </w:rPr>
              <w:t>…</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100 - 100%</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w w:val="100"/>
                <w:sz w:val="22"/>
              </w:rPr>
              <w:t>…</w:t>
            </w:r>
          </w:p>
        </w:tc>
      </w:tr>
      <w:tr>
        <w:trPr>
          <w:trHeight w:val="401"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400 - 400%</w:t>
            </w:r>
          </w:p>
        </w:tc>
      </w:tr>
      <w:tr>
        <w:trPr>
          <w:trHeight w:val="696"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before="113"/>
              <w:rPr>
                <w:sz w:val="22"/>
              </w:rPr>
            </w:pPr>
            <w:r>
              <w:rPr>
                <w:i/>
                <w:sz w:val="22"/>
              </w:rPr>
              <w:t>end example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Applies for worksheet only; zero implies the automatic setting.</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6" w:lineRule="auto" w:before="57"/>
        <w:ind w:left="220" w:right="534"/>
      </w:pPr>
      <w:r>
        <w:rPr/>
        <w:t>[</w:t>
      </w:r>
      <w:r>
        <w:rPr>
          <w:i/>
        </w:rPr>
        <w:t>Note</w:t>
      </w:r>
      <w:r>
        <w:rPr/>
        <w:t>: The W3C XML Schema definition of this element’s content model (</w:t>
      </w:r>
      <w:r>
        <w:rPr>
          <w:color w:val="5F5F5F"/>
          <w:u w:val="single" w:color="5F5F5F"/>
        </w:rPr>
        <w:t>CT_SheetView</w:t>
      </w:r>
      <w:r>
        <w:rPr/>
        <w:t>) is located in §A.2. </w:t>
      </w:r>
      <w:r>
        <w:rPr>
          <w:i/>
        </w:rPr>
        <w:t>end </w:t>
      </w:r>
      <w:r>
        <w:rPr>
          <w:i/>
        </w:rPr>
        <w:t>note</w:t>
      </w:r>
      <w:r>
        <w:rPr/>
        <w:t>]</w:t>
      </w:r>
    </w:p>
    <w:p>
      <w:pPr>
        <w:pStyle w:val="BodyText"/>
        <w:spacing w:before="5"/>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88 sheetViews (Sheet Views)" w:id="365"/>
      <w:bookmarkEnd w:id="365"/>
      <w:r>
        <w:rPr/>
      </w:r>
      <w:bookmarkStart w:name="_bookmark120" w:id="366"/>
      <w:bookmarkEnd w:id="366"/>
      <w:r>
        <w:rPr/>
      </w:r>
      <w:bookmarkStart w:name="_bookmark120" w:id="367"/>
      <w:bookmarkEnd w:id="367"/>
      <w:r>
        <w:rPr>
          <w:color w:val="4F81BC"/>
        </w:rPr>
        <w:t>sheet</w:t>
      </w:r>
      <w:r>
        <w:rPr>
          <w:color w:val="4F81BC"/>
        </w:rPr>
        <w:t>Views (Sheet</w:t>
      </w:r>
      <w:r>
        <w:rPr>
          <w:color w:val="4F81BC"/>
          <w:spacing w:val="-1"/>
        </w:rPr>
        <w:t> </w:t>
      </w:r>
      <w:r>
        <w:rPr>
          <w:color w:val="4F81BC"/>
        </w:rPr>
        <w:t>Views)</w:t>
      </w:r>
    </w:p>
    <w:p>
      <w:pPr>
        <w:pStyle w:val="BodyText"/>
        <w:spacing w:line="456" w:lineRule="auto" w:before="123"/>
        <w:ind w:left="220" w:right="7931"/>
      </w:pPr>
      <w:r>
        <w:rPr/>
        <w:t>Worksheet views collection. [</w:t>
      </w:r>
      <w:r>
        <w:rPr>
          <w:i/>
        </w:rPr>
        <w:t>Example</w:t>
      </w:r>
      <w:r>
        <w:rPr/>
        <w:t>:</w:t>
      </w:r>
    </w:p>
    <w:p>
      <w:pPr>
        <w:pStyle w:val="BodyText"/>
        <w:spacing w:line="276" w:lineRule="auto"/>
        <w:ind w:left="220" w:right="457"/>
      </w:pPr>
      <w:r>
        <w:rPr/>
        <w:t>This example shows one sheet view definition. The definition indicates that the current sheet is the active/selected sheet, and that there is a split pane applied to the view. This definition also indicates for each of the four window panes of the split which cell is the active cell for that pane.</w:t>
      </w:r>
    </w:p>
    <w:p>
      <w:pPr>
        <w:pStyle w:val="BodyText"/>
        <w:spacing w:before="197"/>
        <w:ind w:left="508"/>
        <w:rPr>
          <w:rFonts w:ascii="Consolas"/>
        </w:rPr>
      </w:pPr>
      <w:r>
        <w:rPr>
          <w:rFonts w:ascii="Consolas"/>
        </w:rPr>
        <w:t>&lt;sheetViews&gt;</w:t>
      </w:r>
    </w:p>
    <w:p>
      <w:pPr>
        <w:pStyle w:val="BodyText"/>
        <w:spacing w:before="37"/>
        <w:ind w:left="750"/>
        <w:rPr>
          <w:rFonts w:ascii="Consolas"/>
        </w:rPr>
      </w:pPr>
      <w:r>
        <w:rPr>
          <w:rFonts w:ascii="Consolas"/>
        </w:rPr>
        <w:t>&lt;sheetView tabSelected="1" workbookViewId="0"&gt;</w:t>
      </w:r>
    </w:p>
    <w:p>
      <w:pPr>
        <w:pStyle w:val="BodyText"/>
        <w:spacing w:line="276" w:lineRule="auto" w:before="40"/>
        <w:ind w:left="1235" w:right="542" w:hanging="243"/>
        <w:rPr>
          <w:rFonts w:ascii="Consolas"/>
        </w:rPr>
      </w:pPr>
      <w:r>
        <w:rPr>
          <w:rFonts w:ascii="Consolas"/>
        </w:rPr>
        <w:t>&lt;pane xSplit="2310" ySplit="2070" topLeftCell="C1" activePane="bottomRight"/&gt;</w:t>
      </w:r>
    </w:p>
    <w:p>
      <w:pPr>
        <w:pStyle w:val="BodyText"/>
        <w:spacing w:before="1"/>
        <w:ind w:left="993"/>
        <w:rPr>
          <w:rFonts w:ascii="Consolas"/>
        </w:rPr>
      </w:pPr>
      <w:r>
        <w:rPr>
          <w:rFonts w:ascii="Consolas"/>
        </w:rPr>
        <w:t>&lt;selection/&gt;</w:t>
      </w:r>
    </w:p>
    <w:p>
      <w:pPr>
        <w:pStyle w:val="BodyText"/>
        <w:spacing w:before="37"/>
        <w:ind w:left="993"/>
        <w:rPr>
          <w:rFonts w:ascii="Consolas"/>
        </w:rPr>
      </w:pPr>
      <w:r>
        <w:rPr>
          <w:rFonts w:ascii="Consolas"/>
        </w:rPr>
        <w:t>&lt;selection pane="bottomLeft" activeCell="A6" sqref="A6"/&gt;</w:t>
      </w:r>
    </w:p>
    <w:p>
      <w:pPr>
        <w:pStyle w:val="BodyText"/>
        <w:spacing w:before="41"/>
        <w:ind w:left="993"/>
        <w:rPr>
          <w:rFonts w:ascii="Consolas"/>
        </w:rPr>
      </w:pPr>
      <w:r>
        <w:rPr>
          <w:rFonts w:ascii="Consolas"/>
        </w:rPr>
        <w:t>&lt;selection pane="topRight" activeCell="C1" sqref="C1"/&gt;</w:t>
      </w:r>
    </w:p>
    <w:p>
      <w:pPr>
        <w:pStyle w:val="BodyText"/>
        <w:spacing w:before="37"/>
        <w:ind w:left="993"/>
        <w:rPr>
          <w:rFonts w:ascii="Consolas"/>
        </w:rPr>
      </w:pPr>
      <w:r>
        <w:rPr>
          <w:rFonts w:ascii="Consolas"/>
        </w:rPr>
        <w:t>&lt;selection pane="bottomRight" activeCell="E13" sqref="E13"/&gt;</w:t>
      </w:r>
    </w:p>
    <w:p>
      <w:pPr>
        <w:pStyle w:val="BodyText"/>
        <w:spacing w:before="38"/>
        <w:ind w:left="750"/>
        <w:rPr>
          <w:rFonts w:ascii="Consolas"/>
        </w:rPr>
      </w:pPr>
      <w:r>
        <w:rPr>
          <w:rFonts w:ascii="Consolas"/>
        </w:rPr>
        <w:t>&lt;/sheetView&gt;</w:t>
      </w:r>
    </w:p>
    <w:p>
      <w:pPr>
        <w:pStyle w:val="BodyText"/>
        <w:spacing w:before="40"/>
        <w:ind w:left="508"/>
        <w:rPr>
          <w:rFonts w:ascii="Consolas"/>
        </w:rPr>
      </w:pPr>
      <w:r>
        <w:rPr>
          <w:rFonts w:ascii="Consolas"/>
        </w:rPr>
        <w:t>&lt;/sheetViews&gt;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448"/>
      </w:pPr>
      <w:r>
        <w:rPr/>
        <w:t>[</w:t>
      </w:r>
      <w:r>
        <w:rPr>
          <w:i/>
        </w:rPr>
        <w:t>Note</w:t>
      </w:r>
      <w:r>
        <w:rPr/>
        <w:t>: The W3C XML Schema definition of this element’s content model (</w:t>
      </w:r>
      <w:r>
        <w:rPr>
          <w:color w:val="5F5F5F"/>
          <w:u w:val="single" w:color="5F5F5F"/>
        </w:rPr>
        <w:t>CT_SheetViews</w:t>
      </w:r>
      <w:r>
        <w:rPr/>
        <w:t>) is located in §A.2. </w:t>
      </w:r>
      <w:r>
        <w:rPr>
          <w:i/>
        </w:rPr>
        <w:t>end </w:t>
      </w:r>
      <w:r>
        <w:rPr>
          <w:i/>
        </w:rPr>
        <w:t>note</w:t>
      </w:r>
      <w:r>
        <w:rPr/>
        <w:t>]</w:t>
      </w:r>
    </w:p>
    <w:p>
      <w:pPr>
        <w:pStyle w:val="BodyText"/>
        <w:spacing w:before="6"/>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89 sheetViews (Chart Sheet Views)" w:id="368"/>
      <w:bookmarkEnd w:id="368"/>
      <w:r>
        <w:rPr/>
      </w:r>
      <w:bookmarkStart w:name="_bookmark121" w:id="369"/>
      <w:bookmarkEnd w:id="369"/>
      <w:r>
        <w:rPr/>
      </w:r>
      <w:bookmarkStart w:name="_bookmark121" w:id="370"/>
      <w:bookmarkEnd w:id="370"/>
      <w:r>
        <w:rPr>
          <w:color w:val="4F81BC"/>
        </w:rPr>
        <w:t>sheet</w:t>
      </w:r>
      <w:r>
        <w:rPr>
          <w:color w:val="4F81BC"/>
        </w:rPr>
        <w:t>Views (Chart Sheet</w:t>
      </w:r>
      <w:r>
        <w:rPr>
          <w:color w:val="4F81BC"/>
          <w:spacing w:val="-2"/>
        </w:rPr>
        <w:t> </w:t>
      </w:r>
      <w:r>
        <w:rPr>
          <w:color w:val="4F81BC"/>
        </w:rPr>
        <w:t>Views)</w:t>
      </w:r>
    </w:p>
    <w:p>
      <w:pPr>
        <w:pStyle w:val="BodyText"/>
        <w:spacing w:before="121"/>
        <w:ind w:left="220"/>
      </w:pPr>
      <w:r>
        <w:rPr/>
        <w:t>This element specifies chart sheet views.</w:t>
      </w: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CT_ChartsheetViews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0 smartTags (Smart Tags)" w:id="371"/>
      <w:bookmarkEnd w:id="371"/>
      <w:r>
        <w:rPr/>
      </w:r>
      <w:bookmarkStart w:name="_bookmark122" w:id="372"/>
      <w:bookmarkEnd w:id="372"/>
      <w:r>
        <w:rPr/>
      </w:r>
      <w:bookmarkStart w:name="_bookmark122" w:id="373"/>
      <w:bookmarkEnd w:id="373"/>
      <w:r>
        <w:rPr>
          <w:color w:val="4F81BC"/>
        </w:rPr>
        <w:t>sma</w:t>
      </w:r>
      <w:r>
        <w:rPr>
          <w:color w:val="4F81BC"/>
        </w:rPr>
        <w:t>rtTags (Smart</w:t>
      </w:r>
      <w:r>
        <w:rPr>
          <w:color w:val="4F81BC"/>
          <w:spacing w:val="-3"/>
        </w:rPr>
        <w:t> </w:t>
      </w:r>
      <w:r>
        <w:rPr>
          <w:color w:val="4F81BC"/>
        </w:rPr>
        <w:t>Tags)</w:t>
      </w:r>
    </w:p>
    <w:p>
      <w:pPr>
        <w:pStyle w:val="BodyText"/>
        <w:spacing w:line="278" w:lineRule="auto" w:before="119"/>
        <w:ind w:left="220" w:right="880"/>
      </w:pPr>
      <w:r>
        <w:rPr/>
        <w:t>This collection expresses all smart tags associated with cells on this sheet. There can be multiple smart tags associated with a particular cell, and many cells with smart tags for a given worksheet.</w:t>
      </w:r>
    </w:p>
    <w:p>
      <w:pPr>
        <w:spacing w:after="0" w:line="278" w:lineRule="auto"/>
        <w:sectPr>
          <w:pgSz w:w="12240" w:h="15840"/>
          <w:pgMar w:header="761" w:footer="746" w:top="1340" w:bottom="940" w:left="860" w:right="700"/>
        </w:sectPr>
      </w:pPr>
    </w:p>
    <w:p>
      <w:pPr>
        <w:spacing w:before="150"/>
        <w:ind w:left="220" w:right="0" w:firstLine="0"/>
        <w:jc w:val="left"/>
        <w:rPr>
          <w:sz w:val="22"/>
        </w:rPr>
      </w:pPr>
      <w:r>
        <w:rPr>
          <w:sz w:val="22"/>
        </w:rPr>
        <w:t>[</w:t>
      </w:r>
      <w:r>
        <w:rPr>
          <w:i/>
          <w:sz w:val="22"/>
        </w:rPr>
        <w:t>Example</w:t>
      </w:r>
      <w:r>
        <w:rPr>
          <w:sz w:val="22"/>
        </w:rPr>
        <w:t>:</w:t>
      </w:r>
    </w:p>
    <w:p>
      <w:pPr>
        <w:pStyle w:val="BodyText"/>
        <w:spacing w:before="9"/>
        <w:rPr>
          <w:sz w:val="19"/>
        </w:rPr>
      </w:pPr>
    </w:p>
    <w:p>
      <w:pPr>
        <w:pStyle w:val="BodyText"/>
        <w:ind w:left="220"/>
      </w:pPr>
      <w:r>
        <w:rPr/>
        <w:t>This example shows three smart tags, each one associated with a unique cell on the worksheet.</w:t>
      </w:r>
    </w:p>
    <w:p>
      <w:pPr>
        <w:pStyle w:val="BodyText"/>
        <w:spacing w:before="8"/>
        <w:rPr>
          <w:sz w:val="19"/>
        </w:rPr>
      </w:pPr>
    </w:p>
    <w:p>
      <w:pPr>
        <w:pStyle w:val="BodyText"/>
        <w:ind w:left="508"/>
        <w:rPr>
          <w:rFonts w:ascii="Consolas"/>
        </w:rPr>
      </w:pPr>
      <w:r>
        <w:rPr>
          <w:rFonts w:ascii="Consolas"/>
        </w:rPr>
        <w:t>&lt;smartTags&gt;</w:t>
      </w:r>
    </w:p>
    <w:p>
      <w:pPr>
        <w:pStyle w:val="BodyText"/>
        <w:spacing w:before="38"/>
        <w:ind w:left="750"/>
        <w:rPr>
          <w:rFonts w:ascii="Consolas"/>
        </w:rPr>
      </w:pPr>
      <w:r>
        <w:rPr>
          <w:rFonts w:ascii="Consolas"/>
        </w:rPr>
        <w:t>&lt;cellSmartTags r="A1"&gt;</w:t>
      </w:r>
    </w:p>
    <w:p>
      <w:pPr>
        <w:pStyle w:val="BodyText"/>
        <w:spacing w:before="40"/>
        <w:ind w:left="993"/>
        <w:rPr>
          <w:rFonts w:ascii="Consolas"/>
        </w:rPr>
      </w:pPr>
      <w:r>
        <w:rPr>
          <w:rFonts w:ascii="Consolas"/>
        </w:rPr>
        <w:t>&lt;cellSmartTag type="0"/&gt;</w:t>
      </w:r>
    </w:p>
    <w:p>
      <w:pPr>
        <w:pStyle w:val="BodyText"/>
        <w:spacing w:before="37"/>
        <w:ind w:left="750"/>
        <w:rPr>
          <w:rFonts w:ascii="Consolas"/>
        </w:rPr>
      </w:pPr>
      <w:r>
        <w:rPr>
          <w:rFonts w:ascii="Consolas"/>
        </w:rPr>
        <w:t>&lt;/cellSmartTags&gt;</w:t>
      </w:r>
    </w:p>
    <w:p>
      <w:pPr>
        <w:pStyle w:val="BodyText"/>
        <w:spacing w:before="40"/>
        <w:ind w:left="750"/>
        <w:rPr>
          <w:rFonts w:ascii="Consolas"/>
        </w:rPr>
      </w:pPr>
      <w:r>
        <w:rPr>
          <w:rFonts w:ascii="Consolas"/>
        </w:rPr>
        <w:t>&lt;cellSmartTags r="B1"&gt;</w:t>
      </w:r>
    </w:p>
    <w:p>
      <w:pPr>
        <w:pStyle w:val="BodyText"/>
        <w:spacing w:before="38"/>
        <w:ind w:left="993"/>
        <w:rPr>
          <w:rFonts w:ascii="Consolas"/>
        </w:rPr>
      </w:pPr>
      <w:r>
        <w:rPr>
          <w:rFonts w:ascii="Consolas"/>
        </w:rPr>
        <w:t>&lt;cellSmartTag type="0"/&gt;</w:t>
      </w:r>
    </w:p>
    <w:p>
      <w:pPr>
        <w:pStyle w:val="BodyText"/>
        <w:spacing w:before="40"/>
        <w:ind w:left="750"/>
        <w:rPr>
          <w:rFonts w:ascii="Consolas"/>
        </w:rPr>
      </w:pPr>
      <w:r>
        <w:rPr>
          <w:rFonts w:ascii="Consolas"/>
        </w:rPr>
        <w:t>&lt;/cellSmartTags&gt;</w:t>
      </w:r>
    </w:p>
    <w:p>
      <w:pPr>
        <w:pStyle w:val="BodyText"/>
        <w:spacing w:before="38"/>
        <w:ind w:left="750"/>
        <w:rPr>
          <w:rFonts w:ascii="Consolas"/>
        </w:rPr>
      </w:pPr>
      <w:r>
        <w:rPr>
          <w:rFonts w:ascii="Consolas"/>
        </w:rPr>
        <w:t>&lt;cellSmartTags r="B2"&gt;</w:t>
      </w:r>
    </w:p>
    <w:p>
      <w:pPr>
        <w:pStyle w:val="BodyText"/>
        <w:spacing w:before="37"/>
        <w:ind w:left="993"/>
        <w:rPr>
          <w:rFonts w:ascii="Consolas"/>
        </w:rPr>
      </w:pPr>
      <w:r>
        <w:rPr>
          <w:rFonts w:ascii="Consolas"/>
        </w:rPr>
        <w:t>&lt;cellSmartTag type="0"/&gt;</w:t>
      </w:r>
    </w:p>
    <w:p>
      <w:pPr>
        <w:pStyle w:val="BodyText"/>
        <w:spacing w:before="41"/>
        <w:ind w:left="750"/>
        <w:rPr>
          <w:rFonts w:ascii="Consolas"/>
        </w:rPr>
      </w:pPr>
      <w:r>
        <w:rPr>
          <w:rFonts w:ascii="Consolas"/>
        </w:rPr>
        <w:t>&lt;/cellSmartTags&gt;</w:t>
      </w:r>
    </w:p>
    <w:p>
      <w:pPr>
        <w:pStyle w:val="BodyText"/>
        <w:spacing w:before="37"/>
        <w:ind w:left="508"/>
        <w:rPr>
          <w:rFonts w:ascii="Consolas"/>
        </w:rPr>
      </w:pPr>
      <w:r>
        <w:rPr>
          <w:rFonts w:ascii="Consolas"/>
        </w:rPr>
        <w:t>&lt;/smartTags&gt;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550"/>
      </w:pPr>
      <w:r>
        <w:rPr/>
        <w:t>[</w:t>
      </w:r>
      <w:r>
        <w:rPr>
          <w:i/>
        </w:rPr>
        <w:t>Note</w:t>
      </w:r>
      <w:r>
        <w:rPr/>
        <w:t>: The W3C XML Schema definition of this element’s content model (</w:t>
      </w:r>
      <w:r>
        <w:rPr>
          <w:color w:val="5F5F5F"/>
          <w:u w:val="single" w:color="5F5F5F"/>
        </w:rPr>
        <w:t>CT_SmartTags</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1 sortCondition (Sort Condition)" w:id="374"/>
      <w:bookmarkEnd w:id="374"/>
      <w:r>
        <w:rPr/>
      </w:r>
      <w:bookmarkStart w:name="_bookmark123" w:id="375"/>
      <w:bookmarkEnd w:id="375"/>
      <w:r>
        <w:rPr/>
      </w:r>
      <w:bookmarkStart w:name="_bookmark123" w:id="376"/>
      <w:bookmarkEnd w:id="376"/>
      <w:r>
        <w:rPr>
          <w:color w:val="4F81BC"/>
        </w:rPr>
        <w:t>so</w:t>
      </w:r>
      <w:r>
        <w:rPr>
          <w:color w:val="4F81BC"/>
        </w:rPr>
        <w:t>rtCondition (Sort</w:t>
      </w:r>
      <w:r>
        <w:rPr>
          <w:color w:val="4F81BC"/>
          <w:spacing w:val="-1"/>
        </w:rPr>
        <w:t> </w:t>
      </w:r>
      <w:r>
        <w:rPr>
          <w:color w:val="4F81BC"/>
        </w:rPr>
        <w:t>Condition)</w:t>
      </w:r>
    </w:p>
    <w:p>
      <w:pPr>
        <w:pStyle w:val="BodyText"/>
        <w:spacing w:line="278" w:lineRule="auto" w:before="119"/>
        <w:ind w:left="220" w:right="976"/>
      </w:pPr>
      <w:r>
        <w:rPr/>
        <w:t>Sort condition. When more than one sortCondition is specified, the first condition is applied first, then the second condition is applied, and so on.</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line="256" w:lineRule="exact" w:before="45"/>
              <w:rPr>
                <w:rFonts w:ascii="Cambria"/>
                <w:sz w:val="22"/>
              </w:rPr>
            </w:pPr>
            <w:r>
              <w:rPr>
                <w:rFonts w:ascii="Cambria"/>
                <w:sz w:val="22"/>
              </w:rPr>
              <w:t>customList</w:t>
            </w:r>
          </w:p>
          <w:p>
            <w:pPr>
              <w:pStyle w:val="TableParagraph"/>
              <w:spacing w:line="267" w:lineRule="exact" w:before="0"/>
              <w:rPr>
                <w:sz w:val="22"/>
              </w:rPr>
            </w:pPr>
            <w:r>
              <w:rPr>
                <w:sz w:val="22"/>
              </w:rPr>
              <w:t>(Custom List)</w:t>
            </w:r>
          </w:p>
        </w:tc>
        <w:tc>
          <w:tcPr>
            <w:tcW w:w="8250" w:type="dxa"/>
          </w:tcPr>
          <w:p>
            <w:pPr>
              <w:pStyle w:val="TableParagraph"/>
              <w:spacing w:before="42"/>
              <w:rPr>
                <w:sz w:val="22"/>
              </w:rPr>
            </w:pPr>
            <w:r>
              <w:rPr>
                <w:sz w:val="22"/>
              </w:rPr>
              <w:t>Sort by a custom list.</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line="257" w:lineRule="exact" w:before="42"/>
              <w:rPr>
                <w:rFonts w:ascii="Cambria"/>
                <w:sz w:val="22"/>
              </w:rPr>
            </w:pPr>
            <w:r>
              <w:rPr>
                <w:rFonts w:ascii="Cambria"/>
                <w:sz w:val="22"/>
              </w:rPr>
              <w:t>descending</w:t>
            </w:r>
          </w:p>
          <w:p>
            <w:pPr>
              <w:pStyle w:val="TableParagraph"/>
              <w:spacing w:line="268" w:lineRule="exact" w:before="0"/>
              <w:rPr>
                <w:sz w:val="22"/>
              </w:rPr>
            </w:pPr>
            <w:r>
              <w:rPr>
                <w:sz w:val="22"/>
              </w:rPr>
              <w:t>(Descending)</w:t>
            </w:r>
          </w:p>
        </w:tc>
        <w:tc>
          <w:tcPr>
            <w:tcW w:w="8250" w:type="dxa"/>
          </w:tcPr>
          <w:p>
            <w:pPr>
              <w:pStyle w:val="TableParagraph"/>
              <w:rPr>
                <w:sz w:val="22"/>
              </w:rPr>
            </w:pPr>
            <w:r>
              <w:rPr>
                <w:sz w:val="22"/>
              </w:rPr>
              <w:t>Sort descending.</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rPr>
                <w:sz w:val="22"/>
              </w:rPr>
            </w:pPr>
            <w:r>
              <w:rPr>
                <w:rFonts w:ascii="Cambria"/>
                <w:sz w:val="22"/>
              </w:rPr>
              <w:t>dxfId </w:t>
            </w:r>
            <w:r>
              <w:rPr>
                <w:sz w:val="22"/>
              </w:rPr>
              <w:t>(Format Id)</w:t>
            </w:r>
          </w:p>
        </w:tc>
        <w:tc>
          <w:tcPr>
            <w:tcW w:w="8250" w:type="dxa"/>
          </w:tcPr>
          <w:p>
            <w:pPr>
              <w:pStyle w:val="TableParagraph"/>
              <w:rPr>
                <w:sz w:val="22"/>
              </w:rPr>
            </w:pPr>
            <w:r>
              <w:rPr>
                <w:sz w:val="22"/>
              </w:rPr>
              <w:t>Format Id when sortBy=cellColor or fontColor</w:t>
            </w:r>
          </w:p>
          <w:p>
            <w:pPr>
              <w:pStyle w:val="TableParagraph"/>
              <w:spacing w:before="0"/>
              <w:ind w:left="0"/>
              <w:rPr>
                <w:sz w:val="22"/>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1161" w:hRule="atLeast"/>
        </w:trPr>
        <w:tc>
          <w:tcPr>
            <w:tcW w:w="2062" w:type="dxa"/>
          </w:tcPr>
          <w:p>
            <w:pPr>
              <w:pStyle w:val="TableParagraph"/>
              <w:rPr>
                <w:sz w:val="22"/>
              </w:rPr>
            </w:pPr>
            <w:r>
              <w:rPr>
                <w:rFonts w:ascii="Cambria"/>
                <w:sz w:val="22"/>
              </w:rPr>
              <w:t>iconId </w:t>
            </w:r>
            <w:r>
              <w:rPr>
                <w:sz w:val="22"/>
              </w:rPr>
              <w:t>(Icon Id)</w:t>
            </w:r>
          </w:p>
        </w:tc>
        <w:tc>
          <w:tcPr>
            <w:tcW w:w="8250" w:type="dxa"/>
          </w:tcPr>
          <w:p>
            <w:pPr>
              <w:pStyle w:val="TableParagraph"/>
              <w:rPr>
                <w:sz w:val="22"/>
              </w:rPr>
            </w:pPr>
            <w:r>
              <w:rPr>
                <w:sz w:val="22"/>
              </w:rPr>
              <w:t>Zero-based index of an icon in an icon set. The absence of this attribute means "no icon"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623" w:hRule="atLeast"/>
        </w:trPr>
        <w:tc>
          <w:tcPr>
            <w:tcW w:w="2062" w:type="dxa"/>
          </w:tcPr>
          <w:p>
            <w:pPr>
              <w:pStyle w:val="TableParagraph"/>
              <w:rPr>
                <w:sz w:val="22"/>
              </w:rPr>
            </w:pPr>
            <w:r>
              <w:rPr>
                <w:rFonts w:ascii="Cambria"/>
                <w:sz w:val="22"/>
              </w:rPr>
              <w:t>iconSet </w:t>
            </w:r>
            <w:r>
              <w:rPr>
                <w:sz w:val="22"/>
              </w:rPr>
              <w:t>(Icon Set)</w:t>
            </w:r>
          </w:p>
        </w:tc>
        <w:tc>
          <w:tcPr>
            <w:tcW w:w="8250" w:type="dxa"/>
          </w:tcPr>
          <w:p>
            <w:pPr>
              <w:pStyle w:val="TableParagraph"/>
              <w:rPr>
                <w:sz w:val="22"/>
              </w:rPr>
            </w:pPr>
            <w:r>
              <w:rPr>
                <w:sz w:val="22"/>
              </w:rPr>
              <w:t>Icon set index when </w:t>
            </w:r>
            <w:r>
              <w:rPr>
                <w:rFonts w:ascii="Cambria"/>
                <w:sz w:val="22"/>
              </w:rPr>
              <w:t>sortBy</w:t>
            </w:r>
            <w:r>
              <w:rPr>
                <w:sz w:val="22"/>
              </w:rPr>
              <w:t>=</w:t>
            </w:r>
            <w:r>
              <w:rPr>
                <w:rFonts w:ascii="Consolas"/>
                <w:sz w:val="20"/>
              </w:rPr>
              <w:t>icon</w:t>
            </w: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535"/>
              <w:rPr>
                <w:sz w:val="22"/>
              </w:rPr>
            </w:pPr>
            <w:r>
              <w:rPr>
                <w:sz w:val="22"/>
              </w:rPr>
              <w:t>The possible values for this attribute are defined by the </w:t>
            </w:r>
            <w:r>
              <w:rPr>
                <w:rFonts w:ascii="Cambria" w:hAnsi="Cambria"/>
                <w:sz w:val="22"/>
              </w:rPr>
              <w:t>ST_IconSetType </w:t>
            </w:r>
            <w:r>
              <w:rPr>
                <w:sz w:val="22"/>
              </w:rPr>
              <w:t>simple type </w:t>
            </w:r>
            <w:hyperlink w:history="true" w:anchor="_bookmark864">
              <w:r>
                <w:rPr>
                  <w:sz w:val="22"/>
                </w:rPr>
                <w:t>(§18.18.42</w:t>
              </w:r>
            </w:hyperlink>
            <w:r>
              <w:rPr>
                <w:sz w:val="22"/>
              </w:rPr>
              <w:t>).</w:t>
            </w:r>
          </w:p>
        </w:tc>
      </w:tr>
      <w:tr>
        <w:trPr>
          <w:trHeight w:val="1158"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ind w:right="300"/>
              <w:rPr>
                <w:sz w:val="22"/>
              </w:rPr>
            </w:pPr>
            <w:r>
              <w:rPr>
                <w:sz w:val="22"/>
              </w:rPr>
              <w:t>Column/Row that this sort condition applies to. This shall be contained within the ref in CT_SortState.</w:t>
            </w:r>
          </w:p>
          <w:p>
            <w:pPr>
              <w:pStyle w:val="TableParagraph"/>
              <w:spacing w:before="10"/>
              <w:ind w:left="0"/>
              <w:rPr>
                <w:sz w:val="21"/>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61" w:hRule="atLeast"/>
        </w:trPr>
        <w:tc>
          <w:tcPr>
            <w:tcW w:w="2062" w:type="dxa"/>
          </w:tcPr>
          <w:p>
            <w:pPr>
              <w:pStyle w:val="TableParagraph"/>
              <w:rPr>
                <w:sz w:val="22"/>
              </w:rPr>
            </w:pPr>
            <w:r>
              <w:rPr>
                <w:rFonts w:ascii="Cambria"/>
                <w:sz w:val="22"/>
              </w:rPr>
              <w:t>sortBy </w:t>
            </w:r>
            <w:r>
              <w:rPr>
                <w:sz w:val="22"/>
              </w:rPr>
              <w:t>(Sort By)</w:t>
            </w:r>
          </w:p>
        </w:tc>
        <w:tc>
          <w:tcPr>
            <w:tcW w:w="8250" w:type="dxa"/>
          </w:tcPr>
          <w:p>
            <w:pPr>
              <w:pStyle w:val="TableParagraph"/>
              <w:rPr>
                <w:sz w:val="22"/>
              </w:rPr>
            </w:pPr>
            <w:r>
              <w:rPr>
                <w:sz w:val="22"/>
              </w:rPr>
              <w:t>Type of sort.</w:t>
            </w:r>
          </w:p>
          <w:p>
            <w:pPr>
              <w:pStyle w:val="TableParagraph"/>
              <w:spacing w:before="0"/>
              <w:ind w:left="0"/>
              <w:rPr>
                <w:sz w:val="22"/>
              </w:rPr>
            </w:pPr>
          </w:p>
          <w:p>
            <w:pPr>
              <w:pStyle w:val="TableParagraph"/>
              <w:spacing w:before="0"/>
              <w:ind w:right="1068"/>
              <w:rPr>
                <w:sz w:val="22"/>
              </w:rPr>
            </w:pPr>
            <w:r>
              <w:rPr>
                <w:sz w:val="22"/>
              </w:rPr>
              <w:t>The possible values for this attribute are defined by the </w:t>
            </w:r>
            <w:r>
              <w:rPr>
                <w:rFonts w:ascii="Cambria" w:hAnsi="Cambria"/>
                <w:sz w:val="22"/>
              </w:rPr>
              <w:t>ST_SortBy </w:t>
            </w:r>
            <w:r>
              <w:rPr>
                <w:sz w:val="22"/>
              </w:rPr>
              <w:t>simple type </w:t>
            </w:r>
            <w:hyperlink w:history="true" w:anchor="_bookmark894">
              <w:r>
                <w:rPr>
                  <w:sz w:val="22"/>
                </w:rPr>
                <w:t>(§18.18.72</w:t>
              </w:r>
            </w:hyperlink>
            <w:r>
              <w:rPr>
                <w:sz w:val="22"/>
              </w:rPr>
              <w:t>).</w:t>
            </w:r>
          </w:p>
        </w:tc>
      </w:tr>
    </w:tbl>
    <w:p>
      <w:pPr>
        <w:pStyle w:val="BodyText"/>
        <w:rPr>
          <w:sz w:val="20"/>
        </w:rPr>
      </w:pPr>
    </w:p>
    <w:p>
      <w:pPr>
        <w:pStyle w:val="BodyText"/>
        <w:spacing w:before="10"/>
        <w:rPr>
          <w:sz w:val="16"/>
        </w:rPr>
      </w:pPr>
    </w:p>
    <w:p>
      <w:pPr>
        <w:pStyle w:val="BodyText"/>
        <w:spacing w:before="57"/>
        <w:ind w:left="220"/>
      </w:pPr>
      <w:r>
        <w:rPr/>
        <w:t>[</w:t>
      </w:r>
      <w:r>
        <w:rPr>
          <w:i/>
        </w:rPr>
        <w:t>Note</w:t>
      </w:r>
      <w:r>
        <w:rPr/>
        <w:t>: The W3C XML Schema definition of this element’s content model (</w:t>
      </w:r>
      <w:r>
        <w:rPr>
          <w:color w:val="5F5F5F"/>
          <w:u w:val="single" w:color="5F5F5F"/>
        </w:rPr>
        <w:t>CT_SortCondition</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2 sortState (Sort State)" w:id="377"/>
      <w:bookmarkEnd w:id="377"/>
      <w:r>
        <w:rPr/>
      </w:r>
      <w:bookmarkStart w:name="_bookmark124" w:id="378"/>
      <w:bookmarkEnd w:id="378"/>
      <w:r>
        <w:rPr/>
      </w:r>
      <w:bookmarkStart w:name="_bookmark124" w:id="379"/>
      <w:bookmarkEnd w:id="379"/>
      <w:r>
        <w:rPr>
          <w:color w:val="4F81BC"/>
        </w:rPr>
        <w:t>so</w:t>
      </w:r>
      <w:r>
        <w:rPr>
          <w:color w:val="4F81BC"/>
        </w:rPr>
        <w:t>rtState (Sort</w:t>
      </w:r>
      <w:r>
        <w:rPr>
          <w:color w:val="4F81BC"/>
          <w:spacing w:val="-1"/>
        </w:rPr>
        <w:t> </w:t>
      </w:r>
      <w:r>
        <w:rPr>
          <w:color w:val="4F81BC"/>
        </w:rPr>
        <w:t>State)</w:t>
      </w:r>
    </w:p>
    <w:p>
      <w:pPr>
        <w:pStyle w:val="BodyText"/>
        <w:spacing w:before="121"/>
        <w:ind w:left="220"/>
      </w:pPr>
      <w:r>
        <w:rPr/>
        <w:t>This collection preserves the AutoFilter sort state.</w:t>
      </w:r>
    </w:p>
    <w:p>
      <w:pPr>
        <w:pStyle w:val="BodyText"/>
        <w:spacing w:before="6"/>
        <w:rPr>
          <w:sz w:val="19"/>
        </w:rPr>
      </w:pPr>
    </w:p>
    <w:p>
      <w:pPr>
        <w:pStyle w:val="BodyText"/>
        <w:spacing w:line="278" w:lineRule="auto"/>
        <w:ind w:left="220" w:right="539"/>
      </w:pPr>
      <w:r>
        <w:rPr/>
        <w:t>[</w:t>
      </w:r>
      <w:r>
        <w:rPr>
          <w:i/>
        </w:rPr>
        <w:t>Example</w:t>
      </w:r>
      <w:r>
        <w:rPr/>
        <w:t>: This example shows a sort which is case-sensitive, descending sort. While the range of data to sort is B4:E8, the range to sort by is B4:B8.</w:t>
      </w:r>
    </w:p>
    <w:p>
      <w:pPr>
        <w:pStyle w:val="BodyText"/>
        <w:spacing w:before="2"/>
        <w:rPr>
          <w:sz w:val="16"/>
        </w:rPr>
      </w:pPr>
    </w:p>
    <w:p>
      <w:pPr>
        <w:pStyle w:val="BodyText"/>
        <w:spacing w:before="1"/>
        <w:ind w:left="508"/>
        <w:rPr>
          <w:rFonts w:ascii="Consolas"/>
        </w:rPr>
      </w:pPr>
      <w:r>
        <w:rPr>
          <w:rFonts w:ascii="Consolas"/>
        </w:rPr>
        <w:t>&lt;sortState caseSensitive="1" ref="B4:E8"&gt;</w:t>
      </w:r>
    </w:p>
    <w:p>
      <w:pPr>
        <w:pStyle w:val="BodyText"/>
        <w:spacing w:before="37"/>
        <w:ind w:left="750"/>
        <w:rPr>
          <w:rFonts w:ascii="Consolas"/>
        </w:rPr>
      </w:pPr>
      <w:r>
        <w:rPr>
          <w:rFonts w:ascii="Consolas"/>
        </w:rPr>
        <w:t>&lt;sortCondition descending="1" ref="B4:B8"/&gt;</w:t>
      </w:r>
    </w:p>
    <w:p>
      <w:pPr>
        <w:pStyle w:val="BodyText"/>
        <w:spacing w:before="38"/>
        <w:ind w:left="508"/>
        <w:rPr>
          <w:rFonts w:ascii="Consolas"/>
        </w:rPr>
      </w:pPr>
      <w:r>
        <w:rPr>
          <w:rFonts w:ascii="Consolas"/>
        </w:rPr>
        <w:t>&lt;/sortState&gt;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28"/>
              <w:rPr>
                <w:sz w:val="22"/>
              </w:rPr>
            </w:pPr>
            <w:r>
              <w:rPr>
                <w:rFonts w:ascii="Cambria"/>
                <w:sz w:val="22"/>
              </w:rPr>
              <w:t>caseSensitive </w:t>
            </w:r>
            <w:r>
              <w:rPr>
                <w:sz w:val="22"/>
              </w:rPr>
              <w:t>(Case Sensitive)</w:t>
            </w:r>
          </w:p>
        </w:tc>
        <w:tc>
          <w:tcPr>
            <w:tcW w:w="8250" w:type="dxa"/>
          </w:tcPr>
          <w:p>
            <w:pPr>
              <w:pStyle w:val="TableParagraph"/>
              <w:rPr>
                <w:sz w:val="22"/>
              </w:rPr>
            </w:pPr>
            <w:r>
              <w:rPr>
                <w:sz w:val="22"/>
              </w:rPr>
              <w:t>Flag indicating whether or not the sort is case-sensitive.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ind w:right="342"/>
              <w:rPr>
                <w:sz w:val="22"/>
              </w:rPr>
            </w:pPr>
            <w:r>
              <w:rPr>
                <w:rFonts w:ascii="Cambria"/>
                <w:sz w:val="22"/>
              </w:rPr>
              <w:t>columnSort </w:t>
            </w:r>
            <w:r>
              <w:rPr>
                <w:sz w:val="22"/>
              </w:rPr>
              <w:t>(Sort by Columns)</w:t>
            </w:r>
          </w:p>
        </w:tc>
        <w:tc>
          <w:tcPr>
            <w:tcW w:w="8250" w:type="dxa"/>
          </w:tcPr>
          <w:p>
            <w:pPr>
              <w:pStyle w:val="TableParagraph"/>
              <w:rPr>
                <w:sz w:val="22"/>
              </w:rPr>
            </w:pPr>
            <w:r>
              <w:rPr>
                <w:sz w:val="22"/>
              </w:rPr>
              <w:t>Flag indicating whether or not to sort by columns. Only applies to ranges that don’t have</w:t>
            </w:r>
          </w:p>
          <w:p>
            <w:pPr>
              <w:pStyle w:val="TableParagraph"/>
              <w:spacing w:before="0"/>
              <w:rPr>
                <w:sz w:val="22"/>
              </w:rPr>
            </w:pPr>
            <w:r>
              <w:rPr>
                <w:sz w:val="22"/>
              </w:rPr>
              <w:t>AutoFilter applied.</w:t>
            </w:r>
          </w:p>
          <w:p>
            <w:pPr>
              <w:pStyle w:val="TableParagraph"/>
              <w:spacing w:before="0"/>
              <w:ind w:left="0"/>
              <w:rPr>
                <w:sz w:val="22"/>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8" w:lineRule="exact" w:before="0"/>
              <w:rPr>
                <w:sz w:val="22"/>
              </w:rPr>
            </w:pPr>
            <w:r>
              <w:rPr>
                <w:sz w:val="22"/>
              </w:rPr>
              <w:t>datatype.</w:t>
            </w:r>
          </w:p>
        </w:tc>
      </w:tr>
      <w:tr>
        <w:trPr>
          <w:trHeight w:val="892" w:hRule="atLeast"/>
        </w:trPr>
        <w:tc>
          <w:tcPr>
            <w:tcW w:w="2062" w:type="dxa"/>
          </w:tcPr>
          <w:p>
            <w:pPr>
              <w:pStyle w:val="TableParagraph"/>
              <w:ind w:left="0" w:right="514"/>
              <w:jc w:val="right"/>
              <w:rPr>
                <w:sz w:val="22"/>
              </w:rPr>
            </w:pPr>
            <w:r>
              <w:rPr>
                <w:rFonts w:ascii="Cambria"/>
                <w:sz w:val="22"/>
              </w:rPr>
              <w:t>ref </w:t>
            </w:r>
            <w:r>
              <w:rPr>
                <w:sz w:val="22"/>
              </w:rPr>
              <w:t>(Sort Range)</w:t>
            </w:r>
          </w:p>
        </w:tc>
        <w:tc>
          <w:tcPr>
            <w:tcW w:w="8250" w:type="dxa"/>
          </w:tcPr>
          <w:p>
            <w:pPr>
              <w:pStyle w:val="TableParagraph"/>
              <w:rPr>
                <w:sz w:val="22"/>
              </w:rPr>
            </w:pPr>
            <w:r>
              <w:rPr>
                <w:sz w:val="22"/>
              </w:rPr>
              <w:t>The whole range of data to sort (not just the sort-by column).</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916" w:hRule="atLeast"/>
        </w:trPr>
        <w:tc>
          <w:tcPr>
            <w:tcW w:w="2062" w:type="dxa"/>
          </w:tcPr>
          <w:p>
            <w:pPr>
              <w:pStyle w:val="TableParagraph"/>
              <w:ind w:right="336"/>
              <w:rPr>
                <w:sz w:val="22"/>
              </w:rPr>
            </w:pPr>
            <w:r>
              <w:rPr>
                <w:rFonts w:ascii="Cambria"/>
                <w:sz w:val="22"/>
              </w:rPr>
              <w:t>sortMethod </w:t>
            </w:r>
            <w:r>
              <w:rPr>
                <w:sz w:val="22"/>
              </w:rPr>
              <w:t>(Sort Method)</w:t>
            </w:r>
          </w:p>
        </w:tc>
        <w:tc>
          <w:tcPr>
            <w:tcW w:w="8250" w:type="dxa"/>
          </w:tcPr>
          <w:p>
            <w:pPr>
              <w:pStyle w:val="TableParagraph"/>
              <w:rPr>
                <w:sz w:val="22"/>
              </w:rPr>
            </w:pPr>
            <w:r>
              <w:rPr>
                <w:sz w:val="22"/>
              </w:rPr>
              <w:t>Strokes or PinYin sort method. Applies only to these application UI languages:</w:t>
            </w:r>
          </w:p>
          <w:p>
            <w:pPr>
              <w:pStyle w:val="TableParagraph"/>
              <w:numPr>
                <w:ilvl w:val="0"/>
                <w:numId w:val="29"/>
              </w:numPr>
              <w:tabs>
                <w:tab w:pos="834" w:val="left" w:leader="none"/>
                <w:tab w:pos="835" w:val="left" w:leader="none"/>
              </w:tabs>
              <w:spacing w:line="240" w:lineRule="auto" w:before="0" w:after="0"/>
              <w:ind w:left="835" w:right="0" w:hanging="360"/>
              <w:jc w:val="left"/>
              <w:rPr>
                <w:sz w:val="22"/>
              </w:rPr>
            </w:pPr>
            <w:r>
              <w:rPr>
                <w:sz w:val="22"/>
              </w:rPr>
              <w:t>Chinese</w:t>
            </w:r>
            <w:r>
              <w:rPr>
                <w:spacing w:val="-1"/>
                <w:sz w:val="22"/>
              </w:rPr>
              <w:t> </w:t>
            </w:r>
            <w:r>
              <w:rPr>
                <w:sz w:val="22"/>
              </w:rPr>
              <w:t>Simplified</w:t>
            </w:r>
          </w:p>
          <w:p>
            <w:pPr>
              <w:pStyle w:val="TableParagraph"/>
              <w:numPr>
                <w:ilvl w:val="0"/>
                <w:numId w:val="29"/>
              </w:numPr>
              <w:tabs>
                <w:tab w:pos="834" w:val="left" w:leader="none"/>
                <w:tab w:pos="835" w:val="left" w:leader="none"/>
              </w:tabs>
              <w:spacing w:line="240" w:lineRule="auto" w:before="1" w:after="0"/>
              <w:ind w:left="835" w:right="0" w:hanging="360"/>
              <w:jc w:val="left"/>
              <w:rPr>
                <w:sz w:val="22"/>
              </w:rPr>
            </w:pPr>
            <w:r>
              <w:rPr>
                <w:sz w:val="22"/>
              </w:rPr>
              <w:t>Chinese</w:t>
            </w:r>
            <w:r>
              <w:rPr>
                <w:spacing w:val="-1"/>
                <w:sz w:val="22"/>
              </w:rPr>
              <w:t> </w:t>
            </w:r>
            <w:r>
              <w:rPr>
                <w:sz w:val="22"/>
              </w:rPr>
              <w:t>Traditional</w:t>
            </w:r>
          </w:p>
        </w:tc>
      </w:tr>
    </w:tbl>
    <w:p>
      <w:pPr>
        <w:spacing w:after="0" w:line="240" w:lineRule="auto"/>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89" w:hRule="atLeast"/>
        </w:trPr>
        <w:tc>
          <w:tcPr>
            <w:tcW w:w="2062" w:type="dxa"/>
          </w:tcPr>
          <w:p>
            <w:pPr>
              <w:pStyle w:val="TableParagraph"/>
              <w:spacing w:before="0"/>
              <w:ind w:left="0"/>
              <w:rPr>
                <w:rFonts w:ascii="Times New Roman"/>
                <w:sz w:val="22"/>
              </w:rPr>
            </w:pPr>
          </w:p>
        </w:tc>
        <w:tc>
          <w:tcPr>
            <w:tcW w:w="8250" w:type="dxa"/>
          </w:tcPr>
          <w:p>
            <w:pPr>
              <w:pStyle w:val="TableParagraph"/>
              <w:numPr>
                <w:ilvl w:val="0"/>
                <w:numId w:val="30"/>
              </w:numPr>
              <w:tabs>
                <w:tab w:pos="834" w:val="left" w:leader="none"/>
                <w:tab w:pos="835" w:val="left" w:leader="none"/>
              </w:tabs>
              <w:spacing w:line="240" w:lineRule="auto" w:before="40" w:after="0"/>
              <w:ind w:left="835" w:right="0" w:hanging="360"/>
              <w:jc w:val="left"/>
              <w:rPr>
                <w:sz w:val="22"/>
              </w:rPr>
            </w:pPr>
            <w:r>
              <w:rPr>
                <w:sz w:val="22"/>
              </w:rPr>
              <w:t>Japanese</w:t>
            </w:r>
          </w:p>
          <w:p>
            <w:pPr>
              <w:pStyle w:val="TableParagraph"/>
              <w:spacing w:before="0"/>
              <w:ind w:left="475"/>
              <w:rPr>
                <w:rFonts w:ascii="Symbol" w:hAnsi="Symbol"/>
                <w:sz w:val="22"/>
              </w:rPr>
            </w:pPr>
            <w:r>
              <w:rPr>
                <w:rFonts w:ascii="Symbol" w:hAnsi="Symbol"/>
                <w:w w:val="100"/>
                <w:sz w:val="22"/>
              </w:rPr>
              <w:t></w:t>
            </w:r>
          </w:p>
          <w:p>
            <w:pPr>
              <w:pStyle w:val="TableParagraph"/>
              <w:spacing w:before="9"/>
              <w:ind w:right="405"/>
              <w:rPr>
                <w:sz w:val="22"/>
              </w:rPr>
            </w:pPr>
            <w:r>
              <w:rPr>
                <w:sz w:val="22"/>
              </w:rPr>
              <w:t>For these languages, alternate sort methods can be selected, affecting how the data is sorted.</w:t>
            </w:r>
          </w:p>
          <w:p>
            <w:pPr>
              <w:pStyle w:val="TableParagraph"/>
              <w:spacing w:before="1"/>
              <w:ind w:left="0"/>
              <w:rPr>
                <w:sz w:val="22"/>
              </w:rPr>
            </w:pPr>
          </w:p>
          <w:p>
            <w:pPr>
              <w:pStyle w:val="TableParagraph"/>
              <w:spacing w:before="0"/>
              <w:ind w:right="592"/>
              <w:rPr>
                <w:sz w:val="22"/>
              </w:rPr>
            </w:pPr>
            <w:r>
              <w:rPr>
                <w:sz w:val="22"/>
              </w:rPr>
              <w:t>The possible values for this attribute are defined by the </w:t>
            </w:r>
            <w:r>
              <w:rPr>
                <w:rFonts w:ascii="Cambria" w:hAnsi="Cambria"/>
                <w:sz w:val="22"/>
              </w:rPr>
              <w:t>ST_SortMethod </w:t>
            </w:r>
            <w:r>
              <w:rPr>
                <w:sz w:val="22"/>
              </w:rPr>
              <w:t>simple type </w:t>
            </w:r>
            <w:hyperlink w:history="true" w:anchor="_bookmark895">
              <w:r>
                <w:rPr>
                  <w:sz w:val="22"/>
                </w:rPr>
                <w:t>(§18.18.73</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654"/>
      </w:pPr>
      <w:r>
        <w:rPr/>
        <w:t>[</w:t>
      </w:r>
      <w:r>
        <w:rPr>
          <w:i/>
        </w:rPr>
        <w:t>Note</w:t>
      </w:r>
      <w:r>
        <w:rPr/>
        <w:t>: The W3C XML Schema definition of this element’s content model (</w:t>
      </w:r>
      <w:r>
        <w:rPr>
          <w:color w:val="5F5F5F"/>
          <w:u w:val="single" w:color="5F5F5F"/>
        </w:rPr>
        <w:t>CT_SortState</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1" w:after="0"/>
        <w:ind w:left="1732" w:right="0" w:hanging="1513"/>
        <w:jc w:val="left"/>
      </w:pPr>
      <w:bookmarkStart w:name="18.3.1.93 tabColor (Sheet Tab Color)" w:id="380"/>
      <w:bookmarkEnd w:id="380"/>
      <w:r>
        <w:rPr/>
      </w:r>
      <w:bookmarkStart w:name="_bookmark125" w:id="381"/>
      <w:bookmarkEnd w:id="381"/>
      <w:r>
        <w:rPr/>
      </w:r>
      <w:bookmarkStart w:name="_bookmark125" w:id="382"/>
      <w:bookmarkEnd w:id="382"/>
      <w:r>
        <w:rPr>
          <w:color w:val="4F81BC"/>
        </w:rPr>
        <w:t>t</w:t>
      </w:r>
      <w:r>
        <w:rPr>
          <w:color w:val="4F81BC"/>
        </w:rPr>
        <w:t>abColor (Sheet Tab</w:t>
      </w:r>
      <w:r>
        <w:rPr>
          <w:color w:val="4F81BC"/>
          <w:spacing w:val="-2"/>
        </w:rPr>
        <w:t> </w:t>
      </w:r>
      <w:r>
        <w:rPr>
          <w:color w:val="4F81BC"/>
        </w:rPr>
        <w:t>Color)</w:t>
      </w:r>
    </w:p>
    <w:p>
      <w:pPr>
        <w:pStyle w:val="BodyText"/>
        <w:spacing w:before="121"/>
        <w:ind w:left="220"/>
      </w:pPr>
      <w:r>
        <w:rPr/>
        <w:t>Background color of the sheet tab.</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auto </w:t>
            </w:r>
            <w:r>
              <w:rPr>
                <w:sz w:val="22"/>
              </w:rPr>
              <w:t>(Automatic)</w:t>
            </w:r>
          </w:p>
        </w:tc>
        <w:tc>
          <w:tcPr>
            <w:tcW w:w="8250" w:type="dxa"/>
          </w:tcPr>
          <w:p>
            <w:pPr>
              <w:pStyle w:val="TableParagraph"/>
              <w:rPr>
                <w:sz w:val="22"/>
              </w:rPr>
            </w:pPr>
            <w:r>
              <w:rPr>
                <w:sz w:val="22"/>
              </w:rPr>
              <w:t>A boolean value indicating the color is automatic and system color dependent.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rPr>
                <w:sz w:val="22"/>
              </w:rPr>
            </w:pPr>
            <w:r>
              <w:rPr>
                <w:rFonts w:ascii="Cambria"/>
                <w:sz w:val="22"/>
              </w:rPr>
              <w:t>indexed </w:t>
            </w:r>
            <w:r>
              <w:rPr>
                <w:sz w:val="22"/>
              </w:rPr>
              <w:t>(Index)</w:t>
            </w:r>
          </w:p>
        </w:tc>
        <w:tc>
          <w:tcPr>
            <w:tcW w:w="8250" w:type="dxa"/>
          </w:tcPr>
          <w:p>
            <w:pPr>
              <w:pStyle w:val="TableParagraph"/>
              <w:rPr>
                <w:sz w:val="22"/>
              </w:rPr>
            </w:pPr>
            <w:r>
              <w:rPr>
                <w:sz w:val="22"/>
              </w:rPr>
              <w:t>Indexed color value. Only used for backwards compatibility. References a color in</w:t>
            </w:r>
          </w:p>
          <w:p>
            <w:pPr>
              <w:pStyle w:val="TableParagraph"/>
              <w:spacing w:before="0"/>
              <w:rPr>
                <w:sz w:val="22"/>
              </w:rPr>
            </w:pPr>
            <w:r>
              <w:rPr>
                <w:rFonts w:ascii="Cambria"/>
                <w:sz w:val="22"/>
              </w:rPr>
              <w:t>indexedColors</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8" w:hRule="atLeast"/>
        </w:trPr>
        <w:tc>
          <w:tcPr>
            <w:tcW w:w="2062" w:type="dxa"/>
          </w:tcPr>
          <w:p>
            <w:pPr>
              <w:pStyle w:val="TableParagraph"/>
              <w:ind w:right="395"/>
              <w:rPr>
                <w:sz w:val="22"/>
              </w:rPr>
            </w:pPr>
            <w:r>
              <w:rPr>
                <w:rFonts w:ascii="Cambria"/>
                <w:sz w:val="22"/>
              </w:rPr>
              <w:t>rgb </w:t>
            </w:r>
            <w:r>
              <w:rPr>
                <w:sz w:val="22"/>
              </w:rPr>
              <w:t>(Alpha Red Green Blue Color Value)</w:t>
            </w:r>
          </w:p>
        </w:tc>
        <w:tc>
          <w:tcPr>
            <w:tcW w:w="8250" w:type="dxa"/>
          </w:tcPr>
          <w:p>
            <w:pPr>
              <w:pStyle w:val="TableParagraph"/>
              <w:rPr>
                <w:sz w:val="22"/>
              </w:rPr>
            </w:pPr>
            <w:r>
              <w:rPr>
                <w:sz w:val="22"/>
              </w:rPr>
              <w:t>Standard Alpha Red Green Blue color value (ARGB).</w:t>
            </w:r>
          </w:p>
          <w:p>
            <w:pPr>
              <w:pStyle w:val="TableParagraph"/>
              <w:spacing w:before="0"/>
              <w:ind w:left="0"/>
              <w:rPr>
                <w:sz w:val="22"/>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430" w:hRule="atLeast"/>
        </w:trPr>
        <w:tc>
          <w:tcPr>
            <w:tcW w:w="2062" w:type="dxa"/>
          </w:tcPr>
          <w:p>
            <w:pPr>
              <w:pStyle w:val="TableParagraph"/>
              <w:spacing w:line="237" w:lineRule="auto" w:before="44"/>
              <w:ind w:right="590"/>
              <w:rPr>
                <w:sz w:val="22"/>
              </w:rPr>
            </w:pPr>
            <w:r>
              <w:rPr>
                <w:rFonts w:ascii="Cambria"/>
                <w:sz w:val="22"/>
              </w:rPr>
              <w:t>theme </w:t>
            </w:r>
            <w:r>
              <w:rPr>
                <w:sz w:val="22"/>
              </w:rPr>
              <w:t>(Theme Color)</w:t>
            </w:r>
          </w:p>
        </w:tc>
        <w:tc>
          <w:tcPr>
            <w:tcW w:w="8250" w:type="dxa"/>
          </w:tcPr>
          <w:p>
            <w:pPr>
              <w:pStyle w:val="TableParagraph"/>
              <w:spacing w:line="267" w:lineRule="exact" w:before="42"/>
              <w:rPr>
                <w:sz w:val="22"/>
              </w:rPr>
            </w:pPr>
            <w:r>
              <w:rPr>
                <w:sz w:val="22"/>
              </w:rPr>
              <w:t>A zero-based index into the </w:t>
            </w:r>
            <w:r>
              <w:rPr>
                <w:rFonts w:ascii="Consolas" w:hAnsi="Consolas"/>
                <w:sz w:val="22"/>
              </w:rPr>
              <w:t>&lt;clrScheme&gt;</w:t>
            </w:r>
            <w:r>
              <w:rPr>
                <w:rFonts w:ascii="Consolas" w:hAnsi="Consolas"/>
                <w:spacing w:val="-93"/>
                <w:sz w:val="22"/>
              </w:rPr>
              <w:t> </w:t>
            </w:r>
            <w:r>
              <w:rPr>
                <w:sz w:val="22"/>
              </w:rPr>
              <w:t>collection (§20.1.6.2), referencing a particular</w:t>
            </w:r>
          </w:p>
          <w:p>
            <w:pPr>
              <w:pStyle w:val="TableParagraph"/>
              <w:spacing w:line="267" w:lineRule="exact" w:before="0"/>
              <w:rPr>
                <w:sz w:val="22"/>
              </w:rPr>
            </w:pPr>
            <w:r>
              <w:rPr>
                <w:rFonts w:ascii="Consolas"/>
                <w:sz w:val="22"/>
              </w:rPr>
              <w:t>&lt;sysClr&gt;</w:t>
            </w:r>
            <w:r>
              <w:rPr>
                <w:rFonts w:ascii="Consolas"/>
                <w:spacing w:val="-72"/>
                <w:sz w:val="22"/>
              </w:rPr>
              <w:t> </w:t>
            </w:r>
            <w:r>
              <w:rPr>
                <w:sz w:val="22"/>
              </w:rPr>
              <w:t>or </w:t>
            </w:r>
            <w:r>
              <w:rPr>
                <w:rFonts w:ascii="Consolas"/>
                <w:sz w:val="22"/>
              </w:rPr>
              <w:t>&lt;srgbClr&gt;</w:t>
            </w:r>
            <w:r>
              <w:rPr>
                <w:rFonts w:ascii="Consolas"/>
                <w:spacing w:val="-73"/>
                <w:sz w:val="22"/>
              </w:rPr>
              <w:t> </w:t>
            </w:r>
            <w:r>
              <w:rPr>
                <w:sz w:val="22"/>
              </w:rPr>
              <w:t>value expressed in the Theme part.</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503" w:hRule="atLeast"/>
        </w:trPr>
        <w:tc>
          <w:tcPr>
            <w:tcW w:w="2062" w:type="dxa"/>
          </w:tcPr>
          <w:p>
            <w:pPr>
              <w:pStyle w:val="TableParagraph"/>
              <w:rPr>
                <w:sz w:val="22"/>
              </w:rPr>
            </w:pPr>
            <w:r>
              <w:rPr>
                <w:rFonts w:ascii="Cambria"/>
                <w:sz w:val="22"/>
              </w:rPr>
              <w:t>tint </w:t>
            </w:r>
            <w:r>
              <w:rPr>
                <w:sz w:val="22"/>
              </w:rPr>
              <w:t>(Tint)</w:t>
            </w:r>
          </w:p>
        </w:tc>
        <w:tc>
          <w:tcPr>
            <w:tcW w:w="8250" w:type="dxa"/>
          </w:tcPr>
          <w:p>
            <w:pPr>
              <w:pStyle w:val="TableParagraph"/>
              <w:rPr>
                <w:sz w:val="22"/>
              </w:rPr>
            </w:pPr>
            <w:r>
              <w:rPr>
                <w:sz w:val="22"/>
              </w:rPr>
              <w:t>Specifies the tint value applied to the color.</w:t>
            </w:r>
          </w:p>
          <w:p>
            <w:pPr>
              <w:pStyle w:val="TableParagraph"/>
              <w:spacing w:before="1"/>
              <w:ind w:left="0"/>
              <w:rPr>
                <w:sz w:val="22"/>
              </w:rPr>
            </w:pPr>
          </w:p>
          <w:p>
            <w:pPr>
              <w:pStyle w:val="TableParagraph"/>
              <w:spacing w:before="0"/>
              <w:ind w:right="391"/>
              <w:rPr>
                <w:sz w:val="22"/>
              </w:rPr>
            </w:pPr>
            <w:r>
              <w:rPr>
                <w:sz w:val="22"/>
              </w:rPr>
              <w:t>If tint is supplied, then it is applied to the RGB value of the color to determine the final color applied.</w:t>
            </w:r>
          </w:p>
          <w:p>
            <w:pPr>
              <w:pStyle w:val="TableParagraph"/>
              <w:spacing w:before="0"/>
              <w:ind w:left="0"/>
              <w:rPr>
                <w:sz w:val="22"/>
              </w:rPr>
            </w:pPr>
          </w:p>
          <w:p>
            <w:pPr>
              <w:pStyle w:val="TableParagraph"/>
              <w:spacing w:line="267" w:lineRule="exact" w:before="0"/>
              <w:rPr>
                <w:sz w:val="22"/>
              </w:rPr>
            </w:pPr>
            <w:r>
              <w:rPr>
                <w:sz w:val="22"/>
              </w:rPr>
              <w:t>The tint value is stored as a double from -1.0 .. 1.0, where -1.0 means 100% darken and</w:t>
            </w:r>
          </w:p>
          <w:p>
            <w:pPr>
              <w:pStyle w:val="TableParagraph"/>
              <w:spacing w:line="267" w:lineRule="exact" w:before="0"/>
              <w:rPr>
                <w:sz w:val="22"/>
              </w:rPr>
            </w:pPr>
            <w:r>
              <w:rPr>
                <w:sz w:val="22"/>
              </w:rPr>
              <w:t>1.0 means 100% lighten. Also, 0.0 means no change.</w:t>
            </w:r>
          </w:p>
          <w:p>
            <w:pPr>
              <w:pStyle w:val="TableParagraph"/>
              <w:spacing w:before="1"/>
              <w:ind w:left="0"/>
              <w:rPr>
                <w:sz w:val="22"/>
              </w:rPr>
            </w:pPr>
          </w:p>
          <w:p>
            <w:pPr>
              <w:pStyle w:val="TableParagraph"/>
              <w:spacing w:before="0"/>
              <w:rPr>
                <w:sz w:val="22"/>
              </w:rPr>
            </w:pPr>
            <w:r>
              <w:rPr>
                <w:sz w:val="22"/>
              </w:rPr>
              <w:t>In loading the RGB value, it is converted to HLS where HLS values are (0..HLSMAX), where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681"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5858"/>
              <w:rPr>
                <w:sz w:val="22"/>
              </w:rPr>
            </w:pPr>
            <w:r>
              <w:rPr>
                <w:sz w:val="22"/>
              </w:rPr>
              <w:t>HLSMAX is currently 255. [</w:t>
            </w:r>
            <w:r>
              <w:rPr>
                <w:i/>
                <w:sz w:val="22"/>
              </w:rPr>
              <w:t>Example</w:t>
            </w:r>
            <w:r>
              <w:rPr>
                <w:sz w:val="22"/>
              </w:rPr>
              <w:t>:</w:t>
            </w:r>
          </w:p>
          <w:p>
            <w:pPr>
              <w:pStyle w:val="TableParagraph"/>
              <w:spacing w:before="1"/>
              <w:rPr>
                <w:sz w:val="22"/>
              </w:rPr>
            </w:pPr>
            <w:r>
              <w:rPr>
                <w:sz w:val="22"/>
              </w:rPr>
              <w:t>Here are some examples of how to apply tint to color:</w:t>
            </w:r>
          </w:p>
          <w:p>
            <w:pPr>
              <w:pStyle w:val="TableParagraph"/>
              <w:spacing w:before="10"/>
              <w:ind w:left="0"/>
              <w:rPr>
                <w:sz w:val="21"/>
              </w:rPr>
            </w:pPr>
          </w:p>
          <w:p>
            <w:pPr>
              <w:pStyle w:val="TableParagraph"/>
              <w:spacing w:before="0"/>
              <w:rPr>
                <w:b/>
                <w:sz w:val="22"/>
              </w:rPr>
            </w:pPr>
            <w:r>
              <w:rPr>
                <w:b/>
                <w:sz w:val="22"/>
              </w:rPr>
              <w:t>If (tint &lt; 0)</w:t>
            </w:r>
          </w:p>
          <w:p>
            <w:pPr>
              <w:pStyle w:val="TableParagraph"/>
              <w:spacing w:before="0"/>
              <w:ind w:left="215"/>
              <w:rPr>
                <w:sz w:val="22"/>
              </w:rPr>
            </w:pPr>
            <w:r>
              <w:rPr>
                <w:sz w:val="22"/>
              </w:rPr>
              <w:t>Lum’ = Lum * (1.0 + tint)</w:t>
            </w:r>
          </w:p>
          <w:p>
            <w:pPr>
              <w:pStyle w:val="TableParagraph"/>
              <w:spacing w:before="0"/>
              <w:ind w:left="0"/>
              <w:rPr>
                <w:sz w:val="22"/>
              </w:rPr>
            </w:pPr>
          </w:p>
          <w:p>
            <w:pPr>
              <w:pStyle w:val="TableParagraph"/>
              <w:spacing w:before="1"/>
              <w:rPr>
                <w:sz w:val="22"/>
              </w:rPr>
            </w:pPr>
            <w:r>
              <w:rPr>
                <w:sz w:val="22"/>
              </w:rPr>
              <w:t>For example: Lum = 200; tint = -0.5; Darken 50%</w:t>
            </w:r>
          </w:p>
          <w:p>
            <w:pPr>
              <w:pStyle w:val="TableParagraph"/>
              <w:spacing w:before="0"/>
              <w:ind w:left="215"/>
              <w:rPr>
                <w:sz w:val="22"/>
              </w:rPr>
            </w:pPr>
            <w:r>
              <w:rPr>
                <w:sz w:val="22"/>
              </w:rPr>
              <w:t>Lum‘ = 200 * (0.5) =&gt; 100</w:t>
            </w:r>
          </w:p>
          <w:p>
            <w:pPr>
              <w:pStyle w:val="TableParagraph"/>
              <w:spacing w:before="1"/>
              <w:ind w:left="0"/>
              <w:rPr>
                <w:sz w:val="22"/>
              </w:rPr>
            </w:pPr>
          </w:p>
          <w:p>
            <w:pPr>
              <w:pStyle w:val="TableParagraph"/>
              <w:spacing w:before="0"/>
              <w:rPr>
                <w:sz w:val="22"/>
              </w:rPr>
            </w:pPr>
            <w:r>
              <w:rPr>
                <w:sz w:val="22"/>
              </w:rPr>
              <w:t>For example: Lum = 200; tint = -1.0; Darken 100% (make black)</w:t>
            </w:r>
          </w:p>
          <w:p>
            <w:pPr>
              <w:pStyle w:val="TableParagraph"/>
              <w:spacing w:before="0"/>
              <w:ind w:left="215"/>
              <w:rPr>
                <w:sz w:val="22"/>
              </w:rPr>
            </w:pPr>
            <w:r>
              <w:rPr>
                <w:sz w:val="22"/>
              </w:rPr>
              <w:t>Lum‘ = 200 * (1.0-1.0) =&gt; 0</w:t>
            </w:r>
          </w:p>
          <w:p>
            <w:pPr>
              <w:pStyle w:val="TableParagraph"/>
              <w:spacing w:before="10"/>
              <w:ind w:left="0"/>
              <w:rPr>
                <w:sz w:val="21"/>
              </w:rPr>
            </w:pPr>
          </w:p>
          <w:p>
            <w:pPr>
              <w:pStyle w:val="TableParagraph"/>
              <w:spacing w:before="1"/>
              <w:rPr>
                <w:b/>
                <w:sz w:val="22"/>
              </w:rPr>
            </w:pPr>
            <w:r>
              <w:rPr>
                <w:b/>
                <w:sz w:val="22"/>
              </w:rPr>
              <w:t>If (tint &gt; 0)</w:t>
            </w:r>
          </w:p>
          <w:p>
            <w:pPr>
              <w:pStyle w:val="TableParagraph"/>
              <w:spacing w:before="0"/>
              <w:ind w:left="215"/>
              <w:rPr>
                <w:sz w:val="22"/>
              </w:rPr>
            </w:pPr>
            <w:r>
              <w:rPr>
                <w:sz w:val="22"/>
              </w:rPr>
              <w:t>Lum‘ = Lum * (1.0-tint) + (HLSMAX – HLSMAX * (1.0-tint))</w:t>
            </w:r>
          </w:p>
          <w:p>
            <w:pPr>
              <w:pStyle w:val="TableParagraph"/>
              <w:spacing w:before="0"/>
              <w:ind w:left="0"/>
              <w:rPr>
                <w:sz w:val="22"/>
              </w:rPr>
            </w:pPr>
          </w:p>
          <w:p>
            <w:pPr>
              <w:pStyle w:val="TableParagraph"/>
              <w:spacing w:before="0"/>
              <w:rPr>
                <w:sz w:val="22"/>
              </w:rPr>
            </w:pPr>
            <w:r>
              <w:rPr>
                <w:sz w:val="22"/>
              </w:rPr>
              <w:t>For example: Lum = 100; tint = 0.75; Lighten 75%</w:t>
            </w:r>
          </w:p>
          <w:p>
            <w:pPr>
              <w:pStyle w:val="TableParagraph"/>
              <w:tabs>
                <w:tab w:pos="853" w:val="left" w:leader="none"/>
              </w:tabs>
              <w:spacing w:before="1"/>
              <w:rPr>
                <w:sz w:val="22"/>
              </w:rPr>
            </w:pPr>
            <w:r>
              <w:rPr>
                <w:sz w:val="22"/>
              </w:rPr>
              <w:t>Lum‘</w:t>
              <w:tab/>
              <w:t>= 100 * (1-.75) + (HLSMAX –</w:t>
            </w:r>
            <w:r>
              <w:rPr>
                <w:spacing w:val="-7"/>
                <w:sz w:val="22"/>
              </w:rPr>
              <w:t> </w:t>
            </w:r>
            <w:r>
              <w:rPr>
                <w:sz w:val="22"/>
              </w:rPr>
              <w:t>HLSMAX*(1-.75))</w:t>
            </w:r>
          </w:p>
          <w:p>
            <w:pPr>
              <w:pStyle w:val="TableParagraph"/>
              <w:spacing w:before="0"/>
              <w:ind w:left="911"/>
              <w:rPr>
                <w:sz w:val="22"/>
              </w:rPr>
            </w:pPr>
            <w:r>
              <w:rPr>
                <w:sz w:val="22"/>
              </w:rPr>
              <w:t>= 100 * .25 + (255 – 255 * .25)</w:t>
            </w:r>
          </w:p>
          <w:p>
            <w:pPr>
              <w:pStyle w:val="TableParagraph"/>
              <w:spacing w:before="0"/>
              <w:ind w:left="911"/>
              <w:rPr>
                <w:sz w:val="22"/>
              </w:rPr>
            </w:pPr>
            <w:r>
              <w:rPr>
                <w:sz w:val="22"/>
              </w:rPr>
              <w:t>= 25 + (255 – 63) = 25 + 192 = 217</w:t>
            </w:r>
          </w:p>
          <w:p>
            <w:pPr>
              <w:pStyle w:val="TableParagraph"/>
              <w:spacing w:before="0"/>
              <w:ind w:left="0"/>
              <w:rPr>
                <w:sz w:val="22"/>
              </w:rPr>
            </w:pPr>
          </w:p>
          <w:p>
            <w:pPr>
              <w:pStyle w:val="TableParagraph"/>
              <w:spacing w:before="0"/>
              <w:rPr>
                <w:sz w:val="22"/>
              </w:rPr>
            </w:pPr>
            <w:r>
              <w:rPr>
                <w:sz w:val="22"/>
              </w:rPr>
              <w:t>For example: Lum = 100; tint = 1.0; Lighten 100% (make white)</w:t>
            </w:r>
          </w:p>
          <w:p>
            <w:pPr>
              <w:pStyle w:val="TableParagraph"/>
              <w:tabs>
                <w:tab w:pos="853" w:val="left" w:leader="none"/>
              </w:tabs>
              <w:spacing w:line="268" w:lineRule="exact" w:before="1"/>
              <w:rPr>
                <w:sz w:val="22"/>
              </w:rPr>
            </w:pPr>
            <w:r>
              <w:rPr>
                <w:sz w:val="22"/>
              </w:rPr>
              <w:t>Lum‘</w:t>
              <w:tab/>
              <w:t>= 100 * (1-1) + (HLSMAX –</w:t>
            </w:r>
            <w:r>
              <w:rPr>
                <w:spacing w:val="-10"/>
                <w:sz w:val="22"/>
              </w:rPr>
              <w:t> </w:t>
            </w:r>
            <w:r>
              <w:rPr>
                <w:sz w:val="22"/>
              </w:rPr>
              <w:t>HLSMAX*(1-1))</w:t>
            </w:r>
          </w:p>
          <w:p>
            <w:pPr>
              <w:pStyle w:val="TableParagraph"/>
              <w:spacing w:line="268" w:lineRule="exact" w:before="0"/>
              <w:ind w:left="911"/>
              <w:rPr>
                <w:sz w:val="22"/>
              </w:rPr>
            </w:pPr>
            <w:r>
              <w:rPr>
                <w:sz w:val="22"/>
              </w:rPr>
              <w:t>= 100 * 0 + (255 – 255 * 0)</w:t>
            </w:r>
          </w:p>
          <w:p>
            <w:pPr>
              <w:pStyle w:val="TableParagraph"/>
              <w:spacing w:before="0"/>
              <w:ind w:left="911"/>
              <w:rPr>
                <w:sz w:val="22"/>
              </w:rPr>
            </w:pPr>
            <w:r>
              <w:rPr>
                <w:sz w:val="22"/>
              </w:rPr>
              <w:t>= 0 + (255 – 0) = 255</w:t>
            </w:r>
          </w:p>
          <w:p>
            <w:pPr>
              <w:pStyle w:val="TableParagraph"/>
              <w:spacing w:before="0"/>
              <w:ind w:left="0"/>
              <w:rPr>
                <w:sz w:val="22"/>
              </w:rPr>
            </w:pPr>
          </w:p>
          <w:p>
            <w:pPr>
              <w:pStyle w:val="TableParagraph"/>
              <w:spacing w:before="0"/>
              <w:rPr>
                <w:sz w:val="22"/>
              </w:rPr>
            </w:pPr>
            <w:r>
              <w:rPr>
                <w:i/>
                <w:sz w:val="22"/>
              </w:rPr>
              <w:t>end example</w:t>
            </w:r>
            <w:r>
              <w:rPr>
                <w:sz w:val="22"/>
              </w:rPr>
              <w: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CT_Color</w:t>
      </w:r>
      <w:r>
        <w:rPr/>
        <w:t>) is located in §A.2. </w:t>
      </w:r>
      <w:r>
        <w:rPr>
          <w:i/>
        </w:rPr>
        <w:t>end note</w:t>
      </w:r>
      <w:r>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4 tablePart (Table Part)" w:id="383"/>
      <w:bookmarkEnd w:id="383"/>
      <w:r>
        <w:rPr/>
      </w:r>
      <w:bookmarkStart w:name="_bookmark126" w:id="384"/>
      <w:bookmarkEnd w:id="384"/>
      <w:r>
        <w:rPr/>
      </w:r>
      <w:bookmarkStart w:name="_bookmark126" w:id="385"/>
      <w:bookmarkEnd w:id="385"/>
      <w:r>
        <w:rPr>
          <w:color w:val="4F81BC"/>
        </w:rPr>
        <w:t>t</w:t>
      </w:r>
      <w:r>
        <w:rPr>
          <w:color w:val="4F81BC"/>
        </w:rPr>
        <w:t>ablePart (Table Part)</w:t>
      </w:r>
    </w:p>
    <w:p>
      <w:pPr>
        <w:pStyle w:val="BodyText"/>
        <w:spacing w:before="121"/>
        <w:ind w:left="220"/>
      </w:pPr>
      <w:r>
        <w:rPr/>
        <w:t>A single Table Part reference.</w:t>
      </w:r>
    </w:p>
    <w:p>
      <w:pPr>
        <w:pStyle w:val="BodyText"/>
        <w:spacing w:before="10"/>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08" w:hRule="atLeast"/>
        </w:trPr>
        <w:tc>
          <w:tcPr>
            <w:tcW w:w="2062" w:type="dxa"/>
          </w:tcPr>
          <w:p>
            <w:pPr>
              <w:pStyle w:val="TableParagraph"/>
              <w:rPr>
                <w:sz w:val="22"/>
              </w:rPr>
            </w:pPr>
            <w:r>
              <w:rPr>
                <w:rFonts w:ascii="Cambria"/>
                <w:sz w:val="22"/>
              </w:rPr>
              <w:t>id </w:t>
            </w:r>
            <w:r>
              <w:rPr>
                <w:sz w:val="22"/>
              </w:rPr>
              <w:t>(Relationship Id)</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w:t>
            </w:r>
          </w:p>
        </w:tc>
        <w:tc>
          <w:tcPr>
            <w:tcW w:w="8250" w:type="dxa"/>
          </w:tcPr>
          <w:p>
            <w:pPr>
              <w:pStyle w:val="TableParagraph"/>
              <w:rPr>
                <w:sz w:val="22"/>
              </w:rPr>
            </w:pPr>
            <w:r>
              <w:rPr>
                <w:sz w:val="22"/>
              </w:rPr>
              <w:t>This relationship Id is used to locate a particular table definition part.</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02" w:hRule="atLeast"/>
        </w:trPr>
        <w:tc>
          <w:tcPr>
            <w:tcW w:w="2062" w:type="dxa"/>
          </w:tcPr>
          <w:p>
            <w:pPr>
              <w:pStyle w:val="TableParagraph"/>
              <w:spacing w:before="42"/>
              <w:ind w:right="182"/>
              <w:rPr>
                <w:rFonts w:ascii="Cambria"/>
                <w:sz w:val="22"/>
              </w:rPr>
            </w:pPr>
            <w:r>
              <w:rPr>
                <w:rFonts w:ascii="Cambria"/>
                <w:sz w:val="22"/>
              </w:rPr>
              <w:t>ument/relationshi ps</w:t>
            </w:r>
          </w:p>
        </w:tc>
        <w:tc>
          <w:tcPr>
            <w:tcW w:w="8250" w:type="dxa"/>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6"/>
        <w:ind w:left="220" w:right="643"/>
        <w:jc w:val="both"/>
      </w:pPr>
      <w:r>
        <w:rPr/>
        <w:t>[</w:t>
      </w:r>
      <w:r>
        <w:rPr>
          <w:i/>
        </w:rPr>
        <w:t>Note</w:t>
      </w:r>
      <w:r>
        <w:rPr/>
        <w:t>: The W3C XML Schema definition of this element’s content model (</w:t>
      </w:r>
      <w:r>
        <w:rPr>
          <w:color w:val="5F5F5F"/>
          <w:u w:val="single" w:color="5F5F5F"/>
        </w:rPr>
        <w:t>CT_TablePart</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5 tableParts (Table Parts)" w:id="386"/>
      <w:bookmarkEnd w:id="386"/>
      <w:r>
        <w:rPr/>
      </w:r>
      <w:bookmarkStart w:name="_bookmark127" w:id="387"/>
      <w:bookmarkEnd w:id="387"/>
      <w:r>
        <w:rPr/>
      </w:r>
      <w:bookmarkStart w:name="_bookmark127" w:id="388"/>
      <w:bookmarkEnd w:id="388"/>
      <w:r>
        <w:rPr>
          <w:color w:val="4F81BC"/>
        </w:rPr>
        <w:t>t</w:t>
      </w:r>
      <w:r>
        <w:rPr>
          <w:color w:val="4F81BC"/>
        </w:rPr>
        <w:t>ableParts (Table Parts)</w:t>
      </w:r>
    </w:p>
    <w:p>
      <w:pPr>
        <w:pStyle w:val="BodyText"/>
        <w:spacing w:before="121"/>
        <w:ind w:left="220"/>
        <w:jc w:val="both"/>
      </w:pPr>
      <w:r>
        <w:rPr/>
        <w:t>This collection expresses a relationship Id pointing to every table on this sheet.</w:t>
      </w:r>
    </w:p>
    <w:p>
      <w:pPr>
        <w:pStyle w:val="BodyText"/>
        <w:spacing w:before="6"/>
        <w:rPr>
          <w:sz w:val="19"/>
        </w:rPr>
      </w:pPr>
    </w:p>
    <w:p>
      <w:pPr>
        <w:pStyle w:val="BodyText"/>
        <w:spacing w:line="278" w:lineRule="auto"/>
        <w:ind w:left="220" w:right="739"/>
        <w:jc w:val="both"/>
      </w:pPr>
      <w:r>
        <w:rPr/>
        <w:t>[</w:t>
      </w:r>
      <w:r>
        <w:rPr>
          <w:i/>
        </w:rPr>
        <w:t>Example</w:t>
      </w:r>
      <w:r>
        <w:rPr/>
        <w:t>: This example indicates that the current sheet has two tables, and their definitions can be found by locating the appropriate relationships from the sheet:</w:t>
      </w:r>
    </w:p>
    <w:p>
      <w:pPr>
        <w:pStyle w:val="BodyText"/>
        <w:spacing w:before="196"/>
        <w:ind w:left="508"/>
        <w:rPr>
          <w:rFonts w:ascii="Consolas"/>
        </w:rPr>
      </w:pPr>
      <w:r>
        <w:rPr>
          <w:rFonts w:ascii="Consolas"/>
        </w:rPr>
        <w:t>&lt;tableParts count="2"&gt;</w:t>
      </w:r>
    </w:p>
    <w:p>
      <w:pPr>
        <w:pStyle w:val="BodyText"/>
        <w:spacing w:before="40"/>
        <w:ind w:left="750"/>
        <w:rPr>
          <w:rFonts w:ascii="Consolas"/>
        </w:rPr>
      </w:pPr>
      <w:r>
        <w:rPr>
          <w:rFonts w:ascii="Consolas"/>
        </w:rPr>
        <w:t>&lt;tablePart</w:t>
      </w:r>
      <w:r>
        <w:rPr>
          <w:rFonts w:ascii="Consolas"/>
          <w:spacing w:val="-17"/>
        </w:rPr>
        <w:t> </w:t>
      </w:r>
      <w:r>
        <w:rPr>
          <w:rFonts w:ascii="Consolas"/>
        </w:rPr>
        <w:t>r:id="rId1"/&gt;</w:t>
      </w:r>
    </w:p>
    <w:p>
      <w:pPr>
        <w:pStyle w:val="BodyText"/>
        <w:spacing w:before="38"/>
        <w:ind w:left="750"/>
        <w:rPr>
          <w:rFonts w:ascii="Consolas"/>
        </w:rPr>
      </w:pPr>
      <w:r>
        <w:rPr>
          <w:rFonts w:ascii="Consolas"/>
        </w:rPr>
        <w:t>&lt;tablePart</w:t>
      </w:r>
      <w:r>
        <w:rPr>
          <w:rFonts w:ascii="Consolas"/>
          <w:spacing w:val="-14"/>
        </w:rPr>
        <w:t> </w:t>
      </w:r>
      <w:r>
        <w:rPr>
          <w:rFonts w:ascii="Consolas"/>
        </w:rPr>
        <w:t>r:id="rId2"/&gt;</w:t>
      </w:r>
    </w:p>
    <w:p>
      <w:pPr>
        <w:pStyle w:val="BodyText"/>
        <w:spacing w:before="40"/>
        <w:ind w:left="508"/>
        <w:rPr>
          <w:rFonts w:ascii="Consolas"/>
        </w:rPr>
      </w:pPr>
      <w:r>
        <w:rPr>
          <w:rFonts w:ascii="Consolas"/>
        </w:rPr>
        <w:t>&lt;/tableParts&gt;</w:t>
      </w:r>
    </w:p>
    <w:p>
      <w:pPr>
        <w:pStyle w:val="BodyText"/>
        <w:spacing w:before="5"/>
        <w:rPr>
          <w:rFonts w:ascii="Consolas"/>
          <w:sz w:val="20"/>
        </w:rPr>
      </w:pPr>
    </w:p>
    <w:p>
      <w:pPr>
        <w:spacing w:before="0"/>
        <w:ind w:left="220" w:right="0" w:firstLine="0"/>
        <w:jc w:val="both"/>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42"/>
              <w:rPr>
                <w:sz w:val="22"/>
              </w:rPr>
            </w:pPr>
            <w:r>
              <w:rPr>
                <w:rFonts w:ascii="Cambria"/>
                <w:sz w:val="22"/>
              </w:rPr>
              <w:t>count </w:t>
            </w:r>
            <w:r>
              <w:rPr>
                <w:sz w:val="22"/>
              </w:rPr>
              <w:t>(Count)</w:t>
            </w:r>
          </w:p>
        </w:tc>
        <w:tc>
          <w:tcPr>
            <w:tcW w:w="8250" w:type="dxa"/>
          </w:tcPr>
          <w:p>
            <w:pPr>
              <w:pStyle w:val="TableParagraph"/>
              <w:spacing w:before="42"/>
              <w:rPr>
                <w:sz w:val="22"/>
              </w:rPr>
            </w:pPr>
            <w:r>
              <w:rPr>
                <w:sz w:val="22"/>
              </w:rPr>
              <w:t>A count of table elements in the collection.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8" w:lineRule="auto"/>
        <w:ind w:left="220" w:right="556"/>
        <w:jc w:val="both"/>
      </w:pPr>
      <w:r>
        <w:rPr/>
        <w:t>[</w:t>
      </w:r>
      <w:r>
        <w:rPr>
          <w:i/>
        </w:rPr>
        <w:t>Note</w:t>
      </w:r>
      <w:r>
        <w:rPr/>
        <w:t>: The W3C XML Schema definition of this element’s content model (</w:t>
      </w:r>
      <w:r>
        <w:rPr>
          <w:color w:val="5F5F5F"/>
          <w:u w:val="single" w:color="5F5F5F"/>
        </w:rPr>
        <w:t>CT_TableParts</w:t>
      </w:r>
      <w:r>
        <w:rPr/>
        <w:t>) is located in §A.2.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6 v (Cell Value)" w:id="389"/>
      <w:bookmarkEnd w:id="389"/>
      <w:r>
        <w:rPr/>
      </w:r>
      <w:bookmarkStart w:name="_bookmark128" w:id="390"/>
      <w:bookmarkEnd w:id="390"/>
      <w:r>
        <w:rPr/>
      </w:r>
      <w:bookmarkStart w:name="_bookmark128" w:id="391"/>
      <w:bookmarkEnd w:id="391"/>
      <w:r>
        <w:rPr>
          <w:color w:val="4F81BC"/>
        </w:rPr>
        <w:t>v</w:t>
      </w:r>
      <w:r>
        <w:rPr>
          <w:color w:val="4F81BC"/>
        </w:rPr>
        <w:t> (Cell</w:t>
      </w:r>
      <w:r>
        <w:rPr>
          <w:color w:val="4F81BC"/>
          <w:spacing w:val="-2"/>
        </w:rPr>
        <w:t> </w:t>
      </w:r>
      <w:r>
        <w:rPr>
          <w:color w:val="4F81BC"/>
        </w:rPr>
        <w:t>Value)</w:t>
      </w:r>
    </w:p>
    <w:p>
      <w:pPr>
        <w:pStyle w:val="BodyText"/>
        <w:spacing w:line="276" w:lineRule="auto" w:before="119"/>
        <w:ind w:left="220" w:right="561"/>
        <w:jc w:val="both"/>
      </w:pPr>
      <w:r>
        <w:rPr/>
        <w:t>This element expresses the value contained in a cell. If the cell contains a string, then this value is an index into the shared string table, pointing to the actual string value. Otherwise, the value of the cell is expressed directly in this element. Cells containing formulas express the last calculated result of the formula in this element.</w:t>
      </w:r>
    </w:p>
    <w:p>
      <w:pPr>
        <w:pStyle w:val="BodyText"/>
        <w:spacing w:before="3"/>
        <w:rPr>
          <w:sz w:val="16"/>
        </w:rPr>
      </w:pPr>
    </w:p>
    <w:p>
      <w:pPr>
        <w:pStyle w:val="BodyText"/>
        <w:spacing w:line="278" w:lineRule="auto" w:before="1"/>
        <w:ind w:left="220" w:right="555"/>
      </w:pPr>
      <w:r>
        <w:rPr/>
        <w:t>For applications not wanting to implement the shared string table, an 'inline string' can be expressed in an &lt;is&gt; element under &lt;c&gt; (instead of a &lt;v&gt; element under &lt;c&gt;),in the same way a string would be expressed in the shared string table. [</w:t>
      </w:r>
      <w:r>
        <w:rPr>
          <w:i/>
        </w:rPr>
        <w:t>Note</w:t>
      </w:r>
      <w:r>
        <w:rPr/>
        <w:t>: See &lt;is&gt; for an example. </w:t>
      </w:r>
      <w:r>
        <w:rPr>
          <w:i/>
        </w:rPr>
        <w:t>end note</w:t>
      </w:r>
      <w:r>
        <w:rPr/>
        <w:t>]</w:t>
      </w:r>
    </w:p>
    <w:p>
      <w:pPr>
        <w:pStyle w:val="BodyText"/>
        <w:spacing w:line="278" w:lineRule="auto" w:before="194"/>
        <w:ind w:left="220" w:right="582"/>
      </w:pPr>
      <w:r>
        <w:rPr/>
        <w:t>[</w:t>
      </w:r>
      <w:r>
        <w:rPr>
          <w:i/>
        </w:rPr>
        <w:t>Example</w:t>
      </w:r>
      <w:r>
        <w:rPr/>
        <w:t>: In this example, cell B4 contains the number "360", cell C4 contains the local date and time 22 November 1976, 08:30, and cell C5 contains the 1900 date system serial date-time for the date-time in cell C4.</w:t>
      </w:r>
    </w:p>
    <w:p>
      <w:pPr>
        <w:spacing w:after="0" w:line="278" w:lineRule="auto"/>
        <w:sectPr>
          <w:pgSz w:w="12240" w:h="15840"/>
          <w:pgMar w:header="763" w:footer="746" w:top="1340" w:bottom="940" w:left="860" w:right="700"/>
        </w:sectPr>
      </w:pPr>
    </w:p>
    <w:p>
      <w:pPr>
        <w:pStyle w:val="BodyText"/>
        <w:spacing w:before="93"/>
        <w:ind w:left="508"/>
        <w:rPr>
          <w:rFonts w:ascii="Consolas"/>
        </w:rPr>
      </w:pPr>
      <w:r>
        <w:rPr>
          <w:rFonts w:ascii="Consolas"/>
        </w:rPr>
        <w:t>&lt;c r="B4"&gt;</w:t>
      </w:r>
    </w:p>
    <w:p>
      <w:pPr>
        <w:pStyle w:val="BodyText"/>
        <w:spacing w:before="38"/>
        <w:ind w:left="750"/>
        <w:rPr>
          <w:rFonts w:ascii="Consolas"/>
        </w:rPr>
      </w:pPr>
      <w:r>
        <w:rPr>
          <w:rFonts w:ascii="Consolas"/>
        </w:rPr>
        <w:t>&lt;v&gt;360&lt;/v&gt;</w:t>
      </w:r>
    </w:p>
    <w:p>
      <w:pPr>
        <w:pStyle w:val="BodyText"/>
        <w:spacing w:before="40"/>
        <w:ind w:left="508"/>
        <w:rPr>
          <w:rFonts w:ascii="Consolas"/>
        </w:rPr>
      </w:pPr>
      <w:r>
        <w:rPr>
          <w:rFonts w:ascii="Consolas"/>
        </w:rPr>
        <w:t>&lt;/c&gt;</w:t>
      </w:r>
    </w:p>
    <w:p>
      <w:pPr>
        <w:pStyle w:val="BodyText"/>
        <w:spacing w:before="37"/>
        <w:ind w:left="508"/>
        <w:rPr>
          <w:rFonts w:ascii="Consolas"/>
        </w:rPr>
      </w:pPr>
      <w:r>
        <w:rPr>
          <w:rFonts w:ascii="Consolas"/>
        </w:rPr>
        <w:t>&lt;c r="C4" t="d"&gt;</w:t>
      </w:r>
    </w:p>
    <w:p>
      <w:pPr>
        <w:pStyle w:val="BodyText"/>
        <w:spacing w:before="40"/>
        <w:ind w:left="750"/>
        <w:rPr>
          <w:rFonts w:ascii="Consolas"/>
        </w:rPr>
      </w:pPr>
      <w:r>
        <w:rPr>
          <w:rFonts w:ascii="Consolas"/>
        </w:rPr>
        <w:t>&lt;v&gt;1976-11-22T08:30&lt;/v&gt;</w:t>
      </w:r>
    </w:p>
    <w:p>
      <w:pPr>
        <w:pStyle w:val="BodyText"/>
        <w:spacing w:before="38"/>
        <w:ind w:left="508"/>
        <w:rPr>
          <w:rFonts w:ascii="Consolas"/>
        </w:rPr>
      </w:pPr>
      <w:r>
        <w:rPr>
          <w:rFonts w:ascii="Consolas"/>
        </w:rPr>
        <w:t>&lt;/c&gt;</w:t>
      </w:r>
    </w:p>
    <w:p>
      <w:pPr>
        <w:pStyle w:val="BodyText"/>
        <w:spacing w:before="5"/>
        <w:rPr>
          <w:rFonts w:ascii="Consolas"/>
          <w:sz w:val="20"/>
        </w:rPr>
      </w:pPr>
    </w:p>
    <w:p>
      <w:pPr>
        <w:pStyle w:val="BodyText"/>
        <w:spacing w:line="257" w:lineRule="exact"/>
        <w:ind w:left="508"/>
        <w:rPr>
          <w:rFonts w:ascii="Consolas"/>
        </w:rPr>
      </w:pPr>
      <w:r>
        <w:rPr>
          <w:rFonts w:ascii="Consolas"/>
        </w:rPr>
        <w:t>&lt;c r="C5"&gt;</w:t>
      </w:r>
    </w:p>
    <w:p>
      <w:pPr>
        <w:pStyle w:val="BodyText"/>
        <w:spacing w:line="257" w:lineRule="exact"/>
        <w:ind w:left="796"/>
        <w:rPr>
          <w:rFonts w:ascii="Consolas"/>
        </w:rPr>
      </w:pPr>
      <w:r>
        <w:rPr>
          <w:rFonts w:ascii="Consolas"/>
        </w:rPr>
        <w:t>&lt;f&gt;C4&lt;/f&gt;</w:t>
      </w:r>
    </w:p>
    <w:p>
      <w:pPr>
        <w:pStyle w:val="BodyText"/>
        <w:spacing w:before="40"/>
        <w:ind w:left="940"/>
        <w:rPr>
          <w:rFonts w:ascii="Consolas"/>
        </w:rPr>
      </w:pPr>
      <w:r>
        <w:rPr>
          <w:rFonts w:ascii="Consolas"/>
        </w:rPr>
        <w:t>&lt;v&gt;28086.3541666667&lt;/v&gt;</w:t>
      </w:r>
    </w:p>
    <w:p>
      <w:pPr>
        <w:pStyle w:val="BodyText"/>
        <w:spacing w:before="37"/>
        <w:ind w:left="508"/>
        <w:rPr>
          <w:rFonts w:ascii="Consolas"/>
        </w:rPr>
      </w:pPr>
      <w:r>
        <w:rPr>
          <w:rFonts w:ascii="Consolas"/>
        </w:rPr>
        <w:t>&lt;/c&gt;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BodyText"/>
        <w:ind w:left="220"/>
      </w:pPr>
      <w:r>
        <w:rPr/>
        <w:t>The possible values for this element are defined by the </w:t>
      </w:r>
      <w:r>
        <w:rPr>
          <w:rFonts w:ascii="Cambria" w:hAnsi="Cambria"/>
        </w:rPr>
        <w:t>ST_Xstring </w:t>
      </w:r>
      <w:r>
        <w:rPr/>
        <w:t>simple type (§22.9.2.19).</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0" w:hRule="atLeast"/>
        </w:trPr>
        <w:tc>
          <w:tcPr>
            <w:tcW w:w="2062" w:type="dxa"/>
          </w:tcPr>
          <w:p>
            <w:pPr>
              <w:pStyle w:val="TableParagraph"/>
              <w:spacing w:before="42"/>
              <w:ind w:left="607"/>
              <w:rPr>
                <w:b/>
                <w:sz w:val="20"/>
              </w:rPr>
            </w:pPr>
            <w:r>
              <w:rPr>
                <w:b/>
                <w:sz w:val="20"/>
              </w:rPr>
              <w:t>Attributes</w:t>
            </w:r>
          </w:p>
        </w:tc>
        <w:tc>
          <w:tcPr>
            <w:tcW w:w="8250" w:type="dxa"/>
          </w:tcPr>
          <w:p>
            <w:pPr>
              <w:pStyle w:val="TableParagraph"/>
              <w:spacing w:before="42"/>
              <w:ind w:left="98" w:right="92"/>
              <w:jc w:val="center"/>
              <w:rPr>
                <w:b/>
                <w:sz w:val="20"/>
              </w:rPr>
            </w:pPr>
            <w:r>
              <w:rPr>
                <w:b/>
                <w:sz w:val="20"/>
              </w:rPr>
              <w:t>Description</w:t>
            </w:r>
          </w:p>
        </w:tc>
      </w:tr>
      <w:tr>
        <w:trPr>
          <w:trHeight w:val="347"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0" w:hRule="atLeast"/>
        </w:trPr>
        <w:tc>
          <w:tcPr>
            <w:tcW w:w="2062" w:type="dxa"/>
            <w:tcBorders>
              <w:top w:val="nil"/>
              <w:bottom w:val="nil"/>
            </w:tcBorders>
          </w:tcPr>
          <w:p>
            <w:pPr>
              <w:pStyle w:val="TableParagraph"/>
              <w:spacing w:line="268" w:lineRule="exact" w:before="0"/>
              <w:rPr>
                <w:sz w:val="22"/>
              </w:rPr>
            </w:pPr>
            <w:r>
              <w:rPr>
                <w:sz w:val="22"/>
              </w:rPr>
              <w:t>Contains Significant</w:t>
            </w:r>
          </w:p>
        </w:tc>
        <w:tc>
          <w:tcPr>
            <w:tcW w:w="8250" w:type="dxa"/>
            <w:tcBorders>
              <w:top w:val="nil"/>
              <w:bottom w:val="nil"/>
            </w:tcBorders>
          </w:tcPr>
          <w:p>
            <w:pPr>
              <w:pStyle w:val="TableParagraph"/>
              <w:spacing w:before="1"/>
              <w:rPr>
                <w:sz w:val="22"/>
              </w:rPr>
            </w:pPr>
            <w:r>
              <w:rPr>
                <w:sz w:val="22"/>
              </w:rPr>
              <w:t>W3C space preservation rules.</w:t>
            </w:r>
          </w:p>
        </w:tc>
      </w:tr>
      <w:tr>
        <w:trPr>
          <w:trHeight w:val="507" w:hRule="atLeast"/>
        </w:trPr>
        <w:tc>
          <w:tcPr>
            <w:tcW w:w="2062" w:type="dxa"/>
            <w:tcBorders>
              <w:top w:val="nil"/>
              <w:bottom w:val="nil"/>
            </w:tcBorders>
          </w:tcPr>
          <w:p>
            <w:pPr>
              <w:pStyle w:val="TableParagraph"/>
              <w:spacing w:before="0"/>
              <w:rPr>
                <w:sz w:val="22"/>
              </w:rPr>
            </w:pPr>
            <w:r>
              <w:rPr>
                <w:sz w:val="22"/>
              </w:rPr>
              <w:t>Whitespace)</w:t>
            </w:r>
          </w:p>
        </w:tc>
        <w:tc>
          <w:tcPr>
            <w:tcW w:w="8250" w:type="dxa"/>
            <w:tcBorders>
              <w:top w:val="nil"/>
              <w:bottom w:val="nil"/>
            </w:tcBorders>
          </w:tcPr>
          <w:p>
            <w:pPr>
              <w:pStyle w:val="TableParagraph"/>
              <w:spacing w:before="4"/>
              <w:ind w:left="0"/>
              <w:rPr>
                <w:sz w:val="16"/>
              </w:rPr>
            </w:pPr>
          </w:p>
          <w:p>
            <w:pPr>
              <w:pStyle w:val="TableParagraph"/>
              <w:spacing w:before="0"/>
              <w:rPr>
                <w:sz w:val="22"/>
              </w:rPr>
            </w:pPr>
            <w:r>
              <w:rPr>
                <w:sz w:val="22"/>
              </w:rPr>
              <w:t>The possible values for this attribute are defined by §2.10 of the XML 1.0 specification.</w:t>
            </w:r>
          </w:p>
        </w:tc>
      </w:tr>
      <w:tr>
        <w:trPr>
          <w:trHeight w:val="1444"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6"/>
        </w:rPr>
      </w:pPr>
    </w:p>
    <w:p>
      <w:pPr>
        <w:pStyle w:val="BodyText"/>
        <w:spacing w:line="278" w:lineRule="auto" w:before="188"/>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3"/>
        <w:rPr>
          <w:sz w:val="16"/>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7 webPublishItem (Web Publishing" w:id="392"/>
      <w:bookmarkEnd w:id="392"/>
      <w:r>
        <w:rPr/>
      </w:r>
      <w:bookmarkStart w:name="_bookmark129" w:id="393"/>
      <w:bookmarkEnd w:id="393"/>
      <w:r>
        <w:rPr/>
      </w:r>
      <w:bookmarkStart w:name="_bookmark129" w:id="394"/>
      <w:bookmarkEnd w:id="394"/>
      <w:r>
        <w:rPr>
          <w:color w:val="4F81BC"/>
        </w:rPr>
        <w:t>w</w:t>
      </w:r>
      <w:r>
        <w:rPr>
          <w:color w:val="4F81BC"/>
        </w:rPr>
        <w:t>ebPublishItem (Web Publishing</w:t>
      </w:r>
      <w:r>
        <w:rPr>
          <w:color w:val="4F81BC"/>
          <w:spacing w:val="-1"/>
        </w:rPr>
        <w:t> </w:t>
      </w:r>
      <w:r>
        <w:rPr>
          <w:color w:val="4F81BC"/>
        </w:rPr>
        <w:t>Item)</w:t>
      </w:r>
    </w:p>
    <w:p>
      <w:pPr>
        <w:pStyle w:val="BodyText"/>
        <w:spacing w:before="121"/>
        <w:ind w:left="220"/>
      </w:pPr>
      <w:r>
        <w:rPr/>
        <w:t>This element represents information for a single item or object which can be published to HTML.</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spacing w:line="237" w:lineRule="auto" w:before="45"/>
              <w:ind w:right="568"/>
              <w:jc w:val="both"/>
              <w:rPr>
                <w:sz w:val="22"/>
              </w:rPr>
            </w:pPr>
            <w:r>
              <w:rPr>
                <w:rFonts w:ascii="Cambria"/>
                <w:sz w:val="22"/>
              </w:rPr>
              <w:t>autoRepublish </w:t>
            </w:r>
            <w:r>
              <w:rPr>
                <w:sz w:val="22"/>
              </w:rPr>
              <w:t>(Automatically Publish)</w:t>
            </w:r>
          </w:p>
        </w:tc>
        <w:tc>
          <w:tcPr>
            <w:tcW w:w="8250" w:type="dxa"/>
          </w:tcPr>
          <w:p>
            <w:pPr>
              <w:pStyle w:val="TableParagraph"/>
              <w:rPr>
                <w:sz w:val="22"/>
              </w:rPr>
            </w:pPr>
            <w:r>
              <w:rPr>
                <w:sz w:val="22"/>
              </w:rPr>
              <w:t>Automatically publish this item every time the workbook is saved.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spacing w:before="42"/>
              <w:ind w:right="474"/>
              <w:jc w:val="both"/>
              <w:rPr>
                <w:sz w:val="22"/>
              </w:rPr>
            </w:pPr>
            <w:r>
              <w:rPr>
                <w:rFonts w:ascii="Cambria"/>
                <w:sz w:val="22"/>
              </w:rPr>
              <w:t>destinationFile </w:t>
            </w:r>
            <w:r>
              <w:rPr>
                <w:sz w:val="22"/>
              </w:rPr>
              <w:t>(Destination File Name)</w:t>
            </w:r>
          </w:p>
        </w:tc>
        <w:tc>
          <w:tcPr>
            <w:tcW w:w="8250" w:type="dxa"/>
          </w:tcPr>
          <w:p>
            <w:pPr>
              <w:pStyle w:val="TableParagraph"/>
              <w:rPr>
                <w:sz w:val="22"/>
              </w:rPr>
            </w:pPr>
            <w:r>
              <w:rPr>
                <w:sz w:val="22"/>
              </w:rPr>
              <w:t>Destination file name. Indicates where to save the HTML publish file.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623" w:hRule="atLeast"/>
        </w:trPr>
        <w:tc>
          <w:tcPr>
            <w:tcW w:w="2062" w:type="dxa"/>
          </w:tcPr>
          <w:p>
            <w:pPr>
              <w:pStyle w:val="TableParagraph"/>
              <w:ind w:right="282"/>
              <w:rPr>
                <w:sz w:val="22"/>
              </w:rPr>
            </w:pPr>
            <w:r>
              <w:rPr>
                <w:rFonts w:ascii="Cambria"/>
                <w:sz w:val="22"/>
              </w:rPr>
              <w:t>divId </w:t>
            </w:r>
            <w:r>
              <w:rPr>
                <w:sz w:val="22"/>
              </w:rPr>
              <w:t>(Destination Bookmark)</w:t>
            </w:r>
          </w:p>
        </w:tc>
        <w:tc>
          <w:tcPr>
            <w:tcW w:w="8250" w:type="dxa"/>
          </w:tcPr>
          <w:p>
            <w:pPr>
              <w:pStyle w:val="TableParagraph"/>
              <w:ind w:right="142"/>
              <w:rPr>
                <w:sz w:val="22"/>
              </w:rPr>
            </w:pPr>
            <w:r>
              <w:rPr>
                <w:sz w:val="22"/>
              </w:rPr>
              <w:t>Destination bookmark. Identifies a specific &lt;div&gt; section in the published HTML file when a subset of the workbook is published to HTML. Each item that has been published from</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spacing w:before="0"/>
              <w:ind w:left="0"/>
              <w:rPr>
                <w:rFonts w:ascii="Times New Roman"/>
                <w:sz w:val="22"/>
              </w:rPr>
            </w:pPr>
          </w:p>
        </w:tc>
        <w:tc>
          <w:tcPr>
            <w:tcW w:w="8250" w:type="dxa"/>
          </w:tcPr>
          <w:p>
            <w:pPr>
              <w:pStyle w:val="TableParagraph"/>
              <w:ind w:right="367"/>
              <w:rPr>
                <w:sz w:val="22"/>
              </w:rPr>
            </w:pPr>
            <w:r>
              <w:rPr>
                <w:sz w:val="22"/>
              </w:rPr>
              <w:t>a workbook is written to a unique &lt;div&gt;element in HTML. On re-publishing a particular item from the workbook, only that item's corresponding &lt;div&gt; content is updated.</w:t>
            </w:r>
          </w:p>
          <w:p>
            <w:pPr>
              <w:pStyle w:val="TableParagraph"/>
              <w:spacing w:before="0"/>
              <w:ind w:right="134"/>
              <w:rPr>
                <w:sz w:val="22"/>
              </w:rPr>
            </w:pPr>
            <w:r>
              <w:rPr>
                <w:sz w:val="22"/>
              </w:rPr>
              <w:t>Therefore each publish item corresponds to a unique &lt;div&gt; element. It is possible to add new publish items to an existing published page, and it is possible to re-publish individual items without republishing the entire workbook.</w:t>
            </w:r>
          </w:p>
          <w:p>
            <w:pPr>
              <w:pStyle w:val="TableParagraph"/>
              <w:spacing w:before="11"/>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6" w:hRule="atLeast"/>
        </w:trPr>
        <w:tc>
          <w:tcPr>
            <w:tcW w:w="2062" w:type="dxa"/>
          </w:tcPr>
          <w:p>
            <w:pPr>
              <w:pStyle w:val="TableParagraph"/>
              <w:rPr>
                <w:sz w:val="22"/>
              </w:rPr>
            </w:pPr>
            <w:r>
              <w:rPr>
                <w:rFonts w:ascii="Cambria"/>
                <w:sz w:val="22"/>
              </w:rPr>
              <w:t>id </w:t>
            </w:r>
            <w:r>
              <w:rPr>
                <w:sz w:val="22"/>
              </w:rPr>
              <w:t>(Id)</w:t>
            </w:r>
          </w:p>
        </w:tc>
        <w:tc>
          <w:tcPr>
            <w:tcW w:w="8250" w:type="dxa"/>
          </w:tcPr>
          <w:p>
            <w:pPr>
              <w:pStyle w:val="TableParagraph"/>
              <w:ind w:right="344"/>
              <w:rPr>
                <w:sz w:val="22"/>
              </w:rPr>
            </w:pPr>
            <w:r>
              <w:rPr>
                <w:sz w:val="22"/>
              </w:rPr>
              <w:t>This is a unique number "nnnnn" of the webPublishItem. This value is used to generate the </w:t>
            </w:r>
            <w:r>
              <w:rPr>
                <w:rFonts w:ascii="Cambria"/>
                <w:sz w:val="22"/>
              </w:rPr>
              <w:t>divId </w:t>
            </w:r>
            <w:r>
              <w:rPr>
                <w:sz w:val="22"/>
              </w:rPr>
              <w:t>and </w:t>
            </w:r>
            <w:r>
              <w:rPr>
                <w:rFonts w:ascii="Cambria"/>
                <w:sz w:val="22"/>
              </w:rPr>
              <w:t>styleId values</w:t>
            </w:r>
            <w:r>
              <w:rPr>
                <w:sz w:val="22"/>
              </w:rPr>
              <w:t>.</w:t>
            </w:r>
          </w:p>
          <w:p>
            <w:pPr>
              <w:pStyle w:val="TableParagraph"/>
              <w:spacing w:before="0"/>
              <w:ind w:left="0"/>
              <w:rPr>
                <w:sz w:val="26"/>
              </w:rPr>
            </w:pPr>
          </w:p>
          <w:p>
            <w:pPr>
              <w:pStyle w:val="TableParagraph"/>
              <w:spacing w:before="22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598"/>
              <w:rPr>
                <w:sz w:val="22"/>
              </w:rPr>
            </w:pPr>
            <w:r>
              <w:rPr>
                <w:rFonts w:ascii="Cambria"/>
                <w:sz w:val="22"/>
              </w:rPr>
              <w:t>sourceObject </w:t>
            </w:r>
            <w:r>
              <w:rPr>
                <w:sz w:val="22"/>
              </w:rPr>
              <w:t>(Source Object Name)</w:t>
            </w:r>
          </w:p>
        </w:tc>
        <w:tc>
          <w:tcPr>
            <w:tcW w:w="8250" w:type="dxa"/>
          </w:tcPr>
          <w:p>
            <w:pPr>
              <w:pStyle w:val="TableParagraph"/>
              <w:rPr>
                <w:sz w:val="22"/>
              </w:rPr>
            </w:pPr>
            <w:r>
              <w:rPr>
                <w:sz w:val="22"/>
              </w:rPr>
              <w:t>Source object name (required for sourceType = pivotTable, query, or label).</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ind w:right="251"/>
              <w:rPr>
                <w:sz w:val="22"/>
              </w:rPr>
            </w:pPr>
            <w:r>
              <w:rPr>
                <w:rFonts w:ascii="Cambria"/>
                <w:sz w:val="22"/>
              </w:rPr>
              <w:t>sourceRef </w:t>
            </w:r>
            <w:r>
              <w:rPr>
                <w:sz w:val="22"/>
              </w:rPr>
              <w:t>(Source Id)</w:t>
            </w:r>
          </w:p>
        </w:tc>
        <w:tc>
          <w:tcPr>
            <w:tcW w:w="8250" w:type="dxa"/>
          </w:tcPr>
          <w:p>
            <w:pPr>
              <w:pStyle w:val="TableParagraph"/>
              <w:rPr>
                <w:sz w:val="22"/>
              </w:rPr>
            </w:pPr>
            <w:r>
              <w:rPr>
                <w:sz w:val="22"/>
              </w:rPr>
              <w:t>Source range (required for sourceType = 'range').</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59" w:hRule="atLeast"/>
        </w:trPr>
        <w:tc>
          <w:tcPr>
            <w:tcW w:w="2062" w:type="dxa"/>
          </w:tcPr>
          <w:p>
            <w:pPr>
              <w:pStyle w:val="TableParagraph"/>
              <w:ind w:right="282"/>
              <w:rPr>
                <w:sz w:val="22"/>
              </w:rPr>
            </w:pPr>
            <w:r>
              <w:rPr>
                <w:rFonts w:ascii="Cambria"/>
                <w:sz w:val="22"/>
              </w:rPr>
              <w:t>sourceType </w:t>
            </w:r>
            <w:r>
              <w:rPr>
                <w:sz w:val="22"/>
              </w:rPr>
              <w:t>(Web Source Type)</w:t>
            </w:r>
          </w:p>
        </w:tc>
        <w:tc>
          <w:tcPr>
            <w:tcW w:w="8250" w:type="dxa"/>
          </w:tcPr>
          <w:p>
            <w:pPr>
              <w:pStyle w:val="TableParagraph"/>
              <w:rPr>
                <w:sz w:val="22"/>
              </w:rPr>
            </w:pPr>
            <w:r>
              <w:rPr>
                <w:sz w:val="22"/>
              </w:rPr>
              <w:t>Type of web source (or objects to publish).</w:t>
            </w:r>
          </w:p>
          <w:p>
            <w:pPr>
              <w:pStyle w:val="TableParagraph"/>
              <w:spacing w:before="0"/>
              <w:ind w:left="0"/>
              <w:rPr>
                <w:sz w:val="22"/>
              </w:rPr>
            </w:pPr>
          </w:p>
          <w:p>
            <w:pPr>
              <w:pStyle w:val="TableParagraph"/>
              <w:spacing w:before="0"/>
              <w:ind w:right="161"/>
              <w:rPr>
                <w:sz w:val="22"/>
              </w:rPr>
            </w:pPr>
            <w:r>
              <w:rPr>
                <w:sz w:val="22"/>
              </w:rPr>
              <w:t>The possible values for this attribute are defined by the </w:t>
            </w:r>
            <w:r>
              <w:rPr>
                <w:rFonts w:ascii="Cambria" w:hAnsi="Cambria"/>
                <w:sz w:val="22"/>
              </w:rPr>
              <w:t>ST_WebSourceType </w:t>
            </w:r>
            <w:r>
              <w:rPr>
                <w:sz w:val="22"/>
              </w:rPr>
              <w:t>simple type </w:t>
            </w:r>
            <w:hyperlink w:history="true" w:anchor="_bookmark914">
              <w:r>
                <w:rPr>
                  <w:sz w:val="22"/>
                </w:rPr>
                <w:t>(§18.18.92</w:t>
              </w:r>
            </w:hyperlink>
            <w:r>
              <w:rPr>
                <w:sz w:val="22"/>
              </w:rPr>
              <w:t>).</w:t>
            </w:r>
          </w:p>
        </w:tc>
      </w:tr>
      <w:tr>
        <w:trPr>
          <w:trHeight w:val="1430" w:hRule="atLeast"/>
        </w:trPr>
        <w:tc>
          <w:tcPr>
            <w:tcW w:w="2062" w:type="dxa"/>
          </w:tcPr>
          <w:p>
            <w:pPr>
              <w:pStyle w:val="TableParagraph"/>
              <w:rPr>
                <w:sz w:val="22"/>
              </w:rPr>
            </w:pPr>
            <w:r>
              <w:rPr>
                <w:rFonts w:ascii="Cambria"/>
                <w:sz w:val="22"/>
              </w:rPr>
              <w:t>title </w:t>
            </w:r>
            <w:r>
              <w:rPr>
                <w:sz w:val="22"/>
              </w:rPr>
              <w:t>(Title)</w:t>
            </w:r>
          </w:p>
        </w:tc>
        <w:tc>
          <w:tcPr>
            <w:tcW w:w="8250" w:type="dxa"/>
          </w:tcPr>
          <w:p>
            <w:pPr>
              <w:pStyle w:val="TableParagraph"/>
              <w:ind w:right="801"/>
              <w:rPr>
                <w:sz w:val="22"/>
              </w:rPr>
            </w:pPr>
            <w:r>
              <w:rPr>
                <w:sz w:val="22"/>
              </w:rPr>
              <w:t>HTML title of published item. [</w:t>
            </w:r>
            <w:r>
              <w:rPr>
                <w:i/>
                <w:sz w:val="22"/>
              </w:rPr>
              <w:t>Example</w:t>
            </w:r>
            <w:r>
              <w:rPr>
                <w:sz w:val="22"/>
              </w:rPr>
              <w:t>: This value can appear in the web browser window's title bar. </w:t>
            </w:r>
            <w:r>
              <w:rPr>
                <w:i/>
                <w:sz w:val="22"/>
              </w:rPr>
              <w:t>end example</w:t>
            </w:r>
            <w:r>
              <w:rPr>
                <w:sz w:val="22"/>
              </w:rPr>
              <w: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CT_WebPublishItem</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8 webPublishItems (Web Publishin" w:id="395"/>
      <w:bookmarkEnd w:id="395"/>
      <w:r>
        <w:rPr/>
      </w:r>
      <w:bookmarkStart w:name="_bookmark130" w:id="396"/>
      <w:bookmarkEnd w:id="396"/>
      <w:r>
        <w:rPr/>
      </w:r>
      <w:bookmarkStart w:name="_bookmark130" w:id="397"/>
      <w:bookmarkEnd w:id="397"/>
      <w:r>
        <w:rPr>
          <w:color w:val="4F81BC"/>
        </w:rPr>
        <w:t>w</w:t>
      </w:r>
      <w:r>
        <w:rPr>
          <w:color w:val="4F81BC"/>
        </w:rPr>
        <w:t>ebPublishItems (Web Publishing</w:t>
      </w:r>
      <w:r>
        <w:rPr>
          <w:color w:val="4F81BC"/>
          <w:spacing w:val="-1"/>
        </w:rPr>
        <w:t> </w:t>
      </w:r>
      <w:r>
        <w:rPr>
          <w:color w:val="4F81BC"/>
        </w:rPr>
        <w:t>Items)</w:t>
      </w:r>
    </w:p>
    <w:p>
      <w:pPr>
        <w:pStyle w:val="BodyText"/>
        <w:spacing w:before="122"/>
        <w:ind w:left="220"/>
      </w:pPr>
      <w:r>
        <w:rPr/>
        <w:t>This represents a listing of individual objects in this workbook that have been published (to HTML).</w:t>
      </w:r>
    </w:p>
    <w:p>
      <w:pPr>
        <w:pStyle w:val="BodyText"/>
        <w:spacing w:before="6"/>
        <w:rPr>
          <w:sz w:val="19"/>
        </w:rPr>
      </w:pPr>
    </w:p>
    <w:p>
      <w:pPr>
        <w:pStyle w:val="BodyText"/>
        <w:spacing w:line="276" w:lineRule="auto"/>
        <w:ind w:left="220" w:right="958"/>
      </w:pPr>
      <w:r>
        <w:rPr/>
        <w:t>When one of these objects is selected to be published, just the object is published to HTML, not the entire workbook contents.</w:t>
      </w:r>
    </w:p>
    <w:p>
      <w:pPr>
        <w:pStyle w:val="BodyText"/>
        <w:spacing w:before="3"/>
        <w:rPr>
          <w:sz w:val="16"/>
        </w:rPr>
      </w:pPr>
    </w:p>
    <w:p>
      <w:pPr>
        <w:pStyle w:val="BodyText"/>
        <w:spacing w:line="278" w:lineRule="auto"/>
        <w:ind w:left="220" w:right="799"/>
      </w:pPr>
      <w:r>
        <w:rPr/>
        <w:t>[</w:t>
      </w:r>
      <w:r>
        <w:rPr>
          <w:i/>
        </w:rPr>
        <w:t>Example</w:t>
      </w:r>
      <w:r>
        <w:rPr/>
        <w:t>: This example shows two items which have been previously selected for publishing. One is a range (A6:C6), the other is a chart, named "Chart 1".</w:t>
      </w:r>
    </w:p>
    <w:p>
      <w:pPr>
        <w:spacing w:after="0" w:line="278" w:lineRule="auto"/>
        <w:sectPr>
          <w:pgSz w:w="12240" w:h="15840"/>
          <w:pgMar w:header="763" w:footer="746" w:top="1340" w:bottom="940" w:left="860" w:right="700"/>
        </w:sectPr>
      </w:pPr>
    </w:p>
    <w:p>
      <w:pPr>
        <w:pStyle w:val="BodyText"/>
        <w:spacing w:before="93"/>
        <w:ind w:left="508"/>
        <w:rPr>
          <w:rFonts w:ascii="Consolas"/>
        </w:rPr>
      </w:pPr>
      <w:r>
        <w:rPr>
          <w:rFonts w:ascii="Consolas"/>
        </w:rPr>
        <w:t>&lt;webPublishItems count="2"&gt;</w:t>
      </w:r>
    </w:p>
    <w:p>
      <w:pPr>
        <w:pStyle w:val="BodyText"/>
        <w:spacing w:line="278" w:lineRule="auto" w:before="38"/>
        <w:ind w:left="993" w:right="1683" w:hanging="243"/>
        <w:rPr>
          <w:rFonts w:ascii="Consolas"/>
        </w:rPr>
      </w:pPr>
      <w:r>
        <w:rPr>
          <w:rFonts w:ascii="Consolas"/>
        </w:rPr>
        <w:t>&lt;webPublishItem id="11289" divId="Views_11289" sourceType="range" sourceRef="A6:C6" destinationFile="D:\Publish.htm" published="0"/&gt;</w:t>
      </w:r>
    </w:p>
    <w:p>
      <w:pPr>
        <w:pStyle w:val="BodyText"/>
        <w:spacing w:line="278" w:lineRule="auto"/>
        <w:ind w:left="993" w:right="1079" w:hanging="243"/>
        <w:rPr>
          <w:rFonts w:ascii="Consolas"/>
        </w:rPr>
      </w:pPr>
      <w:r>
        <w:rPr>
          <w:rFonts w:ascii="Consolas"/>
        </w:rPr>
        <w:t>&lt;webPublishItem id="6433" divId="Views_6433" sourceType="chart" sourceObject="Chart 1" destinationFile="D:\Publish.mht" published="0"/&gt;</w:t>
      </w:r>
    </w:p>
    <w:p>
      <w:pPr>
        <w:pStyle w:val="BodyText"/>
        <w:spacing w:line="253" w:lineRule="exact"/>
        <w:ind w:left="508"/>
        <w:rPr>
          <w:rFonts w:ascii="Consolas"/>
        </w:rPr>
      </w:pPr>
      <w:r>
        <w:rPr>
          <w:rFonts w:ascii="Consolas"/>
        </w:rPr>
        <w:t>&lt;/webPublishItems&gt;</w:t>
      </w:r>
    </w:p>
    <w:p>
      <w:pPr>
        <w:pStyle w:val="BodyText"/>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49"/>
              <w:rPr>
                <w:sz w:val="22"/>
              </w:rPr>
            </w:pPr>
            <w:r>
              <w:rPr>
                <w:rFonts w:ascii="Cambria"/>
                <w:sz w:val="22"/>
              </w:rPr>
              <w:t>count </w:t>
            </w:r>
            <w:r>
              <w:rPr>
                <w:sz w:val="22"/>
              </w:rPr>
              <w:t>(Web Publishing Items Count)</w:t>
            </w:r>
          </w:p>
        </w:tc>
        <w:tc>
          <w:tcPr>
            <w:tcW w:w="8250" w:type="dxa"/>
          </w:tcPr>
          <w:p>
            <w:pPr>
              <w:pStyle w:val="TableParagraph"/>
              <w:rPr>
                <w:sz w:val="22"/>
              </w:rPr>
            </w:pPr>
            <w:r>
              <w:rPr>
                <w:sz w:val="22"/>
              </w:rPr>
              <w:t>Number of items.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CT_WebPublishItems</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22"/>
        </w:numPr>
        <w:tabs>
          <w:tab w:pos="1732" w:val="left" w:leader="none"/>
          <w:tab w:pos="1733" w:val="left" w:leader="none"/>
        </w:tabs>
        <w:spacing w:line="240" w:lineRule="auto" w:before="0" w:after="0"/>
        <w:ind w:left="1732" w:right="0" w:hanging="1513"/>
        <w:jc w:val="left"/>
      </w:pPr>
      <w:bookmarkStart w:name="18.3.1.99 worksheet (Worksheet)" w:id="398"/>
      <w:bookmarkEnd w:id="398"/>
      <w:r>
        <w:rPr/>
      </w:r>
      <w:bookmarkStart w:name="_bookmark131" w:id="399"/>
      <w:bookmarkEnd w:id="399"/>
      <w:r>
        <w:rPr/>
      </w:r>
      <w:bookmarkStart w:name="_bookmark131" w:id="400"/>
      <w:bookmarkEnd w:id="400"/>
      <w:r>
        <w:rPr>
          <w:color w:val="4F81BC"/>
        </w:rPr>
        <w:t>w</w:t>
      </w:r>
      <w:r>
        <w:rPr>
          <w:color w:val="4F81BC"/>
        </w:rPr>
        <w:t>orksheet</w:t>
      </w:r>
      <w:r>
        <w:rPr>
          <w:color w:val="4F81BC"/>
          <w:spacing w:val="-1"/>
        </w:rPr>
        <w:t> </w:t>
      </w:r>
      <w:r>
        <w:rPr>
          <w:color w:val="4F81BC"/>
        </w:rPr>
        <w:t>(Worksheet)</w:t>
      </w:r>
    </w:p>
    <w:p>
      <w:pPr>
        <w:pStyle w:val="BodyText"/>
        <w:spacing w:before="121"/>
        <w:ind w:left="220"/>
      </w:pPr>
      <w:r>
        <w:rPr/>
        <w:t>This is the root element of Worksheet parts within a SpreadsheetML document.</w:t>
      </w:r>
    </w:p>
    <w:p>
      <w:pPr>
        <w:pStyle w:val="BodyText"/>
        <w:spacing w:before="6"/>
        <w:rPr>
          <w:sz w:val="19"/>
        </w:rPr>
      </w:pPr>
    </w:p>
    <w:p>
      <w:pPr>
        <w:pStyle w:val="BodyText"/>
        <w:spacing w:line="278" w:lineRule="auto"/>
        <w:ind w:left="220" w:right="502"/>
      </w:pPr>
      <w:r>
        <w:rPr/>
        <w:t>[</w:t>
      </w:r>
      <w:r>
        <w:rPr>
          <w:i/>
        </w:rPr>
        <w:t>Note</w:t>
      </w:r>
      <w:r>
        <w:rPr/>
        <w:t>: The W3C XML Schema definition of this element’s content model (</w:t>
      </w:r>
      <w:r>
        <w:rPr>
          <w:color w:val="5F5F5F"/>
          <w:u w:val="single" w:color="5F5F5F"/>
        </w:rPr>
        <w:t>CT_Worksheet</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3.2 AutoFilter Settings" w:id="401"/>
      <w:bookmarkEnd w:id="401"/>
      <w:r>
        <w:rPr>
          <w:b w:val="0"/>
        </w:rPr>
      </w:r>
      <w:bookmarkStart w:name="_bookmark132" w:id="402"/>
      <w:bookmarkEnd w:id="402"/>
      <w:r>
        <w:rPr>
          <w:b w:val="0"/>
        </w:rPr>
      </w:r>
      <w:bookmarkStart w:name="_bookmark132" w:id="403"/>
      <w:bookmarkEnd w:id="403"/>
      <w:r>
        <w:rPr>
          <w:color w:val="4F81BC"/>
        </w:rPr>
        <w:t>A</w:t>
      </w:r>
      <w:r>
        <w:rPr>
          <w:color w:val="4F81BC"/>
        </w:rPr>
        <w:t>utoFilter</w:t>
      </w:r>
      <w:r>
        <w:rPr>
          <w:color w:val="4F81BC"/>
          <w:spacing w:val="-1"/>
        </w:rPr>
        <w:t> </w:t>
      </w:r>
      <w:r>
        <w:rPr>
          <w:color w:val="4F81BC"/>
        </w:rPr>
        <w:t>Settings</w:t>
      </w:r>
    </w:p>
    <w:p>
      <w:pPr>
        <w:pStyle w:val="BodyText"/>
        <w:spacing w:line="276" w:lineRule="auto" w:before="124"/>
        <w:ind w:left="220" w:right="448"/>
      </w:pPr>
      <w:r>
        <w:rPr/>
        <w:t>The following subclause defines the settings which can be specified as part of an AutoFilter definition. An </w:t>
      </w:r>
      <w:r>
        <w:rPr>
          <w:i/>
        </w:rPr>
        <w:t>AutoFilter </w:t>
      </w:r>
      <w:r>
        <w:rPr/>
        <w:t>temporarily hides rows based on a filter criteria, which is applied column by column to a table of data in the worksheet.</w:t>
      </w:r>
    </w:p>
    <w:p>
      <w:pPr>
        <w:pStyle w:val="BodyText"/>
        <w:spacing w:before="6"/>
        <w:rPr>
          <w:sz w:val="16"/>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1 colorFilter (Color Filter Crite" w:id="404"/>
      <w:bookmarkEnd w:id="404"/>
      <w:r>
        <w:rPr/>
      </w:r>
      <w:bookmarkStart w:name="_bookmark133" w:id="405"/>
      <w:bookmarkEnd w:id="405"/>
      <w:r>
        <w:rPr/>
      </w:r>
      <w:bookmarkStart w:name="_bookmark133" w:id="406"/>
      <w:bookmarkEnd w:id="406"/>
      <w:r>
        <w:rPr>
          <w:color w:val="4F81BC"/>
        </w:rPr>
        <w:t>co</w:t>
      </w:r>
      <w:r>
        <w:rPr>
          <w:color w:val="4F81BC"/>
        </w:rPr>
        <w:t>lorFilter (Color Filter</w:t>
      </w:r>
      <w:r>
        <w:rPr>
          <w:color w:val="4F81BC"/>
          <w:spacing w:val="-2"/>
        </w:rPr>
        <w:t> </w:t>
      </w:r>
      <w:r>
        <w:rPr>
          <w:color w:val="4F81BC"/>
        </w:rPr>
        <w:t>Criteria)</w:t>
      </w:r>
    </w:p>
    <w:p>
      <w:pPr>
        <w:pStyle w:val="BodyText"/>
        <w:spacing w:line="276" w:lineRule="auto" w:before="119"/>
        <w:ind w:left="220" w:right="367"/>
      </w:pPr>
      <w:r>
        <w:rPr/>
        <w:t>This element specifies the color to filter by and whether to use the cell's fill or font color in the filter criteria. If the cell's font or fill color does not match the color specified in the criteria, the rows corresponding to those cells are hidden from view.</w:t>
      </w:r>
    </w:p>
    <w:p>
      <w:pPr>
        <w:pStyle w:val="BodyText"/>
        <w:spacing w:before="6"/>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19"/>
        </w:rPr>
      </w:pPr>
    </w:p>
    <w:p>
      <w:pPr>
        <w:pStyle w:val="BodyText"/>
        <w:ind w:left="508"/>
        <w:rPr>
          <w:rFonts w:ascii="Consolas"/>
        </w:rPr>
      </w:pPr>
      <w:r>
        <w:rPr>
          <w:rFonts w:ascii="Consolas"/>
        </w:rPr>
        <w:t>&lt;filterColumn colId="1"&gt;</w:t>
      </w:r>
    </w:p>
    <w:p>
      <w:pPr>
        <w:pStyle w:val="BodyText"/>
        <w:spacing w:before="40"/>
        <w:ind w:left="750"/>
        <w:rPr>
          <w:rFonts w:ascii="Consolas"/>
        </w:rPr>
      </w:pPr>
      <w:r>
        <w:rPr>
          <w:rFonts w:ascii="Consolas"/>
        </w:rPr>
        <w:t>&lt;colorFilter dxfId="0" cellColor="0"/&gt;</w:t>
      </w:r>
    </w:p>
    <w:p>
      <w:pPr>
        <w:pStyle w:val="BodyText"/>
        <w:spacing w:before="38"/>
        <w:ind w:left="508"/>
        <w:rPr>
          <w:rFonts w:ascii="Consolas"/>
        </w:rPr>
      </w:pPr>
      <w:r>
        <w:rPr>
          <w:rFonts w:ascii="Consolas"/>
        </w:rPr>
        <w:t>&lt;/filterColumn&gt;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footerReference w:type="even" r:id="rId58"/>
          <w:footerReference w:type="default" r:id="rId59"/>
          <w:pgSz w:w="12240" w:h="15840"/>
          <w:pgMar w:footer="746" w:header="761" w:top="1340" w:bottom="940" w:left="860" w:right="700"/>
          <w:pgNumType w:start="171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ind w:right="239"/>
              <w:rPr>
                <w:sz w:val="22"/>
              </w:rPr>
            </w:pPr>
            <w:r>
              <w:rPr>
                <w:rFonts w:ascii="Cambria"/>
                <w:sz w:val="22"/>
              </w:rPr>
              <w:t>cellColor </w:t>
            </w:r>
            <w:r>
              <w:rPr>
                <w:sz w:val="22"/>
              </w:rPr>
              <w:t>(Filter By Cell Color)</w:t>
            </w:r>
          </w:p>
        </w:tc>
        <w:tc>
          <w:tcPr>
            <w:tcW w:w="8250" w:type="dxa"/>
          </w:tcPr>
          <w:p>
            <w:pPr>
              <w:pStyle w:val="TableParagraph"/>
              <w:ind w:right="298"/>
              <w:rPr>
                <w:sz w:val="22"/>
              </w:rPr>
            </w:pPr>
            <w:r>
              <w:rPr>
                <w:sz w:val="22"/>
              </w:rPr>
              <w:t>Flag indicating whether or not to filter by the cell's fill color. 1 indicates to filter by cell fill. 0 indicates to filter by the cell's font color.</w:t>
            </w:r>
          </w:p>
          <w:p>
            <w:pPr>
              <w:pStyle w:val="TableParagraph"/>
              <w:spacing w:before="2"/>
              <w:ind w:left="0"/>
              <w:rPr>
                <w:sz w:val="22"/>
              </w:rPr>
            </w:pPr>
          </w:p>
          <w:p>
            <w:pPr>
              <w:pStyle w:val="TableParagraph"/>
              <w:spacing w:line="237" w:lineRule="auto" w:before="0"/>
              <w:ind w:right="290"/>
              <w:rPr>
                <w:sz w:val="22"/>
              </w:rPr>
            </w:pPr>
            <w:r>
              <w:rPr>
                <w:sz w:val="22"/>
              </w:rPr>
              <w:t>For rich text in cells, if the color specified appears in the cell at all, it shall be included in the filter.</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ind w:right="300"/>
              <w:rPr>
                <w:sz w:val="22"/>
              </w:rPr>
            </w:pPr>
            <w:r>
              <w:rPr>
                <w:rFonts w:ascii="Cambria"/>
                <w:sz w:val="22"/>
              </w:rPr>
              <w:t>dxfId </w:t>
            </w:r>
            <w:r>
              <w:rPr>
                <w:sz w:val="22"/>
              </w:rPr>
              <w:t>(Differential Format Record Id)</w:t>
            </w:r>
          </w:p>
        </w:tc>
        <w:tc>
          <w:tcPr>
            <w:tcW w:w="8250" w:type="dxa"/>
          </w:tcPr>
          <w:p>
            <w:pPr>
              <w:pStyle w:val="TableParagraph"/>
              <w:ind w:right="185"/>
              <w:rPr>
                <w:sz w:val="22"/>
              </w:rPr>
            </w:pPr>
            <w:r>
              <w:rPr>
                <w:sz w:val="22"/>
              </w:rPr>
              <w:t>Id of differential format record (</w:t>
            </w:r>
            <w:r>
              <w:rPr>
                <w:rFonts w:ascii="Cambria"/>
                <w:sz w:val="22"/>
              </w:rPr>
              <w:t>dxf) </w:t>
            </w:r>
            <w:r>
              <w:rPr>
                <w:sz w:val="22"/>
              </w:rPr>
              <w:t>in the Styles Part which expresses the color value to filter by.</w:t>
            </w:r>
          </w:p>
          <w:p>
            <w:pPr>
              <w:pStyle w:val="TableParagraph"/>
              <w:spacing w:before="0"/>
              <w:ind w:left="0"/>
              <w:rPr>
                <w:sz w:val="22"/>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bl>
    <w:p>
      <w:pPr>
        <w:pStyle w:val="BodyText"/>
        <w:rPr>
          <w:sz w:val="20"/>
        </w:rPr>
      </w:pPr>
    </w:p>
    <w:p>
      <w:pPr>
        <w:pStyle w:val="BodyText"/>
        <w:spacing w:before="10"/>
        <w:rPr>
          <w:sz w:val="16"/>
        </w:rPr>
      </w:pPr>
    </w:p>
    <w:p>
      <w:pPr>
        <w:pStyle w:val="BodyText"/>
        <w:spacing w:line="276" w:lineRule="auto" w:before="56"/>
        <w:ind w:left="220" w:right="546"/>
      </w:pPr>
      <w:r>
        <w:rPr/>
        <w:t>[</w:t>
      </w:r>
      <w:r>
        <w:rPr>
          <w:i/>
        </w:rPr>
        <w:t>Note</w:t>
      </w:r>
      <w:r>
        <w:rPr/>
        <w:t>: The W3C XML Schema definition of this element’s content model (</w:t>
      </w:r>
      <w:r>
        <w:rPr>
          <w:color w:val="5F5F5F"/>
          <w:u w:val="single" w:color="5F5F5F"/>
        </w:rPr>
        <w:t>CT_ColorFilter</w:t>
      </w:r>
      <w:r>
        <w:rPr/>
        <w:t>) is located in §A.2. </w:t>
      </w:r>
      <w:r>
        <w:rPr>
          <w:i/>
        </w:rPr>
        <w:t>end </w:t>
      </w:r>
      <w:r>
        <w:rPr>
          <w:i/>
        </w:rPr>
        <w:t>note</w:t>
      </w:r>
      <w:r>
        <w:rPr/>
        <w:t>]</w:t>
      </w:r>
    </w:p>
    <w:p>
      <w:pPr>
        <w:pStyle w:val="BodyText"/>
        <w:spacing w:before="6"/>
        <w:rPr>
          <w:sz w:val="16"/>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2 customFilter (Custom Filter Cri" w:id="407"/>
      <w:bookmarkEnd w:id="407"/>
      <w:r>
        <w:rPr/>
      </w:r>
      <w:bookmarkStart w:name="_bookmark134" w:id="408"/>
      <w:bookmarkEnd w:id="408"/>
      <w:r>
        <w:rPr/>
      </w:r>
      <w:bookmarkStart w:name="_bookmark134" w:id="409"/>
      <w:bookmarkEnd w:id="409"/>
      <w:r>
        <w:rPr>
          <w:color w:val="4F81BC"/>
        </w:rPr>
        <w:t>c</w:t>
      </w:r>
      <w:r>
        <w:rPr>
          <w:color w:val="4F81BC"/>
        </w:rPr>
        <w:t>ustomFilter (Custom Filter</w:t>
      </w:r>
      <w:r>
        <w:rPr>
          <w:color w:val="4F81BC"/>
          <w:spacing w:val="-4"/>
        </w:rPr>
        <w:t> </w:t>
      </w:r>
      <w:r>
        <w:rPr>
          <w:color w:val="4F81BC"/>
        </w:rPr>
        <w:t>Criteria)</w:t>
      </w:r>
    </w:p>
    <w:p>
      <w:pPr>
        <w:pStyle w:val="BodyText"/>
        <w:spacing w:line="276" w:lineRule="auto" w:before="121"/>
        <w:ind w:left="220" w:right="508"/>
      </w:pPr>
      <w:r>
        <w:rPr/>
        <w:t>A custom AutoFilter specifies an operator and a value. There can be at most two customFilters specified, and in that case the parent element specifies whether the two conditions are joined by 'and' or 'or'. For any cells whose values do not meet the specified criteria, the corresponding rows shall be hidden from view when the filter is applied.</w:t>
      </w:r>
    </w:p>
    <w:p>
      <w:pPr>
        <w:pStyle w:val="BodyText"/>
        <w:spacing w:before="7"/>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&lt;customFilters and="1"&gt;</w:t>
      </w:r>
    </w:p>
    <w:p>
      <w:pPr>
        <w:pStyle w:val="BodyText"/>
        <w:spacing w:before="37"/>
        <w:ind w:left="750"/>
        <w:rPr>
          <w:rFonts w:ascii="Consolas"/>
        </w:rPr>
      </w:pPr>
      <w:r>
        <w:rPr>
          <w:rFonts w:ascii="Consolas"/>
        </w:rPr>
        <w:t>&lt;customFilter operator="greaterThanOrEqual" val="0.2"/&gt;</w:t>
      </w:r>
    </w:p>
    <w:p>
      <w:pPr>
        <w:pStyle w:val="BodyText"/>
        <w:spacing w:before="38"/>
        <w:ind w:left="750"/>
        <w:rPr>
          <w:rFonts w:ascii="Consolas"/>
        </w:rPr>
      </w:pPr>
      <w:r>
        <w:rPr>
          <w:rFonts w:ascii="Consolas"/>
        </w:rPr>
        <w:t>&lt;customFilter operator="lessThanOrEqual" val="0.5"/&gt;</w:t>
      </w:r>
    </w:p>
    <w:p>
      <w:pPr>
        <w:pStyle w:val="BodyText"/>
        <w:spacing w:before="40"/>
        <w:ind w:left="508"/>
        <w:rPr>
          <w:rFonts w:ascii="Consolas"/>
        </w:rPr>
      </w:pPr>
      <w:r>
        <w:rPr>
          <w:rFonts w:ascii="Consolas"/>
        </w:rPr>
        <w:t>&lt;/customFilters&gt;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512"/>
              <w:rPr>
                <w:sz w:val="22"/>
              </w:rPr>
            </w:pPr>
            <w:r>
              <w:rPr>
                <w:rFonts w:ascii="Cambria"/>
                <w:sz w:val="22"/>
              </w:rPr>
              <w:t>operator </w:t>
            </w:r>
            <w:r>
              <w:rPr>
                <w:sz w:val="22"/>
              </w:rPr>
              <w:t>(Filter Comparison Operator)</w:t>
            </w:r>
          </w:p>
        </w:tc>
        <w:tc>
          <w:tcPr>
            <w:tcW w:w="8250" w:type="dxa"/>
          </w:tcPr>
          <w:p>
            <w:pPr>
              <w:pStyle w:val="TableParagraph"/>
              <w:rPr>
                <w:sz w:val="22"/>
              </w:rPr>
            </w:pPr>
            <w:r>
              <w:rPr>
                <w:sz w:val="22"/>
              </w:rPr>
              <w:t>Operator used by the filter comparison.</w:t>
            </w:r>
          </w:p>
          <w:p>
            <w:pPr>
              <w:pStyle w:val="TableParagraph"/>
              <w:spacing w:before="10"/>
              <w:ind w:left="0"/>
              <w:rPr>
                <w:sz w:val="21"/>
              </w:rPr>
            </w:pPr>
          </w:p>
          <w:p>
            <w:pPr>
              <w:pStyle w:val="TableParagraph"/>
              <w:spacing w:before="1"/>
              <w:ind w:right="339"/>
              <w:rPr>
                <w:sz w:val="22"/>
              </w:rPr>
            </w:pPr>
            <w:r>
              <w:rPr>
                <w:sz w:val="22"/>
              </w:rPr>
              <w:t>The possible values for this attribute are defined by the </w:t>
            </w:r>
            <w:r>
              <w:rPr>
                <w:rFonts w:ascii="Cambria" w:hAnsi="Cambria"/>
                <w:sz w:val="22"/>
              </w:rPr>
              <w:t>ST_FilterOperator </w:t>
            </w:r>
            <w:r>
              <w:rPr>
                <w:sz w:val="22"/>
              </w:rPr>
              <w:t>simple type </w:t>
            </w:r>
            <w:hyperlink w:history="true" w:anchor="_bookmark853">
              <w:r>
                <w:rPr>
                  <w:sz w:val="22"/>
                </w:rPr>
                <w:t>(§18.18.31</w:t>
              </w:r>
            </w:hyperlink>
            <w:r>
              <w:rPr>
                <w:sz w:val="22"/>
              </w:rPr>
              <w:t>).</w:t>
            </w:r>
          </w:p>
        </w:tc>
      </w:tr>
      <w:tr>
        <w:trPr>
          <w:trHeight w:val="1161" w:hRule="atLeast"/>
        </w:trPr>
        <w:tc>
          <w:tcPr>
            <w:tcW w:w="2062" w:type="dxa"/>
          </w:tcPr>
          <w:p>
            <w:pPr>
              <w:pStyle w:val="TableParagraph"/>
              <w:ind w:right="218"/>
              <w:rPr>
                <w:sz w:val="22"/>
              </w:rPr>
            </w:pPr>
            <w:r>
              <w:rPr>
                <w:rFonts w:ascii="Cambria"/>
                <w:sz w:val="22"/>
              </w:rPr>
              <w:t>val </w:t>
            </w:r>
            <w:r>
              <w:rPr>
                <w:sz w:val="22"/>
              </w:rPr>
              <w:t>(Top or Bottom Value)</w:t>
            </w:r>
          </w:p>
        </w:tc>
        <w:tc>
          <w:tcPr>
            <w:tcW w:w="8250" w:type="dxa"/>
          </w:tcPr>
          <w:p>
            <w:pPr>
              <w:pStyle w:val="TableParagraph"/>
              <w:rPr>
                <w:sz w:val="22"/>
              </w:rPr>
            </w:pPr>
            <w:r>
              <w:rPr>
                <w:sz w:val="22"/>
              </w:rPr>
              <w:t>Top or bottom value used in the filter criteria.</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3" w:footer="746" w:top="1340" w:bottom="940" w:left="860" w:right="700"/>
        </w:sectPr>
      </w:pPr>
    </w:p>
    <w:p>
      <w:pPr>
        <w:pStyle w:val="BodyText"/>
        <w:spacing w:before="90"/>
        <w:ind w:left="220"/>
      </w:pPr>
      <w:r>
        <w:rPr/>
        <w:t>[</w:t>
      </w:r>
      <w:r>
        <w:rPr>
          <w:i/>
        </w:rPr>
        <w:t>Note</w:t>
      </w:r>
      <w:r>
        <w:rPr/>
        <w:t>: The W3C XML Schema definition of this element’s content model (</w:t>
      </w:r>
      <w:r>
        <w:rPr>
          <w:color w:val="5F5F5F"/>
          <w:u w:val="single" w:color="5F5F5F"/>
        </w:rPr>
        <w:t>CT_CustomFilter</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3 customFilters (Custom Filters)" w:id="410"/>
      <w:bookmarkEnd w:id="410"/>
      <w:r>
        <w:rPr/>
      </w:r>
      <w:bookmarkStart w:name="_bookmark135" w:id="411"/>
      <w:bookmarkEnd w:id="411"/>
      <w:r>
        <w:rPr/>
      </w:r>
      <w:bookmarkStart w:name="_bookmark135" w:id="412"/>
      <w:bookmarkEnd w:id="412"/>
      <w:r>
        <w:rPr>
          <w:color w:val="4F81BC"/>
        </w:rPr>
        <w:t>c</w:t>
      </w:r>
      <w:r>
        <w:rPr>
          <w:color w:val="4F81BC"/>
        </w:rPr>
        <w:t>ustomFilters (Custom Filters)</w:t>
      </w:r>
    </w:p>
    <w:p>
      <w:pPr>
        <w:pStyle w:val="BodyText"/>
        <w:spacing w:line="278" w:lineRule="auto" w:before="119"/>
        <w:ind w:left="220" w:right="1054"/>
      </w:pPr>
      <w:r>
        <w:rPr/>
        <w:t>When there is more than one custom filter criteria to apply (an 'and' or 'or' joining two criteria), then this element groups the customFilter elements together.</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spacing w:before="42"/>
              <w:rPr>
                <w:sz w:val="22"/>
              </w:rPr>
            </w:pPr>
            <w:r>
              <w:rPr>
                <w:rFonts w:ascii="Cambria"/>
                <w:sz w:val="22"/>
              </w:rPr>
              <w:t>and </w:t>
            </w:r>
            <w:r>
              <w:rPr>
                <w:sz w:val="22"/>
              </w:rPr>
              <w:t>(And)</w:t>
            </w:r>
          </w:p>
        </w:tc>
        <w:tc>
          <w:tcPr>
            <w:tcW w:w="8250" w:type="dxa"/>
          </w:tcPr>
          <w:p>
            <w:pPr>
              <w:pStyle w:val="TableParagraph"/>
              <w:spacing w:line="237" w:lineRule="auto" w:before="44"/>
              <w:ind w:right="309"/>
              <w:rPr>
                <w:sz w:val="22"/>
              </w:rPr>
            </w:pPr>
            <w:r>
              <w:rPr>
                <w:sz w:val="22"/>
              </w:rPr>
              <w:t>Flag indicating whether the two criteria have an "and" relationship. 1 indicates "and", 0 indicates "or".</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CT_CustomFilters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4 dateGroupItem (Date Grouping)" w:id="413"/>
      <w:bookmarkEnd w:id="413"/>
      <w:r>
        <w:rPr/>
      </w:r>
      <w:bookmarkStart w:name="_bookmark136" w:id="414"/>
      <w:bookmarkEnd w:id="414"/>
      <w:r>
        <w:rPr/>
      </w:r>
      <w:bookmarkStart w:name="_bookmark136" w:id="415"/>
      <w:bookmarkEnd w:id="415"/>
      <w:r>
        <w:rPr>
          <w:color w:val="4F81BC"/>
        </w:rPr>
        <w:t>d</w:t>
      </w:r>
      <w:r>
        <w:rPr>
          <w:color w:val="4F81BC"/>
        </w:rPr>
        <w:t>ateGroupItem (Date</w:t>
      </w:r>
      <w:r>
        <w:rPr>
          <w:color w:val="4F81BC"/>
          <w:spacing w:val="-1"/>
        </w:rPr>
        <w:t> </w:t>
      </w:r>
      <w:r>
        <w:rPr>
          <w:color w:val="4F81BC"/>
        </w:rPr>
        <w:t>Grouping)</w:t>
      </w:r>
    </w:p>
    <w:p>
      <w:pPr>
        <w:pStyle w:val="BodyText"/>
        <w:spacing w:line="276" w:lineRule="auto" w:before="119"/>
        <w:ind w:left="220" w:right="688"/>
      </w:pPr>
      <w:r>
        <w:rPr/>
        <w:t>This collection is used to express a group of dates or times which are used in an AutoFilter criteria. [</w:t>
      </w:r>
      <w:r>
        <w:rPr>
          <w:i/>
        </w:rPr>
        <w:t>Note</w:t>
      </w:r>
      <w:r>
        <w:rPr/>
        <w:t>: See parent element for an example. </w:t>
      </w:r>
      <w:r>
        <w:rPr>
          <w:i/>
        </w:rPr>
        <w:t>end note</w:t>
      </w:r>
      <w:r>
        <w:rPr/>
        <w:t>] Values are always written in the calendar type of the first date encountered in the filter range, so that all subsequent dates, even when formatted or represented by other calendar types, can be correctly compared for the purposes of filtering.</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line="237" w:lineRule="auto" w:before="45"/>
              <w:ind w:right="145"/>
              <w:rPr>
                <w:sz w:val="22"/>
              </w:rPr>
            </w:pPr>
            <w:r>
              <w:rPr>
                <w:rFonts w:ascii="Cambria"/>
                <w:sz w:val="22"/>
              </w:rPr>
              <w:t>dateTimeGrouping </w:t>
            </w:r>
            <w:r>
              <w:rPr>
                <w:sz w:val="22"/>
              </w:rPr>
              <w:t>(Date Time Grouping)</w:t>
            </w:r>
          </w:p>
        </w:tc>
        <w:tc>
          <w:tcPr>
            <w:tcW w:w="8250" w:type="dxa"/>
          </w:tcPr>
          <w:p>
            <w:pPr>
              <w:pStyle w:val="TableParagraph"/>
              <w:rPr>
                <w:sz w:val="22"/>
              </w:rPr>
            </w:pPr>
            <w:r>
              <w:rPr>
                <w:sz w:val="22"/>
              </w:rPr>
              <w:t>Grouping level.</w:t>
            </w:r>
          </w:p>
          <w:p>
            <w:pPr>
              <w:pStyle w:val="TableParagraph"/>
              <w:spacing w:before="0"/>
              <w:ind w:left="0"/>
              <w:rPr>
                <w:sz w:val="22"/>
              </w:rPr>
            </w:pPr>
          </w:p>
          <w:p>
            <w:pPr>
              <w:pStyle w:val="TableParagraph"/>
              <w:spacing w:before="0"/>
              <w:ind w:right="358"/>
              <w:rPr>
                <w:sz w:val="22"/>
              </w:rPr>
            </w:pPr>
            <w:r>
              <w:rPr>
                <w:sz w:val="22"/>
              </w:rPr>
              <w:t>The possible values for this attribute are defined by the </w:t>
            </w:r>
            <w:r>
              <w:rPr>
                <w:rFonts w:ascii="Cambria" w:hAnsi="Cambria"/>
                <w:sz w:val="22"/>
              </w:rPr>
              <w:t>ST_DateTimeGrouping </w:t>
            </w:r>
            <w:r>
              <w:rPr>
                <w:sz w:val="22"/>
              </w:rPr>
              <w:t>simple type (§</w:t>
            </w:r>
            <w:hyperlink w:history="true" w:anchor="_bookmark844">
              <w:r>
                <w:rPr>
                  <w:sz w:val="22"/>
                </w:rPr>
                <w:t>18.18.22</w:t>
              </w:r>
            </w:hyperlink>
            <w:r>
              <w:rPr>
                <w:sz w:val="22"/>
              </w:rPr>
              <w:t>).</w:t>
            </w:r>
          </w:p>
        </w:tc>
      </w:tr>
      <w:tr>
        <w:trPr>
          <w:trHeight w:val="1158" w:hRule="atLeast"/>
        </w:trPr>
        <w:tc>
          <w:tcPr>
            <w:tcW w:w="2062" w:type="dxa"/>
          </w:tcPr>
          <w:p>
            <w:pPr>
              <w:pStyle w:val="TableParagraph"/>
              <w:rPr>
                <w:sz w:val="22"/>
              </w:rPr>
            </w:pPr>
            <w:r>
              <w:rPr>
                <w:rFonts w:ascii="Cambria"/>
                <w:sz w:val="22"/>
              </w:rPr>
              <w:t>day </w:t>
            </w:r>
            <w:r>
              <w:rPr>
                <w:sz w:val="22"/>
              </w:rPr>
              <w:t>(Day)</w:t>
            </w:r>
          </w:p>
        </w:tc>
        <w:tc>
          <w:tcPr>
            <w:tcW w:w="8250" w:type="dxa"/>
          </w:tcPr>
          <w:p>
            <w:pPr>
              <w:pStyle w:val="TableParagraph"/>
              <w:rPr>
                <w:sz w:val="22"/>
              </w:rPr>
            </w:pPr>
            <w:r>
              <w:rPr>
                <w:sz w:val="22"/>
              </w:rPr>
              <w:t>Day (1-31)</w:t>
            </w:r>
          </w:p>
          <w:p>
            <w:pPr>
              <w:pStyle w:val="TableParagraph"/>
              <w:spacing w:before="10"/>
              <w:ind w:left="0"/>
              <w:rPr>
                <w:sz w:val="21"/>
              </w:rPr>
            </w:pPr>
          </w:p>
          <w:p>
            <w:pPr>
              <w:pStyle w:val="TableParagraph"/>
              <w:spacing w:before="0"/>
              <w:rPr>
                <w:sz w:val="22"/>
              </w:rPr>
            </w:pPr>
            <w:r>
              <w:rPr>
                <w:sz w:val="22"/>
              </w:rPr>
              <w:t>The possible values for this attribute are defined by the W3C XML Schema</w:t>
            </w:r>
          </w:p>
          <w:p>
            <w:pPr>
              <w:pStyle w:val="TableParagraph"/>
              <w:spacing w:before="0"/>
              <w:rPr>
                <w:sz w:val="22"/>
              </w:rPr>
            </w:pPr>
            <w:r>
              <w:rPr>
                <w:rFonts w:ascii="Cambria"/>
                <w:sz w:val="22"/>
              </w:rPr>
              <w:t>unsignedShort </w:t>
            </w:r>
            <w:r>
              <w:rPr>
                <w:sz w:val="22"/>
              </w:rPr>
              <w:t>datatype.</w:t>
            </w:r>
          </w:p>
        </w:tc>
      </w:tr>
      <w:tr>
        <w:trPr>
          <w:trHeight w:val="1161" w:hRule="atLeast"/>
        </w:trPr>
        <w:tc>
          <w:tcPr>
            <w:tcW w:w="2062" w:type="dxa"/>
          </w:tcPr>
          <w:p>
            <w:pPr>
              <w:pStyle w:val="TableParagraph"/>
              <w:rPr>
                <w:sz w:val="22"/>
              </w:rPr>
            </w:pPr>
            <w:r>
              <w:rPr>
                <w:rFonts w:ascii="Cambria"/>
                <w:sz w:val="22"/>
              </w:rPr>
              <w:t>hour </w:t>
            </w:r>
            <w:r>
              <w:rPr>
                <w:sz w:val="22"/>
              </w:rPr>
              <w:t>(Hour)</w:t>
            </w:r>
          </w:p>
        </w:tc>
        <w:tc>
          <w:tcPr>
            <w:tcW w:w="8250" w:type="dxa"/>
          </w:tcPr>
          <w:p>
            <w:pPr>
              <w:pStyle w:val="TableParagraph"/>
              <w:rPr>
                <w:sz w:val="22"/>
              </w:rPr>
            </w:pPr>
            <w:r>
              <w:rPr>
                <w:sz w:val="22"/>
              </w:rPr>
              <w:t>Hour (0-23)</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w:t>
            </w:r>
          </w:p>
          <w:p>
            <w:pPr>
              <w:pStyle w:val="TableParagraph"/>
              <w:spacing w:before="1"/>
              <w:rPr>
                <w:sz w:val="22"/>
              </w:rPr>
            </w:pPr>
            <w:r>
              <w:rPr>
                <w:rFonts w:ascii="Cambria"/>
                <w:sz w:val="22"/>
              </w:rPr>
              <w:t>unsignedShort </w:t>
            </w:r>
            <w:r>
              <w:rPr>
                <w:sz w:val="22"/>
              </w:rPr>
              <w:t>datatype.</w:t>
            </w:r>
          </w:p>
        </w:tc>
      </w:tr>
      <w:tr>
        <w:trPr>
          <w:trHeight w:val="1158" w:hRule="atLeast"/>
        </w:trPr>
        <w:tc>
          <w:tcPr>
            <w:tcW w:w="2062" w:type="dxa"/>
          </w:tcPr>
          <w:p>
            <w:pPr>
              <w:pStyle w:val="TableParagraph"/>
              <w:rPr>
                <w:sz w:val="22"/>
              </w:rPr>
            </w:pPr>
            <w:r>
              <w:rPr>
                <w:rFonts w:ascii="Cambria"/>
                <w:sz w:val="22"/>
              </w:rPr>
              <w:t>minute </w:t>
            </w:r>
            <w:r>
              <w:rPr>
                <w:sz w:val="22"/>
              </w:rPr>
              <w:t>(Minute)</w:t>
            </w:r>
          </w:p>
        </w:tc>
        <w:tc>
          <w:tcPr>
            <w:tcW w:w="8250" w:type="dxa"/>
          </w:tcPr>
          <w:p>
            <w:pPr>
              <w:pStyle w:val="TableParagraph"/>
              <w:rPr>
                <w:sz w:val="22"/>
              </w:rPr>
            </w:pPr>
            <w:r>
              <w:rPr>
                <w:sz w:val="22"/>
              </w:rPr>
              <w:t>Minute (0-59)</w:t>
            </w:r>
          </w:p>
          <w:p>
            <w:pPr>
              <w:pStyle w:val="TableParagraph"/>
              <w:spacing w:before="0"/>
              <w:ind w:left="0"/>
              <w:rPr>
                <w:sz w:val="22"/>
              </w:rPr>
            </w:pPr>
          </w:p>
          <w:p>
            <w:pPr>
              <w:pStyle w:val="TableParagraph"/>
              <w:spacing w:line="267" w:lineRule="exact" w:before="0"/>
              <w:rPr>
                <w:sz w:val="22"/>
              </w:rPr>
            </w:pPr>
            <w:r>
              <w:rPr>
                <w:sz w:val="22"/>
              </w:rPr>
              <w:t>The possible values for this attribute are defined by the W3C XML Schema</w:t>
            </w:r>
          </w:p>
          <w:p>
            <w:pPr>
              <w:pStyle w:val="TableParagraph"/>
              <w:spacing w:line="267" w:lineRule="exact" w:before="0"/>
              <w:rPr>
                <w:sz w:val="22"/>
              </w:rPr>
            </w:pPr>
            <w:r>
              <w:rPr>
                <w:rFonts w:ascii="Cambria"/>
                <w:sz w:val="22"/>
              </w:rPr>
              <w:t>unsignedShort </w:t>
            </w:r>
            <w:r>
              <w:rPr>
                <w:sz w:val="22"/>
              </w:rPr>
              <w:t>datatype.</w:t>
            </w:r>
          </w:p>
        </w:tc>
      </w:tr>
      <w:tr>
        <w:trPr>
          <w:trHeight w:val="623" w:hRule="atLeast"/>
        </w:trPr>
        <w:tc>
          <w:tcPr>
            <w:tcW w:w="2062" w:type="dxa"/>
          </w:tcPr>
          <w:p>
            <w:pPr>
              <w:pStyle w:val="TableParagraph"/>
              <w:rPr>
                <w:sz w:val="22"/>
              </w:rPr>
            </w:pPr>
            <w:r>
              <w:rPr>
                <w:rFonts w:ascii="Cambria"/>
                <w:sz w:val="22"/>
              </w:rPr>
              <w:t>month </w:t>
            </w:r>
            <w:r>
              <w:rPr>
                <w:sz w:val="22"/>
              </w:rPr>
              <w:t>(Month)</w:t>
            </w:r>
          </w:p>
        </w:tc>
        <w:tc>
          <w:tcPr>
            <w:tcW w:w="8250" w:type="dxa"/>
          </w:tcPr>
          <w:p>
            <w:pPr>
              <w:pStyle w:val="TableParagraph"/>
              <w:rPr>
                <w:sz w:val="22"/>
              </w:rPr>
            </w:pPr>
            <w:r>
              <w:rPr>
                <w:sz w:val="22"/>
              </w:rPr>
              <w:t>Month (1-12)</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The possible values for this attribute are defined by the W3C XML Schema</w:t>
            </w:r>
          </w:p>
          <w:p>
            <w:pPr>
              <w:pStyle w:val="TableParagraph"/>
              <w:spacing w:before="0"/>
              <w:rPr>
                <w:sz w:val="22"/>
              </w:rPr>
            </w:pPr>
            <w:r>
              <w:rPr>
                <w:rFonts w:ascii="Cambria"/>
                <w:sz w:val="22"/>
              </w:rPr>
              <w:t>unsignedShort </w:t>
            </w:r>
            <w:r>
              <w:rPr>
                <w:sz w:val="22"/>
              </w:rPr>
              <w:t>datatype.</w:t>
            </w:r>
          </w:p>
        </w:tc>
      </w:tr>
      <w:tr>
        <w:trPr>
          <w:trHeight w:val="1158" w:hRule="atLeast"/>
        </w:trPr>
        <w:tc>
          <w:tcPr>
            <w:tcW w:w="2062" w:type="dxa"/>
          </w:tcPr>
          <w:p>
            <w:pPr>
              <w:pStyle w:val="TableParagraph"/>
              <w:rPr>
                <w:sz w:val="22"/>
              </w:rPr>
            </w:pPr>
            <w:r>
              <w:rPr>
                <w:rFonts w:ascii="Cambria"/>
                <w:sz w:val="22"/>
              </w:rPr>
              <w:t>second </w:t>
            </w:r>
            <w:r>
              <w:rPr>
                <w:sz w:val="22"/>
              </w:rPr>
              <w:t>(Second)</w:t>
            </w:r>
          </w:p>
        </w:tc>
        <w:tc>
          <w:tcPr>
            <w:tcW w:w="8250" w:type="dxa"/>
          </w:tcPr>
          <w:p>
            <w:pPr>
              <w:pStyle w:val="TableParagraph"/>
              <w:rPr>
                <w:sz w:val="22"/>
              </w:rPr>
            </w:pPr>
            <w:r>
              <w:rPr>
                <w:sz w:val="22"/>
              </w:rPr>
              <w:t>Second (0-59)</w:t>
            </w:r>
          </w:p>
          <w:p>
            <w:pPr>
              <w:pStyle w:val="TableParagraph"/>
              <w:spacing w:before="10"/>
              <w:ind w:left="0"/>
              <w:rPr>
                <w:sz w:val="21"/>
              </w:rPr>
            </w:pPr>
          </w:p>
          <w:p>
            <w:pPr>
              <w:pStyle w:val="TableParagraph"/>
              <w:spacing w:before="0"/>
              <w:rPr>
                <w:sz w:val="22"/>
              </w:rPr>
            </w:pPr>
            <w:r>
              <w:rPr>
                <w:sz w:val="22"/>
              </w:rPr>
              <w:t>The possible values for this attribute are defined by the W3C XML Schema</w:t>
            </w:r>
          </w:p>
          <w:p>
            <w:pPr>
              <w:pStyle w:val="TableParagraph"/>
              <w:spacing w:before="0"/>
              <w:rPr>
                <w:sz w:val="22"/>
              </w:rPr>
            </w:pPr>
            <w:r>
              <w:rPr>
                <w:rFonts w:ascii="Cambria"/>
                <w:sz w:val="22"/>
              </w:rPr>
              <w:t>unsignedShort </w:t>
            </w:r>
            <w:r>
              <w:rPr>
                <w:sz w:val="22"/>
              </w:rPr>
              <w:t>datatype.</w:t>
            </w:r>
          </w:p>
        </w:tc>
      </w:tr>
      <w:tr>
        <w:trPr>
          <w:trHeight w:val="1161" w:hRule="atLeast"/>
        </w:trPr>
        <w:tc>
          <w:tcPr>
            <w:tcW w:w="2062" w:type="dxa"/>
          </w:tcPr>
          <w:p>
            <w:pPr>
              <w:pStyle w:val="TableParagraph"/>
              <w:rPr>
                <w:sz w:val="22"/>
              </w:rPr>
            </w:pPr>
            <w:r>
              <w:rPr>
                <w:rFonts w:ascii="Cambria"/>
                <w:sz w:val="22"/>
              </w:rPr>
              <w:t>year </w:t>
            </w:r>
            <w:r>
              <w:rPr>
                <w:sz w:val="22"/>
              </w:rPr>
              <w:t>(Year)</w:t>
            </w:r>
          </w:p>
        </w:tc>
        <w:tc>
          <w:tcPr>
            <w:tcW w:w="8250" w:type="dxa"/>
          </w:tcPr>
          <w:p>
            <w:pPr>
              <w:pStyle w:val="TableParagraph"/>
              <w:rPr>
                <w:sz w:val="22"/>
              </w:rPr>
            </w:pPr>
            <w:r>
              <w:rPr>
                <w:sz w:val="22"/>
              </w:rPr>
              <w:t>Year (4 digits)</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w:t>
            </w:r>
          </w:p>
          <w:p>
            <w:pPr>
              <w:pStyle w:val="TableParagraph"/>
              <w:spacing w:before="0"/>
              <w:rPr>
                <w:sz w:val="22"/>
              </w:rPr>
            </w:pPr>
            <w:r>
              <w:rPr>
                <w:rFonts w:ascii="Cambria"/>
                <w:sz w:val="22"/>
              </w:rPr>
              <w:t>unsignedShort </w:t>
            </w:r>
            <w:r>
              <w:rPr>
                <w:sz w:val="22"/>
              </w:rPr>
              <w:t>datatype.</w:t>
            </w:r>
          </w:p>
        </w:tc>
      </w:tr>
    </w:tbl>
    <w:p>
      <w:pPr>
        <w:pStyle w:val="BodyText"/>
        <w:rPr>
          <w:sz w:val="20"/>
        </w:rPr>
      </w:pPr>
    </w:p>
    <w:p>
      <w:pPr>
        <w:pStyle w:val="BodyText"/>
        <w:spacing w:before="10"/>
        <w:rPr>
          <w:sz w:val="16"/>
        </w:rPr>
      </w:pPr>
    </w:p>
    <w:p>
      <w:pPr>
        <w:pStyle w:val="BodyText"/>
        <w:spacing w:before="57"/>
        <w:ind w:left="220"/>
      </w:pPr>
      <w:r>
        <w:rPr/>
        <w:t>[</w:t>
      </w:r>
      <w:r>
        <w:rPr>
          <w:i/>
        </w:rPr>
        <w:t>Note</w:t>
      </w:r>
      <w:r>
        <w:rPr/>
        <w:t>: The W3C XML Schema definition of this element’s content model (</w:t>
      </w:r>
      <w:r>
        <w:rPr>
          <w:color w:val="5F5F5F"/>
          <w:u w:val="single" w:color="5F5F5F"/>
        </w:rPr>
        <w:t>CT_DateGroupItem</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5 dynamicFilter (Dynamic Filter)" w:id="416"/>
      <w:bookmarkEnd w:id="416"/>
      <w:r>
        <w:rPr/>
      </w:r>
      <w:bookmarkStart w:name="_bookmark137" w:id="417"/>
      <w:bookmarkEnd w:id="417"/>
      <w:r>
        <w:rPr/>
      </w:r>
      <w:bookmarkStart w:name="_bookmark137" w:id="418"/>
      <w:bookmarkEnd w:id="418"/>
      <w:r>
        <w:rPr>
          <w:color w:val="4F81BC"/>
        </w:rPr>
        <w:t>d</w:t>
      </w:r>
      <w:r>
        <w:rPr>
          <w:color w:val="4F81BC"/>
        </w:rPr>
        <w:t>ynamicFilter (Dynamic</w:t>
      </w:r>
      <w:r>
        <w:rPr>
          <w:color w:val="4F81BC"/>
          <w:spacing w:val="-2"/>
        </w:rPr>
        <w:t> </w:t>
      </w:r>
      <w:r>
        <w:rPr>
          <w:color w:val="4F81BC"/>
        </w:rPr>
        <w:t>Filter)</w:t>
      </w:r>
    </w:p>
    <w:p>
      <w:pPr>
        <w:pStyle w:val="BodyText"/>
        <w:spacing w:line="276" w:lineRule="auto" w:before="119"/>
        <w:ind w:left="220" w:right="392"/>
      </w:pPr>
      <w:r>
        <w:rPr/>
        <w:t>This collection specifies dynamic filter criteria. These criteria are considered dynamic because they can change, either with the data itself (e.g., "above average") or with the current system date (e.g., show values for "today"). For any cells whose values do not meet the specified criteria, the corresponding rows shall be hidden from view when the filter is applied.</w:t>
      </w:r>
    </w:p>
    <w:p>
      <w:pPr>
        <w:pStyle w:val="BodyText"/>
        <w:spacing w:before="7"/>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&lt;filterColumn colId="0"&gt;</w:t>
      </w:r>
    </w:p>
    <w:p>
      <w:pPr>
        <w:pStyle w:val="BodyText"/>
        <w:spacing w:before="38"/>
        <w:ind w:left="750"/>
        <w:rPr>
          <w:rFonts w:ascii="Consolas"/>
        </w:rPr>
      </w:pPr>
      <w:r>
        <w:rPr>
          <w:rFonts w:ascii="Consolas"/>
        </w:rPr>
        <w:t>&lt;dynamicFilter type="today"/&gt;</w:t>
      </w:r>
    </w:p>
    <w:p>
      <w:pPr>
        <w:pStyle w:val="BodyText"/>
        <w:spacing w:before="40"/>
        <w:ind w:left="508"/>
        <w:rPr>
          <w:rFonts w:ascii="Consolas"/>
        </w:rPr>
      </w:pPr>
      <w:r>
        <w:rPr>
          <w:rFonts w:ascii="Consolas"/>
        </w:rPr>
        <w:t>&lt;/filterColumn&gt;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847" w:hRule="atLeast"/>
        </w:trPr>
        <w:tc>
          <w:tcPr>
            <w:tcW w:w="2062" w:type="dxa"/>
          </w:tcPr>
          <w:p>
            <w:pPr>
              <w:pStyle w:val="TableParagraph"/>
              <w:spacing w:line="237" w:lineRule="auto" w:before="44"/>
              <w:ind w:right="433"/>
              <w:rPr>
                <w:sz w:val="22"/>
              </w:rPr>
            </w:pPr>
            <w:r>
              <w:rPr>
                <w:rFonts w:ascii="Cambria"/>
                <w:sz w:val="22"/>
              </w:rPr>
              <w:t>maxValIso </w:t>
            </w:r>
            <w:r>
              <w:rPr>
                <w:sz w:val="22"/>
              </w:rPr>
              <w:t>(Max ISO Value)</w:t>
            </w:r>
          </w:p>
        </w:tc>
        <w:tc>
          <w:tcPr>
            <w:tcW w:w="8250" w:type="dxa"/>
          </w:tcPr>
          <w:p>
            <w:pPr>
              <w:pStyle w:val="TableParagraph"/>
              <w:spacing w:before="42"/>
              <w:ind w:right="371"/>
              <w:rPr>
                <w:sz w:val="22"/>
              </w:rPr>
            </w:pPr>
            <w:r>
              <w:rPr>
                <w:sz w:val="22"/>
              </w:rPr>
              <w:t>A maximum value for dynamic filter. </w:t>
            </w:r>
            <w:r>
              <w:rPr>
                <w:rFonts w:ascii="Cambria"/>
                <w:sz w:val="22"/>
              </w:rPr>
              <w:t>maxValIso </w:t>
            </w:r>
            <w:r>
              <w:rPr>
                <w:sz w:val="22"/>
              </w:rPr>
              <w:t>shall be required for today, yesterday, tomorrow, nextWeek, thisWeek, lastWeek, nextMonth, thisMonth, lastMonth, nextQuarter, thisQuarter, lastQuarter, nextYear, thisYear, lastYear, and yearToDate.</w:t>
            </w:r>
          </w:p>
          <w:p>
            <w:pPr>
              <w:pStyle w:val="TableParagraph"/>
              <w:spacing w:before="11"/>
              <w:ind w:left="0"/>
              <w:rPr>
                <w:sz w:val="21"/>
              </w:rPr>
            </w:pPr>
          </w:p>
          <w:p>
            <w:pPr>
              <w:pStyle w:val="TableParagraph"/>
              <w:spacing w:before="0"/>
              <w:ind w:right="106"/>
              <w:rPr>
                <w:sz w:val="22"/>
              </w:rPr>
            </w:pPr>
            <w:r>
              <w:rPr>
                <w:sz w:val="22"/>
              </w:rPr>
              <w:t>The above criteria are based on a value range; that is, if today's date is September 22nd, then the range for thisWeek is the values greater than or equal to September 17 and less than September 24. In the thisWeek range, the lower value is expressed </w:t>
            </w:r>
            <w:r>
              <w:rPr>
                <w:rFonts w:ascii="Cambria"/>
                <w:sz w:val="22"/>
              </w:rPr>
              <w:t>valIso</w:t>
            </w:r>
            <w:r>
              <w:rPr>
                <w:sz w:val="22"/>
              </w:rPr>
              <w:t>. The higher value is expressed using </w:t>
            </w:r>
            <w:r>
              <w:rPr>
                <w:rFonts w:ascii="Cambria"/>
                <w:sz w:val="22"/>
              </w:rPr>
              <w:t>maxValIso</w:t>
            </w:r>
            <w:r>
              <w:rPr>
                <w:sz w:val="22"/>
              </w:rPr>
              <w:t>.</w:t>
            </w:r>
          </w:p>
          <w:p>
            <w:pPr>
              <w:pStyle w:val="TableParagraph"/>
              <w:spacing w:before="1"/>
              <w:ind w:left="0"/>
              <w:rPr>
                <w:sz w:val="22"/>
              </w:rPr>
            </w:pPr>
          </w:p>
          <w:p>
            <w:pPr>
              <w:pStyle w:val="TableParagraph"/>
              <w:spacing w:line="267" w:lineRule="exact" w:before="1"/>
              <w:rPr>
                <w:sz w:val="22"/>
              </w:rPr>
            </w:pPr>
            <w:r>
              <w:rPr>
                <w:sz w:val="22"/>
              </w:rPr>
              <w:t>These dynamic filters shall not require </w:t>
            </w:r>
            <w:r>
              <w:rPr>
                <w:rFonts w:ascii="Cambria"/>
                <w:sz w:val="22"/>
              </w:rPr>
              <w:t>valIso </w:t>
            </w:r>
            <w:r>
              <w:rPr>
                <w:sz w:val="22"/>
              </w:rPr>
              <w:t>or </w:t>
            </w:r>
            <w:r>
              <w:rPr>
                <w:rFonts w:ascii="Cambria"/>
                <w:sz w:val="22"/>
              </w:rPr>
              <w:t>maxValIso</w:t>
            </w:r>
            <w:r>
              <w:rPr>
                <w:sz w:val="22"/>
              </w:rPr>
              <w:t>:</w:t>
            </w:r>
          </w:p>
          <w:p>
            <w:pPr>
              <w:pStyle w:val="TableParagraph"/>
              <w:spacing w:line="267" w:lineRule="exact" w:before="0"/>
              <w:rPr>
                <w:sz w:val="22"/>
              </w:rPr>
            </w:pPr>
            <w:r>
              <w:rPr>
                <w:sz w:val="22"/>
              </w:rPr>
              <w:t>Q1, Q2, Q3, Q4, M1, M2, M3, M4, M5, M6, M7, M8, M9, M10, M11 and M12.</w:t>
            </w:r>
          </w:p>
          <w:p>
            <w:pPr>
              <w:pStyle w:val="TableParagraph"/>
              <w:spacing w:before="0"/>
              <w:ind w:left="0"/>
              <w:rPr>
                <w:sz w:val="22"/>
              </w:rPr>
            </w:pPr>
          </w:p>
          <w:p>
            <w:pPr>
              <w:pStyle w:val="TableParagraph"/>
              <w:spacing w:before="0"/>
              <w:ind w:right="461"/>
              <w:rPr>
                <w:sz w:val="22"/>
              </w:rPr>
            </w:pPr>
            <w:r>
              <w:rPr>
                <w:sz w:val="22"/>
              </w:rPr>
              <w:t>The above criteria shall not specify the range using </w:t>
            </w:r>
            <w:r>
              <w:rPr>
                <w:rFonts w:ascii="Cambria"/>
                <w:sz w:val="22"/>
              </w:rPr>
              <w:t>valIso </w:t>
            </w:r>
            <w:r>
              <w:rPr>
                <w:sz w:val="22"/>
              </w:rPr>
              <w:t>and </w:t>
            </w:r>
            <w:r>
              <w:rPr>
                <w:rFonts w:ascii="Cambria"/>
                <w:sz w:val="22"/>
              </w:rPr>
              <w:t>maxValIso </w:t>
            </w:r>
            <w:r>
              <w:rPr>
                <w:sz w:val="22"/>
              </w:rPr>
              <w:t>because Q1 always starts from M1 to M3, and M1 is always January.</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77"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sz w:val="22"/>
              </w:rPr>
            </w:pPr>
            <w:r>
              <w:rPr>
                <w:sz w:val="22"/>
              </w:rPr>
              <w:t>These types of dynamic filters shall use </w:t>
            </w:r>
            <w:r>
              <w:rPr>
                <w:rFonts w:ascii="Cambria"/>
                <w:sz w:val="22"/>
              </w:rPr>
              <w:t>valIso </w:t>
            </w:r>
            <w:r>
              <w:rPr>
                <w:sz w:val="22"/>
              </w:rPr>
              <w:t>and shall not use </w:t>
            </w:r>
            <w:r>
              <w:rPr>
                <w:rFonts w:ascii="Cambria"/>
                <w:sz w:val="22"/>
              </w:rPr>
              <w:t>maxValIso</w:t>
            </w:r>
            <w:r>
              <w:rPr>
                <w:sz w:val="22"/>
              </w:rPr>
              <w:t>:</w:t>
            </w:r>
          </w:p>
          <w:p>
            <w:pPr>
              <w:pStyle w:val="TableParagraph"/>
              <w:numPr>
                <w:ilvl w:val="0"/>
                <w:numId w:val="32"/>
              </w:numPr>
              <w:tabs>
                <w:tab w:pos="834" w:val="left" w:leader="none"/>
                <w:tab w:pos="835" w:val="left" w:leader="none"/>
              </w:tabs>
              <w:spacing w:line="240" w:lineRule="auto" w:before="1" w:after="0"/>
              <w:ind w:left="835" w:right="0" w:hanging="360"/>
              <w:jc w:val="left"/>
              <w:rPr>
                <w:sz w:val="22"/>
              </w:rPr>
            </w:pPr>
            <w:r>
              <w:rPr>
                <w:sz w:val="22"/>
              </w:rPr>
              <w:t>aboveAverage and</w:t>
            </w:r>
            <w:r>
              <w:rPr>
                <w:spacing w:val="-1"/>
                <w:sz w:val="22"/>
              </w:rPr>
              <w:t> </w:t>
            </w:r>
            <w:r>
              <w:rPr>
                <w:sz w:val="22"/>
              </w:rPr>
              <w:t>belowAverage</w:t>
            </w:r>
          </w:p>
          <w:p>
            <w:pPr>
              <w:pStyle w:val="TableParagraph"/>
              <w:spacing w:before="0"/>
              <w:ind w:left="0"/>
              <w:rPr>
                <w:sz w:val="28"/>
              </w:rPr>
            </w:pPr>
          </w:p>
          <w:p>
            <w:pPr>
              <w:pStyle w:val="TableParagraph"/>
              <w:spacing w:before="193"/>
              <w:rPr>
                <w:rFonts w:ascii="Cambria"/>
                <w:sz w:val="22"/>
              </w:rPr>
            </w:pPr>
            <w:r>
              <w:rPr>
                <w:sz w:val="22"/>
              </w:rPr>
              <w:t>The possible values for this attribute are defined by the W3C XML Schema </w:t>
            </w:r>
            <w:r>
              <w:rPr>
                <w:rFonts w:ascii="Cambria"/>
                <w:sz w:val="22"/>
              </w:rPr>
              <w:t>dateTime</w:t>
            </w:r>
          </w:p>
          <w:p>
            <w:pPr>
              <w:pStyle w:val="TableParagraph"/>
              <w:spacing w:before="1"/>
              <w:rPr>
                <w:sz w:val="22"/>
              </w:rPr>
            </w:pPr>
            <w:r>
              <w:rPr>
                <w:sz w:val="22"/>
              </w:rPr>
              <w:t>datatype.</w:t>
            </w:r>
          </w:p>
        </w:tc>
      </w:tr>
      <w:tr>
        <w:trPr>
          <w:trHeight w:val="1161" w:hRule="atLeast"/>
        </w:trPr>
        <w:tc>
          <w:tcPr>
            <w:tcW w:w="2062" w:type="dxa"/>
          </w:tcPr>
          <w:p>
            <w:pPr>
              <w:pStyle w:val="TableParagraph"/>
              <w:ind w:right="134"/>
              <w:rPr>
                <w:sz w:val="22"/>
              </w:rPr>
            </w:pPr>
            <w:r>
              <w:rPr>
                <w:rFonts w:ascii="Cambria"/>
                <w:sz w:val="22"/>
              </w:rPr>
              <w:t>type </w:t>
            </w:r>
            <w:r>
              <w:rPr>
                <w:sz w:val="22"/>
              </w:rPr>
              <w:t>(Dynamic filter type)</w:t>
            </w:r>
          </w:p>
        </w:tc>
        <w:tc>
          <w:tcPr>
            <w:tcW w:w="8250" w:type="dxa"/>
          </w:tcPr>
          <w:p>
            <w:pPr>
              <w:pStyle w:val="TableParagraph"/>
              <w:rPr>
                <w:sz w:val="22"/>
              </w:rPr>
            </w:pPr>
            <w:r>
              <w:rPr>
                <w:sz w:val="22"/>
              </w:rPr>
              <w:t>Dynamic filter type, e.g., “today” or “nextWeek”.</w:t>
            </w:r>
          </w:p>
          <w:p>
            <w:pPr>
              <w:pStyle w:val="TableParagraph"/>
              <w:spacing w:before="0"/>
              <w:ind w:left="0"/>
              <w:rPr>
                <w:sz w:val="22"/>
              </w:rPr>
            </w:pPr>
          </w:p>
          <w:p>
            <w:pPr>
              <w:pStyle w:val="TableParagraph"/>
              <w:spacing w:before="0"/>
              <w:ind w:right="342"/>
              <w:rPr>
                <w:sz w:val="22"/>
              </w:rPr>
            </w:pPr>
            <w:r>
              <w:rPr>
                <w:sz w:val="22"/>
              </w:rPr>
              <w:t>The possible values for this attribute are defined by the </w:t>
            </w:r>
            <w:r>
              <w:rPr>
                <w:rFonts w:ascii="Cambria" w:hAnsi="Cambria"/>
                <w:sz w:val="22"/>
              </w:rPr>
              <w:t>ST_DynamicFilterType </w:t>
            </w:r>
            <w:r>
              <w:rPr>
                <w:sz w:val="22"/>
              </w:rPr>
              <w:t>simple type (§</w:t>
            </w:r>
            <w:hyperlink w:history="true" w:anchor="_bookmark848">
              <w:r>
                <w:rPr>
                  <w:sz w:val="22"/>
                </w:rPr>
                <w:t>18.18.26</w:t>
              </w:r>
            </w:hyperlink>
            <w:r>
              <w:rPr>
                <w:sz w:val="22"/>
              </w:rPr>
              <w:t>).</w:t>
            </w:r>
          </w:p>
        </w:tc>
      </w:tr>
      <w:tr>
        <w:trPr>
          <w:trHeight w:val="1428" w:hRule="atLeast"/>
        </w:trPr>
        <w:tc>
          <w:tcPr>
            <w:tcW w:w="2062" w:type="dxa"/>
          </w:tcPr>
          <w:p>
            <w:pPr>
              <w:pStyle w:val="TableParagraph"/>
              <w:rPr>
                <w:rFonts w:ascii="Cambria"/>
                <w:sz w:val="22"/>
              </w:rPr>
            </w:pPr>
            <w:r>
              <w:rPr>
                <w:rFonts w:ascii="Cambria"/>
                <w:sz w:val="22"/>
              </w:rPr>
              <w:t>val (</w:t>
            </w:r>
            <w:r>
              <w:rPr>
                <w:sz w:val="22"/>
              </w:rPr>
              <w:t>Value</w:t>
            </w:r>
            <w:r>
              <w:rPr>
                <w:rFonts w:ascii="Cambria"/>
                <w:sz w:val="22"/>
              </w:rPr>
              <w:t>)</w:t>
            </w:r>
          </w:p>
        </w:tc>
        <w:tc>
          <w:tcPr>
            <w:tcW w:w="8250" w:type="dxa"/>
          </w:tcPr>
          <w:p>
            <w:pPr>
              <w:pStyle w:val="TableParagraph"/>
              <w:ind w:right="455"/>
              <w:rPr>
                <w:sz w:val="22"/>
              </w:rPr>
            </w:pPr>
            <w:r>
              <w:rPr>
                <w:sz w:val="22"/>
              </w:rPr>
              <w:t>A minimum numeric value for dynamic filter. (See description of </w:t>
            </w:r>
            <w:r>
              <w:rPr>
                <w:rFonts w:ascii="Cambria"/>
                <w:sz w:val="22"/>
              </w:rPr>
              <w:t>valIso </w:t>
            </w:r>
            <w:r>
              <w:rPr>
                <w:sz w:val="22"/>
              </w:rPr>
              <w:t>to understand when </w:t>
            </w:r>
            <w:r>
              <w:rPr>
                <w:rFonts w:ascii="Cambria"/>
                <w:sz w:val="22"/>
              </w:rPr>
              <w:t>val </w:t>
            </w:r>
            <w:r>
              <w:rPr>
                <w:sz w:val="22"/>
              </w:rPr>
              <w:t>is required.)</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2515" w:hRule="atLeast"/>
        </w:trPr>
        <w:tc>
          <w:tcPr>
            <w:tcW w:w="2062" w:type="dxa"/>
          </w:tcPr>
          <w:p>
            <w:pPr>
              <w:pStyle w:val="TableParagraph"/>
              <w:rPr>
                <w:sz w:val="22"/>
              </w:rPr>
            </w:pPr>
            <w:r>
              <w:rPr>
                <w:rFonts w:ascii="Cambria"/>
                <w:sz w:val="22"/>
              </w:rPr>
              <w:t>valIso </w:t>
            </w:r>
            <w:r>
              <w:rPr>
                <w:sz w:val="22"/>
              </w:rPr>
              <w:t>(ISO Value)</w:t>
            </w:r>
          </w:p>
        </w:tc>
        <w:tc>
          <w:tcPr>
            <w:tcW w:w="8250" w:type="dxa"/>
          </w:tcPr>
          <w:p>
            <w:pPr>
              <w:pStyle w:val="TableParagraph"/>
              <w:rPr>
                <w:sz w:val="22"/>
              </w:rPr>
            </w:pPr>
            <w:r>
              <w:rPr>
                <w:sz w:val="22"/>
              </w:rPr>
              <w:t>A minimum value for dynamic filter. (See description of </w:t>
            </w:r>
            <w:r>
              <w:rPr>
                <w:rFonts w:ascii="Cambria"/>
                <w:sz w:val="22"/>
              </w:rPr>
              <w:t>maxValIso </w:t>
            </w:r>
            <w:r>
              <w:rPr>
                <w:sz w:val="22"/>
              </w:rPr>
              <w:t>to understand when</w:t>
            </w:r>
          </w:p>
          <w:p>
            <w:pPr>
              <w:pStyle w:val="TableParagraph"/>
              <w:spacing w:before="0"/>
              <w:rPr>
                <w:sz w:val="22"/>
              </w:rPr>
            </w:pPr>
            <w:r>
              <w:rPr>
                <w:rFonts w:ascii="Cambria"/>
                <w:sz w:val="22"/>
                <w:u w:val="single"/>
              </w:rPr>
              <w:t>val</w:t>
            </w:r>
            <w:r>
              <w:rPr>
                <w:sz w:val="22"/>
              </w:rPr>
              <w:t>/</w:t>
            </w:r>
            <w:r>
              <w:rPr>
                <w:rFonts w:ascii="Cambria"/>
                <w:sz w:val="22"/>
              </w:rPr>
              <w:t>valIso </w:t>
            </w:r>
            <w:r>
              <w:rPr>
                <w:sz w:val="22"/>
              </w:rPr>
              <w:t>is required.)</w:t>
            </w:r>
          </w:p>
          <w:p>
            <w:pPr>
              <w:pStyle w:val="TableParagraph"/>
              <w:spacing w:before="0"/>
              <w:ind w:left="0"/>
              <w:rPr>
                <w:sz w:val="22"/>
              </w:rPr>
            </w:pPr>
          </w:p>
          <w:p>
            <w:pPr>
              <w:pStyle w:val="TableParagraph"/>
              <w:spacing w:before="0"/>
              <w:ind w:right="104"/>
              <w:rPr>
                <w:sz w:val="22"/>
              </w:rPr>
            </w:pPr>
            <w:r>
              <w:rPr>
                <w:sz w:val="22"/>
                <w:u w:val="single"/>
              </w:rPr>
              <w:t>Only these types of dynamic filters use numeric data, and therefore shall use val and shall</w:t>
            </w:r>
            <w:r>
              <w:rPr>
                <w:sz w:val="22"/>
              </w:rPr>
              <w:t> </w:t>
            </w:r>
            <w:r>
              <w:rPr>
                <w:sz w:val="22"/>
                <w:u w:val="single"/>
              </w:rPr>
              <w:t>not use valIso:</w:t>
            </w:r>
          </w:p>
          <w:p>
            <w:pPr>
              <w:pStyle w:val="TableParagraph"/>
              <w:numPr>
                <w:ilvl w:val="0"/>
                <w:numId w:val="33"/>
              </w:numPr>
              <w:tabs>
                <w:tab w:pos="834" w:val="left" w:leader="none"/>
                <w:tab w:pos="835" w:val="left" w:leader="none"/>
              </w:tabs>
              <w:spacing w:line="240" w:lineRule="auto" w:before="1" w:after="0"/>
              <w:ind w:left="835" w:right="0" w:hanging="360"/>
              <w:jc w:val="left"/>
              <w:rPr>
                <w:sz w:val="22"/>
              </w:rPr>
            </w:pPr>
            <w:r>
              <w:rPr>
                <w:sz w:val="22"/>
                <w:u w:val="single"/>
              </w:rPr>
              <w:t>aboveAverage and</w:t>
            </w:r>
            <w:r>
              <w:rPr>
                <w:spacing w:val="-1"/>
                <w:sz w:val="22"/>
                <w:u w:val="single"/>
              </w:rPr>
              <w:t> </w:t>
            </w:r>
            <w:r>
              <w:rPr>
                <w:sz w:val="22"/>
                <w:u w:val="single"/>
              </w:rPr>
              <w:t>belowAverage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dateTime</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CT_DynamicFilter</w:t>
      </w:r>
      <w:r>
        <w:rPr/>
        <w:t>) is located in §A.2.</w:t>
      </w:r>
    </w:p>
    <w:p>
      <w:pPr>
        <w:spacing w:before="44"/>
        <w:ind w:left="220" w:right="0" w:firstLine="0"/>
        <w:jc w:val="left"/>
        <w:rPr>
          <w:sz w:val="22"/>
        </w:rPr>
      </w:pPr>
      <w:r>
        <w:rPr>
          <w:i/>
          <w:sz w:val="22"/>
        </w:rPr>
        <w:t>end note</w:t>
      </w:r>
      <w:r>
        <w:rPr>
          <w:sz w:val="22"/>
        </w:rPr>
        <w:t>]</w:t>
      </w:r>
    </w:p>
    <w:p>
      <w:pPr>
        <w:pStyle w:val="BodyText"/>
        <w:spacing w:before="8"/>
        <w:rPr>
          <w:sz w:val="19"/>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6 filter (Filter)" w:id="419"/>
      <w:bookmarkEnd w:id="419"/>
      <w:r>
        <w:rPr/>
      </w:r>
      <w:bookmarkStart w:name="_bookmark138" w:id="420"/>
      <w:bookmarkEnd w:id="420"/>
      <w:r>
        <w:rPr/>
      </w:r>
      <w:bookmarkStart w:name="_bookmark138" w:id="421"/>
      <w:bookmarkEnd w:id="421"/>
      <w:r>
        <w:rPr>
          <w:color w:val="4F81BC"/>
        </w:rPr>
        <w:t>filter</w:t>
      </w:r>
      <w:r>
        <w:rPr>
          <w:color w:val="4F81BC"/>
          <w:spacing w:val="-1"/>
        </w:rPr>
        <w:t> </w:t>
      </w:r>
      <w:r>
        <w:rPr>
          <w:color w:val="4F81BC"/>
        </w:rPr>
        <w:t>(Filter)</w:t>
      </w:r>
    </w:p>
    <w:p>
      <w:pPr>
        <w:pStyle w:val="BodyText"/>
        <w:spacing w:line="453" w:lineRule="auto" w:before="122"/>
        <w:ind w:left="220" w:right="6459"/>
      </w:pPr>
      <w:r>
        <w:rPr/>
        <w:t>This element expresses a filter criteria value. [</w:t>
      </w:r>
      <w:r>
        <w:rPr>
          <w:i/>
        </w:rPr>
        <w:t>Example</w:t>
      </w:r>
      <w:r>
        <w:rPr/>
        <w:t>:</w:t>
      </w:r>
    </w:p>
    <w:p>
      <w:pPr>
        <w:pStyle w:val="BodyText"/>
        <w:spacing w:before="2"/>
        <w:ind w:left="508"/>
        <w:rPr>
          <w:rFonts w:ascii="Consolas"/>
        </w:rPr>
      </w:pPr>
      <w:r>
        <w:rPr>
          <w:rFonts w:ascii="Consolas"/>
        </w:rPr>
        <w:t>&lt;filters&gt;</w:t>
      </w:r>
    </w:p>
    <w:p>
      <w:pPr>
        <w:pStyle w:val="BodyText"/>
        <w:spacing w:before="40"/>
        <w:ind w:left="750"/>
        <w:rPr>
          <w:rFonts w:ascii="Consolas"/>
        </w:rPr>
      </w:pPr>
      <w:r>
        <w:rPr>
          <w:rFonts w:ascii="Consolas"/>
        </w:rPr>
        <w:t>&lt;filter</w:t>
      </w:r>
      <w:r>
        <w:rPr>
          <w:rFonts w:ascii="Consolas"/>
          <w:spacing w:val="-18"/>
        </w:rPr>
        <w:t> </w:t>
      </w:r>
      <w:r>
        <w:rPr>
          <w:rFonts w:ascii="Consolas"/>
        </w:rPr>
        <w:t>val="0.316588716"/&gt;</w:t>
      </w:r>
    </w:p>
    <w:p>
      <w:pPr>
        <w:pStyle w:val="BodyText"/>
        <w:spacing w:before="38"/>
        <w:ind w:left="750"/>
        <w:rPr>
          <w:rFonts w:ascii="Consolas"/>
        </w:rPr>
      </w:pPr>
      <w:r>
        <w:rPr>
          <w:rFonts w:ascii="Consolas"/>
        </w:rPr>
        <w:t>&lt;filter</w:t>
      </w:r>
      <w:r>
        <w:rPr>
          <w:rFonts w:ascii="Consolas"/>
          <w:spacing w:val="-18"/>
        </w:rPr>
        <w:t> </w:t>
      </w:r>
      <w:r>
        <w:rPr>
          <w:rFonts w:ascii="Consolas"/>
        </w:rPr>
        <w:t>val="0.667439395"/&gt;</w:t>
      </w:r>
    </w:p>
    <w:p>
      <w:pPr>
        <w:pStyle w:val="BodyText"/>
        <w:spacing w:before="38"/>
        <w:ind w:left="750"/>
        <w:rPr>
          <w:rFonts w:ascii="Consolas"/>
        </w:rPr>
      </w:pPr>
      <w:r>
        <w:rPr>
          <w:rFonts w:ascii="Consolas"/>
        </w:rPr>
        <w:t>&lt;filter</w:t>
      </w:r>
      <w:r>
        <w:rPr>
          <w:rFonts w:ascii="Consolas"/>
          <w:spacing w:val="-18"/>
        </w:rPr>
        <w:t> </w:t>
      </w:r>
      <w:r>
        <w:rPr>
          <w:rFonts w:ascii="Consolas"/>
        </w:rPr>
        <w:t>val="0.823086999"/&gt;</w:t>
      </w:r>
    </w:p>
    <w:p>
      <w:pPr>
        <w:pStyle w:val="BodyText"/>
        <w:spacing w:before="40"/>
        <w:ind w:left="508"/>
        <w:rPr>
          <w:rFonts w:ascii="Consolas"/>
        </w:rPr>
      </w:pPr>
      <w:r>
        <w:rPr>
          <w:rFonts w:ascii="Consolas"/>
        </w:rPr>
        <w:t>&lt;/filters&gt;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val </w:t>
            </w:r>
            <w:r>
              <w:rPr>
                <w:sz w:val="22"/>
              </w:rPr>
              <w:t>(Filter Value)</w:t>
            </w:r>
          </w:p>
        </w:tc>
        <w:tc>
          <w:tcPr>
            <w:tcW w:w="8250" w:type="dxa"/>
          </w:tcPr>
          <w:p>
            <w:pPr>
              <w:pStyle w:val="TableParagraph"/>
              <w:rPr>
                <w:sz w:val="22"/>
              </w:rPr>
            </w:pPr>
            <w:r>
              <w:rPr>
                <w:sz w:val="22"/>
              </w:rPr>
              <w:t>Filter value used in the criteria.</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CT_Filter</w:t>
      </w:r>
      <w:r>
        <w:rPr/>
        <w:t>) is located in §A.2. </w:t>
      </w:r>
      <w:r>
        <w:rPr>
          <w:i/>
        </w:rPr>
        <w:t>end note</w:t>
      </w:r>
      <w:r>
        <w:rPr/>
        <w:t>]</w:t>
      </w:r>
    </w:p>
    <w:p>
      <w:pPr>
        <w:pStyle w:val="BodyText"/>
        <w:spacing w:before="9"/>
        <w:rPr>
          <w:sz w:val="19"/>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7 filterColumn (AutoFilter Column" w:id="422"/>
      <w:bookmarkEnd w:id="422"/>
      <w:r>
        <w:rPr/>
      </w:r>
      <w:bookmarkStart w:name="_bookmark139" w:id="423"/>
      <w:bookmarkEnd w:id="423"/>
      <w:r>
        <w:rPr/>
      </w:r>
      <w:bookmarkStart w:name="_bookmark139" w:id="424"/>
      <w:bookmarkEnd w:id="424"/>
      <w:r>
        <w:rPr>
          <w:color w:val="4F81BC"/>
        </w:rPr>
        <w:t>filter</w:t>
      </w:r>
      <w:r>
        <w:rPr>
          <w:color w:val="4F81BC"/>
        </w:rPr>
        <w:t>Column (AutoFilter</w:t>
      </w:r>
      <w:r>
        <w:rPr>
          <w:color w:val="4F81BC"/>
          <w:spacing w:val="-3"/>
        </w:rPr>
        <w:t> </w:t>
      </w:r>
      <w:r>
        <w:rPr>
          <w:color w:val="4F81BC"/>
        </w:rPr>
        <w:t>Column)</w:t>
      </w:r>
    </w:p>
    <w:p>
      <w:pPr>
        <w:pStyle w:val="BodyText"/>
        <w:spacing w:line="276" w:lineRule="auto" w:before="119"/>
        <w:ind w:left="220" w:right="496"/>
      </w:pPr>
      <w:r>
        <w:rPr/>
        <w:t>The filterColumn collection identifies a particular column in the AutoFilter range and specifies filter information that has been applied to this column. If a column in the AutoFilter range has no criteria specified, then there is no corresponding filterColumn collection expressed for that column.</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32"/>
              <w:rPr>
                <w:sz w:val="22"/>
              </w:rPr>
            </w:pPr>
            <w:r>
              <w:rPr>
                <w:rFonts w:ascii="Cambria"/>
                <w:sz w:val="22"/>
              </w:rPr>
              <w:t>colId </w:t>
            </w:r>
            <w:r>
              <w:rPr>
                <w:sz w:val="22"/>
              </w:rPr>
              <w:t>(Filter Column Data)</w:t>
            </w:r>
          </w:p>
        </w:tc>
        <w:tc>
          <w:tcPr>
            <w:tcW w:w="8250" w:type="dxa"/>
          </w:tcPr>
          <w:p>
            <w:pPr>
              <w:pStyle w:val="TableParagraph"/>
              <w:rPr>
                <w:sz w:val="22"/>
              </w:rPr>
            </w:pPr>
            <w:r>
              <w:rPr>
                <w:sz w:val="22"/>
              </w:rPr>
              <w:t>Zero-based index indicating the AutoFilter column to which this filter information applies.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spacing w:line="237" w:lineRule="auto" w:before="45"/>
              <w:ind w:right="262"/>
              <w:rPr>
                <w:sz w:val="22"/>
              </w:rPr>
            </w:pPr>
            <w:r>
              <w:rPr>
                <w:rFonts w:ascii="Cambria"/>
                <w:sz w:val="22"/>
              </w:rPr>
              <w:t>hiddenButton </w:t>
            </w:r>
            <w:r>
              <w:rPr>
                <w:sz w:val="22"/>
              </w:rPr>
              <w:t>(Hidden AutoFilter Button)</w:t>
            </w:r>
          </w:p>
        </w:tc>
        <w:tc>
          <w:tcPr>
            <w:tcW w:w="8250" w:type="dxa"/>
          </w:tcPr>
          <w:p>
            <w:pPr>
              <w:pStyle w:val="TableParagraph"/>
              <w:rPr>
                <w:sz w:val="22"/>
              </w:rPr>
            </w:pPr>
            <w:r>
              <w:rPr>
                <w:sz w:val="22"/>
              </w:rPr>
              <w:t>Flag indicating whether the AutoFilter button for this column is hidden.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8" w:hRule="atLeast"/>
        </w:trPr>
        <w:tc>
          <w:tcPr>
            <w:tcW w:w="2062" w:type="dxa"/>
          </w:tcPr>
          <w:p>
            <w:pPr>
              <w:pStyle w:val="TableParagraph"/>
              <w:ind w:right="164"/>
              <w:rPr>
                <w:sz w:val="22"/>
              </w:rPr>
            </w:pPr>
            <w:r>
              <w:rPr>
                <w:rFonts w:ascii="Cambria"/>
                <w:sz w:val="22"/>
              </w:rPr>
              <w:t>showButton </w:t>
            </w:r>
            <w:r>
              <w:rPr>
                <w:sz w:val="22"/>
              </w:rPr>
              <w:t>(Show Filter Button)</w:t>
            </w:r>
          </w:p>
        </w:tc>
        <w:tc>
          <w:tcPr>
            <w:tcW w:w="8250" w:type="dxa"/>
          </w:tcPr>
          <w:p>
            <w:pPr>
              <w:pStyle w:val="TableParagraph"/>
              <w:ind w:right="221"/>
              <w:jc w:val="both"/>
              <w:rPr>
                <w:sz w:val="22"/>
              </w:rPr>
            </w:pPr>
            <w:r>
              <w:rPr>
                <w:sz w:val="22"/>
              </w:rPr>
              <w:t>Flag indicating whether an application intended for editing Office Open XML documents should show filtering interface elements on this cell. [</w:t>
            </w:r>
            <w:r>
              <w:rPr>
                <w:i/>
                <w:sz w:val="22"/>
              </w:rPr>
              <w:t>Example</w:t>
            </w:r>
            <w:r>
              <w:rPr>
                <w:sz w:val="22"/>
              </w:rPr>
              <w:t>: When a cell containing a filter button is merged with another cell, the filter button can be hidden, and not drawn. </w:t>
            </w:r>
            <w:r>
              <w:rPr>
                <w:i/>
                <w:sz w:val="22"/>
              </w:rPr>
              <w:t>end example</w:t>
            </w:r>
            <w:r>
              <w:rPr>
                <w:sz w:val="22"/>
              </w:rPr>
              <w:t>]</w:t>
            </w:r>
          </w:p>
          <w:p>
            <w:pPr>
              <w:pStyle w:val="TableParagraph"/>
              <w:spacing w:before="1"/>
              <w:ind w:left="0"/>
              <w:rPr>
                <w:sz w:val="22"/>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CT_FilterColumn</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8 filters (Filter Criteria)" w:id="425"/>
      <w:bookmarkEnd w:id="425"/>
      <w:r>
        <w:rPr/>
      </w:r>
      <w:bookmarkStart w:name="_bookmark140" w:id="426"/>
      <w:bookmarkEnd w:id="426"/>
      <w:r>
        <w:rPr/>
      </w:r>
      <w:bookmarkStart w:name="_bookmark140" w:id="427"/>
      <w:bookmarkEnd w:id="427"/>
      <w:r>
        <w:rPr>
          <w:color w:val="4F81BC"/>
        </w:rPr>
        <w:t>filters</w:t>
      </w:r>
      <w:r>
        <w:rPr>
          <w:color w:val="4F81BC"/>
        </w:rPr>
        <w:t> (Filter</w:t>
      </w:r>
      <w:r>
        <w:rPr>
          <w:color w:val="4F81BC"/>
          <w:spacing w:val="-3"/>
        </w:rPr>
        <w:t> </w:t>
      </w:r>
      <w:r>
        <w:rPr>
          <w:color w:val="4F81BC"/>
        </w:rPr>
        <w:t>Criteria)</w:t>
      </w:r>
    </w:p>
    <w:p>
      <w:pPr>
        <w:pStyle w:val="BodyText"/>
        <w:spacing w:line="276" w:lineRule="auto" w:before="122"/>
        <w:ind w:left="220" w:right="374"/>
      </w:pPr>
      <w:r>
        <w:rPr/>
        <w:t>When multiple values are chosen to filter by, or when a group of date values are chosen to filter by, this element groups those criteria together.</w:t>
      </w:r>
    </w:p>
    <w:p>
      <w:pPr>
        <w:pStyle w:val="BodyText"/>
        <w:spacing w:before="5"/>
        <w:rPr>
          <w:sz w:val="16"/>
        </w:rPr>
      </w:pPr>
    </w:p>
    <w:p>
      <w:pPr>
        <w:spacing w:before="0"/>
        <w:ind w:left="220" w:right="0" w:firstLine="0"/>
        <w:jc w:val="left"/>
        <w:rPr>
          <w:sz w:val="22"/>
        </w:rPr>
      </w:pPr>
      <w:r>
        <w:rPr>
          <w:sz w:val="22"/>
        </w:rPr>
        <w:t>[</w:t>
      </w:r>
      <w:r>
        <w:rPr>
          <w:i/>
          <w:sz w:val="22"/>
        </w:rPr>
        <w:t>Example</w:t>
      </w:r>
      <w:r>
        <w:rPr>
          <w:sz w:val="22"/>
        </w:rPr>
        <w:t>:</w:t>
      </w:r>
    </w:p>
    <w:p>
      <w:pPr>
        <w:spacing w:after="0"/>
        <w:jc w:val="left"/>
        <w:rPr>
          <w:sz w:val="22"/>
        </w:rPr>
        <w:sectPr>
          <w:pgSz w:w="12240" w:h="15840"/>
          <w:pgMar w:header="763" w:footer="746" w:top="1340" w:bottom="940" w:left="860" w:right="700"/>
        </w:sectPr>
      </w:pPr>
    </w:p>
    <w:p>
      <w:pPr>
        <w:pStyle w:val="BodyText"/>
        <w:spacing w:before="93"/>
        <w:ind w:left="508"/>
        <w:rPr>
          <w:rFonts w:ascii="Consolas"/>
        </w:rPr>
      </w:pPr>
      <w:r>
        <w:rPr>
          <w:rFonts w:ascii="Consolas"/>
        </w:rPr>
        <w:t>&lt;filters&gt;</w:t>
      </w:r>
    </w:p>
    <w:p>
      <w:pPr>
        <w:pStyle w:val="BodyText"/>
        <w:spacing w:before="38"/>
        <w:ind w:left="750"/>
        <w:rPr>
          <w:rFonts w:ascii="Consolas"/>
        </w:rPr>
      </w:pPr>
      <w:r>
        <w:rPr>
          <w:rFonts w:ascii="Consolas"/>
        </w:rPr>
        <w:t>&lt;dateGroupItem year="2006" month="1" day="2"</w:t>
      </w:r>
      <w:r>
        <w:rPr>
          <w:rFonts w:ascii="Consolas"/>
          <w:spacing w:val="-50"/>
        </w:rPr>
        <w:t> </w:t>
      </w:r>
      <w:r>
        <w:rPr>
          <w:rFonts w:ascii="Consolas"/>
        </w:rPr>
        <w:t>dateTimeGrouping="day"/&gt;</w:t>
      </w:r>
    </w:p>
    <w:p>
      <w:pPr>
        <w:pStyle w:val="BodyText"/>
        <w:spacing w:before="40"/>
        <w:ind w:left="750"/>
        <w:rPr>
          <w:rFonts w:ascii="Consolas"/>
        </w:rPr>
      </w:pPr>
      <w:r>
        <w:rPr>
          <w:rFonts w:ascii="Consolas"/>
        </w:rPr>
        <w:t>&lt;dateGroupItem year="2005" month="1" day="2"</w:t>
      </w:r>
      <w:r>
        <w:rPr>
          <w:rFonts w:ascii="Consolas"/>
          <w:spacing w:val="-50"/>
        </w:rPr>
        <w:t> </w:t>
      </w:r>
      <w:r>
        <w:rPr>
          <w:rFonts w:ascii="Consolas"/>
        </w:rPr>
        <w:t>dateTimeGrouping="day"/&gt;</w:t>
      </w:r>
    </w:p>
    <w:p>
      <w:pPr>
        <w:pStyle w:val="BodyText"/>
        <w:spacing w:before="37"/>
        <w:ind w:left="508"/>
        <w:rPr>
          <w:rFonts w:ascii="Consolas"/>
        </w:rPr>
      </w:pPr>
      <w:r>
        <w:rPr>
          <w:rFonts w:ascii="Consolas"/>
        </w:rPr>
        <w:t>&lt;/filters&gt;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49"/>
              <w:rPr>
                <w:sz w:val="22"/>
              </w:rPr>
            </w:pPr>
            <w:r>
              <w:rPr>
                <w:rFonts w:ascii="Cambria"/>
                <w:sz w:val="22"/>
              </w:rPr>
              <w:t>blank </w:t>
            </w:r>
            <w:r>
              <w:rPr>
                <w:sz w:val="22"/>
              </w:rPr>
              <w:t>(Filter by Blank)</w:t>
            </w:r>
          </w:p>
        </w:tc>
        <w:tc>
          <w:tcPr>
            <w:tcW w:w="8250" w:type="dxa"/>
          </w:tcPr>
          <w:p>
            <w:pPr>
              <w:pStyle w:val="TableParagraph"/>
              <w:rPr>
                <w:sz w:val="22"/>
              </w:rPr>
            </w:pPr>
            <w:r>
              <w:rPr>
                <w:sz w:val="22"/>
              </w:rPr>
              <w:t>Flag indicating whether to filter by blank.</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spacing w:line="256" w:lineRule="exact" w:before="42"/>
              <w:rPr>
                <w:rFonts w:ascii="Cambria"/>
                <w:sz w:val="22"/>
              </w:rPr>
            </w:pPr>
            <w:r>
              <w:rPr>
                <w:rFonts w:ascii="Cambria"/>
                <w:sz w:val="22"/>
              </w:rPr>
              <w:t>calendarType</w:t>
            </w:r>
          </w:p>
          <w:p>
            <w:pPr>
              <w:pStyle w:val="TableParagraph"/>
              <w:spacing w:line="267" w:lineRule="exact" w:before="0"/>
              <w:rPr>
                <w:sz w:val="22"/>
              </w:rPr>
            </w:pPr>
            <w:r>
              <w:rPr>
                <w:sz w:val="22"/>
              </w:rPr>
              <w:t>(Calendar Type)</w:t>
            </w:r>
          </w:p>
        </w:tc>
        <w:tc>
          <w:tcPr>
            <w:tcW w:w="8250" w:type="dxa"/>
          </w:tcPr>
          <w:p>
            <w:pPr>
              <w:pStyle w:val="TableParagraph"/>
              <w:ind w:right="216"/>
              <w:rPr>
                <w:sz w:val="22"/>
              </w:rPr>
            </w:pPr>
            <w:r>
              <w:rPr>
                <w:sz w:val="22"/>
              </w:rPr>
              <w:t>Calendar type for date grouped items. Used to interpret the values in </w:t>
            </w:r>
            <w:r>
              <w:rPr>
                <w:rFonts w:ascii="Cambria"/>
                <w:sz w:val="22"/>
              </w:rPr>
              <w:t>dateGroupItem</w:t>
            </w:r>
            <w:r>
              <w:rPr>
                <w:sz w:val="22"/>
              </w:rPr>
              <w:t>. This is the calendar type used to evaluate all dates in the filter column, even when those dates are not using the same calendar system / date formatting.</w:t>
            </w:r>
          </w:p>
          <w:p>
            <w:pPr>
              <w:pStyle w:val="TableParagraph"/>
              <w:spacing w:before="11"/>
              <w:ind w:left="0"/>
              <w:rPr>
                <w:sz w:val="21"/>
              </w:rPr>
            </w:pPr>
          </w:p>
          <w:p>
            <w:pPr>
              <w:pStyle w:val="TableParagraph"/>
              <w:spacing w:before="0"/>
              <w:ind w:right="392"/>
              <w:rPr>
                <w:sz w:val="22"/>
              </w:rPr>
            </w:pPr>
            <w:r>
              <w:rPr>
                <w:sz w:val="22"/>
              </w:rPr>
              <w:t>The possible values for this attribute are defined by the </w:t>
            </w:r>
            <w:r>
              <w:rPr>
                <w:rFonts w:ascii="Cambria" w:hAnsi="Cambria"/>
                <w:sz w:val="22"/>
              </w:rPr>
              <w:t>ST_CalendarType </w:t>
            </w:r>
            <w:r>
              <w:rPr>
                <w:sz w:val="22"/>
              </w:rPr>
              <w:t>simple type (§22.9.2.1).</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CT_Filters</w:t>
      </w:r>
      <w:r>
        <w:rPr/>
        <w:t>) is located in §A.2. </w:t>
      </w:r>
      <w:r>
        <w:rPr>
          <w:i/>
        </w:rPr>
        <w:t>end note</w:t>
      </w:r>
      <w:r>
        <w:rPr/>
        <w:t>]</w:t>
      </w:r>
    </w:p>
    <w:p>
      <w:pPr>
        <w:pStyle w:val="BodyText"/>
        <w:spacing w:before="9"/>
        <w:rPr>
          <w:sz w:val="19"/>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9 iconFilter (Icon Filter)" w:id="428"/>
      <w:bookmarkEnd w:id="428"/>
      <w:r>
        <w:rPr/>
      </w:r>
      <w:bookmarkStart w:name="_bookmark141" w:id="429"/>
      <w:bookmarkEnd w:id="429"/>
      <w:r>
        <w:rPr/>
      </w:r>
      <w:bookmarkStart w:name="_bookmark141" w:id="430"/>
      <w:bookmarkEnd w:id="430"/>
      <w:r>
        <w:rPr>
          <w:color w:val="4F81BC"/>
        </w:rPr>
        <w:t>icon</w:t>
      </w:r>
      <w:r>
        <w:rPr>
          <w:color w:val="4F81BC"/>
        </w:rPr>
        <w:t>Filter (Icon</w:t>
      </w:r>
      <w:r>
        <w:rPr>
          <w:color w:val="4F81BC"/>
          <w:spacing w:val="-3"/>
        </w:rPr>
        <w:t> </w:t>
      </w:r>
      <w:r>
        <w:rPr>
          <w:color w:val="4F81BC"/>
        </w:rPr>
        <w:t>Filter)</w:t>
      </w:r>
    </w:p>
    <w:p>
      <w:pPr>
        <w:pStyle w:val="BodyText"/>
        <w:spacing w:line="278" w:lineRule="auto" w:before="119"/>
        <w:ind w:left="220" w:right="577"/>
      </w:pPr>
      <w:r>
        <w:rPr/>
        <w:t>This element specifies the icon set and particular icon within that set to filter by. For any cells whose icon does not match the specified criteria, the corresponding rows shall be hidden from view when the filter is applied.</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&lt;filterColumn colId="3"&gt;</w:t>
      </w:r>
    </w:p>
    <w:p>
      <w:pPr>
        <w:pStyle w:val="BodyText"/>
        <w:spacing w:before="38"/>
        <w:ind w:left="750"/>
        <w:rPr>
          <w:rFonts w:ascii="Consolas"/>
        </w:rPr>
      </w:pPr>
      <w:r>
        <w:rPr>
          <w:rFonts w:ascii="Consolas"/>
        </w:rPr>
        <w:t>&lt;iconFilter iconSet="3Arrows" iconId="0"/&gt;</w:t>
      </w:r>
    </w:p>
    <w:p>
      <w:pPr>
        <w:pStyle w:val="BodyText"/>
        <w:spacing w:before="40"/>
        <w:ind w:left="508"/>
        <w:rPr>
          <w:rFonts w:ascii="Consolas"/>
        </w:rPr>
      </w:pPr>
      <w:r>
        <w:rPr>
          <w:rFonts w:ascii="Consolas"/>
        </w:rPr>
        <w:t>&lt;/filterColumn&gt;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rPr>
                <w:sz w:val="22"/>
              </w:rPr>
            </w:pPr>
            <w:r>
              <w:rPr>
                <w:rFonts w:ascii="Cambria"/>
                <w:sz w:val="22"/>
              </w:rPr>
              <w:t>iconId </w:t>
            </w:r>
            <w:r>
              <w:rPr>
                <w:sz w:val="22"/>
              </w:rPr>
              <w:t>(Icon Id)</w:t>
            </w:r>
          </w:p>
        </w:tc>
        <w:tc>
          <w:tcPr>
            <w:tcW w:w="8250" w:type="dxa"/>
          </w:tcPr>
          <w:p>
            <w:pPr>
              <w:pStyle w:val="TableParagraph"/>
              <w:rPr>
                <w:sz w:val="22"/>
              </w:rPr>
            </w:pPr>
            <w:r>
              <w:rPr>
                <w:sz w:val="22"/>
              </w:rPr>
              <w:t>Zero-based index of an icon in an icon set. The absence of this attribute means "no icon"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iconSet </w:t>
            </w:r>
            <w:r>
              <w:rPr>
                <w:sz w:val="22"/>
              </w:rPr>
              <w:t>(Icon Set)</w:t>
            </w:r>
          </w:p>
        </w:tc>
        <w:tc>
          <w:tcPr>
            <w:tcW w:w="8250" w:type="dxa"/>
          </w:tcPr>
          <w:p>
            <w:pPr>
              <w:pStyle w:val="TableParagraph"/>
              <w:rPr>
                <w:sz w:val="22"/>
              </w:rPr>
            </w:pPr>
            <w:r>
              <w:rPr>
                <w:sz w:val="22"/>
              </w:rPr>
              <w:t>Specifies which icon set is used in the filter criteria.</w:t>
            </w:r>
          </w:p>
          <w:p>
            <w:pPr>
              <w:pStyle w:val="TableParagraph"/>
              <w:spacing w:before="0"/>
              <w:ind w:left="0"/>
              <w:rPr>
                <w:sz w:val="22"/>
              </w:rPr>
            </w:pPr>
          </w:p>
          <w:p>
            <w:pPr>
              <w:pStyle w:val="TableParagraph"/>
              <w:spacing w:before="0"/>
              <w:ind w:right="535"/>
              <w:rPr>
                <w:sz w:val="22"/>
              </w:rPr>
            </w:pPr>
            <w:r>
              <w:rPr>
                <w:sz w:val="22"/>
              </w:rPr>
              <w:t>The possible values for this attribute are defined by the </w:t>
            </w:r>
            <w:r>
              <w:rPr>
                <w:rFonts w:ascii="Cambria" w:hAnsi="Cambria"/>
                <w:sz w:val="22"/>
              </w:rPr>
              <w:t>ST_IconSetType </w:t>
            </w:r>
            <w:r>
              <w:rPr>
                <w:sz w:val="22"/>
              </w:rPr>
              <w:t>simple type </w:t>
            </w:r>
            <w:hyperlink w:history="true" w:anchor="_bookmark864">
              <w:r>
                <w:rPr>
                  <w:sz w:val="22"/>
                </w:rPr>
                <w:t>(§18.18.42</w:t>
              </w:r>
            </w:hyperlink>
            <w:r>
              <w:rPr>
                <w:sz w:val="22"/>
              </w:rPr>
              <w:t>).</w:t>
            </w:r>
          </w:p>
        </w:tc>
      </w:tr>
    </w:tbl>
    <w:p>
      <w:pPr>
        <w:spacing w:after="0"/>
        <w:rPr>
          <w:sz w:val="22"/>
        </w:rPr>
        <w:sectPr>
          <w:pgSz w:w="12240" w:h="15840"/>
          <w:pgMar w:header="761" w:footer="746" w:top="1340" w:bottom="940" w:left="860" w:right="700"/>
        </w:sectPr>
      </w:pPr>
    </w:p>
    <w:p>
      <w:pPr>
        <w:pStyle w:val="BodyText"/>
        <w:spacing w:line="278" w:lineRule="auto" w:before="148"/>
        <w:ind w:left="220" w:right="643"/>
      </w:pPr>
      <w:r>
        <w:rPr/>
        <w:t>[</w:t>
      </w:r>
      <w:r>
        <w:rPr>
          <w:i/>
        </w:rPr>
        <w:t>Note</w:t>
      </w:r>
      <w:r>
        <w:rPr/>
        <w:t>: The W3C XML Schema definition of this element’s content model (</w:t>
      </w:r>
      <w:r>
        <w:rPr>
          <w:color w:val="5F5F5F"/>
          <w:u w:val="single" w:color="5F5F5F"/>
        </w:rPr>
        <w:t>CT_IconFilter</w:t>
      </w:r>
      <w:r>
        <w:rPr/>
        <w:t>) is located in §A.2. </w:t>
      </w:r>
      <w:r>
        <w:rPr>
          <w:i/>
        </w:rPr>
        <w:t>end </w:t>
      </w:r>
      <w:r>
        <w:rPr>
          <w:i/>
        </w:rPr>
        <w:t>note</w:t>
      </w:r>
      <w:r>
        <w:rPr/>
        <w:t>]</w:t>
      </w:r>
    </w:p>
    <w:p>
      <w:pPr>
        <w:pStyle w:val="BodyText"/>
        <w:spacing w:before="3"/>
        <w:rPr>
          <w:sz w:val="16"/>
        </w:rPr>
      </w:pPr>
    </w:p>
    <w:p>
      <w:pPr>
        <w:pStyle w:val="Heading3"/>
        <w:numPr>
          <w:ilvl w:val="3"/>
          <w:numId w:val="31"/>
        </w:numPr>
        <w:tabs>
          <w:tab w:pos="1732" w:val="left" w:leader="none"/>
          <w:tab w:pos="1733" w:val="left" w:leader="none"/>
        </w:tabs>
        <w:spacing w:line="240" w:lineRule="auto" w:before="0" w:after="0"/>
        <w:ind w:left="1732" w:right="0" w:hanging="1513"/>
        <w:jc w:val="left"/>
      </w:pPr>
      <w:bookmarkStart w:name="18.3.2.10 top10 (Top 10)" w:id="431"/>
      <w:bookmarkEnd w:id="431"/>
      <w:r>
        <w:rPr/>
      </w:r>
      <w:bookmarkStart w:name="_bookmark142" w:id="432"/>
      <w:bookmarkEnd w:id="432"/>
      <w:r>
        <w:rPr/>
      </w:r>
      <w:bookmarkStart w:name="_bookmark142" w:id="433"/>
      <w:bookmarkEnd w:id="433"/>
      <w:r>
        <w:rPr>
          <w:color w:val="4F81BC"/>
        </w:rPr>
        <w:t>to</w:t>
      </w:r>
      <w:r>
        <w:rPr>
          <w:color w:val="4F81BC"/>
        </w:rPr>
        <w:t>p10 (Top</w:t>
      </w:r>
      <w:r>
        <w:rPr>
          <w:color w:val="4F81BC"/>
          <w:spacing w:val="-2"/>
        </w:rPr>
        <w:t> </w:t>
      </w:r>
      <w:r>
        <w:rPr>
          <w:color w:val="4F81BC"/>
        </w:rPr>
        <w:t>10)</w:t>
      </w:r>
    </w:p>
    <w:p>
      <w:pPr>
        <w:pStyle w:val="BodyText"/>
        <w:spacing w:before="121"/>
        <w:ind w:left="220"/>
      </w:pPr>
      <w:r>
        <w:rPr/>
        <w:t>This element specifies the top N (percent or number of items) to filter by.</w:t>
      </w:r>
    </w:p>
    <w:p>
      <w:pPr>
        <w:pStyle w:val="BodyText"/>
        <w:spacing w:before="6"/>
        <w:rPr>
          <w:sz w:val="19"/>
        </w:rPr>
      </w:pPr>
    </w:p>
    <w:p>
      <w:pPr>
        <w:pStyle w:val="BodyText"/>
        <w:spacing w:line="276" w:lineRule="auto"/>
        <w:ind w:left="220" w:right="460"/>
      </w:pPr>
      <w:r>
        <w:rPr/>
        <w:t>[</w:t>
      </w:r>
      <w:r>
        <w:rPr>
          <w:i/>
        </w:rPr>
        <w:t>Example</w:t>
      </w:r>
      <w:r>
        <w:rPr/>
        <w:t>: This example filters the first column by the top 10 percent of the values in that column. For all cells in the column whose value falls outside the top 10 percent of the value in that column, the rows corresponding to those cells are hidden from the view. In this example, there are 6 cells in the range, containing 1, 2, 3, 4, 5, 6 respectively.</w:t>
      </w:r>
    </w:p>
    <w:p>
      <w:pPr>
        <w:pStyle w:val="BodyText"/>
        <w:spacing w:before="7"/>
        <w:rPr>
          <w:sz w:val="16"/>
        </w:rPr>
      </w:pPr>
    </w:p>
    <w:p>
      <w:pPr>
        <w:pStyle w:val="BodyText"/>
        <w:ind w:left="508"/>
        <w:rPr>
          <w:rFonts w:ascii="Consolas"/>
        </w:rPr>
      </w:pPr>
      <w:r>
        <w:rPr>
          <w:rFonts w:ascii="Consolas"/>
        </w:rPr>
        <w:t>&lt;filterColumn colId="0"&gt;</w:t>
      </w:r>
    </w:p>
    <w:p>
      <w:pPr>
        <w:pStyle w:val="BodyText"/>
        <w:spacing w:before="38"/>
        <w:ind w:left="750"/>
        <w:rPr>
          <w:rFonts w:ascii="Consolas"/>
        </w:rPr>
      </w:pPr>
      <w:r>
        <w:rPr>
          <w:rFonts w:ascii="Consolas"/>
        </w:rPr>
        <w:t>&lt;top10 percent="1" val="5" filterVal="6"/&gt;</w:t>
      </w:r>
    </w:p>
    <w:p>
      <w:pPr>
        <w:pStyle w:val="BodyText"/>
        <w:spacing w:before="40"/>
        <w:ind w:left="508"/>
        <w:rPr>
          <w:rFonts w:ascii="Consolas"/>
        </w:rPr>
      </w:pPr>
      <w:r>
        <w:rPr>
          <w:rFonts w:ascii="Consolas"/>
        </w:rPr>
        <w:t>&lt;/filterColumn</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ind w:right="579"/>
              <w:rPr>
                <w:sz w:val="22"/>
              </w:rPr>
            </w:pPr>
            <w:r>
              <w:rPr>
                <w:rFonts w:ascii="Cambria"/>
                <w:sz w:val="22"/>
              </w:rPr>
              <w:t>filterVal </w:t>
            </w:r>
            <w:r>
              <w:rPr>
                <w:sz w:val="22"/>
              </w:rPr>
              <w:t>(Filter Value)</w:t>
            </w:r>
          </w:p>
        </w:tc>
        <w:tc>
          <w:tcPr>
            <w:tcW w:w="8250" w:type="dxa"/>
          </w:tcPr>
          <w:p>
            <w:pPr>
              <w:pStyle w:val="TableParagraph"/>
              <w:rPr>
                <w:sz w:val="22"/>
              </w:rPr>
            </w:pPr>
            <w:r>
              <w:rPr>
                <w:sz w:val="22"/>
              </w:rPr>
              <w:t>The actual cell value in the range which is used to perform the comparison for this filter.</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427" w:hRule="atLeast"/>
        </w:trPr>
        <w:tc>
          <w:tcPr>
            <w:tcW w:w="2062" w:type="dxa"/>
          </w:tcPr>
          <w:p>
            <w:pPr>
              <w:pStyle w:val="TableParagraph"/>
              <w:ind w:right="352"/>
              <w:rPr>
                <w:sz w:val="22"/>
              </w:rPr>
            </w:pPr>
            <w:r>
              <w:rPr>
                <w:rFonts w:ascii="Cambria"/>
                <w:sz w:val="22"/>
              </w:rPr>
              <w:t>percent </w:t>
            </w:r>
            <w:r>
              <w:rPr>
                <w:sz w:val="22"/>
              </w:rPr>
              <w:t>(Filter by Percent)</w:t>
            </w:r>
          </w:p>
        </w:tc>
        <w:tc>
          <w:tcPr>
            <w:tcW w:w="8250" w:type="dxa"/>
          </w:tcPr>
          <w:p>
            <w:pPr>
              <w:pStyle w:val="TableParagraph"/>
              <w:ind w:right="573"/>
              <w:rPr>
                <w:sz w:val="22"/>
              </w:rPr>
            </w:pPr>
            <w:r>
              <w:rPr>
                <w:sz w:val="22"/>
              </w:rPr>
              <w:t>Flag indicating whether or not to filter by percent value of the column. A false value filters by number of items.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rPr>
                <w:sz w:val="22"/>
              </w:rPr>
            </w:pPr>
            <w:r>
              <w:rPr>
                <w:rFonts w:ascii="Cambria"/>
                <w:sz w:val="22"/>
              </w:rPr>
              <w:t>top </w:t>
            </w:r>
            <w:r>
              <w:rPr>
                <w:sz w:val="22"/>
              </w:rPr>
              <w:t>(Top)</w:t>
            </w:r>
          </w:p>
        </w:tc>
        <w:tc>
          <w:tcPr>
            <w:tcW w:w="8250" w:type="dxa"/>
          </w:tcPr>
          <w:p>
            <w:pPr>
              <w:pStyle w:val="TableParagraph"/>
              <w:spacing w:before="42"/>
              <w:rPr>
                <w:sz w:val="22"/>
              </w:rPr>
            </w:pPr>
            <w:r>
              <w:rPr>
                <w:sz w:val="22"/>
              </w:rPr>
              <w:t>Flag indicating whether or not to filter by top order. A false value filters by bottom order.</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218"/>
              <w:rPr>
                <w:sz w:val="22"/>
              </w:rPr>
            </w:pPr>
            <w:r>
              <w:rPr>
                <w:rFonts w:ascii="Cambria"/>
                <w:sz w:val="22"/>
              </w:rPr>
              <w:t>val </w:t>
            </w:r>
            <w:r>
              <w:rPr>
                <w:sz w:val="22"/>
              </w:rPr>
              <w:t>(Top or Bottom Value)</w:t>
            </w:r>
          </w:p>
        </w:tc>
        <w:tc>
          <w:tcPr>
            <w:tcW w:w="8250" w:type="dxa"/>
          </w:tcPr>
          <w:p>
            <w:pPr>
              <w:pStyle w:val="TableParagraph"/>
              <w:ind w:right="331"/>
              <w:rPr>
                <w:sz w:val="22"/>
              </w:rPr>
            </w:pPr>
            <w:r>
              <w:rPr>
                <w:sz w:val="22"/>
              </w:rPr>
              <w:t>Top or bottom value to use as the filter criteria. [</w:t>
            </w:r>
            <w:r>
              <w:rPr>
                <w:i/>
                <w:sz w:val="22"/>
              </w:rPr>
              <w:t>Example</w:t>
            </w:r>
            <w:r>
              <w:rPr>
                <w:sz w:val="22"/>
              </w:rPr>
              <w:t>: "Filter by Top 10 Percent" or "Filter by Top 5 Items". </w:t>
            </w: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1"/>
              <w:rPr>
                <w:sz w:val="22"/>
              </w:rPr>
            </w:pPr>
            <w:r>
              <w:rPr>
                <w:sz w:val="22"/>
              </w:rPr>
              <w:t>datatype.</w:t>
            </w:r>
          </w:p>
        </w:tc>
      </w:tr>
    </w:tbl>
    <w:p>
      <w:pPr>
        <w:pStyle w:val="BodyText"/>
      </w:pP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CT_Top10</w:t>
      </w:r>
      <w:r>
        <w:rPr/>
        <w:t>) is located in §A.2. </w:t>
      </w:r>
      <w:r>
        <w:rPr>
          <w:i/>
        </w:rPr>
        <w:t>end note</w:t>
      </w:r>
      <w:r>
        <w:rPr/>
        <w:t>]</w:t>
      </w:r>
    </w:p>
    <w:p>
      <w:pPr>
        <w:pStyle w:val="BodyText"/>
        <w:spacing w:before="7"/>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4 Shared String Table" w:id="434"/>
      <w:bookmarkEnd w:id="434"/>
      <w:r>
        <w:rPr>
          <w:b w:val="0"/>
        </w:rPr>
      </w:r>
      <w:bookmarkStart w:name="_bookmark143" w:id="435"/>
      <w:bookmarkEnd w:id="435"/>
      <w:r>
        <w:rPr>
          <w:b w:val="0"/>
        </w:rPr>
      </w:r>
      <w:bookmarkStart w:name="_bookmark143" w:id="436"/>
      <w:bookmarkEnd w:id="436"/>
      <w:r>
        <w:rPr>
          <w:color w:val="4F81BC"/>
        </w:rPr>
        <w:t>Sh</w:t>
      </w:r>
      <w:r>
        <w:rPr>
          <w:color w:val="4F81BC"/>
        </w:rPr>
        <w:t>ared String</w:t>
      </w:r>
      <w:r>
        <w:rPr>
          <w:color w:val="4F81BC"/>
          <w:spacing w:val="-2"/>
        </w:rPr>
        <w:t> </w:t>
      </w:r>
      <w:r>
        <w:rPr>
          <w:color w:val="4F81BC"/>
        </w:rPr>
        <w:t>Table</w:t>
      </w:r>
    </w:p>
    <w:p>
      <w:pPr>
        <w:pStyle w:val="BodyText"/>
        <w:spacing w:line="276" w:lineRule="auto" w:before="127"/>
        <w:ind w:left="220" w:right="705"/>
      </w:pPr>
      <w:r>
        <w:rPr/>
        <w:t>String values may be stored directly inside spreadsheet cell elements (§</w:t>
      </w:r>
      <w:hyperlink w:history="true" w:anchor="_bookmark36">
        <w:r>
          <w:rPr/>
          <w:t>18.3.1.4</w:t>
        </w:r>
      </w:hyperlink>
      <w:r>
        <w:rPr/>
        <w:t>); however, storing the same value inside multiple cell elements can result in very large worksheet Parts, possibly resulting in performance</w:t>
      </w:r>
    </w:p>
    <w:p>
      <w:pPr>
        <w:spacing w:after="0" w:line="276" w:lineRule="auto"/>
        <w:sectPr>
          <w:pgSz w:w="12240" w:h="15840"/>
          <w:pgMar w:header="763" w:footer="746" w:top="1340" w:bottom="940" w:left="860" w:right="700"/>
        </w:sectPr>
      </w:pPr>
    </w:p>
    <w:p>
      <w:pPr>
        <w:pStyle w:val="BodyText"/>
        <w:spacing w:line="278" w:lineRule="auto" w:before="90"/>
        <w:ind w:left="220" w:right="940"/>
      </w:pPr>
      <w:r>
        <w:rPr/>
        <w:t>degradation. The Shared String Table is an indexed list of string values, shared across the workbook, which allows implementations to store values only once.</w:t>
      </w:r>
    </w:p>
    <w:p>
      <w:pPr>
        <w:pStyle w:val="BodyText"/>
        <w:spacing w:line="276" w:lineRule="auto" w:before="196"/>
        <w:ind w:left="220" w:right="378"/>
      </w:pPr>
      <w:r>
        <w:rPr/>
        <w:t>[</w:t>
      </w:r>
      <w:r>
        <w:rPr>
          <w:i/>
        </w:rPr>
        <w:t>Example</w:t>
      </w:r>
      <w:r>
        <w:rPr/>
        <w:t>: Consider for example a workbook summarizing information for cities within various countries. There can be a column for the name of the country, a column for the name of each city in that country, and a column containing the data for each city. In this case the country name is repetitive, being duplicated in many cells. </w:t>
      </w:r>
      <w:r>
        <w:rPr>
          <w:i/>
        </w:rPr>
        <w:t>end </w:t>
      </w:r>
      <w:r>
        <w:rPr>
          <w:i/>
        </w:rPr>
        <w:t>example</w:t>
      </w:r>
      <w:r>
        <w:rPr/>
        <w:t>] In many cases the repetition is extensive, and significant savings are realized by making use of a shared string table when saving the workbook. When displaying text in the spreadsheet, the cell table will just contain an index into the string table as the value of a cell, instead of the full string.</w:t>
      </w:r>
    </w:p>
    <w:p>
      <w:pPr>
        <w:pStyle w:val="BodyText"/>
        <w:spacing w:before="3"/>
        <w:rPr>
          <w:sz w:val="16"/>
        </w:rPr>
      </w:pPr>
    </w:p>
    <w:p>
      <w:pPr>
        <w:pStyle w:val="BodyText"/>
        <w:spacing w:line="278" w:lineRule="auto" w:before="1"/>
        <w:ind w:left="220" w:right="625"/>
      </w:pPr>
      <w:r>
        <w:rPr/>
        <w:t>The shared string table is permitted to contain all the necessary information for displaying the string: the text, formatting properties, and phonetic properties (for East Asian languages).</w:t>
      </w:r>
    </w:p>
    <w:p>
      <w:pPr>
        <w:pStyle w:val="BodyText"/>
        <w:spacing w:line="276" w:lineRule="auto" w:before="196"/>
        <w:ind w:left="220" w:right="412"/>
      </w:pPr>
      <w:r>
        <w:rPr/>
        <w:t>Most strings in a workbook have formatting applied at the cell level, that is, the entire string in the cell has the same formatting applied. In these cases, the formatting for the cell is stored in the styles part, and the string for the cell can be stored in the shared strings table. In this case, the strings stored in the shared strings table are very simple text elements.</w:t>
      </w:r>
    </w:p>
    <w:p>
      <w:pPr>
        <w:pStyle w:val="BodyText"/>
        <w:spacing w:before="6"/>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line="276" w:lineRule="auto"/>
        <w:ind w:left="750" w:right="3137" w:hanging="243"/>
        <w:rPr>
          <w:rFonts w:ascii="Consolas"/>
        </w:rPr>
      </w:pPr>
      <w:r>
        <w:rPr>
          <w:rFonts w:ascii="Consolas"/>
        </w:rPr>
        <w:t>&lt;sst xmlns="</w:t>
      </w:r>
      <w:hyperlink r:id="rId22">
        <w:r>
          <w:rPr>
            <w:rFonts w:ascii="Consolas"/>
          </w:rPr>
          <w:t>http://purl.oclc.org/ooxml/spreadsheetml/main</w:t>
        </w:r>
      </w:hyperlink>
      <w:r>
        <w:rPr>
          <w:rFonts w:ascii="Consolas"/>
        </w:rPr>
        <w:t>" count="8" uniqueCount="4"&gt;</w:t>
      </w:r>
    </w:p>
    <w:p>
      <w:pPr>
        <w:pStyle w:val="BodyText"/>
        <w:ind w:left="750"/>
        <w:rPr>
          <w:rFonts w:ascii="Consolas"/>
        </w:rPr>
      </w:pPr>
      <w:r>
        <w:rPr>
          <w:rFonts w:ascii="Consolas"/>
        </w:rPr>
        <w:t>&lt;si&gt;</w:t>
      </w:r>
    </w:p>
    <w:p>
      <w:pPr>
        <w:pStyle w:val="BodyText"/>
        <w:spacing w:before="38"/>
        <w:ind w:left="993"/>
        <w:rPr>
          <w:rFonts w:ascii="Consolas"/>
        </w:rPr>
      </w:pPr>
      <w:r>
        <w:rPr>
          <w:rFonts w:ascii="Consolas"/>
        </w:rPr>
        <w:t>&lt;t&gt;United States&lt;/t&gt;</w:t>
      </w:r>
    </w:p>
    <w:p>
      <w:pPr>
        <w:pStyle w:val="BodyText"/>
        <w:spacing w:before="40"/>
        <w:ind w:left="750"/>
        <w:rPr>
          <w:rFonts w:ascii="Consolas"/>
        </w:rPr>
      </w:pPr>
      <w:r>
        <w:rPr>
          <w:rFonts w:ascii="Consolas"/>
        </w:rPr>
        <w:t>&lt;/si&gt;</w:t>
      </w:r>
    </w:p>
    <w:p>
      <w:pPr>
        <w:pStyle w:val="BodyText"/>
        <w:spacing w:before="38"/>
        <w:ind w:left="750"/>
        <w:rPr>
          <w:rFonts w:ascii="Consolas"/>
        </w:rPr>
      </w:pPr>
      <w:r>
        <w:rPr>
          <w:rFonts w:ascii="Consolas"/>
        </w:rPr>
        <w:t>&lt;si&gt;</w:t>
      </w:r>
    </w:p>
    <w:p>
      <w:pPr>
        <w:pStyle w:val="BodyText"/>
        <w:spacing w:before="37"/>
        <w:ind w:left="993"/>
        <w:rPr>
          <w:rFonts w:ascii="Consolas"/>
        </w:rPr>
      </w:pPr>
      <w:r>
        <w:rPr>
          <w:rFonts w:ascii="Consolas"/>
        </w:rPr>
        <w:t>&lt;t&gt;Seattle&lt;/t&gt;</w:t>
      </w:r>
    </w:p>
    <w:p>
      <w:pPr>
        <w:pStyle w:val="BodyText"/>
        <w:spacing w:before="40"/>
        <w:ind w:left="750"/>
        <w:rPr>
          <w:rFonts w:ascii="Consolas"/>
        </w:rPr>
      </w:pPr>
      <w:r>
        <w:rPr>
          <w:rFonts w:ascii="Consolas"/>
        </w:rPr>
        <w:t>&lt;/si&gt;</w:t>
      </w:r>
    </w:p>
    <w:p>
      <w:pPr>
        <w:pStyle w:val="BodyText"/>
        <w:spacing w:before="38"/>
        <w:ind w:left="750"/>
        <w:rPr>
          <w:rFonts w:ascii="Consolas"/>
        </w:rPr>
      </w:pPr>
      <w:r>
        <w:rPr>
          <w:rFonts w:ascii="Consolas"/>
        </w:rPr>
        <w:t>&lt;si&gt;</w:t>
      </w:r>
    </w:p>
    <w:p>
      <w:pPr>
        <w:pStyle w:val="BodyText"/>
        <w:spacing w:before="40"/>
        <w:ind w:left="993"/>
        <w:rPr>
          <w:rFonts w:ascii="Consolas"/>
        </w:rPr>
      </w:pPr>
      <w:r>
        <w:rPr>
          <w:rFonts w:ascii="Consolas"/>
        </w:rPr>
        <w:t>&lt;t&gt;Denver&lt;/t&gt;</w:t>
      </w:r>
    </w:p>
    <w:p>
      <w:pPr>
        <w:pStyle w:val="BodyText"/>
        <w:spacing w:before="37"/>
        <w:ind w:left="750"/>
        <w:rPr>
          <w:rFonts w:ascii="Consolas"/>
        </w:rPr>
      </w:pPr>
      <w:r>
        <w:rPr>
          <w:rFonts w:ascii="Consolas"/>
        </w:rPr>
        <w:t>&lt;/si&gt;</w:t>
      </w:r>
    </w:p>
    <w:p>
      <w:pPr>
        <w:pStyle w:val="BodyText"/>
        <w:spacing w:before="40"/>
        <w:ind w:left="750"/>
        <w:rPr>
          <w:rFonts w:ascii="Consolas"/>
        </w:rPr>
      </w:pPr>
      <w:r>
        <w:rPr>
          <w:rFonts w:ascii="Consolas"/>
        </w:rPr>
        <w:t>&lt;si&gt;</w:t>
      </w:r>
    </w:p>
    <w:p>
      <w:pPr>
        <w:pStyle w:val="BodyText"/>
        <w:spacing w:before="38"/>
        <w:ind w:left="993"/>
        <w:rPr>
          <w:rFonts w:ascii="Consolas"/>
        </w:rPr>
      </w:pPr>
      <w:r>
        <w:rPr>
          <w:rFonts w:ascii="Consolas"/>
        </w:rPr>
        <w:t>&lt;t&gt;New York&lt;/t&gt;</w:t>
      </w:r>
    </w:p>
    <w:p>
      <w:pPr>
        <w:pStyle w:val="BodyText"/>
        <w:spacing w:before="40"/>
        <w:ind w:left="750"/>
        <w:rPr>
          <w:rFonts w:ascii="Consolas"/>
        </w:rPr>
      </w:pPr>
      <w:r>
        <w:rPr>
          <w:rFonts w:ascii="Consolas"/>
        </w:rPr>
        <w:t>&lt;/si&gt;</w:t>
      </w:r>
    </w:p>
    <w:p>
      <w:pPr>
        <w:pStyle w:val="BodyText"/>
        <w:spacing w:before="38"/>
        <w:ind w:left="508"/>
        <w:rPr>
          <w:rFonts w:ascii="Consolas"/>
        </w:rPr>
      </w:pPr>
      <w:r>
        <w:rPr>
          <w:rFonts w:ascii="Consolas"/>
        </w:rPr>
        <w:t>&lt;/sst&gt;</w:t>
      </w:r>
    </w:p>
    <w:p>
      <w:pPr>
        <w:pStyle w:val="BodyText"/>
        <w:spacing w:before="2"/>
        <w:rPr>
          <w:rFonts w:ascii="Consolas"/>
          <w:sz w:val="20"/>
        </w:rPr>
      </w:pPr>
    </w:p>
    <w:p>
      <w:pPr>
        <w:pStyle w:val="BodyText"/>
        <w:spacing w:line="276" w:lineRule="auto"/>
        <w:ind w:left="220" w:right="722"/>
      </w:pPr>
      <w:r>
        <w:rPr/>
        <w:t>In the above example we can see that the string table is just a collection of string items that consist of simple text elements. Note that any numeric data in the workbook is not shown in the shared string table. </w:t>
      </w:r>
      <w:r>
        <w:rPr>
          <w:i/>
        </w:rPr>
        <w:t>end </w:t>
      </w:r>
      <w:r>
        <w:rPr>
          <w:i/>
        </w:rPr>
        <w:t>example</w:t>
      </w:r>
      <w:r>
        <w:rPr/>
        <w:t>]</w:t>
      </w:r>
    </w:p>
    <w:p>
      <w:pPr>
        <w:pStyle w:val="BodyText"/>
        <w:spacing w:before="5"/>
        <w:rPr>
          <w:sz w:val="16"/>
        </w:rPr>
      </w:pPr>
    </w:p>
    <w:p>
      <w:pPr>
        <w:pStyle w:val="BodyText"/>
        <w:spacing w:line="276" w:lineRule="auto"/>
        <w:ind w:left="220" w:right="706"/>
        <w:jc w:val="both"/>
      </w:pPr>
      <w:r>
        <w:rPr/>
        <w:t>Some strings in the workbook can have formatting applied at a level that is more granular than the cell level. For instance, specific characters within the string can be bolded, have coloring, italicizing, etc. In these cases, the formatting is stored along with the text in the string table, and is treated as a unique entry in the table.</w:t>
      </w:r>
    </w:p>
    <w:p>
      <w:pPr>
        <w:pStyle w:val="BodyText"/>
        <w:spacing w:before="6"/>
        <w:rPr>
          <w:sz w:val="16"/>
        </w:rPr>
      </w:pPr>
    </w:p>
    <w:p>
      <w:pPr>
        <w:spacing w:before="0"/>
        <w:ind w:left="220" w:right="0" w:firstLine="0"/>
        <w:jc w:val="left"/>
        <w:rPr>
          <w:sz w:val="22"/>
        </w:rPr>
      </w:pPr>
      <w:r>
        <w:rPr>
          <w:sz w:val="22"/>
        </w:rPr>
        <w:t>[</w:t>
      </w:r>
      <w:r>
        <w:rPr>
          <w:i/>
          <w:sz w:val="22"/>
        </w:rPr>
        <w:t>Example</w:t>
      </w:r>
      <w:r>
        <w:rPr>
          <w:sz w:val="22"/>
        </w:rPr>
        <w:t>:</w:t>
      </w:r>
    </w:p>
    <w:p>
      <w:pPr>
        <w:spacing w:after="0"/>
        <w:jc w:val="left"/>
        <w:rPr>
          <w:sz w:val="22"/>
        </w:rPr>
        <w:sectPr>
          <w:pgSz w:w="12240" w:h="15840"/>
          <w:pgMar w:header="761" w:footer="746" w:top="1340" w:bottom="940" w:left="860" w:right="700"/>
        </w:sectPr>
      </w:pPr>
    </w:p>
    <w:p>
      <w:pPr>
        <w:pStyle w:val="BodyText"/>
        <w:spacing w:line="276" w:lineRule="auto" w:before="150"/>
        <w:ind w:left="750" w:right="3137" w:hanging="243"/>
        <w:rPr>
          <w:rFonts w:ascii="Consolas"/>
        </w:rPr>
      </w:pPr>
      <w:r>
        <w:rPr>
          <w:rFonts w:ascii="Consolas"/>
        </w:rPr>
        <w:t>&lt;sst xmlns="</w:t>
      </w:r>
      <w:hyperlink r:id="rId22">
        <w:r>
          <w:rPr>
            <w:rFonts w:ascii="Consolas"/>
          </w:rPr>
          <w:t>http://purl.oclc.org/ooxml/spreadsheetml/main</w:t>
        </w:r>
      </w:hyperlink>
      <w:r>
        <w:rPr>
          <w:rFonts w:ascii="Consolas"/>
        </w:rPr>
        <w:t>" count="8" uniqueCount="4"&gt;</w:t>
      </w:r>
    </w:p>
    <w:p>
      <w:pPr>
        <w:pStyle w:val="BodyText"/>
        <w:spacing w:before="1"/>
        <w:ind w:left="750"/>
        <w:rPr>
          <w:rFonts w:ascii="Consolas"/>
        </w:rPr>
      </w:pPr>
      <w:r>
        <w:rPr>
          <w:rFonts w:ascii="Consolas"/>
        </w:rPr>
        <w:t>&lt;si&gt;</w:t>
      </w:r>
    </w:p>
    <w:p>
      <w:pPr>
        <w:pStyle w:val="BodyText"/>
        <w:spacing w:before="37"/>
        <w:ind w:left="993"/>
        <w:rPr>
          <w:rFonts w:ascii="Consolas"/>
        </w:rPr>
      </w:pPr>
      <w:r>
        <w:rPr>
          <w:rFonts w:ascii="Consolas"/>
        </w:rPr>
        <w:t>&lt;r&gt;</w:t>
      </w:r>
    </w:p>
    <w:p>
      <w:pPr>
        <w:pStyle w:val="BodyText"/>
        <w:spacing w:before="40"/>
        <w:ind w:left="1235"/>
        <w:rPr>
          <w:rFonts w:ascii="Consolas"/>
        </w:rPr>
      </w:pPr>
      <w:r>
        <w:rPr>
          <w:rFonts w:ascii="Consolas"/>
        </w:rPr>
        <w:t>&lt;t xml:space="preserve"&gt;United &lt;/t&gt;</w:t>
      </w:r>
    </w:p>
    <w:p>
      <w:pPr>
        <w:pStyle w:val="BodyText"/>
        <w:spacing w:before="38"/>
        <w:ind w:left="993"/>
        <w:rPr>
          <w:rFonts w:ascii="Consolas"/>
        </w:rPr>
      </w:pPr>
      <w:r>
        <w:rPr>
          <w:rFonts w:ascii="Consolas"/>
        </w:rPr>
        <w:t>&lt;/r&gt;</w:t>
      </w:r>
    </w:p>
    <w:p>
      <w:pPr>
        <w:pStyle w:val="BodyText"/>
        <w:spacing w:before="40"/>
        <w:ind w:left="993"/>
        <w:rPr>
          <w:rFonts w:ascii="Consolas"/>
        </w:rPr>
      </w:pPr>
      <w:r>
        <w:rPr>
          <w:rFonts w:ascii="Consolas"/>
        </w:rPr>
        <w:t>&lt;r&gt;</w:t>
      </w:r>
    </w:p>
    <w:p>
      <w:pPr>
        <w:pStyle w:val="BodyText"/>
        <w:spacing w:before="38"/>
        <w:ind w:left="1235"/>
        <w:rPr>
          <w:rFonts w:ascii="Consolas"/>
        </w:rPr>
      </w:pPr>
      <w:r>
        <w:rPr>
          <w:rFonts w:ascii="Consolas"/>
        </w:rPr>
        <w:t>&lt;rPr&gt;</w:t>
      </w:r>
    </w:p>
    <w:p>
      <w:pPr>
        <w:pStyle w:val="BodyText"/>
        <w:spacing w:before="37"/>
        <w:ind w:left="1478"/>
        <w:rPr>
          <w:rFonts w:ascii="Consolas"/>
        </w:rPr>
      </w:pPr>
      <w:r>
        <w:rPr>
          <w:rFonts w:ascii="Consolas"/>
        </w:rPr>
        <w:t>&lt;sz val="11"/&gt;</w:t>
      </w:r>
    </w:p>
    <w:p>
      <w:pPr>
        <w:pStyle w:val="BodyText"/>
        <w:spacing w:before="40"/>
        <w:ind w:left="1478"/>
        <w:rPr>
          <w:rFonts w:ascii="Consolas"/>
        </w:rPr>
      </w:pPr>
      <w:r>
        <w:rPr>
          <w:rFonts w:ascii="Consolas"/>
        </w:rPr>
        <w:t>&lt;color rgb="FFFF0000"/&gt;</w:t>
      </w:r>
    </w:p>
    <w:p>
      <w:pPr>
        <w:pStyle w:val="BodyText"/>
        <w:spacing w:before="38"/>
        <w:ind w:left="1478"/>
        <w:rPr>
          <w:rFonts w:ascii="Consolas"/>
        </w:rPr>
      </w:pPr>
      <w:r>
        <w:rPr>
          <w:rFonts w:ascii="Consolas"/>
        </w:rPr>
        <w:t>&lt;rFont val="Calibri"/&gt;</w:t>
      </w:r>
    </w:p>
    <w:p>
      <w:pPr>
        <w:pStyle w:val="BodyText"/>
        <w:spacing w:before="40"/>
        <w:ind w:left="1478"/>
        <w:rPr>
          <w:rFonts w:ascii="Consolas"/>
        </w:rPr>
      </w:pPr>
      <w:r>
        <w:rPr>
          <w:rFonts w:ascii="Consolas"/>
        </w:rPr>
        <w:t>&lt;family val="2"/&gt;</w:t>
      </w:r>
    </w:p>
    <w:p>
      <w:pPr>
        <w:pStyle w:val="BodyText"/>
        <w:spacing w:before="38"/>
        <w:ind w:left="1478"/>
        <w:rPr>
          <w:rFonts w:ascii="Consolas"/>
        </w:rPr>
      </w:pPr>
      <w:r>
        <w:rPr>
          <w:rFonts w:ascii="Consolas"/>
        </w:rPr>
        <w:t>&lt;scheme val="minor"/&gt;</w:t>
      </w:r>
    </w:p>
    <w:p>
      <w:pPr>
        <w:pStyle w:val="BodyText"/>
        <w:spacing w:before="40"/>
        <w:ind w:left="1235"/>
        <w:rPr>
          <w:rFonts w:ascii="Consolas"/>
        </w:rPr>
      </w:pPr>
      <w:r>
        <w:rPr>
          <w:rFonts w:ascii="Consolas"/>
        </w:rPr>
        <w:t>&lt;/rPr&gt;</w:t>
      </w:r>
    </w:p>
    <w:p>
      <w:pPr>
        <w:pStyle w:val="BodyText"/>
        <w:spacing w:before="38"/>
        <w:ind w:left="1235"/>
        <w:rPr>
          <w:rFonts w:ascii="Consolas"/>
        </w:rPr>
      </w:pPr>
      <w:r>
        <w:rPr>
          <w:rFonts w:ascii="Consolas"/>
        </w:rPr>
        <w:t>&lt;t&gt;States&lt;/t&gt;</w:t>
      </w:r>
    </w:p>
    <w:p>
      <w:pPr>
        <w:pStyle w:val="BodyText"/>
        <w:spacing w:before="37"/>
        <w:ind w:left="993"/>
        <w:rPr>
          <w:rFonts w:ascii="Consolas"/>
        </w:rPr>
      </w:pPr>
      <w:r>
        <w:rPr>
          <w:rFonts w:ascii="Consolas"/>
        </w:rPr>
        <w:t>&lt;/r&gt;</w:t>
      </w:r>
    </w:p>
    <w:p>
      <w:pPr>
        <w:pStyle w:val="BodyText"/>
        <w:spacing w:before="40"/>
        <w:ind w:left="750"/>
        <w:rPr>
          <w:rFonts w:ascii="Consolas"/>
        </w:rPr>
      </w:pPr>
      <w:r>
        <w:rPr>
          <w:rFonts w:ascii="Consolas"/>
        </w:rPr>
        <w:t>&lt;/si&gt;</w:t>
      </w:r>
    </w:p>
    <w:p>
      <w:pPr>
        <w:pStyle w:val="BodyText"/>
        <w:spacing w:before="38"/>
        <w:ind w:left="750"/>
        <w:rPr>
          <w:rFonts w:ascii="Consolas"/>
        </w:rPr>
      </w:pPr>
      <w:r>
        <w:rPr>
          <w:rFonts w:ascii="Consolas"/>
        </w:rPr>
        <w:t>&lt;si&gt;</w:t>
      </w:r>
    </w:p>
    <w:p>
      <w:pPr>
        <w:pStyle w:val="BodyText"/>
        <w:spacing w:before="40"/>
        <w:ind w:left="993"/>
        <w:rPr>
          <w:rFonts w:ascii="Consolas"/>
        </w:rPr>
      </w:pPr>
      <w:r>
        <w:rPr>
          <w:rFonts w:ascii="Consolas"/>
        </w:rPr>
        <w:t>&lt;t&gt;Seattle&lt;/t&gt;</w:t>
      </w:r>
    </w:p>
    <w:p>
      <w:pPr>
        <w:pStyle w:val="BodyText"/>
        <w:spacing w:before="37"/>
        <w:ind w:left="750"/>
        <w:rPr>
          <w:rFonts w:ascii="Consolas"/>
        </w:rPr>
      </w:pPr>
      <w:r>
        <w:rPr>
          <w:rFonts w:ascii="Consolas"/>
        </w:rPr>
        <w:t>&lt;/si&gt;</w:t>
      </w:r>
    </w:p>
    <w:p>
      <w:pPr>
        <w:pStyle w:val="BodyText"/>
        <w:spacing w:before="40"/>
        <w:ind w:left="750"/>
        <w:rPr>
          <w:rFonts w:ascii="Consolas"/>
        </w:rPr>
      </w:pPr>
      <w:r>
        <w:rPr>
          <w:rFonts w:ascii="Consolas"/>
        </w:rPr>
        <w:t>&lt;si&gt;</w:t>
      </w:r>
    </w:p>
    <w:p>
      <w:pPr>
        <w:pStyle w:val="BodyText"/>
        <w:spacing w:before="38"/>
        <w:ind w:left="993"/>
        <w:rPr>
          <w:rFonts w:ascii="Consolas"/>
        </w:rPr>
      </w:pPr>
      <w:r>
        <w:rPr>
          <w:rFonts w:ascii="Consolas"/>
        </w:rPr>
        <w:t>&lt;t&gt;Denver&lt;/t&gt;</w:t>
      </w:r>
    </w:p>
    <w:p>
      <w:pPr>
        <w:pStyle w:val="BodyText"/>
        <w:spacing w:before="38"/>
        <w:ind w:left="750"/>
        <w:rPr>
          <w:rFonts w:ascii="Consolas"/>
        </w:rPr>
      </w:pPr>
      <w:r>
        <w:rPr>
          <w:rFonts w:ascii="Consolas"/>
        </w:rPr>
        <w:t>&lt;/si&gt;</w:t>
      </w:r>
    </w:p>
    <w:p>
      <w:pPr>
        <w:pStyle w:val="BodyText"/>
        <w:spacing w:before="40"/>
        <w:ind w:left="750"/>
        <w:rPr>
          <w:rFonts w:ascii="Consolas"/>
        </w:rPr>
      </w:pPr>
      <w:r>
        <w:rPr>
          <w:rFonts w:ascii="Consolas"/>
        </w:rPr>
        <w:t>&lt;si&gt;</w:t>
      </w:r>
    </w:p>
    <w:p>
      <w:pPr>
        <w:pStyle w:val="BodyText"/>
        <w:spacing w:before="38"/>
        <w:ind w:left="993"/>
        <w:rPr>
          <w:rFonts w:ascii="Consolas"/>
        </w:rPr>
      </w:pPr>
      <w:r>
        <w:rPr>
          <w:rFonts w:ascii="Consolas"/>
        </w:rPr>
        <w:t>&lt;t&gt;New York&lt;/t&gt;</w:t>
      </w:r>
    </w:p>
    <w:p>
      <w:pPr>
        <w:pStyle w:val="BodyText"/>
        <w:spacing w:before="40"/>
        <w:ind w:left="750"/>
        <w:rPr>
          <w:rFonts w:ascii="Consolas"/>
        </w:rPr>
      </w:pPr>
      <w:r>
        <w:rPr>
          <w:rFonts w:ascii="Consolas"/>
        </w:rPr>
        <w:t>&lt;/si&gt;</w:t>
      </w:r>
    </w:p>
    <w:p>
      <w:pPr>
        <w:pStyle w:val="BodyText"/>
        <w:spacing w:before="37"/>
        <w:ind w:left="508"/>
        <w:rPr>
          <w:rFonts w:ascii="Consolas"/>
        </w:rPr>
      </w:pPr>
      <w:r>
        <w:rPr>
          <w:rFonts w:ascii="Consolas"/>
        </w:rPr>
        <w:t>&lt;/sst&gt;</w:t>
      </w:r>
    </w:p>
    <w:p>
      <w:pPr>
        <w:pStyle w:val="BodyText"/>
        <w:spacing w:before="3"/>
        <w:rPr>
          <w:rFonts w:ascii="Consolas"/>
          <w:sz w:val="20"/>
        </w:rPr>
      </w:pPr>
    </w:p>
    <w:p>
      <w:pPr>
        <w:pStyle w:val="BodyText"/>
        <w:spacing w:line="278" w:lineRule="auto"/>
        <w:ind w:left="220" w:right="1009"/>
      </w:pPr>
      <w:r>
        <w:rPr/>
        <w:t>In the above example you can see that this time, the text "United States" has specific, colored, formatting applied to the text, "States." </w:t>
      </w:r>
      <w:r>
        <w:rPr>
          <w:i/>
        </w:rPr>
        <w:t>end example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1 charset (Character Set)" w:id="437"/>
      <w:bookmarkEnd w:id="437"/>
      <w:r>
        <w:rPr>
          <w:b w:val="0"/>
        </w:rPr>
      </w:r>
      <w:bookmarkStart w:name="_bookmark144" w:id="438"/>
      <w:bookmarkEnd w:id="438"/>
      <w:r>
        <w:rPr>
          <w:b w:val="0"/>
        </w:rPr>
      </w:r>
      <w:bookmarkStart w:name="_bookmark144" w:id="439"/>
      <w:bookmarkEnd w:id="439"/>
      <w:r>
        <w:rPr>
          <w:color w:val="4F81BC"/>
        </w:rPr>
        <w:t>c</w:t>
      </w:r>
      <w:r>
        <w:rPr>
          <w:color w:val="4F81BC"/>
        </w:rPr>
        <w:t>harset (Character</w:t>
      </w:r>
      <w:r>
        <w:rPr>
          <w:color w:val="4F81BC"/>
          <w:spacing w:val="-2"/>
        </w:rPr>
        <w:t> </w:t>
      </w:r>
      <w:r>
        <w:rPr>
          <w:color w:val="4F81BC"/>
        </w:rPr>
        <w:t>Set)</w:t>
      </w:r>
    </w:p>
    <w:p>
      <w:pPr>
        <w:pStyle w:val="BodyText"/>
        <w:spacing w:before="124"/>
        <w:ind w:left="220"/>
      </w:pPr>
      <w:r>
        <w:rPr/>
        <w:t>This element defines the font character set of this font.</w:t>
      </w:r>
    </w:p>
    <w:p>
      <w:pPr>
        <w:pStyle w:val="BodyText"/>
        <w:spacing w:before="6"/>
        <w:rPr>
          <w:sz w:val="19"/>
        </w:rPr>
      </w:pPr>
    </w:p>
    <w:p>
      <w:pPr>
        <w:pStyle w:val="BodyText"/>
        <w:spacing w:line="276" w:lineRule="auto"/>
        <w:ind w:left="220" w:right="789"/>
        <w:jc w:val="both"/>
      </w:pPr>
      <w:r>
        <w:rPr/>
        <w:t>This field is used in font creation and selection if a font of the given facename is not available on the system. Although it is not required to have around when resolving font facename, the information can be stored for when needed to help resolve which font face to use of all available fonts on a system.</w:t>
      </w:r>
    </w:p>
    <w:p>
      <w:pPr>
        <w:pStyle w:val="BodyText"/>
        <w:spacing w:before="4"/>
        <w:rPr>
          <w:sz w:val="16"/>
        </w:rPr>
      </w:pPr>
    </w:p>
    <w:p>
      <w:pPr>
        <w:pStyle w:val="BodyText"/>
        <w:spacing w:line="276" w:lineRule="auto" w:before="1"/>
        <w:ind w:left="220" w:right="425"/>
      </w:pPr>
      <w:r>
        <w:rPr/>
        <w:t>Charset represents the basic set of characters associated with a font (that it can display), and roughly corresponds to the ANSI codepage (8-bit or DBCS) of that character set used by a given language. Given more common use of Unicode where many fonts support more than one of the traditional charset categories, and the use of font linking, using charset to resolve font name is less and less common, but still can be useful.</w:t>
      </w:r>
    </w:p>
    <w:p>
      <w:pPr>
        <w:pStyle w:val="BodyText"/>
        <w:spacing w:before="6"/>
        <w:rPr>
          <w:sz w:val="16"/>
        </w:rPr>
      </w:pPr>
    </w:p>
    <w:p>
      <w:pPr>
        <w:pStyle w:val="BodyText"/>
        <w:ind w:left="220"/>
        <w:jc w:val="both"/>
      </w:pPr>
      <w:r>
        <w:rPr/>
        <w:t>These are operating-system-dependent values.</w:t>
      </w:r>
    </w:p>
    <w:p>
      <w:pPr>
        <w:spacing w:after="0"/>
        <w:jc w:val="both"/>
        <w:sectPr>
          <w:pgSz w:w="12240" w:h="15840"/>
          <w:pgMar w:header="763" w:footer="746" w:top="1340" w:bottom="940" w:left="860" w:right="700"/>
        </w:sectPr>
      </w:pPr>
    </w:p>
    <w:p>
      <w:pPr>
        <w:pStyle w:val="BodyText"/>
        <w:spacing w:before="93"/>
        <w:ind w:left="220"/>
      </w:pPr>
      <w:r>
        <w:rPr/>
        <w:t>[</w:t>
      </w:r>
      <w:r>
        <w:rPr>
          <w:i/>
        </w:rPr>
        <w:t>Note</w:t>
      </w:r>
      <w:r>
        <w:rPr/>
        <w:t>: The following are some of the possible the character sets:</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8"/>
        <w:gridCol w:w="2590"/>
      </w:tblGrid>
      <w:tr>
        <w:trPr>
          <w:trHeight w:val="623" w:hRule="atLeast"/>
        </w:trPr>
        <w:tc>
          <w:tcPr>
            <w:tcW w:w="1008" w:type="dxa"/>
            <w:shd w:val="clear" w:color="auto" w:fill="C0C0C0"/>
          </w:tcPr>
          <w:p>
            <w:pPr>
              <w:pStyle w:val="TableParagraph"/>
              <w:ind w:left="5"/>
              <w:jc w:val="center"/>
              <w:rPr>
                <w:b/>
                <w:sz w:val="22"/>
              </w:rPr>
            </w:pPr>
            <w:r>
              <w:rPr>
                <w:b/>
                <w:sz w:val="22"/>
              </w:rPr>
              <w:t>INT</w:t>
            </w:r>
          </w:p>
          <w:p>
            <w:pPr>
              <w:pStyle w:val="TableParagraph"/>
              <w:spacing w:before="0"/>
              <w:ind w:left="7"/>
              <w:jc w:val="center"/>
              <w:rPr>
                <w:b/>
                <w:sz w:val="22"/>
              </w:rPr>
            </w:pPr>
            <w:r>
              <w:rPr>
                <w:b/>
                <w:sz w:val="22"/>
              </w:rPr>
              <w:t>Value</w:t>
            </w:r>
          </w:p>
        </w:tc>
        <w:tc>
          <w:tcPr>
            <w:tcW w:w="2590" w:type="dxa"/>
            <w:shd w:val="clear" w:color="auto" w:fill="C0C0C0"/>
          </w:tcPr>
          <w:p>
            <w:pPr>
              <w:pStyle w:val="TableParagraph"/>
              <w:ind w:left="681"/>
              <w:rPr>
                <w:b/>
                <w:sz w:val="22"/>
              </w:rPr>
            </w:pPr>
            <w:r>
              <w:rPr>
                <w:b/>
                <w:sz w:val="22"/>
              </w:rPr>
              <w:t>Character Set</w:t>
            </w:r>
          </w:p>
        </w:tc>
      </w:tr>
      <w:tr>
        <w:trPr>
          <w:trHeight w:val="354" w:hRule="atLeast"/>
        </w:trPr>
        <w:tc>
          <w:tcPr>
            <w:tcW w:w="1008" w:type="dxa"/>
          </w:tcPr>
          <w:p>
            <w:pPr>
              <w:pStyle w:val="TableParagraph"/>
              <w:rPr>
                <w:sz w:val="22"/>
              </w:rPr>
            </w:pPr>
            <w:r>
              <w:rPr>
                <w:w w:val="100"/>
                <w:sz w:val="22"/>
              </w:rPr>
              <w:t>0</w:t>
            </w:r>
          </w:p>
        </w:tc>
        <w:tc>
          <w:tcPr>
            <w:tcW w:w="2590" w:type="dxa"/>
          </w:tcPr>
          <w:p>
            <w:pPr>
              <w:pStyle w:val="TableParagraph"/>
              <w:ind w:left="114"/>
              <w:rPr>
                <w:sz w:val="22"/>
              </w:rPr>
            </w:pPr>
            <w:r>
              <w:rPr>
                <w:sz w:val="22"/>
              </w:rPr>
              <w:t>ANSI_CHARSET</w:t>
            </w:r>
          </w:p>
        </w:tc>
      </w:tr>
      <w:tr>
        <w:trPr>
          <w:trHeight w:val="354" w:hRule="atLeast"/>
        </w:trPr>
        <w:tc>
          <w:tcPr>
            <w:tcW w:w="1008" w:type="dxa"/>
          </w:tcPr>
          <w:p>
            <w:pPr>
              <w:pStyle w:val="TableParagraph"/>
              <w:rPr>
                <w:sz w:val="22"/>
              </w:rPr>
            </w:pPr>
            <w:r>
              <w:rPr>
                <w:w w:val="100"/>
                <w:sz w:val="22"/>
              </w:rPr>
              <w:t>1</w:t>
            </w:r>
          </w:p>
        </w:tc>
        <w:tc>
          <w:tcPr>
            <w:tcW w:w="2590" w:type="dxa"/>
          </w:tcPr>
          <w:p>
            <w:pPr>
              <w:pStyle w:val="TableParagraph"/>
              <w:ind w:left="114"/>
              <w:rPr>
                <w:sz w:val="22"/>
              </w:rPr>
            </w:pPr>
            <w:r>
              <w:rPr>
                <w:sz w:val="22"/>
              </w:rPr>
              <w:t>DEFAULT_CHARSET</w:t>
            </w:r>
          </w:p>
        </w:tc>
      </w:tr>
      <w:tr>
        <w:trPr>
          <w:trHeight w:val="352" w:hRule="atLeast"/>
        </w:trPr>
        <w:tc>
          <w:tcPr>
            <w:tcW w:w="1008" w:type="dxa"/>
          </w:tcPr>
          <w:p>
            <w:pPr>
              <w:pStyle w:val="TableParagraph"/>
              <w:rPr>
                <w:sz w:val="22"/>
              </w:rPr>
            </w:pPr>
            <w:r>
              <w:rPr>
                <w:w w:val="100"/>
                <w:sz w:val="22"/>
              </w:rPr>
              <w:t>2</w:t>
            </w:r>
          </w:p>
        </w:tc>
        <w:tc>
          <w:tcPr>
            <w:tcW w:w="2590" w:type="dxa"/>
          </w:tcPr>
          <w:p>
            <w:pPr>
              <w:pStyle w:val="TableParagraph"/>
              <w:ind w:left="114"/>
              <w:rPr>
                <w:sz w:val="22"/>
              </w:rPr>
            </w:pPr>
            <w:r>
              <w:rPr>
                <w:sz w:val="22"/>
              </w:rPr>
              <w:t>SYMBOL_CHARSET</w:t>
            </w:r>
          </w:p>
        </w:tc>
      </w:tr>
      <w:tr>
        <w:trPr>
          <w:trHeight w:val="354" w:hRule="atLeast"/>
        </w:trPr>
        <w:tc>
          <w:tcPr>
            <w:tcW w:w="1008" w:type="dxa"/>
          </w:tcPr>
          <w:p>
            <w:pPr>
              <w:pStyle w:val="TableParagraph"/>
              <w:spacing w:before="42"/>
              <w:rPr>
                <w:sz w:val="22"/>
              </w:rPr>
            </w:pPr>
            <w:r>
              <w:rPr>
                <w:sz w:val="22"/>
              </w:rPr>
              <w:t>77</w:t>
            </w:r>
          </w:p>
        </w:tc>
        <w:tc>
          <w:tcPr>
            <w:tcW w:w="2590" w:type="dxa"/>
          </w:tcPr>
          <w:p>
            <w:pPr>
              <w:pStyle w:val="TableParagraph"/>
              <w:spacing w:before="42"/>
              <w:ind w:left="114"/>
              <w:rPr>
                <w:sz w:val="22"/>
              </w:rPr>
            </w:pPr>
            <w:r>
              <w:rPr>
                <w:sz w:val="22"/>
              </w:rPr>
              <w:t>MAC_CHARSET</w:t>
            </w:r>
          </w:p>
        </w:tc>
      </w:tr>
      <w:tr>
        <w:trPr>
          <w:trHeight w:val="354" w:hRule="atLeast"/>
        </w:trPr>
        <w:tc>
          <w:tcPr>
            <w:tcW w:w="1008" w:type="dxa"/>
          </w:tcPr>
          <w:p>
            <w:pPr>
              <w:pStyle w:val="TableParagraph"/>
              <w:rPr>
                <w:sz w:val="22"/>
              </w:rPr>
            </w:pPr>
            <w:r>
              <w:rPr>
                <w:sz w:val="22"/>
              </w:rPr>
              <w:t>128</w:t>
            </w:r>
          </w:p>
        </w:tc>
        <w:tc>
          <w:tcPr>
            <w:tcW w:w="2590" w:type="dxa"/>
          </w:tcPr>
          <w:p>
            <w:pPr>
              <w:pStyle w:val="TableParagraph"/>
              <w:ind w:left="114"/>
              <w:rPr>
                <w:sz w:val="22"/>
              </w:rPr>
            </w:pPr>
            <w:r>
              <w:rPr>
                <w:sz w:val="22"/>
              </w:rPr>
              <w:t>SHIFTJIS_CHARSET</w:t>
            </w:r>
          </w:p>
        </w:tc>
      </w:tr>
      <w:tr>
        <w:trPr>
          <w:trHeight w:val="354" w:hRule="atLeast"/>
        </w:trPr>
        <w:tc>
          <w:tcPr>
            <w:tcW w:w="1008" w:type="dxa"/>
          </w:tcPr>
          <w:p>
            <w:pPr>
              <w:pStyle w:val="TableParagraph"/>
              <w:rPr>
                <w:sz w:val="22"/>
              </w:rPr>
            </w:pPr>
            <w:r>
              <w:rPr>
                <w:sz w:val="22"/>
              </w:rPr>
              <w:t>129</w:t>
            </w:r>
          </w:p>
        </w:tc>
        <w:tc>
          <w:tcPr>
            <w:tcW w:w="2590" w:type="dxa"/>
          </w:tcPr>
          <w:p>
            <w:pPr>
              <w:pStyle w:val="TableParagraph"/>
              <w:ind w:left="114"/>
              <w:rPr>
                <w:sz w:val="22"/>
              </w:rPr>
            </w:pPr>
            <w:r>
              <w:rPr>
                <w:sz w:val="22"/>
              </w:rPr>
              <w:t>HANGUL_CHARSET</w:t>
            </w:r>
          </w:p>
        </w:tc>
      </w:tr>
      <w:tr>
        <w:trPr>
          <w:trHeight w:val="354" w:hRule="atLeast"/>
        </w:trPr>
        <w:tc>
          <w:tcPr>
            <w:tcW w:w="1008" w:type="dxa"/>
          </w:tcPr>
          <w:p>
            <w:pPr>
              <w:pStyle w:val="TableParagraph"/>
              <w:rPr>
                <w:sz w:val="22"/>
              </w:rPr>
            </w:pPr>
            <w:r>
              <w:rPr>
                <w:sz w:val="22"/>
              </w:rPr>
              <w:t>130</w:t>
            </w:r>
          </w:p>
        </w:tc>
        <w:tc>
          <w:tcPr>
            <w:tcW w:w="2590" w:type="dxa"/>
          </w:tcPr>
          <w:p>
            <w:pPr>
              <w:pStyle w:val="TableParagraph"/>
              <w:ind w:left="114"/>
              <w:rPr>
                <w:sz w:val="22"/>
              </w:rPr>
            </w:pPr>
            <w:r>
              <w:rPr>
                <w:sz w:val="22"/>
              </w:rPr>
              <w:t>JOHAB_CHARSET</w:t>
            </w:r>
          </w:p>
        </w:tc>
      </w:tr>
      <w:tr>
        <w:trPr>
          <w:trHeight w:val="355" w:hRule="atLeast"/>
        </w:trPr>
        <w:tc>
          <w:tcPr>
            <w:tcW w:w="1008" w:type="dxa"/>
          </w:tcPr>
          <w:p>
            <w:pPr>
              <w:pStyle w:val="TableParagraph"/>
              <w:rPr>
                <w:sz w:val="22"/>
              </w:rPr>
            </w:pPr>
            <w:r>
              <w:rPr>
                <w:sz w:val="22"/>
              </w:rPr>
              <w:t>134</w:t>
            </w:r>
          </w:p>
        </w:tc>
        <w:tc>
          <w:tcPr>
            <w:tcW w:w="2590" w:type="dxa"/>
          </w:tcPr>
          <w:p>
            <w:pPr>
              <w:pStyle w:val="TableParagraph"/>
              <w:ind w:left="114"/>
              <w:rPr>
                <w:sz w:val="22"/>
              </w:rPr>
            </w:pPr>
            <w:r>
              <w:rPr>
                <w:sz w:val="22"/>
              </w:rPr>
              <w:t>GB2312_CHARSET</w:t>
            </w:r>
          </w:p>
        </w:tc>
      </w:tr>
      <w:tr>
        <w:trPr>
          <w:trHeight w:val="354" w:hRule="atLeast"/>
        </w:trPr>
        <w:tc>
          <w:tcPr>
            <w:tcW w:w="1008" w:type="dxa"/>
          </w:tcPr>
          <w:p>
            <w:pPr>
              <w:pStyle w:val="TableParagraph"/>
              <w:rPr>
                <w:sz w:val="22"/>
              </w:rPr>
            </w:pPr>
            <w:r>
              <w:rPr>
                <w:sz w:val="22"/>
              </w:rPr>
              <w:t>136</w:t>
            </w:r>
          </w:p>
        </w:tc>
        <w:tc>
          <w:tcPr>
            <w:tcW w:w="2590" w:type="dxa"/>
          </w:tcPr>
          <w:p>
            <w:pPr>
              <w:pStyle w:val="TableParagraph"/>
              <w:ind w:left="114"/>
              <w:rPr>
                <w:sz w:val="22"/>
              </w:rPr>
            </w:pPr>
            <w:r>
              <w:rPr>
                <w:sz w:val="22"/>
              </w:rPr>
              <w:t>CHINESEBIG5_CHARSET</w:t>
            </w:r>
          </w:p>
        </w:tc>
      </w:tr>
      <w:tr>
        <w:trPr>
          <w:trHeight w:val="354" w:hRule="atLeast"/>
        </w:trPr>
        <w:tc>
          <w:tcPr>
            <w:tcW w:w="1008" w:type="dxa"/>
          </w:tcPr>
          <w:p>
            <w:pPr>
              <w:pStyle w:val="TableParagraph"/>
              <w:rPr>
                <w:sz w:val="22"/>
              </w:rPr>
            </w:pPr>
            <w:r>
              <w:rPr>
                <w:sz w:val="22"/>
              </w:rPr>
              <w:t>161</w:t>
            </w:r>
          </w:p>
        </w:tc>
        <w:tc>
          <w:tcPr>
            <w:tcW w:w="2590" w:type="dxa"/>
          </w:tcPr>
          <w:p>
            <w:pPr>
              <w:pStyle w:val="TableParagraph"/>
              <w:ind w:left="114"/>
              <w:rPr>
                <w:sz w:val="22"/>
              </w:rPr>
            </w:pPr>
            <w:r>
              <w:rPr>
                <w:sz w:val="22"/>
              </w:rPr>
              <w:t>GREEK_CHARSET</w:t>
            </w:r>
          </w:p>
        </w:tc>
      </w:tr>
      <w:tr>
        <w:trPr>
          <w:trHeight w:val="354" w:hRule="atLeast"/>
        </w:trPr>
        <w:tc>
          <w:tcPr>
            <w:tcW w:w="1008" w:type="dxa"/>
          </w:tcPr>
          <w:p>
            <w:pPr>
              <w:pStyle w:val="TableParagraph"/>
              <w:rPr>
                <w:sz w:val="22"/>
              </w:rPr>
            </w:pPr>
            <w:r>
              <w:rPr>
                <w:sz w:val="22"/>
              </w:rPr>
              <w:t>162</w:t>
            </w:r>
          </w:p>
        </w:tc>
        <w:tc>
          <w:tcPr>
            <w:tcW w:w="2590" w:type="dxa"/>
          </w:tcPr>
          <w:p>
            <w:pPr>
              <w:pStyle w:val="TableParagraph"/>
              <w:ind w:left="114"/>
              <w:rPr>
                <w:sz w:val="22"/>
              </w:rPr>
            </w:pPr>
            <w:r>
              <w:rPr>
                <w:sz w:val="22"/>
              </w:rPr>
              <w:t>TURKISH_CHARSET</w:t>
            </w:r>
          </w:p>
        </w:tc>
      </w:tr>
      <w:tr>
        <w:trPr>
          <w:trHeight w:val="354" w:hRule="atLeast"/>
        </w:trPr>
        <w:tc>
          <w:tcPr>
            <w:tcW w:w="1008" w:type="dxa"/>
          </w:tcPr>
          <w:p>
            <w:pPr>
              <w:pStyle w:val="TableParagraph"/>
              <w:rPr>
                <w:sz w:val="22"/>
              </w:rPr>
            </w:pPr>
            <w:r>
              <w:rPr>
                <w:sz w:val="22"/>
              </w:rPr>
              <w:t>163</w:t>
            </w:r>
          </w:p>
        </w:tc>
        <w:tc>
          <w:tcPr>
            <w:tcW w:w="2590" w:type="dxa"/>
          </w:tcPr>
          <w:p>
            <w:pPr>
              <w:pStyle w:val="TableParagraph"/>
              <w:ind w:left="114"/>
              <w:rPr>
                <w:sz w:val="22"/>
              </w:rPr>
            </w:pPr>
            <w:r>
              <w:rPr>
                <w:sz w:val="22"/>
              </w:rPr>
              <w:t>VIETNAMESE_CHARSET</w:t>
            </w:r>
          </w:p>
        </w:tc>
      </w:tr>
      <w:tr>
        <w:trPr>
          <w:trHeight w:val="352" w:hRule="atLeast"/>
        </w:trPr>
        <w:tc>
          <w:tcPr>
            <w:tcW w:w="1008" w:type="dxa"/>
          </w:tcPr>
          <w:p>
            <w:pPr>
              <w:pStyle w:val="TableParagraph"/>
              <w:rPr>
                <w:sz w:val="22"/>
              </w:rPr>
            </w:pPr>
            <w:r>
              <w:rPr>
                <w:sz w:val="22"/>
              </w:rPr>
              <w:t>177</w:t>
            </w:r>
          </w:p>
        </w:tc>
        <w:tc>
          <w:tcPr>
            <w:tcW w:w="2590" w:type="dxa"/>
          </w:tcPr>
          <w:p>
            <w:pPr>
              <w:pStyle w:val="TableParagraph"/>
              <w:ind w:left="114"/>
              <w:rPr>
                <w:sz w:val="22"/>
              </w:rPr>
            </w:pPr>
            <w:r>
              <w:rPr>
                <w:sz w:val="22"/>
              </w:rPr>
              <w:t>HEBREW_CHARSET</w:t>
            </w:r>
          </w:p>
        </w:tc>
      </w:tr>
      <w:tr>
        <w:trPr>
          <w:trHeight w:val="354" w:hRule="atLeast"/>
        </w:trPr>
        <w:tc>
          <w:tcPr>
            <w:tcW w:w="1008" w:type="dxa"/>
          </w:tcPr>
          <w:p>
            <w:pPr>
              <w:pStyle w:val="TableParagraph"/>
              <w:spacing w:before="42"/>
              <w:rPr>
                <w:sz w:val="22"/>
              </w:rPr>
            </w:pPr>
            <w:r>
              <w:rPr>
                <w:sz w:val="22"/>
              </w:rPr>
              <w:t>178</w:t>
            </w:r>
          </w:p>
        </w:tc>
        <w:tc>
          <w:tcPr>
            <w:tcW w:w="2590" w:type="dxa"/>
          </w:tcPr>
          <w:p>
            <w:pPr>
              <w:pStyle w:val="TableParagraph"/>
              <w:spacing w:before="42"/>
              <w:ind w:left="114"/>
              <w:rPr>
                <w:sz w:val="22"/>
              </w:rPr>
            </w:pPr>
            <w:r>
              <w:rPr>
                <w:sz w:val="22"/>
              </w:rPr>
              <w:t>ARABIC_CHARSET</w:t>
            </w:r>
          </w:p>
        </w:tc>
      </w:tr>
      <w:tr>
        <w:trPr>
          <w:trHeight w:val="354" w:hRule="atLeast"/>
        </w:trPr>
        <w:tc>
          <w:tcPr>
            <w:tcW w:w="1008" w:type="dxa"/>
          </w:tcPr>
          <w:p>
            <w:pPr>
              <w:pStyle w:val="TableParagraph"/>
              <w:rPr>
                <w:sz w:val="22"/>
              </w:rPr>
            </w:pPr>
            <w:r>
              <w:rPr>
                <w:sz w:val="22"/>
              </w:rPr>
              <w:t>186</w:t>
            </w:r>
          </w:p>
        </w:tc>
        <w:tc>
          <w:tcPr>
            <w:tcW w:w="2590" w:type="dxa"/>
          </w:tcPr>
          <w:p>
            <w:pPr>
              <w:pStyle w:val="TableParagraph"/>
              <w:ind w:left="114"/>
              <w:rPr>
                <w:sz w:val="22"/>
              </w:rPr>
            </w:pPr>
            <w:r>
              <w:rPr>
                <w:sz w:val="22"/>
              </w:rPr>
              <w:t>BALTIC_CHARSET</w:t>
            </w:r>
          </w:p>
        </w:tc>
      </w:tr>
      <w:tr>
        <w:trPr>
          <w:trHeight w:val="354" w:hRule="atLeast"/>
        </w:trPr>
        <w:tc>
          <w:tcPr>
            <w:tcW w:w="1008" w:type="dxa"/>
          </w:tcPr>
          <w:p>
            <w:pPr>
              <w:pStyle w:val="TableParagraph"/>
              <w:rPr>
                <w:sz w:val="22"/>
              </w:rPr>
            </w:pPr>
            <w:r>
              <w:rPr>
                <w:sz w:val="22"/>
              </w:rPr>
              <w:t>204</w:t>
            </w:r>
          </w:p>
        </w:tc>
        <w:tc>
          <w:tcPr>
            <w:tcW w:w="2590" w:type="dxa"/>
          </w:tcPr>
          <w:p>
            <w:pPr>
              <w:pStyle w:val="TableParagraph"/>
              <w:ind w:left="114"/>
              <w:rPr>
                <w:sz w:val="22"/>
              </w:rPr>
            </w:pPr>
            <w:r>
              <w:rPr>
                <w:sz w:val="22"/>
              </w:rPr>
              <w:t>RUSSIAN_CHARSET</w:t>
            </w:r>
          </w:p>
        </w:tc>
      </w:tr>
      <w:tr>
        <w:trPr>
          <w:trHeight w:val="355" w:hRule="atLeast"/>
        </w:trPr>
        <w:tc>
          <w:tcPr>
            <w:tcW w:w="1008" w:type="dxa"/>
          </w:tcPr>
          <w:p>
            <w:pPr>
              <w:pStyle w:val="TableParagraph"/>
              <w:rPr>
                <w:sz w:val="22"/>
              </w:rPr>
            </w:pPr>
            <w:r>
              <w:rPr>
                <w:sz w:val="22"/>
              </w:rPr>
              <w:t>222</w:t>
            </w:r>
          </w:p>
        </w:tc>
        <w:tc>
          <w:tcPr>
            <w:tcW w:w="2590" w:type="dxa"/>
          </w:tcPr>
          <w:p>
            <w:pPr>
              <w:pStyle w:val="TableParagraph"/>
              <w:ind w:left="114"/>
              <w:rPr>
                <w:sz w:val="22"/>
              </w:rPr>
            </w:pPr>
            <w:r>
              <w:rPr>
                <w:sz w:val="22"/>
              </w:rPr>
              <w:t>THAI_CHARSET</w:t>
            </w:r>
          </w:p>
        </w:tc>
      </w:tr>
      <w:tr>
        <w:trPr>
          <w:trHeight w:val="354" w:hRule="atLeast"/>
        </w:trPr>
        <w:tc>
          <w:tcPr>
            <w:tcW w:w="1008" w:type="dxa"/>
          </w:tcPr>
          <w:p>
            <w:pPr>
              <w:pStyle w:val="TableParagraph"/>
              <w:rPr>
                <w:sz w:val="22"/>
              </w:rPr>
            </w:pPr>
            <w:r>
              <w:rPr>
                <w:sz w:val="22"/>
              </w:rPr>
              <w:t>238</w:t>
            </w:r>
          </w:p>
        </w:tc>
        <w:tc>
          <w:tcPr>
            <w:tcW w:w="2590" w:type="dxa"/>
          </w:tcPr>
          <w:p>
            <w:pPr>
              <w:pStyle w:val="TableParagraph"/>
              <w:ind w:left="114"/>
              <w:rPr>
                <w:sz w:val="22"/>
              </w:rPr>
            </w:pPr>
            <w:r>
              <w:rPr>
                <w:sz w:val="22"/>
              </w:rPr>
              <w:t>EASTEUROPE_CHARSET</w:t>
            </w:r>
          </w:p>
        </w:tc>
      </w:tr>
      <w:tr>
        <w:trPr>
          <w:trHeight w:val="354" w:hRule="atLeast"/>
        </w:trPr>
        <w:tc>
          <w:tcPr>
            <w:tcW w:w="1008" w:type="dxa"/>
          </w:tcPr>
          <w:p>
            <w:pPr>
              <w:pStyle w:val="TableParagraph"/>
              <w:rPr>
                <w:sz w:val="22"/>
              </w:rPr>
            </w:pPr>
            <w:r>
              <w:rPr>
                <w:sz w:val="22"/>
              </w:rPr>
              <w:t>255</w:t>
            </w:r>
          </w:p>
        </w:tc>
        <w:tc>
          <w:tcPr>
            <w:tcW w:w="2590" w:type="dxa"/>
          </w:tcPr>
          <w:p>
            <w:pPr>
              <w:pStyle w:val="TableParagraph"/>
              <w:ind w:left="114"/>
              <w:rPr>
                <w:sz w:val="22"/>
              </w:rPr>
            </w:pPr>
            <w:r>
              <w:rPr>
                <w:sz w:val="22"/>
              </w:rPr>
              <w:t>OEM_CHARSET</w:t>
            </w:r>
          </w:p>
        </w:tc>
      </w:tr>
    </w:tbl>
    <w:p>
      <w:pPr>
        <w:pStyle w:val="BodyText"/>
        <w:ind w:left="220"/>
      </w:pPr>
      <w:r>
        <w:rPr/>
        <w:t>The OEM_CHARSET value specifies a character set that is operating-system dependent. </w:t>
      </w:r>
      <w:r>
        <w:rPr>
          <w:i/>
        </w:rPr>
        <w:t>end note</w:t>
      </w:r>
      <w:r>
        <w:rPr/>
        <w:t>]</w:t>
      </w:r>
    </w:p>
    <w:p>
      <w:pPr>
        <w:pStyle w:val="BodyText"/>
        <w:spacing w:before="5"/>
        <w:rPr>
          <w:sz w:val="19"/>
        </w:rPr>
      </w:pPr>
    </w:p>
    <w:p>
      <w:pPr>
        <w:pStyle w:val="BodyText"/>
        <w:spacing w:line="278" w:lineRule="auto" w:before="1"/>
        <w:ind w:left="220" w:right="499"/>
      </w:pPr>
      <w:r>
        <w:rPr/>
        <w:t>Fonts with other character sets can exist in the operating system. If an application uses a font with an unknown character set, it should not attempt to translate or interpret strings that are rendered with that font.</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8"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rPr>
                <w:sz w:val="22"/>
              </w:rPr>
            </w:pPr>
            <w:r>
              <w:rPr>
                <w:sz w:val="22"/>
              </w:rPr>
              <w:t>The value of an integer, where each value corresponds to a different character set. This attribute is restricted to values ranging from 0 to 255.</w:t>
            </w:r>
          </w:p>
          <w:p>
            <w:pPr>
              <w:pStyle w:val="TableParagraph"/>
              <w:spacing w:before="0"/>
              <w:ind w:left="0"/>
              <w:rPr>
                <w:sz w:val="22"/>
              </w:rPr>
            </w:pPr>
          </w:p>
          <w:p>
            <w:pPr>
              <w:pStyle w:val="TableParagraph"/>
              <w:spacing w:before="11"/>
              <w:ind w:left="0"/>
              <w:rPr>
                <w:sz w:val="21"/>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pPr>
    </w:p>
    <w:p>
      <w:pPr>
        <w:pStyle w:val="BodyText"/>
        <w:spacing w:before="5"/>
        <w:rPr>
          <w:sz w:val="19"/>
        </w:rPr>
      </w:pPr>
    </w:p>
    <w:p>
      <w:pPr>
        <w:pStyle w:val="BodyText"/>
        <w:spacing w:line="278" w:lineRule="auto"/>
        <w:ind w:left="220" w:right="459"/>
      </w:pPr>
      <w:r>
        <w:rPr/>
        <w:t>[</w:t>
      </w:r>
      <w:r>
        <w:rPr>
          <w:i/>
        </w:rPr>
        <w:t>Note</w:t>
      </w:r>
      <w:r>
        <w:rPr/>
        <w:t>: The W3C XML Schema definition of this element’s content model (</w:t>
      </w:r>
      <w:r>
        <w:rPr>
          <w:color w:val="5F5F5F"/>
          <w:u w:val="single" w:color="5F5F5F"/>
        </w:rPr>
        <w:t>CT_IntProperty</w:t>
      </w:r>
      <w:r>
        <w:rPr/>
        <w:t>) is located in §A.2. </w:t>
      </w:r>
      <w:r>
        <w:rPr>
          <w:i/>
        </w:rPr>
        <w:t>end </w:t>
      </w:r>
      <w:r>
        <w:rPr>
          <w:i/>
        </w:rPr>
        <w:t>note</w:t>
      </w:r>
      <w:r>
        <w:rPr/>
        <w:t>]</w:t>
      </w:r>
    </w:p>
    <w:p>
      <w:pPr>
        <w:spacing w:after="0" w:line="278" w:lineRule="auto"/>
        <w:sectPr>
          <w:footerReference w:type="even" r:id="rId60"/>
          <w:footerReference w:type="default" r:id="rId61"/>
          <w:pgSz w:w="12240" w:h="15840"/>
          <w:pgMar w:footer="746" w:header="761" w:top="1340" w:bottom="940" w:left="860" w:right="700"/>
          <w:pgNumType w:start="172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4.2 outline (Outline)" w:id="440"/>
      <w:bookmarkEnd w:id="440"/>
      <w:r>
        <w:rPr>
          <w:b w:val="0"/>
        </w:rPr>
      </w:r>
      <w:bookmarkStart w:name="_bookmark145" w:id="441"/>
      <w:bookmarkEnd w:id="441"/>
      <w:r>
        <w:rPr>
          <w:b w:val="0"/>
        </w:rPr>
      </w:r>
      <w:bookmarkStart w:name="_bookmark145" w:id="442"/>
      <w:bookmarkEnd w:id="442"/>
      <w:r>
        <w:rPr>
          <w:color w:val="4F81BC"/>
        </w:rPr>
        <w:t>o</w:t>
      </w:r>
      <w:r>
        <w:rPr>
          <w:color w:val="4F81BC"/>
        </w:rPr>
        <w:t>utline</w:t>
      </w:r>
      <w:r>
        <w:rPr>
          <w:color w:val="4F81BC"/>
          <w:spacing w:val="-2"/>
        </w:rPr>
        <w:t> </w:t>
      </w:r>
      <w:r>
        <w:rPr>
          <w:color w:val="4F81BC"/>
        </w:rPr>
        <w:t>(Outline)</w:t>
      </w:r>
    </w:p>
    <w:p>
      <w:pPr>
        <w:pStyle w:val="BodyText"/>
        <w:spacing w:before="124"/>
        <w:ind w:left="220"/>
      </w:pPr>
      <w:r>
        <w:rPr/>
        <w:t>This element displays only the inner and outer borders of each character. This is very similar to Bold in behavior.</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8"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480" w:lineRule="auto"/>
              <w:ind w:right="1778"/>
              <w:rPr>
                <w:sz w:val="22"/>
              </w:rPr>
            </w:pPr>
            <w:r>
              <w:rPr>
                <w:sz w:val="22"/>
              </w:rPr>
              <w:t>A boolean value for the property specified by the parent XML element. If omitted, the default value is </w:t>
            </w:r>
            <w:r>
              <w:rPr>
                <w:rFonts w:ascii="Consolas"/>
                <w:sz w:val="20"/>
              </w:rPr>
              <w:t>true</w:t>
            </w:r>
            <w:r>
              <w:rPr>
                <w:sz w:val="22"/>
              </w:rPr>
              <w:t>.</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CT_BooleanProperty</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3 phoneticPr (Phonetic Properties)" w:id="443"/>
      <w:bookmarkEnd w:id="443"/>
      <w:r>
        <w:rPr>
          <w:b w:val="0"/>
        </w:rPr>
      </w:r>
      <w:bookmarkStart w:name="_bookmark146" w:id="444"/>
      <w:bookmarkEnd w:id="444"/>
      <w:r>
        <w:rPr>
          <w:b w:val="0"/>
        </w:rPr>
      </w:r>
      <w:bookmarkStart w:name="_bookmark146" w:id="445"/>
      <w:bookmarkEnd w:id="445"/>
      <w:r>
        <w:rPr>
          <w:color w:val="4F81BC"/>
        </w:rPr>
        <w:t>p</w:t>
      </w:r>
      <w:r>
        <w:rPr>
          <w:color w:val="4F81BC"/>
        </w:rPr>
        <w:t>honeticPr (Phonetic Properties)</w:t>
      </w:r>
    </w:p>
    <w:p>
      <w:pPr>
        <w:pStyle w:val="BodyText"/>
        <w:spacing w:line="278" w:lineRule="auto" w:before="124"/>
        <w:ind w:left="220" w:right="372"/>
        <w:rPr>
          <w:rFonts w:ascii="Cambria"/>
        </w:rPr>
      </w:pPr>
      <w:r>
        <w:rPr/>
        <w:t>This element represents a collection of phonetic properties that affect the display of phonetic text for this </w:t>
      </w:r>
      <w:r>
        <w:rPr>
          <w:rFonts w:ascii="Cambria"/>
        </w:rPr>
        <w:t>String Item (si).</w:t>
      </w:r>
    </w:p>
    <w:p>
      <w:pPr>
        <w:pStyle w:val="BodyText"/>
        <w:spacing w:line="278" w:lineRule="auto" w:before="193"/>
        <w:ind w:left="220" w:right="467"/>
      </w:pPr>
      <w:r>
        <w:rPr/>
        <w:t>Phonetic text is used to give hints as to the pronunciation of an East Asian language, and the hints are displayed as text within the spreadsheet cells across the top portion of the cell. Since the phonetic hints are text, every phonetic hint is expressed as a </w:t>
      </w:r>
      <w:r>
        <w:rPr>
          <w:rFonts w:ascii="Cambria"/>
        </w:rPr>
        <w:t>phonetic run (rPh</w:t>
      </w:r>
      <w:r>
        <w:rPr/>
        <w:t>)</w:t>
      </w:r>
      <w:r>
        <w:rPr>
          <w:rFonts w:ascii="Cambria"/>
        </w:rPr>
        <w:t>, </w:t>
      </w:r>
      <w:r>
        <w:rPr/>
        <w:t>and these properties specify how to display that phonetic run.</w:t>
      </w:r>
    </w:p>
    <w:p>
      <w:pPr>
        <w:spacing w:before="194"/>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&lt;si&gt;</w:t>
      </w:r>
    </w:p>
    <w:p>
      <w:pPr>
        <w:pStyle w:val="BodyText"/>
        <w:spacing w:before="20"/>
        <w:ind w:left="750"/>
        <w:rPr>
          <w:rFonts w:ascii="Consolas" w:eastAsia="Consolas"/>
        </w:rPr>
      </w:pPr>
      <w:r>
        <w:rPr>
          <w:rFonts w:ascii="Consolas" w:eastAsia="Consolas"/>
        </w:rPr>
        <w:t>&lt;t&gt;</w:t>
      </w:r>
      <w:r>
        <w:rPr>
          <w:rFonts w:ascii="MS Gothic" w:eastAsia="MS Gothic" w:hint="eastAsia"/>
          <w:spacing w:val="-77"/>
        </w:rPr>
        <w:t>課きく毛こ</w:t>
      </w:r>
      <w:r>
        <w:rPr>
          <w:rFonts w:ascii="Consolas" w:eastAsia="Consolas"/>
        </w:rPr>
        <w:t>&lt;/t&gt;</w:t>
      </w:r>
    </w:p>
    <w:p>
      <w:pPr>
        <w:pStyle w:val="BodyText"/>
        <w:spacing w:before="31"/>
        <w:ind w:left="750"/>
        <w:rPr>
          <w:rFonts w:ascii="Consolas"/>
        </w:rPr>
      </w:pPr>
      <w:r>
        <w:rPr>
          <w:rFonts w:ascii="Consolas"/>
        </w:rPr>
        <w:t>&lt;rPh sb="0" eb="1"&gt;</w:t>
      </w:r>
    </w:p>
    <w:p>
      <w:pPr>
        <w:pStyle w:val="BodyText"/>
        <w:spacing w:before="23"/>
        <w:ind w:left="993"/>
        <w:rPr>
          <w:rFonts w:ascii="Consolas" w:eastAsia="Consolas"/>
        </w:rPr>
      </w:pPr>
      <w:r>
        <w:rPr>
          <w:rFonts w:ascii="Consolas" w:eastAsia="Consolas"/>
        </w:rPr>
        <w:t>&lt;t&gt;</w:t>
      </w:r>
      <w:r>
        <w:rPr>
          <w:rFonts w:ascii="MS Gothic" w:eastAsia="MS Gothic" w:hint="eastAsia"/>
          <w:spacing w:val="-99"/>
        </w:rPr>
        <w:t>カ</w:t>
      </w:r>
      <w:r>
        <w:rPr>
          <w:rFonts w:ascii="Consolas" w:eastAsia="Consolas"/>
        </w:rPr>
        <w:t>&lt;/t&gt;</w:t>
      </w:r>
    </w:p>
    <w:p>
      <w:pPr>
        <w:pStyle w:val="BodyText"/>
        <w:spacing w:before="31"/>
        <w:ind w:left="750"/>
        <w:rPr>
          <w:rFonts w:ascii="Consolas"/>
        </w:rPr>
      </w:pPr>
      <w:r>
        <w:rPr>
          <w:rFonts w:ascii="Consolas"/>
        </w:rPr>
        <w:t>&lt;/rPh&gt;</w:t>
      </w:r>
    </w:p>
    <w:p>
      <w:pPr>
        <w:pStyle w:val="BodyText"/>
        <w:spacing w:before="40"/>
        <w:ind w:left="750"/>
        <w:rPr>
          <w:rFonts w:ascii="Consolas"/>
        </w:rPr>
      </w:pPr>
      <w:r>
        <w:rPr>
          <w:rFonts w:ascii="Consolas"/>
        </w:rPr>
        <w:t>&lt;rPh sb="4" eb="5"&gt;</w:t>
      </w:r>
    </w:p>
    <w:p>
      <w:pPr>
        <w:pStyle w:val="BodyText"/>
        <w:spacing w:before="20"/>
        <w:ind w:left="993"/>
        <w:rPr>
          <w:rFonts w:ascii="Consolas" w:eastAsia="Consolas"/>
        </w:rPr>
      </w:pPr>
      <w:r>
        <w:rPr>
          <w:rFonts w:ascii="Consolas" w:eastAsia="Consolas"/>
        </w:rPr>
        <w:t>&lt;t&gt;</w:t>
      </w:r>
      <w:r>
        <w:rPr>
          <w:rFonts w:ascii="MS Gothic" w:eastAsia="MS Gothic" w:hint="eastAsia"/>
          <w:spacing w:val="-99"/>
        </w:rPr>
        <w:t>ケ</w:t>
      </w:r>
      <w:r>
        <w:rPr>
          <w:rFonts w:ascii="Consolas" w:eastAsia="Consolas"/>
        </w:rPr>
        <w:t>&lt;/t&gt;</w:t>
      </w:r>
    </w:p>
    <w:p>
      <w:pPr>
        <w:pStyle w:val="BodyText"/>
        <w:spacing w:before="33"/>
        <w:ind w:left="750"/>
        <w:rPr>
          <w:rFonts w:ascii="Consolas"/>
        </w:rPr>
      </w:pPr>
      <w:r>
        <w:rPr>
          <w:rFonts w:ascii="Consolas"/>
        </w:rPr>
        <w:t>&lt;/rPh&gt;</w:t>
      </w:r>
    </w:p>
    <w:p>
      <w:pPr>
        <w:pStyle w:val="BodyText"/>
        <w:spacing w:before="38"/>
        <w:ind w:left="750"/>
        <w:rPr>
          <w:rFonts w:ascii="Consolas"/>
        </w:rPr>
      </w:pPr>
      <w:r>
        <w:rPr>
          <w:rFonts w:ascii="Consolas"/>
        </w:rPr>
        <w:t>&lt;phoneticPr fontId="1"/&gt;</w:t>
      </w:r>
    </w:p>
    <w:p>
      <w:pPr>
        <w:pStyle w:val="BodyText"/>
        <w:spacing w:before="37"/>
        <w:ind w:left="508"/>
        <w:rPr>
          <w:rFonts w:ascii="Consolas"/>
        </w:rPr>
      </w:pPr>
      <w:r>
        <w:rPr>
          <w:rFonts w:ascii="Consolas"/>
        </w:rPr>
        <w:t>&lt;/si&gt;</w:t>
      </w:r>
    </w:p>
    <w:p>
      <w:pPr>
        <w:pStyle w:val="BodyText"/>
        <w:spacing w:before="5"/>
        <w:rPr>
          <w:rFonts w:ascii="Consolas"/>
          <w:sz w:val="20"/>
        </w:rPr>
      </w:pPr>
    </w:p>
    <w:p>
      <w:pPr>
        <w:pStyle w:val="BodyText"/>
        <w:tabs>
          <w:tab w:pos="7764" w:val="left" w:leader="none"/>
        </w:tabs>
        <w:spacing w:line="280" w:lineRule="auto"/>
        <w:ind w:left="220" w:right="389"/>
      </w:pPr>
      <w:r>
        <w:rPr/>
        <w:t>The</w:t>
      </w:r>
      <w:r>
        <w:rPr>
          <w:spacing w:val="-1"/>
        </w:rPr>
        <w:t> </w:t>
      </w:r>
      <w:r>
        <w:rPr/>
        <w:t>above</w:t>
      </w:r>
      <w:r>
        <w:rPr>
          <w:spacing w:val="-3"/>
        </w:rPr>
        <w:t> </w:t>
      </w:r>
      <w:r>
        <w:rPr/>
        <w:t>example</w:t>
      </w:r>
      <w:r>
        <w:rPr>
          <w:spacing w:val="-4"/>
        </w:rPr>
        <w:t> </w:t>
      </w:r>
      <w:r>
        <w:rPr/>
        <w:t>shows</w:t>
      </w:r>
      <w:r>
        <w:rPr>
          <w:spacing w:val="-3"/>
        </w:rPr>
        <w:t> </w:t>
      </w:r>
      <w:r>
        <w:rPr/>
        <w:t>a</w:t>
      </w:r>
      <w:r>
        <w:rPr>
          <w:spacing w:val="-1"/>
        </w:rPr>
        <w:t> </w:t>
      </w:r>
      <w:r>
        <w:rPr/>
        <w:t>String</w:t>
      </w:r>
      <w:r>
        <w:rPr>
          <w:spacing w:val="-2"/>
        </w:rPr>
        <w:t> </w:t>
      </w:r>
      <w:r>
        <w:rPr/>
        <w:t>Item that</w:t>
      </w:r>
      <w:r>
        <w:rPr>
          <w:spacing w:val="-1"/>
        </w:rPr>
        <w:t> </w:t>
      </w:r>
      <w:r>
        <w:rPr/>
        <w:t>displays</w:t>
      </w:r>
      <w:r>
        <w:rPr>
          <w:spacing w:val="-2"/>
        </w:rPr>
        <w:t> </w:t>
      </w:r>
      <w:r>
        <w:rPr/>
        <w:t>some Japanese text</w:t>
      </w:r>
      <w:r>
        <w:rPr>
          <w:spacing w:val="-3"/>
        </w:rPr>
        <w:t> </w:t>
      </w:r>
      <w:r>
        <w:rPr>
          <w:spacing w:val="4"/>
        </w:rPr>
        <w:t>"</w:t>
      </w:r>
      <w:r>
        <w:rPr>
          <w:rFonts w:ascii="MS Gothic" w:eastAsia="MS Gothic" w:hint="eastAsia"/>
        </w:rPr>
        <w:t>課</w:t>
      </w:r>
      <w:r>
        <w:rPr>
          <w:rFonts w:ascii="MS Gothic" w:eastAsia="MS Gothic" w:hint="eastAsia"/>
          <w:spacing w:val="-3"/>
        </w:rPr>
        <w:t>き</w:t>
      </w:r>
      <w:r>
        <w:rPr>
          <w:rFonts w:ascii="MS Gothic" w:eastAsia="MS Gothic" w:hint="eastAsia"/>
        </w:rPr>
        <w:t>く</w:t>
        <w:tab/>
        <w:t>毛こ</w:t>
      </w:r>
      <w:r>
        <w:rPr/>
        <w:t>."</w:t>
      </w:r>
      <w:r>
        <w:rPr>
          <w:spacing w:val="-4"/>
        </w:rPr>
        <w:t> </w:t>
      </w:r>
      <w:r>
        <w:rPr/>
        <w:t>It</w:t>
      </w:r>
      <w:r>
        <w:rPr>
          <w:spacing w:val="-2"/>
        </w:rPr>
        <w:t> </w:t>
      </w:r>
      <w:r>
        <w:rPr/>
        <w:t>also displays</w:t>
      </w:r>
      <w:r>
        <w:rPr>
          <w:spacing w:val="-3"/>
        </w:rPr>
        <w:t> </w:t>
      </w:r>
      <w:r>
        <w:rPr/>
        <w:t>some phonetic</w:t>
      </w:r>
      <w:r>
        <w:rPr>
          <w:spacing w:val="-3"/>
        </w:rPr>
        <w:t> </w:t>
      </w:r>
      <w:r>
        <w:rPr/>
        <w:t>text across</w:t>
      </w:r>
      <w:r>
        <w:rPr>
          <w:spacing w:val="-2"/>
        </w:rPr>
        <w:t> </w:t>
      </w:r>
      <w:r>
        <w:rPr/>
        <w:t>the</w:t>
      </w:r>
      <w:r>
        <w:rPr>
          <w:spacing w:val="-2"/>
        </w:rPr>
        <w:t> </w:t>
      </w:r>
      <w:r>
        <w:rPr/>
        <w:t>top</w:t>
      </w:r>
      <w:r>
        <w:rPr>
          <w:spacing w:val="-2"/>
        </w:rPr>
        <w:t> </w:t>
      </w:r>
      <w:r>
        <w:rPr/>
        <w:t>of</w:t>
      </w:r>
      <w:r>
        <w:rPr>
          <w:spacing w:val="1"/>
        </w:rPr>
        <w:t> </w:t>
      </w:r>
      <w:r>
        <w:rPr/>
        <w:t>the</w:t>
      </w:r>
      <w:r>
        <w:rPr>
          <w:spacing w:val="1"/>
        </w:rPr>
        <w:t> </w:t>
      </w:r>
      <w:r>
        <w:rPr/>
        <w:t>cell.</w:t>
      </w:r>
      <w:r>
        <w:rPr>
          <w:spacing w:val="47"/>
        </w:rPr>
        <w:t> </w:t>
      </w:r>
      <w:r>
        <w:rPr/>
        <w:t>The</w:t>
      </w:r>
      <w:r>
        <w:rPr>
          <w:spacing w:val="-3"/>
        </w:rPr>
        <w:t> </w:t>
      </w:r>
      <w:r>
        <w:rPr/>
        <w:t>phonetic</w:t>
      </w:r>
      <w:r>
        <w:rPr>
          <w:spacing w:val="-2"/>
        </w:rPr>
        <w:t> </w:t>
      </w:r>
      <w:r>
        <w:rPr/>
        <w:t>text</w:t>
      </w:r>
      <w:r>
        <w:rPr>
          <w:spacing w:val="-2"/>
        </w:rPr>
        <w:t> </w:t>
      </w:r>
      <w:r>
        <w:rPr/>
        <w:t>character,</w:t>
      </w:r>
      <w:r>
        <w:rPr>
          <w:spacing w:val="-1"/>
        </w:rPr>
        <w:t> </w:t>
      </w:r>
      <w:r>
        <w:rPr/>
        <w:t>"</w:t>
      </w:r>
      <w:r>
        <w:rPr>
          <w:rFonts w:ascii="MS Gothic" w:eastAsia="MS Gothic" w:hint="eastAsia"/>
        </w:rPr>
        <w:t>カ</w:t>
      </w:r>
      <w:r>
        <w:rPr/>
        <w:t>"</w:t>
      </w:r>
      <w:r>
        <w:rPr>
          <w:spacing w:val="48"/>
        </w:rPr>
        <w:t> </w:t>
      </w:r>
      <w:r>
        <w:rPr/>
        <w:t>is</w:t>
      </w:r>
      <w:r>
        <w:rPr>
          <w:spacing w:val="-1"/>
        </w:rPr>
        <w:t> </w:t>
      </w:r>
      <w:r>
        <w:rPr/>
        <w:t>displayed</w:t>
      </w:r>
      <w:r>
        <w:rPr>
          <w:spacing w:val="-3"/>
        </w:rPr>
        <w:t> </w:t>
      </w:r>
      <w:r>
        <w:rPr/>
        <w:t>over the</w:t>
      </w:r>
      <w:r>
        <w:rPr>
          <w:spacing w:val="1"/>
        </w:rPr>
        <w:t> </w:t>
      </w:r>
      <w:r>
        <w:rPr/>
        <w:t>"</w:t>
      </w:r>
      <w:r>
        <w:rPr>
          <w:rFonts w:ascii="MS Gothic" w:eastAsia="MS Gothic" w:hint="eastAsia"/>
          <w:spacing w:val="-3"/>
        </w:rPr>
        <w:t>課</w:t>
      </w:r>
      <w:r>
        <w:rPr/>
        <w:t>"</w:t>
      </w:r>
      <w:r>
        <w:rPr>
          <w:spacing w:val="-1"/>
        </w:rPr>
        <w:t> </w:t>
      </w:r>
      <w:r>
        <w:rPr/>
        <w:t>character and</w:t>
      </w:r>
      <w:r>
        <w:rPr>
          <w:spacing w:val="-2"/>
        </w:rPr>
        <w:t> </w:t>
      </w:r>
      <w:r>
        <w:rPr/>
        <w:t>the phonetic</w:t>
      </w:r>
      <w:r>
        <w:rPr>
          <w:spacing w:val="-1"/>
        </w:rPr>
        <w:t> </w:t>
      </w:r>
      <w:r>
        <w:rPr/>
        <w:t>text</w:t>
      </w:r>
      <w:r>
        <w:rPr>
          <w:spacing w:val="-3"/>
        </w:rPr>
        <w:t> </w:t>
      </w:r>
      <w:r>
        <w:rPr/>
        <w:t>"</w:t>
      </w:r>
      <w:r>
        <w:rPr>
          <w:rFonts w:ascii="MS Gothic" w:eastAsia="MS Gothic" w:hint="eastAsia"/>
          <w:spacing w:val="-3"/>
        </w:rPr>
        <w:t>ケ</w:t>
      </w:r>
      <w:r>
        <w:rPr/>
        <w:t>"</w:t>
      </w:r>
      <w:r>
        <w:rPr>
          <w:spacing w:val="-2"/>
        </w:rPr>
        <w:t> </w:t>
      </w:r>
      <w:r>
        <w:rPr/>
        <w:t>is</w:t>
      </w:r>
      <w:r>
        <w:rPr>
          <w:spacing w:val="-1"/>
        </w:rPr>
        <w:t> </w:t>
      </w:r>
      <w:r>
        <w:rPr/>
        <w:t>displayed</w:t>
      </w:r>
      <w:r>
        <w:rPr>
          <w:spacing w:val="-2"/>
        </w:rPr>
        <w:t> </w:t>
      </w:r>
      <w:r>
        <w:rPr/>
        <w:t>above the</w:t>
      </w:r>
      <w:r>
        <w:rPr>
          <w:spacing w:val="1"/>
        </w:rPr>
        <w:t> </w:t>
      </w:r>
      <w:r>
        <w:rPr/>
        <w:t>"</w:t>
      </w:r>
      <w:r>
        <w:rPr>
          <w:rFonts w:ascii="MS Gothic" w:eastAsia="MS Gothic" w:hint="eastAsia"/>
          <w:spacing w:val="-3"/>
        </w:rPr>
        <w:t>毛</w:t>
      </w:r>
      <w:r>
        <w:rPr/>
        <w:t>"</w:t>
      </w:r>
      <w:r>
        <w:rPr>
          <w:spacing w:val="-4"/>
        </w:rPr>
        <w:t> </w:t>
      </w:r>
      <w:r>
        <w:rPr/>
        <w:t>character,</w:t>
      </w:r>
      <w:r>
        <w:rPr>
          <w:spacing w:val="-1"/>
        </w:rPr>
        <w:t> </w:t>
      </w:r>
      <w:r>
        <w:rPr/>
        <w:t>using</w:t>
      </w:r>
      <w:r>
        <w:rPr>
          <w:spacing w:val="-2"/>
        </w:rPr>
        <w:t> </w:t>
      </w:r>
      <w:r>
        <w:rPr/>
        <w:t>the</w:t>
      </w:r>
      <w:r>
        <w:rPr>
          <w:spacing w:val="-3"/>
        </w:rPr>
        <w:t> </w:t>
      </w:r>
      <w:r>
        <w:rPr/>
        <w:t>font</w:t>
      </w:r>
      <w:r>
        <w:rPr>
          <w:spacing w:val="-2"/>
        </w:rPr>
        <w:t> </w:t>
      </w:r>
      <w:r>
        <w:rPr/>
        <w:t>record</w:t>
      </w:r>
      <w:r>
        <w:rPr>
          <w:spacing w:val="-2"/>
        </w:rPr>
        <w:t> </w:t>
      </w:r>
      <w:r>
        <w:rPr/>
        <w:t>in</w:t>
      </w:r>
      <w:r>
        <w:rPr>
          <w:spacing w:val="-4"/>
        </w:rPr>
        <w:t> </w:t>
      </w:r>
      <w:r>
        <w:rPr/>
        <w:t>the style</w:t>
      </w:r>
      <w:r>
        <w:rPr>
          <w:spacing w:val="1"/>
        </w:rPr>
        <w:t> </w:t>
      </w:r>
      <w:r>
        <w:rPr/>
        <w:t>sheet</w:t>
      </w:r>
      <w:r>
        <w:rPr>
          <w:spacing w:val="-1"/>
        </w:rPr>
        <w:t> </w:t>
      </w:r>
      <w:r>
        <w:rPr/>
        <w:t>at</w:t>
      </w:r>
      <w:r>
        <w:rPr>
          <w:spacing w:val="-1"/>
        </w:rPr>
        <w:t> </w:t>
      </w:r>
      <w:r>
        <w:rPr/>
        <w:t>index</w:t>
      </w:r>
    </w:p>
    <w:p>
      <w:pPr>
        <w:spacing w:line="264" w:lineRule="exact" w:before="0"/>
        <w:ind w:left="220" w:right="0" w:firstLine="0"/>
        <w:jc w:val="left"/>
        <w:rPr>
          <w:sz w:val="22"/>
        </w:rPr>
      </w:pPr>
      <w:r>
        <w:rPr>
          <w:sz w:val="22"/>
        </w:rPr>
        <w:t>1. </w:t>
      </w:r>
      <w:r>
        <w:rPr>
          <w:i/>
          <w:sz w:val="22"/>
        </w:rPr>
        <w:t>end example</w:t>
      </w:r>
      <w:r>
        <w:rPr>
          <w:sz w:val="22"/>
        </w:rPr>
        <w:t>]</w:t>
      </w:r>
    </w:p>
    <w:p>
      <w:pPr>
        <w:spacing w:after="0" w:line="264" w:lineRule="exact"/>
        <w:jc w:val="left"/>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line="256" w:lineRule="exact" w:before="42"/>
              <w:rPr>
                <w:rFonts w:ascii="Cambria"/>
                <w:sz w:val="22"/>
              </w:rPr>
            </w:pPr>
            <w:r>
              <w:rPr>
                <w:rFonts w:ascii="Cambria"/>
                <w:sz w:val="22"/>
              </w:rPr>
              <w:t>alignment</w:t>
            </w:r>
          </w:p>
          <w:p>
            <w:pPr>
              <w:pStyle w:val="TableParagraph"/>
              <w:spacing w:line="267" w:lineRule="exact" w:before="0"/>
              <w:rPr>
                <w:sz w:val="22"/>
              </w:rPr>
            </w:pPr>
            <w:r>
              <w:rPr>
                <w:sz w:val="22"/>
              </w:rPr>
              <w:t>(Alignment)</w:t>
            </w:r>
          </w:p>
        </w:tc>
        <w:tc>
          <w:tcPr>
            <w:tcW w:w="8250" w:type="dxa"/>
          </w:tcPr>
          <w:p>
            <w:pPr>
              <w:pStyle w:val="TableParagraph"/>
              <w:ind w:right="553"/>
              <w:rPr>
                <w:sz w:val="22"/>
              </w:rPr>
            </w:pPr>
            <w:r>
              <w:rPr>
                <w:sz w:val="22"/>
              </w:rPr>
              <w:t>Specifies how the text for the phonetic run is aligned across the top of the cells, with respect to the main text in the body of the cell.</w:t>
            </w:r>
          </w:p>
          <w:p>
            <w:pPr>
              <w:pStyle w:val="TableParagraph"/>
              <w:spacing w:before="0"/>
              <w:ind w:left="0"/>
              <w:rPr>
                <w:sz w:val="22"/>
              </w:rPr>
            </w:pPr>
          </w:p>
          <w:p>
            <w:pPr>
              <w:pStyle w:val="TableParagraph"/>
              <w:spacing w:before="0"/>
              <w:ind w:right="350"/>
              <w:rPr>
                <w:sz w:val="22"/>
              </w:rPr>
            </w:pPr>
            <w:r>
              <w:rPr>
                <w:sz w:val="22"/>
              </w:rPr>
              <w:t>The possible values for this attribute are defined by the </w:t>
            </w:r>
            <w:r>
              <w:rPr>
                <w:rFonts w:ascii="Cambria" w:hAnsi="Cambria"/>
                <w:sz w:val="22"/>
              </w:rPr>
              <w:t>ST_PhoneticAlignment </w:t>
            </w:r>
            <w:r>
              <w:rPr>
                <w:sz w:val="22"/>
              </w:rPr>
              <w:t>simple type (§</w:t>
            </w:r>
            <w:hyperlink w:history="true" w:anchor="_bookmark878">
              <w:r>
                <w:rPr>
                  <w:sz w:val="22"/>
                </w:rPr>
                <w:t>18.18.56</w:t>
              </w:r>
            </w:hyperlink>
            <w:r>
              <w:rPr>
                <w:sz w:val="22"/>
              </w:rPr>
              <w:t>).</w:t>
            </w:r>
          </w:p>
        </w:tc>
      </w:tr>
      <w:tr>
        <w:trPr>
          <w:trHeight w:val="2237" w:hRule="atLeast"/>
        </w:trPr>
        <w:tc>
          <w:tcPr>
            <w:tcW w:w="2062" w:type="dxa"/>
          </w:tcPr>
          <w:p>
            <w:pPr>
              <w:pStyle w:val="TableParagraph"/>
              <w:ind w:left="0" w:right="547"/>
              <w:jc w:val="right"/>
              <w:rPr>
                <w:sz w:val="22"/>
              </w:rPr>
            </w:pPr>
            <w:r>
              <w:rPr>
                <w:rFonts w:ascii="Cambria"/>
                <w:sz w:val="22"/>
              </w:rPr>
              <w:t>fontId </w:t>
            </w:r>
            <w:r>
              <w:rPr>
                <w:sz w:val="22"/>
              </w:rPr>
              <w:t>(Font Id)</w:t>
            </w:r>
          </w:p>
        </w:tc>
        <w:tc>
          <w:tcPr>
            <w:tcW w:w="8250" w:type="dxa"/>
          </w:tcPr>
          <w:p>
            <w:pPr>
              <w:pStyle w:val="TableParagraph"/>
              <w:ind w:right="106"/>
              <w:rPr>
                <w:sz w:val="22"/>
              </w:rPr>
            </w:pPr>
            <w:r>
              <w:rPr>
                <w:sz w:val="22"/>
              </w:rPr>
              <w:t>An integer that is a zero-based index into the font record in the style sheet. Represents the font to be used to display this phonetic</w:t>
            </w:r>
            <w:r>
              <w:rPr>
                <w:spacing w:val="-5"/>
                <w:sz w:val="22"/>
              </w:rPr>
              <w:t> </w:t>
            </w:r>
            <w:r>
              <w:rPr>
                <w:sz w:val="22"/>
              </w:rPr>
              <w:t>run.</w:t>
            </w:r>
          </w:p>
          <w:p>
            <w:pPr>
              <w:pStyle w:val="TableParagraph"/>
              <w:spacing w:before="0"/>
              <w:ind w:left="0"/>
              <w:rPr>
                <w:sz w:val="22"/>
              </w:rPr>
            </w:pPr>
          </w:p>
          <w:p>
            <w:pPr>
              <w:pStyle w:val="TableParagraph"/>
              <w:spacing w:before="0"/>
              <w:ind w:right="223"/>
              <w:rPr>
                <w:sz w:val="22"/>
              </w:rPr>
            </w:pPr>
            <w:r>
              <w:rPr>
                <w:sz w:val="22"/>
              </w:rPr>
              <w:t>If this index is out of bounds, then the default font of the Normal style should be used in its place. This default font should be at index</w:t>
            </w:r>
            <w:r>
              <w:rPr>
                <w:spacing w:val="-14"/>
                <w:sz w:val="22"/>
              </w:rPr>
              <w:t> </w:t>
            </w:r>
            <w:r>
              <w:rPr>
                <w:sz w:val="22"/>
              </w:rPr>
              <w:t>0.</w:t>
            </w:r>
          </w:p>
          <w:p>
            <w:pPr>
              <w:pStyle w:val="TableParagraph"/>
              <w:spacing w:before="1"/>
              <w:ind w:left="0"/>
              <w:rPr>
                <w:sz w:val="22"/>
              </w:rPr>
            </w:pPr>
          </w:p>
          <w:p>
            <w:pPr>
              <w:pStyle w:val="TableParagraph"/>
              <w:spacing w:before="0"/>
              <w:ind w:right="1079"/>
              <w:rPr>
                <w:sz w:val="22"/>
              </w:rPr>
            </w:pPr>
            <w:r>
              <w:rPr>
                <w:sz w:val="22"/>
              </w:rPr>
              <w:t>The possible values for this attribute are defined by the </w:t>
            </w:r>
            <w:r>
              <w:rPr>
                <w:rFonts w:ascii="Cambria" w:hAnsi="Cambria"/>
                <w:sz w:val="22"/>
              </w:rPr>
              <w:t>ST_FontId </w:t>
            </w:r>
            <w:r>
              <w:rPr>
                <w:sz w:val="22"/>
              </w:rPr>
              <w:t>simple type </w:t>
            </w:r>
            <w:hyperlink w:history="true" w:anchor="_bookmark854">
              <w:r>
                <w:rPr>
                  <w:sz w:val="22"/>
                </w:rPr>
                <w:t>(§18.18.32</w:t>
              </w:r>
            </w:hyperlink>
            <w:r>
              <w:rPr>
                <w:sz w:val="22"/>
              </w:rPr>
              <w:t>).</w:t>
            </w:r>
          </w:p>
        </w:tc>
      </w:tr>
      <w:tr>
        <w:trPr>
          <w:trHeight w:val="1427" w:hRule="atLeast"/>
        </w:trPr>
        <w:tc>
          <w:tcPr>
            <w:tcW w:w="2062" w:type="dxa"/>
          </w:tcPr>
          <w:p>
            <w:pPr>
              <w:pStyle w:val="TableParagraph"/>
              <w:ind w:right="513"/>
              <w:rPr>
                <w:sz w:val="22"/>
              </w:rPr>
            </w:pPr>
            <w:r>
              <w:rPr>
                <w:rFonts w:ascii="Cambria"/>
                <w:sz w:val="22"/>
              </w:rPr>
              <w:t>type </w:t>
            </w:r>
            <w:r>
              <w:rPr>
                <w:sz w:val="22"/>
              </w:rPr>
              <w:t>(Character Type)</w:t>
            </w:r>
          </w:p>
        </w:tc>
        <w:tc>
          <w:tcPr>
            <w:tcW w:w="8250" w:type="dxa"/>
          </w:tcPr>
          <w:p>
            <w:pPr>
              <w:pStyle w:val="TableParagraph"/>
              <w:ind w:right="180"/>
              <w:rPr>
                <w:sz w:val="22"/>
              </w:rPr>
            </w:pPr>
            <w:r>
              <w:rPr>
                <w:sz w:val="22"/>
              </w:rPr>
              <w:t>An enumeration which specifies which East Asian character set should be used to display the phonetic run</w:t>
            </w:r>
          </w:p>
          <w:p>
            <w:pPr>
              <w:pStyle w:val="TableParagraph"/>
              <w:spacing w:before="10"/>
              <w:ind w:left="0"/>
              <w:rPr>
                <w:sz w:val="21"/>
              </w:rPr>
            </w:pPr>
          </w:p>
          <w:p>
            <w:pPr>
              <w:pStyle w:val="TableParagraph"/>
              <w:spacing w:before="0"/>
              <w:ind w:right="408"/>
              <w:rPr>
                <w:sz w:val="22"/>
              </w:rPr>
            </w:pPr>
            <w:r>
              <w:rPr>
                <w:sz w:val="22"/>
              </w:rPr>
              <w:t>The possible values for this attribute are defined by the </w:t>
            </w:r>
            <w:r>
              <w:rPr>
                <w:rFonts w:ascii="Cambria" w:hAnsi="Cambria"/>
                <w:sz w:val="22"/>
              </w:rPr>
              <w:t>ST_PhoneticType </w:t>
            </w:r>
            <w:r>
              <w:rPr>
                <w:sz w:val="22"/>
              </w:rPr>
              <w:t>simple type </w:t>
            </w:r>
            <w:hyperlink w:history="true" w:anchor="_bookmark879">
              <w:r>
                <w:rPr>
                  <w:sz w:val="22"/>
                </w:rPr>
                <w:t>(§18.18.57</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507"/>
      </w:pPr>
      <w:r>
        <w:rPr/>
        <w:t>[</w:t>
      </w:r>
      <w:r>
        <w:rPr>
          <w:i/>
        </w:rPr>
        <w:t>Note</w:t>
      </w:r>
      <w:r>
        <w:rPr/>
        <w:t>: The W3C XML Schema definition of this element’s content model (</w:t>
      </w:r>
      <w:r>
        <w:rPr>
          <w:color w:val="5F5F5F"/>
          <w:u w:val="single" w:color="5F5F5F"/>
        </w:rPr>
        <w:t>CT_PhoneticPr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4 r (Rich Text Run)" w:id="446"/>
      <w:bookmarkEnd w:id="446"/>
      <w:r>
        <w:rPr>
          <w:b w:val="0"/>
        </w:rPr>
      </w:r>
      <w:bookmarkStart w:name="_bookmark147" w:id="447"/>
      <w:bookmarkEnd w:id="447"/>
      <w:r>
        <w:rPr>
          <w:b w:val="0"/>
        </w:rPr>
      </w:r>
      <w:bookmarkStart w:name="_bookmark147" w:id="448"/>
      <w:bookmarkEnd w:id="448"/>
      <w:r>
        <w:rPr>
          <w:color w:val="4F81BC"/>
        </w:rPr>
        <w:t>r</w:t>
      </w:r>
      <w:r>
        <w:rPr>
          <w:color w:val="4F81BC"/>
        </w:rPr>
        <w:t> (Rich Text</w:t>
      </w:r>
      <w:r>
        <w:rPr>
          <w:color w:val="4F81BC"/>
          <w:spacing w:val="-2"/>
        </w:rPr>
        <w:t> </w:t>
      </w:r>
      <w:r>
        <w:rPr>
          <w:color w:val="4F81BC"/>
        </w:rPr>
        <w:t>Run)</w:t>
      </w:r>
    </w:p>
    <w:p>
      <w:pPr>
        <w:pStyle w:val="BodyText"/>
        <w:spacing w:line="278" w:lineRule="auto" w:before="122"/>
        <w:ind w:left="220" w:right="412"/>
      </w:pPr>
      <w:r>
        <w:rPr/>
        <w:t>This element represents a run of rich text. A rich text run is a region of text that share a common set of properties, such as formatting properties. The properties are defined in the </w:t>
      </w:r>
      <w:r>
        <w:rPr>
          <w:rFonts w:ascii="Cambria"/>
        </w:rPr>
        <w:t>rPr </w:t>
      </w:r>
      <w:r>
        <w:rPr/>
        <w:t>element, and the text displayed to the user is defined in the </w:t>
      </w:r>
      <w:r>
        <w:rPr>
          <w:rFonts w:ascii="Cambria"/>
        </w:rPr>
        <w:t>Text (t) </w:t>
      </w:r>
      <w:r>
        <w:rPr/>
        <w:t>element.</w:t>
      </w:r>
    </w:p>
    <w:p>
      <w:pPr>
        <w:pStyle w:val="BodyText"/>
        <w:spacing w:before="196"/>
        <w:ind w:left="220"/>
      </w:pPr>
      <w:r>
        <w:rPr/>
        <w:t>[</w:t>
      </w:r>
      <w:r>
        <w:rPr>
          <w:i/>
        </w:rPr>
        <w:t>Note</w:t>
      </w:r>
      <w:r>
        <w:rPr/>
        <w:t>: The W3C XML Schema definition of this element’s content model (</w:t>
      </w:r>
      <w:r>
        <w:rPr>
          <w:color w:val="5F5F5F"/>
          <w:u w:val="single" w:color="5F5F5F"/>
        </w:rPr>
        <w:t>CT_RElt</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5 rFont (Font)" w:id="449"/>
      <w:bookmarkEnd w:id="449"/>
      <w:r>
        <w:rPr>
          <w:b w:val="0"/>
        </w:rPr>
      </w:r>
      <w:bookmarkStart w:name="_bookmark148" w:id="450"/>
      <w:bookmarkEnd w:id="450"/>
      <w:r>
        <w:rPr>
          <w:b w:val="0"/>
        </w:rPr>
      </w:r>
      <w:bookmarkStart w:name="_bookmark148" w:id="451"/>
      <w:bookmarkEnd w:id="451"/>
      <w:r>
        <w:rPr>
          <w:color w:val="4F81BC"/>
        </w:rPr>
        <w:t>r</w:t>
      </w:r>
      <w:r>
        <w:rPr>
          <w:color w:val="4F81BC"/>
        </w:rPr>
        <w:t>Font</w:t>
      </w:r>
      <w:r>
        <w:rPr>
          <w:color w:val="4F81BC"/>
          <w:spacing w:val="-3"/>
        </w:rPr>
        <w:t> </w:t>
      </w:r>
      <w:r>
        <w:rPr>
          <w:color w:val="4F81BC"/>
        </w:rPr>
        <w:t>(Font)</w:t>
      </w:r>
    </w:p>
    <w:p>
      <w:pPr>
        <w:pStyle w:val="BodyText"/>
        <w:spacing w:before="124"/>
        <w:ind w:left="220"/>
      </w:pPr>
      <w:r>
        <w:rPr/>
        <w:t>This element is a string representing the name of the font assigned to display this run.</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rPr>
                <w:sz w:val="22"/>
              </w:rPr>
            </w:pPr>
            <w:r>
              <w:rPr>
                <w:rFonts w:ascii="Cambria"/>
                <w:sz w:val="22"/>
              </w:rPr>
              <w:t>val </w:t>
            </w:r>
            <w:r>
              <w:rPr>
                <w:sz w:val="22"/>
              </w:rPr>
              <w:t>(String Value)</w:t>
            </w:r>
          </w:p>
        </w:tc>
        <w:tc>
          <w:tcPr>
            <w:tcW w:w="8250" w:type="dxa"/>
          </w:tcPr>
          <w:p>
            <w:pPr>
              <w:pStyle w:val="TableParagraph"/>
              <w:ind w:right="446"/>
              <w:rPr>
                <w:sz w:val="22"/>
              </w:rPr>
            </w:pPr>
            <w:r>
              <w:rPr>
                <w:sz w:val="22"/>
              </w:rPr>
              <w:t>A string representing the name of the font. If the font doesn't exist (because it isn't installed on the system), or the </w:t>
            </w:r>
            <w:r>
              <w:rPr>
                <w:rFonts w:ascii="Cambria"/>
                <w:sz w:val="22"/>
              </w:rPr>
              <w:t>charset </w:t>
            </w:r>
            <w:r>
              <w:rPr>
                <w:sz w:val="22"/>
              </w:rPr>
              <w:t>not supported by that font, then another font should be substituted.</w:t>
            </w:r>
          </w:p>
          <w:p>
            <w:pPr>
              <w:pStyle w:val="TableParagraph"/>
              <w:spacing w:before="1"/>
              <w:ind w:left="0"/>
              <w:rPr>
                <w:sz w:val="22"/>
              </w:rPr>
            </w:pPr>
          </w:p>
          <w:p>
            <w:pPr>
              <w:pStyle w:val="TableParagraph"/>
              <w:spacing w:before="0"/>
              <w:rPr>
                <w:sz w:val="22"/>
              </w:rPr>
            </w:pPr>
            <w:r>
              <w:rPr>
                <w:sz w:val="22"/>
              </w:rPr>
              <w:t>The string length for this attribute shall be 0 to 31 characters.</w:t>
            </w:r>
          </w:p>
          <w:p>
            <w:pPr>
              <w:pStyle w:val="TableParagraph"/>
              <w:spacing w:before="10"/>
              <w:ind w:left="0"/>
              <w:rPr>
                <w:sz w:val="21"/>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1" w:footer="746" w:top="1340" w:bottom="940" w:left="860" w:right="700"/>
        </w:sectPr>
      </w:pPr>
    </w:p>
    <w:p>
      <w:pPr>
        <w:pStyle w:val="BodyText"/>
        <w:spacing w:line="278" w:lineRule="auto" w:before="148"/>
        <w:ind w:left="220" w:right="546"/>
      </w:pPr>
      <w:r>
        <w:rPr/>
        <w:t>[</w:t>
      </w:r>
      <w:r>
        <w:rPr>
          <w:i/>
        </w:rPr>
        <w:t>Note</w:t>
      </w:r>
      <w:r>
        <w:rPr/>
        <w:t>: The W3C XML Schema definition of this element’s content model (</w:t>
      </w:r>
      <w:r>
        <w:rPr>
          <w:color w:val="5F5F5F"/>
          <w:u w:val="single" w:color="5F5F5F"/>
        </w:rPr>
        <w:t>CT_FontName</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6 rPh (Phonetic Run)" w:id="452"/>
      <w:bookmarkEnd w:id="452"/>
      <w:r>
        <w:rPr>
          <w:b w:val="0"/>
        </w:rPr>
      </w:r>
      <w:bookmarkStart w:name="_bookmark149" w:id="453"/>
      <w:bookmarkEnd w:id="453"/>
      <w:r>
        <w:rPr>
          <w:b w:val="0"/>
        </w:rPr>
      </w:r>
      <w:bookmarkStart w:name="_bookmark149" w:id="454"/>
      <w:bookmarkEnd w:id="454"/>
      <w:r>
        <w:rPr>
          <w:color w:val="4F81BC"/>
        </w:rPr>
        <w:t>rP</w:t>
      </w:r>
      <w:r>
        <w:rPr>
          <w:color w:val="4F81BC"/>
        </w:rPr>
        <w:t>h (Phonetic</w:t>
      </w:r>
      <w:r>
        <w:rPr>
          <w:color w:val="4F81BC"/>
          <w:spacing w:val="-2"/>
        </w:rPr>
        <w:t> </w:t>
      </w:r>
      <w:r>
        <w:rPr>
          <w:color w:val="4F81BC"/>
        </w:rPr>
        <w:t>Run)</w:t>
      </w:r>
    </w:p>
    <w:p>
      <w:pPr>
        <w:pStyle w:val="BodyText"/>
        <w:spacing w:before="124"/>
        <w:ind w:left="220"/>
        <w:rPr>
          <w:rFonts w:ascii="Cambria"/>
        </w:rPr>
      </w:pPr>
      <w:r>
        <w:rPr/>
        <w:t>This element represents a run of text which displays a phonetic hint for this </w:t>
      </w:r>
      <w:r>
        <w:rPr>
          <w:rFonts w:ascii="Cambria"/>
        </w:rPr>
        <w:t>String Item (si).</w:t>
      </w:r>
    </w:p>
    <w:p>
      <w:pPr>
        <w:pStyle w:val="BodyText"/>
        <w:spacing w:before="4"/>
        <w:rPr>
          <w:rFonts w:ascii="Cambria"/>
          <w:sz w:val="20"/>
        </w:rPr>
      </w:pPr>
    </w:p>
    <w:p>
      <w:pPr>
        <w:pStyle w:val="BodyText"/>
        <w:spacing w:line="278" w:lineRule="auto"/>
        <w:ind w:left="220"/>
      </w:pPr>
      <w:r>
        <w:rPr/>
        <w:t>Phonetic hints are used to give information about the pronunciation of an East Asian language. The hints are displayed as text within the spreadsheet cells across the top portion of the cell.</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76" w:hRule="atLeast"/>
        </w:trPr>
        <w:tc>
          <w:tcPr>
            <w:tcW w:w="2062" w:type="dxa"/>
          </w:tcPr>
          <w:p>
            <w:pPr>
              <w:pStyle w:val="TableParagraph"/>
              <w:ind w:right="329"/>
              <w:rPr>
                <w:sz w:val="22"/>
              </w:rPr>
            </w:pPr>
            <w:r>
              <w:rPr>
                <w:rFonts w:ascii="Cambria"/>
                <w:sz w:val="22"/>
              </w:rPr>
              <w:t>eb </w:t>
            </w:r>
            <w:r>
              <w:rPr>
                <w:sz w:val="22"/>
              </w:rPr>
              <w:t>(Base Text End Index)</w:t>
            </w:r>
          </w:p>
        </w:tc>
        <w:tc>
          <w:tcPr>
            <w:tcW w:w="8250" w:type="dxa"/>
          </w:tcPr>
          <w:p>
            <w:pPr>
              <w:pStyle w:val="TableParagraph"/>
              <w:ind w:right="214"/>
              <w:rPr>
                <w:sz w:val="22"/>
              </w:rPr>
            </w:pPr>
            <w:r>
              <w:rPr>
                <w:sz w:val="22"/>
              </w:rPr>
              <w:t>An integer used as a zero-based index representing the ending offset into the base text for this phonetic run. This represents the ending point in the base text the phonetic hint applies to.</w:t>
            </w:r>
          </w:p>
          <w:p>
            <w:pPr>
              <w:pStyle w:val="TableParagraph"/>
              <w:spacing w:before="11"/>
              <w:ind w:left="0"/>
              <w:rPr>
                <w:sz w:val="21"/>
              </w:rPr>
            </w:pPr>
          </w:p>
          <w:p>
            <w:pPr>
              <w:pStyle w:val="TableParagraph"/>
              <w:spacing w:before="0"/>
              <w:ind w:right="617"/>
              <w:rPr>
                <w:sz w:val="22"/>
              </w:rPr>
            </w:pPr>
            <w:r>
              <w:rPr>
                <w:sz w:val="22"/>
              </w:rPr>
              <w:t>This value shall be between 0 and the total length of the base text. The following condition shall be true: </w:t>
            </w:r>
            <w:r>
              <w:rPr>
                <w:rFonts w:ascii="Consolas"/>
                <w:sz w:val="20"/>
              </w:rPr>
              <w:t>sb</w:t>
            </w:r>
            <w:r>
              <w:rPr>
                <w:rFonts w:ascii="Consolas"/>
                <w:spacing w:val="-70"/>
                <w:sz w:val="20"/>
              </w:rPr>
              <w:t> </w:t>
            </w:r>
            <w:r>
              <w:rPr>
                <w:sz w:val="22"/>
              </w:rPr>
              <w:t>&lt; </w:t>
            </w:r>
            <w:r>
              <w:rPr>
                <w:rFonts w:ascii="Consolas"/>
                <w:sz w:val="20"/>
              </w:rPr>
              <w:t>eb</w:t>
            </w:r>
            <w:r>
              <w:rPr>
                <w:sz w:val="22"/>
              </w:rPr>
              <w:t>.</w:t>
            </w:r>
          </w:p>
          <w:p>
            <w:pPr>
              <w:pStyle w:val="TableParagraph"/>
              <w:spacing w:before="1"/>
              <w:ind w:left="0"/>
              <w:rPr>
                <w:sz w:val="22"/>
              </w:rPr>
            </w:pPr>
          </w:p>
          <w:p>
            <w:pPr>
              <w:pStyle w:val="TableParagraph"/>
              <w:spacing w:before="0"/>
              <w:rPr>
                <w:sz w:val="22"/>
              </w:rPr>
            </w:pPr>
            <w:r>
              <w:rPr>
                <w:sz w:val="22"/>
              </w:rPr>
              <w:t>It is recommended that the following condition also be satisfied:</w:t>
            </w:r>
          </w:p>
          <w:p>
            <w:pPr>
              <w:pStyle w:val="TableParagraph"/>
              <w:spacing w:before="0"/>
              <w:rPr>
                <w:sz w:val="22"/>
              </w:rPr>
            </w:pPr>
            <w:r>
              <w:rPr>
                <w:sz w:val="22"/>
              </w:rPr>
              <w:t>That for any two consecutive phonetic runs, </w:t>
            </w:r>
            <w:r>
              <w:rPr>
                <w:rFonts w:ascii="Consolas"/>
                <w:sz w:val="20"/>
              </w:rPr>
              <w:t>sb</w:t>
            </w:r>
            <w:r>
              <w:rPr>
                <w:sz w:val="22"/>
              </w:rPr>
              <w:t>1 &lt; </w:t>
            </w:r>
            <w:r>
              <w:rPr>
                <w:rFonts w:ascii="Consolas"/>
                <w:sz w:val="20"/>
              </w:rPr>
              <w:t>eb</w:t>
            </w:r>
            <w:r>
              <w:rPr>
                <w:sz w:val="22"/>
              </w:rPr>
              <w:t>1 &lt;= </w:t>
            </w:r>
            <w:r>
              <w:rPr>
                <w:rFonts w:ascii="Consolas"/>
                <w:sz w:val="20"/>
              </w:rPr>
              <w:t>sb</w:t>
            </w:r>
            <w:r>
              <w:rPr>
                <w:sz w:val="22"/>
              </w:rPr>
              <w:t>2 &lt; </w:t>
            </w:r>
            <w:r>
              <w:rPr>
                <w:rFonts w:ascii="Consolas"/>
                <w:sz w:val="20"/>
              </w:rPr>
              <w:t>eb</w:t>
            </w:r>
            <w:r>
              <w:rPr>
                <w:sz w:val="22"/>
              </w:rPr>
              <w:t>2 to avoid overlapping phonetic runs</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3578" w:hRule="atLeast"/>
        </w:trPr>
        <w:tc>
          <w:tcPr>
            <w:tcW w:w="2062" w:type="dxa"/>
          </w:tcPr>
          <w:p>
            <w:pPr>
              <w:pStyle w:val="TableParagraph"/>
              <w:ind w:right="250"/>
              <w:rPr>
                <w:sz w:val="22"/>
              </w:rPr>
            </w:pPr>
            <w:r>
              <w:rPr>
                <w:rFonts w:ascii="Cambria"/>
                <w:sz w:val="22"/>
              </w:rPr>
              <w:t>sb </w:t>
            </w:r>
            <w:r>
              <w:rPr>
                <w:sz w:val="22"/>
              </w:rPr>
              <w:t>(Base Text Start Index)</w:t>
            </w:r>
          </w:p>
        </w:tc>
        <w:tc>
          <w:tcPr>
            <w:tcW w:w="8250" w:type="dxa"/>
          </w:tcPr>
          <w:p>
            <w:pPr>
              <w:pStyle w:val="TableParagraph"/>
              <w:ind w:right="106"/>
              <w:rPr>
                <w:sz w:val="22"/>
              </w:rPr>
            </w:pPr>
            <w:r>
              <w:rPr>
                <w:sz w:val="22"/>
              </w:rPr>
              <w:t>An integer used as a zero-based index representing the starting offset into the base text for this phonetic run. This represents the starting point in the base text the phonetic hint applies to.</w:t>
            </w:r>
          </w:p>
          <w:p>
            <w:pPr>
              <w:pStyle w:val="TableParagraph"/>
              <w:spacing w:before="1"/>
              <w:ind w:left="0"/>
              <w:rPr>
                <w:sz w:val="22"/>
              </w:rPr>
            </w:pPr>
          </w:p>
          <w:p>
            <w:pPr>
              <w:pStyle w:val="TableParagraph"/>
              <w:spacing w:before="0"/>
              <w:ind w:right="617"/>
              <w:rPr>
                <w:rFonts w:ascii="Consolas"/>
                <w:sz w:val="20"/>
              </w:rPr>
            </w:pPr>
            <w:r>
              <w:rPr>
                <w:sz w:val="22"/>
              </w:rPr>
              <w:t>This value shall be between 0 and the total length of the base text. The following condition shall be true: </w:t>
            </w:r>
            <w:r>
              <w:rPr>
                <w:rFonts w:ascii="Consolas"/>
                <w:sz w:val="20"/>
              </w:rPr>
              <w:t>sb</w:t>
            </w:r>
            <w:r>
              <w:rPr>
                <w:rFonts w:ascii="Consolas"/>
                <w:spacing w:val="-70"/>
                <w:sz w:val="20"/>
              </w:rPr>
              <w:t> </w:t>
            </w:r>
            <w:r>
              <w:rPr>
                <w:sz w:val="22"/>
              </w:rPr>
              <w:t>&lt; </w:t>
            </w:r>
            <w:r>
              <w:rPr>
                <w:rFonts w:ascii="Consolas"/>
                <w:sz w:val="20"/>
              </w:rPr>
              <w:t>eb.</w:t>
            </w:r>
          </w:p>
          <w:p>
            <w:pPr>
              <w:pStyle w:val="TableParagraph"/>
              <w:spacing w:before="1"/>
              <w:ind w:left="0"/>
              <w:rPr>
                <w:sz w:val="22"/>
              </w:rPr>
            </w:pPr>
          </w:p>
          <w:p>
            <w:pPr>
              <w:pStyle w:val="TableParagraph"/>
              <w:spacing w:before="0"/>
              <w:rPr>
                <w:sz w:val="22"/>
              </w:rPr>
            </w:pPr>
            <w:r>
              <w:rPr>
                <w:sz w:val="22"/>
              </w:rPr>
              <w:t>It is recommended that the following condition also be satisfied:</w:t>
            </w:r>
          </w:p>
          <w:p>
            <w:pPr>
              <w:pStyle w:val="TableParagraph"/>
              <w:spacing w:line="237" w:lineRule="auto" w:before="2"/>
              <w:rPr>
                <w:sz w:val="22"/>
              </w:rPr>
            </w:pPr>
            <w:r>
              <w:rPr>
                <w:sz w:val="22"/>
              </w:rPr>
              <w:t>That for any two consecutive phonetic runs, </w:t>
            </w:r>
            <w:r>
              <w:rPr>
                <w:rFonts w:ascii="Consolas"/>
                <w:sz w:val="20"/>
              </w:rPr>
              <w:t>sb</w:t>
            </w:r>
            <w:r>
              <w:rPr>
                <w:sz w:val="22"/>
              </w:rPr>
              <w:t>1 &lt; </w:t>
            </w:r>
            <w:r>
              <w:rPr>
                <w:rFonts w:ascii="Consolas"/>
                <w:sz w:val="20"/>
              </w:rPr>
              <w:t>eb</w:t>
            </w:r>
            <w:r>
              <w:rPr>
                <w:sz w:val="22"/>
              </w:rPr>
              <w:t>1 &lt;= </w:t>
            </w:r>
            <w:r>
              <w:rPr>
                <w:rFonts w:ascii="Consolas"/>
                <w:sz w:val="20"/>
              </w:rPr>
              <w:t>sb</w:t>
            </w:r>
            <w:r>
              <w:rPr>
                <w:sz w:val="22"/>
              </w:rPr>
              <w:t>2 &lt; </w:t>
            </w:r>
            <w:r>
              <w:rPr>
                <w:rFonts w:ascii="Consolas"/>
                <w:sz w:val="20"/>
              </w:rPr>
              <w:t>eb</w:t>
            </w:r>
            <w:r>
              <w:rPr>
                <w:sz w:val="22"/>
              </w:rPr>
              <w:t>2 to avoid overlapping phonetic runs.</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CT_PhoneticRun</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7 rPr (Run Properties)" w:id="455"/>
      <w:bookmarkEnd w:id="455"/>
      <w:r>
        <w:rPr>
          <w:b w:val="0"/>
        </w:rPr>
      </w:r>
      <w:bookmarkStart w:name="_bookmark150" w:id="456"/>
      <w:bookmarkEnd w:id="456"/>
      <w:r>
        <w:rPr>
          <w:b w:val="0"/>
        </w:rPr>
      </w:r>
      <w:bookmarkStart w:name="_bookmark150" w:id="457"/>
      <w:bookmarkEnd w:id="457"/>
      <w:r>
        <w:rPr>
          <w:color w:val="4F81BC"/>
        </w:rPr>
        <w:t>rP</w:t>
      </w:r>
      <w:r>
        <w:rPr>
          <w:color w:val="4F81BC"/>
        </w:rPr>
        <w:t>r (Run</w:t>
      </w:r>
      <w:r>
        <w:rPr>
          <w:color w:val="4F81BC"/>
          <w:spacing w:val="1"/>
        </w:rPr>
        <w:t> </w:t>
      </w:r>
      <w:r>
        <w:rPr>
          <w:color w:val="4F81BC"/>
        </w:rPr>
        <w:t>Properties)</w:t>
      </w:r>
    </w:p>
    <w:p>
      <w:pPr>
        <w:pStyle w:val="BodyText"/>
        <w:spacing w:before="124"/>
        <w:ind w:left="220"/>
      </w:pPr>
      <w:r>
        <w:rPr/>
        <w:t>This element represents a set of properties to apply to the contents of this rich text run.</w:t>
      </w: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CT_RPrElt</w:t>
      </w:r>
      <w:r>
        <w:rPr/>
        <w:t>) is located in §A.2. </w:t>
      </w:r>
      <w:r>
        <w:rPr>
          <w:i/>
        </w:rPr>
        <w:t>end note</w:t>
      </w:r>
      <w:r>
        <w:rPr/>
        <w:t>]</w:t>
      </w:r>
    </w:p>
    <w:p>
      <w:pPr>
        <w:spacing w:after="0"/>
        <w:sectPr>
          <w:pgSz w:w="12240" w:h="15840"/>
          <w:pgMar w:header="763" w:footer="746" w:top="1340" w:bottom="940" w:left="860" w:right="700"/>
        </w:sectPr>
      </w:pPr>
    </w:p>
    <w:p>
      <w:pPr>
        <w:pStyle w:val="Heading2"/>
        <w:numPr>
          <w:ilvl w:val="2"/>
          <w:numId w:val="17"/>
        </w:numPr>
        <w:tabs>
          <w:tab w:pos="1444" w:val="left" w:leader="none"/>
          <w:tab w:pos="1445" w:val="left" w:leader="none"/>
        </w:tabs>
        <w:spacing w:line="240" w:lineRule="auto" w:before="93" w:after="0"/>
        <w:ind w:left="1444" w:right="0" w:hanging="1225"/>
        <w:jc w:val="left"/>
      </w:pPr>
      <w:bookmarkStart w:name="18.4.8 si (String Item)" w:id="458"/>
      <w:bookmarkEnd w:id="458"/>
      <w:r>
        <w:rPr>
          <w:b w:val="0"/>
        </w:rPr>
      </w:r>
      <w:bookmarkStart w:name="_bookmark151" w:id="459"/>
      <w:bookmarkEnd w:id="459"/>
      <w:r>
        <w:rPr>
          <w:b w:val="0"/>
        </w:rPr>
      </w:r>
      <w:bookmarkStart w:name="_bookmark151" w:id="460"/>
      <w:bookmarkEnd w:id="460"/>
      <w:r>
        <w:rPr>
          <w:color w:val="4F81BC"/>
        </w:rPr>
        <w:t>s</w:t>
      </w:r>
      <w:r>
        <w:rPr>
          <w:color w:val="4F81BC"/>
        </w:rPr>
        <w:t>i (String</w:t>
      </w:r>
      <w:r>
        <w:rPr>
          <w:color w:val="4F81BC"/>
          <w:spacing w:val="-2"/>
        </w:rPr>
        <w:t> </w:t>
      </w:r>
      <w:r>
        <w:rPr>
          <w:color w:val="4F81BC"/>
        </w:rPr>
        <w:t>Item)</w:t>
      </w:r>
    </w:p>
    <w:p>
      <w:pPr>
        <w:pStyle w:val="BodyText"/>
        <w:spacing w:before="125"/>
        <w:ind w:left="220"/>
      </w:pPr>
      <w:r>
        <w:rPr/>
        <w:t>This element is the representation of an individual string in the Shared String table.</w:t>
      </w:r>
    </w:p>
    <w:p>
      <w:pPr>
        <w:pStyle w:val="BodyText"/>
        <w:spacing w:before="6"/>
        <w:rPr>
          <w:sz w:val="19"/>
        </w:rPr>
      </w:pPr>
    </w:p>
    <w:p>
      <w:pPr>
        <w:pStyle w:val="BodyText"/>
        <w:spacing w:line="276" w:lineRule="auto"/>
        <w:ind w:left="220" w:right="503"/>
      </w:pPr>
      <w:r>
        <w:rPr/>
        <w:t>If the string is just a simple string with formatting applied at the cell level, then the </w:t>
      </w:r>
      <w:r>
        <w:rPr>
          <w:rFonts w:ascii="Cambria"/>
        </w:rPr>
        <w:t>String Item (si) </w:t>
      </w:r>
      <w:r>
        <w:rPr/>
        <w:t>should contain a single text element used to express the string. However, if the string in the cell is more complex - i.e., has formatting applied at the character level - then the string item shall consist of multiple rich text runs which collectively are used to express the string.</w:t>
      </w:r>
    </w:p>
    <w:p>
      <w:pPr>
        <w:pStyle w:val="BodyText"/>
        <w:spacing w:before="6"/>
        <w:rPr>
          <w:sz w:val="16"/>
        </w:rPr>
      </w:pPr>
    </w:p>
    <w:p>
      <w:pPr>
        <w:pStyle w:val="BodyText"/>
        <w:spacing w:before="1"/>
        <w:ind w:left="220"/>
      </w:pPr>
      <w:r>
        <w:rPr/>
        <w:t>[</w:t>
      </w:r>
      <w:r>
        <w:rPr>
          <w:i/>
        </w:rPr>
        <w:t>Note</w:t>
      </w:r>
      <w:r>
        <w:rPr/>
        <w:t>: The W3C XML Schema definition of this element’s content model (</w:t>
      </w:r>
      <w:r>
        <w:rPr>
          <w:color w:val="5F5F5F"/>
          <w:u w:val="single" w:color="5F5F5F"/>
        </w:rPr>
        <w:t>CT_Rst</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9 sst (Shared String Table)" w:id="461"/>
      <w:bookmarkEnd w:id="461"/>
      <w:r>
        <w:rPr>
          <w:b w:val="0"/>
        </w:rPr>
      </w:r>
      <w:bookmarkStart w:name="_bookmark152" w:id="462"/>
      <w:bookmarkEnd w:id="462"/>
      <w:r>
        <w:rPr>
          <w:b w:val="0"/>
        </w:rPr>
      </w:r>
      <w:bookmarkStart w:name="_bookmark152" w:id="463"/>
      <w:bookmarkEnd w:id="463"/>
      <w:r>
        <w:rPr>
          <w:color w:val="4F81BC"/>
        </w:rPr>
        <w:t>ss</w:t>
      </w:r>
      <w:r>
        <w:rPr>
          <w:color w:val="4F81BC"/>
        </w:rPr>
        <w:t>t (Shared String</w:t>
      </w:r>
      <w:r>
        <w:rPr>
          <w:color w:val="4F81BC"/>
          <w:spacing w:val="-5"/>
        </w:rPr>
        <w:t> </w:t>
      </w:r>
      <w:r>
        <w:rPr>
          <w:color w:val="4F81BC"/>
        </w:rPr>
        <w:t>Table)</w:t>
      </w:r>
    </w:p>
    <w:p>
      <w:pPr>
        <w:pStyle w:val="BodyText"/>
        <w:spacing w:before="126"/>
        <w:ind w:left="220"/>
        <w:rPr>
          <w:rFonts w:ascii="Cambria"/>
        </w:rPr>
      </w:pPr>
      <w:r>
        <w:rPr/>
        <w:t>This element is the root of the </w:t>
      </w:r>
      <w:r>
        <w:rPr>
          <w:rFonts w:ascii="Cambria"/>
        </w:rPr>
        <w:t>Shared String </w:t>
      </w:r>
      <w:r>
        <w:rPr/>
        <w:t>Table, which serves as a collection of individual </w:t>
      </w:r>
      <w:r>
        <w:rPr>
          <w:rFonts w:ascii="Cambria"/>
        </w:rPr>
        <w:t>String Items (si).</w:t>
      </w:r>
    </w:p>
    <w:p>
      <w:pPr>
        <w:pStyle w:val="BodyText"/>
        <w:spacing w:before="7"/>
        <w:rPr>
          <w:rFonts w:ascii="Cambria"/>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left="94" w:right="90"/>
              <w:jc w:val="center"/>
              <w:rPr>
                <w:sz w:val="22"/>
              </w:rPr>
            </w:pPr>
            <w:r>
              <w:rPr>
                <w:rFonts w:ascii="Cambria"/>
                <w:sz w:val="22"/>
              </w:rPr>
              <w:t>count </w:t>
            </w:r>
            <w:r>
              <w:rPr>
                <w:sz w:val="22"/>
              </w:rPr>
              <w:t>(String Count)</w:t>
            </w:r>
          </w:p>
        </w:tc>
        <w:tc>
          <w:tcPr>
            <w:tcW w:w="8250" w:type="dxa"/>
          </w:tcPr>
          <w:p>
            <w:pPr>
              <w:pStyle w:val="TableParagraph"/>
              <w:rPr>
                <w:sz w:val="22"/>
              </w:rPr>
            </w:pPr>
            <w:r>
              <w:rPr>
                <w:sz w:val="22"/>
              </w:rPr>
              <w:t>An integer representing the total count of strings in the workbook. This count does not include any numbers, it counts only the total of text strings in the workbook.</w:t>
            </w:r>
          </w:p>
          <w:p>
            <w:pPr>
              <w:pStyle w:val="TableParagraph"/>
              <w:spacing w:before="11"/>
              <w:ind w:left="0"/>
              <w:rPr>
                <w:rFonts w:ascii="Cambria"/>
                <w:sz w:val="22"/>
              </w:rPr>
            </w:pPr>
          </w:p>
          <w:p>
            <w:pPr>
              <w:pStyle w:val="TableParagraph"/>
              <w:spacing w:before="0"/>
              <w:rPr>
                <w:sz w:val="22"/>
              </w:rPr>
            </w:pPr>
            <w:r>
              <w:rPr>
                <w:sz w:val="22"/>
              </w:rPr>
              <w:t>This attribute is optional unless </w:t>
            </w:r>
            <w:r>
              <w:rPr>
                <w:rFonts w:ascii="Consolas"/>
                <w:sz w:val="20"/>
              </w:rPr>
              <w:t>uniqueCount</w:t>
            </w:r>
            <w:r>
              <w:rPr>
                <w:rFonts w:ascii="Consolas"/>
                <w:spacing w:val="-70"/>
                <w:sz w:val="20"/>
              </w:rPr>
              <w:t> </w:t>
            </w:r>
            <w:r>
              <w:rPr>
                <w:sz w:val="22"/>
              </w:rPr>
              <w:t>is used, in which case it is required.</w:t>
            </w:r>
          </w:p>
          <w:p>
            <w:pPr>
              <w:pStyle w:val="TableParagraph"/>
              <w:spacing w:before="9"/>
              <w:ind w:left="0"/>
              <w:rPr>
                <w:rFonts w:ascii="Cambria"/>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4920" w:hRule="atLeast"/>
        </w:trPr>
        <w:tc>
          <w:tcPr>
            <w:tcW w:w="2062" w:type="dxa"/>
          </w:tcPr>
          <w:p>
            <w:pPr>
              <w:pStyle w:val="TableParagraph"/>
              <w:spacing w:before="42"/>
              <w:ind w:right="631"/>
              <w:rPr>
                <w:sz w:val="22"/>
              </w:rPr>
            </w:pPr>
            <w:r>
              <w:rPr>
                <w:rFonts w:ascii="Cambria"/>
                <w:sz w:val="22"/>
              </w:rPr>
              <w:t>uniqueCount </w:t>
            </w:r>
            <w:r>
              <w:rPr>
                <w:sz w:val="22"/>
              </w:rPr>
              <w:t>(Unique String Count)</w:t>
            </w:r>
          </w:p>
        </w:tc>
        <w:tc>
          <w:tcPr>
            <w:tcW w:w="8250" w:type="dxa"/>
          </w:tcPr>
          <w:p>
            <w:pPr>
              <w:pStyle w:val="TableParagraph"/>
              <w:ind w:right="228"/>
              <w:rPr>
                <w:sz w:val="22"/>
              </w:rPr>
            </w:pPr>
            <w:r>
              <w:rPr>
                <w:sz w:val="22"/>
              </w:rPr>
              <w:t>An integer representing the total count of unique strings in the </w:t>
            </w:r>
            <w:r>
              <w:rPr>
                <w:rFonts w:ascii="Cambria"/>
                <w:sz w:val="22"/>
              </w:rPr>
              <w:t>Shared String </w:t>
            </w:r>
            <w:r>
              <w:rPr>
                <w:sz w:val="22"/>
              </w:rPr>
              <w:t>Table. A string is unique even if it is a copy of another string, but has different formatting applied at the character level.</w:t>
            </w:r>
          </w:p>
          <w:p>
            <w:pPr>
              <w:pStyle w:val="TableParagraph"/>
              <w:spacing w:before="0"/>
              <w:ind w:left="0"/>
              <w:rPr>
                <w:rFonts w:ascii="Cambria"/>
                <w:sz w:val="23"/>
              </w:rPr>
            </w:pPr>
          </w:p>
          <w:p>
            <w:pPr>
              <w:pStyle w:val="TableParagraph"/>
              <w:spacing w:before="0"/>
              <w:rPr>
                <w:sz w:val="22"/>
              </w:rPr>
            </w:pPr>
            <w:r>
              <w:rPr>
                <w:sz w:val="22"/>
              </w:rPr>
              <w:t>[</w:t>
            </w:r>
            <w:r>
              <w:rPr>
                <w:i/>
                <w:sz w:val="22"/>
              </w:rPr>
              <w:t>Example</w:t>
            </w:r>
            <w:r>
              <w:rPr>
                <w:sz w:val="22"/>
              </w:rPr>
              <w:t>:</w:t>
            </w:r>
          </w:p>
          <w:p>
            <w:pPr>
              <w:pStyle w:val="TableParagraph"/>
              <w:spacing w:before="0"/>
              <w:rPr>
                <w:sz w:val="22"/>
              </w:rPr>
            </w:pPr>
            <w:r>
              <w:rPr>
                <w:sz w:val="22"/>
              </w:rPr>
              <w:t>World, </w:t>
            </w:r>
            <w:r>
              <w:rPr>
                <w:i/>
                <w:sz w:val="22"/>
              </w:rPr>
              <w:t>World</w:t>
            </w:r>
            <w:r>
              <w:rPr>
                <w:sz w:val="22"/>
              </w:rPr>
              <w:t>, and </w:t>
            </w:r>
            <w:r>
              <w:rPr>
                <w:i/>
                <w:sz w:val="22"/>
              </w:rPr>
              <w:t>W</w:t>
            </w:r>
            <w:r>
              <w:rPr>
                <w:sz w:val="22"/>
              </w:rPr>
              <w:t>orld.</w:t>
            </w:r>
          </w:p>
          <w:p>
            <w:pPr>
              <w:pStyle w:val="TableParagraph"/>
              <w:spacing w:before="9"/>
              <w:ind w:left="0"/>
              <w:rPr>
                <w:rFonts w:ascii="Cambria"/>
                <w:sz w:val="22"/>
              </w:rPr>
            </w:pPr>
          </w:p>
          <w:p>
            <w:pPr>
              <w:pStyle w:val="TableParagraph"/>
              <w:spacing w:before="0"/>
              <w:ind w:right="106"/>
              <w:rPr>
                <w:sz w:val="22"/>
              </w:rPr>
            </w:pPr>
            <w:r>
              <w:rPr>
                <w:sz w:val="22"/>
              </w:rPr>
              <w:t>The </w:t>
            </w:r>
            <w:r>
              <w:rPr>
                <w:rFonts w:ascii="Consolas"/>
                <w:sz w:val="20"/>
              </w:rPr>
              <w:t>count </w:t>
            </w:r>
            <w:r>
              <w:rPr>
                <w:sz w:val="22"/>
              </w:rPr>
              <w:t>would be 3, and the </w:t>
            </w:r>
            <w:r>
              <w:rPr>
                <w:rFonts w:ascii="Consolas"/>
                <w:sz w:val="20"/>
              </w:rPr>
              <w:t>uniqueCount </w:t>
            </w:r>
            <w:r>
              <w:rPr>
                <w:sz w:val="22"/>
              </w:rPr>
              <w:t>would be 2. Only one entry for "World" would show in the table because it is the same string, just with different formatting applied at the cell level (i.e., applied to the entire string in the cell). The "</w:t>
            </w:r>
            <w:r>
              <w:rPr>
                <w:i/>
                <w:sz w:val="22"/>
              </w:rPr>
              <w:t>W</w:t>
            </w:r>
            <w:r>
              <w:rPr>
                <w:sz w:val="22"/>
              </w:rPr>
              <w:t>orld" string would get a separate unique entry in the shared string table because it has different formatting applied to specific characters.</w:t>
            </w:r>
          </w:p>
          <w:p>
            <w:pPr>
              <w:pStyle w:val="TableParagraph"/>
              <w:spacing w:before="1"/>
              <w:rPr>
                <w:sz w:val="22"/>
              </w:rPr>
            </w:pPr>
            <w:r>
              <w:rPr>
                <w:i/>
                <w:sz w:val="22"/>
              </w:rPr>
              <w:t>end example</w:t>
            </w:r>
            <w:r>
              <w:rPr>
                <w:sz w:val="22"/>
              </w:rPr>
              <w:t>]</w:t>
            </w:r>
          </w:p>
          <w:p>
            <w:pPr>
              <w:pStyle w:val="TableParagraph"/>
              <w:spacing w:before="11"/>
              <w:ind w:left="0"/>
              <w:rPr>
                <w:rFonts w:ascii="Cambria"/>
                <w:sz w:val="22"/>
              </w:rPr>
            </w:pPr>
          </w:p>
          <w:p>
            <w:pPr>
              <w:pStyle w:val="TableParagraph"/>
              <w:spacing w:before="0"/>
              <w:rPr>
                <w:sz w:val="22"/>
              </w:rPr>
            </w:pPr>
            <w:r>
              <w:rPr>
                <w:sz w:val="22"/>
              </w:rPr>
              <w:t>This attribute is optional unless </w:t>
            </w:r>
            <w:r>
              <w:rPr>
                <w:rFonts w:ascii="Consolas"/>
                <w:sz w:val="20"/>
              </w:rPr>
              <w:t>count</w:t>
            </w:r>
            <w:r>
              <w:rPr>
                <w:rFonts w:ascii="Consolas"/>
                <w:spacing w:val="-67"/>
                <w:sz w:val="20"/>
              </w:rPr>
              <w:t> </w:t>
            </w:r>
            <w:r>
              <w:rPr>
                <w:sz w:val="22"/>
              </w:rPr>
              <w:t>is used, in which case it is required.</w:t>
            </w:r>
          </w:p>
          <w:p>
            <w:pPr>
              <w:pStyle w:val="TableParagraph"/>
              <w:spacing w:before="11"/>
              <w:ind w:left="0"/>
              <w:rPr>
                <w:rFonts w:ascii="Cambria"/>
                <w:sz w:val="22"/>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8" w:lineRule="exact" w:before="0"/>
              <w:rPr>
                <w:sz w:val="22"/>
              </w:rPr>
            </w:pPr>
            <w:r>
              <w:rPr>
                <w:sz w:val="22"/>
              </w:rPr>
              <w:t>datatype.</w:t>
            </w:r>
          </w:p>
        </w:tc>
      </w:tr>
    </w:tbl>
    <w:p>
      <w:pPr>
        <w:pStyle w:val="BodyText"/>
        <w:rPr>
          <w:rFonts w:ascii="Cambria"/>
          <w:sz w:val="26"/>
        </w:rPr>
      </w:pPr>
    </w:p>
    <w:p>
      <w:pPr>
        <w:pStyle w:val="BodyText"/>
        <w:spacing w:before="203"/>
        <w:ind w:left="220"/>
      </w:pPr>
      <w:r>
        <w:rPr/>
        <w:t>[</w:t>
      </w:r>
      <w:r>
        <w:rPr>
          <w:i/>
        </w:rPr>
        <w:t>Note</w:t>
      </w:r>
      <w:r>
        <w:rPr/>
        <w:t>: The W3C XML Schema definition of this element’s content model (</w:t>
      </w:r>
      <w:r>
        <w:rPr>
          <w:color w:val="5F5F5F"/>
          <w:u w:val="single" w:color="5F5F5F"/>
        </w:rPr>
        <w:t>CT_Sst</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10 strike (Strike Through)" w:id="464"/>
      <w:bookmarkEnd w:id="464"/>
      <w:r>
        <w:rPr>
          <w:b w:val="0"/>
        </w:rPr>
      </w:r>
      <w:bookmarkStart w:name="_bookmark153" w:id="465"/>
      <w:bookmarkEnd w:id="465"/>
      <w:r>
        <w:rPr>
          <w:b w:val="0"/>
        </w:rPr>
      </w:r>
      <w:bookmarkStart w:name="_bookmark153" w:id="466"/>
      <w:bookmarkEnd w:id="466"/>
      <w:r>
        <w:rPr>
          <w:color w:val="4F81BC"/>
        </w:rPr>
        <w:t>s</w:t>
      </w:r>
      <w:r>
        <w:rPr>
          <w:color w:val="4F81BC"/>
        </w:rPr>
        <w:t>trike (Strike</w:t>
      </w:r>
      <w:r>
        <w:rPr>
          <w:color w:val="4F81BC"/>
          <w:spacing w:val="-2"/>
        </w:rPr>
        <w:t> </w:t>
      </w:r>
      <w:r>
        <w:rPr>
          <w:color w:val="4F81BC"/>
        </w:rPr>
        <w:t>Through)</w:t>
      </w:r>
    </w:p>
    <w:p>
      <w:pPr>
        <w:pStyle w:val="BodyText"/>
        <w:spacing w:before="126"/>
        <w:ind w:left="220"/>
      </w:pPr>
      <w:r>
        <w:rPr/>
        <w:t>This element draws a strikethrough line through the horizontal middle of the text.</w:t>
      </w:r>
    </w:p>
    <w:p>
      <w:pPr>
        <w:spacing w:after="0"/>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480" w:lineRule="auto"/>
              <w:ind w:right="1778"/>
              <w:rPr>
                <w:sz w:val="22"/>
              </w:rPr>
            </w:pPr>
            <w:r>
              <w:rPr>
                <w:sz w:val="22"/>
              </w:rPr>
              <w:t>A boolean value for the property specified by the parent XML element. If omitted, the default value is </w:t>
            </w:r>
            <w:r>
              <w:rPr>
                <w:rFonts w:ascii="Consolas"/>
                <w:sz w:val="20"/>
              </w:rPr>
              <w:t>true</w:t>
            </w:r>
            <w:r>
              <w:rPr>
                <w:sz w:val="22"/>
              </w:rPr>
              <w:t>.</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CT_BooleanProperty</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4.11 sz (Font Size)" w:id="467"/>
      <w:bookmarkEnd w:id="467"/>
      <w:r>
        <w:rPr>
          <w:b w:val="0"/>
        </w:rPr>
      </w:r>
      <w:bookmarkStart w:name="_bookmark154" w:id="468"/>
      <w:bookmarkEnd w:id="468"/>
      <w:r>
        <w:rPr>
          <w:b w:val="0"/>
        </w:rPr>
      </w:r>
      <w:bookmarkStart w:name="_bookmark154" w:id="469"/>
      <w:bookmarkEnd w:id="469"/>
      <w:r>
        <w:rPr>
          <w:color w:val="4F81BC"/>
        </w:rPr>
        <w:t>s</w:t>
      </w:r>
      <w:r>
        <w:rPr>
          <w:color w:val="4F81BC"/>
        </w:rPr>
        <w:t>z (Font</w:t>
      </w:r>
      <w:r>
        <w:rPr>
          <w:color w:val="4F81BC"/>
          <w:spacing w:val="-1"/>
        </w:rPr>
        <w:t> </w:t>
      </w:r>
      <w:r>
        <w:rPr>
          <w:color w:val="4F81BC"/>
        </w:rPr>
        <w:t>Size)</w:t>
      </w:r>
    </w:p>
    <w:p>
      <w:pPr>
        <w:pStyle w:val="BodyText"/>
        <w:spacing w:before="124"/>
        <w:ind w:left="220"/>
      </w:pPr>
      <w:r>
        <w:rPr/>
        <w:t>This element represents the point size (1/72 of an inch) of the Latin and East Asian text.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rPr>
                <w:sz w:val="22"/>
              </w:rPr>
            </w:pPr>
            <w:r>
              <w:rPr>
                <w:sz w:val="22"/>
              </w:rPr>
              <w:t>A double representing the value of a positive measurement in points (1/72 of an inch).</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731"/>
      </w:pPr>
      <w:r>
        <w:rPr/>
        <w:t>[</w:t>
      </w:r>
      <w:r>
        <w:rPr>
          <w:i/>
        </w:rPr>
        <w:t>Note</w:t>
      </w:r>
      <w:r>
        <w:rPr/>
        <w:t>: The W3C XML Schema definition of this element’s content model (</w:t>
      </w:r>
      <w:r>
        <w:rPr>
          <w:color w:val="5F5F5F"/>
          <w:u w:val="single" w:color="5F5F5F"/>
        </w:rPr>
        <w:t>CT_FontSize</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4.12 t (Text)" w:id="470"/>
      <w:bookmarkEnd w:id="470"/>
      <w:r>
        <w:rPr>
          <w:b w:val="0"/>
        </w:rPr>
      </w:r>
      <w:bookmarkStart w:name="_bookmark155" w:id="471"/>
      <w:bookmarkEnd w:id="471"/>
      <w:r>
        <w:rPr>
          <w:b w:val="0"/>
        </w:rPr>
      </w:r>
      <w:bookmarkStart w:name="_bookmark155" w:id="472"/>
      <w:bookmarkEnd w:id="472"/>
      <w:r>
        <w:rPr>
          <w:color w:val="4F81BC"/>
        </w:rPr>
        <w:t>t</w:t>
      </w:r>
      <w:r>
        <w:rPr>
          <w:color w:val="4F81BC"/>
          <w:spacing w:val="-2"/>
        </w:rPr>
        <w:t> </w:t>
      </w:r>
      <w:r>
        <w:rPr>
          <w:color w:val="4F81BC"/>
        </w:rPr>
        <w:t>(Text)</w:t>
      </w:r>
    </w:p>
    <w:p>
      <w:pPr>
        <w:pStyle w:val="BodyText"/>
        <w:spacing w:before="124"/>
        <w:ind w:left="220"/>
      </w:pPr>
      <w:r>
        <w:rPr/>
        <w:t>This element represents the text content shown as part of a string.</w:t>
      </w:r>
    </w:p>
    <w:p>
      <w:pPr>
        <w:pStyle w:val="BodyText"/>
        <w:spacing w:before="8"/>
        <w:rPr>
          <w:sz w:val="19"/>
        </w:rPr>
      </w:pPr>
    </w:p>
    <w:p>
      <w:pPr>
        <w:pStyle w:val="BodyText"/>
        <w:ind w:left="220"/>
      </w:pPr>
      <w:r>
        <w:rPr/>
        <w:t>The possible values for this element are defined by the </w:t>
      </w:r>
      <w:r>
        <w:rPr>
          <w:rFonts w:ascii="Cambria" w:hAnsi="Cambria"/>
        </w:rPr>
        <w:t>ST_Xstring </w:t>
      </w:r>
      <w:r>
        <w:rPr/>
        <w:t>simple type (§22.9.2.19).</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30" w:hRule="atLeast"/>
        </w:trPr>
        <w:tc>
          <w:tcPr>
            <w:tcW w:w="2062" w:type="dxa"/>
          </w:tcPr>
          <w:p>
            <w:pPr>
              <w:pStyle w:val="TableParagraph"/>
              <w:spacing w:before="42"/>
              <w:ind w:left="607"/>
              <w:rPr>
                <w:b/>
                <w:sz w:val="20"/>
              </w:rPr>
            </w:pPr>
            <w:r>
              <w:rPr>
                <w:b/>
                <w:sz w:val="20"/>
              </w:rPr>
              <w:t>Attributes</w:t>
            </w:r>
          </w:p>
        </w:tc>
        <w:tc>
          <w:tcPr>
            <w:tcW w:w="8250" w:type="dxa"/>
          </w:tcPr>
          <w:p>
            <w:pPr>
              <w:pStyle w:val="TableParagraph"/>
              <w:spacing w:before="42"/>
              <w:ind w:left="98" w:right="92"/>
              <w:jc w:val="center"/>
              <w:rPr>
                <w:b/>
                <w:sz w:val="20"/>
              </w:rPr>
            </w:pPr>
            <w:r>
              <w:rPr>
                <w:b/>
                <w:sz w:val="20"/>
              </w:rPr>
              <w:t>Description</w:t>
            </w:r>
          </w:p>
        </w:tc>
      </w:tr>
      <w:tr>
        <w:trPr>
          <w:trHeight w:val="348"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0" w:hRule="atLeast"/>
        </w:trPr>
        <w:tc>
          <w:tcPr>
            <w:tcW w:w="2062" w:type="dxa"/>
            <w:tcBorders>
              <w:top w:val="nil"/>
              <w:bottom w:val="nil"/>
            </w:tcBorders>
          </w:tcPr>
          <w:p>
            <w:pPr>
              <w:pStyle w:val="TableParagraph"/>
              <w:spacing w:before="0"/>
              <w:rPr>
                <w:sz w:val="22"/>
              </w:rPr>
            </w:pPr>
            <w:r>
              <w:rPr>
                <w:sz w:val="22"/>
              </w:rPr>
              <w:t>Contains Significant</w:t>
            </w:r>
          </w:p>
        </w:tc>
        <w:tc>
          <w:tcPr>
            <w:tcW w:w="8250" w:type="dxa"/>
            <w:tcBorders>
              <w:top w:val="nil"/>
              <w:bottom w:val="nil"/>
            </w:tcBorders>
          </w:tcPr>
          <w:p>
            <w:pPr>
              <w:pStyle w:val="TableParagraph"/>
              <w:spacing w:before="3"/>
              <w:rPr>
                <w:sz w:val="22"/>
              </w:rPr>
            </w:pPr>
            <w:r>
              <w:rPr>
                <w:sz w:val="22"/>
              </w:rPr>
              <w:t>W3C space preservation rules.</w:t>
            </w:r>
          </w:p>
        </w:tc>
      </w:tr>
      <w:tr>
        <w:trPr>
          <w:trHeight w:val="507" w:hRule="atLeast"/>
        </w:trPr>
        <w:tc>
          <w:tcPr>
            <w:tcW w:w="2062" w:type="dxa"/>
            <w:tcBorders>
              <w:top w:val="nil"/>
              <w:bottom w:val="nil"/>
            </w:tcBorders>
          </w:tcPr>
          <w:p>
            <w:pPr>
              <w:pStyle w:val="TableParagraph"/>
              <w:spacing w:line="268" w:lineRule="exact" w:before="0"/>
              <w:rPr>
                <w:sz w:val="22"/>
              </w:rPr>
            </w:pPr>
            <w:r>
              <w:rPr>
                <w:sz w:val="22"/>
              </w:rPr>
              <w:t>Whitespace)</w:t>
            </w:r>
          </w:p>
        </w:tc>
        <w:tc>
          <w:tcPr>
            <w:tcW w:w="8250" w:type="dxa"/>
            <w:tcBorders>
              <w:top w:val="nil"/>
              <w:bottom w:val="nil"/>
            </w:tcBorders>
          </w:tcPr>
          <w:p>
            <w:pPr>
              <w:pStyle w:val="TableParagraph"/>
              <w:spacing w:before="5"/>
              <w:ind w:left="0"/>
              <w:rPr>
                <w:sz w:val="16"/>
              </w:rPr>
            </w:pPr>
          </w:p>
          <w:p>
            <w:pPr>
              <w:pStyle w:val="TableParagraph"/>
              <w:spacing w:before="0"/>
              <w:rPr>
                <w:sz w:val="22"/>
              </w:rPr>
            </w:pPr>
            <w:r>
              <w:rPr>
                <w:sz w:val="22"/>
              </w:rPr>
              <w:t>The possible values for this attribute are defined by §2.10 of the XML 1.0 specification.</w:t>
            </w:r>
          </w:p>
        </w:tc>
      </w:tr>
      <w:tr>
        <w:trPr>
          <w:trHeight w:val="1443"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6"/>
        </w:rPr>
      </w:pPr>
    </w:p>
    <w:p>
      <w:pPr>
        <w:pStyle w:val="BodyText"/>
        <w:spacing w:line="278" w:lineRule="auto" w:before="188"/>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spacing w:after="0" w:line="278" w:lineRule="auto"/>
        <w:sectPr>
          <w:pgSz w:w="12240" w:h="15840"/>
          <w:pgMar w:header="763" w:footer="746" w:top="1340" w:bottom="940" w:left="860" w:right="700"/>
        </w:sectPr>
      </w:pPr>
    </w:p>
    <w:p>
      <w:pPr>
        <w:pStyle w:val="Heading2"/>
        <w:numPr>
          <w:ilvl w:val="2"/>
          <w:numId w:val="17"/>
        </w:numPr>
        <w:tabs>
          <w:tab w:pos="1444" w:val="left" w:leader="none"/>
          <w:tab w:pos="1445" w:val="left" w:leader="none"/>
        </w:tabs>
        <w:spacing w:line="240" w:lineRule="auto" w:before="93" w:after="0"/>
        <w:ind w:left="1444" w:right="0" w:hanging="1225"/>
        <w:jc w:val="left"/>
      </w:pPr>
      <w:bookmarkStart w:name="18.4.13 u (Underline)" w:id="473"/>
      <w:bookmarkEnd w:id="473"/>
      <w:r>
        <w:rPr>
          <w:b w:val="0"/>
        </w:rPr>
      </w:r>
      <w:bookmarkStart w:name="_bookmark156" w:id="474"/>
      <w:bookmarkEnd w:id="474"/>
      <w:r>
        <w:rPr>
          <w:b w:val="0"/>
        </w:rPr>
      </w:r>
      <w:bookmarkStart w:name="_bookmark156" w:id="475"/>
      <w:bookmarkEnd w:id="475"/>
      <w:r>
        <w:rPr>
          <w:color w:val="4F81BC"/>
        </w:rPr>
        <w:t>u</w:t>
      </w:r>
      <w:r>
        <w:rPr>
          <w:color w:val="4F81BC"/>
          <w:spacing w:val="-2"/>
        </w:rPr>
        <w:t> </w:t>
      </w:r>
      <w:r>
        <w:rPr>
          <w:color w:val="4F81BC"/>
        </w:rPr>
        <w:t>(Underline)</w:t>
      </w:r>
    </w:p>
    <w:p>
      <w:pPr>
        <w:pStyle w:val="BodyText"/>
        <w:spacing w:before="125"/>
        <w:ind w:left="220"/>
      </w:pPr>
      <w:r>
        <w:rPr/>
        <w:t>This element represents the underline formatting style.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8" w:hRule="atLeast"/>
        </w:trPr>
        <w:tc>
          <w:tcPr>
            <w:tcW w:w="2062" w:type="dxa"/>
          </w:tcPr>
          <w:p>
            <w:pPr>
              <w:pStyle w:val="TableParagraph"/>
              <w:ind w:right="639"/>
              <w:rPr>
                <w:sz w:val="22"/>
              </w:rPr>
            </w:pPr>
            <w:r>
              <w:rPr>
                <w:rFonts w:ascii="Cambria"/>
                <w:sz w:val="22"/>
              </w:rPr>
              <w:t>val </w:t>
            </w:r>
            <w:r>
              <w:rPr>
                <w:sz w:val="22"/>
              </w:rPr>
              <w:t>(Underline Value)</w:t>
            </w:r>
          </w:p>
        </w:tc>
        <w:tc>
          <w:tcPr>
            <w:tcW w:w="8250" w:type="dxa"/>
          </w:tcPr>
          <w:p>
            <w:pPr>
              <w:pStyle w:val="TableParagraph"/>
              <w:spacing w:line="480" w:lineRule="auto"/>
              <w:ind w:right="2201"/>
              <w:rPr>
                <w:sz w:val="22"/>
              </w:rPr>
            </w:pPr>
            <w:r>
              <w:rPr>
                <w:sz w:val="22"/>
              </w:rPr>
              <w:t>An enumeration representing the style of underlining that is used. The </w:t>
            </w:r>
            <w:r>
              <w:rPr>
                <w:rFonts w:ascii="Consolas"/>
                <w:sz w:val="20"/>
              </w:rPr>
              <w:t>none</w:t>
            </w:r>
            <w:r>
              <w:rPr>
                <w:rFonts w:ascii="Consolas"/>
                <w:spacing w:val="-68"/>
                <w:sz w:val="20"/>
              </w:rPr>
              <w:t> </w:t>
            </w:r>
            <w:r>
              <w:rPr>
                <w:sz w:val="22"/>
              </w:rPr>
              <w:t>style is equivalent to not using underlining at all.</w:t>
            </w:r>
          </w:p>
          <w:p>
            <w:pPr>
              <w:pStyle w:val="TableParagraph"/>
              <w:spacing w:before="1"/>
              <w:ind w:right="145"/>
              <w:rPr>
                <w:sz w:val="22"/>
              </w:rPr>
            </w:pPr>
            <w:r>
              <w:rPr>
                <w:sz w:val="22"/>
              </w:rPr>
              <w:t>The possible values for this attribute are defined by the </w:t>
            </w:r>
            <w:r>
              <w:rPr>
                <w:rFonts w:ascii="Cambria" w:hAnsi="Cambria"/>
                <w:sz w:val="22"/>
              </w:rPr>
              <w:t>ST_UnderlineValues </w:t>
            </w:r>
            <w:r>
              <w:rPr>
                <w:sz w:val="22"/>
              </w:rPr>
              <w:t>simple type </w:t>
            </w:r>
            <w:hyperlink w:history="true" w:anchor="_bookmark907">
              <w:r>
                <w:rPr>
                  <w:sz w:val="22"/>
                </w:rPr>
                <w:t>(§18.18.85</w:t>
              </w:r>
            </w:hyperlink>
            <w:r>
              <w:rPr>
                <w:sz w:val="22"/>
              </w:rPr>
              <w:t>).</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CT_UnderlineProperty</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4.14 vertAlign (Vertical Alignment)" w:id="476"/>
      <w:bookmarkEnd w:id="476"/>
      <w:r>
        <w:rPr>
          <w:b w:val="0"/>
        </w:rPr>
      </w:r>
      <w:bookmarkStart w:name="_bookmark157" w:id="477"/>
      <w:bookmarkEnd w:id="477"/>
      <w:r>
        <w:rPr>
          <w:b w:val="0"/>
        </w:rPr>
      </w:r>
      <w:bookmarkStart w:name="_bookmark157" w:id="478"/>
      <w:bookmarkEnd w:id="478"/>
      <w:r>
        <w:rPr>
          <w:color w:val="4F81BC"/>
        </w:rPr>
        <w:t>v</w:t>
      </w:r>
      <w:r>
        <w:rPr>
          <w:color w:val="4F81BC"/>
        </w:rPr>
        <w:t>ertAlign (Vertical Alignment)</w:t>
      </w:r>
    </w:p>
    <w:p>
      <w:pPr>
        <w:pStyle w:val="BodyText"/>
        <w:spacing w:line="276" w:lineRule="auto" w:before="122"/>
        <w:ind w:left="220" w:right="503"/>
      </w:pPr>
      <w:r>
        <w:rPr/>
        <w:t>This element adjusts the vertical position of the text relative to the text's default appearance for this run. It is used to get 'superscript' or 'subscript' texts, and shall reduce the font size (if a smaller size is available) accordingly.</w:t>
      </w:r>
    </w:p>
    <w:p>
      <w:pPr>
        <w:pStyle w:val="BodyText"/>
        <w:spacing w:before="6"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7"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rPr>
                <w:sz w:val="22"/>
              </w:rPr>
            </w:pPr>
            <w:r>
              <w:rPr>
                <w:sz w:val="22"/>
              </w:rPr>
              <w:t>An enumeration representing the vertical-alignment setting.</w:t>
            </w:r>
          </w:p>
          <w:p>
            <w:pPr>
              <w:pStyle w:val="TableParagraph"/>
              <w:spacing w:before="0"/>
              <w:ind w:left="0"/>
              <w:rPr>
                <w:sz w:val="22"/>
              </w:rPr>
            </w:pPr>
          </w:p>
          <w:p>
            <w:pPr>
              <w:pStyle w:val="TableParagraph"/>
              <w:spacing w:before="0"/>
              <w:ind w:right="338"/>
              <w:rPr>
                <w:sz w:val="22"/>
              </w:rPr>
            </w:pPr>
            <w:r>
              <w:rPr>
                <w:sz w:val="22"/>
              </w:rPr>
              <w:t>Setting this to either </w:t>
            </w:r>
            <w:r>
              <w:rPr>
                <w:rFonts w:ascii="Consolas"/>
                <w:sz w:val="22"/>
              </w:rPr>
              <w:t>subscript</w:t>
            </w:r>
            <w:r>
              <w:rPr>
                <w:rFonts w:ascii="Consolas"/>
                <w:spacing w:val="-74"/>
                <w:sz w:val="22"/>
              </w:rPr>
              <w:t> </w:t>
            </w:r>
            <w:r>
              <w:rPr>
                <w:sz w:val="22"/>
              </w:rPr>
              <w:t>or </w:t>
            </w:r>
            <w:r>
              <w:rPr>
                <w:rFonts w:ascii="Consolas"/>
                <w:sz w:val="22"/>
              </w:rPr>
              <w:t>superscript</w:t>
            </w:r>
            <w:r>
              <w:rPr>
                <w:rFonts w:ascii="Consolas"/>
                <w:spacing w:val="-69"/>
                <w:sz w:val="22"/>
              </w:rPr>
              <w:t> </w:t>
            </w:r>
            <w:r>
              <w:rPr>
                <w:sz w:val="22"/>
              </w:rPr>
              <w:t>shall make the font size smaller if a smaller font size is available.</w:t>
            </w:r>
          </w:p>
          <w:p>
            <w:pPr>
              <w:pStyle w:val="TableParagraph"/>
              <w:spacing w:before="1"/>
              <w:ind w:left="0"/>
              <w:rPr>
                <w:sz w:val="22"/>
              </w:rPr>
            </w:pPr>
          </w:p>
          <w:p>
            <w:pPr>
              <w:pStyle w:val="TableParagraph"/>
              <w:spacing w:before="0"/>
              <w:ind w:right="104"/>
              <w:rPr>
                <w:sz w:val="22"/>
              </w:rPr>
            </w:pPr>
            <w:r>
              <w:rPr>
                <w:sz w:val="22"/>
              </w:rPr>
              <w:t>The possible values for this attribute are defined by the </w:t>
            </w:r>
            <w:r>
              <w:rPr>
                <w:rFonts w:ascii="Cambria" w:hAnsi="Cambria"/>
                <w:sz w:val="22"/>
              </w:rPr>
              <w:t>ST_VerticalAlignRun </w:t>
            </w:r>
            <w:r>
              <w:rPr>
                <w:sz w:val="22"/>
              </w:rPr>
              <w:t>simple type (§22.9.2.17).</w:t>
            </w:r>
          </w:p>
        </w:tc>
      </w:tr>
    </w:tbl>
    <w:p>
      <w:pPr>
        <w:pStyle w:val="BodyText"/>
      </w:pPr>
    </w:p>
    <w:p>
      <w:pPr>
        <w:pStyle w:val="BodyText"/>
        <w:spacing w:before="5"/>
        <w:rPr>
          <w:sz w:val="19"/>
        </w:rPr>
      </w:pPr>
    </w:p>
    <w:p>
      <w:pPr>
        <w:pStyle w:val="BodyText"/>
        <w:spacing w:line="276" w:lineRule="auto"/>
        <w:ind w:left="220" w:right="985"/>
      </w:pPr>
      <w:r>
        <w:rPr/>
        <w:t>[</w:t>
      </w:r>
      <w:r>
        <w:rPr>
          <w:i/>
        </w:rPr>
        <w:t>Note</w:t>
      </w:r>
      <w:r>
        <w:rPr/>
        <w:t>: The W3C XML Schema definition of this element’s content model (</w:t>
      </w:r>
      <w:r>
        <w:rPr>
          <w:color w:val="5F5F5F"/>
          <w:u w:val="single" w:color="5F5F5F"/>
        </w:rPr>
        <w:t>CT_VerticalAlignFontProperty</w:t>
      </w:r>
      <w:r>
        <w:rPr/>
        <w:t>) is located in §A.2. </w:t>
      </w:r>
      <w:r>
        <w:rPr>
          <w:i/>
        </w:rPr>
        <w:t>end note</w:t>
      </w:r>
      <w:r>
        <w:rPr/>
        <w:t>]</w:t>
      </w:r>
    </w:p>
    <w:p>
      <w:pPr>
        <w:pStyle w:val="BodyText"/>
        <w:spacing w:before="4"/>
        <w:rPr>
          <w:sz w:val="16"/>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5 Tables" w:id="479"/>
      <w:bookmarkEnd w:id="479"/>
      <w:r>
        <w:rPr>
          <w:b w:val="0"/>
        </w:rPr>
      </w:r>
      <w:bookmarkStart w:name="_bookmark158" w:id="480"/>
      <w:bookmarkEnd w:id="480"/>
      <w:r>
        <w:rPr>
          <w:b w:val="0"/>
        </w:rPr>
      </w:r>
      <w:bookmarkStart w:name="_bookmark158" w:id="481"/>
      <w:bookmarkEnd w:id="481"/>
      <w:r>
        <w:rPr>
          <w:color w:val="4F81BC"/>
        </w:rPr>
        <w:t>T</w:t>
      </w:r>
      <w:r>
        <w:rPr>
          <w:color w:val="4F81BC"/>
        </w:rPr>
        <w:t>ables</w:t>
      </w:r>
    </w:p>
    <w:p>
      <w:pPr>
        <w:pStyle w:val="BodyText"/>
        <w:spacing w:line="276" w:lineRule="auto" w:before="129"/>
        <w:ind w:left="220" w:right="631"/>
      </w:pPr>
      <w:r>
        <w:rPr/>
        <w:t>A table helps organize and provide structure to lists of information in a worksheet. Tables have clearly labeled columns, rows, and data regions. Tables make it easier for users to sort, analyze, format, manage, add, and delete information.</w:t>
      </w:r>
    </w:p>
    <w:p>
      <w:pPr>
        <w:pStyle w:val="BodyText"/>
        <w:spacing w:before="4"/>
        <w:rPr>
          <w:sz w:val="16"/>
        </w:rPr>
      </w:pPr>
    </w:p>
    <w:p>
      <w:pPr>
        <w:pStyle w:val="BodyText"/>
        <w:spacing w:line="276" w:lineRule="auto"/>
        <w:ind w:left="220" w:right="389"/>
      </w:pPr>
      <w:r>
        <w:rPr/>
        <w:t>If a region of data is designated as a Table, then special behaviors can be applied which help the user perform useful actions. [</w:t>
      </w:r>
      <w:r>
        <w:rPr>
          <w:i/>
        </w:rPr>
        <w:t>Example</w:t>
      </w:r>
      <w:r>
        <w:rPr/>
        <w:t>: if the user types additional data in the row adjacent to the bottom of the table, the table can expand and automatically add that data to the data region of the table. Similarly, adding a column is as easy as typing a new column heading to the right or left of the current column headings. Filter and sort abilities can automatically be surfaced to the user via the drop down arrows. Special calculated columns can be created</w:t>
      </w:r>
    </w:p>
    <w:p>
      <w:pPr>
        <w:spacing w:after="0" w:line="276" w:lineRule="auto"/>
        <w:sectPr>
          <w:pgSz w:w="12240" w:h="15840"/>
          <w:pgMar w:header="761" w:footer="746" w:top="1340" w:bottom="940" w:left="860" w:right="700"/>
        </w:sectPr>
      </w:pPr>
    </w:p>
    <w:p>
      <w:pPr>
        <w:pStyle w:val="BodyText"/>
        <w:spacing w:line="278" w:lineRule="auto" w:before="148"/>
        <w:ind w:left="220" w:right="564"/>
      </w:pPr>
      <w:r>
        <w:rPr/>
        <w:t>which summarize or calculate data in the table. These columns have the ability to expand and shrink according to size of the table, and maintain proper formula referencing. </w:t>
      </w:r>
      <w:r>
        <w:rPr>
          <w:i/>
        </w:rPr>
        <w:t>end example</w:t>
      </w:r>
      <w:r>
        <w:rPr/>
        <w:t>]</w:t>
      </w:r>
    </w:p>
    <w:p>
      <w:pPr>
        <w:pStyle w:val="BodyText"/>
        <w:spacing w:line="276" w:lineRule="auto" w:before="196"/>
        <w:ind w:left="220" w:right="1156"/>
      </w:pPr>
      <w:r>
        <w:rPr/>
        <w:t>Tables can be created from data already present in the worksheet, from an external data query, or from mapping a collection of repeating XML elements to a worksheet range.</w:t>
      </w:r>
    </w:p>
    <w:p>
      <w:pPr>
        <w:pStyle w:val="BodyText"/>
        <w:spacing w:before="2"/>
        <w:rPr>
          <w:sz w:val="16"/>
        </w:rPr>
      </w:pPr>
    </w:p>
    <w:p>
      <w:pPr>
        <w:pStyle w:val="BodyText"/>
        <w:spacing w:line="278" w:lineRule="auto" w:before="1"/>
        <w:ind w:left="220" w:right="1131"/>
      </w:pPr>
      <w:r>
        <w:rPr/>
        <w:t>The sheet XML stores the numeric and textual data. The table XML records the various attributes for the particular table object.</w:t>
      </w:r>
    </w:p>
    <w:p>
      <w:pPr>
        <w:spacing w:before="197"/>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line="276" w:lineRule="auto" w:before="1"/>
        <w:ind w:left="750" w:right="2289" w:hanging="243"/>
        <w:rPr>
          <w:rFonts w:ascii="Consolas"/>
        </w:rPr>
      </w:pPr>
      <w:r>
        <w:rPr>
          <w:rFonts w:ascii="Consolas"/>
        </w:rPr>
        <w:t>&lt;table xmlns="</w:t>
      </w:r>
      <w:hyperlink r:id="rId22">
        <w:r>
          <w:rPr>
            <w:rFonts w:ascii="Consolas"/>
          </w:rPr>
          <w:t>http://purl.oclc.org/ooxml/spreadsheetml/main</w:t>
        </w:r>
      </w:hyperlink>
      <w:r>
        <w:rPr>
          <w:rFonts w:ascii="Consolas"/>
        </w:rPr>
        <w:t>" id="1" name="MarginTable" displayName="MarginTable" ref="D3:G6" totalsRowShown="0"&gt;</w:t>
      </w:r>
    </w:p>
    <w:p>
      <w:pPr>
        <w:pStyle w:val="BodyText"/>
        <w:ind w:left="750"/>
        <w:rPr>
          <w:rFonts w:ascii="Consolas"/>
        </w:rPr>
      </w:pPr>
      <w:r>
        <w:rPr>
          <w:rFonts w:ascii="Consolas"/>
        </w:rPr>
        <w:t>&lt;autoFilter ref="D3:G6"/&gt;</w:t>
      </w:r>
    </w:p>
    <w:p>
      <w:pPr>
        <w:pStyle w:val="BodyText"/>
        <w:spacing w:before="39"/>
        <w:ind w:left="750"/>
        <w:rPr>
          <w:rFonts w:ascii="Consolas"/>
        </w:rPr>
      </w:pPr>
      <w:r>
        <w:rPr>
          <w:rFonts w:ascii="Consolas"/>
        </w:rPr>
        <w:t>&lt;tableColumns count="4"&gt;</w:t>
      </w:r>
    </w:p>
    <w:p>
      <w:pPr>
        <w:pStyle w:val="BodyText"/>
        <w:spacing w:before="38"/>
        <w:ind w:left="993"/>
        <w:rPr>
          <w:rFonts w:ascii="Consolas"/>
        </w:rPr>
      </w:pPr>
      <w:r>
        <w:rPr>
          <w:rFonts w:ascii="Consolas"/>
        </w:rPr>
        <w:t>&lt;tableColumn id="1" name="Product"/&gt;</w:t>
      </w:r>
    </w:p>
    <w:p>
      <w:pPr>
        <w:pStyle w:val="BodyText"/>
        <w:spacing w:before="40"/>
        <w:ind w:left="993"/>
        <w:rPr>
          <w:rFonts w:ascii="Consolas"/>
        </w:rPr>
      </w:pPr>
      <w:r>
        <w:rPr>
          <w:rFonts w:ascii="Consolas"/>
        </w:rPr>
        <w:t>&lt;tableColumn id="2" name="Wholesale"/&gt;</w:t>
      </w:r>
    </w:p>
    <w:p>
      <w:pPr>
        <w:pStyle w:val="BodyText"/>
        <w:spacing w:before="38"/>
        <w:ind w:left="993"/>
        <w:rPr>
          <w:rFonts w:ascii="Consolas"/>
        </w:rPr>
      </w:pPr>
      <w:r>
        <w:rPr>
          <w:rFonts w:ascii="Consolas"/>
        </w:rPr>
        <w:t>&lt;tableColumn id="3" name="Retail"/&gt;</w:t>
      </w:r>
    </w:p>
    <w:p>
      <w:pPr>
        <w:pStyle w:val="BodyText"/>
        <w:spacing w:before="37"/>
        <w:ind w:left="993"/>
        <w:rPr>
          <w:rFonts w:ascii="Consolas"/>
        </w:rPr>
      </w:pPr>
      <w:r>
        <w:rPr>
          <w:rFonts w:ascii="Consolas"/>
        </w:rPr>
        <w:t>&lt;tableColumn id="4" name="Margin" dataDxfId="0"&gt;</w:t>
      </w:r>
    </w:p>
    <w:p>
      <w:pPr>
        <w:pStyle w:val="BodyText"/>
        <w:spacing w:line="276" w:lineRule="auto" w:before="40"/>
        <w:ind w:left="1478" w:right="4586" w:hanging="243"/>
        <w:rPr>
          <w:rFonts w:ascii="Consolas"/>
        </w:rPr>
      </w:pPr>
      <w:r>
        <w:rPr>
          <w:rFonts w:ascii="Consolas"/>
        </w:rPr>
        <w:t>&lt;calculatedColumnFormula d="1"&gt;[Retail]- [Wholesale]&lt;/calculatedColumnFormula&gt;</w:t>
      </w:r>
    </w:p>
    <w:p>
      <w:pPr>
        <w:pStyle w:val="BodyText"/>
        <w:spacing w:before="1"/>
        <w:ind w:left="993"/>
        <w:rPr>
          <w:rFonts w:ascii="Consolas"/>
        </w:rPr>
      </w:pPr>
      <w:r>
        <w:rPr>
          <w:rFonts w:ascii="Consolas"/>
        </w:rPr>
        <w:t>&lt;/tableColumn&gt;</w:t>
      </w:r>
    </w:p>
    <w:p>
      <w:pPr>
        <w:pStyle w:val="BodyText"/>
        <w:spacing w:before="37"/>
        <w:ind w:left="750"/>
        <w:rPr>
          <w:rFonts w:ascii="Consolas"/>
        </w:rPr>
      </w:pPr>
      <w:r>
        <w:rPr>
          <w:rFonts w:ascii="Consolas"/>
        </w:rPr>
        <w:t>&lt;/tableColumns&gt;</w:t>
      </w:r>
    </w:p>
    <w:p>
      <w:pPr>
        <w:pStyle w:val="BodyText"/>
        <w:spacing w:line="276" w:lineRule="auto" w:before="40"/>
        <w:ind w:left="993" w:right="542" w:hanging="243"/>
        <w:rPr>
          <w:rFonts w:ascii="Consolas"/>
        </w:rPr>
      </w:pPr>
      <w:r>
        <w:rPr>
          <w:rFonts w:ascii="Consolas"/>
        </w:rPr>
        <w:t>&lt;tableStyleInfo name="TableStyleMedium9" showFirstColumn="0" showLastColumn="0" showRowStripes="1" showColumnStripes="0"/&gt;</w:t>
      </w:r>
    </w:p>
    <w:p>
      <w:pPr>
        <w:pStyle w:val="BodyText"/>
        <w:spacing w:line="256" w:lineRule="exact"/>
        <w:ind w:left="508"/>
        <w:rPr>
          <w:rFonts w:ascii="Consolas"/>
        </w:rPr>
      </w:pPr>
      <w:r>
        <w:rPr>
          <w:rFonts w:ascii="Consolas"/>
        </w:rPr>
        <w:t>&lt;/table&gt;</w:t>
      </w:r>
    </w:p>
    <w:p>
      <w:pPr>
        <w:pStyle w:val="BodyText"/>
        <w:spacing w:before="3"/>
        <w:rPr>
          <w:rFonts w:ascii="Consolas"/>
          <w:sz w:val="20"/>
        </w:rPr>
      </w:pPr>
    </w:p>
    <w:p>
      <w:pPr>
        <w:pStyle w:val="BodyText"/>
        <w:spacing w:line="276" w:lineRule="auto"/>
        <w:ind w:left="220" w:right="503"/>
      </w:pPr>
      <w:r>
        <w:rPr/>
        <w:t>The above xml example shows a table that spans cells D3 through G6, and has four columns: Product, Wholesale, Retail, and Margin. Margin is a column where each cell has its values calculated based on the formula (Retail - Wholesale), where those values are taken from the cells in the table columns on the corresponding row. The table has a style applied, "TableStyleMedium9", but the styles formatting isn't applied to the first column and the column striping isn't shown. Note that all the data and text values are stored in the sheet xml; the table xml just stores the properties that are specific to this table, and it is referenced by the sheet. </w:t>
      </w:r>
      <w:r>
        <w:rPr>
          <w:i/>
        </w:rPr>
        <w:t>end example</w:t>
      </w:r>
      <w:r>
        <w:rPr/>
        <w:t>]</w:t>
      </w:r>
    </w:p>
    <w:p>
      <w:pPr>
        <w:pStyle w:val="BodyText"/>
        <w:spacing w:before="7"/>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5.1 Tables" w:id="482"/>
      <w:bookmarkEnd w:id="482"/>
      <w:r>
        <w:rPr>
          <w:b w:val="0"/>
        </w:rPr>
      </w:r>
      <w:bookmarkStart w:name="_bookmark159" w:id="483"/>
      <w:bookmarkEnd w:id="483"/>
      <w:r>
        <w:rPr>
          <w:b w:val="0"/>
        </w:rPr>
      </w:r>
      <w:bookmarkStart w:name="_bookmark159" w:id="484"/>
      <w:bookmarkEnd w:id="484"/>
      <w:r>
        <w:rPr>
          <w:color w:val="4F81BC"/>
        </w:rPr>
        <w:t>Ta</w:t>
      </w:r>
      <w:r>
        <w:rPr>
          <w:color w:val="4F81BC"/>
        </w:rPr>
        <w:t>bles</w:t>
      </w:r>
    </w:p>
    <w:p>
      <w:pPr>
        <w:pStyle w:val="BodyText"/>
        <w:spacing w:line="276" w:lineRule="auto" w:before="124"/>
        <w:ind w:left="220" w:right="405"/>
      </w:pPr>
      <w:r>
        <w:rPr/>
        <w:t>Tables are ranges of data in the worksheet that have special behavior applied which allow users to better sort, analyze, format, manage, add, and delete data. Tables and table columns can also be referenced through formulas by the spreadsheet application using friendly names, making formula calculations that use tables much easier to understand and maintain. Tables provide a natural way for working with large sets of tabular data.</w:t>
      </w:r>
    </w:p>
    <w:p>
      <w:pPr>
        <w:pStyle w:val="BodyText"/>
        <w:spacing w:before="4"/>
        <w:rPr>
          <w:sz w:val="16"/>
        </w:rPr>
      </w:pPr>
    </w:p>
    <w:p>
      <w:pPr>
        <w:pStyle w:val="BodyText"/>
        <w:spacing w:line="278" w:lineRule="auto" w:before="1"/>
        <w:ind w:left="220" w:right="767"/>
      </w:pPr>
      <w:r>
        <w:rPr/>
        <w:t>The tables described in this section are of the multi cell variety, as opposed to single cell tables created from XML mappings.</w:t>
      </w:r>
    </w:p>
    <w:p>
      <w:pPr>
        <w:spacing w:after="0" w:line="278" w:lineRule="auto"/>
        <w:sectPr>
          <w:pgSz w:w="12240" w:h="15840"/>
          <w:pgMar w:header="763" w:footer="746" w:top="1340" w:bottom="940" w:left="860" w:right="700"/>
        </w:sectPr>
      </w:pPr>
    </w:p>
    <w:p>
      <w:pPr>
        <w:pStyle w:val="BodyText"/>
        <w:spacing w:line="276" w:lineRule="auto" w:before="90"/>
        <w:ind w:left="220" w:right="389"/>
      </w:pPr>
      <w:r>
        <w:rPr/>
        <w:t>Each table gets its own xml part, and the relationship between a table part and the sheet is defined in the sheet's _rels directory. The sheet xml also references this id since there can be more than one table on a sheet. The sheet xml contains all the numeric and textual data, and the table xml records properties of the table as well as some formatting rules for data and text displayed in the table</w:t>
      </w:r>
      <w:r>
        <w:rPr>
          <w:spacing w:val="-10"/>
        </w:rPr>
        <w:t> </w:t>
      </w:r>
      <w:r>
        <w:rPr/>
        <w:t>cells.</w:t>
      </w:r>
    </w:p>
    <w:p>
      <w:pPr>
        <w:pStyle w:val="BodyText"/>
        <w:spacing w:before="8"/>
        <w:rPr>
          <w:sz w:val="16"/>
        </w:rPr>
      </w:pPr>
    </w:p>
    <w:p>
      <w:pPr>
        <w:pStyle w:val="Heading3"/>
        <w:numPr>
          <w:ilvl w:val="3"/>
          <w:numId w:val="34"/>
        </w:numPr>
        <w:tabs>
          <w:tab w:pos="1732" w:val="left" w:leader="none"/>
          <w:tab w:pos="1733" w:val="left" w:leader="none"/>
        </w:tabs>
        <w:spacing w:line="240" w:lineRule="auto" w:before="0" w:after="0"/>
        <w:ind w:left="1732" w:right="0" w:hanging="1513"/>
        <w:jc w:val="left"/>
      </w:pPr>
      <w:bookmarkStart w:name="18.5.1.1 calculatedColumnFormula (Calcul" w:id="485"/>
      <w:bookmarkEnd w:id="485"/>
      <w:r>
        <w:rPr/>
      </w:r>
      <w:bookmarkStart w:name="_bookmark160" w:id="486"/>
      <w:bookmarkEnd w:id="486"/>
      <w:r>
        <w:rPr/>
      </w:r>
      <w:bookmarkStart w:name="_bookmark160" w:id="487"/>
      <w:bookmarkEnd w:id="487"/>
      <w:r>
        <w:rPr>
          <w:color w:val="4F81BC"/>
        </w:rPr>
        <w:t>calc</w:t>
      </w:r>
      <w:r>
        <w:rPr>
          <w:color w:val="4F81BC"/>
        </w:rPr>
        <w:t>ulatedColumnFormula (Calculated Column Formula)</w:t>
      </w:r>
    </w:p>
    <w:p>
      <w:pPr>
        <w:pStyle w:val="BodyText"/>
        <w:spacing w:line="278" w:lineRule="auto" w:before="119"/>
        <w:ind w:left="220" w:right="503"/>
      </w:pPr>
      <w:r>
        <w:rPr/>
        <w:t>Columns in a table can have cells that are calculated, usually based on values in other cells in the table. This element stores the formula that is used to perform the calculation for each cell in this column.</w:t>
      </w:r>
    </w:p>
    <w:p>
      <w:pPr>
        <w:pStyle w:val="BodyText"/>
        <w:spacing w:line="278" w:lineRule="auto" w:before="195"/>
        <w:ind w:left="220" w:right="540"/>
      </w:pPr>
      <w:r>
        <w:rPr/>
        <w:t>It shall be understood that formulas which reference columns of this table, shall be calculated using the cells in those columns on the same row of the table as the cell that the formula resides in.</w:t>
      </w:r>
    </w:p>
    <w:p>
      <w:pPr>
        <w:pStyle w:val="BodyText"/>
        <w:spacing w:before="3"/>
        <w:rPr>
          <w:sz w:val="16"/>
        </w:rPr>
      </w:pPr>
    </w:p>
    <w:p>
      <w:pPr>
        <w:pStyle w:val="BodyText"/>
        <w:ind w:left="220"/>
      </w:pPr>
      <w:r>
        <w:rPr/>
        <w:t>See §</w:t>
      </w:r>
      <w:hyperlink w:history="true" w:anchor="_bookmark432">
        <w:r>
          <w:rPr/>
          <w:t>18.17 </w:t>
        </w:r>
      </w:hyperlink>
      <w:r>
        <w:rPr/>
        <w:t>for details on the format required for formulas.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array </w:t>
            </w:r>
            <w:r>
              <w:rPr>
                <w:sz w:val="22"/>
              </w:rPr>
              <w:t>(Array)</w:t>
            </w:r>
          </w:p>
        </w:tc>
        <w:tc>
          <w:tcPr>
            <w:tcW w:w="8250" w:type="dxa"/>
          </w:tcPr>
          <w:p>
            <w:pPr>
              <w:pStyle w:val="TableParagraph"/>
              <w:rPr>
                <w:sz w:val="22"/>
              </w:rPr>
            </w:pPr>
            <w:r>
              <w:rPr>
                <w:sz w:val="22"/>
              </w:rPr>
              <w:t>A Boolean value that indicates whether this formula is an array style formula.</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28"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268" w:hRule="atLeast"/>
        </w:trPr>
        <w:tc>
          <w:tcPr>
            <w:tcW w:w="2062" w:type="dxa"/>
            <w:tcBorders>
              <w:top w:val="nil"/>
              <w:bottom w:val="nil"/>
            </w:tcBorders>
          </w:tcPr>
          <w:p>
            <w:pPr>
              <w:pStyle w:val="TableParagraph"/>
              <w:spacing w:line="249" w:lineRule="exact" w:before="0"/>
              <w:rPr>
                <w:sz w:val="22"/>
              </w:rPr>
            </w:pPr>
            <w:r>
              <w:rPr>
                <w:sz w:val="22"/>
              </w:rPr>
              <w:t>Contains Significant</w:t>
            </w:r>
          </w:p>
        </w:tc>
        <w:tc>
          <w:tcPr>
            <w:tcW w:w="8250" w:type="dxa"/>
            <w:tcBorders>
              <w:top w:val="nil"/>
              <w:bottom w:val="nil"/>
            </w:tcBorders>
          </w:tcPr>
          <w:p>
            <w:pPr>
              <w:pStyle w:val="TableParagraph"/>
              <w:spacing w:line="249" w:lineRule="exact" w:before="0"/>
              <w:rPr>
                <w:sz w:val="22"/>
              </w:rPr>
            </w:pPr>
            <w:r>
              <w:rPr>
                <w:sz w:val="22"/>
              </w:rPr>
              <w:t>W3C space preservation rules.</w:t>
            </w:r>
          </w:p>
        </w:tc>
      </w:tr>
      <w:tr>
        <w:trPr>
          <w:trHeight w:val="268" w:hRule="atLeast"/>
        </w:trPr>
        <w:tc>
          <w:tcPr>
            <w:tcW w:w="2062" w:type="dxa"/>
            <w:tcBorders>
              <w:top w:val="nil"/>
              <w:bottom w:val="nil"/>
            </w:tcBorders>
          </w:tcPr>
          <w:p>
            <w:pPr>
              <w:pStyle w:val="TableParagraph"/>
              <w:spacing w:line="249" w:lineRule="exact" w:before="0"/>
              <w:rPr>
                <w:sz w:val="22"/>
              </w:rPr>
            </w:pPr>
            <w:r>
              <w:rPr>
                <w:sz w:val="22"/>
              </w:rPr>
              <w:t>Whitespace)</w:t>
            </w:r>
          </w:p>
        </w:tc>
        <w:tc>
          <w:tcPr>
            <w:tcW w:w="8250" w:type="dxa"/>
            <w:tcBorders>
              <w:top w:val="nil"/>
              <w:bottom w:val="nil"/>
            </w:tcBorders>
          </w:tcPr>
          <w:p>
            <w:pPr>
              <w:pStyle w:val="TableParagraph"/>
              <w:spacing w:line="249" w:lineRule="exact" w:before="0"/>
              <w:rPr>
                <w:sz w:val="22"/>
              </w:rPr>
            </w:pPr>
            <w:r>
              <w:rPr>
                <w:sz w:val="22"/>
              </w:rPr>
              <w:t>The possible values for this attribute are defined by §2.10 of the XML 1.0 specification.</w:t>
            </w:r>
          </w:p>
        </w:tc>
      </w:tr>
      <w:tr>
        <w:trPr>
          <w:trHeight w:val="1068" w:hRule="atLeast"/>
        </w:trPr>
        <w:tc>
          <w:tcPr>
            <w:tcW w:w="2062" w:type="dxa"/>
            <w:tcBorders>
              <w:top w:val="nil"/>
            </w:tcBorders>
          </w:tcPr>
          <w:p>
            <w:pPr>
              <w:pStyle w:val="TableParagraph"/>
              <w:spacing w:line="249" w:lineRule="exact" w:before="0"/>
              <w:rPr>
                <w:sz w:val="22"/>
              </w:rPr>
            </w:pPr>
            <w:r>
              <w:rPr>
                <w:sz w:val="22"/>
              </w:rPr>
              <w:t>Namespace:</w:t>
            </w:r>
          </w:p>
          <w:p>
            <w:pPr>
              <w:pStyle w:val="TableParagraph"/>
              <w:spacing w:before="3"/>
              <w:ind w:right="164"/>
              <w:jc w:val="both"/>
              <w:rPr>
                <w:rFonts w:ascii="Cambria"/>
                <w:sz w:val="22"/>
              </w:rPr>
            </w:pP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CT_TableFormula</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4"/>
        </w:numPr>
        <w:tabs>
          <w:tab w:pos="1732" w:val="left" w:leader="none"/>
          <w:tab w:pos="1733" w:val="left" w:leader="none"/>
        </w:tabs>
        <w:spacing w:line="240" w:lineRule="auto" w:before="0" w:after="0"/>
        <w:ind w:left="1732" w:right="0" w:hanging="1513"/>
        <w:jc w:val="left"/>
      </w:pPr>
      <w:bookmarkStart w:name="18.5.1.2 table (Table)" w:id="488"/>
      <w:bookmarkEnd w:id="488"/>
      <w:r>
        <w:rPr/>
      </w:r>
      <w:bookmarkStart w:name="_bookmark161" w:id="489"/>
      <w:bookmarkEnd w:id="489"/>
      <w:r>
        <w:rPr/>
      </w:r>
      <w:bookmarkStart w:name="_bookmark161" w:id="490"/>
      <w:bookmarkEnd w:id="490"/>
      <w:r>
        <w:rPr>
          <w:color w:val="4F81BC"/>
        </w:rPr>
        <w:t>t</w:t>
      </w:r>
      <w:r>
        <w:rPr>
          <w:color w:val="4F81BC"/>
        </w:rPr>
        <w:t>able</w:t>
      </w:r>
      <w:r>
        <w:rPr>
          <w:color w:val="4F81BC"/>
          <w:spacing w:val="-1"/>
        </w:rPr>
        <w:t> </w:t>
      </w:r>
      <w:r>
        <w:rPr>
          <w:color w:val="4F81BC"/>
        </w:rPr>
        <w:t>(Table)</w:t>
      </w:r>
    </w:p>
    <w:p>
      <w:pPr>
        <w:pStyle w:val="BodyText"/>
        <w:spacing w:before="122"/>
        <w:ind w:left="220"/>
      </w:pPr>
      <w:r>
        <w:rPr/>
        <w:t>This element is the root element for a table that is not a single cell XML table.</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2" w:hRule="atLeast"/>
        </w:trPr>
        <w:tc>
          <w:tcPr>
            <w:tcW w:w="2062" w:type="dxa"/>
          </w:tcPr>
          <w:p>
            <w:pPr>
              <w:pStyle w:val="TableParagraph"/>
              <w:ind w:right="429"/>
              <w:rPr>
                <w:sz w:val="22"/>
              </w:rPr>
            </w:pPr>
            <w:r>
              <w:rPr>
                <w:rFonts w:ascii="Cambria"/>
                <w:sz w:val="22"/>
              </w:rPr>
              <w:t>comment </w:t>
            </w:r>
            <w:r>
              <w:rPr>
                <w:sz w:val="22"/>
              </w:rPr>
              <w:t>(Table Comment)</w:t>
            </w:r>
          </w:p>
        </w:tc>
        <w:tc>
          <w:tcPr>
            <w:tcW w:w="8250" w:type="dxa"/>
          </w:tcPr>
          <w:p>
            <w:pPr>
              <w:pStyle w:val="TableParagraph"/>
              <w:jc w:val="both"/>
              <w:rPr>
                <w:sz w:val="22"/>
              </w:rPr>
            </w:pPr>
            <w:r>
              <w:rPr>
                <w:sz w:val="22"/>
              </w:rPr>
              <w:t>A string representing a textual comment about the table.</w:t>
            </w:r>
          </w:p>
          <w:p>
            <w:pPr>
              <w:pStyle w:val="TableParagraph"/>
              <w:spacing w:before="1"/>
              <w:ind w:left="0"/>
              <w:rPr>
                <w:sz w:val="22"/>
              </w:rPr>
            </w:pPr>
          </w:p>
          <w:p>
            <w:pPr>
              <w:pStyle w:val="TableParagraph"/>
              <w:spacing w:before="0"/>
              <w:ind w:right="231"/>
              <w:jc w:val="both"/>
              <w:rPr>
                <w:sz w:val="22"/>
              </w:rPr>
            </w:pPr>
            <w:r>
              <w:rPr>
                <w:sz w:val="22"/>
              </w:rPr>
              <w:t>[</w:t>
            </w:r>
            <w:r>
              <w:rPr>
                <w:i/>
                <w:sz w:val="22"/>
              </w:rPr>
              <w:t>Note</w:t>
            </w:r>
            <w:r>
              <w:rPr>
                <w:sz w:val="22"/>
              </w:rPr>
              <w:t>: This can be used by the spreadsheet application in other UI. </w:t>
            </w:r>
            <w:r>
              <w:rPr>
                <w:i/>
                <w:sz w:val="22"/>
              </w:rPr>
              <w:t>end note</w:t>
            </w:r>
            <w:r>
              <w:rPr>
                <w:sz w:val="22"/>
              </w:rPr>
              <w:t>] [</w:t>
            </w:r>
            <w:r>
              <w:rPr>
                <w:i/>
                <w:sz w:val="22"/>
              </w:rPr>
              <w:t>Example</w:t>
            </w:r>
            <w:r>
              <w:rPr>
                <w:sz w:val="22"/>
              </w:rPr>
              <w:t>: There can be name UI that is used to organize defined names and function references, if tables are listed in that UI the comment can give more information about the table. </w:t>
            </w:r>
            <w:r>
              <w:rPr>
                <w:i/>
                <w:sz w:val="22"/>
              </w:rPr>
              <w:t>end </w:t>
            </w:r>
            <w:r>
              <w:rPr>
                <w:i/>
                <w:sz w:val="22"/>
              </w:rPr>
              <w:t>example</w:t>
            </w:r>
            <w:r>
              <w:rPr>
                <w:sz w:val="22"/>
              </w:rPr>
              <w:t>]</w:t>
            </w:r>
          </w:p>
          <w:p>
            <w:pPr>
              <w:pStyle w:val="TableParagraph"/>
              <w:spacing w:before="11"/>
              <w:ind w:left="0"/>
              <w:rPr>
                <w:sz w:val="21"/>
              </w:rPr>
            </w:pPr>
          </w:p>
          <w:p>
            <w:pPr>
              <w:pStyle w:val="TableParagraph"/>
              <w:spacing w:before="0"/>
              <w:jc w:val="both"/>
              <w:rPr>
                <w:sz w:val="22"/>
              </w:rPr>
            </w:pPr>
            <w:r>
              <w:rPr>
                <w:sz w:val="22"/>
              </w:rPr>
              <w:t>The maximum length of this string should be 32767 characters.</w:t>
            </w:r>
          </w:p>
          <w:p>
            <w:pPr>
              <w:pStyle w:val="TableParagraph"/>
              <w:spacing w:before="0"/>
              <w:ind w:left="0"/>
              <w:rPr>
                <w:sz w:val="22"/>
              </w:rPr>
            </w:pPr>
          </w:p>
          <w:p>
            <w:pPr>
              <w:pStyle w:val="TableParagraph"/>
              <w:spacing w:before="0"/>
              <w:jc w:val="both"/>
              <w:rPr>
                <w:sz w:val="22"/>
              </w:rPr>
            </w:pPr>
            <w:r>
              <w:rPr>
                <w:sz w:val="22"/>
              </w:rPr>
              <w:t>The possible values for this attribute are defined by the </w:t>
            </w:r>
            <w:r>
              <w:rPr>
                <w:rFonts w:ascii="Cambria"/>
                <w:sz w:val="22"/>
              </w:rPr>
              <w:t>ST_Xstring </w:t>
            </w:r>
            <w:r>
              <w:rPr>
                <w:sz w:val="22"/>
              </w:rPr>
              <w:t>simple type</w:t>
            </w:r>
          </w:p>
        </w:tc>
      </w:tr>
    </w:tbl>
    <w:p>
      <w:pPr>
        <w:spacing w:after="0"/>
        <w:jc w:val="both"/>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(§22.9.2.19).</w:t>
            </w:r>
          </w:p>
        </w:tc>
      </w:tr>
      <w:tr>
        <w:trPr>
          <w:trHeight w:val="1965" w:hRule="atLeast"/>
        </w:trPr>
        <w:tc>
          <w:tcPr>
            <w:tcW w:w="2062" w:type="dxa"/>
          </w:tcPr>
          <w:p>
            <w:pPr>
              <w:pStyle w:val="TableParagraph"/>
              <w:spacing w:line="256" w:lineRule="exact" w:before="42"/>
              <w:rPr>
                <w:rFonts w:ascii="Cambria"/>
                <w:sz w:val="22"/>
              </w:rPr>
            </w:pPr>
            <w:r>
              <w:rPr>
                <w:rFonts w:ascii="Cambria"/>
                <w:sz w:val="22"/>
              </w:rPr>
              <w:t>connectionId</w:t>
            </w:r>
          </w:p>
          <w:p>
            <w:pPr>
              <w:pStyle w:val="TableParagraph"/>
              <w:spacing w:line="267" w:lineRule="exact" w:before="0"/>
              <w:rPr>
                <w:sz w:val="22"/>
              </w:rPr>
            </w:pPr>
            <w:r>
              <w:rPr>
                <w:sz w:val="22"/>
              </w:rPr>
              <w:t>(Connection ID)</w:t>
            </w:r>
          </w:p>
        </w:tc>
        <w:tc>
          <w:tcPr>
            <w:tcW w:w="8250" w:type="dxa"/>
          </w:tcPr>
          <w:p>
            <w:pPr>
              <w:pStyle w:val="TableParagraph"/>
              <w:ind w:right="869"/>
              <w:rPr>
                <w:sz w:val="22"/>
              </w:rPr>
            </w:pPr>
            <w:r>
              <w:rPr>
                <w:sz w:val="22"/>
              </w:rPr>
              <w:t>An integer representing an ID to indicate which connection from the connections collection is used by this table.</w:t>
            </w:r>
          </w:p>
          <w:p>
            <w:pPr>
              <w:pStyle w:val="TableParagraph"/>
              <w:spacing w:before="2"/>
              <w:ind w:left="0"/>
              <w:rPr>
                <w:rFonts w:ascii="Times New Roman"/>
                <w:sz w:val="23"/>
              </w:rPr>
            </w:pPr>
          </w:p>
          <w:p>
            <w:pPr>
              <w:pStyle w:val="TableParagraph"/>
              <w:spacing w:before="0"/>
              <w:rPr>
                <w:sz w:val="22"/>
              </w:rPr>
            </w:pPr>
            <w:r>
              <w:rPr>
                <w:sz w:val="22"/>
              </w:rPr>
              <w:t>This shall only be used for tables that are based off of xml maps.</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Pr>
          <w:p>
            <w:pPr>
              <w:pStyle w:val="TableParagraph"/>
              <w:ind w:right="158"/>
              <w:rPr>
                <w:sz w:val="22"/>
              </w:rPr>
            </w:pPr>
            <w:r>
              <w:rPr>
                <w:rFonts w:ascii="Cambria"/>
                <w:sz w:val="22"/>
              </w:rPr>
              <w:t>dataCellStyle </w:t>
            </w:r>
            <w:r>
              <w:rPr>
                <w:sz w:val="22"/>
              </w:rPr>
              <w:t>(Data Style Name)</w:t>
            </w:r>
          </w:p>
        </w:tc>
        <w:tc>
          <w:tcPr>
            <w:tcW w:w="8250" w:type="dxa"/>
          </w:tcPr>
          <w:p>
            <w:pPr>
              <w:pStyle w:val="TableParagraph"/>
              <w:ind w:right="100"/>
              <w:rPr>
                <w:sz w:val="22"/>
              </w:rPr>
            </w:pPr>
            <w:r>
              <w:rPr>
                <w:sz w:val="22"/>
              </w:rPr>
              <w:t>A string representing the name of the cell style that is applied to the data area cells of the table.</w:t>
            </w:r>
          </w:p>
          <w:p>
            <w:pPr>
              <w:pStyle w:val="TableParagraph"/>
              <w:spacing w:before="5"/>
              <w:ind w:left="0"/>
              <w:rPr>
                <w:rFonts w:ascii="Times New Roman"/>
                <w:sz w:val="23"/>
              </w:rPr>
            </w:pPr>
          </w:p>
          <w:p>
            <w:pPr>
              <w:pStyle w:val="TableParagraph"/>
              <w:spacing w:before="0"/>
              <w:ind w:right="331"/>
              <w:rPr>
                <w:sz w:val="22"/>
              </w:rPr>
            </w:pPr>
            <w:r>
              <w:rPr>
                <w:sz w:val="22"/>
              </w:rPr>
              <w:t>If this string is missing or does not correspond to the name of a cell style, then the data cell style specified by the current table style should be applied.</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5" w:hRule="atLeast"/>
        </w:trPr>
        <w:tc>
          <w:tcPr>
            <w:tcW w:w="2062" w:type="dxa"/>
          </w:tcPr>
          <w:p>
            <w:pPr>
              <w:pStyle w:val="TableParagraph"/>
              <w:ind w:right="458"/>
              <w:rPr>
                <w:sz w:val="22"/>
              </w:rPr>
            </w:pPr>
            <w:r>
              <w:rPr>
                <w:rFonts w:ascii="Cambria"/>
                <w:sz w:val="22"/>
              </w:rPr>
              <w:t>dataDxfId </w:t>
            </w:r>
            <w:r>
              <w:rPr>
                <w:sz w:val="22"/>
              </w:rPr>
              <w:t>(Data Area Format Id)</w:t>
            </w:r>
          </w:p>
        </w:tc>
        <w:tc>
          <w:tcPr>
            <w:tcW w:w="8250" w:type="dxa"/>
          </w:tcPr>
          <w:p>
            <w:pPr>
              <w:pStyle w:val="TableParagraph"/>
              <w:ind w:right="617"/>
              <w:rPr>
                <w:sz w:val="22"/>
              </w:rPr>
            </w:pPr>
            <w:r>
              <w:rPr>
                <w:sz w:val="22"/>
              </w:rPr>
              <w:t>A zero based integer index into the differential formatting records </w:t>
            </w:r>
            <w:r>
              <w:rPr>
                <w:rFonts w:ascii="Consolas"/>
                <w:sz w:val="22"/>
              </w:rPr>
              <w:t>&lt;dxfs&gt;</w:t>
            </w:r>
            <w:r>
              <w:rPr>
                <w:rFonts w:ascii="Consolas"/>
                <w:spacing w:val="-90"/>
                <w:sz w:val="22"/>
              </w:rPr>
              <w:t> </w:t>
            </w:r>
            <w:r>
              <w:rPr>
                <w:sz w:val="22"/>
              </w:rPr>
              <w:t>in the styleSheet indicating which format to apply to the data area of this table.</w:t>
            </w:r>
          </w:p>
          <w:p>
            <w:pPr>
              <w:pStyle w:val="TableParagraph"/>
              <w:spacing w:before="4"/>
              <w:ind w:left="0"/>
              <w:rPr>
                <w:rFonts w:ascii="Times New Roman"/>
                <w:sz w:val="23"/>
              </w:rPr>
            </w:pPr>
          </w:p>
          <w:p>
            <w:pPr>
              <w:pStyle w:val="TableParagraph"/>
              <w:spacing w:before="0"/>
              <w:rPr>
                <w:sz w:val="22"/>
              </w:rPr>
            </w:pPr>
            <w:r>
              <w:rPr>
                <w:sz w:val="22"/>
              </w:rPr>
              <w:t>The spreadsheet should fail to load if this index is out of bounds.</w:t>
            </w:r>
          </w:p>
          <w:p>
            <w:pPr>
              <w:pStyle w:val="TableParagraph"/>
              <w:spacing w:before="5"/>
              <w:ind w:left="0"/>
              <w:rPr>
                <w:rFonts w:ascii="Times New Roman"/>
                <w:sz w:val="23"/>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2772" w:hRule="atLeast"/>
        </w:trPr>
        <w:tc>
          <w:tcPr>
            <w:tcW w:w="2062" w:type="dxa"/>
          </w:tcPr>
          <w:p>
            <w:pPr>
              <w:pStyle w:val="TableParagraph"/>
              <w:spacing w:before="42"/>
              <w:ind w:right="88"/>
              <w:rPr>
                <w:sz w:val="22"/>
              </w:rPr>
            </w:pPr>
            <w:r>
              <w:rPr>
                <w:rFonts w:ascii="Cambria"/>
                <w:sz w:val="22"/>
              </w:rPr>
              <w:t>displayName </w:t>
            </w:r>
            <w:r>
              <w:rPr>
                <w:sz w:val="22"/>
              </w:rPr>
              <w:t>(Table Name)</w:t>
            </w:r>
          </w:p>
        </w:tc>
        <w:tc>
          <w:tcPr>
            <w:tcW w:w="8250" w:type="dxa"/>
          </w:tcPr>
          <w:p>
            <w:pPr>
              <w:pStyle w:val="TableParagraph"/>
              <w:spacing w:before="42"/>
              <w:ind w:right="617"/>
              <w:rPr>
                <w:sz w:val="22"/>
              </w:rPr>
            </w:pPr>
            <w:r>
              <w:rPr>
                <w:sz w:val="22"/>
              </w:rPr>
              <w:t>A string representing the name of the table. This is the name that shall be used in formula references, and displayed in the UI to the spreadsheet user.</w:t>
            </w:r>
          </w:p>
          <w:p>
            <w:pPr>
              <w:pStyle w:val="TableParagraph"/>
              <w:spacing w:before="3"/>
              <w:ind w:left="0"/>
              <w:rPr>
                <w:rFonts w:ascii="Times New Roman"/>
                <w:sz w:val="23"/>
              </w:rPr>
            </w:pPr>
          </w:p>
          <w:p>
            <w:pPr>
              <w:pStyle w:val="TableParagraph"/>
              <w:spacing w:before="0"/>
              <w:ind w:right="849"/>
              <w:rPr>
                <w:sz w:val="22"/>
              </w:rPr>
            </w:pPr>
            <w:r>
              <w:rPr>
                <w:sz w:val="22"/>
              </w:rPr>
              <w:t>This name shall not have any spaces in it, and it shall be unique amongst all other </w:t>
            </w:r>
            <w:r>
              <w:rPr>
                <w:rFonts w:ascii="Consolas"/>
                <w:sz w:val="20"/>
              </w:rPr>
              <w:t>displayNames </w:t>
            </w:r>
            <w:r>
              <w:rPr>
                <w:sz w:val="22"/>
              </w:rPr>
              <w:t>and </w:t>
            </w:r>
            <w:r>
              <w:rPr>
                <w:rFonts w:ascii="Consolas"/>
                <w:sz w:val="20"/>
              </w:rPr>
              <w:t>definedNames </w:t>
            </w:r>
            <w:r>
              <w:rPr>
                <w:sz w:val="22"/>
              </w:rPr>
              <w:t>in the workbook. The character lengths and restrictions are the same as for </w:t>
            </w:r>
            <w:r>
              <w:rPr>
                <w:rFonts w:ascii="Consolas"/>
                <w:sz w:val="20"/>
              </w:rPr>
              <w:t>definedNames</w:t>
            </w:r>
            <w:r>
              <w:rPr>
                <w:sz w:val="22"/>
              </w:rPr>
              <w:t>. See </w:t>
            </w:r>
            <w:r>
              <w:rPr>
                <w:i/>
                <w:sz w:val="22"/>
              </w:rPr>
              <w:t>SpreadsheetML Reference - </w:t>
            </w:r>
            <w:r>
              <w:rPr>
                <w:i/>
                <w:sz w:val="22"/>
              </w:rPr>
              <w:t>Workbook definedNames </w:t>
            </w:r>
            <w:r>
              <w:rPr>
                <w:sz w:val="22"/>
              </w:rPr>
              <w:t>section for details</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8" w:hRule="atLeast"/>
        </w:trPr>
        <w:tc>
          <w:tcPr>
            <w:tcW w:w="2062" w:type="dxa"/>
          </w:tcPr>
          <w:p>
            <w:pPr>
              <w:pStyle w:val="TableParagraph"/>
              <w:spacing w:line="237" w:lineRule="auto" w:before="47"/>
              <w:ind w:right="190"/>
              <w:jc w:val="both"/>
              <w:rPr>
                <w:sz w:val="22"/>
              </w:rPr>
            </w:pPr>
            <w:r>
              <w:rPr>
                <w:rFonts w:ascii="Cambria"/>
                <w:sz w:val="22"/>
              </w:rPr>
              <w:t>headerRowBorder DxfId </w:t>
            </w:r>
            <w:r>
              <w:rPr>
                <w:sz w:val="22"/>
              </w:rPr>
              <w:t>(Header Row Border Format Id)</w:t>
            </w:r>
          </w:p>
        </w:tc>
        <w:tc>
          <w:tcPr>
            <w:tcW w:w="8250" w:type="dxa"/>
          </w:tcPr>
          <w:p>
            <w:pPr>
              <w:pStyle w:val="TableParagraph"/>
              <w:spacing w:line="237" w:lineRule="auto" w:before="44"/>
              <w:ind w:right="470"/>
              <w:rPr>
                <w:sz w:val="22"/>
              </w:rPr>
            </w:pPr>
            <w:r>
              <w:rPr>
                <w:sz w:val="22"/>
              </w:rPr>
              <w:t>A zero based integer index into the differential formatting records </w:t>
            </w:r>
            <w:r>
              <w:rPr>
                <w:rFonts w:ascii="Consolas"/>
                <w:sz w:val="22"/>
              </w:rPr>
              <w:t>&lt;dxfs&gt; </w:t>
            </w:r>
            <w:r>
              <w:rPr>
                <w:sz w:val="22"/>
              </w:rPr>
              <w:t>in the styleSheet indicating what border formatting to apply to the header row of this table.</w:t>
            </w:r>
          </w:p>
          <w:p>
            <w:pPr>
              <w:pStyle w:val="TableParagraph"/>
              <w:spacing w:before="6"/>
              <w:ind w:left="0"/>
              <w:rPr>
                <w:rFonts w:ascii="Times New Roman"/>
                <w:sz w:val="23"/>
              </w:rPr>
            </w:pPr>
          </w:p>
          <w:p>
            <w:pPr>
              <w:pStyle w:val="TableParagraph"/>
              <w:spacing w:before="0"/>
              <w:rPr>
                <w:sz w:val="22"/>
              </w:rPr>
            </w:pPr>
            <w:r>
              <w:rPr>
                <w:sz w:val="22"/>
              </w:rPr>
              <w:t>The spreadsheet should fail to load if this index is out of bounds.</w:t>
            </w:r>
          </w:p>
          <w:p>
            <w:pPr>
              <w:pStyle w:val="TableParagraph"/>
              <w:spacing w:before="5"/>
              <w:ind w:left="0"/>
              <w:rPr>
                <w:rFonts w:ascii="Times New Roman"/>
                <w:sz w:val="23"/>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1158" w:hRule="atLeast"/>
        </w:trPr>
        <w:tc>
          <w:tcPr>
            <w:tcW w:w="2062" w:type="dxa"/>
          </w:tcPr>
          <w:p>
            <w:pPr>
              <w:pStyle w:val="TableParagraph"/>
              <w:spacing w:line="237" w:lineRule="auto" w:before="45"/>
              <w:ind w:right="132"/>
              <w:rPr>
                <w:sz w:val="22"/>
              </w:rPr>
            </w:pPr>
            <w:r>
              <w:rPr>
                <w:rFonts w:ascii="Cambria"/>
                <w:sz w:val="22"/>
              </w:rPr>
              <w:t>headerRowCellStyl e </w:t>
            </w:r>
            <w:r>
              <w:rPr>
                <w:sz w:val="22"/>
              </w:rPr>
              <w:t>(Header Row Style)</w:t>
            </w:r>
          </w:p>
        </w:tc>
        <w:tc>
          <w:tcPr>
            <w:tcW w:w="8250" w:type="dxa"/>
          </w:tcPr>
          <w:p>
            <w:pPr>
              <w:pStyle w:val="TableParagraph"/>
              <w:ind w:right="263"/>
              <w:rPr>
                <w:sz w:val="22"/>
              </w:rPr>
            </w:pPr>
            <w:r>
              <w:rPr>
                <w:sz w:val="22"/>
              </w:rPr>
              <w:t>A string representing the name of the cell style that is applied to the header row cells of the table.</w:t>
            </w:r>
          </w:p>
          <w:p>
            <w:pPr>
              <w:pStyle w:val="TableParagraph"/>
              <w:spacing w:before="2"/>
              <w:ind w:left="0"/>
              <w:rPr>
                <w:rFonts w:ascii="Times New Roman"/>
                <w:sz w:val="23"/>
              </w:rPr>
            </w:pPr>
          </w:p>
          <w:p>
            <w:pPr>
              <w:pStyle w:val="TableParagraph"/>
              <w:spacing w:before="0"/>
              <w:rPr>
                <w:sz w:val="22"/>
              </w:rPr>
            </w:pPr>
            <w:r>
              <w:rPr>
                <w:sz w:val="22"/>
              </w:rPr>
              <w:t>If this string is missing or does not correspond to the name of a cell style, then the header</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row style specified by the current table style should be applied.</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5" w:hRule="atLeast"/>
        </w:trPr>
        <w:tc>
          <w:tcPr>
            <w:tcW w:w="2062" w:type="dxa"/>
          </w:tcPr>
          <w:p>
            <w:pPr>
              <w:pStyle w:val="TableParagraph"/>
              <w:spacing w:line="256" w:lineRule="exact" w:before="45"/>
              <w:rPr>
                <w:rFonts w:ascii="Cambria"/>
                <w:sz w:val="22"/>
              </w:rPr>
            </w:pPr>
            <w:r>
              <w:rPr>
                <w:rFonts w:ascii="Cambria"/>
                <w:sz w:val="22"/>
              </w:rPr>
              <w:t>headerRowCount</w:t>
            </w:r>
          </w:p>
          <w:p>
            <w:pPr>
              <w:pStyle w:val="TableParagraph"/>
              <w:spacing w:line="267" w:lineRule="exact" w:before="0"/>
              <w:rPr>
                <w:sz w:val="22"/>
              </w:rPr>
            </w:pPr>
            <w:r>
              <w:rPr>
                <w:sz w:val="22"/>
              </w:rPr>
              <w:t>(Header Row Count)</w:t>
            </w:r>
          </w:p>
        </w:tc>
        <w:tc>
          <w:tcPr>
            <w:tcW w:w="8250" w:type="dxa"/>
          </w:tcPr>
          <w:p>
            <w:pPr>
              <w:pStyle w:val="TableParagraph"/>
              <w:spacing w:line="237" w:lineRule="auto" w:before="44"/>
              <w:ind w:right="444"/>
              <w:rPr>
                <w:sz w:val="22"/>
              </w:rPr>
            </w:pPr>
            <w:r>
              <w:rPr>
                <w:sz w:val="22"/>
              </w:rPr>
              <w:t>An integer representing the number of header rows showing at the top of the table. 0 means that the header row is not shown.</w:t>
            </w:r>
          </w:p>
          <w:p>
            <w:pPr>
              <w:pStyle w:val="TableParagraph"/>
              <w:spacing w:before="6"/>
              <w:ind w:left="0"/>
              <w:rPr>
                <w:rFonts w:ascii="Times New Roman"/>
                <w:sz w:val="23"/>
              </w:rPr>
            </w:pPr>
          </w:p>
          <w:p>
            <w:pPr>
              <w:pStyle w:val="TableParagraph"/>
              <w:spacing w:before="0"/>
              <w:ind w:right="503"/>
              <w:rPr>
                <w:sz w:val="22"/>
              </w:rPr>
            </w:pPr>
            <w:r>
              <w:rPr>
                <w:sz w:val="22"/>
              </w:rPr>
              <w:t>It is up to the spreadsheet application to determine if numbers greater than 1 are allowed. Unless the spreadsheet application has a feature where there might ever be more than one header row, this number should not be higher than 1.</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965" w:hRule="atLeast"/>
        </w:trPr>
        <w:tc>
          <w:tcPr>
            <w:tcW w:w="2062" w:type="dxa"/>
          </w:tcPr>
          <w:p>
            <w:pPr>
              <w:pStyle w:val="TableParagraph"/>
              <w:spacing w:line="237" w:lineRule="auto" w:before="45"/>
              <w:ind w:right="324"/>
              <w:rPr>
                <w:sz w:val="22"/>
              </w:rPr>
            </w:pPr>
            <w:r>
              <w:rPr>
                <w:rFonts w:ascii="Cambria"/>
                <w:sz w:val="22"/>
              </w:rPr>
              <w:t>headerRowDxfId </w:t>
            </w:r>
            <w:r>
              <w:rPr>
                <w:sz w:val="22"/>
              </w:rPr>
              <w:t>(Header Row Format Id)</w:t>
            </w:r>
          </w:p>
        </w:tc>
        <w:tc>
          <w:tcPr>
            <w:tcW w:w="8250" w:type="dxa"/>
          </w:tcPr>
          <w:p>
            <w:pPr>
              <w:pStyle w:val="TableParagraph"/>
              <w:ind w:right="915"/>
              <w:rPr>
                <w:sz w:val="22"/>
              </w:rPr>
            </w:pPr>
            <w:r>
              <w:rPr>
                <w:sz w:val="22"/>
              </w:rPr>
              <w:t>A zero based integer index into the differential formatting records </w:t>
            </w:r>
            <w:r>
              <w:rPr>
                <w:rFonts w:ascii="Consolas"/>
                <w:sz w:val="22"/>
              </w:rPr>
              <w:t>&lt;dxfs&gt;</w:t>
            </w:r>
            <w:r>
              <w:rPr>
                <w:sz w:val="22"/>
              </w:rPr>
              <w:t>in the styleSheet indicating which format to apply to the header row of this table.</w:t>
            </w:r>
          </w:p>
          <w:p>
            <w:pPr>
              <w:pStyle w:val="TableParagraph"/>
              <w:spacing w:before="2"/>
              <w:ind w:left="0"/>
              <w:rPr>
                <w:rFonts w:ascii="Times New Roman"/>
                <w:sz w:val="23"/>
              </w:rPr>
            </w:pPr>
          </w:p>
          <w:p>
            <w:pPr>
              <w:pStyle w:val="TableParagraph"/>
              <w:spacing w:before="0"/>
              <w:rPr>
                <w:sz w:val="22"/>
              </w:rPr>
            </w:pPr>
            <w:r>
              <w:rPr>
                <w:sz w:val="22"/>
              </w:rPr>
              <w:t>The spreadsheet should fail to load if this index is out of bounds.</w:t>
            </w:r>
          </w:p>
          <w:p>
            <w:pPr>
              <w:pStyle w:val="TableParagraph"/>
              <w:spacing w:before="4"/>
              <w:ind w:left="0"/>
              <w:rPr>
                <w:rFonts w:ascii="Times New Roman"/>
                <w:sz w:val="23"/>
              </w:rPr>
            </w:pPr>
          </w:p>
          <w:p>
            <w:pPr>
              <w:pStyle w:val="TableParagraph"/>
              <w:spacing w:before="1"/>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2234" w:hRule="atLeast"/>
        </w:trPr>
        <w:tc>
          <w:tcPr>
            <w:tcW w:w="2062" w:type="dxa"/>
          </w:tcPr>
          <w:p>
            <w:pPr>
              <w:pStyle w:val="TableParagraph"/>
              <w:rPr>
                <w:sz w:val="22"/>
              </w:rPr>
            </w:pPr>
            <w:r>
              <w:rPr>
                <w:rFonts w:ascii="Cambria"/>
                <w:sz w:val="22"/>
              </w:rPr>
              <w:t>id </w:t>
            </w:r>
            <w:r>
              <w:rPr>
                <w:sz w:val="22"/>
              </w:rPr>
              <w:t>(Table Id)</w:t>
            </w:r>
          </w:p>
        </w:tc>
        <w:tc>
          <w:tcPr>
            <w:tcW w:w="8250" w:type="dxa"/>
          </w:tcPr>
          <w:p>
            <w:pPr>
              <w:pStyle w:val="TableParagraph"/>
              <w:rPr>
                <w:sz w:val="22"/>
              </w:rPr>
            </w:pPr>
            <w:r>
              <w:rPr>
                <w:sz w:val="22"/>
              </w:rPr>
              <w:t>A non zero integer representing the unique identifier for this table. Each table in the workbook shall have a unique id.</w:t>
            </w:r>
          </w:p>
          <w:p>
            <w:pPr>
              <w:pStyle w:val="TableParagraph"/>
              <w:spacing w:before="4"/>
              <w:ind w:left="0"/>
              <w:rPr>
                <w:rFonts w:ascii="Times New Roman"/>
                <w:sz w:val="23"/>
              </w:rPr>
            </w:pPr>
          </w:p>
          <w:p>
            <w:pPr>
              <w:pStyle w:val="TableParagraph"/>
              <w:spacing w:before="0"/>
              <w:ind w:right="617"/>
              <w:rPr>
                <w:sz w:val="22"/>
              </w:rPr>
            </w:pPr>
            <w:r>
              <w:rPr>
                <w:sz w:val="22"/>
              </w:rPr>
              <w:t>Ids can be used to refer to the specific table in the workbook. [</w:t>
            </w:r>
            <w:r>
              <w:rPr>
                <w:i/>
                <w:sz w:val="22"/>
              </w:rPr>
              <w:t>Note</w:t>
            </w:r>
            <w:r>
              <w:rPr>
                <w:sz w:val="22"/>
              </w:rPr>
              <w:t>: For instance a future records bucket could refer to the table using this id. </w:t>
            </w:r>
            <w:r>
              <w:rPr>
                <w:i/>
                <w:sz w:val="22"/>
              </w:rPr>
              <w:t>end note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4449" w:hRule="atLeast"/>
        </w:trPr>
        <w:tc>
          <w:tcPr>
            <w:tcW w:w="2062" w:type="dxa"/>
          </w:tcPr>
          <w:p>
            <w:pPr>
              <w:pStyle w:val="TableParagraph"/>
              <w:ind w:right="309"/>
              <w:rPr>
                <w:sz w:val="22"/>
              </w:rPr>
            </w:pPr>
            <w:r>
              <w:rPr>
                <w:rFonts w:ascii="Cambria"/>
                <w:sz w:val="22"/>
              </w:rPr>
              <w:t>insertRow </w:t>
            </w:r>
            <w:r>
              <w:rPr>
                <w:sz w:val="22"/>
              </w:rPr>
              <w:t>(Insert Row Showing)</w:t>
            </w:r>
          </w:p>
        </w:tc>
        <w:tc>
          <w:tcPr>
            <w:tcW w:w="8250" w:type="dxa"/>
          </w:tcPr>
          <w:p>
            <w:pPr>
              <w:pStyle w:val="TableParagraph"/>
              <w:rPr>
                <w:sz w:val="22"/>
              </w:rPr>
            </w:pPr>
            <w:r>
              <w:rPr>
                <w:sz w:val="22"/>
              </w:rPr>
              <w:t>A Boolean value indicating whether the insert row should be shown.</w:t>
            </w:r>
          </w:p>
          <w:p>
            <w:pPr>
              <w:pStyle w:val="TableParagraph"/>
              <w:spacing w:before="4"/>
              <w:ind w:left="0"/>
              <w:rPr>
                <w:rFonts w:ascii="Times New Roman"/>
                <w:sz w:val="23"/>
              </w:rPr>
            </w:pPr>
          </w:p>
          <w:p>
            <w:pPr>
              <w:pStyle w:val="TableParagraph"/>
              <w:spacing w:before="0"/>
              <w:ind w:right="116"/>
              <w:rPr>
                <w:sz w:val="22"/>
              </w:rPr>
            </w:pPr>
            <w:r>
              <w:rPr>
                <w:sz w:val="22"/>
              </w:rPr>
              <w:t>An insert row indicates to a consuming application that a table has a new row that has no data in it, allowing the application to indicate to the user how to enter data and extend the table.</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 </w:t>
            </w:r>
            <w:r>
              <w:rPr>
                <w:sz w:val="22"/>
              </w:rPr>
              <w:t>Microsoft Excel formats the insert row using table styling, as shown here:</w:t>
            </w:r>
          </w:p>
          <w:p>
            <w:pPr>
              <w:pStyle w:val="TableParagraph"/>
              <w:spacing w:before="6"/>
              <w:ind w:left="0"/>
              <w:rPr>
                <w:rFonts w:ascii="Times New Roman"/>
                <w:sz w:val="23"/>
              </w:rPr>
            </w:pPr>
          </w:p>
          <w:p>
            <w:pPr>
              <w:pStyle w:val="TableParagraph"/>
              <w:spacing w:before="0"/>
              <w:ind w:left="114"/>
              <w:rPr>
                <w:rFonts w:ascii="Times New Roman"/>
                <w:sz w:val="20"/>
              </w:rPr>
            </w:pPr>
            <w:r>
              <w:rPr>
                <w:rFonts w:ascii="Times New Roman"/>
                <w:sz w:val="20"/>
              </w:rPr>
              <w:drawing>
                <wp:inline distT="0" distB="0" distL="0" distR="0">
                  <wp:extent cx="1712976" cy="723900"/>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64" cstate="print"/>
                          <a:stretch>
                            <a:fillRect/>
                          </a:stretch>
                        </pic:blipFill>
                        <pic:spPr>
                          <a:xfrm>
                            <a:off x="0" y="0"/>
                            <a:ext cx="1712976" cy="723900"/>
                          </a:xfrm>
                          <a:prstGeom prst="rect">
                            <a:avLst/>
                          </a:prstGeom>
                        </pic:spPr>
                      </pic:pic>
                    </a:graphicData>
                  </a:graphic>
                </wp:inline>
              </w:drawing>
            </w:r>
            <w:r>
              <w:rPr>
                <w:rFonts w:ascii="Times New Roman"/>
                <w:sz w:val="20"/>
              </w:rPr>
            </w:r>
          </w:p>
          <w:p>
            <w:pPr>
              <w:pStyle w:val="TableParagraph"/>
              <w:spacing w:before="3"/>
              <w:ind w:left="0"/>
              <w:rPr>
                <w:rFonts w:ascii="Times New Roman"/>
                <w:sz w:val="23"/>
              </w:rPr>
            </w:pPr>
          </w:p>
          <w:p>
            <w:pPr>
              <w:pStyle w:val="TableParagraph"/>
              <w:spacing w:before="0"/>
              <w:ind w:right="565"/>
              <w:jc w:val="both"/>
              <w:rPr>
                <w:sz w:val="22"/>
              </w:rPr>
            </w:pPr>
            <w:r>
              <w:rPr>
                <w:sz w:val="22"/>
              </w:rPr>
              <w:t>Although the table contains only headers and covers only row 1, Excel formats row 2 using table styling to indicate that typing in those cells will extend the table to cover them. When the user types into row 2, the insert row is removed. </w:t>
            </w:r>
            <w:r>
              <w:rPr>
                <w:i/>
                <w:sz w:val="22"/>
              </w:rPr>
              <w:t>end example</w:t>
            </w:r>
            <w:r>
              <w:rPr>
                <w:sz w:val="22"/>
              </w:rPr>
              <w:t>]</w:t>
            </w:r>
          </w:p>
        </w:tc>
      </w:tr>
    </w:tbl>
    <w:p>
      <w:pPr>
        <w:spacing w:after="0"/>
        <w:jc w:val="both"/>
        <w:rPr>
          <w:sz w:val="22"/>
        </w:rPr>
        <w:sectPr>
          <w:footerReference w:type="even" r:id="rId62"/>
          <w:footerReference w:type="default" r:id="rId63"/>
          <w:pgSz w:w="12240" w:h="15840"/>
          <w:pgMar w:footer="746" w:header="761" w:top="1340" w:bottom="940" w:left="860" w:right="700"/>
          <w:pgNumType w:start="173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sz w:val="22"/>
              </w:rPr>
              <w:t>The insert row should only be shown if the table has no data.</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3040" w:hRule="atLeast"/>
        </w:trPr>
        <w:tc>
          <w:tcPr>
            <w:tcW w:w="2062" w:type="dxa"/>
          </w:tcPr>
          <w:p>
            <w:pPr>
              <w:pStyle w:val="TableParagraph"/>
              <w:spacing w:line="257" w:lineRule="exact" w:before="42"/>
              <w:rPr>
                <w:rFonts w:ascii="Cambria"/>
                <w:sz w:val="22"/>
              </w:rPr>
            </w:pPr>
            <w:r>
              <w:rPr>
                <w:rFonts w:ascii="Cambria"/>
                <w:sz w:val="22"/>
              </w:rPr>
              <w:t>insertRowShift</w:t>
            </w:r>
          </w:p>
          <w:p>
            <w:pPr>
              <w:pStyle w:val="TableParagraph"/>
              <w:spacing w:line="268" w:lineRule="exact" w:before="0"/>
              <w:rPr>
                <w:sz w:val="22"/>
              </w:rPr>
            </w:pPr>
            <w:r>
              <w:rPr>
                <w:sz w:val="22"/>
              </w:rPr>
              <w:t>(Insert Row Shift)</w:t>
            </w:r>
          </w:p>
        </w:tc>
        <w:tc>
          <w:tcPr>
            <w:tcW w:w="8250" w:type="dxa"/>
          </w:tcPr>
          <w:p>
            <w:pPr>
              <w:pStyle w:val="TableParagraph"/>
              <w:ind w:right="298"/>
              <w:rPr>
                <w:sz w:val="22"/>
              </w:rPr>
            </w:pPr>
            <w:r>
              <w:rPr>
                <w:sz w:val="22"/>
              </w:rPr>
              <w:t>A Boolean that indicates whether cells in the sheet had to be inserted when the insert row was shown for this table (see </w:t>
            </w:r>
            <w:r>
              <w:rPr>
                <w:rFonts w:ascii="Cambria"/>
                <w:sz w:val="22"/>
              </w:rPr>
              <w:t>insertRow </w:t>
            </w:r>
            <w:r>
              <w:rPr>
                <w:sz w:val="22"/>
              </w:rPr>
              <w:t>for details). True if the cells were shifted, false</w:t>
            </w:r>
            <w:r>
              <w:rPr>
                <w:spacing w:val="-2"/>
                <w:sz w:val="22"/>
              </w:rPr>
              <w:t> </w:t>
            </w:r>
            <w:r>
              <w:rPr>
                <w:sz w:val="22"/>
              </w:rPr>
              <w:t>otherwise.</w:t>
            </w:r>
          </w:p>
          <w:p>
            <w:pPr>
              <w:pStyle w:val="TableParagraph"/>
              <w:spacing w:before="4"/>
              <w:ind w:left="0"/>
              <w:rPr>
                <w:rFonts w:ascii="Times New Roman"/>
                <w:sz w:val="23"/>
              </w:rPr>
            </w:pPr>
          </w:p>
          <w:p>
            <w:pPr>
              <w:pStyle w:val="TableParagraph"/>
              <w:spacing w:before="1"/>
              <w:ind w:right="136"/>
              <w:rPr>
                <w:sz w:val="22"/>
              </w:rPr>
            </w:pPr>
            <w:r>
              <w:rPr>
                <w:sz w:val="22"/>
              </w:rPr>
              <w:t>[</w:t>
            </w:r>
            <w:r>
              <w:rPr>
                <w:i/>
                <w:sz w:val="22"/>
              </w:rPr>
              <w:t>Note</w:t>
            </w:r>
            <w:r>
              <w:rPr>
                <w:sz w:val="22"/>
              </w:rPr>
              <w:t>:  This happens when there are values in cells immediately below the table when the table is created and the insert row is shown. In this case blank cells for the insert row are inserted, and the existing values in the sheet are shifted down by one row to make room. </w:t>
            </w:r>
            <w:r>
              <w:rPr>
                <w:i/>
                <w:sz w:val="22"/>
              </w:rPr>
              <w:t>end</w:t>
            </w:r>
            <w:r>
              <w:rPr>
                <w:i/>
                <w:spacing w:val="-3"/>
                <w:sz w:val="22"/>
              </w:rPr>
              <w:t> </w:t>
            </w:r>
            <w:r>
              <w:rPr>
                <w:i/>
                <w:sz w:val="22"/>
              </w:rPr>
              <w:t>note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rPr>
                <w:sz w:val="22"/>
              </w:rPr>
            </w:pPr>
            <w:r>
              <w:rPr>
                <w:rFonts w:ascii="Cambria"/>
                <w:sz w:val="22"/>
              </w:rPr>
              <w:t>name </w:t>
            </w:r>
            <w:r>
              <w:rPr>
                <w:sz w:val="22"/>
              </w:rPr>
              <w:t>(Name)</w:t>
            </w:r>
          </w:p>
        </w:tc>
        <w:tc>
          <w:tcPr>
            <w:tcW w:w="8250" w:type="dxa"/>
          </w:tcPr>
          <w:p>
            <w:pPr>
              <w:pStyle w:val="TableParagraph"/>
              <w:rPr>
                <w:sz w:val="22"/>
              </w:rPr>
            </w:pPr>
            <w:r>
              <w:rPr>
                <w:sz w:val="22"/>
              </w:rPr>
              <w:t>A string representing the name of the table that is used to reference the table programmatically through the spreadsheet applications object model. This string shall be unique per table per sheet. It has the same length and character restrictions as for </w:t>
            </w:r>
            <w:r>
              <w:rPr>
                <w:rFonts w:ascii="Cambria"/>
                <w:sz w:val="22"/>
              </w:rPr>
              <w:t>displayName</w:t>
            </w:r>
            <w:r>
              <w:rPr>
                <w:sz w:val="22"/>
              </w:rPr>
              <w:t>.</w:t>
            </w:r>
          </w:p>
          <w:p>
            <w:pPr>
              <w:pStyle w:val="TableParagraph"/>
              <w:spacing w:before="5"/>
              <w:ind w:left="0"/>
              <w:rPr>
                <w:rFonts w:ascii="Times New Roman"/>
                <w:sz w:val="23"/>
              </w:rPr>
            </w:pPr>
          </w:p>
          <w:p>
            <w:pPr>
              <w:pStyle w:val="TableParagraph"/>
              <w:spacing w:before="0"/>
              <w:rPr>
                <w:sz w:val="22"/>
              </w:rPr>
            </w:pPr>
            <w:r>
              <w:rPr>
                <w:sz w:val="22"/>
              </w:rPr>
              <w:t>By default this should be the same as the table's </w:t>
            </w:r>
            <w:r>
              <w:rPr>
                <w:rFonts w:ascii="Consolas"/>
                <w:sz w:val="20"/>
              </w:rPr>
              <w:t>displayName</w:t>
            </w:r>
            <w:r>
              <w:rPr>
                <w:sz w:val="22"/>
              </w:rPr>
              <w:t>. This name should also be kept in synch with the </w:t>
            </w:r>
            <w:r>
              <w:rPr>
                <w:rFonts w:ascii="Consolas"/>
                <w:sz w:val="20"/>
              </w:rPr>
              <w:t>displayName </w:t>
            </w:r>
            <w:r>
              <w:rPr>
                <w:sz w:val="22"/>
              </w:rPr>
              <w:t>when the </w:t>
            </w:r>
            <w:r>
              <w:rPr>
                <w:rFonts w:ascii="Consolas"/>
                <w:sz w:val="20"/>
              </w:rPr>
              <w:t>displayName </w:t>
            </w:r>
            <w:r>
              <w:rPr>
                <w:sz w:val="22"/>
              </w:rPr>
              <w:t>is updated in the UI by the spreadsheet user.</w:t>
            </w:r>
          </w:p>
          <w:p>
            <w:pPr>
              <w:pStyle w:val="TableParagraph"/>
              <w:spacing w:before="3"/>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041" w:hRule="atLeast"/>
        </w:trPr>
        <w:tc>
          <w:tcPr>
            <w:tcW w:w="2062" w:type="dxa"/>
          </w:tcPr>
          <w:p>
            <w:pPr>
              <w:pStyle w:val="TableParagraph"/>
              <w:spacing w:line="257" w:lineRule="exact" w:before="42"/>
              <w:rPr>
                <w:rFonts w:ascii="Cambria"/>
                <w:sz w:val="22"/>
              </w:rPr>
            </w:pPr>
            <w:r>
              <w:rPr>
                <w:rFonts w:ascii="Cambria"/>
                <w:sz w:val="22"/>
              </w:rPr>
              <w:t>published</w:t>
            </w:r>
          </w:p>
          <w:p>
            <w:pPr>
              <w:pStyle w:val="TableParagraph"/>
              <w:spacing w:line="268" w:lineRule="exact" w:before="0"/>
              <w:rPr>
                <w:sz w:val="22"/>
              </w:rPr>
            </w:pPr>
            <w:r>
              <w:rPr>
                <w:sz w:val="22"/>
              </w:rPr>
              <w:t>(Published)</w:t>
            </w:r>
          </w:p>
        </w:tc>
        <w:tc>
          <w:tcPr>
            <w:tcW w:w="8250" w:type="dxa"/>
          </w:tcPr>
          <w:p>
            <w:pPr>
              <w:pStyle w:val="TableParagraph"/>
              <w:ind w:right="158"/>
              <w:rPr>
                <w:sz w:val="22"/>
              </w:rPr>
            </w:pPr>
            <w:r>
              <w:rPr>
                <w:sz w:val="22"/>
              </w:rPr>
              <w:t>A Boolean representing whether this table is marked as published for viewing by a server based spreadsheet application. True if it should be viewed by the server spreadsheet application, false otherwise.</w:t>
            </w:r>
          </w:p>
          <w:p>
            <w:pPr>
              <w:pStyle w:val="TableParagraph"/>
              <w:spacing w:before="4"/>
              <w:ind w:left="0"/>
              <w:rPr>
                <w:rFonts w:ascii="Times New Roman"/>
                <w:sz w:val="23"/>
              </w:rPr>
            </w:pPr>
          </w:p>
          <w:p>
            <w:pPr>
              <w:pStyle w:val="TableParagraph"/>
              <w:spacing w:before="1"/>
              <w:ind w:right="210"/>
              <w:rPr>
                <w:sz w:val="22"/>
              </w:rPr>
            </w:pPr>
            <w:r>
              <w:rPr>
                <w:sz w:val="22"/>
              </w:rPr>
              <w:t>[</w:t>
            </w:r>
            <w:r>
              <w:rPr>
                <w:i/>
                <w:sz w:val="22"/>
              </w:rPr>
              <w:t>Note</w:t>
            </w:r>
            <w:r>
              <w:rPr>
                <w:sz w:val="22"/>
              </w:rPr>
              <w:t>: Such an application might only display objects from the workbook that are marked as published, thus being able to load and calculate the entire workbook but only show the specific items that are marked as published. This can allow the server spreadsheet rendering to provide a more restricted view of the workbook. </w:t>
            </w:r>
            <w:r>
              <w:rPr>
                <w:i/>
                <w:sz w:val="22"/>
              </w:rPr>
              <w:t>end note</w:t>
            </w:r>
            <w:r>
              <w:rPr>
                <w:sz w:val="22"/>
              </w:rPr>
              <w:t>]</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ind w:right="916"/>
              <w:rPr>
                <w:sz w:val="22"/>
              </w:rPr>
            </w:pPr>
            <w:r>
              <w:rPr>
                <w:sz w:val="22"/>
              </w:rPr>
              <w:t>The range on the relevant sheet that the table occupies expressed using A1 style referencing.</w:t>
            </w:r>
          </w:p>
          <w:p>
            <w:pPr>
              <w:pStyle w:val="TableParagraph"/>
              <w:spacing w:before="4"/>
              <w:ind w:left="0"/>
              <w:rPr>
                <w:rFonts w:ascii="Times New Roman"/>
                <w:sz w:val="23"/>
              </w:rPr>
            </w:pPr>
          </w:p>
          <w:p>
            <w:pPr>
              <w:pStyle w:val="TableParagraph"/>
              <w:spacing w:before="0"/>
              <w:rPr>
                <w:sz w:val="22"/>
              </w:rPr>
            </w:pPr>
            <w:r>
              <w:rPr>
                <w:sz w:val="22"/>
              </w:rPr>
              <w:t>The reference shall include the totals row if it is shown.</w:t>
            </w:r>
          </w:p>
          <w:p>
            <w:pPr>
              <w:pStyle w:val="TableParagraph"/>
              <w:spacing w:before="2"/>
              <w:ind w:left="0"/>
              <w:rPr>
                <w:rFonts w:ascii="Times New Roman"/>
                <w:sz w:val="23"/>
              </w:rPr>
            </w:pPr>
          </w:p>
          <w:p>
            <w:pPr>
              <w:pStyle w:val="TableParagraph"/>
              <w:spacing w:before="1"/>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line="237" w:lineRule="auto" w:before="45"/>
              <w:ind w:right="273"/>
              <w:rPr>
                <w:sz w:val="22"/>
              </w:rPr>
            </w:pPr>
            <w:r>
              <w:rPr>
                <w:rFonts w:ascii="Cambria"/>
                <w:sz w:val="22"/>
              </w:rPr>
              <w:t>tableBorderDxfId </w:t>
            </w:r>
            <w:r>
              <w:rPr>
                <w:sz w:val="22"/>
              </w:rPr>
              <w:t>(Table Border Format Id)</w:t>
            </w:r>
          </w:p>
        </w:tc>
        <w:tc>
          <w:tcPr>
            <w:tcW w:w="8250" w:type="dxa"/>
          </w:tcPr>
          <w:p>
            <w:pPr>
              <w:pStyle w:val="TableParagraph"/>
              <w:ind w:right="805"/>
              <w:rPr>
                <w:sz w:val="22"/>
              </w:rPr>
            </w:pPr>
            <w:r>
              <w:rPr>
                <w:sz w:val="22"/>
              </w:rPr>
              <w:t>A zero based integer index into the differential formatting records </w:t>
            </w:r>
            <w:r>
              <w:rPr>
                <w:rFonts w:ascii="Cambria"/>
                <w:sz w:val="22"/>
              </w:rPr>
              <w:t>&lt;dxfs&gt; </w:t>
            </w:r>
            <w:r>
              <w:rPr>
                <w:sz w:val="22"/>
              </w:rPr>
              <w:t>in the styleSheet indicating what border formatting to apply to the borders of this table.</w:t>
            </w:r>
          </w:p>
          <w:p>
            <w:pPr>
              <w:pStyle w:val="TableParagraph"/>
              <w:spacing w:before="4"/>
              <w:ind w:left="0"/>
              <w:rPr>
                <w:rFonts w:ascii="Times New Roman"/>
                <w:sz w:val="23"/>
              </w:rPr>
            </w:pPr>
          </w:p>
          <w:p>
            <w:pPr>
              <w:pStyle w:val="TableParagraph"/>
              <w:spacing w:before="0"/>
              <w:rPr>
                <w:sz w:val="22"/>
              </w:rPr>
            </w:pPr>
            <w:r>
              <w:rPr>
                <w:sz w:val="22"/>
              </w:rPr>
              <w:t>The spreadsheet should fail to load if this index is out of bounds.</w:t>
            </w:r>
          </w:p>
          <w:p>
            <w:pPr>
              <w:pStyle w:val="TableParagraph"/>
              <w:spacing w:before="2"/>
              <w:ind w:left="0"/>
              <w:rPr>
                <w:rFonts w:ascii="Times New Roman"/>
                <w:sz w:val="23"/>
              </w:rPr>
            </w:pPr>
          </w:p>
          <w:p>
            <w:pPr>
              <w:pStyle w:val="TableParagraph"/>
              <w:spacing w:before="1"/>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1965" w:hRule="atLeast"/>
        </w:trPr>
        <w:tc>
          <w:tcPr>
            <w:tcW w:w="2062" w:type="dxa"/>
          </w:tcPr>
          <w:p>
            <w:pPr>
              <w:pStyle w:val="TableParagraph"/>
              <w:ind w:right="373"/>
              <w:rPr>
                <w:sz w:val="22"/>
              </w:rPr>
            </w:pPr>
            <w:r>
              <w:rPr>
                <w:rFonts w:ascii="Cambria"/>
                <w:sz w:val="22"/>
              </w:rPr>
              <w:t>tableType </w:t>
            </w:r>
            <w:r>
              <w:rPr>
                <w:sz w:val="22"/>
              </w:rPr>
              <w:t>(Table Type)</w:t>
            </w:r>
          </w:p>
        </w:tc>
        <w:tc>
          <w:tcPr>
            <w:tcW w:w="8250" w:type="dxa"/>
          </w:tcPr>
          <w:p>
            <w:pPr>
              <w:pStyle w:val="TableParagraph"/>
              <w:rPr>
                <w:sz w:val="22"/>
              </w:rPr>
            </w:pPr>
            <w:r>
              <w:rPr>
                <w:sz w:val="22"/>
              </w:rPr>
              <w:t>An optional enumeration specifying the type or source of the table.</w:t>
            </w:r>
          </w:p>
          <w:p>
            <w:pPr>
              <w:pStyle w:val="TableParagraph"/>
              <w:spacing w:before="4"/>
              <w:ind w:left="0"/>
              <w:rPr>
                <w:rFonts w:ascii="Times New Roman"/>
                <w:sz w:val="23"/>
              </w:rPr>
            </w:pPr>
          </w:p>
          <w:p>
            <w:pPr>
              <w:pStyle w:val="TableParagraph"/>
              <w:spacing w:before="0"/>
              <w:ind w:right="99"/>
              <w:rPr>
                <w:sz w:val="22"/>
              </w:rPr>
            </w:pPr>
            <w:r>
              <w:rPr>
                <w:sz w:val="22"/>
              </w:rPr>
              <w:t>Indicates whether the table is based off of an external data query, data in a worksheet, or from an xml data mapped to a worksheet.</w:t>
            </w:r>
          </w:p>
          <w:p>
            <w:pPr>
              <w:pStyle w:val="TableParagraph"/>
              <w:spacing w:before="5"/>
              <w:ind w:left="0"/>
              <w:rPr>
                <w:rFonts w:ascii="Times New Roman"/>
                <w:sz w:val="23"/>
              </w:rPr>
            </w:pPr>
          </w:p>
          <w:p>
            <w:pPr>
              <w:pStyle w:val="TableParagraph"/>
              <w:spacing w:before="1"/>
              <w:ind w:right="709"/>
              <w:rPr>
                <w:sz w:val="22"/>
              </w:rPr>
            </w:pPr>
            <w:r>
              <w:rPr>
                <w:sz w:val="22"/>
              </w:rPr>
              <w:t>The possible values for this attribute are defined by the </w:t>
            </w:r>
            <w:r>
              <w:rPr>
                <w:rFonts w:ascii="Cambria" w:hAnsi="Cambria"/>
                <w:sz w:val="22"/>
              </w:rPr>
              <w:t>ST_TableType </w:t>
            </w:r>
            <w:r>
              <w:rPr>
                <w:sz w:val="22"/>
              </w:rPr>
              <w:t>simple type </w:t>
            </w:r>
            <w:hyperlink w:history="true" w:anchor="_bookmark900">
              <w:r>
                <w:rPr>
                  <w:sz w:val="22"/>
                </w:rPr>
                <w:t>(§18.18.78</w:t>
              </w:r>
            </w:hyperlink>
            <w:r>
              <w:rPr>
                <w:sz w:val="22"/>
              </w:rPr>
              <w:t>).</w:t>
            </w:r>
          </w:p>
        </w:tc>
      </w:tr>
      <w:tr>
        <w:trPr>
          <w:trHeight w:val="1967" w:hRule="atLeast"/>
        </w:trPr>
        <w:tc>
          <w:tcPr>
            <w:tcW w:w="2062" w:type="dxa"/>
          </w:tcPr>
          <w:p>
            <w:pPr>
              <w:pStyle w:val="TableParagraph"/>
              <w:spacing w:line="237" w:lineRule="auto" w:before="47"/>
              <w:ind w:right="157"/>
              <w:rPr>
                <w:sz w:val="22"/>
              </w:rPr>
            </w:pPr>
            <w:r>
              <w:rPr>
                <w:rFonts w:ascii="Cambria"/>
                <w:sz w:val="22"/>
              </w:rPr>
              <w:t>totalsRowBorderD xfId </w:t>
            </w:r>
            <w:r>
              <w:rPr>
                <w:sz w:val="22"/>
              </w:rPr>
              <w:t>(Totals Row Border Format Id)</w:t>
            </w:r>
          </w:p>
        </w:tc>
        <w:tc>
          <w:tcPr>
            <w:tcW w:w="8250" w:type="dxa"/>
          </w:tcPr>
          <w:p>
            <w:pPr>
              <w:pStyle w:val="TableParagraph"/>
              <w:spacing w:line="237" w:lineRule="auto" w:before="44"/>
              <w:ind w:right="596"/>
              <w:rPr>
                <w:sz w:val="22"/>
              </w:rPr>
            </w:pPr>
            <w:r>
              <w:rPr>
                <w:sz w:val="22"/>
              </w:rPr>
              <w:t>A zero based integer index into the differential formatting records </w:t>
            </w:r>
            <w:r>
              <w:rPr>
                <w:rFonts w:ascii="Cambria"/>
                <w:sz w:val="22"/>
              </w:rPr>
              <w:t>&lt;dxfs&gt; </w:t>
            </w:r>
            <w:r>
              <w:rPr>
                <w:sz w:val="22"/>
              </w:rPr>
              <w:t>in the styleSheet indicating what border formatting to apply to the totals row of this table.</w:t>
            </w:r>
          </w:p>
          <w:p>
            <w:pPr>
              <w:pStyle w:val="TableParagraph"/>
              <w:spacing w:before="6"/>
              <w:ind w:left="0"/>
              <w:rPr>
                <w:rFonts w:ascii="Times New Roman"/>
                <w:sz w:val="23"/>
              </w:rPr>
            </w:pPr>
          </w:p>
          <w:p>
            <w:pPr>
              <w:pStyle w:val="TableParagraph"/>
              <w:spacing w:before="0"/>
              <w:rPr>
                <w:sz w:val="22"/>
              </w:rPr>
            </w:pPr>
            <w:r>
              <w:rPr>
                <w:sz w:val="22"/>
              </w:rPr>
              <w:t>The spreadsheet should fail to load if this index is out of bounds.</w:t>
            </w:r>
          </w:p>
          <w:p>
            <w:pPr>
              <w:pStyle w:val="TableParagraph"/>
              <w:spacing w:before="4"/>
              <w:ind w:left="0"/>
              <w:rPr>
                <w:rFonts w:ascii="Times New Roman"/>
                <w:sz w:val="23"/>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2234" w:hRule="atLeast"/>
        </w:trPr>
        <w:tc>
          <w:tcPr>
            <w:tcW w:w="2062" w:type="dxa"/>
          </w:tcPr>
          <w:p>
            <w:pPr>
              <w:pStyle w:val="TableParagraph"/>
              <w:spacing w:line="256" w:lineRule="exact" w:before="42"/>
              <w:rPr>
                <w:rFonts w:ascii="Cambria"/>
                <w:sz w:val="22"/>
              </w:rPr>
            </w:pPr>
            <w:r>
              <w:rPr>
                <w:rFonts w:ascii="Cambria"/>
                <w:sz w:val="22"/>
              </w:rPr>
              <w:t>totalsRowCellStyle</w:t>
            </w:r>
          </w:p>
          <w:p>
            <w:pPr>
              <w:pStyle w:val="TableParagraph"/>
              <w:spacing w:line="267" w:lineRule="exact" w:before="0"/>
              <w:rPr>
                <w:sz w:val="22"/>
              </w:rPr>
            </w:pPr>
            <w:r>
              <w:rPr>
                <w:sz w:val="22"/>
              </w:rPr>
              <w:t>(Totals Row Style)</w:t>
            </w:r>
          </w:p>
        </w:tc>
        <w:tc>
          <w:tcPr>
            <w:tcW w:w="8250" w:type="dxa"/>
          </w:tcPr>
          <w:p>
            <w:pPr>
              <w:pStyle w:val="TableParagraph"/>
              <w:ind w:right="390"/>
              <w:rPr>
                <w:sz w:val="22"/>
              </w:rPr>
            </w:pPr>
            <w:r>
              <w:rPr>
                <w:sz w:val="22"/>
              </w:rPr>
              <w:t>A string representing the name of the cell style that is applied to the totals row cells of the table.</w:t>
            </w:r>
          </w:p>
          <w:p>
            <w:pPr>
              <w:pStyle w:val="TableParagraph"/>
              <w:spacing w:before="7"/>
              <w:ind w:left="0"/>
              <w:rPr>
                <w:rFonts w:ascii="Times New Roman"/>
                <w:sz w:val="23"/>
              </w:rPr>
            </w:pPr>
          </w:p>
          <w:p>
            <w:pPr>
              <w:pStyle w:val="TableParagraph"/>
              <w:spacing w:line="237" w:lineRule="auto" w:before="0"/>
              <w:ind w:right="225"/>
              <w:rPr>
                <w:sz w:val="22"/>
              </w:rPr>
            </w:pPr>
            <w:r>
              <w:rPr>
                <w:sz w:val="22"/>
              </w:rPr>
              <w:t>If this string is missing or does not correspond to the name of a cell style, then the totals row style specified by the current table style should be applied.</w:t>
            </w:r>
          </w:p>
          <w:p>
            <w:pPr>
              <w:pStyle w:val="TableParagraph"/>
              <w:spacing w:before="5"/>
              <w:ind w:left="0"/>
              <w:rPr>
                <w:rFonts w:ascii="Times New Roman"/>
                <w:sz w:val="23"/>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772" w:hRule="atLeast"/>
        </w:trPr>
        <w:tc>
          <w:tcPr>
            <w:tcW w:w="2062" w:type="dxa"/>
          </w:tcPr>
          <w:p>
            <w:pPr>
              <w:pStyle w:val="TableParagraph"/>
              <w:spacing w:line="256" w:lineRule="exact" w:before="42"/>
              <w:rPr>
                <w:rFonts w:ascii="Cambria"/>
                <w:sz w:val="22"/>
              </w:rPr>
            </w:pPr>
            <w:r>
              <w:rPr>
                <w:rFonts w:ascii="Cambria"/>
                <w:sz w:val="22"/>
              </w:rPr>
              <w:t>totalsRowCount</w:t>
            </w:r>
          </w:p>
          <w:p>
            <w:pPr>
              <w:pStyle w:val="TableParagraph"/>
              <w:spacing w:line="267" w:lineRule="exact" w:before="0"/>
              <w:rPr>
                <w:sz w:val="22"/>
              </w:rPr>
            </w:pPr>
            <w:r>
              <w:rPr>
                <w:sz w:val="22"/>
              </w:rPr>
              <w:t>(Totals Row Count)</w:t>
            </w:r>
          </w:p>
        </w:tc>
        <w:tc>
          <w:tcPr>
            <w:tcW w:w="8250" w:type="dxa"/>
          </w:tcPr>
          <w:p>
            <w:pPr>
              <w:pStyle w:val="TableParagraph"/>
              <w:ind w:right="279"/>
              <w:rPr>
                <w:sz w:val="22"/>
              </w:rPr>
            </w:pPr>
            <w:r>
              <w:rPr>
                <w:sz w:val="22"/>
              </w:rPr>
              <w:t>An integer representing the number of totals rows that shall be shown at the bottom of the table.</w:t>
            </w:r>
          </w:p>
          <w:p>
            <w:pPr>
              <w:pStyle w:val="TableParagraph"/>
              <w:spacing w:before="4"/>
              <w:ind w:left="0"/>
              <w:rPr>
                <w:rFonts w:ascii="Times New Roman"/>
                <w:sz w:val="23"/>
              </w:rPr>
            </w:pPr>
          </w:p>
          <w:p>
            <w:pPr>
              <w:pStyle w:val="TableParagraph"/>
              <w:spacing w:before="0"/>
              <w:ind w:right="109"/>
              <w:rPr>
                <w:sz w:val="22"/>
              </w:rPr>
            </w:pPr>
            <w:r>
              <w:rPr>
                <w:sz w:val="22"/>
              </w:rPr>
              <w:t>0 means that the totals row is not shown. It is up to the spreadsheet application to determine if numbers greater than 1 are allowed. Unless the spreadsheet application has a feature where their might ever be more than one totals row, this number should not be higher than 1.</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9" w:hRule="atLeast"/>
        </w:trPr>
        <w:tc>
          <w:tcPr>
            <w:tcW w:w="2062" w:type="dxa"/>
          </w:tcPr>
          <w:p>
            <w:pPr>
              <w:pStyle w:val="TableParagraph"/>
              <w:spacing w:line="237" w:lineRule="auto" w:before="45"/>
              <w:ind w:right="170"/>
              <w:rPr>
                <w:sz w:val="22"/>
              </w:rPr>
            </w:pPr>
            <w:r>
              <w:rPr>
                <w:rFonts w:ascii="Cambria"/>
                <w:sz w:val="22"/>
              </w:rPr>
              <w:t>totalsRowDxfId </w:t>
            </w:r>
            <w:r>
              <w:rPr>
                <w:sz w:val="22"/>
              </w:rPr>
              <w:t>(Totals Row Format Id)</w:t>
            </w:r>
          </w:p>
        </w:tc>
        <w:tc>
          <w:tcPr>
            <w:tcW w:w="8250" w:type="dxa"/>
          </w:tcPr>
          <w:p>
            <w:pPr>
              <w:pStyle w:val="TableParagraph"/>
              <w:ind w:right="960"/>
              <w:rPr>
                <w:sz w:val="22"/>
              </w:rPr>
            </w:pPr>
            <w:r>
              <w:rPr>
                <w:sz w:val="22"/>
              </w:rPr>
              <w:t>A zero based integer index into the differential formatting records </w:t>
            </w:r>
            <w:r>
              <w:rPr>
                <w:rFonts w:ascii="Cambria"/>
                <w:sz w:val="22"/>
              </w:rPr>
              <w:t>&lt;dxfs&gt; </w:t>
            </w:r>
            <w:r>
              <w:rPr>
                <w:sz w:val="22"/>
              </w:rPr>
              <w:t>in the styleSheet indicating which format to apply to the totals row of this table.</w:t>
            </w:r>
          </w:p>
          <w:p>
            <w:pPr>
              <w:pStyle w:val="TableParagraph"/>
              <w:spacing w:before="4"/>
              <w:ind w:left="0"/>
              <w:rPr>
                <w:rFonts w:ascii="Times New Roman"/>
                <w:sz w:val="23"/>
              </w:rPr>
            </w:pPr>
          </w:p>
          <w:p>
            <w:pPr>
              <w:pStyle w:val="TableParagraph"/>
              <w:spacing w:before="0"/>
              <w:rPr>
                <w:sz w:val="22"/>
              </w:rPr>
            </w:pPr>
            <w:r>
              <w:rPr>
                <w:sz w:val="22"/>
              </w:rPr>
              <w:t>The spreadsheet should fail to load if this index is out of bounds.</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1696" w:hRule="atLeast"/>
        </w:trPr>
        <w:tc>
          <w:tcPr>
            <w:tcW w:w="2062" w:type="dxa"/>
          </w:tcPr>
          <w:p>
            <w:pPr>
              <w:pStyle w:val="TableParagraph"/>
              <w:spacing w:line="256" w:lineRule="exact" w:before="42"/>
              <w:rPr>
                <w:rFonts w:ascii="Cambria"/>
                <w:sz w:val="22"/>
              </w:rPr>
            </w:pPr>
            <w:r>
              <w:rPr>
                <w:rFonts w:ascii="Cambria"/>
                <w:sz w:val="22"/>
              </w:rPr>
              <w:t>totalsRowShown</w:t>
            </w:r>
          </w:p>
          <w:p>
            <w:pPr>
              <w:pStyle w:val="TableParagraph"/>
              <w:spacing w:line="267" w:lineRule="exact" w:before="0"/>
              <w:rPr>
                <w:sz w:val="22"/>
              </w:rPr>
            </w:pPr>
            <w:r>
              <w:rPr>
                <w:sz w:val="22"/>
              </w:rPr>
              <w:t>(Totals Row Shown)</w:t>
            </w:r>
          </w:p>
        </w:tc>
        <w:tc>
          <w:tcPr>
            <w:tcW w:w="8250" w:type="dxa"/>
          </w:tcPr>
          <w:p>
            <w:pPr>
              <w:pStyle w:val="TableParagraph"/>
              <w:ind w:right="539"/>
              <w:rPr>
                <w:sz w:val="22"/>
              </w:rPr>
            </w:pPr>
            <w:r>
              <w:rPr>
                <w:sz w:val="22"/>
              </w:rPr>
              <w:t>A Boolean indicating whether the totals row has ever been shown in the past for this table. True if the totals row has been shown, false otherwise.</w:t>
            </w:r>
          </w:p>
          <w:p>
            <w:pPr>
              <w:pStyle w:val="TableParagraph"/>
              <w:spacing w:before="0"/>
              <w:ind w:left="0"/>
              <w:rPr>
                <w:rFonts w:ascii="Times New Roman"/>
                <w:sz w:val="22"/>
              </w:rPr>
            </w:pPr>
          </w:p>
          <w:p>
            <w:pPr>
              <w:pStyle w:val="TableParagraph"/>
              <w:spacing w:before="6"/>
              <w:ind w:left="0"/>
              <w:rPr>
                <w:rFonts w:ascii="Times New Roman"/>
                <w:sz w:val="24"/>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CT_Table</w:t>
      </w:r>
      <w:r>
        <w:rPr/>
        <w:t>) is located in §A.2. </w:t>
      </w:r>
      <w:r>
        <w:rPr>
          <w:i/>
        </w:rPr>
        <w:t>end note</w:t>
      </w:r>
      <w:r>
        <w:rPr/>
        <w:t>]</w:t>
      </w:r>
    </w:p>
    <w:p>
      <w:pPr>
        <w:pStyle w:val="BodyText"/>
        <w:spacing w:before="10"/>
        <w:rPr>
          <w:sz w:val="19"/>
        </w:rPr>
      </w:pPr>
    </w:p>
    <w:p>
      <w:pPr>
        <w:pStyle w:val="Heading3"/>
        <w:numPr>
          <w:ilvl w:val="3"/>
          <w:numId w:val="34"/>
        </w:numPr>
        <w:tabs>
          <w:tab w:pos="1732" w:val="left" w:leader="none"/>
          <w:tab w:pos="1733" w:val="left" w:leader="none"/>
        </w:tabs>
        <w:spacing w:line="240" w:lineRule="auto" w:before="0" w:after="0"/>
        <w:ind w:left="1732" w:right="0" w:hanging="1513"/>
        <w:jc w:val="left"/>
      </w:pPr>
      <w:bookmarkStart w:name="18.5.1.3 tableColumn (Table Column)" w:id="491"/>
      <w:bookmarkEnd w:id="491"/>
      <w:r>
        <w:rPr/>
      </w:r>
      <w:bookmarkStart w:name="_bookmark162" w:id="492"/>
      <w:bookmarkEnd w:id="492"/>
      <w:r>
        <w:rPr/>
      </w:r>
      <w:bookmarkStart w:name="_bookmark162" w:id="493"/>
      <w:bookmarkEnd w:id="493"/>
      <w:r>
        <w:rPr>
          <w:color w:val="4F81BC"/>
        </w:rPr>
        <w:t>t</w:t>
      </w:r>
      <w:r>
        <w:rPr>
          <w:color w:val="4F81BC"/>
        </w:rPr>
        <w:t>ableColumn (Table Column)</w:t>
      </w:r>
    </w:p>
    <w:p>
      <w:pPr>
        <w:pStyle w:val="BodyText"/>
        <w:spacing w:before="121"/>
        <w:ind w:left="220"/>
      </w:pPr>
      <w:r>
        <w:rPr/>
        <w:t>An element representing a single column for this 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2" w:hRule="atLeast"/>
        </w:trPr>
        <w:tc>
          <w:tcPr>
            <w:tcW w:w="2062" w:type="dxa"/>
          </w:tcPr>
          <w:p>
            <w:pPr>
              <w:pStyle w:val="TableParagraph"/>
              <w:ind w:right="158"/>
              <w:rPr>
                <w:sz w:val="22"/>
              </w:rPr>
            </w:pPr>
            <w:r>
              <w:rPr>
                <w:rFonts w:ascii="Cambria"/>
                <w:sz w:val="22"/>
              </w:rPr>
              <w:t>dataCellStyle </w:t>
            </w:r>
            <w:r>
              <w:rPr>
                <w:sz w:val="22"/>
              </w:rPr>
              <w:t>(Data Area Style Name)</w:t>
            </w:r>
          </w:p>
        </w:tc>
        <w:tc>
          <w:tcPr>
            <w:tcW w:w="8250" w:type="dxa"/>
          </w:tcPr>
          <w:p>
            <w:pPr>
              <w:pStyle w:val="TableParagraph"/>
              <w:ind w:right="117"/>
              <w:rPr>
                <w:sz w:val="22"/>
              </w:rPr>
            </w:pPr>
            <w:r>
              <w:rPr>
                <w:sz w:val="22"/>
              </w:rPr>
              <w:t>A string representing the name of the cell style that is applied to the cells in the data area of this table column.</w:t>
            </w:r>
          </w:p>
          <w:p>
            <w:pPr>
              <w:pStyle w:val="TableParagraph"/>
              <w:spacing w:before="0"/>
              <w:ind w:left="0"/>
              <w:rPr>
                <w:sz w:val="22"/>
              </w:rPr>
            </w:pPr>
          </w:p>
          <w:p>
            <w:pPr>
              <w:pStyle w:val="TableParagraph"/>
              <w:spacing w:before="0"/>
              <w:ind w:right="331"/>
              <w:rPr>
                <w:sz w:val="22"/>
              </w:rPr>
            </w:pPr>
            <w:r>
              <w:rPr>
                <w:sz w:val="22"/>
              </w:rPr>
              <w:t>If this string is missing or does not correspond to the name of a cell style, then the data cell style specified by the current table style should be applied.</w:t>
            </w:r>
          </w:p>
          <w:p>
            <w:pPr>
              <w:pStyle w:val="TableParagraph"/>
              <w:spacing w:before="1"/>
              <w:ind w:left="0"/>
              <w:rPr>
                <w:sz w:val="22"/>
              </w:rPr>
            </w:pPr>
          </w:p>
          <w:p>
            <w:pPr>
              <w:pStyle w:val="TableParagraph"/>
              <w:spacing w:before="0"/>
              <w:rPr>
                <w:sz w:val="22"/>
              </w:rPr>
            </w:pPr>
            <w:r>
              <w:rPr>
                <w:sz w:val="22"/>
              </w:rPr>
              <w:t>This cell style should get precedence over the </w:t>
            </w:r>
            <w:r>
              <w:rPr>
                <w:rFonts w:ascii="Consolas"/>
                <w:sz w:val="20"/>
              </w:rPr>
              <w:t>dataCellStyle </w:t>
            </w:r>
            <w:r>
              <w:rPr>
                <w:sz w:val="22"/>
              </w:rPr>
              <w:t>defined by the </w:t>
            </w:r>
            <w:r>
              <w:rPr>
                <w:rFonts w:ascii="Consolas"/>
                <w:sz w:val="20"/>
              </w:rPr>
              <w:t>table</w:t>
            </w:r>
            <w:r>
              <w:rPr>
                <w:sz w:val="22"/>
              </w:rPr>
              <w:t>.</w:t>
            </w:r>
          </w:p>
          <w:p>
            <w:pPr>
              <w:pStyle w:val="TableParagraph"/>
              <w:spacing w:before="3"/>
              <w:ind w:left="0"/>
              <w:rPr>
                <w:sz w:val="22"/>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2" w:hRule="atLeast"/>
        </w:trPr>
        <w:tc>
          <w:tcPr>
            <w:tcW w:w="2062" w:type="dxa"/>
          </w:tcPr>
          <w:p>
            <w:pPr>
              <w:pStyle w:val="TableParagraph"/>
              <w:ind w:right="274"/>
              <w:jc w:val="both"/>
              <w:rPr>
                <w:sz w:val="22"/>
              </w:rPr>
            </w:pPr>
            <w:r>
              <w:rPr>
                <w:rFonts w:ascii="Cambria"/>
                <w:sz w:val="22"/>
              </w:rPr>
              <w:t>dataDxfId </w:t>
            </w:r>
            <w:r>
              <w:rPr>
                <w:sz w:val="22"/>
              </w:rPr>
              <w:t>(Data &amp; Insert Row Format Id)</w:t>
            </w:r>
          </w:p>
        </w:tc>
        <w:tc>
          <w:tcPr>
            <w:tcW w:w="8250" w:type="dxa"/>
          </w:tcPr>
          <w:p>
            <w:pPr>
              <w:pStyle w:val="TableParagraph"/>
              <w:ind w:right="363"/>
              <w:rPr>
                <w:sz w:val="22"/>
              </w:rPr>
            </w:pPr>
            <w:r>
              <w:rPr>
                <w:sz w:val="22"/>
              </w:rPr>
              <w:t>A zero based integer index into the differential formatting records </w:t>
            </w:r>
            <w:r>
              <w:rPr>
                <w:rFonts w:ascii="Cambria" w:hAnsi="Cambria"/>
                <w:sz w:val="22"/>
              </w:rPr>
              <w:t>&lt;dxfs&gt; </w:t>
            </w:r>
            <w:r>
              <w:rPr>
                <w:sz w:val="22"/>
              </w:rPr>
              <w:t>in the styleSheet indicating which format to apply to the data area of this column. This formatting shall also apply to cells on the insert row for this column. See description of attribute </w:t>
            </w:r>
            <w:r>
              <w:rPr>
                <w:rFonts w:ascii="Cambria" w:hAnsi="Cambria"/>
                <w:sz w:val="22"/>
              </w:rPr>
              <w:t>insertRow </w:t>
            </w:r>
            <w:r>
              <w:rPr>
                <w:sz w:val="22"/>
              </w:rPr>
              <w:t>in </w:t>
            </w:r>
            <w:r>
              <w:rPr>
                <w:rFonts w:ascii="Cambria" w:hAnsi="Cambria"/>
                <w:sz w:val="22"/>
              </w:rPr>
              <w:t>table </w:t>
            </w:r>
            <w:r>
              <w:rPr>
                <w:sz w:val="22"/>
              </w:rPr>
              <w:t>(§</w:t>
            </w:r>
            <w:hyperlink w:history="true" w:anchor="_bookmark161">
              <w:r>
                <w:rPr>
                  <w:sz w:val="22"/>
                </w:rPr>
                <w:t>18.5.1.2</w:t>
              </w:r>
            </w:hyperlink>
            <w:r>
              <w:rPr>
                <w:sz w:val="22"/>
              </w:rPr>
              <w:t>) for further</w:t>
            </w:r>
            <w:r>
              <w:rPr>
                <w:spacing w:val="-4"/>
                <w:sz w:val="22"/>
              </w:rPr>
              <w:t> </w:t>
            </w:r>
            <w:r>
              <w:rPr>
                <w:sz w:val="22"/>
              </w:rPr>
              <w:t>information.</w:t>
            </w:r>
          </w:p>
          <w:p>
            <w:pPr>
              <w:pStyle w:val="TableParagraph"/>
              <w:spacing w:before="1"/>
              <w:ind w:left="0"/>
              <w:rPr>
                <w:sz w:val="22"/>
              </w:rPr>
            </w:pPr>
          </w:p>
          <w:p>
            <w:pPr>
              <w:pStyle w:val="TableParagraph"/>
              <w:spacing w:before="0"/>
              <w:rPr>
                <w:sz w:val="22"/>
              </w:rPr>
            </w:pPr>
            <w:r>
              <w:rPr>
                <w:sz w:val="22"/>
              </w:rPr>
              <w:t>The spreadsheet should fail to load if this index is out of</w:t>
            </w:r>
            <w:r>
              <w:rPr>
                <w:spacing w:val="-24"/>
                <w:sz w:val="22"/>
              </w:rPr>
              <w:t> </w:t>
            </w:r>
            <w:r>
              <w:rPr>
                <w:sz w:val="22"/>
              </w:rPr>
              <w:t>bounds.</w:t>
            </w:r>
          </w:p>
          <w:p>
            <w:pPr>
              <w:pStyle w:val="TableParagraph"/>
              <w:spacing w:before="2"/>
              <w:ind w:left="0"/>
              <w:rPr>
                <w:sz w:val="22"/>
              </w:rPr>
            </w:pPr>
          </w:p>
          <w:p>
            <w:pPr>
              <w:pStyle w:val="TableParagraph"/>
              <w:spacing w:line="237" w:lineRule="auto"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2505" w:hRule="atLeast"/>
        </w:trPr>
        <w:tc>
          <w:tcPr>
            <w:tcW w:w="2062" w:type="dxa"/>
          </w:tcPr>
          <w:p>
            <w:pPr>
              <w:pStyle w:val="TableParagraph"/>
              <w:spacing w:before="42"/>
              <w:ind w:right="132"/>
              <w:rPr>
                <w:sz w:val="22"/>
              </w:rPr>
            </w:pPr>
            <w:r>
              <w:rPr>
                <w:rFonts w:ascii="Cambria"/>
                <w:sz w:val="22"/>
              </w:rPr>
              <w:t>headerRowCellStyl e </w:t>
            </w:r>
            <w:r>
              <w:rPr>
                <w:sz w:val="22"/>
              </w:rPr>
              <w:t>(Header Row Cell Style)</w:t>
            </w:r>
          </w:p>
        </w:tc>
        <w:tc>
          <w:tcPr>
            <w:tcW w:w="8250" w:type="dxa"/>
          </w:tcPr>
          <w:p>
            <w:pPr>
              <w:pStyle w:val="TableParagraph"/>
              <w:ind w:right="349"/>
              <w:rPr>
                <w:sz w:val="22"/>
              </w:rPr>
            </w:pPr>
            <w:r>
              <w:rPr>
                <w:sz w:val="22"/>
              </w:rPr>
              <w:t>A string representing the name of the cell style that is applied to the header row cell of this column.</w:t>
            </w:r>
          </w:p>
          <w:p>
            <w:pPr>
              <w:pStyle w:val="TableParagraph"/>
              <w:spacing w:before="1"/>
              <w:ind w:left="0"/>
              <w:rPr>
                <w:sz w:val="22"/>
              </w:rPr>
            </w:pPr>
          </w:p>
          <w:p>
            <w:pPr>
              <w:pStyle w:val="TableParagraph"/>
              <w:spacing w:before="0"/>
              <w:ind w:right="447"/>
              <w:rPr>
                <w:sz w:val="22"/>
              </w:rPr>
            </w:pPr>
            <w:r>
              <w:rPr>
                <w:sz w:val="22"/>
              </w:rPr>
              <w:t>If this string is missing or does not correspond to the name of a cell style, then header row style specified by the current table style should be applied.</w:t>
            </w:r>
          </w:p>
          <w:p>
            <w:pPr>
              <w:pStyle w:val="TableParagraph"/>
              <w:spacing w:before="1"/>
              <w:ind w:left="0"/>
              <w:rPr>
                <w:sz w:val="22"/>
              </w:rPr>
            </w:pPr>
          </w:p>
          <w:p>
            <w:pPr>
              <w:pStyle w:val="TableParagraph"/>
              <w:spacing w:before="0"/>
              <w:rPr>
                <w:sz w:val="22"/>
              </w:rPr>
            </w:pPr>
            <w:r>
              <w:rPr>
                <w:sz w:val="22"/>
              </w:rPr>
              <w:t>This cell style should get precedence over the </w:t>
            </w:r>
            <w:r>
              <w:rPr>
                <w:rFonts w:ascii="Consolas"/>
                <w:sz w:val="20"/>
              </w:rPr>
              <w:t>headerRowCellStyle </w:t>
            </w:r>
            <w:r>
              <w:rPr>
                <w:sz w:val="22"/>
              </w:rPr>
              <w:t>defined by the</w:t>
            </w:r>
          </w:p>
          <w:p>
            <w:pPr>
              <w:pStyle w:val="TableParagraph"/>
              <w:spacing w:before="0"/>
              <w:rPr>
                <w:sz w:val="22"/>
              </w:rPr>
            </w:pPr>
            <w:r>
              <w:rPr>
                <w:rFonts w:ascii="Consolas"/>
                <w:sz w:val="20"/>
              </w:rPr>
              <w:t>table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spacing w:line="237" w:lineRule="auto" w:before="45"/>
              <w:ind w:right="341"/>
              <w:jc w:val="both"/>
              <w:rPr>
                <w:sz w:val="22"/>
              </w:rPr>
            </w:pPr>
            <w:r>
              <w:rPr>
                <w:rFonts w:ascii="Cambria"/>
                <w:sz w:val="22"/>
              </w:rPr>
              <w:t>headerRowDxfId </w:t>
            </w:r>
            <w:r>
              <w:rPr>
                <w:sz w:val="22"/>
              </w:rPr>
              <w:t>(Header Row Cell Format Id)</w:t>
            </w:r>
          </w:p>
        </w:tc>
        <w:tc>
          <w:tcPr>
            <w:tcW w:w="8250" w:type="dxa"/>
          </w:tcPr>
          <w:p>
            <w:pPr>
              <w:pStyle w:val="TableParagraph"/>
              <w:ind w:right="960"/>
              <w:rPr>
                <w:sz w:val="22"/>
              </w:rPr>
            </w:pPr>
            <w:r>
              <w:rPr>
                <w:sz w:val="22"/>
              </w:rPr>
              <w:t>A zero based integer index into the differential formatting records </w:t>
            </w:r>
            <w:r>
              <w:rPr>
                <w:rFonts w:ascii="Cambria"/>
                <w:sz w:val="22"/>
              </w:rPr>
              <w:t>&lt;dxfs&gt; </w:t>
            </w:r>
            <w:r>
              <w:rPr>
                <w:sz w:val="22"/>
              </w:rPr>
              <w:t>in the styleSheet indicating which format to apply to the header cell of this column.</w:t>
            </w:r>
          </w:p>
          <w:p>
            <w:pPr>
              <w:pStyle w:val="TableParagraph"/>
              <w:spacing w:before="2"/>
              <w:ind w:left="0"/>
              <w:rPr>
                <w:rFonts w:ascii="Times New Roman"/>
                <w:sz w:val="23"/>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1430" w:hRule="atLeast"/>
        </w:trPr>
        <w:tc>
          <w:tcPr>
            <w:tcW w:w="2062" w:type="dxa"/>
          </w:tcPr>
          <w:p>
            <w:pPr>
              <w:pStyle w:val="TableParagraph"/>
              <w:rPr>
                <w:sz w:val="22"/>
              </w:rPr>
            </w:pPr>
            <w:r>
              <w:rPr>
                <w:rFonts w:ascii="Cambria"/>
                <w:sz w:val="22"/>
              </w:rPr>
              <w:t>id </w:t>
            </w:r>
            <w:r>
              <w:rPr>
                <w:sz w:val="22"/>
              </w:rPr>
              <w:t>(Table Field Id)</w:t>
            </w:r>
          </w:p>
        </w:tc>
        <w:tc>
          <w:tcPr>
            <w:tcW w:w="8250" w:type="dxa"/>
          </w:tcPr>
          <w:p>
            <w:pPr>
              <w:pStyle w:val="TableParagraph"/>
              <w:ind w:right="106"/>
              <w:rPr>
                <w:sz w:val="22"/>
              </w:rPr>
            </w:pPr>
            <w:r>
              <w:rPr>
                <w:sz w:val="22"/>
              </w:rPr>
              <w:t>An integer representing the unique identifier of this column. This shall be unique per table.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6" w:hRule="atLeast"/>
        </w:trPr>
        <w:tc>
          <w:tcPr>
            <w:tcW w:w="2062" w:type="dxa"/>
          </w:tcPr>
          <w:p>
            <w:pPr>
              <w:pStyle w:val="TableParagraph"/>
              <w:ind w:right="590"/>
              <w:rPr>
                <w:sz w:val="22"/>
              </w:rPr>
            </w:pPr>
            <w:r>
              <w:rPr>
                <w:rFonts w:ascii="Cambria"/>
                <w:sz w:val="22"/>
              </w:rPr>
              <w:t>name </w:t>
            </w:r>
            <w:r>
              <w:rPr>
                <w:sz w:val="22"/>
              </w:rPr>
              <w:t>(Column name)</w:t>
            </w:r>
          </w:p>
        </w:tc>
        <w:tc>
          <w:tcPr>
            <w:tcW w:w="8250" w:type="dxa"/>
          </w:tcPr>
          <w:p>
            <w:pPr>
              <w:pStyle w:val="TableParagraph"/>
              <w:ind w:right="106"/>
              <w:rPr>
                <w:sz w:val="22"/>
              </w:rPr>
            </w:pPr>
            <w:r>
              <w:rPr>
                <w:sz w:val="22"/>
              </w:rPr>
              <w:t>A string representing the unique caption of the table column. This is what shall be displayed in the header row in the UI, and is referenced through functions. This name shall be unique per table.</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spacing w:line="237" w:lineRule="auto" w:before="45"/>
              <w:ind w:right="179"/>
              <w:rPr>
                <w:sz w:val="22"/>
              </w:rPr>
            </w:pPr>
            <w:r>
              <w:rPr>
                <w:rFonts w:ascii="Cambria"/>
                <w:sz w:val="22"/>
              </w:rPr>
              <w:t>queryTableFieldId </w:t>
            </w:r>
            <w:r>
              <w:rPr>
                <w:sz w:val="22"/>
              </w:rPr>
              <w:t>(Query Table Field Id)</w:t>
            </w:r>
          </w:p>
        </w:tc>
        <w:tc>
          <w:tcPr>
            <w:tcW w:w="8250" w:type="dxa"/>
          </w:tcPr>
          <w:p>
            <w:pPr>
              <w:pStyle w:val="TableParagraph"/>
              <w:rPr>
                <w:sz w:val="22"/>
              </w:rPr>
            </w:pPr>
            <w:r>
              <w:rPr>
                <w:sz w:val="22"/>
              </w:rPr>
              <w:t>An integer representing the query table field ID corresponding to this table column.</w:t>
            </w:r>
          </w:p>
          <w:p>
            <w:pPr>
              <w:pStyle w:val="TableParagraph"/>
              <w:spacing w:before="4"/>
              <w:ind w:left="0"/>
              <w:rPr>
                <w:rFonts w:ascii="Times New Roman"/>
                <w:sz w:val="23"/>
              </w:rPr>
            </w:pPr>
          </w:p>
          <w:p>
            <w:pPr>
              <w:pStyle w:val="TableParagraph"/>
              <w:spacing w:before="0"/>
              <w:rPr>
                <w:sz w:val="22"/>
              </w:rPr>
            </w:pPr>
            <w:r>
              <w:rPr>
                <w:sz w:val="22"/>
              </w:rPr>
              <w:t>The relationship between this table and the corresponding query table is expressed in</w:t>
            </w:r>
          </w:p>
          <w:p>
            <w:pPr>
              <w:pStyle w:val="TableParagraph"/>
              <w:spacing w:before="0"/>
              <w:rPr>
                <w:sz w:val="22"/>
              </w:rPr>
            </w:pPr>
            <w:r>
              <w:rPr>
                <w:sz w:val="22"/>
              </w:rPr>
              <w:t>_rels part for this table. Each </w:t>
            </w:r>
            <w:r>
              <w:rPr>
                <w:rFonts w:ascii="Cambria"/>
                <w:sz w:val="22"/>
              </w:rPr>
              <w:t>queryTableField </w:t>
            </w:r>
            <w:r>
              <w:rPr>
                <w:sz w:val="22"/>
              </w:rPr>
              <w:t>has a unique </w:t>
            </w:r>
            <w:r>
              <w:rPr>
                <w:rFonts w:ascii="Consolas"/>
                <w:sz w:val="20"/>
              </w:rPr>
              <w:t>id</w:t>
            </w:r>
            <w:r>
              <w:rPr>
                <w:rFonts w:ascii="Consolas"/>
                <w:spacing w:val="-60"/>
                <w:sz w:val="20"/>
              </w:rPr>
              <w:t> </w:t>
            </w:r>
            <w:r>
              <w:rPr>
                <w:sz w:val="22"/>
              </w:rPr>
              <w:t>attribute, and this </w:t>
            </w:r>
            <w:r>
              <w:rPr>
                <w:rFonts w:ascii="Consolas"/>
                <w:sz w:val="20"/>
              </w:rPr>
              <w:t>id</w:t>
            </w:r>
            <w:r>
              <w:rPr>
                <w:rFonts w:ascii="Consolas"/>
                <w:spacing w:val="-60"/>
                <w:sz w:val="20"/>
              </w:rPr>
              <w:t> </w:t>
            </w:r>
            <w:r>
              <w:rPr>
                <w:sz w:val="22"/>
              </w:rPr>
              <w:t>is what is referenced here.</w:t>
            </w:r>
          </w:p>
          <w:p>
            <w:pPr>
              <w:pStyle w:val="TableParagraph"/>
              <w:spacing w:before="5"/>
              <w:ind w:left="0"/>
              <w:rPr>
                <w:rFonts w:ascii="Times New Roman"/>
                <w:sz w:val="23"/>
              </w:rPr>
            </w:pP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3041" w:hRule="atLeast"/>
        </w:trPr>
        <w:tc>
          <w:tcPr>
            <w:tcW w:w="2062" w:type="dxa"/>
          </w:tcPr>
          <w:p>
            <w:pPr>
              <w:pStyle w:val="TableParagraph"/>
              <w:spacing w:before="42"/>
              <w:ind w:right="153"/>
              <w:rPr>
                <w:sz w:val="22"/>
              </w:rPr>
            </w:pPr>
            <w:r>
              <w:rPr>
                <w:rFonts w:ascii="Cambria"/>
                <w:sz w:val="22"/>
              </w:rPr>
              <w:t>totalsRowCellStyle </w:t>
            </w:r>
            <w:r>
              <w:rPr>
                <w:sz w:val="22"/>
              </w:rPr>
              <w:t>(Totals Row Style Name)</w:t>
            </w:r>
          </w:p>
        </w:tc>
        <w:tc>
          <w:tcPr>
            <w:tcW w:w="8250" w:type="dxa"/>
          </w:tcPr>
          <w:p>
            <w:pPr>
              <w:pStyle w:val="TableParagraph"/>
              <w:ind w:right="400"/>
              <w:rPr>
                <w:sz w:val="22"/>
              </w:rPr>
            </w:pPr>
            <w:r>
              <w:rPr>
                <w:sz w:val="22"/>
              </w:rPr>
              <w:t>A string representing the name of the cell style that is applied to the Totals Row cell of this column.</w:t>
            </w:r>
          </w:p>
          <w:p>
            <w:pPr>
              <w:pStyle w:val="TableParagraph"/>
              <w:spacing w:before="4"/>
              <w:ind w:left="0"/>
              <w:rPr>
                <w:rFonts w:ascii="Times New Roman"/>
                <w:sz w:val="23"/>
              </w:rPr>
            </w:pPr>
          </w:p>
          <w:p>
            <w:pPr>
              <w:pStyle w:val="TableParagraph"/>
              <w:spacing w:before="0"/>
              <w:ind w:right="225"/>
              <w:rPr>
                <w:sz w:val="22"/>
              </w:rPr>
            </w:pPr>
            <w:r>
              <w:rPr>
                <w:sz w:val="22"/>
              </w:rPr>
              <w:t>If this string is missing or does not correspond to the name of a cell style, then the totals row cell style specified by the current table style should be applied.</w:t>
            </w:r>
          </w:p>
          <w:p>
            <w:pPr>
              <w:pStyle w:val="TableParagraph"/>
              <w:spacing w:before="5"/>
              <w:ind w:left="0"/>
              <w:rPr>
                <w:rFonts w:ascii="Times New Roman"/>
                <w:sz w:val="23"/>
              </w:rPr>
            </w:pPr>
          </w:p>
          <w:p>
            <w:pPr>
              <w:pStyle w:val="TableParagraph"/>
              <w:spacing w:before="0"/>
              <w:rPr>
                <w:sz w:val="22"/>
              </w:rPr>
            </w:pPr>
            <w:r>
              <w:rPr>
                <w:sz w:val="22"/>
              </w:rPr>
              <w:t>This cell style should get precedence over the </w:t>
            </w:r>
            <w:r>
              <w:rPr>
                <w:rFonts w:ascii="Consolas"/>
                <w:sz w:val="20"/>
              </w:rPr>
              <w:t>totalsRowCellStyle </w:t>
            </w:r>
            <w:r>
              <w:rPr>
                <w:sz w:val="22"/>
              </w:rPr>
              <w:t>defined by the</w:t>
            </w:r>
          </w:p>
          <w:p>
            <w:pPr>
              <w:pStyle w:val="TableParagraph"/>
              <w:spacing w:before="0"/>
              <w:rPr>
                <w:sz w:val="22"/>
              </w:rPr>
            </w:pPr>
            <w:r>
              <w:rPr>
                <w:rFonts w:ascii="Consolas"/>
                <w:sz w:val="20"/>
              </w:rPr>
              <w:t>table</w:t>
            </w:r>
            <w:r>
              <w:rPr>
                <w:sz w:val="22"/>
              </w:rPr>
              <w:t>.</w:t>
            </w:r>
          </w:p>
          <w:p>
            <w:pPr>
              <w:pStyle w:val="TableParagraph"/>
              <w:spacing w:before="2"/>
              <w:ind w:left="0"/>
              <w:rPr>
                <w:rFonts w:ascii="Times New Roman"/>
                <w:sz w:val="23"/>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7" w:hRule="atLeast"/>
        </w:trPr>
        <w:tc>
          <w:tcPr>
            <w:tcW w:w="2062" w:type="dxa"/>
          </w:tcPr>
          <w:p>
            <w:pPr>
              <w:pStyle w:val="TableParagraph"/>
              <w:spacing w:before="42"/>
              <w:ind w:right="170"/>
              <w:rPr>
                <w:sz w:val="22"/>
              </w:rPr>
            </w:pPr>
            <w:r>
              <w:rPr>
                <w:rFonts w:ascii="Cambria"/>
                <w:sz w:val="22"/>
              </w:rPr>
              <w:t>totalsRowDxfId </w:t>
            </w:r>
            <w:r>
              <w:rPr>
                <w:sz w:val="22"/>
              </w:rPr>
              <w:t>(Totals Row Format Id)</w:t>
            </w:r>
          </w:p>
        </w:tc>
        <w:tc>
          <w:tcPr>
            <w:tcW w:w="8250" w:type="dxa"/>
          </w:tcPr>
          <w:p>
            <w:pPr>
              <w:pStyle w:val="TableParagraph"/>
              <w:ind w:right="954"/>
              <w:rPr>
                <w:sz w:val="22"/>
              </w:rPr>
            </w:pPr>
            <w:r>
              <w:rPr>
                <w:sz w:val="22"/>
              </w:rPr>
              <w:t>A zero based integer index into the differential formatting records </w:t>
            </w:r>
            <w:r>
              <w:rPr>
                <w:rFonts w:ascii="Cambria"/>
                <w:sz w:val="22"/>
              </w:rPr>
              <w:t>&lt;dxfs&gt; </w:t>
            </w:r>
            <w:r>
              <w:rPr>
                <w:sz w:val="22"/>
              </w:rPr>
              <w:t>in the styleSheet indicating which format to apply to the totals row cell of this column.</w:t>
            </w:r>
          </w:p>
          <w:p>
            <w:pPr>
              <w:pStyle w:val="TableParagraph"/>
              <w:spacing w:before="4"/>
              <w:ind w:left="0"/>
              <w:rPr>
                <w:rFonts w:ascii="Times New Roman"/>
                <w:sz w:val="23"/>
              </w:rPr>
            </w:pPr>
          </w:p>
          <w:p>
            <w:pPr>
              <w:pStyle w:val="TableParagraph"/>
              <w:spacing w:before="0"/>
              <w:rPr>
                <w:sz w:val="22"/>
              </w:rPr>
            </w:pPr>
            <w:r>
              <w:rPr>
                <w:sz w:val="22"/>
              </w:rPr>
              <w:t>The spreadsheet shall not load if this index is out of bounds.</w:t>
            </w:r>
          </w:p>
          <w:p>
            <w:pPr>
              <w:pStyle w:val="TableParagraph"/>
              <w:spacing w:before="5"/>
              <w:ind w:left="0"/>
              <w:rPr>
                <w:rFonts w:ascii="Times New Roman"/>
                <w:sz w:val="23"/>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line="237" w:lineRule="auto" w:before="45"/>
              <w:ind w:right="131"/>
              <w:rPr>
                <w:sz w:val="22"/>
              </w:rPr>
            </w:pPr>
            <w:r>
              <w:rPr>
                <w:rFonts w:ascii="Cambria"/>
                <w:sz w:val="22"/>
              </w:rPr>
              <w:t>totalsRowFunction </w:t>
            </w:r>
            <w:r>
              <w:rPr>
                <w:sz w:val="22"/>
              </w:rPr>
              <w:t>(Totals Row Function)</w:t>
            </w:r>
          </w:p>
        </w:tc>
        <w:tc>
          <w:tcPr>
            <w:tcW w:w="8250" w:type="dxa"/>
          </w:tcPr>
          <w:p>
            <w:pPr>
              <w:pStyle w:val="TableParagraph"/>
              <w:ind w:right="403"/>
              <w:rPr>
                <w:sz w:val="22"/>
              </w:rPr>
            </w:pPr>
            <w:r>
              <w:rPr>
                <w:sz w:val="22"/>
              </w:rPr>
              <w:t>An enumeration indicating which type of aggregation to show in the totals row cell for this column.</w:t>
            </w:r>
          </w:p>
          <w:p>
            <w:pPr>
              <w:pStyle w:val="TableParagraph"/>
              <w:spacing w:before="6"/>
              <w:ind w:left="0"/>
              <w:rPr>
                <w:rFonts w:ascii="Times New Roman"/>
                <w:sz w:val="23"/>
              </w:rPr>
            </w:pPr>
          </w:p>
          <w:p>
            <w:pPr>
              <w:pStyle w:val="TableParagraph"/>
              <w:spacing w:line="237" w:lineRule="auto" w:before="1"/>
              <w:ind w:right="311"/>
              <w:rPr>
                <w:sz w:val="22"/>
              </w:rPr>
            </w:pPr>
            <w:r>
              <w:rPr>
                <w:sz w:val="22"/>
              </w:rPr>
              <w:t>The possible values for this attribute are defined by the </w:t>
            </w:r>
            <w:r>
              <w:rPr>
                <w:rFonts w:ascii="Cambria" w:hAnsi="Cambria"/>
                <w:sz w:val="22"/>
              </w:rPr>
              <w:t>ST_TotalsRowFunction </w:t>
            </w:r>
            <w:r>
              <w:rPr>
                <w:sz w:val="22"/>
              </w:rPr>
              <w:t>simple type (§</w:t>
            </w:r>
            <w:hyperlink w:history="true" w:anchor="_bookmark905">
              <w:r>
                <w:rPr>
                  <w:sz w:val="22"/>
                </w:rPr>
                <w:t>18.18.83</w:t>
              </w:r>
            </w:hyperlink>
            <w:r>
              <w:rPr>
                <w:sz w:val="22"/>
              </w:rPr>
              <w:t>).</w:t>
            </w:r>
          </w:p>
        </w:tc>
      </w:tr>
      <w:tr>
        <w:trPr>
          <w:trHeight w:val="1968" w:hRule="atLeast"/>
        </w:trPr>
        <w:tc>
          <w:tcPr>
            <w:tcW w:w="2062" w:type="dxa"/>
          </w:tcPr>
          <w:p>
            <w:pPr>
              <w:pStyle w:val="TableParagraph"/>
              <w:spacing w:line="257" w:lineRule="exact" w:before="42"/>
              <w:rPr>
                <w:rFonts w:ascii="Cambria"/>
                <w:sz w:val="22"/>
              </w:rPr>
            </w:pPr>
            <w:r>
              <w:rPr>
                <w:rFonts w:ascii="Cambria"/>
                <w:sz w:val="22"/>
              </w:rPr>
              <w:t>totalsRowLabel</w:t>
            </w:r>
          </w:p>
          <w:p>
            <w:pPr>
              <w:pStyle w:val="TableParagraph"/>
              <w:spacing w:line="268" w:lineRule="exact" w:before="0"/>
              <w:rPr>
                <w:sz w:val="22"/>
              </w:rPr>
            </w:pPr>
            <w:r>
              <w:rPr>
                <w:sz w:val="22"/>
              </w:rPr>
              <w:t>(Totals Row Label)</w:t>
            </w:r>
          </w:p>
        </w:tc>
        <w:tc>
          <w:tcPr>
            <w:tcW w:w="8250" w:type="dxa"/>
          </w:tcPr>
          <w:p>
            <w:pPr>
              <w:pStyle w:val="TableParagraph"/>
              <w:rPr>
                <w:sz w:val="22"/>
              </w:rPr>
            </w:pPr>
            <w:r>
              <w:rPr>
                <w:sz w:val="22"/>
              </w:rPr>
              <w:t>A String to show in the totals row cell for this column.</w:t>
            </w:r>
          </w:p>
          <w:p>
            <w:pPr>
              <w:pStyle w:val="TableParagraph"/>
              <w:spacing w:before="4"/>
              <w:ind w:left="0"/>
              <w:rPr>
                <w:rFonts w:ascii="Times New Roman"/>
                <w:sz w:val="23"/>
              </w:rPr>
            </w:pPr>
          </w:p>
          <w:p>
            <w:pPr>
              <w:pStyle w:val="TableParagraph"/>
              <w:spacing w:before="0"/>
              <w:ind w:right="441"/>
              <w:rPr>
                <w:sz w:val="22"/>
              </w:rPr>
            </w:pPr>
            <w:r>
              <w:rPr>
                <w:sz w:val="22"/>
              </w:rPr>
              <w:t>This string shall be ignored unless the </w:t>
            </w:r>
            <w:r>
              <w:rPr>
                <w:rFonts w:ascii="Consolas"/>
                <w:sz w:val="20"/>
              </w:rPr>
              <w:t>totalsRowFunction</w:t>
            </w:r>
            <w:r>
              <w:rPr>
                <w:sz w:val="22"/>
              </w:rPr>
              <w:t>="</w:t>
            </w:r>
            <w:r>
              <w:rPr>
                <w:rFonts w:ascii="Consolas"/>
                <w:sz w:val="20"/>
              </w:rPr>
              <w:t>none</w:t>
            </w:r>
            <w:r>
              <w:rPr>
                <w:sz w:val="22"/>
              </w:rPr>
              <w:t>" for this column, in which case it is displayed in the totals row.</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309" w:hRule="atLeast"/>
        </w:trPr>
        <w:tc>
          <w:tcPr>
            <w:tcW w:w="2062" w:type="dxa"/>
          </w:tcPr>
          <w:p>
            <w:pPr>
              <w:pStyle w:val="TableParagraph"/>
              <w:spacing w:line="256" w:lineRule="exact" w:before="42"/>
              <w:rPr>
                <w:rFonts w:ascii="Cambria"/>
                <w:sz w:val="22"/>
              </w:rPr>
            </w:pPr>
            <w:r>
              <w:rPr>
                <w:rFonts w:ascii="Cambria"/>
                <w:sz w:val="22"/>
              </w:rPr>
              <w:t>uniqueName</w:t>
            </w:r>
          </w:p>
          <w:p>
            <w:pPr>
              <w:pStyle w:val="TableParagraph"/>
              <w:spacing w:line="267" w:lineRule="exact" w:before="0"/>
              <w:rPr>
                <w:sz w:val="22"/>
              </w:rPr>
            </w:pPr>
            <w:r>
              <w:rPr>
                <w:sz w:val="22"/>
              </w:rPr>
              <w:t>(Unique Name)</w:t>
            </w:r>
          </w:p>
        </w:tc>
        <w:tc>
          <w:tcPr>
            <w:tcW w:w="8250" w:type="dxa"/>
          </w:tcPr>
          <w:p>
            <w:pPr>
              <w:pStyle w:val="TableParagraph"/>
              <w:ind w:right="111"/>
              <w:rPr>
                <w:sz w:val="22"/>
              </w:rPr>
            </w:pPr>
            <w:r>
              <w:rPr>
                <w:sz w:val="22"/>
              </w:rPr>
              <w:t>An optional string representing the unique name of the table column. This string is used to bind the column to a field in a data table, so it should only be used when this table's </w:t>
            </w:r>
            <w:r>
              <w:rPr>
                <w:rFonts w:ascii="Consolas"/>
                <w:sz w:val="20"/>
              </w:rPr>
              <w:t>tableType</w:t>
            </w:r>
            <w:r>
              <w:rPr>
                <w:rFonts w:ascii="Consolas"/>
                <w:spacing w:val="-60"/>
                <w:sz w:val="20"/>
              </w:rPr>
              <w:t> </w:t>
            </w:r>
            <w:r>
              <w:rPr>
                <w:sz w:val="22"/>
              </w:rPr>
              <w:t>is </w:t>
            </w:r>
            <w:r>
              <w:rPr>
                <w:rFonts w:ascii="Consolas"/>
                <w:sz w:val="22"/>
              </w:rPr>
              <w:t>queryTable</w:t>
            </w:r>
            <w:r>
              <w:rPr>
                <w:rFonts w:ascii="Consolas"/>
                <w:spacing w:val="-71"/>
                <w:sz w:val="22"/>
              </w:rPr>
              <w:t> </w:t>
            </w:r>
            <w:r>
              <w:rPr>
                <w:sz w:val="22"/>
              </w:rPr>
              <w:t>or </w:t>
            </w:r>
            <w:r>
              <w:rPr>
                <w:rFonts w:ascii="Consolas"/>
                <w:sz w:val="22"/>
              </w:rPr>
              <w:t>xml</w:t>
            </w:r>
            <w:r>
              <w:rPr>
                <w:sz w:val="22"/>
              </w:rPr>
              <w:t>.</w:t>
            </w:r>
          </w:p>
          <w:p>
            <w:pPr>
              <w:pStyle w:val="TableParagraph"/>
              <w:spacing w:before="2"/>
              <w:ind w:left="0"/>
              <w:rPr>
                <w:rFonts w:ascii="Times New Roman"/>
                <w:sz w:val="23"/>
              </w:rPr>
            </w:pPr>
          </w:p>
          <w:p>
            <w:pPr>
              <w:pStyle w:val="TableParagraph"/>
              <w:spacing w:before="0"/>
              <w:rPr>
                <w:sz w:val="22"/>
              </w:rPr>
            </w:pPr>
            <w:r>
              <w:rPr>
                <w:sz w:val="22"/>
              </w:rPr>
              <w:t>This name shall be unique per table when it is used.</w:t>
            </w:r>
          </w:p>
          <w:p>
            <w:pPr>
              <w:pStyle w:val="TableParagraph"/>
              <w:spacing w:before="5"/>
              <w:ind w:left="0"/>
              <w:rPr>
                <w:rFonts w:ascii="Times New Roman"/>
                <w:sz w:val="23"/>
              </w:rPr>
            </w:pPr>
          </w:p>
          <w:p>
            <w:pPr>
              <w:pStyle w:val="TableParagraph"/>
              <w:spacing w:before="0"/>
              <w:ind w:right="153"/>
              <w:rPr>
                <w:sz w:val="22"/>
              </w:rPr>
            </w:pPr>
            <w:r>
              <w:rPr>
                <w:sz w:val="22"/>
              </w:rPr>
              <w:t>For tables created from xml mappings, by default this should be the same as the name of the column, and should be kept in synch with the name of the column if that name is altered by the spreadsheet application.</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CT_TableColumn</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4"/>
        </w:numPr>
        <w:tabs>
          <w:tab w:pos="1732" w:val="left" w:leader="none"/>
          <w:tab w:pos="1733" w:val="left" w:leader="none"/>
        </w:tabs>
        <w:spacing w:line="240" w:lineRule="auto" w:before="0" w:after="0"/>
        <w:ind w:left="1732" w:right="0" w:hanging="1513"/>
        <w:jc w:val="left"/>
      </w:pPr>
      <w:bookmarkStart w:name="18.5.1.4 tableColumns (Table Columns)" w:id="494"/>
      <w:bookmarkEnd w:id="494"/>
      <w:r>
        <w:rPr/>
      </w:r>
      <w:bookmarkStart w:name="_bookmark163" w:id="495"/>
      <w:bookmarkEnd w:id="495"/>
      <w:r>
        <w:rPr/>
      </w:r>
      <w:bookmarkStart w:name="_bookmark163" w:id="496"/>
      <w:bookmarkEnd w:id="496"/>
      <w:r>
        <w:rPr>
          <w:color w:val="4F81BC"/>
        </w:rPr>
        <w:t>t</w:t>
      </w:r>
      <w:r>
        <w:rPr>
          <w:color w:val="4F81BC"/>
        </w:rPr>
        <w:t>ableColumns (Table</w:t>
      </w:r>
      <w:r>
        <w:rPr>
          <w:color w:val="4F81BC"/>
          <w:spacing w:val="1"/>
        </w:rPr>
        <w:t> </w:t>
      </w:r>
      <w:r>
        <w:rPr>
          <w:color w:val="4F81BC"/>
        </w:rPr>
        <w:t>Columns)</w:t>
      </w:r>
    </w:p>
    <w:p>
      <w:pPr>
        <w:pStyle w:val="BodyText"/>
        <w:spacing w:before="122"/>
        <w:ind w:left="220"/>
      </w:pPr>
      <w:r>
        <w:rPr/>
        <w:t>An element representing the collection of all table columns for this table.</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ind w:right="578"/>
              <w:rPr>
                <w:sz w:val="22"/>
              </w:rPr>
            </w:pPr>
            <w:r>
              <w:rPr>
                <w:rFonts w:ascii="Cambria"/>
                <w:sz w:val="22"/>
              </w:rPr>
              <w:t>count </w:t>
            </w:r>
            <w:r>
              <w:rPr>
                <w:sz w:val="22"/>
              </w:rPr>
              <w:t>(Column Count)</w:t>
            </w:r>
          </w:p>
        </w:tc>
        <w:tc>
          <w:tcPr>
            <w:tcW w:w="8250" w:type="dxa"/>
          </w:tcPr>
          <w:p>
            <w:pPr>
              <w:pStyle w:val="TableParagraph"/>
              <w:ind w:right="519"/>
              <w:rPr>
                <w:sz w:val="22"/>
              </w:rPr>
            </w:pPr>
            <w:r>
              <w:rPr>
                <w:sz w:val="22"/>
              </w:rPr>
              <w:t>An integer representing the total count of how many columns there are in this Table. This count shall include both query-defined and user-defined columns.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CT_TableColumns</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3"/>
        <w:numPr>
          <w:ilvl w:val="3"/>
          <w:numId w:val="34"/>
        </w:numPr>
        <w:tabs>
          <w:tab w:pos="1732" w:val="left" w:leader="none"/>
          <w:tab w:pos="1733" w:val="left" w:leader="none"/>
        </w:tabs>
        <w:spacing w:line="240" w:lineRule="auto" w:before="93" w:after="0"/>
        <w:ind w:left="1732" w:right="0" w:hanging="1513"/>
        <w:jc w:val="left"/>
      </w:pPr>
      <w:bookmarkStart w:name="18.5.1.5 tableStyleInfo (Table Style)" w:id="497"/>
      <w:bookmarkEnd w:id="497"/>
      <w:r>
        <w:rPr/>
      </w:r>
      <w:bookmarkStart w:name="_bookmark164" w:id="498"/>
      <w:bookmarkEnd w:id="498"/>
      <w:r>
        <w:rPr/>
      </w:r>
      <w:bookmarkStart w:name="_bookmark164" w:id="499"/>
      <w:bookmarkEnd w:id="499"/>
      <w:r>
        <w:rPr>
          <w:color w:val="4F81BC"/>
        </w:rPr>
        <w:t>t</w:t>
      </w:r>
      <w:r>
        <w:rPr>
          <w:color w:val="4F81BC"/>
        </w:rPr>
        <w:t>ableStyleInfo (Table Style)</w:t>
      </w:r>
    </w:p>
    <w:p>
      <w:pPr>
        <w:pStyle w:val="BodyText"/>
        <w:spacing w:line="278" w:lineRule="auto" w:before="119"/>
        <w:ind w:left="220" w:right="683"/>
      </w:pPr>
      <w:r>
        <w:rPr/>
        <w:t>This element describes which style is used to display this table, and specifies which portions of the table have the style applied.</w:t>
      </w:r>
    </w:p>
    <w:p>
      <w:pPr>
        <w:pStyle w:val="BodyText"/>
        <w:spacing w:line="276" w:lineRule="auto" w:before="196"/>
        <w:ind w:left="220" w:right="369"/>
      </w:pPr>
      <w:r>
        <w:rPr/>
        <w:t>Styles define a set of formatting properties that can be easily referenced by cells or other objects in the spreadsheet application. A style can be applied to a table, but tables can define specific parts of the table that should not have the style applied independently of other table parts. For instance a table cannot apply the row striping of the style, and cannot show the style's formatting of the last column, but will apply the column striping and the formatting to the first column.</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0"/>
              <w:jc w:val="center"/>
              <w:rPr>
                <w:b/>
                <w:sz w:val="22"/>
              </w:rPr>
            </w:pPr>
            <w:r>
              <w:rPr>
                <w:b/>
                <w:sz w:val="22"/>
              </w:rPr>
              <w:t>Description</w:t>
            </w:r>
          </w:p>
        </w:tc>
      </w:tr>
      <w:tr>
        <w:trPr>
          <w:trHeight w:val="1968" w:hRule="atLeast"/>
        </w:trPr>
        <w:tc>
          <w:tcPr>
            <w:tcW w:w="2062" w:type="dxa"/>
          </w:tcPr>
          <w:p>
            <w:pPr>
              <w:pStyle w:val="TableParagraph"/>
              <w:spacing w:before="42"/>
              <w:ind w:left="33" w:right="129"/>
              <w:jc w:val="center"/>
              <w:rPr>
                <w:sz w:val="22"/>
              </w:rPr>
            </w:pPr>
            <w:r>
              <w:rPr>
                <w:rFonts w:ascii="Cambria"/>
                <w:sz w:val="22"/>
              </w:rPr>
              <w:t>name </w:t>
            </w:r>
            <w:r>
              <w:rPr>
                <w:sz w:val="22"/>
              </w:rPr>
              <w:t>(Style Name)</w:t>
            </w:r>
          </w:p>
        </w:tc>
        <w:tc>
          <w:tcPr>
            <w:tcW w:w="8250" w:type="dxa"/>
          </w:tcPr>
          <w:p>
            <w:pPr>
              <w:pStyle w:val="TableParagraph"/>
              <w:spacing w:before="42"/>
              <w:rPr>
                <w:sz w:val="22"/>
              </w:rPr>
            </w:pPr>
            <w:r>
              <w:rPr>
                <w:sz w:val="22"/>
              </w:rPr>
              <w:t>A string representing the name of the table style to use with this table.</w:t>
            </w:r>
          </w:p>
          <w:p>
            <w:pPr>
              <w:pStyle w:val="TableParagraph"/>
              <w:spacing w:before="11"/>
              <w:ind w:left="0"/>
              <w:rPr>
                <w:sz w:val="21"/>
              </w:rPr>
            </w:pPr>
          </w:p>
          <w:p>
            <w:pPr>
              <w:pStyle w:val="TableParagraph"/>
              <w:spacing w:before="0"/>
              <w:ind w:right="236"/>
              <w:rPr>
                <w:sz w:val="22"/>
              </w:rPr>
            </w:pPr>
            <w:r>
              <w:rPr>
                <w:sz w:val="22"/>
              </w:rPr>
              <w:t>If the style name does not correspond to the name of a table style then the spreadsheet application should use default style.</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spacing w:line="237" w:lineRule="auto" w:before="45"/>
              <w:ind w:right="121"/>
              <w:rPr>
                <w:sz w:val="22"/>
              </w:rPr>
            </w:pPr>
            <w:r>
              <w:rPr>
                <w:rFonts w:ascii="Cambria"/>
                <w:sz w:val="22"/>
              </w:rPr>
              <w:t>showColumnStripe s </w:t>
            </w:r>
            <w:r>
              <w:rPr>
                <w:sz w:val="22"/>
              </w:rPr>
              <w:t>(Show Column Stripes)</w:t>
            </w:r>
          </w:p>
        </w:tc>
        <w:tc>
          <w:tcPr>
            <w:tcW w:w="8250" w:type="dxa"/>
          </w:tcPr>
          <w:p>
            <w:pPr>
              <w:pStyle w:val="TableParagraph"/>
              <w:ind w:right="617"/>
              <w:rPr>
                <w:sz w:val="22"/>
              </w:rPr>
            </w:pPr>
            <w:r>
              <w:rPr>
                <w:sz w:val="22"/>
              </w:rPr>
              <w:t>A Boolean indicating whether column stripe formatting is applied. True when style column stripe formatting is applied, false otherwise.</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showFirstColumn</w:t>
            </w:r>
          </w:p>
          <w:p>
            <w:pPr>
              <w:pStyle w:val="TableParagraph"/>
              <w:spacing w:line="268" w:lineRule="exact" w:before="0"/>
              <w:rPr>
                <w:sz w:val="22"/>
              </w:rPr>
            </w:pPr>
            <w:r>
              <w:rPr>
                <w:sz w:val="22"/>
              </w:rPr>
              <w:t>(Show First Column)</w:t>
            </w:r>
          </w:p>
        </w:tc>
        <w:tc>
          <w:tcPr>
            <w:tcW w:w="8250" w:type="dxa"/>
          </w:tcPr>
          <w:p>
            <w:pPr>
              <w:pStyle w:val="TableParagraph"/>
              <w:ind w:right="213"/>
              <w:rPr>
                <w:sz w:val="22"/>
              </w:rPr>
            </w:pPr>
            <w:r>
              <w:rPr>
                <w:sz w:val="22"/>
              </w:rPr>
              <w:t>A Boolean indicating whether the first column in the table should have the style applied. True if the first column has the style applied, false otherwise.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spacing w:line="256" w:lineRule="exact" w:before="42"/>
              <w:rPr>
                <w:rFonts w:ascii="Cambria"/>
                <w:sz w:val="22"/>
              </w:rPr>
            </w:pPr>
            <w:r>
              <w:rPr>
                <w:rFonts w:ascii="Cambria"/>
                <w:sz w:val="22"/>
              </w:rPr>
              <w:t>showLastColumn</w:t>
            </w:r>
          </w:p>
          <w:p>
            <w:pPr>
              <w:pStyle w:val="TableParagraph"/>
              <w:spacing w:line="267" w:lineRule="exact" w:before="0"/>
              <w:rPr>
                <w:sz w:val="22"/>
              </w:rPr>
            </w:pPr>
            <w:r>
              <w:rPr>
                <w:sz w:val="22"/>
              </w:rPr>
              <w:t>(Show Last Column)</w:t>
            </w:r>
          </w:p>
        </w:tc>
        <w:tc>
          <w:tcPr>
            <w:tcW w:w="8250" w:type="dxa"/>
          </w:tcPr>
          <w:p>
            <w:pPr>
              <w:pStyle w:val="TableParagraph"/>
              <w:ind w:right="251"/>
              <w:rPr>
                <w:sz w:val="22"/>
              </w:rPr>
            </w:pPr>
            <w:r>
              <w:rPr>
                <w:sz w:val="22"/>
              </w:rPr>
              <w:t>A Boolean indicating whether the last column in the table should have the style applied. True if the last column has the style applied, false otherwise.</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showRowStripes</w:t>
            </w:r>
          </w:p>
          <w:p>
            <w:pPr>
              <w:pStyle w:val="TableParagraph"/>
              <w:spacing w:line="268" w:lineRule="exact" w:before="0"/>
              <w:rPr>
                <w:sz w:val="22"/>
              </w:rPr>
            </w:pPr>
            <w:r>
              <w:rPr>
                <w:sz w:val="22"/>
              </w:rPr>
              <w:t>(Show Row Stripes)</w:t>
            </w:r>
          </w:p>
        </w:tc>
        <w:tc>
          <w:tcPr>
            <w:tcW w:w="8250" w:type="dxa"/>
          </w:tcPr>
          <w:p>
            <w:pPr>
              <w:pStyle w:val="TableParagraph"/>
              <w:ind w:right="617"/>
              <w:rPr>
                <w:sz w:val="22"/>
              </w:rPr>
            </w:pPr>
            <w:r>
              <w:rPr>
                <w:sz w:val="22"/>
              </w:rPr>
              <w:t>A Boolean indicating whether row stripe formatting is applied. True when style row stripe formatting is applied, false otherwise.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CT_TableStyleInfo</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1" w:footer="746" w:top="1340" w:bottom="940" w:left="860" w:right="700"/>
        </w:sectPr>
      </w:pPr>
    </w:p>
    <w:p>
      <w:pPr>
        <w:pStyle w:val="Heading3"/>
        <w:numPr>
          <w:ilvl w:val="3"/>
          <w:numId w:val="34"/>
        </w:numPr>
        <w:tabs>
          <w:tab w:pos="1732" w:val="left" w:leader="none"/>
          <w:tab w:pos="1733" w:val="left" w:leader="none"/>
        </w:tabs>
        <w:spacing w:line="240" w:lineRule="auto" w:before="151" w:after="0"/>
        <w:ind w:left="1732" w:right="0" w:hanging="1513"/>
        <w:jc w:val="left"/>
      </w:pPr>
      <w:bookmarkStart w:name="18.5.1.6 totalsRowFormula (Totals Row Fo" w:id="500"/>
      <w:bookmarkEnd w:id="500"/>
      <w:r>
        <w:rPr/>
      </w:r>
      <w:bookmarkStart w:name="_bookmark165" w:id="501"/>
      <w:bookmarkEnd w:id="501"/>
      <w:r>
        <w:rPr/>
      </w:r>
      <w:bookmarkStart w:name="_bookmark165" w:id="502"/>
      <w:bookmarkEnd w:id="502"/>
      <w:r>
        <w:rPr>
          <w:color w:val="4F81BC"/>
        </w:rPr>
        <w:t>to</w:t>
      </w:r>
      <w:r>
        <w:rPr>
          <w:color w:val="4F81BC"/>
        </w:rPr>
        <w:t>talsRowFormula (Totals Row</w:t>
      </w:r>
      <w:r>
        <w:rPr>
          <w:color w:val="4F81BC"/>
          <w:spacing w:val="-3"/>
        </w:rPr>
        <w:t> </w:t>
      </w:r>
      <w:r>
        <w:rPr>
          <w:color w:val="4F81BC"/>
        </w:rPr>
        <w:t>Formula)</w:t>
      </w:r>
    </w:p>
    <w:p>
      <w:pPr>
        <w:pStyle w:val="BodyText"/>
        <w:spacing w:before="121"/>
        <w:ind w:left="220"/>
      </w:pPr>
      <w:r>
        <w:rPr/>
        <w:t>This element contains a custom formula for aggregating values from the column.</w:t>
      </w:r>
    </w:p>
    <w:p>
      <w:pPr>
        <w:pStyle w:val="BodyText"/>
        <w:spacing w:before="6"/>
        <w:rPr>
          <w:sz w:val="19"/>
        </w:rPr>
      </w:pPr>
    </w:p>
    <w:p>
      <w:pPr>
        <w:pStyle w:val="BodyText"/>
        <w:spacing w:line="276" w:lineRule="auto"/>
        <w:ind w:left="220" w:right="503"/>
      </w:pPr>
      <w:r>
        <w:rPr/>
        <w:t>Each </w:t>
      </w:r>
      <w:r>
        <w:rPr>
          <w:rFonts w:ascii="Cambria"/>
        </w:rPr>
        <w:t>tableColumn </w:t>
      </w:r>
      <w:r>
        <w:rPr/>
        <w:t>has a </w:t>
      </w:r>
      <w:r>
        <w:rPr>
          <w:rFonts w:ascii="Consolas"/>
          <w:sz w:val="20"/>
        </w:rPr>
        <w:t>totalsRowFunction </w:t>
      </w:r>
      <w:r>
        <w:rPr/>
        <w:t>that can be used for simple aggregations such as average, standard deviation, min, max, count, and others. If a more custom calculation is desired, then this element should be used, and the </w:t>
      </w:r>
      <w:r>
        <w:rPr>
          <w:rFonts w:ascii="Consolas"/>
          <w:sz w:val="20"/>
        </w:rPr>
        <w:t>totalsRowFunction</w:t>
      </w:r>
      <w:r>
        <w:rPr>
          <w:rFonts w:ascii="Consolas"/>
          <w:spacing w:val="-71"/>
          <w:sz w:val="20"/>
        </w:rPr>
        <w:t> </w:t>
      </w:r>
      <w:r>
        <w:rPr/>
        <w:t>shall be set to "</w:t>
      </w:r>
      <w:r>
        <w:rPr>
          <w:rFonts w:ascii="Consolas"/>
          <w:sz w:val="20"/>
        </w:rPr>
        <w:t>custom</w:t>
      </w:r>
      <w:r>
        <w:rPr/>
        <w:t>".</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array </w:t>
            </w:r>
            <w:r>
              <w:rPr>
                <w:sz w:val="22"/>
              </w:rPr>
              <w:t>(Array)</w:t>
            </w:r>
          </w:p>
        </w:tc>
        <w:tc>
          <w:tcPr>
            <w:tcW w:w="8250" w:type="dxa"/>
          </w:tcPr>
          <w:p>
            <w:pPr>
              <w:pStyle w:val="TableParagraph"/>
              <w:rPr>
                <w:sz w:val="22"/>
              </w:rPr>
            </w:pPr>
            <w:r>
              <w:rPr>
                <w:sz w:val="22"/>
              </w:rPr>
              <w:t>A Boolean value that indicates whether this formula is an array style formula.</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CT_TableFormula</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4"/>
        </w:numPr>
        <w:tabs>
          <w:tab w:pos="1732" w:val="left" w:leader="none"/>
          <w:tab w:pos="1733" w:val="left" w:leader="none"/>
        </w:tabs>
        <w:spacing w:line="240" w:lineRule="auto" w:before="0" w:after="0"/>
        <w:ind w:left="1732" w:right="0" w:hanging="1513"/>
        <w:jc w:val="left"/>
      </w:pPr>
      <w:bookmarkStart w:name="18.5.1.7 xmlColumnPr (XML Column Propert" w:id="503"/>
      <w:bookmarkEnd w:id="503"/>
      <w:r>
        <w:rPr/>
      </w:r>
      <w:bookmarkStart w:name="_bookmark166" w:id="504"/>
      <w:bookmarkEnd w:id="504"/>
      <w:r>
        <w:rPr/>
      </w:r>
      <w:bookmarkStart w:name="_bookmark166" w:id="505"/>
      <w:bookmarkEnd w:id="505"/>
      <w:r>
        <w:rPr>
          <w:color w:val="4F81BC"/>
        </w:rPr>
        <w:t>x</w:t>
      </w:r>
      <w:r>
        <w:rPr>
          <w:color w:val="4F81BC"/>
        </w:rPr>
        <w:t>mlColumnPr (XML Column</w:t>
      </w:r>
      <w:r>
        <w:rPr>
          <w:color w:val="4F81BC"/>
          <w:spacing w:val="-2"/>
        </w:rPr>
        <w:t> </w:t>
      </w:r>
      <w:r>
        <w:rPr>
          <w:color w:val="4F81BC"/>
        </w:rPr>
        <w:t>Properties)</w:t>
      </w:r>
    </w:p>
    <w:p>
      <w:pPr>
        <w:pStyle w:val="BodyText"/>
        <w:spacing w:line="278" w:lineRule="auto" w:before="119"/>
        <w:ind w:left="220"/>
      </w:pPr>
      <w:r>
        <w:rPr/>
        <w:t>An element defining the XML column properties for a column. This is only used for tables created from XML mappings.</w:t>
      </w:r>
    </w:p>
    <w:p>
      <w:pPr>
        <w:pStyle w:val="BodyText"/>
        <w:spacing w:before="197"/>
        <w:ind w:left="220"/>
        <w:rPr>
          <w:rFonts w:ascii="Cambria"/>
        </w:rPr>
      </w:pPr>
      <w:r>
        <w:rPr/>
        <w:t>[</w:t>
      </w:r>
      <w:r>
        <w:rPr>
          <w:i/>
        </w:rPr>
        <w:t>Example</w:t>
      </w:r>
      <w:r>
        <w:rPr/>
        <w:t>: Here is a simple example showing a table column that has an </w:t>
      </w:r>
      <w:r>
        <w:rPr>
          <w:rFonts w:ascii="Cambria"/>
        </w:rPr>
        <w:t>xmlColumPr.</w:t>
      </w:r>
    </w:p>
    <w:p>
      <w:pPr>
        <w:pStyle w:val="BodyText"/>
        <w:spacing w:before="6"/>
        <w:rPr>
          <w:rFonts w:ascii="Cambria"/>
          <w:sz w:val="20"/>
        </w:rPr>
      </w:pPr>
    </w:p>
    <w:p>
      <w:pPr>
        <w:pStyle w:val="BodyText"/>
        <w:ind w:left="508"/>
        <w:rPr>
          <w:rFonts w:ascii="Consolas"/>
        </w:rPr>
      </w:pPr>
      <w:r>
        <w:rPr>
          <w:rFonts w:ascii="Consolas"/>
        </w:rPr>
        <w:t>&lt;tableColumn id="1" uniqueName="SomeElement" name="SomeElement"&gt;</w:t>
      </w:r>
    </w:p>
    <w:p>
      <w:pPr>
        <w:pStyle w:val="BodyText"/>
        <w:spacing w:before="38"/>
        <w:ind w:left="750"/>
        <w:rPr>
          <w:rFonts w:ascii="Consolas"/>
        </w:rPr>
      </w:pPr>
      <w:r>
        <w:rPr>
          <w:rFonts w:ascii="Consolas"/>
        </w:rPr>
        <w:t>&lt;xmlColumnPr mapId="1" xpath="/xml/foo/element" xmlDataType="string"/&gt;</w:t>
      </w:r>
    </w:p>
    <w:p>
      <w:pPr>
        <w:pStyle w:val="BodyText"/>
        <w:spacing w:before="40"/>
        <w:ind w:left="508"/>
        <w:rPr>
          <w:rFonts w:ascii="Consolas"/>
        </w:rPr>
      </w:pPr>
      <w:r>
        <w:rPr>
          <w:rFonts w:ascii="Consolas"/>
        </w:rPr>
        <w:t>&lt;/tableColumn&gt;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732" w:hRule="atLeast"/>
        </w:trPr>
        <w:tc>
          <w:tcPr>
            <w:tcW w:w="2062" w:type="dxa"/>
            <w:tcBorders>
              <w:bottom w:val="nil"/>
            </w:tcBorders>
          </w:tcPr>
          <w:p>
            <w:pPr>
              <w:pStyle w:val="TableParagraph"/>
              <w:spacing w:line="257" w:lineRule="exact" w:before="42"/>
              <w:rPr>
                <w:rFonts w:ascii="Cambria"/>
                <w:sz w:val="22"/>
              </w:rPr>
            </w:pPr>
            <w:r>
              <w:rPr>
                <w:rFonts w:ascii="Cambria"/>
                <w:sz w:val="22"/>
              </w:rPr>
              <w:t>denormalized</w:t>
            </w:r>
          </w:p>
          <w:p>
            <w:pPr>
              <w:pStyle w:val="TableParagraph"/>
              <w:spacing w:line="268" w:lineRule="exact" w:before="0"/>
              <w:rPr>
                <w:sz w:val="22"/>
              </w:rPr>
            </w:pPr>
            <w:r>
              <w:rPr>
                <w:sz w:val="22"/>
              </w:rPr>
              <w:t>(Denormalized)</w:t>
            </w:r>
          </w:p>
        </w:tc>
        <w:tc>
          <w:tcPr>
            <w:tcW w:w="8250" w:type="dxa"/>
            <w:tcBorders>
              <w:bottom w:val="nil"/>
            </w:tcBorders>
          </w:tcPr>
          <w:p>
            <w:pPr>
              <w:pStyle w:val="TableParagraph"/>
              <w:ind w:right="224"/>
              <w:rPr>
                <w:sz w:val="22"/>
              </w:rPr>
            </w:pPr>
            <w:r>
              <w:rPr>
                <w:sz w:val="22"/>
              </w:rPr>
              <w:t>A Boolean that indicates whether the contents of the column have been filled down due to flattening. </w:t>
            </w:r>
            <w:r>
              <w:rPr>
                <w:rFonts w:ascii="Consolas"/>
                <w:sz w:val="22"/>
              </w:rPr>
              <w:t>True</w:t>
            </w:r>
            <w:r>
              <w:rPr>
                <w:rFonts w:ascii="Consolas"/>
                <w:spacing w:val="-71"/>
                <w:sz w:val="22"/>
              </w:rPr>
              <w:t> </w:t>
            </w:r>
            <w:r>
              <w:rPr>
                <w:sz w:val="22"/>
              </w:rPr>
              <w:t>if it has been filled down (denormilized), </w:t>
            </w:r>
            <w:r>
              <w:rPr>
                <w:rFonts w:ascii="Consolas"/>
                <w:sz w:val="22"/>
              </w:rPr>
              <w:t>false</w:t>
            </w:r>
            <w:r>
              <w:rPr>
                <w:rFonts w:ascii="Consolas"/>
                <w:spacing w:val="-69"/>
                <w:sz w:val="22"/>
              </w:rPr>
              <w:t> </w:t>
            </w:r>
            <w:r>
              <w:rPr>
                <w:sz w:val="22"/>
              </w:rPr>
              <w:t>otherwise.</w:t>
            </w:r>
          </w:p>
        </w:tc>
      </w:tr>
      <w:tr>
        <w:trPr>
          <w:trHeight w:val="805"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3"/>
              <w:ind w:right="135"/>
              <w:rPr>
                <w:sz w:val="22"/>
              </w:rPr>
            </w:pPr>
            <w:r>
              <w:rPr>
                <w:sz w:val="22"/>
              </w:rPr>
              <w:t>This should be used when an XML mapping parent value has many children, and both the parent and child fields are mapped to their own column in the table.</w:t>
            </w:r>
          </w:p>
        </w:tc>
      </w:tr>
      <w:tr>
        <w:trPr>
          <w:trHeight w:val="1829"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4"/>
              <w:rPr>
                <w:sz w:val="22"/>
              </w:rPr>
            </w:pPr>
            <w:r>
              <w:rPr>
                <w:sz w:val="22"/>
              </w:rPr>
              <w:t>[</w:t>
            </w:r>
            <w:r>
              <w:rPr>
                <w:i/>
                <w:sz w:val="22"/>
              </w:rPr>
              <w:t>Example</w:t>
            </w:r>
            <w:r>
              <w:rPr>
                <w:sz w:val="22"/>
              </w:rPr>
              <w:t>:</w:t>
            </w:r>
          </w:p>
          <w:p>
            <w:pPr>
              <w:pStyle w:val="TableParagraph"/>
              <w:spacing w:line="257" w:lineRule="exact" w:before="3"/>
              <w:ind w:left="403"/>
              <w:rPr>
                <w:rFonts w:ascii="Consolas"/>
                <w:sz w:val="22"/>
              </w:rPr>
            </w:pPr>
            <w:r>
              <w:rPr>
                <w:rFonts w:ascii="Consolas"/>
                <w:sz w:val="22"/>
              </w:rPr>
              <w:t>&lt;Order ID="3"&gt;</w:t>
            </w:r>
          </w:p>
          <w:p>
            <w:pPr>
              <w:pStyle w:val="TableParagraph"/>
              <w:spacing w:line="257" w:lineRule="exact" w:before="0"/>
              <w:ind w:left="645"/>
              <w:rPr>
                <w:rFonts w:ascii="Consolas"/>
                <w:sz w:val="22"/>
              </w:rPr>
            </w:pPr>
            <w:r>
              <w:rPr>
                <w:rFonts w:ascii="Consolas"/>
                <w:sz w:val="22"/>
              </w:rPr>
              <w:t>&lt;Item&gt;Milk&lt;/Item&gt;</w:t>
            </w:r>
          </w:p>
          <w:p>
            <w:pPr>
              <w:pStyle w:val="TableParagraph"/>
              <w:spacing w:line="257" w:lineRule="exact" w:before="0"/>
              <w:ind w:left="645"/>
              <w:rPr>
                <w:rFonts w:ascii="Consolas"/>
                <w:sz w:val="22"/>
              </w:rPr>
            </w:pPr>
            <w:r>
              <w:rPr>
                <w:rFonts w:ascii="Consolas"/>
                <w:sz w:val="22"/>
              </w:rPr>
              <w:t>&lt;Item&gt;Bread&lt;/Item&gt;</w:t>
            </w:r>
          </w:p>
          <w:p>
            <w:pPr>
              <w:pStyle w:val="TableParagraph"/>
              <w:spacing w:line="257" w:lineRule="exact" w:before="2"/>
              <w:ind w:left="645"/>
              <w:rPr>
                <w:rFonts w:ascii="Consolas"/>
                <w:sz w:val="22"/>
              </w:rPr>
            </w:pPr>
            <w:r>
              <w:rPr>
                <w:rFonts w:ascii="Consolas"/>
                <w:sz w:val="22"/>
              </w:rPr>
              <w:t>&lt;Item&gt;Cheese&lt;/Item&gt;</w:t>
            </w:r>
          </w:p>
          <w:p>
            <w:pPr>
              <w:pStyle w:val="TableParagraph"/>
              <w:spacing w:line="257" w:lineRule="exact" w:before="0"/>
              <w:ind w:left="403"/>
              <w:rPr>
                <w:rFonts w:ascii="Consolas"/>
                <w:sz w:val="22"/>
              </w:rPr>
            </w:pPr>
            <w:r>
              <w:rPr>
                <w:rFonts w:ascii="Consolas"/>
                <w:sz w:val="22"/>
              </w:rPr>
              <w:t>&lt;/Order&gt;</w:t>
            </w:r>
          </w:p>
        </w:tc>
      </w:tr>
      <w:tr>
        <w:trPr>
          <w:trHeight w:val="693"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before="110"/>
              <w:ind w:right="141"/>
              <w:rPr>
                <w:sz w:val="22"/>
              </w:rPr>
            </w:pPr>
            <w:r>
              <w:rPr>
                <w:sz w:val="22"/>
              </w:rPr>
              <w:t>The resulting table in the spreadsheet application would have two columns, the first with the item ID, filled down for each item in the table as follows:</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1"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tabs>
                <w:tab w:pos="1268" w:val="left" w:leader="none"/>
              </w:tabs>
              <w:spacing w:before="0"/>
              <w:rPr>
                <w:sz w:val="22"/>
              </w:rPr>
            </w:pPr>
            <w:r>
              <w:rPr>
                <w:sz w:val="22"/>
              </w:rPr>
              <w:t>Item</w:t>
            </w:r>
            <w:r>
              <w:rPr>
                <w:spacing w:val="-1"/>
                <w:sz w:val="22"/>
              </w:rPr>
              <w:t> </w:t>
            </w:r>
            <w:r>
              <w:rPr>
                <w:sz w:val="22"/>
              </w:rPr>
              <w:t>ID</w:t>
              <w:tab/>
              <w:t>Item</w:t>
            </w:r>
          </w:p>
          <w:p>
            <w:pPr>
              <w:pStyle w:val="TableParagraph"/>
              <w:tabs>
                <w:tab w:pos="1320" w:val="left" w:leader="none"/>
              </w:tabs>
              <w:spacing w:before="1"/>
              <w:ind w:left="215"/>
              <w:rPr>
                <w:sz w:val="22"/>
              </w:rPr>
            </w:pPr>
            <w:r>
              <w:rPr>
                <w:sz w:val="22"/>
              </w:rPr>
              <w:t>3</w:t>
              <w:tab/>
              <w:t>Milk</w:t>
            </w:r>
          </w:p>
          <w:p>
            <w:pPr>
              <w:pStyle w:val="TableParagraph"/>
              <w:tabs>
                <w:tab w:pos="1320" w:val="left" w:leader="none"/>
              </w:tabs>
              <w:spacing w:before="0"/>
              <w:ind w:left="215"/>
              <w:rPr>
                <w:sz w:val="22"/>
              </w:rPr>
            </w:pPr>
            <w:r>
              <w:rPr>
                <w:sz w:val="22"/>
              </w:rPr>
              <w:t>3</w:t>
              <w:tab/>
              <w:t>Bread</w:t>
            </w:r>
          </w:p>
          <w:p>
            <w:pPr>
              <w:pStyle w:val="TableParagraph"/>
              <w:tabs>
                <w:tab w:pos="1320" w:val="left" w:leader="none"/>
              </w:tabs>
              <w:spacing w:before="0"/>
              <w:ind w:left="215"/>
              <w:rPr>
                <w:sz w:val="22"/>
              </w:rPr>
            </w:pPr>
            <w:r>
              <w:rPr>
                <w:sz w:val="22"/>
              </w:rPr>
              <w:t>3</w:t>
              <w:tab/>
              <w:t>Cheese</w:t>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ind w:right="342"/>
              <w:rPr>
                <w:sz w:val="22"/>
              </w:rPr>
            </w:pPr>
            <w:r>
              <w:rPr>
                <w:rFonts w:ascii="Cambria"/>
                <w:sz w:val="22"/>
              </w:rPr>
              <w:t>mapId </w:t>
            </w:r>
            <w:r>
              <w:rPr>
                <w:sz w:val="22"/>
              </w:rPr>
              <w:t>(XML Map Id)</w:t>
            </w:r>
          </w:p>
        </w:tc>
        <w:tc>
          <w:tcPr>
            <w:tcW w:w="8250" w:type="dxa"/>
          </w:tcPr>
          <w:p>
            <w:pPr>
              <w:pStyle w:val="TableParagraph"/>
              <w:rPr>
                <w:sz w:val="22"/>
              </w:rPr>
            </w:pPr>
            <w:r>
              <w:rPr>
                <w:sz w:val="22"/>
              </w:rPr>
              <w:t>An integer representing the ID of the XML map this table field is associated with.</w:t>
            </w:r>
          </w:p>
          <w:p>
            <w:pPr>
              <w:pStyle w:val="TableParagraph"/>
              <w:spacing w:before="5"/>
              <w:ind w:left="0"/>
              <w:rPr>
                <w:rFonts w:ascii="Times New Roman"/>
                <w:sz w:val="23"/>
              </w:rPr>
            </w:pPr>
          </w:p>
          <w:p>
            <w:pPr>
              <w:pStyle w:val="TableParagraph"/>
              <w:spacing w:before="0"/>
              <w:ind w:right="555"/>
              <w:rPr>
                <w:sz w:val="22"/>
              </w:rPr>
            </w:pPr>
            <w:r>
              <w:rPr>
                <w:sz w:val="22"/>
              </w:rPr>
              <w:t>The XML map is defined in the xml maps part, and the </w:t>
            </w:r>
            <w:r>
              <w:rPr>
                <w:rFonts w:ascii="Cambria"/>
                <w:sz w:val="22"/>
              </w:rPr>
              <w:t>Map </w:t>
            </w:r>
            <w:r>
              <w:rPr>
                <w:sz w:val="22"/>
              </w:rPr>
              <w:t>element should have the corresponding </w:t>
            </w:r>
            <w:r>
              <w:rPr>
                <w:rFonts w:ascii="Consolas"/>
                <w:sz w:val="20"/>
              </w:rPr>
              <w:t>id</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152"/>
              <w:rPr>
                <w:sz w:val="22"/>
              </w:rPr>
            </w:pPr>
            <w:r>
              <w:rPr>
                <w:rFonts w:ascii="Cambria"/>
                <w:sz w:val="22"/>
              </w:rPr>
              <w:t>xmlDataType </w:t>
            </w:r>
            <w:r>
              <w:rPr>
                <w:sz w:val="22"/>
              </w:rPr>
              <w:t>(XML Data Type)</w:t>
            </w:r>
          </w:p>
        </w:tc>
        <w:tc>
          <w:tcPr>
            <w:tcW w:w="8250" w:type="dxa"/>
          </w:tcPr>
          <w:p>
            <w:pPr>
              <w:pStyle w:val="TableParagraph"/>
              <w:rPr>
                <w:sz w:val="22"/>
              </w:rPr>
            </w:pPr>
            <w:r>
              <w:rPr>
                <w:sz w:val="22"/>
              </w:rPr>
              <w:t>An enumeration indicating which XML data type is used by this column.</w:t>
            </w:r>
          </w:p>
          <w:p>
            <w:pPr>
              <w:pStyle w:val="TableParagraph"/>
              <w:spacing w:before="4"/>
              <w:ind w:left="0"/>
              <w:rPr>
                <w:rFonts w:ascii="Times New Roman"/>
                <w:sz w:val="23"/>
              </w:rPr>
            </w:pPr>
          </w:p>
          <w:p>
            <w:pPr>
              <w:pStyle w:val="TableParagraph"/>
              <w:spacing w:before="0"/>
              <w:ind w:right="431"/>
              <w:rPr>
                <w:sz w:val="22"/>
              </w:rPr>
            </w:pPr>
            <w:r>
              <w:rPr>
                <w:sz w:val="22"/>
              </w:rPr>
              <w:t>The possible values for this attribute are defined by the </w:t>
            </w:r>
            <w:r>
              <w:rPr>
                <w:rFonts w:ascii="Cambria" w:hAnsi="Cambria"/>
                <w:sz w:val="22"/>
              </w:rPr>
              <w:t>ST_XmlDataType </w:t>
            </w:r>
            <w:r>
              <w:rPr>
                <w:sz w:val="22"/>
              </w:rPr>
              <w:t>simple type </w:t>
            </w:r>
            <w:hyperlink w:history="true" w:anchor="_bookmark915">
              <w:r>
                <w:rPr>
                  <w:sz w:val="22"/>
                </w:rPr>
                <w:t>(§18.18.93</w:t>
              </w:r>
            </w:hyperlink>
            <w:r>
              <w:rPr>
                <w:sz w:val="22"/>
              </w:rPr>
              <w:t>).</w:t>
            </w:r>
          </w:p>
        </w:tc>
      </w:tr>
      <w:tr>
        <w:trPr>
          <w:trHeight w:val="6614" w:hRule="atLeast"/>
        </w:trPr>
        <w:tc>
          <w:tcPr>
            <w:tcW w:w="2062" w:type="dxa"/>
          </w:tcPr>
          <w:p>
            <w:pPr>
              <w:pStyle w:val="TableParagraph"/>
              <w:rPr>
                <w:sz w:val="22"/>
              </w:rPr>
            </w:pPr>
            <w:r>
              <w:rPr>
                <w:rFonts w:ascii="Cambria"/>
                <w:sz w:val="22"/>
              </w:rPr>
              <w:t>xpath </w:t>
            </w:r>
            <w:r>
              <w:rPr>
                <w:sz w:val="22"/>
              </w:rPr>
              <w:t>(XPath)</w:t>
            </w:r>
          </w:p>
        </w:tc>
        <w:tc>
          <w:tcPr>
            <w:tcW w:w="8250" w:type="dxa"/>
          </w:tcPr>
          <w:p>
            <w:pPr>
              <w:pStyle w:val="TableParagraph"/>
              <w:rPr>
                <w:sz w:val="22"/>
              </w:rPr>
            </w:pPr>
            <w:r>
              <w:rPr>
                <w:sz w:val="22"/>
              </w:rPr>
              <w:t>A string representing the XML path to the element this column is associated with.</w:t>
            </w:r>
          </w:p>
          <w:p>
            <w:pPr>
              <w:pStyle w:val="TableParagraph"/>
              <w:spacing w:before="4"/>
              <w:ind w:left="0"/>
              <w:rPr>
                <w:rFonts w:ascii="Times New Roman"/>
                <w:sz w:val="23"/>
              </w:rPr>
            </w:pPr>
          </w:p>
          <w:p>
            <w:pPr>
              <w:pStyle w:val="TableParagraph"/>
              <w:spacing w:before="0"/>
              <w:rPr>
                <w:sz w:val="22"/>
              </w:rPr>
            </w:pPr>
            <w:r>
              <w:rPr>
                <w:sz w:val="22"/>
              </w:rPr>
              <w:t>The spreadsheet application should support XPath limited to the following</w:t>
            </w:r>
          </w:p>
          <w:p>
            <w:pPr>
              <w:pStyle w:val="TableParagraph"/>
              <w:numPr>
                <w:ilvl w:val="0"/>
                <w:numId w:val="35"/>
              </w:numPr>
              <w:tabs>
                <w:tab w:pos="834" w:val="left" w:leader="none"/>
                <w:tab w:pos="835" w:val="left" w:leader="none"/>
              </w:tabs>
              <w:spacing w:line="279" w:lineRule="exact" w:before="1" w:after="0"/>
              <w:ind w:left="835" w:right="0" w:hanging="360"/>
              <w:jc w:val="left"/>
              <w:rPr>
                <w:sz w:val="22"/>
              </w:rPr>
            </w:pPr>
            <w:r>
              <w:rPr>
                <w:sz w:val="22"/>
              </w:rPr>
              <w:t>The XPath is an absolute path to a simple-content element or</w:t>
            </w:r>
            <w:r>
              <w:rPr>
                <w:spacing w:val="-11"/>
                <w:sz w:val="22"/>
              </w:rPr>
              <w:t> </w:t>
            </w:r>
            <w:r>
              <w:rPr>
                <w:sz w:val="22"/>
              </w:rPr>
              <w:t>attribute</w:t>
            </w:r>
          </w:p>
          <w:p>
            <w:pPr>
              <w:pStyle w:val="TableParagraph"/>
              <w:spacing w:line="269" w:lineRule="exact" w:before="0"/>
              <w:ind w:left="403"/>
              <w:rPr>
                <w:rFonts w:ascii="Symbol" w:hAnsi="Symbol"/>
                <w:sz w:val="22"/>
              </w:rPr>
            </w:pPr>
            <w:r>
              <w:rPr>
                <w:rFonts w:ascii="Symbol" w:hAnsi="Symbol"/>
                <w:w w:val="100"/>
                <w:sz w:val="22"/>
              </w:rPr>
              <w:t></w:t>
            </w:r>
          </w:p>
          <w:p>
            <w:pPr>
              <w:pStyle w:val="TableParagraph"/>
              <w:spacing w:before="11"/>
              <w:rPr>
                <w:sz w:val="22"/>
              </w:rPr>
            </w:pPr>
            <w:r>
              <w:rPr>
                <w:sz w:val="22"/>
              </w:rPr>
              <w:t>[</w:t>
            </w:r>
            <w:r>
              <w:rPr>
                <w:i/>
                <w:sz w:val="22"/>
              </w:rPr>
              <w:t>Example</w:t>
            </w:r>
            <w:r>
              <w:rPr>
                <w:sz w:val="22"/>
              </w:rPr>
              <w:t>:</w:t>
            </w:r>
          </w:p>
          <w:p>
            <w:pPr>
              <w:pStyle w:val="TableParagraph"/>
              <w:spacing w:before="0"/>
              <w:ind w:right="188"/>
              <w:rPr>
                <w:sz w:val="22"/>
              </w:rPr>
            </w:pPr>
            <w:r>
              <w:rPr>
                <w:sz w:val="22"/>
              </w:rPr>
              <w:t>"/ns1:root/ns1:row/ns1:column1" is supported if 'column1' is a child-most node, but not "/ns1:root/ns1:row" for the same document since 'row' is not a child.</w:t>
            </w:r>
          </w:p>
          <w:p>
            <w:pPr>
              <w:pStyle w:val="TableParagraph"/>
              <w:spacing w:before="1"/>
              <w:rPr>
                <w:sz w:val="22"/>
              </w:rPr>
            </w:pPr>
            <w:r>
              <w:rPr>
                <w:i/>
                <w:sz w:val="22"/>
              </w:rPr>
              <w:t>end example</w:t>
            </w:r>
            <w:r>
              <w:rPr>
                <w:sz w:val="22"/>
              </w:rPr>
              <w:t>]</w:t>
            </w:r>
          </w:p>
          <w:p>
            <w:pPr>
              <w:pStyle w:val="TableParagraph"/>
              <w:spacing w:before="5"/>
              <w:ind w:left="0"/>
              <w:rPr>
                <w:rFonts w:ascii="Times New Roman"/>
                <w:sz w:val="23"/>
              </w:rPr>
            </w:pPr>
          </w:p>
          <w:p>
            <w:pPr>
              <w:pStyle w:val="TableParagraph"/>
              <w:numPr>
                <w:ilvl w:val="0"/>
                <w:numId w:val="35"/>
              </w:numPr>
              <w:tabs>
                <w:tab w:pos="834" w:val="left" w:leader="none"/>
                <w:tab w:pos="835" w:val="left" w:leader="none"/>
              </w:tabs>
              <w:spacing w:line="279" w:lineRule="exact" w:before="0" w:after="0"/>
              <w:ind w:left="835" w:right="0" w:hanging="360"/>
              <w:jc w:val="left"/>
              <w:rPr>
                <w:sz w:val="22"/>
              </w:rPr>
            </w:pPr>
            <w:r>
              <w:rPr>
                <w:sz w:val="22"/>
              </w:rPr>
              <w:t>The XPath does not express axes, but uses the default child</w:t>
            </w:r>
            <w:r>
              <w:rPr>
                <w:spacing w:val="-17"/>
                <w:sz w:val="22"/>
              </w:rPr>
              <w:t> </w:t>
            </w:r>
            <w:r>
              <w:rPr>
                <w:sz w:val="22"/>
              </w:rPr>
              <w:t>axes</w:t>
            </w:r>
          </w:p>
          <w:p>
            <w:pPr>
              <w:pStyle w:val="TableParagraph"/>
              <w:spacing w:line="269" w:lineRule="exact" w:before="0"/>
              <w:ind w:left="403"/>
              <w:rPr>
                <w:rFonts w:ascii="Symbol" w:hAnsi="Symbol"/>
                <w:sz w:val="22"/>
              </w:rPr>
            </w:pPr>
            <w:r>
              <w:rPr>
                <w:rFonts w:ascii="Symbol" w:hAnsi="Symbol"/>
                <w:w w:val="100"/>
                <w:sz w:val="22"/>
              </w:rPr>
              <w:t></w:t>
            </w:r>
          </w:p>
          <w:p>
            <w:pPr>
              <w:pStyle w:val="TableParagraph"/>
              <w:spacing w:before="11"/>
              <w:rPr>
                <w:sz w:val="22"/>
              </w:rPr>
            </w:pPr>
            <w:r>
              <w:rPr>
                <w:sz w:val="22"/>
              </w:rPr>
              <w:t>[</w:t>
            </w:r>
            <w:r>
              <w:rPr>
                <w:i/>
                <w:sz w:val="22"/>
              </w:rPr>
              <w:t>Example</w:t>
            </w:r>
            <w:r>
              <w:rPr>
                <w:sz w:val="22"/>
              </w:rPr>
              <w:t>:</w:t>
            </w:r>
          </w:p>
          <w:p>
            <w:pPr>
              <w:pStyle w:val="TableParagraph"/>
              <w:spacing w:before="0"/>
              <w:ind w:left="165"/>
              <w:rPr>
                <w:sz w:val="22"/>
              </w:rPr>
            </w:pPr>
            <w:r>
              <w:rPr>
                <w:sz w:val="22"/>
              </w:rPr>
              <w:t>"/ns1:root/ns1:row" is supported but not "/ns1:root/child::ns1:row</w:t>
            </w: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numPr>
                <w:ilvl w:val="0"/>
                <w:numId w:val="35"/>
              </w:numPr>
              <w:tabs>
                <w:tab w:pos="834" w:val="left" w:leader="none"/>
                <w:tab w:pos="835" w:val="left" w:leader="none"/>
              </w:tabs>
              <w:spacing w:line="279" w:lineRule="exact" w:before="1" w:after="0"/>
              <w:ind w:left="835" w:right="0" w:hanging="360"/>
              <w:jc w:val="left"/>
              <w:rPr>
                <w:sz w:val="22"/>
              </w:rPr>
            </w:pPr>
            <w:r>
              <w:rPr>
                <w:sz w:val="22"/>
              </w:rPr>
              <w:t>An optional filter can be expressed at the end of the</w:t>
            </w:r>
            <w:r>
              <w:rPr>
                <w:spacing w:val="-20"/>
                <w:sz w:val="22"/>
              </w:rPr>
              <w:t> </w:t>
            </w:r>
            <w:r>
              <w:rPr>
                <w:sz w:val="22"/>
              </w:rPr>
              <w:t>xpath</w:t>
            </w:r>
          </w:p>
          <w:p>
            <w:pPr>
              <w:pStyle w:val="TableParagraph"/>
              <w:spacing w:line="269" w:lineRule="exact" w:before="0"/>
              <w:ind w:left="403"/>
              <w:rPr>
                <w:rFonts w:ascii="Symbol" w:hAnsi="Symbol"/>
                <w:sz w:val="22"/>
              </w:rPr>
            </w:pPr>
            <w:r>
              <w:rPr>
                <w:rFonts w:ascii="Symbol" w:hAnsi="Symbol"/>
                <w:w w:val="100"/>
                <w:sz w:val="22"/>
              </w:rPr>
              <w:t></w:t>
            </w:r>
          </w:p>
          <w:p>
            <w:pPr>
              <w:pStyle w:val="TableParagraph"/>
              <w:spacing w:before="11"/>
              <w:rPr>
                <w:sz w:val="22"/>
              </w:rPr>
            </w:pPr>
            <w:r>
              <w:rPr>
                <w:sz w:val="22"/>
              </w:rPr>
              <w:t>[</w:t>
            </w:r>
            <w:r>
              <w:rPr>
                <w:i/>
                <w:sz w:val="22"/>
              </w:rPr>
              <w:t>Example</w:t>
            </w:r>
            <w:r>
              <w:rPr>
                <w:sz w:val="22"/>
              </w:rPr>
              <w:t>:</w:t>
            </w:r>
          </w:p>
          <w:p>
            <w:pPr>
              <w:pStyle w:val="TableParagraph"/>
              <w:spacing w:before="0"/>
              <w:ind w:right="2265"/>
              <w:rPr>
                <w:sz w:val="22"/>
              </w:rPr>
            </w:pPr>
            <w:r>
              <w:rPr>
                <w:sz w:val="22"/>
              </w:rPr>
              <w:t>"/ns1:root/ns1:row/ns1:column1[@foo='abc']" is supported but not "/ns1:root/ns1:row[@foo='abc']/ns1:column1"</w:t>
            </w: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numPr>
                <w:ilvl w:val="0"/>
                <w:numId w:val="35"/>
              </w:numPr>
              <w:tabs>
                <w:tab w:pos="834" w:val="left" w:leader="none"/>
                <w:tab w:pos="835" w:val="left" w:leader="none"/>
              </w:tabs>
              <w:spacing w:line="240" w:lineRule="auto" w:before="0" w:after="0"/>
              <w:ind w:left="835" w:right="0" w:hanging="360"/>
              <w:jc w:val="left"/>
              <w:rPr>
                <w:sz w:val="22"/>
              </w:rPr>
            </w:pPr>
            <w:r>
              <w:rPr>
                <w:sz w:val="22"/>
              </w:rPr>
              <w:t>The filter can only contain a single expression comparing a named attribute to</w:t>
            </w:r>
            <w:r>
              <w:rPr>
                <w:spacing w:val="-22"/>
                <w:sz w:val="22"/>
              </w:rPr>
              <w:t> </w:t>
            </w:r>
            <w:r>
              <w:rPr>
                <w:sz w:val="22"/>
              </w:rPr>
              <w:t>a</w:t>
            </w:r>
          </w:p>
        </w:tc>
      </w:tr>
    </w:tbl>
    <w:p>
      <w:pPr>
        <w:spacing w:after="0" w:line="240" w:lineRule="auto"/>
        <w:jc w:val="left"/>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369" w:hRule="atLeast"/>
        </w:trPr>
        <w:tc>
          <w:tcPr>
            <w:tcW w:w="2062" w:type="dxa"/>
          </w:tcPr>
          <w:p>
            <w:pPr>
              <w:pStyle w:val="TableParagraph"/>
              <w:spacing w:before="0"/>
              <w:ind w:left="0"/>
              <w:rPr>
                <w:rFonts w:ascii="Times New Roman"/>
                <w:sz w:val="22"/>
              </w:rPr>
            </w:pPr>
          </w:p>
        </w:tc>
        <w:tc>
          <w:tcPr>
            <w:tcW w:w="8250" w:type="dxa"/>
          </w:tcPr>
          <w:p>
            <w:pPr>
              <w:pStyle w:val="TableParagraph"/>
              <w:ind w:left="835"/>
              <w:rPr>
                <w:sz w:val="22"/>
              </w:rPr>
            </w:pPr>
            <w:r>
              <w:rPr>
                <w:sz w:val="22"/>
              </w:rPr>
              <w:t>specific value</w:t>
            </w:r>
          </w:p>
          <w:p>
            <w:pPr>
              <w:pStyle w:val="TableParagraph"/>
              <w:spacing w:before="0"/>
              <w:ind w:left="403"/>
              <w:rPr>
                <w:rFonts w:ascii="Symbol" w:hAnsi="Symbol"/>
                <w:sz w:val="22"/>
              </w:rPr>
            </w:pPr>
            <w:r>
              <w:rPr>
                <w:rFonts w:ascii="Symbol" w:hAnsi="Symbol"/>
                <w:w w:val="100"/>
                <w:sz w:val="22"/>
              </w:rPr>
              <w:t></w:t>
            </w:r>
          </w:p>
          <w:p>
            <w:pPr>
              <w:pStyle w:val="TableParagraph"/>
              <w:numPr>
                <w:ilvl w:val="0"/>
                <w:numId w:val="36"/>
              </w:numPr>
              <w:tabs>
                <w:tab w:pos="834" w:val="left" w:leader="none"/>
                <w:tab w:pos="835" w:val="left" w:leader="none"/>
              </w:tabs>
              <w:spacing w:line="237" w:lineRule="auto" w:before="14" w:after="0"/>
              <w:ind w:left="835" w:right="458" w:hanging="360"/>
              <w:jc w:val="left"/>
              <w:rPr>
                <w:sz w:val="22"/>
              </w:rPr>
            </w:pPr>
            <w:r>
              <w:rPr>
                <w:sz w:val="22"/>
              </w:rPr>
              <w:t>Filters are only supported on XPaths that resolve to a simple-content element (not</w:t>
            </w:r>
            <w:r>
              <w:rPr>
                <w:spacing w:val="-1"/>
                <w:sz w:val="22"/>
              </w:rPr>
              <w:t> </w:t>
            </w:r>
            <w:r>
              <w:rPr>
                <w:sz w:val="22"/>
              </w:rPr>
              <w:t>attributes)</w:t>
            </w:r>
          </w:p>
          <w:p>
            <w:pPr>
              <w:pStyle w:val="TableParagraph"/>
              <w:spacing w:before="1"/>
              <w:ind w:left="403"/>
              <w:rPr>
                <w:rFonts w:ascii="Symbol" w:hAnsi="Symbol"/>
                <w:sz w:val="22"/>
              </w:rPr>
            </w:pPr>
            <w:r>
              <w:rPr>
                <w:rFonts w:ascii="Symbol" w:hAnsi="Symbol"/>
                <w:w w:val="100"/>
                <w:sz w:val="22"/>
              </w:rPr>
              <w:t></w:t>
            </w:r>
          </w:p>
          <w:p>
            <w:pPr>
              <w:pStyle w:val="TableParagraph"/>
              <w:numPr>
                <w:ilvl w:val="0"/>
                <w:numId w:val="36"/>
              </w:numPr>
              <w:tabs>
                <w:tab w:pos="834" w:val="left" w:leader="none"/>
                <w:tab w:pos="835" w:val="left" w:leader="none"/>
              </w:tabs>
              <w:spacing w:line="240" w:lineRule="auto" w:before="11" w:after="0"/>
              <w:ind w:left="835" w:right="746" w:hanging="360"/>
              <w:jc w:val="left"/>
              <w:rPr>
                <w:sz w:val="22"/>
              </w:rPr>
            </w:pPr>
            <w:r>
              <w:rPr>
                <w:sz w:val="22"/>
              </w:rPr>
              <w:t>The named attribute shall be defined as an attribute of the simple-content element</w:t>
            </w:r>
          </w:p>
          <w:p>
            <w:pPr>
              <w:pStyle w:val="TableParagraph"/>
              <w:spacing w:before="1"/>
              <w:ind w:left="403"/>
              <w:rPr>
                <w:rFonts w:ascii="Symbol" w:hAnsi="Symbol"/>
                <w:sz w:val="22"/>
              </w:rPr>
            </w:pPr>
            <w:r>
              <w:rPr>
                <w:rFonts w:ascii="Symbol" w:hAnsi="Symbol"/>
                <w:w w:val="100"/>
                <w:sz w:val="22"/>
              </w:rPr>
              <w:t></w:t>
            </w:r>
          </w:p>
          <w:p>
            <w:pPr>
              <w:pStyle w:val="TableParagraph"/>
              <w:numPr>
                <w:ilvl w:val="0"/>
                <w:numId w:val="36"/>
              </w:numPr>
              <w:tabs>
                <w:tab w:pos="834" w:val="left" w:leader="none"/>
                <w:tab w:pos="835" w:val="left" w:leader="none"/>
              </w:tabs>
              <w:spacing w:line="240" w:lineRule="auto" w:before="9" w:after="0"/>
              <w:ind w:left="835" w:right="127" w:hanging="360"/>
              <w:jc w:val="left"/>
              <w:rPr>
                <w:sz w:val="22"/>
              </w:rPr>
            </w:pPr>
            <w:r>
              <w:rPr>
                <w:sz w:val="22"/>
              </w:rPr>
              <w:t>The attribute name shall be preceded by the short-hand (@) symbol representing the axes 'attribute'</w:t>
            </w:r>
          </w:p>
          <w:p>
            <w:pPr>
              <w:pStyle w:val="TableParagraph"/>
              <w:spacing w:before="1"/>
              <w:ind w:left="403"/>
              <w:rPr>
                <w:rFonts w:ascii="Symbol" w:hAnsi="Symbol"/>
                <w:sz w:val="22"/>
              </w:rPr>
            </w:pPr>
            <w:r>
              <w:rPr>
                <w:rFonts w:ascii="Symbol" w:hAnsi="Symbol"/>
                <w:w w:val="100"/>
                <w:sz w:val="22"/>
              </w:rPr>
              <w:t></w:t>
            </w:r>
          </w:p>
          <w:p>
            <w:pPr>
              <w:pStyle w:val="TableParagraph"/>
              <w:spacing w:before="11"/>
              <w:rPr>
                <w:sz w:val="22"/>
              </w:rPr>
            </w:pPr>
            <w:r>
              <w:rPr>
                <w:sz w:val="22"/>
              </w:rPr>
              <w:t>[</w:t>
            </w:r>
            <w:r>
              <w:rPr>
                <w:i/>
                <w:sz w:val="22"/>
              </w:rPr>
              <w:t>Example</w:t>
            </w:r>
            <w:r>
              <w:rPr>
                <w:sz w:val="22"/>
              </w:rPr>
              <w:t>:</w:t>
            </w:r>
          </w:p>
          <w:p>
            <w:pPr>
              <w:pStyle w:val="TableParagraph"/>
              <w:spacing w:before="1"/>
              <w:ind w:right="2380"/>
              <w:rPr>
                <w:sz w:val="22"/>
              </w:rPr>
            </w:pPr>
            <w:r>
              <w:rPr>
                <w:sz w:val="22"/>
              </w:rPr>
              <w:t>"/ns1:root/ns1:row/ns1:column1[@foo='abc']" is supported not "/ns1:root/ns1:row/ns1:column1[attribute::foo='abc']"</w:t>
            </w:r>
          </w:p>
          <w:p>
            <w:pPr>
              <w:pStyle w:val="TableParagraph"/>
              <w:spacing w:before="0"/>
              <w:rPr>
                <w:sz w:val="22"/>
              </w:rPr>
            </w:pPr>
            <w:r>
              <w:rPr>
                <w:i/>
                <w:sz w:val="22"/>
              </w:rPr>
              <w:t>end example</w:t>
            </w:r>
            <w:r>
              <w:rPr>
                <w:sz w:val="22"/>
              </w:rPr>
              <w:t>]</w:t>
            </w:r>
          </w:p>
          <w:p>
            <w:pPr>
              <w:pStyle w:val="TableParagraph"/>
              <w:spacing w:before="3"/>
              <w:ind w:left="0"/>
              <w:rPr>
                <w:rFonts w:ascii="Times New Roman"/>
                <w:sz w:val="23"/>
              </w:rPr>
            </w:pPr>
          </w:p>
          <w:p>
            <w:pPr>
              <w:pStyle w:val="TableParagraph"/>
              <w:numPr>
                <w:ilvl w:val="0"/>
                <w:numId w:val="36"/>
              </w:numPr>
              <w:tabs>
                <w:tab w:pos="834" w:val="left" w:leader="none"/>
                <w:tab w:pos="835" w:val="left" w:leader="none"/>
              </w:tabs>
              <w:spacing w:line="240" w:lineRule="auto" w:before="0" w:after="0"/>
              <w:ind w:left="835" w:right="0" w:hanging="360"/>
              <w:jc w:val="left"/>
              <w:rPr>
                <w:sz w:val="22"/>
              </w:rPr>
            </w:pPr>
            <w:r>
              <w:rPr>
                <w:sz w:val="22"/>
              </w:rPr>
              <w:t>An arbitrary amount of white-space can be embedded between filter</w:t>
            </w:r>
            <w:r>
              <w:rPr>
                <w:spacing w:val="-17"/>
                <w:sz w:val="22"/>
              </w:rPr>
              <w:t> </w:t>
            </w:r>
            <w:r>
              <w:rPr>
                <w:sz w:val="22"/>
              </w:rPr>
              <w:t>tokens</w:t>
            </w:r>
          </w:p>
          <w:p>
            <w:pPr>
              <w:pStyle w:val="TableParagraph"/>
              <w:spacing w:before="0"/>
              <w:ind w:left="403"/>
              <w:rPr>
                <w:rFonts w:ascii="Symbol" w:hAnsi="Symbol"/>
                <w:sz w:val="22"/>
              </w:rPr>
            </w:pPr>
            <w:r>
              <w:rPr>
                <w:rFonts w:ascii="Symbol" w:hAnsi="Symbol"/>
                <w:w w:val="100"/>
                <w:sz w:val="22"/>
              </w:rPr>
              <w:t></w:t>
            </w:r>
          </w:p>
          <w:p>
            <w:pPr>
              <w:pStyle w:val="TableParagraph"/>
              <w:spacing w:before="11"/>
              <w:rPr>
                <w:sz w:val="22"/>
              </w:rPr>
            </w:pPr>
            <w:r>
              <w:rPr>
                <w:sz w:val="22"/>
              </w:rPr>
              <w:t>[</w:t>
            </w:r>
            <w:r>
              <w:rPr>
                <w:i/>
                <w:sz w:val="22"/>
              </w:rPr>
              <w:t>Example</w:t>
            </w:r>
            <w:r>
              <w:rPr>
                <w:sz w:val="22"/>
              </w:rPr>
              <w:t>:</w:t>
            </w:r>
          </w:p>
          <w:p>
            <w:pPr>
              <w:pStyle w:val="TableParagraph"/>
              <w:spacing w:before="0"/>
              <w:ind w:left="165"/>
              <w:rPr>
                <w:sz w:val="22"/>
              </w:rPr>
            </w:pPr>
            <w:r>
              <w:rPr>
                <w:sz w:val="22"/>
              </w:rPr>
              <w:t>"/ns1:root/ns1:row/ns1:column1[ @ foo='abc']" is permitted</w:t>
            </w:r>
            <w:r>
              <w:rPr>
                <w:i/>
                <w:sz w:val="22"/>
              </w:rPr>
              <w:t>end example</w:t>
            </w:r>
            <w:r>
              <w:rPr>
                <w:sz w:val="22"/>
              </w:rPr>
              <w:t>]</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CT_XmlColumnPr</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5.2 Single Cell Tables" w:id="506"/>
      <w:bookmarkEnd w:id="506"/>
      <w:r>
        <w:rPr>
          <w:b w:val="0"/>
        </w:rPr>
      </w:r>
      <w:bookmarkStart w:name="_bookmark167" w:id="507"/>
      <w:bookmarkEnd w:id="507"/>
      <w:r>
        <w:rPr>
          <w:b w:val="0"/>
        </w:rPr>
      </w:r>
      <w:bookmarkStart w:name="_bookmark167" w:id="508"/>
      <w:bookmarkEnd w:id="508"/>
      <w:r>
        <w:rPr>
          <w:color w:val="4F81BC"/>
        </w:rPr>
        <w:t>S</w:t>
      </w:r>
      <w:r>
        <w:rPr>
          <w:color w:val="4F81BC"/>
        </w:rPr>
        <w:t>ingle Cell</w:t>
      </w:r>
      <w:r>
        <w:rPr>
          <w:color w:val="4F81BC"/>
          <w:spacing w:val="-4"/>
        </w:rPr>
        <w:t> </w:t>
      </w:r>
      <w:r>
        <w:rPr>
          <w:color w:val="4F81BC"/>
        </w:rPr>
        <w:t>Tables</w:t>
      </w:r>
    </w:p>
    <w:p>
      <w:pPr>
        <w:pStyle w:val="BodyText"/>
        <w:spacing w:line="276" w:lineRule="auto" w:before="124"/>
        <w:ind w:left="220" w:right="412"/>
      </w:pPr>
      <w:r>
        <w:rPr/>
        <w:t>A single cell table is generated from an XML mapping. These really just look like regular cells to the spreadsheet user, but shall be implemented as Tables "under the covers."</w:t>
      </w:r>
    </w:p>
    <w:p>
      <w:pPr>
        <w:pStyle w:val="BodyText"/>
        <w:spacing w:before="2"/>
        <w:rPr>
          <w:sz w:val="16"/>
        </w:rPr>
      </w:pPr>
    </w:p>
    <w:p>
      <w:pPr>
        <w:pStyle w:val="BodyText"/>
        <w:spacing w:line="276" w:lineRule="auto" w:before="1"/>
        <w:ind w:left="220" w:right="412"/>
      </w:pPr>
      <w:r>
        <w:rPr/>
        <w:t>These tables don't have the full set of properties that multi cell tables do. They only have the various XML properties, and core table properties (such as </w:t>
      </w:r>
      <w:r>
        <w:rPr>
          <w:rFonts w:ascii="Consolas"/>
          <w:sz w:val="20"/>
        </w:rPr>
        <w:t>id</w:t>
      </w:r>
      <w:r>
        <w:rPr>
          <w:rFonts w:ascii="Consolas"/>
          <w:spacing w:val="-75"/>
          <w:sz w:val="20"/>
        </w:rPr>
        <w:t> </w:t>
      </w:r>
      <w:r>
        <w:rPr/>
        <w:t>and </w:t>
      </w:r>
      <w:r>
        <w:rPr>
          <w:rFonts w:ascii="Consolas"/>
          <w:sz w:val="20"/>
        </w:rPr>
        <w:t>name</w:t>
      </w:r>
      <w:r>
        <w:rPr/>
        <w:t>) that are needed to create a table and XML mapping. For instance the formatting properties, totals row, and headers row don't exist for the single cell XML tables.</w:t>
      </w:r>
    </w:p>
    <w:p>
      <w:pPr>
        <w:pStyle w:val="BodyText"/>
        <w:spacing w:before="2"/>
        <w:ind w:left="220"/>
      </w:pPr>
      <w:r>
        <w:rPr/>
        <w:t>The formatting for these cells is maintained in the style sheet.</w:t>
      </w:r>
    </w:p>
    <w:p>
      <w:pPr>
        <w:pStyle w:val="BodyText"/>
        <w:spacing w:before="9"/>
        <w:rPr>
          <w:sz w:val="19"/>
        </w:rPr>
      </w:pPr>
    </w:p>
    <w:p>
      <w:pPr>
        <w:pStyle w:val="Heading3"/>
        <w:numPr>
          <w:ilvl w:val="3"/>
          <w:numId w:val="37"/>
        </w:numPr>
        <w:tabs>
          <w:tab w:pos="1732" w:val="left" w:leader="none"/>
          <w:tab w:pos="1733" w:val="left" w:leader="none"/>
        </w:tabs>
        <w:spacing w:line="240" w:lineRule="auto" w:before="0" w:after="0"/>
        <w:ind w:left="1732" w:right="0" w:hanging="1513"/>
        <w:jc w:val="left"/>
      </w:pPr>
      <w:bookmarkStart w:name="18.5.2.1 singleXmlCell (Table Properties" w:id="509"/>
      <w:bookmarkEnd w:id="509"/>
      <w:r>
        <w:rPr/>
      </w:r>
      <w:bookmarkStart w:name="_bookmark168" w:id="510"/>
      <w:bookmarkEnd w:id="510"/>
      <w:r>
        <w:rPr/>
      </w:r>
      <w:bookmarkStart w:name="_bookmark168" w:id="511"/>
      <w:bookmarkEnd w:id="511"/>
      <w:r>
        <w:rPr>
          <w:color w:val="4F81BC"/>
        </w:rPr>
        <w:t>sin</w:t>
      </w:r>
      <w:r>
        <w:rPr>
          <w:color w:val="4F81BC"/>
        </w:rPr>
        <w:t>gleXmlCell (Table</w:t>
      </w:r>
      <w:r>
        <w:rPr>
          <w:color w:val="4F81BC"/>
          <w:spacing w:val="-1"/>
        </w:rPr>
        <w:t> </w:t>
      </w:r>
      <w:r>
        <w:rPr>
          <w:color w:val="4F81BC"/>
        </w:rPr>
        <w:t>Properties)</w:t>
      </w:r>
    </w:p>
    <w:p>
      <w:pPr>
        <w:pStyle w:val="BodyText"/>
        <w:spacing w:before="124"/>
        <w:ind w:left="220"/>
      </w:pPr>
      <w:r>
        <w:rPr/>
        <w:t>This element represents the table properties for a single cell XML 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line="256" w:lineRule="exact" w:before="45"/>
              <w:rPr>
                <w:rFonts w:ascii="Cambria"/>
                <w:sz w:val="22"/>
              </w:rPr>
            </w:pPr>
            <w:r>
              <w:rPr>
                <w:rFonts w:ascii="Cambria"/>
                <w:sz w:val="22"/>
              </w:rPr>
              <w:t>connectionId</w:t>
            </w:r>
          </w:p>
          <w:p>
            <w:pPr>
              <w:pStyle w:val="TableParagraph"/>
              <w:spacing w:line="267" w:lineRule="exact" w:before="0"/>
              <w:rPr>
                <w:sz w:val="22"/>
              </w:rPr>
            </w:pPr>
            <w:r>
              <w:rPr>
                <w:sz w:val="22"/>
              </w:rPr>
              <w:t>(Connection ID)</w:t>
            </w:r>
          </w:p>
        </w:tc>
        <w:tc>
          <w:tcPr>
            <w:tcW w:w="8250" w:type="dxa"/>
          </w:tcPr>
          <w:p>
            <w:pPr>
              <w:pStyle w:val="TableParagraph"/>
              <w:spacing w:line="237" w:lineRule="auto" w:before="44"/>
              <w:ind w:right="869"/>
              <w:rPr>
                <w:sz w:val="22"/>
              </w:rPr>
            </w:pPr>
            <w:r>
              <w:rPr>
                <w:sz w:val="22"/>
              </w:rPr>
              <w:t>An integer representing an ID to indicate which connection from the connections collection is used by this table.</w:t>
            </w:r>
          </w:p>
        </w:tc>
      </w:tr>
    </w:tbl>
    <w:p>
      <w:pPr>
        <w:spacing w:after="0" w:line="237" w:lineRule="auto"/>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sz w:val="22"/>
              </w:rPr>
            </w:pPr>
            <w:r>
              <w:rPr>
                <w:sz w:val="22"/>
              </w:rPr>
              <w:t>This is only used for tables that are based off of xml maps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id </w:t>
            </w:r>
            <w:r>
              <w:rPr>
                <w:sz w:val="22"/>
              </w:rPr>
              <w:t>(Table Id)</w:t>
            </w:r>
          </w:p>
        </w:tc>
        <w:tc>
          <w:tcPr>
            <w:tcW w:w="8250" w:type="dxa"/>
          </w:tcPr>
          <w:p>
            <w:pPr>
              <w:pStyle w:val="TableParagraph"/>
              <w:rPr>
                <w:sz w:val="22"/>
              </w:rPr>
            </w:pPr>
            <w:r>
              <w:rPr>
                <w:sz w:val="22"/>
              </w:rPr>
              <w:t>An integer representing the unique identifier of the table.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An A1 cell style reference to the cell that the single cell xml table occupies.</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CT_SingleXmlCell</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7"/>
        </w:numPr>
        <w:tabs>
          <w:tab w:pos="1732" w:val="left" w:leader="none"/>
          <w:tab w:pos="1733" w:val="left" w:leader="none"/>
        </w:tabs>
        <w:spacing w:line="240" w:lineRule="auto" w:before="0" w:after="0"/>
        <w:ind w:left="1732" w:right="0" w:hanging="1513"/>
        <w:jc w:val="left"/>
      </w:pPr>
      <w:bookmarkStart w:name="18.5.2.2 singleXmlCells (Single Cells)" w:id="512"/>
      <w:bookmarkEnd w:id="512"/>
      <w:r>
        <w:rPr/>
      </w:r>
      <w:bookmarkStart w:name="_bookmark169" w:id="513"/>
      <w:bookmarkEnd w:id="513"/>
      <w:r>
        <w:rPr/>
      </w:r>
      <w:bookmarkStart w:name="_bookmark169" w:id="514"/>
      <w:bookmarkEnd w:id="514"/>
      <w:r>
        <w:rPr>
          <w:color w:val="4F81BC"/>
        </w:rPr>
        <w:t>sin</w:t>
      </w:r>
      <w:r>
        <w:rPr>
          <w:color w:val="4F81BC"/>
        </w:rPr>
        <w:t>gleXmlCells (Single</w:t>
      </w:r>
      <w:r>
        <w:rPr>
          <w:color w:val="4F81BC"/>
          <w:spacing w:val="-2"/>
        </w:rPr>
        <w:t> </w:t>
      </w:r>
      <w:r>
        <w:rPr>
          <w:color w:val="4F81BC"/>
        </w:rPr>
        <w:t>Cells)</w:t>
      </w:r>
    </w:p>
    <w:p>
      <w:pPr>
        <w:pStyle w:val="BodyText"/>
        <w:spacing w:before="124"/>
        <w:ind w:left="220"/>
      </w:pPr>
      <w:r>
        <w:rPr/>
        <w:t>This element is a container for a collection of </w:t>
      </w:r>
      <w:r>
        <w:rPr>
          <w:rFonts w:ascii="Cambria"/>
        </w:rPr>
        <w:t>singleXmlCell </w:t>
      </w:r>
      <w:r>
        <w:rPr/>
        <w:t>tables.</w:t>
      </w: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CT_SingleXmlCells</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37"/>
        </w:numPr>
        <w:tabs>
          <w:tab w:pos="1732" w:val="left" w:leader="none"/>
          <w:tab w:pos="1733" w:val="left" w:leader="none"/>
        </w:tabs>
        <w:spacing w:line="240" w:lineRule="auto" w:before="0" w:after="0"/>
        <w:ind w:left="1732" w:right="0" w:hanging="1513"/>
        <w:jc w:val="left"/>
      </w:pPr>
      <w:bookmarkStart w:name="18.5.2.3 xmlCellPr (Cell Properties)" w:id="515"/>
      <w:bookmarkEnd w:id="515"/>
      <w:r>
        <w:rPr/>
      </w:r>
      <w:bookmarkStart w:name="_bookmark170" w:id="516"/>
      <w:bookmarkEnd w:id="516"/>
      <w:r>
        <w:rPr/>
      </w:r>
      <w:bookmarkStart w:name="_bookmark170" w:id="517"/>
      <w:bookmarkEnd w:id="517"/>
      <w:r>
        <w:rPr>
          <w:color w:val="4F81BC"/>
        </w:rPr>
        <w:t>x</w:t>
      </w:r>
      <w:r>
        <w:rPr>
          <w:color w:val="4F81BC"/>
        </w:rPr>
        <w:t>mlCellPr (Cell</w:t>
      </w:r>
      <w:r>
        <w:rPr>
          <w:color w:val="4F81BC"/>
          <w:spacing w:val="-2"/>
        </w:rPr>
        <w:t> </w:t>
      </w:r>
      <w:r>
        <w:rPr>
          <w:color w:val="4F81BC"/>
        </w:rPr>
        <w:t>Properties)</w:t>
      </w:r>
    </w:p>
    <w:p>
      <w:pPr>
        <w:pStyle w:val="BodyText"/>
        <w:spacing w:before="121"/>
        <w:ind w:left="220"/>
      </w:pPr>
      <w:r>
        <w:rPr/>
        <w:t>This element stores the XML properties for the cell of a single cell xml 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967" w:hRule="atLeast"/>
        </w:trPr>
        <w:tc>
          <w:tcPr>
            <w:tcW w:w="2062" w:type="dxa"/>
          </w:tcPr>
          <w:p>
            <w:pPr>
              <w:pStyle w:val="TableParagraph"/>
              <w:rPr>
                <w:sz w:val="22"/>
              </w:rPr>
            </w:pPr>
            <w:r>
              <w:rPr>
                <w:rFonts w:ascii="Cambria"/>
                <w:sz w:val="22"/>
              </w:rPr>
              <w:t>id </w:t>
            </w:r>
            <w:r>
              <w:rPr>
                <w:sz w:val="22"/>
              </w:rPr>
              <w:t>(Table Field Id)</w:t>
            </w:r>
          </w:p>
        </w:tc>
        <w:tc>
          <w:tcPr>
            <w:tcW w:w="8250" w:type="dxa"/>
          </w:tcPr>
          <w:p>
            <w:pPr>
              <w:pStyle w:val="TableParagraph"/>
              <w:rPr>
                <w:sz w:val="22"/>
              </w:rPr>
            </w:pPr>
            <w:r>
              <w:rPr>
                <w:sz w:val="22"/>
              </w:rPr>
              <w:t>The unique identifier of the XML properties for the cell.</w:t>
            </w:r>
          </w:p>
          <w:p>
            <w:pPr>
              <w:pStyle w:val="TableParagraph"/>
              <w:spacing w:before="0"/>
              <w:ind w:left="0"/>
              <w:rPr>
                <w:sz w:val="22"/>
              </w:rPr>
            </w:pPr>
          </w:p>
          <w:p>
            <w:pPr>
              <w:pStyle w:val="TableParagraph"/>
              <w:spacing w:before="0"/>
              <w:ind w:right="227"/>
              <w:rPr>
                <w:sz w:val="22"/>
              </w:rPr>
            </w:pPr>
            <w:r>
              <w:rPr>
                <w:sz w:val="22"/>
              </w:rPr>
              <w:t>This should always be set to the value of 1 since this id is always meant to be for a single cell xml table.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Pr>
          <w:p>
            <w:pPr>
              <w:pStyle w:val="TableParagraph"/>
              <w:spacing w:line="237" w:lineRule="auto" w:before="45"/>
              <w:ind w:right="680"/>
              <w:jc w:val="both"/>
              <w:rPr>
                <w:sz w:val="22"/>
              </w:rPr>
            </w:pPr>
            <w:r>
              <w:rPr>
                <w:rFonts w:ascii="Cambria"/>
                <w:sz w:val="22"/>
              </w:rPr>
              <w:t>uniqueName </w:t>
            </w:r>
            <w:r>
              <w:rPr>
                <w:sz w:val="22"/>
              </w:rPr>
              <w:t>(Unique Table Name)</w:t>
            </w:r>
          </w:p>
        </w:tc>
        <w:tc>
          <w:tcPr>
            <w:tcW w:w="8250" w:type="dxa"/>
          </w:tcPr>
          <w:p>
            <w:pPr>
              <w:pStyle w:val="TableParagraph"/>
              <w:ind w:right="111"/>
              <w:rPr>
                <w:sz w:val="22"/>
              </w:rPr>
            </w:pPr>
            <w:r>
              <w:rPr>
                <w:sz w:val="22"/>
              </w:rPr>
              <w:t>An optional string representing the unique name of the table column. By default this is the same as the name of the column.</w:t>
            </w:r>
          </w:p>
          <w:p>
            <w:pPr>
              <w:pStyle w:val="TableParagraph"/>
              <w:spacing w:before="11"/>
              <w:ind w:left="0"/>
              <w:rPr>
                <w:sz w:val="21"/>
              </w:rPr>
            </w:pPr>
          </w:p>
          <w:p>
            <w:pPr>
              <w:pStyle w:val="TableParagraph"/>
              <w:spacing w:before="0"/>
              <w:ind w:right="311"/>
              <w:rPr>
                <w:sz w:val="22"/>
              </w:rPr>
            </w:pPr>
            <w:r>
              <w:rPr>
                <w:sz w:val="22"/>
              </w:rPr>
              <w:t>This should hold the name of the element or attribute that this cell is referring to in the XML.</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footerReference w:type="even" r:id="rId65"/>
          <w:footerReference w:type="default" r:id="rId66"/>
          <w:pgSz w:w="12240" w:h="15840"/>
          <w:pgMar w:footer="746" w:header="761" w:top="1340" w:bottom="940" w:left="860" w:right="700"/>
          <w:pgNumType w:start="1740"/>
        </w:sectPr>
      </w:pPr>
    </w:p>
    <w:p>
      <w:pPr>
        <w:pStyle w:val="BodyText"/>
        <w:rPr>
          <w:sz w:val="20"/>
        </w:rPr>
      </w:pPr>
    </w:p>
    <w:p>
      <w:pPr>
        <w:pStyle w:val="BodyText"/>
        <w:spacing w:before="3"/>
        <w:rPr>
          <w:sz w:val="29"/>
        </w:rPr>
      </w:pPr>
    </w:p>
    <w:p>
      <w:pPr>
        <w:pStyle w:val="BodyText"/>
        <w:spacing w:line="278" w:lineRule="auto" w:before="56"/>
        <w:ind w:left="220" w:right="626"/>
      </w:pPr>
      <w:r>
        <w:rPr/>
        <w:t>[</w:t>
      </w:r>
      <w:r>
        <w:rPr>
          <w:i/>
        </w:rPr>
        <w:t>Note</w:t>
      </w:r>
      <w:r>
        <w:rPr/>
        <w:t>: The W3C XML Schema definition of this element’s content model (</w:t>
      </w:r>
      <w:r>
        <w:rPr>
          <w:color w:val="5F5F5F"/>
          <w:u w:val="single" w:color="5F5F5F"/>
        </w:rPr>
        <w:t>CT_XmlCellPr</w:t>
      </w:r>
      <w:r>
        <w:rPr/>
        <w:t>) is located in §A.2. </w:t>
      </w:r>
      <w:r>
        <w:rPr>
          <w:i/>
        </w:rPr>
        <w:t>end </w:t>
      </w:r>
      <w:r>
        <w:rPr>
          <w:i/>
        </w:rPr>
        <w:t>note</w:t>
      </w:r>
      <w:r>
        <w:rPr/>
        <w:t>]</w:t>
      </w:r>
    </w:p>
    <w:p>
      <w:pPr>
        <w:pStyle w:val="BodyText"/>
        <w:spacing w:before="3"/>
        <w:rPr>
          <w:sz w:val="16"/>
        </w:rPr>
      </w:pPr>
    </w:p>
    <w:p>
      <w:pPr>
        <w:pStyle w:val="Heading3"/>
        <w:numPr>
          <w:ilvl w:val="3"/>
          <w:numId w:val="37"/>
        </w:numPr>
        <w:tabs>
          <w:tab w:pos="1732" w:val="left" w:leader="none"/>
          <w:tab w:pos="1733" w:val="left" w:leader="none"/>
        </w:tabs>
        <w:spacing w:line="240" w:lineRule="auto" w:before="0" w:after="0"/>
        <w:ind w:left="1732" w:right="0" w:hanging="1513"/>
        <w:jc w:val="left"/>
      </w:pPr>
      <w:bookmarkStart w:name="18.5.2.4 xmlPr (Column XML Properties)" w:id="518"/>
      <w:bookmarkEnd w:id="518"/>
      <w:r>
        <w:rPr/>
      </w:r>
      <w:bookmarkStart w:name="_bookmark171" w:id="519"/>
      <w:bookmarkEnd w:id="519"/>
      <w:r>
        <w:rPr/>
      </w:r>
      <w:bookmarkStart w:name="_bookmark171" w:id="520"/>
      <w:bookmarkEnd w:id="520"/>
      <w:r>
        <w:rPr>
          <w:color w:val="4F81BC"/>
        </w:rPr>
        <w:t>x</w:t>
      </w:r>
      <w:r>
        <w:rPr>
          <w:color w:val="4F81BC"/>
        </w:rPr>
        <w:t>mlPr (Column XML</w:t>
      </w:r>
      <w:r>
        <w:rPr>
          <w:color w:val="4F81BC"/>
          <w:spacing w:val="-9"/>
        </w:rPr>
        <w:t> </w:t>
      </w:r>
      <w:r>
        <w:rPr>
          <w:color w:val="4F81BC"/>
        </w:rPr>
        <w:t>Properties)</w:t>
      </w:r>
    </w:p>
    <w:p>
      <w:pPr>
        <w:pStyle w:val="BodyText"/>
        <w:spacing w:before="121"/>
        <w:ind w:left="220"/>
      </w:pPr>
      <w:r>
        <w:rPr/>
        <w:t>This element represents the column properties for single cell XML</w:t>
      </w:r>
      <w:r>
        <w:rPr>
          <w:spacing w:val="-23"/>
        </w:rPr>
        <w:t> </w:t>
      </w:r>
      <w:r>
        <w:rPr/>
        <w:t>tables.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342"/>
              <w:rPr>
                <w:sz w:val="22"/>
              </w:rPr>
            </w:pPr>
            <w:r>
              <w:rPr>
                <w:rFonts w:ascii="Cambria"/>
                <w:sz w:val="22"/>
              </w:rPr>
              <w:t>mapId </w:t>
            </w:r>
            <w:r>
              <w:rPr>
                <w:sz w:val="22"/>
              </w:rPr>
              <w:t>(XML Map Id)</w:t>
            </w:r>
          </w:p>
        </w:tc>
        <w:tc>
          <w:tcPr>
            <w:tcW w:w="8250" w:type="dxa"/>
          </w:tcPr>
          <w:p>
            <w:pPr>
              <w:pStyle w:val="TableParagraph"/>
              <w:rPr>
                <w:sz w:val="22"/>
              </w:rPr>
            </w:pPr>
            <w:r>
              <w:rPr>
                <w:sz w:val="22"/>
              </w:rPr>
              <w:t>An integer representing the ID of the XML map this table field is associated with.</w:t>
            </w:r>
          </w:p>
          <w:p>
            <w:pPr>
              <w:pStyle w:val="TableParagraph"/>
              <w:spacing w:before="2"/>
              <w:ind w:left="0"/>
              <w:rPr>
                <w:sz w:val="22"/>
              </w:rPr>
            </w:pPr>
          </w:p>
          <w:p>
            <w:pPr>
              <w:pStyle w:val="TableParagraph"/>
              <w:spacing w:line="237" w:lineRule="auto" w:before="0"/>
              <w:ind w:right="555"/>
              <w:rPr>
                <w:sz w:val="22"/>
              </w:rPr>
            </w:pPr>
            <w:r>
              <w:rPr>
                <w:sz w:val="22"/>
              </w:rPr>
              <w:t>The XML map is defined in the xml maps part, and the </w:t>
            </w:r>
            <w:r>
              <w:rPr>
                <w:rFonts w:ascii="Cambria"/>
                <w:sz w:val="22"/>
              </w:rPr>
              <w:t>Map </w:t>
            </w:r>
            <w:r>
              <w:rPr>
                <w:sz w:val="22"/>
              </w:rPr>
              <w:t>element should have the corresponding </w:t>
            </w:r>
            <w:r>
              <w:rPr>
                <w:rFonts w:ascii="Consolas"/>
                <w:sz w:val="20"/>
              </w:rPr>
              <w:t>id</w:t>
            </w:r>
            <w:r>
              <w:rPr>
                <w:sz w:val="22"/>
              </w:rPr>
              <w:t>.</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ind w:right="152"/>
              <w:rPr>
                <w:sz w:val="22"/>
              </w:rPr>
            </w:pPr>
            <w:r>
              <w:rPr>
                <w:rFonts w:ascii="Cambria"/>
                <w:sz w:val="22"/>
              </w:rPr>
              <w:t>xmlDataType </w:t>
            </w:r>
            <w:r>
              <w:rPr>
                <w:sz w:val="22"/>
              </w:rPr>
              <w:t>(XML Data Type)</w:t>
            </w:r>
          </w:p>
        </w:tc>
        <w:tc>
          <w:tcPr>
            <w:tcW w:w="8250" w:type="dxa"/>
          </w:tcPr>
          <w:p>
            <w:pPr>
              <w:pStyle w:val="TableParagraph"/>
              <w:rPr>
                <w:sz w:val="22"/>
              </w:rPr>
            </w:pPr>
            <w:r>
              <w:rPr>
                <w:sz w:val="22"/>
              </w:rPr>
              <w:t>An enumeration indicating which XML data type is used by this column.</w:t>
            </w:r>
          </w:p>
          <w:p>
            <w:pPr>
              <w:pStyle w:val="TableParagraph"/>
              <w:spacing w:before="0"/>
              <w:ind w:left="0"/>
              <w:rPr>
                <w:sz w:val="22"/>
              </w:rPr>
            </w:pPr>
          </w:p>
          <w:p>
            <w:pPr>
              <w:pStyle w:val="TableParagraph"/>
              <w:spacing w:before="0"/>
              <w:ind w:right="431"/>
              <w:rPr>
                <w:sz w:val="22"/>
              </w:rPr>
            </w:pPr>
            <w:r>
              <w:rPr>
                <w:sz w:val="22"/>
              </w:rPr>
              <w:t>The possible values for this attribute are defined by the </w:t>
            </w:r>
            <w:r>
              <w:rPr>
                <w:rFonts w:ascii="Cambria" w:hAnsi="Cambria"/>
                <w:sz w:val="22"/>
              </w:rPr>
              <w:t>ST_XmlDataType </w:t>
            </w:r>
            <w:r>
              <w:rPr>
                <w:sz w:val="22"/>
              </w:rPr>
              <w:t>simple type </w:t>
            </w:r>
            <w:hyperlink w:history="true" w:anchor="_bookmark915">
              <w:r>
                <w:rPr>
                  <w:sz w:val="22"/>
                </w:rPr>
                <w:t>(§18.18.93</w:t>
              </w:r>
            </w:hyperlink>
            <w:r>
              <w:rPr>
                <w:sz w:val="22"/>
              </w:rPr>
              <w:t>).</w:t>
            </w:r>
          </w:p>
        </w:tc>
      </w:tr>
      <w:tr>
        <w:trPr>
          <w:trHeight w:val="7116" w:hRule="atLeast"/>
        </w:trPr>
        <w:tc>
          <w:tcPr>
            <w:tcW w:w="2062" w:type="dxa"/>
          </w:tcPr>
          <w:p>
            <w:pPr>
              <w:pStyle w:val="TableParagraph"/>
              <w:rPr>
                <w:sz w:val="22"/>
              </w:rPr>
            </w:pPr>
            <w:r>
              <w:rPr>
                <w:rFonts w:ascii="Cambria"/>
                <w:sz w:val="22"/>
              </w:rPr>
              <w:t>xpath </w:t>
            </w:r>
            <w:r>
              <w:rPr>
                <w:sz w:val="22"/>
              </w:rPr>
              <w:t>(XPath)</w:t>
            </w:r>
          </w:p>
        </w:tc>
        <w:tc>
          <w:tcPr>
            <w:tcW w:w="8250" w:type="dxa"/>
          </w:tcPr>
          <w:p>
            <w:pPr>
              <w:pStyle w:val="TableParagraph"/>
              <w:spacing w:line="477" w:lineRule="auto"/>
              <w:ind w:right="824"/>
              <w:rPr>
                <w:sz w:val="22"/>
              </w:rPr>
            </w:pPr>
            <w:r>
              <w:rPr>
                <w:sz w:val="22"/>
              </w:rPr>
              <w:t>A string representing the XML path to the element this column is associated with. The spreadsheet application should support XPath limited to the following:</w:t>
            </w:r>
          </w:p>
          <w:p>
            <w:pPr>
              <w:pStyle w:val="TableParagraph"/>
              <w:numPr>
                <w:ilvl w:val="0"/>
                <w:numId w:val="38"/>
              </w:numPr>
              <w:tabs>
                <w:tab w:pos="834" w:val="left" w:leader="none"/>
                <w:tab w:pos="835" w:val="left" w:leader="none"/>
                <w:tab w:pos="6611" w:val="left" w:leader="none"/>
              </w:tabs>
              <w:spacing w:line="240" w:lineRule="auto" w:before="4" w:after="0"/>
              <w:ind w:left="835" w:right="0" w:hanging="360"/>
              <w:jc w:val="left"/>
              <w:rPr>
                <w:sz w:val="22"/>
              </w:rPr>
            </w:pPr>
            <w:r>
              <w:rPr>
                <w:sz w:val="22"/>
              </w:rPr>
              <w:t>The XPath is an absolute path to a simple-content</w:t>
            </w:r>
            <w:r>
              <w:rPr>
                <w:spacing w:val="-10"/>
                <w:sz w:val="22"/>
              </w:rPr>
              <w:t> </w:t>
            </w:r>
            <w:r>
              <w:rPr>
                <w:sz w:val="22"/>
              </w:rPr>
              <w:t>element</w:t>
            </w:r>
            <w:r>
              <w:rPr>
                <w:spacing w:val="-2"/>
                <w:sz w:val="22"/>
              </w:rPr>
              <w:t> </w:t>
            </w:r>
            <w:r>
              <w:rPr>
                <w:sz w:val="22"/>
              </w:rPr>
              <w:t>or</w:t>
              <w:tab/>
              <w:t>attribute</w:t>
            </w:r>
          </w:p>
          <w:p>
            <w:pPr>
              <w:pStyle w:val="TableParagraph"/>
              <w:spacing w:before="1"/>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0"/>
              <w:ind w:right="188"/>
              <w:rPr>
                <w:sz w:val="22"/>
              </w:rPr>
            </w:pPr>
            <w:r>
              <w:rPr>
                <w:sz w:val="22"/>
              </w:rPr>
              <w:t>"/ns1:root/ns1:row/ns1:column1" is supported if 'column1' is a child-most node, but not "/ns1:root/ns1:row" for the same document since 'row' is not a child.</w:t>
            </w:r>
          </w:p>
          <w:p>
            <w:pPr>
              <w:pStyle w:val="TableParagraph"/>
              <w:spacing w:before="0"/>
              <w:rPr>
                <w:sz w:val="22"/>
              </w:rPr>
            </w:pPr>
            <w:r>
              <w:rPr>
                <w:i/>
                <w:sz w:val="22"/>
              </w:rPr>
              <w:t>end example</w:t>
            </w:r>
            <w:r>
              <w:rPr>
                <w:sz w:val="22"/>
              </w:rPr>
              <w:t>]</w:t>
            </w:r>
          </w:p>
          <w:p>
            <w:pPr>
              <w:pStyle w:val="TableParagraph"/>
              <w:numPr>
                <w:ilvl w:val="0"/>
                <w:numId w:val="38"/>
              </w:numPr>
              <w:tabs>
                <w:tab w:pos="834" w:val="left" w:leader="none"/>
                <w:tab w:pos="835" w:val="left" w:leader="none"/>
              </w:tabs>
              <w:spacing w:line="530" w:lineRule="atLeast" w:before="18" w:after="0"/>
              <w:ind w:left="115" w:right="1679" w:firstLine="360"/>
              <w:jc w:val="left"/>
              <w:rPr>
                <w:sz w:val="22"/>
              </w:rPr>
            </w:pPr>
            <w:r>
              <w:rPr>
                <w:sz w:val="22"/>
              </w:rPr>
              <w:t>The XPath does not express axes, but uses the default child axes [</w:t>
            </w:r>
            <w:r>
              <w:rPr>
                <w:i/>
                <w:sz w:val="22"/>
              </w:rPr>
              <w:t>Example</w:t>
            </w:r>
            <w:r>
              <w:rPr>
                <w:sz w:val="22"/>
              </w:rPr>
              <w:t>:</w:t>
            </w:r>
          </w:p>
          <w:p>
            <w:pPr>
              <w:pStyle w:val="TableParagraph"/>
              <w:spacing w:before="8"/>
              <w:ind w:left="165"/>
              <w:rPr>
                <w:sz w:val="22"/>
              </w:rPr>
            </w:pPr>
            <w:r>
              <w:rPr>
                <w:sz w:val="22"/>
              </w:rPr>
              <w:t>"/ns1:root/ns1:row" is supported but not</w:t>
            </w:r>
            <w:r>
              <w:rPr>
                <w:spacing w:val="-27"/>
                <w:sz w:val="22"/>
              </w:rPr>
              <w:t> </w:t>
            </w:r>
            <w:r>
              <w:rPr>
                <w:sz w:val="22"/>
              </w:rPr>
              <w:t>"/ns1:root/child::ns1:row</w:t>
            </w:r>
          </w:p>
          <w:p>
            <w:pPr>
              <w:pStyle w:val="TableParagraph"/>
              <w:spacing w:before="0"/>
              <w:rPr>
                <w:sz w:val="22"/>
              </w:rPr>
            </w:pPr>
            <w:r>
              <w:rPr>
                <w:i/>
                <w:sz w:val="22"/>
              </w:rPr>
              <w:t>end example</w:t>
            </w:r>
            <w:r>
              <w:rPr>
                <w:sz w:val="22"/>
              </w:rPr>
              <w:t>]</w:t>
            </w:r>
          </w:p>
          <w:p>
            <w:pPr>
              <w:pStyle w:val="TableParagraph"/>
              <w:numPr>
                <w:ilvl w:val="0"/>
                <w:numId w:val="38"/>
              </w:numPr>
              <w:tabs>
                <w:tab w:pos="834" w:val="left" w:leader="none"/>
                <w:tab w:pos="835" w:val="left" w:leader="none"/>
              </w:tabs>
              <w:spacing w:line="530" w:lineRule="atLeast" w:before="19" w:after="0"/>
              <w:ind w:left="115" w:right="2193" w:firstLine="360"/>
              <w:jc w:val="left"/>
              <w:rPr>
                <w:sz w:val="22"/>
              </w:rPr>
            </w:pPr>
            <w:r>
              <w:rPr>
                <w:sz w:val="22"/>
              </w:rPr>
              <w:t>An optional filter can be expressed at the end of the xpath [</w:t>
            </w:r>
            <w:r>
              <w:rPr>
                <w:i/>
                <w:sz w:val="22"/>
              </w:rPr>
              <w:t>Example</w:t>
            </w:r>
            <w:r>
              <w:rPr>
                <w:sz w:val="22"/>
              </w:rPr>
              <w:t>:</w:t>
            </w:r>
          </w:p>
          <w:p>
            <w:pPr>
              <w:pStyle w:val="TableParagraph"/>
              <w:spacing w:before="6"/>
              <w:ind w:right="2265"/>
              <w:rPr>
                <w:sz w:val="22"/>
              </w:rPr>
            </w:pPr>
            <w:r>
              <w:rPr>
                <w:sz w:val="22"/>
              </w:rPr>
              <w:t>"/ns1:root/ns1:row/ns1:column1[@foo='abc']" is supported but not "/ns1:root/ns1:row[@foo='abc']/ns1:column1"</w:t>
            </w:r>
          </w:p>
          <w:p>
            <w:pPr>
              <w:pStyle w:val="TableParagraph"/>
              <w:spacing w:before="1"/>
              <w:rPr>
                <w:sz w:val="22"/>
              </w:rPr>
            </w:pPr>
            <w:r>
              <w:rPr>
                <w:i/>
                <w:sz w:val="22"/>
              </w:rPr>
              <w:t>end example</w:t>
            </w:r>
            <w:r>
              <w:rPr>
                <w:sz w:val="22"/>
              </w:rPr>
              <w:t>]</w:t>
            </w:r>
          </w:p>
          <w:p>
            <w:pPr>
              <w:pStyle w:val="TableParagraph"/>
              <w:spacing w:before="0"/>
              <w:ind w:left="0"/>
              <w:rPr>
                <w:sz w:val="22"/>
              </w:rPr>
            </w:pPr>
          </w:p>
          <w:p>
            <w:pPr>
              <w:pStyle w:val="TableParagraph"/>
              <w:numPr>
                <w:ilvl w:val="0"/>
                <w:numId w:val="38"/>
              </w:numPr>
              <w:tabs>
                <w:tab w:pos="834" w:val="left" w:leader="none"/>
                <w:tab w:pos="835" w:val="left" w:leader="none"/>
              </w:tabs>
              <w:spacing w:line="240" w:lineRule="auto" w:before="1" w:after="0"/>
              <w:ind w:left="835" w:right="279" w:hanging="360"/>
              <w:jc w:val="left"/>
              <w:rPr>
                <w:sz w:val="22"/>
              </w:rPr>
            </w:pPr>
            <w:r>
              <w:rPr>
                <w:sz w:val="22"/>
              </w:rPr>
              <w:t>The filter can only contain a single expression comparing a named attribute to a specific</w:t>
            </w:r>
            <w:r>
              <w:rPr>
                <w:spacing w:val="-3"/>
                <w:sz w:val="22"/>
              </w:rPr>
              <w:t> </w:t>
            </w:r>
            <w:r>
              <w:rPr>
                <w:sz w:val="22"/>
              </w:rPr>
              <w:t>value</w:t>
            </w:r>
          </w:p>
        </w:tc>
      </w:tr>
    </w:tbl>
    <w:p>
      <w:pPr>
        <w:spacing w:after="0" w:line="240" w:lineRule="auto"/>
        <w:jc w:val="left"/>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5505" w:hRule="atLeast"/>
        </w:trPr>
        <w:tc>
          <w:tcPr>
            <w:tcW w:w="2062" w:type="dxa"/>
          </w:tcPr>
          <w:p>
            <w:pPr>
              <w:pStyle w:val="TableParagraph"/>
              <w:spacing w:before="0"/>
              <w:ind w:left="0"/>
              <w:rPr>
                <w:rFonts w:ascii="Times New Roman"/>
                <w:sz w:val="22"/>
              </w:rPr>
            </w:pPr>
          </w:p>
        </w:tc>
        <w:tc>
          <w:tcPr>
            <w:tcW w:w="8250" w:type="dxa"/>
          </w:tcPr>
          <w:p>
            <w:pPr>
              <w:pStyle w:val="TableParagraph"/>
              <w:numPr>
                <w:ilvl w:val="0"/>
                <w:numId w:val="39"/>
              </w:numPr>
              <w:tabs>
                <w:tab w:pos="834" w:val="left" w:leader="none"/>
                <w:tab w:pos="835" w:val="left" w:leader="none"/>
              </w:tabs>
              <w:spacing w:line="240" w:lineRule="auto" w:before="40" w:after="0"/>
              <w:ind w:left="835" w:right="458" w:hanging="360"/>
              <w:jc w:val="left"/>
              <w:rPr>
                <w:sz w:val="22"/>
              </w:rPr>
            </w:pPr>
            <w:r>
              <w:rPr>
                <w:sz w:val="22"/>
              </w:rPr>
              <w:t>Filters are only supported on XPaths that resolve to a simple-content element (not</w:t>
            </w:r>
            <w:r>
              <w:rPr>
                <w:spacing w:val="-1"/>
                <w:sz w:val="22"/>
              </w:rPr>
              <w:t> </w:t>
            </w:r>
            <w:r>
              <w:rPr>
                <w:sz w:val="22"/>
              </w:rPr>
              <w:t>attributes)</w:t>
            </w:r>
          </w:p>
          <w:p>
            <w:pPr>
              <w:pStyle w:val="TableParagraph"/>
              <w:numPr>
                <w:ilvl w:val="0"/>
                <w:numId w:val="39"/>
              </w:numPr>
              <w:tabs>
                <w:tab w:pos="834" w:val="left" w:leader="none"/>
                <w:tab w:pos="835" w:val="left" w:leader="none"/>
              </w:tabs>
              <w:spacing w:line="237" w:lineRule="auto" w:before="3" w:after="0"/>
              <w:ind w:left="835" w:right="746" w:hanging="360"/>
              <w:jc w:val="left"/>
              <w:rPr>
                <w:sz w:val="22"/>
              </w:rPr>
            </w:pPr>
            <w:r>
              <w:rPr>
                <w:sz w:val="22"/>
              </w:rPr>
              <w:t>The named attribute shall be defined as an attribute of the simple-content element</w:t>
            </w:r>
          </w:p>
          <w:p>
            <w:pPr>
              <w:pStyle w:val="TableParagraph"/>
              <w:numPr>
                <w:ilvl w:val="0"/>
                <w:numId w:val="39"/>
              </w:numPr>
              <w:tabs>
                <w:tab w:pos="834" w:val="left" w:leader="none"/>
                <w:tab w:pos="835" w:val="left" w:leader="none"/>
              </w:tabs>
              <w:spacing w:line="240" w:lineRule="auto" w:before="1" w:after="0"/>
              <w:ind w:left="835" w:right="127" w:hanging="360"/>
              <w:jc w:val="left"/>
              <w:rPr>
                <w:sz w:val="22"/>
              </w:rPr>
            </w:pPr>
            <w:r>
              <w:rPr>
                <w:sz w:val="22"/>
              </w:rPr>
              <w:t>The attribute name shall be preceded by the short-hand (@) symbol representing the axes 'attribute'</w:t>
            </w:r>
          </w:p>
          <w:p>
            <w:pPr>
              <w:pStyle w:val="TableParagraph"/>
              <w:spacing w:before="1"/>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0"/>
              <w:ind w:right="2380"/>
              <w:rPr>
                <w:sz w:val="22"/>
              </w:rPr>
            </w:pPr>
            <w:r>
              <w:rPr>
                <w:sz w:val="22"/>
              </w:rPr>
              <w:t>"/ns1:root/ns1:row/ns1:column1[@foo='abc']" is supported not "/ns1:root/ns1:row/ns1:column1[attribute::foo='abc']"</w:t>
            </w:r>
          </w:p>
          <w:p>
            <w:pPr>
              <w:pStyle w:val="TableParagraph"/>
              <w:spacing w:before="1"/>
              <w:rPr>
                <w:sz w:val="22"/>
              </w:rPr>
            </w:pPr>
            <w:r>
              <w:rPr>
                <w:i/>
                <w:sz w:val="22"/>
              </w:rPr>
              <w:t>end example</w:t>
            </w:r>
            <w:r>
              <w:rPr>
                <w:sz w:val="22"/>
              </w:rPr>
              <w:t>]</w:t>
            </w:r>
          </w:p>
          <w:p>
            <w:pPr>
              <w:pStyle w:val="TableParagraph"/>
              <w:numPr>
                <w:ilvl w:val="0"/>
                <w:numId w:val="39"/>
              </w:numPr>
              <w:tabs>
                <w:tab w:pos="834" w:val="left" w:leader="none"/>
                <w:tab w:pos="835" w:val="left" w:leader="none"/>
              </w:tabs>
              <w:spacing w:line="530" w:lineRule="atLeast" w:before="18" w:after="0"/>
              <w:ind w:left="115" w:right="587" w:firstLine="360"/>
              <w:jc w:val="left"/>
              <w:rPr>
                <w:sz w:val="22"/>
              </w:rPr>
            </w:pPr>
            <w:r>
              <w:rPr>
                <w:sz w:val="22"/>
              </w:rPr>
              <w:t>An arbitrary amount of white-space can be embedded between filter tokens [</w:t>
            </w:r>
            <w:r>
              <w:rPr>
                <w:i/>
                <w:sz w:val="22"/>
              </w:rPr>
              <w:t>Example</w:t>
            </w:r>
            <w:r>
              <w:rPr>
                <w:sz w:val="22"/>
              </w:rPr>
              <w:t>:</w:t>
            </w:r>
          </w:p>
          <w:p>
            <w:pPr>
              <w:pStyle w:val="TableParagraph"/>
              <w:spacing w:before="8"/>
              <w:ind w:left="165"/>
              <w:rPr>
                <w:sz w:val="22"/>
              </w:rPr>
            </w:pPr>
            <w:r>
              <w:rPr>
                <w:sz w:val="22"/>
              </w:rPr>
              <w:t>"/ns1:root/ns1:row/ns1:column1[ @ foo='abc']" is permitted</w:t>
            </w: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CT_XmlPr</w:t>
      </w:r>
      <w:r>
        <w:rPr/>
        <w:t>) is located in §A.2. </w:t>
      </w:r>
      <w:r>
        <w:rPr>
          <w:i/>
        </w:rPr>
        <w:t>end note</w:t>
      </w:r>
      <w:r>
        <w:rPr/>
        <w:t>]</w:t>
      </w:r>
    </w:p>
    <w:p>
      <w:pPr>
        <w:pStyle w:val="BodyText"/>
        <w:spacing w:before="7"/>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6 Calculation Chain" w:id="521"/>
      <w:bookmarkEnd w:id="521"/>
      <w:r>
        <w:rPr>
          <w:b w:val="0"/>
        </w:rPr>
      </w:r>
      <w:bookmarkStart w:name="_bookmark172" w:id="522"/>
      <w:bookmarkEnd w:id="522"/>
      <w:r>
        <w:rPr>
          <w:b w:val="0"/>
        </w:rPr>
      </w:r>
      <w:bookmarkStart w:name="_bookmark172" w:id="523"/>
      <w:bookmarkEnd w:id="523"/>
      <w:r>
        <w:rPr>
          <w:color w:val="4F81BC"/>
        </w:rPr>
        <w:t>C</w:t>
      </w:r>
      <w:r>
        <w:rPr>
          <w:color w:val="4F81BC"/>
        </w:rPr>
        <w:t>alculation</w:t>
      </w:r>
      <w:r>
        <w:rPr>
          <w:color w:val="4F81BC"/>
          <w:spacing w:val="-2"/>
        </w:rPr>
        <w:t> </w:t>
      </w:r>
      <w:r>
        <w:rPr>
          <w:color w:val="4F81BC"/>
        </w:rPr>
        <w:t>Chain</w:t>
      </w:r>
    </w:p>
    <w:p>
      <w:pPr>
        <w:pStyle w:val="BodyText"/>
        <w:spacing w:line="278" w:lineRule="auto" w:before="127"/>
        <w:ind w:left="220" w:right="503"/>
      </w:pPr>
      <w:r>
        <w:rPr/>
        <w:t>The cells in a workbook can be calculated in different orders depending on various optimizations and dependencies. The calculation chain specifies the order in which the cells in a workbook were last calculated.</w:t>
      </w:r>
    </w:p>
    <w:p>
      <w:pPr>
        <w:pStyle w:val="BodyText"/>
        <w:spacing w:line="276" w:lineRule="auto" w:before="196"/>
        <w:ind w:left="220" w:right="412"/>
      </w:pPr>
      <w:r>
        <w:rPr/>
        <w:t>The calculation chain only deals with cells that require calculation - i.e., it only deals with cells that contain formulas. It does not track or express dependencies amongst the formulas, but rather only records the order in which the cells were last calculated.</w:t>
      </w:r>
    </w:p>
    <w:p>
      <w:pPr>
        <w:pStyle w:val="BodyText"/>
        <w:spacing w:before="3"/>
        <w:rPr>
          <w:sz w:val="16"/>
        </w:rPr>
      </w:pPr>
    </w:p>
    <w:p>
      <w:pPr>
        <w:pStyle w:val="BodyText"/>
        <w:spacing w:line="276" w:lineRule="auto"/>
        <w:ind w:left="220" w:right="407"/>
      </w:pPr>
      <w:r>
        <w:rPr/>
        <w:t>The calculation chain order can change over time. One obvious way this can happen is that new formulas can be added, formulas can be removed or updated. The spreadsheet application can also optionally implement partial calculation as an optimization. Partial calculation is when the spreadsheet only recalculates cells that have had their dependencies or values changed. This way, when a number in a cell is changed, requiring an update to a dependent formula, only the cells that are affected by the update is recalculated, as opposed to recalculating the entire workbook.</w:t>
      </w:r>
    </w:p>
    <w:p>
      <w:pPr>
        <w:pStyle w:val="BodyText"/>
        <w:spacing w:before="7"/>
        <w:rPr>
          <w:sz w:val="16"/>
        </w:rPr>
      </w:pPr>
    </w:p>
    <w:p>
      <w:pPr>
        <w:pStyle w:val="BodyText"/>
        <w:spacing w:line="276" w:lineRule="auto"/>
        <w:ind w:left="220" w:right="412"/>
      </w:pPr>
      <w:r>
        <w:rPr/>
        <w:t>The calculation chain described in this section is not required by the spreadsheet application, but can be used if the spreadsheet application finds it useful. It can be loaded by a spreadsheet application, or the application can optionally construct it at run time in memory based on formula dependencies. Since the xml data described in this section is not strictly required, the spreadsheet application is free to ignore the order in which the</w:t>
      </w:r>
    </w:p>
    <w:p>
      <w:pPr>
        <w:spacing w:after="0" w:line="276" w:lineRule="auto"/>
        <w:sectPr>
          <w:pgSz w:w="12240" w:h="15840"/>
          <w:pgMar w:header="761" w:footer="746" w:top="1340" w:bottom="940" w:left="860" w:right="700"/>
        </w:sectPr>
      </w:pPr>
    </w:p>
    <w:p>
      <w:pPr>
        <w:pStyle w:val="BodyText"/>
        <w:spacing w:line="278" w:lineRule="auto" w:before="148"/>
        <w:ind w:left="220" w:right="531"/>
      </w:pPr>
      <w:r>
        <w:rPr/>
        <w:t>calculation chain specifies calculations - i.e., even if the calculation chain is loaded, the spreadsheet application is free to perform calculations in a different order at run time.</w:t>
      </w:r>
    </w:p>
    <w:p>
      <w:pPr>
        <w:pStyle w:val="BodyText"/>
        <w:spacing w:before="2"/>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220"/>
      </w:pPr>
      <w:r>
        <w:rPr/>
        <w:t>Consider the following workbook (the formulas shown instead of cell values):</w:t>
      </w:r>
    </w:p>
    <w:p>
      <w:pPr>
        <w:pStyle w:val="BodyText"/>
        <w:spacing w:before="9"/>
        <w:rPr>
          <w:sz w:val="17"/>
        </w:rPr>
      </w:pPr>
      <w:r>
        <w:rPr/>
        <w:drawing>
          <wp:anchor distT="0" distB="0" distL="0" distR="0" allowOverlap="1" layoutInCell="1" locked="0" behindDoc="0" simplePos="0" relativeHeight="10">
            <wp:simplePos x="0" y="0"/>
            <wp:positionH relativeFrom="page">
              <wp:posOffset>685800</wp:posOffset>
            </wp:positionH>
            <wp:positionV relativeFrom="paragraph">
              <wp:posOffset>162442</wp:posOffset>
            </wp:positionV>
            <wp:extent cx="4459220" cy="1476375"/>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67" cstate="print"/>
                    <a:stretch>
                      <a:fillRect/>
                    </a:stretch>
                  </pic:blipFill>
                  <pic:spPr>
                    <a:xfrm>
                      <a:off x="0" y="0"/>
                      <a:ext cx="4459220" cy="1476375"/>
                    </a:xfrm>
                    <a:prstGeom prst="rect">
                      <a:avLst/>
                    </a:prstGeom>
                  </pic:spPr>
                </pic:pic>
              </a:graphicData>
            </a:graphic>
          </wp:anchor>
        </w:drawing>
      </w:r>
    </w:p>
    <w:p>
      <w:pPr>
        <w:pStyle w:val="BodyText"/>
        <w:spacing w:before="6"/>
        <w:rPr>
          <w:sz w:val="17"/>
        </w:rPr>
      </w:pPr>
    </w:p>
    <w:p>
      <w:pPr>
        <w:pStyle w:val="BodyText"/>
        <w:spacing w:line="278" w:lineRule="auto"/>
        <w:ind w:left="220" w:right="954"/>
      </w:pPr>
      <w:r>
        <w:rPr/>
        <w:t>There is a constant entered in A1 and A5, and next to each of those cells are a series of cells which contain formulas that depend on those cells.</w:t>
      </w:r>
    </w:p>
    <w:p>
      <w:pPr>
        <w:pStyle w:val="BodyText"/>
        <w:spacing w:before="198"/>
        <w:ind w:left="220"/>
      </w:pPr>
      <w:r>
        <w:rPr/>
        <w:t>After entering the cells on the first row, and then the cells on the 5th row, the calc chain xml looks like this:</w:t>
      </w:r>
    </w:p>
    <w:p>
      <w:pPr>
        <w:pStyle w:val="BodyText"/>
        <w:spacing w:before="8"/>
        <w:rPr>
          <w:sz w:val="19"/>
        </w:rPr>
      </w:pPr>
    </w:p>
    <w:p>
      <w:pPr>
        <w:pStyle w:val="BodyText"/>
        <w:ind w:left="508"/>
        <w:rPr>
          <w:rFonts w:ascii="Consolas"/>
        </w:rPr>
      </w:pPr>
      <w:r>
        <w:rPr>
          <w:rFonts w:ascii="Consolas"/>
        </w:rPr>
        <w:t>&lt;calcChain xmlns="</w:t>
      </w:r>
      <w:hyperlink r:id="rId22">
        <w:r>
          <w:rPr>
            <w:rFonts w:ascii="Consolas"/>
          </w:rPr>
          <w:t>http://purl.oclc.org/ooxml/spreadsheetml/main</w:t>
        </w:r>
      </w:hyperlink>
      <w:r>
        <w:rPr>
          <w:rFonts w:ascii="Consolas"/>
        </w:rPr>
        <w:t>"&gt;</w:t>
      </w:r>
    </w:p>
    <w:p>
      <w:pPr>
        <w:pStyle w:val="BodyText"/>
        <w:spacing w:before="37"/>
        <w:ind w:left="750"/>
        <w:rPr>
          <w:rFonts w:ascii="Consolas"/>
        </w:rPr>
      </w:pPr>
      <w:r>
        <w:rPr>
          <w:rFonts w:ascii="Consolas"/>
        </w:rPr>
        <w:t>&lt;c r="E5" i="1"/&gt;</w:t>
      </w:r>
    </w:p>
    <w:p>
      <w:pPr>
        <w:pStyle w:val="BodyText"/>
        <w:spacing w:before="40"/>
        <w:ind w:left="750"/>
        <w:rPr>
          <w:rFonts w:ascii="Consolas"/>
        </w:rPr>
      </w:pPr>
      <w:r>
        <w:rPr>
          <w:rFonts w:ascii="Consolas"/>
        </w:rPr>
        <w:t>&lt;c</w:t>
      </w:r>
      <w:r>
        <w:rPr>
          <w:rFonts w:ascii="Consolas"/>
          <w:spacing w:val="-7"/>
        </w:rPr>
        <w:t> </w:t>
      </w:r>
      <w:r>
        <w:rPr>
          <w:rFonts w:ascii="Consolas"/>
        </w:rPr>
        <w:t>r="D5"/&gt;</w:t>
      </w:r>
    </w:p>
    <w:p>
      <w:pPr>
        <w:pStyle w:val="BodyText"/>
        <w:spacing w:before="38"/>
        <w:ind w:left="750"/>
        <w:rPr>
          <w:rFonts w:ascii="Consolas"/>
        </w:rPr>
      </w:pPr>
      <w:r>
        <w:rPr>
          <w:rFonts w:ascii="Consolas"/>
        </w:rPr>
        <w:t>&lt;c</w:t>
      </w:r>
      <w:r>
        <w:rPr>
          <w:rFonts w:ascii="Consolas"/>
          <w:spacing w:val="-7"/>
        </w:rPr>
        <w:t> </w:t>
      </w:r>
      <w:r>
        <w:rPr>
          <w:rFonts w:ascii="Consolas"/>
        </w:rPr>
        <w:t>r="C5"/&gt;</w:t>
      </w:r>
    </w:p>
    <w:p>
      <w:pPr>
        <w:pStyle w:val="BodyText"/>
        <w:spacing w:before="40"/>
        <w:ind w:left="750"/>
        <w:rPr>
          <w:rFonts w:ascii="Consolas"/>
        </w:rPr>
      </w:pPr>
      <w:r>
        <w:rPr>
          <w:rFonts w:ascii="Consolas"/>
        </w:rPr>
        <w:t>&lt;c</w:t>
      </w:r>
      <w:r>
        <w:rPr>
          <w:rFonts w:ascii="Consolas"/>
          <w:spacing w:val="-7"/>
        </w:rPr>
        <w:t> </w:t>
      </w:r>
      <w:r>
        <w:rPr>
          <w:rFonts w:ascii="Consolas"/>
        </w:rPr>
        <w:t>r="B5"/&gt;</w:t>
      </w:r>
    </w:p>
    <w:p>
      <w:pPr>
        <w:pStyle w:val="BodyText"/>
        <w:spacing w:before="38"/>
        <w:ind w:left="750"/>
        <w:rPr>
          <w:rFonts w:ascii="Consolas"/>
        </w:rPr>
      </w:pPr>
      <w:r>
        <w:rPr>
          <w:rFonts w:ascii="Consolas"/>
        </w:rPr>
        <w:t>&lt;c</w:t>
      </w:r>
      <w:r>
        <w:rPr>
          <w:rFonts w:ascii="Consolas"/>
          <w:spacing w:val="-7"/>
        </w:rPr>
        <w:t> </w:t>
      </w:r>
      <w:r>
        <w:rPr>
          <w:rFonts w:ascii="Consolas"/>
        </w:rPr>
        <w:t>r="E1"/&gt;</w:t>
      </w:r>
    </w:p>
    <w:p>
      <w:pPr>
        <w:pStyle w:val="BodyText"/>
        <w:spacing w:before="40"/>
        <w:ind w:left="750"/>
        <w:rPr>
          <w:rFonts w:ascii="Consolas"/>
        </w:rPr>
      </w:pPr>
      <w:r>
        <w:rPr>
          <w:rFonts w:ascii="Consolas"/>
        </w:rPr>
        <w:t>&lt;c</w:t>
      </w:r>
      <w:r>
        <w:rPr>
          <w:rFonts w:ascii="Consolas"/>
          <w:spacing w:val="-6"/>
        </w:rPr>
        <w:t> </w:t>
      </w:r>
      <w:r>
        <w:rPr>
          <w:rFonts w:ascii="Consolas"/>
        </w:rPr>
        <w:t>r="D1"/&gt;</w:t>
      </w:r>
    </w:p>
    <w:p>
      <w:pPr>
        <w:pStyle w:val="BodyText"/>
        <w:spacing w:before="38"/>
        <w:ind w:left="750"/>
        <w:rPr>
          <w:rFonts w:ascii="Consolas"/>
        </w:rPr>
      </w:pPr>
      <w:r>
        <w:rPr>
          <w:rFonts w:ascii="Consolas"/>
        </w:rPr>
        <w:t>&lt;c</w:t>
      </w:r>
      <w:r>
        <w:rPr>
          <w:rFonts w:ascii="Consolas"/>
          <w:spacing w:val="-7"/>
        </w:rPr>
        <w:t> </w:t>
      </w:r>
      <w:r>
        <w:rPr>
          <w:rFonts w:ascii="Consolas"/>
        </w:rPr>
        <w:t>r="C1"/&gt;</w:t>
      </w:r>
    </w:p>
    <w:p>
      <w:pPr>
        <w:pStyle w:val="BodyText"/>
        <w:spacing w:before="37"/>
        <w:ind w:left="750"/>
        <w:rPr>
          <w:rFonts w:ascii="Consolas"/>
        </w:rPr>
      </w:pPr>
      <w:r>
        <w:rPr>
          <w:rFonts w:ascii="Consolas"/>
        </w:rPr>
        <w:t>&lt;c</w:t>
      </w:r>
      <w:r>
        <w:rPr>
          <w:rFonts w:ascii="Consolas"/>
          <w:spacing w:val="-7"/>
        </w:rPr>
        <w:t> </w:t>
      </w:r>
      <w:r>
        <w:rPr>
          <w:rFonts w:ascii="Consolas"/>
        </w:rPr>
        <w:t>r="B1"/&gt;</w:t>
      </w:r>
    </w:p>
    <w:p>
      <w:pPr>
        <w:pStyle w:val="BodyText"/>
        <w:spacing w:before="40"/>
        <w:ind w:left="508"/>
        <w:rPr>
          <w:rFonts w:ascii="Consolas"/>
        </w:rPr>
      </w:pPr>
      <w:r>
        <w:rPr>
          <w:rFonts w:ascii="Consolas"/>
        </w:rPr>
        <w:t>&lt;/calcChain&gt;</w:t>
      </w:r>
    </w:p>
    <w:p>
      <w:pPr>
        <w:pStyle w:val="BodyText"/>
        <w:spacing w:before="3"/>
        <w:rPr>
          <w:rFonts w:ascii="Consolas"/>
          <w:sz w:val="20"/>
        </w:rPr>
      </w:pPr>
    </w:p>
    <w:p>
      <w:pPr>
        <w:pStyle w:val="BodyText"/>
        <w:spacing w:line="276" w:lineRule="auto"/>
        <w:ind w:left="220" w:right="503"/>
      </w:pPr>
      <w:r>
        <w:rPr/>
        <w:t>It is in this order because B1 was calced first (it was the first formula enterd in the workbook), followed by C1, D1, and so on. Then B5 was entered in the 5th row, followed by the other cells in the 5th row, ending with E5.</w:t>
      </w:r>
    </w:p>
    <w:p>
      <w:pPr>
        <w:pStyle w:val="BodyText"/>
        <w:spacing w:before="3"/>
        <w:rPr>
          <w:sz w:val="16"/>
        </w:rPr>
      </w:pPr>
    </w:p>
    <w:p>
      <w:pPr>
        <w:pStyle w:val="BodyText"/>
        <w:spacing w:line="278" w:lineRule="auto"/>
        <w:ind w:left="220" w:right="803"/>
      </w:pPr>
      <w:r>
        <w:rPr/>
        <w:t>But, after a full recalculation, the spreadsheet application has realized that cells B5:E5 are on the same child chain, and cells B1:E1 are likewise on their own child chain. The xml now looks like this:</w:t>
      </w:r>
    </w:p>
    <w:p>
      <w:pPr>
        <w:spacing w:after="0" w:line="278" w:lineRule="auto"/>
        <w:sectPr>
          <w:pgSz w:w="12240" w:h="15840"/>
          <w:pgMar w:header="763" w:footer="746" w:top="1340" w:bottom="940" w:left="860" w:right="700"/>
        </w:sectPr>
      </w:pPr>
    </w:p>
    <w:p>
      <w:pPr>
        <w:pStyle w:val="BodyText"/>
        <w:spacing w:before="93"/>
        <w:ind w:left="508"/>
        <w:rPr>
          <w:rFonts w:ascii="Consolas"/>
        </w:rPr>
      </w:pPr>
      <w:r>
        <w:rPr>
          <w:rFonts w:ascii="Consolas"/>
        </w:rPr>
        <w:t>&lt;calcChain xmlns="</w:t>
      </w:r>
      <w:hyperlink r:id="rId22">
        <w:r>
          <w:rPr>
            <w:rFonts w:ascii="Consolas"/>
          </w:rPr>
          <w:t>http://purl.oclc.org/ooxml/spreadsheetml/main</w:t>
        </w:r>
      </w:hyperlink>
      <w:r>
        <w:rPr>
          <w:rFonts w:ascii="Consolas"/>
        </w:rPr>
        <w:t>"&gt;</w:t>
      </w:r>
    </w:p>
    <w:p>
      <w:pPr>
        <w:pStyle w:val="BodyText"/>
        <w:spacing w:before="38"/>
        <w:ind w:left="750"/>
        <w:rPr>
          <w:rFonts w:ascii="Consolas"/>
        </w:rPr>
      </w:pPr>
      <w:r>
        <w:rPr>
          <w:rFonts w:ascii="Consolas"/>
        </w:rPr>
        <w:t>&lt;c r="B1"</w:t>
      </w:r>
      <w:r>
        <w:rPr>
          <w:rFonts w:ascii="Consolas"/>
          <w:spacing w:val="-10"/>
        </w:rPr>
        <w:t> </w:t>
      </w:r>
      <w:r>
        <w:rPr>
          <w:rFonts w:ascii="Consolas"/>
        </w:rPr>
        <w:t>i="1"/&gt;</w:t>
      </w:r>
    </w:p>
    <w:p>
      <w:pPr>
        <w:pStyle w:val="BodyText"/>
        <w:spacing w:before="40"/>
        <w:ind w:left="750"/>
        <w:rPr>
          <w:rFonts w:ascii="Consolas"/>
        </w:rPr>
      </w:pPr>
      <w:r>
        <w:rPr>
          <w:rFonts w:ascii="Consolas"/>
        </w:rPr>
        <w:t>&lt;c r="C1"</w:t>
      </w:r>
      <w:r>
        <w:rPr>
          <w:rFonts w:ascii="Consolas"/>
          <w:spacing w:val="-10"/>
        </w:rPr>
        <w:t> </w:t>
      </w:r>
      <w:r>
        <w:rPr>
          <w:rFonts w:ascii="Consolas"/>
        </w:rPr>
        <w:t>s="1"/&gt;</w:t>
      </w:r>
    </w:p>
    <w:p>
      <w:pPr>
        <w:pStyle w:val="BodyText"/>
        <w:spacing w:before="37"/>
        <w:ind w:left="750"/>
        <w:rPr>
          <w:rFonts w:ascii="Consolas"/>
        </w:rPr>
      </w:pPr>
      <w:r>
        <w:rPr>
          <w:rFonts w:ascii="Consolas"/>
        </w:rPr>
        <w:t>&lt;c r="D1"</w:t>
      </w:r>
      <w:r>
        <w:rPr>
          <w:rFonts w:ascii="Consolas"/>
          <w:spacing w:val="-10"/>
        </w:rPr>
        <w:t> </w:t>
      </w:r>
      <w:r>
        <w:rPr>
          <w:rFonts w:ascii="Consolas"/>
        </w:rPr>
        <w:t>s="1"/&gt;</w:t>
      </w:r>
    </w:p>
    <w:p>
      <w:pPr>
        <w:pStyle w:val="BodyText"/>
        <w:spacing w:before="40"/>
        <w:ind w:left="750"/>
        <w:rPr>
          <w:rFonts w:ascii="Consolas"/>
        </w:rPr>
      </w:pPr>
      <w:r>
        <w:rPr>
          <w:rFonts w:ascii="Consolas"/>
        </w:rPr>
        <w:t>&lt;c r="E1"</w:t>
      </w:r>
      <w:r>
        <w:rPr>
          <w:rFonts w:ascii="Consolas"/>
          <w:spacing w:val="-10"/>
        </w:rPr>
        <w:t> </w:t>
      </w:r>
      <w:r>
        <w:rPr>
          <w:rFonts w:ascii="Consolas"/>
        </w:rPr>
        <w:t>s="1"/&gt;</w:t>
      </w:r>
    </w:p>
    <w:p>
      <w:pPr>
        <w:pStyle w:val="BodyText"/>
        <w:spacing w:before="38"/>
        <w:ind w:left="750"/>
        <w:rPr>
          <w:rFonts w:ascii="Consolas"/>
        </w:rPr>
      </w:pPr>
      <w:r>
        <w:rPr>
          <w:rFonts w:ascii="Consolas"/>
        </w:rPr>
        <w:t>&lt;c r="B5"/&gt;</w:t>
      </w:r>
    </w:p>
    <w:p>
      <w:pPr>
        <w:pStyle w:val="BodyText"/>
        <w:spacing w:before="40"/>
        <w:ind w:left="750"/>
        <w:rPr>
          <w:rFonts w:ascii="Consolas"/>
        </w:rPr>
      </w:pPr>
      <w:r>
        <w:rPr>
          <w:rFonts w:ascii="Consolas"/>
        </w:rPr>
        <w:t>&lt;c r="C5"</w:t>
      </w:r>
      <w:r>
        <w:rPr>
          <w:rFonts w:ascii="Consolas"/>
          <w:spacing w:val="-10"/>
        </w:rPr>
        <w:t> </w:t>
      </w:r>
      <w:r>
        <w:rPr>
          <w:rFonts w:ascii="Consolas"/>
        </w:rPr>
        <w:t>s="1"/&gt;</w:t>
      </w:r>
    </w:p>
    <w:p>
      <w:pPr>
        <w:pStyle w:val="BodyText"/>
        <w:spacing w:before="37"/>
        <w:ind w:left="750"/>
        <w:rPr>
          <w:rFonts w:ascii="Consolas"/>
        </w:rPr>
      </w:pPr>
      <w:r>
        <w:rPr>
          <w:rFonts w:ascii="Consolas"/>
        </w:rPr>
        <w:t>&lt;c r="D5"</w:t>
      </w:r>
      <w:r>
        <w:rPr>
          <w:rFonts w:ascii="Consolas"/>
          <w:spacing w:val="-10"/>
        </w:rPr>
        <w:t> </w:t>
      </w:r>
      <w:r>
        <w:rPr>
          <w:rFonts w:ascii="Consolas"/>
        </w:rPr>
        <w:t>s="1"/&gt;</w:t>
      </w:r>
    </w:p>
    <w:p>
      <w:pPr>
        <w:pStyle w:val="BodyText"/>
        <w:spacing w:before="38"/>
        <w:ind w:left="750"/>
        <w:rPr>
          <w:rFonts w:ascii="Consolas"/>
        </w:rPr>
      </w:pPr>
      <w:r>
        <w:rPr>
          <w:rFonts w:ascii="Consolas"/>
        </w:rPr>
        <w:t>&lt;c r="E5"</w:t>
      </w:r>
      <w:r>
        <w:rPr>
          <w:rFonts w:ascii="Consolas"/>
          <w:spacing w:val="-10"/>
        </w:rPr>
        <w:t> </w:t>
      </w:r>
      <w:r>
        <w:rPr>
          <w:rFonts w:ascii="Consolas"/>
        </w:rPr>
        <w:t>s="1"/&gt;</w:t>
      </w:r>
    </w:p>
    <w:p>
      <w:pPr>
        <w:pStyle w:val="BodyText"/>
        <w:spacing w:before="40"/>
        <w:ind w:left="508"/>
        <w:rPr>
          <w:rFonts w:ascii="Consolas"/>
        </w:rPr>
      </w:pPr>
      <w:r>
        <w:rPr>
          <w:rFonts w:ascii="Consolas"/>
        </w:rPr>
        <w:t>&lt;/calcChain&gt;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6.1 c (Cell)" w:id="524"/>
      <w:bookmarkEnd w:id="524"/>
      <w:r>
        <w:rPr>
          <w:b w:val="0"/>
        </w:rPr>
      </w:r>
      <w:bookmarkStart w:name="_bookmark173" w:id="525"/>
      <w:bookmarkEnd w:id="525"/>
      <w:r>
        <w:rPr>
          <w:b w:val="0"/>
        </w:rPr>
      </w:r>
      <w:bookmarkStart w:name="_bookmark173" w:id="526"/>
      <w:bookmarkEnd w:id="526"/>
      <w:r>
        <w:rPr>
          <w:color w:val="4F81BC"/>
        </w:rPr>
        <w:t>c</w:t>
      </w:r>
      <w:r>
        <w:rPr>
          <w:color w:val="4F81BC"/>
        </w:rPr>
        <w:t> (Cell)</w:t>
      </w:r>
    </w:p>
    <w:p>
      <w:pPr>
        <w:pStyle w:val="BodyText"/>
        <w:spacing w:line="278" w:lineRule="auto" w:before="121"/>
        <w:ind w:left="220" w:right="503"/>
      </w:pPr>
      <w:r>
        <w:rPr/>
        <w:t>This element represents a single cell, which shall contain a formula, in the calc chain. Cells are calculated in the same order as the </w:t>
      </w:r>
      <w:r>
        <w:rPr>
          <w:rFonts w:ascii="Cambria"/>
        </w:rPr>
        <w:t>c </w:t>
      </w:r>
      <w:r>
        <w:rPr/>
        <w:t>elements appear in the Calculation Chain part.</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rPr>
                <w:sz w:val="22"/>
              </w:rPr>
            </w:pPr>
            <w:r>
              <w:rPr>
                <w:rFonts w:ascii="Cambria"/>
                <w:sz w:val="22"/>
              </w:rPr>
              <w:t>a </w:t>
            </w:r>
            <w:r>
              <w:rPr>
                <w:sz w:val="22"/>
              </w:rPr>
              <w:t>(Array)</w:t>
            </w:r>
          </w:p>
        </w:tc>
        <w:tc>
          <w:tcPr>
            <w:tcW w:w="8250" w:type="dxa"/>
          </w:tcPr>
          <w:p>
            <w:pPr>
              <w:pStyle w:val="TableParagraph"/>
              <w:ind w:right="106"/>
              <w:rPr>
                <w:sz w:val="22"/>
              </w:rPr>
            </w:pPr>
            <w:r>
              <w:rPr>
                <w:sz w:val="22"/>
              </w:rPr>
              <w:t>A Boolean flag indicating whether the cell's formula is an array formula. True if this cell's formula is an array formula, false otherwise. If there is a conflict between this attribute and the </w:t>
            </w:r>
            <w:r>
              <w:rPr>
                <w:rFonts w:ascii="Cambria" w:hAnsi="Cambria"/>
                <w:sz w:val="22"/>
              </w:rPr>
              <w:t>t </w:t>
            </w:r>
            <w:r>
              <w:rPr>
                <w:sz w:val="22"/>
              </w:rPr>
              <w:t>attribute of the </w:t>
            </w:r>
            <w:r>
              <w:rPr>
                <w:rFonts w:ascii="Cambria" w:hAnsi="Cambria"/>
                <w:sz w:val="22"/>
              </w:rPr>
              <w:t>f </w:t>
            </w:r>
            <w:r>
              <w:rPr>
                <w:sz w:val="22"/>
              </w:rPr>
              <w:t>element (</w:t>
            </w:r>
            <w:hyperlink w:history="true" w:anchor="_bookmark72">
              <w:r>
                <w:rPr>
                  <w:sz w:val="22"/>
                </w:rPr>
                <w:t>§18.3.1.40</w:t>
              </w:r>
            </w:hyperlink>
            <w:r>
              <w:rPr>
                <w:sz w:val="22"/>
              </w:rPr>
              <w:t>), the </w:t>
            </w:r>
            <w:r>
              <w:rPr>
                <w:rFonts w:ascii="Cambria" w:hAnsi="Cambria"/>
                <w:sz w:val="22"/>
              </w:rPr>
              <w:t>t </w:t>
            </w:r>
            <w:r>
              <w:rPr>
                <w:sz w:val="22"/>
              </w:rPr>
              <w:t>attribute takes precedence.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i </w:t>
            </w:r>
            <w:r>
              <w:rPr>
                <w:sz w:val="22"/>
              </w:rPr>
              <w:t>(Sheet Id)</w:t>
            </w:r>
          </w:p>
        </w:tc>
        <w:tc>
          <w:tcPr>
            <w:tcW w:w="8250" w:type="dxa"/>
          </w:tcPr>
          <w:p>
            <w:pPr>
              <w:pStyle w:val="TableParagraph"/>
              <w:rPr>
                <w:sz w:val="22"/>
              </w:rPr>
            </w:pPr>
            <w:r>
              <w:rPr>
                <w:sz w:val="22"/>
              </w:rPr>
              <w:t>A sheet Id of a sheet the cell belongs to. If this is omitted, it is assumed to be the same as the </w:t>
            </w:r>
            <w:r>
              <w:rPr>
                <w:rFonts w:ascii="Consolas"/>
                <w:sz w:val="20"/>
              </w:rPr>
              <w:t>i</w:t>
            </w:r>
            <w:r>
              <w:rPr>
                <w:rFonts w:ascii="Consolas"/>
                <w:spacing w:val="-56"/>
                <w:sz w:val="20"/>
              </w:rPr>
              <w:t> </w:t>
            </w:r>
            <w:r>
              <w:rPr>
                <w:sz w:val="22"/>
              </w:rPr>
              <w:t>value of the previous cell.</w:t>
            </w:r>
          </w:p>
          <w:p>
            <w:pPr>
              <w:pStyle w:val="TableParagraph"/>
              <w:spacing w:before="1"/>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3307" w:hRule="atLeast"/>
        </w:trPr>
        <w:tc>
          <w:tcPr>
            <w:tcW w:w="2062" w:type="dxa"/>
          </w:tcPr>
          <w:p>
            <w:pPr>
              <w:pStyle w:val="TableParagraph"/>
              <w:ind w:right="164"/>
              <w:rPr>
                <w:sz w:val="22"/>
              </w:rPr>
            </w:pPr>
            <w:r>
              <w:rPr>
                <w:rFonts w:ascii="Cambria"/>
                <w:sz w:val="22"/>
              </w:rPr>
              <w:t>l </w:t>
            </w:r>
            <w:r>
              <w:rPr>
                <w:sz w:val="22"/>
              </w:rPr>
              <w:t>(New Dependency Level)</w:t>
            </w:r>
          </w:p>
        </w:tc>
        <w:tc>
          <w:tcPr>
            <w:tcW w:w="8250" w:type="dxa"/>
          </w:tcPr>
          <w:p>
            <w:pPr>
              <w:pStyle w:val="TableParagraph"/>
              <w:ind w:right="298"/>
              <w:rPr>
                <w:sz w:val="22"/>
              </w:rPr>
            </w:pPr>
            <w:r>
              <w:rPr>
                <w:sz w:val="22"/>
              </w:rPr>
              <w:t>A Boolean flag indicating that the cell's formula starts a new dependency level. True if the formula starts a new dependency level, false otherwise.</w:t>
            </w:r>
          </w:p>
          <w:p>
            <w:pPr>
              <w:pStyle w:val="TableParagraph"/>
              <w:spacing w:before="10"/>
              <w:ind w:left="0"/>
              <w:rPr>
                <w:sz w:val="21"/>
              </w:rPr>
            </w:pPr>
          </w:p>
          <w:p>
            <w:pPr>
              <w:pStyle w:val="TableParagraph"/>
              <w:spacing w:before="0"/>
              <w:ind w:right="298"/>
              <w:rPr>
                <w:sz w:val="22"/>
              </w:rPr>
            </w:pPr>
            <w:r>
              <w:rPr>
                <w:sz w:val="22"/>
              </w:rPr>
              <w:t>Starting a new dependency level means that all concurrent calculations, and child calculations, shall be completed - and the cells have new values - before the calc chain can continue. In other words, this dependency level might depend on levels that came before it, and any later dependency levels might depend on this level; but not later dependency levels can have any calculations started until this dependency level completes.</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r </w:t>
            </w:r>
            <w:r>
              <w:rPr>
                <w:sz w:val="22"/>
              </w:rPr>
              <w:t>(Cell Reference)</w:t>
            </w:r>
          </w:p>
        </w:tc>
        <w:tc>
          <w:tcPr>
            <w:tcW w:w="8250" w:type="dxa"/>
          </w:tcPr>
          <w:p>
            <w:pPr>
              <w:pStyle w:val="TableParagraph"/>
              <w:rPr>
                <w:sz w:val="22"/>
              </w:rPr>
            </w:pPr>
            <w:r>
              <w:rPr>
                <w:sz w:val="22"/>
              </w:rPr>
              <w:t>An A-1 style reference to a cell.</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309" w:hRule="atLeast"/>
        </w:trPr>
        <w:tc>
          <w:tcPr>
            <w:tcW w:w="2062" w:type="dxa"/>
          </w:tcPr>
          <w:p>
            <w:pPr>
              <w:pStyle w:val="TableParagraph"/>
              <w:ind w:left="0" w:right="650"/>
              <w:jc w:val="right"/>
              <w:rPr>
                <w:sz w:val="22"/>
              </w:rPr>
            </w:pPr>
            <w:r>
              <w:rPr>
                <w:rFonts w:ascii="Cambria"/>
                <w:sz w:val="22"/>
              </w:rPr>
              <w:t>s </w:t>
            </w:r>
            <w:r>
              <w:rPr>
                <w:sz w:val="22"/>
              </w:rPr>
              <w:t>(Child Chain)</w:t>
            </w:r>
          </w:p>
        </w:tc>
        <w:tc>
          <w:tcPr>
            <w:tcW w:w="8250" w:type="dxa"/>
          </w:tcPr>
          <w:p>
            <w:pPr>
              <w:pStyle w:val="TableParagraph"/>
              <w:ind w:right="214"/>
              <w:rPr>
                <w:sz w:val="22"/>
              </w:rPr>
            </w:pPr>
            <w:r>
              <w:rPr>
                <w:sz w:val="22"/>
              </w:rPr>
              <w:t>A Boolean flag indicating whether the cell's formula is on a child chain. True if this cell is part of a child chain, false otherwise. If this is omitted, it is assumed to be the same as the </w:t>
            </w:r>
            <w:r>
              <w:rPr>
                <w:rFonts w:ascii="Consolas"/>
                <w:sz w:val="20"/>
              </w:rPr>
              <w:t>s</w:t>
            </w:r>
            <w:r>
              <w:rPr>
                <w:rFonts w:ascii="Consolas"/>
                <w:spacing w:val="-54"/>
                <w:sz w:val="20"/>
              </w:rPr>
              <w:t> </w:t>
            </w:r>
            <w:r>
              <w:rPr>
                <w:sz w:val="22"/>
              </w:rPr>
              <w:t>value of the previous cell .</w:t>
            </w:r>
          </w:p>
          <w:p>
            <w:pPr>
              <w:pStyle w:val="TableParagraph"/>
              <w:spacing w:before="10"/>
              <w:ind w:left="0"/>
              <w:rPr>
                <w:sz w:val="21"/>
              </w:rPr>
            </w:pPr>
          </w:p>
          <w:p>
            <w:pPr>
              <w:pStyle w:val="TableParagraph"/>
              <w:spacing w:before="0"/>
              <w:ind w:right="211"/>
              <w:rPr>
                <w:sz w:val="22"/>
              </w:rPr>
            </w:pPr>
            <w:r>
              <w:rPr>
                <w:sz w:val="22"/>
              </w:rPr>
              <w:t>A child chain is a list of calculations that occur which depend on the parent to the chain. There shall not be cross dependencies between child chains. Child chains are not the same as dependency levels - a child chain and its parent are all on the same dependency level. Child chains are series of calculations that can be independently farmed out to other threads or processors.</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ind w:left="0" w:right="586"/>
              <w:jc w:val="right"/>
              <w:rPr>
                <w:sz w:val="22"/>
              </w:rPr>
            </w:pPr>
            <w:r>
              <w:rPr>
                <w:rFonts w:ascii="Cambria"/>
                <w:sz w:val="22"/>
              </w:rPr>
              <w:t>t </w:t>
            </w:r>
            <w:r>
              <w:rPr>
                <w:sz w:val="22"/>
              </w:rPr>
              <w:t>(New Thread)</w:t>
            </w:r>
          </w:p>
        </w:tc>
        <w:tc>
          <w:tcPr>
            <w:tcW w:w="8250" w:type="dxa"/>
          </w:tcPr>
          <w:p>
            <w:pPr>
              <w:pStyle w:val="TableParagraph"/>
              <w:rPr>
                <w:sz w:val="22"/>
              </w:rPr>
            </w:pPr>
            <w:r>
              <w:rPr>
                <w:sz w:val="22"/>
              </w:rPr>
              <w:t>A Boolean flag indicating whether the cell's formula starts a new thread. True if the cell's formula starts a new thread, false otherwise.</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791"/>
      </w:pPr>
      <w:r>
        <w:rPr/>
        <w:t>[</w:t>
      </w:r>
      <w:r>
        <w:rPr>
          <w:i/>
        </w:rPr>
        <w:t>Note</w:t>
      </w:r>
      <w:r>
        <w:rPr/>
        <w:t>: The W3C XML Schema definition of this element’s content model (</w:t>
      </w:r>
      <w:r>
        <w:rPr>
          <w:color w:val="5F5F5F"/>
          <w:u w:val="single" w:color="5F5F5F"/>
        </w:rPr>
        <w:t>CT_CalcCell</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6.2 calcChain (Calculation Chain Info" w:id="527"/>
      <w:bookmarkEnd w:id="527"/>
      <w:r>
        <w:rPr>
          <w:b w:val="0"/>
        </w:rPr>
      </w:r>
      <w:bookmarkStart w:name="_bookmark174" w:id="528"/>
      <w:bookmarkEnd w:id="528"/>
      <w:r>
        <w:rPr>
          <w:b w:val="0"/>
        </w:rPr>
      </w:r>
      <w:bookmarkStart w:name="_bookmark174" w:id="529"/>
      <w:bookmarkEnd w:id="529"/>
      <w:r>
        <w:rPr>
          <w:color w:val="4F81BC"/>
        </w:rPr>
        <w:t>c</w:t>
      </w:r>
      <w:r>
        <w:rPr>
          <w:color w:val="4F81BC"/>
        </w:rPr>
        <w:t>alcChain (Calculation Chain</w:t>
      </w:r>
      <w:r>
        <w:rPr>
          <w:color w:val="4F81BC"/>
          <w:spacing w:val="-1"/>
        </w:rPr>
        <w:t> </w:t>
      </w:r>
      <w:r>
        <w:rPr>
          <w:color w:val="4F81BC"/>
        </w:rPr>
        <w:t>Info)</w:t>
      </w:r>
    </w:p>
    <w:p>
      <w:pPr>
        <w:pStyle w:val="BodyText"/>
        <w:spacing w:before="124"/>
        <w:ind w:left="220"/>
      </w:pPr>
      <w:r>
        <w:rPr/>
        <w:t>This element represents the root of the calculation chain.</w:t>
      </w:r>
    </w:p>
    <w:p>
      <w:pPr>
        <w:pStyle w:val="BodyText"/>
        <w:spacing w:before="6"/>
        <w:rPr>
          <w:sz w:val="19"/>
        </w:rPr>
      </w:pPr>
    </w:p>
    <w:p>
      <w:pPr>
        <w:pStyle w:val="BodyText"/>
        <w:spacing w:line="278" w:lineRule="auto" w:before="1"/>
        <w:ind w:left="220" w:right="614"/>
      </w:pPr>
      <w:r>
        <w:rPr/>
        <w:t>[</w:t>
      </w:r>
      <w:r>
        <w:rPr>
          <w:i/>
        </w:rPr>
        <w:t>Note</w:t>
      </w:r>
      <w:r>
        <w:rPr/>
        <w:t>: The W3C XML Schema definition of this element’s content model (</w:t>
      </w:r>
      <w:r>
        <w:rPr>
          <w:color w:val="5F5F5F"/>
          <w:u w:val="single" w:color="5F5F5F"/>
        </w:rPr>
        <w:t>CT_CalcChain</w:t>
      </w:r>
      <w:r>
        <w:rPr/>
        <w:t>) is located in §A.2. </w:t>
      </w:r>
      <w:r>
        <w:rPr>
          <w:i/>
        </w:rPr>
        <w:t>end </w:t>
      </w:r>
      <w:r>
        <w:rPr>
          <w:i/>
        </w:rPr>
        <w:t>note</w:t>
      </w:r>
      <w:r>
        <w:rPr/>
        <w:t>]</w:t>
      </w:r>
    </w:p>
    <w:p>
      <w:pPr>
        <w:pStyle w:val="Heading1"/>
        <w:numPr>
          <w:ilvl w:val="1"/>
          <w:numId w:val="17"/>
        </w:numPr>
        <w:tabs>
          <w:tab w:pos="1156" w:val="left" w:leader="none"/>
          <w:tab w:pos="1157" w:val="left" w:leader="none"/>
        </w:tabs>
        <w:spacing w:line="240" w:lineRule="auto" w:before="196" w:after="0"/>
        <w:ind w:left="1156" w:right="0" w:hanging="937"/>
        <w:jc w:val="left"/>
      </w:pPr>
      <w:bookmarkStart w:name="18.7 Comments" w:id="530"/>
      <w:bookmarkEnd w:id="530"/>
      <w:r>
        <w:rPr>
          <w:b w:val="0"/>
        </w:rPr>
      </w:r>
      <w:bookmarkStart w:name="_bookmark175" w:id="531"/>
      <w:bookmarkEnd w:id="531"/>
      <w:r>
        <w:rPr>
          <w:b w:val="0"/>
        </w:rPr>
      </w:r>
      <w:bookmarkStart w:name="_bookmark175" w:id="532"/>
      <w:bookmarkEnd w:id="532"/>
      <w:r>
        <w:rPr>
          <w:color w:val="4F81BC"/>
        </w:rPr>
        <w:t>C</w:t>
      </w:r>
      <w:r>
        <w:rPr>
          <w:color w:val="4F81BC"/>
        </w:rPr>
        <w:t>omments</w:t>
      </w:r>
    </w:p>
    <w:p>
      <w:pPr>
        <w:pStyle w:val="BodyText"/>
        <w:spacing w:line="276" w:lineRule="auto" w:before="129"/>
        <w:ind w:left="220" w:right="447"/>
      </w:pPr>
      <w:r>
        <w:rPr/>
        <w:t>A comment is a rich text note that is attached to and associated with a cell, separate from other cell content. Comment content is stored separate from the cell, and is displayed in a drawing object (like a text box) that is separate from, but associated with, a cell. Comments are used as reminders, such as noting how a complex formula works, or to provide feedback to other users. Comments can also be used to explain assumptions made in a formula or to call out something special about the cell.</w:t>
      </w:r>
    </w:p>
    <w:p>
      <w:pPr>
        <w:pStyle w:val="BodyText"/>
        <w:spacing w:before="5"/>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19"/>
        </w:rPr>
      </w:pPr>
    </w:p>
    <w:p>
      <w:pPr>
        <w:pStyle w:val="BodyText"/>
        <w:ind w:left="508"/>
        <w:rPr>
          <w:rFonts w:ascii="Consolas"/>
        </w:rPr>
      </w:pPr>
      <w:r>
        <w:rPr>
          <w:rFonts w:ascii="Consolas"/>
        </w:rPr>
        <w:t>&lt;comments&gt;</w:t>
      </w:r>
    </w:p>
    <w:p>
      <w:pPr>
        <w:pStyle w:val="BodyText"/>
        <w:spacing w:before="40"/>
        <w:ind w:left="750"/>
        <w:rPr>
          <w:rFonts w:ascii="Consolas"/>
        </w:rPr>
      </w:pPr>
      <w:r>
        <w:rPr>
          <w:rFonts w:ascii="Consolas"/>
        </w:rPr>
        <w:t>&lt;authors&gt;</w:t>
      </w:r>
    </w:p>
    <w:p>
      <w:pPr>
        <w:pStyle w:val="BodyText"/>
        <w:spacing w:before="38"/>
        <w:ind w:left="993"/>
        <w:rPr>
          <w:rFonts w:ascii="Consolas"/>
        </w:rPr>
      </w:pPr>
      <w:r>
        <w:rPr>
          <w:rFonts w:ascii="Consolas"/>
        </w:rPr>
        <w:t>&lt;author&gt;Bob&lt;/author&gt;</w:t>
      </w:r>
    </w:p>
    <w:p>
      <w:pPr>
        <w:pStyle w:val="BodyText"/>
        <w:spacing w:before="40"/>
        <w:ind w:left="993"/>
        <w:rPr>
          <w:rFonts w:ascii="Consolas"/>
        </w:rPr>
      </w:pPr>
      <w:r>
        <w:rPr>
          <w:rFonts w:ascii="Consolas"/>
        </w:rPr>
        <w:t>&lt;author&gt;CBR&lt;/author&gt;</w:t>
      </w:r>
    </w:p>
    <w:p>
      <w:pPr>
        <w:pStyle w:val="BodyText"/>
        <w:spacing w:before="37"/>
        <w:ind w:left="750"/>
        <w:rPr>
          <w:rFonts w:ascii="Consolas"/>
        </w:rPr>
      </w:pPr>
      <w:r>
        <w:rPr>
          <w:rFonts w:ascii="Consolas"/>
        </w:rPr>
        <w:t>&lt;/authors&gt;</w:t>
      </w:r>
    </w:p>
    <w:p>
      <w:pPr>
        <w:spacing w:after="0"/>
        <w:rPr>
          <w:rFonts w:ascii="Consolas"/>
        </w:rPr>
        <w:sectPr>
          <w:pgSz w:w="12240" w:h="15840"/>
          <w:pgMar w:header="763" w:footer="746" w:top="1340" w:bottom="940" w:left="860" w:right="700"/>
        </w:sectPr>
      </w:pPr>
    </w:p>
    <w:p>
      <w:pPr>
        <w:pStyle w:val="BodyText"/>
        <w:spacing w:before="93"/>
        <w:ind w:left="750"/>
        <w:rPr>
          <w:rFonts w:ascii="Consolas"/>
        </w:rPr>
      </w:pPr>
      <w:r>
        <w:rPr>
          <w:rFonts w:ascii="Consolas"/>
        </w:rPr>
        <w:t>&lt;commentList&gt;</w:t>
      </w:r>
    </w:p>
    <w:p>
      <w:pPr>
        <w:pStyle w:val="BodyText"/>
        <w:spacing w:before="38"/>
        <w:ind w:left="993"/>
        <w:rPr>
          <w:rFonts w:ascii="Consolas"/>
        </w:rPr>
      </w:pPr>
      <w:r>
        <w:rPr>
          <w:rFonts w:ascii="Consolas"/>
        </w:rPr>
        <w:t>&lt;comment ref="D4" authorId="0"&gt;</w:t>
      </w:r>
    </w:p>
    <w:p>
      <w:pPr>
        <w:pStyle w:val="BodyText"/>
        <w:spacing w:before="40"/>
        <w:ind w:left="1235"/>
        <w:rPr>
          <w:rFonts w:ascii="Consolas"/>
        </w:rPr>
      </w:pPr>
      <w:r>
        <w:rPr>
          <w:rFonts w:ascii="Consolas"/>
        </w:rPr>
        <w:t>&lt;text&gt;</w:t>
      </w:r>
    </w:p>
    <w:p>
      <w:pPr>
        <w:pStyle w:val="BodyText"/>
        <w:spacing w:before="37"/>
        <w:ind w:left="1478"/>
        <w:rPr>
          <w:rFonts w:ascii="Consolas"/>
        </w:rPr>
      </w:pPr>
      <w:r>
        <w:rPr>
          <w:rFonts w:ascii="Consolas"/>
        </w:rPr>
        <w:t>&lt;r&gt;</w:t>
      </w:r>
    </w:p>
    <w:p>
      <w:pPr>
        <w:pStyle w:val="BodyText"/>
        <w:spacing w:before="40"/>
        <w:ind w:left="1718"/>
        <w:rPr>
          <w:rFonts w:ascii="Consolas"/>
        </w:rPr>
      </w:pPr>
      <w:r>
        <w:rPr>
          <w:rFonts w:ascii="Consolas"/>
        </w:rPr>
        <w:t>&lt;rPr&gt;</w:t>
      </w:r>
    </w:p>
    <w:p>
      <w:pPr>
        <w:pStyle w:val="BodyText"/>
        <w:spacing w:before="38"/>
        <w:ind w:left="1960"/>
        <w:rPr>
          <w:rFonts w:ascii="Consolas"/>
        </w:rPr>
      </w:pPr>
      <w:r>
        <w:rPr>
          <w:rFonts w:ascii="Consolas"/>
        </w:rPr>
        <w:t>&lt;b/&gt;</w:t>
      </w:r>
    </w:p>
    <w:p>
      <w:pPr>
        <w:pStyle w:val="BodyText"/>
        <w:spacing w:before="40"/>
        <w:ind w:left="1960"/>
        <w:rPr>
          <w:rFonts w:ascii="Consolas"/>
        </w:rPr>
      </w:pPr>
      <w:r>
        <w:rPr>
          <w:rFonts w:ascii="Consolas"/>
        </w:rPr>
        <w:t>&lt;sz val="8"/&gt;</w:t>
      </w:r>
    </w:p>
    <w:p>
      <w:pPr>
        <w:pStyle w:val="BodyText"/>
        <w:spacing w:before="37"/>
        <w:ind w:left="1960"/>
        <w:rPr>
          <w:rFonts w:ascii="Consolas"/>
        </w:rPr>
      </w:pPr>
      <w:r>
        <w:rPr>
          <w:rFonts w:ascii="Consolas"/>
        </w:rPr>
        <w:t>&lt;color indexed="81"/&gt;</w:t>
      </w:r>
    </w:p>
    <w:p>
      <w:pPr>
        <w:pStyle w:val="BodyText"/>
        <w:spacing w:before="38"/>
        <w:ind w:left="1960"/>
        <w:rPr>
          <w:rFonts w:ascii="Consolas"/>
        </w:rPr>
      </w:pPr>
      <w:r>
        <w:rPr>
          <w:rFonts w:ascii="Consolas"/>
        </w:rPr>
        <w:t>&lt;rFont val="Calibri"/&gt;</w:t>
      </w:r>
    </w:p>
    <w:p>
      <w:pPr>
        <w:pStyle w:val="BodyText"/>
        <w:spacing w:before="40"/>
        <w:ind w:left="1960"/>
        <w:rPr>
          <w:rFonts w:ascii="Consolas"/>
        </w:rPr>
      </w:pPr>
      <w:r>
        <w:rPr>
          <w:rFonts w:ascii="Consolas"/>
        </w:rPr>
        <w:t>&lt;charset val="1"/&gt;</w:t>
      </w:r>
    </w:p>
    <w:p>
      <w:pPr>
        <w:pStyle w:val="BodyText"/>
        <w:spacing w:before="38"/>
        <w:ind w:left="1960"/>
        <w:rPr>
          <w:rFonts w:ascii="Consolas"/>
        </w:rPr>
      </w:pPr>
      <w:r>
        <w:rPr>
          <w:rFonts w:ascii="Consolas"/>
        </w:rPr>
        <w:t>&lt;scheme val="minor"/&gt;</w:t>
      </w:r>
    </w:p>
    <w:p>
      <w:pPr>
        <w:pStyle w:val="BodyText"/>
        <w:spacing w:before="40"/>
        <w:ind w:left="1718"/>
        <w:rPr>
          <w:rFonts w:ascii="Consolas"/>
        </w:rPr>
      </w:pPr>
      <w:r>
        <w:rPr>
          <w:rFonts w:ascii="Consolas"/>
        </w:rPr>
        <w:t>&lt;/rPr&gt;</w:t>
      </w:r>
    </w:p>
    <w:p>
      <w:pPr>
        <w:pStyle w:val="BodyText"/>
        <w:spacing w:before="37"/>
        <w:ind w:left="1718"/>
        <w:rPr>
          <w:rFonts w:ascii="Consolas"/>
        </w:rPr>
      </w:pPr>
      <w:r>
        <w:rPr>
          <w:rFonts w:ascii="Consolas"/>
        </w:rPr>
        <w:t>&lt;t&gt;Bob:&lt;/t&gt;</w:t>
      </w:r>
    </w:p>
    <w:p>
      <w:pPr>
        <w:pStyle w:val="BodyText"/>
        <w:spacing w:before="41"/>
        <w:ind w:left="1478"/>
        <w:rPr>
          <w:rFonts w:ascii="Consolas"/>
        </w:rPr>
      </w:pPr>
      <w:r>
        <w:rPr>
          <w:rFonts w:ascii="Consolas"/>
        </w:rPr>
        <w:t>&lt;/r&gt;</w:t>
      </w:r>
    </w:p>
    <w:p>
      <w:pPr>
        <w:pStyle w:val="BodyText"/>
        <w:spacing w:before="37"/>
        <w:ind w:left="1478"/>
        <w:rPr>
          <w:rFonts w:ascii="Consolas"/>
        </w:rPr>
      </w:pPr>
      <w:r>
        <w:rPr>
          <w:rFonts w:ascii="Consolas"/>
        </w:rPr>
        <w:t>&lt;r&gt;</w:t>
      </w:r>
    </w:p>
    <w:p>
      <w:pPr>
        <w:pStyle w:val="BodyText"/>
        <w:spacing w:before="38"/>
        <w:ind w:left="1718"/>
        <w:rPr>
          <w:rFonts w:ascii="Consolas"/>
        </w:rPr>
      </w:pPr>
      <w:r>
        <w:rPr>
          <w:rFonts w:ascii="Consolas"/>
        </w:rPr>
        <w:t>&lt;rPr&gt;</w:t>
      </w:r>
    </w:p>
    <w:p>
      <w:pPr>
        <w:pStyle w:val="BodyText"/>
        <w:spacing w:before="40"/>
        <w:ind w:left="1960"/>
        <w:rPr>
          <w:rFonts w:ascii="Consolas"/>
        </w:rPr>
      </w:pPr>
      <w:r>
        <w:rPr>
          <w:rFonts w:ascii="Consolas"/>
        </w:rPr>
        <w:t>&lt;sz val="8"/&gt;</w:t>
      </w:r>
    </w:p>
    <w:p>
      <w:pPr>
        <w:pStyle w:val="BodyText"/>
        <w:spacing w:before="38"/>
        <w:ind w:left="1840"/>
        <w:rPr>
          <w:rFonts w:ascii="Consolas"/>
        </w:rPr>
      </w:pPr>
      <w:r>
        <w:rPr>
          <w:rFonts w:ascii="Consolas"/>
        </w:rPr>
        <w:t>&lt;color indexed="81"/&gt;</w:t>
      </w:r>
    </w:p>
    <w:p>
      <w:pPr>
        <w:pStyle w:val="BodyText"/>
        <w:spacing w:before="40"/>
        <w:ind w:left="1840"/>
        <w:rPr>
          <w:rFonts w:ascii="Consolas"/>
        </w:rPr>
      </w:pPr>
      <w:r>
        <w:rPr>
          <w:rFonts w:ascii="Consolas"/>
        </w:rPr>
        <w:t>&lt;rFont val="Calibri"/&gt;</w:t>
      </w:r>
    </w:p>
    <w:p>
      <w:pPr>
        <w:pStyle w:val="BodyText"/>
        <w:spacing w:before="37"/>
        <w:ind w:left="1840"/>
        <w:rPr>
          <w:rFonts w:ascii="Consolas"/>
        </w:rPr>
      </w:pPr>
      <w:r>
        <w:rPr>
          <w:rFonts w:ascii="Consolas"/>
        </w:rPr>
        <w:t>&lt;charset val="1"/&gt;</w:t>
      </w:r>
    </w:p>
    <w:p>
      <w:pPr>
        <w:pStyle w:val="BodyText"/>
        <w:spacing w:before="40"/>
        <w:ind w:left="1840"/>
        <w:rPr>
          <w:rFonts w:ascii="Consolas"/>
        </w:rPr>
      </w:pPr>
      <w:r>
        <w:rPr>
          <w:rFonts w:ascii="Consolas"/>
        </w:rPr>
        <w:t>&lt;scheme val="minor"/&gt;</w:t>
      </w:r>
    </w:p>
    <w:p>
      <w:pPr>
        <w:pStyle w:val="BodyText"/>
        <w:spacing w:before="38"/>
        <w:ind w:left="1598"/>
        <w:rPr>
          <w:rFonts w:ascii="Consolas"/>
        </w:rPr>
      </w:pPr>
      <w:r>
        <w:rPr>
          <w:rFonts w:ascii="Consolas"/>
        </w:rPr>
        <w:t>&lt;/rPr&gt;</w:t>
      </w:r>
    </w:p>
    <w:p>
      <w:pPr>
        <w:pStyle w:val="BodyText"/>
        <w:spacing w:before="37"/>
        <w:ind w:left="1598"/>
        <w:rPr>
          <w:rFonts w:ascii="Consolas"/>
        </w:rPr>
      </w:pPr>
      <w:r>
        <w:rPr>
          <w:rFonts w:ascii="Consolas"/>
        </w:rPr>
        <w:t>&lt;t xml:space="preserve"&gt;Why such high expense?&lt;/t&gt;</w:t>
      </w:r>
    </w:p>
    <w:p>
      <w:pPr>
        <w:pStyle w:val="BodyText"/>
        <w:spacing w:before="40"/>
        <w:ind w:left="1355"/>
        <w:rPr>
          <w:rFonts w:ascii="Consolas"/>
        </w:rPr>
      </w:pPr>
      <w:r>
        <w:rPr>
          <w:rFonts w:ascii="Consolas"/>
        </w:rPr>
        <w:t>&lt;/r&gt;</w:t>
      </w:r>
    </w:p>
    <w:p>
      <w:pPr>
        <w:pStyle w:val="BodyText"/>
        <w:spacing w:before="38"/>
        <w:ind w:left="1113"/>
        <w:rPr>
          <w:rFonts w:ascii="Consolas"/>
        </w:rPr>
      </w:pPr>
      <w:r>
        <w:rPr>
          <w:rFonts w:ascii="Consolas"/>
        </w:rPr>
        <w:t>&lt;/text&gt;</w:t>
      </w:r>
    </w:p>
    <w:p>
      <w:pPr>
        <w:pStyle w:val="BodyText"/>
        <w:spacing w:before="40"/>
        <w:ind w:left="165" w:right="7647"/>
        <w:jc w:val="center"/>
        <w:rPr>
          <w:rFonts w:ascii="Consolas"/>
        </w:rPr>
      </w:pPr>
      <w:r>
        <w:rPr>
          <w:rFonts w:ascii="Consolas"/>
        </w:rPr>
        <w:t>&lt;/comment&gt;</w:t>
      </w:r>
    </w:p>
    <w:p>
      <w:pPr>
        <w:pStyle w:val="BodyText"/>
        <w:spacing w:before="38"/>
        <w:ind w:left="125" w:right="7610"/>
        <w:jc w:val="center"/>
        <w:rPr>
          <w:rFonts w:ascii="Consolas"/>
        </w:rPr>
      </w:pPr>
      <w:r>
        <w:rPr>
          <w:rFonts w:ascii="Consolas"/>
        </w:rPr>
        <w:t>&lt;/commentList&gt;</w:t>
      </w:r>
    </w:p>
    <w:p>
      <w:pPr>
        <w:pStyle w:val="BodyText"/>
        <w:spacing w:before="40"/>
        <w:ind w:left="125" w:right="8456"/>
        <w:jc w:val="center"/>
        <w:rPr>
          <w:rFonts w:ascii="Consolas"/>
        </w:rPr>
      </w:pPr>
      <w:r>
        <w:rPr>
          <w:rFonts w:ascii="Consolas"/>
        </w:rPr>
        <w:t>&lt;/comments&gt;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This xml sample displays a comment by "Bob" (bolded) that says, "Why such high expense?" (non bolded).</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7.1 author (Author)" w:id="533"/>
      <w:bookmarkEnd w:id="533"/>
      <w:r>
        <w:rPr>
          <w:b w:val="0"/>
        </w:rPr>
      </w:r>
      <w:bookmarkStart w:name="_bookmark176" w:id="534"/>
      <w:bookmarkEnd w:id="534"/>
      <w:r>
        <w:rPr>
          <w:b w:val="0"/>
        </w:rPr>
      </w:r>
      <w:bookmarkStart w:name="_bookmark176" w:id="535"/>
      <w:bookmarkEnd w:id="535"/>
      <w:r>
        <w:rPr>
          <w:color w:val="4F81BC"/>
        </w:rPr>
        <w:t>au</w:t>
      </w:r>
      <w:r>
        <w:rPr>
          <w:color w:val="4F81BC"/>
        </w:rPr>
        <w:t>thor (Author)</w:t>
      </w:r>
    </w:p>
    <w:p>
      <w:pPr>
        <w:pStyle w:val="BodyText"/>
        <w:spacing w:line="278" w:lineRule="auto" w:before="124"/>
        <w:ind w:left="220" w:right="397"/>
      </w:pPr>
      <w:r>
        <w:rPr/>
        <w:t>This element holds a string representing the name of a single author of comments. Every comment shall have an author. The maximum length of the author string is an implementation detail, but a good guideline is 255 chars.</w:t>
      </w:r>
    </w:p>
    <w:p>
      <w:pPr>
        <w:pStyle w:val="BodyText"/>
        <w:spacing w:before="3"/>
        <w:rPr>
          <w:sz w:val="16"/>
        </w:rPr>
      </w:pPr>
    </w:p>
    <w:p>
      <w:pPr>
        <w:pStyle w:val="BodyText"/>
        <w:ind w:left="220"/>
      </w:pPr>
      <w:r>
        <w:rPr/>
        <w:t>The possible values for this element are defined by the </w:t>
      </w:r>
      <w:r>
        <w:rPr>
          <w:rFonts w:ascii="Cambria" w:hAnsi="Cambria"/>
        </w:rPr>
        <w:t>ST_Xstring </w:t>
      </w:r>
      <w:r>
        <w:rPr/>
        <w:t>simple type (§22.9.2.19).</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28" w:hRule="atLeast"/>
        </w:trPr>
        <w:tc>
          <w:tcPr>
            <w:tcW w:w="2062" w:type="dxa"/>
          </w:tcPr>
          <w:p>
            <w:pPr>
              <w:pStyle w:val="TableParagraph"/>
              <w:spacing w:before="42"/>
              <w:ind w:left="607"/>
              <w:rPr>
                <w:b/>
                <w:sz w:val="20"/>
              </w:rPr>
            </w:pPr>
            <w:r>
              <w:rPr>
                <w:b/>
                <w:sz w:val="20"/>
              </w:rPr>
              <w:t>Attributes</w:t>
            </w:r>
          </w:p>
        </w:tc>
        <w:tc>
          <w:tcPr>
            <w:tcW w:w="8250" w:type="dxa"/>
          </w:tcPr>
          <w:p>
            <w:pPr>
              <w:pStyle w:val="TableParagraph"/>
              <w:spacing w:before="42"/>
              <w:ind w:left="98" w:right="92"/>
              <w:jc w:val="center"/>
              <w:rPr>
                <w:b/>
                <w:sz w:val="20"/>
              </w:rPr>
            </w:pPr>
            <w:r>
              <w:rPr>
                <w:b/>
                <w:sz w:val="20"/>
              </w:rPr>
              <w:t>Description</w:t>
            </w:r>
          </w:p>
        </w:tc>
      </w:tr>
    </w:tbl>
    <w:p>
      <w:pPr>
        <w:spacing w:after="0"/>
        <w:jc w:val="center"/>
        <w:rPr>
          <w:sz w:val="20"/>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49" w:hRule="atLeast"/>
        </w:trPr>
        <w:tc>
          <w:tcPr>
            <w:tcW w:w="2062" w:type="dxa"/>
            <w:tcBorders>
              <w:bottom w:val="nil"/>
            </w:tcBorders>
          </w:tcPr>
          <w:p>
            <w:pPr>
              <w:pStyle w:val="TableParagraph"/>
              <w:rPr>
                <w:sz w:val="22"/>
              </w:rPr>
            </w:pPr>
            <w:r>
              <w:rPr>
                <w:rFonts w:ascii="Cambria"/>
                <w:sz w:val="22"/>
              </w:rPr>
              <w:t>xml:space </w:t>
            </w:r>
            <w:r>
              <w:rPr>
                <w:sz w:val="22"/>
              </w:rPr>
              <w:t>(Content</w:t>
            </w:r>
          </w:p>
        </w:tc>
        <w:tc>
          <w:tcPr>
            <w:tcW w:w="8250" w:type="dxa"/>
            <w:tcBorders>
              <w:bottom w:val="nil"/>
            </w:tcBorders>
          </w:tcPr>
          <w:p>
            <w:pPr>
              <w:pStyle w:val="TableParagraph"/>
              <w:rPr>
                <w:sz w:val="22"/>
              </w:rPr>
            </w:pPr>
            <w:r>
              <w:rPr>
                <w:sz w:val="22"/>
              </w:rPr>
              <w:t>Specifies how white space should be handled for the contents of this element using the</w:t>
            </w:r>
          </w:p>
        </w:tc>
      </w:tr>
      <w:tr>
        <w:trPr>
          <w:trHeight w:val="310" w:hRule="atLeast"/>
        </w:trPr>
        <w:tc>
          <w:tcPr>
            <w:tcW w:w="2062" w:type="dxa"/>
            <w:tcBorders>
              <w:top w:val="nil"/>
              <w:bottom w:val="nil"/>
            </w:tcBorders>
          </w:tcPr>
          <w:p>
            <w:pPr>
              <w:pStyle w:val="TableParagraph"/>
              <w:spacing w:before="0"/>
              <w:rPr>
                <w:sz w:val="22"/>
              </w:rPr>
            </w:pPr>
            <w:r>
              <w:rPr>
                <w:sz w:val="22"/>
              </w:rPr>
              <w:t>Contains Significant</w:t>
            </w:r>
          </w:p>
        </w:tc>
        <w:tc>
          <w:tcPr>
            <w:tcW w:w="8250" w:type="dxa"/>
            <w:tcBorders>
              <w:top w:val="nil"/>
              <w:bottom w:val="nil"/>
            </w:tcBorders>
          </w:tcPr>
          <w:p>
            <w:pPr>
              <w:pStyle w:val="TableParagraph"/>
              <w:spacing w:before="3"/>
              <w:rPr>
                <w:sz w:val="22"/>
              </w:rPr>
            </w:pPr>
            <w:r>
              <w:rPr>
                <w:sz w:val="22"/>
              </w:rPr>
              <w:t>W3C space preservation rules.</w:t>
            </w:r>
          </w:p>
        </w:tc>
      </w:tr>
      <w:tr>
        <w:trPr>
          <w:trHeight w:val="507" w:hRule="atLeast"/>
        </w:trPr>
        <w:tc>
          <w:tcPr>
            <w:tcW w:w="2062" w:type="dxa"/>
            <w:tcBorders>
              <w:top w:val="nil"/>
              <w:bottom w:val="nil"/>
            </w:tcBorders>
          </w:tcPr>
          <w:p>
            <w:pPr>
              <w:pStyle w:val="TableParagraph"/>
              <w:spacing w:line="268" w:lineRule="exact" w:before="0"/>
              <w:rPr>
                <w:sz w:val="22"/>
              </w:rPr>
            </w:pPr>
            <w:r>
              <w:rPr>
                <w:sz w:val="22"/>
              </w:rPr>
              <w:t>Whitespace)</w:t>
            </w:r>
          </w:p>
        </w:tc>
        <w:tc>
          <w:tcPr>
            <w:tcW w:w="8250" w:type="dxa"/>
            <w:tcBorders>
              <w:top w:val="nil"/>
              <w:bottom w:val="nil"/>
            </w:tcBorders>
          </w:tcPr>
          <w:p>
            <w:pPr>
              <w:pStyle w:val="TableParagraph"/>
              <w:spacing w:before="5"/>
              <w:ind w:left="0"/>
              <w:rPr>
                <w:sz w:val="16"/>
              </w:rPr>
            </w:pPr>
          </w:p>
          <w:p>
            <w:pPr>
              <w:pStyle w:val="TableParagraph"/>
              <w:spacing w:before="0"/>
              <w:rPr>
                <w:sz w:val="22"/>
              </w:rPr>
            </w:pPr>
            <w:r>
              <w:rPr>
                <w:sz w:val="22"/>
              </w:rPr>
              <w:t>The possible values for this attribute are defined by §2.10 of the XML 1.0 specification.</w:t>
            </w:r>
          </w:p>
        </w:tc>
      </w:tr>
      <w:tr>
        <w:trPr>
          <w:trHeight w:val="1443" w:hRule="atLeast"/>
        </w:trPr>
        <w:tc>
          <w:tcPr>
            <w:tcW w:w="2062" w:type="dxa"/>
            <w:tcBorders>
              <w:top w:val="nil"/>
            </w:tcBorders>
          </w:tcPr>
          <w:p>
            <w:pPr>
              <w:pStyle w:val="TableParagraph"/>
              <w:spacing w:line="276" w:lineRule="auto" w:before="0"/>
              <w:ind w:right="149"/>
              <w:rPr>
                <w:rFonts w:ascii="Cambria"/>
                <w:sz w:val="22"/>
              </w:rPr>
            </w:pPr>
            <w:r>
              <w:rPr>
                <w:sz w:val="22"/>
              </w:rPr>
              <w:t>Namespace: </w:t>
            </w:r>
            <w:hyperlink r:id="rId13">
              <w:r>
                <w:rPr>
                  <w:rFonts w:ascii="Cambria"/>
                  <w:sz w:val="22"/>
                </w:rPr>
                <w:t>http://www.w3.or</w:t>
              </w:r>
            </w:hyperlink>
            <w:r>
              <w:rPr>
                <w:rFonts w:ascii="Cambria"/>
                <w:sz w:val="22"/>
              </w:rPr>
              <w:t> </w:t>
            </w:r>
            <w:hyperlink r:id="rId13">
              <w:r>
                <w:rPr>
                  <w:rFonts w:ascii="Cambria"/>
                  <w:sz w:val="22"/>
                </w:rPr>
                <w:t>g/XML/1998/nam</w:t>
              </w:r>
            </w:hyperlink>
            <w:r>
              <w:rPr>
                <w:rFonts w:ascii="Cambria"/>
                <w:sz w:val="22"/>
              </w:rPr>
              <w:t> </w:t>
            </w:r>
            <w:hyperlink r:id="rId13">
              <w:r>
                <w:rPr>
                  <w:rFonts w:ascii="Cambria"/>
                  <w:sz w:val="22"/>
                </w:rPr>
                <w:t>espace</w:t>
              </w:r>
            </w:hyperlink>
          </w:p>
        </w:tc>
        <w:tc>
          <w:tcPr>
            <w:tcW w:w="8250" w:type="dxa"/>
            <w:tcBorders>
              <w:top w:val="nil"/>
            </w:tcBorders>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6"/>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7.2 authors (Authors)" w:id="536"/>
      <w:bookmarkEnd w:id="536"/>
      <w:r>
        <w:rPr>
          <w:b w:val="0"/>
        </w:rPr>
      </w:r>
      <w:bookmarkStart w:name="_bookmark177" w:id="537"/>
      <w:bookmarkEnd w:id="537"/>
      <w:r>
        <w:rPr>
          <w:b w:val="0"/>
        </w:rPr>
      </w:r>
      <w:bookmarkStart w:name="_bookmark177" w:id="538"/>
      <w:bookmarkEnd w:id="538"/>
      <w:r>
        <w:rPr>
          <w:color w:val="4F81BC"/>
        </w:rPr>
        <w:t>au</w:t>
      </w:r>
      <w:r>
        <w:rPr>
          <w:color w:val="4F81BC"/>
        </w:rPr>
        <w:t>thors</w:t>
      </w:r>
      <w:r>
        <w:rPr>
          <w:color w:val="4F81BC"/>
          <w:spacing w:val="1"/>
        </w:rPr>
        <w:t> </w:t>
      </w:r>
      <w:r>
        <w:rPr>
          <w:color w:val="4F81BC"/>
        </w:rPr>
        <w:t>(Authors)</w:t>
      </w:r>
    </w:p>
    <w:p>
      <w:pPr>
        <w:pStyle w:val="BodyText"/>
        <w:spacing w:line="278" w:lineRule="auto" w:before="121"/>
        <w:ind w:left="220" w:right="464"/>
      </w:pPr>
      <w:r>
        <w:rPr/>
        <w:t>This element is a container that holds a list of comment author names. There can be many comment authors per sheet, but each author name shall be unique per sheet. The information for each author is stored only once for that sheet, and comments refer to the author by zero based index.</w:t>
      </w:r>
    </w:p>
    <w:p>
      <w:pPr>
        <w:pStyle w:val="BodyText"/>
        <w:spacing w:line="276" w:lineRule="auto" w:before="194"/>
        <w:ind w:left="220" w:right="452"/>
      </w:pPr>
      <w:r>
        <w:rPr/>
        <w:t>Note that there can be multiple lists of authors per workbook since each sheet contains its own comments part, and each comments part defines a list of authors for comments on that sheet.</w:t>
      </w:r>
    </w:p>
    <w:p>
      <w:pPr>
        <w:pStyle w:val="BodyText"/>
        <w:spacing w:before="3"/>
        <w:rPr>
          <w:sz w:val="16"/>
        </w:rPr>
      </w:pPr>
    </w:p>
    <w:p>
      <w:pPr>
        <w:pStyle w:val="BodyText"/>
        <w:spacing w:line="278" w:lineRule="auto"/>
        <w:ind w:left="220" w:right="774"/>
      </w:pPr>
      <w:r>
        <w:rPr/>
        <w:t>[</w:t>
      </w:r>
      <w:r>
        <w:rPr>
          <w:i/>
        </w:rPr>
        <w:t>Note</w:t>
      </w:r>
      <w:r>
        <w:rPr/>
        <w:t>: The W3C XML Schema definition of this element’s content model (</w:t>
      </w:r>
      <w:r>
        <w:rPr>
          <w:color w:val="5F5F5F"/>
          <w:u w:val="single" w:color="5F5F5F"/>
        </w:rPr>
        <w:t>CT_Authors</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7.3 comment (Comment)" w:id="539"/>
      <w:bookmarkEnd w:id="539"/>
      <w:r>
        <w:rPr>
          <w:b w:val="0"/>
        </w:rPr>
      </w:r>
      <w:bookmarkStart w:name="_bookmark178" w:id="540"/>
      <w:bookmarkEnd w:id="540"/>
      <w:r>
        <w:rPr>
          <w:b w:val="0"/>
        </w:rPr>
      </w:r>
      <w:bookmarkStart w:name="_bookmark178" w:id="541"/>
      <w:bookmarkEnd w:id="541"/>
      <w:r>
        <w:rPr>
          <w:color w:val="4F81BC"/>
        </w:rPr>
        <w:t>c</w:t>
      </w:r>
      <w:r>
        <w:rPr>
          <w:color w:val="4F81BC"/>
        </w:rPr>
        <w:t>omment</w:t>
      </w:r>
      <w:r>
        <w:rPr>
          <w:color w:val="4F81BC"/>
          <w:spacing w:val="-2"/>
        </w:rPr>
        <w:t> </w:t>
      </w:r>
      <w:r>
        <w:rPr>
          <w:color w:val="4F81BC"/>
        </w:rPr>
        <w:t>(Comment)</w:t>
      </w:r>
    </w:p>
    <w:p>
      <w:pPr>
        <w:pStyle w:val="BodyText"/>
        <w:spacing w:line="276" w:lineRule="auto" w:before="123"/>
        <w:ind w:left="220"/>
      </w:pPr>
      <w:r>
        <w:rPr/>
        <w:t>This element represents a single user entered comment. Each comment shall have an author and can optionally contain richly formatted text.</w:t>
      </w:r>
    </w:p>
    <w:p>
      <w:pPr>
        <w:pStyle w:val="BodyText"/>
        <w:spacing w:before="6"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9" w:hRule="atLeast"/>
        </w:trPr>
        <w:tc>
          <w:tcPr>
            <w:tcW w:w="2062" w:type="dxa"/>
          </w:tcPr>
          <w:p>
            <w:pPr>
              <w:pStyle w:val="TableParagraph"/>
              <w:ind w:right="351"/>
              <w:rPr>
                <w:sz w:val="22"/>
              </w:rPr>
            </w:pPr>
            <w:r>
              <w:rPr>
                <w:rFonts w:ascii="Cambria"/>
                <w:sz w:val="22"/>
              </w:rPr>
              <w:t>authorId </w:t>
            </w:r>
            <w:r>
              <w:rPr>
                <w:sz w:val="22"/>
              </w:rPr>
              <w:t>(Author Id)</w:t>
            </w:r>
          </w:p>
        </w:tc>
        <w:tc>
          <w:tcPr>
            <w:tcW w:w="8250" w:type="dxa"/>
          </w:tcPr>
          <w:p>
            <w:pPr>
              <w:pStyle w:val="TableParagraph"/>
              <w:rPr>
                <w:sz w:val="22"/>
              </w:rPr>
            </w:pPr>
            <w:r>
              <w:rPr>
                <w:sz w:val="22"/>
              </w:rPr>
              <w:t>Required. An unsigned integer which is used as the zero based index into the list of</w:t>
            </w:r>
          </w:p>
          <w:p>
            <w:pPr>
              <w:pStyle w:val="TableParagraph"/>
              <w:spacing w:before="0"/>
              <w:rPr>
                <w:sz w:val="22"/>
              </w:rPr>
            </w:pPr>
            <w:r>
              <w:rPr>
                <w:rFonts w:ascii="Cambria"/>
                <w:sz w:val="22"/>
              </w:rPr>
              <w:t>authors </w:t>
            </w:r>
            <w:r>
              <w:rPr>
                <w:sz w:val="22"/>
              </w:rPr>
              <w:t>for this set of comments.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9" w:hRule="atLeast"/>
        </w:trPr>
        <w:tc>
          <w:tcPr>
            <w:tcW w:w="2062" w:type="dxa"/>
          </w:tcPr>
          <w:p>
            <w:pPr>
              <w:pStyle w:val="TableParagraph"/>
              <w:ind w:right="753"/>
              <w:jc w:val="both"/>
              <w:rPr>
                <w:sz w:val="22"/>
              </w:rPr>
            </w:pPr>
            <w:r>
              <w:rPr>
                <w:rFonts w:ascii="Cambria"/>
                <w:sz w:val="22"/>
              </w:rPr>
              <w:t>guid </w:t>
            </w:r>
            <w:r>
              <w:rPr>
                <w:sz w:val="22"/>
              </w:rPr>
              <w:t>(Unique Identifier for Comment)</w:t>
            </w:r>
          </w:p>
        </w:tc>
        <w:tc>
          <w:tcPr>
            <w:tcW w:w="8250" w:type="dxa"/>
          </w:tcPr>
          <w:p>
            <w:pPr>
              <w:pStyle w:val="TableParagraph"/>
              <w:ind w:right="303"/>
              <w:rPr>
                <w:sz w:val="22"/>
              </w:rPr>
            </w:pPr>
            <w:r>
              <w:rPr>
                <w:sz w:val="22"/>
              </w:rPr>
              <w:t>Unique identifier for this comment. The attribute is required and shall be unique across all comments in shared workbooks.</w:t>
            </w:r>
          </w:p>
          <w:p>
            <w:pPr>
              <w:pStyle w:val="TableParagraph"/>
              <w:spacing w:before="11"/>
              <w:ind w:left="0"/>
              <w:rPr>
                <w:sz w:val="21"/>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1429" w:hRule="atLeast"/>
        </w:trPr>
        <w:tc>
          <w:tcPr>
            <w:tcW w:w="2062" w:type="dxa"/>
          </w:tcPr>
          <w:p>
            <w:pPr>
              <w:pStyle w:val="TableParagraph"/>
              <w:ind w:left="47" w:right="129"/>
              <w:jc w:val="center"/>
              <w:rPr>
                <w:sz w:val="22"/>
              </w:rPr>
            </w:pPr>
            <w:r>
              <w:rPr>
                <w:rFonts w:ascii="Cambria"/>
                <w:sz w:val="22"/>
              </w:rPr>
              <w:t>ref </w:t>
            </w:r>
            <w:r>
              <w:rPr>
                <w:sz w:val="22"/>
              </w:rPr>
              <w:t>(Cell Reference)</w:t>
            </w:r>
          </w:p>
        </w:tc>
        <w:tc>
          <w:tcPr>
            <w:tcW w:w="8250" w:type="dxa"/>
          </w:tcPr>
          <w:p>
            <w:pPr>
              <w:pStyle w:val="TableParagraph"/>
              <w:ind w:right="367"/>
              <w:jc w:val="both"/>
              <w:rPr>
                <w:sz w:val="22"/>
              </w:rPr>
            </w:pPr>
            <w:r>
              <w:rPr>
                <w:sz w:val="22"/>
              </w:rPr>
              <w:t>Required. A string that serves as the A1 style reference to the cell that the comment is associated with. Shall only reference a single cell, not a range of cells, since comments are on a per cell basis.</w:t>
            </w:r>
          </w:p>
          <w:p>
            <w:pPr>
              <w:pStyle w:val="TableParagraph"/>
              <w:spacing w:before="0"/>
              <w:ind w:left="0"/>
              <w:rPr>
                <w:sz w:val="22"/>
              </w:rPr>
            </w:pPr>
          </w:p>
          <w:p>
            <w:pPr>
              <w:pStyle w:val="TableParagraph"/>
              <w:spacing w:before="1"/>
              <w:jc w:val="both"/>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bl>
    <w:p>
      <w:pPr>
        <w:spacing w:after="0"/>
        <w:jc w:val="both"/>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28" w:hRule="atLeast"/>
        </w:trPr>
        <w:tc>
          <w:tcPr>
            <w:tcW w:w="2062" w:type="dxa"/>
          </w:tcPr>
          <w:p>
            <w:pPr>
              <w:pStyle w:val="TableParagraph"/>
              <w:ind w:left="30" w:right="129"/>
              <w:jc w:val="center"/>
              <w:rPr>
                <w:sz w:val="22"/>
              </w:rPr>
            </w:pPr>
            <w:r>
              <w:rPr>
                <w:rFonts w:ascii="Cambria"/>
                <w:sz w:val="22"/>
              </w:rPr>
              <w:t>shapeId </w:t>
            </w:r>
            <w:r>
              <w:rPr>
                <w:sz w:val="22"/>
              </w:rPr>
              <w:t>(Shape ID)</w:t>
            </w:r>
          </w:p>
        </w:tc>
        <w:tc>
          <w:tcPr>
            <w:tcW w:w="8250" w:type="dxa"/>
          </w:tcPr>
          <w:p>
            <w:pPr>
              <w:pStyle w:val="TableParagraph"/>
              <w:ind w:right="387"/>
              <w:rPr>
                <w:sz w:val="22"/>
              </w:rPr>
            </w:pPr>
            <w:r>
              <w:rPr>
                <w:sz w:val="22"/>
              </w:rPr>
              <w:t>Specifies the ID of the DrawingML shape that provides the visual representation of the comment.</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1"/>
              <w:ind w:left="0"/>
              <w:rPr>
                <w:sz w:val="22"/>
              </w:rPr>
            </w:pPr>
          </w:p>
          <w:p>
            <w:pPr>
              <w:pStyle w:val="TableParagraph"/>
              <w:spacing w:before="0"/>
              <w:ind w:left="403"/>
              <w:rPr>
                <w:rFonts w:ascii="Consolas" w:hAnsi="Consolas"/>
                <w:sz w:val="22"/>
              </w:rPr>
            </w:pPr>
            <w:r>
              <w:rPr>
                <w:rFonts w:ascii="Consolas" w:hAnsi="Consolas"/>
                <w:sz w:val="22"/>
              </w:rPr>
              <w:t>&lt;comment shapeId="10 " … &gt;</w:t>
            </w:r>
          </w:p>
          <w:p>
            <w:pPr>
              <w:pStyle w:val="TableParagraph"/>
              <w:spacing w:before="11"/>
              <w:ind w:left="0"/>
              <w:rPr>
                <w:sz w:val="21"/>
              </w:rPr>
            </w:pPr>
          </w:p>
          <w:p>
            <w:pPr>
              <w:pStyle w:val="TableParagraph"/>
              <w:spacing w:before="1"/>
              <w:rPr>
                <w:sz w:val="22"/>
              </w:rPr>
            </w:pPr>
            <w:r>
              <w:rPr>
                <w:i/>
                <w:sz w:val="22"/>
              </w:rPr>
              <w:t>end example</w:t>
            </w:r>
            <w:r>
              <w:rPr>
                <w:sz w:val="22"/>
              </w:rPr>
              <w: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7"/>
        <w:ind w:left="220" w:right="601"/>
      </w:pPr>
      <w:r>
        <w:rPr/>
        <w:t>[</w:t>
      </w:r>
      <w:r>
        <w:rPr>
          <w:i/>
        </w:rPr>
        <w:t>Note</w:t>
      </w:r>
      <w:r>
        <w:rPr/>
        <w:t>: The W3C XML Schema definition of this element’s content model (</w:t>
      </w:r>
      <w:r>
        <w:rPr>
          <w:color w:val="5F5F5F"/>
          <w:u w:val="single" w:color="5F5F5F"/>
        </w:rPr>
        <w:t>CT_Comment</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7.4 commentList (List of Comments)" w:id="542"/>
      <w:bookmarkEnd w:id="542"/>
      <w:r>
        <w:rPr>
          <w:b w:val="0"/>
        </w:rPr>
      </w:r>
      <w:bookmarkStart w:name="_bookmark179" w:id="543"/>
      <w:bookmarkEnd w:id="543"/>
      <w:r>
        <w:rPr>
          <w:b w:val="0"/>
        </w:rPr>
      </w:r>
      <w:bookmarkStart w:name="_bookmark179" w:id="544"/>
      <w:bookmarkEnd w:id="544"/>
      <w:r>
        <w:rPr>
          <w:color w:val="4F81BC"/>
        </w:rPr>
        <w:t>c</w:t>
      </w:r>
      <w:r>
        <w:rPr>
          <w:color w:val="4F81BC"/>
        </w:rPr>
        <w:t>ommentList (List of</w:t>
      </w:r>
      <w:r>
        <w:rPr>
          <w:color w:val="4F81BC"/>
          <w:spacing w:val="1"/>
        </w:rPr>
        <w:t> </w:t>
      </w:r>
      <w:r>
        <w:rPr>
          <w:color w:val="4F81BC"/>
        </w:rPr>
        <w:t>Comments)</w:t>
      </w:r>
    </w:p>
    <w:p>
      <w:pPr>
        <w:pStyle w:val="BodyText"/>
        <w:spacing w:before="124"/>
        <w:ind w:left="220"/>
      </w:pPr>
      <w:r>
        <w:rPr/>
        <w:t>This element is a container that holds a list of comments for the sheet.</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CT_CommentList</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7.5 commentPr (Comment Properties)" w:id="545"/>
      <w:bookmarkEnd w:id="545"/>
      <w:r>
        <w:rPr>
          <w:b w:val="0"/>
        </w:rPr>
      </w:r>
      <w:bookmarkStart w:name="_bookmark180" w:id="546"/>
      <w:bookmarkEnd w:id="546"/>
      <w:r>
        <w:rPr>
          <w:b w:val="0"/>
        </w:rPr>
      </w:r>
      <w:bookmarkStart w:name="_bookmark180" w:id="547"/>
      <w:bookmarkEnd w:id="547"/>
      <w:r>
        <w:rPr>
          <w:color w:val="4F81BC"/>
        </w:rPr>
        <w:t>c</w:t>
      </w:r>
      <w:r>
        <w:rPr>
          <w:color w:val="4F81BC"/>
        </w:rPr>
        <w:t>ommentPr (Comment</w:t>
      </w:r>
      <w:r>
        <w:rPr>
          <w:color w:val="4F81BC"/>
          <w:spacing w:val="-1"/>
        </w:rPr>
        <w:t> </w:t>
      </w:r>
      <w:r>
        <w:rPr>
          <w:color w:val="4F81BC"/>
        </w:rPr>
        <w:t>Properties)</w:t>
      </w:r>
    </w:p>
    <w:p>
      <w:pPr>
        <w:pStyle w:val="BodyText"/>
        <w:spacing w:before="127"/>
        <w:ind w:left="220"/>
      </w:pPr>
      <w:r>
        <w:rPr/>
        <w:t>This element specifies the visual and positional properties of a comment.</w:t>
      </w:r>
    </w:p>
    <w:p>
      <w:pPr>
        <w:pStyle w:val="BodyText"/>
        <w:spacing w:before="8"/>
        <w:rPr>
          <w:sz w:val="19"/>
        </w:rPr>
      </w:pPr>
    </w:p>
    <w:p>
      <w:pPr>
        <w:pStyle w:val="BodyText"/>
        <w:spacing w:before="1"/>
        <w:ind w:left="220"/>
      </w:pPr>
      <w:r>
        <w:rPr/>
        <w:t>[</w:t>
      </w:r>
      <w:r>
        <w:rPr>
          <w:i/>
        </w:rPr>
        <w:t>Example</w:t>
      </w:r>
      <w:r>
        <w:rPr/>
        <w:t>: In the following example, the comment's visual representation resizes with the</w:t>
      </w:r>
    </w:p>
    <w:p>
      <w:pPr>
        <w:pStyle w:val="BodyText"/>
        <w:spacing w:before="8"/>
        <w:rPr>
          <w:sz w:val="19"/>
        </w:rPr>
      </w:pPr>
    </w:p>
    <w:p>
      <w:pPr>
        <w:pStyle w:val="BodyText"/>
        <w:ind w:left="508"/>
        <w:rPr>
          <w:rFonts w:ascii="Consolas" w:hAnsi="Consolas"/>
        </w:rPr>
      </w:pPr>
      <w:r>
        <w:rPr>
          <w:rFonts w:ascii="Consolas" w:hAnsi="Consolas"/>
        </w:rPr>
        <w:t>&lt;comment … &gt;</w:t>
      </w:r>
    </w:p>
    <w:p>
      <w:pPr>
        <w:pStyle w:val="BodyText"/>
        <w:spacing w:before="37"/>
        <w:ind w:left="750"/>
        <w:rPr>
          <w:rFonts w:ascii="Consolas" w:hAnsi="Consolas"/>
        </w:rPr>
      </w:pPr>
      <w:r>
        <w:rPr>
          <w:rFonts w:ascii="Consolas" w:hAnsi="Consolas"/>
        </w:rPr>
        <w:t>&lt;text&gt; … &lt;/text&gt;</w:t>
      </w:r>
    </w:p>
    <w:p>
      <w:pPr>
        <w:pStyle w:val="BodyText"/>
        <w:spacing w:before="38"/>
        <w:ind w:left="750"/>
        <w:rPr>
          <w:rFonts w:ascii="Consolas"/>
        </w:rPr>
      </w:pPr>
      <w:r>
        <w:rPr>
          <w:rFonts w:ascii="Consolas"/>
        </w:rPr>
        <w:t>&lt;commentPr autoFill="false"&gt;</w:t>
      </w:r>
    </w:p>
    <w:p>
      <w:pPr>
        <w:pStyle w:val="BodyText"/>
        <w:spacing w:before="40"/>
        <w:ind w:left="993"/>
        <w:rPr>
          <w:rFonts w:ascii="Consolas"/>
        </w:rPr>
      </w:pPr>
      <w:r>
        <w:rPr>
          <w:rFonts w:ascii="Consolas"/>
        </w:rPr>
        <w:t>&lt;anchor moveWithCells="true" sizeWithCells="true"&gt;</w:t>
      </w:r>
    </w:p>
    <w:p>
      <w:pPr>
        <w:pStyle w:val="BodyText"/>
        <w:spacing w:before="38"/>
        <w:ind w:left="1235"/>
        <w:rPr>
          <w:rFonts w:ascii="Consolas" w:hAnsi="Consolas"/>
        </w:rPr>
      </w:pPr>
      <w:r>
        <w:rPr>
          <w:rFonts w:ascii="Consolas" w:hAnsi="Consolas"/>
        </w:rPr>
        <w:t>&lt;from&gt; … &lt;/from&gt;</w:t>
      </w:r>
    </w:p>
    <w:p>
      <w:pPr>
        <w:pStyle w:val="BodyText"/>
        <w:spacing w:before="40"/>
        <w:ind w:left="1235"/>
        <w:rPr>
          <w:rFonts w:ascii="Consolas" w:hAnsi="Consolas"/>
        </w:rPr>
      </w:pPr>
      <w:r>
        <w:rPr>
          <w:rFonts w:ascii="Consolas" w:hAnsi="Consolas"/>
        </w:rPr>
        <w:t>&lt;to&gt; … &lt;/to&gt;</w:t>
      </w:r>
    </w:p>
    <w:p>
      <w:pPr>
        <w:pStyle w:val="BodyText"/>
        <w:spacing w:before="37"/>
        <w:ind w:left="165" w:right="7889"/>
        <w:jc w:val="center"/>
        <w:rPr>
          <w:rFonts w:ascii="Consolas"/>
        </w:rPr>
      </w:pPr>
      <w:r>
        <w:rPr>
          <w:rFonts w:ascii="Consolas"/>
        </w:rPr>
        <w:t>&lt;anchor&gt;</w:t>
      </w:r>
    </w:p>
    <w:p>
      <w:pPr>
        <w:pStyle w:val="BodyText"/>
        <w:spacing w:before="40"/>
        <w:ind w:left="165" w:right="7889"/>
        <w:jc w:val="center"/>
        <w:rPr>
          <w:rFonts w:ascii="Consolas"/>
        </w:rPr>
      </w:pPr>
      <w:r>
        <w:rPr>
          <w:rFonts w:ascii="Consolas"/>
        </w:rPr>
        <w:t>&lt;/commentPr&gt;</w:t>
      </w:r>
    </w:p>
    <w:p>
      <w:pPr>
        <w:pStyle w:val="BodyText"/>
        <w:spacing w:before="38"/>
        <w:ind w:left="5" w:right="8456"/>
        <w:jc w:val="center"/>
        <w:rPr>
          <w:rFonts w:ascii="Consolas"/>
        </w:rPr>
      </w:pPr>
      <w:r>
        <w:rPr>
          <w:rFonts w:ascii="Consolas"/>
        </w:rPr>
        <w:t>&lt;/comment&gt;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150"/>
              <w:rPr>
                <w:sz w:val="22"/>
              </w:rPr>
            </w:pPr>
            <w:r>
              <w:rPr>
                <w:rFonts w:ascii="Cambria"/>
                <w:sz w:val="22"/>
              </w:rPr>
              <w:t>altText </w:t>
            </w:r>
            <w:r>
              <w:rPr>
                <w:sz w:val="22"/>
              </w:rPr>
              <w:t>(Alternative Text)</w:t>
            </w:r>
          </w:p>
        </w:tc>
        <w:tc>
          <w:tcPr>
            <w:tcW w:w="8250" w:type="dxa"/>
          </w:tcPr>
          <w:p>
            <w:pPr>
              <w:pStyle w:val="TableParagraph"/>
              <w:spacing w:line="480" w:lineRule="auto"/>
              <w:ind w:right="231"/>
              <w:rPr>
                <w:sz w:val="22"/>
              </w:rPr>
            </w:pPr>
            <w:r>
              <w:rPr>
                <w:sz w:val="22"/>
              </w:rPr>
              <w:t>Specifies alternative text for the object, for use by assistive technologies or applications. [</w:t>
            </w:r>
            <w:r>
              <w:rPr>
                <w:i/>
                <w:sz w:val="22"/>
              </w:rPr>
              <w:t>Example</w:t>
            </w:r>
            <w:r>
              <w:rPr>
                <w:sz w:val="22"/>
              </w:rPr>
              <w:t>:</w:t>
            </w:r>
          </w:p>
        </w:tc>
      </w:tr>
    </w:tbl>
    <w:p>
      <w:pPr>
        <w:spacing w:after="0" w:line="480" w:lineRule="auto"/>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86" w:hRule="atLeast"/>
        </w:trPr>
        <w:tc>
          <w:tcPr>
            <w:tcW w:w="2062" w:type="dxa"/>
          </w:tcPr>
          <w:p>
            <w:pPr>
              <w:pStyle w:val="TableParagraph"/>
              <w:spacing w:before="0"/>
              <w:ind w:left="0"/>
              <w:rPr>
                <w:rFonts w:ascii="Times New Roman"/>
                <w:sz w:val="22"/>
              </w:rPr>
            </w:pPr>
          </w:p>
        </w:tc>
        <w:tc>
          <w:tcPr>
            <w:tcW w:w="8250" w:type="dxa"/>
          </w:tcPr>
          <w:p>
            <w:pPr>
              <w:pStyle w:val="TableParagraph"/>
              <w:spacing w:before="42"/>
              <w:ind w:left="403"/>
              <w:rPr>
                <w:rFonts w:ascii="Consolas" w:hAnsi="Consolas"/>
                <w:sz w:val="22"/>
              </w:rPr>
            </w:pPr>
            <w:r>
              <w:rPr>
                <w:rFonts w:ascii="Consolas" w:hAnsi="Consolas"/>
                <w:sz w:val="22"/>
              </w:rPr>
              <w:t>&lt;commentPr altText="Alternate text"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760" w:hRule="atLeast"/>
        </w:trPr>
        <w:tc>
          <w:tcPr>
            <w:tcW w:w="2062" w:type="dxa"/>
          </w:tcPr>
          <w:p>
            <w:pPr>
              <w:pStyle w:val="TableParagraph"/>
              <w:ind w:right="152"/>
              <w:rPr>
                <w:sz w:val="22"/>
              </w:rPr>
            </w:pPr>
            <w:r>
              <w:rPr>
                <w:rFonts w:ascii="Cambria"/>
                <w:sz w:val="22"/>
              </w:rPr>
              <w:t>autoFill </w:t>
            </w:r>
            <w:r>
              <w:rPr>
                <w:sz w:val="22"/>
              </w:rPr>
              <w:t>(Automatic Fill Flag)</w:t>
            </w:r>
          </w:p>
        </w:tc>
        <w:tc>
          <w:tcPr>
            <w:tcW w:w="8250" w:type="dxa"/>
          </w:tcPr>
          <w:p>
            <w:pPr>
              <w:pStyle w:val="TableParagraph"/>
              <w:spacing w:line="480" w:lineRule="auto"/>
              <w:ind w:right="135"/>
              <w:rPr>
                <w:sz w:val="22"/>
              </w:rPr>
            </w:pPr>
            <w:r>
              <w:rPr>
                <w:sz w:val="22"/>
              </w:rPr>
              <w:t>Specifies whether the object's fill formatting is provided automatically by the application. [</w:t>
            </w:r>
            <w:r>
              <w:rPr>
                <w:i/>
                <w:sz w:val="22"/>
              </w:rPr>
              <w:t>Example</w:t>
            </w:r>
            <w:r>
              <w:rPr>
                <w:sz w:val="22"/>
              </w:rPr>
              <w:t>:</w:t>
            </w:r>
          </w:p>
          <w:p>
            <w:pPr>
              <w:pStyle w:val="TableParagraph"/>
              <w:spacing w:before="0"/>
              <w:ind w:left="403"/>
              <w:rPr>
                <w:rFonts w:ascii="Consolas" w:hAnsi="Consolas"/>
                <w:sz w:val="22"/>
              </w:rPr>
            </w:pPr>
            <w:r>
              <w:rPr>
                <w:rFonts w:ascii="Consolas" w:hAnsi="Consolas"/>
                <w:sz w:val="22"/>
              </w:rPr>
              <w:t>&lt;commentPr autoFill="false" … /&gt;</w:t>
            </w:r>
          </w:p>
          <w:p>
            <w:pPr>
              <w:pStyle w:val="TableParagraph"/>
              <w:spacing w:before="5"/>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28" w:hRule="atLeast"/>
        </w:trPr>
        <w:tc>
          <w:tcPr>
            <w:tcW w:w="2062" w:type="dxa"/>
          </w:tcPr>
          <w:p>
            <w:pPr>
              <w:pStyle w:val="TableParagraph"/>
              <w:spacing w:line="237" w:lineRule="auto" w:before="45"/>
              <w:ind w:right="501"/>
              <w:rPr>
                <w:sz w:val="22"/>
              </w:rPr>
            </w:pPr>
            <w:r>
              <w:rPr>
                <w:rFonts w:ascii="Cambria"/>
                <w:sz w:val="22"/>
              </w:rPr>
              <w:t>autoLine </w:t>
            </w:r>
            <w:r>
              <w:rPr>
                <w:sz w:val="22"/>
              </w:rPr>
              <w:t>(Automatic Line Flag)</w:t>
            </w:r>
          </w:p>
        </w:tc>
        <w:tc>
          <w:tcPr>
            <w:tcW w:w="8250" w:type="dxa"/>
          </w:tcPr>
          <w:p>
            <w:pPr>
              <w:pStyle w:val="TableParagraph"/>
              <w:ind w:right="1125"/>
              <w:rPr>
                <w:sz w:val="22"/>
              </w:rPr>
            </w:pPr>
            <w:r>
              <w:rPr>
                <w:sz w:val="22"/>
              </w:rPr>
              <w:t>Specifies whether the object's line formatting is provided automatically by the application.</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&lt;commentPr autoLine="false" … /&gt;</w:t>
            </w:r>
          </w:p>
          <w:p>
            <w:pPr>
              <w:pStyle w:val="TableParagraph"/>
              <w:spacing w:before="1"/>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31" w:hRule="atLeast"/>
        </w:trPr>
        <w:tc>
          <w:tcPr>
            <w:tcW w:w="2062" w:type="dxa"/>
          </w:tcPr>
          <w:p>
            <w:pPr>
              <w:pStyle w:val="TableParagraph"/>
              <w:spacing w:before="42"/>
              <w:ind w:right="484"/>
              <w:rPr>
                <w:sz w:val="22"/>
              </w:rPr>
            </w:pPr>
            <w:r>
              <w:rPr>
                <w:rFonts w:ascii="Cambria"/>
                <w:sz w:val="22"/>
              </w:rPr>
              <w:t>autoScale </w:t>
            </w:r>
            <w:r>
              <w:rPr>
                <w:sz w:val="22"/>
              </w:rPr>
              <w:t>(Automatic Text Scaling Flag)</w:t>
            </w:r>
          </w:p>
        </w:tc>
        <w:tc>
          <w:tcPr>
            <w:tcW w:w="8250" w:type="dxa"/>
          </w:tcPr>
          <w:p>
            <w:pPr>
              <w:pStyle w:val="TableParagraph"/>
              <w:ind w:right="387"/>
              <w:rPr>
                <w:sz w:val="22"/>
              </w:rPr>
            </w:pPr>
            <w:r>
              <w:rPr>
                <w:sz w:val="22"/>
              </w:rPr>
              <w:t>Specifies whether the object's font is automatically scaled by the application when the object is resized.</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&lt;commentPr autoScale="true" … /&gt;</w:t>
            </w:r>
          </w:p>
          <w:p>
            <w:pPr>
              <w:pStyle w:val="TableParagraph"/>
              <w:spacing w:before="1"/>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955" w:hRule="atLeast"/>
        </w:trPr>
        <w:tc>
          <w:tcPr>
            <w:tcW w:w="2062" w:type="dxa"/>
          </w:tcPr>
          <w:p>
            <w:pPr>
              <w:pStyle w:val="TableParagraph"/>
              <w:ind w:right="198"/>
              <w:rPr>
                <w:sz w:val="22"/>
              </w:rPr>
            </w:pPr>
            <w:r>
              <w:rPr>
                <w:rFonts w:ascii="Cambria"/>
                <w:sz w:val="22"/>
              </w:rPr>
              <w:t>colHidden </w:t>
            </w:r>
            <w:r>
              <w:rPr>
                <w:sz w:val="22"/>
              </w:rPr>
              <w:t>(Hidden Column Flag)</w:t>
            </w:r>
          </w:p>
        </w:tc>
        <w:tc>
          <w:tcPr>
            <w:tcW w:w="8250" w:type="dxa"/>
          </w:tcPr>
          <w:p>
            <w:pPr>
              <w:pStyle w:val="TableParagraph"/>
              <w:spacing w:line="480" w:lineRule="auto"/>
              <w:ind w:right="1278"/>
              <w:rPr>
                <w:sz w:val="22"/>
              </w:rPr>
            </w:pPr>
            <w:r>
              <w:rPr>
                <w:sz w:val="22"/>
              </w:rPr>
              <w:t>Specifies that the column of the cell to which this comment points is hidden. [</w:t>
            </w:r>
            <w:r>
              <w:rPr>
                <w:i/>
                <w:sz w:val="22"/>
              </w:rPr>
              <w:t>Example</w:t>
            </w:r>
            <w:r>
              <w:rPr>
                <w:sz w:val="22"/>
              </w:rPr>
              <w:t>:</w:t>
            </w:r>
          </w:p>
          <w:p>
            <w:pPr>
              <w:pStyle w:val="TableParagraph"/>
              <w:spacing w:before="0"/>
              <w:ind w:left="403"/>
              <w:rPr>
                <w:rFonts w:ascii="Consolas" w:hAnsi="Consolas"/>
                <w:sz w:val="22"/>
              </w:rPr>
            </w:pPr>
            <w:r>
              <w:rPr>
                <w:rFonts w:ascii="Consolas" w:hAnsi="Consolas"/>
                <w:sz w:val="22"/>
              </w:rPr>
              <w:t>&lt;commentPr colHidden="true" … /&gt;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60" w:hRule="atLeast"/>
        </w:trPr>
        <w:tc>
          <w:tcPr>
            <w:tcW w:w="2062" w:type="dxa"/>
          </w:tcPr>
          <w:p>
            <w:pPr>
              <w:pStyle w:val="TableParagraph"/>
              <w:ind w:right="108"/>
              <w:rPr>
                <w:sz w:val="22"/>
              </w:rPr>
            </w:pPr>
            <w:r>
              <w:rPr>
                <w:rFonts w:ascii="Cambria"/>
                <w:sz w:val="22"/>
              </w:rPr>
              <w:t>defaultSize </w:t>
            </w:r>
            <w:r>
              <w:rPr>
                <w:sz w:val="22"/>
              </w:rPr>
              <w:t>(Default Size Flag)</w:t>
            </w:r>
          </w:p>
        </w:tc>
        <w:tc>
          <w:tcPr>
            <w:tcW w:w="8250" w:type="dxa"/>
          </w:tcPr>
          <w:p>
            <w:pPr>
              <w:pStyle w:val="TableParagraph"/>
              <w:spacing w:line="477" w:lineRule="auto"/>
              <w:ind w:right="3755"/>
              <w:rPr>
                <w:sz w:val="22"/>
              </w:rPr>
            </w:pPr>
            <w:r>
              <w:rPr>
                <w:sz w:val="22"/>
              </w:rPr>
              <w:t>Specifies whether the object is at its default size. [</w:t>
            </w:r>
            <w:r>
              <w:rPr>
                <w:i/>
                <w:sz w:val="22"/>
              </w:rPr>
              <w:t>Example</w:t>
            </w:r>
            <w:r>
              <w:rPr>
                <w:sz w:val="22"/>
              </w:rPr>
              <w:t>:</w:t>
            </w:r>
          </w:p>
          <w:p>
            <w:pPr>
              <w:pStyle w:val="TableParagraph"/>
              <w:spacing w:before="6"/>
              <w:ind w:left="403"/>
              <w:rPr>
                <w:rFonts w:ascii="Consolas" w:hAnsi="Consolas"/>
                <w:sz w:val="22"/>
              </w:rPr>
            </w:pPr>
            <w:r>
              <w:rPr>
                <w:rFonts w:ascii="Consolas" w:hAnsi="Consolas"/>
                <w:sz w:val="22"/>
              </w:rPr>
              <w:t>&lt;commentPr defaultSize="false"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59" w:hRule="atLeast"/>
        </w:trPr>
        <w:tc>
          <w:tcPr>
            <w:tcW w:w="2062" w:type="dxa"/>
          </w:tcPr>
          <w:p>
            <w:pPr>
              <w:pStyle w:val="TableParagraph"/>
              <w:ind w:right="238"/>
              <w:rPr>
                <w:sz w:val="22"/>
              </w:rPr>
            </w:pPr>
            <w:r>
              <w:rPr>
                <w:rFonts w:ascii="Cambria"/>
                <w:sz w:val="22"/>
              </w:rPr>
              <w:t>disabled </w:t>
            </w:r>
            <w:r>
              <w:rPr>
                <w:sz w:val="22"/>
              </w:rPr>
              <w:t>(Disabled Flag)</w:t>
            </w:r>
          </w:p>
        </w:tc>
        <w:tc>
          <w:tcPr>
            <w:tcW w:w="8250" w:type="dxa"/>
          </w:tcPr>
          <w:p>
            <w:pPr>
              <w:pStyle w:val="TableParagraph"/>
              <w:spacing w:line="480" w:lineRule="auto"/>
              <w:ind w:right="2233"/>
              <w:rPr>
                <w:sz w:val="22"/>
              </w:rPr>
            </w:pPr>
            <w:r>
              <w:rPr>
                <w:sz w:val="22"/>
              </w:rPr>
              <w:t>Specifies whether the object is allowed to run an attached macro.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&lt;commentPr disabled="true"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0" w:hRule="atLeast"/>
        </w:trPr>
        <w:tc>
          <w:tcPr>
            <w:tcW w:w="2062" w:type="dxa"/>
          </w:tcPr>
          <w:p>
            <w:pPr>
              <w:pStyle w:val="TableParagraph"/>
              <w:ind w:right="227"/>
              <w:rPr>
                <w:sz w:val="22"/>
              </w:rPr>
            </w:pPr>
            <w:r>
              <w:rPr>
                <w:rFonts w:ascii="Cambria"/>
                <w:sz w:val="22"/>
              </w:rPr>
              <w:t>justLastX </w:t>
            </w:r>
            <w:r>
              <w:rPr>
                <w:sz w:val="22"/>
              </w:rPr>
              <w:t>(Far East Alignment Flag)</w:t>
            </w:r>
          </w:p>
        </w:tc>
        <w:tc>
          <w:tcPr>
            <w:tcW w:w="8250" w:type="dxa"/>
          </w:tcPr>
          <w:p>
            <w:pPr>
              <w:pStyle w:val="TableParagraph"/>
              <w:ind w:right="353"/>
              <w:rPr>
                <w:sz w:val="22"/>
              </w:rPr>
            </w:pPr>
            <w:r>
              <w:rPr>
                <w:sz w:val="22"/>
              </w:rPr>
              <w:t>Specifies that Far East alignment is set for the last line in the comment's text. Typically, justified text in Far East environments leaves the last line unjustified. Specifying this element also justifies the last line.</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7"/>
              <w:ind w:left="0"/>
              <w:rPr>
                <w:rFonts w:ascii="Times New Roman"/>
                <w:sz w:val="23"/>
              </w:rPr>
            </w:pPr>
          </w:p>
          <w:p>
            <w:pPr>
              <w:pStyle w:val="TableParagraph"/>
              <w:spacing w:before="0"/>
              <w:ind w:left="403"/>
              <w:rPr>
                <w:rFonts w:ascii="Consolas" w:hAnsi="Consolas"/>
                <w:sz w:val="22"/>
              </w:rPr>
            </w:pPr>
            <w:r>
              <w:rPr>
                <w:rFonts w:ascii="Consolas" w:hAnsi="Consolas"/>
                <w:sz w:val="22"/>
              </w:rPr>
              <w:t>&lt;commentPr justLastX="true"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60" w:hRule="atLeast"/>
        </w:trPr>
        <w:tc>
          <w:tcPr>
            <w:tcW w:w="2062" w:type="dxa"/>
          </w:tcPr>
          <w:p>
            <w:pPr>
              <w:pStyle w:val="TableParagraph"/>
              <w:ind w:right="557"/>
              <w:rPr>
                <w:sz w:val="22"/>
              </w:rPr>
            </w:pPr>
            <w:r>
              <w:rPr>
                <w:rFonts w:ascii="Cambria"/>
                <w:sz w:val="22"/>
              </w:rPr>
              <w:t>locked </w:t>
            </w:r>
            <w:r>
              <w:rPr>
                <w:sz w:val="22"/>
              </w:rPr>
              <w:t>(Locked Flag)</w:t>
            </w:r>
          </w:p>
        </w:tc>
        <w:tc>
          <w:tcPr>
            <w:tcW w:w="8250" w:type="dxa"/>
          </w:tcPr>
          <w:p>
            <w:pPr>
              <w:pStyle w:val="TableParagraph"/>
              <w:spacing w:line="480" w:lineRule="auto"/>
              <w:ind w:right="2510"/>
              <w:rPr>
                <w:sz w:val="22"/>
              </w:rPr>
            </w:pPr>
            <w:r>
              <w:rPr>
                <w:sz w:val="22"/>
              </w:rPr>
              <w:t>Specifies that the object is locked when the sheet is protected. [</w:t>
            </w:r>
            <w:r>
              <w:rPr>
                <w:i/>
                <w:sz w:val="22"/>
              </w:rPr>
              <w:t>Example</w:t>
            </w:r>
            <w:r>
              <w:rPr>
                <w:sz w:val="22"/>
              </w:rPr>
              <w:t>:</w:t>
            </w:r>
          </w:p>
          <w:p>
            <w:pPr>
              <w:pStyle w:val="TableParagraph"/>
              <w:spacing w:before="1"/>
              <w:ind w:left="403"/>
              <w:rPr>
                <w:rFonts w:ascii="Consolas" w:hAnsi="Consolas"/>
                <w:sz w:val="22"/>
              </w:rPr>
            </w:pPr>
            <w:r>
              <w:rPr>
                <w:rFonts w:ascii="Consolas" w:hAnsi="Consolas"/>
                <w:sz w:val="22"/>
              </w:rPr>
              <w:t>&lt;commentPr locked="false" … /&gt;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footerReference w:type="even" r:id="rId68"/>
          <w:footerReference w:type="default" r:id="rId69"/>
          <w:pgSz w:w="12240" w:h="15840"/>
          <w:pgMar w:footer="746" w:header="761" w:top="1340" w:bottom="940" w:left="860" w:right="700"/>
          <w:pgNumType w:start="175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59" w:hRule="atLeast"/>
        </w:trPr>
        <w:tc>
          <w:tcPr>
            <w:tcW w:w="2062" w:type="dxa"/>
          </w:tcPr>
          <w:p>
            <w:pPr>
              <w:pStyle w:val="TableParagraph"/>
              <w:ind w:right="157"/>
              <w:rPr>
                <w:sz w:val="22"/>
              </w:rPr>
            </w:pPr>
            <w:r>
              <w:rPr>
                <w:rFonts w:ascii="Cambria"/>
                <w:sz w:val="22"/>
              </w:rPr>
              <w:t>lockText </w:t>
            </w:r>
            <w:r>
              <w:rPr>
                <w:sz w:val="22"/>
              </w:rPr>
              <w:t>(Text Lock Flag)</w:t>
            </w:r>
          </w:p>
        </w:tc>
        <w:tc>
          <w:tcPr>
            <w:tcW w:w="8250" w:type="dxa"/>
          </w:tcPr>
          <w:p>
            <w:pPr>
              <w:pStyle w:val="TableParagraph"/>
              <w:spacing w:line="480" w:lineRule="auto"/>
              <w:ind w:right="4532"/>
              <w:rPr>
                <w:sz w:val="22"/>
              </w:rPr>
            </w:pPr>
            <w:r>
              <w:rPr>
                <w:sz w:val="22"/>
              </w:rPr>
              <w:t>Specifies that the object's text is locked. [</w:t>
            </w:r>
            <w:r>
              <w:rPr>
                <w:i/>
                <w:sz w:val="22"/>
              </w:rPr>
              <w:t>Example</w:t>
            </w:r>
            <w:r>
              <w:rPr>
                <w:sz w:val="22"/>
              </w:rPr>
              <w:t>:</w:t>
            </w:r>
          </w:p>
          <w:p>
            <w:pPr>
              <w:pStyle w:val="TableParagraph"/>
              <w:spacing w:before="0"/>
              <w:ind w:left="403"/>
              <w:rPr>
                <w:rFonts w:ascii="Consolas" w:hAnsi="Consolas"/>
                <w:sz w:val="22"/>
              </w:rPr>
            </w:pPr>
            <w:r>
              <w:rPr>
                <w:rFonts w:ascii="Consolas" w:hAnsi="Consolas"/>
                <w:sz w:val="22"/>
              </w:rPr>
              <w:t>&lt;commentPr lockText="true" … /&gt;</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762" w:hRule="atLeast"/>
        </w:trPr>
        <w:tc>
          <w:tcPr>
            <w:tcW w:w="2062" w:type="dxa"/>
          </w:tcPr>
          <w:p>
            <w:pPr>
              <w:pStyle w:val="TableParagraph"/>
              <w:rPr>
                <w:sz w:val="22"/>
              </w:rPr>
            </w:pPr>
            <w:r>
              <w:rPr>
                <w:rFonts w:ascii="Cambria"/>
                <w:sz w:val="22"/>
              </w:rPr>
              <w:t>print </w:t>
            </w:r>
            <w:r>
              <w:rPr>
                <w:sz w:val="22"/>
              </w:rPr>
              <w:t>(Print Flag)</w:t>
            </w:r>
          </w:p>
        </w:tc>
        <w:tc>
          <w:tcPr>
            <w:tcW w:w="8250" w:type="dxa"/>
          </w:tcPr>
          <w:p>
            <w:pPr>
              <w:pStyle w:val="TableParagraph"/>
              <w:spacing w:line="480" w:lineRule="auto"/>
              <w:ind w:right="1853"/>
              <w:rPr>
                <w:sz w:val="22"/>
              </w:rPr>
            </w:pPr>
            <w:r>
              <w:rPr>
                <w:sz w:val="22"/>
              </w:rPr>
              <w:t>Specifies whether the object is printed when the document is printed.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&lt;commentPr print="false" … /&gt;</w:t>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60" w:hRule="atLeast"/>
        </w:trPr>
        <w:tc>
          <w:tcPr>
            <w:tcW w:w="2062" w:type="dxa"/>
          </w:tcPr>
          <w:p>
            <w:pPr>
              <w:pStyle w:val="TableParagraph"/>
              <w:ind w:right="93"/>
              <w:rPr>
                <w:sz w:val="22"/>
              </w:rPr>
            </w:pPr>
            <w:r>
              <w:rPr>
                <w:rFonts w:ascii="Cambria"/>
                <w:sz w:val="22"/>
              </w:rPr>
              <w:t>rowHidden </w:t>
            </w:r>
            <w:r>
              <w:rPr>
                <w:sz w:val="22"/>
              </w:rPr>
              <w:t>(Hidden Row Flag)</w:t>
            </w:r>
          </w:p>
        </w:tc>
        <w:tc>
          <w:tcPr>
            <w:tcW w:w="8250" w:type="dxa"/>
          </w:tcPr>
          <w:p>
            <w:pPr>
              <w:pStyle w:val="TableParagraph"/>
              <w:spacing w:line="480" w:lineRule="auto"/>
              <w:ind w:right="1594"/>
              <w:rPr>
                <w:sz w:val="22"/>
              </w:rPr>
            </w:pPr>
            <w:r>
              <w:rPr>
                <w:sz w:val="22"/>
              </w:rPr>
              <w:t>Specifies that the row of the cell to which this comment points is hidden. [</w:t>
            </w:r>
            <w:r>
              <w:rPr>
                <w:i/>
                <w:sz w:val="22"/>
              </w:rPr>
              <w:t>Example</w:t>
            </w:r>
            <w:r>
              <w:rPr>
                <w:sz w:val="22"/>
              </w:rPr>
              <w:t>:</w:t>
            </w:r>
          </w:p>
          <w:p>
            <w:pPr>
              <w:pStyle w:val="TableParagraph"/>
              <w:spacing w:before="1"/>
              <w:ind w:left="403"/>
              <w:rPr>
                <w:rFonts w:ascii="Consolas" w:hAnsi="Consolas"/>
                <w:sz w:val="22"/>
              </w:rPr>
            </w:pPr>
            <w:r>
              <w:rPr>
                <w:rFonts w:ascii="Consolas" w:hAnsi="Consolas"/>
                <w:sz w:val="22"/>
              </w:rPr>
              <w:t>&lt;commentPr rowHidden="true" … /&gt;</w:t>
            </w:r>
          </w:p>
          <w:p>
            <w:pPr>
              <w:pStyle w:val="TableParagraph"/>
              <w:spacing w:before="3"/>
              <w:ind w:left="0"/>
              <w:rPr>
                <w:rFonts w:ascii="Times New Roman"/>
                <w:sz w:val="23"/>
              </w:rPr>
            </w:pPr>
          </w:p>
          <w:p>
            <w:pPr>
              <w:pStyle w:val="TableParagraph"/>
              <w:spacing w:before="1"/>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60" w:hRule="atLeast"/>
        </w:trPr>
        <w:tc>
          <w:tcPr>
            <w:tcW w:w="2062" w:type="dxa"/>
          </w:tcPr>
          <w:p>
            <w:pPr>
              <w:pStyle w:val="TableParagraph"/>
              <w:ind w:right="413"/>
              <w:rPr>
                <w:sz w:val="22"/>
              </w:rPr>
            </w:pPr>
            <w:r>
              <w:rPr>
                <w:rFonts w:ascii="Cambria"/>
                <w:sz w:val="22"/>
              </w:rPr>
              <w:t>textHAlign </w:t>
            </w:r>
            <w:r>
              <w:rPr>
                <w:sz w:val="22"/>
              </w:rPr>
              <w:t>(Text Horizontal Alignment)</w:t>
            </w:r>
          </w:p>
        </w:tc>
        <w:tc>
          <w:tcPr>
            <w:tcW w:w="8250" w:type="dxa"/>
          </w:tcPr>
          <w:p>
            <w:pPr>
              <w:pStyle w:val="TableParagraph"/>
              <w:spacing w:line="480" w:lineRule="auto"/>
              <w:ind w:right="2542"/>
              <w:rPr>
                <w:sz w:val="22"/>
              </w:rPr>
            </w:pPr>
            <w:r>
              <w:rPr>
                <w:sz w:val="22"/>
              </w:rPr>
              <w:t>Specifies the horizontal alignment of the comment's text field.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&lt;commentPr textHAlign="center"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ind w:right="646"/>
              <w:rPr>
                <w:sz w:val="22"/>
              </w:rPr>
            </w:pPr>
            <w:r>
              <w:rPr>
                <w:sz w:val="22"/>
              </w:rPr>
              <w:t>The possible values for this attribute are defined by the </w:t>
            </w:r>
            <w:r>
              <w:rPr>
                <w:rFonts w:ascii="Cambria" w:hAnsi="Cambria"/>
                <w:sz w:val="22"/>
              </w:rPr>
              <w:t>ST_TextHAlign </w:t>
            </w:r>
            <w:r>
              <w:rPr>
                <w:sz w:val="22"/>
              </w:rPr>
              <w:t>simple type </w:t>
            </w:r>
            <w:hyperlink w:history="true" w:anchor="_bookmark902">
              <w:r>
                <w:rPr>
                  <w:sz w:val="22"/>
                </w:rPr>
                <w:t>(§18.18.80</w:t>
              </w:r>
            </w:hyperlink>
            <w:r>
              <w:rPr>
                <w:sz w:val="22"/>
              </w:rPr>
              <w:t>).</w:t>
            </w:r>
          </w:p>
        </w:tc>
      </w:tr>
      <w:tr>
        <w:trPr>
          <w:trHeight w:val="1420" w:hRule="atLeast"/>
        </w:trPr>
        <w:tc>
          <w:tcPr>
            <w:tcW w:w="2062" w:type="dxa"/>
          </w:tcPr>
          <w:p>
            <w:pPr>
              <w:pStyle w:val="TableParagraph"/>
              <w:spacing w:line="237" w:lineRule="auto" w:before="44"/>
              <w:ind w:right="194"/>
              <w:rPr>
                <w:sz w:val="22"/>
              </w:rPr>
            </w:pPr>
            <w:r>
              <w:rPr>
                <w:rFonts w:ascii="Cambria"/>
                <w:sz w:val="22"/>
              </w:rPr>
              <w:t>textVAlign </w:t>
            </w:r>
            <w:r>
              <w:rPr>
                <w:sz w:val="22"/>
              </w:rPr>
              <w:t>(Text Vertical Alignment)</w:t>
            </w:r>
          </w:p>
        </w:tc>
        <w:tc>
          <w:tcPr>
            <w:tcW w:w="8250" w:type="dxa"/>
          </w:tcPr>
          <w:p>
            <w:pPr>
              <w:pStyle w:val="TableParagraph"/>
              <w:spacing w:line="477" w:lineRule="auto" w:before="42"/>
              <w:ind w:right="2790"/>
              <w:rPr>
                <w:sz w:val="22"/>
              </w:rPr>
            </w:pPr>
            <w:r>
              <w:rPr>
                <w:sz w:val="22"/>
              </w:rPr>
              <w:t>Specifies the vertical alignment of the comment's text field. [</w:t>
            </w:r>
            <w:r>
              <w:rPr>
                <w:i/>
                <w:sz w:val="22"/>
              </w:rPr>
              <w:t>Example</w:t>
            </w:r>
            <w:r>
              <w:rPr>
                <w:sz w:val="22"/>
              </w:rPr>
              <w:t>:</w:t>
            </w:r>
          </w:p>
          <w:p>
            <w:pPr>
              <w:pStyle w:val="TableParagraph"/>
              <w:spacing w:before="6"/>
              <w:ind w:left="403"/>
              <w:rPr>
                <w:rFonts w:ascii="Consolas" w:hAnsi="Consolas"/>
                <w:sz w:val="22"/>
              </w:rPr>
            </w:pPr>
            <w:r>
              <w:rPr>
                <w:rFonts w:ascii="Consolas" w:hAnsi="Consolas"/>
                <w:sz w:val="22"/>
              </w:rPr>
              <w:t>&lt;commentPr textVAlign="center" … /&gt;</w:t>
            </w:r>
          </w:p>
        </w:tc>
      </w:tr>
    </w:tbl>
    <w:p>
      <w:pPr>
        <w:spacing w:after="0"/>
        <w:rPr>
          <w:rFonts w:ascii="Consolas" w:hAnsi="Consolas"/>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ind w:right="664"/>
              <w:rPr>
                <w:sz w:val="22"/>
              </w:rPr>
            </w:pPr>
            <w:r>
              <w:rPr>
                <w:sz w:val="22"/>
              </w:rPr>
              <w:t>The possible values for this attribute are defined by the </w:t>
            </w:r>
            <w:r>
              <w:rPr>
                <w:rFonts w:ascii="Cambria" w:hAnsi="Cambria"/>
                <w:sz w:val="22"/>
              </w:rPr>
              <w:t>ST_TextVAlign </w:t>
            </w:r>
            <w:r>
              <w:rPr>
                <w:sz w:val="22"/>
              </w:rPr>
              <w:t>simple type </w:t>
            </w:r>
            <w:hyperlink w:history="true" w:anchor="_bookmark903">
              <w:r>
                <w:rPr>
                  <w:sz w:val="22"/>
                </w:rPr>
                <w:t>(§18.18.81</w:t>
              </w:r>
            </w:hyperlink>
            <w:r>
              <w:rPr>
                <w:sz w:val="22"/>
              </w:rPr>
              <w:t>).</w:t>
            </w:r>
          </w:p>
        </w:tc>
      </w:tr>
      <w:tr>
        <w:trPr>
          <w:trHeight w:val="2762" w:hRule="atLeast"/>
        </w:trPr>
        <w:tc>
          <w:tcPr>
            <w:tcW w:w="2062" w:type="dxa"/>
          </w:tcPr>
          <w:p>
            <w:pPr>
              <w:pStyle w:val="TableParagraph"/>
              <w:ind w:right="181"/>
              <w:rPr>
                <w:sz w:val="22"/>
              </w:rPr>
            </w:pPr>
            <w:r>
              <w:rPr>
                <w:rFonts w:ascii="Cambria"/>
                <w:sz w:val="22"/>
              </w:rPr>
              <w:t>uiObject </w:t>
            </w:r>
            <w:r>
              <w:rPr>
                <w:sz w:val="22"/>
              </w:rPr>
              <w:t>(UI Object Flag)</w:t>
            </w:r>
          </w:p>
        </w:tc>
        <w:tc>
          <w:tcPr>
            <w:tcW w:w="8250" w:type="dxa"/>
          </w:tcPr>
          <w:p>
            <w:pPr>
              <w:pStyle w:val="TableParagraph"/>
              <w:spacing w:line="480" w:lineRule="auto"/>
              <w:ind w:right="4273"/>
              <w:rPr>
                <w:sz w:val="22"/>
              </w:rPr>
            </w:pPr>
            <w:r>
              <w:rPr>
                <w:sz w:val="22"/>
              </w:rPr>
              <w:t>Specifies whether the object is a UI Object. [</w:t>
            </w:r>
            <w:r>
              <w:rPr>
                <w:i/>
                <w:sz w:val="22"/>
              </w:rPr>
              <w:t>Example</w:t>
            </w:r>
            <w:r>
              <w:rPr>
                <w:sz w:val="22"/>
              </w:rPr>
              <w:t>:</w:t>
            </w:r>
          </w:p>
          <w:p>
            <w:pPr>
              <w:pStyle w:val="TableParagraph"/>
              <w:spacing w:before="3"/>
              <w:ind w:left="403"/>
              <w:rPr>
                <w:rFonts w:ascii="Consolas" w:hAnsi="Consolas"/>
                <w:sz w:val="22"/>
              </w:rPr>
            </w:pPr>
            <w:r>
              <w:rPr>
                <w:rFonts w:ascii="Consolas" w:hAnsi="Consolas"/>
                <w:sz w:val="22"/>
              </w:rPr>
              <w:t>&lt;commentPr uiObject="true" …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411"/>
      </w:pPr>
      <w:r>
        <w:rPr/>
        <w:t>[</w:t>
      </w:r>
      <w:r>
        <w:rPr>
          <w:i/>
        </w:rPr>
        <w:t>Note</w:t>
      </w:r>
      <w:r>
        <w:rPr/>
        <w:t>: The W3C XML Schema definition of this element’s content model (</w:t>
      </w:r>
      <w:r>
        <w:rPr>
          <w:color w:val="5F5F5F"/>
          <w:u w:val="single" w:color="5F5F5F"/>
        </w:rPr>
        <w:t>CT_CommentPr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7.6 comments (Comments)" w:id="548"/>
      <w:bookmarkEnd w:id="548"/>
      <w:r>
        <w:rPr>
          <w:b w:val="0"/>
        </w:rPr>
      </w:r>
      <w:bookmarkStart w:name="_bookmark181" w:id="549"/>
      <w:bookmarkEnd w:id="549"/>
      <w:r>
        <w:rPr>
          <w:b w:val="0"/>
        </w:rPr>
      </w:r>
      <w:bookmarkStart w:name="_bookmark181" w:id="550"/>
      <w:bookmarkEnd w:id="550"/>
      <w:r>
        <w:rPr>
          <w:color w:val="4F81BC"/>
        </w:rPr>
        <w:t>c</w:t>
      </w:r>
      <w:r>
        <w:rPr>
          <w:color w:val="4F81BC"/>
        </w:rPr>
        <w:t>omments</w:t>
      </w:r>
      <w:r>
        <w:rPr>
          <w:color w:val="4F81BC"/>
          <w:spacing w:val="1"/>
        </w:rPr>
        <w:t> </w:t>
      </w:r>
      <w:r>
        <w:rPr>
          <w:color w:val="4F81BC"/>
        </w:rPr>
        <w:t>(Comments)</w:t>
      </w:r>
    </w:p>
    <w:p>
      <w:pPr>
        <w:pStyle w:val="BodyText"/>
        <w:spacing w:line="276" w:lineRule="auto" w:before="121"/>
        <w:ind w:left="220" w:right="412"/>
      </w:pPr>
      <w:r>
        <w:rPr/>
        <w:t>This element is the root container of a set of comments and comment authors for a particular sheet. Each set of comments for a sheet is stored in a separate xml part. The relationship part for a sheet defines a link to the correct comment part for that sheet.</w:t>
      </w:r>
    </w:p>
    <w:p>
      <w:pPr>
        <w:pStyle w:val="BodyText"/>
        <w:spacing w:before="4"/>
        <w:rPr>
          <w:sz w:val="16"/>
        </w:rPr>
      </w:pPr>
    </w:p>
    <w:p>
      <w:pPr>
        <w:pStyle w:val="BodyText"/>
        <w:spacing w:line="278" w:lineRule="auto" w:before="1"/>
        <w:ind w:left="220" w:right="515"/>
      </w:pPr>
      <w:r>
        <w:rPr/>
        <w:t>[</w:t>
      </w:r>
      <w:r>
        <w:rPr>
          <w:i/>
        </w:rPr>
        <w:t>Note</w:t>
      </w:r>
      <w:r>
        <w:rPr/>
        <w:t>: The W3C XML Schema definition of this element’s content model (</w:t>
      </w:r>
      <w:r>
        <w:rPr>
          <w:color w:val="5F5F5F"/>
          <w:u w:val="single" w:color="5F5F5F"/>
        </w:rPr>
        <w:t>CT_Comments</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7.7 text (Comment Text)" w:id="551"/>
      <w:bookmarkEnd w:id="551"/>
      <w:r>
        <w:rPr>
          <w:b w:val="0"/>
        </w:rPr>
      </w:r>
      <w:bookmarkStart w:name="_bookmark182" w:id="552"/>
      <w:bookmarkEnd w:id="552"/>
      <w:r>
        <w:rPr>
          <w:b w:val="0"/>
        </w:rPr>
      </w:r>
      <w:bookmarkStart w:name="_bookmark182" w:id="553"/>
      <w:bookmarkEnd w:id="553"/>
      <w:r>
        <w:rPr>
          <w:color w:val="4F81BC"/>
        </w:rPr>
        <w:t>t</w:t>
      </w:r>
      <w:r>
        <w:rPr>
          <w:color w:val="4F81BC"/>
        </w:rPr>
        <w:t>ext (Comment</w:t>
      </w:r>
      <w:r>
        <w:rPr>
          <w:color w:val="4F81BC"/>
          <w:spacing w:val="-4"/>
        </w:rPr>
        <w:t> </w:t>
      </w:r>
      <w:r>
        <w:rPr>
          <w:color w:val="4F81BC"/>
        </w:rPr>
        <w:t>Text)</w:t>
      </w:r>
    </w:p>
    <w:p>
      <w:pPr>
        <w:pStyle w:val="BodyText"/>
        <w:spacing w:line="276" w:lineRule="auto" w:before="124"/>
        <w:ind w:left="220"/>
      </w:pPr>
      <w:r>
        <w:rPr/>
        <w:t>This element contains rich text which represents the text of a comment. The maximum length for this text is a spreadsheet application implementation detail. A recommended guideline is 32767 chars.</w:t>
      </w:r>
    </w:p>
    <w:p>
      <w:pPr>
        <w:pStyle w:val="BodyText"/>
        <w:spacing w:before="5"/>
        <w:rPr>
          <w:sz w:val="16"/>
        </w:rPr>
      </w:pPr>
    </w:p>
    <w:p>
      <w:pPr>
        <w:pStyle w:val="BodyText"/>
        <w:ind w:left="220"/>
      </w:pPr>
      <w:r>
        <w:rPr/>
        <w:t>[</w:t>
      </w:r>
      <w:r>
        <w:rPr>
          <w:i/>
        </w:rPr>
        <w:t>Note</w:t>
      </w:r>
      <w:r>
        <w:rPr/>
        <w:t>: The W3C XML Schema definition of this element’s content model (</w:t>
      </w:r>
      <w:r>
        <w:rPr>
          <w:color w:val="5F5F5F"/>
          <w:u w:val="single" w:color="5F5F5F"/>
        </w:rPr>
        <w:t>CT_Rst</w:t>
      </w:r>
      <w:r>
        <w:rPr/>
        <w:t>) is located in §A.2. </w:t>
      </w:r>
      <w:r>
        <w:rPr>
          <w:i/>
        </w:rPr>
        <w:t>end note</w:t>
      </w:r>
      <w:r>
        <w:rPr/>
        <w:t>]</w:t>
      </w:r>
    </w:p>
    <w:p>
      <w:pPr>
        <w:pStyle w:val="BodyText"/>
        <w:spacing w:before="7"/>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8 Styles" w:id="554"/>
      <w:bookmarkEnd w:id="554"/>
      <w:r>
        <w:rPr>
          <w:b w:val="0"/>
        </w:rPr>
      </w:r>
      <w:bookmarkStart w:name="_bookmark183" w:id="555"/>
      <w:bookmarkEnd w:id="555"/>
      <w:r>
        <w:rPr>
          <w:b w:val="0"/>
        </w:rPr>
      </w:r>
      <w:bookmarkStart w:name="_bookmark183" w:id="556"/>
      <w:bookmarkEnd w:id="556"/>
      <w:r>
        <w:rPr>
          <w:color w:val="4F81BC"/>
        </w:rPr>
        <w:t>Styles</w:t>
      </w:r>
    </w:p>
    <w:p>
      <w:pPr>
        <w:pStyle w:val="BodyText"/>
        <w:spacing w:line="278" w:lineRule="auto" w:before="129"/>
        <w:ind w:left="220" w:right="1225"/>
      </w:pPr>
      <w:r>
        <w:rPr/>
        <w:t>This subclause specifies the possible formatting information for the contents of the cells on a sheet in a SpreadsheetML document.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1 alignment (Alignment)" w:id="557"/>
      <w:bookmarkEnd w:id="557"/>
      <w:r>
        <w:rPr>
          <w:b w:val="0"/>
        </w:rPr>
      </w:r>
      <w:bookmarkStart w:name="_bookmark184" w:id="558"/>
      <w:bookmarkEnd w:id="558"/>
      <w:r>
        <w:rPr>
          <w:b w:val="0"/>
        </w:rPr>
      </w:r>
      <w:bookmarkStart w:name="_bookmark184" w:id="559"/>
      <w:bookmarkEnd w:id="559"/>
      <w:r>
        <w:rPr>
          <w:color w:val="4F81BC"/>
        </w:rPr>
        <w:t>alig</w:t>
      </w:r>
      <w:r>
        <w:rPr>
          <w:color w:val="4F81BC"/>
        </w:rPr>
        <w:t>nment</w:t>
      </w:r>
      <w:r>
        <w:rPr>
          <w:color w:val="4F81BC"/>
          <w:spacing w:val="-2"/>
        </w:rPr>
        <w:t> </w:t>
      </w:r>
      <w:r>
        <w:rPr>
          <w:color w:val="4F81BC"/>
        </w:rPr>
        <w:t>(Alignment)</w:t>
      </w:r>
    </w:p>
    <w:p>
      <w:pPr>
        <w:pStyle w:val="BodyText"/>
        <w:spacing w:line="278" w:lineRule="auto" w:before="122"/>
        <w:ind w:left="220" w:right="1056"/>
      </w:pPr>
      <w:r>
        <w:rPr/>
        <w:t>Formatting information pertaining to text alignment in cells. There are a variety of choices for how text is aligned both horizontally and vertically, as well as indentation settings, and so on.</w:t>
      </w:r>
    </w:p>
    <w:p>
      <w:pPr>
        <w:spacing w:after="0" w:line="278" w:lineRule="auto"/>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37" w:lineRule="auto" w:before="45"/>
              <w:ind w:right="936"/>
              <w:jc w:val="both"/>
              <w:rPr>
                <w:sz w:val="22"/>
              </w:rPr>
            </w:pPr>
            <w:r>
              <w:rPr>
                <w:rFonts w:ascii="Cambria"/>
                <w:sz w:val="22"/>
              </w:rPr>
              <w:t>horizontal </w:t>
            </w:r>
            <w:r>
              <w:rPr>
                <w:sz w:val="22"/>
              </w:rPr>
              <w:t>(Horizontal Alignment)</w:t>
            </w:r>
          </w:p>
        </w:tc>
        <w:tc>
          <w:tcPr>
            <w:tcW w:w="8250" w:type="dxa"/>
          </w:tcPr>
          <w:p>
            <w:pPr>
              <w:pStyle w:val="TableParagraph"/>
              <w:rPr>
                <w:sz w:val="22"/>
              </w:rPr>
            </w:pPr>
            <w:r>
              <w:rPr>
                <w:sz w:val="22"/>
              </w:rPr>
              <w:t>Specifies the type of horizontal alignment in cells.</w:t>
            </w:r>
          </w:p>
          <w:p>
            <w:pPr>
              <w:pStyle w:val="TableParagraph"/>
              <w:spacing w:before="4"/>
              <w:ind w:left="0"/>
              <w:rPr>
                <w:rFonts w:ascii="Times New Roman"/>
                <w:sz w:val="23"/>
              </w:rPr>
            </w:pPr>
          </w:p>
          <w:p>
            <w:pPr>
              <w:pStyle w:val="TableParagraph"/>
              <w:spacing w:before="0"/>
              <w:ind w:right="175"/>
              <w:rPr>
                <w:sz w:val="22"/>
              </w:rPr>
            </w:pPr>
            <w:r>
              <w:rPr>
                <w:sz w:val="22"/>
              </w:rPr>
              <w:t>The possible values for this attribute are defined by the </w:t>
            </w:r>
            <w:r>
              <w:rPr>
                <w:rFonts w:ascii="Cambria" w:hAnsi="Cambria"/>
                <w:sz w:val="22"/>
              </w:rPr>
              <w:t>ST_HorizontalAlignment </w:t>
            </w:r>
            <w:r>
              <w:rPr>
                <w:sz w:val="22"/>
              </w:rPr>
              <w:t>simple type (§</w:t>
            </w:r>
            <w:hyperlink w:history="true" w:anchor="_bookmark862">
              <w:r>
                <w:rPr>
                  <w:sz w:val="22"/>
                </w:rPr>
                <w:t>18.18.40</w:t>
              </w:r>
            </w:hyperlink>
            <w:r>
              <w:rPr>
                <w:sz w:val="22"/>
              </w:rPr>
              <w:t>).</w:t>
            </w:r>
          </w:p>
        </w:tc>
      </w:tr>
      <w:tr>
        <w:trPr>
          <w:trHeight w:val="4922" w:hRule="atLeast"/>
        </w:trPr>
        <w:tc>
          <w:tcPr>
            <w:tcW w:w="2062" w:type="dxa"/>
          </w:tcPr>
          <w:p>
            <w:pPr>
              <w:pStyle w:val="TableParagraph"/>
              <w:rPr>
                <w:sz w:val="22"/>
              </w:rPr>
            </w:pPr>
            <w:r>
              <w:rPr>
                <w:rFonts w:ascii="Cambria"/>
                <w:sz w:val="22"/>
              </w:rPr>
              <w:t>indent </w:t>
            </w:r>
            <w:r>
              <w:rPr>
                <w:sz w:val="22"/>
              </w:rPr>
              <w:t>(Indent)</w:t>
            </w:r>
          </w:p>
        </w:tc>
        <w:tc>
          <w:tcPr>
            <w:tcW w:w="8250" w:type="dxa"/>
          </w:tcPr>
          <w:p>
            <w:pPr>
              <w:pStyle w:val="TableParagraph"/>
              <w:ind w:right="140"/>
              <w:rPr>
                <w:sz w:val="22"/>
              </w:rPr>
            </w:pPr>
            <w:r>
              <w:rPr>
                <w:sz w:val="22"/>
              </w:rPr>
              <w:t>An integer value, where an increment of 1 represents 3 spaces. Indicates the number of spaces (of the normal style font) of indentation for text in a cell. The number of spaces to indent is calculated as following:</w:t>
            </w:r>
          </w:p>
          <w:p>
            <w:pPr>
              <w:pStyle w:val="TableParagraph"/>
              <w:spacing w:before="4"/>
              <w:ind w:left="0"/>
              <w:rPr>
                <w:rFonts w:ascii="Times New Roman"/>
                <w:sz w:val="23"/>
              </w:rPr>
            </w:pPr>
          </w:p>
          <w:p>
            <w:pPr>
              <w:pStyle w:val="TableParagraph"/>
              <w:spacing w:before="1"/>
              <w:rPr>
                <w:sz w:val="22"/>
              </w:rPr>
            </w:pPr>
            <w:r>
              <w:rPr>
                <w:sz w:val="22"/>
              </w:rPr>
              <w:t>Number of spaces to indent = </w:t>
            </w:r>
            <w:r>
              <w:rPr>
                <w:rFonts w:ascii="Cambria"/>
                <w:sz w:val="22"/>
              </w:rPr>
              <w:t>indent </w:t>
            </w:r>
            <w:r>
              <w:rPr>
                <w:sz w:val="22"/>
              </w:rPr>
              <w:t>value * 3</w:t>
            </w:r>
          </w:p>
          <w:p>
            <w:pPr>
              <w:pStyle w:val="TableParagraph"/>
              <w:spacing w:before="4"/>
              <w:ind w:left="0"/>
              <w:rPr>
                <w:rFonts w:ascii="Times New Roman"/>
                <w:sz w:val="23"/>
              </w:rPr>
            </w:pPr>
          </w:p>
          <w:p>
            <w:pPr>
              <w:pStyle w:val="TableParagraph"/>
              <w:spacing w:before="0"/>
              <w:ind w:right="97"/>
              <w:rPr>
                <w:sz w:val="22"/>
              </w:rPr>
            </w:pPr>
            <w:r>
              <w:rPr>
                <w:sz w:val="22"/>
              </w:rPr>
              <w:t>[</w:t>
            </w:r>
            <w:r>
              <w:rPr>
                <w:i/>
                <w:sz w:val="22"/>
              </w:rPr>
              <w:t>Example</w:t>
            </w:r>
            <w:r>
              <w:rPr>
                <w:sz w:val="22"/>
              </w:rPr>
              <w:t>:For example, an </w:t>
            </w:r>
            <w:r>
              <w:rPr>
                <w:rFonts w:ascii="Cambria"/>
                <w:sz w:val="22"/>
              </w:rPr>
              <w:t>indent </w:t>
            </w:r>
            <w:r>
              <w:rPr>
                <w:sz w:val="22"/>
              </w:rPr>
              <w:t>value of 1 means that the text begins 3 space widths (of the normal style font) from the edge of the cell.</w:t>
            </w:r>
          </w:p>
          <w:p>
            <w:pPr>
              <w:pStyle w:val="TableParagraph"/>
              <w:spacing w:before="1"/>
              <w:rPr>
                <w:sz w:val="22"/>
              </w:rPr>
            </w:pPr>
            <w:r>
              <w:rPr>
                <w:i/>
                <w:sz w:val="22"/>
              </w:rPr>
              <w:t>end example</w:t>
            </w:r>
            <w:r>
              <w:rPr>
                <w:sz w:val="22"/>
              </w:rPr>
              <w:t>]</w:t>
            </w:r>
          </w:p>
          <w:p>
            <w:pPr>
              <w:pStyle w:val="TableParagraph"/>
              <w:spacing w:line="806" w:lineRule="exact" w:before="100"/>
              <w:ind w:right="1479"/>
              <w:rPr>
                <w:sz w:val="22"/>
              </w:rPr>
            </w:pPr>
            <w:r>
              <w:rPr>
                <w:sz w:val="22"/>
              </w:rPr>
              <w:t>[</w:t>
            </w:r>
            <w:r>
              <w:rPr>
                <w:i/>
                <w:sz w:val="22"/>
              </w:rPr>
              <w:t>Note</w:t>
            </w:r>
            <w:r>
              <w:rPr>
                <w:sz w:val="22"/>
              </w:rPr>
              <w:t>: The width of one space character is defined by the font. </w:t>
            </w:r>
            <w:r>
              <w:rPr>
                <w:i/>
                <w:sz w:val="22"/>
              </w:rPr>
              <w:t>end note</w:t>
            </w:r>
            <w:r>
              <w:rPr>
                <w:sz w:val="22"/>
              </w:rPr>
              <w:t>] Only </w:t>
            </w:r>
            <w:r>
              <w:rPr>
                <w:rFonts w:ascii="Consolas"/>
                <w:sz w:val="20"/>
              </w:rPr>
              <w:t>left</w:t>
            </w:r>
            <w:r>
              <w:rPr>
                <w:sz w:val="22"/>
              </w:rPr>
              <w:t>, </w:t>
            </w:r>
            <w:r>
              <w:rPr>
                <w:rFonts w:ascii="Consolas"/>
                <w:sz w:val="20"/>
              </w:rPr>
              <w:t>right</w:t>
            </w:r>
            <w:r>
              <w:rPr>
                <w:sz w:val="22"/>
              </w:rPr>
              <w:t>, and </w:t>
            </w:r>
            <w:r>
              <w:rPr>
                <w:rFonts w:ascii="Consolas"/>
                <w:sz w:val="20"/>
              </w:rPr>
              <w:t>distributed</w:t>
            </w:r>
            <w:r>
              <w:rPr>
                <w:rFonts w:ascii="Consolas"/>
                <w:spacing w:val="-83"/>
                <w:sz w:val="20"/>
              </w:rPr>
              <w:t> </w:t>
            </w:r>
            <w:r>
              <w:rPr>
                <w:sz w:val="22"/>
              </w:rPr>
              <w:t>horizontal alignments are supported.</w:t>
            </w:r>
          </w:p>
          <w:p>
            <w:pPr>
              <w:pStyle w:val="TableParagraph"/>
              <w:spacing w:before="168"/>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6" w:hRule="atLeast"/>
        </w:trPr>
        <w:tc>
          <w:tcPr>
            <w:tcW w:w="2062" w:type="dxa"/>
          </w:tcPr>
          <w:p>
            <w:pPr>
              <w:pStyle w:val="TableParagraph"/>
              <w:spacing w:line="256" w:lineRule="exact" w:before="42"/>
              <w:rPr>
                <w:rFonts w:ascii="Cambria"/>
                <w:sz w:val="22"/>
              </w:rPr>
            </w:pPr>
            <w:r>
              <w:rPr>
                <w:rFonts w:ascii="Cambria"/>
                <w:sz w:val="22"/>
              </w:rPr>
              <w:t>justifyLastLine</w:t>
            </w:r>
          </w:p>
          <w:p>
            <w:pPr>
              <w:pStyle w:val="TableParagraph"/>
              <w:spacing w:line="267" w:lineRule="exact" w:before="0"/>
              <w:rPr>
                <w:sz w:val="22"/>
              </w:rPr>
            </w:pPr>
            <w:r>
              <w:rPr>
                <w:sz w:val="22"/>
              </w:rPr>
              <w:t>(Justify Last Line)</w:t>
            </w:r>
          </w:p>
        </w:tc>
        <w:tc>
          <w:tcPr>
            <w:tcW w:w="8250" w:type="dxa"/>
          </w:tcPr>
          <w:p>
            <w:pPr>
              <w:pStyle w:val="TableParagraph"/>
              <w:ind w:right="113"/>
              <w:rPr>
                <w:sz w:val="22"/>
              </w:rPr>
            </w:pPr>
            <w:r>
              <w:rPr>
                <w:sz w:val="22"/>
              </w:rPr>
              <w:t>A boolean value indicating if the cells justified or distributed alignment should be used on the last line of text. (This is typical for East Asian alignments but not typical in other contexts.)</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spacing w:line="256" w:lineRule="exact" w:before="42"/>
              <w:rPr>
                <w:rFonts w:ascii="Cambria"/>
                <w:sz w:val="22"/>
              </w:rPr>
            </w:pPr>
            <w:r>
              <w:rPr>
                <w:rFonts w:ascii="Cambria"/>
                <w:sz w:val="22"/>
              </w:rPr>
              <w:t>readingOrder</w:t>
            </w:r>
          </w:p>
          <w:p>
            <w:pPr>
              <w:pStyle w:val="TableParagraph"/>
              <w:spacing w:line="267" w:lineRule="exact" w:before="0"/>
              <w:rPr>
                <w:sz w:val="22"/>
              </w:rPr>
            </w:pPr>
            <w:r>
              <w:rPr>
                <w:sz w:val="22"/>
              </w:rPr>
              <w:t>(Reading Order)</w:t>
            </w:r>
          </w:p>
        </w:tc>
        <w:tc>
          <w:tcPr>
            <w:tcW w:w="8250" w:type="dxa"/>
          </w:tcPr>
          <w:p>
            <w:pPr>
              <w:pStyle w:val="TableParagraph"/>
              <w:ind w:right="237"/>
              <w:rPr>
                <w:sz w:val="22"/>
              </w:rPr>
            </w:pPr>
            <w:r>
              <w:rPr>
                <w:sz w:val="22"/>
              </w:rPr>
              <w:t>An integer value indicating whether the reading order (bidirectionality) of the cell is left- to-right, right-to-left, or context dependent.</w:t>
            </w:r>
          </w:p>
          <w:p>
            <w:pPr>
              <w:pStyle w:val="TableParagraph"/>
              <w:spacing w:before="4"/>
              <w:ind w:left="0"/>
              <w:rPr>
                <w:rFonts w:ascii="Times New Roman"/>
                <w:sz w:val="23"/>
              </w:rPr>
            </w:pPr>
          </w:p>
          <w:p>
            <w:pPr>
              <w:pStyle w:val="TableParagraph"/>
              <w:numPr>
                <w:ilvl w:val="0"/>
                <w:numId w:val="40"/>
              </w:numPr>
              <w:tabs>
                <w:tab w:pos="279" w:val="left" w:leader="none"/>
              </w:tabs>
              <w:spacing w:line="240" w:lineRule="auto" w:before="0" w:after="0"/>
              <w:ind w:left="115" w:right="501" w:firstLine="0"/>
              <w:jc w:val="left"/>
              <w:rPr>
                <w:sz w:val="22"/>
              </w:rPr>
            </w:pPr>
            <w:r>
              <w:rPr>
                <w:sz w:val="22"/>
              </w:rPr>
              <w:t>- Context Dependent - reading order is determined by scanning the text for the first non-whitespace character: if it is a strong right-to-left character, the reading order is right-to-left; otherwise, the reading order</w:t>
            </w:r>
            <w:r>
              <w:rPr>
                <w:spacing w:val="-6"/>
                <w:sz w:val="22"/>
              </w:rPr>
              <w:t> </w:t>
            </w:r>
            <w:r>
              <w:rPr>
                <w:sz w:val="22"/>
              </w:rPr>
              <w:t>left-to-right.</w:t>
            </w:r>
          </w:p>
          <w:p>
            <w:pPr>
              <w:pStyle w:val="TableParagraph"/>
              <w:numPr>
                <w:ilvl w:val="0"/>
                <w:numId w:val="40"/>
              </w:numPr>
              <w:tabs>
                <w:tab w:pos="279" w:val="left" w:leader="none"/>
              </w:tabs>
              <w:spacing w:line="240" w:lineRule="auto" w:before="0" w:after="0"/>
              <w:ind w:left="115" w:right="1800" w:firstLine="0"/>
              <w:jc w:val="left"/>
              <w:rPr>
                <w:sz w:val="22"/>
              </w:rPr>
            </w:pPr>
            <w:r>
              <w:rPr>
                <w:sz w:val="22"/>
              </w:rPr>
              <w:t>- Left-to-Right- reading order is left-to-right in the cell, as in English. 2 - Right-to-Left - reading order is right-to-left in the cell, as in</w:t>
            </w:r>
            <w:r>
              <w:rPr>
                <w:spacing w:val="-14"/>
                <w:sz w:val="22"/>
              </w:rPr>
              <w:t> </w:t>
            </w:r>
            <w:r>
              <w:rPr>
                <w:sz w:val="22"/>
              </w:rPr>
              <w:t>Hebrew.</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relativeIndent</w:t>
            </w:r>
          </w:p>
          <w:p>
            <w:pPr>
              <w:pStyle w:val="TableParagraph"/>
              <w:spacing w:line="267" w:lineRule="exact" w:before="0"/>
              <w:rPr>
                <w:sz w:val="22"/>
              </w:rPr>
            </w:pPr>
            <w:r>
              <w:rPr>
                <w:sz w:val="22"/>
              </w:rPr>
              <w:t>(Relative Indent)</w:t>
            </w:r>
          </w:p>
        </w:tc>
        <w:tc>
          <w:tcPr>
            <w:tcW w:w="8250" w:type="dxa"/>
          </w:tcPr>
          <w:p>
            <w:pPr>
              <w:pStyle w:val="TableParagraph"/>
              <w:ind w:right="157"/>
              <w:rPr>
                <w:sz w:val="22"/>
              </w:rPr>
            </w:pPr>
            <w:r>
              <w:rPr>
                <w:sz w:val="22"/>
              </w:rPr>
              <w:t>An integer value (used only in a </w:t>
            </w:r>
            <w:r>
              <w:rPr>
                <w:rFonts w:ascii="Cambria"/>
                <w:sz w:val="22"/>
              </w:rPr>
              <w:t>dxf </w:t>
            </w:r>
            <w:r>
              <w:rPr>
                <w:sz w:val="22"/>
              </w:rPr>
              <w:t>element) to indicate the additional number of spaces of indentation to adjust for text in a cell.</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354" w:hRule="atLeast"/>
        </w:trPr>
        <w:tc>
          <w:tcPr>
            <w:tcW w:w="2062" w:type="dxa"/>
          </w:tcPr>
          <w:p>
            <w:pPr>
              <w:pStyle w:val="TableParagraph"/>
              <w:rPr>
                <w:sz w:val="22"/>
              </w:rPr>
            </w:pPr>
            <w:r>
              <w:rPr>
                <w:rFonts w:ascii="Cambria"/>
                <w:sz w:val="22"/>
              </w:rPr>
              <w:t>shrinkToFit </w:t>
            </w:r>
            <w:r>
              <w:rPr>
                <w:sz w:val="22"/>
              </w:rPr>
              <w:t>(Shrink</w:t>
            </w:r>
          </w:p>
        </w:tc>
        <w:tc>
          <w:tcPr>
            <w:tcW w:w="8250" w:type="dxa"/>
          </w:tcPr>
          <w:p>
            <w:pPr>
              <w:pStyle w:val="TableParagraph"/>
              <w:rPr>
                <w:sz w:val="22"/>
              </w:rPr>
            </w:pPr>
            <w:r>
              <w:rPr>
                <w:sz w:val="22"/>
              </w:rPr>
              <w:t>A boolean value indicating if the displayed text in the cell should be shrunk to fit the cell</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sz w:val="22"/>
              </w:rPr>
              <w:t>To Fit)</w:t>
            </w:r>
          </w:p>
        </w:tc>
        <w:tc>
          <w:tcPr>
            <w:tcW w:w="8250" w:type="dxa"/>
          </w:tcPr>
          <w:p>
            <w:pPr>
              <w:pStyle w:val="TableParagraph"/>
              <w:rPr>
                <w:sz w:val="22"/>
              </w:rPr>
            </w:pPr>
            <w:r>
              <w:rPr>
                <w:sz w:val="22"/>
              </w:rPr>
              <w:t>width. Not applicable when a cell contains multiple lines of text.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29" w:hRule="atLeast"/>
        </w:trPr>
        <w:tc>
          <w:tcPr>
            <w:tcW w:w="2062" w:type="dxa"/>
            <w:tcBorders>
              <w:bottom w:val="nil"/>
            </w:tcBorders>
          </w:tcPr>
          <w:p>
            <w:pPr>
              <w:pStyle w:val="TableParagraph"/>
              <w:spacing w:line="267" w:lineRule="exact" w:before="42"/>
              <w:rPr>
                <w:sz w:val="22"/>
              </w:rPr>
            </w:pPr>
            <w:r>
              <w:rPr>
                <w:rFonts w:ascii="Cambria"/>
                <w:sz w:val="22"/>
              </w:rPr>
              <w:t>textRotation </w:t>
            </w:r>
            <w:r>
              <w:rPr>
                <w:sz w:val="22"/>
              </w:rPr>
              <w:t>(Text</w:t>
            </w:r>
          </w:p>
        </w:tc>
        <w:tc>
          <w:tcPr>
            <w:tcW w:w="8250" w:type="dxa"/>
            <w:tcBorders>
              <w:bottom w:val="nil"/>
            </w:tcBorders>
          </w:tcPr>
          <w:p>
            <w:pPr>
              <w:pStyle w:val="TableParagraph"/>
              <w:spacing w:line="267" w:lineRule="exact" w:before="42"/>
              <w:rPr>
                <w:sz w:val="22"/>
              </w:rPr>
            </w:pPr>
            <w:r>
              <w:rPr>
                <w:sz w:val="22"/>
              </w:rPr>
              <w:t>Text rotation in cells. Expressed in degrees. Values are in the range 0 to 180. The first</w:t>
            </w:r>
          </w:p>
        </w:tc>
      </w:tr>
      <w:tr>
        <w:trPr>
          <w:trHeight w:val="267" w:hRule="atLeast"/>
        </w:trPr>
        <w:tc>
          <w:tcPr>
            <w:tcW w:w="2062" w:type="dxa"/>
            <w:tcBorders>
              <w:top w:val="nil"/>
              <w:bottom w:val="nil"/>
            </w:tcBorders>
          </w:tcPr>
          <w:p>
            <w:pPr>
              <w:pStyle w:val="TableParagraph"/>
              <w:spacing w:line="247" w:lineRule="exact" w:before="0"/>
              <w:rPr>
                <w:sz w:val="22"/>
              </w:rPr>
            </w:pPr>
            <w:r>
              <w:rPr>
                <w:sz w:val="22"/>
              </w:rPr>
              <w:t>Rotation)</w:t>
            </w:r>
          </w:p>
        </w:tc>
        <w:tc>
          <w:tcPr>
            <w:tcW w:w="8250" w:type="dxa"/>
            <w:tcBorders>
              <w:top w:val="nil"/>
              <w:bottom w:val="nil"/>
            </w:tcBorders>
          </w:tcPr>
          <w:p>
            <w:pPr>
              <w:pStyle w:val="TableParagraph"/>
              <w:spacing w:line="247" w:lineRule="exact" w:before="0"/>
              <w:rPr>
                <w:sz w:val="22"/>
              </w:rPr>
            </w:pPr>
            <w:r>
              <w:rPr>
                <w:sz w:val="22"/>
              </w:rPr>
              <w:t>letter of the text is considered the center-point of the arc.</w:t>
            </w:r>
          </w:p>
        </w:tc>
      </w:tr>
      <w:tr>
        <w:trPr>
          <w:trHeight w:val="26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9" w:lineRule="exact" w:before="0"/>
              <w:rPr>
                <w:sz w:val="22"/>
              </w:rPr>
            </w:pPr>
            <w:r>
              <w:rPr>
                <w:sz w:val="22"/>
              </w:rPr>
              <w:t>For 0 - 90, the value represents degrees above horizon. For 91-180 the degrees below the</w:t>
            </w:r>
          </w:p>
        </w:tc>
      </w:tr>
      <w:tr>
        <w:trPr>
          <w:trHeight w:val="381"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horizon is calculated as:</w:t>
            </w:r>
          </w:p>
        </w:tc>
      </w:tr>
      <w:tr>
        <w:trPr>
          <w:trHeight w:val="559"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36"/>
              <w:rPr>
                <w:rFonts w:ascii="Cambria"/>
                <w:sz w:val="22"/>
              </w:rPr>
            </w:pPr>
            <w:r>
              <w:rPr>
                <w:sz w:val="22"/>
              </w:rPr>
              <w:t>[degrees below horizon] = 90 - </w:t>
            </w:r>
            <w:r>
              <w:rPr>
                <w:rFonts w:ascii="Cambria"/>
                <w:sz w:val="22"/>
              </w:rPr>
              <w:t>textRotation.</w:t>
            </w:r>
          </w:p>
        </w:tc>
      </w:tr>
      <w:tr>
        <w:trPr>
          <w:trHeight w:val="382"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8" w:lineRule="exact" w:before="114"/>
              <w:rPr>
                <w:sz w:val="22"/>
              </w:rPr>
            </w:pPr>
            <w:r>
              <w:rPr>
                <w:w w:val="100"/>
                <w:sz w:val="22"/>
              </w:rPr>
              <w:t>0</w:t>
            </w:r>
          </w:p>
        </w:tc>
      </w:tr>
      <w:tr>
        <w:trPr>
          <w:trHeight w:val="698"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0"/>
              <w:ind w:left="145"/>
              <w:rPr>
                <w:rFonts w:ascii="Times New Roman"/>
                <w:sz w:val="20"/>
              </w:rPr>
            </w:pPr>
            <w:r>
              <w:rPr>
                <w:rFonts w:ascii="Times New Roman"/>
                <w:sz w:val="20"/>
              </w:rPr>
              <w:drawing>
                <wp:inline distT="0" distB="0" distL="0" distR="0">
                  <wp:extent cx="2008631" cy="342900"/>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70" cstate="print"/>
                          <a:stretch>
                            <a:fillRect/>
                          </a:stretch>
                        </pic:blipFill>
                        <pic:spPr>
                          <a:xfrm>
                            <a:off x="0" y="0"/>
                            <a:ext cx="2008631" cy="342900"/>
                          </a:xfrm>
                          <a:prstGeom prst="rect">
                            <a:avLst/>
                          </a:prstGeom>
                        </pic:spPr>
                      </pic:pic>
                    </a:graphicData>
                  </a:graphic>
                </wp:inline>
              </w:drawing>
            </w:r>
            <w:r>
              <w:rPr>
                <w:rFonts w:ascii="Times New Roman"/>
                <w:sz w:val="20"/>
              </w:rPr>
            </w:r>
          </w:p>
        </w:tc>
      </w:tr>
      <w:tr>
        <w:trPr>
          <w:trHeight w:val="379"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8" w:lineRule="exact" w:before="111"/>
              <w:rPr>
                <w:sz w:val="22"/>
              </w:rPr>
            </w:pPr>
            <w:r>
              <w:rPr>
                <w:sz w:val="22"/>
              </w:rPr>
              <w:t>45</w:t>
            </w:r>
          </w:p>
        </w:tc>
      </w:tr>
      <w:tr>
        <w:trPr>
          <w:trHeight w:val="2781"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0"/>
              <w:ind w:left="145"/>
              <w:rPr>
                <w:rFonts w:ascii="Times New Roman"/>
                <w:sz w:val="20"/>
              </w:rPr>
            </w:pPr>
            <w:r>
              <w:rPr>
                <w:rFonts w:ascii="Times New Roman"/>
                <w:sz w:val="20"/>
              </w:rPr>
              <w:drawing>
                <wp:inline distT="0" distB="0" distL="0" distR="0">
                  <wp:extent cx="2106088" cy="1666875"/>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71" cstate="print"/>
                          <a:stretch>
                            <a:fillRect/>
                          </a:stretch>
                        </pic:blipFill>
                        <pic:spPr>
                          <a:xfrm>
                            <a:off x="0" y="0"/>
                            <a:ext cx="2106088" cy="1666875"/>
                          </a:xfrm>
                          <a:prstGeom prst="rect">
                            <a:avLst/>
                          </a:prstGeom>
                        </pic:spPr>
                      </pic:pic>
                    </a:graphicData>
                  </a:graphic>
                </wp:inline>
              </w:drawing>
            </w:r>
            <w:r>
              <w:rPr>
                <w:rFonts w:ascii="Times New Roman"/>
                <w:sz w:val="20"/>
              </w:rPr>
            </w:r>
          </w:p>
        </w:tc>
      </w:tr>
      <w:tr>
        <w:trPr>
          <w:trHeight w:val="379"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8" w:lineRule="exact" w:before="111"/>
              <w:rPr>
                <w:sz w:val="22"/>
              </w:rPr>
            </w:pPr>
            <w:r>
              <w:rPr>
                <w:sz w:val="22"/>
              </w:rPr>
              <w:t>90</w:t>
            </w:r>
          </w:p>
        </w:tc>
      </w:tr>
      <w:tr>
        <w:trPr>
          <w:trHeight w:val="3548"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0"/>
              <w:ind w:left="145"/>
              <w:rPr>
                <w:rFonts w:ascii="Times New Roman"/>
                <w:sz w:val="20"/>
              </w:rPr>
            </w:pPr>
            <w:r>
              <w:rPr>
                <w:rFonts w:ascii="Times New Roman"/>
                <w:sz w:val="20"/>
              </w:rPr>
              <w:drawing>
                <wp:inline distT="0" distB="0" distL="0" distR="0">
                  <wp:extent cx="2056671" cy="2152650"/>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72" cstate="print"/>
                          <a:stretch>
                            <a:fillRect/>
                          </a:stretch>
                        </pic:blipFill>
                        <pic:spPr>
                          <a:xfrm>
                            <a:off x="0" y="0"/>
                            <a:ext cx="2056671" cy="2152650"/>
                          </a:xfrm>
                          <a:prstGeom prst="rect">
                            <a:avLst/>
                          </a:prstGeom>
                        </pic:spPr>
                      </pic:pic>
                    </a:graphicData>
                  </a:graphic>
                </wp:inline>
              </w:drawing>
            </w:r>
            <w:r>
              <w:rPr>
                <w:rFonts w:ascii="Times New Roman"/>
                <w:sz w:val="20"/>
              </w:rPr>
            </w:r>
          </w:p>
        </w:tc>
      </w:tr>
      <w:tr>
        <w:trPr>
          <w:trHeight w:val="425"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before="110"/>
              <w:rPr>
                <w:sz w:val="22"/>
              </w:rPr>
            </w:pPr>
            <w:r>
              <w:rPr>
                <w:sz w:val="22"/>
              </w:rPr>
              <w:t>135</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7728" w:hRule="atLeast"/>
        </w:trPr>
        <w:tc>
          <w:tcPr>
            <w:tcW w:w="2062" w:type="dxa"/>
          </w:tcPr>
          <w:p>
            <w:pPr>
              <w:pStyle w:val="TableParagraph"/>
              <w:spacing w:before="0"/>
              <w:ind w:left="0"/>
              <w:rPr>
                <w:rFonts w:ascii="Times New Roman"/>
                <w:sz w:val="22"/>
              </w:rPr>
            </w:pPr>
          </w:p>
        </w:tc>
        <w:tc>
          <w:tcPr>
            <w:tcW w:w="8250" w:type="dxa"/>
          </w:tcPr>
          <w:p>
            <w:pPr>
              <w:pStyle w:val="TableParagraph"/>
              <w:spacing w:before="8"/>
              <w:ind w:left="0"/>
              <w:rPr>
                <w:rFonts w:ascii="Times New Roman"/>
                <w:sz w:val="3"/>
              </w:rPr>
            </w:pPr>
          </w:p>
          <w:p>
            <w:pPr>
              <w:pStyle w:val="TableParagraph"/>
              <w:spacing w:before="0"/>
              <w:ind w:left="145"/>
              <w:rPr>
                <w:rFonts w:ascii="Times New Roman"/>
                <w:sz w:val="20"/>
              </w:rPr>
            </w:pPr>
            <w:r>
              <w:rPr>
                <w:rFonts w:ascii="Times New Roman"/>
                <w:sz w:val="20"/>
              </w:rPr>
              <w:drawing>
                <wp:inline distT="0" distB="0" distL="0" distR="0">
                  <wp:extent cx="2133600" cy="1638300"/>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73" cstate="print"/>
                          <a:stretch>
                            <a:fillRect/>
                          </a:stretch>
                        </pic:blipFill>
                        <pic:spPr>
                          <a:xfrm>
                            <a:off x="0" y="0"/>
                            <a:ext cx="2133600" cy="1638300"/>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after="4"/>
              <w:rPr>
                <w:sz w:val="22"/>
              </w:rPr>
            </w:pPr>
            <w:r>
              <w:rPr>
                <w:sz w:val="22"/>
              </w:rPr>
              <w:t>180</w:t>
            </w:r>
          </w:p>
          <w:p>
            <w:pPr>
              <w:pStyle w:val="TableParagraph"/>
              <w:spacing w:before="0"/>
              <w:ind w:left="145"/>
              <w:rPr>
                <w:rFonts w:ascii="Times New Roman"/>
                <w:sz w:val="20"/>
              </w:rPr>
            </w:pPr>
            <w:r>
              <w:rPr>
                <w:rFonts w:ascii="Times New Roman"/>
                <w:sz w:val="20"/>
              </w:rPr>
              <w:drawing>
                <wp:inline distT="0" distB="0" distL="0" distR="0">
                  <wp:extent cx="2248682" cy="2190750"/>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74" cstate="print"/>
                          <a:stretch>
                            <a:fillRect/>
                          </a:stretch>
                        </pic:blipFill>
                        <pic:spPr>
                          <a:xfrm>
                            <a:off x="0" y="0"/>
                            <a:ext cx="2248682" cy="2190750"/>
                          </a:xfrm>
                          <a:prstGeom prst="rect">
                            <a:avLst/>
                          </a:prstGeom>
                        </pic:spPr>
                      </pic:pic>
                    </a:graphicData>
                  </a:graphic>
                </wp:inline>
              </w:drawing>
            </w:r>
            <w:r>
              <w:rPr>
                <w:rFonts w:ascii="Times New Roman"/>
                <w:sz w:val="20"/>
              </w:rPr>
            </w:r>
          </w:p>
          <w:p>
            <w:pPr>
              <w:pStyle w:val="TableParagraph"/>
              <w:spacing w:before="0"/>
              <w:ind w:left="0"/>
              <w:rPr>
                <w:rFonts w:ascii="Times New Roman"/>
                <w:sz w:val="22"/>
              </w:rPr>
            </w:pPr>
          </w:p>
          <w:p>
            <w:pPr>
              <w:pStyle w:val="TableParagraph"/>
              <w:spacing w:before="5"/>
              <w:ind w:left="0"/>
              <w:rPr>
                <w:rFonts w:ascii="Times New Roman"/>
                <w:sz w:val="24"/>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8" w:hRule="atLeast"/>
        </w:trPr>
        <w:tc>
          <w:tcPr>
            <w:tcW w:w="2062" w:type="dxa"/>
          </w:tcPr>
          <w:p>
            <w:pPr>
              <w:pStyle w:val="TableParagraph"/>
              <w:ind w:right="408"/>
              <w:rPr>
                <w:sz w:val="22"/>
              </w:rPr>
            </w:pPr>
            <w:r>
              <w:rPr>
                <w:rFonts w:ascii="Cambria"/>
                <w:sz w:val="22"/>
              </w:rPr>
              <w:t>vertical </w:t>
            </w:r>
            <w:r>
              <w:rPr>
                <w:sz w:val="22"/>
              </w:rPr>
              <w:t>(Vertical Alignment)</w:t>
            </w:r>
          </w:p>
        </w:tc>
        <w:tc>
          <w:tcPr>
            <w:tcW w:w="8250" w:type="dxa"/>
          </w:tcPr>
          <w:p>
            <w:pPr>
              <w:pStyle w:val="TableParagraph"/>
              <w:rPr>
                <w:sz w:val="22"/>
              </w:rPr>
            </w:pPr>
            <w:r>
              <w:rPr>
                <w:sz w:val="22"/>
              </w:rPr>
              <w:t>Vertical alignment in cells.</w:t>
            </w:r>
          </w:p>
          <w:p>
            <w:pPr>
              <w:pStyle w:val="TableParagraph"/>
              <w:spacing w:before="6"/>
              <w:ind w:left="0"/>
              <w:rPr>
                <w:rFonts w:ascii="Times New Roman"/>
                <w:sz w:val="23"/>
              </w:rPr>
            </w:pPr>
          </w:p>
          <w:p>
            <w:pPr>
              <w:pStyle w:val="TableParagraph"/>
              <w:spacing w:line="237" w:lineRule="auto" w:before="0"/>
              <w:ind w:right="445"/>
              <w:rPr>
                <w:sz w:val="22"/>
              </w:rPr>
            </w:pPr>
            <w:r>
              <w:rPr>
                <w:sz w:val="22"/>
              </w:rPr>
              <w:t>The possible values for this attribute are defined by the </w:t>
            </w:r>
            <w:r>
              <w:rPr>
                <w:rFonts w:ascii="Cambria" w:hAnsi="Cambria"/>
                <w:sz w:val="22"/>
              </w:rPr>
              <w:t>ST_VerticalAlignment </w:t>
            </w:r>
            <w:r>
              <w:rPr>
                <w:sz w:val="22"/>
              </w:rPr>
              <w:t>simple type (§</w:t>
            </w:r>
            <w:hyperlink w:history="true" w:anchor="_bookmark910">
              <w:r>
                <w:rPr>
                  <w:sz w:val="22"/>
                </w:rPr>
                <w:t>18.18.88</w:t>
              </w:r>
            </w:hyperlink>
            <w:r>
              <w:rPr>
                <w:sz w:val="22"/>
              </w:rPr>
              <w:t>).</w:t>
            </w:r>
          </w:p>
        </w:tc>
      </w:tr>
      <w:tr>
        <w:trPr>
          <w:trHeight w:val="1161" w:hRule="atLeast"/>
        </w:trPr>
        <w:tc>
          <w:tcPr>
            <w:tcW w:w="2062" w:type="dxa"/>
          </w:tcPr>
          <w:p>
            <w:pPr>
              <w:pStyle w:val="TableParagraph"/>
              <w:ind w:right="398"/>
              <w:rPr>
                <w:sz w:val="22"/>
              </w:rPr>
            </w:pPr>
            <w:r>
              <w:rPr>
                <w:rFonts w:ascii="Cambria"/>
                <w:sz w:val="22"/>
              </w:rPr>
              <w:t>wrapText </w:t>
            </w:r>
            <w:r>
              <w:rPr>
                <w:sz w:val="22"/>
              </w:rPr>
              <w:t>(Wrap Text)</w:t>
            </w:r>
          </w:p>
        </w:tc>
        <w:tc>
          <w:tcPr>
            <w:tcW w:w="8250" w:type="dxa"/>
          </w:tcPr>
          <w:p>
            <w:pPr>
              <w:pStyle w:val="TableParagraph"/>
              <w:rPr>
                <w:sz w:val="22"/>
              </w:rPr>
            </w:pPr>
            <w:r>
              <w:rPr>
                <w:sz w:val="22"/>
              </w:rPr>
              <w:t>A boolean value indicating if the text in a cell should be line-wrapped within the cell.</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CT_CellAlignment</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 b (Bold)" w:id="560"/>
      <w:bookmarkEnd w:id="560"/>
      <w:r>
        <w:rPr>
          <w:b w:val="0"/>
        </w:rPr>
      </w:r>
      <w:bookmarkStart w:name="_bookmark185" w:id="561"/>
      <w:bookmarkEnd w:id="561"/>
      <w:r>
        <w:rPr>
          <w:b w:val="0"/>
        </w:rPr>
      </w:r>
      <w:bookmarkStart w:name="_bookmark185" w:id="562"/>
      <w:bookmarkEnd w:id="562"/>
      <w:r>
        <w:rPr>
          <w:color w:val="4F81BC"/>
        </w:rPr>
        <w:t>b</w:t>
      </w:r>
      <w:r>
        <w:rPr>
          <w:color w:val="4F81BC"/>
          <w:spacing w:val="-1"/>
        </w:rPr>
        <w:t> </w:t>
      </w:r>
      <w:r>
        <w:rPr>
          <w:color w:val="4F81BC"/>
        </w:rPr>
        <w:t>(Bold)</w:t>
      </w:r>
    </w:p>
    <w:p>
      <w:pPr>
        <w:pStyle w:val="BodyText"/>
        <w:spacing w:before="124"/>
        <w:ind w:left="220"/>
      </w:pPr>
      <w:r>
        <w:rPr/>
        <w:t>Displays characters in bold face font style.</w:t>
      </w:r>
    </w:p>
    <w:p>
      <w:pPr>
        <w:spacing w:after="0"/>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480" w:lineRule="auto"/>
              <w:ind w:right="1778"/>
              <w:rPr>
                <w:sz w:val="22"/>
              </w:rPr>
            </w:pPr>
            <w:r>
              <w:rPr>
                <w:sz w:val="22"/>
              </w:rPr>
              <w:t>A boolean value for the property specified by the parent XML element. If omitted, the default value is </w:t>
            </w:r>
            <w:r>
              <w:rPr>
                <w:rFonts w:ascii="Consolas"/>
                <w:sz w:val="20"/>
              </w:rPr>
              <w:t>true</w:t>
            </w:r>
            <w:r>
              <w:rPr>
                <w:sz w:val="22"/>
              </w:rPr>
              <w:t>.</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CT_BooleanProperty</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 bgColor (Background Color)" w:id="563"/>
      <w:bookmarkEnd w:id="563"/>
      <w:r>
        <w:rPr>
          <w:b w:val="0"/>
        </w:rPr>
      </w:r>
      <w:bookmarkStart w:name="_bookmark186" w:id="564"/>
      <w:bookmarkEnd w:id="564"/>
      <w:r>
        <w:rPr>
          <w:b w:val="0"/>
        </w:rPr>
      </w:r>
      <w:bookmarkStart w:name="_bookmark186" w:id="565"/>
      <w:bookmarkEnd w:id="565"/>
      <w:r>
        <w:rPr>
          <w:color w:val="4F81BC"/>
        </w:rPr>
        <w:t>bgC</w:t>
      </w:r>
      <w:r>
        <w:rPr>
          <w:color w:val="4F81BC"/>
        </w:rPr>
        <w:t>olor (Background</w:t>
      </w:r>
      <w:r>
        <w:rPr>
          <w:color w:val="4F81BC"/>
          <w:spacing w:val="-2"/>
        </w:rPr>
        <w:t> </w:t>
      </w:r>
      <w:r>
        <w:rPr>
          <w:color w:val="4F81BC"/>
        </w:rPr>
        <w:t>Color)</w:t>
      </w:r>
    </w:p>
    <w:p>
      <w:pPr>
        <w:pStyle w:val="BodyText"/>
        <w:spacing w:line="276" w:lineRule="auto" w:before="124"/>
        <w:ind w:left="220" w:right="895"/>
      </w:pPr>
      <w:r>
        <w:rPr/>
        <w:t>Background color of the cell fill pattern. Cell fill patterns operate with two colors: a background color and a foreground color. These combine together to make a patterned cell fill.</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auto </w:t>
            </w:r>
            <w:r>
              <w:rPr>
                <w:sz w:val="22"/>
              </w:rPr>
              <w:t>(Automatic)</w:t>
            </w:r>
          </w:p>
        </w:tc>
        <w:tc>
          <w:tcPr>
            <w:tcW w:w="8250" w:type="dxa"/>
          </w:tcPr>
          <w:p>
            <w:pPr>
              <w:pStyle w:val="TableParagraph"/>
              <w:rPr>
                <w:sz w:val="22"/>
              </w:rPr>
            </w:pPr>
            <w:r>
              <w:rPr>
                <w:sz w:val="22"/>
              </w:rPr>
              <w:t>A boolean value indicating the color is automatic and system color dependent.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indexed </w:t>
            </w:r>
            <w:r>
              <w:rPr>
                <w:sz w:val="22"/>
              </w:rPr>
              <w:t>(Index)</w:t>
            </w:r>
          </w:p>
        </w:tc>
        <w:tc>
          <w:tcPr>
            <w:tcW w:w="8250" w:type="dxa"/>
          </w:tcPr>
          <w:p>
            <w:pPr>
              <w:pStyle w:val="TableParagraph"/>
              <w:rPr>
                <w:sz w:val="22"/>
              </w:rPr>
            </w:pPr>
            <w:r>
              <w:rPr>
                <w:sz w:val="22"/>
              </w:rPr>
              <w:t>Indexed color value. Only used for backwards compatibility. References a color in</w:t>
            </w:r>
          </w:p>
          <w:p>
            <w:pPr>
              <w:pStyle w:val="TableParagraph"/>
              <w:spacing w:before="0"/>
              <w:rPr>
                <w:sz w:val="22"/>
              </w:rPr>
            </w:pPr>
            <w:r>
              <w:rPr>
                <w:rFonts w:ascii="Cambria"/>
                <w:sz w:val="22"/>
              </w:rPr>
              <w:t>indexedColors</w:t>
            </w:r>
            <w:r>
              <w:rPr>
                <w:sz w:val="22"/>
              </w:rPr>
              <w:t>.</w:t>
            </w:r>
          </w:p>
          <w:p>
            <w:pPr>
              <w:pStyle w:val="TableParagraph"/>
              <w:spacing w:before="0"/>
              <w:ind w:left="0"/>
              <w:rPr>
                <w:sz w:val="22"/>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8" w:lineRule="exact" w:before="0"/>
              <w:rPr>
                <w:sz w:val="22"/>
              </w:rPr>
            </w:pPr>
            <w:r>
              <w:rPr>
                <w:sz w:val="22"/>
              </w:rPr>
              <w:t>datatype.</w:t>
            </w:r>
          </w:p>
        </w:tc>
      </w:tr>
      <w:tr>
        <w:trPr>
          <w:trHeight w:val="1161" w:hRule="atLeast"/>
        </w:trPr>
        <w:tc>
          <w:tcPr>
            <w:tcW w:w="2062" w:type="dxa"/>
          </w:tcPr>
          <w:p>
            <w:pPr>
              <w:pStyle w:val="TableParagraph"/>
              <w:ind w:right="395"/>
              <w:rPr>
                <w:sz w:val="22"/>
              </w:rPr>
            </w:pPr>
            <w:r>
              <w:rPr>
                <w:rFonts w:ascii="Cambria"/>
                <w:sz w:val="22"/>
              </w:rPr>
              <w:t>rgb </w:t>
            </w:r>
            <w:r>
              <w:rPr>
                <w:sz w:val="22"/>
              </w:rPr>
              <w:t>(Alpha Red Green Blue Color Value)</w:t>
            </w:r>
          </w:p>
        </w:tc>
        <w:tc>
          <w:tcPr>
            <w:tcW w:w="8250" w:type="dxa"/>
          </w:tcPr>
          <w:p>
            <w:pPr>
              <w:pStyle w:val="TableParagraph"/>
              <w:rPr>
                <w:sz w:val="22"/>
              </w:rPr>
            </w:pPr>
            <w:r>
              <w:rPr>
                <w:sz w:val="22"/>
              </w:rPr>
              <w:t>Standard Alpha Red Green Blue color value (ARGB).</w:t>
            </w:r>
          </w:p>
          <w:p>
            <w:pPr>
              <w:pStyle w:val="TableParagraph"/>
              <w:spacing w:before="0"/>
              <w:ind w:left="0"/>
              <w:rPr>
                <w:sz w:val="22"/>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427" w:hRule="atLeast"/>
        </w:trPr>
        <w:tc>
          <w:tcPr>
            <w:tcW w:w="2062" w:type="dxa"/>
          </w:tcPr>
          <w:p>
            <w:pPr>
              <w:pStyle w:val="TableParagraph"/>
              <w:ind w:right="590"/>
              <w:rPr>
                <w:sz w:val="22"/>
              </w:rPr>
            </w:pPr>
            <w:r>
              <w:rPr>
                <w:rFonts w:ascii="Cambria"/>
                <w:sz w:val="22"/>
              </w:rPr>
              <w:t>theme </w:t>
            </w:r>
            <w:r>
              <w:rPr>
                <w:sz w:val="22"/>
              </w:rPr>
              <w:t>(Theme Color)</w:t>
            </w:r>
          </w:p>
        </w:tc>
        <w:tc>
          <w:tcPr>
            <w:tcW w:w="8250" w:type="dxa"/>
          </w:tcPr>
          <w:p>
            <w:pPr>
              <w:pStyle w:val="TableParagraph"/>
              <w:rPr>
                <w:sz w:val="22"/>
              </w:rPr>
            </w:pPr>
            <w:r>
              <w:rPr>
                <w:sz w:val="22"/>
              </w:rPr>
              <w:t>A zero-based index into the </w:t>
            </w:r>
            <w:r>
              <w:rPr>
                <w:rFonts w:ascii="Consolas" w:hAnsi="Consolas"/>
                <w:sz w:val="22"/>
              </w:rPr>
              <w:t>&lt;clrScheme&gt;</w:t>
            </w:r>
            <w:r>
              <w:rPr>
                <w:rFonts w:ascii="Consolas" w:hAnsi="Consolas"/>
                <w:spacing w:val="-93"/>
                <w:sz w:val="22"/>
              </w:rPr>
              <w:t> </w:t>
            </w:r>
            <w:r>
              <w:rPr>
                <w:sz w:val="22"/>
              </w:rPr>
              <w:t>collection (§20.1.6.2), referencing a particular</w:t>
            </w:r>
          </w:p>
          <w:p>
            <w:pPr>
              <w:pStyle w:val="TableParagraph"/>
              <w:spacing w:before="0"/>
              <w:rPr>
                <w:sz w:val="22"/>
              </w:rPr>
            </w:pPr>
            <w:r>
              <w:rPr>
                <w:rFonts w:ascii="Consolas"/>
                <w:sz w:val="22"/>
              </w:rPr>
              <w:t>&lt;sysClr&gt;</w:t>
            </w:r>
            <w:r>
              <w:rPr>
                <w:rFonts w:ascii="Consolas"/>
                <w:spacing w:val="-72"/>
                <w:sz w:val="22"/>
              </w:rPr>
              <w:t> </w:t>
            </w:r>
            <w:r>
              <w:rPr>
                <w:sz w:val="22"/>
              </w:rPr>
              <w:t>or </w:t>
            </w:r>
            <w:r>
              <w:rPr>
                <w:rFonts w:ascii="Consolas"/>
                <w:sz w:val="22"/>
              </w:rPr>
              <w:t>&lt;srgbClr&gt;</w:t>
            </w:r>
            <w:r>
              <w:rPr>
                <w:rFonts w:ascii="Consolas"/>
                <w:spacing w:val="-73"/>
                <w:sz w:val="22"/>
              </w:rPr>
              <w:t> </w:t>
            </w:r>
            <w:r>
              <w:rPr>
                <w:sz w:val="22"/>
              </w:rPr>
              <w:t>value expressed in the Theme part.</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2505" w:hRule="atLeast"/>
        </w:trPr>
        <w:tc>
          <w:tcPr>
            <w:tcW w:w="2062" w:type="dxa"/>
          </w:tcPr>
          <w:p>
            <w:pPr>
              <w:pStyle w:val="TableParagraph"/>
              <w:rPr>
                <w:sz w:val="22"/>
              </w:rPr>
            </w:pPr>
            <w:r>
              <w:rPr>
                <w:rFonts w:ascii="Cambria"/>
                <w:sz w:val="22"/>
              </w:rPr>
              <w:t>tint </w:t>
            </w:r>
            <w:r>
              <w:rPr>
                <w:sz w:val="22"/>
              </w:rPr>
              <w:t>(Tint)</w:t>
            </w:r>
          </w:p>
        </w:tc>
        <w:tc>
          <w:tcPr>
            <w:tcW w:w="8250" w:type="dxa"/>
          </w:tcPr>
          <w:p>
            <w:pPr>
              <w:pStyle w:val="TableParagraph"/>
              <w:rPr>
                <w:sz w:val="22"/>
              </w:rPr>
            </w:pPr>
            <w:r>
              <w:rPr>
                <w:sz w:val="22"/>
              </w:rPr>
              <w:t>Specifies the tint value applied to the color.</w:t>
            </w:r>
          </w:p>
          <w:p>
            <w:pPr>
              <w:pStyle w:val="TableParagraph"/>
              <w:spacing w:before="1"/>
              <w:ind w:left="0"/>
              <w:rPr>
                <w:sz w:val="22"/>
              </w:rPr>
            </w:pPr>
          </w:p>
          <w:p>
            <w:pPr>
              <w:pStyle w:val="TableParagraph"/>
              <w:spacing w:before="0"/>
              <w:ind w:right="391"/>
              <w:rPr>
                <w:sz w:val="22"/>
              </w:rPr>
            </w:pPr>
            <w:r>
              <w:rPr>
                <w:sz w:val="22"/>
              </w:rPr>
              <w:t>If tint is supplied, then it is applied to the RGB value of the color to determine the final color applied.</w:t>
            </w:r>
          </w:p>
          <w:p>
            <w:pPr>
              <w:pStyle w:val="TableParagraph"/>
              <w:spacing w:before="0"/>
              <w:ind w:left="0"/>
              <w:rPr>
                <w:sz w:val="22"/>
              </w:rPr>
            </w:pPr>
          </w:p>
          <w:p>
            <w:pPr>
              <w:pStyle w:val="TableParagraph"/>
              <w:spacing w:before="0"/>
              <w:rPr>
                <w:sz w:val="22"/>
              </w:rPr>
            </w:pPr>
            <w:r>
              <w:rPr>
                <w:sz w:val="22"/>
              </w:rPr>
              <w:t>The tint value is stored as a double from -1.0 .. 1.0, where -1.0 means 100% darken and</w:t>
            </w:r>
          </w:p>
          <w:p>
            <w:pPr>
              <w:pStyle w:val="TableParagraph"/>
              <w:spacing w:before="1"/>
              <w:rPr>
                <w:sz w:val="22"/>
              </w:rPr>
            </w:pPr>
            <w:r>
              <w:rPr>
                <w:sz w:val="22"/>
              </w:rPr>
              <w:t>1.0 means 100% lighten. Also, 0.0 means no change.</w:t>
            </w:r>
          </w:p>
          <w:p>
            <w:pPr>
              <w:pStyle w:val="TableParagraph"/>
              <w:spacing w:before="0"/>
              <w:ind w:left="0"/>
              <w:rPr>
                <w:sz w:val="22"/>
              </w:rPr>
            </w:pPr>
          </w:p>
          <w:p>
            <w:pPr>
              <w:pStyle w:val="TableParagraph"/>
              <w:spacing w:before="0"/>
              <w:rPr>
                <w:sz w:val="22"/>
              </w:rPr>
            </w:pPr>
            <w:r>
              <w:rPr>
                <w:sz w:val="22"/>
              </w:rPr>
              <w:t>In loading the RGB value, it is converted to HLS where HLS values are (0..HLSMAX), where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681"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5858"/>
              <w:rPr>
                <w:sz w:val="22"/>
              </w:rPr>
            </w:pPr>
            <w:r>
              <w:rPr>
                <w:sz w:val="22"/>
              </w:rPr>
              <w:t>HLSMAX is currently 255. [</w:t>
            </w:r>
            <w:r>
              <w:rPr>
                <w:i/>
                <w:sz w:val="22"/>
              </w:rPr>
              <w:t>Example</w:t>
            </w:r>
            <w:r>
              <w:rPr>
                <w:sz w:val="22"/>
              </w:rPr>
              <w:t>:</w:t>
            </w:r>
          </w:p>
          <w:p>
            <w:pPr>
              <w:pStyle w:val="TableParagraph"/>
              <w:spacing w:line="267" w:lineRule="exact" w:before="0"/>
              <w:rPr>
                <w:sz w:val="22"/>
              </w:rPr>
            </w:pPr>
            <w:r>
              <w:rPr>
                <w:sz w:val="22"/>
              </w:rPr>
              <w:t>Here are some examples of how to apply tint to color:</w:t>
            </w:r>
          </w:p>
          <w:p>
            <w:pPr>
              <w:pStyle w:val="TableParagraph"/>
              <w:spacing w:before="0"/>
              <w:ind w:left="0"/>
              <w:rPr>
                <w:sz w:val="22"/>
              </w:rPr>
            </w:pPr>
          </w:p>
          <w:p>
            <w:pPr>
              <w:pStyle w:val="TableParagraph"/>
              <w:spacing w:before="0"/>
              <w:rPr>
                <w:b/>
                <w:sz w:val="22"/>
              </w:rPr>
            </w:pPr>
            <w:r>
              <w:rPr>
                <w:b/>
                <w:sz w:val="22"/>
              </w:rPr>
              <w:t>If (tint &lt; 0)</w:t>
            </w:r>
          </w:p>
          <w:p>
            <w:pPr>
              <w:pStyle w:val="TableParagraph"/>
              <w:spacing w:before="0"/>
              <w:ind w:left="215"/>
              <w:rPr>
                <w:sz w:val="22"/>
              </w:rPr>
            </w:pPr>
            <w:r>
              <w:rPr>
                <w:sz w:val="22"/>
              </w:rPr>
              <w:t>Lum’ = Lum * (1.0 + tint)</w:t>
            </w:r>
          </w:p>
          <w:p>
            <w:pPr>
              <w:pStyle w:val="TableParagraph"/>
              <w:spacing w:before="1"/>
              <w:ind w:left="0"/>
              <w:rPr>
                <w:sz w:val="22"/>
              </w:rPr>
            </w:pPr>
          </w:p>
          <w:p>
            <w:pPr>
              <w:pStyle w:val="TableParagraph"/>
              <w:spacing w:before="0"/>
              <w:rPr>
                <w:sz w:val="22"/>
              </w:rPr>
            </w:pPr>
            <w:r>
              <w:rPr>
                <w:sz w:val="22"/>
              </w:rPr>
              <w:t>For example: Lum = 200; tint = -0.5; Darken 50%</w:t>
            </w:r>
          </w:p>
          <w:p>
            <w:pPr>
              <w:pStyle w:val="TableParagraph"/>
              <w:spacing w:before="0"/>
              <w:ind w:left="215"/>
              <w:rPr>
                <w:sz w:val="22"/>
              </w:rPr>
            </w:pPr>
            <w:r>
              <w:rPr>
                <w:sz w:val="22"/>
              </w:rPr>
              <w:t>Lum‘ = 200 * (0.5) =&gt; 100</w:t>
            </w:r>
          </w:p>
          <w:p>
            <w:pPr>
              <w:pStyle w:val="TableParagraph"/>
              <w:spacing w:before="1"/>
              <w:ind w:left="0"/>
              <w:rPr>
                <w:sz w:val="22"/>
              </w:rPr>
            </w:pPr>
          </w:p>
          <w:p>
            <w:pPr>
              <w:pStyle w:val="TableParagraph"/>
              <w:spacing w:before="0"/>
              <w:rPr>
                <w:sz w:val="22"/>
              </w:rPr>
            </w:pPr>
            <w:r>
              <w:rPr>
                <w:sz w:val="22"/>
              </w:rPr>
              <w:t>For example: Lum = 200; tint = -1.0; Darken 100% (make black)</w:t>
            </w:r>
          </w:p>
          <w:p>
            <w:pPr>
              <w:pStyle w:val="TableParagraph"/>
              <w:spacing w:before="0"/>
              <w:ind w:left="215"/>
              <w:rPr>
                <w:sz w:val="22"/>
              </w:rPr>
            </w:pPr>
            <w:r>
              <w:rPr>
                <w:sz w:val="22"/>
              </w:rPr>
              <w:t>Lum‘ = 200 * (1.0-1.0) =&gt; 0</w:t>
            </w:r>
          </w:p>
          <w:p>
            <w:pPr>
              <w:pStyle w:val="TableParagraph"/>
              <w:spacing w:before="11"/>
              <w:ind w:left="0"/>
              <w:rPr>
                <w:sz w:val="21"/>
              </w:rPr>
            </w:pPr>
          </w:p>
          <w:p>
            <w:pPr>
              <w:pStyle w:val="TableParagraph"/>
              <w:spacing w:before="0"/>
              <w:rPr>
                <w:b/>
                <w:sz w:val="22"/>
              </w:rPr>
            </w:pPr>
            <w:r>
              <w:rPr>
                <w:b/>
                <w:sz w:val="22"/>
              </w:rPr>
              <w:t>If (tint &gt; 0)</w:t>
            </w:r>
          </w:p>
          <w:p>
            <w:pPr>
              <w:pStyle w:val="TableParagraph"/>
              <w:spacing w:before="0"/>
              <w:ind w:left="215"/>
              <w:rPr>
                <w:sz w:val="22"/>
              </w:rPr>
            </w:pPr>
            <w:r>
              <w:rPr>
                <w:sz w:val="22"/>
              </w:rPr>
              <w:t>Lum‘ = Lum * (1.0-tint) + (HLSMAX – HLSMAX * (1.0-tint))</w:t>
            </w:r>
          </w:p>
          <w:p>
            <w:pPr>
              <w:pStyle w:val="TableParagraph"/>
              <w:spacing w:before="0"/>
              <w:ind w:left="0"/>
              <w:rPr>
                <w:sz w:val="22"/>
              </w:rPr>
            </w:pPr>
          </w:p>
          <w:p>
            <w:pPr>
              <w:pStyle w:val="TableParagraph"/>
              <w:spacing w:before="0"/>
              <w:rPr>
                <w:sz w:val="22"/>
              </w:rPr>
            </w:pPr>
            <w:r>
              <w:rPr>
                <w:sz w:val="22"/>
              </w:rPr>
              <w:t>For example: Lum = 100; tint = 0.75; Lighten 75%</w:t>
            </w:r>
          </w:p>
          <w:p>
            <w:pPr>
              <w:pStyle w:val="TableParagraph"/>
              <w:tabs>
                <w:tab w:pos="853" w:val="left" w:leader="none"/>
              </w:tabs>
              <w:spacing w:before="1"/>
              <w:rPr>
                <w:sz w:val="22"/>
              </w:rPr>
            </w:pPr>
            <w:r>
              <w:rPr>
                <w:sz w:val="22"/>
              </w:rPr>
              <w:t>Lum‘</w:t>
              <w:tab/>
              <w:t>= 100 * (1-.75) + (HLSMAX –</w:t>
            </w:r>
            <w:r>
              <w:rPr>
                <w:spacing w:val="-7"/>
                <w:sz w:val="22"/>
              </w:rPr>
              <w:t> </w:t>
            </w:r>
            <w:r>
              <w:rPr>
                <w:sz w:val="22"/>
              </w:rPr>
              <w:t>HLSMAX*(1-.75))</w:t>
            </w:r>
          </w:p>
          <w:p>
            <w:pPr>
              <w:pStyle w:val="TableParagraph"/>
              <w:spacing w:before="0"/>
              <w:ind w:left="911"/>
              <w:rPr>
                <w:sz w:val="22"/>
              </w:rPr>
            </w:pPr>
            <w:r>
              <w:rPr>
                <w:sz w:val="22"/>
              </w:rPr>
              <w:t>= 100 * .25 + (255 – 255 * .25)</w:t>
            </w:r>
          </w:p>
          <w:p>
            <w:pPr>
              <w:pStyle w:val="TableParagraph"/>
              <w:spacing w:before="0"/>
              <w:ind w:left="911"/>
              <w:rPr>
                <w:sz w:val="22"/>
              </w:rPr>
            </w:pPr>
            <w:r>
              <w:rPr>
                <w:sz w:val="22"/>
              </w:rPr>
              <w:t>= 25 + (255 – 63) = 25 + 192 = 217</w:t>
            </w:r>
          </w:p>
          <w:p>
            <w:pPr>
              <w:pStyle w:val="TableParagraph"/>
              <w:spacing w:before="1"/>
              <w:ind w:left="0"/>
              <w:rPr>
                <w:sz w:val="22"/>
              </w:rPr>
            </w:pPr>
          </w:p>
          <w:p>
            <w:pPr>
              <w:pStyle w:val="TableParagraph"/>
              <w:spacing w:line="267" w:lineRule="exact" w:before="0"/>
              <w:rPr>
                <w:sz w:val="22"/>
              </w:rPr>
            </w:pPr>
            <w:r>
              <w:rPr>
                <w:sz w:val="22"/>
              </w:rPr>
              <w:t>For example: Lum = 100; tint = 1.0; Lighten 100% (make white)</w:t>
            </w:r>
          </w:p>
          <w:p>
            <w:pPr>
              <w:pStyle w:val="TableParagraph"/>
              <w:tabs>
                <w:tab w:pos="853" w:val="left" w:leader="none"/>
              </w:tabs>
              <w:spacing w:line="267" w:lineRule="exact" w:before="0"/>
              <w:rPr>
                <w:sz w:val="22"/>
              </w:rPr>
            </w:pPr>
            <w:r>
              <w:rPr>
                <w:sz w:val="22"/>
              </w:rPr>
              <w:t>Lum‘</w:t>
              <w:tab/>
              <w:t>= 100 * (1-1) + (HLSMAX –</w:t>
            </w:r>
            <w:r>
              <w:rPr>
                <w:spacing w:val="-10"/>
                <w:sz w:val="22"/>
              </w:rPr>
              <w:t> </w:t>
            </w:r>
            <w:r>
              <w:rPr>
                <w:sz w:val="22"/>
              </w:rPr>
              <w:t>HLSMAX*(1-1))</w:t>
            </w:r>
          </w:p>
          <w:p>
            <w:pPr>
              <w:pStyle w:val="TableParagraph"/>
              <w:spacing w:before="0"/>
              <w:ind w:left="911"/>
              <w:rPr>
                <w:sz w:val="22"/>
              </w:rPr>
            </w:pPr>
            <w:r>
              <w:rPr>
                <w:sz w:val="22"/>
              </w:rPr>
              <w:t>= 100 * 0 + (255 – 255 * 0)</w:t>
            </w:r>
          </w:p>
          <w:p>
            <w:pPr>
              <w:pStyle w:val="TableParagraph"/>
              <w:spacing w:before="1"/>
              <w:ind w:left="911"/>
              <w:rPr>
                <w:sz w:val="22"/>
              </w:rPr>
            </w:pPr>
            <w:r>
              <w:rPr>
                <w:sz w:val="22"/>
              </w:rPr>
              <w:t>= 0 + (255 – 0) = 255</w:t>
            </w:r>
          </w:p>
          <w:p>
            <w:pPr>
              <w:pStyle w:val="TableParagraph"/>
              <w:spacing w:before="0"/>
              <w:ind w:left="0"/>
              <w:rPr>
                <w:sz w:val="22"/>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CT_Color</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4 border (Border)" w:id="566"/>
      <w:bookmarkEnd w:id="566"/>
      <w:r>
        <w:rPr>
          <w:b w:val="0"/>
        </w:rPr>
      </w:r>
      <w:bookmarkStart w:name="_bookmark187" w:id="567"/>
      <w:bookmarkEnd w:id="567"/>
      <w:r>
        <w:rPr>
          <w:b w:val="0"/>
        </w:rPr>
      </w:r>
      <w:bookmarkStart w:name="_bookmark187" w:id="568"/>
      <w:bookmarkEnd w:id="568"/>
      <w:r>
        <w:rPr>
          <w:color w:val="4F81BC"/>
        </w:rPr>
        <w:t>bor</w:t>
      </w:r>
      <w:r>
        <w:rPr>
          <w:color w:val="4F81BC"/>
        </w:rPr>
        <w:t>der (Border)</w:t>
      </w:r>
    </w:p>
    <w:p>
      <w:pPr>
        <w:pStyle w:val="BodyText"/>
        <w:spacing w:line="278" w:lineRule="auto" w:before="122"/>
        <w:ind w:left="220" w:right="495"/>
      </w:pPr>
      <w:r>
        <w:rPr/>
        <w:t>Expresses a single set of cell border formats (left, right, top, bottom, diagonal). Color is optional. When missing, 'automatic' is implied.</w:t>
      </w:r>
    </w:p>
    <w:p>
      <w:pPr>
        <w:pStyle w:val="BodyText"/>
        <w:spacing w:before="3"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56" w:lineRule="exact" w:before="42"/>
              <w:rPr>
                <w:rFonts w:ascii="Cambria"/>
                <w:sz w:val="22"/>
              </w:rPr>
            </w:pPr>
            <w:r>
              <w:rPr>
                <w:rFonts w:ascii="Cambria"/>
                <w:sz w:val="22"/>
              </w:rPr>
              <w:t>diagonalDown</w:t>
            </w:r>
          </w:p>
          <w:p>
            <w:pPr>
              <w:pStyle w:val="TableParagraph"/>
              <w:spacing w:line="267" w:lineRule="exact" w:before="0"/>
              <w:rPr>
                <w:sz w:val="22"/>
              </w:rPr>
            </w:pPr>
            <w:r>
              <w:rPr>
                <w:sz w:val="22"/>
              </w:rPr>
              <w:t>(Diagonal Down)</w:t>
            </w:r>
          </w:p>
        </w:tc>
        <w:tc>
          <w:tcPr>
            <w:tcW w:w="8250" w:type="dxa"/>
          </w:tcPr>
          <w:p>
            <w:pPr>
              <w:pStyle w:val="TableParagraph"/>
              <w:ind w:right="122"/>
              <w:rPr>
                <w:sz w:val="22"/>
              </w:rPr>
            </w:pPr>
            <w:r>
              <w:rPr>
                <w:sz w:val="22"/>
              </w:rPr>
              <w:t>A boolean value indicating if the cell's diagonal border includes a diagonal line, starting at the top left corner of the cell and moving down to the bottom right corner of the cell.</w:t>
            </w:r>
          </w:p>
          <w:p>
            <w:pPr>
              <w:pStyle w:val="TableParagraph"/>
              <w:spacing w:before="10"/>
              <w:ind w:left="0"/>
              <w:rPr>
                <w:sz w:val="21"/>
              </w:rPr>
            </w:pPr>
          </w:p>
          <w:p>
            <w:pPr>
              <w:pStyle w:val="TableParagraph"/>
              <w:spacing w:before="0"/>
              <w:rPr>
                <w:sz w:val="22"/>
              </w:rPr>
            </w:pPr>
            <w:r>
              <w:rPr>
                <w:sz w:val="22"/>
              </w:rPr>
              <w:t>[</w:t>
            </w:r>
            <w:r>
              <w:rPr>
                <w:i/>
                <w:sz w:val="22"/>
              </w:rPr>
              <w:t>Example</w:t>
            </w: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34"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sz w:val="22"/>
              </w:rPr>
            </w:pPr>
            <w:r>
              <w:rPr>
                <w:sz w:val="22"/>
              </w:rPr>
              <w:t>This example shows a thin diagonal down line:</w:t>
            </w:r>
          </w:p>
          <w:p>
            <w:pPr>
              <w:pStyle w:val="TableParagraph"/>
              <w:spacing w:before="3"/>
              <w:ind w:left="0"/>
              <w:rPr>
                <w:sz w:val="22"/>
              </w:rPr>
            </w:pPr>
          </w:p>
          <w:p>
            <w:pPr>
              <w:pStyle w:val="TableParagraph"/>
              <w:spacing w:before="0"/>
              <w:ind w:left="145"/>
              <w:rPr>
                <w:sz w:val="20"/>
              </w:rPr>
            </w:pPr>
            <w:r>
              <w:rPr>
                <w:sz w:val="20"/>
              </w:rPr>
              <w:drawing>
                <wp:inline distT="0" distB="0" distL="0" distR="0">
                  <wp:extent cx="618744" cy="190500"/>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75" cstate="print"/>
                          <a:stretch>
                            <a:fillRect/>
                          </a:stretch>
                        </pic:blipFill>
                        <pic:spPr>
                          <a:xfrm>
                            <a:off x="0" y="0"/>
                            <a:ext cx="618744" cy="190500"/>
                          </a:xfrm>
                          <a:prstGeom prst="rect">
                            <a:avLst/>
                          </a:prstGeom>
                        </pic:spPr>
                      </pic:pic>
                    </a:graphicData>
                  </a:graphic>
                </wp:inline>
              </w:drawing>
            </w:r>
            <w:r>
              <w:rPr>
                <w:sz w:val="20"/>
              </w:rPr>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23" w:hRule="atLeast"/>
        </w:trPr>
        <w:tc>
          <w:tcPr>
            <w:tcW w:w="2062" w:type="dxa"/>
            <w:tcBorders>
              <w:bottom w:val="nil"/>
            </w:tcBorders>
          </w:tcPr>
          <w:p>
            <w:pPr>
              <w:pStyle w:val="TableParagraph"/>
              <w:spacing w:before="42"/>
              <w:rPr>
                <w:rFonts w:ascii="Cambria"/>
                <w:sz w:val="22"/>
              </w:rPr>
            </w:pPr>
            <w:r>
              <w:rPr>
                <w:rFonts w:ascii="Cambria"/>
                <w:sz w:val="22"/>
              </w:rPr>
              <w:t>diagonalUp</w:t>
            </w:r>
          </w:p>
        </w:tc>
        <w:tc>
          <w:tcPr>
            <w:tcW w:w="8250" w:type="dxa"/>
            <w:tcBorders>
              <w:bottom w:val="nil"/>
            </w:tcBorders>
          </w:tcPr>
          <w:p>
            <w:pPr>
              <w:pStyle w:val="TableParagraph"/>
              <w:spacing w:line="264" w:lineRule="exact"/>
              <w:rPr>
                <w:sz w:val="22"/>
              </w:rPr>
            </w:pPr>
            <w:r>
              <w:rPr>
                <w:sz w:val="22"/>
              </w:rPr>
              <w:t>A boolean value indicating if the cell's diagonal border includes a diagonal line, starting at</w:t>
            </w:r>
          </w:p>
        </w:tc>
      </w:tr>
      <w:tr>
        <w:trPr>
          <w:trHeight w:val="408" w:hRule="atLeast"/>
        </w:trPr>
        <w:tc>
          <w:tcPr>
            <w:tcW w:w="2062" w:type="dxa"/>
            <w:tcBorders>
              <w:top w:val="nil"/>
              <w:bottom w:val="nil"/>
            </w:tcBorders>
          </w:tcPr>
          <w:p>
            <w:pPr>
              <w:pStyle w:val="TableParagraph"/>
              <w:spacing w:line="244" w:lineRule="exact" w:before="0"/>
              <w:rPr>
                <w:sz w:val="22"/>
              </w:rPr>
            </w:pPr>
            <w:r>
              <w:rPr>
                <w:sz w:val="22"/>
              </w:rPr>
              <w:t>(Diagonal Up)</w:t>
            </w:r>
          </w:p>
        </w:tc>
        <w:tc>
          <w:tcPr>
            <w:tcW w:w="8250" w:type="dxa"/>
            <w:tcBorders>
              <w:top w:val="nil"/>
              <w:bottom w:val="nil"/>
            </w:tcBorders>
          </w:tcPr>
          <w:p>
            <w:pPr>
              <w:pStyle w:val="TableParagraph"/>
              <w:spacing w:line="253" w:lineRule="exact" w:before="0"/>
              <w:rPr>
                <w:sz w:val="22"/>
              </w:rPr>
            </w:pPr>
            <w:r>
              <w:rPr>
                <w:sz w:val="22"/>
              </w:rPr>
              <w:t>the bottom left corner of the cell and moving up to the top right corner of the cell.</w:t>
            </w:r>
          </w:p>
        </w:tc>
      </w:tr>
      <w:tr>
        <w:trPr>
          <w:trHeight w:val="537"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5"/>
              <w:rPr>
                <w:sz w:val="22"/>
              </w:rPr>
            </w:pPr>
            <w:r>
              <w:rPr>
                <w:sz w:val="22"/>
              </w:rPr>
              <w:t>[</w:t>
            </w:r>
            <w:r>
              <w:rPr>
                <w:i/>
                <w:sz w:val="22"/>
              </w:rPr>
              <w:t>Example</w:t>
            </w:r>
            <w:r>
              <w:rPr>
                <w:sz w:val="22"/>
              </w:rPr>
              <w:t>:</w:t>
            </w:r>
          </w:p>
        </w:tc>
      </w:tr>
      <w:tr>
        <w:trPr>
          <w:trHeight w:val="515"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4"/>
              <w:rPr>
                <w:sz w:val="22"/>
              </w:rPr>
            </w:pPr>
            <w:r>
              <w:rPr>
                <w:sz w:val="22"/>
              </w:rPr>
              <w:t>This example shows a thin diagonal up line:</w:t>
            </w:r>
          </w:p>
        </w:tc>
      </w:tr>
      <w:tr>
        <w:trPr>
          <w:trHeight w:val="591"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2"/>
              <w:ind w:left="0"/>
              <w:rPr>
                <w:sz w:val="11"/>
              </w:rPr>
            </w:pPr>
          </w:p>
          <w:p>
            <w:pPr>
              <w:pStyle w:val="TableParagraph"/>
              <w:spacing w:before="0"/>
              <w:ind w:left="145"/>
              <w:rPr>
                <w:sz w:val="20"/>
              </w:rPr>
            </w:pPr>
            <w:r>
              <w:rPr>
                <w:sz w:val="20"/>
              </w:rPr>
              <w:drawing>
                <wp:inline distT="0" distB="0" distL="0" distR="0">
                  <wp:extent cx="618744" cy="190500"/>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76" cstate="print"/>
                          <a:stretch>
                            <a:fillRect/>
                          </a:stretch>
                        </pic:blipFill>
                        <pic:spPr>
                          <a:xfrm>
                            <a:off x="0" y="0"/>
                            <a:ext cx="618744" cy="190500"/>
                          </a:xfrm>
                          <a:prstGeom prst="rect">
                            <a:avLst/>
                          </a:prstGeom>
                        </pic:spPr>
                      </pic:pic>
                    </a:graphicData>
                  </a:graphic>
                </wp:inline>
              </w:drawing>
            </w:r>
            <w:r>
              <w:rPr>
                <w:sz w:val="20"/>
              </w:rPr>
            </w:r>
          </w:p>
        </w:tc>
      </w:tr>
      <w:tr>
        <w:trPr>
          <w:trHeight w:val="646"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1"/>
              <w:rPr>
                <w:sz w:val="22"/>
              </w:rPr>
            </w:pPr>
            <w:r>
              <w:rPr>
                <w:i/>
                <w:sz w:val="22"/>
              </w:rPr>
              <w:t>end example</w:t>
            </w:r>
            <w:r>
              <w:rPr>
                <w:sz w:val="22"/>
              </w:rPr>
              <w:t>]</w:t>
            </w:r>
          </w:p>
        </w:tc>
      </w:tr>
      <w:tr>
        <w:trPr>
          <w:trHeight w:val="559"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r>
        <w:trPr>
          <w:trHeight w:val="294"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9" w:lineRule="exact"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outline </w:t>
            </w:r>
            <w:r>
              <w:rPr>
                <w:sz w:val="22"/>
              </w:rPr>
              <w:t>(Outline)</w:t>
            </w:r>
          </w:p>
        </w:tc>
        <w:tc>
          <w:tcPr>
            <w:tcW w:w="8250" w:type="dxa"/>
          </w:tcPr>
          <w:p>
            <w:pPr>
              <w:pStyle w:val="TableParagraph"/>
              <w:ind w:right="318"/>
              <w:rPr>
                <w:sz w:val="22"/>
              </w:rPr>
            </w:pPr>
            <w:r>
              <w:rPr>
                <w:sz w:val="22"/>
              </w:rPr>
              <w:t>A boolean value indicating if left, right, top, and bottom borders should be applied only to outside borders of a cell range.</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871"/>
      </w:pPr>
      <w:r>
        <w:rPr/>
        <w:t>[</w:t>
      </w:r>
      <w:r>
        <w:rPr>
          <w:i/>
        </w:rPr>
        <w:t>Note</w:t>
      </w:r>
      <w:r>
        <w:rPr/>
        <w:t>: The W3C XML Schema definition of this element’s content model (</w:t>
      </w:r>
      <w:r>
        <w:rPr>
          <w:color w:val="5F5F5F"/>
          <w:u w:val="single" w:color="5F5F5F"/>
        </w:rPr>
        <w:t>CT_Border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5 borders (Borders)" w:id="569"/>
      <w:bookmarkEnd w:id="569"/>
      <w:r>
        <w:rPr>
          <w:b w:val="0"/>
        </w:rPr>
      </w:r>
      <w:bookmarkStart w:name="_bookmark188" w:id="570"/>
      <w:bookmarkEnd w:id="570"/>
      <w:r>
        <w:rPr>
          <w:b w:val="0"/>
        </w:rPr>
      </w:r>
      <w:bookmarkStart w:name="_bookmark188" w:id="571"/>
      <w:bookmarkEnd w:id="571"/>
      <w:r>
        <w:rPr>
          <w:color w:val="4F81BC"/>
        </w:rPr>
        <w:t>bor</w:t>
      </w:r>
      <w:r>
        <w:rPr>
          <w:color w:val="4F81BC"/>
        </w:rPr>
        <w:t>ders</w:t>
      </w:r>
      <w:r>
        <w:rPr>
          <w:color w:val="4F81BC"/>
          <w:spacing w:val="1"/>
        </w:rPr>
        <w:t> </w:t>
      </w:r>
      <w:r>
        <w:rPr>
          <w:color w:val="4F81BC"/>
        </w:rPr>
        <w:t>(Borders)</w:t>
      </w:r>
    </w:p>
    <w:p>
      <w:pPr>
        <w:pStyle w:val="BodyText"/>
        <w:spacing w:line="276" w:lineRule="auto" w:before="124"/>
        <w:ind w:left="220" w:right="1134"/>
      </w:pPr>
      <w:r>
        <w:rPr/>
        <w:t>This element contains borders formatting information, specifying all border definitions for all cells in the workbook.</w:t>
      </w:r>
    </w:p>
    <w:p>
      <w:pPr>
        <w:pStyle w:val="BodyText"/>
        <w:spacing w:before="4"/>
        <w:rPr>
          <w:sz w:val="16"/>
        </w:rPr>
      </w:pPr>
    </w:p>
    <w:p>
      <w:pPr>
        <w:pStyle w:val="BodyText"/>
        <w:spacing w:line="278" w:lineRule="auto"/>
        <w:ind w:left="220" w:right="692"/>
        <w:jc w:val="both"/>
      </w:pPr>
      <w:r>
        <w:rPr/>
        <w:t>[</w:t>
      </w:r>
      <w:r>
        <w:rPr>
          <w:i/>
        </w:rPr>
        <w:t>Example</w:t>
      </w:r>
      <w:r>
        <w:rPr/>
        <w:t>: In this example the first border definition specifies that there are no borders, the second definition specifies that a there is a thin bottom border and medium right border, and the third definition specifies that there is a double top border.</w:t>
      </w:r>
    </w:p>
    <w:p>
      <w:pPr>
        <w:spacing w:after="0" w:line="278" w:lineRule="auto"/>
        <w:jc w:val="both"/>
        <w:sectPr>
          <w:pgSz w:w="12240" w:h="15840"/>
          <w:pgMar w:header="761" w:footer="746" w:top="1340" w:bottom="940" w:left="860" w:right="700"/>
        </w:sectPr>
      </w:pPr>
    </w:p>
    <w:p>
      <w:pPr>
        <w:pStyle w:val="BodyText"/>
        <w:spacing w:before="150"/>
        <w:ind w:left="508"/>
        <w:rPr>
          <w:rFonts w:ascii="Consolas"/>
        </w:rPr>
      </w:pPr>
      <w:r>
        <w:rPr>
          <w:rFonts w:ascii="Consolas"/>
        </w:rPr>
        <w:t>&lt;borders count="3"&gt;</w:t>
      </w:r>
    </w:p>
    <w:p>
      <w:pPr>
        <w:pStyle w:val="BodyText"/>
        <w:spacing w:before="38"/>
        <w:ind w:left="750"/>
        <w:rPr>
          <w:rFonts w:ascii="Consolas"/>
        </w:rPr>
      </w:pPr>
      <w:r>
        <w:rPr>
          <w:rFonts w:ascii="Consolas"/>
        </w:rPr>
        <w:t>&lt;border&gt;</w:t>
      </w:r>
    </w:p>
    <w:p>
      <w:pPr>
        <w:pStyle w:val="BodyText"/>
        <w:spacing w:before="40"/>
        <w:ind w:left="993"/>
        <w:rPr>
          <w:rFonts w:ascii="Consolas"/>
        </w:rPr>
      </w:pPr>
      <w:r>
        <w:rPr>
          <w:rFonts w:ascii="Consolas"/>
        </w:rPr>
        <w:t>&lt;begin/&gt;</w:t>
      </w:r>
    </w:p>
    <w:p>
      <w:pPr>
        <w:pStyle w:val="BodyText"/>
        <w:spacing w:before="38"/>
        <w:ind w:left="993"/>
        <w:rPr>
          <w:rFonts w:ascii="Consolas"/>
        </w:rPr>
      </w:pPr>
      <w:r>
        <w:rPr>
          <w:rFonts w:ascii="Consolas"/>
        </w:rPr>
        <w:t>&lt;end/&gt;</w:t>
      </w:r>
    </w:p>
    <w:p>
      <w:pPr>
        <w:pStyle w:val="BodyText"/>
        <w:spacing w:before="40"/>
        <w:ind w:left="993"/>
        <w:rPr>
          <w:rFonts w:ascii="Consolas"/>
        </w:rPr>
      </w:pPr>
      <w:r>
        <w:rPr>
          <w:rFonts w:ascii="Consolas"/>
        </w:rPr>
        <w:t>&lt;top/&gt;</w:t>
      </w:r>
    </w:p>
    <w:p>
      <w:pPr>
        <w:pStyle w:val="BodyText"/>
        <w:spacing w:before="37"/>
        <w:ind w:left="993"/>
        <w:rPr>
          <w:rFonts w:ascii="Consolas"/>
        </w:rPr>
      </w:pPr>
      <w:r>
        <w:rPr>
          <w:rFonts w:ascii="Consolas"/>
        </w:rPr>
        <w:t>&lt;bottom/&gt;</w:t>
      </w:r>
    </w:p>
    <w:p>
      <w:pPr>
        <w:pStyle w:val="BodyText"/>
        <w:spacing w:before="40"/>
        <w:ind w:left="993"/>
        <w:rPr>
          <w:rFonts w:ascii="Consolas"/>
        </w:rPr>
      </w:pPr>
      <w:r>
        <w:rPr>
          <w:rFonts w:ascii="Consolas"/>
        </w:rPr>
        <w:t>&lt;diagonal/&gt;</w:t>
      </w:r>
    </w:p>
    <w:p>
      <w:pPr>
        <w:pStyle w:val="BodyText"/>
        <w:spacing w:before="38"/>
        <w:ind w:left="750"/>
        <w:rPr>
          <w:rFonts w:ascii="Consolas"/>
        </w:rPr>
      </w:pPr>
      <w:r>
        <w:rPr>
          <w:rFonts w:ascii="Consolas"/>
        </w:rPr>
        <w:t>&lt;/border&gt;</w:t>
      </w:r>
    </w:p>
    <w:p>
      <w:pPr>
        <w:pStyle w:val="BodyText"/>
        <w:spacing w:before="38"/>
        <w:ind w:left="750"/>
        <w:rPr>
          <w:rFonts w:ascii="Consolas"/>
        </w:rPr>
      </w:pPr>
      <w:r>
        <w:rPr>
          <w:rFonts w:ascii="Consolas"/>
        </w:rPr>
        <w:t>&lt;border&gt;</w:t>
      </w:r>
    </w:p>
    <w:p>
      <w:pPr>
        <w:pStyle w:val="BodyText"/>
        <w:spacing w:before="40"/>
        <w:ind w:left="993"/>
        <w:rPr>
          <w:rFonts w:ascii="Consolas"/>
        </w:rPr>
      </w:pPr>
      <w:r>
        <w:rPr>
          <w:rFonts w:ascii="Consolas"/>
        </w:rPr>
        <w:t>&lt;begin/&gt;</w:t>
      </w:r>
    </w:p>
    <w:p>
      <w:pPr>
        <w:pStyle w:val="BodyText"/>
        <w:spacing w:before="37"/>
        <w:ind w:left="993"/>
        <w:rPr>
          <w:rFonts w:ascii="Consolas"/>
        </w:rPr>
      </w:pPr>
      <w:r>
        <w:rPr>
          <w:rFonts w:ascii="Consolas"/>
        </w:rPr>
        <w:t>&lt;end style="medium"&gt;</w:t>
      </w:r>
    </w:p>
    <w:p>
      <w:pPr>
        <w:pStyle w:val="BodyText"/>
        <w:spacing w:before="40"/>
        <w:ind w:left="1235"/>
        <w:rPr>
          <w:rFonts w:ascii="Consolas"/>
        </w:rPr>
      </w:pPr>
      <w:r>
        <w:rPr>
          <w:rFonts w:ascii="Consolas"/>
        </w:rPr>
        <w:t>&lt;color indexed="64"/&gt;</w:t>
      </w:r>
    </w:p>
    <w:p>
      <w:pPr>
        <w:pStyle w:val="BodyText"/>
        <w:spacing w:before="38"/>
        <w:ind w:left="993"/>
        <w:rPr>
          <w:rFonts w:ascii="Consolas"/>
        </w:rPr>
      </w:pPr>
      <w:r>
        <w:rPr>
          <w:rFonts w:ascii="Consolas"/>
        </w:rPr>
        <w:t>&lt;/end&gt;</w:t>
      </w:r>
    </w:p>
    <w:p>
      <w:pPr>
        <w:pStyle w:val="BodyText"/>
        <w:spacing w:before="40"/>
        <w:ind w:left="993"/>
        <w:rPr>
          <w:rFonts w:ascii="Consolas"/>
        </w:rPr>
      </w:pPr>
      <w:r>
        <w:rPr>
          <w:rFonts w:ascii="Consolas"/>
        </w:rPr>
        <w:t>&lt;top/&gt;</w:t>
      </w:r>
    </w:p>
    <w:p>
      <w:pPr>
        <w:pStyle w:val="BodyText"/>
        <w:spacing w:before="38"/>
        <w:ind w:left="993"/>
        <w:rPr>
          <w:rFonts w:ascii="Consolas"/>
        </w:rPr>
      </w:pPr>
      <w:r>
        <w:rPr>
          <w:rFonts w:ascii="Consolas"/>
        </w:rPr>
        <w:t>&lt;bottom style="thin"&gt;</w:t>
      </w:r>
    </w:p>
    <w:p>
      <w:pPr>
        <w:pStyle w:val="BodyText"/>
        <w:spacing w:before="38"/>
        <w:ind w:left="1235"/>
        <w:rPr>
          <w:rFonts w:ascii="Consolas"/>
        </w:rPr>
      </w:pPr>
      <w:r>
        <w:rPr>
          <w:rFonts w:ascii="Consolas"/>
        </w:rPr>
        <w:t>&lt;color indexed="64"/&gt;</w:t>
      </w:r>
    </w:p>
    <w:p>
      <w:pPr>
        <w:pStyle w:val="BodyText"/>
        <w:spacing w:before="40"/>
        <w:ind w:left="993"/>
        <w:rPr>
          <w:rFonts w:ascii="Consolas"/>
        </w:rPr>
      </w:pPr>
      <w:r>
        <w:rPr>
          <w:rFonts w:ascii="Consolas"/>
        </w:rPr>
        <w:t>&lt;/bottom&gt;</w:t>
      </w:r>
    </w:p>
    <w:p>
      <w:pPr>
        <w:pStyle w:val="BodyText"/>
        <w:spacing w:before="37"/>
        <w:ind w:left="993"/>
        <w:rPr>
          <w:rFonts w:ascii="Consolas"/>
        </w:rPr>
      </w:pPr>
      <w:r>
        <w:rPr>
          <w:rFonts w:ascii="Consolas"/>
        </w:rPr>
        <w:t>&lt;diagonal/&gt;</w:t>
      </w:r>
    </w:p>
    <w:p>
      <w:pPr>
        <w:pStyle w:val="BodyText"/>
        <w:spacing w:before="40"/>
        <w:ind w:left="750"/>
        <w:rPr>
          <w:rFonts w:ascii="Consolas"/>
        </w:rPr>
      </w:pPr>
      <w:r>
        <w:rPr>
          <w:rFonts w:ascii="Consolas"/>
        </w:rPr>
        <w:t>&lt;/border&gt;</w:t>
      </w:r>
    </w:p>
    <w:p>
      <w:pPr>
        <w:pStyle w:val="BodyText"/>
        <w:spacing w:before="38"/>
        <w:ind w:left="750"/>
        <w:rPr>
          <w:rFonts w:ascii="Consolas"/>
        </w:rPr>
      </w:pPr>
      <w:r>
        <w:rPr>
          <w:rFonts w:ascii="Consolas"/>
        </w:rPr>
        <w:t>&lt;border&gt;</w:t>
      </w:r>
    </w:p>
    <w:p>
      <w:pPr>
        <w:pStyle w:val="BodyText"/>
        <w:spacing w:before="40"/>
        <w:ind w:left="993"/>
        <w:rPr>
          <w:rFonts w:ascii="Consolas"/>
        </w:rPr>
      </w:pPr>
      <w:r>
        <w:rPr>
          <w:rFonts w:ascii="Consolas"/>
        </w:rPr>
        <w:t>&lt;begin/&gt;</w:t>
      </w:r>
    </w:p>
    <w:p>
      <w:pPr>
        <w:pStyle w:val="BodyText"/>
        <w:spacing w:before="37"/>
        <w:ind w:left="993"/>
        <w:rPr>
          <w:rFonts w:ascii="Consolas"/>
        </w:rPr>
      </w:pPr>
      <w:r>
        <w:rPr>
          <w:rFonts w:ascii="Consolas"/>
        </w:rPr>
        <w:t>&lt;end/&gt;</w:t>
      </w:r>
    </w:p>
    <w:p>
      <w:pPr>
        <w:pStyle w:val="BodyText"/>
        <w:spacing w:before="38"/>
        <w:ind w:left="993"/>
        <w:rPr>
          <w:rFonts w:ascii="Consolas"/>
        </w:rPr>
      </w:pPr>
      <w:r>
        <w:rPr>
          <w:rFonts w:ascii="Consolas"/>
        </w:rPr>
        <w:t>&lt;top style="double"&gt;</w:t>
      </w:r>
    </w:p>
    <w:p>
      <w:pPr>
        <w:pStyle w:val="BodyText"/>
        <w:spacing w:before="40"/>
        <w:ind w:left="1235"/>
        <w:rPr>
          <w:rFonts w:ascii="Consolas"/>
        </w:rPr>
      </w:pPr>
      <w:r>
        <w:rPr>
          <w:rFonts w:ascii="Consolas"/>
        </w:rPr>
        <w:t>&lt;color auto="1"/&gt;</w:t>
      </w:r>
    </w:p>
    <w:p>
      <w:pPr>
        <w:pStyle w:val="BodyText"/>
        <w:spacing w:before="38"/>
        <w:ind w:left="993"/>
        <w:rPr>
          <w:rFonts w:ascii="Consolas"/>
        </w:rPr>
      </w:pPr>
      <w:r>
        <w:rPr>
          <w:rFonts w:ascii="Consolas"/>
        </w:rPr>
        <w:t>&lt;/top&gt;</w:t>
      </w:r>
    </w:p>
    <w:p>
      <w:pPr>
        <w:pStyle w:val="BodyText"/>
        <w:spacing w:before="40"/>
        <w:ind w:left="993"/>
        <w:rPr>
          <w:rFonts w:ascii="Consolas"/>
        </w:rPr>
      </w:pPr>
      <w:r>
        <w:rPr>
          <w:rFonts w:ascii="Consolas"/>
        </w:rPr>
        <w:t>&lt;bottom/&gt;</w:t>
      </w:r>
    </w:p>
    <w:p>
      <w:pPr>
        <w:pStyle w:val="BodyText"/>
        <w:spacing w:before="38"/>
        <w:ind w:left="993"/>
        <w:rPr>
          <w:rFonts w:ascii="Consolas"/>
        </w:rPr>
      </w:pPr>
      <w:r>
        <w:rPr>
          <w:rFonts w:ascii="Consolas"/>
        </w:rPr>
        <w:t>&lt;diagonal/&gt;</w:t>
      </w:r>
    </w:p>
    <w:p>
      <w:pPr>
        <w:pStyle w:val="BodyText"/>
        <w:spacing w:before="40"/>
        <w:ind w:left="750"/>
        <w:rPr>
          <w:rFonts w:ascii="Consolas"/>
        </w:rPr>
      </w:pPr>
      <w:r>
        <w:rPr>
          <w:rFonts w:ascii="Consolas"/>
        </w:rPr>
        <w:t>&lt;/border&gt;</w:t>
      </w:r>
    </w:p>
    <w:p>
      <w:pPr>
        <w:pStyle w:val="BodyText"/>
        <w:spacing w:before="37"/>
        <w:ind w:left="508"/>
        <w:rPr>
          <w:rFonts w:ascii="Consolas"/>
        </w:rPr>
      </w:pPr>
      <w:r>
        <w:rPr>
          <w:rFonts w:ascii="Consolas"/>
        </w:rPr>
        <w:t>&lt;/borders&gt;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655"/>
              <w:rPr>
                <w:sz w:val="22"/>
              </w:rPr>
            </w:pPr>
            <w:r>
              <w:rPr>
                <w:rFonts w:ascii="Cambria"/>
                <w:sz w:val="22"/>
              </w:rPr>
              <w:t>count </w:t>
            </w:r>
            <w:r>
              <w:rPr>
                <w:sz w:val="22"/>
              </w:rPr>
              <w:t>(Border Count)</w:t>
            </w:r>
          </w:p>
        </w:tc>
        <w:tc>
          <w:tcPr>
            <w:tcW w:w="8250" w:type="dxa"/>
          </w:tcPr>
          <w:p>
            <w:pPr>
              <w:pStyle w:val="TableParagraph"/>
              <w:rPr>
                <w:sz w:val="22"/>
              </w:rPr>
            </w:pPr>
            <w:r>
              <w:rPr>
                <w:sz w:val="22"/>
              </w:rPr>
              <w:t>Count of border elements.</w:t>
            </w:r>
          </w:p>
          <w:p>
            <w:pPr>
              <w:pStyle w:val="TableParagraph"/>
              <w:spacing w:before="0"/>
              <w:ind w:left="0"/>
              <w:rPr>
                <w:sz w:val="22"/>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8" w:lineRule="exact"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785"/>
      </w:pPr>
      <w:r>
        <w:rPr/>
        <w:t>[</w:t>
      </w:r>
      <w:r>
        <w:rPr>
          <w:i/>
        </w:rPr>
        <w:t>Note</w:t>
      </w:r>
      <w:r>
        <w:rPr/>
        <w:t>: The W3C XML Schema definition of this element’s content model (</w:t>
      </w:r>
      <w:r>
        <w:rPr>
          <w:color w:val="5F5F5F"/>
          <w:u w:val="single" w:color="5F5F5F"/>
        </w:rPr>
        <w:t>CT_Borders</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6 bottom (Bottom Border)" w:id="572"/>
      <w:bookmarkEnd w:id="572"/>
      <w:r>
        <w:rPr>
          <w:b w:val="0"/>
        </w:rPr>
      </w:r>
      <w:bookmarkStart w:name="_bookmark189" w:id="573"/>
      <w:bookmarkEnd w:id="573"/>
      <w:r>
        <w:rPr>
          <w:b w:val="0"/>
        </w:rPr>
      </w:r>
      <w:bookmarkStart w:name="_bookmark189" w:id="574"/>
      <w:bookmarkEnd w:id="574"/>
      <w:r>
        <w:rPr>
          <w:color w:val="4F81BC"/>
        </w:rPr>
        <w:t>bot</w:t>
      </w:r>
      <w:r>
        <w:rPr>
          <w:color w:val="4F81BC"/>
        </w:rPr>
        <w:t>tom (Bottom</w:t>
      </w:r>
      <w:r>
        <w:rPr>
          <w:color w:val="4F81BC"/>
          <w:spacing w:val="-2"/>
        </w:rPr>
        <w:t> </w:t>
      </w:r>
      <w:r>
        <w:rPr>
          <w:color w:val="4F81BC"/>
        </w:rPr>
        <w:t>Border)</w:t>
      </w:r>
    </w:p>
    <w:p>
      <w:pPr>
        <w:pStyle w:val="BodyText"/>
        <w:spacing w:before="126"/>
        <w:ind w:left="220"/>
      </w:pPr>
      <w:r>
        <w:rPr/>
        <w:t>This element specifies the color and line style for the bottom border of a cell.</w:t>
      </w:r>
    </w:p>
    <w:p>
      <w:pPr>
        <w:spacing w:after="0"/>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style </w:t>
            </w:r>
            <w:r>
              <w:rPr>
                <w:sz w:val="22"/>
              </w:rPr>
              <w:t>(Line Style)</w:t>
            </w:r>
          </w:p>
        </w:tc>
        <w:tc>
          <w:tcPr>
            <w:tcW w:w="8250" w:type="dxa"/>
          </w:tcPr>
          <w:p>
            <w:pPr>
              <w:pStyle w:val="TableParagraph"/>
              <w:rPr>
                <w:sz w:val="22"/>
              </w:rPr>
            </w:pPr>
            <w:r>
              <w:rPr>
                <w:sz w:val="22"/>
              </w:rPr>
              <w:t>The line style for this border.</w:t>
            </w:r>
          </w:p>
          <w:p>
            <w:pPr>
              <w:pStyle w:val="TableParagraph"/>
              <w:spacing w:before="0"/>
              <w:ind w:left="0"/>
              <w:rPr>
                <w:sz w:val="22"/>
              </w:rPr>
            </w:pPr>
          </w:p>
          <w:p>
            <w:pPr>
              <w:pStyle w:val="TableParagraph"/>
              <w:spacing w:before="0"/>
              <w:ind w:right="581"/>
              <w:rPr>
                <w:sz w:val="22"/>
              </w:rPr>
            </w:pPr>
            <w:r>
              <w:rPr>
                <w:sz w:val="22"/>
              </w:rPr>
              <w:t>The possible values for this attribute are defined by the </w:t>
            </w:r>
            <w:r>
              <w:rPr>
                <w:rFonts w:ascii="Cambria" w:hAnsi="Cambria"/>
                <w:sz w:val="22"/>
              </w:rPr>
              <w:t>ST_BorderStyle </w:t>
            </w:r>
            <w:r>
              <w:rPr>
                <w:sz w:val="22"/>
              </w:rPr>
              <w:t>simple type </w:t>
            </w:r>
            <w:hyperlink w:history="true" w:anchor="_bookmark825">
              <w:r>
                <w:rPr>
                  <w:sz w:val="22"/>
                </w:rPr>
                <w:t>(§18.18.3</w:t>
              </w:r>
            </w:hyperlink>
            <w:r>
              <w:rPr>
                <w:sz w:val="22"/>
              </w:rPr>
              <w:t>).</w:t>
            </w:r>
          </w:p>
        </w:tc>
      </w:tr>
    </w:tbl>
    <w:p>
      <w:pPr>
        <w:pStyle w:val="BodyText"/>
        <w:rPr>
          <w:sz w:val="20"/>
        </w:rPr>
      </w:pPr>
    </w:p>
    <w:p>
      <w:pPr>
        <w:pStyle w:val="BodyText"/>
        <w:spacing w:before="10"/>
        <w:rPr>
          <w:sz w:val="16"/>
        </w:rPr>
      </w:pPr>
    </w:p>
    <w:p>
      <w:pPr>
        <w:pStyle w:val="BodyText"/>
        <w:spacing w:line="276" w:lineRule="auto" w:before="56"/>
        <w:ind w:left="220" w:right="680"/>
      </w:pPr>
      <w:r>
        <w:rPr/>
        <w:t>[</w:t>
      </w:r>
      <w:r>
        <w:rPr>
          <w:i/>
        </w:rPr>
        <w:t>Note</w:t>
      </w:r>
      <w:r>
        <w:rPr/>
        <w:t>: The W3C XML Schema definition of this element’s content model (</w:t>
      </w:r>
      <w:r>
        <w:rPr>
          <w:color w:val="5F5F5F"/>
          <w:u w:val="single" w:color="5F5F5F"/>
        </w:rPr>
        <w:t>CT_BorderPr</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7 cellStyle (Cell Style)" w:id="575"/>
      <w:bookmarkEnd w:id="575"/>
      <w:r>
        <w:rPr>
          <w:b w:val="0"/>
        </w:rPr>
      </w:r>
      <w:bookmarkStart w:name="_bookmark190" w:id="576"/>
      <w:bookmarkEnd w:id="576"/>
      <w:r>
        <w:rPr>
          <w:b w:val="0"/>
        </w:rPr>
      </w:r>
      <w:bookmarkStart w:name="_bookmark190" w:id="577"/>
      <w:bookmarkEnd w:id="577"/>
      <w:r>
        <w:rPr>
          <w:color w:val="4F81BC"/>
        </w:rPr>
        <w:t>c</w:t>
      </w:r>
      <w:r>
        <w:rPr>
          <w:color w:val="4F81BC"/>
        </w:rPr>
        <w:t>ellStyle (Cell Style)</w:t>
      </w:r>
    </w:p>
    <w:p>
      <w:pPr>
        <w:pStyle w:val="BodyText"/>
        <w:spacing w:before="127"/>
        <w:ind w:left="220"/>
      </w:pPr>
      <w:r>
        <w:rPr/>
        <w:t>This element represents the name and related formatting records for a named cell style in this workbook.</w:t>
      </w:r>
    </w:p>
    <w:p>
      <w:pPr>
        <w:pStyle w:val="BodyText"/>
        <w:spacing w:before="6"/>
        <w:rPr>
          <w:sz w:val="19"/>
        </w:rPr>
      </w:pPr>
    </w:p>
    <w:p>
      <w:pPr>
        <w:pStyle w:val="BodyText"/>
        <w:spacing w:line="276" w:lineRule="auto"/>
        <w:ind w:left="220" w:right="503"/>
      </w:pPr>
      <w:r>
        <w:rPr/>
        <w:t>Annex G contains a listing of </w:t>
      </w:r>
      <w:r>
        <w:rPr>
          <w:rFonts w:ascii="Cambria"/>
        </w:rPr>
        <w:t>cellStyle</w:t>
      </w:r>
      <w:r>
        <w:rPr/>
        <w:t>s whose corresponding formatting records are implied rather than explicitly saved in the file. In this case, a </w:t>
      </w:r>
      <w:r>
        <w:rPr>
          <w:rFonts w:ascii="Cambria"/>
        </w:rPr>
        <w:t>builtinId </w:t>
      </w:r>
      <w:r>
        <w:rPr/>
        <w:t>attribute is written on the </w:t>
      </w:r>
      <w:r>
        <w:rPr>
          <w:rFonts w:ascii="Cambria"/>
        </w:rPr>
        <w:t>cellStyle </w:t>
      </w:r>
      <w:r>
        <w:rPr/>
        <w:t>record, but no corresponding formatting records are written.</w:t>
      </w:r>
    </w:p>
    <w:p>
      <w:pPr>
        <w:pStyle w:val="BodyText"/>
        <w:spacing w:before="4"/>
        <w:rPr>
          <w:sz w:val="16"/>
        </w:rPr>
      </w:pPr>
    </w:p>
    <w:p>
      <w:pPr>
        <w:pStyle w:val="BodyText"/>
        <w:spacing w:line="278" w:lineRule="auto"/>
        <w:ind w:left="220" w:right="575"/>
      </w:pPr>
      <w:r>
        <w:rPr/>
        <w:t>For all built-in cell styles, the </w:t>
      </w:r>
      <w:r>
        <w:rPr>
          <w:rFonts w:ascii="Cambria"/>
        </w:rPr>
        <w:t>builtinId </w:t>
      </w:r>
      <w:r>
        <w:rPr/>
        <w:t>determines the style, not the </w:t>
      </w:r>
      <w:r>
        <w:rPr>
          <w:rFonts w:ascii="Cambria"/>
        </w:rPr>
        <w:t>name</w:t>
      </w:r>
      <w:r>
        <w:rPr/>
        <w:t>. For all cell styles, Normal is applied by default.</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03" w:hRule="atLeast"/>
        </w:trPr>
        <w:tc>
          <w:tcPr>
            <w:tcW w:w="2062" w:type="dxa"/>
          </w:tcPr>
          <w:p>
            <w:pPr>
              <w:pStyle w:val="TableParagraph"/>
              <w:ind w:right="339"/>
              <w:rPr>
                <w:sz w:val="22"/>
              </w:rPr>
            </w:pPr>
            <w:r>
              <w:rPr>
                <w:rFonts w:ascii="Cambria"/>
                <w:sz w:val="22"/>
              </w:rPr>
              <w:t>builtinId </w:t>
            </w:r>
            <w:r>
              <w:rPr>
                <w:sz w:val="22"/>
              </w:rPr>
              <w:t>(Built-In Style Id)</w:t>
            </w:r>
          </w:p>
        </w:tc>
        <w:tc>
          <w:tcPr>
            <w:tcW w:w="8250" w:type="dxa"/>
          </w:tcPr>
          <w:p>
            <w:pPr>
              <w:pStyle w:val="TableParagraph"/>
              <w:rPr>
                <w:sz w:val="22"/>
              </w:rPr>
            </w:pPr>
            <w:r>
              <w:rPr>
                <w:sz w:val="22"/>
              </w:rPr>
              <w:t>The index of a built-in cell style.</w:t>
            </w:r>
          </w:p>
          <w:p>
            <w:pPr>
              <w:pStyle w:val="TableParagraph"/>
              <w:spacing w:before="0"/>
              <w:ind w:left="0"/>
              <w:rPr>
                <w:sz w:val="22"/>
              </w:rPr>
            </w:pPr>
          </w:p>
          <w:p>
            <w:pPr>
              <w:pStyle w:val="TableParagraph"/>
              <w:spacing w:before="0"/>
              <w:ind w:right="97"/>
              <w:rPr>
                <w:sz w:val="22"/>
              </w:rPr>
            </w:pPr>
            <w:r>
              <w:rPr>
                <w:sz w:val="22"/>
              </w:rPr>
              <w:t>[</w:t>
            </w:r>
            <w:r>
              <w:rPr>
                <w:i/>
                <w:sz w:val="22"/>
              </w:rPr>
              <w:t>Note</w:t>
            </w:r>
            <w:r>
              <w:rPr>
                <w:sz w:val="22"/>
              </w:rPr>
              <w:t>: To maximize interoperability, implementers should restrict the content of this attribute to enumerations present in the list in Annex G.7. Additional values may be used, but interoperability will only be possible via mutual agreement between implementers. </w:t>
            </w:r>
            <w:r>
              <w:rPr>
                <w:i/>
                <w:sz w:val="22"/>
              </w:rPr>
              <w:t>end note</w:t>
            </w:r>
            <w:r>
              <w:rPr>
                <w:sz w:val="22"/>
              </w:rPr>
              <w:t>]</w:t>
            </w:r>
          </w:p>
          <w:p>
            <w:pPr>
              <w:pStyle w:val="TableParagraph"/>
              <w:spacing w:before="11"/>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Pr>
          <w:p>
            <w:pPr>
              <w:pStyle w:val="TableParagraph"/>
              <w:spacing w:line="256" w:lineRule="exact" w:before="42"/>
              <w:rPr>
                <w:rFonts w:ascii="Cambria"/>
                <w:sz w:val="22"/>
              </w:rPr>
            </w:pPr>
            <w:r>
              <w:rPr>
                <w:rFonts w:ascii="Cambria"/>
                <w:sz w:val="22"/>
              </w:rPr>
              <w:t>customBuiltin</w:t>
            </w:r>
          </w:p>
          <w:p>
            <w:pPr>
              <w:pStyle w:val="TableParagraph"/>
              <w:spacing w:line="267" w:lineRule="exact" w:before="0"/>
              <w:rPr>
                <w:sz w:val="22"/>
              </w:rPr>
            </w:pPr>
            <w:r>
              <w:rPr>
                <w:sz w:val="22"/>
              </w:rPr>
              <w:t>(Custom Built In)</w:t>
            </w:r>
          </w:p>
        </w:tc>
        <w:tc>
          <w:tcPr>
            <w:tcW w:w="8250" w:type="dxa"/>
          </w:tcPr>
          <w:p>
            <w:pPr>
              <w:pStyle w:val="TableParagraph"/>
              <w:rPr>
                <w:sz w:val="22"/>
              </w:rPr>
            </w:pPr>
            <w:r>
              <w:rPr>
                <w:sz w:val="22"/>
              </w:rPr>
              <w:t>True indicates that this built-in cell style has been customized.</w:t>
            </w:r>
          </w:p>
          <w:p>
            <w:pPr>
              <w:pStyle w:val="TableParagraph"/>
              <w:spacing w:before="0"/>
              <w:ind w:left="0"/>
              <w:rPr>
                <w:sz w:val="22"/>
              </w:rPr>
            </w:pPr>
          </w:p>
          <w:p>
            <w:pPr>
              <w:pStyle w:val="TableParagraph"/>
              <w:spacing w:before="0"/>
              <w:ind w:right="188"/>
              <w:rPr>
                <w:sz w:val="22"/>
              </w:rPr>
            </w:pPr>
            <w:r>
              <w:rPr>
                <w:sz w:val="22"/>
              </w:rPr>
              <w:t>By default built-in styles are not persisted when not in use. This flag indicates that a built-in style has been modified, and therefore should be saved with the workbook, even if not currently in use.</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ind w:right="501"/>
              <w:rPr>
                <w:sz w:val="22"/>
              </w:rPr>
            </w:pPr>
            <w:r>
              <w:rPr>
                <w:rFonts w:ascii="Cambria"/>
                <w:sz w:val="22"/>
              </w:rPr>
              <w:t>hidden </w:t>
            </w:r>
            <w:r>
              <w:rPr>
                <w:sz w:val="22"/>
              </w:rPr>
              <w:t>(Hidden Style)</w:t>
            </w:r>
          </w:p>
        </w:tc>
        <w:tc>
          <w:tcPr>
            <w:tcW w:w="8250" w:type="dxa"/>
          </w:tcPr>
          <w:p>
            <w:pPr>
              <w:pStyle w:val="TableParagraph"/>
              <w:rPr>
                <w:sz w:val="22"/>
              </w:rPr>
            </w:pPr>
            <w:r>
              <w:rPr>
                <w:sz w:val="22"/>
              </w:rPr>
              <w:t>If </w:t>
            </w:r>
            <w:r>
              <w:rPr>
                <w:rFonts w:ascii="Consolas"/>
                <w:sz w:val="20"/>
              </w:rPr>
              <w:t>'true'</w:t>
            </w:r>
            <w:r>
              <w:rPr>
                <w:rFonts w:ascii="Consolas"/>
                <w:spacing w:val="-74"/>
                <w:sz w:val="20"/>
              </w:rPr>
              <w:t> </w:t>
            </w:r>
            <w:r>
              <w:rPr>
                <w:sz w:val="22"/>
              </w:rPr>
              <w:t>do not show this style in the application UI.</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89" w:hRule="atLeast"/>
        </w:trPr>
        <w:tc>
          <w:tcPr>
            <w:tcW w:w="2062" w:type="dxa"/>
          </w:tcPr>
          <w:p>
            <w:pPr>
              <w:pStyle w:val="TableParagraph"/>
              <w:ind w:right="576"/>
              <w:rPr>
                <w:sz w:val="22"/>
              </w:rPr>
            </w:pPr>
            <w:r>
              <w:rPr>
                <w:rFonts w:ascii="Cambria"/>
                <w:sz w:val="22"/>
              </w:rPr>
              <w:t>iLevel </w:t>
            </w:r>
            <w:r>
              <w:rPr>
                <w:sz w:val="22"/>
              </w:rPr>
              <w:t>(Outline Style)</w:t>
            </w:r>
          </w:p>
        </w:tc>
        <w:tc>
          <w:tcPr>
            <w:tcW w:w="8250" w:type="dxa"/>
          </w:tcPr>
          <w:p>
            <w:pPr>
              <w:pStyle w:val="TableParagraph"/>
              <w:ind w:right="143"/>
              <w:rPr>
                <w:sz w:val="22"/>
              </w:rPr>
            </w:pPr>
            <w:r>
              <w:rPr>
                <w:sz w:val="22"/>
              </w:rPr>
              <w:t>Indicates that this formatting is for an outline style . When styles are applied to outline levels (using the outline feature), this value is set and the formatting specified on this cell style is applied to the corresponding level of the outline.</w:t>
            </w:r>
          </w:p>
        </w:tc>
      </w:tr>
    </w:tbl>
    <w:p>
      <w:pPr>
        <w:spacing w:after="0"/>
        <w:rPr>
          <w:sz w:val="22"/>
        </w:rPr>
        <w:sectPr>
          <w:footerReference w:type="even" r:id="rId77"/>
          <w:footerReference w:type="default" r:id="rId78"/>
          <w:pgSz w:w="12240" w:h="15840"/>
          <w:pgMar w:footer="746" w:header="761" w:top="1340" w:bottom="940" w:left="860" w:right="700"/>
          <w:pgNumType w:start="176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spacing w:line="237" w:lineRule="auto" w:before="42"/>
              <w:ind w:right="115"/>
              <w:rPr>
                <w:sz w:val="22"/>
              </w:rPr>
            </w:pPr>
            <w:r>
              <w:rPr>
                <w:rFonts w:ascii="Cambria"/>
                <w:sz w:val="22"/>
              </w:rPr>
              <w:t>name </w:t>
            </w:r>
            <w:r>
              <w:rPr>
                <w:sz w:val="22"/>
              </w:rPr>
              <w:t>(User Defined Cell Style)</w:t>
            </w:r>
          </w:p>
        </w:tc>
        <w:tc>
          <w:tcPr>
            <w:tcW w:w="8250" w:type="dxa"/>
          </w:tcPr>
          <w:p>
            <w:pPr>
              <w:pStyle w:val="TableParagraph"/>
              <w:rPr>
                <w:sz w:val="22"/>
              </w:rPr>
            </w:pPr>
            <w:r>
              <w:rPr>
                <w:sz w:val="22"/>
              </w:rPr>
              <w:t>The name of the cell style.</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30" w:hRule="atLeast"/>
        </w:trPr>
        <w:tc>
          <w:tcPr>
            <w:tcW w:w="2062" w:type="dxa"/>
          </w:tcPr>
          <w:p>
            <w:pPr>
              <w:pStyle w:val="TableParagraph"/>
              <w:ind w:left="0" w:right="514"/>
              <w:jc w:val="right"/>
              <w:rPr>
                <w:sz w:val="22"/>
              </w:rPr>
            </w:pPr>
            <w:r>
              <w:rPr>
                <w:rFonts w:ascii="Cambria"/>
                <w:sz w:val="22"/>
              </w:rPr>
              <w:t>xfId </w:t>
            </w:r>
            <w:r>
              <w:rPr>
                <w:sz w:val="22"/>
              </w:rPr>
              <w:t>(Format Id)</w:t>
            </w:r>
          </w:p>
        </w:tc>
        <w:tc>
          <w:tcPr>
            <w:tcW w:w="8250" w:type="dxa"/>
          </w:tcPr>
          <w:p>
            <w:pPr>
              <w:pStyle w:val="TableParagraph"/>
              <w:ind w:right="388"/>
              <w:rPr>
                <w:sz w:val="22"/>
              </w:rPr>
            </w:pPr>
            <w:r>
              <w:rPr>
                <w:sz w:val="22"/>
              </w:rPr>
              <w:t>Zero-based index referencing an </w:t>
            </w:r>
            <w:r>
              <w:rPr>
                <w:rFonts w:ascii="Cambria"/>
                <w:sz w:val="22"/>
              </w:rPr>
              <w:t>xf </w:t>
            </w:r>
            <w:r>
              <w:rPr>
                <w:sz w:val="22"/>
              </w:rPr>
              <w:t>record in the </w:t>
            </w:r>
            <w:r>
              <w:rPr>
                <w:rFonts w:ascii="Cambria"/>
                <w:sz w:val="22"/>
              </w:rPr>
              <w:t>cellStyleXfs </w:t>
            </w:r>
            <w:r>
              <w:rPr>
                <w:sz w:val="22"/>
              </w:rPr>
              <w:t>collection. This is used to determine the formatting defined for this named cell style.</w:t>
            </w:r>
          </w:p>
          <w:p>
            <w:pPr>
              <w:pStyle w:val="TableParagraph"/>
              <w:spacing w:before="0"/>
              <w:ind w:left="0"/>
              <w:rPr>
                <w:sz w:val="22"/>
              </w:rPr>
            </w:pPr>
          </w:p>
          <w:p>
            <w:pPr>
              <w:pStyle w:val="TableParagraph"/>
              <w:spacing w:before="0"/>
              <w:ind w:right="507"/>
              <w:rPr>
                <w:sz w:val="22"/>
              </w:rPr>
            </w:pPr>
            <w:r>
              <w:rPr>
                <w:sz w:val="22"/>
              </w:rPr>
              <w:t>The possible values for this attribute are defined by the </w:t>
            </w:r>
            <w:r>
              <w:rPr>
                <w:rFonts w:ascii="Cambria" w:hAnsi="Cambria"/>
                <w:sz w:val="22"/>
              </w:rPr>
              <w:t>ST_CellStyleXfId </w:t>
            </w:r>
            <w:r>
              <w:rPr>
                <w:sz w:val="22"/>
              </w:rPr>
              <w:t>simple type </w:t>
            </w:r>
            <w:hyperlink w:history="true" w:anchor="_bookmark832">
              <w:r>
                <w:rPr>
                  <w:sz w:val="22"/>
                </w:rPr>
                <w:t>(§18.18.10</w:t>
              </w:r>
            </w:hyperlink>
            <w:r>
              <w:rPr>
                <w:sz w:val="22"/>
              </w:rPr>
              <w:t>).</w:t>
            </w:r>
          </w:p>
        </w:tc>
      </w:tr>
    </w:tbl>
    <w:p>
      <w:pPr>
        <w:pStyle w:val="BodyText"/>
        <w:rPr>
          <w:sz w:val="20"/>
        </w:rPr>
      </w:pPr>
    </w:p>
    <w:p>
      <w:pPr>
        <w:pStyle w:val="BodyText"/>
        <w:spacing w:before="10"/>
        <w:rPr>
          <w:sz w:val="16"/>
        </w:rPr>
      </w:pPr>
    </w:p>
    <w:p>
      <w:pPr>
        <w:pStyle w:val="BodyText"/>
        <w:spacing w:line="276" w:lineRule="auto" w:before="56"/>
        <w:ind w:left="220" w:right="723"/>
      </w:pPr>
      <w:r>
        <w:rPr/>
        <w:t>[</w:t>
      </w:r>
      <w:r>
        <w:rPr>
          <w:i/>
        </w:rPr>
        <w:t>Note</w:t>
      </w:r>
      <w:r>
        <w:rPr/>
        <w:t>: The W3C XML Schema definition of this element’s content model (</w:t>
      </w:r>
      <w:r>
        <w:rPr>
          <w:color w:val="5F5F5F"/>
          <w:u w:val="single" w:color="5F5F5F"/>
        </w:rPr>
        <w:t>CT_CellStyle</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8 cellStyles (Cell Styles)" w:id="578"/>
      <w:bookmarkEnd w:id="578"/>
      <w:r>
        <w:rPr>
          <w:b w:val="0"/>
        </w:rPr>
      </w:r>
      <w:bookmarkStart w:name="_bookmark191" w:id="579"/>
      <w:bookmarkEnd w:id="579"/>
      <w:r>
        <w:rPr>
          <w:b w:val="0"/>
        </w:rPr>
      </w:r>
      <w:bookmarkStart w:name="_bookmark191" w:id="580"/>
      <w:bookmarkEnd w:id="580"/>
      <w:r>
        <w:rPr>
          <w:color w:val="4F81BC"/>
        </w:rPr>
        <w:t>c</w:t>
      </w:r>
      <w:r>
        <w:rPr>
          <w:color w:val="4F81BC"/>
        </w:rPr>
        <w:t>ellStyles (Cell Styles)</w:t>
      </w:r>
    </w:p>
    <w:p>
      <w:pPr>
        <w:pStyle w:val="BodyText"/>
        <w:spacing w:line="276" w:lineRule="auto" w:before="124"/>
        <w:ind w:left="220" w:right="443"/>
      </w:pPr>
      <w:r>
        <w:rPr/>
        <w:t>This element contains the named cell styles, consisting of a sequence of named style records. A named cell style is a collection of direct or themed formatting (e.g., cell border, cell fill, and font type/size/style) grouped together into a single named style, and can be applied to a cell.</w:t>
      </w:r>
    </w:p>
    <w:p>
      <w:pPr>
        <w:pStyle w:val="BodyText"/>
        <w:spacing w:before="4"/>
        <w:rPr>
          <w:sz w:val="16"/>
        </w:rPr>
      </w:pPr>
    </w:p>
    <w:p>
      <w:pPr>
        <w:pStyle w:val="BodyText"/>
        <w:spacing w:line="276" w:lineRule="auto"/>
        <w:ind w:left="220" w:right="569"/>
      </w:pPr>
      <w:r>
        <w:rPr/>
        <w:t>[</w:t>
      </w:r>
      <w:r>
        <w:rPr>
          <w:i/>
        </w:rPr>
        <w:t>Example</w:t>
      </w:r>
      <w:r>
        <w:rPr/>
        <w:t>: For example, "Normal", "Heading 1", "Title", and "20% Accent1" are named cell styles expressed below. They have </w:t>
      </w:r>
      <w:r>
        <w:rPr>
          <w:rFonts w:ascii="Cambria"/>
        </w:rPr>
        <w:t>builtInId's </w:t>
      </w:r>
      <w:r>
        <w:rPr/>
        <w:t>associated with them, and use </w:t>
      </w:r>
      <w:r>
        <w:rPr>
          <w:rFonts w:ascii="Cambria"/>
        </w:rPr>
        <w:t>xfId </w:t>
      </w:r>
      <w:r>
        <w:rPr/>
        <w:t>to reference the specific formatting elements pertaining to the particular style. The </w:t>
      </w:r>
      <w:r>
        <w:rPr>
          <w:rFonts w:ascii="Cambria"/>
        </w:rPr>
        <w:t>xfId </w:t>
      </w:r>
      <w:r>
        <w:rPr/>
        <w:t>is a zero-based index, referencing an </w:t>
      </w:r>
      <w:r>
        <w:rPr>
          <w:rFonts w:ascii="Cambria"/>
        </w:rPr>
        <w:t>xf </w:t>
      </w:r>
      <w:r>
        <w:rPr/>
        <w:t>record in the </w:t>
      </w:r>
      <w:r>
        <w:rPr>
          <w:rFonts w:ascii="Cambria"/>
        </w:rPr>
        <w:t>cellStyleXfs </w:t>
      </w:r>
      <w:r>
        <w:rPr/>
        <w:t>collection.</w:t>
      </w:r>
    </w:p>
    <w:p>
      <w:pPr>
        <w:pStyle w:val="BodyText"/>
        <w:spacing w:before="7"/>
        <w:rPr>
          <w:sz w:val="16"/>
        </w:rPr>
      </w:pPr>
    </w:p>
    <w:p>
      <w:pPr>
        <w:pStyle w:val="BodyText"/>
        <w:ind w:left="508"/>
        <w:rPr>
          <w:rFonts w:ascii="Consolas"/>
        </w:rPr>
      </w:pPr>
      <w:r>
        <w:rPr>
          <w:rFonts w:ascii="Consolas"/>
        </w:rPr>
        <w:t>&lt;cellStyles count="4"&gt;</w:t>
      </w:r>
    </w:p>
    <w:p>
      <w:pPr>
        <w:pStyle w:val="BodyText"/>
        <w:spacing w:before="40"/>
        <w:ind w:left="750"/>
        <w:rPr>
          <w:rFonts w:ascii="Consolas"/>
        </w:rPr>
      </w:pPr>
      <w:r>
        <w:rPr>
          <w:rFonts w:ascii="Consolas"/>
        </w:rPr>
        <w:t>&lt;cellStyle name="20% - Accent1" xfId="3" builtinId="30"/&gt;</w:t>
      </w:r>
    </w:p>
    <w:p>
      <w:pPr>
        <w:pStyle w:val="BodyText"/>
        <w:spacing w:before="38"/>
        <w:ind w:left="750"/>
        <w:rPr>
          <w:rFonts w:ascii="Consolas"/>
        </w:rPr>
      </w:pPr>
      <w:r>
        <w:rPr>
          <w:rFonts w:ascii="Consolas"/>
        </w:rPr>
        <w:t>&lt;cellStyle name="Heading 1" xfId="2" builtinId="16"/&gt;</w:t>
      </w:r>
    </w:p>
    <w:p>
      <w:pPr>
        <w:pStyle w:val="BodyText"/>
        <w:spacing w:before="40"/>
        <w:ind w:left="750"/>
        <w:rPr>
          <w:rFonts w:ascii="Consolas"/>
        </w:rPr>
      </w:pPr>
      <w:r>
        <w:rPr>
          <w:rFonts w:ascii="Consolas"/>
        </w:rPr>
        <w:t>&lt;cellStyle name="Normal" xfId="0"</w:t>
      </w:r>
      <w:r>
        <w:rPr>
          <w:rFonts w:ascii="Consolas"/>
          <w:spacing w:val="-35"/>
        </w:rPr>
        <w:t> </w:t>
      </w:r>
      <w:r>
        <w:rPr>
          <w:rFonts w:ascii="Consolas"/>
        </w:rPr>
        <w:t>builtinId="0"/&gt;</w:t>
      </w:r>
    </w:p>
    <w:p>
      <w:pPr>
        <w:pStyle w:val="BodyText"/>
        <w:spacing w:before="37"/>
        <w:ind w:left="750"/>
        <w:rPr>
          <w:rFonts w:ascii="Consolas"/>
        </w:rPr>
      </w:pPr>
      <w:r>
        <w:rPr>
          <w:rFonts w:ascii="Consolas"/>
        </w:rPr>
        <w:t>&lt;cellStyle name="Title" xfId="1"</w:t>
      </w:r>
      <w:r>
        <w:rPr>
          <w:rFonts w:ascii="Consolas"/>
          <w:spacing w:val="-35"/>
        </w:rPr>
        <w:t> </w:t>
      </w:r>
      <w:r>
        <w:rPr>
          <w:rFonts w:ascii="Consolas"/>
        </w:rPr>
        <w:t>builtinId="15"/&gt;</w:t>
      </w:r>
    </w:p>
    <w:p>
      <w:pPr>
        <w:pStyle w:val="BodyText"/>
        <w:spacing w:before="38"/>
        <w:ind w:left="508"/>
        <w:rPr>
          <w:rFonts w:ascii="Consolas"/>
        </w:rPr>
      </w:pPr>
      <w:r>
        <w:rPr>
          <w:rFonts w:ascii="Consolas"/>
        </w:rPr>
        <w:t>&lt;/cellStyles&gt;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tcBorders>
              <w:left w:val="single" w:sz="4" w:space="0" w:color="000000"/>
              <w:bottom w:val="single" w:sz="4" w:space="0" w:color="000000"/>
              <w:right w:val="single" w:sz="4" w:space="0" w:color="000000"/>
            </w:tcBorders>
            <w:shd w:val="clear" w:color="auto" w:fill="C0C0C0"/>
          </w:tcPr>
          <w:p>
            <w:pPr>
              <w:pStyle w:val="TableParagraph"/>
              <w:spacing w:before="37"/>
              <w:ind w:left="96" w:right="84"/>
              <w:jc w:val="center"/>
              <w:rPr>
                <w:b/>
                <w:sz w:val="22"/>
              </w:rPr>
            </w:pPr>
            <w:r>
              <w:rPr>
                <w:b/>
                <w:sz w:val="22"/>
              </w:rPr>
              <w:t>Attributes</w:t>
            </w:r>
          </w:p>
        </w:tc>
        <w:tc>
          <w:tcPr>
            <w:tcW w:w="8250" w:type="dxa"/>
            <w:tcBorders>
              <w:left w:val="single" w:sz="4" w:space="0" w:color="000000"/>
              <w:bottom w:val="single" w:sz="4" w:space="0" w:color="000000"/>
              <w:right w:val="single" w:sz="4" w:space="0" w:color="000000"/>
            </w:tcBorders>
            <w:shd w:val="clear" w:color="auto" w:fill="C0C0C0"/>
          </w:tcPr>
          <w:p>
            <w:pPr>
              <w:pStyle w:val="TableParagraph"/>
              <w:spacing w:before="37"/>
              <w:ind w:left="98" w:right="91"/>
              <w:jc w:val="center"/>
              <w:rPr>
                <w:b/>
                <w:sz w:val="22"/>
              </w:rPr>
            </w:pPr>
            <w:r>
              <w:rPr>
                <w:b/>
                <w:sz w:val="22"/>
              </w:rPr>
              <w:t>Description</w:t>
            </w:r>
          </w:p>
        </w:tc>
      </w:tr>
      <w:tr>
        <w:trPr>
          <w:trHeight w:val="1161" w:hRule="atLeast"/>
        </w:trPr>
        <w:tc>
          <w:tcPr>
            <w:tcW w:w="2062" w:type="dxa"/>
            <w:tcBorders>
              <w:top w:val="single" w:sz="4" w:space="0" w:color="000000"/>
              <w:left w:val="single" w:sz="4" w:space="0" w:color="000000"/>
              <w:bottom w:val="single" w:sz="4" w:space="0" w:color="000000"/>
              <w:right w:val="single" w:sz="4" w:space="0" w:color="000000"/>
            </w:tcBorders>
          </w:tcPr>
          <w:p>
            <w:pPr>
              <w:pStyle w:val="TableParagraph"/>
              <w:ind w:left="50" w:right="129"/>
              <w:jc w:val="center"/>
              <w:rPr>
                <w:sz w:val="22"/>
              </w:rPr>
            </w:pPr>
            <w:r>
              <w:rPr>
                <w:rFonts w:ascii="Cambria"/>
                <w:sz w:val="22"/>
              </w:rPr>
              <w:t>count </w:t>
            </w:r>
            <w:r>
              <w:rPr>
                <w:sz w:val="22"/>
              </w:rPr>
              <w:t>(Style Count)</w:t>
            </w:r>
          </w:p>
        </w:tc>
        <w:tc>
          <w:tcPr>
            <w:tcW w:w="8250" w:type="dxa"/>
            <w:tcBorders>
              <w:top w:val="single" w:sz="4" w:space="0" w:color="000000"/>
              <w:left w:val="single" w:sz="4" w:space="0" w:color="000000"/>
              <w:bottom w:val="single" w:sz="4" w:space="0" w:color="000000"/>
              <w:right w:val="single" w:sz="4" w:space="0" w:color="000000"/>
            </w:tcBorders>
          </w:tcPr>
          <w:p>
            <w:pPr>
              <w:pStyle w:val="TableParagraph"/>
              <w:rPr>
                <w:sz w:val="22"/>
              </w:rPr>
            </w:pPr>
            <w:r>
              <w:rPr>
                <w:sz w:val="22"/>
              </w:rPr>
              <w:t>Count of style elements.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line="278" w:lineRule="auto" w:before="90"/>
        <w:ind w:left="220" w:right="637"/>
      </w:pPr>
      <w:r>
        <w:rPr/>
        <w:t>[</w:t>
      </w:r>
      <w:r>
        <w:rPr>
          <w:i/>
        </w:rPr>
        <w:t>Note</w:t>
      </w:r>
      <w:r>
        <w:rPr/>
        <w:t>: The W3C XML Schema definition of this element’s content model (</w:t>
      </w:r>
      <w:r>
        <w:rPr>
          <w:color w:val="5F5F5F"/>
          <w:u w:val="single" w:color="5F5F5F"/>
        </w:rPr>
        <w:t>CT_CellStyles</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9 cellStyleXfs (Formatting Records)" w:id="581"/>
      <w:bookmarkEnd w:id="581"/>
      <w:r>
        <w:rPr>
          <w:b w:val="0"/>
        </w:rPr>
      </w:r>
      <w:bookmarkStart w:name="_bookmark192" w:id="582"/>
      <w:bookmarkEnd w:id="582"/>
      <w:r>
        <w:rPr>
          <w:b w:val="0"/>
        </w:rPr>
      </w:r>
      <w:bookmarkStart w:name="_bookmark192" w:id="583"/>
      <w:bookmarkEnd w:id="583"/>
      <w:r>
        <w:rPr>
          <w:color w:val="4F81BC"/>
        </w:rPr>
        <w:t>c</w:t>
      </w:r>
      <w:r>
        <w:rPr>
          <w:color w:val="4F81BC"/>
        </w:rPr>
        <w:t>ellStyleXfs (Formatting</w:t>
      </w:r>
      <w:r>
        <w:rPr>
          <w:color w:val="4F81BC"/>
          <w:spacing w:val="2"/>
        </w:rPr>
        <w:t> </w:t>
      </w:r>
      <w:r>
        <w:rPr>
          <w:color w:val="4F81BC"/>
        </w:rPr>
        <w:t>Records)</w:t>
      </w:r>
    </w:p>
    <w:p>
      <w:pPr>
        <w:pStyle w:val="BodyText"/>
        <w:spacing w:line="276" w:lineRule="auto" w:before="121"/>
        <w:ind w:left="220" w:right="433"/>
        <w:jc w:val="both"/>
      </w:pPr>
      <w:r>
        <w:rPr/>
        <w:t>This element contains the master formatting records (</w:t>
      </w:r>
      <w:r>
        <w:rPr>
          <w:rFonts w:ascii="Cambria"/>
        </w:rPr>
        <w:t>xf's</w:t>
      </w:r>
      <w:r>
        <w:rPr/>
        <w:t>) which define the formatting for all named cell styles in this workbook. Master formatting records reference individual elements of formatting (e.g., number format, font definitions, cell fills, etc) by specifying a zero-based index into those collections. Master formatting records also specify whether to apply or ignore particular aspects of formatting. [</w:t>
      </w:r>
      <w:r>
        <w:rPr>
          <w:i/>
        </w:rPr>
        <w:t>Example</w:t>
      </w:r>
      <w:r>
        <w:rPr/>
        <w:t>: Whether to apply a border or not. </w:t>
      </w:r>
      <w:r>
        <w:rPr>
          <w:i/>
        </w:rPr>
        <w:t>end example</w:t>
      </w:r>
      <w:r>
        <w:rPr/>
        <w:t>]</w:t>
      </w:r>
    </w:p>
    <w:p>
      <w:pPr>
        <w:pStyle w:val="BodyText"/>
        <w:spacing w:before="6"/>
        <w:rPr>
          <w:sz w:val="16"/>
        </w:rPr>
      </w:pPr>
    </w:p>
    <w:p>
      <w:pPr>
        <w:pStyle w:val="BodyText"/>
        <w:spacing w:line="278" w:lineRule="auto"/>
        <w:ind w:left="220" w:right="392"/>
        <w:jc w:val="both"/>
      </w:pPr>
      <w:r>
        <w:rPr/>
        <w:t>A cell can have both direct formatting (e.g., bold) and a cell style (e.g., Explanatory) applied to it. Therefore, both the cell style </w:t>
      </w:r>
      <w:r>
        <w:rPr>
          <w:rFonts w:ascii="Cambria"/>
        </w:rPr>
        <w:t>xf </w:t>
      </w:r>
      <w:r>
        <w:rPr/>
        <w:t>records and cell </w:t>
      </w:r>
      <w:r>
        <w:rPr>
          <w:rFonts w:ascii="Cambria"/>
        </w:rPr>
        <w:t>xf </w:t>
      </w:r>
      <w:r>
        <w:rPr/>
        <w:t>records shall be read to understand the full set of formatting applied to a cell.</w:t>
      </w:r>
    </w:p>
    <w:p>
      <w:pPr>
        <w:pStyle w:val="BodyText"/>
        <w:spacing w:line="276" w:lineRule="auto" w:before="196"/>
        <w:ind w:left="220" w:right="530"/>
      </w:pPr>
      <w:r>
        <w:rPr/>
        <w:t>[</w:t>
      </w:r>
      <w:r>
        <w:rPr>
          <w:i/>
        </w:rPr>
        <w:t>Example</w:t>
      </w:r>
      <w:r>
        <w:rPr/>
        <w:t>: This example shows 4 master formatting records, each defining formatting for a named cell style (expressed in the </w:t>
      </w:r>
      <w:r>
        <w:rPr>
          <w:rFonts w:ascii="Cambria"/>
        </w:rPr>
        <w:t>cellStyles </w:t>
      </w:r>
      <w:r>
        <w:rPr/>
        <w:t>collection). Note that 0th record does not express any "apply" attributes, while the other records do express "apply" attribute values. For example, the last record specifies that number format, alignment, and protection formatting will not be applied to the cell, even when that information is specified in related formatting records.</w:t>
      </w:r>
    </w:p>
    <w:p>
      <w:pPr>
        <w:pStyle w:val="BodyText"/>
        <w:spacing w:before="5"/>
        <w:rPr>
          <w:sz w:val="16"/>
        </w:rPr>
      </w:pPr>
    </w:p>
    <w:p>
      <w:pPr>
        <w:pStyle w:val="BodyText"/>
        <w:ind w:left="508"/>
        <w:rPr>
          <w:rFonts w:ascii="Consolas"/>
        </w:rPr>
      </w:pPr>
      <w:r>
        <w:rPr>
          <w:rFonts w:ascii="Consolas"/>
        </w:rPr>
        <w:t>&lt;cellStyleXfs count="4"&gt;</w:t>
      </w:r>
    </w:p>
    <w:p>
      <w:pPr>
        <w:pStyle w:val="BodyText"/>
        <w:spacing w:before="40"/>
        <w:ind w:left="750"/>
        <w:rPr>
          <w:rFonts w:ascii="Consolas"/>
        </w:rPr>
      </w:pPr>
      <w:r>
        <w:rPr>
          <w:rFonts w:ascii="Consolas"/>
        </w:rPr>
        <w:t>&lt;xf numFmtId="0" fontId="0" fillId="0" borderId="0"/&gt;</w:t>
      </w:r>
    </w:p>
    <w:p>
      <w:pPr>
        <w:pStyle w:val="BodyText"/>
        <w:spacing w:line="278" w:lineRule="auto" w:before="37"/>
        <w:ind w:left="993" w:hanging="243"/>
        <w:rPr>
          <w:rFonts w:ascii="Consolas"/>
        </w:rPr>
      </w:pPr>
      <w:r>
        <w:rPr>
          <w:rFonts w:ascii="Consolas"/>
        </w:rPr>
        <w:t>&lt;xf numFmtId="0" fontId="2" fillId="0" borderId="0" applyNumberFormat="0" applyFill="0" applyBorder="0" applyAlignment="0" applyProtection="0"/&gt;</w:t>
      </w:r>
    </w:p>
    <w:p>
      <w:pPr>
        <w:pStyle w:val="BodyText"/>
        <w:spacing w:line="276" w:lineRule="auto"/>
        <w:ind w:left="993" w:hanging="243"/>
        <w:rPr>
          <w:rFonts w:ascii="Consolas"/>
        </w:rPr>
      </w:pPr>
      <w:r>
        <w:rPr>
          <w:rFonts w:ascii="Consolas"/>
        </w:rPr>
        <w:t>&lt;xf numFmtId="0" fontId="3" fillId="0" borderId="1" applyNumberFormat="0" applyFill="0" applyAlignment="0" applyProtection="0"/&gt;</w:t>
      </w:r>
    </w:p>
    <w:p>
      <w:pPr>
        <w:pStyle w:val="BodyText"/>
        <w:spacing w:line="276" w:lineRule="auto"/>
        <w:ind w:left="993" w:right="1080" w:hanging="243"/>
        <w:rPr>
          <w:rFonts w:ascii="Consolas"/>
        </w:rPr>
      </w:pPr>
      <w:r>
        <w:rPr>
          <w:rFonts w:ascii="Consolas"/>
        </w:rPr>
        <w:t>&lt;xf numFmtId="0" fontId="4" fillId="2" borderId="2" applyNumberFormat="0" applyAlignment="0" applyProtection="0"/&gt;</w:t>
      </w:r>
    </w:p>
    <w:p>
      <w:pPr>
        <w:pStyle w:val="BodyText"/>
        <w:ind w:left="508"/>
        <w:rPr>
          <w:rFonts w:ascii="Consolas"/>
        </w:rPr>
      </w:pPr>
      <w:r>
        <w:rPr>
          <w:rFonts w:ascii="Consolas"/>
        </w:rPr>
        <w:t>&lt;/cellStyleXfs&gt;</w:t>
      </w:r>
    </w:p>
    <w:p>
      <w:pPr>
        <w:pStyle w:val="BodyText"/>
        <w:spacing w:before="11"/>
        <w:rPr>
          <w:rFonts w:ascii="Consolas"/>
          <w:sz w:val="19"/>
        </w:rPr>
      </w:pPr>
    </w:p>
    <w:p>
      <w:pPr>
        <w:spacing w:before="0"/>
        <w:ind w:left="220" w:right="0" w:firstLine="0"/>
        <w:jc w:val="both"/>
        <w:rPr>
          <w:sz w:val="22"/>
        </w:rPr>
      </w:pPr>
      <w:r>
        <w:rPr>
          <w:i/>
          <w:sz w:val="22"/>
        </w:rPr>
        <w:t>end example</w:t>
      </w:r>
      <w:r>
        <w:rPr>
          <w:sz w:val="22"/>
        </w:rPr>
        <w:t>]</w:t>
      </w:r>
    </w:p>
    <w:p>
      <w:pPr>
        <w:pStyle w:val="BodyText"/>
        <w:spacing w:before="11"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50" w:right="129"/>
              <w:jc w:val="center"/>
              <w:rPr>
                <w:sz w:val="22"/>
              </w:rPr>
            </w:pPr>
            <w:r>
              <w:rPr>
                <w:rFonts w:ascii="Cambria"/>
                <w:sz w:val="22"/>
              </w:rPr>
              <w:t>count </w:t>
            </w:r>
            <w:r>
              <w:rPr>
                <w:sz w:val="22"/>
              </w:rPr>
              <w:t>(Style Count)</w:t>
            </w:r>
          </w:p>
        </w:tc>
        <w:tc>
          <w:tcPr>
            <w:tcW w:w="8250" w:type="dxa"/>
          </w:tcPr>
          <w:p>
            <w:pPr>
              <w:pStyle w:val="TableParagraph"/>
              <w:rPr>
                <w:sz w:val="22"/>
              </w:rPr>
            </w:pPr>
            <w:r>
              <w:rPr>
                <w:sz w:val="22"/>
              </w:rPr>
              <w:t>Count of cell style (</w:t>
            </w:r>
            <w:r>
              <w:rPr>
                <w:rFonts w:ascii="Cambria"/>
                <w:sz w:val="22"/>
              </w:rPr>
              <w:t>xf) </w:t>
            </w:r>
            <w:r>
              <w:rPr>
                <w:sz w:val="22"/>
              </w:rPr>
              <w:t>elements.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before="1"/>
        <w:ind w:left="220" w:right="470"/>
        <w:jc w:val="both"/>
      </w:pPr>
      <w:r>
        <w:rPr/>
        <w:t>[</w:t>
      </w:r>
      <w:r>
        <w:rPr>
          <w:i/>
        </w:rPr>
        <w:t>Note</w:t>
      </w:r>
      <w:r>
        <w:rPr/>
        <w:t>: The W3C XML Schema definition of this element’s content model (</w:t>
      </w:r>
      <w:r>
        <w:rPr>
          <w:color w:val="5F5F5F"/>
          <w:u w:val="single" w:color="5F5F5F"/>
        </w:rPr>
        <w:t>CT_CellStyleXfs</w:t>
      </w:r>
      <w:r>
        <w:rPr/>
        <w:t>) is located in §A.2. </w:t>
      </w:r>
      <w:r>
        <w:rPr>
          <w:i/>
        </w:rPr>
        <w:t>end </w:t>
      </w:r>
      <w:r>
        <w:rPr>
          <w:i/>
        </w:rPr>
        <w:t>note</w:t>
      </w:r>
      <w:r>
        <w:rPr/>
        <w:t>]</w:t>
      </w:r>
    </w:p>
    <w:p>
      <w:pPr>
        <w:spacing w:after="0" w:line="278" w:lineRule="auto"/>
        <w:jc w:val="both"/>
        <w:sectPr>
          <w:pgSz w:w="12240" w:h="15840"/>
          <w:pgMar w:header="761" w:footer="746" w:top="1340" w:bottom="940" w:left="860" w:right="70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8.10 cellXfs (Cell Formats)" w:id="584"/>
      <w:bookmarkEnd w:id="584"/>
      <w:r>
        <w:rPr>
          <w:b w:val="0"/>
        </w:rPr>
      </w:r>
      <w:bookmarkStart w:name="_bookmark193" w:id="585"/>
      <w:bookmarkEnd w:id="585"/>
      <w:r>
        <w:rPr>
          <w:b w:val="0"/>
        </w:rPr>
      </w:r>
      <w:bookmarkStart w:name="_bookmark193" w:id="586"/>
      <w:bookmarkEnd w:id="586"/>
      <w:r>
        <w:rPr>
          <w:color w:val="4F81BC"/>
        </w:rPr>
        <w:t>c</w:t>
      </w:r>
      <w:r>
        <w:rPr>
          <w:color w:val="4F81BC"/>
        </w:rPr>
        <w:t>ellXfs (Cell</w:t>
      </w:r>
      <w:r>
        <w:rPr>
          <w:color w:val="4F81BC"/>
          <w:spacing w:val="-1"/>
        </w:rPr>
        <w:t> </w:t>
      </w:r>
      <w:r>
        <w:rPr>
          <w:color w:val="4F81BC"/>
        </w:rPr>
        <w:t>Formats)</w:t>
      </w:r>
    </w:p>
    <w:p>
      <w:pPr>
        <w:pStyle w:val="BodyText"/>
        <w:spacing w:line="278" w:lineRule="auto" w:before="122"/>
        <w:ind w:left="220" w:right="549"/>
      </w:pPr>
      <w:r>
        <w:rPr/>
        <w:t>This element contains the master formatting records (</w:t>
      </w:r>
      <w:r>
        <w:rPr>
          <w:rFonts w:ascii="Cambria"/>
        </w:rPr>
        <w:t>xf</w:t>
      </w:r>
      <w:r>
        <w:rPr/>
        <w:t>) which define the formatting applied to cells in this workbook. These records are the starting point for determining the formatting for a cell. Cells in the Sheet Part reference the </w:t>
      </w:r>
      <w:r>
        <w:rPr>
          <w:rFonts w:ascii="Cambria"/>
        </w:rPr>
        <w:t>xf </w:t>
      </w:r>
      <w:r>
        <w:rPr/>
        <w:t>records by zero-based index.</w:t>
      </w:r>
    </w:p>
    <w:p>
      <w:pPr>
        <w:pStyle w:val="BodyText"/>
        <w:spacing w:line="276" w:lineRule="auto" w:before="193"/>
        <w:ind w:left="220" w:right="378"/>
      </w:pPr>
      <w:r>
        <w:rPr/>
        <w:t>A cell can have both direct formatting (e.g., bold) and a cell style (e.g., Explanatory) applied to it. Therefore, both the cell style </w:t>
      </w:r>
      <w:r>
        <w:rPr>
          <w:rFonts w:ascii="Cambria"/>
        </w:rPr>
        <w:t>xf </w:t>
      </w:r>
      <w:r>
        <w:rPr/>
        <w:t>records and cell </w:t>
      </w:r>
      <w:r>
        <w:rPr>
          <w:rFonts w:ascii="Cambria"/>
        </w:rPr>
        <w:t>xf </w:t>
      </w:r>
      <w:r>
        <w:rPr/>
        <w:t>records shall be read to understand the full set of formatting applied to a cell.</w:t>
      </w:r>
    </w:p>
    <w:p>
      <w:pPr>
        <w:pStyle w:val="BodyText"/>
        <w:spacing w:before="6"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620"/>
              <w:rPr>
                <w:sz w:val="22"/>
              </w:rPr>
            </w:pPr>
            <w:r>
              <w:rPr>
                <w:rFonts w:ascii="Cambria"/>
                <w:sz w:val="22"/>
              </w:rPr>
              <w:t>count </w:t>
            </w:r>
            <w:r>
              <w:rPr>
                <w:sz w:val="22"/>
              </w:rPr>
              <w:t>(Format Count)</w:t>
            </w:r>
          </w:p>
        </w:tc>
        <w:tc>
          <w:tcPr>
            <w:tcW w:w="8250" w:type="dxa"/>
          </w:tcPr>
          <w:p>
            <w:pPr>
              <w:pStyle w:val="TableParagraph"/>
              <w:rPr>
                <w:sz w:val="22"/>
              </w:rPr>
            </w:pPr>
            <w:r>
              <w:rPr>
                <w:sz w:val="22"/>
              </w:rPr>
              <w:t>Count of </w:t>
            </w:r>
            <w:r>
              <w:rPr>
                <w:rFonts w:ascii="Cambria"/>
                <w:sz w:val="22"/>
              </w:rPr>
              <w:t>xf </w:t>
            </w:r>
            <w:r>
              <w:rPr>
                <w:sz w:val="22"/>
              </w:rPr>
              <w:t>elements.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rPr>
          <w:sz w:val="26"/>
        </w:rPr>
      </w:pPr>
    </w:p>
    <w:p>
      <w:pPr>
        <w:pStyle w:val="BodyText"/>
        <w:spacing w:before="190"/>
        <w:ind w:left="220"/>
      </w:pPr>
      <w:r>
        <w:rPr/>
        <w:t>[</w:t>
      </w:r>
      <w:r>
        <w:rPr>
          <w:i/>
        </w:rPr>
        <w:t>Note</w:t>
      </w:r>
      <w:r>
        <w:rPr/>
        <w:t>: The W3C XML Schema definition of this element’s content model (</w:t>
      </w:r>
      <w:r>
        <w:rPr>
          <w:color w:val="5F5F5F"/>
          <w:u w:val="single" w:color="5F5F5F"/>
        </w:rPr>
        <w:t>CT_CellXfs</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11 colors (Colors)" w:id="587"/>
      <w:bookmarkEnd w:id="587"/>
      <w:r>
        <w:rPr>
          <w:b w:val="0"/>
        </w:rPr>
      </w:r>
      <w:bookmarkStart w:name="_bookmark194" w:id="588"/>
      <w:bookmarkEnd w:id="588"/>
      <w:r>
        <w:rPr>
          <w:b w:val="0"/>
        </w:rPr>
      </w:r>
      <w:bookmarkStart w:name="_bookmark194" w:id="589"/>
      <w:bookmarkEnd w:id="589"/>
      <w:r>
        <w:rPr>
          <w:color w:val="4F81BC"/>
        </w:rPr>
        <w:t>c</w:t>
      </w:r>
      <w:r>
        <w:rPr>
          <w:color w:val="4F81BC"/>
        </w:rPr>
        <w:t>olors</w:t>
      </w:r>
      <w:r>
        <w:rPr>
          <w:color w:val="4F81BC"/>
          <w:spacing w:val="1"/>
        </w:rPr>
        <w:t> </w:t>
      </w:r>
      <w:r>
        <w:rPr>
          <w:color w:val="4F81BC"/>
        </w:rPr>
        <w:t>(Colors)</w:t>
      </w:r>
    </w:p>
    <w:p>
      <w:pPr>
        <w:pStyle w:val="BodyText"/>
        <w:spacing w:line="278" w:lineRule="auto" w:before="121"/>
        <w:ind w:left="220" w:right="707"/>
      </w:pPr>
      <w:r>
        <w:rPr/>
        <w:t>Color information associated with this stylesheet. This collection is written whenever the legacy color palette has been modified (backwards compatibility settings) or a custom color has been selected while using this workbook.</w:t>
      </w:r>
    </w:p>
    <w:p>
      <w:pPr>
        <w:pStyle w:val="BodyText"/>
        <w:spacing w:line="278" w:lineRule="auto" w:before="194"/>
        <w:ind w:left="220" w:right="849"/>
      </w:pPr>
      <w:r>
        <w:rPr/>
        <w:t>When the color palette is modified, the </w:t>
      </w:r>
      <w:r>
        <w:rPr>
          <w:rFonts w:ascii="Cambria"/>
        </w:rPr>
        <w:t>indexedColors </w:t>
      </w:r>
      <w:r>
        <w:rPr/>
        <w:t>collection is written. When a custom color has been selected, the </w:t>
      </w:r>
      <w:r>
        <w:rPr>
          <w:rFonts w:ascii="Cambria"/>
        </w:rPr>
        <w:t>mruColors </w:t>
      </w:r>
      <w:r>
        <w:rPr/>
        <w:t>collection is written.</w:t>
      </w:r>
    </w:p>
    <w:p>
      <w:pPr>
        <w:pStyle w:val="BodyText"/>
        <w:spacing w:before="198"/>
        <w:ind w:left="220"/>
      </w:pPr>
      <w:r>
        <w:rPr/>
        <w:t>[</w:t>
      </w:r>
      <w:r>
        <w:rPr>
          <w:i/>
        </w:rPr>
        <w:t>Note</w:t>
      </w:r>
      <w:r>
        <w:rPr/>
        <w:t>: The W3C XML Schema definition of this element’s content model (</w:t>
      </w:r>
      <w:r>
        <w:rPr>
          <w:color w:val="5F5F5F"/>
          <w:u w:val="single" w:color="5F5F5F"/>
        </w:rPr>
        <w:t>CT_Colors</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12 condense (Condense)" w:id="590"/>
      <w:bookmarkEnd w:id="590"/>
      <w:r>
        <w:rPr>
          <w:b w:val="0"/>
        </w:rPr>
      </w:r>
      <w:bookmarkStart w:name="_bookmark195" w:id="591"/>
      <w:bookmarkEnd w:id="591"/>
      <w:r>
        <w:rPr>
          <w:b w:val="0"/>
        </w:rPr>
      </w:r>
      <w:bookmarkStart w:name="_bookmark195" w:id="592"/>
      <w:bookmarkEnd w:id="592"/>
      <w:r>
        <w:rPr>
          <w:color w:val="4F81BC"/>
        </w:rPr>
        <w:t>c</w:t>
      </w:r>
      <w:r>
        <w:rPr>
          <w:color w:val="4F81BC"/>
        </w:rPr>
        <w:t>ondense</w:t>
      </w:r>
      <w:r>
        <w:rPr>
          <w:color w:val="4F81BC"/>
          <w:spacing w:val="-1"/>
        </w:rPr>
        <w:t> </w:t>
      </w:r>
      <w:r>
        <w:rPr>
          <w:color w:val="4F81BC"/>
        </w:rPr>
        <w:t>(Condense)</w:t>
      </w:r>
    </w:p>
    <w:p>
      <w:pPr>
        <w:pStyle w:val="BodyText"/>
        <w:spacing w:line="276" w:lineRule="auto" w:before="121"/>
        <w:ind w:left="220" w:right="659"/>
      </w:pPr>
      <w:r>
        <w:rPr/>
        <w:t>Macintosh compatibility setting. Represents special word/character rendering on Macintosh, when this flag is set. The effect is to condense the text (squeeze it together). SpreadsheetML applications are not required to render according to this flag.</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9"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480" w:lineRule="auto"/>
              <w:ind w:right="1778"/>
              <w:rPr>
                <w:sz w:val="22"/>
              </w:rPr>
            </w:pPr>
            <w:r>
              <w:rPr>
                <w:sz w:val="22"/>
              </w:rPr>
              <w:t>A boolean value for the property specified by the parent XML element. If omitted, the default value is </w:t>
            </w:r>
            <w:r>
              <w:rPr>
                <w:rFonts w:ascii="Consolas"/>
                <w:sz w:val="20"/>
              </w:rPr>
              <w:t>true</w:t>
            </w:r>
            <w:r>
              <w:rPr>
                <w:sz w:val="22"/>
              </w:rPr>
              <w:t>.</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CT_BooleanProperty</w:t>
      </w:r>
      <w:r>
        <w:rPr/>
        <w:t>) is located in</w:t>
      </w:r>
    </w:p>
    <w:p>
      <w:pPr>
        <w:spacing w:before="41"/>
        <w:ind w:left="220" w:right="0" w:firstLine="0"/>
        <w:jc w:val="left"/>
        <w:rPr>
          <w:sz w:val="22"/>
        </w:rPr>
      </w:pPr>
      <w:r>
        <w:rPr>
          <w:sz w:val="22"/>
        </w:rPr>
        <w:t>§A.2. </w:t>
      </w: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2"/>
        <w:numPr>
          <w:ilvl w:val="2"/>
          <w:numId w:val="17"/>
        </w:numPr>
        <w:tabs>
          <w:tab w:pos="1444" w:val="left" w:leader="none"/>
          <w:tab w:pos="1445" w:val="left" w:leader="none"/>
        </w:tabs>
        <w:spacing w:line="240" w:lineRule="auto" w:before="93" w:after="0"/>
        <w:ind w:left="1444" w:right="0" w:hanging="1225"/>
        <w:jc w:val="left"/>
      </w:pPr>
      <w:bookmarkStart w:name="18.8.13 diagonal (Diagonal)" w:id="593"/>
      <w:bookmarkEnd w:id="593"/>
      <w:r>
        <w:rPr>
          <w:b w:val="0"/>
        </w:rPr>
      </w:r>
      <w:bookmarkStart w:name="_bookmark196" w:id="594"/>
      <w:bookmarkEnd w:id="594"/>
      <w:r>
        <w:rPr>
          <w:b w:val="0"/>
        </w:rPr>
      </w:r>
      <w:bookmarkStart w:name="_bookmark196" w:id="595"/>
      <w:bookmarkEnd w:id="595"/>
      <w:r>
        <w:rPr>
          <w:color w:val="4F81BC"/>
        </w:rPr>
        <w:t>d</w:t>
      </w:r>
      <w:r>
        <w:rPr>
          <w:color w:val="4F81BC"/>
        </w:rPr>
        <w:t>iagonal</w:t>
      </w:r>
      <w:r>
        <w:rPr>
          <w:color w:val="4F81BC"/>
          <w:spacing w:val="-1"/>
        </w:rPr>
        <w:t> </w:t>
      </w:r>
      <w:r>
        <w:rPr>
          <w:color w:val="4F81BC"/>
        </w:rPr>
        <w:t>(Diagonal)</w:t>
      </w:r>
    </w:p>
    <w:p>
      <w:pPr>
        <w:pStyle w:val="BodyText"/>
        <w:spacing w:line="278" w:lineRule="auto" w:before="122"/>
        <w:ind w:left="220" w:right="369"/>
      </w:pPr>
      <w:r>
        <w:rPr/>
        <w:t>This element specifies the color and line style for the diagonal border(s) of a cell, possibly including diagonally up and diagonally down. The line style for diagonal up and diagonal down lines shall be the same.</w:t>
      </w:r>
    </w:p>
    <w:p>
      <w:pPr>
        <w:pStyle w:val="BodyText"/>
        <w:spacing w:before="3"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style </w:t>
            </w:r>
            <w:r>
              <w:rPr>
                <w:sz w:val="22"/>
              </w:rPr>
              <w:t>(Line Style)</w:t>
            </w:r>
          </w:p>
        </w:tc>
        <w:tc>
          <w:tcPr>
            <w:tcW w:w="8250" w:type="dxa"/>
          </w:tcPr>
          <w:p>
            <w:pPr>
              <w:pStyle w:val="TableParagraph"/>
              <w:rPr>
                <w:sz w:val="22"/>
              </w:rPr>
            </w:pPr>
            <w:r>
              <w:rPr>
                <w:sz w:val="22"/>
              </w:rPr>
              <w:t>The line style for this border.</w:t>
            </w:r>
          </w:p>
          <w:p>
            <w:pPr>
              <w:pStyle w:val="TableParagraph"/>
              <w:spacing w:before="0"/>
              <w:ind w:left="0"/>
              <w:rPr>
                <w:sz w:val="22"/>
              </w:rPr>
            </w:pPr>
          </w:p>
          <w:p>
            <w:pPr>
              <w:pStyle w:val="TableParagraph"/>
              <w:spacing w:before="0"/>
              <w:ind w:right="581"/>
              <w:rPr>
                <w:sz w:val="22"/>
              </w:rPr>
            </w:pPr>
            <w:r>
              <w:rPr>
                <w:sz w:val="22"/>
              </w:rPr>
              <w:t>The possible values for this attribute are defined by the </w:t>
            </w:r>
            <w:r>
              <w:rPr>
                <w:rFonts w:ascii="Cambria" w:hAnsi="Cambria"/>
                <w:sz w:val="22"/>
              </w:rPr>
              <w:t>ST_BorderStyle </w:t>
            </w:r>
            <w:r>
              <w:rPr>
                <w:sz w:val="22"/>
              </w:rPr>
              <w:t>simple type </w:t>
            </w:r>
            <w:hyperlink w:history="true" w:anchor="_bookmark825">
              <w:r>
                <w:rPr>
                  <w:sz w:val="22"/>
                </w:rPr>
                <w:t>(§18.18.3</w:t>
              </w:r>
            </w:hyperlink>
            <w:r>
              <w:rPr>
                <w:sz w:val="22"/>
              </w:rPr>
              <w:t>).</w:t>
            </w:r>
          </w:p>
        </w:tc>
      </w:tr>
    </w:tbl>
    <w:p>
      <w:pPr>
        <w:pStyle w:val="BodyText"/>
      </w:pPr>
    </w:p>
    <w:p>
      <w:pPr>
        <w:pStyle w:val="BodyText"/>
        <w:spacing w:before="5"/>
        <w:rPr>
          <w:sz w:val="19"/>
        </w:rPr>
      </w:pPr>
    </w:p>
    <w:p>
      <w:pPr>
        <w:pStyle w:val="BodyText"/>
        <w:spacing w:line="278" w:lineRule="auto"/>
        <w:ind w:left="220" w:right="680"/>
      </w:pPr>
      <w:r>
        <w:rPr/>
        <w:t>[</w:t>
      </w:r>
      <w:r>
        <w:rPr>
          <w:i/>
        </w:rPr>
        <w:t>Note</w:t>
      </w:r>
      <w:r>
        <w:rPr/>
        <w:t>: The W3C XML Schema definition of this element’s content model (</w:t>
      </w:r>
      <w:r>
        <w:rPr>
          <w:color w:val="5F5F5F"/>
          <w:u w:val="single" w:color="5F5F5F"/>
        </w:rPr>
        <w:t>CT_BorderPr</w:t>
      </w:r>
      <w:r>
        <w:rPr/>
        <w:t>) is located in §A.2. </w:t>
      </w:r>
      <w:r>
        <w:rPr>
          <w:i/>
        </w:rPr>
        <w:t>end </w:t>
      </w:r>
      <w:r>
        <w:rPr>
          <w:i/>
        </w:rPr>
        <w:t>note</w:t>
      </w:r>
      <w:r>
        <w:rPr/>
        <w:t>]</w:t>
      </w:r>
    </w:p>
    <w:p>
      <w:pPr>
        <w:pStyle w:val="Heading2"/>
        <w:numPr>
          <w:ilvl w:val="2"/>
          <w:numId w:val="17"/>
        </w:numPr>
        <w:tabs>
          <w:tab w:pos="1444" w:val="left" w:leader="none"/>
          <w:tab w:pos="1445" w:val="left" w:leader="none"/>
        </w:tabs>
        <w:spacing w:line="240" w:lineRule="auto" w:before="197" w:after="0"/>
        <w:ind w:left="1444" w:right="0" w:hanging="1225"/>
        <w:jc w:val="left"/>
      </w:pPr>
      <w:bookmarkStart w:name="18.8.14 dxf (Formatting)" w:id="596"/>
      <w:bookmarkEnd w:id="596"/>
      <w:r>
        <w:rPr>
          <w:b w:val="0"/>
        </w:rPr>
      </w:r>
      <w:bookmarkStart w:name="_bookmark197" w:id="597"/>
      <w:bookmarkEnd w:id="597"/>
      <w:r>
        <w:rPr>
          <w:b w:val="0"/>
        </w:rPr>
      </w:r>
      <w:bookmarkStart w:name="_bookmark197" w:id="598"/>
      <w:bookmarkEnd w:id="598"/>
      <w:r>
        <w:rPr>
          <w:color w:val="4F81BC"/>
        </w:rPr>
        <w:t>d</w:t>
      </w:r>
      <w:r>
        <w:rPr>
          <w:color w:val="4F81BC"/>
        </w:rPr>
        <w:t>xf</w:t>
      </w:r>
      <w:r>
        <w:rPr>
          <w:color w:val="4F81BC"/>
          <w:spacing w:val="-1"/>
        </w:rPr>
        <w:t> </w:t>
      </w:r>
      <w:r>
        <w:rPr>
          <w:color w:val="4F81BC"/>
        </w:rPr>
        <w:t>(Formatting)</w:t>
      </w:r>
    </w:p>
    <w:p>
      <w:pPr>
        <w:pStyle w:val="BodyText"/>
        <w:spacing w:before="126"/>
        <w:ind w:left="220"/>
      </w:pPr>
      <w:r>
        <w:rPr/>
        <w:t>A single </w:t>
      </w:r>
      <w:r>
        <w:rPr>
          <w:rFonts w:ascii="Cambria"/>
        </w:rPr>
        <w:t>dxf </w:t>
      </w:r>
      <w:r>
        <w:rPr/>
        <w:t>record, expressing incremental formatting to be applied.</w:t>
      </w: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CT_Dxf</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15 dxfs (Formats)" w:id="599"/>
      <w:bookmarkEnd w:id="599"/>
      <w:r>
        <w:rPr>
          <w:b w:val="0"/>
        </w:rPr>
      </w:r>
      <w:bookmarkStart w:name="_bookmark198" w:id="600"/>
      <w:bookmarkEnd w:id="600"/>
      <w:r>
        <w:rPr>
          <w:b w:val="0"/>
        </w:rPr>
      </w:r>
      <w:bookmarkStart w:name="_bookmark198" w:id="601"/>
      <w:bookmarkEnd w:id="601"/>
      <w:r>
        <w:rPr>
          <w:color w:val="4F81BC"/>
        </w:rPr>
        <w:t>d</w:t>
      </w:r>
      <w:r>
        <w:rPr>
          <w:color w:val="4F81BC"/>
        </w:rPr>
        <w:t>xfs (Formats)</w:t>
      </w:r>
    </w:p>
    <w:p>
      <w:pPr>
        <w:pStyle w:val="BodyText"/>
        <w:spacing w:line="276" w:lineRule="auto" w:before="121"/>
        <w:ind w:left="220" w:right="388"/>
      </w:pPr>
      <w:r>
        <w:rPr/>
        <w:t>This element contains the master differential formatting records (</w:t>
      </w:r>
      <w:r>
        <w:rPr>
          <w:rFonts w:ascii="Cambria"/>
        </w:rPr>
        <w:t>dxf's</w:t>
      </w:r>
      <w:r>
        <w:rPr/>
        <w:t>) which define formatting for all non-cell formatting in this workbook. Whereas </w:t>
      </w:r>
      <w:r>
        <w:rPr>
          <w:rFonts w:ascii="Cambria"/>
        </w:rPr>
        <w:t>xf </w:t>
      </w:r>
      <w:r>
        <w:rPr/>
        <w:t>records fully specify a particular aspect of formatting (e.g., cell borders) by referencing those formatting definitions elsewhere in the Styles part, </w:t>
      </w:r>
      <w:r>
        <w:rPr>
          <w:rFonts w:ascii="Cambria"/>
        </w:rPr>
        <w:t>dxf </w:t>
      </w:r>
      <w:r>
        <w:rPr/>
        <w:t>records specify incremental (or differential) aspects of formatting directly inline within the </w:t>
      </w:r>
      <w:r>
        <w:rPr>
          <w:rFonts w:ascii="Cambria"/>
        </w:rPr>
        <w:t>dxf </w:t>
      </w:r>
      <w:r>
        <w:rPr/>
        <w:t>element. The </w:t>
      </w:r>
      <w:r>
        <w:rPr>
          <w:rFonts w:ascii="Cambria"/>
        </w:rPr>
        <w:t>dxf </w:t>
      </w:r>
      <w:r>
        <w:rPr/>
        <w:t>formatting is to be applied on top of or in addition to any formatting already present on the object using the </w:t>
      </w:r>
      <w:r>
        <w:rPr>
          <w:rFonts w:ascii="Cambria"/>
        </w:rPr>
        <w:t>dxf </w:t>
      </w:r>
      <w:r>
        <w:rPr/>
        <w:t>record.</w:t>
      </w:r>
    </w:p>
    <w:p>
      <w:pPr>
        <w:pStyle w:val="BodyText"/>
        <w:spacing w:before="9"/>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620"/>
              <w:rPr>
                <w:sz w:val="22"/>
              </w:rPr>
            </w:pPr>
            <w:r>
              <w:rPr>
                <w:rFonts w:ascii="Cambria"/>
                <w:sz w:val="22"/>
              </w:rPr>
              <w:t>count </w:t>
            </w:r>
            <w:r>
              <w:rPr>
                <w:sz w:val="22"/>
              </w:rPr>
              <w:t>(Format Count)</w:t>
            </w:r>
          </w:p>
        </w:tc>
        <w:tc>
          <w:tcPr>
            <w:tcW w:w="8250" w:type="dxa"/>
          </w:tcPr>
          <w:p>
            <w:pPr>
              <w:pStyle w:val="TableParagraph"/>
              <w:rPr>
                <w:sz w:val="22"/>
              </w:rPr>
            </w:pPr>
            <w:r>
              <w:rPr>
                <w:sz w:val="22"/>
              </w:rPr>
              <w:t>Count of </w:t>
            </w:r>
            <w:r>
              <w:rPr>
                <w:rFonts w:ascii="Cambria"/>
                <w:sz w:val="22"/>
              </w:rPr>
              <w:t>dxf </w:t>
            </w:r>
            <w:r>
              <w:rPr>
                <w:sz w:val="22"/>
              </w:rPr>
              <w:t>elements.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6"/>
        </w:rPr>
      </w:pPr>
    </w:p>
    <w:p>
      <w:pPr>
        <w:pStyle w:val="BodyText"/>
        <w:spacing w:before="190"/>
        <w:ind w:left="220"/>
      </w:pPr>
      <w:r>
        <w:rPr/>
        <w:t>[</w:t>
      </w:r>
      <w:r>
        <w:rPr>
          <w:i/>
        </w:rPr>
        <w:t>Note</w:t>
      </w:r>
      <w:r>
        <w:rPr/>
        <w:t>: The W3C XML Schema definition of this element’s content model (</w:t>
      </w:r>
      <w:r>
        <w:rPr>
          <w:color w:val="5F5F5F"/>
          <w:u w:val="single" w:color="5F5F5F"/>
        </w:rPr>
        <w:t>CT_Dxfs</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16 end (Trailing Edge Border)" w:id="602"/>
      <w:bookmarkEnd w:id="602"/>
      <w:r>
        <w:rPr>
          <w:b w:val="0"/>
        </w:rPr>
      </w:r>
      <w:bookmarkStart w:name="_bookmark199" w:id="603"/>
      <w:bookmarkEnd w:id="603"/>
      <w:r>
        <w:rPr>
          <w:b w:val="0"/>
        </w:rPr>
      </w:r>
      <w:bookmarkStart w:name="_bookmark199" w:id="604"/>
      <w:bookmarkEnd w:id="604"/>
      <w:r>
        <w:rPr>
          <w:color w:val="4F81BC"/>
        </w:rPr>
        <w:t>e</w:t>
      </w:r>
      <w:r>
        <w:rPr>
          <w:color w:val="4F81BC"/>
        </w:rPr>
        <w:t>nd (Trailing Edge Border)</w:t>
      </w:r>
    </w:p>
    <w:p>
      <w:pPr>
        <w:pStyle w:val="BodyText"/>
        <w:spacing w:line="278" w:lineRule="auto" w:before="122"/>
        <w:ind w:left="220" w:right="531"/>
      </w:pPr>
      <w:r>
        <w:rPr/>
        <w:t>This element specifies the color and line style for the trailing edge border of a cell (i.e., the right border for left- to-right cells and the left border for right-to-left cells)..</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rFonts w:ascii="Cambria"/>
                <w:sz w:val="22"/>
              </w:rPr>
              <w:t>style </w:t>
            </w:r>
            <w:r>
              <w:rPr>
                <w:sz w:val="22"/>
              </w:rPr>
              <w:t>(Line Style)</w:t>
            </w:r>
          </w:p>
        </w:tc>
        <w:tc>
          <w:tcPr>
            <w:tcW w:w="8250" w:type="dxa"/>
          </w:tcPr>
          <w:p>
            <w:pPr>
              <w:pStyle w:val="TableParagraph"/>
              <w:rPr>
                <w:sz w:val="22"/>
              </w:rPr>
            </w:pPr>
            <w:r>
              <w:rPr>
                <w:sz w:val="22"/>
              </w:rPr>
              <w:t>The line style for this border.</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sz w:val="22"/>
              </w:rPr>
              <w:t>ST_BorderStyle </w:t>
            </w:r>
            <w:r>
              <w:rPr>
                <w:sz w:val="22"/>
              </w:rPr>
              <w:t>simple type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hyperlink w:history="true" w:anchor="_bookmark825">
              <w:r>
                <w:rPr>
                  <w:sz w:val="22"/>
                </w:rPr>
                <w:t>(§18.18.3</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680"/>
      </w:pPr>
      <w:r>
        <w:rPr/>
        <w:t>[</w:t>
      </w:r>
      <w:r>
        <w:rPr>
          <w:i/>
        </w:rPr>
        <w:t>Note</w:t>
      </w:r>
      <w:r>
        <w:rPr/>
        <w:t>: The W3C XML Schema definition of this element’s content model (</w:t>
      </w:r>
      <w:r>
        <w:rPr>
          <w:color w:val="5F5F5F"/>
          <w:u w:val="single" w:color="5F5F5F"/>
        </w:rPr>
        <w:t>CT_BorderPr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17 extend (Extend)" w:id="605"/>
      <w:bookmarkEnd w:id="605"/>
      <w:r>
        <w:rPr>
          <w:b w:val="0"/>
        </w:rPr>
      </w:r>
      <w:bookmarkStart w:name="_bookmark200" w:id="606"/>
      <w:bookmarkEnd w:id="606"/>
      <w:r>
        <w:rPr>
          <w:b w:val="0"/>
        </w:rPr>
      </w:r>
      <w:bookmarkStart w:name="_bookmark200" w:id="607"/>
      <w:bookmarkEnd w:id="607"/>
      <w:r>
        <w:rPr>
          <w:color w:val="4F81BC"/>
        </w:rPr>
        <w:t>ext</w:t>
      </w:r>
      <w:r>
        <w:rPr>
          <w:color w:val="4F81BC"/>
        </w:rPr>
        <w:t>end</w:t>
      </w:r>
      <w:r>
        <w:rPr>
          <w:color w:val="4F81BC"/>
          <w:spacing w:val="-2"/>
        </w:rPr>
        <w:t> </w:t>
      </w:r>
      <w:r>
        <w:rPr>
          <w:color w:val="4F81BC"/>
        </w:rPr>
        <w:t>(Extend)</w:t>
      </w:r>
    </w:p>
    <w:p>
      <w:pPr>
        <w:pStyle w:val="BodyText"/>
        <w:spacing w:line="276" w:lineRule="auto" w:before="122"/>
        <w:ind w:left="220" w:right="454"/>
      </w:pPr>
      <w:r>
        <w:rPr/>
        <w:t>This element specifies a compatibility setting used for previous spreadsheet applications, resulting in special word/character rendering on those legacy applications, when this flag is set. The effect extends or stretches out the text. SpreadsheetML applications are not required to render according to this flag.</w:t>
      </w:r>
    </w:p>
    <w:p>
      <w:pPr>
        <w:pStyle w:val="BodyText"/>
        <w:spacing w:before="6"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8"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480" w:lineRule="auto"/>
              <w:ind w:right="1778"/>
              <w:rPr>
                <w:sz w:val="22"/>
              </w:rPr>
            </w:pPr>
            <w:r>
              <w:rPr>
                <w:sz w:val="22"/>
              </w:rPr>
              <w:t>A boolean value for the property specified by the parent XML element. If omitted, the default value is </w:t>
            </w:r>
            <w:r>
              <w:rPr>
                <w:rFonts w:ascii="Consolas"/>
                <w:sz w:val="20"/>
              </w:rPr>
              <w:t>true</w:t>
            </w:r>
            <w:r>
              <w:rPr>
                <w:sz w:val="22"/>
              </w:rPr>
              <w:t>.</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CT_BooleanProperty</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18 family (Font Family)" w:id="608"/>
      <w:bookmarkEnd w:id="608"/>
      <w:r>
        <w:rPr>
          <w:b w:val="0"/>
        </w:rPr>
      </w:r>
      <w:bookmarkStart w:name="_bookmark201" w:id="609"/>
      <w:bookmarkEnd w:id="609"/>
      <w:r>
        <w:rPr>
          <w:b w:val="0"/>
        </w:rPr>
      </w:r>
      <w:bookmarkStart w:name="_bookmark201" w:id="610"/>
      <w:bookmarkEnd w:id="610"/>
      <w:r>
        <w:rPr>
          <w:color w:val="4F81BC"/>
        </w:rPr>
        <w:t>fami</w:t>
      </w:r>
      <w:r>
        <w:rPr>
          <w:color w:val="4F81BC"/>
        </w:rPr>
        <w:t>ly (Font</w:t>
      </w:r>
      <w:r>
        <w:rPr>
          <w:color w:val="4F81BC"/>
          <w:spacing w:val="-4"/>
        </w:rPr>
        <w:t> </w:t>
      </w:r>
      <w:r>
        <w:rPr>
          <w:color w:val="4F81BC"/>
        </w:rPr>
        <w:t>Family)</w:t>
      </w:r>
    </w:p>
    <w:p>
      <w:pPr>
        <w:pStyle w:val="BodyText"/>
        <w:spacing w:before="124"/>
        <w:ind w:left="220"/>
      </w:pPr>
      <w:r>
        <w:rPr/>
        <w:t>The font family this font belongs to. The font name overrides when there are conflicting values.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68"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243" w:lineRule="exact" w:before="42"/>
              <w:rPr>
                <w:sz w:val="20"/>
              </w:rPr>
            </w:pPr>
            <w:r>
              <w:rPr>
                <w:sz w:val="20"/>
              </w:rPr>
              <w:t>The font family this font belongs to.</w:t>
            </w:r>
          </w:p>
          <w:p>
            <w:pPr>
              <w:pStyle w:val="TableParagraph"/>
              <w:spacing w:before="0"/>
              <w:ind w:right="617"/>
              <w:rPr>
                <w:sz w:val="22"/>
              </w:rPr>
            </w:pPr>
            <w:r>
              <w:rPr>
                <w:sz w:val="22"/>
              </w:rPr>
              <w:t>The possible values for this attribute are defined by the </w:t>
            </w:r>
            <w:r>
              <w:rPr>
                <w:sz w:val="20"/>
              </w:rPr>
              <w:t>ST_FontFamily simple type (</w:t>
            </w:r>
            <w:hyperlink w:history="true" w:anchor="_bookmark916">
              <w:r>
                <w:rPr>
                  <w:sz w:val="22"/>
                </w:rPr>
                <w:t>§18.18.94</w:t>
              </w:r>
            </w:hyperlink>
            <w:r>
              <w:rPr>
                <w:sz w:val="20"/>
              </w:rPr>
              <w:t>)</w:t>
            </w:r>
            <w:r>
              <w:rPr>
                <w:sz w:val="22"/>
              </w:rPr>
              <w:t>.</w:t>
            </w:r>
          </w:p>
        </w:tc>
      </w:tr>
    </w:tbl>
    <w:p>
      <w:pPr>
        <w:pStyle w:val="BodyText"/>
      </w:pPr>
    </w:p>
    <w:p>
      <w:pPr>
        <w:pStyle w:val="BodyText"/>
        <w:spacing w:before="5"/>
        <w:rPr>
          <w:sz w:val="19"/>
        </w:rPr>
      </w:pPr>
    </w:p>
    <w:p>
      <w:pPr>
        <w:spacing w:line="276" w:lineRule="auto" w:before="0"/>
        <w:ind w:left="220" w:right="631" w:firstLine="0"/>
        <w:jc w:val="left"/>
        <w:rPr>
          <w:sz w:val="22"/>
        </w:rPr>
      </w:pPr>
      <w:r>
        <w:rPr>
          <w:sz w:val="22"/>
        </w:rPr>
        <w:t>[</w:t>
      </w:r>
      <w:r>
        <w:rPr>
          <w:i/>
          <w:sz w:val="22"/>
        </w:rPr>
        <w:t>Note</w:t>
      </w:r>
      <w:r>
        <w:rPr>
          <w:sz w:val="22"/>
        </w:rPr>
        <w:t>: The W3C XML Schema definition of this element’s content model (</w:t>
      </w:r>
      <w:r>
        <w:rPr>
          <w:sz w:val="20"/>
        </w:rPr>
        <w:t>ST_FontFamily</w:t>
      </w:r>
      <w:r>
        <w:rPr>
          <w:sz w:val="22"/>
        </w:rPr>
        <w:t>) is located in §A.2. </w:t>
      </w:r>
      <w:r>
        <w:rPr>
          <w:i/>
          <w:sz w:val="22"/>
        </w:rPr>
        <w:t>end </w:t>
      </w:r>
      <w:r>
        <w:rPr>
          <w:i/>
          <w:sz w:val="22"/>
        </w:rPr>
        <w:t>note</w:t>
      </w:r>
      <w:r>
        <w:rPr>
          <w:sz w:val="22"/>
        </w:rPr>
        <w:t>]</w:t>
      </w:r>
    </w:p>
    <w:p>
      <w:pPr>
        <w:pStyle w:val="BodyText"/>
        <w:spacing w:before="7"/>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19 fgColor (Foreground Color)" w:id="611"/>
      <w:bookmarkEnd w:id="611"/>
      <w:r>
        <w:rPr>
          <w:b w:val="0"/>
        </w:rPr>
      </w:r>
      <w:bookmarkStart w:name="_bookmark202" w:id="612"/>
      <w:bookmarkEnd w:id="612"/>
      <w:r>
        <w:rPr>
          <w:b w:val="0"/>
        </w:rPr>
      </w:r>
      <w:bookmarkStart w:name="_bookmark202" w:id="613"/>
      <w:bookmarkEnd w:id="613"/>
      <w:r>
        <w:rPr>
          <w:color w:val="4F81BC"/>
        </w:rPr>
        <w:t>fgC</w:t>
      </w:r>
      <w:r>
        <w:rPr>
          <w:color w:val="4F81BC"/>
        </w:rPr>
        <w:t>olor (Foreground</w:t>
      </w:r>
      <w:r>
        <w:rPr>
          <w:color w:val="4F81BC"/>
          <w:spacing w:val="1"/>
        </w:rPr>
        <w:t> </w:t>
      </w:r>
      <w:r>
        <w:rPr>
          <w:color w:val="4F81BC"/>
        </w:rPr>
        <w:t>Color)</w:t>
      </w:r>
    </w:p>
    <w:p>
      <w:pPr>
        <w:pStyle w:val="BodyText"/>
        <w:spacing w:line="276" w:lineRule="auto" w:before="124"/>
        <w:ind w:left="220" w:right="910"/>
      </w:pPr>
      <w:r>
        <w:rPr/>
        <w:t>Foreground color of the cell fill pattern. Cell fill patterns operate with two colors: a background color and a foreground color. These combine together to make a patterned cell fill.</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rPr>
                <w:sz w:val="22"/>
              </w:rPr>
            </w:pPr>
            <w:r>
              <w:rPr>
                <w:rFonts w:ascii="Cambria"/>
                <w:sz w:val="22"/>
              </w:rPr>
              <w:t>auto </w:t>
            </w:r>
            <w:r>
              <w:rPr>
                <w:sz w:val="22"/>
              </w:rPr>
              <w:t>(Automatic)</w:t>
            </w:r>
          </w:p>
        </w:tc>
        <w:tc>
          <w:tcPr>
            <w:tcW w:w="8250" w:type="dxa"/>
          </w:tcPr>
          <w:p>
            <w:pPr>
              <w:pStyle w:val="TableParagraph"/>
              <w:rPr>
                <w:sz w:val="22"/>
              </w:rPr>
            </w:pPr>
            <w:r>
              <w:rPr>
                <w:sz w:val="22"/>
              </w:rPr>
              <w:t>A boolean value indicating the color is automatic and system color dependent.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indexed </w:t>
            </w:r>
            <w:r>
              <w:rPr>
                <w:sz w:val="22"/>
              </w:rPr>
              <w:t>(Index)</w:t>
            </w:r>
          </w:p>
        </w:tc>
        <w:tc>
          <w:tcPr>
            <w:tcW w:w="8250" w:type="dxa"/>
          </w:tcPr>
          <w:p>
            <w:pPr>
              <w:pStyle w:val="TableParagraph"/>
              <w:rPr>
                <w:sz w:val="22"/>
              </w:rPr>
            </w:pPr>
            <w:r>
              <w:rPr>
                <w:sz w:val="22"/>
              </w:rPr>
              <w:t>Indexed color value. Only used for backwards compatibility. References a color in</w:t>
            </w:r>
          </w:p>
          <w:p>
            <w:pPr>
              <w:pStyle w:val="TableParagraph"/>
              <w:spacing w:before="0"/>
              <w:rPr>
                <w:sz w:val="22"/>
              </w:rPr>
            </w:pPr>
            <w:r>
              <w:rPr>
                <w:rFonts w:ascii="Cambria"/>
                <w:sz w:val="22"/>
              </w:rPr>
              <w:t>indexedColors</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395"/>
              <w:rPr>
                <w:sz w:val="22"/>
              </w:rPr>
            </w:pPr>
            <w:r>
              <w:rPr>
                <w:rFonts w:ascii="Cambria"/>
                <w:sz w:val="22"/>
              </w:rPr>
              <w:t>rgb </w:t>
            </w:r>
            <w:r>
              <w:rPr>
                <w:sz w:val="22"/>
              </w:rPr>
              <w:t>(Alpha Red Green Blue Color Value)</w:t>
            </w:r>
          </w:p>
        </w:tc>
        <w:tc>
          <w:tcPr>
            <w:tcW w:w="8250" w:type="dxa"/>
          </w:tcPr>
          <w:p>
            <w:pPr>
              <w:pStyle w:val="TableParagraph"/>
              <w:rPr>
                <w:sz w:val="22"/>
              </w:rPr>
            </w:pPr>
            <w:r>
              <w:rPr>
                <w:sz w:val="22"/>
              </w:rPr>
              <w:t>Standard Alpha Red Green Blue color value (ARGB).</w:t>
            </w:r>
          </w:p>
          <w:p>
            <w:pPr>
              <w:pStyle w:val="TableParagraph"/>
              <w:spacing w:before="4"/>
              <w:ind w:left="0"/>
              <w:rPr>
                <w:rFonts w:ascii="Times New Roman"/>
                <w:sz w:val="23"/>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428" w:hRule="atLeast"/>
        </w:trPr>
        <w:tc>
          <w:tcPr>
            <w:tcW w:w="2062" w:type="dxa"/>
          </w:tcPr>
          <w:p>
            <w:pPr>
              <w:pStyle w:val="TableParagraph"/>
              <w:ind w:right="590"/>
              <w:rPr>
                <w:sz w:val="22"/>
              </w:rPr>
            </w:pPr>
            <w:r>
              <w:rPr>
                <w:rFonts w:ascii="Cambria"/>
                <w:sz w:val="22"/>
              </w:rPr>
              <w:t>theme </w:t>
            </w:r>
            <w:r>
              <w:rPr>
                <w:sz w:val="22"/>
              </w:rPr>
              <w:t>(Theme Color)</w:t>
            </w:r>
          </w:p>
        </w:tc>
        <w:tc>
          <w:tcPr>
            <w:tcW w:w="8250" w:type="dxa"/>
          </w:tcPr>
          <w:p>
            <w:pPr>
              <w:pStyle w:val="TableParagraph"/>
              <w:rPr>
                <w:sz w:val="22"/>
              </w:rPr>
            </w:pPr>
            <w:r>
              <w:rPr>
                <w:sz w:val="22"/>
              </w:rPr>
              <w:t>A zero-based index into the </w:t>
            </w:r>
            <w:r>
              <w:rPr>
                <w:rFonts w:ascii="Consolas" w:hAnsi="Consolas"/>
                <w:sz w:val="22"/>
              </w:rPr>
              <w:t>&lt;clrScheme&gt;</w:t>
            </w:r>
            <w:r>
              <w:rPr>
                <w:rFonts w:ascii="Consolas" w:hAnsi="Consolas"/>
                <w:spacing w:val="-93"/>
                <w:sz w:val="22"/>
              </w:rPr>
              <w:t> </w:t>
            </w:r>
            <w:r>
              <w:rPr>
                <w:sz w:val="22"/>
              </w:rPr>
              <w:t>collection (§20.1.6.2), referencing a particular</w:t>
            </w:r>
          </w:p>
          <w:p>
            <w:pPr>
              <w:pStyle w:val="TableParagraph"/>
              <w:spacing w:before="0"/>
              <w:rPr>
                <w:sz w:val="22"/>
              </w:rPr>
            </w:pPr>
            <w:r>
              <w:rPr>
                <w:rFonts w:ascii="Consolas"/>
                <w:sz w:val="22"/>
              </w:rPr>
              <w:t>&lt;sysClr&gt;</w:t>
            </w:r>
            <w:r>
              <w:rPr>
                <w:rFonts w:ascii="Consolas"/>
                <w:spacing w:val="-72"/>
                <w:sz w:val="22"/>
              </w:rPr>
              <w:t> </w:t>
            </w:r>
            <w:r>
              <w:rPr>
                <w:sz w:val="22"/>
              </w:rPr>
              <w:t>or </w:t>
            </w:r>
            <w:r>
              <w:rPr>
                <w:rFonts w:ascii="Consolas"/>
                <w:sz w:val="22"/>
              </w:rPr>
              <w:t>&lt;srgbClr&gt;</w:t>
            </w:r>
            <w:r>
              <w:rPr>
                <w:rFonts w:ascii="Consolas"/>
                <w:spacing w:val="-73"/>
                <w:sz w:val="22"/>
              </w:rPr>
              <w:t> </w:t>
            </w:r>
            <w:r>
              <w:rPr>
                <w:sz w:val="22"/>
              </w:rPr>
              <w:t>value expressed in the Theme part.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7874" w:hRule="atLeast"/>
        </w:trPr>
        <w:tc>
          <w:tcPr>
            <w:tcW w:w="2062" w:type="dxa"/>
          </w:tcPr>
          <w:p>
            <w:pPr>
              <w:pStyle w:val="TableParagraph"/>
              <w:rPr>
                <w:sz w:val="22"/>
              </w:rPr>
            </w:pPr>
            <w:r>
              <w:rPr>
                <w:rFonts w:ascii="Cambria"/>
                <w:sz w:val="22"/>
              </w:rPr>
              <w:t>tint </w:t>
            </w:r>
            <w:r>
              <w:rPr>
                <w:sz w:val="22"/>
              </w:rPr>
              <w:t>(Tint)</w:t>
            </w:r>
          </w:p>
        </w:tc>
        <w:tc>
          <w:tcPr>
            <w:tcW w:w="8250" w:type="dxa"/>
          </w:tcPr>
          <w:p>
            <w:pPr>
              <w:pStyle w:val="TableParagraph"/>
              <w:rPr>
                <w:sz w:val="22"/>
              </w:rPr>
            </w:pPr>
            <w:r>
              <w:rPr>
                <w:sz w:val="22"/>
              </w:rPr>
              <w:t>Specifies the tint value applied to the color.</w:t>
            </w:r>
          </w:p>
          <w:p>
            <w:pPr>
              <w:pStyle w:val="TableParagraph"/>
              <w:spacing w:before="4"/>
              <w:ind w:left="0"/>
              <w:rPr>
                <w:rFonts w:ascii="Times New Roman"/>
                <w:sz w:val="23"/>
              </w:rPr>
            </w:pPr>
          </w:p>
          <w:p>
            <w:pPr>
              <w:pStyle w:val="TableParagraph"/>
              <w:spacing w:before="0"/>
              <w:ind w:right="391"/>
              <w:rPr>
                <w:sz w:val="22"/>
              </w:rPr>
            </w:pPr>
            <w:r>
              <w:rPr>
                <w:sz w:val="22"/>
              </w:rPr>
              <w:t>If tint is supplied, then it is applied to the RGB value of the color to determine the final color applied.</w:t>
            </w:r>
          </w:p>
          <w:p>
            <w:pPr>
              <w:pStyle w:val="TableParagraph"/>
              <w:spacing w:before="5"/>
              <w:ind w:left="0"/>
              <w:rPr>
                <w:rFonts w:ascii="Times New Roman"/>
                <w:sz w:val="23"/>
              </w:rPr>
            </w:pPr>
          </w:p>
          <w:p>
            <w:pPr>
              <w:pStyle w:val="TableParagraph"/>
              <w:spacing w:before="0"/>
              <w:rPr>
                <w:sz w:val="22"/>
              </w:rPr>
            </w:pPr>
            <w:r>
              <w:rPr>
                <w:sz w:val="22"/>
              </w:rPr>
              <w:t>The tint value is stored as a double from -1.0 .. 1.0, where -1.0 means 100% darken and</w:t>
            </w:r>
          </w:p>
          <w:p>
            <w:pPr>
              <w:pStyle w:val="TableParagraph"/>
              <w:spacing w:before="0"/>
              <w:rPr>
                <w:sz w:val="22"/>
              </w:rPr>
            </w:pPr>
            <w:r>
              <w:rPr>
                <w:sz w:val="22"/>
              </w:rPr>
              <w:t>1.0 means 100% lighten. Also, 0.0 means no change.</w:t>
            </w:r>
          </w:p>
          <w:p>
            <w:pPr>
              <w:pStyle w:val="TableParagraph"/>
              <w:spacing w:before="7"/>
              <w:ind w:left="0"/>
              <w:rPr>
                <w:rFonts w:ascii="Times New Roman"/>
                <w:sz w:val="23"/>
              </w:rPr>
            </w:pPr>
          </w:p>
          <w:p>
            <w:pPr>
              <w:pStyle w:val="TableParagraph"/>
              <w:spacing w:line="237" w:lineRule="auto" w:before="0"/>
              <w:ind w:right="132"/>
              <w:rPr>
                <w:sz w:val="22"/>
              </w:rPr>
            </w:pPr>
            <w:r>
              <w:rPr>
                <w:sz w:val="22"/>
              </w:rPr>
              <w:t>In loading the RGB value, it is converted to HLS where HLS values are (0..HLSMAX), where HLSMAX is currently 255.</w:t>
            </w:r>
          </w:p>
          <w:p>
            <w:pPr>
              <w:pStyle w:val="TableParagraph"/>
              <w:spacing w:before="6"/>
              <w:ind w:left="0"/>
              <w:rPr>
                <w:rFonts w:ascii="Times New Roman"/>
                <w:sz w:val="23"/>
              </w:rPr>
            </w:pPr>
          </w:p>
          <w:p>
            <w:pPr>
              <w:pStyle w:val="TableParagraph"/>
              <w:spacing w:before="0"/>
              <w:rPr>
                <w:sz w:val="22"/>
              </w:rPr>
            </w:pPr>
            <w:r>
              <w:rPr>
                <w:sz w:val="22"/>
              </w:rPr>
              <w:t>[</w:t>
            </w:r>
            <w:r>
              <w:rPr>
                <w:i/>
                <w:sz w:val="22"/>
              </w:rPr>
              <w:t>Example</w:t>
            </w:r>
            <w:r>
              <w:rPr>
                <w:sz w:val="22"/>
              </w:rPr>
              <w:t>:</w:t>
            </w:r>
          </w:p>
          <w:p>
            <w:pPr>
              <w:pStyle w:val="TableParagraph"/>
              <w:spacing w:before="4"/>
              <w:ind w:left="0"/>
              <w:rPr>
                <w:rFonts w:ascii="Times New Roman"/>
                <w:sz w:val="23"/>
              </w:rPr>
            </w:pPr>
          </w:p>
          <w:p>
            <w:pPr>
              <w:pStyle w:val="TableParagraph"/>
              <w:spacing w:before="1"/>
              <w:rPr>
                <w:sz w:val="22"/>
              </w:rPr>
            </w:pPr>
            <w:r>
              <w:rPr>
                <w:sz w:val="22"/>
              </w:rPr>
              <w:t>Here are some examples of how to apply tint to color:</w:t>
            </w:r>
          </w:p>
          <w:p>
            <w:pPr>
              <w:pStyle w:val="TableParagraph"/>
              <w:spacing w:before="4"/>
              <w:ind w:left="0"/>
              <w:rPr>
                <w:rFonts w:ascii="Times New Roman"/>
                <w:sz w:val="23"/>
              </w:rPr>
            </w:pPr>
          </w:p>
          <w:p>
            <w:pPr>
              <w:pStyle w:val="TableParagraph"/>
              <w:spacing w:before="0"/>
              <w:rPr>
                <w:b/>
                <w:sz w:val="22"/>
              </w:rPr>
            </w:pPr>
            <w:r>
              <w:rPr>
                <w:b/>
                <w:sz w:val="22"/>
              </w:rPr>
              <w:t>If (tint &lt; 0)</w:t>
            </w:r>
          </w:p>
          <w:p>
            <w:pPr>
              <w:pStyle w:val="TableParagraph"/>
              <w:spacing w:before="0"/>
              <w:ind w:left="215"/>
              <w:rPr>
                <w:sz w:val="22"/>
              </w:rPr>
            </w:pPr>
            <w:r>
              <w:rPr>
                <w:sz w:val="22"/>
              </w:rPr>
              <w:t>Lum’ = Lum * (1.0 + tint)</w:t>
            </w:r>
          </w:p>
          <w:p>
            <w:pPr>
              <w:pStyle w:val="TableParagraph"/>
              <w:spacing w:before="2"/>
              <w:ind w:left="0"/>
              <w:rPr>
                <w:rFonts w:ascii="Times New Roman"/>
                <w:sz w:val="23"/>
              </w:rPr>
            </w:pPr>
          </w:p>
          <w:p>
            <w:pPr>
              <w:pStyle w:val="TableParagraph"/>
              <w:spacing w:before="1"/>
              <w:rPr>
                <w:sz w:val="22"/>
              </w:rPr>
            </w:pPr>
            <w:r>
              <w:rPr>
                <w:sz w:val="22"/>
              </w:rPr>
              <w:t>For example: Lum = 200; tint = -0.5; Darken 50%</w:t>
            </w:r>
          </w:p>
          <w:p>
            <w:pPr>
              <w:pStyle w:val="TableParagraph"/>
              <w:spacing w:before="0"/>
              <w:ind w:left="215"/>
              <w:rPr>
                <w:sz w:val="22"/>
              </w:rPr>
            </w:pPr>
            <w:r>
              <w:rPr>
                <w:sz w:val="22"/>
              </w:rPr>
              <w:t>Lum‘ = 200 * (0.5) =&gt; 100</w:t>
            </w:r>
          </w:p>
          <w:p>
            <w:pPr>
              <w:pStyle w:val="TableParagraph"/>
              <w:spacing w:before="5"/>
              <w:ind w:left="0"/>
              <w:rPr>
                <w:rFonts w:ascii="Times New Roman"/>
                <w:sz w:val="23"/>
              </w:rPr>
            </w:pPr>
          </w:p>
          <w:p>
            <w:pPr>
              <w:pStyle w:val="TableParagraph"/>
              <w:spacing w:before="0"/>
              <w:rPr>
                <w:sz w:val="22"/>
              </w:rPr>
            </w:pPr>
            <w:r>
              <w:rPr>
                <w:sz w:val="22"/>
              </w:rPr>
              <w:t>For example: Lum = 200; tint = -1.0; Darken 100% (make black)</w:t>
            </w:r>
          </w:p>
          <w:p>
            <w:pPr>
              <w:pStyle w:val="TableParagraph"/>
              <w:spacing w:before="0"/>
              <w:ind w:left="215"/>
              <w:rPr>
                <w:sz w:val="22"/>
              </w:rPr>
            </w:pPr>
            <w:r>
              <w:rPr>
                <w:sz w:val="22"/>
              </w:rPr>
              <w:t>Lum‘ = 200 * (1.0-1.0) =&gt; 0</w:t>
            </w:r>
          </w:p>
          <w:p>
            <w:pPr>
              <w:pStyle w:val="TableParagraph"/>
              <w:spacing w:before="5"/>
              <w:ind w:left="0"/>
              <w:rPr>
                <w:rFonts w:ascii="Times New Roman"/>
                <w:sz w:val="23"/>
              </w:rPr>
            </w:pPr>
          </w:p>
          <w:p>
            <w:pPr>
              <w:pStyle w:val="TableParagraph"/>
              <w:spacing w:before="0"/>
              <w:rPr>
                <w:b/>
                <w:sz w:val="22"/>
              </w:rPr>
            </w:pPr>
            <w:r>
              <w:rPr>
                <w:b/>
                <w:sz w:val="22"/>
              </w:rPr>
              <w:t>If (tint &gt; 0)</w:t>
            </w:r>
          </w:p>
          <w:p>
            <w:pPr>
              <w:pStyle w:val="TableParagraph"/>
              <w:spacing w:before="0"/>
              <w:ind w:left="215"/>
              <w:rPr>
                <w:sz w:val="22"/>
              </w:rPr>
            </w:pPr>
            <w:r>
              <w:rPr>
                <w:sz w:val="22"/>
              </w:rPr>
              <w:t>Lum‘ = Lum * (1.0-tint) + (HLSMAX – HLSMAX * (1.0-tint))</w:t>
            </w:r>
          </w:p>
          <w:p>
            <w:pPr>
              <w:pStyle w:val="TableParagraph"/>
              <w:spacing w:before="4"/>
              <w:ind w:left="0"/>
              <w:rPr>
                <w:rFonts w:ascii="Times New Roman"/>
                <w:sz w:val="23"/>
              </w:rPr>
            </w:pPr>
          </w:p>
          <w:p>
            <w:pPr>
              <w:pStyle w:val="TableParagraph"/>
              <w:spacing w:line="267" w:lineRule="exact" w:before="1"/>
              <w:rPr>
                <w:sz w:val="22"/>
              </w:rPr>
            </w:pPr>
            <w:r>
              <w:rPr>
                <w:sz w:val="22"/>
              </w:rPr>
              <w:t>For example: Lum = 100; tint = 0.75; Lighten 75%</w:t>
            </w:r>
          </w:p>
          <w:p>
            <w:pPr>
              <w:pStyle w:val="TableParagraph"/>
              <w:tabs>
                <w:tab w:pos="853" w:val="left" w:leader="none"/>
              </w:tabs>
              <w:spacing w:line="267" w:lineRule="exact" w:before="0"/>
              <w:rPr>
                <w:sz w:val="22"/>
              </w:rPr>
            </w:pPr>
            <w:r>
              <w:rPr>
                <w:sz w:val="22"/>
              </w:rPr>
              <w:t>Lum‘</w:t>
              <w:tab/>
              <w:t>= 100 * (1-.75) + (HLSMAX –</w:t>
            </w:r>
            <w:r>
              <w:rPr>
                <w:spacing w:val="-7"/>
                <w:sz w:val="22"/>
              </w:rPr>
              <w:t> </w:t>
            </w:r>
            <w:r>
              <w:rPr>
                <w:sz w:val="22"/>
              </w:rPr>
              <w:t>HLSMAX*(1-.75))</w:t>
            </w:r>
          </w:p>
        </w:tc>
      </w:tr>
    </w:tbl>
    <w:p>
      <w:pPr>
        <w:spacing w:after="0" w:line="267" w:lineRule="exact"/>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309" w:hRule="atLeast"/>
        </w:trPr>
        <w:tc>
          <w:tcPr>
            <w:tcW w:w="2062" w:type="dxa"/>
          </w:tcPr>
          <w:p>
            <w:pPr>
              <w:pStyle w:val="TableParagraph"/>
              <w:spacing w:before="0"/>
              <w:ind w:left="0"/>
              <w:rPr>
                <w:rFonts w:ascii="Times New Roman"/>
                <w:sz w:val="22"/>
              </w:rPr>
            </w:pPr>
          </w:p>
        </w:tc>
        <w:tc>
          <w:tcPr>
            <w:tcW w:w="8250" w:type="dxa"/>
          </w:tcPr>
          <w:p>
            <w:pPr>
              <w:pStyle w:val="TableParagraph"/>
              <w:ind w:left="911"/>
              <w:rPr>
                <w:sz w:val="22"/>
              </w:rPr>
            </w:pPr>
            <w:r>
              <w:rPr>
                <w:sz w:val="22"/>
              </w:rPr>
              <w:t>= 100 * .25 + (255 – 255 * .25)</w:t>
            </w:r>
          </w:p>
          <w:p>
            <w:pPr>
              <w:pStyle w:val="TableParagraph"/>
              <w:spacing w:before="0"/>
              <w:ind w:left="911"/>
              <w:rPr>
                <w:sz w:val="22"/>
              </w:rPr>
            </w:pPr>
            <w:r>
              <w:rPr>
                <w:sz w:val="22"/>
              </w:rPr>
              <w:t>= 25 + (255 – 63) = 25 + 192 = 217</w:t>
            </w:r>
          </w:p>
          <w:p>
            <w:pPr>
              <w:pStyle w:val="TableParagraph"/>
              <w:spacing w:before="4"/>
              <w:ind w:left="0"/>
              <w:rPr>
                <w:rFonts w:ascii="Times New Roman"/>
                <w:sz w:val="23"/>
              </w:rPr>
            </w:pPr>
          </w:p>
          <w:p>
            <w:pPr>
              <w:pStyle w:val="TableParagraph"/>
              <w:spacing w:line="267" w:lineRule="exact" w:before="0"/>
              <w:rPr>
                <w:sz w:val="22"/>
              </w:rPr>
            </w:pPr>
            <w:r>
              <w:rPr>
                <w:sz w:val="22"/>
              </w:rPr>
              <w:t>For example: Lum = 100; tint = 1.0; Lighten 100% (make white)</w:t>
            </w:r>
          </w:p>
          <w:p>
            <w:pPr>
              <w:pStyle w:val="TableParagraph"/>
              <w:tabs>
                <w:tab w:pos="853" w:val="left" w:leader="none"/>
              </w:tabs>
              <w:spacing w:line="267" w:lineRule="exact" w:before="0"/>
              <w:rPr>
                <w:sz w:val="22"/>
              </w:rPr>
            </w:pPr>
            <w:r>
              <w:rPr>
                <w:sz w:val="22"/>
              </w:rPr>
              <w:t>Lum‘</w:t>
              <w:tab/>
              <w:t>= 100 * (1-1) + (HLSMAX –</w:t>
            </w:r>
            <w:r>
              <w:rPr>
                <w:spacing w:val="-10"/>
                <w:sz w:val="22"/>
              </w:rPr>
              <w:t> </w:t>
            </w:r>
            <w:r>
              <w:rPr>
                <w:sz w:val="22"/>
              </w:rPr>
              <w:t>HLSMAX*(1-1))</w:t>
            </w:r>
          </w:p>
          <w:p>
            <w:pPr>
              <w:pStyle w:val="TableParagraph"/>
              <w:spacing w:before="1"/>
              <w:ind w:left="911"/>
              <w:rPr>
                <w:sz w:val="22"/>
              </w:rPr>
            </w:pPr>
            <w:r>
              <w:rPr>
                <w:sz w:val="22"/>
              </w:rPr>
              <w:t>= 100 * 0 + (255 – 255 * 0)</w:t>
            </w:r>
          </w:p>
          <w:p>
            <w:pPr>
              <w:pStyle w:val="TableParagraph"/>
              <w:spacing w:before="0"/>
              <w:ind w:left="911"/>
              <w:rPr>
                <w:sz w:val="22"/>
              </w:rPr>
            </w:pPr>
            <w:r>
              <w:rPr>
                <w:sz w:val="22"/>
              </w:rPr>
              <w:t>= 0 + (255 – 0) = 255</w:t>
            </w:r>
          </w:p>
          <w:p>
            <w:pPr>
              <w:pStyle w:val="TableParagraph"/>
              <w:spacing w:before="4"/>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CT_Color</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0 fill (Fill)" w:id="614"/>
      <w:bookmarkEnd w:id="614"/>
      <w:r>
        <w:rPr>
          <w:b w:val="0"/>
        </w:rPr>
      </w:r>
      <w:bookmarkStart w:name="_bookmark203" w:id="615"/>
      <w:bookmarkEnd w:id="615"/>
      <w:r>
        <w:rPr>
          <w:b w:val="0"/>
        </w:rPr>
      </w:r>
      <w:bookmarkStart w:name="_bookmark203" w:id="616"/>
      <w:bookmarkEnd w:id="616"/>
      <w:r>
        <w:rPr>
          <w:color w:val="4F81BC"/>
        </w:rPr>
        <w:t>fi</w:t>
      </w:r>
      <w:r>
        <w:rPr>
          <w:color w:val="4F81BC"/>
        </w:rPr>
        <w:t>ll</w:t>
      </w:r>
      <w:r>
        <w:rPr>
          <w:color w:val="4F81BC"/>
          <w:spacing w:val="-2"/>
        </w:rPr>
        <w:t> </w:t>
      </w:r>
      <w:r>
        <w:rPr>
          <w:color w:val="4F81BC"/>
        </w:rPr>
        <w:t>(Fill)</w:t>
      </w:r>
    </w:p>
    <w:p>
      <w:pPr>
        <w:pStyle w:val="BodyText"/>
        <w:spacing w:before="124"/>
        <w:ind w:left="220"/>
      </w:pPr>
      <w:r>
        <w:rPr/>
        <w:t>This element specifies fill formatting.</w:t>
      </w: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CT_Fill</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21 fills (Fills)" w:id="617"/>
      <w:bookmarkEnd w:id="617"/>
      <w:r>
        <w:rPr>
          <w:b w:val="0"/>
        </w:rPr>
      </w:r>
      <w:bookmarkStart w:name="_bookmark204" w:id="618"/>
      <w:bookmarkEnd w:id="618"/>
      <w:r>
        <w:rPr>
          <w:b w:val="0"/>
        </w:rPr>
      </w:r>
      <w:bookmarkStart w:name="_bookmark204" w:id="619"/>
      <w:bookmarkEnd w:id="619"/>
      <w:r>
        <w:rPr>
          <w:color w:val="4F81BC"/>
        </w:rPr>
        <w:t>fi</w:t>
      </w:r>
      <w:r>
        <w:rPr>
          <w:color w:val="4F81BC"/>
        </w:rPr>
        <w:t>lls</w:t>
      </w:r>
      <w:r>
        <w:rPr>
          <w:color w:val="4F81BC"/>
          <w:spacing w:val="-1"/>
        </w:rPr>
        <w:t> </w:t>
      </w:r>
      <w:r>
        <w:rPr>
          <w:color w:val="4F81BC"/>
        </w:rPr>
        <w:t>(Fills)</w:t>
      </w:r>
    </w:p>
    <w:p>
      <w:pPr>
        <w:pStyle w:val="BodyText"/>
        <w:spacing w:line="276" w:lineRule="auto" w:before="123"/>
        <w:ind w:left="220" w:right="848"/>
      </w:pPr>
      <w:r>
        <w:rPr/>
        <w:t>This element defines the cell fills portion of the Styles part, consisting of a sequence of </w:t>
      </w:r>
      <w:r>
        <w:rPr>
          <w:rFonts w:ascii="Cambria"/>
        </w:rPr>
        <w:t>fill </w:t>
      </w:r>
      <w:r>
        <w:rPr/>
        <w:t>records. A cell fill consists of a background color, foreground color, and pattern to be applied across the cell.</w:t>
      </w:r>
    </w:p>
    <w:p>
      <w:pPr>
        <w:pStyle w:val="BodyText"/>
        <w:spacing w:before="6"/>
        <w:rPr>
          <w:sz w:val="16"/>
        </w:rPr>
      </w:pPr>
    </w:p>
    <w:p>
      <w:pPr>
        <w:pStyle w:val="BodyText"/>
        <w:ind w:left="220"/>
      </w:pPr>
      <w:r>
        <w:rPr/>
        <w:t>[</w:t>
      </w:r>
      <w:r>
        <w:rPr>
          <w:i/>
        </w:rPr>
        <w:t>Example</w:t>
      </w:r>
      <w:r>
        <w:rPr/>
        <w:t>: This cell has a yellow fill:</w:t>
      </w:r>
    </w:p>
    <w:p>
      <w:pPr>
        <w:pStyle w:val="BodyText"/>
        <w:spacing w:before="5"/>
        <w:rPr>
          <w:sz w:val="16"/>
        </w:rPr>
      </w:pPr>
      <w:r>
        <w:rPr/>
        <w:drawing>
          <wp:anchor distT="0" distB="0" distL="0" distR="0" allowOverlap="1" layoutInCell="1" locked="0" behindDoc="0" simplePos="0" relativeHeight="11">
            <wp:simplePos x="0" y="0"/>
            <wp:positionH relativeFrom="page">
              <wp:posOffset>685800</wp:posOffset>
            </wp:positionH>
            <wp:positionV relativeFrom="paragraph">
              <wp:posOffset>152464</wp:posOffset>
            </wp:positionV>
            <wp:extent cx="895009" cy="386619"/>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79" cstate="print"/>
                    <a:stretch>
                      <a:fillRect/>
                    </a:stretch>
                  </pic:blipFill>
                  <pic:spPr>
                    <a:xfrm>
                      <a:off x="0" y="0"/>
                      <a:ext cx="895009" cy="386619"/>
                    </a:xfrm>
                    <a:prstGeom prst="rect">
                      <a:avLst/>
                    </a:prstGeom>
                  </pic:spPr>
                </pic:pic>
              </a:graphicData>
            </a:graphic>
          </wp:anchor>
        </w:drawing>
      </w:r>
    </w:p>
    <w:p>
      <w:pPr>
        <w:pStyle w:val="BodyText"/>
        <w:spacing w:before="4"/>
        <w:rPr>
          <w:sz w:val="17"/>
        </w:rPr>
      </w:pPr>
    </w:p>
    <w:p>
      <w:pPr>
        <w:pStyle w:val="BodyText"/>
        <w:spacing w:before="1"/>
        <w:ind w:left="220"/>
      </w:pPr>
      <w:r>
        <w:rPr/>
        <w:t>This is the corresponding XML:</w:t>
      </w:r>
    </w:p>
    <w:p>
      <w:pPr>
        <w:pStyle w:val="BodyText"/>
        <w:spacing w:before="8"/>
        <w:rPr>
          <w:sz w:val="19"/>
        </w:rPr>
      </w:pPr>
    </w:p>
    <w:p>
      <w:pPr>
        <w:pStyle w:val="BodyText"/>
        <w:ind w:left="508"/>
        <w:rPr>
          <w:rFonts w:ascii="Consolas"/>
        </w:rPr>
      </w:pPr>
      <w:r>
        <w:rPr>
          <w:rFonts w:ascii="Consolas"/>
        </w:rPr>
        <w:t>&lt;fill&gt;</w:t>
      </w:r>
    </w:p>
    <w:p>
      <w:pPr>
        <w:pStyle w:val="BodyText"/>
        <w:spacing w:before="40"/>
        <w:ind w:left="750"/>
        <w:rPr>
          <w:rFonts w:ascii="Consolas"/>
        </w:rPr>
      </w:pPr>
      <w:r>
        <w:rPr>
          <w:rFonts w:ascii="Consolas"/>
        </w:rPr>
        <w:t>&lt;patternFill patternType="solid"&gt;</w:t>
      </w:r>
    </w:p>
    <w:p>
      <w:pPr>
        <w:pStyle w:val="BodyText"/>
        <w:spacing w:before="37"/>
        <w:ind w:left="993"/>
        <w:rPr>
          <w:rFonts w:ascii="Consolas"/>
        </w:rPr>
      </w:pPr>
      <w:r>
        <w:rPr>
          <w:rFonts w:ascii="Consolas"/>
        </w:rPr>
        <w:t>&lt;fgColor rgb="FFFFFF00"/&gt;</w:t>
      </w:r>
    </w:p>
    <w:p>
      <w:pPr>
        <w:pStyle w:val="BodyText"/>
        <w:spacing w:before="38"/>
        <w:ind w:left="993"/>
        <w:rPr>
          <w:rFonts w:ascii="Consolas"/>
        </w:rPr>
      </w:pPr>
      <w:r>
        <w:rPr>
          <w:rFonts w:ascii="Consolas"/>
        </w:rPr>
        <w:t>&lt;bgColor indexed="64"/&gt;</w:t>
      </w:r>
    </w:p>
    <w:p>
      <w:pPr>
        <w:pStyle w:val="BodyText"/>
        <w:spacing w:before="40"/>
        <w:ind w:left="750"/>
        <w:rPr>
          <w:rFonts w:ascii="Consolas"/>
        </w:rPr>
      </w:pPr>
      <w:r>
        <w:rPr>
          <w:rFonts w:ascii="Consolas"/>
        </w:rPr>
        <w:t>&lt;/patternFill&gt;</w:t>
      </w:r>
    </w:p>
    <w:p>
      <w:pPr>
        <w:pStyle w:val="BodyText"/>
        <w:spacing w:before="38"/>
        <w:ind w:left="508"/>
        <w:rPr>
          <w:rFonts w:ascii="Consolas"/>
        </w:rPr>
      </w:pPr>
      <w:r>
        <w:rPr>
          <w:rFonts w:ascii="Consolas"/>
        </w:rPr>
        <w:t>&lt;/fill&gt;</w:t>
      </w:r>
    </w:p>
    <w:p>
      <w:pPr>
        <w:pStyle w:val="BodyText"/>
        <w:spacing w:before="5"/>
        <w:rPr>
          <w:rFonts w:ascii="Consolas"/>
          <w:sz w:val="20"/>
        </w:rPr>
      </w:pPr>
    </w:p>
    <w:p>
      <w:pPr>
        <w:pStyle w:val="BodyText"/>
        <w:ind w:left="220"/>
      </w:pPr>
      <w:r>
        <w:rPr/>
        <w:t>This cell has a yellow fill with a thin horizontal crosshatch pattern applied (</w:t>
      </w:r>
      <w:r>
        <w:rPr>
          <w:rFonts w:ascii="Cambria"/>
        </w:rPr>
        <w:t>patternType </w:t>
      </w:r>
      <w:r>
        <w:rPr/>
        <w:t>= </w:t>
      </w:r>
      <w:r>
        <w:rPr>
          <w:rFonts w:ascii="Consolas"/>
          <w:sz w:val="20"/>
        </w:rPr>
        <w:t>lightGrid</w:t>
      </w:r>
      <w:r>
        <w:rPr/>
        <w:t>):</w:t>
      </w:r>
    </w:p>
    <w:p>
      <w:pPr>
        <w:pStyle w:val="BodyText"/>
        <w:spacing w:before="5"/>
        <w:rPr>
          <w:sz w:val="16"/>
        </w:rPr>
      </w:pPr>
      <w:r>
        <w:rPr/>
        <w:drawing>
          <wp:anchor distT="0" distB="0" distL="0" distR="0" allowOverlap="1" layoutInCell="1" locked="0" behindDoc="0" simplePos="0" relativeHeight="12">
            <wp:simplePos x="0" y="0"/>
            <wp:positionH relativeFrom="page">
              <wp:posOffset>685800</wp:posOffset>
            </wp:positionH>
            <wp:positionV relativeFrom="paragraph">
              <wp:posOffset>152159</wp:posOffset>
            </wp:positionV>
            <wp:extent cx="818903" cy="386619"/>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80" cstate="print"/>
                    <a:stretch>
                      <a:fillRect/>
                    </a:stretch>
                  </pic:blipFill>
                  <pic:spPr>
                    <a:xfrm>
                      <a:off x="0" y="0"/>
                      <a:ext cx="818903" cy="386619"/>
                    </a:xfrm>
                    <a:prstGeom prst="rect">
                      <a:avLst/>
                    </a:prstGeom>
                  </pic:spPr>
                </pic:pic>
              </a:graphicData>
            </a:graphic>
          </wp:anchor>
        </w:drawing>
      </w:r>
    </w:p>
    <w:p>
      <w:pPr>
        <w:pStyle w:val="BodyText"/>
        <w:spacing w:before="213"/>
        <w:ind w:left="220"/>
      </w:pPr>
      <w:r>
        <w:rPr/>
        <w:t>This is the corresponding XML:</w:t>
      </w:r>
    </w:p>
    <w:p>
      <w:pPr>
        <w:spacing w:after="0"/>
        <w:sectPr>
          <w:pgSz w:w="12240" w:h="15840"/>
          <w:pgMar w:header="763" w:footer="746" w:top="1340" w:bottom="940" w:left="860" w:right="700"/>
        </w:sectPr>
      </w:pPr>
    </w:p>
    <w:p>
      <w:pPr>
        <w:pStyle w:val="BodyText"/>
        <w:spacing w:before="93"/>
        <w:ind w:left="508"/>
        <w:rPr>
          <w:rFonts w:ascii="Consolas"/>
        </w:rPr>
      </w:pPr>
      <w:r>
        <w:rPr>
          <w:rFonts w:ascii="Consolas"/>
        </w:rPr>
        <w:t>&lt;fill&gt;</w:t>
      </w:r>
    </w:p>
    <w:p>
      <w:pPr>
        <w:pStyle w:val="BodyText"/>
        <w:spacing w:before="38"/>
        <w:ind w:left="750"/>
        <w:rPr>
          <w:rFonts w:ascii="Consolas"/>
        </w:rPr>
      </w:pPr>
      <w:r>
        <w:rPr>
          <w:rFonts w:ascii="Consolas"/>
        </w:rPr>
        <w:t>&lt;patternFill patternType="lightGrid"&gt;</w:t>
      </w:r>
    </w:p>
    <w:p>
      <w:pPr>
        <w:pStyle w:val="BodyText"/>
        <w:spacing w:before="40"/>
        <w:ind w:left="750"/>
        <w:rPr>
          <w:rFonts w:ascii="Consolas"/>
        </w:rPr>
      </w:pPr>
      <w:r>
        <w:rPr>
          <w:rFonts w:ascii="Consolas"/>
        </w:rPr>
        <w:t>&lt;bgColor rgb="FFFFFF00"/&gt;</w:t>
      </w:r>
    </w:p>
    <w:p>
      <w:pPr>
        <w:pStyle w:val="BodyText"/>
        <w:spacing w:before="37"/>
        <w:ind w:left="750"/>
        <w:rPr>
          <w:rFonts w:ascii="Consolas"/>
        </w:rPr>
      </w:pPr>
      <w:r>
        <w:rPr>
          <w:rFonts w:ascii="Consolas"/>
        </w:rPr>
        <w:t>&lt;/patternFill&gt;</w:t>
      </w:r>
    </w:p>
    <w:p>
      <w:pPr>
        <w:pStyle w:val="BodyText"/>
        <w:spacing w:before="40"/>
        <w:ind w:left="508"/>
        <w:rPr>
          <w:rFonts w:ascii="Consolas"/>
        </w:rPr>
      </w:pPr>
      <w:r>
        <w:rPr>
          <w:rFonts w:ascii="Consolas"/>
        </w:rPr>
        <w:t>&lt;/fill&gt;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1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count </w:t>
            </w:r>
            <w:r>
              <w:rPr>
                <w:sz w:val="22"/>
              </w:rPr>
              <w:t>(Fill Count)</w:t>
            </w:r>
          </w:p>
        </w:tc>
        <w:tc>
          <w:tcPr>
            <w:tcW w:w="8250" w:type="dxa"/>
          </w:tcPr>
          <w:p>
            <w:pPr>
              <w:pStyle w:val="TableParagraph"/>
              <w:rPr>
                <w:sz w:val="22"/>
              </w:rPr>
            </w:pPr>
            <w:r>
              <w:rPr>
                <w:sz w:val="22"/>
              </w:rPr>
              <w:t>Count of </w:t>
            </w:r>
            <w:r>
              <w:rPr>
                <w:rFonts w:ascii="Cambria"/>
                <w:sz w:val="22"/>
              </w:rPr>
              <w:t>fill </w:t>
            </w:r>
            <w:r>
              <w:rPr>
                <w:sz w:val="22"/>
              </w:rPr>
              <w:t>elements.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CT_Fills</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2 font (Font)" w:id="620"/>
      <w:bookmarkEnd w:id="620"/>
      <w:r>
        <w:rPr>
          <w:b w:val="0"/>
        </w:rPr>
      </w:r>
      <w:bookmarkStart w:name="_bookmark205" w:id="621"/>
      <w:bookmarkEnd w:id="621"/>
      <w:r>
        <w:rPr>
          <w:b w:val="0"/>
        </w:rPr>
      </w:r>
      <w:bookmarkStart w:name="_bookmark205" w:id="622"/>
      <w:bookmarkEnd w:id="622"/>
      <w:r>
        <w:rPr>
          <w:color w:val="4F81BC"/>
        </w:rPr>
        <w:t>f</w:t>
      </w:r>
      <w:r>
        <w:rPr>
          <w:color w:val="4F81BC"/>
        </w:rPr>
        <w:t>ont</w:t>
      </w:r>
      <w:r>
        <w:rPr>
          <w:color w:val="4F81BC"/>
          <w:spacing w:val="-2"/>
        </w:rPr>
        <w:t> </w:t>
      </w:r>
      <w:r>
        <w:rPr>
          <w:color w:val="4F81BC"/>
        </w:rPr>
        <w:t>(Font)</w:t>
      </w:r>
    </w:p>
    <w:p>
      <w:pPr>
        <w:pStyle w:val="BodyText"/>
        <w:spacing w:before="126"/>
        <w:ind w:left="220"/>
      </w:pPr>
      <w:r>
        <w:rPr/>
        <w:t>This element defines the properties for one of the fonts used in this workbook.</w:t>
      </w:r>
    </w:p>
    <w:p>
      <w:pPr>
        <w:pStyle w:val="BodyText"/>
        <w:spacing w:before="9"/>
        <w:rPr>
          <w:sz w:val="19"/>
        </w:rPr>
      </w:pPr>
    </w:p>
    <w:p>
      <w:pPr>
        <w:pStyle w:val="BodyText"/>
        <w:ind w:left="220"/>
      </w:pPr>
      <w:r>
        <w:rPr/>
        <w:t>[</w:t>
      </w:r>
      <w:r>
        <w:rPr>
          <w:i/>
        </w:rPr>
        <w:t>Note</w:t>
      </w:r>
      <w:r>
        <w:rPr/>
        <w:t>: The W3C XML Schema definition of this element’s content model (</w:t>
      </w:r>
      <w:r>
        <w:rPr>
          <w:color w:val="5F5F5F"/>
          <w:u w:val="single" w:color="5F5F5F"/>
        </w:rPr>
        <w:t>CT_Font</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3 fonts (Fonts)" w:id="623"/>
      <w:bookmarkEnd w:id="623"/>
      <w:r>
        <w:rPr>
          <w:b w:val="0"/>
        </w:rPr>
      </w:r>
      <w:bookmarkStart w:name="_bookmark206" w:id="624"/>
      <w:bookmarkEnd w:id="624"/>
      <w:r>
        <w:rPr>
          <w:b w:val="0"/>
        </w:rPr>
      </w:r>
      <w:bookmarkStart w:name="_bookmark206" w:id="625"/>
      <w:bookmarkEnd w:id="625"/>
      <w:r>
        <w:rPr>
          <w:color w:val="4F81BC"/>
        </w:rPr>
        <w:t>f</w:t>
      </w:r>
      <w:r>
        <w:rPr>
          <w:color w:val="4F81BC"/>
        </w:rPr>
        <w:t>onts (Fonts)</w:t>
      </w:r>
    </w:p>
    <w:p>
      <w:pPr>
        <w:pStyle w:val="BodyText"/>
        <w:spacing w:before="124"/>
        <w:ind w:left="220"/>
      </w:pPr>
      <w:r>
        <w:rPr/>
        <w:t>This element contains all font definitions for this workbook.</w:t>
      </w:r>
    </w:p>
    <w:p>
      <w:pPr>
        <w:pStyle w:val="BodyText"/>
        <w:spacing w:before="6"/>
        <w:rPr>
          <w:sz w:val="19"/>
        </w:rPr>
      </w:pPr>
    </w:p>
    <w:p>
      <w:pPr>
        <w:pStyle w:val="BodyText"/>
        <w:spacing w:line="278" w:lineRule="auto"/>
        <w:ind w:left="220" w:right="601"/>
      </w:pPr>
      <w:r>
        <w:rPr/>
        <w:t>[</w:t>
      </w:r>
      <w:r>
        <w:rPr>
          <w:i/>
        </w:rPr>
        <w:t>Example</w:t>
      </w:r>
      <w:r>
        <w:rPr/>
        <w:t>: This example expresses two fonts in the workbook. A Calibri family font, with font size of 11, and an Arial family font, with font size 12. The second font has strikethrough applied.</w:t>
      </w:r>
    </w:p>
    <w:p>
      <w:pPr>
        <w:pStyle w:val="BodyText"/>
        <w:spacing w:before="2"/>
        <w:rPr>
          <w:sz w:val="16"/>
        </w:rPr>
      </w:pPr>
    </w:p>
    <w:p>
      <w:pPr>
        <w:pStyle w:val="BodyText"/>
        <w:ind w:left="508"/>
        <w:rPr>
          <w:rFonts w:ascii="Consolas"/>
        </w:rPr>
      </w:pPr>
      <w:r>
        <w:rPr>
          <w:rFonts w:ascii="Consolas"/>
        </w:rPr>
        <w:t>&lt;fonts count="2"&gt;</w:t>
      </w:r>
    </w:p>
    <w:p>
      <w:pPr>
        <w:pStyle w:val="BodyText"/>
        <w:spacing w:before="38"/>
        <w:ind w:left="750"/>
        <w:rPr>
          <w:rFonts w:ascii="Consolas"/>
        </w:rPr>
      </w:pPr>
      <w:r>
        <w:rPr>
          <w:rFonts w:ascii="Consolas"/>
        </w:rPr>
        <w:t>&lt;font&gt;</w:t>
      </w:r>
    </w:p>
    <w:p>
      <w:pPr>
        <w:pStyle w:val="BodyText"/>
        <w:spacing w:before="40"/>
        <w:ind w:left="993"/>
        <w:rPr>
          <w:rFonts w:ascii="Consolas"/>
        </w:rPr>
      </w:pPr>
      <w:r>
        <w:rPr>
          <w:rFonts w:ascii="Consolas"/>
        </w:rPr>
        <w:t>&lt;sz val="11"/&gt;</w:t>
      </w:r>
    </w:p>
    <w:p>
      <w:pPr>
        <w:pStyle w:val="BodyText"/>
        <w:spacing w:before="38"/>
        <w:ind w:left="993"/>
        <w:rPr>
          <w:rFonts w:ascii="Consolas"/>
        </w:rPr>
      </w:pPr>
      <w:r>
        <w:rPr>
          <w:rFonts w:ascii="Consolas"/>
        </w:rPr>
        <w:t>&lt;color theme="1"/&gt;</w:t>
      </w:r>
    </w:p>
    <w:p>
      <w:pPr>
        <w:pStyle w:val="BodyText"/>
        <w:spacing w:before="37"/>
        <w:ind w:left="993"/>
        <w:rPr>
          <w:rFonts w:ascii="Consolas"/>
        </w:rPr>
      </w:pPr>
      <w:r>
        <w:rPr>
          <w:rFonts w:ascii="Consolas"/>
        </w:rPr>
        <w:t>&lt;name val="Calibri"/&gt;</w:t>
      </w:r>
    </w:p>
    <w:p>
      <w:pPr>
        <w:pStyle w:val="BodyText"/>
        <w:spacing w:before="40"/>
        <w:ind w:left="993"/>
        <w:rPr>
          <w:rFonts w:ascii="Consolas"/>
        </w:rPr>
      </w:pPr>
      <w:r>
        <w:rPr>
          <w:rFonts w:ascii="Consolas"/>
        </w:rPr>
        <w:t>&lt;family val="2"/&gt;</w:t>
      </w:r>
    </w:p>
    <w:p>
      <w:pPr>
        <w:pStyle w:val="BodyText"/>
        <w:spacing w:before="38"/>
        <w:ind w:left="993"/>
        <w:rPr>
          <w:rFonts w:ascii="Consolas"/>
        </w:rPr>
      </w:pPr>
      <w:r>
        <w:rPr>
          <w:rFonts w:ascii="Consolas"/>
        </w:rPr>
        <w:t>&lt;scheme val="minor"/&gt;</w:t>
      </w:r>
    </w:p>
    <w:p>
      <w:pPr>
        <w:pStyle w:val="BodyText"/>
        <w:spacing w:before="40"/>
        <w:ind w:left="750"/>
        <w:rPr>
          <w:rFonts w:ascii="Consolas"/>
        </w:rPr>
      </w:pPr>
      <w:r>
        <w:rPr>
          <w:rFonts w:ascii="Consolas"/>
        </w:rPr>
        <w:t>&lt;/font&gt;</w:t>
      </w:r>
    </w:p>
    <w:p>
      <w:pPr>
        <w:pStyle w:val="BodyText"/>
        <w:spacing w:before="38"/>
        <w:ind w:left="750"/>
        <w:rPr>
          <w:rFonts w:ascii="Consolas"/>
        </w:rPr>
      </w:pPr>
      <w:r>
        <w:rPr>
          <w:rFonts w:ascii="Consolas"/>
        </w:rPr>
        <w:t>&lt;font&gt;</w:t>
      </w:r>
    </w:p>
    <w:p>
      <w:pPr>
        <w:pStyle w:val="BodyText"/>
        <w:spacing w:before="40"/>
        <w:ind w:left="993"/>
        <w:rPr>
          <w:rFonts w:ascii="Consolas"/>
        </w:rPr>
      </w:pPr>
      <w:r>
        <w:rPr>
          <w:rFonts w:ascii="Consolas"/>
        </w:rPr>
        <w:t>&lt;strike/&gt;</w:t>
      </w:r>
    </w:p>
    <w:p>
      <w:pPr>
        <w:pStyle w:val="BodyText"/>
        <w:spacing w:before="38"/>
        <w:ind w:left="993"/>
        <w:rPr>
          <w:rFonts w:ascii="Consolas"/>
        </w:rPr>
      </w:pPr>
      <w:r>
        <w:rPr>
          <w:rFonts w:ascii="Consolas"/>
        </w:rPr>
        <w:t>&lt;sz val="12"/&gt;</w:t>
      </w:r>
    </w:p>
    <w:p>
      <w:pPr>
        <w:pStyle w:val="BodyText"/>
        <w:spacing w:before="37"/>
        <w:ind w:left="993"/>
        <w:rPr>
          <w:rFonts w:ascii="Consolas"/>
        </w:rPr>
      </w:pPr>
      <w:r>
        <w:rPr>
          <w:rFonts w:ascii="Consolas"/>
        </w:rPr>
        <w:t>&lt;color theme="1"/&gt;</w:t>
      </w:r>
    </w:p>
    <w:p>
      <w:pPr>
        <w:pStyle w:val="BodyText"/>
        <w:spacing w:before="40"/>
        <w:ind w:left="993"/>
        <w:rPr>
          <w:rFonts w:ascii="Consolas"/>
        </w:rPr>
      </w:pPr>
      <w:r>
        <w:rPr>
          <w:rFonts w:ascii="Consolas"/>
        </w:rPr>
        <w:t>&lt;name val="Arial"/&gt;</w:t>
      </w:r>
    </w:p>
    <w:p>
      <w:pPr>
        <w:pStyle w:val="BodyText"/>
        <w:spacing w:before="38"/>
        <w:ind w:left="993"/>
        <w:rPr>
          <w:rFonts w:ascii="Consolas"/>
        </w:rPr>
      </w:pPr>
      <w:r>
        <w:rPr>
          <w:rFonts w:ascii="Consolas"/>
        </w:rPr>
        <w:t>&lt;family val="2"/&gt;</w:t>
      </w:r>
    </w:p>
    <w:p>
      <w:pPr>
        <w:pStyle w:val="BodyText"/>
        <w:spacing w:before="40"/>
        <w:ind w:left="750"/>
        <w:rPr>
          <w:rFonts w:ascii="Consolas"/>
        </w:rPr>
      </w:pPr>
      <w:r>
        <w:rPr>
          <w:rFonts w:ascii="Consolas"/>
        </w:rPr>
        <w:t>&lt;/font&gt;</w:t>
      </w:r>
    </w:p>
    <w:p>
      <w:pPr>
        <w:pStyle w:val="BodyText"/>
        <w:spacing w:before="37"/>
        <w:ind w:left="508"/>
        <w:rPr>
          <w:rFonts w:ascii="Consolas"/>
        </w:rPr>
      </w:pPr>
      <w:r>
        <w:rPr>
          <w:rFonts w:ascii="Consolas"/>
        </w:rPr>
        <w:t>&lt;/fonts&gt;</w:t>
      </w:r>
    </w:p>
    <w:p>
      <w:pPr>
        <w:spacing w:after="0"/>
        <w:rPr>
          <w:rFonts w:ascii="Consolas"/>
        </w:rPr>
        <w:sectPr>
          <w:pgSz w:w="12240" w:h="15840"/>
          <w:pgMar w:header="761" w:footer="746" w:top="1340" w:bottom="940" w:left="860" w:right="700"/>
        </w:sectPr>
      </w:pPr>
    </w:p>
    <w:p>
      <w:pPr>
        <w:spacing w:before="150"/>
        <w:ind w:left="220" w:right="0" w:firstLine="0"/>
        <w:jc w:val="left"/>
        <w:rPr>
          <w:sz w:val="22"/>
        </w:rPr>
      </w:pPr>
      <w:r>
        <w:rPr>
          <w:i/>
          <w:sz w:val="22"/>
        </w:rPr>
        <w:t>end example</w:t>
      </w:r>
      <w:r>
        <w:rPr>
          <w:sz w:val="22"/>
        </w:rPr>
        <w:t>]</w:t>
      </w:r>
    </w:p>
    <w:p>
      <w:pPr>
        <w:pStyle w:val="BodyText"/>
        <w:spacing w:before="9"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23" w:right="129"/>
              <w:jc w:val="center"/>
              <w:rPr>
                <w:sz w:val="22"/>
              </w:rPr>
            </w:pPr>
            <w:r>
              <w:rPr>
                <w:rFonts w:ascii="Cambria"/>
                <w:sz w:val="22"/>
              </w:rPr>
              <w:t>count </w:t>
            </w:r>
            <w:r>
              <w:rPr>
                <w:sz w:val="22"/>
              </w:rPr>
              <w:t>(Font Count)</w:t>
            </w:r>
          </w:p>
        </w:tc>
        <w:tc>
          <w:tcPr>
            <w:tcW w:w="8250" w:type="dxa"/>
          </w:tcPr>
          <w:p>
            <w:pPr>
              <w:pStyle w:val="TableParagraph"/>
              <w:rPr>
                <w:sz w:val="22"/>
              </w:rPr>
            </w:pPr>
            <w:r>
              <w:rPr>
                <w:sz w:val="22"/>
              </w:rPr>
              <w:t>Count of font elements.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CT_Fonts</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4 gradientFill (Gradient)" w:id="626"/>
      <w:bookmarkEnd w:id="626"/>
      <w:r>
        <w:rPr>
          <w:b w:val="0"/>
        </w:rPr>
      </w:r>
      <w:bookmarkStart w:name="_bookmark207" w:id="627"/>
      <w:bookmarkEnd w:id="627"/>
      <w:r>
        <w:rPr>
          <w:b w:val="0"/>
        </w:rPr>
      </w:r>
      <w:bookmarkStart w:name="_bookmark207" w:id="628"/>
      <w:bookmarkEnd w:id="628"/>
      <w:r>
        <w:rPr>
          <w:color w:val="4F81BC"/>
        </w:rPr>
        <w:t>grad</w:t>
      </w:r>
      <w:r>
        <w:rPr>
          <w:color w:val="4F81BC"/>
        </w:rPr>
        <w:t>ientFill</w:t>
      </w:r>
      <w:r>
        <w:rPr>
          <w:color w:val="4F81BC"/>
          <w:spacing w:val="-2"/>
        </w:rPr>
        <w:t> </w:t>
      </w:r>
      <w:r>
        <w:rPr>
          <w:color w:val="4F81BC"/>
        </w:rPr>
        <w:t>(Gradient)</w:t>
      </w:r>
    </w:p>
    <w:p>
      <w:pPr>
        <w:pStyle w:val="BodyText"/>
        <w:spacing w:line="278" w:lineRule="auto" w:before="122"/>
        <w:ind w:left="220" w:right="758"/>
      </w:pPr>
      <w:r>
        <w:rPr/>
        <w:t>This element defines a gradient-style cell fill. Gradient cell fills can use one or two colors as the end points of color interpolation.</w:t>
      </w:r>
    </w:p>
    <w:p>
      <w:pPr>
        <w:pStyle w:val="BodyText"/>
        <w:spacing w:before="3"/>
        <w:rPr>
          <w:sz w:val="16"/>
        </w:rPr>
      </w:pPr>
    </w:p>
    <w:p>
      <w:pPr>
        <w:spacing w:before="0"/>
        <w:ind w:left="27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220"/>
      </w:pPr>
      <w:r>
        <w:rPr/>
        <w:t>This example shows a gradient cell fill, with color green at the top transitioning into blue at the bottom.</w:t>
      </w:r>
    </w:p>
    <w:p>
      <w:pPr>
        <w:pStyle w:val="BodyText"/>
        <w:spacing w:before="6"/>
        <w:rPr>
          <w:sz w:val="16"/>
        </w:rPr>
      </w:pPr>
      <w:r>
        <w:rPr/>
        <w:drawing>
          <wp:anchor distT="0" distB="0" distL="0" distR="0" allowOverlap="1" layoutInCell="1" locked="0" behindDoc="0" simplePos="0" relativeHeight="13">
            <wp:simplePos x="0" y="0"/>
            <wp:positionH relativeFrom="page">
              <wp:posOffset>685800</wp:posOffset>
            </wp:positionH>
            <wp:positionV relativeFrom="paragraph">
              <wp:posOffset>152785</wp:posOffset>
            </wp:positionV>
            <wp:extent cx="858800" cy="414909"/>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81" cstate="print"/>
                    <a:stretch>
                      <a:fillRect/>
                    </a:stretch>
                  </pic:blipFill>
                  <pic:spPr>
                    <a:xfrm>
                      <a:off x="0" y="0"/>
                      <a:ext cx="858800" cy="414909"/>
                    </a:xfrm>
                    <a:prstGeom prst="rect">
                      <a:avLst/>
                    </a:prstGeom>
                  </pic:spPr>
                </pic:pic>
              </a:graphicData>
            </a:graphic>
          </wp:anchor>
        </w:drawing>
      </w:r>
    </w:p>
    <w:p>
      <w:pPr>
        <w:pStyle w:val="BodyText"/>
        <w:spacing w:before="3"/>
        <w:rPr>
          <w:sz w:val="17"/>
        </w:rPr>
      </w:pPr>
    </w:p>
    <w:p>
      <w:pPr>
        <w:pStyle w:val="BodyText"/>
        <w:ind w:left="220"/>
      </w:pPr>
      <w:r>
        <w:rPr/>
        <w:t>This is the XML:</w:t>
      </w:r>
    </w:p>
    <w:p>
      <w:pPr>
        <w:pStyle w:val="BodyText"/>
        <w:spacing w:before="8"/>
        <w:rPr>
          <w:sz w:val="19"/>
        </w:rPr>
      </w:pPr>
    </w:p>
    <w:p>
      <w:pPr>
        <w:pStyle w:val="BodyText"/>
        <w:ind w:left="508"/>
        <w:rPr>
          <w:rFonts w:ascii="Consolas"/>
        </w:rPr>
      </w:pPr>
      <w:r>
        <w:rPr>
          <w:rFonts w:ascii="Consolas"/>
        </w:rPr>
        <w:t>&lt;fill&gt;</w:t>
      </w:r>
    </w:p>
    <w:p>
      <w:pPr>
        <w:pStyle w:val="BodyText"/>
        <w:spacing w:before="38"/>
        <w:ind w:left="750"/>
        <w:rPr>
          <w:rFonts w:ascii="Consolas"/>
        </w:rPr>
      </w:pPr>
      <w:r>
        <w:rPr>
          <w:rFonts w:ascii="Consolas"/>
        </w:rPr>
        <w:t>&lt;gradientFill degree="90"&gt;</w:t>
      </w:r>
    </w:p>
    <w:p>
      <w:pPr>
        <w:pStyle w:val="BodyText"/>
        <w:spacing w:before="40"/>
        <w:ind w:left="993"/>
        <w:rPr>
          <w:rFonts w:ascii="Consolas"/>
        </w:rPr>
      </w:pPr>
      <w:r>
        <w:rPr>
          <w:rFonts w:ascii="Consolas"/>
        </w:rPr>
        <w:t>&lt;stop position="0"&gt;</w:t>
      </w:r>
    </w:p>
    <w:p>
      <w:pPr>
        <w:pStyle w:val="BodyText"/>
        <w:spacing w:before="38"/>
        <w:ind w:left="1235"/>
        <w:rPr>
          <w:rFonts w:ascii="Consolas"/>
        </w:rPr>
      </w:pPr>
      <w:r>
        <w:rPr>
          <w:rFonts w:ascii="Consolas"/>
        </w:rPr>
        <w:t>&lt;color rgb="FF92D050"/&gt;</w:t>
      </w:r>
    </w:p>
    <w:p>
      <w:pPr>
        <w:pStyle w:val="BodyText"/>
        <w:spacing w:before="40"/>
        <w:ind w:left="993"/>
        <w:rPr>
          <w:rFonts w:ascii="Consolas"/>
        </w:rPr>
      </w:pPr>
      <w:r>
        <w:rPr>
          <w:rFonts w:ascii="Consolas"/>
        </w:rPr>
        <w:t>&lt;/stop&gt;</w:t>
      </w:r>
    </w:p>
    <w:p>
      <w:pPr>
        <w:pStyle w:val="BodyText"/>
        <w:spacing w:before="37"/>
        <w:ind w:left="993"/>
        <w:rPr>
          <w:rFonts w:ascii="Consolas"/>
        </w:rPr>
      </w:pPr>
      <w:r>
        <w:rPr>
          <w:rFonts w:ascii="Consolas"/>
        </w:rPr>
        <w:t>&lt;stop position="1"&gt;</w:t>
      </w:r>
    </w:p>
    <w:p>
      <w:pPr>
        <w:pStyle w:val="BodyText"/>
        <w:spacing w:before="40"/>
        <w:ind w:left="1235"/>
        <w:rPr>
          <w:rFonts w:ascii="Consolas"/>
        </w:rPr>
      </w:pPr>
      <w:r>
        <w:rPr>
          <w:rFonts w:ascii="Consolas"/>
        </w:rPr>
        <w:t>&lt;color rgb="FF0070C0"/&gt;</w:t>
      </w:r>
    </w:p>
    <w:p>
      <w:pPr>
        <w:pStyle w:val="BodyText"/>
        <w:spacing w:before="38"/>
        <w:ind w:left="993"/>
        <w:rPr>
          <w:rFonts w:ascii="Consolas"/>
        </w:rPr>
      </w:pPr>
      <w:r>
        <w:rPr>
          <w:rFonts w:ascii="Consolas"/>
        </w:rPr>
        <w:t>&lt;/stop&gt;</w:t>
      </w:r>
    </w:p>
    <w:p>
      <w:pPr>
        <w:pStyle w:val="BodyText"/>
        <w:spacing w:before="38"/>
        <w:ind w:left="750"/>
        <w:rPr>
          <w:rFonts w:ascii="Consolas"/>
        </w:rPr>
      </w:pPr>
      <w:r>
        <w:rPr>
          <w:rFonts w:ascii="Consolas"/>
        </w:rPr>
        <w:t>&lt;/gradientFill&gt;</w:t>
      </w:r>
    </w:p>
    <w:p>
      <w:pPr>
        <w:pStyle w:val="BodyText"/>
        <w:spacing w:before="40"/>
        <w:ind w:left="508"/>
        <w:rPr>
          <w:rFonts w:ascii="Consolas"/>
        </w:rPr>
      </w:pPr>
      <w:r>
        <w:rPr>
          <w:rFonts w:ascii="Consolas"/>
        </w:rPr>
        <w:t>&lt;/fill&gt;</w:t>
      </w:r>
    </w:p>
    <w:p>
      <w:pPr>
        <w:pStyle w:val="BodyText"/>
        <w:spacing w:before="2"/>
        <w:rPr>
          <w:rFonts w:ascii="Consolas"/>
          <w:sz w:val="20"/>
        </w:rPr>
      </w:pPr>
    </w:p>
    <w:p>
      <w:pPr>
        <w:pStyle w:val="BodyText"/>
        <w:spacing w:line="276" w:lineRule="auto"/>
        <w:ind w:left="220" w:right="734"/>
      </w:pPr>
      <w:r>
        <w:rPr/>
        <w:t>This example shows a gradient cell fill, from the center. Note the </w:t>
      </w:r>
      <w:r>
        <w:rPr>
          <w:rFonts w:ascii="Cambria"/>
        </w:rPr>
        <w:t>left</w:t>
      </w:r>
      <w:r>
        <w:rPr/>
        <w:t>, </w:t>
      </w:r>
      <w:r>
        <w:rPr>
          <w:rFonts w:ascii="Cambria"/>
        </w:rPr>
        <w:t>right</w:t>
      </w:r>
      <w:r>
        <w:rPr/>
        <w:t>, </w:t>
      </w:r>
      <w:r>
        <w:rPr>
          <w:rFonts w:ascii="Cambria"/>
        </w:rPr>
        <w:t>top</w:t>
      </w:r>
      <w:r>
        <w:rPr/>
        <w:t>, and </w:t>
      </w:r>
      <w:r>
        <w:rPr>
          <w:rFonts w:ascii="Cambria"/>
        </w:rPr>
        <w:t>bottom </w:t>
      </w:r>
      <w:r>
        <w:rPr/>
        <w:t>values (and see explanation in the attribute section):</w:t>
      </w:r>
    </w:p>
    <w:p>
      <w:pPr>
        <w:pStyle w:val="BodyText"/>
        <w:spacing w:before="2"/>
        <w:rPr>
          <w:sz w:val="13"/>
        </w:rPr>
      </w:pPr>
      <w:r>
        <w:rPr/>
        <w:drawing>
          <wp:anchor distT="0" distB="0" distL="0" distR="0" allowOverlap="1" layoutInCell="1" locked="0" behindDoc="0" simplePos="0" relativeHeight="14">
            <wp:simplePos x="0" y="0"/>
            <wp:positionH relativeFrom="page">
              <wp:posOffset>685800</wp:posOffset>
            </wp:positionH>
            <wp:positionV relativeFrom="paragraph">
              <wp:posOffset>127355</wp:posOffset>
            </wp:positionV>
            <wp:extent cx="1674730" cy="1254156"/>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82" cstate="print"/>
                    <a:stretch>
                      <a:fillRect/>
                    </a:stretch>
                  </pic:blipFill>
                  <pic:spPr>
                    <a:xfrm>
                      <a:off x="0" y="0"/>
                      <a:ext cx="1674730" cy="1254156"/>
                    </a:xfrm>
                    <a:prstGeom prst="rect">
                      <a:avLst/>
                    </a:prstGeom>
                  </pic:spPr>
                </pic:pic>
              </a:graphicData>
            </a:graphic>
          </wp:anchor>
        </w:drawing>
      </w:r>
    </w:p>
    <w:p>
      <w:pPr>
        <w:spacing w:after="0"/>
        <w:rPr>
          <w:sz w:val="13"/>
        </w:rPr>
        <w:sectPr>
          <w:pgSz w:w="12240" w:h="15840"/>
          <w:pgMar w:header="763" w:footer="746" w:top="1340" w:bottom="940" w:left="860" w:right="700"/>
        </w:sectPr>
      </w:pPr>
    </w:p>
    <w:p>
      <w:pPr>
        <w:pStyle w:val="BodyText"/>
        <w:spacing w:before="93"/>
        <w:ind w:left="508"/>
        <w:rPr>
          <w:rFonts w:ascii="Consolas"/>
        </w:rPr>
      </w:pPr>
      <w:r>
        <w:rPr/>
        <w:drawing>
          <wp:anchor distT="0" distB="0" distL="0" distR="0" allowOverlap="1" layoutInCell="1" locked="0" behindDoc="1" simplePos="0" relativeHeight="167349248">
            <wp:simplePos x="0" y="0"/>
            <wp:positionH relativeFrom="page">
              <wp:posOffset>2014727</wp:posOffset>
            </wp:positionH>
            <wp:positionV relativeFrom="page">
              <wp:posOffset>5788152</wp:posOffset>
            </wp:positionV>
            <wp:extent cx="838200" cy="342900"/>
            <wp:effectExtent l="0" t="0" r="0" b="0"/>
            <wp:wrapNone/>
            <wp:docPr id="35" name="image18.png"/>
            <wp:cNvGraphicFramePr>
              <a:graphicFrameLocks noChangeAspect="1"/>
            </wp:cNvGraphicFramePr>
            <a:graphic>
              <a:graphicData uri="http://schemas.openxmlformats.org/drawingml/2006/picture">
                <pic:pic>
                  <pic:nvPicPr>
                    <pic:cNvPr id="36" name="image18.png"/>
                    <pic:cNvPicPr/>
                  </pic:nvPicPr>
                  <pic:blipFill>
                    <a:blip r:embed="rId85" cstate="print"/>
                    <a:stretch>
                      <a:fillRect/>
                    </a:stretch>
                  </pic:blipFill>
                  <pic:spPr>
                    <a:xfrm>
                      <a:off x="0" y="0"/>
                      <a:ext cx="838200" cy="342900"/>
                    </a:xfrm>
                    <a:prstGeom prst="rect">
                      <a:avLst/>
                    </a:prstGeom>
                  </pic:spPr>
                </pic:pic>
              </a:graphicData>
            </a:graphic>
          </wp:anchor>
        </w:drawing>
      </w:r>
      <w:r>
        <w:rPr>
          <w:rFonts w:ascii="Consolas"/>
        </w:rPr>
        <w:t>&lt;fill&gt;</w:t>
      </w:r>
    </w:p>
    <w:p>
      <w:pPr>
        <w:pStyle w:val="BodyText"/>
        <w:spacing w:before="38"/>
        <w:ind w:left="750"/>
        <w:rPr>
          <w:rFonts w:ascii="Consolas"/>
        </w:rPr>
      </w:pPr>
      <w:r>
        <w:rPr>
          <w:rFonts w:ascii="Consolas"/>
        </w:rPr>
        <w:t>&lt;gradientFill type="path" left="0.2" right="0.8" top="0.2" bottom="0.8"&gt;</w:t>
      </w:r>
    </w:p>
    <w:p>
      <w:pPr>
        <w:pStyle w:val="BodyText"/>
        <w:spacing w:before="40"/>
        <w:ind w:left="993"/>
        <w:rPr>
          <w:rFonts w:ascii="Consolas"/>
        </w:rPr>
      </w:pPr>
      <w:r>
        <w:rPr>
          <w:rFonts w:ascii="Consolas"/>
        </w:rPr>
        <w:t>&lt;stop position="0"&gt;</w:t>
      </w:r>
    </w:p>
    <w:p>
      <w:pPr>
        <w:pStyle w:val="BodyText"/>
        <w:spacing w:before="37"/>
        <w:ind w:left="1235"/>
        <w:rPr>
          <w:rFonts w:ascii="Consolas"/>
        </w:rPr>
      </w:pPr>
      <w:r>
        <w:rPr>
          <w:rFonts w:ascii="Consolas"/>
        </w:rPr>
        <w:t>&lt;color theme="0"/&gt;</w:t>
      </w:r>
    </w:p>
    <w:p>
      <w:pPr>
        <w:pStyle w:val="BodyText"/>
        <w:spacing w:before="40"/>
        <w:ind w:left="993"/>
        <w:rPr>
          <w:rFonts w:ascii="Consolas"/>
        </w:rPr>
      </w:pPr>
      <w:r>
        <w:rPr>
          <w:rFonts w:ascii="Consolas"/>
        </w:rPr>
        <w:t>&lt;/stop&gt;</w:t>
      </w:r>
    </w:p>
    <w:p>
      <w:pPr>
        <w:pStyle w:val="BodyText"/>
        <w:spacing w:before="38"/>
        <w:ind w:left="993"/>
        <w:rPr>
          <w:rFonts w:ascii="Consolas"/>
        </w:rPr>
      </w:pPr>
      <w:r>
        <w:rPr>
          <w:rFonts w:ascii="Consolas"/>
        </w:rPr>
        <w:t>&lt;stop position="1"&gt;</w:t>
      </w:r>
    </w:p>
    <w:p>
      <w:pPr>
        <w:pStyle w:val="BodyText"/>
        <w:spacing w:before="40"/>
        <w:ind w:left="1235"/>
        <w:rPr>
          <w:rFonts w:ascii="Consolas"/>
        </w:rPr>
      </w:pPr>
      <w:r>
        <w:rPr>
          <w:rFonts w:ascii="Consolas"/>
        </w:rPr>
        <w:t>&lt;color theme="4"/&gt;</w:t>
      </w:r>
    </w:p>
    <w:p>
      <w:pPr>
        <w:pStyle w:val="BodyText"/>
        <w:spacing w:before="37"/>
        <w:ind w:left="993"/>
        <w:rPr>
          <w:rFonts w:ascii="Consolas"/>
        </w:rPr>
      </w:pPr>
      <w:r>
        <w:rPr>
          <w:rFonts w:ascii="Consolas"/>
        </w:rPr>
        <w:t>&lt;/stop&gt;</w:t>
      </w:r>
    </w:p>
    <w:p>
      <w:pPr>
        <w:pStyle w:val="BodyText"/>
        <w:spacing w:before="38"/>
        <w:ind w:left="750"/>
        <w:rPr>
          <w:rFonts w:ascii="Consolas"/>
        </w:rPr>
      </w:pPr>
      <w:r>
        <w:rPr>
          <w:rFonts w:ascii="Consolas"/>
        </w:rPr>
        <w:t>&lt;/gradientFill&gt;</w:t>
      </w:r>
    </w:p>
    <w:p>
      <w:pPr>
        <w:pStyle w:val="BodyText"/>
        <w:spacing w:before="40"/>
        <w:ind w:left="508"/>
        <w:rPr>
          <w:rFonts w:ascii="Consolas"/>
        </w:rPr>
      </w:pPr>
      <w:r>
        <w:rPr>
          <w:rFonts w:ascii="Consolas"/>
        </w:rPr>
        <w:t>&lt;/fill&gt;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441"/>
              <w:rPr>
                <w:sz w:val="22"/>
              </w:rPr>
            </w:pPr>
            <w:r>
              <w:rPr>
                <w:rFonts w:ascii="Cambria"/>
                <w:sz w:val="22"/>
              </w:rPr>
              <w:t>bottom </w:t>
            </w:r>
            <w:r>
              <w:rPr>
                <w:sz w:val="22"/>
              </w:rPr>
              <w:t>(Bottom Convergence)</w:t>
            </w:r>
          </w:p>
        </w:tc>
        <w:tc>
          <w:tcPr>
            <w:tcW w:w="8250" w:type="dxa"/>
          </w:tcPr>
          <w:p>
            <w:pPr>
              <w:pStyle w:val="TableParagraph"/>
              <w:ind w:right="163"/>
              <w:rPr>
                <w:sz w:val="22"/>
              </w:rPr>
            </w:pPr>
            <w:r>
              <w:rPr>
                <w:sz w:val="22"/>
              </w:rPr>
              <w:t>This attribute is restricted to values ranging from 0 to 1. Specifies in percentage format (from the top to the bottom) the position of the bottom edge of the inner rectangle (color 1). For </w:t>
            </w:r>
            <w:r>
              <w:rPr>
                <w:rFonts w:ascii="Cambria"/>
                <w:sz w:val="22"/>
              </w:rPr>
              <w:t>bottom</w:t>
            </w:r>
            <w:r>
              <w:rPr>
                <w:sz w:val="22"/>
              </w:rPr>
              <w:t>, 0 means the bottom edge of the inner rectangle is on the top edge of the cell, and 1 means it is on the bottom edge of the cell.</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6917" w:hRule="atLeast"/>
        </w:trPr>
        <w:tc>
          <w:tcPr>
            <w:tcW w:w="2062" w:type="dxa"/>
          </w:tcPr>
          <w:p>
            <w:pPr>
              <w:pStyle w:val="TableParagraph"/>
              <w:ind w:right="370"/>
              <w:rPr>
                <w:sz w:val="22"/>
              </w:rPr>
            </w:pPr>
            <w:r>
              <w:rPr>
                <w:rFonts w:ascii="Cambria"/>
                <w:sz w:val="22"/>
              </w:rPr>
              <w:t>degree </w:t>
            </w:r>
            <w:r>
              <w:rPr>
                <w:sz w:val="22"/>
              </w:rPr>
              <w:t>(Linear Gradient Degree)</w:t>
            </w:r>
          </w:p>
        </w:tc>
        <w:tc>
          <w:tcPr>
            <w:tcW w:w="8250" w:type="dxa"/>
          </w:tcPr>
          <w:p>
            <w:pPr>
              <w:pStyle w:val="TableParagraph"/>
              <w:rPr>
                <w:sz w:val="22"/>
              </w:rPr>
            </w:pPr>
            <w:r>
              <w:rPr>
                <w:sz w:val="22"/>
              </w:rPr>
              <w:t>Angle of the linear gradient - vertical, horizontal, diagonal.</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p>
            <w:pPr>
              <w:pStyle w:val="TableParagraph"/>
              <w:spacing w:line="477" w:lineRule="auto" w:before="0"/>
              <w:ind w:right="3300"/>
              <w:rPr>
                <w:sz w:val="22"/>
              </w:rPr>
            </w:pPr>
            <w:r>
              <w:rPr>
                <w:sz w:val="22"/>
              </w:rPr>
              <w:t>In these examples, color 1 is white and color 2 is blue. 90 = Horizontal &amp; color 1 to color 2</w:t>
            </w:r>
          </w:p>
          <w:p>
            <w:pPr>
              <w:pStyle w:val="TableParagraph"/>
              <w:spacing w:before="0"/>
              <w:ind w:left="0"/>
              <w:rPr>
                <w:sz w:val="22"/>
              </w:rPr>
            </w:pPr>
          </w:p>
          <w:p>
            <w:pPr>
              <w:pStyle w:val="TableParagraph"/>
              <w:spacing w:before="7"/>
              <w:ind w:left="0"/>
              <w:rPr>
                <w:sz w:val="22"/>
              </w:rPr>
            </w:pPr>
          </w:p>
          <w:p>
            <w:pPr>
              <w:pStyle w:val="TableParagraph"/>
              <w:spacing w:before="1"/>
              <w:rPr>
                <w:sz w:val="22"/>
              </w:rPr>
            </w:pPr>
            <w:r>
              <w:rPr>
                <w:sz w:val="22"/>
              </w:rPr>
              <w:t>270 = Horizontal &amp; color 1 to color 2</w:t>
            </w:r>
          </w:p>
          <w:p>
            <w:pPr>
              <w:pStyle w:val="TableParagraph"/>
              <w:spacing w:before="0"/>
              <w:ind w:left="145"/>
              <w:rPr>
                <w:sz w:val="20"/>
              </w:rPr>
            </w:pPr>
            <w:r>
              <w:rPr>
                <w:sz w:val="20"/>
              </w:rPr>
              <w:drawing>
                <wp:inline distT="0" distB="0" distL="0" distR="0">
                  <wp:extent cx="788530" cy="333375"/>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86" cstate="print"/>
                          <a:stretch>
                            <a:fillRect/>
                          </a:stretch>
                        </pic:blipFill>
                        <pic:spPr>
                          <a:xfrm>
                            <a:off x="0" y="0"/>
                            <a:ext cx="788530" cy="333375"/>
                          </a:xfrm>
                          <a:prstGeom prst="rect">
                            <a:avLst/>
                          </a:prstGeom>
                        </pic:spPr>
                      </pic:pic>
                    </a:graphicData>
                  </a:graphic>
                </wp:inline>
              </w:drawing>
            </w:r>
            <w:r>
              <w:rPr>
                <w:sz w:val="20"/>
              </w:rPr>
            </w:r>
          </w:p>
          <w:p>
            <w:pPr>
              <w:pStyle w:val="TableParagraph"/>
              <w:spacing w:before="11"/>
              <w:ind w:left="0"/>
              <w:rPr>
                <w:sz w:val="21"/>
              </w:rPr>
            </w:pPr>
          </w:p>
          <w:p>
            <w:pPr>
              <w:pStyle w:val="TableParagraph"/>
              <w:spacing w:before="0" w:after="2"/>
              <w:rPr>
                <w:sz w:val="22"/>
              </w:rPr>
            </w:pPr>
            <w:r>
              <w:rPr>
                <w:sz w:val="22"/>
              </w:rPr>
              <w:t>0 = Vertical &amp; color 1 to color 2</w:t>
            </w:r>
          </w:p>
          <w:p>
            <w:pPr>
              <w:pStyle w:val="TableParagraph"/>
              <w:spacing w:before="0"/>
              <w:ind w:left="145"/>
              <w:rPr>
                <w:sz w:val="20"/>
              </w:rPr>
            </w:pPr>
            <w:r>
              <w:rPr>
                <w:sz w:val="20"/>
              </w:rPr>
              <w:drawing>
                <wp:inline distT="0" distB="0" distL="0" distR="0">
                  <wp:extent cx="889767" cy="392049"/>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87" cstate="print"/>
                          <a:stretch>
                            <a:fillRect/>
                          </a:stretch>
                        </pic:blipFill>
                        <pic:spPr>
                          <a:xfrm>
                            <a:off x="0" y="0"/>
                            <a:ext cx="889767" cy="392049"/>
                          </a:xfrm>
                          <a:prstGeom prst="rect">
                            <a:avLst/>
                          </a:prstGeom>
                        </pic:spPr>
                      </pic:pic>
                    </a:graphicData>
                  </a:graphic>
                </wp:inline>
              </w:drawing>
            </w:r>
            <w:r>
              <w:rPr>
                <w:sz w:val="20"/>
              </w:rPr>
            </w:r>
          </w:p>
          <w:p>
            <w:pPr>
              <w:pStyle w:val="TableParagraph"/>
              <w:spacing w:before="7"/>
              <w:ind w:left="0"/>
              <w:rPr>
                <w:sz w:val="21"/>
              </w:rPr>
            </w:pPr>
          </w:p>
          <w:p>
            <w:pPr>
              <w:pStyle w:val="TableParagraph"/>
              <w:spacing w:before="0" w:after="2"/>
              <w:rPr>
                <w:sz w:val="22"/>
              </w:rPr>
            </w:pPr>
            <w:r>
              <w:rPr>
                <w:sz w:val="22"/>
              </w:rPr>
              <w:t>180 = Vertical &amp; color 1 to color 2</w:t>
            </w:r>
          </w:p>
          <w:p>
            <w:pPr>
              <w:pStyle w:val="TableParagraph"/>
              <w:spacing w:before="0"/>
              <w:ind w:left="145"/>
              <w:rPr>
                <w:sz w:val="20"/>
              </w:rPr>
            </w:pPr>
            <w:r>
              <w:rPr>
                <w:sz w:val="20"/>
              </w:rPr>
              <w:drawing>
                <wp:inline distT="0" distB="0" distL="0" distR="0">
                  <wp:extent cx="791868" cy="371475"/>
                  <wp:effectExtent l="0" t="0" r="0" b="0"/>
                  <wp:docPr id="41" name="image21.png"/>
                  <wp:cNvGraphicFramePr>
                    <a:graphicFrameLocks noChangeAspect="1"/>
                  </wp:cNvGraphicFramePr>
                  <a:graphic>
                    <a:graphicData uri="http://schemas.openxmlformats.org/drawingml/2006/picture">
                      <pic:pic>
                        <pic:nvPicPr>
                          <pic:cNvPr id="42" name="image21.png"/>
                          <pic:cNvPicPr/>
                        </pic:nvPicPr>
                        <pic:blipFill>
                          <a:blip r:embed="rId88" cstate="print"/>
                          <a:stretch>
                            <a:fillRect/>
                          </a:stretch>
                        </pic:blipFill>
                        <pic:spPr>
                          <a:xfrm>
                            <a:off x="0" y="0"/>
                            <a:ext cx="791868" cy="371475"/>
                          </a:xfrm>
                          <a:prstGeom prst="rect">
                            <a:avLst/>
                          </a:prstGeom>
                        </pic:spPr>
                      </pic:pic>
                    </a:graphicData>
                  </a:graphic>
                </wp:inline>
              </w:drawing>
            </w:r>
            <w:r>
              <w:rPr>
                <w:sz w:val="20"/>
              </w:rPr>
            </w:r>
          </w:p>
          <w:p>
            <w:pPr>
              <w:pStyle w:val="TableParagraph"/>
              <w:spacing w:before="9"/>
              <w:ind w:left="0"/>
              <w:rPr>
                <w:sz w:val="21"/>
              </w:rPr>
            </w:pPr>
          </w:p>
          <w:p>
            <w:pPr>
              <w:pStyle w:val="TableParagraph"/>
              <w:spacing w:before="0"/>
              <w:rPr>
                <w:sz w:val="22"/>
              </w:rPr>
            </w:pPr>
            <w:r>
              <w:rPr>
                <w:sz w:val="22"/>
              </w:rPr>
              <w:t>45 = Diagonal Up &amp; top to bottom (color 1 to color 2)</w:t>
            </w:r>
          </w:p>
          <w:p>
            <w:pPr>
              <w:pStyle w:val="TableParagraph"/>
              <w:spacing w:before="1"/>
              <w:ind w:left="0"/>
              <w:rPr>
                <w:sz w:val="22"/>
              </w:rPr>
            </w:pPr>
          </w:p>
          <w:p>
            <w:pPr>
              <w:pStyle w:val="TableParagraph"/>
              <w:spacing w:before="0"/>
              <w:ind w:right="2991"/>
              <w:rPr>
                <w:sz w:val="22"/>
              </w:rPr>
            </w:pPr>
            <w:r>
              <w:rPr>
                <w:sz w:val="22"/>
              </w:rPr>
              <w:t>225 = Diagonal Up &amp; bottom to top (color 1 to color 2) 135 = Diagonal Down &amp; top to bottom (color 1 to color 2)</w:t>
            </w:r>
          </w:p>
        </w:tc>
      </w:tr>
    </w:tbl>
    <w:p>
      <w:pPr>
        <w:spacing w:after="0"/>
        <w:rPr>
          <w:sz w:val="22"/>
        </w:rPr>
        <w:sectPr>
          <w:footerReference w:type="even" r:id="rId83"/>
          <w:footerReference w:type="default" r:id="rId84"/>
          <w:pgSz w:w="12240" w:h="15840"/>
          <w:pgMar w:footer="746" w:header="761" w:top="1340" w:bottom="940" w:left="860" w:right="700"/>
          <w:pgNumType w:start="177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315 = Diagonal Down &amp; bottom to top (color 1 to color 2)</w:t>
            </w:r>
          </w:p>
          <w:p>
            <w:pPr>
              <w:pStyle w:val="TableParagraph"/>
              <w:spacing w:before="0"/>
              <w:ind w:left="0"/>
              <w:rPr>
                <w:sz w:val="22"/>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ind w:left="0"/>
              <w:rPr>
                <w:sz w:val="22"/>
              </w:rPr>
            </w:pP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2234" w:hRule="atLeast"/>
        </w:trPr>
        <w:tc>
          <w:tcPr>
            <w:tcW w:w="2062" w:type="dxa"/>
          </w:tcPr>
          <w:p>
            <w:pPr>
              <w:pStyle w:val="TableParagraph"/>
              <w:ind w:right="684"/>
              <w:rPr>
                <w:sz w:val="22"/>
              </w:rPr>
            </w:pPr>
            <w:r>
              <w:rPr>
                <w:rFonts w:ascii="Cambria"/>
                <w:sz w:val="22"/>
              </w:rPr>
              <w:t>left </w:t>
            </w:r>
            <w:r>
              <w:rPr>
                <w:sz w:val="22"/>
              </w:rPr>
              <w:t>(Left Convergence)</w:t>
            </w:r>
          </w:p>
        </w:tc>
        <w:tc>
          <w:tcPr>
            <w:tcW w:w="8250" w:type="dxa"/>
          </w:tcPr>
          <w:p>
            <w:pPr>
              <w:pStyle w:val="TableParagraph"/>
              <w:ind w:right="231"/>
              <w:rPr>
                <w:sz w:val="22"/>
              </w:rPr>
            </w:pPr>
            <w:r>
              <w:rPr>
                <w:sz w:val="22"/>
              </w:rPr>
              <w:t>This attribute is restricted to values ranging from 0 to 1. Specifies in percentage format (from the left to the right) the position of the left edge of the inner rectangle (color 1). For </w:t>
            </w:r>
            <w:r>
              <w:rPr>
                <w:rFonts w:ascii="Cambria"/>
                <w:sz w:val="22"/>
              </w:rPr>
              <w:t>left</w:t>
            </w:r>
            <w:r>
              <w:rPr>
                <w:sz w:val="22"/>
              </w:rPr>
              <w:t>, 0 means the left edge of the inner rectangle is on the left edge of the cell, and 1 means it is on the right edge of the cell. (applies to From Corner and From Center gradients).</w:t>
            </w:r>
          </w:p>
          <w:p>
            <w:pPr>
              <w:pStyle w:val="TableParagraph"/>
              <w:spacing w:before="11"/>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2234" w:hRule="atLeast"/>
        </w:trPr>
        <w:tc>
          <w:tcPr>
            <w:tcW w:w="2062" w:type="dxa"/>
          </w:tcPr>
          <w:p>
            <w:pPr>
              <w:pStyle w:val="TableParagraph"/>
              <w:ind w:right="684"/>
              <w:rPr>
                <w:sz w:val="22"/>
              </w:rPr>
            </w:pPr>
            <w:r>
              <w:rPr>
                <w:rFonts w:ascii="Cambria"/>
                <w:sz w:val="22"/>
              </w:rPr>
              <w:t>right </w:t>
            </w:r>
            <w:r>
              <w:rPr>
                <w:sz w:val="22"/>
              </w:rPr>
              <w:t>(Right Convergence)</w:t>
            </w:r>
          </w:p>
        </w:tc>
        <w:tc>
          <w:tcPr>
            <w:tcW w:w="8250" w:type="dxa"/>
          </w:tcPr>
          <w:p>
            <w:pPr>
              <w:pStyle w:val="TableParagraph"/>
              <w:ind w:right="124"/>
              <w:rPr>
                <w:sz w:val="22"/>
              </w:rPr>
            </w:pPr>
            <w:r>
              <w:rPr>
                <w:sz w:val="22"/>
              </w:rPr>
              <w:t>This attribute is restricted to values ranging from 0 to 1. Specifies in percentage format (from the left to the right) the position of the right edge of the inner rectangle (color 1). For </w:t>
            </w:r>
            <w:r>
              <w:rPr>
                <w:rFonts w:ascii="Cambria"/>
                <w:sz w:val="22"/>
              </w:rPr>
              <w:t>right</w:t>
            </w:r>
            <w:r>
              <w:rPr>
                <w:sz w:val="22"/>
              </w:rPr>
              <w:t>, 0 means the right edge of the inner rectangle is on the left edge of the cell, and 1 means it is on the right edge of the cell. (applies to From Corner and From Center gradients).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2236" w:hRule="atLeast"/>
        </w:trPr>
        <w:tc>
          <w:tcPr>
            <w:tcW w:w="2062" w:type="dxa"/>
          </w:tcPr>
          <w:p>
            <w:pPr>
              <w:pStyle w:val="TableParagraph"/>
              <w:ind w:right="314"/>
              <w:rPr>
                <w:sz w:val="22"/>
              </w:rPr>
            </w:pPr>
            <w:r>
              <w:rPr>
                <w:rFonts w:ascii="Cambria"/>
                <w:sz w:val="22"/>
              </w:rPr>
              <w:t>top </w:t>
            </w:r>
            <w:r>
              <w:rPr>
                <w:sz w:val="22"/>
              </w:rPr>
              <w:t>(Top Gradient Convergence)</w:t>
            </w:r>
          </w:p>
        </w:tc>
        <w:tc>
          <w:tcPr>
            <w:tcW w:w="8250" w:type="dxa"/>
          </w:tcPr>
          <w:p>
            <w:pPr>
              <w:pStyle w:val="TableParagraph"/>
              <w:ind w:right="139"/>
              <w:rPr>
                <w:sz w:val="22"/>
              </w:rPr>
            </w:pPr>
            <w:r>
              <w:rPr>
                <w:sz w:val="22"/>
              </w:rPr>
              <w:t>This attribute is restricted to values ranging from 0 to 1. Specifies in percentage format (from the top to the bottom) the position of the top edge of the inner rectangle (color 1). For </w:t>
            </w:r>
            <w:r>
              <w:rPr>
                <w:rFonts w:ascii="Cambria"/>
                <w:sz w:val="22"/>
              </w:rPr>
              <w:t>top</w:t>
            </w:r>
            <w:r>
              <w:rPr>
                <w:sz w:val="22"/>
              </w:rPr>
              <w:t>, 0 means the top edge of the inner rectangle is on the top edge of the cell, and 1 means it is on the bottom edge of the cell. (applies to From Corner and From Center gradients).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1"/>
              <w:rPr>
                <w:sz w:val="22"/>
              </w:rPr>
            </w:pPr>
            <w:r>
              <w:rPr>
                <w:sz w:val="22"/>
              </w:rPr>
              <w:t>datatype.</w:t>
            </w:r>
          </w:p>
        </w:tc>
      </w:tr>
      <w:tr>
        <w:trPr>
          <w:trHeight w:val="1158" w:hRule="atLeast"/>
        </w:trPr>
        <w:tc>
          <w:tcPr>
            <w:tcW w:w="2062" w:type="dxa"/>
          </w:tcPr>
          <w:p>
            <w:pPr>
              <w:pStyle w:val="TableParagraph"/>
              <w:ind w:right="298"/>
              <w:rPr>
                <w:sz w:val="22"/>
              </w:rPr>
            </w:pPr>
            <w:r>
              <w:rPr>
                <w:rFonts w:ascii="Cambria"/>
                <w:sz w:val="22"/>
              </w:rPr>
              <w:t>type </w:t>
            </w:r>
            <w:r>
              <w:rPr>
                <w:sz w:val="22"/>
              </w:rPr>
              <w:t>(Gradient Fill Type)</w:t>
            </w:r>
          </w:p>
        </w:tc>
        <w:tc>
          <w:tcPr>
            <w:tcW w:w="8250" w:type="dxa"/>
          </w:tcPr>
          <w:p>
            <w:pPr>
              <w:pStyle w:val="TableParagraph"/>
              <w:rPr>
                <w:sz w:val="22"/>
              </w:rPr>
            </w:pPr>
            <w:r>
              <w:rPr>
                <w:sz w:val="22"/>
              </w:rPr>
              <w:t>Type of this gradient fill.</w:t>
            </w:r>
          </w:p>
          <w:p>
            <w:pPr>
              <w:pStyle w:val="TableParagraph"/>
              <w:spacing w:before="10"/>
              <w:ind w:left="0"/>
              <w:rPr>
                <w:sz w:val="21"/>
              </w:rPr>
            </w:pPr>
          </w:p>
          <w:p>
            <w:pPr>
              <w:pStyle w:val="TableParagraph"/>
              <w:spacing w:before="0"/>
              <w:ind w:right="413"/>
              <w:rPr>
                <w:sz w:val="22"/>
              </w:rPr>
            </w:pPr>
            <w:r>
              <w:rPr>
                <w:sz w:val="22"/>
              </w:rPr>
              <w:t>The possible values for this attribute are defined by the </w:t>
            </w:r>
            <w:r>
              <w:rPr>
                <w:rFonts w:ascii="Cambria" w:hAnsi="Cambria"/>
                <w:sz w:val="22"/>
              </w:rPr>
              <w:t>ST_GradientType </w:t>
            </w:r>
            <w:r>
              <w:rPr>
                <w:sz w:val="22"/>
              </w:rPr>
              <w:t>simple type </w:t>
            </w:r>
            <w:hyperlink w:history="true" w:anchor="_bookmark859">
              <w:r>
                <w:rPr>
                  <w:sz w:val="22"/>
                </w:rPr>
                <w:t>(§18.18.37</w:t>
              </w:r>
            </w:hyperlink>
            <w:r>
              <w:rPr>
                <w:sz w:val="22"/>
              </w:rPr>
              <w:t>).</w:t>
            </w:r>
          </w:p>
        </w:tc>
      </w:tr>
    </w:tbl>
    <w:p>
      <w:pPr>
        <w:pStyle w:val="BodyText"/>
        <w:rPr>
          <w:sz w:val="20"/>
        </w:rPr>
      </w:pPr>
    </w:p>
    <w:p>
      <w:pPr>
        <w:pStyle w:val="BodyText"/>
        <w:spacing w:before="10"/>
        <w:rPr>
          <w:sz w:val="16"/>
        </w:rPr>
      </w:pPr>
    </w:p>
    <w:p>
      <w:pPr>
        <w:pStyle w:val="BodyText"/>
        <w:spacing w:line="278" w:lineRule="auto" w:before="57"/>
        <w:ind w:left="220" w:right="447"/>
      </w:pPr>
      <w:r>
        <w:rPr/>
        <w:t>[</w:t>
      </w:r>
      <w:r>
        <w:rPr>
          <w:i/>
        </w:rPr>
        <w:t>Note</w:t>
      </w:r>
      <w:r>
        <w:rPr/>
        <w:t>: The W3C XML Schema definition of this element’s content model (</w:t>
      </w:r>
      <w:r>
        <w:rPr>
          <w:color w:val="5F5F5F"/>
          <w:u w:val="single" w:color="5F5F5F"/>
        </w:rPr>
        <w:t>CT_GradientFill</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5 horizontal (Horizontal Inner Bor" w:id="629"/>
      <w:bookmarkEnd w:id="629"/>
      <w:r>
        <w:rPr>
          <w:b w:val="0"/>
        </w:rPr>
      </w:r>
      <w:bookmarkStart w:name="_bookmark208" w:id="630"/>
      <w:bookmarkEnd w:id="630"/>
      <w:r>
        <w:rPr>
          <w:b w:val="0"/>
        </w:rPr>
      </w:r>
      <w:bookmarkStart w:name="_bookmark208" w:id="631"/>
      <w:bookmarkEnd w:id="631"/>
      <w:r>
        <w:rPr>
          <w:color w:val="4F81BC"/>
        </w:rPr>
        <w:t>h</w:t>
      </w:r>
      <w:r>
        <w:rPr>
          <w:color w:val="4F81BC"/>
        </w:rPr>
        <w:t>orizontal (Horizontal Inner</w:t>
      </w:r>
      <w:r>
        <w:rPr>
          <w:color w:val="4F81BC"/>
          <w:spacing w:val="-2"/>
        </w:rPr>
        <w:t> </w:t>
      </w:r>
      <w:r>
        <w:rPr>
          <w:color w:val="4F81BC"/>
        </w:rPr>
        <w:t>Borders)</w:t>
      </w:r>
    </w:p>
    <w:p>
      <w:pPr>
        <w:pStyle w:val="BodyText"/>
        <w:spacing w:line="278" w:lineRule="auto" w:before="121"/>
        <w:ind w:left="220" w:right="634"/>
      </w:pPr>
      <w:r>
        <w:rPr/>
        <w:t>This element specifies the color and line style for the horizontal inner border(s) of a range of cells. Used in the context of </w:t>
      </w:r>
      <w:r>
        <w:rPr>
          <w:rFonts w:ascii="Cambria"/>
        </w:rPr>
        <w:t>dxf </w:t>
      </w:r>
      <w:r>
        <w:rPr/>
        <w:t>elements only. [</w:t>
      </w:r>
      <w:r>
        <w:rPr>
          <w:i/>
        </w:rPr>
        <w:t>Example</w:t>
      </w:r>
      <w:r>
        <w:rPr/>
        <w:t>: see the borders definitions for </w:t>
      </w:r>
      <w:r>
        <w:rPr>
          <w:b/>
        </w:rPr>
        <w:t>TableStyleMedium28</w:t>
      </w:r>
      <w:r>
        <w:rPr/>
        <w:t>. </w:t>
      </w:r>
      <w:r>
        <w:rPr>
          <w:i/>
        </w:rPr>
        <w:t>end example</w:t>
      </w:r>
      <w:r>
        <w:rPr/>
        <w:t>]</w:t>
      </w:r>
    </w:p>
    <w:p>
      <w:pPr>
        <w:spacing w:after="0" w:line="278"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style </w:t>
            </w:r>
            <w:r>
              <w:rPr>
                <w:sz w:val="22"/>
              </w:rPr>
              <w:t>(Line Style)</w:t>
            </w:r>
          </w:p>
        </w:tc>
        <w:tc>
          <w:tcPr>
            <w:tcW w:w="8250" w:type="dxa"/>
          </w:tcPr>
          <w:p>
            <w:pPr>
              <w:pStyle w:val="TableParagraph"/>
              <w:rPr>
                <w:sz w:val="22"/>
              </w:rPr>
            </w:pPr>
            <w:r>
              <w:rPr>
                <w:sz w:val="22"/>
              </w:rPr>
              <w:t>The line style for this border.</w:t>
            </w:r>
          </w:p>
          <w:p>
            <w:pPr>
              <w:pStyle w:val="TableParagraph"/>
              <w:spacing w:before="0"/>
              <w:ind w:left="0"/>
              <w:rPr>
                <w:sz w:val="22"/>
              </w:rPr>
            </w:pPr>
          </w:p>
          <w:p>
            <w:pPr>
              <w:pStyle w:val="TableParagraph"/>
              <w:spacing w:before="0"/>
              <w:ind w:right="581"/>
              <w:rPr>
                <w:sz w:val="22"/>
              </w:rPr>
            </w:pPr>
            <w:r>
              <w:rPr>
                <w:sz w:val="22"/>
              </w:rPr>
              <w:t>The possible values for this attribute are defined by the </w:t>
            </w:r>
            <w:r>
              <w:rPr>
                <w:rFonts w:ascii="Cambria" w:hAnsi="Cambria"/>
                <w:sz w:val="22"/>
              </w:rPr>
              <w:t>ST_BorderStyle </w:t>
            </w:r>
            <w:r>
              <w:rPr>
                <w:sz w:val="22"/>
              </w:rPr>
              <w:t>simple type </w:t>
            </w:r>
            <w:hyperlink w:history="true" w:anchor="_bookmark825">
              <w:r>
                <w:rPr>
                  <w:sz w:val="22"/>
                </w:rPr>
                <w:t>(§18.18.3</w:t>
              </w:r>
            </w:hyperlink>
            <w:r>
              <w:rPr>
                <w:sz w:val="22"/>
              </w:rPr>
              <w:t>).</w:t>
            </w:r>
          </w:p>
        </w:tc>
      </w:tr>
    </w:tbl>
    <w:p>
      <w:pPr>
        <w:pStyle w:val="BodyText"/>
        <w:rPr>
          <w:sz w:val="20"/>
        </w:rPr>
      </w:pPr>
    </w:p>
    <w:p>
      <w:pPr>
        <w:pStyle w:val="BodyText"/>
        <w:spacing w:before="10"/>
        <w:rPr>
          <w:sz w:val="16"/>
        </w:rPr>
      </w:pPr>
    </w:p>
    <w:p>
      <w:pPr>
        <w:pStyle w:val="BodyText"/>
        <w:spacing w:line="276" w:lineRule="auto" w:before="56"/>
        <w:ind w:left="220" w:right="680"/>
      </w:pPr>
      <w:r>
        <w:rPr/>
        <w:t>[</w:t>
      </w:r>
      <w:r>
        <w:rPr>
          <w:i/>
        </w:rPr>
        <w:t>Note</w:t>
      </w:r>
      <w:r>
        <w:rPr/>
        <w:t>: The W3C XML Schema definition of this element’s content model (</w:t>
      </w:r>
      <w:r>
        <w:rPr>
          <w:color w:val="5F5F5F"/>
          <w:u w:val="single" w:color="5F5F5F"/>
        </w:rPr>
        <w:t>CT_BorderPr</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6 i (Italic)" w:id="632"/>
      <w:bookmarkEnd w:id="632"/>
      <w:r>
        <w:rPr>
          <w:b w:val="0"/>
        </w:rPr>
      </w:r>
      <w:bookmarkStart w:name="_bookmark209" w:id="633"/>
      <w:bookmarkEnd w:id="633"/>
      <w:r>
        <w:rPr>
          <w:b w:val="0"/>
        </w:rPr>
      </w:r>
      <w:bookmarkStart w:name="_bookmark209" w:id="634"/>
      <w:bookmarkEnd w:id="634"/>
      <w:r>
        <w:rPr>
          <w:color w:val="4F81BC"/>
        </w:rPr>
        <w:t>i</w:t>
      </w:r>
      <w:r>
        <w:rPr>
          <w:color w:val="4F81BC"/>
          <w:spacing w:val="-1"/>
        </w:rPr>
        <w:t> </w:t>
      </w:r>
      <w:r>
        <w:rPr>
          <w:color w:val="4F81BC"/>
        </w:rPr>
        <w:t>(Italic)</w:t>
      </w:r>
    </w:p>
    <w:p>
      <w:pPr>
        <w:pStyle w:val="BodyText"/>
        <w:spacing w:line="278" w:lineRule="auto" w:before="124"/>
        <w:ind w:left="220" w:right="503"/>
      </w:pPr>
      <w:r>
        <w:rPr/>
        <w:t>Displays characters in italic font style. The italic style is defined by the font at a system level and is not specified by ECMA-376.</w:t>
      </w:r>
    </w:p>
    <w:p>
      <w:pPr>
        <w:pStyle w:val="BodyText"/>
        <w:spacing w:before="1"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698"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480" w:lineRule="auto"/>
              <w:ind w:right="1778"/>
              <w:rPr>
                <w:sz w:val="22"/>
              </w:rPr>
            </w:pPr>
            <w:r>
              <w:rPr>
                <w:sz w:val="22"/>
              </w:rPr>
              <w:t>A boolean value for the property specified by the parent XML element. If omitted, the default value is </w:t>
            </w:r>
            <w:r>
              <w:rPr>
                <w:rFonts w:ascii="Consolas"/>
                <w:sz w:val="20"/>
              </w:rPr>
              <w:t>true</w:t>
            </w:r>
            <w:r>
              <w:rPr>
                <w:sz w:val="22"/>
              </w:rPr>
              <w:t>.</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CT_BooleanProperty</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7 indexedColors (Color Indexes)" w:id="635"/>
      <w:bookmarkEnd w:id="635"/>
      <w:r>
        <w:rPr>
          <w:b w:val="0"/>
        </w:rPr>
      </w:r>
      <w:bookmarkStart w:name="_bookmark210" w:id="636"/>
      <w:bookmarkEnd w:id="636"/>
      <w:r>
        <w:rPr>
          <w:b w:val="0"/>
        </w:rPr>
      </w:r>
      <w:bookmarkStart w:name="_bookmark210" w:id="637"/>
      <w:bookmarkEnd w:id="637"/>
      <w:r>
        <w:rPr>
          <w:color w:val="4F81BC"/>
        </w:rPr>
        <w:t>in</w:t>
      </w:r>
      <w:r>
        <w:rPr>
          <w:color w:val="4F81BC"/>
        </w:rPr>
        <w:t>dexedColors (Color</w:t>
      </w:r>
      <w:r>
        <w:rPr>
          <w:color w:val="4F81BC"/>
          <w:spacing w:val="2"/>
        </w:rPr>
        <w:t> </w:t>
      </w:r>
      <w:r>
        <w:rPr>
          <w:color w:val="4F81BC"/>
        </w:rPr>
        <w:t>Indexes)</w:t>
      </w:r>
    </w:p>
    <w:p>
      <w:pPr>
        <w:pStyle w:val="BodyText"/>
        <w:spacing w:line="278" w:lineRule="auto" w:before="121"/>
        <w:ind w:left="220" w:right="482"/>
      </w:pPr>
      <w:r>
        <w:rPr/>
        <w:t>A legacy indexing scheme for colors that is still required for some records, and for backwards compatibility with legacy formats.</w:t>
      </w:r>
    </w:p>
    <w:p>
      <w:pPr>
        <w:pStyle w:val="BodyText"/>
        <w:spacing w:line="276" w:lineRule="auto" w:before="196"/>
        <w:ind w:left="220" w:right="538"/>
      </w:pPr>
      <w:r>
        <w:rPr/>
        <w:t>This element contains a sequence of RGB color values that correspond to color indexes (zero-based). When using the default indexed color palette, the values are not written out, but instead are implied. When the color palette has been modified from default, then the entire color palette is written out.</w:t>
      </w:r>
    </w:p>
    <w:p>
      <w:pPr>
        <w:pStyle w:val="BodyText"/>
        <w:spacing w:before="3"/>
        <w:rPr>
          <w:sz w:val="16"/>
        </w:rPr>
      </w:pPr>
    </w:p>
    <w:p>
      <w:pPr>
        <w:pStyle w:val="BodyText"/>
        <w:spacing w:line="278" w:lineRule="auto" w:before="1"/>
        <w:ind w:left="220" w:right="427"/>
      </w:pPr>
      <w:r>
        <w:rPr/>
        <w:t>Here is the table of default mappings from indexed color value to ARGB value. Note that 0-7 are redundant of 8- 15 to preserve backwards compatibility.</w:t>
      </w:r>
    </w:p>
    <w:p>
      <w:pPr>
        <w:pStyle w:val="BodyText"/>
        <w:spacing w:before="2"/>
        <w:rPr>
          <w:sz w:val="16"/>
        </w:rPr>
      </w:pPr>
    </w:p>
    <w:p>
      <w:pPr>
        <w:tabs>
          <w:tab w:pos="1756" w:val="left" w:leader="none"/>
          <w:tab w:pos="3748" w:val="left" w:leader="none"/>
        </w:tabs>
        <w:spacing w:line="453" w:lineRule="auto" w:before="1"/>
        <w:ind w:left="313" w:right="6041" w:firstLine="0"/>
        <w:jc w:val="left"/>
        <w:rPr>
          <w:sz w:val="22"/>
        </w:rPr>
      </w:pPr>
      <w:r>
        <w:rPr/>
        <w:pict>
          <v:shape style="position:absolute;margin-left:225.050018pt;margin-top:25.523623pt;width:55.1pt;height:25.45pt;mso-position-horizontal-relative:page;mso-position-vertical-relative:paragraph;z-index:-335966208" coordorigin="4501,510" coordsize="1102,509" path="m5603,510l5495,510,4609,510,4501,510,4501,1019,4609,1019,5495,1019,5603,1019,5603,510e" filled="true" fillcolor="#000000" stroked="false">
            <v:path arrowok="t"/>
            <v:fill type="solid"/>
            <w10:wrap type="none"/>
          </v:shape>
        </w:pict>
      </w:r>
      <w:r>
        <w:rPr>
          <w:b/>
          <w:sz w:val="22"/>
        </w:rPr>
        <w:t>Color</w:t>
      </w:r>
      <w:r>
        <w:rPr>
          <w:b/>
          <w:spacing w:val="-3"/>
          <w:sz w:val="22"/>
        </w:rPr>
        <w:t> </w:t>
      </w:r>
      <w:r>
        <w:rPr>
          <w:b/>
          <w:sz w:val="22"/>
        </w:rPr>
        <w:t>Index</w:t>
        <w:tab/>
        <w:t>ARGB</w:t>
      </w:r>
      <w:r>
        <w:rPr>
          <w:b/>
          <w:spacing w:val="-1"/>
          <w:sz w:val="22"/>
        </w:rPr>
        <w:t> </w:t>
      </w:r>
      <w:r>
        <w:rPr>
          <w:b/>
          <w:sz w:val="22"/>
        </w:rPr>
        <w:t>Value</w:t>
        <w:tab/>
      </w:r>
      <w:r>
        <w:rPr>
          <w:spacing w:val="-1"/>
          <w:sz w:val="22"/>
        </w:rPr>
        <w:t>[</w:t>
      </w:r>
      <w:r>
        <w:rPr>
          <w:i/>
          <w:spacing w:val="-1"/>
          <w:sz w:val="22"/>
        </w:rPr>
        <w:t>Example</w:t>
      </w:r>
      <w:r>
        <w:rPr>
          <w:spacing w:val="-1"/>
          <w:sz w:val="22"/>
        </w:rPr>
        <w:t>: </w:t>
      </w:r>
      <w:r>
        <w:rPr>
          <w:sz w:val="22"/>
        </w:rPr>
        <w:t>indexed="0"</w:t>
        <w:tab/>
        <w:t>00000000</w:t>
      </w:r>
    </w:p>
    <w:p>
      <w:pPr>
        <w:pStyle w:val="BodyText"/>
        <w:tabs>
          <w:tab w:pos="1756" w:val="left" w:leader="none"/>
        </w:tabs>
        <w:spacing w:line="453" w:lineRule="auto" w:before="2"/>
        <w:ind w:left="313" w:right="8049"/>
      </w:pPr>
      <w:r>
        <w:rPr/>
        <w:pict>
          <v:shape style="position:absolute;margin-left:225.050018pt;margin-top:25.569628pt;width:55.1pt;height:25.45pt;mso-position-horizontal-relative:page;mso-position-vertical-relative:paragraph;z-index:251675648" coordorigin="4501,511" coordsize="1102,509" path="m5603,511l5495,511,4609,511,4501,511,4501,1020,4609,1020,5495,1020,5603,1020,5603,511e" filled="true" fillcolor="#ff0000" stroked="false">
            <v:path arrowok="t"/>
            <v:fill type="solid"/>
            <w10:wrap type="none"/>
          </v:shape>
        </w:pict>
      </w:r>
      <w:r>
        <w:rPr/>
        <w:t>indexed="1"</w:t>
        <w:tab/>
        <w:t>00FFFFFF indexed="2"</w:t>
        <w:tab/>
      </w:r>
      <w:r>
        <w:rPr>
          <w:spacing w:val="-3"/>
        </w:rPr>
        <w:t>00FF0000</w:t>
      </w:r>
    </w:p>
    <w:p>
      <w:pPr>
        <w:spacing w:after="0" w:line="453" w:lineRule="auto"/>
        <w:sectPr>
          <w:pgSz w:w="12240" w:h="15840"/>
          <w:pgMar w:header="761" w:footer="746" w:top="1340" w:bottom="940" w:left="860" w:right="700"/>
        </w:sectPr>
      </w:pPr>
    </w:p>
    <w:p>
      <w:pPr>
        <w:pStyle w:val="BodyText"/>
        <w:spacing w:before="10"/>
        <w:rPr>
          <w:rFonts w:ascii="Times New Roman"/>
          <w:sz w:val="16"/>
        </w:rPr>
      </w:pPr>
      <w:r>
        <w:rPr/>
        <w:pict>
          <v:group style="position:absolute;margin-left:225.050003pt;margin-top:74.875999pt;width:55.1pt;height:127.25pt;mso-position-horizontal-relative:page;mso-position-vertical-relative:page;z-index:251676672" coordorigin="4501,1498" coordsize="1102,2545">
            <v:shape style="position:absolute;left:4501;top:1497;width:1102;height:510" coordorigin="4501,1498" coordsize="1102,510" path="m5603,1498l5495,1498,4609,1498,4501,1498,4501,2007,4609,2007,5495,2007,5603,2007,5603,1498e" filled="true" fillcolor="#00ff00" stroked="false">
              <v:path arrowok="t"/>
              <v:fill type="solid"/>
            </v:shape>
            <v:shape style="position:absolute;left:4501;top:2006;width:1102;height:509" coordorigin="4501,2007" coordsize="1102,509" path="m5603,2007l5495,2007,4609,2007,4501,2007,4501,2516,4609,2516,5495,2516,5603,2516,5603,2007e" filled="true" fillcolor="#0000ff" stroked="false">
              <v:path arrowok="t"/>
              <v:fill type="solid"/>
            </v:shape>
            <v:shape style="position:absolute;left:4501;top:2515;width:1102;height:509" coordorigin="4501,2516" coordsize="1102,509" path="m5603,2516l5495,2516,4609,2516,4501,2516,4501,3024,4609,3024,5495,3024,5603,3024,5603,2516e" filled="true" fillcolor="#ffff00" stroked="false">
              <v:path arrowok="t"/>
              <v:fill type="solid"/>
            </v:shape>
            <v:shape style="position:absolute;left:4501;top:3024;width:1102;height:509" coordorigin="4501,3024" coordsize="1102,509" path="m5603,3024l5495,3024,4609,3024,4501,3024,4501,3533,4609,3533,5495,3533,5603,3533,5603,3024e" filled="true" fillcolor="#ff00ff" stroked="false">
              <v:path arrowok="t"/>
              <v:fill type="solid"/>
            </v:shape>
            <v:shape style="position:absolute;left:4501;top:3533;width:1102;height:509" coordorigin="4501,3533" coordsize="1102,509" path="m5603,3533l5495,3533,4609,3533,4501,3533,4501,4042,4609,4042,5495,4042,5603,4042,5603,3533e" filled="true" fillcolor="#00ffff" stroked="false">
              <v:path arrowok="t"/>
              <v:fill type="solid"/>
            </v:shape>
            <w10:wrap type="none"/>
          </v:group>
        </w:pict>
      </w:r>
      <w:r>
        <w:rPr/>
        <w:pict>
          <v:shape style="position:absolute;margin-left:225.050018pt;margin-top:227.539978pt;width:55.1pt;height:25.45pt;mso-position-horizontal-relative:page;mso-position-vertical-relative:page;z-index:251677696" coordorigin="4501,4551" coordsize="1102,509" path="m5603,4551l5495,4551,4609,4551,4501,4551,4501,5060,4609,5060,5495,5060,5603,5060,5603,4551e" filled="true" fillcolor="#000000" stroked="false">
            <v:path arrowok="t"/>
            <v:fill type="solid"/>
            <w10:wrap type="none"/>
          </v:shape>
        </w:pict>
      </w:r>
      <w:r>
        <w:rPr/>
        <w:pict>
          <v:group style="position:absolute;margin-left:225.050003pt;margin-top:278.450012pt;width:55.1pt;height:432.55pt;mso-position-horizontal-relative:page;mso-position-vertical-relative:page;z-index:251678720" coordorigin="4501,5569" coordsize="1102,8651">
            <v:shape style="position:absolute;left:4501;top:5569;width:1102;height:509" coordorigin="4501,5569" coordsize="1102,509" path="m5603,5569l5495,5569,4609,5569,4501,5569,4501,6078,4609,6078,5495,6078,5603,6078,5603,5569e" filled="true" fillcolor="#ff0000" stroked="false">
              <v:path arrowok="t"/>
              <v:fill type="solid"/>
            </v:shape>
            <v:shape style="position:absolute;left:4501;top:6077;width:1102;height:509" coordorigin="4501,6078" coordsize="1102,509" path="m5603,6078l5495,6078,4609,6078,4501,6078,4501,6587,4609,6587,5495,6587,5603,6587,5603,6078e" filled="true" fillcolor="#00ff00" stroked="false">
              <v:path arrowok="t"/>
              <v:fill type="solid"/>
            </v:shape>
            <v:shape style="position:absolute;left:4501;top:6586;width:1102;height:509" coordorigin="4501,6587" coordsize="1102,509" path="m5603,6587l5495,6587,4609,6587,4501,6587,4501,7095,4609,7095,5495,7095,5603,7095,5603,6587e" filled="true" fillcolor="#0000ff" stroked="false">
              <v:path arrowok="t"/>
              <v:fill type="solid"/>
            </v:shape>
            <v:shape style="position:absolute;left:4501;top:7095;width:1102;height:509" coordorigin="4501,7095" coordsize="1102,509" path="m5603,7095l5495,7095,4609,7095,4501,7095,4501,7604,4609,7604,5495,7604,5603,7604,5603,7095e" filled="true" fillcolor="#ffff00" stroked="false">
              <v:path arrowok="t"/>
              <v:fill type="solid"/>
            </v:shape>
            <v:shape style="position:absolute;left:4501;top:7604;width:1102;height:509" coordorigin="4501,7604" coordsize="1102,509" path="m5603,7604l5495,7604,4609,7604,4501,7604,4501,8113,4609,8113,5495,8113,5603,8113,5603,7604e" filled="true" fillcolor="#ff00ff" stroked="false">
              <v:path arrowok="t"/>
              <v:fill type="solid"/>
            </v:shape>
            <v:shape style="position:absolute;left:4501;top:8113;width:1102;height:509" coordorigin="4501,8113" coordsize="1102,509" path="m5603,8113l5495,8113,4609,8113,4501,8113,4501,8622,4609,8622,5495,8622,5603,8622,5603,8113e" filled="true" fillcolor="#00ffff" stroked="false">
              <v:path arrowok="t"/>
              <v:fill type="solid"/>
            </v:shape>
            <v:shape style="position:absolute;left:4501;top:8621;width:1102;height:510" coordorigin="4501,8622" coordsize="1102,510" path="m5603,8622l5495,8622,4609,8622,4501,8622,4501,9131,4609,9131,5495,9131,5603,9131,5603,8622e" filled="true" fillcolor="#800000" stroked="false">
              <v:path arrowok="t"/>
              <v:fill type="solid"/>
            </v:shape>
            <v:shape style="position:absolute;left:4501;top:9131;width:1102;height:509" coordorigin="4501,9131" coordsize="1102,509" path="m5603,9131l5495,9131,4609,9131,4501,9131,4501,9640,4609,9640,5495,9640,5603,9640,5603,9131e" filled="true" fillcolor="#008000" stroked="false">
              <v:path arrowok="t"/>
              <v:fill type="solid"/>
            </v:shape>
            <v:shape style="position:absolute;left:4501;top:9639;width:1102;height:509" coordorigin="4501,9640" coordsize="1102,509" path="m5603,9640l5495,9640,4609,9640,4501,9640,4501,10149,4609,10149,5495,10149,5603,10149,5603,9640e" filled="true" fillcolor="#000080" stroked="false">
              <v:path arrowok="t"/>
              <v:fill type="solid"/>
            </v:shape>
            <v:shape style="position:absolute;left:4501;top:10148;width:1102;height:509" coordorigin="4501,10149" coordsize="1102,509" path="m5603,10149l5495,10149,4609,10149,4501,10149,4501,10657,4609,10657,5495,10657,5603,10657,5603,10149e" filled="true" fillcolor="#808000" stroked="false">
              <v:path arrowok="t"/>
              <v:fill type="solid"/>
            </v:shape>
            <v:shape style="position:absolute;left:4501;top:10657;width:1102;height:509" coordorigin="4501,10657" coordsize="1102,509" path="m5603,10657l5495,10657,4609,10657,4501,10657,4501,11166,4609,11166,5495,11166,5603,11166,5603,10657e" filled="true" fillcolor="#800080" stroked="false">
              <v:path arrowok="t"/>
              <v:fill type="solid"/>
            </v:shape>
            <v:shape style="position:absolute;left:4501;top:11166;width:1102;height:509" coordorigin="4501,11166" coordsize="1102,509" path="m5603,11166l5495,11166,4609,11166,4501,11166,4501,11675,4609,11675,5495,11675,5603,11675,5603,11166e" filled="true" fillcolor="#008080" stroked="false">
              <v:path arrowok="t"/>
              <v:fill type="solid"/>
            </v:shape>
            <v:shape style="position:absolute;left:4501;top:11675;width:1102;height:509" coordorigin="4501,11675" coordsize="1102,509" path="m5603,11675l5495,11675,4609,11675,4501,11675,4501,12184,4609,12184,5495,12184,5603,12184,5603,11675e" filled="true" fillcolor="#c0c0c0" stroked="false">
              <v:path arrowok="t"/>
              <v:fill type="solid"/>
            </v:shape>
            <v:shape style="position:absolute;left:4501;top:12183;width:1102;height:510" coordorigin="4501,12184" coordsize="1102,510" path="m5603,12184l5495,12184,4609,12184,4501,12184,4501,12693,4609,12693,5495,12693,5603,12693,5603,12184e" filled="true" fillcolor="#808080" stroked="false">
              <v:path arrowok="t"/>
              <v:fill type="solid"/>
            </v:shape>
            <v:shape style="position:absolute;left:4501;top:12693;width:1102;height:509" coordorigin="4501,12693" coordsize="1102,509" path="m5603,12693l5495,12693,4609,12693,4501,12693,4501,13202,4609,13202,5495,13202,5603,13202,5603,12693e" filled="true" fillcolor="#9999ff" stroked="false">
              <v:path arrowok="t"/>
              <v:fill type="solid"/>
            </v:shape>
            <v:shape style="position:absolute;left:4501;top:13202;width:1102;height:509" coordorigin="4501,13202" coordsize="1102,509" path="m5603,13202l5495,13202,4609,13202,4501,13202,4501,13711,4609,13711,5495,13711,5603,13711,5603,13202e" filled="true" fillcolor="#993366" stroked="false">
              <v:path arrowok="t"/>
              <v:fill type="solid"/>
            </v:shape>
            <v:shape style="position:absolute;left:4501;top:13710;width:1102;height:509" coordorigin="4501,13711" coordsize="1102,509" path="m5603,13711l5495,13711,4609,13711,4501,13711,4501,14220,4609,14220,5495,14220,5603,14220,5603,13711e" filled="true" fillcolor="#ffffcc" stroked="false">
              <v:path arrowok="t"/>
              <v:fill type="solid"/>
            </v:shape>
            <w10:wrap type="none"/>
          </v:group>
        </w:pict>
      </w:r>
    </w:p>
    <w:tbl>
      <w:tblPr>
        <w:tblW w:w="0" w:type="auto"/>
        <w:jc w:val="left"/>
        <w:tblInd w:w="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3"/>
        <w:gridCol w:w="1070"/>
      </w:tblGrid>
      <w:tr>
        <w:trPr>
          <w:trHeight w:val="364" w:hRule="atLeast"/>
        </w:trPr>
        <w:tc>
          <w:tcPr>
            <w:tcW w:w="1383" w:type="dxa"/>
          </w:tcPr>
          <w:p>
            <w:pPr>
              <w:pStyle w:val="TableParagraph"/>
              <w:spacing w:line="225" w:lineRule="exact" w:before="0"/>
              <w:ind w:left="50"/>
              <w:rPr>
                <w:sz w:val="22"/>
              </w:rPr>
            </w:pPr>
            <w:r>
              <w:rPr>
                <w:sz w:val="22"/>
              </w:rPr>
              <w:t>indexed="3"</w:t>
            </w:r>
          </w:p>
        </w:tc>
        <w:tc>
          <w:tcPr>
            <w:tcW w:w="1070" w:type="dxa"/>
          </w:tcPr>
          <w:p>
            <w:pPr>
              <w:pStyle w:val="TableParagraph"/>
              <w:spacing w:line="225" w:lineRule="exact" w:before="0"/>
              <w:ind w:left="109"/>
              <w:rPr>
                <w:sz w:val="22"/>
              </w:rPr>
            </w:pPr>
            <w:r>
              <w:rPr>
                <w:sz w:val="22"/>
              </w:rPr>
              <w:t>0000FF00</w:t>
            </w:r>
          </w:p>
        </w:tc>
      </w:tr>
      <w:tr>
        <w:trPr>
          <w:trHeight w:val="509" w:hRule="atLeast"/>
        </w:trPr>
        <w:tc>
          <w:tcPr>
            <w:tcW w:w="1383" w:type="dxa"/>
          </w:tcPr>
          <w:p>
            <w:pPr>
              <w:pStyle w:val="TableParagraph"/>
              <w:spacing w:before="100"/>
              <w:ind w:left="50"/>
              <w:rPr>
                <w:sz w:val="22"/>
              </w:rPr>
            </w:pPr>
            <w:r>
              <w:rPr>
                <w:sz w:val="22"/>
              </w:rPr>
              <w:t>indexed="4"</w:t>
            </w:r>
          </w:p>
        </w:tc>
        <w:tc>
          <w:tcPr>
            <w:tcW w:w="1070" w:type="dxa"/>
          </w:tcPr>
          <w:p>
            <w:pPr>
              <w:pStyle w:val="TableParagraph"/>
              <w:spacing w:before="100"/>
              <w:ind w:left="109"/>
              <w:rPr>
                <w:sz w:val="22"/>
              </w:rPr>
            </w:pPr>
            <w:r>
              <w:rPr>
                <w:sz w:val="22"/>
              </w:rPr>
              <w:t>000000FF</w:t>
            </w:r>
          </w:p>
        </w:tc>
      </w:tr>
      <w:tr>
        <w:trPr>
          <w:trHeight w:val="508" w:hRule="atLeast"/>
        </w:trPr>
        <w:tc>
          <w:tcPr>
            <w:tcW w:w="1383" w:type="dxa"/>
          </w:tcPr>
          <w:p>
            <w:pPr>
              <w:pStyle w:val="TableParagraph"/>
              <w:spacing w:before="100"/>
              <w:ind w:left="50"/>
              <w:rPr>
                <w:sz w:val="22"/>
              </w:rPr>
            </w:pPr>
            <w:r>
              <w:rPr>
                <w:sz w:val="22"/>
              </w:rPr>
              <w:t>indexed="5"</w:t>
            </w:r>
          </w:p>
        </w:tc>
        <w:tc>
          <w:tcPr>
            <w:tcW w:w="1070" w:type="dxa"/>
          </w:tcPr>
          <w:p>
            <w:pPr>
              <w:pStyle w:val="TableParagraph"/>
              <w:spacing w:before="100"/>
              <w:ind w:left="109"/>
              <w:rPr>
                <w:sz w:val="22"/>
              </w:rPr>
            </w:pPr>
            <w:r>
              <w:rPr>
                <w:sz w:val="22"/>
              </w:rPr>
              <w:t>00FFFF00</w:t>
            </w:r>
          </w:p>
        </w:tc>
      </w:tr>
      <w:tr>
        <w:trPr>
          <w:trHeight w:val="508" w:hRule="atLeast"/>
        </w:trPr>
        <w:tc>
          <w:tcPr>
            <w:tcW w:w="1383" w:type="dxa"/>
          </w:tcPr>
          <w:p>
            <w:pPr>
              <w:pStyle w:val="TableParagraph"/>
              <w:spacing w:before="100"/>
              <w:ind w:left="50"/>
              <w:rPr>
                <w:sz w:val="22"/>
              </w:rPr>
            </w:pPr>
            <w:r>
              <w:rPr>
                <w:sz w:val="22"/>
              </w:rPr>
              <w:t>indexed="6"</w:t>
            </w:r>
          </w:p>
        </w:tc>
        <w:tc>
          <w:tcPr>
            <w:tcW w:w="1070" w:type="dxa"/>
          </w:tcPr>
          <w:p>
            <w:pPr>
              <w:pStyle w:val="TableParagraph"/>
              <w:spacing w:before="100"/>
              <w:ind w:left="109"/>
              <w:rPr>
                <w:sz w:val="22"/>
              </w:rPr>
            </w:pPr>
            <w:r>
              <w:rPr>
                <w:sz w:val="22"/>
              </w:rPr>
              <w:t>00FF00FF</w:t>
            </w:r>
          </w:p>
        </w:tc>
      </w:tr>
      <w:tr>
        <w:trPr>
          <w:trHeight w:val="508" w:hRule="atLeast"/>
        </w:trPr>
        <w:tc>
          <w:tcPr>
            <w:tcW w:w="1383" w:type="dxa"/>
          </w:tcPr>
          <w:p>
            <w:pPr>
              <w:pStyle w:val="TableParagraph"/>
              <w:spacing w:before="100"/>
              <w:ind w:left="50"/>
              <w:rPr>
                <w:sz w:val="22"/>
              </w:rPr>
            </w:pPr>
            <w:r>
              <w:rPr>
                <w:sz w:val="22"/>
              </w:rPr>
              <w:t>indexed="7"</w:t>
            </w:r>
          </w:p>
        </w:tc>
        <w:tc>
          <w:tcPr>
            <w:tcW w:w="1070" w:type="dxa"/>
          </w:tcPr>
          <w:p>
            <w:pPr>
              <w:pStyle w:val="TableParagraph"/>
              <w:spacing w:before="100"/>
              <w:ind w:left="109"/>
              <w:rPr>
                <w:sz w:val="22"/>
              </w:rPr>
            </w:pPr>
            <w:r>
              <w:rPr>
                <w:sz w:val="22"/>
              </w:rPr>
              <w:t>0000FFFF</w:t>
            </w:r>
          </w:p>
        </w:tc>
      </w:tr>
      <w:tr>
        <w:trPr>
          <w:trHeight w:val="508" w:hRule="atLeast"/>
        </w:trPr>
        <w:tc>
          <w:tcPr>
            <w:tcW w:w="1383" w:type="dxa"/>
          </w:tcPr>
          <w:p>
            <w:pPr>
              <w:pStyle w:val="TableParagraph"/>
              <w:spacing w:before="100"/>
              <w:ind w:left="50"/>
              <w:rPr>
                <w:sz w:val="22"/>
              </w:rPr>
            </w:pPr>
            <w:r>
              <w:rPr>
                <w:sz w:val="22"/>
              </w:rPr>
              <w:t>(none)</w:t>
            </w:r>
          </w:p>
        </w:tc>
        <w:tc>
          <w:tcPr>
            <w:tcW w:w="1070" w:type="dxa"/>
          </w:tcPr>
          <w:p>
            <w:pPr>
              <w:pStyle w:val="TableParagraph"/>
              <w:spacing w:before="100"/>
              <w:ind w:left="109"/>
              <w:rPr>
                <w:sz w:val="22"/>
              </w:rPr>
            </w:pPr>
            <w:r>
              <w:rPr>
                <w:sz w:val="22"/>
              </w:rPr>
              <w:t>(none)</w:t>
            </w:r>
          </w:p>
        </w:tc>
      </w:tr>
      <w:tr>
        <w:trPr>
          <w:trHeight w:val="509" w:hRule="atLeast"/>
        </w:trPr>
        <w:tc>
          <w:tcPr>
            <w:tcW w:w="1383" w:type="dxa"/>
          </w:tcPr>
          <w:p>
            <w:pPr>
              <w:pStyle w:val="TableParagraph"/>
              <w:spacing w:before="100"/>
              <w:ind w:left="50"/>
              <w:rPr>
                <w:sz w:val="22"/>
              </w:rPr>
            </w:pPr>
            <w:r>
              <w:rPr>
                <w:sz w:val="22"/>
              </w:rPr>
              <w:t>indexed="8"</w:t>
            </w:r>
          </w:p>
        </w:tc>
        <w:tc>
          <w:tcPr>
            <w:tcW w:w="1070" w:type="dxa"/>
          </w:tcPr>
          <w:p>
            <w:pPr>
              <w:pStyle w:val="TableParagraph"/>
              <w:spacing w:before="100"/>
              <w:ind w:left="109"/>
              <w:rPr>
                <w:sz w:val="22"/>
              </w:rPr>
            </w:pPr>
            <w:r>
              <w:rPr>
                <w:sz w:val="22"/>
              </w:rPr>
              <w:t>00000000</w:t>
            </w:r>
          </w:p>
        </w:tc>
      </w:tr>
      <w:tr>
        <w:trPr>
          <w:trHeight w:val="509" w:hRule="atLeast"/>
        </w:trPr>
        <w:tc>
          <w:tcPr>
            <w:tcW w:w="1383" w:type="dxa"/>
          </w:tcPr>
          <w:p>
            <w:pPr>
              <w:pStyle w:val="TableParagraph"/>
              <w:spacing w:before="100"/>
              <w:ind w:left="50"/>
              <w:rPr>
                <w:sz w:val="22"/>
              </w:rPr>
            </w:pPr>
            <w:r>
              <w:rPr>
                <w:sz w:val="22"/>
              </w:rPr>
              <w:t>indexed="9"</w:t>
            </w:r>
          </w:p>
        </w:tc>
        <w:tc>
          <w:tcPr>
            <w:tcW w:w="1070" w:type="dxa"/>
          </w:tcPr>
          <w:p>
            <w:pPr>
              <w:pStyle w:val="TableParagraph"/>
              <w:spacing w:before="100"/>
              <w:ind w:left="109"/>
              <w:rPr>
                <w:sz w:val="22"/>
              </w:rPr>
            </w:pPr>
            <w:r>
              <w:rPr>
                <w:sz w:val="22"/>
              </w:rPr>
              <w:t>00FFFFFF</w:t>
            </w:r>
          </w:p>
        </w:tc>
      </w:tr>
      <w:tr>
        <w:trPr>
          <w:trHeight w:val="508" w:hRule="atLeast"/>
        </w:trPr>
        <w:tc>
          <w:tcPr>
            <w:tcW w:w="1383" w:type="dxa"/>
          </w:tcPr>
          <w:p>
            <w:pPr>
              <w:pStyle w:val="TableParagraph"/>
              <w:spacing w:before="100"/>
              <w:ind w:left="50"/>
              <w:rPr>
                <w:sz w:val="22"/>
              </w:rPr>
            </w:pPr>
            <w:r>
              <w:rPr>
                <w:sz w:val="22"/>
              </w:rPr>
              <w:t>indexed="10"</w:t>
            </w:r>
          </w:p>
        </w:tc>
        <w:tc>
          <w:tcPr>
            <w:tcW w:w="1070" w:type="dxa"/>
          </w:tcPr>
          <w:p>
            <w:pPr>
              <w:pStyle w:val="TableParagraph"/>
              <w:spacing w:before="100"/>
              <w:ind w:left="109"/>
              <w:rPr>
                <w:sz w:val="22"/>
              </w:rPr>
            </w:pPr>
            <w:r>
              <w:rPr>
                <w:sz w:val="22"/>
              </w:rPr>
              <w:t>00FF0000</w:t>
            </w:r>
          </w:p>
        </w:tc>
      </w:tr>
      <w:tr>
        <w:trPr>
          <w:trHeight w:val="508" w:hRule="atLeast"/>
        </w:trPr>
        <w:tc>
          <w:tcPr>
            <w:tcW w:w="1383" w:type="dxa"/>
          </w:tcPr>
          <w:p>
            <w:pPr>
              <w:pStyle w:val="TableParagraph"/>
              <w:spacing w:before="100"/>
              <w:ind w:left="50"/>
              <w:rPr>
                <w:sz w:val="22"/>
              </w:rPr>
            </w:pPr>
            <w:r>
              <w:rPr>
                <w:sz w:val="22"/>
              </w:rPr>
              <w:t>indexed="11"</w:t>
            </w:r>
          </w:p>
        </w:tc>
        <w:tc>
          <w:tcPr>
            <w:tcW w:w="1070" w:type="dxa"/>
          </w:tcPr>
          <w:p>
            <w:pPr>
              <w:pStyle w:val="TableParagraph"/>
              <w:spacing w:before="100"/>
              <w:ind w:left="109"/>
              <w:rPr>
                <w:sz w:val="22"/>
              </w:rPr>
            </w:pPr>
            <w:r>
              <w:rPr>
                <w:sz w:val="22"/>
              </w:rPr>
              <w:t>0000FF00</w:t>
            </w:r>
          </w:p>
        </w:tc>
      </w:tr>
      <w:tr>
        <w:trPr>
          <w:trHeight w:val="508" w:hRule="atLeast"/>
        </w:trPr>
        <w:tc>
          <w:tcPr>
            <w:tcW w:w="1383" w:type="dxa"/>
          </w:tcPr>
          <w:p>
            <w:pPr>
              <w:pStyle w:val="TableParagraph"/>
              <w:spacing w:before="100"/>
              <w:ind w:left="50"/>
              <w:rPr>
                <w:sz w:val="22"/>
              </w:rPr>
            </w:pPr>
            <w:r>
              <w:rPr>
                <w:sz w:val="22"/>
              </w:rPr>
              <w:t>indexed="12"</w:t>
            </w:r>
          </w:p>
        </w:tc>
        <w:tc>
          <w:tcPr>
            <w:tcW w:w="1070" w:type="dxa"/>
          </w:tcPr>
          <w:p>
            <w:pPr>
              <w:pStyle w:val="TableParagraph"/>
              <w:spacing w:before="100"/>
              <w:ind w:left="109"/>
              <w:rPr>
                <w:sz w:val="22"/>
              </w:rPr>
            </w:pPr>
            <w:r>
              <w:rPr>
                <w:sz w:val="22"/>
              </w:rPr>
              <w:t>000000FF</w:t>
            </w:r>
          </w:p>
        </w:tc>
      </w:tr>
      <w:tr>
        <w:trPr>
          <w:trHeight w:val="508" w:hRule="atLeast"/>
        </w:trPr>
        <w:tc>
          <w:tcPr>
            <w:tcW w:w="1383" w:type="dxa"/>
          </w:tcPr>
          <w:p>
            <w:pPr>
              <w:pStyle w:val="TableParagraph"/>
              <w:spacing w:before="100"/>
              <w:ind w:left="50"/>
              <w:rPr>
                <w:sz w:val="22"/>
              </w:rPr>
            </w:pPr>
            <w:r>
              <w:rPr>
                <w:sz w:val="22"/>
              </w:rPr>
              <w:t>indexed="13"</w:t>
            </w:r>
          </w:p>
        </w:tc>
        <w:tc>
          <w:tcPr>
            <w:tcW w:w="1070" w:type="dxa"/>
          </w:tcPr>
          <w:p>
            <w:pPr>
              <w:pStyle w:val="TableParagraph"/>
              <w:spacing w:before="100"/>
              <w:ind w:left="109"/>
              <w:rPr>
                <w:sz w:val="22"/>
              </w:rPr>
            </w:pPr>
            <w:r>
              <w:rPr>
                <w:sz w:val="22"/>
              </w:rPr>
              <w:t>00FFFF00</w:t>
            </w:r>
          </w:p>
        </w:tc>
      </w:tr>
      <w:tr>
        <w:trPr>
          <w:trHeight w:val="508" w:hRule="atLeast"/>
        </w:trPr>
        <w:tc>
          <w:tcPr>
            <w:tcW w:w="1383" w:type="dxa"/>
          </w:tcPr>
          <w:p>
            <w:pPr>
              <w:pStyle w:val="TableParagraph"/>
              <w:spacing w:before="100"/>
              <w:ind w:left="50"/>
              <w:rPr>
                <w:sz w:val="22"/>
              </w:rPr>
            </w:pPr>
            <w:r>
              <w:rPr>
                <w:sz w:val="22"/>
              </w:rPr>
              <w:t>indexed="14"</w:t>
            </w:r>
          </w:p>
        </w:tc>
        <w:tc>
          <w:tcPr>
            <w:tcW w:w="1070" w:type="dxa"/>
          </w:tcPr>
          <w:p>
            <w:pPr>
              <w:pStyle w:val="TableParagraph"/>
              <w:spacing w:before="100"/>
              <w:ind w:left="109"/>
              <w:rPr>
                <w:sz w:val="22"/>
              </w:rPr>
            </w:pPr>
            <w:r>
              <w:rPr>
                <w:sz w:val="22"/>
              </w:rPr>
              <w:t>00FF00FF</w:t>
            </w:r>
          </w:p>
        </w:tc>
      </w:tr>
      <w:tr>
        <w:trPr>
          <w:trHeight w:val="508" w:hRule="atLeast"/>
        </w:trPr>
        <w:tc>
          <w:tcPr>
            <w:tcW w:w="1383" w:type="dxa"/>
          </w:tcPr>
          <w:p>
            <w:pPr>
              <w:pStyle w:val="TableParagraph"/>
              <w:spacing w:before="100"/>
              <w:ind w:left="50"/>
              <w:rPr>
                <w:sz w:val="22"/>
              </w:rPr>
            </w:pPr>
            <w:r>
              <w:rPr>
                <w:sz w:val="22"/>
              </w:rPr>
              <w:t>indexed="15"</w:t>
            </w:r>
          </w:p>
        </w:tc>
        <w:tc>
          <w:tcPr>
            <w:tcW w:w="1070" w:type="dxa"/>
          </w:tcPr>
          <w:p>
            <w:pPr>
              <w:pStyle w:val="TableParagraph"/>
              <w:spacing w:before="100"/>
              <w:ind w:left="109"/>
              <w:rPr>
                <w:sz w:val="22"/>
              </w:rPr>
            </w:pPr>
            <w:r>
              <w:rPr>
                <w:sz w:val="22"/>
              </w:rPr>
              <w:t>0000FFFF</w:t>
            </w:r>
          </w:p>
        </w:tc>
      </w:tr>
      <w:tr>
        <w:trPr>
          <w:trHeight w:val="508" w:hRule="atLeast"/>
        </w:trPr>
        <w:tc>
          <w:tcPr>
            <w:tcW w:w="1383" w:type="dxa"/>
          </w:tcPr>
          <w:p>
            <w:pPr>
              <w:pStyle w:val="TableParagraph"/>
              <w:spacing w:before="100"/>
              <w:ind w:left="50"/>
              <w:rPr>
                <w:sz w:val="22"/>
              </w:rPr>
            </w:pPr>
            <w:r>
              <w:rPr>
                <w:sz w:val="22"/>
              </w:rPr>
              <w:t>indexed="16"</w:t>
            </w:r>
          </w:p>
        </w:tc>
        <w:tc>
          <w:tcPr>
            <w:tcW w:w="1070" w:type="dxa"/>
          </w:tcPr>
          <w:p>
            <w:pPr>
              <w:pStyle w:val="TableParagraph"/>
              <w:spacing w:before="100"/>
              <w:ind w:left="109"/>
              <w:rPr>
                <w:sz w:val="22"/>
              </w:rPr>
            </w:pPr>
            <w:r>
              <w:rPr>
                <w:sz w:val="22"/>
              </w:rPr>
              <w:t>00800000</w:t>
            </w:r>
          </w:p>
        </w:tc>
      </w:tr>
      <w:tr>
        <w:trPr>
          <w:trHeight w:val="508" w:hRule="atLeast"/>
        </w:trPr>
        <w:tc>
          <w:tcPr>
            <w:tcW w:w="1383" w:type="dxa"/>
          </w:tcPr>
          <w:p>
            <w:pPr>
              <w:pStyle w:val="TableParagraph"/>
              <w:spacing w:before="100"/>
              <w:ind w:left="50"/>
              <w:rPr>
                <w:sz w:val="22"/>
              </w:rPr>
            </w:pPr>
            <w:r>
              <w:rPr>
                <w:sz w:val="22"/>
              </w:rPr>
              <w:t>indexed="17"</w:t>
            </w:r>
          </w:p>
        </w:tc>
        <w:tc>
          <w:tcPr>
            <w:tcW w:w="1070" w:type="dxa"/>
          </w:tcPr>
          <w:p>
            <w:pPr>
              <w:pStyle w:val="TableParagraph"/>
              <w:spacing w:before="100"/>
              <w:ind w:left="109"/>
              <w:rPr>
                <w:sz w:val="22"/>
              </w:rPr>
            </w:pPr>
            <w:r>
              <w:rPr>
                <w:sz w:val="22"/>
              </w:rPr>
              <w:t>00008000</w:t>
            </w:r>
          </w:p>
        </w:tc>
      </w:tr>
      <w:tr>
        <w:trPr>
          <w:trHeight w:val="508" w:hRule="atLeast"/>
        </w:trPr>
        <w:tc>
          <w:tcPr>
            <w:tcW w:w="1383" w:type="dxa"/>
          </w:tcPr>
          <w:p>
            <w:pPr>
              <w:pStyle w:val="TableParagraph"/>
              <w:spacing w:before="100"/>
              <w:ind w:left="50"/>
              <w:rPr>
                <w:sz w:val="22"/>
              </w:rPr>
            </w:pPr>
            <w:r>
              <w:rPr>
                <w:sz w:val="22"/>
              </w:rPr>
              <w:t>indexed="18"</w:t>
            </w:r>
          </w:p>
        </w:tc>
        <w:tc>
          <w:tcPr>
            <w:tcW w:w="1070" w:type="dxa"/>
          </w:tcPr>
          <w:p>
            <w:pPr>
              <w:pStyle w:val="TableParagraph"/>
              <w:spacing w:before="100"/>
              <w:ind w:left="109"/>
              <w:rPr>
                <w:sz w:val="22"/>
              </w:rPr>
            </w:pPr>
            <w:r>
              <w:rPr>
                <w:sz w:val="22"/>
              </w:rPr>
              <w:t>00000080</w:t>
            </w:r>
          </w:p>
        </w:tc>
      </w:tr>
      <w:tr>
        <w:trPr>
          <w:trHeight w:val="508" w:hRule="atLeast"/>
        </w:trPr>
        <w:tc>
          <w:tcPr>
            <w:tcW w:w="1383" w:type="dxa"/>
          </w:tcPr>
          <w:p>
            <w:pPr>
              <w:pStyle w:val="TableParagraph"/>
              <w:spacing w:before="100"/>
              <w:ind w:left="50"/>
              <w:rPr>
                <w:sz w:val="22"/>
              </w:rPr>
            </w:pPr>
            <w:r>
              <w:rPr>
                <w:sz w:val="22"/>
              </w:rPr>
              <w:t>indexed="19"</w:t>
            </w:r>
          </w:p>
        </w:tc>
        <w:tc>
          <w:tcPr>
            <w:tcW w:w="1070" w:type="dxa"/>
          </w:tcPr>
          <w:p>
            <w:pPr>
              <w:pStyle w:val="TableParagraph"/>
              <w:spacing w:before="100"/>
              <w:ind w:left="109"/>
              <w:rPr>
                <w:sz w:val="22"/>
              </w:rPr>
            </w:pPr>
            <w:r>
              <w:rPr>
                <w:sz w:val="22"/>
              </w:rPr>
              <w:t>00808000</w:t>
            </w:r>
          </w:p>
        </w:tc>
      </w:tr>
      <w:tr>
        <w:trPr>
          <w:trHeight w:val="508" w:hRule="atLeast"/>
        </w:trPr>
        <w:tc>
          <w:tcPr>
            <w:tcW w:w="1383" w:type="dxa"/>
          </w:tcPr>
          <w:p>
            <w:pPr>
              <w:pStyle w:val="TableParagraph"/>
              <w:spacing w:before="100"/>
              <w:ind w:left="50"/>
              <w:rPr>
                <w:sz w:val="22"/>
              </w:rPr>
            </w:pPr>
            <w:r>
              <w:rPr>
                <w:sz w:val="22"/>
              </w:rPr>
              <w:t>indexed="20"</w:t>
            </w:r>
          </w:p>
        </w:tc>
        <w:tc>
          <w:tcPr>
            <w:tcW w:w="1070" w:type="dxa"/>
          </w:tcPr>
          <w:p>
            <w:pPr>
              <w:pStyle w:val="TableParagraph"/>
              <w:spacing w:before="100"/>
              <w:ind w:left="109"/>
              <w:rPr>
                <w:sz w:val="22"/>
              </w:rPr>
            </w:pPr>
            <w:r>
              <w:rPr>
                <w:sz w:val="22"/>
              </w:rPr>
              <w:t>00800080</w:t>
            </w:r>
          </w:p>
        </w:tc>
      </w:tr>
      <w:tr>
        <w:trPr>
          <w:trHeight w:val="508" w:hRule="atLeast"/>
        </w:trPr>
        <w:tc>
          <w:tcPr>
            <w:tcW w:w="1383" w:type="dxa"/>
          </w:tcPr>
          <w:p>
            <w:pPr>
              <w:pStyle w:val="TableParagraph"/>
              <w:spacing w:before="100"/>
              <w:ind w:left="50"/>
              <w:rPr>
                <w:sz w:val="22"/>
              </w:rPr>
            </w:pPr>
            <w:r>
              <w:rPr>
                <w:sz w:val="22"/>
              </w:rPr>
              <w:t>indexed="21"</w:t>
            </w:r>
          </w:p>
        </w:tc>
        <w:tc>
          <w:tcPr>
            <w:tcW w:w="1070" w:type="dxa"/>
          </w:tcPr>
          <w:p>
            <w:pPr>
              <w:pStyle w:val="TableParagraph"/>
              <w:spacing w:before="100"/>
              <w:ind w:left="109"/>
              <w:rPr>
                <w:sz w:val="22"/>
              </w:rPr>
            </w:pPr>
            <w:r>
              <w:rPr>
                <w:sz w:val="22"/>
              </w:rPr>
              <w:t>00008080</w:t>
            </w:r>
          </w:p>
        </w:tc>
      </w:tr>
      <w:tr>
        <w:trPr>
          <w:trHeight w:val="509" w:hRule="atLeast"/>
        </w:trPr>
        <w:tc>
          <w:tcPr>
            <w:tcW w:w="1383" w:type="dxa"/>
          </w:tcPr>
          <w:p>
            <w:pPr>
              <w:pStyle w:val="TableParagraph"/>
              <w:spacing w:before="100"/>
              <w:ind w:left="50"/>
              <w:rPr>
                <w:sz w:val="22"/>
              </w:rPr>
            </w:pPr>
            <w:r>
              <w:rPr>
                <w:sz w:val="22"/>
              </w:rPr>
              <w:t>indexed="22"</w:t>
            </w:r>
          </w:p>
        </w:tc>
        <w:tc>
          <w:tcPr>
            <w:tcW w:w="1070" w:type="dxa"/>
          </w:tcPr>
          <w:p>
            <w:pPr>
              <w:pStyle w:val="TableParagraph"/>
              <w:spacing w:before="100"/>
              <w:ind w:left="109"/>
              <w:rPr>
                <w:sz w:val="22"/>
              </w:rPr>
            </w:pPr>
            <w:r>
              <w:rPr>
                <w:sz w:val="22"/>
              </w:rPr>
              <w:t>00C0C0C0</w:t>
            </w:r>
          </w:p>
        </w:tc>
      </w:tr>
      <w:tr>
        <w:trPr>
          <w:trHeight w:val="509" w:hRule="atLeast"/>
        </w:trPr>
        <w:tc>
          <w:tcPr>
            <w:tcW w:w="1383" w:type="dxa"/>
          </w:tcPr>
          <w:p>
            <w:pPr>
              <w:pStyle w:val="TableParagraph"/>
              <w:spacing w:before="100"/>
              <w:ind w:left="50"/>
              <w:rPr>
                <w:sz w:val="22"/>
              </w:rPr>
            </w:pPr>
            <w:r>
              <w:rPr>
                <w:sz w:val="22"/>
              </w:rPr>
              <w:t>indexed="23"</w:t>
            </w:r>
          </w:p>
        </w:tc>
        <w:tc>
          <w:tcPr>
            <w:tcW w:w="1070" w:type="dxa"/>
          </w:tcPr>
          <w:p>
            <w:pPr>
              <w:pStyle w:val="TableParagraph"/>
              <w:spacing w:before="100"/>
              <w:ind w:left="109"/>
              <w:rPr>
                <w:sz w:val="22"/>
              </w:rPr>
            </w:pPr>
            <w:r>
              <w:rPr>
                <w:sz w:val="22"/>
              </w:rPr>
              <w:t>00808080</w:t>
            </w:r>
          </w:p>
        </w:tc>
      </w:tr>
      <w:tr>
        <w:trPr>
          <w:trHeight w:val="508" w:hRule="atLeast"/>
        </w:trPr>
        <w:tc>
          <w:tcPr>
            <w:tcW w:w="1383" w:type="dxa"/>
          </w:tcPr>
          <w:p>
            <w:pPr>
              <w:pStyle w:val="TableParagraph"/>
              <w:spacing w:before="100"/>
              <w:ind w:left="50"/>
              <w:rPr>
                <w:sz w:val="22"/>
              </w:rPr>
            </w:pPr>
            <w:r>
              <w:rPr>
                <w:sz w:val="22"/>
              </w:rPr>
              <w:t>indexed="24"</w:t>
            </w:r>
          </w:p>
        </w:tc>
        <w:tc>
          <w:tcPr>
            <w:tcW w:w="1070" w:type="dxa"/>
          </w:tcPr>
          <w:p>
            <w:pPr>
              <w:pStyle w:val="TableParagraph"/>
              <w:spacing w:before="100"/>
              <w:ind w:left="109"/>
              <w:rPr>
                <w:sz w:val="22"/>
              </w:rPr>
            </w:pPr>
            <w:r>
              <w:rPr>
                <w:sz w:val="22"/>
              </w:rPr>
              <w:t>009999FF</w:t>
            </w:r>
          </w:p>
        </w:tc>
      </w:tr>
      <w:tr>
        <w:trPr>
          <w:trHeight w:val="508" w:hRule="atLeast"/>
        </w:trPr>
        <w:tc>
          <w:tcPr>
            <w:tcW w:w="1383" w:type="dxa"/>
          </w:tcPr>
          <w:p>
            <w:pPr>
              <w:pStyle w:val="TableParagraph"/>
              <w:spacing w:before="100"/>
              <w:ind w:left="50"/>
              <w:rPr>
                <w:sz w:val="22"/>
              </w:rPr>
            </w:pPr>
            <w:r>
              <w:rPr>
                <w:sz w:val="22"/>
              </w:rPr>
              <w:t>indexed="25"</w:t>
            </w:r>
          </w:p>
        </w:tc>
        <w:tc>
          <w:tcPr>
            <w:tcW w:w="1070" w:type="dxa"/>
          </w:tcPr>
          <w:p>
            <w:pPr>
              <w:pStyle w:val="TableParagraph"/>
              <w:spacing w:before="100"/>
              <w:ind w:left="109"/>
              <w:rPr>
                <w:sz w:val="22"/>
              </w:rPr>
            </w:pPr>
            <w:r>
              <w:rPr>
                <w:sz w:val="22"/>
              </w:rPr>
              <w:t>00993366</w:t>
            </w:r>
          </w:p>
        </w:tc>
      </w:tr>
      <w:tr>
        <w:trPr>
          <w:trHeight w:val="364" w:hRule="atLeast"/>
        </w:trPr>
        <w:tc>
          <w:tcPr>
            <w:tcW w:w="1383" w:type="dxa"/>
          </w:tcPr>
          <w:p>
            <w:pPr>
              <w:pStyle w:val="TableParagraph"/>
              <w:spacing w:line="245" w:lineRule="exact" w:before="100"/>
              <w:ind w:left="50"/>
              <w:rPr>
                <w:sz w:val="22"/>
              </w:rPr>
            </w:pPr>
            <w:r>
              <w:rPr>
                <w:sz w:val="22"/>
              </w:rPr>
              <w:t>indexed="26"</w:t>
            </w:r>
          </w:p>
        </w:tc>
        <w:tc>
          <w:tcPr>
            <w:tcW w:w="1070" w:type="dxa"/>
          </w:tcPr>
          <w:p>
            <w:pPr>
              <w:pStyle w:val="TableParagraph"/>
              <w:spacing w:line="245" w:lineRule="exact" w:before="100"/>
              <w:ind w:left="109"/>
              <w:rPr>
                <w:sz w:val="22"/>
              </w:rPr>
            </w:pPr>
            <w:r>
              <w:rPr>
                <w:sz w:val="22"/>
              </w:rPr>
              <w:t>00FFFFCC</w:t>
            </w:r>
          </w:p>
        </w:tc>
      </w:tr>
    </w:tbl>
    <w:p>
      <w:pPr>
        <w:spacing w:after="0" w:line="245" w:lineRule="exact"/>
        <w:rPr>
          <w:sz w:val="22"/>
        </w:rPr>
        <w:sectPr>
          <w:pgSz w:w="12240" w:h="15840"/>
          <w:pgMar w:header="763" w:footer="746" w:top="1340" w:bottom="940" w:left="860" w:right="700"/>
        </w:sectPr>
      </w:pPr>
    </w:p>
    <w:p>
      <w:pPr>
        <w:pStyle w:val="BodyText"/>
        <w:spacing w:before="1"/>
        <w:rPr>
          <w:rFonts w:ascii="Times New Roman"/>
          <w:sz w:val="8"/>
        </w:rPr>
      </w:pPr>
    </w:p>
    <w:p>
      <w:pPr>
        <w:tabs>
          <w:tab w:pos="3641" w:val="left" w:leader="none"/>
        </w:tabs>
        <w:spacing w:line="240" w:lineRule="auto"/>
        <w:ind w:left="263" w:right="0" w:firstLine="0"/>
        <w:rPr>
          <w:rFonts w:ascii="Times New Roman"/>
          <w:sz w:val="20"/>
        </w:rPr>
      </w:pPr>
      <w:r>
        <w:rPr>
          <w:rFonts w:ascii="Times New Roman"/>
          <w:position w:val="24"/>
          <w:sz w:val="20"/>
        </w:rPr>
        <w:pict>
          <v:shape style="width:123pt;height:621.7pt;mso-position-horizontal-relative:char;mso-position-vertical-relative:line" type="#_x0000_t202"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3"/>
                    <w:gridCol w:w="1075"/>
                  </w:tblGrid>
                  <w:tr>
                    <w:trPr>
                      <w:trHeight w:val="365" w:hRule="atLeast"/>
                    </w:trPr>
                    <w:tc>
                      <w:tcPr>
                        <w:tcW w:w="1383" w:type="dxa"/>
                      </w:tcPr>
                      <w:p>
                        <w:pPr>
                          <w:pStyle w:val="TableParagraph"/>
                          <w:spacing w:line="225" w:lineRule="exact" w:before="0"/>
                          <w:ind w:left="32" w:right="89"/>
                          <w:jc w:val="center"/>
                          <w:rPr>
                            <w:sz w:val="22"/>
                          </w:rPr>
                        </w:pPr>
                        <w:r>
                          <w:rPr>
                            <w:sz w:val="22"/>
                          </w:rPr>
                          <w:t>indexed="27"</w:t>
                        </w:r>
                      </w:p>
                    </w:tc>
                    <w:tc>
                      <w:tcPr>
                        <w:tcW w:w="1075" w:type="dxa"/>
                      </w:tcPr>
                      <w:p>
                        <w:pPr>
                          <w:pStyle w:val="TableParagraph"/>
                          <w:spacing w:line="225" w:lineRule="exact" w:before="0"/>
                          <w:ind w:left="109"/>
                          <w:rPr>
                            <w:sz w:val="22"/>
                          </w:rPr>
                        </w:pPr>
                        <w:r>
                          <w:rPr>
                            <w:sz w:val="22"/>
                          </w:rPr>
                          <w:t>00CCFFFF</w:t>
                        </w:r>
                      </w:p>
                    </w:tc>
                  </w:tr>
                  <w:tr>
                    <w:trPr>
                      <w:trHeight w:val="508" w:hRule="atLeast"/>
                    </w:trPr>
                    <w:tc>
                      <w:tcPr>
                        <w:tcW w:w="1383" w:type="dxa"/>
                      </w:tcPr>
                      <w:p>
                        <w:pPr>
                          <w:pStyle w:val="TableParagraph"/>
                          <w:spacing w:before="100"/>
                          <w:ind w:left="32" w:right="89"/>
                          <w:jc w:val="center"/>
                          <w:rPr>
                            <w:sz w:val="22"/>
                          </w:rPr>
                        </w:pPr>
                        <w:r>
                          <w:rPr>
                            <w:sz w:val="22"/>
                          </w:rPr>
                          <w:t>indexed="28"</w:t>
                        </w:r>
                      </w:p>
                    </w:tc>
                    <w:tc>
                      <w:tcPr>
                        <w:tcW w:w="1075" w:type="dxa"/>
                      </w:tcPr>
                      <w:p>
                        <w:pPr>
                          <w:pStyle w:val="TableParagraph"/>
                          <w:spacing w:before="100"/>
                          <w:ind w:left="109"/>
                          <w:rPr>
                            <w:sz w:val="22"/>
                          </w:rPr>
                        </w:pPr>
                        <w:r>
                          <w:rPr>
                            <w:sz w:val="22"/>
                          </w:rPr>
                          <w:t>00660066</w:t>
                        </w:r>
                      </w:p>
                    </w:tc>
                  </w:tr>
                  <w:tr>
                    <w:trPr>
                      <w:trHeight w:val="508" w:hRule="atLeast"/>
                    </w:trPr>
                    <w:tc>
                      <w:tcPr>
                        <w:tcW w:w="1383" w:type="dxa"/>
                      </w:tcPr>
                      <w:p>
                        <w:pPr>
                          <w:pStyle w:val="TableParagraph"/>
                          <w:spacing w:before="100"/>
                          <w:ind w:left="32" w:right="89"/>
                          <w:jc w:val="center"/>
                          <w:rPr>
                            <w:sz w:val="22"/>
                          </w:rPr>
                        </w:pPr>
                        <w:r>
                          <w:rPr>
                            <w:sz w:val="22"/>
                          </w:rPr>
                          <w:t>indexed="29"</w:t>
                        </w:r>
                      </w:p>
                    </w:tc>
                    <w:tc>
                      <w:tcPr>
                        <w:tcW w:w="1075" w:type="dxa"/>
                      </w:tcPr>
                      <w:p>
                        <w:pPr>
                          <w:pStyle w:val="TableParagraph"/>
                          <w:spacing w:before="100"/>
                          <w:ind w:left="109"/>
                          <w:rPr>
                            <w:sz w:val="22"/>
                          </w:rPr>
                        </w:pPr>
                        <w:r>
                          <w:rPr>
                            <w:sz w:val="22"/>
                          </w:rPr>
                          <w:t>00FF8080</w:t>
                        </w:r>
                      </w:p>
                    </w:tc>
                  </w:tr>
                  <w:tr>
                    <w:trPr>
                      <w:trHeight w:val="508" w:hRule="atLeast"/>
                    </w:trPr>
                    <w:tc>
                      <w:tcPr>
                        <w:tcW w:w="1383" w:type="dxa"/>
                      </w:tcPr>
                      <w:p>
                        <w:pPr>
                          <w:pStyle w:val="TableParagraph"/>
                          <w:spacing w:before="100"/>
                          <w:ind w:left="32" w:right="89"/>
                          <w:jc w:val="center"/>
                          <w:rPr>
                            <w:sz w:val="22"/>
                          </w:rPr>
                        </w:pPr>
                        <w:r>
                          <w:rPr>
                            <w:sz w:val="22"/>
                          </w:rPr>
                          <w:t>indexed="30"</w:t>
                        </w:r>
                      </w:p>
                    </w:tc>
                    <w:tc>
                      <w:tcPr>
                        <w:tcW w:w="1075" w:type="dxa"/>
                      </w:tcPr>
                      <w:p>
                        <w:pPr>
                          <w:pStyle w:val="TableParagraph"/>
                          <w:spacing w:before="100"/>
                          <w:ind w:left="109"/>
                          <w:rPr>
                            <w:sz w:val="22"/>
                          </w:rPr>
                        </w:pPr>
                        <w:r>
                          <w:rPr>
                            <w:sz w:val="22"/>
                          </w:rPr>
                          <w:t>000066CC</w:t>
                        </w:r>
                      </w:p>
                    </w:tc>
                  </w:tr>
                  <w:tr>
                    <w:trPr>
                      <w:trHeight w:val="508" w:hRule="atLeast"/>
                    </w:trPr>
                    <w:tc>
                      <w:tcPr>
                        <w:tcW w:w="1383" w:type="dxa"/>
                      </w:tcPr>
                      <w:p>
                        <w:pPr>
                          <w:pStyle w:val="TableParagraph"/>
                          <w:spacing w:before="100"/>
                          <w:ind w:left="32" w:right="89"/>
                          <w:jc w:val="center"/>
                          <w:rPr>
                            <w:sz w:val="22"/>
                          </w:rPr>
                        </w:pPr>
                        <w:r>
                          <w:rPr>
                            <w:sz w:val="22"/>
                          </w:rPr>
                          <w:t>indexed="31"</w:t>
                        </w:r>
                      </w:p>
                    </w:tc>
                    <w:tc>
                      <w:tcPr>
                        <w:tcW w:w="1075" w:type="dxa"/>
                      </w:tcPr>
                      <w:p>
                        <w:pPr>
                          <w:pStyle w:val="TableParagraph"/>
                          <w:spacing w:before="100"/>
                          <w:ind w:left="109"/>
                          <w:rPr>
                            <w:sz w:val="22"/>
                          </w:rPr>
                        </w:pPr>
                        <w:r>
                          <w:rPr>
                            <w:sz w:val="22"/>
                          </w:rPr>
                          <w:t>00CCCCFF</w:t>
                        </w:r>
                      </w:p>
                    </w:tc>
                  </w:tr>
                  <w:tr>
                    <w:trPr>
                      <w:trHeight w:val="508" w:hRule="atLeast"/>
                    </w:trPr>
                    <w:tc>
                      <w:tcPr>
                        <w:tcW w:w="1383" w:type="dxa"/>
                      </w:tcPr>
                      <w:p>
                        <w:pPr>
                          <w:pStyle w:val="TableParagraph"/>
                          <w:spacing w:before="100"/>
                          <w:ind w:left="32" w:right="89"/>
                          <w:jc w:val="center"/>
                          <w:rPr>
                            <w:sz w:val="22"/>
                          </w:rPr>
                        </w:pPr>
                        <w:r>
                          <w:rPr>
                            <w:sz w:val="22"/>
                          </w:rPr>
                          <w:t>indexed="32"</w:t>
                        </w:r>
                      </w:p>
                    </w:tc>
                    <w:tc>
                      <w:tcPr>
                        <w:tcW w:w="1075" w:type="dxa"/>
                      </w:tcPr>
                      <w:p>
                        <w:pPr>
                          <w:pStyle w:val="TableParagraph"/>
                          <w:spacing w:before="100"/>
                          <w:ind w:left="109"/>
                          <w:rPr>
                            <w:sz w:val="22"/>
                          </w:rPr>
                        </w:pPr>
                        <w:r>
                          <w:rPr>
                            <w:sz w:val="22"/>
                          </w:rPr>
                          <w:t>00000080</w:t>
                        </w:r>
                      </w:p>
                    </w:tc>
                  </w:tr>
                  <w:tr>
                    <w:trPr>
                      <w:trHeight w:val="508" w:hRule="atLeast"/>
                    </w:trPr>
                    <w:tc>
                      <w:tcPr>
                        <w:tcW w:w="1383" w:type="dxa"/>
                      </w:tcPr>
                      <w:p>
                        <w:pPr>
                          <w:pStyle w:val="TableParagraph"/>
                          <w:spacing w:before="100"/>
                          <w:ind w:left="32" w:right="89"/>
                          <w:jc w:val="center"/>
                          <w:rPr>
                            <w:sz w:val="22"/>
                          </w:rPr>
                        </w:pPr>
                        <w:r>
                          <w:rPr>
                            <w:sz w:val="22"/>
                          </w:rPr>
                          <w:t>indexed="33"</w:t>
                        </w:r>
                      </w:p>
                    </w:tc>
                    <w:tc>
                      <w:tcPr>
                        <w:tcW w:w="1075" w:type="dxa"/>
                      </w:tcPr>
                      <w:p>
                        <w:pPr>
                          <w:pStyle w:val="TableParagraph"/>
                          <w:spacing w:before="100"/>
                          <w:ind w:left="109"/>
                          <w:rPr>
                            <w:sz w:val="22"/>
                          </w:rPr>
                        </w:pPr>
                        <w:r>
                          <w:rPr>
                            <w:sz w:val="22"/>
                          </w:rPr>
                          <w:t>00FF00FF</w:t>
                        </w:r>
                      </w:p>
                    </w:tc>
                  </w:tr>
                  <w:tr>
                    <w:trPr>
                      <w:trHeight w:val="509" w:hRule="atLeast"/>
                    </w:trPr>
                    <w:tc>
                      <w:tcPr>
                        <w:tcW w:w="1383" w:type="dxa"/>
                      </w:tcPr>
                      <w:p>
                        <w:pPr>
                          <w:pStyle w:val="TableParagraph"/>
                          <w:spacing w:before="100"/>
                          <w:ind w:left="32" w:right="89"/>
                          <w:jc w:val="center"/>
                          <w:rPr>
                            <w:sz w:val="22"/>
                          </w:rPr>
                        </w:pPr>
                        <w:r>
                          <w:rPr>
                            <w:sz w:val="22"/>
                          </w:rPr>
                          <w:t>indexed="34"</w:t>
                        </w:r>
                      </w:p>
                    </w:tc>
                    <w:tc>
                      <w:tcPr>
                        <w:tcW w:w="1075" w:type="dxa"/>
                      </w:tcPr>
                      <w:p>
                        <w:pPr>
                          <w:pStyle w:val="TableParagraph"/>
                          <w:spacing w:before="100"/>
                          <w:ind w:left="109"/>
                          <w:rPr>
                            <w:sz w:val="22"/>
                          </w:rPr>
                        </w:pPr>
                        <w:r>
                          <w:rPr>
                            <w:sz w:val="22"/>
                          </w:rPr>
                          <w:t>00FFFF00</w:t>
                        </w:r>
                      </w:p>
                    </w:tc>
                  </w:tr>
                  <w:tr>
                    <w:trPr>
                      <w:trHeight w:val="509" w:hRule="atLeast"/>
                    </w:trPr>
                    <w:tc>
                      <w:tcPr>
                        <w:tcW w:w="1383" w:type="dxa"/>
                      </w:tcPr>
                      <w:p>
                        <w:pPr>
                          <w:pStyle w:val="TableParagraph"/>
                          <w:spacing w:before="100"/>
                          <w:ind w:left="32" w:right="89"/>
                          <w:jc w:val="center"/>
                          <w:rPr>
                            <w:sz w:val="22"/>
                          </w:rPr>
                        </w:pPr>
                        <w:r>
                          <w:rPr>
                            <w:sz w:val="22"/>
                          </w:rPr>
                          <w:t>indexed="35"</w:t>
                        </w:r>
                      </w:p>
                    </w:tc>
                    <w:tc>
                      <w:tcPr>
                        <w:tcW w:w="1075" w:type="dxa"/>
                      </w:tcPr>
                      <w:p>
                        <w:pPr>
                          <w:pStyle w:val="TableParagraph"/>
                          <w:spacing w:before="100"/>
                          <w:ind w:left="109"/>
                          <w:rPr>
                            <w:sz w:val="22"/>
                          </w:rPr>
                        </w:pPr>
                        <w:r>
                          <w:rPr>
                            <w:sz w:val="22"/>
                          </w:rPr>
                          <w:t>0000FFFF</w:t>
                        </w:r>
                      </w:p>
                    </w:tc>
                  </w:tr>
                  <w:tr>
                    <w:trPr>
                      <w:trHeight w:val="508" w:hRule="atLeast"/>
                    </w:trPr>
                    <w:tc>
                      <w:tcPr>
                        <w:tcW w:w="1383" w:type="dxa"/>
                      </w:tcPr>
                      <w:p>
                        <w:pPr>
                          <w:pStyle w:val="TableParagraph"/>
                          <w:spacing w:before="100"/>
                          <w:ind w:left="32" w:right="89"/>
                          <w:jc w:val="center"/>
                          <w:rPr>
                            <w:sz w:val="22"/>
                          </w:rPr>
                        </w:pPr>
                        <w:r>
                          <w:rPr>
                            <w:sz w:val="22"/>
                          </w:rPr>
                          <w:t>indexed="36"</w:t>
                        </w:r>
                      </w:p>
                    </w:tc>
                    <w:tc>
                      <w:tcPr>
                        <w:tcW w:w="1075" w:type="dxa"/>
                      </w:tcPr>
                      <w:p>
                        <w:pPr>
                          <w:pStyle w:val="TableParagraph"/>
                          <w:spacing w:before="100"/>
                          <w:ind w:left="109"/>
                          <w:rPr>
                            <w:sz w:val="22"/>
                          </w:rPr>
                        </w:pPr>
                        <w:r>
                          <w:rPr>
                            <w:sz w:val="22"/>
                          </w:rPr>
                          <w:t>00800080</w:t>
                        </w:r>
                      </w:p>
                    </w:tc>
                  </w:tr>
                  <w:tr>
                    <w:trPr>
                      <w:trHeight w:val="508" w:hRule="atLeast"/>
                    </w:trPr>
                    <w:tc>
                      <w:tcPr>
                        <w:tcW w:w="1383" w:type="dxa"/>
                      </w:tcPr>
                      <w:p>
                        <w:pPr>
                          <w:pStyle w:val="TableParagraph"/>
                          <w:spacing w:before="100"/>
                          <w:ind w:left="32" w:right="89"/>
                          <w:jc w:val="center"/>
                          <w:rPr>
                            <w:sz w:val="22"/>
                          </w:rPr>
                        </w:pPr>
                        <w:r>
                          <w:rPr>
                            <w:sz w:val="22"/>
                          </w:rPr>
                          <w:t>indexed="37"</w:t>
                        </w:r>
                      </w:p>
                    </w:tc>
                    <w:tc>
                      <w:tcPr>
                        <w:tcW w:w="1075" w:type="dxa"/>
                      </w:tcPr>
                      <w:p>
                        <w:pPr>
                          <w:pStyle w:val="TableParagraph"/>
                          <w:spacing w:before="100"/>
                          <w:ind w:left="109"/>
                          <w:rPr>
                            <w:sz w:val="22"/>
                          </w:rPr>
                        </w:pPr>
                        <w:r>
                          <w:rPr>
                            <w:sz w:val="22"/>
                          </w:rPr>
                          <w:t>00800000</w:t>
                        </w:r>
                      </w:p>
                    </w:tc>
                  </w:tr>
                  <w:tr>
                    <w:trPr>
                      <w:trHeight w:val="508" w:hRule="atLeast"/>
                    </w:trPr>
                    <w:tc>
                      <w:tcPr>
                        <w:tcW w:w="1383" w:type="dxa"/>
                      </w:tcPr>
                      <w:p>
                        <w:pPr>
                          <w:pStyle w:val="TableParagraph"/>
                          <w:spacing w:before="100"/>
                          <w:ind w:left="32" w:right="89"/>
                          <w:jc w:val="center"/>
                          <w:rPr>
                            <w:sz w:val="22"/>
                          </w:rPr>
                        </w:pPr>
                        <w:r>
                          <w:rPr>
                            <w:sz w:val="22"/>
                          </w:rPr>
                          <w:t>indexed="38"</w:t>
                        </w:r>
                      </w:p>
                    </w:tc>
                    <w:tc>
                      <w:tcPr>
                        <w:tcW w:w="1075" w:type="dxa"/>
                      </w:tcPr>
                      <w:p>
                        <w:pPr>
                          <w:pStyle w:val="TableParagraph"/>
                          <w:spacing w:before="100"/>
                          <w:ind w:left="109"/>
                          <w:rPr>
                            <w:sz w:val="22"/>
                          </w:rPr>
                        </w:pPr>
                        <w:r>
                          <w:rPr>
                            <w:sz w:val="22"/>
                          </w:rPr>
                          <w:t>00008080</w:t>
                        </w:r>
                      </w:p>
                    </w:tc>
                  </w:tr>
                  <w:tr>
                    <w:trPr>
                      <w:trHeight w:val="508" w:hRule="atLeast"/>
                    </w:trPr>
                    <w:tc>
                      <w:tcPr>
                        <w:tcW w:w="1383" w:type="dxa"/>
                      </w:tcPr>
                      <w:p>
                        <w:pPr>
                          <w:pStyle w:val="TableParagraph"/>
                          <w:spacing w:before="100"/>
                          <w:ind w:left="32" w:right="89"/>
                          <w:jc w:val="center"/>
                          <w:rPr>
                            <w:sz w:val="22"/>
                          </w:rPr>
                        </w:pPr>
                        <w:r>
                          <w:rPr>
                            <w:sz w:val="22"/>
                          </w:rPr>
                          <w:t>indexed="39"</w:t>
                        </w:r>
                      </w:p>
                    </w:tc>
                    <w:tc>
                      <w:tcPr>
                        <w:tcW w:w="1075" w:type="dxa"/>
                      </w:tcPr>
                      <w:p>
                        <w:pPr>
                          <w:pStyle w:val="TableParagraph"/>
                          <w:spacing w:before="100"/>
                          <w:ind w:left="109"/>
                          <w:rPr>
                            <w:sz w:val="22"/>
                          </w:rPr>
                        </w:pPr>
                        <w:r>
                          <w:rPr>
                            <w:sz w:val="22"/>
                          </w:rPr>
                          <w:t>000000FF</w:t>
                        </w:r>
                      </w:p>
                    </w:tc>
                  </w:tr>
                  <w:tr>
                    <w:trPr>
                      <w:trHeight w:val="508" w:hRule="atLeast"/>
                    </w:trPr>
                    <w:tc>
                      <w:tcPr>
                        <w:tcW w:w="1383" w:type="dxa"/>
                      </w:tcPr>
                      <w:p>
                        <w:pPr>
                          <w:pStyle w:val="TableParagraph"/>
                          <w:spacing w:before="100"/>
                          <w:ind w:left="32" w:right="89"/>
                          <w:jc w:val="center"/>
                          <w:rPr>
                            <w:sz w:val="22"/>
                          </w:rPr>
                        </w:pPr>
                        <w:r>
                          <w:rPr>
                            <w:sz w:val="22"/>
                          </w:rPr>
                          <w:t>indexed="40"</w:t>
                        </w:r>
                      </w:p>
                    </w:tc>
                    <w:tc>
                      <w:tcPr>
                        <w:tcW w:w="1075" w:type="dxa"/>
                      </w:tcPr>
                      <w:p>
                        <w:pPr>
                          <w:pStyle w:val="TableParagraph"/>
                          <w:spacing w:before="100"/>
                          <w:ind w:left="109"/>
                          <w:rPr>
                            <w:sz w:val="22"/>
                          </w:rPr>
                        </w:pPr>
                        <w:r>
                          <w:rPr>
                            <w:sz w:val="22"/>
                          </w:rPr>
                          <w:t>0000CCFF</w:t>
                        </w:r>
                      </w:p>
                    </w:tc>
                  </w:tr>
                  <w:tr>
                    <w:trPr>
                      <w:trHeight w:val="508" w:hRule="atLeast"/>
                    </w:trPr>
                    <w:tc>
                      <w:tcPr>
                        <w:tcW w:w="1383" w:type="dxa"/>
                      </w:tcPr>
                      <w:p>
                        <w:pPr>
                          <w:pStyle w:val="TableParagraph"/>
                          <w:spacing w:before="100"/>
                          <w:ind w:left="32" w:right="89"/>
                          <w:jc w:val="center"/>
                          <w:rPr>
                            <w:sz w:val="22"/>
                          </w:rPr>
                        </w:pPr>
                        <w:r>
                          <w:rPr>
                            <w:sz w:val="22"/>
                          </w:rPr>
                          <w:t>indexed="41"</w:t>
                        </w:r>
                      </w:p>
                    </w:tc>
                    <w:tc>
                      <w:tcPr>
                        <w:tcW w:w="1075" w:type="dxa"/>
                      </w:tcPr>
                      <w:p>
                        <w:pPr>
                          <w:pStyle w:val="TableParagraph"/>
                          <w:spacing w:before="100"/>
                          <w:ind w:left="109"/>
                          <w:rPr>
                            <w:sz w:val="22"/>
                          </w:rPr>
                        </w:pPr>
                        <w:r>
                          <w:rPr>
                            <w:sz w:val="22"/>
                          </w:rPr>
                          <w:t>00CCFFFF</w:t>
                        </w:r>
                      </w:p>
                    </w:tc>
                  </w:tr>
                  <w:tr>
                    <w:trPr>
                      <w:trHeight w:val="508" w:hRule="atLeast"/>
                    </w:trPr>
                    <w:tc>
                      <w:tcPr>
                        <w:tcW w:w="1383" w:type="dxa"/>
                      </w:tcPr>
                      <w:p>
                        <w:pPr>
                          <w:pStyle w:val="TableParagraph"/>
                          <w:spacing w:before="100"/>
                          <w:ind w:left="32" w:right="89"/>
                          <w:jc w:val="center"/>
                          <w:rPr>
                            <w:sz w:val="22"/>
                          </w:rPr>
                        </w:pPr>
                        <w:r>
                          <w:rPr>
                            <w:sz w:val="22"/>
                          </w:rPr>
                          <w:t>indexed="42"</w:t>
                        </w:r>
                      </w:p>
                    </w:tc>
                    <w:tc>
                      <w:tcPr>
                        <w:tcW w:w="1075" w:type="dxa"/>
                      </w:tcPr>
                      <w:p>
                        <w:pPr>
                          <w:pStyle w:val="TableParagraph"/>
                          <w:spacing w:before="100"/>
                          <w:ind w:left="109"/>
                          <w:rPr>
                            <w:sz w:val="22"/>
                          </w:rPr>
                        </w:pPr>
                        <w:r>
                          <w:rPr>
                            <w:sz w:val="22"/>
                          </w:rPr>
                          <w:t>00CCFFCC</w:t>
                        </w:r>
                      </w:p>
                    </w:tc>
                  </w:tr>
                  <w:tr>
                    <w:trPr>
                      <w:trHeight w:val="508" w:hRule="atLeast"/>
                    </w:trPr>
                    <w:tc>
                      <w:tcPr>
                        <w:tcW w:w="1383" w:type="dxa"/>
                      </w:tcPr>
                      <w:p>
                        <w:pPr>
                          <w:pStyle w:val="TableParagraph"/>
                          <w:spacing w:before="100"/>
                          <w:ind w:left="32" w:right="89"/>
                          <w:jc w:val="center"/>
                          <w:rPr>
                            <w:sz w:val="22"/>
                          </w:rPr>
                        </w:pPr>
                        <w:r>
                          <w:rPr>
                            <w:sz w:val="22"/>
                          </w:rPr>
                          <w:t>indexed="43"</w:t>
                        </w:r>
                      </w:p>
                    </w:tc>
                    <w:tc>
                      <w:tcPr>
                        <w:tcW w:w="1075" w:type="dxa"/>
                      </w:tcPr>
                      <w:p>
                        <w:pPr>
                          <w:pStyle w:val="TableParagraph"/>
                          <w:spacing w:before="100"/>
                          <w:ind w:left="109"/>
                          <w:rPr>
                            <w:sz w:val="22"/>
                          </w:rPr>
                        </w:pPr>
                        <w:r>
                          <w:rPr>
                            <w:sz w:val="22"/>
                          </w:rPr>
                          <w:t>00FFFF99</w:t>
                        </w:r>
                      </w:p>
                    </w:tc>
                  </w:tr>
                  <w:tr>
                    <w:trPr>
                      <w:trHeight w:val="508" w:hRule="atLeast"/>
                    </w:trPr>
                    <w:tc>
                      <w:tcPr>
                        <w:tcW w:w="1383" w:type="dxa"/>
                      </w:tcPr>
                      <w:p>
                        <w:pPr>
                          <w:pStyle w:val="TableParagraph"/>
                          <w:spacing w:before="100"/>
                          <w:ind w:left="32" w:right="89"/>
                          <w:jc w:val="center"/>
                          <w:rPr>
                            <w:sz w:val="22"/>
                          </w:rPr>
                        </w:pPr>
                        <w:r>
                          <w:rPr>
                            <w:sz w:val="22"/>
                          </w:rPr>
                          <w:t>indexed="44"</w:t>
                        </w:r>
                      </w:p>
                    </w:tc>
                    <w:tc>
                      <w:tcPr>
                        <w:tcW w:w="1075" w:type="dxa"/>
                      </w:tcPr>
                      <w:p>
                        <w:pPr>
                          <w:pStyle w:val="TableParagraph"/>
                          <w:spacing w:before="100"/>
                          <w:ind w:left="109"/>
                          <w:rPr>
                            <w:sz w:val="22"/>
                          </w:rPr>
                        </w:pPr>
                        <w:r>
                          <w:rPr>
                            <w:sz w:val="22"/>
                          </w:rPr>
                          <w:t>0099CCFF</w:t>
                        </w:r>
                      </w:p>
                    </w:tc>
                  </w:tr>
                  <w:tr>
                    <w:trPr>
                      <w:trHeight w:val="508" w:hRule="atLeast"/>
                    </w:trPr>
                    <w:tc>
                      <w:tcPr>
                        <w:tcW w:w="1383" w:type="dxa"/>
                      </w:tcPr>
                      <w:p>
                        <w:pPr>
                          <w:pStyle w:val="TableParagraph"/>
                          <w:spacing w:before="100"/>
                          <w:ind w:left="32" w:right="89"/>
                          <w:jc w:val="center"/>
                          <w:rPr>
                            <w:sz w:val="22"/>
                          </w:rPr>
                        </w:pPr>
                        <w:r>
                          <w:rPr>
                            <w:sz w:val="22"/>
                          </w:rPr>
                          <w:t>indexed="45"</w:t>
                        </w:r>
                      </w:p>
                    </w:tc>
                    <w:tc>
                      <w:tcPr>
                        <w:tcW w:w="1075" w:type="dxa"/>
                      </w:tcPr>
                      <w:p>
                        <w:pPr>
                          <w:pStyle w:val="TableParagraph"/>
                          <w:spacing w:before="100"/>
                          <w:ind w:left="109"/>
                          <w:rPr>
                            <w:sz w:val="22"/>
                          </w:rPr>
                        </w:pPr>
                        <w:r>
                          <w:rPr>
                            <w:sz w:val="22"/>
                          </w:rPr>
                          <w:t>00FF99CC</w:t>
                        </w:r>
                      </w:p>
                    </w:tc>
                  </w:tr>
                  <w:tr>
                    <w:trPr>
                      <w:trHeight w:val="508" w:hRule="atLeast"/>
                    </w:trPr>
                    <w:tc>
                      <w:tcPr>
                        <w:tcW w:w="1383" w:type="dxa"/>
                      </w:tcPr>
                      <w:p>
                        <w:pPr>
                          <w:pStyle w:val="TableParagraph"/>
                          <w:spacing w:before="100"/>
                          <w:ind w:left="32" w:right="89"/>
                          <w:jc w:val="center"/>
                          <w:rPr>
                            <w:sz w:val="22"/>
                          </w:rPr>
                        </w:pPr>
                        <w:r>
                          <w:rPr>
                            <w:sz w:val="22"/>
                          </w:rPr>
                          <w:t>indexed="46"</w:t>
                        </w:r>
                      </w:p>
                    </w:tc>
                    <w:tc>
                      <w:tcPr>
                        <w:tcW w:w="1075" w:type="dxa"/>
                      </w:tcPr>
                      <w:p>
                        <w:pPr>
                          <w:pStyle w:val="TableParagraph"/>
                          <w:spacing w:before="100"/>
                          <w:ind w:left="109"/>
                          <w:rPr>
                            <w:sz w:val="22"/>
                          </w:rPr>
                        </w:pPr>
                        <w:r>
                          <w:rPr>
                            <w:sz w:val="22"/>
                          </w:rPr>
                          <w:t>00CC99FF</w:t>
                        </w:r>
                      </w:p>
                    </w:tc>
                  </w:tr>
                  <w:tr>
                    <w:trPr>
                      <w:trHeight w:val="509" w:hRule="atLeast"/>
                    </w:trPr>
                    <w:tc>
                      <w:tcPr>
                        <w:tcW w:w="1383" w:type="dxa"/>
                      </w:tcPr>
                      <w:p>
                        <w:pPr>
                          <w:pStyle w:val="TableParagraph"/>
                          <w:spacing w:before="100"/>
                          <w:ind w:left="32" w:right="89"/>
                          <w:jc w:val="center"/>
                          <w:rPr>
                            <w:sz w:val="22"/>
                          </w:rPr>
                        </w:pPr>
                        <w:r>
                          <w:rPr>
                            <w:sz w:val="22"/>
                          </w:rPr>
                          <w:t>indexed="47"</w:t>
                        </w:r>
                      </w:p>
                    </w:tc>
                    <w:tc>
                      <w:tcPr>
                        <w:tcW w:w="1075" w:type="dxa"/>
                      </w:tcPr>
                      <w:p>
                        <w:pPr>
                          <w:pStyle w:val="TableParagraph"/>
                          <w:spacing w:before="100"/>
                          <w:ind w:left="109"/>
                          <w:rPr>
                            <w:sz w:val="22"/>
                          </w:rPr>
                        </w:pPr>
                        <w:r>
                          <w:rPr>
                            <w:sz w:val="22"/>
                          </w:rPr>
                          <w:t>00FFCC99</w:t>
                        </w:r>
                      </w:p>
                    </w:tc>
                  </w:tr>
                  <w:tr>
                    <w:trPr>
                      <w:trHeight w:val="509" w:hRule="atLeast"/>
                    </w:trPr>
                    <w:tc>
                      <w:tcPr>
                        <w:tcW w:w="1383" w:type="dxa"/>
                      </w:tcPr>
                      <w:p>
                        <w:pPr>
                          <w:pStyle w:val="TableParagraph"/>
                          <w:spacing w:before="100"/>
                          <w:ind w:left="32" w:right="89"/>
                          <w:jc w:val="center"/>
                          <w:rPr>
                            <w:sz w:val="22"/>
                          </w:rPr>
                        </w:pPr>
                        <w:r>
                          <w:rPr>
                            <w:sz w:val="22"/>
                          </w:rPr>
                          <w:t>indexed="48"</w:t>
                        </w:r>
                      </w:p>
                    </w:tc>
                    <w:tc>
                      <w:tcPr>
                        <w:tcW w:w="1075" w:type="dxa"/>
                      </w:tcPr>
                      <w:p>
                        <w:pPr>
                          <w:pStyle w:val="TableParagraph"/>
                          <w:spacing w:before="100"/>
                          <w:ind w:left="109"/>
                          <w:rPr>
                            <w:sz w:val="22"/>
                          </w:rPr>
                        </w:pPr>
                        <w:r>
                          <w:rPr>
                            <w:sz w:val="22"/>
                          </w:rPr>
                          <w:t>003366FF</w:t>
                        </w:r>
                      </w:p>
                    </w:tc>
                  </w:tr>
                  <w:tr>
                    <w:trPr>
                      <w:trHeight w:val="508" w:hRule="atLeast"/>
                    </w:trPr>
                    <w:tc>
                      <w:tcPr>
                        <w:tcW w:w="1383" w:type="dxa"/>
                      </w:tcPr>
                      <w:p>
                        <w:pPr>
                          <w:pStyle w:val="TableParagraph"/>
                          <w:spacing w:before="100"/>
                          <w:ind w:left="32" w:right="89"/>
                          <w:jc w:val="center"/>
                          <w:rPr>
                            <w:sz w:val="22"/>
                          </w:rPr>
                        </w:pPr>
                        <w:r>
                          <w:rPr>
                            <w:sz w:val="22"/>
                          </w:rPr>
                          <w:t>indexed="49"</w:t>
                        </w:r>
                      </w:p>
                    </w:tc>
                    <w:tc>
                      <w:tcPr>
                        <w:tcW w:w="1075" w:type="dxa"/>
                      </w:tcPr>
                      <w:p>
                        <w:pPr>
                          <w:pStyle w:val="TableParagraph"/>
                          <w:spacing w:before="100"/>
                          <w:ind w:left="109"/>
                          <w:rPr>
                            <w:sz w:val="22"/>
                          </w:rPr>
                        </w:pPr>
                        <w:r>
                          <w:rPr>
                            <w:sz w:val="22"/>
                          </w:rPr>
                          <w:t>0033CCCC</w:t>
                        </w:r>
                      </w:p>
                    </w:tc>
                  </w:tr>
                  <w:tr>
                    <w:trPr>
                      <w:trHeight w:val="508" w:hRule="atLeast"/>
                    </w:trPr>
                    <w:tc>
                      <w:tcPr>
                        <w:tcW w:w="1383" w:type="dxa"/>
                      </w:tcPr>
                      <w:p>
                        <w:pPr>
                          <w:pStyle w:val="TableParagraph"/>
                          <w:spacing w:before="100"/>
                          <w:ind w:left="32" w:right="89"/>
                          <w:jc w:val="center"/>
                          <w:rPr>
                            <w:sz w:val="22"/>
                          </w:rPr>
                        </w:pPr>
                        <w:r>
                          <w:rPr>
                            <w:sz w:val="22"/>
                          </w:rPr>
                          <w:t>indexed="50"</w:t>
                        </w:r>
                      </w:p>
                    </w:tc>
                    <w:tc>
                      <w:tcPr>
                        <w:tcW w:w="1075" w:type="dxa"/>
                      </w:tcPr>
                      <w:p>
                        <w:pPr>
                          <w:pStyle w:val="TableParagraph"/>
                          <w:spacing w:before="100"/>
                          <w:ind w:left="109"/>
                          <w:rPr>
                            <w:sz w:val="22"/>
                          </w:rPr>
                        </w:pPr>
                        <w:r>
                          <w:rPr>
                            <w:sz w:val="22"/>
                          </w:rPr>
                          <w:t>0099CC00</w:t>
                        </w:r>
                      </w:p>
                    </w:tc>
                  </w:tr>
                  <w:tr>
                    <w:trPr>
                      <w:trHeight w:val="364" w:hRule="atLeast"/>
                    </w:trPr>
                    <w:tc>
                      <w:tcPr>
                        <w:tcW w:w="1383" w:type="dxa"/>
                      </w:tcPr>
                      <w:p>
                        <w:pPr>
                          <w:pStyle w:val="TableParagraph"/>
                          <w:spacing w:line="245" w:lineRule="exact" w:before="100"/>
                          <w:ind w:left="32" w:right="89"/>
                          <w:jc w:val="center"/>
                          <w:rPr>
                            <w:sz w:val="22"/>
                          </w:rPr>
                        </w:pPr>
                        <w:r>
                          <w:rPr>
                            <w:sz w:val="22"/>
                          </w:rPr>
                          <w:t>indexed="51"</w:t>
                        </w:r>
                      </w:p>
                    </w:tc>
                    <w:tc>
                      <w:tcPr>
                        <w:tcW w:w="1075" w:type="dxa"/>
                      </w:tcPr>
                      <w:p>
                        <w:pPr>
                          <w:pStyle w:val="TableParagraph"/>
                          <w:spacing w:line="245" w:lineRule="exact" w:before="100"/>
                          <w:ind w:left="109"/>
                          <w:rPr>
                            <w:sz w:val="22"/>
                          </w:rPr>
                        </w:pPr>
                        <w:r>
                          <w:rPr>
                            <w:sz w:val="22"/>
                          </w:rPr>
                          <w:t>00FFCC00</w:t>
                        </w:r>
                      </w:p>
                    </w:tc>
                  </w:tr>
                </w:tbl>
                <w:p>
                  <w:pPr>
                    <w:pStyle w:val="BodyText"/>
                  </w:pPr>
                </w:p>
              </w:txbxContent>
            </v:textbox>
          </v:shape>
        </w:pict>
      </w:r>
      <w:r>
        <w:rPr>
          <w:rFonts w:ascii="Times New Roman"/>
          <w:position w:val="24"/>
          <w:sz w:val="20"/>
        </w:rPr>
      </w:r>
      <w:r>
        <w:rPr>
          <w:rFonts w:ascii="Times New Roman"/>
          <w:position w:val="24"/>
          <w:sz w:val="20"/>
        </w:rPr>
        <w:tab/>
      </w:r>
      <w:r>
        <w:rPr>
          <w:rFonts w:ascii="Times New Roman"/>
          <w:sz w:val="20"/>
        </w:rPr>
        <w:pict>
          <v:group style="width:55.1pt;height:636.1pt;mso-position-horizontal-relative:char;mso-position-vertical-relative:line" coordorigin="0,0" coordsize="1102,12722">
            <v:rect style="position:absolute;left:993;top:0;width:108;height:510" filled="true" fillcolor="#ccffff" stroked="false">
              <v:fill type="solid"/>
            </v:rect>
            <v:rect style="position:absolute;left:0;top:0;width:108;height:510" filled="true" fillcolor="#ccffff" stroked="false">
              <v:fill type="solid"/>
            </v:rect>
            <v:rect style="position:absolute;left:108;top:0;width:886;height:510" filled="true" fillcolor="#ccffff" stroked="false">
              <v:fill type="solid"/>
            </v:rect>
            <v:rect style="position:absolute;left:993;top:509;width:108;height:509" filled="true" fillcolor="#660066" stroked="false">
              <v:fill type="solid"/>
            </v:rect>
            <v:rect style="position:absolute;left:0;top:509;width:108;height:509" filled="true" fillcolor="#660066" stroked="false">
              <v:fill type="solid"/>
            </v:rect>
            <v:rect style="position:absolute;left:108;top:509;width:886;height:509" filled="true" fillcolor="#660066" stroked="false">
              <v:fill type="solid"/>
            </v:rect>
            <v:rect style="position:absolute;left:993;top:1018;width:108;height:509" filled="true" fillcolor="#ff8080" stroked="false">
              <v:fill type="solid"/>
            </v:rect>
            <v:rect style="position:absolute;left:0;top:1018;width:108;height:509" filled="true" fillcolor="#ff8080" stroked="false">
              <v:fill type="solid"/>
            </v:rect>
            <v:rect style="position:absolute;left:108;top:1018;width:886;height:509" filled="true" fillcolor="#ff8080" stroked="false">
              <v:fill type="solid"/>
            </v:rect>
            <v:rect style="position:absolute;left:993;top:1526;width:108;height:509" filled="true" fillcolor="#0066cc" stroked="false">
              <v:fill type="solid"/>
            </v:rect>
            <v:rect style="position:absolute;left:0;top:1526;width:108;height:509" filled="true" fillcolor="#0066cc" stroked="false">
              <v:fill type="solid"/>
            </v:rect>
            <v:rect style="position:absolute;left:108;top:1526;width:886;height:509" filled="true" fillcolor="#0066cc" stroked="false">
              <v:fill type="solid"/>
            </v:rect>
            <v:rect style="position:absolute;left:993;top:2035;width:108;height:509" filled="true" fillcolor="#ccccff" stroked="false">
              <v:fill type="solid"/>
            </v:rect>
            <v:rect style="position:absolute;left:0;top:2035;width:108;height:509" filled="true" fillcolor="#ccccff" stroked="false">
              <v:fill type="solid"/>
            </v:rect>
            <v:rect style="position:absolute;left:108;top:2035;width:886;height:509" filled="true" fillcolor="#ccccff" stroked="false">
              <v:fill type="solid"/>
            </v:rect>
            <v:rect style="position:absolute;left:993;top:2544;width:108;height:509" filled="true" fillcolor="#000080" stroked="false">
              <v:fill type="solid"/>
            </v:rect>
            <v:rect style="position:absolute;left:0;top:2544;width:108;height:509" filled="true" fillcolor="#000080" stroked="false">
              <v:fill type="solid"/>
            </v:rect>
            <v:rect style="position:absolute;left:108;top:2544;width:886;height:509" filled="true" fillcolor="#000080" stroked="false">
              <v:fill type="solid"/>
            </v:rect>
            <v:rect style="position:absolute;left:993;top:3053;width:108;height:509" filled="true" fillcolor="#ff00ff" stroked="false">
              <v:fill type="solid"/>
            </v:rect>
            <v:rect style="position:absolute;left:0;top:3053;width:108;height:509" filled="true" fillcolor="#ff00ff" stroked="false">
              <v:fill type="solid"/>
            </v:rect>
            <v:rect style="position:absolute;left:108;top:3053;width:886;height:509" filled="true" fillcolor="#ff00ff" stroked="false">
              <v:fill type="solid"/>
            </v:rect>
            <v:rect style="position:absolute;left:993;top:3562;width:108;height:510" filled="true" fillcolor="#ffff00" stroked="false">
              <v:fill type="solid"/>
            </v:rect>
            <v:rect style="position:absolute;left:0;top:3562;width:108;height:510" filled="true" fillcolor="#ffff00" stroked="false">
              <v:fill type="solid"/>
            </v:rect>
            <v:rect style="position:absolute;left:108;top:3562;width:886;height:510" filled="true" fillcolor="#ffff00" stroked="false">
              <v:fill type="solid"/>
            </v:rect>
            <v:rect style="position:absolute;left:993;top:4071;width:108;height:509" filled="true" fillcolor="#00ffff" stroked="false">
              <v:fill type="solid"/>
            </v:rect>
            <v:rect style="position:absolute;left:0;top:4071;width:108;height:509" filled="true" fillcolor="#00ffff" stroked="false">
              <v:fill type="solid"/>
            </v:rect>
            <v:rect style="position:absolute;left:108;top:4071;width:886;height:509" filled="true" fillcolor="#00ffff" stroked="false">
              <v:fill type="solid"/>
            </v:rect>
            <v:rect style="position:absolute;left:993;top:4580;width:108;height:509" filled="true" fillcolor="#800080" stroked="false">
              <v:fill type="solid"/>
            </v:rect>
            <v:rect style="position:absolute;left:0;top:4580;width:108;height:509" filled="true" fillcolor="#800080" stroked="false">
              <v:fill type="solid"/>
            </v:rect>
            <v:rect style="position:absolute;left:108;top:4580;width:886;height:509" filled="true" fillcolor="#800080" stroked="false">
              <v:fill type="solid"/>
            </v:rect>
            <v:rect style="position:absolute;left:993;top:5089;width:108;height:509" filled="true" fillcolor="#800000" stroked="false">
              <v:fill type="solid"/>
            </v:rect>
            <v:rect style="position:absolute;left:0;top:5089;width:108;height:509" filled="true" fillcolor="#800000" stroked="false">
              <v:fill type="solid"/>
            </v:rect>
            <v:rect style="position:absolute;left:108;top:5089;width:886;height:509" filled="true" fillcolor="#800000" stroked="false">
              <v:fill type="solid"/>
            </v:rect>
            <v:rect style="position:absolute;left:993;top:5597;width:108;height:509" filled="true" fillcolor="#008080" stroked="false">
              <v:fill type="solid"/>
            </v:rect>
            <v:rect style="position:absolute;left:0;top:5597;width:108;height:509" filled="true" fillcolor="#008080" stroked="false">
              <v:fill type="solid"/>
            </v:rect>
            <v:rect style="position:absolute;left:108;top:5597;width:886;height:509" filled="true" fillcolor="#008080" stroked="false">
              <v:fill type="solid"/>
            </v:rect>
            <v:rect style="position:absolute;left:993;top:6106;width:108;height:509" filled="true" fillcolor="#0000ff" stroked="false">
              <v:fill type="solid"/>
            </v:rect>
            <v:rect style="position:absolute;left:0;top:6106;width:108;height:509" filled="true" fillcolor="#0000ff" stroked="false">
              <v:fill type="solid"/>
            </v:rect>
            <v:rect style="position:absolute;left:108;top:6106;width:886;height:509" filled="true" fillcolor="#0000ff" stroked="false">
              <v:fill type="solid"/>
            </v:rect>
            <v:rect style="position:absolute;left:993;top:6615;width:108;height:509" filled="true" fillcolor="#00ccff" stroked="false">
              <v:fill type="solid"/>
            </v:rect>
            <v:rect style="position:absolute;left:0;top:6615;width:108;height:509" filled="true" fillcolor="#00ccff" stroked="false">
              <v:fill type="solid"/>
            </v:rect>
            <v:rect style="position:absolute;left:108;top:6615;width:886;height:509" filled="true" fillcolor="#00ccff" stroked="false">
              <v:fill type="solid"/>
            </v:rect>
            <v:rect style="position:absolute;left:993;top:7124;width:108;height:510" filled="true" fillcolor="#ccffff" stroked="false">
              <v:fill type="solid"/>
            </v:rect>
            <v:rect style="position:absolute;left:0;top:7124;width:108;height:510" filled="true" fillcolor="#ccffff" stroked="false">
              <v:fill type="solid"/>
            </v:rect>
            <v:rect style="position:absolute;left:108;top:7124;width:886;height:510" filled="true" fillcolor="#ccffff" stroked="false">
              <v:fill type="solid"/>
            </v:rect>
            <v:rect style="position:absolute;left:993;top:7633;width:108;height:509" filled="true" fillcolor="#ccffcc" stroked="false">
              <v:fill type="solid"/>
            </v:rect>
            <v:rect style="position:absolute;left:0;top:7633;width:108;height:509" filled="true" fillcolor="#ccffcc" stroked="false">
              <v:fill type="solid"/>
            </v:rect>
            <v:rect style="position:absolute;left:108;top:7633;width:886;height:509" filled="true" fillcolor="#ccffcc" stroked="false">
              <v:fill type="solid"/>
            </v:rect>
            <v:rect style="position:absolute;left:993;top:8142;width:108;height:509" filled="true" fillcolor="#ffff99" stroked="false">
              <v:fill type="solid"/>
            </v:rect>
            <v:rect style="position:absolute;left:0;top:8142;width:108;height:509" filled="true" fillcolor="#ffff99" stroked="false">
              <v:fill type="solid"/>
            </v:rect>
            <v:rect style="position:absolute;left:108;top:8142;width:886;height:509" filled="true" fillcolor="#ffff99" stroked="false">
              <v:fill type="solid"/>
            </v:rect>
            <v:rect style="position:absolute;left:993;top:8651;width:108;height:509" filled="true" fillcolor="#99ccff" stroked="false">
              <v:fill type="solid"/>
            </v:rect>
            <v:rect style="position:absolute;left:0;top:8651;width:108;height:509" filled="true" fillcolor="#99ccff" stroked="false">
              <v:fill type="solid"/>
            </v:rect>
            <v:rect style="position:absolute;left:108;top:8651;width:886;height:509" filled="true" fillcolor="#99ccff" stroked="false">
              <v:fill type="solid"/>
            </v:rect>
            <v:rect style="position:absolute;left:993;top:9159;width:108;height:509" filled="true" fillcolor="#ff99cc" stroked="false">
              <v:fill type="solid"/>
            </v:rect>
            <v:rect style="position:absolute;left:0;top:9159;width:108;height:509" filled="true" fillcolor="#ff99cc" stroked="false">
              <v:fill type="solid"/>
            </v:rect>
            <v:rect style="position:absolute;left:108;top:9159;width:886;height:509" filled="true" fillcolor="#ff99cc" stroked="false">
              <v:fill type="solid"/>
            </v:rect>
            <v:rect style="position:absolute;left:993;top:9668;width:108;height:509" filled="true" fillcolor="#cc99ff" stroked="false">
              <v:fill type="solid"/>
            </v:rect>
            <v:rect style="position:absolute;left:0;top:9668;width:108;height:509" filled="true" fillcolor="#cc99ff" stroked="false">
              <v:fill type="solid"/>
            </v:rect>
            <v:rect style="position:absolute;left:108;top:9668;width:886;height:509" filled="true" fillcolor="#cc99ff" stroked="false">
              <v:fill type="solid"/>
            </v:rect>
            <v:rect style="position:absolute;left:993;top:10177;width:108;height:509" filled="true" fillcolor="#ffcc99" stroked="false">
              <v:fill type="solid"/>
            </v:rect>
            <v:rect style="position:absolute;left:0;top:10177;width:108;height:509" filled="true" fillcolor="#ffcc99" stroked="false">
              <v:fill type="solid"/>
            </v:rect>
            <v:rect style="position:absolute;left:108;top:10177;width:886;height:509" filled="true" fillcolor="#ffcc99" stroked="false">
              <v:fill type="solid"/>
            </v:rect>
            <v:rect style="position:absolute;left:993;top:10686;width:108;height:510" filled="true" fillcolor="#3366ff" stroked="false">
              <v:fill type="solid"/>
            </v:rect>
            <v:rect style="position:absolute;left:0;top:10686;width:108;height:510" filled="true" fillcolor="#3366ff" stroked="false">
              <v:fill type="solid"/>
            </v:rect>
            <v:rect style="position:absolute;left:108;top:10686;width:886;height:510" filled="true" fillcolor="#3366ff" stroked="false">
              <v:fill type="solid"/>
            </v:rect>
            <v:rect style="position:absolute;left:993;top:11195;width:108;height:509" filled="true" fillcolor="#33cccc" stroked="false">
              <v:fill type="solid"/>
            </v:rect>
            <v:rect style="position:absolute;left:0;top:11195;width:108;height:509" filled="true" fillcolor="#33cccc" stroked="false">
              <v:fill type="solid"/>
            </v:rect>
            <v:rect style="position:absolute;left:108;top:11195;width:886;height:509" filled="true" fillcolor="#33cccc" stroked="false">
              <v:fill type="solid"/>
            </v:rect>
            <v:rect style="position:absolute;left:993;top:11704;width:108;height:509" filled="true" fillcolor="#99cc00" stroked="false">
              <v:fill type="solid"/>
            </v:rect>
            <v:rect style="position:absolute;left:0;top:11704;width:108;height:509" filled="true" fillcolor="#99cc00" stroked="false">
              <v:fill type="solid"/>
            </v:rect>
            <v:rect style="position:absolute;left:108;top:11704;width:886;height:509" filled="true" fillcolor="#99cc00" stroked="false">
              <v:fill type="solid"/>
            </v:rect>
            <v:rect style="position:absolute;left:993;top:12213;width:108;height:509" filled="true" fillcolor="#ffcc00" stroked="false">
              <v:fill type="solid"/>
            </v:rect>
            <v:rect style="position:absolute;left:0;top:12213;width:108;height:509" filled="true" fillcolor="#ffcc00" stroked="false">
              <v:fill type="solid"/>
            </v:rect>
            <v:rect style="position:absolute;left:108;top:12213;width:886;height:509" filled="true" fillcolor="#ffcc00" stroked="false">
              <v:fill type="solid"/>
            </v:rect>
          </v:group>
        </w:pict>
      </w:r>
      <w:r>
        <w:rPr>
          <w:rFonts w:ascii="Times New Roman"/>
          <w:sz w:val="20"/>
        </w:rPr>
      </w:r>
    </w:p>
    <w:p>
      <w:pPr>
        <w:spacing w:after="0" w:line="240" w:lineRule="auto"/>
        <w:rPr>
          <w:rFonts w:ascii="Times New Roman"/>
          <w:sz w:val="20"/>
        </w:rPr>
        <w:sectPr>
          <w:pgSz w:w="12240" w:h="15840"/>
          <w:pgMar w:header="761" w:footer="746" w:top="1340" w:bottom="940" w:left="860" w:right="700"/>
        </w:sectPr>
      </w:pPr>
    </w:p>
    <w:p>
      <w:pPr>
        <w:pStyle w:val="BodyText"/>
        <w:tabs>
          <w:tab w:pos="1756" w:val="left" w:leader="none"/>
        </w:tabs>
        <w:spacing w:before="150"/>
        <w:ind w:left="313"/>
      </w:pPr>
      <w:r>
        <w:rPr/>
        <w:pict>
          <v:group style="position:absolute;margin-left:225.050003pt;margin-top:7.529625pt;width:55.1pt;height:305.350pt;mso-position-horizontal-relative:page;mso-position-vertical-relative:paragraph;z-index:251680768" coordorigin="4501,151" coordsize="1102,6107">
            <v:shape style="position:absolute;left:4501;top:150;width:1102;height:510" coordorigin="4501,151" coordsize="1102,510" path="m5603,151l5495,151,4609,151,4501,151,4501,660,4609,660,5495,660,5603,660,5603,151e" filled="true" fillcolor="#ff9900" stroked="false">
              <v:path arrowok="t"/>
              <v:fill type="solid"/>
            </v:shape>
            <v:shape style="position:absolute;left:4501;top:659;width:1102;height:509" coordorigin="4501,660" coordsize="1102,509" path="m5603,660l5495,660,4609,660,4501,660,4501,1169,4609,1169,5495,1169,5603,1169,5603,660e" filled="true" fillcolor="#ff6600" stroked="false">
              <v:path arrowok="t"/>
              <v:fill type="solid"/>
            </v:shape>
            <v:shape style="position:absolute;left:4501;top:1168;width:1102;height:509" coordorigin="4501,1169" coordsize="1102,509" path="m5603,1169l5495,1169,4609,1169,4501,1169,4501,1677,4609,1677,5495,1677,5603,1677,5603,1169e" filled="true" fillcolor="#666699" stroked="false">
              <v:path arrowok="t"/>
              <v:fill type="solid"/>
            </v:shape>
            <v:shape style="position:absolute;left:4501;top:1677;width:1102;height:509" coordorigin="4501,1677" coordsize="1102,509" path="m5603,1677l5495,1677,4609,1677,4501,1677,4501,2186,4609,2186,5495,2186,5603,2186,5603,1677e" filled="true" fillcolor="#959595" stroked="false">
              <v:path arrowok="t"/>
              <v:fill type="solid"/>
            </v:shape>
            <v:shape style="position:absolute;left:4501;top:2186;width:1102;height:509" coordorigin="4501,2186" coordsize="1102,509" path="m5603,2186l5495,2186,4609,2186,4501,2186,4501,2695,4609,2695,5495,2695,5603,2695,5603,2186e" filled="true" fillcolor="#003366" stroked="false">
              <v:path arrowok="t"/>
              <v:fill type="solid"/>
            </v:shape>
            <v:shape style="position:absolute;left:4501;top:2695;width:1102;height:509" coordorigin="4501,2695" coordsize="1102,509" path="m5603,2695l5495,2695,4609,2695,4501,2695,4501,3204,4609,3204,5495,3204,5603,3204,5603,2695e" filled="true" fillcolor="#339966" stroked="false">
              <v:path arrowok="t"/>
              <v:fill type="solid"/>
            </v:shape>
            <v:shape style="position:absolute;left:4501;top:3203;width:1102;height:509" coordorigin="4501,3204" coordsize="1102,509" path="m5603,3204l5495,3204,4609,3204,4501,3204,4501,3713,4609,3713,5495,3713,5603,3713,5603,3204e" filled="true" fillcolor="#003300" stroked="false">
              <v:path arrowok="t"/>
              <v:fill type="solid"/>
            </v:shape>
            <v:shape style="position:absolute;left:4501;top:3712;width:1102;height:510" coordorigin="4501,3713" coordsize="1102,510" path="m5603,3713l5495,3713,4609,3713,4501,3713,4501,4222,4609,4222,5495,4222,5603,4222,5603,3713e" filled="true" fillcolor="#333300" stroked="false">
              <v:path arrowok="t"/>
              <v:fill type="solid"/>
            </v:shape>
            <v:shape style="position:absolute;left:4501;top:4222;width:1102;height:509" coordorigin="4501,4222" coordsize="1102,509" path="m5603,4222l5495,4222,4609,4222,4501,4222,4501,4731,4609,4731,5495,4731,5603,4731,5603,4222e" filled="true" fillcolor="#993300" stroked="false">
              <v:path arrowok="t"/>
              <v:fill type="solid"/>
            </v:shape>
            <v:shape style="position:absolute;left:4501;top:4730;width:1102;height:509" coordorigin="4501,4731" coordsize="1102,509" path="m5603,4731l5495,4731,4609,4731,4501,4731,4501,5240,4609,5240,5495,5240,5603,5240,5603,4731e" filled="true" fillcolor="#993366" stroked="false">
              <v:path arrowok="t"/>
              <v:fill type="solid"/>
            </v:shape>
            <v:shape style="position:absolute;left:4501;top:5239;width:1102;height:509" coordorigin="4501,5240" coordsize="1102,509" path="m5603,5240l5495,5240,4609,5240,4501,5240,4501,5748,4609,5748,5495,5748,5603,5748,5603,5240e" filled="true" fillcolor="#333399" stroked="false">
              <v:path arrowok="t"/>
              <v:fill type="solid"/>
            </v:shape>
            <v:shape style="position:absolute;left:4501;top:5748;width:1102;height:509" coordorigin="4501,5748" coordsize="1102,509" path="m5603,5748l5495,5748,4609,5748,4501,5748,4501,6257,4609,6257,5495,6257,5603,6257,5603,5748e" filled="true" fillcolor="#333333" stroked="false">
              <v:path arrowok="t"/>
              <v:fill type="solid"/>
            </v:shape>
            <w10:wrap type="none"/>
          </v:group>
        </w:pict>
      </w:r>
      <w:r>
        <w:rPr/>
        <w:t>indexed="52"</w:t>
        <w:tab/>
        <w:t>00FF9900</w:t>
      </w:r>
    </w:p>
    <w:p>
      <w:pPr>
        <w:pStyle w:val="BodyText"/>
        <w:spacing w:before="1"/>
        <w:rPr>
          <w:sz w:val="15"/>
        </w:rPr>
      </w:pPr>
    </w:p>
    <w:p>
      <w:pPr>
        <w:pStyle w:val="BodyText"/>
        <w:tabs>
          <w:tab w:pos="1756" w:val="left" w:leader="none"/>
        </w:tabs>
        <w:spacing w:before="57"/>
        <w:ind w:left="313"/>
      </w:pPr>
      <w:r>
        <w:rPr/>
        <w:t>indexed="53"</w:t>
        <w:tab/>
        <w:t>00FF6600</w:t>
      </w:r>
    </w:p>
    <w:p>
      <w:pPr>
        <w:pStyle w:val="BodyText"/>
        <w:spacing w:before="1"/>
        <w:rPr>
          <w:sz w:val="15"/>
        </w:rPr>
      </w:pPr>
    </w:p>
    <w:p>
      <w:pPr>
        <w:pStyle w:val="BodyText"/>
        <w:tabs>
          <w:tab w:pos="1756" w:val="left" w:leader="none"/>
        </w:tabs>
        <w:spacing w:before="56"/>
        <w:ind w:left="313"/>
      </w:pPr>
      <w:r>
        <w:rPr/>
        <w:t>indexed="54"</w:t>
        <w:tab/>
        <w:t>00666699</w:t>
      </w:r>
    </w:p>
    <w:p>
      <w:pPr>
        <w:pStyle w:val="BodyText"/>
        <w:spacing w:before="1"/>
        <w:rPr>
          <w:sz w:val="15"/>
        </w:rPr>
      </w:pPr>
    </w:p>
    <w:p>
      <w:pPr>
        <w:pStyle w:val="BodyText"/>
        <w:tabs>
          <w:tab w:pos="1756" w:val="left" w:leader="none"/>
        </w:tabs>
        <w:spacing w:before="56"/>
        <w:ind w:left="313"/>
      </w:pPr>
      <w:r>
        <w:rPr/>
        <w:t>indexed="55"</w:t>
        <w:tab/>
        <w:t>00969696</w:t>
      </w:r>
    </w:p>
    <w:p>
      <w:pPr>
        <w:pStyle w:val="BodyText"/>
        <w:spacing w:before="1"/>
        <w:rPr>
          <w:sz w:val="15"/>
        </w:rPr>
      </w:pPr>
    </w:p>
    <w:p>
      <w:pPr>
        <w:pStyle w:val="BodyText"/>
        <w:tabs>
          <w:tab w:pos="1756" w:val="left" w:leader="none"/>
        </w:tabs>
        <w:spacing w:before="56"/>
        <w:ind w:left="313"/>
      </w:pPr>
      <w:r>
        <w:rPr/>
        <w:t>indexed="56"</w:t>
        <w:tab/>
        <w:t>00003366</w:t>
      </w:r>
    </w:p>
    <w:p>
      <w:pPr>
        <w:pStyle w:val="BodyText"/>
        <w:spacing w:before="1"/>
        <w:rPr>
          <w:sz w:val="15"/>
        </w:rPr>
      </w:pPr>
    </w:p>
    <w:p>
      <w:pPr>
        <w:pStyle w:val="BodyText"/>
        <w:tabs>
          <w:tab w:pos="1756" w:val="left" w:leader="none"/>
        </w:tabs>
        <w:spacing w:before="56"/>
        <w:ind w:left="313"/>
      </w:pPr>
      <w:r>
        <w:rPr/>
        <w:t>indexed="57"</w:t>
        <w:tab/>
        <w:t>00339966</w:t>
      </w:r>
    </w:p>
    <w:p>
      <w:pPr>
        <w:pStyle w:val="BodyText"/>
        <w:spacing w:before="1"/>
        <w:rPr>
          <w:sz w:val="15"/>
        </w:rPr>
      </w:pPr>
    </w:p>
    <w:p>
      <w:pPr>
        <w:pStyle w:val="BodyText"/>
        <w:tabs>
          <w:tab w:pos="1756" w:val="left" w:leader="none"/>
        </w:tabs>
        <w:spacing w:before="56"/>
        <w:ind w:left="313"/>
      </w:pPr>
      <w:r>
        <w:rPr/>
        <w:t>indexed="58"</w:t>
        <w:tab/>
        <w:t>00003300</w:t>
      </w:r>
    </w:p>
    <w:p>
      <w:pPr>
        <w:pStyle w:val="BodyText"/>
        <w:spacing w:before="2"/>
        <w:rPr>
          <w:sz w:val="15"/>
        </w:rPr>
      </w:pPr>
    </w:p>
    <w:p>
      <w:pPr>
        <w:pStyle w:val="BodyText"/>
        <w:tabs>
          <w:tab w:pos="1756" w:val="left" w:leader="none"/>
        </w:tabs>
        <w:spacing w:before="56"/>
        <w:ind w:left="313"/>
      </w:pPr>
      <w:r>
        <w:rPr/>
        <w:t>indexed="59"</w:t>
        <w:tab/>
        <w:t>00333300</w:t>
      </w:r>
    </w:p>
    <w:p>
      <w:pPr>
        <w:pStyle w:val="BodyText"/>
        <w:spacing w:before="1"/>
        <w:rPr>
          <w:sz w:val="15"/>
        </w:rPr>
      </w:pPr>
    </w:p>
    <w:p>
      <w:pPr>
        <w:pStyle w:val="BodyText"/>
        <w:tabs>
          <w:tab w:pos="1756" w:val="left" w:leader="none"/>
        </w:tabs>
        <w:spacing w:before="56"/>
        <w:ind w:left="313"/>
      </w:pPr>
      <w:r>
        <w:rPr/>
        <w:t>indexed="60"</w:t>
        <w:tab/>
        <w:t>00993300</w:t>
      </w:r>
    </w:p>
    <w:p>
      <w:pPr>
        <w:pStyle w:val="BodyText"/>
        <w:spacing w:before="1"/>
        <w:rPr>
          <w:sz w:val="15"/>
        </w:rPr>
      </w:pPr>
    </w:p>
    <w:p>
      <w:pPr>
        <w:pStyle w:val="BodyText"/>
        <w:tabs>
          <w:tab w:pos="1756" w:val="left" w:leader="none"/>
        </w:tabs>
        <w:spacing w:before="56"/>
        <w:ind w:left="313"/>
      </w:pPr>
      <w:r>
        <w:rPr/>
        <w:t>indexed="61"</w:t>
        <w:tab/>
        <w:t>00993366</w:t>
      </w:r>
    </w:p>
    <w:p>
      <w:pPr>
        <w:pStyle w:val="BodyText"/>
        <w:spacing w:before="1"/>
        <w:rPr>
          <w:sz w:val="15"/>
        </w:rPr>
      </w:pPr>
    </w:p>
    <w:p>
      <w:pPr>
        <w:pStyle w:val="BodyText"/>
        <w:tabs>
          <w:tab w:pos="1756" w:val="left" w:leader="none"/>
        </w:tabs>
        <w:spacing w:before="57"/>
        <w:ind w:left="313"/>
      </w:pPr>
      <w:r>
        <w:rPr/>
        <w:t>indexed="62"</w:t>
        <w:tab/>
        <w:t>00333399</w:t>
      </w:r>
    </w:p>
    <w:p>
      <w:pPr>
        <w:pStyle w:val="BodyText"/>
        <w:rPr>
          <w:sz w:val="15"/>
        </w:rPr>
      </w:pPr>
    </w:p>
    <w:p>
      <w:pPr>
        <w:pStyle w:val="BodyText"/>
        <w:tabs>
          <w:tab w:pos="1756" w:val="left" w:leader="none"/>
        </w:tabs>
        <w:spacing w:before="57"/>
        <w:ind w:left="313"/>
      </w:pPr>
      <w:r>
        <w:rPr/>
        <w:t>indexed="63"</w:t>
        <w:tab/>
        <w:t>00333333</w:t>
      </w:r>
    </w:p>
    <w:p>
      <w:pPr>
        <w:pStyle w:val="BodyText"/>
        <w:spacing w:before="1"/>
        <w:rPr>
          <w:sz w:val="15"/>
        </w:rPr>
      </w:pPr>
    </w:p>
    <w:p>
      <w:pPr>
        <w:pStyle w:val="BodyText"/>
        <w:tabs>
          <w:tab w:pos="1756" w:val="left" w:leader="none"/>
          <w:tab w:pos="3748" w:val="left" w:leader="none"/>
        </w:tabs>
        <w:spacing w:line="453" w:lineRule="auto" w:before="56"/>
        <w:ind w:left="313" w:right="6621"/>
      </w:pPr>
      <w:r>
        <w:rPr/>
        <w:t>indexed="64"</w:t>
        <w:tab/>
        <w:t>System</w:t>
      </w:r>
      <w:r>
        <w:rPr>
          <w:spacing w:val="-1"/>
        </w:rPr>
        <w:t> </w:t>
      </w:r>
      <w:r>
        <w:rPr/>
        <w:t>Foreground</w:t>
        <w:tab/>
      </w:r>
      <w:r>
        <w:rPr>
          <w:spacing w:val="-7"/>
        </w:rPr>
        <w:t>n/a </w:t>
      </w:r>
      <w:r>
        <w:rPr/>
        <w:t>indexed="65"</w:t>
        <w:tab/>
        <w:t>System</w:t>
      </w:r>
      <w:r>
        <w:rPr>
          <w:spacing w:val="-1"/>
        </w:rPr>
        <w:t> </w:t>
      </w:r>
      <w:r>
        <w:rPr/>
        <w:t>Background</w:t>
        <w:tab/>
      </w:r>
      <w:r>
        <w:rPr>
          <w:spacing w:val="-7"/>
        </w:rPr>
        <w:t>n/a</w:t>
      </w:r>
    </w:p>
    <w:p>
      <w:pPr>
        <w:pStyle w:val="BodyText"/>
      </w:pPr>
    </w:p>
    <w:p>
      <w:pPr>
        <w:pStyle w:val="BodyText"/>
        <w:spacing w:before="8"/>
        <w:rPr>
          <w:sz w:val="19"/>
        </w:rPr>
      </w:pPr>
    </w:p>
    <w:p>
      <w:pPr>
        <w:pStyle w:val="BodyText"/>
        <w:spacing w:line="278" w:lineRule="auto" w:before="1"/>
        <w:ind w:left="220" w:right="490"/>
      </w:pPr>
      <w:r>
        <w:rPr/>
        <w:t>[</w:t>
      </w:r>
      <w:r>
        <w:rPr>
          <w:i/>
        </w:rPr>
        <w:t>Note</w:t>
      </w:r>
      <w:r>
        <w:rPr/>
        <w:t>: To maximize interoperability, implementers should restrict the content of this attribute to enumerations present in the above list. Additional values may be used, but interoperability will only be possible via mutual agreement between implementers. </w:t>
      </w:r>
      <w:r>
        <w:rPr>
          <w:i/>
        </w:rPr>
        <w:t>end note</w:t>
      </w:r>
      <w:r>
        <w:rPr/>
        <w:t>]</w:t>
      </w:r>
    </w:p>
    <w:p>
      <w:pPr>
        <w:pStyle w:val="BodyText"/>
        <w:spacing w:before="195"/>
        <w:ind w:left="220"/>
      </w:pPr>
      <w:r>
        <w:rPr/>
        <w:t>When values not present in the above list are used, the behavior is implementation-defined.</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CT_IndexedColors</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28 mruColors (MRU Colors)" w:id="638"/>
      <w:bookmarkEnd w:id="638"/>
      <w:r>
        <w:rPr>
          <w:b w:val="0"/>
        </w:rPr>
      </w:r>
      <w:bookmarkStart w:name="_bookmark211" w:id="639"/>
      <w:bookmarkEnd w:id="639"/>
      <w:r>
        <w:rPr>
          <w:b w:val="0"/>
        </w:rPr>
      </w:r>
      <w:bookmarkStart w:name="_bookmark211" w:id="640"/>
      <w:bookmarkEnd w:id="640"/>
      <w:r>
        <w:rPr>
          <w:color w:val="4F81BC"/>
        </w:rPr>
        <w:t>mr</w:t>
      </w:r>
      <w:r>
        <w:rPr>
          <w:color w:val="4F81BC"/>
        </w:rPr>
        <w:t>uColors (MRU Colors)</w:t>
      </w:r>
    </w:p>
    <w:p>
      <w:pPr>
        <w:pStyle w:val="BodyText"/>
        <w:spacing w:line="276" w:lineRule="auto" w:before="124"/>
        <w:ind w:left="220" w:right="742"/>
      </w:pPr>
      <w:r>
        <w:rPr/>
        <w:t>This element contains sequence of RGB values that correspond to custom colors selected by the user for this workbook.</w:t>
      </w:r>
    </w:p>
    <w:p>
      <w:pPr>
        <w:pStyle w:val="BodyText"/>
        <w:spacing w:before="3"/>
        <w:rPr>
          <w:sz w:val="16"/>
        </w:rPr>
      </w:pPr>
    </w:p>
    <w:p>
      <w:pPr>
        <w:pStyle w:val="BodyText"/>
        <w:spacing w:line="278" w:lineRule="auto"/>
        <w:ind w:left="220" w:right="474"/>
      </w:pPr>
      <w:r>
        <w:rPr/>
        <w:t>[</w:t>
      </w:r>
      <w:r>
        <w:rPr>
          <w:i/>
        </w:rPr>
        <w:t>Note</w:t>
      </w:r>
      <w:r>
        <w:rPr/>
        <w:t>: The W3C XML Schema definition of this element’s content model (</w:t>
      </w:r>
      <w:r>
        <w:rPr>
          <w:color w:val="5F5F5F"/>
          <w:u w:val="single" w:color="5F5F5F"/>
        </w:rPr>
        <w:t>CT_MRUColors</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29 name (Font Name)" w:id="641"/>
      <w:bookmarkEnd w:id="641"/>
      <w:r>
        <w:rPr>
          <w:b w:val="0"/>
        </w:rPr>
      </w:r>
      <w:bookmarkStart w:name="_bookmark212" w:id="642"/>
      <w:bookmarkEnd w:id="642"/>
      <w:r>
        <w:rPr>
          <w:b w:val="0"/>
        </w:rPr>
      </w:r>
      <w:bookmarkStart w:name="_bookmark212" w:id="643"/>
      <w:bookmarkEnd w:id="643"/>
      <w:r>
        <w:rPr>
          <w:color w:val="4F81BC"/>
        </w:rPr>
        <w:t>name</w:t>
      </w:r>
      <w:r>
        <w:rPr>
          <w:color w:val="4F81BC"/>
        </w:rPr>
        <w:t> (Font</w:t>
      </w:r>
      <w:r>
        <w:rPr>
          <w:color w:val="4F81BC"/>
          <w:spacing w:val="-5"/>
        </w:rPr>
        <w:t> </w:t>
      </w:r>
      <w:r>
        <w:rPr>
          <w:color w:val="4F81BC"/>
        </w:rPr>
        <w:t>Name)</w:t>
      </w:r>
    </w:p>
    <w:p>
      <w:pPr>
        <w:pStyle w:val="BodyText"/>
        <w:spacing w:before="124"/>
        <w:ind w:left="220"/>
      </w:pPr>
      <w:r>
        <w:rPr/>
        <w:t>This element specifies the face name of this font.</w:t>
      </w:r>
    </w:p>
    <w:p>
      <w:pPr>
        <w:spacing w:after="0"/>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rPr>
                <w:sz w:val="22"/>
              </w:rPr>
            </w:pPr>
            <w:r>
              <w:rPr>
                <w:rFonts w:ascii="Cambria"/>
                <w:sz w:val="22"/>
              </w:rPr>
              <w:t>val </w:t>
            </w:r>
            <w:r>
              <w:rPr>
                <w:sz w:val="22"/>
              </w:rPr>
              <w:t>(String Value)</w:t>
            </w:r>
          </w:p>
        </w:tc>
        <w:tc>
          <w:tcPr>
            <w:tcW w:w="8250" w:type="dxa"/>
          </w:tcPr>
          <w:p>
            <w:pPr>
              <w:pStyle w:val="TableParagraph"/>
              <w:ind w:right="446"/>
              <w:rPr>
                <w:sz w:val="22"/>
              </w:rPr>
            </w:pPr>
            <w:r>
              <w:rPr>
                <w:sz w:val="22"/>
              </w:rPr>
              <w:t>A string representing the name of the font. If the font doesn't exist (because it isn't installed on the system), or the </w:t>
            </w:r>
            <w:r>
              <w:rPr>
                <w:rFonts w:ascii="Cambria"/>
                <w:sz w:val="22"/>
              </w:rPr>
              <w:t>charset </w:t>
            </w:r>
            <w:r>
              <w:rPr>
                <w:sz w:val="22"/>
              </w:rPr>
              <w:t>not supported by that font, then another font should be substituted.</w:t>
            </w:r>
          </w:p>
          <w:p>
            <w:pPr>
              <w:pStyle w:val="TableParagraph"/>
              <w:spacing w:before="0"/>
              <w:ind w:left="0"/>
              <w:rPr>
                <w:sz w:val="22"/>
              </w:rPr>
            </w:pPr>
          </w:p>
          <w:p>
            <w:pPr>
              <w:pStyle w:val="TableParagraph"/>
              <w:spacing w:before="1"/>
              <w:rPr>
                <w:sz w:val="22"/>
              </w:rPr>
            </w:pPr>
            <w:r>
              <w:rPr>
                <w:sz w:val="22"/>
              </w:rPr>
              <w:t>The string length for this attribute shall be 0 to 31 Unicode scalar values.</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8" w:lineRule="auto" w:before="56"/>
        <w:ind w:left="220" w:right="546"/>
      </w:pPr>
      <w:r>
        <w:rPr/>
        <w:t>[</w:t>
      </w:r>
      <w:r>
        <w:rPr>
          <w:i/>
        </w:rPr>
        <w:t>Note</w:t>
      </w:r>
      <w:r>
        <w:rPr/>
        <w:t>: The W3C XML Schema definition of this element’s content model (</w:t>
      </w:r>
      <w:r>
        <w:rPr>
          <w:color w:val="5F5F5F"/>
          <w:u w:val="single" w:color="5F5F5F"/>
        </w:rPr>
        <w:t>CT_FontName</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0 numFmt (Number Format)" w:id="644"/>
      <w:bookmarkEnd w:id="644"/>
      <w:r>
        <w:rPr>
          <w:b w:val="0"/>
        </w:rPr>
      </w:r>
      <w:bookmarkStart w:name="_bookmark213" w:id="645"/>
      <w:bookmarkEnd w:id="645"/>
      <w:r>
        <w:rPr>
          <w:b w:val="0"/>
        </w:rPr>
      </w:r>
      <w:bookmarkStart w:name="_bookmark213" w:id="646"/>
      <w:bookmarkEnd w:id="646"/>
      <w:r>
        <w:rPr>
          <w:color w:val="4F81BC"/>
        </w:rPr>
        <w:t>num</w:t>
      </w:r>
      <w:r>
        <w:rPr>
          <w:color w:val="4F81BC"/>
        </w:rPr>
        <w:t>Fmt (Number</w:t>
      </w:r>
      <w:r>
        <w:rPr>
          <w:color w:val="4F81BC"/>
          <w:spacing w:val="-3"/>
        </w:rPr>
        <w:t> </w:t>
      </w:r>
      <w:r>
        <w:rPr>
          <w:color w:val="4F81BC"/>
        </w:rPr>
        <w:t>Format)</w:t>
      </w:r>
    </w:p>
    <w:p>
      <w:pPr>
        <w:pStyle w:val="BodyText"/>
        <w:spacing w:line="278" w:lineRule="auto" w:before="122"/>
        <w:ind w:left="220" w:right="442"/>
      </w:pPr>
      <w:r>
        <w:rPr/>
        <w:t>This element specifies number format properties which indicate how to format and render the numeric value of a cell.</w:t>
      </w:r>
    </w:p>
    <w:p>
      <w:pPr>
        <w:pStyle w:val="BodyText"/>
        <w:spacing w:line="276" w:lineRule="auto" w:before="195"/>
        <w:ind w:left="220" w:right="654"/>
      </w:pPr>
      <w:r>
        <w:rPr/>
        <w:t>Following is a listing of number formats whose </w:t>
      </w:r>
      <w:r>
        <w:rPr>
          <w:rFonts w:ascii="Cambria"/>
        </w:rPr>
        <w:t>formatCode </w:t>
      </w:r>
      <w:r>
        <w:rPr/>
        <w:t>value is implied rather than explicitly saved in the file. In this case, a </w:t>
      </w:r>
      <w:r>
        <w:rPr>
          <w:rFonts w:ascii="Cambria"/>
        </w:rPr>
        <w:t>numFmtId </w:t>
      </w:r>
      <w:r>
        <w:rPr/>
        <w:t>value is written on the xf record, but no corresponding </w:t>
      </w:r>
      <w:r>
        <w:rPr>
          <w:rFonts w:ascii="Cambria"/>
        </w:rPr>
        <w:t>numFmt </w:t>
      </w:r>
      <w:r>
        <w:rPr/>
        <w:t>element is written. Some of these Ids can be interpreted differently, depending on the UI language of the implementing application.</w:t>
      </w:r>
    </w:p>
    <w:p>
      <w:pPr>
        <w:pStyle w:val="BodyText"/>
        <w:spacing w:before="4"/>
        <w:rPr>
          <w:sz w:val="16"/>
        </w:rPr>
      </w:pPr>
    </w:p>
    <w:p>
      <w:pPr>
        <w:pStyle w:val="BodyText"/>
        <w:spacing w:line="276" w:lineRule="auto"/>
        <w:ind w:left="220" w:right="490"/>
      </w:pPr>
      <w:r>
        <w:rPr/>
        <w:t>[</w:t>
      </w:r>
      <w:r>
        <w:rPr>
          <w:i/>
        </w:rPr>
        <w:t>Note</w:t>
      </w:r>
      <w:r>
        <w:rPr/>
        <w:t>: To maximize interoperability, implementers should restrict the content of this attribute to enumerations present in the lists below. Additional values may be used, but interoperability will only be possible via mutual agreement between implementers. </w:t>
      </w:r>
      <w:r>
        <w:rPr>
          <w:i/>
        </w:rPr>
        <w:t>end note</w:t>
      </w:r>
      <w:r>
        <w:rPr/>
        <w:t>]</w:t>
      </w:r>
    </w:p>
    <w:p>
      <w:pPr>
        <w:pStyle w:val="BodyText"/>
        <w:spacing w:before="7"/>
        <w:rPr>
          <w:sz w:val="16"/>
        </w:rPr>
      </w:pPr>
    </w:p>
    <w:p>
      <w:pPr>
        <w:pStyle w:val="BodyText"/>
        <w:ind w:left="220"/>
      </w:pPr>
      <w:r>
        <w:rPr/>
        <w:t>When values not present in the lists below are used, the behavior is implementation-defined.</w:t>
      </w:r>
    </w:p>
    <w:p>
      <w:pPr>
        <w:pStyle w:val="BodyText"/>
        <w:spacing w:before="8"/>
        <w:rPr>
          <w:sz w:val="19"/>
        </w:rPr>
      </w:pPr>
    </w:p>
    <w:p>
      <w:pPr>
        <w:pStyle w:val="BodyText"/>
        <w:ind w:left="220"/>
        <w:rPr>
          <w:rFonts w:ascii="Cambria"/>
        </w:rPr>
      </w:pPr>
      <w:r>
        <w:rPr/>
        <w:t>Ids not specified in the listing, such as 5, 6, 7, and 8, shall follow the number format specified by the </w:t>
      </w:r>
      <w:r>
        <w:rPr>
          <w:rFonts w:ascii="Cambria"/>
        </w:rPr>
        <w:t>formatCode</w:t>
      </w:r>
    </w:p>
    <w:p>
      <w:pPr>
        <w:pStyle w:val="BodyText"/>
        <w:spacing w:before="41"/>
        <w:ind w:left="220"/>
      </w:pPr>
      <w:r>
        <w:rPr/>
        <w:t>attribute.</w:t>
      </w:r>
    </w:p>
    <w:p>
      <w:pPr>
        <w:pStyle w:val="BodyText"/>
        <w:spacing w:before="8"/>
        <w:rPr>
          <w:sz w:val="19"/>
        </w:rPr>
      </w:pPr>
    </w:p>
    <w:p>
      <w:pPr>
        <w:pStyle w:val="Heading4"/>
        <w:spacing w:before="1"/>
      </w:pPr>
      <w:r>
        <w:rPr/>
        <w:t>All Languages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451"/>
      </w:tblGrid>
      <w:tr>
        <w:trPr>
          <w:trHeight w:val="386" w:hRule="atLeast"/>
        </w:trPr>
        <w:tc>
          <w:tcPr>
            <w:tcW w:w="960" w:type="dxa"/>
            <w:shd w:val="clear" w:color="auto" w:fill="C0C0C0"/>
          </w:tcPr>
          <w:p>
            <w:pPr>
              <w:pStyle w:val="TableParagraph"/>
              <w:ind w:left="362" w:right="350"/>
              <w:jc w:val="center"/>
              <w:rPr>
                <w:b/>
                <w:sz w:val="22"/>
              </w:rPr>
            </w:pPr>
            <w:r>
              <w:rPr>
                <w:b/>
                <w:sz w:val="22"/>
              </w:rPr>
              <w:t>ID</w:t>
            </w:r>
          </w:p>
        </w:tc>
        <w:tc>
          <w:tcPr>
            <w:tcW w:w="2451" w:type="dxa"/>
            <w:shd w:val="clear" w:color="auto" w:fill="C0C0C0"/>
          </w:tcPr>
          <w:p>
            <w:pPr>
              <w:pStyle w:val="TableParagraph"/>
              <w:ind w:left="676"/>
              <w:rPr>
                <w:b/>
                <w:sz w:val="22"/>
              </w:rPr>
            </w:pPr>
            <w:r>
              <w:rPr>
                <w:b/>
                <w:sz w:val="22"/>
              </w:rPr>
              <w:t>formatCode</w:t>
            </w:r>
          </w:p>
        </w:tc>
      </w:tr>
      <w:tr>
        <w:trPr>
          <w:trHeight w:val="385" w:hRule="atLeast"/>
        </w:trPr>
        <w:tc>
          <w:tcPr>
            <w:tcW w:w="960" w:type="dxa"/>
          </w:tcPr>
          <w:p>
            <w:pPr>
              <w:pStyle w:val="TableParagraph"/>
              <w:rPr>
                <w:sz w:val="22"/>
              </w:rPr>
            </w:pPr>
            <w:r>
              <w:rPr>
                <w:w w:val="100"/>
                <w:sz w:val="22"/>
              </w:rPr>
              <w:t>0</w:t>
            </w:r>
          </w:p>
        </w:tc>
        <w:tc>
          <w:tcPr>
            <w:tcW w:w="2451" w:type="dxa"/>
          </w:tcPr>
          <w:p>
            <w:pPr>
              <w:pStyle w:val="TableParagraph"/>
              <w:ind w:left="114"/>
              <w:rPr>
                <w:sz w:val="22"/>
              </w:rPr>
            </w:pPr>
            <w:r>
              <w:rPr>
                <w:sz w:val="22"/>
              </w:rPr>
              <w:t>General</w:t>
            </w:r>
          </w:p>
        </w:tc>
      </w:tr>
      <w:tr>
        <w:trPr>
          <w:trHeight w:val="386" w:hRule="atLeast"/>
        </w:trPr>
        <w:tc>
          <w:tcPr>
            <w:tcW w:w="960" w:type="dxa"/>
          </w:tcPr>
          <w:p>
            <w:pPr>
              <w:pStyle w:val="TableParagraph"/>
              <w:rPr>
                <w:sz w:val="22"/>
              </w:rPr>
            </w:pPr>
            <w:r>
              <w:rPr>
                <w:w w:val="100"/>
                <w:sz w:val="22"/>
              </w:rPr>
              <w:t>1</w:t>
            </w:r>
          </w:p>
        </w:tc>
        <w:tc>
          <w:tcPr>
            <w:tcW w:w="2451" w:type="dxa"/>
          </w:tcPr>
          <w:p>
            <w:pPr>
              <w:pStyle w:val="TableParagraph"/>
              <w:ind w:left="114"/>
              <w:rPr>
                <w:sz w:val="22"/>
              </w:rPr>
            </w:pPr>
            <w:r>
              <w:rPr>
                <w:w w:val="100"/>
                <w:sz w:val="22"/>
              </w:rPr>
              <w:t>0</w:t>
            </w:r>
          </w:p>
        </w:tc>
      </w:tr>
      <w:tr>
        <w:trPr>
          <w:trHeight w:val="386" w:hRule="atLeast"/>
        </w:trPr>
        <w:tc>
          <w:tcPr>
            <w:tcW w:w="960" w:type="dxa"/>
          </w:tcPr>
          <w:p>
            <w:pPr>
              <w:pStyle w:val="TableParagraph"/>
              <w:rPr>
                <w:sz w:val="22"/>
              </w:rPr>
            </w:pPr>
            <w:r>
              <w:rPr>
                <w:w w:val="100"/>
                <w:sz w:val="22"/>
              </w:rPr>
              <w:t>2</w:t>
            </w:r>
          </w:p>
        </w:tc>
        <w:tc>
          <w:tcPr>
            <w:tcW w:w="2451" w:type="dxa"/>
          </w:tcPr>
          <w:p>
            <w:pPr>
              <w:pStyle w:val="TableParagraph"/>
              <w:ind w:left="114"/>
              <w:rPr>
                <w:sz w:val="22"/>
              </w:rPr>
            </w:pPr>
            <w:r>
              <w:rPr>
                <w:sz w:val="22"/>
              </w:rPr>
              <w:t>0.00</w:t>
            </w:r>
          </w:p>
        </w:tc>
      </w:tr>
      <w:tr>
        <w:trPr>
          <w:trHeight w:val="386" w:hRule="atLeast"/>
        </w:trPr>
        <w:tc>
          <w:tcPr>
            <w:tcW w:w="960" w:type="dxa"/>
          </w:tcPr>
          <w:p>
            <w:pPr>
              <w:pStyle w:val="TableParagraph"/>
              <w:rPr>
                <w:sz w:val="22"/>
              </w:rPr>
            </w:pPr>
            <w:r>
              <w:rPr>
                <w:w w:val="100"/>
                <w:sz w:val="22"/>
              </w:rPr>
              <w:t>3</w:t>
            </w:r>
          </w:p>
        </w:tc>
        <w:tc>
          <w:tcPr>
            <w:tcW w:w="2451" w:type="dxa"/>
          </w:tcPr>
          <w:p>
            <w:pPr>
              <w:pStyle w:val="TableParagraph"/>
              <w:ind w:left="114"/>
              <w:rPr>
                <w:sz w:val="22"/>
              </w:rPr>
            </w:pPr>
            <w:r>
              <w:rPr>
                <w:sz w:val="22"/>
              </w:rPr>
              <w:t>#,##0</w:t>
            </w:r>
          </w:p>
        </w:tc>
      </w:tr>
      <w:tr>
        <w:trPr>
          <w:trHeight w:val="386" w:hRule="atLeast"/>
        </w:trPr>
        <w:tc>
          <w:tcPr>
            <w:tcW w:w="960" w:type="dxa"/>
          </w:tcPr>
          <w:p>
            <w:pPr>
              <w:pStyle w:val="TableParagraph"/>
              <w:rPr>
                <w:sz w:val="22"/>
              </w:rPr>
            </w:pPr>
            <w:r>
              <w:rPr>
                <w:w w:val="100"/>
                <w:sz w:val="22"/>
              </w:rPr>
              <w:t>4</w:t>
            </w:r>
          </w:p>
        </w:tc>
        <w:tc>
          <w:tcPr>
            <w:tcW w:w="2451" w:type="dxa"/>
          </w:tcPr>
          <w:p>
            <w:pPr>
              <w:pStyle w:val="TableParagraph"/>
              <w:ind w:left="114"/>
              <w:rPr>
                <w:sz w:val="22"/>
              </w:rPr>
            </w:pPr>
            <w:r>
              <w:rPr>
                <w:sz w:val="22"/>
              </w:rPr>
              <w:t>#,##0.00</w:t>
            </w:r>
          </w:p>
        </w:tc>
      </w:tr>
      <w:tr>
        <w:trPr>
          <w:trHeight w:val="386" w:hRule="atLeast"/>
        </w:trPr>
        <w:tc>
          <w:tcPr>
            <w:tcW w:w="960" w:type="dxa"/>
          </w:tcPr>
          <w:p>
            <w:pPr>
              <w:pStyle w:val="TableParagraph"/>
              <w:rPr>
                <w:sz w:val="22"/>
              </w:rPr>
            </w:pPr>
            <w:r>
              <w:rPr>
                <w:w w:val="100"/>
                <w:sz w:val="22"/>
              </w:rPr>
              <w:t>9</w:t>
            </w:r>
          </w:p>
        </w:tc>
        <w:tc>
          <w:tcPr>
            <w:tcW w:w="2451" w:type="dxa"/>
          </w:tcPr>
          <w:p>
            <w:pPr>
              <w:pStyle w:val="TableParagraph"/>
              <w:ind w:left="114"/>
              <w:rPr>
                <w:sz w:val="22"/>
              </w:rPr>
            </w:pPr>
            <w:r>
              <w:rPr>
                <w:sz w:val="22"/>
              </w:rPr>
              <w:t>0%</w:t>
            </w:r>
          </w:p>
        </w:tc>
      </w:tr>
      <w:tr>
        <w:trPr>
          <w:trHeight w:val="385" w:hRule="atLeast"/>
        </w:trPr>
        <w:tc>
          <w:tcPr>
            <w:tcW w:w="960" w:type="dxa"/>
          </w:tcPr>
          <w:p>
            <w:pPr>
              <w:pStyle w:val="TableParagraph"/>
              <w:rPr>
                <w:sz w:val="22"/>
              </w:rPr>
            </w:pPr>
            <w:r>
              <w:rPr>
                <w:sz w:val="22"/>
              </w:rPr>
              <w:t>10</w:t>
            </w:r>
          </w:p>
        </w:tc>
        <w:tc>
          <w:tcPr>
            <w:tcW w:w="2451" w:type="dxa"/>
          </w:tcPr>
          <w:p>
            <w:pPr>
              <w:pStyle w:val="TableParagraph"/>
              <w:ind w:left="114"/>
              <w:rPr>
                <w:sz w:val="22"/>
              </w:rPr>
            </w:pPr>
            <w:r>
              <w:rPr>
                <w:sz w:val="22"/>
              </w:rPr>
              <w:t>0.00%</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451"/>
      </w:tblGrid>
      <w:tr>
        <w:trPr>
          <w:trHeight w:val="386" w:hRule="atLeast"/>
        </w:trPr>
        <w:tc>
          <w:tcPr>
            <w:tcW w:w="960" w:type="dxa"/>
            <w:shd w:val="clear" w:color="auto" w:fill="C0C0C0"/>
          </w:tcPr>
          <w:p>
            <w:pPr>
              <w:pStyle w:val="TableParagraph"/>
              <w:ind w:left="362" w:right="350"/>
              <w:jc w:val="center"/>
              <w:rPr>
                <w:b/>
                <w:sz w:val="22"/>
              </w:rPr>
            </w:pPr>
            <w:r>
              <w:rPr>
                <w:b/>
                <w:sz w:val="22"/>
              </w:rPr>
              <w:t>ID</w:t>
            </w:r>
          </w:p>
        </w:tc>
        <w:tc>
          <w:tcPr>
            <w:tcW w:w="2451" w:type="dxa"/>
            <w:shd w:val="clear" w:color="auto" w:fill="C0C0C0"/>
          </w:tcPr>
          <w:p>
            <w:pPr>
              <w:pStyle w:val="TableParagraph"/>
              <w:ind w:left="676"/>
              <w:rPr>
                <w:b/>
                <w:sz w:val="22"/>
              </w:rPr>
            </w:pPr>
            <w:r>
              <w:rPr>
                <w:b/>
                <w:sz w:val="22"/>
              </w:rPr>
              <w:t>formatCode</w:t>
            </w:r>
          </w:p>
        </w:tc>
      </w:tr>
      <w:tr>
        <w:trPr>
          <w:trHeight w:val="386" w:hRule="atLeast"/>
        </w:trPr>
        <w:tc>
          <w:tcPr>
            <w:tcW w:w="960" w:type="dxa"/>
          </w:tcPr>
          <w:p>
            <w:pPr>
              <w:pStyle w:val="TableParagraph"/>
              <w:rPr>
                <w:sz w:val="22"/>
              </w:rPr>
            </w:pPr>
            <w:r>
              <w:rPr>
                <w:sz w:val="22"/>
              </w:rPr>
              <w:t>11</w:t>
            </w:r>
          </w:p>
        </w:tc>
        <w:tc>
          <w:tcPr>
            <w:tcW w:w="2451" w:type="dxa"/>
          </w:tcPr>
          <w:p>
            <w:pPr>
              <w:pStyle w:val="TableParagraph"/>
              <w:ind w:left="114"/>
              <w:rPr>
                <w:sz w:val="22"/>
              </w:rPr>
            </w:pPr>
            <w:r>
              <w:rPr>
                <w:sz w:val="22"/>
              </w:rPr>
              <w:t>0.00E+00</w:t>
            </w:r>
          </w:p>
        </w:tc>
      </w:tr>
      <w:tr>
        <w:trPr>
          <w:trHeight w:val="385" w:hRule="atLeast"/>
        </w:trPr>
        <w:tc>
          <w:tcPr>
            <w:tcW w:w="960" w:type="dxa"/>
          </w:tcPr>
          <w:p>
            <w:pPr>
              <w:pStyle w:val="TableParagraph"/>
              <w:rPr>
                <w:sz w:val="22"/>
              </w:rPr>
            </w:pPr>
            <w:r>
              <w:rPr>
                <w:sz w:val="22"/>
              </w:rPr>
              <w:t>12</w:t>
            </w:r>
          </w:p>
        </w:tc>
        <w:tc>
          <w:tcPr>
            <w:tcW w:w="2451" w:type="dxa"/>
          </w:tcPr>
          <w:p>
            <w:pPr>
              <w:pStyle w:val="TableParagraph"/>
              <w:ind w:left="114"/>
              <w:rPr>
                <w:sz w:val="22"/>
              </w:rPr>
            </w:pPr>
            <w:r>
              <w:rPr>
                <w:sz w:val="22"/>
              </w:rPr>
              <w:t># ?/?</w:t>
            </w:r>
          </w:p>
        </w:tc>
      </w:tr>
      <w:tr>
        <w:trPr>
          <w:trHeight w:val="386" w:hRule="atLeast"/>
        </w:trPr>
        <w:tc>
          <w:tcPr>
            <w:tcW w:w="960" w:type="dxa"/>
          </w:tcPr>
          <w:p>
            <w:pPr>
              <w:pStyle w:val="TableParagraph"/>
              <w:rPr>
                <w:sz w:val="22"/>
              </w:rPr>
            </w:pPr>
            <w:r>
              <w:rPr>
                <w:sz w:val="22"/>
              </w:rPr>
              <w:t>13</w:t>
            </w:r>
          </w:p>
        </w:tc>
        <w:tc>
          <w:tcPr>
            <w:tcW w:w="2451" w:type="dxa"/>
          </w:tcPr>
          <w:p>
            <w:pPr>
              <w:pStyle w:val="TableParagraph"/>
              <w:ind w:left="114"/>
              <w:rPr>
                <w:sz w:val="22"/>
              </w:rPr>
            </w:pPr>
            <w:r>
              <w:rPr>
                <w:sz w:val="22"/>
              </w:rPr>
              <w:t># ??/??</w:t>
            </w:r>
          </w:p>
        </w:tc>
      </w:tr>
      <w:tr>
        <w:trPr>
          <w:trHeight w:val="385" w:hRule="atLeast"/>
        </w:trPr>
        <w:tc>
          <w:tcPr>
            <w:tcW w:w="960" w:type="dxa"/>
          </w:tcPr>
          <w:p>
            <w:pPr>
              <w:pStyle w:val="TableParagraph"/>
              <w:rPr>
                <w:sz w:val="22"/>
              </w:rPr>
            </w:pPr>
            <w:r>
              <w:rPr>
                <w:sz w:val="22"/>
              </w:rPr>
              <w:t>14</w:t>
            </w:r>
          </w:p>
        </w:tc>
        <w:tc>
          <w:tcPr>
            <w:tcW w:w="2451" w:type="dxa"/>
          </w:tcPr>
          <w:p>
            <w:pPr>
              <w:pStyle w:val="TableParagraph"/>
              <w:ind w:left="114"/>
              <w:rPr>
                <w:sz w:val="22"/>
              </w:rPr>
            </w:pPr>
            <w:r>
              <w:rPr>
                <w:sz w:val="22"/>
              </w:rPr>
              <w:t>mm-dd-yy</w:t>
            </w:r>
          </w:p>
        </w:tc>
      </w:tr>
      <w:tr>
        <w:trPr>
          <w:trHeight w:val="385" w:hRule="atLeast"/>
        </w:trPr>
        <w:tc>
          <w:tcPr>
            <w:tcW w:w="960" w:type="dxa"/>
          </w:tcPr>
          <w:p>
            <w:pPr>
              <w:pStyle w:val="TableParagraph"/>
              <w:rPr>
                <w:sz w:val="22"/>
              </w:rPr>
            </w:pPr>
            <w:r>
              <w:rPr>
                <w:sz w:val="22"/>
              </w:rPr>
              <w:t>15</w:t>
            </w:r>
          </w:p>
        </w:tc>
        <w:tc>
          <w:tcPr>
            <w:tcW w:w="2451" w:type="dxa"/>
          </w:tcPr>
          <w:p>
            <w:pPr>
              <w:pStyle w:val="TableParagraph"/>
              <w:ind w:left="114"/>
              <w:rPr>
                <w:sz w:val="22"/>
              </w:rPr>
            </w:pPr>
            <w:r>
              <w:rPr>
                <w:sz w:val="22"/>
              </w:rPr>
              <w:t>d-mmm-yy</w:t>
            </w:r>
          </w:p>
        </w:tc>
      </w:tr>
      <w:tr>
        <w:trPr>
          <w:trHeight w:val="386" w:hRule="atLeast"/>
        </w:trPr>
        <w:tc>
          <w:tcPr>
            <w:tcW w:w="960" w:type="dxa"/>
          </w:tcPr>
          <w:p>
            <w:pPr>
              <w:pStyle w:val="TableParagraph"/>
              <w:rPr>
                <w:sz w:val="22"/>
              </w:rPr>
            </w:pPr>
            <w:r>
              <w:rPr>
                <w:sz w:val="22"/>
              </w:rPr>
              <w:t>16</w:t>
            </w:r>
          </w:p>
        </w:tc>
        <w:tc>
          <w:tcPr>
            <w:tcW w:w="2451" w:type="dxa"/>
          </w:tcPr>
          <w:p>
            <w:pPr>
              <w:pStyle w:val="TableParagraph"/>
              <w:ind w:left="114"/>
              <w:rPr>
                <w:sz w:val="22"/>
              </w:rPr>
            </w:pPr>
            <w:r>
              <w:rPr>
                <w:sz w:val="22"/>
              </w:rPr>
              <w:t>d-mmm</w:t>
            </w:r>
          </w:p>
        </w:tc>
      </w:tr>
      <w:tr>
        <w:trPr>
          <w:trHeight w:val="386" w:hRule="atLeast"/>
        </w:trPr>
        <w:tc>
          <w:tcPr>
            <w:tcW w:w="960" w:type="dxa"/>
          </w:tcPr>
          <w:p>
            <w:pPr>
              <w:pStyle w:val="TableParagraph"/>
              <w:rPr>
                <w:sz w:val="22"/>
              </w:rPr>
            </w:pPr>
            <w:r>
              <w:rPr>
                <w:sz w:val="22"/>
              </w:rPr>
              <w:t>17</w:t>
            </w:r>
          </w:p>
        </w:tc>
        <w:tc>
          <w:tcPr>
            <w:tcW w:w="2451" w:type="dxa"/>
          </w:tcPr>
          <w:p>
            <w:pPr>
              <w:pStyle w:val="TableParagraph"/>
              <w:ind w:left="114"/>
              <w:rPr>
                <w:sz w:val="22"/>
              </w:rPr>
            </w:pPr>
            <w:r>
              <w:rPr>
                <w:sz w:val="22"/>
              </w:rPr>
              <w:t>mmm-yy</w:t>
            </w:r>
          </w:p>
        </w:tc>
      </w:tr>
      <w:tr>
        <w:trPr>
          <w:trHeight w:val="386" w:hRule="atLeast"/>
        </w:trPr>
        <w:tc>
          <w:tcPr>
            <w:tcW w:w="960" w:type="dxa"/>
          </w:tcPr>
          <w:p>
            <w:pPr>
              <w:pStyle w:val="TableParagraph"/>
              <w:rPr>
                <w:sz w:val="22"/>
              </w:rPr>
            </w:pPr>
            <w:r>
              <w:rPr>
                <w:sz w:val="22"/>
              </w:rPr>
              <w:t>18</w:t>
            </w:r>
          </w:p>
        </w:tc>
        <w:tc>
          <w:tcPr>
            <w:tcW w:w="2451" w:type="dxa"/>
          </w:tcPr>
          <w:p>
            <w:pPr>
              <w:pStyle w:val="TableParagraph"/>
              <w:ind w:left="114"/>
              <w:rPr>
                <w:sz w:val="22"/>
              </w:rPr>
            </w:pPr>
            <w:r>
              <w:rPr>
                <w:sz w:val="22"/>
              </w:rPr>
              <w:t>h:mm AM/PM</w:t>
            </w:r>
          </w:p>
        </w:tc>
      </w:tr>
      <w:tr>
        <w:trPr>
          <w:trHeight w:val="386" w:hRule="atLeast"/>
        </w:trPr>
        <w:tc>
          <w:tcPr>
            <w:tcW w:w="960" w:type="dxa"/>
          </w:tcPr>
          <w:p>
            <w:pPr>
              <w:pStyle w:val="TableParagraph"/>
              <w:rPr>
                <w:sz w:val="22"/>
              </w:rPr>
            </w:pPr>
            <w:r>
              <w:rPr>
                <w:sz w:val="22"/>
              </w:rPr>
              <w:t>19</w:t>
            </w:r>
          </w:p>
        </w:tc>
        <w:tc>
          <w:tcPr>
            <w:tcW w:w="2451" w:type="dxa"/>
          </w:tcPr>
          <w:p>
            <w:pPr>
              <w:pStyle w:val="TableParagraph"/>
              <w:ind w:left="114"/>
              <w:rPr>
                <w:sz w:val="22"/>
              </w:rPr>
            </w:pPr>
            <w:r>
              <w:rPr>
                <w:sz w:val="22"/>
              </w:rPr>
              <w:t>h:mm:ss AM/PM</w:t>
            </w:r>
          </w:p>
        </w:tc>
      </w:tr>
      <w:tr>
        <w:trPr>
          <w:trHeight w:val="385" w:hRule="atLeast"/>
        </w:trPr>
        <w:tc>
          <w:tcPr>
            <w:tcW w:w="960" w:type="dxa"/>
          </w:tcPr>
          <w:p>
            <w:pPr>
              <w:pStyle w:val="TableParagraph"/>
              <w:rPr>
                <w:sz w:val="22"/>
              </w:rPr>
            </w:pPr>
            <w:r>
              <w:rPr>
                <w:sz w:val="22"/>
              </w:rPr>
              <w:t>20</w:t>
            </w:r>
          </w:p>
        </w:tc>
        <w:tc>
          <w:tcPr>
            <w:tcW w:w="2451" w:type="dxa"/>
          </w:tcPr>
          <w:p>
            <w:pPr>
              <w:pStyle w:val="TableParagraph"/>
              <w:ind w:left="114"/>
              <w:rPr>
                <w:sz w:val="22"/>
              </w:rPr>
            </w:pPr>
            <w:r>
              <w:rPr>
                <w:sz w:val="22"/>
              </w:rPr>
              <w:t>h:mm</w:t>
            </w:r>
          </w:p>
        </w:tc>
      </w:tr>
      <w:tr>
        <w:trPr>
          <w:trHeight w:val="386" w:hRule="atLeast"/>
        </w:trPr>
        <w:tc>
          <w:tcPr>
            <w:tcW w:w="960" w:type="dxa"/>
          </w:tcPr>
          <w:p>
            <w:pPr>
              <w:pStyle w:val="TableParagraph"/>
              <w:rPr>
                <w:sz w:val="22"/>
              </w:rPr>
            </w:pPr>
            <w:r>
              <w:rPr>
                <w:sz w:val="22"/>
              </w:rPr>
              <w:t>21</w:t>
            </w:r>
          </w:p>
        </w:tc>
        <w:tc>
          <w:tcPr>
            <w:tcW w:w="2451" w:type="dxa"/>
          </w:tcPr>
          <w:p>
            <w:pPr>
              <w:pStyle w:val="TableParagraph"/>
              <w:ind w:left="114"/>
              <w:rPr>
                <w:sz w:val="22"/>
              </w:rPr>
            </w:pPr>
            <w:r>
              <w:rPr>
                <w:sz w:val="22"/>
              </w:rPr>
              <w:t>h:mm:ss</w:t>
            </w:r>
          </w:p>
        </w:tc>
      </w:tr>
      <w:tr>
        <w:trPr>
          <w:trHeight w:val="385" w:hRule="atLeast"/>
        </w:trPr>
        <w:tc>
          <w:tcPr>
            <w:tcW w:w="960" w:type="dxa"/>
          </w:tcPr>
          <w:p>
            <w:pPr>
              <w:pStyle w:val="TableParagraph"/>
              <w:rPr>
                <w:sz w:val="22"/>
              </w:rPr>
            </w:pPr>
            <w:r>
              <w:rPr>
                <w:sz w:val="22"/>
              </w:rPr>
              <w:t>22</w:t>
            </w:r>
          </w:p>
        </w:tc>
        <w:tc>
          <w:tcPr>
            <w:tcW w:w="2451" w:type="dxa"/>
          </w:tcPr>
          <w:p>
            <w:pPr>
              <w:pStyle w:val="TableParagraph"/>
              <w:ind w:left="114"/>
              <w:rPr>
                <w:sz w:val="22"/>
              </w:rPr>
            </w:pPr>
            <w:r>
              <w:rPr>
                <w:sz w:val="22"/>
              </w:rPr>
              <w:t>m/d/yy h:mm</w:t>
            </w:r>
          </w:p>
        </w:tc>
      </w:tr>
      <w:tr>
        <w:trPr>
          <w:trHeight w:val="386" w:hRule="atLeast"/>
        </w:trPr>
        <w:tc>
          <w:tcPr>
            <w:tcW w:w="960" w:type="dxa"/>
          </w:tcPr>
          <w:p>
            <w:pPr>
              <w:pStyle w:val="TableParagraph"/>
              <w:rPr>
                <w:sz w:val="22"/>
              </w:rPr>
            </w:pPr>
            <w:r>
              <w:rPr>
                <w:sz w:val="22"/>
              </w:rPr>
              <w:t>37</w:t>
            </w:r>
          </w:p>
        </w:tc>
        <w:tc>
          <w:tcPr>
            <w:tcW w:w="2451" w:type="dxa"/>
          </w:tcPr>
          <w:p>
            <w:pPr>
              <w:pStyle w:val="TableParagraph"/>
              <w:ind w:left="114"/>
              <w:rPr>
                <w:sz w:val="22"/>
              </w:rPr>
            </w:pPr>
            <w:r>
              <w:rPr>
                <w:sz w:val="22"/>
              </w:rPr>
              <w:t>#,##0 ;(#,##0)</w:t>
            </w:r>
          </w:p>
        </w:tc>
      </w:tr>
      <w:tr>
        <w:trPr>
          <w:trHeight w:val="386" w:hRule="atLeast"/>
        </w:trPr>
        <w:tc>
          <w:tcPr>
            <w:tcW w:w="960" w:type="dxa"/>
          </w:tcPr>
          <w:p>
            <w:pPr>
              <w:pStyle w:val="TableParagraph"/>
              <w:rPr>
                <w:sz w:val="22"/>
              </w:rPr>
            </w:pPr>
            <w:r>
              <w:rPr>
                <w:sz w:val="22"/>
              </w:rPr>
              <w:t>38</w:t>
            </w:r>
          </w:p>
        </w:tc>
        <w:tc>
          <w:tcPr>
            <w:tcW w:w="2451" w:type="dxa"/>
          </w:tcPr>
          <w:p>
            <w:pPr>
              <w:pStyle w:val="TableParagraph"/>
              <w:ind w:left="114"/>
              <w:rPr>
                <w:sz w:val="22"/>
              </w:rPr>
            </w:pPr>
            <w:r>
              <w:rPr>
                <w:sz w:val="22"/>
              </w:rPr>
              <w:t>#,##0 ;[Red](#,##0)</w:t>
            </w:r>
          </w:p>
        </w:tc>
      </w:tr>
      <w:tr>
        <w:trPr>
          <w:trHeight w:val="385" w:hRule="atLeast"/>
        </w:trPr>
        <w:tc>
          <w:tcPr>
            <w:tcW w:w="960" w:type="dxa"/>
          </w:tcPr>
          <w:p>
            <w:pPr>
              <w:pStyle w:val="TableParagraph"/>
              <w:rPr>
                <w:sz w:val="22"/>
              </w:rPr>
            </w:pPr>
            <w:r>
              <w:rPr>
                <w:sz w:val="22"/>
              </w:rPr>
              <w:t>39</w:t>
            </w:r>
          </w:p>
        </w:tc>
        <w:tc>
          <w:tcPr>
            <w:tcW w:w="2451" w:type="dxa"/>
          </w:tcPr>
          <w:p>
            <w:pPr>
              <w:pStyle w:val="TableParagraph"/>
              <w:ind w:left="114"/>
              <w:rPr>
                <w:sz w:val="22"/>
              </w:rPr>
            </w:pPr>
            <w:r>
              <w:rPr>
                <w:sz w:val="22"/>
              </w:rPr>
              <w:t>#,##0.00;(#,##0.00)</w:t>
            </w:r>
          </w:p>
        </w:tc>
      </w:tr>
      <w:tr>
        <w:trPr>
          <w:trHeight w:val="386" w:hRule="atLeast"/>
        </w:trPr>
        <w:tc>
          <w:tcPr>
            <w:tcW w:w="960" w:type="dxa"/>
          </w:tcPr>
          <w:p>
            <w:pPr>
              <w:pStyle w:val="TableParagraph"/>
              <w:rPr>
                <w:sz w:val="22"/>
              </w:rPr>
            </w:pPr>
            <w:r>
              <w:rPr>
                <w:sz w:val="22"/>
              </w:rPr>
              <w:t>40</w:t>
            </w:r>
          </w:p>
        </w:tc>
        <w:tc>
          <w:tcPr>
            <w:tcW w:w="2451" w:type="dxa"/>
          </w:tcPr>
          <w:p>
            <w:pPr>
              <w:pStyle w:val="TableParagraph"/>
              <w:ind w:left="114"/>
              <w:rPr>
                <w:sz w:val="22"/>
              </w:rPr>
            </w:pPr>
            <w:r>
              <w:rPr>
                <w:sz w:val="22"/>
              </w:rPr>
              <w:t>#,##0.00;[Red](#,##0.00)</w:t>
            </w:r>
          </w:p>
        </w:tc>
      </w:tr>
      <w:tr>
        <w:trPr>
          <w:trHeight w:val="385" w:hRule="atLeast"/>
        </w:trPr>
        <w:tc>
          <w:tcPr>
            <w:tcW w:w="960" w:type="dxa"/>
          </w:tcPr>
          <w:p>
            <w:pPr>
              <w:pStyle w:val="TableParagraph"/>
              <w:rPr>
                <w:sz w:val="22"/>
              </w:rPr>
            </w:pPr>
            <w:r>
              <w:rPr>
                <w:sz w:val="22"/>
              </w:rPr>
              <w:t>45</w:t>
            </w:r>
          </w:p>
        </w:tc>
        <w:tc>
          <w:tcPr>
            <w:tcW w:w="2451" w:type="dxa"/>
          </w:tcPr>
          <w:p>
            <w:pPr>
              <w:pStyle w:val="TableParagraph"/>
              <w:ind w:left="114"/>
              <w:rPr>
                <w:sz w:val="22"/>
              </w:rPr>
            </w:pPr>
            <w:r>
              <w:rPr>
                <w:sz w:val="22"/>
              </w:rPr>
              <w:t>mm:ss</w:t>
            </w:r>
          </w:p>
        </w:tc>
      </w:tr>
      <w:tr>
        <w:trPr>
          <w:trHeight w:val="386" w:hRule="atLeast"/>
        </w:trPr>
        <w:tc>
          <w:tcPr>
            <w:tcW w:w="960" w:type="dxa"/>
          </w:tcPr>
          <w:p>
            <w:pPr>
              <w:pStyle w:val="TableParagraph"/>
              <w:rPr>
                <w:sz w:val="22"/>
              </w:rPr>
            </w:pPr>
            <w:r>
              <w:rPr>
                <w:sz w:val="22"/>
              </w:rPr>
              <w:t>46</w:t>
            </w:r>
          </w:p>
        </w:tc>
        <w:tc>
          <w:tcPr>
            <w:tcW w:w="2451" w:type="dxa"/>
          </w:tcPr>
          <w:p>
            <w:pPr>
              <w:pStyle w:val="TableParagraph"/>
              <w:ind w:left="114"/>
              <w:rPr>
                <w:sz w:val="22"/>
              </w:rPr>
            </w:pPr>
            <w:r>
              <w:rPr>
                <w:sz w:val="22"/>
              </w:rPr>
              <w:t>[h]:mm:ss</w:t>
            </w:r>
          </w:p>
        </w:tc>
      </w:tr>
      <w:tr>
        <w:trPr>
          <w:trHeight w:val="386" w:hRule="atLeast"/>
        </w:trPr>
        <w:tc>
          <w:tcPr>
            <w:tcW w:w="960" w:type="dxa"/>
          </w:tcPr>
          <w:p>
            <w:pPr>
              <w:pStyle w:val="TableParagraph"/>
              <w:rPr>
                <w:sz w:val="22"/>
              </w:rPr>
            </w:pPr>
            <w:r>
              <w:rPr>
                <w:sz w:val="22"/>
              </w:rPr>
              <w:t>47</w:t>
            </w:r>
          </w:p>
        </w:tc>
        <w:tc>
          <w:tcPr>
            <w:tcW w:w="2451" w:type="dxa"/>
          </w:tcPr>
          <w:p>
            <w:pPr>
              <w:pStyle w:val="TableParagraph"/>
              <w:ind w:left="114"/>
              <w:rPr>
                <w:sz w:val="22"/>
              </w:rPr>
            </w:pPr>
            <w:r>
              <w:rPr>
                <w:sz w:val="22"/>
              </w:rPr>
              <w:t>mmss.0</w:t>
            </w:r>
          </w:p>
        </w:tc>
      </w:tr>
      <w:tr>
        <w:trPr>
          <w:trHeight w:val="386" w:hRule="atLeast"/>
        </w:trPr>
        <w:tc>
          <w:tcPr>
            <w:tcW w:w="960" w:type="dxa"/>
          </w:tcPr>
          <w:p>
            <w:pPr>
              <w:pStyle w:val="TableParagraph"/>
              <w:rPr>
                <w:sz w:val="22"/>
              </w:rPr>
            </w:pPr>
            <w:r>
              <w:rPr>
                <w:sz w:val="22"/>
              </w:rPr>
              <w:t>48</w:t>
            </w:r>
          </w:p>
        </w:tc>
        <w:tc>
          <w:tcPr>
            <w:tcW w:w="2451" w:type="dxa"/>
          </w:tcPr>
          <w:p>
            <w:pPr>
              <w:pStyle w:val="TableParagraph"/>
              <w:ind w:left="114"/>
              <w:rPr>
                <w:sz w:val="22"/>
              </w:rPr>
            </w:pPr>
            <w:r>
              <w:rPr>
                <w:sz w:val="22"/>
              </w:rPr>
              <w:t>##0.0E+0</w:t>
            </w:r>
          </w:p>
        </w:tc>
      </w:tr>
      <w:tr>
        <w:trPr>
          <w:trHeight w:val="385" w:hRule="atLeast"/>
        </w:trPr>
        <w:tc>
          <w:tcPr>
            <w:tcW w:w="960" w:type="dxa"/>
          </w:tcPr>
          <w:p>
            <w:pPr>
              <w:pStyle w:val="TableParagraph"/>
              <w:rPr>
                <w:sz w:val="22"/>
              </w:rPr>
            </w:pPr>
            <w:r>
              <w:rPr>
                <w:sz w:val="22"/>
              </w:rPr>
              <w:t>49</w:t>
            </w:r>
          </w:p>
        </w:tc>
        <w:tc>
          <w:tcPr>
            <w:tcW w:w="2451" w:type="dxa"/>
          </w:tcPr>
          <w:p>
            <w:pPr>
              <w:pStyle w:val="TableParagraph"/>
              <w:ind w:left="114"/>
              <w:rPr>
                <w:sz w:val="22"/>
              </w:rPr>
            </w:pPr>
            <w:r>
              <w:rPr>
                <w:w w:val="100"/>
                <w:sz w:val="22"/>
              </w:rPr>
              <w:t>@</w:t>
            </w:r>
          </w:p>
        </w:tc>
      </w:tr>
    </w:tbl>
    <w:p>
      <w:pPr>
        <w:pStyle w:val="BodyText"/>
        <w:rPr>
          <w:b/>
          <w:sz w:val="20"/>
        </w:rPr>
      </w:pPr>
    </w:p>
    <w:p>
      <w:pPr>
        <w:pStyle w:val="BodyText"/>
        <w:rPr>
          <w:b/>
          <w:sz w:val="17"/>
        </w:rPr>
      </w:pPr>
    </w:p>
    <w:p>
      <w:pPr>
        <w:spacing w:before="56"/>
        <w:ind w:left="220" w:right="0" w:firstLine="0"/>
        <w:jc w:val="left"/>
        <w:rPr>
          <w:b/>
          <w:sz w:val="22"/>
        </w:rPr>
      </w:pPr>
      <w:r>
        <w:rPr>
          <w:b/>
          <w:sz w:val="22"/>
        </w:rPr>
        <w:t>"General" Format</w:t>
      </w:r>
    </w:p>
    <w:p>
      <w:pPr>
        <w:pStyle w:val="BodyText"/>
        <w:spacing w:before="8"/>
        <w:rPr>
          <w:b/>
          <w:sz w:val="19"/>
        </w:rPr>
      </w:pPr>
    </w:p>
    <w:p>
      <w:pPr>
        <w:pStyle w:val="BodyText"/>
        <w:ind w:left="220"/>
      </w:pPr>
      <w:r>
        <w:rPr/>
        <w:t>Some additional comments about the "General" number format are appropriate.</w:t>
      </w:r>
    </w:p>
    <w:p>
      <w:pPr>
        <w:pStyle w:val="BodyText"/>
        <w:spacing w:before="6"/>
        <w:rPr>
          <w:sz w:val="19"/>
        </w:rPr>
      </w:pPr>
    </w:p>
    <w:p>
      <w:pPr>
        <w:pStyle w:val="BodyText"/>
        <w:spacing w:line="278" w:lineRule="auto"/>
        <w:ind w:left="220" w:right="648"/>
      </w:pPr>
      <w:r>
        <w:rPr/>
        <w:t>The primary goal when a cell is using "General" formatting is to render the cell content without user-specified guidance to the best ability of the application.</w:t>
      </w:r>
    </w:p>
    <w:p>
      <w:pPr>
        <w:pStyle w:val="BodyText"/>
        <w:spacing w:before="3"/>
        <w:rPr>
          <w:sz w:val="16"/>
        </w:rPr>
      </w:pPr>
    </w:p>
    <w:p>
      <w:pPr>
        <w:spacing w:before="0"/>
        <w:ind w:left="220" w:right="0" w:firstLine="0"/>
        <w:jc w:val="left"/>
        <w:rPr>
          <w:i/>
          <w:sz w:val="22"/>
        </w:rPr>
      </w:pPr>
      <w:r>
        <w:rPr>
          <w:i/>
          <w:sz w:val="22"/>
        </w:rPr>
        <w:t>Alignment</w:t>
      </w:r>
    </w:p>
    <w:p>
      <w:pPr>
        <w:pStyle w:val="BodyText"/>
        <w:spacing w:before="9"/>
        <w:rPr>
          <w:i/>
          <w:sz w:val="19"/>
        </w:rPr>
      </w:pPr>
    </w:p>
    <w:p>
      <w:pPr>
        <w:pStyle w:val="BodyText"/>
        <w:ind w:left="220"/>
      </w:pPr>
      <w:r>
        <w:rPr/>
        <w:t>(Specified for Left-to-Right mode)</w:t>
      </w:r>
    </w:p>
    <w:p>
      <w:pPr>
        <w:pStyle w:val="BodyText"/>
        <w:spacing w:before="6"/>
        <w:rPr>
          <w:sz w:val="19"/>
        </w:rPr>
      </w:pPr>
    </w:p>
    <w:p>
      <w:pPr>
        <w:pStyle w:val="ListParagraph"/>
        <w:numPr>
          <w:ilvl w:val="3"/>
          <w:numId w:val="17"/>
        </w:numPr>
        <w:tabs>
          <w:tab w:pos="1300" w:val="left" w:leader="none"/>
          <w:tab w:pos="1301" w:val="left" w:leader="none"/>
        </w:tabs>
        <w:spacing w:line="240" w:lineRule="auto" w:before="0" w:after="0"/>
        <w:ind w:left="1300" w:right="0" w:hanging="361"/>
        <w:jc w:val="left"/>
        <w:rPr>
          <w:sz w:val="22"/>
        </w:rPr>
      </w:pPr>
      <w:r>
        <w:rPr>
          <w:sz w:val="22"/>
        </w:rPr>
        <w:t>Strings: left</w:t>
      </w:r>
      <w:r>
        <w:rPr>
          <w:spacing w:val="-3"/>
          <w:sz w:val="22"/>
        </w:rPr>
        <w:t> </w:t>
      </w:r>
      <w:r>
        <w:rPr>
          <w:sz w:val="22"/>
        </w:rPr>
        <w:t>aligned</w:t>
      </w:r>
    </w:p>
    <w:p>
      <w:pPr>
        <w:pStyle w:val="ListParagraph"/>
        <w:numPr>
          <w:ilvl w:val="3"/>
          <w:numId w:val="17"/>
        </w:numPr>
        <w:tabs>
          <w:tab w:pos="1300" w:val="left" w:leader="none"/>
          <w:tab w:pos="1301" w:val="left" w:leader="none"/>
        </w:tabs>
        <w:spacing w:line="240" w:lineRule="auto" w:before="39" w:after="0"/>
        <w:ind w:left="1300" w:right="0" w:hanging="361"/>
        <w:jc w:val="left"/>
        <w:rPr>
          <w:sz w:val="22"/>
        </w:rPr>
      </w:pPr>
      <w:r>
        <w:rPr>
          <w:sz w:val="22"/>
        </w:rPr>
        <w:t>Boolean/error values:</w:t>
      </w:r>
      <w:r>
        <w:rPr>
          <w:spacing w:val="-4"/>
          <w:sz w:val="22"/>
        </w:rPr>
        <w:t> </w:t>
      </w:r>
      <w:r>
        <w:rPr>
          <w:sz w:val="22"/>
        </w:rPr>
        <w:t>centered</w:t>
      </w:r>
    </w:p>
    <w:p>
      <w:pPr>
        <w:spacing w:after="0" w:line="240" w:lineRule="auto"/>
        <w:jc w:val="left"/>
        <w:rPr>
          <w:sz w:val="22"/>
        </w:rPr>
        <w:sectPr>
          <w:pgSz w:w="12240" w:h="15840"/>
          <w:pgMar w:header="763" w:footer="746" w:top="1340" w:bottom="940" w:left="860" w:right="700"/>
        </w:sectPr>
      </w:pPr>
    </w:p>
    <w:p>
      <w:pPr>
        <w:pStyle w:val="ListParagraph"/>
        <w:numPr>
          <w:ilvl w:val="3"/>
          <w:numId w:val="17"/>
        </w:numPr>
        <w:tabs>
          <w:tab w:pos="1300" w:val="left" w:leader="none"/>
          <w:tab w:pos="1301" w:val="left" w:leader="none"/>
        </w:tabs>
        <w:spacing w:line="240" w:lineRule="auto" w:before="91" w:after="0"/>
        <w:ind w:left="1300" w:right="0" w:hanging="361"/>
        <w:jc w:val="left"/>
        <w:rPr>
          <w:sz w:val="22"/>
        </w:rPr>
      </w:pPr>
      <w:r>
        <w:rPr>
          <w:sz w:val="22"/>
        </w:rPr>
        <w:t>Numbers: right</w:t>
      </w:r>
      <w:r>
        <w:rPr>
          <w:spacing w:val="-3"/>
          <w:sz w:val="22"/>
        </w:rPr>
        <w:t> </w:t>
      </w:r>
      <w:r>
        <w:rPr>
          <w:sz w:val="22"/>
        </w:rPr>
        <w:t>aligned</w:t>
      </w:r>
    </w:p>
    <w:p>
      <w:pPr>
        <w:pStyle w:val="ListParagraph"/>
        <w:numPr>
          <w:ilvl w:val="3"/>
          <w:numId w:val="17"/>
        </w:numPr>
        <w:tabs>
          <w:tab w:pos="1300" w:val="left" w:leader="none"/>
          <w:tab w:pos="1301" w:val="left" w:leader="none"/>
        </w:tabs>
        <w:spacing w:line="240" w:lineRule="auto" w:before="41" w:after="0"/>
        <w:ind w:left="1300" w:right="0" w:hanging="361"/>
        <w:jc w:val="left"/>
        <w:rPr>
          <w:sz w:val="22"/>
        </w:rPr>
      </w:pPr>
      <w:r>
        <w:rPr>
          <w:sz w:val="22"/>
        </w:rPr>
        <w:t>Dates: do not follow the "General" format, instead automatically convert to date</w:t>
      </w:r>
      <w:r>
        <w:rPr>
          <w:spacing w:val="-7"/>
          <w:sz w:val="22"/>
        </w:rPr>
        <w:t> </w:t>
      </w:r>
      <w:r>
        <w:rPr>
          <w:sz w:val="22"/>
        </w:rPr>
        <w:t>formatting.</w:t>
      </w:r>
    </w:p>
    <w:p>
      <w:pPr>
        <w:spacing w:before="240"/>
        <w:ind w:left="220" w:right="0" w:firstLine="0"/>
        <w:jc w:val="left"/>
        <w:rPr>
          <w:i/>
          <w:sz w:val="22"/>
        </w:rPr>
      </w:pPr>
      <w:r>
        <w:rPr>
          <w:i/>
          <w:sz w:val="22"/>
        </w:rPr>
        <w:t>Numbers</w:t>
      </w:r>
    </w:p>
    <w:p>
      <w:pPr>
        <w:pStyle w:val="BodyText"/>
        <w:spacing w:before="6"/>
        <w:rPr>
          <w:i/>
          <w:sz w:val="19"/>
        </w:rPr>
      </w:pPr>
    </w:p>
    <w:p>
      <w:pPr>
        <w:pStyle w:val="BodyText"/>
        <w:spacing w:line="276" w:lineRule="auto"/>
        <w:ind w:left="220" w:right="481"/>
      </w:pPr>
      <w:r>
        <w:rPr/>
        <w:t>The application shall attempt to display the full number up to 11 digits (inc. decimal point). If the number is too large, the application shall attempt to show exponential format. If the number has too many significant digits, the display shall be truncated. The optimal method of display is based on the available cell width. If the number cannot be displayed using any of these formats in the available width, the application shall show "#" across the width of the cell.</w:t>
      </w:r>
    </w:p>
    <w:p>
      <w:pPr>
        <w:pStyle w:val="BodyText"/>
        <w:spacing w:before="8"/>
        <w:rPr>
          <w:sz w:val="16"/>
        </w:rPr>
      </w:pPr>
    </w:p>
    <w:p>
      <w:pPr>
        <w:pStyle w:val="BodyText"/>
        <w:ind w:left="220"/>
      </w:pPr>
      <w:r>
        <w:rPr/>
        <w:t>Conditions for switching to exponential format:</w:t>
      </w:r>
    </w:p>
    <w:p>
      <w:pPr>
        <w:pStyle w:val="BodyText"/>
        <w:spacing w:before="6"/>
        <w:rPr>
          <w:sz w:val="19"/>
        </w:rPr>
      </w:pPr>
    </w:p>
    <w:p>
      <w:pPr>
        <w:pStyle w:val="ListParagraph"/>
        <w:numPr>
          <w:ilvl w:val="0"/>
          <w:numId w:val="41"/>
        </w:numPr>
        <w:tabs>
          <w:tab w:pos="990" w:val="left" w:leader="none"/>
          <w:tab w:pos="991" w:val="left" w:leader="none"/>
        </w:tabs>
        <w:spacing w:line="240" w:lineRule="auto" w:before="1" w:after="0"/>
        <w:ind w:left="990" w:right="0" w:hanging="411"/>
        <w:jc w:val="left"/>
        <w:rPr>
          <w:sz w:val="22"/>
        </w:rPr>
      </w:pPr>
      <w:r>
        <w:rPr>
          <w:sz w:val="22"/>
        </w:rPr>
        <w:t>The cell value shall have at least five digits for</w:t>
      </w:r>
      <w:r>
        <w:rPr>
          <w:spacing w:val="-9"/>
          <w:sz w:val="22"/>
        </w:rPr>
        <w:t> </w:t>
      </w:r>
      <w:r>
        <w:rPr>
          <w:sz w:val="22"/>
        </w:rPr>
        <w:t>xE-xx</w:t>
      </w:r>
    </w:p>
    <w:p>
      <w:pPr>
        <w:pStyle w:val="ListParagraph"/>
        <w:numPr>
          <w:ilvl w:val="0"/>
          <w:numId w:val="41"/>
        </w:numPr>
        <w:tabs>
          <w:tab w:pos="941" w:val="left" w:leader="none"/>
        </w:tabs>
        <w:spacing w:line="276" w:lineRule="auto" w:before="41" w:after="0"/>
        <w:ind w:left="940" w:right="774" w:hanging="360"/>
        <w:jc w:val="left"/>
        <w:rPr>
          <w:sz w:val="22"/>
        </w:rPr>
      </w:pPr>
      <w:r>
        <w:rPr>
          <w:sz w:val="22"/>
        </w:rPr>
        <w:t>If the exponent is bigger than the size allowed, a floating point number cannot fit, so try exponential notation.</w:t>
      </w:r>
    </w:p>
    <w:p>
      <w:pPr>
        <w:pStyle w:val="ListParagraph"/>
        <w:numPr>
          <w:ilvl w:val="0"/>
          <w:numId w:val="41"/>
        </w:numPr>
        <w:tabs>
          <w:tab w:pos="941" w:val="left" w:leader="none"/>
        </w:tabs>
        <w:spacing w:line="276" w:lineRule="auto" w:before="0" w:after="0"/>
        <w:ind w:left="940" w:right="657" w:hanging="360"/>
        <w:jc w:val="left"/>
        <w:rPr>
          <w:sz w:val="22"/>
        </w:rPr>
      </w:pPr>
      <w:r>
        <w:rPr>
          <w:sz w:val="22"/>
        </w:rPr>
        <w:t>Similarly, for negative exponents, check if there is space for even one (non-zero) digit in floating point format.</w:t>
      </w:r>
    </w:p>
    <w:p>
      <w:pPr>
        <w:pStyle w:val="ListParagraph"/>
        <w:numPr>
          <w:ilvl w:val="0"/>
          <w:numId w:val="41"/>
        </w:numPr>
        <w:tabs>
          <w:tab w:pos="941" w:val="left" w:leader="none"/>
        </w:tabs>
        <w:spacing w:line="276" w:lineRule="auto" w:before="0" w:after="0"/>
        <w:ind w:left="940" w:right="410" w:hanging="360"/>
        <w:jc w:val="left"/>
        <w:rPr>
          <w:sz w:val="22"/>
        </w:rPr>
      </w:pPr>
      <w:r>
        <w:rPr>
          <w:sz w:val="22"/>
        </w:rPr>
        <w:t>Finally, if there isn't room for all of the significant digits in floating point format (for a negative exponent), exponential format shall display more digits if the exponent is less than -3. (The 3 is because E-xx takes 4 characters, and the leading 0 in floating point takes only 1 character. Thus, for an exponent less than -3, there is more than 3 additional leading 0's, more than enough to compensate for the size of the</w:t>
      </w:r>
      <w:r>
        <w:rPr>
          <w:spacing w:val="-1"/>
          <w:sz w:val="22"/>
        </w:rPr>
        <w:t> </w:t>
      </w:r>
      <w:r>
        <w:rPr>
          <w:sz w:val="22"/>
        </w:rPr>
        <w:t>E-xx.)</w:t>
      </w:r>
    </w:p>
    <w:p>
      <w:pPr>
        <w:pStyle w:val="BodyText"/>
        <w:spacing w:before="5"/>
        <w:rPr>
          <w:sz w:val="16"/>
        </w:rPr>
      </w:pPr>
    </w:p>
    <w:p>
      <w:pPr>
        <w:pStyle w:val="BodyText"/>
        <w:spacing w:before="1"/>
        <w:ind w:left="220"/>
      </w:pPr>
      <w:r>
        <w:rPr/>
        <w:t>Floating point rule:</w:t>
      </w:r>
    </w:p>
    <w:p>
      <w:pPr>
        <w:pStyle w:val="BodyText"/>
        <w:spacing w:before="6"/>
        <w:rPr>
          <w:sz w:val="19"/>
        </w:rPr>
      </w:pPr>
    </w:p>
    <w:p>
      <w:pPr>
        <w:pStyle w:val="BodyText"/>
        <w:spacing w:line="278" w:lineRule="auto"/>
        <w:ind w:left="220" w:right="523"/>
      </w:pPr>
      <w:r>
        <w:rPr/>
        <w:t>For general formatting in cells, max overall length for cell display is 11, not including negative sign, but includes leading zeros and decimal separator.</w:t>
      </w:r>
    </w:p>
    <w:p>
      <w:pPr>
        <w:pStyle w:val="Heading4"/>
        <w:spacing w:before="198"/>
      </w:pPr>
      <w:r>
        <w:rPr/>
        <w:t>zh-tw and zh-cn</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1"/>
        <w:gridCol w:w="3159"/>
        <w:gridCol w:w="3041"/>
      </w:tblGrid>
      <w:tr>
        <w:trPr>
          <w:trHeight w:val="386" w:hRule="atLeast"/>
        </w:trPr>
        <w:tc>
          <w:tcPr>
            <w:tcW w:w="461" w:type="dxa"/>
            <w:shd w:val="clear" w:color="auto" w:fill="C0C0C0"/>
          </w:tcPr>
          <w:p>
            <w:pPr>
              <w:pStyle w:val="TableParagraph"/>
              <w:ind w:left="96" w:right="84"/>
              <w:jc w:val="center"/>
              <w:rPr>
                <w:b/>
                <w:sz w:val="22"/>
              </w:rPr>
            </w:pPr>
            <w:r>
              <w:rPr>
                <w:b/>
                <w:sz w:val="22"/>
              </w:rPr>
              <w:t>ID</w:t>
            </w:r>
          </w:p>
        </w:tc>
        <w:tc>
          <w:tcPr>
            <w:tcW w:w="3159" w:type="dxa"/>
            <w:shd w:val="clear" w:color="auto" w:fill="C0C0C0"/>
          </w:tcPr>
          <w:p>
            <w:pPr>
              <w:pStyle w:val="TableParagraph"/>
              <w:ind w:left="750"/>
              <w:rPr>
                <w:b/>
                <w:sz w:val="22"/>
              </w:rPr>
            </w:pPr>
            <w:r>
              <w:rPr>
                <w:b/>
                <w:sz w:val="22"/>
              </w:rPr>
              <w:t>zh-tw formatCode</w:t>
            </w:r>
          </w:p>
        </w:tc>
        <w:tc>
          <w:tcPr>
            <w:tcW w:w="3041" w:type="dxa"/>
            <w:shd w:val="clear" w:color="auto" w:fill="C0C0C0"/>
          </w:tcPr>
          <w:p>
            <w:pPr>
              <w:pStyle w:val="TableParagraph"/>
              <w:ind w:left="705"/>
              <w:rPr>
                <w:b/>
                <w:sz w:val="22"/>
              </w:rPr>
            </w:pPr>
            <w:r>
              <w:rPr>
                <w:b/>
                <w:sz w:val="22"/>
              </w:rPr>
              <w:t>zh-cn formatCode</w:t>
            </w:r>
          </w:p>
        </w:tc>
      </w:tr>
      <w:tr>
        <w:trPr>
          <w:trHeight w:val="385" w:hRule="atLeast"/>
        </w:trPr>
        <w:tc>
          <w:tcPr>
            <w:tcW w:w="461" w:type="dxa"/>
          </w:tcPr>
          <w:p>
            <w:pPr>
              <w:pStyle w:val="TableParagraph"/>
              <w:ind w:left="96" w:right="92"/>
              <w:jc w:val="center"/>
              <w:rPr>
                <w:sz w:val="22"/>
              </w:rPr>
            </w:pPr>
            <w:r>
              <w:rPr>
                <w:sz w:val="22"/>
              </w:rPr>
              <w:t>27</w:t>
            </w:r>
          </w:p>
        </w:tc>
        <w:tc>
          <w:tcPr>
            <w:tcW w:w="3159" w:type="dxa"/>
          </w:tcPr>
          <w:p>
            <w:pPr>
              <w:pStyle w:val="TableParagraph"/>
              <w:ind w:left="114"/>
              <w:rPr>
                <w:sz w:val="22"/>
              </w:rPr>
            </w:pPr>
            <w:r>
              <w:rPr>
                <w:sz w:val="22"/>
              </w:rPr>
              <w:t>[$-404]e/m/d</w:t>
            </w:r>
          </w:p>
        </w:tc>
        <w:tc>
          <w:tcPr>
            <w:tcW w:w="3041"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r>
      <w:tr>
        <w:trPr>
          <w:trHeight w:val="385" w:hRule="atLeast"/>
        </w:trPr>
        <w:tc>
          <w:tcPr>
            <w:tcW w:w="461" w:type="dxa"/>
          </w:tcPr>
          <w:p>
            <w:pPr>
              <w:pStyle w:val="TableParagraph"/>
              <w:ind w:left="96" w:right="92"/>
              <w:jc w:val="center"/>
              <w:rPr>
                <w:sz w:val="22"/>
              </w:rPr>
            </w:pPr>
            <w:r>
              <w:rPr>
                <w:sz w:val="22"/>
              </w:rPr>
              <w:t>28</w:t>
            </w:r>
          </w:p>
        </w:tc>
        <w:tc>
          <w:tcPr>
            <w:tcW w:w="3159" w:type="dxa"/>
          </w:tcPr>
          <w:p>
            <w:pPr>
              <w:pStyle w:val="TableParagraph"/>
              <w:spacing w:before="41"/>
              <w:ind w:left="114"/>
              <w:rPr>
                <w:sz w:val="22"/>
              </w:rPr>
            </w:pPr>
            <w:r>
              <w:rPr>
                <w:sz w:val="22"/>
              </w:rPr>
              <w:t>[$-404]e"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41"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r>
      <w:tr>
        <w:trPr>
          <w:trHeight w:val="385" w:hRule="atLeast"/>
        </w:trPr>
        <w:tc>
          <w:tcPr>
            <w:tcW w:w="461" w:type="dxa"/>
          </w:tcPr>
          <w:p>
            <w:pPr>
              <w:pStyle w:val="TableParagraph"/>
              <w:ind w:left="96" w:right="92"/>
              <w:jc w:val="center"/>
              <w:rPr>
                <w:sz w:val="22"/>
              </w:rPr>
            </w:pPr>
            <w:r>
              <w:rPr>
                <w:sz w:val="22"/>
              </w:rPr>
              <w:t>29</w:t>
            </w:r>
          </w:p>
        </w:tc>
        <w:tc>
          <w:tcPr>
            <w:tcW w:w="3159" w:type="dxa"/>
          </w:tcPr>
          <w:p>
            <w:pPr>
              <w:pStyle w:val="TableParagraph"/>
              <w:spacing w:before="41"/>
              <w:ind w:left="114"/>
              <w:rPr>
                <w:sz w:val="22"/>
              </w:rPr>
            </w:pPr>
            <w:r>
              <w:rPr>
                <w:sz w:val="22"/>
              </w:rPr>
              <w:t>[$-404]e"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41"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r>
      <w:tr>
        <w:trPr>
          <w:trHeight w:val="386" w:hRule="atLeast"/>
        </w:trPr>
        <w:tc>
          <w:tcPr>
            <w:tcW w:w="461" w:type="dxa"/>
          </w:tcPr>
          <w:p>
            <w:pPr>
              <w:pStyle w:val="TableParagraph"/>
              <w:ind w:left="96" w:right="92"/>
              <w:jc w:val="center"/>
              <w:rPr>
                <w:sz w:val="22"/>
              </w:rPr>
            </w:pPr>
            <w:r>
              <w:rPr>
                <w:sz w:val="22"/>
              </w:rPr>
              <w:t>30</w:t>
            </w:r>
          </w:p>
        </w:tc>
        <w:tc>
          <w:tcPr>
            <w:tcW w:w="3159" w:type="dxa"/>
          </w:tcPr>
          <w:p>
            <w:pPr>
              <w:pStyle w:val="TableParagraph"/>
              <w:ind w:left="114"/>
              <w:rPr>
                <w:sz w:val="22"/>
              </w:rPr>
            </w:pPr>
            <w:r>
              <w:rPr>
                <w:sz w:val="22"/>
              </w:rPr>
              <w:t>m/d/yy</w:t>
            </w:r>
          </w:p>
        </w:tc>
        <w:tc>
          <w:tcPr>
            <w:tcW w:w="3041" w:type="dxa"/>
          </w:tcPr>
          <w:p>
            <w:pPr>
              <w:pStyle w:val="TableParagraph"/>
              <w:ind w:left="114"/>
              <w:rPr>
                <w:sz w:val="22"/>
              </w:rPr>
            </w:pPr>
            <w:r>
              <w:rPr>
                <w:sz w:val="22"/>
              </w:rPr>
              <w:t>m-d-yy</w:t>
            </w:r>
          </w:p>
        </w:tc>
      </w:tr>
      <w:tr>
        <w:trPr>
          <w:trHeight w:val="386" w:hRule="atLeast"/>
        </w:trPr>
        <w:tc>
          <w:tcPr>
            <w:tcW w:w="461" w:type="dxa"/>
          </w:tcPr>
          <w:p>
            <w:pPr>
              <w:pStyle w:val="TableParagraph"/>
              <w:ind w:left="96" w:right="92"/>
              <w:jc w:val="center"/>
              <w:rPr>
                <w:sz w:val="22"/>
              </w:rPr>
            </w:pPr>
            <w:r>
              <w:rPr>
                <w:sz w:val="22"/>
              </w:rPr>
              <w:t>31</w:t>
            </w:r>
          </w:p>
        </w:tc>
        <w:tc>
          <w:tcPr>
            <w:tcW w:w="3159" w:type="dxa"/>
          </w:tcPr>
          <w:p>
            <w:pPr>
              <w:pStyle w:val="TableParagraph"/>
              <w:spacing w:before="42"/>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41" w:type="dxa"/>
          </w:tcPr>
          <w:p>
            <w:pPr>
              <w:pStyle w:val="TableParagraph"/>
              <w:spacing w:before="42"/>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r>
      <w:tr>
        <w:trPr>
          <w:trHeight w:val="385" w:hRule="atLeast"/>
        </w:trPr>
        <w:tc>
          <w:tcPr>
            <w:tcW w:w="461" w:type="dxa"/>
          </w:tcPr>
          <w:p>
            <w:pPr>
              <w:pStyle w:val="TableParagraph"/>
              <w:ind w:left="96" w:right="92"/>
              <w:jc w:val="center"/>
              <w:rPr>
                <w:sz w:val="22"/>
              </w:rPr>
            </w:pPr>
            <w:r>
              <w:rPr>
                <w:sz w:val="22"/>
              </w:rPr>
              <w:t>32</w:t>
            </w:r>
          </w:p>
        </w:tc>
        <w:tc>
          <w:tcPr>
            <w:tcW w:w="3159" w:type="dxa"/>
          </w:tcPr>
          <w:p>
            <w:pPr>
              <w:pStyle w:val="TableParagraph"/>
              <w:spacing w:before="41"/>
              <w:ind w:left="114"/>
              <w:rPr>
                <w:sz w:val="22"/>
              </w:rPr>
            </w:pPr>
            <w:r>
              <w:rPr>
                <w:sz w:val="22"/>
              </w:rPr>
              <w:t>hh"</w:t>
            </w:r>
            <w:r>
              <w:rPr>
                <w:rFonts w:ascii="SimSun" w:eastAsia="SimSun" w:hint="eastAsia"/>
                <w:sz w:val="22"/>
              </w:rPr>
              <w:t>時</w:t>
            </w:r>
            <w:r>
              <w:rPr>
                <w:sz w:val="22"/>
              </w:rPr>
              <w:t>"mm"</w:t>
            </w:r>
            <w:r>
              <w:rPr>
                <w:rFonts w:ascii="SimSun" w:eastAsia="SimSun" w:hint="eastAsia"/>
                <w:sz w:val="22"/>
              </w:rPr>
              <w:t>分</w:t>
            </w:r>
            <w:r>
              <w:rPr>
                <w:sz w:val="22"/>
              </w:rPr>
              <w:t>"</w:t>
            </w:r>
          </w:p>
        </w:tc>
        <w:tc>
          <w:tcPr>
            <w:tcW w:w="3041" w:type="dxa"/>
          </w:tcPr>
          <w:p>
            <w:pPr>
              <w:pStyle w:val="TableParagraph"/>
              <w:spacing w:before="41"/>
              <w:ind w:left="114"/>
              <w:rPr>
                <w:sz w:val="22"/>
              </w:rPr>
            </w:pPr>
            <w:r>
              <w:rPr>
                <w:sz w:val="22"/>
              </w:rPr>
              <w:t>h"</w:t>
            </w:r>
            <w:r>
              <w:rPr>
                <w:rFonts w:ascii="SimSun" w:eastAsia="SimSun" w:hint="eastAsia"/>
                <w:sz w:val="22"/>
              </w:rPr>
              <w:t>时</w:t>
            </w:r>
            <w:r>
              <w:rPr>
                <w:sz w:val="22"/>
              </w:rPr>
              <w:t>"mm"</w:t>
            </w:r>
            <w:r>
              <w:rPr>
                <w:rFonts w:ascii="SimSun" w:eastAsia="SimSun" w:hint="eastAsia"/>
                <w:sz w:val="22"/>
              </w:rPr>
              <w:t>分</w:t>
            </w:r>
            <w:r>
              <w:rPr>
                <w:sz w:val="22"/>
              </w:rPr>
              <w:t>"</w:t>
            </w:r>
          </w:p>
        </w:tc>
      </w:tr>
      <w:tr>
        <w:trPr>
          <w:trHeight w:val="386" w:hRule="atLeast"/>
        </w:trPr>
        <w:tc>
          <w:tcPr>
            <w:tcW w:w="461" w:type="dxa"/>
          </w:tcPr>
          <w:p>
            <w:pPr>
              <w:pStyle w:val="TableParagraph"/>
              <w:ind w:left="96" w:right="92"/>
              <w:jc w:val="center"/>
              <w:rPr>
                <w:sz w:val="22"/>
              </w:rPr>
            </w:pPr>
            <w:r>
              <w:rPr>
                <w:sz w:val="22"/>
              </w:rPr>
              <w:t>33</w:t>
            </w:r>
          </w:p>
        </w:tc>
        <w:tc>
          <w:tcPr>
            <w:tcW w:w="3159" w:type="dxa"/>
          </w:tcPr>
          <w:p>
            <w:pPr>
              <w:pStyle w:val="TableParagraph"/>
              <w:spacing w:before="41"/>
              <w:ind w:left="114"/>
              <w:rPr>
                <w:sz w:val="22"/>
              </w:rPr>
            </w:pPr>
            <w:r>
              <w:rPr>
                <w:sz w:val="22"/>
              </w:rPr>
              <w:t>hh"</w:t>
            </w:r>
            <w:r>
              <w:rPr>
                <w:rFonts w:ascii="SimSun" w:eastAsia="SimSun" w:hint="eastAsia"/>
                <w:sz w:val="22"/>
              </w:rPr>
              <w:t>時</w:t>
            </w:r>
            <w:r>
              <w:rPr>
                <w:sz w:val="22"/>
              </w:rPr>
              <w:t>"mm"</w:t>
            </w:r>
            <w:r>
              <w:rPr>
                <w:rFonts w:ascii="SimSun" w:eastAsia="SimSun" w:hint="eastAsia"/>
                <w:sz w:val="22"/>
              </w:rPr>
              <w:t>分</w:t>
            </w:r>
            <w:r>
              <w:rPr>
                <w:sz w:val="22"/>
              </w:rPr>
              <w:t>"ss"</w:t>
            </w:r>
            <w:r>
              <w:rPr>
                <w:rFonts w:ascii="SimSun" w:eastAsia="SimSun" w:hint="eastAsia"/>
                <w:sz w:val="22"/>
              </w:rPr>
              <w:t>秒</w:t>
            </w:r>
            <w:r>
              <w:rPr>
                <w:sz w:val="22"/>
              </w:rPr>
              <w:t>"</w:t>
            </w:r>
          </w:p>
        </w:tc>
        <w:tc>
          <w:tcPr>
            <w:tcW w:w="3041" w:type="dxa"/>
          </w:tcPr>
          <w:p>
            <w:pPr>
              <w:pStyle w:val="TableParagraph"/>
              <w:spacing w:before="41"/>
              <w:ind w:left="114"/>
              <w:rPr>
                <w:sz w:val="22"/>
              </w:rPr>
            </w:pPr>
            <w:r>
              <w:rPr>
                <w:sz w:val="22"/>
              </w:rPr>
              <w:t>h"</w:t>
            </w:r>
            <w:r>
              <w:rPr>
                <w:rFonts w:ascii="SimSun" w:eastAsia="SimSun" w:hint="eastAsia"/>
                <w:sz w:val="22"/>
              </w:rPr>
              <w:t>时</w:t>
            </w:r>
            <w:r>
              <w:rPr>
                <w:sz w:val="22"/>
              </w:rPr>
              <w:t>"mm"</w:t>
            </w:r>
            <w:r>
              <w:rPr>
                <w:rFonts w:ascii="SimSun" w:eastAsia="SimSun" w:hint="eastAsia"/>
                <w:sz w:val="22"/>
              </w:rPr>
              <w:t>分</w:t>
            </w:r>
            <w:r>
              <w:rPr>
                <w:sz w:val="22"/>
              </w:rPr>
              <w:t>"ss"</w:t>
            </w:r>
            <w:r>
              <w:rPr>
                <w:rFonts w:ascii="SimSun" w:eastAsia="SimSun" w:hint="eastAsia"/>
                <w:sz w:val="22"/>
              </w:rPr>
              <w:t>秒</w:t>
            </w:r>
            <w:r>
              <w:rPr>
                <w:sz w:val="22"/>
              </w:rPr>
              <w:t>"</w:t>
            </w:r>
          </w:p>
        </w:tc>
      </w:tr>
      <w:tr>
        <w:trPr>
          <w:trHeight w:val="386" w:hRule="atLeast"/>
        </w:trPr>
        <w:tc>
          <w:tcPr>
            <w:tcW w:w="461" w:type="dxa"/>
          </w:tcPr>
          <w:p>
            <w:pPr>
              <w:pStyle w:val="TableParagraph"/>
              <w:ind w:left="96" w:right="92"/>
              <w:jc w:val="center"/>
              <w:rPr>
                <w:sz w:val="22"/>
              </w:rPr>
            </w:pPr>
            <w:r>
              <w:rPr>
                <w:sz w:val="22"/>
              </w:rPr>
              <w:t>34</w:t>
            </w:r>
          </w:p>
        </w:tc>
        <w:tc>
          <w:tcPr>
            <w:tcW w:w="3159" w:type="dxa"/>
          </w:tcPr>
          <w:p>
            <w:pPr>
              <w:pStyle w:val="TableParagraph"/>
              <w:spacing w:before="41"/>
              <w:ind w:left="114"/>
              <w:rPr>
                <w:sz w:val="22"/>
              </w:rPr>
            </w:pPr>
            <w:r>
              <w:rPr>
                <w:rFonts w:ascii="SimSun" w:eastAsia="SimSun" w:hint="eastAsia"/>
                <w:sz w:val="22"/>
              </w:rPr>
              <w:t>上午</w:t>
            </w:r>
            <w:r>
              <w:rPr>
                <w:sz w:val="22"/>
              </w:rPr>
              <w:t>/</w:t>
            </w:r>
            <w:r>
              <w:rPr>
                <w:rFonts w:ascii="SimSun" w:eastAsia="SimSun" w:hint="eastAsia"/>
                <w:sz w:val="22"/>
              </w:rPr>
              <w:t>下午 </w:t>
            </w:r>
            <w:r>
              <w:rPr>
                <w:sz w:val="22"/>
              </w:rPr>
              <w:t>hh"</w:t>
            </w:r>
            <w:r>
              <w:rPr>
                <w:rFonts w:ascii="SimSun" w:eastAsia="SimSun" w:hint="eastAsia"/>
                <w:sz w:val="22"/>
              </w:rPr>
              <w:t>時</w:t>
            </w:r>
            <w:r>
              <w:rPr>
                <w:sz w:val="22"/>
              </w:rPr>
              <w:t>"mm"</w:t>
            </w:r>
            <w:r>
              <w:rPr>
                <w:rFonts w:ascii="SimSun" w:eastAsia="SimSun" w:hint="eastAsia"/>
                <w:sz w:val="22"/>
              </w:rPr>
              <w:t>分</w:t>
            </w:r>
            <w:r>
              <w:rPr>
                <w:sz w:val="22"/>
              </w:rPr>
              <w:t>"</w:t>
            </w:r>
          </w:p>
        </w:tc>
        <w:tc>
          <w:tcPr>
            <w:tcW w:w="3041" w:type="dxa"/>
          </w:tcPr>
          <w:p>
            <w:pPr>
              <w:pStyle w:val="TableParagraph"/>
              <w:spacing w:before="41"/>
              <w:ind w:left="114"/>
              <w:rPr>
                <w:sz w:val="22"/>
              </w:rPr>
            </w:pPr>
            <w:r>
              <w:rPr>
                <w:rFonts w:ascii="SimSun" w:eastAsia="SimSun" w:hint="eastAsia"/>
                <w:sz w:val="22"/>
              </w:rPr>
              <w:t>上午</w:t>
            </w:r>
            <w:r>
              <w:rPr>
                <w:sz w:val="22"/>
              </w:rPr>
              <w:t>/</w:t>
            </w:r>
            <w:r>
              <w:rPr>
                <w:rFonts w:ascii="SimSun" w:eastAsia="SimSun" w:hint="eastAsia"/>
                <w:sz w:val="22"/>
              </w:rPr>
              <w:t>下午 </w:t>
            </w:r>
            <w:r>
              <w:rPr>
                <w:sz w:val="22"/>
              </w:rPr>
              <w:t>h"</w:t>
            </w:r>
            <w:r>
              <w:rPr>
                <w:rFonts w:ascii="SimSun" w:eastAsia="SimSun" w:hint="eastAsia"/>
                <w:sz w:val="22"/>
              </w:rPr>
              <w:t>时</w:t>
            </w:r>
            <w:r>
              <w:rPr>
                <w:sz w:val="22"/>
              </w:rPr>
              <w:t>"mm"</w:t>
            </w:r>
            <w:r>
              <w:rPr>
                <w:rFonts w:ascii="SimSun" w:eastAsia="SimSun" w:hint="eastAsia"/>
                <w:sz w:val="22"/>
              </w:rPr>
              <w:t>分</w:t>
            </w:r>
            <w:r>
              <w:rPr>
                <w:sz w:val="22"/>
              </w:rPr>
              <w:t>"</w:t>
            </w:r>
          </w:p>
        </w:tc>
      </w:tr>
      <w:tr>
        <w:trPr>
          <w:trHeight w:val="640" w:hRule="atLeast"/>
        </w:trPr>
        <w:tc>
          <w:tcPr>
            <w:tcW w:w="461" w:type="dxa"/>
          </w:tcPr>
          <w:p>
            <w:pPr>
              <w:pStyle w:val="TableParagraph"/>
              <w:ind w:left="96" w:right="92"/>
              <w:jc w:val="center"/>
              <w:rPr>
                <w:sz w:val="22"/>
              </w:rPr>
            </w:pPr>
            <w:r>
              <w:rPr>
                <w:sz w:val="22"/>
              </w:rPr>
              <w:t>35</w:t>
            </w:r>
          </w:p>
        </w:tc>
        <w:tc>
          <w:tcPr>
            <w:tcW w:w="3159" w:type="dxa"/>
          </w:tcPr>
          <w:p>
            <w:pPr>
              <w:pStyle w:val="TableParagraph"/>
              <w:spacing w:line="242" w:lineRule="auto" w:before="41"/>
              <w:ind w:left="114" w:right="90"/>
              <w:rPr>
                <w:sz w:val="22"/>
              </w:rPr>
            </w:pPr>
            <w:r>
              <w:rPr>
                <w:rFonts w:ascii="SimSun" w:eastAsia="SimSun" w:hint="eastAsia"/>
                <w:sz w:val="22"/>
              </w:rPr>
              <w:t>上午</w:t>
            </w:r>
            <w:r>
              <w:rPr>
                <w:sz w:val="22"/>
              </w:rPr>
              <w:t>/</w:t>
            </w:r>
            <w:r>
              <w:rPr>
                <w:rFonts w:ascii="SimSun" w:eastAsia="SimSun" w:hint="eastAsia"/>
                <w:sz w:val="22"/>
              </w:rPr>
              <w:t>下午 </w:t>
            </w:r>
            <w:r>
              <w:rPr>
                <w:sz w:val="22"/>
              </w:rPr>
              <w:t>hh"</w:t>
            </w:r>
            <w:r>
              <w:rPr>
                <w:rFonts w:ascii="SimSun" w:eastAsia="SimSun" w:hint="eastAsia"/>
                <w:sz w:val="22"/>
              </w:rPr>
              <w:t>時</w:t>
            </w:r>
            <w:r>
              <w:rPr>
                <w:sz w:val="22"/>
              </w:rPr>
              <w:t>"mm"</w:t>
            </w:r>
            <w:r>
              <w:rPr>
                <w:rFonts w:ascii="SimSun" w:eastAsia="SimSun" w:hint="eastAsia"/>
                <w:sz w:val="22"/>
              </w:rPr>
              <w:t>分</w:t>
            </w:r>
            <w:r>
              <w:rPr>
                <w:sz w:val="22"/>
              </w:rPr>
              <w:t>"ss"</w:t>
            </w:r>
            <w:r>
              <w:rPr>
                <w:rFonts w:ascii="SimSun" w:eastAsia="SimSun" w:hint="eastAsia"/>
                <w:sz w:val="22"/>
              </w:rPr>
              <w:t>秒 </w:t>
            </w:r>
            <w:r>
              <w:rPr>
                <w:sz w:val="22"/>
              </w:rPr>
              <w:t>"</w:t>
            </w:r>
          </w:p>
        </w:tc>
        <w:tc>
          <w:tcPr>
            <w:tcW w:w="3041" w:type="dxa"/>
          </w:tcPr>
          <w:p>
            <w:pPr>
              <w:pStyle w:val="TableParagraph"/>
              <w:spacing w:line="242" w:lineRule="auto" w:before="41"/>
              <w:ind w:left="114" w:right="92"/>
              <w:rPr>
                <w:sz w:val="22"/>
              </w:rPr>
            </w:pPr>
            <w:r>
              <w:rPr>
                <w:rFonts w:ascii="SimSun" w:eastAsia="SimSun" w:hint="eastAsia"/>
                <w:sz w:val="22"/>
              </w:rPr>
              <w:t>上午</w:t>
            </w:r>
            <w:r>
              <w:rPr>
                <w:sz w:val="22"/>
              </w:rPr>
              <w:t>/</w:t>
            </w:r>
            <w:r>
              <w:rPr>
                <w:rFonts w:ascii="SimSun" w:eastAsia="SimSun" w:hint="eastAsia"/>
                <w:sz w:val="22"/>
              </w:rPr>
              <w:t>下午 </w:t>
            </w:r>
            <w:r>
              <w:rPr>
                <w:sz w:val="22"/>
              </w:rPr>
              <w:t>h"</w:t>
            </w:r>
            <w:r>
              <w:rPr>
                <w:rFonts w:ascii="SimSun" w:eastAsia="SimSun" w:hint="eastAsia"/>
                <w:sz w:val="22"/>
              </w:rPr>
              <w:t>时</w:t>
            </w:r>
            <w:r>
              <w:rPr>
                <w:sz w:val="22"/>
              </w:rPr>
              <w:t>"mm"</w:t>
            </w:r>
            <w:r>
              <w:rPr>
                <w:rFonts w:ascii="SimSun" w:eastAsia="SimSun" w:hint="eastAsia"/>
                <w:sz w:val="22"/>
              </w:rPr>
              <w:t>分</w:t>
            </w:r>
            <w:r>
              <w:rPr>
                <w:sz w:val="22"/>
              </w:rPr>
              <w:t>"ss"</w:t>
            </w:r>
            <w:r>
              <w:rPr>
                <w:rFonts w:ascii="SimSun" w:eastAsia="SimSun" w:hint="eastAsia"/>
                <w:sz w:val="22"/>
              </w:rPr>
              <w:t>秒 </w:t>
            </w:r>
            <w:r>
              <w:rPr>
                <w:sz w:val="22"/>
              </w:rPr>
              <w:t>"</w:t>
            </w:r>
          </w:p>
        </w:tc>
      </w:tr>
    </w:tbl>
    <w:p>
      <w:pPr>
        <w:spacing w:after="0" w:line="242" w:lineRule="auto"/>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1"/>
        <w:gridCol w:w="3159"/>
        <w:gridCol w:w="3041"/>
      </w:tblGrid>
      <w:tr>
        <w:trPr>
          <w:trHeight w:val="386" w:hRule="atLeast"/>
        </w:trPr>
        <w:tc>
          <w:tcPr>
            <w:tcW w:w="461" w:type="dxa"/>
            <w:shd w:val="clear" w:color="auto" w:fill="C0C0C0"/>
          </w:tcPr>
          <w:p>
            <w:pPr>
              <w:pStyle w:val="TableParagraph"/>
              <w:ind w:left="96" w:right="84"/>
              <w:jc w:val="center"/>
              <w:rPr>
                <w:b/>
                <w:sz w:val="22"/>
              </w:rPr>
            </w:pPr>
            <w:r>
              <w:rPr>
                <w:b/>
                <w:sz w:val="22"/>
              </w:rPr>
              <w:t>ID</w:t>
            </w:r>
          </w:p>
        </w:tc>
        <w:tc>
          <w:tcPr>
            <w:tcW w:w="3159" w:type="dxa"/>
            <w:shd w:val="clear" w:color="auto" w:fill="C0C0C0"/>
          </w:tcPr>
          <w:p>
            <w:pPr>
              <w:pStyle w:val="TableParagraph"/>
              <w:ind w:left="750"/>
              <w:rPr>
                <w:b/>
                <w:sz w:val="22"/>
              </w:rPr>
            </w:pPr>
            <w:r>
              <w:rPr>
                <w:b/>
                <w:sz w:val="22"/>
              </w:rPr>
              <w:t>zh-tw formatCode</w:t>
            </w:r>
          </w:p>
        </w:tc>
        <w:tc>
          <w:tcPr>
            <w:tcW w:w="3041" w:type="dxa"/>
            <w:shd w:val="clear" w:color="auto" w:fill="C0C0C0"/>
          </w:tcPr>
          <w:p>
            <w:pPr>
              <w:pStyle w:val="TableParagraph"/>
              <w:ind w:left="705"/>
              <w:rPr>
                <w:b/>
                <w:sz w:val="22"/>
              </w:rPr>
            </w:pPr>
            <w:r>
              <w:rPr>
                <w:b/>
                <w:sz w:val="22"/>
              </w:rPr>
              <w:t>zh-cn formatCode</w:t>
            </w:r>
          </w:p>
        </w:tc>
      </w:tr>
      <w:tr>
        <w:trPr>
          <w:trHeight w:val="386" w:hRule="atLeast"/>
        </w:trPr>
        <w:tc>
          <w:tcPr>
            <w:tcW w:w="461" w:type="dxa"/>
          </w:tcPr>
          <w:p>
            <w:pPr>
              <w:pStyle w:val="TableParagraph"/>
              <w:ind w:left="96" w:right="92"/>
              <w:jc w:val="center"/>
              <w:rPr>
                <w:sz w:val="22"/>
              </w:rPr>
            </w:pPr>
            <w:r>
              <w:rPr>
                <w:sz w:val="22"/>
              </w:rPr>
              <w:t>36</w:t>
            </w:r>
          </w:p>
        </w:tc>
        <w:tc>
          <w:tcPr>
            <w:tcW w:w="3159" w:type="dxa"/>
          </w:tcPr>
          <w:p>
            <w:pPr>
              <w:pStyle w:val="TableParagraph"/>
              <w:ind w:left="114"/>
              <w:rPr>
                <w:sz w:val="22"/>
              </w:rPr>
            </w:pPr>
            <w:r>
              <w:rPr>
                <w:sz w:val="22"/>
              </w:rPr>
              <w:t>[$-404]e/m/d</w:t>
            </w:r>
          </w:p>
        </w:tc>
        <w:tc>
          <w:tcPr>
            <w:tcW w:w="3041"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r>
      <w:tr>
        <w:trPr>
          <w:trHeight w:val="385" w:hRule="atLeast"/>
        </w:trPr>
        <w:tc>
          <w:tcPr>
            <w:tcW w:w="461" w:type="dxa"/>
          </w:tcPr>
          <w:p>
            <w:pPr>
              <w:pStyle w:val="TableParagraph"/>
              <w:ind w:left="96" w:right="92"/>
              <w:jc w:val="center"/>
              <w:rPr>
                <w:sz w:val="22"/>
              </w:rPr>
            </w:pPr>
            <w:r>
              <w:rPr>
                <w:sz w:val="22"/>
              </w:rPr>
              <w:t>50</w:t>
            </w:r>
          </w:p>
        </w:tc>
        <w:tc>
          <w:tcPr>
            <w:tcW w:w="3159" w:type="dxa"/>
          </w:tcPr>
          <w:p>
            <w:pPr>
              <w:pStyle w:val="TableParagraph"/>
              <w:ind w:left="114"/>
              <w:rPr>
                <w:sz w:val="22"/>
              </w:rPr>
            </w:pPr>
            <w:r>
              <w:rPr>
                <w:sz w:val="22"/>
              </w:rPr>
              <w:t>[$-404]e/m/d</w:t>
            </w:r>
          </w:p>
        </w:tc>
        <w:tc>
          <w:tcPr>
            <w:tcW w:w="3041"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r>
      <w:tr>
        <w:trPr>
          <w:trHeight w:val="386" w:hRule="atLeast"/>
        </w:trPr>
        <w:tc>
          <w:tcPr>
            <w:tcW w:w="461" w:type="dxa"/>
          </w:tcPr>
          <w:p>
            <w:pPr>
              <w:pStyle w:val="TableParagraph"/>
              <w:ind w:left="96" w:right="92"/>
              <w:jc w:val="center"/>
              <w:rPr>
                <w:sz w:val="22"/>
              </w:rPr>
            </w:pPr>
            <w:r>
              <w:rPr>
                <w:sz w:val="22"/>
              </w:rPr>
              <w:t>51</w:t>
            </w:r>
          </w:p>
        </w:tc>
        <w:tc>
          <w:tcPr>
            <w:tcW w:w="3159" w:type="dxa"/>
          </w:tcPr>
          <w:p>
            <w:pPr>
              <w:pStyle w:val="TableParagraph"/>
              <w:spacing w:before="41"/>
              <w:ind w:left="114"/>
              <w:rPr>
                <w:sz w:val="22"/>
              </w:rPr>
            </w:pPr>
            <w:r>
              <w:rPr>
                <w:sz w:val="22"/>
              </w:rPr>
              <w:t>[$-404]e"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41"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r>
      <w:tr>
        <w:trPr>
          <w:trHeight w:val="385" w:hRule="atLeast"/>
        </w:trPr>
        <w:tc>
          <w:tcPr>
            <w:tcW w:w="461" w:type="dxa"/>
          </w:tcPr>
          <w:p>
            <w:pPr>
              <w:pStyle w:val="TableParagraph"/>
              <w:ind w:left="96" w:right="92"/>
              <w:jc w:val="center"/>
              <w:rPr>
                <w:sz w:val="22"/>
              </w:rPr>
            </w:pPr>
            <w:r>
              <w:rPr>
                <w:sz w:val="22"/>
              </w:rPr>
              <w:t>52</w:t>
            </w:r>
          </w:p>
        </w:tc>
        <w:tc>
          <w:tcPr>
            <w:tcW w:w="3159" w:type="dxa"/>
          </w:tcPr>
          <w:p>
            <w:pPr>
              <w:pStyle w:val="TableParagraph"/>
              <w:spacing w:before="41"/>
              <w:ind w:left="114"/>
              <w:rPr>
                <w:sz w:val="22"/>
              </w:rPr>
            </w:pPr>
            <w:r>
              <w:rPr>
                <w:rFonts w:ascii="SimSun" w:eastAsia="SimSun" w:hint="eastAsia"/>
                <w:sz w:val="22"/>
              </w:rPr>
              <w:t>上午</w:t>
            </w:r>
            <w:r>
              <w:rPr>
                <w:sz w:val="22"/>
              </w:rPr>
              <w:t>/</w:t>
            </w:r>
            <w:r>
              <w:rPr>
                <w:rFonts w:ascii="SimSun" w:eastAsia="SimSun" w:hint="eastAsia"/>
                <w:sz w:val="22"/>
              </w:rPr>
              <w:t>下午 </w:t>
            </w:r>
            <w:r>
              <w:rPr>
                <w:sz w:val="22"/>
              </w:rPr>
              <w:t>hh"</w:t>
            </w:r>
            <w:r>
              <w:rPr>
                <w:rFonts w:ascii="SimSun" w:eastAsia="SimSun" w:hint="eastAsia"/>
                <w:sz w:val="22"/>
              </w:rPr>
              <w:t>時</w:t>
            </w:r>
            <w:r>
              <w:rPr>
                <w:sz w:val="22"/>
              </w:rPr>
              <w:t>"mm"</w:t>
            </w:r>
            <w:r>
              <w:rPr>
                <w:rFonts w:ascii="SimSun" w:eastAsia="SimSun" w:hint="eastAsia"/>
                <w:sz w:val="22"/>
              </w:rPr>
              <w:t>分</w:t>
            </w:r>
            <w:r>
              <w:rPr>
                <w:sz w:val="22"/>
              </w:rPr>
              <w:t>"</w:t>
            </w:r>
          </w:p>
        </w:tc>
        <w:tc>
          <w:tcPr>
            <w:tcW w:w="3041"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r>
      <w:tr>
        <w:trPr>
          <w:trHeight w:val="640" w:hRule="atLeast"/>
        </w:trPr>
        <w:tc>
          <w:tcPr>
            <w:tcW w:w="461" w:type="dxa"/>
          </w:tcPr>
          <w:p>
            <w:pPr>
              <w:pStyle w:val="TableParagraph"/>
              <w:ind w:left="96" w:right="92"/>
              <w:jc w:val="center"/>
              <w:rPr>
                <w:sz w:val="22"/>
              </w:rPr>
            </w:pPr>
            <w:r>
              <w:rPr>
                <w:sz w:val="22"/>
              </w:rPr>
              <w:t>53</w:t>
            </w:r>
          </w:p>
        </w:tc>
        <w:tc>
          <w:tcPr>
            <w:tcW w:w="3159" w:type="dxa"/>
          </w:tcPr>
          <w:p>
            <w:pPr>
              <w:pStyle w:val="TableParagraph"/>
              <w:spacing w:line="242" w:lineRule="auto" w:before="41"/>
              <w:ind w:left="114" w:right="90"/>
              <w:rPr>
                <w:sz w:val="22"/>
              </w:rPr>
            </w:pPr>
            <w:r>
              <w:rPr>
                <w:rFonts w:ascii="SimSun" w:eastAsia="SimSun" w:hint="eastAsia"/>
                <w:sz w:val="22"/>
              </w:rPr>
              <w:t>上午</w:t>
            </w:r>
            <w:r>
              <w:rPr>
                <w:sz w:val="22"/>
              </w:rPr>
              <w:t>/</w:t>
            </w:r>
            <w:r>
              <w:rPr>
                <w:rFonts w:ascii="SimSun" w:eastAsia="SimSun" w:hint="eastAsia"/>
                <w:sz w:val="22"/>
              </w:rPr>
              <w:t>下午 </w:t>
            </w:r>
            <w:r>
              <w:rPr>
                <w:sz w:val="22"/>
              </w:rPr>
              <w:t>hh"</w:t>
            </w:r>
            <w:r>
              <w:rPr>
                <w:rFonts w:ascii="SimSun" w:eastAsia="SimSun" w:hint="eastAsia"/>
                <w:sz w:val="22"/>
              </w:rPr>
              <w:t>時</w:t>
            </w:r>
            <w:r>
              <w:rPr>
                <w:sz w:val="22"/>
              </w:rPr>
              <w:t>"mm"</w:t>
            </w:r>
            <w:r>
              <w:rPr>
                <w:rFonts w:ascii="SimSun" w:eastAsia="SimSun" w:hint="eastAsia"/>
                <w:sz w:val="22"/>
              </w:rPr>
              <w:t>分</w:t>
            </w:r>
            <w:r>
              <w:rPr>
                <w:sz w:val="22"/>
              </w:rPr>
              <w:t>"ss"</w:t>
            </w:r>
            <w:r>
              <w:rPr>
                <w:rFonts w:ascii="SimSun" w:eastAsia="SimSun" w:hint="eastAsia"/>
                <w:sz w:val="22"/>
              </w:rPr>
              <w:t>秒 </w:t>
            </w:r>
            <w:r>
              <w:rPr>
                <w:sz w:val="22"/>
              </w:rPr>
              <w:t>"</w:t>
            </w:r>
          </w:p>
        </w:tc>
        <w:tc>
          <w:tcPr>
            <w:tcW w:w="3041"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r>
      <w:tr>
        <w:trPr>
          <w:trHeight w:val="386" w:hRule="atLeast"/>
        </w:trPr>
        <w:tc>
          <w:tcPr>
            <w:tcW w:w="461" w:type="dxa"/>
          </w:tcPr>
          <w:p>
            <w:pPr>
              <w:pStyle w:val="TableParagraph"/>
              <w:ind w:left="96" w:right="92"/>
              <w:jc w:val="center"/>
              <w:rPr>
                <w:sz w:val="22"/>
              </w:rPr>
            </w:pPr>
            <w:r>
              <w:rPr>
                <w:sz w:val="22"/>
              </w:rPr>
              <w:t>54</w:t>
            </w:r>
          </w:p>
        </w:tc>
        <w:tc>
          <w:tcPr>
            <w:tcW w:w="3159" w:type="dxa"/>
          </w:tcPr>
          <w:p>
            <w:pPr>
              <w:pStyle w:val="TableParagraph"/>
              <w:spacing w:before="41"/>
              <w:ind w:left="114"/>
              <w:rPr>
                <w:sz w:val="22"/>
              </w:rPr>
            </w:pPr>
            <w:r>
              <w:rPr>
                <w:sz w:val="22"/>
              </w:rPr>
              <w:t>[$-404]e"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41"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r>
      <w:tr>
        <w:trPr>
          <w:trHeight w:val="385" w:hRule="atLeast"/>
        </w:trPr>
        <w:tc>
          <w:tcPr>
            <w:tcW w:w="461" w:type="dxa"/>
          </w:tcPr>
          <w:p>
            <w:pPr>
              <w:pStyle w:val="TableParagraph"/>
              <w:ind w:left="96" w:right="92"/>
              <w:jc w:val="center"/>
              <w:rPr>
                <w:sz w:val="22"/>
              </w:rPr>
            </w:pPr>
            <w:r>
              <w:rPr>
                <w:sz w:val="22"/>
              </w:rPr>
              <w:t>55</w:t>
            </w:r>
          </w:p>
        </w:tc>
        <w:tc>
          <w:tcPr>
            <w:tcW w:w="3159" w:type="dxa"/>
          </w:tcPr>
          <w:p>
            <w:pPr>
              <w:pStyle w:val="TableParagraph"/>
              <w:spacing w:before="41"/>
              <w:ind w:left="114"/>
              <w:rPr>
                <w:sz w:val="22"/>
              </w:rPr>
            </w:pPr>
            <w:r>
              <w:rPr>
                <w:rFonts w:ascii="SimSun" w:eastAsia="SimSun" w:hint="eastAsia"/>
                <w:sz w:val="22"/>
              </w:rPr>
              <w:t>上午</w:t>
            </w:r>
            <w:r>
              <w:rPr>
                <w:sz w:val="22"/>
              </w:rPr>
              <w:t>/</w:t>
            </w:r>
            <w:r>
              <w:rPr>
                <w:rFonts w:ascii="SimSun" w:eastAsia="SimSun" w:hint="eastAsia"/>
                <w:sz w:val="22"/>
              </w:rPr>
              <w:t>下午 </w:t>
            </w:r>
            <w:r>
              <w:rPr>
                <w:sz w:val="22"/>
              </w:rPr>
              <w:t>hh"</w:t>
            </w:r>
            <w:r>
              <w:rPr>
                <w:rFonts w:ascii="SimSun" w:eastAsia="SimSun" w:hint="eastAsia"/>
                <w:sz w:val="22"/>
              </w:rPr>
              <w:t>時</w:t>
            </w:r>
            <w:r>
              <w:rPr>
                <w:sz w:val="22"/>
              </w:rPr>
              <w:t>"mm"</w:t>
            </w:r>
            <w:r>
              <w:rPr>
                <w:rFonts w:ascii="SimSun" w:eastAsia="SimSun" w:hint="eastAsia"/>
                <w:sz w:val="22"/>
              </w:rPr>
              <w:t>分</w:t>
            </w:r>
            <w:r>
              <w:rPr>
                <w:sz w:val="22"/>
              </w:rPr>
              <w:t>"</w:t>
            </w:r>
          </w:p>
        </w:tc>
        <w:tc>
          <w:tcPr>
            <w:tcW w:w="3041" w:type="dxa"/>
          </w:tcPr>
          <w:p>
            <w:pPr>
              <w:pStyle w:val="TableParagraph"/>
              <w:spacing w:before="41"/>
              <w:ind w:left="114"/>
              <w:rPr>
                <w:sz w:val="22"/>
              </w:rPr>
            </w:pPr>
            <w:r>
              <w:rPr>
                <w:rFonts w:ascii="SimSun" w:eastAsia="SimSun" w:hint="eastAsia"/>
                <w:sz w:val="22"/>
              </w:rPr>
              <w:t>上午</w:t>
            </w:r>
            <w:r>
              <w:rPr>
                <w:sz w:val="22"/>
              </w:rPr>
              <w:t>/</w:t>
            </w:r>
            <w:r>
              <w:rPr>
                <w:rFonts w:ascii="SimSun" w:eastAsia="SimSun" w:hint="eastAsia"/>
                <w:sz w:val="22"/>
              </w:rPr>
              <w:t>下午 </w:t>
            </w:r>
            <w:r>
              <w:rPr>
                <w:sz w:val="22"/>
              </w:rPr>
              <w:t>h"</w:t>
            </w:r>
            <w:r>
              <w:rPr>
                <w:rFonts w:ascii="SimSun" w:eastAsia="SimSun" w:hint="eastAsia"/>
                <w:sz w:val="22"/>
              </w:rPr>
              <w:t>时</w:t>
            </w:r>
            <w:r>
              <w:rPr>
                <w:sz w:val="22"/>
              </w:rPr>
              <w:t>"mm"</w:t>
            </w:r>
            <w:r>
              <w:rPr>
                <w:rFonts w:ascii="SimSun" w:eastAsia="SimSun" w:hint="eastAsia"/>
                <w:sz w:val="22"/>
              </w:rPr>
              <w:t>分</w:t>
            </w:r>
            <w:r>
              <w:rPr>
                <w:sz w:val="22"/>
              </w:rPr>
              <w:t>"</w:t>
            </w:r>
          </w:p>
        </w:tc>
      </w:tr>
      <w:tr>
        <w:trPr>
          <w:trHeight w:val="638" w:hRule="atLeast"/>
        </w:trPr>
        <w:tc>
          <w:tcPr>
            <w:tcW w:w="461" w:type="dxa"/>
          </w:tcPr>
          <w:p>
            <w:pPr>
              <w:pStyle w:val="TableParagraph"/>
              <w:ind w:left="96" w:right="92"/>
              <w:jc w:val="center"/>
              <w:rPr>
                <w:sz w:val="22"/>
              </w:rPr>
            </w:pPr>
            <w:r>
              <w:rPr>
                <w:sz w:val="22"/>
              </w:rPr>
              <w:t>56</w:t>
            </w:r>
          </w:p>
        </w:tc>
        <w:tc>
          <w:tcPr>
            <w:tcW w:w="3159" w:type="dxa"/>
          </w:tcPr>
          <w:p>
            <w:pPr>
              <w:pStyle w:val="TableParagraph"/>
              <w:spacing w:line="242" w:lineRule="auto" w:before="41"/>
              <w:ind w:left="114" w:right="90"/>
              <w:rPr>
                <w:sz w:val="22"/>
              </w:rPr>
            </w:pPr>
            <w:r>
              <w:rPr>
                <w:rFonts w:ascii="SimSun" w:eastAsia="SimSun" w:hint="eastAsia"/>
                <w:sz w:val="22"/>
              </w:rPr>
              <w:t>上午</w:t>
            </w:r>
            <w:r>
              <w:rPr>
                <w:sz w:val="22"/>
              </w:rPr>
              <w:t>/</w:t>
            </w:r>
            <w:r>
              <w:rPr>
                <w:rFonts w:ascii="SimSun" w:eastAsia="SimSun" w:hint="eastAsia"/>
                <w:sz w:val="22"/>
              </w:rPr>
              <w:t>下午 </w:t>
            </w:r>
            <w:r>
              <w:rPr>
                <w:sz w:val="22"/>
              </w:rPr>
              <w:t>hh"</w:t>
            </w:r>
            <w:r>
              <w:rPr>
                <w:rFonts w:ascii="SimSun" w:eastAsia="SimSun" w:hint="eastAsia"/>
                <w:sz w:val="22"/>
              </w:rPr>
              <w:t>時</w:t>
            </w:r>
            <w:r>
              <w:rPr>
                <w:sz w:val="22"/>
              </w:rPr>
              <w:t>"mm"</w:t>
            </w:r>
            <w:r>
              <w:rPr>
                <w:rFonts w:ascii="SimSun" w:eastAsia="SimSun" w:hint="eastAsia"/>
                <w:sz w:val="22"/>
              </w:rPr>
              <w:t>分</w:t>
            </w:r>
            <w:r>
              <w:rPr>
                <w:sz w:val="22"/>
              </w:rPr>
              <w:t>"ss"</w:t>
            </w:r>
            <w:r>
              <w:rPr>
                <w:rFonts w:ascii="SimSun" w:eastAsia="SimSun" w:hint="eastAsia"/>
                <w:sz w:val="22"/>
              </w:rPr>
              <w:t>秒 </w:t>
            </w:r>
            <w:r>
              <w:rPr>
                <w:sz w:val="22"/>
              </w:rPr>
              <w:t>"</w:t>
            </w:r>
          </w:p>
        </w:tc>
        <w:tc>
          <w:tcPr>
            <w:tcW w:w="3041" w:type="dxa"/>
          </w:tcPr>
          <w:p>
            <w:pPr>
              <w:pStyle w:val="TableParagraph"/>
              <w:spacing w:line="242" w:lineRule="auto" w:before="41"/>
              <w:ind w:left="114" w:right="92"/>
              <w:rPr>
                <w:sz w:val="22"/>
              </w:rPr>
            </w:pPr>
            <w:r>
              <w:rPr>
                <w:rFonts w:ascii="SimSun" w:eastAsia="SimSun" w:hint="eastAsia"/>
                <w:sz w:val="22"/>
              </w:rPr>
              <w:t>上午</w:t>
            </w:r>
            <w:r>
              <w:rPr>
                <w:sz w:val="22"/>
              </w:rPr>
              <w:t>/</w:t>
            </w:r>
            <w:r>
              <w:rPr>
                <w:rFonts w:ascii="SimSun" w:eastAsia="SimSun" w:hint="eastAsia"/>
                <w:sz w:val="22"/>
              </w:rPr>
              <w:t>下午 </w:t>
            </w:r>
            <w:r>
              <w:rPr>
                <w:sz w:val="22"/>
              </w:rPr>
              <w:t>h"</w:t>
            </w:r>
            <w:r>
              <w:rPr>
                <w:rFonts w:ascii="SimSun" w:eastAsia="SimSun" w:hint="eastAsia"/>
                <w:sz w:val="22"/>
              </w:rPr>
              <w:t>时</w:t>
            </w:r>
            <w:r>
              <w:rPr>
                <w:sz w:val="22"/>
              </w:rPr>
              <w:t>"mm"</w:t>
            </w:r>
            <w:r>
              <w:rPr>
                <w:rFonts w:ascii="SimSun" w:eastAsia="SimSun" w:hint="eastAsia"/>
                <w:sz w:val="22"/>
              </w:rPr>
              <w:t>分</w:t>
            </w:r>
            <w:r>
              <w:rPr>
                <w:sz w:val="22"/>
              </w:rPr>
              <w:t>"ss"</w:t>
            </w:r>
            <w:r>
              <w:rPr>
                <w:rFonts w:ascii="SimSun" w:eastAsia="SimSun" w:hint="eastAsia"/>
                <w:sz w:val="22"/>
              </w:rPr>
              <w:t>秒 </w:t>
            </w:r>
            <w:r>
              <w:rPr>
                <w:sz w:val="22"/>
              </w:rPr>
              <w:t>"</w:t>
            </w:r>
          </w:p>
        </w:tc>
      </w:tr>
      <w:tr>
        <w:trPr>
          <w:trHeight w:val="386" w:hRule="atLeast"/>
        </w:trPr>
        <w:tc>
          <w:tcPr>
            <w:tcW w:w="461" w:type="dxa"/>
          </w:tcPr>
          <w:p>
            <w:pPr>
              <w:pStyle w:val="TableParagraph"/>
              <w:spacing w:before="42"/>
              <w:ind w:left="96" w:right="92"/>
              <w:jc w:val="center"/>
              <w:rPr>
                <w:sz w:val="22"/>
              </w:rPr>
            </w:pPr>
            <w:r>
              <w:rPr>
                <w:sz w:val="22"/>
              </w:rPr>
              <w:t>57</w:t>
            </w:r>
          </w:p>
        </w:tc>
        <w:tc>
          <w:tcPr>
            <w:tcW w:w="3159" w:type="dxa"/>
          </w:tcPr>
          <w:p>
            <w:pPr>
              <w:pStyle w:val="TableParagraph"/>
              <w:spacing w:before="42"/>
              <w:ind w:left="114"/>
              <w:rPr>
                <w:sz w:val="22"/>
              </w:rPr>
            </w:pPr>
            <w:r>
              <w:rPr>
                <w:sz w:val="22"/>
              </w:rPr>
              <w:t>[$-404]e/m/d</w:t>
            </w:r>
          </w:p>
        </w:tc>
        <w:tc>
          <w:tcPr>
            <w:tcW w:w="3041" w:type="dxa"/>
          </w:tcPr>
          <w:p>
            <w:pPr>
              <w:pStyle w:val="TableParagraph"/>
              <w:spacing w:before="44"/>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r>
      <w:tr>
        <w:trPr>
          <w:trHeight w:val="388" w:hRule="atLeast"/>
        </w:trPr>
        <w:tc>
          <w:tcPr>
            <w:tcW w:w="461" w:type="dxa"/>
          </w:tcPr>
          <w:p>
            <w:pPr>
              <w:pStyle w:val="TableParagraph"/>
              <w:spacing w:before="42"/>
              <w:ind w:left="96" w:right="92"/>
              <w:jc w:val="center"/>
              <w:rPr>
                <w:sz w:val="22"/>
              </w:rPr>
            </w:pPr>
            <w:r>
              <w:rPr>
                <w:sz w:val="22"/>
              </w:rPr>
              <w:t>58</w:t>
            </w:r>
          </w:p>
        </w:tc>
        <w:tc>
          <w:tcPr>
            <w:tcW w:w="3159" w:type="dxa"/>
          </w:tcPr>
          <w:p>
            <w:pPr>
              <w:pStyle w:val="TableParagraph"/>
              <w:spacing w:before="43"/>
              <w:ind w:left="114"/>
              <w:rPr>
                <w:sz w:val="22"/>
              </w:rPr>
            </w:pPr>
            <w:r>
              <w:rPr>
                <w:sz w:val="22"/>
              </w:rPr>
              <w:t>[$-404]e"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41" w:type="dxa"/>
          </w:tcPr>
          <w:p>
            <w:pPr>
              <w:pStyle w:val="TableParagraph"/>
              <w:spacing w:before="43"/>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r>
    </w:tbl>
    <w:p>
      <w:pPr>
        <w:pStyle w:val="BodyText"/>
        <w:rPr>
          <w:b/>
          <w:sz w:val="20"/>
        </w:rPr>
      </w:pPr>
    </w:p>
    <w:p>
      <w:pPr>
        <w:pStyle w:val="BodyText"/>
        <w:rPr>
          <w:b/>
          <w:sz w:val="16"/>
        </w:rPr>
      </w:pPr>
    </w:p>
    <w:p>
      <w:pPr>
        <w:spacing w:before="56"/>
        <w:ind w:left="220" w:right="0" w:firstLine="0"/>
        <w:jc w:val="left"/>
        <w:rPr>
          <w:b/>
          <w:sz w:val="22"/>
        </w:rPr>
      </w:pPr>
      <w:r>
        <w:rPr>
          <w:b/>
          <w:sz w:val="22"/>
        </w:rPr>
        <w:t>zh-tw and zh-cn (with unicode values provided for language glyphs where they occur)</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4540"/>
        <w:gridCol w:w="4420"/>
      </w:tblGrid>
      <w:tr>
        <w:trPr>
          <w:trHeight w:val="385" w:hRule="atLeast"/>
        </w:trPr>
        <w:tc>
          <w:tcPr>
            <w:tcW w:w="634" w:type="dxa"/>
            <w:shd w:val="clear" w:color="auto" w:fill="C0C0C0"/>
          </w:tcPr>
          <w:p>
            <w:pPr>
              <w:pStyle w:val="TableParagraph"/>
              <w:ind w:left="218"/>
              <w:rPr>
                <w:b/>
                <w:sz w:val="22"/>
              </w:rPr>
            </w:pPr>
            <w:r>
              <w:rPr>
                <w:b/>
                <w:sz w:val="22"/>
              </w:rPr>
              <w:t>ID</w:t>
            </w:r>
          </w:p>
        </w:tc>
        <w:tc>
          <w:tcPr>
            <w:tcW w:w="4540" w:type="dxa"/>
            <w:shd w:val="clear" w:color="auto" w:fill="C0C0C0"/>
          </w:tcPr>
          <w:p>
            <w:pPr>
              <w:pStyle w:val="TableParagraph"/>
              <w:ind w:left="1439"/>
              <w:rPr>
                <w:b/>
                <w:sz w:val="22"/>
              </w:rPr>
            </w:pPr>
            <w:r>
              <w:rPr>
                <w:b/>
                <w:sz w:val="22"/>
              </w:rPr>
              <w:t>zh-tw formatCode</w:t>
            </w:r>
          </w:p>
        </w:tc>
        <w:tc>
          <w:tcPr>
            <w:tcW w:w="4420" w:type="dxa"/>
            <w:shd w:val="clear" w:color="auto" w:fill="C0C0C0"/>
          </w:tcPr>
          <w:p>
            <w:pPr>
              <w:pStyle w:val="TableParagraph"/>
              <w:ind w:left="1393"/>
              <w:rPr>
                <w:b/>
                <w:sz w:val="22"/>
              </w:rPr>
            </w:pPr>
            <w:r>
              <w:rPr>
                <w:b/>
                <w:sz w:val="22"/>
              </w:rPr>
              <w:t>zh-cn formatCode</w:t>
            </w:r>
          </w:p>
        </w:tc>
      </w:tr>
      <w:tr>
        <w:trPr>
          <w:trHeight w:val="386" w:hRule="atLeast"/>
        </w:trPr>
        <w:tc>
          <w:tcPr>
            <w:tcW w:w="634" w:type="dxa"/>
          </w:tcPr>
          <w:p>
            <w:pPr>
              <w:pStyle w:val="TableParagraph"/>
              <w:rPr>
                <w:sz w:val="22"/>
              </w:rPr>
            </w:pPr>
            <w:r>
              <w:rPr>
                <w:sz w:val="22"/>
              </w:rPr>
              <w:t>27</w:t>
            </w:r>
          </w:p>
        </w:tc>
        <w:tc>
          <w:tcPr>
            <w:tcW w:w="4540" w:type="dxa"/>
          </w:tcPr>
          <w:p>
            <w:pPr>
              <w:pStyle w:val="TableParagraph"/>
              <w:ind w:left="114"/>
              <w:rPr>
                <w:sz w:val="22"/>
              </w:rPr>
            </w:pPr>
            <w:r>
              <w:rPr>
                <w:sz w:val="22"/>
              </w:rPr>
              <w:t>[$-404]e/m/d</w:t>
            </w:r>
          </w:p>
        </w:tc>
        <w:tc>
          <w:tcPr>
            <w:tcW w:w="4420" w:type="dxa"/>
          </w:tcPr>
          <w:p>
            <w:pPr>
              <w:pStyle w:val="TableParagraph"/>
              <w:ind w:left="113"/>
              <w:rPr>
                <w:sz w:val="22"/>
              </w:rPr>
            </w:pPr>
            <w:r>
              <w:rPr>
                <w:sz w:val="22"/>
              </w:rPr>
              <w:t>yyyy"5E74"m"6708"</w:t>
            </w:r>
          </w:p>
        </w:tc>
      </w:tr>
      <w:tr>
        <w:trPr>
          <w:trHeight w:val="385" w:hRule="atLeast"/>
        </w:trPr>
        <w:tc>
          <w:tcPr>
            <w:tcW w:w="634" w:type="dxa"/>
          </w:tcPr>
          <w:p>
            <w:pPr>
              <w:pStyle w:val="TableParagraph"/>
              <w:rPr>
                <w:sz w:val="22"/>
              </w:rPr>
            </w:pPr>
            <w:r>
              <w:rPr>
                <w:sz w:val="22"/>
              </w:rPr>
              <w:t>28</w:t>
            </w:r>
          </w:p>
        </w:tc>
        <w:tc>
          <w:tcPr>
            <w:tcW w:w="4540" w:type="dxa"/>
          </w:tcPr>
          <w:p>
            <w:pPr>
              <w:pStyle w:val="TableParagraph"/>
              <w:ind w:left="114"/>
              <w:rPr>
                <w:sz w:val="22"/>
              </w:rPr>
            </w:pPr>
            <w:r>
              <w:rPr>
                <w:sz w:val="22"/>
              </w:rPr>
              <w:t>[$-404]e"5E74"m"6708"d"65E5"</w:t>
            </w:r>
          </w:p>
        </w:tc>
        <w:tc>
          <w:tcPr>
            <w:tcW w:w="4420" w:type="dxa"/>
          </w:tcPr>
          <w:p>
            <w:pPr>
              <w:pStyle w:val="TableParagraph"/>
              <w:ind w:left="113"/>
              <w:rPr>
                <w:sz w:val="22"/>
              </w:rPr>
            </w:pPr>
            <w:r>
              <w:rPr>
                <w:sz w:val="22"/>
              </w:rPr>
              <w:t>m"6708"d"65E5"</w:t>
            </w:r>
          </w:p>
        </w:tc>
      </w:tr>
      <w:tr>
        <w:trPr>
          <w:trHeight w:val="386" w:hRule="atLeast"/>
        </w:trPr>
        <w:tc>
          <w:tcPr>
            <w:tcW w:w="634" w:type="dxa"/>
          </w:tcPr>
          <w:p>
            <w:pPr>
              <w:pStyle w:val="TableParagraph"/>
              <w:rPr>
                <w:sz w:val="22"/>
              </w:rPr>
            </w:pPr>
            <w:r>
              <w:rPr>
                <w:sz w:val="22"/>
              </w:rPr>
              <w:t>29</w:t>
            </w:r>
          </w:p>
        </w:tc>
        <w:tc>
          <w:tcPr>
            <w:tcW w:w="4540" w:type="dxa"/>
          </w:tcPr>
          <w:p>
            <w:pPr>
              <w:pStyle w:val="TableParagraph"/>
              <w:ind w:left="114"/>
              <w:rPr>
                <w:sz w:val="22"/>
              </w:rPr>
            </w:pPr>
            <w:r>
              <w:rPr>
                <w:sz w:val="22"/>
              </w:rPr>
              <w:t>[$-404]e"5E74"m"6708"d"65E5"</w:t>
            </w:r>
          </w:p>
        </w:tc>
        <w:tc>
          <w:tcPr>
            <w:tcW w:w="4420" w:type="dxa"/>
          </w:tcPr>
          <w:p>
            <w:pPr>
              <w:pStyle w:val="TableParagraph"/>
              <w:ind w:left="113"/>
              <w:rPr>
                <w:sz w:val="22"/>
              </w:rPr>
            </w:pPr>
            <w:r>
              <w:rPr>
                <w:sz w:val="22"/>
              </w:rPr>
              <w:t>m"6708"d"65E5"</w:t>
            </w:r>
          </w:p>
        </w:tc>
      </w:tr>
      <w:tr>
        <w:trPr>
          <w:trHeight w:val="386" w:hRule="atLeast"/>
        </w:trPr>
        <w:tc>
          <w:tcPr>
            <w:tcW w:w="634" w:type="dxa"/>
          </w:tcPr>
          <w:p>
            <w:pPr>
              <w:pStyle w:val="TableParagraph"/>
              <w:rPr>
                <w:sz w:val="22"/>
              </w:rPr>
            </w:pPr>
            <w:r>
              <w:rPr>
                <w:sz w:val="22"/>
              </w:rPr>
              <w:t>30</w:t>
            </w:r>
          </w:p>
        </w:tc>
        <w:tc>
          <w:tcPr>
            <w:tcW w:w="4540" w:type="dxa"/>
          </w:tcPr>
          <w:p>
            <w:pPr>
              <w:pStyle w:val="TableParagraph"/>
              <w:ind w:left="114"/>
              <w:rPr>
                <w:sz w:val="22"/>
              </w:rPr>
            </w:pPr>
            <w:r>
              <w:rPr>
                <w:sz w:val="22"/>
              </w:rPr>
              <w:t>m/d/yy</w:t>
            </w:r>
          </w:p>
        </w:tc>
        <w:tc>
          <w:tcPr>
            <w:tcW w:w="4420" w:type="dxa"/>
          </w:tcPr>
          <w:p>
            <w:pPr>
              <w:pStyle w:val="TableParagraph"/>
              <w:ind w:left="113"/>
              <w:rPr>
                <w:sz w:val="22"/>
              </w:rPr>
            </w:pPr>
            <w:r>
              <w:rPr>
                <w:sz w:val="22"/>
              </w:rPr>
              <w:t>m-d-yy</w:t>
            </w:r>
          </w:p>
        </w:tc>
      </w:tr>
      <w:tr>
        <w:trPr>
          <w:trHeight w:val="386" w:hRule="atLeast"/>
        </w:trPr>
        <w:tc>
          <w:tcPr>
            <w:tcW w:w="634" w:type="dxa"/>
          </w:tcPr>
          <w:p>
            <w:pPr>
              <w:pStyle w:val="TableParagraph"/>
              <w:rPr>
                <w:sz w:val="22"/>
              </w:rPr>
            </w:pPr>
            <w:r>
              <w:rPr>
                <w:sz w:val="22"/>
              </w:rPr>
              <w:t>31</w:t>
            </w:r>
          </w:p>
        </w:tc>
        <w:tc>
          <w:tcPr>
            <w:tcW w:w="4540" w:type="dxa"/>
          </w:tcPr>
          <w:p>
            <w:pPr>
              <w:pStyle w:val="TableParagraph"/>
              <w:ind w:left="114"/>
              <w:rPr>
                <w:sz w:val="22"/>
              </w:rPr>
            </w:pPr>
            <w:r>
              <w:rPr>
                <w:sz w:val="22"/>
              </w:rPr>
              <w:t>yyyy"5E74"m"6708"d"65E5"</w:t>
            </w:r>
          </w:p>
        </w:tc>
        <w:tc>
          <w:tcPr>
            <w:tcW w:w="4420" w:type="dxa"/>
          </w:tcPr>
          <w:p>
            <w:pPr>
              <w:pStyle w:val="TableParagraph"/>
              <w:ind w:left="113"/>
              <w:rPr>
                <w:sz w:val="22"/>
              </w:rPr>
            </w:pPr>
            <w:r>
              <w:rPr>
                <w:sz w:val="22"/>
              </w:rPr>
              <w:t>yyyy"5E74"m"6708"d"65E5"</w:t>
            </w:r>
          </w:p>
        </w:tc>
      </w:tr>
      <w:tr>
        <w:trPr>
          <w:trHeight w:val="385" w:hRule="atLeast"/>
        </w:trPr>
        <w:tc>
          <w:tcPr>
            <w:tcW w:w="634" w:type="dxa"/>
          </w:tcPr>
          <w:p>
            <w:pPr>
              <w:pStyle w:val="TableParagraph"/>
              <w:rPr>
                <w:sz w:val="22"/>
              </w:rPr>
            </w:pPr>
            <w:r>
              <w:rPr>
                <w:sz w:val="22"/>
              </w:rPr>
              <w:t>32</w:t>
            </w:r>
          </w:p>
        </w:tc>
        <w:tc>
          <w:tcPr>
            <w:tcW w:w="4540" w:type="dxa"/>
          </w:tcPr>
          <w:p>
            <w:pPr>
              <w:pStyle w:val="TableParagraph"/>
              <w:ind w:left="114"/>
              <w:rPr>
                <w:sz w:val="22"/>
              </w:rPr>
            </w:pPr>
            <w:r>
              <w:rPr>
                <w:sz w:val="22"/>
              </w:rPr>
              <w:t>hh"6642"mm"5206"</w:t>
            </w:r>
          </w:p>
        </w:tc>
        <w:tc>
          <w:tcPr>
            <w:tcW w:w="4420" w:type="dxa"/>
          </w:tcPr>
          <w:p>
            <w:pPr>
              <w:pStyle w:val="TableParagraph"/>
              <w:ind w:left="113"/>
              <w:rPr>
                <w:sz w:val="22"/>
              </w:rPr>
            </w:pPr>
            <w:r>
              <w:rPr>
                <w:sz w:val="22"/>
              </w:rPr>
              <w:t>h"65F6"mm"5206"</w:t>
            </w:r>
          </w:p>
        </w:tc>
      </w:tr>
      <w:tr>
        <w:trPr>
          <w:trHeight w:val="385" w:hRule="atLeast"/>
        </w:trPr>
        <w:tc>
          <w:tcPr>
            <w:tcW w:w="634" w:type="dxa"/>
          </w:tcPr>
          <w:p>
            <w:pPr>
              <w:pStyle w:val="TableParagraph"/>
              <w:rPr>
                <w:sz w:val="22"/>
              </w:rPr>
            </w:pPr>
            <w:r>
              <w:rPr>
                <w:sz w:val="22"/>
              </w:rPr>
              <w:t>33</w:t>
            </w:r>
          </w:p>
        </w:tc>
        <w:tc>
          <w:tcPr>
            <w:tcW w:w="4540" w:type="dxa"/>
          </w:tcPr>
          <w:p>
            <w:pPr>
              <w:pStyle w:val="TableParagraph"/>
              <w:ind w:left="114"/>
              <w:rPr>
                <w:sz w:val="22"/>
              </w:rPr>
            </w:pPr>
            <w:r>
              <w:rPr>
                <w:sz w:val="22"/>
              </w:rPr>
              <w:t>hh"6642"mm"5206"ss"79D2"</w:t>
            </w:r>
          </w:p>
        </w:tc>
        <w:tc>
          <w:tcPr>
            <w:tcW w:w="4420" w:type="dxa"/>
          </w:tcPr>
          <w:p>
            <w:pPr>
              <w:pStyle w:val="TableParagraph"/>
              <w:ind w:left="113"/>
              <w:rPr>
                <w:sz w:val="22"/>
              </w:rPr>
            </w:pPr>
            <w:r>
              <w:rPr>
                <w:sz w:val="22"/>
              </w:rPr>
              <w:t>h"65F6"mm"5206"ss"79D2"</w:t>
            </w:r>
          </w:p>
        </w:tc>
      </w:tr>
      <w:tr>
        <w:trPr>
          <w:trHeight w:val="386" w:hRule="atLeast"/>
        </w:trPr>
        <w:tc>
          <w:tcPr>
            <w:tcW w:w="634" w:type="dxa"/>
          </w:tcPr>
          <w:p>
            <w:pPr>
              <w:pStyle w:val="TableParagraph"/>
              <w:rPr>
                <w:sz w:val="22"/>
              </w:rPr>
            </w:pPr>
            <w:r>
              <w:rPr>
                <w:sz w:val="22"/>
              </w:rPr>
              <w:t>34</w:t>
            </w:r>
          </w:p>
        </w:tc>
        <w:tc>
          <w:tcPr>
            <w:tcW w:w="4540" w:type="dxa"/>
          </w:tcPr>
          <w:p>
            <w:pPr>
              <w:pStyle w:val="TableParagraph"/>
              <w:ind w:left="114"/>
              <w:rPr>
                <w:sz w:val="22"/>
              </w:rPr>
            </w:pPr>
            <w:r>
              <w:rPr>
                <w:sz w:val="22"/>
              </w:rPr>
              <w:t>4E0A5348/4E0B5348hh"6642"mm"5206"</w:t>
            </w:r>
          </w:p>
        </w:tc>
        <w:tc>
          <w:tcPr>
            <w:tcW w:w="4420" w:type="dxa"/>
          </w:tcPr>
          <w:p>
            <w:pPr>
              <w:pStyle w:val="TableParagraph"/>
              <w:ind w:left="113"/>
              <w:rPr>
                <w:sz w:val="22"/>
              </w:rPr>
            </w:pPr>
            <w:r>
              <w:rPr>
                <w:sz w:val="22"/>
              </w:rPr>
              <w:t>4E0A5348/4E0B5348h"65F6"mm"5206"</w:t>
            </w:r>
          </w:p>
        </w:tc>
      </w:tr>
      <w:tr>
        <w:trPr>
          <w:trHeight w:val="621" w:hRule="atLeast"/>
        </w:trPr>
        <w:tc>
          <w:tcPr>
            <w:tcW w:w="634" w:type="dxa"/>
          </w:tcPr>
          <w:p>
            <w:pPr>
              <w:pStyle w:val="TableParagraph"/>
              <w:rPr>
                <w:sz w:val="22"/>
              </w:rPr>
            </w:pPr>
            <w:r>
              <w:rPr>
                <w:sz w:val="22"/>
              </w:rPr>
              <w:t>35</w:t>
            </w:r>
          </w:p>
        </w:tc>
        <w:tc>
          <w:tcPr>
            <w:tcW w:w="4540" w:type="dxa"/>
          </w:tcPr>
          <w:p>
            <w:pPr>
              <w:pStyle w:val="TableParagraph"/>
              <w:ind w:left="114" w:right="200"/>
              <w:rPr>
                <w:sz w:val="22"/>
              </w:rPr>
            </w:pPr>
            <w:r>
              <w:rPr>
                <w:sz w:val="22"/>
              </w:rPr>
              <w:t>4E0A5348/4E0B5348hh"6642"mm"5206"ss"79 D2"</w:t>
            </w:r>
          </w:p>
        </w:tc>
        <w:tc>
          <w:tcPr>
            <w:tcW w:w="4420" w:type="dxa"/>
          </w:tcPr>
          <w:p>
            <w:pPr>
              <w:pStyle w:val="TableParagraph"/>
              <w:ind w:left="113" w:right="207"/>
              <w:rPr>
                <w:sz w:val="22"/>
              </w:rPr>
            </w:pPr>
            <w:r>
              <w:rPr>
                <w:sz w:val="22"/>
              </w:rPr>
              <w:t>4E0A5348/4E0B5348h"65F6"mm"5206"ss"79 D2"</w:t>
            </w:r>
          </w:p>
        </w:tc>
      </w:tr>
      <w:tr>
        <w:trPr>
          <w:trHeight w:val="386" w:hRule="atLeast"/>
        </w:trPr>
        <w:tc>
          <w:tcPr>
            <w:tcW w:w="634" w:type="dxa"/>
          </w:tcPr>
          <w:p>
            <w:pPr>
              <w:pStyle w:val="TableParagraph"/>
              <w:rPr>
                <w:sz w:val="22"/>
              </w:rPr>
            </w:pPr>
            <w:r>
              <w:rPr>
                <w:sz w:val="22"/>
              </w:rPr>
              <w:t>36</w:t>
            </w:r>
          </w:p>
        </w:tc>
        <w:tc>
          <w:tcPr>
            <w:tcW w:w="4540" w:type="dxa"/>
          </w:tcPr>
          <w:p>
            <w:pPr>
              <w:pStyle w:val="TableParagraph"/>
              <w:ind w:left="114"/>
              <w:rPr>
                <w:sz w:val="22"/>
              </w:rPr>
            </w:pPr>
            <w:r>
              <w:rPr>
                <w:sz w:val="22"/>
              </w:rPr>
              <w:t>[$-404]e/m/d</w:t>
            </w:r>
          </w:p>
        </w:tc>
        <w:tc>
          <w:tcPr>
            <w:tcW w:w="4420" w:type="dxa"/>
          </w:tcPr>
          <w:p>
            <w:pPr>
              <w:pStyle w:val="TableParagraph"/>
              <w:ind w:left="113"/>
              <w:rPr>
                <w:sz w:val="22"/>
              </w:rPr>
            </w:pPr>
            <w:r>
              <w:rPr>
                <w:sz w:val="22"/>
              </w:rPr>
              <w:t>yyyy"5E74"m"6708"</w:t>
            </w:r>
          </w:p>
        </w:tc>
      </w:tr>
      <w:tr>
        <w:trPr>
          <w:trHeight w:val="386" w:hRule="atLeast"/>
        </w:trPr>
        <w:tc>
          <w:tcPr>
            <w:tcW w:w="634" w:type="dxa"/>
          </w:tcPr>
          <w:p>
            <w:pPr>
              <w:pStyle w:val="TableParagraph"/>
              <w:rPr>
                <w:sz w:val="22"/>
              </w:rPr>
            </w:pPr>
            <w:r>
              <w:rPr>
                <w:sz w:val="22"/>
              </w:rPr>
              <w:t>50</w:t>
            </w:r>
          </w:p>
        </w:tc>
        <w:tc>
          <w:tcPr>
            <w:tcW w:w="4540" w:type="dxa"/>
          </w:tcPr>
          <w:p>
            <w:pPr>
              <w:pStyle w:val="TableParagraph"/>
              <w:ind w:left="114"/>
              <w:rPr>
                <w:sz w:val="22"/>
              </w:rPr>
            </w:pPr>
            <w:r>
              <w:rPr>
                <w:sz w:val="22"/>
              </w:rPr>
              <w:t>[$-404]e/m/d</w:t>
            </w:r>
          </w:p>
        </w:tc>
        <w:tc>
          <w:tcPr>
            <w:tcW w:w="4420" w:type="dxa"/>
          </w:tcPr>
          <w:p>
            <w:pPr>
              <w:pStyle w:val="TableParagraph"/>
              <w:ind w:left="113"/>
              <w:rPr>
                <w:sz w:val="22"/>
              </w:rPr>
            </w:pPr>
            <w:r>
              <w:rPr>
                <w:sz w:val="22"/>
              </w:rPr>
              <w:t>yyyy"5E74"m"6708"</w:t>
            </w:r>
          </w:p>
        </w:tc>
      </w:tr>
      <w:tr>
        <w:trPr>
          <w:trHeight w:val="385" w:hRule="atLeast"/>
        </w:trPr>
        <w:tc>
          <w:tcPr>
            <w:tcW w:w="634" w:type="dxa"/>
          </w:tcPr>
          <w:p>
            <w:pPr>
              <w:pStyle w:val="TableParagraph"/>
              <w:rPr>
                <w:sz w:val="22"/>
              </w:rPr>
            </w:pPr>
            <w:r>
              <w:rPr>
                <w:sz w:val="22"/>
              </w:rPr>
              <w:t>51</w:t>
            </w:r>
          </w:p>
        </w:tc>
        <w:tc>
          <w:tcPr>
            <w:tcW w:w="4540" w:type="dxa"/>
          </w:tcPr>
          <w:p>
            <w:pPr>
              <w:pStyle w:val="TableParagraph"/>
              <w:ind w:left="114"/>
              <w:rPr>
                <w:sz w:val="22"/>
              </w:rPr>
            </w:pPr>
            <w:r>
              <w:rPr>
                <w:sz w:val="22"/>
              </w:rPr>
              <w:t>[$-404]e"5E74"m"6708"d"65E5"</w:t>
            </w:r>
          </w:p>
        </w:tc>
        <w:tc>
          <w:tcPr>
            <w:tcW w:w="4420" w:type="dxa"/>
          </w:tcPr>
          <w:p>
            <w:pPr>
              <w:pStyle w:val="TableParagraph"/>
              <w:ind w:left="113"/>
              <w:rPr>
                <w:sz w:val="22"/>
              </w:rPr>
            </w:pPr>
            <w:r>
              <w:rPr>
                <w:sz w:val="22"/>
              </w:rPr>
              <w:t>m"6708"d"65E5"</w:t>
            </w:r>
          </w:p>
        </w:tc>
      </w:tr>
      <w:tr>
        <w:trPr>
          <w:trHeight w:val="386" w:hRule="atLeast"/>
        </w:trPr>
        <w:tc>
          <w:tcPr>
            <w:tcW w:w="634" w:type="dxa"/>
          </w:tcPr>
          <w:p>
            <w:pPr>
              <w:pStyle w:val="TableParagraph"/>
              <w:rPr>
                <w:sz w:val="22"/>
              </w:rPr>
            </w:pPr>
            <w:r>
              <w:rPr>
                <w:sz w:val="22"/>
              </w:rPr>
              <w:t>52</w:t>
            </w:r>
          </w:p>
        </w:tc>
        <w:tc>
          <w:tcPr>
            <w:tcW w:w="4540" w:type="dxa"/>
          </w:tcPr>
          <w:p>
            <w:pPr>
              <w:pStyle w:val="TableParagraph"/>
              <w:ind w:left="114"/>
              <w:rPr>
                <w:sz w:val="22"/>
              </w:rPr>
            </w:pPr>
            <w:r>
              <w:rPr>
                <w:sz w:val="22"/>
              </w:rPr>
              <w:t>4E0A5348/4E0B5348hh"6642"mm"5206"</w:t>
            </w:r>
          </w:p>
        </w:tc>
        <w:tc>
          <w:tcPr>
            <w:tcW w:w="4420" w:type="dxa"/>
          </w:tcPr>
          <w:p>
            <w:pPr>
              <w:pStyle w:val="TableParagraph"/>
              <w:ind w:left="113"/>
              <w:rPr>
                <w:sz w:val="22"/>
              </w:rPr>
            </w:pPr>
            <w:r>
              <w:rPr>
                <w:sz w:val="22"/>
              </w:rPr>
              <w:t>yyyy"5E74"m"6708"</w:t>
            </w:r>
          </w:p>
        </w:tc>
      </w:tr>
      <w:tr>
        <w:trPr>
          <w:trHeight w:val="623" w:hRule="atLeast"/>
        </w:trPr>
        <w:tc>
          <w:tcPr>
            <w:tcW w:w="634" w:type="dxa"/>
          </w:tcPr>
          <w:p>
            <w:pPr>
              <w:pStyle w:val="TableParagraph"/>
              <w:rPr>
                <w:sz w:val="22"/>
              </w:rPr>
            </w:pPr>
            <w:r>
              <w:rPr>
                <w:sz w:val="22"/>
              </w:rPr>
              <w:t>53</w:t>
            </w:r>
          </w:p>
        </w:tc>
        <w:tc>
          <w:tcPr>
            <w:tcW w:w="4540" w:type="dxa"/>
          </w:tcPr>
          <w:p>
            <w:pPr>
              <w:pStyle w:val="TableParagraph"/>
              <w:ind w:left="114" w:right="200"/>
              <w:rPr>
                <w:sz w:val="22"/>
              </w:rPr>
            </w:pPr>
            <w:r>
              <w:rPr>
                <w:sz w:val="22"/>
              </w:rPr>
              <w:t>4E0A5348/4E0B5348hh"6642"mm"5206"ss"79 D2"</w:t>
            </w:r>
          </w:p>
        </w:tc>
        <w:tc>
          <w:tcPr>
            <w:tcW w:w="4420" w:type="dxa"/>
          </w:tcPr>
          <w:p>
            <w:pPr>
              <w:pStyle w:val="TableParagraph"/>
              <w:ind w:left="113"/>
              <w:rPr>
                <w:sz w:val="22"/>
              </w:rPr>
            </w:pPr>
            <w:r>
              <w:rPr>
                <w:sz w:val="22"/>
              </w:rPr>
              <w:t>m"6708"d"65E5"</w:t>
            </w:r>
          </w:p>
        </w:tc>
      </w:tr>
      <w:tr>
        <w:trPr>
          <w:trHeight w:val="385" w:hRule="atLeast"/>
        </w:trPr>
        <w:tc>
          <w:tcPr>
            <w:tcW w:w="634" w:type="dxa"/>
          </w:tcPr>
          <w:p>
            <w:pPr>
              <w:pStyle w:val="TableParagraph"/>
              <w:rPr>
                <w:sz w:val="22"/>
              </w:rPr>
            </w:pPr>
            <w:r>
              <w:rPr>
                <w:sz w:val="22"/>
              </w:rPr>
              <w:t>54</w:t>
            </w:r>
          </w:p>
        </w:tc>
        <w:tc>
          <w:tcPr>
            <w:tcW w:w="4540" w:type="dxa"/>
          </w:tcPr>
          <w:p>
            <w:pPr>
              <w:pStyle w:val="TableParagraph"/>
              <w:ind w:left="114"/>
              <w:rPr>
                <w:sz w:val="22"/>
              </w:rPr>
            </w:pPr>
            <w:r>
              <w:rPr>
                <w:sz w:val="22"/>
              </w:rPr>
              <w:t>[$-404]e"5E74"m"6708"d"65E5"</w:t>
            </w:r>
          </w:p>
        </w:tc>
        <w:tc>
          <w:tcPr>
            <w:tcW w:w="4420" w:type="dxa"/>
          </w:tcPr>
          <w:p>
            <w:pPr>
              <w:pStyle w:val="TableParagraph"/>
              <w:ind w:left="113"/>
              <w:rPr>
                <w:sz w:val="22"/>
              </w:rPr>
            </w:pPr>
            <w:r>
              <w:rPr>
                <w:sz w:val="22"/>
              </w:rPr>
              <w:t>m"6708"d"65E5"</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4540"/>
        <w:gridCol w:w="4420"/>
      </w:tblGrid>
      <w:tr>
        <w:trPr>
          <w:trHeight w:val="386" w:hRule="atLeast"/>
        </w:trPr>
        <w:tc>
          <w:tcPr>
            <w:tcW w:w="634" w:type="dxa"/>
            <w:shd w:val="clear" w:color="auto" w:fill="C0C0C0"/>
          </w:tcPr>
          <w:p>
            <w:pPr>
              <w:pStyle w:val="TableParagraph"/>
              <w:ind w:left="218"/>
              <w:rPr>
                <w:b/>
                <w:sz w:val="22"/>
              </w:rPr>
            </w:pPr>
            <w:r>
              <w:rPr>
                <w:b/>
                <w:sz w:val="22"/>
              </w:rPr>
              <w:t>ID</w:t>
            </w:r>
          </w:p>
        </w:tc>
        <w:tc>
          <w:tcPr>
            <w:tcW w:w="4540" w:type="dxa"/>
            <w:shd w:val="clear" w:color="auto" w:fill="C0C0C0"/>
          </w:tcPr>
          <w:p>
            <w:pPr>
              <w:pStyle w:val="TableParagraph"/>
              <w:ind w:left="1439"/>
              <w:rPr>
                <w:b/>
                <w:sz w:val="22"/>
              </w:rPr>
            </w:pPr>
            <w:r>
              <w:rPr>
                <w:b/>
                <w:sz w:val="22"/>
              </w:rPr>
              <w:t>zh-tw formatCode</w:t>
            </w:r>
          </w:p>
        </w:tc>
        <w:tc>
          <w:tcPr>
            <w:tcW w:w="4420" w:type="dxa"/>
            <w:shd w:val="clear" w:color="auto" w:fill="C0C0C0"/>
          </w:tcPr>
          <w:p>
            <w:pPr>
              <w:pStyle w:val="TableParagraph"/>
              <w:ind w:left="1393"/>
              <w:rPr>
                <w:b/>
                <w:sz w:val="22"/>
              </w:rPr>
            </w:pPr>
            <w:r>
              <w:rPr>
                <w:b/>
                <w:sz w:val="22"/>
              </w:rPr>
              <w:t>zh-cn formatCode</w:t>
            </w:r>
          </w:p>
        </w:tc>
      </w:tr>
      <w:tr>
        <w:trPr>
          <w:trHeight w:val="386" w:hRule="atLeast"/>
        </w:trPr>
        <w:tc>
          <w:tcPr>
            <w:tcW w:w="634" w:type="dxa"/>
          </w:tcPr>
          <w:p>
            <w:pPr>
              <w:pStyle w:val="TableParagraph"/>
              <w:rPr>
                <w:sz w:val="22"/>
              </w:rPr>
            </w:pPr>
            <w:r>
              <w:rPr>
                <w:sz w:val="22"/>
              </w:rPr>
              <w:t>55</w:t>
            </w:r>
          </w:p>
        </w:tc>
        <w:tc>
          <w:tcPr>
            <w:tcW w:w="4540" w:type="dxa"/>
          </w:tcPr>
          <w:p>
            <w:pPr>
              <w:pStyle w:val="TableParagraph"/>
              <w:ind w:left="114"/>
              <w:rPr>
                <w:sz w:val="22"/>
              </w:rPr>
            </w:pPr>
            <w:r>
              <w:rPr>
                <w:sz w:val="22"/>
              </w:rPr>
              <w:t>4E0A5348/4E0B5348hh"6642"mm"5206"</w:t>
            </w:r>
          </w:p>
        </w:tc>
        <w:tc>
          <w:tcPr>
            <w:tcW w:w="4420" w:type="dxa"/>
          </w:tcPr>
          <w:p>
            <w:pPr>
              <w:pStyle w:val="TableParagraph"/>
              <w:ind w:left="113"/>
              <w:rPr>
                <w:sz w:val="22"/>
              </w:rPr>
            </w:pPr>
            <w:r>
              <w:rPr>
                <w:sz w:val="22"/>
              </w:rPr>
              <w:t>4E0A5348/4E0B5348h"65F6"mm"5206"</w:t>
            </w:r>
          </w:p>
        </w:tc>
      </w:tr>
      <w:tr>
        <w:trPr>
          <w:trHeight w:val="623" w:hRule="atLeast"/>
        </w:trPr>
        <w:tc>
          <w:tcPr>
            <w:tcW w:w="634" w:type="dxa"/>
          </w:tcPr>
          <w:p>
            <w:pPr>
              <w:pStyle w:val="TableParagraph"/>
              <w:rPr>
                <w:sz w:val="22"/>
              </w:rPr>
            </w:pPr>
            <w:r>
              <w:rPr>
                <w:sz w:val="22"/>
              </w:rPr>
              <w:t>56</w:t>
            </w:r>
          </w:p>
        </w:tc>
        <w:tc>
          <w:tcPr>
            <w:tcW w:w="4540" w:type="dxa"/>
          </w:tcPr>
          <w:p>
            <w:pPr>
              <w:pStyle w:val="TableParagraph"/>
              <w:ind w:left="114" w:right="200"/>
              <w:rPr>
                <w:sz w:val="22"/>
              </w:rPr>
            </w:pPr>
            <w:r>
              <w:rPr>
                <w:sz w:val="22"/>
              </w:rPr>
              <w:t>4E0A5348/4E0B5348hh"6642"mm"5206"ss"79 D2"</w:t>
            </w:r>
          </w:p>
        </w:tc>
        <w:tc>
          <w:tcPr>
            <w:tcW w:w="4420" w:type="dxa"/>
          </w:tcPr>
          <w:p>
            <w:pPr>
              <w:pStyle w:val="TableParagraph"/>
              <w:ind w:left="113" w:right="207"/>
              <w:rPr>
                <w:sz w:val="22"/>
              </w:rPr>
            </w:pPr>
            <w:r>
              <w:rPr>
                <w:sz w:val="22"/>
              </w:rPr>
              <w:t>4E0A5348/4E0B5348h"65F6"mm"5206"ss"79 D2"</w:t>
            </w:r>
          </w:p>
        </w:tc>
      </w:tr>
      <w:tr>
        <w:trPr>
          <w:trHeight w:val="386" w:hRule="atLeast"/>
        </w:trPr>
        <w:tc>
          <w:tcPr>
            <w:tcW w:w="634" w:type="dxa"/>
          </w:tcPr>
          <w:p>
            <w:pPr>
              <w:pStyle w:val="TableParagraph"/>
              <w:rPr>
                <w:sz w:val="22"/>
              </w:rPr>
            </w:pPr>
            <w:r>
              <w:rPr>
                <w:sz w:val="22"/>
              </w:rPr>
              <w:t>57</w:t>
            </w:r>
          </w:p>
        </w:tc>
        <w:tc>
          <w:tcPr>
            <w:tcW w:w="4540" w:type="dxa"/>
          </w:tcPr>
          <w:p>
            <w:pPr>
              <w:pStyle w:val="TableParagraph"/>
              <w:ind w:left="114"/>
              <w:rPr>
                <w:sz w:val="22"/>
              </w:rPr>
            </w:pPr>
            <w:r>
              <w:rPr>
                <w:sz w:val="22"/>
              </w:rPr>
              <w:t>[$-404]e/m/d</w:t>
            </w:r>
          </w:p>
        </w:tc>
        <w:tc>
          <w:tcPr>
            <w:tcW w:w="4420" w:type="dxa"/>
          </w:tcPr>
          <w:p>
            <w:pPr>
              <w:pStyle w:val="TableParagraph"/>
              <w:ind w:left="113"/>
              <w:rPr>
                <w:sz w:val="22"/>
              </w:rPr>
            </w:pPr>
            <w:r>
              <w:rPr>
                <w:sz w:val="22"/>
              </w:rPr>
              <w:t>yyyy"5E74"m"6708"</w:t>
            </w:r>
          </w:p>
        </w:tc>
      </w:tr>
      <w:tr>
        <w:trPr>
          <w:trHeight w:val="385" w:hRule="atLeast"/>
        </w:trPr>
        <w:tc>
          <w:tcPr>
            <w:tcW w:w="634" w:type="dxa"/>
          </w:tcPr>
          <w:p>
            <w:pPr>
              <w:pStyle w:val="TableParagraph"/>
              <w:rPr>
                <w:sz w:val="22"/>
              </w:rPr>
            </w:pPr>
            <w:r>
              <w:rPr>
                <w:sz w:val="22"/>
              </w:rPr>
              <w:t>58</w:t>
            </w:r>
          </w:p>
        </w:tc>
        <w:tc>
          <w:tcPr>
            <w:tcW w:w="4540" w:type="dxa"/>
          </w:tcPr>
          <w:p>
            <w:pPr>
              <w:pStyle w:val="TableParagraph"/>
              <w:ind w:left="114"/>
              <w:rPr>
                <w:sz w:val="22"/>
              </w:rPr>
            </w:pPr>
            <w:r>
              <w:rPr>
                <w:sz w:val="22"/>
              </w:rPr>
              <w:t>[$-404]e"5E74"m"6708"d"65E5"</w:t>
            </w:r>
          </w:p>
        </w:tc>
        <w:tc>
          <w:tcPr>
            <w:tcW w:w="4420" w:type="dxa"/>
          </w:tcPr>
          <w:p>
            <w:pPr>
              <w:pStyle w:val="TableParagraph"/>
              <w:ind w:left="113"/>
              <w:rPr>
                <w:sz w:val="22"/>
              </w:rPr>
            </w:pPr>
            <w:r>
              <w:rPr>
                <w:sz w:val="22"/>
              </w:rPr>
              <w:t>m"6708"d"65E5"</w:t>
            </w:r>
          </w:p>
        </w:tc>
      </w:tr>
    </w:tbl>
    <w:p>
      <w:pPr>
        <w:pStyle w:val="BodyText"/>
        <w:rPr>
          <w:b/>
          <w:sz w:val="20"/>
        </w:rPr>
      </w:pPr>
    </w:p>
    <w:p>
      <w:pPr>
        <w:pStyle w:val="BodyText"/>
        <w:rPr>
          <w:b/>
          <w:sz w:val="16"/>
        </w:rPr>
      </w:pPr>
    </w:p>
    <w:p>
      <w:pPr>
        <w:spacing w:before="57"/>
        <w:ind w:left="220" w:right="0" w:firstLine="0"/>
        <w:jc w:val="left"/>
        <w:rPr>
          <w:b/>
          <w:sz w:val="22"/>
        </w:rPr>
      </w:pPr>
      <w:r>
        <w:rPr>
          <w:b/>
          <w:sz w:val="22"/>
        </w:rPr>
        <w:t>ja-jp and ko-kr</w:t>
      </w:r>
    </w:p>
    <w:p>
      <w:pPr>
        <w:pStyle w:val="BodyText"/>
        <w:spacing w:before="8"/>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1"/>
        <w:gridCol w:w="3166"/>
        <w:gridCol w:w="3060"/>
      </w:tblGrid>
      <w:tr>
        <w:trPr>
          <w:trHeight w:val="386" w:hRule="atLeast"/>
        </w:trPr>
        <w:tc>
          <w:tcPr>
            <w:tcW w:w="461" w:type="dxa"/>
            <w:shd w:val="clear" w:color="auto" w:fill="C0C0C0"/>
          </w:tcPr>
          <w:p>
            <w:pPr>
              <w:pStyle w:val="TableParagraph"/>
              <w:ind w:left="96" w:right="84"/>
              <w:jc w:val="center"/>
              <w:rPr>
                <w:b/>
                <w:sz w:val="22"/>
              </w:rPr>
            </w:pPr>
            <w:r>
              <w:rPr>
                <w:b/>
                <w:sz w:val="22"/>
              </w:rPr>
              <w:t>ID</w:t>
            </w:r>
          </w:p>
        </w:tc>
        <w:tc>
          <w:tcPr>
            <w:tcW w:w="3166" w:type="dxa"/>
            <w:shd w:val="clear" w:color="auto" w:fill="C0C0C0"/>
          </w:tcPr>
          <w:p>
            <w:pPr>
              <w:pStyle w:val="TableParagraph"/>
              <w:ind w:left="805"/>
              <w:rPr>
                <w:b/>
                <w:sz w:val="22"/>
              </w:rPr>
            </w:pPr>
            <w:r>
              <w:rPr>
                <w:b/>
                <w:sz w:val="22"/>
              </w:rPr>
              <w:t>ja-jp formatCode</w:t>
            </w:r>
          </w:p>
        </w:tc>
        <w:tc>
          <w:tcPr>
            <w:tcW w:w="3060" w:type="dxa"/>
            <w:shd w:val="clear" w:color="auto" w:fill="C0C0C0"/>
          </w:tcPr>
          <w:p>
            <w:pPr>
              <w:pStyle w:val="TableParagraph"/>
              <w:ind w:left="717"/>
              <w:rPr>
                <w:b/>
                <w:sz w:val="22"/>
              </w:rPr>
            </w:pPr>
            <w:r>
              <w:rPr>
                <w:b/>
                <w:sz w:val="22"/>
              </w:rPr>
              <w:t>ko-kr formatCode</w:t>
            </w:r>
          </w:p>
        </w:tc>
      </w:tr>
      <w:tr>
        <w:trPr>
          <w:trHeight w:val="386" w:hRule="atLeast"/>
        </w:trPr>
        <w:tc>
          <w:tcPr>
            <w:tcW w:w="461" w:type="dxa"/>
          </w:tcPr>
          <w:p>
            <w:pPr>
              <w:pStyle w:val="TableParagraph"/>
              <w:ind w:left="96" w:right="92"/>
              <w:jc w:val="center"/>
              <w:rPr>
                <w:sz w:val="22"/>
              </w:rPr>
            </w:pPr>
            <w:r>
              <w:rPr>
                <w:sz w:val="22"/>
              </w:rPr>
              <w:t>27</w:t>
            </w:r>
          </w:p>
        </w:tc>
        <w:tc>
          <w:tcPr>
            <w:tcW w:w="3166" w:type="dxa"/>
          </w:tcPr>
          <w:p>
            <w:pPr>
              <w:pStyle w:val="TableParagraph"/>
              <w:ind w:left="114"/>
              <w:rPr>
                <w:sz w:val="22"/>
              </w:rPr>
            </w:pPr>
            <w:r>
              <w:rPr>
                <w:sz w:val="22"/>
              </w:rPr>
              <w:t>[$-411]ge.m.d</w:t>
            </w:r>
          </w:p>
        </w:tc>
        <w:tc>
          <w:tcPr>
            <w:tcW w:w="3060" w:type="dxa"/>
          </w:tcPr>
          <w:p>
            <w:pPr>
              <w:pStyle w:val="TableParagraph"/>
              <w:spacing w:before="42"/>
              <w:ind w:left="112"/>
              <w:rPr>
                <w:sz w:val="22"/>
              </w:rPr>
            </w:pPr>
            <w:r>
              <w:rPr>
                <w:sz w:val="22"/>
              </w:rPr>
              <w:t>yyyy"</w:t>
            </w:r>
            <w:r>
              <w:rPr>
                <w:rFonts w:ascii="SimSun" w:eastAsia="SimSun" w:hint="eastAsia"/>
                <w:sz w:val="22"/>
              </w:rPr>
              <w:t>年</w:t>
            </w:r>
            <w:r>
              <w:rPr>
                <w:sz w:val="22"/>
              </w:rPr>
              <w:t>" mm"</w:t>
            </w:r>
            <w:r>
              <w:rPr>
                <w:rFonts w:ascii="SimSun" w:eastAsia="SimSun" w:hint="eastAsia"/>
                <w:sz w:val="22"/>
              </w:rPr>
              <w:t>月</w:t>
            </w:r>
            <w:r>
              <w:rPr>
                <w:sz w:val="22"/>
              </w:rPr>
              <w:t>" dd"</w:t>
            </w:r>
            <w:r>
              <w:rPr>
                <w:rFonts w:ascii="SimSun" w:eastAsia="SimSun" w:hint="eastAsia"/>
                <w:sz w:val="22"/>
              </w:rPr>
              <w:t>日</w:t>
            </w:r>
            <w:r>
              <w:rPr>
                <w:sz w:val="22"/>
              </w:rPr>
              <w:t>"</w:t>
            </w:r>
          </w:p>
        </w:tc>
      </w:tr>
      <w:tr>
        <w:trPr>
          <w:trHeight w:val="386" w:hRule="atLeast"/>
        </w:trPr>
        <w:tc>
          <w:tcPr>
            <w:tcW w:w="461" w:type="dxa"/>
          </w:tcPr>
          <w:p>
            <w:pPr>
              <w:pStyle w:val="TableParagraph"/>
              <w:ind w:left="96" w:right="92"/>
              <w:jc w:val="center"/>
              <w:rPr>
                <w:sz w:val="22"/>
              </w:rPr>
            </w:pPr>
            <w:r>
              <w:rPr>
                <w:sz w:val="22"/>
              </w:rPr>
              <w:t>28</w:t>
            </w:r>
          </w:p>
        </w:tc>
        <w:tc>
          <w:tcPr>
            <w:tcW w:w="3166" w:type="dxa"/>
          </w:tcPr>
          <w:p>
            <w:pPr>
              <w:pStyle w:val="TableParagraph"/>
              <w:spacing w:before="41"/>
              <w:ind w:left="114"/>
              <w:rPr>
                <w:sz w:val="22"/>
              </w:rPr>
            </w:pPr>
            <w:r>
              <w:rPr>
                <w:sz w:val="22"/>
              </w:rPr>
              <w:t>[$-411]ggge"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mm-dd</w:t>
            </w:r>
          </w:p>
        </w:tc>
      </w:tr>
      <w:tr>
        <w:trPr>
          <w:trHeight w:val="385" w:hRule="atLeast"/>
        </w:trPr>
        <w:tc>
          <w:tcPr>
            <w:tcW w:w="461" w:type="dxa"/>
          </w:tcPr>
          <w:p>
            <w:pPr>
              <w:pStyle w:val="TableParagraph"/>
              <w:ind w:left="96" w:right="92"/>
              <w:jc w:val="center"/>
              <w:rPr>
                <w:sz w:val="22"/>
              </w:rPr>
            </w:pPr>
            <w:r>
              <w:rPr>
                <w:sz w:val="22"/>
              </w:rPr>
              <w:t>29</w:t>
            </w:r>
          </w:p>
        </w:tc>
        <w:tc>
          <w:tcPr>
            <w:tcW w:w="3166" w:type="dxa"/>
          </w:tcPr>
          <w:p>
            <w:pPr>
              <w:pStyle w:val="TableParagraph"/>
              <w:spacing w:before="41"/>
              <w:ind w:left="114"/>
              <w:rPr>
                <w:sz w:val="22"/>
              </w:rPr>
            </w:pPr>
            <w:r>
              <w:rPr>
                <w:sz w:val="22"/>
              </w:rPr>
              <w:t>[$-411]ggge"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mm-dd</w:t>
            </w:r>
          </w:p>
        </w:tc>
      </w:tr>
      <w:tr>
        <w:trPr>
          <w:trHeight w:val="386" w:hRule="atLeast"/>
        </w:trPr>
        <w:tc>
          <w:tcPr>
            <w:tcW w:w="461" w:type="dxa"/>
          </w:tcPr>
          <w:p>
            <w:pPr>
              <w:pStyle w:val="TableParagraph"/>
              <w:ind w:left="96" w:right="92"/>
              <w:jc w:val="center"/>
              <w:rPr>
                <w:sz w:val="22"/>
              </w:rPr>
            </w:pPr>
            <w:r>
              <w:rPr>
                <w:sz w:val="22"/>
              </w:rPr>
              <w:t>30</w:t>
            </w:r>
          </w:p>
        </w:tc>
        <w:tc>
          <w:tcPr>
            <w:tcW w:w="3166" w:type="dxa"/>
          </w:tcPr>
          <w:p>
            <w:pPr>
              <w:pStyle w:val="TableParagraph"/>
              <w:ind w:left="114"/>
              <w:rPr>
                <w:sz w:val="22"/>
              </w:rPr>
            </w:pPr>
            <w:r>
              <w:rPr>
                <w:sz w:val="22"/>
              </w:rPr>
              <w:t>m/d/yy</w:t>
            </w:r>
          </w:p>
        </w:tc>
        <w:tc>
          <w:tcPr>
            <w:tcW w:w="3060" w:type="dxa"/>
          </w:tcPr>
          <w:p>
            <w:pPr>
              <w:pStyle w:val="TableParagraph"/>
              <w:ind w:left="112"/>
              <w:rPr>
                <w:sz w:val="22"/>
              </w:rPr>
            </w:pPr>
            <w:r>
              <w:rPr>
                <w:sz w:val="22"/>
              </w:rPr>
              <w:t>mm-dd-yy</w:t>
            </w:r>
          </w:p>
        </w:tc>
      </w:tr>
      <w:tr>
        <w:trPr>
          <w:trHeight w:val="386" w:hRule="atLeast"/>
        </w:trPr>
        <w:tc>
          <w:tcPr>
            <w:tcW w:w="461" w:type="dxa"/>
          </w:tcPr>
          <w:p>
            <w:pPr>
              <w:pStyle w:val="TableParagraph"/>
              <w:ind w:left="96" w:right="92"/>
              <w:jc w:val="center"/>
              <w:rPr>
                <w:sz w:val="22"/>
              </w:rPr>
            </w:pPr>
            <w:r>
              <w:rPr>
                <w:sz w:val="22"/>
              </w:rPr>
              <w:t>31</w:t>
            </w:r>
          </w:p>
        </w:tc>
        <w:tc>
          <w:tcPr>
            <w:tcW w:w="3166"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spacing w:before="44"/>
              <w:ind w:left="112"/>
              <w:rPr>
                <w:sz w:val="22"/>
              </w:rPr>
            </w:pPr>
            <w:r>
              <w:rPr>
                <w:sz w:val="22"/>
              </w:rPr>
              <w:t>yyyy"</w:t>
            </w:r>
            <w:r>
              <w:rPr>
                <w:rFonts w:ascii="Gulim" w:eastAsia="Gulim" w:hint="eastAsia"/>
                <w:sz w:val="22"/>
              </w:rPr>
              <w:t>년</w:t>
            </w:r>
            <w:r>
              <w:rPr>
                <w:sz w:val="22"/>
              </w:rPr>
              <w:t>" mm"</w:t>
            </w:r>
            <w:r>
              <w:rPr>
                <w:rFonts w:ascii="Gulim" w:eastAsia="Gulim" w:hint="eastAsia"/>
                <w:sz w:val="22"/>
              </w:rPr>
              <w:t>월</w:t>
            </w:r>
            <w:r>
              <w:rPr>
                <w:sz w:val="22"/>
              </w:rPr>
              <w:t>" dd"</w:t>
            </w:r>
            <w:r>
              <w:rPr>
                <w:rFonts w:ascii="Gulim" w:eastAsia="Gulim" w:hint="eastAsia"/>
                <w:sz w:val="22"/>
              </w:rPr>
              <w:t>일</w:t>
            </w:r>
            <w:r>
              <w:rPr>
                <w:sz w:val="22"/>
              </w:rPr>
              <w:t>"</w:t>
            </w:r>
          </w:p>
        </w:tc>
      </w:tr>
      <w:tr>
        <w:trPr>
          <w:trHeight w:val="385" w:hRule="atLeast"/>
        </w:trPr>
        <w:tc>
          <w:tcPr>
            <w:tcW w:w="461" w:type="dxa"/>
          </w:tcPr>
          <w:p>
            <w:pPr>
              <w:pStyle w:val="TableParagraph"/>
              <w:ind w:left="96" w:right="92"/>
              <w:jc w:val="center"/>
              <w:rPr>
                <w:sz w:val="22"/>
              </w:rPr>
            </w:pPr>
            <w:r>
              <w:rPr>
                <w:sz w:val="22"/>
              </w:rPr>
              <w:t>32</w:t>
            </w:r>
          </w:p>
        </w:tc>
        <w:tc>
          <w:tcPr>
            <w:tcW w:w="3166" w:type="dxa"/>
          </w:tcPr>
          <w:p>
            <w:pPr>
              <w:pStyle w:val="TableParagraph"/>
              <w:spacing w:before="41"/>
              <w:ind w:left="114"/>
              <w:rPr>
                <w:sz w:val="22"/>
              </w:rPr>
            </w:pPr>
            <w:r>
              <w:rPr>
                <w:sz w:val="22"/>
              </w:rPr>
              <w:t>h"</w:t>
            </w:r>
            <w:r>
              <w:rPr>
                <w:rFonts w:ascii="SimSun" w:eastAsia="SimSun" w:hint="eastAsia"/>
                <w:sz w:val="22"/>
              </w:rPr>
              <w:t>時</w:t>
            </w:r>
            <w:r>
              <w:rPr>
                <w:sz w:val="22"/>
              </w:rPr>
              <w:t>"mm"</w:t>
            </w:r>
            <w:r>
              <w:rPr>
                <w:rFonts w:ascii="SimSun" w:eastAsia="SimSun" w:hint="eastAsia"/>
                <w:sz w:val="22"/>
              </w:rPr>
              <w:t>分</w:t>
            </w:r>
            <w:r>
              <w:rPr>
                <w:sz w:val="22"/>
              </w:rPr>
              <w:t>"</w:t>
            </w:r>
          </w:p>
        </w:tc>
        <w:tc>
          <w:tcPr>
            <w:tcW w:w="3060" w:type="dxa"/>
          </w:tcPr>
          <w:p>
            <w:pPr>
              <w:pStyle w:val="TableParagraph"/>
              <w:spacing w:before="44"/>
              <w:ind w:left="112"/>
              <w:rPr>
                <w:sz w:val="22"/>
              </w:rPr>
            </w:pPr>
            <w:r>
              <w:rPr>
                <w:sz w:val="22"/>
              </w:rPr>
              <w:t>h"</w:t>
            </w:r>
            <w:r>
              <w:rPr>
                <w:rFonts w:ascii="Gulim" w:eastAsia="Gulim" w:hint="eastAsia"/>
                <w:sz w:val="22"/>
              </w:rPr>
              <w:t>시</w:t>
            </w:r>
            <w:r>
              <w:rPr>
                <w:sz w:val="22"/>
              </w:rPr>
              <w:t>" mm"</w:t>
            </w:r>
            <w:r>
              <w:rPr>
                <w:rFonts w:ascii="Gulim" w:eastAsia="Gulim" w:hint="eastAsia"/>
                <w:sz w:val="22"/>
              </w:rPr>
              <w:t>분</w:t>
            </w:r>
            <w:r>
              <w:rPr>
                <w:sz w:val="22"/>
              </w:rPr>
              <w:t>"</w:t>
            </w:r>
          </w:p>
        </w:tc>
      </w:tr>
      <w:tr>
        <w:trPr>
          <w:trHeight w:val="386" w:hRule="atLeast"/>
        </w:trPr>
        <w:tc>
          <w:tcPr>
            <w:tcW w:w="461" w:type="dxa"/>
          </w:tcPr>
          <w:p>
            <w:pPr>
              <w:pStyle w:val="TableParagraph"/>
              <w:ind w:left="96" w:right="92"/>
              <w:jc w:val="center"/>
              <w:rPr>
                <w:sz w:val="22"/>
              </w:rPr>
            </w:pPr>
            <w:r>
              <w:rPr>
                <w:sz w:val="22"/>
              </w:rPr>
              <w:t>33</w:t>
            </w:r>
          </w:p>
        </w:tc>
        <w:tc>
          <w:tcPr>
            <w:tcW w:w="3166" w:type="dxa"/>
          </w:tcPr>
          <w:p>
            <w:pPr>
              <w:pStyle w:val="TableParagraph"/>
              <w:spacing w:before="41"/>
              <w:ind w:left="114"/>
              <w:rPr>
                <w:sz w:val="22"/>
              </w:rPr>
            </w:pPr>
            <w:r>
              <w:rPr>
                <w:sz w:val="22"/>
              </w:rPr>
              <w:t>h"</w:t>
            </w:r>
            <w:r>
              <w:rPr>
                <w:rFonts w:ascii="SimSun" w:eastAsia="SimSun" w:hint="eastAsia"/>
                <w:sz w:val="22"/>
              </w:rPr>
              <w:t>時</w:t>
            </w:r>
            <w:r>
              <w:rPr>
                <w:sz w:val="22"/>
              </w:rPr>
              <w:t>"mm"</w:t>
            </w:r>
            <w:r>
              <w:rPr>
                <w:rFonts w:ascii="SimSun" w:eastAsia="SimSun" w:hint="eastAsia"/>
                <w:sz w:val="22"/>
              </w:rPr>
              <w:t>分</w:t>
            </w:r>
            <w:r>
              <w:rPr>
                <w:sz w:val="22"/>
              </w:rPr>
              <w:t>"ss"</w:t>
            </w:r>
            <w:r>
              <w:rPr>
                <w:rFonts w:ascii="SimSun" w:eastAsia="SimSun" w:hint="eastAsia"/>
                <w:sz w:val="22"/>
              </w:rPr>
              <w:t>秒</w:t>
            </w:r>
            <w:r>
              <w:rPr>
                <w:sz w:val="22"/>
              </w:rPr>
              <w:t>"</w:t>
            </w:r>
          </w:p>
        </w:tc>
        <w:tc>
          <w:tcPr>
            <w:tcW w:w="3060" w:type="dxa"/>
          </w:tcPr>
          <w:p>
            <w:pPr>
              <w:pStyle w:val="TableParagraph"/>
              <w:spacing w:before="44"/>
              <w:ind w:left="112"/>
              <w:rPr>
                <w:sz w:val="22"/>
              </w:rPr>
            </w:pPr>
            <w:r>
              <w:rPr>
                <w:sz w:val="22"/>
              </w:rPr>
              <w:t>h"</w:t>
            </w:r>
            <w:r>
              <w:rPr>
                <w:rFonts w:ascii="Gulim" w:eastAsia="Gulim" w:hint="eastAsia"/>
                <w:sz w:val="22"/>
              </w:rPr>
              <w:t>시</w:t>
            </w:r>
            <w:r>
              <w:rPr>
                <w:sz w:val="22"/>
              </w:rPr>
              <w:t>" mm"</w:t>
            </w:r>
            <w:r>
              <w:rPr>
                <w:rFonts w:ascii="Gulim" w:eastAsia="Gulim" w:hint="eastAsia"/>
                <w:sz w:val="22"/>
              </w:rPr>
              <w:t>분</w:t>
            </w:r>
            <w:r>
              <w:rPr>
                <w:sz w:val="22"/>
              </w:rPr>
              <w:t>" ss"</w:t>
            </w:r>
            <w:r>
              <w:rPr>
                <w:rFonts w:ascii="Gulim" w:eastAsia="Gulim" w:hint="eastAsia"/>
                <w:sz w:val="22"/>
              </w:rPr>
              <w:t>초</w:t>
            </w:r>
            <w:r>
              <w:rPr>
                <w:sz w:val="22"/>
              </w:rPr>
              <w:t>"</w:t>
            </w:r>
          </w:p>
        </w:tc>
      </w:tr>
      <w:tr>
        <w:trPr>
          <w:trHeight w:val="385" w:hRule="atLeast"/>
        </w:trPr>
        <w:tc>
          <w:tcPr>
            <w:tcW w:w="461" w:type="dxa"/>
          </w:tcPr>
          <w:p>
            <w:pPr>
              <w:pStyle w:val="TableParagraph"/>
              <w:ind w:left="96" w:right="92"/>
              <w:jc w:val="center"/>
              <w:rPr>
                <w:sz w:val="22"/>
              </w:rPr>
            </w:pPr>
            <w:r>
              <w:rPr>
                <w:sz w:val="22"/>
              </w:rPr>
              <w:t>34</w:t>
            </w:r>
          </w:p>
        </w:tc>
        <w:tc>
          <w:tcPr>
            <w:tcW w:w="3166"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c>
          <w:tcPr>
            <w:tcW w:w="3060" w:type="dxa"/>
          </w:tcPr>
          <w:p>
            <w:pPr>
              <w:pStyle w:val="TableParagraph"/>
              <w:ind w:left="112"/>
              <w:rPr>
                <w:sz w:val="22"/>
              </w:rPr>
            </w:pPr>
            <w:r>
              <w:rPr>
                <w:sz w:val="22"/>
              </w:rPr>
              <w:t>yyyy-mm-dd</w:t>
            </w:r>
          </w:p>
        </w:tc>
      </w:tr>
      <w:tr>
        <w:trPr>
          <w:trHeight w:val="386" w:hRule="atLeast"/>
        </w:trPr>
        <w:tc>
          <w:tcPr>
            <w:tcW w:w="461" w:type="dxa"/>
          </w:tcPr>
          <w:p>
            <w:pPr>
              <w:pStyle w:val="TableParagraph"/>
              <w:ind w:left="96" w:right="92"/>
              <w:jc w:val="center"/>
              <w:rPr>
                <w:sz w:val="22"/>
              </w:rPr>
            </w:pPr>
            <w:r>
              <w:rPr>
                <w:sz w:val="22"/>
              </w:rPr>
              <w:t>35</w:t>
            </w:r>
          </w:p>
        </w:tc>
        <w:tc>
          <w:tcPr>
            <w:tcW w:w="3166"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yyyy-mm-dd</w:t>
            </w:r>
          </w:p>
        </w:tc>
      </w:tr>
      <w:tr>
        <w:trPr>
          <w:trHeight w:val="386" w:hRule="atLeast"/>
        </w:trPr>
        <w:tc>
          <w:tcPr>
            <w:tcW w:w="461" w:type="dxa"/>
          </w:tcPr>
          <w:p>
            <w:pPr>
              <w:pStyle w:val="TableParagraph"/>
              <w:ind w:left="96" w:right="92"/>
              <w:jc w:val="center"/>
              <w:rPr>
                <w:sz w:val="22"/>
              </w:rPr>
            </w:pPr>
            <w:r>
              <w:rPr>
                <w:sz w:val="22"/>
              </w:rPr>
              <w:t>36</w:t>
            </w:r>
          </w:p>
        </w:tc>
        <w:tc>
          <w:tcPr>
            <w:tcW w:w="3166" w:type="dxa"/>
          </w:tcPr>
          <w:p>
            <w:pPr>
              <w:pStyle w:val="TableParagraph"/>
              <w:ind w:left="114"/>
              <w:rPr>
                <w:sz w:val="22"/>
              </w:rPr>
            </w:pPr>
            <w:r>
              <w:rPr>
                <w:sz w:val="22"/>
              </w:rPr>
              <w:t>[$-411]ge.m.d</w:t>
            </w:r>
          </w:p>
        </w:tc>
        <w:tc>
          <w:tcPr>
            <w:tcW w:w="3060" w:type="dxa"/>
          </w:tcPr>
          <w:p>
            <w:pPr>
              <w:pStyle w:val="TableParagraph"/>
              <w:spacing w:before="41"/>
              <w:ind w:left="112"/>
              <w:rPr>
                <w:sz w:val="22"/>
              </w:rPr>
            </w:pPr>
            <w:r>
              <w:rPr>
                <w:sz w:val="22"/>
              </w:rPr>
              <w:t>yyyy"</w:t>
            </w:r>
            <w:r>
              <w:rPr>
                <w:rFonts w:ascii="SimSun" w:eastAsia="SimSun" w:hint="eastAsia"/>
                <w:sz w:val="22"/>
              </w:rPr>
              <w:t>年</w:t>
            </w:r>
            <w:r>
              <w:rPr>
                <w:sz w:val="22"/>
              </w:rPr>
              <w:t>" mm"</w:t>
            </w:r>
            <w:r>
              <w:rPr>
                <w:rFonts w:ascii="SimSun" w:eastAsia="SimSun" w:hint="eastAsia"/>
                <w:sz w:val="22"/>
              </w:rPr>
              <w:t>月</w:t>
            </w:r>
            <w:r>
              <w:rPr>
                <w:sz w:val="22"/>
              </w:rPr>
              <w:t>" dd"</w:t>
            </w:r>
            <w:r>
              <w:rPr>
                <w:rFonts w:ascii="SimSun" w:eastAsia="SimSun" w:hint="eastAsia"/>
                <w:sz w:val="22"/>
              </w:rPr>
              <w:t>日</w:t>
            </w:r>
            <w:r>
              <w:rPr>
                <w:sz w:val="22"/>
              </w:rPr>
              <w:t>"</w:t>
            </w:r>
          </w:p>
        </w:tc>
      </w:tr>
      <w:tr>
        <w:trPr>
          <w:trHeight w:val="386" w:hRule="atLeast"/>
        </w:trPr>
        <w:tc>
          <w:tcPr>
            <w:tcW w:w="461" w:type="dxa"/>
          </w:tcPr>
          <w:p>
            <w:pPr>
              <w:pStyle w:val="TableParagraph"/>
              <w:ind w:left="96" w:right="92"/>
              <w:jc w:val="center"/>
              <w:rPr>
                <w:sz w:val="22"/>
              </w:rPr>
            </w:pPr>
            <w:r>
              <w:rPr>
                <w:sz w:val="22"/>
              </w:rPr>
              <w:t>50</w:t>
            </w:r>
          </w:p>
        </w:tc>
        <w:tc>
          <w:tcPr>
            <w:tcW w:w="3166" w:type="dxa"/>
          </w:tcPr>
          <w:p>
            <w:pPr>
              <w:pStyle w:val="TableParagraph"/>
              <w:ind w:left="114"/>
              <w:rPr>
                <w:sz w:val="22"/>
              </w:rPr>
            </w:pPr>
            <w:r>
              <w:rPr>
                <w:sz w:val="22"/>
              </w:rPr>
              <w:t>[$-411]ge.m.d</w:t>
            </w:r>
          </w:p>
        </w:tc>
        <w:tc>
          <w:tcPr>
            <w:tcW w:w="3060" w:type="dxa"/>
          </w:tcPr>
          <w:p>
            <w:pPr>
              <w:pStyle w:val="TableParagraph"/>
              <w:spacing w:before="41"/>
              <w:ind w:left="112"/>
              <w:rPr>
                <w:sz w:val="22"/>
              </w:rPr>
            </w:pPr>
            <w:r>
              <w:rPr>
                <w:sz w:val="22"/>
              </w:rPr>
              <w:t>yyyy"</w:t>
            </w:r>
            <w:r>
              <w:rPr>
                <w:rFonts w:ascii="SimSun" w:eastAsia="SimSun" w:hint="eastAsia"/>
                <w:sz w:val="22"/>
              </w:rPr>
              <w:t>年</w:t>
            </w:r>
            <w:r>
              <w:rPr>
                <w:sz w:val="22"/>
              </w:rPr>
              <w:t>" mm"</w:t>
            </w:r>
            <w:r>
              <w:rPr>
                <w:rFonts w:ascii="SimSun" w:eastAsia="SimSun" w:hint="eastAsia"/>
                <w:sz w:val="22"/>
              </w:rPr>
              <w:t>月</w:t>
            </w:r>
            <w:r>
              <w:rPr>
                <w:sz w:val="22"/>
              </w:rPr>
              <w:t>" dd"</w:t>
            </w:r>
            <w:r>
              <w:rPr>
                <w:rFonts w:ascii="SimSun" w:eastAsia="SimSun" w:hint="eastAsia"/>
                <w:sz w:val="22"/>
              </w:rPr>
              <w:t>日</w:t>
            </w:r>
            <w:r>
              <w:rPr>
                <w:sz w:val="22"/>
              </w:rPr>
              <w:t>"</w:t>
            </w:r>
          </w:p>
        </w:tc>
      </w:tr>
      <w:tr>
        <w:trPr>
          <w:trHeight w:val="385" w:hRule="atLeast"/>
        </w:trPr>
        <w:tc>
          <w:tcPr>
            <w:tcW w:w="461" w:type="dxa"/>
          </w:tcPr>
          <w:p>
            <w:pPr>
              <w:pStyle w:val="TableParagraph"/>
              <w:ind w:left="96" w:right="92"/>
              <w:jc w:val="center"/>
              <w:rPr>
                <w:sz w:val="22"/>
              </w:rPr>
            </w:pPr>
            <w:r>
              <w:rPr>
                <w:sz w:val="22"/>
              </w:rPr>
              <w:t>51</w:t>
            </w:r>
          </w:p>
        </w:tc>
        <w:tc>
          <w:tcPr>
            <w:tcW w:w="3166" w:type="dxa"/>
          </w:tcPr>
          <w:p>
            <w:pPr>
              <w:pStyle w:val="TableParagraph"/>
              <w:spacing w:before="41"/>
              <w:ind w:left="114"/>
              <w:rPr>
                <w:sz w:val="22"/>
              </w:rPr>
            </w:pPr>
            <w:r>
              <w:rPr>
                <w:sz w:val="22"/>
              </w:rPr>
              <w:t>[$-411]ggge"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mm-dd</w:t>
            </w:r>
          </w:p>
        </w:tc>
      </w:tr>
      <w:tr>
        <w:trPr>
          <w:trHeight w:val="386" w:hRule="atLeast"/>
        </w:trPr>
        <w:tc>
          <w:tcPr>
            <w:tcW w:w="461" w:type="dxa"/>
          </w:tcPr>
          <w:p>
            <w:pPr>
              <w:pStyle w:val="TableParagraph"/>
              <w:ind w:left="96" w:right="92"/>
              <w:jc w:val="center"/>
              <w:rPr>
                <w:sz w:val="22"/>
              </w:rPr>
            </w:pPr>
            <w:r>
              <w:rPr>
                <w:sz w:val="22"/>
              </w:rPr>
              <w:t>52</w:t>
            </w:r>
          </w:p>
        </w:tc>
        <w:tc>
          <w:tcPr>
            <w:tcW w:w="3166"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c>
          <w:tcPr>
            <w:tcW w:w="3060" w:type="dxa"/>
          </w:tcPr>
          <w:p>
            <w:pPr>
              <w:pStyle w:val="TableParagraph"/>
              <w:ind w:left="112"/>
              <w:rPr>
                <w:sz w:val="22"/>
              </w:rPr>
            </w:pPr>
            <w:r>
              <w:rPr>
                <w:sz w:val="22"/>
              </w:rPr>
              <w:t>yyyy-mm-dd</w:t>
            </w:r>
          </w:p>
        </w:tc>
      </w:tr>
      <w:tr>
        <w:trPr>
          <w:trHeight w:val="385" w:hRule="atLeast"/>
        </w:trPr>
        <w:tc>
          <w:tcPr>
            <w:tcW w:w="461" w:type="dxa"/>
          </w:tcPr>
          <w:p>
            <w:pPr>
              <w:pStyle w:val="TableParagraph"/>
              <w:ind w:left="96" w:right="92"/>
              <w:jc w:val="center"/>
              <w:rPr>
                <w:sz w:val="22"/>
              </w:rPr>
            </w:pPr>
            <w:r>
              <w:rPr>
                <w:sz w:val="22"/>
              </w:rPr>
              <w:t>53</w:t>
            </w:r>
          </w:p>
        </w:tc>
        <w:tc>
          <w:tcPr>
            <w:tcW w:w="3166"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yyyy-mm-dd</w:t>
            </w:r>
          </w:p>
        </w:tc>
      </w:tr>
      <w:tr>
        <w:trPr>
          <w:trHeight w:val="386" w:hRule="atLeast"/>
        </w:trPr>
        <w:tc>
          <w:tcPr>
            <w:tcW w:w="461" w:type="dxa"/>
          </w:tcPr>
          <w:p>
            <w:pPr>
              <w:pStyle w:val="TableParagraph"/>
              <w:ind w:left="96" w:right="92"/>
              <w:jc w:val="center"/>
              <w:rPr>
                <w:sz w:val="22"/>
              </w:rPr>
            </w:pPr>
            <w:r>
              <w:rPr>
                <w:sz w:val="22"/>
              </w:rPr>
              <w:t>54</w:t>
            </w:r>
          </w:p>
        </w:tc>
        <w:tc>
          <w:tcPr>
            <w:tcW w:w="3166" w:type="dxa"/>
          </w:tcPr>
          <w:p>
            <w:pPr>
              <w:pStyle w:val="TableParagraph"/>
              <w:spacing w:before="41"/>
              <w:ind w:left="114"/>
              <w:rPr>
                <w:sz w:val="22"/>
              </w:rPr>
            </w:pPr>
            <w:r>
              <w:rPr>
                <w:sz w:val="22"/>
              </w:rPr>
              <w:t>[$-411]ggge"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mm-dd</w:t>
            </w:r>
          </w:p>
        </w:tc>
      </w:tr>
      <w:tr>
        <w:trPr>
          <w:trHeight w:val="385" w:hRule="atLeast"/>
        </w:trPr>
        <w:tc>
          <w:tcPr>
            <w:tcW w:w="461" w:type="dxa"/>
          </w:tcPr>
          <w:p>
            <w:pPr>
              <w:pStyle w:val="TableParagraph"/>
              <w:ind w:left="96" w:right="92"/>
              <w:jc w:val="center"/>
              <w:rPr>
                <w:sz w:val="22"/>
              </w:rPr>
            </w:pPr>
            <w:r>
              <w:rPr>
                <w:sz w:val="22"/>
              </w:rPr>
              <w:t>55</w:t>
            </w:r>
          </w:p>
        </w:tc>
        <w:tc>
          <w:tcPr>
            <w:tcW w:w="3166" w:type="dxa"/>
          </w:tcPr>
          <w:p>
            <w:pPr>
              <w:pStyle w:val="TableParagraph"/>
              <w:spacing w:before="41"/>
              <w:ind w:left="114"/>
              <w:rPr>
                <w:sz w:val="22"/>
              </w:rPr>
            </w:pPr>
            <w:r>
              <w:rPr>
                <w:sz w:val="22"/>
              </w:rPr>
              <w:t>yyyy"</w:t>
            </w:r>
            <w:r>
              <w:rPr>
                <w:rFonts w:ascii="SimSun" w:eastAsia="SimSun" w:hint="eastAsia"/>
                <w:sz w:val="22"/>
              </w:rPr>
              <w:t>年</w:t>
            </w:r>
            <w:r>
              <w:rPr>
                <w:sz w:val="22"/>
              </w:rPr>
              <w:t>"m"</w:t>
            </w:r>
            <w:r>
              <w:rPr>
                <w:rFonts w:ascii="SimSun" w:eastAsia="SimSun" w:hint="eastAsia"/>
                <w:sz w:val="22"/>
              </w:rPr>
              <w:t>月</w:t>
            </w:r>
            <w:r>
              <w:rPr>
                <w:sz w:val="22"/>
              </w:rPr>
              <w:t>"</w:t>
            </w:r>
          </w:p>
        </w:tc>
        <w:tc>
          <w:tcPr>
            <w:tcW w:w="3060" w:type="dxa"/>
          </w:tcPr>
          <w:p>
            <w:pPr>
              <w:pStyle w:val="TableParagraph"/>
              <w:ind w:left="112"/>
              <w:rPr>
                <w:sz w:val="22"/>
              </w:rPr>
            </w:pPr>
            <w:r>
              <w:rPr>
                <w:sz w:val="22"/>
              </w:rPr>
              <w:t>yyyy-mm-dd</w:t>
            </w:r>
          </w:p>
        </w:tc>
      </w:tr>
      <w:tr>
        <w:trPr>
          <w:trHeight w:val="386" w:hRule="atLeast"/>
        </w:trPr>
        <w:tc>
          <w:tcPr>
            <w:tcW w:w="461" w:type="dxa"/>
          </w:tcPr>
          <w:p>
            <w:pPr>
              <w:pStyle w:val="TableParagraph"/>
              <w:ind w:left="96" w:right="92"/>
              <w:jc w:val="center"/>
              <w:rPr>
                <w:sz w:val="22"/>
              </w:rPr>
            </w:pPr>
            <w:r>
              <w:rPr>
                <w:sz w:val="22"/>
              </w:rPr>
              <w:t>56</w:t>
            </w:r>
          </w:p>
        </w:tc>
        <w:tc>
          <w:tcPr>
            <w:tcW w:w="3166" w:type="dxa"/>
          </w:tcPr>
          <w:p>
            <w:pPr>
              <w:pStyle w:val="TableParagraph"/>
              <w:spacing w:before="41"/>
              <w:ind w:left="114"/>
              <w:rPr>
                <w:sz w:val="22"/>
              </w:rPr>
            </w:pP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yyyy-mm-dd</w:t>
            </w:r>
          </w:p>
        </w:tc>
      </w:tr>
      <w:tr>
        <w:trPr>
          <w:trHeight w:val="386" w:hRule="atLeast"/>
        </w:trPr>
        <w:tc>
          <w:tcPr>
            <w:tcW w:w="461" w:type="dxa"/>
          </w:tcPr>
          <w:p>
            <w:pPr>
              <w:pStyle w:val="TableParagraph"/>
              <w:ind w:left="96" w:right="92"/>
              <w:jc w:val="center"/>
              <w:rPr>
                <w:sz w:val="22"/>
              </w:rPr>
            </w:pPr>
            <w:r>
              <w:rPr>
                <w:sz w:val="22"/>
              </w:rPr>
              <w:t>57</w:t>
            </w:r>
          </w:p>
        </w:tc>
        <w:tc>
          <w:tcPr>
            <w:tcW w:w="3166" w:type="dxa"/>
          </w:tcPr>
          <w:p>
            <w:pPr>
              <w:pStyle w:val="TableParagraph"/>
              <w:ind w:left="114"/>
              <w:rPr>
                <w:sz w:val="22"/>
              </w:rPr>
            </w:pPr>
            <w:r>
              <w:rPr>
                <w:sz w:val="22"/>
              </w:rPr>
              <w:t>[$-411]ge.m.d</w:t>
            </w:r>
          </w:p>
        </w:tc>
        <w:tc>
          <w:tcPr>
            <w:tcW w:w="3060" w:type="dxa"/>
          </w:tcPr>
          <w:p>
            <w:pPr>
              <w:pStyle w:val="TableParagraph"/>
              <w:spacing w:before="41"/>
              <w:ind w:left="112"/>
              <w:rPr>
                <w:sz w:val="22"/>
              </w:rPr>
            </w:pPr>
            <w:r>
              <w:rPr>
                <w:sz w:val="22"/>
              </w:rPr>
              <w:t>yyyy"</w:t>
            </w:r>
            <w:r>
              <w:rPr>
                <w:rFonts w:ascii="SimSun" w:eastAsia="SimSun" w:hint="eastAsia"/>
                <w:sz w:val="22"/>
              </w:rPr>
              <w:t>年</w:t>
            </w:r>
            <w:r>
              <w:rPr>
                <w:sz w:val="22"/>
              </w:rPr>
              <w:t>" mm"</w:t>
            </w:r>
            <w:r>
              <w:rPr>
                <w:rFonts w:ascii="SimSun" w:eastAsia="SimSun" w:hint="eastAsia"/>
                <w:sz w:val="22"/>
              </w:rPr>
              <w:t>月</w:t>
            </w:r>
            <w:r>
              <w:rPr>
                <w:sz w:val="22"/>
              </w:rPr>
              <w:t>" dd"</w:t>
            </w:r>
            <w:r>
              <w:rPr>
                <w:rFonts w:ascii="SimSun" w:eastAsia="SimSun" w:hint="eastAsia"/>
                <w:sz w:val="22"/>
              </w:rPr>
              <w:t>日</w:t>
            </w:r>
            <w:r>
              <w:rPr>
                <w:sz w:val="22"/>
              </w:rPr>
              <w:t>"</w:t>
            </w:r>
          </w:p>
        </w:tc>
      </w:tr>
      <w:tr>
        <w:trPr>
          <w:trHeight w:val="386" w:hRule="atLeast"/>
        </w:trPr>
        <w:tc>
          <w:tcPr>
            <w:tcW w:w="461" w:type="dxa"/>
          </w:tcPr>
          <w:p>
            <w:pPr>
              <w:pStyle w:val="TableParagraph"/>
              <w:ind w:left="96" w:right="92"/>
              <w:jc w:val="center"/>
              <w:rPr>
                <w:sz w:val="22"/>
              </w:rPr>
            </w:pPr>
            <w:r>
              <w:rPr>
                <w:sz w:val="22"/>
              </w:rPr>
              <w:t>58</w:t>
            </w:r>
          </w:p>
        </w:tc>
        <w:tc>
          <w:tcPr>
            <w:tcW w:w="3166" w:type="dxa"/>
          </w:tcPr>
          <w:p>
            <w:pPr>
              <w:pStyle w:val="TableParagraph"/>
              <w:spacing w:before="41"/>
              <w:ind w:left="114"/>
              <w:rPr>
                <w:sz w:val="22"/>
              </w:rPr>
            </w:pPr>
            <w:r>
              <w:rPr>
                <w:sz w:val="22"/>
              </w:rPr>
              <w:t>[$-411]ggge"</w:t>
            </w:r>
            <w:r>
              <w:rPr>
                <w:rFonts w:ascii="SimSun" w:eastAsia="SimSun" w:hint="eastAsia"/>
                <w:sz w:val="22"/>
              </w:rPr>
              <w:t>年</w:t>
            </w:r>
            <w:r>
              <w:rPr>
                <w:sz w:val="22"/>
              </w:rPr>
              <w:t>"m"</w:t>
            </w:r>
            <w:r>
              <w:rPr>
                <w:rFonts w:ascii="SimSun" w:eastAsia="SimSun" w:hint="eastAsia"/>
                <w:sz w:val="22"/>
              </w:rPr>
              <w:t>月</w:t>
            </w:r>
            <w:r>
              <w:rPr>
                <w:sz w:val="22"/>
              </w:rPr>
              <w:t>"d"</w:t>
            </w:r>
            <w:r>
              <w:rPr>
                <w:rFonts w:ascii="SimSun" w:eastAsia="SimSun" w:hint="eastAsia"/>
                <w:sz w:val="22"/>
              </w:rPr>
              <w:t>日</w:t>
            </w:r>
            <w:r>
              <w:rPr>
                <w:sz w:val="22"/>
              </w:rPr>
              <w:t>"</w:t>
            </w:r>
          </w:p>
        </w:tc>
        <w:tc>
          <w:tcPr>
            <w:tcW w:w="3060" w:type="dxa"/>
          </w:tcPr>
          <w:p>
            <w:pPr>
              <w:pStyle w:val="TableParagraph"/>
              <w:ind w:left="112"/>
              <w:rPr>
                <w:sz w:val="22"/>
              </w:rPr>
            </w:pPr>
            <w:r>
              <w:rPr>
                <w:sz w:val="22"/>
              </w:rPr>
              <w:t>mm-dd</w:t>
            </w:r>
          </w:p>
        </w:tc>
      </w:tr>
    </w:tbl>
    <w:p>
      <w:pPr>
        <w:pStyle w:val="BodyText"/>
        <w:rPr>
          <w:b/>
        </w:rPr>
      </w:pPr>
    </w:p>
    <w:p>
      <w:pPr>
        <w:pStyle w:val="BodyText"/>
        <w:spacing w:before="7"/>
        <w:rPr>
          <w:b/>
          <w:sz w:val="19"/>
        </w:rPr>
      </w:pPr>
    </w:p>
    <w:p>
      <w:pPr>
        <w:spacing w:before="0"/>
        <w:ind w:left="220" w:right="0" w:firstLine="0"/>
        <w:jc w:val="left"/>
        <w:rPr>
          <w:b/>
          <w:sz w:val="22"/>
        </w:rPr>
      </w:pPr>
      <w:r>
        <w:rPr>
          <w:b/>
          <w:sz w:val="22"/>
        </w:rPr>
        <w:t>ja-jp and ko-kr (with unicode values provided for language glyphs where they occur)</w:t>
      </w:r>
    </w:p>
    <w:p>
      <w:pPr>
        <w:spacing w:after="0"/>
        <w:jc w:val="left"/>
        <w:rPr>
          <w:sz w:val="22"/>
        </w:rPr>
        <w:sectPr>
          <w:footerReference w:type="even" r:id="rId89"/>
          <w:footerReference w:type="default" r:id="rId90"/>
          <w:pgSz w:w="12240" w:h="15840"/>
          <w:pgMar w:footer="746" w:header="761" w:top="1340" w:bottom="940" w:left="860" w:right="700"/>
          <w:pgNumType w:start="178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
        <w:gridCol w:w="3450"/>
        <w:gridCol w:w="3229"/>
      </w:tblGrid>
      <w:tr>
        <w:trPr>
          <w:trHeight w:val="386" w:hRule="atLeast"/>
        </w:trPr>
        <w:tc>
          <w:tcPr>
            <w:tcW w:w="454" w:type="dxa"/>
            <w:shd w:val="clear" w:color="auto" w:fill="C0C0C0"/>
          </w:tcPr>
          <w:p>
            <w:pPr>
              <w:pStyle w:val="TableParagraph"/>
              <w:ind w:left="95" w:right="85"/>
              <w:jc w:val="center"/>
              <w:rPr>
                <w:b/>
                <w:sz w:val="22"/>
              </w:rPr>
            </w:pPr>
            <w:r>
              <w:rPr>
                <w:b/>
                <w:sz w:val="22"/>
              </w:rPr>
              <w:t>ID</w:t>
            </w:r>
          </w:p>
        </w:tc>
        <w:tc>
          <w:tcPr>
            <w:tcW w:w="3450" w:type="dxa"/>
            <w:shd w:val="clear" w:color="auto" w:fill="C0C0C0"/>
          </w:tcPr>
          <w:p>
            <w:pPr>
              <w:pStyle w:val="TableParagraph"/>
              <w:ind w:left="947"/>
              <w:rPr>
                <w:b/>
                <w:sz w:val="22"/>
              </w:rPr>
            </w:pPr>
            <w:r>
              <w:rPr>
                <w:b/>
                <w:sz w:val="22"/>
              </w:rPr>
              <w:t>ja-jp formatCode</w:t>
            </w:r>
          </w:p>
        </w:tc>
        <w:tc>
          <w:tcPr>
            <w:tcW w:w="3229" w:type="dxa"/>
            <w:shd w:val="clear" w:color="auto" w:fill="C0C0C0"/>
          </w:tcPr>
          <w:p>
            <w:pPr>
              <w:pStyle w:val="TableParagraph"/>
              <w:ind w:left="802"/>
              <w:rPr>
                <w:b/>
                <w:sz w:val="22"/>
              </w:rPr>
            </w:pPr>
            <w:r>
              <w:rPr>
                <w:b/>
                <w:sz w:val="22"/>
              </w:rPr>
              <w:t>ko-kr formatCode</w:t>
            </w:r>
          </w:p>
        </w:tc>
      </w:tr>
      <w:tr>
        <w:trPr>
          <w:trHeight w:val="386" w:hRule="atLeast"/>
        </w:trPr>
        <w:tc>
          <w:tcPr>
            <w:tcW w:w="454" w:type="dxa"/>
          </w:tcPr>
          <w:p>
            <w:pPr>
              <w:pStyle w:val="TableParagraph"/>
              <w:ind w:left="96" w:right="85"/>
              <w:jc w:val="center"/>
              <w:rPr>
                <w:sz w:val="22"/>
              </w:rPr>
            </w:pPr>
            <w:r>
              <w:rPr>
                <w:sz w:val="22"/>
              </w:rPr>
              <w:t>27</w:t>
            </w:r>
          </w:p>
        </w:tc>
        <w:tc>
          <w:tcPr>
            <w:tcW w:w="3450" w:type="dxa"/>
          </w:tcPr>
          <w:p>
            <w:pPr>
              <w:pStyle w:val="TableParagraph"/>
              <w:ind w:left="114"/>
              <w:rPr>
                <w:sz w:val="22"/>
              </w:rPr>
            </w:pPr>
            <w:r>
              <w:rPr>
                <w:sz w:val="22"/>
              </w:rPr>
              <w:t>[$-411]ge.m.d</w:t>
            </w:r>
          </w:p>
        </w:tc>
        <w:tc>
          <w:tcPr>
            <w:tcW w:w="3229" w:type="dxa"/>
          </w:tcPr>
          <w:p>
            <w:pPr>
              <w:pStyle w:val="TableParagraph"/>
              <w:ind w:left="113"/>
              <w:rPr>
                <w:sz w:val="22"/>
              </w:rPr>
            </w:pPr>
            <w:r>
              <w:rPr>
                <w:sz w:val="22"/>
              </w:rPr>
              <w:t>yyyy"5E74" mm"6708" dd"65E5"</w:t>
            </w:r>
          </w:p>
        </w:tc>
      </w:tr>
      <w:tr>
        <w:trPr>
          <w:trHeight w:val="385" w:hRule="atLeast"/>
        </w:trPr>
        <w:tc>
          <w:tcPr>
            <w:tcW w:w="454" w:type="dxa"/>
          </w:tcPr>
          <w:p>
            <w:pPr>
              <w:pStyle w:val="TableParagraph"/>
              <w:ind w:left="96" w:right="85"/>
              <w:jc w:val="center"/>
              <w:rPr>
                <w:sz w:val="22"/>
              </w:rPr>
            </w:pPr>
            <w:r>
              <w:rPr>
                <w:sz w:val="22"/>
              </w:rPr>
              <w:t>28</w:t>
            </w:r>
          </w:p>
        </w:tc>
        <w:tc>
          <w:tcPr>
            <w:tcW w:w="3450" w:type="dxa"/>
          </w:tcPr>
          <w:p>
            <w:pPr>
              <w:pStyle w:val="TableParagraph"/>
              <w:ind w:left="114"/>
              <w:rPr>
                <w:sz w:val="22"/>
              </w:rPr>
            </w:pPr>
            <w:r>
              <w:rPr>
                <w:sz w:val="22"/>
              </w:rPr>
              <w:t>[$-411]ggge"5E74"m"6708"d"65E5"</w:t>
            </w:r>
          </w:p>
        </w:tc>
        <w:tc>
          <w:tcPr>
            <w:tcW w:w="3229" w:type="dxa"/>
          </w:tcPr>
          <w:p>
            <w:pPr>
              <w:pStyle w:val="TableParagraph"/>
              <w:ind w:left="113"/>
              <w:rPr>
                <w:sz w:val="22"/>
              </w:rPr>
            </w:pPr>
            <w:r>
              <w:rPr>
                <w:sz w:val="22"/>
              </w:rPr>
              <w:t>mm-dd</w:t>
            </w:r>
          </w:p>
        </w:tc>
      </w:tr>
      <w:tr>
        <w:trPr>
          <w:trHeight w:val="386" w:hRule="atLeast"/>
        </w:trPr>
        <w:tc>
          <w:tcPr>
            <w:tcW w:w="454" w:type="dxa"/>
          </w:tcPr>
          <w:p>
            <w:pPr>
              <w:pStyle w:val="TableParagraph"/>
              <w:ind w:left="96" w:right="85"/>
              <w:jc w:val="center"/>
              <w:rPr>
                <w:sz w:val="22"/>
              </w:rPr>
            </w:pPr>
            <w:r>
              <w:rPr>
                <w:sz w:val="22"/>
              </w:rPr>
              <w:t>29</w:t>
            </w:r>
          </w:p>
        </w:tc>
        <w:tc>
          <w:tcPr>
            <w:tcW w:w="3450" w:type="dxa"/>
          </w:tcPr>
          <w:p>
            <w:pPr>
              <w:pStyle w:val="TableParagraph"/>
              <w:ind w:left="114"/>
              <w:rPr>
                <w:sz w:val="22"/>
              </w:rPr>
            </w:pPr>
            <w:r>
              <w:rPr>
                <w:sz w:val="22"/>
              </w:rPr>
              <w:t>[$-411]ggge"5E74"m"6708"d"65E5"</w:t>
            </w:r>
          </w:p>
        </w:tc>
        <w:tc>
          <w:tcPr>
            <w:tcW w:w="3229" w:type="dxa"/>
          </w:tcPr>
          <w:p>
            <w:pPr>
              <w:pStyle w:val="TableParagraph"/>
              <w:ind w:left="113"/>
              <w:rPr>
                <w:sz w:val="22"/>
              </w:rPr>
            </w:pPr>
            <w:r>
              <w:rPr>
                <w:sz w:val="22"/>
              </w:rPr>
              <w:t>mm-dd</w:t>
            </w:r>
          </w:p>
        </w:tc>
      </w:tr>
      <w:tr>
        <w:trPr>
          <w:trHeight w:val="385" w:hRule="atLeast"/>
        </w:trPr>
        <w:tc>
          <w:tcPr>
            <w:tcW w:w="454" w:type="dxa"/>
          </w:tcPr>
          <w:p>
            <w:pPr>
              <w:pStyle w:val="TableParagraph"/>
              <w:ind w:left="96" w:right="85"/>
              <w:jc w:val="center"/>
              <w:rPr>
                <w:sz w:val="22"/>
              </w:rPr>
            </w:pPr>
            <w:r>
              <w:rPr>
                <w:sz w:val="22"/>
              </w:rPr>
              <w:t>30</w:t>
            </w:r>
          </w:p>
        </w:tc>
        <w:tc>
          <w:tcPr>
            <w:tcW w:w="3450" w:type="dxa"/>
          </w:tcPr>
          <w:p>
            <w:pPr>
              <w:pStyle w:val="TableParagraph"/>
              <w:ind w:left="114"/>
              <w:rPr>
                <w:sz w:val="22"/>
              </w:rPr>
            </w:pPr>
            <w:r>
              <w:rPr>
                <w:sz w:val="22"/>
              </w:rPr>
              <w:t>m/d/yy</w:t>
            </w:r>
          </w:p>
        </w:tc>
        <w:tc>
          <w:tcPr>
            <w:tcW w:w="3229" w:type="dxa"/>
          </w:tcPr>
          <w:p>
            <w:pPr>
              <w:pStyle w:val="TableParagraph"/>
              <w:ind w:left="113"/>
              <w:rPr>
                <w:sz w:val="22"/>
              </w:rPr>
            </w:pPr>
            <w:r>
              <w:rPr>
                <w:sz w:val="22"/>
              </w:rPr>
              <w:t>mm-dd-yy</w:t>
            </w:r>
          </w:p>
        </w:tc>
      </w:tr>
      <w:tr>
        <w:trPr>
          <w:trHeight w:val="385" w:hRule="atLeast"/>
        </w:trPr>
        <w:tc>
          <w:tcPr>
            <w:tcW w:w="454" w:type="dxa"/>
          </w:tcPr>
          <w:p>
            <w:pPr>
              <w:pStyle w:val="TableParagraph"/>
              <w:ind w:left="96" w:right="85"/>
              <w:jc w:val="center"/>
              <w:rPr>
                <w:sz w:val="22"/>
              </w:rPr>
            </w:pPr>
            <w:r>
              <w:rPr>
                <w:sz w:val="22"/>
              </w:rPr>
              <w:t>31</w:t>
            </w:r>
          </w:p>
        </w:tc>
        <w:tc>
          <w:tcPr>
            <w:tcW w:w="3450" w:type="dxa"/>
          </w:tcPr>
          <w:p>
            <w:pPr>
              <w:pStyle w:val="TableParagraph"/>
              <w:ind w:left="114"/>
              <w:rPr>
                <w:sz w:val="22"/>
              </w:rPr>
            </w:pPr>
            <w:r>
              <w:rPr>
                <w:sz w:val="22"/>
              </w:rPr>
              <w:t>yyyy"5E74"m"6708"d"65E5"</w:t>
            </w:r>
          </w:p>
        </w:tc>
        <w:tc>
          <w:tcPr>
            <w:tcW w:w="3229" w:type="dxa"/>
          </w:tcPr>
          <w:p>
            <w:pPr>
              <w:pStyle w:val="TableParagraph"/>
              <w:ind w:left="113"/>
              <w:rPr>
                <w:sz w:val="22"/>
              </w:rPr>
            </w:pPr>
            <w:r>
              <w:rPr>
                <w:sz w:val="22"/>
              </w:rPr>
              <w:t>yyyy"B144" mm"C6D4" dd"C77C"</w:t>
            </w:r>
          </w:p>
        </w:tc>
      </w:tr>
      <w:tr>
        <w:trPr>
          <w:trHeight w:val="386" w:hRule="atLeast"/>
        </w:trPr>
        <w:tc>
          <w:tcPr>
            <w:tcW w:w="454" w:type="dxa"/>
          </w:tcPr>
          <w:p>
            <w:pPr>
              <w:pStyle w:val="TableParagraph"/>
              <w:ind w:left="96" w:right="85"/>
              <w:jc w:val="center"/>
              <w:rPr>
                <w:sz w:val="22"/>
              </w:rPr>
            </w:pPr>
            <w:r>
              <w:rPr>
                <w:sz w:val="22"/>
              </w:rPr>
              <w:t>32</w:t>
            </w:r>
          </w:p>
        </w:tc>
        <w:tc>
          <w:tcPr>
            <w:tcW w:w="3450" w:type="dxa"/>
          </w:tcPr>
          <w:p>
            <w:pPr>
              <w:pStyle w:val="TableParagraph"/>
              <w:ind w:left="114"/>
              <w:rPr>
                <w:sz w:val="22"/>
              </w:rPr>
            </w:pPr>
            <w:r>
              <w:rPr>
                <w:sz w:val="22"/>
              </w:rPr>
              <w:t>h"6642"mm"5206"</w:t>
            </w:r>
          </w:p>
        </w:tc>
        <w:tc>
          <w:tcPr>
            <w:tcW w:w="3229" w:type="dxa"/>
          </w:tcPr>
          <w:p>
            <w:pPr>
              <w:pStyle w:val="TableParagraph"/>
              <w:ind w:left="113"/>
              <w:rPr>
                <w:sz w:val="22"/>
              </w:rPr>
            </w:pPr>
            <w:r>
              <w:rPr>
                <w:sz w:val="22"/>
              </w:rPr>
              <w:t>h"C2DC" mm"BD84"</w:t>
            </w:r>
          </w:p>
        </w:tc>
      </w:tr>
      <w:tr>
        <w:trPr>
          <w:trHeight w:val="386" w:hRule="atLeast"/>
        </w:trPr>
        <w:tc>
          <w:tcPr>
            <w:tcW w:w="454" w:type="dxa"/>
          </w:tcPr>
          <w:p>
            <w:pPr>
              <w:pStyle w:val="TableParagraph"/>
              <w:ind w:left="96" w:right="85"/>
              <w:jc w:val="center"/>
              <w:rPr>
                <w:sz w:val="22"/>
              </w:rPr>
            </w:pPr>
            <w:r>
              <w:rPr>
                <w:sz w:val="22"/>
              </w:rPr>
              <w:t>33</w:t>
            </w:r>
          </w:p>
        </w:tc>
        <w:tc>
          <w:tcPr>
            <w:tcW w:w="3450" w:type="dxa"/>
          </w:tcPr>
          <w:p>
            <w:pPr>
              <w:pStyle w:val="TableParagraph"/>
              <w:ind w:left="114"/>
              <w:rPr>
                <w:sz w:val="22"/>
              </w:rPr>
            </w:pPr>
            <w:r>
              <w:rPr>
                <w:sz w:val="22"/>
              </w:rPr>
              <w:t>h"6642"mm"5206"ss"79D2"</w:t>
            </w:r>
          </w:p>
        </w:tc>
        <w:tc>
          <w:tcPr>
            <w:tcW w:w="3229" w:type="dxa"/>
          </w:tcPr>
          <w:p>
            <w:pPr>
              <w:pStyle w:val="TableParagraph"/>
              <w:ind w:left="113"/>
              <w:rPr>
                <w:sz w:val="22"/>
              </w:rPr>
            </w:pPr>
            <w:r>
              <w:rPr>
                <w:sz w:val="22"/>
              </w:rPr>
              <w:t>h"C2DC" mm"BD84" ss"CD08"</w:t>
            </w:r>
          </w:p>
        </w:tc>
      </w:tr>
      <w:tr>
        <w:trPr>
          <w:trHeight w:val="386" w:hRule="atLeast"/>
        </w:trPr>
        <w:tc>
          <w:tcPr>
            <w:tcW w:w="454" w:type="dxa"/>
          </w:tcPr>
          <w:p>
            <w:pPr>
              <w:pStyle w:val="TableParagraph"/>
              <w:ind w:left="96" w:right="85"/>
              <w:jc w:val="center"/>
              <w:rPr>
                <w:sz w:val="22"/>
              </w:rPr>
            </w:pPr>
            <w:r>
              <w:rPr>
                <w:sz w:val="22"/>
              </w:rPr>
              <w:t>34</w:t>
            </w:r>
          </w:p>
        </w:tc>
        <w:tc>
          <w:tcPr>
            <w:tcW w:w="3450" w:type="dxa"/>
          </w:tcPr>
          <w:p>
            <w:pPr>
              <w:pStyle w:val="TableParagraph"/>
              <w:ind w:left="114"/>
              <w:rPr>
                <w:sz w:val="22"/>
              </w:rPr>
            </w:pPr>
            <w:r>
              <w:rPr>
                <w:sz w:val="22"/>
              </w:rPr>
              <w:t>yyyy"5E74"m"6708"</w:t>
            </w:r>
          </w:p>
        </w:tc>
        <w:tc>
          <w:tcPr>
            <w:tcW w:w="3229" w:type="dxa"/>
          </w:tcPr>
          <w:p>
            <w:pPr>
              <w:pStyle w:val="TableParagraph"/>
              <w:ind w:left="113"/>
              <w:rPr>
                <w:sz w:val="22"/>
              </w:rPr>
            </w:pPr>
            <w:r>
              <w:rPr>
                <w:sz w:val="22"/>
              </w:rPr>
              <w:t>yyyy-mm-dd</w:t>
            </w:r>
          </w:p>
        </w:tc>
      </w:tr>
      <w:tr>
        <w:trPr>
          <w:trHeight w:val="386" w:hRule="atLeast"/>
        </w:trPr>
        <w:tc>
          <w:tcPr>
            <w:tcW w:w="454" w:type="dxa"/>
          </w:tcPr>
          <w:p>
            <w:pPr>
              <w:pStyle w:val="TableParagraph"/>
              <w:ind w:left="96" w:right="85"/>
              <w:jc w:val="center"/>
              <w:rPr>
                <w:sz w:val="22"/>
              </w:rPr>
            </w:pPr>
            <w:r>
              <w:rPr>
                <w:sz w:val="22"/>
              </w:rPr>
              <w:t>35</w:t>
            </w:r>
          </w:p>
        </w:tc>
        <w:tc>
          <w:tcPr>
            <w:tcW w:w="3450" w:type="dxa"/>
          </w:tcPr>
          <w:p>
            <w:pPr>
              <w:pStyle w:val="TableParagraph"/>
              <w:ind w:left="114"/>
              <w:rPr>
                <w:sz w:val="22"/>
              </w:rPr>
            </w:pPr>
            <w:r>
              <w:rPr>
                <w:sz w:val="22"/>
              </w:rPr>
              <w:t>m"6708"d"65E5"</w:t>
            </w:r>
          </w:p>
        </w:tc>
        <w:tc>
          <w:tcPr>
            <w:tcW w:w="3229" w:type="dxa"/>
          </w:tcPr>
          <w:p>
            <w:pPr>
              <w:pStyle w:val="TableParagraph"/>
              <w:ind w:left="113"/>
              <w:rPr>
                <w:sz w:val="22"/>
              </w:rPr>
            </w:pPr>
            <w:r>
              <w:rPr>
                <w:sz w:val="22"/>
              </w:rPr>
              <w:t>yyyy-mm-dd</w:t>
            </w:r>
          </w:p>
        </w:tc>
      </w:tr>
      <w:tr>
        <w:trPr>
          <w:trHeight w:val="385" w:hRule="atLeast"/>
        </w:trPr>
        <w:tc>
          <w:tcPr>
            <w:tcW w:w="454" w:type="dxa"/>
          </w:tcPr>
          <w:p>
            <w:pPr>
              <w:pStyle w:val="TableParagraph"/>
              <w:ind w:left="96" w:right="85"/>
              <w:jc w:val="center"/>
              <w:rPr>
                <w:sz w:val="22"/>
              </w:rPr>
            </w:pPr>
            <w:r>
              <w:rPr>
                <w:sz w:val="22"/>
              </w:rPr>
              <w:t>36</w:t>
            </w:r>
          </w:p>
        </w:tc>
        <w:tc>
          <w:tcPr>
            <w:tcW w:w="3450" w:type="dxa"/>
          </w:tcPr>
          <w:p>
            <w:pPr>
              <w:pStyle w:val="TableParagraph"/>
              <w:ind w:left="114"/>
              <w:rPr>
                <w:sz w:val="22"/>
              </w:rPr>
            </w:pPr>
            <w:r>
              <w:rPr>
                <w:sz w:val="22"/>
              </w:rPr>
              <w:t>[$-411]ge.m.d</w:t>
            </w:r>
          </w:p>
        </w:tc>
        <w:tc>
          <w:tcPr>
            <w:tcW w:w="3229" w:type="dxa"/>
          </w:tcPr>
          <w:p>
            <w:pPr>
              <w:pStyle w:val="TableParagraph"/>
              <w:ind w:left="113"/>
              <w:rPr>
                <w:sz w:val="22"/>
              </w:rPr>
            </w:pPr>
            <w:r>
              <w:rPr>
                <w:sz w:val="22"/>
              </w:rPr>
              <w:t>yyyy"5E74" mm"6708" dd"65E5"</w:t>
            </w:r>
          </w:p>
        </w:tc>
      </w:tr>
      <w:tr>
        <w:trPr>
          <w:trHeight w:val="386" w:hRule="atLeast"/>
        </w:trPr>
        <w:tc>
          <w:tcPr>
            <w:tcW w:w="454" w:type="dxa"/>
          </w:tcPr>
          <w:p>
            <w:pPr>
              <w:pStyle w:val="TableParagraph"/>
              <w:ind w:left="96" w:right="85"/>
              <w:jc w:val="center"/>
              <w:rPr>
                <w:sz w:val="22"/>
              </w:rPr>
            </w:pPr>
            <w:r>
              <w:rPr>
                <w:sz w:val="22"/>
              </w:rPr>
              <w:t>50</w:t>
            </w:r>
          </w:p>
        </w:tc>
        <w:tc>
          <w:tcPr>
            <w:tcW w:w="3450" w:type="dxa"/>
          </w:tcPr>
          <w:p>
            <w:pPr>
              <w:pStyle w:val="TableParagraph"/>
              <w:ind w:left="114"/>
              <w:rPr>
                <w:sz w:val="22"/>
              </w:rPr>
            </w:pPr>
            <w:r>
              <w:rPr>
                <w:sz w:val="22"/>
              </w:rPr>
              <w:t>[$-411]ge.m.d</w:t>
            </w:r>
          </w:p>
        </w:tc>
        <w:tc>
          <w:tcPr>
            <w:tcW w:w="3229" w:type="dxa"/>
          </w:tcPr>
          <w:p>
            <w:pPr>
              <w:pStyle w:val="TableParagraph"/>
              <w:ind w:left="113"/>
              <w:rPr>
                <w:sz w:val="22"/>
              </w:rPr>
            </w:pPr>
            <w:r>
              <w:rPr>
                <w:sz w:val="22"/>
              </w:rPr>
              <w:t>yyyy"5E74" mm"6708" dd"65E5"</w:t>
            </w:r>
          </w:p>
        </w:tc>
      </w:tr>
      <w:tr>
        <w:trPr>
          <w:trHeight w:val="385" w:hRule="atLeast"/>
        </w:trPr>
        <w:tc>
          <w:tcPr>
            <w:tcW w:w="454" w:type="dxa"/>
          </w:tcPr>
          <w:p>
            <w:pPr>
              <w:pStyle w:val="TableParagraph"/>
              <w:ind w:left="96" w:right="85"/>
              <w:jc w:val="center"/>
              <w:rPr>
                <w:sz w:val="22"/>
              </w:rPr>
            </w:pPr>
            <w:r>
              <w:rPr>
                <w:sz w:val="22"/>
              </w:rPr>
              <w:t>51</w:t>
            </w:r>
          </w:p>
        </w:tc>
        <w:tc>
          <w:tcPr>
            <w:tcW w:w="3450" w:type="dxa"/>
          </w:tcPr>
          <w:p>
            <w:pPr>
              <w:pStyle w:val="TableParagraph"/>
              <w:ind w:left="114"/>
              <w:rPr>
                <w:sz w:val="22"/>
              </w:rPr>
            </w:pPr>
            <w:r>
              <w:rPr>
                <w:sz w:val="22"/>
              </w:rPr>
              <w:t>[$-411]ggge"5E74"m"6708"d"65E5"</w:t>
            </w:r>
          </w:p>
        </w:tc>
        <w:tc>
          <w:tcPr>
            <w:tcW w:w="3229" w:type="dxa"/>
          </w:tcPr>
          <w:p>
            <w:pPr>
              <w:pStyle w:val="TableParagraph"/>
              <w:ind w:left="113"/>
              <w:rPr>
                <w:sz w:val="22"/>
              </w:rPr>
            </w:pPr>
            <w:r>
              <w:rPr>
                <w:sz w:val="22"/>
              </w:rPr>
              <w:t>mm-dd</w:t>
            </w:r>
          </w:p>
        </w:tc>
      </w:tr>
      <w:tr>
        <w:trPr>
          <w:trHeight w:val="386" w:hRule="atLeast"/>
        </w:trPr>
        <w:tc>
          <w:tcPr>
            <w:tcW w:w="454" w:type="dxa"/>
          </w:tcPr>
          <w:p>
            <w:pPr>
              <w:pStyle w:val="TableParagraph"/>
              <w:ind w:left="96" w:right="85"/>
              <w:jc w:val="center"/>
              <w:rPr>
                <w:sz w:val="22"/>
              </w:rPr>
            </w:pPr>
            <w:r>
              <w:rPr>
                <w:sz w:val="22"/>
              </w:rPr>
              <w:t>52</w:t>
            </w:r>
          </w:p>
        </w:tc>
        <w:tc>
          <w:tcPr>
            <w:tcW w:w="3450" w:type="dxa"/>
          </w:tcPr>
          <w:p>
            <w:pPr>
              <w:pStyle w:val="TableParagraph"/>
              <w:ind w:left="114"/>
              <w:rPr>
                <w:sz w:val="22"/>
              </w:rPr>
            </w:pPr>
            <w:r>
              <w:rPr>
                <w:sz w:val="22"/>
              </w:rPr>
              <w:t>yyyy"5E74"m"6708"</w:t>
            </w:r>
          </w:p>
        </w:tc>
        <w:tc>
          <w:tcPr>
            <w:tcW w:w="3229" w:type="dxa"/>
          </w:tcPr>
          <w:p>
            <w:pPr>
              <w:pStyle w:val="TableParagraph"/>
              <w:ind w:left="113"/>
              <w:rPr>
                <w:sz w:val="22"/>
              </w:rPr>
            </w:pPr>
            <w:r>
              <w:rPr>
                <w:sz w:val="22"/>
              </w:rPr>
              <w:t>yyyy-mm-dd</w:t>
            </w:r>
          </w:p>
        </w:tc>
      </w:tr>
      <w:tr>
        <w:trPr>
          <w:trHeight w:val="386" w:hRule="atLeast"/>
        </w:trPr>
        <w:tc>
          <w:tcPr>
            <w:tcW w:w="454" w:type="dxa"/>
          </w:tcPr>
          <w:p>
            <w:pPr>
              <w:pStyle w:val="TableParagraph"/>
              <w:ind w:left="96" w:right="85"/>
              <w:jc w:val="center"/>
              <w:rPr>
                <w:sz w:val="22"/>
              </w:rPr>
            </w:pPr>
            <w:r>
              <w:rPr>
                <w:sz w:val="22"/>
              </w:rPr>
              <w:t>53</w:t>
            </w:r>
          </w:p>
        </w:tc>
        <w:tc>
          <w:tcPr>
            <w:tcW w:w="3450" w:type="dxa"/>
          </w:tcPr>
          <w:p>
            <w:pPr>
              <w:pStyle w:val="TableParagraph"/>
              <w:ind w:left="114"/>
              <w:rPr>
                <w:sz w:val="22"/>
              </w:rPr>
            </w:pPr>
            <w:r>
              <w:rPr>
                <w:sz w:val="22"/>
              </w:rPr>
              <w:t>m"6708"d"65E5"</w:t>
            </w:r>
          </w:p>
        </w:tc>
        <w:tc>
          <w:tcPr>
            <w:tcW w:w="3229" w:type="dxa"/>
          </w:tcPr>
          <w:p>
            <w:pPr>
              <w:pStyle w:val="TableParagraph"/>
              <w:ind w:left="113"/>
              <w:rPr>
                <w:sz w:val="22"/>
              </w:rPr>
            </w:pPr>
            <w:r>
              <w:rPr>
                <w:sz w:val="22"/>
              </w:rPr>
              <w:t>yyyy-mm-dd</w:t>
            </w:r>
          </w:p>
        </w:tc>
      </w:tr>
      <w:tr>
        <w:trPr>
          <w:trHeight w:val="385" w:hRule="atLeast"/>
        </w:trPr>
        <w:tc>
          <w:tcPr>
            <w:tcW w:w="454" w:type="dxa"/>
          </w:tcPr>
          <w:p>
            <w:pPr>
              <w:pStyle w:val="TableParagraph"/>
              <w:ind w:left="96" w:right="85"/>
              <w:jc w:val="center"/>
              <w:rPr>
                <w:sz w:val="22"/>
              </w:rPr>
            </w:pPr>
            <w:r>
              <w:rPr>
                <w:sz w:val="22"/>
              </w:rPr>
              <w:t>54</w:t>
            </w:r>
          </w:p>
        </w:tc>
        <w:tc>
          <w:tcPr>
            <w:tcW w:w="3450" w:type="dxa"/>
          </w:tcPr>
          <w:p>
            <w:pPr>
              <w:pStyle w:val="TableParagraph"/>
              <w:ind w:left="114"/>
              <w:rPr>
                <w:sz w:val="22"/>
              </w:rPr>
            </w:pPr>
            <w:r>
              <w:rPr>
                <w:sz w:val="22"/>
              </w:rPr>
              <w:t>[$-411]ggge"5E74"m"6708"d"65E5"</w:t>
            </w:r>
          </w:p>
        </w:tc>
        <w:tc>
          <w:tcPr>
            <w:tcW w:w="3229" w:type="dxa"/>
          </w:tcPr>
          <w:p>
            <w:pPr>
              <w:pStyle w:val="TableParagraph"/>
              <w:ind w:left="113"/>
              <w:rPr>
                <w:sz w:val="22"/>
              </w:rPr>
            </w:pPr>
            <w:r>
              <w:rPr>
                <w:sz w:val="22"/>
              </w:rPr>
              <w:t>mm-dd</w:t>
            </w:r>
          </w:p>
        </w:tc>
      </w:tr>
      <w:tr>
        <w:trPr>
          <w:trHeight w:val="386" w:hRule="atLeast"/>
        </w:trPr>
        <w:tc>
          <w:tcPr>
            <w:tcW w:w="454" w:type="dxa"/>
          </w:tcPr>
          <w:p>
            <w:pPr>
              <w:pStyle w:val="TableParagraph"/>
              <w:ind w:left="96" w:right="85"/>
              <w:jc w:val="center"/>
              <w:rPr>
                <w:sz w:val="22"/>
              </w:rPr>
            </w:pPr>
            <w:r>
              <w:rPr>
                <w:sz w:val="22"/>
              </w:rPr>
              <w:t>55</w:t>
            </w:r>
          </w:p>
        </w:tc>
        <w:tc>
          <w:tcPr>
            <w:tcW w:w="3450" w:type="dxa"/>
          </w:tcPr>
          <w:p>
            <w:pPr>
              <w:pStyle w:val="TableParagraph"/>
              <w:ind w:left="114"/>
              <w:rPr>
                <w:sz w:val="22"/>
              </w:rPr>
            </w:pPr>
            <w:r>
              <w:rPr>
                <w:sz w:val="22"/>
              </w:rPr>
              <w:t>yyyy"5E74"m"6708"</w:t>
            </w:r>
          </w:p>
        </w:tc>
        <w:tc>
          <w:tcPr>
            <w:tcW w:w="3229" w:type="dxa"/>
          </w:tcPr>
          <w:p>
            <w:pPr>
              <w:pStyle w:val="TableParagraph"/>
              <w:ind w:left="113"/>
              <w:rPr>
                <w:sz w:val="22"/>
              </w:rPr>
            </w:pPr>
            <w:r>
              <w:rPr>
                <w:sz w:val="22"/>
              </w:rPr>
              <w:t>yyyy-mm-dd</w:t>
            </w:r>
          </w:p>
        </w:tc>
      </w:tr>
      <w:tr>
        <w:trPr>
          <w:trHeight w:val="385" w:hRule="atLeast"/>
        </w:trPr>
        <w:tc>
          <w:tcPr>
            <w:tcW w:w="454" w:type="dxa"/>
          </w:tcPr>
          <w:p>
            <w:pPr>
              <w:pStyle w:val="TableParagraph"/>
              <w:ind w:left="96" w:right="85"/>
              <w:jc w:val="center"/>
              <w:rPr>
                <w:sz w:val="22"/>
              </w:rPr>
            </w:pPr>
            <w:r>
              <w:rPr>
                <w:sz w:val="22"/>
              </w:rPr>
              <w:t>56</w:t>
            </w:r>
          </w:p>
        </w:tc>
        <w:tc>
          <w:tcPr>
            <w:tcW w:w="3450" w:type="dxa"/>
          </w:tcPr>
          <w:p>
            <w:pPr>
              <w:pStyle w:val="TableParagraph"/>
              <w:ind w:left="114"/>
              <w:rPr>
                <w:sz w:val="22"/>
              </w:rPr>
            </w:pPr>
            <w:r>
              <w:rPr>
                <w:sz w:val="22"/>
              </w:rPr>
              <w:t>m"6708"d"65E5"</w:t>
            </w:r>
          </w:p>
        </w:tc>
        <w:tc>
          <w:tcPr>
            <w:tcW w:w="3229" w:type="dxa"/>
          </w:tcPr>
          <w:p>
            <w:pPr>
              <w:pStyle w:val="TableParagraph"/>
              <w:ind w:left="113"/>
              <w:rPr>
                <w:sz w:val="22"/>
              </w:rPr>
            </w:pPr>
            <w:r>
              <w:rPr>
                <w:sz w:val="22"/>
              </w:rPr>
              <w:t>yyyy-mm-dd</w:t>
            </w:r>
          </w:p>
        </w:tc>
      </w:tr>
      <w:tr>
        <w:trPr>
          <w:trHeight w:val="386" w:hRule="atLeast"/>
        </w:trPr>
        <w:tc>
          <w:tcPr>
            <w:tcW w:w="454" w:type="dxa"/>
          </w:tcPr>
          <w:p>
            <w:pPr>
              <w:pStyle w:val="TableParagraph"/>
              <w:ind w:left="96" w:right="85"/>
              <w:jc w:val="center"/>
              <w:rPr>
                <w:sz w:val="22"/>
              </w:rPr>
            </w:pPr>
            <w:r>
              <w:rPr>
                <w:sz w:val="22"/>
              </w:rPr>
              <w:t>57</w:t>
            </w:r>
          </w:p>
        </w:tc>
        <w:tc>
          <w:tcPr>
            <w:tcW w:w="3450" w:type="dxa"/>
          </w:tcPr>
          <w:p>
            <w:pPr>
              <w:pStyle w:val="TableParagraph"/>
              <w:ind w:left="114"/>
              <w:rPr>
                <w:sz w:val="22"/>
              </w:rPr>
            </w:pPr>
            <w:r>
              <w:rPr>
                <w:sz w:val="22"/>
              </w:rPr>
              <w:t>[$-411]ge.m.d</w:t>
            </w:r>
          </w:p>
        </w:tc>
        <w:tc>
          <w:tcPr>
            <w:tcW w:w="3229" w:type="dxa"/>
          </w:tcPr>
          <w:p>
            <w:pPr>
              <w:pStyle w:val="TableParagraph"/>
              <w:ind w:left="113"/>
              <w:rPr>
                <w:sz w:val="22"/>
              </w:rPr>
            </w:pPr>
            <w:r>
              <w:rPr>
                <w:sz w:val="22"/>
              </w:rPr>
              <w:t>yyyy"5E74" mm"6708" dd"65E5"</w:t>
            </w:r>
          </w:p>
        </w:tc>
      </w:tr>
      <w:tr>
        <w:trPr>
          <w:trHeight w:val="386" w:hRule="atLeast"/>
        </w:trPr>
        <w:tc>
          <w:tcPr>
            <w:tcW w:w="454" w:type="dxa"/>
          </w:tcPr>
          <w:p>
            <w:pPr>
              <w:pStyle w:val="TableParagraph"/>
              <w:ind w:left="96" w:right="85"/>
              <w:jc w:val="center"/>
              <w:rPr>
                <w:sz w:val="22"/>
              </w:rPr>
            </w:pPr>
            <w:r>
              <w:rPr>
                <w:sz w:val="22"/>
              </w:rPr>
              <w:t>58</w:t>
            </w:r>
          </w:p>
        </w:tc>
        <w:tc>
          <w:tcPr>
            <w:tcW w:w="3450" w:type="dxa"/>
          </w:tcPr>
          <w:p>
            <w:pPr>
              <w:pStyle w:val="TableParagraph"/>
              <w:ind w:left="114"/>
              <w:rPr>
                <w:sz w:val="22"/>
              </w:rPr>
            </w:pPr>
            <w:r>
              <w:rPr>
                <w:sz w:val="22"/>
              </w:rPr>
              <w:t>[$-411]ggge"5E74"m"6708"d"65E5"</w:t>
            </w:r>
          </w:p>
        </w:tc>
        <w:tc>
          <w:tcPr>
            <w:tcW w:w="3229" w:type="dxa"/>
          </w:tcPr>
          <w:p>
            <w:pPr>
              <w:pStyle w:val="TableParagraph"/>
              <w:ind w:left="113"/>
              <w:rPr>
                <w:sz w:val="22"/>
              </w:rPr>
            </w:pPr>
            <w:r>
              <w:rPr>
                <w:sz w:val="22"/>
              </w:rPr>
              <w:t>mm-dd</w:t>
            </w:r>
          </w:p>
        </w:tc>
      </w:tr>
    </w:tbl>
    <w:p>
      <w:pPr>
        <w:pStyle w:val="BodyText"/>
        <w:rPr>
          <w:b/>
          <w:sz w:val="20"/>
        </w:rPr>
      </w:pPr>
    </w:p>
    <w:p>
      <w:pPr>
        <w:pStyle w:val="BodyText"/>
        <w:rPr>
          <w:b/>
          <w:sz w:val="17"/>
        </w:rPr>
      </w:pPr>
    </w:p>
    <w:p>
      <w:pPr>
        <w:spacing w:before="56"/>
        <w:ind w:left="220" w:right="0" w:firstLine="0"/>
        <w:jc w:val="left"/>
        <w:rPr>
          <w:b/>
          <w:sz w:val="22"/>
        </w:rPr>
      </w:pPr>
      <w:r>
        <w:rPr>
          <w:b/>
          <w:sz w:val="22"/>
        </w:rPr>
        <w:t>th-th</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381"/>
      </w:tblGrid>
      <w:tr>
        <w:trPr>
          <w:trHeight w:val="385" w:hRule="atLeast"/>
        </w:trPr>
        <w:tc>
          <w:tcPr>
            <w:tcW w:w="960" w:type="dxa"/>
            <w:shd w:val="clear" w:color="auto" w:fill="C0C0C0"/>
          </w:tcPr>
          <w:p>
            <w:pPr>
              <w:pStyle w:val="TableParagraph"/>
              <w:ind w:left="362" w:right="350"/>
              <w:jc w:val="center"/>
              <w:rPr>
                <w:b/>
                <w:sz w:val="22"/>
              </w:rPr>
            </w:pPr>
            <w:r>
              <w:rPr>
                <w:b/>
                <w:sz w:val="22"/>
              </w:rPr>
              <w:t>ID</w:t>
            </w:r>
          </w:p>
        </w:tc>
        <w:tc>
          <w:tcPr>
            <w:tcW w:w="2381" w:type="dxa"/>
            <w:shd w:val="clear" w:color="auto" w:fill="C0C0C0"/>
          </w:tcPr>
          <w:p>
            <w:pPr>
              <w:pStyle w:val="TableParagraph"/>
              <w:ind w:left="390"/>
              <w:rPr>
                <w:b/>
                <w:sz w:val="22"/>
              </w:rPr>
            </w:pPr>
            <w:r>
              <w:rPr>
                <w:b/>
                <w:sz w:val="22"/>
              </w:rPr>
              <w:t>th-th formatCode</w:t>
            </w:r>
          </w:p>
        </w:tc>
      </w:tr>
      <w:tr>
        <w:trPr>
          <w:trHeight w:val="385" w:hRule="atLeast"/>
        </w:trPr>
        <w:tc>
          <w:tcPr>
            <w:tcW w:w="960" w:type="dxa"/>
          </w:tcPr>
          <w:p>
            <w:pPr>
              <w:pStyle w:val="TableParagraph"/>
              <w:rPr>
                <w:sz w:val="22"/>
              </w:rPr>
            </w:pPr>
            <w:r>
              <w:rPr>
                <w:sz w:val="22"/>
              </w:rPr>
              <w:t>59</w:t>
            </w:r>
          </w:p>
        </w:tc>
        <w:tc>
          <w:tcPr>
            <w:tcW w:w="2381" w:type="dxa"/>
          </w:tcPr>
          <w:p>
            <w:pPr>
              <w:pStyle w:val="TableParagraph"/>
              <w:ind w:left="114"/>
              <w:rPr>
                <w:sz w:val="22"/>
              </w:rPr>
            </w:pPr>
            <w:r>
              <w:rPr>
                <w:sz w:val="22"/>
              </w:rPr>
              <w:t>t0</w:t>
            </w:r>
          </w:p>
        </w:tc>
      </w:tr>
      <w:tr>
        <w:trPr>
          <w:trHeight w:val="386" w:hRule="atLeast"/>
        </w:trPr>
        <w:tc>
          <w:tcPr>
            <w:tcW w:w="960" w:type="dxa"/>
          </w:tcPr>
          <w:p>
            <w:pPr>
              <w:pStyle w:val="TableParagraph"/>
              <w:rPr>
                <w:sz w:val="22"/>
              </w:rPr>
            </w:pPr>
            <w:r>
              <w:rPr>
                <w:sz w:val="22"/>
              </w:rPr>
              <w:t>60</w:t>
            </w:r>
          </w:p>
        </w:tc>
        <w:tc>
          <w:tcPr>
            <w:tcW w:w="2381" w:type="dxa"/>
          </w:tcPr>
          <w:p>
            <w:pPr>
              <w:pStyle w:val="TableParagraph"/>
              <w:ind w:left="114"/>
              <w:rPr>
                <w:sz w:val="22"/>
              </w:rPr>
            </w:pPr>
            <w:r>
              <w:rPr>
                <w:sz w:val="22"/>
              </w:rPr>
              <w:t>t0.00</w:t>
            </w:r>
          </w:p>
        </w:tc>
      </w:tr>
      <w:tr>
        <w:trPr>
          <w:trHeight w:val="386" w:hRule="atLeast"/>
        </w:trPr>
        <w:tc>
          <w:tcPr>
            <w:tcW w:w="960" w:type="dxa"/>
          </w:tcPr>
          <w:p>
            <w:pPr>
              <w:pStyle w:val="TableParagraph"/>
              <w:rPr>
                <w:sz w:val="22"/>
              </w:rPr>
            </w:pPr>
            <w:r>
              <w:rPr>
                <w:sz w:val="22"/>
              </w:rPr>
              <w:t>61</w:t>
            </w:r>
          </w:p>
        </w:tc>
        <w:tc>
          <w:tcPr>
            <w:tcW w:w="2381" w:type="dxa"/>
          </w:tcPr>
          <w:p>
            <w:pPr>
              <w:pStyle w:val="TableParagraph"/>
              <w:ind w:left="114"/>
              <w:rPr>
                <w:sz w:val="22"/>
              </w:rPr>
            </w:pPr>
            <w:r>
              <w:rPr>
                <w:sz w:val="22"/>
              </w:rPr>
              <w:t>t#,##0</w:t>
            </w:r>
          </w:p>
        </w:tc>
      </w:tr>
      <w:tr>
        <w:trPr>
          <w:trHeight w:val="386" w:hRule="atLeast"/>
        </w:trPr>
        <w:tc>
          <w:tcPr>
            <w:tcW w:w="960" w:type="dxa"/>
          </w:tcPr>
          <w:p>
            <w:pPr>
              <w:pStyle w:val="TableParagraph"/>
              <w:rPr>
                <w:sz w:val="22"/>
              </w:rPr>
            </w:pPr>
            <w:r>
              <w:rPr>
                <w:sz w:val="22"/>
              </w:rPr>
              <w:t>62</w:t>
            </w:r>
          </w:p>
        </w:tc>
        <w:tc>
          <w:tcPr>
            <w:tcW w:w="2381" w:type="dxa"/>
          </w:tcPr>
          <w:p>
            <w:pPr>
              <w:pStyle w:val="TableParagraph"/>
              <w:ind w:left="114"/>
              <w:rPr>
                <w:sz w:val="22"/>
              </w:rPr>
            </w:pPr>
            <w:r>
              <w:rPr>
                <w:sz w:val="22"/>
              </w:rPr>
              <w:t>t#,##0.00</w:t>
            </w:r>
          </w:p>
        </w:tc>
      </w:tr>
      <w:tr>
        <w:trPr>
          <w:trHeight w:val="385" w:hRule="atLeast"/>
        </w:trPr>
        <w:tc>
          <w:tcPr>
            <w:tcW w:w="960" w:type="dxa"/>
          </w:tcPr>
          <w:p>
            <w:pPr>
              <w:pStyle w:val="TableParagraph"/>
              <w:rPr>
                <w:sz w:val="22"/>
              </w:rPr>
            </w:pPr>
            <w:r>
              <w:rPr>
                <w:sz w:val="22"/>
              </w:rPr>
              <w:t>67</w:t>
            </w:r>
          </w:p>
        </w:tc>
        <w:tc>
          <w:tcPr>
            <w:tcW w:w="2381" w:type="dxa"/>
          </w:tcPr>
          <w:p>
            <w:pPr>
              <w:pStyle w:val="TableParagraph"/>
              <w:ind w:left="114"/>
              <w:rPr>
                <w:sz w:val="22"/>
              </w:rPr>
            </w:pPr>
            <w:r>
              <w:rPr>
                <w:sz w:val="22"/>
              </w:rPr>
              <w:t>t0%</w:t>
            </w:r>
          </w:p>
        </w:tc>
      </w:tr>
      <w:tr>
        <w:trPr>
          <w:trHeight w:val="386" w:hRule="atLeast"/>
        </w:trPr>
        <w:tc>
          <w:tcPr>
            <w:tcW w:w="960" w:type="dxa"/>
          </w:tcPr>
          <w:p>
            <w:pPr>
              <w:pStyle w:val="TableParagraph"/>
              <w:rPr>
                <w:sz w:val="22"/>
              </w:rPr>
            </w:pPr>
            <w:r>
              <w:rPr>
                <w:sz w:val="22"/>
              </w:rPr>
              <w:t>68</w:t>
            </w:r>
          </w:p>
        </w:tc>
        <w:tc>
          <w:tcPr>
            <w:tcW w:w="2381" w:type="dxa"/>
          </w:tcPr>
          <w:p>
            <w:pPr>
              <w:pStyle w:val="TableParagraph"/>
              <w:ind w:left="114"/>
              <w:rPr>
                <w:sz w:val="22"/>
              </w:rPr>
            </w:pPr>
            <w:r>
              <w:rPr>
                <w:sz w:val="22"/>
              </w:rPr>
              <w:t>t0.00%</w:t>
            </w:r>
          </w:p>
        </w:tc>
      </w:tr>
      <w:tr>
        <w:trPr>
          <w:trHeight w:val="386" w:hRule="atLeast"/>
        </w:trPr>
        <w:tc>
          <w:tcPr>
            <w:tcW w:w="960" w:type="dxa"/>
          </w:tcPr>
          <w:p>
            <w:pPr>
              <w:pStyle w:val="TableParagraph"/>
              <w:rPr>
                <w:sz w:val="22"/>
              </w:rPr>
            </w:pPr>
            <w:r>
              <w:rPr>
                <w:sz w:val="22"/>
              </w:rPr>
              <w:t>69</w:t>
            </w:r>
          </w:p>
        </w:tc>
        <w:tc>
          <w:tcPr>
            <w:tcW w:w="2381" w:type="dxa"/>
          </w:tcPr>
          <w:p>
            <w:pPr>
              <w:pStyle w:val="TableParagraph"/>
              <w:ind w:left="114"/>
              <w:rPr>
                <w:sz w:val="22"/>
              </w:rPr>
            </w:pPr>
            <w:r>
              <w:rPr>
                <w:sz w:val="22"/>
              </w:rPr>
              <w:t>t# ?/?</w:t>
            </w:r>
          </w:p>
        </w:tc>
      </w:tr>
      <w:tr>
        <w:trPr>
          <w:trHeight w:val="385" w:hRule="atLeast"/>
        </w:trPr>
        <w:tc>
          <w:tcPr>
            <w:tcW w:w="960" w:type="dxa"/>
          </w:tcPr>
          <w:p>
            <w:pPr>
              <w:pStyle w:val="TableParagraph"/>
              <w:rPr>
                <w:sz w:val="22"/>
              </w:rPr>
            </w:pPr>
            <w:r>
              <w:rPr>
                <w:sz w:val="22"/>
              </w:rPr>
              <w:t>70</w:t>
            </w:r>
          </w:p>
        </w:tc>
        <w:tc>
          <w:tcPr>
            <w:tcW w:w="2381" w:type="dxa"/>
          </w:tcPr>
          <w:p>
            <w:pPr>
              <w:pStyle w:val="TableParagraph"/>
              <w:ind w:left="114"/>
              <w:rPr>
                <w:sz w:val="22"/>
              </w:rPr>
            </w:pPr>
            <w:r>
              <w:rPr>
                <w:sz w:val="22"/>
              </w:rPr>
              <w:t>t# ??/??</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2381"/>
      </w:tblGrid>
      <w:tr>
        <w:trPr>
          <w:trHeight w:val="386" w:hRule="atLeast"/>
        </w:trPr>
        <w:tc>
          <w:tcPr>
            <w:tcW w:w="960" w:type="dxa"/>
            <w:shd w:val="clear" w:color="auto" w:fill="C0C0C0"/>
          </w:tcPr>
          <w:p>
            <w:pPr>
              <w:pStyle w:val="TableParagraph"/>
              <w:ind w:left="362" w:right="350"/>
              <w:jc w:val="center"/>
              <w:rPr>
                <w:b/>
                <w:sz w:val="22"/>
              </w:rPr>
            </w:pPr>
            <w:r>
              <w:rPr>
                <w:b/>
                <w:sz w:val="22"/>
              </w:rPr>
              <w:t>ID</w:t>
            </w:r>
          </w:p>
        </w:tc>
        <w:tc>
          <w:tcPr>
            <w:tcW w:w="2381" w:type="dxa"/>
            <w:shd w:val="clear" w:color="auto" w:fill="C0C0C0"/>
          </w:tcPr>
          <w:p>
            <w:pPr>
              <w:pStyle w:val="TableParagraph"/>
              <w:ind w:left="390"/>
              <w:rPr>
                <w:b/>
                <w:sz w:val="22"/>
              </w:rPr>
            </w:pPr>
            <w:r>
              <w:rPr>
                <w:b/>
                <w:sz w:val="22"/>
              </w:rPr>
              <w:t>th-th formatCode</w:t>
            </w:r>
          </w:p>
        </w:tc>
      </w:tr>
      <w:tr>
        <w:trPr>
          <w:trHeight w:val="402" w:hRule="atLeast"/>
        </w:trPr>
        <w:tc>
          <w:tcPr>
            <w:tcW w:w="960" w:type="dxa"/>
          </w:tcPr>
          <w:p>
            <w:pPr>
              <w:pStyle w:val="TableParagraph"/>
              <w:rPr>
                <w:sz w:val="22"/>
              </w:rPr>
            </w:pPr>
            <w:r>
              <w:rPr>
                <w:sz w:val="22"/>
              </w:rPr>
              <w:t>71</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90"/>
                <w:sz w:val="22"/>
                <w:szCs w:val="22"/>
              </w:rPr>
              <w:t>ว</w:t>
            </w:r>
            <w:r>
              <w:rPr>
                <w:w w:val="90"/>
                <w:sz w:val="22"/>
                <w:szCs w:val="22"/>
              </w:rPr>
              <w:t>/</w:t>
            </w:r>
            <w:r>
              <w:rPr>
                <w:rFonts w:ascii="Microsoft Sans Serif" w:hAnsi="Microsoft Sans Serif" w:cs="Microsoft Sans Serif" w:eastAsia="Microsoft Sans Serif"/>
                <w:w w:val="90"/>
                <w:sz w:val="22"/>
                <w:szCs w:val="22"/>
              </w:rPr>
              <w:t>ด</w:t>
            </w:r>
            <w:r>
              <w:rPr>
                <w:w w:val="90"/>
                <w:sz w:val="22"/>
                <w:szCs w:val="22"/>
              </w:rPr>
              <w:t>/</w:t>
            </w:r>
            <w:r>
              <w:rPr>
                <w:rFonts w:ascii="Microsoft Sans Serif" w:hAnsi="Microsoft Sans Serif" w:cs="Microsoft Sans Serif" w:eastAsia="Microsoft Sans Serif"/>
                <w:w w:val="90"/>
                <w:sz w:val="22"/>
                <w:szCs w:val="22"/>
              </w:rPr>
              <w:t>ปปปป</w:t>
            </w:r>
          </w:p>
        </w:tc>
      </w:tr>
      <w:tr>
        <w:trPr>
          <w:trHeight w:val="402" w:hRule="atLeast"/>
        </w:trPr>
        <w:tc>
          <w:tcPr>
            <w:tcW w:w="960" w:type="dxa"/>
          </w:tcPr>
          <w:p>
            <w:pPr>
              <w:pStyle w:val="TableParagraph"/>
              <w:rPr>
                <w:sz w:val="22"/>
              </w:rPr>
            </w:pPr>
            <w:r>
              <w:rPr>
                <w:sz w:val="22"/>
              </w:rPr>
              <w:t>72</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90"/>
                <w:sz w:val="22"/>
                <w:szCs w:val="22"/>
              </w:rPr>
              <w:t>ว</w:t>
            </w:r>
            <w:r>
              <w:rPr>
                <w:w w:val="90"/>
                <w:sz w:val="22"/>
                <w:szCs w:val="22"/>
              </w:rPr>
              <w:t>-</w:t>
            </w:r>
            <w:r>
              <w:rPr>
                <w:rFonts w:ascii="Microsoft Sans Serif" w:hAnsi="Microsoft Sans Serif" w:cs="Microsoft Sans Serif" w:eastAsia="Microsoft Sans Serif"/>
                <w:w w:val="90"/>
                <w:sz w:val="22"/>
                <w:szCs w:val="22"/>
              </w:rPr>
              <w:t>ดดด</w:t>
            </w:r>
            <w:r>
              <w:rPr>
                <w:w w:val="90"/>
                <w:sz w:val="22"/>
                <w:szCs w:val="22"/>
              </w:rPr>
              <w:t>-</w:t>
            </w:r>
            <w:r>
              <w:rPr>
                <w:rFonts w:ascii="Microsoft Sans Serif" w:hAnsi="Microsoft Sans Serif" w:cs="Microsoft Sans Serif" w:eastAsia="Microsoft Sans Serif"/>
                <w:w w:val="90"/>
                <w:sz w:val="22"/>
                <w:szCs w:val="22"/>
              </w:rPr>
              <w:t>ปป</w:t>
            </w:r>
          </w:p>
        </w:tc>
      </w:tr>
      <w:tr>
        <w:trPr>
          <w:trHeight w:val="402" w:hRule="atLeast"/>
        </w:trPr>
        <w:tc>
          <w:tcPr>
            <w:tcW w:w="960" w:type="dxa"/>
          </w:tcPr>
          <w:p>
            <w:pPr>
              <w:pStyle w:val="TableParagraph"/>
              <w:rPr>
                <w:sz w:val="22"/>
              </w:rPr>
            </w:pPr>
            <w:r>
              <w:rPr>
                <w:sz w:val="22"/>
              </w:rPr>
              <w:t>73</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90"/>
                <w:sz w:val="22"/>
                <w:szCs w:val="22"/>
              </w:rPr>
              <w:t>ว</w:t>
            </w:r>
            <w:r>
              <w:rPr>
                <w:w w:val="90"/>
                <w:sz w:val="22"/>
                <w:szCs w:val="22"/>
              </w:rPr>
              <w:t>-</w:t>
            </w:r>
            <w:r>
              <w:rPr>
                <w:rFonts w:ascii="Microsoft Sans Serif" w:hAnsi="Microsoft Sans Serif" w:cs="Microsoft Sans Serif" w:eastAsia="Microsoft Sans Serif"/>
                <w:w w:val="90"/>
                <w:sz w:val="22"/>
                <w:szCs w:val="22"/>
              </w:rPr>
              <w:t>ดดด</w:t>
            </w:r>
          </w:p>
        </w:tc>
      </w:tr>
      <w:tr>
        <w:trPr>
          <w:trHeight w:val="402" w:hRule="atLeast"/>
        </w:trPr>
        <w:tc>
          <w:tcPr>
            <w:tcW w:w="960" w:type="dxa"/>
          </w:tcPr>
          <w:p>
            <w:pPr>
              <w:pStyle w:val="TableParagraph"/>
              <w:rPr>
                <w:sz w:val="22"/>
              </w:rPr>
            </w:pPr>
            <w:r>
              <w:rPr>
                <w:sz w:val="22"/>
              </w:rPr>
              <w:t>74</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90"/>
                <w:sz w:val="22"/>
                <w:szCs w:val="22"/>
              </w:rPr>
              <w:t>ดดด</w:t>
            </w:r>
            <w:r>
              <w:rPr>
                <w:w w:val="90"/>
                <w:sz w:val="22"/>
                <w:szCs w:val="22"/>
              </w:rPr>
              <w:t>-</w:t>
            </w:r>
            <w:r>
              <w:rPr>
                <w:rFonts w:ascii="Microsoft Sans Serif" w:hAnsi="Microsoft Sans Serif" w:cs="Microsoft Sans Serif" w:eastAsia="Microsoft Sans Serif"/>
                <w:w w:val="90"/>
                <w:sz w:val="22"/>
                <w:szCs w:val="22"/>
              </w:rPr>
              <w:t>ปป</w:t>
            </w:r>
          </w:p>
        </w:tc>
      </w:tr>
      <w:tr>
        <w:trPr>
          <w:trHeight w:val="402" w:hRule="atLeast"/>
        </w:trPr>
        <w:tc>
          <w:tcPr>
            <w:tcW w:w="960" w:type="dxa"/>
          </w:tcPr>
          <w:p>
            <w:pPr>
              <w:pStyle w:val="TableParagraph"/>
              <w:rPr>
                <w:sz w:val="22"/>
              </w:rPr>
            </w:pPr>
            <w:r>
              <w:rPr>
                <w:sz w:val="22"/>
              </w:rPr>
              <w:t>75</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85"/>
                <w:sz w:val="22"/>
                <w:szCs w:val="22"/>
              </w:rPr>
              <w:t>ช</w:t>
            </w:r>
            <w:r>
              <w:rPr>
                <w:w w:val="85"/>
                <w:sz w:val="22"/>
                <w:szCs w:val="22"/>
              </w:rPr>
              <w:t>:</w:t>
            </w:r>
            <w:r>
              <w:rPr>
                <w:rFonts w:ascii="Microsoft Sans Serif" w:hAnsi="Microsoft Sans Serif" w:cs="Microsoft Sans Serif" w:eastAsia="Microsoft Sans Serif"/>
                <w:w w:val="85"/>
                <w:sz w:val="22"/>
                <w:szCs w:val="22"/>
              </w:rPr>
              <w:t>นน</w:t>
            </w:r>
          </w:p>
        </w:tc>
      </w:tr>
      <w:tr>
        <w:trPr>
          <w:trHeight w:val="402" w:hRule="atLeast"/>
        </w:trPr>
        <w:tc>
          <w:tcPr>
            <w:tcW w:w="960" w:type="dxa"/>
          </w:tcPr>
          <w:p>
            <w:pPr>
              <w:pStyle w:val="TableParagraph"/>
              <w:rPr>
                <w:sz w:val="22"/>
              </w:rPr>
            </w:pPr>
            <w:r>
              <w:rPr>
                <w:sz w:val="22"/>
              </w:rPr>
              <w:t>76</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90"/>
                <w:sz w:val="22"/>
                <w:szCs w:val="22"/>
              </w:rPr>
              <w:t>ช</w:t>
            </w:r>
            <w:r>
              <w:rPr>
                <w:w w:val="90"/>
                <w:sz w:val="22"/>
                <w:szCs w:val="22"/>
              </w:rPr>
              <w:t>:</w:t>
            </w:r>
            <w:r>
              <w:rPr>
                <w:rFonts w:ascii="Microsoft Sans Serif" w:hAnsi="Microsoft Sans Serif" w:cs="Microsoft Sans Serif" w:eastAsia="Microsoft Sans Serif"/>
                <w:w w:val="90"/>
                <w:sz w:val="22"/>
                <w:szCs w:val="22"/>
              </w:rPr>
              <w:t>นน</w:t>
            </w:r>
            <w:r>
              <w:rPr>
                <w:w w:val="90"/>
                <w:sz w:val="22"/>
                <w:szCs w:val="22"/>
              </w:rPr>
              <w:t>:</w:t>
            </w:r>
            <w:r>
              <w:rPr>
                <w:rFonts w:ascii="Microsoft Sans Serif" w:hAnsi="Microsoft Sans Serif" w:cs="Microsoft Sans Serif" w:eastAsia="Microsoft Sans Serif"/>
                <w:w w:val="90"/>
                <w:sz w:val="22"/>
                <w:szCs w:val="22"/>
              </w:rPr>
              <w:t>ทท</w:t>
            </w:r>
          </w:p>
        </w:tc>
      </w:tr>
      <w:tr>
        <w:trPr>
          <w:trHeight w:val="402" w:hRule="atLeast"/>
        </w:trPr>
        <w:tc>
          <w:tcPr>
            <w:tcW w:w="960" w:type="dxa"/>
          </w:tcPr>
          <w:p>
            <w:pPr>
              <w:pStyle w:val="TableParagraph"/>
              <w:rPr>
                <w:sz w:val="22"/>
              </w:rPr>
            </w:pPr>
            <w:r>
              <w:rPr>
                <w:sz w:val="22"/>
              </w:rPr>
              <w:t>77</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90"/>
                <w:sz w:val="22"/>
                <w:szCs w:val="22"/>
              </w:rPr>
              <w:t>ว</w:t>
            </w:r>
            <w:r>
              <w:rPr>
                <w:w w:val="90"/>
                <w:sz w:val="22"/>
                <w:szCs w:val="22"/>
              </w:rPr>
              <w:t>/</w:t>
            </w:r>
            <w:r>
              <w:rPr>
                <w:rFonts w:ascii="Microsoft Sans Serif" w:hAnsi="Microsoft Sans Serif" w:cs="Microsoft Sans Serif" w:eastAsia="Microsoft Sans Serif"/>
                <w:w w:val="90"/>
                <w:sz w:val="22"/>
                <w:szCs w:val="22"/>
              </w:rPr>
              <w:t>ด</w:t>
            </w:r>
            <w:r>
              <w:rPr>
                <w:w w:val="90"/>
                <w:sz w:val="22"/>
                <w:szCs w:val="22"/>
              </w:rPr>
              <w:t>/</w:t>
            </w:r>
            <w:r>
              <w:rPr>
                <w:rFonts w:ascii="Microsoft Sans Serif" w:hAnsi="Microsoft Sans Serif" w:cs="Microsoft Sans Serif" w:eastAsia="Microsoft Sans Serif"/>
                <w:w w:val="90"/>
                <w:sz w:val="22"/>
                <w:szCs w:val="22"/>
              </w:rPr>
              <w:t>ปปปป ช</w:t>
            </w:r>
            <w:r>
              <w:rPr>
                <w:w w:val="90"/>
                <w:sz w:val="22"/>
                <w:szCs w:val="22"/>
              </w:rPr>
              <w:t>:</w:t>
            </w:r>
            <w:r>
              <w:rPr>
                <w:rFonts w:ascii="Microsoft Sans Serif" w:hAnsi="Microsoft Sans Serif" w:cs="Microsoft Sans Serif" w:eastAsia="Microsoft Sans Serif"/>
                <w:w w:val="90"/>
                <w:sz w:val="22"/>
                <w:szCs w:val="22"/>
              </w:rPr>
              <w:t>นน</w:t>
            </w:r>
          </w:p>
        </w:tc>
      </w:tr>
      <w:tr>
        <w:trPr>
          <w:trHeight w:val="402" w:hRule="atLeast"/>
        </w:trPr>
        <w:tc>
          <w:tcPr>
            <w:tcW w:w="960" w:type="dxa"/>
          </w:tcPr>
          <w:p>
            <w:pPr>
              <w:pStyle w:val="TableParagraph"/>
              <w:rPr>
                <w:sz w:val="22"/>
              </w:rPr>
            </w:pPr>
            <w:r>
              <w:rPr>
                <w:sz w:val="22"/>
              </w:rPr>
              <w:t>78</w:t>
            </w:r>
          </w:p>
        </w:tc>
        <w:tc>
          <w:tcPr>
            <w:tcW w:w="2381" w:type="dxa"/>
          </w:tcPr>
          <w:p>
            <w:pPr>
              <w:pStyle w:val="TableParagraph"/>
              <w:spacing w:before="42"/>
              <w:ind w:left="114"/>
              <w:rPr>
                <w:rFonts w:ascii="Microsoft Sans Serif" w:hAnsi="Microsoft Sans Serif" w:cs="Microsoft Sans Serif" w:eastAsia="Microsoft Sans Serif"/>
                <w:sz w:val="22"/>
                <w:szCs w:val="22"/>
              </w:rPr>
            </w:pPr>
            <w:r>
              <w:rPr>
                <w:rFonts w:ascii="Microsoft Sans Serif" w:hAnsi="Microsoft Sans Serif" w:cs="Microsoft Sans Serif" w:eastAsia="Microsoft Sans Serif"/>
                <w:w w:val="90"/>
                <w:sz w:val="22"/>
                <w:szCs w:val="22"/>
              </w:rPr>
              <w:t>นน</w:t>
            </w:r>
            <w:r>
              <w:rPr>
                <w:w w:val="90"/>
                <w:sz w:val="22"/>
                <w:szCs w:val="22"/>
              </w:rPr>
              <w:t>:</w:t>
            </w:r>
            <w:r>
              <w:rPr>
                <w:rFonts w:ascii="Microsoft Sans Serif" w:hAnsi="Microsoft Sans Serif" w:cs="Microsoft Sans Serif" w:eastAsia="Microsoft Sans Serif"/>
                <w:w w:val="90"/>
                <w:sz w:val="22"/>
                <w:szCs w:val="22"/>
              </w:rPr>
              <w:t>ทท</w:t>
            </w:r>
          </w:p>
        </w:tc>
      </w:tr>
      <w:tr>
        <w:trPr>
          <w:trHeight w:val="403" w:hRule="atLeast"/>
        </w:trPr>
        <w:tc>
          <w:tcPr>
            <w:tcW w:w="960" w:type="dxa"/>
          </w:tcPr>
          <w:p>
            <w:pPr>
              <w:pStyle w:val="TableParagraph"/>
              <w:rPr>
                <w:sz w:val="22"/>
              </w:rPr>
            </w:pPr>
            <w:r>
              <w:rPr>
                <w:sz w:val="22"/>
              </w:rPr>
              <w:t>79</w:t>
            </w:r>
          </w:p>
        </w:tc>
        <w:tc>
          <w:tcPr>
            <w:tcW w:w="2381" w:type="dxa"/>
          </w:tcPr>
          <w:p>
            <w:pPr>
              <w:pStyle w:val="TableParagraph"/>
              <w:spacing w:before="43"/>
              <w:ind w:left="114"/>
              <w:rPr>
                <w:rFonts w:ascii="Microsoft Sans Serif" w:hAnsi="Microsoft Sans Serif" w:cs="Microsoft Sans Serif" w:eastAsia="Microsoft Sans Serif"/>
                <w:sz w:val="22"/>
                <w:szCs w:val="22"/>
              </w:rPr>
            </w:pPr>
            <w:r>
              <w:rPr>
                <w:w w:val="95"/>
                <w:sz w:val="22"/>
                <w:szCs w:val="22"/>
              </w:rPr>
              <w:t>[</w:t>
            </w:r>
            <w:r>
              <w:rPr>
                <w:rFonts w:ascii="Microsoft Sans Serif" w:hAnsi="Microsoft Sans Serif" w:cs="Microsoft Sans Serif" w:eastAsia="Microsoft Sans Serif"/>
                <w:w w:val="95"/>
                <w:sz w:val="22"/>
                <w:szCs w:val="22"/>
              </w:rPr>
              <w:t>ช</w:t>
            </w:r>
            <w:r>
              <w:rPr>
                <w:w w:val="95"/>
                <w:sz w:val="22"/>
                <w:szCs w:val="22"/>
              </w:rPr>
              <w:t>]:</w:t>
            </w:r>
            <w:r>
              <w:rPr>
                <w:rFonts w:ascii="Microsoft Sans Serif" w:hAnsi="Microsoft Sans Serif" w:cs="Microsoft Sans Serif" w:eastAsia="Microsoft Sans Serif"/>
                <w:w w:val="95"/>
                <w:sz w:val="22"/>
                <w:szCs w:val="22"/>
              </w:rPr>
              <w:t>นน</w:t>
            </w:r>
            <w:r>
              <w:rPr>
                <w:w w:val="95"/>
                <w:sz w:val="22"/>
                <w:szCs w:val="22"/>
              </w:rPr>
              <w:t>:</w:t>
            </w:r>
            <w:r>
              <w:rPr>
                <w:rFonts w:ascii="Microsoft Sans Serif" w:hAnsi="Microsoft Sans Serif" w:cs="Microsoft Sans Serif" w:eastAsia="Microsoft Sans Serif"/>
                <w:w w:val="95"/>
                <w:sz w:val="22"/>
                <w:szCs w:val="22"/>
              </w:rPr>
              <w:t>ทท</w:t>
            </w:r>
          </w:p>
        </w:tc>
      </w:tr>
      <w:tr>
        <w:trPr>
          <w:trHeight w:val="402" w:hRule="atLeast"/>
        </w:trPr>
        <w:tc>
          <w:tcPr>
            <w:tcW w:w="960" w:type="dxa"/>
          </w:tcPr>
          <w:p>
            <w:pPr>
              <w:pStyle w:val="TableParagraph"/>
              <w:rPr>
                <w:sz w:val="22"/>
              </w:rPr>
            </w:pPr>
            <w:r>
              <w:rPr>
                <w:sz w:val="22"/>
              </w:rPr>
              <w:t>80</w:t>
            </w:r>
          </w:p>
        </w:tc>
        <w:tc>
          <w:tcPr>
            <w:tcW w:w="2381" w:type="dxa"/>
          </w:tcPr>
          <w:p>
            <w:pPr>
              <w:pStyle w:val="TableParagraph"/>
              <w:spacing w:before="42"/>
              <w:ind w:left="114"/>
              <w:rPr>
                <w:sz w:val="22"/>
                <w:szCs w:val="22"/>
              </w:rPr>
            </w:pPr>
            <w:r>
              <w:rPr>
                <w:rFonts w:ascii="Microsoft Sans Serif" w:hAnsi="Microsoft Sans Serif" w:cs="Microsoft Sans Serif" w:eastAsia="Microsoft Sans Serif"/>
                <w:w w:val="95"/>
                <w:sz w:val="22"/>
                <w:szCs w:val="22"/>
              </w:rPr>
              <w:t>นน</w:t>
            </w:r>
            <w:r>
              <w:rPr>
                <w:w w:val="95"/>
                <w:sz w:val="22"/>
                <w:szCs w:val="22"/>
              </w:rPr>
              <w:t>:</w:t>
            </w:r>
            <w:r>
              <w:rPr>
                <w:rFonts w:ascii="Microsoft Sans Serif" w:hAnsi="Microsoft Sans Serif" w:cs="Microsoft Sans Serif" w:eastAsia="Microsoft Sans Serif"/>
                <w:w w:val="95"/>
                <w:sz w:val="22"/>
                <w:szCs w:val="22"/>
              </w:rPr>
              <w:t>ทท</w:t>
            </w:r>
            <w:r>
              <w:rPr>
                <w:w w:val="95"/>
                <w:sz w:val="22"/>
                <w:szCs w:val="22"/>
              </w:rPr>
              <w:t>.0</w:t>
            </w:r>
          </w:p>
        </w:tc>
      </w:tr>
      <w:tr>
        <w:trPr>
          <w:trHeight w:val="388" w:hRule="atLeast"/>
        </w:trPr>
        <w:tc>
          <w:tcPr>
            <w:tcW w:w="960" w:type="dxa"/>
          </w:tcPr>
          <w:p>
            <w:pPr>
              <w:pStyle w:val="TableParagraph"/>
              <w:rPr>
                <w:sz w:val="22"/>
              </w:rPr>
            </w:pPr>
            <w:r>
              <w:rPr>
                <w:sz w:val="22"/>
              </w:rPr>
              <w:t>81</w:t>
            </w:r>
          </w:p>
        </w:tc>
        <w:tc>
          <w:tcPr>
            <w:tcW w:w="2381" w:type="dxa"/>
          </w:tcPr>
          <w:p>
            <w:pPr>
              <w:pStyle w:val="TableParagraph"/>
              <w:ind w:left="114"/>
              <w:rPr>
                <w:sz w:val="22"/>
              </w:rPr>
            </w:pPr>
            <w:r>
              <w:rPr>
                <w:sz w:val="22"/>
              </w:rPr>
              <w:t>d/m/bb</w:t>
            </w:r>
          </w:p>
        </w:tc>
      </w:tr>
    </w:tbl>
    <w:p>
      <w:pPr>
        <w:pStyle w:val="BodyText"/>
        <w:rPr>
          <w:b/>
          <w:sz w:val="20"/>
        </w:rPr>
      </w:pPr>
    </w:p>
    <w:p>
      <w:pPr>
        <w:pStyle w:val="BodyText"/>
        <w:rPr>
          <w:b/>
          <w:sz w:val="17"/>
        </w:rPr>
      </w:pPr>
    </w:p>
    <w:p>
      <w:pPr>
        <w:spacing w:before="56"/>
        <w:ind w:left="220" w:right="0" w:firstLine="0"/>
        <w:jc w:val="left"/>
        <w:rPr>
          <w:b/>
          <w:sz w:val="22"/>
        </w:rPr>
      </w:pPr>
      <w:r>
        <w:rPr>
          <w:b/>
          <w:sz w:val="22"/>
        </w:rPr>
        <w:t>th-th (with unicode values provided for language glyphs where they occur)</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5096"/>
      </w:tblGrid>
      <w:tr>
        <w:trPr>
          <w:trHeight w:val="385" w:hRule="atLeast"/>
        </w:trPr>
        <w:tc>
          <w:tcPr>
            <w:tcW w:w="960" w:type="dxa"/>
            <w:shd w:val="clear" w:color="auto" w:fill="C0C0C0"/>
          </w:tcPr>
          <w:p>
            <w:pPr>
              <w:pStyle w:val="TableParagraph"/>
              <w:ind w:left="362" w:right="350"/>
              <w:jc w:val="center"/>
              <w:rPr>
                <w:b/>
                <w:sz w:val="22"/>
              </w:rPr>
            </w:pPr>
            <w:r>
              <w:rPr>
                <w:b/>
                <w:sz w:val="22"/>
              </w:rPr>
              <w:t>ID</w:t>
            </w:r>
          </w:p>
        </w:tc>
        <w:tc>
          <w:tcPr>
            <w:tcW w:w="5096" w:type="dxa"/>
            <w:shd w:val="clear" w:color="auto" w:fill="C0C0C0"/>
          </w:tcPr>
          <w:p>
            <w:pPr>
              <w:pStyle w:val="TableParagraph"/>
              <w:ind w:left="1727" w:right="1718"/>
              <w:jc w:val="center"/>
              <w:rPr>
                <w:b/>
                <w:sz w:val="22"/>
              </w:rPr>
            </w:pPr>
            <w:r>
              <w:rPr>
                <w:b/>
                <w:sz w:val="22"/>
              </w:rPr>
              <w:t>th-th formatCode</w:t>
            </w:r>
          </w:p>
        </w:tc>
      </w:tr>
      <w:tr>
        <w:trPr>
          <w:trHeight w:val="386" w:hRule="atLeast"/>
        </w:trPr>
        <w:tc>
          <w:tcPr>
            <w:tcW w:w="960" w:type="dxa"/>
          </w:tcPr>
          <w:p>
            <w:pPr>
              <w:pStyle w:val="TableParagraph"/>
              <w:rPr>
                <w:sz w:val="22"/>
              </w:rPr>
            </w:pPr>
            <w:r>
              <w:rPr>
                <w:sz w:val="22"/>
              </w:rPr>
              <w:t>59</w:t>
            </w:r>
          </w:p>
        </w:tc>
        <w:tc>
          <w:tcPr>
            <w:tcW w:w="5096" w:type="dxa"/>
          </w:tcPr>
          <w:p>
            <w:pPr>
              <w:pStyle w:val="TableParagraph"/>
              <w:ind w:left="114"/>
              <w:rPr>
                <w:sz w:val="22"/>
              </w:rPr>
            </w:pPr>
            <w:r>
              <w:rPr>
                <w:sz w:val="22"/>
              </w:rPr>
              <w:t>t0</w:t>
            </w:r>
          </w:p>
        </w:tc>
      </w:tr>
      <w:tr>
        <w:trPr>
          <w:trHeight w:val="386" w:hRule="atLeast"/>
        </w:trPr>
        <w:tc>
          <w:tcPr>
            <w:tcW w:w="960" w:type="dxa"/>
          </w:tcPr>
          <w:p>
            <w:pPr>
              <w:pStyle w:val="TableParagraph"/>
              <w:rPr>
                <w:sz w:val="22"/>
              </w:rPr>
            </w:pPr>
            <w:r>
              <w:rPr>
                <w:sz w:val="22"/>
              </w:rPr>
              <w:t>60</w:t>
            </w:r>
          </w:p>
        </w:tc>
        <w:tc>
          <w:tcPr>
            <w:tcW w:w="5096" w:type="dxa"/>
          </w:tcPr>
          <w:p>
            <w:pPr>
              <w:pStyle w:val="TableParagraph"/>
              <w:ind w:left="114"/>
              <w:rPr>
                <w:sz w:val="22"/>
              </w:rPr>
            </w:pPr>
            <w:r>
              <w:rPr>
                <w:sz w:val="22"/>
              </w:rPr>
              <w:t>t0.00</w:t>
            </w:r>
          </w:p>
        </w:tc>
      </w:tr>
      <w:tr>
        <w:trPr>
          <w:trHeight w:val="386" w:hRule="atLeast"/>
        </w:trPr>
        <w:tc>
          <w:tcPr>
            <w:tcW w:w="960" w:type="dxa"/>
          </w:tcPr>
          <w:p>
            <w:pPr>
              <w:pStyle w:val="TableParagraph"/>
              <w:rPr>
                <w:sz w:val="22"/>
              </w:rPr>
            </w:pPr>
            <w:r>
              <w:rPr>
                <w:sz w:val="22"/>
              </w:rPr>
              <w:t>61</w:t>
            </w:r>
          </w:p>
        </w:tc>
        <w:tc>
          <w:tcPr>
            <w:tcW w:w="5096" w:type="dxa"/>
          </w:tcPr>
          <w:p>
            <w:pPr>
              <w:pStyle w:val="TableParagraph"/>
              <w:ind w:left="114"/>
              <w:rPr>
                <w:sz w:val="22"/>
              </w:rPr>
            </w:pPr>
            <w:r>
              <w:rPr>
                <w:sz w:val="22"/>
              </w:rPr>
              <w:t>t#,##0</w:t>
            </w:r>
          </w:p>
        </w:tc>
      </w:tr>
      <w:tr>
        <w:trPr>
          <w:trHeight w:val="385" w:hRule="atLeast"/>
        </w:trPr>
        <w:tc>
          <w:tcPr>
            <w:tcW w:w="960" w:type="dxa"/>
          </w:tcPr>
          <w:p>
            <w:pPr>
              <w:pStyle w:val="TableParagraph"/>
              <w:rPr>
                <w:sz w:val="22"/>
              </w:rPr>
            </w:pPr>
            <w:r>
              <w:rPr>
                <w:sz w:val="22"/>
              </w:rPr>
              <w:t>62</w:t>
            </w:r>
          </w:p>
        </w:tc>
        <w:tc>
          <w:tcPr>
            <w:tcW w:w="5096" w:type="dxa"/>
          </w:tcPr>
          <w:p>
            <w:pPr>
              <w:pStyle w:val="TableParagraph"/>
              <w:ind w:left="114"/>
              <w:rPr>
                <w:sz w:val="22"/>
              </w:rPr>
            </w:pPr>
            <w:r>
              <w:rPr>
                <w:sz w:val="22"/>
              </w:rPr>
              <w:t>t#,##0.00</w:t>
            </w:r>
          </w:p>
        </w:tc>
      </w:tr>
      <w:tr>
        <w:trPr>
          <w:trHeight w:val="386" w:hRule="atLeast"/>
        </w:trPr>
        <w:tc>
          <w:tcPr>
            <w:tcW w:w="960" w:type="dxa"/>
          </w:tcPr>
          <w:p>
            <w:pPr>
              <w:pStyle w:val="TableParagraph"/>
              <w:rPr>
                <w:sz w:val="22"/>
              </w:rPr>
            </w:pPr>
            <w:r>
              <w:rPr>
                <w:sz w:val="22"/>
              </w:rPr>
              <w:t>67</w:t>
            </w:r>
          </w:p>
        </w:tc>
        <w:tc>
          <w:tcPr>
            <w:tcW w:w="5096" w:type="dxa"/>
          </w:tcPr>
          <w:p>
            <w:pPr>
              <w:pStyle w:val="TableParagraph"/>
              <w:ind w:left="114"/>
              <w:rPr>
                <w:sz w:val="22"/>
              </w:rPr>
            </w:pPr>
            <w:r>
              <w:rPr>
                <w:sz w:val="22"/>
              </w:rPr>
              <w:t>t0%</w:t>
            </w:r>
          </w:p>
        </w:tc>
      </w:tr>
      <w:tr>
        <w:trPr>
          <w:trHeight w:val="386" w:hRule="atLeast"/>
        </w:trPr>
        <w:tc>
          <w:tcPr>
            <w:tcW w:w="960" w:type="dxa"/>
          </w:tcPr>
          <w:p>
            <w:pPr>
              <w:pStyle w:val="TableParagraph"/>
              <w:rPr>
                <w:sz w:val="22"/>
              </w:rPr>
            </w:pPr>
            <w:r>
              <w:rPr>
                <w:sz w:val="22"/>
              </w:rPr>
              <w:t>68</w:t>
            </w:r>
          </w:p>
        </w:tc>
        <w:tc>
          <w:tcPr>
            <w:tcW w:w="5096" w:type="dxa"/>
          </w:tcPr>
          <w:p>
            <w:pPr>
              <w:pStyle w:val="TableParagraph"/>
              <w:ind w:left="114"/>
              <w:rPr>
                <w:sz w:val="22"/>
              </w:rPr>
            </w:pPr>
            <w:r>
              <w:rPr>
                <w:sz w:val="22"/>
              </w:rPr>
              <w:t>t0.00%</w:t>
            </w:r>
          </w:p>
        </w:tc>
      </w:tr>
      <w:tr>
        <w:trPr>
          <w:trHeight w:val="386" w:hRule="atLeast"/>
        </w:trPr>
        <w:tc>
          <w:tcPr>
            <w:tcW w:w="960" w:type="dxa"/>
          </w:tcPr>
          <w:p>
            <w:pPr>
              <w:pStyle w:val="TableParagraph"/>
              <w:rPr>
                <w:sz w:val="22"/>
              </w:rPr>
            </w:pPr>
            <w:r>
              <w:rPr>
                <w:sz w:val="22"/>
              </w:rPr>
              <w:t>69</w:t>
            </w:r>
          </w:p>
        </w:tc>
        <w:tc>
          <w:tcPr>
            <w:tcW w:w="5096" w:type="dxa"/>
          </w:tcPr>
          <w:p>
            <w:pPr>
              <w:pStyle w:val="TableParagraph"/>
              <w:ind w:left="114"/>
              <w:rPr>
                <w:sz w:val="22"/>
              </w:rPr>
            </w:pPr>
            <w:r>
              <w:rPr>
                <w:sz w:val="22"/>
              </w:rPr>
              <w:t>t# ?/?</w:t>
            </w:r>
          </w:p>
        </w:tc>
      </w:tr>
      <w:tr>
        <w:trPr>
          <w:trHeight w:val="385" w:hRule="atLeast"/>
        </w:trPr>
        <w:tc>
          <w:tcPr>
            <w:tcW w:w="960" w:type="dxa"/>
          </w:tcPr>
          <w:p>
            <w:pPr>
              <w:pStyle w:val="TableParagraph"/>
              <w:rPr>
                <w:sz w:val="22"/>
              </w:rPr>
            </w:pPr>
            <w:r>
              <w:rPr>
                <w:sz w:val="22"/>
              </w:rPr>
              <w:t>70</w:t>
            </w:r>
          </w:p>
        </w:tc>
        <w:tc>
          <w:tcPr>
            <w:tcW w:w="5096" w:type="dxa"/>
          </w:tcPr>
          <w:p>
            <w:pPr>
              <w:pStyle w:val="TableParagraph"/>
              <w:ind w:left="114"/>
              <w:rPr>
                <w:sz w:val="22"/>
              </w:rPr>
            </w:pPr>
            <w:r>
              <w:rPr>
                <w:sz w:val="22"/>
              </w:rPr>
              <w:t>t# ??/??</w:t>
            </w:r>
          </w:p>
        </w:tc>
      </w:tr>
      <w:tr>
        <w:trPr>
          <w:trHeight w:val="386" w:hRule="atLeast"/>
        </w:trPr>
        <w:tc>
          <w:tcPr>
            <w:tcW w:w="960" w:type="dxa"/>
          </w:tcPr>
          <w:p>
            <w:pPr>
              <w:pStyle w:val="TableParagraph"/>
              <w:rPr>
                <w:sz w:val="22"/>
              </w:rPr>
            </w:pPr>
            <w:r>
              <w:rPr>
                <w:sz w:val="22"/>
              </w:rPr>
              <w:t>71</w:t>
            </w:r>
          </w:p>
        </w:tc>
        <w:tc>
          <w:tcPr>
            <w:tcW w:w="5096" w:type="dxa"/>
          </w:tcPr>
          <w:p>
            <w:pPr>
              <w:pStyle w:val="TableParagraph"/>
              <w:ind w:left="114"/>
              <w:rPr>
                <w:sz w:val="22"/>
              </w:rPr>
            </w:pPr>
            <w:r>
              <w:rPr>
                <w:sz w:val="22"/>
              </w:rPr>
              <w:t>0E27/0E14/0E1B0E1B0E1B0E1B</w:t>
            </w:r>
          </w:p>
        </w:tc>
      </w:tr>
      <w:tr>
        <w:trPr>
          <w:trHeight w:val="385" w:hRule="atLeast"/>
        </w:trPr>
        <w:tc>
          <w:tcPr>
            <w:tcW w:w="960" w:type="dxa"/>
          </w:tcPr>
          <w:p>
            <w:pPr>
              <w:pStyle w:val="TableParagraph"/>
              <w:rPr>
                <w:sz w:val="22"/>
              </w:rPr>
            </w:pPr>
            <w:r>
              <w:rPr>
                <w:sz w:val="22"/>
              </w:rPr>
              <w:t>72</w:t>
            </w:r>
          </w:p>
        </w:tc>
        <w:tc>
          <w:tcPr>
            <w:tcW w:w="5096" w:type="dxa"/>
          </w:tcPr>
          <w:p>
            <w:pPr>
              <w:pStyle w:val="TableParagraph"/>
              <w:ind w:left="114"/>
              <w:rPr>
                <w:sz w:val="22"/>
              </w:rPr>
            </w:pPr>
            <w:r>
              <w:rPr>
                <w:sz w:val="22"/>
              </w:rPr>
              <w:t>0E27-0E140E140E14-0E1B0E1B</w:t>
            </w:r>
          </w:p>
        </w:tc>
      </w:tr>
      <w:tr>
        <w:trPr>
          <w:trHeight w:val="385" w:hRule="atLeast"/>
        </w:trPr>
        <w:tc>
          <w:tcPr>
            <w:tcW w:w="960" w:type="dxa"/>
          </w:tcPr>
          <w:p>
            <w:pPr>
              <w:pStyle w:val="TableParagraph"/>
              <w:rPr>
                <w:sz w:val="22"/>
              </w:rPr>
            </w:pPr>
            <w:r>
              <w:rPr>
                <w:sz w:val="22"/>
              </w:rPr>
              <w:t>73</w:t>
            </w:r>
          </w:p>
        </w:tc>
        <w:tc>
          <w:tcPr>
            <w:tcW w:w="5096" w:type="dxa"/>
          </w:tcPr>
          <w:p>
            <w:pPr>
              <w:pStyle w:val="TableParagraph"/>
              <w:ind w:left="114"/>
              <w:rPr>
                <w:sz w:val="22"/>
              </w:rPr>
            </w:pPr>
            <w:r>
              <w:rPr>
                <w:sz w:val="22"/>
              </w:rPr>
              <w:t>0E27-0E140E140E14</w:t>
            </w:r>
          </w:p>
        </w:tc>
      </w:tr>
      <w:tr>
        <w:trPr>
          <w:trHeight w:val="386" w:hRule="atLeast"/>
        </w:trPr>
        <w:tc>
          <w:tcPr>
            <w:tcW w:w="960" w:type="dxa"/>
          </w:tcPr>
          <w:p>
            <w:pPr>
              <w:pStyle w:val="TableParagraph"/>
              <w:rPr>
                <w:sz w:val="22"/>
              </w:rPr>
            </w:pPr>
            <w:r>
              <w:rPr>
                <w:sz w:val="22"/>
              </w:rPr>
              <w:t>74</w:t>
            </w:r>
          </w:p>
        </w:tc>
        <w:tc>
          <w:tcPr>
            <w:tcW w:w="5096" w:type="dxa"/>
          </w:tcPr>
          <w:p>
            <w:pPr>
              <w:pStyle w:val="TableParagraph"/>
              <w:ind w:left="114"/>
              <w:rPr>
                <w:sz w:val="22"/>
              </w:rPr>
            </w:pPr>
            <w:r>
              <w:rPr>
                <w:sz w:val="22"/>
              </w:rPr>
              <w:t>0E140E140E14-0E1B0E1B</w:t>
            </w:r>
          </w:p>
        </w:tc>
      </w:tr>
      <w:tr>
        <w:trPr>
          <w:trHeight w:val="385" w:hRule="atLeast"/>
        </w:trPr>
        <w:tc>
          <w:tcPr>
            <w:tcW w:w="960" w:type="dxa"/>
          </w:tcPr>
          <w:p>
            <w:pPr>
              <w:pStyle w:val="TableParagraph"/>
              <w:rPr>
                <w:sz w:val="22"/>
              </w:rPr>
            </w:pPr>
            <w:r>
              <w:rPr>
                <w:sz w:val="22"/>
              </w:rPr>
              <w:t>75</w:t>
            </w:r>
          </w:p>
        </w:tc>
        <w:tc>
          <w:tcPr>
            <w:tcW w:w="5096" w:type="dxa"/>
          </w:tcPr>
          <w:p>
            <w:pPr>
              <w:pStyle w:val="TableParagraph"/>
              <w:ind w:left="114"/>
              <w:rPr>
                <w:sz w:val="22"/>
              </w:rPr>
            </w:pPr>
            <w:r>
              <w:rPr>
                <w:sz w:val="22"/>
              </w:rPr>
              <w:t>0E0A:0E190E19</w:t>
            </w:r>
          </w:p>
        </w:tc>
      </w:tr>
      <w:tr>
        <w:trPr>
          <w:trHeight w:val="385" w:hRule="atLeast"/>
        </w:trPr>
        <w:tc>
          <w:tcPr>
            <w:tcW w:w="960" w:type="dxa"/>
          </w:tcPr>
          <w:p>
            <w:pPr>
              <w:pStyle w:val="TableParagraph"/>
              <w:rPr>
                <w:sz w:val="22"/>
              </w:rPr>
            </w:pPr>
            <w:r>
              <w:rPr>
                <w:sz w:val="22"/>
              </w:rPr>
              <w:t>76</w:t>
            </w:r>
          </w:p>
        </w:tc>
        <w:tc>
          <w:tcPr>
            <w:tcW w:w="5096" w:type="dxa"/>
          </w:tcPr>
          <w:p>
            <w:pPr>
              <w:pStyle w:val="TableParagraph"/>
              <w:ind w:left="114"/>
              <w:rPr>
                <w:sz w:val="22"/>
              </w:rPr>
            </w:pPr>
            <w:r>
              <w:rPr>
                <w:sz w:val="22"/>
              </w:rPr>
              <w:t>0E0A:0E190E19:0E170E17</w:t>
            </w:r>
          </w:p>
        </w:tc>
      </w:tr>
      <w:tr>
        <w:trPr>
          <w:trHeight w:val="385" w:hRule="atLeast"/>
        </w:trPr>
        <w:tc>
          <w:tcPr>
            <w:tcW w:w="960" w:type="dxa"/>
          </w:tcPr>
          <w:p>
            <w:pPr>
              <w:pStyle w:val="TableParagraph"/>
              <w:rPr>
                <w:sz w:val="22"/>
              </w:rPr>
            </w:pPr>
            <w:r>
              <w:rPr>
                <w:sz w:val="22"/>
              </w:rPr>
              <w:t>77</w:t>
            </w:r>
          </w:p>
        </w:tc>
        <w:tc>
          <w:tcPr>
            <w:tcW w:w="5096" w:type="dxa"/>
          </w:tcPr>
          <w:p>
            <w:pPr>
              <w:pStyle w:val="TableParagraph"/>
              <w:ind w:left="114"/>
              <w:rPr>
                <w:sz w:val="22"/>
              </w:rPr>
            </w:pPr>
            <w:r>
              <w:rPr>
                <w:sz w:val="22"/>
              </w:rPr>
              <w:t>0E27/0E14/0E1B0E1B0E1B0E1B 0E0A:0E190E19</w:t>
            </w:r>
          </w:p>
        </w:tc>
      </w:tr>
      <w:tr>
        <w:trPr>
          <w:trHeight w:val="385" w:hRule="atLeast"/>
        </w:trPr>
        <w:tc>
          <w:tcPr>
            <w:tcW w:w="960" w:type="dxa"/>
          </w:tcPr>
          <w:p>
            <w:pPr>
              <w:pStyle w:val="TableParagraph"/>
              <w:rPr>
                <w:sz w:val="22"/>
              </w:rPr>
            </w:pPr>
            <w:r>
              <w:rPr>
                <w:sz w:val="22"/>
              </w:rPr>
              <w:t>78</w:t>
            </w:r>
          </w:p>
        </w:tc>
        <w:tc>
          <w:tcPr>
            <w:tcW w:w="5096" w:type="dxa"/>
          </w:tcPr>
          <w:p>
            <w:pPr>
              <w:pStyle w:val="TableParagraph"/>
              <w:ind w:left="114"/>
              <w:rPr>
                <w:sz w:val="22"/>
              </w:rPr>
            </w:pPr>
            <w:r>
              <w:rPr>
                <w:sz w:val="22"/>
              </w:rPr>
              <w:t>0E190E19:0E170E17</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5096"/>
      </w:tblGrid>
      <w:tr>
        <w:trPr>
          <w:trHeight w:val="386" w:hRule="atLeast"/>
        </w:trPr>
        <w:tc>
          <w:tcPr>
            <w:tcW w:w="960" w:type="dxa"/>
            <w:shd w:val="clear" w:color="auto" w:fill="C0C0C0"/>
          </w:tcPr>
          <w:p>
            <w:pPr>
              <w:pStyle w:val="TableParagraph"/>
              <w:ind w:left="362" w:right="350"/>
              <w:jc w:val="center"/>
              <w:rPr>
                <w:b/>
                <w:sz w:val="22"/>
              </w:rPr>
            </w:pPr>
            <w:r>
              <w:rPr>
                <w:b/>
                <w:sz w:val="22"/>
              </w:rPr>
              <w:t>ID</w:t>
            </w:r>
          </w:p>
        </w:tc>
        <w:tc>
          <w:tcPr>
            <w:tcW w:w="5096" w:type="dxa"/>
            <w:shd w:val="clear" w:color="auto" w:fill="C0C0C0"/>
          </w:tcPr>
          <w:p>
            <w:pPr>
              <w:pStyle w:val="TableParagraph"/>
              <w:ind w:left="1727" w:right="1718"/>
              <w:jc w:val="center"/>
              <w:rPr>
                <w:b/>
                <w:sz w:val="22"/>
              </w:rPr>
            </w:pPr>
            <w:r>
              <w:rPr>
                <w:b/>
                <w:sz w:val="22"/>
              </w:rPr>
              <w:t>th-th formatCode</w:t>
            </w:r>
          </w:p>
        </w:tc>
      </w:tr>
      <w:tr>
        <w:trPr>
          <w:trHeight w:val="386" w:hRule="atLeast"/>
        </w:trPr>
        <w:tc>
          <w:tcPr>
            <w:tcW w:w="960" w:type="dxa"/>
          </w:tcPr>
          <w:p>
            <w:pPr>
              <w:pStyle w:val="TableParagraph"/>
              <w:rPr>
                <w:sz w:val="22"/>
              </w:rPr>
            </w:pPr>
            <w:r>
              <w:rPr>
                <w:sz w:val="22"/>
              </w:rPr>
              <w:t>79</w:t>
            </w:r>
          </w:p>
        </w:tc>
        <w:tc>
          <w:tcPr>
            <w:tcW w:w="5096" w:type="dxa"/>
          </w:tcPr>
          <w:p>
            <w:pPr>
              <w:pStyle w:val="TableParagraph"/>
              <w:ind w:left="114"/>
              <w:rPr>
                <w:sz w:val="22"/>
              </w:rPr>
            </w:pPr>
            <w:r>
              <w:rPr>
                <w:sz w:val="22"/>
              </w:rPr>
              <w:t>[0E0A]:0E190E19:0E170E17</w:t>
            </w:r>
          </w:p>
        </w:tc>
      </w:tr>
      <w:tr>
        <w:trPr>
          <w:trHeight w:val="385" w:hRule="atLeast"/>
        </w:trPr>
        <w:tc>
          <w:tcPr>
            <w:tcW w:w="960" w:type="dxa"/>
          </w:tcPr>
          <w:p>
            <w:pPr>
              <w:pStyle w:val="TableParagraph"/>
              <w:rPr>
                <w:sz w:val="22"/>
              </w:rPr>
            </w:pPr>
            <w:r>
              <w:rPr>
                <w:sz w:val="22"/>
              </w:rPr>
              <w:t>80</w:t>
            </w:r>
          </w:p>
        </w:tc>
        <w:tc>
          <w:tcPr>
            <w:tcW w:w="5096" w:type="dxa"/>
          </w:tcPr>
          <w:p>
            <w:pPr>
              <w:pStyle w:val="TableParagraph"/>
              <w:ind w:left="114"/>
              <w:rPr>
                <w:sz w:val="22"/>
              </w:rPr>
            </w:pPr>
            <w:r>
              <w:rPr>
                <w:sz w:val="22"/>
              </w:rPr>
              <w:t>0E190E19:0E170E17.0</w:t>
            </w:r>
          </w:p>
        </w:tc>
      </w:tr>
      <w:tr>
        <w:trPr>
          <w:trHeight w:val="386" w:hRule="atLeast"/>
        </w:trPr>
        <w:tc>
          <w:tcPr>
            <w:tcW w:w="960" w:type="dxa"/>
          </w:tcPr>
          <w:p>
            <w:pPr>
              <w:pStyle w:val="TableParagraph"/>
              <w:rPr>
                <w:sz w:val="22"/>
              </w:rPr>
            </w:pPr>
            <w:r>
              <w:rPr>
                <w:sz w:val="22"/>
              </w:rPr>
              <w:t>81</w:t>
            </w:r>
          </w:p>
        </w:tc>
        <w:tc>
          <w:tcPr>
            <w:tcW w:w="5096" w:type="dxa"/>
          </w:tcPr>
          <w:p>
            <w:pPr>
              <w:pStyle w:val="TableParagraph"/>
              <w:ind w:left="114"/>
              <w:rPr>
                <w:sz w:val="22"/>
              </w:rPr>
            </w:pPr>
            <w:r>
              <w:rPr>
                <w:sz w:val="22"/>
              </w:rPr>
              <w:t>d/m/bb</w:t>
            </w:r>
          </w:p>
        </w:tc>
      </w:tr>
    </w:tbl>
    <w:p>
      <w:pPr>
        <w:pStyle w:val="BodyText"/>
        <w:rPr>
          <w:b/>
          <w:sz w:val="20"/>
        </w:rPr>
      </w:pPr>
    </w:p>
    <w:p>
      <w:pPr>
        <w:pStyle w:val="BodyText"/>
        <w:spacing w:before="8"/>
        <w:rPr>
          <w:b/>
          <w:sz w:val="21"/>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line="237" w:lineRule="auto" w:before="45"/>
              <w:ind w:right="416"/>
              <w:rPr>
                <w:sz w:val="22"/>
              </w:rPr>
            </w:pPr>
            <w:r>
              <w:rPr>
                <w:rFonts w:ascii="Cambria"/>
                <w:sz w:val="22"/>
              </w:rPr>
              <w:t>formatCode </w:t>
            </w:r>
            <w:r>
              <w:rPr>
                <w:sz w:val="22"/>
              </w:rPr>
              <w:t>(Number Format Code)</w:t>
            </w:r>
          </w:p>
        </w:tc>
        <w:tc>
          <w:tcPr>
            <w:tcW w:w="8250" w:type="dxa"/>
          </w:tcPr>
          <w:p>
            <w:pPr>
              <w:pStyle w:val="TableParagraph"/>
              <w:rPr>
                <w:sz w:val="22"/>
              </w:rPr>
            </w:pPr>
            <w:r>
              <w:rPr>
                <w:sz w:val="22"/>
              </w:rPr>
              <w:t>The number format code for this number format.</w:t>
            </w:r>
          </w:p>
          <w:p>
            <w:pPr>
              <w:pStyle w:val="TableParagraph"/>
              <w:spacing w:before="0"/>
              <w:ind w:left="0"/>
              <w:rPr>
                <w:b/>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9" w:hRule="atLeast"/>
        </w:trPr>
        <w:tc>
          <w:tcPr>
            <w:tcW w:w="2062" w:type="dxa"/>
          </w:tcPr>
          <w:p>
            <w:pPr>
              <w:pStyle w:val="TableParagraph"/>
              <w:spacing w:line="256" w:lineRule="exact" w:before="43"/>
              <w:rPr>
                <w:rFonts w:ascii="Cambria"/>
                <w:sz w:val="22"/>
              </w:rPr>
            </w:pPr>
            <w:r>
              <w:rPr>
                <w:rFonts w:ascii="Cambria"/>
                <w:sz w:val="22"/>
              </w:rPr>
              <w:t>numFmtId</w:t>
            </w:r>
          </w:p>
          <w:p>
            <w:pPr>
              <w:pStyle w:val="TableParagraph"/>
              <w:spacing w:line="267" w:lineRule="exact" w:before="0"/>
              <w:rPr>
                <w:sz w:val="22"/>
              </w:rPr>
            </w:pPr>
            <w:r>
              <w:rPr>
                <w:sz w:val="22"/>
              </w:rPr>
              <w:t>(Number Format Id)</w:t>
            </w:r>
          </w:p>
        </w:tc>
        <w:tc>
          <w:tcPr>
            <w:tcW w:w="8250" w:type="dxa"/>
          </w:tcPr>
          <w:p>
            <w:pPr>
              <w:pStyle w:val="TableParagraph"/>
              <w:rPr>
                <w:sz w:val="22"/>
              </w:rPr>
            </w:pPr>
            <w:r>
              <w:rPr>
                <w:sz w:val="22"/>
              </w:rPr>
              <w:t>Id used by the master style records (</w:t>
            </w:r>
            <w:r>
              <w:rPr>
                <w:rFonts w:ascii="Cambria"/>
                <w:sz w:val="22"/>
              </w:rPr>
              <w:t>xf's</w:t>
            </w:r>
            <w:r>
              <w:rPr>
                <w:sz w:val="22"/>
              </w:rPr>
              <w:t>) to reference this number format.</w:t>
            </w:r>
          </w:p>
          <w:p>
            <w:pPr>
              <w:pStyle w:val="TableParagraph"/>
              <w:spacing w:before="10"/>
              <w:ind w:left="0"/>
              <w:rPr>
                <w:b/>
                <w:sz w:val="21"/>
              </w:rPr>
            </w:pPr>
          </w:p>
          <w:p>
            <w:pPr>
              <w:pStyle w:val="TableParagraph"/>
              <w:spacing w:before="1"/>
              <w:ind w:right="682"/>
              <w:rPr>
                <w:sz w:val="22"/>
              </w:rPr>
            </w:pPr>
            <w:r>
              <w:rPr>
                <w:sz w:val="22"/>
              </w:rPr>
              <w:t>The possible values for this attribute are defined by the </w:t>
            </w:r>
            <w:r>
              <w:rPr>
                <w:rFonts w:ascii="Cambria" w:hAnsi="Cambria"/>
                <w:sz w:val="22"/>
              </w:rPr>
              <w:t>ST_NumFmtId </w:t>
            </w:r>
            <w:r>
              <w:rPr>
                <w:sz w:val="22"/>
              </w:rPr>
              <w:t>simple type </w:t>
            </w:r>
            <w:hyperlink w:history="true" w:anchor="_bookmark869">
              <w:r>
                <w:rPr>
                  <w:sz w:val="22"/>
                </w:rPr>
                <w:t>(§18.18.47</w:t>
              </w:r>
            </w:hyperlink>
            <w:r>
              <w:rPr>
                <w:sz w:val="22"/>
              </w:rPr>
              <w:t>).</w:t>
            </w:r>
          </w:p>
        </w:tc>
      </w:tr>
    </w:tbl>
    <w:p>
      <w:pPr>
        <w:pStyle w:val="BodyText"/>
        <w:rPr>
          <w:b/>
          <w:sz w:val="20"/>
        </w:rPr>
      </w:pPr>
    </w:p>
    <w:p>
      <w:pPr>
        <w:pStyle w:val="BodyText"/>
        <w:spacing w:before="10"/>
        <w:rPr>
          <w:b/>
          <w:sz w:val="16"/>
        </w:rPr>
      </w:pPr>
    </w:p>
    <w:p>
      <w:pPr>
        <w:pStyle w:val="BodyText"/>
        <w:spacing w:line="278" w:lineRule="auto" w:before="56"/>
        <w:ind w:left="220" w:right="701"/>
      </w:pPr>
      <w:r>
        <w:rPr/>
        <w:t>[</w:t>
      </w:r>
      <w:r>
        <w:rPr>
          <w:i/>
        </w:rPr>
        <w:t>Note</w:t>
      </w:r>
      <w:r>
        <w:rPr/>
        <w:t>: The W3C XML Schema definition of this element’s content model (</w:t>
      </w:r>
      <w:r>
        <w:rPr>
          <w:color w:val="5F5F5F"/>
          <w:u w:val="single" w:color="5F5F5F"/>
        </w:rPr>
        <w:t>CT_NumFmt</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1 numFmts (Number Formats)" w:id="647"/>
      <w:bookmarkEnd w:id="647"/>
      <w:r>
        <w:rPr>
          <w:b w:val="0"/>
        </w:rPr>
      </w:r>
      <w:bookmarkStart w:name="_bookmark214" w:id="648"/>
      <w:bookmarkEnd w:id="648"/>
      <w:r>
        <w:rPr>
          <w:b w:val="0"/>
        </w:rPr>
      </w:r>
      <w:bookmarkStart w:name="_bookmark214" w:id="649"/>
      <w:bookmarkEnd w:id="649"/>
      <w:r>
        <w:rPr>
          <w:color w:val="4F81BC"/>
        </w:rPr>
        <w:t>num</w:t>
      </w:r>
      <w:r>
        <w:rPr>
          <w:color w:val="4F81BC"/>
        </w:rPr>
        <w:t>Fmts (Number</w:t>
      </w:r>
      <w:r>
        <w:rPr>
          <w:color w:val="4F81BC"/>
          <w:spacing w:val="2"/>
        </w:rPr>
        <w:t> </w:t>
      </w:r>
      <w:r>
        <w:rPr>
          <w:color w:val="4F81BC"/>
        </w:rPr>
        <w:t>Formats)</w:t>
      </w:r>
    </w:p>
    <w:p>
      <w:pPr>
        <w:pStyle w:val="BodyText"/>
        <w:spacing w:line="278" w:lineRule="auto" w:before="122"/>
        <w:ind w:left="220" w:right="419"/>
      </w:pPr>
      <w:r>
        <w:rPr/>
        <w:t>This element defines the number formats in this workbook, consisting of a sequence of </w:t>
      </w:r>
      <w:r>
        <w:rPr>
          <w:rFonts w:ascii="Cambria"/>
        </w:rPr>
        <w:t>numFmt </w:t>
      </w:r>
      <w:r>
        <w:rPr/>
        <w:t>records, where each </w:t>
      </w:r>
      <w:r>
        <w:rPr>
          <w:rFonts w:ascii="Cambria"/>
        </w:rPr>
        <w:t>numFmt </w:t>
      </w:r>
      <w:r>
        <w:rPr/>
        <w:t>record defines a particular number format, indicating how to format and render the numeric value of a cell.</w:t>
      </w:r>
    </w:p>
    <w:p>
      <w:pPr>
        <w:spacing w:before="196"/>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220"/>
      </w:pPr>
      <w:r>
        <w:rPr/>
        <w:t>This cell is formatting as US currency:</w:t>
      </w:r>
    </w:p>
    <w:p>
      <w:pPr>
        <w:pStyle w:val="BodyText"/>
        <w:spacing w:before="5"/>
        <w:rPr>
          <w:sz w:val="16"/>
        </w:rPr>
      </w:pPr>
      <w:r>
        <w:rPr/>
        <w:drawing>
          <wp:anchor distT="0" distB="0" distL="0" distR="0" allowOverlap="1" layoutInCell="1" locked="0" behindDoc="0" simplePos="0" relativeHeight="23">
            <wp:simplePos x="0" y="0"/>
            <wp:positionH relativeFrom="page">
              <wp:posOffset>685800</wp:posOffset>
            </wp:positionH>
            <wp:positionV relativeFrom="paragraph">
              <wp:posOffset>152501</wp:posOffset>
            </wp:positionV>
            <wp:extent cx="923099" cy="396049"/>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91" cstate="print"/>
                    <a:stretch>
                      <a:fillRect/>
                    </a:stretch>
                  </pic:blipFill>
                  <pic:spPr>
                    <a:xfrm>
                      <a:off x="0" y="0"/>
                      <a:ext cx="923099" cy="396049"/>
                    </a:xfrm>
                    <a:prstGeom prst="rect">
                      <a:avLst/>
                    </a:prstGeom>
                  </pic:spPr>
                </pic:pic>
              </a:graphicData>
            </a:graphic>
          </wp:anchor>
        </w:drawing>
      </w:r>
    </w:p>
    <w:p>
      <w:pPr>
        <w:pStyle w:val="BodyText"/>
        <w:spacing w:before="4"/>
        <w:rPr>
          <w:sz w:val="17"/>
        </w:rPr>
      </w:pPr>
    </w:p>
    <w:p>
      <w:pPr>
        <w:pStyle w:val="BodyText"/>
        <w:ind w:left="220"/>
        <w:rPr>
          <w:rFonts w:ascii="Consolas"/>
          <w:sz w:val="20"/>
        </w:rPr>
      </w:pPr>
      <w:r>
        <w:rPr/>
        <w:t>The XML expressing this format shows that the </w:t>
      </w:r>
      <w:r>
        <w:rPr>
          <w:rFonts w:ascii="Cambria"/>
        </w:rPr>
        <w:t>formatId </w:t>
      </w:r>
      <w:r>
        <w:rPr/>
        <w:t>is "166" and the decoded </w:t>
      </w:r>
      <w:r>
        <w:rPr>
          <w:rFonts w:ascii="Cambria"/>
        </w:rPr>
        <w:t>formatCode </w:t>
      </w:r>
      <w:r>
        <w:rPr/>
        <w:t>is </w:t>
      </w:r>
      <w:r>
        <w:rPr>
          <w:rFonts w:ascii="Consolas"/>
          <w:sz w:val="20"/>
        </w:rPr>
        <w:t>$#,##0.00</w:t>
      </w:r>
    </w:p>
    <w:p>
      <w:pPr>
        <w:pStyle w:val="BodyText"/>
        <w:spacing w:before="6"/>
        <w:rPr>
          <w:rFonts w:ascii="Consolas"/>
          <w:sz w:val="20"/>
        </w:rPr>
      </w:pPr>
    </w:p>
    <w:p>
      <w:pPr>
        <w:pStyle w:val="BodyText"/>
        <w:ind w:left="508"/>
        <w:rPr>
          <w:rFonts w:ascii="Consolas"/>
        </w:rPr>
      </w:pPr>
      <w:r>
        <w:rPr>
          <w:rFonts w:ascii="Consolas"/>
        </w:rPr>
        <w:t>&lt;numFmts count="1"&gt;</w:t>
      </w:r>
    </w:p>
    <w:p>
      <w:pPr>
        <w:pStyle w:val="BodyText"/>
        <w:spacing w:before="38"/>
        <w:ind w:left="750"/>
        <w:rPr>
          <w:rFonts w:ascii="Consolas"/>
        </w:rPr>
      </w:pPr>
      <w:r>
        <w:rPr>
          <w:rFonts w:ascii="Consolas"/>
        </w:rPr>
        <w:t>&lt;numFmt numFmtId="166" formatCode="&amp;quot;$&amp;quot;#,##0.00"/&gt;</w:t>
      </w:r>
    </w:p>
    <w:p>
      <w:pPr>
        <w:pStyle w:val="BodyText"/>
        <w:spacing w:before="40"/>
        <w:ind w:left="508"/>
        <w:rPr>
          <w:rFonts w:ascii="Consolas"/>
        </w:rPr>
      </w:pPr>
      <w:r>
        <w:rPr>
          <w:rFonts w:ascii="Consolas"/>
        </w:rPr>
        <w:t>&lt;/numFmts&gt;</w:t>
      </w:r>
    </w:p>
    <w:p>
      <w:pPr>
        <w:pStyle w:val="BodyText"/>
        <w:spacing w:before="5"/>
        <w:rPr>
          <w:rFonts w:ascii="Consolas"/>
          <w:sz w:val="2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4"/>
      </w:pPr>
      <w:r>
        <w:rPr/>
        <w:t>Number Format Codes</w:t>
      </w:r>
    </w:p>
    <w:p>
      <w:pPr>
        <w:pStyle w:val="BodyText"/>
        <w:spacing w:before="5"/>
        <w:rPr>
          <w:b/>
          <w:sz w:val="19"/>
        </w:rPr>
      </w:pPr>
    </w:p>
    <w:p>
      <w:pPr>
        <w:pStyle w:val="BodyText"/>
        <w:spacing w:line="273" w:lineRule="auto" w:before="1"/>
        <w:ind w:left="220" w:right="755"/>
      </w:pPr>
      <w:r>
        <w:rPr/>
        <w:t>Up to four sections of format codes can be specified. The format codes, separated by semicolons, define the formats for positive numbers, negative numbers, zero values, and text, in that order. If only two sections are</w:t>
      </w:r>
    </w:p>
    <w:p>
      <w:pPr>
        <w:spacing w:after="0" w:line="273" w:lineRule="auto"/>
        <w:sectPr>
          <w:pgSz w:w="12240" w:h="15840"/>
          <w:pgMar w:header="763" w:footer="746" w:top="1340" w:bottom="940" w:left="860" w:right="700"/>
        </w:sectPr>
      </w:pPr>
    </w:p>
    <w:p>
      <w:pPr>
        <w:pStyle w:val="BodyText"/>
        <w:spacing w:line="276" w:lineRule="auto" w:before="90"/>
        <w:ind w:left="220" w:right="600"/>
        <w:jc w:val="both"/>
      </w:pPr>
      <w:r>
        <w:rPr/>
        <w:t>specified, the first is used for positive numbers and zeros, and the second is used for negative numbers. If only one section is specified, it is used for all numbers. To skip a section, the ending semicolon for that section shall be written.</w:t>
      </w:r>
    </w:p>
    <w:p>
      <w:pPr>
        <w:pStyle w:val="BodyText"/>
        <w:spacing w:before="4"/>
        <w:rPr>
          <w:sz w:val="13"/>
        </w:rPr>
      </w:pPr>
      <w:r>
        <w:rPr/>
        <w:drawing>
          <wp:anchor distT="0" distB="0" distL="0" distR="0" allowOverlap="1" layoutInCell="1" locked="0" behindDoc="0" simplePos="0" relativeHeight="24">
            <wp:simplePos x="0" y="0"/>
            <wp:positionH relativeFrom="page">
              <wp:posOffset>685800</wp:posOffset>
            </wp:positionH>
            <wp:positionV relativeFrom="paragraph">
              <wp:posOffset>128696</wp:posOffset>
            </wp:positionV>
            <wp:extent cx="3446109" cy="485775"/>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92" cstate="print"/>
                    <a:stretch>
                      <a:fillRect/>
                    </a:stretch>
                  </pic:blipFill>
                  <pic:spPr>
                    <a:xfrm>
                      <a:off x="0" y="0"/>
                      <a:ext cx="3446109" cy="485775"/>
                    </a:xfrm>
                    <a:prstGeom prst="rect">
                      <a:avLst/>
                    </a:prstGeom>
                  </pic:spPr>
                </pic:pic>
              </a:graphicData>
            </a:graphic>
          </wp:anchor>
        </w:drawing>
      </w:r>
    </w:p>
    <w:p>
      <w:pPr>
        <w:pStyle w:val="BodyText"/>
        <w:spacing w:before="1"/>
        <w:rPr>
          <w:sz w:val="17"/>
        </w:rPr>
      </w:pPr>
    </w:p>
    <w:p>
      <w:pPr>
        <w:pStyle w:val="BodyText"/>
        <w:spacing w:line="278" w:lineRule="auto"/>
        <w:ind w:left="220" w:right="635"/>
        <w:jc w:val="both"/>
      </w:pPr>
      <w:r>
        <w:rPr/>
        <w:t>The first section, "Format for positive numbers", is the format code that applies to the cell when the cell value contains a positive number.</w:t>
      </w:r>
    </w:p>
    <w:p>
      <w:pPr>
        <w:pStyle w:val="BodyText"/>
        <w:spacing w:line="278" w:lineRule="auto" w:before="195"/>
        <w:ind w:left="220" w:right="798"/>
      </w:pPr>
      <w:r>
        <w:rPr/>
        <w:t>The second section, "Format for negative numbers", is the format code that applies to the cell when the cell value contains a negative number.</w:t>
      </w:r>
    </w:p>
    <w:p>
      <w:pPr>
        <w:pStyle w:val="BodyText"/>
        <w:spacing w:before="3"/>
        <w:rPr>
          <w:sz w:val="16"/>
        </w:rPr>
      </w:pPr>
    </w:p>
    <w:p>
      <w:pPr>
        <w:pStyle w:val="BodyText"/>
        <w:spacing w:before="1"/>
        <w:ind w:left="220"/>
      </w:pPr>
      <w:r>
        <w:rPr/>
        <w:t>The third section, "Format for zeros", is the format code that applies to the cell when the cell value is zero.</w:t>
      </w:r>
    </w:p>
    <w:p>
      <w:pPr>
        <w:pStyle w:val="BodyText"/>
        <w:spacing w:before="5"/>
        <w:rPr>
          <w:sz w:val="19"/>
        </w:rPr>
      </w:pPr>
    </w:p>
    <w:p>
      <w:pPr>
        <w:pStyle w:val="BodyText"/>
        <w:spacing w:line="276" w:lineRule="auto"/>
        <w:ind w:left="220" w:right="551"/>
      </w:pPr>
      <w:r>
        <w:rPr/>
        <w:t>The fourth, and last, section, "Format for text", is the format code that applies to the cell when the cell value is text.</w:t>
      </w:r>
    </w:p>
    <w:p>
      <w:pPr>
        <w:pStyle w:val="BodyText"/>
        <w:spacing w:before="6"/>
        <w:rPr>
          <w:sz w:val="16"/>
        </w:rPr>
      </w:pPr>
    </w:p>
    <w:p>
      <w:pPr>
        <w:pStyle w:val="BodyText"/>
        <w:ind w:left="220"/>
      </w:pPr>
      <w:r>
        <w:rPr/>
        <w:t>The &amp; (ampersand) text operator is used to join, or concatenate, two values.</w:t>
      </w:r>
    </w:p>
    <w:p>
      <w:pPr>
        <w:pStyle w:val="BodyText"/>
        <w:spacing w:before="8"/>
        <w:rPr>
          <w:sz w:val="19"/>
        </w:rPr>
      </w:pPr>
    </w:p>
    <w:p>
      <w:pPr>
        <w:pStyle w:val="BodyText"/>
        <w:ind w:left="220"/>
      </w:pPr>
      <w:r>
        <w:rPr/>
        <w:t>The following table describes the different symbols that are available for use in custom number formats.</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0"/>
        <w:gridCol w:w="8281"/>
      </w:tblGrid>
      <w:tr>
        <w:trPr>
          <w:trHeight w:val="623" w:hRule="atLeast"/>
        </w:trPr>
        <w:tc>
          <w:tcPr>
            <w:tcW w:w="1310" w:type="dxa"/>
            <w:shd w:val="clear" w:color="auto" w:fill="C0C0C0"/>
          </w:tcPr>
          <w:p>
            <w:pPr>
              <w:pStyle w:val="TableParagraph"/>
              <w:ind w:left="323" w:right="295"/>
              <w:rPr>
                <w:b/>
                <w:sz w:val="22"/>
              </w:rPr>
            </w:pPr>
            <w:r>
              <w:rPr>
                <w:b/>
                <w:sz w:val="22"/>
              </w:rPr>
              <w:t>Format symbol</w:t>
            </w:r>
          </w:p>
        </w:tc>
        <w:tc>
          <w:tcPr>
            <w:tcW w:w="8281" w:type="dxa"/>
            <w:shd w:val="clear" w:color="auto" w:fill="C0C0C0"/>
          </w:tcPr>
          <w:p>
            <w:pPr>
              <w:pStyle w:val="TableParagraph"/>
              <w:ind w:left="3110" w:right="3104"/>
              <w:jc w:val="center"/>
              <w:rPr>
                <w:b/>
                <w:sz w:val="22"/>
              </w:rPr>
            </w:pPr>
            <w:r>
              <w:rPr>
                <w:b/>
                <w:sz w:val="22"/>
              </w:rPr>
              <w:t>Description and result</w:t>
            </w:r>
          </w:p>
        </w:tc>
      </w:tr>
      <w:tr>
        <w:trPr>
          <w:trHeight w:val="623" w:hRule="atLeast"/>
        </w:trPr>
        <w:tc>
          <w:tcPr>
            <w:tcW w:w="1310" w:type="dxa"/>
          </w:tcPr>
          <w:p>
            <w:pPr>
              <w:pStyle w:val="TableParagraph"/>
              <w:rPr>
                <w:sz w:val="22"/>
              </w:rPr>
            </w:pPr>
            <w:r>
              <w:rPr>
                <w:w w:val="100"/>
                <w:sz w:val="22"/>
              </w:rPr>
              <w:t>0</w:t>
            </w:r>
          </w:p>
        </w:tc>
        <w:tc>
          <w:tcPr>
            <w:tcW w:w="8281" w:type="dxa"/>
          </w:tcPr>
          <w:p>
            <w:pPr>
              <w:pStyle w:val="TableParagraph"/>
              <w:ind w:left="112"/>
              <w:rPr>
                <w:sz w:val="22"/>
              </w:rPr>
            </w:pPr>
            <w:r>
              <w:rPr>
                <w:sz w:val="22"/>
              </w:rPr>
              <w:t>Digit placeholder. [</w:t>
            </w:r>
            <w:r>
              <w:rPr>
                <w:i/>
                <w:sz w:val="22"/>
              </w:rPr>
              <w:t>Example</w:t>
            </w:r>
            <w:r>
              <w:rPr>
                <w:sz w:val="22"/>
              </w:rPr>
              <w:t>: If the value 8.9 is to be displayed as 8.90, use the format #.00</w:t>
            </w:r>
          </w:p>
          <w:p>
            <w:pPr>
              <w:pStyle w:val="TableParagraph"/>
              <w:spacing w:before="0"/>
              <w:ind w:left="112"/>
              <w:rPr>
                <w:sz w:val="22"/>
              </w:rPr>
            </w:pPr>
            <w:r>
              <w:rPr>
                <w:i/>
                <w:sz w:val="22"/>
              </w:rPr>
              <w:t>end example</w:t>
            </w:r>
            <w:r>
              <w:rPr>
                <w:sz w:val="22"/>
              </w:rPr>
              <w:t>]</w:t>
            </w:r>
          </w:p>
        </w:tc>
      </w:tr>
      <w:tr>
        <w:trPr>
          <w:trHeight w:val="1161" w:hRule="atLeast"/>
        </w:trPr>
        <w:tc>
          <w:tcPr>
            <w:tcW w:w="1310" w:type="dxa"/>
          </w:tcPr>
          <w:p>
            <w:pPr>
              <w:pStyle w:val="TableParagraph"/>
              <w:rPr>
                <w:sz w:val="22"/>
              </w:rPr>
            </w:pPr>
            <w:r>
              <w:rPr>
                <w:w w:val="100"/>
                <w:sz w:val="22"/>
              </w:rPr>
              <w:t>#</w:t>
            </w:r>
          </w:p>
        </w:tc>
        <w:tc>
          <w:tcPr>
            <w:tcW w:w="8281" w:type="dxa"/>
          </w:tcPr>
          <w:p>
            <w:pPr>
              <w:pStyle w:val="TableParagraph"/>
              <w:ind w:left="112" w:right="151"/>
              <w:rPr>
                <w:sz w:val="22"/>
              </w:rPr>
            </w:pPr>
            <w:r>
              <w:rPr>
                <w:sz w:val="22"/>
              </w:rPr>
              <w:t>Digit placeholder. This symbol follows the same rules as the 0 symbol. However, the application shall not display extra zeros when the number typed has fewer digits on either side of the decimal than there are # symbols in the format. [</w:t>
            </w:r>
            <w:r>
              <w:rPr>
                <w:i/>
                <w:sz w:val="22"/>
              </w:rPr>
              <w:t>Example</w:t>
            </w:r>
            <w:r>
              <w:rPr>
                <w:sz w:val="22"/>
              </w:rPr>
              <w:t>: If the custom format is #.##, and 8.9 is in the cell, the number 8.9 is displayed. </w:t>
            </w:r>
            <w:r>
              <w:rPr>
                <w:i/>
                <w:sz w:val="22"/>
              </w:rPr>
              <w:t>end</w:t>
            </w:r>
            <w:r>
              <w:rPr>
                <w:i/>
                <w:spacing w:val="-21"/>
                <w:sz w:val="22"/>
              </w:rPr>
              <w:t> </w:t>
            </w:r>
            <w:r>
              <w:rPr>
                <w:i/>
                <w:sz w:val="22"/>
              </w:rPr>
              <w:t>example</w:t>
            </w:r>
            <w:r>
              <w:rPr>
                <w:sz w:val="22"/>
              </w:rPr>
              <w:t>]</w:t>
            </w:r>
          </w:p>
        </w:tc>
      </w:tr>
      <w:tr>
        <w:trPr>
          <w:trHeight w:val="1158" w:hRule="atLeast"/>
        </w:trPr>
        <w:tc>
          <w:tcPr>
            <w:tcW w:w="1310" w:type="dxa"/>
          </w:tcPr>
          <w:p>
            <w:pPr>
              <w:pStyle w:val="TableParagraph"/>
              <w:rPr>
                <w:sz w:val="22"/>
              </w:rPr>
            </w:pPr>
            <w:r>
              <w:rPr>
                <w:w w:val="100"/>
                <w:sz w:val="22"/>
              </w:rPr>
              <w:t>?</w:t>
            </w:r>
          </w:p>
        </w:tc>
        <w:tc>
          <w:tcPr>
            <w:tcW w:w="8281" w:type="dxa"/>
          </w:tcPr>
          <w:p>
            <w:pPr>
              <w:pStyle w:val="TableParagraph"/>
              <w:ind w:left="112" w:right="276"/>
              <w:rPr>
                <w:sz w:val="22"/>
              </w:rPr>
            </w:pPr>
            <w:r>
              <w:rPr>
                <w:sz w:val="22"/>
              </w:rPr>
              <w:t>Digit placeholder. This symbol follows the same rules as the 0 symbol. However, the application shall put a space for insignificant zeros on either side of the decimal point so that decimal points are aligned in the column. [</w:t>
            </w:r>
            <w:r>
              <w:rPr>
                <w:i/>
                <w:sz w:val="22"/>
              </w:rPr>
              <w:t>Example</w:t>
            </w:r>
            <w:r>
              <w:rPr>
                <w:sz w:val="22"/>
              </w:rPr>
              <w:t>: The custom format 0.0? aligns the decimal points for the numbers 8.9 and 88.99 in a column. </w:t>
            </w:r>
            <w:r>
              <w:rPr>
                <w:i/>
                <w:sz w:val="22"/>
              </w:rPr>
              <w:t>end example</w:t>
            </w:r>
            <w:r>
              <w:rPr>
                <w:sz w:val="22"/>
              </w:rPr>
              <w:t>]</w:t>
            </w:r>
          </w:p>
        </w:tc>
      </w:tr>
      <w:tr>
        <w:trPr>
          <w:trHeight w:val="354" w:hRule="atLeast"/>
        </w:trPr>
        <w:tc>
          <w:tcPr>
            <w:tcW w:w="1310" w:type="dxa"/>
          </w:tcPr>
          <w:p>
            <w:pPr>
              <w:pStyle w:val="TableParagraph"/>
              <w:rPr>
                <w:sz w:val="22"/>
              </w:rPr>
            </w:pPr>
            <w:r>
              <w:rPr>
                <w:sz w:val="22"/>
              </w:rPr>
              <w:t>. (period)</w:t>
            </w:r>
          </w:p>
        </w:tc>
        <w:tc>
          <w:tcPr>
            <w:tcW w:w="8281" w:type="dxa"/>
          </w:tcPr>
          <w:p>
            <w:pPr>
              <w:pStyle w:val="TableParagraph"/>
              <w:ind w:left="112"/>
              <w:rPr>
                <w:sz w:val="22"/>
              </w:rPr>
            </w:pPr>
            <w:r>
              <w:rPr>
                <w:sz w:val="22"/>
              </w:rPr>
              <w:t>Decimal point.</w:t>
            </w:r>
          </w:p>
        </w:tc>
      </w:tr>
      <w:tr>
        <w:trPr>
          <w:trHeight w:val="893" w:hRule="atLeast"/>
        </w:trPr>
        <w:tc>
          <w:tcPr>
            <w:tcW w:w="1310" w:type="dxa"/>
          </w:tcPr>
          <w:p>
            <w:pPr>
              <w:pStyle w:val="TableParagraph"/>
              <w:rPr>
                <w:sz w:val="22"/>
              </w:rPr>
            </w:pPr>
            <w:r>
              <w:rPr>
                <w:w w:val="100"/>
                <w:sz w:val="22"/>
              </w:rPr>
              <w:t>%</w:t>
            </w:r>
          </w:p>
        </w:tc>
        <w:tc>
          <w:tcPr>
            <w:tcW w:w="8281" w:type="dxa"/>
          </w:tcPr>
          <w:p>
            <w:pPr>
              <w:pStyle w:val="TableParagraph"/>
              <w:ind w:left="112"/>
              <w:rPr>
                <w:sz w:val="22"/>
              </w:rPr>
            </w:pPr>
            <w:r>
              <w:rPr>
                <w:sz w:val="22"/>
              </w:rPr>
              <w:t>Percentage. If the cell contains a number between 0 and 1, and the custom format 0% is used, the application shall multiply the number by 100 and add the percentage symbol in the cell.</w:t>
            </w:r>
          </w:p>
        </w:tc>
      </w:tr>
      <w:tr>
        <w:trPr>
          <w:trHeight w:val="1158" w:hRule="atLeast"/>
        </w:trPr>
        <w:tc>
          <w:tcPr>
            <w:tcW w:w="1310" w:type="dxa"/>
          </w:tcPr>
          <w:p>
            <w:pPr>
              <w:pStyle w:val="TableParagraph"/>
              <w:rPr>
                <w:sz w:val="22"/>
              </w:rPr>
            </w:pPr>
            <w:r>
              <w:rPr>
                <w:sz w:val="22"/>
              </w:rPr>
              <w:t>, (comma)</w:t>
            </w:r>
          </w:p>
        </w:tc>
        <w:tc>
          <w:tcPr>
            <w:tcW w:w="8281" w:type="dxa"/>
          </w:tcPr>
          <w:p>
            <w:pPr>
              <w:pStyle w:val="TableParagraph"/>
              <w:ind w:left="112" w:right="157"/>
              <w:rPr>
                <w:sz w:val="22"/>
              </w:rPr>
            </w:pPr>
            <w:r>
              <w:rPr>
                <w:sz w:val="22"/>
              </w:rPr>
              <w:t>Thousands separator. The application shall separate thousands by commas if the format contains a comma that is enclosed by number signs (#) or by zeros. A comma that follows a placeholder scales the number by one thousand. [</w:t>
            </w:r>
            <w:r>
              <w:rPr>
                <w:i/>
                <w:sz w:val="22"/>
              </w:rPr>
              <w:t>Example</w:t>
            </w:r>
            <w:r>
              <w:rPr>
                <w:sz w:val="22"/>
              </w:rPr>
              <w:t>: If the format is #.0,, and the cell value is 12,200,000 then the number 12.2 is displayed. </w:t>
            </w:r>
            <w:r>
              <w:rPr>
                <w:i/>
                <w:sz w:val="22"/>
              </w:rPr>
              <w:t>end example</w:t>
            </w:r>
            <w:r>
              <w:rPr>
                <w:sz w:val="22"/>
              </w:rPr>
              <w:t>]</w:t>
            </w:r>
          </w:p>
        </w:tc>
      </w:tr>
      <w:tr>
        <w:trPr>
          <w:trHeight w:val="623" w:hRule="atLeast"/>
        </w:trPr>
        <w:tc>
          <w:tcPr>
            <w:tcW w:w="1310" w:type="dxa"/>
          </w:tcPr>
          <w:p>
            <w:pPr>
              <w:pStyle w:val="TableParagraph"/>
              <w:rPr>
                <w:sz w:val="22"/>
              </w:rPr>
            </w:pPr>
            <w:r>
              <w:rPr>
                <w:sz w:val="22"/>
              </w:rPr>
              <w:t>E- E+ e- e+</w:t>
            </w:r>
          </w:p>
        </w:tc>
        <w:tc>
          <w:tcPr>
            <w:tcW w:w="8281" w:type="dxa"/>
          </w:tcPr>
          <w:p>
            <w:pPr>
              <w:pStyle w:val="TableParagraph"/>
              <w:ind w:left="112" w:right="160"/>
              <w:rPr>
                <w:sz w:val="22"/>
              </w:rPr>
            </w:pPr>
            <w:r>
              <w:rPr>
                <w:sz w:val="22"/>
              </w:rPr>
              <w:t>Scientific format. The application shall display a number to the right of the "E" symbol that corresponds to the number of places that the decimal point was moved. [</w:t>
            </w:r>
            <w:r>
              <w:rPr>
                <w:i/>
                <w:sz w:val="22"/>
              </w:rPr>
              <w:t>Example</w:t>
            </w:r>
            <w:r>
              <w:rPr>
                <w:sz w:val="22"/>
              </w:rPr>
              <w:t>: If</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0"/>
        <w:gridCol w:w="8281"/>
      </w:tblGrid>
      <w:tr>
        <w:trPr>
          <w:trHeight w:val="623" w:hRule="atLeast"/>
        </w:trPr>
        <w:tc>
          <w:tcPr>
            <w:tcW w:w="1310" w:type="dxa"/>
            <w:shd w:val="clear" w:color="auto" w:fill="C0C0C0"/>
          </w:tcPr>
          <w:p>
            <w:pPr>
              <w:pStyle w:val="TableParagraph"/>
              <w:ind w:left="323" w:right="295"/>
              <w:rPr>
                <w:b/>
                <w:sz w:val="22"/>
              </w:rPr>
            </w:pPr>
            <w:r>
              <w:rPr>
                <w:b/>
                <w:sz w:val="22"/>
              </w:rPr>
              <w:t>Format symbol</w:t>
            </w:r>
          </w:p>
        </w:tc>
        <w:tc>
          <w:tcPr>
            <w:tcW w:w="8281" w:type="dxa"/>
            <w:shd w:val="clear" w:color="auto" w:fill="C0C0C0"/>
          </w:tcPr>
          <w:p>
            <w:pPr>
              <w:pStyle w:val="TableParagraph"/>
              <w:ind w:left="3110" w:right="3104"/>
              <w:jc w:val="center"/>
              <w:rPr>
                <w:b/>
                <w:sz w:val="22"/>
              </w:rPr>
            </w:pPr>
            <w:r>
              <w:rPr>
                <w:b/>
                <w:sz w:val="22"/>
              </w:rPr>
              <w:t>Description and result</w:t>
            </w:r>
          </w:p>
        </w:tc>
      </w:tr>
      <w:tr>
        <w:trPr>
          <w:trHeight w:val="890" w:hRule="atLeast"/>
        </w:trPr>
        <w:tc>
          <w:tcPr>
            <w:tcW w:w="1310" w:type="dxa"/>
          </w:tcPr>
          <w:p>
            <w:pPr>
              <w:pStyle w:val="TableParagraph"/>
              <w:spacing w:before="0"/>
              <w:ind w:left="0"/>
              <w:rPr>
                <w:rFonts w:ascii="Times New Roman"/>
                <w:sz w:val="22"/>
              </w:rPr>
            </w:pPr>
          </w:p>
        </w:tc>
        <w:tc>
          <w:tcPr>
            <w:tcW w:w="8281" w:type="dxa"/>
          </w:tcPr>
          <w:p>
            <w:pPr>
              <w:pStyle w:val="TableParagraph"/>
              <w:ind w:left="112" w:right="420"/>
              <w:jc w:val="both"/>
              <w:rPr>
                <w:sz w:val="22"/>
              </w:rPr>
            </w:pPr>
            <w:r>
              <w:rPr>
                <w:sz w:val="22"/>
              </w:rPr>
              <w:t>the format is 0.00E+00, and the value 12,200,000 is in the cell, the number 1.22E+07 is displayed. If the number format is #0.0E+0, then the number 12.2E+6 is displayed. </w:t>
            </w:r>
            <w:r>
              <w:rPr>
                <w:i/>
                <w:sz w:val="22"/>
              </w:rPr>
              <w:t>end </w:t>
            </w:r>
            <w:r>
              <w:rPr>
                <w:i/>
                <w:sz w:val="22"/>
              </w:rPr>
              <w:t>example</w:t>
            </w:r>
            <w:r>
              <w:rPr>
                <w:sz w:val="22"/>
              </w:rPr>
              <w:t>]</w:t>
            </w:r>
          </w:p>
        </w:tc>
      </w:tr>
      <w:tr>
        <w:trPr>
          <w:trHeight w:val="1161" w:hRule="atLeast"/>
        </w:trPr>
        <w:tc>
          <w:tcPr>
            <w:tcW w:w="1310" w:type="dxa"/>
          </w:tcPr>
          <w:p>
            <w:pPr>
              <w:pStyle w:val="TableParagraph"/>
              <w:rPr>
                <w:sz w:val="22"/>
              </w:rPr>
            </w:pPr>
            <w:r>
              <w:rPr>
                <w:sz w:val="22"/>
              </w:rPr>
              <w:t>$-+():space</w:t>
            </w:r>
          </w:p>
        </w:tc>
        <w:tc>
          <w:tcPr>
            <w:tcW w:w="8281" w:type="dxa"/>
          </w:tcPr>
          <w:p>
            <w:pPr>
              <w:pStyle w:val="TableParagraph"/>
              <w:ind w:left="112" w:right="272"/>
              <w:rPr>
                <w:sz w:val="22"/>
              </w:rPr>
            </w:pPr>
            <w:r>
              <w:rPr>
                <w:sz w:val="22"/>
              </w:rPr>
              <w:t>Displays the symbol. If it is desired to display a character that differs from one of these symbols, precede the character with a backslash (\). Alternatively, enclose the character in quotation marks. [</w:t>
            </w:r>
            <w:r>
              <w:rPr>
                <w:i/>
                <w:sz w:val="22"/>
              </w:rPr>
              <w:t>Example</w:t>
            </w:r>
            <w:r>
              <w:rPr>
                <w:sz w:val="22"/>
              </w:rPr>
              <w:t>: If the number format is (000), and the value 12 is in the cell, the number (012) is displayed. </w:t>
            </w:r>
            <w:r>
              <w:rPr>
                <w:i/>
                <w:sz w:val="22"/>
              </w:rPr>
              <w:t>end example</w:t>
            </w:r>
            <w:r>
              <w:rPr>
                <w:sz w:val="22"/>
              </w:rPr>
              <w:t>]</w:t>
            </w:r>
          </w:p>
        </w:tc>
      </w:tr>
      <w:tr>
        <w:trPr>
          <w:trHeight w:val="892" w:hRule="atLeast"/>
        </w:trPr>
        <w:tc>
          <w:tcPr>
            <w:tcW w:w="1310" w:type="dxa"/>
          </w:tcPr>
          <w:p>
            <w:pPr>
              <w:pStyle w:val="TableParagraph"/>
              <w:rPr>
                <w:sz w:val="22"/>
              </w:rPr>
            </w:pPr>
            <w:r>
              <w:rPr>
                <w:w w:val="100"/>
                <w:sz w:val="22"/>
              </w:rPr>
              <w:t>/</w:t>
            </w:r>
          </w:p>
        </w:tc>
        <w:tc>
          <w:tcPr>
            <w:tcW w:w="8281" w:type="dxa"/>
          </w:tcPr>
          <w:p>
            <w:pPr>
              <w:pStyle w:val="TableParagraph"/>
              <w:ind w:left="112" w:right="183"/>
              <w:rPr>
                <w:sz w:val="22"/>
              </w:rPr>
            </w:pPr>
            <w:r>
              <w:rPr>
                <w:sz w:val="22"/>
              </w:rPr>
              <w:t>If this symbol is preceded and followed by a number symbol (0, #, and ?), it is interpreted as the fraction format symbol and will display the number in the format of a fraction.</w:t>
            </w:r>
          </w:p>
          <w:p>
            <w:pPr>
              <w:pStyle w:val="TableParagraph"/>
              <w:spacing w:before="0"/>
              <w:ind w:left="112"/>
              <w:rPr>
                <w:sz w:val="22"/>
              </w:rPr>
            </w:pPr>
            <w:r>
              <w:rPr>
                <w:sz w:val="22"/>
              </w:rPr>
              <w:t>Otherwise, it is interpreted as the forward slash character and is displayed as such.</w:t>
            </w:r>
          </w:p>
        </w:tc>
      </w:tr>
      <w:tr>
        <w:trPr>
          <w:trHeight w:val="890" w:hRule="atLeast"/>
        </w:trPr>
        <w:tc>
          <w:tcPr>
            <w:tcW w:w="1310" w:type="dxa"/>
          </w:tcPr>
          <w:p>
            <w:pPr>
              <w:pStyle w:val="TableParagraph"/>
              <w:rPr>
                <w:sz w:val="22"/>
              </w:rPr>
            </w:pPr>
            <w:r>
              <w:rPr>
                <w:w w:val="100"/>
                <w:sz w:val="22"/>
              </w:rPr>
              <w:t>\</w:t>
            </w:r>
          </w:p>
        </w:tc>
        <w:tc>
          <w:tcPr>
            <w:tcW w:w="8281" w:type="dxa"/>
          </w:tcPr>
          <w:p>
            <w:pPr>
              <w:pStyle w:val="TableParagraph"/>
              <w:ind w:left="112" w:right="214"/>
              <w:rPr>
                <w:sz w:val="22"/>
              </w:rPr>
            </w:pPr>
            <w:r>
              <w:rPr>
                <w:sz w:val="22"/>
              </w:rPr>
              <w:t>Displays the next character in the format. The application shall not display the backslash. [</w:t>
            </w:r>
            <w:r>
              <w:rPr>
                <w:i/>
                <w:sz w:val="22"/>
              </w:rPr>
              <w:t>Example</w:t>
            </w:r>
            <w:r>
              <w:rPr>
                <w:sz w:val="22"/>
              </w:rPr>
              <w:t>: If the number format is 0\!, and the value 3 is in the cell, the value 3! is displayed. </w:t>
            </w:r>
            <w:r>
              <w:rPr>
                <w:i/>
                <w:sz w:val="22"/>
              </w:rPr>
              <w:t>end example</w:t>
            </w:r>
            <w:r>
              <w:rPr>
                <w:sz w:val="22"/>
              </w:rPr>
              <w:t>]</w:t>
            </w:r>
          </w:p>
        </w:tc>
      </w:tr>
      <w:tr>
        <w:trPr>
          <w:trHeight w:val="1698" w:hRule="atLeast"/>
        </w:trPr>
        <w:tc>
          <w:tcPr>
            <w:tcW w:w="1310" w:type="dxa"/>
          </w:tcPr>
          <w:p>
            <w:pPr>
              <w:pStyle w:val="TableParagraph"/>
              <w:rPr>
                <w:sz w:val="22"/>
              </w:rPr>
            </w:pPr>
            <w:r>
              <w:rPr>
                <w:w w:val="100"/>
                <w:sz w:val="22"/>
              </w:rPr>
              <w:t>*</w:t>
            </w:r>
          </w:p>
        </w:tc>
        <w:tc>
          <w:tcPr>
            <w:tcW w:w="8281" w:type="dxa"/>
          </w:tcPr>
          <w:p>
            <w:pPr>
              <w:pStyle w:val="TableParagraph"/>
              <w:ind w:left="112" w:right="440"/>
              <w:rPr>
                <w:sz w:val="22"/>
              </w:rPr>
            </w:pPr>
            <w:r>
              <w:rPr>
                <w:sz w:val="22"/>
              </w:rPr>
              <w:t>Repeats the next character in the format enough times to fill the column to its current width. There shall not be more than one asterisk in one section of the format. If more than one asterisk appears in one section of the format, all but the last asterisk shall be ignored. [</w:t>
            </w:r>
            <w:r>
              <w:rPr>
                <w:i/>
                <w:sz w:val="22"/>
              </w:rPr>
              <w:t>Example</w:t>
            </w:r>
            <w:r>
              <w:rPr>
                <w:sz w:val="22"/>
              </w:rPr>
              <w:t>: if the number format is 0*x, and the value 3 is in the cell, the value 3xxxxxx is displayed. The number of x characters that are displayed in the cell varies based on the width of the column. </w:t>
            </w:r>
            <w:r>
              <w:rPr>
                <w:i/>
                <w:sz w:val="22"/>
              </w:rPr>
              <w:t>end example</w:t>
            </w:r>
            <w:r>
              <w:rPr>
                <w:sz w:val="22"/>
              </w:rPr>
              <w:t>]</w:t>
            </w:r>
          </w:p>
        </w:tc>
      </w:tr>
      <w:tr>
        <w:trPr>
          <w:trHeight w:val="1159" w:hRule="atLeast"/>
        </w:trPr>
        <w:tc>
          <w:tcPr>
            <w:tcW w:w="1310" w:type="dxa"/>
          </w:tcPr>
          <w:p>
            <w:pPr>
              <w:pStyle w:val="TableParagraph"/>
              <w:ind w:right="172"/>
              <w:rPr>
                <w:sz w:val="22"/>
              </w:rPr>
            </w:pPr>
            <w:r>
              <w:rPr>
                <w:sz w:val="22"/>
              </w:rPr>
              <w:t>_ (underline)</w:t>
            </w:r>
          </w:p>
        </w:tc>
        <w:tc>
          <w:tcPr>
            <w:tcW w:w="8281" w:type="dxa"/>
          </w:tcPr>
          <w:p>
            <w:pPr>
              <w:pStyle w:val="TableParagraph"/>
              <w:ind w:left="112" w:right="312"/>
              <w:rPr>
                <w:sz w:val="22"/>
              </w:rPr>
            </w:pPr>
            <w:r>
              <w:rPr>
                <w:sz w:val="22"/>
              </w:rPr>
              <w:t>Skips the width of the next character. This is useful for lining up negative and positive values in different cells of the same column. [</w:t>
            </w:r>
            <w:r>
              <w:rPr>
                <w:i/>
                <w:sz w:val="22"/>
              </w:rPr>
              <w:t>Example</w:t>
            </w:r>
            <w:r>
              <w:rPr>
                <w:sz w:val="22"/>
              </w:rPr>
              <w:t>: The number format _(0.0_);(0.0) aligns the numbers 2.3 and -4.5 in the column even though the negative number is enclosed by parentheses. </w:t>
            </w:r>
            <w:r>
              <w:rPr>
                <w:i/>
                <w:sz w:val="22"/>
              </w:rPr>
              <w:t>end example</w:t>
            </w:r>
            <w:r>
              <w:rPr>
                <w:sz w:val="22"/>
              </w:rPr>
              <w:t>]</w:t>
            </w:r>
          </w:p>
        </w:tc>
      </w:tr>
      <w:tr>
        <w:trPr>
          <w:trHeight w:val="623" w:hRule="atLeast"/>
        </w:trPr>
        <w:tc>
          <w:tcPr>
            <w:tcW w:w="1310" w:type="dxa"/>
          </w:tcPr>
          <w:p>
            <w:pPr>
              <w:pStyle w:val="TableParagraph"/>
              <w:rPr>
                <w:sz w:val="22"/>
              </w:rPr>
            </w:pPr>
            <w:r>
              <w:rPr>
                <w:sz w:val="22"/>
              </w:rPr>
              <w:t>"text"</w:t>
            </w:r>
          </w:p>
        </w:tc>
        <w:tc>
          <w:tcPr>
            <w:tcW w:w="8281" w:type="dxa"/>
          </w:tcPr>
          <w:p>
            <w:pPr>
              <w:pStyle w:val="TableParagraph"/>
              <w:ind w:left="112" w:right="170"/>
              <w:rPr>
                <w:sz w:val="22"/>
              </w:rPr>
            </w:pPr>
            <w:r>
              <w:rPr>
                <w:sz w:val="22"/>
              </w:rPr>
              <w:t>Displays whatever text is inside the quotation marks. [</w:t>
            </w:r>
            <w:r>
              <w:rPr>
                <w:i/>
                <w:sz w:val="22"/>
              </w:rPr>
              <w:t>Example</w:t>
            </w:r>
            <w:r>
              <w:rPr>
                <w:sz w:val="22"/>
              </w:rPr>
              <w:t>: The format 0.00 "dollars" displays 1.23 dollars when the value 1.23 is in the cell. </w:t>
            </w:r>
            <w:r>
              <w:rPr>
                <w:i/>
                <w:sz w:val="22"/>
              </w:rPr>
              <w:t>end example</w:t>
            </w:r>
            <w:r>
              <w:rPr>
                <w:sz w:val="22"/>
              </w:rPr>
              <w:t>]</w:t>
            </w:r>
          </w:p>
        </w:tc>
      </w:tr>
      <w:tr>
        <w:trPr>
          <w:trHeight w:val="1161" w:hRule="atLeast"/>
        </w:trPr>
        <w:tc>
          <w:tcPr>
            <w:tcW w:w="1310" w:type="dxa"/>
          </w:tcPr>
          <w:p>
            <w:pPr>
              <w:pStyle w:val="TableParagraph"/>
              <w:rPr>
                <w:sz w:val="22"/>
              </w:rPr>
            </w:pPr>
            <w:r>
              <w:rPr>
                <w:w w:val="100"/>
                <w:sz w:val="22"/>
              </w:rPr>
              <w:t>@</w:t>
            </w:r>
          </w:p>
        </w:tc>
        <w:tc>
          <w:tcPr>
            <w:tcW w:w="8281" w:type="dxa"/>
          </w:tcPr>
          <w:p>
            <w:pPr>
              <w:pStyle w:val="TableParagraph"/>
              <w:ind w:left="112" w:right="235"/>
              <w:rPr>
                <w:sz w:val="22"/>
              </w:rPr>
            </w:pPr>
            <w:r>
              <w:rPr>
                <w:sz w:val="22"/>
              </w:rPr>
              <w:t>Text placeholder. If text is typed in the cell, the text from the cell is placed in the format where the at symbol (@) appears. [</w:t>
            </w:r>
            <w:r>
              <w:rPr>
                <w:i/>
                <w:sz w:val="22"/>
              </w:rPr>
              <w:t>Example</w:t>
            </w:r>
            <w:r>
              <w:rPr>
                <w:sz w:val="22"/>
              </w:rPr>
              <w:t>: If the number format is "Bob "@" Smith" (including quotation marks), and the value "John" is in the cell, the value Bob John Smith is displayed. </w:t>
            </w:r>
            <w:r>
              <w:rPr>
                <w:i/>
                <w:sz w:val="22"/>
              </w:rPr>
              <w:t>end example</w:t>
            </w:r>
            <w:r>
              <w:rPr>
                <w:sz w:val="22"/>
              </w:rPr>
              <w:t>]</w:t>
            </w:r>
          </w:p>
        </w:tc>
      </w:tr>
    </w:tbl>
    <w:p>
      <w:pPr>
        <w:pStyle w:val="BodyText"/>
        <w:rPr>
          <w:sz w:val="20"/>
        </w:rPr>
      </w:pPr>
    </w:p>
    <w:p>
      <w:pPr>
        <w:pStyle w:val="BodyText"/>
        <w:rPr>
          <w:sz w:val="17"/>
        </w:rPr>
      </w:pPr>
    </w:p>
    <w:p>
      <w:pPr>
        <w:pStyle w:val="Heading4"/>
        <w:spacing w:before="56"/>
      </w:pPr>
      <w:r>
        <w:rPr/>
        <w:t>Text and spacing</w:t>
      </w:r>
    </w:p>
    <w:p>
      <w:pPr>
        <w:pStyle w:val="BodyText"/>
        <w:spacing w:before="8"/>
        <w:rPr>
          <w:b/>
          <w:sz w:val="19"/>
        </w:rPr>
      </w:pPr>
    </w:p>
    <w:p>
      <w:pPr>
        <w:spacing w:before="0"/>
        <w:ind w:left="220" w:right="0" w:firstLine="0"/>
        <w:jc w:val="left"/>
        <w:rPr>
          <w:i/>
          <w:sz w:val="22"/>
        </w:rPr>
      </w:pPr>
      <w:r>
        <w:rPr>
          <w:i/>
          <w:sz w:val="22"/>
        </w:rPr>
        <w:t>Display both text and numbers</w:t>
      </w:r>
    </w:p>
    <w:p>
      <w:pPr>
        <w:pStyle w:val="BodyText"/>
        <w:spacing w:before="7"/>
        <w:rPr>
          <w:i/>
          <w:sz w:val="19"/>
        </w:rPr>
      </w:pPr>
    </w:p>
    <w:p>
      <w:pPr>
        <w:pStyle w:val="BodyText"/>
        <w:spacing w:line="276" w:lineRule="auto"/>
        <w:ind w:left="220" w:right="529"/>
      </w:pPr>
      <w:r>
        <w:rPr/>
        <w:t>To display both text and numbers in a cell, enclose the text characters in double quotation marks (" ") or precede a single character with a backslash (\). Single quotation marks shall not be used to denote text. Characters inside double quotes, or immediately following backslash shall never be interpreted as part of the format code lexicon; instead they shall always be treated as literal strings. Remember to include the characters in the appropriate section of the format codes. [</w:t>
      </w:r>
      <w:r>
        <w:rPr>
          <w:i/>
        </w:rPr>
        <w:t>Example</w:t>
      </w:r>
      <w:r>
        <w:rPr/>
        <w:t>: Use the format $0.00" Surplus";$-0.00" Shortage" to display a positive amount as "$125.74 Surplus" and a negative amount as "$-125.74 Shortage." </w:t>
      </w:r>
      <w:r>
        <w:rPr>
          <w:i/>
        </w:rPr>
        <w:t>end example</w:t>
      </w:r>
      <w:r>
        <w:rPr/>
        <w:t>]</w:t>
      </w:r>
    </w:p>
    <w:p>
      <w:pPr>
        <w:spacing w:after="0" w:line="276" w:lineRule="auto"/>
        <w:sectPr>
          <w:pgSz w:w="12240" w:h="15840"/>
          <w:pgMar w:header="763" w:footer="746" w:top="1340" w:bottom="940" w:left="860" w:right="700"/>
        </w:sectPr>
      </w:pPr>
    </w:p>
    <w:p>
      <w:pPr>
        <w:pStyle w:val="BodyText"/>
        <w:spacing w:before="93"/>
        <w:ind w:left="220"/>
      </w:pPr>
      <w:r>
        <w:rPr/>
        <w:t>The following characters are displayed without the use of quotation marks.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2"/>
        <w:gridCol w:w="2513"/>
        <w:gridCol w:w="236"/>
        <w:gridCol w:w="235"/>
        <w:gridCol w:w="237"/>
        <w:gridCol w:w="429"/>
        <w:gridCol w:w="1901"/>
      </w:tblGrid>
      <w:tr>
        <w:trPr>
          <w:trHeight w:val="354" w:hRule="atLeast"/>
        </w:trPr>
        <w:tc>
          <w:tcPr>
            <w:tcW w:w="392" w:type="dxa"/>
          </w:tcPr>
          <w:p>
            <w:pPr>
              <w:pStyle w:val="TableParagraph"/>
              <w:rPr>
                <w:sz w:val="22"/>
              </w:rPr>
            </w:pPr>
            <w:r>
              <w:rPr>
                <w:w w:val="100"/>
                <w:sz w:val="22"/>
              </w:rPr>
              <w:t>$</w:t>
            </w:r>
          </w:p>
        </w:tc>
        <w:tc>
          <w:tcPr>
            <w:tcW w:w="2513" w:type="dxa"/>
          </w:tcPr>
          <w:p>
            <w:pPr>
              <w:pStyle w:val="TableParagraph"/>
              <w:ind w:left="114"/>
              <w:rPr>
                <w:sz w:val="22"/>
              </w:rPr>
            </w:pPr>
            <w:r>
              <w:rPr>
                <w:sz w:val="22"/>
              </w:rPr>
              <w:t>Dollar sign</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rPr>
                <w:sz w:val="22"/>
              </w:rPr>
            </w:pPr>
            <w:r>
              <w:rPr>
                <w:w w:val="100"/>
                <w:sz w:val="22"/>
              </w:rPr>
              <w:t>-</w:t>
            </w:r>
          </w:p>
        </w:tc>
        <w:tc>
          <w:tcPr>
            <w:tcW w:w="1901" w:type="dxa"/>
          </w:tcPr>
          <w:p>
            <w:pPr>
              <w:pStyle w:val="TableParagraph"/>
              <w:rPr>
                <w:sz w:val="22"/>
              </w:rPr>
            </w:pPr>
            <w:r>
              <w:rPr>
                <w:sz w:val="22"/>
              </w:rPr>
              <w:t>Minus sign</w:t>
            </w:r>
          </w:p>
        </w:tc>
      </w:tr>
      <w:tr>
        <w:trPr>
          <w:trHeight w:val="354" w:hRule="atLeast"/>
        </w:trPr>
        <w:tc>
          <w:tcPr>
            <w:tcW w:w="392" w:type="dxa"/>
          </w:tcPr>
          <w:p>
            <w:pPr>
              <w:pStyle w:val="TableParagraph"/>
              <w:rPr>
                <w:sz w:val="22"/>
              </w:rPr>
            </w:pPr>
            <w:r>
              <w:rPr>
                <w:w w:val="100"/>
                <w:sz w:val="22"/>
              </w:rPr>
              <w:t>+</w:t>
            </w:r>
          </w:p>
        </w:tc>
        <w:tc>
          <w:tcPr>
            <w:tcW w:w="2513" w:type="dxa"/>
          </w:tcPr>
          <w:p>
            <w:pPr>
              <w:pStyle w:val="TableParagraph"/>
              <w:ind w:left="114"/>
              <w:rPr>
                <w:sz w:val="22"/>
              </w:rPr>
            </w:pPr>
            <w:r>
              <w:rPr>
                <w:sz w:val="22"/>
              </w:rPr>
              <w:t>Plus sign</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rPr>
                <w:sz w:val="22"/>
              </w:rPr>
            </w:pPr>
            <w:r>
              <w:rPr>
                <w:w w:val="100"/>
                <w:sz w:val="22"/>
              </w:rPr>
              <w:t>/</w:t>
            </w:r>
          </w:p>
        </w:tc>
        <w:tc>
          <w:tcPr>
            <w:tcW w:w="1901" w:type="dxa"/>
          </w:tcPr>
          <w:p>
            <w:pPr>
              <w:pStyle w:val="TableParagraph"/>
              <w:rPr>
                <w:sz w:val="22"/>
              </w:rPr>
            </w:pPr>
            <w:r>
              <w:rPr>
                <w:sz w:val="22"/>
              </w:rPr>
              <w:t>Slash mark</w:t>
            </w:r>
          </w:p>
        </w:tc>
      </w:tr>
      <w:tr>
        <w:trPr>
          <w:trHeight w:val="354" w:hRule="atLeast"/>
        </w:trPr>
        <w:tc>
          <w:tcPr>
            <w:tcW w:w="392" w:type="dxa"/>
          </w:tcPr>
          <w:p>
            <w:pPr>
              <w:pStyle w:val="TableParagraph"/>
              <w:rPr>
                <w:sz w:val="22"/>
              </w:rPr>
            </w:pPr>
            <w:r>
              <w:rPr>
                <w:w w:val="100"/>
                <w:sz w:val="22"/>
              </w:rPr>
              <w:t>(</w:t>
            </w:r>
          </w:p>
        </w:tc>
        <w:tc>
          <w:tcPr>
            <w:tcW w:w="2513" w:type="dxa"/>
          </w:tcPr>
          <w:p>
            <w:pPr>
              <w:pStyle w:val="TableParagraph"/>
              <w:ind w:left="114"/>
              <w:rPr>
                <w:sz w:val="22"/>
              </w:rPr>
            </w:pPr>
            <w:r>
              <w:rPr>
                <w:sz w:val="22"/>
              </w:rPr>
              <w:t>Left parenthesis</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rPr>
                <w:sz w:val="22"/>
              </w:rPr>
            </w:pPr>
            <w:r>
              <w:rPr>
                <w:w w:val="100"/>
                <w:sz w:val="22"/>
              </w:rPr>
              <w:t>)</w:t>
            </w:r>
          </w:p>
        </w:tc>
        <w:tc>
          <w:tcPr>
            <w:tcW w:w="1901" w:type="dxa"/>
          </w:tcPr>
          <w:p>
            <w:pPr>
              <w:pStyle w:val="TableParagraph"/>
              <w:rPr>
                <w:sz w:val="22"/>
              </w:rPr>
            </w:pPr>
            <w:r>
              <w:rPr>
                <w:sz w:val="22"/>
              </w:rPr>
              <w:t>Right parenthesis</w:t>
            </w:r>
          </w:p>
        </w:tc>
      </w:tr>
      <w:tr>
        <w:trPr>
          <w:trHeight w:val="354" w:hRule="atLeast"/>
        </w:trPr>
        <w:tc>
          <w:tcPr>
            <w:tcW w:w="392" w:type="dxa"/>
          </w:tcPr>
          <w:p>
            <w:pPr>
              <w:pStyle w:val="TableParagraph"/>
              <w:rPr>
                <w:sz w:val="22"/>
              </w:rPr>
            </w:pPr>
            <w:r>
              <w:rPr>
                <w:w w:val="100"/>
                <w:sz w:val="22"/>
              </w:rPr>
              <w:t>:</w:t>
            </w:r>
          </w:p>
        </w:tc>
        <w:tc>
          <w:tcPr>
            <w:tcW w:w="2513" w:type="dxa"/>
          </w:tcPr>
          <w:p>
            <w:pPr>
              <w:pStyle w:val="TableParagraph"/>
              <w:ind w:left="114"/>
              <w:rPr>
                <w:sz w:val="22"/>
              </w:rPr>
            </w:pPr>
            <w:r>
              <w:rPr>
                <w:sz w:val="22"/>
              </w:rPr>
              <w:t>Colon</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rPr>
                <w:sz w:val="22"/>
              </w:rPr>
            </w:pPr>
            <w:r>
              <w:rPr>
                <w:w w:val="100"/>
                <w:sz w:val="22"/>
              </w:rPr>
              <w:t>!</w:t>
            </w:r>
          </w:p>
        </w:tc>
        <w:tc>
          <w:tcPr>
            <w:tcW w:w="1901" w:type="dxa"/>
          </w:tcPr>
          <w:p>
            <w:pPr>
              <w:pStyle w:val="TableParagraph"/>
              <w:rPr>
                <w:sz w:val="22"/>
              </w:rPr>
            </w:pPr>
            <w:r>
              <w:rPr>
                <w:sz w:val="22"/>
              </w:rPr>
              <w:t>Exclamation point</w:t>
            </w:r>
          </w:p>
        </w:tc>
      </w:tr>
      <w:tr>
        <w:trPr>
          <w:trHeight w:val="352" w:hRule="atLeast"/>
        </w:trPr>
        <w:tc>
          <w:tcPr>
            <w:tcW w:w="392" w:type="dxa"/>
          </w:tcPr>
          <w:p>
            <w:pPr>
              <w:pStyle w:val="TableParagraph"/>
              <w:rPr>
                <w:sz w:val="22"/>
              </w:rPr>
            </w:pPr>
            <w:r>
              <w:rPr>
                <w:w w:val="100"/>
                <w:sz w:val="22"/>
              </w:rPr>
              <w:t>^</w:t>
            </w:r>
          </w:p>
        </w:tc>
        <w:tc>
          <w:tcPr>
            <w:tcW w:w="2513" w:type="dxa"/>
          </w:tcPr>
          <w:p>
            <w:pPr>
              <w:pStyle w:val="TableParagraph"/>
              <w:ind w:left="114"/>
              <w:rPr>
                <w:sz w:val="22"/>
              </w:rPr>
            </w:pPr>
            <w:r>
              <w:rPr>
                <w:sz w:val="22"/>
              </w:rPr>
              <w:t>Circumflex accent (caret)</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rPr>
                <w:sz w:val="22"/>
              </w:rPr>
            </w:pPr>
            <w:r>
              <w:rPr>
                <w:w w:val="100"/>
                <w:sz w:val="22"/>
              </w:rPr>
              <w:t>&amp;</w:t>
            </w:r>
          </w:p>
        </w:tc>
        <w:tc>
          <w:tcPr>
            <w:tcW w:w="1901" w:type="dxa"/>
          </w:tcPr>
          <w:p>
            <w:pPr>
              <w:pStyle w:val="TableParagraph"/>
              <w:rPr>
                <w:sz w:val="22"/>
              </w:rPr>
            </w:pPr>
            <w:r>
              <w:rPr>
                <w:sz w:val="22"/>
              </w:rPr>
              <w:t>Ampersand</w:t>
            </w:r>
          </w:p>
        </w:tc>
      </w:tr>
      <w:tr>
        <w:trPr>
          <w:trHeight w:val="354" w:hRule="atLeast"/>
        </w:trPr>
        <w:tc>
          <w:tcPr>
            <w:tcW w:w="392" w:type="dxa"/>
          </w:tcPr>
          <w:p>
            <w:pPr>
              <w:pStyle w:val="TableParagraph"/>
              <w:spacing w:before="42"/>
              <w:rPr>
                <w:sz w:val="22"/>
              </w:rPr>
            </w:pPr>
            <w:r>
              <w:rPr>
                <w:w w:val="100"/>
                <w:sz w:val="22"/>
              </w:rPr>
              <w:t>'</w:t>
            </w:r>
          </w:p>
        </w:tc>
        <w:tc>
          <w:tcPr>
            <w:tcW w:w="2513" w:type="dxa"/>
          </w:tcPr>
          <w:p>
            <w:pPr>
              <w:pStyle w:val="TableParagraph"/>
              <w:spacing w:before="42"/>
              <w:ind w:left="114"/>
              <w:rPr>
                <w:sz w:val="22"/>
              </w:rPr>
            </w:pPr>
            <w:r>
              <w:rPr>
                <w:sz w:val="22"/>
              </w:rPr>
              <w:t>Apostrophe</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spacing w:before="42"/>
              <w:rPr>
                <w:sz w:val="22"/>
              </w:rPr>
            </w:pPr>
            <w:r>
              <w:rPr>
                <w:w w:val="100"/>
                <w:sz w:val="22"/>
              </w:rPr>
              <w:t>~</w:t>
            </w:r>
          </w:p>
        </w:tc>
        <w:tc>
          <w:tcPr>
            <w:tcW w:w="1901" w:type="dxa"/>
          </w:tcPr>
          <w:p>
            <w:pPr>
              <w:pStyle w:val="TableParagraph"/>
              <w:spacing w:before="42"/>
              <w:rPr>
                <w:sz w:val="22"/>
              </w:rPr>
            </w:pPr>
            <w:r>
              <w:rPr>
                <w:sz w:val="22"/>
              </w:rPr>
              <w:t>Tilde</w:t>
            </w:r>
          </w:p>
        </w:tc>
      </w:tr>
      <w:tr>
        <w:trPr>
          <w:trHeight w:val="354" w:hRule="atLeast"/>
        </w:trPr>
        <w:tc>
          <w:tcPr>
            <w:tcW w:w="392" w:type="dxa"/>
          </w:tcPr>
          <w:p>
            <w:pPr>
              <w:pStyle w:val="TableParagraph"/>
              <w:rPr>
                <w:sz w:val="22"/>
              </w:rPr>
            </w:pPr>
            <w:r>
              <w:rPr>
                <w:w w:val="100"/>
                <w:sz w:val="22"/>
              </w:rPr>
              <w:t>{</w:t>
            </w:r>
          </w:p>
        </w:tc>
        <w:tc>
          <w:tcPr>
            <w:tcW w:w="2513" w:type="dxa"/>
          </w:tcPr>
          <w:p>
            <w:pPr>
              <w:pStyle w:val="TableParagraph"/>
              <w:ind w:left="114"/>
              <w:rPr>
                <w:sz w:val="22"/>
              </w:rPr>
            </w:pPr>
            <w:r>
              <w:rPr>
                <w:sz w:val="22"/>
              </w:rPr>
              <w:t>Left curly bracket</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rPr>
                <w:sz w:val="22"/>
              </w:rPr>
            </w:pPr>
            <w:r>
              <w:rPr>
                <w:w w:val="100"/>
                <w:sz w:val="22"/>
              </w:rPr>
              <w:t>}</w:t>
            </w:r>
          </w:p>
        </w:tc>
        <w:tc>
          <w:tcPr>
            <w:tcW w:w="1901" w:type="dxa"/>
          </w:tcPr>
          <w:p>
            <w:pPr>
              <w:pStyle w:val="TableParagraph"/>
              <w:rPr>
                <w:sz w:val="22"/>
              </w:rPr>
            </w:pPr>
            <w:r>
              <w:rPr>
                <w:sz w:val="22"/>
              </w:rPr>
              <w:t>Right curly bracket</w:t>
            </w:r>
          </w:p>
        </w:tc>
      </w:tr>
      <w:tr>
        <w:trPr>
          <w:trHeight w:val="354" w:hRule="atLeast"/>
        </w:trPr>
        <w:tc>
          <w:tcPr>
            <w:tcW w:w="392" w:type="dxa"/>
          </w:tcPr>
          <w:p>
            <w:pPr>
              <w:pStyle w:val="TableParagraph"/>
              <w:rPr>
                <w:sz w:val="22"/>
              </w:rPr>
            </w:pPr>
            <w:r>
              <w:rPr>
                <w:w w:val="100"/>
                <w:sz w:val="22"/>
              </w:rPr>
              <w:t>&lt;</w:t>
            </w:r>
          </w:p>
        </w:tc>
        <w:tc>
          <w:tcPr>
            <w:tcW w:w="2513" w:type="dxa"/>
          </w:tcPr>
          <w:p>
            <w:pPr>
              <w:pStyle w:val="TableParagraph"/>
              <w:ind w:left="114"/>
              <w:rPr>
                <w:sz w:val="22"/>
              </w:rPr>
            </w:pPr>
            <w:r>
              <w:rPr>
                <w:sz w:val="22"/>
              </w:rPr>
              <w:t>Less-than sign</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rPr>
                <w:sz w:val="22"/>
              </w:rPr>
            </w:pPr>
            <w:r>
              <w:rPr>
                <w:w w:val="100"/>
                <w:sz w:val="22"/>
              </w:rPr>
              <w:t>&gt;</w:t>
            </w:r>
          </w:p>
        </w:tc>
        <w:tc>
          <w:tcPr>
            <w:tcW w:w="1901" w:type="dxa"/>
          </w:tcPr>
          <w:p>
            <w:pPr>
              <w:pStyle w:val="TableParagraph"/>
              <w:rPr>
                <w:sz w:val="22"/>
              </w:rPr>
            </w:pPr>
            <w:r>
              <w:rPr>
                <w:sz w:val="22"/>
              </w:rPr>
              <w:t>Greater-than sign</w:t>
            </w:r>
          </w:p>
        </w:tc>
      </w:tr>
      <w:tr>
        <w:trPr>
          <w:trHeight w:val="355" w:hRule="atLeast"/>
        </w:trPr>
        <w:tc>
          <w:tcPr>
            <w:tcW w:w="392" w:type="dxa"/>
          </w:tcPr>
          <w:p>
            <w:pPr>
              <w:pStyle w:val="TableParagraph"/>
              <w:rPr>
                <w:sz w:val="22"/>
              </w:rPr>
            </w:pPr>
            <w:r>
              <w:rPr>
                <w:w w:val="100"/>
                <w:sz w:val="22"/>
              </w:rPr>
              <w:t>=</w:t>
            </w:r>
          </w:p>
        </w:tc>
        <w:tc>
          <w:tcPr>
            <w:tcW w:w="2513" w:type="dxa"/>
          </w:tcPr>
          <w:p>
            <w:pPr>
              <w:pStyle w:val="TableParagraph"/>
              <w:ind w:left="114"/>
              <w:rPr>
                <w:sz w:val="22"/>
              </w:rPr>
            </w:pPr>
            <w:r>
              <w:rPr>
                <w:sz w:val="22"/>
              </w:rPr>
              <w:t>Equal sign</w:t>
            </w:r>
          </w:p>
        </w:tc>
        <w:tc>
          <w:tcPr>
            <w:tcW w:w="236" w:type="dxa"/>
          </w:tcPr>
          <w:p>
            <w:pPr>
              <w:pStyle w:val="TableParagraph"/>
              <w:spacing w:before="0"/>
              <w:ind w:left="0"/>
              <w:rPr>
                <w:rFonts w:ascii="Times New Roman"/>
                <w:sz w:val="22"/>
              </w:rPr>
            </w:pPr>
          </w:p>
        </w:tc>
        <w:tc>
          <w:tcPr>
            <w:tcW w:w="235" w:type="dxa"/>
          </w:tcPr>
          <w:p>
            <w:pPr>
              <w:pStyle w:val="TableParagraph"/>
              <w:spacing w:before="0"/>
              <w:ind w:left="0"/>
              <w:rPr>
                <w:rFonts w:ascii="Times New Roman"/>
                <w:sz w:val="22"/>
              </w:rPr>
            </w:pPr>
          </w:p>
        </w:tc>
        <w:tc>
          <w:tcPr>
            <w:tcW w:w="237" w:type="dxa"/>
          </w:tcPr>
          <w:p>
            <w:pPr>
              <w:pStyle w:val="TableParagraph"/>
              <w:spacing w:before="0"/>
              <w:ind w:left="0"/>
              <w:rPr>
                <w:rFonts w:ascii="Times New Roman"/>
                <w:sz w:val="22"/>
              </w:rPr>
            </w:pPr>
          </w:p>
        </w:tc>
        <w:tc>
          <w:tcPr>
            <w:tcW w:w="429" w:type="dxa"/>
          </w:tcPr>
          <w:p>
            <w:pPr>
              <w:pStyle w:val="TableParagraph"/>
              <w:spacing w:before="0"/>
              <w:ind w:left="0"/>
              <w:rPr>
                <w:rFonts w:ascii="Times New Roman"/>
                <w:sz w:val="22"/>
              </w:rPr>
            </w:pPr>
          </w:p>
        </w:tc>
        <w:tc>
          <w:tcPr>
            <w:tcW w:w="1901" w:type="dxa"/>
          </w:tcPr>
          <w:p>
            <w:pPr>
              <w:pStyle w:val="TableParagraph"/>
              <w:rPr>
                <w:sz w:val="22"/>
              </w:rPr>
            </w:pPr>
            <w:r>
              <w:rPr>
                <w:sz w:val="22"/>
              </w:rPr>
              <w:t>Space character</w:t>
            </w:r>
          </w:p>
        </w:tc>
      </w:tr>
    </w:tbl>
    <w:p>
      <w:pPr>
        <w:spacing w:before="0"/>
        <w:ind w:left="220" w:right="0" w:firstLine="0"/>
        <w:jc w:val="left"/>
        <w:rPr>
          <w:i/>
          <w:sz w:val="22"/>
        </w:rPr>
      </w:pPr>
      <w:r>
        <w:rPr>
          <w:i/>
          <w:sz w:val="22"/>
        </w:rPr>
        <w:t>Include a section for text entry</w:t>
      </w:r>
    </w:p>
    <w:p>
      <w:pPr>
        <w:pStyle w:val="BodyText"/>
        <w:spacing w:before="5"/>
        <w:rPr>
          <w:i/>
          <w:sz w:val="19"/>
        </w:rPr>
      </w:pPr>
    </w:p>
    <w:p>
      <w:pPr>
        <w:pStyle w:val="BodyText"/>
        <w:spacing w:line="276" w:lineRule="auto" w:before="1"/>
        <w:ind w:left="220" w:right="376"/>
      </w:pPr>
      <w:r>
        <w:rPr/>
        <w:t>If included, a text section shall be the last section in the number format. Include an "at" sign (@) in the section, precisely where the cell’s text value should be displayed. If the @ character is omitted from the text section, text typed in the cell will not be displayed. To always display specific text characters with the typed text, enclose the additional text in double quotation marks (" "). [</w:t>
      </w:r>
      <w:r>
        <w:rPr>
          <w:i/>
        </w:rPr>
        <w:t>Example</w:t>
      </w:r>
      <w:r>
        <w:rPr/>
        <w:t>: If “June” is typed into the cell, and the text format is</w:t>
      </w:r>
    </w:p>
    <w:p>
      <w:pPr>
        <w:pStyle w:val="BodyText"/>
        <w:spacing w:before="3"/>
        <w:ind w:left="220"/>
      </w:pPr>
      <w:r>
        <w:rPr/>
        <w:t>"gross receipts for "@ , then the cell will display “gross receipts for June”. </w:t>
      </w:r>
      <w:r>
        <w:rPr>
          <w:i/>
        </w:rPr>
        <w:t>end example</w:t>
      </w:r>
      <w:r>
        <w:rPr/>
        <w:t>]</w:t>
      </w:r>
    </w:p>
    <w:p>
      <w:pPr>
        <w:pStyle w:val="BodyText"/>
        <w:spacing w:before="8"/>
        <w:rPr>
          <w:sz w:val="19"/>
        </w:rPr>
      </w:pPr>
    </w:p>
    <w:p>
      <w:pPr>
        <w:pStyle w:val="BodyText"/>
        <w:ind w:left="220"/>
      </w:pPr>
      <w:r>
        <w:rPr/>
        <w:t>If the format does not include a text section, text entered in a cell is not affected by the format code.</w:t>
      </w:r>
    </w:p>
    <w:p>
      <w:pPr>
        <w:pStyle w:val="BodyText"/>
        <w:spacing w:before="8"/>
        <w:rPr>
          <w:sz w:val="19"/>
        </w:rPr>
      </w:pPr>
    </w:p>
    <w:p>
      <w:pPr>
        <w:spacing w:before="0"/>
        <w:ind w:left="220" w:right="0" w:firstLine="0"/>
        <w:jc w:val="left"/>
        <w:rPr>
          <w:i/>
          <w:sz w:val="22"/>
        </w:rPr>
      </w:pPr>
      <w:r>
        <w:rPr>
          <w:i/>
          <w:sz w:val="22"/>
        </w:rPr>
        <w:t>Add spaces</w:t>
      </w:r>
    </w:p>
    <w:p>
      <w:pPr>
        <w:pStyle w:val="BodyText"/>
        <w:spacing w:before="6"/>
        <w:rPr>
          <w:i/>
          <w:sz w:val="19"/>
        </w:rPr>
      </w:pPr>
    </w:p>
    <w:p>
      <w:pPr>
        <w:pStyle w:val="BodyText"/>
        <w:spacing w:line="276" w:lineRule="auto" w:before="1"/>
        <w:ind w:left="220" w:right="412"/>
      </w:pPr>
      <w:r>
        <w:rPr/>
        <w:t>To create a space that is the width of a character in a number format, include an underscore, followed by the character. [</w:t>
      </w:r>
      <w:r>
        <w:rPr>
          <w:i/>
        </w:rPr>
        <w:t>Example</w:t>
      </w:r>
      <w:r>
        <w:rPr/>
        <w:t>: When an underscore is followed with a right parenthesis, such as _), positive numbers line up correctly with negative numbers that are enclosed in parentheses because positive numbers are displayed with a blank space after them exactly the width of the right parenthesis character. </w:t>
      </w:r>
      <w:r>
        <w:rPr>
          <w:i/>
        </w:rPr>
        <w:t>end example</w:t>
      </w:r>
      <w:r>
        <w:rPr/>
        <w:t>]</w:t>
      </w:r>
    </w:p>
    <w:p>
      <w:pPr>
        <w:pStyle w:val="BodyText"/>
        <w:spacing w:before="6"/>
        <w:rPr>
          <w:sz w:val="16"/>
        </w:rPr>
      </w:pPr>
    </w:p>
    <w:p>
      <w:pPr>
        <w:spacing w:before="1"/>
        <w:ind w:left="220" w:right="0" w:firstLine="0"/>
        <w:jc w:val="left"/>
        <w:rPr>
          <w:i/>
          <w:sz w:val="22"/>
        </w:rPr>
      </w:pPr>
      <w:r>
        <w:rPr>
          <w:i/>
          <w:sz w:val="22"/>
        </w:rPr>
        <w:t>Repeat characters</w:t>
      </w:r>
    </w:p>
    <w:p>
      <w:pPr>
        <w:pStyle w:val="BodyText"/>
        <w:spacing w:before="5"/>
        <w:rPr>
          <w:i/>
          <w:sz w:val="19"/>
        </w:rPr>
      </w:pPr>
    </w:p>
    <w:p>
      <w:pPr>
        <w:pStyle w:val="BodyText"/>
        <w:spacing w:line="276" w:lineRule="auto"/>
        <w:ind w:left="220" w:right="423"/>
      </w:pPr>
      <w:r>
        <w:rPr/>
        <w:t>To repeat the next character in the format to fill the column width, include an asterisk (*) in the number format. [</w:t>
      </w:r>
      <w:r>
        <w:rPr>
          <w:i/>
        </w:rPr>
        <w:t>Example</w:t>
      </w:r>
      <w:r>
        <w:rPr/>
        <w:t>: Use 0*- to include enough dashes after a number to fill the cell, or use *0 before any format to include leading zeros. </w:t>
      </w:r>
      <w:r>
        <w:rPr>
          <w:i/>
        </w:rPr>
        <w:t>end example</w:t>
      </w:r>
      <w:r>
        <w:rPr/>
        <w:t>]</w:t>
      </w:r>
    </w:p>
    <w:p>
      <w:pPr>
        <w:pStyle w:val="BodyText"/>
        <w:spacing w:before="9"/>
        <w:rPr>
          <w:sz w:val="16"/>
        </w:rPr>
      </w:pPr>
    </w:p>
    <w:p>
      <w:pPr>
        <w:pStyle w:val="Heading4"/>
      </w:pPr>
      <w:r>
        <w:rPr/>
        <w:t>Decimal places, spaces, colors, and conditions</w:t>
      </w:r>
    </w:p>
    <w:p>
      <w:pPr>
        <w:pStyle w:val="BodyText"/>
        <w:spacing w:before="9"/>
        <w:rPr>
          <w:b/>
          <w:sz w:val="19"/>
        </w:rPr>
      </w:pPr>
    </w:p>
    <w:p>
      <w:pPr>
        <w:spacing w:before="0"/>
        <w:ind w:left="220" w:right="0" w:firstLine="0"/>
        <w:jc w:val="left"/>
        <w:rPr>
          <w:i/>
          <w:sz w:val="22"/>
        </w:rPr>
      </w:pPr>
      <w:r>
        <w:rPr>
          <w:i/>
          <w:sz w:val="22"/>
        </w:rPr>
        <w:t>Include decimal places and significant digits</w:t>
      </w:r>
    </w:p>
    <w:p>
      <w:pPr>
        <w:pStyle w:val="BodyText"/>
        <w:spacing w:before="6"/>
        <w:rPr>
          <w:i/>
          <w:sz w:val="19"/>
        </w:rPr>
      </w:pPr>
    </w:p>
    <w:p>
      <w:pPr>
        <w:pStyle w:val="BodyText"/>
        <w:spacing w:line="276" w:lineRule="auto"/>
        <w:ind w:left="220" w:right="487"/>
      </w:pPr>
      <w:r>
        <w:rPr/>
        <w:t>To format fractions or numbers with decimal points, include the following digit placeholders in a section. If a number has more digits to the right of the decimal point than there are placeholders in the format, the number rounds to as many decimal places as there are placeholders. If there are more digits to the left of the decimal point than there are placeholders, the extra digits are displayed. If the format contains only number signs (#) to the left of the decimal point, numbers less than 1 begin with a decimal point.</w:t>
      </w:r>
    </w:p>
    <w:p>
      <w:pPr>
        <w:spacing w:after="0" w:line="276" w:lineRule="auto"/>
        <w:sectPr>
          <w:pgSz w:w="12240" w:h="15840"/>
          <w:pgMar w:header="761" w:footer="746" w:top="1340" w:bottom="940" w:left="860" w:right="700"/>
        </w:sectPr>
      </w:pPr>
    </w:p>
    <w:p>
      <w:pPr>
        <w:pStyle w:val="BodyText"/>
        <w:spacing w:before="150"/>
        <w:ind w:left="220"/>
      </w:pPr>
      <w:r>
        <w:rPr/>
        <w:t># (number sign) displays only significant digits and does not display insignificant zeros.</w:t>
      </w:r>
    </w:p>
    <w:p>
      <w:pPr>
        <w:pStyle w:val="BodyText"/>
        <w:spacing w:before="9"/>
        <w:rPr>
          <w:sz w:val="19"/>
        </w:rPr>
      </w:pPr>
    </w:p>
    <w:p>
      <w:pPr>
        <w:pStyle w:val="BodyText"/>
        <w:ind w:left="220"/>
      </w:pPr>
      <w:r>
        <w:rPr/>
        <w:t>0 (zero) displays insignificant zeros if a number has fewer digits than there are zeros in the format.</w:t>
      </w:r>
    </w:p>
    <w:p>
      <w:pPr>
        <w:pStyle w:val="BodyText"/>
        <w:spacing w:before="6"/>
        <w:rPr>
          <w:sz w:val="19"/>
        </w:rPr>
      </w:pPr>
    </w:p>
    <w:p>
      <w:pPr>
        <w:pStyle w:val="BodyText"/>
        <w:spacing w:line="276" w:lineRule="auto"/>
        <w:ind w:left="220" w:right="404"/>
      </w:pPr>
      <w:r>
        <w:rPr/>
        <w:t>? (question mark) adds spaces for insignificant zeros on either side of the decimal point so that decimal points align when they are formatted with a fixed-width font, such as Courier New. ? can also be used for fractions that have varying numbers of digits.</w:t>
      </w:r>
    </w:p>
    <w:p>
      <w:pPr>
        <w:pStyle w:val="BodyText"/>
        <w:spacing w:before="6" w:after="1"/>
        <w:rPr>
          <w:sz w:val="16"/>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7"/>
        <w:gridCol w:w="2298"/>
        <w:gridCol w:w="1448"/>
      </w:tblGrid>
      <w:tr>
        <w:trPr>
          <w:trHeight w:val="354" w:hRule="atLeast"/>
        </w:trPr>
        <w:tc>
          <w:tcPr>
            <w:tcW w:w="1217" w:type="dxa"/>
            <w:shd w:val="clear" w:color="auto" w:fill="C0C0C0"/>
          </w:tcPr>
          <w:p>
            <w:pPr>
              <w:pStyle w:val="TableParagraph"/>
              <w:ind w:left="146"/>
              <w:rPr>
                <w:b/>
                <w:sz w:val="22"/>
              </w:rPr>
            </w:pPr>
            <w:r>
              <w:rPr>
                <w:b/>
                <w:sz w:val="22"/>
              </w:rPr>
              <w:t>To display</w:t>
            </w:r>
          </w:p>
        </w:tc>
        <w:tc>
          <w:tcPr>
            <w:tcW w:w="2298" w:type="dxa"/>
            <w:shd w:val="clear" w:color="auto" w:fill="C0C0C0"/>
          </w:tcPr>
          <w:p>
            <w:pPr>
              <w:pStyle w:val="TableParagraph"/>
              <w:ind w:left="1016" w:right="1009"/>
              <w:jc w:val="center"/>
              <w:rPr>
                <w:b/>
                <w:sz w:val="22"/>
              </w:rPr>
            </w:pPr>
            <w:r>
              <w:rPr>
                <w:b/>
                <w:sz w:val="22"/>
              </w:rPr>
              <w:t>As</w:t>
            </w:r>
          </w:p>
        </w:tc>
        <w:tc>
          <w:tcPr>
            <w:tcW w:w="1448" w:type="dxa"/>
            <w:tcBorders>
              <w:right w:val="single" w:sz="6" w:space="0" w:color="000000"/>
            </w:tcBorders>
            <w:shd w:val="clear" w:color="auto" w:fill="C0C0C0"/>
          </w:tcPr>
          <w:p>
            <w:pPr>
              <w:pStyle w:val="TableParagraph"/>
              <w:ind w:left="114"/>
              <w:rPr>
                <w:b/>
                <w:sz w:val="22"/>
              </w:rPr>
            </w:pPr>
            <w:r>
              <w:rPr>
                <w:b/>
                <w:sz w:val="22"/>
              </w:rPr>
              <w:t>Use this code</w:t>
            </w:r>
          </w:p>
        </w:tc>
      </w:tr>
      <w:tr>
        <w:trPr>
          <w:trHeight w:val="354" w:hRule="atLeast"/>
        </w:trPr>
        <w:tc>
          <w:tcPr>
            <w:tcW w:w="1217" w:type="dxa"/>
          </w:tcPr>
          <w:p>
            <w:pPr>
              <w:pStyle w:val="TableParagraph"/>
              <w:rPr>
                <w:sz w:val="22"/>
              </w:rPr>
            </w:pPr>
            <w:r>
              <w:rPr>
                <w:sz w:val="22"/>
              </w:rPr>
              <w:t>1234.59</w:t>
            </w:r>
          </w:p>
        </w:tc>
        <w:tc>
          <w:tcPr>
            <w:tcW w:w="2298" w:type="dxa"/>
          </w:tcPr>
          <w:p>
            <w:pPr>
              <w:pStyle w:val="TableParagraph"/>
              <w:ind w:left="114"/>
              <w:rPr>
                <w:sz w:val="22"/>
              </w:rPr>
            </w:pPr>
            <w:r>
              <w:rPr>
                <w:sz w:val="22"/>
              </w:rPr>
              <w:t>1234.6</w:t>
            </w:r>
          </w:p>
        </w:tc>
        <w:tc>
          <w:tcPr>
            <w:tcW w:w="1448" w:type="dxa"/>
            <w:tcBorders>
              <w:right w:val="single" w:sz="6" w:space="0" w:color="000000"/>
            </w:tcBorders>
          </w:tcPr>
          <w:p>
            <w:pPr>
              <w:pStyle w:val="TableParagraph"/>
              <w:ind w:left="114"/>
              <w:rPr>
                <w:sz w:val="22"/>
              </w:rPr>
            </w:pPr>
            <w:r>
              <w:rPr>
                <w:sz w:val="22"/>
              </w:rPr>
              <w:t>####.#</w:t>
            </w:r>
          </w:p>
        </w:tc>
      </w:tr>
      <w:tr>
        <w:trPr>
          <w:trHeight w:val="354" w:hRule="atLeast"/>
        </w:trPr>
        <w:tc>
          <w:tcPr>
            <w:tcW w:w="1217" w:type="dxa"/>
          </w:tcPr>
          <w:p>
            <w:pPr>
              <w:pStyle w:val="TableParagraph"/>
              <w:rPr>
                <w:sz w:val="22"/>
              </w:rPr>
            </w:pPr>
            <w:r>
              <w:rPr>
                <w:sz w:val="22"/>
              </w:rPr>
              <w:t>8.9</w:t>
            </w:r>
          </w:p>
        </w:tc>
        <w:tc>
          <w:tcPr>
            <w:tcW w:w="2298" w:type="dxa"/>
          </w:tcPr>
          <w:p>
            <w:pPr>
              <w:pStyle w:val="TableParagraph"/>
              <w:ind w:left="114"/>
              <w:rPr>
                <w:sz w:val="22"/>
              </w:rPr>
            </w:pPr>
            <w:r>
              <w:rPr>
                <w:sz w:val="22"/>
              </w:rPr>
              <w:t>8.900</w:t>
            </w:r>
          </w:p>
        </w:tc>
        <w:tc>
          <w:tcPr>
            <w:tcW w:w="1448" w:type="dxa"/>
            <w:tcBorders>
              <w:right w:val="single" w:sz="6" w:space="0" w:color="000000"/>
            </w:tcBorders>
          </w:tcPr>
          <w:p>
            <w:pPr>
              <w:pStyle w:val="TableParagraph"/>
              <w:ind w:left="114"/>
              <w:rPr>
                <w:sz w:val="22"/>
              </w:rPr>
            </w:pPr>
            <w:r>
              <w:rPr>
                <w:sz w:val="22"/>
              </w:rPr>
              <w:t>#.000</w:t>
            </w:r>
          </w:p>
        </w:tc>
      </w:tr>
      <w:tr>
        <w:trPr>
          <w:trHeight w:val="354" w:hRule="atLeast"/>
        </w:trPr>
        <w:tc>
          <w:tcPr>
            <w:tcW w:w="1217" w:type="dxa"/>
          </w:tcPr>
          <w:p>
            <w:pPr>
              <w:pStyle w:val="TableParagraph"/>
              <w:rPr>
                <w:sz w:val="22"/>
              </w:rPr>
            </w:pPr>
            <w:r>
              <w:rPr>
                <w:sz w:val="22"/>
              </w:rPr>
              <w:t>.631</w:t>
            </w:r>
          </w:p>
        </w:tc>
        <w:tc>
          <w:tcPr>
            <w:tcW w:w="2298" w:type="dxa"/>
          </w:tcPr>
          <w:p>
            <w:pPr>
              <w:pStyle w:val="TableParagraph"/>
              <w:ind w:left="114"/>
              <w:rPr>
                <w:sz w:val="22"/>
              </w:rPr>
            </w:pPr>
            <w:r>
              <w:rPr>
                <w:sz w:val="22"/>
              </w:rPr>
              <w:t>0.6</w:t>
            </w:r>
          </w:p>
        </w:tc>
        <w:tc>
          <w:tcPr>
            <w:tcW w:w="1448" w:type="dxa"/>
            <w:tcBorders>
              <w:right w:val="single" w:sz="6" w:space="0" w:color="000000"/>
            </w:tcBorders>
          </w:tcPr>
          <w:p>
            <w:pPr>
              <w:pStyle w:val="TableParagraph"/>
              <w:ind w:left="114"/>
              <w:rPr>
                <w:sz w:val="22"/>
              </w:rPr>
            </w:pPr>
            <w:r>
              <w:rPr>
                <w:sz w:val="22"/>
              </w:rPr>
              <w:t>0.#</w:t>
            </w:r>
          </w:p>
        </w:tc>
      </w:tr>
      <w:tr>
        <w:trPr>
          <w:trHeight w:val="624" w:hRule="atLeast"/>
        </w:trPr>
        <w:tc>
          <w:tcPr>
            <w:tcW w:w="1217" w:type="dxa"/>
          </w:tcPr>
          <w:p>
            <w:pPr>
              <w:pStyle w:val="TableParagraph"/>
              <w:rPr>
                <w:sz w:val="22"/>
              </w:rPr>
            </w:pPr>
            <w:r>
              <w:rPr>
                <w:sz w:val="22"/>
              </w:rPr>
              <w:t>12</w:t>
            </w:r>
          </w:p>
          <w:p>
            <w:pPr>
              <w:pStyle w:val="TableParagraph"/>
              <w:spacing w:before="0"/>
              <w:rPr>
                <w:sz w:val="22"/>
              </w:rPr>
            </w:pPr>
            <w:r>
              <w:rPr>
                <w:sz w:val="22"/>
              </w:rPr>
              <w:t>1234.568</w:t>
            </w:r>
          </w:p>
        </w:tc>
        <w:tc>
          <w:tcPr>
            <w:tcW w:w="2298" w:type="dxa"/>
          </w:tcPr>
          <w:p>
            <w:pPr>
              <w:pStyle w:val="TableParagraph"/>
              <w:ind w:left="114"/>
              <w:rPr>
                <w:sz w:val="22"/>
              </w:rPr>
            </w:pPr>
            <w:r>
              <w:rPr>
                <w:sz w:val="22"/>
              </w:rPr>
              <w:t>12.0</w:t>
            </w:r>
          </w:p>
          <w:p>
            <w:pPr>
              <w:pStyle w:val="TableParagraph"/>
              <w:spacing w:before="0"/>
              <w:ind w:left="114"/>
              <w:rPr>
                <w:sz w:val="22"/>
              </w:rPr>
            </w:pPr>
            <w:r>
              <w:rPr>
                <w:sz w:val="22"/>
              </w:rPr>
              <w:t>1234.57</w:t>
            </w:r>
          </w:p>
        </w:tc>
        <w:tc>
          <w:tcPr>
            <w:tcW w:w="1448" w:type="dxa"/>
            <w:tcBorders>
              <w:right w:val="single" w:sz="6" w:space="0" w:color="000000"/>
            </w:tcBorders>
          </w:tcPr>
          <w:p>
            <w:pPr>
              <w:pStyle w:val="TableParagraph"/>
              <w:ind w:left="114"/>
              <w:rPr>
                <w:sz w:val="22"/>
              </w:rPr>
            </w:pPr>
            <w:r>
              <w:rPr>
                <w:sz w:val="22"/>
              </w:rPr>
              <w:t>#.0#</w:t>
            </w:r>
          </w:p>
        </w:tc>
      </w:tr>
      <w:tr>
        <w:trPr>
          <w:trHeight w:val="1158" w:hRule="atLeast"/>
        </w:trPr>
        <w:tc>
          <w:tcPr>
            <w:tcW w:w="1217" w:type="dxa"/>
          </w:tcPr>
          <w:p>
            <w:pPr>
              <w:pStyle w:val="TableParagraph"/>
              <w:rPr>
                <w:sz w:val="22"/>
              </w:rPr>
            </w:pPr>
            <w:r>
              <w:rPr>
                <w:sz w:val="22"/>
              </w:rPr>
              <w:t>44.398</w:t>
            </w:r>
          </w:p>
          <w:p>
            <w:pPr>
              <w:pStyle w:val="TableParagraph"/>
              <w:spacing w:before="0"/>
              <w:rPr>
                <w:sz w:val="22"/>
              </w:rPr>
            </w:pPr>
            <w:r>
              <w:rPr>
                <w:sz w:val="22"/>
              </w:rPr>
              <w:t>102.65</w:t>
            </w:r>
          </w:p>
          <w:p>
            <w:pPr>
              <w:pStyle w:val="TableParagraph"/>
              <w:spacing w:before="0"/>
              <w:rPr>
                <w:sz w:val="22"/>
              </w:rPr>
            </w:pPr>
            <w:r>
              <w:rPr>
                <w:sz w:val="22"/>
              </w:rPr>
              <w:t>2.8</w:t>
            </w:r>
          </w:p>
        </w:tc>
        <w:tc>
          <w:tcPr>
            <w:tcW w:w="2298" w:type="dxa"/>
          </w:tcPr>
          <w:p>
            <w:pPr>
              <w:pStyle w:val="TableParagraph"/>
              <w:ind w:left="215"/>
              <w:rPr>
                <w:sz w:val="22"/>
              </w:rPr>
            </w:pPr>
            <w:r>
              <w:rPr>
                <w:sz w:val="22"/>
              </w:rPr>
              <w:t>44.398</w:t>
            </w:r>
          </w:p>
          <w:p>
            <w:pPr>
              <w:pStyle w:val="TableParagraph"/>
              <w:spacing w:before="0"/>
              <w:ind w:left="114"/>
              <w:rPr>
                <w:sz w:val="22"/>
              </w:rPr>
            </w:pPr>
            <w:r>
              <w:rPr>
                <w:sz w:val="22"/>
              </w:rPr>
              <w:t>102.65</w:t>
            </w:r>
          </w:p>
          <w:p>
            <w:pPr>
              <w:pStyle w:val="TableParagraph"/>
              <w:spacing w:line="267" w:lineRule="exact" w:before="0"/>
              <w:ind w:left="313"/>
              <w:rPr>
                <w:sz w:val="22"/>
              </w:rPr>
            </w:pPr>
            <w:r>
              <w:rPr>
                <w:sz w:val="22"/>
              </w:rPr>
              <w:t>2.8</w:t>
            </w:r>
          </w:p>
          <w:p>
            <w:pPr>
              <w:pStyle w:val="TableParagraph"/>
              <w:spacing w:line="267" w:lineRule="exact" w:before="0"/>
              <w:ind w:left="114"/>
              <w:rPr>
                <w:sz w:val="22"/>
              </w:rPr>
            </w:pPr>
            <w:r>
              <w:rPr>
                <w:sz w:val="22"/>
              </w:rPr>
              <w:t>(with aligned decimals)</w:t>
            </w:r>
          </w:p>
        </w:tc>
        <w:tc>
          <w:tcPr>
            <w:tcW w:w="1448" w:type="dxa"/>
            <w:tcBorders>
              <w:right w:val="single" w:sz="6" w:space="0" w:color="000000"/>
            </w:tcBorders>
          </w:tcPr>
          <w:p>
            <w:pPr>
              <w:pStyle w:val="TableParagraph"/>
              <w:ind w:left="114"/>
              <w:rPr>
                <w:sz w:val="22"/>
              </w:rPr>
            </w:pPr>
            <w:r>
              <w:rPr>
                <w:sz w:val="22"/>
              </w:rPr>
              <w:t>???.???</w:t>
            </w:r>
          </w:p>
        </w:tc>
      </w:tr>
      <w:tr>
        <w:trPr>
          <w:trHeight w:val="892" w:hRule="atLeast"/>
        </w:trPr>
        <w:tc>
          <w:tcPr>
            <w:tcW w:w="1217" w:type="dxa"/>
          </w:tcPr>
          <w:p>
            <w:pPr>
              <w:pStyle w:val="TableParagraph"/>
              <w:rPr>
                <w:sz w:val="22"/>
              </w:rPr>
            </w:pPr>
            <w:r>
              <w:rPr>
                <w:sz w:val="22"/>
              </w:rPr>
              <w:t>5.25</w:t>
            </w:r>
          </w:p>
          <w:p>
            <w:pPr>
              <w:pStyle w:val="TableParagraph"/>
              <w:spacing w:before="0"/>
              <w:rPr>
                <w:sz w:val="22"/>
              </w:rPr>
            </w:pPr>
            <w:r>
              <w:rPr>
                <w:sz w:val="22"/>
              </w:rPr>
              <w:t>5.3</w:t>
            </w:r>
          </w:p>
        </w:tc>
        <w:tc>
          <w:tcPr>
            <w:tcW w:w="2298" w:type="dxa"/>
          </w:tcPr>
          <w:p>
            <w:pPr>
              <w:pStyle w:val="TableParagraph"/>
              <w:ind w:left="114"/>
              <w:rPr>
                <w:sz w:val="22"/>
              </w:rPr>
            </w:pPr>
            <w:r>
              <w:rPr>
                <w:sz w:val="22"/>
              </w:rPr>
              <w:t>5 1/4</w:t>
            </w:r>
          </w:p>
          <w:p>
            <w:pPr>
              <w:pStyle w:val="TableParagraph"/>
              <w:spacing w:before="0"/>
              <w:ind w:left="114"/>
              <w:rPr>
                <w:sz w:val="22"/>
              </w:rPr>
            </w:pPr>
            <w:r>
              <w:rPr>
                <w:sz w:val="22"/>
              </w:rPr>
              <w:t>5 3/10</w:t>
            </w:r>
          </w:p>
          <w:p>
            <w:pPr>
              <w:pStyle w:val="TableParagraph"/>
              <w:spacing w:before="0"/>
              <w:ind w:left="114"/>
              <w:rPr>
                <w:sz w:val="22"/>
              </w:rPr>
            </w:pPr>
            <w:r>
              <w:rPr>
                <w:sz w:val="22"/>
              </w:rPr>
              <w:t>(with aligned fractions)</w:t>
            </w:r>
          </w:p>
        </w:tc>
        <w:tc>
          <w:tcPr>
            <w:tcW w:w="1448" w:type="dxa"/>
            <w:tcBorders>
              <w:right w:val="single" w:sz="6" w:space="0" w:color="000000"/>
            </w:tcBorders>
          </w:tcPr>
          <w:p>
            <w:pPr>
              <w:pStyle w:val="TableParagraph"/>
              <w:ind w:left="114"/>
              <w:rPr>
                <w:sz w:val="22"/>
              </w:rPr>
            </w:pPr>
            <w:r>
              <w:rPr>
                <w:sz w:val="22"/>
              </w:rPr>
              <w:t># ???/???</w:t>
            </w:r>
          </w:p>
        </w:tc>
      </w:tr>
    </w:tbl>
    <w:p>
      <w:pPr>
        <w:pStyle w:val="BodyText"/>
      </w:pPr>
    </w:p>
    <w:p>
      <w:pPr>
        <w:pStyle w:val="BodyText"/>
      </w:pPr>
    </w:p>
    <w:p>
      <w:pPr>
        <w:pStyle w:val="BodyText"/>
        <w:rPr>
          <w:sz w:val="23"/>
        </w:rPr>
      </w:pPr>
    </w:p>
    <w:p>
      <w:pPr>
        <w:spacing w:before="0"/>
        <w:ind w:left="220" w:right="0" w:firstLine="0"/>
        <w:jc w:val="left"/>
        <w:rPr>
          <w:i/>
          <w:sz w:val="22"/>
        </w:rPr>
      </w:pPr>
      <w:r>
        <w:rPr>
          <w:i/>
          <w:sz w:val="22"/>
        </w:rPr>
        <w:t>Display a thousands separator</w:t>
      </w:r>
    </w:p>
    <w:p>
      <w:pPr>
        <w:pStyle w:val="BodyText"/>
        <w:spacing w:before="6"/>
        <w:rPr>
          <w:i/>
          <w:sz w:val="19"/>
        </w:rPr>
      </w:pPr>
    </w:p>
    <w:p>
      <w:pPr>
        <w:pStyle w:val="BodyText"/>
        <w:spacing w:line="278" w:lineRule="auto"/>
        <w:ind w:left="220" w:right="657"/>
      </w:pPr>
      <w:r>
        <w:rPr/>
        <w:t>To display a comma as a thousands separator or to scale a number by a multiple of 1,000, include a comma in the number format.</w:t>
      </w:r>
    </w:p>
    <w:p>
      <w:pPr>
        <w:pStyle w:val="BodyText"/>
        <w:spacing w:before="3"/>
        <w:rPr>
          <w:sz w:val="16"/>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842"/>
        <w:gridCol w:w="1447"/>
      </w:tblGrid>
      <w:tr>
        <w:trPr>
          <w:trHeight w:val="352" w:hRule="atLeast"/>
        </w:trPr>
        <w:tc>
          <w:tcPr>
            <w:tcW w:w="1152" w:type="dxa"/>
            <w:shd w:val="clear" w:color="auto" w:fill="C0C0C0"/>
          </w:tcPr>
          <w:p>
            <w:pPr>
              <w:pStyle w:val="TableParagraph"/>
              <w:rPr>
                <w:b/>
                <w:sz w:val="22"/>
              </w:rPr>
            </w:pPr>
            <w:r>
              <w:rPr>
                <w:b/>
                <w:sz w:val="22"/>
              </w:rPr>
              <w:t>To display</w:t>
            </w:r>
          </w:p>
        </w:tc>
        <w:tc>
          <w:tcPr>
            <w:tcW w:w="842" w:type="dxa"/>
            <w:shd w:val="clear" w:color="auto" w:fill="C0C0C0"/>
          </w:tcPr>
          <w:p>
            <w:pPr>
              <w:pStyle w:val="TableParagraph"/>
              <w:ind w:left="289" w:right="280"/>
              <w:jc w:val="center"/>
              <w:rPr>
                <w:b/>
                <w:sz w:val="22"/>
              </w:rPr>
            </w:pPr>
            <w:r>
              <w:rPr>
                <w:b/>
                <w:sz w:val="22"/>
              </w:rPr>
              <w:t>As</w:t>
            </w:r>
          </w:p>
        </w:tc>
        <w:tc>
          <w:tcPr>
            <w:tcW w:w="1447" w:type="dxa"/>
            <w:shd w:val="clear" w:color="auto" w:fill="C0C0C0"/>
          </w:tcPr>
          <w:p>
            <w:pPr>
              <w:pStyle w:val="TableParagraph"/>
              <w:rPr>
                <w:b/>
                <w:sz w:val="22"/>
              </w:rPr>
            </w:pPr>
            <w:r>
              <w:rPr>
                <w:b/>
                <w:sz w:val="22"/>
              </w:rPr>
              <w:t>Use this code</w:t>
            </w:r>
          </w:p>
        </w:tc>
      </w:tr>
      <w:tr>
        <w:trPr>
          <w:trHeight w:val="354" w:hRule="atLeast"/>
        </w:trPr>
        <w:tc>
          <w:tcPr>
            <w:tcW w:w="1152" w:type="dxa"/>
          </w:tcPr>
          <w:p>
            <w:pPr>
              <w:pStyle w:val="TableParagraph"/>
              <w:spacing w:before="42"/>
              <w:rPr>
                <w:sz w:val="22"/>
              </w:rPr>
            </w:pPr>
            <w:r>
              <w:rPr>
                <w:sz w:val="22"/>
              </w:rPr>
              <w:t>12000</w:t>
            </w:r>
          </w:p>
        </w:tc>
        <w:tc>
          <w:tcPr>
            <w:tcW w:w="842" w:type="dxa"/>
          </w:tcPr>
          <w:p>
            <w:pPr>
              <w:pStyle w:val="TableParagraph"/>
              <w:spacing w:before="42"/>
              <w:ind w:left="114"/>
              <w:rPr>
                <w:sz w:val="22"/>
              </w:rPr>
            </w:pPr>
            <w:r>
              <w:rPr>
                <w:sz w:val="22"/>
              </w:rPr>
              <w:t>12,000</w:t>
            </w:r>
          </w:p>
        </w:tc>
        <w:tc>
          <w:tcPr>
            <w:tcW w:w="1447" w:type="dxa"/>
          </w:tcPr>
          <w:p>
            <w:pPr>
              <w:pStyle w:val="TableParagraph"/>
              <w:spacing w:before="42"/>
              <w:rPr>
                <w:sz w:val="22"/>
              </w:rPr>
            </w:pPr>
            <w:r>
              <w:rPr>
                <w:sz w:val="22"/>
              </w:rPr>
              <w:t>#,###</w:t>
            </w:r>
          </w:p>
        </w:tc>
      </w:tr>
      <w:tr>
        <w:trPr>
          <w:trHeight w:val="354" w:hRule="atLeast"/>
        </w:trPr>
        <w:tc>
          <w:tcPr>
            <w:tcW w:w="1152" w:type="dxa"/>
          </w:tcPr>
          <w:p>
            <w:pPr>
              <w:pStyle w:val="TableParagraph"/>
              <w:rPr>
                <w:sz w:val="22"/>
              </w:rPr>
            </w:pPr>
            <w:r>
              <w:rPr>
                <w:sz w:val="22"/>
              </w:rPr>
              <w:t>12000</w:t>
            </w:r>
          </w:p>
        </w:tc>
        <w:tc>
          <w:tcPr>
            <w:tcW w:w="842" w:type="dxa"/>
          </w:tcPr>
          <w:p>
            <w:pPr>
              <w:pStyle w:val="TableParagraph"/>
              <w:ind w:left="114"/>
              <w:rPr>
                <w:sz w:val="22"/>
              </w:rPr>
            </w:pPr>
            <w:r>
              <w:rPr>
                <w:sz w:val="22"/>
              </w:rPr>
              <w:t>12</w:t>
            </w:r>
          </w:p>
        </w:tc>
        <w:tc>
          <w:tcPr>
            <w:tcW w:w="1447" w:type="dxa"/>
          </w:tcPr>
          <w:p>
            <w:pPr>
              <w:pStyle w:val="TableParagraph"/>
              <w:rPr>
                <w:sz w:val="22"/>
              </w:rPr>
            </w:pPr>
            <w:r>
              <w:rPr>
                <w:sz w:val="22"/>
              </w:rPr>
              <w:t>#,</w:t>
            </w:r>
          </w:p>
        </w:tc>
      </w:tr>
      <w:tr>
        <w:trPr>
          <w:trHeight w:val="354" w:hRule="atLeast"/>
        </w:trPr>
        <w:tc>
          <w:tcPr>
            <w:tcW w:w="1152" w:type="dxa"/>
          </w:tcPr>
          <w:p>
            <w:pPr>
              <w:pStyle w:val="TableParagraph"/>
              <w:rPr>
                <w:sz w:val="22"/>
              </w:rPr>
            </w:pPr>
            <w:r>
              <w:rPr>
                <w:sz w:val="22"/>
              </w:rPr>
              <w:t>12200000</w:t>
            </w:r>
          </w:p>
        </w:tc>
        <w:tc>
          <w:tcPr>
            <w:tcW w:w="842" w:type="dxa"/>
          </w:tcPr>
          <w:p>
            <w:pPr>
              <w:pStyle w:val="TableParagraph"/>
              <w:ind w:left="114"/>
              <w:rPr>
                <w:sz w:val="22"/>
              </w:rPr>
            </w:pPr>
            <w:r>
              <w:rPr>
                <w:sz w:val="22"/>
              </w:rPr>
              <w:t>12.2</w:t>
            </w:r>
          </w:p>
        </w:tc>
        <w:tc>
          <w:tcPr>
            <w:tcW w:w="1447" w:type="dxa"/>
          </w:tcPr>
          <w:p>
            <w:pPr>
              <w:pStyle w:val="TableParagraph"/>
              <w:rPr>
                <w:sz w:val="22"/>
              </w:rPr>
            </w:pPr>
            <w:r>
              <w:rPr>
                <w:sz w:val="22"/>
              </w:rPr>
              <w:t>0.0,,</w:t>
            </w:r>
          </w:p>
        </w:tc>
      </w:tr>
    </w:tbl>
    <w:p>
      <w:pPr>
        <w:pStyle w:val="BodyText"/>
      </w:pPr>
    </w:p>
    <w:p>
      <w:pPr>
        <w:pStyle w:val="BodyText"/>
        <w:spacing w:before="7"/>
        <w:rPr>
          <w:sz w:val="19"/>
        </w:rPr>
      </w:pPr>
    </w:p>
    <w:p>
      <w:pPr>
        <w:spacing w:before="0"/>
        <w:ind w:left="220" w:right="0" w:firstLine="0"/>
        <w:jc w:val="left"/>
        <w:rPr>
          <w:i/>
          <w:sz w:val="22"/>
        </w:rPr>
      </w:pPr>
      <w:r>
        <w:rPr>
          <w:i/>
          <w:sz w:val="22"/>
        </w:rPr>
        <w:t>Specify colors</w:t>
      </w:r>
    </w:p>
    <w:p>
      <w:pPr>
        <w:pStyle w:val="BodyText"/>
        <w:spacing w:before="7"/>
        <w:rPr>
          <w:i/>
          <w:sz w:val="19"/>
        </w:rPr>
      </w:pPr>
    </w:p>
    <w:p>
      <w:pPr>
        <w:pStyle w:val="BodyText"/>
        <w:spacing w:line="278" w:lineRule="auto"/>
        <w:ind w:left="220" w:right="874"/>
      </w:pPr>
      <w:r>
        <w:rPr/>
        <w:t>To set the text color for a section of the format, use the name of one of the following eight colors in square brackets in the section. The color code shall be the first item in the section.</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5"/>
        <w:gridCol w:w="238"/>
        <w:gridCol w:w="236"/>
        <w:gridCol w:w="1167"/>
        <w:gridCol w:w="238"/>
        <w:gridCol w:w="236"/>
        <w:gridCol w:w="804"/>
      </w:tblGrid>
      <w:tr>
        <w:trPr>
          <w:trHeight w:val="354" w:hRule="atLeast"/>
        </w:trPr>
        <w:tc>
          <w:tcPr>
            <w:tcW w:w="915" w:type="dxa"/>
          </w:tcPr>
          <w:p>
            <w:pPr>
              <w:pStyle w:val="TableParagraph"/>
              <w:rPr>
                <w:sz w:val="22"/>
              </w:rPr>
            </w:pPr>
            <w:r>
              <w:rPr>
                <w:sz w:val="22"/>
              </w:rPr>
              <w:t>[Black]</w:t>
            </w:r>
          </w:p>
        </w:tc>
        <w:tc>
          <w:tcPr>
            <w:tcW w:w="238" w:type="dxa"/>
          </w:tcPr>
          <w:p>
            <w:pPr>
              <w:pStyle w:val="TableParagraph"/>
              <w:spacing w:before="0"/>
              <w:ind w:left="0"/>
              <w:rPr>
                <w:rFonts w:ascii="Times New Roman"/>
                <w:sz w:val="22"/>
              </w:rPr>
            </w:pPr>
          </w:p>
        </w:tc>
        <w:tc>
          <w:tcPr>
            <w:tcW w:w="236" w:type="dxa"/>
          </w:tcPr>
          <w:p>
            <w:pPr>
              <w:pStyle w:val="TableParagraph"/>
              <w:spacing w:before="0"/>
              <w:ind w:left="0"/>
              <w:rPr>
                <w:rFonts w:ascii="Times New Roman"/>
                <w:sz w:val="22"/>
              </w:rPr>
            </w:pPr>
          </w:p>
        </w:tc>
        <w:tc>
          <w:tcPr>
            <w:tcW w:w="1167" w:type="dxa"/>
          </w:tcPr>
          <w:p>
            <w:pPr>
              <w:pStyle w:val="TableParagraph"/>
              <w:ind w:left="113"/>
              <w:rPr>
                <w:sz w:val="22"/>
              </w:rPr>
            </w:pPr>
            <w:r>
              <w:rPr>
                <w:sz w:val="22"/>
              </w:rPr>
              <w:t>[Blue]</w:t>
            </w:r>
          </w:p>
        </w:tc>
        <w:tc>
          <w:tcPr>
            <w:tcW w:w="238" w:type="dxa"/>
          </w:tcPr>
          <w:p>
            <w:pPr>
              <w:pStyle w:val="TableParagraph"/>
              <w:spacing w:before="0"/>
              <w:ind w:left="0"/>
              <w:rPr>
                <w:rFonts w:ascii="Times New Roman"/>
                <w:sz w:val="22"/>
              </w:rPr>
            </w:pPr>
          </w:p>
        </w:tc>
        <w:tc>
          <w:tcPr>
            <w:tcW w:w="236" w:type="dxa"/>
          </w:tcPr>
          <w:p>
            <w:pPr>
              <w:pStyle w:val="TableParagraph"/>
              <w:spacing w:before="0"/>
              <w:ind w:left="0"/>
              <w:rPr>
                <w:rFonts w:ascii="Times New Roman"/>
                <w:sz w:val="22"/>
              </w:rPr>
            </w:pPr>
          </w:p>
        </w:tc>
        <w:tc>
          <w:tcPr>
            <w:tcW w:w="804" w:type="dxa"/>
          </w:tcPr>
          <w:p>
            <w:pPr>
              <w:pStyle w:val="TableParagraph"/>
              <w:ind w:left="93" w:right="88"/>
              <w:jc w:val="center"/>
              <w:rPr>
                <w:sz w:val="22"/>
              </w:rPr>
            </w:pPr>
            <w:r>
              <w:rPr>
                <w:sz w:val="22"/>
              </w:rPr>
              <w:t>[Cyan]</w:t>
            </w:r>
          </w:p>
        </w:tc>
      </w:tr>
      <w:tr>
        <w:trPr>
          <w:trHeight w:val="354" w:hRule="atLeast"/>
        </w:trPr>
        <w:tc>
          <w:tcPr>
            <w:tcW w:w="915" w:type="dxa"/>
          </w:tcPr>
          <w:p>
            <w:pPr>
              <w:pStyle w:val="TableParagraph"/>
              <w:rPr>
                <w:sz w:val="22"/>
              </w:rPr>
            </w:pPr>
            <w:r>
              <w:rPr>
                <w:sz w:val="22"/>
              </w:rPr>
              <w:t>[Green]</w:t>
            </w:r>
          </w:p>
        </w:tc>
        <w:tc>
          <w:tcPr>
            <w:tcW w:w="238" w:type="dxa"/>
          </w:tcPr>
          <w:p>
            <w:pPr>
              <w:pStyle w:val="TableParagraph"/>
              <w:spacing w:before="0"/>
              <w:ind w:left="0"/>
              <w:rPr>
                <w:rFonts w:ascii="Times New Roman"/>
                <w:sz w:val="22"/>
              </w:rPr>
            </w:pPr>
          </w:p>
        </w:tc>
        <w:tc>
          <w:tcPr>
            <w:tcW w:w="236" w:type="dxa"/>
          </w:tcPr>
          <w:p>
            <w:pPr>
              <w:pStyle w:val="TableParagraph"/>
              <w:spacing w:before="0"/>
              <w:ind w:left="0"/>
              <w:rPr>
                <w:rFonts w:ascii="Times New Roman"/>
                <w:sz w:val="22"/>
              </w:rPr>
            </w:pPr>
          </w:p>
        </w:tc>
        <w:tc>
          <w:tcPr>
            <w:tcW w:w="1167" w:type="dxa"/>
          </w:tcPr>
          <w:p>
            <w:pPr>
              <w:pStyle w:val="TableParagraph"/>
              <w:ind w:left="113"/>
              <w:rPr>
                <w:sz w:val="22"/>
              </w:rPr>
            </w:pPr>
            <w:r>
              <w:rPr>
                <w:sz w:val="22"/>
              </w:rPr>
              <w:t>[Magenta]</w:t>
            </w:r>
          </w:p>
        </w:tc>
        <w:tc>
          <w:tcPr>
            <w:tcW w:w="238" w:type="dxa"/>
          </w:tcPr>
          <w:p>
            <w:pPr>
              <w:pStyle w:val="TableParagraph"/>
              <w:spacing w:before="0"/>
              <w:ind w:left="0"/>
              <w:rPr>
                <w:rFonts w:ascii="Times New Roman"/>
                <w:sz w:val="22"/>
              </w:rPr>
            </w:pPr>
          </w:p>
        </w:tc>
        <w:tc>
          <w:tcPr>
            <w:tcW w:w="236" w:type="dxa"/>
          </w:tcPr>
          <w:p>
            <w:pPr>
              <w:pStyle w:val="TableParagraph"/>
              <w:spacing w:before="0"/>
              <w:ind w:left="0"/>
              <w:rPr>
                <w:rFonts w:ascii="Times New Roman"/>
                <w:sz w:val="22"/>
              </w:rPr>
            </w:pPr>
          </w:p>
        </w:tc>
        <w:tc>
          <w:tcPr>
            <w:tcW w:w="804" w:type="dxa"/>
          </w:tcPr>
          <w:p>
            <w:pPr>
              <w:pStyle w:val="TableParagraph"/>
              <w:ind w:left="2" w:right="88"/>
              <w:jc w:val="center"/>
              <w:rPr>
                <w:sz w:val="22"/>
              </w:rPr>
            </w:pPr>
            <w:r>
              <w:rPr>
                <w:sz w:val="22"/>
              </w:rPr>
              <w:t>[Red]</w:t>
            </w:r>
          </w:p>
        </w:tc>
      </w:tr>
      <w:tr>
        <w:trPr>
          <w:trHeight w:val="354" w:hRule="atLeast"/>
        </w:trPr>
        <w:tc>
          <w:tcPr>
            <w:tcW w:w="915" w:type="dxa"/>
          </w:tcPr>
          <w:p>
            <w:pPr>
              <w:pStyle w:val="TableParagraph"/>
              <w:rPr>
                <w:sz w:val="22"/>
              </w:rPr>
            </w:pPr>
            <w:r>
              <w:rPr>
                <w:sz w:val="22"/>
              </w:rPr>
              <w:t>[White]</w:t>
            </w:r>
          </w:p>
        </w:tc>
        <w:tc>
          <w:tcPr>
            <w:tcW w:w="238" w:type="dxa"/>
          </w:tcPr>
          <w:p>
            <w:pPr>
              <w:pStyle w:val="TableParagraph"/>
              <w:spacing w:before="0"/>
              <w:ind w:left="0"/>
              <w:rPr>
                <w:rFonts w:ascii="Times New Roman"/>
                <w:sz w:val="22"/>
              </w:rPr>
            </w:pPr>
          </w:p>
        </w:tc>
        <w:tc>
          <w:tcPr>
            <w:tcW w:w="236" w:type="dxa"/>
          </w:tcPr>
          <w:p>
            <w:pPr>
              <w:pStyle w:val="TableParagraph"/>
              <w:spacing w:before="0"/>
              <w:ind w:left="0"/>
              <w:rPr>
                <w:rFonts w:ascii="Times New Roman"/>
                <w:sz w:val="22"/>
              </w:rPr>
            </w:pPr>
          </w:p>
        </w:tc>
        <w:tc>
          <w:tcPr>
            <w:tcW w:w="1167" w:type="dxa"/>
          </w:tcPr>
          <w:p>
            <w:pPr>
              <w:pStyle w:val="TableParagraph"/>
              <w:ind w:left="113"/>
              <w:rPr>
                <w:sz w:val="22"/>
              </w:rPr>
            </w:pPr>
            <w:r>
              <w:rPr>
                <w:sz w:val="22"/>
              </w:rPr>
              <w:t>[Yellow]</w:t>
            </w:r>
          </w:p>
        </w:tc>
        <w:tc>
          <w:tcPr>
            <w:tcW w:w="238" w:type="dxa"/>
          </w:tcPr>
          <w:p>
            <w:pPr>
              <w:pStyle w:val="TableParagraph"/>
              <w:spacing w:before="0"/>
              <w:ind w:left="0"/>
              <w:rPr>
                <w:rFonts w:ascii="Times New Roman"/>
                <w:sz w:val="22"/>
              </w:rPr>
            </w:pPr>
          </w:p>
        </w:tc>
        <w:tc>
          <w:tcPr>
            <w:tcW w:w="236" w:type="dxa"/>
          </w:tcPr>
          <w:p>
            <w:pPr>
              <w:pStyle w:val="TableParagraph"/>
              <w:spacing w:before="0"/>
              <w:ind w:left="0"/>
              <w:rPr>
                <w:rFonts w:ascii="Times New Roman"/>
                <w:sz w:val="22"/>
              </w:rPr>
            </w:pPr>
          </w:p>
        </w:tc>
        <w:tc>
          <w:tcPr>
            <w:tcW w:w="804" w:type="dxa"/>
          </w:tcPr>
          <w:p>
            <w:pPr>
              <w:pStyle w:val="TableParagraph"/>
              <w:spacing w:before="0"/>
              <w:ind w:left="0"/>
              <w:rPr>
                <w:rFonts w:ascii="Times New Roman"/>
                <w:sz w:val="22"/>
              </w:rPr>
            </w:pPr>
          </w:p>
        </w:tc>
      </w:tr>
    </w:tbl>
    <w:p>
      <w:pPr>
        <w:spacing w:after="0"/>
        <w:rPr>
          <w:rFonts w:ascii="Times New Roman"/>
          <w:sz w:val="22"/>
        </w:rPr>
        <w:sectPr>
          <w:pgSz w:w="12240" w:h="15840"/>
          <w:pgMar w:header="763" w:footer="746" w:top="1340" w:bottom="940" w:left="860" w:right="700"/>
        </w:sectPr>
      </w:pPr>
    </w:p>
    <w:p>
      <w:pPr>
        <w:pStyle w:val="BodyText"/>
        <w:rPr>
          <w:sz w:val="20"/>
        </w:rPr>
      </w:pPr>
    </w:p>
    <w:p>
      <w:pPr>
        <w:pStyle w:val="BodyText"/>
        <w:spacing w:before="6"/>
        <w:rPr>
          <w:sz w:val="24"/>
        </w:rPr>
      </w:pPr>
    </w:p>
    <w:p>
      <w:pPr>
        <w:pStyle w:val="BodyText"/>
        <w:spacing w:line="278" w:lineRule="auto" w:before="56"/>
        <w:ind w:left="220" w:right="613"/>
      </w:pPr>
      <w:r>
        <w:rPr/>
        <w:t>Instead of using the name of the color, the color index can be used, like this [Color3] for Red. Numeric indexes for color are restircted to the range from 1 to 56, which reference by index to the legacy color palette.</w:t>
      </w:r>
    </w:p>
    <w:p>
      <w:pPr>
        <w:pStyle w:val="BodyText"/>
        <w:spacing w:line="276" w:lineRule="auto" w:before="196"/>
        <w:ind w:left="220" w:right="503"/>
      </w:pPr>
      <w:r>
        <w:rPr/>
        <w:t>[</w:t>
      </w:r>
      <w:r>
        <w:rPr>
          <w:i/>
        </w:rPr>
        <w:t>Note</w:t>
      </w:r>
      <w:r>
        <w:rPr/>
        <w:t>: the default legacy color palette values are listed in </w:t>
      </w:r>
      <w:hyperlink w:history="true" w:anchor="_bookmark210">
        <w:r>
          <w:rPr/>
          <w:t>§18.8.27</w:t>
        </w:r>
      </w:hyperlink>
      <w:r>
        <w:rPr/>
        <w:t>. In the format codes, [Color1] refers to the color associated with indexed="8", or black (by default), [Color2] refers to the color associated with indexed="9", or white (by default), and so on up to [Color56] referring to the color associated with indexed="63". If the color palette has been customized from default values, then the colors associated with these indexes will reflect those customizations.</w:t>
      </w:r>
    </w:p>
    <w:p>
      <w:pPr>
        <w:pStyle w:val="BodyText"/>
        <w:spacing w:before="5"/>
        <w:rPr>
          <w:sz w:val="16"/>
        </w:rPr>
      </w:pPr>
    </w:p>
    <w:p>
      <w:pPr>
        <w:spacing w:before="0"/>
        <w:ind w:left="220" w:right="0" w:firstLine="0"/>
        <w:jc w:val="left"/>
        <w:rPr>
          <w:i/>
          <w:sz w:val="22"/>
        </w:rPr>
      </w:pPr>
      <w:r>
        <w:rPr>
          <w:i/>
          <w:sz w:val="22"/>
        </w:rPr>
        <w:t>Specify conditions</w:t>
      </w:r>
    </w:p>
    <w:p>
      <w:pPr>
        <w:pStyle w:val="BodyText"/>
        <w:spacing w:before="6"/>
        <w:rPr>
          <w:i/>
          <w:sz w:val="19"/>
        </w:rPr>
      </w:pPr>
    </w:p>
    <w:p>
      <w:pPr>
        <w:pStyle w:val="BodyText"/>
        <w:spacing w:line="276" w:lineRule="auto"/>
        <w:ind w:left="220" w:right="461"/>
      </w:pPr>
      <w:r>
        <w:rPr/>
        <w:t>To set number formats that are applied only if a number meets a specified condition, enclose the condition in square brackets. The condition consists of a comparison operator and a value. Comparison operators include: = Equal to; &gt; Greater than; &lt; Less than; &gt;= Greater than or equal to, &lt;= Less than or equal to, and &lt;&gt; Not equal to. [</w:t>
      </w:r>
      <w:r>
        <w:rPr>
          <w:i/>
        </w:rPr>
        <w:t>Example</w:t>
      </w:r>
      <w:r>
        <w:rPr/>
        <w:t>: The following format displays numbers that are less than or equal to 100 in a red font and numbers that are greater than 100 in a blue font.</w:t>
      </w:r>
    </w:p>
    <w:p>
      <w:pPr>
        <w:pStyle w:val="BodyText"/>
        <w:spacing w:before="8"/>
        <w:rPr>
          <w:sz w:val="16"/>
        </w:rPr>
      </w:pPr>
    </w:p>
    <w:p>
      <w:pPr>
        <w:pStyle w:val="BodyText"/>
        <w:ind w:left="508"/>
        <w:rPr>
          <w:rFonts w:ascii="Consolas"/>
        </w:rPr>
      </w:pPr>
      <w:r>
        <w:rPr>
          <w:rFonts w:ascii="Consolas"/>
        </w:rPr>
        <w:t>[Red][&lt;=100];[Blue][&gt;100]</w:t>
      </w:r>
    </w:p>
    <w:p>
      <w:pPr>
        <w:pStyle w:val="BodyText"/>
        <w:spacing w:before="5"/>
        <w:rPr>
          <w:rFonts w:ascii="Consolas"/>
          <w:sz w:val="20"/>
        </w:rPr>
      </w:pPr>
    </w:p>
    <w:p>
      <w:pPr>
        <w:spacing w:before="0"/>
        <w:ind w:left="27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646"/>
      </w:pPr>
      <w:r>
        <w:rPr/>
        <w:t>If the cell value does not meet any of the criteria, then pound signs ("#") are displayed across the width of the cell.</w:t>
      </w:r>
    </w:p>
    <w:p>
      <w:pPr>
        <w:pStyle w:val="BodyText"/>
        <w:spacing w:before="3"/>
        <w:rPr>
          <w:sz w:val="16"/>
        </w:rPr>
      </w:pPr>
    </w:p>
    <w:p>
      <w:pPr>
        <w:pStyle w:val="Heading4"/>
      </w:pPr>
      <w:r>
        <w:rPr/>
        <w:t>Currency, percentages, and scientific notation</w:t>
      </w:r>
    </w:p>
    <w:p>
      <w:pPr>
        <w:pStyle w:val="BodyText"/>
        <w:spacing w:before="8"/>
        <w:rPr>
          <w:b/>
          <w:sz w:val="19"/>
        </w:rPr>
      </w:pPr>
    </w:p>
    <w:p>
      <w:pPr>
        <w:spacing w:before="0"/>
        <w:ind w:left="220" w:right="0" w:firstLine="0"/>
        <w:jc w:val="left"/>
        <w:rPr>
          <w:i/>
          <w:sz w:val="22"/>
        </w:rPr>
      </w:pPr>
      <w:r>
        <w:rPr>
          <w:i/>
          <w:sz w:val="22"/>
        </w:rPr>
        <w:t>Include currency symbols</w:t>
      </w:r>
    </w:p>
    <w:p>
      <w:pPr>
        <w:pStyle w:val="BodyText"/>
        <w:spacing w:before="8"/>
        <w:rPr>
          <w:i/>
          <w:sz w:val="19"/>
        </w:rPr>
      </w:pPr>
    </w:p>
    <w:p>
      <w:pPr>
        <w:pStyle w:val="BodyText"/>
        <w:spacing w:before="1"/>
        <w:ind w:left="220"/>
      </w:pPr>
      <w:r>
        <w:rPr/>
        <w:t>To include currency symbols, place the currency symbol in the location it should when displayed.</w:t>
      </w:r>
    </w:p>
    <w:p>
      <w:pPr>
        <w:pStyle w:val="BodyText"/>
        <w:spacing w:before="8"/>
        <w:rPr>
          <w:sz w:val="19"/>
        </w:rPr>
      </w:pPr>
    </w:p>
    <w:p>
      <w:pPr>
        <w:spacing w:before="0"/>
        <w:ind w:left="220" w:right="0" w:firstLine="0"/>
        <w:jc w:val="left"/>
        <w:rPr>
          <w:i/>
          <w:sz w:val="22"/>
        </w:rPr>
      </w:pPr>
      <w:r>
        <w:rPr>
          <w:i/>
          <w:sz w:val="22"/>
        </w:rPr>
        <w:t>Display percentages</w:t>
      </w:r>
    </w:p>
    <w:p>
      <w:pPr>
        <w:pStyle w:val="BodyText"/>
        <w:spacing w:before="6"/>
        <w:rPr>
          <w:i/>
          <w:sz w:val="19"/>
        </w:rPr>
      </w:pPr>
    </w:p>
    <w:p>
      <w:pPr>
        <w:pStyle w:val="BodyText"/>
        <w:ind w:left="220"/>
      </w:pPr>
      <w:r>
        <w:rPr/>
        <w:t>To display numbers as a percentage of 100 — [</w:t>
      </w:r>
      <w:r>
        <w:rPr>
          <w:i/>
        </w:rPr>
        <w:t>Example</w:t>
      </w:r>
      <w:r>
        <w:rPr/>
        <w:t>: To display .08 as 8% or 2.8 as 280% </w:t>
      </w:r>
      <w:r>
        <w:rPr>
          <w:i/>
        </w:rPr>
        <w:t>end example</w:t>
      </w:r>
      <w:r>
        <w:rPr/>
        <w:t>]—</w:t>
      </w:r>
    </w:p>
    <w:p>
      <w:pPr>
        <w:pStyle w:val="BodyText"/>
        <w:spacing w:before="41"/>
        <w:ind w:left="220"/>
      </w:pPr>
      <w:r>
        <w:rPr/>
        <w:t>include the percent sign (%) in the number format.</w:t>
      </w:r>
    </w:p>
    <w:p>
      <w:pPr>
        <w:pStyle w:val="BodyText"/>
        <w:spacing w:before="8"/>
        <w:rPr>
          <w:sz w:val="19"/>
        </w:rPr>
      </w:pPr>
    </w:p>
    <w:p>
      <w:pPr>
        <w:spacing w:before="0"/>
        <w:ind w:left="220" w:right="0" w:firstLine="0"/>
        <w:jc w:val="left"/>
        <w:rPr>
          <w:i/>
          <w:sz w:val="22"/>
        </w:rPr>
      </w:pPr>
      <w:r>
        <w:rPr>
          <w:i/>
          <w:sz w:val="22"/>
        </w:rPr>
        <w:t>Display scientific notations</w:t>
      </w:r>
    </w:p>
    <w:p>
      <w:pPr>
        <w:pStyle w:val="BodyText"/>
        <w:spacing w:before="6"/>
        <w:rPr>
          <w:i/>
          <w:sz w:val="19"/>
        </w:rPr>
      </w:pPr>
    </w:p>
    <w:p>
      <w:pPr>
        <w:pStyle w:val="BodyText"/>
        <w:spacing w:line="278" w:lineRule="auto"/>
        <w:ind w:left="220" w:right="503"/>
      </w:pPr>
      <w:r>
        <w:rPr/>
        <w:t>To display numbers in scientific format, use exponent codes in a section — [</w:t>
      </w:r>
      <w:r>
        <w:rPr>
          <w:i/>
        </w:rPr>
        <w:t>Example</w:t>
      </w:r>
      <w:r>
        <w:rPr/>
        <w:t>: E-, E+, e-, or e+. </w:t>
      </w:r>
      <w:r>
        <w:rPr>
          <w:i/>
        </w:rPr>
        <w:t>end </w:t>
      </w:r>
      <w:r>
        <w:rPr>
          <w:i/>
        </w:rPr>
        <w:t>example</w:t>
      </w:r>
      <w:r>
        <w:rPr/>
        <w:t>]</w:t>
      </w:r>
    </w:p>
    <w:p>
      <w:pPr>
        <w:pStyle w:val="BodyText"/>
        <w:spacing w:line="276" w:lineRule="auto" w:before="196"/>
        <w:ind w:left="220" w:right="409"/>
      </w:pPr>
      <w:r>
        <w:rPr/>
        <w:t>If a format contains a zero (0) or number sign (#) to the right of an exponent code, the application displays the number in scientific format and inserts an "E" or "e". The number of zeros or number signs to the right of a code determines the number of digits in the exponent. "E-" or "e-" places a minus sign by negative exponents. "E+" or "e+" places a minus sign by negative exponents and a plus sign by positive exponents.</w:t>
      </w:r>
    </w:p>
    <w:p>
      <w:pPr>
        <w:spacing w:after="0" w:line="276" w:lineRule="auto"/>
        <w:sectPr>
          <w:pgSz w:w="12240" w:h="15840"/>
          <w:pgMar w:header="761" w:footer="746" w:top="1340" w:bottom="940" w:left="860" w:right="700"/>
        </w:sectPr>
      </w:pPr>
    </w:p>
    <w:p>
      <w:pPr>
        <w:pStyle w:val="Heading4"/>
        <w:spacing w:before="150"/>
      </w:pPr>
      <w:r>
        <w:rPr/>
        <w:t>Dates and times</w:t>
      </w:r>
    </w:p>
    <w:p>
      <w:pPr>
        <w:pStyle w:val="BodyText"/>
        <w:spacing w:before="9"/>
        <w:rPr>
          <w:b/>
          <w:sz w:val="19"/>
        </w:rPr>
      </w:pPr>
    </w:p>
    <w:p>
      <w:pPr>
        <w:spacing w:before="0"/>
        <w:ind w:left="220" w:right="0" w:firstLine="0"/>
        <w:jc w:val="left"/>
        <w:rPr>
          <w:i/>
          <w:sz w:val="22"/>
        </w:rPr>
      </w:pPr>
      <w:r>
        <w:rPr>
          <w:i/>
          <w:sz w:val="22"/>
        </w:rPr>
        <w:t>Display days, months, and years</w:t>
      </w:r>
    </w:p>
    <w:p>
      <w:pPr>
        <w:pStyle w:val="BodyText"/>
        <w:rPr>
          <w:i/>
          <w:sz w:val="19"/>
        </w:rPr>
      </w:pPr>
      <w:r>
        <w:rPr/>
        <w:pict>
          <v:group style="position:absolute;margin-left:78.024002pt;margin-top:13.617148pt;width:258.9pt;height:26.9pt;mso-position-horizontal-relative:page;mso-position-vertical-relative:paragraph;z-index:-251629568;mso-wrap-distance-left:0;mso-wrap-distance-right:0" coordorigin="1560,272" coordsize="5178,538">
            <v:rect style="position:absolute;left:2518;top:272;width:2962;height:15" filled="true" fillcolor="#cccccc" stroked="false">
              <v:fill type="solid"/>
            </v:rect>
            <v:rect style="position:absolute;left:2518;top:795;width:2962;height:15" filled="true" fillcolor="#cccccc" stroked="false">
              <v:fill type="solid"/>
            </v:rect>
            <v:rect style="position:absolute;left:2532;top:286;width:2934;height:509" filled="true" fillcolor="#cccccc" stroked="false">
              <v:fill type="solid"/>
            </v:rect>
            <v:line style="position:absolute" from="1560,800" to="2487,800" stroked="true" strokeweight=".72pt" strokecolor="#cccccc">
              <v:stroke dashstyle="solid"/>
            </v:line>
            <v:line style="position:absolute" from="1560,280" to="2487,280" stroked="true" strokeweight=".71999pt" strokecolor="#cccccc">
              <v:stroke dashstyle="solid"/>
            </v:line>
            <v:line style="position:absolute" from="2518,800" to="5480,800" stroked="true" strokeweight=".72pt" strokecolor="#cccccc">
              <v:stroke dashstyle="solid"/>
            </v:line>
            <v:line style="position:absolute" from="2518,280" to="5480,280" stroked="true" strokeweight=".71999pt" strokecolor="#cccccc">
              <v:stroke dashstyle="solid"/>
            </v:line>
            <v:line style="position:absolute" from="5511,800" to="6738,800" stroked="true" strokeweight=".72pt" strokecolor="#cccccc">
              <v:stroke dashstyle="solid"/>
            </v:line>
            <v:line style="position:absolute" from="5511,280" to="6738,280" stroked="true" strokeweight=".71999pt" strokecolor="#cccccc">
              <v:stroke dashstyle="solid"/>
            </v:line>
            <v:shape style="position:absolute;left:5511;top:286;width:1227;height:516" type="#_x0000_t202" filled="true" fillcolor="#cccccc" stroked="false">
              <v:textbox inset="0,0,0,0">
                <w:txbxContent>
                  <w:p>
                    <w:pPr>
                      <w:spacing w:line="268" w:lineRule="exact" w:before="0"/>
                      <w:ind w:left="14" w:right="0" w:firstLine="0"/>
                      <w:jc w:val="left"/>
                      <w:rPr>
                        <w:sz w:val="22"/>
                      </w:rPr>
                    </w:pPr>
                    <w:r>
                      <w:rPr>
                        <w:sz w:val="22"/>
                      </w:rPr>
                      <w:t>Use this code</w:t>
                    </w:r>
                  </w:p>
                </w:txbxContent>
              </v:textbox>
              <v:fill type="solid"/>
              <w10:wrap type="none"/>
            </v:shape>
            <v:shape style="position:absolute;left:2532;top:329;width:233;height:221" type="#_x0000_t202" filled="false" stroked="false">
              <v:textbox inset="0,0,0,0">
                <w:txbxContent>
                  <w:p>
                    <w:pPr>
                      <w:spacing w:line="221" w:lineRule="exact" w:before="0"/>
                      <w:ind w:left="0" w:right="0" w:firstLine="0"/>
                      <w:jc w:val="left"/>
                      <w:rPr>
                        <w:sz w:val="22"/>
                      </w:rPr>
                    </w:pPr>
                    <w:r>
                      <w:rPr>
                        <w:sz w:val="22"/>
                      </w:rPr>
                      <w:t>As</w:t>
                    </w:r>
                  </w:p>
                </w:txbxContent>
              </v:textbox>
              <w10:wrap type="none"/>
            </v:shape>
            <v:shape style="position:absolute;left:1560;top:286;width:927;height:516" type="#_x0000_t202" filled="true" fillcolor="#cccccc" stroked="false">
              <v:textbox inset="0,0,0,0">
                <w:txbxContent>
                  <w:p>
                    <w:pPr>
                      <w:spacing w:line="268" w:lineRule="exact" w:before="0"/>
                      <w:ind w:left="14" w:right="0" w:firstLine="0"/>
                      <w:jc w:val="left"/>
                      <w:rPr>
                        <w:sz w:val="22"/>
                      </w:rPr>
                    </w:pPr>
                    <w:r>
                      <w:rPr>
                        <w:sz w:val="22"/>
                      </w:rPr>
                      <w:t>To display</w:t>
                    </w:r>
                  </w:p>
                </w:txbxContent>
              </v:textbox>
              <v:fill type="solid"/>
              <w10:wrap type="none"/>
            </v:shape>
            <w10:wrap type="topAndBottom"/>
          </v:group>
        </w:pict>
      </w:r>
    </w:p>
    <w:p>
      <w:pPr>
        <w:pStyle w:val="BodyText"/>
        <w:tabs>
          <w:tab w:pos="1672" w:val="left" w:leader="none"/>
          <w:tab w:pos="4665" w:val="left" w:leader="none"/>
        </w:tabs>
        <w:spacing w:before="16"/>
        <w:ind w:left="714"/>
      </w:pPr>
      <w:r>
        <w:rPr/>
        <w:t>Months</w:t>
        <w:tab/>
        <w:t>1–12</w:t>
        <w:tab/>
        <w:t>m</w:t>
      </w:r>
    </w:p>
    <w:p>
      <w:pPr>
        <w:pStyle w:val="BodyText"/>
        <w:spacing w:before="5"/>
        <w:rPr>
          <w:sz w:val="17"/>
        </w:rPr>
      </w:pPr>
      <w:r>
        <w:rPr/>
        <w:pict>
          <v:group style="position:absolute;margin-left:76.584pt;margin-top:12.642265pt;width:261.9pt;height:.75pt;mso-position-horizontal-relative:page;mso-position-vertical-relative:paragraph;z-index:-251628544;mso-wrap-distance-left:0;mso-wrap-distance-right:0" coordorigin="1532,253" coordsize="5238,15">
            <v:line style="position:absolute" from="1532,260" to="2504,260" stroked="true" strokeweight=".72pt" strokecolor="#cccccc">
              <v:stroke dashstyle="solid"/>
            </v:line>
            <v:line style="position:absolute" from="2504,260" to="5497,260" stroked="true" strokeweight=".72pt" strokecolor="#cccccc">
              <v:stroke dashstyle="solid"/>
            </v:line>
            <v:line style="position:absolute" from="5497,260" to="6769,260" stroked="true" strokeweight=".72pt" strokecolor="#cccccc">
              <v:stroke dashstyle="solid"/>
            </v:line>
            <w10:wrap type="topAndBottom"/>
          </v:group>
        </w:pict>
      </w:r>
    </w:p>
    <w:p>
      <w:pPr>
        <w:pStyle w:val="BodyText"/>
        <w:tabs>
          <w:tab w:pos="1672" w:val="left" w:leader="none"/>
          <w:tab w:pos="4665" w:val="left" w:leader="none"/>
        </w:tabs>
        <w:spacing w:before="17"/>
        <w:ind w:left="714"/>
      </w:pPr>
      <w:r>
        <w:rPr/>
        <w:t>Months</w:t>
        <w:tab/>
        <w:t>01–12</w:t>
        <w:tab/>
        <w:t>mm</w:t>
      </w:r>
    </w:p>
    <w:p>
      <w:pPr>
        <w:pStyle w:val="BodyText"/>
        <w:spacing w:before="8"/>
        <w:rPr>
          <w:sz w:val="17"/>
        </w:rPr>
      </w:pPr>
      <w:r>
        <w:rPr/>
        <w:pict>
          <v:group style="position:absolute;margin-left:76.584pt;margin-top:12.792266pt;width:261.9pt;height:.75pt;mso-position-horizontal-relative:page;mso-position-vertical-relative:paragraph;z-index:-251627520;mso-wrap-distance-left:0;mso-wrap-distance-right:0" coordorigin="1532,256" coordsize="5238,15">
            <v:line style="position:absolute" from="1532,263" to="2504,263" stroked="true" strokeweight=".72pt" strokecolor="#cccccc">
              <v:stroke dashstyle="solid"/>
            </v:line>
            <v:line style="position:absolute" from="2504,263" to="5497,263" stroked="true" strokeweight=".72pt" strokecolor="#cccccc">
              <v:stroke dashstyle="solid"/>
            </v:line>
            <v:line style="position:absolute" from="5497,263" to="6769,263" stroked="true" strokeweight=".72pt" strokecolor="#cccccc">
              <v:stroke dashstyle="solid"/>
            </v:line>
            <w10:wrap type="topAndBottom"/>
          </v:group>
        </w:pict>
      </w:r>
    </w:p>
    <w:p>
      <w:pPr>
        <w:pStyle w:val="BodyText"/>
        <w:tabs>
          <w:tab w:pos="1672" w:val="left" w:leader="none"/>
          <w:tab w:pos="4665" w:val="left" w:leader="none"/>
        </w:tabs>
        <w:spacing w:before="15"/>
        <w:ind w:left="714"/>
      </w:pPr>
      <w:r>
        <w:rPr/>
        <w:t>Months</w:t>
        <w:tab/>
        <w:t>Jan–Dec</w:t>
        <w:tab/>
        <w:t>mmm</w:t>
      </w:r>
    </w:p>
    <w:p>
      <w:pPr>
        <w:pStyle w:val="BodyText"/>
        <w:spacing w:before="8"/>
        <w:rPr>
          <w:sz w:val="17"/>
        </w:rPr>
      </w:pPr>
      <w:r>
        <w:rPr/>
        <w:pict>
          <v:group style="position:absolute;margin-left:76.584pt;margin-top:12.772276pt;width:261.9pt;height:.75pt;mso-position-horizontal-relative:page;mso-position-vertical-relative:paragraph;z-index:-251626496;mso-wrap-distance-left:0;mso-wrap-distance-right:0" coordorigin="1532,255" coordsize="5238,15">
            <v:line style="position:absolute" from="1532,263" to="2504,263" stroked="true" strokeweight=".71999pt" strokecolor="#cccccc">
              <v:stroke dashstyle="solid"/>
            </v:line>
            <v:line style="position:absolute" from="2504,263" to="5497,263" stroked="true" strokeweight=".71999pt" strokecolor="#cccccc">
              <v:stroke dashstyle="solid"/>
            </v:line>
            <v:line style="position:absolute" from="5497,263" to="6769,263" stroked="true" strokeweight=".71999pt" strokecolor="#cccccc">
              <v:stroke dashstyle="solid"/>
            </v:line>
            <w10:wrap type="topAndBottom"/>
          </v:group>
        </w:pict>
      </w:r>
    </w:p>
    <w:p>
      <w:pPr>
        <w:pStyle w:val="BodyText"/>
        <w:tabs>
          <w:tab w:pos="1672" w:val="left" w:leader="none"/>
          <w:tab w:pos="4665" w:val="left" w:leader="none"/>
        </w:tabs>
        <w:spacing w:before="17"/>
        <w:ind w:left="714"/>
      </w:pPr>
      <w:r>
        <w:rPr/>
        <w:t>Months</w:t>
        <w:tab/>
        <w:t>January–December</w:t>
        <w:tab/>
        <w:t>mmmm</w:t>
      </w:r>
    </w:p>
    <w:p>
      <w:pPr>
        <w:pStyle w:val="BodyText"/>
        <w:spacing w:before="6"/>
        <w:rPr>
          <w:sz w:val="17"/>
        </w:rPr>
      </w:pPr>
      <w:r>
        <w:rPr/>
        <w:pict>
          <v:group style="position:absolute;margin-left:76.584pt;margin-top:12.702261pt;width:261.9pt;height:.75pt;mso-position-horizontal-relative:page;mso-position-vertical-relative:paragraph;z-index:-251625472;mso-wrap-distance-left:0;mso-wrap-distance-right:0" coordorigin="1532,254" coordsize="5238,15">
            <v:line style="position:absolute" from="1532,261" to="2504,261" stroked="true" strokeweight=".72pt" strokecolor="#cccccc">
              <v:stroke dashstyle="solid"/>
            </v:line>
            <v:line style="position:absolute" from="2504,261" to="5497,261" stroked="true" strokeweight=".72pt" strokecolor="#cccccc">
              <v:stroke dashstyle="solid"/>
            </v:line>
            <v:line style="position:absolute" from="5497,261" to="6769,261" stroked="true" strokeweight=".72pt" strokecolor="#cccccc">
              <v:stroke dashstyle="solid"/>
            </v:line>
            <w10:wrap type="topAndBottom"/>
          </v:group>
        </w:pict>
      </w:r>
    </w:p>
    <w:p>
      <w:pPr>
        <w:pStyle w:val="BodyText"/>
        <w:tabs>
          <w:tab w:pos="1672" w:val="left" w:leader="none"/>
          <w:tab w:pos="4665" w:val="left" w:leader="none"/>
        </w:tabs>
        <w:spacing w:before="17"/>
        <w:ind w:left="714"/>
      </w:pPr>
      <w:r>
        <w:rPr/>
        <w:t>Months</w:t>
        <w:tab/>
        <w:t>J–D</w:t>
        <w:tab/>
        <w:t>mmmmm</w:t>
      </w:r>
    </w:p>
    <w:p>
      <w:pPr>
        <w:pStyle w:val="BodyText"/>
        <w:spacing w:before="8"/>
        <w:rPr>
          <w:sz w:val="17"/>
        </w:rPr>
      </w:pPr>
      <w:r>
        <w:rPr/>
        <w:pict>
          <v:group style="position:absolute;margin-left:76.584pt;margin-top:12.792266pt;width:261.9pt;height:.75pt;mso-position-horizontal-relative:page;mso-position-vertical-relative:paragraph;z-index:-251624448;mso-wrap-distance-left:0;mso-wrap-distance-right:0" coordorigin="1532,256" coordsize="5238,15">
            <v:line style="position:absolute" from="1532,263" to="2504,263" stroked="true" strokeweight=".72pt" strokecolor="#cccccc">
              <v:stroke dashstyle="solid"/>
            </v:line>
            <v:line style="position:absolute" from="2504,263" to="5497,263" stroked="true" strokeweight=".72pt" strokecolor="#cccccc">
              <v:stroke dashstyle="solid"/>
            </v:line>
            <v:line style="position:absolute" from="5497,263" to="6769,263" stroked="true" strokeweight=".72pt" strokecolor="#cccccc">
              <v:stroke dashstyle="solid"/>
            </v:line>
            <w10:wrap type="topAndBottom"/>
          </v:group>
        </w:pict>
      </w:r>
    </w:p>
    <w:p>
      <w:pPr>
        <w:pStyle w:val="BodyText"/>
        <w:tabs>
          <w:tab w:pos="1672" w:val="left" w:leader="none"/>
          <w:tab w:pos="4665" w:val="left" w:leader="none"/>
        </w:tabs>
        <w:spacing w:before="15"/>
        <w:ind w:left="714"/>
      </w:pPr>
      <w:r>
        <w:rPr/>
        <w:t>Days</w:t>
        <w:tab/>
        <w:t>1–31</w:t>
        <w:tab/>
        <w:t>d</w:t>
      </w:r>
    </w:p>
    <w:p>
      <w:pPr>
        <w:pStyle w:val="BodyText"/>
        <w:spacing w:before="8"/>
        <w:rPr>
          <w:sz w:val="17"/>
        </w:rPr>
      </w:pPr>
      <w:r>
        <w:rPr/>
        <w:pict>
          <v:group style="position:absolute;margin-left:76.584pt;margin-top:12.772265pt;width:261.9pt;height:.75pt;mso-position-horizontal-relative:page;mso-position-vertical-relative:paragraph;z-index:-251623424;mso-wrap-distance-left:0;mso-wrap-distance-right:0" coordorigin="1532,255" coordsize="5238,15">
            <v:line style="position:absolute" from="1532,263" to="2504,263" stroked="true" strokeweight=".72pt" strokecolor="#cccccc">
              <v:stroke dashstyle="solid"/>
            </v:line>
            <v:line style="position:absolute" from="2504,263" to="5497,263" stroked="true" strokeweight=".72pt" strokecolor="#cccccc">
              <v:stroke dashstyle="solid"/>
            </v:line>
            <v:line style="position:absolute" from="5497,263" to="6769,263" stroked="true" strokeweight=".72pt" strokecolor="#cccccc">
              <v:stroke dashstyle="solid"/>
            </v:line>
            <w10:wrap type="topAndBottom"/>
          </v:group>
        </w:pict>
      </w:r>
    </w:p>
    <w:p>
      <w:pPr>
        <w:pStyle w:val="BodyText"/>
        <w:tabs>
          <w:tab w:pos="1672" w:val="left" w:leader="none"/>
          <w:tab w:pos="4665" w:val="left" w:leader="none"/>
        </w:tabs>
        <w:spacing w:before="15"/>
        <w:ind w:left="714"/>
      </w:pPr>
      <w:r>
        <w:rPr/>
        <w:t>Days</w:t>
        <w:tab/>
        <w:t>01–31</w:t>
        <w:tab/>
        <w:t>dd</w:t>
      </w:r>
    </w:p>
    <w:p>
      <w:pPr>
        <w:pStyle w:val="BodyText"/>
        <w:spacing w:before="8"/>
        <w:rPr>
          <w:sz w:val="17"/>
        </w:rPr>
      </w:pPr>
      <w:r>
        <w:rPr/>
        <w:pict>
          <v:group style="position:absolute;margin-left:76.584pt;margin-top:12.772265pt;width:261.9pt;height:.75pt;mso-position-horizontal-relative:page;mso-position-vertical-relative:paragraph;z-index:-251622400;mso-wrap-distance-left:0;mso-wrap-distance-right:0" coordorigin="1532,255" coordsize="5238,15">
            <v:line style="position:absolute" from="1532,263" to="2504,263" stroked="true" strokeweight=".72pt" strokecolor="#cccccc">
              <v:stroke dashstyle="solid"/>
            </v:line>
            <v:line style="position:absolute" from="2504,263" to="5497,263" stroked="true" strokeweight=".72pt" strokecolor="#cccccc">
              <v:stroke dashstyle="solid"/>
            </v:line>
            <v:line style="position:absolute" from="5497,263" to="6769,263" stroked="true" strokeweight=".72pt" strokecolor="#cccccc">
              <v:stroke dashstyle="solid"/>
            </v:line>
            <w10:wrap type="topAndBottom"/>
          </v:group>
        </w:pict>
      </w:r>
    </w:p>
    <w:p>
      <w:pPr>
        <w:pStyle w:val="BodyText"/>
        <w:tabs>
          <w:tab w:pos="1672" w:val="left" w:leader="none"/>
          <w:tab w:pos="4665" w:val="left" w:leader="none"/>
        </w:tabs>
        <w:spacing w:before="17"/>
        <w:ind w:left="714"/>
      </w:pPr>
      <w:r>
        <w:rPr/>
        <w:t>Days</w:t>
        <w:tab/>
        <w:t>Sun–Sat</w:t>
        <w:tab/>
        <w:t>ddd</w:t>
      </w:r>
    </w:p>
    <w:p>
      <w:pPr>
        <w:pStyle w:val="BodyText"/>
        <w:spacing w:before="6"/>
        <w:rPr>
          <w:sz w:val="17"/>
        </w:rPr>
      </w:pPr>
      <w:r>
        <w:rPr/>
        <w:pict>
          <v:group style="position:absolute;margin-left:76.584pt;margin-top:12.672266pt;width:261.9pt;height:.75pt;mso-position-horizontal-relative:page;mso-position-vertical-relative:paragraph;z-index:-251621376;mso-wrap-distance-left:0;mso-wrap-distance-right:0" coordorigin="1532,253" coordsize="5238,15">
            <v:line style="position:absolute" from="1532,261" to="2504,261" stroked="true" strokeweight=".72pt" strokecolor="#cccccc">
              <v:stroke dashstyle="solid"/>
            </v:line>
            <v:line style="position:absolute" from="2504,261" to="5497,261" stroked="true" strokeweight=".72pt" strokecolor="#cccccc">
              <v:stroke dashstyle="solid"/>
            </v:line>
            <v:line style="position:absolute" from="5497,261" to="6769,261" stroked="true" strokeweight=".72pt" strokecolor="#cccccc">
              <v:stroke dashstyle="solid"/>
            </v:line>
            <w10:wrap type="topAndBottom"/>
          </v:group>
        </w:pict>
      </w:r>
    </w:p>
    <w:p>
      <w:pPr>
        <w:pStyle w:val="BodyText"/>
        <w:tabs>
          <w:tab w:pos="1672" w:val="left" w:leader="none"/>
          <w:tab w:pos="4665" w:val="left" w:leader="none"/>
        </w:tabs>
        <w:spacing w:before="17"/>
        <w:ind w:left="714"/>
      </w:pPr>
      <w:r>
        <w:rPr/>
        <w:t>Days</w:t>
        <w:tab/>
        <w:t>Sunday–Saturday</w:t>
        <w:tab/>
        <w:t>dddd</w:t>
      </w:r>
    </w:p>
    <w:p>
      <w:pPr>
        <w:pStyle w:val="BodyText"/>
        <w:spacing w:before="8"/>
        <w:rPr>
          <w:sz w:val="17"/>
        </w:rPr>
      </w:pPr>
      <w:r>
        <w:rPr/>
        <w:pict>
          <v:group style="position:absolute;margin-left:76.584pt;margin-top:12.792266pt;width:261.9pt;height:.75pt;mso-position-horizontal-relative:page;mso-position-vertical-relative:paragraph;z-index:-251620352;mso-wrap-distance-left:0;mso-wrap-distance-right:0" coordorigin="1532,256" coordsize="5238,15">
            <v:line style="position:absolute" from="1532,263" to="2504,263" stroked="true" strokeweight=".72pt" strokecolor="#cccccc">
              <v:stroke dashstyle="solid"/>
            </v:line>
            <v:line style="position:absolute" from="2504,263" to="5497,263" stroked="true" strokeweight=".72pt" strokecolor="#cccccc">
              <v:stroke dashstyle="solid"/>
            </v:line>
            <v:line style="position:absolute" from="5497,263" to="6769,263" stroked="true" strokeweight=".72pt" strokecolor="#cccccc">
              <v:stroke dashstyle="solid"/>
            </v:line>
            <w10:wrap type="topAndBottom"/>
          </v:group>
        </w:pict>
      </w:r>
    </w:p>
    <w:p>
      <w:pPr>
        <w:pStyle w:val="BodyText"/>
        <w:tabs>
          <w:tab w:pos="1672" w:val="left" w:leader="none"/>
          <w:tab w:pos="4665" w:val="left" w:leader="none"/>
        </w:tabs>
        <w:spacing w:before="15"/>
        <w:ind w:left="714"/>
      </w:pPr>
      <w:r>
        <w:rPr/>
        <w:t>Years</w:t>
        <w:tab/>
        <w:t>00–99</w:t>
        <w:tab/>
        <w:t>yy</w:t>
      </w:r>
    </w:p>
    <w:p>
      <w:pPr>
        <w:pStyle w:val="BodyText"/>
        <w:spacing w:before="8"/>
        <w:rPr>
          <w:sz w:val="17"/>
        </w:rPr>
      </w:pPr>
      <w:r>
        <w:rPr/>
        <w:pict>
          <v:group style="position:absolute;margin-left:76.584pt;margin-top:12.792266pt;width:261.9pt;height:.75pt;mso-position-horizontal-relative:page;mso-position-vertical-relative:paragraph;z-index:-251619328;mso-wrap-distance-left:0;mso-wrap-distance-right:0" coordorigin="1532,256" coordsize="5238,15">
            <v:line style="position:absolute" from="1532,263" to="2504,263" stroked="true" strokeweight=".72pt" strokecolor="#cccccc">
              <v:stroke dashstyle="solid"/>
            </v:line>
            <v:line style="position:absolute" from="2504,263" to="5497,263" stroked="true" strokeweight=".72pt" strokecolor="#cccccc">
              <v:stroke dashstyle="solid"/>
            </v:line>
            <v:line style="position:absolute" from="5497,263" to="6769,263" stroked="true" strokeweight=".72pt" strokecolor="#cccccc">
              <v:stroke dashstyle="solid"/>
            </v:line>
            <w10:wrap type="topAndBottom"/>
          </v:group>
        </w:pict>
      </w:r>
    </w:p>
    <w:p>
      <w:pPr>
        <w:pStyle w:val="BodyText"/>
        <w:tabs>
          <w:tab w:pos="1672" w:val="left" w:leader="none"/>
        </w:tabs>
        <w:spacing w:before="15"/>
        <w:ind w:left="714"/>
      </w:pPr>
      <w:r>
        <w:rPr/>
        <w:t>Years</w:t>
        <w:tab/>
        <w:t>date-base minimum value –9999</w:t>
      </w:r>
      <w:r>
        <w:rPr>
          <w:spacing w:val="3"/>
        </w:rPr>
        <w:t> </w:t>
      </w:r>
      <w:r>
        <w:rPr/>
        <w:t>yyyy</w:t>
      </w:r>
    </w:p>
    <w:p>
      <w:pPr>
        <w:pStyle w:val="BodyText"/>
        <w:spacing w:before="8"/>
        <w:rPr>
          <w:sz w:val="17"/>
        </w:rPr>
      </w:pPr>
      <w:r>
        <w:rPr/>
        <w:pict>
          <v:group style="position:absolute;margin-left:76.584pt;margin-top:12.772265pt;width:261.9pt;height:.75pt;mso-position-horizontal-relative:page;mso-position-vertical-relative:paragraph;z-index:-251618304;mso-wrap-distance-left:0;mso-wrap-distance-right:0" coordorigin="1532,255" coordsize="5238,15">
            <v:line style="position:absolute" from="1532,263" to="2504,263" stroked="true" strokeweight=".72pt" strokecolor="#cccccc">
              <v:stroke dashstyle="solid"/>
            </v:line>
            <v:line style="position:absolute" from="2504,263" to="5497,263" stroked="true" strokeweight=".72pt" strokecolor="#cccccc">
              <v:stroke dashstyle="solid"/>
            </v:line>
            <v:line style="position:absolute" from="5497,263" to="6769,263" stroked="true" strokeweight=".72pt" strokecolor="#cccccc">
              <v:stroke dashstyle="solid"/>
            </v:line>
            <w10:wrap type="topAndBottom"/>
          </v:group>
        </w:pict>
      </w:r>
    </w:p>
    <w:p>
      <w:pPr>
        <w:pStyle w:val="BodyText"/>
        <w:rPr>
          <w:sz w:val="20"/>
        </w:rPr>
      </w:pPr>
    </w:p>
    <w:p>
      <w:pPr>
        <w:pStyle w:val="BodyText"/>
        <w:spacing w:before="1"/>
        <w:rPr>
          <w:sz w:val="17"/>
        </w:rPr>
      </w:pPr>
    </w:p>
    <w:p>
      <w:pPr>
        <w:pStyle w:val="BodyText"/>
        <w:spacing w:before="57"/>
        <w:ind w:left="220"/>
      </w:pPr>
      <w:r>
        <w:rPr/>
        <w:t>See §</w:t>
      </w:r>
      <w:hyperlink w:history="true" w:anchor="_bookmark446">
        <w:r>
          <w:rPr/>
          <w:t>18.17.4.1 </w:t>
        </w:r>
      </w:hyperlink>
      <w:r>
        <w:rPr/>
        <w:t>for details on possible date systems.</w:t>
      </w:r>
    </w:p>
    <w:p>
      <w:pPr>
        <w:pStyle w:val="BodyText"/>
        <w:spacing w:before="8"/>
        <w:rPr>
          <w:sz w:val="19"/>
        </w:rPr>
      </w:pPr>
    </w:p>
    <w:p>
      <w:pPr>
        <w:spacing w:before="0"/>
        <w:ind w:left="220" w:right="0" w:firstLine="0"/>
        <w:jc w:val="left"/>
        <w:rPr>
          <w:i/>
          <w:sz w:val="22"/>
        </w:rPr>
      </w:pPr>
      <w:r>
        <w:rPr>
          <w:i/>
          <w:sz w:val="22"/>
        </w:rPr>
        <w:t>Month versus minutes</w:t>
      </w:r>
    </w:p>
    <w:p>
      <w:pPr>
        <w:pStyle w:val="BodyText"/>
        <w:spacing w:before="6"/>
        <w:rPr>
          <w:i/>
          <w:sz w:val="19"/>
        </w:rPr>
      </w:pPr>
    </w:p>
    <w:p>
      <w:pPr>
        <w:pStyle w:val="BodyText"/>
        <w:spacing w:line="278" w:lineRule="auto"/>
        <w:ind w:left="220" w:right="503"/>
      </w:pPr>
      <w:r>
        <w:rPr/>
        <w:t>If "m" or "mm" code is used immediately after the "h" or "hh" code (for hours) or immediately before the "ss" code (for seconds), the application shall display minutes instead of the month.</w:t>
      </w:r>
    </w:p>
    <w:p>
      <w:pPr>
        <w:spacing w:before="198"/>
        <w:ind w:left="220" w:right="0" w:firstLine="0"/>
        <w:jc w:val="left"/>
        <w:rPr>
          <w:i/>
          <w:sz w:val="22"/>
        </w:rPr>
      </w:pPr>
      <w:r>
        <w:rPr>
          <w:i/>
          <w:sz w:val="22"/>
        </w:rPr>
        <w:t>Display hours, minutes, and seconds</w:t>
      </w:r>
    </w:p>
    <w:p>
      <w:pPr>
        <w:pStyle w:val="BodyText"/>
        <w:spacing w:before="11"/>
        <w:rPr>
          <w:i/>
        </w:rPr>
      </w:pPr>
    </w:p>
    <w:tbl>
      <w:tblPr>
        <w:tblCellSpacing w:w="16" w:type="dxa"/>
        <w:tblW w:w="0" w:type="auto"/>
        <w:jc w:val="left"/>
        <w:tblInd w:w="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68"/>
        <w:gridCol w:w="1021"/>
        <w:gridCol w:w="1323"/>
      </w:tblGrid>
      <w:tr>
        <w:trPr>
          <w:trHeight w:val="490" w:hRule="atLeast"/>
        </w:trPr>
        <w:tc>
          <w:tcPr>
            <w:tcW w:w="3568" w:type="dxa"/>
            <w:tcBorders>
              <w:right w:val="nil"/>
            </w:tcBorders>
            <w:shd w:val="clear" w:color="auto" w:fill="CCCCCC"/>
          </w:tcPr>
          <w:p>
            <w:pPr>
              <w:pStyle w:val="TableParagraph"/>
              <w:spacing w:before="6"/>
              <w:ind w:left="14"/>
              <w:rPr>
                <w:sz w:val="22"/>
              </w:rPr>
            </w:pPr>
            <w:r>
              <w:rPr>
                <w:sz w:val="22"/>
              </w:rPr>
              <w:t>To display</w:t>
            </w:r>
          </w:p>
        </w:tc>
        <w:tc>
          <w:tcPr>
            <w:tcW w:w="1021" w:type="dxa"/>
            <w:tcBorders>
              <w:left w:val="nil"/>
              <w:right w:val="nil"/>
            </w:tcBorders>
            <w:shd w:val="clear" w:color="auto" w:fill="CCCCCC"/>
          </w:tcPr>
          <w:p>
            <w:pPr>
              <w:pStyle w:val="TableParagraph"/>
              <w:spacing w:before="6"/>
              <w:ind w:left="7"/>
              <w:rPr>
                <w:sz w:val="22"/>
              </w:rPr>
            </w:pPr>
            <w:r>
              <w:rPr>
                <w:sz w:val="22"/>
              </w:rPr>
              <w:t>As</w:t>
            </w:r>
          </w:p>
        </w:tc>
        <w:tc>
          <w:tcPr>
            <w:tcW w:w="1323" w:type="dxa"/>
            <w:tcBorders>
              <w:left w:val="nil"/>
            </w:tcBorders>
            <w:shd w:val="clear" w:color="auto" w:fill="CCCCCC"/>
          </w:tcPr>
          <w:p>
            <w:pPr>
              <w:pStyle w:val="TableParagraph"/>
              <w:spacing w:before="6"/>
              <w:ind w:left="16"/>
              <w:rPr>
                <w:sz w:val="22"/>
              </w:rPr>
            </w:pPr>
            <w:r>
              <w:rPr>
                <w:sz w:val="22"/>
              </w:rPr>
              <w:t>Use this code</w:t>
            </w:r>
          </w:p>
        </w:tc>
      </w:tr>
    </w:tbl>
    <w:p>
      <w:pPr>
        <w:pStyle w:val="BodyText"/>
        <w:spacing w:before="10"/>
        <w:rPr>
          <w:i/>
          <w:sz w:val="7"/>
        </w:rPr>
      </w:pPr>
    </w:p>
    <w:tbl>
      <w:tblPr>
        <w:tblW w:w="0" w:type="auto"/>
        <w:jc w:val="left"/>
        <w:tblInd w:w="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5"/>
        <w:gridCol w:w="2316"/>
        <w:gridCol w:w="1551"/>
      </w:tblGrid>
      <w:tr>
        <w:trPr>
          <w:trHeight w:val="479" w:hRule="atLeast"/>
        </w:trPr>
        <w:tc>
          <w:tcPr>
            <w:tcW w:w="2105" w:type="dxa"/>
            <w:tcBorders>
              <w:bottom w:val="single" w:sz="6" w:space="0" w:color="CCCCCC"/>
            </w:tcBorders>
          </w:tcPr>
          <w:p>
            <w:pPr>
              <w:pStyle w:val="TableParagraph"/>
              <w:spacing w:line="225" w:lineRule="exact" w:before="0"/>
              <w:ind w:left="43"/>
              <w:rPr>
                <w:sz w:val="22"/>
              </w:rPr>
            </w:pPr>
            <w:r>
              <w:rPr>
                <w:sz w:val="22"/>
              </w:rPr>
              <w:t>Hours</w:t>
            </w:r>
          </w:p>
        </w:tc>
        <w:tc>
          <w:tcPr>
            <w:tcW w:w="2316" w:type="dxa"/>
            <w:tcBorders>
              <w:bottom w:val="single" w:sz="6" w:space="0" w:color="CCCCCC"/>
            </w:tcBorders>
          </w:tcPr>
          <w:p>
            <w:pPr>
              <w:pStyle w:val="TableParagraph"/>
              <w:spacing w:line="225" w:lineRule="exact" w:before="0"/>
              <w:ind w:left="1529"/>
              <w:rPr>
                <w:sz w:val="22"/>
              </w:rPr>
            </w:pPr>
            <w:r>
              <w:rPr>
                <w:sz w:val="22"/>
              </w:rPr>
              <w:t>0–23</w:t>
            </w:r>
          </w:p>
        </w:tc>
        <w:tc>
          <w:tcPr>
            <w:tcW w:w="1551" w:type="dxa"/>
            <w:tcBorders>
              <w:bottom w:val="single" w:sz="6" w:space="0" w:color="CCCCCC"/>
            </w:tcBorders>
          </w:tcPr>
          <w:p>
            <w:pPr>
              <w:pStyle w:val="TableParagraph"/>
              <w:spacing w:line="225" w:lineRule="exact" w:before="0"/>
              <w:ind w:left="228"/>
              <w:rPr>
                <w:sz w:val="22"/>
              </w:rPr>
            </w:pPr>
            <w:r>
              <w:rPr>
                <w:w w:val="100"/>
                <w:sz w:val="22"/>
              </w:rPr>
              <w:t>h</w:t>
            </w:r>
          </w:p>
        </w:tc>
      </w:tr>
      <w:tr>
        <w:trPr>
          <w:trHeight w:val="309" w:hRule="atLeast"/>
        </w:trPr>
        <w:tc>
          <w:tcPr>
            <w:tcW w:w="2105" w:type="dxa"/>
            <w:tcBorders>
              <w:top w:val="single" w:sz="6" w:space="0" w:color="CCCCCC"/>
            </w:tcBorders>
          </w:tcPr>
          <w:p>
            <w:pPr>
              <w:pStyle w:val="TableParagraph"/>
              <w:spacing w:line="245" w:lineRule="exact" w:before="44"/>
              <w:ind w:left="43"/>
              <w:rPr>
                <w:sz w:val="22"/>
              </w:rPr>
            </w:pPr>
            <w:r>
              <w:rPr>
                <w:sz w:val="22"/>
              </w:rPr>
              <w:t>Hours</w:t>
            </w:r>
          </w:p>
        </w:tc>
        <w:tc>
          <w:tcPr>
            <w:tcW w:w="2316" w:type="dxa"/>
            <w:tcBorders>
              <w:top w:val="single" w:sz="6" w:space="0" w:color="CCCCCC"/>
            </w:tcBorders>
          </w:tcPr>
          <w:p>
            <w:pPr>
              <w:pStyle w:val="TableParagraph"/>
              <w:spacing w:line="245" w:lineRule="exact" w:before="44"/>
              <w:ind w:left="1529"/>
              <w:rPr>
                <w:sz w:val="22"/>
              </w:rPr>
            </w:pPr>
            <w:r>
              <w:rPr>
                <w:sz w:val="22"/>
              </w:rPr>
              <w:t>00–23</w:t>
            </w:r>
          </w:p>
        </w:tc>
        <w:tc>
          <w:tcPr>
            <w:tcW w:w="1551" w:type="dxa"/>
            <w:tcBorders>
              <w:top w:val="single" w:sz="6" w:space="0" w:color="CCCCCC"/>
            </w:tcBorders>
          </w:tcPr>
          <w:p>
            <w:pPr>
              <w:pStyle w:val="TableParagraph"/>
              <w:spacing w:line="245" w:lineRule="exact" w:before="44"/>
              <w:ind w:left="228"/>
              <w:rPr>
                <w:sz w:val="22"/>
              </w:rPr>
            </w:pPr>
            <w:r>
              <w:rPr>
                <w:sz w:val="22"/>
              </w:rPr>
              <w:t>hh</w:t>
            </w:r>
          </w:p>
        </w:tc>
      </w:tr>
    </w:tbl>
    <w:p>
      <w:pPr>
        <w:pStyle w:val="BodyText"/>
        <w:spacing w:before="11"/>
        <w:rPr>
          <w:i/>
          <w:sz w:val="17"/>
        </w:rPr>
      </w:pPr>
      <w:r>
        <w:rPr/>
        <w:pict>
          <v:group style="position:absolute;margin-left:76.584pt;margin-top:12.95597pt;width:298.650pt;height:.75pt;mso-position-horizontal-relative:page;mso-position-vertical-relative:paragraph;z-index:-251617280;mso-wrap-distance-left:0;mso-wrap-distance-right:0" coordorigin="1532,259" coordsize="5973,15">
            <v:line style="position:absolute" from="1532,266" to="5137,266" stroked="true" strokeweight=".72003pt" strokecolor="#cccccc">
              <v:stroke dashstyle="solid"/>
            </v:line>
            <v:line style="position:absolute" from="5137,266" to="6150,266" stroked="true" strokeweight=".72003pt" strokecolor="#cccccc">
              <v:stroke dashstyle="solid"/>
            </v:line>
            <v:line style="position:absolute" from="6150,266" to="7504,266" stroked="true" strokeweight=".72003pt" strokecolor="#cccccc">
              <v:stroke dashstyle="solid"/>
            </v:line>
            <w10:wrap type="topAndBottom"/>
          </v:group>
        </w:pict>
      </w:r>
    </w:p>
    <w:p>
      <w:pPr>
        <w:spacing w:after="0"/>
        <w:rPr>
          <w:sz w:val="17"/>
        </w:rPr>
        <w:sectPr>
          <w:pgSz w:w="12240" w:h="15840"/>
          <w:pgMar w:header="763" w:footer="746" w:top="1340" w:bottom="940" w:left="860" w:right="700"/>
        </w:sectPr>
      </w:pPr>
    </w:p>
    <w:p>
      <w:pPr>
        <w:pStyle w:val="BodyText"/>
        <w:spacing w:before="9"/>
        <w:rPr>
          <w:i/>
          <w:sz w:val="13"/>
        </w:rPr>
      </w:pPr>
    </w:p>
    <w:tbl>
      <w:tblPr>
        <w:tblW w:w="0" w:type="auto"/>
        <w:jc w:val="left"/>
        <w:tblInd w:w="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3"/>
        <w:gridCol w:w="1015"/>
        <w:gridCol w:w="1354"/>
      </w:tblGrid>
      <w:tr>
        <w:trPr>
          <w:trHeight w:val="477" w:hRule="atLeast"/>
        </w:trPr>
        <w:tc>
          <w:tcPr>
            <w:tcW w:w="3603" w:type="dxa"/>
            <w:tcBorders>
              <w:bottom w:val="single" w:sz="6" w:space="0" w:color="CCCCCC"/>
            </w:tcBorders>
          </w:tcPr>
          <w:p>
            <w:pPr>
              <w:pStyle w:val="TableParagraph"/>
              <w:spacing w:line="225" w:lineRule="exact" w:before="0"/>
              <w:ind w:left="43"/>
              <w:rPr>
                <w:sz w:val="22"/>
              </w:rPr>
            </w:pPr>
            <w:r>
              <w:rPr>
                <w:sz w:val="22"/>
              </w:rPr>
              <w:t>Minutes</w:t>
            </w:r>
          </w:p>
        </w:tc>
        <w:tc>
          <w:tcPr>
            <w:tcW w:w="1015" w:type="dxa"/>
            <w:tcBorders>
              <w:bottom w:val="single" w:sz="6" w:space="0" w:color="CCCCCC"/>
            </w:tcBorders>
          </w:tcPr>
          <w:p>
            <w:pPr>
              <w:pStyle w:val="TableParagraph"/>
              <w:spacing w:line="225" w:lineRule="exact" w:before="0"/>
              <w:ind w:left="31"/>
              <w:rPr>
                <w:sz w:val="22"/>
              </w:rPr>
            </w:pPr>
            <w:r>
              <w:rPr>
                <w:sz w:val="22"/>
              </w:rPr>
              <w:t>0–59</w:t>
            </w:r>
          </w:p>
        </w:tc>
        <w:tc>
          <w:tcPr>
            <w:tcW w:w="1354" w:type="dxa"/>
            <w:tcBorders>
              <w:bottom w:val="single" w:sz="6" w:space="0" w:color="CCCCCC"/>
            </w:tcBorders>
          </w:tcPr>
          <w:p>
            <w:pPr>
              <w:pStyle w:val="TableParagraph"/>
              <w:spacing w:line="225" w:lineRule="exact" w:before="0"/>
              <w:ind w:left="31"/>
              <w:rPr>
                <w:sz w:val="22"/>
              </w:rPr>
            </w:pPr>
            <w:r>
              <w:rPr>
                <w:w w:val="100"/>
                <w:sz w:val="22"/>
              </w:rPr>
              <w:t>m</w:t>
            </w:r>
          </w:p>
        </w:tc>
      </w:tr>
      <w:tr>
        <w:trPr>
          <w:trHeight w:val="570" w:hRule="atLeast"/>
        </w:trPr>
        <w:tc>
          <w:tcPr>
            <w:tcW w:w="3603" w:type="dxa"/>
            <w:tcBorders>
              <w:top w:val="single" w:sz="6" w:space="0" w:color="CCCCCC"/>
              <w:bottom w:val="single" w:sz="6" w:space="0" w:color="CCCCCC"/>
            </w:tcBorders>
          </w:tcPr>
          <w:p>
            <w:pPr>
              <w:pStyle w:val="TableParagraph"/>
              <w:spacing w:before="47"/>
              <w:ind w:left="43"/>
              <w:rPr>
                <w:sz w:val="22"/>
              </w:rPr>
            </w:pPr>
            <w:r>
              <w:rPr>
                <w:sz w:val="22"/>
              </w:rPr>
              <w:t>Minutes</w:t>
            </w:r>
          </w:p>
        </w:tc>
        <w:tc>
          <w:tcPr>
            <w:tcW w:w="1015" w:type="dxa"/>
            <w:tcBorders>
              <w:top w:val="single" w:sz="6" w:space="0" w:color="CCCCCC"/>
              <w:bottom w:val="single" w:sz="6" w:space="0" w:color="CCCCCC"/>
            </w:tcBorders>
          </w:tcPr>
          <w:p>
            <w:pPr>
              <w:pStyle w:val="TableParagraph"/>
              <w:spacing w:before="47"/>
              <w:ind w:left="31"/>
              <w:rPr>
                <w:sz w:val="22"/>
              </w:rPr>
            </w:pPr>
            <w:r>
              <w:rPr>
                <w:sz w:val="22"/>
              </w:rPr>
              <w:t>00–59</w:t>
            </w:r>
          </w:p>
        </w:tc>
        <w:tc>
          <w:tcPr>
            <w:tcW w:w="1354" w:type="dxa"/>
            <w:tcBorders>
              <w:top w:val="single" w:sz="6" w:space="0" w:color="CCCCCC"/>
              <w:bottom w:val="single" w:sz="6" w:space="0" w:color="CCCCCC"/>
            </w:tcBorders>
          </w:tcPr>
          <w:p>
            <w:pPr>
              <w:pStyle w:val="TableParagraph"/>
              <w:spacing w:before="47"/>
              <w:ind w:left="31"/>
              <w:rPr>
                <w:sz w:val="22"/>
              </w:rPr>
            </w:pPr>
            <w:r>
              <w:rPr>
                <w:sz w:val="22"/>
              </w:rPr>
              <w:t>mm</w:t>
            </w:r>
          </w:p>
        </w:tc>
      </w:tr>
      <w:tr>
        <w:trPr>
          <w:trHeight w:val="568" w:hRule="atLeast"/>
        </w:trPr>
        <w:tc>
          <w:tcPr>
            <w:tcW w:w="3603" w:type="dxa"/>
            <w:tcBorders>
              <w:top w:val="single" w:sz="6" w:space="0" w:color="CCCCCC"/>
              <w:bottom w:val="single" w:sz="6" w:space="0" w:color="CCCCCC"/>
            </w:tcBorders>
          </w:tcPr>
          <w:p>
            <w:pPr>
              <w:pStyle w:val="TableParagraph"/>
              <w:spacing w:before="44"/>
              <w:ind w:left="43"/>
              <w:rPr>
                <w:sz w:val="22"/>
              </w:rPr>
            </w:pPr>
            <w:r>
              <w:rPr>
                <w:sz w:val="22"/>
              </w:rPr>
              <w:t>Seconds</w:t>
            </w:r>
          </w:p>
        </w:tc>
        <w:tc>
          <w:tcPr>
            <w:tcW w:w="1015" w:type="dxa"/>
            <w:tcBorders>
              <w:top w:val="single" w:sz="6" w:space="0" w:color="CCCCCC"/>
              <w:bottom w:val="single" w:sz="6" w:space="0" w:color="CCCCCC"/>
            </w:tcBorders>
          </w:tcPr>
          <w:p>
            <w:pPr>
              <w:pStyle w:val="TableParagraph"/>
              <w:spacing w:before="44"/>
              <w:ind w:left="31"/>
              <w:rPr>
                <w:sz w:val="22"/>
              </w:rPr>
            </w:pPr>
            <w:r>
              <w:rPr>
                <w:sz w:val="22"/>
              </w:rPr>
              <w:t>0–59</w:t>
            </w:r>
          </w:p>
        </w:tc>
        <w:tc>
          <w:tcPr>
            <w:tcW w:w="1354" w:type="dxa"/>
            <w:tcBorders>
              <w:top w:val="single" w:sz="6" w:space="0" w:color="CCCCCC"/>
              <w:bottom w:val="single" w:sz="6" w:space="0" w:color="CCCCCC"/>
            </w:tcBorders>
          </w:tcPr>
          <w:p>
            <w:pPr>
              <w:pStyle w:val="TableParagraph"/>
              <w:spacing w:before="44"/>
              <w:ind w:left="31"/>
              <w:rPr>
                <w:sz w:val="22"/>
              </w:rPr>
            </w:pPr>
            <w:r>
              <w:rPr>
                <w:w w:val="100"/>
                <w:sz w:val="22"/>
              </w:rPr>
              <w:t>s</w:t>
            </w:r>
          </w:p>
        </w:tc>
      </w:tr>
      <w:tr>
        <w:trPr>
          <w:trHeight w:val="568" w:hRule="atLeast"/>
        </w:trPr>
        <w:tc>
          <w:tcPr>
            <w:tcW w:w="3603" w:type="dxa"/>
            <w:tcBorders>
              <w:top w:val="single" w:sz="6" w:space="0" w:color="CCCCCC"/>
              <w:bottom w:val="single" w:sz="6" w:space="0" w:color="CCCCCC"/>
            </w:tcBorders>
          </w:tcPr>
          <w:p>
            <w:pPr>
              <w:pStyle w:val="TableParagraph"/>
              <w:spacing w:before="44"/>
              <w:ind w:left="43"/>
              <w:rPr>
                <w:sz w:val="22"/>
              </w:rPr>
            </w:pPr>
            <w:r>
              <w:rPr>
                <w:sz w:val="22"/>
              </w:rPr>
              <w:t>Seconds</w:t>
            </w:r>
          </w:p>
        </w:tc>
        <w:tc>
          <w:tcPr>
            <w:tcW w:w="1015" w:type="dxa"/>
            <w:tcBorders>
              <w:top w:val="single" w:sz="6" w:space="0" w:color="CCCCCC"/>
              <w:bottom w:val="single" w:sz="6" w:space="0" w:color="CCCCCC"/>
            </w:tcBorders>
          </w:tcPr>
          <w:p>
            <w:pPr>
              <w:pStyle w:val="TableParagraph"/>
              <w:spacing w:before="44"/>
              <w:ind w:left="31"/>
              <w:rPr>
                <w:sz w:val="22"/>
              </w:rPr>
            </w:pPr>
            <w:r>
              <w:rPr>
                <w:sz w:val="22"/>
              </w:rPr>
              <w:t>00–59</w:t>
            </w:r>
          </w:p>
        </w:tc>
        <w:tc>
          <w:tcPr>
            <w:tcW w:w="1354" w:type="dxa"/>
            <w:tcBorders>
              <w:top w:val="single" w:sz="6" w:space="0" w:color="CCCCCC"/>
              <w:bottom w:val="single" w:sz="6" w:space="0" w:color="CCCCCC"/>
            </w:tcBorders>
          </w:tcPr>
          <w:p>
            <w:pPr>
              <w:pStyle w:val="TableParagraph"/>
              <w:spacing w:before="44"/>
              <w:ind w:left="31"/>
              <w:rPr>
                <w:sz w:val="22"/>
              </w:rPr>
            </w:pPr>
            <w:r>
              <w:rPr>
                <w:sz w:val="22"/>
              </w:rPr>
              <w:t>ss</w:t>
            </w:r>
          </w:p>
        </w:tc>
      </w:tr>
      <w:tr>
        <w:trPr>
          <w:trHeight w:val="568" w:hRule="atLeast"/>
        </w:trPr>
        <w:tc>
          <w:tcPr>
            <w:tcW w:w="3603" w:type="dxa"/>
            <w:tcBorders>
              <w:top w:val="single" w:sz="6" w:space="0" w:color="CCCCCC"/>
              <w:bottom w:val="single" w:sz="6" w:space="0" w:color="CCCCCC"/>
            </w:tcBorders>
          </w:tcPr>
          <w:p>
            <w:pPr>
              <w:pStyle w:val="TableParagraph"/>
              <w:spacing w:before="47"/>
              <w:ind w:left="43"/>
              <w:rPr>
                <w:sz w:val="22"/>
              </w:rPr>
            </w:pPr>
            <w:r>
              <w:rPr>
                <w:sz w:val="22"/>
              </w:rPr>
              <w:t>Time</w:t>
            </w:r>
          </w:p>
        </w:tc>
        <w:tc>
          <w:tcPr>
            <w:tcW w:w="1015" w:type="dxa"/>
            <w:tcBorders>
              <w:top w:val="single" w:sz="6" w:space="0" w:color="CCCCCC"/>
              <w:bottom w:val="single" w:sz="6" w:space="0" w:color="CCCCCC"/>
            </w:tcBorders>
          </w:tcPr>
          <w:p>
            <w:pPr>
              <w:pStyle w:val="TableParagraph"/>
              <w:spacing w:before="47"/>
              <w:ind w:left="31"/>
              <w:rPr>
                <w:sz w:val="22"/>
              </w:rPr>
            </w:pPr>
            <w:r>
              <w:rPr>
                <w:sz w:val="22"/>
              </w:rPr>
              <w:t>4 AM</w:t>
            </w:r>
          </w:p>
        </w:tc>
        <w:tc>
          <w:tcPr>
            <w:tcW w:w="1354" w:type="dxa"/>
            <w:tcBorders>
              <w:top w:val="single" w:sz="6" w:space="0" w:color="CCCCCC"/>
              <w:bottom w:val="single" w:sz="6" w:space="0" w:color="CCCCCC"/>
            </w:tcBorders>
          </w:tcPr>
          <w:p>
            <w:pPr>
              <w:pStyle w:val="TableParagraph"/>
              <w:spacing w:before="47"/>
              <w:ind w:left="31"/>
              <w:rPr>
                <w:sz w:val="22"/>
              </w:rPr>
            </w:pPr>
            <w:r>
              <w:rPr>
                <w:sz w:val="22"/>
              </w:rPr>
              <w:t>h AM/PM</w:t>
            </w:r>
          </w:p>
        </w:tc>
      </w:tr>
      <w:tr>
        <w:trPr>
          <w:trHeight w:val="570" w:hRule="atLeast"/>
        </w:trPr>
        <w:tc>
          <w:tcPr>
            <w:tcW w:w="3603" w:type="dxa"/>
            <w:tcBorders>
              <w:top w:val="single" w:sz="6" w:space="0" w:color="CCCCCC"/>
              <w:bottom w:val="single" w:sz="6" w:space="0" w:color="CCCCCC"/>
            </w:tcBorders>
          </w:tcPr>
          <w:p>
            <w:pPr>
              <w:pStyle w:val="TableParagraph"/>
              <w:spacing w:before="47"/>
              <w:ind w:left="43"/>
              <w:rPr>
                <w:sz w:val="22"/>
              </w:rPr>
            </w:pPr>
            <w:r>
              <w:rPr>
                <w:sz w:val="22"/>
              </w:rPr>
              <w:t>Time</w:t>
            </w:r>
          </w:p>
        </w:tc>
        <w:tc>
          <w:tcPr>
            <w:tcW w:w="1015" w:type="dxa"/>
            <w:tcBorders>
              <w:top w:val="single" w:sz="6" w:space="0" w:color="CCCCCC"/>
              <w:bottom w:val="single" w:sz="6" w:space="0" w:color="CCCCCC"/>
            </w:tcBorders>
          </w:tcPr>
          <w:p>
            <w:pPr>
              <w:pStyle w:val="TableParagraph"/>
              <w:spacing w:before="47"/>
              <w:ind w:left="31"/>
              <w:rPr>
                <w:sz w:val="22"/>
              </w:rPr>
            </w:pPr>
            <w:r>
              <w:rPr>
                <w:sz w:val="22"/>
              </w:rPr>
              <w:t>4:36 PM</w:t>
            </w:r>
          </w:p>
        </w:tc>
        <w:tc>
          <w:tcPr>
            <w:tcW w:w="1354" w:type="dxa"/>
            <w:tcBorders>
              <w:top w:val="single" w:sz="6" w:space="0" w:color="CCCCCC"/>
              <w:bottom w:val="single" w:sz="6" w:space="0" w:color="CCCCCC"/>
            </w:tcBorders>
          </w:tcPr>
          <w:p>
            <w:pPr>
              <w:pStyle w:val="TableParagraph"/>
              <w:spacing w:before="47"/>
              <w:ind w:left="31"/>
              <w:rPr>
                <w:sz w:val="22"/>
              </w:rPr>
            </w:pPr>
            <w:r>
              <w:rPr>
                <w:sz w:val="22"/>
              </w:rPr>
              <w:t>h:mm AM/PM</w:t>
            </w:r>
          </w:p>
        </w:tc>
      </w:tr>
      <w:tr>
        <w:trPr>
          <w:trHeight w:val="568" w:hRule="atLeast"/>
        </w:trPr>
        <w:tc>
          <w:tcPr>
            <w:tcW w:w="3603" w:type="dxa"/>
            <w:tcBorders>
              <w:top w:val="single" w:sz="6" w:space="0" w:color="CCCCCC"/>
              <w:bottom w:val="single" w:sz="6" w:space="0" w:color="CCCCCC"/>
            </w:tcBorders>
          </w:tcPr>
          <w:p>
            <w:pPr>
              <w:pStyle w:val="TableParagraph"/>
              <w:spacing w:before="44"/>
              <w:ind w:left="43"/>
              <w:rPr>
                <w:sz w:val="22"/>
              </w:rPr>
            </w:pPr>
            <w:r>
              <w:rPr>
                <w:sz w:val="22"/>
              </w:rPr>
              <w:t>Time</w:t>
            </w:r>
          </w:p>
        </w:tc>
        <w:tc>
          <w:tcPr>
            <w:tcW w:w="1015" w:type="dxa"/>
            <w:tcBorders>
              <w:top w:val="single" w:sz="6" w:space="0" w:color="CCCCCC"/>
              <w:bottom w:val="single" w:sz="6" w:space="0" w:color="CCCCCC"/>
            </w:tcBorders>
          </w:tcPr>
          <w:p>
            <w:pPr>
              <w:pStyle w:val="TableParagraph"/>
              <w:spacing w:before="44"/>
              <w:ind w:left="31"/>
              <w:rPr>
                <w:sz w:val="22"/>
              </w:rPr>
            </w:pPr>
            <w:r>
              <w:rPr>
                <w:sz w:val="22"/>
              </w:rPr>
              <w:t>4:36:03 P</w:t>
            </w:r>
          </w:p>
        </w:tc>
        <w:tc>
          <w:tcPr>
            <w:tcW w:w="1354" w:type="dxa"/>
            <w:tcBorders>
              <w:top w:val="single" w:sz="6" w:space="0" w:color="CCCCCC"/>
              <w:bottom w:val="single" w:sz="6" w:space="0" w:color="CCCCCC"/>
            </w:tcBorders>
          </w:tcPr>
          <w:p>
            <w:pPr>
              <w:pStyle w:val="TableParagraph"/>
              <w:spacing w:before="44"/>
              <w:ind w:left="31"/>
              <w:rPr>
                <w:sz w:val="22"/>
              </w:rPr>
            </w:pPr>
            <w:r>
              <w:rPr>
                <w:sz w:val="22"/>
              </w:rPr>
              <w:t>h:mm:ss A/P</w:t>
            </w:r>
          </w:p>
        </w:tc>
      </w:tr>
      <w:tr>
        <w:trPr>
          <w:trHeight w:val="568" w:hRule="atLeast"/>
        </w:trPr>
        <w:tc>
          <w:tcPr>
            <w:tcW w:w="3603" w:type="dxa"/>
            <w:tcBorders>
              <w:top w:val="single" w:sz="6" w:space="0" w:color="CCCCCC"/>
              <w:bottom w:val="single" w:sz="6" w:space="0" w:color="CCCCCC"/>
            </w:tcBorders>
          </w:tcPr>
          <w:p>
            <w:pPr>
              <w:pStyle w:val="TableParagraph"/>
              <w:spacing w:before="44"/>
              <w:ind w:left="43"/>
              <w:rPr>
                <w:sz w:val="22"/>
              </w:rPr>
            </w:pPr>
            <w:r>
              <w:rPr>
                <w:sz w:val="22"/>
              </w:rPr>
              <w:t>Time</w:t>
            </w:r>
          </w:p>
        </w:tc>
        <w:tc>
          <w:tcPr>
            <w:tcW w:w="1015" w:type="dxa"/>
            <w:tcBorders>
              <w:top w:val="single" w:sz="6" w:space="0" w:color="CCCCCC"/>
              <w:bottom w:val="single" w:sz="6" w:space="0" w:color="CCCCCC"/>
            </w:tcBorders>
          </w:tcPr>
          <w:p>
            <w:pPr>
              <w:pStyle w:val="TableParagraph"/>
              <w:spacing w:before="44"/>
              <w:ind w:left="31"/>
              <w:rPr>
                <w:sz w:val="22"/>
              </w:rPr>
            </w:pPr>
            <w:r>
              <w:rPr>
                <w:sz w:val="22"/>
              </w:rPr>
              <w:t>4:36:03.75</w:t>
            </w:r>
          </w:p>
        </w:tc>
        <w:tc>
          <w:tcPr>
            <w:tcW w:w="1354" w:type="dxa"/>
            <w:tcBorders>
              <w:top w:val="single" w:sz="6" w:space="0" w:color="CCCCCC"/>
              <w:bottom w:val="single" w:sz="6" w:space="0" w:color="CCCCCC"/>
            </w:tcBorders>
          </w:tcPr>
          <w:p>
            <w:pPr>
              <w:pStyle w:val="TableParagraph"/>
              <w:spacing w:before="44"/>
              <w:ind w:left="31"/>
              <w:rPr>
                <w:sz w:val="22"/>
              </w:rPr>
            </w:pPr>
            <w:r>
              <w:rPr>
                <w:sz w:val="22"/>
              </w:rPr>
              <w:t>h:mm:ss.00</w:t>
            </w:r>
          </w:p>
        </w:tc>
      </w:tr>
      <w:tr>
        <w:trPr>
          <w:trHeight w:val="568" w:hRule="atLeast"/>
        </w:trPr>
        <w:tc>
          <w:tcPr>
            <w:tcW w:w="3603" w:type="dxa"/>
            <w:tcBorders>
              <w:top w:val="single" w:sz="6" w:space="0" w:color="CCCCCC"/>
              <w:bottom w:val="single" w:sz="6" w:space="0" w:color="CCCCCC"/>
            </w:tcBorders>
          </w:tcPr>
          <w:p>
            <w:pPr>
              <w:pStyle w:val="TableParagraph"/>
              <w:spacing w:before="47"/>
              <w:ind w:left="43"/>
              <w:rPr>
                <w:sz w:val="22"/>
              </w:rPr>
            </w:pPr>
            <w:r>
              <w:rPr>
                <w:sz w:val="22"/>
              </w:rPr>
              <w:t>Elapsed time (hours and minutes)</w:t>
            </w:r>
          </w:p>
        </w:tc>
        <w:tc>
          <w:tcPr>
            <w:tcW w:w="1015" w:type="dxa"/>
            <w:tcBorders>
              <w:top w:val="single" w:sz="6" w:space="0" w:color="CCCCCC"/>
              <w:bottom w:val="single" w:sz="6" w:space="0" w:color="CCCCCC"/>
            </w:tcBorders>
          </w:tcPr>
          <w:p>
            <w:pPr>
              <w:pStyle w:val="TableParagraph"/>
              <w:spacing w:before="47"/>
              <w:ind w:left="31"/>
              <w:rPr>
                <w:sz w:val="22"/>
              </w:rPr>
            </w:pPr>
            <w:r>
              <w:rPr>
                <w:sz w:val="22"/>
              </w:rPr>
              <w:t>1:02</w:t>
            </w:r>
          </w:p>
        </w:tc>
        <w:tc>
          <w:tcPr>
            <w:tcW w:w="1354" w:type="dxa"/>
            <w:tcBorders>
              <w:top w:val="single" w:sz="6" w:space="0" w:color="CCCCCC"/>
              <w:bottom w:val="single" w:sz="6" w:space="0" w:color="CCCCCC"/>
            </w:tcBorders>
          </w:tcPr>
          <w:p>
            <w:pPr>
              <w:pStyle w:val="TableParagraph"/>
              <w:spacing w:before="47"/>
              <w:ind w:left="31"/>
              <w:rPr>
                <w:sz w:val="22"/>
              </w:rPr>
            </w:pPr>
            <w:r>
              <w:rPr>
                <w:sz w:val="22"/>
              </w:rPr>
              <w:t>[h]:mm</w:t>
            </w:r>
          </w:p>
        </w:tc>
      </w:tr>
      <w:tr>
        <w:trPr>
          <w:trHeight w:val="570" w:hRule="atLeast"/>
        </w:trPr>
        <w:tc>
          <w:tcPr>
            <w:tcW w:w="3603" w:type="dxa"/>
            <w:tcBorders>
              <w:top w:val="single" w:sz="6" w:space="0" w:color="CCCCCC"/>
              <w:bottom w:val="single" w:sz="6" w:space="0" w:color="CCCCCC"/>
            </w:tcBorders>
          </w:tcPr>
          <w:p>
            <w:pPr>
              <w:pStyle w:val="TableParagraph"/>
              <w:spacing w:before="47"/>
              <w:ind w:left="43"/>
              <w:rPr>
                <w:sz w:val="22"/>
              </w:rPr>
            </w:pPr>
            <w:r>
              <w:rPr>
                <w:sz w:val="22"/>
              </w:rPr>
              <w:t>Elapsed time (minutes and seconds)</w:t>
            </w:r>
          </w:p>
        </w:tc>
        <w:tc>
          <w:tcPr>
            <w:tcW w:w="1015" w:type="dxa"/>
            <w:tcBorders>
              <w:top w:val="single" w:sz="6" w:space="0" w:color="CCCCCC"/>
              <w:bottom w:val="single" w:sz="6" w:space="0" w:color="CCCCCC"/>
            </w:tcBorders>
          </w:tcPr>
          <w:p>
            <w:pPr>
              <w:pStyle w:val="TableParagraph"/>
              <w:spacing w:before="47"/>
              <w:ind w:left="31"/>
              <w:rPr>
                <w:sz w:val="22"/>
              </w:rPr>
            </w:pPr>
            <w:r>
              <w:rPr>
                <w:sz w:val="22"/>
              </w:rPr>
              <w:t>62:16</w:t>
            </w:r>
          </w:p>
        </w:tc>
        <w:tc>
          <w:tcPr>
            <w:tcW w:w="1354" w:type="dxa"/>
            <w:tcBorders>
              <w:top w:val="single" w:sz="6" w:space="0" w:color="CCCCCC"/>
              <w:bottom w:val="single" w:sz="6" w:space="0" w:color="CCCCCC"/>
            </w:tcBorders>
          </w:tcPr>
          <w:p>
            <w:pPr>
              <w:pStyle w:val="TableParagraph"/>
              <w:spacing w:before="47"/>
              <w:ind w:left="31"/>
              <w:rPr>
                <w:sz w:val="22"/>
              </w:rPr>
            </w:pPr>
            <w:r>
              <w:rPr>
                <w:sz w:val="22"/>
              </w:rPr>
              <w:t>[mm]:ss</w:t>
            </w:r>
          </w:p>
        </w:tc>
      </w:tr>
      <w:tr>
        <w:trPr>
          <w:trHeight w:val="309" w:hRule="atLeast"/>
        </w:trPr>
        <w:tc>
          <w:tcPr>
            <w:tcW w:w="3603" w:type="dxa"/>
            <w:tcBorders>
              <w:top w:val="single" w:sz="6" w:space="0" w:color="CCCCCC"/>
            </w:tcBorders>
          </w:tcPr>
          <w:p>
            <w:pPr>
              <w:pStyle w:val="TableParagraph"/>
              <w:spacing w:line="245" w:lineRule="exact" w:before="44"/>
              <w:ind w:left="43"/>
              <w:rPr>
                <w:sz w:val="22"/>
              </w:rPr>
            </w:pPr>
            <w:r>
              <w:rPr>
                <w:sz w:val="22"/>
              </w:rPr>
              <w:t>Elapsed time (seconds and hundredths)</w:t>
            </w:r>
          </w:p>
        </w:tc>
        <w:tc>
          <w:tcPr>
            <w:tcW w:w="1015" w:type="dxa"/>
            <w:tcBorders>
              <w:top w:val="single" w:sz="6" w:space="0" w:color="CCCCCC"/>
            </w:tcBorders>
          </w:tcPr>
          <w:p>
            <w:pPr>
              <w:pStyle w:val="TableParagraph"/>
              <w:spacing w:line="245" w:lineRule="exact" w:before="44"/>
              <w:ind w:left="31"/>
              <w:rPr>
                <w:sz w:val="22"/>
              </w:rPr>
            </w:pPr>
            <w:r>
              <w:rPr>
                <w:sz w:val="22"/>
              </w:rPr>
              <w:t>3735.80</w:t>
            </w:r>
          </w:p>
        </w:tc>
        <w:tc>
          <w:tcPr>
            <w:tcW w:w="1354" w:type="dxa"/>
            <w:tcBorders>
              <w:top w:val="single" w:sz="6" w:space="0" w:color="CCCCCC"/>
            </w:tcBorders>
          </w:tcPr>
          <w:p>
            <w:pPr>
              <w:pStyle w:val="TableParagraph"/>
              <w:spacing w:line="245" w:lineRule="exact" w:before="44"/>
              <w:ind w:left="31"/>
              <w:rPr>
                <w:sz w:val="22"/>
              </w:rPr>
            </w:pPr>
            <w:r>
              <w:rPr>
                <w:sz w:val="22"/>
              </w:rPr>
              <w:t>[ss].00</w:t>
            </w:r>
          </w:p>
        </w:tc>
      </w:tr>
    </w:tbl>
    <w:p>
      <w:pPr>
        <w:pStyle w:val="BodyText"/>
        <w:spacing w:before="11"/>
        <w:rPr>
          <w:i/>
          <w:sz w:val="17"/>
        </w:rPr>
      </w:pPr>
      <w:r>
        <w:rPr/>
        <w:pict>
          <v:group style="position:absolute;margin-left:76.584pt;margin-top:12.96pt;width:298.650pt;height:.75pt;mso-position-horizontal-relative:page;mso-position-vertical-relative:paragraph;z-index:-251616256;mso-wrap-distance-left:0;mso-wrap-distance-right:0" coordorigin="1532,259" coordsize="5973,15">
            <v:line style="position:absolute" from="1532,266" to="5137,266" stroked="true" strokeweight=".72pt" strokecolor="#cccccc">
              <v:stroke dashstyle="solid"/>
            </v:line>
            <v:line style="position:absolute" from="5137,266" to="6150,266" stroked="true" strokeweight=".72pt" strokecolor="#cccccc">
              <v:stroke dashstyle="solid"/>
            </v:line>
            <v:line style="position:absolute" from="6150,266" to="7504,266" stroked="true" strokeweight=".72pt" strokecolor="#cccccc">
              <v:stroke dashstyle="solid"/>
            </v:line>
            <w10:wrap type="topAndBottom"/>
          </v:group>
        </w:pict>
      </w:r>
    </w:p>
    <w:p>
      <w:pPr>
        <w:pStyle w:val="BodyText"/>
        <w:rPr>
          <w:i/>
          <w:sz w:val="20"/>
        </w:rPr>
      </w:pPr>
    </w:p>
    <w:p>
      <w:pPr>
        <w:pStyle w:val="BodyText"/>
        <w:spacing w:before="1"/>
        <w:rPr>
          <w:i/>
          <w:sz w:val="17"/>
        </w:rPr>
      </w:pPr>
    </w:p>
    <w:p>
      <w:pPr>
        <w:spacing w:before="57"/>
        <w:ind w:left="220" w:right="0" w:firstLine="0"/>
        <w:jc w:val="left"/>
        <w:rPr>
          <w:i/>
          <w:sz w:val="22"/>
        </w:rPr>
      </w:pPr>
      <w:r>
        <w:rPr>
          <w:i/>
          <w:sz w:val="22"/>
        </w:rPr>
        <w:t>Minutes versus month</w:t>
      </w:r>
    </w:p>
    <w:p>
      <w:pPr>
        <w:pStyle w:val="BodyText"/>
        <w:spacing w:before="6"/>
        <w:rPr>
          <w:i/>
          <w:sz w:val="19"/>
        </w:rPr>
      </w:pPr>
    </w:p>
    <w:p>
      <w:pPr>
        <w:pStyle w:val="BodyText"/>
        <w:spacing w:line="278" w:lineRule="auto"/>
        <w:ind w:left="220" w:right="402"/>
      </w:pPr>
      <w:r>
        <w:rPr/>
        <w:t>The "m" or "mm" code shall appear immediately after the "h" or "hh" code or immediately before the "ss" code; otherwise, these will display as the month instead of minutes.</w:t>
      </w:r>
    </w:p>
    <w:p>
      <w:pPr>
        <w:spacing w:before="198"/>
        <w:ind w:left="220" w:right="0" w:firstLine="0"/>
        <w:jc w:val="left"/>
        <w:rPr>
          <w:i/>
          <w:sz w:val="22"/>
        </w:rPr>
      </w:pPr>
      <w:r>
        <w:rPr>
          <w:i/>
          <w:sz w:val="22"/>
        </w:rPr>
        <w:t>AM and PM</w:t>
      </w:r>
    </w:p>
    <w:p>
      <w:pPr>
        <w:pStyle w:val="BodyText"/>
        <w:spacing w:before="5"/>
        <w:rPr>
          <w:i/>
          <w:sz w:val="19"/>
        </w:rPr>
      </w:pPr>
    </w:p>
    <w:p>
      <w:pPr>
        <w:pStyle w:val="BodyText"/>
        <w:spacing w:line="276" w:lineRule="auto" w:before="1"/>
        <w:ind w:left="220" w:right="793"/>
      </w:pPr>
      <w:r>
        <w:rPr/>
        <w:t>If the format contains AM or PM, the hour is based on the 12-hour clock, where "AM" or "A" indicates times from midnight until noon and "PM" or "P" indicates times from noon until midnight. Otherwise, the hour is based on the 24-hour</w:t>
      </w:r>
      <w:r>
        <w:rPr>
          <w:spacing w:val="-5"/>
        </w:rPr>
        <w:t> </w:t>
      </w:r>
      <w:r>
        <w:rPr/>
        <w:t>clock.</w:t>
      </w:r>
    </w:p>
    <w:p>
      <w:pPr>
        <w:pStyle w:val="BodyText"/>
        <w:spacing w:before="6"/>
        <w:rPr>
          <w:sz w:val="16"/>
        </w:rPr>
      </w:pPr>
    </w:p>
    <w:p>
      <w:pPr>
        <w:spacing w:before="0"/>
        <w:ind w:left="220" w:right="0" w:firstLine="0"/>
        <w:jc w:val="left"/>
        <w:rPr>
          <w:i/>
          <w:sz w:val="22"/>
        </w:rPr>
      </w:pPr>
      <w:r>
        <w:rPr>
          <w:i/>
          <w:sz w:val="22"/>
        </w:rPr>
        <w:t>Illegal date and time</w:t>
      </w:r>
      <w:r>
        <w:rPr>
          <w:i/>
          <w:spacing w:val="-5"/>
          <w:sz w:val="22"/>
        </w:rPr>
        <w:t> </w:t>
      </w:r>
      <w:r>
        <w:rPr>
          <w:i/>
          <w:sz w:val="22"/>
        </w:rPr>
        <w:t>values</w:t>
      </w:r>
    </w:p>
    <w:p>
      <w:pPr>
        <w:pStyle w:val="BodyText"/>
        <w:spacing w:before="5"/>
        <w:rPr>
          <w:i/>
          <w:sz w:val="19"/>
        </w:rPr>
      </w:pPr>
    </w:p>
    <w:p>
      <w:pPr>
        <w:pStyle w:val="BodyText"/>
        <w:spacing w:line="278" w:lineRule="auto" w:before="1"/>
        <w:ind w:left="220" w:right="1097"/>
      </w:pPr>
      <w:r>
        <w:rPr/>
        <w:t>Cells formatted with a date or time format and which contain date or time values which do not meet the requirements specified shall show the pound sign ("#") across the width of the cell.</w:t>
      </w:r>
    </w:p>
    <w:p>
      <w:pPr>
        <w:pStyle w:val="BodyText"/>
        <w:spacing w:before="2"/>
        <w:rPr>
          <w:sz w:val="16"/>
        </w:rPr>
      </w:pPr>
    </w:p>
    <w:p>
      <w:pPr>
        <w:pStyle w:val="Heading4"/>
        <w:spacing w:before="1"/>
      </w:pPr>
      <w:r>
        <w:rPr/>
        <w:t>International Considerations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8030"/>
      </w:tblGrid>
      <w:tr>
        <w:trPr>
          <w:trHeight w:val="354" w:hRule="atLeast"/>
        </w:trPr>
        <w:tc>
          <w:tcPr>
            <w:tcW w:w="1548" w:type="dxa"/>
            <w:shd w:val="clear" w:color="auto" w:fill="C0C0C0"/>
          </w:tcPr>
          <w:p>
            <w:pPr>
              <w:pStyle w:val="TableParagraph"/>
              <w:ind w:left="186"/>
              <w:rPr>
                <w:b/>
                <w:sz w:val="22"/>
              </w:rPr>
            </w:pPr>
            <w:r>
              <w:rPr>
                <w:b/>
                <w:sz w:val="22"/>
              </w:rPr>
              <w:t>Format Code</w:t>
            </w:r>
          </w:p>
        </w:tc>
        <w:tc>
          <w:tcPr>
            <w:tcW w:w="8030" w:type="dxa"/>
            <w:shd w:val="clear" w:color="auto" w:fill="C0C0C0"/>
          </w:tcPr>
          <w:p>
            <w:pPr>
              <w:pStyle w:val="TableParagraph"/>
              <w:ind w:left="3470" w:right="3463"/>
              <w:jc w:val="center"/>
              <w:rPr>
                <w:b/>
                <w:sz w:val="22"/>
              </w:rPr>
            </w:pPr>
            <w:r>
              <w:rPr>
                <w:b/>
                <w:sz w:val="22"/>
              </w:rPr>
              <w:t>Description</w:t>
            </w:r>
          </w:p>
        </w:tc>
      </w:tr>
      <w:tr>
        <w:trPr>
          <w:trHeight w:val="623" w:hRule="atLeast"/>
        </w:trPr>
        <w:tc>
          <w:tcPr>
            <w:tcW w:w="1548" w:type="dxa"/>
          </w:tcPr>
          <w:p>
            <w:pPr>
              <w:pStyle w:val="TableParagraph"/>
              <w:rPr>
                <w:sz w:val="22"/>
              </w:rPr>
            </w:pPr>
            <w:r>
              <w:rPr>
                <w:w w:val="100"/>
                <w:sz w:val="22"/>
              </w:rPr>
              <w:t>r</w:t>
            </w:r>
          </w:p>
        </w:tc>
        <w:tc>
          <w:tcPr>
            <w:tcW w:w="8030" w:type="dxa"/>
          </w:tcPr>
          <w:p>
            <w:pPr>
              <w:pStyle w:val="TableParagraph"/>
              <w:ind w:left="114"/>
              <w:rPr>
                <w:sz w:val="22"/>
              </w:rPr>
            </w:pPr>
            <w:r>
              <w:rPr>
                <w:sz w:val="22"/>
              </w:rPr>
              <w:t>ja-jp/zh-tw only.</w:t>
            </w:r>
          </w:p>
        </w:tc>
      </w:tr>
    </w:tbl>
    <w:p>
      <w:pPr>
        <w:spacing w:after="0"/>
        <w:rPr>
          <w:sz w:val="22"/>
        </w:rPr>
        <w:sectPr>
          <w:footerReference w:type="even" r:id="rId93"/>
          <w:footerReference w:type="default" r:id="rId94"/>
          <w:pgSz w:w="12240" w:h="15840"/>
          <w:pgMar w:footer="746" w:header="761" w:top="1340" w:bottom="940" w:left="860" w:right="700"/>
          <w:pgNumType w:start="179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8030"/>
      </w:tblGrid>
      <w:tr>
        <w:trPr>
          <w:trHeight w:val="355" w:hRule="atLeast"/>
        </w:trPr>
        <w:tc>
          <w:tcPr>
            <w:tcW w:w="1548" w:type="dxa"/>
            <w:shd w:val="clear" w:color="auto" w:fill="C0C0C0"/>
          </w:tcPr>
          <w:p>
            <w:pPr>
              <w:pStyle w:val="TableParagraph"/>
              <w:ind w:left="186"/>
              <w:rPr>
                <w:b/>
                <w:sz w:val="22"/>
              </w:rPr>
            </w:pPr>
            <w:r>
              <w:rPr>
                <w:b/>
                <w:sz w:val="22"/>
              </w:rPr>
              <w:t>Format Code</w:t>
            </w:r>
          </w:p>
        </w:tc>
        <w:tc>
          <w:tcPr>
            <w:tcW w:w="8030" w:type="dxa"/>
            <w:shd w:val="clear" w:color="auto" w:fill="C0C0C0"/>
          </w:tcPr>
          <w:p>
            <w:pPr>
              <w:pStyle w:val="TableParagraph"/>
              <w:ind w:left="3470" w:right="3463"/>
              <w:jc w:val="center"/>
              <w:rPr>
                <w:b/>
                <w:sz w:val="22"/>
              </w:rPr>
            </w:pPr>
            <w:r>
              <w:rPr>
                <w:b/>
                <w:sz w:val="22"/>
              </w:rPr>
              <w:t>Description</w:t>
            </w:r>
          </w:p>
        </w:tc>
      </w:tr>
      <w:tr>
        <w:trPr>
          <w:trHeight w:val="892" w:hRule="atLeast"/>
        </w:trPr>
        <w:tc>
          <w:tcPr>
            <w:tcW w:w="1548" w:type="dxa"/>
          </w:tcPr>
          <w:p>
            <w:pPr>
              <w:pStyle w:val="TableParagraph"/>
              <w:spacing w:before="0"/>
              <w:ind w:left="0"/>
              <w:rPr>
                <w:rFonts w:ascii="Times New Roman"/>
                <w:sz w:val="22"/>
              </w:rPr>
            </w:pPr>
          </w:p>
        </w:tc>
        <w:tc>
          <w:tcPr>
            <w:tcW w:w="8030" w:type="dxa"/>
          </w:tcPr>
          <w:p>
            <w:pPr>
              <w:pStyle w:val="TableParagraph"/>
              <w:ind w:left="114"/>
              <w:rPr>
                <w:sz w:val="22"/>
              </w:rPr>
            </w:pPr>
            <w:r>
              <w:rPr>
                <w:sz w:val="22"/>
              </w:rPr>
              <w:t>When loading in ja-jp locale, code becomes</w:t>
            </w:r>
            <w:r>
              <w:rPr>
                <w:spacing w:val="-9"/>
                <w:sz w:val="22"/>
              </w:rPr>
              <w:t> </w:t>
            </w:r>
            <w:r>
              <w:rPr>
                <w:sz w:val="22"/>
              </w:rPr>
              <w:t>"ee".</w:t>
            </w:r>
          </w:p>
          <w:p>
            <w:pPr>
              <w:pStyle w:val="TableParagraph"/>
              <w:spacing w:before="4"/>
              <w:ind w:left="0"/>
              <w:rPr>
                <w:rFonts w:ascii="Times New Roman"/>
                <w:sz w:val="23"/>
              </w:rPr>
            </w:pPr>
          </w:p>
          <w:p>
            <w:pPr>
              <w:pStyle w:val="TableParagraph"/>
              <w:spacing w:before="0"/>
              <w:ind w:left="114"/>
              <w:rPr>
                <w:sz w:val="22"/>
              </w:rPr>
            </w:pPr>
            <w:r>
              <w:rPr>
                <w:sz w:val="22"/>
              </w:rPr>
              <w:t>When loading in zh-tw locale, code becomes</w:t>
            </w:r>
            <w:r>
              <w:rPr>
                <w:spacing w:val="-7"/>
                <w:sz w:val="22"/>
              </w:rPr>
              <w:t> </w:t>
            </w:r>
            <w:r>
              <w:rPr>
                <w:sz w:val="22"/>
              </w:rPr>
              <w:t>"e".</w:t>
            </w:r>
          </w:p>
        </w:tc>
      </w:tr>
      <w:tr>
        <w:trPr>
          <w:trHeight w:val="1427" w:hRule="atLeast"/>
        </w:trPr>
        <w:tc>
          <w:tcPr>
            <w:tcW w:w="1548" w:type="dxa"/>
          </w:tcPr>
          <w:p>
            <w:pPr>
              <w:pStyle w:val="TableParagraph"/>
              <w:rPr>
                <w:sz w:val="22"/>
              </w:rPr>
            </w:pPr>
            <w:r>
              <w:rPr>
                <w:sz w:val="22"/>
              </w:rPr>
              <w:t>rr</w:t>
            </w:r>
          </w:p>
        </w:tc>
        <w:tc>
          <w:tcPr>
            <w:tcW w:w="8030" w:type="dxa"/>
          </w:tcPr>
          <w:p>
            <w:pPr>
              <w:pStyle w:val="TableParagraph"/>
              <w:ind w:left="114"/>
              <w:rPr>
                <w:sz w:val="22"/>
              </w:rPr>
            </w:pPr>
            <w:r>
              <w:rPr>
                <w:sz w:val="22"/>
              </w:rPr>
              <w:t>ja-jp/zh-tw only.</w:t>
            </w:r>
          </w:p>
          <w:p>
            <w:pPr>
              <w:pStyle w:val="TableParagraph"/>
              <w:spacing w:line="538" w:lineRule="exact" w:before="45"/>
              <w:ind w:left="114" w:right="3204"/>
              <w:rPr>
                <w:sz w:val="22"/>
              </w:rPr>
            </w:pPr>
            <w:r>
              <w:rPr>
                <w:sz w:val="22"/>
              </w:rPr>
              <w:t>When loading in ja-jp locale, code becomes "gggee". When loading in zh-tw locale, code becomes "e".</w:t>
            </w:r>
          </w:p>
        </w:tc>
      </w:tr>
      <w:tr>
        <w:trPr>
          <w:trHeight w:val="890" w:hRule="atLeast"/>
        </w:trPr>
        <w:tc>
          <w:tcPr>
            <w:tcW w:w="1548" w:type="dxa"/>
          </w:tcPr>
          <w:p>
            <w:pPr>
              <w:pStyle w:val="TableParagraph"/>
              <w:spacing w:before="38"/>
              <w:rPr>
                <w:sz w:val="22"/>
              </w:rPr>
            </w:pPr>
            <w:r>
              <w:rPr>
                <w:w w:val="100"/>
                <w:sz w:val="22"/>
              </w:rPr>
              <w:t>g</w:t>
            </w:r>
          </w:p>
        </w:tc>
        <w:tc>
          <w:tcPr>
            <w:tcW w:w="8030" w:type="dxa"/>
          </w:tcPr>
          <w:p>
            <w:pPr>
              <w:pStyle w:val="TableParagraph"/>
              <w:spacing w:before="38"/>
              <w:ind w:left="114"/>
              <w:rPr>
                <w:sz w:val="22"/>
              </w:rPr>
            </w:pPr>
            <w:r>
              <w:rPr>
                <w:sz w:val="22"/>
              </w:rPr>
              <w:t>When loading in ja-jp locale: Single Roman character emperor reign</w:t>
            </w:r>
          </w:p>
          <w:p>
            <w:pPr>
              <w:pStyle w:val="TableParagraph"/>
              <w:spacing w:before="4"/>
              <w:ind w:left="0"/>
              <w:rPr>
                <w:rFonts w:ascii="Times New Roman"/>
                <w:sz w:val="23"/>
              </w:rPr>
            </w:pPr>
          </w:p>
          <w:p>
            <w:pPr>
              <w:pStyle w:val="TableParagraph"/>
              <w:spacing w:before="0"/>
              <w:ind w:left="114"/>
              <w:rPr>
                <w:sz w:val="22"/>
              </w:rPr>
            </w:pPr>
            <w:r>
              <w:rPr>
                <w:sz w:val="22"/>
              </w:rPr>
              <w:t>When loading in zh-tw (Taiwan only) locale: treat same as "gg".</w:t>
            </w:r>
          </w:p>
        </w:tc>
      </w:tr>
      <w:tr>
        <w:trPr>
          <w:trHeight w:val="890" w:hRule="atLeast"/>
        </w:trPr>
        <w:tc>
          <w:tcPr>
            <w:tcW w:w="1548" w:type="dxa"/>
          </w:tcPr>
          <w:p>
            <w:pPr>
              <w:pStyle w:val="TableParagraph"/>
              <w:rPr>
                <w:sz w:val="22"/>
              </w:rPr>
            </w:pPr>
            <w:r>
              <w:rPr>
                <w:sz w:val="22"/>
              </w:rPr>
              <w:t>gg</w:t>
            </w:r>
          </w:p>
        </w:tc>
        <w:tc>
          <w:tcPr>
            <w:tcW w:w="8030" w:type="dxa"/>
          </w:tcPr>
          <w:p>
            <w:pPr>
              <w:pStyle w:val="TableParagraph"/>
              <w:ind w:left="114"/>
              <w:rPr>
                <w:sz w:val="22"/>
              </w:rPr>
            </w:pPr>
            <w:r>
              <w:rPr>
                <w:sz w:val="22"/>
              </w:rPr>
              <w:t>When loading in ja-jp locale: Single Kanji character emperor reign</w:t>
            </w:r>
          </w:p>
          <w:p>
            <w:pPr>
              <w:pStyle w:val="TableParagraph"/>
              <w:spacing w:before="5"/>
              <w:ind w:left="0"/>
              <w:rPr>
                <w:rFonts w:ascii="Times New Roman"/>
                <w:sz w:val="23"/>
              </w:rPr>
            </w:pPr>
          </w:p>
          <w:p>
            <w:pPr>
              <w:pStyle w:val="TableParagraph"/>
              <w:spacing w:before="0"/>
              <w:ind w:left="114"/>
              <w:rPr>
                <w:sz w:val="22"/>
              </w:rPr>
            </w:pPr>
            <w:r>
              <w:rPr>
                <w:sz w:val="22"/>
              </w:rPr>
              <w:t>When loading in zh-tw locale: Last era short name (since 1911)</w:t>
            </w:r>
          </w:p>
        </w:tc>
      </w:tr>
      <w:tr>
        <w:trPr>
          <w:trHeight w:val="892" w:hRule="atLeast"/>
        </w:trPr>
        <w:tc>
          <w:tcPr>
            <w:tcW w:w="1548" w:type="dxa"/>
          </w:tcPr>
          <w:p>
            <w:pPr>
              <w:pStyle w:val="TableParagraph"/>
              <w:rPr>
                <w:sz w:val="22"/>
              </w:rPr>
            </w:pPr>
            <w:r>
              <w:rPr>
                <w:sz w:val="22"/>
              </w:rPr>
              <w:t>ggg</w:t>
            </w:r>
          </w:p>
        </w:tc>
        <w:tc>
          <w:tcPr>
            <w:tcW w:w="8030" w:type="dxa"/>
          </w:tcPr>
          <w:p>
            <w:pPr>
              <w:pStyle w:val="TableParagraph"/>
              <w:ind w:left="114"/>
              <w:rPr>
                <w:sz w:val="22"/>
              </w:rPr>
            </w:pPr>
            <w:r>
              <w:rPr>
                <w:sz w:val="22"/>
              </w:rPr>
              <w:t>When loading in ja-jp locale: Tow Kanji character emperor reign</w:t>
            </w:r>
          </w:p>
          <w:p>
            <w:pPr>
              <w:pStyle w:val="TableParagraph"/>
              <w:spacing w:before="4"/>
              <w:ind w:left="0"/>
              <w:rPr>
                <w:rFonts w:ascii="Times New Roman"/>
                <w:sz w:val="23"/>
              </w:rPr>
            </w:pPr>
          </w:p>
          <w:p>
            <w:pPr>
              <w:pStyle w:val="TableParagraph"/>
              <w:spacing w:before="0"/>
              <w:ind w:left="114"/>
              <w:rPr>
                <w:sz w:val="22"/>
              </w:rPr>
            </w:pPr>
            <w:r>
              <w:rPr>
                <w:sz w:val="22"/>
              </w:rPr>
              <w:t>When loading in zh-tw locale: Last era long name (since 1911)</w:t>
            </w:r>
          </w:p>
        </w:tc>
      </w:tr>
      <w:tr>
        <w:trPr>
          <w:trHeight w:val="1965" w:hRule="atLeast"/>
        </w:trPr>
        <w:tc>
          <w:tcPr>
            <w:tcW w:w="1548" w:type="dxa"/>
          </w:tcPr>
          <w:p>
            <w:pPr>
              <w:pStyle w:val="TableParagraph"/>
              <w:rPr>
                <w:sz w:val="22"/>
              </w:rPr>
            </w:pPr>
            <w:r>
              <w:rPr>
                <w:w w:val="100"/>
                <w:sz w:val="22"/>
              </w:rPr>
              <w:t>e</w:t>
            </w:r>
          </w:p>
        </w:tc>
        <w:tc>
          <w:tcPr>
            <w:tcW w:w="8030" w:type="dxa"/>
          </w:tcPr>
          <w:p>
            <w:pPr>
              <w:pStyle w:val="TableParagraph"/>
              <w:ind w:left="114"/>
              <w:rPr>
                <w:sz w:val="22"/>
              </w:rPr>
            </w:pPr>
            <w:r>
              <w:rPr>
                <w:sz w:val="22"/>
              </w:rPr>
              <w:t>When loading in ja-jp locale: Era year</w:t>
            </w:r>
          </w:p>
          <w:p>
            <w:pPr>
              <w:pStyle w:val="TableParagraph"/>
              <w:spacing w:before="4"/>
              <w:ind w:left="0"/>
              <w:rPr>
                <w:rFonts w:ascii="Times New Roman"/>
                <w:sz w:val="23"/>
              </w:rPr>
            </w:pPr>
          </w:p>
          <w:p>
            <w:pPr>
              <w:pStyle w:val="TableParagraph"/>
              <w:spacing w:before="0"/>
              <w:ind w:left="114" w:right="383"/>
              <w:rPr>
                <w:sz w:val="22"/>
              </w:rPr>
            </w:pPr>
            <w:r>
              <w:rPr>
                <w:sz w:val="22"/>
              </w:rPr>
              <w:t>When lading in zh-tw (Taiwan only) locale: Era year since 1912. If preceded by “g”, “gg”, or “ggg” then year of 1912, and years before 1912 are special, otherwise years before 1912 are Gregorian.</w:t>
            </w:r>
          </w:p>
          <w:p>
            <w:pPr>
              <w:pStyle w:val="TableParagraph"/>
              <w:spacing w:before="5"/>
              <w:ind w:left="0"/>
              <w:rPr>
                <w:rFonts w:ascii="Times New Roman"/>
                <w:sz w:val="23"/>
              </w:rPr>
            </w:pPr>
          </w:p>
          <w:p>
            <w:pPr>
              <w:pStyle w:val="TableParagraph"/>
              <w:spacing w:before="1"/>
              <w:ind w:left="114"/>
              <w:rPr>
                <w:sz w:val="22"/>
              </w:rPr>
            </w:pPr>
            <w:r>
              <w:rPr>
                <w:sz w:val="22"/>
              </w:rPr>
              <w:t>OTHER locales: becomes "yyyy"</w:t>
            </w:r>
          </w:p>
        </w:tc>
      </w:tr>
      <w:tr>
        <w:trPr>
          <w:trHeight w:val="1430" w:hRule="atLeast"/>
        </w:trPr>
        <w:tc>
          <w:tcPr>
            <w:tcW w:w="1548" w:type="dxa"/>
          </w:tcPr>
          <w:p>
            <w:pPr>
              <w:pStyle w:val="TableParagraph"/>
              <w:rPr>
                <w:sz w:val="22"/>
              </w:rPr>
            </w:pPr>
            <w:r>
              <w:rPr>
                <w:sz w:val="22"/>
              </w:rPr>
              <w:t>ee</w:t>
            </w:r>
          </w:p>
        </w:tc>
        <w:tc>
          <w:tcPr>
            <w:tcW w:w="8030" w:type="dxa"/>
          </w:tcPr>
          <w:p>
            <w:pPr>
              <w:pStyle w:val="TableParagraph"/>
              <w:ind w:left="114"/>
              <w:rPr>
                <w:sz w:val="22"/>
              </w:rPr>
            </w:pPr>
            <w:r>
              <w:rPr>
                <w:sz w:val="22"/>
              </w:rPr>
              <w:t>When loading in ja-jp locale: Era year w/ leading zero</w:t>
            </w:r>
          </w:p>
          <w:p>
            <w:pPr>
              <w:pStyle w:val="TableParagraph"/>
              <w:spacing w:line="530" w:lineRule="atLeast" w:before="7"/>
              <w:ind w:left="114" w:right="2206"/>
              <w:rPr>
                <w:sz w:val="22"/>
              </w:rPr>
            </w:pPr>
            <w:r>
              <w:rPr>
                <w:sz w:val="22"/>
              </w:rPr>
              <w:t>When loading in zh-tw (Taiwan only) locale: Era year since 1911 OTHER locales: becomes "yy"</w:t>
            </w:r>
          </w:p>
        </w:tc>
      </w:tr>
      <w:tr>
        <w:trPr>
          <w:trHeight w:val="354" w:hRule="atLeast"/>
        </w:trPr>
        <w:tc>
          <w:tcPr>
            <w:tcW w:w="1548" w:type="dxa"/>
          </w:tcPr>
          <w:p>
            <w:pPr>
              <w:pStyle w:val="TableParagraph"/>
              <w:rPr>
                <w:sz w:val="22"/>
              </w:rPr>
            </w:pPr>
            <w:r>
              <w:rPr>
                <w:sz w:val="22"/>
              </w:rPr>
              <w:t>b2</w:t>
            </w:r>
          </w:p>
        </w:tc>
        <w:tc>
          <w:tcPr>
            <w:tcW w:w="8030" w:type="dxa"/>
          </w:tcPr>
          <w:p>
            <w:pPr>
              <w:pStyle w:val="TableParagraph"/>
              <w:ind w:left="114"/>
              <w:rPr>
                <w:sz w:val="22"/>
              </w:rPr>
            </w:pPr>
            <w:r>
              <w:rPr>
                <w:sz w:val="22"/>
              </w:rPr>
              <w:t>Hijri calander</w:t>
            </w:r>
          </w:p>
        </w:tc>
      </w:tr>
      <w:tr>
        <w:trPr>
          <w:trHeight w:val="354" w:hRule="atLeast"/>
        </w:trPr>
        <w:tc>
          <w:tcPr>
            <w:tcW w:w="1548" w:type="dxa"/>
          </w:tcPr>
          <w:p>
            <w:pPr>
              <w:pStyle w:val="TableParagraph"/>
              <w:rPr>
                <w:sz w:val="22"/>
              </w:rPr>
            </w:pPr>
            <w:r>
              <w:rPr>
                <w:sz w:val="22"/>
              </w:rPr>
              <w:t>b1</w:t>
            </w:r>
          </w:p>
        </w:tc>
        <w:tc>
          <w:tcPr>
            <w:tcW w:w="8030" w:type="dxa"/>
          </w:tcPr>
          <w:p>
            <w:pPr>
              <w:pStyle w:val="TableParagraph"/>
              <w:ind w:left="114"/>
              <w:rPr>
                <w:sz w:val="22"/>
              </w:rPr>
            </w:pPr>
            <w:r>
              <w:rPr>
                <w:sz w:val="22"/>
              </w:rPr>
              <w:t>Gregorian calendar</w:t>
            </w:r>
          </w:p>
        </w:tc>
      </w:tr>
      <w:tr>
        <w:trPr>
          <w:trHeight w:val="3309" w:hRule="atLeast"/>
        </w:trPr>
        <w:tc>
          <w:tcPr>
            <w:tcW w:w="1548" w:type="dxa"/>
          </w:tcPr>
          <w:p>
            <w:pPr>
              <w:pStyle w:val="TableParagraph"/>
              <w:rPr>
                <w:sz w:val="22"/>
              </w:rPr>
            </w:pPr>
            <w:r>
              <w:rPr>
                <w:sz w:val="22"/>
              </w:rPr>
              <w:t>[$USD-409]</w:t>
            </w:r>
          </w:p>
        </w:tc>
        <w:tc>
          <w:tcPr>
            <w:tcW w:w="8030" w:type="dxa"/>
          </w:tcPr>
          <w:p>
            <w:pPr>
              <w:pStyle w:val="TableParagraph"/>
              <w:ind w:left="114"/>
              <w:rPr>
                <w:sz w:val="22"/>
              </w:rPr>
            </w:pPr>
            <w:r>
              <w:rPr>
                <w:sz w:val="22"/>
              </w:rPr>
              <w:t>Specifies currency and locale/date system/number system information.</w:t>
            </w:r>
          </w:p>
          <w:p>
            <w:pPr>
              <w:pStyle w:val="TableParagraph"/>
              <w:spacing w:before="6"/>
              <w:ind w:left="0"/>
              <w:rPr>
                <w:rFonts w:ascii="Times New Roman"/>
                <w:sz w:val="23"/>
              </w:rPr>
            </w:pPr>
          </w:p>
          <w:p>
            <w:pPr>
              <w:pStyle w:val="TableParagraph"/>
              <w:spacing w:line="237" w:lineRule="auto" w:before="0"/>
              <w:ind w:left="114" w:right="365"/>
              <w:rPr>
                <w:sz w:val="22"/>
              </w:rPr>
            </w:pPr>
            <w:r>
              <w:rPr>
                <w:sz w:val="22"/>
              </w:rPr>
              <w:t>Syntax is [$&lt;Currency String&gt;-&lt;language info&gt;]. Currency string is a string to use as a currency symbol. Language info is a 32-bit value entered in hexidecimal format.</w:t>
            </w:r>
          </w:p>
          <w:p>
            <w:pPr>
              <w:pStyle w:val="TableParagraph"/>
              <w:spacing w:before="6"/>
              <w:ind w:left="0"/>
              <w:rPr>
                <w:rFonts w:ascii="Times New Roman"/>
                <w:sz w:val="23"/>
              </w:rPr>
            </w:pPr>
          </w:p>
          <w:p>
            <w:pPr>
              <w:pStyle w:val="TableParagraph"/>
              <w:spacing w:before="1"/>
              <w:ind w:left="114"/>
              <w:rPr>
                <w:sz w:val="22"/>
              </w:rPr>
            </w:pPr>
            <w:r>
              <w:rPr>
                <w:sz w:val="22"/>
              </w:rPr>
              <w:t>Language info format (byte 3 is most significant byte):</w:t>
            </w:r>
          </w:p>
          <w:p>
            <w:pPr>
              <w:pStyle w:val="TableParagraph"/>
              <w:spacing w:before="0"/>
              <w:ind w:left="114"/>
              <w:rPr>
                <w:sz w:val="22"/>
              </w:rPr>
            </w:pPr>
            <w:r>
              <w:rPr>
                <w:sz w:val="22"/>
              </w:rPr>
              <w:t>Bytes 0,1: 16-bit Language ID (LID).</w:t>
            </w:r>
          </w:p>
          <w:p>
            <w:pPr>
              <w:pStyle w:val="TableParagraph"/>
              <w:spacing w:before="0"/>
              <w:ind w:left="114" w:right="290"/>
              <w:rPr>
                <w:sz w:val="22"/>
              </w:rPr>
            </w:pPr>
            <w:r>
              <w:rPr>
                <w:sz w:val="22"/>
              </w:rPr>
              <w:t>Byte 2: Calendar type. High bit indicates that input is parsed using specified calendar. Byte 3: Number system type. High bit indicates that input is parsed using specified number system.</w:t>
            </w:r>
          </w:p>
          <w:p>
            <w:pPr>
              <w:pStyle w:val="TableParagraph"/>
              <w:spacing w:before="5"/>
              <w:ind w:left="0"/>
              <w:rPr>
                <w:rFonts w:ascii="Times New Roman"/>
                <w:sz w:val="23"/>
              </w:rPr>
            </w:pPr>
          </w:p>
          <w:p>
            <w:pPr>
              <w:pStyle w:val="TableParagraph"/>
              <w:spacing w:before="0"/>
              <w:ind w:left="114"/>
              <w:rPr>
                <w:sz w:val="22"/>
              </w:rPr>
            </w:pPr>
            <w:r>
              <w:rPr>
                <w:sz w:val="22"/>
              </w:rPr>
              <w:t>Special language info values:</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8030"/>
      </w:tblGrid>
      <w:tr>
        <w:trPr>
          <w:trHeight w:val="355" w:hRule="atLeast"/>
        </w:trPr>
        <w:tc>
          <w:tcPr>
            <w:tcW w:w="1548" w:type="dxa"/>
            <w:shd w:val="clear" w:color="auto" w:fill="C0C0C0"/>
          </w:tcPr>
          <w:p>
            <w:pPr>
              <w:pStyle w:val="TableParagraph"/>
              <w:ind w:left="186"/>
              <w:rPr>
                <w:b/>
                <w:sz w:val="22"/>
              </w:rPr>
            </w:pPr>
            <w:r>
              <w:rPr>
                <w:b/>
                <w:sz w:val="22"/>
              </w:rPr>
              <w:t>Format Code</w:t>
            </w:r>
          </w:p>
        </w:tc>
        <w:tc>
          <w:tcPr>
            <w:tcW w:w="8030" w:type="dxa"/>
            <w:shd w:val="clear" w:color="auto" w:fill="C0C0C0"/>
          </w:tcPr>
          <w:p>
            <w:pPr>
              <w:pStyle w:val="TableParagraph"/>
              <w:ind w:left="3470" w:right="3463"/>
              <w:jc w:val="center"/>
              <w:rPr>
                <w:b/>
                <w:sz w:val="22"/>
              </w:rPr>
            </w:pPr>
            <w:r>
              <w:rPr>
                <w:b/>
                <w:sz w:val="22"/>
              </w:rPr>
              <w:t>Description</w:t>
            </w:r>
          </w:p>
        </w:tc>
      </w:tr>
      <w:tr>
        <w:trPr>
          <w:trHeight w:val="892" w:hRule="atLeast"/>
        </w:trPr>
        <w:tc>
          <w:tcPr>
            <w:tcW w:w="1548" w:type="dxa"/>
          </w:tcPr>
          <w:p>
            <w:pPr>
              <w:pStyle w:val="TableParagraph"/>
              <w:spacing w:before="0"/>
              <w:ind w:left="0"/>
              <w:rPr>
                <w:rFonts w:ascii="Times New Roman"/>
                <w:sz w:val="22"/>
              </w:rPr>
            </w:pPr>
          </w:p>
        </w:tc>
        <w:tc>
          <w:tcPr>
            <w:tcW w:w="8030" w:type="dxa"/>
          </w:tcPr>
          <w:p>
            <w:pPr>
              <w:pStyle w:val="TableParagraph"/>
              <w:ind w:left="114" w:right="4969"/>
              <w:rPr>
                <w:sz w:val="22"/>
              </w:rPr>
            </w:pPr>
            <w:r>
              <w:rPr>
                <w:sz w:val="22"/>
              </w:rPr>
              <w:t>0xf800: System long date format 0xf400: System time format</w:t>
            </w:r>
          </w:p>
        </w:tc>
      </w:tr>
    </w:tbl>
    <w:p>
      <w:pPr>
        <w:pStyle w:val="BodyText"/>
        <w:rPr>
          <w:rFonts w:ascii="Times New Roman"/>
          <w:sz w:val="20"/>
        </w:rPr>
      </w:pPr>
    </w:p>
    <w:p>
      <w:pPr>
        <w:pStyle w:val="BodyText"/>
        <w:spacing w:before="3"/>
        <w:rPr>
          <w:rFonts w:ascii="Times New Roman"/>
          <w:sz w:val="2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534"/>
              <w:rPr>
                <w:sz w:val="22"/>
              </w:rPr>
            </w:pPr>
            <w:r>
              <w:rPr>
                <w:rFonts w:ascii="Cambria"/>
                <w:sz w:val="22"/>
              </w:rPr>
              <w:t>count </w:t>
            </w:r>
            <w:r>
              <w:rPr>
                <w:sz w:val="22"/>
              </w:rPr>
              <w:t>(Number Format Count)</w:t>
            </w:r>
          </w:p>
        </w:tc>
        <w:tc>
          <w:tcPr>
            <w:tcW w:w="8250" w:type="dxa"/>
          </w:tcPr>
          <w:p>
            <w:pPr>
              <w:pStyle w:val="TableParagraph"/>
              <w:rPr>
                <w:sz w:val="22"/>
              </w:rPr>
            </w:pPr>
            <w:r>
              <w:rPr>
                <w:sz w:val="22"/>
              </w:rPr>
              <w:t>Count of number format elements.</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615"/>
      </w:pPr>
      <w:r>
        <w:rPr/>
        <w:t>[</w:t>
      </w:r>
      <w:r>
        <w:rPr>
          <w:i/>
        </w:rPr>
        <w:t>Note</w:t>
      </w:r>
      <w:r>
        <w:rPr/>
        <w:t>: The W3C XML Schema definition of this element’s content model (</w:t>
      </w:r>
      <w:r>
        <w:rPr>
          <w:color w:val="5F5F5F"/>
          <w:u w:val="single" w:color="5F5F5F"/>
        </w:rPr>
        <w:t>CT_NumFmts</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2 patternFill (Pattern)" w:id="650"/>
      <w:bookmarkEnd w:id="650"/>
      <w:r>
        <w:rPr>
          <w:b w:val="0"/>
        </w:rPr>
      </w:r>
      <w:bookmarkStart w:name="_bookmark215" w:id="651"/>
      <w:bookmarkEnd w:id="651"/>
      <w:r>
        <w:rPr>
          <w:b w:val="0"/>
        </w:rPr>
      </w:r>
      <w:bookmarkStart w:name="_bookmark215" w:id="652"/>
      <w:bookmarkEnd w:id="652"/>
      <w:r>
        <w:rPr>
          <w:color w:val="4F81BC"/>
        </w:rPr>
        <w:t>p</w:t>
      </w:r>
      <w:r>
        <w:rPr>
          <w:color w:val="4F81BC"/>
        </w:rPr>
        <w:t>atternFill</w:t>
      </w:r>
      <w:r>
        <w:rPr>
          <w:color w:val="4F81BC"/>
          <w:spacing w:val="-2"/>
        </w:rPr>
        <w:t> </w:t>
      </w:r>
      <w:r>
        <w:rPr>
          <w:color w:val="4F81BC"/>
        </w:rPr>
        <w:t>(Pattern)</w:t>
      </w:r>
    </w:p>
    <w:p>
      <w:pPr>
        <w:pStyle w:val="BodyText"/>
        <w:spacing w:line="276" w:lineRule="auto" w:before="124"/>
        <w:ind w:left="220" w:right="623"/>
      </w:pPr>
      <w:r>
        <w:rPr/>
        <w:t>This element is used to specify cell fill information for pattern and solid color cell fills. For solid cell fills (no pattern), </w:t>
      </w:r>
      <w:r>
        <w:rPr>
          <w:rFonts w:ascii="Cambria"/>
        </w:rPr>
        <w:t>fgColor </w:t>
      </w:r>
      <w:r>
        <w:rPr/>
        <w:t>is used. For cell fills with patterns specified, then the cell fill color is specified by the </w:t>
      </w:r>
      <w:r>
        <w:rPr>
          <w:rFonts w:ascii="Cambria"/>
        </w:rPr>
        <w:t>bgColor </w:t>
      </w:r>
      <w:r>
        <w:rPr/>
        <w:t>element.</w:t>
      </w:r>
    </w:p>
    <w:p>
      <w:pPr>
        <w:pStyle w:val="BodyText"/>
        <w:spacing w:before="6"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line="256" w:lineRule="exact" w:before="42"/>
              <w:rPr>
                <w:rFonts w:ascii="Cambria"/>
                <w:sz w:val="22"/>
              </w:rPr>
            </w:pPr>
            <w:r>
              <w:rPr>
                <w:rFonts w:ascii="Cambria"/>
                <w:sz w:val="22"/>
              </w:rPr>
              <w:t>patternType</w:t>
            </w:r>
          </w:p>
          <w:p>
            <w:pPr>
              <w:pStyle w:val="TableParagraph"/>
              <w:spacing w:line="267" w:lineRule="exact" w:before="0"/>
              <w:rPr>
                <w:sz w:val="22"/>
              </w:rPr>
            </w:pPr>
            <w:r>
              <w:rPr>
                <w:sz w:val="22"/>
              </w:rPr>
              <w:t>(Pattern Type)</w:t>
            </w:r>
          </w:p>
        </w:tc>
        <w:tc>
          <w:tcPr>
            <w:tcW w:w="8250" w:type="dxa"/>
          </w:tcPr>
          <w:p>
            <w:pPr>
              <w:pStyle w:val="TableParagraph"/>
              <w:rPr>
                <w:sz w:val="22"/>
              </w:rPr>
            </w:pPr>
            <w:r>
              <w:rPr>
                <w:sz w:val="22"/>
              </w:rPr>
              <w:t>Specifies the fill pattern type (including </w:t>
            </w:r>
            <w:r>
              <w:rPr>
                <w:rFonts w:ascii="Consolas"/>
                <w:sz w:val="20"/>
              </w:rPr>
              <w:t>solid</w:t>
            </w:r>
            <w:r>
              <w:rPr>
                <w:rFonts w:ascii="Consolas"/>
                <w:spacing w:val="-83"/>
                <w:sz w:val="20"/>
              </w:rPr>
              <w:t> </w:t>
            </w:r>
            <w:r>
              <w:rPr>
                <w:sz w:val="22"/>
              </w:rPr>
              <w:t>and </w:t>
            </w:r>
            <w:r>
              <w:rPr>
                <w:rFonts w:ascii="Consolas"/>
                <w:sz w:val="20"/>
              </w:rPr>
              <w:t>none</w:t>
            </w:r>
            <w:r>
              <w:rPr>
                <w:sz w:val="22"/>
              </w:rPr>
              <w:t>) Default is </w:t>
            </w:r>
            <w:r>
              <w:rPr>
                <w:rFonts w:ascii="Consolas"/>
                <w:sz w:val="20"/>
              </w:rPr>
              <w:t>none</w:t>
            </w:r>
            <w:r>
              <w:rPr>
                <w:sz w:val="22"/>
              </w:rPr>
              <w:t>, when missing.</w:t>
            </w:r>
          </w:p>
          <w:p>
            <w:pPr>
              <w:pStyle w:val="TableParagraph"/>
              <w:spacing w:before="0"/>
              <w:ind w:left="0"/>
              <w:rPr>
                <w:sz w:val="22"/>
              </w:rPr>
            </w:pPr>
          </w:p>
          <w:p>
            <w:pPr>
              <w:pStyle w:val="TableParagraph"/>
              <w:spacing w:before="1"/>
              <w:ind w:right="531"/>
              <w:rPr>
                <w:sz w:val="22"/>
              </w:rPr>
            </w:pPr>
            <w:r>
              <w:rPr>
                <w:sz w:val="22"/>
              </w:rPr>
              <w:t>The possible values for this attribute are defined by the </w:t>
            </w:r>
            <w:r>
              <w:rPr>
                <w:rFonts w:ascii="Cambria" w:hAnsi="Cambria"/>
                <w:sz w:val="22"/>
              </w:rPr>
              <w:t>ST_PatternType </w:t>
            </w:r>
            <w:r>
              <w:rPr>
                <w:sz w:val="22"/>
              </w:rPr>
              <w:t>simple type </w:t>
            </w:r>
            <w:hyperlink w:history="true" w:anchor="_bookmark877">
              <w:r>
                <w:rPr>
                  <w:sz w:val="22"/>
                </w:rPr>
                <w:t>(§18.18.55</w:t>
              </w:r>
            </w:hyperlink>
            <w:r>
              <w:rPr>
                <w:sz w:val="22"/>
              </w:rPr>
              <w:t>).</w:t>
            </w:r>
          </w:p>
        </w:tc>
      </w:tr>
    </w:tbl>
    <w:p>
      <w:pPr>
        <w:pStyle w:val="BodyText"/>
      </w:pPr>
    </w:p>
    <w:p>
      <w:pPr>
        <w:pStyle w:val="BodyText"/>
        <w:spacing w:before="5"/>
        <w:rPr>
          <w:sz w:val="19"/>
        </w:rPr>
      </w:pPr>
    </w:p>
    <w:p>
      <w:pPr>
        <w:pStyle w:val="BodyText"/>
        <w:spacing w:line="276" w:lineRule="auto"/>
        <w:ind w:left="220" w:right="564"/>
      </w:pPr>
      <w:r>
        <w:rPr/>
        <w:t>[</w:t>
      </w:r>
      <w:r>
        <w:rPr>
          <w:i/>
        </w:rPr>
        <w:t>Note</w:t>
      </w:r>
      <w:r>
        <w:rPr/>
        <w:t>: The W3C XML Schema definition of this element’s content model (</w:t>
      </w:r>
      <w:r>
        <w:rPr>
          <w:color w:val="5F5F5F"/>
          <w:u w:val="single" w:color="5F5F5F"/>
        </w:rPr>
        <w:t>CT_PatternFill</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3 protection (Protection Propertie" w:id="653"/>
      <w:bookmarkEnd w:id="653"/>
      <w:r>
        <w:rPr>
          <w:b w:val="0"/>
        </w:rPr>
      </w:r>
      <w:bookmarkStart w:name="_bookmark216" w:id="654"/>
      <w:bookmarkEnd w:id="654"/>
      <w:r>
        <w:rPr>
          <w:b w:val="0"/>
        </w:rPr>
      </w:r>
      <w:bookmarkStart w:name="_bookmark216" w:id="655"/>
      <w:bookmarkEnd w:id="655"/>
      <w:r>
        <w:rPr>
          <w:color w:val="4F81BC"/>
        </w:rPr>
        <w:t>p</w:t>
      </w:r>
      <w:r>
        <w:rPr>
          <w:color w:val="4F81BC"/>
        </w:rPr>
        <w:t>rotection (Protection</w:t>
      </w:r>
      <w:r>
        <w:rPr>
          <w:color w:val="4F81BC"/>
          <w:spacing w:val="-1"/>
        </w:rPr>
        <w:t> </w:t>
      </w:r>
      <w:r>
        <w:rPr>
          <w:color w:val="4F81BC"/>
        </w:rPr>
        <w:t>Properties)</w:t>
      </w:r>
    </w:p>
    <w:p>
      <w:pPr>
        <w:pStyle w:val="BodyText"/>
        <w:spacing w:line="276" w:lineRule="auto" w:before="124"/>
        <w:ind w:left="220" w:right="531"/>
      </w:pPr>
      <w:r>
        <w:rPr/>
        <w:t>Contains protection properties associated with the cell. Each cell has protection properties that can be set. The cell protection properties do not take effect unless the sheet has been protected.</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6" w:hRule="atLeast"/>
        </w:trPr>
        <w:tc>
          <w:tcPr>
            <w:tcW w:w="2062" w:type="dxa"/>
          </w:tcPr>
          <w:p>
            <w:pPr>
              <w:pStyle w:val="TableParagraph"/>
              <w:ind w:right="501"/>
              <w:rPr>
                <w:sz w:val="22"/>
              </w:rPr>
            </w:pPr>
            <w:r>
              <w:rPr>
                <w:rFonts w:ascii="Cambria"/>
                <w:sz w:val="22"/>
              </w:rPr>
              <w:t>hidden </w:t>
            </w:r>
            <w:r>
              <w:rPr>
                <w:sz w:val="22"/>
              </w:rPr>
              <w:t>(Hidden Cell)</w:t>
            </w:r>
          </w:p>
        </w:tc>
        <w:tc>
          <w:tcPr>
            <w:tcW w:w="8250" w:type="dxa"/>
          </w:tcPr>
          <w:p>
            <w:pPr>
              <w:pStyle w:val="TableParagraph"/>
              <w:ind w:right="94"/>
              <w:rPr>
                <w:sz w:val="22"/>
              </w:rPr>
            </w:pPr>
            <w:r>
              <w:rPr>
                <w:sz w:val="22"/>
              </w:rPr>
              <w:t>A boolean value indicating if the cell is hidden. When the cell is hidden and the sheet on which the cell resides is protected, then the cell value is displayed in the cell grid location, but the contents of the cell will not be displayed in the formula bar. This is true for all types of cell content, including formula, text, or numbers.</w:t>
            </w:r>
          </w:p>
          <w:p>
            <w:pPr>
              <w:pStyle w:val="TableParagraph"/>
              <w:spacing w:before="1"/>
              <w:ind w:left="0"/>
              <w:rPr>
                <w:sz w:val="22"/>
              </w:rPr>
            </w:pPr>
          </w:p>
          <w:p>
            <w:pPr>
              <w:pStyle w:val="TableParagraph"/>
              <w:spacing w:before="0"/>
              <w:ind w:right="106"/>
              <w:rPr>
                <w:sz w:val="22"/>
              </w:rPr>
            </w:pPr>
            <w:r>
              <w:rPr>
                <w:sz w:val="22"/>
              </w:rPr>
              <w:t>Therefore the cell A4 can contain a formula "=SUM(A1:A3)", but if the cell protection property of A4 is marked as hidden, and the sheet is protected, then the cell should display the calculated result [</w:t>
            </w:r>
            <w:r>
              <w:rPr>
                <w:i/>
                <w:sz w:val="22"/>
              </w:rPr>
              <w:t>Example</w:t>
            </w:r>
            <w:r>
              <w:rPr>
                <w:sz w:val="22"/>
              </w:rPr>
              <w:t>: "6" </w:t>
            </w:r>
            <w:r>
              <w:rPr>
                <w:i/>
                <w:sz w:val="22"/>
              </w:rPr>
              <w:t>end example</w:t>
            </w:r>
            <w:r>
              <w:rPr>
                <w:sz w:val="22"/>
              </w:rPr>
              <w:t>], but will not display the formula</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used to calculate the result.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8" w:hRule="atLeast"/>
        </w:trPr>
        <w:tc>
          <w:tcPr>
            <w:tcW w:w="2062" w:type="dxa"/>
          </w:tcPr>
          <w:p>
            <w:pPr>
              <w:pStyle w:val="TableParagraph"/>
              <w:ind w:left="78" w:right="90"/>
              <w:jc w:val="center"/>
              <w:rPr>
                <w:sz w:val="22"/>
              </w:rPr>
            </w:pPr>
            <w:r>
              <w:rPr>
                <w:rFonts w:ascii="Cambria"/>
                <w:sz w:val="22"/>
              </w:rPr>
              <w:t>locked </w:t>
            </w:r>
            <w:r>
              <w:rPr>
                <w:sz w:val="22"/>
              </w:rPr>
              <w:t>(Cell Locked)</w:t>
            </w:r>
          </w:p>
        </w:tc>
        <w:tc>
          <w:tcPr>
            <w:tcW w:w="8250" w:type="dxa"/>
          </w:tcPr>
          <w:p>
            <w:pPr>
              <w:pStyle w:val="TableParagraph"/>
              <w:ind w:right="114"/>
              <w:rPr>
                <w:sz w:val="22"/>
              </w:rPr>
            </w:pPr>
            <w:r>
              <w:rPr>
                <w:sz w:val="22"/>
              </w:rPr>
              <w:t>A boolean value indicating if the cell is locked. When cells are marked as "locked" and the sheet is protected, then the options specified in the Sheet Part's </w:t>
            </w:r>
            <w:r>
              <w:rPr>
                <w:rFonts w:ascii="Cambria" w:hAnsi="Cambria"/>
                <w:sz w:val="22"/>
              </w:rPr>
              <w:t>sheetProtection </w:t>
            </w:r>
            <w:r>
              <w:rPr>
                <w:sz w:val="22"/>
              </w:rPr>
              <w:t>element (</w:t>
            </w:r>
            <w:hyperlink w:history="true" w:anchor="_bookmark117">
              <w:r>
                <w:rPr>
                  <w:sz w:val="22"/>
                </w:rPr>
                <w:t>§18.3.1.85</w:t>
              </w:r>
            </w:hyperlink>
            <w:r>
              <w:rPr>
                <w:sz w:val="22"/>
              </w:rPr>
              <w:t>) are prohibited for these cells.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7"/>
        <w:ind w:left="220"/>
      </w:pPr>
      <w:r>
        <w:rPr/>
        <w:t>[</w:t>
      </w:r>
      <w:r>
        <w:rPr>
          <w:i/>
        </w:rPr>
        <w:t>Note</w:t>
      </w:r>
      <w:r>
        <w:rPr/>
        <w:t>: The W3C XML Schema definition of this element’s content model (</w:t>
      </w:r>
      <w:r>
        <w:rPr>
          <w:color w:val="5F5F5F"/>
          <w:u w:val="single" w:color="5F5F5F"/>
        </w:rPr>
        <w:t>CT_CellProtection</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4 rgbColor (RGB Color)" w:id="656"/>
      <w:bookmarkEnd w:id="656"/>
      <w:r>
        <w:rPr>
          <w:b w:val="0"/>
        </w:rPr>
      </w:r>
      <w:bookmarkStart w:name="_bookmark217" w:id="657"/>
      <w:bookmarkEnd w:id="657"/>
      <w:r>
        <w:rPr>
          <w:b w:val="0"/>
        </w:rPr>
      </w:r>
      <w:bookmarkStart w:name="_bookmark217" w:id="658"/>
      <w:bookmarkEnd w:id="658"/>
      <w:r>
        <w:rPr>
          <w:color w:val="4F81BC"/>
        </w:rPr>
        <w:t>rgb</w:t>
      </w:r>
      <w:r>
        <w:rPr>
          <w:color w:val="4F81BC"/>
        </w:rPr>
        <w:t>Color (RGB</w:t>
      </w:r>
      <w:r>
        <w:rPr>
          <w:color w:val="4F81BC"/>
          <w:spacing w:val="-1"/>
        </w:rPr>
        <w:t> </w:t>
      </w:r>
      <w:r>
        <w:rPr>
          <w:color w:val="4F81BC"/>
        </w:rPr>
        <w:t>Color)</w:t>
      </w:r>
    </w:p>
    <w:p>
      <w:pPr>
        <w:pStyle w:val="BodyText"/>
        <w:spacing w:before="124"/>
        <w:ind w:left="220"/>
      </w:pPr>
      <w:r>
        <w:rPr/>
        <w:t>A single ARGB entry for the corresponding color index.</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73"/>
              <w:rPr>
                <w:sz w:val="22"/>
              </w:rPr>
            </w:pPr>
            <w:r>
              <w:rPr>
                <w:rFonts w:ascii="Cambria"/>
                <w:sz w:val="22"/>
              </w:rPr>
              <w:t>rgb </w:t>
            </w:r>
            <w:r>
              <w:rPr>
                <w:sz w:val="22"/>
              </w:rPr>
              <w:t>(Alpha Red Green Blue)</w:t>
            </w:r>
          </w:p>
        </w:tc>
        <w:tc>
          <w:tcPr>
            <w:tcW w:w="8250" w:type="dxa"/>
          </w:tcPr>
          <w:p>
            <w:pPr>
              <w:pStyle w:val="TableParagraph"/>
              <w:rPr>
                <w:sz w:val="22"/>
              </w:rPr>
            </w:pPr>
            <w:r>
              <w:rPr>
                <w:sz w:val="22"/>
              </w:rPr>
              <w:t>Color value expressed in Alpha Red Green Blue format (ARGB).</w:t>
            </w:r>
          </w:p>
          <w:p>
            <w:pPr>
              <w:pStyle w:val="TableParagraph"/>
              <w:spacing w:before="0"/>
              <w:ind w:left="0"/>
              <w:rPr>
                <w:sz w:val="22"/>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bl>
    <w:p>
      <w:pPr>
        <w:pStyle w:val="BodyText"/>
      </w:pPr>
    </w:p>
    <w:p>
      <w:pPr>
        <w:pStyle w:val="BodyText"/>
        <w:spacing w:before="5"/>
        <w:rPr>
          <w:sz w:val="19"/>
        </w:rPr>
      </w:pPr>
    </w:p>
    <w:p>
      <w:pPr>
        <w:pStyle w:val="BodyText"/>
        <w:spacing w:line="276" w:lineRule="auto"/>
        <w:ind w:left="220" w:right="670"/>
      </w:pPr>
      <w:r>
        <w:rPr/>
        <w:t>[</w:t>
      </w:r>
      <w:r>
        <w:rPr>
          <w:i/>
        </w:rPr>
        <w:t>Note</w:t>
      </w:r>
      <w:r>
        <w:rPr/>
        <w:t>: The W3C XML Schema definition of this element’s content model (</w:t>
      </w:r>
      <w:r>
        <w:rPr>
          <w:color w:val="5F5F5F"/>
          <w:u w:val="single" w:color="5F5F5F"/>
        </w:rPr>
        <w:t>CT_RgbColor</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35 scheme (Scheme)" w:id="659"/>
      <w:bookmarkEnd w:id="659"/>
      <w:r>
        <w:rPr>
          <w:b w:val="0"/>
        </w:rPr>
      </w:r>
      <w:bookmarkStart w:name="_bookmark218" w:id="660"/>
      <w:bookmarkEnd w:id="660"/>
      <w:r>
        <w:rPr>
          <w:b w:val="0"/>
        </w:rPr>
      </w:r>
      <w:bookmarkStart w:name="_bookmark218" w:id="661"/>
      <w:bookmarkEnd w:id="661"/>
      <w:r>
        <w:rPr>
          <w:color w:val="4F81BC"/>
        </w:rPr>
        <w:t>sc</w:t>
      </w:r>
      <w:r>
        <w:rPr>
          <w:color w:val="4F81BC"/>
        </w:rPr>
        <w:t>heme</w:t>
      </w:r>
      <w:r>
        <w:rPr>
          <w:color w:val="4F81BC"/>
          <w:spacing w:val="-1"/>
        </w:rPr>
        <w:t> </w:t>
      </w:r>
      <w:r>
        <w:rPr>
          <w:color w:val="4F81BC"/>
        </w:rPr>
        <w:t>(Scheme)</w:t>
      </w:r>
    </w:p>
    <w:p>
      <w:pPr>
        <w:pStyle w:val="BodyText"/>
        <w:spacing w:line="276" w:lineRule="auto" w:before="124"/>
        <w:ind w:left="220" w:right="512"/>
      </w:pPr>
      <w:r>
        <w:rPr/>
        <w:t>Defines the font scheme, if any, to which this font belongs. When a font definition is part of a theme definition, then the font is categorized as either a major or minor font scheme component. When a new theme is chosen, every font that is part of a theme definition is updated to use the new major or minor font definition for that theme. Usually major fonts are used for styles like headings, and minor fonts are used for body and paragraph text.</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3"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42"/>
              <w:rPr>
                <w:sz w:val="22"/>
              </w:rPr>
            </w:pPr>
            <w:r>
              <w:rPr>
                <w:rFonts w:ascii="Cambria"/>
                <w:sz w:val="22"/>
              </w:rPr>
              <w:t>val </w:t>
            </w:r>
            <w:r>
              <w:rPr>
                <w:sz w:val="22"/>
              </w:rPr>
              <w:t>(Font Scheme)</w:t>
            </w:r>
          </w:p>
        </w:tc>
        <w:tc>
          <w:tcPr>
            <w:tcW w:w="8250" w:type="dxa"/>
          </w:tcPr>
          <w:p>
            <w:pPr>
              <w:pStyle w:val="TableParagraph"/>
              <w:spacing w:before="42"/>
              <w:rPr>
                <w:sz w:val="22"/>
              </w:rPr>
            </w:pPr>
            <w:r>
              <w:rPr>
                <w:sz w:val="22"/>
              </w:rPr>
              <w:t>Sets font scheme property.</w:t>
            </w:r>
          </w:p>
          <w:p>
            <w:pPr>
              <w:pStyle w:val="TableParagraph"/>
              <w:spacing w:before="10"/>
              <w:ind w:left="0"/>
              <w:rPr>
                <w:sz w:val="21"/>
              </w:rPr>
            </w:pPr>
          </w:p>
          <w:p>
            <w:pPr>
              <w:pStyle w:val="TableParagraph"/>
              <w:spacing w:before="0"/>
              <w:ind w:right="547"/>
              <w:rPr>
                <w:sz w:val="22"/>
              </w:rPr>
            </w:pPr>
            <w:r>
              <w:rPr>
                <w:sz w:val="22"/>
              </w:rPr>
              <w:t>The possible values for this attribute are defined by the </w:t>
            </w:r>
            <w:r>
              <w:rPr>
                <w:rFonts w:ascii="Cambria" w:hAnsi="Cambria"/>
                <w:sz w:val="22"/>
              </w:rPr>
              <w:t>ST_FontScheme </w:t>
            </w:r>
            <w:r>
              <w:rPr>
                <w:sz w:val="22"/>
              </w:rPr>
              <w:t>simple type </w:t>
            </w:r>
            <w:hyperlink w:history="true" w:anchor="_bookmark855">
              <w:r>
                <w:rPr>
                  <w:sz w:val="22"/>
                </w:rPr>
                <w:t>(§18.18.33</w:t>
              </w:r>
            </w:hyperlink>
            <w:r>
              <w:rPr>
                <w:sz w:val="22"/>
              </w:rPr>
              <w:t>).</w:t>
            </w:r>
          </w:p>
        </w:tc>
      </w:tr>
    </w:tbl>
    <w:p>
      <w:pPr>
        <w:spacing w:after="0"/>
        <w:rPr>
          <w:sz w:val="22"/>
        </w:rPr>
        <w:sectPr>
          <w:pgSz w:w="12240" w:h="15840"/>
          <w:pgMar w:header="763" w:footer="746" w:top="1340" w:bottom="940" w:left="860" w:right="700"/>
        </w:sectPr>
      </w:pPr>
    </w:p>
    <w:p>
      <w:pPr>
        <w:pStyle w:val="BodyText"/>
        <w:spacing w:line="278" w:lineRule="auto" w:before="90"/>
        <w:ind w:left="220" w:right="374"/>
      </w:pPr>
      <w:r>
        <w:rPr/>
        <w:t>[</w:t>
      </w:r>
      <w:r>
        <w:rPr>
          <w:i/>
        </w:rPr>
        <w:t>Note</w:t>
      </w:r>
      <w:r>
        <w:rPr/>
        <w:t>: The W3C XML Schema definition of this element’s content model (</w:t>
      </w:r>
      <w:r>
        <w:rPr>
          <w:color w:val="5F5F5F"/>
          <w:u w:val="single" w:color="5F5F5F"/>
        </w:rPr>
        <w:t>CT_FontScheme</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6 shadow (Shadow)" w:id="662"/>
      <w:bookmarkEnd w:id="662"/>
      <w:r>
        <w:rPr>
          <w:b w:val="0"/>
        </w:rPr>
      </w:r>
      <w:bookmarkStart w:name="_bookmark219" w:id="663"/>
      <w:bookmarkEnd w:id="663"/>
      <w:r>
        <w:rPr>
          <w:b w:val="0"/>
        </w:rPr>
      </w:r>
      <w:bookmarkStart w:name="_bookmark219" w:id="664"/>
      <w:bookmarkEnd w:id="664"/>
      <w:r>
        <w:rPr>
          <w:color w:val="4F81BC"/>
        </w:rPr>
        <w:t>s</w:t>
      </w:r>
      <w:r>
        <w:rPr>
          <w:color w:val="4F81BC"/>
        </w:rPr>
        <w:t>hadow</w:t>
      </w:r>
      <w:r>
        <w:rPr>
          <w:color w:val="4F81BC"/>
          <w:spacing w:val="-1"/>
        </w:rPr>
        <w:t> </w:t>
      </w:r>
      <w:r>
        <w:rPr>
          <w:color w:val="4F81BC"/>
        </w:rPr>
        <w:t>(Shadow)</w:t>
      </w:r>
    </w:p>
    <w:p>
      <w:pPr>
        <w:pStyle w:val="BodyText"/>
        <w:spacing w:line="276" w:lineRule="auto" w:before="121"/>
        <w:ind w:left="220" w:right="620"/>
        <w:jc w:val="both"/>
      </w:pPr>
      <w:r>
        <w:rPr/>
        <w:t>Macintosh compatibility setting. Represents special word/character rendering on Macintosh, when this flag is set. The effect is to render a shadow behind, beneath and to the right of the text. SpreadsheetML applications are not required to render according to this flag.</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699" w:hRule="atLeast"/>
        </w:trPr>
        <w:tc>
          <w:tcPr>
            <w:tcW w:w="2062" w:type="dxa"/>
          </w:tcPr>
          <w:p>
            <w:pPr>
              <w:pStyle w:val="TableParagraph"/>
              <w:rPr>
                <w:sz w:val="22"/>
              </w:rPr>
            </w:pPr>
            <w:r>
              <w:rPr>
                <w:rFonts w:ascii="Cambria"/>
                <w:sz w:val="22"/>
              </w:rPr>
              <w:t>val </w:t>
            </w:r>
            <w:r>
              <w:rPr>
                <w:sz w:val="22"/>
              </w:rPr>
              <w:t>(Value)</w:t>
            </w:r>
          </w:p>
        </w:tc>
        <w:tc>
          <w:tcPr>
            <w:tcW w:w="8250" w:type="dxa"/>
          </w:tcPr>
          <w:p>
            <w:pPr>
              <w:pStyle w:val="TableParagraph"/>
              <w:spacing w:line="480" w:lineRule="auto"/>
              <w:ind w:right="1778"/>
              <w:rPr>
                <w:sz w:val="22"/>
              </w:rPr>
            </w:pPr>
            <w:r>
              <w:rPr>
                <w:sz w:val="22"/>
              </w:rPr>
              <w:t>A boolean value for the property specified by the parent XML element. If omitted, the default value is </w:t>
            </w:r>
            <w:r>
              <w:rPr>
                <w:rFonts w:ascii="Consolas"/>
                <w:sz w:val="20"/>
              </w:rPr>
              <w:t>true</w:t>
            </w:r>
            <w:r>
              <w:rPr>
                <w:sz w:val="22"/>
              </w:rPr>
              <w:t>.</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CT_BooleanProperty</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37 start (Leading Edge Border)" w:id="665"/>
      <w:bookmarkEnd w:id="665"/>
      <w:r>
        <w:rPr>
          <w:b w:val="0"/>
        </w:rPr>
      </w:r>
      <w:bookmarkStart w:name="_bookmark220" w:id="666"/>
      <w:bookmarkEnd w:id="666"/>
      <w:r>
        <w:rPr>
          <w:b w:val="0"/>
        </w:rPr>
      </w:r>
      <w:bookmarkStart w:name="_bookmark220" w:id="667"/>
      <w:bookmarkEnd w:id="667"/>
      <w:r>
        <w:rPr>
          <w:color w:val="4F81BC"/>
        </w:rPr>
        <w:t>s</w:t>
      </w:r>
      <w:r>
        <w:rPr>
          <w:color w:val="4F81BC"/>
        </w:rPr>
        <w:t>tart (Leading Edge</w:t>
      </w:r>
      <w:r>
        <w:rPr>
          <w:color w:val="4F81BC"/>
          <w:spacing w:val="-4"/>
        </w:rPr>
        <w:t> </w:t>
      </w:r>
      <w:r>
        <w:rPr>
          <w:color w:val="4F81BC"/>
        </w:rPr>
        <w:t>Border)</w:t>
      </w:r>
    </w:p>
    <w:p>
      <w:pPr>
        <w:pStyle w:val="BodyText"/>
        <w:spacing w:line="278" w:lineRule="auto" w:before="121"/>
        <w:ind w:left="220" w:right="627"/>
        <w:jc w:val="both"/>
      </w:pPr>
      <w:r>
        <w:rPr/>
        <w:t>This element specifies the color and line style for the leading edge border of a cell (i.e., the left border for left- to-right cells and the right border for right-to-left cells).</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style </w:t>
            </w:r>
            <w:r>
              <w:rPr>
                <w:sz w:val="22"/>
              </w:rPr>
              <w:t>(Line Style)</w:t>
            </w:r>
          </w:p>
        </w:tc>
        <w:tc>
          <w:tcPr>
            <w:tcW w:w="8250" w:type="dxa"/>
          </w:tcPr>
          <w:p>
            <w:pPr>
              <w:pStyle w:val="TableParagraph"/>
              <w:rPr>
                <w:sz w:val="22"/>
              </w:rPr>
            </w:pPr>
            <w:r>
              <w:rPr>
                <w:sz w:val="22"/>
              </w:rPr>
              <w:t>The line style for this border.</w:t>
            </w:r>
          </w:p>
          <w:p>
            <w:pPr>
              <w:pStyle w:val="TableParagraph"/>
              <w:spacing w:before="10"/>
              <w:ind w:left="0"/>
              <w:rPr>
                <w:sz w:val="21"/>
              </w:rPr>
            </w:pPr>
          </w:p>
          <w:p>
            <w:pPr>
              <w:pStyle w:val="TableParagraph"/>
              <w:spacing w:before="0"/>
              <w:ind w:right="581"/>
              <w:rPr>
                <w:sz w:val="22"/>
              </w:rPr>
            </w:pPr>
            <w:r>
              <w:rPr>
                <w:sz w:val="22"/>
              </w:rPr>
              <w:t>The possible values for this attribute are defined by the </w:t>
            </w:r>
            <w:r>
              <w:rPr>
                <w:rFonts w:ascii="Cambria" w:hAnsi="Cambria"/>
                <w:sz w:val="22"/>
              </w:rPr>
              <w:t>ST_BorderStyle </w:t>
            </w:r>
            <w:r>
              <w:rPr>
                <w:sz w:val="22"/>
              </w:rPr>
              <w:t>simple type </w:t>
            </w:r>
            <w:hyperlink w:history="true" w:anchor="_bookmark825">
              <w:r>
                <w:rPr>
                  <w:sz w:val="22"/>
                </w:rPr>
                <w:t>(§18.18.3</w:t>
              </w:r>
            </w:hyperlink>
            <w:r>
              <w:rPr>
                <w:sz w:val="22"/>
              </w:rPr>
              <w:t>).</w:t>
            </w:r>
          </w:p>
        </w:tc>
      </w:tr>
    </w:tbl>
    <w:p>
      <w:pPr>
        <w:pStyle w:val="BodyText"/>
      </w:pPr>
    </w:p>
    <w:p>
      <w:pPr>
        <w:pStyle w:val="BodyText"/>
        <w:spacing w:before="5"/>
        <w:rPr>
          <w:sz w:val="19"/>
        </w:rPr>
      </w:pPr>
    </w:p>
    <w:p>
      <w:pPr>
        <w:pStyle w:val="BodyText"/>
        <w:spacing w:line="278" w:lineRule="auto"/>
        <w:ind w:left="220" w:right="696"/>
        <w:jc w:val="both"/>
      </w:pPr>
      <w:r>
        <w:rPr/>
        <w:t>[</w:t>
      </w:r>
      <w:r>
        <w:rPr>
          <w:i/>
        </w:rPr>
        <w:t>Note</w:t>
      </w:r>
      <w:r>
        <w:rPr/>
        <w:t>: The W3C XML Schema definition of this element’s content model (</w:t>
      </w:r>
      <w:r>
        <w:rPr>
          <w:color w:val="5F5F5F"/>
          <w:u w:val="single" w:color="5F5F5F"/>
        </w:rPr>
        <w:t>CT_BorderPr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38 stop (Gradient Stop)" w:id="668"/>
      <w:bookmarkEnd w:id="668"/>
      <w:r>
        <w:rPr>
          <w:b w:val="0"/>
        </w:rPr>
      </w:r>
      <w:bookmarkStart w:name="_bookmark221" w:id="669"/>
      <w:bookmarkEnd w:id="669"/>
      <w:r>
        <w:rPr>
          <w:b w:val="0"/>
        </w:rPr>
      </w:r>
      <w:bookmarkStart w:name="_bookmark221" w:id="670"/>
      <w:bookmarkEnd w:id="670"/>
      <w:r>
        <w:rPr>
          <w:color w:val="4F81BC"/>
        </w:rPr>
        <w:t>s</w:t>
      </w:r>
      <w:r>
        <w:rPr>
          <w:color w:val="4F81BC"/>
        </w:rPr>
        <w:t>top (Gradient</w:t>
      </w:r>
      <w:r>
        <w:rPr>
          <w:color w:val="4F81BC"/>
          <w:spacing w:val="-4"/>
        </w:rPr>
        <w:t> </w:t>
      </w:r>
      <w:r>
        <w:rPr>
          <w:color w:val="4F81BC"/>
        </w:rPr>
        <w:t>Stop)</w:t>
      </w:r>
    </w:p>
    <w:p>
      <w:pPr>
        <w:pStyle w:val="BodyText"/>
        <w:spacing w:before="124"/>
        <w:ind w:left="220"/>
      </w:pPr>
      <w:r>
        <w:rPr/>
        <w:t>One of a sequence of two or more gradient stops, constituting this gradient fill.</w:t>
      </w:r>
    </w:p>
    <w:p>
      <w:pPr>
        <w:pStyle w:val="BodyText"/>
        <w:spacing w:before="10"/>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698" w:hRule="atLeast"/>
        </w:trPr>
        <w:tc>
          <w:tcPr>
            <w:tcW w:w="2062" w:type="dxa"/>
          </w:tcPr>
          <w:p>
            <w:pPr>
              <w:pStyle w:val="TableParagraph"/>
              <w:ind w:right="246"/>
              <w:rPr>
                <w:sz w:val="22"/>
              </w:rPr>
            </w:pPr>
            <w:r>
              <w:rPr>
                <w:rFonts w:ascii="Cambria"/>
                <w:sz w:val="22"/>
              </w:rPr>
              <w:t>position </w:t>
            </w:r>
            <w:r>
              <w:rPr>
                <w:sz w:val="22"/>
              </w:rPr>
              <w:t>(Gradient Stop Position)</w:t>
            </w:r>
          </w:p>
        </w:tc>
        <w:tc>
          <w:tcPr>
            <w:tcW w:w="8250" w:type="dxa"/>
          </w:tcPr>
          <w:p>
            <w:pPr>
              <w:pStyle w:val="TableParagraph"/>
              <w:ind w:right="130"/>
              <w:rPr>
                <w:sz w:val="22"/>
              </w:rPr>
            </w:pPr>
            <w:r>
              <w:rPr>
                <w:sz w:val="22"/>
              </w:rPr>
              <w:t>Position information for this gradient stop. Interpreted exactly like </w:t>
            </w:r>
            <w:r>
              <w:rPr>
                <w:rFonts w:ascii="Cambria"/>
                <w:sz w:val="22"/>
              </w:rPr>
              <w:t>gradientFill left</w:t>
            </w:r>
            <w:r>
              <w:rPr>
                <w:sz w:val="22"/>
              </w:rPr>
              <w:t>, </w:t>
            </w:r>
            <w:r>
              <w:rPr>
                <w:rFonts w:ascii="Cambria"/>
                <w:sz w:val="22"/>
              </w:rPr>
              <w:t>right</w:t>
            </w:r>
            <w:r>
              <w:rPr>
                <w:sz w:val="22"/>
              </w:rPr>
              <w:t>, </w:t>
            </w:r>
            <w:r>
              <w:rPr>
                <w:rFonts w:ascii="Cambria"/>
                <w:sz w:val="22"/>
              </w:rPr>
              <w:t>bottom</w:t>
            </w:r>
            <w:r>
              <w:rPr>
                <w:sz w:val="22"/>
              </w:rPr>
              <w:t>, </w:t>
            </w:r>
            <w:r>
              <w:rPr>
                <w:rFonts w:ascii="Cambria"/>
                <w:sz w:val="22"/>
              </w:rPr>
              <w:t>top</w:t>
            </w:r>
            <w:r>
              <w:rPr>
                <w:sz w:val="22"/>
              </w:rPr>
              <w:t>. The position indicated here indicates the point where the color is pure. Before and and after this position the color can be in transition (or pure, depending on if this is the last stop or not).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tc>
      </w:tr>
    </w:tbl>
    <w:p>
      <w:pPr>
        <w:spacing w:after="0"/>
        <w:rPr>
          <w:rFonts w:ascii="Cambria"/>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CT_GradientStop</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39 styleSheet (Style Sheet)" w:id="671"/>
      <w:bookmarkEnd w:id="671"/>
      <w:r>
        <w:rPr>
          <w:b w:val="0"/>
        </w:rPr>
      </w:r>
      <w:bookmarkStart w:name="_bookmark222" w:id="672"/>
      <w:bookmarkEnd w:id="672"/>
      <w:r>
        <w:rPr>
          <w:b w:val="0"/>
        </w:rPr>
      </w:r>
      <w:bookmarkStart w:name="_bookmark222" w:id="673"/>
      <w:bookmarkEnd w:id="673"/>
      <w:r>
        <w:rPr>
          <w:color w:val="4F81BC"/>
        </w:rPr>
        <w:t>s</w:t>
      </w:r>
      <w:r>
        <w:rPr>
          <w:color w:val="4F81BC"/>
        </w:rPr>
        <w:t>tyleSheet (Style</w:t>
      </w:r>
      <w:r>
        <w:rPr>
          <w:color w:val="4F81BC"/>
          <w:spacing w:val="-1"/>
        </w:rPr>
        <w:t> </w:t>
      </w:r>
      <w:r>
        <w:rPr>
          <w:color w:val="4F81BC"/>
        </w:rPr>
        <w:t>Sheet)</w:t>
      </w:r>
    </w:p>
    <w:p>
      <w:pPr>
        <w:pStyle w:val="BodyText"/>
        <w:spacing w:before="124"/>
        <w:ind w:left="220"/>
      </w:pPr>
      <w:r>
        <w:rPr/>
        <w:t>This is the root element of the Styles part.</w:t>
      </w:r>
    </w:p>
    <w:p>
      <w:pPr>
        <w:pStyle w:val="BodyText"/>
        <w:spacing w:before="5"/>
        <w:rPr>
          <w:sz w:val="19"/>
        </w:rPr>
      </w:pPr>
    </w:p>
    <w:p>
      <w:pPr>
        <w:pStyle w:val="BodyText"/>
        <w:spacing w:line="278" w:lineRule="auto"/>
        <w:ind w:left="220" w:right="556"/>
      </w:pPr>
      <w:r>
        <w:rPr/>
        <w:t>[</w:t>
      </w:r>
      <w:r>
        <w:rPr>
          <w:i/>
        </w:rPr>
        <w:t>Note</w:t>
      </w:r>
      <w:r>
        <w:rPr/>
        <w:t>: The W3C XML Schema definition of this element’s content model (</w:t>
      </w:r>
      <w:r>
        <w:rPr>
          <w:color w:val="5F5F5F"/>
          <w:u w:val="single" w:color="5F5F5F"/>
        </w:rPr>
        <w:t>CT_Stylesheet</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40 tableStyle (Table Style)" w:id="674"/>
      <w:bookmarkEnd w:id="674"/>
      <w:r>
        <w:rPr>
          <w:b w:val="0"/>
        </w:rPr>
      </w:r>
      <w:bookmarkStart w:name="_bookmark223" w:id="675"/>
      <w:bookmarkEnd w:id="675"/>
      <w:r>
        <w:rPr>
          <w:b w:val="0"/>
        </w:rPr>
      </w:r>
      <w:bookmarkStart w:name="_bookmark223" w:id="676"/>
      <w:bookmarkEnd w:id="676"/>
      <w:r>
        <w:rPr>
          <w:color w:val="4F81BC"/>
        </w:rPr>
        <w:t>t</w:t>
      </w:r>
      <w:r>
        <w:rPr>
          <w:color w:val="4F81BC"/>
        </w:rPr>
        <w:t>ableStyle (Table</w:t>
      </w:r>
      <w:r>
        <w:rPr>
          <w:color w:val="4F81BC"/>
          <w:spacing w:val="-2"/>
        </w:rPr>
        <w:t> </w:t>
      </w:r>
      <w:r>
        <w:rPr>
          <w:color w:val="4F81BC"/>
        </w:rPr>
        <w:t>Style)</w:t>
      </w:r>
    </w:p>
    <w:p>
      <w:pPr>
        <w:pStyle w:val="BodyText"/>
        <w:spacing w:line="278" w:lineRule="auto" w:before="122"/>
        <w:ind w:left="220" w:right="965"/>
      </w:pPr>
      <w:r>
        <w:rPr/>
        <w:t>This element represents a single table style definition that indicates how a spreadsheet application should format and display a table.</w:t>
      </w:r>
    </w:p>
    <w:p>
      <w:pPr>
        <w:pStyle w:val="BodyText"/>
        <w:spacing w:line="276" w:lineRule="auto" w:before="195"/>
        <w:ind w:left="220" w:right="473"/>
      </w:pPr>
      <w:r>
        <w:rPr/>
        <w:t>Each of the </w:t>
      </w:r>
      <w:r>
        <w:rPr>
          <w:rFonts w:ascii="Cambria"/>
        </w:rPr>
        <w:t>tableStyle </w:t>
      </w:r>
      <w:r>
        <w:rPr/>
        <w:t>elements contains a collection of </w:t>
      </w:r>
      <w:r>
        <w:rPr>
          <w:rFonts w:ascii="Cambria"/>
        </w:rPr>
        <w:t>tableStyleElement </w:t>
      </w:r>
      <w:r>
        <w:rPr/>
        <w:t>elements that define formatting for a particular region of the table.</w:t>
      </w:r>
    </w:p>
    <w:p>
      <w:pPr>
        <w:pStyle w:val="BodyText"/>
        <w:spacing w:before="3"/>
        <w:rPr>
          <w:sz w:val="16"/>
        </w:rPr>
      </w:pPr>
    </w:p>
    <w:p>
      <w:pPr>
        <w:pStyle w:val="BodyText"/>
        <w:spacing w:line="278" w:lineRule="auto"/>
        <w:ind w:left="220" w:right="591"/>
      </w:pPr>
      <w:r>
        <w:rPr/>
        <w:t>Annex G contains a listing of table styles whose </w:t>
      </w:r>
      <w:r>
        <w:rPr>
          <w:rFonts w:ascii="Cambria"/>
        </w:rPr>
        <w:t>tableStyleElement elements </w:t>
      </w:r>
      <w:r>
        <w:rPr/>
        <w:t>are implied rather than explicitly saved in the file. In this case, a </w:t>
      </w:r>
      <w:r>
        <w:rPr>
          <w:rFonts w:ascii="Cambria"/>
        </w:rPr>
        <w:t>name </w:t>
      </w:r>
      <w:r>
        <w:rPr/>
        <w:t>attribute is written on the tableStyle record, but no corresponding </w:t>
      </w:r>
      <w:r>
        <w:rPr>
          <w:rFonts w:ascii="Cambria"/>
        </w:rPr>
        <w:t>tableStyleElement </w:t>
      </w:r>
      <w:r>
        <w:rPr/>
        <w:t>elements are written.</w:t>
      </w:r>
    </w:p>
    <w:p>
      <w:pPr>
        <w:pStyle w:val="BodyText"/>
        <w:spacing w:line="278" w:lineRule="auto" w:before="194"/>
        <w:ind w:left="220" w:right="862"/>
      </w:pPr>
      <w:r>
        <w:rPr/>
        <w:t>All of the built-in, named table styles defined in Annex G shall be supported by applications that implement table styles.</w:t>
      </w:r>
    </w:p>
    <w:p>
      <w:pPr>
        <w:pStyle w:val="BodyText"/>
        <w:spacing w:line="276" w:lineRule="auto" w:before="195"/>
        <w:ind w:left="220" w:right="374"/>
      </w:pPr>
      <w:r>
        <w:rPr/>
        <w:t>[</w:t>
      </w:r>
      <w:r>
        <w:rPr>
          <w:i/>
        </w:rPr>
        <w:t>Note</w:t>
      </w:r>
      <w:r>
        <w:rPr/>
        <w:t>: Each of the table styles is made up of a collection of formatting definitions, each of which corresponds to a particular structured region of the table. An application can decide to support these built-in types, and can also decide to define more styles, each with their own definitions. An application can also decide whether the user is allowed to customize or further define additional table styles. </w:t>
      </w:r>
      <w:r>
        <w:rPr>
          <w:i/>
        </w:rPr>
        <w:t>end note</w:t>
      </w:r>
      <w:r>
        <w:rPr/>
        <w:t>]</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spacing w:line="237" w:lineRule="auto" w:before="42"/>
              <w:ind w:right="297"/>
              <w:rPr>
                <w:sz w:val="22"/>
              </w:rPr>
            </w:pPr>
            <w:r>
              <w:rPr>
                <w:rFonts w:ascii="Cambria"/>
                <w:sz w:val="22"/>
              </w:rPr>
              <w:t>count </w:t>
            </w:r>
            <w:r>
              <w:rPr>
                <w:sz w:val="22"/>
              </w:rPr>
              <w:t>(Table Style Count)</w:t>
            </w:r>
          </w:p>
        </w:tc>
        <w:tc>
          <w:tcPr>
            <w:tcW w:w="8250" w:type="dxa"/>
          </w:tcPr>
          <w:p>
            <w:pPr>
              <w:pStyle w:val="TableParagraph"/>
              <w:rPr>
                <w:sz w:val="22"/>
              </w:rPr>
            </w:pPr>
            <w:r>
              <w:rPr>
                <w:sz w:val="22"/>
              </w:rPr>
              <w:t>Count of table style elements defined for this table style.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309"/>
              <w:rPr>
                <w:sz w:val="22"/>
              </w:rPr>
            </w:pPr>
            <w:r>
              <w:rPr>
                <w:rFonts w:ascii="Cambria"/>
                <w:sz w:val="22"/>
              </w:rPr>
              <w:t>name </w:t>
            </w:r>
            <w:r>
              <w:rPr>
                <w:sz w:val="22"/>
              </w:rPr>
              <w:t>(Table Style Name)</w:t>
            </w:r>
          </w:p>
        </w:tc>
        <w:tc>
          <w:tcPr>
            <w:tcW w:w="8250" w:type="dxa"/>
          </w:tcPr>
          <w:p>
            <w:pPr>
              <w:pStyle w:val="TableParagraph"/>
              <w:rPr>
                <w:sz w:val="22"/>
              </w:rPr>
            </w:pPr>
            <w:r>
              <w:rPr>
                <w:sz w:val="22"/>
              </w:rPr>
              <w:t>Name of this table style.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892" w:hRule="atLeast"/>
        </w:trPr>
        <w:tc>
          <w:tcPr>
            <w:tcW w:w="2062" w:type="dxa"/>
          </w:tcPr>
          <w:p>
            <w:pPr>
              <w:pStyle w:val="TableParagraph"/>
              <w:rPr>
                <w:sz w:val="22"/>
              </w:rPr>
            </w:pPr>
            <w:r>
              <w:rPr>
                <w:rFonts w:ascii="Cambria"/>
                <w:sz w:val="22"/>
              </w:rPr>
              <w:t>pivot </w:t>
            </w:r>
            <w:r>
              <w:rPr>
                <w:sz w:val="22"/>
              </w:rPr>
              <w:t>(Pivot Style)</w:t>
            </w:r>
          </w:p>
        </w:tc>
        <w:tc>
          <w:tcPr>
            <w:tcW w:w="8250" w:type="dxa"/>
          </w:tcPr>
          <w:p>
            <w:pPr>
              <w:pStyle w:val="TableParagraph"/>
              <w:rPr>
                <w:sz w:val="22"/>
              </w:rPr>
            </w:pPr>
            <w:r>
              <w:rPr>
                <w:sz w:val="22"/>
              </w:rPr>
              <w:t>'True' if this table style should be shown as an available pivot table style.</w:t>
            </w:r>
          </w:p>
          <w:p>
            <w:pPr>
              <w:pStyle w:val="TableParagraph"/>
              <w:spacing w:before="0"/>
              <w:ind w:left="0"/>
              <w:rPr>
                <w:sz w:val="22"/>
              </w:rPr>
            </w:pPr>
          </w:p>
          <w:p>
            <w:pPr>
              <w:pStyle w:val="TableParagraph"/>
              <w:spacing w:before="0"/>
              <w:rPr>
                <w:sz w:val="22"/>
              </w:rPr>
            </w:pPr>
            <w:r>
              <w:rPr>
                <w:sz w:val="22"/>
              </w:rPr>
              <w:t>Not mutually exclusive with </w:t>
            </w:r>
            <w:r>
              <w:rPr>
                <w:rFonts w:ascii="Cambria"/>
                <w:sz w:val="22"/>
              </w:rPr>
              <w:t>table </w:t>
            </w:r>
            <w:r>
              <w:rPr>
                <w:sz w:val="22"/>
              </w:rPr>
              <w:t>- both can be </w:t>
            </w:r>
            <w:r>
              <w:rPr>
                <w:rFonts w:ascii="Consolas"/>
                <w:sz w:val="20"/>
              </w:rPr>
              <w:t>true</w:t>
            </w: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rPr>
                <w:sz w:val="22"/>
              </w:rPr>
            </w:pPr>
            <w:r>
              <w:rPr>
                <w:rFonts w:ascii="Cambria"/>
                <w:sz w:val="22"/>
              </w:rPr>
              <w:t>table </w:t>
            </w:r>
            <w:r>
              <w:rPr>
                <w:sz w:val="22"/>
              </w:rPr>
              <w:t>(Table)</w:t>
            </w:r>
          </w:p>
        </w:tc>
        <w:tc>
          <w:tcPr>
            <w:tcW w:w="8250" w:type="dxa"/>
          </w:tcPr>
          <w:p>
            <w:pPr>
              <w:pStyle w:val="TableParagraph"/>
              <w:spacing w:line="477" w:lineRule="auto"/>
              <w:ind w:right="2233"/>
              <w:rPr>
                <w:sz w:val="22"/>
              </w:rPr>
            </w:pPr>
            <w:r>
              <w:rPr>
                <w:sz w:val="22"/>
              </w:rPr>
              <w:t>True if this table style should be shown as an available table style. Not mutually exclusive with </w:t>
            </w:r>
            <w:r>
              <w:rPr>
                <w:rFonts w:ascii="Cambria"/>
                <w:sz w:val="22"/>
              </w:rPr>
              <w:t>pivot </w:t>
            </w:r>
            <w:r>
              <w:rPr>
                <w:sz w:val="22"/>
              </w:rPr>
              <w:t>- both can be </w:t>
            </w:r>
            <w:r>
              <w:rPr>
                <w:rFonts w:ascii="Consolas"/>
                <w:sz w:val="20"/>
              </w:rPr>
              <w:t>true</w:t>
            </w:r>
            <w:r>
              <w:rPr>
                <w:sz w:val="22"/>
              </w:rPr>
              <w:t>.</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562"/>
      </w:pPr>
      <w:r>
        <w:rPr/>
        <w:t>[</w:t>
      </w:r>
      <w:r>
        <w:rPr>
          <w:i/>
        </w:rPr>
        <w:t>Note</w:t>
      </w:r>
      <w:r>
        <w:rPr/>
        <w:t>: The W3C XML Schema definition of this element’s content model (</w:t>
      </w:r>
      <w:r>
        <w:rPr>
          <w:color w:val="5F5F5F"/>
          <w:u w:val="single" w:color="5F5F5F"/>
        </w:rPr>
        <w:t>CT_TableStyle</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41 tableStyleElement (Table Style)" w:id="677"/>
      <w:bookmarkEnd w:id="677"/>
      <w:r>
        <w:rPr>
          <w:b w:val="0"/>
        </w:rPr>
      </w:r>
      <w:bookmarkStart w:name="_bookmark224" w:id="678"/>
      <w:bookmarkEnd w:id="678"/>
      <w:r>
        <w:rPr>
          <w:b w:val="0"/>
        </w:rPr>
      </w:r>
      <w:bookmarkStart w:name="_bookmark224" w:id="679"/>
      <w:bookmarkEnd w:id="679"/>
      <w:r>
        <w:rPr>
          <w:color w:val="4F81BC"/>
        </w:rPr>
        <w:t>t</w:t>
      </w:r>
      <w:r>
        <w:rPr>
          <w:color w:val="4F81BC"/>
        </w:rPr>
        <w:t>ableStyleElement (Table</w:t>
      </w:r>
      <w:r>
        <w:rPr>
          <w:color w:val="4F81BC"/>
          <w:spacing w:val="2"/>
        </w:rPr>
        <w:t> </w:t>
      </w:r>
      <w:r>
        <w:rPr>
          <w:color w:val="4F81BC"/>
        </w:rPr>
        <w:t>Style)</w:t>
      </w:r>
    </w:p>
    <w:p>
      <w:pPr>
        <w:pStyle w:val="BodyText"/>
        <w:spacing w:line="278" w:lineRule="auto" w:before="122"/>
        <w:ind w:left="220"/>
      </w:pPr>
      <w:r>
        <w:rPr/>
        <w:t>This element specifies formatting for one area of a table or PivotTable. Together the sequence of these elements makes up one entire Table style or PivotTable style definition.</w:t>
      </w:r>
    </w:p>
    <w:p>
      <w:pPr>
        <w:pStyle w:val="BodyText"/>
        <w:spacing w:before="197"/>
        <w:ind w:left="220"/>
      </w:pPr>
      <w:r>
        <w:rPr/>
        <w:t>The order in which table style element formatting is applied is as follows:</w:t>
      </w:r>
    </w:p>
    <w:p>
      <w:pPr>
        <w:pStyle w:val="BodyText"/>
        <w:spacing w:before="8"/>
        <w:rPr>
          <w:sz w:val="19"/>
        </w:rPr>
      </w:pPr>
    </w:p>
    <w:p>
      <w:pPr>
        <w:pStyle w:val="Heading4"/>
        <w:spacing w:before="1"/>
      </w:pPr>
      <w:r>
        <w:rPr/>
        <w:t>Table Style Element Order</w:t>
      </w:r>
    </w:p>
    <w:p>
      <w:pPr>
        <w:pStyle w:val="BodyText"/>
        <w:spacing w:before="6"/>
        <w:rPr>
          <w:b/>
          <w:sz w:val="19"/>
        </w:rPr>
      </w:pPr>
    </w:p>
    <w:p>
      <w:pPr>
        <w:pStyle w:val="ListParagraph"/>
        <w:numPr>
          <w:ilvl w:val="3"/>
          <w:numId w:val="17"/>
        </w:numPr>
        <w:tabs>
          <w:tab w:pos="940" w:val="left" w:leader="none"/>
          <w:tab w:pos="941" w:val="left" w:leader="none"/>
        </w:tabs>
        <w:spacing w:line="240" w:lineRule="auto" w:before="0" w:after="0"/>
        <w:ind w:left="940" w:right="0" w:hanging="361"/>
        <w:jc w:val="left"/>
        <w:rPr>
          <w:sz w:val="22"/>
        </w:rPr>
      </w:pPr>
      <w:r>
        <w:rPr>
          <w:sz w:val="22"/>
        </w:rPr>
        <w:t>Whole</w:t>
      </w:r>
      <w:r>
        <w:rPr>
          <w:spacing w:val="-3"/>
          <w:sz w:val="22"/>
        </w:rPr>
        <w:t> </w:t>
      </w:r>
      <w:r>
        <w:rPr>
          <w:sz w:val="22"/>
        </w:rPr>
        <w:t>Table</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First Column</w:t>
      </w:r>
      <w:r>
        <w:rPr>
          <w:spacing w:val="-2"/>
          <w:sz w:val="22"/>
        </w:rPr>
        <w:t> </w:t>
      </w:r>
      <w:r>
        <w:rPr>
          <w:sz w:val="22"/>
        </w:rPr>
        <w:t>Stripe</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Second Column</w:t>
      </w:r>
      <w:r>
        <w:rPr>
          <w:spacing w:val="-6"/>
          <w:sz w:val="22"/>
        </w:rPr>
        <w:t> </w:t>
      </w:r>
      <w:r>
        <w:rPr>
          <w:sz w:val="22"/>
        </w:rPr>
        <w:t>Stripe</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First Row Stripe</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Second Row</w:t>
      </w:r>
      <w:r>
        <w:rPr>
          <w:spacing w:val="-4"/>
          <w:sz w:val="22"/>
        </w:rPr>
        <w:t> </w:t>
      </w:r>
      <w:r>
        <w:rPr>
          <w:sz w:val="22"/>
        </w:rPr>
        <w:t>Stripe</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Last</w:t>
      </w:r>
      <w:r>
        <w:rPr>
          <w:spacing w:val="-2"/>
          <w:sz w:val="22"/>
        </w:rPr>
        <w:t> </w:t>
      </w:r>
      <w:r>
        <w:rPr>
          <w:sz w:val="22"/>
        </w:rPr>
        <w:t>Column</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First</w:t>
      </w:r>
      <w:r>
        <w:rPr>
          <w:spacing w:val="-4"/>
          <w:sz w:val="22"/>
        </w:rPr>
        <w:t> </w:t>
      </w:r>
      <w:r>
        <w:rPr>
          <w:sz w:val="22"/>
        </w:rPr>
        <w:t>Column</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Header</w:t>
      </w:r>
      <w:r>
        <w:rPr>
          <w:spacing w:val="1"/>
          <w:sz w:val="22"/>
        </w:rPr>
        <w:t> </w:t>
      </w:r>
      <w:r>
        <w:rPr>
          <w:sz w:val="22"/>
        </w:rPr>
        <w:t>Row</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Total</w:t>
      </w:r>
      <w:r>
        <w:rPr>
          <w:spacing w:val="-3"/>
          <w:sz w:val="22"/>
        </w:rPr>
        <w:t> </w:t>
      </w:r>
      <w:r>
        <w:rPr>
          <w:sz w:val="22"/>
        </w:rPr>
        <w:t>Row</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First Header</w:t>
      </w:r>
      <w:r>
        <w:rPr>
          <w:spacing w:val="-5"/>
          <w:sz w:val="22"/>
        </w:rPr>
        <w:t> </w:t>
      </w:r>
      <w:r>
        <w:rPr>
          <w:sz w:val="22"/>
        </w:rPr>
        <w:t>Cell</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Last Header</w:t>
      </w:r>
      <w:r>
        <w:rPr>
          <w:spacing w:val="-3"/>
          <w:sz w:val="22"/>
        </w:rPr>
        <w:t> </w:t>
      </w:r>
      <w:r>
        <w:rPr>
          <w:sz w:val="22"/>
        </w:rPr>
        <w:t>Cell</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First Total</w:t>
      </w:r>
      <w:r>
        <w:rPr>
          <w:spacing w:val="-3"/>
          <w:sz w:val="22"/>
        </w:rPr>
        <w:t> </w:t>
      </w:r>
      <w:r>
        <w:rPr>
          <w:sz w:val="22"/>
        </w:rPr>
        <w:t>Cell</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Last Total</w:t>
      </w:r>
      <w:r>
        <w:rPr>
          <w:spacing w:val="-1"/>
          <w:sz w:val="22"/>
        </w:rPr>
        <w:t> </w:t>
      </w:r>
      <w:r>
        <w:rPr>
          <w:sz w:val="22"/>
        </w:rPr>
        <w:t>Cell</w:t>
      </w:r>
    </w:p>
    <w:p>
      <w:pPr>
        <w:pStyle w:val="BodyText"/>
        <w:spacing w:line="276" w:lineRule="auto" w:before="241"/>
        <w:ind w:left="220" w:right="1093"/>
      </w:pPr>
      <w:r>
        <w:rPr/>
        <w:t>For instance, row stripe formatting 'wins' over column stripe formatting, and both 'win' over whole table formatting.</w:t>
      </w:r>
    </w:p>
    <w:p>
      <w:pPr>
        <w:pStyle w:val="BodyText"/>
      </w:pPr>
    </w:p>
    <w:p>
      <w:pPr>
        <w:pStyle w:val="BodyText"/>
        <w:spacing w:before="10"/>
        <w:rPr>
          <w:sz w:val="19"/>
        </w:rPr>
      </w:pPr>
    </w:p>
    <w:p>
      <w:pPr>
        <w:pStyle w:val="Heading4"/>
      </w:pPr>
      <w:r>
        <w:rPr/>
        <w:t>PivotTable Style Element Order</w:t>
      </w:r>
    </w:p>
    <w:p>
      <w:pPr>
        <w:pStyle w:val="BodyText"/>
        <w:spacing w:before="6"/>
        <w:rPr>
          <w:b/>
          <w:sz w:val="19"/>
        </w:rPr>
      </w:pPr>
    </w:p>
    <w:p>
      <w:pPr>
        <w:pStyle w:val="ListParagraph"/>
        <w:numPr>
          <w:ilvl w:val="3"/>
          <w:numId w:val="17"/>
        </w:numPr>
        <w:tabs>
          <w:tab w:pos="940" w:val="left" w:leader="none"/>
          <w:tab w:pos="941" w:val="left" w:leader="none"/>
        </w:tabs>
        <w:spacing w:line="240" w:lineRule="auto" w:before="0" w:after="0"/>
        <w:ind w:left="940" w:right="0" w:hanging="361"/>
        <w:jc w:val="left"/>
        <w:rPr>
          <w:sz w:val="22"/>
        </w:rPr>
      </w:pPr>
      <w:r>
        <w:rPr>
          <w:sz w:val="22"/>
        </w:rPr>
        <w:t>Whole</w:t>
      </w:r>
      <w:r>
        <w:rPr>
          <w:spacing w:val="-3"/>
          <w:sz w:val="22"/>
        </w:rPr>
        <w:t> </w:t>
      </w:r>
      <w:r>
        <w:rPr>
          <w:sz w:val="22"/>
        </w:rPr>
        <w:t>Table</w:t>
      </w:r>
    </w:p>
    <w:p>
      <w:pPr>
        <w:spacing w:after="0" w:line="240" w:lineRule="auto"/>
        <w:jc w:val="left"/>
        <w:rPr>
          <w:sz w:val="22"/>
        </w:rPr>
        <w:sectPr>
          <w:pgSz w:w="12240" w:h="15840"/>
          <w:pgMar w:header="761" w:footer="746" w:top="1340" w:bottom="940" w:left="860" w:right="700"/>
        </w:sectPr>
      </w:pPr>
    </w:p>
    <w:p>
      <w:pPr>
        <w:pStyle w:val="ListParagraph"/>
        <w:numPr>
          <w:ilvl w:val="3"/>
          <w:numId w:val="17"/>
        </w:numPr>
        <w:tabs>
          <w:tab w:pos="940" w:val="left" w:leader="none"/>
          <w:tab w:pos="941" w:val="left" w:leader="none"/>
        </w:tabs>
        <w:spacing w:line="240" w:lineRule="auto" w:before="148" w:after="0"/>
        <w:ind w:left="940" w:right="0" w:hanging="361"/>
        <w:jc w:val="left"/>
        <w:rPr>
          <w:sz w:val="22"/>
        </w:rPr>
      </w:pPr>
      <w:r>
        <w:rPr>
          <w:sz w:val="22"/>
        </w:rPr>
        <w:t>Page Field Labels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Page Field</w:t>
      </w:r>
      <w:r>
        <w:rPr>
          <w:spacing w:val="-5"/>
          <w:sz w:val="22"/>
        </w:rPr>
        <w:t> </w:t>
      </w:r>
      <w:r>
        <w:rPr>
          <w:sz w:val="22"/>
        </w:rPr>
        <w:t>Values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First Column</w:t>
      </w:r>
      <w:r>
        <w:rPr>
          <w:spacing w:val="-2"/>
          <w:sz w:val="22"/>
        </w:rPr>
        <w:t> </w:t>
      </w:r>
      <w:r>
        <w:rPr>
          <w:sz w:val="22"/>
        </w:rPr>
        <w:t>Stripe</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Second Column</w:t>
      </w:r>
      <w:r>
        <w:rPr>
          <w:spacing w:val="-6"/>
          <w:sz w:val="22"/>
        </w:rPr>
        <w:t> </w:t>
      </w:r>
      <w:r>
        <w:rPr>
          <w:sz w:val="22"/>
        </w:rPr>
        <w:t>Stripe</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First Row Stripe</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Second Row</w:t>
      </w:r>
      <w:r>
        <w:rPr>
          <w:spacing w:val="-4"/>
          <w:sz w:val="22"/>
        </w:rPr>
        <w:t> </w:t>
      </w:r>
      <w:r>
        <w:rPr>
          <w:sz w:val="22"/>
        </w:rPr>
        <w:t>Stripe</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First</w:t>
      </w:r>
      <w:r>
        <w:rPr>
          <w:spacing w:val="-4"/>
          <w:sz w:val="22"/>
        </w:rPr>
        <w:t> </w:t>
      </w:r>
      <w:r>
        <w:rPr>
          <w:sz w:val="22"/>
        </w:rPr>
        <w:t>Column</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Header</w:t>
      </w:r>
      <w:r>
        <w:rPr>
          <w:spacing w:val="1"/>
          <w:sz w:val="22"/>
        </w:rPr>
        <w:t> </w:t>
      </w:r>
      <w:r>
        <w:rPr>
          <w:sz w:val="22"/>
        </w:rPr>
        <w:t>Row</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First Header</w:t>
      </w:r>
      <w:r>
        <w:rPr>
          <w:spacing w:val="-3"/>
          <w:sz w:val="22"/>
        </w:rPr>
        <w:t> </w:t>
      </w:r>
      <w:r>
        <w:rPr>
          <w:sz w:val="22"/>
        </w:rPr>
        <w:t>Cell</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Subtotal Column</w:t>
      </w:r>
      <w:r>
        <w:rPr>
          <w:spacing w:val="-5"/>
          <w:sz w:val="22"/>
        </w:rPr>
        <w:t> </w:t>
      </w:r>
      <w:r>
        <w:rPr>
          <w:sz w:val="22"/>
        </w:rPr>
        <w:t>1</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Subtotal Column</w:t>
      </w:r>
      <w:r>
        <w:rPr>
          <w:spacing w:val="-5"/>
          <w:sz w:val="22"/>
        </w:rPr>
        <w:t> </w:t>
      </w:r>
      <w:r>
        <w:rPr>
          <w:sz w:val="22"/>
        </w:rPr>
        <w:t>2</w:t>
      </w:r>
    </w:p>
    <w:p>
      <w:pPr>
        <w:pStyle w:val="ListParagraph"/>
        <w:numPr>
          <w:ilvl w:val="3"/>
          <w:numId w:val="17"/>
        </w:numPr>
        <w:tabs>
          <w:tab w:pos="940" w:val="left" w:leader="none"/>
          <w:tab w:pos="941" w:val="left" w:leader="none"/>
        </w:tabs>
        <w:spacing w:line="240" w:lineRule="auto" w:before="40" w:after="0"/>
        <w:ind w:left="940" w:right="0" w:hanging="361"/>
        <w:jc w:val="left"/>
        <w:rPr>
          <w:sz w:val="22"/>
        </w:rPr>
      </w:pPr>
      <w:r>
        <w:rPr>
          <w:sz w:val="22"/>
        </w:rPr>
        <w:t>Subtotal Column</w:t>
      </w:r>
      <w:r>
        <w:rPr>
          <w:spacing w:val="-5"/>
          <w:sz w:val="22"/>
        </w:rPr>
        <w:t> </w:t>
      </w:r>
      <w:r>
        <w:rPr>
          <w:sz w:val="22"/>
        </w:rPr>
        <w:t>3</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Blank</w:t>
      </w:r>
      <w:r>
        <w:rPr>
          <w:spacing w:val="1"/>
          <w:sz w:val="22"/>
        </w:rPr>
        <w:t> </w:t>
      </w:r>
      <w:r>
        <w:rPr>
          <w:sz w:val="22"/>
        </w:rPr>
        <w:t>Row</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Subtotal Row</w:t>
      </w:r>
      <w:r>
        <w:rPr>
          <w:spacing w:val="-2"/>
          <w:sz w:val="22"/>
        </w:rPr>
        <w:t> </w:t>
      </w:r>
      <w:r>
        <w:rPr>
          <w:sz w:val="22"/>
        </w:rPr>
        <w:t>1</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Subtotal Row</w:t>
      </w:r>
      <w:r>
        <w:rPr>
          <w:spacing w:val="-2"/>
          <w:sz w:val="22"/>
        </w:rPr>
        <w:t> </w:t>
      </w:r>
      <w:r>
        <w:rPr>
          <w:sz w:val="22"/>
        </w:rPr>
        <w:t>2</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Subtotal Row</w:t>
      </w:r>
      <w:r>
        <w:rPr>
          <w:spacing w:val="-2"/>
          <w:sz w:val="22"/>
        </w:rPr>
        <w:t> </w:t>
      </w:r>
      <w:r>
        <w:rPr>
          <w:sz w:val="22"/>
        </w:rPr>
        <w:t>3</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Column Subheading</w:t>
      </w:r>
      <w:r>
        <w:rPr>
          <w:spacing w:val="-6"/>
          <w:sz w:val="22"/>
        </w:rPr>
        <w:t> </w:t>
      </w:r>
      <w:r>
        <w:rPr>
          <w:sz w:val="22"/>
        </w:rPr>
        <w:t>1</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Column Subheading</w:t>
      </w:r>
      <w:r>
        <w:rPr>
          <w:spacing w:val="-6"/>
          <w:sz w:val="22"/>
        </w:rPr>
        <w:t> </w:t>
      </w:r>
      <w:r>
        <w:rPr>
          <w:sz w:val="22"/>
        </w:rPr>
        <w:t>2</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Column Subheading</w:t>
      </w:r>
      <w:r>
        <w:rPr>
          <w:spacing w:val="-6"/>
          <w:sz w:val="22"/>
        </w:rPr>
        <w:t> </w:t>
      </w:r>
      <w:r>
        <w:rPr>
          <w:sz w:val="22"/>
        </w:rPr>
        <w:t>3</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Row Subheading</w:t>
      </w:r>
      <w:r>
        <w:rPr>
          <w:spacing w:val="-3"/>
          <w:sz w:val="22"/>
        </w:rPr>
        <w:t> </w:t>
      </w:r>
      <w:r>
        <w:rPr>
          <w:sz w:val="22"/>
        </w:rPr>
        <w:t>1</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Row Subheading</w:t>
      </w:r>
      <w:r>
        <w:rPr>
          <w:spacing w:val="-3"/>
          <w:sz w:val="22"/>
        </w:rPr>
        <w:t> </w:t>
      </w:r>
      <w:r>
        <w:rPr>
          <w:sz w:val="22"/>
        </w:rPr>
        <w:t>2</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Row Subheading</w:t>
      </w:r>
      <w:r>
        <w:rPr>
          <w:spacing w:val="-3"/>
          <w:sz w:val="22"/>
        </w:rPr>
        <w:t> </w:t>
      </w:r>
      <w:r>
        <w:rPr>
          <w:sz w:val="22"/>
        </w:rPr>
        <w:t>3</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Grand Total</w:t>
      </w:r>
      <w:r>
        <w:rPr>
          <w:spacing w:val="-2"/>
          <w:sz w:val="22"/>
        </w:rPr>
        <w:t> </w:t>
      </w:r>
      <w:r>
        <w:rPr>
          <w:sz w:val="22"/>
        </w:rPr>
        <w:t>Column</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Grand Total</w:t>
      </w:r>
      <w:r>
        <w:rPr>
          <w:spacing w:val="-1"/>
          <w:sz w:val="22"/>
        </w:rPr>
        <w:t> </w:t>
      </w:r>
      <w:r>
        <w:rPr>
          <w:sz w:val="22"/>
        </w:rPr>
        <w:t>Row</w:t>
      </w:r>
    </w:p>
    <w:p>
      <w:pPr>
        <w:pStyle w:val="BodyText"/>
        <w:spacing w:before="11"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321"/>
              <w:rPr>
                <w:sz w:val="22"/>
              </w:rPr>
            </w:pPr>
            <w:r>
              <w:rPr>
                <w:rFonts w:ascii="Cambria"/>
                <w:sz w:val="22"/>
              </w:rPr>
              <w:t>dxfId </w:t>
            </w:r>
            <w:r>
              <w:rPr>
                <w:sz w:val="22"/>
              </w:rPr>
              <w:t>(Formatting Id)</w:t>
            </w:r>
          </w:p>
        </w:tc>
        <w:tc>
          <w:tcPr>
            <w:tcW w:w="8250" w:type="dxa"/>
          </w:tcPr>
          <w:p>
            <w:pPr>
              <w:pStyle w:val="TableParagraph"/>
              <w:ind w:right="224"/>
              <w:rPr>
                <w:sz w:val="22"/>
              </w:rPr>
            </w:pPr>
            <w:r>
              <w:rPr>
                <w:sz w:val="22"/>
              </w:rPr>
              <w:t>Zero-based index to a </w:t>
            </w:r>
            <w:r>
              <w:rPr>
                <w:rFonts w:ascii="Cambria"/>
                <w:sz w:val="22"/>
              </w:rPr>
              <w:t>dxf </w:t>
            </w:r>
            <w:r>
              <w:rPr>
                <w:sz w:val="22"/>
              </w:rPr>
              <w:t>record in the </w:t>
            </w:r>
            <w:r>
              <w:rPr>
                <w:rFonts w:ascii="Cambria"/>
                <w:sz w:val="22"/>
              </w:rPr>
              <w:t>dxfs </w:t>
            </w:r>
            <w:r>
              <w:rPr>
                <w:sz w:val="22"/>
              </w:rPr>
              <w:t>collection, specifying differential formatting to use with this Table or PivotTable style element.</w:t>
            </w:r>
          </w:p>
          <w:p>
            <w:pPr>
              <w:pStyle w:val="TableParagraph"/>
              <w:spacing w:before="10"/>
              <w:ind w:left="0"/>
              <w:rPr>
                <w:sz w:val="21"/>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r>
        <w:trPr>
          <w:trHeight w:val="1968" w:hRule="atLeast"/>
        </w:trPr>
        <w:tc>
          <w:tcPr>
            <w:tcW w:w="2062" w:type="dxa"/>
          </w:tcPr>
          <w:p>
            <w:pPr>
              <w:pStyle w:val="TableParagraph"/>
              <w:ind w:left="0" w:right="533"/>
              <w:jc w:val="right"/>
              <w:rPr>
                <w:sz w:val="22"/>
              </w:rPr>
            </w:pPr>
            <w:r>
              <w:rPr>
                <w:rFonts w:ascii="Cambria"/>
                <w:sz w:val="22"/>
              </w:rPr>
              <w:t>size </w:t>
            </w:r>
            <w:r>
              <w:rPr>
                <w:sz w:val="22"/>
              </w:rPr>
              <w:t>(Band Size)</w:t>
            </w:r>
          </w:p>
        </w:tc>
        <w:tc>
          <w:tcPr>
            <w:tcW w:w="8250" w:type="dxa"/>
          </w:tcPr>
          <w:p>
            <w:pPr>
              <w:pStyle w:val="TableParagraph"/>
              <w:rPr>
                <w:sz w:val="22"/>
              </w:rPr>
            </w:pPr>
            <w:r>
              <w:rPr>
                <w:sz w:val="22"/>
              </w:rPr>
              <w:t>Number of rows or columns in a single band of striping. Applies only when </w:t>
            </w:r>
            <w:r>
              <w:rPr>
                <w:rFonts w:ascii="Cambria"/>
                <w:sz w:val="22"/>
              </w:rPr>
              <w:t>type </w:t>
            </w:r>
            <w:r>
              <w:rPr>
                <w:sz w:val="22"/>
              </w:rPr>
              <w:t>is</w:t>
            </w:r>
          </w:p>
          <w:p>
            <w:pPr>
              <w:pStyle w:val="TableParagraph"/>
              <w:spacing w:line="480" w:lineRule="auto" w:before="0"/>
              <w:ind w:right="455"/>
              <w:rPr>
                <w:sz w:val="22"/>
              </w:rPr>
            </w:pPr>
            <w:r>
              <w:rPr>
                <w:rFonts w:ascii="Consolas"/>
                <w:sz w:val="20"/>
              </w:rPr>
              <w:t>firstRowStripe</w:t>
            </w:r>
            <w:r>
              <w:rPr>
                <w:sz w:val="22"/>
              </w:rPr>
              <w:t>, </w:t>
            </w:r>
            <w:r>
              <w:rPr>
                <w:rFonts w:ascii="Consolas"/>
                <w:sz w:val="20"/>
              </w:rPr>
              <w:t>secondRowStripe</w:t>
            </w:r>
            <w:r>
              <w:rPr>
                <w:sz w:val="22"/>
              </w:rPr>
              <w:t>, </w:t>
            </w:r>
            <w:r>
              <w:rPr>
                <w:rFonts w:ascii="Consolas"/>
                <w:sz w:val="20"/>
              </w:rPr>
              <w:t>firstColumnStripe</w:t>
            </w:r>
            <w:r>
              <w:rPr>
                <w:sz w:val="22"/>
              </w:rPr>
              <w:t>, or </w:t>
            </w:r>
            <w:r>
              <w:rPr>
                <w:rFonts w:ascii="Consolas"/>
                <w:sz w:val="20"/>
              </w:rPr>
              <w:t>secondColumnStripe</w:t>
            </w:r>
            <w:r>
              <w:rPr>
                <w:sz w:val="22"/>
              </w:rPr>
              <w:t>. [</w:t>
            </w:r>
            <w:r>
              <w:rPr>
                <w:i/>
                <w:sz w:val="22"/>
              </w:rPr>
              <w:t>Example</w:t>
            </w:r>
            <w:r>
              <w:rPr>
                <w:sz w:val="22"/>
              </w:rPr>
              <w:t>:</w:t>
            </w:r>
          </w:p>
          <w:p>
            <w:pPr>
              <w:pStyle w:val="TableParagraph"/>
              <w:spacing w:before="1"/>
              <w:ind w:right="233"/>
              <w:rPr>
                <w:sz w:val="22"/>
              </w:rPr>
            </w:pPr>
            <w:r>
              <w:rPr>
                <w:sz w:val="22"/>
              </w:rPr>
              <w:t>In this example, the </w:t>
            </w:r>
            <w:r>
              <w:rPr>
                <w:rFonts w:ascii="Consolas"/>
                <w:sz w:val="20"/>
              </w:rPr>
              <w:t>firstRowStripe</w:t>
            </w:r>
            <w:r>
              <w:rPr>
                <w:rFonts w:ascii="Consolas"/>
                <w:spacing w:val="-59"/>
                <w:sz w:val="20"/>
              </w:rPr>
              <w:t> </w:t>
            </w:r>
            <w:r>
              <w:rPr>
                <w:rFonts w:ascii="Cambria"/>
                <w:sz w:val="22"/>
              </w:rPr>
              <w:t>size </w:t>
            </w:r>
            <w:r>
              <w:rPr>
                <w:sz w:val="22"/>
              </w:rPr>
              <w:t>is set to </w:t>
            </w:r>
            <w:r>
              <w:rPr>
                <w:rFonts w:ascii="Consolas"/>
                <w:sz w:val="20"/>
              </w:rPr>
              <w:t>2, </w:t>
            </w:r>
            <w:r>
              <w:rPr>
                <w:sz w:val="22"/>
              </w:rPr>
              <w:t>and the </w:t>
            </w:r>
            <w:r>
              <w:rPr>
                <w:rFonts w:ascii="Consolas"/>
                <w:sz w:val="20"/>
              </w:rPr>
              <w:t>secondRowStripe</w:t>
            </w:r>
            <w:r>
              <w:rPr>
                <w:rFonts w:ascii="Consolas"/>
                <w:spacing w:val="-58"/>
                <w:sz w:val="20"/>
              </w:rPr>
              <w:t> </w:t>
            </w:r>
            <w:r>
              <w:rPr>
                <w:rFonts w:ascii="Cambria"/>
                <w:sz w:val="22"/>
              </w:rPr>
              <w:t>size </w:t>
            </w:r>
            <w:r>
              <w:rPr>
                <w:sz w:val="22"/>
              </w:rPr>
              <w:t>is set to </w:t>
            </w:r>
            <w:r>
              <w:rPr>
                <w:rFonts w:ascii="Consolas"/>
                <w:sz w:val="20"/>
              </w:rPr>
              <w:t>1</w:t>
            </w: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548" w:hRule="atLeast"/>
        </w:trPr>
        <w:tc>
          <w:tcPr>
            <w:tcW w:w="2062" w:type="dxa"/>
          </w:tcPr>
          <w:p>
            <w:pPr>
              <w:pStyle w:val="TableParagraph"/>
              <w:spacing w:before="0"/>
              <w:ind w:left="0"/>
              <w:rPr>
                <w:rFonts w:ascii="Times New Roman"/>
                <w:sz w:val="22"/>
              </w:rPr>
            </w:pPr>
          </w:p>
        </w:tc>
        <w:tc>
          <w:tcPr>
            <w:tcW w:w="8250" w:type="dxa"/>
          </w:tcPr>
          <w:p>
            <w:pPr>
              <w:pStyle w:val="TableParagraph"/>
              <w:spacing w:before="5"/>
              <w:ind w:left="0"/>
              <w:rPr>
                <w:sz w:val="3"/>
              </w:rPr>
            </w:pPr>
          </w:p>
          <w:p>
            <w:pPr>
              <w:pStyle w:val="TableParagraph"/>
              <w:spacing w:before="0"/>
              <w:ind w:left="145"/>
              <w:rPr>
                <w:sz w:val="20"/>
              </w:rPr>
            </w:pPr>
            <w:r>
              <w:rPr>
                <w:sz w:val="20"/>
              </w:rPr>
              <w:drawing>
                <wp:inline distT="0" distB="0" distL="0" distR="0">
                  <wp:extent cx="3361944" cy="1981200"/>
                  <wp:effectExtent l="0" t="0" r="0" b="0"/>
                  <wp:docPr id="47" name="image24.png"/>
                  <wp:cNvGraphicFramePr>
                    <a:graphicFrameLocks noChangeAspect="1"/>
                  </wp:cNvGraphicFramePr>
                  <a:graphic>
                    <a:graphicData uri="http://schemas.openxmlformats.org/drawingml/2006/picture">
                      <pic:pic>
                        <pic:nvPicPr>
                          <pic:cNvPr id="48" name="image24.png"/>
                          <pic:cNvPicPr/>
                        </pic:nvPicPr>
                        <pic:blipFill>
                          <a:blip r:embed="rId95" cstate="print"/>
                          <a:stretch>
                            <a:fillRect/>
                          </a:stretch>
                        </pic:blipFill>
                        <pic:spPr>
                          <a:xfrm>
                            <a:off x="0" y="0"/>
                            <a:ext cx="3361944" cy="1981200"/>
                          </a:xfrm>
                          <a:prstGeom prst="rect">
                            <a:avLst/>
                          </a:prstGeom>
                        </pic:spPr>
                      </pic:pic>
                    </a:graphicData>
                  </a:graphic>
                </wp:inline>
              </w:drawing>
            </w:r>
            <w:r>
              <w:rPr>
                <w:sz w:val="20"/>
              </w:rPr>
            </w:r>
          </w:p>
          <w:p>
            <w:pPr>
              <w:pStyle w:val="TableParagraph"/>
              <w:spacing w:before="11"/>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414"/>
              <w:rPr>
                <w:sz w:val="22"/>
              </w:rPr>
            </w:pPr>
            <w:r>
              <w:rPr>
                <w:rFonts w:ascii="Cambria"/>
                <w:sz w:val="22"/>
              </w:rPr>
              <w:t>type </w:t>
            </w:r>
            <w:r>
              <w:rPr>
                <w:sz w:val="22"/>
              </w:rPr>
              <w:t>(Table Style Type)</w:t>
            </w:r>
          </w:p>
        </w:tc>
        <w:tc>
          <w:tcPr>
            <w:tcW w:w="8250" w:type="dxa"/>
          </w:tcPr>
          <w:p>
            <w:pPr>
              <w:pStyle w:val="TableParagraph"/>
              <w:rPr>
                <w:sz w:val="22"/>
              </w:rPr>
            </w:pPr>
            <w:r>
              <w:rPr>
                <w:sz w:val="22"/>
              </w:rPr>
              <w:t>Identifies this table style element's type.</w:t>
            </w:r>
          </w:p>
          <w:p>
            <w:pPr>
              <w:pStyle w:val="TableParagraph"/>
              <w:spacing w:before="0"/>
              <w:ind w:left="0"/>
              <w:rPr>
                <w:sz w:val="22"/>
              </w:rPr>
            </w:pPr>
          </w:p>
          <w:p>
            <w:pPr>
              <w:pStyle w:val="TableParagraph"/>
              <w:spacing w:before="0"/>
              <w:ind w:right="247"/>
              <w:rPr>
                <w:sz w:val="22"/>
              </w:rPr>
            </w:pPr>
            <w:r>
              <w:rPr>
                <w:sz w:val="22"/>
              </w:rPr>
              <w:t>The possible values for this attribute are defined by the </w:t>
            </w:r>
            <w:r>
              <w:rPr>
                <w:rFonts w:ascii="Cambria" w:hAnsi="Cambria"/>
                <w:sz w:val="22"/>
              </w:rPr>
              <w:t>ST_TableStyleType </w:t>
            </w:r>
            <w:r>
              <w:rPr>
                <w:sz w:val="22"/>
              </w:rPr>
              <w:t>simple type </w:t>
            </w:r>
            <w:hyperlink w:history="true" w:anchor="_bookmark899">
              <w:r>
                <w:rPr>
                  <w:sz w:val="22"/>
                </w:rPr>
                <w:t>(§18.18.77</w:t>
              </w:r>
            </w:hyperlink>
            <w:r>
              <w:rPr>
                <w:sz w:val="22"/>
              </w:rPr>
              <w:t>).</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CT_TableStyleElement</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42 tableStyles (Table Styles)" w:id="680"/>
      <w:bookmarkEnd w:id="680"/>
      <w:r>
        <w:rPr>
          <w:b w:val="0"/>
        </w:rPr>
      </w:r>
      <w:bookmarkStart w:name="_bookmark225" w:id="681"/>
      <w:bookmarkEnd w:id="681"/>
      <w:r>
        <w:rPr>
          <w:b w:val="0"/>
        </w:rPr>
      </w:r>
      <w:bookmarkStart w:name="_bookmark225" w:id="682"/>
      <w:bookmarkEnd w:id="682"/>
      <w:r>
        <w:rPr>
          <w:color w:val="4F81BC"/>
        </w:rPr>
        <w:t>t</w:t>
      </w:r>
      <w:r>
        <w:rPr>
          <w:color w:val="4F81BC"/>
        </w:rPr>
        <w:t>ableStyles (Table</w:t>
      </w:r>
      <w:r>
        <w:rPr>
          <w:color w:val="4F81BC"/>
          <w:spacing w:val="-1"/>
        </w:rPr>
        <w:t> </w:t>
      </w:r>
      <w:r>
        <w:rPr>
          <w:color w:val="4F81BC"/>
        </w:rPr>
        <w:t>Styles)</w:t>
      </w:r>
    </w:p>
    <w:p>
      <w:pPr>
        <w:pStyle w:val="BodyText"/>
        <w:spacing w:line="278" w:lineRule="auto" w:before="122"/>
        <w:ind w:left="220" w:right="562"/>
      </w:pPr>
      <w:r>
        <w:rPr/>
        <w:t>This element represents a collection of Table style definitions for Table styles and PivotTable styles used in this workbook. It consists of a sequence of </w:t>
      </w:r>
      <w:r>
        <w:rPr>
          <w:rFonts w:ascii="Cambria"/>
        </w:rPr>
        <w:t>tableStyle </w:t>
      </w:r>
      <w:r>
        <w:rPr/>
        <w:t>records, each defining a single Table style.</w:t>
      </w:r>
    </w:p>
    <w:p>
      <w:pPr>
        <w:pStyle w:val="BodyText"/>
        <w:spacing w:line="276" w:lineRule="auto" w:before="195"/>
        <w:ind w:left="220" w:right="503"/>
      </w:pPr>
      <w:r>
        <w:rPr/>
        <w:t>A Table style is a collection of formatting that applies to structured regions of a Table or PivotTable [</w:t>
      </w:r>
      <w:r>
        <w:rPr>
          <w:i/>
        </w:rPr>
        <w:t>Example</w:t>
      </w:r>
      <w:r>
        <w:rPr/>
        <w:t>: make the header row &amp; totals bold face, and apply light gray fill to alternating rows in the data portion of the table to achieve striped or banded rows. </w:t>
      </w:r>
      <w:r>
        <w:rPr>
          <w:i/>
        </w:rPr>
        <w:t>end example</w:t>
      </w:r>
      <w:r>
        <w:rPr/>
        <w:t>]</w:t>
      </w:r>
    </w:p>
    <w:p>
      <w:pPr>
        <w:pStyle w:val="BodyText"/>
        <w:spacing w:before="4"/>
        <w:rPr>
          <w:sz w:val="16"/>
        </w:rPr>
      </w:pPr>
    </w:p>
    <w:p>
      <w:pPr>
        <w:pStyle w:val="BodyText"/>
        <w:spacing w:line="278" w:lineRule="auto"/>
        <w:ind w:left="220" w:right="561"/>
      </w:pPr>
      <w:r>
        <w:rPr/>
        <w:t>See the enumeration values in </w:t>
      </w:r>
      <w:r>
        <w:rPr>
          <w:rFonts w:ascii="Cambria"/>
        </w:rPr>
        <w:t>ST_TableStyleType </w:t>
      </w:r>
      <w:r>
        <w:rPr/>
        <w:t>for a listing of structured Table regions to which formatting can be applied, and which together make up a single Table style definition.</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97"/>
              <w:rPr>
                <w:sz w:val="22"/>
              </w:rPr>
            </w:pPr>
            <w:r>
              <w:rPr>
                <w:rFonts w:ascii="Cambria"/>
                <w:sz w:val="22"/>
              </w:rPr>
              <w:t>count </w:t>
            </w:r>
            <w:r>
              <w:rPr>
                <w:sz w:val="22"/>
              </w:rPr>
              <w:t>(Table Style Count)</w:t>
            </w:r>
          </w:p>
        </w:tc>
        <w:tc>
          <w:tcPr>
            <w:tcW w:w="8250" w:type="dxa"/>
          </w:tcPr>
          <w:p>
            <w:pPr>
              <w:pStyle w:val="TableParagraph"/>
              <w:rPr>
                <w:sz w:val="22"/>
              </w:rPr>
            </w:pPr>
            <w:r>
              <w:rPr>
                <w:sz w:val="22"/>
              </w:rPr>
              <w:t>Count of table styles defined in this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621" w:hRule="atLeast"/>
        </w:trPr>
        <w:tc>
          <w:tcPr>
            <w:tcW w:w="2062" w:type="dxa"/>
          </w:tcPr>
          <w:p>
            <w:pPr>
              <w:pStyle w:val="TableParagraph"/>
              <w:spacing w:line="256" w:lineRule="exact" w:before="42"/>
              <w:rPr>
                <w:rFonts w:ascii="Cambria"/>
                <w:sz w:val="22"/>
              </w:rPr>
            </w:pPr>
            <w:r>
              <w:rPr>
                <w:rFonts w:ascii="Cambria"/>
                <w:sz w:val="22"/>
              </w:rPr>
              <w:t>defaultPivotStyle</w:t>
            </w:r>
          </w:p>
          <w:p>
            <w:pPr>
              <w:pStyle w:val="TableParagraph"/>
              <w:spacing w:line="267" w:lineRule="exact" w:before="0"/>
              <w:rPr>
                <w:sz w:val="22"/>
              </w:rPr>
            </w:pPr>
            <w:r>
              <w:rPr>
                <w:sz w:val="22"/>
              </w:rPr>
              <w:t>(Default Pivot Style)</w:t>
            </w:r>
          </w:p>
        </w:tc>
        <w:tc>
          <w:tcPr>
            <w:tcW w:w="8250" w:type="dxa"/>
          </w:tcPr>
          <w:p>
            <w:pPr>
              <w:pStyle w:val="TableParagraph"/>
              <w:spacing w:line="237" w:lineRule="auto" w:before="42"/>
              <w:ind w:right="333"/>
              <w:rPr>
                <w:sz w:val="22"/>
              </w:rPr>
            </w:pPr>
            <w:r>
              <w:rPr>
                <w:sz w:val="22"/>
              </w:rPr>
              <w:t>Name of the default table style to apply to new PivotTables. This can be set by the user interface.</w:t>
            </w:r>
          </w:p>
        </w:tc>
      </w:tr>
    </w:tbl>
    <w:p>
      <w:pPr>
        <w:spacing w:after="0" w:line="237" w:lineRule="auto"/>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defaultTableStyle</w:t>
            </w:r>
          </w:p>
          <w:p>
            <w:pPr>
              <w:pStyle w:val="TableParagraph"/>
              <w:spacing w:line="267" w:lineRule="exact" w:before="0"/>
              <w:rPr>
                <w:sz w:val="22"/>
              </w:rPr>
            </w:pPr>
            <w:r>
              <w:rPr>
                <w:sz w:val="22"/>
              </w:rPr>
              <w:t>(Default Table Style)</w:t>
            </w:r>
          </w:p>
        </w:tc>
        <w:tc>
          <w:tcPr>
            <w:tcW w:w="8250" w:type="dxa"/>
          </w:tcPr>
          <w:p>
            <w:pPr>
              <w:pStyle w:val="TableParagraph"/>
              <w:rPr>
                <w:sz w:val="22"/>
              </w:rPr>
            </w:pPr>
            <w:r>
              <w:rPr>
                <w:sz w:val="22"/>
              </w:rPr>
              <w:t>Name of default table style to apply to new Tables. This can be set by the user interface.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476"/>
      </w:pPr>
      <w:r>
        <w:rPr/>
        <w:t>[</w:t>
      </w:r>
      <w:r>
        <w:rPr>
          <w:i/>
        </w:rPr>
        <w:t>Note</w:t>
      </w:r>
      <w:r>
        <w:rPr/>
        <w:t>: The W3C XML Schema definition of this element’s content model (</w:t>
      </w:r>
      <w:r>
        <w:rPr>
          <w:color w:val="5F5F5F"/>
          <w:u w:val="single" w:color="5F5F5F"/>
        </w:rPr>
        <w:t>CT_TableStyles</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43 top (Top Border)" w:id="683"/>
      <w:bookmarkEnd w:id="683"/>
      <w:r>
        <w:rPr>
          <w:b w:val="0"/>
        </w:rPr>
      </w:r>
      <w:bookmarkStart w:name="_bookmark226" w:id="684"/>
      <w:bookmarkEnd w:id="684"/>
      <w:r>
        <w:rPr>
          <w:b w:val="0"/>
        </w:rPr>
      </w:r>
      <w:bookmarkStart w:name="_bookmark226" w:id="685"/>
      <w:bookmarkEnd w:id="685"/>
      <w:r>
        <w:rPr>
          <w:color w:val="4F81BC"/>
        </w:rPr>
        <w:t>t</w:t>
      </w:r>
      <w:r>
        <w:rPr>
          <w:color w:val="4F81BC"/>
        </w:rPr>
        <w:t>op (Top</w:t>
      </w:r>
      <w:r>
        <w:rPr>
          <w:color w:val="4F81BC"/>
          <w:spacing w:val="-4"/>
        </w:rPr>
        <w:t> </w:t>
      </w:r>
      <w:r>
        <w:rPr>
          <w:color w:val="4F81BC"/>
        </w:rPr>
        <w:t>Border)</w:t>
      </w:r>
    </w:p>
    <w:p>
      <w:pPr>
        <w:pStyle w:val="BodyText"/>
        <w:spacing w:before="124"/>
        <w:ind w:left="220"/>
      </w:pPr>
      <w:r>
        <w:rPr/>
        <w:t>This element specifies the color and line style for the top border of a cell.</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style </w:t>
            </w:r>
            <w:r>
              <w:rPr>
                <w:sz w:val="22"/>
              </w:rPr>
              <w:t>(Line Style)</w:t>
            </w:r>
          </w:p>
        </w:tc>
        <w:tc>
          <w:tcPr>
            <w:tcW w:w="8250" w:type="dxa"/>
          </w:tcPr>
          <w:p>
            <w:pPr>
              <w:pStyle w:val="TableParagraph"/>
              <w:rPr>
                <w:sz w:val="22"/>
              </w:rPr>
            </w:pPr>
            <w:r>
              <w:rPr>
                <w:sz w:val="22"/>
              </w:rPr>
              <w:t>The line style for this border.</w:t>
            </w:r>
          </w:p>
          <w:p>
            <w:pPr>
              <w:pStyle w:val="TableParagraph"/>
              <w:spacing w:before="0"/>
              <w:ind w:left="0"/>
              <w:rPr>
                <w:sz w:val="22"/>
              </w:rPr>
            </w:pPr>
          </w:p>
          <w:p>
            <w:pPr>
              <w:pStyle w:val="TableParagraph"/>
              <w:spacing w:before="0"/>
              <w:ind w:right="581"/>
              <w:rPr>
                <w:sz w:val="22"/>
              </w:rPr>
            </w:pPr>
            <w:r>
              <w:rPr>
                <w:sz w:val="22"/>
              </w:rPr>
              <w:t>The possible values for this attribute are defined by the </w:t>
            </w:r>
            <w:r>
              <w:rPr>
                <w:rFonts w:ascii="Cambria" w:hAnsi="Cambria"/>
                <w:sz w:val="22"/>
              </w:rPr>
              <w:t>ST_BorderStyle </w:t>
            </w:r>
            <w:r>
              <w:rPr>
                <w:sz w:val="22"/>
              </w:rPr>
              <w:t>simple type </w:t>
            </w:r>
            <w:hyperlink w:history="true" w:anchor="_bookmark825">
              <w:r>
                <w:rPr>
                  <w:sz w:val="22"/>
                </w:rPr>
                <w:t>(§18.18.3</w:t>
              </w:r>
            </w:hyperlink>
            <w:r>
              <w:rPr>
                <w:sz w:val="22"/>
              </w:rPr>
              <w:t>).</w:t>
            </w:r>
          </w:p>
        </w:tc>
      </w:tr>
    </w:tbl>
    <w:p>
      <w:pPr>
        <w:pStyle w:val="BodyText"/>
      </w:pPr>
    </w:p>
    <w:p>
      <w:pPr>
        <w:pStyle w:val="BodyText"/>
        <w:spacing w:before="5"/>
        <w:rPr>
          <w:sz w:val="19"/>
        </w:rPr>
      </w:pPr>
    </w:p>
    <w:p>
      <w:pPr>
        <w:pStyle w:val="BodyText"/>
        <w:spacing w:line="278" w:lineRule="auto"/>
        <w:ind w:left="220" w:right="680"/>
      </w:pPr>
      <w:r>
        <w:rPr/>
        <w:t>[</w:t>
      </w:r>
      <w:r>
        <w:rPr>
          <w:i/>
        </w:rPr>
        <w:t>Note</w:t>
      </w:r>
      <w:r>
        <w:rPr/>
        <w:t>: The W3C XML Schema definition of this element’s content model (</w:t>
      </w:r>
      <w:r>
        <w:rPr>
          <w:color w:val="5F5F5F"/>
          <w:u w:val="single" w:color="5F5F5F"/>
        </w:rPr>
        <w:t>CT_BorderPr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8.44 vertical (Vertical Inner Border)" w:id="686"/>
      <w:bookmarkEnd w:id="686"/>
      <w:r>
        <w:rPr>
          <w:b w:val="0"/>
        </w:rPr>
      </w:r>
      <w:bookmarkStart w:name="_bookmark227" w:id="687"/>
      <w:bookmarkEnd w:id="687"/>
      <w:r>
        <w:rPr>
          <w:b w:val="0"/>
        </w:rPr>
      </w:r>
      <w:bookmarkStart w:name="_bookmark227" w:id="688"/>
      <w:bookmarkEnd w:id="688"/>
      <w:r>
        <w:rPr>
          <w:color w:val="4F81BC"/>
        </w:rPr>
        <w:t>v</w:t>
      </w:r>
      <w:r>
        <w:rPr>
          <w:color w:val="4F81BC"/>
        </w:rPr>
        <w:t>ertical (Vertical Inner</w:t>
      </w:r>
      <w:r>
        <w:rPr>
          <w:color w:val="4F81BC"/>
          <w:spacing w:val="-2"/>
        </w:rPr>
        <w:t> </w:t>
      </w:r>
      <w:r>
        <w:rPr>
          <w:color w:val="4F81BC"/>
        </w:rPr>
        <w:t>Border)</w:t>
      </w:r>
    </w:p>
    <w:p>
      <w:pPr>
        <w:pStyle w:val="BodyText"/>
        <w:spacing w:line="278" w:lineRule="auto" w:before="121"/>
        <w:ind w:left="220" w:right="503"/>
      </w:pPr>
      <w:r>
        <w:rPr/>
        <w:t>This element specifies the color and line style for the vertical inner border(s) of a range of cells. Used in the context of </w:t>
      </w:r>
      <w:r>
        <w:rPr>
          <w:rFonts w:ascii="Cambria"/>
        </w:rPr>
        <w:t>dxf </w:t>
      </w:r>
      <w:r>
        <w:rPr/>
        <w:t>elements only. [</w:t>
      </w:r>
      <w:r>
        <w:rPr>
          <w:i/>
        </w:rPr>
        <w:t>Example</w:t>
      </w:r>
      <w:r>
        <w:rPr/>
        <w:t>: see the borders definitions for </w:t>
      </w:r>
      <w:r>
        <w:rPr>
          <w:b/>
        </w:rPr>
        <w:t>TableStyleMedium28</w:t>
      </w:r>
      <w:r>
        <w:rPr/>
        <w:t>. </w:t>
      </w:r>
      <w:r>
        <w:rPr>
          <w:i/>
        </w:rPr>
        <w:t>end example</w:t>
      </w:r>
      <w:r>
        <w:rPr/>
        <w:t>]</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style </w:t>
            </w:r>
            <w:r>
              <w:rPr>
                <w:sz w:val="22"/>
              </w:rPr>
              <w:t>(Line Style)</w:t>
            </w:r>
          </w:p>
        </w:tc>
        <w:tc>
          <w:tcPr>
            <w:tcW w:w="8250" w:type="dxa"/>
          </w:tcPr>
          <w:p>
            <w:pPr>
              <w:pStyle w:val="TableParagraph"/>
              <w:rPr>
                <w:sz w:val="22"/>
              </w:rPr>
            </w:pPr>
            <w:r>
              <w:rPr>
                <w:sz w:val="22"/>
              </w:rPr>
              <w:t>The line style for this border.</w:t>
            </w:r>
          </w:p>
          <w:p>
            <w:pPr>
              <w:pStyle w:val="TableParagraph"/>
              <w:spacing w:before="0"/>
              <w:ind w:left="0"/>
              <w:rPr>
                <w:sz w:val="22"/>
              </w:rPr>
            </w:pPr>
          </w:p>
          <w:p>
            <w:pPr>
              <w:pStyle w:val="TableParagraph"/>
              <w:spacing w:before="0"/>
              <w:ind w:right="581"/>
              <w:rPr>
                <w:sz w:val="22"/>
              </w:rPr>
            </w:pPr>
            <w:r>
              <w:rPr>
                <w:sz w:val="22"/>
              </w:rPr>
              <w:t>The possible values for this attribute are defined by the </w:t>
            </w:r>
            <w:r>
              <w:rPr>
                <w:rFonts w:ascii="Cambria" w:hAnsi="Cambria"/>
                <w:sz w:val="22"/>
              </w:rPr>
              <w:t>ST_BorderStyle </w:t>
            </w:r>
            <w:r>
              <w:rPr>
                <w:sz w:val="22"/>
              </w:rPr>
              <w:t>simple type </w:t>
            </w:r>
            <w:hyperlink w:history="true" w:anchor="_bookmark825">
              <w:r>
                <w:rPr>
                  <w:sz w:val="22"/>
                </w:rPr>
                <w:t>(§18.18.3</w:t>
              </w:r>
            </w:hyperlink>
            <w:r>
              <w:rPr>
                <w:sz w:val="22"/>
              </w:rPr>
              <w:t>).</w:t>
            </w:r>
          </w:p>
        </w:tc>
      </w:tr>
    </w:tbl>
    <w:p>
      <w:pPr>
        <w:pStyle w:val="BodyText"/>
        <w:rPr>
          <w:sz w:val="26"/>
        </w:rPr>
      </w:pPr>
    </w:p>
    <w:p>
      <w:pPr>
        <w:pStyle w:val="BodyText"/>
        <w:spacing w:line="276" w:lineRule="auto" w:before="191"/>
        <w:ind w:left="220" w:right="680"/>
      </w:pPr>
      <w:r>
        <w:rPr/>
        <w:t>[</w:t>
      </w:r>
      <w:r>
        <w:rPr>
          <w:i/>
        </w:rPr>
        <w:t>Note</w:t>
      </w:r>
      <w:r>
        <w:rPr/>
        <w:t>: The W3C XML Schema definition of this element’s content model (</w:t>
      </w:r>
      <w:r>
        <w:rPr>
          <w:color w:val="5F5F5F"/>
          <w:u w:val="single" w:color="5F5F5F"/>
        </w:rPr>
        <w:t>CT_BorderPr</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8.45 xf (Format)" w:id="689"/>
      <w:bookmarkEnd w:id="689"/>
      <w:r>
        <w:rPr>
          <w:b w:val="0"/>
        </w:rPr>
      </w:r>
      <w:bookmarkStart w:name="_bookmark228" w:id="690"/>
      <w:bookmarkEnd w:id="690"/>
      <w:r>
        <w:rPr>
          <w:b w:val="0"/>
        </w:rPr>
      </w:r>
      <w:bookmarkStart w:name="_bookmark228" w:id="691"/>
      <w:bookmarkEnd w:id="691"/>
      <w:r>
        <w:rPr>
          <w:color w:val="4F81BC"/>
        </w:rPr>
        <w:t>xf</w:t>
      </w:r>
      <w:r>
        <w:rPr>
          <w:color w:val="4F81BC"/>
          <w:spacing w:val="-2"/>
        </w:rPr>
        <w:t> </w:t>
      </w:r>
      <w:r>
        <w:rPr>
          <w:color w:val="4F81BC"/>
        </w:rPr>
        <w:t>(Format)</w:t>
      </w:r>
    </w:p>
    <w:p>
      <w:pPr>
        <w:pStyle w:val="BodyText"/>
        <w:spacing w:before="127"/>
        <w:ind w:left="220"/>
      </w:pPr>
      <w:r>
        <w:rPr/>
        <w:t>A single xf element describes all of the formatting for a cell.</w:t>
      </w:r>
    </w:p>
    <w:p>
      <w:pPr>
        <w:spacing w:after="0"/>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line="256" w:lineRule="exact" w:before="42"/>
              <w:rPr>
                <w:rFonts w:ascii="Cambria"/>
                <w:sz w:val="22"/>
              </w:rPr>
            </w:pPr>
            <w:r>
              <w:rPr>
                <w:rFonts w:ascii="Cambria"/>
                <w:sz w:val="22"/>
              </w:rPr>
              <w:t>applyAlignment</w:t>
            </w:r>
          </w:p>
          <w:p>
            <w:pPr>
              <w:pStyle w:val="TableParagraph"/>
              <w:spacing w:line="267" w:lineRule="exact" w:before="0"/>
              <w:rPr>
                <w:sz w:val="22"/>
              </w:rPr>
            </w:pPr>
            <w:r>
              <w:rPr>
                <w:sz w:val="22"/>
              </w:rPr>
              <w:t>(Apply Alignment)</w:t>
            </w:r>
          </w:p>
        </w:tc>
        <w:tc>
          <w:tcPr>
            <w:tcW w:w="8250" w:type="dxa"/>
          </w:tcPr>
          <w:p>
            <w:pPr>
              <w:pStyle w:val="TableParagraph"/>
              <w:ind w:right="229"/>
              <w:rPr>
                <w:sz w:val="22"/>
              </w:rPr>
            </w:pPr>
            <w:r>
              <w:rPr>
                <w:sz w:val="22"/>
              </w:rPr>
              <w:t>A boolean value indicating whether the alignment formatting specified for this </w:t>
            </w:r>
            <w:r>
              <w:rPr>
                <w:rFonts w:ascii="Cambria"/>
                <w:sz w:val="22"/>
              </w:rPr>
              <w:t>xf </w:t>
            </w:r>
            <w:r>
              <w:rPr>
                <w:sz w:val="22"/>
              </w:rPr>
              <w:t>should be applied.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108"/>
              <w:rPr>
                <w:sz w:val="22"/>
              </w:rPr>
            </w:pPr>
            <w:r>
              <w:rPr>
                <w:rFonts w:ascii="Cambria"/>
                <w:sz w:val="22"/>
              </w:rPr>
              <w:t>applyBorder </w:t>
            </w:r>
            <w:r>
              <w:rPr>
                <w:sz w:val="22"/>
              </w:rPr>
              <w:t>(Apply Border)</w:t>
            </w:r>
          </w:p>
        </w:tc>
        <w:tc>
          <w:tcPr>
            <w:tcW w:w="8250" w:type="dxa"/>
          </w:tcPr>
          <w:p>
            <w:pPr>
              <w:pStyle w:val="TableParagraph"/>
              <w:ind w:right="244"/>
              <w:rPr>
                <w:sz w:val="22"/>
              </w:rPr>
            </w:pPr>
            <w:r>
              <w:rPr>
                <w:sz w:val="22"/>
              </w:rPr>
              <w:t>A boolean value indicating whether the border formatting specified for this </w:t>
            </w:r>
            <w:r>
              <w:rPr>
                <w:rFonts w:ascii="Cambria"/>
                <w:sz w:val="22"/>
              </w:rPr>
              <w:t>xf </w:t>
            </w:r>
            <w:r>
              <w:rPr>
                <w:sz w:val="22"/>
              </w:rPr>
              <w:t>should be applied.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rPr>
                <w:sz w:val="22"/>
              </w:rPr>
            </w:pPr>
            <w:r>
              <w:rPr>
                <w:rFonts w:ascii="Cambria"/>
                <w:sz w:val="22"/>
              </w:rPr>
              <w:t>applyFill </w:t>
            </w:r>
            <w:r>
              <w:rPr>
                <w:sz w:val="22"/>
              </w:rPr>
              <w:t>(Apply Fill)</w:t>
            </w:r>
          </w:p>
        </w:tc>
        <w:tc>
          <w:tcPr>
            <w:tcW w:w="8250" w:type="dxa"/>
          </w:tcPr>
          <w:p>
            <w:pPr>
              <w:pStyle w:val="TableParagraph"/>
              <w:ind w:right="636"/>
              <w:rPr>
                <w:sz w:val="22"/>
              </w:rPr>
            </w:pPr>
            <w:r>
              <w:rPr>
                <w:sz w:val="22"/>
              </w:rPr>
              <w:t>A boolean value indicating whether the fill formatting specified for this </w:t>
            </w:r>
            <w:r>
              <w:rPr>
                <w:rFonts w:ascii="Cambria"/>
                <w:sz w:val="22"/>
              </w:rPr>
              <w:t>xf </w:t>
            </w:r>
            <w:r>
              <w:rPr>
                <w:sz w:val="22"/>
              </w:rPr>
              <w:t>should be applied.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ind w:right="338"/>
              <w:rPr>
                <w:sz w:val="22"/>
              </w:rPr>
            </w:pPr>
            <w:r>
              <w:rPr>
                <w:rFonts w:ascii="Cambria"/>
                <w:sz w:val="22"/>
              </w:rPr>
              <w:t>applyFont </w:t>
            </w:r>
            <w:r>
              <w:rPr>
                <w:sz w:val="22"/>
              </w:rPr>
              <w:t>(Apply Font)</w:t>
            </w:r>
          </w:p>
        </w:tc>
        <w:tc>
          <w:tcPr>
            <w:tcW w:w="8250" w:type="dxa"/>
          </w:tcPr>
          <w:p>
            <w:pPr>
              <w:pStyle w:val="TableParagraph"/>
              <w:ind w:right="482"/>
              <w:rPr>
                <w:sz w:val="22"/>
              </w:rPr>
            </w:pPr>
            <w:r>
              <w:rPr>
                <w:sz w:val="22"/>
              </w:rPr>
              <w:t>A boolean value indicating whether the font formatting specified for this </w:t>
            </w:r>
            <w:r>
              <w:rPr>
                <w:rFonts w:ascii="Cambria"/>
                <w:sz w:val="22"/>
              </w:rPr>
              <w:t>xf </w:t>
            </w:r>
            <w:r>
              <w:rPr>
                <w:sz w:val="22"/>
              </w:rPr>
              <w:t>should be applied.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spacing w:line="237" w:lineRule="auto" w:before="45"/>
              <w:ind w:right="112"/>
              <w:rPr>
                <w:sz w:val="22"/>
              </w:rPr>
            </w:pPr>
            <w:r>
              <w:rPr>
                <w:rFonts w:ascii="Cambria"/>
                <w:sz w:val="22"/>
              </w:rPr>
              <w:t>applyNumberForm at </w:t>
            </w:r>
            <w:r>
              <w:rPr>
                <w:sz w:val="22"/>
              </w:rPr>
              <w:t>(Apply Number Format)</w:t>
            </w:r>
          </w:p>
        </w:tc>
        <w:tc>
          <w:tcPr>
            <w:tcW w:w="8250" w:type="dxa"/>
          </w:tcPr>
          <w:p>
            <w:pPr>
              <w:pStyle w:val="TableParagraph"/>
              <w:ind w:right="146"/>
              <w:rPr>
                <w:sz w:val="22"/>
              </w:rPr>
            </w:pPr>
            <w:r>
              <w:rPr>
                <w:sz w:val="22"/>
              </w:rPr>
              <w:t>A boolean value indicating whether the number formatting specified for this </w:t>
            </w:r>
            <w:r>
              <w:rPr>
                <w:rFonts w:ascii="Cambria"/>
                <w:sz w:val="22"/>
              </w:rPr>
              <w:t>xf </w:t>
            </w:r>
            <w:r>
              <w:rPr>
                <w:sz w:val="22"/>
              </w:rPr>
              <w:t>should be applied.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applyProtection</w:t>
            </w:r>
          </w:p>
          <w:p>
            <w:pPr>
              <w:pStyle w:val="TableParagraph"/>
              <w:spacing w:line="268" w:lineRule="exact" w:before="0"/>
              <w:rPr>
                <w:sz w:val="22"/>
              </w:rPr>
            </w:pPr>
            <w:r>
              <w:rPr>
                <w:sz w:val="22"/>
              </w:rPr>
              <w:t>(Apply Protection)</w:t>
            </w:r>
          </w:p>
        </w:tc>
        <w:tc>
          <w:tcPr>
            <w:tcW w:w="8250" w:type="dxa"/>
          </w:tcPr>
          <w:p>
            <w:pPr>
              <w:pStyle w:val="TableParagraph"/>
              <w:ind w:right="189"/>
              <w:rPr>
                <w:sz w:val="22"/>
              </w:rPr>
            </w:pPr>
            <w:r>
              <w:rPr>
                <w:sz w:val="22"/>
              </w:rPr>
              <w:t>A boolean value indicating whether the protection formatting specified for this </w:t>
            </w:r>
            <w:r>
              <w:rPr>
                <w:rFonts w:ascii="Cambria"/>
                <w:sz w:val="22"/>
              </w:rPr>
              <w:t>xf </w:t>
            </w:r>
            <w:r>
              <w:rPr>
                <w:sz w:val="22"/>
              </w:rPr>
              <w:t>should be applied.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ind w:right="345"/>
              <w:rPr>
                <w:sz w:val="22"/>
              </w:rPr>
            </w:pPr>
            <w:r>
              <w:rPr>
                <w:rFonts w:ascii="Cambria"/>
                <w:sz w:val="22"/>
              </w:rPr>
              <w:t>borderId </w:t>
            </w:r>
            <w:r>
              <w:rPr>
                <w:sz w:val="22"/>
              </w:rPr>
              <w:t>(Border Id)</w:t>
            </w:r>
          </w:p>
        </w:tc>
        <w:tc>
          <w:tcPr>
            <w:tcW w:w="8250" w:type="dxa"/>
          </w:tcPr>
          <w:p>
            <w:pPr>
              <w:pStyle w:val="TableParagraph"/>
              <w:rPr>
                <w:sz w:val="22"/>
              </w:rPr>
            </w:pPr>
            <w:r>
              <w:rPr>
                <w:sz w:val="22"/>
              </w:rPr>
              <w:t>Zero-based index of the </w:t>
            </w:r>
            <w:r>
              <w:rPr>
                <w:rFonts w:ascii="Cambria"/>
                <w:sz w:val="22"/>
              </w:rPr>
              <w:t>border </w:t>
            </w:r>
            <w:r>
              <w:rPr>
                <w:sz w:val="22"/>
              </w:rPr>
              <w:t>record used by this cell format.</w:t>
            </w:r>
          </w:p>
          <w:p>
            <w:pPr>
              <w:pStyle w:val="TableParagraph"/>
              <w:spacing w:before="4"/>
              <w:ind w:left="0"/>
              <w:rPr>
                <w:rFonts w:ascii="Times New Roman"/>
                <w:sz w:val="23"/>
              </w:rPr>
            </w:pPr>
          </w:p>
          <w:p>
            <w:pPr>
              <w:pStyle w:val="TableParagraph"/>
              <w:spacing w:before="0"/>
              <w:ind w:right="849"/>
              <w:rPr>
                <w:sz w:val="22"/>
              </w:rPr>
            </w:pPr>
            <w:r>
              <w:rPr>
                <w:sz w:val="22"/>
              </w:rPr>
              <w:t>The possible values for this attribute are defined by the </w:t>
            </w:r>
            <w:r>
              <w:rPr>
                <w:rFonts w:ascii="Cambria" w:hAnsi="Cambria"/>
                <w:sz w:val="22"/>
              </w:rPr>
              <w:t>ST_BorderId </w:t>
            </w:r>
            <w:r>
              <w:rPr>
                <w:sz w:val="22"/>
              </w:rPr>
              <w:t>simple type </w:t>
            </w:r>
            <w:hyperlink w:history="true" w:anchor="_bookmark824">
              <w:r>
                <w:rPr>
                  <w:sz w:val="22"/>
                </w:rPr>
                <w:t>(§18.18.2</w:t>
              </w:r>
            </w:hyperlink>
            <w:r>
              <w:rPr>
                <w:sz w:val="22"/>
              </w:rPr>
              <w:t>).</w:t>
            </w:r>
          </w:p>
        </w:tc>
      </w:tr>
      <w:tr>
        <w:trPr>
          <w:trHeight w:val="1161" w:hRule="atLeast"/>
        </w:trPr>
        <w:tc>
          <w:tcPr>
            <w:tcW w:w="2062" w:type="dxa"/>
          </w:tcPr>
          <w:p>
            <w:pPr>
              <w:pStyle w:val="TableParagraph"/>
              <w:rPr>
                <w:sz w:val="22"/>
              </w:rPr>
            </w:pPr>
            <w:r>
              <w:rPr>
                <w:rFonts w:ascii="Cambria"/>
                <w:sz w:val="22"/>
              </w:rPr>
              <w:t>fillId </w:t>
            </w:r>
            <w:r>
              <w:rPr>
                <w:sz w:val="22"/>
              </w:rPr>
              <w:t>(Fill Id)</w:t>
            </w:r>
          </w:p>
        </w:tc>
        <w:tc>
          <w:tcPr>
            <w:tcW w:w="8250" w:type="dxa"/>
          </w:tcPr>
          <w:p>
            <w:pPr>
              <w:pStyle w:val="TableParagraph"/>
              <w:rPr>
                <w:sz w:val="22"/>
              </w:rPr>
            </w:pPr>
            <w:r>
              <w:rPr>
                <w:sz w:val="22"/>
              </w:rPr>
              <w:t>Zero-based index of the </w:t>
            </w:r>
            <w:r>
              <w:rPr>
                <w:rFonts w:ascii="Cambria"/>
                <w:sz w:val="22"/>
              </w:rPr>
              <w:t>fill </w:t>
            </w:r>
            <w:r>
              <w:rPr>
                <w:sz w:val="22"/>
              </w:rPr>
              <w:t>record used by this cell format.</w:t>
            </w:r>
          </w:p>
          <w:p>
            <w:pPr>
              <w:pStyle w:val="TableParagraph"/>
              <w:spacing w:before="5"/>
              <w:ind w:left="0"/>
              <w:rPr>
                <w:rFonts w:ascii="Times New Roman"/>
                <w:sz w:val="23"/>
              </w:rPr>
            </w:pPr>
          </w:p>
          <w:p>
            <w:pPr>
              <w:pStyle w:val="TableParagraph"/>
              <w:spacing w:before="0"/>
              <w:ind w:right="1213"/>
              <w:rPr>
                <w:sz w:val="22"/>
              </w:rPr>
            </w:pPr>
            <w:r>
              <w:rPr>
                <w:sz w:val="22"/>
              </w:rPr>
              <w:t>The possible values for this attribute are defined by the </w:t>
            </w:r>
            <w:r>
              <w:rPr>
                <w:rFonts w:ascii="Cambria" w:hAnsi="Cambria"/>
                <w:sz w:val="22"/>
              </w:rPr>
              <w:t>ST_FillId </w:t>
            </w:r>
            <w:r>
              <w:rPr>
                <w:sz w:val="22"/>
              </w:rPr>
              <w:t>simple type </w:t>
            </w:r>
            <w:hyperlink w:history="true" w:anchor="_bookmark852">
              <w:r>
                <w:rPr>
                  <w:sz w:val="22"/>
                </w:rPr>
                <w:t>(§18.18.30</w:t>
              </w:r>
            </w:hyperlink>
            <w:r>
              <w:rPr>
                <w:sz w:val="22"/>
              </w:rPr>
              <w:t>).</w:t>
            </w:r>
          </w:p>
        </w:tc>
      </w:tr>
      <w:tr>
        <w:trPr>
          <w:trHeight w:val="1161" w:hRule="atLeast"/>
        </w:trPr>
        <w:tc>
          <w:tcPr>
            <w:tcW w:w="2062" w:type="dxa"/>
          </w:tcPr>
          <w:p>
            <w:pPr>
              <w:pStyle w:val="TableParagraph"/>
              <w:rPr>
                <w:sz w:val="22"/>
              </w:rPr>
            </w:pPr>
            <w:r>
              <w:rPr>
                <w:rFonts w:ascii="Cambria"/>
                <w:sz w:val="22"/>
              </w:rPr>
              <w:t>fontId </w:t>
            </w:r>
            <w:r>
              <w:rPr>
                <w:sz w:val="22"/>
              </w:rPr>
              <w:t>(Font Id)</w:t>
            </w:r>
          </w:p>
        </w:tc>
        <w:tc>
          <w:tcPr>
            <w:tcW w:w="8250" w:type="dxa"/>
          </w:tcPr>
          <w:p>
            <w:pPr>
              <w:pStyle w:val="TableParagraph"/>
              <w:rPr>
                <w:sz w:val="22"/>
              </w:rPr>
            </w:pPr>
            <w:r>
              <w:rPr>
                <w:sz w:val="22"/>
              </w:rPr>
              <w:t>Zero-based index of the </w:t>
            </w:r>
            <w:r>
              <w:rPr>
                <w:rFonts w:ascii="Cambria"/>
                <w:sz w:val="22"/>
              </w:rPr>
              <w:t>font </w:t>
            </w:r>
            <w:r>
              <w:rPr>
                <w:sz w:val="22"/>
              </w:rPr>
              <w:t>record used by this cell format.</w:t>
            </w:r>
          </w:p>
          <w:p>
            <w:pPr>
              <w:pStyle w:val="TableParagraph"/>
              <w:spacing w:before="4"/>
              <w:ind w:left="0"/>
              <w:rPr>
                <w:rFonts w:ascii="Times New Roman"/>
                <w:sz w:val="23"/>
              </w:rPr>
            </w:pPr>
          </w:p>
          <w:p>
            <w:pPr>
              <w:pStyle w:val="TableParagraph"/>
              <w:spacing w:before="0"/>
              <w:ind w:right="1079"/>
              <w:rPr>
                <w:sz w:val="22"/>
              </w:rPr>
            </w:pPr>
            <w:r>
              <w:rPr>
                <w:sz w:val="22"/>
              </w:rPr>
              <w:t>The possible values for this attribute are defined by the </w:t>
            </w:r>
            <w:r>
              <w:rPr>
                <w:rFonts w:ascii="Cambria" w:hAnsi="Cambria"/>
                <w:sz w:val="22"/>
              </w:rPr>
              <w:t>ST_FontId </w:t>
            </w:r>
            <w:r>
              <w:rPr>
                <w:sz w:val="22"/>
              </w:rPr>
              <w:t>simple type </w:t>
            </w:r>
            <w:hyperlink w:history="true" w:anchor="_bookmark854">
              <w:r>
                <w:rPr>
                  <w:sz w:val="22"/>
                </w:rPr>
                <w:t>(§18.18.32</w:t>
              </w:r>
            </w:hyperlink>
            <w:r>
              <w:rPr>
                <w:sz w:val="22"/>
              </w:rPr>
              <w:t>).</w:t>
            </w:r>
          </w:p>
        </w:tc>
      </w:tr>
      <w:tr>
        <w:trPr>
          <w:trHeight w:val="354" w:hRule="atLeast"/>
        </w:trPr>
        <w:tc>
          <w:tcPr>
            <w:tcW w:w="2062" w:type="dxa"/>
          </w:tcPr>
          <w:p>
            <w:pPr>
              <w:pStyle w:val="TableParagraph"/>
              <w:spacing w:before="42"/>
              <w:rPr>
                <w:rFonts w:ascii="Cambria"/>
                <w:sz w:val="22"/>
              </w:rPr>
            </w:pPr>
            <w:r>
              <w:rPr>
                <w:rFonts w:ascii="Cambria"/>
                <w:sz w:val="22"/>
              </w:rPr>
              <w:t>numFmtId</w:t>
            </w:r>
          </w:p>
        </w:tc>
        <w:tc>
          <w:tcPr>
            <w:tcW w:w="8250" w:type="dxa"/>
          </w:tcPr>
          <w:p>
            <w:pPr>
              <w:pStyle w:val="TableParagraph"/>
              <w:rPr>
                <w:sz w:val="22"/>
              </w:rPr>
            </w:pPr>
            <w:r>
              <w:rPr>
                <w:sz w:val="22"/>
              </w:rPr>
              <w:t>Id of the number format (</w:t>
            </w:r>
            <w:r>
              <w:rPr>
                <w:rFonts w:ascii="Cambria"/>
                <w:sz w:val="22"/>
              </w:rPr>
              <w:t>numFmt</w:t>
            </w:r>
            <w:r>
              <w:rPr>
                <w:sz w:val="22"/>
              </w:rPr>
              <w:t>) record used by this cell format.</w:t>
            </w:r>
          </w:p>
        </w:tc>
      </w:tr>
    </w:tbl>
    <w:p>
      <w:pPr>
        <w:spacing w:after="0"/>
        <w:rPr>
          <w:sz w:val="22"/>
        </w:rPr>
        <w:sectPr>
          <w:footerReference w:type="even" r:id="rId96"/>
          <w:footerReference w:type="default" r:id="rId97"/>
          <w:pgSz w:w="12240" w:h="15840"/>
          <w:pgMar w:footer="746" w:header="761" w:top="1340" w:bottom="940" w:left="860" w:right="700"/>
          <w:pgNumType w:start="18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(Number Format Id)</w:t>
            </w:r>
          </w:p>
        </w:tc>
        <w:tc>
          <w:tcPr>
            <w:tcW w:w="8250" w:type="dxa"/>
          </w:tcPr>
          <w:p>
            <w:pPr>
              <w:pStyle w:val="TableParagraph"/>
              <w:spacing w:before="9"/>
              <w:ind w:left="0"/>
              <w:rPr>
                <w:rFonts w:ascii="Times New Roman"/>
                <w:sz w:val="26"/>
              </w:rPr>
            </w:pPr>
          </w:p>
          <w:p>
            <w:pPr>
              <w:pStyle w:val="TableParagraph"/>
              <w:spacing w:before="0"/>
              <w:ind w:right="682"/>
              <w:rPr>
                <w:sz w:val="22"/>
              </w:rPr>
            </w:pPr>
            <w:r>
              <w:rPr>
                <w:sz w:val="22"/>
              </w:rPr>
              <w:t>The possible values for this attribute are defined by the </w:t>
            </w:r>
            <w:r>
              <w:rPr>
                <w:rFonts w:ascii="Cambria" w:hAnsi="Cambria"/>
                <w:sz w:val="22"/>
              </w:rPr>
              <w:t>ST_NumFmtId </w:t>
            </w:r>
            <w:r>
              <w:rPr>
                <w:sz w:val="22"/>
              </w:rPr>
              <w:t>simple type </w:t>
            </w:r>
            <w:hyperlink w:history="true" w:anchor="_bookmark869">
              <w:r>
                <w:rPr>
                  <w:sz w:val="22"/>
                </w:rPr>
                <w:t>(§18.18.47</w:t>
              </w:r>
            </w:hyperlink>
            <w:r>
              <w:rPr>
                <w:sz w:val="22"/>
              </w:rPr>
              <w:t>).</w:t>
            </w:r>
          </w:p>
        </w:tc>
      </w:tr>
      <w:tr>
        <w:trPr>
          <w:trHeight w:val="1696" w:hRule="atLeast"/>
        </w:trPr>
        <w:tc>
          <w:tcPr>
            <w:tcW w:w="2062" w:type="dxa"/>
          </w:tcPr>
          <w:p>
            <w:pPr>
              <w:pStyle w:val="TableParagraph"/>
              <w:spacing w:line="237" w:lineRule="auto" w:before="42"/>
              <w:ind w:right="218"/>
              <w:rPr>
                <w:sz w:val="22"/>
              </w:rPr>
            </w:pPr>
            <w:r>
              <w:rPr>
                <w:rFonts w:ascii="Cambria"/>
                <w:sz w:val="22"/>
              </w:rPr>
              <w:t>pivotButton </w:t>
            </w:r>
            <w:r>
              <w:rPr>
                <w:sz w:val="22"/>
              </w:rPr>
              <w:t>(Pivot Button)</w:t>
            </w:r>
          </w:p>
        </w:tc>
        <w:tc>
          <w:tcPr>
            <w:tcW w:w="8250" w:type="dxa"/>
          </w:tcPr>
          <w:p>
            <w:pPr>
              <w:pStyle w:val="TableParagraph"/>
              <w:ind w:right="836"/>
              <w:jc w:val="both"/>
              <w:rPr>
                <w:sz w:val="22"/>
              </w:rPr>
            </w:pPr>
            <w:r>
              <w:rPr>
                <w:sz w:val="22"/>
              </w:rPr>
              <w:t>A boolean value indicating whether the cell should include pivot table sorting and filtering interface elements, in applications intended for editing Office Open XML documents.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ind w:right="141"/>
              <w:rPr>
                <w:sz w:val="22"/>
              </w:rPr>
            </w:pPr>
            <w:r>
              <w:rPr>
                <w:rFonts w:ascii="Cambria"/>
                <w:sz w:val="22"/>
              </w:rPr>
              <w:t>quotePrefix </w:t>
            </w:r>
            <w:r>
              <w:rPr>
                <w:sz w:val="22"/>
              </w:rPr>
              <w:t>(Quote Prefix)</w:t>
            </w:r>
          </w:p>
        </w:tc>
        <w:tc>
          <w:tcPr>
            <w:tcW w:w="8250" w:type="dxa"/>
          </w:tcPr>
          <w:p>
            <w:pPr>
              <w:pStyle w:val="TableParagraph"/>
              <w:ind w:right="183"/>
              <w:rPr>
                <w:sz w:val="22"/>
              </w:rPr>
            </w:pPr>
            <w:r>
              <w:rPr>
                <w:sz w:val="22"/>
              </w:rPr>
              <w:t>A boolean value indicating whether the text string in a cell should be prefixed by a single quote mark (e.g., 'text). In these cases, the quote is not stored in the Shared Strings Part.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7" w:hRule="atLeast"/>
        </w:trPr>
        <w:tc>
          <w:tcPr>
            <w:tcW w:w="2062" w:type="dxa"/>
          </w:tcPr>
          <w:p>
            <w:pPr>
              <w:pStyle w:val="TableParagraph"/>
              <w:rPr>
                <w:sz w:val="22"/>
              </w:rPr>
            </w:pPr>
            <w:r>
              <w:rPr>
                <w:rFonts w:ascii="Cambria"/>
                <w:sz w:val="22"/>
              </w:rPr>
              <w:t>xfId </w:t>
            </w:r>
            <w:r>
              <w:rPr>
                <w:sz w:val="22"/>
              </w:rPr>
              <w:t>(Format Id)</w:t>
            </w:r>
          </w:p>
        </w:tc>
        <w:tc>
          <w:tcPr>
            <w:tcW w:w="8250" w:type="dxa"/>
          </w:tcPr>
          <w:p>
            <w:pPr>
              <w:pStyle w:val="TableParagraph"/>
              <w:ind w:right="255"/>
              <w:rPr>
                <w:sz w:val="22"/>
              </w:rPr>
            </w:pPr>
            <w:r>
              <w:rPr>
                <w:sz w:val="22"/>
              </w:rPr>
              <w:t>For </w:t>
            </w:r>
            <w:r>
              <w:rPr>
                <w:rFonts w:ascii="Cambria"/>
                <w:sz w:val="22"/>
              </w:rPr>
              <w:t>xf </w:t>
            </w:r>
            <w:r>
              <w:rPr>
                <w:sz w:val="22"/>
              </w:rPr>
              <w:t>records contained in </w:t>
            </w:r>
            <w:r>
              <w:rPr>
                <w:rFonts w:ascii="Cambria"/>
                <w:sz w:val="22"/>
              </w:rPr>
              <w:t>cellXfs </w:t>
            </w:r>
            <w:r>
              <w:rPr>
                <w:sz w:val="22"/>
              </w:rPr>
              <w:t>this is the zero-based index of an </w:t>
            </w:r>
            <w:r>
              <w:rPr>
                <w:rFonts w:ascii="Cambria"/>
                <w:sz w:val="22"/>
              </w:rPr>
              <w:t>xf </w:t>
            </w:r>
            <w:r>
              <w:rPr>
                <w:sz w:val="22"/>
              </w:rPr>
              <w:t>record contained in </w:t>
            </w:r>
            <w:r>
              <w:rPr>
                <w:rFonts w:ascii="Cambria"/>
                <w:sz w:val="22"/>
              </w:rPr>
              <w:t>cellStyleXfs </w:t>
            </w:r>
            <w:r>
              <w:rPr>
                <w:sz w:val="22"/>
              </w:rPr>
              <w:t>corresponding to the cell style applied to the cell.</w:t>
            </w:r>
          </w:p>
          <w:p>
            <w:pPr>
              <w:pStyle w:val="TableParagraph"/>
              <w:spacing w:before="4"/>
              <w:ind w:left="0"/>
              <w:rPr>
                <w:rFonts w:ascii="Times New Roman"/>
                <w:sz w:val="23"/>
              </w:rPr>
            </w:pPr>
          </w:p>
          <w:p>
            <w:pPr>
              <w:pStyle w:val="TableParagraph"/>
              <w:spacing w:before="0"/>
              <w:rPr>
                <w:sz w:val="22"/>
              </w:rPr>
            </w:pPr>
            <w:r>
              <w:rPr>
                <w:sz w:val="22"/>
              </w:rPr>
              <w:t>Not present for </w:t>
            </w:r>
            <w:r>
              <w:rPr>
                <w:rFonts w:ascii="Cambria"/>
                <w:sz w:val="22"/>
              </w:rPr>
              <w:t>xf </w:t>
            </w:r>
            <w:r>
              <w:rPr>
                <w:sz w:val="22"/>
              </w:rPr>
              <w:t>records contained in </w:t>
            </w:r>
            <w:r>
              <w:rPr>
                <w:rFonts w:ascii="Cambria"/>
                <w:sz w:val="22"/>
              </w:rPr>
              <w:t>cellStyleXfs</w:t>
            </w:r>
            <w:r>
              <w:rPr>
                <w:sz w:val="22"/>
              </w:rPr>
              <w:t>.</w:t>
            </w:r>
          </w:p>
          <w:p>
            <w:pPr>
              <w:pStyle w:val="TableParagraph"/>
              <w:spacing w:before="5"/>
              <w:ind w:left="0"/>
              <w:rPr>
                <w:rFonts w:ascii="Times New Roman"/>
                <w:sz w:val="23"/>
              </w:rPr>
            </w:pPr>
          </w:p>
          <w:p>
            <w:pPr>
              <w:pStyle w:val="TableParagraph"/>
              <w:spacing w:before="0"/>
              <w:ind w:right="507"/>
              <w:rPr>
                <w:sz w:val="22"/>
              </w:rPr>
            </w:pPr>
            <w:r>
              <w:rPr>
                <w:sz w:val="22"/>
              </w:rPr>
              <w:t>The possible values for this attribute are defined by the </w:t>
            </w:r>
            <w:r>
              <w:rPr>
                <w:rFonts w:ascii="Cambria" w:hAnsi="Cambria"/>
                <w:sz w:val="22"/>
              </w:rPr>
              <w:t>ST_CellStyleXfId </w:t>
            </w:r>
            <w:r>
              <w:rPr>
                <w:sz w:val="22"/>
              </w:rPr>
              <w:t>simple type </w:t>
            </w:r>
            <w:hyperlink w:history="true" w:anchor="_bookmark832">
              <w:r>
                <w:rPr>
                  <w:sz w:val="22"/>
                </w:rPr>
                <w:t>(§18.18.10</w:t>
              </w:r>
            </w:hyperlink>
            <w:r>
              <w:rPr>
                <w:sz w:val="22"/>
              </w:rPr>
              <w:t>).</w:t>
            </w: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CT_Xf</w:t>
      </w:r>
      <w:r>
        <w:rPr/>
        <w:t>) is located in §A.2. </w:t>
      </w:r>
      <w:r>
        <w:rPr>
          <w:i/>
        </w:rPr>
        <w:t>end note</w:t>
      </w:r>
      <w:r>
        <w:rPr/>
        <w:t>]</w:t>
      </w:r>
    </w:p>
    <w:p>
      <w:pPr>
        <w:pStyle w:val="BodyText"/>
        <w:spacing w:before="8"/>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9 Metadata" w:id="692"/>
      <w:bookmarkEnd w:id="692"/>
      <w:r>
        <w:rPr>
          <w:b w:val="0"/>
        </w:rPr>
      </w:r>
      <w:bookmarkStart w:name="_bookmark229" w:id="693"/>
      <w:bookmarkEnd w:id="693"/>
      <w:r>
        <w:rPr>
          <w:b w:val="0"/>
        </w:rPr>
      </w:r>
      <w:bookmarkStart w:name="_bookmark229" w:id="694"/>
      <w:bookmarkEnd w:id="694"/>
      <w:r>
        <w:rPr>
          <w:color w:val="4F81BC"/>
        </w:rPr>
        <w:t>Metad</w:t>
      </w:r>
      <w:r>
        <w:rPr>
          <w:color w:val="4F81BC"/>
        </w:rPr>
        <w:t>ata</w:t>
      </w:r>
    </w:p>
    <w:p>
      <w:pPr>
        <w:pStyle w:val="BodyText"/>
        <w:spacing w:line="278" w:lineRule="auto" w:before="126"/>
        <w:ind w:left="220"/>
      </w:pPr>
      <w:r>
        <w:rPr/>
        <w:t>A cell in a spreadsheet application can have metadata associated with it. Metadata is just a set of additional properties about the particular cell, and this metadata is stored in the metadata xml part.</w:t>
      </w:r>
    </w:p>
    <w:p>
      <w:pPr>
        <w:pStyle w:val="BodyText"/>
        <w:spacing w:line="276" w:lineRule="auto" w:before="196"/>
        <w:ind w:left="220" w:right="478"/>
      </w:pPr>
      <w:r>
        <w:rPr/>
        <w:t>There are two types of metadata: cell metadata and value metadata. Cell metadata contains information about the cell itself, and this metadata can be carried along with the cell as it moves (insert, shift, copy/paste, merge, unmerge, etc). Value metadata is information about the value of a particular cell. Value metadata properties can be propagated along with the value as it is referenced in formulas.</w:t>
      </w:r>
    </w:p>
    <w:p>
      <w:pPr>
        <w:pStyle w:val="BodyText"/>
        <w:spacing w:before="4"/>
        <w:rPr>
          <w:sz w:val="16"/>
        </w:rPr>
      </w:pPr>
    </w:p>
    <w:p>
      <w:pPr>
        <w:pStyle w:val="BodyText"/>
        <w:spacing w:line="276" w:lineRule="auto"/>
        <w:ind w:left="220" w:right="412"/>
      </w:pPr>
      <w:r>
        <w:rPr/>
        <w:t>The file format is architected such that it supports both value and cell metadata, as well as even allowing for future extensions. Formulas, such as CUBEMEMBER() or CUBE*, shall make use of value metadata as part of the SpreadsheetML standard. So, only value metadata shall be implemented as it is used by MDX cube functions for retrieving data from OLAP data sources. The other parts are allowed for future extensibility.</w:t>
      </w:r>
    </w:p>
    <w:p>
      <w:pPr>
        <w:pStyle w:val="BodyText"/>
        <w:spacing w:before="8"/>
        <w:rPr>
          <w:sz w:val="16"/>
        </w:rPr>
      </w:pPr>
    </w:p>
    <w:p>
      <w:pPr>
        <w:pStyle w:val="BodyText"/>
        <w:ind w:left="220"/>
      </w:pPr>
      <w:r>
        <w:rPr/>
        <w:t>See the informative material for background information on OLAP and the various CUBE* functions.</w:t>
      </w:r>
    </w:p>
    <w:p>
      <w:pPr>
        <w:pStyle w:val="BodyText"/>
        <w:spacing w:before="6"/>
        <w:rPr>
          <w:sz w:val="19"/>
        </w:rPr>
      </w:pPr>
    </w:p>
    <w:p>
      <w:pPr>
        <w:pStyle w:val="BodyText"/>
        <w:spacing w:line="276" w:lineRule="auto"/>
        <w:ind w:left="220" w:right="503"/>
      </w:pPr>
      <w:r>
        <w:rPr/>
        <w:t>[</w:t>
      </w:r>
      <w:r>
        <w:rPr>
          <w:i/>
        </w:rPr>
        <w:t>Example</w:t>
      </w:r>
      <w:r>
        <w:rPr/>
        <w:t>: The CUBEMEMBER() function is used to return a specific member from an OLAP cube. The metadata will express the connection name (used as a friendly identifier for the external data connection to the OLAP</w:t>
      </w:r>
    </w:p>
    <w:p>
      <w:pPr>
        <w:spacing w:after="0" w:line="276" w:lineRule="auto"/>
        <w:sectPr>
          <w:pgSz w:w="12240" w:h="15840"/>
          <w:pgMar w:header="763" w:footer="746" w:top="1340" w:bottom="940" w:left="860" w:right="700"/>
        </w:sectPr>
      </w:pPr>
    </w:p>
    <w:p>
      <w:pPr>
        <w:pStyle w:val="BodyText"/>
        <w:spacing w:line="276" w:lineRule="auto" w:before="90"/>
        <w:ind w:left="220" w:right="1077"/>
      </w:pPr>
      <w:r>
        <w:rPr/>
        <w:t>server and cube), the MDX statement retrieving that member, and a set of operational attributes of the metadata that sepcify how it behaves in the spreadsheet application (i.e., whether it propagates through formula assignment, is able to be copy/pasted, etc).</w:t>
      </w:r>
    </w:p>
    <w:p>
      <w:pPr>
        <w:pStyle w:val="BodyText"/>
        <w:spacing w:before="6"/>
        <w:rPr>
          <w:sz w:val="16"/>
        </w:rPr>
      </w:pPr>
    </w:p>
    <w:p>
      <w:pPr>
        <w:pStyle w:val="BodyText"/>
        <w:spacing w:before="1"/>
        <w:ind w:left="508"/>
        <w:rPr>
          <w:rFonts w:ascii="Consolas"/>
        </w:rPr>
      </w:pPr>
      <w:r>
        <w:rPr>
          <w:rFonts w:ascii="Consolas"/>
        </w:rPr>
        <w:t>&lt;metadata xmlns="</w:t>
      </w:r>
      <w:hyperlink r:id="rId22">
        <w:r>
          <w:rPr>
            <w:rFonts w:ascii="Consolas"/>
          </w:rPr>
          <w:t>http://purl.oclc.org/ooxml/spreadsheetml/main</w:t>
        </w:r>
      </w:hyperlink>
      <w:r>
        <w:rPr>
          <w:rFonts w:ascii="Consolas"/>
        </w:rPr>
        <w:t>"&gt;</w:t>
      </w:r>
    </w:p>
    <w:p>
      <w:pPr>
        <w:pStyle w:val="BodyText"/>
        <w:spacing w:before="40"/>
        <w:ind w:left="750"/>
        <w:rPr>
          <w:rFonts w:ascii="Consolas"/>
        </w:rPr>
      </w:pPr>
      <w:r>
        <w:rPr>
          <w:rFonts w:ascii="Consolas"/>
        </w:rPr>
        <w:t>&lt;metadataTypes count="1"&gt;</w:t>
      </w:r>
    </w:p>
    <w:p>
      <w:pPr>
        <w:pStyle w:val="BodyText"/>
        <w:spacing w:line="276" w:lineRule="auto" w:before="37"/>
        <w:ind w:left="1235" w:right="542" w:hanging="243"/>
        <w:rPr>
          <w:rFonts w:ascii="Consolas"/>
        </w:rPr>
      </w:pPr>
      <w:r>
        <w:rPr>
          <w:rFonts w:ascii="Consolas"/>
        </w:rPr>
        <w:t>&lt;metadataType name="XLMDX" minSupportedVersion="120000" copy="1" pasteAll="1" pasteValues="1" merge="1" splitFirst="1" rowColShift="1" clearFormats="1" clearComments="1" assign="1" coerce="1"/&gt;</w:t>
      </w:r>
    </w:p>
    <w:p>
      <w:pPr>
        <w:pStyle w:val="BodyText"/>
        <w:spacing w:before="2"/>
        <w:ind w:left="750"/>
        <w:rPr>
          <w:rFonts w:ascii="Consolas"/>
        </w:rPr>
      </w:pPr>
      <w:r>
        <w:rPr>
          <w:rFonts w:ascii="Consolas"/>
        </w:rPr>
        <w:t>&lt;/metadataTypes&gt;</w:t>
      </w:r>
    </w:p>
    <w:p>
      <w:pPr>
        <w:pStyle w:val="BodyText"/>
        <w:spacing w:before="38"/>
        <w:ind w:left="750"/>
        <w:rPr>
          <w:rFonts w:ascii="Consolas"/>
        </w:rPr>
      </w:pPr>
      <w:r>
        <w:rPr>
          <w:rFonts w:ascii="Consolas"/>
        </w:rPr>
        <w:t>&lt;metadataStrings count="2"&gt;</w:t>
      </w:r>
    </w:p>
    <w:p>
      <w:pPr>
        <w:pStyle w:val="BodyText"/>
        <w:spacing w:before="37"/>
        <w:ind w:left="993"/>
        <w:rPr>
          <w:rFonts w:ascii="Consolas"/>
        </w:rPr>
      </w:pPr>
      <w:r>
        <w:rPr>
          <w:rFonts w:ascii="Consolas"/>
        </w:rPr>
        <w:t>&lt;s v="My Connection"/&gt;</w:t>
      </w:r>
    </w:p>
    <w:p>
      <w:pPr>
        <w:pStyle w:val="BodyText"/>
        <w:spacing w:before="40"/>
        <w:ind w:left="993"/>
        <w:rPr>
          <w:rFonts w:ascii="Consolas"/>
        </w:rPr>
      </w:pPr>
      <w:r>
        <w:rPr>
          <w:rFonts w:ascii="Consolas"/>
        </w:rPr>
        <w:t>&lt;s v="[Measures].[Internet Sales Amount]"/&gt;</w:t>
      </w:r>
    </w:p>
    <w:p>
      <w:pPr>
        <w:pStyle w:val="BodyText"/>
        <w:spacing w:before="38"/>
        <w:ind w:left="750"/>
        <w:rPr>
          <w:rFonts w:ascii="Consolas"/>
        </w:rPr>
      </w:pPr>
      <w:r>
        <w:rPr>
          <w:rFonts w:ascii="Consolas"/>
        </w:rPr>
        <w:t>&lt;/metadataStrings&gt;</w:t>
      </w:r>
    </w:p>
    <w:p>
      <w:pPr>
        <w:pStyle w:val="BodyText"/>
        <w:spacing w:before="40"/>
        <w:ind w:left="750"/>
        <w:rPr>
          <w:rFonts w:ascii="Consolas"/>
        </w:rPr>
      </w:pPr>
      <w:r>
        <w:rPr>
          <w:rFonts w:ascii="Consolas"/>
        </w:rPr>
        <w:t>&lt;mdxMetadata count="1"&gt;</w:t>
      </w:r>
    </w:p>
    <w:p>
      <w:pPr>
        <w:pStyle w:val="BodyText"/>
        <w:spacing w:before="38"/>
        <w:ind w:left="993"/>
        <w:rPr>
          <w:rFonts w:ascii="Consolas"/>
        </w:rPr>
      </w:pPr>
      <w:r>
        <w:rPr>
          <w:rFonts w:ascii="Consolas"/>
        </w:rPr>
        <w:t>&lt;mdx n="0" f="m"&gt;</w:t>
      </w:r>
    </w:p>
    <w:p>
      <w:pPr>
        <w:pStyle w:val="BodyText"/>
        <w:spacing w:before="40"/>
        <w:ind w:left="1235"/>
        <w:rPr>
          <w:rFonts w:ascii="Consolas"/>
        </w:rPr>
      </w:pPr>
      <w:r>
        <w:rPr>
          <w:rFonts w:ascii="Consolas"/>
        </w:rPr>
        <w:t>&lt;t c="1"&gt;</w:t>
      </w:r>
    </w:p>
    <w:p>
      <w:pPr>
        <w:pStyle w:val="BodyText"/>
        <w:spacing w:before="38"/>
        <w:ind w:left="1478"/>
        <w:rPr>
          <w:rFonts w:ascii="Consolas"/>
        </w:rPr>
      </w:pPr>
      <w:r>
        <w:rPr>
          <w:rFonts w:ascii="Consolas"/>
        </w:rPr>
        <w:t>&lt;n x="1"/&gt;</w:t>
      </w:r>
    </w:p>
    <w:p>
      <w:pPr>
        <w:pStyle w:val="BodyText"/>
        <w:spacing w:before="37"/>
        <w:ind w:right="8959"/>
        <w:jc w:val="right"/>
        <w:rPr>
          <w:rFonts w:ascii="Consolas"/>
        </w:rPr>
      </w:pPr>
      <w:r>
        <w:rPr>
          <w:rFonts w:ascii="Consolas"/>
          <w:spacing w:val="-1"/>
        </w:rPr>
        <w:t>&lt;/t&gt;</w:t>
      </w:r>
    </w:p>
    <w:p>
      <w:pPr>
        <w:pStyle w:val="BodyText"/>
        <w:spacing w:before="40"/>
        <w:ind w:right="8959"/>
        <w:jc w:val="right"/>
        <w:rPr>
          <w:rFonts w:ascii="Consolas"/>
        </w:rPr>
      </w:pPr>
      <w:r>
        <w:rPr>
          <w:rFonts w:ascii="Consolas"/>
          <w:spacing w:val="-1"/>
        </w:rPr>
        <w:t>&lt;/mdx&gt;</w:t>
      </w:r>
    </w:p>
    <w:p>
      <w:pPr>
        <w:pStyle w:val="BodyText"/>
        <w:spacing w:before="38"/>
        <w:ind w:left="750"/>
        <w:rPr>
          <w:rFonts w:ascii="Consolas"/>
        </w:rPr>
      </w:pPr>
      <w:r>
        <w:rPr>
          <w:rFonts w:ascii="Consolas"/>
        </w:rPr>
        <w:t>&lt;/mdxMetadata&gt;</w:t>
      </w:r>
    </w:p>
    <w:p>
      <w:pPr>
        <w:pStyle w:val="BodyText"/>
        <w:spacing w:before="40"/>
        <w:ind w:left="750"/>
        <w:rPr>
          <w:rFonts w:ascii="Consolas"/>
        </w:rPr>
      </w:pPr>
      <w:r>
        <w:rPr>
          <w:rFonts w:ascii="Consolas"/>
        </w:rPr>
        <w:t>&lt;valueMetadata count="1"&gt;</w:t>
      </w:r>
    </w:p>
    <w:p>
      <w:pPr>
        <w:pStyle w:val="BodyText"/>
        <w:spacing w:before="37"/>
        <w:ind w:left="993"/>
        <w:rPr>
          <w:rFonts w:ascii="Consolas"/>
        </w:rPr>
      </w:pPr>
      <w:r>
        <w:rPr>
          <w:rFonts w:ascii="Consolas"/>
        </w:rPr>
        <w:t>&lt;bk&gt;</w:t>
      </w:r>
    </w:p>
    <w:p>
      <w:pPr>
        <w:pStyle w:val="BodyText"/>
        <w:spacing w:before="40"/>
        <w:ind w:left="1235"/>
        <w:rPr>
          <w:rFonts w:ascii="Consolas"/>
        </w:rPr>
      </w:pPr>
      <w:r>
        <w:rPr>
          <w:rFonts w:ascii="Consolas"/>
        </w:rPr>
        <w:t>&lt;rc t="1" v="0"/&gt;</w:t>
      </w:r>
    </w:p>
    <w:p>
      <w:pPr>
        <w:pStyle w:val="BodyText"/>
        <w:spacing w:before="38"/>
        <w:ind w:left="993"/>
        <w:rPr>
          <w:rFonts w:ascii="Consolas"/>
        </w:rPr>
      </w:pPr>
      <w:r>
        <w:rPr>
          <w:rFonts w:ascii="Consolas"/>
        </w:rPr>
        <w:t>&lt;/bk&gt;</w:t>
      </w:r>
    </w:p>
    <w:p>
      <w:pPr>
        <w:pStyle w:val="BodyText"/>
        <w:spacing w:before="38"/>
        <w:ind w:left="750"/>
        <w:rPr>
          <w:rFonts w:ascii="Consolas"/>
        </w:rPr>
      </w:pPr>
      <w:r>
        <w:rPr>
          <w:rFonts w:ascii="Consolas"/>
        </w:rPr>
        <w:t>&lt;/valueMetadata&gt;</w:t>
      </w:r>
    </w:p>
    <w:p>
      <w:pPr>
        <w:pStyle w:val="BodyText"/>
        <w:spacing w:before="40"/>
        <w:ind w:left="508"/>
        <w:rPr>
          <w:rFonts w:ascii="Consolas"/>
        </w:rPr>
      </w:pPr>
      <w:r>
        <w:rPr>
          <w:rFonts w:ascii="Consolas"/>
        </w:rPr>
        <w:t>&lt;/metadata&gt;</w:t>
      </w:r>
    </w:p>
    <w:p>
      <w:pPr>
        <w:pStyle w:val="BodyText"/>
        <w:spacing w:before="3"/>
        <w:rPr>
          <w:rFonts w:ascii="Consolas"/>
          <w:sz w:val="20"/>
        </w:rPr>
      </w:pPr>
    </w:p>
    <w:p>
      <w:pPr>
        <w:pStyle w:val="BodyText"/>
        <w:spacing w:line="276" w:lineRule="auto"/>
        <w:ind w:left="220" w:right="411"/>
      </w:pPr>
      <w:r>
        <w:rPr/>
        <w:t>As seen above, the metadata string table contains two entries: the name of the connection (My Connection), and the expression that returns the Internet Sales Amount member from the cube. The </w:t>
      </w:r>
      <w:r>
        <w:rPr>
          <w:rFonts w:ascii="Cambria"/>
        </w:rPr>
        <w:t>metadataType </w:t>
      </w:r>
      <w:r>
        <w:rPr/>
        <w:t>specifies that the metadata persists with assignment, cell merging, copy/pasting, shifting rows/columns, when the formatting or comments are deleted from the cell, and is assigned to the upper left most cell if a merged cell is split. In the </w:t>
      </w:r>
      <w:r>
        <w:rPr>
          <w:rFonts w:ascii="Cambria"/>
        </w:rPr>
        <w:t>valueMetadata </w:t>
      </w:r>
      <w:r>
        <w:rPr/>
        <w:t>collection, the metadata block specifies that the first </w:t>
      </w:r>
      <w:r>
        <w:rPr>
          <w:rFonts w:ascii="Consolas"/>
          <w:sz w:val="20"/>
        </w:rPr>
        <w:t>metadataType </w:t>
      </w:r>
      <w:r>
        <w:rPr/>
        <w:t>is used, and indexes the first (0th) entry in the </w:t>
      </w:r>
      <w:r>
        <w:rPr>
          <w:rFonts w:ascii="Cambria"/>
        </w:rPr>
        <w:t>mdxMetadata </w:t>
      </w:r>
      <w:r>
        <w:rPr/>
        <w:t>collection.  This MDX element in the </w:t>
      </w:r>
      <w:r>
        <w:rPr>
          <w:rFonts w:ascii="Cambria"/>
        </w:rPr>
        <w:t>mdxMetadata </w:t>
      </w:r>
      <w:r>
        <w:rPr/>
        <w:t>collection in turn specifies the cube function type (m= cube member) and an index into the string table that specifies the connection name. It also contains a tuple (t) element which specifies, via index into the string table, which tuple is returned. </w:t>
      </w:r>
      <w:r>
        <w:rPr>
          <w:i/>
        </w:rPr>
        <w:t>end</w:t>
      </w:r>
      <w:r>
        <w:rPr>
          <w:i/>
          <w:spacing w:val="-5"/>
        </w:rPr>
        <w:t> </w:t>
      </w:r>
      <w:r>
        <w:rPr>
          <w:i/>
        </w:rPr>
        <w:t>example</w:t>
      </w:r>
      <w:r>
        <w:rPr/>
        <w:t>]</w:t>
      </w:r>
    </w:p>
    <w:p>
      <w:pPr>
        <w:pStyle w:val="BodyText"/>
        <w:spacing w:before="4"/>
        <w:rPr>
          <w:sz w:val="16"/>
        </w:rPr>
      </w:pPr>
    </w:p>
    <w:p>
      <w:pPr>
        <w:pStyle w:val="BodyText"/>
        <w:spacing w:line="276" w:lineRule="auto"/>
        <w:ind w:left="220" w:right="434"/>
      </w:pPr>
      <w:r>
        <w:rPr/>
        <w:t>[</w:t>
      </w:r>
      <w:r>
        <w:rPr>
          <w:i/>
        </w:rPr>
        <w:t>Note</w:t>
      </w:r>
      <w:r>
        <w:rPr/>
        <w:t>: When copying a cell with metadata, and the cell contains an array formula, each pasted cell must contain the value from the corresponding position in the array and should contain the metadata corresponding to that cell. </w:t>
      </w:r>
      <w:r>
        <w:rPr>
          <w:i/>
        </w:rPr>
        <w:t>end note</w:t>
      </w:r>
      <w:r>
        <w:rPr/>
        <w:t>]</w:t>
      </w:r>
    </w:p>
    <w:p>
      <w:pPr>
        <w:pStyle w:val="BodyText"/>
        <w:spacing w:before="7"/>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 bk (Metadata Block)" w:id="695"/>
      <w:bookmarkEnd w:id="695"/>
      <w:r>
        <w:rPr>
          <w:b w:val="0"/>
        </w:rPr>
      </w:r>
      <w:bookmarkStart w:name="_bookmark230" w:id="696"/>
      <w:bookmarkEnd w:id="696"/>
      <w:r>
        <w:rPr>
          <w:b w:val="0"/>
        </w:rPr>
      </w:r>
      <w:bookmarkStart w:name="_bookmark230" w:id="697"/>
      <w:bookmarkEnd w:id="697"/>
      <w:r>
        <w:rPr>
          <w:color w:val="4F81BC"/>
        </w:rPr>
        <w:t>bk</w:t>
      </w:r>
      <w:r>
        <w:rPr>
          <w:color w:val="4F81BC"/>
        </w:rPr>
        <w:t> (Metadata</w:t>
      </w:r>
      <w:r>
        <w:rPr>
          <w:color w:val="4F81BC"/>
          <w:spacing w:val="1"/>
        </w:rPr>
        <w:t> </w:t>
      </w:r>
      <w:r>
        <w:rPr>
          <w:color w:val="4F81BC"/>
        </w:rPr>
        <w:t>Block)</w:t>
      </w:r>
    </w:p>
    <w:p>
      <w:pPr>
        <w:pStyle w:val="BodyText"/>
        <w:spacing w:before="126"/>
        <w:ind w:left="220"/>
      </w:pPr>
      <w:r>
        <w:rPr/>
        <w:t>This element represents a block of metadata records.</w:t>
      </w:r>
    </w:p>
    <w:p>
      <w:pPr>
        <w:spacing w:after="0"/>
        <w:sectPr>
          <w:pgSz w:w="12240" w:h="15840"/>
          <w:pgMar w:header="761" w:footer="746" w:top="1340" w:bottom="940" w:left="860" w:right="700"/>
        </w:sectPr>
      </w:pPr>
    </w:p>
    <w:p>
      <w:pPr>
        <w:pStyle w:val="BodyText"/>
        <w:spacing w:before="148"/>
        <w:ind w:left="220"/>
      </w:pPr>
      <w:r>
        <w:rPr/>
        <w:t>[</w:t>
      </w:r>
      <w:r>
        <w:rPr>
          <w:i/>
        </w:rPr>
        <w:t>Note</w:t>
      </w:r>
      <w:r>
        <w:rPr/>
        <w:t>: The W3C XML Schema definition of this element’s content model (</w:t>
      </w:r>
      <w:r>
        <w:rPr>
          <w:color w:val="5F5F5F"/>
          <w:u w:val="single" w:color="5F5F5F"/>
        </w:rPr>
        <w:t>CT_MetadataBlock</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2 bk (Future Metadata Block)" w:id="698"/>
      <w:bookmarkEnd w:id="698"/>
      <w:r>
        <w:rPr>
          <w:b w:val="0"/>
        </w:rPr>
      </w:r>
      <w:bookmarkStart w:name="_bookmark231" w:id="699"/>
      <w:bookmarkEnd w:id="699"/>
      <w:r>
        <w:rPr>
          <w:b w:val="0"/>
        </w:rPr>
      </w:r>
      <w:bookmarkStart w:name="_bookmark231" w:id="700"/>
      <w:bookmarkEnd w:id="700"/>
      <w:r>
        <w:rPr>
          <w:color w:val="4F81BC"/>
        </w:rPr>
        <w:t>bk</w:t>
      </w:r>
      <w:r>
        <w:rPr>
          <w:color w:val="4F81BC"/>
        </w:rPr>
        <w:t> (Future Metadata</w:t>
      </w:r>
      <w:r>
        <w:rPr>
          <w:color w:val="4F81BC"/>
          <w:spacing w:val="1"/>
        </w:rPr>
        <w:t> </w:t>
      </w:r>
      <w:r>
        <w:rPr>
          <w:color w:val="4F81BC"/>
        </w:rPr>
        <w:t>Block)</w:t>
      </w:r>
    </w:p>
    <w:p>
      <w:pPr>
        <w:pStyle w:val="BodyText"/>
        <w:spacing w:line="278" w:lineRule="auto" w:before="121"/>
        <w:ind w:left="220"/>
      </w:pPr>
      <w:r>
        <w:rPr/>
        <w:t>This element represents a block of future metadata information. This is a location for storing feature extension information.</w:t>
      </w:r>
    </w:p>
    <w:p>
      <w:pPr>
        <w:pStyle w:val="BodyText"/>
        <w:spacing w:before="196"/>
        <w:ind w:left="220"/>
      </w:pPr>
      <w:r>
        <w:rPr/>
        <w:t>[</w:t>
      </w:r>
      <w:r>
        <w:rPr>
          <w:i/>
        </w:rPr>
        <w:t>Note</w:t>
      </w:r>
      <w:r>
        <w:rPr/>
        <w:t>: The W3C XML Schema definition of this element’s content model (</w:t>
      </w:r>
      <w:r>
        <w:rPr>
          <w:color w:val="5F5F5F"/>
          <w:u w:val="single" w:color="5F5F5F"/>
        </w:rPr>
        <w:t>CT_FutureMetadataBlock</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3 cellMetadata (Cell Metadata)" w:id="701"/>
      <w:bookmarkEnd w:id="701"/>
      <w:r>
        <w:rPr>
          <w:b w:val="0"/>
        </w:rPr>
      </w:r>
      <w:bookmarkStart w:name="_bookmark232" w:id="702"/>
      <w:bookmarkEnd w:id="702"/>
      <w:r>
        <w:rPr>
          <w:b w:val="0"/>
        </w:rPr>
      </w:r>
      <w:bookmarkStart w:name="_bookmark232" w:id="703"/>
      <w:bookmarkEnd w:id="703"/>
      <w:r>
        <w:rPr>
          <w:color w:val="4F81BC"/>
        </w:rPr>
        <w:t>c</w:t>
      </w:r>
      <w:r>
        <w:rPr>
          <w:color w:val="4F81BC"/>
        </w:rPr>
        <w:t>ellMetadata (Cell</w:t>
      </w:r>
      <w:r>
        <w:rPr>
          <w:color w:val="4F81BC"/>
          <w:spacing w:val="1"/>
        </w:rPr>
        <w:t> </w:t>
      </w:r>
      <w:r>
        <w:rPr>
          <w:color w:val="4F81BC"/>
        </w:rPr>
        <w:t>Metadata)</w:t>
      </w:r>
    </w:p>
    <w:p>
      <w:pPr>
        <w:pStyle w:val="BodyText"/>
        <w:spacing w:line="278" w:lineRule="auto" w:before="124"/>
        <w:ind w:left="220" w:right="412"/>
      </w:pPr>
      <w:r>
        <w:rPr/>
        <w:t>This element represents cell metadata information. Cell metadata is information metadata about a specific cell, and it stays tied to that cell position.</w:t>
      </w:r>
    </w:p>
    <w:p>
      <w:pPr>
        <w:pStyle w:val="BodyText"/>
        <w:spacing w:line="278" w:lineRule="auto" w:before="193"/>
        <w:ind w:left="220"/>
      </w:pPr>
      <w:r>
        <w:rPr/>
        <w:t>[</w:t>
      </w:r>
      <w:r>
        <w:rPr>
          <w:i/>
        </w:rPr>
        <w:t>Note</w:t>
      </w:r>
      <w:r>
        <w:rPr/>
        <w:t>: Applications should not use this for storing metadata, but instead us </w:t>
      </w:r>
      <w:r>
        <w:rPr>
          <w:rFonts w:ascii="Consolas"/>
          <w:sz w:val="20"/>
        </w:rPr>
        <w:t>valueMetadata</w:t>
      </w:r>
      <w:r>
        <w:rPr/>
        <w:t>. Cell metadata is included for storing information from future application. </w:t>
      </w:r>
      <w:r>
        <w:rPr>
          <w:i/>
        </w:rPr>
        <w:t>end note</w:t>
      </w:r>
      <w:r>
        <w:rPr/>
        <w:t>]</w:t>
      </w:r>
    </w:p>
    <w:p>
      <w:pPr>
        <w:pStyle w:val="BodyText"/>
        <w:spacing w:before="3"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92"/>
              <w:rPr>
                <w:sz w:val="22"/>
              </w:rPr>
            </w:pPr>
            <w:r>
              <w:rPr>
                <w:rFonts w:ascii="Cambria"/>
                <w:sz w:val="22"/>
              </w:rPr>
              <w:t>count </w:t>
            </w:r>
            <w:r>
              <w:rPr>
                <w:sz w:val="22"/>
              </w:rPr>
              <w:t>(Metadata Block Count)</w:t>
            </w:r>
          </w:p>
        </w:tc>
        <w:tc>
          <w:tcPr>
            <w:tcW w:w="8250" w:type="dxa"/>
          </w:tcPr>
          <w:p>
            <w:pPr>
              <w:pStyle w:val="TableParagraph"/>
              <w:rPr>
                <w:sz w:val="22"/>
              </w:rPr>
            </w:pPr>
            <w:r>
              <w:rPr>
                <w:sz w:val="22"/>
              </w:rPr>
              <w:t>Number of blocks of metadata records.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CT_MetadataBlocks</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4 futureMetadata (Future Metadata)" w:id="704"/>
      <w:bookmarkEnd w:id="704"/>
      <w:r>
        <w:rPr>
          <w:b w:val="0"/>
        </w:rPr>
      </w:r>
      <w:bookmarkStart w:name="_bookmark233" w:id="705"/>
      <w:bookmarkEnd w:id="705"/>
      <w:r>
        <w:rPr>
          <w:b w:val="0"/>
        </w:rPr>
      </w:r>
      <w:bookmarkStart w:name="_bookmark233" w:id="706"/>
      <w:bookmarkEnd w:id="706"/>
      <w:r>
        <w:rPr>
          <w:color w:val="4F81BC"/>
        </w:rPr>
        <w:t>fut</w:t>
      </w:r>
      <w:r>
        <w:rPr>
          <w:color w:val="4F81BC"/>
        </w:rPr>
        <w:t>ureMetadata (Future</w:t>
      </w:r>
      <w:r>
        <w:rPr>
          <w:color w:val="4F81BC"/>
          <w:spacing w:val="2"/>
        </w:rPr>
        <w:t> </w:t>
      </w:r>
      <w:r>
        <w:rPr>
          <w:color w:val="4F81BC"/>
        </w:rPr>
        <w:t>Metadata)</w:t>
      </w:r>
    </w:p>
    <w:p>
      <w:pPr>
        <w:pStyle w:val="BodyText"/>
        <w:spacing w:before="124"/>
        <w:ind w:left="220"/>
      </w:pPr>
      <w:r>
        <w:rPr/>
        <w:t>This element represents future metadata information.</w:t>
      </w:r>
    </w:p>
    <w:p>
      <w:pPr>
        <w:pStyle w:val="BodyText"/>
        <w:spacing w:before="6"/>
        <w:rPr>
          <w:sz w:val="19"/>
        </w:rPr>
      </w:pPr>
    </w:p>
    <w:p>
      <w:pPr>
        <w:pStyle w:val="BodyText"/>
        <w:spacing w:line="276" w:lineRule="auto"/>
        <w:ind w:left="220" w:right="404"/>
      </w:pPr>
      <w:r>
        <w:rPr/>
        <w:t>Future data storage areas are xml storage areas that a later version of the spreadsheet application can store data into. So a V2 spreadsheet application can store data for new features that don't exist in the V1 version in a future storage area when saving to a format that the V1 version can open. The V1 version might be able to open the file, but won't necessarily be able to understand data that is stored in a future storage area. So the V1 version might ignore this data, but still round trip it in the file format so that V2 and V1 users can collaborate on the same</w:t>
      </w:r>
      <w:r>
        <w:rPr>
          <w:spacing w:val="-3"/>
        </w:rPr>
        <w:t> </w:t>
      </w:r>
      <w:r>
        <w:rPr/>
        <w:t>spreadsheet.</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11"/>
              <w:rPr>
                <w:sz w:val="22"/>
              </w:rPr>
            </w:pPr>
            <w:r>
              <w:rPr>
                <w:rFonts w:ascii="Cambria"/>
                <w:sz w:val="22"/>
              </w:rPr>
              <w:t>count </w:t>
            </w:r>
            <w:r>
              <w:rPr>
                <w:sz w:val="22"/>
              </w:rPr>
              <w:t>(Future Metadata Block Count)</w:t>
            </w:r>
          </w:p>
        </w:tc>
        <w:tc>
          <w:tcPr>
            <w:tcW w:w="8250" w:type="dxa"/>
          </w:tcPr>
          <w:p>
            <w:pPr>
              <w:pStyle w:val="TableParagraph"/>
              <w:rPr>
                <w:sz w:val="22"/>
              </w:rPr>
            </w:pPr>
            <w:r>
              <w:rPr>
                <w:sz w:val="22"/>
              </w:rPr>
              <w:t>Number of future metadata blocks.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54" w:hRule="atLeast"/>
        </w:trPr>
        <w:tc>
          <w:tcPr>
            <w:tcW w:w="2062" w:type="dxa"/>
          </w:tcPr>
          <w:p>
            <w:pPr>
              <w:pStyle w:val="TableParagraph"/>
              <w:rPr>
                <w:sz w:val="22"/>
              </w:rPr>
            </w:pPr>
            <w:r>
              <w:rPr>
                <w:rFonts w:ascii="Cambria"/>
                <w:sz w:val="22"/>
              </w:rPr>
              <w:t>name </w:t>
            </w:r>
            <w:r>
              <w:rPr>
                <w:sz w:val="22"/>
              </w:rPr>
              <w:t>(Metadata</w:t>
            </w:r>
          </w:p>
        </w:tc>
        <w:tc>
          <w:tcPr>
            <w:tcW w:w="8250" w:type="dxa"/>
          </w:tcPr>
          <w:p>
            <w:pPr>
              <w:pStyle w:val="TableParagraph"/>
              <w:rPr>
                <w:sz w:val="22"/>
              </w:rPr>
            </w:pPr>
            <w:r>
              <w:rPr>
                <w:sz w:val="22"/>
              </w:rPr>
              <w:t>Metadata type name.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Type Name)</w:t>
            </w:r>
          </w:p>
        </w:tc>
        <w:tc>
          <w:tcPr>
            <w:tcW w:w="8250" w:type="dxa"/>
          </w:tcPr>
          <w:p>
            <w:pPr>
              <w:pStyle w:val="TableParagraph"/>
              <w:spacing w:before="3"/>
              <w:ind w:left="0"/>
              <w:rPr>
                <w:sz w:val="25"/>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CT_FutureMetadata</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5 k (KPI MDX Metadata)" w:id="707"/>
      <w:bookmarkEnd w:id="707"/>
      <w:r>
        <w:rPr>
          <w:b w:val="0"/>
        </w:rPr>
      </w:r>
      <w:bookmarkStart w:name="_bookmark234" w:id="708"/>
      <w:bookmarkEnd w:id="708"/>
      <w:r>
        <w:rPr>
          <w:b w:val="0"/>
        </w:rPr>
      </w:r>
      <w:bookmarkStart w:name="_bookmark234" w:id="709"/>
      <w:bookmarkEnd w:id="709"/>
      <w:r>
        <w:rPr>
          <w:color w:val="4F81BC"/>
        </w:rPr>
        <w:t>k</w:t>
      </w:r>
      <w:r>
        <w:rPr>
          <w:color w:val="4F81BC"/>
        </w:rPr>
        <w:t> (KPI MDX</w:t>
      </w:r>
      <w:r>
        <w:rPr>
          <w:color w:val="4F81BC"/>
          <w:spacing w:val="1"/>
        </w:rPr>
        <w:t> </w:t>
      </w:r>
      <w:r>
        <w:rPr>
          <w:color w:val="4F81BC"/>
        </w:rPr>
        <w:t>Metadata)</w:t>
      </w:r>
    </w:p>
    <w:p>
      <w:pPr>
        <w:pStyle w:val="BodyText"/>
        <w:spacing w:line="276" w:lineRule="auto" w:before="124"/>
        <w:ind w:left="220" w:right="503"/>
      </w:pPr>
      <w:r>
        <w:rPr/>
        <w:t>This element represents key performance indicator (KPI) MDX metadata. A KPI is typically an image that represents the state of some specific business measure at a given point in time. For instance, an image of a green traffic light indicating that customer satisfaction is good.</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06"/>
              <w:rPr>
                <w:sz w:val="22"/>
              </w:rPr>
            </w:pPr>
            <w:r>
              <w:rPr>
                <w:rFonts w:ascii="Cambria"/>
                <w:sz w:val="22"/>
              </w:rPr>
              <w:t>n </w:t>
            </w:r>
            <w:r>
              <w:rPr>
                <w:sz w:val="22"/>
              </w:rPr>
              <w:t>(Member Unique Name Index)</w:t>
            </w:r>
          </w:p>
        </w:tc>
        <w:tc>
          <w:tcPr>
            <w:tcW w:w="8250" w:type="dxa"/>
          </w:tcPr>
          <w:p>
            <w:pPr>
              <w:pStyle w:val="TableParagraph"/>
              <w:rPr>
                <w:sz w:val="22"/>
              </w:rPr>
            </w:pPr>
            <w:r>
              <w:rPr>
                <w:sz w:val="22"/>
              </w:rPr>
              <w:t>Index of member unique name in string store.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np </w:t>
            </w:r>
            <w:r>
              <w:rPr>
                <w:sz w:val="22"/>
              </w:rPr>
              <w:t>(KPI Index)</w:t>
            </w:r>
          </w:p>
        </w:tc>
        <w:tc>
          <w:tcPr>
            <w:tcW w:w="8250" w:type="dxa"/>
          </w:tcPr>
          <w:p>
            <w:pPr>
              <w:pStyle w:val="TableParagraph"/>
              <w:rPr>
                <w:sz w:val="22"/>
              </w:rPr>
            </w:pPr>
            <w:r>
              <w:rPr>
                <w:sz w:val="22"/>
              </w:rPr>
              <w:t>Index of key performance indicator name in string store.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p </w:t>
            </w:r>
            <w:r>
              <w:rPr>
                <w:sz w:val="22"/>
              </w:rPr>
              <w:t>(KPI Property)</w:t>
            </w:r>
          </w:p>
        </w:tc>
        <w:tc>
          <w:tcPr>
            <w:tcW w:w="8250" w:type="dxa"/>
          </w:tcPr>
          <w:p>
            <w:pPr>
              <w:pStyle w:val="TableParagraph"/>
              <w:rPr>
                <w:sz w:val="22"/>
              </w:rPr>
            </w:pPr>
            <w:r>
              <w:rPr>
                <w:sz w:val="22"/>
              </w:rPr>
              <w:t>Key performance indicator property.</w:t>
            </w:r>
          </w:p>
          <w:p>
            <w:pPr>
              <w:pStyle w:val="TableParagraph"/>
              <w:spacing w:before="0"/>
              <w:ind w:left="0"/>
              <w:rPr>
                <w:sz w:val="22"/>
              </w:rPr>
            </w:pPr>
          </w:p>
          <w:p>
            <w:pPr>
              <w:pStyle w:val="TableParagraph"/>
              <w:spacing w:before="1"/>
              <w:ind w:right="124"/>
              <w:rPr>
                <w:sz w:val="22"/>
              </w:rPr>
            </w:pPr>
            <w:r>
              <w:rPr>
                <w:sz w:val="22"/>
              </w:rPr>
              <w:t>The possible values for this attribute are defined by the </w:t>
            </w:r>
            <w:r>
              <w:rPr>
                <w:rFonts w:ascii="Cambria" w:hAnsi="Cambria"/>
                <w:sz w:val="22"/>
              </w:rPr>
              <w:t>ST_MdxKPIProperty </w:t>
            </w:r>
            <w:r>
              <w:rPr>
                <w:sz w:val="22"/>
              </w:rPr>
              <w:t>simple type </w:t>
            </w:r>
            <w:hyperlink w:history="true" w:anchor="_bookmark867">
              <w:r>
                <w:rPr>
                  <w:sz w:val="22"/>
                </w:rPr>
                <w:t>(§18.18.45</w:t>
              </w:r>
            </w:hyperlink>
            <w:r>
              <w:rPr>
                <w:sz w:val="22"/>
              </w:rPr>
              <w:t>).</w:t>
            </w:r>
          </w:p>
        </w:tc>
      </w:tr>
    </w:tbl>
    <w:p>
      <w:pPr>
        <w:pStyle w:val="BodyText"/>
      </w:pPr>
    </w:p>
    <w:p>
      <w:pPr>
        <w:pStyle w:val="BodyText"/>
        <w:spacing w:before="5"/>
        <w:rPr>
          <w:sz w:val="19"/>
        </w:rPr>
      </w:pPr>
    </w:p>
    <w:p>
      <w:pPr>
        <w:pStyle w:val="BodyText"/>
        <w:spacing w:line="278" w:lineRule="auto"/>
        <w:ind w:left="220" w:right="803"/>
      </w:pPr>
      <w:r>
        <w:rPr/>
        <w:t>[</w:t>
      </w:r>
      <w:r>
        <w:rPr>
          <w:i/>
        </w:rPr>
        <w:t>Note</w:t>
      </w:r>
      <w:r>
        <w:rPr/>
        <w:t>: The W3C XML Schema definition of this element’s content model (</w:t>
      </w:r>
      <w:r>
        <w:rPr>
          <w:color w:val="5F5F5F"/>
          <w:u w:val="single" w:color="5F5F5F"/>
        </w:rPr>
        <w:t>CT_MdxKPI</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6 mdx (MDX Metadata Record)" w:id="710"/>
      <w:bookmarkEnd w:id="710"/>
      <w:r>
        <w:rPr>
          <w:b w:val="0"/>
        </w:rPr>
      </w:r>
      <w:bookmarkStart w:name="_bookmark235" w:id="711"/>
      <w:bookmarkEnd w:id="711"/>
      <w:r>
        <w:rPr>
          <w:b w:val="0"/>
        </w:rPr>
      </w:r>
      <w:bookmarkStart w:name="_bookmark235" w:id="712"/>
      <w:bookmarkEnd w:id="712"/>
      <w:r>
        <w:rPr>
          <w:color w:val="4F81BC"/>
        </w:rPr>
        <w:t>m</w:t>
      </w:r>
      <w:r>
        <w:rPr>
          <w:color w:val="4F81BC"/>
        </w:rPr>
        <w:t>dx (MDX Metadata</w:t>
      </w:r>
      <w:r>
        <w:rPr>
          <w:color w:val="4F81BC"/>
          <w:spacing w:val="4"/>
        </w:rPr>
        <w:t> </w:t>
      </w:r>
      <w:r>
        <w:rPr>
          <w:color w:val="4F81BC"/>
        </w:rPr>
        <w:t>Record)</w:t>
      </w:r>
    </w:p>
    <w:p>
      <w:pPr>
        <w:pStyle w:val="BodyText"/>
        <w:spacing w:line="278" w:lineRule="auto" w:before="122"/>
        <w:ind w:left="220" w:right="771"/>
      </w:pPr>
      <w:r>
        <w:rPr/>
        <w:t>This element represents a single record of MDX metadata information which can express a tuple, KPI, set, or member property.</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8" w:hRule="atLeast"/>
        </w:trPr>
        <w:tc>
          <w:tcPr>
            <w:tcW w:w="2062" w:type="dxa"/>
            <w:tcBorders>
              <w:bottom w:val="nil"/>
            </w:tcBorders>
          </w:tcPr>
          <w:p>
            <w:pPr>
              <w:pStyle w:val="TableParagraph"/>
              <w:rPr>
                <w:sz w:val="22"/>
              </w:rPr>
            </w:pPr>
            <w:r>
              <w:rPr>
                <w:rFonts w:ascii="Cambria"/>
                <w:sz w:val="22"/>
              </w:rPr>
              <w:t>f </w:t>
            </w:r>
            <w:r>
              <w:rPr>
                <w:sz w:val="22"/>
              </w:rPr>
              <w:t>(Cube Function</w:t>
            </w:r>
          </w:p>
        </w:tc>
        <w:tc>
          <w:tcPr>
            <w:tcW w:w="8250" w:type="dxa"/>
            <w:tcBorders>
              <w:bottom w:val="nil"/>
            </w:tcBorders>
          </w:tcPr>
          <w:p>
            <w:pPr>
              <w:pStyle w:val="TableParagraph"/>
              <w:rPr>
                <w:sz w:val="22"/>
              </w:rPr>
            </w:pPr>
            <w:r>
              <w:rPr>
                <w:sz w:val="22"/>
              </w:rPr>
              <w:t>This is an enumeration representing the function type of the calling cube function from</w:t>
            </w:r>
          </w:p>
        </w:tc>
      </w:tr>
      <w:tr>
        <w:trPr>
          <w:trHeight w:val="381" w:hRule="atLeast"/>
        </w:trPr>
        <w:tc>
          <w:tcPr>
            <w:tcW w:w="2062" w:type="dxa"/>
            <w:tcBorders>
              <w:top w:val="nil"/>
              <w:bottom w:val="nil"/>
            </w:tcBorders>
          </w:tcPr>
          <w:p>
            <w:pPr>
              <w:pStyle w:val="TableParagraph"/>
              <w:spacing w:line="249" w:lineRule="exact" w:before="0"/>
              <w:rPr>
                <w:sz w:val="22"/>
              </w:rPr>
            </w:pPr>
            <w:r>
              <w:rPr>
                <w:sz w:val="22"/>
              </w:rPr>
              <w:t>Tag)</w:t>
            </w:r>
          </w:p>
        </w:tc>
        <w:tc>
          <w:tcPr>
            <w:tcW w:w="8250" w:type="dxa"/>
            <w:tcBorders>
              <w:top w:val="nil"/>
              <w:bottom w:val="nil"/>
            </w:tcBorders>
          </w:tcPr>
          <w:p>
            <w:pPr>
              <w:pStyle w:val="TableParagraph"/>
              <w:spacing w:line="249" w:lineRule="exact" w:before="0"/>
              <w:rPr>
                <w:sz w:val="22"/>
              </w:rPr>
            </w:pPr>
            <w:r>
              <w:rPr>
                <w:sz w:val="22"/>
              </w:rPr>
              <w:t>the spreadsheet.</w:t>
            </w:r>
          </w:p>
        </w:tc>
      </w:tr>
      <w:tr>
        <w:trPr>
          <w:trHeight w:val="424"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67" w:lineRule="exact" w:before="136"/>
              <w:rPr>
                <w:sz w:val="22"/>
              </w:rPr>
            </w:pPr>
            <w:r>
              <w:rPr>
                <w:sz w:val="22"/>
              </w:rPr>
              <w:t>The possible values for this attribute are defined by the </w:t>
            </w:r>
            <w:r>
              <w:rPr>
                <w:rFonts w:ascii="Cambria"/>
                <w:sz w:val="22"/>
              </w:rPr>
              <w:t>ST_MdxFunctionType </w:t>
            </w:r>
            <w:r>
              <w:rPr>
                <w:sz w:val="22"/>
              </w:rPr>
              <w:t>simple</w:t>
            </w:r>
          </w:p>
        </w:tc>
      </w:tr>
      <w:tr>
        <w:trPr>
          <w:trHeight w:val="293"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7" w:lineRule="exact" w:before="0"/>
              <w:rPr>
                <w:sz w:val="22"/>
              </w:rPr>
            </w:pPr>
            <w:r>
              <w:rPr>
                <w:sz w:val="22"/>
              </w:rPr>
              <w:t>type (§</w:t>
            </w:r>
            <w:hyperlink w:history="true" w:anchor="_bookmark866">
              <w:r>
                <w:rPr>
                  <w:sz w:val="22"/>
                </w:rPr>
                <w:t>18.18.44</w:t>
              </w:r>
            </w:hyperlink>
            <w:r>
              <w:rPr>
                <w:sz w:val="22"/>
              </w:rPr>
              <w:t>).</w:t>
            </w:r>
          </w:p>
        </w:tc>
      </w:tr>
      <w:tr>
        <w:trPr>
          <w:trHeight w:val="354" w:hRule="atLeast"/>
        </w:trPr>
        <w:tc>
          <w:tcPr>
            <w:tcW w:w="2062" w:type="dxa"/>
          </w:tcPr>
          <w:p>
            <w:pPr>
              <w:pStyle w:val="TableParagraph"/>
              <w:rPr>
                <w:sz w:val="22"/>
              </w:rPr>
            </w:pPr>
            <w:r>
              <w:rPr>
                <w:rFonts w:ascii="Cambria"/>
                <w:sz w:val="22"/>
              </w:rPr>
              <w:t>n </w:t>
            </w:r>
            <w:r>
              <w:rPr>
                <w:sz w:val="22"/>
              </w:rPr>
              <w:t>(Connection</w:t>
            </w:r>
          </w:p>
        </w:tc>
        <w:tc>
          <w:tcPr>
            <w:tcW w:w="8250" w:type="dxa"/>
          </w:tcPr>
          <w:p>
            <w:pPr>
              <w:pStyle w:val="TableParagraph"/>
              <w:rPr>
                <w:sz w:val="22"/>
              </w:rPr>
            </w:pPr>
            <w:r>
              <w:rPr>
                <w:sz w:val="22"/>
              </w:rPr>
              <w:t>The zero based index of connection name in metadata string store, </w:t>
            </w:r>
            <w:r>
              <w:rPr>
                <w:rFonts w:ascii="Consolas"/>
                <w:sz w:val="20"/>
              </w:rPr>
              <w:t>metadataStrings</w:t>
            </w:r>
            <w:r>
              <w:rPr>
                <w:sz w:val="22"/>
              </w:rPr>
              <w:t>.</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Name Index)</w:t>
            </w: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CT_Mdx</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7 mdxMetadata (MDX Metadata Informa" w:id="713"/>
      <w:bookmarkEnd w:id="713"/>
      <w:r>
        <w:rPr>
          <w:b w:val="0"/>
        </w:rPr>
      </w:r>
      <w:bookmarkStart w:name="_bookmark236" w:id="714"/>
      <w:bookmarkEnd w:id="714"/>
      <w:r>
        <w:rPr>
          <w:b w:val="0"/>
        </w:rPr>
      </w:r>
      <w:bookmarkStart w:name="_bookmark236" w:id="715"/>
      <w:bookmarkEnd w:id="715"/>
      <w:r>
        <w:rPr>
          <w:color w:val="4F81BC"/>
        </w:rPr>
        <w:t>m</w:t>
      </w:r>
      <w:r>
        <w:rPr>
          <w:color w:val="4F81BC"/>
        </w:rPr>
        <w:t>dxMetadata (MDX Metadata</w:t>
      </w:r>
      <w:r>
        <w:rPr>
          <w:color w:val="4F81BC"/>
          <w:spacing w:val="2"/>
        </w:rPr>
        <w:t> </w:t>
      </w:r>
      <w:r>
        <w:rPr>
          <w:color w:val="4F81BC"/>
        </w:rPr>
        <w:t>Information)</w:t>
      </w:r>
    </w:p>
    <w:p>
      <w:pPr>
        <w:pStyle w:val="BodyText"/>
        <w:spacing w:line="278" w:lineRule="auto" w:before="122"/>
        <w:ind w:left="220" w:right="412"/>
      </w:pPr>
      <w:r>
        <w:rPr/>
        <w:t>This element represents a collection of specific MDX metadata records for the spreadsheet. This is used to build up the members, sets, tuples, KPIs, and member properties for the spreadsheet.</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360"/>
              <w:rPr>
                <w:sz w:val="22"/>
              </w:rPr>
            </w:pPr>
            <w:r>
              <w:rPr>
                <w:rFonts w:ascii="Cambria"/>
                <w:sz w:val="22"/>
              </w:rPr>
              <w:t>count </w:t>
            </w:r>
            <w:r>
              <w:rPr>
                <w:sz w:val="22"/>
              </w:rPr>
              <w:t>(MDX Metadata Record Count)</w:t>
            </w:r>
          </w:p>
        </w:tc>
        <w:tc>
          <w:tcPr>
            <w:tcW w:w="8250" w:type="dxa"/>
          </w:tcPr>
          <w:p>
            <w:pPr>
              <w:pStyle w:val="TableParagraph"/>
              <w:rPr>
                <w:sz w:val="22"/>
              </w:rPr>
            </w:pPr>
            <w:r>
              <w:rPr>
                <w:sz w:val="22"/>
              </w:rPr>
              <w:t>Number of MDX metadata metadata records.</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CT_MdxMetadata</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9.8 metadata (Metadata)" w:id="716"/>
      <w:bookmarkEnd w:id="716"/>
      <w:r>
        <w:rPr>
          <w:b w:val="0"/>
        </w:rPr>
      </w:r>
      <w:bookmarkStart w:name="_bookmark237" w:id="717"/>
      <w:bookmarkEnd w:id="717"/>
      <w:r>
        <w:rPr>
          <w:b w:val="0"/>
        </w:rPr>
      </w:r>
      <w:bookmarkStart w:name="_bookmark237" w:id="718"/>
      <w:bookmarkEnd w:id="718"/>
      <w:r>
        <w:rPr>
          <w:color w:val="4F81BC"/>
        </w:rPr>
        <w:t>m</w:t>
      </w:r>
      <w:r>
        <w:rPr>
          <w:color w:val="4F81BC"/>
        </w:rPr>
        <w:t>etadata (Metadata)</w:t>
      </w:r>
    </w:p>
    <w:p>
      <w:pPr>
        <w:pStyle w:val="BodyText"/>
        <w:spacing w:before="126"/>
        <w:ind w:left="220"/>
      </w:pPr>
      <w:r>
        <w:rPr/>
        <w:t>This element represents the root node for all metadata information in the spreadsheet.</w:t>
      </w:r>
    </w:p>
    <w:p>
      <w:pPr>
        <w:pStyle w:val="BodyText"/>
        <w:spacing w:before="6"/>
        <w:rPr>
          <w:sz w:val="19"/>
        </w:rPr>
      </w:pPr>
    </w:p>
    <w:p>
      <w:pPr>
        <w:pStyle w:val="BodyText"/>
        <w:spacing w:line="276" w:lineRule="auto"/>
        <w:ind w:left="220" w:right="608"/>
      </w:pPr>
      <w:r>
        <w:rPr/>
        <w:t>[</w:t>
      </w:r>
      <w:r>
        <w:rPr>
          <w:i/>
        </w:rPr>
        <w:t>Note</w:t>
      </w:r>
      <w:r>
        <w:rPr/>
        <w:t>: The W3C XML Schema definition of this element’s content model (</w:t>
      </w:r>
      <w:r>
        <w:rPr>
          <w:color w:val="5F5F5F"/>
          <w:u w:val="single" w:color="5F5F5F"/>
        </w:rPr>
        <w:t>CT_Metadata</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9 metadataStrings (Metadata String " w:id="719"/>
      <w:bookmarkEnd w:id="719"/>
      <w:r>
        <w:rPr>
          <w:b w:val="0"/>
        </w:rPr>
      </w:r>
      <w:bookmarkStart w:name="_bookmark238" w:id="720"/>
      <w:bookmarkEnd w:id="720"/>
      <w:r>
        <w:rPr>
          <w:b w:val="0"/>
        </w:rPr>
      </w:r>
      <w:bookmarkStart w:name="_bookmark238" w:id="721"/>
      <w:bookmarkEnd w:id="721"/>
      <w:r>
        <w:rPr>
          <w:color w:val="4F81BC"/>
        </w:rPr>
        <w:t>m</w:t>
      </w:r>
      <w:r>
        <w:rPr>
          <w:color w:val="4F81BC"/>
        </w:rPr>
        <w:t>etadataStrings (Metadata String</w:t>
      </w:r>
      <w:r>
        <w:rPr>
          <w:color w:val="4F81BC"/>
          <w:spacing w:val="3"/>
        </w:rPr>
        <w:t> </w:t>
      </w:r>
      <w:r>
        <w:rPr>
          <w:color w:val="4F81BC"/>
        </w:rPr>
        <w:t>Store)</w:t>
      </w:r>
    </w:p>
    <w:p>
      <w:pPr>
        <w:pStyle w:val="BodyText"/>
        <w:spacing w:line="276" w:lineRule="auto" w:before="124"/>
        <w:ind w:left="220" w:right="438"/>
      </w:pPr>
      <w:r>
        <w:rPr/>
        <w:t>This element represents the metadata string store. This is a collection of strings that are used as a resource for the rest of the metadata part. It contains all the required OLAP strings used in the spreadsheet including the connection name, as well as MDX expressions identifying specific members and sets. It is indexed from individual metadata records so that the records can use these strings to build up the necessary MDX statements to retrieve the correct data from the OLAP cube.</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0"/>
              <w:jc w:val="center"/>
              <w:rPr>
                <w:b/>
                <w:sz w:val="22"/>
              </w:rPr>
            </w:pPr>
            <w:r>
              <w:rPr>
                <w:b/>
                <w:sz w:val="22"/>
              </w:rPr>
              <w:t>Description</w:t>
            </w:r>
          </w:p>
        </w:tc>
      </w:tr>
      <w:tr>
        <w:trPr>
          <w:trHeight w:val="1161" w:hRule="atLeast"/>
        </w:trPr>
        <w:tc>
          <w:tcPr>
            <w:tcW w:w="2062" w:type="dxa"/>
          </w:tcPr>
          <w:p>
            <w:pPr>
              <w:pStyle w:val="TableParagraph"/>
              <w:ind w:right="469"/>
              <w:rPr>
                <w:sz w:val="22"/>
              </w:rPr>
            </w:pPr>
            <w:r>
              <w:rPr>
                <w:rFonts w:ascii="Cambria"/>
                <w:sz w:val="22"/>
              </w:rPr>
              <w:t>count </w:t>
            </w:r>
            <w:r>
              <w:rPr>
                <w:sz w:val="22"/>
              </w:rPr>
              <w:t>(MDX Metadata String Count)</w:t>
            </w:r>
          </w:p>
        </w:tc>
        <w:tc>
          <w:tcPr>
            <w:tcW w:w="8250" w:type="dxa"/>
          </w:tcPr>
          <w:p>
            <w:pPr>
              <w:pStyle w:val="TableParagraph"/>
              <w:rPr>
                <w:sz w:val="22"/>
              </w:rPr>
            </w:pPr>
            <w:r>
              <w:rPr>
                <w:sz w:val="22"/>
              </w:rPr>
              <w:t>Number of records in the string store.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90"/>
        <w:ind w:left="220"/>
      </w:pPr>
      <w:r>
        <w:rPr/>
        <w:t>[</w:t>
      </w:r>
      <w:r>
        <w:rPr>
          <w:i/>
        </w:rPr>
        <w:t>Note</w:t>
      </w:r>
      <w:r>
        <w:rPr/>
        <w:t>: The W3C XML Schema definition of this element’s content model (</w:t>
      </w:r>
      <w:r>
        <w:rPr>
          <w:color w:val="5F5F5F"/>
          <w:u w:val="single" w:color="5F5F5F"/>
        </w:rPr>
        <w:t>CT_MetadataStrings</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0 metadataType (Metadata Type Info" w:id="722"/>
      <w:bookmarkEnd w:id="722"/>
      <w:r>
        <w:rPr>
          <w:b w:val="0"/>
        </w:rPr>
      </w:r>
      <w:bookmarkStart w:name="_bookmark239" w:id="723"/>
      <w:bookmarkEnd w:id="723"/>
      <w:r>
        <w:rPr>
          <w:b w:val="0"/>
        </w:rPr>
      </w:r>
      <w:bookmarkStart w:name="_bookmark239" w:id="724"/>
      <w:bookmarkEnd w:id="724"/>
      <w:r>
        <w:rPr>
          <w:color w:val="4F81BC"/>
        </w:rPr>
        <w:t>m</w:t>
      </w:r>
      <w:r>
        <w:rPr>
          <w:color w:val="4F81BC"/>
        </w:rPr>
        <w:t>etadataType (Metadata Type</w:t>
      </w:r>
      <w:r>
        <w:rPr>
          <w:color w:val="4F81BC"/>
          <w:spacing w:val="-1"/>
        </w:rPr>
        <w:t> </w:t>
      </w:r>
      <w:r>
        <w:rPr>
          <w:color w:val="4F81BC"/>
        </w:rPr>
        <w:t>Information)</w:t>
      </w:r>
    </w:p>
    <w:p>
      <w:pPr>
        <w:pStyle w:val="BodyText"/>
        <w:spacing w:line="278" w:lineRule="auto" w:before="122"/>
        <w:ind w:left="220" w:right="847"/>
      </w:pPr>
      <w:r>
        <w:rPr/>
        <w:t>This element represents information about metadata on cells - it defines a specific set of behaviors that the metadata shall adhere to when subject to other spreadsheet operations.</w:t>
      </w:r>
    </w:p>
    <w:p>
      <w:pPr>
        <w:pStyle w:val="BodyText"/>
        <w:spacing w:line="276" w:lineRule="auto" w:before="195"/>
        <w:ind w:left="220" w:right="412"/>
      </w:pPr>
      <w:r>
        <w:rPr/>
        <w:t>In general, many of these attributes represent operations that can be performed on a cell that allow the metadata to remain associated with the cell. Operations that are set to 0 or false, will cause the metadata to be disassociated from the cell when that operation is performed.</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652"/>
              <w:rPr>
                <w:sz w:val="22"/>
              </w:rPr>
            </w:pPr>
            <w:r>
              <w:rPr>
                <w:rFonts w:ascii="Cambria"/>
                <w:sz w:val="22"/>
              </w:rPr>
              <w:t>adjust </w:t>
            </w:r>
            <w:r>
              <w:rPr>
                <w:sz w:val="22"/>
              </w:rPr>
              <w:t>(Adjust Metadata)</w:t>
            </w:r>
          </w:p>
        </w:tc>
        <w:tc>
          <w:tcPr>
            <w:tcW w:w="8250" w:type="dxa"/>
          </w:tcPr>
          <w:p>
            <w:pPr>
              <w:pStyle w:val="TableParagraph"/>
              <w:ind w:right="462"/>
              <w:rPr>
                <w:sz w:val="22"/>
              </w:rPr>
            </w:pPr>
            <w:r>
              <w:rPr>
                <w:sz w:val="22"/>
              </w:rPr>
              <w:t>A Boolean flag indicating that metadata corresponding to a particular cell needs to be notified when that cell's location is changed.</w:t>
            </w:r>
          </w:p>
          <w:p>
            <w:pPr>
              <w:pStyle w:val="TableParagraph"/>
              <w:spacing w:before="1"/>
              <w:ind w:left="0"/>
              <w:rPr>
                <w:sz w:val="22"/>
              </w:rPr>
            </w:pPr>
          </w:p>
          <w:p>
            <w:pPr>
              <w:pStyle w:val="TableParagraph"/>
              <w:spacing w:before="0"/>
              <w:rPr>
                <w:sz w:val="22"/>
              </w:rPr>
            </w:pPr>
            <w:r>
              <w:rPr>
                <w:sz w:val="22"/>
              </w:rPr>
              <w:t>[</w:t>
            </w:r>
            <w:r>
              <w:rPr>
                <w:i/>
                <w:sz w:val="22"/>
              </w:rPr>
              <w:t>Note</w:t>
            </w:r>
            <w:r>
              <w:rPr>
                <w:sz w:val="22"/>
              </w:rPr>
              <w:t>: This is included in the file format for future extensibility.</w:t>
            </w:r>
            <w:r>
              <w:rPr>
                <w:i/>
                <w:sz w:val="22"/>
              </w:rPr>
              <w:t>end note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336"/>
              <w:rPr>
                <w:sz w:val="22"/>
              </w:rPr>
            </w:pPr>
            <w:r>
              <w:rPr>
                <w:rFonts w:ascii="Cambria"/>
                <w:sz w:val="22"/>
              </w:rPr>
              <w:t>assign </w:t>
            </w:r>
            <w:r>
              <w:rPr>
                <w:sz w:val="22"/>
              </w:rPr>
              <w:t>(Metadata Formula Assignment)</w:t>
            </w:r>
          </w:p>
        </w:tc>
        <w:tc>
          <w:tcPr>
            <w:tcW w:w="8250" w:type="dxa"/>
          </w:tcPr>
          <w:p>
            <w:pPr>
              <w:pStyle w:val="TableParagraph"/>
              <w:rPr>
                <w:sz w:val="22"/>
              </w:rPr>
            </w:pPr>
            <w:r>
              <w:rPr>
                <w:sz w:val="22"/>
              </w:rPr>
              <w:t>A Boolean flag indicating whether metadata is propagated by formula assignment operation. True when metadata should be propagated by assignment, false otherwise.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7" w:hRule="atLeast"/>
        </w:trPr>
        <w:tc>
          <w:tcPr>
            <w:tcW w:w="2062" w:type="dxa"/>
          </w:tcPr>
          <w:p>
            <w:pPr>
              <w:pStyle w:val="TableParagraph"/>
              <w:ind w:right="681"/>
              <w:rPr>
                <w:sz w:val="22"/>
              </w:rPr>
            </w:pPr>
            <w:r>
              <w:rPr>
                <w:rFonts w:ascii="Cambria"/>
                <w:sz w:val="22"/>
              </w:rPr>
              <w:t>cellMeta </w:t>
            </w:r>
            <w:r>
              <w:rPr>
                <w:sz w:val="22"/>
              </w:rPr>
              <w:t>(Cell Metadata)</w:t>
            </w:r>
          </w:p>
        </w:tc>
        <w:tc>
          <w:tcPr>
            <w:tcW w:w="8250" w:type="dxa"/>
          </w:tcPr>
          <w:p>
            <w:pPr>
              <w:pStyle w:val="TableParagraph"/>
              <w:rPr>
                <w:sz w:val="22"/>
              </w:rPr>
            </w:pPr>
            <w:r>
              <w:rPr>
                <w:sz w:val="22"/>
              </w:rPr>
              <w:t>A Boolean flag indicating whether metadata is cell metadata. True when the metadata is cell metadata, false otherwise - in the false case it is considered to be value metadata.</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ind w:right="206"/>
              <w:rPr>
                <w:sz w:val="22"/>
              </w:rPr>
            </w:pPr>
            <w:r>
              <w:rPr>
                <w:rFonts w:ascii="Cambria"/>
                <w:sz w:val="22"/>
              </w:rPr>
              <w:t>clearAll </w:t>
            </w:r>
            <w:r>
              <w:rPr>
                <w:sz w:val="22"/>
              </w:rPr>
              <w:t>(Metadata Clear All)</w:t>
            </w:r>
          </w:p>
        </w:tc>
        <w:tc>
          <w:tcPr>
            <w:tcW w:w="8250" w:type="dxa"/>
          </w:tcPr>
          <w:p>
            <w:pPr>
              <w:pStyle w:val="TableParagraph"/>
              <w:rPr>
                <w:sz w:val="22"/>
              </w:rPr>
            </w:pPr>
            <w:r>
              <w:rPr>
                <w:sz w:val="22"/>
              </w:rPr>
              <w:t>A Boolean flag indicating whether metadata survives a "Clear: All" operation. True if the metadata persists after a clear all, false otherwise.</w:t>
            </w:r>
          </w:p>
          <w:p>
            <w:pPr>
              <w:pStyle w:val="TableParagraph"/>
              <w:spacing w:before="0"/>
              <w:ind w:left="0"/>
              <w:rPr>
                <w:sz w:val="22"/>
              </w:rPr>
            </w:pPr>
          </w:p>
          <w:p>
            <w:pPr>
              <w:pStyle w:val="TableParagraph"/>
              <w:spacing w:before="0"/>
              <w:ind w:right="194"/>
              <w:rPr>
                <w:sz w:val="22"/>
              </w:rPr>
            </w:pPr>
            <w:r>
              <w:rPr>
                <w:sz w:val="22"/>
              </w:rPr>
              <w:t>The Clear operations can be implemented by the run time application to provide an easy way to allow users to delete everything from a cell (Clear: All), remove only comments (Clear: Comments), only remove formats (Clear: Formats), or only remove the contents but leave the comments and formatting (Clear: Contents). Note these operations can also be performed by the user manually deleting each item.</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spacing w:before="42"/>
              <w:ind w:right="465"/>
              <w:jc w:val="both"/>
              <w:rPr>
                <w:sz w:val="22"/>
              </w:rPr>
            </w:pPr>
            <w:r>
              <w:rPr>
                <w:rFonts w:ascii="Cambria"/>
                <w:sz w:val="22"/>
              </w:rPr>
              <w:t>clearComments </w:t>
            </w:r>
            <w:r>
              <w:rPr>
                <w:sz w:val="22"/>
              </w:rPr>
              <w:t>(Metadata Clear Comments)</w:t>
            </w:r>
          </w:p>
        </w:tc>
        <w:tc>
          <w:tcPr>
            <w:tcW w:w="8250" w:type="dxa"/>
          </w:tcPr>
          <w:p>
            <w:pPr>
              <w:pStyle w:val="TableParagraph"/>
              <w:ind w:right="238"/>
              <w:rPr>
                <w:sz w:val="22"/>
              </w:rPr>
            </w:pPr>
            <w:r>
              <w:rPr>
                <w:sz w:val="22"/>
              </w:rPr>
              <w:t>A Boolean flag indicating whether metadata remains after comments have been cleared from the cell. True if the metadata persists after Clear:Comments, false otherwise.</w:t>
            </w:r>
          </w:p>
          <w:p>
            <w:pPr>
              <w:pStyle w:val="TableParagraph"/>
              <w:spacing w:before="0"/>
              <w:ind w:left="0"/>
              <w:rPr>
                <w:sz w:val="22"/>
              </w:rPr>
            </w:pPr>
          </w:p>
          <w:p>
            <w:pPr>
              <w:pStyle w:val="TableParagraph"/>
              <w:spacing w:before="0"/>
              <w:ind w:right="194"/>
              <w:rPr>
                <w:sz w:val="22"/>
              </w:rPr>
            </w:pPr>
            <w:r>
              <w:rPr>
                <w:sz w:val="22"/>
              </w:rPr>
              <w:t>The Clear operations can be implemented by the run time application to provide an easy way to allow users to delete everything from a cell (Clear: All), remove only comments</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ind w:right="328"/>
              <w:rPr>
                <w:sz w:val="22"/>
              </w:rPr>
            </w:pPr>
            <w:r>
              <w:rPr>
                <w:sz w:val="22"/>
              </w:rPr>
              <w:t>(Clear: Comments), only remove formats (Clear: Formats), or only remove the contents but leave the comments and formatting (Clear: Contents). Note these operations can also be performed by the user manually deleting each item.</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40" w:hRule="atLeast"/>
        </w:trPr>
        <w:tc>
          <w:tcPr>
            <w:tcW w:w="2062" w:type="dxa"/>
          </w:tcPr>
          <w:p>
            <w:pPr>
              <w:pStyle w:val="TableParagraph"/>
              <w:spacing w:before="42"/>
              <w:ind w:right="464"/>
              <w:rPr>
                <w:sz w:val="22"/>
              </w:rPr>
            </w:pPr>
            <w:r>
              <w:rPr>
                <w:rFonts w:ascii="Cambria"/>
                <w:sz w:val="22"/>
              </w:rPr>
              <w:t>clearContents </w:t>
            </w:r>
            <w:r>
              <w:rPr>
                <w:sz w:val="22"/>
              </w:rPr>
              <w:t>(Metadata Clear Contents)</w:t>
            </w:r>
          </w:p>
        </w:tc>
        <w:tc>
          <w:tcPr>
            <w:tcW w:w="8250" w:type="dxa"/>
          </w:tcPr>
          <w:p>
            <w:pPr>
              <w:pStyle w:val="TableParagraph"/>
              <w:rPr>
                <w:sz w:val="22"/>
              </w:rPr>
            </w:pPr>
            <w:r>
              <w:rPr>
                <w:sz w:val="22"/>
              </w:rPr>
              <w:t>A Boolean flag indicating whether metadata remains after the contents of a cell are removed. True if metadata persists after a "Clear: Contents" action, false otherwise.</w:t>
            </w:r>
          </w:p>
          <w:p>
            <w:pPr>
              <w:pStyle w:val="TableParagraph"/>
              <w:spacing w:before="4"/>
              <w:ind w:left="0"/>
              <w:rPr>
                <w:rFonts w:ascii="Times New Roman"/>
                <w:sz w:val="23"/>
              </w:rPr>
            </w:pPr>
          </w:p>
          <w:p>
            <w:pPr>
              <w:pStyle w:val="TableParagraph"/>
              <w:spacing w:before="0"/>
              <w:ind w:right="194"/>
              <w:rPr>
                <w:sz w:val="22"/>
              </w:rPr>
            </w:pPr>
            <w:r>
              <w:rPr>
                <w:sz w:val="22"/>
              </w:rPr>
              <w:t>The Clear operations can be implemented by the run time application to provide an easy way to allow users to delete everything from a cell (Clear: All), remove only comments (Clear: Comments), only remove formats (Clear: Formats), or only remove the contents but leave the comments and formatting (Clear: Contents). Note these operations can also be performed by the user manually deleting each item.</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before="42"/>
              <w:ind w:right="464"/>
              <w:rPr>
                <w:sz w:val="22"/>
              </w:rPr>
            </w:pPr>
            <w:r>
              <w:rPr>
                <w:rFonts w:ascii="Cambria"/>
                <w:sz w:val="22"/>
              </w:rPr>
              <w:t>clearFormats </w:t>
            </w:r>
            <w:r>
              <w:rPr>
                <w:sz w:val="22"/>
              </w:rPr>
              <w:t>(Metadata Clear Formats)</w:t>
            </w:r>
          </w:p>
        </w:tc>
        <w:tc>
          <w:tcPr>
            <w:tcW w:w="8250" w:type="dxa"/>
          </w:tcPr>
          <w:p>
            <w:pPr>
              <w:pStyle w:val="TableParagraph"/>
              <w:ind w:right="236"/>
              <w:rPr>
                <w:sz w:val="22"/>
              </w:rPr>
            </w:pPr>
            <w:r>
              <w:rPr>
                <w:sz w:val="22"/>
              </w:rPr>
              <w:t>A Boolean flag indicating whether metadata remains after formatting is removed from a cell. True if metadata persists after a "Clear: Formats", false otherwise.</w:t>
            </w:r>
          </w:p>
          <w:p>
            <w:pPr>
              <w:pStyle w:val="TableParagraph"/>
              <w:spacing w:before="4"/>
              <w:ind w:left="0"/>
              <w:rPr>
                <w:rFonts w:ascii="Times New Roman"/>
                <w:sz w:val="23"/>
              </w:rPr>
            </w:pPr>
          </w:p>
          <w:p>
            <w:pPr>
              <w:pStyle w:val="TableParagraph"/>
              <w:spacing w:before="0"/>
              <w:ind w:right="194"/>
              <w:rPr>
                <w:sz w:val="22"/>
              </w:rPr>
            </w:pPr>
            <w:r>
              <w:rPr>
                <w:sz w:val="22"/>
              </w:rPr>
              <w:t>The Clear operations can be implemented by the run time application to provide an easy way to allow users to delete everything from a cell (Clear: All), remove only comments (Clear: Comments), only remove formats (Clear: Formats), or only remove the contents but leave the comments and formatting (Clear: Contents). Note these operations can also be performed by the user manually deleting each item.</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308"/>
              <w:rPr>
                <w:sz w:val="22"/>
              </w:rPr>
            </w:pPr>
            <w:r>
              <w:rPr>
                <w:rFonts w:ascii="Cambria"/>
                <w:sz w:val="22"/>
              </w:rPr>
              <w:t>coerce </w:t>
            </w:r>
            <w:r>
              <w:rPr>
                <w:sz w:val="22"/>
              </w:rPr>
              <w:t>(Metadata Coercion)</w:t>
            </w:r>
          </w:p>
        </w:tc>
        <w:tc>
          <w:tcPr>
            <w:tcW w:w="8250" w:type="dxa"/>
          </w:tcPr>
          <w:p>
            <w:pPr>
              <w:pStyle w:val="TableParagraph"/>
              <w:ind w:right="328"/>
              <w:jc w:val="both"/>
              <w:rPr>
                <w:sz w:val="22"/>
              </w:rPr>
            </w:pPr>
            <w:r>
              <w:rPr>
                <w:sz w:val="22"/>
              </w:rPr>
              <w:t>A Boolean flag indicating whether value metadata can be removed when this metadata data type is coerced to another data type. True if the value metadata is removed upon coercion, false otherwise.</w:t>
            </w:r>
          </w:p>
          <w:p>
            <w:pPr>
              <w:pStyle w:val="TableParagraph"/>
              <w:spacing w:before="4"/>
              <w:ind w:left="0"/>
              <w:rPr>
                <w:rFonts w:ascii="Times New Roman"/>
                <w:sz w:val="23"/>
              </w:rPr>
            </w:pPr>
          </w:p>
          <w:p>
            <w:pPr>
              <w:pStyle w:val="TableParagraph"/>
              <w:spacing w:before="1"/>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7" w:hRule="atLeast"/>
        </w:trPr>
        <w:tc>
          <w:tcPr>
            <w:tcW w:w="2062" w:type="dxa"/>
          </w:tcPr>
          <w:p>
            <w:pPr>
              <w:pStyle w:val="TableParagraph"/>
              <w:ind w:right="478"/>
              <w:rPr>
                <w:sz w:val="22"/>
              </w:rPr>
            </w:pPr>
            <w:r>
              <w:rPr>
                <w:rFonts w:ascii="Cambria"/>
                <w:sz w:val="22"/>
              </w:rPr>
              <w:t>copy </w:t>
            </w:r>
            <w:r>
              <w:rPr>
                <w:sz w:val="22"/>
              </w:rPr>
              <w:t>(Metadata Copy)</w:t>
            </w:r>
          </w:p>
        </w:tc>
        <w:tc>
          <w:tcPr>
            <w:tcW w:w="8250" w:type="dxa"/>
          </w:tcPr>
          <w:p>
            <w:pPr>
              <w:pStyle w:val="TableParagraph"/>
              <w:rPr>
                <w:sz w:val="22"/>
              </w:rPr>
            </w:pPr>
            <w:r>
              <w:rPr>
                <w:sz w:val="22"/>
              </w:rPr>
              <w:t>A Boolean flag indicating whether metadata is copied with a cell. True if the metadata is copied to other cells when this cell is copied, false otherwise.</w:t>
            </w:r>
          </w:p>
          <w:p>
            <w:pPr>
              <w:pStyle w:val="TableParagraph"/>
              <w:spacing w:before="5"/>
              <w:ind w:left="0"/>
              <w:rPr>
                <w:rFonts w:ascii="Times New Roman"/>
                <w:sz w:val="23"/>
              </w:rPr>
            </w:pPr>
          </w:p>
          <w:p>
            <w:pPr>
              <w:pStyle w:val="TableParagraph"/>
              <w:spacing w:before="0"/>
              <w:ind w:right="513"/>
              <w:rPr>
                <w:sz w:val="22"/>
              </w:rPr>
            </w:pPr>
            <w:r>
              <w:rPr>
                <w:sz w:val="22"/>
              </w:rPr>
              <w:t>This shall be set to </w:t>
            </w:r>
            <w:r>
              <w:rPr>
                <w:rFonts w:ascii="Consolas"/>
                <w:sz w:val="22"/>
              </w:rPr>
              <w:t>true</w:t>
            </w:r>
            <w:r>
              <w:rPr>
                <w:rFonts w:ascii="Consolas"/>
                <w:spacing w:val="-71"/>
                <w:sz w:val="22"/>
              </w:rPr>
              <w:t> </w:t>
            </w:r>
            <w:r>
              <w:rPr>
                <w:sz w:val="22"/>
              </w:rPr>
              <w:t>if the paste attributes for the </w:t>
            </w:r>
            <w:r>
              <w:rPr>
                <w:rFonts w:ascii="Consolas"/>
                <w:sz w:val="20"/>
              </w:rPr>
              <w:t>metadataType</w:t>
            </w:r>
            <w:r>
              <w:rPr>
                <w:rFonts w:ascii="Consolas"/>
                <w:spacing w:val="-60"/>
                <w:sz w:val="20"/>
              </w:rPr>
              <w:t> </w:t>
            </w:r>
            <w:r>
              <w:rPr>
                <w:sz w:val="22"/>
              </w:rPr>
              <w:t>are going to be used.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1" w:hRule="atLeast"/>
        </w:trPr>
        <w:tc>
          <w:tcPr>
            <w:tcW w:w="2062" w:type="dxa"/>
          </w:tcPr>
          <w:p>
            <w:pPr>
              <w:pStyle w:val="TableParagraph"/>
              <w:spacing w:line="237" w:lineRule="auto" w:before="42"/>
              <w:ind w:right="329"/>
              <w:rPr>
                <w:sz w:val="22"/>
              </w:rPr>
            </w:pPr>
            <w:r>
              <w:rPr>
                <w:rFonts w:ascii="Cambria"/>
                <w:sz w:val="22"/>
              </w:rPr>
              <w:t>delete </w:t>
            </w:r>
            <w:r>
              <w:rPr>
                <w:sz w:val="22"/>
              </w:rPr>
              <w:t>(Metadata Cell Value Delete)</w:t>
            </w:r>
          </w:p>
        </w:tc>
        <w:tc>
          <w:tcPr>
            <w:tcW w:w="8250" w:type="dxa"/>
          </w:tcPr>
          <w:p>
            <w:pPr>
              <w:pStyle w:val="TableParagraph"/>
              <w:spacing w:line="237" w:lineRule="auto" w:before="42"/>
              <w:ind w:right="106"/>
              <w:rPr>
                <w:sz w:val="22"/>
              </w:rPr>
            </w:pPr>
            <w:r>
              <w:rPr>
                <w:sz w:val="22"/>
              </w:rPr>
              <w:t>A Boolean flag indicating whether metadata survives deletion of a cell value. True when the metadata persists after the deletion of a cell value, false otherwise.</w:t>
            </w:r>
          </w:p>
        </w:tc>
      </w:tr>
    </w:tbl>
    <w:p>
      <w:pPr>
        <w:spacing w:after="0" w:line="237" w:lineRule="auto"/>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sz w:val="22"/>
              </w:rPr>
              <w:t>This attribute is equivalent to the </w:t>
            </w:r>
            <w:r>
              <w:rPr>
                <w:rFonts w:ascii="Consolas"/>
                <w:sz w:val="20"/>
              </w:rPr>
              <w:t>clearContents</w:t>
            </w:r>
            <w:r>
              <w:rPr>
                <w:rFonts w:ascii="Consolas"/>
                <w:spacing w:val="-66"/>
                <w:sz w:val="20"/>
              </w:rPr>
              <w:t> </w:t>
            </w:r>
            <w:r>
              <w:rPr>
                <w:sz w:val="22"/>
              </w:rPr>
              <w:t>attribute.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ind w:left="92" w:right="90"/>
              <w:jc w:val="center"/>
              <w:rPr>
                <w:sz w:val="22"/>
              </w:rPr>
            </w:pPr>
            <w:r>
              <w:rPr>
                <w:rFonts w:ascii="Cambria"/>
                <w:sz w:val="22"/>
              </w:rPr>
              <w:t>edit </w:t>
            </w:r>
            <w:r>
              <w:rPr>
                <w:sz w:val="22"/>
              </w:rPr>
              <w:t>(Metadata Edit)</w:t>
            </w:r>
          </w:p>
        </w:tc>
        <w:tc>
          <w:tcPr>
            <w:tcW w:w="8250" w:type="dxa"/>
          </w:tcPr>
          <w:p>
            <w:pPr>
              <w:pStyle w:val="TableParagraph"/>
              <w:ind w:right="214"/>
              <w:rPr>
                <w:sz w:val="22"/>
              </w:rPr>
            </w:pPr>
            <w:r>
              <w:rPr>
                <w:sz w:val="22"/>
              </w:rPr>
              <w:t>A Boolean flag indicating whether metadata survives the editing of the cell's value. True if the metadata remains unchanged after the cell's value edit, false otherwise.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41" w:hRule="atLeast"/>
        </w:trPr>
        <w:tc>
          <w:tcPr>
            <w:tcW w:w="2062" w:type="dxa"/>
          </w:tcPr>
          <w:p>
            <w:pPr>
              <w:pStyle w:val="TableParagraph"/>
              <w:ind w:right="109"/>
              <w:rPr>
                <w:sz w:val="22"/>
              </w:rPr>
            </w:pPr>
            <w:r>
              <w:rPr>
                <w:rFonts w:ascii="Cambria"/>
                <w:sz w:val="22"/>
              </w:rPr>
              <w:t>ghostCol </w:t>
            </w:r>
            <w:r>
              <w:rPr>
                <w:sz w:val="22"/>
              </w:rPr>
              <w:t>(Metadata Ghost Column)</w:t>
            </w:r>
          </w:p>
        </w:tc>
        <w:tc>
          <w:tcPr>
            <w:tcW w:w="8250" w:type="dxa"/>
          </w:tcPr>
          <w:p>
            <w:pPr>
              <w:pStyle w:val="TableParagraph"/>
              <w:ind w:right="617"/>
              <w:rPr>
                <w:sz w:val="22"/>
              </w:rPr>
            </w:pPr>
            <w:r>
              <w:rPr>
                <w:sz w:val="22"/>
              </w:rPr>
              <w:t>A Boolean flag indicating whether metadata is copied to/from a ghost column. True when the metadata is copied to/from a ghost column, false otherwise.</w:t>
            </w:r>
          </w:p>
          <w:p>
            <w:pPr>
              <w:pStyle w:val="TableParagraph"/>
              <w:spacing w:before="5"/>
              <w:ind w:left="0"/>
              <w:rPr>
                <w:rFonts w:ascii="Times New Roman"/>
                <w:sz w:val="23"/>
              </w:rPr>
            </w:pPr>
          </w:p>
          <w:p>
            <w:pPr>
              <w:pStyle w:val="TableParagraph"/>
              <w:spacing w:before="0"/>
              <w:ind w:right="157"/>
              <w:rPr>
                <w:sz w:val="22"/>
              </w:rPr>
            </w:pPr>
            <w:r>
              <w:rPr>
                <w:sz w:val="22"/>
              </w:rPr>
              <w:t>A ghost column is a single column that exists for the row header.  It is not displayed to the end user. It is used to store default formatting for an entire row (i.e. the row gets</w:t>
            </w:r>
            <w:r>
              <w:rPr>
                <w:spacing w:val="-32"/>
                <w:sz w:val="22"/>
              </w:rPr>
              <w:t> </w:t>
            </w:r>
            <w:r>
              <w:rPr>
                <w:sz w:val="22"/>
              </w:rPr>
              <w:t>the formatting for the corresponding cell in the ghost column). For instance, when an entire row is selected and a cell color is applied, this is stored once for the cell in the ghost column instead of for each cell in the</w:t>
            </w:r>
            <w:r>
              <w:rPr>
                <w:spacing w:val="-14"/>
                <w:sz w:val="22"/>
              </w:rPr>
              <w:t> </w:t>
            </w:r>
            <w:r>
              <w:rPr>
                <w:sz w:val="22"/>
              </w:rPr>
              <w:t>row.</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line="237" w:lineRule="auto" w:before="45"/>
              <w:ind w:right="393"/>
              <w:rPr>
                <w:sz w:val="22"/>
              </w:rPr>
            </w:pPr>
            <w:r>
              <w:rPr>
                <w:rFonts w:ascii="Cambria"/>
                <w:sz w:val="22"/>
              </w:rPr>
              <w:t>ghostRow </w:t>
            </w:r>
            <w:r>
              <w:rPr>
                <w:sz w:val="22"/>
              </w:rPr>
              <w:t>(Metadata Ghost Row)</w:t>
            </w:r>
          </w:p>
        </w:tc>
        <w:tc>
          <w:tcPr>
            <w:tcW w:w="8250" w:type="dxa"/>
          </w:tcPr>
          <w:p>
            <w:pPr>
              <w:pStyle w:val="TableParagraph"/>
              <w:ind w:right="298"/>
              <w:rPr>
                <w:sz w:val="22"/>
              </w:rPr>
            </w:pPr>
            <w:r>
              <w:rPr>
                <w:sz w:val="22"/>
              </w:rPr>
              <w:t>A Boolean flag indicating whether metadata is copied to/from a ghost row. True when the metadata is copied to/from a ghost row, false otherwise.</w:t>
            </w:r>
          </w:p>
          <w:p>
            <w:pPr>
              <w:pStyle w:val="TableParagraph"/>
              <w:spacing w:before="5"/>
              <w:ind w:left="0"/>
              <w:rPr>
                <w:rFonts w:ascii="Times New Roman"/>
                <w:sz w:val="23"/>
              </w:rPr>
            </w:pPr>
          </w:p>
          <w:p>
            <w:pPr>
              <w:pStyle w:val="TableParagraph"/>
              <w:spacing w:before="0"/>
              <w:ind w:right="157"/>
              <w:rPr>
                <w:sz w:val="22"/>
              </w:rPr>
            </w:pPr>
            <w:r>
              <w:rPr>
                <w:sz w:val="22"/>
              </w:rPr>
              <w:t>A ghost row is a single row that exists for the column header. It is not displayed to the end user. It is used to store default formatting for an entire column (i.e. the column gets the formatting for the corresponding cell in the ghost row). For instance, when an entire column is selected and a cell color is applied, this is stored once for the cell in the ghost row instead of for each cell in the column.</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ind w:right="327"/>
              <w:rPr>
                <w:sz w:val="22"/>
              </w:rPr>
            </w:pPr>
            <w:r>
              <w:rPr>
                <w:rFonts w:ascii="Cambria"/>
                <w:sz w:val="22"/>
              </w:rPr>
              <w:t>merge </w:t>
            </w:r>
            <w:r>
              <w:rPr>
                <w:sz w:val="22"/>
              </w:rPr>
              <w:t>(Metadata Merge)</w:t>
            </w:r>
          </w:p>
        </w:tc>
        <w:tc>
          <w:tcPr>
            <w:tcW w:w="8250" w:type="dxa"/>
          </w:tcPr>
          <w:p>
            <w:pPr>
              <w:pStyle w:val="TableParagraph"/>
              <w:rPr>
                <w:sz w:val="22"/>
              </w:rPr>
            </w:pPr>
            <w:r>
              <w:rPr>
                <w:sz w:val="22"/>
              </w:rPr>
              <w:t>A Boolean flag indicating whether metadata survives cell merge. True if the metadata persists after a cell merge, false otherwise.</w:t>
            </w:r>
          </w:p>
          <w:p>
            <w:pPr>
              <w:pStyle w:val="TableParagraph"/>
              <w:spacing w:before="2"/>
              <w:ind w:left="0"/>
              <w:rPr>
                <w:rFonts w:ascii="Times New Roman"/>
                <w:sz w:val="23"/>
              </w:rPr>
            </w:pPr>
          </w:p>
          <w:p>
            <w:pPr>
              <w:pStyle w:val="TableParagraph"/>
              <w:spacing w:before="0"/>
              <w:ind w:right="275"/>
              <w:jc w:val="both"/>
              <w:rPr>
                <w:sz w:val="22"/>
              </w:rPr>
            </w:pPr>
            <w:r>
              <w:rPr>
                <w:sz w:val="22"/>
              </w:rPr>
              <w:t>It is up to the spreadsheet application on how to deal with conflicts when two cells that each have metadata are merged. The guidance here is to treat it the same as a 'regular' cell merge with the default behavior being that the data in the upper left cell wins.</w:t>
            </w:r>
          </w:p>
          <w:p>
            <w:pPr>
              <w:pStyle w:val="TableParagraph"/>
              <w:spacing w:before="6"/>
              <w:ind w:left="0"/>
              <w:rPr>
                <w:rFonts w:ascii="Times New Roman"/>
                <w:sz w:val="23"/>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92" w:hRule="atLeast"/>
        </w:trPr>
        <w:tc>
          <w:tcPr>
            <w:tcW w:w="2062" w:type="dxa"/>
          </w:tcPr>
          <w:p>
            <w:pPr>
              <w:pStyle w:val="TableParagraph"/>
              <w:spacing w:line="237" w:lineRule="auto" w:before="45"/>
              <w:ind w:right="137"/>
              <w:rPr>
                <w:sz w:val="22"/>
              </w:rPr>
            </w:pPr>
            <w:r>
              <w:rPr>
                <w:rFonts w:ascii="Cambria"/>
                <w:sz w:val="22"/>
              </w:rPr>
              <w:t>minSupportedVers ion </w:t>
            </w:r>
            <w:r>
              <w:rPr>
                <w:sz w:val="22"/>
              </w:rPr>
              <w:t>(Minimum Supported Version)</w:t>
            </w:r>
          </w:p>
        </w:tc>
        <w:tc>
          <w:tcPr>
            <w:tcW w:w="8250" w:type="dxa"/>
          </w:tcPr>
          <w:p>
            <w:pPr>
              <w:pStyle w:val="TableParagraph"/>
              <w:rPr>
                <w:sz w:val="22"/>
              </w:rPr>
            </w:pPr>
            <w:r>
              <w:rPr>
                <w:sz w:val="22"/>
              </w:rPr>
              <w:t>The earliest version of the spreadsheet application that supports this metadata type.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427" w:hRule="atLeast"/>
        </w:trPr>
        <w:tc>
          <w:tcPr>
            <w:tcW w:w="2062" w:type="dxa"/>
          </w:tcPr>
          <w:p>
            <w:pPr>
              <w:pStyle w:val="TableParagraph"/>
              <w:ind w:right="404"/>
              <w:rPr>
                <w:sz w:val="22"/>
              </w:rPr>
            </w:pPr>
            <w:r>
              <w:rPr>
                <w:rFonts w:ascii="Cambria"/>
                <w:sz w:val="22"/>
              </w:rPr>
              <w:t>name </w:t>
            </w:r>
            <w:r>
              <w:rPr>
                <w:sz w:val="22"/>
              </w:rPr>
              <w:t>(Metadata Type Name)</w:t>
            </w:r>
          </w:p>
        </w:tc>
        <w:tc>
          <w:tcPr>
            <w:tcW w:w="8250" w:type="dxa"/>
          </w:tcPr>
          <w:p>
            <w:pPr>
              <w:pStyle w:val="TableParagraph"/>
              <w:ind w:right="617"/>
              <w:rPr>
                <w:sz w:val="22"/>
              </w:rPr>
            </w:pPr>
            <w:r>
              <w:rPr>
                <w:sz w:val="22"/>
              </w:rPr>
              <w:t>Represents the name of this particular metadata type. This name shall be unique amongst all other </w:t>
            </w:r>
            <w:r>
              <w:rPr>
                <w:rFonts w:ascii="Consolas"/>
                <w:sz w:val="20"/>
              </w:rPr>
              <w:t>metadataTypes</w:t>
            </w:r>
            <w:r>
              <w:rPr>
                <w:sz w:val="22"/>
              </w:rPr>
              <w:t>.</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578" w:hRule="atLeast"/>
        </w:trPr>
        <w:tc>
          <w:tcPr>
            <w:tcW w:w="2062" w:type="dxa"/>
          </w:tcPr>
          <w:p>
            <w:pPr>
              <w:pStyle w:val="TableParagraph"/>
              <w:ind w:right="162"/>
              <w:rPr>
                <w:sz w:val="22"/>
              </w:rPr>
            </w:pPr>
            <w:r>
              <w:rPr>
                <w:rFonts w:ascii="Cambria"/>
                <w:sz w:val="22"/>
              </w:rPr>
              <w:t>pasteAll </w:t>
            </w:r>
            <w:r>
              <w:rPr>
                <w:sz w:val="22"/>
              </w:rPr>
              <w:t>(Metadata Paste All)</w:t>
            </w:r>
          </w:p>
        </w:tc>
        <w:tc>
          <w:tcPr>
            <w:tcW w:w="8250" w:type="dxa"/>
          </w:tcPr>
          <w:p>
            <w:pPr>
              <w:pStyle w:val="TableParagraph"/>
              <w:ind w:right="469"/>
              <w:rPr>
                <w:sz w:val="22"/>
              </w:rPr>
            </w:pPr>
            <w:r>
              <w:rPr>
                <w:sz w:val="22"/>
              </w:rPr>
              <w:t>A Boolean flag indicating whether metadata is populated to a new cell by "Paste: All". True when the metadata is populated on a Paste:All, false otherwise. Paste:All and regular paste should be implemented so that they are equivalent by the spreadsheet application.</w:t>
            </w:r>
          </w:p>
          <w:p>
            <w:pPr>
              <w:pStyle w:val="TableParagraph"/>
              <w:spacing w:before="5"/>
              <w:ind w:left="0"/>
              <w:rPr>
                <w:rFonts w:ascii="Times New Roman"/>
                <w:sz w:val="23"/>
              </w:rPr>
            </w:pPr>
          </w:p>
          <w:p>
            <w:pPr>
              <w:pStyle w:val="TableParagraph"/>
              <w:spacing w:before="1"/>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4"/>
              <w:ind w:left="0"/>
              <w:rPr>
                <w:rFonts w:ascii="Times New Roman"/>
                <w:sz w:val="23"/>
              </w:rPr>
            </w:pPr>
          </w:p>
          <w:p>
            <w:pPr>
              <w:pStyle w:val="TableParagraph"/>
              <w:spacing w:before="0"/>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line="237" w:lineRule="auto" w:before="45"/>
              <w:ind w:right="435"/>
              <w:rPr>
                <w:sz w:val="22"/>
              </w:rPr>
            </w:pPr>
            <w:r>
              <w:rPr>
                <w:rFonts w:ascii="Cambria"/>
                <w:sz w:val="22"/>
              </w:rPr>
              <w:t>pasteBorders </w:t>
            </w:r>
            <w:r>
              <w:rPr>
                <w:sz w:val="22"/>
              </w:rPr>
              <w:t>(Metadata Paste Borders)</w:t>
            </w:r>
          </w:p>
        </w:tc>
        <w:tc>
          <w:tcPr>
            <w:tcW w:w="8250" w:type="dxa"/>
          </w:tcPr>
          <w:p>
            <w:pPr>
              <w:pStyle w:val="TableParagraph"/>
              <w:rPr>
                <w:sz w:val="22"/>
              </w:rPr>
            </w:pPr>
            <w:r>
              <w:rPr>
                <w:sz w:val="22"/>
              </w:rPr>
              <w:t>A Boolean flag indicating whether metadata is populated with Paste: Borders. True when the metadata is populated when only borders are pasted, false otherwise.</w:t>
            </w:r>
          </w:p>
          <w:p>
            <w:pPr>
              <w:pStyle w:val="TableParagraph"/>
              <w:spacing w:before="4"/>
              <w:ind w:left="0"/>
              <w:rPr>
                <w:rFonts w:ascii="Times New Roman"/>
                <w:sz w:val="23"/>
              </w:rPr>
            </w:pPr>
          </w:p>
          <w:p>
            <w:pPr>
              <w:pStyle w:val="TableParagraph"/>
              <w:spacing w:before="0"/>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3"/>
              <w:ind w:left="0"/>
              <w:rPr>
                <w:rFonts w:ascii="Times New Roman"/>
                <w:sz w:val="23"/>
              </w:rPr>
            </w:pPr>
          </w:p>
          <w:p>
            <w:pPr>
              <w:pStyle w:val="TableParagraph"/>
              <w:spacing w:before="0"/>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spacing w:line="237" w:lineRule="auto" w:before="45"/>
              <w:ind w:right="451"/>
              <w:jc w:val="both"/>
              <w:rPr>
                <w:sz w:val="22"/>
              </w:rPr>
            </w:pPr>
            <w:r>
              <w:rPr>
                <w:rFonts w:ascii="Cambria"/>
                <w:sz w:val="22"/>
              </w:rPr>
              <w:t>pasteColWidths </w:t>
            </w:r>
            <w:r>
              <w:rPr>
                <w:sz w:val="22"/>
              </w:rPr>
              <w:t>(Metadata Paste Column Widths)</w:t>
            </w:r>
          </w:p>
        </w:tc>
        <w:tc>
          <w:tcPr>
            <w:tcW w:w="8250" w:type="dxa"/>
          </w:tcPr>
          <w:p>
            <w:pPr>
              <w:pStyle w:val="TableParagraph"/>
              <w:ind w:right="157"/>
              <w:rPr>
                <w:sz w:val="22"/>
              </w:rPr>
            </w:pPr>
            <w:r>
              <w:rPr>
                <w:sz w:val="22"/>
              </w:rPr>
              <w:t>A Boolean flag indicating whether metadata is populated by Paste: Column Widths. True if the metadata is populated when only column widths are pasted, false otherwise.</w:t>
            </w:r>
          </w:p>
          <w:p>
            <w:pPr>
              <w:pStyle w:val="TableParagraph"/>
              <w:spacing w:before="4"/>
              <w:ind w:left="0"/>
              <w:rPr>
                <w:rFonts w:ascii="Times New Roman"/>
                <w:sz w:val="23"/>
              </w:rPr>
            </w:pPr>
          </w:p>
          <w:p>
            <w:pPr>
              <w:pStyle w:val="TableParagraph"/>
              <w:spacing w:before="0"/>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2"/>
              <w:ind w:left="0"/>
              <w:rPr>
                <w:rFonts w:ascii="Times New Roman"/>
                <w:sz w:val="23"/>
              </w:rPr>
            </w:pPr>
          </w:p>
          <w:p>
            <w:pPr>
              <w:pStyle w:val="TableParagraph"/>
              <w:spacing w:before="1"/>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889" w:hRule="atLeast"/>
        </w:trPr>
        <w:tc>
          <w:tcPr>
            <w:tcW w:w="2062" w:type="dxa"/>
          </w:tcPr>
          <w:p>
            <w:pPr>
              <w:pStyle w:val="TableParagraph"/>
              <w:spacing w:line="237" w:lineRule="auto" w:before="45"/>
              <w:ind w:right="422"/>
              <w:jc w:val="both"/>
              <w:rPr>
                <w:sz w:val="22"/>
              </w:rPr>
            </w:pPr>
            <w:r>
              <w:rPr>
                <w:rFonts w:ascii="Cambria"/>
                <w:sz w:val="22"/>
              </w:rPr>
              <w:t>pasteComments </w:t>
            </w:r>
            <w:r>
              <w:rPr>
                <w:sz w:val="22"/>
              </w:rPr>
              <w:t>(Metadata Paste Comments)</w:t>
            </w:r>
          </w:p>
        </w:tc>
        <w:tc>
          <w:tcPr>
            <w:tcW w:w="8250" w:type="dxa"/>
          </w:tcPr>
          <w:p>
            <w:pPr>
              <w:pStyle w:val="TableParagraph"/>
              <w:ind w:right="573"/>
              <w:rPr>
                <w:sz w:val="22"/>
              </w:rPr>
            </w:pPr>
            <w:r>
              <w:rPr>
                <w:sz w:val="22"/>
              </w:rPr>
              <w:t>A Boolean flag indicating whether metadata is populated by Paste: Comments. True when metadata is populated when only comments are pasted, false otherwise.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4"/>
              <w:ind w:left="0"/>
              <w:rPr>
                <w:rFonts w:ascii="Times New Roman"/>
                <w:sz w:val="23"/>
              </w:rPr>
            </w:pPr>
          </w:p>
          <w:p>
            <w:pPr>
              <w:pStyle w:val="TableParagraph"/>
              <w:spacing w:before="0"/>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before="42"/>
              <w:ind w:right="133"/>
              <w:rPr>
                <w:sz w:val="22"/>
              </w:rPr>
            </w:pPr>
            <w:r>
              <w:rPr>
                <w:rFonts w:ascii="Cambria"/>
                <w:sz w:val="22"/>
              </w:rPr>
              <w:t>pasteDataValidatio n </w:t>
            </w:r>
            <w:r>
              <w:rPr>
                <w:sz w:val="22"/>
              </w:rPr>
              <w:t>(Metadata Paste Data Validation)</w:t>
            </w:r>
          </w:p>
        </w:tc>
        <w:tc>
          <w:tcPr>
            <w:tcW w:w="8250" w:type="dxa"/>
          </w:tcPr>
          <w:p>
            <w:pPr>
              <w:pStyle w:val="TableParagraph"/>
              <w:rPr>
                <w:sz w:val="22"/>
              </w:rPr>
            </w:pPr>
            <w:r>
              <w:rPr>
                <w:sz w:val="22"/>
              </w:rPr>
              <w:t>A Boolean flag indicating whether metadata is populated by Paste: Validation. True when metadata is populated when only data validation is pasted, false otherwise.</w:t>
            </w:r>
          </w:p>
          <w:p>
            <w:pPr>
              <w:pStyle w:val="TableParagraph"/>
              <w:spacing w:before="4"/>
              <w:ind w:left="0"/>
              <w:rPr>
                <w:rFonts w:ascii="Times New Roman"/>
                <w:sz w:val="23"/>
              </w:rPr>
            </w:pPr>
          </w:p>
          <w:p>
            <w:pPr>
              <w:pStyle w:val="TableParagraph"/>
              <w:spacing w:before="0"/>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5"/>
              <w:ind w:left="0"/>
              <w:rPr>
                <w:rFonts w:ascii="Times New Roman"/>
                <w:sz w:val="23"/>
              </w:rPr>
            </w:pPr>
          </w:p>
          <w:p>
            <w:pPr>
              <w:pStyle w:val="TableParagraph"/>
              <w:spacing w:before="1"/>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40" w:hRule="atLeast"/>
        </w:trPr>
        <w:tc>
          <w:tcPr>
            <w:tcW w:w="2062" w:type="dxa"/>
          </w:tcPr>
          <w:p>
            <w:pPr>
              <w:pStyle w:val="TableParagraph"/>
              <w:spacing w:line="237" w:lineRule="auto" w:before="45"/>
              <w:ind w:right="435"/>
              <w:rPr>
                <w:sz w:val="22"/>
              </w:rPr>
            </w:pPr>
            <w:r>
              <w:rPr>
                <w:rFonts w:ascii="Cambria"/>
                <w:sz w:val="22"/>
              </w:rPr>
              <w:t>pasteFormats </w:t>
            </w:r>
            <w:r>
              <w:rPr>
                <w:sz w:val="22"/>
              </w:rPr>
              <w:t>(Metadata Paste Formats)</w:t>
            </w:r>
          </w:p>
        </w:tc>
        <w:tc>
          <w:tcPr>
            <w:tcW w:w="8250" w:type="dxa"/>
          </w:tcPr>
          <w:p>
            <w:pPr>
              <w:pStyle w:val="TableParagraph"/>
              <w:rPr>
                <w:sz w:val="22"/>
              </w:rPr>
            </w:pPr>
            <w:r>
              <w:rPr>
                <w:sz w:val="22"/>
              </w:rPr>
              <w:t>A Boolean flag indicating whether metadata is populated by Paste Special: Formats. True when metadata is populated when only formatting is pasted, false otherwise.</w:t>
            </w:r>
          </w:p>
          <w:p>
            <w:pPr>
              <w:pStyle w:val="TableParagraph"/>
              <w:spacing w:before="4"/>
              <w:ind w:left="0"/>
              <w:rPr>
                <w:rFonts w:ascii="Times New Roman"/>
                <w:sz w:val="23"/>
              </w:rPr>
            </w:pPr>
          </w:p>
          <w:p>
            <w:pPr>
              <w:pStyle w:val="TableParagraph"/>
              <w:spacing w:before="0"/>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5"/>
              <w:ind w:left="0"/>
              <w:rPr>
                <w:rFonts w:ascii="Times New Roman"/>
                <w:sz w:val="23"/>
              </w:rPr>
            </w:pPr>
          </w:p>
          <w:p>
            <w:pPr>
              <w:pStyle w:val="TableParagraph"/>
              <w:spacing w:before="0"/>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spacing w:line="237" w:lineRule="auto" w:before="45"/>
              <w:ind w:right="435"/>
              <w:rPr>
                <w:sz w:val="22"/>
              </w:rPr>
            </w:pPr>
            <w:r>
              <w:rPr>
                <w:rFonts w:ascii="Cambria"/>
                <w:sz w:val="22"/>
              </w:rPr>
              <w:t>pasteFormulas </w:t>
            </w:r>
            <w:r>
              <w:rPr>
                <w:sz w:val="22"/>
              </w:rPr>
              <w:t>(Metadata Paste Formulas)</w:t>
            </w:r>
          </w:p>
        </w:tc>
        <w:tc>
          <w:tcPr>
            <w:tcW w:w="8250" w:type="dxa"/>
          </w:tcPr>
          <w:p>
            <w:pPr>
              <w:pStyle w:val="TableParagraph"/>
              <w:rPr>
                <w:sz w:val="22"/>
              </w:rPr>
            </w:pPr>
            <w:r>
              <w:rPr>
                <w:sz w:val="22"/>
              </w:rPr>
              <w:t>A Boolean flag indicating whether metadata is populated by Paste: Formulas. True when the metadata is populated when only formulas are pasted, false otherwise.</w:t>
            </w:r>
          </w:p>
          <w:p>
            <w:pPr>
              <w:pStyle w:val="TableParagraph"/>
              <w:spacing w:before="4"/>
              <w:ind w:left="0"/>
              <w:rPr>
                <w:rFonts w:ascii="Times New Roman"/>
                <w:sz w:val="23"/>
              </w:rPr>
            </w:pPr>
          </w:p>
          <w:p>
            <w:pPr>
              <w:pStyle w:val="TableParagraph"/>
              <w:spacing w:before="0"/>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2"/>
              <w:ind w:left="0"/>
              <w:rPr>
                <w:rFonts w:ascii="Times New Roman"/>
                <w:sz w:val="23"/>
              </w:rPr>
            </w:pPr>
          </w:p>
          <w:p>
            <w:pPr>
              <w:pStyle w:val="TableParagraph"/>
              <w:spacing w:before="1"/>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spacing w:line="237" w:lineRule="auto" w:before="45"/>
              <w:ind w:right="125"/>
              <w:jc w:val="both"/>
              <w:rPr>
                <w:sz w:val="22"/>
              </w:rPr>
            </w:pPr>
            <w:r>
              <w:rPr>
                <w:rFonts w:ascii="Cambria"/>
                <w:sz w:val="22"/>
              </w:rPr>
              <w:t>pasteNumberForm ats </w:t>
            </w:r>
            <w:r>
              <w:rPr>
                <w:sz w:val="22"/>
              </w:rPr>
              <w:t>(Metadata Paste Number Formats)</w:t>
            </w:r>
          </w:p>
        </w:tc>
        <w:tc>
          <w:tcPr>
            <w:tcW w:w="8250" w:type="dxa"/>
          </w:tcPr>
          <w:p>
            <w:pPr>
              <w:pStyle w:val="TableParagraph"/>
              <w:ind w:right="352"/>
              <w:rPr>
                <w:sz w:val="22"/>
              </w:rPr>
            </w:pPr>
            <w:r>
              <w:rPr>
                <w:sz w:val="22"/>
              </w:rPr>
              <w:t>A Boolean flag indicating whether metadata is populated with Paste: Number Formats. True when metadata is populated when only number formatting is pasted, false otherwise.</w:t>
            </w:r>
          </w:p>
        </w:tc>
      </w:tr>
    </w:tbl>
    <w:p>
      <w:pPr>
        <w:spacing w:after="0"/>
        <w:rPr>
          <w:sz w:val="22"/>
        </w:rPr>
        <w:sectPr>
          <w:footerReference w:type="even" r:id="rId98"/>
          <w:footerReference w:type="default" r:id="rId99"/>
          <w:pgSz w:w="12240" w:h="15840"/>
          <w:pgMar w:footer="746" w:header="761" w:top="1340" w:bottom="940" w:left="860" w:right="700"/>
          <w:pgNumType w:start="181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The </w:t>
            </w:r>
            <w:r>
              <w:rPr>
                <w:rFonts w:ascii="Consolas"/>
                <w:sz w:val="20"/>
              </w:rPr>
              <w:t>copy</w:t>
            </w:r>
            <w:r>
              <w:rPr>
                <w:rFonts w:ascii="Consolas"/>
                <w:spacing w:val="-59"/>
                <w:sz w:val="20"/>
              </w:rPr>
              <w:t> </w:t>
            </w:r>
            <w:r>
              <w:rPr>
                <w:sz w:val="22"/>
              </w:rPr>
              <w:t>flag shall be set to </w:t>
            </w:r>
            <w:r>
              <w:rPr>
                <w:rFonts w:ascii="Consolas"/>
                <w:sz w:val="20"/>
              </w:rPr>
              <w:t>true</w:t>
            </w:r>
            <w:r>
              <w:rPr>
                <w:rFonts w:ascii="Consolas"/>
                <w:spacing w:val="-60"/>
                <w:sz w:val="20"/>
              </w:rPr>
              <w:t> </w:t>
            </w:r>
            <w:r>
              <w:rPr>
                <w:sz w:val="22"/>
              </w:rPr>
              <w:t>for this paste behavior to be respected.</w:t>
            </w:r>
          </w:p>
          <w:p>
            <w:pPr>
              <w:pStyle w:val="TableParagraph"/>
              <w:spacing w:before="4"/>
              <w:ind w:left="0"/>
              <w:rPr>
                <w:rFonts w:ascii="Times New Roman"/>
                <w:sz w:val="23"/>
              </w:rPr>
            </w:pPr>
          </w:p>
          <w:p>
            <w:pPr>
              <w:pStyle w:val="TableParagraph"/>
              <w:spacing w:before="0"/>
              <w:ind w:right="145"/>
              <w:rPr>
                <w:sz w:val="22"/>
              </w:rPr>
            </w:pPr>
            <w:r>
              <w:rPr>
                <w:sz w:val="22"/>
              </w:rPr>
              <w:t>[</w:t>
            </w:r>
            <w:r>
              <w:rPr>
                <w:i/>
                <w:sz w:val="22"/>
              </w:rPr>
              <w:t>Note</w:t>
            </w:r>
            <w:r>
              <w:rPr>
                <w:sz w:val="22"/>
              </w:rPr>
              <w:t>: the spreadsheet application can implement special pasting behavior, such as pasting everything from a cell (paste all/normal paste), pasting only borders, pasting only comments, or pasting only any other specific cell property. </w:t>
            </w:r>
            <w:r>
              <w:rPr>
                <w:i/>
                <w:sz w:val="22"/>
              </w:rPr>
              <w:t>end note</w:t>
            </w:r>
            <w:r>
              <w:rPr>
                <w:sz w:val="22"/>
              </w:rPr>
              <w: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5"/>
              <w:ind w:right="435"/>
              <w:rPr>
                <w:sz w:val="22"/>
              </w:rPr>
            </w:pPr>
            <w:r>
              <w:rPr>
                <w:rFonts w:ascii="Cambria"/>
                <w:sz w:val="22"/>
              </w:rPr>
              <w:t>pasteValues </w:t>
            </w:r>
            <w:r>
              <w:rPr>
                <w:sz w:val="22"/>
              </w:rPr>
              <w:t>(Metadata Paste Special Values)</w:t>
            </w:r>
          </w:p>
        </w:tc>
        <w:tc>
          <w:tcPr>
            <w:tcW w:w="8250" w:type="dxa"/>
          </w:tcPr>
          <w:p>
            <w:pPr>
              <w:pStyle w:val="TableParagraph"/>
              <w:rPr>
                <w:sz w:val="22"/>
              </w:rPr>
            </w:pPr>
            <w:r>
              <w:rPr>
                <w:sz w:val="22"/>
              </w:rPr>
              <w:t>A Boolean flag indicating whether metadata is populated by Paste: Values.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spacing w:line="237" w:lineRule="auto" w:before="45"/>
              <w:ind w:right="406"/>
              <w:rPr>
                <w:sz w:val="22"/>
              </w:rPr>
            </w:pPr>
            <w:r>
              <w:rPr>
                <w:rFonts w:ascii="Cambria"/>
                <w:sz w:val="22"/>
              </w:rPr>
              <w:t>rowColShift </w:t>
            </w:r>
            <w:r>
              <w:rPr>
                <w:sz w:val="22"/>
              </w:rPr>
              <w:t>(Metadata Insert Delete)</w:t>
            </w:r>
          </w:p>
        </w:tc>
        <w:tc>
          <w:tcPr>
            <w:tcW w:w="8250" w:type="dxa"/>
          </w:tcPr>
          <w:p>
            <w:pPr>
              <w:pStyle w:val="TableParagraph"/>
              <w:rPr>
                <w:sz w:val="22"/>
              </w:rPr>
            </w:pPr>
            <w:r>
              <w:rPr>
                <w:sz w:val="22"/>
              </w:rPr>
              <w:t>A Boolean flag indicating whether metadata survives shifting due to row/column insertion/deletion. True if the metadata persists after the cell has been shifted, false otherwise.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3" w:hRule="atLeast"/>
        </w:trPr>
        <w:tc>
          <w:tcPr>
            <w:tcW w:w="2062" w:type="dxa"/>
          </w:tcPr>
          <w:p>
            <w:pPr>
              <w:pStyle w:val="TableParagraph"/>
              <w:ind w:right="256"/>
              <w:rPr>
                <w:sz w:val="22"/>
              </w:rPr>
            </w:pPr>
            <w:r>
              <w:rPr>
                <w:rFonts w:ascii="Cambria"/>
                <w:sz w:val="22"/>
              </w:rPr>
              <w:t>splitAll </w:t>
            </w:r>
            <w:r>
              <w:rPr>
                <w:sz w:val="22"/>
              </w:rPr>
              <w:t>(Metadata Split All)</w:t>
            </w:r>
          </w:p>
        </w:tc>
        <w:tc>
          <w:tcPr>
            <w:tcW w:w="8250" w:type="dxa"/>
          </w:tcPr>
          <w:p>
            <w:pPr>
              <w:pStyle w:val="TableParagraph"/>
              <w:ind w:right="144"/>
              <w:jc w:val="both"/>
              <w:rPr>
                <w:sz w:val="22"/>
              </w:rPr>
            </w:pPr>
            <w:r>
              <w:rPr>
                <w:sz w:val="22"/>
              </w:rPr>
              <w:t>A Boolean flag indicating whether a merged cell split action has its metadata copied to all of the resulting cells. True if the metadata is copied to all new cells resulting from a split, false otherwise.</w:t>
            </w:r>
          </w:p>
          <w:p>
            <w:pPr>
              <w:pStyle w:val="TableParagraph"/>
              <w:spacing w:before="4"/>
              <w:ind w:left="0"/>
              <w:rPr>
                <w:rFonts w:ascii="Times New Roman"/>
                <w:sz w:val="23"/>
              </w:rPr>
            </w:pPr>
          </w:p>
          <w:p>
            <w:pPr>
              <w:pStyle w:val="TableParagraph"/>
              <w:spacing w:before="1"/>
              <w:ind w:right="695"/>
              <w:rPr>
                <w:sz w:val="22"/>
              </w:rPr>
            </w:pPr>
            <w:r>
              <w:rPr>
                <w:sz w:val="22"/>
              </w:rPr>
              <w:t>If </w:t>
            </w:r>
            <w:r>
              <w:rPr>
                <w:rFonts w:ascii="Consolas"/>
                <w:sz w:val="20"/>
              </w:rPr>
              <w:t>splitFirst</w:t>
            </w:r>
            <w:r>
              <w:rPr>
                <w:rFonts w:ascii="Consolas"/>
                <w:spacing w:val="-58"/>
                <w:sz w:val="20"/>
              </w:rPr>
              <w:t> </w:t>
            </w:r>
            <w:r>
              <w:rPr>
                <w:sz w:val="22"/>
              </w:rPr>
              <w:t>is also set to </w:t>
            </w:r>
            <w:r>
              <w:rPr>
                <w:rFonts w:ascii="Consolas"/>
                <w:sz w:val="20"/>
              </w:rPr>
              <w:t>true</w:t>
            </w:r>
            <w:r>
              <w:rPr>
                <w:sz w:val="22"/>
              </w:rPr>
              <w:t>, </w:t>
            </w:r>
            <w:r>
              <w:rPr>
                <w:rFonts w:ascii="Consolas"/>
                <w:sz w:val="20"/>
              </w:rPr>
              <w:t>splitAll</w:t>
            </w:r>
            <w:r>
              <w:rPr>
                <w:rFonts w:ascii="Consolas"/>
                <w:spacing w:val="-61"/>
                <w:sz w:val="20"/>
              </w:rPr>
              <w:t> </w:t>
            </w:r>
            <w:r>
              <w:rPr>
                <w:sz w:val="22"/>
              </w:rPr>
              <w:t>wins - that is all the cells shall have the metadata copied to them.</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8" w:hRule="atLeast"/>
        </w:trPr>
        <w:tc>
          <w:tcPr>
            <w:tcW w:w="2062" w:type="dxa"/>
          </w:tcPr>
          <w:p>
            <w:pPr>
              <w:pStyle w:val="TableParagraph"/>
              <w:spacing w:line="237" w:lineRule="auto" w:before="45"/>
              <w:ind w:right="427"/>
              <w:rPr>
                <w:sz w:val="22"/>
              </w:rPr>
            </w:pPr>
            <w:r>
              <w:rPr>
                <w:rFonts w:ascii="Cambria"/>
                <w:sz w:val="22"/>
              </w:rPr>
              <w:t>splitFirst </w:t>
            </w:r>
            <w:r>
              <w:rPr>
                <w:sz w:val="22"/>
              </w:rPr>
              <w:t>(Meatadata Split First)</w:t>
            </w:r>
          </w:p>
        </w:tc>
        <w:tc>
          <w:tcPr>
            <w:tcW w:w="8250" w:type="dxa"/>
          </w:tcPr>
          <w:p>
            <w:pPr>
              <w:pStyle w:val="TableParagraph"/>
              <w:ind w:right="106"/>
              <w:rPr>
                <w:sz w:val="22"/>
              </w:rPr>
            </w:pPr>
            <w:r>
              <w:rPr>
                <w:sz w:val="22"/>
              </w:rPr>
              <w:t>A Boolean flag indicating whether when a merged cell is split its metadata is copied to only the first resulting cell. True when the metadata from a split cell is only copied to the first resulting cell, false otherwise.</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CT_MetadataType</w:t>
      </w:r>
      <w:r>
        <w:rPr/>
        <w:t>) is located in §A.2.</w:t>
      </w:r>
    </w:p>
    <w:p>
      <w:pPr>
        <w:spacing w:before="42"/>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1 metadataTypes (Metadata Types Co" w:id="725"/>
      <w:bookmarkEnd w:id="725"/>
      <w:r>
        <w:rPr>
          <w:b w:val="0"/>
        </w:rPr>
      </w:r>
      <w:bookmarkStart w:name="_bookmark240" w:id="726"/>
      <w:bookmarkEnd w:id="726"/>
      <w:r>
        <w:rPr>
          <w:b w:val="0"/>
        </w:rPr>
      </w:r>
      <w:bookmarkStart w:name="_bookmark240" w:id="727"/>
      <w:bookmarkEnd w:id="727"/>
      <w:r>
        <w:rPr>
          <w:color w:val="4F81BC"/>
        </w:rPr>
        <w:t>m</w:t>
      </w:r>
      <w:r>
        <w:rPr>
          <w:color w:val="4F81BC"/>
        </w:rPr>
        <w:t>etadataTypes (Metadata Types</w:t>
      </w:r>
      <w:r>
        <w:rPr>
          <w:color w:val="4F81BC"/>
          <w:spacing w:val="1"/>
        </w:rPr>
        <w:t> </w:t>
      </w:r>
      <w:r>
        <w:rPr>
          <w:color w:val="4F81BC"/>
        </w:rPr>
        <w:t>Collection)</w:t>
      </w:r>
    </w:p>
    <w:p>
      <w:pPr>
        <w:pStyle w:val="BodyText"/>
        <w:spacing w:before="126"/>
        <w:ind w:left="220"/>
      </w:pPr>
      <w:r>
        <w:rPr/>
        <w:t>This element is a collection of metadata types.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rPr>
                <w:sz w:val="22"/>
              </w:rPr>
            </w:pPr>
            <w:r>
              <w:rPr>
                <w:rFonts w:ascii="Cambria"/>
                <w:sz w:val="22"/>
              </w:rPr>
              <w:t>count </w:t>
            </w:r>
            <w:r>
              <w:rPr>
                <w:sz w:val="22"/>
              </w:rPr>
              <w:t>(Metadata</w:t>
            </w:r>
          </w:p>
        </w:tc>
        <w:tc>
          <w:tcPr>
            <w:tcW w:w="8250" w:type="dxa"/>
          </w:tcPr>
          <w:p>
            <w:pPr>
              <w:pStyle w:val="TableParagraph"/>
              <w:rPr>
                <w:sz w:val="22"/>
              </w:rPr>
            </w:pPr>
            <w:r>
              <w:rPr>
                <w:sz w:val="22"/>
              </w:rPr>
              <w:t>Number of metadata types.</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Type Count)</w:t>
            </w: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CT_MetadataTypes</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2 ms (Set MDX Metadata)" w:id="728"/>
      <w:bookmarkEnd w:id="728"/>
      <w:r>
        <w:rPr>
          <w:b w:val="0"/>
        </w:rPr>
      </w:r>
      <w:bookmarkStart w:name="_bookmark241" w:id="729"/>
      <w:bookmarkEnd w:id="729"/>
      <w:r>
        <w:rPr>
          <w:b w:val="0"/>
        </w:rPr>
      </w:r>
      <w:bookmarkStart w:name="_bookmark241" w:id="730"/>
      <w:bookmarkEnd w:id="730"/>
      <w:r>
        <w:rPr>
          <w:color w:val="4F81BC"/>
        </w:rPr>
        <w:t>m</w:t>
      </w:r>
      <w:r>
        <w:rPr>
          <w:color w:val="4F81BC"/>
        </w:rPr>
        <w:t>s (Set MDX</w:t>
      </w:r>
      <w:r>
        <w:rPr>
          <w:color w:val="4F81BC"/>
          <w:spacing w:val="-3"/>
        </w:rPr>
        <w:t> </w:t>
      </w:r>
      <w:r>
        <w:rPr>
          <w:color w:val="4F81BC"/>
        </w:rPr>
        <w:t>Metadata)</w:t>
      </w:r>
    </w:p>
    <w:p>
      <w:pPr>
        <w:pStyle w:val="BodyText"/>
        <w:spacing w:before="127"/>
        <w:ind w:left="220"/>
      </w:pPr>
      <w:r>
        <w:rPr/>
        <w:t>This element represents an MDX set.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243"/>
              <w:rPr>
                <w:sz w:val="22"/>
              </w:rPr>
            </w:pPr>
            <w:r>
              <w:rPr>
                <w:rFonts w:ascii="Cambria"/>
                <w:sz w:val="22"/>
              </w:rPr>
              <w:t>c </w:t>
            </w:r>
            <w:r>
              <w:rPr>
                <w:sz w:val="22"/>
              </w:rPr>
              <w:t>(Sort By Member Index Count)</w:t>
            </w:r>
          </w:p>
        </w:tc>
        <w:tc>
          <w:tcPr>
            <w:tcW w:w="8250" w:type="dxa"/>
          </w:tcPr>
          <w:p>
            <w:pPr>
              <w:pStyle w:val="TableParagraph"/>
              <w:rPr>
                <w:sz w:val="22"/>
              </w:rPr>
            </w:pPr>
            <w:r>
              <w:rPr>
                <w:sz w:val="22"/>
              </w:rPr>
              <w:t>Number of sort-by member indices. This is essentially the number of coordinates in the cube that this member is defined by.</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366"/>
              <w:rPr>
                <w:sz w:val="22"/>
              </w:rPr>
            </w:pPr>
            <w:r>
              <w:rPr>
                <w:rFonts w:ascii="Cambria"/>
                <w:sz w:val="22"/>
              </w:rPr>
              <w:t>ns </w:t>
            </w:r>
            <w:r>
              <w:rPr>
                <w:sz w:val="22"/>
              </w:rPr>
              <w:t>(Set Definition Index)</w:t>
            </w:r>
          </w:p>
        </w:tc>
        <w:tc>
          <w:tcPr>
            <w:tcW w:w="8250" w:type="dxa"/>
          </w:tcPr>
          <w:p>
            <w:pPr>
              <w:pStyle w:val="TableParagraph"/>
              <w:rPr>
                <w:sz w:val="22"/>
              </w:rPr>
            </w:pPr>
            <w:r>
              <w:rPr>
                <w:sz w:val="22"/>
              </w:rPr>
              <w:t>Zero based index of the set definition in the metadata string store.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o </w:t>
            </w:r>
            <w:r>
              <w:rPr>
                <w:sz w:val="22"/>
              </w:rPr>
              <w:t>(Set Sort Order)</w:t>
            </w:r>
          </w:p>
        </w:tc>
        <w:tc>
          <w:tcPr>
            <w:tcW w:w="8250" w:type="dxa"/>
          </w:tcPr>
          <w:p>
            <w:pPr>
              <w:pStyle w:val="TableParagraph"/>
              <w:rPr>
                <w:sz w:val="22"/>
              </w:rPr>
            </w:pPr>
            <w:r>
              <w:rPr>
                <w:sz w:val="22"/>
              </w:rPr>
              <w:t>An enumeration specifying what sort order is used to sort the set.</w:t>
            </w:r>
          </w:p>
          <w:p>
            <w:pPr>
              <w:pStyle w:val="TableParagraph"/>
              <w:spacing w:before="0"/>
              <w:ind w:left="0"/>
              <w:rPr>
                <w:sz w:val="22"/>
              </w:rPr>
            </w:pPr>
          </w:p>
          <w:p>
            <w:pPr>
              <w:pStyle w:val="TableParagraph"/>
              <w:spacing w:before="1"/>
              <w:ind w:right="451"/>
              <w:rPr>
                <w:sz w:val="22"/>
              </w:rPr>
            </w:pPr>
            <w:r>
              <w:rPr>
                <w:sz w:val="22"/>
              </w:rPr>
              <w:t>The possible values for this attribute are defined by the </w:t>
            </w:r>
            <w:r>
              <w:rPr>
                <w:rFonts w:ascii="Cambria" w:hAnsi="Cambria"/>
                <w:sz w:val="22"/>
              </w:rPr>
              <w:t>ST_MdxSetOrder </w:t>
            </w:r>
            <w:r>
              <w:rPr>
                <w:sz w:val="22"/>
              </w:rPr>
              <w:t>simple type </w:t>
            </w:r>
            <w:hyperlink w:history="true" w:anchor="_bookmark868">
              <w:r>
                <w:rPr>
                  <w:sz w:val="22"/>
                </w:rPr>
                <w:t>(§18.18.46</w:t>
              </w:r>
            </w:hyperlink>
            <w:r>
              <w:rPr>
                <w:sz w:val="22"/>
              </w:rPr>
              <w:t>).</w:t>
            </w:r>
          </w:p>
        </w:tc>
      </w:tr>
    </w:tbl>
    <w:p>
      <w:pPr>
        <w:pStyle w:val="BodyText"/>
      </w:pPr>
    </w:p>
    <w:p>
      <w:pPr>
        <w:pStyle w:val="BodyText"/>
        <w:spacing w:before="5"/>
        <w:rPr>
          <w:sz w:val="19"/>
        </w:rPr>
      </w:pPr>
    </w:p>
    <w:p>
      <w:pPr>
        <w:pStyle w:val="BodyText"/>
        <w:spacing w:line="276" w:lineRule="auto"/>
        <w:ind w:left="220" w:right="802"/>
      </w:pPr>
      <w:r>
        <w:rPr/>
        <w:t>[</w:t>
      </w:r>
      <w:r>
        <w:rPr>
          <w:i/>
        </w:rPr>
        <w:t>Note</w:t>
      </w:r>
      <w:r>
        <w:rPr/>
        <w:t>: The W3C XML Schema definition of this element’s content model (</w:t>
      </w:r>
      <w:r>
        <w:rPr>
          <w:color w:val="5F5F5F"/>
          <w:u w:val="single" w:color="5F5F5F"/>
        </w:rPr>
        <w:t>CT_MdxSet</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3 n (Member Unique Name Index)" w:id="731"/>
      <w:bookmarkEnd w:id="731"/>
      <w:r>
        <w:rPr>
          <w:b w:val="0"/>
        </w:rPr>
      </w:r>
      <w:bookmarkStart w:name="_bookmark242" w:id="732"/>
      <w:bookmarkEnd w:id="732"/>
      <w:r>
        <w:rPr>
          <w:b w:val="0"/>
        </w:rPr>
      </w:r>
      <w:bookmarkStart w:name="_bookmark242" w:id="733"/>
      <w:bookmarkEnd w:id="733"/>
      <w:r>
        <w:rPr>
          <w:color w:val="4F81BC"/>
        </w:rPr>
        <w:t>n</w:t>
      </w:r>
      <w:r>
        <w:rPr>
          <w:color w:val="4F81BC"/>
        </w:rPr>
        <w:t> (Member Unique Name</w:t>
      </w:r>
      <w:r>
        <w:rPr>
          <w:color w:val="4F81BC"/>
          <w:spacing w:val="-2"/>
        </w:rPr>
        <w:t> </w:t>
      </w:r>
      <w:r>
        <w:rPr>
          <w:color w:val="4F81BC"/>
        </w:rPr>
        <w:t>Index)</w:t>
      </w:r>
    </w:p>
    <w:p>
      <w:pPr>
        <w:pStyle w:val="BodyText"/>
        <w:spacing w:line="276" w:lineRule="auto" w:before="124"/>
        <w:ind w:left="220" w:right="576"/>
      </w:pPr>
      <w:r>
        <w:rPr/>
        <w:t>This element represents an index of a member unique name in metadata string store that is used to define the sort-by set.</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rPr>
                <w:sz w:val="22"/>
              </w:rPr>
            </w:pPr>
            <w:r>
              <w:rPr>
                <w:rFonts w:ascii="Cambria"/>
                <w:sz w:val="22"/>
              </w:rPr>
              <w:t>s </w:t>
            </w:r>
            <w:r>
              <w:rPr>
                <w:sz w:val="22"/>
              </w:rPr>
              <w:t>(String is a Set)</w:t>
            </w:r>
          </w:p>
        </w:tc>
        <w:tc>
          <w:tcPr>
            <w:tcW w:w="8250" w:type="dxa"/>
          </w:tcPr>
          <w:p>
            <w:pPr>
              <w:pStyle w:val="TableParagraph"/>
              <w:ind w:right="617"/>
              <w:rPr>
                <w:sz w:val="22"/>
              </w:rPr>
            </w:pPr>
            <w:r>
              <w:rPr>
                <w:sz w:val="22"/>
              </w:rPr>
              <w:t>A Boolean flag indicating whether this string represents a set. True if the string represents a set, false otherwise.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rPr>
                <w:sz w:val="22"/>
              </w:rPr>
            </w:pPr>
            <w:r>
              <w:rPr>
                <w:rFonts w:ascii="Cambria"/>
                <w:sz w:val="22"/>
              </w:rPr>
              <w:t>x </w:t>
            </w:r>
            <w:r>
              <w:rPr>
                <w:sz w:val="22"/>
              </w:rPr>
              <w:t>(Index Value)</w:t>
            </w:r>
          </w:p>
        </w:tc>
        <w:tc>
          <w:tcPr>
            <w:tcW w:w="8250" w:type="dxa"/>
          </w:tcPr>
          <w:p>
            <w:pPr>
              <w:pStyle w:val="TableParagraph"/>
              <w:rPr>
                <w:sz w:val="22"/>
              </w:rPr>
            </w:pPr>
            <w:r>
              <w:rPr>
                <w:sz w:val="22"/>
              </w:rPr>
              <w:t>Value of the zero based index.</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CT_MetadataStringIndex</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4 p (Member Property MDX Metadata)" w:id="734"/>
      <w:bookmarkEnd w:id="734"/>
      <w:r>
        <w:rPr>
          <w:b w:val="0"/>
        </w:rPr>
      </w:r>
      <w:bookmarkStart w:name="_bookmark243" w:id="735"/>
      <w:bookmarkEnd w:id="735"/>
      <w:r>
        <w:rPr>
          <w:b w:val="0"/>
        </w:rPr>
      </w:r>
      <w:bookmarkStart w:name="_bookmark243" w:id="736"/>
      <w:bookmarkEnd w:id="736"/>
      <w:r>
        <w:rPr>
          <w:color w:val="4F81BC"/>
        </w:rPr>
        <w:t>p</w:t>
      </w:r>
      <w:r>
        <w:rPr>
          <w:color w:val="4F81BC"/>
        </w:rPr>
        <w:t> (Member Property MDX Metadata)</w:t>
      </w:r>
    </w:p>
    <w:p>
      <w:pPr>
        <w:pStyle w:val="BodyText"/>
        <w:spacing w:before="127"/>
        <w:ind w:left="220"/>
      </w:pPr>
      <w:r>
        <w:rPr/>
        <w:t>This element represents an MDX member property.</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206"/>
              <w:rPr>
                <w:sz w:val="22"/>
              </w:rPr>
            </w:pPr>
            <w:r>
              <w:rPr>
                <w:rFonts w:ascii="Cambria"/>
                <w:sz w:val="22"/>
              </w:rPr>
              <w:t>n </w:t>
            </w:r>
            <w:r>
              <w:rPr>
                <w:sz w:val="22"/>
              </w:rPr>
              <w:t>(Member Unique Name Index)</w:t>
            </w:r>
          </w:p>
        </w:tc>
        <w:tc>
          <w:tcPr>
            <w:tcW w:w="8250" w:type="dxa"/>
          </w:tcPr>
          <w:p>
            <w:pPr>
              <w:pStyle w:val="TableParagraph"/>
              <w:rPr>
                <w:sz w:val="22"/>
              </w:rPr>
            </w:pPr>
            <w:r>
              <w:rPr>
                <w:sz w:val="22"/>
              </w:rPr>
              <w:t>The zero based index of member unique name in the metadata string store.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192"/>
              <w:rPr>
                <w:sz w:val="22"/>
              </w:rPr>
            </w:pPr>
            <w:r>
              <w:rPr>
                <w:rFonts w:ascii="Cambria"/>
                <w:sz w:val="22"/>
              </w:rPr>
              <w:t>np </w:t>
            </w:r>
            <w:r>
              <w:rPr>
                <w:sz w:val="22"/>
              </w:rPr>
              <w:t>(Property Name Index)</w:t>
            </w:r>
          </w:p>
        </w:tc>
        <w:tc>
          <w:tcPr>
            <w:tcW w:w="8250" w:type="dxa"/>
          </w:tcPr>
          <w:p>
            <w:pPr>
              <w:pStyle w:val="TableParagraph"/>
              <w:rPr>
                <w:sz w:val="22"/>
              </w:rPr>
            </w:pPr>
            <w:r>
              <w:rPr>
                <w:sz w:val="22"/>
              </w:rPr>
              <w:t>The zero based index of the property name in metadata string store.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CT_MdxMemeberProp</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5 rc (Metadata Record)" w:id="737"/>
      <w:bookmarkEnd w:id="737"/>
      <w:r>
        <w:rPr>
          <w:b w:val="0"/>
        </w:rPr>
      </w:r>
      <w:bookmarkStart w:name="_bookmark244" w:id="738"/>
      <w:bookmarkEnd w:id="738"/>
      <w:r>
        <w:rPr>
          <w:b w:val="0"/>
        </w:rPr>
      </w:r>
      <w:bookmarkStart w:name="_bookmark244" w:id="739"/>
      <w:bookmarkEnd w:id="739"/>
      <w:r>
        <w:rPr>
          <w:color w:val="4F81BC"/>
        </w:rPr>
        <w:t>rc</w:t>
      </w:r>
      <w:r>
        <w:rPr>
          <w:color w:val="4F81BC"/>
        </w:rPr>
        <w:t> (Metadata Record)</w:t>
      </w:r>
    </w:p>
    <w:p>
      <w:pPr>
        <w:pStyle w:val="BodyText"/>
        <w:spacing w:before="124"/>
        <w:ind w:left="220"/>
      </w:pPr>
      <w:r>
        <w:rPr/>
        <w:t>This element represents a reference to a specific metadata record.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70"/>
              <w:rPr>
                <w:sz w:val="22"/>
              </w:rPr>
            </w:pPr>
            <w:r>
              <w:rPr>
                <w:rFonts w:ascii="Cambria"/>
                <w:sz w:val="22"/>
              </w:rPr>
              <w:t>t </w:t>
            </w:r>
            <w:r>
              <w:rPr>
                <w:sz w:val="22"/>
              </w:rPr>
              <w:t>(Metadata Record Type Index)</w:t>
            </w:r>
          </w:p>
        </w:tc>
        <w:tc>
          <w:tcPr>
            <w:tcW w:w="8250" w:type="dxa"/>
          </w:tcPr>
          <w:p>
            <w:pPr>
              <w:pStyle w:val="TableParagraph"/>
              <w:rPr>
                <w:sz w:val="22"/>
              </w:rPr>
            </w:pPr>
            <w:r>
              <w:rPr>
                <w:sz w:val="22"/>
              </w:rPr>
              <w:t>A 1-based index to the metadata record type in </w:t>
            </w:r>
            <w:r>
              <w:rPr>
                <w:rFonts w:ascii="Consolas"/>
                <w:sz w:val="20"/>
              </w:rPr>
              <w:t>metadataTypes</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5" w:hRule="atLeast"/>
        </w:trPr>
        <w:tc>
          <w:tcPr>
            <w:tcW w:w="2062" w:type="dxa"/>
          </w:tcPr>
          <w:p>
            <w:pPr>
              <w:pStyle w:val="TableParagraph"/>
              <w:ind w:right="134"/>
              <w:rPr>
                <w:sz w:val="22"/>
              </w:rPr>
            </w:pPr>
            <w:r>
              <w:rPr>
                <w:rFonts w:ascii="Cambria"/>
                <w:sz w:val="22"/>
              </w:rPr>
              <w:t>v </w:t>
            </w:r>
            <w:r>
              <w:rPr>
                <w:sz w:val="22"/>
              </w:rPr>
              <w:t>(Metadata Record Value Index)</w:t>
            </w:r>
          </w:p>
        </w:tc>
        <w:tc>
          <w:tcPr>
            <w:tcW w:w="8250" w:type="dxa"/>
          </w:tcPr>
          <w:p>
            <w:pPr>
              <w:pStyle w:val="TableParagraph"/>
              <w:ind w:right="340"/>
              <w:rPr>
                <w:sz w:val="22"/>
              </w:rPr>
            </w:pPr>
            <w:r>
              <w:rPr>
                <w:sz w:val="22"/>
              </w:rPr>
              <w:t>A zero based index to a specific metadata record. If the corresponding </w:t>
            </w:r>
            <w:r>
              <w:rPr>
                <w:rFonts w:ascii="Cambria"/>
                <w:sz w:val="22"/>
              </w:rPr>
              <w:t>metadataType </w:t>
            </w:r>
            <w:r>
              <w:rPr>
                <w:sz w:val="22"/>
              </w:rPr>
              <w:t>has </w:t>
            </w:r>
            <w:r>
              <w:rPr>
                <w:rFonts w:ascii="Consolas"/>
                <w:sz w:val="20"/>
              </w:rPr>
              <w:t>name</w:t>
            </w:r>
            <w:r>
              <w:rPr>
                <w:sz w:val="22"/>
              </w:rPr>
              <w:t>="XLMDX", then this is an index to a record in </w:t>
            </w:r>
            <w:r>
              <w:rPr>
                <w:rFonts w:ascii="Cambria"/>
                <w:sz w:val="22"/>
              </w:rPr>
              <w:t>mdxMetadata</w:t>
            </w:r>
            <w:r>
              <w:rPr>
                <w:sz w:val="22"/>
              </w:rPr>
              <w:t>, otherwise this is an index to a record in the </w:t>
            </w:r>
            <w:r>
              <w:rPr>
                <w:rFonts w:ascii="Cambria"/>
                <w:sz w:val="22"/>
              </w:rPr>
              <w:t>futureMetadata </w:t>
            </w:r>
            <w:r>
              <w:rPr>
                <w:sz w:val="22"/>
              </w:rPr>
              <w:t>section whose </w:t>
            </w:r>
            <w:r>
              <w:rPr>
                <w:rFonts w:ascii="Consolas"/>
                <w:sz w:val="20"/>
              </w:rPr>
              <w:t>name </w:t>
            </w:r>
            <w:r>
              <w:rPr>
                <w:sz w:val="22"/>
              </w:rPr>
              <w:t>matches the name of the </w:t>
            </w:r>
            <w:r>
              <w:rPr>
                <w:rFonts w:ascii="Cambria"/>
                <w:sz w:val="22"/>
              </w:rPr>
              <w:t>metadataType</w:t>
            </w:r>
            <w:r>
              <w:rPr>
                <w:sz w:val="22"/>
              </w:rPr>
              <w:t>.</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CT_MetadataRecord</w:t>
      </w:r>
      <w:r>
        <w:rPr/>
        <w:t>) is located in</w:t>
      </w:r>
    </w:p>
    <w:p>
      <w:pPr>
        <w:spacing w:before="43"/>
        <w:ind w:left="220" w:right="0" w:firstLine="0"/>
        <w:jc w:val="left"/>
        <w:rPr>
          <w:sz w:val="22"/>
        </w:rPr>
      </w:pPr>
      <w:r>
        <w:rPr>
          <w:sz w:val="22"/>
        </w:rPr>
        <w:t>§A.2. </w:t>
      </w: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2"/>
        <w:numPr>
          <w:ilvl w:val="2"/>
          <w:numId w:val="17"/>
        </w:numPr>
        <w:tabs>
          <w:tab w:pos="1444" w:val="left" w:leader="none"/>
          <w:tab w:pos="1445" w:val="left" w:leader="none"/>
        </w:tabs>
        <w:spacing w:line="240" w:lineRule="auto" w:before="93" w:after="0"/>
        <w:ind w:left="1444" w:right="0" w:hanging="1225"/>
        <w:jc w:val="left"/>
      </w:pPr>
      <w:bookmarkStart w:name="18.9.16 t (Tuple MDX Metadata)" w:id="740"/>
      <w:bookmarkEnd w:id="740"/>
      <w:r>
        <w:rPr>
          <w:b w:val="0"/>
        </w:rPr>
      </w:r>
      <w:bookmarkStart w:name="_bookmark245" w:id="741"/>
      <w:bookmarkEnd w:id="741"/>
      <w:r>
        <w:rPr>
          <w:b w:val="0"/>
        </w:rPr>
      </w:r>
      <w:bookmarkStart w:name="_bookmark245" w:id="742"/>
      <w:bookmarkEnd w:id="742"/>
      <w:r>
        <w:rPr>
          <w:color w:val="4F81BC"/>
        </w:rPr>
        <w:t>t</w:t>
      </w:r>
      <w:r>
        <w:rPr>
          <w:color w:val="4F81BC"/>
        </w:rPr>
        <w:t> (Tuple MDX Metadata)</w:t>
      </w:r>
    </w:p>
    <w:p>
      <w:pPr>
        <w:pStyle w:val="BodyText"/>
        <w:spacing w:line="278" w:lineRule="auto" w:before="122"/>
        <w:ind w:left="220" w:right="412"/>
      </w:pPr>
      <w:r>
        <w:rPr/>
        <w:t>This element represents an MDX tuple. A tuple is the intersection of two or more members of distinct dimensions in the cube. For instance, the three members (product, City, month) that are used to show the data point for how many products were sold.</w:t>
      </w:r>
    </w:p>
    <w:p>
      <w:pPr>
        <w:pStyle w:val="BodyText"/>
        <w:spacing w:line="276" w:lineRule="auto" w:before="194"/>
        <w:ind w:left="220" w:right="805"/>
      </w:pPr>
      <w:r>
        <w:rPr/>
        <w:t>The spreadsheet application should allow the values for the attributes of this element to be specified by the OLAP server.</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430" w:hRule="atLeast"/>
        </w:trPr>
        <w:tc>
          <w:tcPr>
            <w:tcW w:w="2062" w:type="dxa"/>
          </w:tcPr>
          <w:p>
            <w:pPr>
              <w:pStyle w:val="TableParagraph"/>
              <w:ind w:right="473"/>
              <w:rPr>
                <w:sz w:val="22"/>
              </w:rPr>
            </w:pPr>
            <w:r>
              <w:rPr>
                <w:rFonts w:ascii="Cambria"/>
                <w:sz w:val="22"/>
              </w:rPr>
              <w:t>b </w:t>
            </w:r>
            <w:r>
              <w:rPr>
                <w:sz w:val="22"/>
              </w:rPr>
              <w:t>(Server Formatting Bold Font)</w:t>
            </w:r>
          </w:p>
        </w:tc>
        <w:tc>
          <w:tcPr>
            <w:tcW w:w="8250" w:type="dxa"/>
          </w:tcPr>
          <w:p>
            <w:pPr>
              <w:pStyle w:val="TableParagraph"/>
              <w:rPr>
                <w:sz w:val="22"/>
              </w:rPr>
            </w:pPr>
            <w:r>
              <w:rPr>
                <w:sz w:val="22"/>
              </w:rPr>
              <w:t>A Boolean flag indicating whether the bold style is applied. True if bold shall be applied, false otherwise.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ind w:right="262"/>
              <w:rPr>
                <w:sz w:val="22"/>
              </w:rPr>
            </w:pPr>
            <w:r>
              <w:rPr>
                <w:rFonts w:ascii="Cambria"/>
                <w:sz w:val="22"/>
              </w:rPr>
              <w:t>bc </w:t>
            </w:r>
            <w:r>
              <w:rPr>
                <w:sz w:val="22"/>
              </w:rPr>
              <w:t>(Server Formatting Background Color)</w:t>
            </w:r>
          </w:p>
        </w:tc>
        <w:tc>
          <w:tcPr>
            <w:tcW w:w="8250" w:type="dxa"/>
          </w:tcPr>
          <w:p>
            <w:pPr>
              <w:pStyle w:val="TableParagraph"/>
              <w:ind w:right="617"/>
              <w:rPr>
                <w:sz w:val="22"/>
              </w:rPr>
            </w:pPr>
            <w:r>
              <w:rPr>
                <w:sz w:val="22"/>
              </w:rPr>
              <w:t>Specifies the background color in RGB values. It is in hex and is read in the form of 0x00RRGGBB.</w:t>
            </w:r>
          </w:p>
          <w:p>
            <w:pPr>
              <w:pStyle w:val="TableParagraph"/>
              <w:spacing w:before="0"/>
              <w:ind w:left="0"/>
              <w:rPr>
                <w:sz w:val="22"/>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161" w:hRule="atLeast"/>
        </w:trPr>
        <w:tc>
          <w:tcPr>
            <w:tcW w:w="2062" w:type="dxa"/>
          </w:tcPr>
          <w:p>
            <w:pPr>
              <w:pStyle w:val="TableParagraph"/>
              <w:ind w:right="388"/>
              <w:rPr>
                <w:sz w:val="22"/>
              </w:rPr>
            </w:pPr>
            <w:r>
              <w:rPr>
                <w:rFonts w:ascii="Cambria"/>
                <w:sz w:val="22"/>
              </w:rPr>
              <w:t>c </w:t>
            </w:r>
            <w:r>
              <w:rPr>
                <w:sz w:val="22"/>
              </w:rPr>
              <w:t>(Member Index Count)</w:t>
            </w:r>
          </w:p>
        </w:tc>
        <w:tc>
          <w:tcPr>
            <w:tcW w:w="8250" w:type="dxa"/>
          </w:tcPr>
          <w:p>
            <w:pPr>
              <w:pStyle w:val="TableParagraph"/>
              <w:rPr>
                <w:sz w:val="22"/>
              </w:rPr>
            </w:pPr>
            <w:r>
              <w:rPr>
                <w:sz w:val="22"/>
              </w:rPr>
              <w:t>The number of member expressions in the tuple.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216"/>
              <w:rPr>
                <w:sz w:val="22"/>
              </w:rPr>
            </w:pPr>
            <w:r>
              <w:rPr>
                <w:rFonts w:ascii="Cambria"/>
                <w:sz w:val="22"/>
              </w:rPr>
              <w:t>ct </w:t>
            </w:r>
            <w:r>
              <w:rPr>
                <w:sz w:val="22"/>
              </w:rPr>
              <w:t>(Server Formatting Culture Currency)</w:t>
            </w:r>
          </w:p>
        </w:tc>
        <w:tc>
          <w:tcPr>
            <w:tcW w:w="8250" w:type="dxa"/>
          </w:tcPr>
          <w:p>
            <w:pPr>
              <w:pStyle w:val="TableParagraph"/>
              <w:rPr>
                <w:sz w:val="22"/>
              </w:rPr>
            </w:pPr>
            <w:r>
              <w:rPr>
                <w:sz w:val="22"/>
              </w:rPr>
              <w:t>The culture tag to use for currency number format.</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ind w:right="277"/>
              <w:rPr>
                <w:sz w:val="22"/>
              </w:rPr>
            </w:pPr>
            <w:r>
              <w:rPr>
                <w:rFonts w:ascii="Cambria"/>
                <w:sz w:val="22"/>
              </w:rPr>
              <w:t>fc </w:t>
            </w:r>
            <w:r>
              <w:rPr>
                <w:sz w:val="22"/>
              </w:rPr>
              <w:t>(Server Formatting Foreground Color)</w:t>
            </w:r>
          </w:p>
        </w:tc>
        <w:tc>
          <w:tcPr>
            <w:tcW w:w="8250" w:type="dxa"/>
          </w:tcPr>
          <w:p>
            <w:pPr>
              <w:pStyle w:val="TableParagraph"/>
              <w:spacing w:line="237" w:lineRule="auto" w:before="42"/>
              <w:ind w:right="617"/>
              <w:rPr>
                <w:sz w:val="22"/>
              </w:rPr>
            </w:pPr>
            <w:r>
              <w:rPr>
                <w:sz w:val="22"/>
              </w:rPr>
              <w:t>Represents the foreground color in RGB. It is in hex and is read in the form of 0x00RRGGBB.</w:t>
            </w:r>
          </w:p>
          <w:p>
            <w:pPr>
              <w:pStyle w:val="TableParagraph"/>
              <w:spacing w:before="1"/>
              <w:ind w:left="0"/>
              <w:rPr>
                <w:sz w:val="22"/>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428" w:hRule="atLeast"/>
        </w:trPr>
        <w:tc>
          <w:tcPr>
            <w:tcW w:w="2062" w:type="dxa"/>
          </w:tcPr>
          <w:p>
            <w:pPr>
              <w:pStyle w:val="TableParagraph"/>
              <w:ind w:right="227"/>
              <w:rPr>
                <w:sz w:val="22"/>
              </w:rPr>
            </w:pPr>
            <w:r>
              <w:rPr>
                <w:rFonts w:ascii="Cambria"/>
                <w:sz w:val="22"/>
              </w:rPr>
              <w:t>fi </w:t>
            </w:r>
            <w:r>
              <w:rPr>
                <w:sz w:val="22"/>
              </w:rPr>
              <w:t>(Server Formatting Built-In Number Format Index)</w:t>
            </w:r>
          </w:p>
        </w:tc>
        <w:tc>
          <w:tcPr>
            <w:tcW w:w="8250" w:type="dxa"/>
          </w:tcPr>
          <w:p>
            <w:pPr>
              <w:pStyle w:val="TableParagraph"/>
              <w:rPr>
                <w:sz w:val="22"/>
              </w:rPr>
            </w:pPr>
            <w:r>
              <w:rPr>
                <w:sz w:val="22"/>
              </w:rPr>
              <w:t>Server formatting built-in number format index. This is an index into the spreadsheet application's built in number formats that is used to specify formatting.</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30" w:hRule="atLeast"/>
        </w:trPr>
        <w:tc>
          <w:tcPr>
            <w:tcW w:w="2062" w:type="dxa"/>
          </w:tcPr>
          <w:p>
            <w:pPr>
              <w:pStyle w:val="TableParagraph"/>
              <w:spacing w:line="237" w:lineRule="auto" w:before="44"/>
              <w:ind w:right="126"/>
              <w:rPr>
                <w:sz w:val="22"/>
              </w:rPr>
            </w:pPr>
            <w:r>
              <w:rPr>
                <w:rFonts w:ascii="Cambria"/>
                <w:sz w:val="22"/>
              </w:rPr>
              <w:t>i </w:t>
            </w:r>
            <w:r>
              <w:rPr>
                <w:sz w:val="22"/>
              </w:rPr>
              <w:t>(Server Formatting Italic Font)</w:t>
            </w:r>
          </w:p>
        </w:tc>
        <w:tc>
          <w:tcPr>
            <w:tcW w:w="8250" w:type="dxa"/>
          </w:tcPr>
          <w:p>
            <w:pPr>
              <w:pStyle w:val="TableParagraph"/>
              <w:spacing w:line="237" w:lineRule="auto" w:before="44"/>
              <w:ind w:right="617"/>
              <w:rPr>
                <w:sz w:val="22"/>
              </w:rPr>
            </w:pPr>
            <w:r>
              <w:rPr>
                <w:sz w:val="22"/>
              </w:rPr>
              <w:t>A Boolean flag indicating that the italic formatting shall be applied. True if italic formatting is applied, false otherwise.</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ind w:right="354"/>
              <w:rPr>
                <w:sz w:val="22"/>
              </w:rPr>
            </w:pPr>
            <w:r>
              <w:rPr>
                <w:rFonts w:ascii="Cambria"/>
                <w:sz w:val="22"/>
              </w:rPr>
              <w:t>si </w:t>
            </w:r>
            <w:r>
              <w:rPr>
                <w:sz w:val="22"/>
              </w:rPr>
              <w:t>(Server Formatting String</w:t>
            </w:r>
          </w:p>
        </w:tc>
        <w:tc>
          <w:tcPr>
            <w:tcW w:w="8250" w:type="dxa"/>
          </w:tcPr>
          <w:p>
            <w:pPr>
              <w:pStyle w:val="TableParagraph"/>
              <w:ind w:right="211"/>
              <w:rPr>
                <w:sz w:val="22"/>
              </w:rPr>
            </w:pPr>
            <w:r>
              <w:rPr>
                <w:sz w:val="22"/>
              </w:rPr>
              <w:t>Server formatting string index in the metadata string store, used to index to a string that contains information on how to format the number.</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Index)</w:t>
            </w: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ind w:right="166"/>
              <w:rPr>
                <w:sz w:val="22"/>
              </w:rPr>
            </w:pPr>
            <w:r>
              <w:rPr>
                <w:rFonts w:ascii="Cambria"/>
                <w:sz w:val="22"/>
              </w:rPr>
              <w:t>st </w:t>
            </w:r>
            <w:r>
              <w:rPr>
                <w:sz w:val="22"/>
              </w:rPr>
              <w:t>(Server Formatting Strikethrough Font)</w:t>
            </w:r>
          </w:p>
        </w:tc>
        <w:tc>
          <w:tcPr>
            <w:tcW w:w="8250" w:type="dxa"/>
          </w:tcPr>
          <w:p>
            <w:pPr>
              <w:pStyle w:val="TableParagraph"/>
              <w:spacing w:line="237" w:lineRule="auto" w:before="42"/>
              <w:ind w:right="617"/>
              <w:rPr>
                <w:sz w:val="22"/>
              </w:rPr>
            </w:pPr>
            <w:r>
              <w:rPr>
                <w:sz w:val="22"/>
              </w:rPr>
              <w:t>A Boolean flag indicating whether the strikethrough font style is applied. True if strikethrough shall be applied, false otherwise.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509"/>
              <w:rPr>
                <w:sz w:val="22"/>
              </w:rPr>
            </w:pPr>
            <w:r>
              <w:rPr>
                <w:rFonts w:ascii="Cambria"/>
                <w:sz w:val="22"/>
              </w:rPr>
              <w:t>u </w:t>
            </w:r>
            <w:r>
              <w:rPr>
                <w:sz w:val="22"/>
              </w:rPr>
              <w:t>(Server Formatting Underline Font)</w:t>
            </w:r>
          </w:p>
        </w:tc>
        <w:tc>
          <w:tcPr>
            <w:tcW w:w="8250" w:type="dxa"/>
          </w:tcPr>
          <w:p>
            <w:pPr>
              <w:pStyle w:val="TableParagraph"/>
              <w:ind w:right="106"/>
              <w:rPr>
                <w:sz w:val="22"/>
              </w:rPr>
            </w:pPr>
            <w:r>
              <w:rPr>
                <w:sz w:val="22"/>
              </w:rPr>
              <w:t>A Boolean flag indicating whether the underline font style is applied. True if underline shall be applied, false otherwise.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6"/>
        <w:ind w:left="220" w:right="588"/>
      </w:pPr>
      <w:r>
        <w:rPr/>
        <w:t>[</w:t>
      </w:r>
      <w:r>
        <w:rPr>
          <w:i/>
        </w:rPr>
        <w:t>Note</w:t>
      </w:r>
      <w:r>
        <w:rPr/>
        <w:t>: The W3C XML Schema definition of this element’s content model (</w:t>
      </w:r>
      <w:r>
        <w:rPr>
          <w:color w:val="5F5F5F"/>
          <w:u w:val="single" w:color="5F5F5F"/>
        </w:rPr>
        <w:t>CT_MdxTuple</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9.17 valueMetadata (Value Metadata)" w:id="743"/>
      <w:bookmarkEnd w:id="743"/>
      <w:r>
        <w:rPr>
          <w:b w:val="0"/>
        </w:rPr>
      </w:r>
      <w:bookmarkStart w:name="_bookmark246" w:id="744"/>
      <w:bookmarkEnd w:id="744"/>
      <w:r>
        <w:rPr>
          <w:b w:val="0"/>
        </w:rPr>
      </w:r>
      <w:bookmarkStart w:name="_bookmark246" w:id="745"/>
      <w:bookmarkEnd w:id="745"/>
      <w:r>
        <w:rPr>
          <w:color w:val="4F81BC"/>
        </w:rPr>
        <w:t>va</w:t>
      </w:r>
      <w:r>
        <w:rPr>
          <w:color w:val="4F81BC"/>
        </w:rPr>
        <w:t>lueMetadata (Value</w:t>
      </w:r>
      <w:r>
        <w:rPr>
          <w:color w:val="4F81BC"/>
          <w:spacing w:val="2"/>
        </w:rPr>
        <w:t> </w:t>
      </w:r>
      <w:r>
        <w:rPr>
          <w:color w:val="4F81BC"/>
        </w:rPr>
        <w:t>Metadata)</w:t>
      </w:r>
    </w:p>
    <w:p>
      <w:pPr>
        <w:pStyle w:val="BodyText"/>
        <w:spacing w:line="276" w:lineRule="auto" w:before="124"/>
        <w:ind w:left="220" w:right="503"/>
      </w:pPr>
      <w:r>
        <w:rPr/>
        <w:t>This element represents the value metadata information for the spreadsheet. It is essentially a collection of block elements that each define the value metadata for a particular cell. Cells in the workbook index into this collection, and each block element in this collection in turn references the </w:t>
      </w:r>
      <w:r>
        <w:rPr>
          <w:rFonts w:ascii="Consolas"/>
        </w:rPr>
        <w:t>mdxMetadata</w:t>
      </w:r>
      <w:r>
        <w:rPr>
          <w:rFonts w:ascii="Consolas"/>
          <w:spacing w:val="-90"/>
        </w:rPr>
        <w:t> </w:t>
      </w:r>
      <w:r>
        <w:rPr/>
        <w:t>records.</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0"/>
              <w:jc w:val="center"/>
              <w:rPr>
                <w:b/>
                <w:sz w:val="22"/>
              </w:rPr>
            </w:pPr>
            <w:r>
              <w:rPr>
                <w:b/>
                <w:sz w:val="22"/>
              </w:rPr>
              <w:t>Description</w:t>
            </w:r>
          </w:p>
        </w:tc>
      </w:tr>
      <w:tr>
        <w:trPr>
          <w:trHeight w:val="1161" w:hRule="atLeast"/>
        </w:trPr>
        <w:tc>
          <w:tcPr>
            <w:tcW w:w="2062" w:type="dxa"/>
          </w:tcPr>
          <w:p>
            <w:pPr>
              <w:pStyle w:val="TableParagraph"/>
              <w:ind w:right="392"/>
              <w:rPr>
                <w:sz w:val="22"/>
              </w:rPr>
            </w:pPr>
            <w:r>
              <w:rPr>
                <w:rFonts w:ascii="Cambria"/>
                <w:sz w:val="22"/>
              </w:rPr>
              <w:t>count </w:t>
            </w:r>
            <w:r>
              <w:rPr>
                <w:sz w:val="22"/>
              </w:rPr>
              <w:t>(Metadata Block Count)</w:t>
            </w:r>
          </w:p>
        </w:tc>
        <w:tc>
          <w:tcPr>
            <w:tcW w:w="8250" w:type="dxa"/>
          </w:tcPr>
          <w:p>
            <w:pPr>
              <w:pStyle w:val="TableParagraph"/>
              <w:rPr>
                <w:sz w:val="22"/>
              </w:rPr>
            </w:pPr>
            <w:r>
              <w:rPr>
                <w:sz w:val="22"/>
              </w:rPr>
              <w:t>Number of blocks of metadata records.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CT_MetadataBlocks</w:t>
      </w:r>
      <w:r>
        <w:rPr/>
        <w:t>) is located in §A.2.</w:t>
      </w:r>
    </w:p>
    <w:p>
      <w:pPr>
        <w:spacing w:before="41"/>
        <w:ind w:left="220" w:right="0" w:firstLine="0"/>
        <w:jc w:val="left"/>
        <w:rPr>
          <w:sz w:val="22"/>
        </w:rPr>
      </w:pPr>
      <w:r>
        <w:rPr>
          <w:i/>
          <w:sz w:val="22"/>
        </w:rPr>
        <w:t>end note</w:t>
      </w:r>
      <w:r>
        <w:rPr>
          <w:sz w:val="22"/>
        </w:rPr>
        <w:t>]</w:t>
      </w:r>
    </w:p>
    <w:p>
      <w:pPr>
        <w:pStyle w:val="BodyText"/>
        <w:spacing w:before="7"/>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10 Pivot Tables" w:id="746"/>
      <w:bookmarkEnd w:id="746"/>
      <w:r>
        <w:rPr>
          <w:b w:val="0"/>
        </w:rPr>
      </w:r>
      <w:bookmarkStart w:name="_bookmark247" w:id="747"/>
      <w:bookmarkEnd w:id="747"/>
      <w:r>
        <w:rPr>
          <w:b w:val="0"/>
        </w:rPr>
      </w:r>
      <w:bookmarkStart w:name="_bookmark247" w:id="748"/>
      <w:bookmarkEnd w:id="748"/>
      <w:r>
        <w:rPr>
          <w:color w:val="4F81BC"/>
        </w:rPr>
        <w:t>Piv</w:t>
      </w:r>
      <w:r>
        <w:rPr>
          <w:color w:val="4F81BC"/>
        </w:rPr>
        <w:t>ot Tables</w:t>
      </w:r>
    </w:p>
    <w:p>
      <w:pPr>
        <w:pStyle w:val="BodyText"/>
        <w:spacing w:line="276" w:lineRule="auto" w:before="129"/>
        <w:ind w:left="220" w:right="398"/>
      </w:pPr>
      <w:r>
        <w:rPr/>
        <w:t>PivotTables display aggregated views of data easily and in an understandable layout. Hundreds or thousands of pieces of underlying information can be aggregated on row and column axes, revealing the meanings behind the data. PivotTable reports are used to organize and summarize your data in different ways. Creating a PivotTable report is about moving pieces of information around to see how they fit together. In a few gestures the pivot rows and columns can be moved into different arrangements and layouts.</w:t>
      </w:r>
    </w:p>
    <w:p>
      <w:pPr>
        <w:pStyle w:val="BodyText"/>
        <w:spacing w:before="6"/>
        <w:rPr>
          <w:sz w:val="16"/>
        </w:rPr>
      </w:pPr>
    </w:p>
    <w:p>
      <w:pPr>
        <w:pStyle w:val="BodyText"/>
        <w:spacing w:line="276" w:lineRule="auto"/>
        <w:ind w:left="220" w:right="417"/>
      </w:pPr>
      <w:r>
        <w:rPr/>
        <w:t>A PivotTable object has a row axis area, a column axis area, a data area, and a page/report filter area. Additionally, PivotTables have a corresponding field list pane, or similar user interface, that displays all the fields</w:t>
      </w:r>
    </w:p>
    <w:p>
      <w:pPr>
        <w:spacing w:after="0" w:line="276" w:lineRule="auto"/>
        <w:sectPr>
          <w:pgSz w:w="12240" w:h="15840"/>
          <w:pgMar w:header="763" w:footer="746" w:top="1340" w:bottom="940" w:left="860" w:right="700"/>
        </w:sectPr>
      </w:pPr>
    </w:p>
    <w:p>
      <w:pPr>
        <w:pStyle w:val="BodyText"/>
        <w:spacing w:line="278" w:lineRule="auto" w:before="90"/>
        <w:ind w:left="220" w:right="716"/>
      </w:pPr>
      <w:r>
        <w:rPr/>
        <w:t>of data that can be placed on one of the PivotTable areas. In SpreadsheetML, each PivotTable area maps to a collection of fields in the PivotTableDefinition that correspond to each area.</w:t>
      </w:r>
    </w:p>
    <w:p>
      <w:pPr>
        <w:pStyle w:val="BodyText"/>
        <w:spacing w:before="3"/>
        <w:rPr>
          <w:sz w:val="16"/>
        </w:rPr>
      </w:pPr>
    </w:p>
    <w:p>
      <w:pPr>
        <w:pStyle w:val="BodyText"/>
        <w:ind w:left="220"/>
      </w:pPr>
      <w:r>
        <w:rPr/>
        <w:t>The following image shows the layout for the PivotTable areas.</w:t>
      </w:r>
    </w:p>
    <w:p>
      <w:pPr>
        <w:pStyle w:val="BodyText"/>
        <w:spacing w:before="6"/>
        <w:rPr>
          <w:sz w:val="16"/>
        </w:rPr>
      </w:pPr>
      <w:r>
        <w:rPr/>
        <w:drawing>
          <wp:anchor distT="0" distB="0" distL="0" distR="0" allowOverlap="1" layoutInCell="1" locked="0" behindDoc="0" simplePos="0" relativeHeight="42">
            <wp:simplePos x="0" y="0"/>
            <wp:positionH relativeFrom="page">
              <wp:posOffset>685800</wp:posOffset>
            </wp:positionH>
            <wp:positionV relativeFrom="paragraph">
              <wp:posOffset>152953</wp:posOffset>
            </wp:positionV>
            <wp:extent cx="4268084" cy="3676650"/>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100" cstate="print"/>
                    <a:stretch>
                      <a:fillRect/>
                    </a:stretch>
                  </pic:blipFill>
                  <pic:spPr>
                    <a:xfrm>
                      <a:off x="0" y="0"/>
                      <a:ext cx="4268084" cy="3676650"/>
                    </a:xfrm>
                    <a:prstGeom prst="rect">
                      <a:avLst/>
                    </a:prstGeom>
                  </pic:spPr>
                </pic:pic>
              </a:graphicData>
            </a:graphic>
          </wp:anchor>
        </w:drawing>
      </w:r>
    </w:p>
    <w:p>
      <w:pPr>
        <w:pStyle w:val="BodyText"/>
        <w:spacing w:before="3"/>
        <w:rPr>
          <w:sz w:val="17"/>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220"/>
      </w:pPr>
      <w:r>
        <w:rPr/>
        <w:t>The following image shows a table of data in a worksheet.</w:t>
      </w:r>
    </w:p>
    <w:p>
      <w:pPr>
        <w:spacing w:after="0"/>
        <w:sectPr>
          <w:pgSz w:w="12240" w:h="15840"/>
          <w:pgMar w:header="761" w:footer="746" w:top="1340" w:bottom="940" w:left="860" w:right="700"/>
        </w:sectPr>
      </w:pPr>
    </w:p>
    <w:p>
      <w:pPr>
        <w:pStyle w:val="BodyText"/>
        <w:spacing w:before="4"/>
        <w:rPr>
          <w:sz w:val="12"/>
        </w:rPr>
      </w:pPr>
    </w:p>
    <w:p>
      <w:pPr>
        <w:pStyle w:val="BodyText"/>
        <w:ind w:left="220"/>
        <w:rPr>
          <w:sz w:val="20"/>
        </w:rPr>
      </w:pPr>
      <w:r>
        <w:rPr>
          <w:sz w:val="20"/>
        </w:rPr>
        <w:drawing>
          <wp:inline distT="0" distB="0" distL="0" distR="0">
            <wp:extent cx="6353105" cy="3767328"/>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101" cstate="print"/>
                    <a:stretch>
                      <a:fillRect/>
                    </a:stretch>
                  </pic:blipFill>
                  <pic:spPr>
                    <a:xfrm>
                      <a:off x="0" y="0"/>
                      <a:ext cx="6353105" cy="3767328"/>
                    </a:xfrm>
                    <a:prstGeom prst="rect">
                      <a:avLst/>
                    </a:prstGeom>
                  </pic:spPr>
                </pic:pic>
              </a:graphicData>
            </a:graphic>
          </wp:inline>
        </w:drawing>
      </w:r>
      <w:r>
        <w:rPr>
          <w:sz w:val="20"/>
        </w:rPr>
      </w:r>
    </w:p>
    <w:p>
      <w:pPr>
        <w:pStyle w:val="BodyText"/>
        <w:rPr>
          <w:sz w:val="18"/>
        </w:rPr>
      </w:pPr>
    </w:p>
    <w:p>
      <w:pPr>
        <w:pStyle w:val="BodyText"/>
        <w:spacing w:before="56"/>
        <w:ind w:left="220"/>
      </w:pPr>
      <w:r>
        <w:rPr/>
        <w:t>The following image shows a PivotTable summary of the worksheet table data.</w:t>
      </w:r>
    </w:p>
    <w:p>
      <w:pPr>
        <w:pStyle w:val="BodyText"/>
        <w:spacing w:before="6"/>
        <w:rPr>
          <w:sz w:val="16"/>
        </w:rPr>
      </w:pPr>
      <w:r>
        <w:rPr/>
        <w:drawing>
          <wp:anchor distT="0" distB="0" distL="0" distR="0" allowOverlap="1" layoutInCell="1" locked="0" behindDoc="0" simplePos="0" relativeHeight="43">
            <wp:simplePos x="0" y="0"/>
            <wp:positionH relativeFrom="page">
              <wp:posOffset>685800</wp:posOffset>
            </wp:positionH>
            <wp:positionV relativeFrom="paragraph">
              <wp:posOffset>152602</wp:posOffset>
            </wp:positionV>
            <wp:extent cx="6386169" cy="2660904"/>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102" cstate="print"/>
                    <a:stretch>
                      <a:fillRect/>
                    </a:stretch>
                  </pic:blipFill>
                  <pic:spPr>
                    <a:xfrm>
                      <a:off x="0" y="0"/>
                      <a:ext cx="6386169" cy="2660904"/>
                    </a:xfrm>
                    <a:prstGeom prst="rect">
                      <a:avLst/>
                    </a:prstGeom>
                  </pic:spPr>
                </pic:pic>
              </a:graphicData>
            </a:graphic>
          </wp:anchor>
        </w:drawing>
      </w:r>
    </w:p>
    <w:p>
      <w:pPr>
        <w:pStyle w:val="BodyText"/>
        <w:spacing w:before="12"/>
        <w:rPr>
          <w:sz w:val="17"/>
        </w:rPr>
      </w:pPr>
    </w:p>
    <w:p>
      <w:pPr>
        <w:pStyle w:val="BodyText"/>
        <w:spacing w:line="276" w:lineRule="auto"/>
        <w:ind w:left="220" w:right="363"/>
      </w:pPr>
      <w:r>
        <w:rPr/>
        <w:t>The filter area consists of the "Country", "State", and "City" fields. The row area consists of the "Product Category" and "Product Subcategory" fields. "Bikes" belongs to the "Product Category" field and both "Mountain Bikes" and "Road Bikes" belong to the "Product Subcategory" field. The column consists of the "Year" ("2001"), "Quarter" ("3"), and "Month" ("July", "August", and "September") fields.</w:t>
      </w:r>
    </w:p>
    <w:p>
      <w:pPr>
        <w:pStyle w:val="BodyText"/>
        <w:spacing w:before="6"/>
        <w:rPr>
          <w:sz w:val="16"/>
        </w:rPr>
      </w:pPr>
    </w:p>
    <w:p>
      <w:pPr>
        <w:pStyle w:val="BodyText"/>
        <w:spacing w:before="1"/>
        <w:ind w:left="220"/>
      </w:pPr>
      <w:r>
        <w:rPr/>
        <w:t>The following image shows the field list for the PivotTable in the previous image.</w:t>
      </w:r>
    </w:p>
    <w:p>
      <w:pPr>
        <w:spacing w:after="0"/>
        <w:sectPr>
          <w:pgSz w:w="12240" w:h="15840"/>
          <w:pgMar w:header="763" w:footer="746" w:top="1340" w:bottom="940" w:left="860" w:right="700"/>
        </w:sectPr>
      </w:pPr>
    </w:p>
    <w:p>
      <w:pPr>
        <w:pStyle w:val="BodyText"/>
        <w:spacing w:before="8"/>
        <w:rPr>
          <w:sz w:val="7"/>
        </w:rPr>
      </w:pPr>
    </w:p>
    <w:p>
      <w:pPr>
        <w:pStyle w:val="BodyText"/>
        <w:ind w:left="220"/>
        <w:rPr>
          <w:sz w:val="20"/>
        </w:rPr>
      </w:pPr>
      <w:r>
        <w:rPr>
          <w:sz w:val="20"/>
        </w:rPr>
        <w:drawing>
          <wp:inline distT="0" distB="0" distL="0" distR="0">
            <wp:extent cx="2346088" cy="6153150"/>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103" cstate="print"/>
                    <a:stretch>
                      <a:fillRect/>
                    </a:stretch>
                  </pic:blipFill>
                  <pic:spPr>
                    <a:xfrm>
                      <a:off x="0" y="0"/>
                      <a:ext cx="2346088" cy="6153150"/>
                    </a:xfrm>
                    <a:prstGeom prst="rect">
                      <a:avLst/>
                    </a:prstGeom>
                  </pic:spPr>
                </pic:pic>
              </a:graphicData>
            </a:graphic>
          </wp:inline>
        </w:drawing>
      </w:r>
      <w:r>
        <w:rPr>
          <w:sz w:val="20"/>
        </w:rPr>
      </w:r>
    </w:p>
    <w:p>
      <w:pPr>
        <w:pStyle w:val="BodyText"/>
        <w:spacing w:before="5"/>
        <w:rPr>
          <w:sz w:val="15"/>
        </w:rPr>
      </w:pPr>
    </w:p>
    <w:p>
      <w:pPr>
        <w:spacing w:before="56"/>
        <w:ind w:left="220" w:right="0" w:firstLine="0"/>
        <w:jc w:val="left"/>
        <w:rPr>
          <w:i/>
          <w:sz w:val="22"/>
        </w:rPr>
      </w:pPr>
      <w:r>
        <w:rPr>
          <w:i/>
          <w:sz w:val="22"/>
        </w:rPr>
        <w:t>File Structure</w:t>
      </w:r>
    </w:p>
    <w:p>
      <w:pPr>
        <w:spacing w:after="0"/>
        <w:jc w:val="left"/>
        <w:rPr>
          <w:sz w:val="22"/>
        </w:rPr>
        <w:sectPr>
          <w:pgSz w:w="12240" w:h="15840"/>
          <w:pgMar w:header="761" w:footer="746" w:top="1340" w:bottom="940" w:left="860" w:right="700"/>
        </w:sectPr>
      </w:pPr>
    </w:p>
    <w:p>
      <w:pPr>
        <w:pStyle w:val="BodyText"/>
        <w:rPr>
          <w:i/>
          <w:sz w:val="20"/>
        </w:rPr>
      </w:pPr>
    </w:p>
    <w:p>
      <w:pPr>
        <w:pStyle w:val="BodyText"/>
        <w:rPr>
          <w:i/>
          <w:sz w:val="12"/>
        </w:rPr>
      </w:pPr>
    </w:p>
    <w:p>
      <w:pPr>
        <w:pStyle w:val="BodyText"/>
        <w:ind w:left="535"/>
        <w:rPr>
          <w:sz w:val="20"/>
        </w:rPr>
      </w:pPr>
      <w:r>
        <w:rPr>
          <w:sz w:val="20"/>
        </w:rPr>
        <w:drawing>
          <wp:inline distT="0" distB="0" distL="0" distR="0">
            <wp:extent cx="4648901" cy="2162175"/>
            <wp:effectExtent l="0" t="0" r="0" b="0"/>
            <wp:docPr id="57" name="image29.png"/>
            <wp:cNvGraphicFramePr>
              <a:graphicFrameLocks noChangeAspect="1"/>
            </wp:cNvGraphicFramePr>
            <a:graphic>
              <a:graphicData uri="http://schemas.openxmlformats.org/drawingml/2006/picture">
                <pic:pic>
                  <pic:nvPicPr>
                    <pic:cNvPr id="58" name="image29.png"/>
                    <pic:cNvPicPr/>
                  </pic:nvPicPr>
                  <pic:blipFill>
                    <a:blip r:embed="rId104" cstate="print"/>
                    <a:stretch>
                      <a:fillRect/>
                    </a:stretch>
                  </pic:blipFill>
                  <pic:spPr>
                    <a:xfrm>
                      <a:off x="0" y="0"/>
                      <a:ext cx="4648901" cy="2162175"/>
                    </a:xfrm>
                    <a:prstGeom prst="rect">
                      <a:avLst/>
                    </a:prstGeom>
                  </pic:spPr>
                </pic:pic>
              </a:graphicData>
            </a:graphic>
          </wp:inline>
        </w:drawing>
      </w:r>
      <w:r>
        <w:rPr>
          <w:sz w:val="20"/>
        </w:rPr>
      </w:r>
    </w:p>
    <w:p>
      <w:pPr>
        <w:pStyle w:val="BodyText"/>
        <w:rPr>
          <w:i/>
          <w:sz w:val="20"/>
        </w:rPr>
      </w:pPr>
    </w:p>
    <w:p>
      <w:pPr>
        <w:spacing w:line="276" w:lineRule="auto" w:before="188"/>
        <w:ind w:left="220" w:right="404" w:firstLine="0"/>
        <w:jc w:val="left"/>
        <w:rPr>
          <w:sz w:val="22"/>
        </w:rPr>
      </w:pPr>
      <w:r>
        <w:rPr>
          <w:sz w:val="22"/>
        </w:rPr>
        <w:t>The workbook points to (and owns the longevity of) the </w:t>
      </w:r>
      <w:r>
        <w:rPr>
          <w:i/>
          <w:sz w:val="22"/>
        </w:rPr>
        <w:t>pivotCacheDefinition </w:t>
      </w:r>
      <w:r>
        <w:rPr>
          <w:sz w:val="22"/>
        </w:rPr>
        <w:t>part, which in turn points to and owns the </w:t>
      </w:r>
      <w:r>
        <w:rPr>
          <w:i/>
          <w:sz w:val="22"/>
        </w:rPr>
        <w:t>pivotCacheRecords </w:t>
      </w:r>
      <w:r>
        <w:rPr>
          <w:sz w:val="22"/>
        </w:rPr>
        <w:t>part. The workbook also points to and owns the sheet part, which in turn points to and owns a </w:t>
      </w:r>
      <w:r>
        <w:rPr>
          <w:i/>
          <w:sz w:val="22"/>
        </w:rPr>
        <w:t>pivotTable </w:t>
      </w:r>
      <w:r>
        <w:rPr>
          <w:sz w:val="22"/>
        </w:rPr>
        <w:t>part definition, when a PivotTable is on the sheet. There can be multiple PivotTables on a sheet. The </w:t>
      </w:r>
      <w:r>
        <w:rPr>
          <w:i/>
          <w:sz w:val="22"/>
        </w:rPr>
        <w:t>pivotTable </w:t>
      </w:r>
      <w:r>
        <w:rPr>
          <w:sz w:val="22"/>
        </w:rPr>
        <w:t>part points to the appropriate </w:t>
      </w:r>
      <w:r>
        <w:rPr>
          <w:i/>
          <w:sz w:val="22"/>
        </w:rPr>
        <w:t>pivotCacheDefinition </w:t>
      </w:r>
      <w:r>
        <w:rPr>
          <w:sz w:val="22"/>
        </w:rPr>
        <w:t>which it is using. Since multiple PivotTables can use the same cache, the </w:t>
      </w:r>
      <w:r>
        <w:rPr>
          <w:i/>
          <w:sz w:val="22"/>
        </w:rPr>
        <w:t>pivotTable </w:t>
      </w:r>
      <w:r>
        <w:rPr>
          <w:sz w:val="22"/>
        </w:rPr>
        <w:t>part does not own the longevity of the </w:t>
      </w:r>
      <w:r>
        <w:rPr>
          <w:i/>
          <w:sz w:val="22"/>
        </w:rPr>
        <w:t>pivotCacheDefinition</w:t>
      </w:r>
      <w:r>
        <w:rPr>
          <w:sz w:val="22"/>
        </w:rPr>
        <w:t>.</w:t>
      </w:r>
    </w:p>
    <w:p>
      <w:pPr>
        <w:pStyle w:val="BodyText"/>
        <w:spacing w:before="6"/>
        <w:rPr>
          <w:sz w:val="16"/>
        </w:rPr>
      </w:pPr>
    </w:p>
    <w:p>
      <w:pPr>
        <w:pStyle w:val="BodyText"/>
        <w:spacing w:line="276" w:lineRule="auto"/>
        <w:ind w:left="220" w:right="407"/>
      </w:pPr>
      <w:r>
        <w:rPr/>
        <w:t>The </w:t>
      </w:r>
      <w:r>
        <w:rPr>
          <w:i/>
        </w:rPr>
        <w:t>pivotTable </w:t>
      </w:r>
      <w:r>
        <w:rPr/>
        <w:t>part describes the particulars of the layout of the PivotTable on the sheet. It indicates what fields are on the row axis, the column axis, report filter, and values areas of the PivotTable. It also indicates formatting information about the PivotTable. If conditional formatting has been applied to the PivotTable, that is also expressed in the </w:t>
      </w:r>
      <w:r>
        <w:rPr>
          <w:i/>
        </w:rPr>
        <w:t>pivotTable </w:t>
      </w:r>
      <w:r>
        <w:rPr/>
        <w:t>part.</w:t>
      </w:r>
    </w:p>
    <w:p>
      <w:pPr>
        <w:pStyle w:val="BodyText"/>
        <w:spacing w:before="7"/>
        <w:rPr>
          <w:sz w:val="16"/>
        </w:rPr>
      </w:pPr>
    </w:p>
    <w:p>
      <w:pPr>
        <w:spacing w:before="0"/>
        <w:ind w:left="220" w:right="0" w:firstLine="0"/>
        <w:jc w:val="left"/>
        <w:rPr>
          <w:i/>
          <w:sz w:val="22"/>
        </w:rPr>
      </w:pPr>
      <w:r>
        <w:rPr>
          <w:i/>
          <w:sz w:val="22"/>
        </w:rPr>
        <w:t>Outline of XML for pivotTableDefinition</w:t>
      </w:r>
    </w:p>
    <w:p>
      <w:pPr>
        <w:pStyle w:val="BodyText"/>
        <w:spacing w:before="8"/>
        <w:rPr>
          <w:i/>
          <w:sz w:val="19"/>
        </w:rPr>
      </w:pPr>
    </w:p>
    <w:p>
      <w:pPr>
        <w:pStyle w:val="BodyText"/>
        <w:ind w:left="508"/>
        <w:rPr>
          <w:rFonts w:ascii="Consolas"/>
        </w:rPr>
      </w:pPr>
      <w:r>
        <w:rPr>
          <w:rFonts w:ascii="Consolas"/>
        </w:rPr>
        <w:t>&lt;pivotTableDefinition&gt;</w:t>
      </w:r>
    </w:p>
    <w:p>
      <w:pPr>
        <w:pStyle w:val="BodyText"/>
        <w:spacing w:before="38"/>
        <w:ind w:left="750"/>
        <w:rPr>
          <w:rFonts w:ascii="Consolas"/>
        </w:rPr>
      </w:pPr>
      <w:r>
        <w:rPr>
          <w:rFonts w:ascii="Consolas"/>
        </w:rPr>
        <w:t>&lt;location/&gt;</w:t>
      </w:r>
    </w:p>
    <w:p>
      <w:pPr>
        <w:pStyle w:val="BodyText"/>
        <w:spacing w:before="40"/>
        <w:ind w:left="750"/>
        <w:rPr>
          <w:rFonts w:ascii="Consolas"/>
        </w:rPr>
      </w:pPr>
      <w:r>
        <w:rPr>
          <w:rFonts w:ascii="Consolas"/>
        </w:rPr>
        <w:t>&lt;pivotFields/&gt;</w:t>
      </w:r>
    </w:p>
    <w:p>
      <w:pPr>
        <w:pStyle w:val="BodyText"/>
        <w:spacing w:before="38"/>
        <w:ind w:left="750"/>
        <w:rPr>
          <w:rFonts w:ascii="Consolas"/>
        </w:rPr>
      </w:pPr>
      <w:r>
        <w:rPr>
          <w:rFonts w:ascii="Consolas"/>
        </w:rPr>
        <w:t>&lt;rowFields/&gt;</w:t>
      </w:r>
    </w:p>
    <w:p>
      <w:pPr>
        <w:pStyle w:val="BodyText"/>
        <w:spacing w:before="40"/>
        <w:ind w:left="750"/>
        <w:rPr>
          <w:rFonts w:ascii="Consolas"/>
        </w:rPr>
      </w:pPr>
      <w:r>
        <w:rPr>
          <w:rFonts w:ascii="Consolas"/>
        </w:rPr>
        <w:t>&lt;rowItems/&gt;</w:t>
      </w:r>
    </w:p>
    <w:p>
      <w:pPr>
        <w:pStyle w:val="BodyText"/>
        <w:spacing w:before="37"/>
        <w:ind w:left="750"/>
        <w:rPr>
          <w:rFonts w:ascii="Consolas"/>
        </w:rPr>
      </w:pPr>
      <w:r>
        <w:rPr>
          <w:rFonts w:ascii="Consolas"/>
        </w:rPr>
        <w:t>&lt;colFields/&gt;</w:t>
      </w:r>
    </w:p>
    <w:p>
      <w:pPr>
        <w:pStyle w:val="BodyText"/>
        <w:spacing w:before="38"/>
        <w:ind w:left="750"/>
        <w:rPr>
          <w:rFonts w:ascii="Consolas"/>
        </w:rPr>
      </w:pPr>
      <w:r>
        <w:rPr>
          <w:rFonts w:ascii="Consolas"/>
        </w:rPr>
        <w:t>&lt;colItems/&gt;</w:t>
      </w:r>
    </w:p>
    <w:p>
      <w:pPr>
        <w:pStyle w:val="BodyText"/>
        <w:spacing w:before="40"/>
        <w:ind w:left="750"/>
        <w:rPr>
          <w:rFonts w:ascii="Consolas"/>
        </w:rPr>
      </w:pPr>
      <w:r>
        <w:rPr>
          <w:rFonts w:ascii="Consolas"/>
        </w:rPr>
        <w:t>&lt;pageFields/&gt;</w:t>
      </w:r>
    </w:p>
    <w:p>
      <w:pPr>
        <w:pStyle w:val="BodyText"/>
        <w:spacing w:before="37"/>
        <w:ind w:left="750"/>
        <w:rPr>
          <w:rFonts w:ascii="Consolas"/>
        </w:rPr>
      </w:pPr>
      <w:r>
        <w:rPr>
          <w:rFonts w:ascii="Consolas"/>
        </w:rPr>
        <w:t>&lt;dataFields/&gt;</w:t>
      </w:r>
    </w:p>
    <w:p>
      <w:pPr>
        <w:pStyle w:val="BodyText"/>
        <w:spacing w:before="40"/>
        <w:ind w:left="750"/>
        <w:rPr>
          <w:rFonts w:ascii="Consolas"/>
        </w:rPr>
      </w:pPr>
      <w:r>
        <w:rPr>
          <w:rFonts w:ascii="Consolas"/>
        </w:rPr>
        <w:t>&lt;conditionalFormats/&gt;</w:t>
      </w:r>
    </w:p>
    <w:p>
      <w:pPr>
        <w:pStyle w:val="BodyText"/>
        <w:spacing w:before="39"/>
        <w:ind w:left="750"/>
        <w:rPr>
          <w:rFonts w:ascii="Consolas"/>
        </w:rPr>
      </w:pPr>
      <w:r>
        <w:rPr>
          <w:rFonts w:ascii="Consolas"/>
        </w:rPr>
        <w:t>&lt;pivotTableStyleInfo/&gt;</w:t>
      </w:r>
    </w:p>
    <w:p>
      <w:pPr>
        <w:pStyle w:val="BodyText"/>
        <w:spacing w:before="40"/>
        <w:ind w:left="508"/>
        <w:rPr>
          <w:rFonts w:ascii="Consolas"/>
        </w:rPr>
      </w:pPr>
      <w:r>
        <w:rPr>
          <w:rFonts w:ascii="Consolas"/>
        </w:rPr>
        <w:t>&lt;/pivotTableDefinition&gt;</w:t>
      </w:r>
    </w:p>
    <w:p>
      <w:pPr>
        <w:pStyle w:val="BodyText"/>
        <w:spacing w:before="2"/>
        <w:rPr>
          <w:rFonts w:ascii="Consolas"/>
          <w:sz w:val="20"/>
        </w:rPr>
      </w:pPr>
    </w:p>
    <w:p>
      <w:pPr>
        <w:pStyle w:val="BodyText"/>
        <w:ind w:left="220"/>
      </w:pPr>
      <w:r>
        <w:rPr/>
        <w:t>The </w:t>
      </w:r>
      <w:r>
        <w:rPr>
          <w:i/>
        </w:rPr>
        <w:t>pivotCacheRecords </w:t>
      </w:r>
      <w:r>
        <w:rPr/>
        <w:t>part contains the underlying data to be aggregated. It is a cache of the source data.</w:t>
      </w:r>
    </w:p>
    <w:p>
      <w:pPr>
        <w:pStyle w:val="BodyText"/>
        <w:spacing w:before="8"/>
        <w:rPr>
          <w:sz w:val="19"/>
        </w:rPr>
      </w:pPr>
    </w:p>
    <w:p>
      <w:pPr>
        <w:spacing w:before="1"/>
        <w:ind w:left="220" w:right="0" w:firstLine="0"/>
        <w:jc w:val="left"/>
        <w:rPr>
          <w:i/>
          <w:sz w:val="22"/>
        </w:rPr>
      </w:pPr>
      <w:r>
        <w:rPr>
          <w:i/>
          <w:sz w:val="22"/>
        </w:rPr>
        <w:t>Outline of XML for pivotCacheRecords</w:t>
      </w:r>
    </w:p>
    <w:p>
      <w:pPr>
        <w:spacing w:after="0"/>
        <w:jc w:val="left"/>
        <w:rPr>
          <w:sz w:val="22"/>
        </w:rPr>
        <w:sectPr>
          <w:pgSz w:w="12240" w:h="15840"/>
          <w:pgMar w:header="763" w:footer="746" w:top="1340" w:bottom="940" w:left="860" w:right="700"/>
        </w:sectPr>
      </w:pPr>
    </w:p>
    <w:p>
      <w:pPr>
        <w:pStyle w:val="BodyText"/>
        <w:spacing w:before="93"/>
        <w:ind w:left="508"/>
        <w:rPr>
          <w:rFonts w:ascii="Consolas"/>
        </w:rPr>
      </w:pPr>
      <w:r>
        <w:rPr>
          <w:rFonts w:ascii="Consolas"/>
        </w:rPr>
        <w:t>&lt;pivotCacheRecords/&gt;</w:t>
      </w:r>
    </w:p>
    <w:p>
      <w:pPr>
        <w:pStyle w:val="BodyText"/>
        <w:spacing w:before="38"/>
        <w:ind w:left="750"/>
        <w:rPr>
          <w:rFonts w:ascii="Consolas"/>
        </w:rPr>
      </w:pPr>
      <w:r>
        <w:rPr>
          <w:rFonts w:ascii="Consolas"/>
        </w:rPr>
        <w:t>&lt;r/&gt;</w:t>
      </w:r>
    </w:p>
    <w:p>
      <w:pPr>
        <w:pStyle w:val="BodyText"/>
        <w:spacing w:before="40"/>
        <w:ind w:left="508"/>
        <w:rPr>
          <w:rFonts w:ascii="Consolas"/>
        </w:rPr>
      </w:pPr>
      <w:r>
        <w:rPr>
          <w:rFonts w:ascii="Consolas"/>
        </w:rPr>
        <w:t>&lt;/pivotCacheRecords&gt;</w:t>
      </w:r>
    </w:p>
    <w:p>
      <w:pPr>
        <w:pStyle w:val="BodyText"/>
        <w:spacing w:before="2"/>
        <w:rPr>
          <w:rFonts w:ascii="Consolas"/>
          <w:sz w:val="20"/>
        </w:rPr>
      </w:pPr>
    </w:p>
    <w:p>
      <w:pPr>
        <w:spacing w:line="276" w:lineRule="auto" w:before="0"/>
        <w:ind w:left="220" w:right="364" w:firstLine="0"/>
        <w:jc w:val="left"/>
        <w:rPr>
          <w:sz w:val="22"/>
        </w:rPr>
      </w:pPr>
      <w:r>
        <w:rPr>
          <w:sz w:val="22"/>
        </w:rPr>
        <w:t>The </w:t>
      </w:r>
      <w:r>
        <w:rPr>
          <w:i/>
          <w:sz w:val="22"/>
        </w:rPr>
        <w:t>pivotCacheDefinition </w:t>
      </w:r>
      <w:r>
        <w:rPr>
          <w:sz w:val="22"/>
        </w:rPr>
        <w:t>part defines each field in the </w:t>
      </w:r>
      <w:r>
        <w:rPr>
          <w:i/>
          <w:sz w:val="22"/>
        </w:rPr>
        <w:t>pivotCacheRecords </w:t>
      </w:r>
      <w:r>
        <w:rPr>
          <w:sz w:val="22"/>
        </w:rPr>
        <w:t>part, including field name and information about the data contained in the field. The </w:t>
      </w:r>
      <w:r>
        <w:rPr>
          <w:i/>
          <w:sz w:val="22"/>
        </w:rPr>
        <w:t>pivotCacheDefinition </w:t>
      </w:r>
      <w:r>
        <w:rPr>
          <w:sz w:val="22"/>
        </w:rPr>
        <w:t>part also defines pivot items that are shared among the </w:t>
      </w:r>
      <w:r>
        <w:rPr>
          <w:i/>
          <w:sz w:val="22"/>
        </w:rPr>
        <w:t>pivotTableDefinition </w:t>
      </w:r>
      <w:r>
        <w:rPr>
          <w:sz w:val="22"/>
        </w:rPr>
        <w:t>and </w:t>
      </w:r>
      <w:r>
        <w:rPr>
          <w:i/>
          <w:sz w:val="22"/>
        </w:rPr>
        <w:t>pivotCacheRecords </w:t>
      </w:r>
      <w:r>
        <w:rPr>
          <w:sz w:val="22"/>
        </w:rPr>
        <w:t>parts.</w:t>
      </w:r>
    </w:p>
    <w:p>
      <w:pPr>
        <w:pStyle w:val="BodyText"/>
        <w:spacing w:before="6"/>
        <w:rPr>
          <w:sz w:val="16"/>
        </w:rPr>
      </w:pPr>
    </w:p>
    <w:p>
      <w:pPr>
        <w:spacing w:before="0"/>
        <w:ind w:left="220" w:right="0" w:firstLine="0"/>
        <w:jc w:val="left"/>
        <w:rPr>
          <w:i/>
          <w:sz w:val="22"/>
        </w:rPr>
      </w:pPr>
      <w:r>
        <w:rPr>
          <w:i/>
          <w:sz w:val="22"/>
        </w:rPr>
        <w:t>Outline of XML for pivotCacheDefinition</w:t>
      </w:r>
    </w:p>
    <w:p>
      <w:pPr>
        <w:pStyle w:val="BodyText"/>
        <w:spacing w:before="8"/>
        <w:rPr>
          <w:i/>
          <w:sz w:val="19"/>
        </w:rPr>
      </w:pPr>
    </w:p>
    <w:p>
      <w:pPr>
        <w:pStyle w:val="BodyText"/>
        <w:spacing w:before="1"/>
        <w:ind w:left="508"/>
        <w:rPr>
          <w:rFonts w:ascii="Consolas"/>
        </w:rPr>
      </w:pPr>
      <w:r>
        <w:rPr>
          <w:rFonts w:ascii="Consolas"/>
        </w:rPr>
        <w:t>&lt;pivotCacheDefinition&gt;</w:t>
      </w:r>
    </w:p>
    <w:p>
      <w:pPr>
        <w:pStyle w:val="BodyText"/>
        <w:spacing w:before="37"/>
        <w:ind w:left="750"/>
        <w:rPr>
          <w:rFonts w:ascii="Consolas"/>
        </w:rPr>
      </w:pPr>
      <w:r>
        <w:rPr>
          <w:rFonts w:ascii="Consolas"/>
        </w:rPr>
        <w:t>&lt;cacheSource/&gt;</w:t>
      </w:r>
    </w:p>
    <w:p>
      <w:pPr>
        <w:pStyle w:val="BodyText"/>
        <w:spacing w:before="40"/>
        <w:ind w:left="750"/>
        <w:rPr>
          <w:rFonts w:ascii="Consolas"/>
        </w:rPr>
      </w:pPr>
      <w:r>
        <w:rPr>
          <w:rFonts w:ascii="Consolas"/>
        </w:rPr>
        <w:t>&lt;cacheFields&gt;</w:t>
      </w:r>
    </w:p>
    <w:p>
      <w:pPr>
        <w:pStyle w:val="BodyText"/>
        <w:spacing w:before="38"/>
        <w:ind w:left="993"/>
        <w:rPr>
          <w:rFonts w:ascii="Consolas"/>
        </w:rPr>
      </w:pPr>
      <w:r>
        <w:rPr>
          <w:rFonts w:ascii="Consolas"/>
        </w:rPr>
        <w:t>&lt;cacheField&gt;</w:t>
      </w:r>
    </w:p>
    <w:p>
      <w:pPr>
        <w:pStyle w:val="BodyText"/>
        <w:spacing w:before="40"/>
        <w:ind w:left="1235"/>
        <w:rPr>
          <w:rFonts w:ascii="Consolas"/>
        </w:rPr>
      </w:pPr>
      <w:r>
        <w:rPr>
          <w:rFonts w:ascii="Consolas"/>
        </w:rPr>
        <w:t>&lt;sharedItems&gt;</w:t>
      </w:r>
    </w:p>
    <w:p>
      <w:pPr>
        <w:pStyle w:val="BodyText"/>
        <w:spacing w:before="38"/>
        <w:ind w:left="1478"/>
        <w:rPr>
          <w:rFonts w:ascii="Consolas"/>
        </w:rPr>
      </w:pPr>
      <w:r>
        <w:rPr>
          <w:rFonts w:ascii="Consolas"/>
        </w:rPr>
        <w:t>&lt;d/&gt;</w:t>
      </w:r>
    </w:p>
    <w:p>
      <w:pPr>
        <w:pStyle w:val="BodyText"/>
        <w:spacing w:before="40"/>
        <w:ind w:left="1235"/>
        <w:rPr>
          <w:rFonts w:ascii="Consolas"/>
        </w:rPr>
      </w:pPr>
      <w:r>
        <w:rPr>
          <w:rFonts w:ascii="Consolas"/>
        </w:rPr>
        <w:t>&lt;/sharedItems&gt;</w:t>
      </w:r>
    </w:p>
    <w:p>
      <w:pPr>
        <w:pStyle w:val="BodyText"/>
        <w:spacing w:before="38"/>
        <w:ind w:left="1235"/>
        <w:rPr>
          <w:rFonts w:ascii="Consolas"/>
        </w:rPr>
      </w:pPr>
      <w:r>
        <w:rPr>
          <w:rFonts w:ascii="Consolas"/>
        </w:rPr>
        <w:t>&lt;fieldGroup/&gt;</w:t>
      </w:r>
    </w:p>
    <w:p>
      <w:pPr>
        <w:pStyle w:val="BodyText"/>
        <w:spacing w:before="37"/>
        <w:ind w:left="993"/>
        <w:rPr>
          <w:rFonts w:ascii="Consolas"/>
        </w:rPr>
      </w:pPr>
      <w:r>
        <w:rPr>
          <w:rFonts w:ascii="Consolas"/>
        </w:rPr>
        <w:t>&lt;/cacheField&gt;</w:t>
      </w:r>
    </w:p>
    <w:p>
      <w:pPr>
        <w:pStyle w:val="BodyText"/>
        <w:spacing w:before="40"/>
        <w:ind w:left="750"/>
        <w:rPr>
          <w:rFonts w:ascii="Consolas"/>
        </w:rPr>
      </w:pPr>
      <w:r>
        <w:rPr>
          <w:rFonts w:ascii="Consolas"/>
        </w:rPr>
        <w:t>&lt;/cacheFields&gt;</w:t>
      </w:r>
    </w:p>
    <w:p>
      <w:pPr>
        <w:pStyle w:val="BodyText"/>
        <w:spacing w:before="38"/>
        <w:ind w:left="508"/>
        <w:rPr>
          <w:rFonts w:ascii="Consolas"/>
        </w:rPr>
      </w:pPr>
      <w:r>
        <w:rPr>
          <w:rFonts w:ascii="Consolas"/>
        </w:rPr>
        <w:t>&lt;/pivotCacheDefinition&gt;</w:t>
      </w:r>
    </w:p>
    <w:p>
      <w:pPr>
        <w:pStyle w:val="BodyText"/>
        <w:spacing w:before="6"/>
        <w:rPr>
          <w:rFonts w:ascii="Consolas"/>
          <w:sz w:val="20"/>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0.1 Pivot Tables" w:id="749"/>
      <w:bookmarkEnd w:id="749"/>
      <w:r>
        <w:rPr>
          <w:b w:val="0"/>
        </w:rPr>
      </w:r>
      <w:bookmarkStart w:name="_bookmark248" w:id="750"/>
      <w:bookmarkEnd w:id="750"/>
      <w:r>
        <w:rPr>
          <w:b w:val="0"/>
        </w:rPr>
      </w:r>
      <w:bookmarkStart w:name="_bookmark248" w:id="751"/>
      <w:bookmarkEnd w:id="751"/>
      <w:r>
        <w:rPr>
          <w:color w:val="4F81BC"/>
        </w:rPr>
        <w:t>Piv</w:t>
      </w:r>
      <w:r>
        <w:rPr>
          <w:color w:val="4F81BC"/>
        </w:rPr>
        <w:t>ot</w:t>
      </w:r>
      <w:r>
        <w:rPr>
          <w:color w:val="4F81BC"/>
          <w:spacing w:val="-3"/>
        </w:rPr>
        <w:t> </w:t>
      </w:r>
      <w:r>
        <w:rPr>
          <w:color w:val="4F81BC"/>
        </w:rPr>
        <w:t>Tables</w:t>
      </w:r>
    </w:p>
    <w:p>
      <w:pPr>
        <w:pStyle w:val="BodyText"/>
        <w:spacing w:before="124"/>
        <w:ind w:left="220"/>
      </w:pPr>
      <w:r>
        <w:rPr/>
        <w:t>This section describes the definition of PivotTables in SpreadsheetML.</w:t>
      </w:r>
    </w:p>
    <w:p>
      <w:pPr>
        <w:pStyle w:val="BodyText"/>
        <w:spacing w:before="11"/>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 autoSortScope (AutoSort Scope)" w:id="752"/>
      <w:bookmarkEnd w:id="752"/>
      <w:r>
        <w:rPr/>
      </w:r>
      <w:bookmarkStart w:name="_bookmark249" w:id="753"/>
      <w:bookmarkEnd w:id="753"/>
      <w:r>
        <w:rPr/>
      </w:r>
      <w:bookmarkStart w:name="_bookmark249" w:id="754"/>
      <w:bookmarkEnd w:id="754"/>
      <w:r>
        <w:rPr>
          <w:color w:val="4F81BC"/>
        </w:rPr>
        <w:t>auto</w:t>
      </w:r>
      <w:r>
        <w:rPr>
          <w:color w:val="4F81BC"/>
        </w:rPr>
        <w:t>SortScope (AutoSort Scope)</w:t>
      </w:r>
    </w:p>
    <w:p>
      <w:pPr>
        <w:pStyle w:val="BodyText"/>
        <w:spacing w:before="122"/>
        <w:ind w:left="220"/>
      </w:pPr>
      <w:r>
        <w:rPr/>
        <w:t>Represents the sorting scope for the PivotTable.</w:t>
      </w: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CT_AutoSortScope</w:t>
      </w:r>
      <w:r>
        <w:rPr/>
        <w:t>) is located in §A.2.</w:t>
      </w:r>
    </w:p>
    <w:p>
      <w:pPr>
        <w:spacing w:before="41"/>
        <w:ind w:left="220" w:right="0" w:firstLine="0"/>
        <w:jc w:val="left"/>
        <w:rPr>
          <w:sz w:val="22"/>
        </w:rPr>
      </w:pPr>
      <w:r>
        <w:rPr>
          <w:i/>
          <w:sz w:val="22"/>
        </w:rPr>
        <w:t>end note</w:t>
      </w:r>
      <w:r>
        <w:rPr>
          <w:sz w:val="22"/>
        </w:rPr>
        <w:t>]</w:t>
      </w:r>
    </w:p>
    <w:p>
      <w:pPr>
        <w:pStyle w:val="BodyText"/>
        <w:spacing w:before="8"/>
        <w:rPr>
          <w:sz w:val="19"/>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2 b (Boolean)" w:id="755"/>
      <w:bookmarkEnd w:id="755"/>
      <w:r>
        <w:rPr/>
      </w:r>
      <w:bookmarkStart w:name="_bookmark250" w:id="756"/>
      <w:bookmarkEnd w:id="756"/>
      <w:r>
        <w:rPr/>
      </w:r>
      <w:bookmarkStart w:name="_bookmark250" w:id="757"/>
      <w:bookmarkEnd w:id="757"/>
      <w:r>
        <w:rPr>
          <w:color w:val="4F81BC"/>
        </w:rPr>
        <w:t>b</w:t>
      </w:r>
      <w:r>
        <w:rPr>
          <w:color w:val="4F81BC"/>
          <w:spacing w:val="-1"/>
        </w:rPr>
        <w:t> </w:t>
      </w:r>
      <w:r>
        <w:rPr>
          <w:color w:val="4F81BC"/>
        </w:rPr>
        <w:t>(Boolean)</w:t>
      </w:r>
    </w:p>
    <w:p>
      <w:pPr>
        <w:pStyle w:val="BodyText"/>
        <w:spacing w:before="123"/>
        <w:ind w:left="220"/>
      </w:pPr>
      <w:r>
        <w:rPr/>
        <w:t>Represents a boolean value for an item in the PivotTable.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42"/>
              <w:rPr>
                <w:sz w:val="22"/>
              </w:rPr>
            </w:pPr>
            <w:r>
              <w:rPr>
                <w:rFonts w:ascii="Cambria"/>
                <w:sz w:val="22"/>
              </w:rPr>
              <w:t>c </w:t>
            </w:r>
            <w:r>
              <w:rPr>
                <w:sz w:val="22"/>
              </w:rPr>
              <w:t>(Caption)</w:t>
            </w:r>
          </w:p>
        </w:tc>
        <w:tc>
          <w:tcPr>
            <w:tcW w:w="8250" w:type="dxa"/>
          </w:tcPr>
          <w:p>
            <w:pPr>
              <w:pStyle w:val="TableParagraph"/>
              <w:spacing w:before="42"/>
              <w:rPr>
                <w:sz w:val="22"/>
              </w:rPr>
            </w:pPr>
            <w:r>
              <w:rPr>
                <w:sz w:val="22"/>
              </w:rPr>
              <w:t>Specifies the caption for the item.</w:t>
            </w:r>
          </w:p>
          <w:p>
            <w:pPr>
              <w:pStyle w:val="TableParagraph"/>
              <w:spacing w:before="11"/>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80"/>
              <w:rPr>
                <w:sz w:val="22"/>
              </w:rPr>
            </w:pPr>
            <w:r>
              <w:rPr>
                <w:rFonts w:ascii="Cambria"/>
                <w:sz w:val="22"/>
              </w:rPr>
              <w:t>cp </w:t>
            </w:r>
            <w:r>
              <w:rPr>
                <w:sz w:val="22"/>
              </w:rPr>
              <w:t>(Member Property Count)</w:t>
            </w:r>
          </w:p>
        </w:tc>
        <w:tc>
          <w:tcPr>
            <w:tcW w:w="8250" w:type="dxa"/>
          </w:tcPr>
          <w:p>
            <w:pPr>
              <w:pStyle w:val="TableParagraph"/>
              <w:rPr>
                <w:sz w:val="22"/>
              </w:rPr>
            </w:pPr>
            <w:r>
              <w:rPr>
                <w:sz w:val="22"/>
              </w:rPr>
              <w:t>Specifies the number of property values for this item.</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354" w:hRule="atLeast"/>
        </w:trPr>
        <w:tc>
          <w:tcPr>
            <w:tcW w:w="2062" w:type="dxa"/>
          </w:tcPr>
          <w:p>
            <w:pPr>
              <w:pStyle w:val="TableParagraph"/>
              <w:rPr>
                <w:sz w:val="22"/>
              </w:rPr>
            </w:pPr>
            <w:r>
              <w:rPr>
                <w:rFonts w:ascii="Cambria"/>
                <w:sz w:val="22"/>
              </w:rPr>
              <w:t>f </w:t>
            </w:r>
            <w:r>
              <w:rPr>
                <w:sz w:val="22"/>
              </w:rPr>
              <w:t>(Calculated Item)</w:t>
            </w:r>
          </w:p>
        </w:tc>
        <w:tc>
          <w:tcPr>
            <w:tcW w:w="8250" w:type="dxa"/>
          </w:tcPr>
          <w:p>
            <w:pPr>
              <w:pStyle w:val="TableParagraph"/>
              <w:rPr>
                <w:sz w:val="22"/>
              </w:rPr>
            </w:pPr>
            <w:r>
              <w:rPr>
                <w:sz w:val="22"/>
              </w:rPr>
              <w:t>Specifies a boolean value that indicates whether this item has a calculated value.</w:t>
            </w:r>
          </w:p>
        </w:tc>
      </w:tr>
    </w:tbl>
    <w:p>
      <w:pPr>
        <w:spacing w:after="0"/>
        <w:rPr>
          <w:sz w:val="22"/>
        </w:rPr>
        <w:sectPr>
          <w:footerReference w:type="even" r:id="rId105"/>
          <w:footerReference w:type="default" r:id="rId106"/>
          <w:pgSz w:w="12240" w:h="15840"/>
          <w:pgMar w:footer="746" w:header="761" w:top="1340" w:bottom="940" w:left="860" w:right="700"/>
          <w:pgNumType w:start="182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item has a calculated value.</w:t>
            </w:r>
          </w:p>
          <w:p>
            <w:pPr>
              <w:pStyle w:val="TableParagraph"/>
              <w:spacing w:before="1"/>
              <w:ind w:left="0"/>
              <w:rPr>
                <w:sz w:val="22"/>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item does not have a calculated value.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rPr>
                <w:sz w:val="22"/>
              </w:rPr>
            </w:pPr>
            <w:r>
              <w:rPr>
                <w:rFonts w:ascii="Cambria"/>
                <w:sz w:val="22"/>
              </w:rPr>
              <w:t>u </w:t>
            </w:r>
            <w:r>
              <w:rPr>
                <w:sz w:val="22"/>
              </w:rPr>
              <w:t>(Unused Item)</w:t>
            </w:r>
          </w:p>
        </w:tc>
        <w:tc>
          <w:tcPr>
            <w:tcW w:w="8250" w:type="dxa"/>
          </w:tcPr>
          <w:p>
            <w:pPr>
              <w:pStyle w:val="TableParagraph"/>
              <w:ind w:right="305"/>
              <w:rPr>
                <w:sz w:val="22"/>
              </w:rPr>
            </w:pPr>
            <w:r>
              <w:rPr>
                <w:sz w:val="22"/>
              </w:rPr>
              <w:t>Specifies a boolean value that indicates whether this is an unused item. The application marks an item as unused when an item is deleted from the data source. The item and associated metadata are retained in the cache until the threshold for unused items specified in </w:t>
            </w:r>
            <w:r>
              <w:rPr>
                <w:rFonts w:ascii="Cambria"/>
                <w:sz w:val="22"/>
              </w:rPr>
              <w:t>missingItemsLimit </w:t>
            </w:r>
            <w:r>
              <w:rPr>
                <w:sz w:val="22"/>
              </w:rPr>
              <w:t>is reached.</w:t>
            </w:r>
          </w:p>
          <w:p>
            <w:pPr>
              <w:pStyle w:val="TableParagraph"/>
              <w:spacing w:before="1"/>
              <w:ind w:left="0"/>
              <w:rPr>
                <w:sz w:val="22"/>
              </w:rPr>
            </w:pPr>
          </w:p>
          <w:p>
            <w:pPr>
              <w:pStyle w:val="TableParagraph"/>
              <w:spacing w:line="477" w:lineRule="auto" w:before="0"/>
              <w:ind w:right="3692"/>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item is unused.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used.</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v </w:t>
            </w:r>
            <w:r>
              <w:rPr>
                <w:sz w:val="22"/>
              </w:rPr>
              <w:t>(Value)</w:t>
            </w:r>
          </w:p>
        </w:tc>
        <w:tc>
          <w:tcPr>
            <w:tcW w:w="8250" w:type="dxa"/>
          </w:tcPr>
          <w:p>
            <w:pPr>
              <w:pStyle w:val="TableParagraph"/>
              <w:rPr>
                <w:sz w:val="22"/>
              </w:rPr>
            </w:pPr>
            <w:r>
              <w:rPr>
                <w:sz w:val="22"/>
              </w:rPr>
              <w:t>Specifies the value of the item. This attribute is required.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6"/>
        <w:ind w:left="220" w:right="752"/>
      </w:pPr>
      <w:r>
        <w:rPr/>
        <w:t>[</w:t>
      </w:r>
      <w:r>
        <w:rPr>
          <w:i/>
        </w:rPr>
        <w:t>Note</w:t>
      </w:r>
      <w:r>
        <w:rPr/>
        <w:t>: The W3C XML Schema definition of this element’s content model (</w:t>
      </w:r>
      <w:r>
        <w:rPr>
          <w:color w:val="5F5F5F"/>
          <w:u w:val="single" w:color="5F5F5F"/>
        </w:rPr>
        <w:t>CT_Boolean</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3 cacheField (PivotCache Field)" w:id="758"/>
      <w:bookmarkEnd w:id="758"/>
      <w:r>
        <w:rPr/>
      </w:r>
      <w:bookmarkStart w:name="_bookmark251" w:id="759"/>
      <w:bookmarkEnd w:id="759"/>
      <w:r>
        <w:rPr/>
      </w:r>
      <w:bookmarkStart w:name="_bookmark251" w:id="760"/>
      <w:bookmarkEnd w:id="760"/>
      <w:r>
        <w:rPr>
          <w:color w:val="4F81BC"/>
        </w:rPr>
        <w:t>cacheFie</w:t>
      </w:r>
      <w:r>
        <w:rPr>
          <w:color w:val="4F81BC"/>
        </w:rPr>
        <w:t>ld (PivotCache</w:t>
      </w:r>
      <w:r>
        <w:rPr>
          <w:color w:val="4F81BC"/>
          <w:spacing w:val="-2"/>
        </w:rPr>
        <w:t> </w:t>
      </w:r>
      <w:r>
        <w:rPr>
          <w:color w:val="4F81BC"/>
        </w:rPr>
        <w:t>Field)</w:t>
      </w:r>
    </w:p>
    <w:p>
      <w:pPr>
        <w:pStyle w:val="BodyText"/>
        <w:spacing w:line="276" w:lineRule="auto" w:before="122"/>
        <w:ind w:left="220" w:right="387"/>
      </w:pPr>
      <w:r>
        <w:rPr/>
        <w:t>Represent a single field in the PivotCache. This definition contains information about the field, such as its source, data type, and location within a level or hierarchy. The </w:t>
      </w:r>
      <w:r>
        <w:rPr>
          <w:rFonts w:ascii="Cambria"/>
        </w:rPr>
        <w:t>sharedItems </w:t>
      </w:r>
      <w:r>
        <w:rPr/>
        <w:t>element stores additional information about the data in this field. If there are no shared items, then values are stored directly in the pivotCacheRecords</w:t>
      </w:r>
      <w:r>
        <w:rPr>
          <w:spacing w:val="-1"/>
        </w:rPr>
        <w:t> </w:t>
      </w:r>
      <w:r>
        <w:rPr/>
        <w:t>part.</w:t>
      </w:r>
    </w:p>
    <w:p>
      <w:pPr>
        <w:pStyle w:val="BodyText"/>
        <w:spacing w:before="6"/>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&lt;cacheField name="Group" numFmtId="0"&gt;</w:t>
      </w:r>
    </w:p>
    <w:p>
      <w:pPr>
        <w:pStyle w:val="BodyText"/>
        <w:spacing w:before="38"/>
        <w:ind w:left="750"/>
        <w:rPr>
          <w:rFonts w:ascii="Consolas"/>
        </w:rPr>
      </w:pPr>
      <w:r>
        <w:rPr>
          <w:rFonts w:ascii="Consolas"/>
        </w:rPr>
        <w:t>&lt;sharedItems count="3"&gt;</w:t>
      </w:r>
    </w:p>
    <w:p>
      <w:pPr>
        <w:pStyle w:val="BodyText"/>
        <w:spacing w:before="40"/>
        <w:ind w:left="993"/>
        <w:rPr>
          <w:rFonts w:ascii="Consolas"/>
        </w:rPr>
      </w:pPr>
      <w:r>
        <w:rPr>
          <w:rFonts w:ascii="Consolas"/>
        </w:rPr>
        <w:t>&lt;s v="Pacific"/&gt;</w:t>
      </w:r>
    </w:p>
    <w:p>
      <w:pPr>
        <w:pStyle w:val="BodyText"/>
        <w:spacing w:before="38"/>
        <w:ind w:left="993"/>
        <w:rPr>
          <w:rFonts w:ascii="Consolas"/>
        </w:rPr>
      </w:pPr>
      <w:r>
        <w:rPr>
          <w:rFonts w:ascii="Consolas"/>
        </w:rPr>
        <w:t>&lt;s v="North America"/&gt;</w:t>
      </w:r>
    </w:p>
    <w:p>
      <w:pPr>
        <w:pStyle w:val="BodyText"/>
        <w:spacing w:before="37"/>
        <w:ind w:left="993"/>
        <w:rPr>
          <w:rFonts w:ascii="Consolas"/>
        </w:rPr>
      </w:pPr>
      <w:r>
        <w:rPr>
          <w:rFonts w:ascii="Consolas"/>
        </w:rPr>
        <w:t>&lt;s v="Europe"/&gt;</w:t>
      </w:r>
    </w:p>
    <w:p>
      <w:pPr>
        <w:pStyle w:val="BodyText"/>
        <w:spacing w:before="40"/>
        <w:ind w:left="750"/>
        <w:rPr>
          <w:rFonts w:ascii="Consolas"/>
        </w:rPr>
      </w:pPr>
      <w:r>
        <w:rPr>
          <w:rFonts w:ascii="Consolas"/>
        </w:rPr>
        <w:t>&lt;/sharedItems&gt;</w:t>
      </w:r>
    </w:p>
    <w:p>
      <w:pPr>
        <w:pStyle w:val="BodyText"/>
        <w:spacing w:before="38"/>
        <w:ind w:left="508"/>
        <w:rPr>
          <w:rFonts w:ascii="Consolas"/>
        </w:rPr>
      </w:pPr>
      <w:r>
        <w:rPr>
          <w:rFonts w:ascii="Consolas"/>
        </w:rPr>
        <w:t>&lt;/cacheField&gt;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105"/>
              <w:rPr>
                <w:sz w:val="22"/>
              </w:rPr>
            </w:pPr>
            <w:r>
              <w:rPr>
                <w:rFonts w:ascii="Cambria"/>
                <w:sz w:val="22"/>
              </w:rPr>
              <w:t>caption </w:t>
            </w:r>
            <w:r>
              <w:rPr>
                <w:sz w:val="22"/>
              </w:rPr>
              <w:t>(PivotCache Field Caption)</w:t>
            </w:r>
          </w:p>
        </w:tc>
        <w:tc>
          <w:tcPr>
            <w:tcW w:w="8250" w:type="dxa"/>
          </w:tcPr>
          <w:p>
            <w:pPr>
              <w:pStyle w:val="TableParagraph"/>
              <w:rPr>
                <w:sz w:val="22"/>
              </w:rPr>
            </w:pPr>
            <w:r>
              <w:rPr>
                <w:sz w:val="22"/>
              </w:rPr>
              <w:t>Specifies the caption of the cache field.</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309" w:hRule="atLeast"/>
        </w:trPr>
        <w:tc>
          <w:tcPr>
            <w:tcW w:w="2062" w:type="dxa"/>
          </w:tcPr>
          <w:p>
            <w:pPr>
              <w:pStyle w:val="TableParagraph"/>
              <w:spacing w:line="256" w:lineRule="exact" w:before="45"/>
              <w:rPr>
                <w:rFonts w:ascii="Cambria"/>
                <w:sz w:val="22"/>
              </w:rPr>
            </w:pPr>
            <w:r>
              <w:rPr>
                <w:rFonts w:ascii="Cambria"/>
                <w:sz w:val="22"/>
              </w:rPr>
              <w:t>databaseField</w:t>
            </w:r>
          </w:p>
          <w:p>
            <w:pPr>
              <w:pStyle w:val="TableParagraph"/>
              <w:spacing w:line="267" w:lineRule="exact" w:before="0"/>
              <w:rPr>
                <w:sz w:val="22"/>
              </w:rPr>
            </w:pPr>
            <w:r>
              <w:rPr>
                <w:sz w:val="22"/>
              </w:rPr>
              <w:t>(Database Field)</w:t>
            </w:r>
          </w:p>
        </w:tc>
        <w:tc>
          <w:tcPr>
            <w:tcW w:w="8250" w:type="dxa"/>
          </w:tcPr>
          <w:p>
            <w:pPr>
              <w:pStyle w:val="TableParagraph"/>
              <w:spacing w:line="237" w:lineRule="auto" w:before="44"/>
              <w:ind w:right="951"/>
              <w:rPr>
                <w:sz w:val="22"/>
              </w:rPr>
            </w:pPr>
            <w:r>
              <w:rPr>
                <w:sz w:val="22"/>
              </w:rPr>
              <w:t>Specifies a boolean value that indicates whether this field came from the source database rather having been created by the application.</w:t>
            </w:r>
          </w:p>
          <w:p>
            <w:pPr>
              <w:pStyle w:val="TableParagraph"/>
              <w:spacing w:before="6"/>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field is from the source database.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field was created by the application.</w:t>
            </w:r>
          </w:p>
          <w:p>
            <w:pPr>
              <w:pStyle w:val="TableParagraph"/>
              <w:spacing w:before="5"/>
              <w:ind w:left="0"/>
              <w:rPr>
                <w:rFonts w:ascii="Times New Roman"/>
                <w:sz w:val="23"/>
              </w:rPr>
            </w:pPr>
          </w:p>
          <w:p>
            <w:pPr>
              <w:pStyle w:val="TableParagraph"/>
              <w:spacing w:before="0"/>
              <w:ind w:right="202"/>
              <w:rPr>
                <w:sz w:val="22"/>
              </w:rPr>
            </w:pPr>
            <w:r>
              <w:rPr>
                <w:sz w:val="22"/>
              </w:rPr>
              <w:t>[</w:t>
            </w:r>
            <w:r>
              <w:rPr>
                <w:i/>
                <w:sz w:val="22"/>
              </w:rPr>
              <w:t>Note</w:t>
            </w:r>
            <w:r>
              <w:rPr>
                <w:sz w:val="22"/>
              </w:rPr>
              <w:t>: This attribute could be used for a defined grouped or calculated field. In this case, source database fields should precede defined grouped or calculated fields. </w:t>
            </w:r>
            <w:r>
              <w:rPr>
                <w:i/>
                <w:sz w:val="22"/>
              </w:rPr>
              <w:t>end note</w:t>
            </w:r>
            <w:r>
              <w:rPr>
                <w:sz w:val="22"/>
              </w:rPr>
              <w: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6019" w:hRule="atLeast"/>
        </w:trPr>
        <w:tc>
          <w:tcPr>
            <w:tcW w:w="2062" w:type="dxa"/>
          </w:tcPr>
          <w:p>
            <w:pPr>
              <w:pStyle w:val="TableParagraph"/>
              <w:ind w:right="119"/>
              <w:rPr>
                <w:sz w:val="22"/>
              </w:rPr>
            </w:pPr>
            <w:r>
              <w:rPr>
                <w:rFonts w:ascii="Cambria"/>
                <w:sz w:val="22"/>
              </w:rPr>
              <w:t>formula </w:t>
            </w:r>
            <w:r>
              <w:rPr>
                <w:sz w:val="22"/>
              </w:rPr>
              <w:t>(Calculated Field Formula)</w:t>
            </w:r>
          </w:p>
        </w:tc>
        <w:tc>
          <w:tcPr>
            <w:tcW w:w="8250" w:type="dxa"/>
          </w:tcPr>
          <w:p>
            <w:pPr>
              <w:pStyle w:val="TableParagraph"/>
              <w:ind w:right="385"/>
              <w:rPr>
                <w:sz w:val="22"/>
              </w:rPr>
            </w:pPr>
            <w:r>
              <w:rPr>
                <w:sz w:val="22"/>
              </w:rPr>
              <w:t>Specifies the formula for the calculated field. This formula is specified by the end-user. Calculated fields can perform calculations by using the contents of other fields in the PivotTable.</w:t>
            </w:r>
          </w:p>
          <w:p>
            <w:pPr>
              <w:pStyle w:val="TableParagraph"/>
              <w:spacing w:before="4"/>
              <w:ind w:left="0"/>
              <w:rPr>
                <w:rFonts w:ascii="Times New Roman"/>
                <w:sz w:val="23"/>
              </w:rPr>
            </w:pPr>
          </w:p>
          <w:p>
            <w:pPr>
              <w:pStyle w:val="TableParagraph"/>
              <w:spacing w:before="1"/>
              <w:ind w:right="215"/>
              <w:rPr>
                <w:sz w:val="22"/>
              </w:rPr>
            </w:pPr>
            <w:r>
              <w:rPr>
                <w:sz w:val="22"/>
              </w:rPr>
              <w:t>In formulas you create for calculated fields or calculated items, you can use operators and expressions as you do in other worksheet formulas. You can use constants and refer to data from the PivotTable, but you cannot use cell references or defined names. You cannot use worksheet functions that require cell references or defined names as arguments, and you cannot use array functions.</w:t>
            </w:r>
          </w:p>
          <w:p>
            <w:pPr>
              <w:pStyle w:val="TableParagraph"/>
              <w:spacing w:before="3"/>
              <w:ind w:left="0"/>
              <w:rPr>
                <w:rFonts w:ascii="Times New Roman"/>
                <w:sz w:val="23"/>
              </w:rPr>
            </w:pPr>
          </w:p>
          <w:p>
            <w:pPr>
              <w:pStyle w:val="TableParagraph"/>
              <w:spacing w:before="0"/>
              <w:rPr>
                <w:sz w:val="22"/>
              </w:rPr>
            </w:pPr>
            <w:r>
              <w:rPr>
                <w:sz w:val="22"/>
              </w:rPr>
              <w:t>Further behaviors and restrictions apply to formulas for calculated fields:</w:t>
            </w:r>
          </w:p>
          <w:p>
            <w:pPr>
              <w:pStyle w:val="TableParagraph"/>
              <w:numPr>
                <w:ilvl w:val="0"/>
                <w:numId w:val="43"/>
              </w:numPr>
              <w:tabs>
                <w:tab w:pos="834" w:val="left" w:leader="none"/>
                <w:tab w:pos="835" w:val="left" w:leader="none"/>
              </w:tabs>
              <w:spacing w:line="240" w:lineRule="auto" w:before="1" w:after="0"/>
              <w:ind w:left="835" w:right="144" w:hanging="360"/>
              <w:jc w:val="left"/>
              <w:rPr>
                <w:sz w:val="22"/>
              </w:rPr>
            </w:pPr>
            <w:r>
              <w:rPr>
                <w:sz w:val="22"/>
              </w:rPr>
              <w:t>Formulas for calculated fields operate on the sum of the underlying data for any fields in the formula. [</w:t>
            </w:r>
            <w:r>
              <w:rPr>
                <w:i/>
                <w:sz w:val="22"/>
              </w:rPr>
              <w:t>Example</w:t>
            </w:r>
            <w:r>
              <w:rPr>
                <w:sz w:val="22"/>
              </w:rPr>
              <w:t>: The formula =Sales * 1.2 multiplies the sum of the sales for each type and region by 1.2; it does not multiply each individual sale by 1.2 and then sum the multiplied amounts. </w:t>
            </w:r>
            <w:r>
              <w:rPr>
                <w:i/>
                <w:sz w:val="22"/>
              </w:rPr>
              <w:t>end</w:t>
            </w:r>
            <w:r>
              <w:rPr>
                <w:i/>
                <w:spacing w:val="-11"/>
                <w:sz w:val="22"/>
              </w:rPr>
              <w:t> </w:t>
            </w:r>
            <w:r>
              <w:rPr>
                <w:i/>
                <w:sz w:val="22"/>
              </w:rPr>
              <w:t>example</w:t>
            </w:r>
            <w:r>
              <w:rPr>
                <w:sz w:val="22"/>
              </w:rPr>
              <w:t>]</w:t>
            </w:r>
          </w:p>
          <w:p>
            <w:pPr>
              <w:pStyle w:val="TableParagraph"/>
              <w:numPr>
                <w:ilvl w:val="0"/>
                <w:numId w:val="43"/>
              </w:numPr>
              <w:tabs>
                <w:tab w:pos="834" w:val="left" w:leader="none"/>
                <w:tab w:pos="835" w:val="left" w:leader="none"/>
              </w:tabs>
              <w:spacing w:line="240" w:lineRule="auto" w:before="1" w:after="0"/>
              <w:ind w:left="835" w:right="0" w:hanging="360"/>
              <w:jc w:val="left"/>
              <w:rPr>
                <w:sz w:val="22"/>
              </w:rPr>
            </w:pPr>
            <w:r>
              <w:rPr>
                <w:sz w:val="22"/>
              </w:rPr>
              <w:t>Formulas cannot refer to</w:t>
            </w:r>
            <w:r>
              <w:rPr>
                <w:spacing w:val="-5"/>
                <w:sz w:val="22"/>
              </w:rPr>
              <w:t> </w:t>
            </w:r>
            <w:r>
              <w:rPr>
                <w:sz w:val="22"/>
              </w:rPr>
              <w:t>totals.</w:t>
            </w:r>
          </w:p>
          <w:p>
            <w:pPr>
              <w:pStyle w:val="TableParagraph"/>
              <w:spacing w:before="2"/>
              <w:ind w:left="0"/>
              <w:rPr>
                <w:rFonts w:ascii="Times New Roman"/>
                <w:sz w:val="23"/>
              </w:rPr>
            </w:pPr>
          </w:p>
          <w:p>
            <w:pPr>
              <w:pStyle w:val="TableParagraph"/>
              <w:spacing w:before="0"/>
              <w:ind w:right="604"/>
              <w:rPr>
                <w:sz w:val="22"/>
              </w:rPr>
            </w:pPr>
            <w:r>
              <w:rPr>
                <w:sz w:val="22"/>
              </w:rPr>
              <w:t>For more information about formulas see </w:t>
            </w:r>
            <w:hyperlink w:history="true" w:anchor="_bookmark432">
              <w:r>
                <w:rPr>
                  <w:sz w:val="22"/>
                </w:rPr>
                <w:t>§18.17 </w:t>
              </w:r>
            </w:hyperlink>
            <w:r>
              <w:rPr>
                <w:sz w:val="22"/>
              </w:rPr>
              <w:t>in Formulas. For more information about defined names see §</w:t>
            </w:r>
            <w:hyperlink w:history="true" w:anchor="_bookmark6">
              <w:r>
                <w:rPr>
                  <w:sz w:val="22"/>
                </w:rPr>
                <w:t>18.2.6 </w:t>
              </w:r>
            </w:hyperlink>
            <w:r>
              <w:rPr>
                <w:sz w:val="22"/>
              </w:rPr>
              <w:t>in Workbook.</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0" w:hRule="atLeast"/>
        </w:trPr>
        <w:tc>
          <w:tcPr>
            <w:tcW w:w="2062" w:type="dxa"/>
          </w:tcPr>
          <w:p>
            <w:pPr>
              <w:pStyle w:val="TableParagraph"/>
              <w:spacing w:line="256" w:lineRule="exact" w:before="42"/>
              <w:rPr>
                <w:rFonts w:ascii="Cambria"/>
                <w:sz w:val="22"/>
              </w:rPr>
            </w:pPr>
            <w:r>
              <w:rPr>
                <w:rFonts w:ascii="Cambria"/>
                <w:sz w:val="22"/>
              </w:rPr>
              <w:t>hierarchy</w:t>
            </w:r>
          </w:p>
          <w:p>
            <w:pPr>
              <w:pStyle w:val="TableParagraph"/>
              <w:spacing w:line="267" w:lineRule="exact" w:before="0"/>
              <w:rPr>
                <w:sz w:val="22"/>
              </w:rPr>
            </w:pPr>
            <w:r>
              <w:rPr>
                <w:sz w:val="22"/>
              </w:rPr>
              <w:t>(Hierarchy)</w:t>
            </w:r>
          </w:p>
        </w:tc>
        <w:tc>
          <w:tcPr>
            <w:tcW w:w="8250" w:type="dxa"/>
          </w:tcPr>
          <w:p>
            <w:pPr>
              <w:pStyle w:val="TableParagraph"/>
              <w:rPr>
                <w:sz w:val="22"/>
              </w:rPr>
            </w:pPr>
            <w:r>
              <w:rPr>
                <w:sz w:val="22"/>
              </w:rPr>
              <w:t>Specifies the hierarchy that this field is part of.</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892" w:hRule="atLeast"/>
        </w:trPr>
        <w:tc>
          <w:tcPr>
            <w:tcW w:w="2062" w:type="dxa"/>
          </w:tcPr>
          <w:p>
            <w:pPr>
              <w:pStyle w:val="TableParagraph"/>
              <w:spacing w:line="237" w:lineRule="auto" w:before="44"/>
              <w:ind w:right="492"/>
              <w:rPr>
                <w:sz w:val="22"/>
              </w:rPr>
            </w:pPr>
            <w:r>
              <w:rPr>
                <w:rFonts w:ascii="Cambria"/>
                <w:sz w:val="22"/>
              </w:rPr>
              <w:t>level </w:t>
            </w:r>
            <w:r>
              <w:rPr>
                <w:sz w:val="22"/>
              </w:rPr>
              <w:t>(Hierarchy Level)</w:t>
            </w:r>
          </w:p>
        </w:tc>
        <w:tc>
          <w:tcPr>
            <w:tcW w:w="8250" w:type="dxa"/>
          </w:tcPr>
          <w:p>
            <w:pPr>
              <w:pStyle w:val="TableParagraph"/>
              <w:spacing w:before="42"/>
              <w:rPr>
                <w:sz w:val="22"/>
              </w:rPr>
            </w:pPr>
            <w:r>
              <w:rPr>
                <w:sz w:val="22"/>
              </w:rPr>
              <w:t>Specifies the hierarchy level that this field is part of.</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158" w:hRule="atLeast"/>
        </w:trPr>
        <w:tc>
          <w:tcPr>
            <w:tcW w:w="2062" w:type="dxa"/>
          </w:tcPr>
          <w:p>
            <w:pPr>
              <w:pStyle w:val="TableParagraph"/>
              <w:spacing w:line="237" w:lineRule="auto" w:before="45"/>
              <w:ind w:right="244"/>
              <w:rPr>
                <w:sz w:val="22"/>
              </w:rPr>
            </w:pPr>
            <w:r>
              <w:rPr>
                <w:rFonts w:ascii="Cambria"/>
                <w:sz w:val="22"/>
              </w:rPr>
              <w:t>mappingCount </w:t>
            </w:r>
            <w:r>
              <w:rPr>
                <w:sz w:val="22"/>
              </w:rPr>
              <w:t>(Member Property Count)</w:t>
            </w:r>
          </w:p>
        </w:tc>
        <w:tc>
          <w:tcPr>
            <w:tcW w:w="8250" w:type="dxa"/>
          </w:tcPr>
          <w:p>
            <w:pPr>
              <w:pStyle w:val="TableParagraph"/>
              <w:rPr>
                <w:sz w:val="22"/>
              </w:rPr>
            </w:pPr>
            <w:r>
              <w:rPr>
                <w:sz w:val="22"/>
              </w:rPr>
              <w:t>Specifies the number of property mappings for this field.</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2772" w:hRule="atLeast"/>
        </w:trPr>
        <w:tc>
          <w:tcPr>
            <w:tcW w:w="2062" w:type="dxa"/>
          </w:tcPr>
          <w:p>
            <w:pPr>
              <w:pStyle w:val="TableParagraph"/>
              <w:spacing w:before="42"/>
              <w:ind w:right="107"/>
              <w:rPr>
                <w:sz w:val="22"/>
              </w:rPr>
            </w:pPr>
            <w:r>
              <w:rPr>
                <w:rFonts w:ascii="Cambria"/>
                <w:sz w:val="22"/>
              </w:rPr>
              <w:t>memberPropertyFi eld </w:t>
            </w:r>
            <w:r>
              <w:rPr>
                <w:sz w:val="22"/>
              </w:rPr>
              <w:t>(Member Property Field)</w:t>
            </w:r>
          </w:p>
        </w:tc>
        <w:tc>
          <w:tcPr>
            <w:tcW w:w="8250" w:type="dxa"/>
          </w:tcPr>
          <w:p>
            <w:pPr>
              <w:pStyle w:val="TableParagraph"/>
              <w:ind w:right="845"/>
              <w:rPr>
                <w:sz w:val="22"/>
              </w:rPr>
            </w:pPr>
            <w:r>
              <w:rPr>
                <w:sz w:val="22"/>
              </w:rPr>
              <w:t>Specifies a boolean value that indicates whether the field contains OLAP member property information.</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field contains OLAP member property information.</w:t>
            </w:r>
          </w:p>
          <w:p>
            <w:pPr>
              <w:pStyle w:val="TableParagraph"/>
              <w:spacing w:before="5"/>
              <w:ind w:left="0"/>
              <w:rPr>
                <w:rFonts w:ascii="Times New Roman"/>
                <w:sz w:val="23"/>
              </w:rPr>
            </w:pPr>
          </w:p>
          <w:p>
            <w:pPr>
              <w:pStyle w:val="TableParagraph"/>
              <w:spacing w:before="0"/>
              <w:ind w:right="617"/>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this field does not contain OLAP member property information.</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287"/>
              <w:rPr>
                <w:sz w:val="22"/>
              </w:rPr>
            </w:pPr>
            <w:r>
              <w:rPr>
                <w:rFonts w:ascii="Cambria"/>
                <w:sz w:val="22"/>
              </w:rPr>
              <w:t>name </w:t>
            </w:r>
            <w:r>
              <w:rPr>
                <w:sz w:val="22"/>
              </w:rPr>
              <w:t>(PivotCache Field Name)</w:t>
            </w:r>
          </w:p>
        </w:tc>
        <w:tc>
          <w:tcPr>
            <w:tcW w:w="8250" w:type="dxa"/>
          </w:tcPr>
          <w:p>
            <w:pPr>
              <w:pStyle w:val="TableParagraph"/>
              <w:rPr>
                <w:sz w:val="22"/>
              </w:rPr>
            </w:pPr>
            <w:r>
              <w:rPr>
                <w:sz w:val="22"/>
              </w:rPr>
              <w:t>Specifies the name of the cache field.</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3" w:hRule="atLeast"/>
        </w:trPr>
        <w:tc>
          <w:tcPr>
            <w:tcW w:w="2062" w:type="dxa"/>
          </w:tcPr>
          <w:p>
            <w:pPr>
              <w:pStyle w:val="TableParagraph"/>
              <w:spacing w:line="256" w:lineRule="exact" w:before="42"/>
              <w:rPr>
                <w:rFonts w:ascii="Cambria"/>
                <w:sz w:val="22"/>
              </w:rPr>
            </w:pPr>
            <w:r>
              <w:rPr>
                <w:rFonts w:ascii="Cambria"/>
                <w:sz w:val="22"/>
              </w:rPr>
              <w:t>numFmtId</w:t>
            </w:r>
          </w:p>
          <w:p>
            <w:pPr>
              <w:pStyle w:val="TableParagraph"/>
              <w:spacing w:line="267" w:lineRule="exact" w:before="0"/>
              <w:rPr>
                <w:sz w:val="22"/>
              </w:rPr>
            </w:pPr>
            <w:r>
              <w:rPr>
                <w:sz w:val="22"/>
              </w:rPr>
              <w:t>(Number Format Id)</w:t>
            </w:r>
          </w:p>
        </w:tc>
        <w:tc>
          <w:tcPr>
            <w:tcW w:w="8250" w:type="dxa"/>
          </w:tcPr>
          <w:p>
            <w:pPr>
              <w:pStyle w:val="TableParagraph"/>
              <w:ind w:right="254"/>
              <w:rPr>
                <w:sz w:val="22"/>
              </w:rPr>
            </w:pPr>
            <w:r>
              <w:rPr>
                <w:sz w:val="22"/>
              </w:rPr>
              <w:t>Specifies the number format that is applied to all items in the field. Number formats are written to the styles part. For more information see §</w:t>
            </w:r>
            <w:hyperlink w:history="true" w:anchor="_bookmark214">
              <w:r>
                <w:rPr>
                  <w:sz w:val="22"/>
                </w:rPr>
                <w:t>18.8.31 </w:t>
              </w:r>
            </w:hyperlink>
            <w:r>
              <w:rPr>
                <w:sz w:val="22"/>
              </w:rPr>
              <w:t>in Styles.</w:t>
            </w:r>
          </w:p>
          <w:p>
            <w:pPr>
              <w:pStyle w:val="TableParagraph"/>
              <w:spacing w:before="4"/>
              <w:ind w:left="0"/>
              <w:rPr>
                <w:rFonts w:ascii="Times New Roman"/>
                <w:sz w:val="23"/>
              </w:rPr>
            </w:pPr>
          </w:p>
          <w:p>
            <w:pPr>
              <w:pStyle w:val="TableParagraph"/>
              <w:spacing w:before="0"/>
              <w:ind w:right="140"/>
              <w:rPr>
                <w:sz w:val="22"/>
              </w:rPr>
            </w:pPr>
            <w:r>
              <w:rPr>
                <w:sz w:val="22"/>
              </w:rPr>
              <w:t>[</w:t>
            </w:r>
            <w:r>
              <w:rPr>
                <w:i/>
                <w:sz w:val="22"/>
              </w:rPr>
              <w:t>Note</w:t>
            </w:r>
            <w:r>
              <w:rPr>
                <w:sz w:val="22"/>
              </w:rPr>
              <w:t>: Formatting information provided by cell table and by PivotTable need not agree. If the two formats differ, the cell-level formatting takes precedence. If you change the layout of the PivotTable, the PivotTable formatting will then take precedence. </w:t>
            </w:r>
            <w:r>
              <w:rPr>
                <w:i/>
                <w:sz w:val="22"/>
              </w:rPr>
              <w:t>end note</w:t>
            </w:r>
            <w:r>
              <w:rPr>
                <w:sz w:val="22"/>
              </w:rPr>
              <w:t>]</w:t>
            </w:r>
          </w:p>
          <w:p>
            <w:pPr>
              <w:pStyle w:val="TableParagraph"/>
              <w:spacing w:before="3"/>
              <w:ind w:left="0"/>
              <w:rPr>
                <w:rFonts w:ascii="Times New Roman"/>
                <w:sz w:val="23"/>
              </w:rPr>
            </w:pPr>
          </w:p>
          <w:p>
            <w:pPr>
              <w:pStyle w:val="TableParagraph"/>
              <w:spacing w:before="0"/>
              <w:ind w:right="682"/>
              <w:rPr>
                <w:sz w:val="22"/>
              </w:rPr>
            </w:pPr>
            <w:r>
              <w:rPr>
                <w:sz w:val="22"/>
              </w:rPr>
              <w:t>The possible values for this attribute are defined by the </w:t>
            </w:r>
            <w:r>
              <w:rPr>
                <w:rFonts w:ascii="Cambria" w:hAnsi="Cambria"/>
                <w:sz w:val="22"/>
              </w:rPr>
              <w:t>ST_NumFmtId </w:t>
            </w:r>
            <w:r>
              <w:rPr>
                <w:sz w:val="22"/>
              </w:rPr>
              <w:t>simple type </w:t>
            </w:r>
            <w:hyperlink w:history="true" w:anchor="_bookmark869">
              <w:r>
                <w:rPr>
                  <w:sz w:val="22"/>
                </w:rPr>
                <w:t>(§18.18.47</w:t>
              </w:r>
            </w:hyperlink>
            <w:r>
              <w:rPr>
                <w:sz w:val="22"/>
              </w:rPr>
              <w:t>).</w:t>
            </w:r>
          </w:p>
        </w:tc>
      </w:tr>
      <w:tr>
        <w:trPr>
          <w:trHeight w:val="1161" w:hRule="atLeast"/>
        </w:trPr>
        <w:tc>
          <w:tcPr>
            <w:tcW w:w="2062" w:type="dxa"/>
          </w:tcPr>
          <w:p>
            <w:pPr>
              <w:pStyle w:val="TableParagraph"/>
              <w:spacing w:line="256" w:lineRule="exact" w:before="42"/>
              <w:rPr>
                <w:rFonts w:ascii="Cambria"/>
                <w:sz w:val="22"/>
              </w:rPr>
            </w:pPr>
            <w:r>
              <w:rPr>
                <w:rFonts w:ascii="Cambria"/>
                <w:sz w:val="22"/>
              </w:rPr>
              <w:t>propertyName</w:t>
            </w:r>
          </w:p>
          <w:p>
            <w:pPr>
              <w:pStyle w:val="TableParagraph"/>
              <w:spacing w:line="267" w:lineRule="exact" w:before="0"/>
              <w:rPr>
                <w:sz w:val="22"/>
              </w:rPr>
            </w:pPr>
            <w:r>
              <w:rPr>
                <w:sz w:val="22"/>
              </w:rPr>
              <w:t>(Property Name)</w:t>
            </w:r>
          </w:p>
        </w:tc>
        <w:tc>
          <w:tcPr>
            <w:tcW w:w="8250" w:type="dxa"/>
          </w:tcPr>
          <w:p>
            <w:pPr>
              <w:pStyle w:val="TableParagraph"/>
              <w:rPr>
                <w:sz w:val="22"/>
              </w:rPr>
            </w:pPr>
            <w:r>
              <w:rPr>
                <w:sz w:val="22"/>
              </w:rPr>
              <w:t>Specifies the name of the property if this field is an OLAP property field.</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772" w:hRule="atLeast"/>
        </w:trPr>
        <w:tc>
          <w:tcPr>
            <w:tcW w:w="2062" w:type="dxa"/>
          </w:tcPr>
          <w:p>
            <w:pPr>
              <w:pStyle w:val="TableParagraph"/>
              <w:ind w:right="91"/>
              <w:rPr>
                <w:sz w:val="22"/>
              </w:rPr>
            </w:pPr>
            <w:r>
              <w:rPr>
                <w:rFonts w:ascii="Cambria"/>
                <w:sz w:val="22"/>
              </w:rPr>
              <w:t>serverField </w:t>
            </w:r>
            <w:r>
              <w:rPr>
                <w:sz w:val="22"/>
              </w:rPr>
              <w:t>(Server- based Field)</w:t>
            </w:r>
          </w:p>
        </w:tc>
        <w:tc>
          <w:tcPr>
            <w:tcW w:w="8250" w:type="dxa"/>
          </w:tcPr>
          <w:p>
            <w:pPr>
              <w:pStyle w:val="TableParagraph"/>
              <w:spacing w:line="477" w:lineRule="auto"/>
              <w:ind w:right="461"/>
              <w:rPr>
                <w:sz w:val="22"/>
              </w:rPr>
            </w:pPr>
            <w:r>
              <w:rPr>
                <w:sz w:val="22"/>
              </w:rPr>
              <w:t>Specifies a boolean value that indicates whether the field is a server-based page field. 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this field is a server-based page field.</w:t>
            </w:r>
          </w:p>
          <w:p>
            <w:pPr>
              <w:pStyle w:val="TableParagraph"/>
              <w:spacing w:line="480" w:lineRule="auto" w:before="4"/>
              <w:ind w:right="1658"/>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this field is not a server-based page field. This attribute applies to ODBC sources only.</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rPr>
                <w:sz w:val="22"/>
              </w:rPr>
            </w:pPr>
            <w:r>
              <w:rPr>
                <w:rFonts w:ascii="Cambria"/>
                <w:sz w:val="22"/>
              </w:rPr>
              <w:t>sqlType </w:t>
            </w:r>
            <w:r>
              <w:rPr>
                <w:sz w:val="22"/>
              </w:rPr>
              <w:t>(SQL Data</w:t>
            </w:r>
          </w:p>
        </w:tc>
        <w:tc>
          <w:tcPr>
            <w:tcW w:w="8250" w:type="dxa"/>
          </w:tcPr>
          <w:p>
            <w:pPr>
              <w:pStyle w:val="TableParagraph"/>
              <w:rPr>
                <w:sz w:val="22"/>
              </w:rPr>
            </w:pPr>
            <w:r>
              <w:rPr>
                <w:sz w:val="22"/>
              </w:rPr>
              <w:t>Specifies the SQL data type of the field. This attribute applies to ODBC data sources only.</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79" w:hRule="atLeast"/>
        </w:trPr>
        <w:tc>
          <w:tcPr>
            <w:tcW w:w="2062" w:type="dxa"/>
          </w:tcPr>
          <w:p>
            <w:pPr>
              <w:pStyle w:val="TableParagraph"/>
              <w:rPr>
                <w:sz w:val="22"/>
              </w:rPr>
            </w:pPr>
            <w:r>
              <w:rPr>
                <w:sz w:val="22"/>
              </w:rPr>
              <w:t>Type)</w:t>
            </w:r>
          </w:p>
        </w:tc>
        <w:tc>
          <w:tcPr>
            <w:tcW w:w="8250" w:type="dxa"/>
          </w:tcPr>
          <w:p>
            <w:pPr>
              <w:pStyle w:val="TableParagraph"/>
              <w:rPr>
                <w:sz w:val="22"/>
              </w:rPr>
            </w:pPr>
            <w:r>
              <w:rPr>
                <w:sz w:val="22"/>
              </w:rPr>
              <w:t>A value is supplied for this attribute only if it is provided to the application.</w:t>
            </w:r>
          </w:p>
          <w:p>
            <w:pPr>
              <w:pStyle w:val="TableParagraph"/>
              <w:spacing w:before="7"/>
              <w:ind w:left="0"/>
              <w:rPr>
                <w:rFonts w:ascii="Times New Roman"/>
                <w:sz w:val="23"/>
              </w:rPr>
            </w:pPr>
          </w:p>
          <w:p>
            <w:pPr>
              <w:pStyle w:val="TableParagraph"/>
              <w:numPr>
                <w:ilvl w:val="0"/>
                <w:numId w:val="44"/>
              </w:numPr>
              <w:tabs>
                <w:tab w:pos="834" w:val="left" w:leader="none"/>
                <w:tab w:pos="835" w:val="left" w:leader="none"/>
              </w:tabs>
              <w:spacing w:line="240" w:lineRule="auto" w:before="0" w:after="0"/>
              <w:ind w:left="835" w:right="373" w:hanging="360"/>
              <w:jc w:val="left"/>
              <w:rPr>
                <w:sz w:val="20"/>
              </w:rPr>
            </w:pPr>
            <w:r>
              <w:rPr>
                <w:sz w:val="20"/>
              </w:rPr>
              <w:t>For more information, including supported data types, see ISO 9075-3:2008, Table 33 - Codes used for concise data</w:t>
            </w:r>
            <w:r>
              <w:rPr>
                <w:spacing w:val="-4"/>
                <w:sz w:val="20"/>
              </w:rPr>
              <w:t> </w:t>
            </w:r>
            <w:r>
              <w:rPr>
                <w:sz w:val="20"/>
              </w:rPr>
              <w:t>types.</w:t>
            </w:r>
          </w:p>
          <w:p>
            <w:pPr>
              <w:pStyle w:val="TableParagraph"/>
              <w:spacing w:before="1"/>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4113" w:hRule="atLeast"/>
        </w:trPr>
        <w:tc>
          <w:tcPr>
            <w:tcW w:w="2062" w:type="dxa"/>
          </w:tcPr>
          <w:p>
            <w:pPr>
              <w:pStyle w:val="TableParagraph"/>
              <w:ind w:right="151"/>
              <w:rPr>
                <w:sz w:val="22"/>
              </w:rPr>
            </w:pPr>
            <w:r>
              <w:rPr>
                <w:rFonts w:ascii="Cambria"/>
                <w:sz w:val="22"/>
              </w:rPr>
              <w:t>uniqueList </w:t>
            </w:r>
            <w:r>
              <w:rPr>
                <w:sz w:val="22"/>
              </w:rPr>
              <w:t>(Unique List Retrieved)</w:t>
            </w:r>
          </w:p>
        </w:tc>
        <w:tc>
          <w:tcPr>
            <w:tcW w:w="8250" w:type="dxa"/>
          </w:tcPr>
          <w:p>
            <w:pPr>
              <w:pStyle w:val="TableParagraph"/>
              <w:ind w:right="205"/>
              <w:rPr>
                <w:sz w:val="22"/>
              </w:rPr>
            </w:pPr>
            <w:r>
              <w:rPr>
                <w:sz w:val="22"/>
              </w:rPr>
              <w:t>Specifies a boolean value that indicates whether the application was able to get a list of unique items for the field. The attribute only applies to PivotTables that use ODBC and is intended to be used in conjunction with optimization features in the application. [</w:t>
            </w:r>
            <w:r>
              <w:rPr>
                <w:i/>
                <w:sz w:val="22"/>
              </w:rPr>
              <w:t>Example</w:t>
            </w:r>
            <w:r>
              <w:rPr>
                <w:sz w:val="22"/>
              </w:rPr>
              <w:t>: the application can optimize memory usage when populating PivotCache records if it has a list of unique items for a field before all the records are retrieved from ODBC. </w:t>
            </w:r>
            <w:r>
              <w:rPr>
                <w:i/>
                <w:sz w:val="22"/>
              </w:rPr>
              <w:t>end example</w:t>
            </w:r>
            <w:r>
              <w:rPr>
                <w:sz w:val="22"/>
              </w:rPr>
              <w:t>]</w:t>
            </w:r>
          </w:p>
          <w:p>
            <w:pPr>
              <w:pStyle w:val="TableParagraph"/>
              <w:spacing w:before="3"/>
              <w:ind w:left="0"/>
              <w:rPr>
                <w:rFonts w:ascii="Times New Roman"/>
                <w:sz w:val="23"/>
              </w:rPr>
            </w:pPr>
          </w:p>
          <w:p>
            <w:pPr>
              <w:pStyle w:val="TableParagraph"/>
              <w:spacing w:before="1"/>
              <w:ind w:right="383"/>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application was able to get a list of unique values for the field.</w:t>
            </w:r>
          </w:p>
          <w:p>
            <w:pPr>
              <w:pStyle w:val="TableParagraph"/>
              <w:spacing w:before="4"/>
              <w:ind w:left="0"/>
              <w:rPr>
                <w:rFonts w:ascii="Times New Roman"/>
                <w:sz w:val="23"/>
              </w:rPr>
            </w:pPr>
          </w:p>
          <w:p>
            <w:pPr>
              <w:pStyle w:val="TableParagraph"/>
              <w:spacing w:before="0"/>
              <w:ind w:right="34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was unable to get a list of unique values for the field.</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517"/>
      </w:pPr>
      <w:r>
        <w:rPr/>
        <w:t>[</w:t>
      </w:r>
      <w:r>
        <w:rPr>
          <w:i/>
        </w:rPr>
        <w:t>Note</w:t>
      </w:r>
      <w:r>
        <w:rPr/>
        <w:t>: The W3C XML Schema definition of this element’s content model (</w:t>
      </w:r>
      <w:r>
        <w:rPr>
          <w:color w:val="5F5F5F"/>
          <w:u w:val="single" w:color="5F5F5F"/>
        </w:rPr>
        <w:t>CT_CacheField</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 cacheFields (PivotCache Fields" w:id="761"/>
      <w:bookmarkEnd w:id="761"/>
      <w:r>
        <w:rPr/>
      </w:r>
      <w:bookmarkStart w:name="_bookmark252" w:id="762"/>
      <w:bookmarkEnd w:id="762"/>
      <w:r>
        <w:rPr/>
      </w:r>
      <w:bookmarkStart w:name="_bookmark252" w:id="763"/>
      <w:bookmarkEnd w:id="763"/>
      <w:r>
        <w:rPr>
          <w:color w:val="4F81BC"/>
        </w:rPr>
        <w:t>cacheFie</w:t>
      </w:r>
      <w:r>
        <w:rPr>
          <w:color w:val="4F81BC"/>
        </w:rPr>
        <w:t>lds (PivotCache</w:t>
      </w:r>
      <w:r>
        <w:rPr>
          <w:color w:val="4F81BC"/>
          <w:spacing w:val="-1"/>
        </w:rPr>
        <w:t> </w:t>
      </w:r>
      <w:r>
        <w:rPr>
          <w:color w:val="4F81BC"/>
        </w:rPr>
        <w:t>Fields)</w:t>
      </w:r>
    </w:p>
    <w:p>
      <w:pPr>
        <w:pStyle w:val="BodyText"/>
        <w:spacing w:line="453" w:lineRule="auto" w:before="121"/>
        <w:ind w:left="220" w:right="4779"/>
      </w:pPr>
      <w:r>
        <w:rPr/>
        <w:t>Represents the collection of field definitions in the source data. [</w:t>
      </w:r>
      <w:r>
        <w:rPr>
          <w:i/>
        </w:rPr>
        <w:t>Example</w:t>
      </w:r>
      <w:r>
        <w:rPr/>
        <w:t>:</w:t>
      </w:r>
    </w:p>
    <w:p>
      <w:pPr>
        <w:pStyle w:val="BodyText"/>
        <w:spacing w:before="3"/>
        <w:ind w:left="508"/>
        <w:rPr>
          <w:rFonts w:ascii="Consolas"/>
        </w:rPr>
      </w:pPr>
      <w:r>
        <w:rPr>
          <w:rFonts w:ascii="Consolas"/>
        </w:rPr>
        <w:t>&lt;cacheFields count="1"&gt;</w:t>
      </w:r>
    </w:p>
    <w:p>
      <w:pPr>
        <w:pStyle w:val="BodyText"/>
        <w:spacing w:before="40"/>
        <w:ind w:left="750"/>
        <w:rPr>
          <w:rFonts w:ascii="Consolas"/>
        </w:rPr>
      </w:pPr>
      <w:r>
        <w:rPr>
          <w:rFonts w:ascii="Consolas"/>
        </w:rPr>
        <w:t>&lt;cacheField name="Group" numFmtId="0"&gt;</w:t>
      </w:r>
    </w:p>
    <w:p>
      <w:pPr>
        <w:pStyle w:val="BodyText"/>
        <w:spacing w:before="37"/>
        <w:ind w:left="993"/>
        <w:rPr>
          <w:rFonts w:ascii="Consolas"/>
        </w:rPr>
      </w:pPr>
      <w:r>
        <w:rPr>
          <w:rFonts w:ascii="Consolas"/>
        </w:rPr>
        <w:t>&lt;sharedItems count="3"&gt;</w:t>
      </w:r>
    </w:p>
    <w:p>
      <w:pPr>
        <w:pStyle w:val="BodyText"/>
        <w:spacing w:before="40"/>
        <w:ind w:left="1235"/>
        <w:rPr>
          <w:rFonts w:ascii="Consolas"/>
        </w:rPr>
      </w:pPr>
      <w:r>
        <w:rPr>
          <w:rFonts w:ascii="Consolas"/>
        </w:rPr>
        <w:t>&lt;s</w:t>
      </w:r>
      <w:r>
        <w:rPr>
          <w:rFonts w:ascii="Consolas"/>
          <w:spacing w:val="-9"/>
        </w:rPr>
        <w:t> </w:t>
      </w:r>
      <w:r>
        <w:rPr>
          <w:rFonts w:ascii="Consolas"/>
        </w:rPr>
        <w:t>v="One"/&gt;</w:t>
      </w:r>
    </w:p>
    <w:p>
      <w:pPr>
        <w:pStyle w:val="BodyText"/>
        <w:spacing w:before="38"/>
        <w:ind w:left="1235"/>
        <w:rPr>
          <w:rFonts w:ascii="Consolas"/>
        </w:rPr>
      </w:pPr>
      <w:r>
        <w:rPr>
          <w:rFonts w:ascii="Consolas"/>
        </w:rPr>
        <w:t>&lt;s</w:t>
      </w:r>
      <w:r>
        <w:rPr>
          <w:rFonts w:ascii="Consolas"/>
          <w:spacing w:val="-9"/>
        </w:rPr>
        <w:t> </w:t>
      </w:r>
      <w:r>
        <w:rPr>
          <w:rFonts w:ascii="Consolas"/>
        </w:rPr>
        <w:t>v="Two"/&gt;</w:t>
      </w:r>
    </w:p>
    <w:p>
      <w:pPr>
        <w:pStyle w:val="BodyText"/>
        <w:spacing w:before="37"/>
        <w:ind w:left="1235"/>
        <w:rPr>
          <w:rFonts w:ascii="Consolas"/>
        </w:rPr>
      </w:pPr>
      <w:r>
        <w:rPr>
          <w:rFonts w:ascii="Consolas"/>
        </w:rPr>
        <w:t>&lt;s v="Three"/&gt;</w:t>
      </w:r>
    </w:p>
    <w:p>
      <w:pPr>
        <w:pStyle w:val="BodyText"/>
        <w:spacing w:before="41"/>
        <w:ind w:left="993"/>
        <w:rPr>
          <w:rFonts w:ascii="Consolas"/>
        </w:rPr>
      </w:pPr>
      <w:r>
        <w:rPr>
          <w:rFonts w:ascii="Consolas"/>
        </w:rPr>
        <w:t>&lt;/sharedItems&gt;</w:t>
      </w:r>
    </w:p>
    <w:p>
      <w:pPr>
        <w:pStyle w:val="BodyText"/>
        <w:spacing w:before="38"/>
        <w:ind w:left="750"/>
        <w:rPr>
          <w:rFonts w:ascii="Consolas"/>
        </w:rPr>
      </w:pPr>
      <w:r>
        <w:rPr>
          <w:rFonts w:ascii="Consolas"/>
        </w:rPr>
        <w:t>&lt;/cacheField&gt;</w:t>
      </w:r>
    </w:p>
    <w:p>
      <w:pPr>
        <w:pStyle w:val="BodyText"/>
        <w:spacing w:before="40"/>
        <w:ind w:left="508"/>
        <w:rPr>
          <w:rFonts w:ascii="Consolas"/>
        </w:rPr>
      </w:pPr>
      <w:r>
        <w:rPr>
          <w:rFonts w:ascii="Consolas"/>
        </w:rPr>
        <w:t>&lt;/cacheFields&gt;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42" w:right="129"/>
              <w:jc w:val="center"/>
              <w:rPr>
                <w:sz w:val="22"/>
              </w:rPr>
            </w:pPr>
            <w:r>
              <w:rPr>
                <w:rFonts w:ascii="Cambria"/>
                <w:sz w:val="22"/>
              </w:rPr>
              <w:t>count </w:t>
            </w:r>
            <w:r>
              <w:rPr>
                <w:sz w:val="22"/>
              </w:rPr>
              <w:t>(Field Count)</w:t>
            </w:r>
          </w:p>
        </w:tc>
        <w:tc>
          <w:tcPr>
            <w:tcW w:w="8250" w:type="dxa"/>
          </w:tcPr>
          <w:p>
            <w:pPr>
              <w:pStyle w:val="TableParagraph"/>
              <w:rPr>
                <w:sz w:val="22"/>
              </w:rPr>
            </w:pPr>
            <w:r>
              <w:rPr>
                <w:sz w:val="22"/>
              </w:rPr>
              <w:t>Specifies the number of fields in the cache.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6"/>
        <w:ind w:left="220" w:right="431"/>
      </w:pPr>
      <w:r>
        <w:rPr/>
        <w:t>[</w:t>
      </w:r>
      <w:r>
        <w:rPr>
          <w:i/>
        </w:rPr>
        <w:t>Note</w:t>
      </w:r>
      <w:r>
        <w:rPr/>
        <w:t>: The W3C XML Schema definition of this element’s content model (</w:t>
      </w:r>
      <w:r>
        <w:rPr>
          <w:color w:val="5F5F5F"/>
          <w:u w:val="single" w:color="5F5F5F"/>
        </w:rPr>
        <w:t>CT_CacheFields</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 cacheHierarchies (PivotCache H" w:id="764"/>
      <w:bookmarkEnd w:id="764"/>
      <w:r>
        <w:rPr/>
      </w:r>
      <w:bookmarkStart w:name="_bookmark253" w:id="765"/>
      <w:bookmarkEnd w:id="765"/>
      <w:r>
        <w:rPr/>
      </w:r>
      <w:bookmarkStart w:name="_bookmark253" w:id="766"/>
      <w:bookmarkEnd w:id="766"/>
      <w:r>
        <w:rPr>
          <w:color w:val="4F81BC"/>
        </w:rPr>
        <w:t>cacheHie</w:t>
      </w:r>
      <w:r>
        <w:rPr>
          <w:color w:val="4F81BC"/>
        </w:rPr>
        <w:t>rarchies (PivotCache Hierarchies)</w:t>
      </w:r>
    </w:p>
    <w:p>
      <w:pPr>
        <w:pStyle w:val="BodyText"/>
        <w:spacing w:line="456" w:lineRule="auto" w:before="121"/>
        <w:ind w:left="220" w:right="4708"/>
      </w:pPr>
      <w:r>
        <w:rPr/>
        <w:t>Represents the collection of OLAP hierarchies in the PivotCache. [</w:t>
      </w:r>
      <w:r>
        <w:rPr>
          <w:i/>
        </w:rPr>
        <w:t>Example</w:t>
      </w:r>
      <w:r>
        <w:rPr/>
        <w:t>:</w:t>
      </w:r>
    </w:p>
    <w:p>
      <w:pPr>
        <w:pStyle w:val="BodyText"/>
        <w:spacing w:line="255" w:lineRule="exact"/>
        <w:ind w:left="508"/>
        <w:rPr>
          <w:rFonts w:ascii="Consolas"/>
        </w:rPr>
      </w:pPr>
      <w:r>
        <w:rPr>
          <w:rFonts w:ascii="Consolas"/>
        </w:rPr>
        <w:t>&lt;cacheHierarchies count="2"&gt;</w:t>
      </w:r>
    </w:p>
    <w:p>
      <w:pPr>
        <w:pStyle w:val="BodyText"/>
        <w:spacing w:line="276" w:lineRule="auto" w:before="40"/>
        <w:ind w:left="993" w:right="503" w:hanging="243"/>
        <w:rPr>
          <w:rFonts w:ascii="Consolas"/>
        </w:rPr>
      </w:pPr>
      <w:r>
        <w:rPr>
          <w:rFonts w:ascii="Consolas"/>
        </w:rPr>
        <w:t>&lt;cacheHierarchy uniqueName="[Account].[Account]" caption="Account" attribute="1" keyAttribute="1" defaultMemberUniqueName="[Account].[Account].[All Accounts]" allUniqueName="[Account].[Account].[All Accounts]" dimensionUniqueName="[Account]" count="0"/&gt;</w:t>
      </w:r>
    </w:p>
    <w:p>
      <w:pPr>
        <w:pStyle w:val="BodyText"/>
        <w:spacing w:line="276" w:lineRule="auto"/>
        <w:ind w:left="993" w:right="1200" w:hanging="243"/>
        <w:rPr>
          <w:rFonts w:ascii="Consolas"/>
        </w:rPr>
      </w:pPr>
      <w:r>
        <w:rPr>
          <w:rFonts w:ascii="Consolas"/>
        </w:rPr>
        <w:t>&lt;cacheHierarchy uniqueName="[Account].[Account Number]" caption="Account Number" attribute="1" defaultMemberUniqueName="[Account].[Account Number].[All Accounts]" allUniqueName="[Account].[Account Number].[All Accounts]" dimensionUniqueName="[Account]" count="0"/&gt;</w:t>
      </w:r>
    </w:p>
    <w:p>
      <w:pPr>
        <w:pStyle w:val="BodyText"/>
        <w:spacing w:before="1"/>
        <w:ind w:left="508"/>
        <w:rPr>
          <w:rFonts w:ascii="Consolas"/>
        </w:rPr>
      </w:pPr>
      <w:r>
        <w:rPr>
          <w:rFonts w:ascii="Consolas"/>
        </w:rPr>
        <w:t>&lt;/cacheHierarchies&gt;</w:t>
      </w:r>
    </w:p>
    <w:p>
      <w:pPr>
        <w:pStyle w:val="BodyText"/>
        <w:spacing w:before="5"/>
        <w:rPr>
          <w:rFonts w:ascii="Consolas"/>
          <w:sz w:val="20"/>
        </w:rPr>
      </w:pPr>
    </w:p>
    <w:p>
      <w:pPr>
        <w:spacing w:before="0"/>
        <w:ind w:left="27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line="237" w:lineRule="auto" w:before="44"/>
              <w:ind w:right="405"/>
              <w:rPr>
                <w:sz w:val="22"/>
              </w:rPr>
            </w:pPr>
            <w:r>
              <w:rPr>
                <w:rFonts w:ascii="Cambria"/>
                <w:sz w:val="22"/>
              </w:rPr>
              <w:t>count </w:t>
            </w:r>
            <w:r>
              <w:rPr>
                <w:sz w:val="22"/>
              </w:rPr>
              <w:t>(Hierarchy Count)</w:t>
            </w:r>
          </w:p>
        </w:tc>
        <w:tc>
          <w:tcPr>
            <w:tcW w:w="8250" w:type="dxa"/>
          </w:tcPr>
          <w:p>
            <w:pPr>
              <w:pStyle w:val="TableParagraph"/>
              <w:spacing w:before="42"/>
              <w:rPr>
                <w:sz w:val="22"/>
              </w:rPr>
            </w:pPr>
            <w:r>
              <w:rPr>
                <w:sz w:val="22"/>
              </w:rPr>
              <w:t>Specifies the number of OLAP hierarchies in the cache.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CT_CacheHierarchies</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 cacheHierarchy (PivotCache Hie" w:id="767"/>
      <w:bookmarkEnd w:id="767"/>
      <w:r>
        <w:rPr/>
      </w:r>
      <w:bookmarkStart w:name="_bookmark254" w:id="768"/>
      <w:bookmarkEnd w:id="768"/>
      <w:r>
        <w:rPr/>
      </w:r>
      <w:bookmarkStart w:name="_bookmark254" w:id="769"/>
      <w:bookmarkEnd w:id="769"/>
      <w:r>
        <w:rPr>
          <w:color w:val="4F81BC"/>
        </w:rPr>
        <w:t>cacheHie</w:t>
      </w:r>
      <w:r>
        <w:rPr>
          <w:color w:val="4F81BC"/>
        </w:rPr>
        <w:t>rarchy (PivotCache</w:t>
      </w:r>
      <w:r>
        <w:rPr>
          <w:color w:val="4F81BC"/>
          <w:spacing w:val="-3"/>
        </w:rPr>
        <w:t> </w:t>
      </w:r>
      <w:r>
        <w:rPr>
          <w:color w:val="4F81BC"/>
        </w:rPr>
        <w:t>Hierarchy)</w:t>
      </w:r>
    </w:p>
    <w:p>
      <w:pPr>
        <w:pStyle w:val="BodyText"/>
        <w:spacing w:line="453" w:lineRule="auto" w:before="121"/>
        <w:ind w:left="220" w:right="6083"/>
      </w:pPr>
      <w:r>
        <w:rPr/>
        <w:t>Represents an OLAP hierarchy in the PivotCache. [</w:t>
      </w:r>
      <w:r>
        <w:rPr>
          <w:i/>
        </w:rPr>
        <w:t>Example</w:t>
      </w:r>
      <w:r>
        <w:rPr/>
        <w:t>:</w:t>
      </w:r>
    </w:p>
    <w:p>
      <w:pPr>
        <w:spacing w:after="0" w:line="453" w:lineRule="auto"/>
        <w:sectPr>
          <w:pgSz w:w="12240" w:h="15840"/>
          <w:pgMar w:header="763" w:footer="746" w:top="1340" w:bottom="940" w:left="860" w:right="700"/>
        </w:sectPr>
      </w:pPr>
    </w:p>
    <w:p>
      <w:pPr>
        <w:pStyle w:val="BodyText"/>
        <w:spacing w:line="276" w:lineRule="auto" w:before="93"/>
        <w:ind w:left="750" w:right="503" w:hanging="243"/>
        <w:rPr>
          <w:rFonts w:ascii="Consolas"/>
        </w:rPr>
      </w:pPr>
      <w:r>
        <w:rPr>
          <w:rFonts w:ascii="Consolas"/>
        </w:rPr>
        <w:t>&lt;cacheHierarchy uniqueName="[Account].[Account Number]" caption="Account</w:t>
      </w:r>
      <w:r>
        <w:rPr>
          <w:rFonts w:ascii="Consolas"/>
          <w:spacing w:val="-52"/>
        </w:rPr>
        <w:t> </w:t>
      </w:r>
      <w:r>
        <w:rPr>
          <w:rFonts w:ascii="Consolas"/>
        </w:rPr>
        <w:t>Number" attribute="1" defaultMemberUniqueName="[Account].[Account Number].[All Accounts]" allUniqueName="[Account].[Account Number].[All Accounts]" dimensionUniqueName="[Account]" count="0"/&gt;</w:t>
      </w:r>
    </w:p>
    <w:p>
      <w:pPr>
        <w:pStyle w:val="BodyText"/>
        <w:spacing w:before="1"/>
        <w:rPr>
          <w:rFonts w:ascii="Consolas"/>
          <w:sz w:val="17"/>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03"/>
              <w:rPr>
                <w:sz w:val="22"/>
              </w:rPr>
            </w:pPr>
            <w:r>
              <w:rPr>
                <w:rFonts w:ascii="Cambria"/>
                <w:sz w:val="22"/>
              </w:rPr>
              <w:t>allCaption </w:t>
            </w:r>
            <w:r>
              <w:rPr>
                <w:sz w:val="22"/>
              </w:rPr>
              <w:t>(Display Name of 'All')</w:t>
            </w:r>
          </w:p>
        </w:tc>
        <w:tc>
          <w:tcPr>
            <w:tcW w:w="8250" w:type="dxa"/>
          </w:tcPr>
          <w:p>
            <w:pPr>
              <w:pStyle w:val="TableParagraph"/>
              <w:rPr>
                <w:sz w:val="22"/>
              </w:rPr>
            </w:pPr>
            <w:r>
              <w:rPr>
                <w:sz w:val="22"/>
              </w:rPr>
              <w:t>Specifies the display name of the "all" member of this hierarchy.</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9" w:hRule="atLeast"/>
        </w:trPr>
        <w:tc>
          <w:tcPr>
            <w:tcW w:w="2062" w:type="dxa"/>
          </w:tcPr>
          <w:p>
            <w:pPr>
              <w:pStyle w:val="TableParagraph"/>
              <w:spacing w:line="237" w:lineRule="auto" w:before="45"/>
              <w:ind w:right="387"/>
              <w:rPr>
                <w:sz w:val="22"/>
              </w:rPr>
            </w:pPr>
            <w:r>
              <w:rPr>
                <w:rFonts w:ascii="Cambria"/>
                <w:sz w:val="22"/>
              </w:rPr>
              <w:t>allUniqueName </w:t>
            </w:r>
            <w:r>
              <w:rPr>
                <w:sz w:val="22"/>
              </w:rPr>
              <w:t>(Unique Name of 'All')</w:t>
            </w:r>
          </w:p>
        </w:tc>
        <w:tc>
          <w:tcPr>
            <w:tcW w:w="8250" w:type="dxa"/>
          </w:tcPr>
          <w:p>
            <w:pPr>
              <w:pStyle w:val="TableParagraph"/>
              <w:rPr>
                <w:sz w:val="22"/>
              </w:rPr>
            </w:pPr>
            <w:r>
              <w:rPr>
                <w:sz w:val="22"/>
              </w:rPr>
              <w:t>Specifies the unique name of the "all" member of this hierarchy.</w:t>
            </w:r>
          </w:p>
          <w:p>
            <w:pPr>
              <w:pStyle w:val="TableParagraph"/>
              <w:spacing w:before="10"/>
              <w:ind w:left="0"/>
              <w:rPr>
                <w:sz w:val="21"/>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771" w:hRule="atLeast"/>
        </w:trPr>
        <w:tc>
          <w:tcPr>
            <w:tcW w:w="2062" w:type="dxa"/>
          </w:tcPr>
          <w:p>
            <w:pPr>
              <w:pStyle w:val="TableParagraph"/>
              <w:ind w:right="153"/>
              <w:rPr>
                <w:sz w:val="22"/>
              </w:rPr>
            </w:pPr>
            <w:r>
              <w:rPr>
                <w:rFonts w:ascii="Cambria"/>
                <w:sz w:val="22"/>
              </w:rPr>
              <w:t>attribute </w:t>
            </w:r>
            <w:r>
              <w:rPr>
                <w:sz w:val="22"/>
              </w:rPr>
              <w:t>(Attribute Hierarchy)</w:t>
            </w:r>
          </w:p>
        </w:tc>
        <w:tc>
          <w:tcPr>
            <w:tcW w:w="8250" w:type="dxa"/>
          </w:tcPr>
          <w:p>
            <w:pPr>
              <w:pStyle w:val="TableParagraph"/>
              <w:ind w:right="184"/>
              <w:rPr>
                <w:sz w:val="22"/>
              </w:rPr>
            </w:pPr>
            <w:r>
              <w:rPr>
                <w:sz w:val="22"/>
              </w:rPr>
              <w:t>Specifies a boolean value that indicates whether this hierarchy is an attribute hierarchy. An attribute hierarchy is an OLAP member that is exposed as a flat, single-level hierarchy on the OLAP server.</w:t>
            </w:r>
          </w:p>
          <w:p>
            <w:pPr>
              <w:pStyle w:val="TableParagraph"/>
              <w:spacing w:before="0"/>
              <w:ind w:left="0"/>
              <w:rPr>
                <w:sz w:val="22"/>
              </w:rPr>
            </w:pPr>
          </w:p>
          <w:p>
            <w:pPr>
              <w:pStyle w:val="TableParagraph"/>
              <w:spacing w:before="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is an attribute hierarchy.</w:t>
            </w:r>
          </w:p>
          <w:p>
            <w:pPr>
              <w:pStyle w:val="TableParagraph"/>
              <w:spacing w:before="0"/>
              <w:ind w:left="0"/>
              <w:rPr>
                <w:sz w:val="22"/>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this hierarchy is not an attribute hierarchy.</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ind w:right="235"/>
              <w:rPr>
                <w:sz w:val="22"/>
              </w:rPr>
            </w:pPr>
            <w:r>
              <w:rPr>
                <w:rFonts w:ascii="Cambria"/>
                <w:sz w:val="22"/>
              </w:rPr>
              <w:t>caption </w:t>
            </w:r>
            <w:r>
              <w:rPr>
                <w:sz w:val="22"/>
              </w:rPr>
              <w:t>(Hierarchy Display Name)</w:t>
            </w:r>
          </w:p>
        </w:tc>
        <w:tc>
          <w:tcPr>
            <w:tcW w:w="8250" w:type="dxa"/>
          </w:tcPr>
          <w:p>
            <w:pPr>
              <w:pStyle w:val="TableParagraph"/>
              <w:rPr>
                <w:sz w:val="22"/>
              </w:rPr>
            </w:pPr>
            <w:r>
              <w:rPr>
                <w:sz w:val="22"/>
              </w:rPr>
              <w:t>Specifies the display name of the hierarchy.</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722"/>
              <w:rPr>
                <w:sz w:val="22"/>
              </w:rPr>
            </w:pPr>
            <w:r>
              <w:rPr>
                <w:rFonts w:ascii="Cambria"/>
                <w:sz w:val="22"/>
              </w:rPr>
              <w:t>count </w:t>
            </w:r>
            <w:r>
              <w:rPr>
                <w:sz w:val="22"/>
              </w:rPr>
              <w:t>(Levels Count)</w:t>
            </w:r>
          </w:p>
        </w:tc>
        <w:tc>
          <w:tcPr>
            <w:tcW w:w="8250" w:type="dxa"/>
          </w:tcPr>
          <w:p>
            <w:pPr>
              <w:pStyle w:val="TableParagraph"/>
              <w:rPr>
                <w:sz w:val="22"/>
              </w:rPr>
            </w:pPr>
            <w:r>
              <w:rPr>
                <w:sz w:val="22"/>
              </w:rPr>
              <w:t>Specifies the number of levels in this hierarchy.</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spacing w:before="42"/>
              <w:ind w:right="143"/>
              <w:rPr>
                <w:sz w:val="22"/>
              </w:rPr>
            </w:pPr>
            <w:r>
              <w:rPr>
                <w:rFonts w:ascii="Cambria"/>
                <w:sz w:val="22"/>
              </w:rPr>
              <w:t>defaultMemberUni queName </w:t>
            </w:r>
            <w:r>
              <w:rPr>
                <w:sz w:val="22"/>
              </w:rPr>
              <w:t>(Default Member Unique Name)</w:t>
            </w:r>
          </w:p>
        </w:tc>
        <w:tc>
          <w:tcPr>
            <w:tcW w:w="8250" w:type="dxa"/>
          </w:tcPr>
          <w:p>
            <w:pPr>
              <w:pStyle w:val="TableParagraph"/>
              <w:rPr>
                <w:sz w:val="22"/>
              </w:rPr>
            </w:pPr>
            <w:r>
              <w:rPr>
                <w:sz w:val="22"/>
              </w:rPr>
              <w:t>Specifies the unique name of the default member of this hierarchy</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spacing w:line="237" w:lineRule="auto" w:before="45"/>
              <w:ind w:right="100"/>
              <w:rPr>
                <w:sz w:val="22"/>
              </w:rPr>
            </w:pPr>
            <w:r>
              <w:rPr>
                <w:rFonts w:ascii="Cambria"/>
                <w:sz w:val="22"/>
              </w:rPr>
              <w:t>dimensionUniqueN ame </w:t>
            </w:r>
            <w:r>
              <w:rPr>
                <w:sz w:val="22"/>
              </w:rPr>
              <w:t>(Dimension Unique Name)</w:t>
            </w:r>
          </w:p>
        </w:tc>
        <w:tc>
          <w:tcPr>
            <w:tcW w:w="8250" w:type="dxa"/>
          </w:tcPr>
          <w:p>
            <w:pPr>
              <w:pStyle w:val="TableParagraph"/>
              <w:rPr>
                <w:sz w:val="22"/>
              </w:rPr>
            </w:pPr>
            <w:r>
              <w:rPr>
                <w:sz w:val="22"/>
              </w:rPr>
              <w:t>Specifies the unique name of the dimension to which this hierarchy belongs.</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623" w:hRule="atLeast"/>
        </w:trPr>
        <w:tc>
          <w:tcPr>
            <w:tcW w:w="2062" w:type="dxa"/>
          </w:tcPr>
          <w:p>
            <w:pPr>
              <w:pStyle w:val="TableParagraph"/>
              <w:spacing w:line="256" w:lineRule="exact" w:before="45"/>
              <w:rPr>
                <w:rFonts w:ascii="Cambria"/>
                <w:sz w:val="22"/>
              </w:rPr>
            </w:pPr>
            <w:r>
              <w:rPr>
                <w:rFonts w:ascii="Cambria"/>
                <w:sz w:val="22"/>
              </w:rPr>
              <w:t>displayFolder</w:t>
            </w:r>
          </w:p>
          <w:p>
            <w:pPr>
              <w:pStyle w:val="TableParagraph"/>
              <w:spacing w:line="267" w:lineRule="exact" w:before="0"/>
              <w:rPr>
                <w:sz w:val="22"/>
              </w:rPr>
            </w:pPr>
            <w:r>
              <w:rPr>
                <w:sz w:val="22"/>
              </w:rPr>
              <w:t>(Display Folder)</w:t>
            </w:r>
          </w:p>
        </w:tc>
        <w:tc>
          <w:tcPr>
            <w:tcW w:w="8250" w:type="dxa"/>
          </w:tcPr>
          <w:p>
            <w:pPr>
              <w:pStyle w:val="TableParagraph"/>
              <w:spacing w:before="42"/>
              <w:rPr>
                <w:sz w:val="22"/>
              </w:rPr>
            </w:pPr>
            <w:r>
              <w:rPr>
                <w:sz w:val="22"/>
              </w:rPr>
              <w:t>Specifies the display folder in which this hierarchy should be displayed.</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6" w:hRule="atLeast"/>
        </w:trPr>
        <w:tc>
          <w:tcPr>
            <w:tcW w:w="2062" w:type="dxa"/>
          </w:tcPr>
          <w:p>
            <w:pPr>
              <w:pStyle w:val="TableParagraph"/>
              <w:rPr>
                <w:sz w:val="22"/>
              </w:rPr>
            </w:pPr>
            <w:r>
              <w:rPr>
                <w:rFonts w:ascii="Cambria"/>
                <w:sz w:val="22"/>
              </w:rPr>
              <w:t>hidden </w:t>
            </w:r>
            <w:r>
              <w:rPr>
                <w:sz w:val="22"/>
              </w:rPr>
              <w:t>(Hidden)</w:t>
            </w:r>
          </w:p>
        </w:tc>
        <w:tc>
          <w:tcPr>
            <w:tcW w:w="8250" w:type="dxa"/>
          </w:tcPr>
          <w:p>
            <w:pPr>
              <w:pStyle w:val="TableParagraph"/>
              <w:spacing w:line="477" w:lineRule="auto"/>
              <w:ind w:right="1629"/>
              <w:rPr>
                <w:sz w:val="22"/>
              </w:rPr>
            </w:pPr>
            <w:r>
              <w:rPr>
                <w:sz w:val="22"/>
              </w:rPr>
              <w:t>Specifies a boolean value that indicates whether the hierarchy is hidden.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is hidden.</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28" w:hRule="atLeast"/>
        </w:trPr>
        <w:tc>
          <w:tcPr>
            <w:tcW w:w="2062" w:type="dxa"/>
            <w:tcBorders>
              <w:bottom w:val="nil"/>
            </w:tcBorders>
          </w:tcPr>
          <w:p>
            <w:pPr>
              <w:pStyle w:val="TableParagraph"/>
              <w:rPr>
                <w:sz w:val="22"/>
              </w:rPr>
            </w:pPr>
            <w:r>
              <w:rPr>
                <w:rFonts w:ascii="Cambria"/>
                <w:sz w:val="22"/>
              </w:rPr>
              <w:t>iconSet </w:t>
            </w:r>
            <w:r>
              <w:rPr>
                <w:sz w:val="22"/>
              </w:rPr>
              <w:t>(KPI Icon</w:t>
            </w:r>
          </w:p>
        </w:tc>
        <w:tc>
          <w:tcPr>
            <w:tcW w:w="8250" w:type="dxa"/>
            <w:tcBorders>
              <w:bottom w:val="nil"/>
            </w:tcBorders>
          </w:tcPr>
          <w:p>
            <w:pPr>
              <w:pStyle w:val="TableParagraph"/>
              <w:rPr>
                <w:sz w:val="22"/>
              </w:rPr>
            </w:pPr>
            <w:r>
              <w:rPr>
                <w:sz w:val="22"/>
              </w:rPr>
              <w:t>Specifies the icon set to use to visualize a KPI trend or status expression. PivotTables use</w:t>
            </w:r>
          </w:p>
        </w:tc>
      </w:tr>
      <w:tr>
        <w:trPr>
          <w:trHeight w:val="268" w:hRule="atLeast"/>
        </w:trPr>
        <w:tc>
          <w:tcPr>
            <w:tcW w:w="2062" w:type="dxa"/>
            <w:tcBorders>
              <w:top w:val="nil"/>
              <w:bottom w:val="nil"/>
            </w:tcBorders>
          </w:tcPr>
          <w:p>
            <w:pPr>
              <w:pStyle w:val="TableParagraph"/>
              <w:spacing w:line="249" w:lineRule="exact" w:before="0"/>
              <w:rPr>
                <w:sz w:val="22"/>
              </w:rPr>
            </w:pPr>
            <w:r>
              <w:rPr>
                <w:sz w:val="22"/>
              </w:rPr>
              <w:t>Set)</w:t>
            </w:r>
          </w:p>
        </w:tc>
        <w:tc>
          <w:tcPr>
            <w:tcW w:w="8250" w:type="dxa"/>
            <w:tcBorders>
              <w:top w:val="nil"/>
              <w:bottom w:val="nil"/>
            </w:tcBorders>
          </w:tcPr>
          <w:p>
            <w:pPr>
              <w:pStyle w:val="TableParagraph"/>
              <w:spacing w:line="249" w:lineRule="exact" w:before="0"/>
              <w:rPr>
                <w:sz w:val="22"/>
              </w:rPr>
            </w:pPr>
            <w:r>
              <w:rPr>
                <w:sz w:val="22"/>
              </w:rPr>
              <w:t>the icon sets available for conditional formatting in SpreadsheetML. See associated</w:t>
            </w:r>
          </w:p>
        </w:tc>
      </w:tr>
      <w:tr>
        <w:trPr>
          <w:trHeight w:val="550"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simple type definition for details. The following values are used by PivotTables:</w:t>
            </w:r>
          </w:p>
          <w:p>
            <w:pPr>
              <w:pStyle w:val="TableParagraph"/>
              <w:numPr>
                <w:ilvl w:val="0"/>
                <w:numId w:val="45"/>
              </w:numPr>
              <w:tabs>
                <w:tab w:pos="834" w:val="left" w:leader="none"/>
                <w:tab w:pos="835" w:val="left" w:leader="none"/>
              </w:tabs>
              <w:spacing w:line="240" w:lineRule="auto" w:before="1" w:after="0"/>
              <w:ind w:left="835" w:right="0" w:hanging="360"/>
              <w:jc w:val="left"/>
              <w:rPr>
                <w:sz w:val="22"/>
              </w:rPr>
            </w:pPr>
            <w:r>
              <w:rPr>
                <w:sz w:val="22"/>
              </w:rPr>
              <w:t>no value: default iconset. For status KPI this corresponds to 3 traffic lights.</w:t>
            </w:r>
            <w:r>
              <w:rPr>
                <w:spacing w:val="34"/>
                <w:sz w:val="22"/>
              </w:rPr>
              <w:t> </w:t>
            </w:r>
            <w:r>
              <w:rPr>
                <w:sz w:val="22"/>
              </w:rPr>
              <w:t>For</w:t>
            </w:r>
          </w:p>
        </w:tc>
      </w:tr>
      <w:tr>
        <w:trPr>
          <w:trHeight w:val="3462"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8" w:lineRule="exact" w:before="0"/>
              <w:ind w:left="835"/>
              <w:rPr>
                <w:sz w:val="22"/>
              </w:rPr>
            </w:pPr>
            <w:r>
              <w:rPr>
                <w:sz w:val="22"/>
              </w:rPr>
              <w:t>trend KPI this corresponds to 3-arrows.</w:t>
            </w:r>
          </w:p>
          <w:p>
            <w:pPr>
              <w:pStyle w:val="TableParagraph"/>
              <w:numPr>
                <w:ilvl w:val="0"/>
                <w:numId w:val="46"/>
              </w:numPr>
              <w:tabs>
                <w:tab w:pos="834" w:val="left" w:leader="none"/>
                <w:tab w:pos="835" w:val="left" w:leader="none"/>
              </w:tabs>
              <w:spacing w:line="279" w:lineRule="exact" w:before="0" w:after="0"/>
              <w:ind w:left="835" w:right="0" w:hanging="360"/>
              <w:jc w:val="left"/>
              <w:rPr>
                <w:sz w:val="22"/>
              </w:rPr>
            </w:pPr>
            <w:r>
              <w:rPr>
                <w:sz w:val="22"/>
              </w:rPr>
              <w:t>1: Variance Arrow - 3</w:t>
            </w:r>
            <w:r>
              <w:rPr>
                <w:spacing w:val="-2"/>
                <w:sz w:val="22"/>
              </w:rPr>
              <w:t> </w:t>
            </w:r>
            <w:r>
              <w:rPr>
                <w:sz w:val="22"/>
              </w:rPr>
              <w:t>arrow.</w:t>
            </w:r>
          </w:p>
          <w:p>
            <w:pPr>
              <w:pStyle w:val="TableParagraph"/>
              <w:numPr>
                <w:ilvl w:val="0"/>
                <w:numId w:val="46"/>
              </w:numPr>
              <w:tabs>
                <w:tab w:pos="834" w:val="left" w:leader="none"/>
                <w:tab w:pos="835" w:val="left" w:leader="none"/>
              </w:tabs>
              <w:spacing w:line="240" w:lineRule="auto" w:before="0" w:after="0"/>
              <w:ind w:left="835" w:right="0" w:hanging="360"/>
              <w:jc w:val="left"/>
              <w:rPr>
                <w:sz w:val="22"/>
              </w:rPr>
            </w:pPr>
            <w:r>
              <w:rPr>
                <w:sz w:val="22"/>
              </w:rPr>
              <w:t>2: 3</w:t>
            </w:r>
            <w:r>
              <w:rPr>
                <w:spacing w:val="-1"/>
                <w:sz w:val="22"/>
              </w:rPr>
              <w:t> </w:t>
            </w:r>
            <w:r>
              <w:rPr>
                <w:sz w:val="22"/>
              </w:rPr>
              <w:t>arrows</w:t>
            </w:r>
          </w:p>
          <w:p>
            <w:pPr>
              <w:pStyle w:val="TableParagraph"/>
              <w:numPr>
                <w:ilvl w:val="0"/>
                <w:numId w:val="46"/>
              </w:numPr>
              <w:tabs>
                <w:tab w:pos="834" w:val="left" w:leader="none"/>
                <w:tab w:pos="835" w:val="left" w:leader="none"/>
              </w:tabs>
              <w:spacing w:line="240" w:lineRule="auto" w:before="1" w:after="0"/>
              <w:ind w:left="835" w:right="0" w:hanging="360"/>
              <w:jc w:val="left"/>
              <w:rPr>
                <w:sz w:val="22"/>
              </w:rPr>
            </w:pPr>
            <w:r>
              <w:rPr>
                <w:sz w:val="22"/>
              </w:rPr>
              <w:t>3: Status Arrow Ascending - 5</w:t>
            </w:r>
            <w:r>
              <w:rPr>
                <w:spacing w:val="-1"/>
                <w:sz w:val="22"/>
              </w:rPr>
              <w:t> </w:t>
            </w:r>
            <w:r>
              <w:rPr>
                <w:sz w:val="22"/>
              </w:rPr>
              <w:t>arrows.</w:t>
            </w:r>
          </w:p>
          <w:p>
            <w:pPr>
              <w:pStyle w:val="TableParagraph"/>
              <w:numPr>
                <w:ilvl w:val="0"/>
                <w:numId w:val="46"/>
              </w:numPr>
              <w:tabs>
                <w:tab w:pos="834" w:val="left" w:leader="none"/>
                <w:tab w:pos="835" w:val="left" w:leader="none"/>
              </w:tabs>
              <w:spacing w:line="240" w:lineRule="auto" w:before="0" w:after="0"/>
              <w:ind w:left="835" w:right="0" w:hanging="360"/>
              <w:jc w:val="left"/>
              <w:rPr>
                <w:sz w:val="22"/>
              </w:rPr>
            </w:pPr>
            <w:r>
              <w:rPr>
                <w:sz w:val="22"/>
              </w:rPr>
              <w:t>4: Status Arrow Descending - 5</w:t>
            </w:r>
            <w:r>
              <w:rPr>
                <w:spacing w:val="-1"/>
                <w:sz w:val="22"/>
              </w:rPr>
              <w:t> </w:t>
            </w:r>
            <w:r>
              <w:rPr>
                <w:sz w:val="22"/>
              </w:rPr>
              <w:t>arrows</w:t>
            </w:r>
          </w:p>
          <w:p>
            <w:pPr>
              <w:pStyle w:val="TableParagraph"/>
              <w:numPr>
                <w:ilvl w:val="0"/>
                <w:numId w:val="46"/>
              </w:numPr>
              <w:tabs>
                <w:tab w:pos="834" w:val="left" w:leader="none"/>
                <w:tab w:pos="835" w:val="left" w:leader="none"/>
              </w:tabs>
              <w:spacing w:line="279" w:lineRule="exact" w:before="1" w:after="0"/>
              <w:ind w:left="835" w:right="0" w:hanging="360"/>
              <w:jc w:val="left"/>
              <w:rPr>
                <w:sz w:val="22"/>
              </w:rPr>
            </w:pPr>
            <w:r>
              <w:rPr>
                <w:sz w:val="22"/>
              </w:rPr>
              <w:t>5: Standard Arrow - 5 arrows</w:t>
            </w:r>
            <w:r>
              <w:rPr>
                <w:spacing w:val="-3"/>
                <w:sz w:val="22"/>
              </w:rPr>
              <w:t> </w:t>
            </w:r>
            <w:r>
              <w:rPr>
                <w:sz w:val="22"/>
              </w:rPr>
              <w:t>gray.</w:t>
            </w:r>
          </w:p>
          <w:p>
            <w:pPr>
              <w:pStyle w:val="TableParagraph"/>
              <w:numPr>
                <w:ilvl w:val="0"/>
                <w:numId w:val="46"/>
              </w:numPr>
              <w:tabs>
                <w:tab w:pos="834" w:val="left" w:leader="none"/>
                <w:tab w:pos="835" w:val="left" w:leader="none"/>
              </w:tabs>
              <w:spacing w:line="279" w:lineRule="exact" w:before="0" w:after="0"/>
              <w:ind w:left="835" w:right="0" w:hanging="360"/>
              <w:jc w:val="left"/>
              <w:rPr>
                <w:sz w:val="22"/>
              </w:rPr>
            </w:pPr>
            <w:r>
              <w:rPr>
                <w:sz w:val="22"/>
              </w:rPr>
              <w:t>6: Traffic Light Single - 3 traffic lights</w:t>
            </w:r>
            <w:r>
              <w:rPr>
                <w:spacing w:val="-7"/>
                <w:sz w:val="22"/>
              </w:rPr>
              <w:t> </w:t>
            </w:r>
            <w:r>
              <w:rPr>
                <w:sz w:val="22"/>
              </w:rPr>
              <w:t>1.</w:t>
            </w:r>
          </w:p>
          <w:p>
            <w:pPr>
              <w:pStyle w:val="TableParagraph"/>
              <w:numPr>
                <w:ilvl w:val="0"/>
                <w:numId w:val="46"/>
              </w:numPr>
              <w:tabs>
                <w:tab w:pos="834" w:val="left" w:leader="none"/>
                <w:tab w:pos="835" w:val="left" w:leader="none"/>
              </w:tabs>
              <w:spacing w:line="240" w:lineRule="auto" w:before="0" w:after="0"/>
              <w:ind w:left="835" w:right="0" w:hanging="360"/>
              <w:jc w:val="left"/>
              <w:rPr>
                <w:sz w:val="22"/>
              </w:rPr>
            </w:pPr>
            <w:r>
              <w:rPr>
                <w:sz w:val="22"/>
              </w:rPr>
              <w:t>7: Traffic Light, Traffic Light Multiple - 3 traffic lights</w:t>
            </w:r>
            <w:r>
              <w:rPr>
                <w:spacing w:val="-17"/>
                <w:sz w:val="22"/>
              </w:rPr>
              <w:t> </w:t>
            </w:r>
            <w:r>
              <w:rPr>
                <w:sz w:val="22"/>
              </w:rPr>
              <w:t>2.</w:t>
            </w:r>
          </w:p>
          <w:p>
            <w:pPr>
              <w:pStyle w:val="TableParagraph"/>
              <w:numPr>
                <w:ilvl w:val="0"/>
                <w:numId w:val="46"/>
              </w:numPr>
              <w:tabs>
                <w:tab w:pos="834" w:val="left" w:leader="none"/>
                <w:tab w:pos="835" w:val="left" w:leader="none"/>
              </w:tabs>
              <w:spacing w:line="240" w:lineRule="auto" w:before="1" w:after="0"/>
              <w:ind w:left="835" w:right="0" w:hanging="360"/>
              <w:jc w:val="left"/>
              <w:rPr>
                <w:sz w:val="22"/>
              </w:rPr>
            </w:pPr>
            <w:r>
              <w:rPr>
                <w:sz w:val="22"/>
              </w:rPr>
              <w:t>8: Gauge Ascending - 5</w:t>
            </w:r>
            <w:r>
              <w:rPr>
                <w:spacing w:val="-1"/>
                <w:sz w:val="22"/>
              </w:rPr>
              <w:t> </w:t>
            </w:r>
            <w:r>
              <w:rPr>
                <w:sz w:val="22"/>
              </w:rPr>
              <w:t>quarters.</w:t>
            </w:r>
          </w:p>
          <w:p>
            <w:pPr>
              <w:pStyle w:val="TableParagraph"/>
              <w:numPr>
                <w:ilvl w:val="0"/>
                <w:numId w:val="46"/>
              </w:numPr>
              <w:tabs>
                <w:tab w:pos="834" w:val="left" w:leader="none"/>
                <w:tab w:pos="835" w:val="left" w:leader="none"/>
              </w:tabs>
              <w:spacing w:line="279" w:lineRule="exact" w:before="0" w:after="0"/>
              <w:ind w:left="835" w:right="0" w:hanging="360"/>
              <w:jc w:val="left"/>
              <w:rPr>
                <w:sz w:val="22"/>
              </w:rPr>
            </w:pPr>
            <w:r>
              <w:rPr>
                <w:sz w:val="22"/>
              </w:rPr>
              <w:t>9: Gauge Descending - 5</w:t>
            </w:r>
            <w:r>
              <w:rPr>
                <w:spacing w:val="-5"/>
                <w:sz w:val="22"/>
              </w:rPr>
              <w:t> </w:t>
            </w:r>
            <w:r>
              <w:rPr>
                <w:sz w:val="22"/>
              </w:rPr>
              <w:t>quarters.</w:t>
            </w:r>
          </w:p>
          <w:p>
            <w:pPr>
              <w:pStyle w:val="TableParagraph"/>
              <w:numPr>
                <w:ilvl w:val="0"/>
                <w:numId w:val="46"/>
              </w:numPr>
              <w:tabs>
                <w:tab w:pos="834" w:val="left" w:leader="none"/>
                <w:tab w:pos="835" w:val="left" w:leader="none"/>
              </w:tabs>
              <w:spacing w:line="279" w:lineRule="exact" w:before="0" w:after="0"/>
              <w:ind w:left="835" w:right="0" w:hanging="360"/>
              <w:jc w:val="left"/>
              <w:rPr>
                <w:sz w:val="22"/>
              </w:rPr>
            </w:pPr>
            <w:r>
              <w:rPr>
                <w:sz w:val="22"/>
              </w:rPr>
              <w:t>10: Thermometer, Cylinder, Smiley Face - 3</w:t>
            </w:r>
            <w:r>
              <w:rPr>
                <w:spacing w:val="-2"/>
                <w:sz w:val="22"/>
              </w:rPr>
              <w:t> </w:t>
            </w:r>
            <w:r>
              <w:rPr>
                <w:sz w:val="22"/>
              </w:rPr>
              <w:t>signs.</w:t>
            </w:r>
          </w:p>
          <w:p>
            <w:pPr>
              <w:pStyle w:val="TableParagraph"/>
              <w:numPr>
                <w:ilvl w:val="0"/>
                <w:numId w:val="46"/>
              </w:numPr>
              <w:tabs>
                <w:tab w:pos="834" w:val="left" w:leader="none"/>
                <w:tab w:pos="835" w:val="left" w:leader="none"/>
              </w:tabs>
              <w:spacing w:line="240" w:lineRule="auto" w:before="1" w:after="0"/>
              <w:ind w:left="835" w:right="0" w:hanging="360"/>
              <w:jc w:val="left"/>
              <w:rPr>
                <w:sz w:val="22"/>
              </w:rPr>
            </w:pPr>
            <w:r>
              <w:rPr>
                <w:sz w:val="22"/>
              </w:rPr>
              <w:t>11: Road Signs - 3</w:t>
            </w:r>
            <w:r>
              <w:rPr>
                <w:spacing w:val="-2"/>
                <w:sz w:val="22"/>
              </w:rPr>
              <w:t> </w:t>
            </w:r>
            <w:r>
              <w:rPr>
                <w:sz w:val="22"/>
              </w:rPr>
              <w:t>symbols.</w:t>
            </w:r>
          </w:p>
        </w:tc>
      </w:tr>
      <w:tr>
        <w:trPr>
          <w:trHeight w:val="451"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before="137"/>
              <w:rPr>
                <w:sz w:val="22"/>
              </w:rPr>
            </w:pPr>
            <w:r>
              <w:rPr>
                <w:sz w:val="22"/>
              </w:rPr>
              <w:t>The possible values for this attribute are defined by the W3C XML Schema </w:t>
            </w:r>
            <w:r>
              <w:rPr>
                <w:rFonts w:ascii="Cambria"/>
                <w:sz w:val="22"/>
              </w:rPr>
              <w:t>int </w:t>
            </w:r>
            <w:r>
              <w:rPr>
                <w:sz w:val="22"/>
              </w:rPr>
              <w:t>datatype.</w:t>
            </w:r>
          </w:p>
        </w:tc>
      </w:tr>
      <w:tr>
        <w:trPr>
          <w:trHeight w:val="2771" w:hRule="atLeast"/>
        </w:trPr>
        <w:tc>
          <w:tcPr>
            <w:tcW w:w="2062" w:type="dxa"/>
          </w:tcPr>
          <w:p>
            <w:pPr>
              <w:pStyle w:val="TableParagraph"/>
              <w:ind w:right="120"/>
              <w:rPr>
                <w:sz w:val="22"/>
              </w:rPr>
            </w:pPr>
            <w:r>
              <w:rPr>
                <w:rFonts w:ascii="Cambria"/>
                <w:sz w:val="22"/>
              </w:rPr>
              <w:t>keyAttribute </w:t>
            </w:r>
            <w:r>
              <w:rPr>
                <w:sz w:val="22"/>
              </w:rPr>
              <w:t>(Key Attribute Hierarchy)</w:t>
            </w:r>
          </w:p>
        </w:tc>
        <w:tc>
          <w:tcPr>
            <w:tcW w:w="8250" w:type="dxa"/>
          </w:tcPr>
          <w:p>
            <w:pPr>
              <w:pStyle w:val="TableParagraph"/>
              <w:ind w:right="778"/>
              <w:rPr>
                <w:sz w:val="22"/>
              </w:rPr>
            </w:pPr>
            <w:r>
              <w:rPr>
                <w:sz w:val="22"/>
              </w:rPr>
              <w:t>Specifies a boolean value that indicates whether this hierarchy is the key attribute hierarchy in an OLAP dimension.</w:t>
            </w:r>
          </w:p>
          <w:p>
            <w:pPr>
              <w:pStyle w:val="TableParagraph"/>
              <w:spacing w:before="2"/>
              <w:ind w:left="0"/>
              <w:rPr>
                <w:rFonts w:ascii="Times New Roman"/>
                <w:sz w:val="23"/>
              </w:rPr>
            </w:pPr>
          </w:p>
          <w:p>
            <w:pPr>
              <w:pStyle w:val="TableParagraph"/>
              <w:spacing w:before="0"/>
              <w:ind w:right="56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is the key attribute hierarchy in an OLAP dimension.</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this hierarchy is not a key attribute hierarchy.</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234" w:hRule="atLeast"/>
        </w:trPr>
        <w:tc>
          <w:tcPr>
            <w:tcW w:w="2062" w:type="dxa"/>
          </w:tcPr>
          <w:p>
            <w:pPr>
              <w:pStyle w:val="TableParagraph"/>
              <w:ind w:right="199"/>
              <w:rPr>
                <w:sz w:val="22"/>
              </w:rPr>
            </w:pPr>
            <w:r>
              <w:rPr>
                <w:rFonts w:ascii="Cambria"/>
                <w:sz w:val="22"/>
              </w:rPr>
              <w:t>measure </w:t>
            </w:r>
            <w:r>
              <w:rPr>
                <w:sz w:val="22"/>
              </w:rPr>
              <w:t>(Measure Hierarchy)</w:t>
            </w:r>
          </w:p>
        </w:tc>
        <w:tc>
          <w:tcPr>
            <w:tcW w:w="8250" w:type="dxa"/>
          </w:tcPr>
          <w:p>
            <w:pPr>
              <w:pStyle w:val="TableParagraph"/>
              <w:spacing w:line="480" w:lineRule="auto"/>
              <w:ind w:right="1290"/>
              <w:rPr>
                <w:sz w:val="22"/>
              </w:rPr>
            </w:pPr>
            <w:r>
              <w:rPr>
                <w:sz w:val="22"/>
              </w:rPr>
              <w:t>Specifies a boolean value that indicates whether this hierarchy is a measure.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is a measure.</w:t>
            </w:r>
          </w:p>
          <w:p>
            <w:pPr>
              <w:pStyle w:val="TableParagraph"/>
              <w:spacing w:line="267"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hierarchy is not a measure.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37" w:lineRule="auto" w:before="45"/>
              <w:ind w:right="447"/>
              <w:rPr>
                <w:sz w:val="22"/>
              </w:rPr>
            </w:pPr>
            <w:r>
              <w:rPr>
                <w:rFonts w:ascii="Cambria"/>
                <w:sz w:val="22"/>
              </w:rPr>
              <w:t>measureGroup </w:t>
            </w:r>
            <w:r>
              <w:rPr>
                <w:sz w:val="22"/>
              </w:rPr>
              <w:t>(Measure Group Name)</w:t>
            </w:r>
          </w:p>
        </w:tc>
        <w:tc>
          <w:tcPr>
            <w:tcW w:w="8250" w:type="dxa"/>
          </w:tcPr>
          <w:p>
            <w:pPr>
              <w:pStyle w:val="TableParagraph"/>
              <w:rPr>
                <w:sz w:val="22"/>
              </w:rPr>
            </w:pPr>
            <w:r>
              <w:rPr>
                <w:sz w:val="22"/>
              </w:rPr>
              <w:t>Specifies the name of the measure group to which this hierarchy belongs.</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Borders>
              <w:bottom w:val="single" w:sz="6" w:space="0" w:color="000000"/>
            </w:tcBorders>
          </w:tcPr>
          <w:p>
            <w:pPr>
              <w:pStyle w:val="TableParagraph"/>
              <w:spacing w:line="256" w:lineRule="exact" w:before="45"/>
              <w:rPr>
                <w:rFonts w:ascii="Cambria"/>
                <w:sz w:val="22"/>
              </w:rPr>
            </w:pPr>
            <w:r>
              <w:rPr>
                <w:rFonts w:ascii="Cambria"/>
                <w:sz w:val="22"/>
              </w:rPr>
              <w:t>measures</w:t>
            </w:r>
          </w:p>
          <w:p>
            <w:pPr>
              <w:pStyle w:val="TableParagraph"/>
              <w:spacing w:line="267" w:lineRule="exact" w:before="0"/>
              <w:rPr>
                <w:sz w:val="22"/>
              </w:rPr>
            </w:pPr>
            <w:r>
              <w:rPr>
                <w:sz w:val="22"/>
              </w:rPr>
              <w:t>(Measures)</w:t>
            </w:r>
          </w:p>
        </w:tc>
        <w:tc>
          <w:tcPr>
            <w:tcW w:w="8250" w:type="dxa"/>
            <w:tcBorders>
              <w:bottom w:val="single" w:sz="6" w:space="0" w:color="000000"/>
            </w:tcBorders>
          </w:tcPr>
          <w:p>
            <w:pPr>
              <w:pStyle w:val="TableParagraph"/>
              <w:spacing w:line="477" w:lineRule="auto" w:before="42"/>
              <w:ind w:right="136"/>
              <w:rPr>
                <w:sz w:val="22"/>
              </w:rPr>
            </w:pPr>
            <w:r>
              <w:rPr>
                <w:sz w:val="22"/>
              </w:rPr>
              <w:t>Specifies a boolean value that indicates whether this hierarchy contains all the measures.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contains all the measures.</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this hierarchy does </w:t>
            </w:r>
            <w:r>
              <w:rPr>
                <w:spacing w:val="-2"/>
                <w:sz w:val="22"/>
              </w:rPr>
              <w:t>not </w:t>
            </w:r>
            <w:r>
              <w:rPr>
                <w:sz w:val="22"/>
              </w:rPr>
              <w:t>contain all the measures.</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842" w:hRule="atLeast"/>
        </w:trPr>
        <w:tc>
          <w:tcPr>
            <w:tcW w:w="2062" w:type="dxa"/>
            <w:tcBorders>
              <w:top w:val="single" w:sz="6" w:space="0" w:color="000000"/>
            </w:tcBorders>
          </w:tcPr>
          <w:p>
            <w:pPr>
              <w:pStyle w:val="TableParagraph"/>
              <w:spacing w:line="237" w:lineRule="auto" w:before="42"/>
              <w:ind w:right="102"/>
              <w:jc w:val="both"/>
              <w:rPr>
                <w:sz w:val="22"/>
              </w:rPr>
            </w:pPr>
            <w:r>
              <w:rPr>
                <w:rFonts w:ascii="Cambria"/>
                <w:sz w:val="22"/>
              </w:rPr>
              <w:t>memberValueDatat ype </w:t>
            </w:r>
            <w:r>
              <w:rPr>
                <w:sz w:val="22"/>
              </w:rPr>
              <w:t>(Member Value Data Type)</w:t>
            </w:r>
          </w:p>
        </w:tc>
        <w:tc>
          <w:tcPr>
            <w:tcW w:w="8250" w:type="dxa"/>
            <w:tcBorders>
              <w:top w:val="single" w:sz="6" w:space="0" w:color="000000"/>
            </w:tcBorders>
          </w:tcPr>
          <w:p>
            <w:pPr>
              <w:pStyle w:val="TableParagraph"/>
              <w:spacing w:before="37"/>
              <w:rPr>
                <w:sz w:val="22"/>
              </w:rPr>
            </w:pPr>
            <w:r>
              <w:rPr>
                <w:sz w:val="22"/>
              </w:rPr>
              <w:t>Specifies the data type of the member value. This attribute stores an OLEDB data type.</w:t>
            </w:r>
          </w:p>
          <w:p>
            <w:pPr>
              <w:pStyle w:val="TableParagraph"/>
              <w:spacing w:before="5"/>
              <w:ind w:left="0"/>
              <w:rPr>
                <w:rFonts w:ascii="Times New Roman"/>
                <w:sz w:val="23"/>
              </w:rPr>
            </w:pPr>
          </w:p>
          <w:p>
            <w:pPr>
              <w:pStyle w:val="TableParagraph"/>
              <w:spacing w:before="0"/>
              <w:ind w:right="535"/>
              <w:rPr>
                <w:sz w:val="22"/>
              </w:rPr>
            </w:pPr>
            <w:r>
              <w:rPr>
                <w:sz w:val="22"/>
              </w:rPr>
              <w:t>[</w:t>
            </w:r>
            <w:r>
              <w:rPr>
                <w:i/>
                <w:sz w:val="22"/>
              </w:rPr>
              <w:t>Note</w:t>
            </w:r>
            <w:r>
              <w:rPr>
                <w:sz w:val="22"/>
              </w:rPr>
              <w:t>: Data connectivity can use a number of different technologies. One example of potential values stored in this attribute can be found at: http://msdn.microsoft.com/library/default.asp?url=/library/en- us/oledb/htm/oledbtype_indicators.asp </w:t>
            </w:r>
            <w:r>
              <w:rPr>
                <w:i/>
                <w:sz w:val="22"/>
              </w:rPr>
              <w:t>end note</w:t>
            </w:r>
            <w:r>
              <w:rPr>
                <w:sz w:val="22"/>
              </w:rPr>
              <w:t>]</w:t>
            </w:r>
          </w:p>
          <w:p>
            <w:pPr>
              <w:pStyle w:val="TableParagraph"/>
              <w:spacing w:before="3"/>
              <w:ind w:left="0"/>
              <w:rPr>
                <w:rFonts w:ascii="Times New Roman"/>
                <w:sz w:val="23"/>
              </w:rPr>
            </w:pPr>
          </w:p>
          <w:p>
            <w:pPr>
              <w:pStyle w:val="TableParagraph"/>
              <w:spacing w:before="0"/>
              <w:rPr>
                <w:sz w:val="22"/>
              </w:rPr>
            </w:pPr>
            <w:r>
              <w:rPr>
                <w:rFonts w:ascii="Consolas"/>
                <w:sz w:val="20"/>
              </w:rPr>
              <w:t>memberValueDataType</w:t>
            </w:r>
            <w:r>
              <w:rPr>
                <w:rFonts w:ascii="Consolas"/>
                <w:spacing w:val="-87"/>
                <w:sz w:val="20"/>
              </w:rPr>
              <w:t> </w:t>
            </w:r>
            <w:r>
              <w:rPr>
                <w:sz w:val="22"/>
              </w:rPr>
              <w:t>is stored for key attribute hierarchies in order to tell when the application will offer date filtering instead of label filtering in OLAP PivotTables. Date filtering is only offered when the data type is Date/Time. </w:t>
            </w:r>
            <w:r>
              <w:rPr>
                <w:rFonts w:ascii="Consolas"/>
                <w:sz w:val="20"/>
              </w:rPr>
              <w:t>memberValueDatatype</w:t>
            </w:r>
            <w:r>
              <w:rPr>
                <w:sz w:val="22"/>
              </w:rPr>
              <w:t>="7" indicates a date/time data type.</w:t>
            </w:r>
          </w:p>
          <w:p>
            <w:pPr>
              <w:pStyle w:val="TableParagraph"/>
              <w:spacing w:before="5"/>
              <w:ind w:left="0"/>
              <w:rPr>
                <w:rFonts w:ascii="Times New Roman"/>
                <w:sz w:val="23"/>
              </w:rPr>
            </w:pPr>
          </w:p>
          <w:p>
            <w:pPr>
              <w:pStyle w:val="TableParagraph"/>
              <w:spacing w:line="268" w:lineRule="exact" w:before="0"/>
              <w:rPr>
                <w:sz w:val="22"/>
              </w:rPr>
            </w:pPr>
            <w:r>
              <w:rPr>
                <w:sz w:val="22"/>
              </w:rPr>
              <w:t>The possible values for this attribute are defined by the W3C XML Schema</w:t>
            </w:r>
          </w:p>
          <w:p>
            <w:pPr>
              <w:pStyle w:val="TableParagraph"/>
              <w:spacing w:line="268" w:lineRule="exact" w:before="0"/>
              <w:rPr>
                <w:sz w:val="22"/>
              </w:rPr>
            </w:pPr>
            <w:r>
              <w:rPr>
                <w:rFonts w:ascii="Cambria"/>
                <w:sz w:val="22"/>
              </w:rPr>
              <w:t>unsignedShort </w:t>
            </w:r>
            <w:r>
              <w:rPr>
                <w:sz w:val="22"/>
              </w:rPr>
              <w:t>datatype.</w:t>
            </w:r>
          </w:p>
        </w:tc>
      </w:tr>
      <w:tr>
        <w:trPr>
          <w:trHeight w:val="2771" w:hRule="atLeast"/>
        </w:trPr>
        <w:tc>
          <w:tcPr>
            <w:tcW w:w="2062" w:type="dxa"/>
          </w:tcPr>
          <w:p>
            <w:pPr>
              <w:pStyle w:val="TableParagraph"/>
              <w:ind w:right="616"/>
              <w:rPr>
                <w:sz w:val="22"/>
              </w:rPr>
            </w:pPr>
            <w:r>
              <w:rPr>
                <w:rFonts w:ascii="Cambria"/>
                <w:sz w:val="22"/>
              </w:rPr>
              <w:t>oneField </w:t>
            </w:r>
            <w:r>
              <w:rPr>
                <w:sz w:val="22"/>
              </w:rPr>
              <w:t>(One Field)</w:t>
            </w:r>
          </w:p>
        </w:tc>
        <w:tc>
          <w:tcPr>
            <w:tcW w:w="8250" w:type="dxa"/>
          </w:tcPr>
          <w:p>
            <w:pPr>
              <w:pStyle w:val="TableParagraph"/>
              <w:ind w:right="460"/>
              <w:rPr>
                <w:sz w:val="22"/>
              </w:rPr>
            </w:pPr>
            <w:r>
              <w:rPr>
                <w:sz w:val="22"/>
              </w:rPr>
              <w:t>Specifies a boolean value that indicates whether this hierarchy is associated with only one field due to its position in the view.</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is associated with only one field.</w:t>
            </w:r>
          </w:p>
          <w:p>
            <w:pPr>
              <w:pStyle w:val="TableParagraph"/>
              <w:spacing w:before="5"/>
              <w:ind w:left="0"/>
              <w:rPr>
                <w:rFonts w:ascii="Times New Roman"/>
                <w:sz w:val="23"/>
              </w:rPr>
            </w:pPr>
          </w:p>
          <w:p>
            <w:pPr>
              <w:pStyle w:val="TableParagraph"/>
              <w:spacing w:before="0"/>
              <w:ind w:right="86"/>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field is not restricted to only one association due to its position in the user interface.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291"/>
              <w:rPr>
                <w:sz w:val="22"/>
              </w:rPr>
            </w:pPr>
            <w:r>
              <w:rPr>
                <w:rFonts w:ascii="Cambria"/>
                <w:sz w:val="22"/>
              </w:rPr>
              <w:t>parentSet </w:t>
            </w:r>
            <w:r>
              <w:rPr>
                <w:sz w:val="22"/>
              </w:rPr>
              <w:t>(Parent Set)</w:t>
            </w:r>
          </w:p>
        </w:tc>
        <w:tc>
          <w:tcPr>
            <w:tcW w:w="8250" w:type="dxa"/>
          </w:tcPr>
          <w:p>
            <w:pPr>
              <w:pStyle w:val="TableParagraph"/>
              <w:ind w:right="628"/>
              <w:rPr>
                <w:sz w:val="22"/>
              </w:rPr>
            </w:pPr>
            <w:r>
              <w:rPr>
                <w:sz w:val="22"/>
              </w:rPr>
              <w:t>Specifies the parent hierarchy of the set. If the attribute is missing it means that the parent hierarchy is unknown or doesn't exist in the cache.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92" w:hRule="atLeast"/>
        </w:trPr>
        <w:tc>
          <w:tcPr>
            <w:tcW w:w="2062" w:type="dxa"/>
          </w:tcPr>
          <w:p>
            <w:pPr>
              <w:pStyle w:val="TableParagraph"/>
              <w:rPr>
                <w:sz w:val="22"/>
              </w:rPr>
            </w:pPr>
            <w:r>
              <w:rPr>
                <w:rFonts w:ascii="Cambria"/>
                <w:sz w:val="22"/>
              </w:rPr>
              <w:t>set </w:t>
            </w:r>
            <w:r>
              <w:rPr>
                <w:sz w:val="22"/>
              </w:rPr>
              <w:t>(Set)</w:t>
            </w:r>
          </w:p>
        </w:tc>
        <w:tc>
          <w:tcPr>
            <w:tcW w:w="8250" w:type="dxa"/>
          </w:tcPr>
          <w:p>
            <w:pPr>
              <w:pStyle w:val="TableParagraph"/>
              <w:rPr>
                <w:sz w:val="22"/>
              </w:rPr>
            </w:pPr>
            <w:r>
              <w:rPr>
                <w:sz w:val="22"/>
              </w:rPr>
              <w:t>Specifies a boolean value that indicates whether this hierarchy is a set.</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is a set.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hierarchy is not a set.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234" w:hRule="atLeast"/>
        </w:trPr>
        <w:tc>
          <w:tcPr>
            <w:tcW w:w="2062" w:type="dxa"/>
          </w:tcPr>
          <w:p>
            <w:pPr>
              <w:pStyle w:val="TableParagraph"/>
              <w:rPr>
                <w:sz w:val="22"/>
              </w:rPr>
            </w:pPr>
            <w:r>
              <w:rPr>
                <w:rFonts w:ascii="Cambria"/>
                <w:sz w:val="22"/>
              </w:rPr>
              <w:t>time </w:t>
            </w:r>
            <w:r>
              <w:rPr>
                <w:sz w:val="22"/>
              </w:rPr>
              <w:t>(Time)</w:t>
            </w:r>
          </w:p>
        </w:tc>
        <w:tc>
          <w:tcPr>
            <w:tcW w:w="8250" w:type="dxa"/>
          </w:tcPr>
          <w:p>
            <w:pPr>
              <w:pStyle w:val="TableParagraph"/>
              <w:spacing w:line="480" w:lineRule="auto"/>
              <w:ind w:right="1134"/>
              <w:rPr>
                <w:sz w:val="22"/>
              </w:rPr>
            </w:pPr>
            <w:r>
              <w:rPr>
                <w:sz w:val="22"/>
              </w:rPr>
              <w:t>Specifies a boolean value that indicates whether this hierarchy is of type time.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hierarchy is of type time.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is of a different type.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578" w:hRule="atLeast"/>
        </w:trPr>
        <w:tc>
          <w:tcPr>
            <w:tcW w:w="2062" w:type="dxa"/>
          </w:tcPr>
          <w:p>
            <w:pPr>
              <w:pStyle w:val="TableParagraph"/>
              <w:spacing w:line="256" w:lineRule="exact" w:before="45"/>
              <w:rPr>
                <w:rFonts w:ascii="Cambria"/>
                <w:sz w:val="22"/>
              </w:rPr>
            </w:pPr>
            <w:r>
              <w:rPr>
                <w:rFonts w:ascii="Cambria"/>
                <w:sz w:val="22"/>
              </w:rPr>
              <w:t>unbalanced</w:t>
            </w:r>
          </w:p>
          <w:p>
            <w:pPr>
              <w:pStyle w:val="TableParagraph"/>
              <w:spacing w:line="267" w:lineRule="exact" w:before="0"/>
              <w:rPr>
                <w:sz w:val="22"/>
              </w:rPr>
            </w:pPr>
            <w:r>
              <w:rPr>
                <w:sz w:val="22"/>
              </w:rPr>
              <w:t>(Unbalanced)</w:t>
            </w:r>
          </w:p>
        </w:tc>
        <w:tc>
          <w:tcPr>
            <w:tcW w:w="8250" w:type="dxa"/>
          </w:tcPr>
          <w:p>
            <w:pPr>
              <w:pStyle w:val="TableParagraph"/>
              <w:spacing w:before="42"/>
              <w:ind w:right="168"/>
              <w:rPr>
                <w:sz w:val="22"/>
              </w:rPr>
            </w:pPr>
            <w:r>
              <w:rPr>
                <w:sz w:val="22"/>
              </w:rPr>
              <w:t>Specifies a boolean value that indicates whether this hierarchy is an unbalanced hierarchy. If value is not written, then this attribute either cannot be determined or does not apply to the current hierarchy.</w:t>
            </w:r>
          </w:p>
          <w:p>
            <w:pPr>
              <w:pStyle w:val="TableParagraph"/>
              <w:spacing w:before="2"/>
              <w:ind w:left="0"/>
              <w:rPr>
                <w:rFonts w:ascii="Times New Roman"/>
                <w:sz w:val="23"/>
              </w:rPr>
            </w:pPr>
          </w:p>
          <w:p>
            <w:pPr>
              <w:pStyle w:val="TableParagraph"/>
              <w:spacing w:line="480" w:lineRule="auto" w:before="1"/>
              <w:ind w:right="2874"/>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this hierarchy is unbalanced.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is balanced.</w:t>
            </w:r>
          </w:p>
          <w:p>
            <w:pPr>
              <w:pStyle w:val="TableParagraph"/>
              <w:spacing w:before="1"/>
              <w:ind w:right="191"/>
              <w:rPr>
                <w:sz w:val="22"/>
              </w:rPr>
            </w:pPr>
            <w:r>
              <w:rPr>
                <w:sz w:val="22"/>
              </w:rPr>
              <w:t>For more information on balanced hierarchies, see the documentation provided for your OLAP server.</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578" w:hRule="atLeast"/>
        </w:trPr>
        <w:tc>
          <w:tcPr>
            <w:tcW w:w="2062" w:type="dxa"/>
          </w:tcPr>
          <w:p>
            <w:pPr>
              <w:pStyle w:val="TableParagraph"/>
              <w:spacing w:line="257" w:lineRule="exact" w:before="42"/>
              <w:rPr>
                <w:rFonts w:ascii="Cambria"/>
                <w:sz w:val="22"/>
              </w:rPr>
            </w:pPr>
            <w:r>
              <w:rPr>
                <w:rFonts w:ascii="Cambria"/>
                <w:sz w:val="22"/>
              </w:rPr>
              <w:t>unbalancedGroup</w:t>
            </w:r>
          </w:p>
          <w:p>
            <w:pPr>
              <w:pStyle w:val="TableParagraph"/>
              <w:spacing w:line="268" w:lineRule="exact" w:before="0"/>
              <w:rPr>
                <w:sz w:val="22"/>
              </w:rPr>
            </w:pPr>
            <w:r>
              <w:rPr>
                <w:sz w:val="22"/>
              </w:rPr>
              <w:t>(Unbalanced Group)</w:t>
            </w:r>
          </w:p>
        </w:tc>
        <w:tc>
          <w:tcPr>
            <w:tcW w:w="8250" w:type="dxa"/>
          </w:tcPr>
          <w:p>
            <w:pPr>
              <w:pStyle w:val="TableParagraph"/>
              <w:ind w:right="213"/>
              <w:rPr>
                <w:sz w:val="22"/>
              </w:rPr>
            </w:pPr>
            <w:r>
              <w:rPr>
                <w:sz w:val="22"/>
              </w:rPr>
              <w:t>Specifies a boolean value that indicated whether the grouped version of this hierarchy is an unbalanced hierarchy. If value is not written, then this attribute either cannot be determined or does not apply to the current hierarchy.</w:t>
            </w:r>
          </w:p>
          <w:p>
            <w:pPr>
              <w:pStyle w:val="TableParagraph"/>
              <w:spacing w:before="4"/>
              <w:ind w:left="0"/>
              <w:rPr>
                <w:rFonts w:ascii="Times New Roman"/>
                <w:sz w:val="23"/>
              </w:rPr>
            </w:pPr>
          </w:p>
          <w:p>
            <w:pPr>
              <w:pStyle w:val="TableParagraph"/>
              <w:spacing w:line="480" w:lineRule="auto" w:before="1"/>
              <w:ind w:right="1524"/>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this hierarchy is unbalanced when grouped.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is balanced when grouped.</w:t>
            </w:r>
          </w:p>
          <w:p>
            <w:pPr>
              <w:pStyle w:val="TableParagraph"/>
              <w:spacing w:before="0"/>
              <w:ind w:right="191"/>
              <w:rPr>
                <w:sz w:val="22"/>
              </w:rPr>
            </w:pPr>
            <w:r>
              <w:rPr>
                <w:sz w:val="22"/>
              </w:rPr>
              <w:t>For more information on balanced hierarchies, see the documentation provided for your OLAP server.</w:t>
            </w:r>
          </w:p>
          <w:p>
            <w:pPr>
              <w:pStyle w:val="TableParagraph"/>
              <w:spacing w:before="3"/>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5"/>
              <w:ind w:right="288"/>
              <w:rPr>
                <w:sz w:val="22"/>
              </w:rPr>
            </w:pPr>
            <w:r>
              <w:rPr>
                <w:rFonts w:ascii="Cambria"/>
                <w:sz w:val="22"/>
              </w:rPr>
              <w:t>uniqueName </w:t>
            </w:r>
            <w:r>
              <w:rPr>
                <w:sz w:val="22"/>
              </w:rPr>
              <w:t>(Hierarchy Unique Name)</w:t>
            </w:r>
          </w:p>
        </w:tc>
        <w:tc>
          <w:tcPr>
            <w:tcW w:w="8250" w:type="dxa"/>
          </w:tcPr>
          <w:p>
            <w:pPr>
              <w:pStyle w:val="TableParagraph"/>
              <w:rPr>
                <w:sz w:val="22"/>
              </w:rPr>
            </w:pPr>
            <w:r>
              <w:rPr>
                <w:sz w:val="22"/>
              </w:rPr>
              <w:t>Specifies the unique name of the hierarchy.</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3" w:footer="746" w:top="1340" w:bottom="940" w:left="860" w:right="700"/>
        </w:sectPr>
      </w:pPr>
    </w:p>
    <w:p>
      <w:pPr>
        <w:pStyle w:val="BodyText"/>
        <w:spacing w:before="90"/>
        <w:ind w:left="220"/>
      </w:pPr>
      <w:r>
        <w:rPr/>
        <w:t>[</w:t>
      </w:r>
      <w:r>
        <w:rPr>
          <w:i/>
        </w:rPr>
        <w:t>Note</w:t>
      </w:r>
      <w:r>
        <w:rPr/>
        <w:t>: The W3C XML Schema definition of this element’s content model (</w:t>
      </w:r>
      <w:r>
        <w:rPr>
          <w:color w:val="5F5F5F"/>
          <w:u w:val="single" w:color="5F5F5F"/>
        </w:rPr>
        <w:t>CT_CacheHierarchy</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7 cacheSource (PivotCache Source" w:id="770"/>
      <w:bookmarkEnd w:id="770"/>
      <w:r>
        <w:rPr/>
      </w:r>
      <w:bookmarkStart w:name="_bookmark255" w:id="771"/>
      <w:bookmarkEnd w:id="771"/>
      <w:r>
        <w:rPr/>
      </w:r>
      <w:bookmarkStart w:name="_bookmark255" w:id="772"/>
      <w:bookmarkEnd w:id="772"/>
      <w:r>
        <w:rPr>
          <w:color w:val="4F81BC"/>
        </w:rPr>
        <w:t>cacheSo</w:t>
      </w:r>
      <w:r>
        <w:rPr>
          <w:color w:val="4F81BC"/>
        </w:rPr>
        <w:t>urce (PivotCache Source</w:t>
      </w:r>
      <w:r>
        <w:rPr>
          <w:color w:val="4F81BC"/>
          <w:spacing w:val="-2"/>
        </w:rPr>
        <w:t> </w:t>
      </w:r>
      <w:r>
        <w:rPr>
          <w:color w:val="4F81BC"/>
        </w:rPr>
        <w:t>Description)</w:t>
      </w:r>
    </w:p>
    <w:p>
      <w:pPr>
        <w:pStyle w:val="BodyText"/>
        <w:spacing w:line="276" w:lineRule="auto" w:before="119"/>
        <w:ind w:left="220" w:right="397"/>
      </w:pPr>
      <w:r>
        <w:rPr/>
        <w:t>Represents the description of data source whose data is stored in the pivot cache. The data source refers to the underlying rows or database records that provide the data for a PivotTable. You can create a PivotTable report from a SpreadsheetML table, an external database (including OLAP cubes), multiple SpreadsheetML worksheets, or another PivotTable.</w:t>
      </w:r>
    </w:p>
    <w:p>
      <w:pPr>
        <w:pStyle w:val="BodyText"/>
        <w:spacing w:before="4"/>
        <w:rPr>
          <w:sz w:val="13"/>
        </w:rPr>
      </w:pPr>
      <w:r>
        <w:rPr/>
        <w:drawing>
          <wp:anchor distT="0" distB="0" distL="0" distR="0" allowOverlap="1" layoutInCell="1" locked="0" behindDoc="0" simplePos="0" relativeHeight="44">
            <wp:simplePos x="0" y="0"/>
            <wp:positionH relativeFrom="page">
              <wp:posOffset>685800</wp:posOffset>
            </wp:positionH>
            <wp:positionV relativeFrom="paragraph">
              <wp:posOffset>128666</wp:posOffset>
            </wp:positionV>
            <wp:extent cx="1599787" cy="1476375"/>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109" cstate="print"/>
                    <a:stretch>
                      <a:fillRect/>
                    </a:stretch>
                  </pic:blipFill>
                  <pic:spPr>
                    <a:xfrm>
                      <a:off x="0" y="0"/>
                      <a:ext cx="1599787" cy="1476375"/>
                    </a:xfrm>
                    <a:prstGeom prst="rect">
                      <a:avLst/>
                    </a:prstGeom>
                  </pic:spPr>
                </pic:pic>
              </a:graphicData>
            </a:graphic>
          </wp:anchor>
        </w:drawing>
      </w:r>
    </w:p>
    <w:p>
      <w:pPr>
        <w:pStyle w:val="BodyText"/>
        <w:spacing w:before="2"/>
        <w:rPr>
          <w:sz w:val="17"/>
        </w:rPr>
      </w:pPr>
    </w:p>
    <w:p>
      <w:pPr>
        <w:pStyle w:val="BodyText"/>
        <w:ind w:left="220"/>
        <w:rPr>
          <w:rFonts w:ascii="Cambria"/>
        </w:rPr>
      </w:pPr>
      <w:r>
        <w:rPr/>
        <w:t>Information about the data source is stored in the </w:t>
      </w:r>
      <w:r>
        <w:rPr>
          <w:rFonts w:ascii="Cambria"/>
        </w:rPr>
        <w:t>connection </w:t>
      </w:r>
      <w:r>
        <w:rPr/>
        <w:t>element and is retrieved using the </w:t>
      </w:r>
      <w:r>
        <w:rPr>
          <w:rFonts w:ascii="Cambria"/>
        </w:rPr>
        <w:t>connectionId</w:t>
      </w:r>
    </w:p>
    <w:p>
      <w:pPr>
        <w:spacing w:line="453" w:lineRule="auto" w:before="41"/>
        <w:ind w:left="220" w:right="9555" w:firstLine="0"/>
        <w:jc w:val="left"/>
        <w:rPr>
          <w:sz w:val="22"/>
        </w:rPr>
      </w:pPr>
      <w:r>
        <w:rPr>
          <w:sz w:val="22"/>
        </w:rPr>
        <w:t>attribute</w:t>
      </w:r>
      <w:r>
        <w:rPr>
          <w:rFonts w:ascii="Cambria"/>
          <w:sz w:val="22"/>
        </w:rPr>
        <w:t>. </w:t>
      </w:r>
      <w:r>
        <w:rPr>
          <w:sz w:val="22"/>
        </w:rPr>
        <w:t>[</w:t>
      </w:r>
      <w:r>
        <w:rPr>
          <w:i/>
          <w:sz w:val="22"/>
        </w:rPr>
        <w:t>Example</w:t>
      </w:r>
      <w:r>
        <w:rPr>
          <w:sz w:val="22"/>
        </w:rPr>
        <w:t>:</w:t>
      </w:r>
    </w:p>
    <w:p>
      <w:pPr>
        <w:pStyle w:val="BodyText"/>
        <w:spacing w:before="2"/>
        <w:ind w:left="508"/>
        <w:rPr>
          <w:rFonts w:ascii="Consolas"/>
        </w:rPr>
      </w:pPr>
      <w:r>
        <w:rPr>
          <w:rFonts w:ascii="Consolas"/>
        </w:rPr>
        <w:t>&lt;cacheSource type="external" connectionId="1"/&gt;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before="1"/>
        <w:ind w:left="220" w:right="479"/>
      </w:pPr>
      <w:r>
        <w:rPr/>
        <w:t>OLAP data sources are distinguished from other data sources in SpreadsheetML. OLAP records are not stored in the </w:t>
      </w:r>
      <w:r>
        <w:rPr>
          <w:i/>
        </w:rPr>
        <w:t>pivotCacheRecords </w:t>
      </w:r>
      <w:r>
        <w:rPr/>
        <w:t>part, whereas all records for non-OLAP data sources are stored in the cache.</w:t>
      </w:r>
    </w:p>
    <w:p>
      <w:pPr>
        <w:pStyle w:val="BodyText"/>
        <w:spacing w:before="2"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line="256" w:lineRule="exact" w:before="42"/>
              <w:rPr>
                <w:rFonts w:ascii="Cambria"/>
                <w:sz w:val="22"/>
              </w:rPr>
            </w:pPr>
            <w:r>
              <w:rPr>
                <w:rFonts w:ascii="Cambria"/>
                <w:sz w:val="22"/>
              </w:rPr>
              <w:t>connectionId</w:t>
            </w:r>
          </w:p>
          <w:p>
            <w:pPr>
              <w:pStyle w:val="TableParagraph"/>
              <w:spacing w:line="267" w:lineRule="exact" w:before="0"/>
              <w:rPr>
                <w:sz w:val="22"/>
              </w:rPr>
            </w:pPr>
            <w:r>
              <w:rPr>
                <w:sz w:val="22"/>
              </w:rPr>
              <w:t>(Connection Index)</w:t>
            </w:r>
          </w:p>
        </w:tc>
        <w:tc>
          <w:tcPr>
            <w:tcW w:w="8250" w:type="dxa"/>
          </w:tcPr>
          <w:p>
            <w:pPr>
              <w:pStyle w:val="TableParagraph"/>
              <w:ind w:right="106"/>
              <w:rPr>
                <w:sz w:val="22"/>
              </w:rPr>
            </w:pPr>
            <w:r>
              <w:rPr>
                <w:sz w:val="22"/>
              </w:rPr>
              <w:t>Specifies the index to the workbook connection. This attribute is used when the cache type is 'External.' See </w:t>
            </w:r>
            <w:hyperlink w:history="true" w:anchor="_bookmark387">
              <w:r>
                <w:rPr>
                  <w:sz w:val="22"/>
                </w:rPr>
                <w:t>§18.13.1 </w:t>
              </w:r>
            </w:hyperlink>
            <w:r>
              <w:rPr>
                <w:sz w:val="22"/>
              </w:rPr>
              <w:t>for more information about the </w:t>
            </w:r>
            <w:r>
              <w:rPr>
                <w:rFonts w:ascii="Cambria" w:hAnsi="Cambria"/>
                <w:sz w:val="22"/>
              </w:rPr>
              <w:t>connection </w:t>
            </w:r>
            <w:r>
              <w:rPr>
                <w:sz w:val="22"/>
              </w:rPr>
              <w:t>element.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type </w:t>
            </w:r>
            <w:r>
              <w:rPr>
                <w:sz w:val="22"/>
              </w:rPr>
              <w:t>(Cache Type)</w:t>
            </w:r>
          </w:p>
        </w:tc>
        <w:tc>
          <w:tcPr>
            <w:tcW w:w="8250" w:type="dxa"/>
          </w:tcPr>
          <w:p>
            <w:pPr>
              <w:pStyle w:val="TableParagraph"/>
              <w:rPr>
                <w:sz w:val="22"/>
              </w:rPr>
            </w:pPr>
            <w:r>
              <w:rPr>
                <w:sz w:val="22"/>
              </w:rPr>
              <w:t>Specifies the cache type.</w:t>
            </w:r>
          </w:p>
          <w:p>
            <w:pPr>
              <w:pStyle w:val="TableParagraph"/>
              <w:spacing w:before="1"/>
              <w:ind w:left="0"/>
              <w:rPr>
                <w:sz w:val="22"/>
              </w:rPr>
            </w:pPr>
          </w:p>
          <w:p>
            <w:pPr>
              <w:pStyle w:val="TableParagraph"/>
              <w:spacing w:before="0"/>
              <w:ind w:right="591"/>
              <w:rPr>
                <w:sz w:val="22"/>
              </w:rPr>
            </w:pPr>
            <w:r>
              <w:rPr>
                <w:sz w:val="22"/>
              </w:rPr>
              <w:t>The possible values for this attribute are defined by the </w:t>
            </w:r>
            <w:r>
              <w:rPr>
                <w:rFonts w:ascii="Cambria" w:hAnsi="Cambria"/>
                <w:sz w:val="22"/>
              </w:rPr>
              <w:t>ST_SourceType </w:t>
            </w:r>
            <w:r>
              <w:rPr>
                <w:sz w:val="22"/>
              </w:rPr>
              <w:t>simple type </w:t>
            </w:r>
            <w:hyperlink w:history="true" w:anchor="_bookmark897">
              <w:r>
                <w:rPr>
                  <w:sz w:val="22"/>
                </w:rPr>
                <w:t>(§18.18.75</w:t>
              </w:r>
            </w:hyperlink>
            <w:r>
              <w:rPr>
                <w:sz w:val="22"/>
              </w:rPr>
              <w:t>).</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CT_CacheSource</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footerReference w:type="even" r:id="rId107"/>
          <w:footerReference w:type="default" r:id="rId108"/>
          <w:pgSz w:w="12240" w:h="15840"/>
          <w:pgMar w:footer="746" w:header="761" w:top="1340" w:bottom="940" w:left="860" w:right="700"/>
          <w:pgNumType w:start="1830"/>
        </w:sectPr>
      </w:pPr>
    </w:p>
    <w:p>
      <w:pPr>
        <w:pStyle w:val="Heading3"/>
        <w:numPr>
          <w:ilvl w:val="3"/>
          <w:numId w:val="42"/>
        </w:numPr>
        <w:tabs>
          <w:tab w:pos="1732" w:val="left" w:leader="none"/>
          <w:tab w:pos="1733" w:val="left" w:leader="none"/>
        </w:tabs>
        <w:spacing w:line="240" w:lineRule="auto" w:before="151" w:after="0"/>
        <w:ind w:left="1732" w:right="0" w:hanging="1513"/>
        <w:jc w:val="left"/>
      </w:pPr>
      <w:bookmarkStart w:name="18.10.1.8 calculatedItem (Calculated Ite" w:id="773"/>
      <w:bookmarkEnd w:id="773"/>
      <w:r>
        <w:rPr/>
      </w:r>
      <w:bookmarkStart w:name="_bookmark256" w:id="774"/>
      <w:bookmarkEnd w:id="774"/>
      <w:r>
        <w:rPr/>
      </w:r>
      <w:bookmarkStart w:name="_bookmark256" w:id="775"/>
      <w:bookmarkEnd w:id="775"/>
      <w:r>
        <w:rPr>
          <w:color w:val="4F81BC"/>
        </w:rPr>
        <w:t>calc</w:t>
      </w:r>
      <w:r>
        <w:rPr>
          <w:color w:val="4F81BC"/>
        </w:rPr>
        <w:t>ulatedItem (Calculated</w:t>
      </w:r>
      <w:r>
        <w:rPr>
          <w:color w:val="4F81BC"/>
          <w:spacing w:val="-3"/>
        </w:rPr>
        <w:t> </w:t>
      </w:r>
      <w:r>
        <w:rPr>
          <w:color w:val="4F81BC"/>
        </w:rPr>
        <w:t>Item)</w:t>
      </w:r>
    </w:p>
    <w:p>
      <w:pPr>
        <w:pStyle w:val="BodyText"/>
        <w:spacing w:before="119"/>
        <w:ind w:left="220"/>
        <w:rPr>
          <w:rFonts w:ascii="Cambria"/>
        </w:rPr>
      </w:pPr>
      <w:r>
        <w:rPr/>
        <w:t>Represents an item within a PivotTable field that uses a formula . The formula is specified in the </w:t>
      </w:r>
      <w:r>
        <w:rPr>
          <w:rFonts w:ascii="Cambria"/>
        </w:rPr>
        <w:t>formula</w:t>
      </w:r>
    </w:p>
    <w:p>
      <w:pPr>
        <w:pStyle w:val="BodyText"/>
        <w:spacing w:before="43"/>
        <w:ind w:left="220"/>
      </w:pPr>
      <w:r>
        <w:rPr/>
        <w:t>attribute.</w:t>
      </w:r>
    </w:p>
    <w:p>
      <w:pPr>
        <w:pStyle w:val="BodyText"/>
        <w:spacing w:before="6"/>
        <w:rPr>
          <w:sz w:val="19"/>
        </w:rPr>
      </w:pPr>
    </w:p>
    <w:p>
      <w:pPr>
        <w:pStyle w:val="BodyText"/>
        <w:spacing w:line="276" w:lineRule="auto"/>
        <w:ind w:left="220" w:right="1199"/>
      </w:pPr>
      <w:r>
        <w:rPr/>
        <w:t>Calculations and options available for a PivotTable depend on whether the source data came from an OLAP database or another type of database. This complex type applies to non-OLAP external data or on worksheet data. See </w:t>
      </w:r>
      <w:r>
        <w:rPr>
          <w:rFonts w:ascii="Cambria"/>
        </w:rPr>
        <w:t>calculatedMember </w:t>
      </w:r>
      <w:r>
        <w:rPr/>
        <w:t>for information on calculations on OLAP data sources.</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field </w:t>
            </w:r>
            <w:r>
              <w:rPr>
                <w:sz w:val="22"/>
              </w:rPr>
              <w:t>(Field Index)</w:t>
            </w:r>
          </w:p>
        </w:tc>
        <w:tc>
          <w:tcPr>
            <w:tcW w:w="8250" w:type="dxa"/>
          </w:tcPr>
          <w:p>
            <w:pPr>
              <w:pStyle w:val="TableParagraph"/>
              <w:rPr>
                <w:sz w:val="22"/>
              </w:rPr>
            </w:pPr>
            <w:r>
              <w:rPr>
                <w:sz w:val="22"/>
              </w:rPr>
              <w:t>Specifies the index of the </w:t>
            </w:r>
            <w:r>
              <w:rPr>
                <w:rFonts w:ascii="Cambria"/>
                <w:sz w:val="22"/>
              </w:rPr>
              <w:t>pivotField </w:t>
            </w:r>
            <w:r>
              <w:rPr>
                <w:sz w:val="22"/>
              </w:rPr>
              <w:t>with which this calculated item is associated.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7663" w:hRule="atLeast"/>
        </w:trPr>
        <w:tc>
          <w:tcPr>
            <w:tcW w:w="2062" w:type="dxa"/>
          </w:tcPr>
          <w:p>
            <w:pPr>
              <w:pStyle w:val="TableParagraph"/>
              <w:ind w:right="119"/>
              <w:rPr>
                <w:sz w:val="22"/>
              </w:rPr>
            </w:pPr>
            <w:r>
              <w:rPr>
                <w:rFonts w:ascii="Cambria"/>
                <w:sz w:val="22"/>
              </w:rPr>
              <w:t>formula </w:t>
            </w:r>
            <w:r>
              <w:rPr>
                <w:sz w:val="22"/>
              </w:rPr>
              <w:t>(Calculated Item Formula)</w:t>
            </w:r>
          </w:p>
        </w:tc>
        <w:tc>
          <w:tcPr>
            <w:tcW w:w="8250" w:type="dxa"/>
          </w:tcPr>
          <w:p>
            <w:pPr>
              <w:pStyle w:val="TableParagraph"/>
              <w:ind w:right="225"/>
              <w:rPr>
                <w:sz w:val="22"/>
              </w:rPr>
            </w:pPr>
            <w:r>
              <w:rPr>
                <w:sz w:val="22"/>
              </w:rPr>
              <w:t>Specifies the formula of the calculated item. In formulas you create for calculated items, you can use operators and expressions as you do in other worksheet formulas. You can use constants and refer to data from the PivotTable, but you cannot use cell references or defined names. You cannot use worksheet functions that require cell references or defined names as arguments, and you cannot use array functions.</w:t>
            </w:r>
          </w:p>
          <w:p>
            <w:pPr>
              <w:pStyle w:val="TableParagraph"/>
              <w:spacing w:before="11"/>
              <w:ind w:left="0"/>
              <w:rPr>
                <w:sz w:val="21"/>
              </w:rPr>
            </w:pPr>
          </w:p>
          <w:p>
            <w:pPr>
              <w:pStyle w:val="TableParagraph"/>
              <w:spacing w:before="0"/>
              <w:jc w:val="both"/>
              <w:rPr>
                <w:sz w:val="22"/>
              </w:rPr>
            </w:pPr>
            <w:r>
              <w:rPr>
                <w:sz w:val="22"/>
              </w:rPr>
              <w:t>Further behaviors and restrictions apply to formulas for </w:t>
            </w:r>
            <w:r>
              <w:rPr>
                <w:rFonts w:ascii="Consolas"/>
                <w:sz w:val="20"/>
              </w:rPr>
              <w:t>calculatedItems</w:t>
            </w:r>
            <w:r>
              <w:rPr>
                <w:sz w:val="22"/>
              </w:rPr>
              <w:t>:</w:t>
            </w:r>
          </w:p>
          <w:p>
            <w:pPr>
              <w:pStyle w:val="TableParagraph"/>
              <w:numPr>
                <w:ilvl w:val="0"/>
                <w:numId w:val="47"/>
              </w:numPr>
              <w:tabs>
                <w:tab w:pos="835" w:val="left" w:leader="none"/>
              </w:tabs>
              <w:spacing w:line="240" w:lineRule="auto" w:before="0" w:after="0"/>
              <w:ind w:left="835" w:right="346" w:hanging="360"/>
              <w:jc w:val="both"/>
              <w:rPr>
                <w:sz w:val="22"/>
              </w:rPr>
            </w:pPr>
            <w:r>
              <w:rPr>
                <w:sz w:val="22"/>
              </w:rPr>
              <w:t>Formulas for calculated items operate on the individual records; the calculated item formula =Dairy *115% multiplies each individual sale of Dairy times 115%, after which the multiplied amounts are summarized together in the data</w:t>
            </w:r>
            <w:r>
              <w:rPr>
                <w:spacing w:val="-16"/>
                <w:sz w:val="22"/>
              </w:rPr>
              <w:t> </w:t>
            </w:r>
            <w:r>
              <w:rPr>
                <w:sz w:val="22"/>
              </w:rPr>
              <w:t>area.</w:t>
            </w:r>
          </w:p>
          <w:p>
            <w:pPr>
              <w:pStyle w:val="TableParagraph"/>
              <w:numPr>
                <w:ilvl w:val="0"/>
                <w:numId w:val="47"/>
              </w:numPr>
              <w:tabs>
                <w:tab w:pos="835" w:val="left" w:leader="none"/>
              </w:tabs>
              <w:spacing w:line="279" w:lineRule="exact" w:before="1" w:after="0"/>
              <w:ind w:left="835" w:right="0" w:hanging="360"/>
              <w:jc w:val="both"/>
              <w:rPr>
                <w:sz w:val="22"/>
              </w:rPr>
            </w:pPr>
            <w:r>
              <w:rPr>
                <w:sz w:val="22"/>
              </w:rPr>
              <w:t>Formulas cannot refer to</w:t>
            </w:r>
            <w:r>
              <w:rPr>
                <w:spacing w:val="-5"/>
                <w:sz w:val="22"/>
              </w:rPr>
              <w:t> </w:t>
            </w:r>
            <w:r>
              <w:rPr>
                <w:sz w:val="22"/>
              </w:rPr>
              <w:t>totals.</w:t>
            </w:r>
          </w:p>
          <w:p>
            <w:pPr>
              <w:pStyle w:val="TableParagraph"/>
              <w:numPr>
                <w:ilvl w:val="0"/>
                <w:numId w:val="47"/>
              </w:numPr>
              <w:tabs>
                <w:tab w:pos="834" w:val="left" w:leader="none"/>
                <w:tab w:pos="835" w:val="left" w:leader="none"/>
              </w:tabs>
              <w:spacing w:line="240" w:lineRule="auto" w:before="0" w:after="0"/>
              <w:ind w:left="835" w:right="209" w:hanging="360"/>
              <w:jc w:val="left"/>
              <w:rPr>
                <w:sz w:val="22"/>
              </w:rPr>
            </w:pPr>
            <w:r>
              <w:rPr>
                <w:sz w:val="22"/>
              </w:rPr>
              <w:t>You can include the field name in a reference to an item. The item name shall be in square brackets. Use this format to avoid #NAME? errors when two items in two different fields in a report have the same</w:t>
            </w:r>
            <w:r>
              <w:rPr>
                <w:spacing w:val="-11"/>
                <w:sz w:val="22"/>
              </w:rPr>
              <w:t> </w:t>
            </w:r>
            <w:r>
              <w:rPr>
                <w:sz w:val="22"/>
              </w:rPr>
              <w:t>name.</w:t>
            </w:r>
          </w:p>
          <w:p>
            <w:pPr>
              <w:pStyle w:val="TableParagraph"/>
              <w:numPr>
                <w:ilvl w:val="0"/>
                <w:numId w:val="47"/>
              </w:numPr>
              <w:tabs>
                <w:tab w:pos="834" w:val="left" w:leader="none"/>
                <w:tab w:pos="835" w:val="left" w:leader="none"/>
              </w:tabs>
              <w:spacing w:line="240" w:lineRule="auto" w:before="1" w:after="0"/>
              <w:ind w:left="835" w:right="182" w:hanging="360"/>
              <w:jc w:val="left"/>
              <w:rPr>
                <w:sz w:val="22"/>
              </w:rPr>
            </w:pPr>
            <w:r>
              <w:rPr>
                <w:sz w:val="22"/>
              </w:rPr>
              <w:t>You can refer to an item by its position in the PivotTable as currently sorted and displayed. The item referred to in this way can change whenever the positions of items change or different items are displayed or hidden. Hidden items are not counted in this</w:t>
            </w:r>
            <w:r>
              <w:rPr>
                <w:spacing w:val="-4"/>
                <w:sz w:val="22"/>
              </w:rPr>
              <w:t> </w:t>
            </w:r>
            <w:r>
              <w:rPr>
                <w:sz w:val="22"/>
              </w:rPr>
              <w:t>index.</w:t>
            </w:r>
          </w:p>
          <w:p>
            <w:pPr>
              <w:pStyle w:val="TableParagraph"/>
              <w:numPr>
                <w:ilvl w:val="0"/>
                <w:numId w:val="47"/>
              </w:numPr>
              <w:tabs>
                <w:tab w:pos="834" w:val="left" w:leader="none"/>
                <w:tab w:pos="835" w:val="left" w:leader="none"/>
              </w:tabs>
              <w:spacing w:line="240" w:lineRule="auto" w:before="0" w:after="0"/>
              <w:ind w:left="835" w:right="246" w:hanging="360"/>
              <w:jc w:val="left"/>
              <w:rPr>
                <w:sz w:val="22"/>
              </w:rPr>
            </w:pPr>
            <w:r>
              <w:rPr>
                <w:sz w:val="22"/>
              </w:rPr>
              <w:t>You can use relative positions to refer to items. The positions are determined relative to the calculated item that contains the formula. If the position you give is before the first item or after the last item in the field, the formula results in a #REF!</w:t>
            </w:r>
            <w:r>
              <w:rPr>
                <w:spacing w:val="-2"/>
                <w:sz w:val="22"/>
              </w:rPr>
              <w:t> </w:t>
            </w:r>
            <w:r>
              <w:rPr>
                <w:sz w:val="22"/>
              </w:rPr>
              <w:t>error.</w:t>
            </w:r>
          </w:p>
          <w:p>
            <w:pPr>
              <w:pStyle w:val="TableParagraph"/>
              <w:spacing w:before="0"/>
              <w:ind w:left="0"/>
              <w:rPr>
                <w:sz w:val="22"/>
              </w:rPr>
            </w:pPr>
          </w:p>
          <w:p>
            <w:pPr>
              <w:pStyle w:val="TableParagraph"/>
              <w:spacing w:before="0"/>
              <w:ind w:right="621"/>
              <w:jc w:val="both"/>
              <w:rPr>
                <w:sz w:val="22"/>
              </w:rPr>
            </w:pPr>
            <w:r>
              <w:rPr>
                <w:sz w:val="22"/>
              </w:rPr>
              <w:t>For more information about formulas see </w:t>
            </w:r>
            <w:hyperlink w:history="true" w:anchor="_bookmark432">
              <w:r>
                <w:rPr>
                  <w:sz w:val="22"/>
                </w:rPr>
                <w:t>§18.17 </w:t>
              </w:r>
            </w:hyperlink>
            <w:r>
              <w:rPr>
                <w:sz w:val="22"/>
              </w:rPr>
              <w:t>in Formulas. For more information about defined names see §</w:t>
            </w:r>
            <w:hyperlink w:history="true" w:anchor="_bookmark6">
              <w:r>
                <w:rPr>
                  <w:sz w:val="22"/>
                </w:rPr>
                <w:t>18.2.6 </w:t>
              </w:r>
            </w:hyperlink>
            <w:r>
              <w:rPr>
                <w:sz w:val="22"/>
              </w:rPr>
              <w:t>in Workbook.</w:t>
            </w:r>
          </w:p>
          <w:p>
            <w:pPr>
              <w:pStyle w:val="TableParagraph"/>
              <w:spacing w:before="11"/>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6"/>
        </w:rPr>
      </w:pPr>
    </w:p>
    <w:p>
      <w:pPr>
        <w:pStyle w:val="BodyText"/>
        <w:spacing w:before="188"/>
        <w:ind w:left="220"/>
      </w:pPr>
      <w:r>
        <w:rPr/>
        <w:t>[</w:t>
      </w:r>
      <w:r>
        <w:rPr>
          <w:i/>
        </w:rPr>
        <w:t>Note</w:t>
      </w:r>
      <w:r>
        <w:rPr/>
        <w:t>: The W3C XML Schema definition of this element’s content model (</w:t>
      </w:r>
      <w:r>
        <w:rPr>
          <w:color w:val="5F5F5F"/>
          <w:u w:val="single" w:color="5F5F5F"/>
        </w:rPr>
        <w:t>CT_CalculatedItem</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3"/>
        <w:numPr>
          <w:ilvl w:val="3"/>
          <w:numId w:val="42"/>
        </w:numPr>
        <w:tabs>
          <w:tab w:pos="1732" w:val="left" w:leader="none"/>
          <w:tab w:pos="1733" w:val="left" w:leader="none"/>
        </w:tabs>
        <w:spacing w:line="240" w:lineRule="auto" w:before="93" w:after="0"/>
        <w:ind w:left="1732" w:right="0" w:hanging="1513"/>
        <w:jc w:val="left"/>
      </w:pPr>
      <w:bookmarkStart w:name="18.10.1.9 calculatedItems (Calculated It" w:id="776"/>
      <w:bookmarkEnd w:id="776"/>
      <w:r>
        <w:rPr/>
      </w:r>
      <w:bookmarkStart w:name="_bookmark257" w:id="777"/>
      <w:bookmarkEnd w:id="777"/>
      <w:r>
        <w:rPr/>
      </w:r>
      <w:bookmarkStart w:name="_bookmark257" w:id="778"/>
      <w:bookmarkEnd w:id="778"/>
      <w:r>
        <w:rPr>
          <w:color w:val="4F81BC"/>
        </w:rPr>
        <w:t>calc</w:t>
      </w:r>
      <w:r>
        <w:rPr>
          <w:color w:val="4F81BC"/>
        </w:rPr>
        <w:t>ulatedItems (Calculated</w:t>
      </w:r>
      <w:r>
        <w:rPr>
          <w:color w:val="4F81BC"/>
          <w:spacing w:val="-2"/>
        </w:rPr>
        <w:t> </w:t>
      </w:r>
      <w:r>
        <w:rPr>
          <w:color w:val="4F81BC"/>
        </w:rPr>
        <w:t>Items)</w:t>
      </w:r>
    </w:p>
    <w:p>
      <w:pPr>
        <w:pStyle w:val="BodyText"/>
        <w:spacing w:before="122"/>
        <w:ind w:left="220"/>
      </w:pPr>
      <w:r>
        <w:rPr/>
        <w:t>Represents the collection of calculated items.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32"/>
              <w:rPr>
                <w:sz w:val="22"/>
              </w:rPr>
            </w:pPr>
            <w:r>
              <w:rPr>
                <w:rFonts w:ascii="Cambria"/>
                <w:sz w:val="22"/>
              </w:rPr>
              <w:t>count </w:t>
            </w:r>
            <w:r>
              <w:rPr>
                <w:sz w:val="22"/>
              </w:rPr>
              <w:t>(Calculated Item Formula Count)</w:t>
            </w:r>
          </w:p>
        </w:tc>
        <w:tc>
          <w:tcPr>
            <w:tcW w:w="8250" w:type="dxa"/>
          </w:tcPr>
          <w:p>
            <w:pPr>
              <w:pStyle w:val="TableParagraph"/>
              <w:rPr>
                <w:sz w:val="22"/>
              </w:rPr>
            </w:pPr>
            <w:r>
              <w:rPr>
                <w:sz w:val="22"/>
              </w:rPr>
              <w:t>Specifies the number of calculated item formulas in the cache.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CT_CalculatedItems</w:t>
      </w:r>
      <w:r>
        <w:rPr/>
        <w:t>) is located in §A.2.</w:t>
      </w:r>
    </w:p>
    <w:p>
      <w:pPr>
        <w:spacing w:before="43"/>
        <w:ind w:left="220" w:right="0" w:firstLine="0"/>
        <w:jc w:val="left"/>
        <w:rPr>
          <w:sz w:val="22"/>
        </w:rPr>
      </w:pPr>
      <w:r>
        <w:rPr>
          <w:i/>
          <w:sz w:val="22"/>
        </w:rPr>
        <w:t>end note</w:t>
      </w:r>
      <w:r>
        <w:rPr>
          <w:sz w:val="22"/>
        </w:rPr>
        <w:t>]</w:t>
      </w:r>
    </w:p>
    <w:p>
      <w:pPr>
        <w:pStyle w:val="BodyText"/>
        <w:spacing w:before="10"/>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0 calculatedMember (Calculated " w:id="779"/>
      <w:bookmarkEnd w:id="779"/>
      <w:r>
        <w:rPr/>
      </w:r>
      <w:bookmarkStart w:name="_bookmark258" w:id="780"/>
      <w:bookmarkEnd w:id="780"/>
      <w:r>
        <w:rPr/>
      </w:r>
      <w:bookmarkStart w:name="_bookmark258" w:id="781"/>
      <w:bookmarkEnd w:id="781"/>
      <w:r>
        <w:rPr>
          <w:color w:val="4F81BC"/>
        </w:rPr>
        <w:t>calc</w:t>
      </w:r>
      <w:r>
        <w:rPr>
          <w:color w:val="4F81BC"/>
        </w:rPr>
        <w:t>ulatedMember (Calculated</w:t>
      </w:r>
      <w:r>
        <w:rPr>
          <w:color w:val="4F81BC"/>
          <w:spacing w:val="-2"/>
        </w:rPr>
        <w:t> </w:t>
      </w:r>
      <w:r>
        <w:rPr>
          <w:color w:val="4F81BC"/>
        </w:rPr>
        <w:t>Member)</w:t>
      </w:r>
    </w:p>
    <w:p>
      <w:pPr>
        <w:spacing w:before="121"/>
        <w:ind w:left="220" w:right="503" w:firstLine="0"/>
        <w:jc w:val="left"/>
        <w:rPr>
          <w:sz w:val="24"/>
        </w:rPr>
      </w:pPr>
      <w:r>
        <w:rPr>
          <w:sz w:val="24"/>
        </w:rPr>
        <w:t>A calculated member is a member in an OLAP hierarchy for which the value is calculated by an OLAP server using a Multidimensional Expressions (MDX) expression. For PivotTables that are created from OLAP cubes the summarized values are calculated by an OLAP server before the SpreadsheetML application displays the results. In OLAP PivotTables, the consuming application cannot change the summary function used to calculate totals and subtotals.</w:t>
      </w:r>
    </w:p>
    <w:p>
      <w:pPr>
        <w:pStyle w:val="BodyText"/>
        <w:spacing w:line="453" w:lineRule="auto"/>
        <w:ind w:left="220" w:right="649"/>
      </w:pPr>
      <w:r>
        <w:rPr/>
        <w:t>Calculated members are defined by the Multidimensional Expressions (MDX) expression in the </w:t>
      </w:r>
      <w:r>
        <w:rPr>
          <w:rFonts w:ascii="Cambria"/>
        </w:rPr>
        <w:t>mdx </w:t>
      </w:r>
      <w:r>
        <w:rPr/>
        <w:t>attribute. [</w:t>
      </w:r>
      <w:r>
        <w:rPr>
          <w:i/>
        </w:rPr>
        <w:t>Example</w:t>
      </w:r>
      <w:r>
        <w:rPr/>
        <w:t>:</w:t>
      </w:r>
    </w:p>
    <w:p>
      <w:pPr>
        <w:pStyle w:val="BodyText"/>
        <w:spacing w:before="2"/>
        <w:ind w:left="508"/>
        <w:rPr>
          <w:rFonts w:ascii="Consolas"/>
        </w:rPr>
      </w:pPr>
      <w:r>
        <w:rPr>
          <w:rFonts w:ascii="Consolas"/>
        </w:rPr>
        <w:t>&lt;calculatedMembers count="1"&gt;</w:t>
      </w:r>
    </w:p>
    <w:p>
      <w:pPr>
        <w:pStyle w:val="BodyText"/>
        <w:spacing w:line="276" w:lineRule="auto" w:before="40"/>
        <w:ind w:left="993" w:right="503" w:hanging="243"/>
        <w:rPr>
          <w:rFonts w:ascii="Consolas"/>
        </w:rPr>
      </w:pPr>
      <w:r>
        <w:rPr>
          <w:rFonts w:ascii="Consolas"/>
        </w:rPr>
        <w:t>&lt;calculatedMember name="[Product].[Product Categories].[All Products].[Calculated Member]" mdx="'[Product].[Product Categories].[All Products].[Accessories]'" memberName="Calculated Member" hierarchy="[Product].[Product Categories]" parent="[Product].[Product Categories].[All Products]"/&gt;</w:t>
      </w:r>
    </w:p>
    <w:p>
      <w:pPr>
        <w:pStyle w:val="BodyText"/>
        <w:ind w:left="508"/>
        <w:rPr>
          <w:rFonts w:ascii="Consolas"/>
        </w:rPr>
      </w:pPr>
      <w:r>
        <w:rPr>
          <w:rFonts w:ascii="Consolas"/>
        </w:rPr>
        <w:t>&lt;/calculatedMembers&gt;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spacing w:line="257" w:lineRule="exact" w:before="42"/>
              <w:rPr>
                <w:rFonts w:ascii="Cambria"/>
                <w:sz w:val="22"/>
              </w:rPr>
            </w:pPr>
            <w:r>
              <w:rPr>
                <w:rFonts w:ascii="Cambria"/>
                <w:sz w:val="22"/>
              </w:rPr>
              <w:t>hierarchy</w:t>
            </w:r>
          </w:p>
          <w:p>
            <w:pPr>
              <w:pStyle w:val="TableParagraph"/>
              <w:spacing w:line="268" w:lineRule="exact" w:before="0"/>
              <w:rPr>
                <w:sz w:val="22"/>
              </w:rPr>
            </w:pPr>
            <w:r>
              <w:rPr>
                <w:sz w:val="22"/>
              </w:rPr>
              <w:t>(Hierarchy Name)</w:t>
            </w:r>
          </w:p>
        </w:tc>
        <w:tc>
          <w:tcPr>
            <w:tcW w:w="8250" w:type="dxa"/>
          </w:tcPr>
          <w:p>
            <w:pPr>
              <w:pStyle w:val="TableParagraph"/>
              <w:rPr>
                <w:sz w:val="22"/>
              </w:rPr>
            </w:pPr>
            <w:r>
              <w:rPr>
                <w:sz w:val="22"/>
              </w:rPr>
              <w:t>Specifies the name of the hierarchy to which the calculated member belongs.</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6" w:hRule="atLeast"/>
        </w:trPr>
        <w:tc>
          <w:tcPr>
            <w:tcW w:w="2062" w:type="dxa"/>
          </w:tcPr>
          <w:p>
            <w:pPr>
              <w:pStyle w:val="TableParagraph"/>
              <w:ind w:right="454"/>
              <w:rPr>
                <w:sz w:val="22"/>
              </w:rPr>
            </w:pPr>
            <w:r>
              <w:rPr>
                <w:rFonts w:ascii="Cambria"/>
                <w:sz w:val="22"/>
              </w:rPr>
              <w:t>mdx </w:t>
            </w:r>
            <w:r>
              <w:rPr>
                <w:sz w:val="22"/>
              </w:rPr>
              <w:t>(Calculated Member MDX Formula)</w:t>
            </w:r>
          </w:p>
        </w:tc>
        <w:tc>
          <w:tcPr>
            <w:tcW w:w="8250" w:type="dxa"/>
          </w:tcPr>
          <w:p>
            <w:pPr>
              <w:pStyle w:val="TableParagraph"/>
              <w:rPr>
                <w:sz w:val="22"/>
              </w:rPr>
            </w:pPr>
            <w:r>
              <w:rPr>
                <w:sz w:val="22"/>
              </w:rPr>
              <w:t>Specifies the MDX formula for the calculated member.</w:t>
            </w:r>
          </w:p>
          <w:p>
            <w:pPr>
              <w:pStyle w:val="TableParagraph"/>
              <w:spacing w:before="0"/>
              <w:ind w:left="0"/>
              <w:rPr>
                <w:sz w:val="22"/>
              </w:rPr>
            </w:pPr>
          </w:p>
          <w:p>
            <w:pPr>
              <w:pStyle w:val="TableParagraph"/>
              <w:spacing w:before="0"/>
              <w:ind w:right="120"/>
              <w:rPr>
                <w:sz w:val="22"/>
              </w:rPr>
            </w:pPr>
            <w:r>
              <w:rPr>
                <w:sz w:val="22"/>
              </w:rPr>
              <w:t>[</w:t>
            </w:r>
            <w:r>
              <w:rPr>
                <w:i/>
                <w:sz w:val="22"/>
              </w:rPr>
              <w:t>Note</w:t>
            </w:r>
            <w:r>
              <w:rPr>
                <w:sz w:val="22"/>
              </w:rPr>
              <w:t>: Data connectivity can use a number of different technologies. One example of potential values stored in this attribute can be found at: </w:t>
            </w:r>
            <w:hyperlink r:id="rId110">
              <w:r>
                <w:rPr>
                  <w:color w:val="5F5F5F"/>
                  <w:sz w:val="22"/>
                  <w:u w:val="single" w:color="5F5F5F"/>
                </w:rPr>
                <w:t>http://msdn2.microsoft.com/en-</w:t>
              </w:r>
            </w:hyperlink>
            <w:r>
              <w:rPr>
                <w:color w:val="5F5F5F"/>
                <w:sz w:val="22"/>
              </w:rPr>
              <w:t> </w:t>
            </w:r>
            <w:r>
              <w:rPr>
                <w:color w:val="5F5F5F"/>
                <w:sz w:val="22"/>
                <w:u w:val="single" w:color="5F5F5F"/>
              </w:rPr>
              <w:t>us/library/ms145595.aspx</w:t>
            </w:r>
            <w:r>
              <w:rPr>
                <w:color w:val="5F5F5F"/>
                <w:sz w:val="22"/>
              </w:rPr>
              <w:t> </w:t>
            </w:r>
            <w:r>
              <w:rPr>
                <w:i/>
                <w:sz w:val="22"/>
              </w:rPr>
              <w:t>end note</w:t>
            </w:r>
            <w:r>
              <w:rPr>
                <w:sz w:val="22"/>
              </w:rPr>
              <w:t>]</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spacing w:line="237" w:lineRule="auto" w:before="45"/>
              <w:ind w:right="385"/>
              <w:rPr>
                <w:sz w:val="22"/>
              </w:rPr>
            </w:pPr>
            <w:r>
              <w:rPr>
                <w:rFonts w:ascii="Cambria"/>
                <w:sz w:val="22"/>
              </w:rPr>
              <w:t>memberName </w:t>
            </w:r>
            <w:r>
              <w:rPr>
                <w:sz w:val="22"/>
              </w:rPr>
              <w:t>(OLAP Calculated Member Name)</w:t>
            </w:r>
          </w:p>
        </w:tc>
        <w:tc>
          <w:tcPr>
            <w:tcW w:w="8250" w:type="dxa"/>
          </w:tcPr>
          <w:p>
            <w:pPr>
              <w:pStyle w:val="TableParagraph"/>
              <w:rPr>
                <w:sz w:val="22"/>
              </w:rPr>
            </w:pPr>
            <w:r>
              <w:rPr>
                <w:sz w:val="22"/>
              </w:rPr>
              <w:t>Specifies the OLAP member name for the calculated member.</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344"/>
              <w:rPr>
                <w:sz w:val="22"/>
              </w:rPr>
            </w:pPr>
            <w:r>
              <w:rPr>
                <w:rFonts w:ascii="Cambria"/>
                <w:sz w:val="22"/>
              </w:rPr>
              <w:t>name </w:t>
            </w:r>
            <w:r>
              <w:rPr>
                <w:sz w:val="22"/>
              </w:rPr>
              <w:t>(Calculated Member Name)</w:t>
            </w:r>
          </w:p>
        </w:tc>
        <w:tc>
          <w:tcPr>
            <w:tcW w:w="8250" w:type="dxa"/>
          </w:tcPr>
          <w:p>
            <w:pPr>
              <w:pStyle w:val="TableParagraph"/>
              <w:rPr>
                <w:sz w:val="22"/>
              </w:rPr>
            </w:pPr>
            <w:r>
              <w:rPr>
                <w:sz w:val="22"/>
              </w:rPr>
              <w:t>Specifies the name of the calculated member.</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9" w:hRule="atLeast"/>
        </w:trPr>
        <w:tc>
          <w:tcPr>
            <w:tcW w:w="2062" w:type="dxa"/>
          </w:tcPr>
          <w:p>
            <w:pPr>
              <w:pStyle w:val="TableParagraph"/>
              <w:ind w:right="582"/>
              <w:rPr>
                <w:sz w:val="22"/>
              </w:rPr>
            </w:pPr>
            <w:r>
              <w:rPr>
                <w:rFonts w:ascii="Cambria"/>
                <w:sz w:val="22"/>
              </w:rPr>
              <w:t>parent </w:t>
            </w:r>
            <w:r>
              <w:rPr>
                <w:sz w:val="22"/>
              </w:rPr>
              <w:t>(Parent Name)</w:t>
            </w:r>
          </w:p>
        </w:tc>
        <w:tc>
          <w:tcPr>
            <w:tcW w:w="8250" w:type="dxa"/>
          </w:tcPr>
          <w:p>
            <w:pPr>
              <w:pStyle w:val="TableParagraph"/>
              <w:rPr>
                <w:sz w:val="22"/>
              </w:rPr>
            </w:pPr>
            <w:r>
              <w:rPr>
                <w:sz w:val="22"/>
              </w:rPr>
              <w:t>Specifies the name of the parent of the calculated member.</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2" w:hRule="atLeast"/>
        </w:trPr>
        <w:tc>
          <w:tcPr>
            <w:tcW w:w="2062" w:type="dxa"/>
          </w:tcPr>
          <w:p>
            <w:pPr>
              <w:pStyle w:val="TableParagraph"/>
              <w:rPr>
                <w:sz w:val="22"/>
              </w:rPr>
            </w:pPr>
            <w:r>
              <w:rPr>
                <w:rFonts w:ascii="Cambria"/>
                <w:sz w:val="22"/>
              </w:rPr>
              <w:t>set </w:t>
            </w:r>
            <w:r>
              <w:rPr>
                <w:sz w:val="22"/>
              </w:rPr>
              <w:t>(Set)</w:t>
            </w:r>
          </w:p>
        </w:tc>
        <w:tc>
          <w:tcPr>
            <w:tcW w:w="8250" w:type="dxa"/>
          </w:tcPr>
          <w:p>
            <w:pPr>
              <w:pStyle w:val="TableParagraph"/>
              <w:ind w:right="586"/>
              <w:rPr>
                <w:sz w:val="22"/>
              </w:rPr>
            </w:pPr>
            <w:r>
              <w:rPr>
                <w:sz w:val="22"/>
              </w:rPr>
              <w:t>Specifies a boolean value that indicates whether this calculated member describes a calculated set rather than a calculated member.</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is a calculated set.</w:t>
            </w:r>
          </w:p>
          <w:p>
            <w:pPr>
              <w:pStyle w:val="TableParagraph"/>
              <w:spacing w:before="1"/>
              <w:ind w:left="0"/>
              <w:rPr>
                <w:sz w:val="22"/>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is a calculated member.</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spacing w:before="45"/>
              <w:ind w:right="529"/>
              <w:rPr>
                <w:sz w:val="22"/>
              </w:rPr>
            </w:pPr>
            <w:r>
              <w:rPr>
                <w:rFonts w:ascii="Cambria"/>
                <w:sz w:val="22"/>
              </w:rPr>
              <w:t>solveOrder </w:t>
            </w:r>
            <w:r>
              <w:rPr>
                <w:sz w:val="22"/>
              </w:rPr>
              <w:t>(Calculated Members Solve Order)</w:t>
            </w:r>
          </w:p>
        </w:tc>
        <w:tc>
          <w:tcPr>
            <w:tcW w:w="8250" w:type="dxa"/>
          </w:tcPr>
          <w:p>
            <w:pPr>
              <w:pStyle w:val="TableParagraph"/>
              <w:spacing w:line="237" w:lineRule="auto" w:before="45"/>
              <w:ind w:right="590"/>
              <w:rPr>
                <w:sz w:val="22"/>
              </w:rPr>
            </w:pPr>
            <w:r>
              <w:rPr>
                <w:sz w:val="22"/>
              </w:rPr>
              <w:t>Specifies the order in which this calculated member is calculated in relation to other calculated members.</w:t>
            </w:r>
          </w:p>
          <w:p>
            <w:pPr>
              <w:pStyle w:val="TableParagraph"/>
              <w:spacing w:before="1"/>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CT_CalculatedMember</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1 calculatedMembers (Calculated" w:id="782"/>
      <w:bookmarkEnd w:id="782"/>
      <w:r>
        <w:rPr/>
      </w:r>
      <w:bookmarkStart w:name="_bookmark259" w:id="783"/>
      <w:bookmarkEnd w:id="783"/>
      <w:r>
        <w:rPr/>
      </w:r>
      <w:bookmarkStart w:name="_bookmark259" w:id="784"/>
      <w:bookmarkEnd w:id="784"/>
      <w:r>
        <w:rPr>
          <w:color w:val="4F81BC"/>
        </w:rPr>
        <w:t>calc</w:t>
      </w:r>
      <w:r>
        <w:rPr>
          <w:color w:val="4F81BC"/>
        </w:rPr>
        <w:t>ulatedMembers (Calculated</w:t>
      </w:r>
      <w:r>
        <w:rPr>
          <w:color w:val="4F81BC"/>
          <w:spacing w:val="-2"/>
        </w:rPr>
        <w:t> </w:t>
      </w:r>
      <w:r>
        <w:rPr>
          <w:color w:val="4F81BC"/>
        </w:rPr>
        <w:t>Members)</w:t>
      </w:r>
    </w:p>
    <w:p>
      <w:pPr>
        <w:pStyle w:val="BodyText"/>
        <w:spacing w:line="453" w:lineRule="auto" w:before="122"/>
        <w:ind w:left="220" w:right="4016"/>
      </w:pPr>
      <w:r>
        <w:rPr/>
        <w:t>Represents the collection of calculated members in an OLAP PivotTable. [</w:t>
      </w:r>
      <w:r>
        <w:rPr>
          <w:i/>
        </w:rPr>
        <w:t>Example</w:t>
      </w:r>
      <w:r>
        <w:rPr/>
        <w:t>:</w:t>
      </w:r>
    </w:p>
    <w:p>
      <w:pPr>
        <w:spacing w:after="0" w:line="453" w:lineRule="auto"/>
        <w:sectPr>
          <w:pgSz w:w="12240" w:h="15840"/>
          <w:pgMar w:header="763" w:footer="746" w:top="1340" w:bottom="940" w:left="860" w:right="700"/>
        </w:sectPr>
      </w:pPr>
    </w:p>
    <w:p>
      <w:pPr>
        <w:pStyle w:val="BodyText"/>
        <w:spacing w:before="93"/>
        <w:ind w:left="508"/>
        <w:rPr>
          <w:rFonts w:ascii="Consolas"/>
        </w:rPr>
      </w:pPr>
      <w:r>
        <w:rPr>
          <w:rFonts w:ascii="Consolas"/>
        </w:rPr>
        <w:t>&lt;calculatedMembers count="1"&gt;</w:t>
      </w:r>
    </w:p>
    <w:p>
      <w:pPr>
        <w:pStyle w:val="BodyText"/>
        <w:spacing w:line="276" w:lineRule="auto" w:before="38"/>
        <w:ind w:left="993" w:right="503" w:hanging="243"/>
        <w:rPr>
          <w:rFonts w:ascii="Consolas"/>
        </w:rPr>
      </w:pPr>
      <w:r>
        <w:rPr>
          <w:rFonts w:ascii="Consolas"/>
        </w:rPr>
        <w:t>&lt;calculatedMember name="[Product].[Product Categories].[All Products].[Calculated Member]" mdx="'[Product].[Product Categories].[All Products].[Accessories]'" memberName="Calculated Member" hierarchy="[Product].[Product Categories]" parent="[Product].[Product Categories].[All Products]"/&gt;</w:t>
      </w:r>
    </w:p>
    <w:p>
      <w:pPr>
        <w:pStyle w:val="BodyText"/>
        <w:spacing w:before="2"/>
        <w:ind w:left="508"/>
        <w:rPr>
          <w:rFonts w:ascii="Consolas"/>
        </w:rPr>
      </w:pPr>
      <w:r>
        <w:rPr>
          <w:rFonts w:ascii="Consolas"/>
        </w:rPr>
        <w:t>&lt;/calculatedMembers&gt;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32"/>
              <w:rPr>
                <w:sz w:val="22"/>
              </w:rPr>
            </w:pPr>
            <w:r>
              <w:rPr>
                <w:rFonts w:ascii="Cambria"/>
                <w:sz w:val="22"/>
              </w:rPr>
              <w:t>count </w:t>
            </w:r>
            <w:r>
              <w:rPr>
                <w:sz w:val="22"/>
              </w:rPr>
              <w:t>(Calculated Members Count)</w:t>
            </w:r>
          </w:p>
        </w:tc>
        <w:tc>
          <w:tcPr>
            <w:tcW w:w="8250" w:type="dxa"/>
          </w:tcPr>
          <w:p>
            <w:pPr>
              <w:pStyle w:val="TableParagraph"/>
              <w:rPr>
                <w:sz w:val="22"/>
              </w:rPr>
            </w:pPr>
            <w:r>
              <w:rPr>
                <w:sz w:val="22"/>
              </w:rPr>
              <w:t>Specifies the number of calculated members.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CT_CalculatedMembers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2 chartFormat (PivotChart Forma" w:id="785"/>
      <w:bookmarkEnd w:id="785"/>
      <w:r>
        <w:rPr/>
      </w:r>
      <w:bookmarkStart w:name="_bookmark260" w:id="786"/>
      <w:bookmarkEnd w:id="786"/>
      <w:r>
        <w:rPr/>
      </w:r>
      <w:bookmarkStart w:name="_bookmark260" w:id="787"/>
      <w:bookmarkEnd w:id="787"/>
      <w:r>
        <w:rPr>
          <w:color w:val="4F81BC"/>
        </w:rPr>
        <w:t>c</w:t>
      </w:r>
      <w:r>
        <w:rPr>
          <w:color w:val="4F81BC"/>
        </w:rPr>
        <w:t>hartFormat (PivotChart</w:t>
      </w:r>
      <w:r>
        <w:rPr>
          <w:color w:val="4F81BC"/>
          <w:spacing w:val="-2"/>
        </w:rPr>
        <w:t> </w:t>
      </w:r>
      <w:r>
        <w:rPr>
          <w:color w:val="4F81BC"/>
        </w:rPr>
        <w:t>Format)</w:t>
      </w:r>
    </w:p>
    <w:p>
      <w:pPr>
        <w:pStyle w:val="BodyText"/>
        <w:spacing w:line="453" w:lineRule="auto" w:before="122"/>
        <w:ind w:left="220" w:right="2672"/>
      </w:pPr>
      <w:r>
        <w:rPr/>
        <w:t>Represents the format defined in the PivotChart that is associated with this PivotTable. [</w:t>
      </w:r>
      <w:r>
        <w:rPr>
          <w:i/>
        </w:rPr>
        <w:t>Example</w:t>
      </w:r>
      <w:r>
        <w:rPr/>
        <w:t>:</w:t>
      </w:r>
    </w:p>
    <w:p>
      <w:pPr>
        <w:pStyle w:val="BodyText"/>
        <w:spacing w:line="276" w:lineRule="auto" w:before="2"/>
        <w:ind w:left="750" w:right="503" w:hanging="243"/>
        <w:rPr>
          <w:rFonts w:ascii="Consolas" w:hAnsi="Consolas"/>
        </w:rPr>
      </w:pPr>
      <w:r>
        <w:rPr>
          <w:rFonts w:ascii="Consolas" w:hAnsi="Consolas"/>
        </w:rPr>
        <w:t>&lt;sh:pivotTableDefinition xmlns:sh="…" name="PivotTable1" cacheId="0" applyNumberFormats="0" applyBorderFormats="0" applyFontFormats="0" applyPatternFormats="0" applyAlignmentFormats="0" applyWidthHeightFormats="1" dataCaption="Values" updatedVersion="3" minRefreshableVersion="3" showCalcMbrs="0" useAutoFormatting="1" colGrandTotals="0" itemPrintTitles="1" createdVersion="3" indent="0" outline="1" outlineData="1" multipleFieldFilters="0" chartFormat="1" fieldListSortAscending="1"&gt;</w:t>
      </w:r>
    </w:p>
    <w:p>
      <w:pPr>
        <w:pStyle w:val="BodyText"/>
        <w:rPr>
          <w:rFonts w:ascii="Consolas"/>
          <w:sz w:val="17"/>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ind w:left="16" w:right="129"/>
              <w:jc w:val="center"/>
              <w:rPr>
                <w:sz w:val="22"/>
              </w:rPr>
            </w:pPr>
            <w:r>
              <w:rPr>
                <w:rFonts w:ascii="Cambria"/>
                <w:sz w:val="22"/>
              </w:rPr>
              <w:t>chart </w:t>
            </w:r>
            <w:r>
              <w:rPr>
                <w:sz w:val="22"/>
              </w:rPr>
              <w:t>(Chart Index)</w:t>
            </w:r>
          </w:p>
        </w:tc>
        <w:tc>
          <w:tcPr>
            <w:tcW w:w="8250" w:type="dxa"/>
          </w:tcPr>
          <w:p>
            <w:pPr>
              <w:pStyle w:val="TableParagraph"/>
              <w:ind w:right="517"/>
              <w:rPr>
                <w:sz w:val="22"/>
              </w:rPr>
            </w:pPr>
            <w:r>
              <w:rPr>
                <w:sz w:val="22"/>
              </w:rPr>
              <w:t>Specifies the index of the </w:t>
            </w:r>
            <w:r>
              <w:rPr>
                <w:rFonts w:ascii="Cambria"/>
                <w:sz w:val="22"/>
              </w:rPr>
              <w:t>chart </w:t>
            </w:r>
            <w:r>
              <w:rPr>
                <w:sz w:val="22"/>
              </w:rPr>
              <w:t>part to which the formatting applies. For more information see the DrawingML specification for more information on the chart part.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ind w:right="709"/>
              <w:rPr>
                <w:sz w:val="22"/>
              </w:rPr>
            </w:pPr>
            <w:r>
              <w:rPr>
                <w:rFonts w:ascii="Cambria"/>
                <w:sz w:val="22"/>
              </w:rPr>
              <w:t>format </w:t>
            </w:r>
            <w:r>
              <w:rPr>
                <w:sz w:val="22"/>
              </w:rPr>
              <w:t>(Pivot Format Id)</w:t>
            </w:r>
          </w:p>
        </w:tc>
        <w:tc>
          <w:tcPr>
            <w:tcW w:w="8250" w:type="dxa"/>
          </w:tcPr>
          <w:p>
            <w:pPr>
              <w:pStyle w:val="TableParagraph"/>
              <w:rPr>
                <w:sz w:val="22"/>
              </w:rPr>
            </w:pPr>
            <w:r>
              <w:rPr>
                <w:sz w:val="22"/>
              </w:rPr>
              <w:t>Specifies the index of the pivot format that is currently in use. This index corresponds to a</w:t>
            </w:r>
          </w:p>
          <w:p>
            <w:pPr>
              <w:pStyle w:val="TableParagraph"/>
              <w:spacing w:before="0"/>
              <w:rPr>
                <w:sz w:val="22"/>
              </w:rPr>
            </w:pPr>
            <w:r>
              <w:rPr>
                <w:rFonts w:ascii="Cambria" w:hAnsi="Cambria"/>
                <w:sz w:val="22"/>
              </w:rPr>
              <w:t>dxf </w:t>
            </w:r>
            <w:r>
              <w:rPr>
                <w:sz w:val="22"/>
              </w:rPr>
              <w:t>element in the Styles part. For more information see the Styles section (</w:t>
            </w:r>
            <w:hyperlink w:history="true" w:anchor="_bookmark183">
              <w:r>
                <w:rPr>
                  <w:sz w:val="22"/>
                </w:rPr>
                <w:t>§18.8</w:t>
              </w:r>
            </w:hyperlink>
            <w:r>
              <w:rPr>
                <w:sz w:val="22"/>
              </w:rPr>
              <w:t>).</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2233" w:hRule="atLeast"/>
        </w:trPr>
        <w:tc>
          <w:tcPr>
            <w:tcW w:w="2062" w:type="dxa"/>
          </w:tcPr>
          <w:p>
            <w:pPr>
              <w:pStyle w:val="TableParagraph"/>
              <w:ind w:right="712"/>
              <w:rPr>
                <w:sz w:val="22"/>
              </w:rPr>
            </w:pPr>
            <w:r>
              <w:rPr>
                <w:rFonts w:ascii="Cambria"/>
                <w:sz w:val="22"/>
              </w:rPr>
              <w:t>series </w:t>
            </w:r>
            <w:r>
              <w:rPr>
                <w:sz w:val="22"/>
              </w:rPr>
              <w:t>(Series Format)</w:t>
            </w:r>
          </w:p>
        </w:tc>
        <w:tc>
          <w:tcPr>
            <w:tcW w:w="8250" w:type="dxa"/>
          </w:tcPr>
          <w:p>
            <w:pPr>
              <w:pStyle w:val="TableParagraph"/>
              <w:spacing w:line="480" w:lineRule="auto"/>
              <w:ind w:right="1418"/>
              <w:rPr>
                <w:sz w:val="22"/>
              </w:rPr>
            </w:pPr>
            <w:r>
              <w:rPr>
                <w:sz w:val="22"/>
              </w:rPr>
              <w:t>Specifies a boolean value that indicates whether format applies to a series.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format applies to a series.</w:t>
            </w:r>
          </w:p>
          <w:p>
            <w:pPr>
              <w:pStyle w:val="TableParagraph"/>
              <w:spacing w:line="267"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this format applies to a data point.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CT_ChartFormat</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3 chartFormats (PivotChart Form" w:id="788"/>
      <w:bookmarkEnd w:id="788"/>
      <w:r>
        <w:rPr/>
      </w:r>
      <w:bookmarkStart w:name="_bookmark261" w:id="789"/>
      <w:bookmarkEnd w:id="789"/>
      <w:r>
        <w:rPr/>
      </w:r>
      <w:bookmarkStart w:name="_bookmark261" w:id="790"/>
      <w:bookmarkEnd w:id="790"/>
      <w:r>
        <w:rPr>
          <w:color w:val="4F81BC"/>
        </w:rPr>
        <w:t>c</w:t>
      </w:r>
      <w:r>
        <w:rPr>
          <w:color w:val="4F81BC"/>
        </w:rPr>
        <w:t>hartFormats (PivotChart</w:t>
      </w:r>
      <w:r>
        <w:rPr>
          <w:color w:val="4F81BC"/>
          <w:spacing w:val="-1"/>
        </w:rPr>
        <w:t> </w:t>
      </w:r>
      <w:r>
        <w:rPr>
          <w:color w:val="4F81BC"/>
        </w:rPr>
        <w:t>Formats)</w:t>
      </w:r>
    </w:p>
    <w:p>
      <w:pPr>
        <w:pStyle w:val="BodyText"/>
        <w:spacing w:line="453" w:lineRule="auto" w:before="121"/>
        <w:ind w:left="220" w:right="5189"/>
      </w:pPr>
      <w:r>
        <w:rPr/>
        <w:t>Represents the collection of formats applied to PivotChart. [</w:t>
      </w:r>
      <w:r>
        <w:rPr>
          <w:i/>
        </w:rPr>
        <w:t>Example</w:t>
      </w:r>
      <w:r>
        <w:rPr/>
        <w:t>:</w:t>
      </w:r>
    </w:p>
    <w:p>
      <w:pPr>
        <w:pStyle w:val="BodyText"/>
        <w:spacing w:before="3"/>
        <w:ind w:left="508"/>
        <w:rPr>
          <w:rFonts w:ascii="Consolas"/>
        </w:rPr>
      </w:pPr>
      <w:r>
        <w:rPr>
          <w:rFonts w:ascii="Consolas"/>
        </w:rPr>
        <w:t>&lt;sh:chartFormats count="4"&gt;</w:t>
      </w:r>
    </w:p>
    <w:p>
      <w:pPr>
        <w:pStyle w:val="BodyText"/>
        <w:spacing w:before="37"/>
        <w:ind w:left="750"/>
        <w:rPr>
          <w:rFonts w:ascii="Consolas"/>
        </w:rPr>
      </w:pPr>
      <w:r>
        <w:rPr>
          <w:rFonts w:ascii="Consolas"/>
        </w:rPr>
        <w:t>&lt;sh:chartFormat chart="0" format="0" series="1"&gt;</w:t>
      </w:r>
    </w:p>
    <w:p>
      <w:pPr>
        <w:pStyle w:val="BodyText"/>
        <w:spacing w:before="40"/>
        <w:ind w:left="993"/>
        <w:rPr>
          <w:rFonts w:ascii="Consolas"/>
        </w:rPr>
      </w:pPr>
      <w:r>
        <w:rPr>
          <w:rFonts w:ascii="Consolas"/>
        </w:rPr>
        <w:t>&lt;sh:pivotArea type="data" outline="0"&gt;</w:t>
      </w:r>
    </w:p>
    <w:p>
      <w:pPr>
        <w:pStyle w:val="BodyText"/>
        <w:spacing w:before="38"/>
        <w:ind w:left="1235"/>
        <w:rPr>
          <w:rFonts w:ascii="Consolas"/>
        </w:rPr>
      </w:pPr>
      <w:r>
        <w:rPr>
          <w:rFonts w:ascii="Consolas"/>
        </w:rPr>
        <w:t>&lt;sh:references count="3"&gt;</w:t>
      </w:r>
    </w:p>
    <w:p>
      <w:pPr>
        <w:pStyle w:val="BodyText"/>
        <w:spacing w:before="40"/>
        <w:ind w:left="1478"/>
        <w:rPr>
          <w:rFonts w:ascii="Consolas"/>
        </w:rPr>
      </w:pPr>
      <w:r>
        <w:rPr>
          <w:rFonts w:ascii="Consolas"/>
        </w:rPr>
        <w:t>&lt;sh:reference field="4294967294" count="1" selected="0"&gt;</w:t>
      </w:r>
    </w:p>
    <w:p>
      <w:pPr>
        <w:pStyle w:val="BodyText"/>
        <w:spacing w:before="38"/>
        <w:ind w:right="7388"/>
        <w:jc w:val="right"/>
        <w:rPr>
          <w:rFonts w:ascii="Consolas"/>
        </w:rPr>
      </w:pPr>
      <w:r>
        <w:rPr>
          <w:rFonts w:ascii="Consolas"/>
        </w:rPr>
        <w:t>&lt;sh:x</w:t>
      </w:r>
      <w:r>
        <w:rPr>
          <w:rFonts w:ascii="Consolas"/>
          <w:spacing w:val="-8"/>
        </w:rPr>
        <w:t> </w:t>
      </w:r>
      <w:r>
        <w:rPr>
          <w:rFonts w:ascii="Consolas"/>
        </w:rPr>
        <w:t>v="0"/&gt;</w:t>
      </w:r>
    </w:p>
    <w:p>
      <w:pPr>
        <w:pStyle w:val="BodyText"/>
        <w:spacing w:before="40"/>
        <w:ind w:right="7389"/>
        <w:jc w:val="right"/>
        <w:rPr>
          <w:rFonts w:ascii="Consolas"/>
        </w:rPr>
      </w:pPr>
      <w:r>
        <w:rPr>
          <w:rFonts w:ascii="Consolas"/>
          <w:spacing w:val="-2"/>
        </w:rPr>
        <w:t>&lt;/sh:reference&gt;</w:t>
      </w:r>
    </w:p>
    <w:p>
      <w:pPr>
        <w:pStyle w:val="BodyText"/>
        <w:spacing w:before="37"/>
        <w:ind w:left="1478"/>
        <w:rPr>
          <w:rFonts w:ascii="Consolas"/>
        </w:rPr>
      </w:pPr>
      <w:r>
        <w:rPr>
          <w:rFonts w:ascii="Consolas"/>
        </w:rPr>
        <w:t>&lt;sh:reference field="14" count="1" selected="0"&gt;</w:t>
      </w:r>
    </w:p>
    <w:p>
      <w:pPr>
        <w:pStyle w:val="BodyText"/>
        <w:spacing w:before="38"/>
        <w:ind w:right="7388"/>
        <w:jc w:val="right"/>
        <w:rPr>
          <w:rFonts w:ascii="Consolas"/>
        </w:rPr>
      </w:pPr>
      <w:r>
        <w:rPr>
          <w:rFonts w:ascii="Consolas"/>
        </w:rPr>
        <w:t>&lt;sh:x</w:t>
      </w:r>
      <w:r>
        <w:rPr>
          <w:rFonts w:ascii="Consolas"/>
          <w:spacing w:val="-8"/>
        </w:rPr>
        <w:t> </w:t>
      </w:r>
      <w:r>
        <w:rPr>
          <w:rFonts w:ascii="Consolas"/>
        </w:rPr>
        <w:t>v="0"/&gt;</w:t>
      </w:r>
    </w:p>
    <w:p>
      <w:pPr>
        <w:pStyle w:val="BodyText"/>
        <w:spacing w:before="40"/>
        <w:ind w:right="7389"/>
        <w:jc w:val="right"/>
        <w:rPr>
          <w:rFonts w:ascii="Consolas"/>
        </w:rPr>
      </w:pPr>
      <w:r>
        <w:rPr>
          <w:rFonts w:ascii="Consolas"/>
          <w:spacing w:val="-2"/>
        </w:rPr>
        <w:t>&lt;/sh:reference&gt;</w:t>
      </w:r>
    </w:p>
    <w:p>
      <w:pPr>
        <w:pStyle w:val="BodyText"/>
        <w:spacing w:before="38"/>
        <w:ind w:left="1478"/>
        <w:rPr>
          <w:rFonts w:ascii="Consolas"/>
        </w:rPr>
      </w:pPr>
      <w:r>
        <w:rPr>
          <w:rFonts w:ascii="Consolas"/>
        </w:rPr>
        <w:t>&lt;sh:reference field="15" count="1" selected="0"&gt;</w:t>
      </w:r>
    </w:p>
    <w:p>
      <w:pPr>
        <w:pStyle w:val="BodyText"/>
        <w:spacing w:before="40"/>
        <w:ind w:right="7388"/>
        <w:jc w:val="right"/>
        <w:rPr>
          <w:rFonts w:ascii="Consolas"/>
        </w:rPr>
      </w:pPr>
      <w:r>
        <w:rPr>
          <w:rFonts w:ascii="Consolas"/>
        </w:rPr>
        <w:t>&lt;sh:x</w:t>
      </w:r>
      <w:r>
        <w:rPr>
          <w:rFonts w:ascii="Consolas"/>
          <w:spacing w:val="-8"/>
        </w:rPr>
        <w:t> </w:t>
      </w:r>
      <w:r>
        <w:rPr>
          <w:rFonts w:ascii="Consolas"/>
        </w:rPr>
        <w:t>v="2"/&gt;</w:t>
      </w:r>
    </w:p>
    <w:p>
      <w:pPr>
        <w:pStyle w:val="BodyText"/>
        <w:spacing w:before="37"/>
        <w:ind w:right="7389"/>
        <w:jc w:val="right"/>
        <w:rPr>
          <w:rFonts w:ascii="Consolas"/>
        </w:rPr>
      </w:pPr>
      <w:r>
        <w:rPr>
          <w:rFonts w:ascii="Consolas"/>
          <w:spacing w:val="-2"/>
        </w:rPr>
        <w:t>&lt;/sh:reference&gt;</w:t>
      </w:r>
    </w:p>
    <w:p>
      <w:pPr>
        <w:pStyle w:val="BodyText"/>
        <w:spacing w:before="40"/>
        <w:ind w:left="1235"/>
        <w:rPr>
          <w:rFonts w:ascii="Consolas"/>
        </w:rPr>
      </w:pPr>
      <w:r>
        <w:rPr>
          <w:rFonts w:ascii="Consolas"/>
        </w:rPr>
        <w:t>&lt;/sh:references&gt;</w:t>
      </w:r>
    </w:p>
    <w:p>
      <w:pPr>
        <w:pStyle w:val="BodyText"/>
        <w:spacing w:before="38"/>
        <w:ind w:right="7871"/>
        <w:jc w:val="right"/>
        <w:rPr>
          <w:rFonts w:ascii="Consolas"/>
        </w:rPr>
      </w:pPr>
      <w:r>
        <w:rPr>
          <w:rFonts w:ascii="Consolas"/>
          <w:spacing w:val="-2"/>
        </w:rPr>
        <w:t>&lt;/sh:pivotArea&gt;</w:t>
      </w:r>
    </w:p>
    <w:p>
      <w:pPr>
        <w:pStyle w:val="BodyText"/>
        <w:spacing w:before="37"/>
        <w:ind w:right="7871"/>
        <w:jc w:val="right"/>
        <w:rPr>
          <w:rFonts w:ascii="Consolas"/>
        </w:rPr>
      </w:pPr>
      <w:r>
        <w:rPr>
          <w:rFonts w:ascii="Consolas"/>
          <w:spacing w:val="-2"/>
        </w:rPr>
        <w:t>&lt;/sh:chartFormat&gt;</w:t>
      </w:r>
    </w:p>
    <w:p>
      <w:pPr>
        <w:pStyle w:val="BodyText"/>
        <w:spacing w:before="40"/>
        <w:ind w:left="750"/>
        <w:rPr>
          <w:rFonts w:ascii="Consolas"/>
        </w:rPr>
      </w:pPr>
      <w:r>
        <w:rPr>
          <w:rFonts w:ascii="Consolas"/>
        </w:rPr>
        <w:t>&lt;sh:chartFormat chart="0" format="1" series="1"&gt;</w:t>
      </w:r>
    </w:p>
    <w:p>
      <w:pPr>
        <w:pStyle w:val="BodyText"/>
        <w:spacing w:before="39"/>
        <w:ind w:left="993"/>
        <w:rPr>
          <w:rFonts w:ascii="Consolas"/>
        </w:rPr>
      </w:pPr>
      <w:r>
        <w:rPr>
          <w:rFonts w:ascii="Consolas"/>
        </w:rPr>
        <w:t>&lt;sh:pivotArea type="data" outline="0"&gt;</w:t>
      </w:r>
    </w:p>
    <w:p>
      <w:pPr>
        <w:pStyle w:val="BodyText"/>
        <w:spacing w:before="40"/>
        <w:ind w:left="1235"/>
        <w:rPr>
          <w:rFonts w:ascii="Consolas"/>
        </w:rPr>
      </w:pPr>
      <w:r>
        <w:rPr>
          <w:rFonts w:ascii="Consolas"/>
        </w:rPr>
        <w:t>&lt;sh:references count="3"&gt;</w:t>
      </w:r>
    </w:p>
    <w:p>
      <w:pPr>
        <w:pStyle w:val="BodyText"/>
        <w:spacing w:before="37"/>
        <w:ind w:left="1478"/>
        <w:rPr>
          <w:rFonts w:ascii="Consolas"/>
        </w:rPr>
      </w:pPr>
      <w:r>
        <w:rPr>
          <w:rFonts w:ascii="Consolas"/>
        </w:rPr>
        <w:t>&lt;sh:reference field="4294967294" count="1" selected="0"&gt;</w:t>
      </w:r>
    </w:p>
    <w:p>
      <w:pPr>
        <w:pStyle w:val="BodyText"/>
        <w:spacing w:before="40"/>
        <w:ind w:right="7388"/>
        <w:jc w:val="right"/>
        <w:rPr>
          <w:rFonts w:ascii="Consolas"/>
        </w:rPr>
      </w:pPr>
      <w:r>
        <w:rPr>
          <w:rFonts w:ascii="Consolas"/>
        </w:rPr>
        <w:t>&lt;sh:x</w:t>
      </w:r>
      <w:r>
        <w:rPr>
          <w:rFonts w:ascii="Consolas"/>
          <w:spacing w:val="-8"/>
        </w:rPr>
        <w:t> </w:t>
      </w:r>
      <w:r>
        <w:rPr>
          <w:rFonts w:ascii="Consolas"/>
        </w:rPr>
        <w:t>v="0"/&gt;</w:t>
      </w:r>
    </w:p>
    <w:p>
      <w:pPr>
        <w:pStyle w:val="BodyText"/>
        <w:spacing w:before="38"/>
        <w:ind w:right="7389"/>
        <w:jc w:val="right"/>
        <w:rPr>
          <w:rFonts w:ascii="Consolas"/>
        </w:rPr>
      </w:pPr>
      <w:r>
        <w:rPr>
          <w:rFonts w:ascii="Consolas"/>
          <w:spacing w:val="-2"/>
        </w:rPr>
        <w:t>&lt;/sh:reference&gt;</w:t>
      </w:r>
    </w:p>
    <w:p>
      <w:pPr>
        <w:spacing w:after="0"/>
        <w:jc w:val="right"/>
        <w:rPr>
          <w:rFonts w:ascii="Consolas"/>
        </w:rPr>
        <w:sectPr>
          <w:pgSz w:w="12240" w:h="15840"/>
          <w:pgMar w:header="763" w:footer="746" w:top="1340" w:bottom="940" w:left="860" w:right="700"/>
        </w:sectPr>
      </w:pPr>
    </w:p>
    <w:p>
      <w:pPr>
        <w:pStyle w:val="BodyText"/>
        <w:spacing w:before="93"/>
        <w:ind w:left="1478"/>
        <w:rPr>
          <w:rFonts w:ascii="Consolas"/>
        </w:rPr>
      </w:pPr>
      <w:r>
        <w:rPr>
          <w:rFonts w:ascii="Consolas"/>
        </w:rPr>
        <w:t>&lt;sh:reference field="14" count="1" selected="0"&gt;</w:t>
      </w:r>
    </w:p>
    <w:p>
      <w:pPr>
        <w:pStyle w:val="BodyText"/>
        <w:spacing w:before="38"/>
        <w:ind w:right="7388"/>
        <w:jc w:val="right"/>
        <w:rPr>
          <w:rFonts w:ascii="Consolas"/>
        </w:rPr>
      </w:pPr>
      <w:r>
        <w:rPr>
          <w:rFonts w:ascii="Consolas"/>
        </w:rPr>
        <w:t>&lt;sh:x</w:t>
      </w:r>
      <w:r>
        <w:rPr>
          <w:rFonts w:ascii="Consolas"/>
          <w:spacing w:val="-8"/>
        </w:rPr>
        <w:t> </w:t>
      </w:r>
      <w:r>
        <w:rPr>
          <w:rFonts w:ascii="Consolas"/>
        </w:rPr>
        <w:t>v="0"/&gt;</w:t>
      </w:r>
    </w:p>
    <w:p>
      <w:pPr>
        <w:pStyle w:val="BodyText"/>
        <w:spacing w:before="40"/>
        <w:ind w:right="7389"/>
        <w:jc w:val="right"/>
        <w:rPr>
          <w:rFonts w:ascii="Consolas"/>
        </w:rPr>
      </w:pPr>
      <w:r>
        <w:rPr>
          <w:rFonts w:ascii="Consolas"/>
          <w:spacing w:val="-2"/>
        </w:rPr>
        <w:t>&lt;/sh:reference&gt;</w:t>
      </w:r>
    </w:p>
    <w:p>
      <w:pPr>
        <w:pStyle w:val="BodyText"/>
        <w:spacing w:before="37"/>
        <w:ind w:left="1478"/>
        <w:rPr>
          <w:rFonts w:ascii="Consolas"/>
        </w:rPr>
      </w:pPr>
      <w:r>
        <w:rPr>
          <w:rFonts w:ascii="Consolas"/>
        </w:rPr>
        <w:t>&lt;sh:reference field="15" count="1" selected="0"&gt;</w:t>
      </w:r>
    </w:p>
    <w:p>
      <w:pPr>
        <w:pStyle w:val="BodyText"/>
        <w:spacing w:before="40"/>
        <w:ind w:right="7388"/>
        <w:jc w:val="right"/>
        <w:rPr>
          <w:rFonts w:ascii="Consolas"/>
        </w:rPr>
      </w:pPr>
      <w:r>
        <w:rPr>
          <w:rFonts w:ascii="Consolas"/>
        </w:rPr>
        <w:t>&lt;sh:x</w:t>
      </w:r>
      <w:r>
        <w:rPr>
          <w:rFonts w:ascii="Consolas"/>
          <w:spacing w:val="-8"/>
        </w:rPr>
        <w:t> </w:t>
      </w:r>
      <w:r>
        <w:rPr>
          <w:rFonts w:ascii="Consolas"/>
        </w:rPr>
        <w:t>v="3"/&gt;</w:t>
      </w:r>
    </w:p>
    <w:p>
      <w:pPr>
        <w:pStyle w:val="BodyText"/>
        <w:spacing w:before="38"/>
        <w:ind w:right="7389"/>
        <w:jc w:val="right"/>
        <w:rPr>
          <w:rFonts w:ascii="Consolas"/>
        </w:rPr>
      </w:pPr>
      <w:r>
        <w:rPr>
          <w:rFonts w:ascii="Consolas"/>
          <w:spacing w:val="-2"/>
        </w:rPr>
        <w:t>&lt;/sh:reference&gt;</w:t>
      </w:r>
    </w:p>
    <w:p>
      <w:pPr>
        <w:pStyle w:val="BodyText"/>
        <w:spacing w:before="40"/>
        <w:ind w:left="1235"/>
        <w:rPr>
          <w:rFonts w:ascii="Consolas"/>
        </w:rPr>
      </w:pPr>
      <w:r>
        <w:rPr>
          <w:rFonts w:ascii="Consolas"/>
        </w:rPr>
        <w:t>&lt;/sh:references&gt;</w:t>
      </w:r>
    </w:p>
    <w:p>
      <w:pPr>
        <w:pStyle w:val="BodyText"/>
        <w:spacing w:before="37"/>
        <w:ind w:right="7871"/>
        <w:jc w:val="right"/>
        <w:rPr>
          <w:rFonts w:ascii="Consolas"/>
        </w:rPr>
      </w:pPr>
      <w:r>
        <w:rPr>
          <w:rFonts w:ascii="Consolas"/>
          <w:spacing w:val="-2"/>
        </w:rPr>
        <w:t>&lt;/sh:pivotArea&gt;</w:t>
      </w:r>
    </w:p>
    <w:p>
      <w:pPr>
        <w:pStyle w:val="BodyText"/>
        <w:spacing w:before="38"/>
        <w:ind w:right="7871"/>
        <w:jc w:val="right"/>
        <w:rPr>
          <w:rFonts w:ascii="Consolas"/>
        </w:rPr>
      </w:pPr>
      <w:r>
        <w:rPr>
          <w:rFonts w:ascii="Consolas"/>
          <w:spacing w:val="-2"/>
        </w:rPr>
        <w:t>&lt;/sh:chartFormat&gt;</w:t>
      </w:r>
    </w:p>
    <w:p>
      <w:pPr>
        <w:pStyle w:val="BodyText"/>
        <w:spacing w:before="40"/>
        <w:ind w:left="750"/>
        <w:rPr>
          <w:rFonts w:ascii="Consolas"/>
        </w:rPr>
      </w:pPr>
      <w:r>
        <w:rPr>
          <w:rFonts w:ascii="Consolas"/>
        </w:rPr>
        <w:t>&lt;sh:chartFormat chart="0" format="2" series="1"&gt;</w:t>
      </w:r>
    </w:p>
    <w:p>
      <w:pPr>
        <w:pStyle w:val="BodyText"/>
        <w:spacing w:before="38"/>
        <w:ind w:left="993"/>
        <w:rPr>
          <w:rFonts w:ascii="Consolas"/>
        </w:rPr>
      </w:pPr>
      <w:r>
        <w:rPr>
          <w:rFonts w:ascii="Consolas"/>
        </w:rPr>
        <w:t>&lt;sh:pivotArea type="data" outline="0"&gt;</w:t>
      </w:r>
    </w:p>
    <w:p>
      <w:pPr>
        <w:pStyle w:val="BodyText"/>
        <w:spacing w:before="40"/>
        <w:ind w:left="1235"/>
        <w:rPr>
          <w:rFonts w:ascii="Consolas"/>
        </w:rPr>
      </w:pPr>
      <w:r>
        <w:rPr>
          <w:rFonts w:ascii="Consolas"/>
        </w:rPr>
        <w:t>&lt;sh:references count="3"&gt;</w:t>
      </w:r>
    </w:p>
    <w:p>
      <w:pPr>
        <w:pStyle w:val="BodyText"/>
        <w:spacing w:before="37"/>
        <w:ind w:left="1478"/>
        <w:rPr>
          <w:rFonts w:ascii="Consolas"/>
        </w:rPr>
      </w:pPr>
      <w:r>
        <w:rPr>
          <w:rFonts w:ascii="Consolas"/>
        </w:rPr>
        <w:t>&lt;sh:reference field="4294967294" count="1" selected="0"&gt;</w:t>
      </w:r>
    </w:p>
    <w:p>
      <w:pPr>
        <w:pStyle w:val="BodyText"/>
        <w:spacing w:before="41"/>
        <w:ind w:right="7388"/>
        <w:jc w:val="right"/>
        <w:rPr>
          <w:rFonts w:ascii="Consolas"/>
        </w:rPr>
      </w:pPr>
      <w:r>
        <w:rPr>
          <w:rFonts w:ascii="Consolas"/>
        </w:rPr>
        <w:t>&lt;sh:x</w:t>
      </w:r>
      <w:r>
        <w:rPr>
          <w:rFonts w:ascii="Consolas"/>
          <w:spacing w:val="-8"/>
        </w:rPr>
        <w:t> </w:t>
      </w:r>
      <w:r>
        <w:rPr>
          <w:rFonts w:ascii="Consolas"/>
        </w:rPr>
        <w:t>v="1"/&gt;</w:t>
      </w:r>
    </w:p>
    <w:p>
      <w:pPr>
        <w:pStyle w:val="BodyText"/>
        <w:spacing w:before="37"/>
        <w:ind w:right="7389"/>
        <w:jc w:val="right"/>
        <w:rPr>
          <w:rFonts w:ascii="Consolas"/>
        </w:rPr>
      </w:pPr>
      <w:r>
        <w:rPr>
          <w:rFonts w:ascii="Consolas"/>
          <w:spacing w:val="-2"/>
        </w:rPr>
        <w:t>&lt;/sh:reference&gt;</w:t>
      </w:r>
    </w:p>
    <w:p>
      <w:pPr>
        <w:pStyle w:val="BodyText"/>
        <w:spacing w:before="38"/>
        <w:ind w:left="1478"/>
        <w:rPr>
          <w:rFonts w:ascii="Consolas"/>
        </w:rPr>
      </w:pPr>
      <w:r>
        <w:rPr>
          <w:rFonts w:ascii="Consolas"/>
        </w:rPr>
        <w:t>&lt;sh:reference field="14" count="1" selected="0"&gt;</w:t>
      </w:r>
    </w:p>
    <w:p>
      <w:pPr>
        <w:pStyle w:val="BodyText"/>
        <w:spacing w:before="40"/>
        <w:ind w:right="7388"/>
        <w:jc w:val="right"/>
        <w:rPr>
          <w:rFonts w:ascii="Consolas"/>
        </w:rPr>
      </w:pPr>
      <w:r>
        <w:rPr>
          <w:rFonts w:ascii="Consolas"/>
        </w:rPr>
        <w:t>&lt;sh:x</w:t>
      </w:r>
      <w:r>
        <w:rPr>
          <w:rFonts w:ascii="Consolas"/>
          <w:spacing w:val="-8"/>
        </w:rPr>
        <w:t> </w:t>
      </w:r>
      <w:r>
        <w:rPr>
          <w:rFonts w:ascii="Consolas"/>
        </w:rPr>
        <w:t>v="0"/&gt;</w:t>
      </w:r>
    </w:p>
    <w:p>
      <w:pPr>
        <w:pStyle w:val="BodyText"/>
        <w:spacing w:before="38"/>
        <w:ind w:right="7389"/>
        <w:jc w:val="right"/>
        <w:rPr>
          <w:rFonts w:ascii="Consolas"/>
        </w:rPr>
      </w:pPr>
      <w:r>
        <w:rPr>
          <w:rFonts w:ascii="Consolas"/>
          <w:spacing w:val="-2"/>
        </w:rPr>
        <w:t>&lt;/sh:reference&gt;</w:t>
      </w:r>
    </w:p>
    <w:p>
      <w:pPr>
        <w:pStyle w:val="BodyText"/>
        <w:spacing w:before="40"/>
        <w:ind w:left="1478"/>
        <w:rPr>
          <w:rFonts w:ascii="Consolas"/>
        </w:rPr>
      </w:pPr>
      <w:r>
        <w:rPr>
          <w:rFonts w:ascii="Consolas"/>
        </w:rPr>
        <w:t>&lt;sh:reference field="15" count="1" selected="0"&gt;</w:t>
      </w:r>
    </w:p>
    <w:p>
      <w:pPr>
        <w:pStyle w:val="BodyText"/>
        <w:spacing w:before="37"/>
        <w:ind w:right="7388"/>
        <w:jc w:val="right"/>
        <w:rPr>
          <w:rFonts w:ascii="Consolas"/>
        </w:rPr>
      </w:pPr>
      <w:r>
        <w:rPr>
          <w:rFonts w:ascii="Consolas"/>
        </w:rPr>
        <w:t>&lt;sh:x</w:t>
      </w:r>
      <w:r>
        <w:rPr>
          <w:rFonts w:ascii="Consolas"/>
          <w:spacing w:val="-8"/>
        </w:rPr>
        <w:t> </w:t>
      </w:r>
      <w:r>
        <w:rPr>
          <w:rFonts w:ascii="Consolas"/>
        </w:rPr>
        <w:t>v="2"/&gt;</w:t>
      </w:r>
    </w:p>
    <w:p>
      <w:pPr>
        <w:pStyle w:val="BodyText"/>
        <w:spacing w:before="40"/>
        <w:ind w:right="7389"/>
        <w:jc w:val="right"/>
        <w:rPr>
          <w:rFonts w:ascii="Consolas"/>
        </w:rPr>
      </w:pPr>
      <w:r>
        <w:rPr>
          <w:rFonts w:ascii="Consolas"/>
          <w:spacing w:val="-2"/>
        </w:rPr>
        <w:t>&lt;/sh:reference&gt;</w:t>
      </w:r>
    </w:p>
    <w:p>
      <w:pPr>
        <w:pStyle w:val="BodyText"/>
        <w:spacing w:before="38"/>
        <w:ind w:left="1235"/>
        <w:rPr>
          <w:rFonts w:ascii="Consolas"/>
        </w:rPr>
      </w:pPr>
      <w:r>
        <w:rPr>
          <w:rFonts w:ascii="Consolas"/>
        </w:rPr>
        <w:t>&lt;/sh:references&gt;</w:t>
      </w:r>
    </w:p>
    <w:p>
      <w:pPr>
        <w:pStyle w:val="BodyText"/>
        <w:spacing w:before="37"/>
        <w:ind w:right="7871"/>
        <w:jc w:val="right"/>
        <w:rPr>
          <w:rFonts w:ascii="Consolas"/>
        </w:rPr>
      </w:pPr>
      <w:r>
        <w:rPr>
          <w:rFonts w:ascii="Consolas"/>
          <w:spacing w:val="-2"/>
        </w:rPr>
        <w:t>&lt;/sh:pivotArea&gt;</w:t>
      </w:r>
    </w:p>
    <w:p>
      <w:pPr>
        <w:pStyle w:val="BodyText"/>
        <w:spacing w:before="40"/>
        <w:ind w:right="7871"/>
        <w:jc w:val="right"/>
        <w:rPr>
          <w:rFonts w:ascii="Consolas"/>
        </w:rPr>
      </w:pPr>
      <w:r>
        <w:rPr>
          <w:rFonts w:ascii="Consolas"/>
          <w:spacing w:val="-2"/>
        </w:rPr>
        <w:t>&lt;/sh:chartFormat&gt;</w:t>
      </w:r>
    </w:p>
    <w:p>
      <w:pPr>
        <w:pStyle w:val="BodyText"/>
        <w:spacing w:before="38"/>
        <w:ind w:left="750"/>
        <w:rPr>
          <w:rFonts w:ascii="Consolas"/>
        </w:rPr>
      </w:pPr>
      <w:r>
        <w:rPr>
          <w:rFonts w:ascii="Consolas"/>
        </w:rPr>
        <w:t>&lt;sh:chartFormat chart="0" format="3" series="1"&gt;</w:t>
      </w:r>
    </w:p>
    <w:p>
      <w:pPr>
        <w:pStyle w:val="BodyText"/>
        <w:spacing w:before="40"/>
        <w:ind w:left="993"/>
        <w:rPr>
          <w:rFonts w:ascii="Consolas"/>
        </w:rPr>
      </w:pPr>
      <w:r>
        <w:rPr>
          <w:rFonts w:ascii="Consolas"/>
        </w:rPr>
        <w:t>&lt;sh:pivotArea type="data" outline="0"&gt;</w:t>
      </w:r>
    </w:p>
    <w:p>
      <w:pPr>
        <w:pStyle w:val="BodyText"/>
        <w:spacing w:before="38"/>
        <w:ind w:left="1235"/>
        <w:rPr>
          <w:rFonts w:ascii="Consolas"/>
        </w:rPr>
      </w:pPr>
      <w:r>
        <w:rPr>
          <w:rFonts w:ascii="Consolas"/>
        </w:rPr>
        <w:t>&lt;sh:references count="3"&gt;</w:t>
      </w:r>
    </w:p>
    <w:p>
      <w:pPr>
        <w:pStyle w:val="BodyText"/>
        <w:spacing w:before="40"/>
        <w:ind w:left="1478"/>
        <w:rPr>
          <w:rFonts w:ascii="Consolas"/>
        </w:rPr>
      </w:pPr>
      <w:r>
        <w:rPr>
          <w:rFonts w:ascii="Consolas"/>
        </w:rPr>
        <w:t>&lt;sh:reference field="4294967294" count="1" selected="0"&gt;</w:t>
      </w:r>
    </w:p>
    <w:p>
      <w:pPr>
        <w:pStyle w:val="BodyText"/>
        <w:spacing w:before="38"/>
        <w:ind w:right="7388"/>
        <w:jc w:val="right"/>
        <w:rPr>
          <w:rFonts w:ascii="Consolas"/>
        </w:rPr>
      </w:pPr>
      <w:r>
        <w:rPr>
          <w:rFonts w:ascii="Consolas"/>
        </w:rPr>
        <w:t>&lt;sh:x</w:t>
      </w:r>
      <w:r>
        <w:rPr>
          <w:rFonts w:ascii="Consolas"/>
          <w:spacing w:val="-8"/>
        </w:rPr>
        <w:t> </w:t>
      </w:r>
      <w:r>
        <w:rPr>
          <w:rFonts w:ascii="Consolas"/>
        </w:rPr>
        <w:t>v="1"/&gt;</w:t>
      </w:r>
    </w:p>
    <w:p>
      <w:pPr>
        <w:pStyle w:val="BodyText"/>
        <w:spacing w:before="40"/>
        <w:ind w:right="7389"/>
        <w:jc w:val="right"/>
        <w:rPr>
          <w:rFonts w:ascii="Consolas"/>
        </w:rPr>
      </w:pPr>
      <w:r>
        <w:rPr>
          <w:rFonts w:ascii="Consolas"/>
          <w:spacing w:val="-2"/>
        </w:rPr>
        <w:t>&lt;/sh:reference&gt;</w:t>
      </w:r>
    </w:p>
    <w:p>
      <w:pPr>
        <w:pStyle w:val="BodyText"/>
        <w:spacing w:before="37"/>
        <w:ind w:left="1478"/>
        <w:rPr>
          <w:rFonts w:ascii="Consolas"/>
        </w:rPr>
      </w:pPr>
      <w:r>
        <w:rPr>
          <w:rFonts w:ascii="Consolas"/>
        </w:rPr>
        <w:t>&lt;sh:reference field="14" count="1" selected="0"&gt;</w:t>
      </w:r>
    </w:p>
    <w:p>
      <w:pPr>
        <w:pStyle w:val="BodyText"/>
        <w:spacing w:before="38"/>
        <w:ind w:right="7388"/>
        <w:jc w:val="right"/>
        <w:rPr>
          <w:rFonts w:ascii="Consolas"/>
        </w:rPr>
      </w:pPr>
      <w:r>
        <w:rPr>
          <w:rFonts w:ascii="Consolas"/>
        </w:rPr>
        <w:t>&lt;sh:x</w:t>
      </w:r>
      <w:r>
        <w:rPr>
          <w:rFonts w:ascii="Consolas"/>
          <w:spacing w:val="-8"/>
        </w:rPr>
        <w:t> </w:t>
      </w:r>
      <w:r>
        <w:rPr>
          <w:rFonts w:ascii="Consolas"/>
        </w:rPr>
        <w:t>v="0"/&gt;</w:t>
      </w:r>
    </w:p>
    <w:p>
      <w:pPr>
        <w:pStyle w:val="BodyText"/>
        <w:spacing w:before="40"/>
        <w:ind w:right="7389"/>
        <w:jc w:val="right"/>
        <w:rPr>
          <w:rFonts w:ascii="Consolas"/>
        </w:rPr>
      </w:pPr>
      <w:r>
        <w:rPr>
          <w:rFonts w:ascii="Consolas"/>
          <w:spacing w:val="-2"/>
        </w:rPr>
        <w:t>&lt;/sh:reference&gt;</w:t>
      </w:r>
    </w:p>
    <w:p>
      <w:pPr>
        <w:pStyle w:val="BodyText"/>
        <w:spacing w:before="37"/>
        <w:ind w:left="1478"/>
        <w:rPr>
          <w:rFonts w:ascii="Consolas"/>
        </w:rPr>
      </w:pPr>
      <w:r>
        <w:rPr>
          <w:rFonts w:ascii="Consolas"/>
        </w:rPr>
        <w:t>&lt;sh:reference field="15" count="1" selected="0"&gt;</w:t>
      </w:r>
    </w:p>
    <w:p>
      <w:pPr>
        <w:pStyle w:val="BodyText"/>
        <w:spacing w:before="40"/>
        <w:ind w:right="7388"/>
        <w:jc w:val="right"/>
        <w:rPr>
          <w:rFonts w:ascii="Consolas"/>
        </w:rPr>
      </w:pPr>
      <w:r>
        <w:rPr>
          <w:rFonts w:ascii="Consolas"/>
        </w:rPr>
        <w:t>&lt;sh:x</w:t>
      </w:r>
      <w:r>
        <w:rPr>
          <w:rFonts w:ascii="Consolas"/>
          <w:spacing w:val="-8"/>
        </w:rPr>
        <w:t> </w:t>
      </w:r>
      <w:r>
        <w:rPr>
          <w:rFonts w:ascii="Consolas"/>
        </w:rPr>
        <w:t>v="3"/&gt;</w:t>
      </w:r>
    </w:p>
    <w:p>
      <w:pPr>
        <w:pStyle w:val="BodyText"/>
        <w:spacing w:before="38"/>
        <w:ind w:right="7389"/>
        <w:jc w:val="right"/>
        <w:rPr>
          <w:rFonts w:ascii="Consolas"/>
        </w:rPr>
      </w:pPr>
      <w:r>
        <w:rPr>
          <w:rFonts w:ascii="Consolas"/>
          <w:spacing w:val="-2"/>
        </w:rPr>
        <w:t>&lt;/sh:reference&gt;</w:t>
      </w:r>
    </w:p>
    <w:p>
      <w:pPr>
        <w:pStyle w:val="BodyText"/>
        <w:spacing w:before="41"/>
        <w:ind w:left="1235"/>
        <w:rPr>
          <w:rFonts w:ascii="Consolas"/>
        </w:rPr>
      </w:pPr>
      <w:r>
        <w:rPr>
          <w:rFonts w:ascii="Consolas"/>
        </w:rPr>
        <w:t>&lt;/sh:references&gt;</w:t>
      </w:r>
    </w:p>
    <w:p>
      <w:pPr>
        <w:pStyle w:val="BodyText"/>
        <w:spacing w:before="37"/>
        <w:ind w:right="7871"/>
        <w:jc w:val="right"/>
        <w:rPr>
          <w:rFonts w:ascii="Consolas"/>
        </w:rPr>
      </w:pPr>
      <w:r>
        <w:rPr>
          <w:rFonts w:ascii="Consolas"/>
          <w:spacing w:val="-2"/>
        </w:rPr>
        <w:t>&lt;/sh:pivotArea&gt;</w:t>
      </w:r>
    </w:p>
    <w:p>
      <w:pPr>
        <w:pStyle w:val="BodyText"/>
        <w:spacing w:before="38"/>
        <w:ind w:right="7871"/>
        <w:jc w:val="right"/>
        <w:rPr>
          <w:rFonts w:ascii="Consolas"/>
        </w:rPr>
      </w:pPr>
      <w:r>
        <w:rPr>
          <w:rFonts w:ascii="Consolas"/>
          <w:spacing w:val="-2"/>
        </w:rPr>
        <w:t>&lt;/sh:chartFormat&gt;</w:t>
      </w:r>
    </w:p>
    <w:p>
      <w:pPr>
        <w:pStyle w:val="BodyText"/>
        <w:spacing w:before="40"/>
        <w:ind w:left="508"/>
        <w:rPr>
          <w:rFonts w:ascii="Consolas"/>
        </w:rPr>
      </w:pPr>
      <w:r>
        <w:rPr>
          <w:rFonts w:ascii="Consolas"/>
        </w:rPr>
        <w:t>&lt;/sh:chartFormats&gt;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620"/>
              <w:rPr>
                <w:sz w:val="22"/>
              </w:rPr>
            </w:pPr>
            <w:r>
              <w:rPr>
                <w:rFonts w:ascii="Cambria"/>
                <w:sz w:val="22"/>
              </w:rPr>
              <w:t>count </w:t>
            </w:r>
            <w:r>
              <w:rPr>
                <w:sz w:val="22"/>
              </w:rPr>
              <w:t>(Format Count)</w:t>
            </w:r>
          </w:p>
        </w:tc>
        <w:tc>
          <w:tcPr>
            <w:tcW w:w="8250" w:type="dxa"/>
          </w:tcPr>
          <w:p>
            <w:pPr>
              <w:pStyle w:val="TableParagraph"/>
              <w:rPr>
                <w:sz w:val="22"/>
              </w:rPr>
            </w:pPr>
            <w:r>
              <w:rPr>
                <w:sz w:val="22"/>
              </w:rPr>
              <w:t>Specifies the number of formats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CT_ChartFormats</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4 colFields (Column Fields)" w:id="791"/>
      <w:bookmarkEnd w:id="791"/>
      <w:r>
        <w:rPr/>
      </w:r>
      <w:bookmarkStart w:name="_bookmark262" w:id="792"/>
      <w:bookmarkEnd w:id="792"/>
      <w:r>
        <w:rPr/>
      </w:r>
      <w:bookmarkStart w:name="_bookmark262" w:id="793"/>
      <w:bookmarkEnd w:id="793"/>
      <w:r>
        <w:rPr>
          <w:color w:val="4F81BC"/>
        </w:rPr>
        <w:t>co</w:t>
      </w:r>
      <w:r>
        <w:rPr>
          <w:color w:val="4F81BC"/>
        </w:rPr>
        <w:t>lFields (Column</w:t>
      </w:r>
      <w:r>
        <w:rPr>
          <w:color w:val="4F81BC"/>
          <w:spacing w:val="-2"/>
        </w:rPr>
        <w:t> </w:t>
      </w:r>
      <w:r>
        <w:rPr>
          <w:color w:val="4F81BC"/>
        </w:rPr>
        <w:t>Fields)</w:t>
      </w:r>
    </w:p>
    <w:p>
      <w:pPr>
        <w:pStyle w:val="BodyText"/>
        <w:spacing w:before="121"/>
        <w:ind w:left="220"/>
      </w:pPr>
      <w:r>
        <w:rPr/>
        <w:t>Represents the collection of fields that are on the column axis of the PivotTable.</w:t>
      </w:r>
    </w:p>
    <w:p>
      <w:pPr>
        <w:pStyle w:val="BodyText"/>
        <w:spacing w:before="6"/>
        <w:rPr>
          <w:sz w:val="16"/>
        </w:rPr>
      </w:pPr>
      <w:r>
        <w:rPr/>
        <w:drawing>
          <wp:anchor distT="0" distB="0" distL="0" distR="0" allowOverlap="1" layoutInCell="1" locked="0" behindDoc="0" simplePos="0" relativeHeight="45">
            <wp:simplePos x="0" y="0"/>
            <wp:positionH relativeFrom="page">
              <wp:posOffset>685800</wp:posOffset>
            </wp:positionH>
            <wp:positionV relativeFrom="paragraph">
              <wp:posOffset>153023</wp:posOffset>
            </wp:positionV>
            <wp:extent cx="1712082" cy="809625"/>
            <wp:effectExtent l="0" t="0" r="0" b="0"/>
            <wp:wrapTopAndBottom/>
            <wp:docPr id="61" name="image31.png"/>
            <wp:cNvGraphicFramePr>
              <a:graphicFrameLocks noChangeAspect="1"/>
            </wp:cNvGraphicFramePr>
            <a:graphic>
              <a:graphicData uri="http://schemas.openxmlformats.org/drawingml/2006/picture">
                <pic:pic>
                  <pic:nvPicPr>
                    <pic:cNvPr id="62" name="image31.png"/>
                    <pic:cNvPicPr/>
                  </pic:nvPicPr>
                  <pic:blipFill>
                    <a:blip r:embed="rId111" cstate="print"/>
                    <a:stretch>
                      <a:fillRect/>
                    </a:stretch>
                  </pic:blipFill>
                  <pic:spPr>
                    <a:xfrm>
                      <a:off x="0" y="0"/>
                      <a:ext cx="1712082" cy="809625"/>
                    </a:xfrm>
                    <a:prstGeom prst="rect">
                      <a:avLst/>
                    </a:prstGeom>
                  </pic:spPr>
                </pic:pic>
              </a:graphicData>
            </a:graphic>
          </wp:anchor>
        </w:drawing>
      </w:r>
    </w:p>
    <w:p>
      <w:pPr>
        <w:pStyle w:val="BodyText"/>
        <w:spacing w:before="5"/>
        <w:rPr>
          <w:sz w:val="17"/>
        </w:rPr>
      </w:pPr>
    </w:p>
    <w:p>
      <w:pPr>
        <w:pStyle w:val="BodyText"/>
        <w:ind w:left="220"/>
      </w:pPr>
      <w:r>
        <w:rPr/>
        <w:t>In the image above, the blue field is a column field.</w:t>
      </w:r>
    </w:p>
    <w:p>
      <w:pPr>
        <w:pStyle w:val="BodyText"/>
        <w:spacing w:before="6"/>
        <w:rPr>
          <w:sz w:val="19"/>
        </w:rPr>
      </w:pPr>
    </w:p>
    <w:p>
      <w:pPr>
        <w:pStyle w:val="BodyText"/>
        <w:spacing w:line="278" w:lineRule="auto"/>
        <w:ind w:left="220" w:right="604" w:firstLine="50"/>
      </w:pPr>
      <w:r>
        <w:rPr/>
        <w:t>[</w:t>
      </w:r>
      <w:r>
        <w:rPr>
          <w:i/>
        </w:rPr>
        <w:t>Example</w:t>
      </w:r>
      <w:r>
        <w:rPr/>
        <w:t>: In the following SpreadsheetML example, "Year", "Quarter" and "Month" are on the column axis of the PivotTable, in that order.</w:t>
      </w:r>
    </w:p>
    <w:p>
      <w:pPr>
        <w:pStyle w:val="BodyText"/>
        <w:spacing w:before="2"/>
        <w:rPr>
          <w:sz w:val="16"/>
        </w:rPr>
      </w:pPr>
    </w:p>
    <w:p>
      <w:pPr>
        <w:pStyle w:val="BodyText"/>
        <w:spacing w:before="1"/>
        <w:ind w:left="508"/>
        <w:rPr>
          <w:rFonts w:ascii="Consolas"/>
        </w:rPr>
      </w:pPr>
      <w:r>
        <w:rPr>
          <w:rFonts w:ascii="Consolas"/>
        </w:rPr>
        <w:t>&lt;colFields count="3"&gt;</w:t>
      </w:r>
    </w:p>
    <w:p>
      <w:pPr>
        <w:pStyle w:val="BodyText"/>
        <w:spacing w:before="37"/>
        <w:ind w:left="750"/>
        <w:rPr>
          <w:rFonts w:ascii="Consolas"/>
        </w:rPr>
      </w:pPr>
      <w:r>
        <w:rPr>
          <w:rFonts w:ascii="Consolas"/>
        </w:rPr>
        <w:t>&lt;field</w:t>
      </w:r>
      <w:r>
        <w:rPr>
          <w:rFonts w:ascii="Consolas"/>
          <w:spacing w:val="-8"/>
        </w:rPr>
        <w:t> </w:t>
      </w:r>
      <w:r>
        <w:rPr>
          <w:rFonts w:ascii="Consolas"/>
        </w:rPr>
        <w:t>x="14"/&gt;</w:t>
      </w:r>
    </w:p>
    <w:p>
      <w:pPr>
        <w:pStyle w:val="BodyText"/>
        <w:spacing w:before="38"/>
        <w:ind w:left="750"/>
        <w:rPr>
          <w:rFonts w:ascii="Consolas"/>
        </w:rPr>
      </w:pPr>
      <w:r>
        <w:rPr>
          <w:rFonts w:ascii="Consolas"/>
        </w:rPr>
        <w:t>&lt;field</w:t>
      </w:r>
      <w:r>
        <w:rPr>
          <w:rFonts w:ascii="Consolas"/>
          <w:spacing w:val="-9"/>
        </w:rPr>
        <w:t> </w:t>
      </w:r>
      <w:r>
        <w:rPr>
          <w:rFonts w:ascii="Consolas"/>
        </w:rPr>
        <w:t>x="15"/&gt;</w:t>
      </w:r>
    </w:p>
    <w:p>
      <w:pPr>
        <w:pStyle w:val="BodyText"/>
        <w:spacing w:before="40"/>
        <w:ind w:left="750"/>
        <w:rPr>
          <w:rFonts w:ascii="Consolas"/>
        </w:rPr>
      </w:pPr>
      <w:r>
        <w:rPr>
          <w:rFonts w:ascii="Consolas"/>
        </w:rPr>
        <w:t>&lt;field</w:t>
      </w:r>
      <w:r>
        <w:rPr>
          <w:rFonts w:ascii="Consolas"/>
          <w:spacing w:val="-9"/>
        </w:rPr>
        <w:t> </w:t>
      </w:r>
      <w:r>
        <w:rPr>
          <w:rFonts w:ascii="Consolas"/>
        </w:rPr>
        <w:t>x="16"/&gt;</w:t>
      </w:r>
    </w:p>
    <w:p>
      <w:pPr>
        <w:pStyle w:val="BodyText"/>
        <w:spacing w:before="38"/>
        <w:ind w:left="508"/>
        <w:rPr>
          <w:rFonts w:ascii="Consolas"/>
        </w:rPr>
      </w:pPr>
      <w:r>
        <w:rPr>
          <w:rFonts w:ascii="Consolas"/>
        </w:rPr>
        <w:t>&lt;/colFields&gt;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11"/>
              <w:rPr>
                <w:sz w:val="22"/>
              </w:rPr>
            </w:pPr>
            <w:r>
              <w:rPr>
                <w:rFonts w:ascii="Cambria"/>
                <w:sz w:val="22"/>
              </w:rPr>
              <w:t>count </w:t>
            </w:r>
            <w:r>
              <w:rPr>
                <w:sz w:val="22"/>
              </w:rPr>
              <w:t>(Repeated Items Count)</w:t>
            </w:r>
          </w:p>
        </w:tc>
        <w:tc>
          <w:tcPr>
            <w:tcW w:w="8250" w:type="dxa"/>
          </w:tcPr>
          <w:p>
            <w:pPr>
              <w:pStyle w:val="TableParagraph"/>
              <w:rPr>
                <w:sz w:val="22"/>
              </w:rPr>
            </w:pPr>
            <w:r>
              <w:rPr>
                <w:sz w:val="22"/>
              </w:rPr>
              <w:t>Specifies the number of items in this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before="1"/>
        <w:ind w:left="220" w:right="688"/>
      </w:pPr>
      <w:r>
        <w:rPr/>
        <w:t>[</w:t>
      </w:r>
      <w:r>
        <w:rPr>
          <w:i/>
        </w:rPr>
        <w:t>Note</w:t>
      </w:r>
      <w:r>
        <w:rPr/>
        <w:t>: The W3C XML Schema definition of this element’s content model (</w:t>
      </w:r>
      <w:r>
        <w:rPr>
          <w:color w:val="5F5F5F"/>
          <w:u w:val="single" w:color="5F5F5F"/>
        </w:rPr>
        <w:t>CT_ColFields</w:t>
      </w:r>
      <w:r>
        <w:rPr/>
        <w:t>) is located in §A.2. </w:t>
      </w:r>
      <w:r>
        <w:rPr>
          <w:i/>
        </w:rPr>
        <w:t>end </w:t>
      </w:r>
      <w:r>
        <w:rPr>
          <w:i/>
        </w:rPr>
        <w:t>note</w:t>
      </w:r>
      <w:r>
        <w:rPr/>
        <w:t>]</w:t>
      </w:r>
    </w:p>
    <w:p>
      <w:pPr>
        <w:pStyle w:val="BodyText"/>
        <w:spacing w:before="5"/>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15 colHierarchiesUsage (Column O" w:id="794"/>
      <w:bookmarkEnd w:id="794"/>
      <w:r>
        <w:rPr/>
      </w:r>
      <w:bookmarkStart w:name="_bookmark263" w:id="795"/>
      <w:bookmarkEnd w:id="795"/>
      <w:r>
        <w:rPr/>
      </w:r>
      <w:bookmarkStart w:name="_bookmark263" w:id="796"/>
      <w:bookmarkEnd w:id="796"/>
      <w:r>
        <w:rPr>
          <w:color w:val="4F81BC"/>
        </w:rPr>
        <w:t>co</w:t>
      </w:r>
      <w:r>
        <w:rPr>
          <w:color w:val="4F81BC"/>
        </w:rPr>
        <w:t>lHierarchiesUsage (Column OLAP Hierarchy</w:t>
      </w:r>
      <w:r>
        <w:rPr>
          <w:color w:val="4F81BC"/>
          <w:spacing w:val="-2"/>
        </w:rPr>
        <w:t> </w:t>
      </w:r>
      <w:r>
        <w:rPr>
          <w:color w:val="4F81BC"/>
        </w:rPr>
        <w:t>References)</w:t>
      </w:r>
    </w:p>
    <w:p>
      <w:pPr>
        <w:pStyle w:val="BodyText"/>
        <w:spacing w:line="453" w:lineRule="auto" w:before="123"/>
        <w:ind w:left="220" w:right="1961"/>
      </w:pPr>
      <w:r>
        <w:rPr/>
        <w:t>Represents the collection of references to OLAP hierarchies on the column axis of a PivotTable. [</w:t>
      </w:r>
      <w:r>
        <w:rPr>
          <w:i/>
        </w:rPr>
        <w:t>Example</w:t>
      </w:r>
      <w:r>
        <w:rPr/>
        <w:t>:</w:t>
      </w:r>
    </w:p>
    <w:p>
      <w:pPr>
        <w:spacing w:after="0" w:line="453" w:lineRule="auto"/>
        <w:sectPr>
          <w:pgSz w:w="12240" w:h="15840"/>
          <w:pgMar w:header="763" w:footer="746" w:top="1340" w:bottom="940" w:left="860" w:right="700"/>
        </w:sectPr>
      </w:pPr>
    </w:p>
    <w:p>
      <w:pPr>
        <w:pStyle w:val="BodyText"/>
        <w:spacing w:before="93"/>
        <w:ind w:left="508"/>
        <w:rPr>
          <w:rFonts w:ascii="Consolas"/>
        </w:rPr>
      </w:pPr>
      <w:r>
        <w:rPr>
          <w:rFonts w:ascii="Consolas"/>
        </w:rPr>
        <w:t>&lt;sh:colHierarchiesUsage count="2"&gt;</w:t>
      </w:r>
    </w:p>
    <w:p>
      <w:pPr>
        <w:pStyle w:val="BodyText"/>
        <w:spacing w:before="38"/>
        <w:ind w:left="750"/>
        <w:rPr>
          <w:rFonts w:ascii="Consolas"/>
        </w:rPr>
      </w:pPr>
      <w:r>
        <w:rPr>
          <w:rFonts w:ascii="Consolas"/>
        </w:rPr>
        <w:t>&lt;sh:colHierarchyUsage</w:t>
      </w:r>
      <w:r>
        <w:rPr>
          <w:rFonts w:ascii="Consolas"/>
          <w:spacing w:val="-31"/>
        </w:rPr>
        <w:t> </w:t>
      </w:r>
      <w:r>
        <w:rPr>
          <w:rFonts w:ascii="Consolas"/>
        </w:rPr>
        <w:t>hierarchyUsage="33"/&gt;</w:t>
      </w:r>
    </w:p>
    <w:p>
      <w:pPr>
        <w:pStyle w:val="BodyText"/>
        <w:spacing w:before="40"/>
        <w:ind w:left="750"/>
        <w:rPr>
          <w:rFonts w:ascii="Consolas"/>
        </w:rPr>
      </w:pPr>
      <w:r>
        <w:rPr>
          <w:rFonts w:ascii="Consolas"/>
        </w:rPr>
        <w:t>&lt;sh:colHierarchyUsage</w:t>
      </w:r>
      <w:r>
        <w:rPr>
          <w:rFonts w:ascii="Consolas"/>
          <w:spacing w:val="-23"/>
        </w:rPr>
        <w:t> </w:t>
      </w:r>
      <w:r>
        <w:rPr>
          <w:rFonts w:ascii="Consolas"/>
        </w:rPr>
        <w:t>hierarchyUsage="-2"/&gt;</w:t>
      </w:r>
    </w:p>
    <w:p>
      <w:pPr>
        <w:pStyle w:val="BodyText"/>
        <w:spacing w:before="37"/>
        <w:ind w:left="508"/>
        <w:rPr>
          <w:rFonts w:ascii="Consolas"/>
        </w:rPr>
      </w:pPr>
      <w:r>
        <w:rPr>
          <w:rFonts w:ascii="Consolas"/>
        </w:rPr>
        <w:t>&lt;/sh:colHierarchiesUsage&gt;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78" w:right="90"/>
              <w:jc w:val="center"/>
              <w:rPr>
                <w:sz w:val="22"/>
              </w:rPr>
            </w:pPr>
            <w:r>
              <w:rPr>
                <w:rFonts w:ascii="Cambria"/>
                <w:sz w:val="22"/>
              </w:rPr>
              <w:t>count </w:t>
            </w:r>
            <w:r>
              <w:rPr>
                <w:sz w:val="22"/>
              </w:rPr>
              <w:t>(Items Count)</w:t>
            </w:r>
          </w:p>
        </w:tc>
        <w:tc>
          <w:tcPr>
            <w:tcW w:w="8250" w:type="dxa"/>
          </w:tcPr>
          <w:p>
            <w:pPr>
              <w:pStyle w:val="TableParagraph"/>
              <w:rPr>
                <w:sz w:val="22"/>
              </w:rPr>
            </w:pPr>
            <w:r>
              <w:rPr>
                <w:sz w:val="22"/>
              </w:rPr>
              <w:t>Specifies the number of items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CT_ColHierarchiesUsage</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16 colHierarchyUsage (Column OLA" w:id="797"/>
      <w:bookmarkEnd w:id="797"/>
      <w:r>
        <w:rPr/>
      </w:r>
      <w:bookmarkStart w:name="_bookmark264" w:id="798"/>
      <w:bookmarkEnd w:id="798"/>
      <w:r>
        <w:rPr/>
      </w:r>
      <w:bookmarkStart w:name="_bookmark264" w:id="799"/>
      <w:bookmarkEnd w:id="799"/>
      <w:r>
        <w:rPr>
          <w:color w:val="4F81BC"/>
        </w:rPr>
        <w:t>co</w:t>
      </w:r>
      <w:r>
        <w:rPr>
          <w:color w:val="4F81BC"/>
        </w:rPr>
        <w:t>lHierarchyUsage (Column OLAP</w:t>
      </w:r>
      <w:r>
        <w:rPr>
          <w:color w:val="4F81BC"/>
          <w:spacing w:val="-2"/>
        </w:rPr>
        <w:t> </w:t>
      </w:r>
      <w:r>
        <w:rPr>
          <w:color w:val="4F81BC"/>
        </w:rPr>
        <w:t>Hierarchies)</w:t>
      </w:r>
    </w:p>
    <w:p>
      <w:pPr>
        <w:pStyle w:val="BodyText"/>
        <w:spacing w:line="453" w:lineRule="auto" w:before="123"/>
        <w:ind w:left="220" w:right="1940"/>
      </w:pPr>
      <w:r>
        <w:rPr/>
        <w:t>Represents the collection of references to OLAP Hierarchies on the column axis of a PivotTable. [</w:t>
      </w:r>
      <w:r>
        <w:rPr>
          <w:i/>
        </w:rPr>
        <w:t>Example</w:t>
      </w:r>
      <w:r>
        <w:rPr/>
        <w:t>:</w:t>
      </w:r>
    </w:p>
    <w:p>
      <w:pPr>
        <w:pStyle w:val="BodyText"/>
        <w:spacing w:before="3"/>
        <w:ind w:left="220"/>
      </w:pPr>
      <w:r>
        <w:rPr/>
        <w:t>&lt;sh:colHierarchyUsage hierarchyUsage="33"/&gt;</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0" w:hRule="atLeast"/>
        </w:trPr>
        <w:tc>
          <w:tcPr>
            <w:tcW w:w="2062" w:type="dxa"/>
          </w:tcPr>
          <w:p>
            <w:pPr>
              <w:pStyle w:val="TableParagraph"/>
              <w:spacing w:line="256" w:lineRule="exact" w:before="42"/>
              <w:rPr>
                <w:rFonts w:ascii="Cambria"/>
                <w:sz w:val="22"/>
              </w:rPr>
            </w:pPr>
            <w:r>
              <w:rPr>
                <w:rFonts w:ascii="Cambria"/>
                <w:sz w:val="22"/>
              </w:rPr>
              <w:t>hierarchyUsage</w:t>
            </w:r>
          </w:p>
          <w:p>
            <w:pPr>
              <w:pStyle w:val="TableParagraph"/>
              <w:spacing w:line="267" w:lineRule="exact" w:before="0"/>
              <w:rPr>
                <w:sz w:val="22"/>
              </w:rPr>
            </w:pPr>
            <w:r>
              <w:rPr>
                <w:sz w:val="22"/>
              </w:rPr>
              <w:t>(Hierarchy Usage)</w:t>
            </w:r>
          </w:p>
        </w:tc>
        <w:tc>
          <w:tcPr>
            <w:tcW w:w="8250" w:type="dxa"/>
          </w:tcPr>
          <w:p>
            <w:pPr>
              <w:pStyle w:val="TableParagraph"/>
              <w:rPr>
                <w:sz w:val="22"/>
              </w:rPr>
            </w:pPr>
            <w:r>
              <w:rPr>
                <w:sz w:val="22"/>
              </w:rPr>
              <w:t>Specifies the reference to an OLAP hierarchy in a PivotTable.</w:t>
            </w:r>
          </w:p>
          <w:p>
            <w:pPr>
              <w:pStyle w:val="TableParagraph"/>
              <w:spacing w:before="10"/>
              <w:ind w:left="0"/>
              <w:rPr>
                <w:sz w:val="21"/>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CT_HierarchyUsage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7 colItems (Column Items)" w:id="800"/>
      <w:bookmarkEnd w:id="800"/>
      <w:r>
        <w:rPr/>
      </w:r>
      <w:bookmarkStart w:name="_bookmark265" w:id="801"/>
      <w:bookmarkEnd w:id="801"/>
      <w:r>
        <w:rPr/>
      </w:r>
      <w:bookmarkStart w:name="_bookmark265" w:id="802"/>
      <w:bookmarkEnd w:id="802"/>
      <w:r>
        <w:rPr>
          <w:color w:val="4F81BC"/>
        </w:rPr>
        <w:t>co</w:t>
      </w:r>
      <w:r>
        <w:rPr>
          <w:color w:val="4F81BC"/>
        </w:rPr>
        <w:t>lItems (Column</w:t>
      </w:r>
      <w:r>
        <w:rPr>
          <w:color w:val="4F81BC"/>
          <w:spacing w:val="-3"/>
        </w:rPr>
        <w:t> </w:t>
      </w:r>
      <w:r>
        <w:rPr>
          <w:color w:val="4F81BC"/>
        </w:rPr>
        <w:t>Items)</w:t>
      </w:r>
    </w:p>
    <w:p>
      <w:pPr>
        <w:pStyle w:val="BodyText"/>
        <w:spacing w:before="122"/>
        <w:ind w:left="220"/>
      </w:pPr>
      <w:r>
        <w:rPr/>
        <w:t>Represents the collection of column items of the PivotTable.</w:t>
      </w:r>
    </w:p>
    <w:p>
      <w:pPr>
        <w:pStyle w:val="BodyText"/>
        <w:spacing w:before="6"/>
        <w:rPr>
          <w:sz w:val="19"/>
        </w:rPr>
      </w:pPr>
    </w:p>
    <w:p>
      <w:pPr>
        <w:pStyle w:val="BodyText"/>
        <w:spacing w:line="276" w:lineRule="auto"/>
        <w:ind w:left="220" w:right="503" w:firstLine="50"/>
      </w:pPr>
      <w:r>
        <w:rPr/>
        <w:t>[</w:t>
      </w:r>
      <w:r>
        <w:rPr>
          <w:i/>
        </w:rPr>
        <w:t>Example</w:t>
      </w:r>
      <w:r>
        <w:rPr/>
        <w:t>: In the following SpreadsheetML example the item values are found in cells C6:H8. For example "2001" / "3" / "July" values are in C7:C9. Those are the first column item values and are referenced by the first</w:t>
      </w:r>
    </w:p>
    <w:p>
      <w:pPr>
        <w:pStyle w:val="BodyText"/>
        <w:spacing w:before="4"/>
        <w:ind w:left="220"/>
      </w:pPr>
      <w:r>
        <w:rPr>
          <w:rFonts w:ascii="Consolas"/>
        </w:rPr>
        <w:t>&lt;i&gt;</w:t>
      </w:r>
      <w:r>
        <w:rPr>
          <w:rFonts w:ascii="Consolas"/>
          <w:spacing w:val="-70"/>
        </w:rPr>
        <w:t> </w:t>
      </w:r>
      <w:r>
        <w:rPr/>
        <w:t>element below.</w:t>
      </w:r>
    </w:p>
    <w:p>
      <w:pPr>
        <w:spacing w:after="0"/>
        <w:sectPr>
          <w:pgSz w:w="12240" w:h="15840"/>
          <w:pgMar w:header="761" w:footer="746" w:top="1340" w:bottom="940" w:left="860" w:right="700"/>
        </w:sectPr>
      </w:pPr>
    </w:p>
    <w:p>
      <w:pPr>
        <w:pStyle w:val="BodyText"/>
        <w:spacing w:before="150"/>
        <w:ind w:left="508"/>
        <w:rPr>
          <w:rFonts w:ascii="Consolas"/>
        </w:rPr>
      </w:pPr>
      <w:r>
        <w:rPr>
          <w:rFonts w:ascii="Consolas"/>
        </w:rPr>
        <w:t>&lt;colItems count="5"&gt;</w:t>
      </w:r>
    </w:p>
    <w:p>
      <w:pPr>
        <w:pStyle w:val="BodyText"/>
        <w:spacing w:before="38"/>
        <w:ind w:left="750"/>
        <w:rPr>
          <w:rFonts w:ascii="Consolas"/>
        </w:rPr>
      </w:pPr>
      <w:r>
        <w:rPr>
          <w:rFonts w:ascii="Consolas"/>
        </w:rPr>
        <w:t>&lt;i&gt;</w:t>
      </w:r>
    </w:p>
    <w:p>
      <w:pPr>
        <w:pStyle w:val="BodyText"/>
        <w:spacing w:before="40"/>
        <w:ind w:left="993"/>
        <w:rPr>
          <w:rFonts w:ascii="Consolas"/>
        </w:rPr>
      </w:pPr>
      <w:r>
        <w:rPr>
          <w:rFonts w:ascii="Consolas"/>
        </w:rPr>
        <w:t>&lt;x/&gt;</w:t>
      </w:r>
    </w:p>
    <w:p>
      <w:pPr>
        <w:pStyle w:val="BodyText"/>
        <w:spacing w:before="38"/>
        <w:ind w:left="993"/>
        <w:rPr>
          <w:rFonts w:ascii="Consolas"/>
        </w:rPr>
      </w:pPr>
      <w:r>
        <w:rPr>
          <w:rFonts w:ascii="Consolas"/>
        </w:rPr>
        <w:t>&lt;x/&gt;</w:t>
      </w:r>
    </w:p>
    <w:p>
      <w:pPr>
        <w:pStyle w:val="BodyText"/>
        <w:spacing w:before="40"/>
        <w:ind w:left="993"/>
        <w:rPr>
          <w:rFonts w:ascii="Consolas"/>
        </w:rPr>
      </w:pPr>
      <w:r>
        <w:rPr>
          <w:rFonts w:ascii="Consolas"/>
        </w:rPr>
        <w:t>&lt;x/&gt;</w:t>
      </w:r>
    </w:p>
    <w:p>
      <w:pPr>
        <w:pStyle w:val="BodyText"/>
        <w:spacing w:before="37"/>
        <w:ind w:left="750"/>
        <w:rPr>
          <w:rFonts w:ascii="Consolas"/>
        </w:rPr>
      </w:pPr>
      <w:r>
        <w:rPr>
          <w:rFonts w:ascii="Consolas"/>
        </w:rPr>
        <w:t>&lt;/i&gt;</w:t>
      </w:r>
    </w:p>
    <w:p>
      <w:pPr>
        <w:pStyle w:val="BodyText"/>
        <w:spacing w:before="40"/>
        <w:ind w:left="750"/>
        <w:rPr>
          <w:rFonts w:ascii="Consolas"/>
        </w:rPr>
      </w:pPr>
      <w:r>
        <w:rPr>
          <w:rFonts w:ascii="Consolas"/>
        </w:rPr>
        <w:t>&lt;i r="2"&gt;</w:t>
      </w:r>
    </w:p>
    <w:p>
      <w:pPr>
        <w:pStyle w:val="BodyText"/>
        <w:spacing w:before="38"/>
        <w:ind w:left="993"/>
        <w:rPr>
          <w:rFonts w:ascii="Consolas"/>
        </w:rPr>
      </w:pPr>
      <w:r>
        <w:rPr>
          <w:rFonts w:ascii="Consolas"/>
        </w:rPr>
        <w:t>&lt;x v="1"/&gt;</w:t>
      </w:r>
    </w:p>
    <w:p>
      <w:pPr>
        <w:pStyle w:val="BodyText"/>
        <w:spacing w:before="38"/>
        <w:ind w:left="750"/>
        <w:rPr>
          <w:rFonts w:ascii="Consolas"/>
        </w:rPr>
      </w:pPr>
      <w:r>
        <w:rPr>
          <w:rFonts w:ascii="Consolas"/>
        </w:rPr>
        <w:t>&lt;/i&gt;</w:t>
      </w:r>
    </w:p>
    <w:p>
      <w:pPr>
        <w:pStyle w:val="BodyText"/>
        <w:spacing w:before="40"/>
        <w:ind w:left="750"/>
        <w:rPr>
          <w:rFonts w:ascii="Consolas"/>
        </w:rPr>
      </w:pPr>
      <w:r>
        <w:rPr>
          <w:rFonts w:ascii="Consolas"/>
        </w:rPr>
        <w:t>&lt;i r="2"&gt;</w:t>
      </w:r>
    </w:p>
    <w:p>
      <w:pPr>
        <w:pStyle w:val="BodyText"/>
        <w:spacing w:before="37"/>
        <w:ind w:left="993"/>
        <w:rPr>
          <w:rFonts w:ascii="Consolas"/>
        </w:rPr>
      </w:pPr>
      <w:r>
        <w:rPr>
          <w:rFonts w:ascii="Consolas"/>
        </w:rPr>
        <w:t>&lt;x v="2"/&gt;</w:t>
      </w:r>
    </w:p>
    <w:p>
      <w:pPr>
        <w:pStyle w:val="BodyText"/>
        <w:spacing w:before="40"/>
        <w:ind w:left="750"/>
        <w:rPr>
          <w:rFonts w:ascii="Consolas"/>
        </w:rPr>
      </w:pPr>
      <w:r>
        <w:rPr>
          <w:rFonts w:ascii="Consolas"/>
        </w:rPr>
        <w:t>&lt;/i&gt;</w:t>
      </w:r>
    </w:p>
    <w:p>
      <w:pPr>
        <w:pStyle w:val="BodyText"/>
        <w:spacing w:before="38"/>
        <w:ind w:left="750"/>
        <w:rPr>
          <w:rFonts w:ascii="Consolas"/>
        </w:rPr>
      </w:pPr>
      <w:r>
        <w:rPr>
          <w:rFonts w:ascii="Consolas"/>
        </w:rPr>
        <w:t>&lt;i t="default" r="1"&gt;</w:t>
      </w:r>
    </w:p>
    <w:p>
      <w:pPr>
        <w:pStyle w:val="BodyText"/>
        <w:spacing w:before="40"/>
        <w:ind w:left="993"/>
        <w:rPr>
          <w:rFonts w:ascii="Consolas"/>
        </w:rPr>
      </w:pPr>
      <w:r>
        <w:rPr>
          <w:rFonts w:ascii="Consolas"/>
        </w:rPr>
        <w:t>&lt;x/&gt;</w:t>
      </w:r>
    </w:p>
    <w:p>
      <w:pPr>
        <w:pStyle w:val="BodyText"/>
        <w:spacing w:before="38"/>
        <w:ind w:left="750"/>
        <w:rPr>
          <w:rFonts w:ascii="Consolas"/>
        </w:rPr>
      </w:pPr>
      <w:r>
        <w:rPr>
          <w:rFonts w:ascii="Consolas"/>
        </w:rPr>
        <w:t>&lt;/i&gt;</w:t>
      </w:r>
    </w:p>
    <w:p>
      <w:pPr>
        <w:pStyle w:val="BodyText"/>
        <w:spacing w:before="38"/>
        <w:ind w:left="750"/>
        <w:rPr>
          <w:rFonts w:ascii="Consolas"/>
        </w:rPr>
      </w:pPr>
      <w:r>
        <w:rPr>
          <w:rFonts w:ascii="Consolas"/>
        </w:rPr>
        <w:t>&lt;i t="default"&gt;</w:t>
      </w:r>
    </w:p>
    <w:p>
      <w:pPr>
        <w:pStyle w:val="BodyText"/>
        <w:spacing w:before="40"/>
        <w:ind w:left="993"/>
        <w:rPr>
          <w:rFonts w:ascii="Consolas"/>
        </w:rPr>
      </w:pPr>
      <w:r>
        <w:rPr>
          <w:rFonts w:ascii="Consolas"/>
        </w:rPr>
        <w:t>&lt;x/&gt;</w:t>
      </w:r>
    </w:p>
    <w:p>
      <w:pPr>
        <w:pStyle w:val="BodyText"/>
        <w:spacing w:before="37"/>
        <w:ind w:left="750"/>
        <w:rPr>
          <w:rFonts w:ascii="Consolas"/>
        </w:rPr>
      </w:pPr>
      <w:r>
        <w:rPr>
          <w:rFonts w:ascii="Consolas"/>
        </w:rPr>
        <w:t>&lt;/i&gt;</w:t>
      </w:r>
    </w:p>
    <w:p>
      <w:pPr>
        <w:pStyle w:val="BodyText"/>
        <w:spacing w:before="40"/>
        <w:ind w:left="508"/>
        <w:rPr>
          <w:rFonts w:ascii="Consolas"/>
        </w:rPr>
      </w:pPr>
      <w:r>
        <w:rPr>
          <w:rFonts w:ascii="Consolas"/>
        </w:rPr>
        <w:t>&lt;/colItems&gt;</w:t>
      </w:r>
    </w:p>
    <w:p>
      <w:pPr>
        <w:pStyle w:val="BodyText"/>
        <w:spacing w:before="3"/>
        <w:rPr>
          <w:rFonts w:ascii="Consolas"/>
          <w:sz w:val="20"/>
        </w:rPr>
      </w:pPr>
    </w:p>
    <w:p>
      <w:pPr>
        <w:spacing w:before="0"/>
        <w:ind w:left="220" w:right="0" w:firstLine="0"/>
        <w:jc w:val="both"/>
        <w:rPr>
          <w:sz w:val="22"/>
        </w:rPr>
      </w:pPr>
      <w:r>
        <w:rPr>
          <w:i/>
          <w:sz w:val="22"/>
        </w:rPr>
        <w:t>end example</w:t>
      </w:r>
      <w:r>
        <w:rPr>
          <w:sz w:val="22"/>
        </w:rPr>
        <w:t>]</w:t>
      </w:r>
    </w:p>
    <w:p>
      <w:pPr>
        <w:pStyle w:val="BodyText"/>
        <w:spacing w:before="6"/>
        <w:rPr>
          <w:sz w:val="19"/>
        </w:rPr>
      </w:pPr>
    </w:p>
    <w:p>
      <w:pPr>
        <w:pStyle w:val="BodyText"/>
        <w:spacing w:line="276" w:lineRule="auto"/>
        <w:ind w:left="220" w:right="423"/>
        <w:jc w:val="both"/>
      </w:pPr>
      <w:r>
        <w:rPr/>
        <w:t>The first </w:t>
      </w:r>
      <w:r>
        <w:rPr>
          <w:rFonts w:ascii="Consolas"/>
        </w:rPr>
        <w:t>&lt;i&gt; </w:t>
      </w:r>
      <w:r>
        <w:rPr/>
        <w:t>collection represents all item values for the first column in the column axis area of the PivotTable. The first </w:t>
      </w:r>
      <w:r>
        <w:rPr>
          <w:rFonts w:ascii="Consolas"/>
        </w:rPr>
        <w:t>&lt;x&gt;</w:t>
      </w:r>
      <w:r>
        <w:rPr>
          <w:rFonts w:ascii="Consolas"/>
          <w:spacing w:val="-73"/>
        </w:rPr>
        <w:t> </w:t>
      </w:r>
      <w:r>
        <w:rPr/>
        <w:t>in the first </w:t>
      </w:r>
      <w:r>
        <w:rPr>
          <w:rFonts w:ascii="Consolas"/>
        </w:rPr>
        <w:t>&lt;i&gt;</w:t>
      </w:r>
      <w:r>
        <w:rPr>
          <w:rFonts w:ascii="Consolas"/>
          <w:spacing w:val="-71"/>
        </w:rPr>
        <w:t> </w:t>
      </w:r>
      <w:r>
        <w:rPr/>
        <w:t>corresponds to the first field in the columns area of the PivotTable, namely "Year". The implied index value of '0' on this </w:t>
      </w:r>
      <w:r>
        <w:rPr>
          <w:rFonts w:ascii="Consolas"/>
        </w:rPr>
        <w:t>&lt;x&gt;</w:t>
      </w:r>
      <w:r>
        <w:rPr>
          <w:rFonts w:ascii="Consolas"/>
          <w:spacing w:val="-101"/>
        </w:rPr>
        <w:t> </w:t>
      </w:r>
      <w:r>
        <w:rPr/>
        <w:t>indicates that the item value for this first item in the column is the 0th item for this </w:t>
      </w:r>
      <w:r>
        <w:rPr>
          <w:rFonts w:ascii="Cambria"/>
        </w:rPr>
        <w:t>pivotField</w:t>
      </w:r>
      <w:r>
        <w:rPr/>
        <w:t>. The 0th item for this </w:t>
      </w:r>
      <w:r>
        <w:rPr>
          <w:rFonts w:ascii="Cambria"/>
        </w:rPr>
        <w:t>pivotField </w:t>
      </w:r>
      <w:r>
        <w:rPr/>
        <w:t>is itself an index to an item value into this field's shared items collection in the </w:t>
      </w:r>
      <w:r>
        <w:rPr>
          <w:rFonts w:ascii="Cambria"/>
        </w:rPr>
        <w:t>pivotCacheDefinition </w:t>
      </w:r>
      <w:r>
        <w:rPr/>
        <w:t>part, namely "2001".</w:t>
      </w:r>
    </w:p>
    <w:p>
      <w:pPr>
        <w:pStyle w:val="BodyText"/>
        <w:spacing w:line="278" w:lineRule="auto" w:before="201"/>
        <w:ind w:left="220" w:right="503"/>
      </w:pPr>
      <w:r>
        <w:rPr/>
        <w:t>The item values corresponding to the second and third </w:t>
      </w:r>
      <w:r>
        <w:rPr>
          <w:rFonts w:ascii="Consolas"/>
        </w:rPr>
        <w:t>&lt;x&gt;</w:t>
      </w:r>
      <w:r>
        <w:rPr>
          <w:rFonts w:ascii="Consolas"/>
          <w:spacing w:val="-98"/>
        </w:rPr>
        <w:t> </w:t>
      </w:r>
      <w:r>
        <w:rPr/>
        <w:t>elements can be found in the same way, arriving at "3" for the second item value, and arriving at "July" for the third item value for this first column.</w:t>
      </w:r>
    </w:p>
    <w:p>
      <w:pPr>
        <w:pStyle w:val="BodyText"/>
        <w:spacing w:line="276" w:lineRule="auto" w:before="195"/>
        <w:ind w:left="220" w:right="398"/>
      </w:pPr>
      <w:r>
        <w:rPr/>
        <w:t>The second </w:t>
      </w:r>
      <w:r>
        <w:rPr>
          <w:rFonts w:ascii="Consolas"/>
        </w:rPr>
        <w:t>&lt;i&gt; </w:t>
      </w:r>
      <w:r>
        <w:rPr/>
        <w:t>collection expresses all 3 item values for the second column in the column axis area. The </w:t>
      </w:r>
      <w:r>
        <w:rPr>
          <w:rFonts w:ascii="Consolas"/>
        </w:rPr>
        <w:t>@r </w:t>
      </w:r>
      <w:r>
        <w:rPr/>
        <w:t>value of '2' indicates that the first two item values from the previous column is repeated here, which means that the first item value for this second column is "2001" again and the second item value for this second column is "3". The third item value is expressed by the only </w:t>
      </w:r>
      <w:r>
        <w:rPr>
          <w:rFonts w:ascii="Consolas"/>
        </w:rPr>
        <w:t>&lt;x&gt; </w:t>
      </w:r>
      <w:r>
        <w:rPr/>
        <w:t>element under this second </w:t>
      </w:r>
      <w:r>
        <w:rPr>
          <w:rFonts w:ascii="Consolas"/>
        </w:rPr>
        <w:t>&lt;i&gt; </w:t>
      </w:r>
      <w:r>
        <w:rPr/>
        <w:t>element, and without further explanation is understood to reference the item value "August".</w:t>
      </w:r>
    </w:p>
    <w:p>
      <w:pPr>
        <w:pStyle w:val="BodyText"/>
        <w:rPr>
          <w:sz w:val="20"/>
        </w:rPr>
      </w:pPr>
    </w:p>
    <w:p>
      <w:pPr>
        <w:pStyle w:val="BodyText"/>
        <w:rPr>
          <w:sz w:val="20"/>
        </w:rPr>
      </w:pPr>
    </w:p>
    <w:p>
      <w:pPr>
        <w:pStyle w:val="BodyText"/>
        <w:spacing w:before="5"/>
        <w:rPr>
          <w:sz w:val="1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114"/>
              <w:rPr>
                <w:sz w:val="22"/>
              </w:rPr>
            </w:pPr>
            <w:r>
              <w:rPr>
                <w:rFonts w:ascii="Cambria"/>
                <w:sz w:val="22"/>
              </w:rPr>
              <w:t>count </w:t>
            </w:r>
            <w:r>
              <w:rPr>
                <w:sz w:val="22"/>
              </w:rPr>
              <w:t>(Column Item Count)</w:t>
            </w:r>
          </w:p>
        </w:tc>
        <w:tc>
          <w:tcPr>
            <w:tcW w:w="8250" w:type="dxa"/>
          </w:tcPr>
          <w:p>
            <w:pPr>
              <w:pStyle w:val="TableParagraph"/>
              <w:rPr>
                <w:sz w:val="22"/>
              </w:rPr>
            </w:pPr>
            <w:r>
              <w:rPr>
                <w:sz w:val="22"/>
              </w:rPr>
              <w:t>Specifies the number of items on the column axis of the PivotTable.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rPr>
          <w:sz w:val="20"/>
        </w:rPr>
      </w:pPr>
    </w:p>
    <w:p>
      <w:pPr>
        <w:pStyle w:val="BodyText"/>
        <w:spacing w:before="6"/>
        <w:rPr>
          <w:sz w:val="24"/>
        </w:rPr>
      </w:pPr>
    </w:p>
    <w:p>
      <w:pPr>
        <w:pStyle w:val="BodyText"/>
        <w:spacing w:line="278" w:lineRule="auto" w:before="56"/>
        <w:ind w:left="220" w:right="725"/>
      </w:pPr>
      <w:r>
        <w:rPr/>
        <w:t>[</w:t>
      </w:r>
      <w:r>
        <w:rPr>
          <w:i/>
        </w:rPr>
        <w:t>Note</w:t>
      </w:r>
      <w:r>
        <w:rPr/>
        <w:t>: The W3C XML Schema definition of this element’s content model (</w:t>
      </w:r>
      <w:r>
        <w:rPr>
          <w:color w:val="5F5F5F"/>
          <w:u w:val="single" w:color="5F5F5F"/>
        </w:rPr>
        <w:t>CT_colItems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8 conditionalFormat (Conditiona" w:id="803"/>
      <w:bookmarkEnd w:id="803"/>
      <w:r>
        <w:rPr/>
      </w:r>
      <w:bookmarkStart w:name="_bookmark266" w:id="804"/>
      <w:bookmarkEnd w:id="804"/>
      <w:r>
        <w:rPr/>
      </w:r>
      <w:bookmarkStart w:name="_bookmark266" w:id="805"/>
      <w:bookmarkEnd w:id="805"/>
      <w:r>
        <w:rPr>
          <w:color w:val="4F81BC"/>
        </w:rPr>
        <w:t>con</w:t>
      </w:r>
      <w:r>
        <w:rPr>
          <w:color w:val="4F81BC"/>
        </w:rPr>
        <w:t>ditionalFormat (Conditional</w:t>
      </w:r>
      <w:r>
        <w:rPr>
          <w:color w:val="4F81BC"/>
          <w:spacing w:val="-1"/>
        </w:rPr>
        <w:t> </w:t>
      </w:r>
      <w:r>
        <w:rPr>
          <w:color w:val="4F81BC"/>
        </w:rPr>
        <w:t>Formatting)</w:t>
      </w:r>
    </w:p>
    <w:p>
      <w:pPr>
        <w:pStyle w:val="BodyText"/>
        <w:spacing w:before="122"/>
        <w:ind w:left="220"/>
      </w:pPr>
      <w:r>
        <w:rPr/>
        <w:t>Represents the conditional formatting defined in the PivotTable.</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priority </w:t>
            </w:r>
            <w:r>
              <w:rPr>
                <w:sz w:val="22"/>
              </w:rPr>
              <w:t>(Priority)</w:t>
            </w:r>
          </w:p>
        </w:tc>
        <w:tc>
          <w:tcPr>
            <w:tcW w:w="8250" w:type="dxa"/>
          </w:tcPr>
          <w:p>
            <w:pPr>
              <w:pStyle w:val="TableParagraph"/>
              <w:rPr>
                <w:sz w:val="22"/>
              </w:rPr>
            </w:pPr>
            <w:r>
              <w:rPr>
                <w:sz w:val="22"/>
              </w:rPr>
              <w:t>Specifies the priority of PivotTable conditional formatting rule.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237"/>
              <w:rPr>
                <w:sz w:val="22"/>
              </w:rPr>
            </w:pPr>
            <w:r>
              <w:rPr>
                <w:rFonts w:ascii="Cambria"/>
                <w:sz w:val="22"/>
              </w:rPr>
              <w:t>scope </w:t>
            </w:r>
            <w:r>
              <w:rPr>
                <w:sz w:val="22"/>
              </w:rPr>
              <w:t>(Conditional Formatting Scope)</w:t>
            </w:r>
          </w:p>
        </w:tc>
        <w:tc>
          <w:tcPr>
            <w:tcW w:w="8250" w:type="dxa"/>
          </w:tcPr>
          <w:p>
            <w:pPr>
              <w:pStyle w:val="TableParagraph"/>
              <w:rPr>
                <w:sz w:val="22"/>
              </w:rPr>
            </w:pPr>
            <w:r>
              <w:rPr>
                <w:sz w:val="22"/>
              </w:rPr>
              <w:t>Specifies the scope of PivotTable conditional formatting rule.</w:t>
            </w:r>
          </w:p>
          <w:p>
            <w:pPr>
              <w:pStyle w:val="TableParagraph"/>
              <w:spacing w:before="1"/>
              <w:ind w:left="0"/>
              <w:rPr>
                <w:sz w:val="22"/>
              </w:rPr>
            </w:pPr>
          </w:p>
          <w:p>
            <w:pPr>
              <w:pStyle w:val="TableParagraph"/>
              <w:spacing w:before="0"/>
              <w:ind w:right="1152"/>
              <w:rPr>
                <w:sz w:val="22"/>
              </w:rPr>
            </w:pPr>
            <w:r>
              <w:rPr>
                <w:sz w:val="22"/>
              </w:rPr>
              <w:t>The possible values for this attribute are defined by the </w:t>
            </w:r>
            <w:r>
              <w:rPr>
                <w:rFonts w:ascii="Cambria" w:hAnsi="Cambria"/>
                <w:sz w:val="22"/>
              </w:rPr>
              <w:t>ST_Scope </w:t>
            </w:r>
            <w:r>
              <w:rPr>
                <w:sz w:val="22"/>
              </w:rPr>
              <w:t>simple type </w:t>
            </w:r>
            <w:hyperlink w:history="true" w:anchor="_bookmark889">
              <w:r>
                <w:rPr>
                  <w:sz w:val="22"/>
                </w:rPr>
                <w:t>(§18.18.67</w:t>
              </w:r>
            </w:hyperlink>
            <w:r>
              <w:rPr>
                <w:sz w:val="22"/>
              </w:rPr>
              <w:t>).</w:t>
            </w:r>
          </w:p>
        </w:tc>
      </w:tr>
      <w:tr>
        <w:trPr>
          <w:trHeight w:val="1161" w:hRule="atLeast"/>
        </w:trPr>
        <w:tc>
          <w:tcPr>
            <w:tcW w:w="2062" w:type="dxa"/>
          </w:tcPr>
          <w:p>
            <w:pPr>
              <w:pStyle w:val="TableParagraph"/>
              <w:ind w:right="360"/>
              <w:rPr>
                <w:sz w:val="22"/>
              </w:rPr>
            </w:pPr>
            <w:r>
              <w:rPr>
                <w:rFonts w:ascii="Cambria"/>
                <w:sz w:val="22"/>
              </w:rPr>
              <w:t>type </w:t>
            </w:r>
            <w:r>
              <w:rPr>
                <w:sz w:val="22"/>
              </w:rPr>
              <w:t>(Conditional Formatting Rule Type)</w:t>
            </w:r>
          </w:p>
        </w:tc>
        <w:tc>
          <w:tcPr>
            <w:tcW w:w="8250" w:type="dxa"/>
          </w:tcPr>
          <w:p>
            <w:pPr>
              <w:pStyle w:val="TableParagraph"/>
              <w:ind w:right="338"/>
              <w:rPr>
                <w:sz w:val="22"/>
              </w:rPr>
            </w:pPr>
            <w:r>
              <w:rPr>
                <w:sz w:val="22"/>
              </w:rPr>
              <w:t>Specifies the type of PivotTable conditional formatting rule. See associated simple type definition for details.</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ST_Type </w:t>
            </w:r>
            <w:r>
              <w:rPr>
                <w:sz w:val="22"/>
              </w:rPr>
              <w:t>simple type (§</w:t>
            </w:r>
            <w:hyperlink w:history="true" w:anchor="_bookmark906">
              <w:r>
                <w:rPr>
                  <w:sz w:val="22"/>
                </w:rPr>
                <w:t>18.18.84</w:t>
              </w:r>
            </w:hyperlink>
            <w:r>
              <w:rPr>
                <w:sz w:val="22"/>
              </w:rPr>
              <w:t>).</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CT_ConditionalFormat</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19 conditionalFormats (Condition" w:id="806"/>
      <w:bookmarkEnd w:id="806"/>
      <w:r>
        <w:rPr/>
      </w:r>
      <w:bookmarkStart w:name="_bookmark267" w:id="807"/>
      <w:bookmarkEnd w:id="807"/>
      <w:r>
        <w:rPr/>
      </w:r>
      <w:bookmarkStart w:name="_bookmark267" w:id="808"/>
      <w:bookmarkEnd w:id="808"/>
      <w:r>
        <w:rPr>
          <w:color w:val="4F81BC"/>
        </w:rPr>
        <w:t>con</w:t>
      </w:r>
      <w:r>
        <w:rPr>
          <w:color w:val="4F81BC"/>
        </w:rPr>
        <w:t>ditionalFormats (Conditional</w:t>
      </w:r>
      <w:r>
        <w:rPr>
          <w:color w:val="4F81BC"/>
          <w:spacing w:val="-1"/>
        </w:rPr>
        <w:t> </w:t>
      </w:r>
      <w:r>
        <w:rPr>
          <w:color w:val="4F81BC"/>
        </w:rPr>
        <w:t>Formats)</w:t>
      </w:r>
    </w:p>
    <w:p>
      <w:pPr>
        <w:pStyle w:val="BodyText"/>
        <w:spacing w:line="453" w:lineRule="auto" w:before="124"/>
        <w:ind w:left="220" w:right="3983"/>
      </w:pPr>
      <w:r>
        <w:rPr/>
        <w:t>Represents the collection of conditional formats applied to a PivotTable. [</w:t>
      </w:r>
      <w:r>
        <w:rPr>
          <w:i/>
        </w:rPr>
        <w:t>Example</w:t>
      </w:r>
      <w:r>
        <w:rPr/>
        <w:t>:</w:t>
      </w:r>
    </w:p>
    <w:p>
      <w:pPr>
        <w:pStyle w:val="BodyText"/>
        <w:spacing w:before="2"/>
        <w:ind w:left="508"/>
        <w:rPr>
          <w:rFonts w:ascii="Consolas"/>
        </w:rPr>
      </w:pPr>
      <w:r>
        <w:rPr>
          <w:rFonts w:ascii="Consolas"/>
        </w:rPr>
        <w:t>&lt;sh:conditionalFormats count="1"&gt;</w:t>
      </w:r>
    </w:p>
    <w:p>
      <w:pPr>
        <w:pStyle w:val="BodyText"/>
        <w:spacing w:before="38"/>
        <w:ind w:left="750"/>
        <w:rPr>
          <w:rFonts w:ascii="Consolas"/>
        </w:rPr>
      </w:pPr>
      <w:r>
        <w:rPr>
          <w:rFonts w:ascii="Consolas"/>
        </w:rPr>
        <w:t>&lt;sh:conditionalFormat priority="1"&gt;</w:t>
      </w:r>
    </w:p>
    <w:p>
      <w:pPr>
        <w:pStyle w:val="BodyText"/>
        <w:spacing w:before="37"/>
        <w:ind w:left="993"/>
        <w:rPr>
          <w:rFonts w:ascii="Consolas"/>
        </w:rPr>
      </w:pPr>
      <w:r>
        <w:rPr>
          <w:rFonts w:ascii="Consolas"/>
        </w:rPr>
        <w:t>&lt;sh:pivotAreas count="1"&gt;</w:t>
      </w:r>
    </w:p>
    <w:p>
      <w:pPr>
        <w:pStyle w:val="BodyText"/>
        <w:spacing w:before="40"/>
        <w:ind w:left="1235"/>
        <w:rPr>
          <w:rFonts w:ascii="Consolas"/>
        </w:rPr>
      </w:pPr>
      <w:r>
        <w:rPr>
          <w:rFonts w:ascii="Consolas"/>
        </w:rPr>
        <w:t>&lt;sh:pivotArea type="data" collapsedLevelsAreSubtotals="1"&gt;</w:t>
      </w:r>
    </w:p>
    <w:p>
      <w:pPr>
        <w:pStyle w:val="BodyText"/>
        <w:spacing w:before="38"/>
        <w:ind w:left="1478"/>
        <w:rPr>
          <w:rFonts w:ascii="Consolas"/>
        </w:rPr>
      </w:pPr>
      <w:r>
        <w:rPr>
          <w:rFonts w:ascii="Consolas"/>
        </w:rPr>
        <w:t>&lt;sh:references count="5"&gt;</w:t>
      </w:r>
    </w:p>
    <w:p>
      <w:pPr>
        <w:pStyle w:val="BodyText"/>
        <w:spacing w:before="40"/>
        <w:ind w:left="1718"/>
        <w:rPr>
          <w:rFonts w:ascii="Consolas"/>
        </w:rPr>
      </w:pPr>
      <w:r>
        <w:rPr>
          <w:rFonts w:ascii="Consolas"/>
        </w:rPr>
        <w:t>&lt;sh:reference field="4294967294" count="1" selected="0"&gt;</w:t>
      </w:r>
    </w:p>
    <w:p>
      <w:pPr>
        <w:pStyle w:val="BodyText"/>
        <w:spacing w:before="38"/>
        <w:ind w:right="7146"/>
        <w:jc w:val="right"/>
        <w:rPr>
          <w:rFonts w:ascii="Consolas"/>
        </w:rPr>
      </w:pPr>
      <w:r>
        <w:rPr>
          <w:rFonts w:ascii="Consolas"/>
        </w:rPr>
        <w:t>&lt;sh:x</w:t>
      </w:r>
      <w:r>
        <w:rPr>
          <w:rFonts w:ascii="Consolas"/>
          <w:spacing w:val="-8"/>
        </w:rPr>
        <w:t> </w:t>
      </w:r>
      <w:r>
        <w:rPr>
          <w:rFonts w:ascii="Consolas"/>
        </w:rPr>
        <w:t>v="0"/&gt;</w:t>
      </w:r>
    </w:p>
    <w:p>
      <w:pPr>
        <w:pStyle w:val="BodyText"/>
        <w:spacing w:before="40"/>
        <w:ind w:right="7146"/>
        <w:jc w:val="right"/>
        <w:rPr>
          <w:rFonts w:ascii="Consolas"/>
        </w:rPr>
      </w:pPr>
      <w:r>
        <w:rPr>
          <w:rFonts w:ascii="Consolas"/>
          <w:spacing w:val="-2"/>
        </w:rPr>
        <w:t>&lt;/sh:reference&gt;</w:t>
      </w:r>
    </w:p>
    <w:p>
      <w:pPr>
        <w:pStyle w:val="BodyText"/>
        <w:spacing w:before="38"/>
        <w:ind w:left="1718"/>
        <w:rPr>
          <w:rFonts w:ascii="Consolas"/>
        </w:rPr>
      </w:pPr>
      <w:r>
        <w:rPr>
          <w:rFonts w:ascii="Consolas"/>
        </w:rPr>
        <w:t>&lt;sh:reference field="2" count="1" selected="0"&gt;</w:t>
      </w:r>
    </w:p>
    <w:p>
      <w:pPr>
        <w:pStyle w:val="BodyText"/>
        <w:spacing w:before="40"/>
        <w:ind w:right="7146"/>
        <w:jc w:val="right"/>
        <w:rPr>
          <w:rFonts w:ascii="Consolas"/>
        </w:rPr>
      </w:pPr>
      <w:r>
        <w:rPr>
          <w:rFonts w:ascii="Consolas"/>
        </w:rPr>
        <w:t>&lt;sh:x</w:t>
      </w:r>
      <w:r>
        <w:rPr>
          <w:rFonts w:ascii="Consolas"/>
          <w:spacing w:val="-8"/>
        </w:rPr>
        <w:t> </w:t>
      </w:r>
      <w:r>
        <w:rPr>
          <w:rFonts w:ascii="Consolas"/>
        </w:rPr>
        <w:t>v="0"/&gt;</w:t>
      </w:r>
    </w:p>
    <w:p>
      <w:pPr>
        <w:pStyle w:val="BodyText"/>
        <w:spacing w:before="38"/>
        <w:ind w:right="7146"/>
        <w:jc w:val="right"/>
        <w:rPr>
          <w:rFonts w:ascii="Consolas"/>
        </w:rPr>
      </w:pPr>
      <w:r>
        <w:rPr>
          <w:rFonts w:ascii="Consolas"/>
          <w:spacing w:val="-2"/>
        </w:rPr>
        <w:t>&lt;/sh:reference&gt;</w:t>
      </w:r>
    </w:p>
    <w:p>
      <w:pPr>
        <w:spacing w:after="0"/>
        <w:jc w:val="right"/>
        <w:rPr>
          <w:rFonts w:ascii="Consolas"/>
        </w:rPr>
        <w:sectPr>
          <w:footerReference w:type="even" r:id="rId112"/>
          <w:footerReference w:type="default" r:id="rId113"/>
          <w:pgSz w:w="12240" w:h="15840"/>
          <w:pgMar w:footer="746" w:header="761" w:top="1340" w:bottom="940" w:left="860" w:right="700"/>
          <w:pgNumType w:start="1840"/>
        </w:sectPr>
      </w:pPr>
    </w:p>
    <w:p>
      <w:pPr>
        <w:pStyle w:val="BodyText"/>
        <w:spacing w:before="150"/>
        <w:ind w:left="1718"/>
        <w:rPr>
          <w:rFonts w:ascii="Consolas"/>
        </w:rPr>
      </w:pPr>
      <w:r>
        <w:rPr>
          <w:rFonts w:ascii="Consolas"/>
        </w:rPr>
        <w:t>&lt;sh:reference field="14" count="1" selected="0"&gt;</w:t>
      </w:r>
    </w:p>
    <w:p>
      <w:pPr>
        <w:pStyle w:val="BodyText"/>
        <w:spacing w:before="38"/>
        <w:ind w:right="7146"/>
        <w:jc w:val="right"/>
        <w:rPr>
          <w:rFonts w:ascii="Consolas"/>
        </w:rPr>
      </w:pPr>
      <w:r>
        <w:rPr>
          <w:rFonts w:ascii="Consolas"/>
        </w:rPr>
        <w:t>&lt;sh:x</w:t>
      </w:r>
      <w:r>
        <w:rPr>
          <w:rFonts w:ascii="Consolas"/>
          <w:spacing w:val="-8"/>
        </w:rPr>
        <w:t> </w:t>
      </w:r>
      <w:r>
        <w:rPr>
          <w:rFonts w:ascii="Consolas"/>
        </w:rPr>
        <w:t>v="0"/&gt;</w:t>
      </w:r>
    </w:p>
    <w:p>
      <w:pPr>
        <w:pStyle w:val="BodyText"/>
        <w:spacing w:before="40"/>
        <w:ind w:right="7146"/>
        <w:jc w:val="right"/>
        <w:rPr>
          <w:rFonts w:ascii="Consolas"/>
        </w:rPr>
      </w:pPr>
      <w:r>
        <w:rPr>
          <w:rFonts w:ascii="Consolas"/>
          <w:spacing w:val="-2"/>
        </w:rPr>
        <w:t>&lt;/sh:reference&gt;</w:t>
      </w:r>
    </w:p>
    <w:p>
      <w:pPr>
        <w:pStyle w:val="BodyText"/>
        <w:spacing w:before="38"/>
        <w:ind w:left="1718"/>
        <w:rPr>
          <w:rFonts w:ascii="Consolas"/>
        </w:rPr>
      </w:pPr>
      <w:r>
        <w:rPr>
          <w:rFonts w:ascii="Consolas"/>
        </w:rPr>
        <w:t>&lt;sh:reference field="15" count="2" selected="0"&gt;</w:t>
      </w:r>
    </w:p>
    <w:p>
      <w:pPr>
        <w:pStyle w:val="BodyText"/>
        <w:spacing w:before="40"/>
        <w:ind w:right="7146"/>
        <w:jc w:val="right"/>
        <w:rPr>
          <w:rFonts w:ascii="Consolas"/>
        </w:rPr>
      </w:pPr>
      <w:r>
        <w:rPr>
          <w:rFonts w:ascii="Consolas"/>
        </w:rPr>
        <w:t>&lt;sh:x</w:t>
      </w:r>
      <w:r>
        <w:rPr>
          <w:rFonts w:ascii="Consolas"/>
          <w:spacing w:val="-8"/>
        </w:rPr>
        <w:t> </w:t>
      </w:r>
      <w:r>
        <w:rPr>
          <w:rFonts w:ascii="Consolas"/>
        </w:rPr>
        <w:t>v="2"/&gt;</w:t>
      </w:r>
    </w:p>
    <w:p>
      <w:pPr>
        <w:pStyle w:val="BodyText"/>
        <w:spacing w:before="37"/>
        <w:ind w:right="7146"/>
        <w:jc w:val="right"/>
        <w:rPr>
          <w:rFonts w:ascii="Consolas"/>
        </w:rPr>
      </w:pPr>
      <w:r>
        <w:rPr>
          <w:rFonts w:ascii="Consolas"/>
        </w:rPr>
        <w:t>&lt;sh:x</w:t>
      </w:r>
      <w:r>
        <w:rPr>
          <w:rFonts w:ascii="Consolas"/>
          <w:spacing w:val="-8"/>
        </w:rPr>
        <w:t> </w:t>
      </w:r>
      <w:r>
        <w:rPr>
          <w:rFonts w:ascii="Consolas"/>
        </w:rPr>
        <w:t>v="3"/&gt;</w:t>
      </w:r>
    </w:p>
    <w:p>
      <w:pPr>
        <w:pStyle w:val="BodyText"/>
        <w:spacing w:before="40"/>
        <w:ind w:right="7146"/>
        <w:jc w:val="right"/>
        <w:rPr>
          <w:rFonts w:ascii="Consolas"/>
        </w:rPr>
      </w:pPr>
      <w:r>
        <w:rPr>
          <w:rFonts w:ascii="Consolas"/>
          <w:spacing w:val="-2"/>
        </w:rPr>
        <w:t>&lt;/sh:reference&gt;</w:t>
      </w:r>
    </w:p>
    <w:p>
      <w:pPr>
        <w:pStyle w:val="BodyText"/>
        <w:spacing w:before="38"/>
        <w:ind w:left="1478"/>
        <w:rPr>
          <w:rFonts w:ascii="Consolas"/>
        </w:rPr>
      </w:pPr>
      <w:r>
        <w:rPr>
          <w:rFonts w:ascii="Consolas"/>
        </w:rPr>
        <w:t>&lt;/sh:references&gt;</w:t>
      </w:r>
    </w:p>
    <w:p>
      <w:pPr>
        <w:pStyle w:val="BodyText"/>
        <w:spacing w:before="38"/>
        <w:ind w:left="1235"/>
        <w:rPr>
          <w:rFonts w:ascii="Consolas"/>
        </w:rPr>
      </w:pPr>
      <w:r>
        <w:rPr>
          <w:rFonts w:ascii="Consolas"/>
        </w:rPr>
        <w:t>&lt;/sh:pivotArea&gt;</w:t>
      </w:r>
    </w:p>
    <w:p>
      <w:pPr>
        <w:pStyle w:val="BodyText"/>
        <w:spacing w:before="40"/>
        <w:ind w:left="993"/>
        <w:rPr>
          <w:rFonts w:ascii="Consolas"/>
        </w:rPr>
      </w:pPr>
      <w:r>
        <w:rPr>
          <w:rFonts w:ascii="Consolas"/>
        </w:rPr>
        <w:t>&lt;/sh:pivotAreas&gt;</w:t>
      </w:r>
    </w:p>
    <w:p>
      <w:pPr>
        <w:pStyle w:val="BodyText"/>
        <w:spacing w:before="37"/>
        <w:ind w:left="750"/>
        <w:rPr>
          <w:rFonts w:ascii="Consolas"/>
        </w:rPr>
      </w:pPr>
      <w:r>
        <w:rPr>
          <w:rFonts w:ascii="Consolas"/>
        </w:rPr>
        <w:t>&lt;/sh:conditionalFormat&gt;</w:t>
      </w:r>
    </w:p>
    <w:p>
      <w:pPr>
        <w:pStyle w:val="BodyText"/>
        <w:spacing w:before="40"/>
        <w:ind w:left="508"/>
        <w:rPr>
          <w:rFonts w:ascii="Consolas"/>
        </w:rPr>
      </w:pPr>
      <w:r>
        <w:rPr>
          <w:rFonts w:ascii="Consolas"/>
        </w:rPr>
        <w:t>&lt;/sh:conditionalFormats&gt;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ind w:right="242"/>
              <w:rPr>
                <w:sz w:val="22"/>
              </w:rPr>
            </w:pPr>
            <w:r>
              <w:rPr>
                <w:rFonts w:ascii="Cambria"/>
                <w:sz w:val="22"/>
              </w:rPr>
              <w:t>count </w:t>
            </w:r>
            <w:r>
              <w:rPr>
                <w:sz w:val="22"/>
              </w:rPr>
              <w:t>(Conditional Format Count)</w:t>
            </w:r>
          </w:p>
        </w:tc>
        <w:tc>
          <w:tcPr>
            <w:tcW w:w="8250" w:type="dxa"/>
          </w:tcPr>
          <w:p>
            <w:pPr>
              <w:pStyle w:val="TableParagraph"/>
              <w:rPr>
                <w:sz w:val="22"/>
              </w:rPr>
            </w:pPr>
            <w:r>
              <w:rPr>
                <w:sz w:val="22"/>
              </w:rPr>
              <w:t>Specifies the number of conditional formats defined for the PivotTable.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CT_ConditionalFormats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10"/>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0 consolidation (Consolidation " w:id="809"/>
      <w:bookmarkEnd w:id="809"/>
      <w:r>
        <w:rPr/>
      </w:r>
      <w:bookmarkStart w:name="_bookmark268" w:id="810"/>
      <w:bookmarkEnd w:id="810"/>
      <w:r>
        <w:rPr/>
      </w:r>
      <w:bookmarkStart w:name="_bookmark268" w:id="811"/>
      <w:bookmarkEnd w:id="811"/>
      <w:r>
        <w:rPr>
          <w:color w:val="4F81BC"/>
        </w:rPr>
        <w:t>consoli</w:t>
      </w:r>
      <w:r>
        <w:rPr>
          <w:color w:val="4F81BC"/>
        </w:rPr>
        <w:t>dation (Consolidation Source)</w:t>
      </w:r>
    </w:p>
    <w:p>
      <w:pPr>
        <w:pStyle w:val="BodyText"/>
        <w:spacing w:line="276" w:lineRule="auto" w:before="119"/>
        <w:ind w:left="220" w:right="503"/>
      </w:pPr>
      <w:r>
        <w:rPr/>
        <w:t>Represents the description of the PivotCache source using multiple consolidation ranges. This element is used when the source of the PivotTable is a collection of ranges in the workbook. The ranges are specified in the </w:t>
      </w:r>
      <w:r>
        <w:rPr>
          <w:rFonts w:ascii="Cambria"/>
        </w:rPr>
        <w:t>rangeSets </w:t>
      </w:r>
      <w:r>
        <w:rPr/>
        <w:t>collection. The logic for how the application consolidates the data in the ranges is application- defined. [</w:t>
      </w:r>
      <w:r>
        <w:rPr>
          <w:i/>
        </w:rPr>
        <w:t>Example</w:t>
      </w:r>
      <w:r>
        <w:rPr/>
        <w:t>: the application might consolidate data based on its position in the worksheet that the end- user specifies. </w:t>
      </w:r>
      <w:r>
        <w:rPr>
          <w:i/>
        </w:rPr>
        <w:t>end example</w:t>
      </w:r>
      <w:r>
        <w:rPr/>
        <w:t>]</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03" w:hRule="atLeast"/>
        </w:trPr>
        <w:tc>
          <w:tcPr>
            <w:tcW w:w="2062" w:type="dxa"/>
          </w:tcPr>
          <w:p>
            <w:pPr>
              <w:pStyle w:val="TableParagraph"/>
              <w:ind w:right="500"/>
              <w:rPr>
                <w:sz w:val="22"/>
              </w:rPr>
            </w:pPr>
            <w:r>
              <w:rPr>
                <w:rFonts w:ascii="Cambria"/>
                <w:sz w:val="22"/>
              </w:rPr>
              <w:t>autoPage </w:t>
            </w:r>
            <w:r>
              <w:rPr>
                <w:sz w:val="22"/>
              </w:rPr>
              <w:t>(Auto Page)</w:t>
            </w:r>
          </w:p>
        </w:tc>
        <w:tc>
          <w:tcPr>
            <w:tcW w:w="8250" w:type="dxa"/>
          </w:tcPr>
          <w:p>
            <w:pPr>
              <w:pStyle w:val="TableParagraph"/>
              <w:ind w:right="153"/>
              <w:rPr>
                <w:sz w:val="22"/>
              </w:rPr>
            </w:pPr>
            <w:r>
              <w:rPr>
                <w:sz w:val="22"/>
              </w:rPr>
              <w:t>Specifies a boolean value that indicates whether the application will automatically create one additional page field to describe/qualify the source ranges.</w:t>
            </w:r>
          </w:p>
          <w:p>
            <w:pPr>
              <w:pStyle w:val="TableParagraph"/>
              <w:spacing w:before="11"/>
              <w:ind w:left="0"/>
              <w:rPr>
                <w:sz w:val="21"/>
              </w:rPr>
            </w:pPr>
          </w:p>
          <w:p>
            <w:pPr>
              <w:pStyle w:val="TableParagraph"/>
              <w:spacing w:line="480" w:lineRule="auto" w:before="0"/>
              <w:ind w:right="90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application will create an additional page field.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will not create an additional page field.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90"/>
        <w:ind w:left="220"/>
      </w:pPr>
      <w:r>
        <w:rPr/>
        <w:t>[</w:t>
      </w:r>
      <w:r>
        <w:rPr>
          <w:i/>
        </w:rPr>
        <w:t>Note</w:t>
      </w:r>
      <w:r>
        <w:rPr/>
        <w:t>: The W3C XML Schema definition of this element’s content model (</w:t>
      </w:r>
      <w:r>
        <w:rPr>
          <w:color w:val="5F5F5F"/>
          <w:u w:val="single" w:color="5F5F5F"/>
        </w:rPr>
        <w:t>CT_Consolidation</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1 d (Date Time)" w:id="812"/>
      <w:bookmarkEnd w:id="812"/>
      <w:r>
        <w:rPr/>
      </w:r>
      <w:bookmarkStart w:name="_bookmark269" w:id="813"/>
      <w:bookmarkEnd w:id="813"/>
      <w:r>
        <w:rPr/>
      </w:r>
      <w:bookmarkStart w:name="_bookmark269" w:id="814"/>
      <w:bookmarkEnd w:id="814"/>
      <w:r>
        <w:rPr>
          <w:color w:val="4F81BC"/>
        </w:rPr>
        <w:t>d</w:t>
      </w:r>
      <w:r>
        <w:rPr>
          <w:color w:val="4F81BC"/>
        </w:rPr>
        <w:t> (Date</w:t>
      </w:r>
      <w:r>
        <w:rPr>
          <w:color w:val="4F81BC"/>
          <w:spacing w:val="-3"/>
        </w:rPr>
        <w:t> </w:t>
      </w:r>
      <w:r>
        <w:rPr>
          <w:color w:val="4F81BC"/>
        </w:rPr>
        <w:t>Time)</w:t>
      </w:r>
    </w:p>
    <w:p>
      <w:pPr>
        <w:pStyle w:val="BodyText"/>
        <w:spacing w:before="121"/>
        <w:ind w:left="220"/>
      </w:pPr>
      <w:r>
        <w:rPr/>
        <w:t>Represents a date-time value in the PivotTable.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c </w:t>
            </w:r>
            <w:r>
              <w:rPr>
                <w:sz w:val="22"/>
              </w:rPr>
              <w:t>(Caption)</w:t>
            </w:r>
          </w:p>
        </w:tc>
        <w:tc>
          <w:tcPr>
            <w:tcW w:w="8250" w:type="dxa"/>
          </w:tcPr>
          <w:p>
            <w:pPr>
              <w:pStyle w:val="TableParagraph"/>
              <w:rPr>
                <w:sz w:val="22"/>
              </w:rPr>
            </w:pPr>
            <w:r>
              <w:rPr>
                <w:sz w:val="22"/>
              </w:rPr>
              <w:t>Specifies the caption for the item.</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80"/>
              <w:rPr>
                <w:sz w:val="22"/>
              </w:rPr>
            </w:pPr>
            <w:r>
              <w:rPr>
                <w:rFonts w:ascii="Cambria"/>
                <w:sz w:val="22"/>
              </w:rPr>
              <w:t>cp </w:t>
            </w:r>
            <w:r>
              <w:rPr>
                <w:sz w:val="22"/>
              </w:rPr>
              <w:t>(Member Property Count)</w:t>
            </w:r>
          </w:p>
        </w:tc>
        <w:tc>
          <w:tcPr>
            <w:tcW w:w="8250" w:type="dxa"/>
          </w:tcPr>
          <w:p>
            <w:pPr>
              <w:pStyle w:val="TableParagraph"/>
              <w:rPr>
                <w:sz w:val="22"/>
              </w:rPr>
            </w:pPr>
            <w:r>
              <w:rPr>
                <w:sz w:val="22"/>
              </w:rPr>
              <w:t>Specifies the number of member property values.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3" w:hRule="atLeast"/>
        </w:trPr>
        <w:tc>
          <w:tcPr>
            <w:tcW w:w="2062" w:type="dxa"/>
          </w:tcPr>
          <w:p>
            <w:pPr>
              <w:pStyle w:val="TableParagraph"/>
              <w:ind w:right="334"/>
              <w:rPr>
                <w:sz w:val="22"/>
              </w:rPr>
            </w:pPr>
            <w:r>
              <w:rPr>
                <w:rFonts w:ascii="Cambria"/>
                <w:sz w:val="22"/>
              </w:rPr>
              <w:t>f </w:t>
            </w:r>
            <w:r>
              <w:rPr>
                <w:sz w:val="22"/>
              </w:rPr>
              <w:t>(Calculated Item Value)</w:t>
            </w:r>
          </w:p>
        </w:tc>
        <w:tc>
          <w:tcPr>
            <w:tcW w:w="8250" w:type="dxa"/>
          </w:tcPr>
          <w:p>
            <w:pPr>
              <w:pStyle w:val="TableParagraph"/>
              <w:spacing w:line="480" w:lineRule="auto"/>
              <w:ind w:right="1060"/>
              <w:rPr>
                <w:sz w:val="22"/>
              </w:rPr>
            </w:pPr>
            <w:r>
              <w:rPr>
                <w:sz w:val="22"/>
              </w:rPr>
              <w:t>Specifies a boolean value that indicates whether this is a calculated item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is a calculated item value.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is not a calculated item value.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rPr>
                <w:sz w:val="22"/>
              </w:rPr>
            </w:pPr>
            <w:r>
              <w:rPr>
                <w:rFonts w:ascii="Cambria"/>
                <w:sz w:val="22"/>
              </w:rPr>
              <w:t>u </w:t>
            </w:r>
            <w:r>
              <w:rPr>
                <w:sz w:val="22"/>
              </w:rPr>
              <w:t>(Unused Item)</w:t>
            </w:r>
          </w:p>
        </w:tc>
        <w:tc>
          <w:tcPr>
            <w:tcW w:w="8250" w:type="dxa"/>
          </w:tcPr>
          <w:p>
            <w:pPr>
              <w:pStyle w:val="TableParagraph"/>
              <w:ind w:right="305"/>
              <w:rPr>
                <w:sz w:val="22"/>
              </w:rPr>
            </w:pPr>
            <w:r>
              <w:rPr>
                <w:sz w:val="22"/>
              </w:rPr>
              <w:t>Specifies a boolean value that indicates whether this is an unused item. The application marks an item as unused when an item is deleted from the data source. The item and associated metadata are retained in the cache until the threshold for unused items specified in </w:t>
            </w:r>
            <w:r>
              <w:rPr>
                <w:rFonts w:ascii="Cambria"/>
                <w:sz w:val="22"/>
              </w:rPr>
              <w:t>missingItemsLimit </w:t>
            </w:r>
            <w:r>
              <w:rPr>
                <w:sz w:val="22"/>
              </w:rPr>
              <w:t>is reached.</w:t>
            </w:r>
          </w:p>
          <w:p>
            <w:pPr>
              <w:pStyle w:val="TableParagraph"/>
              <w:spacing w:before="1"/>
              <w:ind w:left="0"/>
              <w:rPr>
                <w:sz w:val="22"/>
              </w:rPr>
            </w:pPr>
          </w:p>
          <w:p>
            <w:pPr>
              <w:pStyle w:val="TableParagraph"/>
              <w:spacing w:line="477" w:lineRule="auto" w:before="0"/>
              <w:ind w:right="342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this is an unused item.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this item is used.</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v </w:t>
            </w:r>
            <w:r>
              <w:rPr>
                <w:sz w:val="22"/>
              </w:rPr>
              <w:t>(Value)</w:t>
            </w:r>
          </w:p>
        </w:tc>
        <w:tc>
          <w:tcPr>
            <w:tcW w:w="8250" w:type="dxa"/>
          </w:tcPr>
          <w:p>
            <w:pPr>
              <w:pStyle w:val="TableParagraph"/>
              <w:rPr>
                <w:sz w:val="22"/>
              </w:rPr>
            </w:pPr>
            <w:r>
              <w:rPr>
                <w:sz w:val="22"/>
              </w:rPr>
              <w:t>Specifies the value of the item.</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dateTime</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6" w:lineRule="auto"/>
        <w:ind w:left="220" w:right="618"/>
      </w:pPr>
      <w:r>
        <w:rPr/>
        <w:t>[</w:t>
      </w:r>
      <w:r>
        <w:rPr>
          <w:i/>
        </w:rPr>
        <w:t>Note</w:t>
      </w:r>
      <w:r>
        <w:rPr/>
        <w:t>: The W3C XML Schema definition of this element’s content model (</w:t>
      </w:r>
      <w:r>
        <w:rPr>
          <w:color w:val="5F5F5F"/>
          <w:u w:val="single" w:color="5F5F5F"/>
        </w:rPr>
        <w:t>CT_DateTime</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2 dataField (Data Field Item)" w:id="815"/>
      <w:bookmarkEnd w:id="815"/>
      <w:r>
        <w:rPr/>
      </w:r>
      <w:bookmarkStart w:name="_bookmark270" w:id="816"/>
      <w:bookmarkEnd w:id="816"/>
      <w:r>
        <w:rPr/>
      </w:r>
      <w:bookmarkStart w:name="_bookmark270" w:id="817"/>
      <w:bookmarkEnd w:id="817"/>
      <w:r>
        <w:rPr>
          <w:color w:val="4F81BC"/>
        </w:rPr>
        <w:t>d</w:t>
      </w:r>
      <w:r>
        <w:rPr>
          <w:color w:val="4F81BC"/>
        </w:rPr>
        <w:t>ataField (Data Field</w:t>
      </w:r>
      <w:r>
        <w:rPr>
          <w:color w:val="4F81BC"/>
          <w:spacing w:val="-4"/>
        </w:rPr>
        <w:t> </w:t>
      </w:r>
      <w:r>
        <w:rPr>
          <w:color w:val="4F81BC"/>
        </w:rPr>
        <w:t>Item)</w:t>
      </w:r>
    </w:p>
    <w:p>
      <w:pPr>
        <w:pStyle w:val="BodyText"/>
        <w:spacing w:before="124"/>
        <w:ind w:left="220"/>
      </w:pPr>
      <w:r>
        <w:rPr/>
        <w:t>Represents a field from a source list, table, or database that contains data that is summarized in a PivotTable.</w:t>
      </w:r>
    </w:p>
    <w:p>
      <w:pPr>
        <w:spacing w:after="0"/>
        <w:sectPr>
          <w:pgSz w:w="12240" w:h="15840"/>
          <w:pgMar w:header="761" w:footer="746" w:top="1340" w:bottom="940" w:left="860" w:right="700"/>
        </w:sectPr>
      </w:pPr>
    </w:p>
    <w:p>
      <w:pPr>
        <w:pStyle w:val="BodyText"/>
        <w:spacing w:before="4"/>
        <w:rPr>
          <w:sz w:val="12"/>
        </w:rPr>
      </w:pPr>
    </w:p>
    <w:p>
      <w:pPr>
        <w:pStyle w:val="BodyText"/>
        <w:ind w:left="220"/>
        <w:rPr>
          <w:sz w:val="20"/>
        </w:rPr>
      </w:pPr>
      <w:r>
        <w:rPr>
          <w:sz w:val="20"/>
        </w:rPr>
        <w:drawing>
          <wp:inline distT="0" distB="0" distL="0" distR="0">
            <wp:extent cx="1715307" cy="809625"/>
            <wp:effectExtent l="0" t="0" r="0" b="0"/>
            <wp:docPr id="63" name="image32.png"/>
            <wp:cNvGraphicFramePr>
              <a:graphicFrameLocks noChangeAspect="1"/>
            </wp:cNvGraphicFramePr>
            <a:graphic>
              <a:graphicData uri="http://schemas.openxmlformats.org/drawingml/2006/picture">
                <pic:pic>
                  <pic:nvPicPr>
                    <pic:cNvPr id="64" name="image32.png"/>
                    <pic:cNvPicPr/>
                  </pic:nvPicPr>
                  <pic:blipFill>
                    <a:blip r:embed="rId114" cstate="print"/>
                    <a:stretch>
                      <a:fillRect/>
                    </a:stretch>
                  </pic:blipFill>
                  <pic:spPr>
                    <a:xfrm>
                      <a:off x="0" y="0"/>
                      <a:ext cx="1715307" cy="809625"/>
                    </a:xfrm>
                    <a:prstGeom prst="rect">
                      <a:avLst/>
                    </a:prstGeom>
                  </pic:spPr>
                </pic:pic>
              </a:graphicData>
            </a:graphic>
          </wp:inline>
        </w:drawing>
      </w:r>
      <w:r>
        <w:rPr>
          <w:sz w:val="20"/>
        </w:rPr>
      </w:r>
    </w:p>
    <w:p>
      <w:pPr>
        <w:pStyle w:val="BodyText"/>
        <w:spacing w:before="9"/>
        <w:rPr>
          <w:sz w:val="14"/>
        </w:rPr>
      </w:pPr>
    </w:p>
    <w:p>
      <w:pPr>
        <w:pStyle w:val="BodyText"/>
        <w:spacing w:line="278" w:lineRule="auto" w:before="57"/>
        <w:ind w:left="220" w:right="365"/>
      </w:pPr>
      <w:r>
        <w:rPr/>
        <w:t>A data field represents data that is derived from a field in the source list or database. [</w:t>
      </w:r>
      <w:r>
        <w:rPr>
          <w:i/>
        </w:rPr>
        <w:t>Example</w:t>
      </w:r>
      <w:r>
        <w:rPr/>
        <w:t>: The Sport field, for example, might come from a column in the source list that is labeled Sport and contains the names of various sports (Golf, Tennis) for which the source list has sales figures. </w:t>
      </w:r>
      <w:r>
        <w:rPr>
          <w:i/>
        </w:rPr>
        <w:t>end example</w:t>
      </w:r>
      <w:r>
        <w:rPr/>
        <w:t>]</w:t>
      </w:r>
    </w:p>
    <w:p>
      <w:pPr>
        <w:pStyle w:val="BodyText"/>
        <w:spacing w:line="276" w:lineRule="auto" w:before="193"/>
        <w:ind w:left="220" w:right="412"/>
      </w:pPr>
      <w:r>
        <w:rPr/>
        <w:t>Source data can be taken from an SpreadsheetML list or range, an external database or cube, or another PivotTable. Data fields use summary functions to combine values from the underlying source data. You can also use custom calculations to compare data values, or add your own formulas that use elements of the report or other worksheet data.</w:t>
      </w:r>
    </w:p>
    <w:p>
      <w:pPr>
        <w:pStyle w:val="BodyText"/>
        <w:spacing w:before="7"/>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19"/>
        </w:rPr>
      </w:pPr>
    </w:p>
    <w:p>
      <w:pPr>
        <w:pStyle w:val="BodyText"/>
        <w:ind w:left="508"/>
        <w:rPr>
          <w:rFonts w:ascii="Consolas"/>
        </w:rPr>
      </w:pPr>
      <w:r>
        <w:rPr>
          <w:rFonts w:ascii="Consolas"/>
        </w:rPr>
        <w:t>&lt;dataFields count="1"&gt;</w:t>
      </w:r>
    </w:p>
    <w:p>
      <w:pPr>
        <w:pStyle w:val="BodyText"/>
        <w:spacing w:before="37"/>
        <w:ind w:left="750"/>
        <w:rPr>
          <w:rFonts w:ascii="Consolas"/>
        </w:rPr>
      </w:pPr>
      <w:r>
        <w:rPr>
          <w:rFonts w:ascii="Consolas"/>
        </w:rPr>
        <w:t>&lt;dataField name="Sum of Sales Amount" fld="25" baseField="0" baseItem="0"/&gt;</w:t>
      </w:r>
    </w:p>
    <w:p>
      <w:pPr>
        <w:pStyle w:val="BodyText"/>
        <w:spacing w:before="40"/>
        <w:ind w:left="508"/>
        <w:rPr>
          <w:rFonts w:ascii="Consolas"/>
        </w:rPr>
      </w:pPr>
      <w:r>
        <w:rPr>
          <w:rFonts w:ascii="Consolas"/>
        </w:rPr>
        <w:t>&lt;/dataFields&gt;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right="171"/>
              <w:rPr>
                <w:sz w:val="22"/>
              </w:rPr>
            </w:pPr>
            <w:r>
              <w:rPr>
                <w:rFonts w:ascii="Cambria"/>
                <w:sz w:val="22"/>
              </w:rPr>
              <w:t>baseField </w:t>
            </w:r>
            <w:r>
              <w:rPr>
                <w:sz w:val="22"/>
              </w:rPr>
              <w:t>('Show Data As' Base Field)</w:t>
            </w:r>
          </w:p>
        </w:tc>
        <w:tc>
          <w:tcPr>
            <w:tcW w:w="8250" w:type="dxa"/>
          </w:tcPr>
          <w:p>
            <w:pPr>
              <w:pStyle w:val="TableParagraph"/>
              <w:rPr>
                <w:sz w:val="22"/>
              </w:rPr>
            </w:pPr>
            <w:r>
              <w:rPr>
                <w:sz w:val="22"/>
              </w:rPr>
              <w:t>Specifies the index to the base field when the </w:t>
            </w:r>
            <w:r>
              <w:rPr>
                <w:rFonts w:ascii="Consolas"/>
                <w:sz w:val="20"/>
              </w:rPr>
              <w:t>ShowDataAs</w:t>
            </w:r>
            <w:r>
              <w:rPr>
                <w:rFonts w:ascii="Consolas"/>
                <w:spacing w:val="-69"/>
                <w:sz w:val="20"/>
              </w:rPr>
              <w:t> </w:t>
            </w:r>
            <w:r>
              <w:rPr>
                <w:sz w:val="22"/>
              </w:rPr>
              <w:t>calculation is in use.</w:t>
            </w:r>
          </w:p>
          <w:p>
            <w:pPr>
              <w:pStyle w:val="TableParagraph"/>
              <w:spacing w:before="0"/>
              <w:ind w:left="0"/>
              <w:rPr>
                <w:sz w:val="22"/>
              </w:rPr>
            </w:pPr>
          </w:p>
          <w:p>
            <w:pPr>
              <w:pStyle w:val="TableParagraph"/>
              <w:spacing w:before="1"/>
              <w:rPr>
                <w:sz w:val="22"/>
              </w:rPr>
            </w:pPr>
            <w:r>
              <w:rPr>
                <w:sz w:val="22"/>
              </w:rPr>
              <w:t>The possible values for this attribute are defined by the W3C XML Schema </w:t>
            </w:r>
            <w:r>
              <w:rPr>
                <w:rFonts w:ascii="Cambria"/>
                <w:sz w:val="22"/>
              </w:rPr>
              <w:t>int </w:t>
            </w:r>
            <w:r>
              <w:rPr>
                <w:sz w:val="22"/>
              </w:rPr>
              <w:t>datatype.</w:t>
            </w:r>
          </w:p>
        </w:tc>
      </w:tr>
      <w:tr>
        <w:trPr>
          <w:trHeight w:val="1161" w:hRule="atLeast"/>
        </w:trPr>
        <w:tc>
          <w:tcPr>
            <w:tcW w:w="2062" w:type="dxa"/>
          </w:tcPr>
          <w:p>
            <w:pPr>
              <w:pStyle w:val="TableParagraph"/>
              <w:ind w:right="397"/>
              <w:rPr>
                <w:sz w:val="22"/>
              </w:rPr>
            </w:pPr>
            <w:r>
              <w:rPr>
                <w:rFonts w:ascii="Cambria"/>
                <w:sz w:val="22"/>
              </w:rPr>
              <w:t>baseItem </w:t>
            </w:r>
            <w:r>
              <w:rPr>
                <w:sz w:val="22"/>
              </w:rPr>
              <w:t>('Show Data As' Base Setting)</w:t>
            </w:r>
          </w:p>
        </w:tc>
        <w:tc>
          <w:tcPr>
            <w:tcW w:w="8250" w:type="dxa"/>
          </w:tcPr>
          <w:p>
            <w:pPr>
              <w:pStyle w:val="TableParagraph"/>
              <w:rPr>
                <w:sz w:val="22"/>
              </w:rPr>
            </w:pPr>
            <w:r>
              <w:rPr>
                <w:sz w:val="22"/>
              </w:rPr>
              <w:t>Specifies the index to the base item when the </w:t>
            </w:r>
            <w:r>
              <w:rPr>
                <w:rFonts w:ascii="Consolas"/>
                <w:sz w:val="20"/>
              </w:rPr>
              <w:t>ShowDataAs</w:t>
            </w:r>
            <w:r>
              <w:rPr>
                <w:rFonts w:ascii="Consolas"/>
                <w:spacing w:val="-68"/>
                <w:sz w:val="20"/>
              </w:rPr>
              <w:t> </w:t>
            </w:r>
            <w:r>
              <w:rPr>
                <w:sz w:val="22"/>
              </w:rPr>
              <w:t>calculation is in use.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fld </w:t>
            </w:r>
            <w:r>
              <w:rPr>
                <w:sz w:val="22"/>
              </w:rPr>
              <w:t>(Field)</w:t>
            </w:r>
          </w:p>
        </w:tc>
        <w:tc>
          <w:tcPr>
            <w:tcW w:w="8250" w:type="dxa"/>
          </w:tcPr>
          <w:p>
            <w:pPr>
              <w:pStyle w:val="TableParagraph"/>
              <w:ind w:right="383"/>
              <w:rPr>
                <w:sz w:val="22"/>
              </w:rPr>
            </w:pPr>
            <w:r>
              <w:rPr>
                <w:sz w:val="22"/>
              </w:rPr>
              <w:t>Specifies the index to the field (&lt;r&gt;) in the </w:t>
            </w:r>
            <w:r>
              <w:rPr>
                <w:rFonts w:ascii="Cambria"/>
                <w:sz w:val="22"/>
              </w:rPr>
              <w:t>pivotCacheRecords </w:t>
            </w:r>
            <w:r>
              <w:rPr>
                <w:sz w:val="22"/>
              </w:rPr>
              <w:t>part that this data item summarizes.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384"/>
              <w:rPr>
                <w:sz w:val="22"/>
              </w:rPr>
            </w:pPr>
            <w:r>
              <w:rPr>
                <w:rFonts w:ascii="Cambria"/>
                <w:sz w:val="22"/>
              </w:rPr>
              <w:t>name </w:t>
            </w:r>
            <w:r>
              <w:rPr>
                <w:sz w:val="22"/>
              </w:rPr>
              <w:t>(Data Field Name)</w:t>
            </w:r>
          </w:p>
        </w:tc>
        <w:tc>
          <w:tcPr>
            <w:tcW w:w="8250" w:type="dxa"/>
          </w:tcPr>
          <w:p>
            <w:pPr>
              <w:pStyle w:val="TableParagraph"/>
              <w:rPr>
                <w:sz w:val="22"/>
              </w:rPr>
            </w:pPr>
            <w:r>
              <w:rPr>
                <w:sz w:val="22"/>
              </w:rPr>
              <w:t>Specifies the name of the data field.</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spacing w:line="256" w:lineRule="exact" w:before="42"/>
              <w:rPr>
                <w:rFonts w:ascii="Cambria"/>
                <w:sz w:val="22"/>
              </w:rPr>
            </w:pPr>
            <w:r>
              <w:rPr>
                <w:rFonts w:ascii="Cambria"/>
                <w:sz w:val="22"/>
              </w:rPr>
              <w:t>numFmtId</w:t>
            </w:r>
          </w:p>
          <w:p>
            <w:pPr>
              <w:pStyle w:val="TableParagraph"/>
              <w:spacing w:line="267" w:lineRule="exact" w:before="0"/>
              <w:rPr>
                <w:sz w:val="22"/>
              </w:rPr>
            </w:pPr>
            <w:r>
              <w:rPr>
                <w:sz w:val="22"/>
              </w:rPr>
              <w:t>(Number Format Id)</w:t>
            </w:r>
          </w:p>
        </w:tc>
        <w:tc>
          <w:tcPr>
            <w:tcW w:w="8250" w:type="dxa"/>
          </w:tcPr>
          <w:p>
            <w:pPr>
              <w:pStyle w:val="TableParagraph"/>
              <w:ind w:right="240"/>
              <w:jc w:val="both"/>
              <w:rPr>
                <w:sz w:val="22"/>
              </w:rPr>
            </w:pPr>
            <w:r>
              <w:rPr>
                <w:sz w:val="22"/>
              </w:rPr>
              <w:t>Specifies the index to the number format applied to this data field. Number formats are written to the styles part. See the Styles section(§</w:t>
            </w:r>
            <w:hyperlink w:history="true" w:anchor="_bookmark183">
              <w:r>
                <w:rPr>
                  <w:sz w:val="22"/>
                </w:rPr>
                <w:t>18.8</w:t>
              </w:r>
            </w:hyperlink>
            <w:r>
              <w:rPr>
                <w:sz w:val="22"/>
              </w:rPr>
              <w:t>) for more information on number formats.</w:t>
            </w:r>
          </w:p>
          <w:p>
            <w:pPr>
              <w:pStyle w:val="TableParagraph"/>
              <w:spacing w:before="10"/>
              <w:ind w:left="0"/>
              <w:rPr>
                <w:sz w:val="21"/>
              </w:rPr>
            </w:pPr>
          </w:p>
          <w:p>
            <w:pPr>
              <w:pStyle w:val="TableParagraph"/>
              <w:spacing w:before="0"/>
              <w:jc w:val="both"/>
              <w:rPr>
                <w:sz w:val="22"/>
              </w:rPr>
            </w:pPr>
            <w:r>
              <w:rPr>
                <w:sz w:val="22"/>
              </w:rPr>
              <w:t>Formatting information provided by cell table and by PivotTable need not agree. If the</w:t>
            </w:r>
          </w:p>
        </w:tc>
      </w:tr>
    </w:tbl>
    <w:p>
      <w:pPr>
        <w:spacing w:after="0"/>
        <w:jc w:val="both"/>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ind w:right="338"/>
              <w:rPr>
                <w:sz w:val="22"/>
              </w:rPr>
            </w:pPr>
            <w:r>
              <w:rPr>
                <w:sz w:val="22"/>
              </w:rPr>
              <w:t>two formats differ, the cell-level formatting takes precedence. If you change the layout the PivotTable, the PivotTable formatting will then take precedence.</w:t>
            </w:r>
          </w:p>
          <w:p>
            <w:pPr>
              <w:pStyle w:val="TableParagraph"/>
              <w:spacing w:before="0"/>
              <w:ind w:left="0"/>
              <w:rPr>
                <w:sz w:val="22"/>
              </w:rPr>
            </w:pPr>
          </w:p>
          <w:p>
            <w:pPr>
              <w:pStyle w:val="TableParagraph"/>
              <w:spacing w:before="0"/>
              <w:ind w:right="682"/>
              <w:rPr>
                <w:sz w:val="22"/>
              </w:rPr>
            </w:pPr>
            <w:r>
              <w:rPr>
                <w:sz w:val="22"/>
              </w:rPr>
              <w:t>The possible values for this attribute are defined by the </w:t>
            </w:r>
            <w:r>
              <w:rPr>
                <w:rFonts w:ascii="Cambria" w:hAnsi="Cambria"/>
                <w:sz w:val="22"/>
              </w:rPr>
              <w:t>ST_NumFmtId </w:t>
            </w:r>
            <w:r>
              <w:rPr>
                <w:sz w:val="22"/>
              </w:rPr>
              <w:t>simple type </w:t>
            </w:r>
            <w:hyperlink w:history="true" w:anchor="_bookmark869">
              <w:r>
                <w:rPr>
                  <w:sz w:val="22"/>
                </w:rPr>
                <w:t>(§18.18.47</w:t>
              </w:r>
            </w:hyperlink>
            <w:r>
              <w:rPr>
                <w:sz w:val="22"/>
              </w:rPr>
              <w:t>).</w:t>
            </w:r>
          </w:p>
        </w:tc>
      </w:tr>
      <w:tr>
        <w:trPr>
          <w:trHeight w:val="2237" w:hRule="atLeast"/>
        </w:trPr>
        <w:tc>
          <w:tcPr>
            <w:tcW w:w="2062" w:type="dxa"/>
          </w:tcPr>
          <w:p>
            <w:pPr>
              <w:pStyle w:val="TableParagraph"/>
              <w:ind w:right="142"/>
              <w:rPr>
                <w:sz w:val="22"/>
              </w:rPr>
            </w:pPr>
            <w:r>
              <w:rPr>
                <w:rFonts w:ascii="Cambria"/>
                <w:sz w:val="22"/>
              </w:rPr>
              <w:t>showDataAs </w:t>
            </w:r>
            <w:r>
              <w:rPr>
                <w:sz w:val="22"/>
              </w:rPr>
              <w:t>(Show Data As Display Format)</w:t>
            </w:r>
          </w:p>
        </w:tc>
        <w:tc>
          <w:tcPr>
            <w:tcW w:w="8250" w:type="dxa"/>
          </w:tcPr>
          <w:p>
            <w:pPr>
              <w:pStyle w:val="TableParagraph"/>
              <w:rPr>
                <w:sz w:val="22"/>
              </w:rPr>
            </w:pPr>
            <w:r>
              <w:rPr>
                <w:sz w:val="22"/>
              </w:rPr>
              <w:t>Specifies the display format for this data field.</w:t>
            </w:r>
          </w:p>
          <w:p>
            <w:pPr>
              <w:pStyle w:val="TableParagraph"/>
              <w:spacing w:before="0"/>
              <w:ind w:left="0"/>
              <w:rPr>
                <w:sz w:val="22"/>
              </w:rPr>
            </w:pPr>
          </w:p>
          <w:p>
            <w:pPr>
              <w:pStyle w:val="TableParagraph"/>
              <w:spacing w:before="0"/>
              <w:ind w:right="106"/>
              <w:rPr>
                <w:sz w:val="22"/>
              </w:rPr>
            </w:pPr>
            <w:r>
              <w:rPr>
                <w:sz w:val="22"/>
              </w:rPr>
              <w:t>Formatting information provided by cell table and by PivotTable need not agree. If the two formats differ, the cell-level formatting takes precedence. If you change the layout the PivotTable, the PivotTable formatting will then take precedence.</w:t>
            </w:r>
          </w:p>
          <w:p>
            <w:pPr>
              <w:pStyle w:val="TableParagraph"/>
              <w:spacing w:before="1"/>
              <w:ind w:left="0"/>
              <w:rPr>
                <w:sz w:val="22"/>
              </w:rPr>
            </w:pPr>
          </w:p>
          <w:p>
            <w:pPr>
              <w:pStyle w:val="TableParagraph"/>
              <w:spacing w:before="0"/>
              <w:ind w:right="521"/>
              <w:rPr>
                <w:sz w:val="22"/>
              </w:rPr>
            </w:pPr>
            <w:r>
              <w:rPr>
                <w:sz w:val="22"/>
              </w:rPr>
              <w:t>The possible values for this attribute are defined by the </w:t>
            </w:r>
            <w:r>
              <w:rPr>
                <w:rFonts w:ascii="Cambria" w:hAnsi="Cambria"/>
                <w:sz w:val="22"/>
              </w:rPr>
              <w:t>ST_ShowDataAs </w:t>
            </w:r>
            <w:r>
              <w:rPr>
                <w:sz w:val="22"/>
              </w:rPr>
              <w:t>simple type </w:t>
            </w:r>
            <w:hyperlink w:history="true" w:anchor="_bookmark892">
              <w:r>
                <w:rPr>
                  <w:sz w:val="22"/>
                </w:rPr>
                <w:t>(§18.18.70</w:t>
              </w:r>
            </w:hyperlink>
            <w:r>
              <w:rPr>
                <w:sz w:val="22"/>
              </w:rPr>
              <w:t>).</w:t>
            </w:r>
          </w:p>
        </w:tc>
      </w:tr>
      <w:tr>
        <w:trPr>
          <w:trHeight w:val="1158" w:hRule="atLeast"/>
        </w:trPr>
        <w:tc>
          <w:tcPr>
            <w:tcW w:w="2062" w:type="dxa"/>
          </w:tcPr>
          <w:p>
            <w:pPr>
              <w:pStyle w:val="TableParagraph"/>
              <w:ind w:left="16" w:right="129"/>
              <w:jc w:val="center"/>
              <w:rPr>
                <w:sz w:val="22"/>
              </w:rPr>
            </w:pPr>
            <w:r>
              <w:rPr>
                <w:rFonts w:ascii="Cambria"/>
                <w:sz w:val="22"/>
              </w:rPr>
              <w:t>subtotal </w:t>
            </w:r>
            <w:r>
              <w:rPr>
                <w:sz w:val="22"/>
              </w:rPr>
              <w:t>(Subtotal)</w:t>
            </w:r>
          </w:p>
        </w:tc>
        <w:tc>
          <w:tcPr>
            <w:tcW w:w="8250" w:type="dxa"/>
          </w:tcPr>
          <w:p>
            <w:pPr>
              <w:pStyle w:val="TableParagraph"/>
              <w:rPr>
                <w:sz w:val="22"/>
              </w:rPr>
            </w:pPr>
            <w:r>
              <w:rPr>
                <w:sz w:val="22"/>
              </w:rPr>
              <w:t>Specifies the aggregation function that applies to this data field.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t>
            </w:r>
            <w:r>
              <w:rPr>
                <w:rFonts w:ascii="Cambria"/>
                <w:sz w:val="22"/>
              </w:rPr>
              <w:t>ST_DataConsolidateFunction</w:t>
            </w:r>
          </w:p>
          <w:p>
            <w:pPr>
              <w:pStyle w:val="TableParagraph"/>
              <w:spacing w:before="0"/>
              <w:rPr>
                <w:sz w:val="22"/>
              </w:rPr>
            </w:pPr>
            <w:r>
              <w:rPr>
                <w:sz w:val="22"/>
              </w:rPr>
              <w:t>simple type (§</w:t>
            </w:r>
            <w:hyperlink w:history="true" w:anchor="_bookmark839">
              <w:r>
                <w:rPr>
                  <w:sz w:val="22"/>
                </w:rPr>
                <w:t>18.18.17</w:t>
              </w:r>
            </w:hyperlink>
            <w:r>
              <w:rPr>
                <w:sz w:val="22"/>
              </w:rPr>
              <w:t>).</w:t>
            </w:r>
          </w:p>
        </w:tc>
      </w:tr>
    </w:tbl>
    <w:p>
      <w:pPr>
        <w:pStyle w:val="BodyText"/>
        <w:rPr>
          <w:sz w:val="20"/>
        </w:rPr>
      </w:pPr>
    </w:p>
    <w:p>
      <w:pPr>
        <w:pStyle w:val="BodyText"/>
        <w:spacing w:before="10"/>
        <w:rPr>
          <w:sz w:val="16"/>
        </w:rPr>
      </w:pPr>
    </w:p>
    <w:p>
      <w:pPr>
        <w:pStyle w:val="BodyText"/>
        <w:spacing w:line="278" w:lineRule="auto" w:before="56"/>
        <w:ind w:left="220" w:right="638"/>
      </w:pPr>
      <w:r>
        <w:rPr/>
        <w:t>[</w:t>
      </w:r>
      <w:r>
        <w:rPr>
          <w:i/>
        </w:rPr>
        <w:t>Note</w:t>
      </w:r>
      <w:r>
        <w:rPr/>
        <w:t>: The W3C XML Schema definition of this element’s content model (</w:t>
      </w:r>
      <w:r>
        <w:rPr>
          <w:color w:val="5F5F5F"/>
          <w:u w:val="single" w:color="5F5F5F"/>
        </w:rPr>
        <w:t>CT_DataField</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3 dataFields (Data Fields)" w:id="818"/>
      <w:bookmarkEnd w:id="818"/>
      <w:r>
        <w:rPr/>
      </w:r>
      <w:bookmarkStart w:name="_bookmark271" w:id="819"/>
      <w:bookmarkEnd w:id="819"/>
      <w:r>
        <w:rPr/>
      </w:r>
      <w:bookmarkStart w:name="_bookmark271" w:id="820"/>
      <w:bookmarkEnd w:id="820"/>
      <w:r>
        <w:rPr>
          <w:color w:val="4F81BC"/>
        </w:rPr>
        <w:t>d</w:t>
      </w:r>
      <w:r>
        <w:rPr>
          <w:color w:val="4F81BC"/>
        </w:rPr>
        <w:t>ataFields (Data Fields)</w:t>
      </w:r>
    </w:p>
    <w:p>
      <w:pPr>
        <w:pStyle w:val="BodyText"/>
        <w:spacing w:line="456" w:lineRule="auto" w:before="121"/>
        <w:ind w:left="220" w:right="4130"/>
      </w:pPr>
      <w:r>
        <w:rPr/>
        <w:t>Represents the collection of items in the data region of the PivotTable. [</w:t>
      </w:r>
      <w:r>
        <w:rPr>
          <w:i/>
        </w:rPr>
        <w:t>Example</w:t>
      </w:r>
      <w:r>
        <w:rPr/>
        <w:t>:</w:t>
      </w:r>
    </w:p>
    <w:p>
      <w:pPr>
        <w:pStyle w:val="BodyText"/>
        <w:spacing w:line="255" w:lineRule="exact"/>
        <w:ind w:left="508"/>
        <w:rPr>
          <w:rFonts w:ascii="Consolas"/>
        </w:rPr>
      </w:pPr>
      <w:r>
        <w:rPr>
          <w:rFonts w:ascii="Consolas"/>
        </w:rPr>
        <w:t>&lt;dataFields count="1"&gt;</w:t>
      </w:r>
    </w:p>
    <w:p>
      <w:pPr>
        <w:pStyle w:val="BodyText"/>
        <w:spacing w:before="40"/>
        <w:ind w:left="750"/>
        <w:rPr>
          <w:rFonts w:ascii="Consolas"/>
        </w:rPr>
      </w:pPr>
      <w:r>
        <w:rPr>
          <w:rFonts w:ascii="Consolas"/>
        </w:rPr>
        <w:t>&lt;dataField name="Sum of Sales Amount" fld="25" baseField="0" baseItem="0"/&gt;</w:t>
      </w:r>
    </w:p>
    <w:p>
      <w:pPr>
        <w:pStyle w:val="BodyText"/>
        <w:spacing w:before="38"/>
        <w:ind w:left="508"/>
        <w:rPr>
          <w:rFonts w:ascii="Consolas"/>
        </w:rPr>
      </w:pPr>
      <w:r>
        <w:rPr>
          <w:rFonts w:ascii="Consolas"/>
        </w:rPr>
        <w:t>&lt;/dataFields&gt;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99"/>
              <w:rPr>
                <w:sz w:val="22"/>
              </w:rPr>
            </w:pPr>
            <w:r>
              <w:rPr>
                <w:rFonts w:ascii="Cambria"/>
                <w:sz w:val="22"/>
              </w:rPr>
              <w:t>count </w:t>
            </w:r>
            <w:r>
              <w:rPr>
                <w:sz w:val="22"/>
              </w:rPr>
              <w:t>(Data Items Count)</w:t>
            </w:r>
          </w:p>
        </w:tc>
        <w:tc>
          <w:tcPr>
            <w:tcW w:w="8250" w:type="dxa"/>
          </w:tcPr>
          <w:p>
            <w:pPr>
              <w:pStyle w:val="TableParagraph"/>
              <w:rPr>
                <w:sz w:val="22"/>
              </w:rPr>
            </w:pPr>
            <w:r>
              <w:rPr>
                <w:sz w:val="22"/>
              </w:rPr>
              <w:t>Specifies the number of items in the data region of the PivotTable.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6" w:lineRule="auto"/>
        <w:ind w:left="220" w:right="552"/>
      </w:pPr>
      <w:r>
        <w:rPr/>
        <w:t>[</w:t>
      </w:r>
      <w:r>
        <w:rPr>
          <w:i/>
        </w:rPr>
        <w:t>Note</w:t>
      </w:r>
      <w:r>
        <w:rPr/>
        <w:t>: The W3C XML Schema definition of this element’s content model (</w:t>
      </w:r>
      <w:r>
        <w:rPr>
          <w:color w:val="5F5F5F"/>
          <w:u w:val="single" w:color="5F5F5F"/>
        </w:rPr>
        <w:t>CT_DataFields</w:t>
      </w:r>
      <w:r>
        <w:rPr/>
        <w:t>) is located in §A.2. </w:t>
      </w:r>
      <w:r>
        <w:rPr>
          <w:i/>
        </w:rPr>
        <w:t>end </w:t>
      </w:r>
      <w:r>
        <w:rPr>
          <w:i/>
        </w:rPr>
        <w:t>note</w:t>
      </w:r>
      <w:r>
        <w:rPr/>
        <w:t>]</w:t>
      </w:r>
    </w:p>
    <w:p>
      <w:pPr>
        <w:spacing w:after="0" w:line="276" w:lineRule="auto"/>
        <w:sectPr>
          <w:pgSz w:w="12240" w:h="15840"/>
          <w:pgMar w:header="761" w:footer="746" w:top="1340" w:bottom="940" w:left="860" w:right="700"/>
        </w:sectPr>
      </w:pPr>
    </w:p>
    <w:p>
      <w:pPr>
        <w:pStyle w:val="Heading3"/>
        <w:numPr>
          <w:ilvl w:val="3"/>
          <w:numId w:val="42"/>
        </w:numPr>
        <w:tabs>
          <w:tab w:pos="1732" w:val="left" w:leader="none"/>
          <w:tab w:pos="1733" w:val="left" w:leader="none"/>
        </w:tabs>
        <w:spacing w:line="240" w:lineRule="auto" w:before="151" w:after="0"/>
        <w:ind w:left="1732" w:right="0" w:hanging="1513"/>
        <w:jc w:val="left"/>
      </w:pPr>
      <w:bookmarkStart w:name="18.10.1.24 dimension (OLAP Dimension)" w:id="821"/>
      <w:bookmarkEnd w:id="821"/>
      <w:r>
        <w:rPr/>
      </w:r>
      <w:bookmarkStart w:name="_bookmark272" w:id="822"/>
      <w:bookmarkEnd w:id="822"/>
      <w:r>
        <w:rPr/>
      </w:r>
      <w:bookmarkStart w:name="_bookmark272" w:id="823"/>
      <w:bookmarkEnd w:id="823"/>
      <w:r>
        <w:rPr>
          <w:color w:val="4F81BC"/>
        </w:rPr>
        <w:t>d</w:t>
      </w:r>
      <w:r>
        <w:rPr>
          <w:color w:val="4F81BC"/>
        </w:rPr>
        <w:t>imension (OLAP</w:t>
      </w:r>
      <w:r>
        <w:rPr>
          <w:color w:val="4F81BC"/>
          <w:spacing w:val="-1"/>
        </w:rPr>
        <w:t> </w:t>
      </w:r>
      <w:r>
        <w:rPr>
          <w:color w:val="4F81BC"/>
        </w:rPr>
        <w:t>Dimension)</w:t>
      </w:r>
    </w:p>
    <w:p>
      <w:pPr>
        <w:pStyle w:val="BodyText"/>
        <w:spacing w:line="276" w:lineRule="auto" w:before="119"/>
        <w:ind w:left="220" w:right="452"/>
      </w:pPr>
      <w:r>
        <w:rPr/>
        <w:t>Represents a PivotTable OLAP Dimension. A dimension is a field that organizes a single type of data into a hierarchy with levels of detail. [</w:t>
      </w:r>
      <w:r>
        <w:rPr>
          <w:i/>
        </w:rPr>
        <w:t>Example</w:t>
      </w:r>
      <w:r>
        <w:rPr/>
        <w:t>: An OLAP database could contain a Time dimension providing data for levels Year, Month, Week, and Day, allowing you to create reports that let you compare day-to-day sales results or view a summary of your sales for an entire year. </w:t>
      </w:r>
      <w:r>
        <w:rPr>
          <w:i/>
        </w:rPr>
        <w:t>end example</w:t>
      </w:r>
      <w:r>
        <w:rPr/>
        <w:t>]</w:t>
      </w:r>
    </w:p>
    <w:p>
      <w:pPr>
        <w:pStyle w:val="BodyText"/>
        <w:spacing w:before="7"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45"/>
              <w:rPr>
                <w:sz w:val="22"/>
              </w:rPr>
            </w:pPr>
            <w:r>
              <w:rPr>
                <w:rFonts w:ascii="Cambria"/>
                <w:sz w:val="22"/>
              </w:rPr>
              <w:t>caption </w:t>
            </w:r>
            <w:r>
              <w:rPr>
                <w:sz w:val="22"/>
              </w:rPr>
              <w:t>(Dimension Display Name)</w:t>
            </w:r>
          </w:p>
        </w:tc>
        <w:tc>
          <w:tcPr>
            <w:tcW w:w="8250" w:type="dxa"/>
          </w:tcPr>
          <w:p>
            <w:pPr>
              <w:pStyle w:val="TableParagraph"/>
              <w:rPr>
                <w:sz w:val="22"/>
              </w:rPr>
            </w:pPr>
            <w:r>
              <w:rPr>
                <w:sz w:val="22"/>
              </w:rPr>
              <w:t>Specifies the display name of the dimension.</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ind w:left="96" w:right="127"/>
              <w:jc w:val="center"/>
              <w:rPr>
                <w:sz w:val="22"/>
              </w:rPr>
            </w:pPr>
            <w:r>
              <w:rPr>
                <w:rFonts w:ascii="Cambria"/>
                <w:sz w:val="22"/>
              </w:rPr>
              <w:t>measure </w:t>
            </w:r>
            <w:r>
              <w:rPr>
                <w:sz w:val="22"/>
              </w:rPr>
              <w:t>(Measure)</w:t>
            </w:r>
          </w:p>
        </w:tc>
        <w:tc>
          <w:tcPr>
            <w:tcW w:w="8250" w:type="dxa"/>
          </w:tcPr>
          <w:p>
            <w:pPr>
              <w:pStyle w:val="TableParagraph"/>
              <w:spacing w:line="480" w:lineRule="auto"/>
              <w:ind w:right="1198"/>
              <w:rPr>
                <w:sz w:val="22"/>
              </w:rPr>
            </w:pPr>
            <w:r>
              <w:rPr>
                <w:sz w:val="22"/>
              </w:rPr>
              <w:t>Specifies a boolean value that indicates whether this is a measure dimension.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dimension is a measure dimension.</w:t>
            </w:r>
          </w:p>
          <w:p>
            <w:pPr>
              <w:pStyle w:val="TableParagraph"/>
              <w:spacing w:line="268"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dimension is not a measure dimension.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ind w:right="326"/>
              <w:rPr>
                <w:sz w:val="22"/>
              </w:rPr>
            </w:pPr>
            <w:r>
              <w:rPr>
                <w:rFonts w:ascii="Cambria"/>
                <w:sz w:val="22"/>
              </w:rPr>
              <w:t>name </w:t>
            </w:r>
            <w:r>
              <w:rPr>
                <w:sz w:val="22"/>
              </w:rPr>
              <w:t>(Dimension Name)</w:t>
            </w:r>
          </w:p>
        </w:tc>
        <w:tc>
          <w:tcPr>
            <w:tcW w:w="8250" w:type="dxa"/>
          </w:tcPr>
          <w:p>
            <w:pPr>
              <w:pStyle w:val="TableParagraph"/>
              <w:rPr>
                <w:sz w:val="22"/>
              </w:rPr>
            </w:pPr>
            <w:r>
              <w:rPr>
                <w:sz w:val="22"/>
              </w:rPr>
              <w:t>Specifies the name of the dimension.</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before="42"/>
              <w:ind w:right="197"/>
              <w:rPr>
                <w:sz w:val="22"/>
              </w:rPr>
            </w:pPr>
            <w:r>
              <w:rPr>
                <w:rFonts w:ascii="Cambria"/>
                <w:sz w:val="22"/>
              </w:rPr>
              <w:t>uniqueName </w:t>
            </w:r>
            <w:r>
              <w:rPr>
                <w:sz w:val="22"/>
              </w:rPr>
              <w:t>(Dimension Unique Name)</w:t>
            </w:r>
          </w:p>
        </w:tc>
        <w:tc>
          <w:tcPr>
            <w:tcW w:w="8250" w:type="dxa"/>
          </w:tcPr>
          <w:p>
            <w:pPr>
              <w:pStyle w:val="TableParagraph"/>
              <w:rPr>
                <w:sz w:val="22"/>
              </w:rPr>
            </w:pPr>
            <w:r>
              <w:rPr>
                <w:sz w:val="22"/>
              </w:rPr>
              <w:t>Specifies the unique name of the dimension.</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CT_PivotDimension</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5 dimensions (OLAP Dimensions)" w:id="824"/>
      <w:bookmarkEnd w:id="824"/>
      <w:r>
        <w:rPr/>
      </w:r>
      <w:bookmarkStart w:name="_bookmark273" w:id="825"/>
      <w:bookmarkEnd w:id="825"/>
      <w:r>
        <w:rPr/>
      </w:r>
      <w:bookmarkStart w:name="_bookmark273" w:id="826"/>
      <w:bookmarkEnd w:id="826"/>
      <w:r>
        <w:rPr>
          <w:color w:val="4F81BC"/>
        </w:rPr>
        <w:t>d</w:t>
      </w:r>
      <w:r>
        <w:rPr>
          <w:color w:val="4F81BC"/>
        </w:rPr>
        <w:t>imensions (OLAP</w:t>
      </w:r>
      <w:r>
        <w:rPr>
          <w:color w:val="4F81BC"/>
          <w:spacing w:val="-1"/>
        </w:rPr>
        <w:t> </w:t>
      </w:r>
      <w:r>
        <w:rPr>
          <w:color w:val="4F81BC"/>
        </w:rPr>
        <w:t>Dimensions)</w:t>
      </w:r>
    </w:p>
    <w:p>
      <w:pPr>
        <w:pStyle w:val="BodyText"/>
        <w:spacing w:line="453" w:lineRule="auto" w:before="122"/>
        <w:ind w:left="220" w:right="4547"/>
      </w:pPr>
      <w:r>
        <w:rPr/>
        <w:t>Represents the collection of PivotTable OLAP dimensions. [</w:t>
      </w:r>
      <w:r>
        <w:rPr>
          <w:i/>
        </w:rPr>
        <w:t>Example</w:t>
      </w:r>
      <w:r>
        <w:rPr/>
        <w:t>:</w:t>
      </w:r>
    </w:p>
    <w:p>
      <w:pPr>
        <w:pStyle w:val="BodyText"/>
        <w:spacing w:before="2"/>
        <w:ind w:left="508"/>
        <w:rPr>
          <w:rFonts w:ascii="Consolas"/>
        </w:rPr>
      </w:pPr>
      <w:r>
        <w:rPr>
          <w:rFonts w:ascii="Consolas"/>
        </w:rPr>
        <w:t>&lt;dimensions count="22"&gt;</w:t>
      </w:r>
    </w:p>
    <w:p>
      <w:pPr>
        <w:pStyle w:val="BodyText"/>
        <w:spacing w:before="38"/>
        <w:ind w:left="750"/>
        <w:rPr>
          <w:rFonts w:ascii="Consolas"/>
        </w:rPr>
      </w:pPr>
      <w:r>
        <w:rPr>
          <w:rFonts w:ascii="Consolas"/>
        </w:rPr>
        <w:t>&lt;dimension name="Account" uniqueName="[Account]" caption="Account"/&gt;</w:t>
      </w:r>
    </w:p>
    <w:p>
      <w:pPr>
        <w:pStyle w:val="BodyText"/>
        <w:spacing w:before="40"/>
        <w:ind w:left="750"/>
        <w:rPr>
          <w:rFonts w:ascii="Consolas"/>
        </w:rPr>
      </w:pPr>
      <w:r>
        <w:rPr>
          <w:rFonts w:ascii="Consolas"/>
        </w:rPr>
        <w:t>&lt;dimension name="Customer" uniqueName="[Customer]" caption="Customer"/&gt;</w:t>
      </w:r>
    </w:p>
    <w:p>
      <w:pPr>
        <w:pStyle w:val="BodyText"/>
        <w:spacing w:before="38"/>
        <w:ind w:left="750"/>
        <w:rPr>
          <w:rFonts w:ascii="Consolas"/>
        </w:rPr>
      </w:pPr>
      <w:r>
        <w:rPr>
          <w:rFonts w:ascii="Consolas"/>
        </w:rPr>
        <w:t>&lt;dimension name="Date" uniqueName="[Date]" caption="Date"/&gt;</w:t>
      </w:r>
    </w:p>
    <w:p>
      <w:pPr>
        <w:pStyle w:val="BodyText"/>
        <w:spacing w:line="276" w:lineRule="auto" w:before="40"/>
        <w:ind w:left="993" w:right="718" w:hanging="243"/>
        <w:rPr>
          <w:rFonts w:ascii="Consolas"/>
        </w:rPr>
      </w:pPr>
      <w:r>
        <w:rPr>
          <w:rFonts w:ascii="Consolas"/>
        </w:rPr>
        <w:t>&lt;dimension name="Delivery Date" uniqueName="[Delivery Date]" caption="Delivery Date"/&gt;</w:t>
      </w:r>
    </w:p>
    <w:p>
      <w:pPr>
        <w:spacing w:after="0" w:line="276" w:lineRule="auto"/>
        <w:rPr>
          <w:rFonts w:ascii="Consolas"/>
        </w:rPr>
        <w:sectPr>
          <w:pgSz w:w="12240" w:h="15840"/>
          <w:pgMar w:header="763" w:footer="746" w:top="1340" w:bottom="940" w:left="860" w:right="700"/>
        </w:sectPr>
      </w:pPr>
    </w:p>
    <w:p>
      <w:pPr>
        <w:pStyle w:val="BodyText"/>
        <w:spacing w:before="93"/>
        <w:ind w:left="750"/>
        <w:rPr>
          <w:rFonts w:ascii="Consolas"/>
        </w:rPr>
      </w:pPr>
      <w:r>
        <w:rPr>
          <w:rFonts w:ascii="Consolas"/>
        </w:rPr>
        <w:t>&lt;dimension name="Department" uniqueName="[Department]" caption="Department"/&gt;</w:t>
      </w:r>
    </w:p>
    <w:p>
      <w:pPr>
        <w:pStyle w:val="BodyText"/>
        <w:spacing w:line="278" w:lineRule="auto" w:before="38"/>
        <w:ind w:left="993" w:right="959" w:hanging="243"/>
        <w:rPr>
          <w:rFonts w:ascii="Consolas"/>
        </w:rPr>
      </w:pPr>
      <w:r>
        <w:rPr>
          <w:rFonts w:ascii="Consolas"/>
        </w:rPr>
        <w:t>&lt;dimension name="Destination Currency" uniqueName="[Destination Currency]" caption="Destination Currency"/&gt;</w:t>
      </w:r>
    </w:p>
    <w:p>
      <w:pPr>
        <w:pStyle w:val="BodyText"/>
        <w:spacing w:line="253" w:lineRule="exact"/>
        <w:ind w:left="750"/>
        <w:rPr>
          <w:rFonts w:ascii="Consolas"/>
        </w:rPr>
      </w:pPr>
      <w:r>
        <w:rPr>
          <w:rFonts w:ascii="Consolas"/>
        </w:rPr>
        <w:t>&lt;dimension name="Employee" uniqueName="[Employee]" caption="Employee"/&gt;</w:t>
      </w:r>
    </w:p>
    <w:p>
      <w:pPr>
        <w:pStyle w:val="BodyText"/>
        <w:spacing w:before="40"/>
        <w:ind w:left="750"/>
        <w:rPr>
          <w:rFonts w:ascii="Consolas"/>
        </w:rPr>
      </w:pPr>
      <w:r>
        <w:rPr>
          <w:rFonts w:ascii="Consolas"/>
        </w:rPr>
        <w:t>&lt;dimension name="Geography" uniqueName="[Geography]" caption="Geography"/&gt;</w:t>
      </w:r>
    </w:p>
    <w:p>
      <w:pPr>
        <w:pStyle w:val="BodyText"/>
        <w:spacing w:line="278" w:lineRule="auto" w:before="37"/>
        <w:ind w:left="993" w:right="503" w:hanging="243"/>
        <w:rPr>
          <w:rFonts w:ascii="Consolas"/>
        </w:rPr>
      </w:pPr>
      <w:r>
        <w:rPr>
          <w:rFonts w:ascii="Consolas"/>
        </w:rPr>
        <w:t>&lt;dimension name="Internet Sales Order Details" uniqueName="[Internet Sales Order Details]" caption="Internet Sales Order Details"/&gt;</w:t>
      </w:r>
    </w:p>
    <w:p>
      <w:pPr>
        <w:pStyle w:val="BodyText"/>
        <w:spacing w:line="276" w:lineRule="auto"/>
        <w:ind w:left="993" w:right="503" w:hanging="243"/>
        <w:rPr>
          <w:rFonts w:ascii="Consolas"/>
        </w:rPr>
      </w:pPr>
      <w:r>
        <w:rPr>
          <w:rFonts w:ascii="Consolas"/>
        </w:rPr>
        <w:t>&lt;dimension measure="1" name="Measures" uniqueName="[Measures]" caption="Measures"/&gt;</w:t>
      </w:r>
    </w:p>
    <w:p>
      <w:pPr>
        <w:pStyle w:val="BodyText"/>
        <w:spacing w:line="276" w:lineRule="auto"/>
        <w:ind w:left="993" w:right="503" w:hanging="243"/>
        <w:rPr>
          <w:rFonts w:ascii="Consolas"/>
        </w:rPr>
      </w:pPr>
      <w:r>
        <w:rPr>
          <w:rFonts w:ascii="Consolas"/>
        </w:rPr>
        <w:t>&lt;dimension name="Organization" uniqueName="[Organization]" caption="Organization"/&gt;</w:t>
      </w:r>
    </w:p>
    <w:p>
      <w:pPr>
        <w:pStyle w:val="BodyText"/>
        <w:ind w:left="750"/>
        <w:rPr>
          <w:rFonts w:ascii="Consolas"/>
        </w:rPr>
      </w:pPr>
      <w:r>
        <w:rPr>
          <w:rFonts w:ascii="Consolas"/>
        </w:rPr>
        <w:t>&lt;dimension name="Product" uniqueName="[Product]" caption="Product"/&gt;</w:t>
      </w:r>
    </w:p>
    <w:p>
      <w:pPr>
        <w:pStyle w:val="BodyText"/>
        <w:spacing w:before="34"/>
        <w:ind w:left="750"/>
        <w:rPr>
          <w:rFonts w:ascii="Consolas"/>
        </w:rPr>
      </w:pPr>
      <w:r>
        <w:rPr>
          <w:rFonts w:ascii="Consolas"/>
        </w:rPr>
        <w:t>&lt;dimension name="Promotion" uniqueName="[Promotion]" caption="Promotion"/&gt;</w:t>
      </w:r>
    </w:p>
    <w:p>
      <w:pPr>
        <w:pStyle w:val="BodyText"/>
        <w:spacing w:before="40"/>
        <w:ind w:left="750"/>
        <w:rPr>
          <w:rFonts w:ascii="Consolas"/>
        </w:rPr>
      </w:pPr>
      <w:r>
        <w:rPr>
          <w:rFonts w:ascii="Consolas"/>
        </w:rPr>
        <w:t>&lt;dimension name="Reseller" uniqueName="[Reseller]" caption="Reseller"/&gt;</w:t>
      </w:r>
    </w:p>
    <w:p>
      <w:pPr>
        <w:pStyle w:val="BodyText"/>
        <w:spacing w:line="276" w:lineRule="auto" w:before="38"/>
        <w:ind w:left="993" w:right="503" w:hanging="243"/>
        <w:rPr>
          <w:rFonts w:ascii="Consolas"/>
        </w:rPr>
      </w:pPr>
      <w:r>
        <w:rPr>
          <w:rFonts w:ascii="Consolas"/>
        </w:rPr>
        <w:t>&lt;dimension name="Reseller Sales Order Details" uniqueName="[Reseller Sales Order Details]" caption="Reseller Sales Order Details"/&gt;</w:t>
      </w:r>
    </w:p>
    <w:p>
      <w:pPr>
        <w:pStyle w:val="BodyText"/>
        <w:spacing w:line="276" w:lineRule="auto"/>
        <w:ind w:left="993" w:hanging="243"/>
        <w:rPr>
          <w:rFonts w:ascii="Consolas"/>
        </w:rPr>
      </w:pPr>
      <w:r>
        <w:rPr>
          <w:rFonts w:ascii="Consolas"/>
        </w:rPr>
        <w:t>&lt;dimension name="Sales Channel" uniqueName="[Sales Channel]" caption="Sales Channel"/&gt;</w:t>
      </w:r>
    </w:p>
    <w:p>
      <w:pPr>
        <w:pStyle w:val="BodyText"/>
        <w:spacing w:line="276" w:lineRule="auto"/>
        <w:ind w:left="993" w:right="503" w:hanging="243"/>
        <w:rPr>
          <w:rFonts w:ascii="Consolas"/>
        </w:rPr>
      </w:pPr>
      <w:r>
        <w:rPr>
          <w:rFonts w:ascii="Consolas"/>
        </w:rPr>
        <w:t>&lt;dimension name="Sales Reason" uniqueName="[Sales Reason]" caption="Sales Reason"/&gt;</w:t>
      </w:r>
    </w:p>
    <w:p>
      <w:pPr>
        <w:pStyle w:val="BodyText"/>
        <w:spacing w:line="276" w:lineRule="auto" w:before="1"/>
        <w:ind w:left="993" w:hanging="243"/>
        <w:rPr>
          <w:rFonts w:ascii="Consolas"/>
        </w:rPr>
      </w:pPr>
      <w:r>
        <w:rPr>
          <w:rFonts w:ascii="Consolas"/>
        </w:rPr>
        <w:t>&lt;dimension name="Sales Summary Order Details" uniqueName="[Sales Summary</w:t>
      </w:r>
      <w:r>
        <w:rPr>
          <w:rFonts w:ascii="Consolas"/>
          <w:spacing w:val="-52"/>
        </w:rPr>
        <w:t> </w:t>
      </w:r>
      <w:r>
        <w:rPr>
          <w:rFonts w:ascii="Consolas"/>
        </w:rPr>
        <w:t>Order Details]" caption="Sales Summary Order Details"/&gt;</w:t>
      </w:r>
    </w:p>
    <w:p>
      <w:pPr>
        <w:pStyle w:val="BodyText"/>
        <w:spacing w:line="278" w:lineRule="auto"/>
        <w:ind w:left="993" w:right="542" w:hanging="243"/>
        <w:rPr>
          <w:rFonts w:ascii="Consolas"/>
        </w:rPr>
      </w:pPr>
      <w:r>
        <w:rPr>
          <w:rFonts w:ascii="Consolas"/>
        </w:rPr>
        <w:t>&lt;dimension name="Sales Territory" uniqueName="[Sales Territory]" caption="Sales Territory"/&gt;</w:t>
      </w:r>
    </w:p>
    <w:p>
      <w:pPr>
        <w:pStyle w:val="BodyText"/>
        <w:spacing w:line="253" w:lineRule="exact"/>
        <w:ind w:left="750"/>
        <w:rPr>
          <w:rFonts w:ascii="Consolas"/>
        </w:rPr>
      </w:pPr>
      <w:r>
        <w:rPr>
          <w:rFonts w:ascii="Consolas"/>
        </w:rPr>
        <w:t>&lt;dimension name="Scenario" uniqueName="[Scenario]" caption="Scenario"/&gt;</w:t>
      </w:r>
    </w:p>
    <w:p>
      <w:pPr>
        <w:pStyle w:val="BodyText"/>
        <w:spacing w:before="38"/>
        <w:ind w:left="750"/>
        <w:rPr>
          <w:rFonts w:ascii="Consolas"/>
        </w:rPr>
      </w:pPr>
      <w:r>
        <w:rPr>
          <w:rFonts w:ascii="Consolas"/>
        </w:rPr>
        <w:t>&lt;dimension name="Ship Date" uniqueName="[Ship Date]" caption="Ship Date"/&gt;</w:t>
      </w:r>
    </w:p>
    <w:p>
      <w:pPr>
        <w:pStyle w:val="BodyText"/>
        <w:spacing w:line="278" w:lineRule="auto" w:before="37"/>
        <w:ind w:left="993" w:right="503" w:hanging="243"/>
        <w:rPr>
          <w:rFonts w:ascii="Consolas"/>
        </w:rPr>
      </w:pPr>
      <w:r>
        <w:rPr>
          <w:rFonts w:ascii="Consolas"/>
        </w:rPr>
        <w:t>&lt;dimension name="Source Currency" uniqueName="[Source Currency]" caption="Source Currency"/&gt;</w:t>
      </w:r>
    </w:p>
    <w:p>
      <w:pPr>
        <w:pStyle w:val="BodyText"/>
        <w:spacing w:line="253" w:lineRule="exact"/>
        <w:ind w:left="508"/>
        <w:rPr>
          <w:rFonts w:ascii="Consolas"/>
        </w:rPr>
      </w:pPr>
      <w:r>
        <w:rPr>
          <w:rFonts w:ascii="Consolas"/>
        </w:rPr>
        <w:t>&lt;/dimensions&gt;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21"/>
              <w:rPr>
                <w:sz w:val="22"/>
              </w:rPr>
            </w:pPr>
            <w:r>
              <w:rPr>
                <w:rFonts w:ascii="Cambria"/>
                <w:sz w:val="22"/>
              </w:rPr>
              <w:t>count </w:t>
            </w:r>
            <w:r>
              <w:rPr>
                <w:sz w:val="22"/>
              </w:rPr>
              <w:t>(OLAP Dimensions Count)</w:t>
            </w:r>
          </w:p>
        </w:tc>
        <w:tc>
          <w:tcPr>
            <w:tcW w:w="8250" w:type="dxa"/>
          </w:tcPr>
          <w:p>
            <w:pPr>
              <w:pStyle w:val="TableParagraph"/>
              <w:rPr>
                <w:sz w:val="22"/>
              </w:rPr>
            </w:pPr>
            <w:r>
              <w:rPr>
                <w:sz w:val="22"/>
              </w:rPr>
              <w:t>Specifies the number of OLAP dimensions in the PivotTable.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ind w:left="220" w:right="444"/>
      </w:pPr>
      <w:r>
        <w:rPr/>
        <w:t>[</w:t>
      </w:r>
      <w:r>
        <w:rPr>
          <w:i/>
        </w:rPr>
        <w:t>Note</w:t>
      </w:r>
      <w:r>
        <w:rPr/>
        <w:t>: The W3C XML Schema definition of this element’s content model (</w:t>
      </w:r>
      <w:r>
        <w:rPr>
          <w:color w:val="5F5F5F"/>
          <w:u w:val="single" w:color="5F5F5F"/>
        </w:rPr>
        <w:t>CT_Dimensions</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6 discretePr (Discrete Grouping" w:id="827"/>
      <w:bookmarkEnd w:id="827"/>
      <w:r>
        <w:rPr/>
      </w:r>
      <w:bookmarkStart w:name="_bookmark274" w:id="828"/>
      <w:bookmarkEnd w:id="828"/>
      <w:r>
        <w:rPr/>
      </w:r>
      <w:bookmarkStart w:name="_bookmark274" w:id="829"/>
      <w:bookmarkEnd w:id="829"/>
      <w:r>
        <w:rPr>
          <w:color w:val="4F81BC"/>
        </w:rPr>
        <w:t>d</w:t>
      </w:r>
      <w:r>
        <w:rPr>
          <w:color w:val="4F81BC"/>
        </w:rPr>
        <w:t>iscretePr (Discrete Grouping</w:t>
      </w:r>
      <w:r>
        <w:rPr>
          <w:color w:val="4F81BC"/>
          <w:spacing w:val="-4"/>
        </w:rPr>
        <w:t> </w:t>
      </w:r>
      <w:r>
        <w:rPr>
          <w:color w:val="4F81BC"/>
        </w:rPr>
        <w:t>Properties)</w:t>
      </w:r>
    </w:p>
    <w:p>
      <w:pPr>
        <w:pStyle w:val="BodyText"/>
        <w:spacing w:before="121"/>
        <w:ind w:left="220"/>
      </w:pPr>
      <w:r>
        <w:rPr/>
        <w:t>Represents the collection of discrete grouping properties for a field group.</w:t>
      </w:r>
    </w:p>
    <w:p>
      <w:pPr>
        <w:spacing w:after="0"/>
        <w:sectPr>
          <w:pgSz w:w="12240" w:h="15840"/>
          <w:pgMar w:header="761" w:footer="746" w:top="1340" w:bottom="940" w:left="860" w:right="700"/>
        </w:sectPr>
      </w:pPr>
    </w:p>
    <w:p>
      <w:pPr>
        <w:spacing w:before="150"/>
        <w:ind w:left="220" w:right="0" w:firstLine="0"/>
        <w:jc w:val="left"/>
        <w:rPr>
          <w:sz w:val="22"/>
        </w:rPr>
      </w:pPr>
      <w:r>
        <w:rPr>
          <w:sz w:val="22"/>
        </w:rPr>
        <w:t>[</w:t>
      </w:r>
      <w:r>
        <w:rPr>
          <w:i/>
          <w:sz w:val="22"/>
        </w:rPr>
        <w:t>Example</w:t>
      </w:r>
      <w:r>
        <w:rPr>
          <w:sz w:val="22"/>
        </w:rPr>
        <w:t>:</w:t>
      </w:r>
    </w:p>
    <w:p>
      <w:pPr>
        <w:pStyle w:val="BodyText"/>
        <w:spacing w:before="8"/>
        <w:rPr>
          <w:sz w:val="14"/>
        </w:rPr>
      </w:pPr>
    </w:p>
    <w:p>
      <w:pPr>
        <w:pStyle w:val="BodyText"/>
        <w:spacing w:before="62"/>
        <w:ind w:left="508"/>
        <w:rPr>
          <w:rFonts w:ascii="Consolas" w:hAnsi="Consolas"/>
        </w:rPr>
      </w:pPr>
      <w:r>
        <w:rPr>
          <w:rFonts w:ascii="Consolas" w:hAnsi="Consolas"/>
          <w:w w:val="100"/>
        </w:rPr>
        <w:t>…</w:t>
      </w:r>
    </w:p>
    <w:p>
      <w:pPr>
        <w:pStyle w:val="BodyText"/>
        <w:spacing w:before="37"/>
        <w:ind w:left="750"/>
        <w:rPr>
          <w:rFonts w:ascii="Consolas"/>
        </w:rPr>
      </w:pPr>
      <w:r>
        <w:rPr>
          <w:rFonts w:ascii="Consolas"/>
        </w:rPr>
        <w:t>&lt;fieldGroup par="6" base="0"&gt;</w:t>
      </w:r>
    </w:p>
    <w:p>
      <w:pPr>
        <w:pStyle w:val="BodyText"/>
        <w:spacing w:line="276" w:lineRule="auto" w:before="40"/>
        <w:ind w:left="1235" w:right="2791" w:hanging="243"/>
        <w:rPr>
          <w:rFonts w:ascii="Consolas"/>
        </w:rPr>
      </w:pPr>
      <w:r>
        <w:rPr>
          <w:rFonts w:ascii="Consolas"/>
        </w:rPr>
        <w:t>&lt;rangePr groupBy="months" startDate="2002-01-01T00:00:00" endDate="2006-05-06T00:00:00"/&gt;</w:t>
      </w:r>
    </w:p>
    <w:p>
      <w:pPr>
        <w:pStyle w:val="BodyText"/>
        <w:spacing w:before="1"/>
        <w:ind w:right="6905"/>
        <w:jc w:val="right"/>
        <w:rPr>
          <w:rFonts w:ascii="Consolas"/>
        </w:rPr>
      </w:pPr>
      <w:r>
        <w:rPr>
          <w:rFonts w:ascii="Consolas"/>
        </w:rPr>
        <w:t>&lt;groupItems</w:t>
      </w:r>
      <w:r>
        <w:rPr>
          <w:rFonts w:ascii="Consolas"/>
          <w:spacing w:val="-16"/>
        </w:rPr>
        <w:t> </w:t>
      </w:r>
      <w:r>
        <w:rPr>
          <w:rFonts w:ascii="Consolas"/>
        </w:rPr>
        <w:t>count="14"&gt;</w:t>
      </w:r>
    </w:p>
    <w:p>
      <w:pPr>
        <w:pStyle w:val="BodyText"/>
        <w:spacing w:before="37"/>
        <w:ind w:right="6905"/>
        <w:jc w:val="right"/>
        <w:rPr>
          <w:rFonts w:ascii="Consolas"/>
        </w:rPr>
      </w:pPr>
      <w:r>
        <w:rPr>
          <w:rFonts w:ascii="Consolas"/>
        </w:rPr>
        <w:t>&lt;s</w:t>
      </w:r>
      <w:r>
        <w:rPr>
          <w:rFonts w:ascii="Consolas"/>
          <w:spacing w:val="-15"/>
        </w:rPr>
        <w:t> </w:t>
      </w:r>
      <w:r>
        <w:rPr>
          <w:rFonts w:ascii="Consolas"/>
        </w:rPr>
        <w:t>v="&amp;lt;1/1/2002"/&gt;</w:t>
      </w:r>
    </w:p>
    <w:p>
      <w:pPr>
        <w:pStyle w:val="BodyText"/>
        <w:spacing w:before="40"/>
        <w:ind w:left="1235"/>
        <w:rPr>
          <w:rFonts w:ascii="Consolas"/>
        </w:rPr>
      </w:pPr>
      <w:r>
        <w:rPr>
          <w:rFonts w:ascii="Consolas"/>
        </w:rPr>
        <w:t>&lt;s</w:t>
      </w:r>
      <w:r>
        <w:rPr>
          <w:rFonts w:ascii="Consolas"/>
          <w:spacing w:val="-9"/>
        </w:rPr>
        <w:t> </w:t>
      </w:r>
      <w:r>
        <w:rPr>
          <w:rFonts w:ascii="Consolas"/>
        </w:rPr>
        <w:t>v="Jan"/&gt;</w:t>
      </w:r>
    </w:p>
    <w:p>
      <w:pPr>
        <w:pStyle w:val="BodyText"/>
        <w:spacing w:before="38"/>
        <w:ind w:left="1235"/>
        <w:rPr>
          <w:rFonts w:ascii="Consolas"/>
        </w:rPr>
      </w:pPr>
      <w:r>
        <w:rPr>
          <w:rFonts w:ascii="Consolas"/>
        </w:rPr>
        <w:t>&lt;s</w:t>
      </w:r>
      <w:r>
        <w:rPr>
          <w:rFonts w:ascii="Consolas"/>
          <w:spacing w:val="-9"/>
        </w:rPr>
        <w:t> </w:t>
      </w:r>
      <w:r>
        <w:rPr>
          <w:rFonts w:ascii="Consolas"/>
        </w:rPr>
        <w:t>v="Feb"/&gt;</w:t>
      </w:r>
    </w:p>
    <w:p>
      <w:pPr>
        <w:pStyle w:val="BodyText"/>
        <w:spacing w:before="38"/>
        <w:ind w:left="1235"/>
        <w:rPr>
          <w:rFonts w:ascii="Consolas"/>
        </w:rPr>
      </w:pPr>
      <w:r>
        <w:rPr>
          <w:rFonts w:ascii="Consolas"/>
        </w:rPr>
        <w:t>&lt;s</w:t>
      </w:r>
      <w:r>
        <w:rPr>
          <w:rFonts w:ascii="Consolas"/>
          <w:spacing w:val="-9"/>
        </w:rPr>
        <w:t> </w:t>
      </w:r>
      <w:r>
        <w:rPr>
          <w:rFonts w:ascii="Consolas"/>
        </w:rPr>
        <w:t>v="Mar"/&gt;</w:t>
      </w:r>
    </w:p>
    <w:p>
      <w:pPr>
        <w:pStyle w:val="BodyText"/>
        <w:spacing w:before="40"/>
        <w:ind w:left="1235"/>
        <w:rPr>
          <w:rFonts w:ascii="Consolas"/>
        </w:rPr>
      </w:pPr>
      <w:r>
        <w:rPr>
          <w:rFonts w:ascii="Consolas"/>
        </w:rPr>
        <w:t>&lt;s</w:t>
      </w:r>
      <w:r>
        <w:rPr>
          <w:rFonts w:ascii="Consolas"/>
          <w:spacing w:val="-9"/>
        </w:rPr>
        <w:t> </w:t>
      </w:r>
      <w:r>
        <w:rPr>
          <w:rFonts w:ascii="Consolas"/>
        </w:rPr>
        <w:t>v="Apr"/&gt;</w:t>
      </w:r>
    </w:p>
    <w:p>
      <w:pPr>
        <w:pStyle w:val="BodyText"/>
        <w:spacing w:before="37"/>
        <w:ind w:left="1235"/>
        <w:rPr>
          <w:rFonts w:ascii="Consolas"/>
        </w:rPr>
      </w:pPr>
      <w:r>
        <w:rPr>
          <w:rFonts w:ascii="Consolas"/>
        </w:rPr>
        <w:t>&lt;s</w:t>
      </w:r>
      <w:r>
        <w:rPr>
          <w:rFonts w:ascii="Consolas"/>
          <w:spacing w:val="-9"/>
        </w:rPr>
        <w:t> </w:t>
      </w:r>
      <w:r>
        <w:rPr>
          <w:rFonts w:ascii="Consolas"/>
        </w:rPr>
        <w:t>v="May"/&gt;</w:t>
      </w:r>
    </w:p>
    <w:p>
      <w:pPr>
        <w:pStyle w:val="BodyText"/>
        <w:spacing w:before="41"/>
        <w:ind w:left="1235"/>
        <w:rPr>
          <w:rFonts w:ascii="Consolas"/>
        </w:rPr>
      </w:pPr>
      <w:r>
        <w:rPr>
          <w:rFonts w:ascii="Consolas"/>
        </w:rPr>
        <w:t>&lt;s</w:t>
      </w:r>
      <w:r>
        <w:rPr>
          <w:rFonts w:ascii="Consolas"/>
          <w:spacing w:val="-9"/>
        </w:rPr>
        <w:t> </w:t>
      </w:r>
      <w:r>
        <w:rPr>
          <w:rFonts w:ascii="Consolas"/>
        </w:rPr>
        <w:t>v="Jun"/&gt;</w:t>
      </w:r>
    </w:p>
    <w:p>
      <w:pPr>
        <w:pStyle w:val="BodyText"/>
        <w:spacing w:before="37"/>
        <w:ind w:left="1235"/>
        <w:rPr>
          <w:rFonts w:ascii="Consolas"/>
        </w:rPr>
      </w:pPr>
      <w:r>
        <w:rPr>
          <w:rFonts w:ascii="Consolas"/>
        </w:rPr>
        <w:t>&lt;s</w:t>
      </w:r>
      <w:r>
        <w:rPr>
          <w:rFonts w:ascii="Consolas"/>
          <w:spacing w:val="-9"/>
        </w:rPr>
        <w:t> </w:t>
      </w:r>
      <w:r>
        <w:rPr>
          <w:rFonts w:ascii="Consolas"/>
        </w:rPr>
        <w:t>v="Jul"/&gt;</w:t>
      </w:r>
    </w:p>
    <w:p>
      <w:pPr>
        <w:pStyle w:val="BodyText"/>
        <w:spacing w:before="40"/>
        <w:ind w:left="1235"/>
        <w:rPr>
          <w:rFonts w:ascii="Consolas"/>
        </w:rPr>
      </w:pPr>
      <w:r>
        <w:rPr>
          <w:rFonts w:ascii="Consolas"/>
        </w:rPr>
        <w:t>&lt;s</w:t>
      </w:r>
      <w:r>
        <w:rPr>
          <w:rFonts w:ascii="Consolas"/>
          <w:spacing w:val="-9"/>
        </w:rPr>
        <w:t> </w:t>
      </w:r>
      <w:r>
        <w:rPr>
          <w:rFonts w:ascii="Consolas"/>
        </w:rPr>
        <w:t>v="Aug"/&gt;</w:t>
      </w:r>
    </w:p>
    <w:p>
      <w:pPr>
        <w:pStyle w:val="BodyText"/>
        <w:spacing w:before="38"/>
        <w:ind w:left="1235"/>
        <w:rPr>
          <w:rFonts w:ascii="Consolas"/>
        </w:rPr>
      </w:pPr>
      <w:r>
        <w:rPr>
          <w:rFonts w:ascii="Consolas"/>
        </w:rPr>
        <w:t>&lt;s</w:t>
      </w:r>
      <w:r>
        <w:rPr>
          <w:rFonts w:ascii="Consolas"/>
          <w:spacing w:val="-9"/>
        </w:rPr>
        <w:t> </w:t>
      </w:r>
      <w:r>
        <w:rPr>
          <w:rFonts w:ascii="Consolas"/>
        </w:rPr>
        <w:t>v="Sep"/&gt;</w:t>
      </w:r>
    </w:p>
    <w:p>
      <w:pPr>
        <w:pStyle w:val="BodyText"/>
        <w:spacing w:before="38"/>
        <w:ind w:left="1235"/>
        <w:rPr>
          <w:rFonts w:ascii="Consolas"/>
        </w:rPr>
      </w:pPr>
      <w:r>
        <w:rPr>
          <w:rFonts w:ascii="Consolas"/>
        </w:rPr>
        <w:t>&lt;s</w:t>
      </w:r>
      <w:r>
        <w:rPr>
          <w:rFonts w:ascii="Consolas"/>
          <w:spacing w:val="-9"/>
        </w:rPr>
        <w:t> </w:t>
      </w:r>
      <w:r>
        <w:rPr>
          <w:rFonts w:ascii="Consolas"/>
        </w:rPr>
        <w:t>v="Oct"/&gt;</w:t>
      </w:r>
    </w:p>
    <w:p>
      <w:pPr>
        <w:pStyle w:val="BodyText"/>
        <w:spacing w:before="40"/>
        <w:ind w:left="1235"/>
        <w:rPr>
          <w:rFonts w:ascii="Consolas"/>
        </w:rPr>
      </w:pPr>
      <w:r>
        <w:rPr>
          <w:rFonts w:ascii="Consolas"/>
        </w:rPr>
        <w:t>&lt;s</w:t>
      </w:r>
      <w:r>
        <w:rPr>
          <w:rFonts w:ascii="Consolas"/>
          <w:spacing w:val="-9"/>
        </w:rPr>
        <w:t> </w:t>
      </w:r>
      <w:r>
        <w:rPr>
          <w:rFonts w:ascii="Consolas"/>
        </w:rPr>
        <w:t>v="Nov"/&gt;</w:t>
      </w:r>
    </w:p>
    <w:p>
      <w:pPr>
        <w:pStyle w:val="BodyText"/>
        <w:spacing w:before="37"/>
        <w:ind w:left="1235"/>
        <w:rPr>
          <w:rFonts w:ascii="Consolas"/>
        </w:rPr>
      </w:pPr>
      <w:r>
        <w:rPr>
          <w:rFonts w:ascii="Consolas"/>
        </w:rPr>
        <w:t>&lt;s</w:t>
      </w:r>
      <w:r>
        <w:rPr>
          <w:rFonts w:ascii="Consolas"/>
          <w:spacing w:val="-9"/>
        </w:rPr>
        <w:t> </w:t>
      </w:r>
      <w:r>
        <w:rPr>
          <w:rFonts w:ascii="Consolas"/>
        </w:rPr>
        <w:t>v="Dec"/&gt;</w:t>
      </w:r>
    </w:p>
    <w:p>
      <w:pPr>
        <w:pStyle w:val="BodyText"/>
        <w:spacing w:before="40"/>
        <w:ind w:left="1235"/>
        <w:rPr>
          <w:rFonts w:ascii="Consolas"/>
        </w:rPr>
      </w:pPr>
      <w:r>
        <w:rPr>
          <w:rFonts w:ascii="Consolas"/>
        </w:rPr>
        <w:t>&lt;s v="&amp;gt;5/6/2006"/&gt;</w:t>
      </w:r>
    </w:p>
    <w:p>
      <w:pPr>
        <w:pStyle w:val="BodyText"/>
        <w:spacing w:before="38"/>
        <w:ind w:left="993"/>
        <w:rPr>
          <w:rFonts w:ascii="Consolas"/>
        </w:rPr>
      </w:pPr>
      <w:r>
        <w:rPr>
          <w:rFonts w:ascii="Consolas"/>
        </w:rPr>
        <w:t>&lt;/groupItems&gt;</w:t>
      </w:r>
    </w:p>
    <w:p>
      <w:pPr>
        <w:pStyle w:val="BodyText"/>
        <w:spacing w:before="40"/>
        <w:ind w:left="750"/>
        <w:rPr>
          <w:rFonts w:ascii="Consolas"/>
        </w:rPr>
      </w:pPr>
      <w:r>
        <w:rPr>
          <w:rFonts w:ascii="Consolas"/>
        </w:rPr>
        <w:t>&lt;/fieldGroup&gt;</w:t>
      </w:r>
    </w:p>
    <w:p>
      <w:pPr>
        <w:pStyle w:val="BodyText"/>
        <w:spacing w:before="37"/>
        <w:ind w:left="508"/>
        <w:rPr>
          <w:rFonts w:ascii="Consolas"/>
        </w:rPr>
      </w:pPr>
      <w:r>
        <w:rPr>
          <w:rFonts w:ascii="Consolas"/>
        </w:rPr>
        <w:t>&lt;/cacheField&gt;</w:t>
      </w:r>
    </w:p>
    <w:p>
      <w:pPr>
        <w:pStyle w:val="BodyText"/>
        <w:spacing w:before="38"/>
        <w:ind w:left="508"/>
        <w:rPr>
          <w:rFonts w:ascii="Consolas"/>
        </w:rPr>
      </w:pPr>
      <w:r>
        <w:rPr>
          <w:rFonts w:ascii="Consolas"/>
        </w:rPr>
        <w:t>&lt;cacheField name="Name" numFmtId="0"&gt;</w:t>
      </w:r>
    </w:p>
    <w:p>
      <w:pPr>
        <w:pStyle w:val="BodyText"/>
        <w:spacing w:before="40"/>
        <w:ind w:left="750"/>
        <w:rPr>
          <w:rFonts w:ascii="Consolas"/>
        </w:rPr>
      </w:pPr>
      <w:r>
        <w:rPr>
          <w:rFonts w:ascii="Consolas"/>
        </w:rPr>
        <w:t>&lt;sharedItems count="4"&gt;</w:t>
      </w:r>
    </w:p>
    <w:p>
      <w:pPr>
        <w:pStyle w:val="BodyText"/>
        <w:spacing w:before="38"/>
        <w:ind w:left="993"/>
        <w:rPr>
          <w:rFonts w:ascii="Consolas"/>
        </w:rPr>
      </w:pPr>
      <w:r>
        <w:rPr>
          <w:rFonts w:ascii="Consolas"/>
        </w:rPr>
        <w:t>&lt;s v="Joe"/&gt;</w:t>
      </w:r>
    </w:p>
    <w:p>
      <w:pPr>
        <w:pStyle w:val="BodyText"/>
        <w:spacing w:before="40"/>
        <w:ind w:left="993"/>
        <w:rPr>
          <w:rFonts w:ascii="Consolas"/>
        </w:rPr>
      </w:pPr>
      <w:r>
        <w:rPr>
          <w:rFonts w:ascii="Consolas"/>
        </w:rPr>
        <w:t>&lt;s v="John"/&gt;</w:t>
      </w:r>
    </w:p>
    <w:p>
      <w:pPr>
        <w:pStyle w:val="BodyText"/>
        <w:spacing w:before="38"/>
        <w:ind w:left="993"/>
        <w:rPr>
          <w:rFonts w:ascii="Consolas"/>
        </w:rPr>
      </w:pPr>
      <w:r>
        <w:rPr>
          <w:rFonts w:ascii="Consolas"/>
        </w:rPr>
        <w:t>&lt;s v="Bob"/&gt;</w:t>
      </w:r>
    </w:p>
    <w:p>
      <w:pPr>
        <w:pStyle w:val="BodyText"/>
        <w:spacing w:before="40"/>
        <w:ind w:left="993"/>
        <w:rPr>
          <w:rFonts w:ascii="Consolas"/>
        </w:rPr>
      </w:pPr>
      <w:r>
        <w:rPr>
          <w:rFonts w:ascii="Consolas"/>
        </w:rPr>
        <w:t>&lt;s v="Robert"/&gt;</w:t>
      </w:r>
    </w:p>
    <w:p>
      <w:pPr>
        <w:pStyle w:val="BodyText"/>
        <w:spacing w:before="37"/>
        <w:ind w:left="750"/>
        <w:rPr>
          <w:rFonts w:ascii="Consolas"/>
        </w:rPr>
      </w:pPr>
      <w:r>
        <w:rPr>
          <w:rFonts w:ascii="Consolas"/>
        </w:rPr>
        <w:t>&lt;/sharedItems&gt;</w:t>
      </w:r>
    </w:p>
    <w:p>
      <w:pPr>
        <w:pStyle w:val="BodyText"/>
        <w:spacing w:before="38"/>
        <w:ind w:left="750"/>
        <w:rPr>
          <w:rFonts w:ascii="Consolas"/>
        </w:rPr>
      </w:pPr>
      <w:r>
        <w:rPr>
          <w:rFonts w:ascii="Consolas"/>
        </w:rPr>
        <w:t>&lt;fieldGroup par="4"/&gt;</w:t>
      </w:r>
    </w:p>
    <w:p>
      <w:pPr>
        <w:pStyle w:val="BodyText"/>
        <w:spacing w:before="40"/>
        <w:ind w:left="508"/>
        <w:rPr>
          <w:rFonts w:ascii="Consolas"/>
        </w:rPr>
      </w:pPr>
      <w:r>
        <w:rPr>
          <w:rFonts w:ascii="Consolas"/>
        </w:rPr>
        <w:t>&lt;/cacheField&gt;</w:t>
      </w:r>
    </w:p>
    <w:p>
      <w:pPr>
        <w:pStyle w:val="BodyText"/>
        <w:spacing w:before="37"/>
        <w:ind w:left="508"/>
        <w:rPr>
          <w:rFonts w:ascii="Consolas"/>
        </w:rPr>
      </w:pPr>
      <w:r>
        <w:rPr>
          <w:rFonts w:ascii="Consolas"/>
        </w:rPr>
        <w:t>&lt;cacheField name="ProductID" numFmtId="0"&gt;</w:t>
      </w:r>
    </w:p>
    <w:p>
      <w:pPr>
        <w:pStyle w:val="BodyText"/>
        <w:spacing w:line="276" w:lineRule="auto" w:before="40"/>
        <w:ind w:left="993" w:hanging="243"/>
        <w:rPr>
          <w:rFonts w:ascii="Consolas"/>
        </w:rPr>
      </w:pPr>
      <w:r>
        <w:rPr>
          <w:rFonts w:ascii="Consolas"/>
        </w:rPr>
        <w:t>&lt;sharedItems containsSemiMixedTypes="0" containsString="0" containsNumber="1" containsInteger="1" minValue="1" maxValue="4" count="4"&gt;</w:t>
      </w:r>
    </w:p>
    <w:p>
      <w:pPr>
        <w:pStyle w:val="BodyText"/>
        <w:spacing w:before="1"/>
        <w:ind w:left="165" w:right="7647"/>
        <w:jc w:val="center"/>
        <w:rPr>
          <w:rFonts w:ascii="Consolas"/>
        </w:rPr>
      </w:pPr>
      <w:r>
        <w:rPr>
          <w:rFonts w:ascii="Consolas"/>
        </w:rPr>
        <w:t>&lt;n</w:t>
      </w:r>
      <w:r>
        <w:rPr>
          <w:rFonts w:ascii="Consolas"/>
          <w:spacing w:val="-6"/>
        </w:rPr>
        <w:t> </w:t>
      </w:r>
      <w:r>
        <w:rPr>
          <w:rFonts w:ascii="Consolas"/>
        </w:rPr>
        <w:t>v="1"/&gt;</w:t>
      </w:r>
    </w:p>
    <w:p>
      <w:pPr>
        <w:pStyle w:val="BodyText"/>
        <w:spacing w:before="38"/>
        <w:ind w:left="165" w:right="7647"/>
        <w:jc w:val="center"/>
        <w:rPr>
          <w:rFonts w:ascii="Consolas"/>
        </w:rPr>
      </w:pPr>
      <w:r>
        <w:rPr>
          <w:rFonts w:ascii="Consolas"/>
        </w:rPr>
        <w:t>&lt;n</w:t>
      </w:r>
      <w:r>
        <w:rPr>
          <w:rFonts w:ascii="Consolas"/>
          <w:spacing w:val="-6"/>
        </w:rPr>
        <w:t> </w:t>
      </w:r>
      <w:r>
        <w:rPr>
          <w:rFonts w:ascii="Consolas"/>
        </w:rPr>
        <w:t>v="2"/&gt;</w:t>
      </w:r>
    </w:p>
    <w:p>
      <w:pPr>
        <w:pStyle w:val="BodyText"/>
        <w:spacing w:before="38"/>
        <w:ind w:left="165" w:right="7647"/>
        <w:jc w:val="center"/>
        <w:rPr>
          <w:rFonts w:ascii="Consolas"/>
        </w:rPr>
      </w:pPr>
      <w:r>
        <w:rPr>
          <w:rFonts w:ascii="Consolas"/>
        </w:rPr>
        <w:t>&lt;n</w:t>
      </w:r>
      <w:r>
        <w:rPr>
          <w:rFonts w:ascii="Consolas"/>
          <w:spacing w:val="-6"/>
        </w:rPr>
        <w:t> </w:t>
      </w:r>
      <w:r>
        <w:rPr>
          <w:rFonts w:ascii="Consolas"/>
        </w:rPr>
        <w:t>v="3"/&gt;</w:t>
      </w:r>
    </w:p>
    <w:p>
      <w:pPr>
        <w:pStyle w:val="BodyText"/>
        <w:spacing w:before="40"/>
        <w:ind w:left="165" w:right="7647"/>
        <w:jc w:val="center"/>
        <w:rPr>
          <w:rFonts w:ascii="Consolas"/>
        </w:rPr>
      </w:pPr>
      <w:r>
        <w:rPr>
          <w:rFonts w:ascii="Consolas"/>
        </w:rPr>
        <w:t>&lt;n</w:t>
      </w:r>
      <w:r>
        <w:rPr>
          <w:rFonts w:ascii="Consolas"/>
          <w:spacing w:val="-6"/>
        </w:rPr>
        <w:t> </w:t>
      </w:r>
      <w:r>
        <w:rPr>
          <w:rFonts w:ascii="Consolas"/>
        </w:rPr>
        <w:t>v="4"/&gt;</w:t>
      </w:r>
    </w:p>
    <w:p>
      <w:pPr>
        <w:pStyle w:val="BodyText"/>
        <w:spacing w:before="37"/>
        <w:ind w:left="125" w:right="7610"/>
        <w:jc w:val="center"/>
        <w:rPr>
          <w:rFonts w:ascii="Consolas"/>
        </w:rPr>
      </w:pPr>
      <w:r>
        <w:rPr>
          <w:rFonts w:ascii="Consolas"/>
        </w:rPr>
        <w:t>&lt;/sharedItems&gt;</w:t>
      </w:r>
    </w:p>
    <w:p>
      <w:pPr>
        <w:spacing w:after="0"/>
        <w:jc w:val="center"/>
        <w:rPr>
          <w:rFonts w:ascii="Consolas"/>
        </w:rPr>
        <w:sectPr>
          <w:pgSz w:w="12240" w:h="15840"/>
          <w:pgMar w:header="763" w:footer="746" w:top="1340" w:bottom="940" w:left="860" w:right="700"/>
        </w:sectPr>
      </w:pPr>
    </w:p>
    <w:p>
      <w:pPr>
        <w:pStyle w:val="BodyText"/>
        <w:spacing w:before="93"/>
        <w:ind w:left="750"/>
        <w:rPr>
          <w:rFonts w:ascii="Consolas"/>
        </w:rPr>
      </w:pPr>
      <w:r>
        <w:rPr>
          <w:rFonts w:ascii="Consolas"/>
        </w:rPr>
        <w:t>&lt;fieldGroup base="2"&gt;</w:t>
      </w:r>
    </w:p>
    <w:p>
      <w:pPr>
        <w:pStyle w:val="BodyText"/>
        <w:spacing w:before="38"/>
        <w:ind w:left="993"/>
        <w:rPr>
          <w:rFonts w:ascii="Consolas"/>
        </w:rPr>
      </w:pPr>
      <w:r>
        <w:rPr>
          <w:rFonts w:ascii="Consolas"/>
        </w:rPr>
        <w:t>&lt;rangePr startNum="1" endNum="4" groupInterval="2"/&gt;</w:t>
      </w:r>
    </w:p>
    <w:p>
      <w:pPr>
        <w:pStyle w:val="BodyText"/>
        <w:spacing w:before="40"/>
        <w:ind w:left="993"/>
        <w:rPr>
          <w:rFonts w:ascii="Consolas"/>
        </w:rPr>
      </w:pPr>
      <w:r>
        <w:rPr>
          <w:rFonts w:ascii="Consolas"/>
        </w:rPr>
        <w:t>&lt;groupItems count="4"&gt;</w:t>
      </w:r>
    </w:p>
    <w:p>
      <w:pPr>
        <w:pStyle w:val="BodyText"/>
        <w:spacing w:before="37"/>
        <w:ind w:left="1235"/>
        <w:rPr>
          <w:rFonts w:ascii="Consolas"/>
        </w:rPr>
      </w:pPr>
      <w:r>
        <w:rPr>
          <w:rFonts w:ascii="Consolas"/>
        </w:rPr>
        <w:t>&lt;s v="&amp;lt;1"/&gt;</w:t>
      </w:r>
    </w:p>
    <w:p>
      <w:pPr>
        <w:pStyle w:val="BodyText"/>
        <w:spacing w:before="40"/>
        <w:ind w:left="1235"/>
        <w:rPr>
          <w:rFonts w:ascii="Consolas"/>
        </w:rPr>
      </w:pPr>
      <w:r>
        <w:rPr>
          <w:rFonts w:ascii="Consolas"/>
        </w:rPr>
        <w:t>&lt;s</w:t>
      </w:r>
      <w:r>
        <w:rPr>
          <w:rFonts w:ascii="Consolas"/>
          <w:spacing w:val="-7"/>
        </w:rPr>
        <w:t> </w:t>
      </w:r>
      <w:r>
        <w:rPr>
          <w:rFonts w:ascii="Consolas"/>
        </w:rPr>
        <w:t>v="1-2"/&gt;</w:t>
      </w:r>
    </w:p>
    <w:p>
      <w:pPr>
        <w:pStyle w:val="BodyText"/>
        <w:spacing w:before="38"/>
        <w:ind w:left="1235"/>
        <w:rPr>
          <w:rFonts w:ascii="Consolas"/>
        </w:rPr>
      </w:pPr>
      <w:r>
        <w:rPr>
          <w:rFonts w:ascii="Consolas"/>
        </w:rPr>
        <w:t>&lt;s</w:t>
      </w:r>
      <w:r>
        <w:rPr>
          <w:rFonts w:ascii="Consolas"/>
          <w:spacing w:val="-7"/>
        </w:rPr>
        <w:t> </w:t>
      </w:r>
      <w:r>
        <w:rPr>
          <w:rFonts w:ascii="Consolas"/>
        </w:rPr>
        <w:t>v="3-4"/&gt;</w:t>
      </w:r>
    </w:p>
    <w:p>
      <w:pPr>
        <w:pStyle w:val="BodyText"/>
        <w:spacing w:before="40"/>
        <w:ind w:left="1235"/>
        <w:rPr>
          <w:rFonts w:ascii="Consolas"/>
        </w:rPr>
      </w:pPr>
      <w:r>
        <w:rPr>
          <w:rFonts w:ascii="Consolas"/>
        </w:rPr>
        <w:t>&lt;s v="&amp;gt;5"/&gt;</w:t>
      </w:r>
    </w:p>
    <w:p>
      <w:pPr>
        <w:pStyle w:val="BodyText"/>
        <w:spacing w:before="37"/>
        <w:ind w:left="993"/>
        <w:rPr>
          <w:rFonts w:ascii="Consolas"/>
        </w:rPr>
      </w:pPr>
      <w:r>
        <w:rPr>
          <w:rFonts w:ascii="Consolas"/>
        </w:rPr>
        <w:t>&lt;/groupItems&gt;</w:t>
      </w:r>
    </w:p>
    <w:p>
      <w:pPr>
        <w:pStyle w:val="BodyText"/>
        <w:spacing w:before="38"/>
        <w:ind w:left="750"/>
        <w:rPr>
          <w:rFonts w:ascii="Consolas"/>
        </w:rPr>
      </w:pPr>
      <w:r>
        <w:rPr>
          <w:rFonts w:ascii="Consolas"/>
        </w:rPr>
        <w:t>&lt;/fieldGroup&gt;</w:t>
      </w:r>
    </w:p>
    <w:p>
      <w:pPr>
        <w:pStyle w:val="BodyText"/>
        <w:spacing w:before="40"/>
        <w:ind w:left="508"/>
        <w:rPr>
          <w:rFonts w:ascii="Consolas"/>
        </w:rPr>
      </w:pPr>
      <w:r>
        <w:rPr>
          <w:rFonts w:ascii="Consolas"/>
        </w:rPr>
        <w:t>&lt;/cacheField&gt;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475"/>
              <w:rPr>
                <w:sz w:val="22"/>
              </w:rPr>
            </w:pPr>
            <w:r>
              <w:rPr>
                <w:rFonts w:ascii="Cambria"/>
                <w:sz w:val="22"/>
              </w:rPr>
              <w:t>count </w:t>
            </w:r>
            <w:r>
              <w:rPr>
                <w:sz w:val="22"/>
              </w:rPr>
              <w:t>(Mapping Index Count)</w:t>
            </w:r>
          </w:p>
        </w:tc>
        <w:tc>
          <w:tcPr>
            <w:tcW w:w="8250" w:type="dxa"/>
          </w:tcPr>
          <w:p>
            <w:pPr>
              <w:pStyle w:val="TableParagraph"/>
              <w:rPr>
                <w:sz w:val="22"/>
              </w:rPr>
            </w:pPr>
            <w:r>
              <w:rPr>
                <w:sz w:val="22"/>
              </w:rPr>
              <w:t>Specifies the number of mapping indexes for this grouped field.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560"/>
      </w:pPr>
      <w:r>
        <w:rPr/>
        <w:t>[</w:t>
      </w:r>
      <w:r>
        <w:rPr>
          <w:i/>
        </w:rPr>
        <w:t>Note</w:t>
      </w:r>
      <w:r>
        <w:rPr/>
        <w:t>: The W3C XML Schema definition of this element’s content model (</w:t>
      </w:r>
      <w:r>
        <w:rPr>
          <w:color w:val="5F5F5F"/>
          <w:u w:val="single" w:color="5F5F5F"/>
        </w:rPr>
        <w:t>CT_DiscretePr</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7 e (Error Value)" w:id="830"/>
      <w:bookmarkEnd w:id="830"/>
      <w:r>
        <w:rPr/>
      </w:r>
      <w:bookmarkStart w:name="_bookmark275" w:id="831"/>
      <w:bookmarkEnd w:id="831"/>
      <w:r>
        <w:rPr/>
      </w:r>
      <w:bookmarkStart w:name="_bookmark275" w:id="832"/>
      <w:bookmarkEnd w:id="832"/>
      <w:r>
        <w:rPr>
          <w:color w:val="4F81BC"/>
        </w:rPr>
        <w:t>e</w:t>
      </w:r>
      <w:r>
        <w:rPr>
          <w:color w:val="4F81BC"/>
        </w:rPr>
        <w:t> (Error</w:t>
      </w:r>
      <w:r>
        <w:rPr>
          <w:color w:val="4F81BC"/>
          <w:spacing w:val="-3"/>
        </w:rPr>
        <w:t> </w:t>
      </w:r>
      <w:r>
        <w:rPr>
          <w:color w:val="4F81BC"/>
        </w:rPr>
        <w:t>Value)</w:t>
      </w:r>
    </w:p>
    <w:p>
      <w:pPr>
        <w:pStyle w:val="BodyText"/>
        <w:spacing w:line="278" w:lineRule="auto" w:before="119"/>
        <w:ind w:left="220" w:right="512"/>
      </w:pPr>
      <w:r>
        <w:rPr/>
        <w:t>Represents an error value. The use of this item indicates that an error value is present in the PivotTable source. The error is recorded in the </w:t>
      </w:r>
      <w:r>
        <w:rPr>
          <w:rFonts w:ascii="Consolas"/>
          <w:sz w:val="20"/>
        </w:rPr>
        <w:t>value</w:t>
      </w:r>
      <w:r>
        <w:rPr>
          <w:rFonts w:ascii="Consolas"/>
          <w:spacing w:val="-70"/>
          <w:sz w:val="20"/>
        </w:rPr>
        <w:t> </w:t>
      </w:r>
      <w:r>
        <w:rPr/>
        <w:t>attribute.</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rPr>
                <w:sz w:val="22"/>
              </w:rPr>
            </w:pPr>
            <w:r>
              <w:rPr>
                <w:rFonts w:ascii="Cambria"/>
                <w:sz w:val="22"/>
              </w:rPr>
              <w:t>b </w:t>
            </w:r>
            <w:r>
              <w:rPr>
                <w:sz w:val="22"/>
              </w:rPr>
              <w:t>(Bold)</w:t>
            </w:r>
          </w:p>
        </w:tc>
        <w:tc>
          <w:tcPr>
            <w:tcW w:w="8250" w:type="dxa"/>
          </w:tcPr>
          <w:p>
            <w:pPr>
              <w:pStyle w:val="TableParagraph"/>
              <w:ind w:right="363"/>
              <w:rPr>
                <w:sz w:val="22"/>
              </w:rPr>
            </w:pPr>
            <w:r>
              <w:rPr>
                <w:sz w:val="22"/>
              </w:rPr>
              <w:t>Specifies a boolean value that indicates whether the value contains bold formatting on the OLAP server. This attribute applies to OLAP-based PivotTables only.</w:t>
            </w:r>
          </w:p>
          <w:p>
            <w:pPr>
              <w:pStyle w:val="TableParagraph"/>
              <w:spacing w:line="530" w:lineRule="atLeast" w:before="7"/>
              <w:ind w:right="690"/>
              <w:rPr>
                <w:rFonts w:ascii="Cambria"/>
                <w:sz w:val="22"/>
              </w:rPr>
            </w:pPr>
            <w:r>
              <w:rPr>
                <w:sz w:val="22"/>
              </w:rPr>
              <w:t>A value of </w:t>
            </w:r>
            <w:r>
              <w:rPr>
                <w:rFonts w:ascii="Consolas"/>
                <w:sz w:val="20"/>
              </w:rPr>
              <w:t>1 </w:t>
            </w:r>
            <w:r>
              <w:rPr>
                <w:sz w:val="22"/>
              </w:rPr>
              <w:t>or </w:t>
            </w:r>
            <w:r>
              <w:rPr>
                <w:rFonts w:ascii="Consolas"/>
                <w:sz w:val="20"/>
              </w:rPr>
              <w:t>true </w:t>
            </w:r>
            <w:r>
              <w:rPr>
                <w:sz w:val="22"/>
              </w:rPr>
              <w:t>indicates this value contains bold formatting on the server. The possible values for this attribute are defined by the W3C XML Schema </w:t>
            </w:r>
            <w:r>
              <w:rPr>
                <w:rFonts w:ascii="Cambria"/>
                <w:sz w:val="22"/>
              </w:rPr>
              <w:t>boolean</w:t>
            </w:r>
          </w:p>
          <w:p>
            <w:pPr>
              <w:pStyle w:val="TableParagraph"/>
              <w:spacing w:before="6"/>
              <w:rPr>
                <w:sz w:val="22"/>
              </w:rPr>
            </w:pPr>
            <w:r>
              <w:rPr>
                <w:sz w:val="22"/>
              </w:rPr>
              <w:t>datatype.</w:t>
            </w:r>
          </w:p>
        </w:tc>
      </w:tr>
      <w:tr>
        <w:trPr>
          <w:trHeight w:val="1697" w:hRule="atLeast"/>
        </w:trPr>
        <w:tc>
          <w:tcPr>
            <w:tcW w:w="2062" w:type="dxa"/>
          </w:tcPr>
          <w:p>
            <w:pPr>
              <w:pStyle w:val="TableParagraph"/>
              <w:ind w:right="527"/>
              <w:rPr>
                <w:sz w:val="22"/>
              </w:rPr>
            </w:pPr>
            <w:r>
              <w:rPr>
                <w:rFonts w:ascii="Cambria"/>
                <w:sz w:val="22"/>
              </w:rPr>
              <w:t>bc </w:t>
            </w:r>
            <w:r>
              <w:rPr>
                <w:sz w:val="22"/>
              </w:rPr>
              <w:t>(background Color)</w:t>
            </w:r>
          </w:p>
        </w:tc>
        <w:tc>
          <w:tcPr>
            <w:tcW w:w="8250" w:type="dxa"/>
          </w:tcPr>
          <w:p>
            <w:pPr>
              <w:pStyle w:val="TableParagraph"/>
              <w:ind w:right="243"/>
              <w:jc w:val="both"/>
              <w:rPr>
                <w:sz w:val="22"/>
              </w:rPr>
            </w:pPr>
            <w:r>
              <w:rPr>
                <w:sz w:val="22"/>
              </w:rPr>
              <w:t>Specifies the background color for this value that was provided by the OLAP server. This attribute applies to OLAP-based PivotTables only. The color is specified as a HEX value in RGB space.</w:t>
            </w:r>
          </w:p>
          <w:p>
            <w:pPr>
              <w:pStyle w:val="TableParagraph"/>
              <w:spacing w:before="1"/>
              <w:ind w:left="0"/>
              <w:rPr>
                <w:sz w:val="22"/>
              </w:rPr>
            </w:pPr>
          </w:p>
          <w:p>
            <w:pPr>
              <w:pStyle w:val="TableParagraph"/>
              <w:spacing w:before="0"/>
              <w:ind w:right="204"/>
              <w:jc w:val="both"/>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892" w:hRule="atLeast"/>
        </w:trPr>
        <w:tc>
          <w:tcPr>
            <w:tcW w:w="2062" w:type="dxa"/>
          </w:tcPr>
          <w:p>
            <w:pPr>
              <w:pStyle w:val="TableParagraph"/>
              <w:spacing w:before="42"/>
              <w:rPr>
                <w:sz w:val="22"/>
              </w:rPr>
            </w:pPr>
            <w:r>
              <w:rPr>
                <w:rFonts w:ascii="Cambria"/>
                <w:sz w:val="22"/>
              </w:rPr>
              <w:t>c </w:t>
            </w:r>
            <w:r>
              <w:rPr>
                <w:sz w:val="22"/>
              </w:rPr>
              <w:t>(Item Caption)</w:t>
            </w:r>
          </w:p>
        </w:tc>
        <w:tc>
          <w:tcPr>
            <w:tcW w:w="8250" w:type="dxa"/>
          </w:tcPr>
          <w:p>
            <w:pPr>
              <w:pStyle w:val="TableParagraph"/>
              <w:spacing w:before="42"/>
              <w:rPr>
                <w:sz w:val="22"/>
              </w:rPr>
            </w:pPr>
            <w:r>
              <w:rPr>
                <w:sz w:val="22"/>
              </w:rPr>
              <w:t>Specifies the item/member caption</w:t>
            </w:r>
          </w:p>
          <w:p>
            <w:pPr>
              <w:pStyle w:val="TableParagraph"/>
              <w:spacing w:before="10"/>
              <w:ind w:left="0"/>
              <w:rPr>
                <w:sz w:val="21"/>
              </w:rPr>
            </w:pPr>
          </w:p>
          <w:p>
            <w:pPr>
              <w:pStyle w:val="TableParagraph"/>
              <w:spacing w:before="0"/>
              <w:rPr>
                <w:sz w:val="22"/>
              </w:rPr>
            </w:pPr>
            <w:r>
              <w:rPr>
                <w:sz w:val="22"/>
              </w:rPr>
              <w:t>The possible values for this attribute are defined by the </w:t>
            </w:r>
            <w:r>
              <w:rPr>
                <w:rFonts w:ascii="Cambria"/>
                <w:sz w:val="22"/>
              </w:rPr>
              <w:t>ST_Xstring </w:t>
            </w:r>
            <w:r>
              <w:rPr>
                <w:sz w:val="22"/>
              </w:rPr>
              <w:t>simple 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(§22.9.2.19).</w:t>
            </w:r>
          </w:p>
        </w:tc>
      </w:tr>
      <w:tr>
        <w:trPr>
          <w:trHeight w:val="1158" w:hRule="atLeast"/>
        </w:trPr>
        <w:tc>
          <w:tcPr>
            <w:tcW w:w="2062" w:type="dxa"/>
          </w:tcPr>
          <w:p>
            <w:pPr>
              <w:pStyle w:val="TableParagraph"/>
              <w:ind w:right="480"/>
              <w:rPr>
                <w:sz w:val="22"/>
              </w:rPr>
            </w:pPr>
            <w:r>
              <w:rPr>
                <w:rFonts w:ascii="Cambria"/>
                <w:sz w:val="22"/>
              </w:rPr>
              <w:t>cp </w:t>
            </w:r>
            <w:r>
              <w:rPr>
                <w:sz w:val="22"/>
              </w:rPr>
              <w:t>(Member Property Count)</w:t>
            </w:r>
          </w:p>
        </w:tc>
        <w:tc>
          <w:tcPr>
            <w:tcW w:w="8250" w:type="dxa"/>
          </w:tcPr>
          <w:p>
            <w:pPr>
              <w:pStyle w:val="TableParagraph"/>
              <w:rPr>
                <w:sz w:val="22"/>
              </w:rPr>
            </w:pPr>
            <w:r>
              <w:rPr>
                <w:sz w:val="22"/>
              </w:rPr>
              <w:t>Specifies the number of member property values.</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2234" w:hRule="atLeast"/>
        </w:trPr>
        <w:tc>
          <w:tcPr>
            <w:tcW w:w="2062" w:type="dxa"/>
          </w:tcPr>
          <w:p>
            <w:pPr>
              <w:pStyle w:val="TableParagraph"/>
              <w:rPr>
                <w:sz w:val="22"/>
              </w:rPr>
            </w:pPr>
            <w:r>
              <w:rPr>
                <w:rFonts w:ascii="Cambria"/>
                <w:sz w:val="22"/>
              </w:rPr>
              <w:t>f </w:t>
            </w:r>
            <w:r>
              <w:rPr>
                <w:sz w:val="22"/>
              </w:rPr>
              <w:t>(Calculated Item)</w:t>
            </w:r>
          </w:p>
        </w:tc>
        <w:tc>
          <w:tcPr>
            <w:tcW w:w="8250" w:type="dxa"/>
          </w:tcPr>
          <w:p>
            <w:pPr>
              <w:pStyle w:val="TableParagraph"/>
              <w:spacing w:line="480" w:lineRule="auto"/>
              <w:ind w:right="1060"/>
              <w:rPr>
                <w:sz w:val="22"/>
              </w:rPr>
            </w:pPr>
            <w:r>
              <w:rPr>
                <w:sz w:val="22"/>
              </w:rPr>
              <w:t>Specifies a boolean value that indicates whether this is a calculated item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value is a calculated item value.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value is not a calculated item value.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8" w:hRule="atLeast"/>
        </w:trPr>
        <w:tc>
          <w:tcPr>
            <w:tcW w:w="2062" w:type="dxa"/>
          </w:tcPr>
          <w:p>
            <w:pPr>
              <w:pStyle w:val="TableParagraph"/>
              <w:spacing w:line="237" w:lineRule="auto" w:before="44"/>
              <w:ind w:right="591"/>
              <w:rPr>
                <w:sz w:val="22"/>
              </w:rPr>
            </w:pPr>
            <w:r>
              <w:rPr>
                <w:rFonts w:ascii="Cambria"/>
                <w:sz w:val="22"/>
              </w:rPr>
              <w:t>fc </w:t>
            </w:r>
            <w:r>
              <w:rPr>
                <w:sz w:val="22"/>
              </w:rPr>
              <w:t>(Foreground Color)</w:t>
            </w:r>
          </w:p>
        </w:tc>
        <w:tc>
          <w:tcPr>
            <w:tcW w:w="8250" w:type="dxa"/>
          </w:tcPr>
          <w:p>
            <w:pPr>
              <w:pStyle w:val="TableParagraph"/>
              <w:spacing w:before="42"/>
              <w:ind w:right="228"/>
              <w:rPr>
                <w:sz w:val="22"/>
              </w:rPr>
            </w:pPr>
            <w:r>
              <w:rPr>
                <w:sz w:val="22"/>
              </w:rPr>
              <w:t>Specifies the foreground color for this value that was provided by the OLAP server. This attribute applies to OLAP-based PivotTables only. The color is specified as a HEX value in RGB space.</w:t>
            </w:r>
          </w:p>
          <w:p>
            <w:pPr>
              <w:pStyle w:val="TableParagraph"/>
              <w:spacing w:before="2"/>
              <w:ind w:left="0"/>
              <w:rPr>
                <w:rFonts w:ascii="Times New Roman"/>
                <w:sz w:val="23"/>
              </w:rPr>
            </w:pPr>
          </w:p>
          <w:p>
            <w:pPr>
              <w:pStyle w:val="TableParagraph"/>
              <w:spacing w:before="1"/>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965" w:hRule="atLeast"/>
        </w:trPr>
        <w:tc>
          <w:tcPr>
            <w:tcW w:w="2062" w:type="dxa"/>
          </w:tcPr>
          <w:p>
            <w:pPr>
              <w:pStyle w:val="TableParagraph"/>
              <w:rPr>
                <w:sz w:val="22"/>
              </w:rPr>
            </w:pPr>
            <w:r>
              <w:rPr>
                <w:rFonts w:ascii="Cambria"/>
                <w:sz w:val="22"/>
              </w:rPr>
              <w:t>i </w:t>
            </w:r>
            <w:r>
              <w:rPr>
                <w:sz w:val="22"/>
              </w:rPr>
              <w:t>(Italic)</w:t>
            </w:r>
          </w:p>
        </w:tc>
        <w:tc>
          <w:tcPr>
            <w:tcW w:w="8250" w:type="dxa"/>
          </w:tcPr>
          <w:p>
            <w:pPr>
              <w:pStyle w:val="TableParagraph"/>
              <w:ind w:right="337"/>
              <w:rPr>
                <w:sz w:val="22"/>
              </w:rPr>
            </w:pPr>
            <w:r>
              <w:rPr>
                <w:sz w:val="22"/>
              </w:rPr>
              <w:t>Specifies a boolean value that indicates whether the value contains italic formatting on the OLAP server. This attribute applies to OLAP-based PivotTables only.</w:t>
            </w:r>
          </w:p>
          <w:p>
            <w:pPr>
              <w:pStyle w:val="TableParagraph"/>
              <w:spacing w:line="530" w:lineRule="atLeast" w:before="7"/>
              <w:ind w:right="690"/>
              <w:rPr>
                <w:rFonts w:ascii="Cambria"/>
                <w:sz w:val="22"/>
              </w:rPr>
            </w:pPr>
            <w:r>
              <w:rPr>
                <w:sz w:val="22"/>
              </w:rPr>
              <w:t>A value of </w:t>
            </w:r>
            <w:r>
              <w:rPr>
                <w:rFonts w:ascii="Consolas"/>
                <w:sz w:val="20"/>
              </w:rPr>
              <w:t>1 </w:t>
            </w:r>
            <w:r>
              <w:rPr>
                <w:sz w:val="22"/>
              </w:rPr>
              <w:t>or </w:t>
            </w:r>
            <w:r>
              <w:rPr>
                <w:rFonts w:ascii="Consolas"/>
                <w:sz w:val="20"/>
              </w:rPr>
              <w:t>true </w:t>
            </w:r>
            <w:r>
              <w:rPr>
                <w:sz w:val="22"/>
              </w:rPr>
              <w:t>indicates this value contains italic formatting on the server. The possible values for this attribute are defined by the W3C XML Schema </w:t>
            </w:r>
            <w:r>
              <w:rPr>
                <w:rFonts w:ascii="Cambria"/>
                <w:sz w:val="22"/>
              </w:rPr>
              <w:t>boolean</w:t>
            </w:r>
          </w:p>
          <w:p>
            <w:pPr>
              <w:pStyle w:val="TableParagraph"/>
              <w:spacing w:before="6"/>
              <w:rPr>
                <w:sz w:val="22"/>
              </w:rPr>
            </w:pPr>
            <w:r>
              <w:rPr>
                <w:sz w:val="22"/>
              </w:rPr>
              <w:t>datatype.</w:t>
            </w:r>
          </w:p>
        </w:tc>
      </w:tr>
      <w:tr>
        <w:trPr>
          <w:trHeight w:val="1430" w:hRule="atLeast"/>
        </w:trPr>
        <w:tc>
          <w:tcPr>
            <w:tcW w:w="2062" w:type="dxa"/>
          </w:tcPr>
          <w:p>
            <w:pPr>
              <w:pStyle w:val="TableParagraph"/>
              <w:rPr>
                <w:sz w:val="22"/>
              </w:rPr>
            </w:pPr>
            <w:r>
              <w:rPr>
                <w:rFonts w:ascii="Cambria"/>
                <w:sz w:val="22"/>
              </w:rPr>
              <w:t>in </w:t>
            </w:r>
            <w:r>
              <w:rPr>
                <w:sz w:val="22"/>
              </w:rPr>
              <w:t>(Format Index)</w:t>
            </w:r>
          </w:p>
        </w:tc>
        <w:tc>
          <w:tcPr>
            <w:tcW w:w="8250" w:type="dxa"/>
          </w:tcPr>
          <w:p>
            <w:pPr>
              <w:pStyle w:val="TableParagraph"/>
              <w:ind w:right="365"/>
              <w:rPr>
                <w:sz w:val="22"/>
              </w:rPr>
            </w:pPr>
            <w:r>
              <w:rPr>
                <w:sz w:val="22"/>
              </w:rPr>
              <w:t>Specifies the index to the OLAP </w:t>
            </w:r>
            <w:r>
              <w:rPr>
                <w:rFonts w:ascii="Cambria"/>
                <w:sz w:val="22"/>
              </w:rPr>
              <w:t>serverformat </w:t>
            </w:r>
            <w:r>
              <w:rPr>
                <w:sz w:val="22"/>
              </w:rPr>
              <w:t>element where the format string for this entry is stored.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965" w:hRule="atLeast"/>
        </w:trPr>
        <w:tc>
          <w:tcPr>
            <w:tcW w:w="2062" w:type="dxa"/>
          </w:tcPr>
          <w:p>
            <w:pPr>
              <w:pStyle w:val="TableParagraph"/>
              <w:rPr>
                <w:sz w:val="22"/>
              </w:rPr>
            </w:pPr>
            <w:r>
              <w:rPr>
                <w:rFonts w:ascii="Cambria"/>
                <w:sz w:val="22"/>
              </w:rPr>
              <w:t>st </w:t>
            </w:r>
            <w:r>
              <w:rPr>
                <w:sz w:val="22"/>
              </w:rPr>
              <w:t>(Strikethrough)</w:t>
            </w:r>
          </w:p>
        </w:tc>
        <w:tc>
          <w:tcPr>
            <w:tcW w:w="8250" w:type="dxa"/>
          </w:tcPr>
          <w:p>
            <w:pPr>
              <w:pStyle w:val="TableParagraph"/>
              <w:ind w:right="457"/>
              <w:rPr>
                <w:sz w:val="22"/>
              </w:rPr>
            </w:pPr>
            <w:r>
              <w:rPr>
                <w:sz w:val="22"/>
              </w:rPr>
              <w:t>Specifies a boolean value that indicates whether the value contains strikethrough formatting on the OLAP server. This attribute applies to OLAP-based PivotTables only.</w:t>
            </w:r>
          </w:p>
          <w:p>
            <w:pPr>
              <w:pStyle w:val="TableParagraph"/>
              <w:spacing w:line="538" w:lineRule="exact" w:before="46"/>
              <w:ind w:right="201"/>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value contains strikethrough formatting on the server.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1429" w:hRule="atLeast"/>
        </w:trPr>
        <w:tc>
          <w:tcPr>
            <w:tcW w:w="2062" w:type="dxa"/>
          </w:tcPr>
          <w:p>
            <w:pPr>
              <w:pStyle w:val="TableParagraph"/>
              <w:rPr>
                <w:sz w:val="22"/>
              </w:rPr>
            </w:pPr>
            <w:r>
              <w:rPr>
                <w:rFonts w:ascii="Cambria"/>
                <w:sz w:val="22"/>
              </w:rPr>
              <w:t>u </w:t>
            </w:r>
            <w:r>
              <w:rPr>
                <w:sz w:val="22"/>
              </w:rPr>
              <w:t>(Unused Item)</w:t>
            </w:r>
          </w:p>
        </w:tc>
        <w:tc>
          <w:tcPr>
            <w:tcW w:w="8250" w:type="dxa"/>
          </w:tcPr>
          <w:p>
            <w:pPr>
              <w:pStyle w:val="TableParagraph"/>
              <w:ind w:right="305"/>
              <w:rPr>
                <w:sz w:val="22"/>
              </w:rPr>
            </w:pPr>
            <w:r>
              <w:rPr>
                <w:sz w:val="22"/>
              </w:rPr>
              <w:t>Specifies a boolean value that indicates whether this is an unused item. The application marks an item as unused when an item is deleted from the data source. The item and associated metadata are retained in the cache until the threshold for unused items specified in </w:t>
            </w:r>
            <w:r>
              <w:rPr>
                <w:rFonts w:ascii="Cambria"/>
                <w:sz w:val="22"/>
              </w:rPr>
              <w:t>missingItemsLimit </w:t>
            </w:r>
            <w:r>
              <w:rPr>
                <w:sz w:val="22"/>
              </w:rPr>
              <w:t>is reached.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3567"/>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this item is not used.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used.</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968" w:hRule="atLeast"/>
        </w:trPr>
        <w:tc>
          <w:tcPr>
            <w:tcW w:w="2062" w:type="dxa"/>
          </w:tcPr>
          <w:p>
            <w:pPr>
              <w:pStyle w:val="TableParagraph"/>
              <w:rPr>
                <w:sz w:val="22"/>
              </w:rPr>
            </w:pPr>
            <w:r>
              <w:rPr>
                <w:rFonts w:ascii="Cambria"/>
                <w:sz w:val="22"/>
              </w:rPr>
              <w:t>un </w:t>
            </w:r>
            <w:r>
              <w:rPr>
                <w:sz w:val="22"/>
              </w:rPr>
              <w:t>(Underline)</w:t>
            </w:r>
          </w:p>
        </w:tc>
        <w:tc>
          <w:tcPr>
            <w:tcW w:w="8250" w:type="dxa"/>
          </w:tcPr>
          <w:p>
            <w:pPr>
              <w:pStyle w:val="TableParagraph"/>
              <w:ind w:right="183"/>
              <w:rPr>
                <w:sz w:val="22"/>
              </w:rPr>
            </w:pPr>
            <w:r>
              <w:rPr>
                <w:sz w:val="22"/>
              </w:rPr>
              <w:t>Specifies a boolean value that indicates whether the value contains underline formatting on the OLAP server. This attribute applies to OLAP-based PivotTables only.</w:t>
            </w:r>
          </w:p>
          <w:p>
            <w:pPr>
              <w:pStyle w:val="TableParagraph"/>
              <w:spacing w:line="530" w:lineRule="atLeast" w:before="7"/>
              <w:ind w:right="555"/>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value contains underline formatting on the server. The possible values for this attribute are defined by the W3C XML Schema </w:t>
            </w:r>
            <w:r>
              <w:rPr>
                <w:rFonts w:ascii="Cambria"/>
                <w:sz w:val="22"/>
              </w:rPr>
              <w:t>boolean</w:t>
            </w:r>
          </w:p>
          <w:p>
            <w:pPr>
              <w:pStyle w:val="TableParagraph"/>
              <w:spacing w:before="9"/>
              <w:rPr>
                <w:sz w:val="22"/>
              </w:rPr>
            </w:pPr>
            <w:r>
              <w:rPr>
                <w:sz w:val="22"/>
              </w:rPr>
              <w:t>datatype.</w:t>
            </w:r>
          </w:p>
        </w:tc>
      </w:tr>
      <w:tr>
        <w:trPr>
          <w:trHeight w:val="4475" w:hRule="atLeast"/>
        </w:trPr>
        <w:tc>
          <w:tcPr>
            <w:tcW w:w="2062" w:type="dxa"/>
          </w:tcPr>
          <w:p>
            <w:pPr>
              <w:pStyle w:val="TableParagraph"/>
              <w:rPr>
                <w:sz w:val="22"/>
              </w:rPr>
            </w:pPr>
            <w:r>
              <w:rPr>
                <w:rFonts w:ascii="Cambria"/>
                <w:sz w:val="22"/>
              </w:rPr>
              <w:t>v </w:t>
            </w:r>
            <w:r>
              <w:rPr>
                <w:sz w:val="22"/>
              </w:rPr>
              <w:t>(Value)</w:t>
            </w:r>
          </w:p>
        </w:tc>
        <w:tc>
          <w:tcPr>
            <w:tcW w:w="8250" w:type="dxa"/>
          </w:tcPr>
          <w:p>
            <w:pPr>
              <w:pStyle w:val="TableParagraph"/>
              <w:ind w:right="444"/>
              <w:rPr>
                <w:sz w:val="22"/>
              </w:rPr>
            </w:pPr>
            <w:r>
              <w:rPr>
                <w:sz w:val="22"/>
              </w:rPr>
              <w:t>Specifies the value of the item. This attribute depends on how the application records errors.</w:t>
            </w:r>
          </w:p>
          <w:p>
            <w:pPr>
              <w:pStyle w:val="TableParagraph"/>
              <w:spacing w:before="0"/>
              <w:ind w:right="247"/>
              <w:rPr>
                <w:sz w:val="22"/>
              </w:rPr>
            </w:pPr>
            <w:r>
              <w:rPr>
                <w:sz w:val="22"/>
              </w:rPr>
              <w:t>[</w:t>
            </w:r>
            <w:r>
              <w:rPr>
                <w:i/>
                <w:sz w:val="22"/>
              </w:rPr>
              <w:t>Note</w:t>
            </w:r>
            <w:r>
              <w:rPr>
                <w:sz w:val="22"/>
              </w:rPr>
              <w:t>: While the error values are determined by the application, the following are some example error values that could be used:</w:t>
            </w:r>
          </w:p>
          <w:p>
            <w:pPr>
              <w:pStyle w:val="TableParagraph"/>
              <w:numPr>
                <w:ilvl w:val="0"/>
                <w:numId w:val="48"/>
              </w:numPr>
              <w:tabs>
                <w:tab w:pos="834" w:val="left" w:leader="none"/>
                <w:tab w:pos="835" w:val="left" w:leader="none"/>
              </w:tabs>
              <w:spacing w:line="240" w:lineRule="auto" w:before="0" w:after="0"/>
              <w:ind w:left="835" w:right="0" w:hanging="360"/>
              <w:jc w:val="left"/>
              <w:rPr>
                <w:sz w:val="22"/>
              </w:rPr>
            </w:pPr>
            <w:r>
              <w:rPr>
                <w:sz w:val="22"/>
              </w:rPr>
              <w:t>#DIV/0!</w:t>
            </w:r>
          </w:p>
          <w:p>
            <w:pPr>
              <w:pStyle w:val="TableParagraph"/>
              <w:numPr>
                <w:ilvl w:val="0"/>
                <w:numId w:val="48"/>
              </w:numPr>
              <w:tabs>
                <w:tab w:pos="834" w:val="left" w:leader="none"/>
                <w:tab w:pos="835" w:val="left" w:leader="none"/>
              </w:tabs>
              <w:spacing w:line="240" w:lineRule="auto" w:before="0" w:after="0"/>
              <w:ind w:left="835" w:right="0" w:hanging="360"/>
              <w:jc w:val="left"/>
              <w:rPr>
                <w:sz w:val="22"/>
              </w:rPr>
            </w:pPr>
            <w:r>
              <w:rPr>
                <w:sz w:val="22"/>
              </w:rPr>
              <w:t>#NAME?</w:t>
            </w:r>
          </w:p>
          <w:p>
            <w:pPr>
              <w:pStyle w:val="TableParagraph"/>
              <w:numPr>
                <w:ilvl w:val="0"/>
                <w:numId w:val="48"/>
              </w:numPr>
              <w:tabs>
                <w:tab w:pos="834" w:val="left" w:leader="none"/>
                <w:tab w:pos="835" w:val="left" w:leader="none"/>
              </w:tabs>
              <w:spacing w:line="240" w:lineRule="auto" w:before="0" w:after="0"/>
              <w:ind w:left="835" w:right="0" w:hanging="360"/>
              <w:jc w:val="left"/>
              <w:rPr>
                <w:sz w:val="22"/>
              </w:rPr>
            </w:pPr>
            <w:r>
              <w:rPr>
                <w:sz w:val="22"/>
              </w:rPr>
              <w:t>#VALUE!</w:t>
            </w:r>
          </w:p>
          <w:p>
            <w:pPr>
              <w:pStyle w:val="TableParagraph"/>
              <w:numPr>
                <w:ilvl w:val="0"/>
                <w:numId w:val="48"/>
              </w:numPr>
              <w:tabs>
                <w:tab w:pos="834" w:val="left" w:leader="none"/>
                <w:tab w:pos="835" w:val="left" w:leader="none"/>
              </w:tabs>
              <w:spacing w:line="279" w:lineRule="exact" w:before="0" w:after="0"/>
              <w:ind w:left="835" w:right="0" w:hanging="360"/>
              <w:jc w:val="left"/>
              <w:rPr>
                <w:sz w:val="22"/>
              </w:rPr>
            </w:pPr>
            <w:r>
              <w:rPr>
                <w:sz w:val="22"/>
              </w:rPr>
              <w:t>#NULL!</w:t>
            </w:r>
          </w:p>
          <w:p>
            <w:pPr>
              <w:pStyle w:val="TableParagraph"/>
              <w:numPr>
                <w:ilvl w:val="0"/>
                <w:numId w:val="48"/>
              </w:numPr>
              <w:tabs>
                <w:tab w:pos="834" w:val="left" w:leader="none"/>
                <w:tab w:pos="835" w:val="left" w:leader="none"/>
              </w:tabs>
              <w:spacing w:line="279" w:lineRule="exact" w:before="0" w:after="0"/>
              <w:ind w:left="835" w:right="0" w:hanging="360"/>
              <w:jc w:val="left"/>
              <w:rPr>
                <w:sz w:val="22"/>
              </w:rPr>
            </w:pPr>
            <w:r>
              <w:rPr>
                <w:sz w:val="22"/>
              </w:rPr>
              <w:t>#NUM!</w:t>
            </w:r>
          </w:p>
          <w:p>
            <w:pPr>
              <w:pStyle w:val="TableParagraph"/>
              <w:numPr>
                <w:ilvl w:val="0"/>
                <w:numId w:val="48"/>
              </w:numPr>
              <w:tabs>
                <w:tab w:pos="834" w:val="left" w:leader="none"/>
                <w:tab w:pos="835" w:val="left" w:leader="none"/>
              </w:tabs>
              <w:spacing w:line="240" w:lineRule="auto" w:before="1" w:after="0"/>
              <w:ind w:left="835" w:right="0" w:hanging="360"/>
              <w:jc w:val="left"/>
              <w:rPr>
                <w:sz w:val="22"/>
              </w:rPr>
            </w:pPr>
            <w:r>
              <w:rPr>
                <w:sz w:val="22"/>
              </w:rPr>
              <w:t>#REF!</w:t>
            </w:r>
          </w:p>
          <w:p>
            <w:pPr>
              <w:pStyle w:val="TableParagraph"/>
              <w:numPr>
                <w:ilvl w:val="0"/>
                <w:numId w:val="48"/>
              </w:numPr>
              <w:tabs>
                <w:tab w:pos="834" w:val="left" w:leader="none"/>
                <w:tab w:pos="835" w:val="left" w:leader="none"/>
              </w:tabs>
              <w:spacing w:line="240" w:lineRule="auto" w:before="0" w:after="0"/>
              <w:ind w:left="835" w:right="0" w:hanging="360"/>
              <w:jc w:val="left"/>
              <w:rPr>
                <w:sz w:val="22"/>
              </w:rPr>
            </w:pPr>
            <w:r>
              <w:rPr>
                <w:sz w:val="22"/>
              </w:rPr>
              <w:t>#N/A</w:t>
            </w:r>
          </w:p>
          <w:p>
            <w:pPr>
              <w:pStyle w:val="TableParagraph"/>
              <w:numPr>
                <w:ilvl w:val="0"/>
                <w:numId w:val="48"/>
              </w:numPr>
              <w:tabs>
                <w:tab w:pos="834" w:val="left" w:leader="none"/>
                <w:tab w:pos="835" w:val="left" w:leader="none"/>
              </w:tabs>
              <w:spacing w:line="279" w:lineRule="exact" w:before="1" w:after="0"/>
              <w:ind w:left="835" w:right="0" w:hanging="360"/>
              <w:jc w:val="left"/>
              <w:rPr>
                <w:sz w:val="22"/>
              </w:rPr>
            </w:pPr>
            <w:r>
              <w:rPr>
                <w:sz w:val="22"/>
              </w:rPr>
              <w:t>#GETTING_DATA</w:t>
            </w:r>
          </w:p>
          <w:p>
            <w:pPr>
              <w:pStyle w:val="TableParagraph"/>
              <w:spacing w:line="267" w:lineRule="exact" w:before="0"/>
              <w:rPr>
                <w:sz w:val="22"/>
              </w:rPr>
            </w:pPr>
            <w:r>
              <w:rPr>
                <w:i/>
                <w:sz w:val="22"/>
              </w:rPr>
              <w:t>end note</w:t>
            </w:r>
            <w:r>
              <w:rPr>
                <w:sz w:val="22"/>
              </w:rPr>
              <w:t>]</w:t>
            </w:r>
          </w:p>
          <w:p>
            <w:pPr>
              <w:pStyle w:val="TableParagraph"/>
              <w:spacing w:before="4"/>
              <w:ind w:left="0"/>
              <w:rPr>
                <w:rFonts w:ascii="Times New Roman"/>
                <w:sz w:val="23"/>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CT_Error</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28 entries (Entries)" w:id="833"/>
      <w:bookmarkEnd w:id="833"/>
      <w:r>
        <w:rPr/>
      </w:r>
      <w:bookmarkStart w:name="_bookmark276" w:id="834"/>
      <w:bookmarkEnd w:id="834"/>
      <w:r>
        <w:rPr/>
      </w:r>
      <w:bookmarkStart w:name="_bookmark276" w:id="835"/>
      <w:bookmarkEnd w:id="835"/>
      <w:r>
        <w:rPr>
          <w:color w:val="4F81BC"/>
        </w:rPr>
        <w:t>en</w:t>
      </w:r>
      <w:r>
        <w:rPr>
          <w:color w:val="4F81BC"/>
        </w:rPr>
        <w:t>tries (Entries)</w:t>
      </w:r>
    </w:p>
    <w:p>
      <w:pPr>
        <w:pStyle w:val="BodyText"/>
        <w:spacing w:before="121"/>
        <w:ind w:left="220"/>
      </w:pPr>
      <w:r>
        <w:rPr/>
        <w:t>Represents the collection of OLAP sheet data entries.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75" w:right="90"/>
              <w:jc w:val="center"/>
              <w:rPr>
                <w:sz w:val="22"/>
              </w:rPr>
            </w:pPr>
            <w:r>
              <w:rPr>
                <w:rFonts w:ascii="Cambria"/>
                <w:sz w:val="22"/>
              </w:rPr>
              <w:t>count </w:t>
            </w:r>
            <w:r>
              <w:rPr>
                <w:sz w:val="22"/>
              </w:rPr>
              <w:t>(Tuple Count)</w:t>
            </w:r>
          </w:p>
        </w:tc>
        <w:tc>
          <w:tcPr>
            <w:tcW w:w="8250" w:type="dxa"/>
          </w:tcPr>
          <w:p>
            <w:pPr>
              <w:pStyle w:val="TableParagraph"/>
              <w:rPr>
                <w:sz w:val="22"/>
              </w:rPr>
            </w:pPr>
            <w:r>
              <w:rPr>
                <w:sz w:val="22"/>
              </w:rPr>
              <w:t>Specifies the number of tuple entries.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footerReference w:type="even" r:id="rId115"/>
          <w:footerReference w:type="default" r:id="rId116"/>
          <w:pgSz w:w="12240" w:h="15840"/>
          <w:pgMar w:footer="746" w:header="761" w:top="1340" w:bottom="940" w:left="860" w:right="700"/>
          <w:pgNumType w:start="1850"/>
        </w:sectPr>
      </w:pPr>
    </w:p>
    <w:p>
      <w:pPr>
        <w:pStyle w:val="BodyText"/>
        <w:spacing w:before="148"/>
        <w:ind w:left="220"/>
      </w:pPr>
      <w:r>
        <w:rPr/>
        <w:t>[</w:t>
      </w:r>
      <w:r>
        <w:rPr>
          <w:i/>
        </w:rPr>
        <w:t>Note</w:t>
      </w:r>
      <w:r>
        <w:rPr/>
        <w:t>: The W3C XML Schema definition of this element’s content model (</w:t>
      </w:r>
      <w:r>
        <w:rPr>
          <w:color w:val="5F5F5F"/>
          <w:u w:val="single" w:color="5F5F5F"/>
        </w:rPr>
        <w:t>CT_PCDSDTCEntries</w:t>
      </w:r>
      <w:r>
        <w:rPr/>
        <w:t>) is located in §A.2.</w:t>
      </w:r>
    </w:p>
    <w:p>
      <w:pPr>
        <w:spacing w:before="44"/>
        <w:ind w:left="220" w:right="0" w:firstLine="0"/>
        <w:jc w:val="left"/>
        <w:rPr>
          <w:sz w:val="22"/>
        </w:rPr>
      </w:pPr>
      <w:r>
        <w:rPr>
          <w:i/>
          <w:sz w:val="22"/>
        </w:rPr>
        <w:t>end note</w:t>
      </w:r>
      <w:r>
        <w:rPr>
          <w:sz w:val="22"/>
        </w:rPr>
        <w:t>]</w:t>
      </w:r>
    </w:p>
    <w:p>
      <w:pPr>
        <w:pStyle w:val="BodyText"/>
        <w:spacing w:before="8"/>
        <w:rPr>
          <w:sz w:val="19"/>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29 field (Field)" w:id="836"/>
      <w:bookmarkEnd w:id="836"/>
      <w:r>
        <w:rPr/>
      </w:r>
      <w:bookmarkStart w:name="_bookmark277" w:id="837"/>
      <w:bookmarkEnd w:id="837"/>
      <w:r>
        <w:rPr/>
      </w:r>
      <w:bookmarkStart w:name="_bookmark277" w:id="838"/>
      <w:bookmarkEnd w:id="838"/>
      <w:r>
        <w:rPr>
          <w:color w:val="4F81BC"/>
        </w:rPr>
        <w:t>field</w:t>
      </w:r>
      <w:r>
        <w:rPr>
          <w:color w:val="4F81BC"/>
          <w:spacing w:val="-3"/>
        </w:rPr>
        <w:t> </w:t>
      </w:r>
      <w:r>
        <w:rPr>
          <w:color w:val="4F81BC"/>
        </w:rPr>
        <w:t>(Field)</w:t>
      </w:r>
    </w:p>
    <w:p>
      <w:pPr>
        <w:pStyle w:val="BodyText"/>
        <w:spacing w:line="276" w:lineRule="auto" w:before="118"/>
        <w:ind w:left="220" w:right="400"/>
      </w:pPr>
      <w:r>
        <w:rPr/>
        <w:t>Represents a generic field that can appear either on the column or the row region of the PivotTable. There areas many </w:t>
      </w:r>
      <w:r>
        <w:rPr>
          <w:rFonts w:ascii="Consolas"/>
        </w:rPr>
        <w:t>&lt;x&gt;</w:t>
      </w:r>
      <w:r>
        <w:rPr>
          <w:rFonts w:ascii="Consolas"/>
          <w:spacing w:val="-81"/>
        </w:rPr>
        <w:t> </w:t>
      </w:r>
      <w:r>
        <w:rPr/>
        <w:t>elements as there are item values in any particular column or row.</w:t>
      </w:r>
    </w:p>
    <w:p>
      <w:pPr>
        <w:pStyle w:val="BodyText"/>
        <w:spacing w:before="6"/>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&lt;sh:field x="2"/&gt;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6" w:hRule="atLeast"/>
        </w:trPr>
        <w:tc>
          <w:tcPr>
            <w:tcW w:w="2062" w:type="dxa"/>
          </w:tcPr>
          <w:p>
            <w:pPr>
              <w:pStyle w:val="TableParagraph"/>
              <w:rPr>
                <w:sz w:val="22"/>
              </w:rPr>
            </w:pPr>
            <w:r>
              <w:rPr>
                <w:rFonts w:ascii="Cambria"/>
                <w:sz w:val="22"/>
              </w:rPr>
              <w:t>x </w:t>
            </w:r>
            <w:r>
              <w:rPr>
                <w:sz w:val="22"/>
              </w:rPr>
              <w:t>(Field Index)</w:t>
            </w:r>
          </w:p>
        </w:tc>
        <w:tc>
          <w:tcPr>
            <w:tcW w:w="8250" w:type="dxa"/>
          </w:tcPr>
          <w:p>
            <w:pPr>
              <w:pStyle w:val="TableParagraph"/>
              <w:ind w:right="147"/>
              <w:rPr>
                <w:sz w:val="22"/>
              </w:rPr>
            </w:pPr>
            <w:r>
              <w:rPr>
                <w:sz w:val="22"/>
              </w:rPr>
              <w:t>Specifies the index to a </w:t>
            </w:r>
            <w:r>
              <w:rPr>
                <w:rFonts w:ascii="Cambria"/>
                <w:sz w:val="22"/>
              </w:rPr>
              <w:t>pivotField </w:t>
            </w:r>
            <w:r>
              <w:rPr>
                <w:sz w:val="22"/>
              </w:rPr>
              <w:t>item value. There are as many </w:t>
            </w:r>
            <w:r>
              <w:rPr>
                <w:rFonts w:ascii="Cambria"/>
                <w:sz w:val="22"/>
              </w:rPr>
              <w:t>x </w:t>
            </w:r>
            <w:r>
              <w:rPr>
                <w:sz w:val="22"/>
              </w:rPr>
              <w:t>elements as there are item values in any particular column. Note that these </w:t>
            </w:r>
            <w:r>
              <w:rPr>
                <w:rFonts w:ascii="Cambria"/>
                <w:sz w:val="22"/>
              </w:rPr>
              <w:t>x </w:t>
            </w:r>
            <w:r>
              <w:rPr>
                <w:sz w:val="22"/>
              </w:rPr>
              <w:t>elements sometimes are not explicitly written, but instead "inherited" from the previous column or </w:t>
            </w:r>
            <w:r>
              <w:rPr>
                <w:rFonts w:ascii="Cambria"/>
                <w:sz w:val="22"/>
              </w:rPr>
              <w:t>i </w:t>
            </w:r>
            <w:r>
              <w:rPr>
                <w:sz w:val="22"/>
              </w:rPr>
              <w:t>element, via the value of </w:t>
            </w:r>
            <w:r>
              <w:rPr>
                <w:rFonts w:ascii="Cambria"/>
                <w:sz w:val="22"/>
              </w:rPr>
              <w:t>@r</w:t>
            </w:r>
            <w:r>
              <w:rPr>
                <w:sz w:val="22"/>
              </w:rPr>
              <w:t>. The </w:t>
            </w:r>
            <w:r>
              <w:rPr>
                <w:rFonts w:ascii="Cambria"/>
                <w:sz w:val="22"/>
              </w:rPr>
              <w:t>pivotField </w:t>
            </w:r>
            <w:r>
              <w:rPr>
                <w:sz w:val="22"/>
              </w:rPr>
              <w:t>items don't list values explicitly, but instead reference a shared item value in the </w:t>
            </w:r>
            <w:r>
              <w:rPr>
                <w:rFonts w:ascii="Cambria"/>
                <w:sz w:val="22"/>
              </w:rPr>
              <w:t>pivotCacheDefinition </w:t>
            </w:r>
            <w:r>
              <w:rPr>
                <w:sz w:val="22"/>
              </w:rPr>
              <w:t>part. The first instance of </w:t>
            </w:r>
            <w:r>
              <w:rPr>
                <w:rFonts w:ascii="Cambria"/>
                <w:sz w:val="22"/>
              </w:rPr>
              <w:t>x </w:t>
            </w:r>
            <w:r>
              <w:rPr>
                <w:sz w:val="22"/>
              </w:rPr>
              <w:t>has no attribute value </w:t>
            </w:r>
            <w:r>
              <w:rPr>
                <w:rFonts w:ascii="Cambria"/>
                <w:sz w:val="22"/>
              </w:rPr>
              <w:t>@v </w:t>
            </w:r>
            <w:r>
              <w:rPr>
                <w:sz w:val="22"/>
              </w:rPr>
              <w:t>associated with it, so the default value for </w:t>
            </w:r>
            <w:r>
              <w:rPr>
                <w:rFonts w:ascii="Cambria"/>
                <w:sz w:val="22"/>
              </w:rPr>
              <w:t>@v </w:t>
            </w:r>
            <w:r>
              <w:rPr>
                <w:sz w:val="22"/>
              </w:rPr>
              <w:t>is assumed to be "0".</w:t>
            </w:r>
          </w:p>
          <w:p>
            <w:pPr>
              <w:pStyle w:val="TableParagraph"/>
              <w:spacing w:before="1"/>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CT_Field</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30 fieldGroup (Field Group Prope" w:id="839"/>
      <w:bookmarkEnd w:id="839"/>
      <w:r>
        <w:rPr/>
      </w:r>
      <w:bookmarkStart w:name="_bookmark278" w:id="840"/>
      <w:bookmarkEnd w:id="840"/>
      <w:r>
        <w:rPr/>
      </w:r>
      <w:bookmarkStart w:name="_bookmark278" w:id="841"/>
      <w:bookmarkEnd w:id="841"/>
      <w:r>
        <w:rPr>
          <w:color w:val="4F81BC"/>
        </w:rPr>
        <w:t>fiel</w:t>
      </w:r>
      <w:r>
        <w:rPr>
          <w:color w:val="4F81BC"/>
        </w:rPr>
        <w:t>dGroup (Field Group</w:t>
      </w:r>
      <w:r>
        <w:rPr>
          <w:color w:val="4F81BC"/>
          <w:spacing w:val="-4"/>
        </w:rPr>
        <w:t> </w:t>
      </w:r>
      <w:r>
        <w:rPr>
          <w:color w:val="4F81BC"/>
        </w:rPr>
        <w:t>Properties)</w:t>
      </w:r>
    </w:p>
    <w:p>
      <w:pPr>
        <w:pStyle w:val="BodyText"/>
        <w:spacing w:line="453" w:lineRule="auto" w:before="121"/>
        <w:ind w:left="220" w:right="5419"/>
      </w:pPr>
      <w:r>
        <w:rPr/>
        <w:t>Represents the collection of properties for a field group. [</w:t>
      </w:r>
      <w:r>
        <w:rPr>
          <w:i/>
        </w:rPr>
        <w:t>Example</w:t>
      </w:r>
      <w:r>
        <w:rPr/>
        <w:t>:</w:t>
      </w:r>
    </w:p>
    <w:p>
      <w:pPr>
        <w:pStyle w:val="BodyText"/>
        <w:spacing w:before="2"/>
        <w:ind w:left="508"/>
        <w:rPr>
          <w:rFonts w:ascii="Consolas" w:hAnsi="Consolas"/>
        </w:rPr>
      </w:pPr>
      <w:r>
        <w:rPr>
          <w:rFonts w:ascii="Consolas" w:hAnsi="Consolas"/>
          <w:w w:val="100"/>
        </w:rPr>
        <w:t>…</w:t>
      </w:r>
    </w:p>
    <w:p>
      <w:pPr>
        <w:pStyle w:val="BodyText"/>
        <w:spacing w:before="38"/>
        <w:ind w:left="750"/>
        <w:rPr>
          <w:rFonts w:ascii="Consolas"/>
        </w:rPr>
      </w:pPr>
      <w:r>
        <w:rPr>
          <w:rFonts w:ascii="Consolas"/>
        </w:rPr>
        <w:t>&lt;fieldGroup par="6" base="0"&gt;</w:t>
      </w:r>
    </w:p>
    <w:p>
      <w:pPr>
        <w:pStyle w:val="BodyText"/>
        <w:spacing w:line="276" w:lineRule="auto" w:before="40"/>
        <w:ind w:left="1235" w:right="2791" w:hanging="243"/>
        <w:rPr>
          <w:rFonts w:ascii="Consolas"/>
        </w:rPr>
      </w:pPr>
      <w:r>
        <w:rPr>
          <w:rFonts w:ascii="Consolas"/>
        </w:rPr>
        <w:t>&lt;rangePr groupBy="months" startDate="2002-01-01T00:00:00" endDate="2006-05-06T00:00:00"/&gt;</w:t>
      </w:r>
    </w:p>
    <w:p>
      <w:pPr>
        <w:pStyle w:val="BodyText"/>
        <w:spacing w:line="256" w:lineRule="exact"/>
        <w:ind w:left="993"/>
        <w:rPr>
          <w:rFonts w:ascii="Consolas"/>
        </w:rPr>
      </w:pPr>
      <w:r>
        <w:rPr>
          <w:rFonts w:ascii="Consolas"/>
        </w:rPr>
        <w:t>&lt;groupItems</w:t>
      </w:r>
      <w:r>
        <w:rPr>
          <w:rFonts w:ascii="Consolas"/>
          <w:spacing w:val="-16"/>
        </w:rPr>
        <w:t> </w:t>
      </w:r>
      <w:r>
        <w:rPr>
          <w:rFonts w:ascii="Consolas"/>
        </w:rPr>
        <w:t>count="14"&gt;</w:t>
      </w:r>
    </w:p>
    <w:p>
      <w:pPr>
        <w:pStyle w:val="BodyText"/>
        <w:spacing w:before="40"/>
        <w:ind w:left="1235"/>
        <w:rPr>
          <w:rFonts w:ascii="Consolas"/>
        </w:rPr>
      </w:pPr>
      <w:r>
        <w:rPr>
          <w:rFonts w:ascii="Consolas"/>
        </w:rPr>
        <w:t>&lt;s</w:t>
      </w:r>
      <w:r>
        <w:rPr>
          <w:rFonts w:ascii="Consolas"/>
          <w:spacing w:val="-15"/>
        </w:rPr>
        <w:t> </w:t>
      </w:r>
      <w:r>
        <w:rPr>
          <w:rFonts w:ascii="Consolas"/>
        </w:rPr>
        <w:t>v="&amp;lt;1/1/2002"/&gt;</w:t>
      </w:r>
    </w:p>
    <w:p>
      <w:pPr>
        <w:pStyle w:val="BodyText"/>
        <w:spacing w:before="37"/>
        <w:ind w:left="1235"/>
        <w:rPr>
          <w:rFonts w:ascii="Consolas"/>
        </w:rPr>
      </w:pPr>
      <w:r>
        <w:rPr>
          <w:rFonts w:ascii="Consolas"/>
        </w:rPr>
        <w:t>&lt;s</w:t>
      </w:r>
      <w:r>
        <w:rPr>
          <w:rFonts w:ascii="Consolas"/>
          <w:spacing w:val="-9"/>
        </w:rPr>
        <w:t> </w:t>
      </w:r>
      <w:r>
        <w:rPr>
          <w:rFonts w:ascii="Consolas"/>
        </w:rPr>
        <w:t>v="Jan"/&gt;</w:t>
      </w:r>
    </w:p>
    <w:p>
      <w:pPr>
        <w:pStyle w:val="BodyText"/>
        <w:spacing w:before="41"/>
        <w:ind w:left="1235"/>
        <w:rPr>
          <w:rFonts w:ascii="Consolas"/>
        </w:rPr>
      </w:pPr>
      <w:r>
        <w:rPr>
          <w:rFonts w:ascii="Consolas"/>
        </w:rPr>
        <w:t>&lt;s</w:t>
      </w:r>
      <w:r>
        <w:rPr>
          <w:rFonts w:ascii="Consolas"/>
          <w:spacing w:val="-9"/>
        </w:rPr>
        <w:t> </w:t>
      </w:r>
      <w:r>
        <w:rPr>
          <w:rFonts w:ascii="Consolas"/>
        </w:rPr>
        <w:t>v="Feb"/&gt;</w:t>
      </w:r>
    </w:p>
    <w:p>
      <w:pPr>
        <w:pStyle w:val="BodyText"/>
        <w:spacing w:before="38"/>
        <w:ind w:left="1235"/>
        <w:rPr>
          <w:rFonts w:ascii="Consolas"/>
        </w:rPr>
      </w:pPr>
      <w:r>
        <w:rPr>
          <w:rFonts w:ascii="Consolas"/>
        </w:rPr>
        <w:t>&lt;s</w:t>
      </w:r>
      <w:r>
        <w:rPr>
          <w:rFonts w:ascii="Consolas"/>
          <w:spacing w:val="-9"/>
        </w:rPr>
        <w:t> </w:t>
      </w:r>
      <w:r>
        <w:rPr>
          <w:rFonts w:ascii="Consolas"/>
        </w:rPr>
        <w:t>v="Mar"/&gt;</w:t>
      </w:r>
    </w:p>
    <w:p>
      <w:pPr>
        <w:spacing w:after="0"/>
        <w:rPr>
          <w:rFonts w:ascii="Consolas"/>
        </w:rPr>
        <w:sectPr>
          <w:pgSz w:w="12240" w:h="15840"/>
          <w:pgMar w:header="763" w:footer="746" w:top="1340" w:bottom="940" w:left="860" w:right="700"/>
        </w:sectPr>
      </w:pPr>
    </w:p>
    <w:p>
      <w:pPr>
        <w:pStyle w:val="BodyText"/>
        <w:spacing w:before="93"/>
        <w:ind w:left="1235"/>
        <w:rPr>
          <w:rFonts w:ascii="Consolas"/>
        </w:rPr>
      </w:pPr>
      <w:r>
        <w:rPr>
          <w:rFonts w:ascii="Consolas"/>
        </w:rPr>
        <w:t>&lt;s</w:t>
      </w:r>
      <w:r>
        <w:rPr>
          <w:rFonts w:ascii="Consolas"/>
          <w:spacing w:val="-9"/>
        </w:rPr>
        <w:t> </w:t>
      </w:r>
      <w:r>
        <w:rPr>
          <w:rFonts w:ascii="Consolas"/>
        </w:rPr>
        <w:t>v="Apr"/&gt;</w:t>
      </w:r>
    </w:p>
    <w:p>
      <w:pPr>
        <w:pStyle w:val="BodyText"/>
        <w:spacing w:before="38"/>
        <w:ind w:left="1235"/>
        <w:rPr>
          <w:rFonts w:ascii="Consolas"/>
        </w:rPr>
      </w:pPr>
      <w:r>
        <w:rPr>
          <w:rFonts w:ascii="Consolas"/>
        </w:rPr>
        <w:t>&lt;s</w:t>
      </w:r>
      <w:r>
        <w:rPr>
          <w:rFonts w:ascii="Consolas"/>
          <w:spacing w:val="-9"/>
        </w:rPr>
        <w:t> </w:t>
      </w:r>
      <w:r>
        <w:rPr>
          <w:rFonts w:ascii="Consolas"/>
        </w:rPr>
        <w:t>v="May"/&gt;</w:t>
      </w:r>
    </w:p>
    <w:p>
      <w:pPr>
        <w:pStyle w:val="BodyText"/>
        <w:spacing w:before="40"/>
        <w:ind w:left="1235"/>
        <w:rPr>
          <w:rFonts w:ascii="Consolas"/>
        </w:rPr>
      </w:pPr>
      <w:r>
        <w:rPr>
          <w:rFonts w:ascii="Consolas"/>
        </w:rPr>
        <w:t>&lt;s</w:t>
      </w:r>
      <w:r>
        <w:rPr>
          <w:rFonts w:ascii="Consolas"/>
          <w:spacing w:val="-9"/>
        </w:rPr>
        <w:t> </w:t>
      </w:r>
      <w:r>
        <w:rPr>
          <w:rFonts w:ascii="Consolas"/>
        </w:rPr>
        <w:t>v="Jun"/&gt;</w:t>
      </w:r>
    </w:p>
    <w:p>
      <w:pPr>
        <w:pStyle w:val="BodyText"/>
        <w:spacing w:before="37"/>
        <w:ind w:left="1235"/>
        <w:rPr>
          <w:rFonts w:ascii="Consolas"/>
        </w:rPr>
      </w:pPr>
      <w:r>
        <w:rPr>
          <w:rFonts w:ascii="Consolas"/>
        </w:rPr>
        <w:t>&lt;s</w:t>
      </w:r>
      <w:r>
        <w:rPr>
          <w:rFonts w:ascii="Consolas"/>
          <w:spacing w:val="-9"/>
        </w:rPr>
        <w:t> </w:t>
      </w:r>
      <w:r>
        <w:rPr>
          <w:rFonts w:ascii="Consolas"/>
        </w:rPr>
        <w:t>v="Jul"/&gt;</w:t>
      </w:r>
    </w:p>
    <w:p>
      <w:pPr>
        <w:pStyle w:val="BodyText"/>
        <w:spacing w:before="40"/>
        <w:ind w:left="1235"/>
        <w:rPr>
          <w:rFonts w:ascii="Consolas"/>
        </w:rPr>
      </w:pPr>
      <w:r>
        <w:rPr>
          <w:rFonts w:ascii="Consolas"/>
        </w:rPr>
        <w:t>&lt;s</w:t>
      </w:r>
      <w:r>
        <w:rPr>
          <w:rFonts w:ascii="Consolas"/>
          <w:spacing w:val="-9"/>
        </w:rPr>
        <w:t> </w:t>
      </w:r>
      <w:r>
        <w:rPr>
          <w:rFonts w:ascii="Consolas"/>
        </w:rPr>
        <w:t>v="Aug"/&gt;</w:t>
      </w:r>
    </w:p>
    <w:p>
      <w:pPr>
        <w:pStyle w:val="BodyText"/>
        <w:spacing w:before="38"/>
        <w:ind w:left="1235"/>
        <w:rPr>
          <w:rFonts w:ascii="Consolas"/>
        </w:rPr>
      </w:pPr>
      <w:r>
        <w:rPr>
          <w:rFonts w:ascii="Consolas"/>
        </w:rPr>
        <w:t>&lt;s</w:t>
      </w:r>
      <w:r>
        <w:rPr>
          <w:rFonts w:ascii="Consolas"/>
          <w:spacing w:val="-9"/>
        </w:rPr>
        <w:t> </w:t>
      </w:r>
      <w:r>
        <w:rPr>
          <w:rFonts w:ascii="Consolas"/>
        </w:rPr>
        <w:t>v="Sep"/&gt;</w:t>
      </w:r>
    </w:p>
    <w:p>
      <w:pPr>
        <w:pStyle w:val="BodyText"/>
        <w:spacing w:before="40"/>
        <w:ind w:left="1235"/>
        <w:rPr>
          <w:rFonts w:ascii="Consolas"/>
        </w:rPr>
      </w:pPr>
      <w:r>
        <w:rPr>
          <w:rFonts w:ascii="Consolas"/>
        </w:rPr>
        <w:t>&lt;s</w:t>
      </w:r>
      <w:r>
        <w:rPr>
          <w:rFonts w:ascii="Consolas"/>
          <w:spacing w:val="-9"/>
        </w:rPr>
        <w:t> </w:t>
      </w:r>
      <w:r>
        <w:rPr>
          <w:rFonts w:ascii="Consolas"/>
        </w:rPr>
        <w:t>v="Oct"/&gt;</w:t>
      </w:r>
    </w:p>
    <w:p>
      <w:pPr>
        <w:pStyle w:val="BodyText"/>
        <w:spacing w:before="37"/>
        <w:ind w:left="1235"/>
        <w:rPr>
          <w:rFonts w:ascii="Consolas"/>
        </w:rPr>
      </w:pPr>
      <w:r>
        <w:rPr>
          <w:rFonts w:ascii="Consolas"/>
        </w:rPr>
        <w:t>&lt;s</w:t>
      </w:r>
      <w:r>
        <w:rPr>
          <w:rFonts w:ascii="Consolas"/>
          <w:spacing w:val="-9"/>
        </w:rPr>
        <w:t> </w:t>
      </w:r>
      <w:r>
        <w:rPr>
          <w:rFonts w:ascii="Consolas"/>
        </w:rPr>
        <w:t>v="Nov"/&gt;</w:t>
      </w:r>
    </w:p>
    <w:p>
      <w:pPr>
        <w:pStyle w:val="BodyText"/>
        <w:spacing w:before="38"/>
        <w:ind w:left="1235"/>
        <w:rPr>
          <w:rFonts w:ascii="Consolas"/>
        </w:rPr>
      </w:pPr>
      <w:r>
        <w:rPr>
          <w:rFonts w:ascii="Consolas"/>
        </w:rPr>
        <w:t>&lt;s</w:t>
      </w:r>
      <w:r>
        <w:rPr>
          <w:rFonts w:ascii="Consolas"/>
          <w:spacing w:val="-9"/>
        </w:rPr>
        <w:t> </w:t>
      </w:r>
      <w:r>
        <w:rPr>
          <w:rFonts w:ascii="Consolas"/>
        </w:rPr>
        <w:t>v="Dec"/&gt;</w:t>
      </w:r>
    </w:p>
    <w:p>
      <w:pPr>
        <w:pStyle w:val="BodyText"/>
        <w:spacing w:before="40"/>
        <w:ind w:left="1235"/>
        <w:rPr>
          <w:rFonts w:ascii="Consolas"/>
        </w:rPr>
      </w:pPr>
      <w:r>
        <w:rPr>
          <w:rFonts w:ascii="Consolas"/>
        </w:rPr>
        <w:t>&lt;s v="&amp;gt;5/6/2006"/&gt;</w:t>
      </w:r>
    </w:p>
    <w:p>
      <w:pPr>
        <w:pStyle w:val="BodyText"/>
        <w:spacing w:before="38"/>
        <w:ind w:left="993"/>
        <w:rPr>
          <w:rFonts w:ascii="Consolas"/>
        </w:rPr>
      </w:pPr>
      <w:r>
        <w:rPr>
          <w:rFonts w:ascii="Consolas"/>
        </w:rPr>
        <w:t>&lt;/groupItems&gt;</w:t>
      </w:r>
    </w:p>
    <w:p>
      <w:pPr>
        <w:pStyle w:val="BodyText"/>
        <w:spacing w:before="40"/>
        <w:ind w:left="750"/>
        <w:rPr>
          <w:rFonts w:ascii="Consolas"/>
        </w:rPr>
      </w:pPr>
      <w:r>
        <w:rPr>
          <w:rFonts w:ascii="Consolas"/>
        </w:rPr>
        <w:t>&lt;/fieldGroup&gt;</w:t>
      </w:r>
    </w:p>
    <w:p>
      <w:pPr>
        <w:pStyle w:val="BodyText"/>
        <w:spacing w:before="37"/>
        <w:ind w:left="508"/>
        <w:rPr>
          <w:rFonts w:ascii="Consolas"/>
        </w:rPr>
      </w:pPr>
      <w:r>
        <w:rPr>
          <w:rFonts w:ascii="Consolas"/>
        </w:rPr>
        <w:t>&lt;/cacheField&gt;</w:t>
      </w:r>
    </w:p>
    <w:p>
      <w:pPr>
        <w:pStyle w:val="BodyText"/>
        <w:spacing w:before="41"/>
        <w:ind w:left="508"/>
        <w:rPr>
          <w:rFonts w:ascii="Consolas"/>
        </w:rPr>
      </w:pPr>
      <w:r>
        <w:rPr>
          <w:rFonts w:ascii="Consolas"/>
        </w:rPr>
        <w:t>&lt;cacheField name="Name" numFmtId="0"&gt;</w:t>
      </w:r>
    </w:p>
    <w:p>
      <w:pPr>
        <w:pStyle w:val="BodyText"/>
        <w:spacing w:before="37"/>
        <w:ind w:left="750"/>
        <w:rPr>
          <w:rFonts w:ascii="Consolas"/>
        </w:rPr>
      </w:pPr>
      <w:r>
        <w:rPr>
          <w:rFonts w:ascii="Consolas"/>
        </w:rPr>
        <w:t>&lt;sharedItems count="4"&gt;</w:t>
      </w:r>
    </w:p>
    <w:p>
      <w:pPr>
        <w:pStyle w:val="BodyText"/>
        <w:spacing w:before="38"/>
        <w:ind w:left="993"/>
        <w:rPr>
          <w:rFonts w:ascii="Consolas"/>
        </w:rPr>
      </w:pPr>
      <w:r>
        <w:rPr>
          <w:rFonts w:ascii="Consolas"/>
        </w:rPr>
        <w:t>&lt;s v="Joe"/&gt;</w:t>
      </w:r>
    </w:p>
    <w:p>
      <w:pPr>
        <w:pStyle w:val="BodyText"/>
        <w:spacing w:before="40"/>
        <w:ind w:left="993"/>
        <w:rPr>
          <w:rFonts w:ascii="Consolas"/>
        </w:rPr>
      </w:pPr>
      <w:r>
        <w:rPr>
          <w:rFonts w:ascii="Consolas"/>
        </w:rPr>
        <w:t>&lt;s v="John"/&gt;</w:t>
      </w:r>
    </w:p>
    <w:p>
      <w:pPr>
        <w:pStyle w:val="BodyText"/>
        <w:spacing w:before="38"/>
        <w:ind w:left="993"/>
        <w:rPr>
          <w:rFonts w:ascii="Consolas"/>
        </w:rPr>
      </w:pPr>
      <w:r>
        <w:rPr>
          <w:rFonts w:ascii="Consolas"/>
        </w:rPr>
        <w:t>&lt;s v="Bob"/&gt;</w:t>
      </w:r>
    </w:p>
    <w:p>
      <w:pPr>
        <w:pStyle w:val="BodyText"/>
        <w:spacing w:before="40"/>
        <w:ind w:left="993"/>
        <w:rPr>
          <w:rFonts w:ascii="Consolas"/>
        </w:rPr>
      </w:pPr>
      <w:r>
        <w:rPr>
          <w:rFonts w:ascii="Consolas"/>
        </w:rPr>
        <w:t>&lt;s v="Robert"/&gt;</w:t>
      </w:r>
    </w:p>
    <w:p>
      <w:pPr>
        <w:pStyle w:val="BodyText"/>
        <w:spacing w:before="37"/>
        <w:ind w:left="750"/>
        <w:rPr>
          <w:rFonts w:ascii="Consolas"/>
        </w:rPr>
      </w:pPr>
      <w:r>
        <w:rPr>
          <w:rFonts w:ascii="Consolas"/>
        </w:rPr>
        <w:t>&lt;/sharedItems&gt;</w:t>
      </w:r>
    </w:p>
    <w:p>
      <w:pPr>
        <w:pStyle w:val="BodyText"/>
        <w:spacing w:before="40"/>
        <w:ind w:left="750"/>
        <w:rPr>
          <w:rFonts w:ascii="Consolas"/>
        </w:rPr>
      </w:pPr>
      <w:r>
        <w:rPr>
          <w:rFonts w:ascii="Consolas"/>
        </w:rPr>
        <w:t>&lt;fieldGroup par="4"/&gt;</w:t>
      </w:r>
    </w:p>
    <w:p>
      <w:pPr>
        <w:pStyle w:val="BodyText"/>
        <w:spacing w:before="38"/>
        <w:ind w:left="508"/>
        <w:rPr>
          <w:rFonts w:ascii="Consolas"/>
        </w:rPr>
      </w:pPr>
      <w:r>
        <w:rPr>
          <w:rFonts w:ascii="Consolas"/>
        </w:rPr>
        <w:t>&lt;/cacheField&gt;</w:t>
      </w:r>
    </w:p>
    <w:p>
      <w:pPr>
        <w:pStyle w:val="BodyText"/>
        <w:spacing w:before="37"/>
        <w:ind w:left="508"/>
        <w:rPr>
          <w:rFonts w:ascii="Consolas"/>
        </w:rPr>
      </w:pPr>
      <w:r>
        <w:rPr>
          <w:rFonts w:ascii="Consolas"/>
        </w:rPr>
        <w:t>&lt;cacheField name="ProductID" numFmtId="0"&gt;</w:t>
      </w:r>
    </w:p>
    <w:p>
      <w:pPr>
        <w:pStyle w:val="BodyText"/>
        <w:spacing w:line="276" w:lineRule="auto" w:before="40"/>
        <w:ind w:left="993" w:right="596" w:hanging="243"/>
        <w:rPr>
          <w:rFonts w:ascii="Consolas"/>
        </w:rPr>
      </w:pPr>
      <w:r>
        <w:rPr>
          <w:rFonts w:ascii="Consolas"/>
        </w:rPr>
        <w:t>&lt;sharedItems containsSemiMixedTypes="0" containsString="0" containsNumber="1" containsInteger="1" minValue="1" maxValue="4" count="4"&gt;</w:t>
      </w:r>
    </w:p>
    <w:p>
      <w:pPr>
        <w:pStyle w:val="BodyText"/>
        <w:spacing w:before="1"/>
        <w:ind w:left="165" w:right="7647"/>
        <w:jc w:val="center"/>
        <w:rPr>
          <w:rFonts w:ascii="Consolas"/>
        </w:rPr>
      </w:pPr>
      <w:r>
        <w:rPr>
          <w:rFonts w:ascii="Consolas"/>
        </w:rPr>
        <w:t>&lt;n</w:t>
      </w:r>
      <w:r>
        <w:rPr>
          <w:rFonts w:ascii="Consolas"/>
          <w:spacing w:val="-6"/>
        </w:rPr>
        <w:t> </w:t>
      </w:r>
      <w:r>
        <w:rPr>
          <w:rFonts w:ascii="Consolas"/>
        </w:rPr>
        <w:t>v="1"/&gt;</w:t>
      </w:r>
    </w:p>
    <w:p>
      <w:pPr>
        <w:pStyle w:val="BodyText"/>
        <w:spacing w:before="38"/>
        <w:ind w:left="165" w:right="7647"/>
        <w:jc w:val="center"/>
        <w:rPr>
          <w:rFonts w:ascii="Consolas"/>
        </w:rPr>
      </w:pPr>
      <w:r>
        <w:rPr>
          <w:rFonts w:ascii="Consolas"/>
        </w:rPr>
        <w:t>&lt;n</w:t>
      </w:r>
      <w:r>
        <w:rPr>
          <w:rFonts w:ascii="Consolas"/>
          <w:spacing w:val="-6"/>
        </w:rPr>
        <w:t> </w:t>
      </w:r>
      <w:r>
        <w:rPr>
          <w:rFonts w:ascii="Consolas"/>
        </w:rPr>
        <w:t>v="2"/&gt;</w:t>
      </w:r>
    </w:p>
    <w:p>
      <w:pPr>
        <w:pStyle w:val="BodyText"/>
        <w:spacing w:before="40"/>
        <w:ind w:left="165" w:right="7647"/>
        <w:jc w:val="center"/>
        <w:rPr>
          <w:rFonts w:ascii="Consolas"/>
        </w:rPr>
      </w:pPr>
      <w:r>
        <w:rPr>
          <w:rFonts w:ascii="Consolas"/>
        </w:rPr>
        <w:t>&lt;n</w:t>
      </w:r>
      <w:r>
        <w:rPr>
          <w:rFonts w:ascii="Consolas"/>
          <w:spacing w:val="-6"/>
        </w:rPr>
        <w:t> </w:t>
      </w:r>
      <w:r>
        <w:rPr>
          <w:rFonts w:ascii="Consolas"/>
        </w:rPr>
        <w:t>v="3"/&gt;</w:t>
      </w:r>
    </w:p>
    <w:p>
      <w:pPr>
        <w:pStyle w:val="BodyText"/>
        <w:spacing w:before="37"/>
        <w:ind w:left="165" w:right="7647"/>
        <w:jc w:val="center"/>
        <w:rPr>
          <w:rFonts w:ascii="Consolas"/>
        </w:rPr>
      </w:pPr>
      <w:r>
        <w:rPr>
          <w:rFonts w:ascii="Consolas"/>
        </w:rPr>
        <w:t>&lt;n</w:t>
      </w:r>
      <w:r>
        <w:rPr>
          <w:rFonts w:ascii="Consolas"/>
          <w:spacing w:val="-6"/>
        </w:rPr>
        <w:t> </w:t>
      </w:r>
      <w:r>
        <w:rPr>
          <w:rFonts w:ascii="Consolas"/>
        </w:rPr>
        <w:t>v="4"/&gt;</w:t>
      </w:r>
    </w:p>
    <w:p>
      <w:pPr>
        <w:pStyle w:val="BodyText"/>
        <w:spacing w:before="40"/>
        <w:ind w:left="125" w:right="7610"/>
        <w:jc w:val="center"/>
        <w:rPr>
          <w:rFonts w:ascii="Consolas"/>
        </w:rPr>
      </w:pPr>
      <w:r>
        <w:rPr>
          <w:rFonts w:ascii="Consolas"/>
        </w:rPr>
        <w:t>&lt;/sharedItems&gt;</w:t>
      </w:r>
    </w:p>
    <w:p>
      <w:pPr>
        <w:pStyle w:val="BodyText"/>
        <w:spacing w:before="38"/>
        <w:ind w:left="165" w:right="6804"/>
        <w:jc w:val="center"/>
        <w:rPr>
          <w:rFonts w:ascii="Consolas"/>
        </w:rPr>
      </w:pPr>
      <w:r>
        <w:rPr>
          <w:rFonts w:ascii="Consolas"/>
        </w:rPr>
        <w:t>&lt;fieldGroup base="2"&gt;</w:t>
      </w:r>
    </w:p>
    <w:p>
      <w:pPr>
        <w:pStyle w:val="BodyText"/>
        <w:spacing w:before="37"/>
        <w:ind w:left="993"/>
        <w:rPr>
          <w:rFonts w:ascii="Consolas"/>
        </w:rPr>
      </w:pPr>
      <w:r>
        <w:rPr>
          <w:rFonts w:ascii="Consolas"/>
        </w:rPr>
        <w:t>&lt;rangePr startNum="1" endNum="4" groupInterval="2"/&gt;</w:t>
      </w:r>
    </w:p>
    <w:p>
      <w:pPr>
        <w:pStyle w:val="BodyText"/>
        <w:spacing w:before="40"/>
        <w:ind w:left="993"/>
        <w:rPr>
          <w:rFonts w:ascii="Consolas"/>
        </w:rPr>
      </w:pPr>
      <w:r>
        <w:rPr>
          <w:rFonts w:ascii="Consolas"/>
        </w:rPr>
        <w:t>&lt;groupItems count="4"&gt;</w:t>
      </w:r>
    </w:p>
    <w:p>
      <w:pPr>
        <w:pStyle w:val="BodyText"/>
        <w:spacing w:before="38"/>
        <w:ind w:left="1235"/>
        <w:rPr>
          <w:rFonts w:ascii="Consolas"/>
        </w:rPr>
      </w:pPr>
      <w:r>
        <w:rPr>
          <w:rFonts w:ascii="Consolas"/>
        </w:rPr>
        <w:t>&lt;s v="&amp;lt;1"/&gt;</w:t>
      </w:r>
    </w:p>
    <w:p>
      <w:pPr>
        <w:pStyle w:val="BodyText"/>
        <w:spacing w:before="40"/>
        <w:ind w:left="1235"/>
        <w:rPr>
          <w:rFonts w:ascii="Consolas"/>
        </w:rPr>
      </w:pPr>
      <w:r>
        <w:rPr>
          <w:rFonts w:ascii="Consolas"/>
        </w:rPr>
        <w:t>&lt;s</w:t>
      </w:r>
      <w:r>
        <w:rPr>
          <w:rFonts w:ascii="Consolas"/>
          <w:spacing w:val="-7"/>
        </w:rPr>
        <w:t> </w:t>
      </w:r>
      <w:r>
        <w:rPr>
          <w:rFonts w:ascii="Consolas"/>
        </w:rPr>
        <w:t>v="1-2"/&gt;</w:t>
      </w:r>
    </w:p>
    <w:p>
      <w:pPr>
        <w:pStyle w:val="BodyText"/>
        <w:spacing w:before="38"/>
        <w:ind w:left="1235"/>
        <w:rPr>
          <w:rFonts w:ascii="Consolas"/>
        </w:rPr>
      </w:pPr>
      <w:r>
        <w:rPr>
          <w:rFonts w:ascii="Consolas"/>
        </w:rPr>
        <w:t>&lt;s</w:t>
      </w:r>
      <w:r>
        <w:rPr>
          <w:rFonts w:ascii="Consolas"/>
          <w:spacing w:val="-7"/>
        </w:rPr>
        <w:t> </w:t>
      </w:r>
      <w:r>
        <w:rPr>
          <w:rFonts w:ascii="Consolas"/>
        </w:rPr>
        <w:t>v="3-4"/&gt;</w:t>
      </w:r>
    </w:p>
    <w:p>
      <w:pPr>
        <w:pStyle w:val="BodyText"/>
        <w:spacing w:before="40"/>
        <w:ind w:left="1235"/>
        <w:rPr>
          <w:rFonts w:ascii="Consolas"/>
        </w:rPr>
      </w:pPr>
      <w:r>
        <w:rPr>
          <w:rFonts w:ascii="Consolas"/>
        </w:rPr>
        <w:t>&lt;s v="&amp;gt;5"/&gt;</w:t>
      </w:r>
    </w:p>
    <w:p>
      <w:pPr>
        <w:pStyle w:val="BodyText"/>
        <w:spacing w:before="38"/>
        <w:ind w:left="993"/>
        <w:rPr>
          <w:rFonts w:ascii="Consolas"/>
        </w:rPr>
      </w:pPr>
      <w:r>
        <w:rPr>
          <w:rFonts w:ascii="Consolas"/>
        </w:rPr>
        <w:t>&lt;/groupItems&gt;</w:t>
      </w:r>
    </w:p>
    <w:p>
      <w:pPr>
        <w:pStyle w:val="BodyText"/>
        <w:spacing w:before="38"/>
        <w:ind w:left="750"/>
        <w:rPr>
          <w:rFonts w:ascii="Consolas"/>
        </w:rPr>
      </w:pPr>
      <w:r>
        <w:rPr>
          <w:rFonts w:ascii="Consolas"/>
        </w:rPr>
        <w:t>&lt;/fieldGroup&gt;</w:t>
      </w:r>
    </w:p>
    <w:p>
      <w:pPr>
        <w:pStyle w:val="BodyText"/>
        <w:spacing w:before="40"/>
        <w:ind w:left="508"/>
        <w:rPr>
          <w:rFonts w:ascii="Consolas" w:hAnsi="Consolas"/>
        </w:rPr>
      </w:pPr>
      <w:r>
        <w:rPr>
          <w:rFonts w:ascii="Consolas" w:hAnsi="Consolas"/>
          <w:w w:val="100"/>
        </w:rPr>
        <w:t>…</w:t>
      </w:r>
    </w:p>
    <w:p>
      <w:pPr>
        <w:pStyle w:val="BodyText"/>
        <w:spacing w:before="4"/>
        <w:rPr>
          <w:rFonts w:ascii="Consolas"/>
          <w:sz w:val="20"/>
        </w:rPr>
      </w:pPr>
    </w:p>
    <w:p>
      <w:pPr>
        <w:spacing w:before="1"/>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base </w:t>
            </w:r>
            <w:r>
              <w:rPr>
                <w:sz w:val="22"/>
              </w:rPr>
              <w:t>(Field Base)</w:t>
            </w:r>
          </w:p>
        </w:tc>
        <w:tc>
          <w:tcPr>
            <w:tcW w:w="8250" w:type="dxa"/>
          </w:tcPr>
          <w:p>
            <w:pPr>
              <w:pStyle w:val="TableParagraph"/>
              <w:rPr>
                <w:sz w:val="22"/>
              </w:rPr>
            </w:pPr>
            <w:r>
              <w:rPr>
                <w:sz w:val="22"/>
              </w:rPr>
              <w:t>Specifies the base of this field, if any.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par </w:t>
            </w:r>
            <w:r>
              <w:rPr>
                <w:sz w:val="22"/>
              </w:rPr>
              <w:t>(Parent)</w:t>
            </w:r>
          </w:p>
        </w:tc>
        <w:tc>
          <w:tcPr>
            <w:tcW w:w="8250" w:type="dxa"/>
          </w:tcPr>
          <w:p>
            <w:pPr>
              <w:pStyle w:val="TableParagraph"/>
              <w:rPr>
                <w:sz w:val="22"/>
              </w:rPr>
            </w:pPr>
            <w:r>
              <w:rPr>
                <w:sz w:val="22"/>
              </w:rPr>
              <w:t>Specifies the parent of this field, if any.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495"/>
      </w:pPr>
      <w:r>
        <w:rPr/>
        <w:t>[</w:t>
      </w:r>
      <w:r>
        <w:rPr>
          <w:i/>
        </w:rPr>
        <w:t>Note</w:t>
      </w:r>
      <w:r>
        <w:rPr/>
        <w:t>: The W3C XML Schema definition of this element’s content model (</w:t>
      </w:r>
      <w:r>
        <w:rPr>
          <w:color w:val="5F5F5F"/>
          <w:u w:val="single" w:color="5F5F5F"/>
        </w:rPr>
        <w:t>CT_FieldGroup</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31 fieldsUsage (Fields Usage)" w:id="842"/>
      <w:bookmarkEnd w:id="842"/>
      <w:r>
        <w:rPr/>
      </w:r>
      <w:bookmarkStart w:name="_bookmark279" w:id="843"/>
      <w:bookmarkEnd w:id="843"/>
      <w:r>
        <w:rPr/>
      </w:r>
      <w:bookmarkStart w:name="_bookmark279" w:id="844"/>
      <w:bookmarkEnd w:id="844"/>
      <w:r>
        <w:rPr>
          <w:color w:val="4F81BC"/>
        </w:rPr>
        <w:t>fiel</w:t>
      </w:r>
      <w:r>
        <w:rPr>
          <w:color w:val="4F81BC"/>
        </w:rPr>
        <w:t>dsUsage (Fields</w:t>
      </w:r>
      <w:r>
        <w:rPr>
          <w:color w:val="4F81BC"/>
          <w:spacing w:val="-1"/>
        </w:rPr>
        <w:t> </w:t>
      </w:r>
      <w:r>
        <w:rPr>
          <w:color w:val="4F81BC"/>
        </w:rPr>
        <w:t>Usage)</w:t>
      </w:r>
    </w:p>
    <w:p>
      <w:pPr>
        <w:pStyle w:val="BodyText"/>
        <w:spacing w:line="453" w:lineRule="auto" w:before="121"/>
        <w:ind w:left="220" w:right="4062"/>
      </w:pPr>
      <w:r>
        <w:rPr/>
        <w:t>Represents the fields in the cache that are being used by this hierarchy. [</w:t>
      </w:r>
      <w:r>
        <w:rPr>
          <w:i/>
        </w:rPr>
        <w:t>Example</w:t>
      </w:r>
      <w:r>
        <w:rPr/>
        <w:t>:</w:t>
      </w:r>
    </w:p>
    <w:p>
      <w:pPr>
        <w:pStyle w:val="BodyText"/>
        <w:spacing w:before="2"/>
        <w:ind w:left="508"/>
        <w:rPr>
          <w:rFonts w:ascii="Consolas"/>
        </w:rPr>
      </w:pPr>
      <w:r>
        <w:rPr>
          <w:rFonts w:ascii="Consolas"/>
        </w:rPr>
        <w:t>&lt;fieldsUsage count="6"&gt;</w:t>
      </w:r>
    </w:p>
    <w:p>
      <w:pPr>
        <w:pStyle w:val="BodyText"/>
        <w:spacing w:before="38"/>
        <w:ind w:left="750"/>
        <w:rPr>
          <w:rFonts w:ascii="Consolas"/>
        </w:rPr>
      </w:pPr>
      <w:r>
        <w:rPr>
          <w:rFonts w:ascii="Consolas"/>
        </w:rPr>
        <w:t>&lt;fieldUsage x="-1"/&gt;</w:t>
      </w:r>
    </w:p>
    <w:p>
      <w:pPr>
        <w:pStyle w:val="BodyText"/>
        <w:spacing w:before="40"/>
        <w:ind w:left="750"/>
        <w:rPr>
          <w:rFonts w:ascii="Consolas"/>
        </w:rPr>
      </w:pPr>
      <w:r>
        <w:rPr>
          <w:rFonts w:ascii="Consolas"/>
        </w:rPr>
        <w:t>&lt;fieldUsage</w:t>
      </w:r>
      <w:r>
        <w:rPr>
          <w:rFonts w:ascii="Consolas"/>
          <w:spacing w:val="-14"/>
        </w:rPr>
        <w:t> </w:t>
      </w:r>
      <w:r>
        <w:rPr>
          <w:rFonts w:ascii="Consolas"/>
        </w:rPr>
        <w:t>x="2"/&gt;</w:t>
      </w:r>
    </w:p>
    <w:p>
      <w:pPr>
        <w:pStyle w:val="BodyText"/>
        <w:spacing w:before="37"/>
        <w:ind w:left="750"/>
        <w:rPr>
          <w:rFonts w:ascii="Consolas"/>
        </w:rPr>
      </w:pPr>
      <w:r>
        <w:rPr>
          <w:rFonts w:ascii="Consolas"/>
        </w:rPr>
        <w:t>&lt;fieldUsage</w:t>
      </w:r>
      <w:r>
        <w:rPr>
          <w:rFonts w:ascii="Consolas"/>
          <w:spacing w:val="-14"/>
        </w:rPr>
        <w:t> </w:t>
      </w:r>
      <w:r>
        <w:rPr>
          <w:rFonts w:ascii="Consolas"/>
        </w:rPr>
        <w:t>x="3"/&gt;</w:t>
      </w:r>
    </w:p>
    <w:p>
      <w:pPr>
        <w:pStyle w:val="BodyText"/>
        <w:spacing w:before="40"/>
        <w:ind w:left="750"/>
        <w:rPr>
          <w:rFonts w:ascii="Consolas"/>
        </w:rPr>
      </w:pPr>
      <w:r>
        <w:rPr>
          <w:rFonts w:ascii="Consolas"/>
        </w:rPr>
        <w:t>&lt;fieldUsage</w:t>
      </w:r>
      <w:r>
        <w:rPr>
          <w:rFonts w:ascii="Consolas"/>
          <w:spacing w:val="-12"/>
        </w:rPr>
        <w:t> </w:t>
      </w:r>
      <w:r>
        <w:rPr>
          <w:rFonts w:ascii="Consolas"/>
        </w:rPr>
        <w:t>x="4"/&gt;</w:t>
      </w:r>
    </w:p>
    <w:p>
      <w:pPr>
        <w:pStyle w:val="BodyText"/>
        <w:spacing w:before="38"/>
        <w:ind w:left="750"/>
        <w:rPr>
          <w:rFonts w:ascii="Consolas"/>
        </w:rPr>
      </w:pPr>
      <w:r>
        <w:rPr>
          <w:rFonts w:ascii="Consolas"/>
        </w:rPr>
        <w:t>&lt;fieldUsage</w:t>
      </w:r>
      <w:r>
        <w:rPr>
          <w:rFonts w:ascii="Consolas"/>
          <w:spacing w:val="-14"/>
        </w:rPr>
        <w:t> </w:t>
      </w:r>
      <w:r>
        <w:rPr>
          <w:rFonts w:ascii="Consolas"/>
        </w:rPr>
        <w:t>x="5"/&gt;</w:t>
      </w:r>
    </w:p>
    <w:p>
      <w:pPr>
        <w:pStyle w:val="BodyText"/>
        <w:spacing w:before="40"/>
        <w:ind w:left="750"/>
        <w:rPr>
          <w:rFonts w:ascii="Consolas"/>
        </w:rPr>
      </w:pPr>
      <w:r>
        <w:rPr>
          <w:rFonts w:ascii="Consolas"/>
        </w:rPr>
        <w:t>&lt;fieldUsage</w:t>
      </w:r>
      <w:r>
        <w:rPr>
          <w:rFonts w:ascii="Consolas"/>
          <w:spacing w:val="-14"/>
        </w:rPr>
        <w:t> </w:t>
      </w:r>
      <w:r>
        <w:rPr>
          <w:rFonts w:ascii="Consolas"/>
        </w:rPr>
        <w:t>x="6"/&gt;</w:t>
      </w:r>
    </w:p>
    <w:p>
      <w:pPr>
        <w:pStyle w:val="BodyText"/>
        <w:spacing w:before="38"/>
        <w:ind w:left="508"/>
        <w:rPr>
          <w:rFonts w:ascii="Consolas"/>
        </w:rPr>
      </w:pPr>
      <w:r>
        <w:rPr>
          <w:rFonts w:ascii="Consolas"/>
        </w:rPr>
        <w:t>&lt;/fieldsUsage&gt;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42" w:right="129"/>
              <w:jc w:val="center"/>
              <w:rPr>
                <w:sz w:val="22"/>
              </w:rPr>
            </w:pPr>
            <w:r>
              <w:rPr>
                <w:rFonts w:ascii="Cambria"/>
                <w:sz w:val="22"/>
              </w:rPr>
              <w:t>count </w:t>
            </w:r>
            <w:r>
              <w:rPr>
                <w:sz w:val="22"/>
              </w:rPr>
              <w:t>(Field Count)</w:t>
            </w:r>
          </w:p>
        </w:tc>
        <w:tc>
          <w:tcPr>
            <w:tcW w:w="8250" w:type="dxa"/>
          </w:tcPr>
          <w:p>
            <w:pPr>
              <w:pStyle w:val="TableParagraph"/>
              <w:rPr>
                <w:sz w:val="22"/>
              </w:rPr>
            </w:pPr>
            <w:r>
              <w:rPr>
                <w:sz w:val="22"/>
              </w:rPr>
              <w:t>Specifies the number of fields that are being used by this hierarchy.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before="1"/>
        <w:ind w:left="220" w:right="426"/>
      </w:pPr>
      <w:r>
        <w:rPr/>
        <w:t>[</w:t>
      </w:r>
      <w:r>
        <w:rPr>
          <w:i/>
        </w:rPr>
        <w:t>Note</w:t>
      </w:r>
      <w:r>
        <w:rPr/>
        <w:t>: The W3C XML Schema definition of this element’s content model (</w:t>
      </w:r>
      <w:r>
        <w:rPr>
          <w:color w:val="5F5F5F"/>
          <w:u w:val="single" w:color="5F5F5F"/>
        </w:rPr>
        <w:t>CT_FieldsUsage</w:t>
      </w:r>
      <w:r>
        <w:rPr/>
        <w:t>) is located in §A.2. </w:t>
      </w:r>
      <w:r>
        <w:rPr>
          <w:i/>
        </w:rPr>
        <w:t>end </w:t>
      </w:r>
      <w:r>
        <w:rPr>
          <w:i/>
        </w:rPr>
        <w:t>note</w:t>
      </w:r>
      <w:r>
        <w:rPr/>
        <w:t>]</w:t>
      </w:r>
    </w:p>
    <w:p>
      <w:pPr>
        <w:pStyle w:val="BodyText"/>
        <w:spacing w:before="5"/>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32 fieldUsage (PivotCache Field " w:id="845"/>
      <w:bookmarkEnd w:id="845"/>
      <w:r>
        <w:rPr/>
      </w:r>
      <w:bookmarkStart w:name="_bookmark280" w:id="846"/>
      <w:bookmarkEnd w:id="846"/>
      <w:r>
        <w:rPr/>
      </w:r>
      <w:bookmarkStart w:name="_bookmark280" w:id="847"/>
      <w:bookmarkEnd w:id="847"/>
      <w:r>
        <w:rPr>
          <w:color w:val="4F81BC"/>
        </w:rPr>
        <w:t>fiel</w:t>
      </w:r>
      <w:r>
        <w:rPr>
          <w:color w:val="4F81BC"/>
        </w:rPr>
        <w:t>dUsage (PivotCache Field</w:t>
      </w:r>
      <w:r>
        <w:rPr>
          <w:color w:val="4F81BC"/>
          <w:spacing w:val="-1"/>
        </w:rPr>
        <w:t> </w:t>
      </w:r>
      <w:r>
        <w:rPr>
          <w:color w:val="4F81BC"/>
        </w:rPr>
        <w:t>Id)</w:t>
      </w:r>
    </w:p>
    <w:p>
      <w:pPr>
        <w:pStyle w:val="BodyText"/>
        <w:spacing w:line="453" w:lineRule="auto" w:before="121"/>
        <w:ind w:left="220" w:right="6258"/>
      </w:pPr>
      <w:r>
        <w:rPr/>
        <w:t>Represents a cache field used in this hierarchy. [</w:t>
      </w:r>
      <w:r>
        <w:rPr>
          <w:i/>
        </w:rPr>
        <w:t>Example</w:t>
      </w:r>
      <w:r>
        <w:rPr/>
        <w:t>:</w:t>
      </w:r>
    </w:p>
    <w:p>
      <w:pPr>
        <w:spacing w:after="0" w:line="453" w:lineRule="auto"/>
        <w:sectPr>
          <w:pgSz w:w="12240" w:h="15840"/>
          <w:pgMar w:header="763" w:footer="746" w:top="1340" w:bottom="940" w:left="860" w:right="700"/>
        </w:sectPr>
      </w:pPr>
    </w:p>
    <w:p>
      <w:pPr>
        <w:pStyle w:val="BodyText"/>
        <w:spacing w:before="93"/>
        <w:ind w:left="508"/>
        <w:rPr>
          <w:rFonts w:ascii="Consolas"/>
        </w:rPr>
      </w:pPr>
      <w:r>
        <w:rPr>
          <w:rFonts w:ascii="Consolas"/>
        </w:rPr>
        <w:t>&lt;fieldUsage x="-1"/&gt;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rFonts w:ascii="Cambria"/>
                <w:sz w:val="22"/>
              </w:rPr>
              <w:t>x </w:t>
            </w:r>
            <w:r>
              <w:rPr>
                <w:sz w:val="22"/>
              </w:rPr>
              <w:t>(Field Index)</w:t>
            </w:r>
          </w:p>
        </w:tc>
        <w:tc>
          <w:tcPr>
            <w:tcW w:w="8250" w:type="dxa"/>
          </w:tcPr>
          <w:p>
            <w:pPr>
              <w:pStyle w:val="TableParagraph"/>
              <w:rPr>
                <w:sz w:val="22"/>
              </w:rPr>
            </w:pPr>
            <w:r>
              <w:rPr>
                <w:sz w:val="22"/>
              </w:rPr>
              <w:t>Specifies the index of a field.</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pPr>
    </w:p>
    <w:p>
      <w:pPr>
        <w:pStyle w:val="BodyText"/>
        <w:spacing w:before="5"/>
        <w:rPr>
          <w:sz w:val="19"/>
        </w:rPr>
      </w:pPr>
    </w:p>
    <w:p>
      <w:pPr>
        <w:pStyle w:val="BodyText"/>
        <w:spacing w:line="276" w:lineRule="auto"/>
        <w:ind w:left="220" w:right="512"/>
      </w:pPr>
      <w:r>
        <w:rPr/>
        <w:t>[</w:t>
      </w:r>
      <w:r>
        <w:rPr>
          <w:i/>
        </w:rPr>
        <w:t>Note</w:t>
      </w:r>
      <w:r>
        <w:rPr/>
        <w:t>: The W3C XML Schema definition of this element’s content model (</w:t>
      </w:r>
      <w:r>
        <w:rPr>
          <w:color w:val="5F5F5F"/>
          <w:u w:val="single" w:color="5F5F5F"/>
        </w:rPr>
        <w:t>CT_FieldUsage</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33 filter (PivotTable Advanced F" w:id="848"/>
      <w:bookmarkEnd w:id="848"/>
      <w:r>
        <w:rPr/>
      </w:r>
      <w:bookmarkStart w:name="_bookmark281" w:id="849"/>
      <w:bookmarkEnd w:id="849"/>
      <w:r>
        <w:rPr/>
      </w:r>
      <w:bookmarkStart w:name="_bookmark281" w:id="850"/>
      <w:bookmarkEnd w:id="850"/>
      <w:r>
        <w:rPr>
          <w:color w:val="4F81BC"/>
        </w:rPr>
        <w:t>filter</w:t>
      </w:r>
      <w:r>
        <w:rPr>
          <w:color w:val="4F81BC"/>
        </w:rPr>
        <w:t> (PivotTable Advanced</w:t>
      </w:r>
      <w:r>
        <w:rPr>
          <w:color w:val="4F81BC"/>
          <w:spacing w:val="-4"/>
        </w:rPr>
        <w:t> </w:t>
      </w:r>
      <w:r>
        <w:rPr>
          <w:color w:val="4F81BC"/>
        </w:rPr>
        <w:t>Filter)</w:t>
      </w:r>
    </w:p>
    <w:p>
      <w:pPr>
        <w:pStyle w:val="BodyText"/>
        <w:spacing w:line="453" w:lineRule="auto" w:before="121"/>
        <w:ind w:left="220" w:right="6849"/>
      </w:pPr>
      <w:r>
        <w:rPr/>
        <w:t>Represents a PivotTable advanced filter. [</w:t>
      </w:r>
      <w:r>
        <w:rPr>
          <w:i/>
        </w:rPr>
        <w:t>Example</w:t>
      </w:r>
      <w:r>
        <w:rPr/>
        <w:t>:</w:t>
      </w:r>
    </w:p>
    <w:p>
      <w:pPr>
        <w:pStyle w:val="BodyText"/>
        <w:spacing w:before="2"/>
        <w:ind w:left="508"/>
        <w:rPr>
          <w:rFonts w:ascii="Consolas"/>
        </w:rPr>
      </w:pPr>
      <w:r>
        <w:rPr>
          <w:rFonts w:ascii="Consolas"/>
        </w:rPr>
        <w:t>&lt;sh:filter fld="3" type="count" id="1" iMeasureHier="187"&gt;</w:t>
      </w:r>
    </w:p>
    <w:p>
      <w:pPr>
        <w:pStyle w:val="BodyText"/>
        <w:spacing w:before="40"/>
        <w:ind w:left="750"/>
        <w:rPr>
          <w:rFonts w:ascii="Consolas"/>
        </w:rPr>
      </w:pPr>
      <w:r>
        <w:rPr>
          <w:rFonts w:ascii="Consolas"/>
        </w:rPr>
        <w:t>&lt;sh:autoFilter ref="A1"&gt;</w:t>
      </w:r>
    </w:p>
    <w:p>
      <w:pPr>
        <w:pStyle w:val="BodyText"/>
        <w:spacing w:before="38"/>
        <w:ind w:left="993"/>
        <w:rPr>
          <w:rFonts w:ascii="Consolas"/>
        </w:rPr>
      </w:pPr>
      <w:r>
        <w:rPr>
          <w:rFonts w:ascii="Consolas"/>
        </w:rPr>
        <w:t>&lt;sh:filterColumn colId="0"&gt;</w:t>
      </w:r>
    </w:p>
    <w:p>
      <w:pPr>
        <w:pStyle w:val="BodyText"/>
        <w:spacing w:before="40"/>
        <w:ind w:left="1235"/>
        <w:rPr>
          <w:rFonts w:ascii="Consolas"/>
        </w:rPr>
      </w:pPr>
      <w:r>
        <w:rPr>
          <w:rFonts w:ascii="Consolas"/>
        </w:rPr>
        <w:t>&lt;sh:top10 val="5"/&gt;</w:t>
      </w:r>
    </w:p>
    <w:p>
      <w:pPr>
        <w:pStyle w:val="BodyText"/>
        <w:spacing w:before="37"/>
        <w:ind w:left="993"/>
        <w:rPr>
          <w:rFonts w:ascii="Consolas"/>
        </w:rPr>
      </w:pPr>
      <w:r>
        <w:rPr>
          <w:rFonts w:ascii="Consolas"/>
        </w:rPr>
        <w:t>&lt;/sh:filterColumn&gt;</w:t>
      </w:r>
    </w:p>
    <w:p>
      <w:pPr>
        <w:pStyle w:val="BodyText"/>
        <w:spacing w:before="40"/>
        <w:ind w:left="750"/>
        <w:rPr>
          <w:rFonts w:ascii="Consolas"/>
        </w:rPr>
      </w:pPr>
      <w:r>
        <w:rPr>
          <w:rFonts w:ascii="Consolas"/>
        </w:rPr>
        <w:t>&lt;/sh:autoFilter&gt;</w:t>
      </w:r>
    </w:p>
    <w:p>
      <w:pPr>
        <w:pStyle w:val="BodyText"/>
        <w:spacing w:before="38"/>
        <w:ind w:left="508"/>
        <w:rPr>
          <w:rFonts w:ascii="Consolas"/>
        </w:rPr>
      </w:pPr>
      <w:r>
        <w:rPr>
          <w:rFonts w:ascii="Consolas"/>
        </w:rPr>
        <w:t>&lt;/sh:filter&gt;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278"/>
              <w:rPr>
                <w:sz w:val="22"/>
              </w:rPr>
            </w:pPr>
            <w:r>
              <w:rPr>
                <w:rFonts w:ascii="Cambria"/>
                <w:sz w:val="22"/>
              </w:rPr>
              <w:t>description </w:t>
            </w:r>
            <w:r>
              <w:rPr>
                <w:sz w:val="22"/>
              </w:rPr>
              <w:t>(Pivot Filter Description)</w:t>
            </w:r>
          </w:p>
        </w:tc>
        <w:tc>
          <w:tcPr>
            <w:tcW w:w="8250" w:type="dxa"/>
          </w:tcPr>
          <w:p>
            <w:pPr>
              <w:pStyle w:val="TableParagraph"/>
              <w:rPr>
                <w:sz w:val="22"/>
              </w:rPr>
            </w:pPr>
            <w:r>
              <w:rPr>
                <w:sz w:val="22"/>
              </w:rPr>
              <w:t>Specifies the description of the pivot filter.</w:t>
            </w:r>
          </w:p>
          <w:p>
            <w:pPr>
              <w:pStyle w:val="TableParagraph"/>
              <w:spacing w:before="2"/>
              <w:ind w:left="0"/>
              <w:rPr>
                <w:sz w:val="22"/>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spacing w:line="257" w:lineRule="exact" w:before="42"/>
              <w:rPr>
                <w:rFonts w:ascii="Cambria"/>
                <w:sz w:val="22"/>
              </w:rPr>
            </w:pPr>
            <w:r>
              <w:rPr>
                <w:rFonts w:ascii="Cambria"/>
                <w:sz w:val="22"/>
              </w:rPr>
              <w:t>evalOrder</w:t>
            </w:r>
          </w:p>
          <w:p>
            <w:pPr>
              <w:pStyle w:val="TableParagraph"/>
              <w:spacing w:line="268" w:lineRule="exact" w:before="0"/>
              <w:rPr>
                <w:sz w:val="22"/>
              </w:rPr>
            </w:pPr>
            <w:r>
              <w:rPr>
                <w:sz w:val="22"/>
              </w:rPr>
              <w:t>(Evaluation Order)</w:t>
            </w:r>
          </w:p>
        </w:tc>
        <w:tc>
          <w:tcPr>
            <w:tcW w:w="8250" w:type="dxa"/>
          </w:tcPr>
          <w:p>
            <w:pPr>
              <w:pStyle w:val="TableParagraph"/>
              <w:rPr>
                <w:sz w:val="22"/>
              </w:rPr>
            </w:pPr>
            <w:r>
              <w:rPr>
                <w:sz w:val="22"/>
              </w:rPr>
              <w:t>Specifies the evaluation order of the pivot filter. This attribute is zero-based.</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1161" w:hRule="atLeast"/>
        </w:trPr>
        <w:tc>
          <w:tcPr>
            <w:tcW w:w="2062" w:type="dxa"/>
          </w:tcPr>
          <w:p>
            <w:pPr>
              <w:pStyle w:val="TableParagraph"/>
              <w:rPr>
                <w:sz w:val="22"/>
              </w:rPr>
            </w:pPr>
            <w:r>
              <w:rPr>
                <w:rFonts w:ascii="Cambria"/>
                <w:sz w:val="22"/>
              </w:rPr>
              <w:t>fld </w:t>
            </w:r>
            <w:r>
              <w:rPr>
                <w:sz w:val="22"/>
              </w:rPr>
              <w:t>(Field Index)</w:t>
            </w:r>
          </w:p>
        </w:tc>
        <w:tc>
          <w:tcPr>
            <w:tcW w:w="8250" w:type="dxa"/>
          </w:tcPr>
          <w:p>
            <w:pPr>
              <w:pStyle w:val="TableParagraph"/>
              <w:rPr>
                <w:sz w:val="22"/>
              </w:rPr>
            </w:pPr>
            <w:r>
              <w:rPr>
                <w:sz w:val="22"/>
              </w:rPr>
              <w:t>Specifies the index of the field to which this pivot filter belongs.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id </w:t>
            </w:r>
            <w:r>
              <w:rPr>
                <w:sz w:val="22"/>
              </w:rPr>
              <w:t>(Pivot Filter Id)</w:t>
            </w:r>
          </w:p>
        </w:tc>
        <w:tc>
          <w:tcPr>
            <w:tcW w:w="8250" w:type="dxa"/>
          </w:tcPr>
          <w:p>
            <w:pPr>
              <w:pStyle w:val="TableParagraph"/>
              <w:rPr>
                <w:sz w:val="22"/>
              </w:rPr>
            </w:pPr>
            <w:r>
              <w:rPr>
                <w:sz w:val="22"/>
              </w:rPr>
              <w:t>Specifies the unique identifier of the pivot filter as assigned by the PivotTable.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line="237" w:lineRule="auto" w:before="45"/>
              <w:ind w:right="582"/>
              <w:rPr>
                <w:sz w:val="22"/>
              </w:rPr>
            </w:pPr>
            <w:r>
              <w:rPr>
                <w:rFonts w:ascii="Cambria"/>
                <w:sz w:val="22"/>
              </w:rPr>
              <w:t>iMeasureFld </w:t>
            </w:r>
            <w:r>
              <w:rPr>
                <w:sz w:val="22"/>
              </w:rPr>
              <w:t>(Measure Field Index)</w:t>
            </w:r>
          </w:p>
        </w:tc>
        <w:tc>
          <w:tcPr>
            <w:tcW w:w="8250" w:type="dxa"/>
          </w:tcPr>
          <w:p>
            <w:pPr>
              <w:pStyle w:val="TableParagraph"/>
              <w:ind w:right="191"/>
              <w:rPr>
                <w:sz w:val="22"/>
              </w:rPr>
            </w:pPr>
            <w:r>
              <w:rPr>
                <w:sz w:val="22"/>
              </w:rPr>
              <w:t>Specifies the index of the measure field. This attribute is used only by filters in Relational pivots and specifies on which measure a value filter should apply.</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iMeasureHier</w:t>
            </w:r>
          </w:p>
          <w:p>
            <w:pPr>
              <w:pStyle w:val="TableParagraph"/>
              <w:spacing w:line="268" w:lineRule="exact" w:before="0"/>
              <w:rPr>
                <w:sz w:val="22"/>
              </w:rPr>
            </w:pPr>
            <w:r>
              <w:rPr>
                <w:sz w:val="22"/>
              </w:rPr>
              <w:t>(Measure Index)</w:t>
            </w:r>
          </w:p>
        </w:tc>
        <w:tc>
          <w:tcPr>
            <w:tcW w:w="8250" w:type="dxa"/>
          </w:tcPr>
          <w:p>
            <w:pPr>
              <w:pStyle w:val="TableParagraph"/>
              <w:ind w:right="125"/>
              <w:rPr>
                <w:sz w:val="22"/>
              </w:rPr>
            </w:pPr>
            <w:r>
              <w:rPr>
                <w:sz w:val="22"/>
              </w:rPr>
              <w:t>Specifies the index of the measure cube field. This attribute is used only by filters in OLAP pivots and specifies on which measure a value filter should apply.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28" w:hRule="atLeast"/>
        </w:trPr>
        <w:tc>
          <w:tcPr>
            <w:tcW w:w="2062" w:type="dxa"/>
          </w:tcPr>
          <w:p>
            <w:pPr>
              <w:pStyle w:val="TableParagraph"/>
              <w:ind w:right="371"/>
              <w:rPr>
                <w:sz w:val="22"/>
              </w:rPr>
            </w:pPr>
            <w:r>
              <w:rPr>
                <w:rFonts w:ascii="Cambria"/>
                <w:sz w:val="22"/>
              </w:rPr>
              <w:t>mpFld </w:t>
            </w:r>
            <w:r>
              <w:rPr>
                <w:sz w:val="22"/>
              </w:rPr>
              <w:t>(Member Property Field Id)</w:t>
            </w:r>
          </w:p>
        </w:tc>
        <w:tc>
          <w:tcPr>
            <w:tcW w:w="8250" w:type="dxa"/>
          </w:tcPr>
          <w:p>
            <w:pPr>
              <w:pStyle w:val="TableParagraph"/>
              <w:ind w:right="545"/>
              <w:rPr>
                <w:sz w:val="22"/>
              </w:rPr>
            </w:pPr>
            <w:r>
              <w:rPr>
                <w:sz w:val="22"/>
              </w:rPr>
              <w:t>Specifies the index of the field representing the member property field on which this pivot filter is defined. This attribute is used only by label pivot filters.</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316"/>
              <w:rPr>
                <w:sz w:val="22"/>
              </w:rPr>
            </w:pPr>
            <w:r>
              <w:rPr>
                <w:rFonts w:ascii="Cambria"/>
                <w:sz w:val="22"/>
              </w:rPr>
              <w:t>name </w:t>
            </w:r>
            <w:r>
              <w:rPr>
                <w:sz w:val="22"/>
              </w:rPr>
              <w:t>(Pivot Filter Name)</w:t>
            </w:r>
          </w:p>
        </w:tc>
        <w:tc>
          <w:tcPr>
            <w:tcW w:w="8250" w:type="dxa"/>
          </w:tcPr>
          <w:p>
            <w:pPr>
              <w:pStyle w:val="TableParagraph"/>
              <w:rPr>
                <w:sz w:val="22"/>
              </w:rPr>
            </w:pPr>
            <w:r>
              <w:rPr>
                <w:sz w:val="22"/>
              </w:rPr>
              <w:t>Specifies the name of the pivot filter.</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125"/>
              <w:rPr>
                <w:sz w:val="22"/>
              </w:rPr>
            </w:pPr>
            <w:r>
              <w:rPr>
                <w:rFonts w:ascii="Cambria"/>
                <w:sz w:val="22"/>
              </w:rPr>
              <w:t>stringValue1 </w:t>
            </w:r>
            <w:r>
              <w:rPr>
                <w:sz w:val="22"/>
              </w:rPr>
              <w:t>(Label Pivot)</w:t>
            </w:r>
          </w:p>
        </w:tc>
        <w:tc>
          <w:tcPr>
            <w:tcW w:w="8250" w:type="dxa"/>
          </w:tcPr>
          <w:p>
            <w:pPr>
              <w:pStyle w:val="TableParagraph"/>
              <w:rPr>
                <w:sz w:val="22"/>
              </w:rPr>
            </w:pPr>
            <w:r>
              <w:rPr>
                <w:sz w:val="22"/>
              </w:rPr>
              <w:t>Specifies the string value "1" used by label pivot filters.</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before="42"/>
              <w:ind w:right="125"/>
              <w:rPr>
                <w:sz w:val="22"/>
              </w:rPr>
            </w:pPr>
            <w:r>
              <w:rPr>
                <w:rFonts w:ascii="Cambria"/>
                <w:sz w:val="22"/>
              </w:rPr>
              <w:t>stringValue2 </w:t>
            </w:r>
            <w:r>
              <w:rPr>
                <w:sz w:val="22"/>
              </w:rPr>
              <w:t>(Label Pivot Filter String Value 2)</w:t>
            </w:r>
          </w:p>
        </w:tc>
        <w:tc>
          <w:tcPr>
            <w:tcW w:w="8250" w:type="dxa"/>
          </w:tcPr>
          <w:p>
            <w:pPr>
              <w:pStyle w:val="TableParagraph"/>
              <w:spacing w:before="42"/>
              <w:rPr>
                <w:sz w:val="22"/>
              </w:rPr>
            </w:pPr>
            <w:r>
              <w:rPr>
                <w:sz w:val="22"/>
              </w:rPr>
              <w:t>Specifies the string value "2" used by label pivot filters.</w:t>
            </w:r>
          </w:p>
          <w:p>
            <w:pPr>
              <w:pStyle w:val="TableParagraph"/>
              <w:spacing w:before="11"/>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22"/>
              <w:rPr>
                <w:sz w:val="22"/>
              </w:rPr>
            </w:pPr>
            <w:r>
              <w:rPr>
                <w:rFonts w:ascii="Cambria"/>
                <w:sz w:val="22"/>
              </w:rPr>
              <w:t>type </w:t>
            </w:r>
            <w:r>
              <w:rPr>
                <w:sz w:val="22"/>
              </w:rPr>
              <w:t>(Pivot Filter Type)</w:t>
            </w:r>
          </w:p>
        </w:tc>
        <w:tc>
          <w:tcPr>
            <w:tcW w:w="8250" w:type="dxa"/>
          </w:tcPr>
          <w:p>
            <w:pPr>
              <w:pStyle w:val="TableParagraph"/>
              <w:rPr>
                <w:sz w:val="22"/>
              </w:rPr>
            </w:pPr>
            <w:r>
              <w:rPr>
                <w:sz w:val="22"/>
              </w:rPr>
              <w:t>Specifies the type of the pivot filter.</w:t>
            </w:r>
          </w:p>
          <w:p>
            <w:pPr>
              <w:pStyle w:val="TableParagraph"/>
              <w:spacing w:before="0"/>
              <w:ind w:left="0"/>
              <w:rPr>
                <w:sz w:val="22"/>
              </w:rPr>
            </w:pPr>
          </w:p>
          <w:p>
            <w:pPr>
              <w:pStyle w:val="TableParagraph"/>
              <w:spacing w:before="0"/>
              <w:ind w:right="234"/>
              <w:rPr>
                <w:sz w:val="22"/>
              </w:rPr>
            </w:pPr>
            <w:r>
              <w:rPr>
                <w:sz w:val="22"/>
              </w:rPr>
              <w:t>The possible values for this attribute are defined by the </w:t>
            </w:r>
            <w:r>
              <w:rPr>
                <w:rFonts w:ascii="Cambria" w:hAnsi="Cambria"/>
                <w:sz w:val="22"/>
              </w:rPr>
              <w:t>ST_PivotFilterType </w:t>
            </w:r>
            <w:r>
              <w:rPr>
                <w:sz w:val="22"/>
              </w:rPr>
              <w:t>simple type </w:t>
            </w:r>
            <w:hyperlink w:history="true" w:anchor="_bookmark881">
              <w:r>
                <w:rPr>
                  <w:sz w:val="22"/>
                </w:rPr>
                <w:t>(§18.18.59</w:t>
              </w:r>
            </w:hyperlink>
            <w:r>
              <w:rPr>
                <w:sz w:val="22"/>
              </w:rPr>
              <w:t>).</w:t>
            </w:r>
          </w:p>
        </w:tc>
      </w:tr>
    </w:tbl>
    <w:p>
      <w:pPr>
        <w:pStyle w:val="BodyText"/>
        <w:rPr>
          <w:sz w:val="20"/>
        </w:rPr>
      </w:pPr>
    </w:p>
    <w:p>
      <w:pPr>
        <w:pStyle w:val="BodyText"/>
        <w:spacing w:before="10"/>
        <w:rPr>
          <w:sz w:val="16"/>
        </w:rPr>
      </w:pPr>
    </w:p>
    <w:p>
      <w:pPr>
        <w:pStyle w:val="BodyText"/>
        <w:spacing w:line="276" w:lineRule="auto" w:before="56"/>
        <w:ind w:left="220" w:right="570"/>
      </w:pPr>
      <w:r>
        <w:rPr/>
        <w:t>[</w:t>
      </w:r>
      <w:r>
        <w:rPr>
          <w:i/>
        </w:rPr>
        <w:t>Note</w:t>
      </w:r>
      <w:r>
        <w:rPr/>
        <w:t>: The W3C XML Schema definition of this element’s content model (</w:t>
      </w:r>
      <w:r>
        <w:rPr>
          <w:color w:val="5F5F5F"/>
          <w:u w:val="single" w:color="5F5F5F"/>
        </w:rPr>
        <w:t>CT_PivotFilter</w:t>
      </w:r>
      <w:r>
        <w:rPr/>
        <w:t>) is located in §A.2. </w:t>
      </w:r>
      <w:r>
        <w:rPr>
          <w:i/>
        </w:rPr>
        <w:t>end </w:t>
      </w:r>
      <w:r>
        <w:rPr>
          <w:i/>
        </w:rPr>
        <w:t>note</w:t>
      </w:r>
      <w:r>
        <w:rPr/>
        <w:t>]</w:t>
      </w:r>
    </w:p>
    <w:p>
      <w:pPr>
        <w:pStyle w:val="BodyText"/>
        <w:spacing w:before="9"/>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34 filters (Filters)" w:id="851"/>
      <w:bookmarkEnd w:id="851"/>
      <w:r>
        <w:rPr/>
      </w:r>
      <w:bookmarkStart w:name="_bookmark282" w:id="852"/>
      <w:bookmarkEnd w:id="852"/>
      <w:r>
        <w:rPr/>
      </w:r>
      <w:bookmarkStart w:name="_bookmark282" w:id="853"/>
      <w:bookmarkEnd w:id="853"/>
      <w:r>
        <w:rPr>
          <w:color w:val="4F81BC"/>
        </w:rPr>
        <w:t>filters</w:t>
      </w:r>
      <w:r>
        <w:rPr>
          <w:color w:val="4F81BC"/>
          <w:spacing w:val="-1"/>
        </w:rPr>
        <w:t> </w:t>
      </w:r>
      <w:r>
        <w:rPr>
          <w:color w:val="4F81BC"/>
        </w:rPr>
        <w:t>(Filters)</w:t>
      </w:r>
    </w:p>
    <w:p>
      <w:pPr>
        <w:pStyle w:val="BodyText"/>
        <w:spacing w:line="453" w:lineRule="auto" w:before="121"/>
        <w:ind w:left="220" w:right="4759"/>
      </w:pPr>
      <w:r>
        <w:rPr/>
        <w:t>Represents the collection of filters that apply to this PivotTable. [</w:t>
      </w:r>
      <w:r>
        <w:rPr>
          <w:i/>
        </w:rPr>
        <w:t>Example</w:t>
      </w:r>
      <w:r>
        <w:rPr/>
        <w:t>:</w:t>
      </w:r>
    </w:p>
    <w:p>
      <w:pPr>
        <w:spacing w:after="0" w:line="453" w:lineRule="auto"/>
        <w:sectPr>
          <w:pgSz w:w="12240" w:h="15840"/>
          <w:pgMar w:header="763" w:footer="746" w:top="1340" w:bottom="940" w:left="860" w:right="700"/>
        </w:sectPr>
      </w:pPr>
    </w:p>
    <w:p>
      <w:pPr>
        <w:pStyle w:val="BodyText"/>
        <w:spacing w:before="93"/>
        <w:ind w:left="508"/>
        <w:rPr>
          <w:rFonts w:ascii="Consolas"/>
        </w:rPr>
      </w:pPr>
      <w:r>
        <w:rPr>
          <w:rFonts w:ascii="Consolas"/>
        </w:rPr>
        <w:t>&lt;sh:filters count="1"&gt;</w:t>
      </w:r>
    </w:p>
    <w:p>
      <w:pPr>
        <w:pStyle w:val="BodyText"/>
        <w:spacing w:before="38"/>
        <w:ind w:left="750"/>
        <w:rPr>
          <w:rFonts w:ascii="Consolas"/>
        </w:rPr>
      </w:pPr>
      <w:r>
        <w:rPr>
          <w:rFonts w:ascii="Consolas"/>
        </w:rPr>
        <w:t>&lt;sh:filter fld="3" type="count" id="1" iMeasureHier="187"&gt;</w:t>
      </w:r>
    </w:p>
    <w:p>
      <w:pPr>
        <w:pStyle w:val="BodyText"/>
        <w:spacing w:before="40"/>
        <w:ind w:left="993"/>
        <w:rPr>
          <w:rFonts w:ascii="Consolas"/>
        </w:rPr>
      </w:pPr>
      <w:r>
        <w:rPr>
          <w:rFonts w:ascii="Consolas"/>
        </w:rPr>
        <w:t>&lt;sh:autoFilter ref="A1"&gt;</w:t>
      </w:r>
    </w:p>
    <w:p>
      <w:pPr>
        <w:pStyle w:val="BodyText"/>
        <w:spacing w:before="37"/>
        <w:ind w:left="1235"/>
        <w:rPr>
          <w:rFonts w:ascii="Consolas"/>
        </w:rPr>
      </w:pPr>
      <w:r>
        <w:rPr>
          <w:rFonts w:ascii="Consolas"/>
        </w:rPr>
        <w:t>&lt;sh:filterColumn colId="0"&gt;</w:t>
      </w:r>
    </w:p>
    <w:p>
      <w:pPr>
        <w:pStyle w:val="BodyText"/>
        <w:spacing w:before="40"/>
        <w:ind w:left="1478"/>
        <w:rPr>
          <w:rFonts w:ascii="Consolas"/>
        </w:rPr>
      </w:pPr>
      <w:r>
        <w:rPr>
          <w:rFonts w:ascii="Consolas"/>
        </w:rPr>
        <w:t>&lt;sh:top10 val="5"/&gt;</w:t>
      </w:r>
    </w:p>
    <w:p>
      <w:pPr>
        <w:pStyle w:val="BodyText"/>
        <w:spacing w:before="38"/>
        <w:ind w:left="1235"/>
        <w:rPr>
          <w:rFonts w:ascii="Consolas"/>
        </w:rPr>
      </w:pPr>
      <w:r>
        <w:rPr>
          <w:rFonts w:ascii="Consolas"/>
        </w:rPr>
        <w:t>&lt;/sh:filterColumn&gt;</w:t>
      </w:r>
    </w:p>
    <w:p>
      <w:pPr>
        <w:pStyle w:val="BodyText"/>
        <w:spacing w:before="40"/>
        <w:ind w:left="993"/>
        <w:rPr>
          <w:rFonts w:ascii="Consolas"/>
        </w:rPr>
      </w:pPr>
      <w:r>
        <w:rPr>
          <w:rFonts w:ascii="Consolas"/>
        </w:rPr>
        <w:t>&lt;/sh:autoFilter&gt;</w:t>
      </w:r>
    </w:p>
    <w:p>
      <w:pPr>
        <w:pStyle w:val="BodyText"/>
        <w:spacing w:before="37"/>
        <w:ind w:left="750"/>
        <w:rPr>
          <w:rFonts w:ascii="Consolas"/>
        </w:rPr>
      </w:pPr>
      <w:r>
        <w:rPr>
          <w:rFonts w:ascii="Consolas"/>
        </w:rPr>
        <w:t>&lt;/sh:filter&gt;</w:t>
      </w:r>
    </w:p>
    <w:p>
      <w:pPr>
        <w:pStyle w:val="BodyText"/>
        <w:spacing w:before="38"/>
        <w:ind w:left="508"/>
        <w:rPr>
          <w:rFonts w:ascii="Consolas"/>
        </w:rPr>
      </w:pPr>
      <w:r>
        <w:rPr>
          <w:rFonts w:ascii="Consolas"/>
        </w:rPr>
        <w:t>&lt;/sh:filters&gt;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0"/>
              <w:jc w:val="center"/>
              <w:rPr>
                <w:b/>
                <w:sz w:val="22"/>
              </w:rPr>
            </w:pPr>
            <w:r>
              <w:rPr>
                <w:b/>
                <w:sz w:val="22"/>
              </w:rPr>
              <w:t>Description</w:t>
            </w:r>
          </w:p>
        </w:tc>
      </w:tr>
      <w:tr>
        <w:trPr>
          <w:trHeight w:val="1161" w:hRule="atLeast"/>
        </w:trPr>
        <w:tc>
          <w:tcPr>
            <w:tcW w:w="2062" w:type="dxa"/>
          </w:tcPr>
          <w:p>
            <w:pPr>
              <w:pStyle w:val="TableParagraph"/>
              <w:ind w:right="304"/>
              <w:rPr>
                <w:sz w:val="22"/>
              </w:rPr>
            </w:pPr>
            <w:r>
              <w:rPr>
                <w:rFonts w:ascii="Cambria"/>
                <w:sz w:val="22"/>
              </w:rPr>
              <w:t>count </w:t>
            </w:r>
            <w:r>
              <w:rPr>
                <w:sz w:val="22"/>
              </w:rPr>
              <w:t>(Pivot Filter Count)</w:t>
            </w:r>
          </w:p>
        </w:tc>
        <w:tc>
          <w:tcPr>
            <w:tcW w:w="8250" w:type="dxa"/>
          </w:tcPr>
          <w:p>
            <w:pPr>
              <w:pStyle w:val="TableParagraph"/>
              <w:rPr>
                <w:sz w:val="22"/>
              </w:rPr>
            </w:pPr>
            <w:r>
              <w:rPr>
                <w:sz w:val="22"/>
              </w:rPr>
              <w:t>Specifies the number of pivot filters in the collection.</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484"/>
      </w:pPr>
      <w:r>
        <w:rPr/>
        <w:t>[</w:t>
      </w:r>
      <w:r>
        <w:rPr>
          <w:i/>
        </w:rPr>
        <w:t>Note</w:t>
      </w:r>
      <w:r>
        <w:rPr/>
        <w:t>: The W3C XML Schema definition of this element’s content model (</w:t>
      </w:r>
      <w:r>
        <w:rPr>
          <w:color w:val="5F5F5F"/>
          <w:u w:val="single" w:color="5F5F5F"/>
        </w:rPr>
        <w:t>CT_PivotFilters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35 format (PivotTable Format)" w:id="854"/>
      <w:bookmarkEnd w:id="854"/>
      <w:r>
        <w:rPr/>
      </w:r>
      <w:bookmarkStart w:name="_bookmark283" w:id="855"/>
      <w:bookmarkEnd w:id="855"/>
      <w:r>
        <w:rPr/>
      </w:r>
      <w:bookmarkStart w:name="_bookmark283" w:id="856"/>
      <w:bookmarkEnd w:id="856"/>
      <w:r>
        <w:rPr>
          <w:color w:val="4F81BC"/>
        </w:rPr>
        <w:t>f</w:t>
      </w:r>
      <w:r>
        <w:rPr>
          <w:color w:val="4F81BC"/>
        </w:rPr>
        <w:t>ormat (PivotTable</w:t>
      </w:r>
      <w:r>
        <w:rPr>
          <w:color w:val="4F81BC"/>
          <w:spacing w:val="-2"/>
        </w:rPr>
        <w:t> </w:t>
      </w:r>
      <w:r>
        <w:rPr>
          <w:color w:val="4F81BC"/>
        </w:rPr>
        <w:t>Format)</w:t>
      </w:r>
    </w:p>
    <w:p>
      <w:pPr>
        <w:pStyle w:val="BodyText"/>
        <w:spacing w:before="121"/>
        <w:ind w:left="220"/>
      </w:pPr>
      <w:r>
        <w:rPr/>
        <w:t>Represents the format defined in the PivotTable.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573"/>
              <w:rPr>
                <w:sz w:val="22"/>
              </w:rPr>
            </w:pPr>
            <w:r>
              <w:rPr>
                <w:rFonts w:ascii="Cambria"/>
                <w:sz w:val="22"/>
              </w:rPr>
              <w:t>action </w:t>
            </w:r>
            <w:r>
              <w:rPr>
                <w:sz w:val="22"/>
              </w:rPr>
              <w:t>(Format Action)</w:t>
            </w:r>
          </w:p>
        </w:tc>
        <w:tc>
          <w:tcPr>
            <w:tcW w:w="8250" w:type="dxa"/>
          </w:tcPr>
          <w:p>
            <w:pPr>
              <w:pStyle w:val="TableParagraph"/>
              <w:ind w:right="371"/>
              <w:rPr>
                <w:sz w:val="22"/>
              </w:rPr>
            </w:pPr>
            <w:r>
              <w:rPr>
                <w:sz w:val="22"/>
              </w:rPr>
              <w:t>Specifies the formatting behavior for the area indicated in the </w:t>
            </w:r>
            <w:r>
              <w:rPr>
                <w:rFonts w:ascii="Cambria"/>
                <w:sz w:val="22"/>
              </w:rPr>
              <w:t>pivotArea </w:t>
            </w:r>
            <w:r>
              <w:rPr>
                <w:sz w:val="22"/>
              </w:rPr>
              <w:t>element. The default value for this attribute is "formatting," which indicates that the specified cells have some formatting applied. The format is specified in the </w:t>
            </w:r>
            <w:r>
              <w:rPr>
                <w:rFonts w:ascii="Cambria"/>
                <w:sz w:val="22"/>
              </w:rPr>
              <w:t>dxfId </w:t>
            </w:r>
            <w:r>
              <w:rPr>
                <w:sz w:val="22"/>
              </w:rPr>
              <w:t>attribute. If the formatting is cleared from the cells, then the value of this attribute becomes "blank."</w:t>
            </w:r>
          </w:p>
          <w:p>
            <w:pPr>
              <w:pStyle w:val="TableParagraph"/>
              <w:spacing w:before="10"/>
              <w:ind w:left="0"/>
              <w:rPr>
                <w:sz w:val="21"/>
              </w:rPr>
            </w:pPr>
          </w:p>
          <w:p>
            <w:pPr>
              <w:pStyle w:val="TableParagraph"/>
              <w:spacing w:before="1"/>
              <w:ind w:right="405"/>
              <w:rPr>
                <w:sz w:val="22"/>
              </w:rPr>
            </w:pPr>
            <w:r>
              <w:rPr>
                <w:sz w:val="22"/>
              </w:rPr>
              <w:t>The possible values for this attribute are defined by the </w:t>
            </w:r>
            <w:r>
              <w:rPr>
                <w:rFonts w:ascii="Cambria" w:hAnsi="Cambria"/>
                <w:sz w:val="22"/>
              </w:rPr>
              <w:t>ST_FormatAction </w:t>
            </w:r>
            <w:r>
              <w:rPr>
                <w:sz w:val="22"/>
              </w:rPr>
              <w:t>simple type </w:t>
            </w:r>
            <w:hyperlink w:history="true" w:anchor="_bookmark856">
              <w:r>
                <w:rPr>
                  <w:sz w:val="22"/>
                </w:rPr>
                <w:t>(§18.18.34</w:t>
              </w:r>
            </w:hyperlink>
            <w:r>
              <w:rPr>
                <w:sz w:val="22"/>
              </w:rPr>
              <w:t>).</w:t>
            </w:r>
          </w:p>
        </w:tc>
      </w:tr>
      <w:tr>
        <w:trPr>
          <w:trHeight w:val="2772" w:hRule="atLeast"/>
        </w:trPr>
        <w:tc>
          <w:tcPr>
            <w:tcW w:w="2062" w:type="dxa"/>
          </w:tcPr>
          <w:p>
            <w:pPr>
              <w:pStyle w:val="TableParagraph"/>
              <w:rPr>
                <w:sz w:val="22"/>
              </w:rPr>
            </w:pPr>
            <w:r>
              <w:rPr>
                <w:rFonts w:ascii="Cambria"/>
                <w:sz w:val="22"/>
              </w:rPr>
              <w:t>dxfId </w:t>
            </w:r>
            <w:r>
              <w:rPr>
                <w:sz w:val="22"/>
              </w:rPr>
              <w:t>(Format Id)</w:t>
            </w:r>
          </w:p>
        </w:tc>
        <w:tc>
          <w:tcPr>
            <w:tcW w:w="8250" w:type="dxa"/>
          </w:tcPr>
          <w:p>
            <w:pPr>
              <w:pStyle w:val="TableParagraph"/>
              <w:ind w:right="196"/>
              <w:rPr>
                <w:sz w:val="22"/>
              </w:rPr>
            </w:pPr>
            <w:r>
              <w:rPr>
                <w:sz w:val="22"/>
              </w:rPr>
              <w:t>Specifies the identifier of the format the application is currently using for the PivotTable. Formatting information is written to the styles part. See the Styles section (</w:t>
            </w:r>
            <w:hyperlink w:history="true" w:anchor="_bookmark183">
              <w:r>
                <w:rPr>
                  <w:sz w:val="22"/>
                </w:rPr>
                <w:t>§18.8</w:t>
              </w:r>
            </w:hyperlink>
            <w:r>
              <w:rPr>
                <w:sz w:val="22"/>
              </w:rPr>
              <w:t>) for more information on formats.</w:t>
            </w:r>
          </w:p>
          <w:p>
            <w:pPr>
              <w:pStyle w:val="TableParagraph"/>
              <w:spacing w:before="1"/>
              <w:ind w:left="0"/>
              <w:rPr>
                <w:sz w:val="22"/>
              </w:rPr>
            </w:pPr>
          </w:p>
          <w:p>
            <w:pPr>
              <w:pStyle w:val="TableParagraph"/>
              <w:spacing w:before="0"/>
              <w:ind w:right="106"/>
              <w:rPr>
                <w:sz w:val="22"/>
              </w:rPr>
            </w:pPr>
            <w:r>
              <w:rPr>
                <w:sz w:val="22"/>
              </w:rPr>
              <w:t>Formatting information provided by cell table and by PivotTable need not agree. If the two formats differ, the cell-level formatting takes precedence. If you change the layout the PivotTable, the PivotTable formatting will then take precedence.</w:t>
            </w:r>
          </w:p>
          <w:p>
            <w:pPr>
              <w:pStyle w:val="TableParagraph"/>
              <w:spacing w:before="11"/>
              <w:ind w:left="0"/>
              <w:rPr>
                <w:sz w:val="21"/>
              </w:rPr>
            </w:pPr>
          </w:p>
          <w:p>
            <w:pPr>
              <w:pStyle w:val="TableParagraph"/>
              <w:spacing w:before="0"/>
              <w:ind w:right="1193"/>
              <w:rPr>
                <w:sz w:val="22"/>
              </w:rPr>
            </w:pPr>
            <w:r>
              <w:rPr>
                <w:sz w:val="22"/>
              </w:rPr>
              <w:t>The possible values for this attribute are defined by the </w:t>
            </w:r>
            <w:r>
              <w:rPr>
                <w:rFonts w:ascii="Cambria" w:hAnsi="Cambria"/>
                <w:sz w:val="22"/>
              </w:rPr>
              <w:t>ST_DxfId </w:t>
            </w:r>
            <w:r>
              <w:rPr>
                <w:sz w:val="22"/>
              </w:rPr>
              <w:t>simple type </w:t>
            </w:r>
            <w:hyperlink w:history="true" w:anchor="_bookmark847">
              <w:r>
                <w:rPr>
                  <w:sz w:val="22"/>
                </w:rPr>
                <w:t>(§18.18.25</w:t>
              </w:r>
            </w:hyperlink>
            <w:r>
              <w:rPr>
                <w:sz w:val="22"/>
              </w:rPr>
              <w:t>).</w:t>
            </w:r>
          </w:p>
        </w:tc>
      </w:tr>
    </w:tbl>
    <w:p>
      <w:pPr>
        <w:spacing w:after="0"/>
        <w:rPr>
          <w:sz w:val="22"/>
        </w:rPr>
        <w:sectPr>
          <w:pgSz w:w="12240" w:h="15840"/>
          <w:pgMar w:header="761" w:footer="746" w:top="1340" w:bottom="940" w:left="860" w:right="700"/>
        </w:sectPr>
      </w:pPr>
    </w:p>
    <w:p>
      <w:pPr>
        <w:pStyle w:val="BodyText"/>
        <w:spacing w:line="278" w:lineRule="auto" w:before="148"/>
        <w:ind w:left="220" w:right="836"/>
      </w:pPr>
      <w:r>
        <w:rPr/>
        <w:t>[</w:t>
      </w:r>
      <w:r>
        <w:rPr>
          <w:i/>
        </w:rPr>
        <w:t>Note</w:t>
      </w:r>
      <w:r>
        <w:rPr/>
        <w:t>: The W3C XML Schema definition of this element’s content model (</w:t>
      </w:r>
      <w:r>
        <w:rPr>
          <w:color w:val="5F5F5F"/>
          <w:u w:val="single" w:color="5F5F5F"/>
        </w:rPr>
        <w:t>CT_Format</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36 formats (PivotTable Formats)" w:id="857"/>
      <w:bookmarkEnd w:id="857"/>
      <w:r>
        <w:rPr/>
      </w:r>
      <w:bookmarkStart w:name="_bookmark284" w:id="858"/>
      <w:bookmarkEnd w:id="858"/>
      <w:r>
        <w:rPr/>
      </w:r>
      <w:bookmarkStart w:name="_bookmark284" w:id="859"/>
      <w:bookmarkEnd w:id="859"/>
      <w:r>
        <w:rPr>
          <w:color w:val="4F81BC"/>
        </w:rPr>
        <w:t>f</w:t>
      </w:r>
      <w:r>
        <w:rPr>
          <w:color w:val="4F81BC"/>
        </w:rPr>
        <w:t>ormats (PivotTable</w:t>
      </w:r>
      <w:r>
        <w:rPr>
          <w:color w:val="4F81BC"/>
          <w:spacing w:val="-2"/>
        </w:rPr>
        <w:t> </w:t>
      </w:r>
      <w:r>
        <w:rPr>
          <w:color w:val="4F81BC"/>
        </w:rPr>
        <w:t>Formats)</w:t>
      </w:r>
    </w:p>
    <w:p>
      <w:pPr>
        <w:pStyle w:val="BodyText"/>
        <w:spacing w:before="121"/>
        <w:ind w:left="220"/>
      </w:pPr>
      <w:r>
        <w:rPr/>
        <w:t>Represents the collection of formats applied to PivotTable.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534"/>
              <w:rPr>
                <w:sz w:val="22"/>
              </w:rPr>
            </w:pPr>
            <w:r>
              <w:rPr>
                <w:rFonts w:ascii="Cambria"/>
                <w:sz w:val="22"/>
              </w:rPr>
              <w:t>count </w:t>
            </w:r>
            <w:r>
              <w:rPr>
                <w:sz w:val="22"/>
              </w:rPr>
              <w:t>(Formats Count)</w:t>
            </w:r>
          </w:p>
        </w:tc>
        <w:tc>
          <w:tcPr>
            <w:tcW w:w="8250" w:type="dxa"/>
          </w:tcPr>
          <w:p>
            <w:pPr>
              <w:pStyle w:val="TableParagraph"/>
              <w:rPr>
                <w:sz w:val="22"/>
              </w:rPr>
            </w:pPr>
            <w:r>
              <w:rPr>
                <w:sz w:val="22"/>
              </w:rPr>
              <w:t>Specifies the number of formats in the collection.</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spacing w:line="278" w:lineRule="auto" w:before="1"/>
        <w:ind w:left="220" w:right="750"/>
      </w:pPr>
      <w:r>
        <w:rPr/>
        <w:t>[</w:t>
      </w:r>
      <w:r>
        <w:rPr>
          <w:i/>
        </w:rPr>
        <w:t>Note</w:t>
      </w:r>
      <w:r>
        <w:rPr/>
        <w:t>: The W3C XML Schema definition of this element’s content model (</w:t>
      </w:r>
      <w:r>
        <w:rPr>
          <w:color w:val="5F5F5F"/>
          <w:u w:val="single" w:color="5F5F5F"/>
        </w:rPr>
        <w:t>CT_Formats</w:t>
      </w:r>
      <w:r>
        <w:rPr/>
        <w:t>) is located in §A.2. </w:t>
      </w:r>
      <w:r>
        <w:rPr>
          <w:i/>
        </w:rPr>
        <w:t>end </w:t>
      </w:r>
      <w:r>
        <w:rPr>
          <w:i/>
        </w:rPr>
        <w:t>note</w:t>
      </w:r>
      <w:r>
        <w:rPr/>
        <w:t>]</w:t>
      </w:r>
    </w:p>
    <w:p>
      <w:pPr>
        <w:pStyle w:val="BodyText"/>
        <w:spacing w:before="2"/>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37 group (OLAP Group)" w:id="860"/>
      <w:bookmarkEnd w:id="860"/>
      <w:r>
        <w:rPr/>
      </w:r>
      <w:bookmarkStart w:name="_bookmark285" w:id="861"/>
      <w:bookmarkEnd w:id="861"/>
      <w:r>
        <w:rPr/>
      </w:r>
      <w:bookmarkStart w:name="_bookmark285" w:id="862"/>
      <w:bookmarkEnd w:id="862"/>
      <w:r>
        <w:rPr>
          <w:color w:val="4F81BC"/>
        </w:rPr>
        <w:t>g</w:t>
      </w:r>
      <w:r>
        <w:rPr>
          <w:color w:val="4F81BC"/>
        </w:rPr>
        <w:t>roup (OLAP</w:t>
      </w:r>
      <w:r>
        <w:rPr>
          <w:color w:val="4F81BC"/>
          <w:spacing w:val="-1"/>
        </w:rPr>
        <w:t> </w:t>
      </w:r>
      <w:r>
        <w:rPr>
          <w:color w:val="4F81BC"/>
        </w:rPr>
        <w:t>Group)</w:t>
      </w:r>
    </w:p>
    <w:p>
      <w:pPr>
        <w:pStyle w:val="BodyText"/>
        <w:spacing w:line="453" w:lineRule="auto" w:before="121"/>
        <w:ind w:left="220" w:right="7537"/>
      </w:pPr>
      <w:r>
        <w:rPr/>
        <w:t>Represents an OLAP level group. [</w:t>
      </w:r>
      <w:r>
        <w:rPr>
          <w:i/>
        </w:rPr>
        <w:t>Example</w:t>
      </w:r>
      <w:r>
        <w:rPr/>
        <w:t>:</w:t>
      </w:r>
    </w:p>
    <w:p>
      <w:pPr>
        <w:pStyle w:val="BodyText"/>
        <w:spacing w:line="276" w:lineRule="auto" w:before="2"/>
        <w:ind w:left="750" w:right="1028" w:hanging="243"/>
        <w:rPr>
          <w:rFonts w:ascii="Consolas"/>
        </w:rPr>
      </w:pPr>
      <w:r>
        <w:rPr>
          <w:rFonts w:ascii="Consolas"/>
        </w:rPr>
        <w:t>&lt;group name="CategoryXl_Grp_1" uniqueName="[Product].[Product Categories]. [Product Categories1].[GROUPMEMBER.[CategoryXl_Grp_1]].[Product]]. [Product Categories]].[All Products]]]" caption="Group1" uniqueParent="[Product].[Product Categories].[All Products]" id="1"&gt;</w:t>
      </w:r>
    </w:p>
    <w:p>
      <w:pPr>
        <w:pStyle w:val="BodyText"/>
        <w:spacing w:before="1"/>
        <w:ind w:left="750"/>
        <w:rPr>
          <w:rFonts w:ascii="Consolas"/>
        </w:rPr>
      </w:pPr>
      <w:r>
        <w:rPr>
          <w:rFonts w:ascii="Consolas"/>
        </w:rPr>
        <w:t>&lt;groupMembers count="2"&gt;</w:t>
      </w:r>
    </w:p>
    <w:p>
      <w:pPr>
        <w:pStyle w:val="BodyText"/>
        <w:spacing w:before="38"/>
        <w:ind w:left="993"/>
        <w:rPr>
          <w:rFonts w:ascii="Consolas"/>
        </w:rPr>
      </w:pPr>
      <w:r>
        <w:rPr>
          <w:rFonts w:ascii="Consolas"/>
        </w:rPr>
        <w:t>&lt;groupMember</w:t>
      </w:r>
    </w:p>
    <w:p>
      <w:pPr>
        <w:pStyle w:val="BodyText"/>
        <w:spacing w:before="40"/>
        <w:ind w:left="1235"/>
        <w:rPr>
          <w:rFonts w:ascii="Consolas"/>
        </w:rPr>
      </w:pPr>
      <w:r>
        <w:rPr>
          <w:rFonts w:ascii="Consolas"/>
        </w:rPr>
        <w:t>uniqueName="[Product].[Product Categories].[Category].&amp;amp;[4]"/&gt;</w:t>
      </w:r>
    </w:p>
    <w:p>
      <w:pPr>
        <w:pStyle w:val="BodyText"/>
        <w:spacing w:before="37"/>
        <w:ind w:left="993"/>
        <w:rPr>
          <w:rFonts w:ascii="Consolas"/>
        </w:rPr>
      </w:pPr>
      <w:r>
        <w:rPr>
          <w:rFonts w:ascii="Consolas"/>
        </w:rPr>
        <w:t>&lt;groupMember</w:t>
      </w:r>
    </w:p>
    <w:p>
      <w:pPr>
        <w:pStyle w:val="BodyText"/>
        <w:spacing w:before="40"/>
        <w:ind w:left="1235"/>
        <w:rPr>
          <w:rFonts w:ascii="Consolas"/>
        </w:rPr>
      </w:pPr>
      <w:r>
        <w:rPr>
          <w:rFonts w:ascii="Consolas"/>
        </w:rPr>
        <w:t>uniqueName="[Product].[Product Categories].[Category].&amp;amp;[1]"/&gt;</w:t>
      </w:r>
    </w:p>
    <w:p>
      <w:pPr>
        <w:pStyle w:val="BodyText"/>
        <w:spacing w:before="38"/>
        <w:ind w:left="750"/>
        <w:rPr>
          <w:rFonts w:ascii="Consolas"/>
        </w:rPr>
      </w:pPr>
      <w:r>
        <w:rPr>
          <w:rFonts w:ascii="Consolas"/>
        </w:rPr>
        <w:t>&lt;/groupMembers&gt;</w:t>
      </w:r>
    </w:p>
    <w:p>
      <w:pPr>
        <w:pStyle w:val="BodyText"/>
        <w:spacing w:before="40"/>
        <w:ind w:left="508"/>
        <w:rPr>
          <w:rFonts w:ascii="Consolas"/>
        </w:rPr>
      </w:pPr>
      <w:r>
        <w:rPr>
          <w:rFonts w:ascii="Consolas"/>
        </w:rPr>
        <w:t>&lt;/group&gt;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ind w:right="537"/>
              <w:rPr>
                <w:sz w:val="22"/>
              </w:rPr>
            </w:pPr>
            <w:r>
              <w:rPr>
                <w:rFonts w:ascii="Cambria"/>
                <w:sz w:val="22"/>
              </w:rPr>
              <w:t>caption </w:t>
            </w:r>
            <w:r>
              <w:rPr>
                <w:sz w:val="22"/>
              </w:rPr>
              <w:t>(Group Caption)</w:t>
            </w:r>
          </w:p>
        </w:tc>
        <w:tc>
          <w:tcPr>
            <w:tcW w:w="8250" w:type="dxa"/>
          </w:tcPr>
          <w:p>
            <w:pPr>
              <w:pStyle w:val="TableParagraph"/>
              <w:rPr>
                <w:sz w:val="22"/>
              </w:rPr>
            </w:pPr>
            <w:r>
              <w:rPr>
                <w:sz w:val="22"/>
              </w:rPr>
              <w:t>Specifies the caption for this group.</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rPr>
                <w:sz w:val="22"/>
              </w:rPr>
            </w:pPr>
            <w:r>
              <w:rPr>
                <w:rFonts w:ascii="Cambria"/>
                <w:sz w:val="22"/>
              </w:rPr>
              <w:t>id </w:t>
            </w:r>
            <w:r>
              <w:rPr>
                <w:sz w:val="22"/>
              </w:rPr>
              <w:t>(Group Id)</w:t>
            </w:r>
          </w:p>
        </w:tc>
        <w:tc>
          <w:tcPr>
            <w:tcW w:w="8250" w:type="dxa"/>
          </w:tcPr>
          <w:p>
            <w:pPr>
              <w:pStyle w:val="TableParagraph"/>
              <w:rPr>
                <w:sz w:val="22"/>
              </w:rPr>
            </w:pPr>
            <w:r>
              <w:rPr>
                <w:sz w:val="22"/>
              </w:rPr>
              <w:t>Specifies the unique number for this group within the level.</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354" w:hRule="atLeast"/>
        </w:trPr>
        <w:tc>
          <w:tcPr>
            <w:tcW w:w="2062" w:type="dxa"/>
          </w:tcPr>
          <w:p>
            <w:pPr>
              <w:pStyle w:val="TableParagraph"/>
              <w:rPr>
                <w:sz w:val="22"/>
              </w:rPr>
            </w:pPr>
            <w:r>
              <w:rPr>
                <w:rFonts w:ascii="Cambria"/>
                <w:sz w:val="22"/>
              </w:rPr>
              <w:t>name </w:t>
            </w:r>
            <w:r>
              <w:rPr>
                <w:sz w:val="22"/>
              </w:rPr>
              <w:t>(Group</w:t>
            </w:r>
          </w:p>
        </w:tc>
        <w:tc>
          <w:tcPr>
            <w:tcW w:w="8250" w:type="dxa"/>
          </w:tcPr>
          <w:p>
            <w:pPr>
              <w:pStyle w:val="TableParagraph"/>
              <w:rPr>
                <w:sz w:val="22"/>
              </w:rPr>
            </w:pPr>
            <w:r>
              <w:rPr>
                <w:sz w:val="22"/>
              </w:rPr>
              <w:t>Specifies the name of this group.</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Name)</w:t>
            </w:r>
          </w:p>
        </w:tc>
        <w:tc>
          <w:tcPr>
            <w:tcW w:w="8250" w:type="dxa"/>
          </w:tcPr>
          <w:p>
            <w:pPr>
              <w:pStyle w:val="TableParagraph"/>
              <w:spacing w:before="3"/>
              <w:ind w:left="0"/>
              <w:rPr>
                <w:sz w:val="25"/>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spacing w:line="237" w:lineRule="auto" w:before="45"/>
              <w:ind w:right="590"/>
              <w:rPr>
                <w:sz w:val="22"/>
              </w:rPr>
            </w:pPr>
            <w:r>
              <w:rPr>
                <w:rFonts w:ascii="Cambria"/>
                <w:sz w:val="22"/>
              </w:rPr>
              <w:t>uniqueName </w:t>
            </w:r>
            <w:r>
              <w:rPr>
                <w:sz w:val="22"/>
              </w:rPr>
              <w:t>(Unique Group Name)</w:t>
            </w:r>
          </w:p>
        </w:tc>
        <w:tc>
          <w:tcPr>
            <w:tcW w:w="8250" w:type="dxa"/>
          </w:tcPr>
          <w:p>
            <w:pPr>
              <w:pStyle w:val="TableParagraph"/>
              <w:rPr>
                <w:sz w:val="22"/>
              </w:rPr>
            </w:pPr>
            <w:r>
              <w:rPr>
                <w:sz w:val="22"/>
              </w:rPr>
              <w:t>Specifies the unique name of this group.</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before="42"/>
              <w:ind w:right="558"/>
              <w:rPr>
                <w:sz w:val="22"/>
              </w:rPr>
            </w:pPr>
            <w:r>
              <w:rPr>
                <w:rFonts w:ascii="Cambria"/>
                <w:sz w:val="22"/>
              </w:rPr>
              <w:t>uniqueParent </w:t>
            </w:r>
            <w:r>
              <w:rPr>
                <w:sz w:val="22"/>
              </w:rPr>
              <w:t>(Parent Unique Name)</w:t>
            </w:r>
          </w:p>
        </w:tc>
        <w:tc>
          <w:tcPr>
            <w:tcW w:w="8250" w:type="dxa"/>
          </w:tcPr>
          <w:p>
            <w:pPr>
              <w:pStyle w:val="TableParagraph"/>
              <w:rPr>
                <w:sz w:val="22"/>
              </w:rPr>
            </w:pPr>
            <w:r>
              <w:rPr>
                <w:sz w:val="22"/>
              </w:rPr>
              <w:t>Specifies the unique name of the parent of this group.</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8" w:lineRule="auto" w:before="57"/>
        <w:ind w:left="220" w:right="461"/>
      </w:pPr>
      <w:r>
        <w:rPr/>
        <w:t>[</w:t>
      </w:r>
      <w:r>
        <w:rPr>
          <w:i/>
        </w:rPr>
        <w:t>Note</w:t>
      </w:r>
      <w:r>
        <w:rPr/>
        <w:t>: The W3C XML Schema definition of this element’s content model (</w:t>
      </w:r>
      <w:r>
        <w:rPr>
          <w:color w:val="5F5F5F"/>
          <w:u w:val="single" w:color="5F5F5F"/>
        </w:rPr>
        <w:t>CT_LevelGroup</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38 groupItems (OLAP Group Items)" w:id="863"/>
      <w:bookmarkEnd w:id="863"/>
      <w:r>
        <w:rPr/>
      </w:r>
      <w:bookmarkStart w:name="_bookmark286" w:id="864"/>
      <w:bookmarkEnd w:id="864"/>
      <w:r>
        <w:rPr/>
      </w:r>
      <w:bookmarkStart w:name="_bookmark286" w:id="865"/>
      <w:bookmarkEnd w:id="865"/>
      <w:r>
        <w:rPr>
          <w:color w:val="4F81BC"/>
        </w:rPr>
        <w:t>g</w:t>
      </w:r>
      <w:r>
        <w:rPr>
          <w:color w:val="4F81BC"/>
        </w:rPr>
        <w:t>roupItems (OLAP Group</w:t>
      </w:r>
      <w:r>
        <w:rPr>
          <w:color w:val="4F81BC"/>
          <w:spacing w:val="-2"/>
        </w:rPr>
        <w:t> </w:t>
      </w:r>
      <w:r>
        <w:rPr>
          <w:color w:val="4F81BC"/>
        </w:rPr>
        <w:t>Items)</w:t>
      </w:r>
    </w:p>
    <w:p>
      <w:pPr>
        <w:pStyle w:val="BodyText"/>
        <w:spacing w:line="453" w:lineRule="auto" w:before="121"/>
        <w:ind w:left="220" w:right="5947"/>
      </w:pPr>
      <w:r>
        <w:rPr/>
        <w:t>Represents the collection of items in a field group. [</w:t>
      </w:r>
      <w:r>
        <w:rPr>
          <w:i/>
        </w:rPr>
        <w:t>Example</w:t>
      </w:r>
      <w:r>
        <w:rPr/>
        <w:t>:</w:t>
      </w:r>
    </w:p>
    <w:p>
      <w:pPr>
        <w:pStyle w:val="BodyText"/>
        <w:spacing w:before="2"/>
        <w:ind w:left="508"/>
        <w:rPr>
          <w:rFonts w:ascii="Consolas" w:hAnsi="Consolas"/>
        </w:rPr>
      </w:pPr>
      <w:r>
        <w:rPr>
          <w:rFonts w:ascii="Consolas" w:hAnsi="Consolas"/>
          <w:w w:val="100"/>
        </w:rPr>
        <w:t>…</w:t>
      </w:r>
    </w:p>
    <w:p>
      <w:pPr>
        <w:pStyle w:val="BodyText"/>
        <w:spacing w:before="38"/>
        <w:ind w:left="750"/>
        <w:rPr>
          <w:rFonts w:ascii="Consolas"/>
        </w:rPr>
      </w:pPr>
      <w:r>
        <w:rPr>
          <w:rFonts w:ascii="Consolas"/>
        </w:rPr>
        <w:t>&lt;fieldGroup par="6" base="0"&gt;</w:t>
      </w:r>
    </w:p>
    <w:p>
      <w:pPr>
        <w:pStyle w:val="BodyText"/>
        <w:spacing w:line="276" w:lineRule="auto" w:before="40"/>
        <w:ind w:left="1235" w:right="2791" w:hanging="243"/>
        <w:rPr>
          <w:rFonts w:ascii="Consolas"/>
        </w:rPr>
      </w:pPr>
      <w:r>
        <w:rPr>
          <w:rFonts w:ascii="Consolas"/>
        </w:rPr>
        <w:t>&lt;rangePr groupBy="months" startDate="2002-01-01T00:00:00" endDate="2006-05-06T00:00:00"/&gt;</w:t>
      </w:r>
    </w:p>
    <w:p>
      <w:pPr>
        <w:pStyle w:val="BodyText"/>
        <w:spacing w:before="1"/>
        <w:ind w:right="6905"/>
        <w:jc w:val="right"/>
        <w:rPr>
          <w:rFonts w:ascii="Consolas"/>
        </w:rPr>
      </w:pPr>
      <w:r>
        <w:rPr>
          <w:rFonts w:ascii="Consolas"/>
        </w:rPr>
        <w:t>&lt;groupItems</w:t>
      </w:r>
      <w:r>
        <w:rPr>
          <w:rFonts w:ascii="Consolas"/>
          <w:spacing w:val="-16"/>
        </w:rPr>
        <w:t> </w:t>
      </w:r>
      <w:r>
        <w:rPr>
          <w:rFonts w:ascii="Consolas"/>
        </w:rPr>
        <w:t>count="14"&gt;</w:t>
      </w:r>
    </w:p>
    <w:p>
      <w:pPr>
        <w:pStyle w:val="BodyText"/>
        <w:spacing w:before="37"/>
        <w:ind w:right="6905"/>
        <w:jc w:val="right"/>
        <w:rPr>
          <w:rFonts w:ascii="Consolas"/>
        </w:rPr>
      </w:pPr>
      <w:r>
        <w:rPr>
          <w:rFonts w:ascii="Consolas"/>
        </w:rPr>
        <w:t>&lt;s</w:t>
      </w:r>
      <w:r>
        <w:rPr>
          <w:rFonts w:ascii="Consolas"/>
          <w:spacing w:val="-15"/>
        </w:rPr>
        <w:t> </w:t>
      </w:r>
      <w:r>
        <w:rPr>
          <w:rFonts w:ascii="Consolas"/>
        </w:rPr>
        <w:t>v="&amp;lt;1/1/2002"/&gt;</w:t>
      </w:r>
    </w:p>
    <w:p>
      <w:pPr>
        <w:pStyle w:val="BodyText"/>
        <w:spacing w:before="38"/>
        <w:ind w:left="1235"/>
        <w:rPr>
          <w:rFonts w:ascii="Consolas"/>
        </w:rPr>
      </w:pPr>
      <w:r>
        <w:rPr>
          <w:rFonts w:ascii="Consolas"/>
        </w:rPr>
        <w:t>&lt;s</w:t>
      </w:r>
      <w:r>
        <w:rPr>
          <w:rFonts w:ascii="Consolas"/>
          <w:spacing w:val="-9"/>
        </w:rPr>
        <w:t> </w:t>
      </w:r>
      <w:r>
        <w:rPr>
          <w:rFonts w:ascii="Consolas"/>
        </w:rPr>
        <w:t>v="Jan"/&gt;</w:t>
      </w:r>
    </w:p>
    <w:p>
      <w:pPr>
        <w:pStyle w:val="BodyText"/>
        <w:spacing w:before="40"/>
        <w:ind w:left="1235"/>
        <w:rPr>
          <w:rFonts w:ascii="Consolas"/>
        </w:rPr>
      </w:pPr>
      <w:r>
        <w:rPr>
          <w:rFonts w:ascii="Consolas"/>
        </w:rPr>
        <w:t>&lt;s</w:t>
      </w:r>
      <w:r>
        <w:rPr>
          <w:rFonts w:ascii="Consolas"/>
          <w:spacing w:val="-9"/>
        </w:rPr>
        <w:t> </w:t>
      </w:r>
      <w:r>
        <w:rPr>
          <w:rFonts w:ascii="Consolas"/>
        </w:rPr>
        <w:t>v="Feb"/&gt;</w:t>
      </w:r>
    </w:p>
    <w:p>
      <w:pPr>
        <w:pStyle w:val="BodyText"/>
        <w:spacing w:before="37"/>
        <w:ind w:left="1235"/>
        <w:rPr>
          <w:rFonts w:ascii="Consolas"/>
        </w:rPr>
      </w:pPr>
      <w:r>
        <w:rPr>
          <w:rFonts w:ascii="Consolas"/>
        </w:rPr>
        <w:t>&lt;s</w:t>
      </w:r>
      <w:r>
        <w:rPr>
          <w:rFonts w:ascii="Consolas"/>
          <w:spacing w:val="-9"/>
        </w:rPr>
        <w:t> </w:t>
      </w:r>
      <w:r>
        <w:rPr>
          <w:rFonts w:ascii="Consolas"/>
        </w:rPr>
        <w:t>v="Mar"/&gt;</w:t>
      </w:r>
    </w:p>
    <w:p>
      <w:pPr>
        <w:pStyle w:val="BodyText"/>
        <w:spacing w:before="40"/>
        <w:ind w:left="1235"/>
        <w:rPr>
          <w:rFonts w:ascii="Consolas"/>
        </w:rPr>
      </w:pPr>
      <w:r>
        <w:rPr>
          <w:rFonts w:ascii="Consolas"/>
        </w:rPr>
        <w:t>&lt;s</w:t>
      </w:r>
      <w:r>
        <w:rPr>
          <w:rFonts w:ascii="Consolas"/>
          <w:spacing w:val="-9"/>
        </w:rPr>
        <w:t> </w:t>
      </w:r>
      <w:r>
        <w:rPr>
          <w:rFonts w:ascii="Consolas"/>
        </w:rPr>
        <w:t>v="Apr"/&gt;</w:t>
      </w:r>
    </w:p>
    <w:p>
      <w:pPr>
        <w:pStyle w:val="BodyText"/>
        <w:spacing w:before="38"/>
        <w:ind w:left="1235"/>
        <w:rPr>
          <w:rFonts w:ascii="Consolas"/>
        </w:rPr>
      </w:pPr>
      <w:r>
        <w:rPr>
          <w:rFonts w:ascii="Consolas"/>
        </w:rPr>
        <w:t>&lt;s</w:t>
      </w:r>
      <w:r>
        <w:rPr>
          <w:rFonts w:ascii="Consolas"/>
          <w:spacing w:val="-9"/>
        </w:rPr>
        <w:t> </w:t>
      </w:r>
      <w:r>
        <w:rPr>
          <w:rFonts w:ascii="Consolas"/>
        </w:rPr>
        <w:t>v="May"/&gt;</w:t>
      </w:r>
    </w:p>
    <w:p>
      <w:pPr>
        <w:pStyle w:val="BodyText"/>
        <w:spacing w:before="40"/>
        <w:ind w:left="1235"/>
        <w:rPr>
          <w:rFonts w:ascii="Consolas"/>
        </w:rPr>
      </w:pPr>
      <w:r>
        <w:rPr>
          <w:rFonts w:ascii="Consolas"/>
        </w:rPr>
        <w:t>&lt;s</w:t>
      </w:r>
      <w:r>
        <w:rPr>
          <w:rFonts w:ascii="Consolas"/>
          <w:spacing w:val="-8"/>
        </w:rPr>
        <w:t> </w:t>
      </w:r>
      <w:r>
        <w:rPr>
          <w:rFonts w:ascii="Consolas"/>
        </w:rPr>
        <w:t>v="Jun"/&gt;</w:t>
      </w:r>
    </w:p>
    <w:p>
      <w:pPr>
        <w:pStyle w:val="BodyText"/>
        <w:spacing w:before="38"/>
        <w:ind w:left="1235"/>
        <w:rPr>
          <w:rFonts w:ascii="Consolas"/>
        </w:rPr>
      </w:pPr>
      <w:r>
        <w:rPr>
          <w:rFonts w:ascii="Consolas"/>
        </w:rPr>
        <w:t>&lt;s</w:t>
      </w:r>
      <w:r>
        <w:rPr>
          <w:rFonts w:ascii="Consolas"/>
          <w:spacing w:val="-9"/>
        </w:rPr>
        <w:t> </w:t>
      </w:r>
      <w:r>
        <w:rPr>
          <w:rFonts w:ascii="Consolas"/>
        </w:rPr>
        <w:t>v="Jul"/&gt;</w:t>
      </w:r>
    </w:p>
    <w:p>
      <w:pPr>
        <w:pStyle w:val="BodyText"/>
        <w:spacing w:before="37"/>
        <w:ind w:left="1235"/>
        <w:rPr>
          <w:rFonts w:ascii="Consolas"/>
        </w:rPr>
      </w:pPr>
      <w:r>
        <w:rPr>
          <w:rFonts w:ascii="Consolas"/>
        </w:rPr>
        <w:t>&lt;s</w:t>
      </w:r>
      <w:r>
        <w:rPr>
          <w:rFonts w:ascii="Consolas"/>
          <w:spacing w:val="-9"/>
        </w:rPr>
        <w:t> </w:t>
      </w:r>
      <w:r>
        <w:rPr>
          <w:rFonts w:ascii="Consolas"/>
        </w:rPr>
        <w:t>v="Aug"/&gt;</w:t>
      </w:r>
    </w:p>
    <w:p>
      <w:pPr>
        <w:pStyle w:val="BodyText"/>
        <w:spacing w:before="40"/>
        <w:ind w:left="1235"/>
        <w:rPr>
          <w:rFonts w:ascii="Consolas"/>
        </w:rPr>
      </w:pPr>
      <w:r>
        <w:rPr>
          <w:rFonts w:ascii="Consolas"/>
        </w:rPr>
        <w:t>&lt;s</w:t>
      </w:r>
      <w:r>
        <w:rPr>
          <w:rFonts w:ascii="Consolas"/>
          <w:spacing w:val="-9"/>
        </w:rPr>
        <w:t> </w:t>
      </w:r>
      <w:r>
        <w:rPr>
          <w:rFonts w:ascii="Consolas"/>
        </w:rPr>
        <w:t>v="Sep"/&gt;</w:t>
      </w:r>
    </w:p>
    <w:p>
      <w:pPr>
        <w:pStyle w:val="BodyText"/>
        <w:spacing w:before="38"/>
        <w:ind w:left="1235"/>
        <w:rPr>
          <w:rFonts w:ascii="Consolas"/>
        </w:rPr>
      </w:pPr>
      <w:r>
        <w:rPr>
          <w:rFonts w:ascii="Consolas"/>
        </w:rPr>
        <w:t>&lt;s</w:t>
      </w:r>
      <w:r>
        <w:rPr>
          <w:rFonts w:ascii="Consolas"/>
          <w:spacing w:val="-9"/>
        </w:rPr>
        <w:t> </w:t>
      </w:r>
      <w:r>
        <w:rPr>
          <w:rFonts w:ascii="Consolas"/>
        </w:rPr>
        <w:t>v="Oct"/&gt;</w:t>
      </w:r>
    </w:p>
    <w:p>
      <w:pPr>
        <w:pStyle w:val="BodyText"/>
        <w:spacing w:before="40"/>
        <w:ind w:left="1235"/>
        <w:rPr>
          <w:rFonts w:ascii="Consolas"/>
        </w:rPr>
      </w:pPr>
      <w:r>
        <w:rPr>
          <w:rFonts w:ascii="Consolas"/>
        </w:rPr>
        <w:t>&lt;s</w:t>
      </w:r>
      <w:r>
        <w:rPr>
          <w:rFonts w:ascii="Consolas"/>
          <w:spacing w:val="-9"/>
        </w:rPr>
        <w:t> </w:t>
      </w:r>
      <w:r>
        <w:rPr>
          <w:rFonts w:ascii="Consolas"/>
        </w:rPr>
        <w:t>v="Nov"/&gt;</w:t>
      </w:r>
    </w:p>
    <w:p>
      <w:pPr>
        <w:pStyle w:val="BodyText"/>
        <w:spacing w:before="38"/>
        <w:ind w:left="1235"/>
        <w:rPr>
          <w:rFonts w:ascii="Consolas"/>
        </w:rPr>
      </w:pPr>
      <w:r>
        <w:rPr>
          <w:rFonts w:ascii="Consolas"/>
        </w:rPr>
        <w:t>&lt;s</w:t>
      </w:r>
      <w:r>
        <w:rPr>
          <w:rFonts w:ascii="Consolas"/>
          <w:spacing w:val="-9"/>
        </w:rPr>
        <w:t> </w:t>
      </w:r>
      <w:r>
        <w:rPr>
          <w:rFonts w:ascii="Consolas"/>
        </w:rPr>
        <w:t>v="Dec"/&gt;</w:t>
      </w:r>
    </w:p>
    <w:p>
      <w:pPr>
        <w:pStyle w:val="BodyText"/>
        <w:spacing w:before="40"/>
        <w:ind w:left="1235"/>
        <w:rPr>
          <w:rFonts w:ascii="Consolas"/>
        </w:rPr>
      </w:pPr>
      <w:r>
        <w:rPr>
          <w:rFonts w:ascii="Consolas"/>
        </w:rPr>
        <w:t>&lt;s v="&amp;gt;5/6/2006"/&gt;</w:t>
      </w:r>
    </w:p>
    <w:p>
      <w:pPr>
        <w:pStyle w:val="BodyText"/>
        <w:spacing w:before="38"/>
        <w:ind w:left="993"/>
        <w:rPr>
          <w:rFonts w:ascii="Consolas"/>
        </w:rPr>
      </w:pPr>
      <w:r>
        <w:rPr>
          <w:rFonts w:ascii="Consolas"/>
        </w:rPr>
        <w:t>&lt;/groupItems&gt;</w:t>
      </w:r>
    </w:p>
    <w:p>
      <w:pPr>
        <w:pStyle w:val="BodyText"/>
        <w:spacing w:before="37"/>
        <w:ind w:left="750"/>
        <w:rPr>
          <w:rFonts w:ascii="Consolas"/>
        </w:rPr>
      </w:pPr>
      <w:r>
        <w:rPr>
          <w:rFonts w:ascii="Consolas"/>
        </w:rPr>
        <w:t>&lt;/fieldGroup&gt;</w:t>
      </w:r>
    </w:p>
    <w:p>
      <w:pPr>
        <w:pStyle w:val="BodyText"/>
        <w:spacing w:before="40"/>
        <w:ind w:left="508"/>
        <w:rPr>
          <w:rFonts w:ascii="Consolas"/>
        </w:rPr>
      </w:pPr>
      <w:r>
        <w:rPr>
          <w:rFonts w:ascii="Consolas"/>
        </w:rPr>
        <w:t>&lt;/cacheField&gt;</w:t>
      </w:r>
    </w:p>
    <w:p>
      <w:pPr>
        <w:spacing w:after="0"/>
        <w:rPr>
          <w:rFonts w:ascii="Consolas"/>
        </w:rPr>
        <w:sectPr>
          <w:pgSz w:w="12240" w:h="15840"/>
          <w:pgMar w:header="761" w:footer="746" w:top="1340" w:bottom="940" w:left="860" w:right="700"/>
        </w:sectPr>
      </w:pPr>
    </w:p>
    <w:p>
      <w:pPr>
        <w:pStyle w:val="BodyText"/>
        <w:spacing w:before="150"/>
        <w:ind w:left="508"/>
        <w:rPr>
          <w:rFonts w:ascii="Consolas"/>
        </w:rPr>
      </w:pPr>
      <w:r>
        <w:rPr>
          <w:rFonts w:ascii="Consolas"/>
        </w:rPr>
        <w:t>&lt;cacheField name="Name" numFmtId="0"&gt;</w:t>
      </w:r>
    </w:p>
    <w:p>
      <w:pPr>
        <w:pStyle w:val="BodyText"/>
        <w:spacing w:before="38"/>
        <w:ind w:left="750"/>
        <w:rPr>
          <w:rFonts w:ascii="Consolas"/>
        </w:rPr>
      </w:pPr>
      <w:r>
        <w:rPr>
          <w:rFonts w:ascii="Consolas"/>
        </w:rPr>
        <w:t>&lt;sharedItems count="4"&gt;</w:t>
      </w:r>
    </w:p>
    <w:p>
      <w:pPr>
        <w:pStyle w:val="BodyText"/>
        <w:spacing w:before="40"/>
        <w:ind w:left="993"/>
        <w:rPr>
          <w:rFonts w:ascii="Consolas"/>
        </w:rPr>
      </w:pPr>
      <w:r>
        <w:rPr>
          <w:rFonts w:ascii="Consolas"/>
        </w:rPr>
        <w:t>&lt;s v="Joe"/&gt;</w:t>
      </w:r>
    </w:p>
    <w:p>
      <w:pPr>
        <w:pStyle w:val="BodyText"/>
        <w:spacing w:before="38"/>
        <w:ind w:left="993"/>
        <w:rPr>
          <w:rFonts w:ascii="Consolas"/>
        </w:rPr>
      </w:pPr>
      <w:r>
        <w:rPr>
          <w:rFonts w:ascii="Consolas"/>
        </w:rPr>
        <w:t>&lt;s v="John"/&gt;</w:t>
      </w:r>
    </w:p>
    <w:p>
      <w:pPr>
        <w:pStyle w:val="BodyText"/>
        <w:spacing w:before="40"/>
        <w:ind w:left="993"/>
        <w:rPr>
          <w:rFonts w:ascii="Consolas"/>
        </w:rPr>
      </w:pPr>
      <w:r>
        <w:rPr>
          <w:rFonts w:ascii="Consolas"/>
        </w:rPr>
        <w:t>&lt;s v="Bob"/&gt;</w:t>
      </w:r>
    </w:p>
    <w:p>
      <w:pPr>
        <w:pStyle w:val="BodyText"/>
        <w:spacing w:before="37"/>
        <w:ind w:left="993"/>
        <w:rPr>
          <w:rFonts w:ascii="Consolas"/>
        </w:rPr>
      </w:pPr>
      <w:r>
        <w:rPr>
          <w:rFonts w:ascii="Consolas"/>
        </w:rPr>
        <w:t>&lt;s v="Robert"/&gt;</w:t>
      </w:r>
    </w:p>
    <w:p>
      <w:pPr>
        <w:pStyle w:val="BodyText"/>
        <w:spacing w:before="40"/>
        <w:ind w:left="750"/>
        <w:rPr>
          <w:rFonts w:ascii="Consolas"/>
        </w:rPr>
      </w:pPr>
      <w:r>
        <w:rPr>
          <w:rFonts w:ascii="Consolas"/>
        </w:rPr>
        <w:t>&lt;/sharedItems&gt;</w:t>
      </w:r>
    </w:p>
    <w:p>
      <w:pPr>
        <w:pStyle w:val="BodyText"/>
        <w:spacing w:before="38"/>
        <w:ind w:left="750"/>
        <w:rPr>
          <w:rFonts w:ascii="Consolas"/>
        </w:rPr>
      </w:pPr>
      <w:r>
        <w:rPr>
          <w:rFonts w:ascii="Consolas"/>
        </w:rPr>
        <w:t>&lt;fieldGroup par="4"/&gt;</w:t>
      </w:r>
    </w:p>
    <w:p>
      <w:pPr>
        <w:pStyle w:val="BodyText"/>
        <w:spacing w:before="38"/>
        <w:ind w:left="508"/>
        <w:rPr>
          <w:rFonts w:ascii="Consolas"/>
        </w:rPr>
      </w:pPr>
      <w:r>
        <w:rPr>
          <w:rFonts w:ascii="Consolas"/>
        </w:rPr>
        <w:t>&lt;/cacheField&gt;</w:t>
      </w:r>
    </w:p>
    <w:p>
      <w:pPr>
        <w:pStyle w:val="BodyText"/>
        <w:spacing w:before="40"/>
        <w:ind w:left="508"/>
        <w:rPr>
          <w:rFonts w:ascii="Consolas"/>
        </w:rPr>
      </w:pPr>
      <w:r>
        <w:rPr>
          <w:rFonts w:ascii="Consolas"/>
        </w:rPr>
        <w:t>&lt;cacheField name="ProductID" numFmtId="0"&gt;</w:t>
      </w:r>
    </w:p>
    <w:p>
      <w:pPr>
        <w:pStyle w:val="BodyText"/>
        <w:spacing w:line="278" w:lineRule="auto" w:before="37"/>
        <w:ind w:left="993" w:hanging="243"/>
        <w:rPr>
          <w:rFonts w:ascii="Consolas"/>
        </w:rPr>
      </w:pPr>
      <w:r>
        <w:rPr>
          <w:rFonts w:ascii="Consolas"/>
        </w:rPr>
        <w:t>&lt;sharedItems containsSemiMixedTypes="0" containsString="0" containsNumber="1" containsInteger="1" minValue="1" maxValue="4" count="4"&gt;</w:t>
      </w:r>
    </w:p>
    <w:p>
      <w:pPr>
        <w:pStyle w:val="BodyText"/>
        <w:spacing w:line="253" w:lineRule="exact"/>
        <w:ind w:left="165" w:right="7647"/>
        <w:jc w:val="center"/>
        <w:rPr>
          <w:rFonts w:ascii="Consolas"/>
        </w:rPr>
      </w:pPr>
      <w:r>
        <w:rPr>
          <w:rFonts w:ascii="Consolas"/>
        </w:rPr>
        <w:t>&lt;n</w:t>
      </w:r>
      <w:r>
        <w:rPr>
          <w:rFonts w:ascii="Consolas"/>
          <w:spacing w:val="-6"/>
        </w:rPr>
        <w:t> </w:t>
      </w:r>
      <w:r>
        <w:rPr>
          <w:rFonts w:ascii="Consolas"/>
        </w:rPr>
        <w:t>v="1"/&gt;</w:t>
      </w:r>
    </w:p>
    <w:p>
      <w:pPr>
        <w:pStyle w:val="BodyText"/>
        <w:spacing w:before="40"/>
        <w:ind w:left="165" w:right="7647"/>
        <w:jc w:val="center"/>
        <w:rPr>
          <w:rFonts w:ascii="Consolas"/>
        </w:rPr>
      </w:pPr>
      <w:r>
        <w:rPr>
          <w:rFonts w:ascii="Consolas"/>
        </w:rPr>
        <w:t>&lt;n</w:t>
      </w:r>
      <w:r>
        <w:rPr>
          <w:rFonts w:ascii="Consolas"/>
          <w:spacing w:val="-6"/>
        </w:rPr>
        <w:t> </w:t>
      </w:r>
      <w:r>
        <w:rPr>
          <w:rFonts w:ascii="Consolas"/>
        </w:rPr>
        <w:t>v="2"/&gt;</w:t>
      </w:r>
    </w:p>
    <w:p>
      <w:pPr>
        <w:pStyle w:val="BodyText"/>
        <w:spacing w:before="38"/>
        <w:ind w:left="165" w:right="7647"/>
        <w:jc w:val="center"/>
        <w:rPr>
          <w:rFonts w:ascii="Consolas"/>
        </w:rPr>
      </w:pPr>
      <w:r>
        <w:rPr>
          <w:rFonts w:ascii="Consolas"/>
        </w:rPr>
        <w:t>&lt;n</w:t>
      </w:r>
      <w:r>
        <w:rPr>
          <w:rFonts w:ascii="Consolas"/>
          <w:spacing w:val="-6"/>
        </w:rPr>
        <w:t> </w:t>
      </w:r>
      <w:r>
        <w:rPr>
          <w:rFonts w:ascii="Consolas"/>
        </w:rPr>
        <w:t>v="3"/&gt;</w:t>
      </w:r>
    </w:p>
    <w:p>
      <w:pPr>
        <w:pStyle w:val="BodyText"/>
        <w:spacing w:before="37"/>
        <w:ind w:left="165" w:right="7647"/>
        <w:jc w:val="center"/>
        <w:rPr>
          <w:rFonts w:ascii="Consolas"/>
        </w:rPr>
      </w:pPr>
      <w:r>
        <w:rPr>
          <w:rFonts w:ascii="Consolas"/>
        </w:rPr>
        <w:t>&lt;n</w:t>
      </w:r>
      <w:r>
        <w:rPr>
          <w:rFonts w:ascii="Consolas"/>
          <w:spacing w:val="-6"/>
        </w:rPr>
        <w:t> </w:t>
      </w:r>
      <w:r>
        <w:rPr>
          <w:rFonts w:ascii="Consolas"/>
        </w:rPr>
        <w:t>v="4"/&gt;</w:t>
      </w:r>
    </w:p>
    <w:p>
      <w:pPr>
        <w:pStyle w:val="BodyText"/>
        <w:spacing w:before="40"/>
        <w:ind w:left="125" w:right="7610"/>
        <w:jc w:val="center"/>
        <w:rPr>
          <w:rFonts w:ascii="Consolas"/>
        </w:rPr>
      </w:pPr>
      <w:r>
        <w:rPr>
          <w:rFonts w:ascii="Consolas"/>
        </w:rPr>
        <w:t>&lt;/sharedItems&gt;</w:t>
      </w:r>
    </w:p>
    <w:p>
      <w:pPr>
        <w:pStyle w:val="BodyText"/>
        <w:spacing w:before="38"/>
        <w:ind w:left="165" w:right="6804"/>
        <w:jc w:val="center"/>
        <w:rPr>
          <w:rFonts w:ascii="Consolas"/>
        </w:rPr>
      </w:pPr>
      <w:r>
        <w:rPr>
          <w:rFonts w:ascii="Consolas"/>
        </w:rPr>
        <w:t>&lt;fieldGroup base="2"&gt;</w:t>
      </w:r>
    </w:p>
    <w:p>
      <w:pPr>
        <w:pStyle w:val="BodyText"/>
        <w:spacing w:before="40"/>
        <w:ind w:left="993"/>
        <w:rPr>
          <w:rFonts w:ascii="Consolas"/>
        </w:rPr>
      </w:pPr>
      <w:r>
        <w:rPr>
          <w:rFonts w:ascii="Consolas"/>
        </w:rPr>
        <w:t>&lt;rangePr startNum="1" endNum="4" groupInterval="2"/&gt;</w:t>
      </w:r>
    </w:p>
    <w:p>
      <w:pPr>
        <w:pStyle w:val="BodyText"/>
        <w:spacing w:before="38"/>
        <w:ind w:left="993"/>
        <w:rPr>
          <w:rFonts w:ascii="Consolas"/>
        </w:rPr>
      </w:pPr>
      <w:r>
        <w:rPr>
          <w:rFonts w:ascii="Consolas"/>
        </w:rPr>
        <w:t>&lt;groupItems count="4"&gt;</w:t>
      </w:r>
    </w:p>
    <w:p>
      <w:pPr>
        <w:pStyle w:val="BodyText"/>
        <w:spacing w:before="40"/>
        <w:ind w:left="1235"/>
        <w:rPr>
          <w:rFonts w:ascii="Consolas"/>
        </w:rPr>
      </w:pPr>
      <w:r>
        <w:rPr>
          <w:rFonts w:ascii="Consolas"/>
        </w:rPr>
        <w:t>&lt;s v="&amp;lt;1"/&gt;</w:t>
      </w:r>
    </w:p>
    <w:p>
      <w:pPr>
        <w:pStyle w:val="BodyText"/>
        <w:spacing w:before="37"/>
        <w:ind w:left="1235"/>
        <w:rPr>
          <w:rFonts w:ascii="Consolas"/>
        </w:rPr>
      </w:pPr>
      <w:r>
        <w:rPr>
          <w:rFonts w:ascii="Consolas"/>
        </w:rPr>
        <w:t>&lt;s</w:t>
      </w:r>
      <w:r>
        <w:rPr>
          <w:rFonts w:ascii="Consolas"/>
          <w:spacing w:val="-7"/>
        </w:rPr>
        <w:t> </w:t>
      </w:r>
      <w:r>
        <w:rPr>
          <w:rFonts w:ascii="Consolas"/>
        </w:rPr>
        <w:t>v="1-2"/&gt;</w:t>
      </w:r>
    </w:p>
    <w:p>
      <w:pPr>
        <w:pStyle w:val="BodyText"/>
        <w:spacing w:before="38"/>
        <w:ind w:left="1235"/>
        <w:rPr>
          <w:rFonts w:ascii="Consolas"/>
        </w:rPr>
      </w:pPr>
      <w:r>
        <w:rPr>
          <w:rFonts w:ascii="Consolas"/>
        </w:rPr>
        <w:t>&lt;s</w:t>
      </w:r>
      <w:r>
        <w:rPr>
          <w:rFonts w:ascii="Consolas"/>
          <w:spacing w:val="-7"/>
        </w:rPr>
        <w:t> </w:t>
      </w:r>
      <w:r>
        <w:rPr>
          <w:rFonts w:ascii="Consolas"/>
        </w:rPr>
        <w:t>v="3-4"/&gt;</w:t>
      </w:r>
    </w:p>
    <w:p>
      <w:pPr>
        <w:pStyle w:val="BodyText"/>
        <w:spacing w:before="40"/>
        <w:ind w:left="1235"/>
        <w:rPr>
          <w:rFonts w:ascii="Consolas"/>
        </w:rPr>
      </w:pPr>
      <w:r>
        <w:rPr>
          <w:rFonts w:ascii="Consolas"/>
        </w:rPr>
        <w:t>&lt;s v="&amp;gt;5"/&gt;</w:t>
      </w:r>
    </w:p>
    <w:p>
      <w:pPr>
        <w:pStyle w:val="BodyText"/>
        <w:spacing w:before="38"/>
        <w:ind w:left="993"/>
        <w:rPr>
          <w:rFonts w:ascii="Consolas"/>
        </w:rPr>
      </w:pPr>
      <w:r>
        <w:rPr>
          <w:rFonts w:ascii="Consolas"/>
        </w:rPr>
        <w:t>&lt;/groupItems&gt;</w:t>
      </w:r>
    </w:p>
    <w:p>
      <w:pPr>
        <w:pStyle w:val="BodyText"/>
        <w:spacing w:before="40"/>
        <w:ind w:left="750"/>
        <w:rPr>
          <w:rFonts w:ascii="Consolas"/>
        </w:rPr>
      </w:pPr>
      <w:r>
        <w:rPr>
          <w:rFonts w:ascii="Consolas"/>
        </w:rPr>
        <w:t>&lt;/fieldGroup&gt;</w:t>
      </w:r>
    </w:p>
    <w:p>
      <w:pPr>
        <w:pStyle w:val="BodyText"/>
        <w:spacing w:before="37"/>
        <w:ind w:left="508"/>
        <w:rPr>
          <w:rFonts w:ascii="Consolas" w:hAnsi="Consolas"/>
        </w:rPr>
      </w:pPr>
      <w:r>
        <w:rPr>
          <w:rFonts w:ascii="Consolas" w:hAnsi="Consolas"/>
          <w:w w:val="100"/>
        </w:rPr>
        <w: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54"/>
              <w:rPr>
                <w:sz w:val="22"/>
              </w:rPr>
            </w:pPr>
            <w:r>
              <w:rPr>
                <w:rFonts w:ascii="Cambria"/>
                <w:sz w:val="22"/>
              </w:rPr>
              <w:t>count </w:t>
            </w:r>
            <w:r>
              <w:rPr>
                <w:sz w:val="22"/>
              </w:rPr>
              <w:t>(Items Created Count)</w:t>
            </w:r>
          </w:p>
        </w:tc>
        <w:tc>
          <w:tcPr>
            <w:tcW w:w="8250" w:type="dxa"/>
          </w:tcPr>
          <w:p>
            <w:pPr>
              <w:pStyle w:val="TableParagraph"/>
              <w:rPr>
                <w:sz w:val="22"/>
              </w:rPr>
            </w:pPr>
            <w:r>
              <w:rPr>
                <w:sz w:val="22"/>
              </w:rPr>
              <w:t>Specifies the number of items created for this grouped field.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before="1"/>
        <w:ind w:left="220" w:right="422"/>
      </w:pPr>
      <w:r>
        <w:rPr/>
        <w:t>[</w:t>
      </w:r>
      <w:r>
        <w:rPr>
          <w:i/>
        </w:rPr>
        <w:t>Note</w:t>
      </w:r>
      <w:r>
        <w:rPr/>
        <w:t>: The W3C XML Schema definition of this element’s content model (</w:t>
      </w:r>
      <w:r>
        <w:rPr>
          <w:color w:val="5F5F5F"/>
          <w:u w:val="single" w:color="5F5F5F"/>
        </w:rPr>
        <w:t>CT_GroupItems</w:t>
      </w:r>
      <w:r>
        <w:rPr/>
        <w:t>) is located in §A.2. </w:t>
      </w:r>
      <w:r>
        <w:rPr>
          <w:i/>
        </w:rPr>
        <w:t>end </w:t>
      </w:r>
      <w:r>
        <w:rPr>
          <w:i/>
        </w:rPr>
        <w:t>note</w:t>
      </w:r>
      <w:r>
        <w:rPr/>
        <w:t>]</w:t>
      </w:r>
    </w:p>
    <w:p>
      <w:pPr>
        <w:pStyle w:val="BodyText"/>
        <w:spacing w:before="5"/>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39 groupLevel (OLAP Grouping Lev" w:id="866"/>
      <w:bookmarkEnd w:id="866"/>
      <w:r>
        <w:rPr/>
      </w:r>
      <w:bookmarkStart w:name="_bookmark287" w:id="867"/>
      <w:bookmarkEnd w:id="867"/>
      <w:r>
        <w:rPr/>
      </w:r>
      <w:bookmarkStart w:name="_bookmark287" w:id="868"/>
      <w:bookmarkEnd w:id="868"/>
      <w:r>
        <w:rPr>
          <w:color w:val="4F81BC"/>
        </w:rPr>
        <w:t>g</w:t>
      </w:r>
      <w:r>
        <w:rPr>
          <w:color w:val="4F81BC"/>
        </w:rPr>
        <w:t>roupLevel (OLAP Grouping</w:t>
      </w:r>
      <w:r>
        <w:rPr>
          <w:color w:val="4F81BC"/>
          <w:spacing w:val="-4"/>
        </w:rPr>
        <w:t> </w:t>
      </w:r>
      <w:r>
        <w:rPr>
          <w:color w:val="4F81BC"/>
        </w:rPr>
        <w:t>Levels)</w:t>
      </w:r>
    </w:p>
    <w:p>
      <w:pPr>
        <w:pStyle w:val="BodyText"/>
        <w:spacing w:line="453" w:lineRule="auto" w:before="121"/>
        <w:ind w:left="220" w:right="5952"/>
      </w:pPr>
      <w:r>
        <w:rPr/>
        <w:t>Represents the collection of OLAP grouping levels. [</w:t>
      </w:r>
      <w:r>
        <w:rPr>
          <w:i/>
        </w:rPr>
        <w:t>Example</w:t>
      </w:r>
      <w:r>
        <w:rPr/>
        <w:t>:</w:t>
      </w:r>
    </w:p>
    <w:p>
      <w:pPr>
        <w:spacing w:after="0" w:line="453" w:lineRule="auto"/>
        <w:sectPr>
          <w:pgSz w:w="12240" w:h="15840"/>
          <w:pgMar w:header="763" w:footer="746" w:top="1340" w:bottom="940" w:left="860" w:right="700"/>
        </w:sectPr>
      </w:pPr>
    </w:p>
    <w:p>
      <w:pPr>
        <w:pStyle w:val="BodyText"/>
        <w:spacing w:line="276" w:lineRule="auto" w:before="93"/>
        <w:ind w:left="750" w:hanging="243"/>
        <w:rPr>
          <w:rFonts w:ascii="Consolas"/>
        </w:rPr>
      </w:pPr>
      <w:r>
        <w:rPr>
          <w:rFonts w:ascii="Consolas"/>
        </w:rPr>
        <w:t>&lt;groupLevel uniqueName="[Product].[Product Categories].[Category]" caption="Category"&gt;</w:t>
      </w:r>
    </w:p>
    <w:p>
      <w:pPr>
        <w:pStyle w:val="BodyText"/>
        <w:ind w:left="750"/>
        <w:rPr>
          <w:rFonts w:ascii="Consolas"/>
        </w:rPr>
      </w:pPr>
      <w:r>
        <w:rPr>
          <w:rFonts w:ascii="Consolas"/>
        </w:rPr>
        <w:t>&lt;groups count="1"&gt;</w:t>
      </w:r>
    </w:p>
    <w:p>
      <w:pPr>
        <w:pStyle w:val="BodyText"/>
        <w:spacing w:line="276" w:lineRule="auto" w:before="38"/>
        <w:ind w:left="1235" w:right="1421" w:hanging="243"/>
        <w:rPr>
          <w:rFonts w:ascii="Consolas"/>
        </w:rPr>
      </w:pPr>
      <w:r>
        <w:rPr>
          <w:rFonts w:ascii="Consolas"/>
        </w:rPr>
        <w:t>&lt;group name="CategoryXl_Grp_1" uniqueName="[Product].[Product Categories].[Product Categories1]. [GROUPMEMBER.[CategoryXl_Grp_1]].[Product]].[Product Categories]]. [All Products]]]" caption="Group1" uniqueParent="[Product]. [Product Categories].[All Products]" id="1"&gt;</w:t>
      </w:r>
    </w:p>
    <w:p>
      <w:pPr>
        <w:pStyle w:val="BodyText"/>
        <w:spacing w:line="257" w:lineRule="exact"/>
        <w:ind w:left="1235"/>
        <w:rPr>
          <w:rFonts w:ascii="Consolas"/>
        </w:rPr>
      </w:pPr>
      <w:r>
        <w:rPr>
          <w:rFonts w:ascii="Consolas"/>
        </w:rPr>
        <w:t>&lt;groupMembers count="2"&gt;</w:t>
      </w:r>
    </w:p>
    <w:p>
      <w:pPr>
        <w:pStyle w:val="BodyText"/>
        <w:spacing w:before="40"/>
        <w:ind w:left="1478"/>
        <w:rPr>
          <w:rFonts w:ascii="Consolas"/>
        </w:rPr>
      </w:pPr>
      <w:r>
        <w:rPr>
          <w:rFonts w:ascii="Consolas"/>
        </w:rPr>
        <w:t>&lt;groupMember</w:t>
      </w:r>
    </w:p>
    <w:p>
      <w:pPr>
        <w:pStyle w:val="BodyText"/>
        <w:spacing w:before="37"/>
        <w:ind w:left="1718"/>
        <w:rPr>
          <w:rFonts w:ascii="Consolas"/>
        </w:rPr>
      </w:pPr>
      <w:r>
        <w:rPr>
          <w:rFonts w:ascii="Consolas"/>
        </w:rPr>
        <w:t>uniqueName="[Product].[Product Categories].[Category].&amp;amp;[4]"/&gt;</w:t>
      </w:r>
    </w:p>
    <w:p>
      <w:pPr>
        <w:pStyle w:val="BodyText"/>
        <w:spacing w:before="40"/>
        <w:ind w:left="1478"/>
        <w:rPr>
          <w:rFonts w:ascii="Consolas"/>
        </w:rPr>
      </w:pPr>
      <w:r>
        <w:rPr>
          <w:rFonts w:ascii="Consolas"/>
        </w:rPr>
        <w:t>&lt;groupMember</w:t>
      </w:r>
    </w:p>
    <w:p>
      <w:pPr>
        <w:pStyle w:val="BodyText"/>
        <w:spacing w:before="38"/>
        <w:ind w:left="1718"/>
        <w:rPr>
          <w:rFonts w:ascii="Consolas"/>
        </w:rPr>
      </w:pPr>
      <w:r>
        <w:rPr>
          <w:rFonts w:ascii="Consolas"/>
        </w:rPr>
        <w:t>uniqueName="[Product].[Product Categories].[Category].&amp;amp;[1]"/&gt;</w:t>
      </w:r>
    </w:p>
    <w:p>
      <w:pPr>
        <w:pStyle w:val="BodyText"/>
        <w:spacing w:before="41"/>
        <w:ind w:left="1235"/>
        <w:rPr>
          <w:rFonts w:ascii="Consolas"/>
        </w:rPr>
      </w:pPr>
      <w:r>
        <w:rPr>
          <w:rFonts w:ascii="Consolas"/>
        </w:rPr>
        <w:t>&lt;/groupMembers&gt;</w:t>
      </w:r>
    </w:p>
    <w:p>
      <w:pPr>
        <w:pStyle w:val="BodyText"/>
        <w:spacing w:before="37"/>
        <w:ind w:left="993"/>
        <w:rPr>
          <w:rFonts w:ascii="Consolas"/>
        </w:rPr>
      </w:pPr>
      <w:r>
        <w:rPr>
          <w:rFonts w:ascii="Consolas"/>
        </w:rPr>
        <w:t>&lt;/group&gt;</w:t>
      </w:r>
    </w:p>
    <w:p>
      <w:pPr>
        <w:pStyle w:val="BodyText"/>
        <w:spacing w:before="38"/>
        <w:ind w:left="165" w:right="8254"/>
        <w:jc w:val="center"/>
        <w:rPr>
          <w:rFonts w:ascii="Consolas"/>
        </w:rPr>
      </w:pPr>
      <w:r>
        <w:rPr>
          <w:rFonts w:ascii="Consolas"/>
        </w:rPr>
        <w:t>&lt;/groups&gt;</w:t>
      </w:r>
    </w:p>
    <w:p>
      <w:pPr>
        <w:pStyle w:val="BodyText"/>
        <w:spacing w:before="40"/>
        <w:ind w:left="165" w:right="8254"/>
        <w:jc w:val="center"/>
        <w:rPr>
          <w:rFonts w:ascii="Consolas"/>
        </w:rPr>
      </w:pPr>
      <w:r>
        <w:rPr>
          <w:rFonts w:ascii="Consolas"/>
        </w:rPr>
        <w:t>&lt;/groupLevel&gt;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114"/>
              <w:rPr>
                <w:sz w:val="22"/>
              </w:rPr>
            </w:pPr>
            <w:r>
              <w:rPr>
                <w:rFonts w:ascii="Cambria"/>
                <w:sz w:val="22"/>
              </w:rPr>
              <w:t>caption </w:t>
            </w:r>
            <w:r>
              <w:rPr>
                <w:sz w:val="22"/>
              </w:rPr>
              <w:t>(Grouping Level Display Name)</w:t>
            </w:r>
          </w:p>
        </w:tc>
        <w:tc>
          <w:tcPr>
            <w:tcW w:w="8250" w:type="dxa"/>
          </w:tcPr>
          <w:p>
            <w:pPr>
              <w:pStyle w:val="TableParagraph"/>
              <w:rPr>
                <w:sz w:val="22"/>
              </w:rPr>
            </w:pPr>
            <w:r>
              <w:rPr>
                <w:sz w:val="22"/>
              </w:rPr>
              <w:t>Specifies the display name for this grouping level.</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5" w:hRule="atLeast"/>
        </w:trPr>
        <w:tc>
          <w:tcPr>
            <w:tcW w:w="2062" w:type="dxa"/>
          </w:tcPr>
          <w:p>
            <w:pPr>
              <w:pStyle w:val="TableParagraph"/>
              <w:spacing w:line="257" w:lineRule="exact" w:before="42"/>
              <w:rPr>
                <w:rFonts w:ascii="Cambria"/>
                <w:sz w:val="22"/>
              </w:rPr>
            </w:pPr>
            <w:r>
              <w:rPr>
                <w:rFonts w:ascii="Cambria"/>
                <w:sz w:val="22"/>
              </w:rPr>
              <w:t>customRollUp</w:t>
            </w:r>
          </w:p>
          <w:p>
            <w:pPr>
              <w:pStyle w:val="TableParagraph"/>
              <w:spacing w:line="268" w:lineRule="exact" w:before="0"/>
              <w:rPr>
                <w:sz w:val="22"/>
              </w:rPr>
            </w:pPr>
            <w:r>
              <w:rPr>
                <w:sz w:val="22"/>
              </w:rPr>
              <w:t>(Custom Roll Up)</w:t>
            </w:r>
          </w:p>
        </w:tc>
        <w:tc>
          <w:tcPr>
            <w:tcW w:w="8250" w:type="dxa"/>
          </w:tcPr>
          <w:p>
            <w:pPr>
              <w:pStyle w:val="TableParagraph"/>
              <w:ind w:right="460"/>
              <w:rPr>
                <w:sz w:val="22"/>
              </w:rPr>
            </w:pPr>
            <w:r>
              <w:rPr>
                <w:sz w:val="22"/>
              </w:rPr>
              <w:t>Specifies a boolean value that indicates whether this group level has a custom roll up.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this group level has a custom roll up.</w:t>
            </w:r>
          </w:p>
          <w:p>
            <w:pPr>
              <w:pStyle w:val="TableParagraph"/>
              <w:spacing w:before="0"/>
              <w:ind w:left="0"/>
              <w:rPr>
                <w:sz w:val="22"/>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group level does not have a custom roll up.</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6" w:lineRule="exact" w:before="45"/>
              <w:rPr>
                <w:rFonts w:ascii="Cambria"/>
                <w:sz w:val="22"/>
              </w:rPr>
            </w:pPr>
            <w:r>
              <w:rPr>
                <w:rFonts w:ascii="Cambria"/>
                <w:sz w:val="22"/>
              </w:rPr>
              <w:t>uniqueName</w:t>
            </w:r>
          </w:p>
          <w:p>
            <w:pPr>
              <w:pStyle w:val="TableParagraph"/>
              <w:spacing w:line="267" w:lineRule="exact" w:before="0"/>
              <w:rPr>
                <w:sz w:val="22"/>
              </w:rPr>
            </w:pPr>
            <w:r>
              <w:rPr>
                <w:sz w:val="22"/>
              </w:rPr>
              <w:t>(Unique Name)</w:t>
            </w:r>
          </w:p>
        </w:tc>
        <w:tc>
          <w:tcPr>
            <w:tcW w:w="8250" w:type="dxa"/>
          </w:tcPr>
          <w:p>
            <w:pPr>
              <w:pStyle w:val="TableParagraph"/>
              <w:spacing w:before="42"/>
              <w:rPr>
                <w:sz w:val="22"/>
              </w:rPr>
            </w:pPr>
            <w:r>
              <w:rPr>
                <w:sz w:val="22"/>
              </w:rPr>
              <w:t>Specifies the unique name for this grouping level.</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ind w:right="203"/>
              <w:rPr>
                <w:sz w:val="22"/>
              </w:rPr>
            </w:pPr>
            <w:r>
              <w:rPr>
                <w:rFonts w:ascii="Cambria"/>
                <w:sz w:val="22"/>
              </w:rPr>
              <w:t>user </w:t>
            </w:r>
            <w:r>
              <w:rPr>
                <w:sz w:val="22"/>
              </w:rPr>
              <w:t>(User-Defined Group Level)</w:t>
            </w:r>
          </w:p>
        </w:tc>
        <w:tc>
          <w:tcPr>
            <w:tcW w:w="8250" w:type="dxa"/>
          </w:tcPr>
          <w:p>
            <w:pPr>
              <w:pStyle w:val="TableParagraph"/>
              <w:spacing w:line="480" w:lineRule="auto"/>
              <w:ind w:right="776"/>
              <w:rPr>
                <w:sz w:val="22"/>
              </w:rPr>
            </w:pPr>
            <w:r>
              <w:rPr>
                <w:sz w:val="22"/>
              </w:rPr>
              <w:t>Specifies a boolean value that indicates whether this is a user-defined group level.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is a user-defined group.</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group is not user-defined.</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spacing w:after="0" w:line="267" w:lineRule="exact"/>
        <w:rPr>
          <w:sz w:val="22"/>
        </w:rPr>
        <w:sectPr>
          <w:footerReference w:type="even" r:id="rId117"/>
          <w:footerReference w:type="default" r:id="rId118"/>
          <w:pgSz w:w="12240" w:h="15840"/>
          <w:pgMar w:footer="746" w:header="761" w:top="1340" w:bottom="940" w:left="860" w:right="700"/>
          <w:pgNumType w:start="1860"/>
        </w:sectPr>
      </w:pPr>
    </w:p>
    <w:p>
      <w:pPr>
        <w:pStyle w:val="BodyText"/>
        <w:spacing w:line="278" w:lineRule="auto" w:before="148"/>
        <w:ind w:left="220" w:right="461"/>
      </w:pPr>
      <w:r>
        <w:rPr/>
        <w:t>[</w:t>
      </w:r>
      <w:r>
        <w:rPr>
          <w:i/>
        </w:rPr>
        <w:t>Note</w:t>
      </w:r>
      <w:r>
        <w:rPr/>
        <w:t>: The W3C XML Schema definition of this element’s content model (</w:t>
      </w:r>
      <w:r>
        <w:rPr>
          <w:color w:val="5F5F5F"/>
          <w:u w:val="single" w:color="5F5F5F"/>
        </w:rPr>
        <w:t>CT_GroupLevel</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0 groupLevels (OLAP Grouping Le" w:id="869"/>
      <w:bookmarkEnd w:id="869"/>
      <w:r>
        <w:rPr/>
      </w:r>
      <w:bookmarkStart w:name="_bookmark288" w:id="870"/>
      <w:bookmarkEnd w:id="870"/>
      <w:r>
        <w:rPr/>
      </w:r>
      <w:bookmarkStart w:name="_bookmark288" w:id="871"/>
      <w:bookmarkEnd w:id="871"/>
      <w:r>
        <w:rPr>
          <w:color w:val="4F81BC"/>
        </w:rPr>
        <w:t>g</w:t>
      </w:r>
      <w:r>
        <w:rPr>
          <w:color w:val="4F81BC"/>
        </w:rPr>
        <w:t>roupLevels (OLAP Grouping</w:t>
      </w:r>
      <w:r>
        <w:rPr>
          <w:color w:val="4F81BC"/>
          <w:spacing w:val="-3"/>
        </w:rPr>
        <w:t> </w:t>
      </w:r>
      <w:r>
        <w:rPr>
          <w:color w:val="4F81BC"/>
        </w:rPr>
        <w:t>Levels)</w:t>
      </w:r>
    </w:p>
    <w:p>
      <w:pPr>
        <w:pStyle w:val="BodyText"/>
        <w:spacing w:line="453" w:lineRule="auto" w:before="121"/>
        <w:ind w:left="220" w:right="5952"/>
      </w:pPr>
      <w:r>
        <w:rPr/>
        <w:t>Represents the collection of OLAP grouping levels. [</w:t>
      </w:r>
      <w:r>
        <w:rPr>
          <w:i/>
        </w:rPr>
        <w:t>Example</w:t>
      </w:r>
      <w:r>
        <w:rPr/>
        <w:t>:</w:t>
      </w:r>
    </w:p>
    <w:p>
      <w:pPr>
        <w:pStyle w:val="BodyText"/>
        <w:spacing w:before="3"/>
        <w:ind w:left="508"/>
        <w:rPr>
          <w:rFonts w:ascii="Consolas"/>
        </w:rPr>
      </w:pPr>
      <w:r>
        <w:rPr>
          <w:rFonts w:ascii="Consolas"/>
        </w:rPr>
        <w:t>&lt;groupLevels count="5"&gt;</w:t>
      </w:r>
    </w:p>
    <w:p>
      <w:pPr>
        <w:pStyle w:val="BodyText"/>
        <w:spacing w:line="278" w:lineRule="auto" w:before="37"/>
        <w:ind w:left="993" w:right="503" w:hanging="243"/>
        <w:rPr>
          <w:rFonts w:ascii="Consolas"/>
        </w:rPr>
      </w:pPr>
      <w:r>
        <w:rPr>
          <w:rFonts w:ascii="Consolas"/>
        </w:rPr>
        <w:t>&lt;groupLevel uniqueName="[Product].[Product Categories].[(All)]" caption="(All)"/&gt;</w:t>
      </w:r>
    </w:p>
    <w:p>
      <w:pPr>
        <w:pStyle w:val="BodyText"/>
        <w:spacing w:line="278" w:lineRule="auto"/>
        <w:ind w:left="993" w:hanging="243"/>
        <w:rPr>
          <w:rFonts w:ascii="Consolas"/>
        </w:rPr>
      </w:pPr>
      <w:r>
        <w:rPr>
          <w:rFonts w:ascii="Consolas"/>
        </w:rPr>
        <w:t>&lt;groupLevel uniqueName="[Product].[Product Categories].[Product Categories1]" caption="Product Categories1" user="1"/&gt;</w:t>
      </w:r>
    </w:p>
    <w:p>
      <w:pPr>
        <w:pStyle w:val="BodyText"/>
        <w:spacing w:line="276" w:lineRule="auto"/>
        <w:ind w:left="993" w:hanging="243"/>
        <w:rPr>
          <w:rFonts w:ascii="Consolas"/>
        </w:rPr>
      </w:pPr>
      <w:r>
        <w:rPr>
          <w:rFonts w:ascii="Consolas"/>
        </w:rPr>
        <w:t>&lt;groupLevel uniqueName="[Product].[Product Categories].[Category]" caption="Category"&gt;</w:t>
      </w:r>
    </w:p>
    <w:p>
      <w:pPr>
        <w:pStyle w:val="BodyText"/>
        <w:ind w:left="993"/>
        <w:rPr>
          <w:rFonts w:ascii="Consolas"/>
        </w:rPr>
      </w:pPr>
      <w:r>
        <w:rPr>
          <w:rFonts w:ascii="Consolas"/>
        </w:rPr>
        <w:t>&lt;groups count="1"&gt;</w:t>
      </w:r>
    </w:p>
    <w:p>
      <w:pPr>
        <w:pStyle w:val="BodyText"/>
        <w:spacing w:line="276" w:lineRule="auto" w:before="29"/>
        <w:ind w:left="1478" w:right="412" w:hanging="243"/>
        <w:rPr>
          <w:rFonts w:ascii="Consolas"/>
        </w:rPr>
      </w:pPr>
      <w:r>
        <w:rPr>
          <w:rFonts w:ascii="Consolas"/>
        </w:rPr>
        <w:t>&lt;group name="CategoryXl_Grp_1" uniqueName="[Product].[Product Categories]. [Product Categories1].[GROUPMEMBER.[CategoryXl_Grp_1]]. [Product]].[Product Categories]].[All Products]]]" caption="Group1" uniqueParent="[Product].[Product Categories].[All Products]" id="1"&gt;</w:t>
      </w:r>
    </w:p>
    <w:p>
      <w:pPr>
        <w:pStyle w:val="BodyText"/>
        <w:spacing w:before="1"/>
        <w:ind w:left="1478"/>
        <w:rPr>
          <w:rFonts w:ascii="Consolas"/>
        </w:rPr>
      </w:pPr>
      <w:r>
        <w:rPr>
          <w:rFonts w:ascii="Consolas"/>
        </w:rPr>
        <w:t>&lt;groupMembers count="2"&gt;</w:t>
      </w:r>
    </w:p>
    <w:p>
      <w:pPr>
        <w:pStyle w:val="BodyText"/>
        <w:spacing w:before="38"/>
        <w:ind w:left="1718"/>
        <w:rPr>
          <w:rFonts w:ascii="Consolas"/>
        </w:rPr>
      </w:pPr>
      <w:r>
        <w:rPr>
          <w:rFonts w:ascii="Consolas"/>
        </w:rPr>
        <w:t>&lt;groupMember</w:t>
      </w:r>
    </w:p>
    <w:p>
      <w:pPr>
        <w:pStyle w:val="BodyText"/>
        <w:spacing w:before="40"/>
        <w:ind w:left="1960"/>
        <w:rPr>
          <w:rFonts w:ascii="Consolas"/>
        </w:rPr>
      </w:pPr>
      <w:r>
        <w:rPr>
          <w:rFonts w:ascii="Consolas"/>
        </w:rPr>
        <w:t>uniqueName="[Product].[Product Categories].[Category].&amp;amp;[4]"/&gt;</w:t>
      </w:r>
    </w:p>
    <w:p>
      <w:pPr>
        <w:pStyle w:val="BodyText"/>
        <w:spacing w:before="37"/>
        <w:ind w:left="1718"/>
        <w:rPr>
          <w:rFonts w:ascii="Consolas"/>
        </w:rPr>
      </w:pPr>
      <w:r>
        <w:rPr>
          <w:rFonts w:ascii="Consolas"/>
        </w:rPr>
        <w:t>&lt;groupMember</w:t>
      </w:r>
    </w:p>
    <w:p>
      <w:pPr>
        <w:pStyle w:val="BodyText"/>
        <w:spacing w:before="40"/>
        <w:ind w:left="1960"/>
        <w:rPr>
          <w:rFonts w:ascii="Consolas"/>
        </w:rPr>
      </w:pPr>
      <w:r>
        <w:rPr>
          <w:rFonts w:ascii="Consolas"/>
        </w:rPr>
        <w:t>uniqueName="[Product].[Product Categories].[Category].&amp;amp;[1]"/&gt;</w:t>
      </w:r>
    </w:p>
    <w:p>
      <w:pPr>
        <w:pStyle w:val="BodyText"/>
        <w:spacing w:before="38"/>
        <w:ind w:left="1478"/>
        <w:rPr>
          <w:rFonts w:ascii="Consolas"/>
        </w:rPr>
      </w:pPr>
      <w:r>
        <w:rPr>
          <w:rFonts w:ascii="Consolas"/>
        </w:rPr>
        <w:t>&lt;/groupMembers&gt;</w:t>
      </w:r>
    </w:p>
    <w:p>
      <w:pPr>
        <w:pStyle w:val="BodyText"/>
        <w:spacing w:before="40"/>
        <w:ind w:left="1235"/>
        <w:rPr>
          <w:rFonts w:ascii="Consolas"/>
        </w:rPr>
      </w:pPr>
      <w:r>
        <w:rPr>
          <w:rFonts w:ascii="Consolas"/>
        </w:rPr>
        <w:t>&lt;/group&gt;</w:t>
      </w:r>
    </w:p>
    <w:p>
      <w:pPr>
        <w:pStyle w:val="BodyText"/>
        <w:spacing w:before="38"/>
        <w:ind w:left="165" w:right="7769"/>
        <w:jc w:val="center"/>
        <w:rPr>
          <w:rFonts w:ascii="Consolas"/>
        </w:rPr>
      </w:pPr>
      <w:r>
        <w:rPr>
          <w:rFonts w:ascii="Consolas"/>
        </w:rPr>
        <w:t>&lt;/groups&gt;</w:t>
      </w:r>
    </w:p>
    <w:p>
      <w:pPr>
        <w:pStyle w:val="BodyText"/>
        <w:spacing w:before="37"/>
        <w:ind w:left="5" w:right="7610"/>
        <w:jc w:val="center"/>
        <w:rPr>
          <w:rFonts w:ascii="Consolas"/>
        </w:rPr>
      </w:pPr>
      <w:r>
        <w:rPr>
          <w:rFonts w:ascii="Consolas"/>
        </w:rPr>
        <w:t>&lt;/groupLevel&gt;</w:t>
      </w:r>
    </w:p>
    <w:p>
      <w:pPr>
        <w:pStyle w:val="BodyText"/>
        <w:spacing w:line="276" w:lineRule="auto" w:before="40"/>
        <w:ind w:left="993" w:right="1563" w:hanging="243"/>
        <w:rPr>
          <w:rFonts w:ascii="Consolas"/>
        </w:rPr>
      </w:pPr>
      <w:r>
        <w:rPr>
          <w:rFonts w:ascii="Consolas"/>
        </w:rPr>
        <w:t>&lt;groupLevel uniqueName="[Product].[Product Categories].[Subcategory]" caption="Subcategory"/&gt;</w:t>
      </w:r>
    </w:p>
    <w:p>
      <w:pPr>
        <w:pStyle w:val="BodyText"/>
        <w:spacing w:line="276" w:lineRule="auto" w:before="1"/>
        <w:ind w:left="993" w:hanging="243"/>
        <w:rPr>
          <w:rFonts w:ascii="Consolas"/>
        </w:rPr>
      </w:pPr>
      <w:r>
        <w:rPr>
          <w:rFonts w:ascii="Consolas"/>
        </w:rPr>
        <w:t>&lt;groupLevel uniqueName="[Product].[Product Categories].[Product]" caption="Product"/&gt;</w:t>
      </w:r>
    </w:p>
    <w:p>
      <w:pPr>
        <w:pStyle w:val="BodyText"/>
        <w:ind w:left="508"/>
        <w:rPr>
          <w:rFonts w:ascii="Consolas"/>
        </w:rPr>
      </w:pPr>
      <w:r>
        <w:rPr>
          <w:rFonts w:ascii="Consolas"/>
        </w:rPr>
        <w:t>&lt;/groupLevels&gt;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37"/>
              <w:rPr>
                <w:sz w:val="22"/>
              </w:rPr>
            </w:pPr>
            <w:r>
              <w:rPr>
                <w:rFonts w:ascii="Cambria"/>
                <w:sz w:val="22"/>
              </w:rPr>
              <w:t>count </w:t>
            </w:r>
            <w:r>
              <w:rPr>
                <w:sz w:val="22"/>
              </w:rPr>
              <w:t>(Grouping Level Count)</w:t>
            </w:r>
          </w:p>
        </w:tc>
        <w:tc>
          <w:tcPr>
            <w:tcW w:w="8250" w:type="dxa"/>
          </w:tcPr>
          <w:p>
            <w:pPr>
              <w:pStyle w:val="TableParagraph"/>
              <w:rPr>
                <w:sz w:val="22"/>
              </w:rPr>
            </w:pPr>
            <w:r>
              <w:rPr>
                <w:sz w:val="22"/>
              </w:rPr>
              <w:t>Specifies the number of grouping levels.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line="278" w:lineRule="auto" w:before="90"/>
        <w:ind w:left="220" w:right="375"/>
      </w:pPr>
      <w:r>
        <w:rPr/>
        <w:t>[</w:t>
      </w:r>
      <w:r>
        <w:rPr>
          <w:i/>
        </w:rPr>
        <w:t>Note</w:t>
      </w:r>
      <w:r>
        <w:rPr/>
        <w:t>: The W3C XML Schema definition of this element’s content model (</w:t>
      </w:r>
      <w:r>
        <w:rPr>
          <w:color w:val="5F5F5F"/>
          <w:u w:val="single" w:color="5F5F5F"/>
        </w:rPr>
        <w:t>CT_GroupLevels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41 groupMember (OLAP Group Membe" w:id="872"/>
      <w:bookmarkEnd w:id="872"/>
      <w:r>
        <w:rPr/>
      </w:r>
      <w:bookmarkStart w:name="_bookmark289" w:id="873"/>
      <w:bookmarkEnd w:id="873"/>
      <w:r>
        <w:rPr/>
      </w:r>
      <w:bookmarkStart w:name="_bookmark289" w:id="874"/>
      <w:bookmarkEnd w:id="874"/>
      <w:r>
        <w:rPr>
          <w:color w:val="4F81BC"/>
        </w:rPr>
        <w:t>g</w:t>
      </w:r>
      <w:r>
        <w:rPr>
          <w:color w:val="4F81BC"/>
        </w:rPr>
        <w:t>roupMember (OLAP Group</w:t>
      </w:r>
      <w:r>
        <w:rPr>
          <w:color w:val="4F81BC"/>
          <w:spacing w:val="-1"/>
        </w:rPr>
        <w:t> </w:t>
      </w:r>
      <w:r>
        <w:rPr>
          <w:color w:val="4F81BC"/>
        </w:rPr>
        <w:t>Member)</w:t>
      </w:r>
    </w:p>
    <w:p>
      <w:pPr>
        <w:pStyle w:val="BodyText"/>
        <w:spacing w:line="453" w:lineRule="auto" w:before="121"/>
        <w:ind w:left="220" w:right="7193"/>
      </w:pPr>
      <w:r>
        <w:rPr/>
        <w:t>Represents an OLAP group member. [</w:t>
      </w:r>
      <w:r>
        <w:rPr>
          <w:i/>
        </w:rPr>
        <w:t>Example</w:t>
      </w:r>
      <w:r>
        <w:rPr/>
        <w:t>:</w:t>
      </w:r>
    </w:p>
    <w:p>
      <w:pPr>
        <w:pStyle w:val="BodyText"/>
        <w:spacing w:before="2"/>
        <w:ind w:left="508"/>
        <w:rPr>
          <w:rFonts w:ascii="Consolas"/>
        </w:rPr>
      </w:pPr>
      <w:r>
        <w:rPr>
          <w:rFonts w:ascii="Consolas"/>
        </w:rPr>
        <w:t>&lt;groupMember uniqueName="[Product].[Product Categories].[Category].&amp;amp;[1]"/&gt;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rPr>
                <w:sz w:val="22"/>
              </w:rPr>
            </w:pPr>
            <w:r>
              <w:rPr>
                <w:rFonts w:ascii="Cambria"/>
                <w:sz w:val="22"/>
              </w:rPr>
              <w:t>group </w:t>
            </w:r>
            <w:r>
              <w:rPr>
                <w:sz w:val="22"/>
              </w:rPr>
              <w:t>(Group)</w:t>
            </w:r>
          </w:p>
        </w:tc>
        <w:tc>
          <w:tcPr>
            <w:tcW w:w="8250" w:type="dxa"/>
          </w:tcPr>
          <w:p>
            <w:pPr>
              <w:pStyle w:val="TableParagraph"/>
              <w:spacing w:line="477" w:lineRule="auto"/>
              <w:ind w:right="799"/>
              <w:rPr>
                <w:sz w:val="22"/>
              </w:rPr>
            </w:pPr>
            <w:r>
              <w:rPr>
                <w:sz w:val="22"/>
              </w:rPr>
              <w:t>Specifies a boolean value that indicates whether this member represents a group.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member represents a group.</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this member does not represent a group.</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37" w:lineRule="auto" w:before="45"/>
              <w:ind w:right="462"/>
              <w:rPr>
                <w:sz w:val="22"/>
              </w:rPr>
            </w:pPr>
            <w:r>
              <w:rPr>
                <w:rFonts w:ascii="Cambria"/>
                <w:sz w:val="22"/>
              </w:rPr>
              <w:t>uniqueName </w:t>
            </w:r>
            <w:r>
              <w:rPr>
                <w:sz w:val="22"/>
              </w:rPr>
              <w:t>(Group Member Unique Name)</w:t>
            </w:r>
          </w:p>
        </w:tc>
        <w:tc>
          <w:tcPr>
            <w:tcW w:w="8250" w:type="dxa"/>
          </w:tcPr>
          <w:p>
            <w:pPr>
              <w:pStyle w:val="TableParagraph"/>
              <w:rPr>
                <w:sz w:val="22"/>
              </w:rPr>
            </w:pPr>
            <w:r>
              <w:rPr>
                <w:sz w:val="22"/>
              </w:rPr>
              <w:t>Specifies the unique name of this group member.</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CT_GroupMember</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2 groupMembers (OLAP Group Memb" w:id="875"/>
      <w:bookmarkEnd w:id="875"/>
      <w:r>
        <w:rPr/>
      </w:r>
      <w:bookmarkStart w:name="_bookmark290" w:id="876"/>
      <w:bookmarkEnd w:id="876"/>
      <w:r>
        <w:rPr/>
      </w:r>
      <w:bookmarkStart w:name="_bookmark290" w:id="877"/>
      <w:bookmarkEnd w:id="877"/>
      <w:r>
        <w:rPr>
          <w:color w:val="4F81BC"/>
        </w:rPr>
        <w:t>g</w:t>
      </w:r>
      <w:r>
        <w:rPr>
          <w:color w:val="4F81BC"/>
        </w:rPr>
        <w:t>roupMembers (OLAP Group Members)</w:t>
      </w:r>
    </w:p>
    <w:p>
      <w:pPr>
        <w:pStyle w:val="BodyText"/>
        <w:spacing w:line="453" w:lineRule="auto" w:before="121"/>
        <w:ind w:left="220" w:right="5879"/>
      </w:pPr>
      <w:r>
        <w:rPr/>
        <w:t>Represents the collection of OLAP group members. [</w:t>
      </w:r>
      <w:r>
        <w:rPr>
          <w:i/>
        </w:rPr>
        <w:t>Example</w:t>
      </w:r>
      <w:r>
        <w:rPr/>
        <w:t>:</w:t>
      </w:r>
    </w:p>
    <w:p>
      <w:pPr>
        <w:pStyle w:val="BodyText"/>
        <w:spacing w:before="2"/>
        <w:ind w:left="508"/>
        <w:rPr>
          <w:rFonts w:ascii="Consolas"/>
        </w:rPr>
      </w:pPr>
      <w:r>
        <w:rPr>
          <w:rFonts w:ascii="Consolas"/>
        </w:rPr>
        <w:t>&lt;groupMembers count="2"&gt;</w:t>
      </w:r>
    </w:p>
    <w:p>
      <w:pPr>
        <w:pStyle w:val="BodyText"/>
        <w:spacing w:before="40"/>
        <w:ind w:left="750"/>
        <w:rPr>
          <w:rFonts w:ascii="Consolas"/>
        </w:rPr>
      </w:pPr>
      <w:r>
        <w:rPr>
          <w:rFonts w:ascii="Consolas"/>
        </w:rPr>
        <w:t>&lt;groupMember uniqueName="[Product].[Product</w:t>
      </w:r>
      <w:r>
        <w:rPr>
          <w:rFonts w:ascii="Consolas"/>
          <w:spacing w:val="-43"/>
        </w:rPr>
        <w:t> </w:t>
      </w:r>
      <w:r>
        <w:rPr>
          <w:rFonts w:ascii="Consolas"/>
        </w:rPr>
        <w:t>Categories].[Category].&amp;amp;[4]"/&gt;</w:t>
      </w:r>
    </w:p>
    <w:p>
      <w:pPr>
        <w:pStyle w:val="BodyText"/>
        <w:spacing w:before="38"/>
        <w:ind w:left="750"/>
        <w:rPr>
          <w:rFonts w:ascii="Consolas"/>
        </w:rPr>
      </w:pPr>
      <w:r>
        <w:rPr>
          <w:rFonts w:ascii="Consolas"/>
        </w:rPr>
        <w:t>&lt;groupMember uniqueName="[Product].[Product</w:t>
      </w:r>
      <w:r>
        <w:rPr>
          <w:rFonts w:ascii="Consolas"/>
          <w:spacing w:val="-57"/>
        </w:rPr>
        <w:t> </w:t>
      </w:r>
      <w:r>
        <w:rPr>
          <w:rFonts w:ascii="Consolas"/>
        </w:rPr>
        <w:t>Categories].[Category].&amp;amp;[1]"/&gt;</w:t>
      </w:r>
    </w:p>
    <w:p>
      <w:pPr>
        <w:pStyle w:val="BodyText"/>
        <w:spacing w:before="40"/>
        <w:ind w:left="508"/>
        <w:rPr>
          <w:rFonts w:ascii="Consolas"/>
        </w:rPr>
      </w:pPr>
      <w:r>
        <w:rPr>
          <w:rFonts w:ascii="Consolas"/>
        </w:rPr>
        <w:t>&lt;/groupMembers&gt;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892" w:hRule="atLeast"/>
        </w:trPr>
        <w:tc>
          <w:tcPr>
            <w:tcW w:w="2062" w:type="dxa"/>
          </w:tcPr>
          <w:p>
            <w:pPr>
              <w:pStyle w:val="TableParagraph"/>
              <w:ind w:right="487"/>
              <w:rPr>
                <w:sz w:val="22"/>
              </w:rPr>
            </w:pPr>
            <w:r>
              <w:rPr>
                <w:rFonts w:ascii="Cambria"/>
                <w:sz w:val="22"/>
              </w:rPr>
              <w:t>count </w:t>
            </w:r>
            <w:r>
              <w:rPr>
                <w:sz w:val="22"/>
              </w:rPr>
              <w:t>(Group Member Count)</w:t>
            </w:r>
          </w:p>
        </w:tc>
        <w:tc>
          <w:tcPr>
            <w:tcW w:w="8250" w:type="dxa"/>
          </w:tcPr>
          <w:p>
            <w:pPr>
              <w:pStyle w:val="TableParagraph"/>
              <w:rPr>
                <w:sz w:val="22"/>
              </w:rPr>
            </w:pPr>
            <w:r>
              <w:rPr>
                <w:sz w:val="22"/>
              </w:rPr>
              <w:t>Specifies the number of group members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CT_GroupMembers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3 groups (OLAP Level Groups)" w:id="878"/>
      <w:bookmarkEnd w:id="878"/>
      <w:r>
        <w:rPr/>
      </w:r>
      <w:bookmarkStart w:name="_bookmark291" w:id="879"/>
      <w:bookmarkEnd w:id="879"/>
      <w:r>
        <w:rPr/>
      </w:r>
      <w:bookmarkStart w:name="_bookmark291" w:id="880"/>
      <w:bookmarkEnd w:id="880"/>
      <w:r>
        <w:rPr>
          <w:color w:val="4F81BC"/>
        </w:rPr>
        <w:t>g</w:t>
      </w:r>
      <w:r>
        <w:rPr>
          <w:color w:val="4F81BC"/>
        </w:rPr>
        <w:t>roups (OLAP Level</w:t>
      </w:r>
      <w:r>
        <w:rPr>
          <w:color w:val="4F81BC"/>
          <w:spacing w:val="-1"/>
        </w:rPr>
        <w:t> </w:t>
      </w:r>
      <w:r>
        <w:rPr>
          <w:color w:val="4F81BC"/>
        </w:rPr>
        <w:t>Groups)</w:t>
      </w:r>
    </w:p>
    <w:p>
      <w:pPr>
        <w:pStyle w:val="BodyText"/>
        <w:spacing w:line="453" w:lineRule="auto" w:before="122"/>
        <w:ind w:left="220" w:right="6222"/>
      </w:pPr>
      <w:r>
        <w:rPr/>
        <w:t>Represents the collection of OLAP level groups. [</w:t>
      </w:r>
      <w:r>
        <w:rPr>
          <w:i/>
        </w:rPr>
        <w:t>Example</w:t>
      </w:r>
      <w:r>
        <w:rPr/>
        <w:t>:</w:t>
      </w:r>
    </w:p>
    <w:p>
      <w:pPr>
        <w:pStyle w:val="BodyText"/>
        <w:spacing w:before="2"/>
        <w:ind w:left="508"/>
        <w:rPr>
          <w:rFonts w:ascii="Consolas"/>
        </w:rPr>
      </w:pPr>
      <w:r>
        <w:rPr>
          <w:rFonts w:ascii="Consolas"/>
        </w:rPr>
        <w:t>&lt;groups count="1"&gt;</w:t>
      </w:r>
    </w:p>
    <w:p>
      <w:pPr>
        <w:pStyle w:val="BodyText"/>
        <w:spacing w:line="276" w:lineRule="auto" w:before="38"/>
        <w:ind w:left="993" w:right="798" w:hanging="243"/>
        <w:rPr>
          <w:rFonts w:ascii="Consolas"/>
        </w:rPr>
      </w:pPr>
      <w:r>
        <w:rPr>
          <w:rFonts w:ascii="Consolas"/>
        </w:rPr>
        <w:t>&lt;group name="CategoryXl_Grp_1" uniqueName="[Product].[Product Categories]. [Product Categories1].[GROUPMEMBER.[CategoryXl_Grp_1]].[Product]]. [Product Categories]].[All Products]]]" caption="Group1" uniqueParent="[Product].[Product Categories].[All Products]" id="1"&gt;</w:t>
      </w:r>
    </w:p>
    <w:p>
      <w:pPr>
        <w:pStyle w:val="BodyText"/>
        <w:spacing w:before="1"/>
        <w:ind w:left="993"/>
        <w:rPr>
          <w:rFonts w:ascii="Consolas"/>
        </w:rPr>
      </w:pPr>
      <w:r>
        <w:rPr>
          <w:rFonts w:ascii="Consolas"/>
        </w:rPr>
        <w:t>&lt;groupMembers count="2"&gt;</w:t>
      </w:r>
    </w:p>
    <w:p>
      <w:pPr>
        <w:pStyle w:val="BodyText"/>
        <w:spacing w:before="37"/>
        <w:ind w:left="1235"/>
        <w:rPr>
          <w:rFonts w:ascii="Consolas"/>
        </w:rPr>
      </w:pPr>
      <w:r>
        <w:rPr>
          <w:rFonts w:ascii="Consolas"/>
        </w:rPr>
        <w:t>&lt;groupMember</w:t>
      </w:r>
    </w:p>
    <w:p>
      <w:pPr>
        <w:pStyle w:val="BodyText"/>
        <w:spacing w:before="40"/>
        <w:ind w:left="1478"/>
        <w:rPr>
          <w:rFonts w:ascii="Consolas"/>
        </w:rPr>
      </w:pPr>
      <w:r>
        <w:rPr>
          <w:rFonts w:ascii="Consolas"/>
        </w:rPr>
        <w:t>uniqueName="[Product].[Product Categories].[Category].&amp;amp;[4]"/&gt;</w:t>
      </w:r>
    </w:p>
    <w:p>
      <w:pPr>
        <w:pStyle w:val="BodyText"/>
        <w:spacing w:before="38"/>
        <w:ind w:left="1235"/>
        <w:rPr>
          <w:rFonts w:ascii="Consolas"/>
        </w:rPr>
      </w:pPr>
      <w:r>
        <w:rPr>
          <w:rFonts w:ascii="Consolas"/>
        </w:rPr>
        <w:t>&lt;groupMember</w:t>
      </w:r>
    </w:p>
    <w:p>
      <w:pPr>
        <w:pStyle w:val="BodyText"/>
        <w:spacing w:before="40"/>
        <w:ind w:left="1478"/>
        <w:rPr>
          <w:rFonts w:ascii="Consolas"/>
        </w:rPr>
      </w:pPr>
      <w:r>
        <w:rPr>
          <w:rFonts w:ascii="Consolas"/>
        </w:rPr>
        <w:t>uniqueName="[Product].[Product Categories].[Category].&amp;amp;[1]"/&gt;</w:t>
      </w:r>
    </w:p>
    <w:p>
      <w:pPr>
        <w:pStyle w:val="BodyText"/>
        <w:spacing w:before="38"/>
        <w:ind w:left="993"/>
        <w:rPr>
          <w:rFonts w:ascii="Consolas"/>
        </w:rPr>
      </w:pPr>
      <w:r>
        <w:rPr>
          <w:rFonts w:ascii="Consolas"/>
        </w:rPr>
        <w:t>&lt;/groupMembers&gt;</w:t>
      </w:r>
    </w:p>
    <w:p>
      <w:pPr>
        <w:pStyle w:val="BodyText"/>
        <w:spacing w:before="40"/>
        <w:ind w:left="750"/>
        <w:rPr>
          <w:rFonts w:ascii="Consolas"/>
        </w:rPr>
      </w:pPr>
      <w:r>
        <w:rPr>
          <w:rFonts w:ascii="Consolas"/>
        </w:rPr>
        <w:t>&lt;/group&gt;</w:t>
      </w:r>
    </w:p>
    <w:p>
      <w:pPr>
        <w:pStyle w:val="BodyText"/>
        <w:spacing w:before="38"/>
        <w:ind w:left="508"/>
        <w:rPr>
          <w:rFonts w:ascii="Consolas"/>
        </w:rPr>
      </w:pPr>
      <w:r>
        <w:rPr>
          <w:rFonts w:ascii="Consolas"/>
        </w:rPr>
        <w:t>&lt;/groups&gt;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195"/>
              <w:rPr>
                <w:sz w:val="22"/>
              </w:rPr>
            </w:pPr>
            <w:r>
              <w:rPr>
                <w:rFonts w:ascii="Cambria"/>
                <w:sz w:val="22"/>
              </w:rPr>
              <w:t>count </w:t>
            </w:r>
            <w:r>
              <w:rPr>
                <w:sz w:val="22"/>
              </w:rPr>
              <w:t>(Level Group Count)</w:t>
            </w:r>
          </w:p>
        </w:tc>
        <w:tc>
          <w:tcPr>
            <w:tcW w:w="8250" w:type="dxa"/>
          </w:tcPr>
          <w:p>
            <w:pPr>
              <w:pStyle w:val="TableParagraph"/>
              <w:rPr>
                <w:sz w:val="22"/>
              </w:rPr>
            </w:pPr>
            <w:r>
              <w:rPr>
                <w:sz w:val="22"/>
              </w:rPr>
              <w:t>Specifies the number of level groups in the collection.</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836"/>
      </w:pPr>
      <w:r>
        <w:rPr/>
        <w:t>[</w:t>
      </w:r>
      <w:r>
        <w:rPr>
          <w:i/>
        </w:rPr>
        <w:t>Note</w:t>
      </w:r>
      <w:r>
        <w:rPr/>
        <w:t>: The W3C XML Schema definition of this element’s content model (</w:t>
      </w:r>
      <w:r>
        <w:rPr>
          <w:color w:val="5F5F5F"/>
          <w:u w:val="single" w:color="5F5F5F"/>
        </w:rPr>
        <w:t>CT_Groups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44 i (Row Items)" w:id="881"/>
      <w:bookmarkEnd w:id="881"/>
      <w:r>
        <w:rPr/>
      </w:r>
      <w:bookmarkStart w:name="_bookmark292" w:id="882"/>
      <w:bookmarkEnd w:id="882"/>
      <w:r>
        <w:rPr/>
      </w:r>
      <w:bookmarkStart w:name="_bookmark292" w:id="883"/>
      <w:bookmarkEnd w:id="883"/>
      <w:r>
        <w:rPr>
          <w:color w:val="4F81BC"/>
        </w:rPr>
        <w:t>i</w:t>
      </w:r>
      <w:r>
        <w:rPr>
          <w:color w:val="4F81BC"/>
        </w:rPr>
        <w:t> (Row</w:t>
      </w:r>
      <w:r>
        <w:rPr>
          <w:color w:val="4F81BC"/>
          <w:spacing w:val="-3"/>
        </w:rPr>
        <w:t> </w:t>
      </w:r>
      <w:r>
        <w:rPr>
          <w:color w:val="4F81BC"/>
        </w:rPr>
        <w:t>Items)</w:t>
      </w:r>
    </w:p>
    <w:p>
      <w:pPr>
        <w:pStyle w:val="BodyText"/>
        <w:spacing w:before="121"/>
        <w:ind w:left="220"/>
      </w:pPr>
      <w:r>
        <w:rPr/>
        <w:t>Represents the collection of items in the row region of the PivotTable.</w:t>
      </w:r>
    </w:p>
    <w:p>
      <w:pPr>
        <w:pStyle w:val="BodyText"/>
        <w:spacing w:before="6"/>
        <w:rPr>
          <w:sz w:val="19"/>
        </w:rPr>
      </w:pPr>
    </w:p>
    <w:p>
      <w:pPr>
        <w:pStyle w:val="BodyText"/>
        <w:spacing w:line="278" w:lineRule="auto"/>
        <w:ind w:left="220" w:right="1216"/>
      </w:pPr>
      <w:r>
        <w:rPr/>
        <w:t>[</w:t>
      </w:r>
      <w:r>
        <w:rPr>
          <w:i/>
        </w:rPr>
        <w:t>Example</w:t>
      </w:r>
      <w:r>
        <w:rPr/>
        <w:t>: In this example the item values are found in cells B10:B13. For example "Bikes" is in B10, and corresponds to the first &lt;i&gt; element below.</w:t>
      </w:r>
    </w:p>
    <w:p>
      <w:pPr>
        <w:spacing w:after="0" w:line="278" w:lineRule="auto"/>
        <w:sectPr>
          <w:pgSz w:w="12240" w:h="15840"/>
          <w:pgMar w:header="763" w:footer="746" w:top="1340" w:bottom="940" w:left="860" w:right="700"/>
        </w:sectPr>
      </w:pPr>
    </w:p>
    <w:p>
      <w:pPr>
        <w:pStyle w:val="BodyText"/>
        <w:spacing w:before="93"/>
        <w:ind w:left="508"/>
        <w:rPr>
          <w:rFonts w:ascii="Consolas"/>
        </w:rPr>
      </w:pPr>
      <w:r>
        <w:rPr>
          <w:rFonts w:ascii="Consolas"/>
        </w:rPr>
        <w:t>&lt;rowItems count="4"&gt;</w:t>
      </w:r>
    </w:p>
    <w:p>
      <w:pPr>
        <w:pStyle w:val="BodyText"/>
        <w:spacing w:before="38"/>
        <w:ind w:left="750"/>
        <w:rPr>
          <w:rFonts w:ascii="Consolas"/>
        </w:rPr>
      </w:pPr>
      <w:r>
        <w:rPr>
          <w:rFonts w:ascii="Consolas"/>
        </w:rPr>
        <w:t>&lt;i&gt;</w:t>
      </w:r>
    </w:p>
    <w:p>
      <w:pPr>
        <w:pStyle w:val="BodyText"/>
        <w:spacing w:before="40"/>
        <w:ind w:left="993"/>
        <w:rPr>
          <w:rFonts w:ascii="Consolas"/>
        </w:rPr>
      </w:pPr>
      <w:r>
        <w:rPr>
          <w:rFonts w:ascii="Consolas"/>
        </w:rPr>
        <w:t>&lt;x/&gt;</w:t>
      </w:r>
    </w:p>
    <w:p>
      <w:pPr>
        <w:pStyle w:val="BodyText"/>
        <w:spacing w:before="37"/>
        <w:ind w:left="750"/>
        <w:rPr>
          <w:rFonts w:ascii="Consolas"/>
        </w:rPr>
      </w:pPr>
      <w:r>
        <w:rPr>
          <w:rFonts w:ascii="Consolas"/>
        </w:rPr>
        <w:t>&lt;/i&gt;</w:t>
      </w:r>
    </w:p>
    <w:p>
      <w:pPr>
        <w:pStyle w:val="BodyText"/>
        <w:spacing w:before="40"/>
        <w:ind w:left="750"/>
        <w:rPr>
          <w:rFonts w:ascii="Consolas"/>
        </w:rPr>
      </w:pPr>
      <w:r>
        <w:rPr>
          <w:rFonts w:ascii="Consolas"/>
        </w:rPr>
        <w:t>&lt;i r="1"&gt;</w:t>
      </w:r>
    </w:p>
    <w:p>
      <w:pPr>
        <w:pStyle w:val="BodyText"/>
        <w:spacing w:before="38"/>
        <w:ind w:left="993"/>
        <w:rPr>
          <w:rFonts w:ascii="Consolas"/>
        </w:rPr>
      </w:pPr>
      <w:r>
        <w:rPr>
          <w:rFonts w:ascii="Consolas"/>
        </w:rPr>
        <w:t>&lt;x/&gt;</w:t>
      </w:r>
    </w:p>
    <w:p>
      <w:pPr>
        <w:pStyle w:val="BodyText"/>
        <w:spacing w:before="40"/>
        <w:ind w:left="750"/>
        <w:rPr>
          <w:rFonts w:ascii="Consolas"/>
        </w:rPr>
      </w:pPr>
      <w:r>
        <w:rPr>
          <w:rFonts w:ascii="Consolas"/>
        </w:rPr>
        <w:t>&lt;/i&gt;</w:t>
      </w:r>
    </w:p>
    <w:p>
      <w:pPr>
        <w:pStyle w:val="BodyText"/>
        <w:spacing w:before="37"/>
        <w:ind w:left="750"/>
        <w:rPr>
          <w:rFonts w:ascii="Consolas"/>
        </w:rPr>
      </w:pPr>
      <w:r>
        <w:rPr>
          <w:rFonts w:ascii="Consolas"/>
        </w:rPr>
        <w:t>&lt;i r="1"&gt;</w:t>
      </w:r>
    </w:p>
    <w:p>
      <w:pPr>
        <w:pStyle w:val="BodyText"/>
        <w:spacing w:before="38"/>
        <w:ind w:left="993"/>
        <w:rPr>
          <w:rFonts w:ascii="Consolas"/>
        </w:rPr>
      </w:pPr>
      <w:r>
        <w:rPr>
          <w:rFonts w:ascii="Consolas"/>
        </w:rPr>
        <w:t>&lt;x v="1"/&gt;</w:t>
      </w:r>
    </w:p>
    <w:p>
      <w:pPr>
        <w:pStyle w:val="BodyText"/>
        <w:spacing w:before="40"/>
        <w:ind w:left="750"/>
        <w:rPr>
          <w:rFonts w:ascii="Consolas"/>
        </w:rPr>
      </w:pPr>
      <w:r>
        <w:rPr>
          <w:rFonts w:ascii="Consolas"/>
        </w:rPr>
        <w:t>&lt;/i&gt;</w:t>
      </w:r>
    </w:p>
    <w:p>
      <w:pPr>
        <w:pStyle w:val="BodyText"/>
        <w:spacing w:before="38"/>
        <w:ind w:left="750"/>
        <w:rPr>
          <w:rFonts w:ascii="Consolas"/>
        </w:rPr>
      </w:pPr>
      <w:r>
        <w:rPr>
          <w:rFonts w:ascii="Consolas"/>
        </w:rPr>
        <w:t>&lt;i t="grand"&gt;</w:t>
      </w:r>
    </w:p>
    <w:p>
      <w:pPr>
        <w:pStyle w:val="BodyText"/>
        <w:spacing w:before="40"/>
        <w:ind w:left="993"/>
        <w:rPr>
          <w:rFonts w:ascii="Consolas"/>
        </w:rPr>
      </w:pPr>
      <w:r>
        <w:rPr>
          <w:rFonts w:ascii="Consolas"/>
        </w:rPr>
        <w:t>&lt;x/&gt;</w:t>
      </w:r>
    </w:p>
    <w:p>
      <w:pPr>
        <w:pStyle w:val="BodyText"/>
        <w:spacing w:before="37"/>
        <w:ind w:left="750"/>
        <w:rPr>
          <w:rFonts w:ascii="Consolas"/>
        </w:rPr>
      </w:pPr>
      <w:r>
        <w:rPr>
          <w:rFonts w:ascii="Consolas"/>
        </w:rPr>
        <w:t>&lt;/i&gt;</w:t>
      </w:r>
    </w:p>
    <w:p>
      <w:pPr>
        <w:pStyle w:val="BodyText"/>
        <w:spacing w:before="41"/>
        <w:ind w:left="508"/>
        <w:rPr>
          <w:rFonts w:ascii="Consolas"/>
        </w:rPr>
      </w:pPr>
      <w:r>
        <w:rPr>
          <w:rFonts w:ascii="Consolas"/>
        </w:rPr>
        <w:t>&lt;/rowItems&gt;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rPr>
                <w:sz w:val="22"/>
              </w:rPr>
            </w:pPr>
            <w:r>
              <w:rPr>
                <w:rFonts w:ascii="Cambria"/>
                <w:sz w:val="22"/>
              </w:rPr>
              <w:t>i </w:t>
            </w:r>
            <w:r>
              <w:rPr>
                <w:sz w:val="22"/>
              </w:rPr>
              <w:t>(Data Field Index)</w:t>
            </w:r>
          </w:p>
        </w:tc>
        <w:tc>
          <w:tcPr>
            <w:tcW w:w="8250" w:type="dxa"/>
          </w:tcPr>
          <w:p>
            <w:pPr>
              <w:pStyle w:val="TableParagraph"/>
              <w:ind w:right="495"/>
              <w:rPr>
                <w:sz w:val="22"/>
              </w:rPr>
            </w:pPr>
            <w:r>
              <w:rPr>
                <w:sz w:val="22"/>
              </w:rPr>
              <w:t>Specifies a zero-based index indicating the referenced data item it in a data field with multiple data items.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6" w:hRule="atLeast"/>
        </w:trPr>
        <w:tc>
          <w:tcPr>
            <w:tcW w:w="2062" w:type="dxa"/>
          </w:tcPr>
          <w:p>
            <w:pPr>
              <w:pStyle w:val="TableParagraph"/>
              <w:ind w:right="302"/>
              <w:rPr>
                <w:sz w:val="22"/>
              </w:rPr>
            </w:pPr>
            <w:r>
              <w:rPr>
                <w:rFonts w:ascii="Cambria"/>
                <w:sz w:val="22"/>
              </w:rPr>
              <w:t>r </w:t>
            </w:r>
            <w:r>
              <w:rPr>
                <w:sz w:val="22"/>
              </w:rPr>
              <w:t>(Repeated Items Count)</w:t>
            </w:r>
          </w:p>
        </w:tc>
        <w:tc>
          <w:tcPr>
            <w:tcW w:w="8250" w:type="dxa"/>
          </w:tcPr>
          <w:p>
            <w:pPr>
              <w:pStyle w:val="TableParagraph"/>
              <w:ind w:right="122"/>
              <w:jc w:val="both"/>
              <w:rPr>
                <w:sz w:val="22"/>
              </w:rPr>
            </w:pPr>
            <w:r>
              <w:rPr>
                <w:sz w:val="22"/>
              </w:rPr>
              <w:t>Specifies the number of items to repeat from the previous row item. The first item has no @r explicitly written. Since a default of "0" is specified in the schema, for any item whose @r is missing, a default value of "0" is implied.</w:t>
            </w:r>
          </w:p>
          <w:p>
            <w:pPr>
              <w:pStyle w:val="TableParagraph"/>
              <w:spacing w:before="11"/>
              <w:ind w:left="0"/>
              <w:rPr>
                <w:sz w:val="21"/>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30" w:hRule="atLeast"/>
        </w:trPr>
        <w:tc>
          <w:tcPr>
            <w:tcW w:w="2062" w:type="dxa"/>
          </w:tcPr>
          <w:p>
            <w:pPr>
              <w:pStyle w:val="TableParagraph"/>
              <w:rPr>
                <w:sz w:val="22"/>
              </w:rPr>
            </w:pPr>
            <w:r>
              <w:rPr>
                <w:rFonts w:ascii="Cambria"/>
                <w:sz w:val="22"/>
              </w:rPr>
              <w:t>t </w:t>
            </w:r>
            <w:r>
              <w:rPr>
                <w:sz w:val="22"/>
              </w:rPr>
              <w:t>(Item Type)</w:t>
            </w:r>
          </w:p>
        </w:tc>
        <w:tc>
          <w:tcPr>
            <w:tcW w:w="8250" w:type="dxa"/>
          </w:tcPr>
          <w:p>
            <w:pPr>
              <w:pStyle w:val="TableParagraph"/>
              <w:ind w:right="462"/>
              <w:rPr>
                <w:sz w:val="22"/>
              </w:rPr>
            </w:pPr>
            <w:r>
              <w:rPr>
                <w:sz w:val="22"/>
              </w:rPr>
              <w:t>Specifies the type of the item. Value of 'default' indicates a grand total as the last row item value</w:t>
            </w:r>
          </w:p>
          <w:p>
            <w:pPr>
              <w:pStyle w:val="TableParagraph"/>
              <w:spacing w:before="0"/>
              <w:ind w:left="0"/>
              <w:rPr>
                <w:sz w:val="22"/>
              </w:rPr>
            </w:pPr>
          </w:p>
          <w:p>
            <w:pPr>
              <w:pStyle w:val="TableParagraph"/>
              <w:spacing w:before="0"/>
              <w:ind w:right="798"/>
              <w:rPr>
                <w:sz w:val="22"/>
              </w:rPr>
            </w:pPr>
            <w:r>
              <w:rPr>
                <w:sz w:val="22"/>
              </w:rPr>
              <w:t>The possible values for this attribute are defined by the </w:t>
            </w:r>
            <w:r>
              <w:rPr>
                <w:rFonts w:ascii="Cambria" w:hAnsi="Cambria"/>
                <w:sz w:val="22"/>
              </w:rPr>
              <w:t>ST_ItemType </w:t>
            </w:r>
            <w:r>
              <w:rPr>
                <w:sz w:val="22"/>
              </w:rPr>
              <w:t>simple type </w:t>
            </w:r>
            <w:hyperlink w:history="true" w:anchor="_bookmark865">
              <w:r>
                <w:rPr>
                  <w:sz w:val="22"/>
                </w:rPr>
                <w:t>(§18.18.43</w:t>
              </w:r>
            </w:hyperlink>
            <w:r>
              <w:rPr>
                <w:sz w:val="22"/>
              </w:rPr>
              <w:t>).</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CT_I</w:t>
      </w:r>
      <w:r>
        <w:rPr/>
        <w:t>) is located in §A.2. </w:t>
      </w:r>
      <w:r>
        <w:rPr>
          <w:i/>
        </w:rPr>
        <w:t>end note</w:t>
      </w:r>
      <w:r>
        <w:rPr/>
        <w:t>]</w:t>
      </w:r>
    </w:p>
    <w:p>
      <w:pPr>
        <w:pStyle w:val="BodyText"/>
        <w:spacing w:before="10"/>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5 item (PivotTable Field Item)" w:id="884"/>
      <w:bookmarkEnd w:id="884"/>
      <w:r>
        <w:rPr/>
      </w:r>
      <w:bookmarkStart w:name="_bookmark293" w:id="885"/>
      <w:bookmarkEnd w:id="885"/>
      <w:r>
        <w:rPr/>
      </w:r>
      <w:bookmarkStart w:name="_bookmark293" w:id="886"/>
      <w:bookmarkEnd w:id="886"/>
      <w:r>
        <w:rPr>
          <w:color w:val="4F81BC"/>
        </w:rPr>
        <w:t>item</w:t>
      </w:r>
      <w:r>
        <w:rPr>
          <w:color w:val="4F81BC"/>
        </w:rPr>
        <w:t> (PivotTable Field</w:t>
      </w:r>
      <w:r>
        <w:rPr>
          <w:color w:val="4F81BC"/>
          <w:spacing w:val="-5"/>
        </w:rPr>
        <w:t> </w:t>
      </w:r>
      <w:r>
        <w:rPr>
          <w:color w:val="4F81BC"/>
        </w:rPr>
        <w:t>Item)</w:t>
      </w:r>
    </w:p>
    <w:p>
      <w:pPr>
        <w:pStyle w:val="BodyText"/>
        <w:spacing w:line="453" w:lineRule="auto" w:before="121"/>
        <w:ind w:left="220" w:right="6553"/>
      </w:pPr>
      <w:r>
        <w:rPr/>
        <w:t>Represents a single item in PivotTable field. [</w:t>
      </w:r>
      <w:r>
        <w:rPr>
          <w:i/>
        </w:rPr>
        <w:t>Example</w:t>
      </w:r>
      <w:r>
        <w:rPr/>
        <w:t>:</w:t>
      </w:r>
    </w:p>
    <w:p>
      <w:pPr>
        <w:pStyle w:val="BodyText"/>
        <w:spacing w:before="2"/>
        <w:ind w:left="508"/>
        <w:rPr>
          <w:rFonts w:ascii="Consolas"/>
        </w:rPr>
      </w:pPr>
      <w:r>
        <w:rPr>
          <w:rFonts w:ascii="Consolas"/>
        </w:rPr>
        <w:t>&lt;sh:item x="66"/&gt;</w:t>
      </w:r>
    </w:p>
    <w:p>
      <w:pPr>
        <w:spacing w:after="0"/>
        <w:rPr>
          <w:rFonts w:ascii="Consolas"/>
        </w:rPr>
        <w:sectPr>
          <w:pgSz w:w="12240" w:h="15840"/>
          <w:pgMar w:header="761" w:footer="746" w:top="1340" w:bottom="940" w:left="860" w:right="700"/>
        </w:sectPr>
      </w:pPr>
    </w:p>
    <w:p>
      <w:pPr>
        <w:spacing w:before="150"/>
        <w:ind w:left="220" w:right="0" w:firstLine="0"/>
        <w:jc w:val="left"/>
        <w:rPr>
          <w:sz w:val="22"/>
        </w:rPr>
      </w:pPr>
      <w:r>
        <w:rPr>
          <w:i/>
          <w:sz w:val="22"/>
        </w:rPr>
        <w:t>end example</w:t>
      </w:r>
      <w:r>
        <w:rPr>
          <w:sz w:val="22"/>
        </w:rPr>
        <w:t>]</w:t>
      </w:r>
    </w:p>
    <w:p>
      <w:pPr>
        <w:pStyle w:val="BodyText"/>
        <w:spacing w:before="9"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rPr>
                <w:sz w:val="22"/>
              </w:rPr>
            </w:pPr>
            <w:r>
              <w:rPr>
                <w:rFonts w:ascii="Cambria"/>
                <w:sz w:val="22"/>
              </w:rPr>
              <w:t>c </w:t>
            </w:r>
            <w:r>
              <w:rPr>
                <w:sz w:val="22"/>
              </w:rPr>
              <w:t>(Child Items)</w:t>
            </w:r>
          </w:p>
        </w:tc>
        <w:tc>
          <w:tcPr>
            <w:tcW w:w="8250" w:type="dxa"/>
          </w:tcPr>
          <w:p>
            <w:pPr>
              <w:pStyle w:val="TableParagraph"/>
              <w:ind w:right="234"/>
              <w:rPr>
                <w:sz w:val="22"/>
              </w:rPr>
            </w:pPr>
            <w:r>
              <w:rPr>
                <w:sz w:val="22"/>
              </w:rPr>
              <w:t>Specifies a boolean value that indicates whether the approximate number of child items for this item is greater than zero.</w:t>
            </w:r>
          </w:p>
          <w:p>
            <w:pPr>
              <w:pStyle w:val="TableParagraph"/>
              <w:spacing w:before="2"/>
              <w:ind w:left="0"/>
              <w:rPr>
                <w:sz w:val="22"/>
              </w:rPr>
            </w:pPr>
          </w:p>
          <w:p>
            <w:pPr>
              <w:pStyle w:val="TableParagraph"/>
              <w:spacing w:line="237" w:lineRule="auto" w:before="0"/>
              <w:ind w:right="596"/>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approximate number of child items for this item is greater than zero.</w:t>
            </w:r>
          </w:p>
          <w:p>
            <w:pPr>
              <w:pStyle w:val="TableParagraph"/>
              <w:spacing w:before="2"/>
              <w:ind w:left="0"/>
              <w:rPr>
                <w:sz w:val="22"/>
              </w:rPr>
            </w:pPr>
          </w:p>
          <w:p>
            <w:pPr>
              <w:pStyle w:val="TableParagraph"/>
              <w:spacing w:before="0"/>
              <w:ind w:right="48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approximate number of child items for this item is zero.</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2" w:hRule="atLeast"/>
        </w:trPr>
        <w:tc>
          <w:tcPr>
            <w:tcW w:w="2062" w:type="dxa"/>
          </w:tcPr>
          <w:p>
            <w:pPr>
              <w:pStyle w:val="TableParagraph"/>
              <w:rPr>
                <w:sz w:val="22"/>
              </w:rPr>
            </w:pPr>
            <w:r>
              <w:rPr>
                <w:rFonts w:ascii="Cambria"/>
                <w:sz w:val="22"/>
              </w:rPr>
              <w:t>d </w:t>
            </w:r>
            <w:r>
              <w:rPr>
                <w:sz w:val="22"/>
              </w:rPr>
              <w:t>(Expanded)</w:t>
            </w:r>
          </w:p>
        </w:tc>
        <w:tc>
          <w:tcPr>
            <w:tcW w:w="8250" w:type="dxa"/>
          </w:tcPr>
          <w:p>
            <w:pPr>
              <w:pStyle w:val="TableParagraph"/>
              <w:ind w:right="596"/>
              <w:rPr>
                <w:sz w:val="22"/>
              </w:rPr>
            </w:pPr>
            <w:r>
              <w:rPr>
                <w:sz w:val="22"/>
              </w:rPr>
              <w:t>Specifies a boolean value that indicates whether this item has been expanded in the PivotTable view.</w:t>
            </w:r>
          </w:p>
          <w:p>
            <w:pPr>
              <w:pStyle w:val="TableParagraph"/>
              <w:spacing w:before="10"/>
              <w:ind w:left="0"/>
              <w:rPr>
                <w:sz w:val="21"/>
              </w:rPr>
            </w:pPr>
          </w:p>
          <w:p>
            <w:pPr>
              <w:pStyle w:val="TableParagraph"/>
              <w:spacing w:line="480" w:lineRule="auto" w:before="0"/>
              <w:ind w:right="2797"/>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item has been expanded.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this item is collapsed.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76" w:hRule="atLeast"/>
        </w:trPr>
        <w:tc>
          <w:tcPr>
            <w:tcW w:w="2062" w:type="dxa"/>
          </w:tcPr>
          <w:p>
            <w:pPr>
              <w:pStyle w:val="TableParagraph"/>
              <w:ind w:right="696"/>
              <w:rPr>
                <w:sz w:val="22"/>
              </w:rPr>
            </w:pPr>
            <w:r>
              <w:rPr>
                <w:rFonts w:ascii="Cambria"/>
                <w:sz w:val="22"/>
              </w:rPr>
              <w:t>e </w:t>
            </w:r>
            <w:r>
              <w:rPr>
                <w:sz w:val="22"/>
              </w:rPr>
              <w:t>(Drill Across Attributes)</w:t>
            </w:r>
          </w:p>
        </w:tc>
        <w:tc>
          <w:tcPr>
            <w:tcW w:w="8250" w:type="dxa"/>
          </w:tcPr>
          <w:p>
            <w:pPr>
              <w:pStyle w:val="TableParagraph"/>
              <w:ind w:right="298"/>
              <w:rPr>
                <w:sz w:val="22"/>
              </w:rPr>
            </w:pPr>
            <w:r>
              <w:rPr>
                <w:sz w:val="22"/>
              </w:rPr>
              <w:t>Specifies a boolean value that indicates whether attribute hierarchies nested next to each other on a PivotTable row or column will offer drilling "across" each other or not. [</w:t>
            </w:r>
            <w:r>
              <w:rPr>
                <w:i/>
                <w:sz w:val="22"/>
              </w:rPr>
              <w:t>Example</w:t>
            </w:r>
            <w:r>
              <w:rPr>
                <w:sz w:val="22"/>
              </w:rPr>
              <w:t>: if the application offers drill across for attribute hierarchies and not for user hierarchies, this attribute would only be written when two attribute hierarchies are placed next to each other on an axis. </w:t>
            </w:r>
            <w:r>
              <w:rPr>
                <w:i/>
                <w:sz w:val="22"/>
              </w:rPr>
              <w:t>end example</w:t>
            </w:r>
            <w:r>
              <w:rPr>
                <w:sz w:val="22"/>
              </w:rPr>
              <w:t>]</w:t>
            </w:r>
          </w:p>
          <w:p>
            <w:pPr>
              <w:pStyle w:val="TableParagraph"/>
              <w:spacing w:before="11"/>
              <w:ind w:left="0"/>
              <w:rPr>
                <w:sz w:val="21"/>
              </w:rPr>
            </w:pPr>
          </w:p>
          <w:p>
            <w:pPr>
              <w:pStyle w:val="TableParagraph"/>
              <w:spacing w:before="0"/>
              <w:ind w:right="269"/>
              <w:rPr>
                <w:sz w:val="22"/>
              </w:rPr>
            </w:pPr>
            <w:r>
              <w:rPr>
                <w:sz w:val="22"/>
              </w:rPr>
              <w:t>A value of </w:t>
            </w:r>
            <w:r>
              <w:rPr>
                <w:rFonts w:ascii="Consolas"/>
                <w:sz w:val="20"/>
              </w:rPr>
              <w:t>1</w:t>
            </w:r>
            <w:r>
              <w:rPr>
                <w:rFonts w:ascii="Consolas"/>
                <w:spacing w:val="-61"/>
                <w:sz w:val="20"/>
              </w:rPr>
              <w:t> </w:t>
            </w:r>
            <w:r>
              <w:rPr>
                <w:sz w:val="22"/>
              </w:rPr>
              <w:t>or </w:t>
            </w:r>
            <w:r>
              <w:rPr>
                <w:rFonts w:ascii="Consolas"/>
                <w:sz w:val="20"/>
              </w:rPr>
              <w:t>true</w:t>
            </w:r>
            <w:r>
              <w:rPr>
                <w:rFonts w:ascii="Consolas"/>
                <w:spacing w:val="-63"/>
                <w:sz w:val="20"/>
              </w:rPr>
              <w:t> </w:t>
            </w:r>
            <w:r>
              <w:rPr>
                <w:sz w:val="22"/>
              </w:rPr>
              <w:t>indicates there is a drill across attribute hierarchies positioned next to each other on a pivot axis.</w:t>
            </w:r>
          </w:p>
          <w:p>
            <w:pPr>
              <w:pStyle w:val="TableParagraph"/>
              <w:spacing w:before="1"/>
              <w:ind w:left="0"/>
              <w:rPr>
                <w:sz w:val="22"/>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there is not drill across attribute hierarchies.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7" w:hRule="atLeast"/>
        </w:trPr>
        <w:tc>
          <w:tcPr>
            <w:tcW w:w="2062" w:type="dxa"/>
          </w:tcPr>
          <w:p>
            <w:pPr>
              <w:pStyle w:val="TableParagraph"/>
              <w:spacing w:line="237" w:lineRule="auto" w:before="44"/>
              <w:ind w:right="798"/>
              <w:rPr>
                <w:sz w:val="22"/>
              </w:rPr>
            </w:pPr>
            <w:r>
              <w:rPr>
                <w:rFonts w:ascii="Cambria"/>
                <w:sz w:val="22"/>
              </w:rPr>
              <w:t>f </w:t>
            </w:r>
            <w:r>
              <w:rPr>
                <w:sz w:val="22"/>
              </w:rPr>
              <w:t>(Calculated Member)</w:t>
            </w:r>
          </w:p>
        </w:tc>
        <w:tc>
          <w:tcPr>
            <w:tcW w:w="8250" w:type="dxa"/>
          </w:tcPr>
          <w:p>
            <w:pPr>
              <w:pStyle w:val="TableParagraph"/>
              <w:spacing w:line="480" w:lineRule="auto" w:before="42"/>
              <w:ind w:right="777"/>
              <w:rPr>
                <w:sz w:val="22"/>
              </w:rPr>
            </w:pPr>
            <w:r>
              <w:rPr>
                <w:sz w:val="22"/>
              </w:rPr>
              <w:t>Specifies a boolean value that indicates whether this item is a calculated member.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item is a calculated member.</w:t>
            </w:r>
          </w:p>
          <w:p>
            <w:pPr>
              <w:pStyle w:val="TableParagraph"/>
              <w:spacing w:line="268"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not calculated.</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rPr>
                <w:sz w:val="22"/>
              </w:rPr>
            </w:pPr>
            <w:r>
              <w:rPr>
                <w:rFonts w:ascii="Cambria"/>
                <w:sz w:val="22"/>
              </w:rPr>
              <w:t>h </w:t>
            </w:r>
            <w:r>
              <w:rPr>
                <w:sz w:val="22"/>
              </w:rPr>
              <w:t>(Hidden)</w:t>
            </w:r>
          </w:p>
        </w:tc>
        <w:tc>
          <w:tcPr>
            <w:tcW w:w="8250" w:type="dxa"/>
          </w:tcPr>
          <w:p>
            <w:pPr>
              <w:pStyle w:val="TableParagraph"/>
              <w:rPr>
                <w:sz w:val="22"/>
              </w:rPr>
            </w:pPr>
            <w:r>
              <w:rPr>
                <w:sz w:val="22"/>
              </w:rPr>
              <w:t>Specifies a boolean value that indicates whether the item is hidden.</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item is hidden.</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Borders>
              <w:bottom w:val="single" w:sz="6" w:space="0" w:color="000000"/>
            </w:tcBorders>
          </w:tcPr>
          <w:p>
            <w:pPr>
              <w:pStyle w:val="TableParagraph"/>
              <w:rPr>
                <w:sz w:val="22"/>
              </w:rPr>
            </w:pPr>
            <w:r>
              <w:rPr>
                <w:rFonts w:ascii="Cambria"/>
                <w:sz w:val="22"/>
              </w:rPr>
              <w:t>m </w:t>
            </w:r>
            <w:r>
              <w:rPr>
                <w:sz w:val="22"/>
              </w:rPr>
              <w:t>(Missing)</w:t>
            </w:r>
          </w:p>
        </w:tc>
        <w:tc>
          <w:tcPr>
            <w:tcW w:w="8250" w:type="dxa"/>
            <w:tcBorders>
              <w:bottom w:val="single" w:sz="6" w:space="0" w:color="000000"/>
            </w:tcBorders>
          </w:tcPr>
          <w:p>
            <w:pPr>
              <w:pStyle w:val="TableParagraph"/>
              <w:rPr>
                <w:sz w:val="22"/>
              </w:rPr>
            </w:pPr>
            <w:r>
              <w:rPr>
                <w:sz w:val="22"/>
              </w:rPr>
              <w:t>Specifies a boolean value that indicate whether the item has a missing value.</w:t>
            </w:r>
          </w:p>
          <w:p>
            <w:pPr>
              <w:pStyle w:val="TableParagraph"/>
              <w:spacing w:before="4"/>
              <w:ind w:left="0"/>
              <w:rPr>
                <w:rFonts w:ascii="Times New Roman"/>
                <w:sz w:val="23"/>
              </w:rPr>
            </w:pPr>
          </w:p>
          <w:p>
            <w:pPr>
              <w:pStyle w:val="TableParagraph"/>
              <w:spacing w:before="0"/>
              <w:ind w:right="163"/>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item value is missing. The application should still retain the item settings in case the item reappears during a later refresh.</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6" w:hRule="atLeast"/>
        </w:trPr>
        <w:tc>
          <w:tcPr>
            <w:tcW w:w="2062" w:type="dxa"/>
            <w:tcBorders>
              <w:top w:val="single" w:sz="6" w:space="0" w:color="000000"/>
            </w:tcBorders>
          </w:tcPr>
          <w:p>
            <w:pPr>
              <w:pStyle w:val="TableParagraph"/>
              <w:spacing w:before="37"/>
              <w:ind w:right="801"/>
              <w:rPr>
                <w:sz w:val="22"/>
              </w:rPr>
            </w:pPr>
            <w:r>
              <w:rPr>
                <w:rFonts w:ascii="Cambria"/>
                <w:sz w:val="22"/>
              </w:rPr>
              <w:t>n </w:t>
            </w:r>
            <w:r>
              <w:rPr>
                <w:sz w:val="22"/>
              </w:rPr>
              <w:t>(Item User Caption)</w:t>
            </w:r>
          </w:p>
        </w:tc>
        <w:tc>
          <w:tcPr>
            <w:tcW w:w="8250" w:type="dxa"/>
            <w:tcBorders>
              <w:top w:val="single" w:sz="6" w:space="0" w:color="000000"/>
            </w:tcBorders>
          </w:tcPr>
          <w:p>
            <w:pPr>
              <w:pStyle w:val="TableParagraph"/>
              <w:spacing w:before="37"/>
              <w:rPr>
                <w:sz w:val="22"/>
              </w:rPr>
            </w:pPr>
            <w:r>
              <w:rPr>
                <w:sz w:val="22"/>
              </w:rPr>
              <w:t>Specifies the user caption of the item.</w:t>
            </w:r>
          </w:p>
          <w:p>
            <w:pPr>
              <w:pStyle w:val="TableParagraph"/>
              <w:spacing w:before="7"/>
              <w:ind w:left="0"/>
              <w:rPr>
                <w:rFonts w:ascii="Times New Roman"/>
                <w:sz w:val="23"/>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rPr>
                <w:sz w:val="22"/>
              </w:rPr>
            </w:pPr>
            <w:r>
              <w:rPr>
                <w:rFonts w:ascii="Cambria"/>
                <w:sz w:val="22"/>
              </w:rPr>
              <w:t>s </w:t>
            </w:r>
            <w:r>
              <w:rPr>
                <w:sz w:val="22"/>
              </w:rPr>
              <w:t>(Character)</w:t>
            </w:r>
          </w:p>
        </w:tc>
        <w:tc>
          <w:tcPr>
            <w:tcW w:w="8250" w:type="dxa"/>
          </w:tcPr>
          <w:p>
            <w:pPr>
              <w:pStyle w:val="TableParagraph"/>
              <w:spacing w:line="480" w:lineRule="auto"/>
              <w:ind w:right="980"/>
              <w:rPr>
                <w:sz w:val="22"/>
              </w:rPr>
            </w:pPr>
            <w:r>
              <w:rPr>
                <w:sz w:val="22"/>
              </w:rPr>
              <w:t>Specifies a boolean value that indicates whether the item has a character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item has a string/character value.</w:t>
            </w:r>
          </w:p>
          <w:p>
            <w:pPr>
              <w:pStyle w:val="TableParagraph"/>
              <w:spacing w:before="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item the item has a value of a different type.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6" w:hRule="atLeast"/>
        </w:trPr>
        <w:tc>
          <w:tcPr>
            <w:tcW w:w="2062" w:type="dxa"/>
          </w:tcPr>
          <w:p>
            <w:pPr>
              <w:pStyle w:val="TableParagraph"/>
              <w:spacing w:before="42"/>
              <w:rPr>
                <w:sz w:val="22"/>
              </w:rPr>
            </w:pPr>
            <w:r>
              <w:rPr>
                <w:rFonts w:ascii="Cambria"/>
                <w:sz w:val="22"/>
              </w:rPr>
              <w:t>sd </w:t>
            </w:r>
            <w:r>
              <w:rPr>
                <w:sz w:val="22"/>
              </w:rPr>
              <w:t>(Hide Details)</w:t>
            </w:r>
          </w:p>
        </w:tc>
        <w:tc>
          <w:tcPr>
            <w:tcW w:w="8250" w:type="dxa"/>
          </w:tcPr>
          <w:p>
            <w:pPr>
              <w:pStyle w:val="TableParagraph"/>
              <w:spacing w:line="477" w:lineRule="auto" w:before="42"/>
              <w:ind w:right="581"/>
              <w:rPr>
                <w:sz w:val="22"/>
              </w:rPr>
            </w:pPr>
            <w:r>
              <w:rPr>
                <w:sz w:val="22"/>
              </w:rPr>
              <w:t>Specifies a boolean value that indicates whether the details are hidden for this item.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item details are hidden.</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item details are shown.</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t </w:t>
            </w:r>
            <w:r>
              <w:rPr>
                <w:sz w:val="22"/>
              </w:rPr>
              <w:t>(Item Type)</w:t>
            </w:r>
          </w:p>
        </w:tc>
        <w:tc>
          <w:tcPr>
            <w:tcW w:w="8250" w:type="dxa"/>
          </w:tcPr>
          <w:p>
            <w:pPr>
              <w:pStyle w:val="TableParagraph"/>
              <w:rPr>
                <w:sz w:val="22"/>
              </w:rPr>
            </w:pPr>
            <w:r>
              <w:rPr>
                <w:sz w:val="22"/>
              </w:rPr>
              <w:t>Specifies the type of this item. A value of 'default' indicates the subtotal or total item.</w:t>
            </w:r>
          </w:p>
          <w:p>
            <w:pPr>
              <w:pStyle w:val="TableParagraph"/>
              <w:spacing w:before="2"/>
              <w:ind w:left="0"/>
              <w:rPr>
                <w:rFonts w:ascii="Times New Roman"/>
                <w:sz w:val="23"/>
              </w:rPr>
            </w:pPr>
          </w:p>
          <w:p>
            <w:pPr>
              <w:pStyle w:val="TableParagraph"/>
              <w:spacing w:before="0"/>
              <w:ind w:right="798"/>
              <w:rPr>
                <w:sz w:val="22"/>
              </w:rPr>
            </w:pPr>
            <w:r>
              <w:rPr>
                <w:sz w:val="22"/>
              </w:rPr>
              <w:t>The possible values for this attribute are defined by the </w:t>
            </w:r>
            <w:r>
              <w:rPr>
                <w:rFonts w:ascii="Cambria" w:hAnsi="Cambria"/>
                <w:sz w:val="22"/>
              </w:rPr>
              <w:t>ST_ItemType </w:t>
            </w:r>
            <w:r>
              <w:rPr>
                <w:sz w:val="22"/>
              </w:rPr>
              <w:t>simple type </w:t>
            </w:r>
            <w:hyperlink w:history="true" w:anchor="_bookmark865">
              <w:r>
                <w:rPr>
                  <w:sz w:val="22"/>
                </w:rPr>
                <w:t>(§18.18.43</w:t>
              </w:r>
            </w:hyperlink>
            <w:r>
              <w:rPr>
                <w:sz w:val="22"/>
              </w:rPr>
              <w:t>).</w:t>
            </w:r>
          </w:p>
        </w:tc>
      </w:tr>
      <w:tr>
        <w:trPr>
          <w:trHeight w:val="2203" w:hRule="atLeast"/>
        </w:trPr>
        <w:tc>
          <w:tcPr>
            <w:tcW w:w="2062" w:type="dxa"/>
          </w:tcPr>
          <w:p>
            <w:pPr>
              <w:pStyle w:val="TableParagraph"/>
              <w:rPr>
                <w:sz w:val="22"/>
              </w:rPr>
            </w:pPr>
            <w:r>
              <w:rPr>
                <w:rFonts w:ascii="Cambria"/>
                <w:sz w:val="22"/>
              </w:rPr>
              <w:t>x </w:t>
            </w:r>
            <w:r>
              <w:rPr>
                <w:sz w:val="22"/>
              </w:rPr>
              <w:t>(Item Index)</w:t>
            </w:r>
          </w:p>
        </w:tc>
        <w:tc>
          <w:tcPr>
            <w:tcW w:w="8250" w:type="dxa"/>
          </w:tcPr>
          <w:p>
            <w:pPr>
              <w:pStyle w:val="TableParagraph"/>
              <w:rPr>
                <w:sz w:val="22"/>
              </w:rPr>
            </w:pPr>
            <w:r>
              <w:rPr>
                <w:sz w:val="22"/>
              </w:rPr>
              <w:t>Specifies the item index in </w:t>
            </w:r>
            <w:r>
              <w:rPr>
                <w:rFonts w:ascii="Cambria"/>
                <w:sz w:val="22"/>
              </w:rPr>
              <w:t>pivotFields </w:t>
            </w:r>
            <w:r>
              <w:rPr>
                <w:sz w:val="22"/>
              </w:rPr>
              <w:t>collection in the PivotCache.</w:t>
            </w:r>
          </w:p>
          <w:p>
            <w:pPr>
              <w:pStyle w:val="TableParagraph"/>
              <w:spacing w:before="5"/>
              <w:ind w:left="0"/>
              <w:rPr>
                <w:rFonts w:ascii="Times New Roman"/>
                <w:sz w:val="23"/>
              </w:rPr>
            </w:pPr>
          </w:p>
          <w:p>
            <w:pPr>
              <w:pStyle w:val="TableParagraph"/>
              <w:spacing w:before="0"/>
              <w:ind w:right="308"/>
              <w:rPr>
                <w:sz w:val="22"/>
              </w:rPr>
            </w:pPr>
            <w:r>
              <w:rPr>
                <w:sz w:val="22"/>
              </w:rPr>
              <w:t>[</w:t>
            </w:r>
            <w:r>
              <w:rPr>
                <w:i/>
                <w:sz w:val="22"/>
              </w:rPr>
              <w:t>Example</w:t>
            </w:r>
            <w:r>
              <w:rPr>
                <w:sz w:val="22"/>
              </w:rPr>
              <w:t>: In the following example, "Product Category" and "Product Subcategory" are on the row axis of the PivotTable, in that order.</w:t>
            </w:r>
          </w:p>
          <w:p>
            <w:pPr>
              <w:pStyle w:val="TableParagraph"/>
              <w:spacing w:before="7"/>
              <w:ind w:left="0"/>
              <w:rPr>
                <w:rFonts w:ascii="Times New Roman"/>
                <w:sz w:val="23"/>
              </w:rPr>
            </w:pPr>
          </w:p>
          <w:p>
            <w:pPr>
              <w:pStyle w:val="TableParagraph"/>
              <w:spacing w:line="257" w:lineRule="exact" w:before="0"/>
              <w:ind w:left="403"/>
              <w:rPr>
                <w:rFonts w:ascii="Consolas"/>
                <w:sz w:val="22"/>
              </w:rPr>
            </w:pPr>
            <w:r>
              <w:rPr>
                <w:rFonts w:ascii="Consolas"/>
                <w:sz w:val="22"/>
              </w:rPr>
              <w:t>&lt;rowFields count="2"&gt;</w:t>
            </w:r>
          </w:p>
          <w:p>
            <w:pPr>
              <w:pStyle w:val="TableParagraph"/>
              <w:spacing w:line="257" w:lineRule="exact" w:before="0"/>
              <w:ind w:left="1373"/>
              <w:rPr>
                <w:rFonts w:ascii="Consolas"/>
                <w:sz w:val="22"/>
              </w:rPr>
            </w:pPr>
            <w:r>
              <w:rPr>
                <w:rFonts w:ascii="Consolas"/>
                <w:sz w:val="22"/>
              </w:rPr>
              <w:t>&lt;field x="7"/&gt;</w:t>
            </w:r>
          </w:p>
          <w:p>
            <w:pPr>
              <w:pStyle w:val="TableParagraph"/>
              <w:spacing w:line="257" w:lineRule="exact" w:before="0"/>
              <w:ind w:left="1373"/>
              <w:rPr>
                <w:rFonts w:ascii="Consolas"/>
                <w:sz w:val="22"/>
              </w:rPr>
            </w:pPr>
            <w:r>
              <w:rPr>
                <w:rFonts w:ascii="Consolas"/>
                <w:sz w:val="22"/>
              </w:rPr>
              <w:t>&lt;x="8"/&gt;</w:t>
            </w:r>
          </w:p>
        </w:tc>
      </w:tr>
    </w:tbl>
    <w:p>
      <w:pPr>
        <w:spacing w:after="0" w:line="257" w:lineRule="exact"/>
        <w:rPr>
          <w:rFonts w:ascii="Consolas"/>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86" w:hRule="atLeast"/>
        </w:trPr>
        <w:tc>
          <w:tcPr>
            <w:tcW w:w="2062" w:type="dxa"/>
          </w:tcPr>
          <w:p>
            <w:pPr>
              <w:pStyle w:val="TableParagraph"/>
              <w:spacing w:before="0"/>
              <w:ind w:left="0"/>
              <w:rPr>
                <w:rFonts w:ascii="Times New Roman"/>
                <w:sz w:val="22"/>
              </w:rPr>
            </w:pPr>
          </w:p>
        </w:tc>
        <w:tc>
          <w:tcPr>
            <w:tcW w:w="8250" w:type="dxa"/>
          </w:tcPr>
          <w:p>
            <w:pPr>
              <w:pStyle w:val="TableParagraph"/>
              <w:spacing w:before="42"/>
              <w:ind w:left="887"/>
              <w:rPr>
                <w:rFonts w:ascii="Consolas"/>
                <w:sz w:val="22"/>
              </w:rPr>
            </w:pPr>
            <w:r>
              <w:rPr>
                <w:rFonts w:ascii="Consolas"/>
                <w:sz w:val="22"/>
              </w:rPr>
              <w:t>&lt;/rowFieldsfield &gt;</w:t>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CT_Item</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6 items (Field Items)" w:id="887"/>
      <w:bookmarkEnd w:id="887"/>
      <w:r>
        <w:rPr/>
      </w:r>
      <w:bookmarkStart w:name="_bookmark294" w:id="888"/>
      <w:bookmarkEnd w:id="888"/>
      <w:r>
        <w:rPr/>
      </w:r>
      <w:bookmarkStart w:name="_bookmark294" w:id="889"/>
      <w:bookmarkEnd w:id="889"/>
      <w:r>
        <w:rPr>
          <w:color w:val="4F81BC"/>
        </w:rPr>
        <w:t>items</w:t>
      </w:r>
      <w:r>
        <w:rPr>
          <w:color w:val="4F81BC"/>
        </w:rPr>
        <w:t> (Field</w:t>
      </w:r>
      <w:r>
        <w:rPr>
          <w:color w:val="4F81BC"/>
          <w:spacing w:val="-3"/>
        </w:rPr>
        <w:t> </w:t>
      </w:r>
      <w:r>
        <w:rPr>
          <w:color w:val="4F81BC"/>
        </w:rPr>
        <w:t>Items)</w:t>
      </w:r>
    </w:p>
    <w:p>
      <w:pPr>
        <w:pStyle w:val="BodyText"/>
        <w:spacing w:line="278" w:lineRule="auto" w:before="119"/>
        <w:ind w:left="220" w:right="606"/>
      </w:pPr>
      <w:r>
        <w:rPr/>
        <w:t>Represents the collection of items in a PivotTable field. The items in the collection are ordered by index. Items represent the unique entries from the field in the source data.</w:t>
      </w:r>
    </w:p>
    <w:p>
      <w:pPr>
        <w:pStyle w:val="BodyText"/>
        <w:spacing w:line="276" w:lineRule="auto" w:before="196"/>
        <w:ind w:left="220" w:right="994"/>
      </w:pPr>
      <w:r>
        <w:rPr/>
        <w:t>In the following image, the item Golf represents all rows of data in the source list for which the Sport field contains the entry Golf.</w:t>
      </w:r>
    </w:p>
    <w:p>
      <w:pPr>
        <w:pStyle w:val="BodyText"/>
        <w:spacing w:before="3"/>
        <w:rPr>
          <w:sz w:val="13"/>
        </w:rPr>
      </w:pPr>
      <w:r>
        <w:rPr/>
        <w:drawing>
          <wp:anchor distT="0" distB="0" distL="0" distR="0" allowOverlap="1" layoutInCell="1" locked="0" behindDoc="0" simplePos="0" relativeHeight="46">
            <wp:simplePos x="0" y="0"/>
            <wp:positionH relativeFrom="page">
              <wp:posOffset>685800</wp:posOffset>
            </wp:positionH>
            <wp:positionV relativeFrom="paragraph">
              <wp:posOffset>127482</wp:posOffset>
            </wp:positionV>
            <wp:extent cx="1712082" cy="809625"/>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119" cstate="print"/>
                    <a:stretch>
                      <a:fillRect/>
                    </a:stretch>
                  </pic:blipFill>
                  <pic:spPr>
                    <a:xfrm>
                      <a:off x="0" y="0"/>
                      <a:ext cx="1712082" cy="809625"/>
                    </a:xfrm>
                    <a:prstGeom prst="rect">
                      <a:avLst/>
                    </a:prstGeom>
                  </pic:spPr>
                </pic:pic>
              </a:graphicData>
            </a:graphic>
          </wp:anchor>
        </w:drawing>
      </w:r>
    </w:p>
    <w:p>
      <w:pPr>
        <w:pStyle w:val="BodyText"/>
        <w:spacing w:before="3"/>
        <w:rPr>
          <w:sz w:val="17"/>
        </w:rPr>
      </w:pPr>
    </w:p>
    <w:p>
      <w:pPr>
        <w:pStyle w:val="BodyText"/>
        <w:spacing w:line="276" w:lineRule="auto"/>
        <w:ind w:left="220" w:right="830"/>
      </w:pPr>
      <w:r>
        <w:rPr/>
        <w:t>The order in which the items are listed is the order they would appear on a particular axis [</w:t>
      </w:r>
      <w:r>
        <w:rPr>
          <w:i/>
        </w:rPr>
        <w:t>Example</w:t>
      </w:r>
      <w:r>
        <w:rPr/>
        <w:t>: Row or column. </w:t>
      </w:r>
      <w:r>
        <w:rPr>
          <w:i/>
        </w:rPr>
        <w:t>end example</w:t>
      </w:r>
      <w:r>
        <w:rPr/>
        <w:t>]</w:t>
      </w:r>
    </w:p>
    <w:p>
      <w:pPr>
        <w:pStyle w:val="BodyText"/>
        <w:spacing w:before="3"/>
        <w:rPr>
          <w:sz w:val="16"/>
        </w:rPr>
      </w:pPr>
    </w:p>
    <w:p>
      <w:pPr>
        <w:pStyle w:val="BodyText"/>
        <w:spacing w:line="278" w:lineRule="auto"/>
        <w:ind w:left="220" w:right="665"/>
      </w:pPr>
      <w:r>
        <w:rPr/>
        <w:t>[</w:t>
      </w:r>
      <w:r>
        <w:rPr>
          <w:i/>
        </w:rPr>
        <w:t>Example</w:t>
      </w:r>
      <w:r>
        <w:rPr/>
        <w:t>: In the following SpreadsheetML example, the first field is "Customer Name" and the first item referenced here is &lt;item x="66"/&gt;, which references the value "Adam L Flores" in the </w:t>
      </w:r>
      <w:r>
        <w:rPr>
          <w:rFonts w:ascii="Cambria"/>
        </w:rPr>
        <w:t>pivotCacheDefinition</w:t>
      </w:r>
      <w:r>
        <w:rPr/>
        <w:t>. Therefore, if you added "Customer Name" to the row axis, "Adam L Flores" would be the first row item listed.</w:t>
      </w:r>
    </w:p>
    <w:p>
      <w:pPr>
        <w:pStyle w:val="BodyText"/>
        <w:spacing w:before="196"/>
        <w:ind w:left="508"/>
        <w:rPr>
          <w:rFonts w:ascii="Consolas"/>
        </w:rPr>
      </w:pPr>
      <w:r>
        <w:rPr>
          <w:rFonts w:ascii="Consolas"/>
        </w:rPr>
        <w:t>&lt;pivotFields count="28"&gt;</w:t>
      </w:r>
    </w:p>
    <w:p>
      <w:pPr>
        <w:pStyle w:val="BodyText"/>
        <w:spacing w:before="38"/>
        <w:ind w:left="750"/>
        <w:rPr>
          <w:rFonts w:ascii="Consolas"/>
        </w:rPr>
      </w:pPr>
      <w:r>
        <w:rPr>
          <w:rFonts w:ascii="Consolas"/>
        </w:rPr>
        <w:t>&lt;pivotField showAll="0" includeNewItemsInFilter="1"&gt;</w:t>
      </w:r>
    </w:p>
    <w:p>
      <w:pPr>
        <w:pStyle w:val="BodyText"/>
        <w:spacing w:before="40"/>
        <w:ind w:left="993"/>
        <w:rPr>
          <w:rFonts w:ascii="Consolas"/>
        </w:rPr>
      </w:pPr>
      <w:r>
        <w:rPr>
          <w:rFonts w:ascii="Consolas"/>
        </w:rPr>
        <w:t>&lt;items count="8"&gt;</w:t>
      </w:r>
    </w:p>
    <w:p>
      <w:pPr>
        <w:pStyle w:val="BodyText"/>
        <w:spacing w:before="37"/>
        <w:ind w:left="1235"/>
        <w:rPr>
          <w:rFonts w:ascii="Consolas"/>
        </w:rPr>
      </w:pPr>
      <w:r>
        <w:rPr>
          <w:rFonts w:ascii="Consolas"/>
        </w:rPr>
        <w:t>&lt;item x="66"/&gt;</w:t>
      </w:r>
    </w:p>
    <w:p>
      <w:pPr>
        <w:pStyle w:val="BodyText"/>
        <w:spacing w:before="40"/>
        <w:ind w:left="1235"/>
        <w:rPr>
          <w:rFonts w:ascii="Consolas"/>
        </w:rPr>
      </w:pPr>
      <w:r>
        <w:rPr>
          <w:rFonts w:ascii="Consolas"/>
        </w:rPr>
        <w:t>&lt;item x="133"/&gt;</w:t>
      </w:r>
    </w:p>
    <w:p>
      <w:pPr>
        <w:pStyle w:val="BodyText"/>
        <w:spacing w:before="38"/>
        <w:ind w:left="1235"/>
        <w:rPr>
          <w:rFonts w:ascii="Consolas"/>
        </w:rPr>
      </w:pPr>
      <w:r>
        <w:rPr>
          <w:rFonts w:ascii="Consolas"/>
        </w:rPr>
        <w:t>&lt;item</w:t>
      </w:r>
      <w:r>
        <w:rPr>
          <w:rFonts w:ascii="Consolas"/>
          <w:spacing w:val="-10"/>
        </w:rPr>
        <w:t> </w:t>
      </w:r>
      <w:r>
        <w:rPr>
          <w:rFonts w:ascii="Consolas"/>
        </w:rPr>
        <w:t>x="74"/&gt;</w:t>
      </w:r>
    </w:p>
    <w:p>
      <w:pPr>
        <w:pStyle w:val="BodyText"/>
        <w:spacing w:before="37"/>
        <w:ind w:left="1235"/>
        <w:rPr>
          <w:rFonts w:ascii="Consolas"/>
        </w:rPr>
      </w:pPr>
      <w:r>
        <w:rPr>
          <w:rFonts w:ascii="Consolas"/>
        </w:rPr>
        <w:t>&lt;item</w:t>
      </w:r>
      <w:r>
        <w:rPr>
          <w:rFonts w:ascii="Consolas"/>
          <w:spacing w:val="-10"/>
        </w:rPr>
        <w:t> </w:t>
      </w:r>
      <w:r>
        <w:rPr>
          <w:rFonts w:ascii="Consolas"/>
        </w:rPr>
        <w:t>x="27"/&gt;</w:t>
      </w:r>
    </w:p>
    <w:p>
      <w:pPr>
        <w:pStyle w:val="BodyText"/>
        <w:spacing w:before="41"/>
        <w:ind w:left="1235"/>
        <w:rPr>
          <w:rFonts w:ascii="Consolas"/>
        </w:rPr>
      </w:pPr>
      <w:r>
        <w:rPr>
          <w:rFonts w:ascii="Consolas"/>
        </w:rPr>
        <w:t>&lt;item x="118"/&gt;</w:t>
      </w:r>
    </w:p>
    <w:p>
      <w:pPr>
        <w:pStyle w:val="BodyText"/>
        <w:spacing w:before="38"/>
        <w:ind w:left="1235"/>
        <w:rPr>
          <w:rFonts w:ascii="Consolas"/>
        </w:rPr>
      </w:pPr>
      <w:r>
        <w:rPr>
          <w:rFonts w:ascii="Consolas"/>
        </w:rPr>
        <w:t>&lt;item x="63"/&gt;</w:t>
      </w:r>
    </w:p>
    <w:p>
      <w:pPr>
        <w:pStyle w:val="BodyText"/>
        <w:spacing w:before="40"/>
        <w:ind w:left="1235"/>
        <w:rPr>
          <w:rFonts w:ascii="Consolas"/>
        </w:rPr>
      </w:pPr>
      <w:r>
        <w:rPr>
          <w:rFonts w:ascii="Consolas"/>
        </w:rPr>
        <w:t>&lt;item x="141"/&gt;</w:t>
      </w:r>
    </w:p>
    <w:p>
      <w:pPr>
        <w:pStyle w:val="BodyText"/>
        <w:spacing w:before="37"/>
        <w:ind w:left="1235"/>
        <w:rPr>
          <w:rFonts w:ascii="Consolas"/>
        </w:rPr>
      </w:pPr>
      <w:r>
        <w:rPr>
          <w:rFonts w:ascii="Consolas"/>
        </w:rPr>
        <w:t>&lt;item t="default"/&gt;</w:t>
      </w:r>
    </w:p>
    <w:p>
      <w:pPr>
        <w:pStyle w:val="BodyText"/>
        <w:spacing w:before="40"/>
        <w:ind w:left="993"/>
        <w:rPr>
          <w:rFonts w:ascii="Consolas"/>
        </w:rPr>
      </w:pPr>
      <w:r>
        <w:rPr>
          <w:rFonts w:ascii="Consolas"/>
        </w:rPr>
        <w:t>&lt;/items&gt;</w:t>
      </w:r>
    </w:p>
    <w:p>
      <w:pPr>
        <w:pStyle w:val="BodyText"/>
        <w:spacing w:before="38"/>
        <w:ind w:left="750"/>
        <w:rPr>
          <w:rFonts w:ascii="Consolas"/>
        </w:rPr>
      </w:pPr>
      <w:r>
        <w:rPr>
          <w:rFonts w:ascii="Consolas"/>
        </w:rPr>
        <w:t>&lt;/pivotField&gt;</w:t>
      </w:r>
    </w:p>
    <w:p>
      <w:pPr>
        <w:pStyle w:val="BodyText"/>
        <w:spacing w:before="37"/>
        <w:ind w:left="750"/>
        <w:rPr>
          <w:rFonts w:ascii="Consolas"/>
        </w:rPr>
      </w:pPr>
      <w:r>
        <w:rPr>
          <w:rFonts w:ascii="Consolas"/>
        </w:rPr>
        <w:t>&lt;pivotField showAll="0" includeNewItemsInFilter="1"/&gt;</w:t>
      </w:r>
    </w:p>
    <w:p>
      <w:pPr>
        <w:spacing w:after="0"/>
        <w:rPr>
          <w:rFonts w:ascii="Consolas"/>
        </w:rPr>
        <w:sectPr>
          <w:pgSz w:w="12240" w:h="15840"/>
          <w:pgMar w:header="763" w:footer="746" w:top="1340" w:bottom="940" w:left="860" w:right="700"/>
        </w:sectPr>
      </w:pPr>
    </w:p>
    <w:p>
      <w:pPr>
        <w:pStyle w:val="BodyText"/>
        <w:spacing w:before="93"/>
        <w:ind w:left="165" w:right="1127"/>
        <w:jc w:val="center"/>
        <w:rPr>
          <w:rFonts w:ascii="Consolas"/>
        </w:rPr>
      </w:pPr>
      <w:r>
        <w:rPr>
          <w:rFonts w:ascii="Consolas"/>
        </w:rPr>
        <w:t>&lt;pivotField axis="axisPage" showAll="0" includeNewItemsInFilter="1"&gt;</w:t>
      </w:r>
    </w:p>
    <w:p>
      <w:pPr>
        <w:pStyle w:val="BodyText"/>
        <w:spacing w:before="38"/>
        <w:ind w:left="165" w:right="6803"/>
        <w:jc w:val="center"/>
        <w:rPr>
          <w:rFonts w:ascii="Consolas"/>
        </w:rPr>
      </w:pPr>
      <w:r>
        <w:rPr>
          <w:rFonts w:ascii="Consolas"/>
        </w:rPr>
        <w:t>&lt;items count="2"&gt;</w:t>
      </w:r>
    </w:p>
    <w:p>
      <w:pPr>
        <w:pStyle w:val="BodyText"/>
        <w:spacing w:before="40"/>
        <w:ind w:left="165" w:right="6800"/>
        <w:jc w:val="center"/>
        <w:rPr>
          <w:rFonts w:ascii="Consolas"/>
        </w:rPr>
      </w:pPr>
      <w:r>
        <w:rPr>
          <w:rFonts w:ascii="Consolas"/>
        </w:rPr>
        <w:t>&lt;item x="0"/&gt;</w:t>
      </w:r>
    </w:p>
    <w:p>
      <w:pPr>
        <w:pStyle w:val="BodyText"/>
        <w:spacing w:before="37"/>
        <w:ind w:left="165" w:right="6075"/>
        <w:jc w:val="center"/>
        <w:rPr>
          <w:rFonts w:ascii="Consolas"/>
        </w:rPr>
      </w:pPr>
      <w:r>
        <w:rPr>
          <w:rFonts w:ascii="Consolas"/>
        </w:rPr>
        <w:t>&lt;item t="default"/&gt;</w:t>
      </w:r>
    </w:p>
    <w:p>
      <w:pPr>
        <w:pStyle w:val="BodyText"/>
        <w:spacing w:before="40"/>
        <w:ind w:left="165" w:right="7889"/>
        <w:jc w:val="center"/>
        <w:rPr>
          <w:rFonts w:ascii="Consolas"/>
        </w:rPr>
      </w:pPr>
      <w:r>
        <w:rPr>
          <w:rFonts w:ascii="Consolas"/>
        </w:rPr>
        <w:t>&lt;/items&gt;</w:t>
      </w:r>
    </w:p>
    <w:p>
      <w:pPr>
        <w:pStyle w:val="BodyText"/>
        <w:spacing w:before="38"/>
        <w:ind w:left="5" w:right="7610"/>
        <w:jc w:val="center"/>
        <w:rPr>
          <w:rFonts w:ascii="Consolas"/>
        </w:rPr>
      </w:pPr>
      <w:r>
        <w:rPr>
          <w:rFonts w:ascii="Consolas"/>
        </w:rPr>
        <w:t>&lt;/pivotField&gt;</w:t>
      </w:r>
    </w:p>
    <w:p>
      <w:pPr>
        <w:pStyle w:val="BodyText"/>
        <w:spacing w:before="40"/>
        <w:ind w:left="165" w:right="3423"/>
        <w:jc w:val="center"/>
        <w:rPr>
          <w:rFonts w:ascii="Consolas"/>
        </w:rPr>
      </w:pPr>
      <w:r>
        <w:rPr>
          <w:rFonts w:ascii="Consolas"/>
        </w:rPr>
        <w:t>&lt;pivotField showAll="0" includeNewItemsInFilter="1"/&gt;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42" w:right="129"/>
              <w:jc w:val="center"/>
              <w:rPr>
                <w:sz w:val="22"/>
              </w:rPr>
            </w:pPr>
            <w:r>
              <w:rPr>
                <w:rFonts w:ascii="Cambria"/>
                <w:sz w:val="22"/>
              </w:rPr>
              <w:t>count </w:t>
            </w:r>
            <w:r>
              <w:rPr>
                <w:sz w:val="22"/>
              </w:rPr>
              <w:t>(Field Count)</w:t>
            </w:r>
          </w:p>
        </w:tc>
        <w:tc>
          <w:tcPr>
            <w:tcW w:w="8250" w:type="dxa"/>
          </w:tcPr>
          <w:p>
            <w:pPr>
              <w:pStyle w:val="TableParagraph"/>
              <w:rPr>
                <w:sz w:val="22"/>
              </w:rPr>
            </w:pPr>
            <w:r>
              <w:rPr>
                <w:sz w:val="22"/>
              </w:rPr>
              <w:t>Specifies the number of fields in the PivotTable.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CT_Items</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7 kpi (OLAP KPI)" w:id="890"/>
      <w:bookmarkEnd w:id="890"/>
      <w:r>
        <w:rPr/>
      </w:r>
      <w:bookmarkStart w:name="_bookmark295" w:id="891"/>
      <w:bookmarkEnd w:id="891"/>
      <w:r>
        <w:rPr/>
      </w:r>
      <w:bookmarkStart w:name="_bookmark295" w:id="892"/>
      <w:bookmarkEnd w:id="892"/>
      <w:r>
        <w:rPr>
          <w:color w:val="4F81BC"/>
        </w:rPr>
        <w:t>k</w:t>
      </w:r>
      <w:r>
        <w:rPr>
          <w:color w:val="4F81BC"/>
        </w:rPr>
        <w:t>pi (OLAP</w:t>
      </w:r>
      <w:r>
        <w:rPr>
          <w:color w:val="4F81BC"/>
          <w:spacing w:val="-1"/>
        </w:rPr>
        <w:t> </w:t>
      </w:r>
      <w:r>
        <w:rPr>
          <w:color w:val="4F81BC"/>
        </w:rPr>
        <w:t>KPI)</w:t>
      </w:r>
    </w:p>
    <w:p>
      <w:pPr>
        <w:pStyle w:val="BodyText"/>
        <w:spacing w:line="453" w:lineRule="auto" w:before="121"/>
        <w:ind w:left="220" w:right="3580"/>
      </w:pPr>
      <w:r>
        <w:rPr/>
        <w:t>Represents the KPI defined on the OLAP server and stored in the PivotCache. [</w:t>
      </w:r>
      <w:r>
        <w:rPr>
          <w:i/>
        </w:rPr>
        <w:t>Example</w:t>
      </w:r>
      <w:r>
        <w:rPr/>
        <w:t>:</w:t>
      </w:r>
    </w:p>
    <w:p>
      <w:pPr>
        <w:pStyle w:val="BodyText"/>
        <w:spacing w:line="276" w:lineRule="auto" w:before="3"/>
        <w:ind w:left="750" w:right="979" w:hanging="243"/>
        <w:rPr>
          <w:rFonts w:ascii="Consolas"/>
        </w:rPr>
      </w:pPr>
      <w:r>
        <w:rPr>
          <w:rFonts w:ascii="Consolas"/>
        </w:rPr>
        <w:t>&lt;kpi uniqueName="Growth in Customer Base" caption="Growth in Customer Base" displayFolder="Customer Perspective\Expand Customer Base" measureGroup="Internet Sales" value="[Measures].[Growth in Customer Base]" goal="[Measures].[Growth in Customer Base Goal]" status="[Measures].[Growth in Customer Base Status]" trend="[Measures].[Growth in Customer Base Trend]"/&gt;</w:t>
      </w:r>
    </w:p>
    <w:p>
      <w:pPr>
        <w:pStyle w:val="BodyText"/>
        <w:spacing w:before="1"/>
        <w:rPr>
          <w:rFonts w:ascii="Consolas"/>
          <w:sz w:val="17"/>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23"/>
              <w:rPr>
                <w:sz w:val="22"/>
              </w:rPr>
            </w:pPr>
            <w:r>
              <w:rPr>
                <w:rFonts w:ascii="Cambria"/>
                <w:sz w:val="22"/>
              </w:rPr>
              <w:t>caption </w:t>
            </w:r>
            <w:r>
              <w:rPr>
                <w:sz w:val="22"/>
              </w:rPr>
              <w:t>(KPI Display Name)</w:t>
            </w:r>
          </w:p>
        </w:tc>
        <w:tc>
          <w:tcPr>
            <w:tcW w:w="8250" w:type="dxa"/>
          </w:tcPr>
          <w:p>
            <w:pPr>
              <w:pStyle w:val="TableParagraph"/>
              <w:rPr>
                <w:sz w:val="22"/>
              </w:rPr>
            </w:pPr>
            <w:r>
              <w:rPr>
                <w:sz w:val="22"/>
              </w:rPr>
              <w:t>Specifies the display name of the KPI.</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ind w:right="225"/>
              <w:rPr>
                <w:sz w:val="22"/>
              </w:rPr>
            </w:pPr>
            <w:r>
              <w:rPr>
                <w:rFonts w:ascii="Cambria"/>
                <w:sz w:val="22"/>
              </w:rPr>
              <w:t>displayFolder </w:t>
            </w:r>
            <w:r>
              <w:rPr>
                <w:sz w:val="22"/>
              </w:rPr>
              <w:t>(KPI Display Folder)</w:t>
            </w:r>
          </w:p>
        </w:tc>
        <w:tc>
          <w:tcPr>
            <w:tcW w:w="8250" w:type="dxa"/>
          </w:tcPr>
          <w:p>
            <w:pPr>
              <w:pStyle w:val="TableParagraph"/>
              <w:ind w:right="420"/>
              <w:rPr>
                <w:sz w:val="22"/>
              </w:rPr>
            </w:pPr>
            <w:r>
              <w:rPr>
                <w:sz w:val="22"/>
              </w:rPr>
              <w:t>Specifies the folder where this KPI is displayed in a list of fields for the PivotTable. This attribute depends on how the application exposes a list of fields in the user interface.</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623" w:hRule="atLeast"/>
        </w:trPr>
        <w:tc>
          <w:tcPr>
            <w:tcW w:w="2062" w:type="dxa"/>
          </w:tcPr>
          <w:p>
            <w:pPr>
              <w:pStyle w:val="TableParagraph"/>
              <w:ind w:right="620"/>
              <w:rPr>
                <w:sz w:val="22"/>
              </w:rPr>
            </w:pPr>
            <w:r>
              <w:rPr>
                <w:rFonts w:ascii="Cambria"/>
                <w:sz w:val="22"/>
              </w:rPr>
              <w:t>goal </w:t>
            </w:r>
            <w:r>
              <w:rPr>
                <w:sz w:val="22"/>
              </w:rPr>
              <w:t>(KPI Goal Unique Name)</w:t>
            </w:r>
          </w:p>
        </w:tc>
        <w:tc>
          <w:tcPr>
            <w:tcW w:w="8250" w:type="dxa"/>
          </w:tcPr>
          <w:p>
            <w:pPr>
              <w:pStyle w:val="TableParagraph"/>
              <w:rPr>
                <w:sz w:val="22"/>
              </w:rPr>
            </w:pPr>
            <w:r>
              <w:rPr>
                <w:sz w:val="22"/>
              </w:rPr>
              <w:t>Specifies the unique name of the KPI goal measure.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120"/>
              <w:rPr>
                <w:sz w:val="22"/>
              </w:rPr>
            </w:pPr>
            <w:r>
              <w:rPr>
                <w:rFonts w:ascii="Cambria"/>
                <w:sz w:val="22"/>
              </w:rPr>
              <w:t>measureGroup </w:t>
            </w:r>
            <w:r>
              <w:rPr>
                <w:sz w:val="22"/>
              </w:rPr>
              <w:t>(KPI Measure Group Name)</w:t>
            </w:r>
          </w:p>
        </w:tc>
        <w:tc>
          <w:tcPr>
            <w:tcW w:w="8250" w:type="dxa"/>
          </w:tcPr>
          <w:p>
            <w:pPr>
              <w:pStyle w:val="TableParagraph"/>
              <w:rPr>
                <w:sz w:val="22"/>
              </w:rPr>
            </w:pPr>
            <w:r>
              <w:rPr>
                <w:sz w:val="22"/>
              </w:rPr>
              <w:t>Specifies the name of the measure group to which this KPI belongs.</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left="47" w:right="129"/>
              <w:jc w:val="center"/>
              <w:rPr>
                <w:sz w:val="22"/>
              </w:rPr>
            </w:pPr>
            <w:r>
              <w:rPr>
                <w:rFonts w:ascii="Cambria"/>
                <w:sz w:val="22"/>
              </w:rPr>
              <w:t>parent </w:t>
            </w:r>
            <w:r>
              <w:rPr>
                <w:sz w:val="22"/>
              </w:rPr>
              <w:t>(Parent KPI)</w:t>
            </w:r>
          </w:p>
        </w:tc>
        <w:tc>
          <w:tcPr>
            <w:tcW w:w="8250" w:type="dxa"/>
          </w:tcPr>
          <w:p>
            <w:pPr>
              <w:pStyle w:val="TableParagraph"/>
              <w:rPr>
                <w:sz w:val="22"/>
              </w:rPr>
            </w:pPr>
            <w:r>
              <w:rPr>
                <w:sz w:val="22"/>
              </w:rPr>
              <w:t>Specifies the name of the parent KPI for this KPI.</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9" w:hRule="atLeast"/>
        </w:trPr>
        <w:tc>
          <w:tcPr>
            <w:tcW w:w="2062" w:type="dxa"/>
          </w:tcPr>
          <w:p>
            <w:pPr>
              <w:pStyle w:val="TableParagraph"/>
              <w:ind w:right="346"/>
              <w:rPr>
                <w:sz w:val="22"/>
              </w:rPr>
            </w:pPr>
            <w:r>
              <w:rPr>
                <w:rFonts w:ascii="Cambria"/>
                <w:sz w:val="22"/>
              </w:rPr>
              <w:t>status </w:t>
            </w:r>
            <w:r>
              <w:rPr>
                <w:sz w:val="22"/>
              </w:rPr>
              <w:t>(KPI Status Unique Name)</w:t>
            </w:r>
          </w:p>
        </w:tc>
        <w:tc>
          <w:tcPr>
            <w:tcW w:w="8250" w:type="dxa"/>
          </w:tcPr>
          <w:p>
            <w:pPr>
              <w:pStyle w:val="TableParagraph"/>
              <w:rPr>
                <w:sz w:val="22"/>
              </w:rPr>
            </w:pPr>
            <w:r>
              <w:rPr>
                <w:sz w:val="22"/>
              </w:rPr>
              <w:t>Specifies the unique name of the KPI status measure.</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108"/>
              <w:rPr>
                <w:sz w:val="22"/>
              </w:rPr>
            </w:pPr>
            <w:r>
              <w:rPr>
                <w:rFonts w:ascii="Cambria"/>
                <w:sz w:val="22"/>
              </w:rPr>
              <w:t>time </w:t>
            </w:r>
            <w:r>
              <w:rPr>
                <w:sz w:val="22"/>
              </w:rPr>
              <w:t>(Time Member KPI Unique Name)</w:t>
            </w:r>
          </w:p>
        </w:tc>
        <w:tc>
          <w:tcPr>
            <w:tcW w:w="8250" w:type="dxa"/>
          </w:tcPr>
          <w:p>
            <w:pPr>
              <w:pStyle w:val="TableParagraph"/>
              <w:rPr>
                <w:sz w:val="22"/>
              </w:rPr>
            </w:pPr>
            <w:r>
              <w:rPr>
                <w:sz w:val="22"/>
              </w:rPr>
              <w:t>Specifies the unique name of the KPI current time member.</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26"/>
              <w:rPr>
                <w:sz w:val="22"/>
              </w:rPr>
            </w:pPr>
            <w:r>
              <w:rPr>
                <w:rFonts w:ascii="Cambria"/>
                <w:sz w:val="22"/>
              </w:rPr>
              <w:t>trend </w:t>
            </w:r>
            <w:r>
              <w:rPr>
                <w:sz w:val="22"/>
              </w:rPr>
              <w:t>(KPI Trend Unique Name)</w:t>
            </w:r>
          </w:p>
        </w:tc>
        <w:tc>
          <w:tcPr>
            <w:tcW w:w="8250" w:type="dxa"/>
          </w:tcPr>
          <w:p>
            <w:pPr>
              <w:pStyle w:val="TableParagraph"/>
              <w:rPr>
                <w:sz w:val="22"/>
              </w:rPr>
            </w:pPr>
            <w:r>
              <w:rPr>
                <w:sz w:val="22"/>
              </w:rPr>
              <w:t>Specifies the unique name of the KPI trend measure.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9" w:hRule="atLeast"/>
        </w:trPr>
        <w:tc>
          <w:tcPr>
            <w:tcW w:w="2062" w:type="dxa"/>
          </w:tcPr>
          <w:p>
            <w:pPr>
              <w:pStyle w:val="TableParagraph"/>
              <w:ind w:right="316"/>
              <w:rPr>
                <w:sz w:val="22"/>
              </w:rPr>
            </w:pPr>
            <w:r>
              <w:rPr>
                <w:rFonts w:ascii="Cambria"/>
                <w:sz w:val="22"/>
              </w:rPr>
              <w:t>uniqueName </w:t>
            </w:r>
            <w:r>
              <w:rPr>
                <w:sz w:val="22"/>
              </w:rPr>
              <w:t>(KPI Unique Name)</w:t>
            </w:r>
          </w:p>
        </w:tc>
        <w:tc>
          <w:tcPr>
            <w:tcW w:w="8250" w:type="dxa"/>
          </w:tcPr>
          <w:p>
            <w:pPr>
              <w:pStyle w:val="TableParagraph"/>
              <w:rPr>
                <w:sz w:val="22"/>
              </w:rPr>
            </w:pPr>
            <w:r>
              <w:rPr>
                <w:sz w:val="22"/>
              </w:rPr>
              <w:t>Specifies the unique name of the KPI.</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56"/>
              <w:rPr>
                <w:sz w:val="22"/>
              </w:rPr>
            </w:pPr>
            <w:r>
              <w:rPr>
                <w:rFonts w:ascii="Cambria"/>
                <w:sz w:val="22"/>
              </w:rPr>
              <w:t>value </w:t>
            </w:r>
            <w:r>
              <w:rPr>
                <w:sz w:val="22"/>
              </w:rPr>
              <w:t>(KPI Value Unique Name)</w:t>
            </w:r>
          </w:p>
        </w:tc>
        <w:tc>
          <w:tcPr>
            <w:tcW w:w="8250" w:type="dxa"/>
          </w:tcPr>
          <w:p>
            <w:pPr>
              <w:pStyle w:val="TableParagraph"/>
              <w:rPr>
                <w:sz w:val="22"/>
              </w:rPr>
            </w:pPr>
            <w:r>
              <w:rPr>
                <w:sz w:val="22"/>
              </w:rPr>
              <w:t>Specifies the unique name of the KPI value measure.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176"/>
              <w:rPr>
                <w:sz w:val="22"/>
              </w:rPr>
            </w:pPr>
            <w:r>
              <w:rPr>
                <w:rFonts w:ascii="Cambria"/>
                <w:sz w:val="22"/>
              </w:rPr>
              <w:t>weight </w:t>
            </w:r>
            <w:r>
              <w:rPr>
                <w:sz w:val="22"/>
              </w:rPr>
              <w:t>(KPI Weight Unique Name)</w:t>
            </w:r>
          </w:p>
        </w:tc>
        <w:tc>
          <w:tcPr>
            <w:tcW w:w="8250" w:type="dxa"/>
          </w:tcPr>
          <w:p>
            <w:pPr>
              <w:pStyle w:val="TableParagraph"/>
              <w:rPr>
                <w:sz w:val="22"/>
              </w:rPr>
            </w:pPr>
            <w:r>
              <w:rPr>
                <w:sz w:val="22"/>
              </w:rPr>
              <w:t>Specifies the unique name of the KPI weight measure.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rPr>
          <w:sz w:val="17"/>
        </w:rPr>
      </w:pPr>
    </w:p>
    <w:p>
      <w:pPr>
        <w:pStyle w:val="BodyText"/>
        <w:spacing w:line="276" w:lineRule="auto" w:before="57"/>
        <w:ind w:left="220" w:right="835"/>
      </w:pPr>
      <w:r>
        <w:rPr/>
        <w:t>[</w:t>
      </w:r>
      <w:r>
        <w:rPr>
          <w:i/>
        </w:rPr>
        <w:t>Note</w:t>
      </w:r>
      <w:r>
        <w:rPr/>
        <w:t>: The W3C XML Schema definition of this element’s content model (</w:t>
      </w:r>
      <w:r>
        <w:rPr>
          <w:color w:val="5F5F5F"/>
          <w:u w:val="single" w:color="5F5F5F"/>
        </w:rPr>
        <w:t>CT_PCDKPI</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8 kpis (OLAP KPIs)" w:id="893"/>
      <w:bookmarkEnd w:id="893"/>
      <w:r>
        <w:rPr/>
      </w:r>
      <w:bookmarkStart w:name="_bookmark296" w:id="894"/>
      <w:bookmarkEnd w:id="894"/>
      <w:r>
        <w:rPr/>
      </w:r>
      <w:bookmarkStart w:name="_bookmark296" w:id="895"/>
      <w:bookmarkEnd w:id="895"/>
      <w:r>
        <w:rPr>
          <w:color w:val="4F81BC"/>
        </w:rPr>
        <w:t>k</w:t>
      </w:r>
      <w:r>
        <w:rPr>
          <w:color w:val="4F81BC"/>
        </w:rPr>
        <w:t>pis (OLAP</w:t>
      </w:r>
      <w:r>
        <w:rPr>
          <w:color w:val="4F81BC"/>
          <w:spacing w:val="-1"/>
        </w:rPr>
        <w:t> </w:t>
      </w:r>
      <w:r>
        <w:rPr>
          <w:color w:val="4F81BC"/>
        </w:rPr>
        <w:t>KPIs)</w:t>
      </w:r>
    </w:p>
    <w:p>
      <w:pPr>
        <w:pStyle w:val="BodyText"/>
        <w:spacing w:line="278" w:lineRule="auto" w:before="119"/>
        <w:ind w:left="220" w:right="790"/>
      </w:pPr>
      <w:r>
        <w:rPr/>
        <w:t>Represents the collection of Key Performance Indicators (KPIs) defined on the OLAP server and stored in the PivotCache.</w:t>
      </w:r>
    </w:p>
    <w:p>
      <w:pPr>
        <w:spacing w:after="0" w:line="278" w:lineRule="auto"/>
        <w:sectPr>
          <w:pgSz w:w="12240" w:h="15840"/>
          <w:pgMar w:header="763" w:footer="746" w:top="1340" w:bottom="940" w:left="860" w:right="700"/>
        </w:sectPr>
      </w:pPr>
    </w:p>
    <w:p>
      <w:pPr>
        <w:spacing w:before="93"/>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&lt;kpis count="3"&gt;</w:t>
      </w:r>
    </w:p>
    <w:p>
      <w:pPr>
        <w:pStyle w:val="BodyText"/>
        <w:spacing w:line="276" w:lineRule="auto" w:before="38"/>
        <w:ind w:left="993" w:right="736" w:hanging="243"/>
        <w:rPr>
          <w:rFonts w:ascii="Consolas"/>
        </w:rPr>
      </w:pPr>
      <w:r>
        <w:rPr>
          <w:rFonts w:ascii="Consolas"/>
        </w:rPr>
        <w:t>&lt;kpi uniqueName="Growth in Customer Base" caption="Growth in Customer Base" displayFolder="Customer Perspective\Expand Customer Base" measureGroup="Internet Sales" value="[Measures].[Growth in Customer Base]" goal="[Measures].[Growth in Customer Base Goal]" status="[Measures].[Growth in Customer Base Status]" trend="[Measures].[Growth in Customer Base Trend]"/&gt;</w:t>
      </w:r>
    </w:p>
    <w:p>
      <w:pPr>
        <w:pStyle w:val="BodyText"/>
        <w:spacing w:line="276" w:lineRule="auto" w:before="1"/>
        <w:ind w:left="993" w:right="990" w:hanging="243"/>
        <w:rPr>
          <w:rFonts w:ascii="Consolas"/>
        </w:rPr>
      </w:pPr>
      <w:r>
        <w:rPr>
          <w:rFonts w:ascii="Consolas"/>
        </w:rPr>
        <w:t>&lt;kpi uniqueName="Net Income" caption="Net Income" displayFolder="Financial Perspective\Maintain Overall Margins" measureGroup="Financial Reporting" value="[Measures].[Net Income</w:t>
      </w:r>
      <w:r>
        <w:rPr>
          <w:rFonts w:ascii="Consolas"/>
          <w:spacing w:val="-49"/>
        </w:rPr>
        <w:t> </w:t>
      </w:r>
      <w:r>
        <w:rPr>
          <w:rFonts w:ascii="Consolas"/>
        </w:rPr>
        <w:t>Value]"</w:t>
      </w:r>
    </w:p>
    <w:p>
      <w:pPr>
        <w:pStyle w:val="BodyText"/>
        <w:spacing w:line="278" w:lineRule="auto"/>
        <w:ind w:left="993"/>
        <w:rPr>
          <w:rFonts w:ascii="Consolas"/>
        </w:rPr>
      </w:pPr>
      <w:r>
        <w:rPr>
          <w:rFonts w:ascii="Consolas"/>
        </w:rPr>
        <w:t>goal="[Measures].[Net Income Goal]" status="[Measures].[Net Income Status]" trend="[Measures].[Net Income Trend]"/&gt;</w:t>
      </w:r>
    </w:p>
    <w:p>
      <w:pPr>
        <w:pStyle w:val="BodyText"/>
        <w:spacing w:line="276" w:lineRule="auto"/>
        <w:ind w:left="993" w:right="1305" w:hanging="243"/>
        <w:rPr>
          <w:rFonts w:ascii="Consolas"/>
        </w:rPr>
      </w:pPr>
      <w:r>
        <w:rPr>
          <w:rFonts w:ascii="Consolas"/>
        </w:rPr>
        <w:t>&lt;kpi uniqueName="Operating Profit" caption="Operating Profit" displayFolder="Financial Perspective\Maintain Overall Margins" measureGroup="Financial Reporting" parent="Net Income" value="[Measures].[Operating Profit Value]" goal="[Measures].[Operating Profit Goal]" status="[Measures].[Operating Profit Status]" trend="[Measures].[Operating Profit Trend]"/&gt;</w:t>
      </w:r>
    </w:p>
    <w:p>
      <w:pPr>
        <w:pStyle w:val="BodyText"/>
        <w:spacing w:line="253" w:lineRule="exact"/>
        <w:ind w:left="508"/>
        <w:rPr>
          <w:rFonts w:ascii="Consolas" w:hAnsi="Consolas"/>
        </w:rPr>
      </w:pPr>
      <w:r>
        <w:rPr>
          <w:rFonts w:ascii="Consolas" w:hAnsi="Consolas"/>
          <w:w w:val="100"/>
        </w:rPr>
        <w: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count </w:t>
            </w:r>
            <w:r>
              <w:rPr>
                <w:sz w:val="22"/>
              </w:rPr>
              <w:t>(KPI Count)</w:t>
            </w:r>
          </w:p>
        </w:tc>
        <w:tc>
          <w:tcPr>
            <w:tcW w:w="8250" w:type="dxa"/>
          </w:tcPr>
          <w:p>
            <w:pPr>
              <w:pStyle w:val="TableParagraph"/>
              <w:rPr>
                <w:sz w:val="22"/>
              </w:rPr>
            </w:pPr>
            <w:r>
              <w:rPr>
                <w:sz w:val="22"/>
              </w:rPr>
              <w:t>Specifies the number of KPIs stored in the PivotCache.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ind w:left="220" w:right="749"/>
      </w:pPr>
      <w:r>
        <w:rPr/>
        <w:t>[</w:t>
      </w:r>
      <w:r>
        <w:rPr>
          <w:i/>
        </w:rPr>
        <w:t>Note</w:t>
      </w:r>
      <w:r>
        <w:rPr/>
        <w:t>: The W3C XML Schema definition of this element’s content model (</w:t>
      </w:r>
      <w:r>
        <w:rPr>
          <w:color w:val="5F5F5F"/>
          <w:u w:val="single" w:color="5F5F5F"/>
        </w:rPr>
        <w:t>CT_PCDKPIs</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49 location (PivotTable Location" w:id="896"/>
      <w:bookmarkEnd w:id="896"/>
      <w:r>
        <w:rPr/>
      </w:r>
      <w:bookmarkStart w:name="_bookmark297" w:id="897"/>
      <w:bookmarkEnd w:id="897"/>
      <w:r>
        <w:rPr/>
      </w:r>
      <w:bookmarkStart w:name="_bookmark297" w:id="898"/>
      <w:bookmarkEnd w:id="898"/>
      <w:r>
        <w:rPr>
          <w:color w:val="4F81BC"/>
        </w:rPr>
        <w:t>loca</w:t>
      </w:r>
      <w:r>
        <w:rPr>
          <w:color w:val="4F81BC"/>
        </w:rPr>
        <w:t>tion (PivotTable</w:t>
      </w:r>
      <w:r>
        <w:rPr>
          <w:color w:val="4F81BC"/>
          <w:spacing w:val="-1"/>
        </w:rPr>
        <w:t> </w:t>
      </w:r>
      <w:r>
        <w:rPr>
          <w:color w:val="4F81BC"/>
        </w:rPr>
        <w:t>Location)</w:t>
      </w:r>
    </w:p>
    <w:p>
      <w:pPr>
        <w:pStyle w:val="BodyText"/>
        <w:spacing w:line="456" w:lineRule="auto" w:before="124"/>
        <w:ind w:left="220" w:right="5850"/>
      </w:pPr>
      <w:r>
        <w:rPr/>
        <w:t>Represents location information for the PivotTable. [</w:t>
      </w:r>
      <w:r>
        <w:rPr>
          <w:i/>
        </w:rPr>
        <w:t>Example</w:t>
      </w:r>
      <w:r>
        <w:rPr/>
        <w:t>:</w:t>
      </w:r>
    </w:p>
    <w:p>
      <w:pPr>
        <w:pStyle w:val="BodyText"/>
        <w:spacing w:line="276" w:lineRule="auto"/>
        <w:ind w:left="750" w:hanging="243"/>
        <w:rPr>
          <w:rFonts w:ascii="Consolas"/>
        </w:rPr>
      </w:pPr>
      <w:r>
        <w:rPr>
          <w:rFonts w:ascii="Consolas"/>
        </w:rPr>
        <w:t>&lt;location ref="B6:G13" firstHeaderRow="1" firstDataRow="4" firstDataCol="1" rowPageCount="3" colPageCount="1"/&gt;</w:t>
      </w:r>
    </w:p>
    <w:p>
      <w:pPr>
        <w:spacing w:before="197"/>
        <w:ind w:left="220" w:right="0" w:firstLine="0"/>
        <w:jc w:val="left"/>
        <w:rPr>
          <w:sz w:val="22"/>
        </w:rPr>
      </w:pPr>
      <w:r>
        <w:rPr>
          <w:i/>
          <w:sz w:val="22"/>
        </w:rPr>
        <w:t>end example</w:t>
      </w:r>
      <w:r>
        <w:rPr>
          <w:sz w:val="22"/>
        </w:rPr>
        <w:t>]</w:t>
      </w:r>
    </w:p>
    <w:p>
      <w:pPr>
        <w:spacing w:after="0"/>
        <w:jc w:val="left"/>
        <w:rPr>
          <w:sz w:val="22"/>
        </w:rPr>
        <w:sectPr>
          <w:footerReference w:type="even" r:id="rId120"/>
          <w:footerReference w:type="default" r:id="rId121"/>
          <w:pgSz w:w="12240" w:h="15840"/>
          <w:pgMar w:footer="746" w:header="761" w:top="1340" w:bottom="940" w:left="860" w:right="700"/>
          <w:pgNumType w:start="187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line="256" w:lineRule="exact" w:before="42"/>
              <w:rPr>
                <w:rFonts w:ascii="Cambria"/>
                <w:sz w:val="22"/>
              </w:rPr>
            </w:pPr>
            <w:r>
              <w:rPr>
                <w:rFonts w:ascii="Cambria"/>
                <w:sz w:val="22"/>
              </w:rPr>
              <w:t>colPageCount</w:t>
            </w:r>
          </w:p>
          <w:p>
            <w:pPr>
              <w:pStyle w:val="TableParagraph"/>
              <w:spacing w:line="267" w:lineRule="exact" w:before="0"/>
              <w:rPr>
                <w:sz w:val="22"/>
              </w:rPr>
            </w:pPr>
            <w:r>
              <w:rPr>
                <w:sz w:val="22"/>
              </w:rPr>
              <w:t>(Columns Per Page)</w:t>
            </w:r>
          </w:p>
        </w:tc>
        <w:tc>
          <w:tcPr>
            <w:tcW w:w="8250" w:type="dxa"/>
          </w:tcPr>
          <w:p>
            <w:pPr>
              <w:pStyle w:val="TableParagraph"/>
              <w:ind w:right="282"/>
              <w:rPr>
                <w:sz w:val="22"/>
              </w:rPr>
            </w:pPr>
            <w:r>
              <w:rPr>
                <w:sz w:val="22"/>
              </w:rPr>
              <w:t>Specifies the number of columns per page for this PivotTable that the filter area will occupy. By default there is a single column of filter fields per page and the fields occupy as many rows as there are fields.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30" w:hRule="atLeast"/>
        </w:trPr>
        <w:tc>
          <w:tcPr>
            <w:tcW w:w="2062" w:type="dxa"/>
          </w:tcPr>
          <w:p>
            <w:pPr>
              <w:pStyle w:val="TableParagraph"/>
              <w:ind w:right="291"/>
              <w:rPr>
                <w:sz w:val="22"/>
              </w:rPr>
            </w:pPr>
            <w:r>
              <w:rPr>
                <w:rFonts w:ascii="Cambria"/>
                <w:sz w:val="22"/>
              </w:rPr>
              <w:t>firstDataCol </w:t>
            </w:r>
            <w:r>
              <w:rPr>
                <w:sz w:val="22"/>
              </w:rPr>
              <w:t>(First Data Column)</w:t>
            </w:r>
          </w:p>
        </w:tc>
        <w:tc>
          <w:tcPr>
            <w:tcW w:w="8250" w:type="dxa"/>
          </w:tcPr>
          <w:p>
            <w:pPr>
              <w:pStyle w:val="TableParagraph"/>
              <w:rPr>
                <w:rFonts w:ascii="Consolas"/>
                <w:sz w:val="20"/>
              </w:rPr>
            </w:pPr>
            <w:r>
              <w:rPr>
                <w:sz w:val="22"/>
              </w:rPr>
              <w:t>Specifies the first column of the PivotTable data, relative to the top left cell in the </w:t>
            </w:r>
            <w:r>
              <w:rPr>
                <w:rFonts w:ascii="Consolas"/>
                <w:sz w:val="20"/>
              </w:rPr>
              <w:t>ref</w:t>
            </w:r>
          </w:p>
          <w:p>
            <w:pPr>
              <w:pStyle w:val="TableParagraph"/>
              <w:spacing w:before="0"/>
              <w:rPr>
                <w:sz w:val="22"/>
              </w:rPr>
            </w:pPr>
            <w:r>
              <w:rPr>
                <w:sz w:val="22"/>
              </w:rPr>
              <w:t>value.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9" w:hRule="atLeast"/>
        </w:trPr>
        <w:tc>
          <w:tcPr>
            <w:tcW w:w="2062" w:type="dxa"/>
          </w:tcPr>
          <w:p>
            <w:pPr>
              <w:pStyle w:val="TableParagraph"/>
              <w:spacing w:line="237" w:lineRule="auto" w:before="45"/>
              <w:ind w:right="439"/>
              <w:rPr>
                <w:sz w:val="22"/>
              </w:rPr>
            </w:pPr>
            <w:r>
              <w:rPr>
                <w:rFonts w:ascii="Cambria"/>
                <w:sz w:val="22"/>
              </w:rPr>
              <w:t>firstDataRow </w:t>
            </w:r>
            <w:r>
              <w:rPr>
                <w:sz w:val="22"/>
              </w:rPr>
              <w:t>(PivotTable Data First Row)</w:t>
            </w:r>
          </w:p>
        </w:tc>
        <w:tc>
          <w:tcPr>
            <w:tcW w:w="8250" w:type="dxa"/>
          </w:tcPr>
          <w:p>
            <w:pPr>
              <w:pStyle w:val="TableParagraph"/>
              <w:rPr>
                <w:sz w:val="22"/>
              </w:rPr>
            </w:pPr>
            <w:r>
              <w:rPr>
                <w:sz w:val="22"/>
              </w:rPr>
              <w:t>Specifies the first row of the PivotTable data, relative to the top left cell in the </w:t>
            </w:r>
            <w:r>
              <w:rPr>
                <w:rFonts w:ascii="Consolas"/>
                <w:sz w:val="20"/>
              </w:rPr>
              <w:t>ref</w:t>
            </w:r>
            <w:r>
              <w:rPr>
                <w:rFonts w:ascii="Consolas"/>
                <w:spacing w:val="-80"/>
                <w:sz w:val="20"/>
              </w:rPr>
              <w:t> </w:t>
            </w:r>
            <w:r>
              <w:rPr>
                <w:sz w:val="22"/>
              </w:rPr>
              <w:t>value.</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firstHeaderRow</w:t>
            </w:r>
          </w:p>
          <w:p>
            <w:pPr>
              <w:pStyle w:val="TableParagraph"/>
              <w:spacing w:line="268" w:lineRule="exact" w:before="0"/>
              <w:rPr>
                <w:sz w:val="22"/>
              </w:rPr>
            </w:pPr>
            <w:r>
              <w:rPr>
                <w:sz w:val="22"/>
              </w:rPr>
              <w:t>(First Header Row)</w:t>
            </w:r>
          </w:p>
        </w:tc>
        <w:tc>
          <w:tcPr>
            <w:tcW w:w="8250" w:type="dxa"/>
          </w:tcPr>
          <w:p>
            <w:pPr>
              <w:pStyle w:val="TableParagraph"/>
              <w:rPr>
                <w:rFonts w:ascii="Consolas"/>
                <w:sz w:val="20"/>
              </w:rPr>
            </w:pPr>
            <w:r>
              <w:rPr>
                <w:sz w:val="22"/>
              </w:rPr>
              <w:t>Specifies the first row of the PivotTable header, relative to the top left cell in the </w:t>
            </w:r>
            <w:r>
              <w:rPr>
                <w:rFonts w:ascii="Consolas"/>
                <w:sz w:val="20"/>
              </w:rPr>
              <w:t>ref</w:t>
            </w:r>
          </w:p>
          <w:p>
            <w:pPr>
              <w:pStyle w:val="TableParagraph"/>
              <w:spacing w:before="0"/>
              <w:rPr>
                <w:sz w:val="22"/>
              </w:rPr>
            </w:pPr>
            <w:r>
              <w:rPr>
                <w:sz w:val="22"/>
              </w:rPr>
              <w:t>value.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890" w:hRule="atLeast"/>
        </w:trPr>
        <w:tc>
          <w:tcPr>
            <w:tcW w:w="2062" w:type="dxa"/>
          </w:tcPr>
          <w:p>
            <w:pPr>
              <w:pStyle w:val="TableParagraph"/>
              <w:ind w:left="0" w:right="574"/>
              <w:jc w:val="right"/>
              <w:rPr>
                <w:sz w:val="22"/>
              </w:rPr>
            </w:pPr>
            <w:r>
              <w:rPr>
                <w:rFonts w:ascii="Cambria"/>
                <w:sz w:val="22"/>
              </w:rPr>
              <w:t>ref </w:t>
            </w:r>
            <w:r>
              <w:rPr>
                <w:sz w:val="22"/>
              </w:rPr>
              <w:t>(Reference)</w:t>
            </w:r>
          </w:p>
        </w:tc>
        <w:tc>
          <w:tcPr>
            <w:tcW w:w="8250" w:type="dxa"/>
          </w:tcPr>
          <w:p>
            <w:pPr>
              <w:pStyle w:val="TableParagraph"/>
              <w:rPr>
                <w:sz w:val="22"/>
              </w:rPr>
            </w:pPr>
            <w:r>
              <w:rPr>
                <w:sz w:val="22"/>
              </w:rPr>
              <w:t>Specifies the first row of the PivotTable.</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699" w:hRule="atLeast"/>
        </w:trPr>
        <w:tc>
          <w:tcPr>
            <w:tcW w:w="2062" w:type="dxa"/>
          </w:tcPr>
          <w:p>
            <w:pPr>
              <w:pStyle w:val="TableParagraph"/>
              <w:spacing w:line="237" w:lineRule="auto" w:before="47"/>
              <w:ind w:right="547"/>
              <w:jc w:val="both"/>
              <w:rPr>
                <w:sz w:val="22"/>
              </w:rPr>
            </w:pPr>
            <w:r>
              <w:rPr>
                <w:rFonts w:ascii="Cambria"/>
                <w:sz w:val="22"/>
              </w:rPr>
              <w:t>rowPageCount </w:t>
            </w:r>
            <w:r>
              <w:rPr>
                <w:sz w:val="22"/>
              </w:rPr>
              <w:t>(Rows Per Page Count)</w:t>
            </w:r>
          </w:p>
        </w:tc>
        <w:tc>
          <w:tcPr>
            <w:tcW w:w="8250" w:type="dxa"/>
          </w:tcPr>
          <w:p>
            <w:pPr>
              <w:pStyle w:val="TableParagraph"/>
              <w:spacing w:before="42"/>
              <w:ind w:right="214"/>
              <w:jc w:val="both"/>
              <w:rPr>
                <w:sz w:val="22"/>
              </w:rPr>
            </w:pPr>
            <w:r>
              <w:rPr>
                <w:sz w:val="22"/>
              </w:rPr>
              <w:t>Specifies the number of rows per page for this PivotTable that the filter area will occupy. By default there is a single column of filter fields per page and the fields occupy as many rows as there are fields.</w:t>
            </w:r>
          </w:p>
          <w:p>
            <w:pPr>
              <w:pStyle w:val="TableParagraph"/>
              <w:spacing w:before="11"/>
              <w:ind w:left="0"/>
              <w:rPr>
                <w:sz w:val="21"/>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722"/>
      </w:pPr>
      <w:r>
        <w:rPr/>
        <w:t>[</w:t>
      </w:r>
      <w:r>
        <w:rPr>
          <w:i/>
        </w:rPr>
        <w:t>Note</w:t>
      </w:r>
      <w:r>
        <w:rPr/>
        <w:t>: The W3C XML Schema definition of this element’s content model (</w:t>
      </w:r>
      <w:r>
        <w:rPr>
          <w:color w:val="5F5F5F"/>
          <w:u w:val="single" w:color="5F5F5F"/>
        </w:rPr>
        <w:t>CT_Location</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0 m (No Value)" w:id="899"/>
      <w:bookmarkEnd w:id="899"/>
      <w:r>
        <w:rPr/>
      </w:r>
      <w:bookmarkStart w:name="_bookmark298" w:id="900"/>
      <w:bookmarkEnd w:id="900"/>
      <w:r>
        <w:rPr/>
      </w:r>
      <w:bookmarkStart w:name="_bookmark298" w:id="901"/>
      <w:bookmarkEnd w:id="901"/>
      <w:r>
        <w:rPr>
          <w:color w:val="4F81BC"/>
        </w:rPr>
        <w:t>m</w:t>
      </w:r>
      <w:r>
        <w:rPr>
          <w:color w:val="4F81BC"/>
        </w:rPr>
        <w:t> (No</w:t>
      </w:r>
      <w:r>
        <w:rPr>
          <w:color w:val="4F81BC"/>
          <w:spacing w:val="-2"/>
        </w:rPr>
        <w:t> </w:t>
      </w:r>
      <w:r>
        <w:rPr>
          <w:color w:val="4F81BC"/>
        </w:rPr>
        <w:t>Value)</w:t>
      </w:r>
    </w:p>
    <w:p>
      <w:pPr>
        <w:pStyle w:val="BodyText"/>
        <w:spacing w:line="456" w:lineRule="auto" w:before="121"/>
        <w:ind w:left="220" w:right="6679"/>
      </w:pPr>
      <w:r>
        <w:rPr/>
        <w:t>Represents a value that was not specified. [</w:t>
      </w:r>
      <w:r>
        <w:rPr>
          <w:i/>
        </w:rPr>
        <w:t>Example</w:t>
      </w:r>
      <w:r>
        <w:rPr/>
        <w:t>:</w:t>
      </w:r>
    </w:p>
    <w:p>
      <w:pPr>
        <w:pStyle w:val="BodyText"/>
        <w:spacing w:line="255" w:lineRule="exact"/>
        <w:ind w:left="508"/>
        <w:rPr>
          <w:rFonts w:ascii="Consolas"/>
        </w:rPr>
      </w:pPr>
      <w:r>
        <w:rPr>
          <w:rFonts w:ascii="Consolas"/>
        </w:rPr>
        <w:t>&lt;sharedItems containsString="0" containsBlank="1" count="1"&gt;</w:t>
      </w:r>
    </w:p>
    <w:p>
      <w:pPr>
        <w:pStyle w:val="BodyText"/>
        <w:spacing w:before="38"/>
        <w:ind w:left="750"/>
        <w:rPr>
          <w:rFonts w:ascii="Consolas"/>
        </w:rPr>
      </w:pPr>
      <w:r>
        <w:rPr>
          <w:rFonts w:ascii="Consolas"/>
        </w:rPr>
        <w:t>&lt;m/&gt;</w:t>
      </w:r>
    </w:p>
    <w:p>
      <w:pPr>
        <w:pStyle w:val="BodyText"/>
        <w:spacing w:before="40"/>
        <w:ind w:left="508"/>
        <w:rPr>
          <w:rFonts w:ascii="Consolas"/>
        </w:rPr>
      </w:pPr>
      <w:r>
        <w:rPr>
          <w:rFonts w:ascii="Consolas"/>
        </w:rPr>
        <w:t>&lt;/sharedItems&gt;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rPr>
                <w:sz w:val="22"/>
              </w:rPr>
            </w:pPr>
            <w:r>
              <w:rPr>
                <w:rFonts w:ascii="Cambria"/>
                <w:sz w:val="22"/>
              </w:rPr>
              <w:t>b </w:t>
            </w:r>
            <w:r>
              <w:rPr>
                <w:sz w:val="22"/>
              </w:rPr>
              <w:t>(Bold)</w:t>
            </w:r>
          </w:p>
        </w:tc>
        <w:tc>
          <w:tcPr>
            <w:tcW w:w="8250" w:type="dxa"/>
          </w:tcPr>
          <w:p>
            <w:pPr>
              <w:pStyle w:val="TableParagraph"/>
              <w:ind w:right="363"/>
              <w:rPr>
                <w:sz w:val="22"/>
              </w:rPr>
            </w:pPr>
            <w:r>
              <w:rPr>
                <w:sz w:val="22"/>
              </w:rPr>
              <w:t>Specifies a boolean value that indicates whether the value contains bold formatting on the OLAP server. This attribute applies to OLAP-based PivotTables only.</w:t>
            </w:r>
          </w:p>
          <w:p>
            <w:pPr>
              <w:pStyle w:val="TableParagraph"/>
              <w:spacing w:line="530" w:lineRule="atLeast" w:before="7"/>
              <w:ind w:right="690"/>
              <w:rPr>
                <w:rFonts w:ascii="Cambria"/>
                <w:sz w:val="22"/>
              </w:rPr>
            </w:pPr>
            <w:r>
              <w:rPr>
                <w:sz w:val="22"/>
              </w:rPr>
              <w:t>A value of </w:t>
            </w:r>
            <w:r>
              <w:rPr>
                <w:rFonts w:ascii="Consolas"/>
                <w:sz w:val="20"/>
              </w:rPr>
              <w:t>1 </w:t>
            </w:r>
            <w:r>
              <w:rPr>
                <w:sz w:val="22"/>
              </w:rPr>
              <w:t>or </w:t>
            </w:r>
            <w:r>
              <w:rPr>
                <w:rFonts w:ascii="Consolas"/>
                <w:sz w:val="20"/>
              </w:rPr>
              <w:t>true </w:t>
            </w:r>
            <w:r>
              <w:rPr>
                <w:sz w:val="22"/>
              </w:rPr>
              <w:t>indicates this value contains bold formatting on the server. The possible values for this attribute are defined by the W3C XML Schema </w:t>
            </w:r>
            <w:r>
              <w:rPr>
                <w:rFonts w:ascii="Cambria"/>
                <w:sz w:val="22"/>
              </w:rPr>
              <w:t>boolean</w:t>
            </w:r>
          </w:p>
          <w:p>
            <w:pPr>
              <w:pStyle w:val="TableParagraph"/>
              <w:spacing w:before="6"/>
              <w:rPr>
                <w:sz w:val="22"/>
              </w:rPr>
            </w:pPr>
            <w:r>
              <w:rPr>
                <w:sz w:val="22"/>
              </w:rPr>
              <w:t>datatype.</w:t>
            </w:r>
          </w:p>
        </w:tc>
      </w:tr>
      <w:tr>
        <w:trPr>
          <w:trHeight w:val="1965" w:hRule="atLeast"/>
        </w:trPr>
        <w:tc>
          <w:tcPr>
            <w:tcW w:w="2062" w:type="dxa"/>
          </w:tcPr>
          <w:p>
            <w:pPr>
              <w:pStyle w:val="TableParagraph"/>
              <w:ind w:right="527"/>
              <w:rPr>
                <w:sz w:val="22"/>
              </w:rPr>
            </w:pPr>
            <w:r>
              <w:rPr>
                <w:rFonts w:ascii="Cambria"/>
                <w:sz w:val="22"/>
              </w:rPr>
              <w:t>bc </w:t>
            </w:r>
            <w:r>
              <w:rPr>
                <w:sz w:val="22"/>
              </w:rPr>
              <w:t>(background Color)</w:t>
            </w:r>
          </w:p>
        </w:tc>
        <w:tc>
          <w:tcPr>
            <w:tcW w:w="8250" w:type="dxa"/>
          </w:tcPr>
          <w:p>
            <w:pPr>
              <w:pStyle w:val="TableParagraph"/>
              <w:ind w:right="243"/>
              <w:jc w:val="both"/>
              <w:rPr>
                <w:sz w:val="22"/>
              </w:rPr>
            </w:pPr>
            <w:r>
              <w:rPr>
                <w:sz w:val="22"/>
              </w:rPr>
              <w:t>Specifies the background color for this value that was provided by the OLAP server. This attribute applies to OLAP-based PivotTables only. The color is specified as a HEX value in RGB space.</w:t>
            </w:r>
          </w:p>
          <w:p>
            <w:pPr>
              <w:pStyle w:val="TableParagraph"/>
              <w:spacing w:before="0"/>
              <w:ind w:left="0"/>
              <w:rPr>
                <w:rFonts w:ascii="Times New Roman"/>
                <w:sz w:val="22"/>
              </w:rPr>
            </w:pPr>
          </w:p>
          <w:p>
            <w:pPr>
              <w:pStyle w:val="TableParagraph"/>
              <w:spacing w:before="9"/>
              <w:ind w:left="0"/>
              <w:rPr>
                <w:rFonts w:ascii="Times New Roman"/>
                <w:sz w:val="24"/>
              </w:rPr>
            </w:pPr>
          </w:p>
          <w:p>
            <w:pPr>
              <w:pStyle w:val="TableParagraph"/>
              <w:spacing w:before="1"/>
              <w:ind w:right="204"/>
              <w:jc w:val="both"/>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161" w:hRule="atLeast"/>
        </w:trPr>
        <w:tc>
          <w:tcPr>
            <w:tcW w:w="2062" w:type="dxa"/>
          </w:tcPr>
          <w:p>
            <w:pPr>
              <w:pStyle w:val="TableParagraph"/>
              <w:spacing w:before="42"/>
              <w:rPr>
                <w:sz w:val="22"/>
              </w:rPr>
            </w:pPr>
            <w:r>
              <w:rPr>
                <w:rFonts w:ascii="Cambria"/>
                <w:sz w:val="22"/>
              </w:rPr>
              <w:t>c </w:t>
            </w:r>
            <w:r>
              <w:rPr>
                <w:sz w:val="22"/>
              </w:rPr>
              <w:t>(Caption)</w:t>
            </w:r>
          </w:p>
        </w:tc>
        <w:tc>
          <w:tcPr>
            <w:tcW w:w="8250" w:type="dxa"/>
          </w:tcPr>
          <w:p>
            <w:pPr>
              <w:pStyle w:val="TableParagraph"/>
              <w:spacing w:before="42"/>
              <w:rPr>
                <w:sz w:val="22"/>
              </w:rPr>
            </w:pPr>
            <w:r>
              <w:rPr>
                <w:sz w:val="22"/>
              </w:rPr>
              <w:t>Specifies the caption for this item.</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80"/>
              <w:rPr>
                <w:sz w:val="22"/>
              </w:rPr>
            </w:pPr>
            <w:r>
              <w:rPr>
                <w:rFonts w:ascii="Cambria"/>
                <w:sz w:val="22"/>
              </w:rPr>
              <w:t>cp </w:t>
            </w:r>
            <w:r>
              <w:rPr>
                <w:sz w:val="22"/>
              </w:rPr>
              <w:t>(Member Property Count)</w:t>
            </w:r>
          </w:p>
        </w:tc>
        <w:tc>
          <w:tcPr>
            <w:tcW w:w="8250" w:type="dxa"/>
          </w:tcPr>
          <w:p>
            <w:pPr>
              <w:pStyle w:val="TableParagraph"/>
              <w:rPr>
                <w:sz w:val="22"/>
              </w:rPr>
            </w:pPr>
            <w:r>
              <w:rPr>
                <w:sz w:val="22"/>
              </w:rPr>
              <w:t>Specifies the number of member property values for this item.</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Pr>
          <w:p>
            <w:pPr>
              <w:pStyle w:val="TableParagraph"/>
              <w:rPr>
                <w:sz w:val="22"/>
              </w:rPr>
            </w:pPr>
            <w:r>
              <w:rPr>
                <w:rFonts w:ascii="Cambria"/>
                <w:sz w:val="22"/>
              </w:rPr>
              <w:t>f </w:t>
            </w:r>
            <w:r>
              <w:rPr>
                <w:sz w:val="22"/>
              </w:rPr>
              <w:t>(Calculated Item)</w:t>
            </w:r>
          </w:p>
        </w:tc>
        <w:tc>
          <w:tcPr>
            <w:tcW w:w="8250" w:type="dxa"/>
          </w:tcPr>
          <w:p>
            <w:pPr>
              <w:pStyle w:val="TableParagraph"/>
              <w:spacing w:line="480" w:lineRule="auto"/>
              <w:ind w:right="1060"/>
              <w:rPr>
                <w:sz w:val="22"/>
              </w:rPr>
            </w:pPr>
            <w:r>
              <w:rPr>
                <w:sz w:val="22"/>
              </w:rPr>
              <w:t>Specifies a boolean value that indicates whether this is a calculated item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item is a calculated value.</w:t>
            </w:r>
          </w:p>
          <w:p>
            <w:pPr>
              <w:pStyle w:val="TableParagraph"/>
              <w:spacing w:line="268"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not calculated.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591"/>
              <w:rPr>
                <w:sz w:val="22"/>
              </w:rPr>
            </w:pPr>
            <w:r>
              <w:rPr>
                <w:rFonts w:ascii="Cambria"/>
                <w:sz w:val="22"/>
              </w:rPr>
              <w:t>fc </w:t>
            </w:r>
            <w:r>
              <w:rPr>
                <w:sz w:val="22"/>
              </w:rPr>
              <w:t>(Foreground Color)</w:t>
            </w:r>
          </w:p>
        </w:tc>
        <w:tc>
          <w:tcPr>
            <w:tcW w:w="8250" w:type="dxa"/>
          </w:tcPr>
          <w:p>
            <w:pPr>
              <w:pStyle w:val="TableParagraph"/>
              <w:ind w:right="228"/>
              <w:rPr>
                <w:sz w:val="22"/>
              </w:rPr>
            </w:pPr>
            <w:r>
              <w:rPr>
                <w:sz w:val="22"/>
              </w:rPr>
              <w:t>Specifies the foreground color for this value that was provided by the OLAP server. This attribute applies to OLAP-based PivotTables only. The color is specified as a HEX value in RGB space.</w:t>
            </w:r>
          </w:p>
          <w:p>
            <w:pPr>
              <w:pStyle w:val="TableParagraph"/>
              <w:spacing w:before="2"/>
              <w:ind w:left="0"/>
              <w:rPr>
                <w:rFonts w:ascii="Times New Roman"/>
                <w:sz w:val="23"/>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965" w:hRule="atLeast"/>
        </w:trPr>
        <w:tc>
          <w:tcPr>
            <w:tcW w:w="2062" w:type="dxa"/>
          </w:tcPr>
          <w:p>
            <w:pPr>
              <w:pStyle w:val="TableParagraph"/>
              <w:rPr>
                <w:sz w:val="22"/>
              </w:rPr>
            </w:pPr>
            <w:r>
              <w:rPr>
                <w:rFonts w:ascii="Cambria"/>
                <w:sz w:val="22"/>
              </w:rPr>
              <w:t>i </w:t>
            </w:r>
            <w:r>
              <w:rPr>
                <w:sz w:val="22"/>
              </w:rPr>
              <w:t>(Italic)</w:t>
            </w:r>
          </w:p>
        </w:tc>
        <w:tc>
          <w:tcPr>
            <w:tcW w:w="8250" w:type="dxa"/>
          </w:tcPr>
          <w:p>
            <w:pPr>
              <w:pStyle w:val="TableParagraph"/>
              <w:ind w:right="337"/>
              <w:rPr>
                <w:sz w:val="22"/>
              </w:rPr>
            </w:pPr>
            <w:r>
              <w:rPr>
                <w:sz w:val="22"/>
              </w:rPr>
              <w:t>Specifies a boolean value that indicates whether the value contains italic formatting on the OLAP server. This attribute applies to OLAP-based PivotTables only.</w:t>
            </w:r>
          </w:p>
          <w:p>
            <w:pPr>
              <w:pStyle w:val="TableParagraph"/>
              <w:spacing w:line="530" w:lineRule="atLeast" w:before="8"/>
              <w:ind w:right="555"/>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value contains underline formatting on the server.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357" w:hRule="atLeast"/>
        </w:trPr>
        <w:tc>
          <w:tcPr>
            <w:tcW w:w="2062" w:type="dxa"/>
          </w:tcPr>
          <w:p>
            <w:pPr>
              <w:pStyle w:val="TableParagraph"/>
              <w:spacing w:before="42"/>
              <w:rPr>
                <w:sz w:val="22"/>
              </w:rPr>
            </w:pPr>
            <w:r>
              <w:rPr>
                <w:rFonts w:ascii="Cambria"/>
                <w:sz w:val="22"/>
              </w:rPr>
              <w:t>in </w:t>
            </w:r>
            <w:r>
              <w:rPr>
                <w:sz w:val="22"/>
              </w:rPr>
              <w:t>(Format Index)</w:t>
            </w:r>
          </w:p>
        </w:tc>
        <w:tc>
          <w:tcPr>
            <w:tcW w:w="8250" w:type="dxa"/>
          </w:tcPr>
          <w:p>
            <w:pPr>
              <w:pStyle w:val="TableParagraph"/>
              <w:spacing w:before="42"/>
              <w:rPr>
                <w:sz w:val="22"/>
              </w:rPr>
            </w:pPr>
            <w:r>
              <w:rPr>
                <w:sz w:val="22"/>
              </w:rPr>
              <w:t>Specifies the index to the OLAP </w:t>
            </w:r>
            <w:r>
              <w:rPr>
                <w:rFonts w:ascii="Cambria"/>
                <w:sz w:val="22"/>
              </w:rPr>
              <w:t>serverformat </w:t>
            </w:r>
            <w:r>
              <w:rPr>
                <w:sz w:val="22"/>
              </w:rPr>
              <w:t>element where the format string for this</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entry is stored.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7" w:hRule="atLeast"/>
        </w:trPr>
        <w:tc>
          <w:tcPr>
            <w:tcW w:w="2062" w:type="dxa"/>
          </w:tcPr>
          <w:p>
            <w:pPr>
              <w:pStyle w:val="TableParagraph"/>
              <w:rPr>
                <w:sz w:val="22"/>
              </w:rPr>
            </w:pPr>
            <w:r>
              <w:rPr>
                <w:rFonts w:ascii="Cambria"/>
                <w:sz w:val="22"/>
              </w:rPr>
              <w:t>st </w:t>
            </w:r>
            <w:r>
              <w:rPr>
                <w:sz w:val="22"/>
              </w:rPr>
              <w:t>(Strikethrough)</w:t>
            </w:r>
          </w:p>
        </w:tc>
        <w:tc>
          <w:tcPr>
            <w:tcW w:w="8250" w:type="dxa"/>
          </w:tcPr>
          <w:p>
            <w:pPr>
              <w:pStyle w:val="TableParagraph"/>
              <w:ind w:right="457"/>
              <w:rPr>
                <w:sz w:val="22"/>
              </w:rPr>
            </w:pPr>
            <w:r>
              <w:rPr>
                <w:sz w:val="22"/>
              </w:rPr>
              <w:t>Specifies a boolean value that indicates whether the value contains strikethrough formatting on the OLAP server. This attribute applies to OLAP-based PivotTables only.</w:t>
            </w:r>
          </w:p>
          <w:p>
            <w:pPr>
              <w:pStyle w:val="TableParagraph"/>
              <w:spacing w:line="530" w:lineRule="atLeast" w:before="7"/>
              <w:ind w:right="555"/>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value contains underline formatting on the server.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3040" w:hRule="atLeast"/>
        </w:trPr>
        <w:tc>
          <w:tcPr>
            <w:tcW w:w="2062" w:type="dxa"/>
          </w:tcPr>
          <w:p>
            <w:pPr>
              <w:pStyle w:val="TableParagraph"/>
              <w:rPr>
                <w:sz w:val="22"/>
              </w:rPr>
            </w:pPr>
            <w:r>
              <w:rPr>
                <w:rFonts w:ascii="Cambria"/>
                <w:sz w:val="22"/>
              </w:rPr>
              <w:t>u </w:t>
            </w:r>
            <w:r>
              <w:rPr>
                <w:sz w:val="22"/>
              </w:rPr>
              <w:t>(Unused Item)</w:t>
            </w:r>
          </w:p>
        </w:tc>
        <w:tc>
          <w:tcPr>
            <w:tcW w:w="8250" w:type="dxa"/>
          </w:tcPr>
          <w:p>
            <w:pPr>
              <w:pStyle w:val="TableParagraph"/>
              <w:ind w:right="305"/>
              <w:rPr>
                <w:sz w:val="22"/>
              </w:rPr>
            </w:pPr>
            <w:r>
              <w:rPr>
                <w:sz w:val="22"/>
              </w:rPr>
              <w:t>Specifies a boolean value that indicates whether this is an unused item. The application marks an item as unused when an item is deleted from the data source. The item and associated metadata are retained in the cache until the threshold for unused items specified in </w:t>
            </w:r>
            <w:r>
              <w:rPr>
                <w:rFonts w:ascii="Cambria"/>
                <w:sz w:val="22"/>
              </w:rPr>
              <w:t>missingItemsLimit </w:t>
            </w:r>
            <w:r>
              <w:rPr>
                <w:sz w:val="22"/>
              </w:rPr>
              <w:t>is reached.</w:t>
            </w:r>
          </w:p>
          <w:p>
            <w:pPr>
              <w:pStyle w:val="TableParagraph"/>
              <w:spacing w:before="3"/>
              <w:ind w:left="0"/>
              <w:rPr>
                <w:rFonts w:ascii="Times New Roman"/>
                <w:sz w:val="23"/>
              </w:rPr>
            </w:pPr>
          </w:p>
          <w:p>
            <w:pPr>
              <w:pStyle w:val="TableParagraph"/>
              <w:spacing w:line="480" w:lineRule="auto" w:before="0"/>
              <w:ind w:right="3692"/>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item is unused.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used.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rPr>
                <w:sz w:val="22"/>
              </w:rPr>
            </w:pPr>
            <w:r>
              <w:rPr>
                <w:rFonts w:ascii="Cambria"/>
                <w:sz w:val="22"/>
              </w:rPr>
              <w:t>un </w:t>
            </w:r>
            <w:r>
              <w:rPr>
                <w:sz w:val="22"/>
              </w:rPr>
              <w:t>(Underline)</w:t>
            </w:r>
          </w:p>
        </w:tc>
        <w:tc>
          <w:tcPr>
            <w:tcW w:w="8250" w:type="dxa"/>
          </w:tcPr>
          <w:p>
            <w:pPr>
              <w:pStyle w:val="TableParagraph"/>
              <w:ind w:right="183"/>
              <w:rPr>
                <w:sz w:val="22"/>
              </w:rPr>
            </w:pPr>
            <w:r>
              <w:rPr>
                <w:sz w:val="22"/>
              </w:rPr>
              <w:t>Specifies a boolean value that indicates whether the value contains underline formatting on the OLAP server. This attribute applies to OLAP-based PivotTables only.</w:t>
            </w:r>
          </w:p>
          <w:p>
            <w:pPr>
              <w:pStyle w:val="TableParagraph"/>
              <w:spacing w:line="538" w:lineRule="exact" w:before="46"/>
              <w:ind w:right="555"/>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value contains underline formatting on the server.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6"/>
        <w:ind w:left="220" w:right="805"/>
      </w:pPr>
      <w:r>
        <w:rPr/>
        <w:t>[</w:t>
      </w:r>
      <w:r>
        <w:rPr>
          <w:i/>
        </w:rPr>
        <w:t>Note</w:t>
      </w:r>
      <w:r>
        <w:rPr/>
        <w:t>: The W3C XML Schema definition of this element’s content model (</w:t>
      </w:r>
      <w:r>
        <w:rPr>
          <w:color w:val="5F5F5F"/>
          <w:u w:val="single" w:color="5F5F5F"/>
        </w:rPr>
        <w:t>CT_Missing</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1 map (OLAP Measure Group)" w:id="902"/>
      <w:bookmarkEnd w:id="902"/>
      <w:r>
        <w:rPr/>
      </w:r>
      <w:bookmarkStart w:name="_bookmark299" w:id="903"/>
      <w:bookmarkEnd w:id="903"/>
      <w:r>
        <w:rPr/>
      </w:r>
      <w:bookmarkStart w:name="_bookmark299" w:id="904"/>
      <w:bookmarkEnd w:id="904"/>
      <w:r>
        <w:rPr>
          <w:color w:val="4F81BC"/>
        </w:rPr>
        <w:t>map</w:t>
      </w:r>
      <w:r>
        <w:rPr>
          <w:color w:val="4F81BC"/>
        </w:rPr>
        <w:t> (OLAP Measure</w:t>
      </w:r>
      <w:r>
        <w:rPr>
          <w:color w:val="4F81BC"/>
          <w:spacing w:val="-1"/>
        </w:rPr>
        <w:t> </w:t>
      </w:r>
      <w:r>
        <w:rPr>
          <w:color w:val="4F81BC"/>
        </w:rPr>
        <w:t>Group)</w:t>
      </w:r>
    </w:p>
    <w:p>
      <w:pPr>
        <w:pStyle w:val="BodyText"/>
        <w:spacing w:line="456" w:lineRule="auto" w:before="121"/>
        <w:ind w:left="220" w:right="4734"/>
      </w:pPr>
      <w:r>
        <w:rPr/>
        <w:t>Represents a PivotTable OLAP measure group - Dimension map. [</w:t>
      </w:r>
      <w:r>
        <w:rPr>
          <w:i/>
        </w:rPr>
        <w:t>Example</w:t>
      </w:r>
      <w:r>
        <w:rPr/>
        <w:t>:</w:t>
      </w:r>
    </w:p>
    <w:p>
      <w:pPr>
        <w:pStyle w:val="BodyText"/>
        <w:spacing w:line="255" w:lineRule="exact"/>
        <w:ind w:left="508"/>
        <w:rPr>
          <w:rFonts w:ascii="Consolas"/>
        </w:rPr>
      </w:pPr>
      <w:r>
        <w:rPr>
          <w:rFonts w:ascii="Consolas"/>
        </w:rPr>
        <w:t>&lt;map measureGroup="0" dimension="2"/&gt;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56" w:lineRule="exact" w:before="42"/>
              <w:rPr>
                <w:rFonts w:ascii="Cambria"/>
                <w:sz w:val="22"/>
              </w:rPr>
            </w:pPr>
            <w:r>
              <w:rPr>
                <w:rFonts w:ascii="Cambria"/>
                <w:sz w:val="22"/>
              </w:rPr>
              <w:t>dimension</w:t>
            </w:r>
          </w:p>
          <w:p>
            <w:pPr>
              <w:pStyle w:val="TableParagraph"/>
              <w:spacing w:line="267" w:lineRule="exact" w:before="0"/>
              <w:rPr>
                <w:sz w:val="22"/>
              </w:rPr>
            </w:pPr>
            <w:r>
              <w:rPr>
                <w:sz w:val="22"/>
              </w:rPr>
              <w:t>(Dimension Id)</w:t>
            </w:r>
          </w:p>
        </w:tc>
        <w:tc>
          <w:tcPr>
            <w:tcW w:w="8250" w:type="dxa"/>
          </w:tcPr>
          <w:p>
            <w:pPr>
              <w:pStyle w:val="TableParagraph"/>
              <w:rPr>
                <w:sz w:val="22"/>
              </w:rPr>
            </w:pPr>
            <w:r>
              <w:rPr>
                <w:sz w:val="22"/>
              </w:rPr>
              <w:t>Specifies the identifier for the dimension.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spacing w:line="256" w:lineRule="exact" w:before="45"/>
              <w:rPr>
                <w:rFonts w:ascii="Cambria"/>
                <w:sz w:val="22"/>
              </w:rPr>
            </w:pPr>
            <w:r>
              <w:rPr>
                <w:rFonts w:ascii="Cambria"/>
                <w:sz w:val="22"/>
              </w:rPr>
              <w:t>measureGroup</w:t>
            </w:r>
          </w:p>
          <w:p>
            <w:pPr>
              <w:pStyle w:val="TableParagraph"/>
              <w:spacing w:line="267" w:lineRule="exact" w:before="0"/>
              <w:rPr>
                <w:sz w:val="22"/>
              </w:rPr>
            </w:pPr>
            <w:r>
              <w:rPr>
                <w:sz w:val="22"/>
              </w:rPr>
              <w:t>(Measure Group Id)</w:t>
            </w:r>
          </w:p>
        </w:tc>
        <w:tc>
          <w:tcPr>
            <w:tcW w:w="8250" w:type="dxa"/>
          </w:tcPr>
          <w:p>
            <w:pPr>
              <w:pStyle w:val="TableParagraph"/>
              <w:spacing w:before="42"/>
              <w:rPr>
                <w:sz w:val="22"/>
              </w:rPr>
            </w:pPr>
            <w:r>
              <w:rPr>
                <w:sz w:val="22"/>
              </w:rPr>
              <w:t>Specifies the identifier of the measure group.</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436"/>
      </w:pPr>
      <w:r>
        <w:rPr/>
        <w:t>[</w:t>
      </w:r>
      <w:r>
        <w:rPr>
          <w:i/>
        </w:rPr>
        <w:t>Note</w:t>
      </w:r>
      <w:r>
        <w:rPr/>
        <w:t>: The W3C XML Schema definition of this element’s content model (</w:t>
      </w:r>
      <w:r>
        <w:rPr>
          <w:color w:val="5F5F5F"/>
          <w:u w:val="single" w:color="5F5F5F"/>
        </w:rPr>
        <w:t>CT_MeasureDimensionMap</w:t>
      </w:r>
      <w:r>
        <w:rPr/>
        <w:t>) is located in §A.2. </w:t>
      </w:r>
      <w:r>
        <w:rPr>
          <w:i/>
        </w:rPr>
        <w:t>end note</w:t>
      </w:r>
      <w:r>
        <w:rPr/>
        <w:t>]</w:t>
      </w:r>
    </w:p>
    <w:p>
      <w:pPr>
        <w:pStyle w:val="BodyText"/>
        <w:spacing w:before="4"/>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2 maps (OLAP Measure Group)" w:id="905"/>
      <w:bookmarkEnd w:id="905"/>
      <w:r>
        <w:rPr/>
      </w:r>
      <w:bookmarkStart w:name="_bookmark300" w:id="906"/>
      <w:bookmarkEnd w:id="906"/>
      <w:r>
        <w:rPr/>
      </w:r>
      <w:bookmarkStart w:name="_bookmark300" w:id="907"/>
      <w:bookmarkEnd w:id="907"/>
      <w:r>
        <w:rPr>
          <w:color w:val="4F81BC"/>
        </w:rPr>
        <w:t>maps</w:t>
      </w:r>
      <w:r>
        <w:rPr>
          <w:color w:val="4F81BC"/>
        </w:rPr>
        <w:t> (OLAP Measure</w:t>
      </w:r>
      <w:r>
        <w:rPr>
          <w:color w:val="4F81BC"/>
          <w:spacing w:val="-1"/>
        </w:rPr>
        <w:t> </w:t>
      </w:r>
      <w:r>
        <w:rPr>
          <w:color w:val="4F81BC"/>
        </w:rPr>
        <w:t>Group)</w:t>
      </w:r>
    </w:p>
    <w:p>
      <w:pPr>
        <w:pStyle w:val="BodyText"/>
        <w:spacing w:line="453" w:lineRule="auto" w:before="121"/>
        <w:ind w:left="220" w:right="4455"/>
      </w:pPr>
      <w:r>
        <w:rPr/>
        <w:t>Represents the PivotTable OLAP measure group - Dimension maps. [</w:t>
      </w:r>
      <w:r>
        <w:rPr>
          <w:i/>
        </w:rPr>
        <w:t>Example</w:t>
      </w:r>
      <w:r>
        <w:rPr/>
        <w:t>:</w:t>
      </w:r>
    </w:p>
    <w:p>
      <w:pPr>
        <w:pStyle w:val="BodyText"/>
        <w:spacing w:before="2"/>
        <w:ind w:left="508"/>
        <w:rPr>
          <w:rFonts w:ascii="Consolas"/>
        </w:rPr>
      </w:pPr>
      <w:r>
        <w:rPr>
          <w:rFonts w:ascii="Consolas"/>
        </w:rPr>
        <w:t>&lt;maps count="3"&gt;</w:t>
      </w:r>
    </w:p>
    <w:p>
      <w:pPr>
        <w:pStyle w:val="BodyText"/>
        <w:spacing w:before="40"/>
        <w:ind w:left="750"/>
        <w:rPr>
          <w:rFonts w:ascii="Consolas"/>
        </w:rPr>
      </w:pPr>
      <w:r>
        <w:rPr>
          <w:rFonts w:ascii="Consolas"/>
        </w:rPr>
        <w:t>&lt;map measureGroup="0" dimension="2"/&gt;</w:t>
      </w:r>
    </w:p>
    <w:p>
      <w:pPr>
        <w:pStyle w:val="BodyText"/>
        <w:spacing w:before="38"/>
        <w:ind w:left="750"/>
        <w:rPr>
          <w:rFonts w:ascii="Consolas"/>
        </w:rPr>
      </w:pPr>
      <w:r>
        <w:rPr>
          <w:rFonts w:ascii="Consolas"/>
        </w:rPr>
        <w:t>&lt;map measureGroup="1" dimension="19"/&gt;</w:t>
      </w:r>
    </w:p>
    <w:p>
      <w:pPr>
        <w:pStyle w:val="BodyText"/>
        <w:spacing w:before="38"/>
        <w:ind w:left="750"/>
        <w:rPr>
          <w:rFonts w:ascii="Consolas"/>
        </w:rPr>
      </w:pPr>
      <w:r>
        <w:rPr>
          <w:rFonts w:ascii="Consolas"/>
        </w:rPr>
        <w:t>&lt;map measureGroup="2" dimension="8"/&gt;</w:t>
      </w:r>
    </w:p>
    <w:p>
      <w:pPr>
        <w:pStyle w:val="BodyText"/>
        <w:spacing w:before="40"/>
        <w:ind w:left="508"/>
        <w:rPr>
          <w:rFonts w:ascii="Consolas"/>
        </w:rPr>
      </w:pPr>
      <w:r>
        <w:rPr>
          <w:rFonts w:ascii="Consolas"/>
        </w:rPr>
        <w:t>&lt;/maps&gt;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478"/>
              <w:rPr>
                <w:sz w:val="22"/>
              </w:rPr>
            </w:pPr>
            <w:r>
              <w:rPr>
                <w:rFonts w:ascii="Cambria"/>
                <w:sz w:val="22"/>
              </w:rPr>
              <w:t>count </w:t>
            </w:r>
            <w:r>
              <w:rPr>
                <w:sz w:val="22"/>
              </w:rPr>
              <w:t>(Measure Group Count)</w:t>
            </w:r>
          </w:p>
        </w:tc>
        <w:tc>
          <w:tcPr>
            <w:tcW w:w="8250" w:type="dxa"/>
          </w:tcPr>
          <w:p>
            <w:pPr>
              <w:pStyle w:val="TableParagraph"/>
              <w:rPr>
                <w:sz w:val="22"/>
              </w:rPr>
            </w:pPr>
            <w:r>
              <w:rPr>
                <w:sz w:val="22"/>
              </w:rPr>
              <w:t>Specifies the number of measure groups, or dimension maps, in the PivotTable.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1064"/>
      </w:pPr>
      <w:r>
        <w:rPr/>
        <w:t>[</w:t>
      </w:r>
      <w:r>
        <w:rPr>
          <w:i/>
        </w:rPr>
        <w:t>Note</w:t>
      </w:r>
      <w:r>
        <w:rPr/>
        <w:t>: The W3C XML Schema definition of this element’s content model (</w:t>
      </w:r>
      <w:r>
        <w:rPr>
          <w:color w:val="5F5F5F"/>
          <w:u w:val="single" w:color="5F5F5F"/>
        </w:rPr>
        <w:t>CT_MeasureDimensionMaps</w:t>
      </w:r>
      <w:r>
        <w:rPr/>
        <w:t>) is located in §A.2. </w:t>
      </w:r>
      <w:r>
        <w:rPr>
          <w:i/>
        </w:rPr>
        <w:t>end 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3 measureGroup (OLAP Measure Gr" w:id="908"/>
      <w:bookmarkEnd w:id="908"/>
      <w:r>
        <w:rPr/>
      </w:r>
      <w:bookmarkStart w:name="_bookmark301" w:id="909"/>
      <w:bookmarkEnd w:id="909"/>
      <w:r>
        <w:rPr/>
      </w:r>
      <w:bookmarkStart w:name="_bookmark301" w:id="910"/>
      <w:bookmarkEnd w:id="910"/>
      <w:r>
        <w:rPr>
          <w:color w:val="4F81BC"/>
        </w:rPr>
        <w:t>measu</w:t>
      </w:r>
      <w:r>
        <w:rPr>
          <w:color w:val="4F81BC"/>
        </w:rPr>
        <w:t>reGroup (OLAP Measure</w:t>
      </w:r>
      <w:r>
        <w:rPr>
          <w:color w:val="4F81BC"/>
          <w:spacing w:val="2"/>
        </w:rPr>
        <w:t> </w:t>
      </w:r>
      <w:r>
        <w:rPr>
          <w:color w:val="4F81BC"/>
        </w:rPr>
        <w:t>Group)</w:t>
      </w:r>
    </w:p>
    <w:p>
      <w:pPr>
        <w:pStyle w:val="BodyText"/>
        <w:spacing w:line="453" w:lineRule="auto" w:before="122"/>
        <w:ind w:left="220" w:right="6302"/>
      </w:pPr>
      <w:r>
        <w:rPr/>
        <w:t>Represents a PivotTable OLAP measure group. [</w:t>
      </w:r>
      <w:r>
        <w:rPr>
          <w:i/>
        </w:rPr>
        <w:t>Example</w:t>
      </w:r>
      <w:r>
        <w:rPr/>
        <w:t>:</w:t>
      </w:r>
    </w:p>
    <w:p>
      <w:pPr>
        <w:pStyle w:val="BodyText"/>
        <w:spacing w:before="2"/>
        <w:ind w:left="508"/>
        <w:rPr>
          <w:rFonts w:ascii="Consolas"/>
        </w:rPr>
      </w:pPr>
      <w:r>
        <w:rPr>
          <w:rFonts w:ascii="Consolas"/>
        </w:rPr>
        <w:t>&lt;measureGroup name="Sales Orders" caption="Sales Orders"/&gt;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309"/>
              <w:rPr>
                <w:sz w:val="22"/>
              </w:rPr>
            </w:pPr>
            <w:r>
              <w:rPr>
                <w:rFonts w:ascii="Cambria"/>
                <w:sz w:val="22"/>
              </w:rPr>
              <w:t>caption </w:t>
            </w:r>
            <w:r>
              <w:rPr>
                <w:sz w:val="22"/>
              </w:rPr>
              <w:t>(Measure Group Display Name)</w:t>
            </w:r>
          </w:p>
        </w:tc>
        <w:tc>
          <w:tcPr>
            <w:tcW w:w="8250" w:type="dxa"/>
          </w:tcPr>
          <w:p>
            <w:pPr>
              <w:pStyle w:val="TableParagraph"/>
              <w:rPr>
                <w:sz w:val="22"/>
              </w:rPr>
            </w:pPr>
            <w:r>
              <w:rPr>
                <w:sz w:val="22"/>
              </w:rPr>
              <w:t>Specifies the display name of the measure group.</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90"/>
              <w:rPr>
                <w:sz w:val="22"/>
              </w:rPr>
            </w:pPr>
            <w:r>
              <w:rPr>
                <w:rFonts w:ascii="Cambria"/>
                <w:sz w:val="22"/>
              </w:rPr>
              <w:t>name </w:t>
            </w:r>
            <w:r>
              <w:rPr>
                <w:sz w:val="22"/>
              </w:rPr>
              <w:t>(Measure Group Name)</w:t>
            </w:r>
          </w:p>
        </w:tc>
        <w:tc>
          <w:tcPr>
            <w:tcW w:w="8250" w:type="dxa"/>
          </w:tcPr>
          <w:p>
            <w:pPr>
              <w:pStyle w:val="TableParagraph"/>
              <w:rPr>
                <w:sz w:val="22"/>
              </w:rPr>
            </w:pPr>
            <w:r>
              <w:rPr>
                <w:sz w:val="22"/>
              </w:rPr>
              <w:t>Specifies the name of the measure group.</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CT_MeasureGroup</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4 measureGroups (OLAP Measure G" w:id="911"/>
      <w:bookmarkEnd w:id="911"/>
      <w:r>
        <w:rPr/>
      </w:r>
      <w:bookmarkStart w:name="_bookmark302" w:id="912"/>
      <w:bookmarkEnd w:id="912"/>
      <w:r>
        <w:rPr/>
      </w:r>
      <w:bookmarkStart w:name="_bookmark302" w:id="913"/>
      <w:bookmarkEnd w:id="913"/>
      <w:r>
        <w:rPr>
          <w:color w:val="4F81BC"/>
        </w:rPr>
        <w:t>measu</w:t>
      </w:r>
      <w:r>
        <w:rPr>
          <w:color w:val="4F81BC"/>
        </w:rPr>
        <w:t>reGroups (OLAP Measure</w:t>
      </w:r>
      <w:r>
        <w:rPr>
          <w:color w:val="4F81BC"/>
          <w:spacing w:val="1"/>
        </w:rPr>
        <w:t> </w:t>
      </w:r>
      <w:r>
        <w:rPr>
          <w:color w:val="4F81BC"/>
        </w:rPr>
        <w:t>Groups)</w:t>
      </w:r>
    </w:p>
    <w:p>
      <w:pPr>
        <w:pStyle w:val="BodyText"/>
        <w:spacing w:line="453" w:lineRule="auto" w:before="121"/>
        <w:ind w:left="220" w:right="4872"/>
      </w:pPr>
      <w:r>
        <w:rPr/>
        <w:t>Represents the collection of PivotTable OLAP measure groups. [</w:t>
      </w:r>
      <w:r>
        <w:rPr>
          <w:i/>
        </w:rPr>
        <w:t>Example</w:t>
      </w:r>
      <w:r>
        <w:rPr/>
        <w:t>:</w:t>
      </w:r>
    </w:p>
    <w:p>
      <w:pPr>
        <w:pStyle w:val="BodyText"/>
        <w:spacing w:before="3"/>
        <w:ind w:left="508"/>
        <w:rPr>
          <w:rFonts w:ascii="Consolas"/>
        </w:rPr>
      </w:pPr>
      <w:r>
        <w:rPr>
          <w:rFonts w:ascii="Consolas"/>
        </w:rPr>
        <w:t>&lt;measureGroups count="11"&gt;</w:t>
      </w:r>
    </w:p>
    <w:p>
      <w:pPr>
        <w:pStyle w:val="BodyText"/>
        <w:spacing w:before="37"/>
        <w:ind w:left="750"/>
        <w:rPr>
          <w:rFonts w:ascii="Consolas"/>
        </w:rPr>
      </w:pPr>
      <w:r>
        <w:rPr>
          <w:rFonts w:ascii="Consolas"/>
        </w:rPr>
        <w:t>&lt;measureGroup name="Exchange Rates" caption="Exchange Rates"/&gt;</w:t>
      </w:r>
    </w:p>
    <w:p>
      <w:pPr>
        <w:pStyle w:val="BodyText"/>
        <w:spacing w:before="40"/>
        <w:ind w:left="750"/>
        <w:rPr>
          <w:rFonts w:ascii="Consolas"/>
        </w:rPr>
      </w:pPr>
      <w:r>
        <w:rPr>
          <w:rFonts w:ascii="Consolas"/>
        </w:rPr>
        <w:t>&lt;measureGroup name="Financial Reporting" caption="Financial Reporting"/&gt;</w:t>
      </w:r>
    </w:p>
    <w:p>
      <w:pPr>
        <w:pStyle w:val="BodyText"/>
        <w:spacing w:before="38"/>
        <w:ind w:left="750"/>
        <w:rPr>
          <w:rFonts w:ascii="Consolas"/>
        </w:rPr>
      </w:pPr>
      <w:r>
        <w:rPr>
          <w:rFonts w:ascii="Consolas"/>
        </w:rPr>
        <w:t>&lt;measureGroup name="Internet Customers" caption="Internet Customers"/&gt;</w:t>
      </w:r>
    </w:p>
    <w:p>
      <w:pPr>
        <w:pStyle w:val="BodyText"/>
        <w:spacing w:before="40"/>
        <w:ind w:left="750"/>
        <w:rPr>
          <w:rFonts w:ascii="Consolas"/>
        </w:rPr>
      </w:pPr>
      <w:r>
        <w:rPr>
          <w:rFonts w:ascii="Consolas"/>
        </w:rPr>
        <w:t>&lt;measureGroup name="Internet Orders" caption="Internet Orders"/&gt;</w:t>
      </w:r>
    </w:p>
    <w:p>
      <w:pPr>
        <w:pStyle w:val="BodyText"/>
        <w:spacing w:before="37"/>
        <w:ind w:left="750"/>
        <w:rPr>
          <w:rFonts w:ascii="Consolas"/>
        </w:rPr>
      </w:pPr>
      <w:r>
        <w:rPr>
          <w:rFonts w:ascii="Consolas"/>
        </w:rPr>
        <w:t>&lt;measureGroup name="Internet Sales" caption="Internet Sales"/&gt;</w:t>
      </w:r>
    </w:p>
    <w:p>
      <w:pPr>
        <w:pStyle w:val="BodyText"/>
        <w:spacing w:before="41"/>
        <w:ind w:left="750"/>
        <w:rPr>
          <w:rFonts w:ascii="Consolas"/>
        </w:rPr>
      </w:pPr>
      <w:r>
        <w:rPr>
          <w:rFonts w:ascii="Consolas"/>
        </w:rPr>
        <w:t>&lt;measureGroup name="Reseller Orders" caption="Reseller Orders"/&gt;</w:t>
      </w:r>
    </w:p>
    <w:p>
      <w:pPr>
        <w:pStyle w:val="BodyText"/>
        <w:spacing w:before="37"/>
        <w:ind w:left="750"/>
        <w:rPr>
          <w:rFonts w:ascii="Consolas"/>
        </w:rPr>
      </w:pPr>
      <w:r>
        <w:rPr>
          <w:rFonts w:ascii="Consolas"/>
        </w:rPr>
        <w:t>&lt;measureGroup name="Reseller Sales" caption="Reseller Sales"/&gt;</w:t>
      </w:r>
    </w:p>
    <w:p>
      <w:pPr>
        <w:pStyle w:val="BodyText"/>
        <w:spacing w:before="40"/>
        <w:ind w:left="750"/>
        <w:rPr>
          <w:rFonts w:ascii="Consolas"/>
        </w:rPr>
      </w:pPr>
      <w:r>
        <w:rPr>
          <w:rFonts w:ascii="Consolas"/>
        </w:rPr>
        <w:t>&lt;measureGroup name="Sales Orders" caption="Sales Orders"/&gt;</w:t>
      </w:r>
    </w:p>
    <w:p>
      <w:pPr>
        <w:pStyle w:val="BodyText"/>
        <w:spacing w:before="38"/>
        <w:ind w:left="750"/>
        <w:rPr>
          <w:rFonts w:ascii="Consolas"/>
        </w:rPr>
      </w:pPr>
      <w:r>
        <w:rPr>
          <w:rFonts w:ascii="Consolas"/>
        </w:rPr>
        <w:t>&lt;measureGroup name="Sales Reasons" caption="Sales</w:t>
      </w:r>
      <w:r>
        <w:rPr>
          <w:rFonts w:ascii="Consolas"/>
          <w:spacing w:val="-41"/>
        </w:rPr>
        <w:t> </w:t>
      </w:r>
      <w:r>
        <w:rPr>
          <w:rFonts w:ascii="Consolas"/>
        </w:rPr>
        <w:t>Reasons"/&gt;</w:t>
      </w:r>
    </w:p>
    <w:p>
      <w:pPr>
        <w:pStyle w:val="BodyText"/>
        <w:spacing w:before="38"/>
        <w:ind w:left="750"/>
        <w:rPr>
          <w:rFonts w:ascii="Consolas"/>
        </w:rPr>
      </w:pPr>
      <w:r>
        <w:rPr>
          <w:rFonts w:ascii="Consolas"/>
        </w:rPr>
        <w:t>&lt;measureGroup name="Sales Summary" caption="Sales</w:t>
      </w:r>
      <w:r>
        <w:rPr>
          <w:rFonts w:ascii="Consolas"/>
          <w:spacing w:val="-42"/>
        </w:rPr>
        <w:t> </w:t>
      </w:r>
      <w:r>
        <w:rPr>
          <w:rFonts w:ascii="Consolas"/>
        </w:rPr>
        <w:t>Summary"/&gt;</w:t>
      </w:r>
    </w:p>
    <w:p>
      <w:pPr>
        <w:pStyle w:val="BodyText"/>
        <w:spacing w:before="40"/>
        <w:ind w:left="750"/>
        <w:rPr>
          <w:rFonts w:ascii="Consolas"/>
        </w:rPr>
      </w:pPr>
      <w:r>
        <w:rPr>
          <w:rFonts w:ascii="Consolas"/>
        </w:rPr>
        <w:t>&lt;measureGroup name="Sales Targets" caption="Sales</w:t>
      </w:r>
      <w:r>
        <w:rPr>
          <w:rFonts w:ascii="Consolas"/>
          <w:spacing w:val="-42"/>
        </w:rPr>
        <w:t> </w:t>
      </w:r>
      <w:r>
        <w:rPr>
          <w:rFonts w:ascii="Consolas"/>
        </w:rPr>
        <w:t>Targets"/&gt;</w:t>
      </w:r>
    </w:p>
    <w:p>
      <w:pPr>
        <w:pStyle w:val="BodyText"/>
        <w:spacing w:before="37"/>
        <w:ind w:left="508"/>
        <w:rPr>
          <w:rFonts w:ascii="Consolas"/>
        </w:rPr>
      </w:pPr>
      <w:r>
        <w:rPr>
          <w:rFonts w:ascii="Consolas"/>
        </w:rPr>
        <w:t>&lt;/measureGroups&gt;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78"/>
              <w:rPr>
                <w:sz w:val="22"/>
              </w:rPr>
            </w:pPr>
            <w:r>
              <w:rPr>
                <w:rFonts w:ascii="Cambria"/>
                <w:sz w:val="22"/>
              </w:rPr>
              <w:t>count </w:t>
            </w:r>
            <w:r>
              <w:rPr>
                <w:sz w:val="22"/>
              </w:rPr>
              <w:t>(Measure Group Count)</w:t>
            </w:r>
          </w:p>
        </w:tc>
        <w:tc>
          <w:tcPr>
            <w:tcW w:w="8250" w:type="dxa"/>
          </w:tcPr>
          <w:p>
            <w:pPr>
              <w:pStyle w:val="TableParagraph"/>
              <w:rPr>
                <w:sz w:val="22"/>
              </w:rPr>
            </w:pPr>
            <w:r>
              <w:rPr>
                <w:sz w:val="22"/>
              </w:rPr>
              <w:t>Specifies the number of measure groups in the PivotTable.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CT_MeasureGroups</w:t>
      </w:r>
      <w:r>
        <w:rPr/>
        <w:t>) is located in §A.2.</w:t>
      </w:r>
    </w:p>
    <w:p>
      <w:pPr>
        <w:spacing w:before="41"/>
        <w:ind w:left="220" w:right="0" w:firstLine="0"/>
        <w:jc w:val="left"/>
        <w:rPr>
          <w:sz w:val="22"/>
        </w:rPr>
      </w:pP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3"/>
        <w:numPr>
          <w:ilvl w:val="3"/>
          <w:numId w:val="42"/>
        </w:numPr>
        <w:tabs>
          <w:tab w:pos="1732" w:val="left" w:leader="none"/>
          <w:tab w:pos="1733" w:val="left" w:leader="none"/>
        </w:tabs>
        <w:spacing w:line="240" w:lineRule="auto" w:before="93" w:after="0"/>
        <w:ind w:left="1732" w:right="0" w:hanging="1513"/>
        <w:jc w:val="left"/>
      </w:pPr>
      <w:bookmarkStart w:name="18.10.1.55 member (Member)" w:id="914"/>
      <w:bookmarkEnd w:id="914"/>
      <w:r>
        <w:rPr/>
      </w:r>
      <w:bookmarkStart w:name="_bookmark303" w:id="915"/>
      <w:bookmarkEnd w:id="915"/>
      <w:r>
        <w:rPr/>
      </w:r>
      <w:bookmarkStart w:name="_bookmark303" w:id="916"/>
      <w:bookmarkEnd w:id="916"/>
      <w:r>
        <w:rPr>
          <w:color w:val="4F81BC"/>
        </w:rPr>
        <w:t>member</w:t>
      </w:r>
      <w:r>
        <w:rPr>
          <w:color w:val="4F81BC"/>
          <w:spacing w:val="-1"/>
        </w:rPr>
        <w:t> </w:t>
      </w:r>
      <w:r>
        <w:rPr>
          <w:color w:val="4F81BC"/>
        </w:rPr>
        <w:t>(Member)</w:t>
      </w:r>
    </w:p>
    <w:p>
      <w:pPr>
        <w:pStyle w:val="BodyText"/>
        <w:spacing w:before="122"/>
        <w:ind w:left="220"/>
      </w:pPr>
      <w:r>
        <w:rPr/>
        <w:t>Represents an item that can be included or excluded.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73"/>
              <w:rPr>
                <w:sz w:val="22"/>
              </w:rPr>
            </w:pPr>
            <w:r>
              <w:rPr>
                <w:rFonts w:ascii="Cambria"/>
                <w:sz w:val="22"/>
              </w:rPr>
              <w:t>name </w:t>
            </w:r>
            <w:r>
              <w:rPr>
                <w:sz w:val="22"/>
              </w:rPr>
              <w:t>(Hidden Item Name)</w:t>
            </w:r>
          </w:p>
        </w:tc>
        <w:tc>
          <w:tcPr>
            <w:tcW w:w="8250" w:type="dxa"/>
          </w:tcPr>
          <w:p>
            <w:pPr>
              <w:pStyle w:val="TableParagraph"/>
              <w:rPr>
                <w:sz w:val="22"/>
              </w:rPr>
            </w:pPr>
            <w:r>
              <w:rPr>
                <w:sz w:val="22"/>
              </w:rPr>
              <w:t>Specifies the name of a hidden item.</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spacing w:line="278" w:lineRule="auto"/>
        <w:ind w:left="220" w:right="710"/>
      </w:pPr>
      <w:r>
        <w:rPr/>
        <w:t>[</w:t>
      </w:r>
      <w:r>
        <w:rPr>
          <w:i/>
        </w:rPr>
        <w:t>Note</w:t>
      </w:r>
      <w:r>
        <w:rPr/>
        <w:t>: The W3C XML Schema definition of this element’s content model (</w:t>
      </w:r>
      <w:r>
        <w:rPr>
          <w:color w:val="5F5F5F"/>
          <w:u w:val="single" w:color="5F5F5F"/>
        </w:rPr>
        <w:t>CT_Member</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56 members (Members)" w:id="917"/>
      <w:bookmarkEnd w:id="917"/>
      <w:r>
        <w:rPr/>
      </w:r>
      <w:bookmarkStart w:name="_bookmark304" w:id="918"/>
      <w:bookmarkEnd w:id="918"/>
      <w:r>
        <w:rPr/>
      </w:r>
      <w:bookmarkStart w:name="_bookmark304" w:id="919"/>
      <w:bookmarkEnd w:id="919"/>
      <w:r>
        <w:rPr>
          <w:color w:val="4F81BC"/>
        </w:rPr>
        <w:t>membe</w:t>
      </w:r>
      <w:r>
        <w:rPr>
          <w:color w:val="4F81BC"/>
        </w:rPr>
        <w:t>rs</w:t>
      </w:r>
      <w:r>
        <w:rPr>
          <w:color w:val="4F81BC"/>
          <w:spacing w:val="-1"/>
        </w:rPr>
        <w:t> </w:t>
      </w:r>
      <w:r>
        <w:rPr>
          <w:color w:val="4F81BC"/>
        </w:rPr>
        <w:t>(Members)</w:t>
      </w:r>
    </w:p>
    <w:p>
      <w:pPr>
        <w:pStyle w:val="BodyText"/>
        <w:spacing w:before="121"/>
        <w:ind w:left="220"/>
      </w:pPr>
      <w:r>
        <w:rPr/>
        <w:t>Represents the collection of items that can be included or excluded.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0"/>
              <w:jc w:val="center"/>
              <w:rPr>
                <w:b/>
                <w:sz w:val="22"/>
              </w:rPr>
            </w:pPr>
            <w:r>
              <w:rPr>
                <w:b/>
                <w:sz w:val="22"/>
              </w:rPr>
              <w:t>Description</w:t>
            </w:r>
          </w:p>
        </w:tc>
      </w:tr>
      <w:tr>
        <w:trPr>
          <w:trHeight w:val="1158" w:hRule="atLeast"/>
        </w:trPr>
        <w:tc>
          <w:tcPr>
            <w:tcW w:w="2062" w:type="dxa"/>
          </w:tcPr>
          <w:p>
            <w:pPr>
              <w:pStyle w:val="TableParagraph"/>
              <w:ind w:left="30" w:right="129"/>
              <w:jc w:val="center"/>
              <w:rPr>
                <w:sz w:val="22"/>
              </w:rPr>
            </w:pPr>
            <w:r>
              <w:rPr>
                <w:rFonts w:ascii="Cambria"/>
                <w:sz w:val="22"/>
              </w:rPr>
              <w:t>count </w:t>
            </w:r>
            <w:r>
              <w:rPr>
                <w:sz w:val="22"/>
              </w:rPr>
              <w:t>(Item Count)</w:t>
            </w:r>
          </w:p>
        </w:tc>
        <w:tc>
          <w:tcPr>
            <w:tcW w:w="8250" w:type="dxa"/>
          </w:tcPr>
          <w:p>
            <w:pPr>
              <w:pStyle w:val="TableParagraph"/>
              <w:rPr>
                <w:sz w:val="22"/>
              </w:rPr>
            </w:pPr>
            <w:r>
              <w:rPr>
                <w:sz w:val="22"/>
              </w:rPr>
              <w:t>Specifies the number of items in the collection.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492"/>
              <w:rPr>
                <w:sz w:val="22"/>
              </w:rPr>
            </w:pPr>
            <w:r>
              <w:rPr>
                <w:rFonts w:ascii="Cambria"/>
                <w:sz w:val="22"/>
              </w:rPr>
              <w:t>level </w:t>
            </w:r>
            <w:r>
              <w:rPr>
                <w:sz w:val="22"/>
              </w:rPr>
              <w:t>(Hierarchy Level)</w:t>
            </w:r>
          </w:p>
        </w:tc>
        <w:tc>
          <w:tcPr>
            <w:tcW w:w="8250" w:type="dxa"/>
          </w:tcPr>
          <w:p>
            <w:pPr>
              <w:pStyle w:val="TableParagraph"/>
              <w:rPr>
                <w:sz w:val="22"/>
              </w:rPr>
            </w:pPr>
            <w:r>
              <w:rPr>
                <w:sz w:val="22"/>
              </w:rPr>
              <w:t>Specifies the hierarchy level with which these items are associated.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8" w:lineRule="auto"/>
        <w:ind w:left="220" w:right="624"/>
      </w:pPr>
      <w:r>
        <w:rPr/>
        <w:t>[</w:t>
      </w:r>
      <w:r>
        <w:rPr>
          <w:i/>
        </w:rPr>
        <w:t>Note</w:t>
      </w:r>
      <w:r>
        <w:rPr/>
        <w:t>: The W3C XML Schema definition of this element’s content model (</w:t>
      </w:r>
      <w:r>
        <w:rPr>
          <w:color w:val="5F5F5F"/>
          <w:u w:val="single" w:color="5F5F5F"/>
        </w:rPr>
        <w:t>CT_Members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7 mp (OLAP Member Property)" w:id="920"/>
      <w:bookmarkEnd w:id="920"/>
      <w:r>
        <w:rPr/>
      </w:r>
      <w:bookmarkStart w:name="_bookmark305" w:id="921"/>
      <w:bookmarkEnd w:id="921"/>
      <w:r>
        <w:rPr/>
      </w:r>
      <w:bookmarkStart w:name="_bookmark305" w:id="922"/>
      <w:bookmarkEnd w:id="922"/>
      <w:r>
        <w:rPr>
          <w:color w:val="4F81BC"/>
        </w:rPr>
        <w:t>m</w:t>
      </w:r>
      <w:r>
        <w:rPr>
          <w:color w:val="4F81BC"/>
        </w:rPr>
        <w:t>p (OLAP Member</w:t>
      </w:r>
      <w:r>
        <w:rPr>
          <w:color w:val="4F81BC"/>
          <w:spacing w:val="-2"/>
        </w:rPr>
        <w:t> </w:t>
      </w:r>
      <w:r>
        <w:rPr>
          <w:color w:val="4F81BC"/>
        </w:rPr>
        <w:t>Property)</w:t>
      </w:r>
    </w:p>
    <w:p>
      <w:pPr>
        <w:pStyle w:val="BodyText"/>
        <w:spacing w:line="453" w:lineRule="auto" w:before="121"/>
        <w:ind w:left="220" w:right="6937"/>
      </w:pPr>
      <w:r>
        <w:rPr/>
        <w:t>Represents an OLAP member property. [</w:t>
      </w:r>
      <w:r>
        <w:rPr>
          <w:i/>
        </w:rPr>
        <w:t>Example</w:t>
      </w:r>
      <w:r>
        <w:rPr/>
        <w:t>:</w:t>
      </w:r>
    </w:p>
    <w:p>
      <w:pPr>
        <w:pStyle w:val="BodyText"/>
        <w:spacing w:before="3"/>
        <w:ind w:left="508"/>
        <w:rPr>
          <w:rFonts w:ascii="Consolas"/>
        </w:rPr>
      </w:pPr>
      <w:r>
        <w:rPr>
          <w:rFonts w:ascii="Consolas"/>
        </w:rPr>
        <w:t>&lt;sh:mp field="7"/&gt;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field </w:t>
            </w:r>
            <w:r>
              <w:rPr>
                <w:sz w:val="22"/>
              </w:rPr>
              <w:t>(Field Index)</w:t>
            </w:r>
          </w:p>
        </w:tc>
        <w:tc>
          <w:tcPr>
            <w:tcW w:w="8250" w:type="dxa"/>
          </w:tcPr>
          <w:p>
            <w:pPr>
              <w:pStyle w:val="TableParagraph"/>
              <w:rPr>
                <w:sz w:val="22"/>
              </w:rPr>
            </w:pPr>
            <w:r>
              <w:rPr>
                <w:sz w:val="22"/>
              </w:rPr>
              <w:t>Specifies the index of the field with which this member property is associated.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level </w:t>
            </w:r>
            <w:r>
              <w:rPr>
                <w:sz w:val="22"/>
              </w:rPr>
              <w:t>(Level Index)</w:t>
            </w:r>
          </w:p>
        </w:tc>
        <w:tc>
          <w:tcPr>
            <w:tcW w:w="8250" w:type="dxa"/>
          </w:tcPr>
          <w:p>
            <w:pPr>
              <w:pStyle w:val="TableParagraph"/>
              <w:rPr>
                <w:sz w:val="22"/>
              </w:rPr>
            </w:pPr>
            <w:r>
              <w:rPr>
                <w:sz w:val="22"/>
              </w:rPr>
              <w:t>Specifies the index of the level to which this member property applies.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4960" w:hRule="atLeast"/>
        </w:trPr>
        <w:tc>
          <w:tcPr>
            <w:tcW w:w="2062" w:type="dxa"/>
          </w:tcPr>
          <w:p>
            <w:pPr>
              <w:pStyle w:val="TableParagraph"/>
              <w:ind w:right="310"/>
              <w:rPr>
                <w:sz w:val="22"/>
              </w:rPr>
            </w:pPr>
            <w:r>
              <w:rPr>
                <w:rFonts w:ascii="Cambria"/>
                <w:sz w:val="22"/>
              </w:rPr>
              <w:t>name </w:t>
            </w:r>
            <w:r>
              <w:rPr>
                <w:sz w:val="22"/>
              </w:rPr>
              <w:t>(OLAP Member Property Unique Name)</w:t>
            </w:r>
          </w:p>
        </w:tc>
        <w:tc>
          <w:tcPr>
            <w:tcW w:w="8250" w:type="dxa"/>
          </w:tcPr>
          <w:p>
            <w:pPr>
              <w:pStyle w:val="TableParagraph"/>
              <w:ind w:right="745"/>
              <w:rPr>
                <w:sz w:val="22"/>
              </w:rPr>
            </w:pPr>
            <w:r>
              <w:rPr>
                <w:sz w:val="22"/>
              </w:rPr>
              <w:t>Specifies the unique name of the OLAP member property. The following attributes depend on the </w:t>
            </w:r>
            <w:r>
              <w:rPr>
                <w:rFonts w:ascii="Cambria"/>
                <w:sz w:val="22"/>
              </w:rPr>
              <w:t>name </w:t>
            </w:r>
            <w:r>
              <w:rPr>
                <w:sz w:val="22"/>
              </w:rPr>
              <w:t>attribute:</w:t>
            </w:r>
          </w:p>
          <w:p>
            <w:pPr>
              <w:pStyle w:val="TableParagraph"/>
              <w:numPr>
                <w:ilvl w:val="0"/>
                <w:numId w:val="49"/>
              </w:numPr>
              <w:tabs>
                <w:tab w:pos="834" w:val="left" w:leader="none"/>
                <w:tab w:pos="835" w:val="left" w:leader="none"/>
              </w:tabs>
              <w:spacing w:line="240" w:lineRule="auto" w:before="3" w:after="0"/>
              <w:ind w:left="835" w:right="0" w:hanging="360"/>
              <w:jc w:val="left"/>
              <w:rPr>
                <w:rFonts w:ascii="Cambria" w:hAnsi="Cambria"/>
                <w:sz w:val="22"/>
              </w:rPr>
            </w:pPr>
            <w:r>
              <w:rPr>
                <w:rFonts w:ascii="Cambria" w:hAnsi="Cambria"/>
                <w:sz w:val="22"/>
              </w:rPr>
              <w:t>nameLen</w:t>
            </w:r>
          </w:p>
          <w:p>
            <w:pPr>
              <w:pStyle w:val="TableParagraph"/>
              <w:numPr>
                <w:ilvl w:val="0"/>
                <w:numId w:val="49"/>
              </w:numPr>
              <w:tabs>
                <w:tab w:pos="834" w:val="left" w:leader="none"/>
                <w:tab w:pos="835" w:val="left" w:leader="none"/>
              </w:tabs>
              <w:spacing w:line="269" w:lineRule="exact" w:before="1" w:after="0"/>
              <w:ind w:left="835" w:right="0" w:hanging="360"/>
              <w:jc w:val="left"/>
              <w:rPr>
                <w:rFonts w:ascii="Cambria" w:hAnsi="Cambria"/>
                <w:sz w:val="22"/>
              </w:rPr>
            </w:pPr>
            <w:r>
              <w:rPr>
                <w:rFonts w:ascii="Cambria" w:hAnsi="Cambria"/>
                <w:sz w:val="22"/>
              </w:rPr>
              <w:t>pLen</w:t>
            </w:r>
          </w:p>
          <w:p>
            <w:pPr>
              <w:pStyle w:val="TableParagraph"/>
              <w:numPr>
                <w:ilvl w:val="0"/>
                <w:numId w:val="49"/>
              </w:numPr>
              <w:tabs>
                <w:tab w:pos="834" w:val="left" w:leader="none"/>
                <w:tab w:pos="835" w:val="left" w:leader="none"/>
              </w:tabs>
              <w:spacing w:line="269" w:lineRule="exact" w:before="0" w:after="0"/>
              <w:ind w:left="835" w:right="0" w:hanging="360"/>
              <w:jc w:val="left"/>
              <w:rPr>
                <w:rFonts w:ascii="Cambria" w:hAnsi="Cambria"/>
                <w:sz w:val="22"/>
              </w:rPr>
            </w:pPr>
            <w:r>
              <w:rPr>
                <w:rFonts w:ascii="Cambria" w:hAnsi="Cambria"/>
                <w:sz w:val="22"/>
              </w:rPr>
              <w:t>pPos</w:t>
            </w:r>
          </w:p>
          <w:p>
            <w:pPr>
              <w:pStyle w:val="TableParagraph"/>
              <w:spacing w:before="3"/>
              <w:ind w:left="0"/>
              <w:rPr>
                <w:rFonts w:ascii="Times New Roman"/>
                <w:sz w:val="23"/>
              </w:rPr>
            </w:pPr>
          </w:p>
          <w:p>
            <w:pPr>
              <w:pStyle w:val="TableParagraph"/>
              <w:spacing w:before="0"/>
              <w:ind w:right="386"/>
              <w:rPr>
                <w:sz w:val="22"/>
              </w:rPr>
            </w:pPr>
            <w:r>
              <w:rPr>
                <w:sz w:val="22"/>
              </w:rPr>
              <w:t>These attributes consist of metadata about a member in an OLAP cube and are usually displayed in a tooltip or mechanism in the user interface.</w:t>
            </w:r>
          </w:p>
          <w:p>
            <w:pPr>
              <w:pStyle w:val="TableParagraph"/>
              <w:spacing w:before="3"/>
              <w:ind w:left="0"/>
              <w:rPr>
                <w:rFonts w:ascii="Times New Roman"/>
                <w:sz w:val="23"/>
              </w:rPr>
            </w:pPr>
          </w:p>
          <w:p>
            <w:pPr>
              <w:pStyle w:val="TableParagraph"/>
              <w:spacing w:before="0"/>
              <w:rPr>
                <w:sz w:val="22"/>
              </w:rPr>
            </w:pPr>
            <w:r>
              <w:rPr>
                <w:sz w:val="22"/>
              </w:rPr>
              <w:t>[</w:t>
            </w:r>
            <w:r>
              <w:rPr>
                <w:i/>
                <w:sz w:val="22"/>
              </w:rPr>
              <w:t>Example</w:t>
            </w:r>
            <w:r>
              <w:rPr>
                <w:sz w:val="22"/>
              </w:rPr>
              <w:t>: If the value for name equals "[Store].[Store Name].[Store Manager]":</w:t>
            </w:r>
          </w:p>
          <w:p>
            <w:pPr>
              <w:pStyle w:val="TableParagraph"/>
              <w:numPr>
                <w:ilvl w:val="0"/>
                <w:numId w:val="49"/>
              </w:numPr>
              <w:tabs>
                <w:tab w:pos="834" w:val="left" w:leader="none"/>
                <w:tab w:pos="835" w:val="left" w:leader="none"/>
              </w:tabs>
              <w:spacing w:line="240" w:lineRule="auto" w:before="0" w:after="0"/>
              <w:ind w:left="835" w:right="0" w:hanging="360"/>
              <w:jc w:val="left"/>
              <w:rPr>
                <w:sz w:val="22"/>
              </w:rPr>
            </w:pPr>
            <w:r>
              <w:rPr>
                <w:sz w:val="22"/>
              </w:rPr>
              <w:t>nameLen will equal 20. This would refer to “[Store].[Store</w:t>
            </w:r>
            <w:r>
              <w:rPr>
                <w:spacing w:val="-14"/>
                <w:sz w:val="22"/>
              </w:rPr>
              <w:t> </w:t>
            </w:r>
            <w:r>
              <w:rPr>
                <w:sz w:val="22"/>
              </w:rPr>
              <w:t>Name]”</w:t>
            </w:r>
          </w:p>
          <w:p>
            <w:pPr>
              <w:pStyle w:val="TableParagraph"/>
              <w:numPr>
                <w:ilvl w:val="0"/>
                <w:numId w:val="49"/>
              </w:numPr>
              <w:tabs>
                <w:tab w:pos="834" w:val="left" w:leader="none"/>
                <w:tab w:pos="835" w:val="left" w:leader="none"/>
              </w:tabs>
              <w:spacing w:line="240" w:lineRule="auto" w:before="1" w:after="0"/>
              <w:ind w:left="835" w:right="0" w:hanging="360"/>
              <w:jc w:val="left"/>
              <w:rPr>
                <w:sz w:val="22"/>
              </w:rPr>
            </w:pPr>
            <w:r>
              <w:rPr>
                <w:sz w:val="22"/>
              </w:rPr>
              <w:t>pPos will equal 22. This would refer to starting character of “Store</w:t>
            </w:r>
            <w:r>
              <w:rPr>
                <w:spacing w:val="-21"/>
                <w:sz w:val="22"/>
              </w:rPr>
              <w:t> </w:t>
            </w:r>
            <w:r>
              <w:rPr>
                <w:sz w:val="22"/>
              </w:rPr>
              <w:t>Manager”</w:t>
            </w:r>
          </w:p>
          <w:p>
            <w:pPr>
              <w:pStyle w:val="TableParagraph"/>
              <w:numPr>
                <w:ilvl w:val="0"/>
                <w:numId w:val="49"/>
              </w:numPr>
              <w:tabs>
                <w:tab w:pos="834" w:val="left" w:leader="none"/>
                <w:tab w:pos="835" w:val="left" w:leader="none"/>
              </w:tabs>
              <w:spacing w:line="240" w:lineRule="auto" w:before="0" w:after="0"/>
              <w:ind w:left="835" w:right="0" w:hanging="360"/>
              <w:jc w:val="left"/>
              <w:rPr>
                <w:sz w:val="22"/>
              </w:rPr>
            </w:pPr>
            <w:r>
              <w:rPr>
                <w:sz w:val="22"/>
              </w:rPr>
              <w:t>pLen will equal 13. This would to length of “Store</w:t>
            </w:r>
            <w:r>
              <w:rPr>
                <w:spacing w:val="-16"/>
                <w:sz w:val="22"/>
              </w:rPr>
              <w:t> </w:t>
            </w:r>
            <w:r>
              <w:rPr>
                <w:sz w:val="22"/>
              </w:rPr>
              <w:t>Manager”</w:t>
            </w:r>
          </w:p>
          <w:p>
            <w:pPr>
              <w:pStyle w:val="TableParagraph"/>
              <w:spacing w:before="5"/>
              <w:ind w:left="0"/>
              <w:rPr>
                <w:rFonts w:ascii="Times New Roman"/>
                <w:sz w:val="23"/>
              </w:rPr>
            </w:pPr>
          </w:p>
          <w:p>
            <w:pPr>
              <w:pStyle w:val="TableParagraph"/>
              <w:spacing w:before="0"/>
              <w:ind w:left="165"/>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6" w:hRule="atLeast"/>
        </w:trPr>
        <w:tc>
          <w:tcPr>
            <w:tcW w:w="2062" w:type="dxa"/>
          </w:tcPr>
          <w:p>
            <w:pPr>
              <w:pStyle w:val="TableParagraph"/>
              <w:ind w:right="400"/>
              <w:rPr>
                <w:sz w:val="22"/>
              </w:rPr>
            </w:pPr>
            <w:r>
              <w:rPr>
                <w:rFonts w:ascii="Cambria"/>
                <w:sz w:val="22"/>
              </w:rPr>
              <w:t>nameLen </w:t>
            </w:r>
            <w:r>
              <w:rPr>
                <w:sz w:val="22"/>
              </w:rPr>
              <w:t>(Name Length)</w:t>
            </w:r>
          </w:p>
        </w:tc>
        <w:tc>
          <w:tcPr>
            <w:tcW w:w="8250" w:type="dxa"/>
          </w:tcPr>
          <w:p>
            <w:pPr>
              <w:pStyle w:val="TableParagraph"/>
              <w:ind w:right="108"/>
              <w:rPr>
                <w:sz w:val="22"/>
              </w:rPr>
            </w:pPr>
            <w:r>
              <w:rPr>
                <w:sz w:val="22"/>
              </w:rPr>
              <w:t>Specifies the length of the unique name portion of </w:t>
            </w:r>
            <w:r>
              <w:rPr>
                <w:rFonts w:ascii="Cambria" w:hAnsi="Cambria"/>
                <w:sz w:val="22"/>
              </w:rPr>
              <w:t>name</w:t>
            </w:r>
            <w:r>
              <w:rPr>
                <w:sz w:val="22"/>
              </w:rPr>
              <w:t>. [</w:t>
            </w:r>
            <w:r>
              <w:rPr>
                <w:i/>
                <w:sz w:val="22"/>
              </w:rPr>
              <w:t>Example</w:t>
            </w:r>
            <w:r>
              <w:rPr>
                <w:sz w:val="22"/>
              </w:rPr>
              <w:t>: If the value for </w:t>
            </w:r>
            <w:r>
              <w:rPr>
                <w:rFonts w:ascii="Cambria" w:hAnsi="Cambria"/>
                <w:sz w:val="22"/>
              </w:rPr>
              <w:t>name </w:t>
            </w:r>
            <w:r>
              <w:rPr>
                <w:sz w:val="22"/>
              </w:rPr>
              <w:t>equals "[Store].[Store Name].[Store Manager]", </w:t>
            </w:r>
            <w:r>
              <w:rPr>
                <w:rFonts w:ascii="Cambria" w:hAnsi="Cambria"/>
                <w:sz w:val="22"/>
              </w:rPr>
              <w:t>nameLen </w:t>
            </w:r>
            <w:r>
              <w:rPr>
                <w:sz w:val="22"/>
              </w:rPr>
              <w:t>will equal 20. This would refer to “[Store].[Store Name]”. </w:t>
            </w:r>
            <w:r>
              <w:rPr>
                <w:i/>
                <w:sz w:val="22"/>
              </w:rPr>
              <w:t>end example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8" w:hRule="atLeast"/>
        </w:trPr>
        <w:tc>
          <w:tcPr>
            <w:tcW w:w="2062" w:type="dxa"/>
          </w:tcPr>
          <w:p>
            <w:pPr>
              <w:pStyle w:val="TableParagraph"/>
              <w:spacing w:line="237" w:lineRule="auto" w:before="44"/>
              <w:ind w:right="549"/>
              <w:rPr>
                <w:sz w:val="22"/>
              </w:rPr>
            </w:pPr>
            <w:r>
              <w:rPr>
                <w:rFonts w:ascii="Cambria"/>
                <w:sz w:val="22"/>
              </w:rPr>
              <w:t>pLen </w:t>
            </w:r>
            <w:r>
              <w:rPr>
                <w:sz w:val="22"/>
              </w:rPr>
              <w:t>(Property Name Length)</w:t>
            </w:r>
          </w:p>
        </w:tc>
        <w:tc>
          <w:tcPr>
            <w:tcW w:w="8250" w:type="dxa"/>
          </w:tcPr>
          <w:p>
            <w:pPr>
              <w:pStyle w:val="TableParagraph"/>
              <w:spacing w:before="42"/>
              <w:ind w:right="320"/>
              <w:rPr>
                <w:sz w:val="22"/>
              </w:rPr>
            </w:pPr>
            <w:r>
              <w:rPr>
                <w:sz w:val="22"/>
              </w:rPr>
              <w:t>Specifies the length of the property name portion of </w:t>
            </w:r>
            <w:r>
              <w:rPr>
                <w:rFonts w:ascii="Cambria" w:hAnsi="Cambria"/>
                <w:sz w:val="22"/>
              </w:rPr>
              <w:t>name</w:t>
            </w:r>
            <w:r>
              <w:rPr>
                <w:sz w:val="22"/>
              </w:rPr>
              <w:t>. [</w:t>
            </w:r>
            <w:r>
              <w:rPr>
                <w:i/>
                <w:sz w:val="22"/>
              </w:rPr>
              <w:t>Example</w:t>
            </w:r>
            <w:r>
              <w:rPr>
                <w:sz w:val="22"/>
              </w:rPr>
              <w:t>: If the value for </w:t>
            </w:r>
            <w:r>
              <w:rPr>
                <w:rFonts w:ascii="Cambria" w:hAnsi="Cambria"/>
                <w:sz w:val="22"/>
              </w:rPr>
              <w:t>name </w:t>
            </w:r>
            <w:r>
              <w:rPr>
                <w:sz w:val="22"/>
              </w:rPr>
              <w:t>equals "[Store].[Store Name].[Store Manager]", pLen will equal 13. This would to length of “Store Manager”. </w:t>
            </w:r>
            <w:r>
              <w:rPr>
                <w:i/>
                <w:sz w:val="22"/>
              </w:rPr>
              <w:t>end example</w:t>
            </w:r>
            <w:r>
              <w:rPr>
                <w:sz w:val="22"/>
              </w:rPr>
              <w:t>]</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7" w:hRule="atLeast"/>
        </w:trPr>
        <w:tc>
          <w:tcPr>
            <w:tcW w:w="2062" w:type="dxa"/>
          </w:tcPr>
          <w:p>
            <w:pPr>
              <w:pStyle w:val="TableParagraph"/>
              <w:ind w:right="461"/>
              <w:rPr>
                <w:sz w:val="22"/>
              </w:rPr>
            </w:pPr>
            <w:r>
              <w:rPr>
                <w:rFonts w:ascii="Cambria"/>
                <w:sz w:val="22"/>
              </w:rPr>
              <w:t>pPos </w:t>
            </w:r>
            <w:r>
              <w:rPr>
                <w:sz w:val="22"/>
              </w:rPr>
              <w:t>(Property Name Character Index)</w:t>
            </w:r>
          </w:p>
        </w:tc>
        <w:tc>
          <w:tcPr>
            <w:tcW w:w="8250" w:type="dxa"/>
          </w:tcPr>
          <w:p>
            <w:pPr>
              <w:pStyle w:val="TableParagraph"/>
              <w:ind w:right="428"/>
              <w:jc w:val="both"/>
              <w:rPr>
                <w:sz w:val="22"/>
              </w:rPr>
            </w:pPr>
            <w:r>
              <w:rPr>
                <w:sz w:val="22"/>
              </w:rPr>
              <w:t>Specifies the index of the character where the property name portion begins in </w:t>
            </w:r>
            <w:r>
              <w:rPr>
                <w:rFonts w:ascii="Cambria" w:hAnsi="Cambria"/>
                <w:sz w:val="22"/>
              </w:rPr>
              <w:t>name</w:t>
            </w:r>
            <w:r>
              <w:rPr>
                <w:sz w:val="22"/>
              </w:rPr>
              <w:t>. [</w:t>
            </w:r>
            <w:r>
              <w:rPr>
                <w:i/>
                <w:sz w:val="22"/>
              </w:rPr>
              <w:t>Example</w:t>
            </w:r>
            <w:r>
              <w:rPr>
                <w:sz w:val="22"/>
              </w:rPr>
              <w:t>: If the value for </w:t>
            </w:r>
            <w:r>
              <w:rPr>
                <w:rFonts w:ascii="Cambria" w:hAnsi="Cambria"/>
                <w:sz w:val="22"/>
              </w:rPr>
              <w:t>name </w:t>
            </w:r>
            <w:r>
              <w:rPr>
                <w:sz w:val="22"/>
              </w:rPr>
              <w:t>equals "[Store].[Store Name].[Store Manager]", </w:t>
            </w:r>
            <w:r>
              <w:rPr>
                <w:rFonts w:ascii="Cambria" w:hAnsi="Cambria"/>
                <w:sz w:val="22"/>
              </w:rPr>
              <w:t>pPos </w:t>
            </w:r>
            <w:r>
              <w:rPr>
                <w:sz w:val="22"/>
              </w:rPr>
              <w:t>will equal 22. This would refer to starting character of “Store Manager”. </w:t>
            </w:r>
            <w:r>
              <w:rPr>
                <w:i/>
                <w:sz w:val="22"/>
              </w:rPr>
              <w:t>end example</w:t>
            </w:r>
            <w:r>
              <w:rPr>
                <w:sz w:val="22"/>
              </w:rPr>
              <w:t>]</w:t>
            </w:r>
          </w:p>
          <w:p>
            <w:pPr>
              <w:pStyle w:val="TableParagraph"/>
              <w:spacing w:before="5"/>
              <w:ind w:left="0"/>
              <w:rPr>
                <w:rFonts w:ascii="Times New Roman"/>
                <w:sz w:val="23"/>
              </w:rPr>
            </w:pPr>
          </w:p>
          <w:p>
            <w:pPr>
              <w:pStyle w:val="TableParagraph"/>
              <w:spacing w:line="267" w:lineRule="exact" w:before="0"/>
              <w:jc w:val="both"/>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showAsCaption</w:t>
            </w:r>
          </w:p>
          <w:p>
            <w:pPr>
              <w:pStyle w:val="TableParagraph"/>
              <w:spacing w:line="268" w:lineRule="exact" w:before="0"/>
              <w:rPr>
                <w:sz w:val="22"/>
              </w:rPr>
            </w:pPr>
            <w:r>
              <w:rPr>
                <w:sz w:val="22"/>
              </w:rPr>
              <w:t>(Show As Caption)</w:t>
            </w:r>
          </w:p>
        </w:tc>
        <w:tc>
          <w:tcPr>
            <w:tcW w:w="8250" w:type="dxa"/>
          </w:tcPr>
          <w:p>
            <w:pPr>
              <w:pStyle w:val="TableParagraph"/>
              <w:spacing w:line="480" w:lineRule="auto"/>
              <w:ind w:right="95"/>
              <w:rPr>
                <w:sz w:val="22"/>
              </w:rPr>
            </w:pPr>
            <w:r>
              <w:rPr>
                <w:sz w:val="22"/>
              </w:rPr>
              <w:t>Specifies a boolean value that indicates whether to show the property a member caption.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member property value is shown in as a caption.</w:t>
            </w:r>
          </w:p>
        </w:tc>
      </w:tr>
    </w:tbl>
    <w:p>
      <w:pPr>
        <w:spacing w:after="0" w:line="480" w:lineRule="auto"/>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member property value will not be shown.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5" w:hRule="atLeast"/>
        </w:trPr>
        <w:tc>
          <w:tcPr>
            <w:tcW w:w="2062" w:type="dxa"/>
          </w:tcPr>
          <w:p>
            <w:pPr>
              <w:pStyle w:val="TableParagraph"/>
              <w:spacing w:line="237" w:lineRule="auto" w:before="44"/>
              <w:ind w:right="458"/>
              <w:rPr>
                <w:sz w:val="22"/>
              </w:rPr>
            </w:pPr>
            <w:r>
              <w:rPr>
                <w:rFonts w:ascii="Cambria"/>
                <w:sz w:val="22"/>
              </w:rPr>
              <w:t>showCell </w:t>
            </w:r>
            <w:r>
              <w:rPr>
                <w:sz w:val="22"/>
              </w:rPr>
              <w:t>(Show Cell)</w:t>
            </w:r>
          </w:p>
        </w:tc>
        <w:tc>
          <w:tcPr>
            <w:tcW w:w="8250" w:type="dxa"/>
          </w:tcPr>
          <w:p>
            <w:pPr>
              <w:pStyle w:val="TableParagraph"/>
              <w:spacing w:line="237" w:lineRule="auto" w:before="44"/>
              <w:ind w:right="124"/>
              <w:rPr>
                <w:sz w:val="22"/>
              </w:rPr>
            </w:pPr>
            <w:r>
              <w:rPr>
                <w:sz w:val="22"/>
              </w:rPr>
              <w:t>Specifies a boolean value that indicates whether to show the member property value in a PivotTable cell.</w:t>
            </w:r>
          </w:p>
          <w:p>
            <w:pPr>
              <w:pStyle w:val="TableParagraph"/>
              <w:spacing w:before="6"/>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member property value is shown in a cell.</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member property value will not be shown.</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40" w:hRule="atLeast"/>
        </w:trPr>
        <w:tc>
          <w:tcPr>
            <w:tcW w:w="2062" w:type="dxa"/>
          </w:tcPr>
          <w:p>
            <w:pPr>
              <w:pStyle w:val="TableParagraph"/>
              <w:ind w:right="494"/>
              <w:rPr>
                <w:sz w:val="22"/>
              </w:rPr>
            </w:pPr>
            <w:r>
              <w:rPr>
                <w:rFonts w:ascii="Cambria"/>
                <w:sz w:val="22"/>
              </w:rPr>
              <w:t>showTip </w:t>
            </w:r>
            <w:r>
              <w:rPr>
                <w:sz w:val="22"/>
              </w:rPr>
              <w:t>(Show Tooltip)</w:t>
            </w:r>
          </w:p>
        </w:tc>
        <w:tc>
          <w:tcPr>
            <w:tcW w:w="8250" w:type="dxa"/>
          </w:tcPr>
          <w:p>
            <w:pPr>
              <w:pStyle w:val="TableParagraph"/>
              <w:ind w:right="124"/>
              <w:rPr>
                <w:sz w:val="22"/>
              </w:rPr>
            </w:pPr>
            <w:r>
              <w:rPr>
                <w:sz w:val="22"/>
              </w:rPr>
              <w:t>Specifies a boolean value that indicates whether to show the member property value in a tooltip on the appropriate PivotTable view cells.</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member property value is shown in a tooltip.</w:t>
            </w:r>
          </w:p>
          <w:p>
            <w:pPr>
              <w:pStyle w:val="TableParagraph"/>
              <w:spacing w:before="4"/>
              <w:ind w:left="0"/>
              <w:rPr>
                <w:rFonts w:ascii="Times New Roman"/>
                <w:sz w:val="23"/>
              </w:rPr>
            </w:pPr>
          </w:p>
          <w:p>
            <w:pPr>
              <w:pStyle w:val="TableParagraph"/>
              <w:spacing w:before="1"/>
              <w:ind w:right="24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member property value will not be shown. This attribute depends on whether the application employs tooltips or similar mechanism in the user interface.</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2"/>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CT_MemberProperty</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58 mpMap (Member Properties Map)" w:id="923"/>
      <w:bookmarkEnd w:id="923"/>
      <w:r>
        <w:rPr/>
      </w:r>
      <w:bookmarkStart w:name="_bookmark306" w:id="924"/>
      <w:bookmarkEnd w:id="924"/>
      <w:r>
        <w:rPr/>
      </w:r>
      <w:bookmarkStart w:name="_bookmark306" w:id="925"/>
      <w:bookmarkEnd w:id="925"/>
      <w:r>
        <w:rPr>
          <w:color w:val="4F81BC"/>
        </w:rPr>
        <w:t>mp</w:t>
      </w:r>
      <w:r>
        <w:rPr>
          <w:color w:val="4F81BC"/>
        </w:rPr>
        <w:t>Map (Member Properties</w:t>
      </w:r>
      <w:r>
        <w:rPr>
          <w:color w:val="4F81BC"/>
          <w:spacing w:val="-1"/>
        </w:rPr>
        <w:t> </w:t>
      </w:r>
      <w:r>
        <w:rPr>
          <w:color w:val="4F81BC"/>
        </w:rPr>
        <w:t>Map)</w:t>
      </w:r>
    </w:p>
    <w:p>
      <w:pPr>
        <w:pStyle w:val="BodyText"/>
        <w:spacing w:line="453" w:lineRule="auto" w:before="121"/>
        <w:ind w:left="220" w:right="5683"/>
      </w:pPr>
      <w:r>
        <w:rPr/>
        <w:t>Represents a mapping to cached member properties. [</w:t>
      </w:r>
      <w:r>
        <w:rPr>
          <w:i/>
        </w:rPr>
        <w:t>Example</w:t>
      </w:r>
      <w:r>
        <w:rPr/>
        <w:t>:</w:t>
      </w:r>
    </w:p>
    <w:p>
      <w:pPr>
        <w:pStyle w:val="BodyText"/>
        <w:spacing w:before="5"/>
        <w:ind w:left="508"/>
        <w:rPr>
          <w:rFonts w:ascii="Consolas"/>
        </w:rPr>
      </w:pPr>
      <w:r>
        <w:rPr>
          <w:rFonts w:ascii="Consolas"/>
        </w:rPr>
        <w:t>&lt;mpMap v="7"/&gt;</w:t>
      </w:r>
    </w:p>
    <w:p>
      <w:pPr>
        <w:pStyle w:val="BodyText"/>
        <w:spacing w:before="2"/>
        <w:rPr>
          <w:rFonts w:ascii="Consolas"/>
          <w:sz w:val="20"/>
        </w:rPr>
      </w:pPr>
    </w:p>
    <w:p>
      <w:pPr>
        <w:spacing w:before="1"/>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right="517"/>
              <w:rPr>
                <w:sz w:val="22"/>
              </w:rPr>
            </w:pPr>
            <w:r>
              <w:rPr>
                <w:rFonts w:ascii="Cambria"/>
                <w:sz w:val="22"/>
              </w:rPr>
              <w:t>v </w:t>
            </w:r>
            <w:r>
              <w:rPr>
                <w:sz w:val="22"/>
              </w:rPr>
              <w:t>(Shared Items Index)</w:t>
            </w:r>
          </w:p>
        </w:tc>
        <w:tc>
          <w:tcPr>
            <w:tcW w:w="8250" w:type="dxa"/>
          </w:tcPr>
          <w:p>
            <w:pPr>
              <w:pStyle w:val="TableParagraph"/>
              <w:rPr>
                <w:sz w:val="22"/>
              </w:rPr>
            </w:pPr>
            <w:r>
              <w:rPr>
                <w:sz w:val="22"/>
              </w:rPr>
              <w:t>Specifies the index into the shared items table in the PivotCache that identifies this item.</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CT_X</w:t>
      </w:r>
      <w:r>
        <w:rPr/>
        <w:t>) is located in §A.2. </w:t>
      </w:r>
      <w:r>
        <w:rPr>
          <w:i/>
        </w:rPr>
        <w:t>end note</w:t>
      </w:r>
      <w:r>
        <w:rPr/>
        <w:t>]</w:t>
      </w:r>
    </w:p>
    <w:p>
      <w:pPr>
        <w:spacing w:after="0"/>
        <w:sectPr>
          <w:pgSz w:w="12240" w:h="15840"/>
          <w:pgMar w:header="761" w:footer="746" w:top="1340" w:bottom="940" w:left="860" w:right="700"/>
        </w:sectPr>
      </w:pPr>
    </w:p>
    <w:p>
      <w:pPr>
        <w:pStyle w:val="Heading3"/>
        <w:numPr>
          <w:ilvl w:val="3"/>
          <w:numId w:val="42"/>
        </w:numPr>
        <w:tabs>
          <w:tab w:pos="1732" w:val="left" w:leader="none"/>
          <w:tab w:pos="1733" w:val="left" w:leader="none"/>
        </w:tabs>
        <w:spacing w:line="240" w:lineRule="auto" w:before="151" w:after="0"/>
        <w:ind w:left="1732" w:right="0" w:hanging="1513"/>
        <w:jc w:val="left"/>
      </w:pPr>
      <w:bookmarkStart w:name="18.10.1.59 mps (OLAP Member Properties)" w:id="926"/>
      <w:bookmarkEnd w:id="926"/>
      <w:r>
        <w:rPr/>
      </w:r>
      <w:bookmarkStart w:name="_bookmark307" w:id="927"/>
      <w:bookmarkEnd w:id="927"/>
      <w:r>
        <w:rPr/>
      </w:r>
      <w:bookmarkStart w:name="_bookmark307" w:id="928"/>
      <w:bookmarkEnd w:id="928"/>
      <w:r>
        <w:rPr>
          <w:color w:val="4F81BC"/>
        </w:rPr>
        <w:t>mps</w:t>
      </w:r>
      <w:r>
        <w:rPr>
          <w:color w:val="4F81BC"/>
        </w:rPr>
        <w:t> (OLAP Member</w:t>
      </w:r>
      <w:r>
        <w:rPr>
          <w:color w:val="4F81BC"/>
          <w:spacing w:val="-2"/>
        </w:rPr>
        <w:t> </w:t>
      </w:r>
      <w:r>
        <w:rPr>
          <w:color w:val="4F81BC"/>
        </w:rPr>
        <w:t>Properties)</w:t>
      </w:r>
    </w:p>
    <w:p>
      <w:pPr>
        <w:pStyle w:val="BodyText"/>
        <w:spacing w:line="276" w:lineRule="auto" w:before="119"/>
        <w:ind w:left="220" w:right="404"/>
      </w:pPr>
      <w:r>
        <w:rPr/>
        <w:t>Represents the collection of OLAP member property. Member properties contain additional information that is available about the items in an OLAP dimension field. [</w:t>
      </w:r>
      <w:r>
        <w:rPr>
          <w:i/>
        </w:rPr>
        <w:t>Example</w:t>
      </w:r>
      <w:r>
        <w:rPr/>
        <w:t>: If a Geography dimension has property fields Population and Average Income available, you could create a PivotTable report that displays the sales figures for cities where your products are selling well. By displaying and analyzing the population and income figures for these cities, you could target cities with similar demographics for your marketing campaign. </w:t>
      </w:r>
      <w:r>
        <w:rPr>
          <w:i/>
        </w:rPr>
        <w:t>end example</w:t>
      </w:r>
      <w:r>
        <w:rPr/>
        <w:t>]</w:t>
      </w:r>
    </w:p>
    <w:p>
      <w:pPr>
        <w:pStyle w:val="BodyText"/>
        <w:spacing w:before="8"/>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&lt;sh:mps count="3"&gt;</w:t>
      </w:r>
    </w:p>
    <w:p>
      <w:pPr>
        <w:pStyle w:val="BodyText"/>
        <w:spacing w:before="38"/>
        <w:ind w:left="750"/>
        <w:rPr>
          <w:rFonts w:ascii="Consolas"/>
        </w:rPr>
      </w:pPr>
      <w:r>
        <w:rPr>
          <w:rFonts w:ascii="Consolas"/>
        </w:rPr>
        <w:t>&lt;sh:mp</w:t>
      </w:r>
      <w:r>
        <w:rPr>
          <w:rFonts w:ascii="Consolas"/>
          <w:spacing w:val="-12"/>
        </w:rPr>
        <w:t> </w:t>
      </w:r>
      <w:r>
        <w:rPr>
          <w:rFonts w:ascii="Consolas"/>
        </w:rPr>
        <w:t>field="7"/&gt;</w:t>
      </w:r>
    </w:p>
    <w:p>
      <w:pPr>
        <w:pStyle w:val="BodyText"/>
        <w:spacing w:before="40"/>
        <w:ind w:left="750"/>
        <w:rPr>
          <w:rFonts w:ascii="Consolas"/>
        </w:rPr>
      </w:pPr>
      <w:r>
        <w:rPr>
          <w:rFonts w:ascii="Consolas"/>
        </w:rPr>
        <w:t>&lt;sh:mp</w:t>
      </w:r>
      <w:r>
        <w:rPr>
          <w:rFonts w:ascii="Consolas"/>
          <w:spacing w:val="-12"/>
        </w:rPr>
        <w:t> </w:t>
      </w:r>
      <w:r>
        <w:rPr>
          <w:rFonts w:ascii="Consolas"/>
        </w:rPr>
        <w:t>field="8"/&gt;</w:t>
      </w:r>
    </w:p>
    <w:p>
      <w:pPr>
        <w:pStyle w:val="BodyText"/>
        <w:spacing w:before="38"/>
        <w:ind w:left="750"/>
        <w:rPr>
          <w:rFonts w:ascii="Consolas"/>
        </w:rPr>
      </w:pPr>
      <w:r>
        <w:rPr>
          <w:rFonts w:ascii="Consolas"/>
        </w:rPr>
        <w:t>&lt;sh:mp</w:t>
      </w:r>
      <w:r>
        <w:rPr>
          <w:rFonts w:ascii="Consolas"/>
          <w:spacing w:val="-12"/>
        </w:rPr>
        <w:t> </w:t>
      </w:r>
      <w:r>
        <w:rPr>
          <w:rFonts w:ascii="Consolas"/>
        </w:rPr>
        <w:t>field="9"/&gt;</w:t>
      </w:r>
    </w:p>
    <w:p>
      <w:pPr>
        <w:pStyle w:val="BodyText"/>
        <w:spacing w:before="40"/>
        <w:ind w:left="508"/>
        <w:rPr>
          <w:rFonts w:ascii="Consolas"/>
        </w:rPr>
      </w:pPr>
      <w:r>
        <w:rPr>
          <w:rFonts w:ascii="Consolas"/>
        </w:rPr>
        <w:t>&lt;/sh:mps&gt;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64"/>
              <w:rPr>
                <w:sz w:val="22"/>
              </w:rPr>
            </w:pPr>
            <w:r>
              <w:rPr>
                <w:rFonts w:ascii="Cambria"/>
                <w:sz w:val="22"/>
              </w:rPr>
              <w:t>count </w:t>
            </w:r>
            <w:r>
              <w:rPr>
                <w:sz w:val="22"/>
              </w:rPr>
              <w:t>(OLAP Member Properties Count)</w:t>
            </w:r>
          </w:p>
        </w:tc>
        <w:tc>
          <w:tcPr>
            <w:tcW w:w="8250" w:type="dxa"/>
          </w:tcPr>
          <w:p>
            <w:pPr>
              <w:pStyle w:val="TableParagraph"/>
              <w:rPr>
                <w:sz w:val="22"/>
              </w:rPr>
            </w:pPr>
            <w:r>
              <w:rPr>
                <w:sz w:val="22"/>
              </w:rPr>
              <w:t>Specifies the number of OLAP member properties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CT_MemberProperties</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0 n (Numeric)" w:id="929"/>
      <w:bookmarkEnd w:id="929"/>
      <w:r>
        <w:rPr/>
      </w:r>
      <w:bookmarkStart w:name="_bookmark308" w:id="930"/>
      <w:bookmarkEnd w:id="930"/>
      <w:r>
        <w:rPr/>
      </w:r>
      <w:bookmarkStart w:name="_bookmark308" w:id="931"/>
      <w:bookmarkEnd w:id="931"/>
      <w:r>
        <w:rPr>
          <w:color w:val="4F81BC"/>
        </w:rPr>
        <w:t>n</w:t>
      </w:r>
      <w:r>
        <w:rPr>
          <w:color w:val="4F81BC"/>
          <w:spacing w:val="-1"/>
        </w:rPr>
        <w:t> </w:t>
      </w:r>
      <w:r>
        <w:rPr>
          <w:color w:val="4F81BC"/>
        </w:rPr>
        <w:t>(Numeric)</w:t>
      </w:r>
    </w:p>
    <w:p>
      <w:pPr>
        <w:pStyle w:val="BodyText"/>
        <w:spacing w:line="453" w:lineRule="auto" w:before="121"/>
        <w:ind w:left="220" w:right="6356"/>
      </w:pPr>
      <w:r>
        <w:rPr/>
        <w:t>Represents a numeric value in the PivotTable. [</w:t>
      </w:r>
      <w:r>
        <w:rPr>
          <w:i/>
        </w:rPr>
        <w:t>Example</w:t>
      </w:r>
      <w:r>
        <w:rPr/>
        <w:t>:</w:t>
      </w:r>
    </w:p>
    <w:p>
      <w:pPr>
        <w:pStyle w:val="BodyText"/>
        <w:spacing w:line="276" w:lineRule="auto" w:before="2"/>
        <w:ind w:left="750" w:right="839" w:hanging="243"/>
        <w:rPr>
          <w:rFonts w:ascii="Consolas"/>
        </w:rPr>
      </w:pPr>
      <w:r>
        <w:rPr>
          <w:rFonts w:ascii="Consolas"/>
        </w:rPr>
        <w:t>&lt;sharedItems containsSemiMixedTypes="0" containsString="0" containsNumber="1" containsInteger="1" minValue="3" maxValue="3" count="1"&gt;</w:t>
      </w:r>
    </w:p>
    <w:p>
      <w:pPr>
        <w:pStyle w:val="BodyText"/>
        <w:spacing w:before="1"/>
        <w:ind w:left="165" w:right="8131"/>
        <w:jc w:val="center"/>
        <w:rPr>
          <w:rFonts w:ascii="Consolas"/>
        </w:rPr>
      </w:pPr>
      <w:r>
        <w:rPr>
          <w:rFonts w:ascii="Consolas"/>
        </w:rPr>
        <w:t>&lt;n v="3"/&gt;</w:t>
      </w:r>
    </w:p>
    <w:p>
      <w:pPr>
        <w:pStyle w:val="BodyText"/>
        <w:spacing w:before="37"/>
        <w:ind w:left="165" w:right="8132"/>
        <w:jc w:val="center"/>
        <w:rPr>
          <w:rFonts w:ascii="Consolas"/>
        </w:rPr>
      </w:pPr>
      <w:r>
        <w:rPr>
          <w:rFonts w:ascii="Consolas"/>
        </w:rPr>
        <w:t>&lt;/sharedItems&gt;</w:t>
      </w:r>
    </w:p>
    <w:p>
      <w:pPr>
        <w:pStyle w:val="BodyText"/>
        <w:spacing w:before="6"/>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9" w:hRule="atLeast"/>
        </w:trPr>
        <w:tc>
          <w:tcPr>
            <w:tcW w:w="2062" w:type="dxa"/>
          </w:tcPr>
          <w:p>
            <w:pPr>
              <w:pStyle w:val="TableParagraph"/>
              <w:rPr>
                <w:sz w:val="22"/>
              </w:rPr>
            </w:pPr>
            <w:r>
              <w:rPr>
                <w:rFonts w:ascii="Cambria"/>
                <w:sz w:val="22"/>
              </w:rPr>
              <w:t>b </w:t>
            </w:r>
            <w:r>
              <w:rPr>
                <w:sz w:val="22"/>
              </w:rPr>
              <w:t>(Bold)</w:t>
            </w:r>
          </w:p>
        </w:tc>
        <w:tc>
          <w:tcPr>
            <w:tcW w:w="8250" w:type="dxa"/>
          </w:tcPr>
          <w:p>
            <w:pPr>
              <w:pStyle w:val="TableParagraph"/>
              <w:ind w:right="336"/>
              <w:rPr>
                <w:sz w:val="22"/>
              </w:rPr>
            </w:pPr>
            <w:r>
              <w:rPr>
                <w:sz w:val="22"/>
              </w:rPr>
              <w:t>Specifies a boolean value that indicates whether this value contains bold formatting on the OLAP server. This attribute applies to OLAP-based PivotTables only.</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value contains italic formatting on the server.</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523"/>
              <w:rPr>
                <w:sz w:val="22"/>
              </w:rPr>
            </w:pPr>
            <w:r>
              <w:rPr>
                <w:rFonts w:ascii="Cambria"/>
                <w:sz w:val="22"/>
              </w:rPr>
              <w:t>bc </w:t>
            </w:r>
            <w:r>
              <w:rPr>
                <w:sz w:val="22"/>
              </w:rPr>
              <w:t>(Background Color)</w:t>
            </w:r>
          </w:p>
        </w:tc>
        <w:tc>
          <w:tcPr>
            <w:tcW w:w="8250" w:type="dxa"/>
          </w:tcPr>
          <w:p>
            <w:pPr>
              <w:pStyle w:val="TableParagraph"/>
              <w:ind w:right="243"/>
              <w:jc w:val="both"/>
              <w:rPr>
                <w:sz w:val="22"/>
              </w:rPr>
            </w:pPr>
            <w:r>
              <w:rPr>
                <w:sz w:val="22"/>
              </w:rPr>
              <w:t>Specifies the background color for this value that was provided by the OLAP server. This attribute applies to OLAP-based PivotTables only. The color is specified as a HEX value in RGB space.</w:t>
            </w:r>
          </w:p>
          <w:p>
            <w:pPr>
              <w:pStyle w:val="TableParagraph"/>
              <w:spacing w:before="2"/>
              <w:ind w:left="0"/>
              <w:rPr>
                <w:rFonts w:ascii="Times New Roman"/>
                <w:sz w:val="23"/>
              </w:rPr>
            </w:pPr>
          </w:p>
          <w:p>
            <w:pPr>
              <w:pStyle w:val="TableParagraph"/>
              <w:spacing w:before="0"/>
              <w:ind w:right="204"/>
              <w:jc w:val="both"/>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161" w:hRule="atLeast"/>
        </w:trPr>
        <w:tc>
          <w:tcPr>
            <w:tcW w:w="2062" w:type="dxa"/>
          </w:tcPr>
          <w:p>
            <w:pPr>
              <w:pStyle w:val="TableParagraph"/>
              <w:rPr>
                <w:sz w:val="22"/>
              </w:rPr>
            </w:pPr>
            <w:r>
              <w:rPr>
                <w:rFonts w:ascii="Cambria"/>
                <w:sz w:val="22"/>
              </w:rPr>
              <w:t>c </w:t>
            </w:r>
            <w:r>
              <w:rPr>
                <w:sz w:val="22"/>
              </w:rPr>
              <w:t>(Caption)</w:t>
            </w:r>
          </w:p>
        </w:tc>
        <w:tc>
          <w:tcPr>
            <w:tcW w:w="8250" w:type="dxa"/>
          </w:tcPr>
          <w:p>
            <w:pPr>
              <w:pStyle w:val="TableParagraph"/>
              <w:rPr>
                <w:sz w:val="22"/>
              </w:rPr>
            </w:pPr>
            <w:r>
              <w:rPr>
                <w:sz w:val="22"/>
              </w:rPr>
              <w:t>Specifies the caption for this item.</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480"/>
              <w:rPr>
                <w:sz w:val="22"/>
              </w:rPr>
            </w:pPr>
            <w:r>
              <w:rPr>
                <w:rFonts w:ascii="Cambria"/>
                <w:sz w:val="22"/>
              </w:rPr>
              <w:t>cp </w:t>
            </w:r>
            <w:r>
              <w:rPr>
                <w:sz w:val="22"/>
              </w:rPr>
              <w:t>(Member Property Count)</w:t>
            </w:r>
          </w:p>
        </w:tc>
        <w:tc>
          <w:tcPr>
            <w:tcW w:w="8250" w:type="dxa"/>
          </w:tcPr>
          <w:p>
            <w:pPr>
              <w:pStyle w:val="TableParagraph"/>
              <w:rPr>
                <w:sz w:val="22"/>
              </w:rPr>
            </w:pPr>
            <w:r>
              <w:rPr>
                <w:sz w:val="22"/>
              </w:rPr>
              <w:t>Specifies the number of member property values for this item.</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2234" w:hRule="atLeast"/>
        </w:trPr>
        <w:tc>
          <w:tcPr>
            <w:tcW w:w="2062" w:type="dxa"/>
          </w:tcPr>
          <w:p>
            <w:pPr>
              <w:pStyle w:val="TableParagraph"/>
              <w:rPr>
                <w:sz w:val="22"/>
              </w:rPr>
            </w:pPr>
            <w:r>
              <w:rPr>
                <w:rFonts w:ascii="Cambria"/>
                <w:sz w:val="22"/>
              </w:rPr>
              <w:t>f </w:t>
            </w:r>
            <w:r>
              <w:rPr>
                <w:sz w:val="22"/>
              </w:rPr>
              <w:t>(Calculated Item)</w:t>
            </w:r>
          </w:p>
        </w:tc>
        <w:tc>
          <w:tcPr>
            <w:tcW w:w="8250" w:type="dxa"/>
          </w:tcPr>
          <w:p>
            <w:pPr>
              <w:pStyle w:val="TableParagraph"/>
              <w:spacing w:line="480" w:lineRule="auto"/>
              <w:ind w:right="1060"/>
              <w:rPr>
                <w:sz w:val="22"/>
              </w:rPr>
            </w:pPr>
            <w:r>
              <w:rPr>
                <w:sz w:val="22"/>
              </w:rPr>
              <w:t>Specifies a boolean value that indicates whether this is a calculated item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item is a calculated value.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not calculated.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8" w:hRule="atLeast"/>
        </w:trPr>
        <w:tc>
          <w:tcPr>
            <w:tcW w:w="2062" w:type="dxa"/>
          </w:tcPr>
          <w:p>
            <w:pPr>
              <w:pStyle w:val="TableParagraph"/>
              <w:spacing w:line="237" w:lineRule="auto" w:before="44"/>
              <w:ind w:right="591"/>
              <w:rPr>
                <w:sz w:val="22"/>
              </w:rPr>
            </w:pPr>
            <w:r>
              <w:rPr>
                <w:rFonts w:ascii="Cambria"/>
                <w:sz w:val="22"/>
              </w:rPr>
              <w:t>fc </w:t>
            </w:r>
            <w:r>
              <w:rPr>
                <w:sz w:val="22"/>
              </w:rPr>
              <w:t>(Foreground Color)</w:t>
            </w:r>
          </w:p>
        </w:tc>
        <w:tc>
          <w:tcPr>
            <w:tcW w:w="8250" w:type="dxa"/>
          </w:tcPr>
          <w:p>
            <w:pPr>
              <w:pStyle w:val="TableParagraph"/>
              <w:spacing w:before="42"/>
              <w:ind w:right="228"/>
              <w:rPr>
                <w:sz w:val="22"/>
              </w:rPr>
            </w:pPr>
            <w:r>
              <w:rPr>
                <w:sz w:val="22"/>
              </w:rPr>
              <w:t>Specifies the foreground color for this value that was provided by the OLAP server. This attribute applies to OLAP-based PivotTables only. The color is specified as a HEX value in RGB space.</w:t>
            </w:r>
          </w:p>
          <w:p>
            <w:pPr>
              <w:pStyle w:val="TableParagraph"/>
              <w:spacing w:before="2"/>
              <w:ind w:left="0"/>
              <w:rPr>
                <w:rFonts w:ascii="Times New Roman"/>
                <w:sz w:val="23"/>
              </w:rPr>
            </w:pPr>
          </w:p>
          <w:p>
            <w:pPr>
              <w:pStyle w:val="TableParagraph"/>
              <w:spacing w:before="1"/>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965" w:hRule="atLeast"/>
        </w:trPr>
        <w:tc>
          <w:tcPr>
            <w:tcW w:w="2062" w:type="dxa"/>
          </w:tcPr>
          <w:p>
            <w:pPr>
              <w:pStyle w:val="TableParagraph"/>
              <w:rPr>
                <w:sz w:val="22"/>
              </w:rPr>
            </w:pPr>
            <w:r>
              <w:rPr>
                <w:rFonts w:ascii="Cambria"/>
                <w:sz w:val="22"/>
              </w:rPr>
              <w:t>i </w:t>
            </w:r>
            <w:r>
              <w:rPr>
                <w:sz w:val="22"/>
              </w:rPr>
              <w:t>(Italic)</w:t>
            </w:r>
          </w:p>
        </w:tc>
        <w:tc>
          <w:tcPr>
            <w:tcW w:w="8250" w:type="dxa"/>
          </w:tcPr>
          <w:p>
            <w:pPr>
              <w:pStyle w:val="TableParagraph"/>
              <w:ind w:right="337"/>
              <w:rPr>
                <w:sz w:val="22"/>
              </w:rPr>
            </w:pPr>
            <w:r>
              <w:rPr>
                <w:sz w:val="22"/>
              </w:rPr>
              <w:t>Specifies a boolean value that indicates whether the value contains italic formatting on the OLAP server. This attribute applies to OLAP-based PivotTables only.</w:t>
            </w:r>
          </w:p>
          <w:p>
            <w:pPr>
              <w:pStyle w:val="TableParagraph"/>
              <w:spacing w:line="530" w:lineRule="atLeast" w:before="7"/>
              <w:ind w:right="690"/>
              <w:rPr>
                <w:rFonts w:ascii="Cambria"/>
                <w:sz w:val="22"/>
              </w:rPr>
            </w:pPr>
            <w:r>
              <w:rPr>
                <w:sz w:val="22"/>
              </w:rPr>
              <w:t>A value of </w:t>
            </w:r>
            <w:r>
              <w:rPr>
                <w:rFonts w:ascii="Consolas"/>
                <w:sz w:val="20"/>
              </w:rPr>
              <w:t>1 </w:t>
            </w:r>
            <w:r>
              <w:rPr>
                <w:sz w:val="22"/>
              </w:rPr>
              <w:t>or </w:t>
            </w:r>
            <w:r>
              <w:rPr>
                <w:rFonts w:ascii="Consolas"/>
                <w:sz w:val="20"/>
              </w:rPr>
              <w:t>true </w:t>
            </w:r>
            <w:r>
              <w:rPr>
                <w:sz w:val="22"/>
              </w:rPr>
              <w:t>indicates this value contains italic formatting on the server. The possible values for this attribute are defined by the W3C XML Schema </w:t>
            </w:r>
            <w:r>
              <w:rPr>
                <w:rFonts w:ascii="Cambria"/>
                <w:sz w:val="22"/>
              </w:rPr>
              <w:t>boolean</w:t>
            </w:r>
          </w:p>
          <w:p>
            <w:pPr>
              <w:pStyle w:val="TableParagraph"/>
              <w:spacing w:before="7"/>
              <w:rPr>
                <w:sz w:val="22"/>
              </w:rPr>
            </w:pPr>
            <w:r>
              <w:rPr>
                <w:sz w:val="22"/>
              </w:rPr>
              <w:t>datatype.</w:t>
            </w:r>
          </w:p>
        </w:tc>
      </w:tr>
      <w:tr>
        <w:trPr>
          <w:trHeight w:val="1429" w:hRule="atLeast"/>
        </w:trPr>
        <w:tc>
          <w:tcPr>
            <w:tcW w:w="2062" w:type="dxa"/>
          </w:tcPr>
          <w:p>
            <w:pPr>
              <w:pStyle w:val="TableParagraph"/>
              <w:rPr>
                <w:sz w:val="22"/>
              </w:rPr>
            </w:pPr>
            <w:r>
              <w:rPr>
                <w:rFonts w:ascii="Cambria"/>
                <w:sz w:val="22"/>
              </w:rPr>
              <w:t>in </w:t>
            </w:r>
            <w:r>
              <w:rPr>
                <w:sz w:val="22"/>
              </w:rPr>
              <w:t>(Format Index)</w:t>
            </w:r>
          </w:p>
        </w:tc>
        <w:tc>
          <w:tcPr>
            <w:tcW w:w="8250" w:type="dxa"/>
          </w:tcPr>
          <w:p>
            <w:pPr>
              <w:pStyle w:val="TableParagraph"/>
              <w:ind w:right="365"/>
              <w:rPr>
                <w:sz w:val="22"/>
              </w:rPr>
            </w:pPr>
            <w:r>
              <w:rPr>
                <w:sz w:val="22"/>
              </w:rPr>
              <w:t>Specifies the index to the OLAP </w:t>
            </w:r>
            <w:r>
              <w:rPr>
                <w:rFonts w:ascii="Cambria"/>
                <w:sz w:val="22"/>
              </w:rPr>
              <w:t>serverformat </w:t>
            </w:r>
            <w:r>
              <w:rPr>
                <w:sz w:val="22"/>
              </w:rPr>
              <w:t>element where the format string for this entry is stored.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54" w:hRule="atLeast"/>
        </w:trPr>
        <w:tc>
          <w:tcPr>
            <w:tcW w:w="2062" w:type="dxa"/>
          </w:tcPr>
          <w:p>
            <w:pPr>
              <w:pStyle w:val="TableParagraph"/>
              <w:rPr>
                <w:sz w:val="22"/>
              </w:rPr>
            </w:pPr>
            <w:r>
              <w:rPr>
                <w:rFonts w:ascii="Cambria"/>
                <w:sz w:val="22"/>
              </w:rPr>
              <w:t>st </w:t>
            </w:r>
            <w:r>
              <w:rPr>
                <w:sz w:val="22"/>
              </w:rPr>
              <w:t>(Strikethrough)</w:t>
            </w:r>
          </w:p>
        </w:tc>
        <w:tc>
          <w:tcPr>
            <w:tcW w:w="8250" w:type="dxa"/>
          </w:tcPr>
          <w:p>
            <w:pPr>
              <w:pStyle w:val="TableParagraph"/>
              <w:rPr>
                <w:sz w:val="22"/>
              </w:rPr>
            </w:pPr>
            <w:r>
              <w:rPr>
                <w:sz w:val="22"/>
              </w:rPr>
              <w:t>Specifies a boolean value that indicates whether the value contains strikethrough</w:t>
            </w:r>
          </w:p>
        </w:tc>
      </w:tr>
    </w:tbl>
    <w:p>
      <w:pPr>
        <w:spacing w:after="0"/>
        <w:rPr>
          <w:sz w:val="22"/>
        </w:rPr>
        <w:sectPr>
          <w:footerReference w:type="even" r:id="rId122"/>
          <w:footerReference w:type="default" r:id="rId123"/>
          <w:pgSz w:w="12240" w:h="15840"/>
          <w:pgMar w:footer="746" w:header="761" w:top="1340" w:bottom="940" w:left="860" w:right="700"/>
          <w:pgNumType w:start="188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formatting on the OLAP server. This attribute applies to OLAP-based PivotTables only.</w:t>
            </w:r>
          </w:p>
          <w:p>
            <w:pPr>
              <w:pStyle w:val="TableParagraph"/>
              <w:spacing w:line="530" w:lineRule="atLeast" w:before="7"/>
              <w:ind w:right="201"/>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value contains strikethrough formatting on the server. The possible values for this attribute are defined by the W3C XML Schema </w:t>
            </w:r>
            <w:r>
              <w:rPr>
                <w:rFonts w:ascii="Cambria"/>
                <w:sz w:val="22"/>
              </w:rPr>
              <w:t>boolean</w:t>
            </w:r>
          </w:p>
          <w:p>
            <w:pPr>
              <w:pStyle w:val="TableParagraph"/>
              <w:spacing w:before="6"/>
              <w:rPr>
                <w:sz w:val="22"/>
              </w:rPr>
            </w:pPr>
            <w:r>
              <w:rPr>
                <w:sz w:val="22"/>
              </w:rPr>
              <w:t>datatype.</w:t>
            </w:r>
          </w:p>
        </w:tc>
      </w:tr>
      <w:tr>
        <w:trPr>
          <w:trHeight w:val="3040" w:hRule="atLeast"/>
        </w:trPr>
        <w:tc>
          <w:tcPr>
            <w:tcW w:w="2062" w:type="dxa"/>
          </w:tcPr>
          <w:p>
            <w:pPr>
              <w:pStyle w:val="TableParagraph"/>
              <w:rPr>
                <w:sz w:val="22"/>
              </w:rPr>
            </w:pPr>
            <w:r>
              <w:rPr>
                <w:rFonts w:ascii="Cambria"/>
                <w:sz w:val="22"/>
              </w:rPr>
              <w:t>u </w:t>
            </w:r>
            <w:r>
              <w:rPr>
                <w:sz w:val="22"/>
              </w:rPr>
              <w:t>(Unused Item)</w:t>
            </w:r>
          </w:p>
        </w:tc>
        <w:tc>
          <w:tcPr>
            <w:tcW w:w="8250" w:type="dxa"/>
          </w:tcPr>
          <w:p>
            <w:pPr>
              <w:pStyle w:val="TableParagraph"/>
              <w:ind w:right="305"/>
              <w:rPr>
                <w:sz w:val="22"/>
              </w:rPr>
            </w:pPr>
            <w:r>
              <w:rPr>
                <w:sz w:val="22"/>
              </w:rPr>
              <w:t>Specifies a boolean value that indicates whether this is an unused item. The application marks an item as unused when an item is deleted from the data source. The item and associated metadata are retained in the cache until the threshold for unused items specified in </w:t>
            </w:r>
            <w:r>
              <w:rPr>
                <w:rFonts w:ascii="Cambria"/>
                <w:sz w:val="22"/>
              </w:rPr>
              <w:t>missingItemsLimit </w:t>
            </w:r>
            <w:r>
              <w:rPr>
                <w:sz w:val="22"/>
              </w:rPr>
              <w:t>is reached.</w:t>
            </w:r>
          </w:p>
          <w:p>
            <w:pPr>
              <w:pStyle w:val="TableParagraph"/>
              <w:spacing w:before="5"/>
              <w:ind w:left="0"/>
              <w:rPr>
                <w:rFonts w:ascii="Times New Roman"/>
                <w:sz w:val="23"/>
              </w:rPr>
            </w:pPr>
          </w:p>
          <w:p>
            <w:pPr>
              <w:pStyle w:val="TableParagraph"/>
              <w:spacing w:line="480" w:lineRule="auto" w:before="0"/>
              <w:ind w:right="3568"/>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item is not used.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used.</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rPr>
                <w:sz w:val="22"/>
              </w:rPr>
            </w:pPr>
            <w:r>
              <w:rPr>
                <w:rFonts w:ascii="Cambria"/>
                <w:sz w:val="22"/>
              </w:rPr>
              <w:t>un </w:t>
            </w:r>
            <w:r>
              <w:rPr>
                <w:sz w:val="22"/>
              </w:rPr>
              <w:t>(Underline)</w:t>
            </w:r>
          </w:p>
        </w:tc>
        <w:tc>
          <w:tcPr>
            <w:tcW w:w="8250" w:type="dxa"/>
          </w:tcPr>
          <w:p>
            <w:pPr>
              <w:pStyle w:val="TableParagraph"/>
              <w:ind w:right="183"/>
              <w:rPr>
                <w:sz w:val="22"/>
              </w:rPr>
            </w:pPr>
            <w:r>
              <w:rPr>
                <w:sz w:val="22"/>
              </w:rPr>
              <w:t>Specifies a boolean value that indicates whether the value contains underline formatting on the OLAP server. This attribute applies to OLAP-based PivotTables only.</w:t>
            </w:r>
          </w:p>
          <w:p>
            <w:pPr>
              <w:pStyle w:val="TableParagraph"/>
              <w:spacing w:line="530" w:lineRule="atLeast" w:before="7"/>
              <w:ind w:right="554"/>
              <w:rPr>
                <w:rFonts w:ascii="Cambria"/>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this value contains underline formatting on the server.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1161" w:hRule="atLeast"/>
        </w:trPr>
        <w:tc>
          <w:tcPr>
            <w:tcW w:w="2062" w:type="dxa"/>
          </w:tcPr>
          <w:p>
            <w:pPr>
              <w:pStyle w:val="TableParagraph"/>
              <w:rPr>
                <w:sz w:val="22"/>
              </w:rPr>
            </w:pPr>
            <w:r>
              <w:rPr>
                <w:rFonts w:ascii="Cambria"/>
                <w:sz w:val="22"/>
              </w:rPr>
              <w:t>v </w:t>
            </w:r>
            <w:r>
              <w:rPr>
                <w:sz w:val="22"/>
              </w:rPr>
              <w:t>(Value)</w:t>
            </w:r>
          </w:p>
        </w:tc>
        <w:tc>
          <w:tcPr>
            <w:tcW w:w="8250" w:type="dxa"/>
          </w:tcPr>
          <w:p>
            <w:pPr>
              <w:pStyle w:val="TableParagraph"/>
              <w:rPr>
                <w:sz w:val="22"/>
              </w:rPr>
            </w:pPr>
            <w:r>
              <w:rPr>
                <w:sz w:val="22"/>
              </w:rPr>
              <w:t>Specified the value of this item.</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6"/>
        <w:ind w:left="220" w:right="750"/>
      </w:pPr>
      <w:r>
        <w:rPr/>
        <w:t>[</w:t>
      </w:r>
      <w:r>
        <w:rPr>
          <w:i/>
        </w:rPr>
        <w:t>Note</w:t>
      </w:r>
      <w:r>
        <w:rPr/>
        <w:t>: The W3C XML Schema definition of this element’s content model (</w:t>
      </w:r>
      <w:r>
        <w:rPr>
          <w:color w:val="5F5F5F"/>
          <w:u w:val="single" w:color="5F5F5F"/>
        </w:rPr>
        <w:t>CT_Number</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1 page (Page Items)" w:id="932"/>
      <w:bookmarkEnd w:id="932"/>
      <w:r>
        <w:rPr/>
      </w:r>
      <w:bookmarkStart w:name="_bookmark309" w:id="933"/>
      <w:bookmarkEnd w:id="933"/>
      <w:r>
        <w:rPr/>
      </w:r>
      <w:bookmarkStart w:name="_bookmark309" w:id="934"/>
      <w:bookmarkEnd w:id="934"/>
      <w:r>
        <w:rPr>
          <w:color w:val="4F81BC"/>
        </w:rPr>
        <w:t>p</w:t>
      </w:r>
      <w:r>
        <w:rPr>
          <w:color w:val="4F81BC"/>
        </w:rPr>
        <w:t>age (Page</w:t>
      </w:r>
      <w:r>
        <w:rPr>
          <w:color w:val="4F81BC"/>
          <w:spacing w:val="-1"/>
        </w:rPr>
        <w:t> </w:t>
      </w:r>
      <w:r>
        <w:rPr>
          <w:color w:val="4F81BC"/>
        </w:rPr>
        <w:t>Items)</w:t>
      </w:r>
    </w:p>
    <w:p>
      <w:pPr>
        <w:pStyle w:val="BodyText"/>
        <w:spacing w:before="121"/>
        <w:ind w:left="220"/>
      </w:pPr>
      <w:r>
        <w:rPr/>
        <w:t>Represents the collection of page item values for a page field.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73"/>
              <w:rPr>
                <w:sz w:val="22"/>
              </w:rPr>
            </w:pPr>
            <w:r>
              <w:rPr>
                <w:rFonts w:ascii="Cambria"/>
                <w:sz w:val="22"/>
              </w:rPr>
              <w:t>count </w:t>
            </w:r>
            <w:r>
              <w:rPr>
                <w:sz w:val="22"/>
              </w:rPr>
              <w:t>(Page Item String Count)</w:t>
            </w:r>
          </w:p>
        </w:tc>
        <w:tc>
          <w:tcPr>
            <w:tcW w:w="8250" w:type="dxa"/>
          </w:tcPr>
          <w:p>
            <w:pPr>
              <w:pStyle w:val="TableParagraph"/>
              <w:rPr>
                <w:sz w:val="22"/>
              </w:rPr>
            </w:pPr>
            <w:r>
              <w:rPr>
                <w:sz w:val="22"/>
              </w:rPr>
              <w:t>Specifies the number of page item strings in the collectoin.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line="278" w:lineRule="auto" w:before="90"/>
        <w:ind w:left="220" w:right="468"/>
      </w:pPr>
      <w:r>
        <w:rPr/>
        <w:t>[</w:t>
      </w:r>
      <w:r>
        <w:rPr>
          <w:i/>
        </w:rPr>
        <w:t>Note</w:t>
      </w:r>
      <w:r>
        <w:rPr/>
        <w:t>: The W3C XML Schema definition of this element’s content model (</w:t>
      </w:r>
      <w:r>
        <w:rPr>
          <w:color w:val="5F5F5F"/>
          <w:u w:val="single" w:color="5F5F5F"/>
        </w:rPr>
        <w:t>CT_PCDSCPage</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62 pageField (Page Field)" w:id="935"/>
      <w:bookmarkEnd w:id="935"/>
      <w:r>
        <w:rPr/>
      </w:r>
      <w:bookmarkStart w:name="_bookmark310" w:id="936"/>
      <w:bookmarkEnd w:id="936"/>
      <w:r>
        <w:rPr/>
      </w:r>
      <w:bookmarkStart w:name="_bookmark310" w:id="937"/>
      <w:bookmarkEnd w:id="937"/>
      <w:r>
        <w:rPr>
          <w:color w:val="4F81BC"/>
        </w:rPr>
        <w:t>p</w:t>
      </w:r>
      <w:r>
        <w:rPr>
          <w:color w:val="4F81BC"/>
        </w:rPr>
        <w:t>ageField (Page</w:t>
      </w:r>
      <w:r>
        <w:rPr>
          <w:color w:val="4F81BC"/>
          <w:spacing w:val="-2"/>
        </w:rPr>
        <w:t> </w:t>
      </w:r>
      <w:r>
        <w:rPr>
          <w:color w:val="4F81BC"/>
        </w:rPr>
        <w:t>Field)</w:t>
      </w:r>
    </w:p>
    <w:p>
      <w:pPr>
        <w:pStyle w:val="BodyText"/>
        <w:spacing w:before="121"/>
        <w:ind w:left="220"/>
      </w:pPr>
      <w:r>
        <w:rPr/>
        <w:t>Represents a field on the page or report filter of the PivotTable.</w:t>
      </w:r>
    </w:p>
    <w:p>
      <w:pPr>
        <w:pStyle w:val="BodyText"/>
        <w:spacing w:before="6"/>
        <w:rPr>
          <w:sz w:val="16"/>
        </w:rPr>
      </w:pPr>
      <w:r>
        <w:rPr/>
        <w:drawing>
          <wp:anchor distT="0" distB="0" distL="0" distR="0" allowOverlap="1" layoutInCell="1" locked="0" behindDoc="0" simplePos="0" relativeHeight="47">
            <wp:simplePos x="0" y="0"/>
            <wp:positionH relativeFrom="page">
              <wp:posOffset>685800</wp:posOffset>
            </wp:positionH>
            <wp:positionV relativeFrom="paragraph">
              <wp:posOffset>152847</wp:posOffset>
            </wp:positionV>
            <wp:extent cx="1715307" cy="809625"/>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124" cstate="print"/>
                    <a:stretch>
                      <a:fillRect/>
                    </a:stretch>
                  </pic:blipFill>
                  <pic:spPr>
                    <a:xfrm>
                      <a:off x="0" y="0"/>
                      <a:ext cx="1715307" cy="809625"/>
                    </a:xfrm>
                    <a:prstGeom prst="rect">
                      <a:avLst/>
                    </a:prstGeom>
                  </pic:spPr>
                </pic:pic>
              </a:graphicData>
            </a:graphic>
          </wp:anchor>
        </w:drawing>
      </w:r>
    </w:p>
    <w:p>
      <w:pPr>
        <w:pStyle w:val="BodyText"/>
        <w:rPr>
          <w:sz w:val="17"/>
        </w:rPr>
      </w:pPr>
    </w:p>
    <w:p>
      <w:pPr>
        <w:pStyle w:val="BodyText"/>
        <w:spacing w:line="278" w:lineRule="auto"/>
        <w:ind w:left="220" w:right="697"/>
      </w:pPr>
      <w:r>
        <w:rPr/>
        <w:t>In the image above, the blue field is a page or report filter field. Page/filter fields allow you to filter the entire PivotTable to display data for a single item or all the items.</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&lt;sh:pageField fld="43" hier="103"</w:t>
      </w:r>
    </w:p>
    <w:p>
      <w:pPr>
        <w:pStyle w:val="BodyText"/>
        <w:spacing w:before="38"/>
        <w:ind w:left="750"/>
        <w:rPr>
          <w:rFonts w:ascii="Consolas"/>
        </w:rPr>
      </w:pPr>
      <w:r>
        <w:rPr>
          <w:rFonts w:ascii="Consolas"/>
        </w:rPr>
        <w:t>name="[Product].[Product Categories].[All Products]" cap="All Products"/&gt;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611"/>
              <w:rPr>
                <w:sz w:val="22"/>
              </w:rPr>
            </w:pPr>
            <w:r>
              <w:rPr>
                <w:rFonts w:ascii="Cambria"/>
                <w:sz w:val="22"/>
              </w:rPr>
              <w:t>cap </w:t>
            </w:r>
            <w:r>
              <w:rPr>
                <w:sz w:val="22"/>
              </w:rPr>
              <w:t>(Hierarchy Display Name)</w:t>
            </w:r>
          </w:p>
        </w:tc>
        <w:tc>
          <w:tcPr>
            <w:tcW w:w="8250" w:type="dxa"/>
          </w:tcPr>
          <w:p>
            <w:pPr>
              <w:pStyle w:val="TableParagraph"/>
              <w:rPr>
                <w:sz w:val="22"/>
              </w:rPr>
            </w:pPr>
            <w:r>
              <w:rPr>
                <w:sz w:val="22"/>
              </w:rPr>
              <w:t>Specifies the display name of the hierarchy.</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rPr>
                <w:sz w:val="22"/>
              </w:rPr>
            </w:pPr>
            <w:r>
              <w:rPr>
                <w:rFonts w:ascii="Cambria"/>
                <w:sz w:val="22"/>
              </w:rPr>
              <w:t>fld </w:t>
            </w:r>
            <w:r>
              <w:rPr>
                <w:sz w:val="22"/>
              </w:rPr>
              <w:t>(Field)</w:t>
            </w:r>
          </w:p>
        </w:tc>
        <w:tc>
          <w:tcPr>
            <w:tcW w:w="8250" w:type="dxa"/>
          </w:tcPr>
          <w:p>
            <w:pPr>
              <w:pStyle w:val="TableParagraph"/>
              <w:ind w:right="751"/>
              <w:rPr>
                <w:sz w:val="22"/>
              </w:rPr>
            </w:pPr>
            <w:r>
              <w:rPr>
                <w:sz w:val="22"/>
              </w:rPr>
              <w:t>Specifies the index of the field that appears on the page or filter report area of the PivotTable.</w:t>
            </w:r>
          </w:p>
          <w:p>
            <w:pPr>
              <w:pStyle w:val="TableParagraph"/>
              <w:spacing w:before="10"/>
              <w:ind w:left="0"/>
              <w:rPr>
                <w:sz w:val="21"/>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892" w:hRule="atLeast"/>
        </w:trPr>
        <w:tc>
          <w:tcPr>
            <w:tcW w:w="2062" w:type="dxa"/>
          </w:tcPr>
          <w:p>
            <w:pPr>
              <w:pStyle w:val="TableParagraph"/>
              <w:ind w:right="445"/>
              <w:rPr>
                <w:sz w:val="22"/>
              </w:rPr>
            </w:pPr>
            <w:r>
              <w:rPr>
                <w:rFonts w:ascii="Cambria"/>
                <w:sz w:val="22"/>
              </w:rPr>
              <w:t>hier </w:t>
            </w:r>
            <w:r>
              <w:rPr>
                <w:sz w:val="22"/>
              </w:rPr>
              <w:t>(OLAP Hierarchy Index)</w:t>
            </w:r>
          </w:p>
        </w:tc>
        <w:tc>
          <w:tcPr>
            <w:tcW w:w="8250" w:type="dxa"/>
          </w:tcPr>
          <w:p>
            <w:pPr>
              <w:pStyle w:val="TableParagraph"/>
              <w:rPr>
                <w:sz w:val="22"/>
              </w:rPr>
            </w:pPr>
            <w:r>
              <w:rPr>
                <w:sz w:val="22"/>
              </w:rPr>
              <w:t>Specifies the index of the OLAP hierarchy to which this item belongs.</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1161" w:hRule="atLeast"/>
        </w:trPr>
        <w:tc>
          <w:tcPr>
            <w:tcW w:w="2062" w:type="dxa"/>
          </w:tcPr>
          <w:p>
            <w:pPr>
              <w:pStyle w:val="TableParagraph"/>
              <w:rPr>
                <w:sz w:val="22"/>
              </w:rPr>
            </w:pPr>
            <w:r>
              <w:rPr>
                <w:rFonts w:ascii="Cambria"/>
                <w:sz w:val="22"/>
              </w:rPr>
              <w:t>item </w:t>
            </w:r>
            <w:r>
              <w:rPr>
                <w:sz w:val="22"/>
              </w:rPr>
              <w:t>(Item Index)</w:t>
            </w:r>
          </w:p>
        </w:tc>
        <w:tc>
          <w:tcPr>
            <w:tcW w:w="8250" w:type="dxa"/>
          </w:tcPr>
          <w:p>
            <w:pPr>
              <w:pStyle w:val="TableParagraph"/>
              <w:rPr>
                <w:sz w:val="22"/>
              </w:rPr>
            </w:pPr>
            <w:r>
              <w:rPr>
                <w:sz w:val="22"/>
              </w:rPr>
              <w:t>Specifies the index of the item in the PivotCache.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9" w:hRule="atLeast"/>
        </w:trPr>
        <w:tc>
          <w:tcPr>
            <w:tcW w:w="2062" w:type="dxa"/>
          </w:tcPr>
          <w:p>
            <w:pPr>
              <w:pStyle w:val="TableParagraph"/>
              <w:ind w:right="417"/>
              <w:rPr>
                <w:sz w:val="22"/>
              </w:rPr>
            </w:pPr>
            <w:r>
              <w:rPr>
                <w:rFonts w:ascii="Cambria"/>
                <w:sz w:val="22"/>
              </w:rPr>
              <w:t>name </w:t>
            </w:r>
            <w:r>
              <w:rPr>
                <w:sz w:val="22"/>
              </w:rPr>
              <w:t>(Hierarchy Unique Name)</w:t>
            </w:r>
          </w:p>
        </w:tc>
        <w:tc>
          <w:tcPr>
            <w:tcW w:w="8250" w:type="dxa"/>
          </w:tcPr>
          <w:p>
            <w:pPr>
              <w:pStyle w:val="TableParagraph"/>
              <w:rPr>
                <w:sz w:val="22"/>
              </w:rPr>
            </w:pPr>
            <w:r>
              <w:rPr>
                <w:sz w:val="22"/>
              </w:rPr>
              <w:t>Specifies the unique name of the hierarchy.</w:t>
            </w:r>
          </w:p>
          <w:p>
            <w:pPr>
              <w:pStyle w:val="TableParagraph"/>
              <w:spacing w:before="10"/>
              <w:ind w:left="0"/>
              <w:rPr>
                <w:sz w:val="21"/>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spacing w:line="278" w:lineRule="auto"/>
        <w:ind w:left="220" w:right="626"/>
      </w:pPr>
      <w:r>
        <w:rPr/>
        <w:t>[</w:t>
      </w:r>
      <w:r>
        <w:rPr>
          <w:i/>
        </w:rPr>
        <w:t>Note</w:t>
      </w:r>
      <w:r>
        <w:rPr/>
        <w:t>: The W3C XML Schema definition of this element’s content model (</w:t>
      </w:r>
      <w:r>
        <w:rPr>
          <w:color w:val="5F5F5F"/>
          <w:u w:val="single" w:color="5F5F5F"/>
        </w:rPr>
        <w:t>CT_PageField</w:t>
      </w:r>
      <w:r>
        <w:rPr/>
        <w:t>) is located in §A.2. </w:t>
      </w:r>
      <w:r>
        <w:rPr>
          <w:i/>
        </w:rPr>
        <w:t>end </w:t>
      </w:r>
      <w:r>
        <w:rPr>
          <w:i/>
        </w:rPr>
        <w:t>note</w:t>
      </w:r>
      <w:r>
        <w:rPr/>
        <w:t>]</w:t>
      </w:r>
    </w:p>
    <w:p>
      <w:pPr>
        <w:spacing w:after="0" w:line="278" w:lineRule="auto"/>
        <w:sectPr>
          <w:pgSz w:w="12240" w:h="15840"/>
          <w:pgMar w:header="761" w:footer="746" w:top="1340" w:bottom="940" w:left="860" w:right="700"/>
        </w:sectPr>
      </w:pPr>
    </w:p>
    <w:p>
      <w:pPr>
        <w:pStyle w:val="Heading3"/>
        <w:numPr>
          <w:ilvl w:val="3"/>
          <w:numId w:val="42"/>
        </w:numPr>
        <w:tabs>
          <w:tab w:pos="1732" w:val="left" w:leader="none"/>
          <w:tab w:pos="1733" w:val="left" w:leader="none"/>
        </w:tabs>
        <w:spacing w:line="240" w:lineRule="auto" w:before="151" w:after="0"/>
        <w:ind w:left="1732" w:right="0" w:hanging="1513"/>
        <w:jc w:val="left"/>
      </w:pPr>
      <w:bookmarkStart w:name="18.10.1.63 pageFields (Page Field Items)" w:id="938"/>
      <w:bookmarkEnd w:id="938"/>
      <w:r>
        <w:rPr/>
      </w:r>
      <w:bookmarkStart w:name="_bookmark311" w:id="939"/>
      <w:bookmarkEnd w:id="939"/>
      <w:r>
        <w:rPr/>
      </w:r>
      <w:bookmarkStart w:name="_bookmark311" w:id="940"/>
      <w:bookmarkEnd w:id="940"/>
      <w:r>
        <w:rPr>
          <w:color w:val="4F81BC"/>
        </w:rPr>
        <w:t>p</w:t>
      </w:r>
      <w:r>
        <w:rPr>
          <w:color w:val="4F81BC"/>
        </w:rPr>
        <w:t>ageFields (Page Field</w:t>
      </w:r>
      <w:r>
        <w:rPr>
          <w:color w:val="4F81BC"/>
          <w:spacing w:val="-2"/>
        </w:rPr>
        <w:t> </w:t>
      </w:r>
      <w:r>
        <w:rPr>
          <w:color w:val="4F81BC"/>
        </w:rPr>
        <w:t>Items)</w:t>
      </w:r>
    </w:p>
    <w:p>
      <w:pPr>
        <w:pStyle w:val="BodyText"/>
        <w:spacing w:line="453" w:lineRule="auto" w:before="121"/>
        <w:ind w:left="220" w:right="2758"/>
      </w:pPr>
      <w:r>
        <w:rPr/>
        <w:t>Represents the collection of items in the page or report filter region of the PivotTable. [</w:t>
      </w:r>
      <w:r>
        <w:rPr>
          <w:i/>
        </w:rPr>
        <w:t>Example</w:t>
      </w:r>
      <w:r>
        <w:rPr/>
        <w:t>:</w:t>
      </w:r>
    </w:p>
    <w:p>
      <w:pPr>
        <w:pStyle w:val="BodyText"/>
        <w:spacing w:before="3"/>
        <w:ind w:left="508"/>
        <w:rPr>
          <w:rFonts w:ascii="Consolas"/>
        </w:rPr>
      </w:pPr>
      <w:r>
        <w:rPr>
          <w:rFonts w:ascii="Consolas"/>
        </w:rPr>
        <w:t>&lt;sh:pageFields count="2"&gt;</w:t>
      </w:r>
    </w:p>
    <w:p>
      <w:pPr>
        <w:pStyle w:val="BodyText"/>
        <w:spacing w:before="40"/>
        <w:ind w:left="750"/>
        <w:rPr>
          <w:rFonts w:ascii="Consolas"/>
        </w:rPr>
      </w:pPr>
      <w:r>
        <w:rPr>
          <w:rFonts w:ascii="Consolas"/>
        </w:rPr>
        <w:t>&lt;sh:pageField fld="43" hier="103"</w:t>
      </w:r>
    </w:p>
    <w:p>
      <w:pPr>
        <w:pStyle w:val="BodyText"/>
        <w:spacing w:before="37"/>
        <w:ind w:left="993"/>
        <w:rPr>
          <w:rFonts w:ascii="Consolas"/>
        </w:rPr>
      </w:pPr>
      <w:r>
        <w:rPr>
          <w:rFonts w:ascii="Consolas"/>
        </w:rPr>
        <w:t>name="[Product].[Product Categories].[All Products]" cap="All Products"/&gt;</w:t>
      </w:r>
    </w:p>
    <w:p>
      <w:pPr>
        <w:pStyle w:val="BodyText"/>
        <w:spacing w:before="38"/>
        <w:ind w:left="750"/>
        <w:rPr>
          <w:rFonts w:ascii="Consolas"/>
        </w:rPr>
      </w:pPr>
      <w:r>
        <w:rPr>
          <w:rFonts w:ascii="Consolas"/>
        </w:rPr>
        <w:t>&lt;sh:pageField fld="66" hier="126"</w:t>
      </w:r>
    </w:p>
    <w:p>
      <w:pPr>
        <w:pStyle w:val="BodyText"/>
        <w:spacing w:before="40"/>
        <w:ind w:left="993"/>
        <w:rPr>
          <w:rFonts w:ascii="Consolas"/>
        </w:rPr>
      </w:pPr>
      <w:r>
        <w:rPr>
          <w:rFonts w:ascii="Consolas"/>
        </w:rPr>
        <w:t>name="[Promotion].[Promotions].[All Promotions]" cap="All Promotions"/&gt;</w:t>
      </w:r>
    </w:p>
    <w:p>
      <w:pPr>
        <w:pStyle w:val="BodyText"/>
        <w:spacing w:before="38"/>
        <w:ind w:left="508"/>
        <w:rPr>
          <w:rFonts w:ascii="Consolas"/>
        </w:rPr>
      </w:pPr>
      <w:r>
        <w:rPr>
          <w:rFonts w:ascii="Consolas"/>
        </w:rPr>
        <w:t>&lt;/sh:pageFields&gt;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73"/>
              <w:rPr>
                <w:sz w:val="22"/>
              </w:rPr>
            </w:pPr>
            <w:r>
              <w:rPr>
                <w:rFonts w:ascii="Cambria"/>
                <w:sz w:val="22"/>
              </w:rPr>
              <w:t>count </w:t>
            </w:r>
            <w:r>
              <w:rPr>
                <w:sz w:val="22"/>
              </w:rPr>
              <w:t>(Page Item Count)</w:t>
            </w:r>
          </w:p>
        </w:tc>
        <w:tc>
          <w:tcPr>
            <w:tcW w:w="8250" w:type="dxa"/>
          </w:tcPr>
          <w:p>
            <w:pPr>
              <w:pStyle w:val="TableParagraph"/>
              <w:rPr>
                <w:sz w:val="22"/>
              </w:rPr>
            </w:pPr>
            <w:r>
              <w:rPr>
                <w:sz w:val="22"/>
              </w:rPr>
              <w:t>Specifies the number of items in the page region of the PivotTable.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ind w:left="220" w:right="540"/>
      </w:pPr>
      <w:r>
        <w:rPr/>
        <w:t>[</w:t>
      </w:r>
      <w:r>
        <w:rPr>
          <w:i/>
        </w:rPr>
        <w:t>Note</w:t>
      </w:r>
      <w:r>
        <w:rPr/>
        <w:t>: The W3C XML Schema definition of this element’s content model (</w:t>
      </w:r>
      <w:r>
        <w:rPr>
          <w:color w:val="5F5F5F"/>
          <w:u w:val="single" w:color="5F5F5F"/>
        </w:rPr>
        <w:t>CT_PageFields</w:t>
      </w:r>
      <w:r>
        <w:rPr/>
        <w:t>) is located in §A.2. </w:t>
      </w:r>
      <w:r>
        <w:rPr>
          <w:i/>
        </w:rPr>
        <w:t>end </w:t>
      </w:r>
      <w:r>
        <w:rPr>
          <w:i/>
        </w:rPr>
        <w:t>note</w:t>
      </w:r>
      <w:r>
        <w:rPr/>
        <w:t>]</w:t>
      </w:r>
    </w:p>
    <w:p>
      <w:pPr>
        <w:pStyle w:val="BodyText"/>
        <w:spacing w:before="6"/>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4 pageItem (Page Item)" w:id="941"/>
      <w:bookmarkEnd w:id="941"/>
      <w:r>
        <w:rPr/>
      </w:r>
      <w:bookmarkStart w:name="_bookmark312" w:id="942"/>
      <w:bookmarkEnd w:id="942"/>
      <w:r>
        <w:rPr/>
      </w:r>
      <w:bookmarkStart w:name="_bookmark312" w:id="943"/>
      <w:bookmarkEnd w:id="943"/>
      <w:r>
        <w:rPr>
          <w:color w:val="4F81BC"/>
        </w:rPr>
        <w:t>p</w:t>
      </w:r>
      <w:r>
        <w:rPr>
          <w:color w:val="4F81BC"/>
        </w:rPr>
        <w:t>ageItem (Page</w:t>
      </w:r>
      <w:r>
        <w:rPr>
          <w:color w:val="4F81BC"/>
          <w:spacing w:val="-1"/>
        </w:rPr>
        <w:t> </w:t>
      </w:r>
      <w:r>
        <w:rPr>
          <w:color w:val="4F81BC"/>
        </w:rPr>
        <w:t>Item)</w:t>
      </w:r>
    </w:p>
    <w:p>
      <w:pPr>
        <w:pStyle w:val="BodyText"/>
        <w:spacing w:before="124"/>
        <w:ind w:left="220"/>
      </w:pPr>
      <w:r>
        <w:rPr/>
        <w:t>Represents an item value for a PivotTable page.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line="237" w:lineRule="auto" w:before="44"/>
              <w:ind w:right="385"/>
              <w:rPr>
                <w:sz w:val="22"/>
              </w:rPr>
            </w:pPr>
            <w:r>
              <w:rPr>
                <w:rFonts w:ascii="Cambria"/>
                <w:sz w:val="22"/>
              </w:rPr>
              <w:t>name </w:t>
            </w:r>
            <w:r>
              <w:rPr>
                <w:sz w:val="22"/>
              </w:rPr>
              <w:t>(Page Item Name)</w:t>
            </w:r>
          </w:p>
        </w:tc>
        <w:tc>
          <w:tcPr>
            <w:tcW w:w="8250" w:type="dxa"/>
          </w:tcPr>
          <w:p>
            <w:pPr>
              <w:pStyle w:val="TableParagraph"/>
              <w:spacing w:before="42"/>
              <w:rPr>
                <w:sz w:val="22"/>
              </w:rPr>
            </w:pPr>
            <w:r>
              <w:rPr>
                <w:sz w:val="22"/>
              </w:rPr>
              <w:t>Specifies the name of this page item.</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spacing w:line="278" w:lineRule="auto"/>
        <w:ind w:left="220" w:right="639"/>
      </w:pPr>
      <w:r>
        <w:rPr/>
        <w:t>[</w:t>
      </w:r>
      <w:r>
        <w:rPr>
          <w:i/>
        </w:rPr>
        <w:t>Note</w:t>
      </w:r>
      <w:r>
        <w:rPr/>
        <w:t>: The W3C XML Schema definition of this element’s content model (</w:t>
      </w:r>
      <w:r>
        <w:rPr>
          <w:color w:val="5F5F5F"/>
          <w:u w:val="single" w:color="5F5F5F"/>
        </w:rPr>
        <w:t>CT_PageItem</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65 pages (Page Item Values)" w:id="944"/>
      <w:bookmarkEnd w:id="944"/>
      <w:r>
        <w:rPr/>
      </w:r>
      <w:bookmarkStart w:name="_bookmark313" w:id="945"/>
      <w:bookmarkEnd w:id="945"/>
      <w:r>
        <w:rPr/>
      </w:r>
      <w:bookmarkStart w:name="_bookmark313" w:id="946"/>
      <w:bookmarkEnd w:id="946"/>
      <w:r>
        <w:rPr>
          <w:color w:val="4F81BC"/>
        </w:rPr>
        <w:t>p</w:t>
      </w:r>
      <w:r>
        <w:rPr>
          <w:color w:val="4F81BC"/>
        </w:rPr>
        <w:t>ages (Page Item</w:t>
      </w:r>
      <w:r>
        <w:rPr>
          <w:color w:val="4F81BC"/>
          <w:spacing w:val="-13"/>
        </w:rPr>
        <w:t> </w:t>
      </w:r>
      <w:r>
        <w:rPr>
          <w:color w:val="4F81BC"/>
        </w:rPr>
        <w:t>Values)</w:t>
      </w:r>
    </w:p>
    <w:p>
      <w:pPr>
        <w:pStyle w:val="BodyText"/>
        <w:spacing w:before="121"/>
        <w:ind w:left="220"/>
      </w:pPr>
      <w:r>
        <w:rPr/>
        <w:t>Represents the collection of page item values for each page</w:t>
      </w:r>
      <w:r>
        <w:rPr>
          <w:spacing w:val="-20"/>
        </w:rPr>
        <w:t> </w:t>
      </w:r>
      <w:r>
        <w:rPr/>
        <w:t>field.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right="373"/>
              <w:rPr>
                <w:sz w:val="22"/>
              </w:rPr>
            </w:pPr>
            <w:r>
              <w:rPr>
                <w:rFonts w:ascii="Cambria"/>
                <w:sz w:val="22"/>
              </w:rPr>
              <w:t>count </w:t>
            </w:r>
            <w:r>
              <w:rPr>
                <w:sz w:val="22"/>
              </w:rPr>
              <w:t>(Page Item String Count)</w:t>
            </w:r>
          </w:p>
        </w:tc>
        <w:tc>
          <w:tcPr>
            <w:tcW w:w="8250" w:type="dxa"/>
          </w:tcPr>
          <w:p>
            <w:pPr>
              <w:pStyle w:val="TableParagraph"/>
              <w:rPr>
                <w:sz w:val="22"/>
              </w:rPr>
            </w:pPr>
            <w:r>
              <w:rPr>
                <w:sz w:val="22"/>
              </w:rPr>
              <w:t>Specifies the number of page item strings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CT_Pages</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6 pivotAreas (Pivot Areas)" w:id="947"/>
      <w:bookmarkEnd w:id="947"/>
      <w:r>
        <w:rPr/>
      </w:r>
      <w:bookmarkStart w:name="_bookmark314" w:id="948"/>
      <w:bookmarkEnd w:id="948"/>
      <w:r>
        <w:rPr/>
      </w:r>
      <w:bookmarkStart w:name="_bookmark314" w:id="949"/>
      <w:bookmarkEnd w:id="949"/>
      <w:r>
        <w:rPr>
          <w:color w:val="4F81BC"/>
        </w:rPr>
        <w:t>piv</w:t>
      </w:r>
      <w:r>
        <w:rPr>
          <w:color w:val="4F81BC"/>
        </w:rPr>
        <w:t>otAreas (Pivot</w:t>
      </w:r>
      <w:r>
        <w:rPr>
          <w:color w:val="4F81BC"/>
          <w:spacing w:val="-1"/>
        </w:rPr>
        <w:t> </w:t>
      </w:r>
      <w:r>
        <w:rPr>
          <w:color w:val="4F81BC"/>
        </w:rPr>
        <w:t>Areas)</w:t>
      </w:r>
    </w:p>
    <w:p>
      <w:pPr>
        <w:pStyle w:val="BodyText"/>
        <w:spacing w:line="453" w:lineRule="auto" w:before="121"/>
        <w:ind w:left="220" w:right="3445"/>
      </w:pPr>
      <w:r>
        <w:rPr/>
        <w:t>Represents the collection of pivot areas that comprise the PivotTable location. [</w:t>
      </w:r>
      <w:r>
        <w:rPr>
          <w:i/>
        </w:rPr>
        <w:t>Example</w:t>
      </w:r>
      <w:r>
        <w:rPr/>
        <w:t>:</w:t>
      </w:r>
    </w:p>
    <w:p>
      <w:pPr>
        <w:pStyle w:val="BodyText"/>
        <w:spacing w:before="3"/>
        <w:ind w:left="508"/>
        <w:rPr>
          <w:rFonts w:ascii="Consolas"/>
        </w:rPr>
      </w:pPr>
      <w:r>
        <w:rPr>
          <w:rFonts w:ascii="Consolas"/>
        </w:rPr>
        <w:t>&lt;sh:pivotAreas count="1"&gt;</w:t>
      </w:r>
    </w:p>
    <w:p>
      <w:pPr>
        <w:pStyle w:val="BodyText"/>
        <w:spacing w:before="40"/>
        <w:ind w:left="750"/>
        <w:rPr>
          <w:rFonts w:ascii="Consolas"/>
        </w:rPr>
      </w:pPr>
      <w:r>
        <w:rPr>
          <w:rFonts w:ascii="Consolas"/>
        </w:rPr>
        <w:t>&lt;sh:pivotArea field="2" dataOnly="0" outline="0"/&gt;</w:t>
      </w:r>
    </w:p>
    <w:p>
      <w:pPr>
        <w:pStyle w:val="BodyText"/>
        <w:spacing w:before="38"/>
        <w:ind w:left="508"/>
        <w:rPr>
          <w:rFonts w:ascii="Consolas"/>
        </w:rPr>
      </w:pPr>
      <w:r>
        <w:rPr>
          <w:rFonts w:ascii="Consolas"/>
        </w:rPr>
        <w:t>&lt;/sh:pivotAreas&gt;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347"/>
              <w:rPr>
                <w:sz w:val="22"/>
              </w:rPr>
            </w:pPr>
            <w:r>
              <w:rPr>
                <w:rFonts w:ascii="Cambria"/>
                <w:sz w:val="22"/>
              </w:rPr>
              <w:t>count </w:t>
            </w:r>
            <w:r>
              <w:rPr>
                <w:sz w:val="22"/>
              </w:rPr>
              <w:t>(Pivot Area Count)</w:t>
            </w:r>
          </w:p>
        </w:tc>
        <w:tc>
          <w:tcPr>
            <w:tcW w:w="8250" w:type="dxa"/>
          </w:tcPr>
          <w:p>
            <w:pPr>
              <w:pStyle w:val="TableParagraph"/>
              <w:rPr>
                <w:sz w:val="22"/>
              </w:rPr>
            </w:pPr>
            <w:r>
              <w:rPr>
                <w:sz w:val="22"/>
              </w:rPr>
              <w:t>Specifies the number of PivotAreas for the PivotTable location.</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527"/>
      </w:pPr>
      <w:r>
        <w:rPr/>
        <w:t>[</w:t>
      </w:r>
      <w:r>
        <w:rPr>
          <w:i/>
        </w:rPr>
        <w:t>Note</w:t>
      </w:r>
      <w:r>
        <w:rPr/>
        <w:t>: The W3C XML Schema definition of this element’s content model (</w:t>
      </w:r>
      <w:r>
        <w:rPr>
          <w:color w:val="5F5F5F"/>
          <w:u w:val="single" w:color="5F5F5F"/>
        </w:rPr>
        <w:t>CT_PivotAreas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7 pivotCacheDefinition (PivotCa" w:id="950"/>
      <w:bookmarkEnd w:id="950"/>
      <w:r>
        <w:rPr/>
      </w:r>
      <w:bookmarkStart w:name="_bookmark315" w:id="951"/>
      <w:bookmarkEnd w:id="951"/>
      <w:r>
        <w:rPr/>
      </w:r>
      <w:bookmarkStart w:name="_bookmark315" w:id="952"/>
      <w:bookmarkEnd w:id="952"/>
      <w:r>
        <w:rPr>
          <w:color w:val="4F81BC"/>
        </w:rPr>
        <w:t>piv</w:t>
      </w:r>
      <w:r>
        <w:rPr>
          <w:color w:val="4F81BC"/>
        </w:rPr>
        <w:t>otCacheDefinition (PivotCache</w:t>
      </w:r>
      <w:r>
        <w:rPr>
          <w:color w:val="4F81BC"/>
          <w:spacing w:val="1"/>
        </w:rPr>
        <w:t> </w:t>
      </w:r>
      <w:r>
        <w:rPr>
          <w:color w:val="4F81BC"/>
        </w:rPr>
        <w:t>Definition)</w:t>
      </w:r>
    </w:p>
    <w:p>
      <w:pPr>
        <w:pStyle w:val="BodyText"/>
        <w:spacing w:line="278" w:lineRule="auto" w:before="119"/>
        <w:ind w:left="220" w:right="414"/>
      </w:pPr>
      <w:r>
        <w:rPr/>
        <w:t>Represents the pivotCacheDefinition part. This part defines each field in the source data, including the name, the string resources of the instance data (for shared items), and information about the type of data that appears in the</w:t>
      </w:r>
      <w:r>
        <w:rPr>
          <w:spacing w:val="-1"/>
        </w:rPr>
        <w:t> </w:t>
      </w:r>
      <w:r>
        <w:rPr/>
        <w:t>field.</w:t>
      </w:r>
    </w:p>
    <w:p>
      <w:pPr>
        <w:spacing w:before="196"/>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line="276" w:lineRule="auto"/>
        <w:ind w:left="750" w:right="698" w:hanging="243"/>
        <w:rPr>
          <w:rFonts w:ascii="Consolas" w:hAnsi="Consolas"/>
        </w:rPr>
      </w:pPr>
      <w:r>
        <w:rPr>
          <w:rFonts w:ascii="Consolas" w:hAnsi="Consolas"/>
        </w:rPr>
        <w:t>&lt;pivotCacheDefinition xmlns="…" xmlns:r="…" r:id="rId1" refreshedBy="AnonUser" refreshedDateIso="2006-05-22T10:07:16Z" createdVersion="3"</w:t>
      </w:r>
    </w:p>
    <w:p>
      <w:pPr>
        <w:pStyle w:val="BodyText"/>
        <w:spacing w:line="276" w:lineRule="auto" w:before="1"/>
        <w:ind w:left="750" w:right="4609" w:hanging="243"/>
        <w:rPr>
          <w:rFonts w:ascii="Consolas"/>
        </w:rPr>
      </w:pPr>
      <w:r>
        <w:rPr>
          <w:rFonts w:ascii="Consolas"/>
        </w:rPr>
        <w:t>refreshedVersion="3" minRefreshableVersion="3"</w:t>
      </w:r>
      <w:r>
        <w:rPr>
          <w:rFonts w:ascii="Consolas"/>
          <w:spacing w:val="-24"/>
        </w:rPr>
        <w:t> </w:t>
      </w:r>
      <w:r>
        <w:rPr>
          <w:rFonts w:ascii="Consolas"/>
        </w:rPr>
        <w:t>recordCount="182"&gt;</w:t>
      </w:r>
    </w:p>
    <w:p>
      <w:pPr>
        <w:pStyle w:val="BodyText"/>
        <w:spacing w:line="256" w:lineRule="exact"/>
        <w:ind w:left="750"/>
        <w:rPr>
          <w:rFonts w:ascii="Consolas"/>
        </w:rPr>
      </w:pPr>
      <w:r>
        <w:rPr>
          <w:rFonts w:ascii="Consolas"/>
        </w:rPr>
        <w:t>&lt;cacheSource type="worksheet"&gt;</w:t>
      </w:r>
    </w:p>
    <w:p>
      <w:pPr>
        <w:pStyle w:val="BodyText"/>
        <w:spacing w:before="40"/>
        <w:ind w:left="993"/>
        <w:rPr>
          <w:rFonts w:ascii="Consolas"/>
        </w:rPr>
      </w:pPr>
      <w:r>
        <w:rPr>
          <w:rFonts w:ascii="Consolas"/>
        </w:rPr>
        <w:t>&lt;worksheetSource name="Table1"/&gt;</w:t>
      </w:r>
    </w:p>
    <w:p>
      <w:pPr>
        <w:pStyle w:val="BodyText"/>
        <w:spacing w:before="37"/>
        <w:ind w:left="750"/>
        <w:rPr>
          <w:rFonts w:ascii="Consolas"/>
        </w:rPr>
      </w:pPr>
      <w:r>
        <w:rPr>
          <w:rFonts w:ascii="Consolas"/>
        </w:rPr>
        <w:t>&lt;/cacheSource&gt;</w:t>
      </w:r>
    </w:p>
    <w:p>
      <w:pPr>
        <w:spacing w:after="0"/>
        <w:rPr>
          <w:rFonts w:ascii="Consolas"/>
        </w:rPr>
        <w:sectPr>
          <w:pgSz w:w="12240" w:h="15840"/>
          <w:pgMar w:header="761" w:footer="746" w:top="1340" w:bottom="940" w:left="860" w:right="700"/>
        </w:sectPr>
      </w:pPr>
    </w:p>
    <w:p>
      <w:pPr>
        <w:pStyle w:val="BodyText"/>
        <w:spacing w:before="150"/>
        <w:ind w:left="750"/>
        <w:rPr>
          <w:rFonts w:ascii="Consolas"/>
        </w:rPr>
      </w:pPr>
      <w:r>
        <w:rPr>
          <w:rFonts w:ascii="Consolas"/>
        </w:rPr>
        <w:t>&lt;cacheFields count="28"&gt;</w:t>
      </w:r>
    </w:p>
    <w:p>
      <w:pPr>
        <w:pStyle w:val="BodyText"/>
        <w:spacing w:before="38"/>
        <w:ind w:left="993"/>
        <w:rPr>
          <w:rFonts w:ascii="Consolas"/>
        </w:rPr>
      </w:pPr>
      <w:r>
        <w:rPr>
          <w:rFonts w:ascii="Consolas"/>
        </w:rPr>
        <w:t>&lt;cacheField name="Customer Name" numFmtId="0"&gt;</w:t>
      </w:r>
    </w:p>
    <w:p>
      <w:pPr>
        <w:pStyle w:val="BodyText"/>
        <w:spacing w:before="40"/>
        <w:ind w:left="993"/>
        <w:rPr>
          <w:rFonts w:ascii="Consolas"/>
        </w:rPr>
      </w:pPr>
      <w:r>
        <w:rPr>
          <w:rFonts w:ascii="Consolas"/>
        </w:rPr>
        <w:t>&lt;cacheField name="Postal Code" numFmtId="0"&gt;</w:t>
      </w:r>
    </w:p>
    <w:p>
      <w:pPr>
        <w:pStyle w:val="BodyText"/>
        <w:spacing w:before="38"/>
        <w:ind w:left="1235"/>
        <w:rPr>
          <w:rFonts w:ascii="Consolas"/>
        </w:rPr>
      </w:pPr>
      <w:r>
        <w:rPr>
          <w:rFonts w:ascii="Consolas"/>
        </w:rPr>
        <w:t>&lt;sharedItems/&gt;</w:t>
      </w:r>
    </w:p>
    <w:p>
      <w:pPr>
        <w:pStyle w:val="BodyText"/>
        <w:spacing w:before="40"/>
        <w:ind w:left="993"/>
        <w:rPr>
          <w:rFonts w:ascii="Consolas"/>
        </w:rPr>
      </w:pPr>
      <w:r>
        <w:rPr>
          <w:rFonts w:ascii="Consolas"/>
        </w:rPr>
        <w:t>&lt;/cacheField&gt;</w:t>
      </w:r>
    </w:p>
    <w:p>
      <w:pPr>
        <w:pStyle w:val="BodyText"/>
        <w:spacing w:before="37"/>
        <w:ind w:left="993"/>
        <w:rPr>
          <w:rFonts w:ascii="Consolas"/>
        </w:rPr>
      </w:pPr>
      <w:r>
        <w:rPr>
          <w:rFonts w:ascii="Consolas"/>
        </w:rPr>
        <w:t>&lt;cacheField name="Product Category" numFmtId="0"&gt;</w:t>
      </w:r>
    </w:p>
    <w:p>
      <w:pPr>
        <w:pStyle w:val="BodyText"/>
        <w:spacing w:before="40"/>
        <w:ind w:left="1235"/>
        <w:rPr>
          <w:rFonts w:ascii="Consolas"/>
        </w:rPr>
      </w:pPr>
      <w:r>
        <w:rPr>
          <w:rFonts w:ascii="Consolas"/>
        </w:rPr>
        <w:t>&lt;sharedItems count="1"&gt;</w:t>
      </w:r>
    </w:p>
    <w:p>
      <w:pPr>
        <w:pStyle w:val="BodyText"/>
        <w:spacing w:before="38"/>
        <w:ind w:left="1478"/>
        <w:rPr>
          <w:rFonts w:ascii="Consolas"/>
        </w:rPr>
      </w:pPr>
      <w:r>
        <w:rPr>
          <w:rFonts w:ascii="Consolas"/>
        </w:rPr>
        <w:t>&lt;s v="Bikes"/&gt;</w:t>
      </w:r>
    </w:p>
    <w:p>
      <w:pPr>
        <w:pStyle w:val="BodyText"/>
        <w:spacing w:before="38"/>
        <w:ind w:left="1235"/>
        <w:rPr>
          <w:rFonts w:ascii="Consolas"/>
        </w:rPr>
      </w:pPr>
      <w:r>
        <w:rPr>
          <w:rFonts w:ascii="Consolas"/>
        </w:rPr>
        <w:t>&lt;/sharedItems&gt;</w:t>
      </w:r>
    </w:p>
    <w:p>
      <w:pPr>
        <w:pStyle w:val="BodyText"/>
        <w:spacing w:before="40"/>
        <w:ind w:left="993"/>
        <w:rPr>
          <w:rFonts w:ascii="Consolas"/>
        </w:rPr>
      </w:pPr>
      <w:r>
        <w:rPr>
          <w:rFonts w:ascii="Consolas"/>
        </w:rPr>
        <w:t>&lt;/cacheField&gt;</w:t>
      </w:r>
    </w:p>
    <w:p>
      <w:pPr>
        <w:pStyle w:val="BodyText"/>
        <w:spacing w:before="37"/>
        <w:ind w:left="993"/>
        <w:rPr>
          <w:rFonts w:ascii="Consolas"/>
        </w:rPr>
      </w:pPr>
      <w:r>
        <w:rPr>
          <w:rFonts w:ascii="Consolas"/>
        </w:rPr>
        <w:t>&lt;cacheField name="Year" numFmtId="0"&gt;</w:t>
      </w:r>
    </w:p>
    <w:p>
      <w:pPr>
        <w:pStyle w:val="BodyText"/>
        <w:spacing w:before="40"/>
        <w:ind w:left="1235"/>
        <w:rPr>
          <w:rFonts w:ascii="Consolas"/>
        </w:rPr>
      </w:pPr>
      <w:r>
        <w:rPr>
          <w:rFonts w:ascii="Consolas"/>
        </w:rPr>
        <w:t>&lt;sharedItems count="1"&gt;</w:t>
      </w:r>
    </w:p>
    <w:p>
      <w:pPr>
        <w:pStyle w:val="BodyText"/>
        <w:spacing w:before="38"/>
        <w:ind w:left="1478"/>
        <w:rPr>
          <w:rFonts w:ascii="Consolas"/>
        </w:rPr>
      </w:pPr>
      <w:r>
        <w:rPr>
          <w:rFonts w:ascii="Consolas"/>
        </w:rPr>
        <w:t>&lt;s v="2001"/&gt;</w:t>
      </w:r>
    </w:p>
    <w:p>
      <w:pPr>
        <w:pStyle w:val="BodyText"/>
        <w:spacing w:before="40"/>
        <w:ind w:left="1235"/>
        <w:rPr>
          <w:rFonts w:ascii="Consolas"/>
        </w:rPr>
      </w:pPr>
      <w:r>
        <w:rPr>
          <w:rFonts w:ascii="Consolas"/>
        </w:rPr>
        <w:t>&lt;/sharedItems&gt;</w:t>
      </w:r>
    </w:p>
    <w:p>
      <w:pPr>
        <w:pStyle w:val="BodyText"/>
        <w:spacing w:before="38"/>
        <w:ind w:left="993"/>
        <w:rPr>
          <w:rFonts w:ascii="Consolas"/>
        </w:rPr>
      </w:pPr>
      <w:r>
        <w:rPr>
          <w:rFonts w:ascii="Consolas"/>
        </w:rPr>
        <w:t>&lt;/cacheField&gt;</w:t>
      </w:r>
    </w:p>
    <w:p>
      <w:pPr>
        <w:pStyle w:val="BodyText"/>
        <w:spacing w:before="38"/>
        <w:ind w:left="993"/>
        <w:rPr>
          <w:rFonts w:ascii="Consolas"/>
        </w:rPr>
      </w:pPr>
      <w:r>
        <w:rPr>
          <w:rFonts w:ascii="Consolas"/>
        </w:rPr>
        <w:t>&lt;cacheField name="Quarter" numFmtId="0"&gt;</w:t>
      </w:r>
    </w:p>
    <w:p>
      <w:pPr>
        <w:pStyle w:val="BodyText"/>
        <w:spacing w:line="276" w:lineRule="auto" w:before="40"/>
        <w:ind w:left="1478" w:right="503" w:hanging="243"/>
        <w:rPr>
          <w:rFonts w:ascii="Consolas"/>
        </w:rPr>
      </w:pPr>
      <w:r>
        <w:rPr>
          <w:rFonts w:ascii="Consolas"/>
        </w:rPr>
        <w:t>&lt;sharedItems containsSemiMixedTypes="0" containsString="0" containsNumber="1" containsInteger="1" minValue="3"</w:t>
      </w:r>
      <w:r>
        <w:rPr>
          <w:rFonts w:ascii="Consolas"/>
          <w:spacing w:val="-43"/>
        </w:rPr>
        <w:t> </w:t>
      </w:r>
      <w:r>
        <w:rPr>
          <w:rFonts w:ascii="Consolas"/>
        </w:rPr>
        <w:t>maxValue="3" count="1"&gt;</w:t>
      </w:r>
    </w:p>
    <w:p>
      <w:pPr>
        <w:pStyle w:val="BodyText"/>
        <w:spacing w:line="257" w:lineRule="exact"/>
        <w:ind w:left="165" w:right="6679"/>
        <w:jc w:val="center"/>
        <w:rPr>
          <w:rFonts w:ascii="Consolas"/>
        </w:rPr>
      </w:pPr>
      <w:r>
        <w:rPr>
          <w:rFonts w:ascii="Consolas"/>
        </w:rPr>
        <w:t>&lt;n</w:t>
      </w:r>
      <w:r>
        <w:rPr>
          <w:rFonts w:ascii="Consolas"/>
          <w:spacing w:val="-8"/>
        </w:rPr>
        <w:t> </w:t>
      </w:r>
      <w:r>
        <w:rPr>
          <w:rFonts w:ascii="Consolas"/>
        </w:rPr>
        <w:t>v="3"/&gt;</w:t>
      </w:r>
    </w:p>
    <w:p>
      <w:pPr>
        <w:pStyle w:val="BodyText"/>
        <w:spacing w:before="40"/>
        <w:ind w:left="165" w:right="6680"/>
        <w:jc w:val="center"/>
        <w:rPr>
          <w:rFonts w:ascii="Consolas"/>
        </w:rPr>
      </w:pPr>
      <w:r>
        <w:rPr>
          <w:rFonts w:ascii="Consolas"/>
        </w:rPr>
        <w:t>&lt;/sharedItems&gt;</w:t>
      </w:r>
    </w:p>
    <w:p>
      <w:pPr>
        <w:pStyle w:val="BodyText"/>
        <w:spacing w:before="37"/>
        <w:ind w:left="165" w:right="7285"/>
        <w:jc w:val="center"/>
        <w:rPr>
          <w:rFonts w:ascii="Consolas"/>
        </w:rPr>
      </w:pPr>
      <w:r>
        <w:rPr>
          <w:rFonts w:ascii="Consolas"/>
        </w:rPr>
        <w:t>&lt;/cacheField&gt;</w:t>
      </w:r>
    </w:p>
    <w:p>
      <w:pPr>
        <w:pStyle w:val="BodyText"/>
        <w:spacing w:before="38"/>
        <w:ind w:left="128" w:right="7610"/>
        <w:jc w:val="center"/>
        <w:rPr>
          <w:rFonts w:ascii="Consolas"/>
        </w:rPr>
      </w:pPr>
      <w:r>
        <w:rPr>
          <w:rFonts w:ascii="Consolas"/>
        </w:rPr>
        <w:t>&lt;/cacheFields&gt;</w:t>
      </w:r>
    </w:p>
    <w:p>
      <w:pPr>
        <w:pStyle w:val="BodyText"/>
        <w:spacing w:before="40"/>
        <w:ind w:left="50" w:right="6932"/>
        <w:jc w:val="center"/>
        <w:rPr>
          <w:rFonts w:ascii="Consolas"/>
        </w:rPr>
      </w:pPr>
      <w:r>
        <w:rPr>
          <w:rFonts w:ascii="Consolas"/>
        </w:rPr>
        <w:t>&lt;/pivotCacheDefinition&gt;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69" w:hRule="atLeast"/>
        </w:trPr>
        <w:tc>
          <w:tcPr>
            <w:tcW w:w="2062" w:type="dxa"/>
          </w:tcPr>
          <w:p>
            <w:pPr>
              <w:pStyle w:val="TableParagraph"/>
              <w:spacing w:line="256" w:lineRule="exact" w:before="42"/>
              <w:rPr>
                <w:rFonts w:ascii="Cambria"/>
                <w:sz w:val="22"/>
              </w:rPr>
            </w:pPr>
            <w:r>
              <w:rPr>
                <w:rFonts w:ascii="Cambria"/>
                <w:sz w:val="22"/>
              </w:rPr>
              <w:t>backgroundQuery</w:t>
            </w:r>
          </w:p>
          <w:p>
            <w:pPr>
              <w:pStyle w:val="TableParagraph"/>
              <w:spacing w:line="267" w:lineRule="exact" w:before="0"/>
              <w:rPr>
                <w:sz w:val="22"/>
              </w:rPr>
            </w:pPr>
            <w:r>
              <w:rPr>
                <w:sz w:val="22"/>
              </w:rPr>
              <w:t>(Background Query)</w:t>
            </w:r>
          </w:p>
        </w:tc>
        <w:tc>
          <w:tcPr>
            <w:tcW w:w="8250" w:type="dxa"/>
          </w:tcPr>
          <w:p>
            <w:pPr>
              <w:pStyle w:val="TableParagraph"/>
              <w:spacing w:line="237" w:lineRule="auto" w:before="42"/>
              <w:ind w:right="791"/>
              <w:rPr>
                <w:sz w:val="22"/>
              </w:rPr>
            </w:pPr>
            <w:r>
              <w:rPr>
                <w:sz w:val="22"/>
              </w:rPr>
              <w:t>Specifies a boolean value that indicates whether the application should query and retrieve records asynchronously from the cache.</w:t>
            </w:r>
          </w:p>
          <w:p>
            <w:pPr>
              <w:pStyle w:val="TableParagraph"/>
              <w:spacing w:before="1"/>
              <w:ind w:left="0"/>
              <w:rPr>
                <w:sz w:val="22"/>
              </w:rPr>
            </w:pPr>
          </w:p>
          <w:p>
            <w:pPr>
              <w:pStyle w:val="TableParagraph"/>
              <w:spacing w:before="0"/>
              <w:ind w:right="323"/>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application will retrieve records asynchronously from the cache.</w:t>
            </w:r>
          </w:p>
          <w:p>
            <w:pPr>
              <w:pStyle w:val="TableParagraph"/>
              <w:spacing w:line="530" w:lineRule="atLeast" w:before="8"/>
              <w:ind w:right="690"/>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will retrieve records synchronously. The possible values for this attribute are defined by the W3C XML Schema </w:t>
            </w:r>
            <w:r>
              <w:rPr>
                <w:rFonts w:ascii="Cambria"/>
                <w:sz w:val="22"/>
              </w:rPr>
              <w:t>boolean</w:t>
            </w:r>
          </w:p>
          <w:p>
            <w:pPr>
              <w:pStyle w:val="TableParagraph"/>
              <w:spacing w:before="9"/>
              <w:rPr>
                <w:sz w:val="22"/>
              </w:rPr>
            </w:pPr>
            <w:r>
              <w:rPr>
                <w:sz w:val="22"/>
              </w:rPr>
              <w:t>datatype.</w:t>
            </w:r>
          </w:p>
        </w:tc>
      </w:tr>
      <w:tr>
        <w:trPr>
          <w:trHeight w:val="1429" w:hRule="atLeast"/>
        </w:trPr>
        <w:tc>
          <w:tcPr>
            <w:tcW w:w="2062" w:type="dxa"/>
          </w:tcPr>
          <w:p>
            <w:pPr>
              <w:pStyle w:val="TableParagraph"/>
              <w:spacing w:line="237" w:lineRule="auto" w:before="47"/>
              <w:ind w:right="99"/>
              <w:rPr>
                <w:sz w:val="22"/>
              </w:rPr>
            </w:pPr>
            <w:r>
              <w:rPr>
                <w:rFonts w:ascii="Cambria"/>
                <w:sz w:val="22"/>
              </w:rPr>
              <w:t>createdVersion </w:t>
            </w:r>
            <w:r>
              <w:rPr>
                <w:sz w:val="22"/>
              </w:rPr>
              <w:t>(PivotCache Created Version)</w:t>
            </w:r>
          </w:p>
        </w:tc>
        <w:tc>
          <w:tcPr>
            <w:tcW w:w="8250" w:type="dxa"/>
          </w:tcPr>
          <w:p>
            <w:pPr>
              <w:pStyle w:val="TableParagraph"/>
              <w:spacing w:line="237" w:lineRule="auto" w:before="44"/>
              <w:ind w:right="1052"/>
              <w:rPr>
                <w:sz w:val="22"/>
              </w:rPr>
            </w:pPr>
            <w:r>
              <w:rPr>
                <w:sz w:val="22"/>
              </w:rPr>
              <w:t>Specifies the version of the application that created the cache. This attribute is application-dependent.</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0"/>
              <w:rPr>
                <w:sz w:val="22"/>
              </w:rPr>
            </w:pPr>
            <w:r>
              <w:rPr>
                <w:sz w:val="22"/>
              </w:rPr>
              <w:t>datatype.</w:t>
            </w:r>
          </w:p>
        </w:tc>
      </w:tr>
      <w:tr>
        <w:trPr>
          <w:trHeight w:val="354" w:hRule="atLeast"/>
        </w:trPr>
        <w:tc>
          <w:tcPr>
            <w:tcW w:w="2062" w:type="dxa"/>
          </w:tcPr>
          <w:p>
            <w:pPr>
              <w:pStyle w:val="TableParagraph"/>
              <w:spacing w:before="42"/>
              <w:ind w:left="0" w:right="584"/>
              <w:jc w:val="right"/>
              <w:rPr>
                <w:rFonts w:ascii="Cambria"/>
                <w:sz w:val="22"/>
              </w:rPr>
            </w:pPr>
            <w:r>
              <w:rPr>
                <w:rFonts w:ascii="Cambria"/>
                <w:sz w:val="22"/>
              </w:rPr>
              <w:t>enableRefresh</w:t>
            </w:r>
          </w:p>
        </w:tc>
        <w:tc>
          <w:tcPr>
            <w:tcW w:w="8250" w:type="dxa"/>
          </w:tcPr>
          <w:p>
            <w:pPr>
              <w:pStyle w:val="TableParagraph"/>
              <w:ind w:left="86" w:right="140"/>
              <w:jc w:val="center"/>
              <w:rPr>
                <w:sz w:val="22"/>
              </w:rPr>
            </w:pPr>
            <w:r>
              <w:rPr>
                <w:sz w:val="22"/>
              </w:rPr>
              <w:t>Specifies a boolean value that indicates whether the end-user can refresh the cache. This</w:t>
            </w:r>
          </w:p>
        </w:tc>
      </w:tr>
    </w:tbl>
    <w:p>
      <w:pPr>
        <w:spacing w:after="0"/>
        <w:jc w:val="center"/>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02" w:hRule="atLeast"/>
        </w:trPr>
        <w:tc>
          <w:tcPr>
            <w:tcW w:w="2062" w:type="dxa"/>
          </w:tcPr>
          <w:p>
            <w:pPr>
              <w:pStyle w:val="TableParagraph"/>
              <w:ind w:right="202"/>
              <w:rPr>
                <w:sz w:val="22"/>
              </w:rPr>
            </w:pPr>
            <w:r>
              <w:rPr>
                <w:sz w:val="22"/>
              </w:rPr>
              <w:t>(Enable PivotCache Refresh)</w:t>
            </w:r>
          </w:p>
        </w:tc>
        <w:tc>
          <w:tcPr>
            <w:tcW w:w="8250" w:type="dxa"/>
          </w:tcPr>
          <w:p>
            <w:pPr>
              <w:pStyle w:val="TableParagraph"/>
              <w:ind w:right="296"/>
              <w:rPr>
                <w:sz w:val="22"/>
              </w:rPr>
            </w:pPr>
            <w:r>
              <w:rPr>
                <w:sz w:val="22"/>
              </w:rPr>
              <w:t>attribute depends on whether the application exposes a method for allowing end-users control over refreshing the cache via the user interface.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end-user can refresh the cache.</w:t>
            </w:r>
          </w:p>
          <w:p>
            <w:pPr>
              <w:pStyle w:val="TableParagraph"/>
              <w:spacing w:before="2"/>
              <w:ind w:left="0"/>
              <w:rPr>
                <w:rFonts w:ascii="Times New Roman"/>
                <w:sz w:val="23"/>
              </w:rPr>
            </w:pPr>
          </w:p>
          <w:p>
            <w:pPr>
              <w:pStyle w:val="TableParagraph"/>
              <w:spacing w:before="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end-user cannot refresh the cache.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28" w:hRule="atLeast"/>
        </w:trPr>
        <w:tc>
          <w:tcPr>
            <w:tcW w:w="2062" w:type="dxa"/>
            <w:tcBorders>
              <w:bottom w:val="nil"/>
            </w:tcBorders>
          </w:tcPr>
          <w:p>
            <w:pPr>
              <w:pStyle w:val="TableParagraph"/>
              <w:rPr>
                <w:sz w:val="22"/>
              </w:rPr>
            </w:pPr>
            <w:r>
              <w:rPr>
                <w:rFonts w:ascii="Cambria"/>
                <w:sz w:val="22"/>
              </w:rPr>
              <w:t>id </w:t>
            </w:r>
            <w:r>
              <w:rPr>
                <w:sz w:val="22"/>
              </w:rPr>
              <w:t>(Relationship</w:t>
            </w:r>
          </w:p>
        </w:tc>
        <w:tc>
          <w:tcPr>
            <w:tcW w:w="8250" w:type="dxa"/>
            <w:tcBorders>
              <w:bottom w:val="nil"/>
            </w:tcBorders>
          </w:tcPr>
          <w:p>
            <w:pPr>
              <w:pStyle w:val="TableParagraph"/>
              <w:rPr>
                <w:sz w:val="22"/>
              </w:rPr>
            </w:pPr>
            <w:r>
              <w:rPr>
                <w:sz w:val="22"/>
              </w:rPr>
              <w:t>Specifies the unique identifier that corresponds to the related </w:t>
            </w:r>
            <w:r>
              <w:rPr>
                <w:rFonts w:ascii="Consolas"/>
                <w:sz w:val="20"/>
              </w:rPr>
              <w:t>pivotCacheRecords</w:t>
            </w:r>
            <w:r>
              <w:rPr>
                <w:rFonts w:ascii="Consolas"/>
                <w:spacing w:val="-78"/>
                <w:sz w:val="20"/>
              </w:rPr>
              <w:t> </w:t>
            </w:r>
            <w:r>
              <w:rPr>
                <w:sz w:val="22"/>
              </w:rPr>
              <w:t>part.</w:t>
            </w:r>
          </w:p>
        </w:tc>
      </w:tr>
      <w:tr>
        <w:trPr>
          <w:trHeight w:val="381" w:hRule="atLeast"/>
        </w:trPr>
        <w:tc>
          <w:tcPr>
            <w:tcW w:w="2062" w:type="dxa"/>
            <w:tcBorders>
              <w:top w:val="nil"/>
              <w:bottom w:val="nil"/>
            </w:tcBorders>
          </w:tcPr>
          <w:p>
            <w:pPr>
              <w:pStyle w:val="TableParagraph"/>
              <w:spacing w:line="249" w:lineRule="exact" w:before="0"/>
              <w:rPr>
                <w:sz w:val="22"/>
              </w:rPr>
            </w:pPr>
            <w:r>
              <w:rPr>
                <w:sz w:val="22"/>
              </w:rPr>
              <w:t>Identifier)</w:t>
            </w:r>
          </w:p>
        </w:tc>
        <w:tc>
          <w:tcPr>
            <w:tcW w:w="8250" w:type="dxa"/>
            <w:tcBorders>
              <w:top w:val="nil"/>
              <w:bottom w:val="nil"/>
            </w:tcBorders>
          </w:tcPr>
          <w:p>
            <w:pPr>
              <w:pStyle w:val="TableParagraph"/>
              <w:spacing w:line="249" w:lineRule="exact" w:before="0"/>
              <w:rPr>
                <w:sz w:val="22"/>
              </w:rPr>
            </w:pPr>
            <w:r>
              <w:rPr>
                <w:sz w:val="22"/>
              </w:rPr>
              <w:t>See (§</w:t>
            </w:r>
            <w:hyperlink w:history="true" w:anchor="_bookmark316">
              <w:r>
                <w:rPr>
                  <w:sz w:val="22"/>
                </w:rPr>
                <w:t>18.10.1.68</w:t>
              </w:r>
            </w:hyperlink>
            <w:r>
              <w:rPr>
                <w:sz w:val="22"/>
              </w:rPr>
              <w:t>) for more information.</w:t>
            </w:r>
          </w:p>
        </w:tc>
      </w:tr>
      <w:tr>
        <w:trPr>
          <w:trHeight w:val="1481" w:hRule="atLeast"/>
        </w:trPr>
        <w:tc>
          <w:tcPr>
            <w:tcW w:w="2062" w:type="dxa"/>
            <w:tcBorders>
              <w:top w:val="nil"/>
            </w:tcBorders>
          </w:tcPr>
          <w:p>
            <w:pPr>
              <w:pStyle w:val="TableParagraph"/>
              <w:spacing w:before="137"/>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Borders>
              <w:top w:val="nil"/>
            </w:tcBorders>
          </w:tcPr>
          <w:p>
            <w:pPr>
              <w:pStyle w:val="TableParagraph"/>
              <w:spacing w:before="137"/>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2236" w:hRule="atLeast"/>
        </w:trPr>
        <w:tc>
          <w:tcPr>
            <w:tcW w:w="2062" w:type="dxa"/>
          </w:tcPr>
          <w:p>
            <w:pPr>
              <w:pStyle w:val="TableParagraph"/>
              <w:spacing w:line="237" w:lineRule="auto" w:before="44"/>
              <w:ind w:right="564"/>
              <w:rPr>
                <w:sz w:val="22"/>
              </w:rPr>
            </w:pPr>
            <w:r>
              <w:rPr>
                <w:rFonts w:ascii="Cambria"/>
                <w:sz w:val="22"/>
              </w:rPr>
              <w:t>invalid </w:t>
            </w:r>
            <w:r>
              <w:rPr>
                <w:sz w:val="22"/>
              </w:rPr>
              <w:t>(Invalid Cache)</w:t>
            </w:r>
          </w:p>
        </w:tc>
        <w:tc>
          <w:tcPr>
            <w:tcW w:w="8250" w:type="dxa"/>
          </w:tcPr>
          <w:p>
            <w:pPr>
              <w:pStyle w:val="TableParagraph"/>
              <w:spacing w:line="477" w:lineRule="auto" w:before="42"/>
              <w:ind w:right="797"/>
              <w:rPr>
                <w:sz w:val="22"/>
              </w:rPr>
            </w:pPr>
            <w:r>
              <w:rPr>
                <w:sz w:val="22"/>
              </w:rPr>
              <w:t>Specifies a boolean value that indicates whether the cache needs to be refreshed.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cache needs to be refreshed.</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cache does not need to be refreshed.</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98" w:hRule="atLeast"/>
        </w:trPr>
        <w:tc>
          <w:tcPr>
            <w:tcW w:w="2062" w:type="dxa"/>
            <w:tcBorders>
              <w:bottom w:val="nil"/>
            </w:tcBorders>
          </w:tcPr>
          <w:p>
            <w:pPr>
              <w:pStyle w:val="TableParagraph"/>
              <w:spacing w:line="236" w:lineRule="exact" w:before="42"/>
              <w:rPr>
                <w:rFonts w:ascii="Cambria"/>
                <w:sz w:val="22"/>
              </w:rPr>
            </w:pPr>
            <w:r>
              <w:rPr>
                <w:rFonts w:ascii="Cambria"/>
                <w:sz w:val="22"/>
              </w:rPr>
              <w:t>minRefreshableVer</w:t>
            </w:r>
          </w:p>
        </w:tc>
        <w:tc>
          <w:tcPr>
            <w:tcW w:w="8250" w:type="dxa"/>
            <w:tcBorders>
              <w:bottom w:val="nil"/>
            </w:tcBorders>
          </w:tcPr>
          <w:p>
            <w:pPr>
              <w:pStyle w:val="TableParagraph"/>
              <w:spacing w:line="239" w:lineRule="exact"/>
              <w:rPr>
                <w:sz w:val="22"/>
              </w:rPr>
            </w:pPr>
            <w:r>
              <w:rPr>
                <w:sz w:val="22"/>
              </w:rPr>
              <w:t>Specifies the earliest version of the application that is required to refresh the cache. This</w:t>
            </w:r>
          </w:p>
        </w:tc>
      </w:tr>
      <w:tr>
        <w:trPr>
          <w:trHeight w:val="292" w:hRule="atLeast"/>
        </w:trPr>
        <w:tc>
          <w:tcPr>
            <w:tcW w:w="2062" w:type="dxa"/>
            <w:tcBorders>
              <w:top w:val="nil"/>
              <w:bottom w:val="nil"/>
            </w:tcBorders>
          </w:tcPr>
          <w:p>
            <w:pPr>
              <w:pStyle w:val="TableParagraph"/>
              <w:spacing w:line="267" w:lineRule="exact" w:before="0"/>
              <w:rPr>
                <w:sz w:val="22"/>
              </w:rPr>
            </w:pPr>
            <w:r>
              <w:rPr>
                <w:rFonts w:ascii="Cambria"/>
                <w:sz w:val="22"/>
              </w:rPr>
              <w:t>sion </w:t>
            </w:r>
            <w:r>
              <w:rPr>
                <w:sz w:val="22"/>
              </w:rPr>
              <w:t>(Minimum</w:t>
            </w:r>
          </w:p>
        </w:tc>
        <w:tc>
          <w:tcPr>
            <w:tcW w:w="8250" w:type="dxa"/>
            <w:tcBorders>
              <w:top w:val="nil"/>
              <w:bottom w:val="nil"/>
            </w:tcBorders>
          </w:tcPr>
          <w:p>
            <w:pPr>
              <w:pStyle w:val="TableParagraph"/>
              <w:spacing w:line="263" w:lineRule="exact" w:before="10"/>
              <w:rPr>
                <w:sz w:val="22"/>
              </w:rPr>
            </w:pPr>
            <w:r>
              <w:rPr>
                <w:sz w:val="22"/>
              </w:rPr>
              <w:t>attribute is application-dependent.</w:t>
            </w:r>
          </w:p>
        </w:tc>
      </w:tr>
      <w:tr>
        <w:trPr>
          <w:trHeight w:val="245" w:hRule="atLeast"/>
        </w:trPr>
        <w:tc>
          <w:tcPr>
            <w:tcW w:w="2062" w:type="dxa"/>
            <w:tcBorders>
              <w:top w:val="nil"/>
              <w:bottom w:val="nil"/>
            </w:tcBorders>
          </w:tcPr>
          <w:p>
            <w:pPr>
              <w:pStyle w:val="TableParagraph"/>
              <w:spacing w:line="225" w:lineRule="exact" w:before="0"/>
              <w:rPr>
                <w:sz w:val="22"/>
              </w:rPr>
            </w:pPr>
            <w:r>
              <w:rPr>
                <w:sz w:val="22"/>
              </w:rPr>
              <w:t>Version Required</w:t>
            </w:r>
          </w:p>
        </w:tc>
        <w:tc>
          <w:tcPr>
            <w:tcW w:w="8250" w:type="dxa"/>
            <w:tcBorders>
              <w:top w:val="nil"/>
              <w:bottom w:val="nil"/>
            </w:tcBorders>
          </w:tcPr>
          <w:p>
            <w:pPr>
              <w:pStyle w:val="TableParagraph"/>
              <w:spacing w:before="0"/>
              <w:ind w:left="0"/>
              <w:rPr>
                <w:rFonts w:ascii="Times New Roman"/>
                <w:sz w:val="16"/>
              </w:rPr>
            </w:pPr>
          </w:p>
        </w:tc>
      </w:tr>
      <w:tr>
        <w:trPr>
          <w:trHeight w:val="295" w:hRule="atLeast"/>
        </w:trPr>
        <w:tc>
          <w:tcPr>
            <w:tcW w:w="2062" w:type="dxa"/>
            <w:tcBorders>
              <w:top w:val="nil"/>
              <w:bottom w:val="nil"/>
            </w:tcBorders>
          </w:tcPr>
          <w:p>
            <w:pPr>
              <w:pStyle w:val="TableParagraph"/>
              <w:spacing w:line="266" w:lineRule="exact" w:before="0"/>
              <w:rPr>
                <w:sz w:val="22"/>
              </w:rPr>
            </w:pPr>
            <w:r>
              <w:rPr>
                <w:sz w:val="22"/>
              </w:rPr>
              <w:t>for Refresh)</w:t>
            </w:r>
          </w:p>
        </w:tc>
        <w:tc>
          <w:tcPr>
            <w:tcW w:w="8250" w:type="dxa"/>
            <w:tcBorders>
              <w:top w:val="nil"/>
              <w:bottom w:val="nil"/>
            </w:tcBorders>
          </w:tcPr>
          <w:p>
            <w:pPr>
              <w:pStyle w:val="TableParagraph"/>
              <w:spacing w:before="7"/>
              <w:rPr>
                <w:rFonts w:ascii="Cambria"/>
                <w:sz w:val="22"/>
              </w:rPr>
            </w:pPr>
            <w:r>
              <w:rPr>
                <w:sz w:val="22"/>
              </w:rPr>
              <w:t>The possible values for this attribute are defined by the W3C XML Schema </w:t>
            </w:r>
            <w:r>
              <w:rPr>
                <w:rFonts w:ascii="Cambria"/>
                <w:sz w:val="22"/>
              </w:rPr>
              <w:t>unsignedByte</w:t>
            </w:r>
          </w:p>
        </w:tc>
      </w:tr>
      <w:tr>
        <w:trPr>
          <w:trHeight w:val="295"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9" w:lineRule="exact" w:before="0"/>
              <w:rPr>
                <w:sz w:val="22"/>
              </w:rPr>
            </w:pPr>
            <w:r>
              <w:rPr>
                <w:sz w:val="22"/>
              </w:rPr>
              <w:t>datatype.</w:t>
            </w:r>
          </w:p>
        </w:tc>
      </w:tr>
      <w:tr>
        <w:trPr>
          <w:trHeight w:val="1696" w:hRule="atLeast"/>
        </w:trPr>
        <w:tc>
          <w:tcPr>
            <w:tcW w:w="2062" w:type="dxa"/>
          </w:tcPr>
          <w:p>
            <w:pPr>
              <w:pStyle w:val="TableParagraph"/>
              <w:spacing w:before="42"/>
              <w:ind w:right="162"/>
              <w:rPr>
                <w:sz w:val="22"/>
              </w:rPr>
            </w:pPr>
            <w:r>
              <w:rPr>
                <w:rFonts w:ascii="Cambria"/>
                <w:sz w:val="22"/>
              </w:rPr>
              <w:t>missingItemsLimit </w:t>
            </w:r>
            <w:r>
              <w:rPr>
                <w:sz w:val="22"/>
              </w:rPr>
              <w:t>(Missing Items Limit)</w:t>
            </w:r>
          </w:p>
        </w:tc>
        <w:tc>
          <w:tcPr>
            <w:tcW w:w="8250" w:type="dxa"/>
          </w:tcPr>
          <w:p>
            <w:pPr>
              <w:pStyle w:val="TableParagraph"/>
              <w:ind w:right="346"/>
              <w:rPr>
                <w:sz w:val="22"/>
              </w:rPr>
            </w:pPr>
            <w:r>
              <w:rPr>
                <w:sz w:val="22"/>
              </w:rPr>
              <w:t>Specifies the number of unused items to allow before discarding unused items. This attribute is application-dependent. The application shall specify a threshold for unused items.</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6" w:hRule="atLeast"/>
        </w:trPr>
        <w:tc>
          <w:tcPr>
            <w:tcW w:w="2062" w:type="dxa"/>
          </w:tcPr>
          <w:p>
            <w:pPr>
              <w:pStyle w:val="TableParagraph"/>
              <w:spacing w:line="237" w:lineRule="auto" w:before="47"/>
              <w:ind w:right="142"/>
              <w:rPr>
                <w:sz w:val="22"/>
              </w:rPr>
            </w:pPr>
            <w:r>
              <w:rPr>
                <w:rFonts w:ascii="Cambria"/>
                <w:sz w:val="22"/>
              </w:rPr>
              <w:t>optimizeMemory </w:t>
            </w:r>
            <w:r>
              <w:rPr>
                <w:sz w:val="22"/>
              </w:rPr>
              <w:t>(Optimize Cache for Memory)</w:t>
            </w:r>
          </w:p>
        </w:tc>
        <w:tc>
          <w:tcPr>
            <w:tcW w:w="8250" w:type="dxa"/>
          </w:tcPr>
          <w:p>
            <w:pPr>
              <w:pStyle w:val="TableParagraph"/>
              <w:spacing w:before="42"/>
              <w:ind w:right="233"/>
              <w:rPr>
                <w:sz w:val="22"/>
              </w:rPr>
            </w:pPr>
            <w:r>
              <w:rPr>
                <w:sz w:val="22"/>
              </w:rPr>
              <w:t>Specifies a boolean value that indicates whether the application will apply optimizations to the cache to reduce memory usage. This attribute is application-dependent. This application shall define its own cache optimization methods. The application shall also decide whether to expose cache optimization status via the user interface or an object model.</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application will apply optimizations to the cache.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will not apply optimizations to the cache.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76"/>
              <w:rPr>
                <w:sz w:val="22"/>
              </w:rPr>
            </w:pPr>
            <w:r>
              <w:rPr>
                <w:rFonts w:ascii="Cambria"/>
                <w:sz w:val="22"/>
              </w:rPr>
              <w:t>recordCount </w:t>
            </w:r>
            <w:r>
              <w:rPr>
                <w:sz w:val="22"/>
              </w:rPr>
              <w:t>(PivotCache Record Count)</w:t>
            </w:r>
          </w:p>
        </w:tc>
        <w:tc>
          <w:tcPr>
            <w:tcW w:w="8250" w:type="dxa"/>
          </w:tcPr>
          <w:p>
            <w:pPr>
              <w:pStyle w:val="TableParagraph"/>
              <w:rPr>
                <w:sz w:val="22"/>
              </w:rPr>
            </w:pPr>
            <w:r>
              <w:rPr>
                <w:sz w:val="22"/>
              </w:rPr>
              <w:t>Specifies the number of records in the cache.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5" w:hRule="atLeast"/>
        </w:trPr>
        <w:tc>
          <w:tcPr>
            <w:tcW w:w="2062" w:type="dxa"/>
          </w:tcPr>
          <w:p>
            <w:pPr>
              <w:pStyle w:val="TableParagraph"/>
              <w:ind w:right="290"/>
              <w:rPr>
                <w:sz w:val="22"/>
              </w:rPr>
            </w:pPr>
            <w:r>
              <w:rPr>
                <w:rFonts w:ascii="Cambria"/>
                <w:sz w:val="22"/>
              </w:rPr>
              <w:t>refreshedBy </w:t>
            </w:r>
            <w:r>
              <w:rPr>
                <w:sz w:val="22"/>
              </w:rPr>
              <w:t>(Last Refreshed By)</w:t>
            </w:r>
          </w:p>
        </w:tc>
        <w:tc>
          <w:tcPr>
            <w:tcW w:w="8250" w:type="dxa"/>
          </w:tcPr>
          <w:p>
            <w:pPr>
              <w:pStyle w:val="TableParagraph"/>
              <w:ind w:right="132"/>
              <w:rPr>
                <w:sz w:val="22"/>
              </w:rPr>
            </w:pPr>
            <w:r>
              <w:rPr>
                <w:sz w:val="22"/>
              </w:rPr>
              <w:t>Specifies the name of the end-user who last refreshed the cache. This attribute is application-dependent and is specified by applications that track and store the identity of the current user. This attribute also depends on whether the application exposes mechanisms via the user interface whereby the end-user can refresh the cache.</w:t>
            </w:r>
          </w:p>
          <w:p>
            <w:pPr>
              <w:pStyle w:val="TableParagraph"/>
              <w:spacing w:before="7"/>
              <w:ind w:left="0"/>
              <w:rPr>
                <w:rFonts w:ascii="Times New Roman"/>
                <w:sz w:val="23"/>
              </w:rPr>
            </w:pPr>
          </w:p>
          <w:p>
            <w:pPr>
              <w:pStyle w:val="TableParagraph"/>
              <w:spacing w:line="237" w:lineRule="auto"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8" w:hRule="atLeast"/>
        </w:trPr>
        <w:tc>
          <w:tcPr>
            <w:tcW w:w="2062" w:type="dxa"/>
          </w:tcPr>
          <w:p>
            <w:pPr>
              <w:pStyle w:val="TableParagraph"/>
              <w:spacing w:before="42"/>
              <w:ind w:right="115"/>
              <w:rPr>
                <w:sz w:val="22"/>
              </w:rPr>
            </w:pPr>
            <w:r>
              <w:rPr>
                <w:rFonts w:ascii="Cambria"/>
                <w:sz w:val="22"/>
              </w:rPr>
              <w:t>refreshedDateIso </w:t>
            </w:r>
            <w:r>
              <w:rPr>
                <w:sz w:val="22"/>
              </w:rPr>
              <w:t>(PivotCache Last Refreshed Date ISO)</w:t>
            </w:r>
          </w:p>
        </w:tc>
        <w:tc>
          <w:tcPr>
            <w:tcW w:w="8250" w:type="dxa"/>
          </w:tcPr>
          <w:p>
            <w:pPr>
              <w:pStyle w:val="TableParagraph"/>
              <w:ind w:right="163"/>
              <w:rPr>
                <w:sz w:val="22"/>
              </w:rPr>
            </w:pPr>
            <w:r>
              <w:rPr>
                <w:sz w:val="22"/>
              </w:rPr>
              <w:t>Specifies the date when the cache was last refreshed. This attribute depends on whether the application exposes mechanisms via the user interface whereby the end-user can refresh the cache.</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dateTime</w:t>
            </w:r>
          </w:p>
          <w:p>
            <w:pPr>
              <w:pStyle w:val="TableParagraph"/>
              <w:spacing w:before="0"/>
              <w:rPr>
                <w:sz w:val="22"/>
              </w:rPr>
            </w:pPr>
            <w:r>
              <w:rPr>
                <w:sz w:val="22"/>
              </w:rPr>
              <w:t>datatype.</w:t>
            </w:r>
          </w:p>
        </w:tc>
      </w:tr>
      <w:tr>
        <w:trPr>
          <w:trHeight w:val="1696" w:hRule="atLeast"/>
        </w:trPr>
        <w:tc>
          <w:tcPr>
            <w:tcW w:w="2062" w:type="dxa"/>
          </w:tcPr>
          <w:p>
            <w:pPr>
              <w:pStyle w:val="TableParagraph"/>
              <w:spacing w:line="237" w:lineRule="auto" w:before="45"/>
              <w:ind w:right="212"/>
              <w:rPr>
                <w:sz w:val="22"/>
              </w:rPr>
            </w:pPr>
            <w:r>
              <w:rPr>
                <w:rFonts w:ascii="Cambria"/>
                <w:sz w:val="22"/>
              </w:rPr>
              <w:t>refreshedVersion </w:t>
            </w:r>
            <w:r>
              <w:rPr>
                <w:sz w:val="22"/>
              </w:rPr>
              <w:t>(PivotCache Last Refreshed Version)</w:t>
            </w:r>
          </w:p>
        </w:tc>
        <w:tc>
          <w:tcPr>
            <w:tcW w:w="8250" w:type="dxa"/>
          </w:tcPr>
          <w:p>
            <w:pPr>
              <w:pStyle w:val="TableParagraph"/>
              <w:ind w:right="153"/>
              <w:rPr>
                <w:sz w:val="22"/>
              </w:rPr>
            </w:pPr>
            <w:r>
              <w:rPr>
                <w:sz w:val="22"/>
              </w:rPr>
              <w:t>Specifies the version of the application that last refreshed the cache. This attribute depends on whether the application exposes mechanisms via the user interface whereby the end-user can refresh the cache.</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unsignedByte</w:t>
            </w:r>
          </w:p>
          <w:p>
            <w:pPr>
              <w:pStyle w:val="TableParagraph"/>
              <w:spacing w:before="0"/>
              <w:rPr>
                <w:sz w:val="22"/>
              </w:rPr>
            </w:pPr>
            <w:r>
              <w:rPr>
                <w:sz w:val="22"/>
              </w:rPr>
              <w:t>datatype.</w:t>
            </w:r>
          </w:p>
        </w:tc>
      </w:tr>
      <w:tr>
        <w:trPr>
          <w:trHeight w:val="3040" w:hRule="atLeast"/>
        </w:trPr>
        <w:tc>
          <w:tcPr>
            <w:tcW w:w="2062" w:type="dxa"/>
          </w:tcPr>
          <w:p>
            <w:pPr>
              <w:pStyle w:val="TableParagraph"/>
              <w:spacing w:line="257" w:lineRule="exact" w:before="42"/>
              <w:rPr>
                <w:rFonts w:ascii="Cambria"/>
                <w:sz w:val="22"/>
              </w:rPr>
            </w:pPr>
            <w:r>
              <w:rPr>
                <w:rFonts w:ascii="Cambria"/>
                <w:sz w:val="22"/>
              </w:rPr>
              <w:t>refreshOnLoad</w:t>
            </w:r>
          </w:p>
          <w:p>
            <w:pPr>
              <w:pStyle w:val="TableParagraph"/>
              <w:spacing w:line="268" w:lineRule="exact" w:before="0"/>
              <w:rPr>
                <w:sz w:val="22"/>
              </w:rPr>
            </w:pPr>
            <w:r>
              <w:rPr>
                <w:sz w:val="22"/>
              </w:rPr>
              <w:t>(Refresh On Load)</w:t>
            </w:r>
          </w:p>
        </w:tc>
        <w:tc>
          <w:tcPr>
            <w:tcW w:w="8250" w:type="dxa"/>
          </w:tcPr>
          <w:p>
            <w:pPr>
              <w:pStyle w:val="TableParagraph"/>
              <w:ind w:right="429"/>
              <w:rPr>
                <w:sz w:val="22"/>
              </w:rPr>
            </w:pPr>
            <w:r>
              <w:rPr>
                <w:sz w:val="22"/>
              </w:rPr>
              <w:t>Specifies a boolean value that indicates whether the application will refresh the cache when the workbook has been opened.</w:t>
            </w:r>
          </w:p>
          <w:p>
            <w:pPr>
              <w:pStyle w:val="TableParagraph"/>
              <w:spacing w:before="4"/>
              <w:ind w:left="0"/>
              <w:rPr>
                <w:rFonts w:ascii="Times New Roman"/>
                <w:sz w:val="23"/>
              </w:rPr>
            </w:pPr>
          </w:p>
          <w:p>
            <w:pPr>
              <w:pStyle w:val="TableParagraph"/>
              <w:spacing w:before="0"/>
              <w:ind w:right="20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application will refresh the cache when the workbook is loaded.</w:t>
            </w:r>
          </w:p>
          <w:p>
            <w:pPr>
              <w:pStyle w:val="TableParagraph"/>
              <w:spacing w:before="7"/>
              <w:ind w:left="0"/>
              <w:rPr>
                <w:rFonts w:ascii="Times New Roman"/>
                <w:sz w:val="23"/>
              </w:rPr>
            </w:pPr>
          </w:p>
          <w:p>
            <w:pPr>
              <w:pStyle w:val="TableParagraph"/>
              <w:spacing w:line="237" w:lineRule="auto" w:before="0"/>
              <w:ind w:right="98"/>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application will not automatically refresh cached data. The end user shall trigger refresh of the cache manually via the application user interface.</w:t>
            </w:r>
          </w:p>
          <w:p>
            <w:pPr>
              <w:pStyle w:val="TableParagraph"/>
              <w:spacing w:before="6"/>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531"/>
              <w:rPr>
                <w:sz w:val="22"/>
              </w:rPr>
            </w:pPr>
            <w:r>
              <w:rPr>
                <w:rFonts w:ascii="Cambria"/>
                <w:sz w:val="22"/>
              </w:rPr>
              <w:t>saveData </w:t>
            </w:r>
            <w:r>
              <w:rPr>
                <w:sz w:val="22"/>
              </w:rPr>
              <w:t>(Save Pivot Records)</w:t>
            </w:r>
          </w:p>
        </w:tc>
        <w:tc>
          <w:tcPr>
            <w:tcW w:w="8250" w:type="dxa"/>
          </w:tcPr>
          <w:p>
            <w:pPr>
              <w:pStyle w:val="TableParagraph"/>
              <w:ind w:right="505"/>
              <w:rPr>
                <w:sz w:val="22"/>
              </w:rPr>
            </w:pPr>
            <w:r>
              <w:rPr>
                <w:sz w:val="22"/>
              </w:rPr>
              <w:t>Specifies a boolean value that indicates whether the pivot records are saved with the cache.</w:t>
            </w:r>
          </w:p>
          <w:p>
            <w:pPr>
              <w:pStyle w:val="TableParagraph"/>
              <w:spacing w:line="530" w:lineRule="atLeast" w:before="7"/>
              <w:ind w:right="2154"/>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pivot records are saved in the cache.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are not saved in the cache.</w:t>
            </w:r>
          </w:p>
        </w:tc>
      </w:tr>
    </w:tbl>
    <w:p>
      <w:pPr>
        <w:spacing w:after="0" w:line="530" w:lineRule="atLeast"/>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spacing w:line="237" w:lineRule="auto" w:before="45"/>
              <w:ind w:right="102"/>
              <w:rPr>
                <w:sz w:val="22"/>
              </w:rPr>
            </w:pPr>
            <w:r>
              <w:rPr>
                <w:rFonts w:ascii="Cambria"/>
                <w:sz w:val="22"/>
              </w:rPr>
              <w:t>supportAdvancedD rill </w:t>
            </w:r>
            <w:r>
              <w:rPr>
                <w:sz w:val="22"/>
              </w:rPr>
              <w:t>(Supports Attribute Drilldown)</w:t>
            </w:r>
          </w:p>
        </w:tc>
        <w:tc>
          <w:tcPr>
            <w:tcW w:w="8250" w:type="dxa"/>
          </w:tcPr>
          <w:p>
            <w:pPr>
              <w:pStyle w:val="TableParagraph"/>
              <w:rPr>
                <w:sz w:val="22"/>
              </w:rPr>
            </w:pPr>
            <w:r>
              <w:rPr>
                <w:sz w:val="22"/>
              </w:rPr>
              <w:t>Specifies whether the cache's data source supports attribute drilldown.</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272"/>
              <w:rPr>
                <w:sz w:val="22"/>
              </w:rPr>
            </w:pPr>
            <w:r>
              <w:rPr>
                <w:rFonts w:ascii="Cambria"/>
                <w:sz w:val="22"/>
              </w:rPr>
              <w:t>supportSubquery </w:t>
            </w:r>
            <w:r>
              <w:rPr>
                <w:sz w:val="22"/>
              </w:rPr>
              <w:t>(Supports Subqueries)</w:t>
            </w:r>
          </w:p>
        </w:tc>
        <w:tc>
          <w:tcPr>
            <w:tcW w:w="8250" w:type="dxa"/>
          </w:tcPr>
          <w:p>
            <w:pPr>
              <w:pStyle w:val="TableParagraph"/>
              <w:rPr>
                <w:sz w:val="22"/>
              </w:rPr>
            </w:pPr>
            <w:r>
              <w:rPr>
                <w:sz w:val="22"/>
              </w:rPr>
              <w:t>Specifies whether the cache's data source supports subqueries.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ind w:right="196"/>
              <w:rPr>
                <w:sz w:val="22"/>
              </w:rPr>
            </w:pPr>
            <w:r>
              <w:rPr>
                <w:rFonts w:ascii="Cambria"/>
                <w:sz w:val="22"/>
              </w:rPr>
              <w:t>tupleCache </w:t>
            </w:r>
            <w:r>
              <w:rPr>
                <w:sz w:val="22"/>
              </w:rPr>
              <w:t>(Stores Cache for OLAP Functions)</w:t>
            </w:r>
          </w:p>
        </w:tc>
        <w:tc>
          <w:tcPr>
            <w:tcW w:w="8250" w:type="dxa"/>
          </w:tcPr>
          <w:p>
            <w:pPr>
              <w:pStyle w:val="TableParagraph"/>
              <w:ind w:right="104"/>
              <w:rPr>
                <w:sz w:val="22"/>
              </w:rPr>
            </w:pPr>
            <w:r>
              <w:rPr>
                <w:sz w:val="22"/>
              </w:rPr>
              <w:t>Specifies a boolean value that indicates whether the PivotCache is used store information for OLAP sheet data functions.</w:t>
            </w:r>
          </w:p>
          <w:p>
            <w:pPr>
              <w:pStyle w:val="TableParagraph"/>
              <w:spacing w:before="7"/>
              <w:ind w:left="0"/>
              <w:rPr>
                <w:rFonts w:ascii="Times New Roman"/>
                <w:sz w:val="23"/>
              </w:rPr>
            </w:pPr>
          </w:p>
          <w:p>
            <w:pPr>
              <w:pStyle w:val="TableParagraph"/>
              <w:spacing w:line="237" w:lineRule="auto" w:before="0"/>
              <w:ind w:right="197"/>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information about OLAP sheet data functions are stored in the cache.</w:t>
            </w:r>
          </w:p>
          <w:p>
            <w:pPr>
              <w:pStyle w:val="TableParagraph"/>
              <w:spacing w:before="6"/>
              <w:ind w:left="0"/>
              <w:rPr>
                <w:rFonts w:ascii="Times New Roman"/>
                <w:sz w:val="23"/>
              </w:rPr>
            </w:pPr>
          </w:p>
          <w:p>
            <w:pPr>
              <w:pStyle w:val="TableParagraph"/>
              <w:spacing w:before="0"/>
              <w:ind w:right="20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PivotCache does not contain information about OLAP sheet data functions.</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spacing w:before="42"/>
              <w:ind w:right="145"/>
              <w:rPr>
                <w:sz w:val="22"/>
              </w:rPr>
            </w:pPr>
            <w:r>
              <w:rPr>
                <w:rFonts w:ascii="Cambria"/>
                <w:sz w:val="22"/>
              </w:rPr>
              <w:t>upgradeOnRefresh </w:t>
            </w:r>
            <w:r>
              <w:rPr>
                <w:sz w:val="22"/>
              </w:rPr>
              <w:t>(Upgrade PivotCache on Refresh)</w:t>
            </w:r>
          </w:p>
        </w:tc>
        <w:tc>
          <w:tcPr>
            <w:tcW w:w="8250" w:type="dxa"/>
          </w:tcPr>
          <w:p>
            <w:pPr>
              <w:pStyle w:val="TableParagraph"/>
              <w:ind w:right="174"/>
              <w:rPr>
                <w:sz w:val="22"/>
              </w:rPr>
            </w:pPr>
            <w:r>
              <w:rPr>
                <w:sz w:val="22"/>
              </w:rPr>
              <w:t>Specifies a boolean value that indicates whether the cache is scheduled for version upgrade. This attribute depends on whether the application exposes mechanisms via the user interface whereby the cache might be upgraded.</w:t>
            </w:r>
          </w:p>
          <w:p>
            <w:pPr>
              <w:pStyle w:val="TableParagraph"/>
              <w:spacing w:before="2"/>
              <w:ind w:left="0"/>
              <w:rPr>
                <w:rFonts w:ascii="Times New Roman"/>
                <w:sz w:val="23"/>
              </w:rPr>
            </w:pPr>
          </w:p>
          <w:p>
            <w:pPr>
              <w:pStyle w:val="TableParagraph"/>
              <w:spacing w:before="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cache is scheduled for upgrade.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cache is not scheduled for upgrade.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CT_PivotCacheDefinition</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8 pivotCacheRecords (PivotCache" w:id="953"/>
      <w:bookmarkEnd w:id="953"/>
      <w:r>
        <w:rPr/>
      </w:r>
      <w:bookmarkStart w:name="_bookmark316" w:id="954"/>
      <w:bookmarkEnd w:id="954"/>
      <w:r>
        <w:rPr/>
      </w:r>
      <w:bookmarkStart w:name="_bookmark316" w:id="955"/>
      <w:bookmarkEnd w:id="955"/>
      <w:r>
        <w:rPr>
          <w:color w:val="4F81BC"/>
        </w:rPr>
        <w:t>piv</w:t>
      </w:r>
      <w:r>
        <w:rPr>
          <w:color w:val="4F81BC"/>
        </w:rPr>
        <w:t>otCacheRecords (PivotCache</w:t>
      </w:r>
      <w:r>
        <w:rPr>
          <w:color w:val="4F81BC"/>
          <w:spacing w:val="1"/>
        </w:rPr>
        <w:t> </w:t>
      </w:r>
      <w:r>
        <w:rPr>
          <w:color w:val="4F81BC"/>
        </w:rPr>
        <w:t>Records)</w:t>
      </w:r>
    </w:p>
    <w:p>
      <w:pPr>
        <w:pStyle w:val="BodyText"/>
        <w:spacing w:line="276" w:lineRule="auto" w:before="121"/>
        <w:ind w:left="220" w:right="910"/>
      </w:pPr>
      <w:r>
        <w:rPr/>
        <w:t>Represents the collection of records in the PivotCache. This part stores the underlying source data that the PivotTable aggregates.</w:t>
      </w:r>
    </w:p>
    <w:p>
      <w:pPr>
        <w:pStyle w:val="BodyText"/>
        <w:spacing w:before="6"/>
        <w:rPr>
          <w:sz w:val="16"/>
        </w:rPr>
      </w:pPr>
    </w:p>
    <w:p>
      <w:pPr>
        <w:spacing w:before="0"/>
        <w:ind w:left="220" w:right="0" w:firstLine="0"/>
        <w:jc w:val="left"/>
        <w:rPr>
          <w:sz w:val="22"/>
        </w:rPr>
      </w:pPr>
      <w:r>
        <w:rPr>
          <w:sz w:val="22"/>
        </w:rPr>
        <w:t>[</w:t>
      </w:r>
      <w:r>
        <w:rPr>
          <w:i/>
          <w:sz w:val="22"/>
        </w:rPr>
        <w:t>Example</w:t>
      </w:r>
      <w:r>
        <w:rPr>
          <w:sz w:val="22"/>
        </w:rPr>
        <w:t>:</w:t>
      </w:r>
    </w:p>
    <w:p>
      <w:pPr>
        <w:spacing w:after="0"/>
        <w:jc w:val="left"/>
        <w:rPr>
          <w:sz w:val="22"/>
        </w:rPr>
        <w:sectPr>
          <w:pgSz w:w="12240" w:h="15840"/>
          <w:pgMar w:header="761" w:footer="746" w:top="1340" w:bottom="940" w:left="860" w:right="700"/>
        </w:sectPr>
      </w:pPr>
    </w:p>
    <w:p>
      <w:pPr>
        <w:pStyle w:val="BodyText"/>
        <w:spacing w:before="150"/>
        <w:ind w:left="508"/>
        <w:rPr>
          <w:rFonts w:ascii="Consolas" w:hAnsi="Consolas"/>
        </w:rPr>
      </w:pPr>
      <w:r>
        <w:rPr>
          <w:rFonts w:ascii="Consolas" w:hAnsi="Consolas"/>
        </w:rPr>
        <w:t>&lt;pivotCacheRecords xmlns="…" xmlns:r="…" count="2"&gt;</w:t>
      </w:r>
    </w:p>
    <w:p>
      <w:pPr>
        <w:pStyle w:val="BodyText"/>
        <w:spacing w:before="38"/>
        <w:ind w:left="750"/>
        <w:rPr>
          <w:rFonts w:ascii="Consolas"/>
        </w:rPr>
      </w:pPr>
      <w:r>
        <w:rPr>
          <w:rFonts w:ascii="Consolas"/>
        </w:rPr>
        <w:t>&lt;r&gt;</w:t>
      </w:r>
    </w:p>
    <w:p>
      <w:pPr>
        <w:pStyle w:val="BodyText"/>
        <w:spacing w:before="40"/>
        <w:ind w:left="993"/>
        <w:rPr>
          <w:rFonts w:ascii="Consolas"/>
        </w:rPr>
      </w:pPr>
      <w:r>
        <w:rPr>
          <w:rFonts w:ascii="Consolas"/>
        </w:rPr>
        <w:t>&lt;x v="0"/&gt;</w:t>
      </w:r>
    </w:p>
    <w:p>
      <w:pPr>
        <w:pStyle w:val="BodyText"/>
        <w:spacing w:before="38"/>
        <w:ind w:left="993"/>
        <w:rPr>
          <w:rFonts w:ascii="Consolas"/>
        </w:rPr>
      </w:pPr>
      <w:r>
        <w:rPr>
          <w:rFonts w:ascii="Consolas"/>
        </w:rPr>
        <w:t>&lt;s v="Pacific"/&gt;</w:t>
      </w:r>
    </w:p>
    <w:p>
      <w:pPr>
        <w:pStyle w:val="BodyText"/>
        <w:spacing w:before="40"/>
        <w:ind w:left="993"/>
        <w:rPr>
          <w:rFonts w:ascii="Consolas"/>
        </w:rPr>
      </w:pPr>
      <w:r>
        <w:rPr>
          <w:rFonts w:ascii="Consolas"/>
        </w:rPr>
        <w:t>&lt;x v="0"/&gt;</w:t>
      </w:r>
    </w:p>
    <w:p>
      <w:pPr>
        <w:pStyle w:val="BodyText"/>
        <w:spacing w:before="37"/>
        <w:ind w:left="993"/>
        <w:rPr>
          <w:rFonts w:ascii="Consolas"/>
        </w:rPr>
      </w:pPr>
      <w:r>
        <w:rPr>
          <w:rFonts w:ascii="Consolas"/>
        </w:rPr>
        <w:t>&lt;s v="Australia"/&gt;</w:t>
      </w:r>
    </w:p>
    <w:p>
      <w:pPr>
        <w:pStyle w:val="BodyText"/>
        <w:spacing w:before="40"/>
        <w:ind w:left="993"/>
        <w:rPr>
          <w:rFonts w:ascii="Consolas"/>
        </w:rPr>
      </w:pPr>
      <w:r>
        <w:rPr>
          <w:rFonts w:ascii="Consolas"/>
        </w:rPr>
        <w:t>&lt;x</w:t>
      </w:r>
      <w:r>
        <w:rPr>
          <w:rFonts w:ascii="Consolas"/>
          <w:spacing w:val="-6"/>
        </w:rPr>
        <w:t> </w:t>
      </w:r>
      <w:r>
        <w:rPr>
          <w:rFonts w:ascii="Consolas"/>
        </w:rPr>
        <w:t>v="0"/&gt;</w:t>
      </w:r>
    </w:p>
    <w:p>
      <w:pPr>
        <w:pStyle w:val="BodyText"/>
        <w:spacing w:before="38"/>
        <w:ind w:left="993"/>
        <w:rPr>
          <w:rFonts w:ascii="Consolas"/>
        </w:rPr>
      </w:pPr>
      <w:r>
        <w:rPr>
          <w:rFonts w:ascii="Consolas"/>
        </w:rPr>
        <w:t>&lt;x</w:t>
      </w:r>
      <w:r>
        <w:rPr>
          <w:rFonts w:ascii="Consolas"/>
          <w:spacing w:val="-6"/>
        </w:rPr>
        <w:t> </w:t>
      </w:r>
      <w:r>
        <w:rPr>
          <w:rFonts w:ascii="Consolas"/>
        </w:rPr>
        <w:t>v="0"/&gt;</w:t>
      </w:r>
    </w:p>
    <w:p>
      <w:pPr>
        <w:pStyle w:val="BodyText"/>
        <w:spacing w:before="38"/>
        <w:ind w:left="993"/>
        <w:rPr>
          <w:rFonts w:ascii="Consolas"/>
        </w:rPr>
      </w:pPr>
      <w:r>
        <w:rPr>
          <w:rFonts w:ascii="Consolas"/>
        </w:rPr>
        <w:t>&lt;s v="3550"/&gt;</w:t>
      </w:r>
    </w:p>
    <w:p>
      <w:pPr>
        <w:pStyle w:val="BodyText"/>
        <w:spacing w:before="40"/>
        <w:ind w:left="993"/>
        <w:rPr>
          <w:rFonts w:ascii="Consolas"/>
        </w:rPr>
      </w:pPr>
      <w:r>
        <w:rPr>
          <w:rFonts w:ascii="Consolas"/>
        </w:rPr>
        <w:t>&lt;x</w:t>
      </w:r>
      <w:r>
        <w:rPr>
          <w:rFonts w:ascii="Consolas"/>
          <w:spacing w:val="-6"/>
        </w:rPr>
        <w:t> </w:t>
      </w:r>
      <w:r>
        <w:rPr>
          <w:rFonts w:ascii="Consolas"/>
        </w:rPr>
        <w:t>v="0"/&gt;</w:t>
      </w:r>
    </w:p>
    <w:p>
      <w:pPr>
        <w:pStyle w:val="BodyText"/>
        <w:spacing w:before="37"/>
        <w:ind w:left="993"/>
        <w:rPr>
          <w:rFonts w:ascii="Consolas"/>
        </w:rPr>
      </w:pPr>
      <w:r>
        <w:rPr>
          <w:rFonts w:ascii="Consolas"/>
        </w:rPr>
        <w:t>&lt;x</w:t>
      </w:r>
      <w:r>
        <w:rPr>
          <w:rFonts w:ascii="Consolas"/>
          <w:spacing w:val="-6"/>
        </w:rPr>
        <w:t> </w:t>
      </w:r>
      <w:r>
        <w:rPr>
          <w:rFonts w:ascii="Consolas"/>
        </w:rPr>
        <w:t>v="0"/&gt;</w:t>
      </w:r>
    </w:p>
    <w:p>
      <w:pPr>
        <w:pStyle w:val="BodyText"/>
        <w:spacing w:before="40"/>
        <w:ind w:left="993"/>
        <w:rPr>
          <w:rFonts w:ascii="Consolas"/>
        </w:rPr>
      </w:pPr>
      <w:r>
        <w:rPr>
          <w:rFonts w:ascii="Consolas"/>
        </w:rPr>
        <w:t>&lt;s v="Road-150 Red, 62"/&gt;</w:t>
      </w:r>
    </w:p>
    <w:p>
      <w:pPr>
        <w:pStyle w:val="BodyText"/>
        <w:spacing w:line="278" w:lineRule="auto" w:before="38"/>
        <w:ind w:left="1235" w:right="542" w:hanging="243"/>
        <w:rPr>
          <w:rFonts w:ascii="Consolas"/>
        </w:rPr>
      </w:pPr>
      <w:r>
        <w:rPr>
          <w:rFonts w:ascii="Consolas"/>
        </w:rPr>
        <w:t>&lt;s v="This bike is ridden by race winners. Developed with the Adventure Works Cycles professional race team, it has a extremely light</w:t>
      </w:r>
    </w:p>
    <w:p>
      <w:pPr>
        <w:pStyle w:val="BodyText"/>
        <w:spacing w:line="276" w:lineRule="auto"/>
        <w:ind w:left="1235" w:right="542"/>
        <w:rPr>
          <w:rFonts w:ascii="Consolas"/>
        </w:rPr>
      </w:pPr>
      <w:r>
        <w:rPr>
          <w:rFonts w:ascii="Consolas"/>
        </w:rPr>
        <w:t>heat-treated aluminum frame, and steering that allows precision control."/&gt;</w:t>
      </w:r>
    </w:p>
    <w:p>
      <w:pPr>
        <w:pStyle w:val="BodyText"/>
        <w:ind w:left="993"/>
        <w:rPr>
          <w:rFonts w:ascii="Consolas"/>
        </w:rPr>
      </w:pPr>
      <w:r>
        <w:rPr>
          <w:rFonts w:ascii="Consolas"/>
        </w:rPr>
        <w:t>&lt;s v="No Discount"/&gt;</w:t>
      </w:r>
    </w:p>
    <w:p>
      <w:pPr>
        <w:pStyle w:val="BodyText"/>
        <w:spacing w:before="33"/>
        <w:ind w:left="508"/>
        <w:rPr>
          <w:rFonts w:ascii="Consolas" w:hAnsi="Consolas"/>
        </w:rPr>
      </w:pPr>
      <w:r>
        <w:rPr>
          <w:rFonts w:ascii="Consolas" w:hAnsi="Consolas"/>
          <w:w w:val="100"/>
        </w:rPr>
        <w:t>…</w:t>
      </w:r>
    </w:p>
    <w:p>
      <w:pPr>
        <w:pStyle w:val="BodyText"/>
        <w:spacing w:before="40"/>
        <w:ind w:left="993"/>
        <w:rPr>
          <w:rFonts w:ascii="Consolas"/>
        </w:rPr>
      </w:pPr>
      <w:r>
        <w:rPr>
          <w:rFonts w:ascii="Consolas"/>
        </w:rPr>
        <w:t>&lt;n v="89.456800000000001"/&gt;</w:t>
      </w:r>
    </w:p>
    <w:p>
      <w:pPr>
        <w:pStyle w:val="BodyText"/>
        <w:spacing w:before="38"/>
        <w:ind w:left="750"/>
        <w:rPr>
          <w:rFonts w:ascii="Consolas"/>
        </w:rPr>
      </w:pPr>
      <w:r>
        <w:rPr>
          <w:rFonts w:ascii="Consolas"/>
        </w:rPr>
        <w:t>&lt;/r&gt;</w:t>
      </w:r>
    </w:p>
    <w:p>
      <w:pPr>
        <w:pStyle w:val="BodyText"/>
        <w:spacing w:before="40"/>
        <w:ind w:left="508"/>
        <w:rPr>
          <w:rFonts w:ascii="Consolas" w:hAnsi="Consolas"/>
        </w:rPr>
      </w:pPr>
      <w:r>
        <w:rPr>
          <w:rFonts w:ascii="Consolas" w:hAnsi="Consolas"/>
          <w:w w:val="100"/>
        </w:rPr>
        <w:t>…</w:t>
      </w:r>
    </w:p>
    <w:p>
      <w:pPr>
        <w:pStyle w:val="BodyText"/>
        <w:spacing w:before="5"/>
        <w:rPr>
          <w:rFonts w:ascii="Consolas"/>
          <w:sz w:val="15"/>
        </w:rPr>
      </w:pPr>
    </w:p>
    <w:p>
      <w:pPr>
        <w:spacing w:before="56"/>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75"/>
              <w:rPr>
                <w:sz w:val="22"/>
              </w:rPr>
            </w:pPr>
            <w:r>
              <w:rPr>
                <w:rFonts w:ascii="Cambria"/>
                <w:sz w:val="22"/>
              </w:rPr>
              <w:t>count </w:t>
            </w:r>
            <w:r>
              <w:rPr>
                <w:sz w:val="22"/>
              </w:rPr>
              <w:t>(PivotCache Records Count)</w:t>
            </w:r>
          </w:p>
        </w:tc>
        <w:tc>
          <w:tcPr>
            <w:tcW w:w="8250" w:type="dxa"/>
          </w:tcPr>
          <w:p>
            <w:pPr>
              <w:pStyle w:val="TableParagraph"/>
              <w:rPr>
                <w:sz w:val="22"/>
              </w:rPr>
            </w:pPr>
            <w:r>
              <w:rPr>
                <w:sz w:val="22"/>
              </w:rPr>
              <w:t>Specifies the number of records in the cache.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CT_PivotCacheRecords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69 pivotField (PivotTable Field)" w:id="956"/>
      <w:bookmarkEnd w:id="956"/>
      <w:r>
        <w:rPr/>
      </w:r>
      <w:bookmarkStart w:name="_bookmark317" w:id="957"/>
      <w:bookmarkEnd w:id="957"/>
      <w:r>
        <w:rPr/>
      </w:r>
      <w:bookmarkStart w:name="_bookmark317" w:id="958"/>
      <w:bookmarkEnd w:id="958"/>
      <w:r>
        <w:rPr>
          <w:color w:val="4F81BC"/>
        </w:rPr>
        <w:t>piv</w:t>
      </w:r>
      <w:r>
        <w:rPr>
          <w:color w:val="4F81BC"/>
        </w:rPr>
        <w:t>otField (PivotTable</w:t>
      </w:r>
      <w:r>
        <w:rPr>
          <w:color w:val="4F81BC"/>
          <w:spacing w:val="-5"/>
        </w:rPr>
        <w:t> </w:t>
      </w:r>
      <w:r>
        <w:rPr>
          <w:color w:val="4F81BC"/>
        </w:rPr>
        <w:t>Field)</w:t>
      </w:r>
    </w:p>
    <w:p>
      <w:pPr>
        <w:pStyle w:val="BodyText"/>
        <w:spacing w:line="278" w:lineRule="auto" w:before="119"/>
        <w:ind w:left="220" w:right="912"/>
      </w:pPr>
      <w:r>
        <w:rPr/>
        <w:t>Represents a single field in the PivotTable. This element contains information about the field, including the collection of items in the field.</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line="276" w:lineRule="auto"/>
        <w:ind w:left="750" w:hanging="243"/>
        <w:rPr>
          <w:rFonts w:ascii="Consolas"/>
        </w:rPr>
      </w:pPr>
      <w:r>
        <w:rPr>
          <w:rFonts w:ascii="Consolas"/>
        </w:rPr>
        <w:t>&lt;pivotField axis="axisRow" allDrilled="1" showAll="0" measureFilter="1" sortType="descending"&gt;</w:t>
      </w:r>
    </w:p>
    <w:p>
      <w:pPr>
        <w:spacing w:after="0" w:line="276" w:lineRule="auto"/>
        <w:rPr>
          <w:rFonts w:ascii="Consolas"/>
        </w:rPr>
        <w:sectPr>
          <w:pgSz w:w="12240" w:h="15840"/>
          <w:pgMar w:header="763" w:footer="746" w:top="1340" w:bottom="940" w:left="860" w:right="700"/>
        </w:sectPr>
      </w:pPr>
    </w:p>
    <w:p>
      <w:pPr>
        <w:pStyle w:val="BodyText"/>
        <w:spacing w:before="93"/>
        <w:ind w:left="750"/>
        <w:rPr>
          <w:rFonts w:ascii="Consolas"/>
        </w:rPr>
      </w:pPr>
      <w:r>
        <w:rPr>
          <w:rFonts w:ascii="Consolas"/>
        </w:rPr>
        <w:t>&lt;items count="8"&gt;</w:t>
      </w:r>
    </w:p>
    <w:p>
      <w:pPr>
        <w:pStyle w:val="BodyText"/>
        <w:spacing w:before="38"/>
        <w:ind w:left="993"/>
        <w:rPr>
          <w:rFonts w:ascii="Consolas"/>
        </w:rPr>
      </w:pPr>
      <w:r>
        <w:rPr>
          <w:rFonts w:ascii="Consolas"/>
        </w:rPr>
        <w:t>&lt;item s="1" c="1"</w:t>
      </w:r>
      <w:r>
        <w:rPr>
          <w:rFonts w:ascii="Consolas"/>
          <w:spacing w:val="-16"/>
        </w:rPr>
        <w:t> </w:t>
      </w:r>
      <w:r>
        <w:rPr>
          <w:rFonts w:ascii="Consolas"/>
        </w:rPr>
        <w:t>x="0"/&gt;</w:t>
      </w:r>
    </w:p>
    <w:p>
      <w:pPr>
        <w:pStyle w:val="BodyText"/>
        <w:spacing w:before="40"/>
        <w:ind w:left="993"/>
        <w:rPr>
          <w:rFonts w:ascii="Consolas"/>
        </w:rPr>
      </w:pPr>
      <w:r>
        <w:rPr>
          <w:rFonts w:ascii="Consolas"/>
        </w:rPr>
        <w:t>&lt;item s="1" c="1"</w:t>
      </w:r>
      <w:r>
        <w:rPr>
          <w:rFonts w:ascii="Consolas"/>
          <w:spacing w:val="-16"/>
        </w:rPr>
        <w:t> </w:t>
      </w:r>
      <w:r>
        <w:rPr>
          <w:rFonts w:ascii="Consolas"/>
        </w:rPr>
        <w:t>x="1"/&gt;</w:t>
      </w:r>
    </w:p>
    <w:p>
      <w:pPr>
        <w:pStyle w:val="BodyText"/>
        <w:spacing w:before="37"/>
        <w:ind w:left="993"/>
        <w:rPr>
          <w:rFonts w:ascii="Consolas"/>
        </w:rPr>
      </w:pPr>
      <w:r>
        <w:rPr>
          <w:rFonts w:ascii="Consolas"/>
        </w:rPr>
        <w:t>&lt;item c="1"</w:t>
      </w:r>
      <w:r>
        <w:rPr>
          <w:rFonts w:ascii="Consolas"/>
          <w:spacing w:val="-13"/>
        </w:rPr>
        <w:t> </w:t>
      </w:r>
      <w:r>
        <w:rPr>
          <w:rFonts w:ascii="Consolas"/>
        </w:rPr>
        <w:t>x="2"/&gt;</w:t>
      </w:r>
    </w:p>
    <w:p>
      <w:pPr>
        <w:pStyle w:val="BodyText"/>
        <w:spacing w:before="40"/>
        <w:ind w:left="993"/>
        <w:rPr>
          <w:rFonts w:ascii="Consolas"/>
        </w:rPr>
      </w:pPr>
      <w:r>
        <w:rPr>
          <w:rFonts w:ascii="Consolas"/>
        </w:rPr>
        <w:t>&lt;item c="1"</w:t>
      </w:r>
      <w:r>
        <w:rPr>
          <w:rFonts w:ascii="Consolas"/>
          <w:spacing w:val="-13"/>
        </w:rPr>
        <w:t> </w:t>
      </w:r>
      <w:r>
        <w:rPr>
          <w:rFonts w:ascii="Consolas"/>
        </w:rPr>
        <w:t>x="3"/&gt;</w:t>
      </w:r>
    </w:p>
    <w:p>
      <w:pPr>
        <w:pStyle w:val="BodyText"/>
        <w:spacing w:before="38"/>
        <w:ind w:left="993"/>
        <w:rPr>
          <w:rFonts w:ascii="Consolas"/>
        </w:rPr>
      </w:pPr>
      <w:r>
        <w:rPr>
          <w:rFonts w:ascii="Consolas"/>
        </w:rPr>
        <w:t>&lt;item c="1"</w:t>
      </w:r>
      <w:r>
        <w:rPr>
          <w:rFonts w:ascii="Consolas"/>
          <w:spacing w:val="-13"/>
        </w:rPr>
        <w:t> </w:t>
      </w:r>
      <w:r>
        <w:rPr>
          <w:rFonts w:ascii="Consolas"/>
        </w:rPr>
        <w:t>x="4"/&gt;</w:t>
      </w:r>
    </w:p>
    <w:p>
      <w:pPr>
        <w:pStyle w:val="BodyText"/>
        <w:spacing w:before="40"/>
        <w:ind w:left="993"/>
        <w:rPr>
          <w:rFonts w:ascii="Consolas"/>
        </w:rPr>
      </w:pPr>
      <w:r>
        <w:rPr>
          <w:rFonts w:ascii="Consolas"/>
        </w:rPr>
        <w:t>&lt;item c="1"</w:t>
      </w:r>
      <w:r>
        <w:rPr>
          <w:rFonts w:ascii="Consolas"/>
          <w:spacing w:val="-13"/>
        </w:rPr>
        <w:t> </w:t>
      </w:r>
      <w:r>
        <w:rPr>
          <w:rFonts w:ascii="Consolas"/>
        </w:rPr>
        <w:t>x="5"/&gt;</w:t>
      </w:r>
    </w:p>
    <w:p>
      <w:pPr>
        <w:pStyle w:val="BodyText"/>
        <w:spacing w:before="37"/>
        <w:ind w:left="993"/>
        <w:rPr>
          <w:rFonts w:ascii="Consolas"/>
        </w:rPr>
      </w:pPr>
      <w:r>
        <w:rPr>
          <w:rFonts w:ascii="Consolas"/>
        </w:rPr>
        <w:t>&lt;item c="1"</w:t>
      </w:r>
      <w:r>
        <w:rPr>
          <w:rFonts w:ascii="Consolas"/>
          <w:spacing w:val="-13"/>
        </w:rPr>
        <w:t> </w:t>
      </w:r>
      <w:r>
        <w:rPr>
          <w:rFonts w:ascii="Consolas"/>
        </w:rPr>
        <w:t>x="6"/&gt;</w:t>
      </w:r>
    </w:p>
    <w:p>
      <w:pPr>
        <w:pStyle w:val="BodyText"/>
        <w:spacing w:before="38"/>
        <w:ind w:left="993"/>
        <w:rPr>
          <w:rFonts w:ascii="Consolas"/>
        </w:rPr>
      </w:pPr>
      <w:r>
        <w:rPr>
          <w:rFonts w:ascii="Consolas"/>
        </w:rPr>
        <w:t>&lt;item</w:t>
      </w:r>
      <w:r>
        <w:rPr>
          <w:rFonts w:ascii="Consolas"/>
          <w:spacing w:val="-14"/>
        </w:rPr>
        <w:t> </w:t>
      </w:r>
      <w:r>
        <w:rPr>
          <w:rFonts w:ascii="Consolas"/>
        </w:rPr>
        <w:t>t="default"/&gt;</w:t>
      </w:r>
    </w:p>
    <w:p>
      <w:pPr>
        <w:pStyle w:val="BodyText"/>
        <w:spacing w:before="40"/>
        <w:ind w:left="750"/>
        <w:rPr>
          <w:rFonts w:ascii="Consolas"/>
        </w:rPr>
      </w:pPr>
      <w:r>
        <w:rPr>
          <w:rFonts w:ascii="Consolas"/>
        </w:rPr>
        <w:t>&lt;/items&gt;</w:t>
      </w:r>
    </w:p>
    <w:p>
      <w:pPr>
        <w:pStyle w:val="BodyText"/>
        <w:spacing w:before="38"/>
        <w:ind w:left="750"/>
        <w:rPr>
          <w:rFonts w:ascii="Consolas"/>
        </w:rPr>
      </w:pPr>
      <w:r>
        <w:rPr>
          <w:rFonts w:ascii="Consolas"/>
        </w:rPr>
        <w:t>&lt;autoSortScope&gt;</w:t>
      </w:r>
    </w:p>
    <w:p>
      <w:pPr>
        <w:pStyle w:val="BodyText"/>
        <w:spacing w:before="40"/>
        <w:ind w:left="993"/>
        <w:rPr>
          <w:rFonts w:ascii="Consolas"/>
        </w:rPr>
      </w:pPr>
      <w:r>
        <w:rPr>
          <w:rFonts w:ascii="Consolas"/>
        </w:rPr>
        <w:t>&lt;pivotArea dataOnly="0" outline="0" fieldPosition="0"&gt;</w:t>
      </w:r>
    </w:p>
    <w:p>
      <w:pPr>
        <w:pStyle w:val="BodyText"/>
        <w:spacing w:before="37"/>
        <w:ind w:left="1235"/>
        <w:rPr>
          <w:rFonts w:ascii="Consolas"/>
        </w:rPr>
      </w:pPr>
      <w:r>
        <w:rPr>
          <w:rFonts w:ascii="Consolas"/>
        </w:rPr>
        <w:t>&lt;references count="2"&gt;</w:t>
      </w:r>
    </w:p>
    <w:p>
      <w:pPr>
        <w:pStyle w:val="BodyText"/>
        <w:spacing w:before="41"/>
        <w:ind w:left="1478"/>
        <w:rPr>
          <w:rFonts w:ascii="Consolas"/>
        </w:rPr>
      </w:pPr>
      <w:r>
        <w:rPr>
          <w:rFonts w:ascii="Consolas"/>
        </w:rPr>
        <w:t>&lt;reference field="4294967294" count="1" selected="0"&gt;</w:t>
      </w:r>
    </w:p>
    <w:p>
      <w:pPr>
        <w:pStyle w:val="BodyText"/>
        <w:spacing w:before="37"/>
        <w:ind w:right="7750"/>
        <w:jc w:val="right"/>
        <w:rPr>
          <w:rFonts w:ascii="Consolas"/>
        </w:rPr>
      </w:pPr>
      <w:r>
        <w:rPr>
          <w:rFonts w:ascii="Consolas"/>
        </w:rPr>
        <w:t>&lt;x</w:t>
      </w:r>
      <w:r>
        <w:rPr>
          <w:rFonts w:ascii="Consolas"/>
          <w:spacing w:val="-6"/>
        </w:rPr>
        <w:t> </w:t>
      </w:r>
      <w:r>
        <w:rPr>
          <w:rFonts w:ascii="Consolas"/>
        </w:rPr>
        <w:t>v="0"/&gt;</w:t>
      </w:r>
    </w:p>
    <w:p>
      <w:pPr>
        <w:pStyle w:val="BodyText"/>
        <w:spacing w:before="38"/>
        <w:ind w:right="7750"/>
        <w:jc w:val="right"/>
        <w:rPr>
          <w:rFonts w:ascii="Consolas"/>
        </w:rPr>
      </w:pPr>
      <w:r>
        <w:rPr>
          <w:rFonts w:ascii="Consolas"/>
          <w:spacing w:val="-2"/>
        </w:rPr>
        <w:t>&lt;/reference&gt;</w:t>
      </w:r>
    </w:p>
    <w:p>
      <w:pPr>
        <w:pStyle w:val="BodyText"/>
        <w:spacing w:before="40"/>
        <w:ind w:left="1478"/>
        <w:rPr>
          <w:rFonts w:ascii="Consolas"/>
        </w:rPr>
      </w:pPr>
      <w:r>
        <w:rPr>
          <w:rFonts w:ascii="Consolas"/>
        </w:rPr>
        <w:t>&lt;reference field="25" count="1" selected="0"&gt;</w:t>
      </w:r>
    </w:p>
    <w:p>
      <w:pPr>
        <w:pStyle w:val="BodyText"/>
        <w:spacing w:before="38"/>
        <w:ind w:right="7750"/>
        <w:jc w:val="right"/>
        <w:rPr>
          <w:rFonts w:ascii="Consolas"/>
        </w:rPr>
      </w:pPr>
      <w:r>
        <w:rPr>
          <w:rFonts w:ascii="Consolas"/>
        </w:rPr>
        <w:t>&lt;x</w:t>
      </w:r>
      <w:r>
        <w:rPr>
          <w:rFonts w:ascii="Consolas"/>
          <w:spacing w:val="-6"/>
        </w:rPr>
        <w:t> </w:t>
      </w:r>
      <w:r>
        <w:rPr>
          <w:rFonts w:ascii="Consolas"/>
        </w:rPr>
        <w:t>v="0"/&gt;</w:t>
      </w:r>
    </w:p>
    <w:p>
      <w:pPr>
        <w:pStyle w:val="BodyText"/>
        <w:spacing w:before="40"/>
        <w:ind w:right="7750"/>
        <w:jc w:val="right"/>
        <w:rPr>
          <w:rFonts w:ascii="Consolas"/>
        </w:rPr>
      </w:pPr>
      <w:r>
        <w:rPr>
          <w:rFonts w:ascii="Consolas"/>
          <w:spacing w:val="-2"/>
        </w:rPr>
        <w:t>&lt;/reference&gt;</w:t>
      </w:r>
    </w:p>
    <w:p>
      <w:pPr>
        <w:pStyle w:val="BodyText"/>
        <w:spacing w:before="37"/>
        <w:ind w:left="165" w:right="6800"/>
        <w:jc w:val="center"/>
        <w:rPr>
          <w:rFonts w:ascii="Consolas"/>
        </w:rPr>
      </w:pPr>
      <w:r>
        <w:rPr>
          <w:rFonts w:ascii="Consolas"/>
        </w:rPr>
        <w:t>&lt;/references&gt;</w:t>
      </w:r>
    </w:p>
    <w:p>
      <w:pPr>
        <w:pStyle w:val="BodyText"/>
        <w:spacing w:before="40"/>
        <w:ind w:left="165" w:right="7407"/>
        <w:jc w:val="center"/>
        <w:rPr>
          <w:rFonts w:ascii="Consolas"/>
        </w:rPr>
      </w:pPr>
      <w:r>
        <w:rPr>
          <w:rFonts w:ascii="Consolas"/>
        </w:rPr>
        <w:t>&lt;/pivotArea&gt;</w:t>
      </w:r>
    </w:p>
    <w:p>
      <w:pPr>
        <w:pStyle w:val="BodyText"/>
        <w:spacing w:before="38"/>
        <w:ind w:left="165" w:right="7408"/>
        <w:jc w:val="center"/>
        <w:rPr>
          <w:rFonts w:ascii="Consolas"/>
        </w:rPr>
      </w:pPr>
      <w:r>
        <w:rPr>
          <w:rFonts w:ascii="Consolas"/>
        </w:rPr>
        <w:t>&lt;/autoSortScope&gt;</w:t>
      </w:r>
    </w:p>
    <w:p>
      <w:pPr>
        <w:pStyle w:val="BodyText"/>
        <w:spacing w:before="37"/>
        <w:ind w:left="165" w:right="8254"/>
        <w:jc w:val="center"/>
        <w:rPr>
          <w:rFonts w:ascii="Consolas"/>
        </w:rPr>
      </w:pPr>
      <w:r>
        <w:rPr>
          <w:rFonts w:ascii="Consolas"/>
        </w:rPr>
        <w:t>&lt;/pivotField&gt;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10"/>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1" w:hRule="atLeast"/>
        </w:trPr>
        <w:tc>
          <w:tcPr>
            <w:tcW w:w="2062" w:type="dxa"/>
          </w:tcPr>
          <w:p>
            <w:pPr>
              <w:pStyle w:val="TableParagraph"/>
              <w:ind w:right="150"/>
              <w:rPr>
                <w:sz w:val="22"/>
              </w:rPr>
            </w:pPr>
            <w:r>
              <w:rPr>
                <w:rFonts w:ascii="Cambria"/>
                <w:sz w:val="22"/>
              </w:rPr>
              <w:t>allDrilled </w:t>
            </w:r>
            <w:r>
              <w:rPr>
                <w:sz w:val="22"/>
              </w:rPr>
              <w:t>(All Items Expanded)</w:t>
            </w:r>
          </w:p>
        </w:tc>
        <w:tc>
          <w:tcPr>
            <w:tcW w:w="8250" w:type="dxa"/>
          </w:tcPr>
          <w:p>
            <w:pPr>
              <w:pStyle w:val="TableParagraph"/>
              <w:ind w:right="646"/>
              <w:rPr>
                <w:sz w:val="22"/>
              </w:rPr>
            </w:pPr>
            <w:r>
              <w:rPr>
                <w:sz w:val="22"/>
              </w:rPr>
              <w:t>Specifies a boolean value that indicates whether all items in the field are expanded. Applies only to OLAP PivotTables.</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all items in the field are expanded.</w:t>
            </w:r>
          </w:p>
          <w:p>
            <w:pPr>
              <w:pStyle w:val="TableParagraph"/>
              <w:spacing w:before="1"/>
              <w:ind w:left="0"/>
              <w:rPr>
                <w:sz w:val="22"/>
              </w:rPr>
            </w:pPr>
          </w:p>
          <w:p>
            <w:pPr>
              <w:pStyle w:val="TableParagraph"/>
              <w:spacing w:before="0"/>
              <w:ind w:right="96"/>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all items are not expanded. However some items might be expanded.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234" w:hRule="atLeast"/>
        </w:trPr>
        <w:tc>
          <w:tcPr>
            <w:tcW w:w="2062" w:type="dxa"/>
          </w:tcPr>
          <w:p>
            <w:pPr>
              <w:pStyle w:val="TableParagraph"/>
              <w:ind w:right="431"/>
              <w:rPr>
                <w:sz w:val="22"/>
              </w:rPr>
            </w:pPr>
            <w:r>
              <w:rPr>
                <w:rFonts w:ascii="Cambria"/>
                <w:sz w:val="22"/>
              </w:rPr>
              <w:t>autoShow </w:t>
            </w:r>
            <w:r>
              <w:rPr>
                <w:sz w:val="22"/>
              </w:rPr>
              <w:t>(Auto Show)</w:t>
            </w:r>
          </w:p>
        </w:tc>
        <w:tc>
          <w:tcPr>
            <w:tcW w:w="8250" w:type="dxa"/>
          </w:tcPr>
          <w:p>
            <w:pPr>
              <w:pStyle w:val="TableParagraph"/>
              <w:ind w:right="373"/>
              <w:rPr>
                <w:sz w:val="22"/>
              </w:rPr>
            </w:pPr>
            <w:r>
              <w:rPr>
                <w:sz w:val="22"/>
              </w:rPr>
              <w:t>Specifies a boolean value that indicates whether an "AutoShow" filter is applied to this field. This attribute depends on the implementation of filtering in the application.</w:t>
            </w:r>
          </w:p>
          <w:p>
            <w:pPr>
              <w:pStyle w:val="TableParagraph"/>
              <w:spacing w:before="1"/>
              <w:ind w:left="0"/>
              <w:rPr>
                <w:sz w:val="22"/>
              </w:rPr>
            </w:pPr>
          </w:p>
          <w:p>
            <w:pPr>
              <w:pStyle w:val="TableParagraph"/>
              <w:spacing w:line="480" w:lineRule="auto" w:before="0"/>
              <w:ind w:right="1593"/>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an "AutoShow" filter is applied to the field.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 "AutoShow" filter is not applied.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footerReference w:type="even" r:id="rId125"/>
          <w:footerReference w:type="default" r:id="rId126"/>
          <w:pgSz w:w="12240" w:h="15840"/>
          <w:pgMar w:footer="746" w:header="761" w:top="1340" w:bottom="940" w:left="860" w:right="700"/>
          <w:pgNumType w:start="189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2771" w:hRule="atLeast"/>
        </w:trPr>
        <w:tc>
          <w:tcPr>
            <w:tcW w:w="2062" w:type="dxa"/>
          </w:tcPr>
          <w:p>
            <w:pPr>
              <w:pStyle w:val="TableParagraph"/>
              <w:spacing w:line="256" w:lineRule="exact" w:before="42"/>
              <w:rPr>
                <w:rFonts w:ascii="Cambria"/>
                <w:sz w:val="22"/>
              </w:rPr>
            </w:pPr>
            <w:r>
              <w:rPr>
                <w:rFonts w:ascii="Cambria"/>
                <w:sz w:val="22"/>
              </w:rPr>
              <w:t>avgSubtotal</w:t>
            </w:r>
          </w:p>
          <w:p>
            <w:pPr>
              <w:pStyle w:val="TableParagraph"/>
              <w:spacing w:line="267" w:lineRule="exact" w:before="0"/>
              <w:rPr>
                <w:sz w:val="22"/>
              </w:rPr>
            </w:pPr>
            <w:r>
              <w:rPr>
                <w:sz w:val="22"/>
              </w:rPr>
              <w:t>(Average)</w:t>
            </w:r>
          </w:p>
        </w:tc>
        <w:tc>
          <w:tcPr>
            <w:tcW w:w="8250" w:type="dxa"/>
          </w:tcPr>
          <w:p>
            <w:pPr>
              <w:pStyle w:val="TableParagraph"/>
              <w:ind w:right="668"/>
              <w:rPr>
                <w:sz w:val="22"/>
              </w:rPr>
            </w:pPr>
            <w:r>
              <w:rPr>
                <w:sz w:val="22"/>
              </w:rPr>
              <w:t>Specifies a boolean value that indicates whether to apply the 'Average' aggregation function in the subtotal of this field.</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subtotal for this field is 'Average.'</w:t>
            </w:r>
          </w:p>
          <w:p>
            <w:pPr>
              <w:pStyle w:val="TableParagraph"/>
              <w:spacing w:before="4"/>
              <w:ind w:left="0"/>
              <w:rPr>
                <w:rFonts w:ascii="Times New Roman"/>
                <w:sz w:val="23"/>
              </w:rPr>
            </w:pPr>
          </w:p>
          <w:p>
            <w:pPr>
              <w:pStyle w:val="TableParagraph"/>
              <w:spacing w:before="1"/>
              <w:ind w:right="18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a different aggregation function is applied to the subtotal for this field.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890" w:hRule="atLeast"/>
        </w:trPr>
        <w:tc>
          <w:tcPr>
            <w:tcW w:w="2062" w:type="dxa"/>
          </w:tcPr>
          <w:p>
            <w:pPr>
              <w:pStyle w:val="TableParagraph"/>
              <w:rPr>
                <w:sz w:val="22"/>
              </w:rPr>
            </w:pPr>
            <w:r>
              <w:rPr>
                <w:rFonts w:ascii="Cambria"/>
                <w:sz w:val="22"/>
              </w:rPr>
              <w:t>axis </w:t>
            </w:r>
            <w:r>
              <w:rPr>
                <w:sz w:val="22"/>
              </w:rPr>
              <w:t>(Axis)</w:t>
            </w:r>
          </w:p>
        </w:tc>
        <w:tc>
          <w:tcPr>
            <w:tcW w:w="8250" w:type="dxa"/>
          </w:tcPr>
          <w:p>
            <w:pPr>
              <w:pStyle w:val="TableParagraph"/>
              <w:rPr>
                <w:sz w:val="22"/>
              </w:rPr>
            </w:pPr>
            <w:r>
              <w:rPr>
                <w:sz w:val="22"/>
              </w:rPr>
              <w:t>Specifies the region of the PivotTable that this field is displayed.</w:t>
            </w:r>
          </w:p>
          <w:p>
            <w:pPr>
              <w:pStyle w:val="TableParagraph"/>
              <w:spacing w:before="5"/>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ST_Axis </w:t>
            </w:r>
            <w:r>
              <w:rPr>
                <w:sz w:val="22"/>
              </w:rPr>
              <w:t>simple type (§</w:t>
            </w:r>
            <w:hyperlink w:history="true" w:anchor="_bookmark823">
              <w:r>
                <w:rPr>
                  <w:sz w:val="22"/>
                </w:rPr>
                <w:t>18.18.1</w:t>
              </w:r>
            </w:hyperlink>
            <w:r>
              <w:rPr>
                <w:sz w:val="22"/>
              </w:rPr>
              <w:t>).</w:t>
            </w:r>
          </w:p>
        </w:tc>
      </w:tr>
      <w:tr>
        <w:trPr>
          <w:trHeight w:val="2771" w:hRule="atLeast"/>
        </w:trPr>
        <w:tc>
          <w:tcPr>
            <w:tcW w:w="2062" w:type="dxa"/>
          </w:tcPr>
          <w:p>
            <w:pPr>
              <w:pStyle w:val="TableParagraph"/>
              <w:rPr>
                <w:sz w:val="22"/>
              </w:rPr>
            </w:pPr>
            <w:r>
              <w:rPr>
                <w:rFonts w:ascii="Cambria"/>
                <w:sz w:val="22"/>
              </w:rPr>
              <w:t>compact </w:t>
            </w:r>
            <w:r>
              <w:rPr>
                <w:sz w:val="22"/>
              </w:rPr>
              <w:t>(Compact)</w:t>
            </w:r>
          </w:p>
        </w:tc>
        <w:tc>
          <w:tcPr>
            <w:tcW w:w="8250" w:type="dxa"/>
          </w:tcPr>
          <w:p>
            <w:pPr>
              <w:pStyle w:val="TableParagraph"/>
              <w:ind w:right="833"/>
              <w:rPr>
                <w:sz w:val="22"/>
              </w:rPr>
            </w:pPr>
            <w:r>
              <w:rPr>
                <w:sz w:val="22"/>
              </w:rPr>
              <w:t>Specifies a boolean value that indicates whether the application will display fields compactly in the sheet on which this PivotTable resides.</w:t>
            </w:r>
          </w:p>
          <w:p>
            <w:pPr>
              <w:pStyle w:val="TableParagraph"/>
              <w:spacing w:before="4"/>
              <w:ind w:left="0"/>
              <w:rPr>
                <w:rFonts w:ascii="Times New Roman"/>
                <w:sz w:val="23"/>
              </w:rPr>
            </w:pPr>
          </w:p>
          <w:p>
            <w:pPr>
              <w:pStyle w:val="TableParagraph"/>
              <w:spacing w:before="0"/>
              <w:ind w:right="37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next field should be displayed in the same column of the sheet.</w:t>
            </w:r>
          </w:p>
          <w:p>
            <w:pPr>
              <w:pStyle w:val="TableParagraph"/>
              <w:spacing w:line="530" w:lineRule="atLeast" w:before="8"/>
              <w:ind w:right="114"/>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each pivot field will display in its own column in the sheet.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2772" w:hRule="atLeast"/>
        </w:trPr>
        <w:tc>
          <w:tcPr>
            <w:tcW w:w="2062" w:type="dxa"/>
          </w:tcPr>
          <w:p>
            <w:pPr>
              <w:pStyle w:val="TableParagraph"/>
              <w:spacing w:line="257" w:lineRule="exact" w:before="43"/>
              <w:rPr>
                <w:rFonts w:ascii="Cambria"/>
                <w:sz w:val="22"/>
              </w:rPr>
            </w:pPr>
            <w:r>
              <w:rPr>
                <w:rFonts w:ascii="Cambria"/>
                <w:sz w:val="22"/>
              </w:rPr>
              <w:t>countASubtotal</w:t>
            </w:r>
          </w:p>
          <w:p>
            <w:pPr>
              <w:pStyle w:val="TableParagraph"/>
              <w:spacing w:line="268" w:lineRule="exact" w:before="0"/>
              <w:rPr>
                <w:sz w:val="22"/>
              </w:rPr>
            </w:pPr>
            <w:r>
              <w:rPr>
                <w:sz w:val="22"/>
              </w:rPr>
              <w:t>(CountA)</w:t>
            </w:r>
          </w:p>
        </w:tc>
        <w:tc>
          <w:tcPr>
            <w:tcW w:w="8250" w:type="dxa"/>
          </w:tcPr>
          <w:p>
            <w:pPr>
              <w:pStyle w:val="TableParagraph"/>
              <w:ind w:right="758"/>
              <w:rPr>
                <w:sz w:val="22"/>
              </w:rPr>
            </w:pPr>
            <w:r>
              <w:rPr>
                <w:sz w:val="22"/>
              </w:rPr>
              <w:t>Specifies a boolean value that indicates whether to apply the 'countA' aggregation function in the subtotal of this field.</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subtotal for this field is 'countA.'</w:t>
            </w:r>
          </w:p>
          <w:p>
            <w:pPr>
              <w:pStyle w:val="TableParagraph"/>
              <w:spacing w:before="4"/>
              <w:ind w:left="0"/>
              <w:rPr>
                <w:rFonts w:ascii="Times New Roman"/>
                <w:sz w:val="23"/>
              </w:rPr>
            </w:pPr>
          </w:p>
          <w:p>
            <w:pPr>
              <w:pStyle w:val="TableParagraph"/>
              <w:spacing w:before="0"/>
              <w:ind w:right="18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a different aggregation function is applied to the subtotal for this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spacing w:line="257" w:lineRule="exact" w:before="42"/>
              <w:rPr>
                <w:rFonts w:ascii="Cambria"/>
                <w:sz w:val="22"/>
              </w:rPr>
            </w:pPr>
            <w:r>
              <w:rPr>
                <w:rFonts w:ascii="Cambria"/>
                <w:sz w:val="22"/>
              </w:rPr>
              <w:t>countSubtotal</w:t>
            </w:r>
          </w:p>
          <w:p>
            <w:pPr>
              <w:pStyle w:val="TableParagraph"/>
              <w:spacing w:line="268" w:lineRule="exact" w:before="0"/>
              <w:rPr>
                <w:sz w:val="22"/>
              </w:rPr>
            </w:pPr>
            <w:r>
              <w:rPr>
                <w:sz w:val="22"/>
              </w:rPr>
              <w:t>(Count)</w:t>
            </w:r>
          </w:p>
        </w:tc>
        <w:tc>
          <w:tcPr>
            <w:tcW w:w="8250" w:type="dxa"/>
          </w:tcPr>
          <w:p>
            <w:pPr>
              <w:pStyle w:val="TableParagraph"/>
              <w:ind w:right="88"/>
              <w:rPr>
                <w:sz w:val="22"/>
              </w:rPr>
            </w:pPr>
            <w:r>
              <w:rPr>
                <w:sz w:val="22"/>
              </w:rPr>
              <w:t>Specifies a boolean value that indicates whether to apply the 'count' aggregation function in the subtotal of this field.</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subtotal for this field is 'count.'</w:t>
            </w:r>
          </w:p>
          <w:p>
            <w:pPr>
              <w:pStyle w:val="TableParagraph"/>
              <w:spacing w:before="4"/>
              <w:ind w:left="0"/>
              <w:rPr>
                <w:rFonts w:ascii="Times New Roman"/>
                <w:sz w:val="23"/>
              </w:rPr>
            </w:pPr>
          </w:p>
          <w:p>
            <w:pPr>
              <w:pStyle w:val="TableParagraph"/>
              <w:spacing w:before="1"/>
              <w:ind w:right="9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a different aggregation vfunction is applied to the subtotal for this field.</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spacing w:after="0" w:line="267" w:lineRule="exact"/>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02" w:hRule="atLeast"/>
        </w:trPr>
        <w:tc>
          <w:tcPr>
            <w:tcW w:w="2062" w:type="dxa"/>
          </w:tcPr>
          <w:p>
            <w:pPr>
              <w:pStyle w:val="TableParagraph"/>
              <w:ind w:right="502"/>
              <w:rPr>
                <w:sz w:val="22"/>
              </w:rPr>
            </w:pPr>
            <w:r>
              <w:rPr>
                <w:rFonts w:ascii="Cambria"/>
                <w:sz w:val="22"/>
              </w:rPr>
              <w:t>dataField </w:t>
            </w:r>
            <w:r>
              <w:rPr>
                <w:sz w:val="22"/>
              </w:rPr>
              <w:t>(Data Field)</w:t>
            </w:r>
          </w:p>
        </w:tc>
        <w:tc>
          <w:tcPr>
            <w:tcW w:w="8250" w:type="dxa"/>
          </w:tcPr>
          <w:p>
            <w:pPr>
              <w:pStyle w:val="TableParagraph"/>
              <w:ind w:right="332"/>
              <w:rPr>
                <w:sz w:val="22"/>
              </w:rPr>
            </w:pPr>
            <w:r>
              <w:rPr>
                <w:sz w:val="22"/>
              </w:rPr>
              <w:t>Specifies a boolean value that indicates whether this field appears in the data region of the PivotTable.</w:t>
            </w:r>
          </w:p>
          <w:p>
            <w:pPr>
              <w:pStyle w:val="TableParagraph"/>
              <w:spacing w:before="4"/>
              <w:ind w:left="0"/>
              <w:rPr>
                <w:rFonts w:ascii="Times New Roman"/>
                <w:sz w:val="23"/>
              </w:rPr>
            </w:pPr>
          </w:p>
          <w:p>
            <w:pPr>
              <w:pStyle w:val="TableParagraph"/>
              <w:spacing w:line="477" w:lineRule="auto" w:before="0"/>
              <w:ind w:right="552"/>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field appears in the data region of the PivotTable.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this field appears in another region of the PivotTable.</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3" w:hRule="atLeast"/>
        </w:trPr>
        <w:tc>
          <w:tcPr>
            <w:tcW w:w="2062" w:type="dxa"/>
          </w:tcPr>
          <w:p>
            <w:pPr>
              <w:pStyle w:val="TableParagraph"/>
              <w:spacing w:line="257" w:lineRule="exact" w:before="42"/>
              <w:rPr>
                <w:rFonts w:ascii="Cambria"/>
                <w:sz w:val="22"/>
              </w:rPr>
            </w:pPr>
            <w:r>
              <w:rPr>
                <w:rFonts w:ascii="Cambria"/>
                <w:sz w:val="22"/>
              </w:rPr>
              <w:t>dataSourceSort</w:t>
            </w:r>
          </w:p>
          <w:p>
            <w:pPr>
              <w:pStyle w:val="TableParagraph"/>
              <w:spacing w:line="268" w:lineRule="exact" w:before="0"/>
              <w:rPr>
                <w:sz w:val="22"/>
              </w:rPr>
            </w:pPr>
            <w:r>
              <w:rPr>
                <w:sz w:val="22"/>
              </w:rPr>
              <w:t>(Data Source Sort)</w:t>
            </w:r>
          </w:p>
        </w:tc>
        <w:tc>
          <w:tcPr>
            <w:tcW w:w="8250" w:type="dxa"/>
          </w:tcPr>
          <w:p>
            <w:pPr>
              <w:pStyle w:val="TableParagraph"/>
              <w:ind w:right="411"/>
              <w:rPr>
                <w:sz w:val="22"/>
              </w:rPr>
            </w:pPr>
            <w:r>
              <w:rPr>
                <w:sz w:val="22"/>
              </w:rPr>
              <w:t>Specifies a boolean value that indicates whether sort is applied to this field in the data source.</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field is sorted in the data source.</w:t>
            </w:r>
          </w:p>
          <w:p>
            <w:pPr>
              <w:pStyle w:val="TableParagraph"/>
              <w:spacing w:before="4"/>
              <w:ind w:left="0"/>
              <w:rPr>
                <w:rFonts w:ascii="Times New Roman"/>
                <w:sz w:val="23"/>
              </w:rPr>
            </w:pP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field is not sorted in the data source.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78" w:hRule="atLeast"/>
        </w:trPr>
        <w:tc>
          <w:tcPr>
            <w:tcW w:w="2062" w:type="dxa"/>
          </w:tcPr>
          <w:p>
            <w:pPr>
              <w:pStyle w:val="TableParagraph"/>
              <w:spacing w:before="42"/>
              <w:ind w:right="98"/>
              <w:rPr>
                <w:sz w:val="22"/>
              </w:rPr>
            </w:pPr>
            <w:r>
              <w:rPr>
                <w:rFonts w:ascii="Cambria"/>
                <w:sz w:val="22"/>
              </w:rPr>
              <w:t>defaultAttributeDri llState </w:t>
            </w:r>
            <w:r>
              <w:rPr>
                <w:sz w:val="22"/>
              </w:rPr>
              <w:t>(Drill State)</w:t>
            </w:r>
          </w:p>
        </w:tc>
        <w:tc>
          <w:tcPr>
            <w:tcW w:w="8250" w:type="dxa"/>
          </w:tcPr>
          <w:p>
            <w:pPr>
              <w:pStyle w:val="TableParagraph"/>
              <w:ind w:right="565"/>
              <w:rPr>
                <w:sz w:val="22"/>
              </w:rPr>
            </w:pPr>
            <w:r>
              <w:rPr>
                <w:sz w:val="22"/>
              </w:rPr>
              <w:t>Specifies a boolean value that indicates the drill state of the attribute hierarchy in an OLAP-based PivotTable.</w:t>
            </w:r>
          </w:p>
          <w:p>
            <w:pPr>
              <w:pStyle w:val="TableParagraph"/>
              <w:spacing w:before="4"/>
              <w:ind w:left="0"/>
              <w:rPr>
                <w:rFonts w:ascii="Times New Roman"/>
                <w:sz w:val="23"/>
              </w:rPr>
            </w:pPr>
          </w:p>
          <w:p>
            <w:pPr>
              <w:pStyle w:val="TableParagraph"/>
              <w:spacing w:line="480" w:lineRule="auto" w:before="0"/>
              <w:ind w:right="2145"/>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attribute hierarchy is expanded. A value of </w:t>
            </w:r>
            <w:r>
              <w:rPr>
                <w:rFonts w:ascii="Consolas"/>
                <w:sz w:val="20"/>
              </w:rPr>
              <w:t>0</w:t>
            </w:r>
            <w:r>
              <w:rPr>
                <w:rFonts w:ascii="Consolas"/>
                <w:spacing w:val="-61"/>
                <w:sz w:val="20"/>
              </w:rPr>
              <w:t> </w:t>
            </w:r>
            <w:r>
              <w:rPr>
                <w:sz w:val="22"/>
              </w:rPr>
              <w:t>or </w:t>
            </w:r>
            <w:r>
              <w:rPr>
                <w:rFonts w:ascii="Consolas"/>
                <w:sz w:val="20"/>
              </w:rPr>
              <w:t>false</w:t>
            </w:r>
            <w:r>
              <w:rPr>
                <w:rFonts w:ascii="Consolas"/>
                <w:spacing w:val="-60"/>
                <w:sz w:val="20"/>
              </w:rPr>
              <w:t> </w:t>
            </w:r>
            <w:r>
              <w:rPr>
                <w:sz w:val="22"/>
              </w:rPr>
              <w:t>indicates the attribute hierarchy is collapsed.</w:t>
            </w:r>
          </w:p>
          <w:p>
            <w:pPr>
              <w:pStyle w:val="TableParagraph"/>
              <w:spacing w:before="0"/>
              <w:ind w:right="232"/>
              <w:rPr>
                <w:sz w:val="22"/>
              </w:rPr>
            </w:pPr>
            <w:r>
              <w:rPr>
                <w:sz w:val="22"/>
              </w:rPr>
              <w:t>This attribute is designed to allow the application to issue more optimized queries when all items of each field have the same drill state.</w:t>
            </w:r>
          </w:p>
          <w:p>
            <w:pPr>
              <w:pStyle w:val="TableParagraph"/>
              <w:spacing w:before="0"/>
              <w:ind w:left="0"/>
              <w:rPr>
                <w:rFonts w:ascii="Times New Roman"/>
                <w:sz w:val="22"/>
              </w:rPr>
            </w:pPr>
          </w:p>
          <w:p>
            <w:pPr>
              <w:pStyle w:val="TableParagraph"/>
              <w:spacing w:before="8"/>
              <w:ind w:left="0"/>
              <w:rPr>
                <w:rFonts w:ascii="Times New Roman"/>
                <w:sz w:val="24"/>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spacing w:line="237" w:lineRule="auto" w:before="45"/>
              <w:ind w:right="474"/>
              <w:rPr>
                <w:sz w:val="22"/>
              </w:rPr>
            </w:pPr>
            <w:r>
              <w:rPr>
                <w:rFonts w:ascii="Cambria"/>
                <w:sz w:val="22"/>
              </w:rPr>
              <w:t>defaultSubtotal </w:t>
            </w:r>
            <w:r>
              <w:rPr>
                <w:sz w:val="22"/>
              </w:rPr>
              <w:t>(Show Default Subtotal)</w:t>
            </w:r>
          </w:p>
        </w:tc>
        <w:tc>
          <w:tcPr>
            <w:tcW w:w="8250" w:type="dxa"/>
          </w:tcPr>
          <w:p>
            <w:pPr>
              <w:pStyle w:val="TableParagraph"/>
              <w:ind w:right="848"/>
              <w:rPr>
                <w:sz w:val="22"/>
              </w:rPr>
            </w:pPr>
            <w:r>
              <w:rPr>
                <w:sz w:val="22"/>
              </w:rPr>
              <w:t>Specifies a boolean value that indicates whether the default subtotal aggregation function is displayed for this field.</w:t>
            </w:r>
          </w:p>
          <w:p>
            <w:pPr>
              <w:pStyle w:val="TableParagraph"/>
              <w:spacing w:before="2"/>
              <w:ind w:left="0"/>
              <w:rPr>
                <w:rFonts w:ascii="Times New Roman"/>
                <w:sz w:val="23"/>
              </w:rPr>
            </w:pPr>
          </w:p>
          <w:p>
            <w:pPr>
              <w:pStyle w:val="TableParagraph"/>
              <w:spacing w:before="0"/>
              <w:ind w:right="34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default subtotal aggregation function is displayed for this field.</w:t>
            </w:r>
          </w:p>
          <w:p>
            <w:pPr>
              <w:pStyle w:val="TableParagraph"/>
              <w:spacing w:line="530" w:lineRule="atLeast" w:before="8"/>
              <w:ind w:right="690"/>
              <w:rPr>
                <w:rFonts w:ascii="Cambria"/>
                <w:sz w:val="22"/>
              </w:rPr>
            </w:pPr>
            <w:r>
              <w:rPr>
                <w:sz w:val="22"/>
              </w:rPr>
              <w:t>A value of </w:t>
            </w:r>
            <w:r>
              <w:rPr>
                <w:rFonts w:ascii="Consolas"/>
                <w:sz w:val="20"/>
              </w:rPr>
              <w:t>0 </w:t>
            </w:r>
            <w:r>
              <w:rPr>
                <w:sz w:val="22"/>
              </w:rPr>
              <w:t>or </w:t>
            </w:r>
            <w:r>
              <w:rPr>
                <w:rFonts w:ascii="Consolas"/>
                <w:sz w:val="20"/>
              </w:rPr>
              <w:t>false </w:t>
            </w:r>
            <w:r>
              <w:rPr>
                <w:sz w:val="22"/>
              </w:rPr>
              <w:t>indicates the default aggregation function is not displayed.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1158" w:hRule="atLeast"/>
        </w:trPr>
        <w:tc>
          <w:tcPr>
            <w:tcW w:w="2062" w:type="dxa"/>
          </w:tcPr>
          <w:p>
            <w:pPr>
              <w:pStyle w:val="TableParagraph"/>
              <w:rPr>
                <w:sz w:val="22"/>
              </w:rPr>
            </w:pPr>
            <w:r>
              <w:rPr>
                <w:rFonts w:ascii="Cambria"/>
                <w:sz w:val="22"/>
              </w:rPr>
              <w:t>dragOff </w:t>
            </w:r>
            <w:r>
              <w:rPr>
                <w:sz w:val="22"/>
              </w:rPr>
              <w:t>(Drag Off)</w:t>
            </w:r>
          </w:p>
        </w:tc>
        <w:tc>
          <w:tcPr>
            <w:tcW w:w="8250" w:type="dxa"/>
          </w:tcPr>
          <w:p>
            <w:pPr>
              <w:pStyle w:val="TableParagraph"/>
              <w:ind w:right="667"/>
              <w:rPr>
                <w:sz w:val="22"/>
              </w:rPr>
            </w:pPr>
            <w:r>
              <w:rPr>
                <w:sz w:val="22"/>
              </w:rPr>
              <w:t>Specifies a boolean value that indicates whether the field can be removed from the PivotTable.</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field can be removed from the PivotTable.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line="530" w:lineRule="atLeast" w:before="47"/>
              <w:ind w:right="690"/>
              <w:rPr>
                <w:rFonts w:ascii="Cambria"/>
                <w:sz w:val="22"/>
              </w:rPr>
            </w:pPr>
            <w:r>
              <w:rPr>
                <w:sz w:val="22"/>
              </w:rPr>
              <w:t>A value of </w:t>
            </w:r>
            <w:r>
              <w:rPr>
                <w:rFonts w:ascii="Consolas"/>
                <w:sz w:val="20"/>
              </w:rPr>
              <w:t>0 </w:t>
            </w:r>
            <w:r>
              <w:rPr>
                <w:sz w:val="22"/>
              </w:rPr>
              <w:t>or </w:t>
            </w:r>
            <w:r>
              <w:rPr>
                <w:rFonts w:ascii="Consolas"/>
                <w:sz w:val="20"/>
              </w:rPr>
              <w:t>false </w:t>
            </w:r>
            <w:r>
              <w:rPr>
                <w:sz w:val="22"/>
              </w:rPr>
              <w:t>indicates the field cannot be removed from the PivotTable. The possible values for this attribute are defined by the W3C XML Schema </w:t>
            </w:r>
            <w:r>
              <w:rPr>
                <w:rFonts w:ascii="Cambria"/>
                <w:sz w:val="22"/>
              </w:rPr>
              <w:t>boolean</w:t>
            </w:r>
          </w:p>
          <w:p>
            <w:pPr>
              <w:pStyle w:val="TableParagraph"/>
              <w:spacing w:before="5"/>
              <w:rPr>
                <w:sz w:val="22"/>
              </w:rPr>
            </w:pPr>
            <w:r>
              <w:rPr>
                <w:sz w:val="22"/>
              </w:rPr>
              <w:t>datatype.</w:t>
            </w:r>
          </w:p>
        </w:tc>
      </w:tr>
      <w:tr>
        <w:trPr>
          <w:trHeight w:val="2503" w:hRule="atLeast"/>
        </w:trPr>
        <w:tc>
          <w:tcPr>
            <w:tcW w:w="2062" w:type="dxa"/>
          </w:tcPr>
          <w:p>
            <w:pPr>
              <w:pStyle w:val="TableParagraph"/>
              <w:ind w:right="131"/>
              <w:rPr>
                <w:sz w:val="22"/>
              </w:rPr>
            </w:pPr>
            <w:r>
              <w:rPr>
                <w:rFonts w:ascii="Cambria"/>
                <w:sz w:val="22"/>
              </w:rPr>
              <w:t>dragToCol </w:t>
            </w:r>
            <w:r>
              <w:rPr>
                <w:sz w:val="22"/>
              </w:rPr>
              <w:t>(Drag To Column)</w:t>
            </w:r>
          </w:p>
        </w:tc>
        <w:tc>
          <w:tcPr>
            <w:tcW w:w="8250" w:type="dxa"/>
          </w:tcPr>
          <w:p>
            <w:pPr>
              <w:pStyle w:val="TableParagraph"/>
              <w:ind w:right="270"/>
              <w:rPr>
                <w:sz w:val="22"/>
              </w:rPr>
            </w:pPr>
            <w:r>
              <w:rPr>
                <w:sz w:val="22"/>
              </w:rPr>
              <w:t>Specifies a boolean value that indicates whether the field can be dragged to the column axis.</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field can be dragged to the column axis.</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field cannot be dragged to the column axis.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2" w:hRule="atLeast"/>
        </w:trPr>
        <w:tc>
          <w:tcPr>
            <w:tcW w:w="2062" w:type="dxa"/>
          </w:tcPr>
          <w:p>
            <w:pPr>
              <w:pStyle w:val="TableParagraph"/>
              <w:ind w:right="263"/>
              <w:rPr>
                <w:sz w:val="22"/>
              </w:rPr>
            </w:pPr>
            <w:r>
              <w:rPr>
                <w:rFonts w:ascii="Cambria"/>
                <w:sz w:val="22"/>
              </w:rPr>
              <w:t>dragToData </w:t>
            </w:r>
            <w:r>
              <w:rPr>
                <w:sz w:val="22"/>
              </w:rPr>
              <w:t>(Field Can Drag to Data)</w:t>
            </w:r>
          </w:p>
        </w:tc>
        <w:tc>
          <w:tcPr>
            <w:tcW w:w="8250" w:type="dxa"/>
          </w:tcPr>
          <w:p>
            <w:pPr>
              <w:pStyle w:val="TableParagraph"/>
              <w:ind w:right="536"/>
              <w:rPr>
                <w:sz w:val="22"/>
              </w:rPr>
            </w:pPr>
            <w:r>
              <w:rPr>
                <w:sz w:val="22"/>
              </w:rPr>
              <w:t>Specifies a boolean value that indicates whether the field can be dragged to the data region.</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field can be dragged to the data region.</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field cannot be dragged to the data region.</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5" w:hRule="atLeast"/>
        </w:trPr>
        <w:tc>
          <w:tcPr>
            <w:tcW w:w="2062" w:type="dxa"/>
          </w:tcPr>
          <w:p>
            <w:pPr>
              <w:pStyle w:val="TableParagraph"/>
              <w:spacing w:before="42"/>
              <w:ind w:right="256"/>
              <w:rPr>
                <w:sz w:val="22"/>
              </w:rPr>
            </w:pPr>
            <w:r>
              <w:rPr>
                <w:rFonts w:ascii="Cambria"/>
                <w:sz w:val="22"/>
              </w:rPr>
              <w:t>dragToPage </w:t>
            </w:r>
            <w:r>
              <w:rPr>
                <w:sz w:val="22"/>
              </w:rPr>
              <w:t>(Drag Field to Page)</w:t>
            </w:r>
          </w:p>
        </w:tc>
        <w:tc>
          <w:tcPr>
            <w:tcW w:w="8250" w:type="dxa"/>
          </w:tcPr>
          <w:p>
            <w:pPr>
              <w:pStyle w:val="TableParagraph"/>
              <w:spacing w:before="42"/>
              <w:rPr>
                <w:sz w:val="22"/>
              </w:rPr>
            </w:pPr>
            <w:r>
              <w:rPr>
                <w:sz w:val="22"/>
              </w:rPr>
              <w:t>Specifies a boolean value that indicates whether the field can be dragged to the page region.</w:t>
            </w:r>
          </w:p>
          <w:p>
            <w:pPr>
              <w:pStyle w:val="TableParagraph"/>
              <w:spacing w:before="3"/>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field can be dragged to the page region.</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field cannot be dragged to the page region.</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ind w:right="280"/>
              <w:rPr>
                <w:sz w:val="22"/>
              </w:rPr>
            </w:pPr>
            <w:r>
              <w:rPr>
                <w:rFonts w:ascii="Cambria"/>
                <w:sz w:val="22"/>
              </w:rPr>
              <w:t>dragToRow </w:t>
            </w:r>
            <w:r>
              <w:rPr>
                <w:sz w:val="22"/>
              </w:rPr>
              <w:t>(Drag To Row)</w:t>
            </w:r>
          </w:p>
        </w:tc>
        <w:tc>
          <w:tcPr>
            <w:tcW w:w="8250" w:type="dxa"/>
          </w:tcPr>
          <w:p>
            <w:pPr>
              <w:pStyle w:val="TableParagraph"/>
              <w:spacing w:line="477" w:lineRule="auto"/>
              <w:ind w:right="144"/>
              <w:rPr>
                <w:sz w:val="22"/>
              </w:rPr>
            </w:pPr>
            <w:r>
              <w:rPr>
                <w:sz w:val="22"/>
              </w:rPr>
              <w:t>Specifies a boolean value that indicates whether the field can be dragged to the row axis.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field can be dragged to the row axis.</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field cannot be dragged to the row axis.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hiddenLevel</w:t>
            </w:r>
          </w:p>
          <w:p>
            <w:pPr>
              <w:pStyle w:val="TableParagraph"/>
              <w:spacing w:line="267" w:lineRule="exact" w:before="0"/>
              <w:rPr>
                <w:sz w:val="22"/>
              </w:rPr>
            </w:pPr>
            <w:r>
              <w:rPr>
                <w:sz w:val="22"/>
              </w:rPr>
              <w:t>(Hidden Level)</w:t>
            </w:r>
          </w:p>
        </w:tc>
        <w:tc>
          <w:tcPr>
            <w:tcW w:w="8250" w:type="dxa"/>
          </w:tcPr>
          <w:p>
            <w:pPr>
              <w:pStyle w:val="TableParagraph"/>
              <w:ind w:right="155"/>
              <w:rPr>
                <w:sz w:val="22"/>
              </w:rPr>
            </w:pPr>
            <w:r>
              <w:rPr>
                <w:sz w:val="22"/>
              </w:rPr>
              <w:t>Specifies a boolean value that indicates whether there is a hidden level in the PivotTable. This attribute applies to OLAP-based PivotTables only.</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OLAP PivotTable contains a hidden level.</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spacing w:line="530" w:lineRule="atLeast" w:before="47"/>
              <w:ind w:right="289"/>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OLAP PivotTable does not contain any hidden levels.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3041" w:hRule="atLeast"/>
        </w:trPr>
        <w:tc>
          <w:tcPr>
            <w:tcW w:w="2062" w:type="dxa"/>
          </w:tcPr>
          <w:p>
            <w:pPr>
              <w:pStyle w:val="TableParagraph"/>
              <w:spacing w:line="257" w:lineRule="exact" w:before="42"/>
              <w:rPr>
                <w:rFonts w:ascii="Cambria"/>
                <w:sz w:val="22"/>
              </w:rPr>
            </w:pPr>
            <w:r>
              <w:rPr>
                <w:rFonts w:ascii="Cambria"/>
                <w:sz w:val="22"/>
              </w:rPr>
              <w:t>hideNewItems</w:t>
            </w:r>
          </w:p>
          <w:p>
            <w:pPr>
              <w:pStyle w:val="TableParagraph"/>
              <w:spacing w:line="268" w:lineRule="exact" w:before="0"/>
              <w:rPr>
                <w:sz w:val="22"/>
              </w:rPr>
            </w:pPr>
            <w:r>
              <w:rPr>
                <w:sz w:val="22"/>
              </w:rPr>
              <w:t>(Hide New Items)</w:t>
            </w:r>
          </w:p>
        </w:tc>
        <w:tc>
          <w:tcPr>
            <w:tcW w:w="8250" w:type="dxa"/>
          </w:tcPr>
          <w:p>
            <w:pPr>
              <w:pStyle w:val="TableParagraph"/>
              <w:ind w:right="382"/>
              <w:rPr>
                <w:sz w:val="22"/>
              </w:rPr>
            </w:pPr>
            <w:r>
              <w:rPr>
                <w:sz w:val="22"/>
              </w:rPr>
              <w:t>Specifies a boolean value that indicates whether new items that appear after a refresh should be hidden by default.</w:t>
            </w:r>
          </w:p>
          <w:p>
            <w:pPr>
              <w:pStyle w:val="TableParagraph"/>
              <w:spacing w:before="4"/>
              <w:ind w:left="0"/>
              <w:rPr>
                <w:rFonts w:ascii="Times New Roman"/>
                <w:sz w:val="23"/>
              </w:rPr>
            </w:pPr>
          </w:p>
          <w:p>
            <w:pPr>
              <w:pStyle w:val="TableParagraph"/>
              <w:spacing w:before="0"/>
              <w:rPr>
                <w:sz w:val="22"/>
              </w:rPr>
            </w:pPr>
            <w:r>
              <w:rPr>
                <w:sz w:val="22"/>
              </w:rPr>
              <w:t>A</w:t>
            </w:r>
            <w:r>
              <w:rPr>
                <w:spacing w:val="-1"/>
                <w:sz w:val="22"/>
              </w:rPr>
              <w:t> </w:t>
            </w:r>
            <w:r>
              <w:rPr>
                <w:sz w:val="22"/>
              </w:rPr>
              <w:t>value</w:t>
            </w:r>
            <w:r>
              <w:rPr>
                <w:spacing w:val="-2"/>
                <w:sz w:val="22"/>
              </w:rPr>
              <w:t> </w:t>
            </w:r>
            <w:r>
              <w:rPr>
                <w:sz w:val="22"/>
              </w:rPr>
              <w:t>of</w:t>
            </w:r>
            <w:r>
              <w:rPr>
                <w:spacing w:val="-1"/>
                <w:sz w:val="22"/>
              </w:rPr>
              <w:t> </w:t>
            </w:r>
            <w:r>
              <w:rPr>
                <w:rFonts w:ascii="Consolas"/>
                <w:sz w:val="20"/>
              </w:rPr>
              <w:t>1</w:t>
            </w:r>
            <w:r>
              <w:rPr>
                <w:rFonts w:ascii="Consolas"/>
                <w:spacing w:val="-60"/>
                <w:sz w:val="20"/>
              </w:rPr>
              <w:t> </w:t>
            </w:r>
            <w:r>
              <w:rPr>
                <w:sz w:val="22"/>
              </w:rPr>
              <w:t>or</w:t>
            </w:r>
            <w:r>
              <w:rPr>
                <w:spacing w:val="-2"/>
                <w:sz w:val="22"/>
              </w:rPr>
              <w:t> </w:t>
            </w:r>
            <w:r>
              <w:rPr>
                <w:rFonts w:ascii="Consolas"/>
                <w:sz w:val="20"/>
              </w:rPr>
              <w:t>true</w:t>
            </w:r>
            <w:r>
              <w:rPr>
                <w:rFonts w:ascii="Consolas"/>
                <w:spacing w:val="-62"/>
                <w:sz w:val="20"/>
              </w:rPr>
              <w:t> </w:t>
            </w:r>
            <w:r>
              <w:rPr>
                <w:sz w:val="22"/>
              </w:rPr>
              <w:t>indicates that</w:t>
            </w:r>
            <w:r>
              <w:rPr>
                <w:spacing w:val="-4"/>
                <w:sz w:val="22"/>
              </w:rPr>
              <w:t> </w:t>
            </w:r>
            <w:r>
              <w:rPr>
                <w:sz w:val="22"/>
              </w:rPr>
              <w:t>items</w:t>
            </w:r>
            <w:r>
              <w:rPr>
                <w:spacing w:val="-2"/>
                <w:sz w:val="22"/>
              </w:rPr>
              <w:t> </w:t>
            </w:r>
            <w:r>
              <w:rPr>
                <w:sz w:val="22"/>
              </w:rPr>
              <w:t>that appear</w:t>
            </w:r>
            <w:r>
              <w:rPr>
                <w:spacing w:val="-3"/>
                <w:sz w:val="22"/>
              </w:rPr>
              <w:t> </w:t>
            </w:r>
            <w:r>
              <w:rPr>
                <w:sz w:val="22"/>
              </w:rPr>
              <w:t>after</w:t>
            </w:r>
            <w:r>
              <w:rPr>
                <w:spacing w:val="-1"/>
                <w:sz w:val="22"/>
              </w:rPr>
              <w:t> </w:t>
            </w:r>
            <w:r>
              <w:rPr>
                <w:sz w:val="22"/>
              </w:rPr>
              <w:t>a refresh</w:t>
            </w:r>
            <w:r>
              <w:rPr>
                <w:spacing w:val="-3"/>
                <w:sz w:val="22"/>
              </w:rPr>
              <w:t> </w:t>
            </w:r>
            <w:r>
              <w:rPr>
                <w:sz w:val="22"/>
              </w:rPr>
              <w:t>should</w:t>
            </w:r>
            <w:r>
              <w:rPr>
                <w:spacing w:val="-1"/>
                <w:sz w:val="22"/>
              </w:rPr>
              <w:t> </w:t>
            </w:r>
            <w:r>
              <w:rPr>
                <w:sz w:val="22"/>
              </w:rPr>
              <w:t>be</w:t>
            </w:r>
            <w:r>
              <w:rPr>
                <w:spacing w:val="-4"/>
                <w:sz w:val="22"/>
              </w:rPr>
              <w:t> </w:t>
            </w:r>
            <w:r>
              <w:rPr>
                <w:sz w:val="22"/>
              </w:rPr>
              <w:t>hidden by default.</w:t>
            </w:r>
          </w:p>
          <w:p>
            <w:pPr>
              <w:pStyle w:val="TableParagraph"/>
              <w:spacing w:before="5"/>
              <w:ind w:left="0"/>
              <w:rPr>
                <w:rFonts w:ascii="Times New Roman"/>
                <w:sz w:val="23"/>
              </w:rPr>
            </w:pPr>
          </w:p>
          <w:p>
            <w:pPr>
              <w:pStyle w:val="TableParagraph"/>
              <w:spacing w:before="0"/>
              <w:rPr>
                <w:sz w:val="22"/>
              </w:rPr>
            </w:pPr>
            <w:r>
              <w:rPr>
                <w:sz w:val="22"/>
              </w:rPr>
              <w:t>A</w:t>
            </w:r>
            <w:r>
              <w:rPr>
                <w:spacing w:val="-1"/>
                <w:sz w:val="22"/>
              </w:rPr>
              <w:t> </w:t>
            </w:r>
            <w:r>
              <w:rPr>
                <w:sz w:val="22"/>
              </w:rPr>
              <w:t>value</w:t>
            </w:r>
            <w:r>
              <w:rPr>
                <w:spacing w:val="-3"/>
                <w:sz w:val="22"/>
              </w:rPr>
              <w:t> </w:t>
            </w:r>
            <w:r>
              <w:rPr>
                <w:sz w:val="22"/>
              </w:rPr>
              <w:t>of</w:t>
            </w:r>
            <w:r>
              <w:rPr>
                <w:spacing w:val="-1"/>
                <w:sz w:val="22"/>
              </w:rPr>
              <w:t> </w:t>
            </w:r>
            <w:r>
              <w:rPr>
                <w:rFonts w:ascii="Consolas"/>
                <w:sz w:val="20"/>
              </w:rPr>
              <w:t>0</w:t>
            </w:r>
            <w:r>
              <w:rPr>
                <w:rFonts w:ascii="Consolas"/>
                <w:spacing w:val="-60"/>
                <w:sz w:val="20"/>
              </w:rPr>
              <w:t> </w:t>
            </w:r>
            <w:r>
              <w:rPr>
                <w:sz w:val="22"/>
              </w:rPr>
              <w:t>or</w:t>
            </w:r>
            <w:r>
              <w:rPr>
                <w:spacing w:val="-2"/>
                <w:sz w:val="22"/>
              </w:rPr>
              <w:t> </w:t>
            </w:r>
            <w:r>
              <w:rPr>
                <w:rFonts w:ascii="Consolas"/>
                <w:sz w:val="20"/>
              </w:rPr>
              <w:t>false</w:t>
            </w:r>
            <w:r>
              <w:rPr>
                <w:rFonts w:ascii="Consolas"/>
                <w:spacing w:val="-59"/>
                <w:sz w:val="20"/>
              </w:rPr>
              <w:t> </w:t>
            </w:r>
            <w:r>
              <w:rPr>
                <w:sz w:val="22"/>
              </w:rPr>
              <w:t>indicates</w:t>
            </w:r>
            <w:r>
              <w:rPr>
                <w:spacing w:val="-1"/>
                <w:sz w:val="22"/>
              </w:rPr>
              <w:t> </w:t>
            </w:r>
            <w:r>
              <w:rPr>
                <w:sz w:val="22"/>
              </w:rPr>
              <w:t>that items</w:t>
            </w:r>
            <w:r>
              <w:rPr>
                <w:spacing w:val="-1"/>
                <w:sz w:val="22"/>
              </w:rPr>
              <w:t> </w:t>
            </w:r>
            <w:r>
              <w:rPr>
                <w:sz w:val="22"/>
              </w:rPr>
              <w:t>that</w:t>
            </w:r>
            <w:r>
              <w:rPr>
                <w:spacing w:val="-3"/>
                <w:sz w:val="22"/>
              </w:rPr>
              <w:t> </w:t>
            </w:r>
            <w:r>
              <w:rPr>
                <w:sz w:val="22"/>
              </w:rPr>
              <w:t>appear</w:t>
            </w:r>
            <w:r>
              <w:rPr>
                <w:spacing w:val="-4"/>
                <w:sz w:val="22"/>
              </w:rPr>
              <w:t> </w:t>
            </w:r>
            <w:r>
              <w:rPr>
                <w:sz w:val="22"/>
              </w:rPr>
              <w:t>after a</w:t>
            </w:r>
            <w:r>
              <w:rPr>
                <w:spacing w:val="-4"/>
                <w:sz w:val="22"/>
              </w:rPr>
              <w:t> </w:t>
            </w:r>
            <w:r>
              <w:rPr>
                <w:sz w:val="22"/>
              </w:rPr>
              <w:t>refresh</w:t>
            </w:r>
            <w:r>
              <w:rPr>
                <w:spacing w:val="-1"/>
                <w:sz w:val="22"/>
              </w:rPr>
              <w:t> </w:t>
            </w:r>
            <w:r>
              <w:rPr>
                <w:sz w:val="22"/>
              </w:rPr>
              <w:t>should</w:t>
            </w:r>
            <w:r>
              <w:rPr>
                <w:spacing w:val="-1"/>
                <w:sz w:val="22"/>
              </w:rPr>
              <w:t> </w:t>
            </w:r>
            <w:r>
              <w:rPr>
                <w:sz w:val="22"/>
              </w:rPr>
              <w:t>be</w:t>
            </w:r>
            <w:r>
              <w:rPr>
                <w:spacing w:val="-1"/>
                <w:sz w:val="22"/>
              </w:rPr>
              <w:t> </w:t>
            </w:r>
            <w:r>
              <w:rPr>
                <w:sz w:val="22"/>
              </w:rPr>
              <w:t>shown by default.</w:t>
            </w:r>
          </w:p>
          <w:p>
            <w:pPr>
              <w:pStyle w:val="TableParagraph"/>
              <w:spacing w:before="5"/>
              <w:ind w:left="0"/>
              <w:rPr>
                <w:rFonts w:ascii="Times New Roman"/>
                <w:sz w:val="23"/>
              </w:rPr>
            </w:pP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234" w:hRule="atLeast"/>
        </w:trPr>
        <w:tc>
          <w:tcPr>
            <w:tcW w:w="2062" w:type="dxa"/>
          </w:tcPr>
          <w:p>
            <w:pPr>
              <w:pStyle w:val="TableParagraph"/>
              <w:spacing w:before="42"/>
              <w:ind w:right="196"/>
              <w:rPr>
                <w:sz w:val="22"/>
              </w:rPr>
            </w:pPr>
            <w:r>
              <w:rPr>
                <w:rFonts w:ascii="Cambria"/>
                <w:sz w:val="22"/>
              </w:rPr>
              <w:t>includeNewItemsI nFilter </w:t>
            </w:r>
            <w:r>
              <w:rPr>
                <w:sz w:val="22"/>
              </w:rPr>
              <w:t>(Inclusive Manual Filter)</w:t>
            </w:r>
          </w:p>
        </w:tc>
        <w:tc>
          <w:tcPr>
            <w:tcW w:w="8250" w:type="dxa"/>
          </w:tcPr>
          <w:p>
            <w:pPr>
              <w:pStyle w:val="TableParagraph"/>
              <w:spacing w:line="480" w:lineRule="auto"/>
              <w:ind w:right="743"/>
              <w:rPr>
                <w:sz w:val="22"/>
              </w:rPr>
            </w:pPr>
            <w:r>
              <w:rPr>
                <w:sz w:val="22"/>
              </w:rPr>
              <w:t>Specifies a boolean value that indicates whether manual filter is in inclusive mode.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manual filter is inclusive.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manual filter is </w:t>
            </w:r>
            <w:r>
              <w:rPr>
                <w:spacing w:val="-2"/>
                <w:sz w:val="22"/>
              </w:rPr>
              <w:t>not </w:t>
            </w:r>
            <w:r>
              <w:rPr>
                <w:sz w:val="22"/>
              </w:rPr>
              <w:t>inclusive.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6" w:hRule="atLeast"/>
        </w:trPr>
        <w:tc>
          <w:tcPr>
            <w:tcW w:w="2062" w:type="dxa"/>
          </w:tcPr>
          <w:p>
            <w:pPr>
              <w:pStyle w:val="TableParagraph"/>
              <w:spacing w:line="256" w:lineRule="exact" w:before="45"/>
              <w:rPr>
                <w:rFonts w:ascii="Cambria"/>
                <w:sz w:val="22"/>
              </w:rPr>
            </w:pPr>
            <w:r>
              <w:rPr>
                <w:rFonts w:ascii="Cambria"/>
                <w:sz w:val="22"/>
              </w:rPr>
              <w:t>insertBlankRow</w:t>
            </w:r>
          </w:p>
          <w:p>
            <w:pPr>
              <w:pStyle w:val="TableParagraph"/>
              <w:spacing w:line="267" w:lineRule="exact" w:before="0"/>
              <w:rPr>
                <w:sz w:val="22"/>
              </w:rPr>
            </w:pPr>
            <w:r>
              <w:rPr>
                <w:sz w:val="22"/>
              </w:rPr>
              <w:t>(Insert Blank Row)</w:t>
            </w:r>
          </w:p>
        </w:tc>
        <w:tc>
          <w:tcPr>
            <w:tcW w:w="8250" w:type="dxa"/>
          </w:tcPr>
          <w:p>
            <w:pPr>
              <w:pStyle w:val="TableParagraph"/>
              <w:spacing w:line="477" w:lineRule="auto" w:before="42"/>
              <w:ind w:right="421"/>
              <w:rPr>
                <w:sz w:val="22"/>
              </w:rPr>
            </w:pPr>
            <w:r>
              <w:rPr>
                <w:sz w:val="22"/>
              </w:rPr>
              <w:t>Specifies a boolean value that indicates whether to insert a blank row after each item.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a blank row is inserted after each item.</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no additional rows are inserted after each item.</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37" w:lineRule="auto" w:before="45"/>
              <w:ind w:right="377"/>
              <w:jc w:val="both"/>
              <w:rPr>
                <w:sz w:val="22"/>
              </w:rPr>
            </w:pPr>
            <w:r>
              <w:rPr>
                <w:rFonts w:ascii="Cambria"/>
                <w:sz w:val="22"/>
              </w:rPr>
              <w:t>insertPageBreak </w:t>
            </w:r>
            <w:r>
              <w:rPr>
                <w:sz w:val="22"/>
              </w:rPr>
              <w:t>(Insert Item Page Break)</w:t>
            </w:r>
          </w:p>
        </w:tc>
        <w:tc>
          <w:tcPr>
            <w:tcW w:w="8250" w:type="dxa"/>
          </w:tcPr>
          <w:p>
            <w:pPr>
              <w:pStyle w:val="TableParagraph"/>
              <w:spacing w:line="477" w:lineRule="auto"/>
              <w:ind w:right="316"/>
              <w:rPr>
                <w:sz w:val="22"/>
              </w:rPr>
            </w:pPr>
            <w:r>
              <w:rPr>
                <w:sz w:val="22"/>
              </w:rPr>
              <w:t>Specifies a boolean value that indicates whether to insert a page break after each item.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a page break is inserted after each item.</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no page breaks are inserted after items.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5"/>
              <w:ind w:right="500"/>
              <w:jc w:val="both"/>
              <w:rPr>
                <w:sz w:val="22"/>
              </w:rPr>
            </w:pPr>
            <w:r>
              <w:rPr>
                <w:rFonts w:ascii="Cambria"/>
                <w:sz w:val="22"/>
              </w:rPr>
              <w:t>itemPageCount </w:t>
            </w:r>
            <w:r>
              <w:rPr>
                <w:sz w:val="22"/>
              </w:rPr>
              <w:t>(Items Per Page Count)</w:t>
            </w:r>
          </w:p>
        </w:tc>
        <w:tc>
          <w:tcPr>
            <w:tcW w:w="8250" w:type="dxa"/>
          </w:tcPr>
          <w:p>
            <w:pPr>
              <w:pStyle w:val="TableParagraph"/>
              <w:rPr>
                <w:sz w:val="22"/>
              </w:rPr>
            </w:pPr>
            <w:r>
              <w:rPr>
                <w:sz w:val="22"/>
              </w:rPr>
              <w:t>Specifies the number of items showed per page in the PivotTable.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ind w:right="232"/>
              <w:rPr>
                <w:sz w:val="22"/>
              </w:rPr>
            </w:pPr>
            <w:r>
              <w:rPr>
                <w:rFonts w:ascii="Cambria"/>
                <w:sz w:val="22"/>
              </w:rPr>
              <w:t>maxSubtotal </w:t>
            </w:r>
            <w:r>
              <w:rPr>
                <w:sz w:val="22"/>
              </w:rPr>
              <w:t>(Max Subtotal)</w:t>
            </w:r>
          </w:p>
        </w:tc>
        <w:tc>
          <w:tcPr>
            <w:tcW w:w="8250" w:type="dxa"/>
          </w:tcPr>
          <w:p>
            <w:pPr>
              <w:pStyle w:val="TableParagraph"/>
              <w:ind w:right="106"/>
              <w:rPr>
                <w:sz w:val="22"/>
              </w:rPr>
            </w:pPr>
            <w:r>
              <w:rPr>
                <w:sz w:val="22"/>
              </w:rPr>
              <w:t>Specifies a boolean value that indicates whether to apply the 'max' aggregation function in the subtotal of this field.</w:t>
            </w:r>
          </w:p>
          <w:p>
            <w:pPr>
              <w:pStyle w:val="TableParagraph"/>
              <w:spacing w:before="6"/>
              <w:ind w:left="0"/>
              <w:rPr>
                <w:rFonts w:ascii="Times New Roman"/>
                <w:sz w:val="23"/>
              </w:rPr>
            </w:pPr>
          </w:p>
          <w:p>
            <w:pPr>
              <w:pStyle w:val="TableParagraph"/>
              <w:spacing w:line="237" w:lineRule="auto" w:before="1"/>
              <w:ind w:right="81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the 'max' aggregation function is applied in the subtotal for this field.</w:t>
            </w:r>
          </w:p>
          <w:p>
            <w:pPr>
              <w:pStyle w:val="TableParagraph"/>
              <w:spacing w:before="5"/>
              <w:ind w:left="0"/>
              <w:rPr>
                <w:rFonts w:ascii="Times New Roman"/>
                <w:sz w:val="23"/>
              </w:rPr>
            </w:pPr>
          </w:p>
          <w:p>
            <w:pPr>
              <w:pStyle w:val="TableParagraph"/>
              <w:spacing w:before="0"/>
              <w:ind w:right="13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another aggregation function is applied in the subtotal for this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56" w:lineRule="exact" w:before="42"/>
              <w:rPr>
                <w:rFonts w:ascii="Cambria"/>
                <w:sz w:val="22"/>
              </w:rPr>
            </w:pPr>
            <w:r>
              <w:rPr>
                <w:rFonts w:ascii="Cambria"/>
                <w:sz w:val="22"/>
              </w:rPr>
              <w:t>measureFilter</w:t>
            </w:r>
          </w:p>
          <w:p>
            <w:pPr>
              <w:pStyle w:val="TableParagraph"/>
              <w:spacing w:line="267" w:lineRule="exact" w:before="0"/>
              <w:rPr>
                <w:sz w:val="22"/>
              </w:rPr>
            </w:pPr>
            <w:r>
              <w:rPr>
                <w:sz w:val="22"/>
              </w:rPr>
              <w:t>(Measure Filter)</w:t>
            </w:r>
          </w:p>
        </w:tc>
        <w:tc>
          <w:tcPr>
            <w:tcW w:w="8250" w:type="dxa"/>
          </w:tcPr>
          <w:p>
            <w:pPr>
              <w:pStyle w:val="TableParagraph"/>
              <w:spacing w:line="480" w:lineRule="auto"/>
              <w:ind w:right="885"/>
              <w:rPr>
                <w:sz w:val="22"/>
              </w:rPr>
            </w:pPr>
            <w:r>
              <w:rPr>
                <w:sz w:val="22"/>
              </w:rPr>
              <w:t>Specifies a boolean value that indicates whether field has a measure based filter.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field has a measure-based filter.</w:t>
            </w:r>
          </w:p>
          <w:p>
            <w:pPr>
              <w:pStyle w:val="TableParagraph"/>
              <w:spacing w:line="268"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does not have a measure-based filter.</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ind w:right="296"/>
              <w:rPr>
                <w:sz w:val="22"/>
              </w:rPr>
            </w:pPr>
            <w:r>
              <w:rPr>
                <w:rFonts w:ascii="Cambria"/>
                <w:sz w:val="22"/>
              </w:rPr>
              <w:t>minSubtotal </w:t>
            </w:r>
            <w:r>
              <w:rPr>
                <w:sz w:val="22"/>
              </w:rPr>
              <w:t>(Min Subtotal)</w:t>
            </w:r>
          </w:p>
        </w:tc>
        <w:tc>
          <w:tcPr>
            <w:tcW w:w="8250" w:type="dxa"/>
          </w:tcPr>
          <w:p>
            <w:pPr>
              <w:pStyle w:val="TableParagraph"/>
              <w:ind w:right="260"/>
              <w:rPr>
                <w:sz w:val="22"/>
              </w:rPr>
            </w:pPr>
            <w:r>
              <w:rPr>
                <w:sz w:val="22"/>
              </w:rPr>
              <w:t>Specifies a boolean value that indicates whether to apply the 'min' aggregation function in the subtotal of this field.</w:t>
            </w:r>
          </w:p>
          <w:p>
            <w:pPr>
              <w:pStyle w:val="TableParagraph"/>
              <w:spacing w:before="4"/>
              <w:ind w:left="0"/>
              <w:rPr>
                <w:rFonts w:ascii="Times New Roman"/>
                <w:sz w:val="23"/>
              </w:rPr>
            </w:pPr>
          </w:p>
          <w:p>
            <w:pPr>
              <w:pStyle w:val="TableParagraph"/>
              <w:spacing w:before="0"/>
              <w:ind w:right="846"/>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the 'min' aggregation function is applied in the subtotal for this field.</w:t>
            </w:r>
          </w:p>
          <w:p>
            <w:pPr>
              <w:pStyle w:val="TableParagraph"/>
              <w:spacing w:before="3"/>
              <w:ind w:left="0"/>
              <w:rPr>
                <w:rFonts w:ascii="Times New Roman"/>
                <w:sz w:val="23"/>
              </w:rPr>
            </w:pPr>
          </w:p>
          <w:p>
            <w:pPr>
              <w:pStyle w:val="TableParagraph"/>
              <w:spacing w:before="0"/>
              <w:ind w:right="13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applied in the subtotal for this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9" w:hRule="atLeast"/>
        </w:trPr>
        <w:tc>
          <w:tcPr>
            <w:tcW w:w="2062" w:type="dxa"/>
          </w:tcPr>
          <w:p>
            <w:pPr>
              <w:pStyle w:val="TableParagraph"/>
              <w:spacing w:before="42"/>
              <w:ind w:right="136"/>
              <w:rPr>
                <w:sz w:val="22"/>
              </w:rPr>
            </w:pPr>
            <w:r>
              <w:rPr>
                <w:rFonts w:ascii="Cambria"/>
                <w:sz w:val="22"/>
              </w:rPr>
              <w:t>multipleItemSelect ionAllowed </w:t>
            </w:r>
            <w:r>
              <w:rPr>
                <w:sz w:val="22"/>
              </w:rPr>
              <w:t>(Multiple Field Filters)</w:t>
            </w:r>
          </w:p>
        </w:tc>
        <w:tc>
          <w:tcPr>
            <w:tcW w:w="8250" w:type="dxa"/>
          </w:tcPr>
          <w:p>
            <w:pPr>
              <w:pStyle w:val="TableParagraph"/>
              <w:ind w:right="812"/>
              <w:rPr>
                <w:sz w:val="22"/>
              </w:rPr>
            </w:pPr>
            <w:r>
              <w:rPr>
                <w:sz w:val="22"/>
              </w:rPr>
              <w:t>Specifies a boolean value that indicates whether the field can have multiple items selected in the page field.</w:t>
            </w:r>
          </w:p>
          <w:p>
            <w:pPr>
              <w:pStyle w:val="TableParagraph"/>
              <w:spacing w:before="6"/>
              <w:ind w:left="0"/>
              <w:rPr>
                <w:rFonts w:ascii="Times New Roman"/>
                <w:sz w:val="23"/>
              </w:rPr>
            </w:pPr>
          </w:p>
          <w:p>
            <w:pPr>
              <w:pStyle w:val="TableParagraph"/>
              <w:spacing w:line="237" w:lineRule="auto" w:before="1"/>
              <w:ind w:right="10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PivotTable can have multiple items selected in the page field.</w:t>
            </w:r>
          </w:p>
          <w:p>
            <w:pPr>
              <w:pStyle w:val="TableParagraph"/>
              <w:spacing w:before="5"/>
              <w:ind w:left="0"/>
              <w:rPr>
                <w:rFonts w:ascii="Times New Roman"/>
                <w:sz w:val="23"/>
              </w:rPr>
            </w:pPr>
          </w:p>
          <w:p>
            <w:pPr>
              <w:pStyle w:val="TableParagraph"/>
              <w:spacing w:before="0"/>
              <w:ind w:right="192"/>
              <w:jc w:val="both"/>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PivotTable cannot have multiple items selected in the page field. This attribute depends on the application support for selecting multiple items in page fields.</w:t>
            </w:r>
          </w:p>
          <w:p>
            <w:pPr>
              <w:pStyle w:val="TableParagraph"/>
              <w:spacing w:before="6"/>
              <w:ind w:left="0"/>
              <w:rPr>
                <w:rFonts w:ascii="Times New Roman"/>
                <w:sz w:val="23"/>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1" w:hRule="atLeast"/>
        </w:trPr>
        <w:tc>
          <w:tcPr>
            <w:tcW w:w="2062" w:type="dxa"/>
          </w:tcPr>
          <w:p>
            <w:pPr>
              <w:pStyle w:val="TableParagraph"/>
              <w:ind w:left="26" w:right="129"/>
              <w:jc w:val="center"/>
              <w:rPr>
                <w:sz w:val="22"/>
              </w:rPr>
            </w:pPr>
            <w:r>
              <w:rPr>
                <w:rFonts w:ascii="Cambria"/>
                <w:sz w:val="22"/>
              </w:rPr>
              <w:t>name </w:t>
            </w:r>
            <w:r>
              <w:rPr>
                <w:sz w:val="22"/>
              </w:rPr>
              <w:t>(Field Name)</w:t>
            </w:r>
          </w:p>
        </w:tc>
        <w:tc>
          <w:tcPr>
            <w:tcW w:w="8250" w:type="dxa"/>
          </w:tcPr>
          <w:p>
            <w:pPr>
              <w:pStyle w:val="TableParagraph"/>
              <w:rPr>
                <w:sz w:val="22"/>
              </w:rPr>
            </w:pPr>
            <w:r>
              <w:rPr>
                <w:sz w:val="22"/>
              </w:rPr>
              <w:t>Specifies the name of the field.</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2" w:hRule="atLeast"/>
        </w:trPr>
        <w:tc>
          <w:tcPr>
            <w:tcW w:w="2062" w:type="dxa"/>
          </w:tcPr>
          <w:p>
            <w:pPr>
              <w:pStyle w:val="TableParagraph"/>
              <w:spacing w:line="235" w:lineRule="auto" w:before="47"/>
              <w:ind w:right="105"/>
              <w:rPr>
                <w:sz w:val="22"/>
              </w:rPr>
            </w:pPr>
            <w:r>
              <w:rPr>
                <w:rFonts w:ascii="Cambria"/>
                <w:sz w:val="22"/>
              </w:rPr>
              <w:t>nonAutoSortDefaul t </w:t>
            </w:r>
            <w:r>
              <w:rPr>
                <w:sz w:val="22"/>
              </w:rPr>
              <w:t>(Auto Sort)</w:t>
            </w:r>
          </w:p>
        </w:tc>
        <w:tc>
          <w:tcPr>
            <w:tcW w:w="8250" w:type="dxa"/>
          </w:tcPr>
          <w:p>
            <w:pPr>
              <w:pStyle w:val="TableParagraph"/>
              <w:ind w:right="453"/>
              <w:rPr>
                <w:sz w:val="22"/>
              </w:rPr>
            </w:pPr>
            <w:r>
              <w:rPr>
                <w:sz w:val="22"/>
              </w:rPr>
              <w:t>Specifies a boolean value that indicates whether sort operation that is applied to field should be AutoSort operation or simple data sort operation.</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an AutoSort operation is applied to the field.</w:t>
            </w:r>
          </w:p>
          <w:p>
            <w:pPr>
              <w:pStyle w:val="TableParagraph"/>
              <w:spacing w:line="530" w:lineRule="atLeast" w:before="8"/>
              <w:ind w:right="690"/>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a simple data sort operation is applied to the field. The possible values for this attribute are defined by the W3C XML Schema </w:t>
            </w:r>
            <w:r>
              <w:rPr>
                <w:rFonts w:ascii="Cambria"/>
                <w:sz w:val="22"/>
              </w:rPr>
              <w:t>boolean</w:t>
            </w:r>
          </w:p>
          <w:p>
            <w:pPr>
              <w:pStyle w:val="TableParagraph"/>
              <w:spacing w:before="7"/>
              <w:rPr>
                <w:sz w:val="22"/>
              </w:rPr>
            </w:pPr>
            <w:r>
              <w:rPr>
                <w:sz w:val="22"/>
              </w:rPr>
              <w:t>datatype.</w:t>
            </w:r>
          </w:p>
        </w:tc>
      </w:tr>
      <w:tr>
        <w:trPr>
          <w:trHeight w:val="2772" w:hRule="atLeast"/>
        </w:trPr>
        <w:tc>
          <w:tcPr>
            <w:tcW w:w="2062" w:type="dxa"/>
          </w:tcPr>
          <w:p>
            <w:pPr>
              <w:pStyle w:val="TableParagraph"/>
              <w:spacing w:line="256" w:lineRule="exact" w:before="42"/>
              <w:rPr>
                <w:rFonts w:ascii="Cambria"/>
                <w:sz w:val="22"/>
              </w:rPr>
            </w:pPr>
            <w:r>
              <w:rPr>
                <w:rFonts w:ascii="Cambria"/>
                <w:sz w:val="22"/>
              </w:rPr>
              <w:t>numFmtId</w:t>
            </w:r>
          </w:p>
          <w:p>
            <w:pPr>
              <w:pStyle w:val="TableParagraph"/>
              <w:spacing w:line="267" w:lineRule="exact" w:before="0"/>
              <w:rPr>
                <w:sz w:val="22"/>
              </w:rPr>
            </w:pPr>
            <w:r>
              <w:rPr>
                <w:sz w:val="22"/>
              </w:rPr>
              <w:t>(Number Format Id)</w:t>
            </w:r>
          </w:p>
        </w:tc>
        <w:tc>
          <w:tcPr>
            <w:tcW w:w="8250" w:type="dxa"/>
          </w:tcPr>
          <w:p>
            <w:pPr>
              <w:pStyle w:val="TableParagraph"/>
              <w:rPr>
                <w:sz w:val="22"/>
              </w:rPr>
            </w:pPr>
            <w:r>
              <w:rPr>
                <w:sz w:val="22"/>
              </w:rPr>
              <w:t>Specifies the identifier of the number format to apply to this field. Number formats are written to the styles part. See the Styles section (§</w:t>
            </w:r>
            <w:hyperlink w:history="true" w:anchor="_bookmark183">
              <w:r>
                <w:rPr>
                  <w:sz w:val="22"/>
                </w:rPr>
                <w:t>18.8</w:t>
              </w:r>
            </w:hyperlink>
            <w:r>
              <w:rPr>
                <w:sz w:val="22"/>
              </w:rPr>
              <w:t>) for more information on number formats.</w:t>
            </w:r>
          </w:p>
          <w:p>
            <w:pPr>
              <w:pStyle w:val="TableParagraph"/>
              <w:spacing w:before="3"/>
              <w:ind w:left="0"/>
              <w:rPr>
                <w:rFonts w:ascii="Times New Roman"/>
                <w:sz w:val="23"/>
              </w:rPr>
            </w:pPr>
          </w:p>
          <w:p>
            <w:pPr>
              <w:pStyle w:val="TableParagraph"/>
              <w:spacing w:before="0"/>
              <w:ind w:right="106"/>
              <w:rPr>
                <w:sz w:val="22"/>
              </w:rPr>
            </w:pPr>
            <w:r>
              <w:rPr>
                <w:sz w:val="22"/>
              </w:rPr>
              <w:t>Formatting information provided by cell table and by PivotTable need not agree. If the two formats differ, the cell-level formatting takes precedence. If you change the layout the PivotTable, the PivotTable formatting will then take precedence.</w:t>
            </w:r>
          </w:p>
          <w:p>
            <w:pPr>
              <w:pStyle w:val="TableParagraph"/>
              <w:spacing w:before="5"/>
              <w:ind w:left="0"/>
              <w:rPr>
                <w:rFonts w:ascii="Times New Roman"/>
                <w:sz w:val="23"/>
              </w:rPr>
            </w:pPr>
          </w:p>
          <w:p>
            <w:pPr>
              <w:pStyle w:val="TableParagraph"/>
              <w:spacing w:before="0"/>
              <w:ind w:right="682"/>
              <w:rPr>
                <w:sz w:val="22"/>
              </w:rPr>
            </w:pPr>
            <w:r>
              <w:rPr>
                <w:sz w:val="22"/>
              </w:rPr>
              <w:t>The possible values for this attribute are defined by the </w:t>
            </w:r>
            <w:r>
              <w:rPr>
                <w:rFonts w:ascii="Cambria" w:hAnsi="Cambria"/>
                <w:sz w:val="22"/>
              </w:rPr>
              <w:t>ST_NumFmtId </w:t>
            </w:r>
            <w:r>
              <w:rPr>
                <w:sz w:val="22"/>
              </w:rPr>
              <w:t>simple type </w:t>
            </w:r>
            <w:hyperlink w:history="true" w:anchor="_bookmark869">
              <w:r>
                <w:rPr>
                  <w:sz w:val="22"/>
                </w:rPr>
                <w:t>(§18.18.47</w:t>
              </w:r>
            </w:hyperlink>
            <w:r>
              <w:rPr>
                <w:sz w:val="22"/>
              </w:rPr>
              <w:t>).</w:t>
            </w:r>
          </w:p>
        </w:tc>
      </w:tr>
      <w:tr>
        <w:trPr>
          <w:trHeight w:val="2771" w:hRule="atLeast"/>
        </w:trPr>
        <w:tc>
          <w:tcPr>
            <w:tcW w:w="2062" w:type="dxa"/>
          </w:tcPr>
          <w:p>
            <w:pPr>
              <w:pStyle w:val="TableParagraph"/>
              <w:ind w:right="477"/>
              <w:rPr>
                <w:sz w:val="22"/>
              </w:rPr>
            </w:pPr>
            <w:r>
              <w:rPr>
                <w:rFonts w:ascii="Cambria"/>
                <w:sz w:val="22"/>
              </w:rPr>
              <w:t>outline </w:t>
            </w:r>
            <w:r>
              <w:rPr>
                <w:sz w:val="22"/>
              </w:rPr>
              <w:t>(Outline Items)</w:t>
            </w:r>
          </w:p>
        </w:tc>
        <w:tc>
          <w:tcPr>
            <w:tcW w:w="8250" w:type="dxa"/>
          </w:tcPr>
          <w:p>
            <w:pPr>
              <w:pStyle w:val="TableParagraph"/>
              <w:ind w:right="291"/>
              <w:rPr>
                <w:sz w:val="22"/>
              </w:rPr>
            </w:pPr>
            <w:r>
              <w:rPr>
                <w:sz w:val="22"/>
              </w:rPr>
              <w:t>Specifies a boolean value that indicates whether the items in this field should be shown in Outline form.</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items in this field is shown in Outline form.</w:t>
            </w:r>
          </w:p>
          <w:p>
            <w:pPr>
              <w:pStyle w:val="TableParagraph"/>
              <w:spacing w:before="2"/>
              <w:ind w:left="0"/>
              <w:rPr>
                <w:rFonts w:ascii="Times New Roman"/>
                <w:sz w:val="23"/>
              </w:rPr>
            </w:pPr>
          </w:p>
          <w:p>
            <w:pPr>
              <w:pStyle w:val="TableParagraph"/>
              <w:spacing w:before="0"/>
              <w:ind w:right="338"/>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items in this field will not be shown in Outline form. This attribute depends on the application support for displaying items in Outline form.</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spacing w:line="256" w:lineRule="exact" w:before="42"/>
              <w:rPr>
                <w:rFonts w:ascii="Cambria"/>
                <w:sz w:val="22"/>
              </w:rPr>
            </w:pPr>
            <w:r>
              <w:rPr>
                <w:rFonts w:ascii="Cambria"/>
                <w:sz w:val="22"/>
              </w:rPr>
              <w:t>productSubtotal</w:t>
            </w:r>
          </w:p>
          <w:p>
            <w:pPr>
              <w:pStyle w:val="TableParagraph"/>
              <w:spacing w:line="267" w:lineRule="exact" w:before="0"/>
              <w:rPr>
                <w:sz w:val="22"/>
              </w:rPr>
            </w:pPr>
            <w:r>
              <w:rPr>
                <w:sz w:val="22"/>
              </w:rPr>
              <w:t>(Product Subtotal)</w:t>
            </w:r>
          </w:p>
        </w:tc>
        <w:tc>
          <w:tcPr>
            <w:tcW w:w="8250" w:type="dxa"/>
          </w:tcPr>
          <w:p>
            <w:pPr>
              <w:pStyle w:val="TableParagraph"/>
              <w:ind w:right="244"/>
              <w:rPr>
                <w:sz w:val="22"/>
              </w:rPr>
            </w:pPr>
            <w:r>
              <w:rPr>
                <w:sz w:val="22"/>
              </w:rPr>
              <w:t>Specifies a boolean value that indicates whether to apply 'product' aggregation function in the subtotal of this field.</w:t>
            </w:r>
          </w:p>
          <w:p>
            <w:pPr>
              <w:pStyle w:val="TableParagraph"/>
              <w:spacing w:before="2"/>
              <w:ind w:left="0"/>
              <w:rPr>
                <w:rFonts w:ascii="Times New Roman"/>
                <w:sz w:val="23"/>
              </w:rPr>
            </w:pPr>
          </w:p>
          <w:p>
            <w:pPr>
              <w:pStyle w:val="TableParagraph"/>
              <w:spacing w:before="0"/>
              <w:ind w:right="483"/>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that the 'product' aggregation function is applied in the subtotal for this field.</w:t>
            </w:r>
          </w:p>
          <w:p>
            <w:pPr>
              <w:pStyle w:val="TableParagraph"/>
              <w:spacing w:before="5"/>
              <w:ind w:left="0"/>
              <w:rPr>
                <w:rFonts w:ascii="Times New Roman"/>
                <w:sz w:val="23"/>
              </w:rPr>
            </w:pPr>
          </w:p>
          <w:p>
            <w:pPr>
              <w:pStyle w:val="TableParagraph"/>
              <w:spacing w:before="0"/>
              <w:ind w:right="13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applied in the subtotal for this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623" w:hRule="atLeast"/>
        </w:trPr>
        <w:tc>
          <w:tcPr>
            <w:tcW w:w="2062" w:type="dxa"/>
          </w:tcPr>
          <w:p>
            <w:pPr>
              <w:pStyle w:val="TableParagraph"/>
              <w:ind w:right="147"/>
              <w:rPr>
                <w:sz w:val="22"/>
              </w:rPr>
            </w:pPr>
            <w:r>
              <w:rPr>
                <w:rFonts w:ascii="Cambria"/>
                <w:sz w:val="22"/>
              </w:rPr>
              <w:t>rankBy </w:t>
            </w:r>
            <w:r>
              <w:rPr>
                <w:sz w:val="22"/>
              </w:rPr>
              <w:t>(Auto Show Rank By)</w:t>
            </w:r>
          </w:p>
        </w:tc>
        <w:tc>
          <w:tcPr>
            <w:tcW w:w="8250" w:type="dxa"/>
          </w:tcPr>
          <w:p>
            <w:pPr>
              <w:pStyle w:val="TableParagraph"/>
              <w:rPr>
                <w:sz w:val="22"/>
              </w:rPr>
            </w:pPr>
            <w:r>
              <w:rPr>
                <w:sz w:val="22"/>
              </w:rPr>
              <w:t>Specifies the index of the data field by which AutoShow will rank.</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Pr>
          <w:p>
            <w:pPr>
              <w:pStyle w:val="TableParagraph"/>
              <w:ind w:right="91"/>
              <w:rPr>
                <w:sz w:val="22"/>
              </w:rPr>
            </w:pPr>
            <w:r>
              <w:rPr>
                <w:rFonts w:ascii="Cambria"/>
                <w:sz w:val="22"/>
              </w:rPr>
              <w:t>serverField </w:t>
            </w:r>
            <w:r>
              <w:rPr>
                <w:sz w:val="22"/>
              </w:rPr>
              <w:t>(Server- based Page Field)</w:t>
            </w:r>
          </w:p>
        </w:tc>
        <w:tc>
          <w:tcPr>
            <w:tcW w:w="8250" w:type="dxa"/>
          </w:tcPr>
          <w:p>
            <w:pPr>
              <w:pStyle w:val="TableParagraph"/>
              <w:spacing w:line="477" w:lineRule="auto"/>
              <w:ind w:right="877"/>
              <w:rPr>
                <w:sz w:val="22"/>
              </w:rPr>
            </w:pPr>
            <w:r>
              <w:rPr>
                <w:sz w:val="22"/>
              </w:rPr>
              <w:t>Specifies a boolean value that indicates whether this is a server-based page field.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is a server-based page field.</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is a local page field.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ind w:right="274"/>
              <w:rPr>
                <w:sz w:val="22"/>
              </w:rPr>
            </w:pPr>
            <w:r>
              <w:rPr>
                <w:rFonts w:ascii="Cambria"/>
                <w:sz w:val="22"/>
              </w:rPr>
              <w:t>showAll </w:t>
            </w:r>
            <w:r>
              <w:rPr>
                <w:sz w:val="22"/>
              </w:rPr>
              <w:t>(Show All Items)</w:t>
            </w:r>
          </w:p>
        </w:tc>
        <w:tc>
          <w:tcPr>
            <w:tcW w:w="8250" w:type="dxa"/>
          </w:tcPr>
          <w:p>
            <w:pPr>
              <w:pStyle w:val="TableParagraph"/>
              <w:spacing w:line="480" w:lineRule="auto"/>
              <w:ind w:right="1034"/>
              <w:rPr>
                <w:sz w:val="22"/>
              </w:rPr>
            </w:pPr>
            <w:r>
              <w:rPr>
                <w:sz w:val="22"/>
              </w:rPr>
              <w:t>Specifies a boolean value that indicates whether to show all items for this field.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all items be shown.</w:t>
            </w:r>
          </w:p>
          <w:p>
            <w:pPr>
              <w:pStyle w:val="TableParagraph"/>
              <w:spacing w:line="268" w:lineRule="exact" w:before="0"/>
              <w:rPr>
                <w:sz w:val="22"/>
              </w:rPr>
            </w:pPr>
            <w:r>
              <w:rPr>
                <w:sz w:val="22"/>
              </w:rPr>
              <w:t>A</w:t>
            </w:r>
            <w:r>
              <w:rPr>
                <w:spacing w:val="-2"/>
                <w:sz w:val="22"/>
              </w:rPr>
              <w:t> </w:t>
            </w:r>
            <w:r>
              <w:rPr>
                <w:sz w:val="22"/>
              </w:rPr>
              <w:t>value</w:t>
            </w:r>
            <w:r>
              <w:rPr>
                <w:spacing w:val="-4"/>
                <w:sz w:val="22"/>
              </w:rPr>
              <w:t> </w:t>
            </w:r>
            <w:r>
              <w:rPr>
                <w:sz w:val="22"/>
              </w:rPr>
              <w:t>of</w:t>
            </w:r>
            <w:r>
              <w:rPr>
                <w:spacing w:val="-2"/>
                <w:sz w:val="22"/>
              </w:rPr>
              <w:t> </w:t>
            </w:r>
            <w:r>
              <w:rPr>
                <w:rFonts w:ascii="Consolas"/>
                <w:sz w:val="20"/>
              </w:rPr>
              <w:t>0</w:t>
            </w:r>
            <w:r>
              <w:rPr>
                <w:rFonts w:ascii="Consolas"/>
                <w:spacing w:val="-61"/>
                <w:sz w:val="20"/>
              </w:rPr>
              <w:t> </w:t>
            </w:r>
            <w:r>
              <w:rPr>
                <w:sz w:val="22"/>
              </w:rPr>
              <w:t>or</w:t>
            </w:r>
            <w:r>
              <w:rPr>
                <w:spacing w:val="-3"/>
                <w:sz w:val="22"/>
              </w:rPr>
              <w:t> </w:t>
            </w:r>
            <w:r>
              <w:rPr>
                <w:rFonts w:ascii="Consolas"/>
                <w:sz w:val="20"/>
              </w:rPr>
              <w:t>false</w:t>
            </w:r>
            <w:r>
              <w:rPr>
                <w:rFonts w:ascii="Consolas"/>
                <w:spacing w:val="-60"/>
                <w:sz w:val="20"/>
              </w:rPr>
              <w:t> </w:t>
            </w:r>
            <w:r>
              <w:rPr>
                <w:sz w:val="22"/>
              </w:rPr>
              <w:t>indicates</w:t>
            </w:r>
            <w:r>
              <w:rPr>
                <w:spacing w:val="-1"/>
                <w:sz w:val="22"/>
              </w:rPr>
              <w:t> </w:t>
            </w:r>
            <w:r>
              <w:rPr>
                <w:sz w:val="22"/>
              </w:rPr>
              <w:t>items</w:t>
            </w:r>
            <w:r>
              <w:rPr>
                <w:spacing w:val="-2"/>
                <w:sz w:val="22"/>
              </w:rPr>
              <w:t> </w:t>
            </w:r>
            <w:r>
              <w:rPr>
                <w:sz w:val="22"/>
              </w:rPr>
              <w:t>be</w:t>
            </w:r>
            <w:r>
              <w:rPr>
                <w:spacing w:val="-4"/>
                <w:sz w:val="22"/>
              </w:rPr>
              <w:t> </w:t>
            </w:r>
            <w:r>
              <w:rPr>
                <w:sz w:val="22"/>
              </w:rPr>
              <w:t>shown</w:t>
            </w:r>
            <w:r>
              <w:rPr>
                <w:spacing w:val="-2"/>
                <w:sz w:val="22"/>
              </w:rPr>
              <w:t> </w:t>
            </w:r>
            <w:r>
              <w:rPr>
                <w:sz w:val="22"/>
              </w:rPr>
              <w:t>according</w:t>
            </w:r>
            <w:r>
              <w:rPr>
                <w:spacing w:val="-3"/>
                <w:sz w:val="22"/>
              </w:rPr>
              <w:t> </w:t>
            </w:r>
            <w:r>
              <w:rPr>
                <w:sz w:val="22"/>
              </w:rPr>
              <w:t>to user</w:t>
            </w:r>
            <w:r>
              <w:rPr>
                <w:spacing w:val="-5"/>
                <w:sz w:val="22"/>
              </w:rPr>
              <w:t> </w:t>
            </w:r>
            <w:r>
              <w:rPr>
                <w:sz w:val="22"/>
              </w:rPr>
              <w:t>specified</w:t>
            </w:r>
            <w:r>
              <w:rPr>
                <w:spacing w:val="-1"/>
                <w:sz w:val="22"/>
              </w:rPr>
              <w:t> </w:t>
            </w:r>
            <w:r>
              <w:rPr>
                <w:sz w:val="22"/>
              </w:rPr>
              <w:t>criteria.</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boolean</w:t>
            </w:r>
          </w:p>
          <w:p>
            <w:pPr>
              <w:pStyle w:val="TableParagraph"/>
              <w:spacing w:before="0"/>
              <w:rPr>
                <w:sz w:val="22"/>
              </w:rPr>
            </w:pPr>
            <w:r>
              <w:rPr>
                <w:sz w:val="22"/>
              </w:rPr>
              <w:t>datatype.</w:t>
            </w:r>
          </w:p>
        </w:tc>
      </w:tr>
      <w:tr>
        <w:trPr>
          <w:trHeight w:val="3309" w:hRule="atLeast"/>
        </w:trPr>
        <w:tc>
          <w:tcPr>
            <w:tcW w:w="2062" w:type="dxa"/>
          </w:tcPr>
          <w:p>
            <w:pPr>
              <w:pStyle w:val="TableParagraph"/>
              <w:spacing w:before="42"/>
              <w:ind w:right="288"/>
              <w:rPr>
                <w:sz w:val="22"/>
              </w:rPr>
            </w:pPr>
            <w:r>
              <w:rPr>
                <w:rFonts w:ascii="Cambria"/>
                <w:sz w:val="22"/>
              </w:rPr>
              <w:t>showDropDowns </w:t>
            </w:r>
            <w:r>
              <w:rPr>
                <w:sz w:val="22"/>
              </w:rPr>
              <w:t>(Show PivotField Header Drop Downs)</w:t>
            </w:r>
          </w:p>
        </w:tc>
        <w:tc>
          <w:tcPr>
            <w:tcW w:w="8250" w:type="dxa"/>
          </w:tcPr>
          <w:p>
            <w:pPr>
              <w:pStyle w:val="TableParagraph"/>
              <w:ind w:right="118"/>
              <w:rPr>
                <w:sz w:val="22"/>
              </w:rPr>
            </w:pPr>
            <w:r>
              <w:rPr>
                <w:sz w:val="22"/>
              </w:rPr>
              <w:t>Specifies a boolean value that indicates whether to hide drop down buttons on PivotField headers. This attribute depends on the application implementation for filtering in the user interface.</w:t>
            </w:r>
          </w:p>
          <w:p>
            <w:pPr>
              <w:pStyle w:val="TableParagraph"/>
              <w:spacing w:before="4"/>
              <w:ind w:left="0"/>
              <w:rPr>
                <w:rFonts w:ascii="Times New Roman"/>
                <w:sz w:val="23"/>
              </w:rPr>
            </w:pPr>
          </w:p>
          <w:p>
            <w:pPr>
              <w:pStyle w:val="TableParagraph"/>
              <w:spacing w:before="1"/>
              <w:ind w:right="166"/>
              <w:rPr>
                <w:sz w:val="22"/>
              </w:rPr>
            </w:pPr>
            <w:r>
              <w:rPr>
                <w:sz w:val="22"/>
              </w:rPr>
              <w:t>A value of </w:t>
            </w:r>
            <w:r>
              <w:rPr>
                <w:rFonts w:ascii="Consolas" w:hAnsi="Consolas"/>
                <w:sz w:val="20"/>
              </w:rPr>
              <w:t>1 </w:t>
            </w:r>
            <w:r>
              <w:rPr>
                <w:sz w:val="22"/>
              </w:rPr>
              <w:t>or </w:t>
            </w:r>
            <w:r>
              <w:rPr>
                <w:rFonts w:ascii="Consolas" w:hAnsi="Consolas"/>
                <w:sz w:val="20"/>
              </w:rPr>
              <w:t>true </w:t>
            </w:r>
            <w:r>
              <w:rPr>
                <w:sz w:val="22"/>
              </w:rPr>
              <w:t>indicates the application will display some mechanism for selecting and applying filters – [</w:t>
            </w:r>
            <w:r>
              <w:rPr>
                <w:i/>
                <w:sz w:val="22"/>
              </w:rPr>
              <w:t>Example</w:t>
            </w:r>
            <w:r>
              <w:rPr>
                <w:sz w:val="22"/>
              </w:rPr>
              <w:t>: A dropdown menu </w:t>
            </w:r>
            <w:r>
              <w:rPr>
                <w:i/>
                <w:sz w:val="22"/>
              </w:rPr>
              <w:t>end example</w:t>
            </w:r>
            <w:r>
              <w:rPr>
                <w:sz w:val="22"/>
              </w:rPr>
              <w:t>] – in the user interface.</w:t>
            </w:r>
          </w:p>
          <w:p>
            <w:pPr>
              <w:pStyle w:val="TableParagraph"/>
              <w:spacing w:before="2"/>
              <w:ind w:left="0"/>
              <w:rPr>
                <w:rFonts w:ascii="Times New Roman"/>
                <w:sz w:val="23"/>
              </w:rPr>
            </w:pPr>
          </w:p>
          <w:p>
            <w:pPr>
              <w:pStyle w:val="TableParagraph"/>
              <w:spacing w:before="0"/>
              <w:ind w:right="14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for mechanism for applying a filter is displayed in the user interface.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3" w:hRule="atLeast"/>
        </w:trPr>
        <w:tc>
          <w:tcPr>
            <w:tcW w:w="2062" w:type="dxa"/>
          </w:tcPr>
          <w:p>
            <w:pPr>
              <w:pStyle w:val="TableParagraph"/>
              <w:spacing w:line="235" w:lineRule="auto" w:before="47"/>
              <w:ind w:right="115"/>
              <w:rPr>
                <w:sz w:val="22"/>
              </w:rPr>
            </w:pPr>
            <w:r>
              <w:rPr>
                <w:rFonts w:ascii="Cambria"/>
                <w:sz w:val="22"/>
              </w:rPr>
              <w:t>showPropAsCaptio n </w:t>
            </w:r>
            <w:r>
              <w:rPr>
                <w:sz w:val="22"/>
              </w:rPr>
              <w:t>(Show As Caption)</w:t>
            </w:r>
          </w:p>
        </w:tc>
        <w:tc>
          <w:tcPr>
            <w:tcW w:w="8250" w:type="dxa"/>
          </w:tcPr>
          <w:p>
            <w:pPr>
              <w:pStyle w:val="TableParagraph"/>
              <w:ind w:right="629"/>
              <w:rPr>
                <w:sz w:val="22"/>
              </w:rPr>
            </w:pPr>
            <w:r>
              <w:rPr>
                <w:sz w:val="22"/>
              </w:rPr>
              <w:t>Specifies a boolean value that indicates whether to show the property as a member caption.</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property is shown as a member caption.</w:t>
            </w:r>
          </w:p>
          <w:p>
            <w:pPr>
              <w:pStyle w:val="TableParagraph"/>
              <w:spacing w:line="538" w:lineRule="exact" w:before="46"/>
              <w:ind w:right="568"/>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property will not be shown as a member caption.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1427" w:hRule="atLeast"/>
        </w:trPr>
        <w:tc>
          <w:tcPr>
            <w:tcW w:w="2062" w:type="dxa"/>
          </w:tcPr>
          <w:p>
            <w:pPr>
              <w:pStyle w:val="TableParagraph"/>
              <w:spacing w:line="237" w:lineRule="auto" w:before="45"/>
              <w:ind w:right="475"/>
              <w:rPr>
                <w:sz w:val="22"/>
              </w:rPr>
            </w:pPr>
            <w:r>
              <w:rPr>
                <w:rFonts w:ascii="Cambria"/>
                <w:sz w:val="22"/>
              </w:rPr>
              <w:t>showPropCell </w:t>
            </w:r>
            <w:r>
              <w:rPr>
                <w:sz w:val="22"/>
              </w:rPr>
              <w:t>(Show Member Property in Cell)</w:t>
            </w:r>
          </w:p>
        </w:tc>
        <w:tc>
          <w:tcPr>
            <w:tcW w:w="8250" w:type="dxa"/>
          </w:tcPr>
          <w:p>
            <w:pPr>
              <w:pStyle w:val="TableParagraph"/>
              <w:ind w:right="124"/>
              <w:rPr>
                <w:sz w:val="22"/>
              </w:rPr>
            </w:pPr>
            <w:r>
              <w:rPr>
                <w:sz w:val="22"/>
              </w:rPr>
              <w:t>Specifies a boolean value that indicates whether to show the member property value in a PivotTable cell.</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property value is shown in a PivotTable cell.</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property value will not be shown in a PivotTable cell.</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309" w:hRule="atLeast"/>
        </w:trPr>
        <w:tc>
          <w:tcPr>
            <w:tcW w:w="2062" w:type="dxa"/>
          </w:tcPr>
          <w:p>
            <w:pPr>
              <w:pStyle w:val="TableParagraph"/>
              <w:spacing w:line="237" w:lineRule="auto" w:before="47"/>
              <w:ind w:right="356"/>
              <w:rPr>
                <w:sz w:val="22"/>
              </w:rPr>
            </w:pPr>
            <w:r>
              <w:rPr>
                <w:rFonts w:ascii="Cambria"/>
                <w:sz w:val="22"/>
              </w:rPr>
              <w:t>showPropTip </w:t>
            </w:r>
            <w:r>
              <w:rPr>
                <w:sz w:val="22"/>
              </w:rPr>
              <w:t>(Show Member Property ToolTip)</w:t>
            </w:r>
          </w:p>
        </w:tc>
        <w:tc>
          <w:tcPr>
            <w:tcW w:w="8250" w:type="dxa"/>
          </w:tcPr>
          <w:p>
            <w:pPr>
              <w:pStyle w:val="TableParagraph"/>
              <w:spacing w:line="237" w:lineRule="auto" w:before="44"/>
              <w:ind w:right="124"/>
              <w:rPr>
                <w:sz w:val="22"/>
              </w:rPr>
            </w:pPr>
            <w:r>
              <w:rPr>
                <w:sz w:val="22"/>
              </w:rPr>
              <w:t>Specifies a boolean value that indicates whether to show the member property value in a tooltip on the appropriate PivotTable cells.</w:t>
            </w:r>
          </w:p>
          <w:p>
            <w:pPr>
              <w:pStyle w:val="TableParagraph"/>
              <w:spacing w:before="6"/>
              <w:ind w:left="0"/>
              <w:rPr>
                <w:rFonts w:ascii="Times New Roman"/>
                <w:sz w:val="23"/>
              </w:rPr>
            </w:pPr>
          </w:p>
          <w:p>
            <w:pPr>
              <w:pStyle w:val="TableParagraph"/>
              <w:spacing w:before="0"/>
              <w:ind w:right="617"/>
              <w:rPr>
                <w:sz w:val="22"/>
              </w:rPr>
            </w:pPr>
            <w:r>
              <w:rPr>
                <w:sz w:val="22"/>
              </w:rPr>
              <w:t>A</w:t>
            </w:r>
            <w:r>
              <w:rPr>
                <w:spacing w:val="-1"/>
                <w:sz w:val="22"/>
              </w:rPr>
              <w:t> </w:t>
            </w:r>
            <w:r>
              <w:rPr>
                <w:sz w:val="22"/>
              </w:rPr>
              <w:t>value</w:t>
            </w:r>
            <w:r>
              <w:rPr>
                <w:spacing w:val="-2"/>
                <w:sz w:val="22"/>
              </w:rPr>
              <w:t> </w:t>
            </w:r>
            <w:r>
              <w:rPr>
                <w:sz w:val="22"/>
              </w:rPr>
              <w:t>of</w:t>
            </w:r>
            <w:r>
              <w:rPr>
                <w:spacing w:val="-1"/>
                <w:sz w:val="22"/>
              </w:rPr>
              <w:t> </w:t>
            </w:r>
            <w:r>
              <w:rPr>
                <w:rFonts w:ascii="Consolas"/>
                <w:sz w:val="20"/>
              </w:rPr>
              <w:t>1</w:t>
            </w:r>
            <w:r>
              <w:rPr>
                <w:rFonts w:ascii="Consolas"/>
                <w:spacing w:val="-60"/>
                <w:sz w:val="20"/>
              </w:rPr>
              <w:t> </w:t>
            </w:r>
            <w:r>
              <w:rPr>
                <w:sz w:val="22"/>
              </w:rPr>
              <w:t>or</w:t>
            </w:r>
            <w:r>
              <w:rPr>
                <w:spacing w:val="-2"/>
                <w:sz w:val="22"/>
              </w:rPr>
              <w:t> </w:t>
            </w:r>
            <w:r>
              <w:rPr>
                <w:rFonts w:ascii="Consolas"/>
                <w:sz w:val="20"/>
              </w:rPr>
              <w:t>true</w:t>
            </w:r>
            <w:r>
              <w:rPr>
                <w:rFonts w:ascii="Consolas"/>
                <w:spacing w:val="-62"/>
                <w:sz w:val="20"/>
              </w:rPr>
              <w:t> </w:t>
            </w:r>
            <w:r>
              <w:rPr>
                <w:sz w:val="22"/>
              </w:rPr>
              <w:t>indicates</w:t>
            </w:r>
            <w:r>
              <w:rPr>
                <w:spacing w:val="-1"/>
                <w:sz w:val="22"/>
              </w:rPr>
              <w:t> </w:t>
            </w:r>
            <w:r>
              <w:rPr>
                <w:sz w:val="22"/>
              </w:rPr>
              <w:t>the</w:t>
            </w:r>
            <w:r>
              <w:rPr>
                <w:spacing w:val="-3"/>
                <w:sz w:val="22"/>
              </w:rPr>
              <w:t> </w:t>
            </w:r>
            <w:r>
              <w:rPr>
                <w:sz w:val="22"/>
              </w:rPr>
              <w:t>property</w:t>
            </w:r>
            <w:r>
              <w:rPr>
                <w:spacing w:val="-1"/>
                <w:sz w:val="22"/>
              </w:rPr>
              <w:t> </w:t>
            </w:r>
            <w:r>
              <w:rPr>
                <w:sz w:val="22"/>
              </w:rPr>
              <w:t>value</w:t>
            </w:r>
            <w:r>
              <w:rPr>
                <w:spacing w:val="-2"/>
                <w:sz w:val="22"/>
              </w:rPr>
              <w:t> </w:t>
            </w:r>
            <w:r>
              <w:rPr>
                <w:sz w:val="22"/>
              </w:rPr>
              <w:t>is</w:t>
            </w:r>
            <w:r>
              <w:rPr>
                <w:spacing w:val="-1"/>
                <w:sz w:val="22"/>
              </w:rPr>
              <w:t> </w:t>
            </w:r>
            <w:r>
              <w:rPr>
                <w:sz w:val="22"/>
              </w:rPr>
              <w:t>shown in</w:t>
            </w:r>
            <w:r>
              <w:rPr>
                <w:spacing w:val="-1"/>
                <w:sz w:val="22"/>
              </w:rPr>
              <w:t> </w:t>
            </w:r>
            <w:r>
              <w:rPr>
                <w:sz w:val="22"/>
              </w:rPr>
              <w:t>a</w:t>
            </w:r>
            <w:r>
              <w:rPr>
                <w:spacing w:val="-3"/>
                <w:sz w:val="22"/>
              </w:rPr>
              <w:t> </w:t>
            </w:r>
            <w:r>
              <w:rPr>
                <w:sz w:val="22"/>
              </w:rPr>
              <w:t>tooltip</w:t>
            </w:r>
            <w:r>
              <w:rPr>
                <w:spacing w:val="-1"/>
                <w:sz w:val="22"/>
              </w:rPr>
              <w:t> </w:t>
            </w:r>
            <w:r>
              <w:rPr>
                <w:sz w:val="22"/>
              </w:rPr>
              <w:t>in the user interface.</w:t>
            </w:r>
          </w:p>
          <w:p>
            <w:pPr>
              <w:pStyle w:val="TableParagraph"/>
              <w:spacing w:before="4"/>
              <w:ind w:left="0"/>
              <w:rPr>
                <w:rFonts w:ascii="Times New Roman"/>
                <w:sz w:val="23"/>
              </w:rPr>
            </w:pPr>
          </w:p>
          <w:p>
            <w:pPr>
              <w:pStyle w:val="TableParagraph"/>
              <w:spacing w:before="1"/>
              <w:rPr>
                <w:sz w:val="22"/>
              </w:rPr>
            </w:pPr>
            <w:r>
              <w:rPr>
                <w:sz w:val="22"/>
              </w:rPr>
              <w:t>A</w:t>
            </w:r>
            <w:r>
              <w:rPr>
                <w:spacing w:val="-1"/>
                <w:sz w:val="22"/>
              </w:rPr>
              <w:t> </w:t>
            </w:r>
            <w:r>
              <w:rPr>
                <w:sz w:val="22"/>
              </w:rPr>
              <w:t>value</w:t>
            </w:r>
            <w:r>
              <w:rPr>
                <w:spacing w:val="-3"/>
                <w:sz w:val="22"/>
              </w:rPr>
              <w:t> </w:t>
            </w:r>
            <w:r>
              <w:rPr>
                <w:sz w:val="22"/>
              </w:rPr>
              <w:t>of</w:t>
            </w:r>
            <w:r>
              <w:rPr>
                <w:spacing w:val="-2"/>
                <w:sz w:val="22"/>
              </w:rPr>
              <w:t> </w:t>
            </w:r>
            <w:r>
              <w:rPr>
                <w:rFonts w:ascii="Consolas"/>
                <w:sz w:val="20"/>
              </w:rPr>
              <w:t>0</w:t>
            </w:r>
            <w:r>
              <w:rPr>
                <w:rFonts w:ascii="Consolas"/>
                <w:spacing w:val="-60"/>
                <w:sz w:val="20"/>
              </w:rPr>
              <w:t> </w:t>
            </w:r>
            <w:r>
              <w:rPr>
                <w:sz w:val="22"/>
              </w:rPr>
              <w:t>or</w:t>
            </w:r>
            <w:r>
              <w:rPr>
                <w:spacing w:val="-2"/>
                <w:sz w:val="22"/>
              </w:rPr>
              <w:t> </w:t>
            </w:r>
            <w:r>
              <w:rPr>
                <w:rFonts w:ascii="Consolas"/>
                <w:sz w:val="20"/>
              </w:rPr>
              <w:t>false</w:t>
            </w:r>
            <w:r>
              <w:rPr>
                <w:rFonts w:ascii="Consolas"/>
                <w:spacing w:val="-59"/>
                <w:sz w:val="20"/>
              </w:rPr>
              <w:t> </w:t>
            </w:r>
            <w:r>
              <w:rPr>
                <w:sz w:val="22"/>
              </w:rPr>
              <w:t>indicates</w:t>
            </w:r>
            <w:r>
              <w:rPr>
                <w:spacing w:val="-1"/>
                <w:sz w:val="22"/>
              </w:rPr>
              <w:t> </w:t>
            </w:r>
            <w:r>
              <w:rPr>
                <w:sz w:val="22"/>
              </w:rPr>
              <w:t>the property will</w:t>
            </w:r>
            <w:r>
              <w:rPr>
                <w:spacing w:val="-1"/>
                <w:sz w:val="22"/>
              </w:rPr>
              <w:t> </w:t>
            </w:r>
            <w:r>
              <w:rPr>
                <w:sz w:val="22"/>
              </w:rPr>
              <w:t>not</w:t>
            </w:r>
            <w:r>
              <w:rPr>
                <w:spacing w:val="-3"/>
                <w:sz w:val="22"/>
              </w:rPr>
              <w:t> </w:t>
            </w:r>
            <w:r>
              <w:rPr>
                <w:sz w:val="22"/>
              </w:rPr>
              <w:t>be</w:t>
            </w:r>
            <w:r>
              <w:rPr>
                <w:spacing w:val="-1"/>
                <w:sz w:val="22"/>
              </w:rPr>
              <w:t> </w:t>
            </w:r>
            <w:r>
              <w:rPr>
                <w:sz w:val="22"/>
              </w:rPr>
              <w:t>shown</w:t>
            </w:r>
            <w:r>
              <w:rPr>
                <w:spacing w:val="-1"/>
                <w:sz w:val="22"/>
              </w:rPr>
              <w:t> </w:t>
            </w:r>
            <w:r>
              <w:rPr>
                <w:sz w:val="22"/>
              </w:rPr>
              <w:t>in</w:t>
            </w:r>
            <w:r>
              <w:rPr>
                <w:spacing w:val="-1"/>
                <w:sz w:val="22"/>
              </w:rPr>
              <w:t> </w:t>
            </w:r>
            <w:r>
              <w:rPr>
                <w:sz w:val="22"/>
              </w:rPr>
              <w:t>a</w:t>
            </w:r>
            <w:r>
              <w:rPr>
                <w:spacing w:val="-3"/>
                <w:sz w:val="22"/>
              </w:rPr>
              <w:t> </w:t>
            </w:r>
            <w:r>
              <w:rPr>
                <w:sz w:val="22"/>
              </w:rPr>
              <w:t>tooltip.</w:t>
            </w:r>
            <w:r>
              <w:rPr>
                <w:spacing w:val="-2"/>
                <w:sz w:val="22"/>
              </w:rPr>
              <w:t> </w:t>
            </w:r>
            <w:r>
              <w:rPr>
                <w:sz w:val="22"/>
              </w:rPr>
              <w:t>This</w:t>
            </w:r>
            <w:r>
              <w:rPr>
                <w:spacing w:val="-4"/>
                <w:sz w:val="22"/>
              </w:rPr>
              <w:t> </w:t>
            </w:r>
            <w:r>
              <w:rPr>
                <w:sz w:val="22"/>
              </w:rPr>
              <w:t>attribute depends on whether the application employs tooltips or similar mechanism in the user interface.</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104"/>
              <w:rPr>
                <w:sz w:val="22"/>
              </w:rPr>
            </w:pPr>
            <w:r>
              <w:rPr>
                <w:rFonts w:ascii="Cambria"/>
                <w:sz w:val="22"/>
              </w:rPr>
              <w:t>sortType </w:t>
            </w:r>
            <w:r>
              <w:rPr>
                <w:sz w:val="22"/>
              </w:rPr>
              <w:t>(Auto Sort Type)</w:t>
            </w:r>
          </w:p>
        </w:tc>
        <w:tc>
          <w:tcPr>
            <w:tcW w:w="8250" w:type="dxa"/>
          </w:tcPr>
          <w:p>
            <w:pPr>
              <w:pStyle w:val="TableParagraph"/>
              <w:rPr>
                <w:sz w:val="22"/>
              </w:rPr>
            </w:pPr>
            <w:r>
              <w:rPr>
                <w:sz w:val="22"/>
              </w:rPr>
              <w:t>Specifies the type of sort that is applied to this field.</w:t>
            </w:r>
          </w:p>
          <w:p>
            <w:pPr>
              <w:pStyle w:val="TableParagraph"/>
              <w:spacing w:before="4"/>
              <w:ind w:left="0"/>
              <w:rPr>
                <w:rFonts w:ascii="Times New Roman"/>
                <w:sz w:val="23"/>
              </w:rPr>
            </w:pPr>
          </w:p>
          <w:p>
            <w:pPr>
              <w:pStyle w:val="TableParagraph"/>
              <w:spacing w:before="0"/>
              <w:ind w:right="374"/>
              <w:rPr>
                <w:sz w:val="22"/>
              </w:rPr>
            </w:pPr>
            <w:r>
              <w:rPr>
                <w:sz w:val="22"/>
              </w:rPr>
              <w:t>The possible values for this attribute are defined by the </w:t>
            </w:r>
            <w:r>
              <w:rPr>
                <w:rFonts w:ascii="Cambria" w:hAnsi="Cambria"/>
                <w:sz w:val="22"/>
              </w:rPr>
              <w:t>ST_FieldSortType </w:t>
            </w:r>
            <w:r>
              <w:rPr>
                <w:sz w:val="22"/>
              </w:rPr>
              <w:t>simple type </w:t>
            </w:r>
            <w:hyperlink w:history="true" w:anchor="_bookmark850">
              <w:r>
                <w:rPr>
                  <w:sz w:val="22"/>
                </w:rPr>
                <w:t>(§18.18.28</w:t>
              </w:r>
            </w:hyperlink>
            <w:r>
              <w:rPr>
                <w:sz w:val="22"/>
              </w:rPr>
              <w:t>).</w:t>
            </w:r>
          </w:p>
        </w:tc>
      </w:tr>
      <w:tr>
        <w:trPr>
          <w:trHeight w:val="3040" w:hRule="atLeast"/>
        </w:trPr>
        <w:tc>
          <w:tcPr>
            <w:tcW w:w="2062" w:type="dxa"/>
          </w:tcPr>
          <w:p>
            <w:pPr>
              <w:pStyle w:val="TableParagraph"/>
              <w:spacing w:line="256" w:lineRule="exact" w:before="42"/>
              <w:rPr>
                <w:rFonts w:ascii="Cambria"/>
                <w:sz w:val="22"/>
              </w:rPr>
            </w:pPr>
            <w:r>
              <w:rPr>
                <w:rFonts w:ascii="Cambria"/>
                <w:sz w:val="22"/>
              </w:rPr>
              <w:t>stdDevPSubtotal</w:t>
            </w:r>
          </w:p>
          <w:p>
            <w:pPr>
              <w:pStyle w:val="TableParagraph"/>
              <w:spacing w:line="267" w:lineRule="exact" w:before="0"/>
              <w:rPr>
                <w:sz w:val="22"/>
              </w:rPr>
            </w:pPr>
            <w:r>
              <w:rPr>
                <w:sz w:val="22"/>
              </w:rPr>
              <w:t>(StdDevP Subtotal)</w:t>
            </w:r>
          </w:p>
        </w:tc>
        <w:tc>
          <w:tcPr>
            <w:tcW w:w="8250" w:type="dxa"/>
          </w:tcPr>
          <w:p>
            <w:pPr>
              <w:pStyle w:val="TableParagraph"/>
              <w:ind w:right="666"/>
              <w:rPr>
                <w:sz w:val="22"/>
              </w:rPr>
            </w:pPr>
            <w:r>
              <w:rPr>
                <w:sz w:val="22"/>
              </w:rPr>
              <w:t>Specifies a boolean value that indicates whether to apply the 'stdDevP' aggregation function in the subtotal of this field.</w:t>
            </w:r>
          </w:p>
          <w:p>
            <w:pPr>
              <w:pStyle w:val="TableParagraph"/>
              <w:spacing w:before="4"/>
              <w:ind w:left="0"/>
              <w:rPr>
                <w:rFonts w:ascii="Times New Roman"/>
                <w:sz w:val="23"/>
              </w:rPr>
            </w:pPr>
          </w:p>
          <w:p>
            <w:pPr>
              <w:pStyle w:val="TableParagraph"/>
              <w:spacing w:before="0"/>
              <w:ind w:right="456"/>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that the 'stdDevP' aggregation function is applied in the subtotal for this field.</w:t>
            </w:r>
          </w:p>
          <w:p>
            <w:pPr>
              <w:pStyle w:val="TableParagraph"/>
              <w:spacing w:before="3"/>
              <w:ind w:left="0"/>
              <w:rPr>
                <w:rFonts w:ascii="Times New Roman"/>
                <w:sz w:val="23"/>
              </w:rPr>
            </w:pPr>
          </w:p>
          <w:p>
            <w:pPr>
              <w:pStyle w:val="TableParagraph"/>
              <w:spacing w:before="0"/>
              <w:ind w:right="13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applied in the subtotal for this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1" w:hRule="atLeast"/>
        </w:trPr>
        <w:tc>
          <w:tcPr>
            <w:tcW w:w="2062" w:type="dxa"/>
          </w:tcPr>
          <w:p>
            <w:pPr>
              <w:pStyle w:val="TableParagraph"/>
              <w:spacing w:line="256" w:lineRule="exact" w:before="42"/>
              <w:rPr>
                <w:rFonts w:ascii="Cambria"/>
                <w:sz w:val="22"/>
              </w:rPr>
            </w:pPr>
            <w:r>
              <w:rPr>
                <w:rFonts w:ascii="Cambria"/>
                <w:sz w:val="22"/>
              </w:rPr>
              <w:t>stdDevSubtotal</w:t>
            </w:r>
          </w:p>
          <w:p>
            <w:pPr>
              <w:pStyle w:val="TableParagraph"/>
              <w:spacing w:line="267" w:lineRule="exact" w:before="0"/>
              <w:rPr>
                <w:sz w:val="22"/>
              </w:rPr>
            </w:pPr>
            <w:r>
              <w:rPr>
                <w:sz w:val="22"/>
              </w:rPr>
              <w:t>(StdDev Subtotal)</w:t>
            </w:r>
          </w:p>
        </w:tc>
        <w:tc>
          <w:tcPr>
            <w:tcW w:w="8250" w:type="dxa"/>
          </w:tcPr>
          <w:p>
            <w:pPr>
              <w:pStyle w:val="TableParagraph"/>
              <w:ind w:right="458"/>
              <w:rPr>
                <w:sz w:val="22"/>
              </w:rPr>
            </w:pPr>
            <w:r>
              <w:rPr>
                <w:sz w:val="22"/>
              </w:rPr>
              <w:t>Specifies a boolean value that indicates whether to use 'stdDev' in the subtotal of this field.</w:t>
            </w:r>
          </w:p>
          <w:p>
            <w:pPr>
              <w:pStyle w:val="TableParagraph"/>
              <w:spacing w:before="2"/>
              <w:ind w:left="0"/>
              <w:rPr>
                <w:rFonts w:ascii="Times New Roman"/>
                <w:sz w:val="23"/>
              </w:rPr>
            </w:pPr>
          </w:p>
          <w:p>
            <w:pPr>
              <w:pStyle w:val="TableParagraph"/>
              <w:spacing w:before="0"/>
              <w:ind w:right="56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that the 'stdDev' aggregation function is applied in the subtotal for this field.</w:t>
            </w:r>
          </w:p>
          <w:p>
            <w:pPr>
              <w:pStyle w:val="TableParagraph"/>
              <w:spacing w:before="5"/>
              <w:ind w:left="0"/>
              <w:rPr>
                <w:rFonts w:ascii="Times New Roman"/>
                <w:sz w:val="23"/>
              </w:rPr>
            </w:pPr>
          </w:p>
          <w:p>
            <w:pPr>
              <w:pStyle w:val="TableParagraph"/>
              <w:spacing w:before="0"/>
              <w:ind w:right="13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applied in the subtotal for this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623" w:hRule="atLeast"/>
        </w:trPr>
        <w:tc>
          <w:tcPr>
            <w:tcW w:w="2062" w:type="dxa"/>
          </w:tcPr>
          <w:p>
            <w:pPr>
              <w:pStyle w:val="TableParagraph"/>
              <w:spacing w:line="256" w:lineRule="exact" w:before="42"/>
              <w:rPr>
                <w:rFonts w:ascii="Cambria"/>
                <w:sz w:val="22"/>
              </w:rPr>
            </w:pPr>
            <w:r>
              <w:rPr>
                <w:rFonts w:ascii="Cambria"/>
                <w:sz w:val="22"/>
              </w:rPr>
              <w:t>subtotalCaption</w:t>
            </w:r>
          </w:p>
          <w:p>
            <w:pPr>
              <w:pStyle w:val="TableParagraph"/>
              <w:spacing w:line="267" w:lineRule="exact" w:before="0"/>
              <w:rPr>
                <w:sz w:val="22"/>
              </w:rPr>
            </w:pPr>
            <w:r>
              <w:rPr>
                <w:sz w:val="22"/>
              </w:rPr>
              <w:t>(Custom Subtotal</w:t>
            </w:r>
          </w:p>
        </w:tc>
        <w:tc>
          <w:tcPr>
            <w:tcW w:w="8250" w:type="dxa"/>
          </w:tcPr>
          <w:p>
            <w:pPr>
              <w:pStyle w:val="TableParagraph"/>
              <w:rPr>
                <w:sz w:val="22"/>
              </w:rPr>
            </w:pPr>
            <w:r>
              <w:rPr>
                <w:sz w:val="22"/>
              </w:rPr>
              <w:t>Specifies the custom text that is displayed for the subtotals label.</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rPr>
                <w:sz w:val="22"/>
              </w:rPr>
            </w:pPr>
            <w:r>
              <w:rPr>
                <w:sz w:val="22"/>
              </w:rPr>
              <w:t>Caption)</w:t>
            </w: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2" w:hRule="atLeast"/>
        </w:trPr>
        <w:tc>
          <w:tcPr>
            <w:tcW w:w="2062" w:type="dxa"/>
          </w:tcPr>
          <w:p>
            <w:pPr>
              <w:pStyle w:val="TableParagraph"/>
              <w:spacing w:line="256" w:lineRule="exact" w:before="42"/>
              <w:rPr>
                <w:rFonts w:ascii="Cambria"/>
                <w:sz w:val="22"/>
              </w:rPr>
            </w:pPr>
            <w:r>
              <w:rPr>
                <w:rFonts w:ascii="Cambria"/>
                <w:sz w:val="22"/>
              </w:rPr>
              <w:t>subtotalTop</w:t>
            </w:r>
          </w:p>
          <w:p>
            <w:pPr>
              <w:pStyle w:val="TableParagraph"/>
              <w:spacing w:line="267" w:lineRule="exact" w:before="0"/>
              <w:rPr>
                <w:sz w:val="22"/>
              </w:rPr>
            </w:pPr>
            <w:r>
              <w:rPr>
                <w:sz w:val="22"/>
              </w:rPr>
              <w:t>(Subtotals At Top)</w:t>
            </w:r>
          </w:p>
        </w:tc>
        <w:tc>
          <w:tcPr>
            <w:tcW w:w="8250" w:type="dxa"/>
          </w:tcPr>
          <w:p>
            <w:pPr>
              <w:pStyle w:val="TableParagraph"/>
              <w:ind w:right="485"/>
              <w:rPr>
                <w:sz w:val="22"/>
              </w:rPr>
            </w:pPr>
            <w:r>
              <w:rPr>
                <w:sz w:val="22"/>
              </w:rPr>
              <w:t>Specifies a boolean value that indicates whether to display subtotals at the top of the group. Applies only when </w:t>
            </w:r>
            <w:r>
              <w:rPr>
                <w:rFonts w:ascii="Consolas"/>
                <w:sz w:val="20"/>
              </w:rPr>
              <w:t>Outline</w:t>
            </w:r>
            <w:r>
              <w:rPr>
                <w:rFonts w:ascii="Consolas"/>
                <w:spacing w:val="-59"/>
                <w:sz w:val="20"/>
              </w:rPr>
              <w:t> </w:t>
            </w:r>
            <w:r>
              <w:rPr>
                <w:sz w:val="22"/>
              </w:rPr>
              <w:t>its </w:t>
            </w:r>
            <w:r>
              <w:rPr>
                <w:rFonts w:ascii="Cambria"/>
                <w:sz w:val="22"/>
              </w:rPr>
              <w:t>true</w:t>
            </w:r>
            <w:r>
              <w:rPr>
                <w:sz w:val="22"/>
              </w:rPr>
              <w:t>.</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 subtotal is display at the top of the group.</w:t>
            </w:r>
          </w:p>
          <w:p>
            <w:pPr>
              <w:pStyle w:val="TableParagraph"/>
              <w:spacing w:line="530" w:lineRule="atLeast" w:before="8"/>
              <w:ind w:right="298"/>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subtotal will not be displayed at the top of the group. The possible values for this attribute are defined by the W3C XML Schema </w:t>
            </w:r>
            <w:r>
              <w:rPr>
                <w:rFonts w:ascii="Cambria"/>
                <w:sz w:val="22"/>
              </w:rPr>
              <w:t>boolean</w:t>
            </w:r>
          </w:p>
          <w:p>
            <w:pPr>
              <w:pStyle w:val="TableParagraph"/>
              <w:spacing w:before="7"/>
              <w:rPr>
                <w:sz w:val="22"/>
              </w:rPr>
            </w:pPr>
            <w:r>
              <w:rPr>
                <w:sz w:val="22"/>
              </w:rPr>
              <w:t>datatype.</w:t>
            </w:r>
          </w:p>
        </w:tc>
      </w:tr>
      <w:tr>
        <w:trPr>
          <w:trHeight w:val="3040" w:hRule="atLeast"/>
        </w:trPr>
        <w:tc>
          <w:tcPr>
            <w:tcW w:w="2062" w:type="dxa"/>
          </w:tcPr>
          <w:p>
            <w:pPr>
              <w:pStyle w:val="TableParagraph"/>
              <w:ind w:right="226"/>
              <w:rPr>
                <w:sz w:val="22"/>
              </w:rPr>
            </w:pPr>
            <w:r>
              <w:rPr>
                <w:rFonts w:ascii="Cambria"/>
                <w:sz w:val="22"/>
              </w:rPr>
              <w:t>sumSubtotal </w:t>
            </w:r>
            <w:r>
              <w:rPr>
                <w:sz w:val="22"/>
              </w:rPr>
              <w:t>(Sum Subtotal)</w:t>
            </w:r>
          </w:p>
        </w:tc>
        <w:tc>
          <w:tcPr>
            <w:tcW w:w="8250" w:type="dxa"/>
          </w:tcPr>
          <w:p>
            <w:pPr>
              <w:pStyle w:val="TableParagraph"/>
              <w:ind w:right="248"/>
              <w:rPr>
                <w:sz w:val="22"/>
              </w:rPr>
            </w:pPr>
            <w:r>
              <w:rPr>
                <w:sz w:val="22"/>
              </w:rPr>
              <w:t>Specifies a boolean value that indicates whether apply the 'sum' aggregation function in the subtotal of this field.</w:t>
            </w:r>
          </w:p>
          <w:p>
            <w:pPr>
              <w:pStyle w:val="TableParagraph"/>
              <w:spacing w:before="2"/>
              <w:ind w:left="0"/>
              <w:rPr>
                <w:rFonts w:ascii="Times New Roman"/>
                <w:sz w:val="23"/>
              </w:rPr>
            </w:pPr>
          </w:p>
          <w:p>
            <w:pPr>
              <w:pStyle w:val="TableParagraph"/>
              <w:spacing w:before="1"/>
              <w:rPr>
                <w:sz w:val="22"/>
              </w:rPr>
            </w:pPr>
            <w:r>
              <w:rPr>
                <w:sz w:val="22"/>
              </w:rPr>
              <w:t>A value</w:t>
            </w:r>
            <w:r>
              <w:rPr>
                <w:spacing w:val="-2"/>
                <w:sz w:val="22"/>
              </w:rPr>
              <w:t> </w:t>
            </w:r>
            <w:r>
              <w:rPr>
                <w:sz w:val="22"/>
              </w:rPr>
              <w:t>of</w:t>
            </w:r>
            <w:r>
              <w:rPr>
                <w:spacing w:val="-1"/>
                <w:sz w:val="22"/>
              </w:rPr>
              <w:t> </w:t>
            </w:r>
            <w:r>
              <w:rPr>
                <w:rFonts w:ascii="Consolas"/>
                <w:sz w:val="20"/>
              </w:rPr>
              <w:t>1</w:t>
            </w:r>
            <w:r>
              <w:rPr>
                <w:rFonts w:ascii="Consolas"/>
                <w:spacing w:val="-59"/>
                <w:sz w:val="20"/>
              </w:rPr>
              <w:t> </w:t>
            </w:r>
            <w:r>
              <w:rPr>
                <w:sz w:val="22"/>
              </w:rPr>
              <w:t>or</w:t>
            </w:r>
            <w:r>
              <w:rPr>
                <w:spacing w:val="-2"/>
                <w:sz w:val="22"/>
              </w:rPr>
              <w:t> </w:t>
            </w:r>
            <w:r>
              <w:rPr>
                <w:rFonts w:ascii="Consolas"/>
                <w:sz w:val="20"/>
              </w:rPr>
              <w:t>true</w:t>
            </w:r>
            <w:r>
              <w:rPr>
                <w:rFonts w:ascii="Consolas"/>
                <w:spacing w:val="-62"/>
                <w:sz w:val="20"/>
              </w:rPr>
              <w:t> </w:t>
            </w:r>
            <w:r>
              <w:rPr>
                <w:sz w:val="22"/>
              </w:rPr>
              <w:t>indicates the</w:t>
            </w:r>
            <w:r>
              <w:rPr>
                <w:spacing w:val="-3"/>
                <w:sz w:val="22"/>
              </w:rPr>
              <w:t> </w:t>
            </w:r>
            <w:r>
              <w:rPr>
                <w:sz w:val="22"/>
              </w:rPr>
              <w:t>'sum'</w:t>
            </w:r>
            <w:r>
              <w:rPr>
                <w:spacing w:val="-1"/>
                <w:sz w:val="22"/>
              </w:rPr>
              <w:t> </w:t>
            </w:r>
            <w:r>
              <w:rPr>
                <w:sz w:val="22"/>
              </w:rPr>
              <w:t>aggregation function</w:t>
            </w:r>
            <w:r>
              <w:rPr>
                <w:spacing w:val="-1"/>
                <w:sz w:val="22"/>
              </w:rPr>
              <w:t> </w:t>
            </w:r>
            <w:r>
              <w:rPr>
                <w:sz w:val="22"/>
              </w:rPr>
              <w:t>is</w:t>
            </w:r>
            <w:r>
              <w:rPr>
                <w:spacing w:val="-2"/>
                <w:sz w:val="22"/>
              </w:rPr>
              <w:t> </w:t>
            </w:r>
            <w:r>
              <w:rPr>
                <w:sz w:val="22"/>
              </w:rPr>
              <w:t>applied in</w:t>
            </w:r>
            <w:r>
              <w:rPr>
                <w:spacing w:val="-1"/>
                <w:sz w:val="22"/>
              </w:rPr>
              <w:t> </w:t>
            </w:r>
            <w:r>
              <w:rPr>
                <w:sz w:val="22"/>
              </w:rPr>
              <w:t>the</w:t>
            </w:r>
            <w:r>
              <w:rPr>
                <w:spacing w:val="-2"/>
                <w:sz w:val="22"/>
              </w:rPr>
              <w:t> </w:t>
            </w:r>
            <w:r>
              <w:rPr>
                <w:sz w:val="22"/>
              </w:rPr>
              <w:t>subtotal</w:t>
            </w:r>
            <w:r>
              <w:rPr>
                <w:spacing w:val="-3"/>
                <w:sz w:val="22"/>
              </w:rPr>
              <w:t> </w:t>
            </w:r>
            <w:r>
              <w:rPr>
                <w:sz w:val="22"/>
              </w:rPr>
              <w:t>of this</w:t>
            </w:r>
            <w:r>
              <w:rPr>
                <w:spacing w:val="-1"/>
                <w:sz w:val="22"/>
              </w:rPr>
              <w:t> </w:t>
            </w:r>
            <w:r>
              <w:rPr>
                <w:sz w:val="22"/>
              </w:rPr>
              <w:t>field.</w:t>
            </w:r>
          </w:p>
          <w:p>
            <w:pPr>
              <w:pStyle w:val="TableParagraph"/>
              <w:spacing w:before="4"/>
              <w:ind w:left="0"/>
              <w:rPr>
                <w:rFonts w:ascii="Times New Roman"/>
                <w:sz w:val="23"/>
              </w:rPr>
            </w:pPr>
          </w:p>
          <w:p>
            <w:pPr>
              <w:pStyle w:val="TableParagraph"/>
              <w:spacing w:before="0"/>
              <w:rPr>
                <w:sz w:val="22"/>
              </w:rPr>
            </w:pPr>
            <w:r>
              <w:rPr>
                <w:sz w:val="22"/>
              </w:rPr>
              <w:t>A</w:t>
            </w:r>
            <w:r>
              <w:rPr>
                <w:spacing w:val="-1"/>
                <w:sz w:val="22"/>
              </w:rPr>
              <w:t> </w:t>
            </w:r>
            <w:r>
              <w:rPr>
                <w:sz w:val="22"/>
              </w:rPr>
              <w:t>value</w:t>
            </w:r>
            <w:r>
              <w:rPr>
                <w:spacing w:val="-2"/>
                <w:sz w:val="22"/>
              </w:rPr>
              <w:t> </w:t>
            </w:r>
            <w:r>
              <w:rPr>
                <w:sz w:val="22"/>
              </w:rPr>
              <w:t>of</w:t>
            </w:r>
            <w:r>
              <w:rPr>
                <w:spacing w:val="-2"/>
                <w:sz w:val="22"/>
              </w:rPr>
              <w:t> </w:t>
            </w:r>
            <w:r>
              <w:rPr>
                <w:rFonts w:ascii="Consolas"/>
                <w:sz w:val="20"/>
              </w:rPr>
              <w:t>0</w:t>
            </w:r>
            <w:r>
              <w:rPr>
                <w:rFonts w:ascii="Consolas"/>
                <w:spacing w:val="-59"/>
                <w:sz w:val="20"/>
              </w:rPr>
              <w:t> </w:t>
            </w:r>
            <w:r>
              <w:rPr>
                <w:sz w:val="22"/>
              </w:rPr>
              <w:t>or</w:t>
            </w:r>
            <w:r>
              <w:rPr>
                <w:spacing w:val="-2"/>
                <w:sz w:val="22"/>
              </w:rPr>
              <w:t> </w:t>
            </w:r>
            <w:r>
              <w:rPr>
                <w:rFonts w:ascii="Consolas"/>
                <w:sz w:val="20"/>
              </w:rPr>
              <w:t>false</w:t>
            </w:r>
            <w:r>
              <w:rPr>
                <w:rFonts w:ascii="Consolas"/>
                <w:spacing w:val="-59"/>
                <w:sz w:val="20"/>
              </w:rPr>
              <w:t> </w:t>
            </w:r>
            <w:r>
              <w:rPr>
                <w:sz w:val="22"/>
              </w:rPr>
              <w:t>indicates another</w:t>
            </w:r>
            <w:r>
              <w:rPr>
                <w:spacing w:val="-4"/>
                <w:sz w:val="22"/>
              </w:rPr>
              <w:t> </w:t>
            </w:r>
            <w:r>
              <w:rPr>
                <w:sz w:val="22"/>
              </w:rPr>
              <w:t>aggregation</w:t>
            </w:r>
            <w:r>
              <w:rPr>
                <w:spacing w:val="-1"/>
                <w:sz w:val="22"/>
              </w:rPr>
              <w:t> </w:t>
            </w:r>
            <w:r>
              <w:rPr>
                <w:sz w:val="22"/>
              </w:rPr>
              <w:t>function</w:t>
            </w:r>
            <w:r>
              <w:rPr>
                <w:spacing w:val="-1"/>
                <w:sz w:val="22"/>
              </w:rPr>
              <w:t> </w:t>
            </w:r>
            <w:r>
              <w:rPr>
                <w:sz w:val="22"/>
              </w:rPr>
              <w:t>is</w:t>
            </w:r>
            <w:r>
              <w:rPr>
                <w:spacing w:val="-1"/>
                <w:sz w:val="22"/>
              </w:rPr>
              <w:t> </w:t>
            </w:r>
            <w:r>
              <w:rPr>
                <w:sz w:val="22"/>
              </w:rPr>
              <w:t>applied in</w:t>
            </w:r>
            <w:r>
              <w:rPr>
                <w:spacing w:val="-5"/>
                <w:sz w:val="22"/>
              </w:rPr>
              <w:t> </w:t>
            </w:r>
            <w:r>
              <w:rPr>
                <w:sz w:val="22"/>
              </w:rPr>
              <w:t>the</w:t>
            </w:r>
            <w:r>
              <w:rPr>
                <w:spacing w:val="1"/>
                <w:sz w:val="22"/>
              </w:rPr>
              <w:t> </w:t>
            </w:r>
            <w:r>
              <w:rPr>
                <w:sz w:val="22"/>
              </w:rPr>
              <w:t>subtotal</w:t>
            </w:r>
            <w:r>
              <w:rPr>
                <w:spacing w:val="-2"/>
                <w:sz w:val="22"/>
              </w:rPr>
              <w:t> </w:t>
            </w:r>
            <w:r>
              <w:rPr>
                <w:sz w:val="22"/>
              </w:rPr>
              <w:t>of this</w:t>
            </w:r>
            <w:r>
              <w:rPr>
                <w:spacing w:val="-1"/>
                <w:sz w:val="22"/>
              </w:rPr>
              <w:t> </w:t>
            </w:r>
            <w:r>
              <w:rPr>
                <w:sz w:val="22"/>
              </w:rPr>
              <w:t>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72" w:hRule="atLeast"/>
        </w:trPr>
        <w:tc>
          <w:tcPr>
            <w:tcW w:w="2062" w:type="dxa"/>
          </w:tcPr>
          <w:p>
            <w:pPr>
              <w:pStyle w:val="TableParagraph"/>
              <w:ind w:right="182"/>
              <w:rPr>
                <w:sz w:val="22"/>
              </w:rPr>
            </w:pPr>
            <w:r>
              <w:rPr>
                <w:rFonts w:ascii="Cambria"/>
                <w:sz w:val="22"/>
              </w:rPr>
              <w:t>topAutoShow </w:t>
            </w:r>
            <w:r>
              <w:rPr>
                <w:sz w:val="22"/>
              </w:rPr>
              <w:t>(Top Auto Show)</w:t>
            </w:r>
          </w:p>
        </w:tc>
        <w:tc>
          <w:tcPr>
            <w:tcW w:w="8250" w:type="dxa"/>
          </w:tcPr>
          <w:p>
            <w:pPr>
              <w:pStyle w:val="TableParagraph"/>
              <w:ind w:right="106"/>
              <w:rPr>
                <w:sz w:val="22"/>
              </w:rPr>
            </w:pPr>
            <w:r>
              <w:rPr>
                <w:sz w:val="22"/>
              </w:rPr>
              <w:t>Specifies a boolean value that indicates whether an AutoShow filter applied to this field is set to show the top ranked values.</w:t>
            </w:r>
          </w:p>
          <w:p>
            <w:pPr>
              <w:pStyle w:val="TableParagraph"/>
              <w:spacing w:before="2"/>
              <w:ind w:left="0"/>
              <w:rPr>
                <w:rFonts w:ascii="Times New Roman"/>
                <w:sz w:val="23"/>
              </w:rPr>
            </w:pPr>
          </w:p>
          <w:p>
            <w:pPr>
              <w:pStyle w:val="TableParagraph"/>
              <w:spacing w:before="0"/>
              <w:ind w:right="406"/>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whether an AutoShow filter will show top values for this field.</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bottom ranked values are shown.</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spacing w:line="237" w:lineRule="auto" w:before="45"/>
              <w:ind w:right="141"/>
              <w:rPr>
                <w:sz w:val="22"/>
              </w:rPr>
            </w:pPr>
            <w:r>
              <w:rPr>
                <w:rFonts w:ascii="Cambria"/>
                <w:sz w:val="22"/>
              </w:rPr>
              <w:t>uniqueMemberPro perty </w:t>
            </w:r>
            <w:r>
              <w:rPr>
                <w:sz w:val="22"/>
              </w:rPr>
              <w:t>(Unique Member Property)</w:t>
            </w:r>
          </w:p>
        </w:tc>
        <w:tc>
          <w:tcPr>
            <w:tcW w:w="8250" w:type="dxa"/>
          </w:tcPr>
          <w:p>
            <w:pPr>
              <w:pStyle w:val="TableParagraph"/>
              <w:ind w:right="311"/>
              <w:rPr>
                <w:sz w:val="22"/>
              </w:rPr>
            </w:pPr>
            <w:r>
              <w:rPr>
                <w:sz w:val="22"/>
              </w:rPr>
              <w:t>Specifies the unique name of the member property to be used as a caption for the field and field items.</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5" w:hRule="atLeast"/>
        </w:trPr>
        <w:tc>
          <w:tcPr>
            <w:tcW w:w="2062" w:type="dxa"/>
          </w:tcPr>
          <w:p>
            <w:pPr>
              <w:pStyle w:val="TableParagraph"/>
              <w:ind w:right="163"/>
              <w:rPr>
                <w:sz w:val="22"/>
              </w:rPr>
            </w:pPr>
            <w:r>
              <w:rPr>
                <w:rFonts w:ascii="Cambria"/>
                <w:sz w:val="22"/>
              </w:rPr>
              <w:t>varPSubtotal </w:t>
            </w:r>
            <w:r>
              <w:rPr>
                <w:sz w:val="22"/>
              </w:rPr>
              <w:t>(VarP Subtotal)</w:t>
            </w:r>
          </w:p>
        </w:tc>
        <w:tc>
          <w:tcPr>
            <w:tcW w:w="8250" w:type="dxa"/>
          </w:tcPr>
          <w:p>
            <w:pPr>
              <w:pStyle w:val="TableParagraph"/>
              <w:ind w:right="207"/>
              <w:rPr>
                <w:sz w:val="22"/>
              </w:rPr>
            </w:pPr>
            <w:r>
              <w:rPr>
                <w:sz w:val="22"/>
              </w:rPr>
              <w:t>Specifies a boolean value that indicates whether to apply the 'varP' aggregation function in the subtotal of this field.</w:t>
            </w:r>
          </w:p>
          <w:p>
            <w:pPr>
              <w:pStyle w:val="TableParagraph"/>
              <w:spacing w:before="4"/>
              <w:ind w:left="0"/>
              <w:rPr>
                <w:rFonts w:ascii="Times New Roman"/>
                <w:sz w:val="23"/>
              </w:rPr>
            </w:pPr>
          </w:p>
          <w:p>
            <w:pPr>
              <w:pStyle w:val="TableParagraph"/>
              <w:spacing w:before="0"/>
              <w:ind w:right="19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'varP' aggregation function is applied in the subtotal of this field.</w:t>
            </w:r>
          </w:p>
          <w:p>
            <w:pPr>
              <w:pStyle w:val="TableParagraph"/>
              <w:spacing w:before="3"/>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another aggregation function is applied in the subtotal of</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this field.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3" w:hRule="atLeast"/>
        </w:trPr>
        <w:tc>
          <w:tcPr>
            <w:tcW w:w="2062" w:type="dxa"/>
          </w:tcPr>
          <w:p>
            <w:pPr>
              <w:pStyle w:val="TableParagraph"/>
              <w:spacing w:line="256" w:lineRule="exact" w:before="45"/>
              <w:rPr>
                <w:rFonts w:ascii="Cambria"/>
                <w:sz w:val="22"/>
              </w:rPr>
            </w:pPr>
            <w:r>
              <w:rPr>
                <w:rFonts w:ascii="Cambria"/>
                <w:sz w:val="22"/>
              </w:rPr>
              <w:t>varSubtotal</w:t>
            </w:r>
          </w:p>
          <w:p>
            <w:pPr>
              <w:pStyle w:val="TableParagraph"/>
              <w:spacing w:line="267" w:lineRule="exact" w:before="0"/>
              <w:rPr>
                <w:sz w:val="22"/>
              </w:rPr>
            </w:pPr>
            <w:r>
              <w:rPr>
                <w:sz w:val="22"/>
              </w:rPr>
              <w:t>(Variance Subtotal)</w:t>
            </w:r>
          </w:p>
        </w:tc>
        <w:tc>
          <w:tcPr>
            <w:tcW w:w="8250" w:type="dxa"/>
          </w:tcPr>
          <w:p>
            <w:pPr>
              <w:pStyle w:val="TableParagraph"/>
              <w:spacing w:line="237" w:lineRule="auto" w:before="44"/>
              <w:ind w:right="644"/>
              <w:rPr>
                <w:sz w:val="22"/>
              </w:rPr>
            </w:pPr>
            <w:r>
              <w:rPr>
                <w:sz w:val="22"/>
              </w:rPr>
              <w:t>Specifies a boolean value that indicates whether to apply the 'variance' aggregation function in the subtotal of this field.</w:t>
            </w:r>
          </w:p>
          <w:p>
            <w:pPr>
              <w:pStyle w:val="TableParagraph"/>
              <w:spacing w:before="6"/>
              <w:ind w:left="0"/>
              <w:rPr>
                <w:rFonts w:ascii="Times New Roman"/>
                <w:sz w:val="23"/>
              </w:rPr>
            </w:pPr>
          </w:p>
          <w:p>
            <w:pPr>
              <w:pStyle w:val="TableParagraph"/>
              <w:spacing w:before="0"/>
              <w:ind w:right="852"/>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'variance' aggregation function is applied in the subtotal of this field.</w:t>
            </w:r>
          </w:p>
          <w:p>
            <w:pPr>
              <w:pStyle w:val="TableParagraph"/>
              <w:spacing w:before="4"/>
              <w:ind w:left="0"/>
              <w:rPr>
                <w:rFonts w:ascii="Times New Roman"/>
                <w:sz w:val="23"/>
              </w:rPr>
            </w:pPr>
          </w:p>
          <w:p>
            <w:pPr>
              <w:pStyle w:val="TableParagraph"/>
              <w:spacing w:before="1"/>
              <w:ind w:right="207"/>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applied in the subtotal of this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6" w:lineRule="auto" w:before="57"/>
        <w:ind w:left="220" w:right="605"/>
      </w:pPr>
      <w:r>
        <w:rPr/>
        <w:t>[</w:t>
      </w:r>
      <w:r>
        <w:rPr>
          <w:i/>
        </w:rPr>
        <w:t>Note</w:t>
      </w:r>
      <w:r>
        <w:rPr/>
        <w:t>: The W3C XML Schema definition of this element’s content model (</w:t>
      </w:r>
      <w:r>
        <w:rPr>
          <w:color w:val="5F5F5F"/>
          <w:u w:val="single" w:color="5F5F5F"/>
        </w:rPr>
        <w:t>CT_PivotField</w:t>
      </w:r>
      <w:r>
        <w:rPr/>
        <w:t>) is located in §A.2. </w:t>
      </w:r>
      <w:r>
        <w:rPr>
          <w:i/>
        </w:rPr>
        <w:t>end </w:t>
      </w:r>
      <w:r>
        <w:rPr>
          <w:i/>
        </w:rPr>
        <w:t>note</w:t>
      </w:r>
      <w:r>
        <w:rPr/>
        <w:t>]</w:t>
      </w:r>
    </w:p>
    <w:p>
      <w:pPr>
        <w:pStyle w:val="BodyText"/>
        <w:spacing w:before="5"/>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70 pivotFields (PivotTable Field" w:id="959"/>
      <w:bookmarkEnd w:id="959"/>
      <w:r>
        <w:rPr/>
      </w:r>
      <w:bookmarkStart w:name="_bookmark318" w:id="960"/>
      <w:bookmarkEnd w:id="960"/>
      <w:r>
        <w:rPr/>
      </w:r>
      <w:bookmarkStart w:name="_bookmark318" w:id="961"/>
      <w:bookmarkEnd w:id="961"/>
      <w:r>
        <w:rPr>
          <w:color w:val="4F81BC"/>
        </w:rPr>
        <w:t>piv</w:t>
      </w:r>
      <w:r>
        <w:rPr>
          <w:color w:val="4F81BC"/>
        </w:rPr>
        <w:t>otFields (PivotTable</w:t>
      </w:r>
      <w:r>
        <w:rPr>
          <w:color w:val="4F81BC"/>
          <w:spacing w:val="-3"/>
        </w:rPr>
        <w:t> </w:t>
      </w:r>
      <w:r>
        <w:rPr>
          <w:color w:val="4F81BC"/>
        </w:rPr>
        <w:t>Fields)</w:t>
      </w:r>
    </w:p>
    <w:p>
      <w:pPr>
        <w:pStyle w:val="BodyText"/>
        <w:spacing w:line="453" w:lineRule="auto" w:before="121"/>
        <w:ind w:left="220" w:right="4637"/>
      </w:pPr>
      <w:r>
        <w:rPr/>
        <w:t>Represents the collection of fields that appear on the PivotTable. [</w:t>
      </w:r>
      <w:r>
        <w:rPr>
          <w:i/>
        </w:rPr>
        <w:t>Example</w:t>
      </w:r>
      <w:r>
        <w:rPr/>
        <w:t>:</w:t>
      </w:r>
    </w:p>
    <w:p>
      <w:pPr>
        <w:pStyle w:val="BodyText"/>
        <w:spacing w:before="3"/>
        <w:ind w:left="508"/>
        <w:rPr>
          <w:rFonts w:ascii="Consolas"/>
        </w:rPr>
      </w:pPr>
      <w:r>
        <w:rPr>
          <w:rFonts w:ascii="Consolas"/>
        </w:rPr>
        <w:t>&lt;pivotFields count="28"&gt;</w:t>
      </w:r>
    </w:p>
    <w:p>
      <w:pPr>
        <w:pStyle w:val="BodyText"/>
        <w:spacing w:before="40"/>
        <w:ind w:left="750"/>
        <w:rPr>
          <w:rFonts w:ascii="Consolas"/>
        </w:rPr>
      </w:pPr>
      <w:r>
        <w:rPr>
          <w:rFonts w:ascii="Consolas"/>
        </w:rPr>
        <w:t>&lt;pivotField showAll="0" includeNewItemsInFilter="1"&gt;</w:t>
      </w:r>
    </w:p>
    <w:p>
      <w:pPr>
        <w:pStyle w:val="BodyText"/>
        <w:spacing w:before="37"/>
        <w:ind w:left="993"/>
        <w:rPr>
          <w:rFonts w:ascii="Consolas"/>
        </w:rPr>
      </w:pPr>
      <w:r>
        <w:rPr>
          <w:rFonts w:ascii="Consolas"/>
        </w:rPr>
        <w:t>&lt;items count="8"&gt;</w:t>
      </w:r>
    </w:p>
    <w:p>
      <w:pPr>
        <w:pStyle w:val="BodyText"/>
        <w:spacing w:before="40"/>
        <w:ind w:left="1235"/>
        <w:rPr>
          <w:rFonts w:ascii="Consolas"/>
        </w:rPr>
      </w:pPr>
      <w:r>
        <w:rPr>
          <w:rFonts w:ascii="Consolas"/>
        </w:rPr>
        <w:t>&lt;item x="66"/&gt;</w:t>
      </w:r>
    </w:p>
    <w:p>
      <w:pPr>
        <w:pStyle w:val="BodyText"/>
        <w:spacing w:before="38"/>
        <w:ind w:left="1235"/>
        <w:rPr>
          <w:rFonts w:ascii="Consolas"/>
        </w:rPr>
      </w:pPr>
      <w:r>
        <w:rPr>
          <w:rFonts w:ascii="Consolas"/>
        </w:rPr>
        <w:t>&lt;item x="133"/&gt;</w:t>
      </w:r>
    </w:p>
    <w:p>
      <w:pPr>
        <w:pStyle w:val="BodyText"/>
        <w:spacing w:before="40"/>
        <w:ind w:left="1235"/>
        <w:rPr>
          <w:rFonts w:ascii="Consolas"/>
        </w:rPr>
      </w:pPr>
      <w:r>
        <w:rPr>
          <w:rFonts w:ascii="Consolas"/>
        </w:rPr>
        <w:t>&lt;item</w:t>
      </w:r>
      <w:r>
        <w:rPr>
          <w:rFonts w:ascii="Consolas"/>
          <w:spacing w:val="-8"/>
        </w:rPr>
        <w:t> </w:t>
      </w:r>
      <w:r>
        <w:rPr>
          <w:rFonts w:ascii="Consolas"/>
        </w:rPr>
        <w:t>x="74"/&gt;</w:t>
      </w:r>
    </w:p>
    <w:p>
      <w:pPr>
        <w:pStyle w:val="BodyText"/>
        <w:spacing w:before="37"/>
        <w:ind w:left="1235"/>
        <w:rPr>
          <w:rFonts w:ascii="Consolas"/>
        </w:rPr>
      </w:pPr>
      <w:r>
        <w:rPr>
          <w:rFonts w:ascii="Consolas"/>
        </w:rPr>
        <w:t>&lt;item</w:t>
      </w:r>
      <w:r>
        <w:rPr>
          <w:rFonts w:ascii="Consolas"/>
          <w:spacing w:val="-10"/>
        </w:rPr>
        <w:t> </w:t>
      </w:r>
      <w:r>
        <w:rPr>
          <w:rFonts w:ascii="Consolas"/>
        </w:rPr>
        <w:t>x="27"/&gt;</w:t>
      </w:r>
    </w:p>
    <w:p>
      <w:pPr>
        <w:pStyle w:val="BodyText"/>
        <w:spacing w:before="38"/>
        <w:ind w:left="1235"/>
        <w:rPr>
          <w:rFonts w:ascii="Consolas"/>
        </w:rPr>
      </w:pPr>
      <w:r>
        <w:rPr>
          <w:rFonts w:ascii="Consolas"/>
        </w:rPr>
        <w:t>&lt;item x="118"/&gt;</w:t>
      </w:r>
    </w:p>
    <w:p>
      <w:pPr>
        <w:pStyle w:val="BodyText"/>
        <w:spacing w:before="40"/>
        <w:ind w:left="1235"/>
        <w:rPr>
          <w:rFonts w:ascii="Consolas"/>
        </w:rPr>
      </w:pPr>
      <w:r>
        <w:rPr>
          <w:rFonts w:ascii="Consolas"/>
        </w:rPr>
        <w:t>&lt;item x="63"/&gt;</w:t>
      </w:r>
    </w:p>
    <w:p>
      <w:pPr>
        <w:pStyle w:val="BodyText"/>
        <w:spacing w:before="38"/>
        <w:ind w:left="1235"/>
        <w:rPr>
          <w:rFonts w:ascii="Consolas"/>
        </w:rPr>
      </w:pPr>
      <w:r>
        <w:rPr>
          <w:rFonts w:ascii="Consolas"/>
        </w:rPr>
        <w:t>&lt;item x="141"/&gt;</w:t>
      </w:r>
    </w:p>
    <w:p>
      <w:pPr>
        <w:pStyle w:val="BodyText"/>
        <w:spacing w:before="40"/>
        <w:ind w:left="1235"/>
        <w:rPr>
          <w:rFonts w:ascii="Consolas"/>
        </w:rPr>
      </w:pPr>
      <w:r>
        <w:rPr>
          <w:rFonts w:ascii="Consolas"/>
        </w:rPr>
        <w:t>&lt;item t="default"/&gt;</w:t>
      </w:r>
    </w:p>
    <w:p>
      <w:pPr>
        <w:pStyle w:val="BodyText"/>
        <w:spacing w:before="38"/>
        <w:ind w:left="993"/>
        <w:rPr>
          <w:rFonts w:ascii="Consolas"/>
        </w:rPr>
      </w:pPr>
      <w:r>
        <w:rPr>
          <w:rFonts w:ascii="Consolas"/>
        </w:rPr>
        <w:t>&lt;/items&gt;</w:t>
      </w:r>
    </w:p>
    <w:p>
      <w:pPr>
        <w:pStyle w:val="BodyText"/>
        <w:spacing w:before="40"/>
        <w:ind w:left="750"/>
        <w:rPr>
          <w:rFonts w:ascii="Consolas"/>
        </w:rPr>
      </w:pPr>
      <w:r>
        <w:rPr>
          <w:rFonts w:ascii="Consolas"/>
        </w:rPr>
        <w:t>&lt;/pivotField&gt;</w:t>
      </w:r>
    </w:p>
    <w:p>
      <w:pPr>
        <w:pStyle w:val="BodyText"/>
        <w:spacing w:before="37"/>
        <w:ind w:left="750"/>
        <w:rPr>
          <w:rFonts w:ascii="Consolas"/>
        </w:rPr>
      </w:pPr>
      <w:r>
        <w:rPr>
          <w:rFonts w:ascii="Consolas"/>
        </w:rPr>
        <w:t>&lt;pivotField showAll="0" includeNewItemsInFilter="1"/&gt;</w:t>
      </w:r>
    </w:p>
    <w:p>
      <w:pPr>
        <w:spacing w:after="0"/>
        <w:rPr>
          <w:rFonts w:ascii="Consolas"/>
        </w:rPr>
        <w:sectPr>
          <w:footerReference w:type="even" r:id="rId127"/>
          <w:footerReference w:type="default" r:id="rId128"/>
          <w:pgSz w:w="12240" w:h="15840"/>
          <w:pgMar w:footer="746" w:header="761" w:top="1340" w:bottom="940" w:left="860" w:right="700"/>
          <w:pgNumType w:start="1900"/>
        </w:sectPr>
      </w:pPr>
    </w:p>
    <w:p>
      <w:pPr>
        <w:pStyle w:val="BodyText"/>
        <w:spacing w:before="150"/>
        <w:ind w:left="165" w:right="1117"/>
        <w:jc w:val="center"/>
        <w:rPr>
          <w:rFonts w:ascii="Consolas"/>
        </w:rPr>
      </w:pPr>
      <w:r>
        <w:rPr>
          <w:rFonts w:ascii="Consolas"/>
        </w:rPr>
        <w:t>&lt;pivotField axis="axisPage" showAll="0" includeNewItemsInFilter="1"&gt;</w:t>
      </w:r>
    </w:p>
    <w:p>
      <w:pPr>
        <w:pStyle w:val="BodyText"/>
        <w:spacing w:before="38"/>
        <w:ind w:left="165" w:right="6803"/>
        <w:jc w:val="center"/>
        <w:rPr>
          <w:rFonts w:ascii="Consolas"/>
        </w:rPr>
      </w:pPr>
      <w:r>
        <w:rPr>
          <w:rFonts w:ascii="Consolas"/>
        </w:rPr>
        <w:t>&lt;items count="2"&gt;</w:t>
      </w:r>
    </w:p>
    <w:p>
      <w:pPr>
        <w:pStyle w:val="BodyText"/>
        <w:spacing w:before="40"/>
        <w:ind w:left="165" w:right="6800"/>
        <w:jc w:val="center"/>
        <w:rPr>
          <w:rFonts w:ascii="Consolas"/>
        </w:rPr>
      </w:pPr>
      <w:r>
        <w:rPr>
          <w:rFonts w:ascii="Consolas"/>
        </w:rPr>
        <w:t>&lt;item x="0"/&gt;</w:t>
      </w:r>
    </w:p>
    <w:p>
      <w:pPr>
        <w:pStyle w:val="BodyText"/>
        <w:spacing w:before="38"/>
        <w:ind w:left="165" w:right="6076"/>
        <w:jc w:val="center"/>
        <w:rPr>
          <w:rFonts w:ascii="Consolas"/>
        </w:rPr>
      </w:pPr>
      <w:r>
        <w:rPr>
          <w:rFonts w:ascii="Consolas"/>
        </w:rPr>
        <w:t>&lt;item t="default"/&gt;</w:t>
      </w:r>
    </w:p>
    <w:p>
      <w:pPr>
        <w:pStyle w:val="BodyText"/>
        <w:spacing w:before="40"/>
        <w:ind w:left="165" w:right="7889"/>
        <w:jc w:val="center"/>
        <w:rPr>
          <w:rFonts w:ascii="Consolas"/>
        </w:rPr>
      </w:pPr>
      <w:r>
        <w:rPr>
          <w:rFonts w:ascii="Consolas"/>
        </w:rPr>
        <w:t>&lt;/items&gt;</w:t>
      </w:r>
    </w:p>
    <w:p>
      <w:pPr>
        <w:pStyle w:val="BodyText"/>
        <w:spacing w:before="37"/>
        <w:ind w:left="5" w:right="7610"/>
        <w:jc w:val="center"/>
        <w:rPr>
          <w:rFonts w:ascii="Consolas"/>
        </w:rPr>
      </w:pPr>
      <w:r>
        <w:rPr>
          <w:rFonts w:ascii="Consolas"/>
        </w:rPr>
        <w:t>&lt;/pivotField&gt;</w:t>
      </w:r>
    </w:p>
    <w:p>
      <w:pPr>
        <w:pStyle w:val="BodyText"/>
        <w:spacing w:before="40"/>
        <w:ind w:left="165" w:right="3423"/>
        <w:jc w:val="center"/>
        <w:rPr>
          <w:rFonts w:ascii="Consolas"/>
        </w:rPr>
      </w:pPr>
      <w:r>
        <w:rPr>
          <w:rFonts w:ascii="Consolas"/>
        </w:rPr>
        <w:t>&lt;pivotField showAll="0" includeNewItemsInFilter="1"/&gt;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42" w:right="129"/>
              <w:jc w:val="center"/>
              <w:rPr>
                <w:sz w:val="22"/>
              </w:rPr>
            </w:pPr>
            <w:r>
              <w:rPr>
                <w:rFonts w:ascii="Cambria"/>
                <w:sz w:val="22"/>
              </w:rPr>
              <w:t>count </w:t>
            </w:r>
            <w:r>
              <w:rPr>
                <w:sz w:val="22"/>
              </w:rPr>
              <w:t>(Field Count)</w:t>
            </w:r>
          </w:p>
        </w:tc>
        <w:tc>
          <w:tcPr>
            <w:tcW w:w="8250" w:type="dxa"/>
          </w:tcPr>
          <w:p>
            <w:pPr>
              <w:pStyle w:val="TableParagraph"/>
              <w:rPr>
                <w:sz w:val="22"/>
              </w:rPr>
            </w:pPr>
            <w:r>
              <w:rPr>
                <w:sz w:val="22"/>
              </w:rPr>
              <w:t>Specifies the number of fields in the PivotTable.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519"/>
      </w:pPr>
      <w:r>
        <w:rPr/>
        <w:t>[</w:t>
      </w:r>
      <w:r>
        <w:rPr>
          <w:i/>
        </w:rPr>
        <w:t>Note</w:t>
      </w:r>
      <w:r>
        <w:rPr/>
        <w:t>: The W3C XML Schema definition of this element’s content model (</w:t>
      </w:r>
      <w:r>
        <w:rPr>
          <w:color w:val="5F5F5F"/>
          <w:u w:val="single" w:color="5F5F5F"/>
        </w:rPr>
        <w:t>CT_PivotFields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71 pivotHierarchies (PivotTable " w:id="962"/>
      <w:bookmarkEnd w:id="962"/>
      <w:r>
        <w:rPr/>
      </w:r>
      <w:bookmarkStart w:name="_bookmark319" w:id="963"/>
      <w:bookmarkEnd w:id="963"/>
      <w:r>
        <w:rPr/>
      </w:r>
      <w:bookmarkStart w:name="_bookmark319" w:id="964"/>
      <w:bookmarkEnd w:id="964"/>
      <w:r>
        <w:rPr>
          <w:color w:val="4F81BC"/>
        </w:rPr>
        <w:t>piv</w:t>
      </w:r>
      <w:r>
        <w:rPr>
          <w:color w:val="4F81BC"/>
        </w:rPr>
        <w:t>otHierarchies (PivotTable OLAP</w:t>
      </w:r>
      <w:r>
        <w:rPr>
          <w:color w:val="4F81BC"/>
          <w:spacing w:val="1"/>
        </w:rPr>
        <w:t> </w:t>
      </w:r>
      <w:r>
        <w:rPr>
          <w:color w:val="4F81BC"/>
        </w:rPr>
        <w:t>Hierarchies)</w:t>
      </w:r>
    </w:p>
    <w:p>
      <w:pPr>
        <w:pStyle w:val="BodyText"/>
        <w:spacing w:line="453" w:lineRule="auto" w:before="121"/>
        <w:ind w:left="220" w:right="3538"/>
      </w:pPr>
      <w:r>
        <w:rPr/>
        <w:t>Represents the collection of OLAP hierarchies associated with the PivotTable. [</w:t>
      </w:r>
      <w:r>
        <w:rPr>
          <w:i/>
        </w:rPr>
        <w:t>Example</w:t>
      </w:r>
      <w:r>
        <w:rPr/>
        <w:t>:</w:t>
      </w:r>
    </w:p>
    <w:p>
      <w:pPr>
        <w:pStyle w:val="BodyText"/>
        <w:spacing w:before="3"/>
        <w:ind w:left="508"/>
        <w:rPr>
          <w:rFonts w:ascii="Consolas"/>
        </w:rPr>
      </w:pPr>
      <w:r>
        <w:rPr>
          <w:rFonts w:ascii="Consolas"/>
        </w:rPr>
        <w:t>&lt;sh:pivotHierarchies count="3"&gt;</w:t>
      </w:r>
    </w:p>
    <w:p>
      <w:pPr>
        <w:pStyle w:val="BodyText"/>
        <w:spacing w:before="38"/>
        <w:ind w:left="750"/>
        <w:rPr>
          <w:rFonts w:ascii="Consolas"/>
        </w:rPr>
      </w:pPr>
      <w:r>
        <w:rPr>
          <w:rFonts w:ascii="Consolas"/>
        </w:rPr>
        <w:t>&lt;sh:pivotHierarchy dragToRow="0" dragToCol="0" dragToPage="0"</w:t>
      </w:r>
      <w:r>
        <w:rPr>
          <w:rFonts w:ascii="Consolas"/>
          <w:spacing w:val="-56"/>
        </w:rPr>
        <w:t> </w:t>
      </w:r>
      <w:r>
        <w:rPr>
          <w:rFonts w:ascii="Consolas"/>
        </w:rPr>
        <w:t>dragToData="1"/&gt;</w:t>
      </w:r>
    </w:p>
    <w:p>
      <w:pPr>
        <w:pStyle w:val="BodyText"/>
        <w:spacing w:before="40"/>
        <w:ind w:left="750"/>
        <w:rPr>
          <w:rFonts w:ascii="Consolas"/>
        </w:rPr>
      </w:pPr>
      <w:r>
        <w:rPr>
          <w:rFonts w:ascii="Consolas"/>
        </w:rPr>
        <w:t>&lt;sh:pivotHierarchy dragToRow="0" dragToCol="0" dragToPage="0"</w:t>
      </w:r>
      <w:r>
        <w:rPr>
          <w:rFonts w:ascii="Consolas"/>
          <w:spacing w:val="-49"/>
        </w:rPr>
        <w:t> </w:t>
      </w:r>
      <w:r>
        <w:rPr>
          <w:rFonts w:ascii="Consolas"/>
        </w:rPr>
        <w:t>dragToData="1"/&gt;</w:t>
      </w:r>
    </w:p>
    <w:p>
      <w:pPr>
        <w:pStyle w:val="BodyText"/>
        <w:spacing w:before="37"/>
        <w:ind w:left="750"/>
        <w:rPr>
          <w:rFonts w:ascii="Consolas"/>
        </w:rPr>
      </w:pPr>
      <w:r>
        <w:rPr>
          <w:rFonts w:ascii="Consolas"/>
        </w:rPr>
        <w:t>&lt;sh:pivotHierarchy dragToRow="0" dragToCol="0" dragToPage="0"</w:t>
      </w:r>
      <w:r>
        <w:rPr>
          <w:rFonts w:ascii="Consolas"/>
          <w:spacing w:val="-56"/>
        </w:rPr>
        <w:t> </w:t>
      </w:r>
      <w:r>
        <w:rPr>
          <w:rFonts w:ascii="Consolas"/>
        </w:rPr>
        <w:t>dragToData="1"/&gt;</w:t>
      </w:r>
    </w:p>
    <w:p>
      <w:pPr>
        <w:pStyle w:val="BodyText"/>
        <w:spacing w:before="40"/>
        <w:ind w:left="750"/>
        <w:rPr>
          <w:rFonts w:ascii="Consolas"/>
        </w:rPr>
      </w:pPr>
      <w:r>
        <w:rPr>
          <w:rFonts w:ascii="Consolas"/>
        </w:rPr>
        <w:t>&lt;sh:pivotHierarchy dragToRow="0" dragToCol="0" dragToPage="0"</w:t>
      </w:r>
      <w:r>
        <w:rPr>
          <w:rFonts w:ascii="Consolas"/>
          <w:spacing w:val="-56"/>
        </w:rPr>
        <w:t> </w:t>
      </w:r>
      <w:r>
        <w:rPr>
          <w:rFonts w:ascii="Consolas"/>
        </w:rPr>
        <w:t>dragToData="1"/&gt;</w:t>
      </w:r>
    </w:p>
    <w:p>
      <w:pPr>
        <w:pStyle w:val="BodyText"/>
        <w:spacing w:before="38"/>
        <w:ind w:left="508"/>
        <w:rPr>
          <w:rFonts w:ascii="Consolas"/>
        </w:rPr>
      </w:pPr>
      <w:r>
        <w:rPr>
          <w:rFonts w:ascii="Consolas"/>
        </w:rPr>
        <w:t>&lt;/sh:pivotHierarchies&gt;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398"/>
              <w:rPr>
                <w:sz w:val="22"/>
              </w:rPr>
            </w:pPr>
            <w:r>
              <w:rPr>
                <w:rFonts w:ascii="Cambria"/>
                <w:sz w:val="22"/>
              </w:rPr>
              <w:t>count </w:t>
            </w:r>
            <w:r>
              <w:rPr>
                <w:sz w:val="22"/>
              </w:rPr>
              <w:t>(OLAP Hierarchy Count)</w:t>
            </w:r>
          </w:p>
        </w:tc>
        <w:tc>
          <w:tcPr>
            <w:tcW w:w="8250" w:type="dxa"/>
          </w:tcPr>
          <w:p>
            <w:pPr>
              <w:pStyle w:val="TableParagraph"/>
              <w:rPr>
                <w:sz w:val="22"/>
              </w:rPr>
            </w:pPr>
            <w:r>
              <w:rPr>
                <w:sz w:val="22"/>
              </w:rPr>
              <w:t>Specifies the number of OLAP hierarchies in the collection.</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CT_PivotHierarchies</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3"/>
        <w:numPr>
          <w:ilvl w:val="3"/>
          <w:numId w:val="42"/>
        </w:numPr>
        <w:tabs>
          <w:tab w:pos="1732" w:val="left" w:leader="none"/>
          <w:tab w:pos="1733" w:val="left" w:leader="none"/>
        </w:tabs>
        <w:spacing w:line="240" w:lineRule="auto" w:before="93" w:after="0"/>
        <w:ind w:left="1732" w:right="0" w:hanging="1513"/>
        <w:jc w:val="left"/>
      </w:pPr>
      <w:bookmarkStart w:name="18.10.1.72 pivotHierarchy (OLAP Hierarch" w:id="965"/>
      <w:bookmarkEnd w:id="965"/>
      <w:r>
        <w:rPr/>
      </w:r>
      <w:bookmarkStart w:name="_bookmark320" w:id="966"/>
      <w:bookmarkEnd w:id="966"/>
      <w:r>
        <w:rPr/>
      </w:r>
      <w:bookmarkStart w:name="_bookmark320" w:id="967"/>
      <w:bookmarkEnd w:id="967"/>
      <w:r>
        <w:rPr>
          <w:color w:val="4F81BC"/>
        </w:rPr>
        <w:t>piv</w:t>
      </w:r>
      <w:r>
        <w:rPr>
          <w:color w:val="4F81BC"/>
        </w:rPr>
        <w:t>otHierarchy (OLAP</w:t>
      </w:r>
      <w:r>
        <w:rPr>
          <w:color w:val="4F81BC"/>
          <w:spacing w:val="1"/>
        </w:rPr>
        <w:t> </w:t>
      </w:r>
      <w:r>
        <w:rPr>
          <w:color w:val="4F81BC"/>
        </w:rPr>
        <w:t>Hierarchy)</w:t>
      </w:r>
    </w:p>
    <w:p>
      <w:pPr>
        <w:pStyle w:val="BodyText"/>
        <w:spacing w:line="278" w:lineRule="auto" w:before="119"/>
        <w:ind w:left="220" w:right="494"/>
      </w:pPr>
      <w:r>
        <w:rPr/>
        <w:t>Represents a OLAP hierarchy associated with the PivotTable. A hierarchy is a hierarchical representation of related OLAP dimensions. Hierarchies are defined on the OLAP server and cannot be changed in the PivotTable. [</w:t>
      </w:r>
      <w:r>
        <w:rPr>
          <w:i/>
        </w:rPr>
        <w:t>Example</w:t>
      </w:r>
      <w:r>
        <w:rPr/>
        <w:t>: Hierarchy "A" might be defined as follows:</w:t>
      </w:r>
    </w:p>
    <w:p>
      <w:pPr>
        <w:pStyle w:val="BodyText"/>
        <w:tabs>
          <w:tab w:pos="1660" w:val="left" w:leader="none"/>
        </w:tabs>
        <w:spacing w:before="196"/>
        <w:ind w:left="220"/>
      </w:pPr>
      <w:r>
        <w:rPr/>
        <w:t>Level</w:t>
      </w:r>
      <w:r>
        <w:rPr>
          <w:spacing w:val="-2"/>
        </w:rPr>
        <w:t> </w:t>
      </w:r>
      <w:r>
        <w:rPr/>
        <w:t>1</w:t>
        <w:tab/>
        <w:t>Country/Region</w:t>
      </w:r>
    </w:p>
    <w:p>
      <w:pPr>
        <w:pStyle w:val="BodyText"/>
        <w:spacing w:before="8"/>
        <w:rPr>
          <w:sz w:val="19"/>
        </w:rPr>
      </w:pPr>
    </w:p>
    <w:p>
      <w:pPr>
        <w:pStyle w:val="BodyText"/>
        <w:tabs>
          <w:tab w:pos="2380" w:val="left" w:leader="none"/>
        </w:tabs>
        <w:spacing w:before="1"/>
        <w:ind w:left="220"/>
      </w:pPr>
      <w:r>
        <w:rPr/>
        <w:t>Level</w:t>
      </w:r>
      <w:r>
        <w:rPr>
          <w:spacing w:val="-2"/>
        </w:rPr>
        <w:t> </w:t>
      </w:r>
      <w:r>
        <w:rPr/>
        <w:t>2</w:t>
        <w:tab/>
        <w:t>State\Provence</w:t>
      </w:r>
    </w:p>
    <w:p>
      <w:pPr>
        <w:pStyle w:val="BodyText"/>
        <w:spacing w:before="8"/>
        <w:rPr>
          <w:sz w:val="19"/>
        </w:rPr>
      </w:pPr>
    </w:p>
    <w:p>
      <w:pPr>
        <w:pStyle w:val="BodyText"/>
        <w:tabs>
          <w:tab w:pos="3100" w:val="left" w:leader="none"/>
        </w:tabs>
        <w:ind w:left="220"/>
      </w:pPr>
      <w:r>
        <w:rPr/>
        <w:t>Level</w:t>
      </w:r>
      <w:r>
        <w:rPr>
          <w:spacing w:val="-2"/>
        </w:rPr>
        <w:t> </w:t>
      </w:r>
      <w:r>
        <w:rPr/>
        <w:t>3</w:t>
        <w:tab/>
        <w:t>City</w:t>
      </w:r>
    </w:p>
    <w:p>
      <w:pPr>
        <w:pStyle w:val="BodyText"/>
        <w:spacing w:before="8"/>
        <w:rPr>
          <w:sz w:val="19"/>
        </w:rPr>
      </w:pPr>
    </w:p>
    <w:p>
      <w:pPr>
        <w:spacing w:line="453" w:lineRule="auto" w:before="0"/>
        <w:ind w:left="220" w:right="9185" w:firstLine="50"/>
        <w:jc w:val="left"/>
        <w:rPr>
          <w:sz w:val="22"/>
        </w:rPr>
      </w:pPr>
      <w:r>
        <w:rPr>
          <w:i/>
          <w:sz w:val="22"/>
        </w:rPr>
        <w:t>end example</w:t>
      </w:r>
      <w:r>
        <w:rPr>
          <w:sz w:val="22"/>
        </w:rPr>
        <w:t>] [</w:t>
      </w:r>
      <w:r>
        <w:rPr>
          <w:i/>
          <w:sz w:val="22"/>
        </w:rPr>
        <w:t>Example</w:t>
      </w:r>
      <w:r>
        <w:rPr>
          <w:sz w:val="22"/>
        </w:rPr>
        <w:t>:</w:t>
      </w:r>
    </w:p>
    <w:p>
      <w:pPr>
        <w:pStyle w:val="BodyText"/>
        <w:spacing w:before="3"/>
        <w:ind w:left="508"/>
        <w:rPr>
          <w:rFonts w:ascii="Consolas"/>
        </w:rPr>
      </w:pPr>
      <w:r>
        <w:rPr>
          <w:rFonts w:ascii="Consolas"/>
        </w:rPr>
        <w:t>&lt;sh:pivotHierarchy dragToRow="0" dragToCol="0" dragToPage="0" dragToData="1"/&gt;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35"/>
              <w:rPr>
                <w:sz w:val="22"/>
              </w:rPr>
            </w:pPr>
            <w:r>
              <w:rPr>
                <w:rFonts w:ascii="Cambria"/>
                <w:sz w:val="22"/>
              </w:rPr>
              <w:t>caption </w:t>
            </w:r>
            <w:r>
              <w:rPr>
                <w:sz w:val="22"/>
              </w:rPr>
              <w:t>(Hierarchy Caption)</w:t>
            </w:r>
          </w:p>
        </w:tc>
        <w:tc>
          <w:tcPr>
            <w:tcW w:w="8250" w:type="dxa"/>
          </w:tcPr>
          <w:p>
            <w:pPr>
              <w:pStyle w:val="TableParagraph"/>
              <w:rPr>
                <w:sz w:val="22"/>
              </w:rPr>
            </w:pPr>
            <w:r>
              <w:rPr>
                <w:sz w:val="22"/>
              </w:rPr>
              <w:t>Specifies the user defined caption of the hierarchy.</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772" w:hRule="atLeast"/>
        </w:trPr>
        <w:tc>
          <w:tcPr>
            <w:tcW w:w="2062" w:type="dxa"/>
          </w:tcPr>
          <w:p>
            <w:pPr>
              <w:pStyle w:val="TableParagraph"/>
              <w:rPr>
                <w:sz w:val="22"/>
              </w:rPr>
            </w:pPr>
            <w:r>
              <w:rPr>
                <w:rFonts w:ascii="Cambria"/>
                <w:sz w:val="22"/>
              </w:rPr>
              <w:t>dragOff </w:t>
            </w:r>
            <w:r>
              <w:rPr>
                <w:sz w:val="22"/>
              </w:rPr>
              <w:t>(Drag Off)</w:t>
            </w:r>
          </w:p>
        </w:tc>
        <w:tc>
          <w:tcPr>
            <w:tcW w:w="8250" w:type="dxa"/>
          </w:tcPr>
          <w:p>
            <w:pPr>
              <w:pStyle w:val="TableParagraph"/>
              <w:ind w:right="705"/>
              <w:rPr>
                <w:sz w:val="22"/>
              </w:rPr>
            </w:pPr>
            <w:r>
              <w:rPr>
                <w:sz w:val="22"/>
              </w:rPr>
              <w:t>Specifies a boolean value that indicates whether the user is allowed to remove this hierarchy from the PivotTable.</w:t>
            </w:r>
          </w:p>
          <w:p>
            <w:pPr>
              <w:pStyle w:val="TableParagraph"/>
              <w:spacing w:before="1"/>
              <w:ind w:left="0"/>
              <w:rPr>
                <w:sz w:val="22"/>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user can remove this hierarchy from the PivotTable.</w:t>
            </w:r>
          </w:p>
          <w:p>
            <w:pPr>
              <w:pStyle w:val="TableParagraph"/>
              <w:spacing w:before="10"/>
              <w:ind w:left="0"/>
              <w:rPr>
                <w:sz w:val="21"/>
              </w:rPr>
            </w:pPr>
          </w:p>
          <w:p>
            <w:pPr>
              <w:pStyle w:val="TableParagraph"/>
              <w:spacing w:before="0"/>
              <w:ind w:right="1097"/>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60"/>
                <w:sz w:val="20"/>
              </w:rPr>
              <w:t> </w:t>
            </w:r>
            <w:r>
              <w:rPr>
                <w:sz w:val="22"/>
              </w:rPr>
              <w:t>indicates the user cannot remove the hierarchy from the PivotTable.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ind w:right="131"/>
              <w:rPr>
                <w:sz w:val="22"/>
              </w:rPr>
            </w:pPr>
            <w:r>
              <w:rPr>
                <w:rFonts w:ascii="Cambria"/>
                <w:sz w:val="22"/>
              </w:rPr>
              <w:t>dragToCol </w:t>
            </w:r>
            <w:r>
              <w:rPr>
                <w:sz w:val="22"/>
              </w:rPr>
              <w:t>(Drag To Column)</w:t>
            </w:r>
          </w:p>
        </w:tc>
        <w:tc>
          <w:tcPr>
            <w:tcW w:w="8250" w:type="dxa"/>
          </w:tcPr>
          <w:p>
            <w:pPr>
              <w:pStyle w:val="TableParagraph"/>
              <w:ind w:right="195"/>
              <w:rPr>
                <w:sz w:val="22"/>
              </w:rPr>
            </w:pPr>
            <w:r>
              <w:rPr>
                <w:sz w:val="22"/>
              </w:rPr>
              <w:t>Specifies a boolean value that indicates whether the user is allowed to put this hierarchy into the column area of the PivotTable.</w:t>
            </w:r>
          </w:p>
          <w:p>
            <w:pPr>
              <w:pStyle w:val="TableParagraph"/>
              <w:spacing w:before="0"/>
              <w:ind w:left="0"/>
              <w:rPr>
                <w:sz w:val="22"/>
              </w:rPr>
            </w:pPr>
          </w:p>
          <w:p>
            <w:pPr>
              <w:pStyle w:val="TableParagraph"/>
              <w:spacing w:before="0"/>
              <w:ind w:right="205"/>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user can put this hierarchy into the column area of the PivotTable.</w:t>
            </w:r>
          </w:p>
          <w:p>
            <w:pPr>
              <w:pStyle w:val="TableParagraph"/>
              <w:spacing w:before="11"/>
              <w:ind w:left="0"/>
              <w:rPr>
                <w:sz w:val="21"/>
              </w:rPr>
            </w:pP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user cannot remove this hierarchy.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ind w:right="269"/>
              <w:rPr>
                <w:sz w:val="22"/>
              </w:rPr>
            </w:pPr>
            <w:r>
              <w:rPr>
                <w:rFonts w:ascii="Cambria"/>
                <w:sz w:val="22"/>
              </w:rPr>
              <w:t>dragToData </w:t>
            </w:r>
            <w:r>
              <w:rPr>
                <w:sz w:val="22"/>
              </w:rPr>
              <w:t>(Drag To Data)</w:t>
            </w:r>
          </w:p>
        </w:tc>
        <w:tc>
          <w:tcPr>
            <w:tcW w:w="8250" w:type="dxa"/>
          </w:tcPr>
          <w:p>
            <w:pPr>
              <w:pStyle w:val="TableParagraph"/>
              <w:ind w:right="195"/>
              <w:rPr>
                <w:sz w:val="22"/>
              </w:rPr>
            </w:pPr>
            <w:r>
              <w:rPr>
                <w:sz w:val="22"/>
              </w:rPr>
              <w:t>Specifies a boolean value that indicates whether the user is allowed to put this hierarchy into the data area of the view.</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line="480" w:lineRule="auto" w:before="0"/>
              <w:ind w:right="537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 value of </w:t>
            </w:r>
            <w:r>
              <w:rPr>
                <w:rFonts w:ascii="Consolas"/>
                <w:sz w:val="20"/>
              </w:rPr>
              <w:t>0</w:t>
            </w:r>
            <w:r>
              <w:rPr>
                <w:rFonts w:ascii="Consolas"/>
                <w:spacing w:val="-57"/>
                <w:sz w:val="20"/>
              </w:rPr>
              <w:t> </w:t>
            </w:r>
            <w:r>
              <w:rPr>
                <w:sz w:val="22"/>
              </w:rPr>
              <w:t>or </w:t>
            </w:r>
            <w:r>
              <w:rPr>
                <w:rFonts w:ascii="Consolas"/>
                <w:sz w:val="20"/>
              </w:rPr>
              <w:t>false</w:t>
            </w:r>
            <w:r>
              <w:rPr>
                <w:rFonts w:ascii="Consolas"/>
                <w:spacing w:val="-56"/>
                <w:sz w:val="20"/>
              </w:rPr>
              <w:t> </w:t>
            </w:r>
            <w:r>
              <w:rPr>
                <w:spacing w:val="-3"/>
                <w:sz w:val="22"/>
              </w:rPr>
              <w:t>indicates</w:t>
            </w: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72" w:hRule="atLeast"/>
        </w:trPr>
        <w:tc>
          <w:tcPr>
            <w:tcW w:w="2062" w:type="dxa"/>
          </w:tcPr>
          <w:p>
            <w:pPr>
              <w:pStyle w:val="TableParagraph"/>
              <w:ind w:right="256"/>
              <w:rPr>
                <w:sz w:val="22"/>
              </w:rPr>
            </w:pPr>
            <w:r>
              <w:rPr>
                <w:rFonts w:ascii="Cambria"/>
                <w:sz w:val="22"/>
              </w:rPr>
              <w:t>dragToPage </w:t>
            </w:r>
            <w:r>
              <w:rPr>
                <w:sz w:val="22"/>
              </w:rPr>
              <w:t>(Drag to Page)</w:t>
            </w:r>
          </w:p>
        </w:tc>
        <w:tc>
          <w:tcPr>
            <w:tcW w:w="8250" w:type="dxa"/>
          </w:tcPr>
          <w:p>
            <w:pPr>
              <w:pStyle w:val="TableParagraph"/>
              <w:ind w:right="195"/>
              <w:rPr>
                <w:sz w:val="22"/>
              </w:rPr>
            </w:pPr>
            <w:r>
              <w:rPr>
                <w:sz w:val="22"/>
              </w:rPr>
              <w:t>Specifies a boolean value that indicates whether the user is allowed to put this hierarchy into the page area of the PivotTable.</w:t>
            </w:r>
          </w:p>
          <w:p>
            <w:pPr>
              <w:pStyle w:val="TableParagraph"/>
              <w:spacing w:before="4"/>
              <w:ind w:left="0"/>
              <w:rPr>
                <w:rFonts w:ascii="Times New Roman"/>
                <w:sz w:val="23"/>
              </w:rPr>
            </w:pPr>
          </w:p>
          <w:p>
            <w:pPr>
              <w:pStyle w:val="TableParagraph"/>
              <w:spacing w:before="0"/>
              <w:ind w:right="43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user can put this hierarchy into the page area of the PivotTable.</w:t>
            </w:r>
          </w:p>
          <w:p>
            <w:pPr>
              <w:pStyle w:val="TableParagraph"/>
              <w:spacing w:before="6"/>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cannot put this hierarchy into the page area.</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ind w:right="280"/>
              <w:rPr>
                <w:sz w:val="22"/>
              </w:rPr>
            </w:pPr>
            <w:r>
              <w:rPr>
                <w:rFonts w:ascii="Cambria"/>
                <w:sz w:val="22"/>
              </w:rPr>
              <w:t>dragToRow </w:t>
            </w:r>
            <w:r>
              <w:rPr>
                <w:sz w:val="22"/>
              </w:rPr>
              <w:t>(Drag To Row)</w:t>
            </w:r>
          </w:p>
        </w:tc>
        <w:tc>
          <w:tcPr>
            <w:tcW w:w="8250" w:type="dxa"/>
          </w:tcPr>
          <w:p>
            <w:pPr>
              <w:pStyle w:val="TableParagraph"/>
              <w:ind w:right="195"/>
              <w:rPr>
                <w:sz w:val="22"/>
              </w:rPr>
            </w:pPr>
            <w:r>
              <w:rPr>
                <w:sz w:val="22"/>
              </w:rPr>
              <w:t>Specifies a boolean value that indicates whether the user is allowed to put this hierarchy into the row area of the PivotTable.</w:t>
            </w:r>
          </w:p>
          <w:p>
            <w:pPr>
              <w:pStyle w:val="TableParagraph"/>
              <w:spacing w:before="4"/>
              <w:ind w:left="0"/>
              <w:rPr>
                <w:rFonts w:ascii="Times New Roman"/>
                <w:sz w:val="23"/>
              </w:rPr>
            </w:pPr>
          </w:p>
          <w:p>
            <w:pPr>
              <w:pStyle w:val="TableParagraph"/>
              <w:spacing w:before="0"/>
              <w:ind w:right="52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user can put this hierarchy into the row area of the PivotTable.</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cannot put this hierarchy into the row area.</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spacing w:line="237" w:lineRule="auto" w:before="45"/>
              <w:ind w:right="196"/>
              <w:rPr>
                <w:sz w:val="22"/>
              </w:rPr>
            </w:pPr>
            <w:r>
              <w:rPr>
                <w:rFonts w:ascii="Cambria"/>
                <w:sz w:val="22"/>
              </w:rPr>
              <w:t>includeNewItemsI nFilter </w:t>
            </w:r>
            <w:r>
              <w:rPr>
                <w:sz w:val="22"/>
              </w:rPr>
              <w:t>(Inclusive Manual Filter)</w:t>
            </w:r>
          </w:p>
        </w:tc>
        <w:tc>
          <w:tcPr>
            <w:tcW w:w="8250" w:type="dxa"/>
          </w:tcPr>
          <w:p>
            <w:pPr>
              <w:pStyle w:val="TableParagraph"/>
              <w:rPr>
                <w:sz w:val="22"/>
              </w:rPr>
            </w:pPr>
            <w:r>
              <w:rPr>
                <w:sz w:val="22"/>
              </w:rPr>
              <w:t>Specifies a boolean value that indicates whether the application will show only the items the user has selected.</w:t>
            </w:r>
          </w:p>
          <w:p>
            <w:pPr>
              <w:pStyle w:val="TableParagraph"/>
              <w:spacing w:before="4"/>
              <w:ind w:left="0"/>
              <w:rPr>
                <w:rFonts w:ascii="Times New Roman"/>
                <w:sz w:val="23"/>
              </w:rPr>
            </w:pPr>
          </w:p>
          <w:p>
            <w:pPr>
              <w:pStyle w:val="TableParagraph"/>
              <w:spacing w:before="0"/>
              <w:ind w:right="226"/>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application will show only items the user has selected; all other items are hidden.</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application will show all items.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965" w:hRule="atLeast"/>
        </w:trPr>
        <w:tc>
          <w:tcPr>
            <w:tcW w:w="2062" w:type="dxa"/>
          </w:tcPr>
          <w:p>
            <w:pPr>
              <w:pStyle w:val="TableParagraph"/>
              <w:spacing w:before="43"/>
              <w:ind w:right="136"/>
              <w:rPr>
                <w:sz w:val="22"/>
              </w:rPr>
            </w:pPr>
            <w:r>
              <w:rPr>
                <w:rFonts w:ascii="Cambria"/>
                <w:sz w:val="22"/>
              </w:rPr>
              <w:t>multipleItemSelect ionAllowed </w:t>
            </w:r>
            <w:r>
              <w:rPr>
                <w:sz w:val="22"/>
              </w:rPr>
              <w:t>(Multiple Field Filters)</w:t>
            </w:r>
          </w:p>
        </w:tc>
        <w:tc>
          <w:tcPr>
            <w:tcW w:w="8250" w:type="dxa"/>
          </w:tcPr>
          <w:p>
            <w:pPr>
              <w:pStyle w:val="TableParagraph"/>
              <w:ind w:right="372"/>
              <w:rPr>
                <w:sz w:val="22"/>
              </w:rPr>
            </w:pPr>
            <w:r>
              <w:rPr>
                <w:sz w:val="22"/>
              </w:rPr>
              <w:t>Specifies a boolean value that indicates whether the user can select multiple members when the hierarchy is in the page field area of the view.</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user can select multiple members.</w:t>
            </w:r>
          </w:p>
          <w:p>
            <w:pPr>
              <w:pStyle w:val="TableParagraph"/>
              <w:spacing w:before="4"/>
              <w:ind w:left="0"/>
              <w:rPr>
                <w:rFonts w:ascii="Times New Roman"/>
                <w:sz w:val="23"/>
              </w:rPr>
            </w:pP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user cannot select multiple members.</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2" w:hRule="atLeast"/>
        </w:trPr>
        <w:tc>
          <w:tcPr>
            <w:tcW w:w="2062" w:type="dxa"/>
          </w:tcPr>
          <w:p>
            <w:pPr>
              <w:pStyle w:val="TableParagraph"/>
              <w:ind w:right="477"/>
              <w:rPr>
                <w:sz w:val="22"/>
              </w:rPr>
            </w:pPr>
            <w:r>
              <w:rPr>
                <w:rFonts w:ascii="Cambria"/>
                <w:sz w:val="22"/>
              </w:rPr>
              <w:t>outline </w:t>
            </w:r>
            <w:r>
              <w:rPr>
                <w:sz w:val="22"/>
              </w:rPr>
              <w:t>(Outline New Levels)</w:t>
            </w:r>
          </w:p>
        </w:tc>
        <w:tc>
          <w:tcPr>
            <w:tcW w:w="8250" w:type="dxa"/>
          </w:tcPr>
          <w:p>
            <w:pPr>
              <w:pStyle w:val="TableParagraph"/>
              <w:ind w:right="265"/>
              <w:rPr>
                <w:sz w:val="22"/>
              </w:rPr>
            </w:pPr>
            <w:r>
              <w:rPr>
                <w:sz w:val="22"/>
              </w:rPr>
              <w:t>Specifies a boolean value that indicates whether new levels added to the PivotTable are shown in Outline mode.</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new levels are shown in Outline mode.</w:t>
            </w:r>
          </w:p>
          <w:p>
            <w:pPr>
              <w:pStyle w:val="TableParagraph"/>
              <w:spacing w:before="4"/>
              <w:ind w:left="0"/>
              <w:rPr>
                <w:rFonts w:ascii="Times New Roman"/>
                <w:sz w:val="23"/>
              </w:rPr>
            </w:pP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new items are not shown in Outline mode.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line="256" w:lineRule="exact" w:before="42"/>
              <w:rPr>
                <w:rFonts w:ascii="Cambria"/>
                <w:sz w:val="22"/>
              </w:rPr>
            </w:pPr>
            <w:r>
              <w:rPr>
                <w:rFonts w:ascii="Cambria"/>
                <w:sz w:val="22"/>
              </w:rPr>
              <w:t>showInFieldList</w:t>
            </w:r>
          </w:p>
          <w:p>
            <w:pPr>
              <w:pStyle w:val="TableParagraph"/>
              <w:spacing w:line="267" w:lineRule="exact" w:before="0"/>
              <w:rPr>
                <w:sz w:val="22"/>
              </w:rPr>
            </w:pPr>
            <w:r>
              <w:rPr>
                <w:sz w:val="22"/>
              </w:rPr>
              <w:t>(Show In Field List)</w:t>
            </w:r>
          </w:p>
        </w:tc>
        <w:tc>
          <w:tcPr>
            <w:tcW w:w="8250" w:type="dxa"/>
          </w:tcPr>
          <w:p>
            <w:pPr>
              <w:pStyle w:val="TableParagraph"/>
              <w:ind w:right="242"/>
              <w:jc w:val="both"/>
              <w:rPr>
                <w:sz w:val="22"/>
              </w:rPr>
            </w:pPr>
            <w:r>
              <w:rPr>
                <w:sz w:val="22"/>
              </w:rPr>
              <w:t>Specifies a boolean value that indicates whether this hierarchy is omitted from the field list. This attribute depends on how the application exposes a list of fields for PivotTables in the user</w:t>
            </w:r>
            <w:r>
              <w:rPr>
                <w:spacing w:val="-4"/>
                <w:sz w:val="22"/>
              </w:rPr>
              <w:t> </w:t>
            </w:r>
            <w:r>
              <w:rPr>
                <w:sz w:val="22"/>
              </w:rPr>
              <w:t>interface.</w:t>
            </w:r>
          </w:p>
          <w:p>
            <w:pPr>
              <w:pStyle w:val="TableParagraph"/>
              <w:spacing w:before="3"/>
              <w:ind w:left="0"/>
              <w:rPr>
                <w:rFonts w:ascii="Times New Roman"/>
                <w:sz w:val="23"/>
              </w:rPr>
            </w:pPr>
          </w:p>
          <w:p>
            <w:pPr>
              <w:pStyle w:val="TableParagraph"/>
              <w:spacing w:before="0"/>
              <w:ind w:right="228"/>
              <w:jc w:val="both"/>
              <w:rPr>
                <w:sz w:val="22"/>
              </w:rPr>
            </w:pPr>
            <w:r>
              <w:rPr>
                <w:sz w:val="22"/>
              </w:rPr>
              <w:t>A</w:t>
            </w:r>
            <w:r>
              <w:rPr>
                <w:spacing w:val="-1"/>
                <w:sz w:val="22"/>
              </w:rPr>
              <w:t> </w:t>
            </w:r>
            <w:r>
              <w:rPr>
                <w:sz w:val="22"/>
              </w:rPr>
              <w:t>value</w:t>
            </w:r>
            <w:r>
              <w:rPr>
                <w:spacing w:val="-3"/>
                <w:sz w:val="22"/>
              </w:rPr>
              <w:t> </w:t>
            </w:r>
            <w:r>
              <w:rPr>
                <w:sz w:val="22"/>
              </w:rPr>
              <w:t>of</w:t>
            </w:r>
            <w:r>
              <w:rPr>
                <w:spacing w:val="-1"/>
                <w:sz w:val="22"/>
              </w:rPr>
              <w:t> </w:t>
            </w:r>
            <w:r>
              <w:rPr>
                <w:rFonts w:ascii="Consolas"/>
                <w:sz w:val="20"/>
              </w:rPr>
              <w:t>1</w:t>
            </w:r>
            <w:r>
              <w:rPr>
                <w:rFonts w:ascii="Consolas"/>
                <w:spacing w:val="-60"/>
                <w:sz w:val="20"/>
              </w:rPr>
              <w:t> </w:t>
            </w:r>
            <w:r>
              <w:rPr>
                <w:sz w:val="22"/>
              </w:rPr>
              <w:t>or</w:t>
            </w:r>
            <w:r>
              <w:rPr>
                <w:spacing w:val="-2"/>
                <w:sz w:val="22"/>
              </w:rPr>
              <w:t> </w:t>
            </w:r>
            <w:r>
              <w:rPr>
                <w:rFonts w:ascii="Consolas"/>
                <w:sz w:val="20"/>
              </w:rPr>
              <w:t>true</w:t>
            </w:r>
            <w:r>
              <w:rPr>
                <w:rFonts w:ascii="Consolas"/>
                <w:spacing w:val="-63"/>
                <w:sz w:val="20"/>
              </w:rPr>
              <w:t> </w:t>
            </w:r>
            <w:r>
              <w:rPr>
                <w:sz w:val="22"/>
              </w:rPr>
              <w:t>indicates this</w:t>
            </w:r>
            <w:r>
              <w:rPr>
                <w:spacing w:val="-1"/>
                <w:sz w:val="22"/>
              </w:rPr>
              <w:t> </w:t>
            </w:r>
            <w:r>
              <w:rPr>
                <w:sz w:val="22"/>
              </w:rPr>
              <w:t>hierarchy</w:t>
            </w:r>
            <w:r>
              <w:rPr>
                <w:spacing w:val="-2"/>
                <w:sz w:val="22"/>
              </w:rPr>
              <w:t> </w:t>
            </w:r>
            <w:r>
              <w:rPr>
                <w:sz w:val="22"/>
              </w:rPr>
              <w:t>is</w:t>
            </w:r>
            <w:r>
              <w:rPr>
                <w:spacing w:val="-1"/>
                <w:sz w:val="22"/>
              </w:rPr>
              <w:t> </w:t>
            </w:r>
            <w:r>
              <w:rPr>
                <w:sz w:val="22"/>
              </w:rPr>
              <w:t>show</w:t>
            </w:r>
            <w:r>
              <w:rPr>
                <w:spacing w:val="1"/>
                <w:sz w:val="22"/>
              </w:rPr>
              <w:t> </w:t>
            </w:r>
            <w:r>
              <w:rPr>
                <w:sz w:val="22"/>
              </w:rPr>
              <w:t>in</w:t>
            </w:r>
            <w:r>
              <w:rPr>
                <w:spacing w:val="-4"/>
                <w:sz w:val="22"/>
              </w:rPr>
              <w:t> </w:t>
            </w:r>
            <w:r>
              <w:rPr>
                <w:sz w:val="22"/>
              </w:rPr>
              <w:t>the</w:t>
            </w:r>
            <w:r>
              <w:rPr>
                <w:spacing w:val="-1"/>
                <w:sz w:val="22"/>
              </w:rPr>
              <w:t> </w:t>
            </w:r>
            <w:r>
              <w:rPr>
                <w:sz w:val="22"/>
              </w:rPr>
              <w:t>field list</w:t>
            </w:r>
            <w:r>
              <w:rPr>
                <w:spacing w:val="-3"/>
                <w:sz w:val="22"/>
              </w:rPr>
              <w:t> </w:t>
            </w:r>
            <w:r>
              <w:rPr>
                <w:sz w:val="22"/>
              </w:rPr>
              <w:t>or similar</w:t>
            </w:r>
            <w:r>
              <w:rPr>
                <w:spacing w:val="-4"/>
                <w:sz w:val="22"/>
              </w:rPr>
              <w:t> </w:t>
            </w:r>
            <w:r>
              <w:rPr>
                <w:sz w:val="22"/>
              </w:rPr>
              <w:t>mechanism in the user</w:t>
            </w:r>
            <w:r>
              <w:rPr>
                <w:spacing w:val="-4"/>
                <w:sz w:val="22"/>
              </w:rPr>
              <w:t> </w:t>
            </w:r>
            <w:r>
              <w:rPr>
                <w:sz w:val="22"/>
              </w:rPr>
              <w:t>interface.</w:t>
            </w:r>
          </w:p>
          <w:p>
            <w:pPr>
              <w:pStyle w:val="TableParagraph"/>
              <w:spacing w:before="5"/>
              <w:ind w:left="0"/>
              <w:rPr>
                <w:rFonts w:ascii="Times New Roman"/>
                <w:sz w:val="23"/>
              </w:rPr>
            </w:pPr>
          </w:p>
          <w:p>
            <w:pPr>
              <w:pStyle w:val="TableParagraph"/>
              <w:spacing w:before="0"/>
              <w:jc w:val="both"/>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is not shown in the field list.</w:t>
            </w:r>
          </w:p>
          <w:p>
            <w:pPr>
              <w:pStyle w:val="TableParagraph"/>
              <w:spacing w:before="4"/>
              <w:ind w:left="0"/>
              <w:rPr>
                <w:rFonts w:ascii="Times New Roman"/>
                <w:sz w:val="23"/>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040" w:hRule="atLeast"/>
        </w:trPr>
        <w:tc>
          <w:tcPr>
            <w:tcW w:w="2062" w:type="dxa"/>
          </w:tcPr>
          <w:p>
            <w:pPr>
              <w:pStyle w:val="TableParagraph"/>
              <w:ind w:right="248"/>
              <w:jc w:val="both"/>
              <w:rPr>
                <w:sz w:val="22"/>
              </w:rPr>
            </w:pPr>
            <w:r>
              <w:rPr>
                <w:rFonts w:ascii="Cambria"/>
                <w:sz w:val="22"/>
              </w:rPr>
              <w:t>subtotalTop </w:t>
            </w:r>
            <w:r>
              <w:rPr>
                <w:sz w:val="22"/>
              </w:rPr>
              <w:t>(New Levels Subtotals At Top)</w:t>
            </w:r>
          </w:p>
        </w:tc>
        <w:tc>
          <w:tcPr>
            <w:tcW w:w="8250" w:type="dxa"/>
          </w:tcPr>
          <w:p>
            <w:pPr>
              <w:pStyle w:val="TableParagraph"/>
              <w:ind w:right="247"/>
              <w:rPr>
                <w:sz w:val="22"/>
              </w:rPr>
            </w:pPr>
            <w:r>
              <w:rPr>
                <w:sz w:val="22"/>
              </w:rPr>
              <w:t>Specifies a boolean value that indicates whether new levels added to the view will show their subtotals at the top.</w:t>
            </w:r>
          </w:p>
          <w:p>
            <w:pPr>
              <w:pStyle w:val="TableParagraph"/>
              <w:spacing w:before="2"/>
              <w:ind w:left="0"/>
              <w:rPr>
                <w:rFonts w:ascii="Times New Roman"/>
                <w:sz w:val="23"/>
              </w:rPr>
            </w:pPr>
          </w:p>
          <w:p>
            <w:pPr>
              <w:pStyle w:val="TableParagraph"/>
              <w:spacing w:before="0"/>
              <w:ind w:right="37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new levels added to the view show their subtotals at the top.</w:t>
            </w:r>
          </w:p>
          <w:p>
            <w:pPr>
              <w:pStyle w:val="TableParagraph"/>
              <w:spacing w:before="5"/>
              <w:ind w:left="0"/>
              <w:rPr>
                <w:rFonts w:ascii="Times New Roman"/>
                <w:sz w:val="23"/>
              </w:rPr>
            </w:pPr>
          </w:p>
          <w:p>
            <w:pPr>
              <w:pStyle w:val="TableParagraph"/>
              <w:spacing w:before="0"/>
              <w:ind w:right="259"/>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new levels added to the view show their subtotals at the bottom.</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CT_PivotHierarchy</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73 pivotTableDefinition (PivotTa" w:id="968"/>
      <w:bookmarkEnd w:id="968"/>
      <w:r>
        <w:rPr/>
      </w:r>
      <w:bookmarkStart w:name="_bookmark321" w:id="969"/>
      <w:bookmarkEnd w:id="969"/>
      <w:r>
        <w:rPr/>
      </w:r>
      <w:bookmarkStart w:name="_bookmark321" w:id="970"/>
      <w:bookmarkEnd w:id="970"/>
      <w:r>
        <w:rPr>
          <w:color w:val="4F81BC"/>
        </w:rPr>
        <w:t>piv</w:t>
      </w:r>
      <w:r>
        <w:rPr>
          <w:color w:val="4F81BC"/>
        </w:rPr>
        <w:t>otTableDefinition (PivotTable</w:t>
      </w:r>
      <w:r>
        <w:rPr>
          <w:color w:val="4F81BC"/>
          <w:spacing w:val="1"/>
        </w:rPr>
        <w:t> </w:t>
      </w:r>
      <w:r>
        <w:rPr>
          <w:color w:val="4F81BC"/>
        </w:rPr>
        <w:t>Definition)</w:t>
      </w:r>
    </w:p>
    <w:p>
      <w:pPr>
        <w:pStyle w:val="BodyText"/>
        <w:spacing w:line="276" w:lineRule="auto" w:before="121"/>
        <w:ind w:left="220" w:right="816"/>
      </w:pPr>
      <w:r>
        <w:rPr/>
        <w:t>Represents the PivotTable root element for non-null PivotTables. There exists one </w:t>
      </w:r>
      <w:r>
        <w:rPr>
          <w:rFonts w:ascii="Cambria"/>
        </w:rPr>
        <w:t>pivotTableDefinition </w:t>
      </w:r>
      <w:r>
        <w:rPr/>
        <w:t>for each PivotTableDefinition part. The PivotTable definition encompasses the following information:</w:t>
      </w:r>
    </w:p>
    <w:p>
      <w:pPr>
        <w:pStyle w:val="BodyText"/>
        <w:spacing w:before="6"/>
        <w:rPr>
          <w:sz w:val="16"/>
        </w:rPr>
      </w:pPr>
    </w:p>
    <w:p>
      <w:pPr>
        <w:spacing w:before="0"/>
        <w:ind w:left="220" w:right="0" w:firstLine="0"/>
        <w:jc w:val="left"/>
        <w:rPr>
          <w:i/>
          <w:sz w:val="22"/>
        </w:rPr>
      </w:pPr>
      <w:r>
        <w:rPr>
          <w:i/>
          <w:sz w:val="22"/>
        </w:rPr>
        <w:t>Structure</w:t>
      </w:r>
    </w:p>
    <w:p>
      <w:pPr>
        <w:pStyle w:val="BodyText"/>
        <w:spacing w:before="6"/>
        <w:rPr>
          <w:i/>
          <w:sz w:val="19"/>
        </w:rPr>
      </w:pPr>
    </w:p>
    <w:p>
      <w:pPr>
        <w:pStyle w:val="ListParagraph"/>
        <w:numPr>
          <w:ilvl w:val="4"/>
          <w:numId w:val="42"/>
        </w:numPr>
        <w:tabs>
          <w:tab w:pos="940" w:val="left" w:leader="none"/>
          <w:tab w:pos="941" w:val="left" w:leader="none"/>
        </w:tabs>
        <w:spacing w:line="240" w:lineRule="auto" w:before="0" w:after="0"/>
        <w:ind w:left="940" w:right="0" w:hanging="361"/>
        <w:jc w:val="left"/>
        <w:rPr>
          <w:sz w:val="22"/>
        </w:rPr>
      </w:pPr>
      <w:r>
        <w:rPr>
          <w:sz w:val="22"/>
        </w:rPr>
        <w:t>Top-level</w:t>
      </w:r>
      <w:r>
        <w:rPr>
          <w:spacing w:val="-1"/>
          <w:sz w:val="22"/>
        </w:rPr>
        <w:t> </w:t>
      </w:r>
      <w:r>
        <w:rPr>
          <w:sz w:val="22"/>
        </w:rPr>
        <w:t>attributes</w:t>
      </w:r>
    </w:p>
    <w:p>
      <w:pPr>
        <w:spacing w:after="0" w:line="240" w:lineRule="auto"/>
        <w:jc w:val="left"/>
        <w:rPr>
          <w:sz w:val="22"/>
        </w:rPr>
        <w:sectPr>
          <w:pgSz w:w="12240" w:h="15840"/>
          <w:pgMar w:header="761" w:footer="746" w:top="1340" w:bottom="940" w:left="860" w:right="700"/>
        </w:sectPr>
      </w:pPr>
    </w:p>
    <w:p>
      <w:pPr>
        <w:pStyle w:val="ListParagraph"/>
        <w:numPr>
          <w:ilvl w:val="4"/>
          <w:numId w:val="42"/>
        </w:numPr>
        <w:tabs>
          <w:tab w:pos="940" w:val="left" w:leader="none"/>
          <w:tab w:pos="941" w:val="left" w:leader="none"/>
        </w:tabs>
        <w:spacing w:line="240" w:lineRule="auto" w:before="148" w:after="0"/>
        <w:ind w:left="940" w:right="0" w:hanging="361"/>
        <w:jc w:val="left"/>
        <w:rPr>
          <w:sz w:val="22"/>
        </w:rPr>
      </w:pPr>
      <w:r>
        <w:rPr>
          <w:sz w:val="22"/>
        </w:rPr>
        <w:t>Location</w:t>
      </w:r>
      <w:r>
        <w:rPr>
          <w:spacing w:val="-1"/>
          <w:sz w:val="22"/>
        </w:rPr>
        <w:t> </w:t>
      </w:r>
      <w:r>
        <w:rPr>
          <w:sz w:val="22"/>
        </w:rPr>
        <w:t>information</w:t>
      </w:r>
    </w:p>
    <w:p>
      <w:pPr>
        <w:pStyle w:val="ListParagraph"/>
        <w:numPr>
          <w:ilvl w:val="4"/>
          <w:numId w:val="42"/>
        </w:numPr>
        <w:tabs>
          <w:tab w:pos="940" w:val="left" w:leader="none"/>
          <w:tab w:pos="941" w:val="left" w:leader="none"/>
        </w:tabs>
        <w:spacing w:line="240" w:lineRule="auto" w:before="39" w:after="0"/>
        <w:ind w:left="940" w:right="0" w:hanging="361"/>
        <w:jc w:val="left"/>
        <w:rPr>
          <w:sz w:val="22"/>
        </w:rPr>
      </w:pPr>
      <w:r>
        <w:rPr>
          <w:sz w:val="22"/>
        </w:rPr>
        <w:t>Collection of</w:t>
      </w:r>
      <w:r>
        <w:rPr>
          <w:spacing w:val="-3"/>
          <w:sz w:val="22"/>
        </w:rPr>
        <w:t> </w:t>
      </w:r>
      <w:r>
        <w:rPr>
          <w:sz w:val="22"/>
        </w:rPr>
        <w:t>fields</w:t>
      </w:r>
    </w:p>
    <w:p>
      <w:pPr>
        <w:pStyle w:val="ListParagraph"/>
        <w:numPr>
          <w:ilvl w:val="4"/>
          <w:numId w:val="42"/>
        </w:numPr>
        <w:tabs>
          <w:tab w:pos="940" w:val="left" w:leader="none"/>
          <w:tab w:pos="941" w:val="left" w:leader="none"/>
        </w:tabs>
        <w:spacing w:line="240" w:lineRule="auto" w:before="42" w:after="0"/>
        <w:ind w:left="940" w:right="0" w:hanging="361"/>
        <w:jc w:val="left"/>
        <w:rPr>
          <w:sz w:val="22"/>
        </w:rPr>
      </w:pPr>
      <w:r>
        <w:rPr>
          <w:sz w:val="22"/>
        </w:rPr>
        <w:t>Fields on the row</w:t>
      </w:r>
      <w:r>
        <w:rPr>
          <w:spacing w:val="-5"/>
          <w:sz w:val="22"/>
        </w:rPr>
        <w:t> </w:t>
      </w:r>
      <w:r>
        <w:rPr>
          <w:sz w:val="22"/>
        </w:rPr>
        <w:t>axis</w:t>
      </w:r>
    </w:p>
    <w:p>
      <w:pPr>
        <w:pStyle w:val="ListParagraph"/>
        <w:numPr>
          <w:ilvl w:val="4"/>
          <w:numId w:val="42"/>
        </w:numPr>
        <w:tabs>
          <w:tab w:pos="940" w:val="left" w:leader="none"/>
          <w:tab w:pos="941" w:val="left" w:leader="none"/>
        </w:tabs>
        <w:spacing w:line="240" w:lineRule="auto" w:before="41" w:after="0"/>
        <w:ind w:left="940" w:right="0" w:hanging="361"/>
        <w:jc w:val="left"/>
        <w:rPr>
          <w:sz w:val="22"/>
        </w:rPr>
      </w:pPr>
      <w:r>
        <w:rPr>
          <w:sz w:val="22"/>
        </w:rPr>
        <w:t>Items on the row axis (specific</w:t>
      </w:r>
      <w:r>
        <w:rPr>
          <w:spacing w:val="-12"/>
          <w:sz w:val="22"/>
        </w:rPr>
        <w:t> </w:t>
      </w:r>
      <w:r>
        <w:rPr>
          <w:sz w:val="22"/>
        </w:rPr>
        <w:t>values)</w:t>
      </w:r>
    </w:p>
    <w:p>
      <w:pPr>
        <w:pStyle w:val="ListParagraph"/>
        <w:numPr>
          <w:ilvl w:val="4"/>
          <w:numId w:val="42"/>
        </w:numPr>
        <w:tabs>
          <w:tab w:pos="940" w:val="left" w:leader="none"/>
          <w:tab w:pos="941" w:val="left" w:leader="none"/>
        </w:tabs>
        <w:spacing w:line="240" w:lineRule="auto" w:before="39" w:after="0"/>
        <w:ind w:left="940" w:right="0" w:hanging="361"/>
        <w:jc w:val="left"/>
        <w:rPr>
          <w:sz w:val="22"/>
        </w:rPr>
      </w:pPr>
      <w:r>
        <w:rPr>
          <w:sz w:val="22"/>
        </w:rPr>
        <w:t>Fields on the column</w:t>
      </w:r>
      <w:r>
        <w:rPr>
          <w:spacing w:val="-7"/>
          <w:sz w:val="22"/>
        </w:rPr>
        <w:t> </w:t>
      </w:r>
      <w:r>
        <w:rPr>
          <w:sz w:val="22"/>
        </w:rPr>
        <w:t>axis</w:t>
      </w:r>
    </w:p>
    <w:p>
      <w:pPr>
        <w:pStyle w:val="ListParagraph"/>
        <w:numPr>
          <w:ilvl w:val="4"/>
          <w:numId w:val="42"/>
        </w:numPr>
        <w:tabs>
          <w:tab w:pos="940" w:val="left" w:leader="none"/>
          <w:tab w:pos="941" w:val="left" w:leader="none"/>
        </w:tabs>
        <w:spacing w:line="240" w:lineRule="auto" w:before="41" w:after="0"/>
        <w:ind w:left="940" w:right="0" w:hanging="361"/>
        <w:jc w:val="left"/>
        <w:rPr>
          <w:sz w:val="22"/>
        </w:rPr>
      </w:pPr>
      <w:r>
        <w:rPr>
          <w:sz w:val="22"/>
        </w:rPr>
        <w:t>Items on the column axis (specific</w:t>
      </w:r>
      <w:r>
        <w:rPr>
          <w:spacing w:val="-15"/>
          <w:sz w:val="22"/>
        </w:rPr>
        <w:t> </w:t>
      </w:r>
      <w:r>
        <w:rPr>
          <w:sz w:val="22"/>
        </w:rPr>
        <w:t>values)</w:t>
      </w:r>
    </w:p>
    <w:p>
      <w:pPr>
        <w:pStyle w:val="ListParagraph"/>
        <w:numPr>
          <w:ilvl w:val="4"/>
          <w:numId w:val="42"/>
        </w:numPr>
        <w:tabs>
          <w:tab w:pos="940" w:val="left" w:leader="none"/>
          <w:tab w:pos="941" w:val="left" w:leader="none"/>
        </w:tabs>
        <w:spacing w:line="240" w:lineRule="auto" w:before="39" w:after="0"/>
        <w:ind w:left="940" w:right="0" w:hanging="361"/>
        <w:jc w:val="left"/>
        <w:rPr>
          <w:sz w:val="22"/>
        </w:rPr>
      </w:pPr>
      <w:r>
        <w:rPr>
          <w:sz w:val="22"/>
        </w:rPr>
        <w:t>Fields on the report filter</w:t>
      </w:r>
      <w:r>
        <w:rPr>
          <w:spacing w:val="-8"/>
          <w:sz w:val="22"/>
        </w:rPr>
        <w:t> </w:t>
      </w:r>
      <w:r>
        <w:rPr>
          <w:sz w:val="22"/>
        </w:rPr>
        <w:t>region</w:t>
      </w:r>
    </w:p>
    <w:p>
      <w:pPr>
        <w:pStyle w:val="ListParagraph"/>
        <w:numPr>
          <w:ilvl w:val="4"/>
          <w:numId w:val="42"/>
        </w:numPr>
        <w:tabs>
          <w:tab w:pos="940" w:val="left" w:leader="none"/>
          <w:tab w:pos="941" w:val="left" w:leader="none"/>
        </w:tabs>
        <w:spacing w:line="240" w:lineRule="auto" w:before="42" w:after="0"/>
        <w:ind w:left="940" w:right="0" w:hanging="361"/>
        <w:jc w:val="left"/>
        <w:rPr>
          <w:sz w:val="22"/>
        </w:rPr>
      </w:pPr>
      <w:r>
        <w:rPr>
          <w:sz w:val="22"/>
        </w:rPr>
        <w:t>Fields in the values</w:t>
      </w:r>
      <w:r>
        <w:rPr>
          <w:spacing w:val="-4"/>
          <w:sz w:val="22"/>
        </w:rPr>
        <w:t> </w:t>
      </w:r>
      <w:r>
        <w:rPr>
          <w:sz w:val="22"/>
        </w:rPr>
        <w:t>region</w:t>
      </w:r>
    </w:p>
    <w:p>
      <w:pPr>
        <w:pStyle w:val="ListParagraph"/>
        <w:numPr>
          <w:ilvl w:val="4"/>
          <w:numId w:val="42"/>
        </w:numPr>
        <w:tabs>
          <w:tab w:pos="940" w:val="left" w:leader="none"/>
          <w:tab w:pos="941" w:val="left" w:leader="none"/>
        </w:tabs>
        <w:spacing w:line="240" w:lineRule="auto" w:before="39" w:after="0"/>
        <w:ind w:left="940" w:right="0" w:hanging="361"/>
        <w:jc w:val="left"/>
        <w:rPr>
          <w:sz w:val="22"/>
        </w:rPr>
      </w:pPr>
      <w:r>
        <w:rPr>
          <w:sz w:val="22"/>
        </w:rPr>
        <w:t>Style</w:t>
      </w:r>
      <w:r>
        <w:rPr>
          <w:spacing w:val="-1"/>
          <w:sz w:val="22"/>
        </w:rPr>
        <w:t> </w:t>
      </w:r>
      <w:r>
        <w:rPr>
          <w:sz w:val="22"/>
        </w:rPr>
        <w:t>information</w:t>
      </w:r>
    </w:p>
    <w:p>
      <w:pPr>
        <w:spacing w:before="242"/>
        <w:ind w:left="220" w:right="0" w:firstLine="0"/>
        <w:jc w:val="left"/>
        <w:rPr>
          <w:i/>
          <w:sz w:val="22"/>
        </w:rPr>
      </w:pPr>
      <w:r>
        <w:rPr>
          <w:i/>
          <w:sz w:val="22"/>
        </w:rPr>
        <w:t>Outline of the XML for a pivotTableDefinition</w:t>
      </w:r>
    </w:p>
    <w:p>
      <w:pPr>
        <w:pStyle w:val="BodyText"/>
        <w:spacing w:before="9"/>
        <w:rPr>
          <w:i/>
          <w:sz w:val="19"/>
        </w:rPr>
      </w:pPr>
    </w:p>
    <w:p>
      <w:pPr>
        <w:pStyle w:val="BodyText"/>
        <w:ind w:left="508"/>
        <w:rPr>
          <w:rFonts w:ascii="Consolas"/>
        </w:rPr>
      </w:pPr>
      <w:r>
        <w:rPr>
          <w:rFonts w:ascii="Consolas"/>
        </w:rPr>
        <w:t>&lt;pivotTableDefinition&gt;</w:t>
      </w:r>
    </w:p>
    <w:p>
      <w:pPr>
        <w:pStyle w:val="BodyText"/>
        <w:spacing w:before="40"/>
        <w:ind w:left="750"/>
        <w:rPr>
          <w:rFonts w:ascii="Consolas"/>
        </w:rPr>
      </w:pPr>
      <w:r>
        <w:rPr>
          <w:rFonts w:ascii="Consolas"/>
        </w:rPr>
        <w:t>&lt;location/&gt;</w:t>
      </w:r>
    </w:p>
    <w:p>
      <w:pPr>
        <w:pStyle w:val="BodyText"/>
        <w:spacing w:before="38"/>
        <w:ind w:left="750"/>
        <w:rPr>
          <w:rFonts w:ascii="Consolas"/>
        </w:rPr>
      </w:pPr>
      <w:r>
        <w:rPr>
          <w:rFonts w:ascii="Consolas"/>
        </w:rPr>
        <w:t>&lt;pivotFields/&gt;</w:t>
      </w:r>
    </w:p>
    <w:p>
      <w:pPr>
        <w:pStyle w:val="BodyText"/>
        <w:spacing w:before="40"/>
        <w:ind w:left="750"/>
        <w:rPr>
          <w:rFonts w:ascii="Consolas"/>
        </w:rPr>
      </w:pPr>
      <w:r>
        <w:rPr>
          <w:rFonts w:ascii="Consolas"/>
        </w:rPr>
        <w:t>&lt;rowFields/&gt;</w:t>
      </w:r>
    </w:p>
    <w:p>
      <w:pPr>
        <w:pStyle w:val="BodyText"/>
        <w:spacing w:before="37"/>
        <w:ind w:left="750"/>
        <w:rPr>
          <w:rFonts w:ascii="Consolas"/>
        </w:rPr>
      </w:pPr>
      <w:r>
        <w:rPr>
          <w:rFonts w:ascii="Consolas"/>
        </w:rPr>
        <w:t>&lt;rowItems/&gt;</w:t>
      </w:r>
    </w:p>
    <w:p>
      <w:pPr>
        <w:pStyle w:val="BodyText"/>
        <w:spacing w:before="38"/>
        <w:ind w:left="750"/>
        <w:rPr>
          <w:rFonts w:ascii="Consolas"/>
        </w:rPr>
      </w:pPr>
      <w:r>
        <w:rPr>
          <w:rFonts w:ascii="Consolas"/>
        </w:rPr>
        <w:t>&lt;colFields/&gt;</w:t>
      </w:r>
    </w:p>
    <w:p>
      <w:pPr>
        <w:pStyle w:val="BodyText"/>
        <w:spacing w:before="40"/>
        <w:ind w:left="750"/>
        <w:rPr>
          <w:rFonts w:ascii="Consolas"/>
        </w:rPr>
      </w:pPr>
      <w:r>
        <w:rPr>
          <w:rFonts w:ascii="Consolas"/>
        </w:rPr>
        <w:t>&lt;colItems/&gt;</w:t>
      </w:r>
    </w:p>
    <w:p>
      <w:pPr>
        <w:pStyle w:val="BodyText"/>
        <w:spacing w:before="37"/>
        <w:ind w:left="750"/>
        <w:rPr>
          <w:rFonts w:ascii="Consolas"/>
        </w:rPr>
      </w:pPr>
      <w:r>
        <w:rPr>
          <w:rFonts w:ascii="Consolas"/>
        </w:rPr>
        <w:t>&lt;pageFields/&gt;</w:t>
      </w:r>
    </w:p>
    <w:p>
      <w:pPr>
        <w:pStyle w:val="BodyText"/>
        <w:spacing w:before="40"/>
        <w:ind w:left="750"/>
        <w:rPr>
          <w:rFonts w:ascii="Consolas"/>
        </w:rPr>
      </w:pPr>
      <w:r>
        <w:rPr>
          <w:rFonts w:ascii="Consolas"/>
        </w:rPr>
        <w:t>&lt;dataFields/&gt;</w:t>
      </w:r>
    </w:p>
    <w:p>
      <w:pPr>
        <w:pStyle w:val="BodyText"/>
        <w:spacing w:before="38"/>
        <w:ind w:left="750"/>
        <w:rPr>
          <w:rFonts w:ascii="Consolas"/>
        </w:rPr>
      </w:pPr>
      <w:r>
        <w:rPr>
          <w:rFonts w:ascii="Consolas"/>
        </w:rPr>
        <w:t>&lt;conditionalFormats/&gt;</w:t>
      </w:r>
    </w:p>
    <w:p>
      <w:pPr>
        <w:pStyle w:val="BodyText"/>
        <w:spacing w:before="40"/>
        <w:ind w:left="750"/>
        <w:rPr>
          <w:rFonts w:ascii="Consolas"/>
        </w:rPr>
      </w:pPr>
      <w:r>
        <w:rPr>
          <w:rFonts w:ascii="Consolas"/>
        </w:rPr>
        <w:t>&lt;pivotTableStyleInfo/&gt;</w:t>
      </w:r>
    </w:p>
    <w:p>
      <w:pPr>
        <w:pStyle w:val="BodyText"/>
        <w:spacing w:before="38"/>
        <w:ind w:left="508"/>
        <w:rPr>
          <w:rFonts w:ascii="Consolas"/>
        </w:rPr>
      </w:pPr>
      <w:r>
        <w:rPr>
          <w:rFonts w:ascii="Consolas"/>
        </w:rPr>
        <w:t>&lt;/pivotTableDefinition&gt;</w:t>
      </w:r>
    </w:p>
    <w:p>
      <w:pPr>
        <w:pStyle w:val="BodyText"/>
        <w:spacing w:before="5"/>
        <w:rPr>
          <w:rFonts w:ascii="Consolas"/>
          <w:sz w:val="20"/>
        </w:rPr>
      </w:pPr>
    </w:p>
    <w:p>
      <w:pPr>
        <w:spacing w:before="0"/>
        <w:ind w:left="220" w:right="0" w:firstLine="0"/>
        <w:jc w:val="left"/>
        <w:rPr>
          <w:i/>
          <w:sz w:val="22"/>
        </w:rPr>
      </w:pPr>
      <w:r>
        <w:rPr>
          <w:i/>
          <w:sz w:val="22"/>
        </w:rPr>
        <w:t>Layout</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line="276" w:lineRule="auto" w:before="141"/>
        <w:ind w:left="220" w:right="403"/>
        <w:rPr>
          <w:i/>
        </w:rPr>
      </w:pPr>
      <w:r>
        <w:rPr/>
        <w:t>The reference specified in the </w:t>
      </w:r>
      <w:r>
        <w:rPr>
          <w:rFonts w:ascii="Cambria"/>
        </w:rPr>
        <w:t>ref </w:t>
      </w:r>
      <w:r>
        <w:rPr/>
        <w:t>attribute on the </w:t>
      </w:r>
      <w:r>
        <w:rPr>
          <w:rFonts w:ascii="Cambria"/>
        </w:rPr>
        <w:t>location </w:t>
      </w:r>
      <w:r>
        <w:rPr/>
        <w:t>element specifies the location of the PivotTable body. The data area, row, column, and data fields and value items are located in this area. More specifically, the row fields begin below the A1-most cell in the reference, and the column fields begin adjacent to that cell, in the same row, extending out into the PivotTable body away from column A. </w:t>
      </w:r>
      <w:r>
        <w:rPr>
          <w:i/>
        </w:rPr>
        <w:t>[Note: </w:t>
      </w:r>
      <w:r>
        <w:rPr/>
        <w:t>How far below or across the field labels begin are dependent upon how many row, column, and data fields are shown in the PivotTable. More detail is provided below. </w:t>
      </w:r>
      <w:r>
        <w:rPr>
          <w:i/>
        </w:rPr>
        <w:t>end note]</w:t>
      </w:r>
    </w:p>
    <w:p>
      <w:pPr>
        <w:pStyle w:val="BodyText"/>
        <w:spacing w:before="4"/>
        <w:rPr>
          <w:i/>
          <w:sz w:val="16"/>
        </w:rPr>
      </w:pPr>
    </w:p>
    <w:p>
      <w:pPr>
        <w:pStyle w:val="BodyText"/>
        <w:spacing w:line="276" w:lineRule="auto"/>
        <w:ind w:left="220" w:right="503"/>
      </w:pPr>
      <w:r>
        <w:rPr/>
        <w:t>[</w:t>
      </w:r>
      <w:r>
        <w:rPr>
          <w:i/>
        </w:rPr>
        <w:t>Note</w:t>
      </w:r>
      <w:r>
        <w:rPr/>
        <w:t>: All layout discussion and examples are given for outline mode layout. There are two additional layout modes: compact and tabular. See Other layout modes below for a discussion of how those differ from outline mode. </w:t>
      </w:r>
      <w:r>
        <w:rPr>
          <w:i/>
        </w:rPr>
        <w:t>end note</w:t>
      </w:r>
      <w:r>
        <w:rPr/>
        <w:t>]</w:t>
      </w:r>
    </w:p>
    <w:p>
      <w:pPr>
        <w:spacing w:after="0" w:line="276" w:lineRule="auto"/>
        <w:sectPr>
          <w:pgSz w:w="12240" w:h="15840"/>
          <w:pgMar w:header="763" w:footer="746" w:top="1340" w:bottom="940" w:left="860" w:right="700"/>
        </w:sectPr>
      </w:pPr>
    </w:p>
    <w:p>
      <w:pPr>
        <w:pStyle w:val="BodyText"/>
        <w:spacing w:line="278" w:lineRule="auto" w:before="90"/>
        <w:ind w:left="220" w:right="384"/>
      </w:pPr>
      <w:r>
        <w:rPr/>
        <w:t>When encountering sheet boundaries, the PivotTable is truncated rather than wrapped, and as much as possible shall be shown.</w:t>
      </w:r>
    </w:p>
    <w:p>
      <w:pPr>
        <w:pStyle w:val="BodyText"/>
        <w:spacing w:line="276" w:lineRule="auto" w:before="196"/>
        <w:ind w:left="220" w:right="532"/>
      </w:pPr>
      <w:r>
        <w:rPr/>
        <w:t>The graphics given in this section are meant to illustrate layout only, and do not require implementation of any implied controls, like dropdowns or expand/collapse functionality.</w:t>
      </w:r>
    </w:p>
    <w:p>
      <w:pPr>
        <w:pStyle w:val="BodyText"/>
        <w:spacing w:before="5"/>
        <w:rPr>
          <w:sz w:val="16"/>
        </w:rPr>
      </w:pPr>
    </w:p>
    <w:p>
      <w:pPr>
        <w:spacing w:before="0"/>
        <w:ind w:left="220" w:right="0" w:firstLine="0"/>
        <w:jc w:val="left"/>
        <w:rPr>
          <w:i/>
          <w:sz w:val="22"/>
        </w:rPr>
      </w:pPr>
      <w:r>
        <w:rPr>
          <w:i/>
          <w:sz w:val="22"/>
        </w:rPr>
        <w:t>Page Field Layout</w:t>
      </w:r>
    </w:p>
    <w:p>
      <w:pPr>
        <w:pStyle w:val="BodyText"/>
        <w:spacing w:before="6"/>
        <w:rPr>
          <w:i/>
          <w:sz w:val="16"/>
        </w:rPr>
      </w:pPr>
      <w:r>
        <w:rPr/>
        <w:drawing>
          <wp:anchor distT="0" distB="0" distL="0" distR="0" allowOverlap="1" layoutInCell="1" locked="0" behindDoc="0" simplePos="0" relativeHeight="48">
            <wp:simplePos x="0" y="0"/>
            <wp:positionH relativeFrom="page">
              <wp:posOffset>705612</wp:posOffset>
            </wp:positionH>
            <wp:positionV relativeFrom="paragraph">
              <wp:posOffset>153159</wp:posOffset>
            </wp:positionV>
            <wp:extent cx="3018169" cy="2876550"/>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129" cstate="print"/>
                    <a:stretch>
                      <a:fillRect/>
                    </a:stretch>
                  </pic:blipFill>
                  <pic:spPr>
                    <a:xfrm>
                      <a:off x="0" y="0"/>
                      <a:ext cx="3018169" cy="2876550"/>
                    </a:xfrm>
                    <a:prstGeom prst="rect">
                      <a:avLst/>
                    </a:prstGeom>
                  </pic:spPr>
                </pic:pic>
              </a:graphicData>
            </a:graphic>
          </wp:anchor>
        </w:drawing>
      </w:r>
    </w:p>
    <w:p>
      <w:pPr>
        <w:pStyle w:val="BodyText"/>
        <w:spacing w:before="5"/>
        <w:rPr>
          <w:i/>
          <w:sz w:val="17"/>
        </w:rPr>
      </w:pPr>
    </w:p>
    <w:p>
      <w:pPr>
        <w:pStyle w:val="BodyText"/>
        <w:spacing w:line="278" w:lineRule="auto"/>
        <w:ind w:left="220"/>
      </w:pPr>
      <w:r>
        <w:rPr/>
        <w:t>In the above picture, SSN is a page field, State and City are row fields, and Amount is a data field. There are no column fields.</w:t>
      </w:r>
    </w:p>
    <w:p>
      <w:pPr>
        <w:pStyle w:val="BodyText"/>
        <w:spacing w:before="2"/>
        <w:rPr>
          <w:sz w:val="16"/>
        </w:rPr>
      </w:pPr>
    </w:p>
    <w:p>
      <w:pPr>
        <w:pStyle w:val="BodyText"/>
        <w:spacing w:before="1"/>
        <w:ind w:left="220"/>
      </w:pPr>
      <w:r>
        <w:rPr/>
        <w:t>Page fields allow you to filter the entire PivotTable report to display data for a single item or all items.</w:t>
      </w:r>
    </w:p>
    <w:p>
      <w:pPr>
        <w:pStyle w:val="BodyText"/>
        <w:spacing w:before="5"/>
        <w:rPr>
          <w:sz w:val="19"/>
        </w:rPr>
      </w:pPr>
    </w:p>
    <w:p>
      <w:pPr>
        <w:pStyle w:val="BodyText"/>
        <w:spacing w:line="276" w:lineRule="auto"/>
        <w:ind w:left="220" w:right="436"/>
      </w:pPr>
      <w:r>
        <w:rPr/>
        <w:t>The page field area always ends (vertically) so that there is always 1 row of space between the page field area and the top row of the PivotTable body, and always begins (horizontally) in the same column as the A1-most column of the PivotTable body. Each page field occupies two cells: the A1-most for displaying the field name, and the next cell over for displaying the selected item values. [</w:t>
      </w:r>
      <w:r>
        <w:rPr>
          <w:i/>
        </w:rPr>
        <w:t>Example</w:t>
      </w:r>
      <w:r>
        <w:rPr/>
        <w:t>: (see above picture) If the top row in the PivotTable body reference is row 4, then page field layout ends (vertically) in row 2, and if the A1-most column of the PivotTable body is column B, then page field layout begins (horizontally) in column B. </w:t>
      </w:r>
      <w:r>
        <w:rPr>
          <w:i/>
        </w:rPr>
        <w:t>end example</w:t>
      </w:r>
      <w:r>
        <w:rPr/>
        <w:t>]</w:t>
      </w:r>
    </w:p>
    <w:p>
      <w:pPr>
        <w:pStyle w:val="BodyText"/>
        <w:spacing w:before="4"/>
        <w:rPr>
          <w:sz w:val="16"/>
        </w:rPr>
      </w:pPr>
    </w:p>
    <w:p>
      <w:pPr>
        <w:pStyle w:val="BodyText"/>
        <w:spacing w:line="276" w:lineRule="auto"/>
        <w:ind w:left="220" w:right="381"/>
      </w:pPr>
      <w:r>
        <w:rPr/>
        <w:t>Aside from the number of fields in the page field area, there are two attributes of </w:t>
      </w:r>
      <w:r>
        <w:rPr>
          <w:rFonts w:ascii="Cambria"/>
        </w:rPr>
        <w:t>pivotTableDefinition </w:t>
      </w:r>
      <w:r>
        <w:rPr/>
        <w:t>that affect page field layout: </w:t>
      </w:r>
      <w:r>
        <w:rPr>
          <w:rFonts w:ascii="Cambria"/>
        </w:rPr>
        <w:t>pageOverThenDown </w:t>
      </w:r>
      <w:r>
        <w:rPr/>
        <w:t>and </w:t>
      </w:r>
      <w:r>
        <w:rPr>
          <w:rFonts w:ascii="Cambria"/>
        </w:rPr>
        <w:t>pageWrap</w:t>
      </w:r>
      <w:r>
        <w:rPr/>
        <w:t>. </w:t>
      </w:r>
      <w:r>
        <w:rPr>
          <w:rFonts w:ascii="Cambria"/>
        </w:rPr>
        <w:t>pageOverThenDown </w:t>
      </w:r>
      <w:r>
        <w:rPr/>
        <w:t>= </w:t>
      </w:r>
      <w:r>
        <w:rPr>
          <w:rFonts w:ascii="Consolas"/>
          <w:sz w:val="20"/>
        </w:rPr>
        <w:t>1 </w:t>
      </w:r>
      <w:r>
        <w:rPr/>
        <w:t>specifies that when there is more than 1 page field, lay them out horizontally across the sheet (extending in the direction of the PivotTable body area, away from column A) until the maximum specified in </w:t>
      </w:r>
      <w:r>
        <w:rPr>
          <w:rFonts w:ascii="Cambria"/>
        </w:rPr>
        <w:t>pageWrap </w:t>
      </w:r>
      <w:r>
        <w:rPr/>
        <w:t>is reached, and then begin a new row. If the pageWrap value is high and there are many page fields, then it is possible (and allowed) for page fields to extend beyond the edge of the PivotTable body. When laying out page fields in the same row (side by side), each shall be separated by a single column. However, multiple rows of page fields are not separated by single rows between them. </w:t>
      </w:r>
      <w:r>
        <w:rPr>
          <w:rFonts w:ascii="Cambria"/>
        </w:rPr>
        <w:t>pageOverThenDown </w:t>
      </w:r>
      <w:r>
        <w:rPr/>
        <w:t>= </w:t>
      </w:r>
      <w:r>
        <w:rPr>
          <w:rFonts w:ascii="Consolas"/>
          <w:sz w:val="20"/>
        </w:rPr>
        <w:t>0</w:t>
      </w:r>
      <w:r>
        <w:rPr>
          <w:rFonts w:ascii="Consolas"/>
          <w:spacing w:val="-88"/>
          <w:sz w:val="20"/>
        </w:rPr>
        <w:t> </w:t>
      </w:r>
      <w:r>
        <w:rPr/>
        <w:t>specifies that when there is more than 1 page</w:t>
      </w:r>
    </w:p>
    <w:p>
      <w:pPr>
        <w:spacing w:after="0" w:line="276" w:lineRule="auto"/>
        <w:sectPr>
          <w:pgSz w:w="12240" w:h="15840"/>
          <w:pgMar w:header="761" w:footer="746" w:top="1340" w:bottom="940" w:left="860" w:right="700"/>
        </w:sectPr>
      </w:pPr>
    </w:p>
    <w:p>
      <w:pPr>
        <w:pStyle w:val="BodyText"/>
        <w:spacing w:line="276" w:lineRule="auto" w:before="148"/>
        <w:ind w:left="220" w:right="502"/>
      </w:pPr>
      <w:r>
        <w:rPr/>
        <w:t>field, lay them out vertically down the sheet (always keeping 1 row of space between the PivotTable body and page field area) until the maximum specified in </w:t>
      </w:r>
      <w:r>
        <w:rPr>
          <w:rFonts w:ascii="Cambria"/>
        </w:rPr>
        <w:t>pageWrap </w:t>
      </w:r>
      <w:r>
        <w:rPr/>
        <w:t>is reached, and then begin a new column. Again, for multiple page fields, if they shall occupy more than 1 column, then each column of page fields is separated by a single column, and multiple rows of page fields are not separated by single rows between them.</w:t>
      </w:r>
    </w:p>
    <w:p>
      <w:pPr>
        <w:pStyle w:val="BodyText"/>
        <w:spacing w:before="5"/>
        <w:rPr>
          <w:sz w:val="16"/>
        </w:rPr>
      </w:pPr>
    </w:p>
    <w:p>
      <w:pPr>
        <w:pStyle w:val="BodyText"/>
        <w:spacing w:line="276" w:lineRule="auto"/>
        <w:ind w:left="220" w:right="387"/>
      </w:pPr>
      <w:r>
        <w:rPr/>
        <w:t>[</w:t>
      </w:r>
      <w:r>
        <w:rPr>
          <w:i/>
        </w:rPr>
        <w:t>Example: </w:t>
      </w:r>
      <w:r>
        <w:rPr/>
        <w:t>This example shows a PivotTable body occupying B5:B6 and 6 page fields in the page field area, where </w:t>
      </w:r>
      <w:r>
        <w:rPr>
          <w:rFonts w:ascii="Cambria"/>
        </w:rPr>
        <w:t>pageOverThenDown </w:t>
      </w:r>
      <w:r>
        <w:rPr/>
        <w:t>= </w:t>
      </w:r>
      <w:r>
        <w:rPr>
          <w:rFonts w:ascii="Consolas"/>
          <w:sz w:val="20"/>
        </w:rPr>
        <w:t>0 </w:t>
      </w:r>
      <w:r>
        <w:rPr/>
        <w:t>and </w:t>
      </w:r>
      <w:r>
        <w:rPr>
          <w:rFonts w:ascii="Cambria"/>
        </w:rPr>
        <w:t>pageWrap </w:t>
      </w:r>
      <w:r>
        <w:rPr/>
        <w:t>= </w:t>
      </w:r>
      <w:r>
        <w:rPr>
          <w:rFonts w:ascii="Consolas"/>
          <w:sz w:val="20"/>
        </w:rPr>
        <w:t>2</w:t>
      </w:r>
      <w:r>
        <w:rPr/>
        <w:t>. This means that the first column of the page field area contains 2 page fields, and then, because the </w:t>
      </w:r>
      <w:r>
        <w:rPr>
          <w:rFonts w:ascii="Cambria"/>
        </w:rPr>
        <w:t>pageWrap </w:t>
      </w:r>
      <w:r>
        <w:rPr/>
        <w:t>value only allows 2 page fields per column, a new column of page fields is started, and so on until all 6 page fields are shown.</w:t>
      </w:r>
    </w:p>
    <w:p>
      <w:pPr>
        <w:pStyle w:val="BodyText"/>
        <w:rPr>
          <w:sz w:val="20"/>
        </w:rPr>
      </w:pPr>
    </w:p>
    <w:p>
      <w:pPr>
        <w:pStyle w:val="BodyText"/>
        <w:rPr>
          <w:sz w:val="20"/>
        </w:rPr>
      </w:pPr>
    </w:p>
    <w:p>
      <w:pPr>
        <w:pStyle w:val="BodyText"/>
        <w:rPr>
          <w:sz w:val="15"/>
        </w:rPr>
      </w:pPr>
      <w:r>
        <w:rPr/>
        <w:drawing>
          <wp:anchor distT="0" distB="0" distL="0" distR="0" allowOverlap="1" layoutInCell="1" locked="0" behindDoc="0" simplePos="0" relativeHeight="49">
            <wp:simplePos x="0" y="0"/>
            <wp:positionH relativeFrom="page">
              <wp:posOffset>705612</wp:posOffset>
            </wp:positionH>
            <wp:positionV relativeFrom="paragraph">
              <wp:posOffset>141661</wp:posOffset>
            </wp:positionV>
            <wp:extent cx="5426778" cy="1524000"/>
            <wp:effectExtent l="0" t="0" r="0" b="0"/>
            <wp:wrapTopAndBottom/>
            <wp:docPr id="71" name="image36.png"/>
            <wp:cNvGraphicFramePr>
              <a:graphicFrameLocks noChangeAspect="1"/>
            </wp:cNvGraphicFramePr>
            <a:graphic>
              <a:graphicData uri="http://schemas.openxmlformats.org/drawingml/2006/picture">
                <pic:pic>
                  <pic:nvPicPr>
                    <pic:cNvPr id="72" name="image36.png"/>
                    <pic:cNvPicPr/>
                  </pic:nvPicPr>
                  <pic:blipFill>
                    <a:blip r:embed="rId130" cstate="print"/>
                    <a:stretch>
                      <a:fillRect/>
                    </a:stretch>
                  </pic:blipFill>
                  <pic:spPr>
                    <a:xfrm>
                      <a:off x="0" y="0"/>
                      <a:ext cx="5426778" cy="1524000"/>
                    </a:xfrm>
                    <a:prstGeom prst="rect">
                      <a:avLst/>
                    </a:prstGeom>
                  </pic:spPr>
                </pic:pic>
              </a:graphicData>
            </a:graphic>
          </wp:anchor>
        </w:drawing>
      </w:r>
    </w:p>
    <w:p>
      <w:pPr>
        <w:pStyle w:val="BodyText"/>
        <w:spacing w:before="8"/>
        <w:rPr>
          <w:sz w:val="17"/>
        </w:rPr>
      </w:pPr>
    </w:p>
    <w:p>
      <w:pPr>
        <w:pStyle w:val="BodyText"/>
        <w:ind w:left="220"/>
      </w:pPr>
      <w:r>
        <w:rPr/>
        <w:t>The order of assignment of position within page field layout for this example is:</w:t>
      </w:r>
    </w:p>
    <w:p>
      <w:pPr>
        <w:pStyle w:val="BodyText"/>
        <w:spacing w:before="6"/>
        <w:rPr>
          <w:sz w:val="19"/>
        </w:rPr>
      </w:pPr>
    </w:p>
    <w:p>
      <w:pPr>
        <w:pStyle w:val="ListParagraph"/>
        <w:numPr>
          <w:ilvl w:val="4"/>
          <w:numId w:val="42"/>
        </w:numPr>
        <w:tabs>
          <w:tab w:pos="940" w:val="left" w:leader="none"/>
          <w:tab w:pos="941" w:val="left" w:leader="none"/>
        </w:tabs>
        <w:spacing w:line="240" w:lineRule="auto" w:before="1" w:after="0"/>
        <w:ind w:left="940" w:right="0" w:hanging="361"/>
        <w:jc w:val="left"/>
        <w:rPr>
          <w:sz w:val="22"/>
        </w:rPr>
      </w:pPr>
      <w:r>
        <w:rPr>
          <w:sz w:val="22"/>
        </w:rPr>
        <w:t>Postal Code</w:t>
      </w:r>
    </w:p>
    <w:p>
      <w:pPr>
        <w:pStyle w:val="ListParagraph"/>
        <w:numPr>
          <w:ilvl w:val="4"/>
          <w:numId w:val="42"/>
        </w:numPr>
        <w:tabs>
          <w:tab w:pos="940" w:val="left" w:leader="none"/>
          <w:tab w:pos="941" w:val="left" w:leader="none"/>
        </w:tabs>
        <w:spacing w:line="240" w:lineRule="auto" w:before="38" w:after="0"/>
        <w:ind w:left="940" w:right="0" w:hanging="361"/>
        <w:jc w:val="left"/>
        <w:rPr>
          <w:sz w:val="22"/>
        </w:rPr>
      </w:pPr>
      <w:r>
        <w:rPr>
          <w:sz w:val="22"/>
        </w:rPr>
        <w:t>State</w:t>
      </w:r>
    </w:p>
    <w:p>
      <w:pPr>
        <w:pStyle w:val="ListParagraph"/>
        <w:numPr>
          <w:ilvl w:val="4"/>
          <w:numId w:val="42"/>
        </w:numPr>
        <w:tabs>
          <w:tab w:pos="940" w:val="left" w:leader="none"/>
          <w:tab w:pos="941" w:val="left" w:leader="none"/>
        </w:tabs>
        <w:spacing w:line="240" w:lineRule="auto" w:before="42" w:after="0"/>
        <w:ind w:left="940" w:right="0" w:hanging="361"/>
        <w:jc w:val="left"/>
        <w:rPr>
          <w:sz w:val="22"/>
        </w:rPr>
      </w:pPr>
      <w:r>
        <w:rPr>
          <w:sz w:val="22"/>
        </w:rPr>
        <w:t>City</w:t>
      </w:r>
    </w:p>
    <w:p>
      <w:pPr>
        <w:pStyle w:val="ListParagraph"/>
        <w:numPr>
          <w:ilvl w:val="4"/>
          <w:numId w:val="42"/>
        </w:numPr>
        <w:tabs>
          <w:tab w:pos="940" w:val="left" w:leader="none"/>
          <w:tab w:pos="941" w:val="left" w:leader="none"/>
        </w:tabs>
        <w:spacing w:line="240" w:lineRule="auto" w:before="42" w:after="0"/>
        <w:ind w:left="940" w:right="0" w:hanging="361"/>
        <w:jc w:val="left"/>
        <w:rPr>
          <w:sz w:val="22"/>
        </w:rPr>
      </w:pPr>
      <w:r>
        <w:rPr>
          <w:sz w:val="22"/>
        </w:rPr>
        <w:t>SSN</w:t>
      </w:r>
    </w:p>
    <w:p>
      <w:pPr>
        <w:pStyle w:val="ListParagraph"/>
        <w:numPr>
          <w:ilvl w:val="4"/>
          <w:numId w:val="42"/>
        </w:numPr>
        <w:tabs>
          <w:tab w:pos="940" w:val="left" w:leader="none"/>
          <w:tab w:pos="941" w:val="left" w:leader="none"/>
        </w:tabs>
        <w:spacing w:line="240" w:lineRule="auto" w:before="38" w:after="0"/>
        <w:ind w:left="940" w:right="0" w:hanging="361"/>
        <w:jc w:val="left"/>
        <w:rPr>
          <w:sz w:val="22"/>
        </w:rPr>
      </w:pPr>
      <w:r>
        <w:rPr>
          <w:sz w:val="22"/>
        </w:rPr>
        <w:t>Last Name</w:t>
      </w:r>
    </w:p>
    <w:p>
      <w:pPr>
        <w:pStyle w:val="ListParagraph"/>
        <w:numPr>
          <w:ilvl w:val="4"/>
          <w:numId w:val="42"/>
        </w:numPr>
        <w:tabs>
          <w:tab w:pos="940" w:val="left" w:leader="none"/>
          <w:tab w:pos="941" w:val="left" w:leader="none"/>
        </w:tabs>
        <w:spacing w:line="240" w:lineRule="auto" w:before="42" w:after="0"/>
        <w:ind w:left="940" w:right="0" w:hanging="361"/>
        <w:jc w:val="left"/>
        <w:rPr>
          <w:sz w:val="22"/>
        </w:rPr>
      </w:pPr>
      <w:r>
        <w:rPr>
          <w:sz w:val="22"/>
        </w:rPr>
        <w:t>Home</w:t>
      </w:r>
      <w:r>
        <w:rPr>
          <w:spacing w:val="-2"/>
          <w:sz w:val="22"/>
        </w:rPr>
        <w:t> </w:t>
      </w:r>
      <w:r>
        <w:rPr>
          <w:sz w:val="22"/>
        </w:rPr>
        <w:t>Phone</w:t>
      </w:r>
    </w:p>
    <w:p>
      <w:pPr>
        <w:pStyle w:val="BodyText"/>
        <w:spacing w:before="242"/>
        <w:ind w:left="220"/>
      </w:pPr>
      <w:r>
        <w:rPr/>
        <w:t>Aside from the 6 page fields, the only other field in this PivotTable example is a data field called Amount.</w:t>
      </w:r>
    </w:p>
    <w:p>
      <w:pPr>
        <w:pStyle w:val="BodyText"/>
        <w:spacing w:before="9"/>
        <w:rPr>
          <w:sz w:val="19"/>
        </w:rPr>
      </w:pPr>
    </w:p>
    <w:p>
      <w:pPr>
        <w:spacing w:before="0"/>
        <w:ind w:left="220" w:right="0" w:firstLine="0"/>
        <w:jc w:val="left"/>
        <w:rPr>
          <w:sz w:val="22"/>
        </w:rPr>
      </w:pPr>
      <w:r>
        <w:rPr>
          <w:i/>
          <w:sz w:val="22"/>
        </w:rPr>
        <w:t>end example</w:t>
      </w:r>
      <w:r>
        <w:rPr>
          <w:sz w:val="22"/>
        </w:rPr>
        <w:t>]</w:t>
      </w:r>
    </w:p>
    <w:p>
      <w:pPr>
        <w:pStyle w:val="BodyText"/>
        <w:spacing w:before="5"/>
        <w:rPr>
          <w:sz w:val="19"/>
        </w:rPr>
      </w:pPr>
    </w:p>
    <w:p>
      <w:pPr>
        <w:pStyle w:val="BodyText"/>
        <w:spacing w:line="276" w:lineRule="auto" w:before="1"/>
        <w:ind w:left="220" w:right="380"/>
      </w:pPr>
      <w:r>
        <w:rPr/>
        <w:t>[</w:t>
      </w:r>
      <w:r>
        <w:rPr>
          <w:i/>
        </w:rPr>
        <w:t>Note: </w:t>
      </w:r>
      <w:r>
        <w:rPr/>
        <w:t>When the user gestures to add a page field and there are not enough free cells above the PivotTable body area to allow for page fields to be added, the application must determine the best response. The application may decide to shift the PivotTable down some number of rows to make room, or overwrite existing data or features that might be above the PivotTable, or simply block the user gesture completely. In any result, however, the application should adhere to the layout principles given above. </w:t>
      </w:r>
      <w:r>
        <w:rPr>
          <w:i/>
        </w:rPr>
        <w:t>end</w:t>
      </w:r>
      <w:r>
        <w:rPr>
          <w:i/>
          <w:spacing w:val="-18"/>
        </w:rPr>
        <w:t> </w:t>
      </w:r>
      <w:r>
        <w:rPr>
          <w:i/>
        </w:rPr>
        <w:t>note</w:t>
      </w:r>
      <w:r>
        <w:rPr/>
        <w:t>]</w:t>
      </w:r>
    </w:p>
    <w:p>
      <w:pPr>
        <w:pStyle w:val="BodyText"/>
        <w:spacing w:before="5"/>
        <w:rPr>
          <w:sz w:val="16"/>
        </w:rPr>
      </w:pPr>
    </w:p>
    <w:p>
      <w:pPr>
        <w:spacing w:before="1"/>
        <w:ind w:left="220" w:right="0" w:firstLine="0"/>
        <w:jc w:val="left"/>
        <w:rPr>
          <w:i/>
          <w:sz w:val="22"/>
        </w:rPr>
      </w:pPr>
      <w:r>
        <w:rPr>
          <w:i/>
          <w:sz w:val="22"/>
        </w:rPr>
        <w:t>Row Field Layout</w:t>
      </w:r>
    </w:p>
    <w:p>
      <w:pPr>
        <w:spacing w:after="0"/>
        <w:jc w:val="left"/>
        <w:rPr>
          <w:sz w:val="22"/>
        </w:rPr>
        <w:sectPr>
          <w:pgSz w:w="12240" w:h="15840"/>
          <w:pgMar w:header="763" w:footer="746" w:top="1340" w:bottom="940" w:left="860" w:right="700"/>
        </w:sectPr>
      </w:pPr>
    </w:p>
    <w:p>
      <w:pPr>
        <w:pStyle w:val="BodyText"/>
        <w:spacing w:before="8"/>
        <w:rPr>
          <w:i/>
          <w:sz w:val="7"/>
        </w:rPr>
      </w:pPr>
    </w:p>
    <w:p>
      <w:pPr>
        <w:pStyle w:val="BodyText"/>
        <w:ind w:left="251"/>
        <w:rPr>
          <w:sz w:val="20"/>
        </w:rPr>
      </w:pPr>
      <w:r>
        <w:rPr>
          <w:sz w:val="20"/>
        </w:rPr>
        <w:drawing>
          <wp:inline distT="0" distB="0" distL="0" distR="0">
            <wp:extent cx="3018169" cy="2876550"/>
            <wp:effectExtent l="0" t="0" r="0" b="0"/>
            <wp:docPr id="73" name="image35.png"/>
            <wp:cNvGraphicFramePr>
              <a:graphicFrameLocks noChangeAspect="1"/>
            </wp:cNvGraphicFramePr>
            <a:graphic>
              <a:graphicData uri="http://schemas.openxmlformats.org/drawingml/2006/picture">
                <pic:pic>
                  <pic:nvPicPr>
                    <pic:cNvPr id="74" name="image35.png"/>
                    <pic:cNvPicPr/>
                  </pic:nvPicPr>
                  <pic:blipFill>
                    <a:blip r:embed="rId129" cstate="print"/>
                    <a:stretch>
                      <a:fillRect/>
                    </a:stretch>
                  </pic:blipFill>
                  <pic:spPr>
                    <a:xfrm>
                      <a:off x="0" y="0"/>
                      <a:ext cx="3018169" cy="2876550"/>
                    </a:xfrm>
                    <a:prstGeom prst="rect">
                      <a:avLst/>
                    </a:prstGeom>
                  </pic:spPr>
                </pic:pic>
              </a:graphicData>
            </a:graphic>
          </wp:inline>
        </w:drawing>
      </w:r>
      <w:r>
        <w:rPr>
          <w:sz w:val="20"/>
        </w:rPr>
      </w:r>
    </w:p>
    <w:p>
      <w:pPr>
        <w:pStyle w:val="BodyText"/>
        <w:spacing w:before="2"/>
        <w:rPr>
          <w:i/>
          <w:sz w:val="15"/>
        </w:rPr>
      </w:pPr>
    </w:p>
    <w:p>
      <w:pPr>
        <w:pStyle w:val="BodyText"/>
        <w:spacing w:line="278" w:lineRule="auto" w:before="56"/>
        <w:ind w:left="220" w:right="788"/>
      </w:pPr>
      <w:r>
        <w:rPr/>
        <w:t>The </w:t>
      </w:r>
      <w:r>
        <w:rPr>
          <w:b/>
        </w:rPr>
        <w:t>State </w:t>
      </w:r>
      <w:r>
        <w:rPr/>
        <w:t>and </w:t>
      </w:r>
      <w:r>
        <w:rPr>
          <w:b/>
        </w:rPr>
        <w:t>City </w:t>
      </w:r>
      <w:r>
        <w:rPr/>
        <w:t>fields are row fields, </w:t>
      </w:r>
      <w:r>
        <w:rPr>
          <w:b/>
        </w:rPr>
        <w:t>SSN </w:t>
      </w:r>
      <w:r>
        <w:rPr/>
        <w:t>is a page field, there are no column fields, and </w:t>
      </w:r>
      <w:r>
        <w:rPr>
          <w:b/>
        </w:rPr>
        <w:t>Amount </w:t>
      </w:r>
      <w:r>
        <w:rPr/>
        <w:t>is a data field.</w:t>
      </w:r>
    </w:p>
    <w:p>
      <w:pPr>
        <w:pStyle w:val="BodyText"/>
        <w:spacing w:before="3"/>
        <w:rPr>
          <w:sz w:val="16"/>
        </w:rPr>
      </w:pPr>
    </w:p>
    <w:p>
      <w:pPr>
        <w:pStyle w:val="BodyText"/>
        <w:ind w:left="220"/>
      </w:pPr>
      <w:r>
        <w:rPr/>
        <w:t>Row fields provide for and specify how the data is summarized, grouped, and viewed as rows in the PivotTable.</w:t>
      </w:r>
    </w:p>
    <w:p>
      <w:pPr>
        <w:pStyle w:val="BodyText"/>
        <w:spacing w:before="5"/>
        <w:rPr>
          <w:sz w:val="19"/>
        </w:rPr>
      </w:pPr>
    </w:p>
    <w:p>
      <w:pPr>
        <w:pStyle w:val="BodyText"/>
        <w:spacing w:line="276" w:lineRule="auto" w:before="1"/>
        <w:ind w:left="220" w:right="637"/>
      </w:pPr>
      <w:r>
        <w:rPr/>
        <w:t>The row field area always begins in the A1-most column of the PivotTable body area. The layout of page fields does not affect the layout of row fields.</w:t>
      </w:r>
    </w:p>
    <w:p>
      <w:pPr>
        <w:pStyle w:val="BodyText"/>
        <w:spacing w:before="5"/>
        <w:rPr>
          <w:sz w:val="16"/>
        </w:rPr>
      </w:pPr>
    </w:p>
    <w:p>
      <w:pPr>
        <w:spacing w:before="0"/>
        <w:ind w:left="220" w:right="0" w:firstLine="0"/>
        <w:jc w:val="left"/>
        <w:rPr>
          <w:i/>
          <w:sz w:val="22"/>
        </w:rPr>
      </w:pPr>
      <w:r>
        <w:rPr>
          <w:i/>
          <w:sz w:val="22"/>
        </w:rPr>
        <w:t>Row Field Layout - 1 Row Field and 0 Column</w:t>
      </w:r>
      <w:r>
        <w:rPr>
          <w:i/>
          <w:spacing w:val="-19"/>
          <w:sz w:val="22"/>
        </w:rPr>
        <w:t> </w:t>
      </w:r>
      <w:r>
        <w:rPr>
          <w:i/>
          <w:sz w:val="22"/>
        </w:rPr>
        <w:t>Fields</w:t>
      </w:r>
    </w:p>
    <w:p>
      <w:pPr>
        <w:pStyle w:val="BodyText"/>
        <w:spacing w:before="9"/>
        <w:rPr>
          <w:i/>
          <w:sz w:val="19"/>
        </w:rPr>
      </w:pPr>
    </w:p>
    <w:p>
      <w:pPr>
        <w:pStyle w:val="BodyText"/>
        <w:ind w:left="220"/>
      </w:pPr>
      <w:r>
        <w:rPr/>
        <w:t>When there is only 1 row field and 0 column</w:t>
      </w:r>
      <w:r>
        <w:rPr>
          <w:spacing w:val="-15"/>
        </w:rPr>
        <w:t> </w:t>
      </w:r>
      <w:r>
        <w:rPr/>
        <w:t>fields,</w:t>
      </w:r>
    </w:p>
    <w:p>
      <w:pPr>
        <w:pStyle w:val="BodyText"/>
        <w:spacing w:before="5"/>
        <w:rPr>
          <w:sz w:val="19"/>
        </w:rPr>
      </w:pPr>
    </w:p>
    <w:p>
      <w:pPr>
        <w:pStyle w:val="BodyText"/>
        <w:spacing w:before="1"/>
        <w:ind w:left="940"/>
      </w:pPr>
      <w:r>
        <w:rPr/>
        <w:t>the first row field is located in the A1-most cell of the PivotTable body, and</w:t>
      </w:r>
    </w:p>
    <w:p>
      <w:pPr>
        <w:pStyle w:val="BodyText"/>
        <w:spacing w:line="453" w:lineRule="auto" w:before="43"/>
        <w:ind w:left="220" w:right="857" w:firstLine="720"/>
        <w:rPr>
          <w:i/>
        </w:rPr>
      </w:pPr>
      <w:r>
        <w:rPr/>
        <w:drawing>
          <wp:anchor distT="0" distB="0" distL="0" distR="0" allowOverlap="1" layoutInCell="1" locked="0" behindDoc="0" simplePos="0" relativeHeight="251709440">
            <wp:simplePos x="0" y="0"/>
            <wp:positionH relativeFrom="page">
              <wp:posOffset>705612</wp:posOffset>
            </wp:positionH>
            <wp:positionV relativeFrom="paragraph">
              <wp:posOffset>673019</wp:posOffset>
            </wp:positionV>
            <wp:extent cx="1769364" cy="1043940"/>
            <wp:effectExtent l="0" t="0" r="0" b="0"/>
            <wp:wrapNone/>
            <wp:docPr id="75" name="image37.png"/>
            <wp:cNvGraphicFramePr>
              <a:graphicFrameLocks noChangeAspect="1"/>
            </wp:cNvGraphicFramePr>
            <a:graphic>
              <a:graphicData uri="http://schemas.openxmlformats.org/drawingml/2006/picture">
                <pic:pic>
                  <pic:nvPicPr>
                    <pic:cNvPr id="76" name="image37.png"/>
                    <pic:cNvPicPr/>
                  </pic:nvPicPr>
                  <pic:blipFill>
                    <a:blip r:embed="rId131" cstate="print"/>
                    <a:stretch>
                      <a:fillRect/>
                    </a:stretch>
                  </pic:blipFill>
                  <pic:spPr>
                    <a:xfrm>
                      <a:off x="0" y="0"/>
                      <a:ext cx="1769364" cy="1043940"/>
                    </a:xfrm>
                    <a:prstGeom prst="rect">
                      <a:avLst/>
                    </a:prstGeom>
                  </pic:spPr>
                </pic:pic>
              </a:graphicData>
            </a:graphic>
          </wp:anchor>
        </w:drawing>
      </w:r>
      <w:r>
        <w:rPr/>
        <w:t>the values for that field are expressed in the cells directly under that row field, in the same column. [</w:t>
      </w:r>
      <w:r>
        <w:rPr>
          <w:i/>
        </w:rPr>
        <w:t>Example:</w:t>
      </w:r>
    </w:p>
    <w:p>
      <w:pPr>
        <w:pStyle w:val="BodyText"/>
        <w:rPr>
          <w:i/>
        </w:rPr>
      </w:pPr>
    </w:p>
    <w:p>
      <w:pPr>
        <w:pStyle w:val="BodyText"/>
        <w:rPr>
          <w:i/>
        </w:rPr>
      </w:pPr>
    </w:p>
    <w:p>
      <w:pPr>
        <w:pStyle w:val="BodyText"/>
        <w:rPr>
          <w:i/>
          <w:sz w:val="23"/>
        </w:rPr>
      </w:pPr>
    </w:p>
    <w:p>
      <w:pPr>
        <w:pStyle w:val="BodyText"/>
        <w:spacing w:line="276" w:lineRule="auto" w:before="1"/>
        <w:ind w:left="3221" w:right="455"/>
      </w:pPr>
      <w:r>
        <w:rPr/>
        <w:t>In this example, there are no page fields, no column fields, </w:t>
      </w:r>
      <w:r>
        <w:rPr>
          <w:b/>
        </w:rPr>
        <w:t>State </w:t>
      </w:r>
      <w:r>
        <w:rPr/>
        <w:t>is a row field, and </w:t>
      </w:r>
      <w:r>
        <w:rPr>
          <w:b/>
        </w:rPr>
        <w:t>Amount </w:t>
      </w:r>
      <w:r>
        <w:rPr/>
        <w:t>is a data field. </w:t>
      </w:r>
      <w:r>
        <w:rPr>
          <w:i/>
        </w:rPr>
        <w:t>end example</w:t>
      </w:r>
      <w:r>
        <w:rPr/>
        <w:t>]</w:t>
      </w:r>
    </w:p>
    <w:p>
      <w:pPr>
        <w:pStyle w:val="BodyText"/>
        <w:spacing w:before="6"/>
        <w:rPr>
          <w:sz w:val="16"/>
        </w:rPr>
      </w:pPr>
    </w:p>
    <w:p>
      <w:pPr>
        <w:spacing w:before="0"/>
        <w:ind w:left="3221" w:right="0" w:firstLine="0"/>
        <w:jc w:val="left"/>
        <w:rPr>
          <w:i/>
          <w:sz w:val="22"/>
        </w:rPr>
      </w:pPr>
      <w:r>
        <w:rPr>
          <w:i/>
          <w:sz w:val="22"/>
        </w:rPr>
        <w:t>Row Field Layout - 2 or More Row Fields and 0 Column Fields</w:t>
      </w:r>
    </w:p>
    <w:p>
      <w:pPr>
        <w:pStyle w:val="BodyText"/>
        <w:spacing w:before="8"/>
        <w:rPr>
          <w:i/>
          <w:sz w:val="19"/>
        </w:rPr>
      </w:pPr>
    </w:p>
    <w:p>
      <w:pPr>
        <w:pStyle w:val="BodyText"/>
        <w:ind w:left="220"/>
      </w:pPr>
      <w:r>
        <w:rPr/>
        <w:t>When there are 2 or more row fields and 0 column fields to be displayed,</w:t>
      </w:r>
    </w:p>
    <w:p>
      <w:pPr>
        <w:pStyle w:val="BodyText"/>
        <w:spacing w:before="6"/>
        <w:rPr>
          <w:sz w:val="19"/>
        </w:rPr>
      </w:pPr>
    </w:p>
    <w:p>
      <w:pPr>
        <w:pStyle w:val="ListParagraph"/>
        <w:numPr>
          <w:ilvl w:val="4"/>
          <w:numId w:val="42"/>
        </w:numPr>
        <w:tabs>
          <w:tab w:pos="940" w:val="left" w:leader="none"/>
          <w:tab w:pos="941" w:val="left" w:leader="none"/>
        </w:tabs>
        <w:spacing w:line="240" w:lineRule="auto" w:before="0" w:after="0"/>
        <w:ind w:left="940" w:right="0" w:hanging="361"/>
        <w:jc w:val="left"/>
        <w:rPr>
          <w:sz w:val="22"/>
        </w:rPr>
      </w:pPr>
      <w:r>
        <w:rPr>
          <w:sz w:val="22"/>
        </w:rPr>
        <w:t>the row field labels are located adjacent to each other and in the same row as the first row field</w:t>
      </w:r>
      <w:r>
        <w:rPr>
          <w:spacing w:val="-15"/>
          <w:sz w:val="22"/>
        </w:rPr>
        <w:t> </w:t>
      </w:r>
      <w:r>
        <w:rPr>
          <w:sz w:val="22"/>
        </w:rPr>
        <w:t>label</w:t>
      </w:r>
    </w:p>
    <w:p>
      <w:pPr>
        <w:pStyle w:val="ListParagraph"/>
        <w:numPr>
          <w:ilvl w:val="4"/>
          <w:numId w:val="42"/>
        </w:numPr>
        <w:tabs>
          <w:tab w:pos="940" w:val="left" w:leader="none"/>
          <w:tab w:pos="941" w:val="left" w:leader="none"/>
        </w:tabs>
        <w:spacing w:line="276" w:lineRule="auto" w:before="41" w:after="0"/>
        <w:ind w:left="940" w:right="797" w:hanging="360"/>
        <w:jc w:val="left"/>
        <w:rPr>
          <w:sz w:val="22"/>
        </w:rPr>
      </w:pPr>
      <w:r>
        <w:rPr>
          <w:sz w:val="22"/>
        </w:rPr>
        <w:t>Each corresponding set of values for the row field in question are located in the cells under that row field (same</w:t>
      </w:r>
      <w:r>
        <w:rPr>
          <w:spacing w:val="-4"/>
          <w:sz w:val="22"/>
        </w:rPr>
        <w:t> </w:t>
      </w:r>
      <w:r>
        <w:rPr>
          <w:sz w:val="22"/>
        </w:rPr>
        <w:t>column)</w:t>
      </w:r>
    </w:p>
    <w:p>
      <w:pPr>
        <w:spacing w:after="0" w:line="276" w:lineRule="auto"/>
        <w:jc w:val="left"/>
        <w:rPr>
          <w:sz w:val="22"/>
        </w:rPr>
        <w:sectPr>
          <w:pgSz w:w="12240" w:h="15840"/>
          <w:pgMar w:header="761" w:footer="746" w:top="1340" w:bottom="940" w:left="860" w:right="700"/>
        </w:sectPr>
      </w:pPr>
    </w:p>
    <w:p>
      <w:pPr>
        <w:pStyle w:val="ListParagraph"/>
        <w:numPr>
          <w:ilvl w:val="4"/>
          <w:numId w:val="42"/>
        </w:numPr>
        <w:tabs>
          <w:tab w:pos="940" w:val="left" w:leader="none"/>
          <w:tab w:pos="941" w:val="left" w:leader="none"/>
        </w:tabs>
        <w:spacing w:line="276" w:lineRule="auto" w:before="148" w:after="0"/>
        <w:ind w:left="940" w:right="396" w:hanging="360"/>
        <w:jc w:val="left"/>
        <w:rPr>
          <w:sz w:val="22"/>
        </w:rPr>
      </w:pPr>
      <w:r>
        <w:rPr>
          <w:sz w:val="22"/>
        </w:rPr>
        <w:t>Innermost row field values (the ones closest to the data summary area) are grouped and organized by values in the next outer row field, in the following fashion: starting with the outermost row field, the first value is listed. For the next innermost row field, starting on the next row and over one column (toward the data summary area), the value list for that field begins. If that is the innermost row field, all values are listed for that row field, and then moving down a row and back to the outer column, the next value for the outermost row field is listed. If there are more inner row fields, the same layout rules apply until the innermost row field is</w:t>
      </w:r>
      <w:r>
        <w:rPr>
          <w:spacing w:val="-3"/>
          <w:sz w:val="22"/>
        </w:rPr>
        <w:t> </w:t>
      </w:r>
      <w:r>
        <w:rPr>
          <w:sz w:val="22"/>
        </w:rPr>
        <w:t>reached.</w:t>
      </w:r>
    </w:p>
    <w:p>
      <w:pPr>
        <w:pStyle w:val="ListParagraph"/>
        <w:numPr>
          <w:ilvl w:val="4"/>
          <w:numId w:val="42"/>
        </w:numPr>
        <w:tabs>
          <w:tab w:pos="940" w:val="left" w:leader="none"/>
          <w:tab w:pos="941" w:val="left" w:leader="none"/>
        </w:tabs>
        <w:spacing w:line="446" w:lineRule="auto" w:before="1" w:after="19"/>
        <w:ind w:left="220" w:right="1012" w:firstLine="360"/>
        <w:jc w:val="left"/>
        <w:rPr>
          <w:i/>
          <w:sz w:val="22"/>
        </w:rPr>
      </w:pPr>
      <w:r>
        <w:rPr>
          <w:sz w:val="22"/>
        </w:rPr>
        <w:t>In this case of 0 column fields, only the top row of the PivotTable body is used for row field labels. [</w:t>
      </w:r>
      <w:r>
        <w:rPr>
          <w:i/>
          <w:sz w:val="22"/>
        </w:rPr>
        <w:t>Example:</w:t>
      </w:r>
    </w:p>
    <w:p>
      <w:pPr>
        <w:pStyle w:val="BodyText"/>
        <w:ind w:left="251"/>
        <w:rPr>
          <w:sz w:val="20"/>
        </w:rPr>
      </w:pPr>
      <w:r>
        <w:rPr>
          <w:sz w:val="20"/>
        </w:rPr>
        <w:drawing>
          <wp:inline distT="0" distB="0" distL="0" distR="0">
            <wp:extent cx="3804272" cy="3448050"/>
            <wp:effectExtent l="0" t="0" r="0" b="0"/>
            <wp:docPr id="77" name="image38.png"/>
            <wp:cNvGraphicFramePr>
              <a:graphicFrameLocks noChangeAspect="1"/>
            </wp:cNvGraphicFramePr>
            <a:graphic>
              <a:graphicData uri="http://schemas.openxmlformats.org/drawingml/2006/picture">
                <pic:pic>
                  <pic:nvPicPr>
                    <pic:cNvPr id="78" name="image38.png"/>
                    <pic:cNvPicPr/>
                  </pic:nvPicPr>
                  <pic:blipFill>
                    <a:blip r:embed="rId132" cstate="print"/>
                    <a:stretch>
                      <a:fillRect/>
                    </a:stretch>
                  </pic:blipFill>
                  <pic:spPr>
                    <a:xfrm>
                      <a:off x="0" y="0"/>
                      <a:ext cx="3804272" cy="3448050"/>
                    </a:xfrm>
                    <a:prstGeom prst="rect">
                      <a:avLst/>
                    </a:prstGeom>
                  </pic:spPr>
                </pic:pic>
              </a:graphicData>
            </a:graphic>
          </wp:inline>
        </w:drawing>
      </w:r>
      <w:r>
        <w:rPr>
          <w:sz w:val="20"/>
        </w:rPr>
      </w:r>
    </w:p>
    <w:p>
      <w:pPr>
        <w:pStyle w:val="BodyText"/>
        <w:rPr>
          <w:i/>
          <w:sz w:val="20"/>
        </w:rPr>
      </w:pPr>
    </w:p>
    <w:p>
      <w:pPr>
        <w:spacing w:line="276" w:lineRule="auto" w:before="0"/>
        <w:ind w:left="220" w:right="503" w:firstLine="0"/>
        <w:jc w:val="left"/>
        <w:rPr>
          <w:sz w:val="22"/>
        </w:rPr>
      </w:pPr>
      <w:r>
        <w:rPr>
          <w:sz w:val="22"/>
        </w:rPr>
        <w:t>In this example </w:t>
      </w:r>
      <w:r>
        <w:rPr>
          <w:b/>
          <w:sz w:val="22"/>
        </w:rPr>
        <w:t>Postal Code</w:t>
      </w:r>
      <w:r>
        <w:rPr>
          <w:sz w:val="22"/>
        </w:rPr>
        <w:t>, </w:t>
      </w:r>
      <w:r>
        <w:rPr>
          <w:b/>
          <w:sz w:val="22"/>
        </w:rPr>
        <w:t>State</w:t>
      </w:r>
      <w:r>
        <w:rPr>
          <w:sz w:val="22"/>
        </w:rPr>
        <w:t>, and </w:t>
      </w:r>
      <w:r>
        <w:rPr>
          <w:b/>
          <w:sz w:val="22"/>
        </w:rPr>
        <w:t>City </w:t>
      </w:r>
      <w:r>
        <w:rPr>
          <w:sz w:val="22"/>
        </w:rPr>
        <w:t>are row fields and </w:t>
      </w:r>
      <w:r>
        <w:rPr>
          <w:b/>
          <w:sz w:val="22"/>
        </w:rPr>
        <w:t>Amount </w:t>
      </w:r>
      <w:r>
        <w:rPr>
          <w:sz w:val="22"/>
        </w:rPr>
        <w:t>is a data field. There are no page fields and no column fields. </w:t>
      </w:r>
      <w:r>
        <w:rPr>
          <w:i/>
          <w:sz w:val="22"/>
        </w:rPr>
        <w:t>end example</w:t>
      </w:r>
      <w:r>
        <w:rPr>
          <w:sz w:val="22"/>
        </w:rPr>
        <w:t>]</w:t>
      </w:r>
    </w:p>
    <w:p>
      <w:pPr>
        <w:pStyle w:val="BodyText"/>
        <w:spacing w:before="5"/>
        <w:rPr>
          <w:sz w:val="16"/>
        </w:rPr>
      </w:pPr>
    </w:p>
    <w:p>
      <w:pPr>
        <w:spacing w:before="0"/>
        <w:ind w:left="220" w:right="0" w:firstLine="0"/>
        <w:jc w:val="left"/>
        <w:rPr>
          <w:i/>
          <w:sz w:val="22"/>
        </w:rPr>
      </w:pPr>
      <w:r>
        <w:rPr>
          <w:i/>
          <w:sz w:val="22"/>
        </w:rPr>
        <w:t>Row Field Layout - 1 or More Row Fields and 1 or More Column Fields</w:t>
      </w:r>
    </w:p>
    <w:p>
      <w:pPr>
        <w:pStyle w:val="BodyText"/>
        <w:spacing w:before="6"/>
        <w:rPr>
          <w:i/>
          <w:sz w:val="19"/>
        </w:rPr>
      </w:pPr>
    </w:p>
    <w:p>
      <w:pPr>
        <w:pStyle w:val="BodyText"/>
        <w:spacing w:line="278" w:lineRule="auto"/>
        <w:ind w:left="220" w:right="465"/>
        <w:jc w:val="both"/>
      </w:pPr>
      <w:r>
        <w:rPr/>
        <w:t>When</w:t>
      </w:r>
      <w:r>
        <w:rPr>
          <w:spacing w:val="-2"/>
        </w:rPr>
        <w:t> </w:t>
      </w:r>
      <w:r>
        <w:rPr/>
        <w:t>there are row fields</w:t>
      </w:r>
      <w:r>
        <w:rPr>
          <w:spacing w:val="-3"/>
        </w:rPr>
        <w:t> </w:t>
      </w:r>
      <w:r>
        <w:rPr/>
        <w:t>and</w:t>
      </w:r>
      <w:r>
        <w:rPr>
          <w:spacing w:val="-2"/>
        </w:rPr>
        <w:t> </w:t>
      </w:r>
      <w:r>
        <w:rPr/>
        <w:t>1</w:t>
      </w:r>
      <w:r>
        <w:rPr>
          <w:spacing w:val="-2"/>
        </w:rPr>
        <w:t> </w:t>
      </w:r>
      <w:r>
        <w:rPr/>
        <w:t>or</w:t>
      </w:r>
      <w:r>
        <w:rPr>
          <w:spacing w:val="-2"/>
        </w:rPr>
        <w:t> </w:t>
      </w:r>
      <w:r>
        <w:rPr/>
        <w:t>more column</w:t>
      </w:r>
      <w:r>
        <w:rPr>
          <w:spacing w:val="-5"/>
        </w:rPr>
        <w:t> </w:t>
      </w:r>
      <w:r>
        <w:rPr/>
        <w:t>fields,</w:t>
      </w:r>
      <w:r>
        <w:rPr>
          <w:spacing w:val="-1"/>
        </w:rPr>
        <w:t> </w:t>
      </w:r>
      <w:r>
        <w:rPr/>
        <w:t>the row</w:t>
      </w:r>
      <w:r>
        <w:rPr>
          <w:spacing w:val="-3"/>
        </w:rPr>
        <w:t> </w:t>
      </w:r>
      <w:r>
        <w:rPr/>
        <w:t>fields</w:t>
      </w:r>
      <w:r>
        <w:rPr>
          <w:spacing w:val="-1"/>
        </w:rPr>
        <w:t> </w:t>
      </w:r>
      <w:r>
        <w:rPr/>
        <w:t>are not located</w:t>
      </w:r>
      <w:r>
        <w:rPr>
          <w:spacing w:val="-2"/>
        </w:rPr>
        <w:t> </w:t>
      </w:r>
      <w:r>
        <w:rPr/>
        <w:t>in</w:t>
      </w:r>
      <w:r>
        <w:rPr>
          <w:spacing w:val="-1"/>
        </w:rPr>
        <w:t> </w:t>
      </w:r>
      <w:r>
        <w:rPr/>
        <w:t>the</w:t>
      </w:r>
      <w:r>
        <w:rPr>
          <w:spacing w:val="-4"/>
        </w:rPr>
        <w:t> </w:t>
      </w:r>
      <w:r>
        <w:rPr/>
        <w:t>topmost</w:t>
      </w:r>
      <w:r>
        <w:rPr>
          <w:spacing w:val="-3"/>
        </w:rPr>
        <w:t> </w:t>
      </w:r>
      <w:r>
        <w:rPr/>
        <w:t>row</w:t>
      </w:r>
      <w:r>
        <w:rPr>
          <w:spacing w:val="-3"/>
        </w:rPr>
        <w:t> </w:t>
      </w:r>
      <w:r>
        <w:rPr/>
        <w:t>of</w:t>
      </w:r>
      <w:r>
        <w:rPr>
          <w:spacing w:val="-3"/>
        </w:rPr>
        <w:t> </w:t>
      </w:r>
      <w:r>
        <w:rPr/>
        <w:t>the PivotTable body. Instead the row fields are located in the n+1st topmost row of the PivotTable body, where n is the number of column fields in the</w:t>
      </w:r>
      <w:r>
        <w:rPr>
          <w:spacing w:val="-9"/>
        </w:rPr>
        <w:t> </w:t>
      </w:r>
      <w:r>
        <w:rPr/>
        <w:t>PivotTable.</w:t>
      </w:r>
    </w:p>
    <w:p>
      <w:pPr>
        <w:spacing w:before="197"/>
        <w:ind w:left="220" w:right="0" w:firstLine="0"/>
        <w:jc w:val="left"/>
        <w:rPr>
          <w:i/>
          <w:sz w:val="22"/>
        </w:rPr>
      </w:pPr>
      <w:r>
        <w:rPr>
          <w:sz w:val="22"/>
        </w:rPr>
        <w:t>[</w:t>
      </w:r>
      <w:r>
        <w:rPr>
          <w:i/>
          <w:sz w:val="22"/>
        </w:rPr>
        <w:t>Example:</w:t>
      </w:r>
    </w:p>
    <w:p>
      <w:pPr>
        <w:spacing w:after="0"/>
        <w:jc w:val="left"/>
        <w:rPr>
          <w:sz w:val="22"/>
        </w:rPr>
        <w:sectPr>
          <w:pgSz w:w="12240" w:h="15840"/>
          <w:pgMar w:header="763" w:footer="746" w:top="1340" w:bottom="940" w:left="860" w:right="700"/>
        </w:sectPr>
      </w:pPr>
    </w:p>
    <w:p>
      <w:pPr>
        <w:pStyle w:val="BodyText"/>
        <w:spacing w:before="8"/>
        <w:rPr>
          <w:i/>
          <w:sz w:val="7"/>
        </w:rPr>
      </w:pPr>
    </w:p>
    <w:p>
      <w:pPr>
        <w:pStyle w:val="BodyText"/>
        <w:ind w:left="251"/>
        <w:rPr>
          <w:sz w:val="20"/>
        </w:rPr>
      </w:pPr>
      <w:r>
        <w:rPr>
          <w:sz w:val="20"/>
        </w:rPr>
        <w:drawing>
          <wp:inline distT="0" distB="0" distL="0" distR="0">
            <wp:extent cx="3993037" cy="3619500"/>
            <wp:effectExtent l="0" t="0" r="0" b="0"/>
            <wp:docPr id="79" name="image39.png"/>
            <wp:cNvGraphicFramePr>
              <a:graphicFrameLocks noChangeAspect="1"/>
            </wp:cNvGraphicFramePr>
            <a:graphic>
              <a:graphicData uri="http://schemas.openxmlformats.org/drawingml/2006/picture">
                <pic:pic>
                  <pic:nvPicPr>
                    <pic:cNvPr id="80" name="image39.png"/>
                    <pic:cNvPicPr/>
                  </pic:nvPicPr>
                  <pic:blipFill>
                    <a:blip r:embed="rId135" cstate="print"/>
                    <a:stretch>
                      <a:fillRect/>
                    </a:stretch>
                  </pic:blipFill>
                  <pic:spPr>
                    <a:xfrm>
                      <a:off x="0" y="0"/>
                      <a:ext cx="3993037" cy="3619500"/>
                    </a:xfrm>
                    <a:prstGeom prst="rect">
                      <a:avLst/>
                    </a:prstGeom>
                  </pic:spPr>
                </pic:pic>
              </a:graphicData>
            </a:graphic>
          </wp:inline>
        </w:drawing>
      </w:r>
      <w:r>
        <w:rPr>
          <w:sz w:val="20"/>
        </w:rPr>
      </w:r>
    </w:p>
    <w:p>
      <w:pPr>
        <w:pStyle w:val="BodyText"/>
        <w:spacing w:before="8"/>
        <w:rPr>
          <w:i/>
          <w:sz w:val="14"/>
        </w:rPr>
      </w:pPr>
    </w:p>
    <w:p>
      <w:pPr>
        <w:pStyle w:val="BodyText"/>
        <w:spacing w:line="276" w:lineRule="auto" w:before="56"/>
        <w:ind w:left="220" w:right="398"/>
      </w:pPr>
      <w:r>
        <w:rPr/>
        <w:t>This example shows 3 column fields in the PivotTable (</w:t>
      </w:r>
      <w:r>
        <w:rPr>
          <w:b/>
        </w:rPr>
        <w:t>Postal Code</w:t>
      </w:r>
      <w:r>
        <w:rPr/>
        <w:t>, </w:t>
      </w:r>
      <w:r>
        <w:rPr>
          <w:b/>
        </w:rPr>
        <w:t>State</w:t>
      </w:r>
      <w:r>
        <w:rPr/>
        <w:t>, and </w:t>
      </w:r>
      <w:r>
        <w:rPr>
          <w:b/>
        </w:rPr>
        <w:t>City</w:t>
      </w:r>
      <w:r>
        <w:rPr/>
        <w:t>), a single row field </w:t>
      </w:r>
      <w:r>
        <w:rPr>
          <w:b/>
        </w:rPr>
        <w:t>Last Name</w:t>
      </w:r>
      <w:r>
        <w:rPr/>
        <w:t>, and a single data field </w:t>
      </w:r>
      <w:r>
        <w:rPr>
          <w:b/>
        </w:rPr>
        <w:t>Amount</w:t>
      </w:r>
      <w:r>
        <w:rPr/>
        <w:t>. The PivotTable body area begins at B5 and the row field label </w:t>
      </w:r>
      <w:r>
        <w:rPr>
          <w:b/>
        </w:rPr>
        <w:t>Last Name </w:t>
      </w:r>
      <w:r>
        <w:rPr/>
        <w:t>is located in the 4th row of the PivotTable body area, in row 8 of the spreadsheet, cell B8. Since </w:t>
      </w:r>
      <w:r>
        <w:rPr>
          <w:b/>
        </w:rPr>
        <w:t>Last Name </w:t>
      </w:r>
      <w:r>
        <w:rPr/>
        <w:t>is the only row field in this example, its row field values begin and are listed directly under the label. </w:t>
      </w:r>
      <w:r>
        <w:rPr>
          <w:i/>
        </w:rPr>
        <w:t>end</w:t>
      </w:r>
      <w:r>
        <w:rPr>
          <w:i/>
          <w:spacing w:val="-23"/>
        </w:rPr>
        <w:t> </w:t>
      </w:r>
      <w:r>
        <w:rPr>
          <w:i/>
        </w:rPr>
        <w:t>example</w:t>
      </w:r>
      <w:r>
        <w:rPr/>
        <w:t>]</w:t>
      </w:r>
    </w:p>
    <w:p>
      <w:pPr>
        <w:pStyle w:val="BodyText"/>
        <w:spacing w:before="8"/>
        <w:rPr>
          <w:sz w:val="16"/>
        </w:rPr>
      </w:pPr>
    </w:p>
    <w:p>
      <w:pPr>
        <w:spacing w:before="0"/>
        <w:ind w:left="220" w:right="0" w:firstLine="0"/>
        <w:jc w:val="left"/>
        <w:rPr>
          <w:i/>
          <w:sz w:val="22"/>
        </w:rPr>
      </w:pPr>
      <w:r>
        <w:rPr>
          <w:i/>
          <w:sz w:val="22"/>
        </w:rPr>
        <w:t>Column Field Layout</w:t>
      </w:r>
    </w:p>
    <w:p>
      <w:pPr>
        <w:spacing w:after="0"/>
        <w:jc w:val="left"/>
        <w:rPr>
          <w:sz w:val="22"/>
        </w:rPr>
        <w:sectPr>
          <w:footerReference w:type="even" r:id="rId133"/>
          <w:footerReference w:type="default" r:id="rId134"/>
          <w:pgSz w:w="12240" w:h="15840"/>
          <w:pgMar w:footer="746" w:header="761" w:top="1340" w:bottom="940" w:left="860" w:right="700"/>
          <w:pgNumType w:start="1910"/>
        </w:sectPr>
      </w:pPr>
    </w:p>
    <w:p>
      <w:pPr>
        <w:pStyle w:val="BodyText"/>
        <w:spacing w:before="4"/>
        <w:rPr>
          <w:i/>
          <w:sz w:val="12"/>
        </w:rPr>
      </w:pPr>
    </w:p>
    <w:p>
      <w:pPr>
        <w:pStyle w:val="BodyText"/>
        <w:ind w:left="251"/>
        <w:rPr>
          <w:sz w:val="20"/>
        </w:rPr>
      </w:pPr>
      <w:r>
        <w:rPr>
          <w:sz w:val="20"/>
        </w:rPr>
        <w:drawing>
          <wp:inline distT="0" distB="0" distL="0" distR="0">
            <wp:extent cx="5491568" cy="3238500"/>
            <wp:effectExtent l="0" t="0" r="0" b="0"/>
            <wp:docPr id="81" name="image40.png"/>
            <wp:cNvGraphicFramePr>
              <a:graphicFrameLocks noChangeAspect="1"/>
            </wp:cNvGraphicFramePr>
            <a:graphic>
              <a:graphicData uri="http://schemas.openxmlformats.org/drawingml/2006/picture">
                <pic:pic>
                  <pic:nvPicPr>
                    <pic:cNvPr id="82" name="image40.png"/>
                    <pic:cNvPicPr/>
                  </pic:nvPicPr>
                  <pic:blipFill>
                    <a:blip r:embed="rId136" cstate="print"/>
                    <a:stretch>
                      <a:fillRect/>
                    </a:stretch>
                  </pic:blipFill>
                  <pic:spPr>
                    <a:xfrm>
                      <a:off x="0" y="0"/>
                      <a:ext cx="5491568" cy="3238500"/>
                    </a:xfrm>
                    <a:prstGeom prst="rect">
                      <a:avLst/>
                    </a:prstGeom>
                  </pic:spPr>
                </pic:pic>
              </a:graphicData>
            </a:graphic>
          </wp:inline>
        </w:drawing>
      </w:r>
      <w:r>
        <w:rPr>
          <w:sz w:val="20"/>
        </w:rPr>
      </w:r>
    </w:p>
    <w:p>
      <w:pPr>
        <w:pStyle w:val="BodyText"/>
        <w:spacing w:before="8"/>
        <w:rPr>
          <w:i/>
          <w:sz w:val="14"/>
        </w:rPr>
      </w:pPr>
    </w:p>
    <w:p>
      <w:pPr>
        <w:spacing w:before="56"/>
        <w:ind w:left="220" w:right="0" w:firstLine="0"/>
        <w:jc w:val="left"/>
        <w:rPr>
          <w:sz w:val="22"/>
        </w:rPr>
      </w:pPr>
      <w:r>
        <w:rPr>
          <w:b/>
          <w:sz w:val="22"/>
        </w:rPr>
        <w:t>State </w:t>
      </w:r>
      <w:r>
        <w:rPr>
          <w:sz w:val="22"/>
        </w:rPr>
        <w:t>and </w:t>
      </w:r>
      <w:r>
        <w:rPr>
          <w:b/>
          <w:sz w:val="22"/>
        </w:rPr>
        <w:t>City </w:t>
      </w:r>
      <w:r>
        <w:rPr>
          <w:sz w:val="22"/>
        </w:rPr>
        <w:t>are column fields, </w:t>
      </w:r>
      <w:r>
        <w:rPr>
          <w:b/>
          <w:sz w:val="22"/>
        </w:rPr>
        <w:t>Last Name </w:t>
      </w:r>
      <w:r>
        <w:rPr>
          <w:sz w:val="22"/>
        </w:rPr>
        <w:t>is a row field, and </w:t>
      </w:r>
      <w:r>
        <w:rPr>
          <w:b/>
          <w:sz w:val="22"/>
        </w:rPr>
        <w:t>Amount </w:t>
      </w:r>
      <w:r>
        <w:rPr>
          <w:sz w:val="22"/>
        </w:rPr>
        <w:t>is a data field.</w:t>
      </w:r>
    </w:p>
    <w:p>
      <w:pPr>
        <w:pStyle w:val="BodyText"/>
        <w:spacing w:before="6"/>
        <w:rPr>
          <w:sz w:val="19"/>
        </w:rPr>
      </w:pPr>
    </w:p>
    <w:p>
      <w:pPr>
        <w:pStyle w:val="BodyText"/>
        <w:spacing w:line="278" w:lineRule="auto"/>
        <w:ind w:left="220" w:right="889"/>
      </w:pPr>
      <w:r>
        <w:rPr/>
        <w:t>Column fields provide for and specify how the data is summarized, grouped, and viewed horizontally in the PivotTable.</w:t>
      </w:r>
    </w:p>
    <w:p>
      <w:pPr>
        <w:pStyle w:val="BodyText"/>
        <w:spacing w:before="2"/>
        <w:rPr>
          <w:sz w:val="16"/>
        </w:rPr>
      </w:pPr>
    </w:p>
    <w:p>
      <w:pPr>
        <w:pStyle w:val="BodyText"/>
        <w:spacing w:before="1"/>
        <w:ind w:left="220"/>
      </w:pPr>
      <w:r>
        <w:rPr/>
        <w:t>The layout of page fields does not affect the layout of column fields.</w:t>
      </w:r>
    </w:p>
    <w:p>
      <w:pPr>
        <w:pStyle w:val="BodyText"/>
        <w:spacing w:before="8"/>
        <w:rPr>
          <w:sz w:val="19"/>
        </w:rPr>
      </w:pPr>
    </w:p>
    <w:p>
      <w:pPr>
        <w:pStyle w:val="BodyText"/>
        <w:ind w:left="220"/>
      </w:pPr>
      <w:r>
        <w:rPr/>
        <w:t>The column field label area is always located in the top row of the PivotTable body.</w:t>
      </w:r>
    </w:p>
    <w:p>
      <w:pPr>
        <w:pStyle w:val="BodyText"/>
        <w:spacing w:before="9"/>
        <w:rPr>
          <w:sz w:val="19"/>
        </w:rPr>
      </w:pPr>
    </w:p>
    <w:p>
      <w:pPr>
        <w:spacing w:before="0"/>
        <w:ind w:left="220" w:right="0" w:firstLine="0"/>
        <w:jc w:val="left"/>
        <w:rPr>
          <w:i/>
          <w:sz w:val="22"/>
        </w:rPr>
      </w:pPr>
      <w:r>
        <w:rPr>
          <w:i/>
          <w:sz w:val="22"/>
        </w:rPr>
        <w:t>Column Field Layout - 0 Row Fields and 0 Data</w:t>
      </w:r>
      <w:r>
        <w:rPr>
          <w:i/>
          <w:spacing w:val="-16"/>
          <w:sz w:val="22"/>
        </w:rPr>
        <w:t> </w:t>
      </w:r>
      <w:r>
        <w:rPr>
          <w:i/>
          <w:sz w:val="22"/>
        </w:rPr>
        <w:t>Fields</w:t>
      </w:r>
    </w:p>
    <w:p>
      <w:pPr>
        <w:pStyle w:val="BodyText"/>
        <w:spacing w:before="6"/>
        <w:rPr>
          <w:i/>
          <w:sz w:val="19"/>
        </w:rPr>
      </w:pPr>
    </w:p>
    <w:p>
      <w:pPr>
        <w:pStyle w:val="ListParagraph"/>
        <w:numPr>
          <w:ilvl w:val="4"/>
          <w:numId w:val="42"/>
        </w:numPr>
        <w:tabs>
          <w:tab w:pos="940" w:val="left" w:leader="none"/>
          <w:tab w:pos="941" w:val="left" w:leader="none"/>
        </w:tabs>
        <w:spacing w:line="276" w:lineRule="auto" w:before="0" w:after="0"/>
        <w:ind w:left="940" w:right="763" w:hanging="360"/>
        <w:jc w:val="left"/>
        <w:rPr>
          <w:sz w:val="22"/>
        </w:rPr>
      </w:pPr>
      <w:r>
        <w:rPr>
          <w:sz w:val="22"/>
        </w:rPr>
        <w:t>When there are no row fields and no data fields, then the first column field is located in the A1-most column of the PivotTable</w:t>
      </w:r>
      <w:r>
        <w:rPr>
          <w:spacing w:val="-9"/>
          <w:sz w:val="22"/>
        </w:rPr>
        <w:t> </w:t>
      </w:r>
      <w:r>
        <w:rPr>
          <w:sz w:val="22"/>
        </w:rPr>
        <w:t>body.</w:t>
      </w:r>
    </w:p>
    <w:p>
      <w:pPr>
        <w:pStyle w:val="ListParagraph"/>
        <w:numPr>
          <w:ilvl w:val="4"/>
          <w:numId w:val="42"/>
        </w:numPr>
        <w:tabs>
          <w:tab w:pos="940" w:val="left" w:leader="none"/>
          <w:tab w:pos="941" w:val="left" w:leader="none"/>
        </w:tabs>
        <w:spacing w:line="280" w:lineRule="exact" w:before="0" w:after="0"/>
        <w:ind w:left="940" w:right="0" w:hanging="361"/>
        <w:jc w:val="left"/>
        <w:rPr>
          <w:sz w:val="22"/>
        </w:rPr>
      </w:pPr>
      <w:r>
        <w:rPr>
          <w:sz w:val="22"/>
        </w:rPr>
        <w:t>When there are multiple column</w:t>
      </w:r>
      <w:r>
        <w:rPr>
          <w:spacing w:val="-4"/>
          <w:sz w:val="22"/>
        </w:rPr>
        <w:t> </w:t>
      </w:r>
      <w:r>
        <w:rPr>
          <w:sz w:val="22"/>
        </w:rPr>
        <w:t>fields</w:t>
      </w:r>
    </w:p>
    <w:p>
      <w:pPr>
        <w:pStyle w:val="ListParagraph"/>
        <w:numPr>
          <w:ilvl w:val="4"/>
          <w:numId w:val="42"/>
        </w:numPr>
        <w:tabs>
          <w:tab w:pos="940" w:val="left" w:leader="none"/>
          <w:tab w:pos="941" w:val="left" w:leader="none"/>
        </w:tabs>
        <w:spacing w:line="240" w:lineRule="auto" w:before="41" w:after="0"/>
        <w:ind w:left="940" w:right="0" w:hanging="361"/>
        <w:jc w:val="left"/>
        <w:rPr>
          <w:sz w:val="22"/>
        </w:rPr>
      </w:pPr>
      <w:r>
        <w:rPr>
          <w:sz w:val="22"/>
        </w:rPr>
        <w:t>the labels are located adjacent to each other in the same row as the first column field</w:t>
      </w:r>
      <w:r>
        <w:rPr>
          <w:spacing w:val="-13"/>
          <w:sz w:val="22"/>
        </w:rPr>
        <w:t> </w:t>
      </w:r>
      <w:r>
        <w:rPr>
          <w:sz w:val="22"/>
        </w:rPr>
        <w:t>label.</w:t>
      </w:r>
    </w:p>
    <w:p>
      <w:pPr>
        <w:pStyle w:val="ListParagraph"/>
        <w:numPr>
          <w:ilvl w:val="4"/>
          <w:numId w:val="42"/>
        </w:numPr>
        <w:tabs>
          <w:tab w:pos="940" w:val="left" w:leader="none"/>
          <w:tab w:pos="941" w:val="left" w:leader="none"/>
        </w:tabs>
        <w:spacing w:line="276" w:lineRule="auto" w:before="39" w:after="0"/>
        <w:ind w:left="940" w:right="427" w:hanging="360"/>
        <w:jc w:val="left"/>
        <w:rPr>
          <w:sz w:val="22"/>
        </w:rPr>
      </w:pPr>
      <w:r>
        <w:rPr>
          <w:sz w:val="22"/>
        </w:rPr>
        <w:t>Each corresponding set of values for each of the column fields are located in the rows directly below the column field label row and above the data area, one row of values for each column</w:t>
      </w:r>
      <w:r>
        <w:rPr>
          <w:spacing w:val="-27"/>
          <w:sz w:val="22"/>
        </w:rPr>
        <w:t> </w:t>
      </w:r>
      <w:r>
        <w:rPr>
          <w:sz w:val="22"/>
        </w:rPr>
        <w:t>field.</w:t>
      </w:r>
    </w:p>
    <w:p>
      <w:pPr>
        <w:pStyle w:val="ListParagraph"/>
        <w:numPr>
          <w:ilvl w:val="4"/>
          <w:numId w:val="42"/>
        </w:numPr>
        <w:tabs>
          <w:tab w:pos="940" w:val="left" w:leader="none"/>
          <w:tab w:pos="941" w:val="left" w:leader="none"/>
        </w:tabs>
        <w:spacing w:line="240" w:lineRule="auto" w:before="2" w:after="0"/>
        <w:ind w:left="940" w:right="0" w:hanging="361"/>
        <w:jc w:val="left"/>
        <w:rPr>
          <w:sz w:val="22"/>
        </w:rPr>
      </w:pPr>
      <w:r>
        <w:rPr>
          <w:sz w:val="22"/>
        </w:rPr>
        <w:t>The first column field’s values are located in the row directly under the column field</w:t>
      </w:r>
      <w:r>
        <w:rPr>
          <w:spacing w:val="-23"/>
          <w:sz w:val="22"/>
        </w:rPr>
        <w:t> </w:t>
      </w:r>
      <w:r>
        <w:rPr>
          <w:sz w:val="22"/>
        </w:rPr>
        <w:t>row.</w:t>
      </w:r>
    </w:p>
    <w:p>
      <w:pPr>
        <w:pStyle w:val="ListParagraph"/>
        <w:numPr>
          <w:ilvl w:val="4"/>
          <w:numId w:val="42"/>
        </w:numPr>
        <w:tabs>
          <w:tab w:pos="940" w:val="left" w:leader="none"/>
          <w:tab w:pos="941" w:val="left" w:leader="none"/>
        </w:tabs>
        <w:spacing w:line="276" w:lineRule="auto" w:before="39" w:after="0"/>
        <w:ind w:left="940" w:right="381" w:hanging="360"/>
        <w:jc w:val="left"/>
        <w:rPr>
          <w:sz w:val="22"/>
        </w:rPr>
      </w:pPr>
      <w:r>
        <w:rPr>
          <w:sz w:val="22"/>
        </w:rPr>
        <w:t>Column field values are displayed starting directly underneath the first column field label’s cell and filling adjacent cells in the same row. The second column field’s values are located two rows under the column field label row, and values are again displayed starting directly underneath the first column field label’s cell, filling adjacent cells in the same manner as the first set of values. The layout of column field values continues in this way until all column field values are</w:t>
      </w:r>
      <w:r>
        <w:rPr>
          <w:spacing w:val="-18"/>
          <w:sz w:val="22"/>
        </w:rPr>
        <w:t> </w:t>
      </w:r>
      <w:r>
        <w:rPr>
          <w:sz w:val="22"/>
        </w:rPr>
        <w:t>displayed.</w:t>
      </w:r>
    </w:p>
    <w:p>
      <w:pPr>
        <w:pStyle w:val="BodyText"/>
        <w:spacing w:before="5"/>
        <w:rPr>
          <w:sz w:val="16"/>
        </w:rPr>
      </w:pPr>
    </w:p>
    <w:p>
      <w:pPr>
        <w:pStyle w:val="BodyText"/>
        <w:spacing w:line="278" w:lineRule="auto"/>
        <w:ind w:left="220" w:right="378"/>
        <w:rPr>
          <w:i/>
        </w:rPr>
      </w:pPr>
      <w:r>
        <w:rPr/>
        <w:t>Inner column field values (the ones closer to the data summary area) are grouped and organized by values in the next outer column field, similarly to how row field values are grouped. [</w:t>
      </w:r>
      <w:r>
        <w:rPr>
          <w:i/>
        </w:rPr>
        <w:t>Example:</w:t>
      </w:r>
    </w:p>
    <w:p>
      <w:pPr>
        <w:spacing w:after="0" w:line="278" w:lineRule="auto"/>
        <w:sectPr>
          <w:pgSz w:w="12240" w:h="15840"/>
          <w:pgMar w:header="763" w:footer="746" w:top="1340" w:bottom="940" w:left="860" w:right="700"/>
        </w:sectPr>
      </w:pPr>
    </w:p>
    <w:p>
      <w:pPr>
        <w:pStyle w:val="BodyText"/>
        <w:spacing w:before="8"/>
        <w:rPr>
          <w:i/>
          <w:sz w:val="7"/>
        </w:rPr>
      </w:pPr>
    </w:p>
    <w:p>
      <w:pPr>
        <w:pStyle w:val="BodyText"/>
        <w:ind w:left="251"/>
        <w:rPr>
          <w:sz w:val="20"/>
        </w:rPr>
      </w:pPr>
      <w:r>
        <w:rPr>
          <w:sz w:val="20"/>
        </w:rPr>
        <w:drawing>
          <wp:inline distT="0" distB="0" distL="0" distR="0">
            <wp:extent cx="3895344" cy="2552700"/>
            <wp:effectExtent l="0" t="0" r="0" b="0"/>
            <wp:docPr id="83" name="image41.png"/>
            <wp:cNvGraphicFramePr>
              <a:graphicFrameLocks noChangeAspect="1"/>
            </wp:cNvGraphicFramePr>
            <a:graphic>
              <a:graphicData uri="http://schemas.openxmlformats.org/drawingml/2006/picture">
                <pic:pic>
                  <pic:nvPicPr>
                    <pic:cNvPr id="84" name="image41.png"/>
                    <pic:cNvPicPr/>
                  </pic:nvPicPr>
                  <pic:blipFill>
                    <a:blip r:embed="rId137" cstate="print"/>
                    <a:stretch>
                      <a:fillRect/>
                    </a:stretch>
                  </pic:blipFill>
                  <pic:spPr>
                    <a:xfrm>
                      <a:off x="0" y="0"/>
                      <a:ext cx="3895344" cy="2552700"/>
                    </a:xfrm>
                    <a:prstGeom prst="rect">
                      <a:avLst/>
                    </a:prstGeom>
                  </pic:spPr>
                </pic:pic>
              </a:graphicData>
            </a:graphic>
          </wp:inline>
        </w:drawing>
      </w:r>
      <w:r>
        <w:rPr>
          <w:sz w:val="20"/>
        </w:rPr>
      </w:r>
    </w:p>
    <w:p>
      <w:pPr>
        <w:pStyle w:val="BodyText"/>
        <w:spacing w:before="11"/>
        <w:rPr>
          <w:i/>
          <w:sz w:val="14"/>
        </w:rPr>
      </w:pPr>
    </w:p>
    <w:p>
      <w:pPr>
        <w:pStyle w:val="BodyText"/>
        <w:spacing w:before="56"/>
        <w:ind w:left="220"/>
      </w:pPr>
      <w:r>
        <w:rPr/>
        <w:t>In this example, </w:t>
      </w:r>
      <w:r>
        <w:rPr>
          <w:b/>
        </w:rPr>
        <w:t>State </w:t>
      </w:r>
      <w:r>
        <w:rPr/>
        <w:t>and </w:t>
      </w:r>
      <w:r>
        <w:rPr>
          <w:b/>
        </w:rPr>
        <w:t>City </w:t>
      </w:r>
      <w:r>
        <w:rPr/>
        <w:t>are column fields, and there are no row fields, no page fields, and no data fields.</w:t>
      </w:r>
    </w:p>
    <w:p>
      <w:pPr>
        <w:spacing w:before="41"/>
        <w:ind w:left="220" w:right="0" w:firstLine="0"/>
        <w:jc w:val="left"/>
        <w:rPr>
          <w:sz w:val="22"/>
        </w:rPr>
      </w:pPr>
      <w:r>
        <w:rPr>
          <w:i/>
          <w:sz w:val="22"/>
        </w:rPr>
        <w:t>end example</w:t>
      </w:r>
      <w:r>
        <w:rPr>
          <w:sz w:val="22"/>
        </w:rPr>
        <w:t>]</w:t>
      </w:r>
    </w:p>
    <w:p>
      <w:pPr>
        <w:pStyle w:val="BodyText"/>
        <w:spacing w:before="8"/>
        <w:rPr>
          <w:sz w:val="19"/>
        </w:rPr>
      </w:pPr>
    </w:p>
    <w:p>
      <w:pPr>
        <w:spacing w:before="0"/>
        <w:ind w:left="220" w:right="0" w:firstLine="0"/>
        <w:jc w:val="left"/>
        <w:rPr>
          <w:i/>
          <w:sz w:val="22"/>
        </w:rPr>
      </w:pPr>
      <w:r>
        <w:rPr>
          <w:i/>
          <w:sz w:val="22"/>
        </w:rPr>
        <w:t>Column Field Layout – 1 or More Column Fields and 1 or More Row Fields</w:t>
      </w:r>
    </w:p>
    <w:p>
      <w:pPr>
        <w:pStyle w:val="BodyText"/>
        <w:spacing w:before="8"/>
        <w:rPr>
          <w:i/>
          <w:sz w:val="19"/>
        </w:rPr>
      </w:pPr>
    </w:p>
    <w:p>
      <w:pPr>
        <w:pStyle w:val="BodyText"/>
        <w:spacing w:before="1"/>
        <w:ind w:left="220"/>
      </w:pPr>
      <w:r>
        <w:rPr/>
        <w:t>When there are 1 or more column fields and 1 or more row fields in the PivotTable, then:</w:t>
      </w:r>
    </w:p>
    <w:p>
      <w:pPr>
        <w:pStyle w:val="BodyText"/>
        <w:spacing w:before="6"/>
        <w:rPr>
          <w:sz w:val="19"/>
        </w:rPr>
      </w:pPr>
    </w:p>
    <w:p>
      <w:pPr>
        <w:pStyle w:val="ListParagraph"/>
        <w:numPr>
          <w:ilvl w:val="4"/>
          <w:numId w:val="42"/>
        </w:numPr>
        <w:tabs>
          <w:tab w:pos="940" w:val="left" w:leader="none"/>
          <w:tab w:pos="941" w:val="left" w:leader="none"/>
        </w:tabs>
        <w:spacing w:line="240" w:lineRule="auto" w:before="0" w:after="0"/>
        <w:ind w:left="940" w:right="0" w:hanging="361"/>
        <w:jc w:val="left"/>
        <w:rPr>
          <w:sz w:val="22"/>
        </w:rPr>
      </w:pPr>
      <w:r>
        <w:rPr>
          <w:sz w:val="22"/>
        </w:rPr>
        <w:t>First, row fields are displayed according to the row field layout described</w:t>
      </w:r>
      <w:r>
        <w:rPr>
          <w:spacing w:val="-11"/>
          <w:sz w:val="22"/>
        </w:rPr>
        <w:t> </w:t>
      </w:r>
      <w:r>
        <w:rPr>
          <w:sz w:val="22"/>
        </w:rPr>
        <w:t>earlier</w:t>
      </w:r>
    </w:p>
    <w:p>
      <w:pPr>
        <w:pStyle w:val="ListParagraph"/>
        <w:numPr>
          <w:ilvl w:val="4"/>
          <w:numId w:val="42"/>
        </w:numPr>
        <w:tabs>
          <w:tab w:pos="940" w:val="left" w:leader="none"/>
          <w:tab w:pos="941" w:val="left" w:leader="none"/>
        </w:tabs>
        <w:spacing w:line="276" w:lineRule="auto" w:before="41" w:after="0"/>
        <w:ind w:left="940" w:right="754" w:hanging="360"/>
        <w:jc w:val="left"/>
        <w:rPr>
          <w:sz w:val="22"/>
        </w:rPr>
      </w:pPr>
      <w:r>
        <w:rPr>
          <w:sz w:val="22"/>
        </w:rPr>
        <w:t>The first column field label is located in the top row of the PivotTable body area, and adjacent to any row field labels that are</w:t>
      </w:r>
      <w:r>
        <w:rPr>
          <w:spacing w:val="-2"/>
          <w:sz w:val="22"/>
        </w:rPr>
        <w:t> </w:t>
      </w:r>
      <w:r>
        <w:rPr>
          <w:sz w:val="22"/>
        </w:rPr>
        <w:t>displayed.</w:t>
      </w:r>
    </w:p>
    <w:p>
      <w:pPr>
        <w:pStyle w:val="ListParagraph"/>
        <w:numPr>
          <w:ilvl w:val="4"/>
          <w:numId w:val="42"/>
        </w:numPr>
        <w:tabs>
          <w:tab w:pos="940" w:val="left" w:leader="none"/>
          <w:tab w:pos="941" w:val="left" w:leader="none"/>
        </w:tabs>
        <w:spacing w:line="280" w:lineRule="exact" w:before="0" w:after="0"/>
        <w:ind w:left="940" w:right="0" w:hanging="361"/>
        <w:jc w:val="left"/>
        <w:rPr>
          <w:sz w:val="22"/>
        </w:rPr>
      </w:pPr>
      <w:r>
        <w:rPr>
          <w:sz w:val="22"/>
        </w:rPr>
        <w:t>Multiple column fields shall be displayed as described</w:t>
      </w:r>
      <w:r>
        <w:rPr>
          <w:spacing w:val="-9"/>
          <w:sz w:val="22"/>
        </w:rPr>
        <w:t> </w:t>
      </w:r>
      <w:r>
        <w:rPr>
          <w:sz w:val="22"/>
        </w:rPr>
        <w:t>earlier</w:t>
      </w:r>
    </w:p>
    <w:p>
      <w:pPr>
        <w:spacing w:before="243"/>
        <w:ind w:left="220" w:right="0" w:firstLine="0"/>
        <w:jc w:val="left"/>
        <w:rPr>
          <w:sz w:val="22"/>
        </w:rPr>
      </w:pPr>
      <w:r>
        <w:rPr>
          <w:sz w:val="22"/>
        </w:rPr>
        <w:t>[</w:t>
      </w:r>
      <w:r>
        <w:rPr>
          <w:i/>
          <w:sz w:val="22"/>
        </w:rPr>
        <w:t>Example: </w:t>
      </w:r>
      <w:r>
        <w:rPr>
          <w:sz w:val="22"/>
        </w:rPr>
        <w:t>In this example, </w:t>
      </w:r>
      <w:r>
        <w:rPr>
          <w:b/>
          <w:sz w:val="22"/>
        </w:rPr>
        <w:t>State </w:t>
      </w:r>
      <w:r>
        <w:rPr>
          <w:sz w:val="22"/>
        </w:rPr>
        <w:t>and </w:t>
      </w:r>
      <w:r>
        <w:rPr>
          <w:b/>
          <w:sz w:val="22"/>
        </w:rPr>
        <w:t>City </w:t>
      </w:r>
      <w:r>
        <w:rPr>
          <w:sz w:val="22"/>
        </w:rPr>
        <w:t>are column fields, </w:t>
      </w:r>
      <w:r>
        <w:rPr>
          <w:b/>
          <w:sz w:val="22"/>
        </w:rPr>
        <w:t>Amount </w:t>
      </w:r>
      <w:r>
        <w:rPr>
          <w:sz w:val="22"/>
        </w:rPr>
        <w:t>is a data field, and </w:t>
      </w:r>
      <w:r>
        <w:rPr>
          <w:b/>
          <w:sz w:val="22"/>
        </w:rPr>
        <w:t>Last Name </w:t>
      </w:r>
      <w:r>
        <w:rPr>
          <w:sz w:val="22"/>
        </w:rPr>
        <w:t>is a row field.</w:t>
      </w:r>
    </w:p>
    <w:p>
      <w:pPr>
        <w:spacing w:after="0"/>
        <w:jc w:val="left"/>
        <w:rPr>
          <w:sz w:val="22"/>
        </w:rPr>
        <w:sectPr>
          <w:pgSz w:w="12240" w:h="15840"/>
          <w:pgMar w:header="761" w:footer="746" w:top="1340" w:bottom="940" w:left="860" w:right="700"/>
        </w:sectPr>
      </w:pPr>
    </w:p>
    <w:p>
      <w:pPr>
        <w:pStyle w:val="BodyText"/>
        <w:spacing w:before="4"/>
        <w:rPr>
          <w:sz w:val="12"/>
        </w:rPr>
      </w:pPr>
    </w:p>
    <w:p>
      <w:pPr>
        <w:pStyle w:val="BodyText"/>
        <w:ind w:left="251"/>
        <w:rPr>
          <w:sz w:val="20"/>
        </w:rPr>
      </w:pPr>
      <w:r>
        <w:rPr>
          <w:sz w:val="20"/>
        </w:rPr>
        <w:drawing>
          <wp:inline distT="0" distB="0" distL="0" distR="0">
            <wp:extent cx="5551466" cy="3276600"/>
            <wp:effectExtent l="0" t="0" r="0" b="0"/>
            <wp:docPr id="85" name="image42.png"/>
            <wp:cNvGraphicFramePr>
              <a:graphicFrameLocks noChangeAspect="1"/>
            </wp:cNvGraphicFramePr>
            <a:graphic>
              <a:graphicData uri="http://schemas.openxmlformats.org/drawingml/2006/picture">
                <pic:pic>
                  <pic:nvPicPr>
                    <pic:cNvPr id="86" name="image42.png"/>
                    <pic:cNvPicPr/>
                  </pic:nvPicPr>
                  <pic:blipFill>
                    <a:blip r:embed="rId138" cstate="print"/>
                    <a:stretch>
                      <a:fillRect/>
                    </a:stretch>
                  </pic:blipFill>
                  <pic:spPr>
                    <a:xfrm>
                      <a:off x="0" y="0"/>
                      <a:ext cx="5551466" cy="3276600"/>
                    </a:xfrm>
                    <a:prstGeom prst="rect">
                      <a:avLst/>
                    </a:prstGeom>
                  </pic:spPr>
                </pic:pic>
              </a:graphicData>
            </a:graphic>
          </wp:inline>
        </w:drawing>
      </w:r>
      <w:r>
        <w:rPr>
          <w:sz w:val="20"/>
        </w:rPr>
      </w:r>
    </w:p>
    <w:p>
      <w:pPr>
        <w:pStyle w:val="BodyText"/>
        <w:spacing w:before="1"/>
        <w:rPr>
          <w:sz w:val="15"/>
        </w:rPr>
      </w:pPr>
    </w:p>
    <w:p>
      <w:pPr>
        <w:spacing w:line="453" w:lineRule="auto" w:before="56" w:after="2"/>
        <w:ind w:left="220" w:right="8881" w:firstLine="0"/>
        <w:jc w:val="left"/>
        <w:rPr>
          <w:i/>
          <w:sz w:val="22"/>
        </w:rPr>
      </w:pPr>
      <w:r>
        <w:rPr>
          <w:i/>
          <w:sz w:val="22"/>
        </w:rPr>
        <w:t>end example</w:t>
      </w:r>
      <w:r>
        <w:rPr>
          <w:sz w:val="22"/>
        </w:rPr>
        <w:t>] </w:t>
      </w:r>
      <w:r>
        <w:rPr>
          <w:i/>
          <w:sz w:val="22"/>
        </w:rPr>
        <w:t>Data Field Layout</w:t>
      </w:r>
    </w:p>
    <w:p>
      <w:pPr>
        <w:pStyle w:val="BodyText"/>
        <w:ind w:left="251"/>
        <w:rPr>
          <w:sz w:val="20"/>
        </w:rPr>
      </w:pPr>
      <w:r>
        <w:rPr>
          <w:sz w:val="20"/>
        </w:rPr>
        <w:drawing>
          <wp:inline distT="0" distB="0" distL="0" distR="0">
            <wp:extent cx="2677818" cy="2971800"/>
            <wp:effectExtent l="0" t="0" r="0" b="0"/>
            <wp:docPr id="87" name="image43.png"/>
            <wp:cNvGraphicFramePr>
              <a:graphicFrameLocks noChangeAspect="1"/>
            </wp:cNvGraphicFramePr>
            <a:graphic>
              <a:graphicData uri="http://schemas.openxmlformats.org/drawingml/2006/picture">
                <pic:pic>
                  <pic:nvPicPr>
                    <pic:cNvPr id="88" name="image43.png"/>
                    <pic:cNvPicPr/>
                  </pic:nvPicPr>
                  <pic:blipFill>
                    <a:blip r:embed="rId139" cstate="print"/>
                    <a:stretch>
                      <a:fillRect/>
                    </a:stretch>
                  </pic:blipFill>
                  <pic:spPr>
                    <a:xfrm>
                      <a:off x="0" y="0"/>
                      <a:ext cx="2677818" cy="2971800"/>
                    </a:xfrm>
                    <a:prstGeom prst="rect">
                      <a:avLst/>
                    </a:prstGeom>
                  </pic:spPr>
                </pic:pic>
              </a:graphicData>
            </a:graphic>
          </wp:inline>
        </w:drawing>
      </w:r>
      <w:r>
        <w:rPr>
          <w:sz w:val="20"/>
        </w:rPr>
      </w:r>
    </w:p>
    <w:p>
      <w:pPr>
        <w:pStyle w:val="BodyText"/>
        <w:spacing w:before="9"/>
        <w:rPr>
          <w:i/>
          <w:sz w:val="19"/>
        </w:rPr>
      </w:pPr>
    </w:p>
    <w:p>
      <w:pPr>
        <w:spacing w:line="278" w:lineRule="auto" w:before="0"/>
        <w:ind w:left="220" w:right="531" w:firstLine="0"/>
        <w:jc w:val="left"/>
        <w:rPr>
          <w:sz w:val="22"/>
        </w:rPr>
      </w:pPr>
      <w:r>
        <w:rPr>
          <w:b/>
          <w:sz w:val="22"/>
        </w:rPr>
        <w:t>Last Name is a row field, Sum of Amount </w:t>
      </w:r>
      <w:r>
        <w:rPr>
          <w:sz w:val="22"/>
        </w:rPr>
        <w:t>is a data field label, and the data underneath Sum of Amount are the summarized data values.</w:t>
      </w:r>
    </w:p>
    <w:p>
      <w:pPr>
        <w:pStyle w:val="BodyText"/>
        <w:spacing w:before="2"/>
        <w:rPr>
          <w:sz w:val="16"/>
        </w:rPr>
      </w:pPr>
    </w:p>
    <w:p>
      <w:pPr>
        <w:pStyle w:val="BodyText"/>
        <w:ind w:left="220"/>
      </w:pPr>
      <w:r>
        <w:rPr/>
        <w:t>Data fields specify which fields are summarized in the PivotTable report.</w:t>
      </w:r>
    </w:p>
    <w:p>
      <w:pPr>
        <w:spacing w:after="0"/>
        <w:sectPr>
          <w:pgSz w:w="12240" w:h="15840"/>
          <w:pgMar w:header="763" w:footer="746" w:top="1340" w:bottom="940" w:left="860" w:right="700"/>
        </w:sectPr>
      </w:pPr>
    </w:p>
    <w:p>
      <w:pPr>
        <w:pStyle w:val="BodyText"/>
        <w:spacing w:line="276" w:lineRule="auto" w:before="90"/>
        <w:ind w:left="220" w:right="421"/>
      </w:pPr>
      <w:r>
        <w:rPr/>
        <w:t>The summarized data always appears below the column field and value area, and any row field values are closer to column A than any of the summarized data. When there are no row fields and no column fields, the summarized data is located directly under the A1-most cell of the PivotTable body. Each cell in the summarized data area represents an aggregation of a set of records. The set of records that a particular cell is summarizing is determined by looking at the row field value(s) and column field value(s) that intersect on that particular cell, and then determining which records in the source data contain all of those row and column field values.</w:t>
      </w:r>
    </w:p>
    <w:p>
      <w:pPr>
        <w:pStyle w:val="BodyText"/>
        <w:spacing w:before="6"/>
        <w:rPr>
          <w:sz w:val="16"/>
        </w:rPr>
      </w:pPr>
    </w:p>
    <w:p>
      <w:pPr>
        <w:spacing w:before="1"/>
        <w:ind w:left="220" w:right="0" w:firstLine="0"/>
        <w:jc w:val="left"/>
        <w:rPr>
          <w:i/>
          <w:sz w:val="22"/>
        </w:rPr>
      </w:pPr>
      <w:r>
        <w:rPr>
          <w:i/>
          <w:sz w:val="22"/>
        </w:rPr>
        <w:t>Data Field Layout - 0 Row Fields and 0 Column Fields and 1 Data Field</w:t>
      </w:r>
    </w:p>
    <w:p>
      <w:pPr>
        <w:pStyle w:val="BodyText"/>
        <w:spacing w:before="5"/>
        <w:rPr>
          <w:i/>
          <w:sz w:val="19"/>
        </w:rPr>
      </w:pPr>
    </w:p>
    <w:p>
      <w:pPr>
        <w:pStyle w:val="BodyText"/>
        <w:spacing w:line="278" w:lineRule="auto" w:before="1"/>
        <w:ind w:left="220" w:right="378"/>
      </w:pPr>
      <w:r>
        <w:rPr/>
        <w:t>When there are no row fields and no column fields and only 1 data field being summarized, the data field label is located in the A1-most cell of the PivotTable body.</w:t>
      </w:r>
    </w:p>
    <w:p>
      <w:pPr>
        <w:spacing w:before="197"/>
        <w:ind w:left="220" w:right="0" w:firstLine="0"/>
        <w:jc w:val="left"/>
        <w:rPr>
          <w:i/>
          <w:sz w:val="22"/>
        </w:rPr>
      </w:pPr>
      <w:r>
        <w:rPr>
          <w:sz w:val="22"/>
        </w:rPr>
        <w:t>[</w:t>
      </w:r>
      <w:r>
        <w:rPr>
          <w:i/>
          <w:sz w:val="22"/>
        </w:rPr>
        <w:t>Example:</w:t>
      </w:r>
    </w:p>
    <w:p>
      <w:pPr>
        <w:pStyle w:val="BodyText"/>
        <w:spacing w:before="6"/>
        <w:rPr>
          <w:i/>
          <w:sz w:val="16"/>
        </w:rPr>
      </w:pPr>
      <w:r>
        <w:rPr/>
        <w:drawing>
          <wp:anchor distT="0" distB="0" distL="0" distR="0" allowOverlap="1" layoutInCell="1" locked="0" behindDoc="0" simplePos="0" relativeHeight="51">
            <wp:simplePos x="0" y="0"/>
            <wp:positionH relativeFrom="page">
              <wp:posOffset>705612</wp:posOffset>
            </wp:positionH>
            <wp:positionV relativeFrom="paragraph">
              <wp:posOffset>153134</wp:posOffset>
            </wp:positionV>
            <wp:extent cx="1497951" cy="847725"/>
            <wp:effectExtent l="0" t="0" r="0" b="0"/>
            <wp:wrapTopAndBottom/>
            <wp:docPr id="89" name="image44.png"/>
            <wp:cNvGraphicFramePr>
              <a:graphicFrameLocks noChangeAspect="1"/>
            </wp:cNvGraphicFramePr>
            <a:graphic>
              <a:graphicData uri="http://schemas.openxmlformats.org/drawingml/2006/picture">
                <pic:pic>
                  <pic:nvPicPr>
                    <pic:cNvPr id="90" name="image44.png"/>
                    <pic:cNvPicPr/>
                  </pic:nvPicPr>
                  <pic:blipFill>
                    <a:blip r:embed="rId140" cstate="print"/>
                    <a:stretch>
                      <a:fillRect/>
                    </a:stretch>
                  </pic:blipFill>
                  <pic:spPr>
                    <a:xfrm>
                      <a:off x="0" y="0"/>
                      <a:ext cx="1497951" cy="847725"/>
                    </a:xfrm>
                    <a:prstGeom prst="rect">
                      <a:avLst/>
                    </a:prstGeom>
                  </pic:spPr>
                </pic:pic>
              </a:graphicData>
            </a:graphic>
          </wp:anchor>
        </w:drawing>
      </w:r>
    </w:p>
    <w:p>
      <w:pPr>
        <w:pStyle w:val="BodyText"/>
        <w:spacing w:before="10"/>
        <w:rPr>
          <w:i/>
          <w:sz w:val="17"/>
        </w:rPr>
      </w:pPr>
    </w:p>
    <w:p>
      <w:pPr>
        <w:spacing w:line="453" w:lineRule="auto" w:before="0"/>
        <w:ind w:left="220" w:right="2565" w:firstLine="0"/>
        <w:jc w:val="left"/>
        <w:rPr>
          <w:i/>
          <w:sz w:val="22"/>
        </w:rPr>
      </w:pPr>
      <w:r>
        <w:rPr>
          <w:sz w:val="22"/>
        </w:rPr>
        <w:t>In this example there is only 1 field in the PivotTable, a data field </w:t>
      </w:r>
      <w:r>
        <w:rPr>
          <w:b/>
          <w:sz w:val="22"/>
        </w:rPr>
        <w:t>Amount</w:t>
      </w:r>
      <w:r>
        <w:rPr>
          <w:sz w:val="22"/>
        </w:rPr>
        <w:t>. </w:t>
      </w:r>
      <w:r>
        <w:rPr>
          <w:i/>
          <w:sz w:val="22"/>
        </w:rPr>
        <w:t>end example</w:t>
      </w:r>
      <w:r>
        <w:rPr>
          <w:sz w:val="22"/>
        </w:rPr>
        <w:t>] </w:t>
      </w:r>
      <w:r>
        <w:rPr>
          <w:i/>
          <w:sz w:val="22"/>
        </w:rPr>
        <w:t>Data Field Layout - More Than 1 Data Field</w:t>
      </w:r>
    </w:p>
    <w:p>
      <w:pPr>
        <w:pStyle w:val="BodyText"/>
        <w:spacing w:before="3"/>
        <w:ind w:left="220"/>
      </w:pPr>
      <w:r>
        <w:rPr/>
        <w:t>When there is more than 1 data field being summarized,</w:t>
      </w:r>
    </w:p>
    <w:p>
      <w:pPr>
        <w:pStyle w:val="BodyText"/>
        <w:spacing w:before="6"/>
        <w:rPr>
          <w:sz w:val="19"/>
        </w:rPr>
      </w:pPr>
    </w:p>
    <w:p>
      <w:pPr>
        <w:pStyle w:val="ListParagraph"/>
        <w:numPr>
          <w:ilvl w:val="4"/>
          <w:numId w:val="42"/>
        </w:numPr>
        <w:tabs>
          <w:tab w:pos="940" w:val="left" w:leader="none"/>
          <w:tab w:pos="941" w:val="left" w:leader="none"/>
        </w:tabs>
        <w:spacing w:line="276" w:lineRule="auto" w:before="0" w:after="0"/>
        <w:ind w:left="940" w:right="818" w:hanging="360"/>
        <w:jc w:val="left"/>
        <w:rPr>
          <w:sz w:val="22"/>
        </w:rPr>
      </w:pPr>
      <w:r>
        <w:rPr>
          <w:sz w:val="22"/>
        </w:rPr>
        <w:t>An additional field (in these examples labeled “Values”, but the label can be specified by the user) is added to the field list, located as either a row field label or a column field label (depending on user choice and behaviour as specified by the </w:t>
      </w:r>
      <w:r>
        <w:rPr>
          <w:rFonts w:ascii="Cambria" w:hAnsi="Cambria"/>
          <w:sz w:val="22"/>
        </w:rPr>
        <w:t>dataOnRows </w:t>
      </w:r>
      <w:r>
        <w:rPr>
          <w:sz w:val="22"/>
        </w:rPr>
        <w:t>and </w:t>
      </w:r>
      <w:r>
        <w:rPr>
          <w:rFonts w:ascii="Cambria" w:hAnsi="Cambria"/>
          <w:sz w:val="22"/>
        </w:rPr>
        <w:t>dataPosition </w:t>
      </w:r>
      <w:r>
        <w:rPr>
          <w:sz w:val="22"/>
        </w:rPr>
        <w:t>attributes),</w:t>
      </w:r>
      <w:r>
        <w:rPr>
          <w:spacing w:val="-14"/>
          <w:sz w:val="22"/>
        </w:rPr>
        <w:t> </w:t>
      </w:r>
      <w:r>
        <w:rPr>
          <w:sz w:val="22"/>
        </w:rPr>
        <w:t>and</w:t>
      </w:r>
    </w:p>
    <w:p>
      <w:pPr>
        <w:pStyle w:val="ListParagraph"/>
        <w:numPr>
          <w:ilvl w:val="4"/>
          <w:numId w:val="42"/>
        </w:numPr>
        <w:tabs>
          <w:tab w:pos="940" w:val="left" w:leader="none"/>
          <w:tab w:pos="941" w:val="left" w:leader="none"/>
        </w:tabs>
        <w:spacing w:line="276" w:lineRule="auto" w:before="0" w:after="0"/>
        <w:ind w:left="940" w:right="546" w:hanging="360"/>
        <w:jc w:val="left"/>
        <w:rPr>
          <w:sz w:val="22"/>
        </w:rPr>
      </w:pPr>
      <w:r>
        <w:rPr>
          <w:sz w:val="22"/>
        </w:rPr>
        <w:t>each data field being summarized is displayed either in the row area (when the additional field is a row field) as if it were an item value of that row field (see row field layout description above), or in the column area (when the additional field is a column field) as if it were an item value of that column field (see column field layout description</w:t>
      </w:r>
      <w:r>
        <w:rPr>
          <w:spacing w:val="-6"/>
          <w:sz w:val="22"/>
        </w:rPr>
        <w:t> </w:t>
      </w:r>
      <w:r>
        <w:rPr>
          <w:sz w:val="22"/>
        </w:rPr>
        <w:t>above).</w:t>
      </w:r>
    </w:p>
    <w:p>
      <w:pPr>
        <w:pStyle w:val="BodyText"/>
        <w:spacing w:before="7"/>
        <w:rPr>
          <w:sz w:val="16"/>
        </w:rPr>
      </w:pPr>
    </w:p>
    <w:p>
      <w:pPr>
        <w:spacing w:before="0"/>
        <w:ind w:left="220" w:right="0" w:firstLine="0"/>
        <w:jc w:val="left"/>
        <w:rPr>
          <w:i/>
          <w:sz w:val="22"/>
        </w:rPr>
      </w:pPr>
      <w:r>
        <w:rPr>
          <w:sz w:val="22"/>
        </w:rPr>
        <w:t>[</w:t>
      </w:r>
      <w:r>
        <w:rPr>
          <w:i/>
          <w:sz w:val="22"/>
        </w:rPr>
        <w:t>Example:</w:t>
      </w:r>
    </w:p>
    <w:p>
      <w:pPr>
        <w:pStyle w:val="BodyText"/>
        <w:spacing w:before="5"/>
        <w:rPr>
          <w:i/>
          <w:sz w:val="16"/>
        </w:rPr>
      </w:pPr>
      <w:r>
        <w:rPr/>
        <w:drawing>
          <wp:anchor distT="0" distB="0" distL="0" distR="0" allowOverlap="1" layoutInCell="1" locked="0" behindDoc="0" simplePos="0" relativeHeight="52">
            <wp:simplePos x="0" y="0"/>
            <wp:positionH relativeFrom="page">
              <wp:posOffset>705612</wp:posOffset>
            </wp:positionH>
            <wp:positionV relativeFrom="paragraph">
              <wp:posOffset>152282</wp:posOffset>
            </wp:positionV>
            <wp:extent cx="2239244" cy="1000125"/>
            <wp:effectExtent l="0" t="0" r="0" b="0"/>
            <wp:wrapTopAndBottom/>
            <wp:docPr id="91" name="image45.png"/>
            <wp:cNvGraphicFramePr>
              <a:graphicFrameLocks noChangeAspect="1"/>
            </wp:cNvGraphicFramePr>
            <a:graphic>
              <a:graphicData uri="http://schemas.openxmlformats.org/drawingml/2006/picture">
                <pic:pic>
                  <pic:nvPicPr>
                    <pic:cNvPr id="92" name="image45.png"/>
                    <pic:cNvPicPr/>
                  </pic:nvPicPr>
                  <pic:blipFill>
                    <a:blip r:embed="rId141" cstate="print"/>
                    <a:stretch>
                      <a:fillRect/>
                    </a:stretch>
                  </pic:blipFill>
                  <pic:spPr>
                    <a:xfrm>
                      <a:off x="0" y="0"/>
                      <a:ext cx="2239244" cy="1000125"/>
                    </a:xfrm>
                    <a:prstGeom prst="rect">
                      <a:avLst/>
                    </a:prstGeom>
                  </pic:spPr>
                </pic:pic>
              </a:graphicData>
            </a:graphic>
          </wp:anchor>
        </w:drawing>
      </w:r>
    </w:p>
    <w:p>
      <w:pPr>
        <w:pStyle w:val="BodyText"/>
        <w:spacing w:before="4"/>
        <w:rPr>
          <w:i/>
          <w:sz w:val="17"/>
        </w:rPr>
      </w:pPr>
    </w:p>
    <w:p>
      <w:pPr>
        <w:pStyle w:val="BodyText"/>
        <w:spacing w:line="278" w:lineRule="auto"/>
        <w:ind w:left="220" w:right="942"/>
      </w:pPr>
      <w:r>
        <w:rPr/>
        <w:t>In this example there are 2 data fields </w:t>
      </w:r>
      <w:r>
        <w:rPr>
          <w:b/>
        </w:rPr>
        <w:t>Amount </w:t>
      </w:r>
      <w:r>
        <w:rPr/>
        <w:t>and </w:t>
      </w:r>
      <w:r>
        <w:rPr>
          <w:b/>
        </w:rPr>
        <w:t>Tax</w:t>
      </w:r>
      <w:r>
        <w:rPr/>
        <w:t>. There are no page fields, no column fields, no row fields, and the additional field labeled Values is placed on the column area.</w:t>
      </w:r>
    </w:p>
    <w:p>
      <w:pPr>
        <w:spacing w:after="0" w:line="278" w:lineRule="auto"/>
        <w:sectPr>
          <w:pgSz w:w="12240" w:h="15840"/>
          <w:pgMar w:header="761" w:footer="746" w:top="1340" w:bottom="940" w:left="860" w:right="700"/>
        </w:sectPr>
      </w:pPr>
    </w:p>
    <w:p>
      <w:pPr>
        <w:pStyle w:val="BodyText"/>
        <w:spacing w:before="4"/>
        <w:rPr>
          <w:sz w:val="12"/>
        </w:rPr>
      </w:pPr>
    </w:p>
    <w:p>
      <w:pPr>
        <w:pStyle w:val="BodyText"/>
        <w:ind w:left="251"/>
        <w:rPr>
          <w:sz w:val="20"/>
        </w:rPr>
      </w:pPr>
      <w:r>
        <w:rPr>
          <w:sz w:val="20"/>
        </w:rPr>
        <w:drawing>
          <wp:inline distT="0" distB="0" distL="0" distR="0">
            <wp:extent cx="1801203" cy="1009650"/>
            <wp:effectExtent l="0" t="0" r="0" b="0"/>
            <wp:docPr id="93" name="image46.png"/>
            <wp:cNvGraphicFramePr>
              <a:graphicFrameLocks noChangeAspect="1"/>
            </wp:cNvGraphicFramePr>
            <a:graphic>
              <a:graphicData uri="http://schemas.openxmlformats.org/drawingml/2006/picture">
                <pic:pic>
                  <pic:nvPicPr>
                    <pic:cNvPr id="94" name="image46.png"/>
                    <pic:cNvPicPr/>
                  </pic:nvPicPr>
                  <pic:blipFill>
                    <a:blip r:embed="rId142" cstate="print"/>
                    <a:stretch>
                      <a:fillRect/>
                    </a:stretch>
                  </pic:blipFill>
                  <pic:spPr>
                    <a:xfrm>
                      <a:off x="0" y="0"/>
                      <a:ext cx="1801203" cy="1009650"/>
                    </a:xfrm>
                    <a:prstGeom prst="rect">
                      <a:avLst/>
                    </a:prstGeom>
                  </pic:spPr>
                </pic:pic>
              </a:graphicData>
            </a:graphic>
          </wp:inline>
        </w:drawing>
      </w:r>
      <w:r>
        <w:rPr>
          <w:sz w:val="20"/>
        </w:rPr>
      </w:r>
    </w:p>
    <w:p>
      <w:pPr>
        <w:pStyle w:val="BodyText"/>
        <w:spacing w:before="1"/>
        <w:rPr>
          <w:sz w:val="15"/>
        </w:rPr>
      </w:pPr>
    </w:p>
    <w:p>
      <w:pPr>
        <w:pStyle w:val="BodyText"/>
        <w:spacing w:before="57"/>
        <w:ind w:left="220"/>
      </w:pPr>
      <w:r>
        <w:rPr/>
        <w:t>Above is the same PivotTable, with the Values field placed on the row area.</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8"/>
        <w:rPr>
          <w:sz w:val="19"/>
        </w:rPr>
      </w:pPr>
    </w:p>
    <w:p>
      <w:pPr>
        <w:spacing w:before="0"/>
        <w:ind w:left="220" w:right="0" w:firstLine="0"/>
        <w:jc w:val="left"/>
        <w:rPr>
          <w:i/>
          <w:sz w:val="22"/>
        </w:rPr>
      </w:pPr>
      <w:r>
        <w:rPr>
          <w:i/>
          <w:sz w:val="22"/>
        </w:rPr>
        <w:t>Data Field Layout - 0 Row Fields, 1 or More Column Fields, and 1 Data Field</w:t>
      </w:r>
    </w:p>
    <w:p>
      <w:pPr>
        <w:pStyle w:val="BodyText"/>
        <w:spacing w:before="6"/>
        <w:rPr>
          <w:i/>
          <w:sz w:val="19"/>
        </w:rPr>
      </w:pPr>
    </w:p>
    <w:p>
      <w:pPr>
        <w:pStyle w:val="BodyText"/>
        <w:spacing w:line="278" w:lineRule="auto"/>
        <w:ind w:left="220" w:right="672"/>
      </w:pPr>
      <w:r>
        <w:rPr/>
        <w:t>When there are no row fields, 1 or more column fields, and only 1 data field being summarized, the data field label is located in the A1-most column of the PivotTable body, directly under the column field area.</w:t>
      </w:r>
    </w:p>
    <w:p>
      <w:pPr>
        <w:spacing w:before="196"/>
        <w:ind w:left="220" w:right="0" w:firstLine="0"/>
        <w:jc w:val="left"/>
        <w:rPr>
          <w:i/>
          <w:sz w:val="22"/>
        </w:rPr>
      </w:pPr>
      <w:r>
        <w:rPr>
          <w:sz w:val="22"/>
        </w:rPr>
        <w:t>[</w:t>
      </w:r>
      <w:r>
        <w:rPr>
          <w:i/>
          <w:sz w:val="22"/>
        </w:rPr>
        <w:t>Example:</w:t>
      </w:r>
    </w:p>
    <w:p>
      <w:pPr>
        <w:pStyle w:val="BodyText"/>
        <w:spacing w:before="5"/>
        <w:rPr>
          <w:i/>
          <w:sz w:val="16"/>
        </w:rPr>
      </w:pPr>
      <w:r>
        <w:rPr/>
        <w:drawing>
          <wp:anchor distT="0" distB="0" distL="0" distR="0" allowOverlap="1" layoutInCell="1" locked="0" behindDoc="0" simplePos="0" relativeHeight="53">
            <wp:simplePos x="0" y="0"/>
            <wp:positionH relativeFrom="page">
              <wp:posOffset>705612</wp:posOffset>
            </wp:positionH>
            <wp:positionV relativeFrom="paragraph">
              <wp:posOffset>152544</wp:posOffset>
            </wp:positionV>
            <wp:extent cx="2910319" cy="1028700"/>
            <wp:effectExtent l="0" t="0" r="0" b="0"/>
            <wp:wrapTopAndBottom/>
            <wp:docPr id="95" name="image47.png"/>
            <wp:cNvGraphicFramePr>
              <a:graphicFrameLocks noChangeAspect="1"/>
            </wp:cNvGraphicFramePr>
            <a:graphic>
              <a:graphicData uri="http://schemas.openxmlformats.org/drawingml/2006/picture">
                <pic:pic>
                  <pic:nvPicPr>
                    <pic:cNvPr id="96" name="image47.png"/>
                    <pic:cNvPicPr/>
                  </pic:nvPicPr>
                  <pic:blipFill>
                    <a:blip r:embed="rId143" cstate="print"/>
                    <a:stretch>
                      <a:fillRect/>
                    </a:stretch>
                  </pic:blipFill>
                  <pic:spPr>
                    <a:xfrm>
                      <a:off x="0" y="0"/>
                      <a:ext cx="2910319" cy="1028700"/>
                    </a:xfrm>
                    <a:prstGeom prst="rect">
                      <a:avLst/>
                    </a:prstGeom>
                  </pic:spPr>
                </pic:pic>
              </a:graphicData>
            </a:graphic>
          </wp:anchor>
        </w:drawing>
      </w:r>
    </w:p>
    <w:p>
      <w:pPr>
        <w:pStyle w:val="BodyText"/>
        <w:spacing w:before="8"/>
        <w:rPr>
          <w:i/>
          <w:sz w:val="16"/>
        </w:rPr>
      </w:pPr>
    </w:p>
    <w:p>
      <w:pPr>
        <w:pStyle w:val="BodyText"/>
        <w:spacing w:line="278" w:lineRule="auto" w:before="1"/>
        <w:ind w:left="220" w:right="415"/>
      </w:pPr>
      <w:r>
        <w:rPr/>
        <w:t>In this example there is 1 column field </w:t>
      </w:r>
      <w:r>
        <w:rPr>
          <w:b/>
        </w:rPr>
        <w:t>State </w:t>
      </w:r>
      <w:r>
        <w:rPr/>
        <w:t>and 1 data field </w:t>
      </w:r>
      <w:r>
        <w:rPr>
          <w:b/>
        </w:rPr>
        <w:t>Amount</w:t>
      </w:r>
      <w:r>
        <w:rPr/>
        <w:t>. There are no row fields or page fields. </w:t>
      </w:r>
      <w:r>
        <w:rPr>
          <w:i/>
        </w:rPr>
        <w:t>end </w:t>
      </w:r>
      <w:r>
        <w:rPr>
          <w:i/>
        </w:rPr>
        <w:t>example</w:t>
      </w:r>
      <w:r>
        <w:rPr/>
        <w:t>]</w:t>
      </w:r>
    </w:p>
    <w:p>
      <w:pPr>
        <w:spacing w:before="198"/>
        <w:ind w:left="220" w:right="0" w:firstLine="0"/>
        <w:jc w:val="left"/>
        <w:rPr>
          <w:i/>
          <w:sz w:val="22"/>
        </w:rPr>
      </w:pPr>
      <w:r>
        <w:rPr>
          <w:i/>
          <w:sz w:val="22"/>
        </w:rPr>
        <w:t>Data Field Layout - 0 Column Fields, 1 or More Row Fields, and 1 Data Field</w:t>
      </w:r>
    </w:p>
    <w:p>
      <w:pPr>
        <w:pStyle w:val="BodyText"/>
        <w:spacing w:before="5"/>
        <w:rPr>
          <w:i/>
          <w:sz w:val="19"/>
        </w:rPr>
      </w:pPr>
    </w:p>
    <w:p>
      <w:pPr>
        <w:pStyle w:val="BodyText"/>
        <w:spacing w:line="278" w:lineRule="auto" w:before="1"/>
        <w:ind w:left="220" w:right="672"/>
      </w:pPr>
      <w:r>
        <w:rPr/>
        <w:t>When there are no column fields, 1 or more row fields, and only 1 data field being summarized, the data field label is located in the same row as the row field labels, above the data summary area.</w:t>
      </w:r>
    </w:p>
    <w:p>
      <w:pPr>
        <w:spacing w:before="197"/>
        <w:ind w:left="220" w:right="0" w:firstLine="0"/>
        <w:jc w:val="left"/>
        <w:rPr>
          <w:i/>
          <w:sz w:val="22"/>
        </w:rPr>
      </w:pPr>
      <w:r>
        <w:rPr>
          <w:sz w:val="22"/>
        </w:rPr>
        <w:t>[</w:t>
      </w:r>
      <w:r>
        <w:rPr>
          <w:i/>
          <w:sz w:val="22"/>
        </w:rPr>
        <w:t>Example:</w:t>
      </w:r>
    </w:p>
    <w:p>
      <w:pPr>
        <w:pStyle w:val="BodyText"/>
        <w:spacing w:before="5"/>
        <w:rPr>
          <w:i/>
          <w:sz w:val="16"/>
        </w:rPr>
      </w:pPr>
      <w:r>
        <w:rPr/>
        <w:drawing>
          <wp:anchor distT="0" distB="0" distL="0" distR="0" allowOverlap="1" layoutInCell="1" locked="0" behindDoc="0" simplePos="0" relativeHeight="54">
            <wp:simplePos x="0" y="0"/>
            <wp:positionH relativeFrom="page">
              <wp:posOffset>705612</wp:posOffset>
            </wp:positionH>
            <wp:positionV relativeFrom="paragraph">
              <wp:posOffset>152495</wp:posOffset>
            </wp:positionV>
            <wp:extent cx="2006501" cy="1181100"/>
            <wp:effectExtent l="0" t="0" r="0" b="0"/>
            <wp:wrapTopAndBottom/>
            <wp:docPr id="97" name="image48.png"/>
            <wp:cNvGraphicFramePr>
              <a:graphicFrameLocks noChangeAspect="1"/>
            </wp:cNvGraphicFramePr>
            <a:graphic>
              <a:graphicData uri="http://schemas.openxmlformats.org/drawingml/2006/picture">
                <pic:pic>
                  <pic:nvPicPr>
                    <pic:cNvPr id="98" name="image48.png"/>
                    <pic:cNvPicPr/>
                  </pic:nvPicPr>
                  <pic:blipFill>
                    <a:blip r:embed="rId144" cstate="print"/>
                    <a:stretch>
                      <a:fillRect/>
                    </a:stretch>
                  </pic:blipFill>
                  <pic:spPr>
                    <a:xfrm>
                      <a:off x="0" y="0"/>
                      <a:ext cx="2006501" cy="1181100"/>
                    </a:xfrm>
                    <a:prstGeom prst="rect">
                      <a:avLst/>
                    </a:prstGeom>
                  </pic:spPr>
                </pic:pic>
              </a:graphicData>
            </a:graphic>
          </wp:anchor>
        </w:drawing>
      </w:r>
    </w:p>
    <w:p>
      <w:pPr>
        <w:pStyle w:val="BodyText"/>
        <w:spacing w:before="7"/>
        <w:rPr>
          <w:i/>
          <w:sz w:val="17"/>
        </w:rPr>
      </w:pPr>
    </w:p>
    <w:p>
      <w:pPr>
        <w:pStyle w:val="BodyText"/>
        <w:spacing w:line="278" w:lineRule="auto"/>
        <w:ind w:left="220" w:right="415"/>
      </w:pPr>
      <w:r>
        <w:rPr/>
        <w:t>In this example there is 1 data field </w:t>
      </w:r>
      <w:r>
        <w:rPr>
          <w:b/>
        </w:rPr>
        <w:t>Amount </w:t>
      </w:r>
      <w:r>
        <w:rPr/>
        <w:t>and 1 row field </w:t>
      </w:r>
      <w:r>
        <w:rPr>
          <w:b/>
        </w:rPr>
        <w:t>State</w:t>
      </w:r>
      <w:r>
        <w:rPr/>
        <w:t>. There are no column fields or page fields. </w:t>
      </w:r>
      <w:r>
        <w:rPr>
          <w:i/>
        </w:rPr>
        <w:t>end </w:t>
      </w:r>
      <w:r>
        <w:rPr>
          <w:i/>
        </w:rPr>
        <w:t>example</w:t>
      </w:r>
      <w:r>
        <w:rPr/>
        <w:t>]</w:t>
      </w:r>
    </w:p>
    <w:p>
      <w:pPr>
        <w:spacing w:before="198"/>
        <w:ind w:left="220" w:right="0" w:firstLine="0"/>
        <w:jc w:val="left"/>
        <w:rPr>
          <w:i/>
          <w:sz w:val="22"/>
        </w:rPr>
      </w:pPr>
      <w:r>
        <w:rPr>
          <w:i/>
          <w:sz w:val="22"/>
        </w:rPr>
        <w:t>Subtotal and grand total layout</w:t>
      </w:r>
    </w:p>
    <w:p>
      <w:pPr>
        <w:spacing w:after="0"/>
        <w:jc w:val="left"/>
        <w:rPr>
          <w:sz w:val="22"/>
        </w:rPr>
        <w:sectPr>
          <w:pgSz w:w="12240" w:h="15840"/>
          <w:pgMar w:header="763" w:footer="746" w:top="1340" w:bottom="940" w:left="860" w:right="700"/>
        </w:sectPr>
      </w:pPr>
    </w:p>
    <w:p>
      <w:pPr>
        <w:pStyle w:val="BodyText"/>
        <w:spacing w:line="276" w:lineRule="auto" w:before="90"/>
        <w:ind w:left="220" w:right="501"/>
      </w:pPr>
      <w:r>
        <w:rPr/>
        <w:t>If subtotals are </w:t>
      </w:r>
      <w:r>
        <w:rPr>
          <w:i/>
        </w:rPr>
        <w:t>on</w:t>
      </w:r>
      <w:r>
        <w:rPr/>
        <w:t>, the values for row subtotals are placed at either the top of each group of data being summarized or at the bottom of each group, as indicated by the </w:t>
      </w:r>
      <w:r>
        <w:rPr>
          <w:rFonts w:ascii="Cambria" w:hAnsi="Cambria"/>
        </w:rPr>
        <w:t>subtotalTop </w:t>
      </w:r>
      <w:r>
        <w:rPr/>
        <w:t>attribute value on the </w:t>
      </w:r>
      <w:r>
        <w:rPr>
          <w:rFonts w:ascii="Cambria" w:hAnsi="Cambria"/>
        </w:rPr>
        <w:t>pivotField </w:t>
      </w:r>
      <w:r>
        <w:rPr/>
        <w:t>element. Row subtotal values appear in the same column as the data being subtotalled. If placed at the top of the group, then the subtotal value for the group appears in the row above the group of values, in the same row as the group’s parent row field value. When there is only a single row field, no subtotal is shown.</w:t>
      </w:r>
    </w:p>
    <w:p>
      <w:pPr>
        <w:pStyle w:val="BodyText"/>
        <w:spacing w:before="8"/>
        <w:rPr>
          <w:sz w:val="16"/>
        </w:rPr>
      </w:pPr>
    </w:p>
    <w:p>
      <w:pPr>
        <w:spacing w:before="0"/>
        <w:ind w:left="220" w:right="0" w:firstLine="0"/>
        <w:jc w:val="left"/>
        <w:rPr>
          <w:i/>
          <w:sz w:val="22"/>
        </w:rPr>
      </w:pPr>
      <w:r>
        <w:rPr>
          <w:sz w:val="22"/>
        </w:rPr>
        <w:t>[</w:t>
      </w:r>
      <w:r>
        <w:rPr>
          <w:i/>
          <w:sz w:val="22"/>
        </w:rPr>
        <w:t>Example:</w:t>
      </w:r>
    </w:p>
    <w:p>
      <w:pPr>
        <w:pStyle w:val="BodyText"/>
        <w:spacing w:before="6"/>
        <w:rPr>
          <w:i/>
          <w:sz w:val="16"/>
        </w:rPr>
      </w:pPr>
      <w:r>
        <w:rPr/>
        <w:drawing>
          <wp:anchor distT="0" distB="0" distL="0" distR="0" allowOverlap="1" layoutInCell="1" locked="0" behindDoc="0" simplePos="0" relativeHeight="55">
            <wp:simplePos x="0" y="0"/>
            <wp:positionH relativeFrom="page">
              <wp:posOffset>705612</wp:posOffset>
            </wp:positionH>
            <wp:positionV relativeFrom="paragraph">
              <wp:posOffset>153117</wp:posOffset>
            </wp:positionV>
            <wp:extent cx="5642756" cy="2895600"/>
            <wp:effectExtent l="0" t="0" r="0" b="0"/>
            <wp:wrapTopAndBottom/>
            <wp:docPr id="99" name="image49.png"/>
            <wp:cNvGraphicFramePr>
              <a:graphicFrameLocks noChangeAspect="1"/>
            </wp:cNvGraphicFramePr>
            <a:graphic>
              <a:graphicData uri="http://schemas.openxmlformats.org/drawingml/2006/picture">
                <pic:pic>
                  <pic:nvPicPr>
                    <pic:cNvPr id="100" name="image49.png"/>
                    <pic:cNvPicPr/>
                  </pic:nvPicPr>
                  <pic:blipFill>
                    <a:blip r:embed="rId145" cstate="print"/>
                    <a:stretch>
                      <a:fillRect/>
                    </a:stretch>
                  </pic:blipFill>
                  <pic:spPr>
                    <a:xfrm>
                      <a:off x="0" y="0"/>
                      <a:ext cx="5642756" cy="2895600"/>
                    </a:xfrm>
                    <a:prstGeom prst="rect">
                      <a:avLst/>
                    </a:prstGeom>
                  </pic:spPr>
                </pic:pic>
              </a:graphicData>
            </a:graphic>
          </wp:anchor>
        </w:drawing>
      </w:r>
    </w:p>
    <w:p>
      <w:pPr>
        <w:pStyle w:val="BodyText"/>
        <w:spacing w:before="3"/>
        <w:rPr>
          <w:i/>
          <w:sz w:val="21"/>
        </w:rPr>
      </w:pPr>
    </w:p>
    <w:p>
      <w:pPr>
        <w:spacing w:before="0"/>
        <w:ind w:left="220" w:right="0" w:firstLine="0"/>
        <w:jc w:val="left"/>
        <w:rPr>
          <w:sz w:val="22"/>
        </w:rPr>
      </w:pPr>
      <w:r>
        <w:rPr>
          <w:sz w:val="22"/>
        </w:rPr>
        <w:t>In this example, there are 3 row fields (</w:t>
      </w:r>
      <w:r>
        <w:rPr>
          <w:b/>
          <w:sz w:val="22"/>
        </w:rPr>
        <w:t>Postal Code</w:t>
      </w:r>
      <w:r>
        <w:rPr>
          <w:sz w:val="22"/>
        </w:rPr>
        <w:t>, </w:t>
      </w:r>
      <w:r>
        <w:rPr>
          <w:b/>
          <w:sz w:val="22"/>
        </w:rPr>
        <w:t>State</w:t>
      </w:r>
      <w:r>
        <w:rPr>
          <w:sz w:val="22"/>
        </w:rPr>
        <w:t>, and </w:t>
      </w:r>
      <w:r>
        <w:rPr>
          <w:b/>
          <w:sz w:val="22"/>
        </w:rPr>
        <w:t>City</w:t>
      </w:r>
      <w:r>
        <w:rPr>
          <w:sz w:val="22"/>
        </w:rPr>
        <w:t>) and 1 data field </w:t>
      </w:r>
      <w:r>
        <w:rPr>
          <w:b/>
          <w:sz w:val="22"/>
        </w:rPr>
        <w:t>Amount</w:t>
      </w:r>
      <w:r>
        <w:rPr>
          <w:sz w:val="22"/>
        </w:rPr>
        <w:t>.</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456"/>
        <w:jc w:val="both"/>
      </w:pPr>
      <w:r>
        <w:rPr/>
        <w:t>If row subtotals are placed at the bottom of each data group, then a new row is inserted directly below the data group in question, and a new row field value is inserted, in the same column as the row field in question, whose caption indicates that this row represents a subtotal value.</w:t>
      </w:r>
    </w:p>
    <w:p>
      <w:pPr>
        <w:pStyle w:val="BodyText"/>
        <w:spacing w:before="6"/>
        <w:rPr>
          <w:sz w:val="16"/>
        </w:rPr>
      </w:pPr>
    </w:p>
    <w:p>
      <w:pPr>
        <w:spacing w:before="0"/>
        <w:ind w:left="220" w:right="0" w:firstLine="0"/>
        <w:jc w:val="left"/>
        <w:rPr>
          <w:i/>
          <w:sz w:val="22"/>
        </w:rPr>
      </w:pPr>
      <w:r>
        <w:rPr>
          <w:sz w:val="22"/>
        </w:rPr>
        <w:t>[</w:t>
      </w:r>
      <w:r>
        <w:rPr>
          <w:i/>
          <w:sz w:val="22"/>
        </w:rPr>
        <w:t>Example:</w:t>
      </w:r>
    </w:p>
    <w:p>
      <w:pPr>
        <w:spacing w:after="0"/>
        <w:jc w:val="left"/>
        <w:rPr>
          <w:sz w:val="22"/>
        </w:rPr>
        <w:sectPr>
          <w:pgSz w:w="12240" w:h="15840"/>
          <w:pgMar w:header="761" w:footer="746" w:top="1340" w:bottom="940" w:left="860" w:right="700"/>
        </w:sectPr>
      </w:pPr>
    </w:p>
    <w:p>
      <w:pPr>
        <w:pStyle w:val="BodyText"/>
        <w:spacing w:before="4"/>
        <w:rPr>
          <w:i/>
          <w:sz w:val="12"/>
        </w:rPr>
      </w:pPr>
    </w:p>
    <w:p>
      <w:pPr>
        <w:pStyle w:val="BodyText"/>
        <w:ind w:left="251"/>
        <w:rPr>
          <w:sz w:val="20"/>
        </w:rPr>
      </w:pPr>
      <w:r>
        <w:rPr>
          <w:sz w:val="20"/>
        </w:rPr>
        <w:drawing>
          <wp:inline distT="0" distB="0" distL="0" distR="0">
            <wp:extent cx="5523842" cy="4067175"/>
            <wp:effectExtent l="0" t="0" r="0" b="0"/>
            <wp:docPr id="101" name="image50.png"/>
            <wp:cNvGraphicFramePr>
              <a:graphicFrameLocks noChangeAspect="1"/>
            </wp:cNvGraphicFramePr>
            <a:graphic>
              <a:graphicData uri="http://schemas.openxmlformats.org/drawingml/2006/picture">
                <pic:pic>
                  <pic:nvPicPr>
                    <pic:cNvPr id="102" name="image50.png"/>
                    <pic:cNvPicPr/>
                  </pic:nvPicPr>
                  <pic:blipFill>
                    <a:blip r:embed="rId146" cstate="print"/>
                    <a:stretch>
                      <a:fillRect/>
                    </a:stretch>
                  </pic:blipFill>
                  <pic:spPr>
                    <a:xfrm>
                      <a:off x="0" y="0"/>
                      <a:ext cx="5523842" cy="4067175"/>
                    </a:xfrm>
                    <a:prstGeom prst="rect">
                      <a:avLst/>
                    </a:prstGeom>
                  </pic:spPr>
                </pic:pic>
              </a:graphicData>
            </a:graphic>
          </wp:inline>
        </w:drawing>
      </w:r>
      <w:r>
        <w:rPr>
          <w:sz w:val="20"/>
        </w:rPr>
      </w:r>
    </w:p>
    <w:p>
      <w:pPr>
        <w:pStyle w:val="BodyText"/>
        <w:spacing w:before="11"/>
        <w:rPr>
          <w:i/>
          <w:sz w:val="26"/>
        </w:rPr>
      </w:pPr>
    </w:p>
    <w:p>
      <w:pPr>
        <w:spacing w:before="56"/>
        <w:ind w:left="220" w:right="0" w:firstLine="0"/>
        <w:jc w:val="left"/>
        <w:rPr>
          <w:sz w:val="22"/>
        </w:rPr>
      </w:pPr>
      <w:r>
        <w:rPr>
          <w:sz w:val="22"/>
        </w:rPr>
        <w:t>In this example, there are 3 row fields (</w:t>
      </w:r>
      <w:r>
        <w:rPr>
          <w:b/>
          <w:sz w:val="22"/>
        </w:rPr>
        <w:t>Postal Code</w:t>
      </w:r>
      <w:r>
        <w:rPr>
          <w:sz w:val="22"/>
        </w:rPr>
        <w:t>, </w:t>
      </w:r>
      <w:r>
        <w:rPr>
          <w:b/>
          <w:sz w:val="22"/>
        </w:rPr>
        <w:t>State</w:t>
      </w:r>
      <w:r>
        <w:rPr>
          <w:sz w:val="22"/>
        </w:rPr>
        <w:t>, and </w:t>
      </w:r>
      <w:r>
        <w:rPr>
          <w:b/>
          <w:sz w:val="22"/>
        </w:rPr>
        <w:t>City</w:t>
      </w:r>
      <w:r>
        <w:rPr>
          <w:sz w:val="22"/>
        </w:rPr>
        <w:t>) and 1 data field </w:t>
      </w:r>
      <w:r>
        <w:rPr>
          <w:b/>
          <w:sz w:val="22"/>
        </w:rPr>
        <w:t>Amount</w:t>
      </w:r>
      <w:r>
        <w:rPr>
          <w:sz w:val="22"/>
        </w:rPr>
        <w:t>.</w:t>
      </w:r>
    </w:p>
    <w:p>
      <w:pPr>
        <w:pStyle w:val="BodyText"/>
        <w:spacing w:before="9"/>
        <w:rPr>
          <w:sz w:val="19"/>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360"/>
      </w:pPr>
      <w:r>
        <w:rPr/>
        <w:t>If subtotals are </w:t>
      </w:r>
      <w:r>
        <w:rPr>
          <w:i/>
        </w:rPr>
        <w:t>on</w:t>
      </w:r>
      <w:r>
        <w:rPr/>
        <w:t>, for column subtotals a new column is inserted directly after the data group being subtotalled. A new column field value is inserted, in the same row as the column field in question, whose caption indicates that this column represents a subtotal value. When there is only a single column field, no subtotal is shown.</w:t>
      </w:r>
    </w:p>
    <w:p>
      <w:pPr>
        <w:pStyle w:val="BodyText"/>
        <w:spacing w:before="6"/>
        <w:rPr>
          <w:sz w:val="16"/>
        </w:rPr>
      </w:pPr>
    </w:p>
    <w:p>
      <w:pPr>
        <w:spacing w:before="0"/>
        <w:ind w:left="220" w:right="0" w:firstLine="0"/>
        <w:jc w:val="left"/>
        <w:rPr>
          <w:i/>
          <w:sz w:val="22"/>
        </w:rPr>
      </w:pPr>
      <w:r>
        <w:rPr>
          <w:sz w:val="22"/>
        </w:rPr>
        <w:t>[</w:t>
      </w:r>
      <w:r>
        <w:rPr>
          <w:i/>
          <w:sz w:val="22"/>
        </w:rPr>
        <w:t>Example:</w:t>
      </w:r>
    </w:p>
    <w:p>
      <w:pPr>
        <w:pStyle w:val="BodyText"/>
        <w:spacing w:before="5"/>
        <w:rPr>
          <w:i/>
          <w:sz w:val="16"/>
        </w:rPr>
      </w:pPr>
      <w:r>
        <w:rPr/>
        <w:drawing>
          <wp:anchor distT="0" distB="0" distL="0" distR="0" allowOverlap="1" layoutInCell="1" locked="0" behindDoc="0" simplePos="0" relativeHeight="56">
            <wp:simplePos x="0" y="0"/>
            <wp:positionH relativeFrom="page">
              <wp:posOffset>705612</wp:posOffset>
            </wp:positionH>
            <wp:positionV relativeFrom="paragraph">
              <wp:posOffset>152310</wp:posOffset>
            </wp:positionV>
            <wp:extent cx="6372366" cy="1866900"/>
            <wp:effectExtent l="0" t="0" r="0" b="0"/>
            <wp:wrapTopAndBottom/>
            <wp:docPr id="103" name="image51.png"/>
            <wp:cNvGraphicFramePr>
              <a:graphicFrameLocks noChangeAspect="1"/>
            </wp:cNvGraphicFramePr>
            <a:graphic>
              <a:graphicData uri="http://schemas.openxmlformats.org/drawingml/2006/picture">
                <pic:pic>
                  <pic:nvPicPr>
                    <pic:cNvPr id="104" name="image51.png"/>
                    <pic:cNvPicPr/>
                  </pic:nvPicPr>
                  <pic:blipFill>
                    <a:blip r:embed="rId147" cstate="print"/>
                    <a:stretch>
                      <a:fillRect/>
                    </a:stretch>
                  </pic:blipFill>
                  <pic:spPr>
                    <a:xfrm>
                      <a:off x="0" y="0"/>
                      <a:ext cx="6372366" cy="1866900"/>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sz w:val="22"/>
        </w:rPr>
      </w:pPr>
      <w:r>
        <w:rPr>
          <w:sz w:val="22"/>
        </w:rPr>
        <w:t>In this example, there are 3 column fields (</w:t>
      </w:r>
      <w:r>
        <w:rPr>
          <w:b/>
          <w:sz w:val="22"/>
        </w:rPr>
        <w:t>Postal Code</w:t>
      </w:r>
      <w:r>
        <w:rPr>
          <w:sz w:val="22"/>
        </w:rPr>
        <w:t>, </w:t>
      </w:r>
      <w:r>
        <w:rPr>
          <w:b/>
          <w:sz w:val="22"/>
        </w:rPr>
        <w:t>State</w:t>
      </w:r>
      <w:r>
        <w:rPr>
          <w:sz w:val="22"/>
        </w:rPr>
        <w:t>, and </w:t>
      </w:r>
      <w:r>
        <w:rPr>
          <w:b/>
          <w:sz w:val="22"/>
        </w:rPr>
        <w:t>City</w:t>
      </w:r>
      <w:r>
        <w:rPr>
          <w:sz w:val="22"/>
        </w:rPr>
        <w:t>) and a data field </w:t>
      </w:r>
      <w:r>
        <w:rPr>
          <w:b/>
          <w:sz w:val="22"/>
        </w:rPr>
        <w:t>Amount</w:t>
      </w:r>
      <w:r>
        <w:rPr>
          <w:sz w:val="22"/>
        </w:rPr>
        <w:t>. </w:t>
      </w:r>
      <w:r>
        <w:rPr>
          <w:i/>
          <w:sz w:val="22"/>
        </w:rPr>
        <w:t>end example</w:t>
      </w:r>
      <w:r>
        <w:rPr>
          <w:sz w:val="22"/>
        </w:rPr>
        <w:t>]</w:t>
      </w:r>
    </w:p>
    <w:p>
      <w:pPr>
        <w:pStyle w:val="BodyText"/>
        <w:spacing w:before="6"/>
        <w:rPr>
          <w:sz w:val="19"/>
        </w:rPr>
      </w:pPr>
    </w:p>
    <w:p>
      <w:pPr>
        <w:pStyle w:val="BodyText"/>
        <w:spacing w:line="276" w:lineRule="auto"/>
        <w:ind w:left="220" w:right="479"/>
      </w:pPr>
      <w:r>
        <w:rPr/>
        <w:t>If row grand totals are on and there are column fields, a new column item is inserted at the very edge of the PivotTable body furthest away from column A, in the same row as the outermost column field values. The caption indicates that this is a grand total, and the values total all values across the row. When row grand totals are </w:t>
      </w:r>
      <w:r>
        <w:rPr>
          <w:i/>
        </w:rPr>
        <w:t>on </w:t>
      </w:r>
      <w:r>
        <w:rPr/>
        <w:t>but there are no column fields, no row grand total is shown.</w:t>
      </w:r>
    </w:p>
    <w:p>
      <w:pPr>
        <w:pStyle w:val="BodyText"/>
        <w:spacing w:before="7"/>
        <w:rPr>
          <w:sz w:val="16"/>
        </w:rPr>
      </w:pPr>
    </w:p>
    <w:p>
      <w:pPr>
        <w:spacing w:before="0"/>
        <w:ind w:left="220" w:right="0" w:firstLine="0"/>
        <w:jc w:val="left"/>
        <w:rPr>
          <w:i/>
          <w:sz w:val="22"/>
        </w:rPr>
      </w:pPr>
      <w:r>
        <w:rPr>
          <w:sz w:val="22"/>
        </w:rPr>
        <w:t>[</w:t>
      </w:r>
      <w:r>
        <w:rPr>
          <w:i/>
          <w:sz w:val="22"/>
        </w:rPr>
        <w:t>Example:</w:t>
      </w:r>
    </w:p>
    <w:p>
      <w:pPr>
        <w:pStyle w:val="BodyText"/>
        <w:spacing w:before="6"/>
        <w:rPr>
          <w:i/>
          <w:sz w:val="16"/>
        </w:rPr>
      </w:pPr>
      <w:r>
        <w:rPr/>
        <w:drawing>
          <wp:anchor distT="0" distB="0" distL="0" distR="0" allowOverlap="1" layoutInCell="1" locked="0" behindDoc="0" simplePos="0" relativeHeight="57">
            <wp:simplePos x="0" y="0"/>
            <wp:positionH relativeFrom="page">
              <wp:posOffset>705612</wp:posOffset>
            </wp:positionH>
            <wp:positionV relativeFrom="paragraph">
              <wp:posOffset>152831</wp:posOffset>
            </wp:positionV>
            <wp:extent cx="3800837" cy="962025"/>
            <wp:effectExtent l="0" t="0" r="0" b="0"/>
            <wp:wrapTopAndBottom/>
            <wp:docPr id="105" name="image52.png"/>
            <wp:cNvGraphicFramePr>
              <a:graphicFrameLocks noChangeAspect="1"/>
            </wp:cNvGraphicFramePr>
            <a:graphic>
              <a:graphicData uri="http://schemas.openxmlformats.org/drawingml/2006/picture">
                <pic:pic>
                  <pic:nvPicPr>
                    <pic:cNvPr id="106" name="image52.png"/>
                    <pic:cNvPicPr/>
                  </pic:nvPicPr>
                  <pic:blipFill>
                    <a:blip r:embed="rId148" cstate="print"/>
                    <a:stretch>
                      <a:fillRect/>
                    </a:stretch>
                  </pic:blipFill>
                  <pic:spPr>
                    <a:xfrm>
                      <a:off x="0" y="0"/>
                      <a:ext cx="3800837" cy="962025"/>
                    </a:xfrm>
                    <a:prstGeom prst="rect">
                      <a:avLst/>
                    </a:prstGeom>
                  </pic:spPr>
                </pic:pic>
              </a:graphicData>
            </a:graphic>
          </wp:anchor>
        </w:drawing>
      </w:r>
    </w:p>
    <w:p>
      <w:pPr>
        <w:pStyle w:val="BodyText"/>
        <w:spacing w:before="3"/>
        <w:rPr>
          <w:i/>
          <w:sz w:val="17"/>
        </w:rPr>
      </w:pPr>
    </w:p>
    <w:p>
      <w:pPr>
        <w:pStyle w:val="BodyText"/>
        <w:ind w:left="220"/>
      </w:pPr>
      <w:r>
        <w:rPr/>
        <w:t>In this example there is 1 column field </w:t>
      </w:r>
      <w:r>
        <w:rPr>
          <w:b/>
        </w:rPr>
        <w:t>State </w:t>
      </w:r>
      <w:r>
        <w:rPr/>
        <w:t>and 1 data field </w:t>
      </w:r>
      <w:r>
        <w:rPr>
          <w:b/>
        </w:rPr>
        <w:t>Amount</w:t>
      </w:r>
      <w:r>
        <w:rPr/>
        <w:t>, and row grand totals are on.</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391"/>
      </w:pPr>
      <w:r>
        <w:rPr/>
        <w:t>When column grand totals are </w:t>
      </w:r>
      <w:r>
        <w:rPr>
          <w:i/>
        </w:rPr>
        <w:t>on </w:t>
      </w:r>
      <w:r>
        <w:rPr/>
        <w:t>and there are row fields, a new row item is inserted at the very bottom of the PivotTable body, in the same column as the outermost row field values. The caption indicates that this is a grand total, and the values total all values in the column. When column grand totals are </w:t>
      </w:r>
      <w:r>
        <w:rPr>
          <w:i/>
        </w:rPr>
        <w:t>on </w:t>
      </w:r>
      <w:r>
        <w:rPr/>
        <w:t>but there are no row fields, no column grand total is shown.</w:t>
      </w:r>
    </w:p>
    <w:p>
      <w:pPr>
        <w:spacing w:before="194"/>
        <w:ind w:left="220" w:right="0" w:firstLine="0"/>
        <w:jc w:val="left"/>
        <w:rPr>
          <w:i/>
          <w:sz w:val="22"/>
        </w:rPr>
      </w:pPr>
      <w:r>
        <w:rPr>
          <w:sz w:val="22"/>
        </w:rPr>
        <w:t>[</w:t>
      </w:r>
      <w:r>
        <w:rPr>
          <w:i/>
          <w:sz w:val="22"/>
        </w:rPr>
        <w:t>Example:</w:t>
      </w:r>
    </w:p>
    <w:p>
      <w:pPr>
        <w:pStyle w:val="BodyText"/>
        <w:spacing w:before="5"/>
        <w:rPr>
          <w:i/>
          <w:sz w:val="16"/>
        </w:rPr>
      </w:pPr>
      <w:r>
        <w:rPr/>
        <w:drawing>
          <wp:anchor distT="0" distB="0" distL="0" distR="0" allowOverlap="1" layoutInCell="1" locked="0" behindDoc="0" simplePos="0" relativeHeight="58">
            <wp:simplePos x="0" y="0"/>
            <wp:positionH relativeFrom="page">
              <wp:posOffset>705612</wp:posOffset>
            </wp:positionH>
            <wp:positionV relativeFrom="paragraph">
              <wp:posOffset>152562</wp:posOffset>
            </wp:positionV>
            <wp:extent cx="2225671" cy="1343025"/>
            <wp:effectExtent l="0" t="0" r="0" b="0"/>
            <wp:wrapTopAndBottom/>
            <wp:docPr id="107" name="image53.png"/>
            <wp:cNvGraphicFramePr>
              <a:graphicFrameLocks noChangeAspect="1"/>
            </wp:cNvGraphicFramePr>
            <a:graphic>
              <a:graphicData uri="http://schemas.openxmlformats.org/drawingml/2006/picture">
                <pic:pic>
                  <pic:nvPicPr>
                    <pic:cNvPr id="108" name="image53.png"/>
                    <pic:cNvPicPr/>
                  </pic:nvPicPr>
                  <pic:blipFill>
                    <a:blip r:embed="rId149" cstate="print"/>
                    <a:stretch>
                      <a:fillRect/>
                    </a:stretch>
                  </pic:blipFill>
                  <pic:spPr>
                    <a:xfrm>
                      <a:off x="0" y="0"/>
                      <a:ext cx="2225671" cy="1343025"/>
                    </a:xfrm>
                    <a:prstGeom prst="rect">
                      <a:avLst/>
                    </a:prstGeom>
                  </pic:spPr>
                </pic:pic>
              </a:graphicData>
            </a:graphic>
          </wp:anchor>
        </w:drawing>
      </w:r>
    </w:p>
    <w:p>
      <w:pPr>
        <w:pStyle w:val="BodyText"/>
        <w:spacing w:before="3"/>
        <w:rPr>
          <w:i/>
          <w:sz w:val="17"/>
        </w:rPr>
      </w:pPr>
    </w:p>
    <w:p>
      <w:pPr>
        <w:spacing w:before="0"/>
        <w:ind w:left="220" w:right="0" w:firstLine="0"/>
        <w:jc w:val="left"/>
        <w:rPr>
          <w:sz w:val="22"/>
        </w:rPr>
      </w:pPr>
      <w:r>
        <w:rPr>
          <w:sz w:val="22"/>
        </w:rPr>
        <w:t>In this example there is 1 row field </w:t>
      </w:r>
      <w:r>
        <w:rPr>
          <w:b/>
          <w:sz w:val="22"/>
        </w:rPr>
        <w:t>State </w:t>
      </w:r>
      <w:r>
        <w:rPr>
          <w:sz w:val="22"/>
        </w:rPr>
        <w:t>and 1 data field </w:t>
      </w:r>
      <w:r>
        <w:rPr>
          <w:b/>
          <w:sz w:val="22"/>
        </w:rPr>
        <w:t>Amount, and column grand totals are on</w:t>
      </w:r>
      <w:r>
        <w:rPr>
          <w:sz w:val="22"/>
        </w:rPr>
        <w:t>.</w:t>
      </w:r>
    </w:p>
    <w:p>
      <w:pPr>
        <w:pStyle w:val="BodyText"/>
        <w:spacing w:before="8"/>
        <w:rPr>
          <w:sz w:val="1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spacing w:before="0"/>
        <w:ind w:left="220" w:right="0" w:firstLine="0"/>
        <w:jc w:val="left"/>
        <w:rPr>
          <w:i/>
          <w:sz w:val="22"/>
        </w:rPr>
      </w:pPr>
      <w:r>
        <w:rPr>
          <w:i/>
          <w:sz w:val="22"/>
        </w:rPr>
        <w:t>Other Layout Modes</w:t>
      </w:r>
    </w:p>
    <w:p>
      <w:pPr>
        <w:pStyle w:val="BodyText"/>
        <w:spacing w:before="6"/>
        <w:rPr>
          <w:i/>
          <w:sz w:val="19"/>
        </w:rPr>
      </w:pPr>
    </w:p>
    <w:p>
      <w:pPr>
        <w:pStyle w:val="BodyText"/>
        <w:spacing w:line="278" w:lineRule="auto"/>
        <w:ind w:left="220" w:right="485"/>
      </w:pPr>
      <w:r>
        <w:rPr/>
        <w:t>A PivotTable can be displayed in Compact, Outline, or Tabular form. In addition, Classic layout can be applied to any of the 3 layout forms.</w:t>
      </w:r>
    </w:p>
    <w:p>
      <w:pPr>
        <w:pStyle w:val="BodyText"/>
        <w:spacing w:line="278" w:lineRule="auto" w:before="196"/>
        <w:ind w:left="220" w:right="717"/>
      </w:pPr>
      <w:r>
        <w:rPr/>
        <w:t>Outline mode has been discussed in the above sections, and all examples are shown using outline mode with classic layout off (</w:t>
      </w:r>
      <w:r>
        <w:rPr>
          <w:rFonts w:ascii="Cambria"/>
        </w:rPr>
        <w:t>gridDropZones </w:t>
      </w:r>
      <w:r>
        <w:rPr/>
        <w:t>= </w:t>
      </w:r>
      <w:r>
        <w:rPr>
          <w:rFonts w:ascii="Consolas"/>
          <w:sz w:val="20"/>
        </w:rPr>
        <w:t>0</w:t>
      </w:r>
      <w:r>
        <w:rPr/>
        <w:t>).</w:t>
      </w:r>
    </w:p>
    <w:p>
      <w:pPr>
        <w:pStyle w:val="BodyText"/>
        <w:spacing w:before="197"/>
        <w:ind w:left="220"/>
      </w:pPr>
      <w:r>
        <w:rPr/>
        <w:t>For Compact mode, the layout differs from outline mode by:</w:t>
      </w:r>
    </w:p>
    <w:p>
      <w:pPr>
        <w:spacing w:after="0"/>
        <w:sectPr>
          <w:pgSz w:w="12240" w:h="15840"/>
          <w:pgMar w:header="761" w:footer="746" w:top="1340" w:bottom="940" w:left="860" w:right="700"/>
        </w:sectPr>
      </w:pPr>
    </w:p>
    <w:p>
      <w:pPr>
        <w:pStyle w:val="ListParagraph"/>
        <w:numPr>
          <w:ilvl w:val="4"/>
          <w:numId w:val="42"/>
        </w:numPr>
        <w:tabs>
          <w:tab w:pos="940" w:val="left" w:leader="none"/>
          <w:tab w:pos="941" w:val="left" w:leader="none"/>
        </w:tabs>
        <w:spacing w:line="276" w:lineRule="auto" w:before="148" w:after="0"/>
        <w:ind w:left="940" w:right="558" w:hanging="360"/>
        <w:jc w:val="left"/>
        <w:rPr>
          <w:sz w:val="22"/>
        </w:rPr>
      </w:pPr>
      <w:r>
        <w:rPr>
          <w:sz w:val="22"/>
        </w:rPr>
        <w:t>Instead of multiple row fields occupying multiple columns, the A1-most column of the PivotTable body contains all row field labels and values. A single label, “Row Labels”, is located where the first (outermost) row label is placed. When there are multiple row fields, the outermost list of values is not indented, then next inner row field values are indented (as specified in the indent attribute), and so on until each set of values for inner row fields are</w:t>
      </w:r>
      <w:r>
        <w:rPr>
          <w:spacing w:val="-7"/>
          <w:sz w:val="22"/>
        </w:rPr>
        <w:t> </w:t>
      </w:r>
      <w:r>
        <w:rPr>
          <w:sz w:val="22"/>
        </w:rPr>
        <w:t>shown.</w:t>
      </w:r>
    </w:p>
    <w:p>
      <w:pPr>
        <w:pStyle w:val="ListParagraph"/>
        <w:numPr>
          <w:ilvl w:val="4"/>
          <w:numId w:val="42"/>
        </w:numPr>
        <w:tabs>
          <w:tab w:pos="940" w:val="left" w:leader="none"/>
          <w:tab w:pos="941" w:val="left" w:leader="none"/>
        </w:tabs>
        <w:spacing w:line="280" w:lineRule="exact" w:before="0" w:after="0"/>
        <w:ind w:left="940" w:right="0" w:hanging="361"/>
        <w:jc w:val="left"/>
        <w:rPr>
          <w:sz w:val="22"/>
        </w:rPr>
      </w:pPr>
      <w:r>
        <w:rPr>
          <w:sz w:val="22"/>
        </w:rPr>
        <w:t>Instead of multiple column fields being listed and located across a row, the first column field position</w:t>
      </w:r>
      <w:r>
        <w:rPr>
          <w:spacing w:val="-31"/>
          <w:sz w:val="22"/>
        </w:rPr>
        <w:t> </w:t>
      </w:r>
      <w:r>
        <w:rPr>
          <w:sz w:val="22"/>
        </w:rPr>
        <w:t>is</w:t>
      </w:r>
    </w:p>
    <w:p>
      <w:pPr>
        <w:pStyle w:val="BodyText"/>
        <w:spacing w:line="453" w:lineRule="auto" w:before="44"/>
        <w:ind w:left="220" w:right="1354" w:firstLine="720"/>
        <w:rPr>
          <w:i/>
        </w:rPr>
      </w:pPr>
      <w:r>
        <w:rPr/>
        <w:t>labeled “Column Labels”, and there is only this label, located in the first column field position. [</w:t>
      </w:r>
      <w:r>
        <w:rPr>
          <w:i/>
        </w:rPr>
        <w:t>Example:</w:t>
      </w:r>
    </w:p>
    <w:p>
      <w:pPr>
        <w:pStyle w:val="BodyText"/>
        <w:spacing w:before="2"/>
        <w:ind w:left="220"/>
      </w:pPr>
      <w:r>
        <w:rPr/>
        <w:t>Outline mode:</w:t>
      </w:r>
    </w:p>
    <w:p>
      <w:pPr>
        <w:pStyle w:val="BodyText"/>
        <w:spacing w:before="6"/>
        <w:rPr>
          <w:sz w:val="16"/>
        </w:rPr>
      </w:pPr>
      <w:r>
        <w:rPr/>
        <w:drawing>
          <wp:anchor distT="0" distB="0" distL="0" distR="0" allowOverlap="1" layoutInCell="1" locked="0" behindDoc="0" simplePos="0" relativeHeight="59">
            <wp:simplePos x="0" y="0"/>
            <wp:positionH relativeFrom="page">
              <wp:posOffset>705612</wp:posOffset>
            </wp:positionH>
            <wp:positionV relativeFrom="paragraph">
              <wp:posOffset>152927</wp:posOffset>
            </wp:positionV>
            <wp:extent cx="6372689" cy="2560320"/>
            <wp:effectExtent l="0" t="0" r="0" b="0"/>
            <wp:wrapTopAndBottom/>
            <wp:docPr id="109" name="image54.png"/>
            <wp:cNvGraphicFramePr>
              <a:graphicFrameLocks noChangeAspect="1"/>
            </wp:cNvGraphicFramePr>
            <a:graphic>
              <a:graphicData uri="http://schemas.openxmlformats.org/drawingml/2006/picture">
                <pic:pic>
                  <pic:nvPicPr>
                    <pic:cNvPr id="110" name="image54.png"/>
                    <pic:cNvPicPr/>
                  </pic:nvPicPr>
                  <pic:blipFill>
                    <a:blip r:embed="rId150" cstate="print"/>
                    <a:stretch>
                      <a:fillRect/>
                    </a:stretch>
                  </pic:blipFill>
                  <pic:spPr>
                    <a:xfrm>
                      <a:off x="0" y="0"/>
                      <a:ext cx="6372689" cy="2560320"/>
                    </a:xfrm>
                    <a:prstGeom prst="rect">
                      <a:avLst/>
                    </a:prstGeom>
                  </pic:spPr>
                </pic:pic>
              </a:graphicData>
            </a:graphic>
          </wp:anchor>
        </w:drawing>
      </w:r>
    </w:p>
    <w:p>
      <w:pPr>
        <w:pStyle w:val="BodyText"/>
        <w:spacing w:before="1"/>
        <w:rPr>
          <w:sz w:val="18"/>
        </w:rPr>
      </w:pPr>
    </w:p>
    <w:p>
      <w:pPr>
        <w:spacing w:line="278" w:lineRule="auto" w:before="0"/>
        <w:ind w:left="220" w:right="591" w:firstLine="0"/>
        <w:jc w:val="left"/>
        <w:rPr>
          <w:sz w:val="22"/>
        </w:rPr>
      </w:pPr>
      <w:r>
        <w:rPr>
          <w:sz w:val="22"/>
        </w:rPr>
        <w:t>The above picture shows 2 column fields (</w:t>
      </w:r>
      <w:r>
        <w:rPr>
          <w:b/>
          <w:sz w:val="22"/>
        </w:rPr>
        <w:t>Postal Code </w:t>
      </w:r>
      <w:r>
        <w:rPr>
          <w:sz w:val="22"/>
        </w:rPr>
        <w:t>and </w:t>
      </w:r>
      <w:r>
        <w:rPr>
          <w:b/>
          <w:sz w:val="22"/>
        </w:rPr>
        <w:t>Last Name</w:t>
      </w:r>
      <w:r>
        <w:rPr>
          <w:sz w:val="22"/>
        </w:rPr>
        <w:t>), 1 data field (</w:t>
      </w:r>
      <w:r>
        <w:rPr>
          <w:b/>
          <w:sz w:val="22"/>
        </w:rPr>
        <w:t>Amount</w:t>
      </w:r>
      <w:r>
        <w:rPr>
          <w:sz w:val="22"/>
        </w:rPr>
        <w:t>), and 2 row fields (</w:t>
      </w:r>
      <w:r>
        <w:rPr>
          <w:b/>
          <w:sz w:val="22"/>
        </w:rPr>
        <w:t>State </w:t>
      </w:r>
      <w:r>
        <w:rPr>
          <w:sz w:val="22"/>
        </w:rPr>
        <w:t>and </w:t>
      </w:r>
      <w:r>
        <w:rPr>
          <w:b/>
          <w:sz w:val="22"/>
        </w:rPr>
        <w:t>City</w:t>
      </w:r>
      <w:r>
        <w:rPr>
          <w:sz w:val="22"/>
        </w:rPr>
        <w:t>). There are no page fields shown.</w:t>
      </w:r>
    </w:p>
    <w:p>
      <w:pPr>
        <w:pStyle w:val="BodyText"/>
        <w:spacing w:before="3"/>
        <w:rPr>
          <w:sz w:val="16"/>
        </w:rPr>
      </w:pPr>
    </w:p>
    <w:p>
      <w:pPr>
        <w:pStyle w:val="BodyText"/>
        <w:ind w:left="220"/>
      </w:pPr>
      <w:r>
        <w:rPr/>
        <w:t>Same PivotTable in compact mode:</w:t>
      </w:r>
    </w:p>
    <w:p>
      <w:pPr>
        <w:spacing w:after="0"/>
        <w:sectPr>
          <w:pgSz w:w="12240" w:h="15840"/>
          <w:pgMar w:header="763" w:footer="746" w:top="1340" w:bottom="940" w:left="860" w:right="700"/>
        </w:sectPr>
      </w:pPr>
    </w:p>
    <w:p>
      <w:pPr>
        <w:pStyle w:val="BodyText"/>
        <w:spacing w:before="8"/>
        <w:rPr>
          <w:sz w:val="7"/>
        </w:rPr>
      </w:pPr>
    </w:p>
    <w:p>
      <w:pPr>
        <w:pStyle w:val="BodyText"/>
        <w:ind w:left="251"/>
        <w:rPr>
          <w:sz w:val="20"/>
        </w:rPr>
      </w:pPr>
      <w:r>
        <w:rPr>
          <w:sz w:val="20"/>
        </w:rPr>
        <w:drawing>
          <wp:inline distT="0" distB="0" distL="0" distR="0">
            <wp:extent cx="4607745" cy="2667000"/>
            <wp:effectExtent l="0" t="0" r="0" b="0"/>
            <wp:docPr id="111" name="image55.png"/>
            <wp:cNvGraphicFramePr>
              <a:graphicFrameLocks noChangeAspect="1"/>
            </wp:cNvGraphicFramePr>
            <a:graphic>
              <a:graphicData uri="http://schemas.openxmlformats.org/drawingml/2006/picture">
                <pic:pic>
                  <pic:nvPicPr>
                    <pic:cNvPr id="112" name="image55.png"/>
                    <pic:cNvPicPr/>
                  </pic:nvPicPr>
                  <pic:blipFill>
                    <a:blip r:embed="rId153" cstate="print"/>
                    <a:stretch>
                      <a:fillRect/>
                    </a:stretch>
                  </pic:blipFill>
                  <pic:spPr>
                    <a:xfrm>
                      <a:off x="0" y="0"/>
                      <a:ext cx="4607745" cy="2667000"/>
                    </a:xfrm>
                    <a:prstGeom prst="rect">
                      <a:avLst/>
                    </a:prstGeom>
                  </pic:spPr>
                </pic:pic>
              </a:graphicData>
            </a:graphic>
          </wp:inline>
        </w:drawing>
      </w:r>
      <w:r>
        <w:rPr>
          <w:sz w:val="20"/>
        </w:rPr>
      </w:r>
    </w:p>
    <w:p>
      <w:pPr>
        <w:pStyle w:val="BodyText"/>
        <w:spacing w:before="6"/>
        <w:rPr>
          <w:sz w:val="14"/>
        </w:rPr>
      </w:pPr>
    </w:p>
    <w:p>
      <w:pPr>
        <w:pStyle w:val="BodyText"/>
        <w:spacing w:line="278" w:lineRule="auto" w:before="56"/>
        <w:ind w:left="220" w:right="699"/>
      </w:pPr>
      <w:r>
        <w:rPr/>
        <w:t>The above picture shows all column field labels collapsed into a single label </w:t>
      </w:r>
      <w:r>
        <w:rPr>
          <w:b/>
        </w:rPr>
        <w:t>Column Labels </w:t>
      </w:r>
      <w:r>
        <w:rPr/>
        <w:t>and all row field labels collapsed into a single label </w:t>
      </w:r>
      <w:r>
        <w:rPr>
          <w:b/>
        </w:rPr>
        <w:t>Row Labels</w:t>
      </w:r>
      <w:r>
        <w:rPr/>
        <w:t>. There is 1 data field </w:t>
      </w:r>
      <w:r>
        <w:rPr>
          <w:b/>
        </w:rPr>
        <w:t>Amount </w:t>
      </w:r>
      <w:r>
        <w:rPr/>
        <w:t>and no page fields. </w:t>
      </w:r>
      <w:r>
        <w:rPr>
          <w:i/>
        </w:rPr>
        <w:t>end example</w:t>
      </w:r>
      <w:r>
        <w:rPr/>
        <w:t>]</w:t>
      </w:r>
    </w:p>
    <w:p>
      <w:pPr>
        <w:pStyle w:val="BodyText"/>
        <w:spacing w:before="2"/>
        <w:rPr>
          <w:sz w:val="16"/>
        </w:rPr>
      </w:pPr>
    </w:p>
    <w:p>
      <w:pPr>
        <w:pStyle w:val="BodyText"/>
        <w:spacing w:before="1"/>
        <w:ind w:left="220"/>
      </w:pPr>
      <w:r>
        <w:rPr/>
        <w:t>For Tabular mode, the layout differs from outline mode by:</w:t>
      </w:r>
    </w:p>
    <w:p>
      <w:pPr>
        <w:pStyle w:val="BodyText"/>
        <w:spacing w:before="5"/>
        <w:rPr>
          <w:sz w:val="19"/>
        </w:rPr>
      </w:pPr>
    </w:p>
    <w:p>
      <w:pPr>
        <w:pStyle w:val="BodyText"/>
        <w:spacing w:line="273" w:lineRule="auto"/>
        <w:ind w:left="940" w:right="712"/>
      </w:pPr>
      <w:r>
        <w:rPr/>
        <w:t>Instead of beginning new inner row field values on the next row down from the outer row field value parent, the first next-inner row field value is located on the same row as the parent value.</w:t>
      </w:r>
    </w:p>
    <w:p>
      <w:pPr>
        <w:pStyle w:val="BodyText"/>
        <w:spacing w:line="453" w:lineRule="auto" w:before="7"/>
        <w:ind w:left="220" w:right="3376" w:firstLine="720"/>
        <w:rPr>
          <w:i/>
        </w:rPr>
      </w:pPr>
      <w:r>
        <w:rPr/>
        <w:t>Row subtotals can only appear at the bottom of a group, not at the top [</w:t>
      </w:r>
      <w:r>
        <w:rPr>
          <w:i/>
        </w:rPr>
        <w:t>Example:</w:t>
      </w:r>
    </w:p>
    <w:p>
      <w:pPr>
        <w:pStyle w:val="BodyText"/>
        <w:spacing w:before="3"/>
        <w:ind w:left="220"/>
      </w:pPr>
      <w:r>
        <w:rPr/>
        <w:t>Outline mode:</w:t>
      </w:r>
    </w:p>
    <w:p>
      <w:pPr>
        <w:pStyle w:val="BodyText"/>
        <w:spacing w:before="5"/>
        <w:rPr>
          <w:sz w:val="16"/>
        </w:rPr>
      </w:pPr>
      <w:r>
        <w:rPr/>
        <w:drawing>
          <wp:anchor distT="0" distB="0" distL="0" distR="0" allowOverlap="1" layoutInCell="1" locked="0" behindDoc="0" simplePos="0" relativeHeight="60">
            <wp:simplePos x="0" y="0"/>
            <wp:positionH relativeFrom="page">
              <wp:posOffset>705612</wp:posOffset>
            </wp:positionH>
            <wp:positionV relativeFrom="paragraph">
              <wp:posOffset>152396</wp:posOffset>
            </wp:positionV>
            <wp:extent cx="3758581" cy="2867025"/>
            <wp:effectExtent l="0" t="0" r="0" b="0"/>
            <wp:wrapTopAndBottom/>
            <wp:docPr id="113" name="image56.png"/>
            <wp:cNvGraphicFramePr>
              <a:graphicFrameLocks noChangeAspect="1"/>
            </wp:cNvGraphicFramePr>
            <a:graphic>
              <a:graphicData uri="http://schemas.openxmlformats.org/drawingml/2006/picture">
                <pic:pic>
                  <pic:nvPicPr>
                    <pic:cNvPr id="114" name="image56.png"/>
                    <pic:cNvPicPr/>
                  </pic:nvPicPr>
                  <pic:blipFill>
                    <a:blip r:embed="rId154" cstate="print"/>
                    <a:stretch>
                      <a:fillRect/>
                    </a:stretch>
                  </pic:blipFill>
                  <pic:spPr>
                    <a:xfrm>
                      <a:off x="0" y="0"/>
                      <a:ext cx="3758581" cy="2867025"/>
                    </a:xfrm>
                    <a:prstGeom prst="rect">
                      <a:avLst/>
                    </a:prstGeom>
                  </pic:spPr>
                </pic:pic>
              </a:graphicData>
            </a:graphic>
          </wp:anchor>
        </w:drawing>
      </w:r>
    </w:p>
    <w:p>
      <w:pPr>
        <w:pStyle w:val="BodyText"/>
        <w:spacing w:before="11"/>
        <w:rPr>
          <w:sz w:val="16"/>
        </w:rPr>
      </w:pPr>
    </w:p>
    <w:p>
      <w:pPr>
        <w:spacing w:before="0"/>
        <w:ind w:left="220" w:right="0" w:firstLine="0"/>
        <w:jc w:val="left"/>
        <w:rPr>
          <w:sz w:val="22"/>
        </w:rPr>
      </w:pPr>
      <w:r>
        <w:rPr>
          <w:sz w:val="22"/>
        </w:rPr>
        <w:t>The above picture shows 3 row fields (</w:t>
      </w:r>
      <w:r>
        <w:rPr>
          <w:b/>
          <w:sz w:val="22"/>
        </w:rPr>
        <w:t>Postal Code</w:t>
      </w:r>
      <w:r>
        <w:rPr>
          <w:sz w:val="22"/>
        </w:rPr>
        <w:t>, </w:t>
      </w:r>
      <w:r>
        <w:rPr>
          <w:b/>
          <w:sz w:val="22"/>
        </w:rPr>
        <w:t>State</w:t>
      </w:r>
      <w:r>
        <w:rPr>
          <w:sz w:val="22"/>
        </w:rPr>
        <w:t>, and </w:t>
      </w:r>
      <w:r>
        <w:rPr>
          <w:b/>
          <w:sz w:val="22"/>
        </w:rPr>
        <w:t>City</w:t>
      </w:r>
      <w:r>
        <w:rPr>
          <w:sz w:val="22"/>
        </w:rPr>
        <w:t>) and 1 data field, </w:t>
      </w:r>
      <w:r>
        <w:rPr>
          <w:b/>
          <w:sz w:val="22"/>
        </w:rPr>
        <w:t>Amount</w:t>
      </w:r>
      <w:r>
        <w:rPr>
          <w:sz w:val="22"/>
        </w:rPr>
        <w:t>.</w:t>
      </w:r>
    </w:p>
    <w:p>
      <w:pPr>
        <w:spacing w:after="0"/>
        <w:jc w:val="left"/>
        <w:rPr>
          <w:sz w:val="22"/>
        </w:rPr>
        <w:sectPr>
          <w:footerReference w:type="even" r:id="rId151"/>
          <w:footerReference w:type="default" r:id="rId152"/>
          <w:pgSz w:w="12240" w:h="15840"/>
          <w:pgMar w:footer="746" w:header="761" w:top="1340" w:bottom="940" w:left="860" w:right="700"/>
          <w:pgNumType w:start="1920"/>
        </w:sectPr>
      </w:pPr>
    </w:p>
    <w:p>
      <w:pPr>
        <w:pStyle w:val="BodyText"/>
        <w:spacing w:before="150"/>
        <w:ind w:left="220"/>
      </w:pPr>
      <w:r>
        <w:rPr/>
        <w:t>Same PivotTable in tabular mode:</w:t>
      </w:r>
    </w:p>
    <w:p>
      <w:pPr>
        <w:pStyle w:val="BodyText"/>
        <w:spacing w:before="7"/>
        <w:rPr>
          <w:sz w:val="16"/>
        </w:rPr>
      </w:pPr>
      <w:r>
        <w:rPr/>
        <w:drawing>
          <wp:anchor distT="0" distB="0" distL="0" distR="0" allowOverlap="1" layoutInCell="1" locked="0" behindDoc="0" simplePos="0" relativeHeight="61">
            <wp:simplePos x="0" y="0"/>
            <wp:positionH relativeFrom="page">
              <wp:posOffset>705612</wp:posOffset>
            </wp:positionH>
            <wp:positionV relativeFrom="paragraph">
              <wp:posOffset>153308</wp:posOffset>
            </wp:positionV>
            <wp:extent cx="3750334" cy="1704975"/>
            <wp:effectExtent l="0" t="0" r="0" b="0"/>
            <wp:wrapTopAndBottom/>
            <wp:docPr id="115" name="image57.png"/>
            <wp:cNvGraphicFramePr>
              <a:graphicFrameLocks noChangeAspect="1"/>
            </wp:cNvGraphicFramePr>
            <a:graphic>
              <a:graphicData uri="http://schemas.openxmlformats.org/drawingml/2006/picture">
                <pic:pic>
                  <pic:nvPicPr>
                    <pic:cNvPr id="116" name="image57.png"/>
                    <pic:cNvPicPr/>
                  </pic:nvPicPr>
                  <pic:blipFill>
                    <a:blip r:embed="rId155" cstate="print"/>
                    <a:stretch>
                      <a:fillRect/>
                    </a:stretch>
                  </pic:blipFill>
                  <pic:spPr>
                    <a:xfrm>
                      <a:off x="0" y="0"/>
                      <a:ext cx="3750334" cy="1704975"/>
                    </a:xfrm>
                    <a:prstGeom prst="rect">
                      <a:avLst/>
                    </a:prstGeom>
                  </pic:spPr>
                </pic:pic>
              </a:graphicData>
            </a:graphic>
          </wp:anchor>
        </w:drawing>
      </w:r>
    </w:p>
    <w:p>
      <w:pPr>
        <w:pStyle w:val="BodyText"/>
        <w:spacing w:before="11"/>
        <w:rPr>
          <w:sz w:val="16"/>
        </w:rPr>
      </w:pPr>
    </w:p>
    <w:p>
      <w:pPr>
        <w:spacing w:before="0"/>
        <w:ind w:left="220" w:right="0" w:firstLine="0"/>
        <w:jc w:val="left"/>
        <w:rPr>
          <w:sz w:val="22"/>
        </w:rPr>
      </w:pPr>
      <w:r>
        <w:rPr>
          <w:sz w:val="22"/>
        </w:rPr>
        <w:t>The above picture shows 3 row fields (</w:t>
      </w:r>
      <w:r>
        <w:rPr>
          <w:b/>
          <w:sz w:val="22"/>
        </w:rPr>
        <w:t>Postal Code</w:t>
      </w:r>
      <w:r>
        <w:rPr>
          <w:sz w:val="22"/>
        </w:rPr>
        <w:t>, </w:t>
      </w:r>
      <w:r>
        <w:rPr>
          <w:b/>
          <w:sz w:val="22"/>
        </w:rPr>
        <w:t>State</w:t>
      </w:r>
      <w:r>
        <w:rPr>
          <w:sz w:val="22"/>
        </w:rPr>
        <w:t>, and </w:t>
      </w:r>
      <w:r>
        <w:rPr>
          <w:b/>
          <w:sz w:val="22"/>
        </w:rPr>
        <w:t>City</w:t>
      </w:r>
      <w:r>
        <w:rPr>
          <w:sz w:val="22"/>
        </w:rPr>
        <w:t>) and 1 data field, </w:t>
      </w:r>
      <w:r>
        <w:rPr>
          <w:b/>
          <w:sz w:val="22"/>
        </w:rPr>
        <w:t>Amount</w:t>
      </w:r>
      <w:r>
        <w:rPr>
          <w:sz w:val="22"/>
        </w:rPr>
        <w:t>.</w:t>
      </w:r>
    </w:p>
    <w:p>
      <w:pPr>
        <w:pStyle w:val="BodyText"/>
        <w:spacing w:before="9"/>
        <w:rPr>
          <w:sz w:val="19"/>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For Classic layout, the layout differs by:</w:t>
      </w:r>
    </w:p>
    <w:p>
      <w:pPr>
        <w:pStyle w:val="BodyText"/>
        <w:spacing w:before="6"/>
        <w:rPr>
          <w:sz w:val="19"/>
        </w:rPr>
      </w:pPr>
    </w:p>
    <w:p>
      <w:pPr>
        <w:pStyle w:val="ListParagraph"/>
        <w:numPr>
          <w:ilvl w:val="4"/>
          <w:numId w:val="42"/>
        </w:numPr>
        <w:tabs>
          <w:tab w:pos="940" w:val="left" w:leader="none"/>
          <w:tab w:pos="941" w:val="left" w:leader="none"/>
        </w:tabs>
        <w:spacing w:line="276" w:lineRule="auto" w:before="0" w:after="0"/>
        <w:ind w:left="940" w:right="445" w:hanging="360"/>
        <w:jc w:val="left"/>
        <w:rPr>
          <w:sz w:val="22"/>
        </w:rPr>
      </w:pPr>
      <w:r>
        <w:rPr>
          <w:sz w:val="22"/>
        </w:rPr>
        <w:t>When there are row fields, no column fields, and 1 data field, instead of displaying the data field label adjacent to and in the same row as the row field labels, the data field label is located in the A1-most cell of the PivotTable body, and the row directly under this cell contains the row field</w:t>
      </w:r>
      <w:r>
        <w:rPr>
          <w:spacing w:val="-15"/>
          <w:sz w:val="22"/>
        </w:rPr>
        <w:t> </w:t>
      </w:r>
      <w:r>
        <w:rPr>
          <w:sz w:val="22"/>
        </w:rPr>
        <w:t>labels.</w:t>
      </w:r>
    </w:p>
    <w:p>
      <w:pPr>
        <w:pStyle w:val="ListParagraph"/>
        <w:numPr>
          <w:ilvl w:val="4"/>
          <w:numId w:val="42"/>
        </w:numPr>
        <w:tabs>
          <w:tab w:pos="940" w:val="left" w:leader="none"/>
          <w:tab w:pos="941" w:val="left" w:leader="none"/>
        </w:tabs>
        <w:spacing w:line="240" w:lineRule="auto" w:before="0" w:after="0"/>
        <w:ind w:left="940" w:right="0" w:hanging="361"/>
        <w:jc w:val="left"/>
        <w:rPr>
          <w:sz w:val="22"/>
        </w:rPr>
      </w:pPr>
      <w:r>
        <w:rPr>
          <w:sz w:val="22"/>
        </w:rPr>
        <w:t>In the exact location where the data field label is located when classic layout is off, a label titled</w:t>
      </w:r>
      <w:r>
        <w:rPr>
          <w:spacing w:val="-20"/>
          <w:sz w:val="22"/>
        </w:rPr>
        <w:t> </w:t>
      </w:r>
      <w:r>
        <w:rPr>
          <w:sz w:val="22"/>
        </w:rPr>
        <w:t>“Total”</w:t>
      </w:r>
    </w:p>
    <w:p>
      <w:pPr>
        <w:pStyle w:val="BodyText"/>
        <w:spacing w:line="453" w:lineRule="auto" w:before="41"/>
        <w:ind w:left="220" w:right="6390" w:firstLine="720"/>
        <w:rPr>
          <w:i/>
        </w:rPr>
      </w:pPr>
      <w:r>
        <w:rPr/>
        <w:t>is displayed when classic layout is on. [</w:t>
      </w:r>
      <w:r>
        <w:rPr>
          <w:i/>
        </w:rPr>
        <w:t>Example:</w:t>
      </w:r>
    </w:p>
    <w:p>
      <w:pPr>
        <w:pStyle w:val="BodyText"/>
        <w:spacing w:before="3"/>
        <w:ind w:left="220"/>
      </w:pPr>
      <w:r>
        <w:rPr/>
        <w:t>Outline mode, classic layout off:</w:t>
      </w:r>
    </w:p>
    <w:p>
      <w:pPr>
        <w:pStyle w:val="BodyText"/>
        <w:spacing w:before="5"/>
        <w:rPr>
          <w:sz w:val="16"/>
        </w:rPr>
      </w:pPr>
      <w:r>
        <w:rPr/>
        <w:drawing>
          <wp:anchor distT="0" distB="0" distL="0" distR="0" allowOverlap="1" layoutInCell="1" locked="0" behindDoc="0" simplePos="0" relativeHeight="62">
            <wp:simplePos x="0" y="0"/>
            <wp:positionH relativeFrom="page">
              <wp:posOffset>705612</wp:posOffset>
            </wp:positionH>
            <wp:positionV relativeFrom="paragraph">
              <wp:posOffset>152463</wp:posOffset>
            </wp:positionV>
            <wp:extent cx="3702920" cy="2933700"/>
            <wp:effectExtent l="0" t="0" r="0" b="0"/>
            <wp:wrapTopAndBottom/>
            <wp:docPr id="117" name="image58.png"/>
            <wp:cNvGraphicFramePr>
              <a:graphicFrameLocks noChangeAspect="1"/>
            </wp:cNvGraphicFramePr>
            <a:graphic>
              <a:graphicData uri="http://schemas.openxmlformats.org/drawingml/2006/picture">
                <pic:pic>
                  <pic:nvPicPr>
                    <pic:cNvPr id="118" name="image58.png"/>
                    <pic:cNvPicPr/>
                  </pic:nvPicPr>
                  <pic:blipFill>
                    <a:blip r:embed="rId156" cstate="print"/>
                    <a:stretch>
                      <a:fillRect/>
                    </a:stretch>
                  </pic:blipFill>
                  <pic:spPr>
                    <a:xfrm>
                      <a:off x="0" y="0"/>
                      <a:ext cx="3702920" cy="2933700"/>
                    </a:xfrm>
                    <a:prstGeom prst="rect">
                      <a:avLst/>
                    </a:prstGeom>
                  </pic:spPr>
                </pic:pic>
              </a:graphicData>
            </a:graphic>
          </wp:anchor>
        </w:drawing>
      </w:r>
    </w:p>
    <w:p>
      <w:pPr>
        <w:pStyle w:val="BodyText"/>
        <w:spacing w:before="7"/>
        <w:rPr>
          <w:sz w:val="17"/>
        </w:rPr>
      </w:pPr>
    </w:p>
    <w:p>
      <w:pPr>
        <w:spacing w:before="0"/>
        <w:ind w:left="220" w:right="0" w:firstLine="0"/>
        <w:jc w:val="left"/>
        <w:rPr>
          <w:sz w:val="22"/>
        </w:rPr>
      </w:pPr>
      <w:r>
        <w:rPr>
          <w:sz w:val="22"/>
        </w:rPr>
        <w:t>The above picture shows 3 row fields (</w:t>
      </w:r>
      <w:r>
        <w:rPr>
          <w:b/>
          <w:sz w:val="22"/>
        </w:rPr>
        <w:t>Postal Code</w:t>
      </w:r>
      <w:r>
        <w:rPr>
          <w:sz w:val="22"/>
        </w:rPr>
        <w:t>, </w:t>
      </w:r>
      <w:r>
        <w:rPr>
          <w:b/>
          <w:sz w:val="22"/>
        </w:rPr>
        <w:t>State</w:t>
      </w:r>
      <w:r>
        <w:rPr>
          <w:sz w:val="22"/>
        </w:rPr>
        <w:t>, and </w:t>
      </w:r>
      <w:r>
        <w:rPr>
          <w:b/>
          <w:sz w:val="22"/>
        </w:rPr>
        <w:t>City</w:t>
      </w:r>
      <w:r>
        <w:rPr>
          <w:sz w:val="22"/>
        </w:rPr>
        <w:t>) and 1 data field, </w:t>
      </w:r>
      <w:r>
        <w:rPr>
          <w:b/>
          <w:sz w:val="22"/>
        </w:rPr>
        <w:t>Amount</w:t>
      </w:r>
      <w:r>
        <w:rPr>
          <w:sz w:val="22"/>
        </w:rPr>
        <w:t>.</w:t>
      </w:r>
    </w:p>
    <w:p>
      <w:pPr>
        <w:spacing w:after="0"/>
        <w:jc w:val="left"/>
        <w:rPr>
          <w:sz w:val="22"/>
        </w:rPr>
        <w:sectPr>
          <w:pgSz w:w="12240" w:h="15840"/>
          <w:pgMar w:header="763" w:footer="746" w:top="1340" w:bottom="940" w:left="860" w:right="700"/>
        </w:sectPr>
      </w:pPr>
    </w:p>
    <w:p>
      <w:pPr>
        <w:pStyle w:val="BodyText"/>
        <w:spacing w:before="93"/>
        <w:ind w:left="220"/>
      </w:pPr>
      <w:r>
        <w:rPr/>
        <w:t>Same PivotTable in Outline mode, classic layout applied:</w:t>
      </w:r>
    </w:p>
    <w:p>
      <w:pPr>
        <w:pStyle w:val="BodyText"/>
        <w:spacing w:before="6"/>
        <w:rPr>
          <w:sz w:val="16"/>
        </w:rPr>
      </w:pPr>
      <w:r>
        <w:rPr/>
        <w:drawing>
          <wp:anchor distT="0" distB="0" distL="0" distR="0" allowOverlap="1" layoutInCell="1" locked="0" behindDoc="0" simplePos="0" relativeHeight="63">
            <wp:simplePos x="0" y="0"/>
            <wp:positionH relativeFrom="page">
              <wp:posOffset>705612</wp:posOffset>
            </wp:positionH>
            <wp:positionV relativeFrom="paragraph">
              <wp:posOffset>152927</wp:posOffset>
            </wp:positionV>
            <wp:extent cx="3277092" cy="3095625"/>
            <wp:effectExtent l="0" t="0" r="0" b="0"/>
            <wp:wrapTopAndBottom/>
            <wp:docPr id="119" name="image59.png"/>
            <wp:cNvGraphicFramePr>
              <a:graphicFrameLocks noChangeAspect="1"/>
            </wp:cNvGraphicFramePr>
            <a:graphic>
              <a:graphicData uri="http://schemas.openxmlformats.org/drawingml/2006/picture">
                <pic:pic>
                  <pic:nvPicPr>
                    <pic:cNvPr id="120" name="image59.png"/>
                    <pic:cNvPicPr/>
                  </pic:nvPicPr>
                  <pic:blipFill>
                    <a:blip r:embed="rId157" cstate="print"/>
                    <a:stretch>
                      <a:fillRect/>
                    </a:stretch>
                  </pic:blipFill>
                  <pic:spPr>
                    <a:xfrm>
                      <a:off x="0" y="0"/>
                      <a:ext cx="3277092" cy="3095625"/>
                    </a:xfrm>
                    <a:prstGeom prst="rect">
                      <a:avLst/>
                    </a:prstGeom>
                  </pic:spPr>
                </pic:pic>
              </a:graphicData>
            </a:graphic>
          </wp:anchor>
        </w:drawing>
      </w:r>
    </w:p>
    <w:p>
      <w:pPr>
        <w:pStyle w:val="BodyText"/>
        <w:rPr>
          <w:sz w:val="17"/>
        </w:rPr>
      </w:pPr>
    </w:p>
    <w:p>
      <w:pPr>
        <w:spacing w:before="1"/>
        <w:ind w:left="220" w:right="0" w:firstLine="0"/>
        <w:jc w:val="left"/>
        <w:rPr>
          <w:sz w:val="22"/>
        </w:rPr>
      </w:pPr>
      <w:r>
        <w:rPr>
          <w:sz w:val="22"/>
        </w:rPr>
        <w:t>The above picture shows 3 row fields (</w:t>
      </w:r>
      <w:r>
        <w:rPr>
          <w:b/>
          <w:sz w:val="22"/>
        </w:rPr>
        <w:t>Postal Code</w:t>
      </w:r>
      <w:r>
        <w:rPr>
          <w:sz w:val="22"/>
        </w:rPr>
        <w:t>, </w:t>
      </w:r>
      <w:r>
        <w:rPr>
          <w:b/>
          <w:sz w:val="22"/>
        </w:rPr>
        <w:t>State</w:t>
      </w:r>
      <w:r>
        <w:rPr>
          <w:sz w:val="22"/>
        </w:rPr>
        <w:t>, and </w:t>
      </w:r>
      <w:r>
        <w:rPr>
          <w:b/>
          <w:sz w:val="22"/>
        </w:rPr>
        <w:t>City</w:t>
      </w:r>
      <w:r>
        <w:rPr>
          <w:sz w:val="22"/>
        </w:rPr>
        <w:t>) and 1 data field, </w:t>
      </w:r>
      <w:r>
        <w:rPr>
          <w:b/>
          <w:sz w:val="22"/>
        </w:rPr>
        <w:t>Amount</w:t>
      </w:r>
      <w:r>
        <w:rPr>
          <w:sz w:val="22"/>
        </w:rPr>
        <w:t>.</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spacing w:line="237" w:lineRule="auto" w:before="45"/>
              <w:ind w:right="91"/>
              <w:rPr>
                <w:sz w:val="22"/>
              </w:rPr>
            </w:pPr>
            <w:r>
              <w:rPr>
                <w:rFonts w:ascii="Cambria"/>
                <w:sz w:val="22"/>
              </w:rPr>
              <w:t>applyAlignmentFor mats </w:t>
            </w:r>
            <w:r>
              <w:rPr>
                <w:sz w:val="22"/>
              </w:rPr>
              <w:t>(Apply Alignment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alignment properties.</w:t>
            </w:r>
          </w:p>
          <w:p>
            <w:pPr>
              <w:pStyle w:val="TableParagraph"/>
              <w:spacing w:before="0"/>
              <w:ind w:left="0"/>
              <w:rPr>
                <w:sz w:val="22"/>
              </w:rPr>
            </w:pP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spacing w:before="42"/>
              <w:ind w:right="115"/>
              <w:rPr>
                <w:sz w:val="22"/>
              </w:rPr>
            </w:pPr>
            <w:r>
              <w:rPr>
                <w:rFonts w:ascii="Cambria"/>
                <w:sz w:val="22"/>
              </w:rPr>
              <w:t>applyBorderForma ts </w:t>
            </w:r>
            <w:r>
              <w:rPr>
                <w:sz w:val="22"/>
              </w:rPr>
              <w:t>(Apply Border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border properties.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37" w:lineRule="auto" w:before="45"/>
              <w:ind w:right="176"/>
              <w:rPr>
                <w:sz w:val="22"/>
              </w:rPr>
            </w:pPr>
            <w:r>
              <w:rPr>
                <w:rFonts w:ascii="Cambria"/>
                <w:sz w:val="22"/>
              </w:rPr>
              <w:t>applyFontFormats </w:t>
            </w:r>
            <w:r>
              <w:rPr>
                <w:sz w:val="22"/>
              </w:rPr>
              <w:t>(Apply Font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font properties.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3"/>
              <w:ind w:right="112"/>
              <w:rPr>
                <w:sz w:val="22"/>
              </w:rPr>
            </w:pPr>
            <w:r>
              <w:rPr>
                <w:rFonts w:ascii="Cambria"/>
                <w:sz w:val="22"/>
              </w:rPr>
              <w:t>applyNumberForm ats </w:t>
            </w:r>
            <w:r>
              <w:rPr>
                <w:sz w:val="22"/>
              </w:rPr>
              <w:t>(Apply Number Formats)</w:t>
            </w:r>
          </w:p>
        </w:tc>
        <w:tc>
          <w:tcPr>
            <w:tcW w:w="8250" w:type="dxa"/>
          </w:tcPr>
          <w:p>
            <w:pPr>
              <w:pStyle w:val="TableParagraph"/>
              <w:rPr>
                <w:sz w:val="22"/>
              </w:rPr>
            </w:pPr>
            <w:r>
              <w:rPr>
                <w:sz w:val="22"/>
              </w:rPr>
              <w:t>If </w:t>
            </w:r>
            <w:r>
              <w:rPr>
                <w:rFonts w:ascii="Consolas"/>
                <w:sz w:val="20"/>
              </w:rPr>
              <w:t>true</w:t>
            </w:r>
            <w:r>
              <w:rPr>
                <w:rFonts w:ascii="Consolas"/>
                <w:spacing w:val="-65"/>
                <w:sz w:val="20"/>
              </w:rPr>
              <w:t> </w:t>
            </w:r>
            <w:r>
              <w:rPr>
                <w:sz w:val="22"/>
              </w:rPr>
              <w:t>apply legacy table autoformat number format properties.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5"/>
              <w:ind w:right="183"/>
              <w:rPr>
                <w:sz w:val="22"/>
              </w:rPr>
            </w:pPr>
            <w:r>
              <w:rPr>
                <w:rFonts w:ascii="Cambria"/>
                <w:sz w:val="22"/>
              </w:rPr>
              <w:t>applyPatternForm ats </w:t>
            </w:r>
            <w:r>
              <w:rPr>
                <w:sz w:val="22"/>
              </w:rPr>
              <w:t>(Apply Pattern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pattern properties.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42"/>
              <w:ind w:right="188"/>
              <w:rPr>
                <w:sz w:val="22"/>
              </w:rPr>
            </w:pPr>
            <w:r>
              <w:rPr>
                <w:rFonts w:ascii="Cambria"/>
                <w:sz w:val="22"/>
              </w:rPr>
              <w:t>applyWidthHeight Formats </w:t>
            </w:r>
            <w:r>
              <w:rPr>
                <w:sz w:val="22"/>
              </w:rPr>
              <w:t>(Apply Width / Height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width/height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line="257" w:lineRule="exact" w:before="42"/>
              <w:rPr>
                <w:rFonts w:ascii="Cambria"/>
                <w:sz w:val="22"/>
              </w:rPr>
            </w:pPr>
            <w:r>
              <w:rPr>
                <w:rFonts w:ascii="Cambria"/>
                <w:sz w:val="22"/>
              </w:rPr>
              <w:t>asteriskTotals</w:t>
            </w:r>
          </w:p>
          <w:p>
            <w:pPr>
              <w:pStyle w:val="TableParagraph"/>
              <w:spacing w:line="268" w:lineRule="exact" w:before="0"/>
              <w:rPr>
                <w:sz w:val="22"/>
              </w:rPr>
            </w:pPr>
            <w:r>
              <w:rPr>
                <w:sz w:val="22"/>
              </w:rPr>
              <w:t>(Asterisk Totals)</w:t>
            </w:r>
          </w:p>
        </w:tc>
        <w:tc>
          <w:tcPr>
            <w:tcW w:w="8250" w:type="dxa"/>
          </w:tcPr>
          <w:p>
            <w:pPr>
              <w:pStyle w:val="TableParagraph"/>
              <w:ind w:right="651"/>
              <w:rPr>
                <w:sz w:val="22"/>
              </w:rPr>
            </w:pPr>
            <w:r>
              <w:rPr>
                <w:sz w:val="22"/>
              </w:rPr>
              <w:t>Specifies a boolean value that indicates whether an asterisks should be displayed in subtotals and totals when visual totals are not used in OLAP -based PivotTables.</w:t>
            </w:r>
          </w:p>
          <w:p>
            <w:pPr>
              <w:pStyle w:val="TableParagraph"/>
              <w:spacing w:before="4"/>
              <w:ind w:left="0"/>
              <w:rPr>
                <w:rFonts w:ascii="Times New Roman"/>
                <w:sz w:val="23"/>
              </w:rPr>
            </w:pPr>
          </w:p>
          <w:p>
            <w:pPr>
              <w:pStyle w:val="TableParagraph"/>
              <w:spacing w:before="0"/>
              <w:ind w:right="272"/>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an asterisks are displayed in subtotals and totals for OLAP PivotTables when visual tools are not available.</w:t>
            </w:r>
          </w:p>
          <w:p>
            <w:pPr>
              <w:pStyle w:val="TableParagraph"/>
              <w:spacing w:before="5"/>
              <w:ind w:left="0"/>
              <w:rPr>
                <w:rFonts w:ascii="Times New Roman"/>
                <w:sz w:val="23"/>
              </w:rPr>
            </w:pPr>
          </w:p>
          <w:p>
            <w:pPr>
              <w:pStyle w:val="TableParagraph"/>
              <w:spacing w:before="0"/>
              <w:ind w:right="34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an asterisk will not be displayed. This attribute depends on the implementation and availability of visual tools in the application user interface.</w:t>
            </w:r>
          </w:p>
          <w:p>
            <w:pPr>
              <w:pStyle w:val="TableParagraph"/>
              <w:spacing w:before="5"/>
              <w:ind w:left="0"/>
              <w:rPr>
                <w:rFonts w:ascii="Times New Roman"/>
                <w:sz w:val="23"/>
              </w:rPr>
            </w:pP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771" w:hRule="atLeast"/>
        </w:trPr>
        <w:tc>
          <w:tcPr>
            <w:tcW w:w="2062" w:type="dxa"/>
          </w:tcPr>
          <w:p>
            <w:pPr>
              <w:pStyle w:val="TableParagraph"/>
              <w:spacing w:line="257" w:lineRule="exact" w:before="42"/>
              <w:rPr>
                <w:rFonts w:ascii="Cambria"/>
                <w:sz w:val="22"/>
              </w:rPr>
            </w:pPr>
            <w:r>
              <w:rPr>
                <w:rFonts w:ascii="Cambria"/>
                <w:sz w:val="22"/>
              </w:rPr>
              <w:t>autoFormatId</w:t>
            </w:r>
          </w:p>
          <w:p>
            <w:pPr>
              <w:pStyle w:val="TableParagraph"/>
              <w:spacing w:line="268" w:lineRule="exact" w:before="0"/>
              <w:rPr>
                <w:sz w:val="22"/>
              </w:rPr>
            </w:pPr>
            <w:r>
              <w:rPr>
                <w:sz w:val="22"/>
              </w:rPr>
              <w:t>(Auto Format Id)</w:t>
            </w:r>
          </w:p>
        </w:tc>
        <w:tc>
          <w:tcPr>
            <w:tcW w:w="8250" w:type="dxa"/>
          </w:tcPr>
          <w:p>
            <w:pPr>
              <w:pStyle w:val="TableParagraph"/>
              <w:rPr>
                <w:sz w:val="22"/>
              </w:rPr>
            </w:pPr>
            <w:r>
              <w:rPr>
                <w:sz w:val="22"/>
              </w:rPr>
              <w:t>Identifies which legacy table autoformat to apply.</w:t>
            </w:r>
          </w:p>
          <w:p>
            <w:pPr>
              <w:pStyle w:val="TableParagraph"/>
              <w:spacing w:before="4"/>
              <w:ind w:left="0"/>
              <w:rPr>
                <w:rFonts w:ascii="Times New Roman"/>
                <w:sz w:val="23"/>
              </w:rPr>
            </w:pPr>
          </w:p>
          <w:p>
            <w:pPr>
              <w:pStyle w:val="TableParagraph"/>
              <w:spacing w:before="0"/>
              <w:ind w:right="123"/>
              <w:rPr>
                <w:sz w:val="22"/>
              </w:rPr>
            </w:pPr>
            <w:r>
              <w:rPr>
                <w:sz w:val="22"/>
              </w:rPr>
              <w:t>Annex D contains a listing of the supported PivotTable AutoFormats, example formatting, and a sample workbook with each of those AutoFormats applied.</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6"/>
              <w:ind w:left="0"/>
              <w:rPr>
                <w:rFonts w:ascii="Times New Roman"/>
                <w:sz w:val="27"/>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8" w:lineRule="exact" w:before="0"/>
              <w:rPr>
                <w:sz w:val="22"/>
              </w:rPr>
            </w:pPr>
            <w:r>
              <w:rPr>
                <w:sz w:val="22"/>
              </w:rPr>
              <w:t>datatype.</w:t>
            </w:r>
          </w:p>
        </w:tc>
      </w:tr>
      <w:tr>
        <w:trPr>
          <w:trHeight w:val="1430" w:hRule="atLeast"/>
        </w:trPr>
        <w:tc>
          <w:tcPr>
            <w:tcW w:w="2062" w:type="dxa"/>
          </w:tcPr>
          <w:p>
            <w:pPr>
              <w:pStyle w:val="TableParagraph"/>
              <w:spacing w:before="42"/>
              <w:ind w:right="745"/>
              <w:rPr>
                <w:sz w:val="22"/>
              </w:rPr>
            </w:pPr>
            <w:r>
              <w:rPr>
                <w:rFonts w:ascii="Cambria"/>
                <w:sz w:val="22"/>
              </w:rPr>
              <w:t>cacheId </w:t>
            </w:r>
            <w:r>
              <w:rPr>
                <w:sz w:val="22"/>
              </w:rPr>
              <w:t>(PivotCache Definition Id)</w:t>
            </w:r>
          </w:p>
        </w:tc>
        <w:tc>
          <w:tcPr>
            <w:tcW w:w="8250" w:type="dxa"/>
          </w:tcPr>
          <w:p>
            <w:pPr>
              <w:pStyle w:val="TableParagraph"/>
              <w:ind w:right="903"/>
              <w:rPr>
                <w:sz w:val="22"/>
              </w:rPr>
            </w:pPr>
            <w:r>
              <w:rPr>
                <w:sz w:val="22"/>
              </w:rPr>
              <w:t>Specifies the identifier of the related PivotCache definition. This Id is listed in the pivotCaches collection in the workbook part.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8" w:hRule="atLeast"/>
        </w:trPr>
        <w:tc>
          <w:tcPr>
            <w:tcW w:w="2062" w:type="dxa"/>
          </w:tcPr>
          <w:p>
            <w:pPr>
              <w:pStyle w:val="TableParagraph"/>
              <w:ind w:right="131"/>
              <w:rPr>
                <w:sz w:val="22"/>
              </w:rPr>
            </w:pPr>
            <w:r>
              <w:rPr>
                <w:rFonts w:ascii="Cambria"/>
                <w:sz w:val="22"/>
              </w:rPr>
              <w:t>chartFormat </w:t>
            </w:r>
            <w:r>
              <w:rPr>
                <w:sz w:val="22"/>
              </w:rPr>
              <w:t>(Chart Format Id)</w:t>
            </w:r>
          </w:p>
        </w:tc>
        <w:tc>
          <w:tcPr>
            <w:tcW w:w="8250" w:type="dxa"/>
          </w:tcPr>
          <w:p>
            <w:pPr>
              <w:pStyle w:val="TableParagraph"/>
              <w:rPr>
                <w:sz w:val="22"/>
              </w:rPr>
            </w:pPr>
            <w:r>
              <w:rPr>
                <w:sz w:val="22"/>
              </w:rPr>
              <w:t>Specifies the next chart formatting identifier to use on the PivotTable.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772" w:hRule="atLeast"/>
        </w:trPr>
        <w:tc>
          <w:tcPr>
            <w:tcW w:w="2062" w:type="dxa"/>
          </w:tcPr>
          <w:p>
            <w:pPr>
              <w:pStyle w:val="TableParagraph"/>
              <w:spacing w:before="42"/>
              <w:ind w:right="398"/>
              <w:rPr>
                <w:sz w:val="22"/>
              </w:rPr>
            </w:pPr>
            <w:r>
              <w:rPr>
                <w:rFonts w:ascii="Cambria"/>
                <w:sz w:val="22"/>
              </w:rPr>
              <w:t>colGrandTotals </w:t>
            </w:r>
            <w:r>
              <w:rPr>
                <w:sz w:val="22"/>
              </w:rPr>
              <w:t>(Grand Totals On Columns)</w:t>
            </w:r>
          </w:p>
        </w:tc>
        <w:tc>
          <w:tcPr>
            <w:tcW w:w="8250" w:type="dxa"/>
          </w:tcPr>
          <w:p>
            <w:pPr>
              <w:pStyle w:val="TableParagraph"/>
              <w:ind w:right="182"/>
              <w:rPr>
                <w:sz w:val="22"/>
              </w:rPr>
            </w:pPr>
            <w:r>
              <w:rPr>
                <w:sz w:val="22"/>
              </w:rPr>
              <w:t>Specifies a boolean value that indicates whether grand totals should be displayed for the PivotTable columns.</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grand totals should be displayed.</w:t>
            </w:r>
          </w:p>
          <w:p>
            <w:pPr>
              <w:pStyle w:val="TableParagraph"/>
              <w:spacing w:before="4"/>
              <w:ind w:left="0"/>
              <w:rPr>
                <w:rFonts w:ascii="Times New Roman"/>
                <w:sz w:val="23"/>
              </w:rPr>
            </w:pPr>
          </w:p>
          <w:p>
            <w:pPr>
              <w:pStyle w:val="TableParagraph"/>
              <w:spacing w:before="1"/>
              <w:ind w:right="763"/>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grand totals should not be displayed for PivotTable columns.</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bl>
    <w:p>
      <w:pPr>
        <w:spacing w:after="0" w:line="267" w:lineRule="exact"/>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line="237" w:lineRule="auto" w:before="45"/>
              <w:ind w:right="228"/>
              <w:rPr>
                <w:sz w:val="22"/>
              </w:rPr>
            </w:pPr>
            <w:r>
              <w:rPr>
                <w:rFonts w:ascii="Cambria"/>
                <w:sz w:val="22"/>
              </w:rPr>
              <w:t>colHeaderCaption </w:t>
            </w:r>
            <w:r>
              <w:rPr>
                <w:sz w:val="22"/>
              </w:rPr>
              <w:t>(Column Header Caption)</w:t>
            </w:r>
          </w:p>
        </w:tc>
        <w:tc>
          <w:tcPr>
            <w:tcW w:w="8250" w:type="dxa"/>
          </w:tcPr>
          <w:p>
            <w:pPr>
              <w:pStyle w:val="TableParagraph"/>
              <w:ind w:right="478"/>
              <w:rPr>
                <w:sz w:val="22"/>
              </w:rPr>
            </w:pPr>
            <w:r>
              <w:rPr>
                <w:sz w:val="22"/>
              </w:rPr>
              <w:t>Specifies the string to be displayed in column header in compact mode. This attribute depends on whether the application implements a compact mode for displaying PivotTables in the user interface.</w:t>
            </w:r>
          </w:p>
          <w:p>
            <w:pPr>
              <w:pStyle w:val="TableParagraph"/>
              <w:spacing w:before="7"/>
              <w:ind w:left="0"/>
              <w:rPr>
                <w:rFonts w:ascii="Times New Roman"/>
                <w:sz w:val="23"/>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040" w:hRule="atLeast"/>
        </w:trPr>
        <w:tc>
          <w:tcPr>
            <w:tcW w:w="2062" w:type="dxa"/>
          </w:tcPr>
          <w:p>
            <w:pPr>
              <w:pStyle w:val="TableParagraph"/>
              <w:ind w:right="207"/>
              <w:rPr>
                <w:sz w:val="22"/>
              </w:rPr>
            </w:pPr>
            <w:r>
              <w:rPr>
                <w:rFonts w:ascii="Cambria"/>
                <w:sz w:val="22"/>
              </w:rPr>
              <w:t>compact </w:t>
            </w:r>
            <w:r>
              <w:rPr>
                <w:sz w:val="22"/>
              </w:rPr>
              <w:t>(Compact New Fields)</w:t>
            </w:r>
          </w:p>
        </w:tc>
        <w:tc>
          <w:tcPr>
            <w:tcW w:w="8250" w:type="dxa"/>
          </w:tcPr>
          <w:p>
            <w:pPr>
              <w:pStyle w:val="TableParagraph"/>
              <w:rPr>
                <w:rFonts w:ascii="Consolas"/>
                <w:sz w:val="20"/>
              </w:rPr>
            </w:pPr>
            <w:r>
              <w:rPr>
                <w:sz w:val="22"/>
              </w:rPr>
              <w:t>Specifies a boolean value that indicates whether new fields should have their </w:t>
            </w:r>
            <w:r>
              <w:rPr>
                <w:rFonts w:ascii="Consolas"/>
                <w:sz w:val="20"/>
              </w:rPr>
              <w:t>compact</w:t>
            </w:r>
          </w:p>
          <w:p>
            <w:pPr>
              <w:pStyle w:val="TableParagraph"/>
              <w:spacing w:before="0"/>
              <w:rPr>
                <w:sz w:val="22"/>
              </w:rPr>
            </w:pPr>
            <w:r>
              <w:rPr>
                <w:sz w:val="22"/>
              </w:rPr>
              <w:t>flag set to </w:t>
            </w:r>
            <w:r>
              <w:rPr>
                <w:rFonts w:ascii="Cambria"/>
                <w:sz w:val="22"/>
              </w:rPr>
              <w:t>true</w:t>
            </w:r>
            <w:r>
              <w:rPr>
                <w:sz w:val="22"/>
              </w:rPr>
              <w:t>.</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new fields should default to </w:t>
            </w:r>
            <w:r>
              <w:rPr>
                <w:rFonts w:ascii="Consolas"/>
                <w:sz w:val="20"/>
              </w:rPr>
              <w:t>compact</w:t>
            </w:r>
            <w:r>
              <w:rPr>
                <w:rFonts w:ascii="Consolas"/>
                <w:spacing w:val="-61"/>
                <w:sz w:val="20"/>
              </w:rPr>
              <w:t> </w:t>
            </w:r>
            <w:r>
              <w:rPr>
                <w:sz w:val="22"/>
              </w:rPr>
              <w:t>mode equal to </w:t>
            </w:r>
            <w:r>
              <w:rPr>
                <w:rFonts w:ascii="Cambria"/>
                <w:sz w:val="22"/>
              </w:rPr>
              <w:t>true</w:t>
            </w:r>
            <w:r>
              <w:rPr>
                <w:sz w:val="22"/>
              </w:rPr>
              <w:t>.</w:t>
            </w:r>
          </w:p>
          <w:p>
            <w:pPr>
              <w:pStyle w:val="TableParagraph"/>
              <w:spacing w:before="5"/>
              <w:ind w:left="0"/>
              <w:rPr>
                <w:rFonts w:ascii="Times New Roman"/>
                <w:sz w:val="23"/>
              </w:rPr>
            </w:pPr>
          </w:p>
          <w:p>
            <w:pPr>
              <w:pStyle w:val="TableParagraph"/>
              <w:spacing w:before="0"/>
              <w:ind w:right="113"/>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new fields should default to </w:t>
            </w:r>
            <w:r>
              <w:rPr>
                <w:rFonts w:ascii="Consolas"/>
                <w:sz w:val="20"/>
              </w:rPr>
              <w:t>compact</w:t>
            </w:r>
            <w:r>
              <w:rPr>
                <w:rFonts w:ascii="Consolas"/>
                <w:spacing w:val="-61"/>
                <w:sz w:val="20"/>
              </w:rPr>
              <w:t> </w:t>
            </w:r>
            <w:r>
              <w:rPr>
                <w:sz w:val="22"/>
              </w:rPr>
              <w:t>mode equal to </w:t>
            </w:r>
            <w:r>
              <w:rPr>
                <w:rFonts w:ascii="Cambria"/>
                <w:sz w:val="22"/>
              </w:rPr>
              <w:t>false</w:t>
            </w:r>
            <w:r>
              <w:rPr>
                <w:sz w:val="22"/>
              </w:rPr>
              <w:t>. This attribute depends on whether the application implements a compact mode in the user interface.</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compactData</w:t>
            </w:r>
          </w:p>
          <w:p>
            <w:pPr>
              <w:pStyle w:val="TableParagraph"/>
              <w:spacing w:line="268" w:lineRule="exact" w:before="0"/>
              <w:rPr>
                <w:sz w:val="22"/>
              </w:rPr>
            </w:pPr>
            <w:r>
              <w:rPr>
                <w:sz w:val="22"/>
              </w:rPr>
              <w:t>(Compact Data)</w:t>
            </w:r>
          </w:p>
        </w:tc>
        <w:tc>
          <w:tcPr>
            <w:tcW w:w="8250" w:type="dxa"/>
          </w:tcPr>
          <w:p>
            <w:pPr>
              <w:pStyle w:val="TableParagraph"/>
              <w:rPr>
                <w:sz w:val="22"/>
              </w:rPr>
            </w:pPr>
            <w:r>
              <w:rPr>
                <w:sz w:val="22"/>
              </w:rPr>
              <w:t>Specifies a boolean value that indicates whether the field next to the data field in the PivotTable should be displayed in the same column of the spreadsheet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spacing w:line="237" w:lineRule="auto" w:before="45"/>
              <w:ind w:right="99"/>
              <w:rPr>
                <w:sz w:val="22"/>
              </w:rPr>
            </w:pPr>
            <w:r>
              <w:rPr>
                <w:rFonts w:ascii="Cambria"/>
                <w:sz w:val="22"/>
              </w:rPr>
              <w:t>createdVersion </w:t>
            </w:r>
            <w:r>
              <w:rPr>
                <w:sz w:val="22"/>
              </w:rPr>
              <w:t>(PivotCache Created Version)</w:t>
            </w:r>
          </w:p>
        </w:tc>
        <w:tc>
          <w:tcPr>
            <w:tcW w:w="8250" w:type="dxa"/>
          </w:tcPr>
          <w:p>
            <w:pPr>
              <w:pStyle w:val="TableParagraph"/>
              <w:ind w:right="1052"/>
              <w:rPr>
                <w:sz w:val="22"/>
              </w:rPr>
            </w:pPr>
            <w:r>
              <w:rPr>
                <w:sz w:val="22"/>
              </w:rPr>
              <w:t>Specifies the version of the application that created the cache. This attribute is application-dependent.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1"/>
              <w:rPr>
                <w:sz w:val="22"/>
              </w:rPr>
            </w:pPr>
            <w:r>
              <w:rPr>
                <w:sz w:val="22"/>
              </w:rPr>
              <w:t>datatype.</w:t>
            </w:r>
          </w:p>
        </w:tc>
      </w:tr>
      <w:tr>
        <w:trPr>
          <w:trHeight w:val="2772" w:hRule="atLeast"/>
        </w:trPr>
        <w:tc>
          <w:tcPr>
            <w:tcW w:w="2062" w:type="dxa"/>
          </w:tcPr>
          <w:p>
            <w:pPr>
              <w:pStyle w:val="TableParagraph"/>
              <w:spacing w:before="42"/>
              <w:ind w:right="490"/>
              <w:rPr>
                <w:sz w:val="22"/>
              </w:rPr>
            </w:pPr>
            <w:r>
              <w:rPr>
                <w:rFonts w:ascii="Cambria"/>
                <w:sz w:val="22"/>
              </w:rPr>
              <w:t>customListSort </w:t>
            </w:r>
            <w:r>
              <w:rPr>
                <w:sz w:val="22"/>
              </w:rPr>
              <w:t>(Custom List AutoSort)</w:t>
            </w:r>
          </w:p>
        </w:tc>
        <w:tc>
          <w:tcPr>
            <w:tcW w:w="8250" w:type="dxa"/>
          </w:tcPr>
          <w:p>
            <w:pPr>
              <w:pStyle w:val="TableParagraph"/>
              <w:ind w:right="617"/>
              <w:rPr>
                <w:sz w:val="22"/>
              </w:rPr>
            </w:pPr>
            <w:r>
              <w:rPr>
                <w:sz w:val="22"/>
              </w:rPr>
              <w:t>Specifies a boolean value that indicates whether the "custom lists" option is offered when sorting this PivotTable.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custom lists are offered when sorting this PivotTable.</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custom lists are not offered. This attribute depends on the implementation of sorting features in the application.</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137"/>
              <w:rPr>
                <w:sz w:val="22"/>
              </w:rPr>
            </w:pPr>
            <w:r>
              <w:rPr>
                <w:rFonts w:ascii="Cambria"/>
                <w:sz w:val="22"/>
              </w:rPr>
              <w:t>dataCaption </w:t>
            </w:r>
            <w:r>
              <w:rPr>
                <w:sz w:val="22"/>
              </w:rPr>
              <w:t>(Data Field Header Name)</w:t>
            </w:r>
          </w:p>
        </w:tc>
        <w:tc>
          <w:tcPr>
            <w:tcW w:w="8250" w:type="dxa"/>
          </w:tcPr>
          <w:p>
            <w:pPr>
              <w:pStyle w:val="TableParagraph"/>
              <w:ind w:right="169"/>
              <w:rPr>
                <w:sz w:val="22"/>
              </w:rPr>
            </w:pPr>
            <w:r>
              <w:rPr>
                <w:sz w:val="22"/>
              </w:rPr>
              <w:t>Specifies the name of the value area field header in the PivotTable. This caption is shown when the PivotTable when two or more fields are in the values area.</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623" w:hRule="atLeast"/>
        </w:trPr>
        <w:tc>
          <w:tcPr>
            <w:tcW w:w="2062" w:type="dxa"/>
          </w:tcPr>
          <w:p>
            <w:pPr>
              <w:pStyle w:val="TableParagraph"/>
              <w:ind w:right="185"/>
              <w:rPr>
                <w:sz w:val="22"/>
              </w:rPr>
            </w:pPr>
            <w:r>
              <w:rPr>
                <w:rFonts w:ascii="Cambria"/>
                <w:sz w:val="22"/>
              </w:rPr>
              <w:t>dataOnRows </w:t>
            </w:r>
            <w:r>
              <w:rPr>
                <w:sz w:val="22"/>
              </w:rPr>
              <w:t>(Data On Rows)</w:t>
            </w:r>
          </w:p>
        </w:tc>
        <w:tc>
          <w:tcPr>
            <w:tcW w:w="8250" w:type="dxa"/>
          </w:tcPr>
          <w:p>
            <w:pPr>
              <w:pStyle w:val="TableParagraph"/>
              <w:ind w:right="264"/>
              <w:rPr>
                <w:sz w:val="22"/>
              </w:rPr>
            </w:pPr>
            <w:r>
              <w:rPr>
                <w:sz w:val="22"/>
              </w:rPr>
              <w:t>Specifies a boolean value that indicates whether the field representing multiple fields in the data region is located in the row area or the column area.</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this field is located in the row area.</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that this field is located in the column area.</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4382" w:hRule="atLeast"/>
        </w:trPr>
        <w:tc>
          <w:tcPr>
            <w:tcW w:w="2062" w:type="dxa"/>
          </w:tcPr>
          <w:p>
            <w:pPr>
              <w:pStyle w:val="TableParagraph"/>
              <w:spacing w:before="42"/>
              <w:ind w:right="246"/>
              <w:rPr>
                <w:sz w:val="22"/>
              </w:rPr>
            </w:pPr>
            <w:r>
              <w:rPr>
                <w:rFonts w:ascii="Cambria"/>
                <w:sz w:val="22"/>
              </w:rPr>
              <w:t>dataPosition </w:t>
            </w:r>
            <w:r>
              <w:rPr>
                <w:sz w:val="22"/>
              </w:rPr>
              <w:t>(Default Data Field Position)</w:t>
            </w:r>
          </w:p>
        </w:tc>
        <w:tc>
          <w:tcPr>
            <w:tcW w:w="8250" w:type="dxa"/>
          </w:tcPr>
          <w:p>
            <w:pPr>
              <w:pStyle w:val="TableParagraph"/>
              <w:ind w:right="612"/>
              <w:rPr>
                <w:sz w:val="22"/>
              </w:rPr>
            </w:pPr>
            <w:r>
              <w:rPr>
                <w:sz w:val="22"/>
              </w:rPr>
              <w:t>Specifies the position for the field representing multiple data field in the PivotTable, whether that field is located in the row area or column area.</w:t>
            </w:r>
          </w:p>
          <w:p>
            <w:pPr>
              <w:pStyle w:val="TableParagraph"/>
              <w:spacing w:before="4"/>
              <w:ind w:left="0"/>
              <w:rPr>
                <w:rFonts w:ascii="Times New Roman"/>
                <w:sz w:val="23"/>
              </w:rPr>
            </w:pPr>
          </w:p>
          <w:p>
            <w:pPr>
              <w:pStyle w:val="TableParagraph"/>
              <w:spacing w:line="480" w:lineRule="auto" w:before="0"/>
              <w:ind w:right="1721"/>
              <w:rPr>
                <w:sz w:val="22"/>
              </w:rPr>
            </w:pPr>
            <w:r>
              <w:rPr>
                <w:sz w:val="22"/>
              </w:rPr>
              <w:t>Missing attribute indicates this field is last, or innermost in the field list. 0 indicates this field is first, or outermost in the field list.</w:t>
            </w:r>
          </w:p>
          <w:p>
            <w:pPr>
              <w:pStyle w:val="TableParagraph"/>
              <w:numPr>
                <w:ilvl w:val="0"/>
                <w:numId w:val="50"/>
              </w:numPr>
              <w:tabs>
                <w:tab w:pos="278" w:val="left" w:leader="none"/>
              </w:tabs>
              <w:spacing w:line="268" w:lineRule="exact" w:before="0" w:after="0"/>
              <w:ind w:left="277" w:right="0" w:hanging="163"/>
              <w:jc w:val="left"/>
              <w:rPr>
                <w:sz w:val="22"/>
              </w:rPr>
            </w:pPr>
            <w:r>
              <w:rPr>
                <w:sz w:val="22"/>
              </w:rPr>
              <w:t>indicates this field is second in the field</w:t>
            </w:r>
            <w:r>
              <w:rPr>
                <w:spacing w:val="-4"/>
                <w:sz w:val="22"/>
              </w:rPr>
              <w:t> </w:t>
            </w:r>
            <w:r>
              <w:rPr>
                <w:sz w:val="22"/>
              </w:rPr>
              <w:t>list.</w:t>
            </w:r>
          </w:p>
          <w:p>
            <w:pPr>
              <w:pStyle w:val="TableParagraph"/>
              <w:spacing w:before="5"/>
              <w:ind w:left="0"/>
              <w:rPr>
                <w:rFonts w:ascii="Times New Roman"/>
                <w:sz w:val="23"/>
              </w:rPr>
            </w:pPr>
          </w:p>
          <w:p>
            <w:pPr>
              <w:pStyle w:val="TableParagraph"/>
              <w:numPr>
                <w:ilvl w:val="0"/>
                <w:numId w:val="50"/>
              </w:numPr>
              <w:tabs>
                <w:tab w:pos="278" w:val="left" w:leader="none"/>
              </w:tabs>
              <w:spacing w:line="240" w:lineRule="auto" w:before="0" w:after="0"/>
              <w:ind w:left="277" w:right="0" w:hanging="163"/>
              <w:jc w:val="left"/>
              <w:rPr>
                <w:sz w:val="22"/>
              </w:rPr>
            </w:pPr>
            <w:r>
              <w:rPr>
                <w:sz w:val="22"/>
              </w:rPr>
              <w:t>indicates this field is third in the field list, and increasing values follow this</w:t>
            </w:r>
            <w:r>
              <w:rPr>
                <w:spacing w:val="-16"/>
                <w:sz w:val="22"/>
              </w:rPr>
              <w:t> </w:t>
            </w:r>
            <w:r>
              <w:rPr>
                <w:sz w:val="22"/>
              </w:rPr>
              <w:t>pattern.</w:t>
            </w:r>
          </w:p>
          <w:p>
            <w:pPr>
              <w:pStyle w:val="TableParagraph"/>
              <w:spacing w:before="4"/>
              <w:ind w:left="0"/>
              <w:rPr>
                <w:rFonts w:ascii="Times New Roman"/>
                <w:sz w:val="23"/>
              </w:rPr>
            </w:pPr>
          </w:p>
          <w:p>
            <w:pPr>
              <w:pStyle w:val="TableParagraph"/>
              <w:spacing w:before="1"/>
              <w:ind w:right="436"/>
              <w:rPr>
                <w:sz w:val="22"/>
              </w:rPr>
            </w:pPr>
            <w:r>
              <w:rPr>
                <w:sz w:val="22"/>
              </w:rPr>
              <w:t>If this value is higher than the number of fields in the field list, then this field is last, or innermost in the field list.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2505" w:hRule="atLeast"/>
        </w:trPr>
        <w:tc>
          <w:tcPr>
            <w:tcW w:w="2062" w:type="dxa"/>
          </w:tcPr>
          <w:p>
            <w:pPr>
              <w:pStyle w:val="TableParagraph"/>
              <w:spacing w:line="256" w:lineRule="exact" w:before="45"/>
              <w:rPr>
                <w:rFonts w:ascii="Cambria"/>
                <w:sz w:val="22"/>
              </w:rPr>
            </w:pPr>
            <w:r>
              <w:rPr>
                <w:rFonts w:ascii="Cambria"/>
                <w:sz w:val="22"/>
              </w:rPr>
              <w:t>disableFieldList</w:t>
            </w:r>
          </w:p>
          <w:p>
            <w:pPr>
              <w:pStyle w:val="TableParagraph"/>
              <w:spacing w:line="267" w:lineRule="exact" w:before="0"/>
              <w:rPr>
                <w:sz w:val="22"/>
              </w:rPr>
            </w:pPr>
            <w:r>
              <w:rPr>
                <w:sz w:val="22"/>
              </w:rPr>
              <w:t>(Disable Field List)</w:t>
            </w:r>
          </w:p>
        </w:tc>
        <w:tc>
          <w:tcPr>
            <w:tcW w:w="8250" w:type="dxa"/>
          </w:tcPr>
          <w:p>
            <w:pPr>
              <w:pStyle w:val="TableParagraph"/>
              <w:spacing w:before="42"/>
              <w:rPr>
                <w:sz w:val="22"/>
              </w:rPr>
            </w:pPr>
            <w:r>
              <w:rPr>
                <w:sz w:val="22"/>
              </w:rPr>
              <w:t>Specifies a boolean value that indicates whether to disable the PivotTable field list.</w:t>
            </w:r>
          </w:p>
          <w:p>
            <w:pPr>
              <w:pStyle w:val="TableParagraph"/>
              <w:spacing w:before="2"/>
              <w:ind w:left="0"/>
              <w:rPr>
                <w:rFonts w:ascii="Times New Roman"/>
                <w:sz w:val="23"/>
              </w:rPr>
            </w:pPr>
          </w:p>
          <w:p>
            <w:pPr>
              <w:pStyle w:val="TableParagraph"/>
              <w:spacing w:before="1"/>
              <w:ind w:right="109"/>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field list, or similar mechanism for selecting fields in the user interface, is disabled.</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field list is enabled.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ind w:right="103"/>
              <w:rPr>
                <w:sz w:val="22"/>
              </w:rPr>
            </w:pPr>
            <w:r>
              <w:rPr>
                <w:rFonts w:ascii="Cambria"/>
                <w:sz w:val="22"/>
              </w:rPr>
              <w:t>editData </w:t>
            </w:r>
            <w:r>
              <w:rPr>
                <w:sz w:val="22"/>
              </w:rPr>
              <w:t>(Allow Edit Data)</w:t>
            </w:r>
          </w:p>
        </w:tc>
        <w:tc>
          <w:tcPr>
            <w:tcW w:w="8250" w:type="dxa"/>
          </w:tcPr>
          <w:p>
            <w:pPr>
              <w:pStyle w:val="TableParagraph"/>
              <w:ind w:right="415"/>
              <w:rPr>
                <w:sz w:val="22"/>
              </w:rPr>
            </w:pPr>
            <w:r>
              <w:rPr>
                <w:sz w:val="22"/>
              </w:rPr>
              <w:t>Specifies a boolean value that indicates whether the user is allowed to edit the cells in the data area of the PivotTable.</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user can edit values in the data area.</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cells in the data area are not editable.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89" w:hRule="atLeast"/>
        </w:trPr>
        <w:tc>
          <w:tcPr>
            <w:tcW w:w="2062" w:type="dxa"/>
          </w:tcPr>
          <w:p>
            <w:pPr>
              <w:pStyle w:val="TableParagraph"/>
              <w:ind w:right="155"/>
              <w:rPr>
                <w:sz w:val="22"/>
              </w:rPr>
            </w:pPr>
            <w:r>
              <w:rPr>
                <w:rFonts w:ascii="Cambria"/>
                <w:sz w:val="22"/>
              </w:rPr>
              <w:t>enableDrill </w:t>
            </w:r>
            <w:r>
              <w:rPr>
                <w:sz w:val="22"/>
              </w:rPr>
              <w:t>(Enable Drill Down)</w:t>
            </w:r>
          </w:p>
        </w:tc>
        <w:tc>
          <w:tcPr>
            <w:tcW w:w="8250" w:type="dxa"/>
          </w:tcPr>
          <w:p>
            <w:pPr>
              <w:pStyle w:val="TableParagraph"/>
              <w:ind w:right="134"/>
              <w:rPr>
                <w:sz w:val="22"/>
              </w:rPr>
            </w:pPr>
            <w:r>
              <w:rPr>
                <w:sz w:val="22"/>
              </w:rPr>
              <w:t>Specifies a boolean value that indicates whether the user is prevented from drilling down on a PivotItem or aggregate value.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spacing w:before="0"/>
              <w:ind w:left="0"/>
              <w:rPr>
                <w:rFonts w:ascii="Times New Roman"/>
                <w:sz w:val="22"/>
              </w:rPr>
            </w:pPr>
          </w:p>
        </w:tc>
        <w:tc>
          <w:tcPr>
            <w:tcW w:w="8250" w:type="dxa"/>
          </w:tcPr>
          <w:p>
            <w:pPr>
              <w:pStyle w:val="TableParagraph"/>
              <w:spacing w:line="480" w:lineRule="auto"/>
              <w:ind w:right="214"/>
              <w:rPr>
                <w:sz w:val="22"/>
              </w:rPr>
            </w:pPr>
            <w:r>
              <w:rPr>
                <w:sz w:val="22"/>
              </w:rPr>
              <w:t>A</w:t>
            </w:r>
            <w:r>
              <w:rPr>
                <w:spacing w:val="-1"/>
                <w:sz w:val="22"/>
              </w:rPr>
              <w:t> </w:t>
            </w:r>
            <w:r>
              <w:rPr>
                <w:sz w:val="22"/>
              </w:rPr>
              <w:t>value</w:t>
            </w:r>
            <w:r>
              <w:rPr>
                <w:spacing w:val="-2"/>
                <w:sz w:val="22"/>
              </w:rPr>
              <w:t> </w:t>
            </w:r>
            <w:r>
              <w:rPr>
                <w:sz w:val="22"/>
              </w:rPr>
              <w:t>of</w:t>
            </w:r>
            <w:r>
              <w:rPr>
                <w:spacing w:val="-2"/>
                <w:sz w:val="22"/>
              </w:rPr>
              <w:t> </w:t>
            </w:r>
            <w:r>
              <w:rPr>
                <w:rFonts w:ascii="Consolas"/>
                <w:sz w:val="20"/>
              </w:rPr>
              <w:t>1</w:t>
            </w:r>
            <w:r>
              <w:rPr>
                <w:rFonts w:ascii="Consolas"/>
                <w:spacing w:val="-59"/>
                <w:sz w:val="20"/>
              </w:rPr>
              <w:t> </w:t>
            </w:r>
            <w:r>
              <w:rPr>
                <w:sz w:val="22"/>
              </w:rPr>
              <w:t>or</w:t>
            </w:r>
            <w:r>
              <w:rPr>
                <w:spacing w:val="-3"/>
                <w:sz w:val="22"/>
              </w:rPr>
              <w:t> </w:t>
            </w:r>
            <w:r>
              <w:rPr>
                <w:rFonts w:ascii="Consolas"/>
                <w:sz w:val="20"/>
              </w:rPr>
              <w:t>true</w:t>
            </w:r>
            <w:r>
              <w:rPr>
                <w:rFonts w:ascii="Consolas"/>
                <w:spacing w:val="-62"/>
                <w:sz w:val="20"/>
              </w:rPr>
              <w:t> </w:t>
            </w:r>
            <w:r>
              <w:rPr>
                <w:sz w:val="22"/>
              </w:rPr>
              <w:t>indicates the</w:t>
            </w:r>
            <w:r>
              <w:rPr>
                <w:spacing w:val="-4"/>
                <w:sz w:val="22"/>
              </w:rPr>
              <w:t> </w:t>
            </w:r>
            <w:r>
              <w:rPr>
                <w:sz w:val="22"/>
              </w:rPr>
              <w:t>user</w:t>
            </w:r>
            <w:r>
              <w:rPr>
                <w:spacing w:val="-2"/>
                <w:sz w:val="22"/>
              </w:rPr>
              <w:t> </w:t>
            </w:r>
            <w:r>
              <w:rPr>
                <w:sz w:val="22"/>
              </w:rPr>
              <w:t>can</w:t>
            </w:r>
            <w:r>
              <w:rPr>
                <w:spacing w:val="-2"/>
                <w:sz w:val="22"/>
              </w:rPr>
              <w:t> </w:t>
            </w:r>
            <w:r>
              <w:rPr>
                <w:sz w:val="22"/>
              </w:rPr>
              <w:t>drill</w:t>
            </w:r>
            <w:r>
              <w:rPr>
                <w:spacing w:val="-1"/>
                <w:sz w:val="22"/>
              </w:rPr>
              <w:t> </w:t>
            </w:r>
            <w:r>
              <w:rPr>
                <w:sz w:val="22"/>
              </w:rPr>
              <w:t>down</w:t>
            </w:r>
            <w:r>
              <w:rPr>
                <w:spacing w:val="-2"/>
                <w:sz w:val="22"/>
              </w:rPr>
              <w:t> </w:t>
            </w:r>
            <w:r>
              <w:rPr>
                <w:sz w:val="22"/>
              </w:rPr>
              <w:t>on</w:t>
            </w:r>
            <w:r>
              <w:rPr>
                <w:spacing w:val="-2"/>
                <w:sz w:val="22"/>
              </w:rPr>
              <w:t> </w:t>
            </w:r>
            <w:r>
              <w:rPr>
                <w:sz w:val="22"/>
              </w:rPr>
              <w:t>a pivot</w:t>
            </w:r>
            <w:r>
              <w:rPr>
                <w:spacing w:val="-3"/>
                <w:sz w:val="22"/>
              </w:rPr>
              <w:t> </w:t>
            </w:r>
            <w:r>
              <w:rPr>
                <w:sz w:val="22"/>
              </w:rPr>
              <w:t>item</w:t>
            </w:r>
            <w:r>
              <w:rPr>
                <w:spacing w:val="-1"/>
                <w:sz w:val="22"/>
              </w:rPr>
              <w:t> </w:t>
            </w:r>
            <w:r>
              <w:rPr>
                <w:sz w:val="22"/>
              </w:rPr>
              <w:t>or</w:t>
            </w:r>
            <w:r>
              <w:rPr>
                <w:spacing w:val="-1"/>
                <w:sz w:val="22"/>
              </w:rPr>
              <w:t> </w:t>
            </w:r>
            <w:r>
              <w:rPr>
                <w:sz w:val="22"/>
              </w:rPr>
              <w:t>aggregate</w:t>
            </w:r>
            <w:r>
              <w:rPr>
                <w:spacing w:val="1"/>
                <w:sz w:val="22"/>
              </w:rPr>
              <w:t> </w:t>
            </w:r>
            <w:r>
              <w:rPr>
                <w:sz w:val="22"/>
              </w:rPr>
              <w:t>value. A</w:t>
            </w:r>
            <w:r>
              <w:rPr>
                <w:spacing w:val="-1"/>
                <w:sz w:val="22"/>
              </w:rPr>
              <w:t> </w:t>
            </w:r>
            <w:r>
              <w:rPr>
                <w:sz w:val="22"/>
              </w:rPr>
              <w:t>value</w:t>
            </w:r>
            <w:r>
              <w:rPr>
                <w:spacing w:val="-3"/>
                <w:sz w:val="22"/>
              </w:rPr>
              <w:t> </w:t>
            </w:r>
            <w:r>
              <w:rPr>
                <w:sz w:val="22"/>
              </w:rPr>
              <w:t>of</w:t>
            </w:r>
            <w:r>
              <w:rPr>
                <w:spacing w:val="-2"/>
                <w:sz w:val="22"/>
              </w:rPr>
              <w:t> </w:t>
            </w:r>
            <w:r>
              <w:rPr>
                <w:rFonts w:ascii="Consolas"/>
                <w:sz w:val="20"/>
              </w:rPr>
              <w:t>0</w:t>
            </w:r>
            <w:r>
              <w:rPr>
                <w:rFonts w:ascii="Consolas"/>
                <w:spacing w:val="-60"/>
                <w:sz w:val="20"/>
              </w:rPr>
              <w:t> </w:t>
            </w:r>
            <w:r>
              <w:rPr>
                <w:sz w:val="22"/>
              </w:rPr>
              <w:t>or</w:t>
            </w:r>
            <w:r>
              <w:rPr>
                <w:spacing w:val="-3"/>
                <w:sz w:val="22"/>
              </w:rPr>
              <w:t> </w:t>
            </w:r>
            <w:r>
              <w:rPr>
                <w:rFonts w:ascii="Consolas"/>
                <w:sz w:val="20"/>
              </w:rPr>
              <w:t>false</w:t>
            </w:r>
            <w:r>
              <w:rPr>
                <w:rFonts w:ascii="Consolas"/>
                <w:spacing w:val="-58"/>
                <w:sz w:val="20"/>
              </w:rPr>
              <w:t> </w:t>
            </w:r>
            <w:r>
              <w:rPr>
                <w:sz w:val="22"/>
              </w:rPr>
              <w:t>indicates</w:t>
            </w:r>
            <w:r>
              <w:rPr>
                <w:spacing w:val="-1"/>
                <w:sz w:val="22"/>
              </w:rPr>
              <w:t> </w:t>
            </w:r>
            <w:r>
              <w:rPr>
                <w:sz w:val="22"/>
              </w:rPr>
              <w:t>the user</w:t>
            </w:r>
            <w:r>
              <w:rPr>
                <w:spacing w:val="-4"/>
                <w:sz w:val="22"/>
              </w:rPr>
              <w:t> </w:t>
            </w:r>
            <w:r>
              <w:rPr>
                <w:sz w:val="22"/>
              </w:rPr>
              <w:t>is</w:t>
            </w:r>
            <w:r>
              <w:rPr>
                <w:spacing w:val="-1"/>
                <w:sz w:val="22"/>
              </w:rPr>
              <w:t> </w:t>
            </w:r>
            <w:r>
              <w:rPr>
                <w:sz w:val="22"/>
              </w:rPr>
              <w:t>prevented from</w:t>
            </w:r>
            <w:r>
              <w:rPr>
                <w:spacing w:val="-3"/>
                <w:sz w:val="22"/>
              </w:rPr>
              <w:t> </w:t>
            </w:r>
            <w:r>
              <w:rPr>
                <w:sz w:val="22"/>
              </w:rPr>
              <w:t>drilling</w:t>
            </w:r>
            <w:r>
              <w:rPr>
                <w:spacing w:val="-2"/>
                <w:sz w:val="22"/>
              </w:rPr>
              <w:t> </w:t>
            </w:r>
            <w:r>
              <w:rPr>
                <w:sz w:val="22"/>
              </w:rPr>
              <w:t>down</w:t>
            </w:r>
            <w:r>
              <w:rPr>
                <w:spacing w:val="-1"/>
                <w:sz w:val="22"/>
              </w:rPr>
              <w:t> </w:t>
            </w:r>
            <w:r>
              <w:rPr>
                <w:sz w:val="22"/>
              </w:rPr>
              <w:t>pivot</w:t>
            </w:r>
            <w:r>
              <w:rPr>
                <w:spacing w:val="-1"/>
                <w:sz w:val="22"/>
              </w:rPr>
              <w:t> </w:t>
            </w:r>
            <w:r>
              <w:rPr>
                <w:sz w:val="22"/>
              </w:rPr>
              <w:t>item.</w:t>
            </w:r>
          </w:p>
          <w:p>
            <w:pPr>
              <w:pStyle w:val="TableParagraph"/>
              <w:spacing w:line="267" w:lineRule="exact" w:before="1"/>
              <w:rPr>
                <w:rFonts w:ascii="Cambria"/>
                <w:sz w:val="22"/>
              </w:rPr>
            </w:pPr>
            <w:r>
              <w:rPr>
                <w:sz w:val="22"/>
              </w:rPr>
              <w:t>The possible values for this attribute are defined by the W3C XML Schema</w:t>
            </w:r>
            <w:r>
              <w:rPr>
                <w:spacing w:val="-29"/>
                <w:sz w:val="22"/>
              </w:rPr>
              <w:t> </w:t>
            </w:r>
            <w:r>
              <w:rPr>
                <w:rFonts w:ascii="Cambria"/>
                <w:sz w:val="22"/>
              </w:rPr>
              <w:t>boolean</w:t>
            </w:r>
          </w:p>
          <w:p>
            <w:pPr>
              <w:pStyle w:val="TableParagraph"/>
              <w:spacing w:line="267" w:lineRule="exact" w:before="0"/>
              <w:rPr>
                <w:sz w:val="22"/>
              </w:rPr>
            </w:pPr>
            <w:r>
              <w:rPr>
                <w:sz w:val="22"/>
              </w:rPr>
              <w:t>datatype.</w:t>
            </w:r>
          </w:p>
        </w:tc>
      </w:tr>
      <w:tr>
        <w:trPr>
          <w:trHeight w:val="3040" w:hRule="atLeast"/>
        </w:trPr>
        <w:tc>
          <w:tcPr>
            <w:tcW w:w="2062" w:type="dxa"/>
          </w:tcPr>
          <w:p>
            <w:pPr>
              <w:pStyle w:val="TableParagraph"/>
              <w:spacing w:before="42"/>
              <w:ind w:right="95"/>
              <w:rPr>
                <w:sz w:val="22"/>
              </w:rPr>
            </w:pPr>
            <w:r>
              <w:rPr>
                <w:rFonts w:ascii="Cambria"/>
                <w:sz w:val="22"/>
              </w:rPr>
              <w:t>enableFieldPropert ies </w:t>
            </w:r>
            <w:r>
              <w:rPr>
                <w:sz w:val="22"/>
              </w:rPr>
              <w:t>(Enable Field Properties)</w:t>
            </w:r>
          </w:p>
        </w:tc>
        <w:tc>
          <w:tcPr>
            <w:tcW w:w="8250" w:type="dxa"/>
          </w:tcPr>
          <w:p>
            <w:pPr>
              <w:pStyle w:val="TableParagraph"/>
              <w:ind w:right="408"/>
              <w:rPr>
                <w:sz w:val="22"/>
              </w:rPr>
            </w:pPr>
            <w:r>
              <w:rPr>
                <w:sz w:val="22"/>
              </w:rPr>
              <w:t>Specifies a boolean value that indicates whether the user is prevented from displaying PivotField properties.</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user can display pivot field properties.</w:t>
            </w:r>
          </w:p>
          <w:p>
            <w:pPr>
              <w:pStyle w:val="TableParagraph"/>
              <w:spacing w:before="5"/>
              <w:ind w:left="0"/>
              <w:rPr>
                <w:rFonts w:ascii="Times New Roman"/>
                <w:sz w:val="23"/>
              </w:rPr>
            </w:pPr>
          </w:p>
          <w:p>
            <w:pPr>
              <w:pStyle w:val="TableParagraph"/>
              <w:spacing w:before="0"/>
              <w:ind w:right="664"/>
              <w:rPr>
                <w:sz w:val="22"/>
              </w:rPr>
            </w:pPr>
            <w:r>
              <w:rPr>
                <w:sz w:val="22"/>
              </w:rPr>
              <w:t>A value of </w:t>
            </w:r>
            <w:r>
              <w:rPr>
                <w:rFonts w:ascii="Consolas"/>
                <w:sz w:val="20"/>
              </w:rPr>
              <w:t>0 </w:t>
            </w:r>
            <w:r>
              <w:rPr>
                <w:sz w:val="22"/>
              </w:rPr>
              <w:t>or </w:t>
            </w:r>
            <w:r>
              <w:rPr>
                <w:rFonts w:ascii="Consolas"/>
                <w:sz w:val="20"/>
              </w:rPr>
              <w:t>false </w:t>
            </w:r>
            <w:r>
              <w:rPr>
                <w:sz w:val="22"/>
              </w:rPr>
              <w:t>indicates the user cannot display pivot field properties. This attribute depends on how pivot field properties are exposed in the application user interface.</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8" w:hRule="atLeast"/>
        </w:trPr>
        <w:tc>
          <w:tcPr>
            <w:tcW w:w="2062" w:type="dxa"/>
          </w:tcPr>
          <w:p>
            <w:pPr>
              <w:pStyle w:val="TableParagraph"/>
              <w:spacing w:before="42"/>
              <w:ind w:right="144"/>
              <w:rPr>
                <w:sz w:val="22"/>
              </w:rPr>
            </w:pPr>
            <w:r>
              <w:rPr>
                <w:rFonts w:ascii="Cambria"/>
                <w:sz w:val="22"/>
              </w:rPr>
              <w:t>enableWizard </w:t>
            </w:r>
            <w:r>
              <w:rPr>
                <w:sz w:val="22"/>
              </w:rPr>
              <w:t>(Enable PivotTable Editing Mechanism)</w:t>
            </w:r>
          </w:p>
        </w:tc>
        <w:tc>
          <w:tcPr>
            <w:tcW w:w="8250" w:type="dxa"/>
          </w:tcPr>
          <w:p>
            <w:pPr>
              <w:pStyle w:val="TableParagraph"/>
              <w:ind w:right="204"/>
              <w:rPr>
                <w:sz w:val="22"/>
              </w:rPr>
            </w:pPr>
            <w:r>
              <w:rPr>
                <w:sz w:val="22"/>
              </w:rPr>
              <w:t>An implementation might choose to provide a mechanism for users to edit PivotTables. This attribute specifies a boolean value that indicates whether such a mechanism should be displayed.</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ind w:right="122"/>
              <w:rPr>
                <w:sz w:val="22"/>
              </w:rPr>
            </w:pPr>
            <w:r>
              <w:rPr>
                <w:rFonts w:ascii="Cambria"/>
                <w:sz w:val="22"/>
              </w:rPr>
              <w:t>errorCaption </w:t>
            </w:r>
            <w:r>
              <w:rPr>
                <w:sz w:val="22"/>
              </w:rPr>
              <w:t>(Error Caption)</w:t>
            </w:r>
          </w:p>
        </w:tc>
        <w:tc>
          <w:tcPr>
            <w:tcW w:w="8250" w:type="dxa"/>
          </w:tcPr>
          <w:p>
            <w:pPr>
              <w:pStyle w:val="TableParagraph"/>
              <w:rPr>
                <w:sz w:val="22"/>
              </w:rPr>
            </w:pPr>
            <w:r>
              <w:rPr>
                <w:sz w:val="22"/>
              </w:rPr>
              <w:t>Specifies the string to be displayed in cells that contain errors.</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040" w:hRule="atLeast"/>
        </w:trPr>
        <w:tc>
          <w:tcPr>
            <w:tcW w:w="2062" w:type="dxa"/>
          </w:tcPr>
          <w:p>
            <w:pPr>
              <w:pStyle w:val="TableParagraph"/>
              <w:spacing w:before="42"/>
              <w:ind w:right="202"/>
              <w:rPr>
                <w:sz w:val="22"/>
              </w:rPr>
            </w:pPr>
            <w:r>
              <w:rPr>
                <w:rFonts w:ascii="Cambria"/>
                <w:sz w:val="22"/>
              </w:rPr>
              <w:t>fieldListSortAscen ding </w:t>
            </w:r>
            <w:r>
              <w:rPr>
                <w:sz w:val="22"/>
              </w:rPr>
              <w:t>(Default Sort Order)</w:t>
            </w:r>
          </w:p>
        </w:tc>
        <w:tc>
          <w:tcPr>
            <w:tcW w:w="8250" w:type="dxa"/>
          </w:tcPr>
          <w:p>
            <w:pPr>
              <w:pStyle w:val="TableParagraph"/>
              <w:ind w:right="530"/>
              <w:rPr>
                <w:sz w:val="22"/>
              </w:rPr>
            </w:pPr>
            <w:r>
              <w:rPr>
                <w:sz w:val="22"/>
              </w:rPr>
              <w:t>Specifies a boolean value that indicates whether fields in the PivotTable are sorted in non-default order in the field list.</w:t>
            </w:r>
          </w:p>
          <w:p>
            <w:pPr>
              <w:pStyle w:val="TableParagraph"/>
              <w:spacing w:before="4"/>
              <w:ind w:left="0"/>
              <w:rPr>
                <w:rFonts w:ascii="Times New Roman"/>
                <w:sz w:val="23"/>
              </w:rPr>
            </w:pPr>
          </w:p>
          <w:p>
            <w:pPr>
              <w:pStyle w:val="TableParagraph"/>
              <w:spacing w:before="0"/>
              <w:ind w:right="174"/>
              <w:jc w:val="both"/>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fields for the PivotTable are sorted in the field list. The sort order from the data source is applied for range-based PivotTables. Alphabetical sorting is applied for external data PivotTables.</w:t>
            </w:r>
          </w:p>
          <w:p>
            <w:pPr>
              <w:pStyle w:val="TableParagraph"/>
              <w:spacing w:before="3"/>
              <w:ind w:left="0"/>
              <w:rPr>
                <w:rFonts w:ascii="Times New Roman"/>
                <w:sz w:val="23"/>
              </w:rPr>
            </w:pPr>
          </w:p>
          <w:p>
            <w:pPr>
              <w:pStyle w:val="TableParagraph"/>
              <w:spacing w:before="0"/>
              <w:jc w:val="both"/>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fields in the field list are not sorted.</w:t>
            </w:r>
          </w:p>
          <w:p>
            <w:pPr>
              <w:pStyle w:val="TableParagraph"/>
              <w:spacing w:before="4"/>
              <w:ind w:left="0"/>
              <w:rPr>
                <w:rFonts w:ascii="Times New Roman"/>
                <w:sz w:val="23"/>
              </w:rPr>
            </w:pPr>
          </w:p>
          <w:p>
            <w:pPr>
              <w:pStyle w:val="TableParagraph"/>
              <w:spacing w:before="1"/>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8" w:hRule="atLeast"/>
        </w:trPr>
        <w:tc>
          <w:tcPr>
            <w:tcW w:w="2062" w:type="dxa"/>
          </w:tcPr>
          <w:p>
            <w:pPr>
              <w:pStyle w:val="TableParagraph"/>
              <w:spacing w:line="257" w:lineRule="exact" w:before="42"/>
              <w:rPr>
                <w:rFonts w:ascii="Cambria"/>
                <w:sz w:val="22"/>
              </w:rPr>
            </w:pPr>
            <w:r>
              <w:rPr>
                <w:rFonts w:ascii="Cambria"/>
                <w:sz w:val="22"/>
              </w:rPr>
              <w:t>fieldPrintTitles</w:t>
            </w:r>
          </w:p>
          <w:p>
            <w:pPr>
              <w:pStyle w:val="TableParagraph"/>
              <w:spacing w:line="268" w:lineRule="exact" w:before="0"/>
              <w:rPr>
                <w:sz w:val="22"/>
              </w:rPr>
            </w:pPr>
            <w:r>
              <w:rPr>
                <w:sz w:val="22"/>
              </w:rPr>
              <w:t>(Field Print Titles)</w:t>
            </w:r>
          </w:p>
        </w:tc>
        <w:tc>
          <w:tcPr>
            <w:tcW w:w="8250" w:type="dxa"/>
          </w:tcPr>
          <w:p>
            <w:pPr>
              <w:pStyle w:val="TableParagraph"/>
              <w:ind w:right="605"/>
              <w:rPr>
                <w:sz w:val="22"/>
              </w:rPr>
            </w:pPr>
            <w:r>
              <w:rPr>
                <w:sz w:val="22"/>
              </w:rPr>
              <w:t>Specifies a boolean value that indicates whether the row and column titles from the PivotTable should be printed.</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row and column titles should be printed.</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row and column titles should not be printed.</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spacing w:line="237" w:lineRule="auto" w:before="45"/>
              <w:ind w:right="147"/>
              <w:rPr>
                <w:sz w:val="22"/>
              </w:rPr>
            </w:pPr>
            <w:r>
              <w:rPr>
                <w:rFonts w:ascii="Cambria"/>
                <w:sz w:val="22"/>
              </w:rPr>
              <w:t>grandTotalCaption </w:t>
            </w:r>
            <w:r>
              <w:rPr>
                <w:sz w:val="22"/>
              </w:rPr>
              <w:t>(Grand Totals Caption)</w:t>
            </w:r>
          </w:p>
        </w:tc>
        <w:tc>
          <w:tcPr>
            <w:tcW w:w="8250" w:type="dxa"/>
          </w:tcPr>
          <w:p>
            <w:pPr>
              <w:pStyle w:val="TableParagraph"/>
              <w:rPr>
                <w:sz w:val="22"/>
              </w:rPr>
            </w:pPr>
            <w:r>
              <w:rPr>
                <w:sz w:val="22"/>
              </w:rPr>
              <w:t>Specifies the string to be displayed for grand totals.</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4651" w:hRule="atLeast"/>
        </w:trPr>
        <w:tc>
          <w:tcPr>
            <w:tcW w:w="2062" w:type="dxa"/>
          </w:tcPr>
          <w:p>
            <w:pPr>
              <w:pStyle w:val="TableParagraph"/>
              <w:spacing w:line="257" w:lineRule="exact" w:before="42"/>
              <w:rPr>
                <w:rFonts w:ascii="Cambria"/>
                <w:sz w:val="22"/>
              </w:rPr>
            </w:pPr>
            <w:r>
              <w:rPr>
                <w:rFonts w:ascii="Cambria"/>
                <w:sz w:val="22"/>
              </w:rPr>
              <w:t>gridDropZones</w:t>
            </w:r>
          </w:p>
          <w:p>
            <w:pPr>
              <w:pStyle w:val="TableParagraph"/>
              <w:spacing w:line="268" w:lineRule="exact" w:before="0"/>
              <w:rPr>
                <w:sz w:val="22"/>
              </w:rPr>
            </w:pPr>
            <w:r>
              <w:rPr>
                <w:sz w:val="22"/>
              </w:rPr>
              <w:t>(Enable Drop Zones)</w:t>
            </w:r>
          </w:p>
        </w:tc>
        <w:tc>
          <w:tcPr>
            <w:tcW w:w="8250" w:type="dxa"/>
          </w:tcPr>
          <w:p>
            <w:pPr>
              <w:pStyle w:val="TableParagraph"/>
              <w:ind w:right="844"/>
              <w:rPr>
                <w:sz w:val="22"/>
              </w:rPr>
            </w:pPr>
            <w:r>
              <w:rPr>
                <w:sz w:val="22"/>
              </w:rPr>
              <w:t>Specifies a boolean value that indicates whether the in-grid drop zones should be displayed at runtime, and whether classic layout is applied.</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in-grid drop zones should be displayed and classic layout should be applied to the PivotTable.</w:t>
            </w:r>
          </w:p>
          <w:p>
            <w:pPr>
              <w:pStyle w:val="TableParagraph"/>
              <w:spacing w:before="8"/>
              <w:ind w:left="0"/>
              <w:rPr>
                <w:rFonts w:ascii="Times New Roman"/>
                <w:sz w:val="23"/>
              </w:rPr>
            </w:pPr>
          </w:p>
          <w:p>
            <w:pPr>
              <w:pStyle w:val="TableParagraph"/>
              <w:spacing w:line="237" w:lineRule="auto" w:before="0"/>
              <w:ind w:right="362"/>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in-grid drop zones should be disabled and classic layout should not be applied.</w:t>
            </w:r>
          </w:p>
          <w:p>
            <w:pPr>
              <w:pStyle w:val="TableParagraph"/>
              <w:spacing w:before="5"/>
              <w:ind w:left="0"/>
              <w:rPr>
                <w:rFonts w:ascii="Times New Roman"/>
                <w:sz w:val="23"/>
              </w:rPr>
            </w:pPr>
          </w:p>
          <w:p>
            <w:pPr>
              <w:pStyle w:val="TableParagraph"/>
              <w:spacing w:before="1"/>
              <w:ind w:right="615"/>
              <w:rPr>
                <w:sz w:val="22"/>
              </w:rPr>
            </w:pPr>
            <w:r>
              <w:rPr>
                <w:sz w:val="22"/>
              </w:rPr>
              <w:t>[</w:t>
            </w:r>
            <w:r>
              <w:rPr>
                <w:i/>
                <w:sz w:val="22"/>
              </w:rPr>
              <w:t>Note: </w:t>
            </w:r>
            <w:r>
              <w:rPr>
                <w:sz w:val="22"/>
              </w:rPr>
              <w:t>Grid drop zones are optional runtime UI, determined by the application, that indicate to the user the locations of the page, row, column, and data fields in the PivotTable report. See layout discussion under </w:t>
            </w:r>
            <w:r>
              <w:rPr>
                <w:rFonts w:ascii="Cambria"/>
                <w:sz w:val="22"/>
              </w:rPr>
              <w:t>pivotTableDefinition </w:t>
            </w:r>
            <w:r>
              <w:rPr>
                <w:sz w:val="22"/>
              </w:rPr>
              <w:t>for the precise locations of these areas. </w:t>
            </w:r>
            <w:r>
              <w:rPr>
                <w:i/>
                <w:sz w:val="22"/>
              </w:rPr>
              <w:t>end note</w:t>
            </w:r>
            <w:r>
              <w:rPr>
                <w:sz w:val="22"/>
              </w:rPr>
              <w:t>]</w:t>
            </w:r>
          </w:p>
          <w:p>
            <w:pPr>
              <w:pStyle w:val="TableParagraph"/>
              <w:spacing w:before="0"/>
              <w:ind w:left="0"/>
              <w:rPr>
                <w:rFonts w:ascii="Times New Roman"/>
                <w:sz w:val="22"/>
              </w:rPr>
            </w:pPr>
          </w:p>
          <w:p>
            <w:pPr>
              <w:pStyle w:val="TableParagraph"/>
              <w:spacing w:before="9"/>
              <w:ind w:left="0"/>
              <w:rPr>
                <w:rFonts w:ascii="Times New Roman"/>
                <w:sz w:val="24"/>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309" w:hRule="atLeast"/>
        </w:trPr>
        <w:tc>
          <w:tcPr>
            <w:tcW w:w="2062" w:type="dxa"/>
          </w:tcPr>
          <w:p>
            <w:pPr>
              <w:pStyle w:val="TableParagraph"/>
              <w:ind w:right="396"/>
              <w:rPr>
                <w:sz w:val="22"/>
              </w:rPr>
            </w:pPr>
            <w:r>
              <w:rPr>
                <w:rFonts w:ascii="Cambria"/>
                <w:sz w:val="22"/>
              </w:rPr>
              <w:t>immersive </w:t>
            </w:r>
            <w:r>
              <w:rPr>
                <w:sz w:val="22"/>
              </w:rPr>
              <w:t>(Stop Immersive UI)</w:t>
            </w:r>
          </w:p>
        </w:tc>
        <w:tc>
          <w:tcPr>
            <w:tcW w:w="8250" w:type="dxa"/>
          </w:tcPr>
          <w:p>
            <w:pPr>
              <w:pStyle w:val="TableParagraph"/>
              <w:ind w:right="337"/>
              <w:rPr>
                <w:sz w:val="22"/>
              </w:rPr>
            </w:pPr>
            <w:r>
              <w:rPr>
                <w:sz w:val="22"/>
              </w:rPr>
              <w:t>Specifies a boolean value that indicates whether PivotTable immersive experience user interface should be turned off.</w:t>
            </w:r>
          </w:p>
          <w:p>
            <w:pPr>
              <w:pStyle w:val="TableParagraph"/>
              <w:spacing w:before="5"/>
              <w:ind w:left="0"/>
              <w:rPr>
                <w:rFonts w:ascii="Times New Roman"/>
                <w:sz w:val="23"/>
              </w:rPr>
            </w:pPr>
          </w:p>
          <w:p>
            <w:pPr>
              <w:pStyle w:val="TableParagraph"/>
              <w:spacing w:before="0"/>
              <w:ind w:right="236"/>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PivotTable immersive experience should be turned off for this PivotTable.</w:t>
            </w:r>
          </w:p>
          <w:p>
            <w:pPr>
              <w:pStyle w:val="TableParagraph"/>
              <w:spacing w:before="4"/>
              <w:ind w:left="0"/>
              <w:rPr>
                <w:rFonts w:ascii="Times New Roman"/>
                <w:sz w:val="23"/>
              </w:rPr>
            </w:pPr>
          </w:p>
          <w:p>
            <w:pPr>
              <w:pStyle w:val="TableParagraph"/>
              <w:spacing w:before="1"/>
              <w:ind w:right="13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immersive experience should be left on. This attribute depends on whether the application implements an immersive experience in the user interface.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144"/>
              <w:rPr>
                <w:sz w:val="22"/>
              </w:rPr>
            </w:pPr>
            <w:r>
              <w:rPr>
                <w:rFonts w:ascii="Cambria"/>
                <w:sz w:val="22"/>
              </w:rPr>
              <w:t>indent </w:t>
            </w:r>
            <w:r>
              <w:rPr>
                <w:sz w:val="22"/>
              </w:rPr>
              <w:t>(Indentation for Compact Axis)</w:t>
            </w:r>
          </w:p>
        </w:tc>
        <w:tc>
          <w:tcPr>
            <w:tcW w:w="8250" w:type="dxa"/>
          </w:tcPr>
          <w:p>
            <w:pPr>
              <w:pStyle w:val="TableParagraph"/>
              <w:ind w:right="325"/>
              <w:rPr>
                <w:sz w:val="22"/>
              </w:rPr>
            </w:pPr>
            <w:r>
              <w:rPr>
                <w:sz w:val="22"/>
              </w:rPr>
              <w:t>Specifies the indentation increment for compact axis and can be used to set the Report Layout to Compact Form.</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89" w:hRule="atLeast"/>
        </w:trPr>
        <w:tc>
          <w:tcPr>
            <w:tcW w:w="2062" w:type="dxa"/>
          </w:tcPr>
          <w:p>
            <w:pPr>
              <w:pStyle w:val="TableParagraph"/>
              <w:spacing w:line="256" w:lineRule="exact" w:before="42"/>
              <w:rPr>
                <w:rFonts w:ascii="Cambria"/>
                <w:sz w:val="22"/>
              </w:rPr>
            </w:pPr>
            <w:r>
              <w:rPr>
                <w:rFonts w:ascii="Cambria"/>
                <w:sz w:val="22"/>
              </w:rPr>
              <w:t>itemPrintTitles</w:t>
            </w:r>
          </w:p>
          <w:p>
            <w:pPr>
              <w:pStyle w:val="TableParagraph"/>
              <w:spacing w:line="267" w:lineRule="exact" w:before="0"/>
              <w:rPr>
                <w:sz w:val="22"/>
              </w:rPr>
            </w:pPr>
            <w:r>
              <w:rPr>
                <w:sz w:val="22"/>
              </w:rPr>
              <w:t>(Item Print Titles)</w:t>
            </w:r>
          </w:p>
        </w:tc>
        <w:tc>
          <w:tcPr>
            <w:tcW w:w="8250" w:type="dxa"/>
          </w:tcPr>
          <w:p>
            <w:pPr>
              <w:pStyle w:val="TableParagraph"/>
              <w:ind w:right="206"/>
              <w:rPr>
                <w:sz w:val="22"/>
              </w:rPr>
            </w:pPr>
            <w:r>
              <w:rPr>
                <w:sz w:val="22"/>
              </w:rPr>
              <w:t>Specifies a boolean value that indicates whether PivotItem names should be repeated at the top of each printed page.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spacing w:before="0"/>
              <w:ind w:left="0"/>
              <w:rPr>
                <w:rFonts w:ascii="Times New Roman"/>
                <w:sz w:val="22"/>
              </w:rPr>
            </w:pPr>
          </w:p>
        </w:tc>
        <w:tc>
          <w:tcPr>
            <w:tcW w:w="8250" w:type="dxa"/>
          </w:tcPr>
          <w:p>
            <w:pPr>
              <w:pStyle w:val="TableParagraph"/>
              <w:ind w:right="354"/>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pivot items names should be repeated at the top of each page.</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should not be repeated.</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spacing w:before="42"/>
              <w:ind w:right="367"/>
              <w:rPr>
                <w:sz w:val="22"/>
              </w:rPr>
            </w:pPr>
            <w:r>
              <w:rPr>
                <w:rFonts w:ascii="Cambria"/>
                <w:sz w:val="22"/>
              </w:rPr>
              <w:t>mdxSubqueries </w:t>
            </w:r>
            <w:r>
              <w:rPr>
                <w:sz w:val="22"/>
              </w:rPr>
              <w:t>(MDX Subqueries Supported)</w:t>
            </w:r>
          </w:p>
        </w:tc>
        <w:tc>
          <w:tcPr>
            <w:tcW w:w="8250" w:type="dxa"/>
          </w:tcPr>
          <w:p>
            <w:pPr>
              <w:pStyle w:val="TableParagraph"/>
              <w:ind w:right="89"/>
              <w:rPr>
                <w:sz w:val="22"/>
              </w:rPr>
            </w:pPr>
            <w:r>
              <w:rPr>
                <w:sz w:val="22"/>
              </w:rPr>
              <w:t>Specifies a boolean value that indicates whether MDX sub-queries are supported by OLAP data provider for this PivotTable.</w:t>
            </w:r>
          </w:p>
          <w:p>
            <w:pPr>
              <w:pStyle w:val="TableParagraph"/>
              <w:spacing w:before="4"/>
              <w:ind w:left="0"/>
              <w:rPr>
                <w:rFonts w:ascii="Times New Roman"/>
                <w:sz w:val="23"/>
              </w:rPr>
            </w:pPr>
          </w:p>
          <w:p>
            <w:pPr>
              <w:pStyle w:val="TableParagraph"/>
              <w:spacing w:line="480" w:lineRule="auto" w:before="0"/>
              <w:ind w:right="11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MDX sub-queries are supported by the OLAP data provider.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MDX sub-queries are not supported.</w:t>
            </w:r>
          </w:p>
          <w:p>
            <w:pPr>
              <w:pStyle w:val="TableParagraph"/>
              <w:spacing w:line="267" w:lineRule="exact" w:before="2"/>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771" w:hRule="atLeast"/>
        </w:trPr>
        <w:tc>
          <w:tcPr>
            <w:tcW w:w="2062" w:type="dxa"/>
          </w:tcPr>
          <w:p>
            <w:pPr>
              <w:pStyle w:val="TableParagraph"/>
              <w:ind w:right="181"/>
              <w:rPr>
                <w:sz w:val="22"/>
              </w:rPr>
            </w:pPr>
            <w:r>
              <w:rPr>
                <w:rFonts w:ascii="Cambria"/>
                <w:sz w:val="22"/>
              </w:rPr>
              <w:t>mergeItem </w:t>
            </w:r>
            <w:r>
              <w:rPr>
                <w:sz w:val="22"/>
              </w:rPr>
              <w:t>(Merge Titles)</w:t>
            </w:r>
          </w:p>
        </w:tc>
        <w:tc>
          <w:tcPr>
            <w:tcW w:w="8250" w:type="dxa"/>
          </w:tcPr>
          <w:p>
            <w:pPr>
              <w:pStyle w:val="TableParagraph"/>
              <w:ind w:right="250"/>
              <w:rPr>
                <w:sz w:val="22"/>
              </w:rPr>
            </w:pPr>
            <w:r>
              <w:rPr>
                <w:sz w:val="22"/>
              </w:rPr>
              <w:t>Specifies a boolean value that indicates whether row or column titles that span multiple cells should be merged into a single cell.</w:t>
            </w:r>
          </w:p>
          <w:p>
            <w:pPr>
              <w:pStyle w:val="TableParagraph"/>
              <w:spacing w:before="4"/>
              <w:ind w:left="0"/>
              <w:rPr>
                <w:rFonts w:ascii="Times New Roman"/>
                <w:sz w:val="23"/>
              </w:rPr>
            </w:pPr>
          </w:p>
          <w:p>
            <w:pPr>
              <w:pStyle w:val="TableParagraph"/>
              <w:spacing w:before="0"/>
              <w:ind w:right="233"/>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titles that span multiple cells are merged into a single cell.</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titles are not merged.</w:t>
            </w:r>
          </w:p>
          <w:p>
            <w:pPr>
              <w:pStyle w:val="TableParagraph"/>
              <w:spacing w:before="5"/>
              <w:ind w:left="0"/>
              <w:rPr>
                <w:rFonts w:ascii="Times New Roman"/>
                <w:sz w:val="23"/>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8" w:lineRule="exact" w:before="0"/>
              <w:rPr>
                <w:sz w:val="22"/>
              </w:rPr>
            </w:pPr>
            <w:r>
              <w:rPr>
                <w:sz w:val="22"/>
              </w:rPr>
              <w:t>datatype.</w:t>
            </w:r>
          </w:p>
        </w:tc>
      </w:tr>
      <w:tr>
        <w:trPr>
          <w:trHeight w:val="1429" w:hRule="atLeast"/>
        </w:trPr>
        <w:tc>
          <w:tcPr>
            <w:tcW w:w="2062" w:type="dxa"/>
          </w:tcPr>
          <w:p>
            <w:pPr>
              <w:pStyle w:val="TableParagraph"/>
              <w:spacing w:before="42"/>
              <w:ind w:right="116"/>
              <w:rPr>
                <w:sz w:val="22"/>
              </w:rPr>
            </w:pPr>
            <w:r>
              <w:rPr>
                <w:rFonts w:ascii="Cambria"/>
                <w:spacing w:val="-1"/>
                <w:sz w:val="22"/>
              </w:rPr>
              <w:t>minRefreshableVer </w:t>
            </w:r>
            <w:r>
              <w:rPr>
                <w:rFonts w:ascii="Cambria"/>
                <w:sz w:val="22"/>
              </w:rPr>
              <w:t>sion </w:t>
            </w:r>
            <w:r>
              <w:rPr>
                <w:sz w:val="22"/>
              </w:rPr>
              <w:t>(Minimum Refreshable Version)</w:t>
            </w:r>
          </w:p>
        </w:tc>
        <w:tc>
          <w:tcPr>
            <w:tcW w:w="8250" w:type="dxa"/>
          </w:tcPr>
          <w:p>
            <w:pPr>
              <w:pStyle w:val="TableParagraph"/>
              <w:ind w:right="106"/>
              <w:rPr>
                <w:sz w:val="22"/>
              </w:rPr>
            </w:pPr>
            <w:r>
              <w:rPr>
                <w:sz w:val="22"/>
              </w:rPr>
              <w:t>Specifies the minimum version of the application required to update this PivotTable view. This attribute is application-dependent.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1"/>
              <w:rPr>
                <w:sz w:val="22"/>
              </w:rPr>
            </w:pPr>
            <w:r>
              <w:rPr>
                <w:sz w:val="22"/>
              </w:rPr>
              <w:t>datatype.</w:t>
            </w:r>
          </w:p>
        </w:tc>
      </w:tr>
      <w:tr>
        <w:trPr>
          <w:trHeight w:val="1158" w:hRule="atLeast"/>
        </w:trPr>
        <w:tc>
          <w:tcPr>
            <w:tcW w:w="2062" w:type="dxa"/>
          </w:tcPr>
          <w:p>
            <w:pPr>
              <w:pStyle w:val="TableParagraph"/>
              <w:spacing w:line="237" w:lineRule="auto" w:before="45"/>
              <w:ind w:right="116"/>
              <w:rPr>
                <w:sz w:val="22"/>
              </w:rPr>
            </w:pPr>
            <w:r>
              <w:rPr>
                <w:rFonts w:ascii="Cambria"/>
                <w:sz w:val="22"/>
              </w:rPr>
              <w:t>missingCaption </w:t>
            </w:r>
            <w:r>
              <w:rPr>
                <w:sz w:val="22"/>
              </w:rPr>
              <w:t>(Caption for Missing Values)</w:t>
            </w:r>
          </w:p>
        </w:tc>
        <w:tc>
          <w:tcPr>
            <w:tcW w:w="8250" w:type="dxa"/>
          </w:tcPr>
          <w:p>
            <w:pPr>
              <w:pStyle w:val="TableParagraph"/>
              <w:rPr>
                <w:sz w:val="22"/>
              </w:rPr>
            </w:pPr>
            <w:r>
              <w:rPr>
                <w:sz w:val="22"/>
              </w:rPr>
              <w:t>Specifies the string to be displayed in cells with no value</w:t>
            </w:r>
          </w:p>
          <w:p>
            <w:pPr>
              <w:pStyle w:val="TableParagraph"/>
              <w:spacing w:before="6"/>
              <w:ind w:left="0"/>
              <w:rPr>
                <w:rFonts w:ascii="Times New Roman"/>
                <w:sz w:val="23"/>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5" w:hRule="atLeast"/>
        </w:trPr>
        <w:tc>
          <w:tcPr>
            <w:tcW w:w="2062" w:type="dxa"/>
          </w:tcPr>
          <w:p>
            <w:pPr>
              <w:pStyle w:val="TableParagraph"/>
              <w:spacing w:before="42"/>
              <w:ind w:right="147"/>
              <w:rPr>
                <w:sz w:val="22"/>
              </w:rPr>
            </w:pPr>
            <w:r>
              <w:rPr>
                <w:rFonts w:ascii="Cambria"/>
                <w:sz w:val="22"/>
              </w:rPr>
              <w:t>multipleFieldFilter s </w:t>
            </w:r>
            <w:r>
              <w:rPr>
                <w:sz w:val="22"/>
              </w:rPr>
              <w:t>(Multiple Field Filters)</w:t>
            </w:r>
          </w:p>
        </w:tc>
        <w:tc>
          <w:tcPr>
            <w:tcW w:w="8250" w:type="dxa"/>
          </w:tcPr>
          <w:p>
            <w:pPr>
              <w:pStyle w:val="TableParagraph"/>
              <w:ind w:right="683"/>
              <w:rPr>
                <w:sz w:val="22"/>
              </w:rPr>
            </w:pPr>
            <w:r>
              <w:rPr>
                <w:sz w:val="22"/>
              </w:rPr>
              <w:t>Specifies a boolean value that indicates whether the fields of a PivotTable can have multiple filters set on them.</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fields of a PivotTable can have multiple filters.</w:t>
            </w:r>
          </w:p>
          <w:p>
            <w:pPr>
              <w:pStyle w:val="TableParagraph"/>
              <w:spacing w:line="530" w:lineRule="atLeast" w:before="8"/>
              <w:ind w:right="504"/>
              <w:rPr>
                <w:rFonts w:ascii="Cambria"/>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fields of a PivotTable can only have a simple filter. The possible values for this attribute are defined by the W3C XML Schema </w:t>
            </w:r>
            <w:r>
              <w:rPr>
                <w:rFonts w:ascii="Cambria"/>
                <w:sz w:val="22"/>
              </w:rPr>
              <w:t>boolean</w:t>
            </w:r>
          </w:p>
          <w:p>
            <w:pPr>
              <w:pStyle w:val="TableParagraph"/>
              <w:spacing w:before="7"/>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name </w:t>
            </w:r>
            <w:r>
              <w:rPr>
                <w:sz w:val="22"/>
              </w:rPr>
              <w:t>(Name)</w:t>
            </w:r>
          </w:p>
        </w:tc>
        <w:tc>
          <w:tcPr>
            <w:tcW w:w="8250" w:type="dxa"/>
          </w:tcPr>
          <w:p>
            <w:pPr>
              <w:pStyle w:val="TableParagraph"/>
              <w:rPr>
                <w:sz w:val="22"/>
              </w:rPr>
            </w:pPr>
            <w:r>
              <w:rPr>
                <w:sz w:val="22"/>
              </w:rPr>
              <w:t>Specifies the PivotTable name.</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3" w:hRule="atLeast"/>
        </w:trPr>
        <w:tc>
          <w:tcPr>
            <w:tcW w:w="2062" w:type="dxa"/>
          </w:tcPr>
          <w:p>
            <w:pPr>
              <w:pStyle w:val="TableParagraph"/>
              <w:ind w:right="477"/>
              <w:rPr>
                <w:sz w:val="22"/>
              </w:rPr>
            </w:pPr>
            <w:r>
              <w:rPr>
                <w:rFonts w:ascii="Cambria"/>
                <w:sz w:val="22"/>
              </w:rPr>
              <w:t>outline </w:t>
            </w:r>
            <w:r>
              <w:rPr>
                <w:sz w:val="22"/>
              </w:rPr>
              <w:t>(Outline New Fields)</w:t>
            </w:r>
          </w:p>
        </w:tc>
        <w:tc>
          <w:tcPr>
            <w:tcW w:w="8250" w:type="dxa"/>
          </w:tcPr>
          <w:p>
            <w:pPr>
              <w:pStyle w:val="TableParagraph"/>
              <w:rPr>
                <w:rFonts w:ascii="Consolas"/>
                <w:sz w:val="20"/>
              </w:rPr>
            </w:pPr>
            <w:r>
              <w:rPr>
                <w:sz w:val="22"/>
              </w:rPr>
              <w:t>Specifies a boolean value that indicates whether new fields should have their </w:t>
            </w:r>
            <w:r>
              <w:rPr>
                <w:rFonts w:ascii="Consolas"/>
                <w:sz w:val="20"/>
              </w:rPr>
              <w:t>outline</w:t>
            </w:r>
          </w:p>
          <w:p>
            <w:pPr>
              <w:pStyle w:val="TableParagraph"/>
              <w:spacing w:before="0"/>
              <w:rPr>
                <w:sz w:val="22"/>
              </w:rPr>
            </w:pPr>
            <w:r>
              <w:rPr>
                <w:sz w:val="22"/>
              </w:rPr>
              <w:t>flag set to </w:t>
            </w:r>
            <w:r>
              <w:rPr>
                <w:rFonts w:ascii="Cambria"/>
                <w:sz w:val="22"/>
              </w:rPr>
              <w:t>true</w:t>
            </w:r>
            <w:r>
              <w:rPr>
                <w:sz w:val="22"/>
              </w:rPr>
              <w:t>.</w:t>
            </w:r>
          </w:p>
          <w:p>
            <w:pPr>
              <w:pStyle w:val="TableParagraph"/>
              <w:spacing w:before="4"/>
              <w:ind w:left="0"/>
              <w:rPr>
                <w:rFonts w:ascii="Times New Roman"/>
                <w:sz w:val="23"/>
              </w:rPr>
            </w:pPr>
          </w:p>
          <w:p>
            <w:pPr>
              <w:pStyle w:val="TableParagraph"/>
              <w:spacing w:line="480" w:lineRule="auto" w:before="0"/>
              <w:ind w:right="750"/>
              <w:rPr>
                <w:sz w:val="22"/>
              </w:rPr>
            </w:pPr>
            <w:r>
              <w:rPr>
                <w:sz w:val="22"/>
              </w:rPr>
              <w:t>A</w:t>
            </w:r>
            <w:r>
              <w:rPr>
                <w:spacing w:val="2"/>
                <w:sz w:val="22"/>
              </w:rPr>
              <w:t> </w:t>
            </w:r>
            <w:r>
              <w:rPr>
                <w:sz w:val="22"/>
              </w:rPr>
              <w:t>value of</w:t>
            </w:r>
            <w:r>
              <w:rPr>
                <w:spacing w:val="2"/>
                <w:sz w:val="22"/>
              </w:rPr>
              <w:t> </w:t>
            </w:r>
            <w:r>
              <w:rPr>
                <w:rFonts w:ascii="Consolas"/>
                <w:sz w:val="20"/>
              </w:rPr>
              <w:t>1</w:t>
            </w:r>
            <w:r>
              <w:rPr>
                <w:rFonts w:ascii="Consolas"/>
                <w:spacing w:val="-57"/>
                <w:sz w:val="20"/>
              </w:rPr>
              <w:t> </w:t>
            </w:r>
            <w:r>
              <w:rPr>
                <w:sz w:val="22"/>
              </w:rPr>
              <w:t>or</w:t>
            </w:r>
            <w:r>
              <w:rPr>
                <w:spacing w:val="1"/>
                <w:sz w:val="22"/>
              </w:rPr>
              <w:t> </w:t>
            </w:r>
            <w:r>
              <w:rPr>
                <w:rFonts w:ascii="Consolas"/>
                <w:sz w:val="20"/>
              </w:rPr>
              <w:t>true</w:t>
            </w:r>
            <w:r>
              <w:rPr>
                <w:rFonts w:ascii="Consolas"/>
                <w:spacing w:val="-60"/>
                <w:sz w:val="20"/>
              </w:rPr>
              <w:t> </w:t>
            </w:r>
            <w:r>
              <w:rPr>
                <w:sz w:val="22"/>
              </w:rPr>
              <w:t>indicates</w:t>
            </w:r>
            <w:r>
              <w:rPr>
                <w:spacing w:val="3"/>
                <w:sz w:val="22"/>
              </w:rPr>
              <w:t> </w:t>
            </w:r>
            <w:r>
              <w:rPr>
                <w:sz w:val="22"/>
              </w:rPr>
              <w:t>new fields</w:t>
            </w:r>
            <w:r>
              <w:rPr>
                <w:spacing w:val="3"/>
                <w:sz w:val="22"/>
              </w:rPr>
              <w:t> </w:t>
            </w:r>
            <w:r>
              <w:rPr>
                <w:sz w:val="22"/>
              </w:rPr>
              <w:t>are</w:t>
            </w:r>
            <w:r>
              <w:rPr>
                <w:spacing w:val="3"/>
                <w:sz w:val="22"/>
              </w:rPr>
              <w:t> </w:t>
            </w:r>
            <w:r>
              <w:rPr>
                <w:sz w:val="22"/>
              </w:rPr>
              <w:t>created</w:t>
            </w:r>
            <w:r>
              <w:rPr>
                <w:spacing w:val="3"/>
                <w:sz w:val="22"/>
              </w:rPr>
              <w:t> </w:t>
            </w:r>
            <w:r>
              <w:rPr>
                <w:sz w:val="22"/>
              </w:rPr>
              <w:t>with</w:t>
            </w:r>
            <w:r>
              <w:rPr>
                <w:spacing w:val="2"/>
                <w:sz w:val="22"/>
              </w:rPr>
              <w:t> </w:t>
            </w:r>
            <w:r>
              <w:rPr>
                <w:rFonts w:ascii="Consolas"/>
                <w:sz w:val="20"/>
              </w:rPr>
              <w:t>outline</w:t>
            </w:r>
            <w:r>
              <w:rPr>
                <w:rFonts w:ascii="Consolas"/>
                <w:spacing w:val="-56"/>
                <w:sz w:val="20"/>
              </w:rPr>
              <w:t> </w:t>
            </w:r>
            <w:r>
              <w:rPr>
                <w:sz w:val="22"/>
              </w:rPr>
              <w:t>equal to</w:t>
            </w:r>
            <w:r>
              <w:rPr>
                <w:spacing w:val="2"/>
                <w:sz w:val="22"/>
              </w:rPr>
              <w:t> </w:t>
            </w:r>
            <w:r>
              <w:rPr>
                <w:rFonts w:ascii="Cambria"/>
                <w:sz w:val="22"/>
              </w:rPr>
              <w:t>true</w:t>
            </w:r>
            <w:r>
              <w:rPr>
                <w:sz w:val="22"/>
              </w:rPr>
              <w:t>. A</w:t>
            </w:r>
            <w:r>
              <w:rPr>
                <w:spacing w:val="-2"/>
                <w:sz w:val="22"/>
              </w:rPr>
              <w:t> </w:t>
            </w:r>
            <w:r>
              <w:rPr>
                <w:sz w:val="22"/>
              </w:rPr>
              <w:t>value</w:t>
            </w:r>
            <w:r>
              <w:rPr>
                <w:spacing w:val="-3"/>
                <w:sz w:val="22"/>
              </w:rPr>
              <w:t> </w:t>
            </w:r>
            <w:r>
              <w:rPr>
                <w:sz w:val="22"/>
              </w:rPr>
              <w:t>of</w:t>
            </w:r>
            <w:r>
              <w:rPr>
                <w:spacing w:val="-2"/>
                <w:sz w:val="22"/>
              </w:rPr>
              <w:t> </w:t>
            </w:r>
            <w:r>
              <w:rPr>
                <w:rFonts w:ascii="Consolas"/>
                <w:sz w:val="20"/>
              </w:rPr>
              <w:t>0</w:t>
            </w:r>
            <w:r>
              <w:rPr>
                <w:rFonts w:ascii="Consolas"/>
                <w:spacing w:val="-60"/>
                <w:sz w:val="20"/>
              </w:rPr>
              <w:t> </w:t>
            </w:r>
            <w:r>
              <w:rPr>
                <w:sz w:val="22"/>
              </w:rPr>
              <w:t>or</w:t>
            </w:r>
            <w:r>
              <w:rPr>
                <w:spacing w:val="-3"/>
                <w:sz w:val="22"/>
              </w:rPr>
              <w:t> </w:t>
            </w:r>
            <w:r>
              <w:rPr>
                <w:rFonts w:ascii="Consolas"/>
                <w:sz w:val="20"/>
              </w:rPr>
              <w:t>false</w:t>
            </w:r>
            <w:r>
              <w:rPr>
                <w:rFonts w:ascii="Consolas"/>
                <w:spacing w:val="-59"/>
                <w:sz w:val="20"/>
              </w:rPr>
              <w:t> </w:t>
            </w:r>
            <w:r>
              <w:rPr>
                <w:sz w:val="22"/>
              </w:rPr>
              <w:t>indicates</w:t>
            </w:r>
            <w:r>
              <w:rPr>
                <w:spacing w:val="-1"/>
                <w:sz w:val="22"/>
              </w:rPr>
              <w:t> </w:t>
            </w:r>
            <w:r>
              <w:rPr>
                <w:sz w:val="22"/>
              </w:rPr>
              <w:t>new fields</w:t>
            </w:r>
            <w:r>
              <w:rPr>
                <w:spacing w:val="-1"/>
                <w:sz w:val="22"/>
              </w:rPr>
              <w:t> </w:t>
            </w:r>
            <w:r>
              <w:rPr>
                <w:sz w:val="22"/>
              </w:rPr>
              <w:t>are</w:t>
            </w:r>
            <w:r>
              <w:rPr>
                <w:spacing w:val="-3"/>
                <w:sz w:val="22"/>
              </w:rPr>
              <w:t> </w:t>
            </w:r>
            <w:r>
              <w:rPr>
                <w:sz w:val="22"/>
              </w:rPr>
              <w:t>created</w:t>
            </w:r>
            <w:r>
              <w:rPr>
                <w:spacing w:val="-5"/>
                <w:sz w:val="22"/>
              </w:rPr>
              <w:t> </w:t>
            </w:r>
            <w:r>
              <w:rPr>
                <w:sz w:val="22"/>
              </w:rPr>
              <w:t>with </w:t>
            </w:r>
            <w:r>
              <w:rPr>
                <w:rFonts w:ascii="Consolas"/>
                <w:sz w:val="20"/>
              </w:rPr>
              <w:t>outline</w:t>
            </w:r>
            <w:r>
              <w:rPr>
                <w:rFonts w:ascii="Consolas"/>
                <w:spacing w:val="-61"/>
                <w:sz w:val="20"/>
              </w:rPr>
              <w:t> </w:t>
            </w:r>
            <w:r>
              <w:rPr>
                <w:sz w:val="22"/>
              </w:rPr>
              <w:t>equal</w:t>
            </w:r>
            <w:r>
              <w:rPr>
                <w:spacing w:val="-1"/>
                <w:sz w:val="22"/>
              </w:rPr>
              <w:t> </w:t>
            </w:r>
            <w:r>
              <w:rPr>
                <w:sz w:val="22"/>
              </w:rPr>
              <w:t>to</w:t>
            </w:r>
            <w:r>
              <w:rPr>
                <w:spacing w:val="1"/>
                <w:sz w:val="22"/>
              </w:rPr>
              <w:t> </w:t>
            </w:r>
            <w:r>
              <w:rPr>
                <w:rFonts w:ascii="Cambria"/>
                <w:sz w:val="22"/>
              </w:rPr>
              <w:t>false</w:t>
            </w:r>
            <w:r>
              <w:rPr>
                <w:sz w:val="22"/>
              </w:rPr>
              <w:t>.</w:t>
            </w:r>
          </w:p>
          <w:p>
            <w:pPr>
              <w:pStyle w:val="TableParagraph"/>
              <w:spacing w:before="1"/>
              <w:rPr>
                <w:rFonts w:ascii="Cambria"/>
                <w:sz w:val="22"/>
              </w:rPr>
            </w:pPr>
            <w:r>
              <w:rPr>
                <w:sz w:val="22"/>
              </w:rPr>
              <w:t>The possible values for this attribute are defined by the W3C XML Schema</w:t>
            </w:r>
            <w:r>
              <w:rPr>
                <w:spacing w:val="-27"/>
                <w:sz w:val="22"/>
              </w:rPr>
              <w:t> </w:t>
            </w:r>
            <w:r>
              <w:rPr>
                <w:rFonts w:ascii="Cambria"/>
                <w:sz w:val="22"/>
              </w:rPr>
              <w:t>boolean</w:t>
            </w:r>
          </w:p>
          <w:p>
            <w:pPr>
              <w:pStyle w:val="TableParagraph"/>
              <w:spacing w:before="1"/>
              <w:rPr>
                <w:sz w:val="22"/>
              </w:rPr>
            </w:pPr>
            <w:r>
              <w:rPr>
                <w:sz w:val="22"/>
              </w:rPr>
              <w:t>datatype.</w:t>
            </w:r>
          </w:p>
        </w:tc>
      </w:tr>
      <w:tr>
        <w:trPr>
          <w:trHeight w:val="2505" w:hRule="atLeast"/>
        </w:trPr>
        <w:tc>
          <w:tcPr>
            <w:tcW w:w="2062" w:type="dxa"/>
          </w:tcPr>
          <w:p>
            <w:pPr>
              <w:pStyle w:val="TableParagraph"/>
              <w:spacing w:line="256" w:lineRule="exact" w:before="45"/>
              <w:rPr>
                <w:rFonts w:ascii="Cambria"/>
                <w:sz w:val="22"/>
              </w:rPr>
            </w:pPr>
            <w:r>
              <w:rPr>
                <w:rFonts w:ascii="Cambria"/>
                <w:sz w:val="22"/>
              </w:rPr>
              <w:t>outlineData</w:t>
            </w:r>
          </w:p>
          <w:p>
            <w:pPr>
              <w:pStyle w:val="TableParagraph"/>
              <w:spacing w:line="267" w:lineRule="exact" w:before="0"/>
              <w:rPr>
                <w:sz w:val="22"/>
              </w:rPr>
            </w:pPr>
            <w:r>
              <w:rPr>
                <w:sz w:val="22"/>
              </w:rPr>
              <w:t>(Outline Data Fields)</w:t>
            </w:r>
          </w:p>
        </w:tc>
        <w:tc>
          <w:tcPr>
            <w:tcW w:w="8250" w:type="dxa"/>
          </w:tcPr>
          <w:p>
            <w:pPr>
              <w:pStyle w:val="TableParagraph"/>
              <w:spacing w:line="237" w:lineRule="auto" w:before="44"/>
              <w:ind w:right="325"/>
              <w:rPr>
                <w:sz w:val="22"/>
              </w:rPr>
            </w:pPr>
            <w:r>
              <w:rPr>
                <w:sz w:val="22"/>
              </w:rPr>
              <w:t>Specifies a boolean value that indicates whether data fields in the PivotTable should be displayed in outline form.</w:t>
            </w:r>
          </w:p>
          <w:p>
            <w:pPr>
              <w:pStyle w:val="TableParagraph"/>
              <w:spacing w:before="6"/>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data fields will display in outline form.</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data fields will not display in outline form.</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spacing w:line="237" w:lineRule="auto" w:before="45"/>
              <w:ind w:right="103"/>
              <w:rPr>
                <w:sz w:val="22"/>
              </w:rPr>
            </w:pPr>
            <w:r>
              <w:rPr>
                <w:rFonts w:ascii="Cambria"/>
                <w:sz w:val="22"/>
              </w:rPr>
              <w:t>pageOverThenDow n </w:t>
            </w:r>
            <w:r>
              <w:rPr>
                <w:sz w:val="22"/>
              </w:rPr>
              <w:t>(Page Over Then Down)</w:t>
            </w:r>
          </w:p>
        </w:tc>
        <w:tc>
          <w:tcPr>
            <w:tcW w:w="8250" w:type="dxa"/>
          </w:tcPr>
          <w:p>
            <w:pPr>
              <w:pStyle w:val="TableParagraph"/>
              <w:ind w:right="299"/>
              <w:rPr>
                <w:sz w:val="22"/>
              </w:rPr>
            </w:pPr>
            <w:r>
              <w:rPr>
                <w:sz w:val="22"/>
              </w:rPr>
              <w:t>Specifies a boolean value that indicates how the page fields are laid out when there are multiple PivotFields in the page area.</w:t>
            </w:r>
          </w:p>
          <w:p>
            <w:pPr>
              <w:pStyle w:val="TableParagraph"/>
              <w:spacing w:before="2"/>
              <w:ind w:left="0"/>
              <w:rPr>
                <w:rFonts w:ascii="Times New Roman"/>
                <w:sz w:val="23"/>
              </w:rPr>
            </w:pPr>
          </w:p>
          <w:p>
            <w:pPr>
              <w:pStyle w:val="TableParagraph"/>
              <w:spacing w:line="480" w:lineRule="auto" w:before="0"/>
              <w:ind w:right="1739"/>
              <w:rPr>
                <w:sz w:val="22"/>
              </w:rPr>
            </w:pPr>
            <w:r>
              <w:rPr>
                <w:sz w:val="22"/>
              </w:rPr>
              <w:t>A value</w:t>
            </w:r>
            <w:r>
              <w:rPr>
                <w:spacing w:val="-2"/>
                <w:sz w:val="22"/>
              </w:rPr>
              <w:t> </w:t>
            </w:r>
            <w:r>
              <w:rPr>
                <w:sz w:val="22"/>
              </w:rPr>
              <w:t>of</w:t>
            </w:r>
            <w:r>
              <w:rPr>
                <w:spacing w:val="-1"/>
                <w:sz w:val="22"/>
              </w:rPr>
              <w:t> </w:t>
            </w:r>
            <w:r>
              <w:rPr>
                <w:rFonts w:ascii="Consolas"/>
                <w:sz w:val="20"/>
              </w:rPr>
              <w:t>1</w:t>
            </w:r>
            <w:r>
              <w:rPr>
                <w:rFonts w:ascii="Consolas"/>
                <w:spacing w:val="-59"/>
                <w:sz w:val="20"/>
              </w:rPr>
              <w:t> </w:t>
            </w:r>
            <w:r>
              <w:rPr>
                <w:sz w:val="22"/>
              </w:rPr>
              <w:t>or</w:t>
            </w:r>
            <w:r>
              <w:rPr>
                <w:spacing w:val="-1"/>
                <w:sz w:val="22"/>
              </w:rPr>
              <w:t> </w:t>
            </w:r>
            <w:r>
              <w:rPr>
                <w:rFonts w:ascii="Consolas"/>
                <w:sz w:val="20"/>
              </w:rPr>
              <w:t>true</w:t>
            </w:r>
            <w:r>
              <w:rPr>
                <w:rFonts w:ascii="Consolas"/>
                <w:spacing w:val="-62"/>
                <w:sz w:val="20"/>
              </w:rPr>
              <w:t> </w:t>
            </w:r>
            <w:r>
              <w:rPr>
                <w:sz w:val="22"/>
              </w:rPr>
              <w:t>indicates the</w:t>
            </w:r>
            <w:r>
              <w:rPr>
                <w:spacing w:val="-3"/>
                <w:sz w:val="22"/>
              </w:rPr>
              <w:t> </w:t>
            </w:r>
            <w:r>
              <w:rPr>
                <w:sz w:val="22"/>
              </w:rPr>
              <w:t>fields</w:t>
            </w:r>
            <w:r>
              <w:rPr>
                <w:spacing w:val="-2"/>
                <w:sz w:val="22"/>
              </w:rPr>
              <w:t> </w:t>
            </w:r>
            <w:r>
              <w:rPr>
                <w:sz w:val="22"/>
              </w:rPr>
              <w:t>will</w:t>
            </w:r>
            <w:r>
              <w:rPr>
                <w:spacing w:val="1"/>
                <w:sz w:val="22"/>
              </w:rPr>
              <w:t> </w:t>
            </w:r>
            <w:r>
              <w:rPr>
                <w:sz w:val="22"/>
              </w:rPr>
              <w:t>display</w:t>
            </w:r>
            <w:r>
              <w:rPr>
                <w:spacing w:val="-2"/>
                <w:sz w:val="22"/>
              </w:rPr>
              <w:t> </w:t>
            </w:r>
            <w:r>
              <w:rPr>
                <w:sz w:val="22"/>
              </w:rPr>
              <w:t>"Over,</w:t>
            </w:r>
            <w:r>
              <w:rPr>
                <w:spacing w:val="-2"/>
                <w:sz w:val="22"/>
              </w:rPr>
              <w:t> </w:t>
            </w:r>
            <w:r>
              <w:rPr>
                <w:sz w:val="22"/>
              </w:rPr>
              <w:t>then down" A</w:t>
            </w:r>
            <w:r>
              <w:rPr>
                <w:spacing w:val="-2"/>
                <w:sz w:val="22"/>
              </w:rPr>
              <w:t> </w:t>
            </w:r>
            <w:r>
              <w:rPr>
                <w:sz w:val="22"/>
              </w:rPr>
              <w:t>value</w:t>
            </w:r>
            <w:r>
              <w:rPr>
                <w:spacing w:val="-3"/>
                <w:sz w:val="22"/>
              </w:rPr>
              <w:t> </w:t>
            </w:r>
            <w:r>
              <w:rPr>
                <w:sz w:val="22"/>
              </w:rPr>
              <w:t>of</w:t>
            </w:r>
            <w:r>
              <w:rPr>
                <w:spacing w:val="-3"/>
                <w:sz w:val="22"/>
              </w:rPr>
              <w:t> </w:t>
            </w:r>
            <w:r>
              <w:rPr>
                <w:rFonts w:ascii="Consolas"/>
                <w:sz w:val="20"/>
              </w:rPr>
              <w:t>0</w:t>
            </w:r>
            <w:r>
              <w:rPr>
                <w:rFonts w:ascii="Consolas"/>
                <w:spacing w:val="-60"/>
                <w:sz w:val="20"/>
              </w:rPr>
              <w:t> </w:t>
            </w:r>
            <w:r>
              <w:rPr>
                <w:sz w:val="22"/>
              </w:rPr>
              <w:t>or</w:t>
            </w:r>
            <w:r>
              <w:rPr>
                <w:spacing w:val="-3"/>
                <w:sz w:val="22"/>
              </w:rPr>
              <w:t> </w:t>
            </w:r>
            <w:r>
              <w:rPr>
                <w:rFonts w:ascii="Consolas"/>
                <w:sz w:val="20"/>
              </w:rPr>
              <w:t>false</w:t>
            </w:r>
            <w:r>
              <w:rPr>
                <w:rFonts w:ascii="Consolas"/>
                <w:spacing w:val="-60"/>
                <w:sz w:val="20"/>
              </w:rPr>
              <w:t> </w:t>
            </w:r>
            <w:r>
              <w:rPr>
                <w:sz w:val="22"/>
              </w:rPr>
              <w:t>indicates</w:t>
            </w:r>
            <w:r>
              <w:rPr>
                <w:spacing w:val="-1"/>
                <w:sz w:val="22"/>
              </w:rPr>
              <w:t> </w:t>
            </w:r>
            <w:r>
              <w:rPr>
                <w:sz w:val="22"/>
              </w:rPr>
              <w:t>the</w:t>
            </w:r>
            <w:r>
              <w:rPr>
                <w:spacing w:val="-1"/>
                <w:sz w:val="22"/>
              </w:rPr>
              <w:t> </w:t>
            </w:r>
            <w:r>
              <w:rPr>
                <w:sz w:val="22"/>
              </w:rPr>
              <w:t>fields</w:t>
            </w:r>
            <w:r>
              <w:rPr>
                <w:spacing w:val="-4"/>
                <w:sz w:val="22"/>
              </w:rPr>
              <w:t> </w:t>
            </w:r>
            <w:r>
              <w:rPr>
                <w:sz w:val="22"/>
              </w:rPr>
              <w:t>will</w:t>
            </w:r>
            <w:r>
              <w:rPr>
                <w:spacing w:val="-2"/>
                <w:sz w:val="22"/>
              </w:rPr>
              <w:t> </w:t>
            </w:r>
            <w:r>
              <w:rPr>
                <w:sz w:val="22"/>
              </w:rPr>
              <w:t>display</w:t>
            </w:r>
            <w:r>
              <w:rPr>
                <w:spacing w:val="-1"/>
                <w:sz w:val="22"/>
              </w:rPr>
              <w:t> </w:t>
            </w:r>
            <w:r>
              <w:rPr>
                <w:sz w:val="22"/>
              </w:rPr>
              <w:t>"down,</w:t>
            </w:r>
            <w:r>
              <w:rPr>
                <w:spacing w:val="-1"/>
                <w:sz w:val="22"/>
              </w:rPr>
              <w:t> </w:t>
            </w:r>
            <w:r>
              <w:rPr>
                <w:sz w:val="22"/>
              </w:rPr>
              <w:t>then</w:t>
            </w:r>
            <w:r>
              <w:rPr>
                <w:spacing w:val="-2"/>
                <w:sz w:val="22"/>
              </w:rPr>
              <w:t> </w:t>
            </w:r>
            <w:r>
              <w:rPr>
                <w:sz w:val="22"/>
              </w:rPr>
              <w:t>Over"</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7" w:hRule="atLeast"/>
        </w:trPr>
        <w:tc>
          <w:tcPr>
            <w:tcW w:w="2062" w:type="dxa"/>
          </w:tcPr>
          <w:p>
            <w:pPr>
              <w:pStyle w:val="TableParagraph"/>
              <w:ind w:right="130"/>
              <w:rPr>
                <w:sz w:val="22"/>
              </w:rPr>
            </w:pPr>
            <w:r>
              <w:rPr>
                <w:rFonts w:ascii="Cambria"/>
                <w:sz w:val="22"/>
              </w:rPr>
              <w:t>pageStyle </w:t>
            </w:r>
            <w:r>
              <w:rPr>
                <w:sz w:val="22"/>
              </w:rPr>
              <w:t>(Page Header Style Name)</w:t>
            </w:r>
          </w:p>
        </w:tc>
        <w:tc>
          <w:tcPr>
            <w:tcW w:w="8250" w:type="dxa"/>
          </w:tcPr>
          <w:p>
            <w:pPr>
              <w:pStyle w:val="TableParagraph"/>
              <w:ind w:right="133"/>
              <w:rPr>
                <w:sz w:val="22"/>
              </w:rPr>
            </w:pPr>
            <w:r>
              <w:rPr>
                <w:sz w:val="22"/>
              </w:rPr>
              <w:t>Specifies the name of the style to apply to each of the field item headers in the page area of the PivotTable.</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00"/>
              <w:rPr>
                <w:sz w:val="22"/>
              </w:rPr>
            </w:pPr>
            <w:r>
              <w:rPr>
                <w:rFonts w:ascii="Cambria"/>
                <w:sz w:val="22"/>
              </w:rPr>
              <w:t>pageWrap </w:t>
            </w:r>
            <w:r>
              <w:rPr>
                <w:sz w:val="22"/>
              </w:rPr>
              <w:t>(Page Wrap)</w:t>
            </w:r>
          </w:p>
        </w:tc>
        <w:tc>
          <w:tcPr>
            <w:tcW w:w="8250" w:type="dxa"/>
          </w:tcPr>
          <w:p>
            <w:pPr>
              <w:pStyle w:val="TableParagraph"/>
              <w:rPr>
                <w:sz w:val="22"/>
              </w:rPr>
            </w:pPr>
            <w:r>
              <w:rPr>
                <w:sz w:val="22"/>
              </w:rPr>
              <w:t>Specifies the number of page fields to display before starting another row or column.</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spacing w:line="256" w:lineRule="exact" w:before="42"/>
              <w:rPr>
                <w:rFonts w:ascii="Cambria"/>
                <w:sz w:val="22"/>
              </w:rPr>
            </w:pPr>
            <w:r>
              <w:rPr>
                <w:rFonts w:ascii="Cambria"/>
                <w:sz w:val="22"/>
              </w:rPr>
              <w:t>pivotTableStyle</w:t>
            </w:r>
          </w:p>
          <w:p>
            <w:pPr>
              <w:pStyle w:val="TableParagraph"/>
              <w:spacing w:line="267" w:lineRule="exact" w:before="0"/>
              <w:rPr>
                <w:sz w:val="22"/>
              </w:rPr>
            </w:pPr>
            <w:r>
              <w:rPr>
                <w:sz w:val="22"/>
              </w:rPr>
              <w:t>(Table Style Name)</w:t>
            </w:r>
          </w:p>
        </w:tc>
        <w:tc>
          <w:tcPr>
            <w:tcW w:w="8250" w:type="dxa"/>
          </w:tcPr>
          <w:p>
            <w:pPr>
              <w:pStyle w:val="TableParagraph"/>
              <w:rPr>
                <w:sz w:val="22"/>
              </w:rPr>
            </w:pPr>
            <w:r>
              <w:rPr>
                <w:sz w:val="22"/>
              </w:rPr>
              <w:t>Specifies the name of the style to apply to the main table area of the PivotTable.</w:t>
            </w:r>
          </w:p>
          <w:p>
            <w:pPr>
              <w:pStyle w:val="TableParagraph"/>
              <w:spacing w:before="6"/>
              <w:ind w:left="0"/>
              <w:rPr>
                <w:rFonts w:ascii="Times New Roman"/>
                <w:sz w:val="23"/>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line="237" w:lineRule="auto"/>
        <w:rPr>
          <w:sz w:val="22"/>
        </w:rPr>
        <w:sectPr>
          <w:pgSz w:w="12240" w:h="15840"/>
          <w:pgMar w:header="763" w:footer="746" w:top="1340" w:bottom="940" w:left="860" w:right="700"/>
        </w:sectPr>
      </w:pPr>
    </w:p>
    <w:p>
      <w:pPr>
        <w:pStyle w:val="BodyText"/>
        <w:spacing w:before="1"/>
        <w:rPr>
          <w:rFonts w:ascii="Times New Roman"/>
          <w:sz w:val="8"/>
        </w:rPr>
      </w:pPr>
      <w:r>
        <w:rPr/>
        <w:pict>
          <v:rect style="position:absolute;margin-left:294.290009pt;margin-top:449.709991pt;width:2.52pt;height:.72pt;mso-position-horizontal-relative:page;mso-position-vertical-relative:page;z-index:-335917056" filled="true" fillcolor="#006fc0" stroked="false">
            <v:fill type="solid"/>
            <w10:wrap type="none"/>
          </v:rect>
        </w:pic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1" w:hRule="atLeast"/>
        </w:trPr>
        <w:tc>
          <w:tcPr>
            <w:tcW w:w="2062" w:type="dxa"/>
          </w:tcPr>
          <w:p>
            <w:pPr>
              <w:pStyle w:val="TableParagraph"/>
              <w:spacing w:line="237" w:lineRule="auto" w:before="45"/>
              <w:ind w:right="136"/>
              <w:rPr>
                <w:sz w:val="22"/>
              </w:rPr>
            </w:pPr>
            <w:r>
              <w:rPr>
                <w:rFonts w:ascii="Cambria"/>
                <w:sz w:val="22"/>
              </w:rPr>
              <w:t>preserveFormattin g </w:t>
            </w:r>
            <w:r>
              <w:rPr>
                <w:sz w:val="22"/>
              </w:rPr>
              <w:t>(Preserve Formatting)</w:t>
            </w:r>
          </w:p>
        </w:tc>
        <w:tc>
          <w:tcPr>
            <w:tcW w:w="8250" w:type="dxa"/>
          </w:tcPr>
          <w:p>
            <w:pPr>
              <w:pStyle w:val="TableParagraph"/>
              <w:ind w:right="424"/>
              <w:rPr>
                <w:sz w:val="22"/>
              </w:rPr>
            </w:pPr>
            <w:r>
              <w:rPr>
                <w:sz w:val="22"/>
              </w:rPr>
              <w:t>Specifies a boolean value that indicates whether the formatting applied by the user to the PivotTable cells is discarded on refresh.</w:t>
            </w:r>
          </w:p>
          <w:p>
            <w:pPr>
              <w:pStyle w:val="TableParagraph"/>
              <w:spacing w:before="4"/>
              <w:ind w:left="0"/>
              <w:rPr>
                <w:rFonts w:ascii="Times New Roman"/>
                <w:sz w:val="23"/>
              </w:rPr>
            </w:pPr>
          </w:p>
          <w:p>
            <w:pPr>
              <w:pStyle w:val="TableParagraph"/>
              <w:spacing w:before="0"/>
              <w:ind w:right="58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formatting applied by the end user is discarded on refresh.</w:t>
            </w:r>
          </w:p>
          <w:p>
            <w:pPr>
              <w:pStyle w:val="TableParagraph"/>
              <w:spacing w:before="3"/>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end-user formatting is retained on refresh.</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3" w:hRule="atLeast"/>
        </w:trPr>
        <w:tc>
          <w:tcPr>
            <w:tcW w:w="2062" w:type="dxa"/>
          </w:tcPr>
          <w:p>
            <w:pPr>
              <w:pStyle w:val="TableParagraph"/>
              <w:ind w:right="482"/>
              <w:rPr>
                <w:sz w:val="22"/>
              </w:rPr>
            </w:pPr>
            <w:r>
              <w:rPr>
                <w:rFonts w:ascii="Cambria"/>
                <w:sz w:val="22"/>
              </w:rPr>
              <w:t>printDrill </w:t>
            </w:r>
            <w:r>
              <w:rPr>
                <w:sz w:val="22"/>
              </w:rPr>
              <w:t>(Print Drill Indicators)</w:t>
            </w:r>
          </w:p>
        </w:tc>
        <w:tc>
          <w:tcPr>
            <w:tcW w:w="8250" w:type="dxa"/>
          </w:tcPr>
          <w:p>
            <w:pPr>
              <w:pStyle w:val="TableParagraph"/>
              <w:ind w:right="228"/>
              <w:rPr>
                <w:sz w:val="22"/>
              </w:rPr>
            </w:pPr>
            <w:r>
              <w:rPr>
                <w:sz w:val="22"/>
              </w:rPr>
              <w:t>Specifies a boolean value that indicates whether drill indicators expand collapse buttons should be printed.</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these buttons should be printed.</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that these buttons should not be printed.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ind w:right="414"/>
              <w:rPr>
                <w:sz w:val="22"/>
              </w:rPr>
            </w:pPr>
            <w:r>
              <w:rPr>
                <w:rFonts w:ascii="Cambria"/>
                <w:sz w:val="22"/>
              </w:rPr>
              <w:t>published </w:t>
            </w:r>
            <w:r>
              <w:rPr>
                <w:sz w:val="22"/>
              </w:rPr>
              <w:t>(Data Fields Published)</w:t>
            </w:r>
          </w:p>
        </w:tc>
        <w:tc>
          <w:tcPr>
            <w:tcW w:w="8250" w:type="dxa"/>
          </w:tcPr>
          <w:p>
            <w:pPr>
              <w:pStyle w:val="TableParagraph"/>
              <w:ind w:right="908"/>
              <w:rPr>
                <w:sz w:val="22"/>
              </w:rPr>
            </w:pPr>
            <w:r>
              <w:rPr>
                <w:sz w:val="22"/>
              </w:rPr>
              <w:t>Specifies a boolean value that indicates whether data fields in the PivotTable are published and available for viewing in a server rendering environment.</w:t>
            </w:r>
          </w:p>
          <w:p>
            <w:pPr>
              <w:pStyle w:val="TableParagraph"/>
              <w:spacing w:before="4"/>
              <w:ind w:left="0"/>
              <w:rPr>
                <w:rFonts w:ascii="Times New Roman"/>
                <w:sz w:val="23"/>
              </w:rPr>
            </w:pPr>
          </w:p>
          <w:p>
            <w:pPr>
              <w:pStyle w:val="TableParagraph"/>
              <w:spacing w:before="0"/>
              <w:ind w:right="522"/>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that the data fields in the PivotTable are published and shall be available for viewing in a server rendering environment.</w:t>
            </w:r>
          </w:p>
          <w:p>
            <w:pPr>
              <w:pStyle w:val="TableParagraph"/>
              <w:spacing w:before="3"/>
              <w:ind w:left="0"/>
              <w:rPr>
                <w:rFonts w:ascii="Times New Roman"/>
                <w:sz w:val="23"/>
              </w:rPr>
            </w:pPr>
          </w:p>
          <w:p>
            <w:pPr>
              <w:pStyle w:val="TableParagraph"/>
              <w:spacing w:before="0"/>
              <w:ind w:right="44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that the data fields in the PivotTable are not published and shall not be available for viewing in a server rendering environment.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spacing w:line="256" w:lineRule="exact" w:before="42"/>
              <w:rPr>
                <w:rFonts w:ascii="Cambria"/>
                <w:sz w:val="22"/>
              </w:rPr>
            </w:pPr>
            <w:r>
              <w:rPr>
                <w:rFonts w:ascii="Cambria"/>
                <w:sz w:val="22"/>
              </w:rPr>
              <w:t>rowGrandTotals</w:t>
            </w:r>
          </w:p>
          <w:p>
            <w:pPr>
              <w:pStyle w:val="TableParagraph"/>
              <w:spacing w:line="267" w:lineRule="exact" w:before="0"/>
              <w:rPr>
                <w:sz w:val="22"/>
              </w:rPr>
            </w:pPr>
            <w:r>
              <w:rPr>
                <w:sz w:val="22"/>
              </w:rPr>
              <w:t>(Row Grand Totals)</w:t>
            </w:r>
          </w:p>
        </w:tc>
        <w:tc>
          <w:tcPr>
            <w:tcW w:w="8250" w:type="dxa"/>
          </w:tcPr>
          <w:p>
            <w:pPr>
              <w:pStyle w:val="TableParagraph"/>
              <w:ind w:right="182"/>
              <w:rPr>
                <w:sz w:val="22"/>
              </w:rPr>
            </w:pPr>
            <w:r>
              <w:rPr>
                <w:sz w:val="22"/>
              </w:rPr>
              <w:t>Specifies a boolean value that indicates whether grand totals should be displayed for the PivotTable rows. The default value for this attribute is true.</w:t>
            </w:r>
          </w:p>
          <w:p>
            <w:pPr>
              <w:pStyle w:val="TableParagraph"/>
              <w:spacing w:before="4"/>
              <w:ind w:left="0"/>
              <w:rPr>
                <w:rFonts w:ascii="Times New Roman"/>
                <w:sz w:val="23"/>
              </w:rPr>
            </w:pPr>
          </w:p>
          <w:p>
            <w:pPr>
              <w:pStyle w:val="TableParagraph"/>
              <w:spacing w:line="477" w:lineRule="auto" w:before="0"/>
              <w:ind w:right="923"/>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grand totals are displayed for the PivotTable rows.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60"/>
                <w:sz w:val="20"/>
              </w:rPr>
              <w:t> </w:t>
            </w:r>
            <w:r>
              <w:rPr>
                <w:sz w:val="22"/>
              </w:rPr>
              <w:t>indicates grand totals will not be displayed.</w:t>
            </w:r>
          </w:p>
          <w:p>
            <w:pPr>
              <w:pStyle w:val="TableParagraph"/>
              <w:spacing w:before="5"/>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spacing w:line="237" w:lineRule="auto" w:before="45"/>
              <w:ind w:right="124"/>
              <w:rPr>
                <w:sz w:val="22"/>
              </w:rPr>
            </w:pPr>
            <w:r>
              <w:rPr>
                <w:rFonts w:ascii="Cambria"/>
                <w:sz w:val="22"/>
              </w:rPr>
              <w:t>rowHeaderCaption </w:t>
            </w:r>
            <w:r>
              <w:rPr>
                <w:sz w:val="22"/>
              </w:rPr>
              <w:t>(Row Header Caption)</w:t>
            </w:r>
          </w:p>
        </w:tc>
        <w:tc>
          <w:tcPr>
            <w:tcW w:w="8250" w:type="dxa"/>
          </w:tcPr>
          <w:p>
            <w:pPr>
              <w:pStyle w:val="TableParagraph"/>
              <w:rPr>
                <w:sz w:val="22"/>
              </w:rPr>
            </w:pPr>
            <w:r>
              <w:rPr>
                <w:sz w:val="22"/>
              </w:rPr>
              <w:t>Specifies the string to be displayed in row header in </w:t>
            </w:r>
            <w:r>
              <w:rPr>
                <w:rFonts w:ascii="Consolas"/>
                <w:sz w:val="20"/>
              </w:rPr>
              <w:t>compact</w:t>
            </w:r>
            <w:r>
              <w:rPr>
                <w:rFonts w:ascii="Consolas"/>
                <w:spacing w:val="-71"/>
                <w:sz w:val="20"/>
              </w:rPr>
              <w:t> </w:t>
            </w:r>
            <w:r>
              <w:rPr>
                <w:sz w:val="22"/>
              </w:rPr>
              <w:t>mode.</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57" w:hRule="atLeast"/>
        </w:trPr>
        <w:tc>
          <w:tcPr>
            <w:tcW w:w="2062" w:type="dxa"/>
          </w:tcPr>
          <w:p>
            <w:pPr>
              <w:pStyle w:val="TableParagraph"/>
              <w:spacing w:before="45"/>
              <w:ind w:left="0" w:right="559"/>
              <w:jc w:val="right"/>
              <w:rPr>
                <w:rFonts w:ascii="Cambria"/>
                <w:sz w:val="22"/>
              </w:rPr>
            </w:pPr>
            <w:r>
              <w:rPr>
                <w:rFonts w:ascii="Cambria"/>
                <w:sz w:val="22"/>
              </w:rPr>
              <w:t>showCalcMbrs</w:t>
            </w:r>
          </w:p>
        </w:tc>
        <w:tc>
          <w:tcPr>
            <w:tcW w:w="8250" w:type="dxa"/>
          </w:tcPr>
          <w:p>
            <w:pPr>
              <w:pStyle w:val="TableParagraph"/>
              <w:spacing w:before="42"/>
              <w:ind w:left="98" w:right="140"/>
              <w:jc w:val="center"/>
              <w:rPr>
                <w:sz w:val="22"/>
              </w:rPr>
            </w:pPr>
            <w:r>
              <w:rPr>
                <w:sz w:val="22"/>
              </w:rPr>
              <w:t>Specifies a boolean value that indicates whether calculated members should be shown in</w:t>
            </w:r>
          </w:p>
        </w:tc>
      </w:tr>
    </w:tbl>
    <w:p>
      <w:pPr>
        <w:spacing w:after="0"/>
        <w:jc w:val="center"/>
        <w:rPr>
          <w:sz w:val="22"/>
        </w:rPr>
        <w:sectPr>
          <w:footerReference w:type="even" r:id="rId158"/>
          <w:footerReference w:type="default" r:id="rId159"/>
          <w:pgSz w:w="12240" w:h="15840"/>
          <w:pgMar w:footer="746" w:header="761" w:top="1340" w:bottom="940" w:left="860" w:right="700"/>
          <w:pgNumType w:start="193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ind w:right="374"/>
              <w:rPr>
                <w:sz w:val="22"/>
              </w:rPr>
            </w:pPr>
            <w:r>
              <w:rPr>
                <w:sz w:val="22"/>
              </w:rPr>
              <w:t>(Show Calculated Members)</w:t>
            </w:r>
          </w:p>
        </w:tc>
        <w:tc>
          <w:tcPr>
            <w:tcW w:w="8250" w:type="dxa"/>
          </w:tcPr>
          <w:p>
            <w:pPr>
              <w:pStyle w:val="TableParagraph"/>
              <w:spacing w:line="480" w:lineRule="auto"/>
              <w:ind w:right="789"/>
              <w:rPr>
                <w:sz w:val="22"/>
              </w:rPr>
            </w:pPr>
            <w:r>
              <w:rPr>
                <w:sz w:val="22"/>
              </w:rPr>
              <w:t>the PivotTable view. This attribute applies to PivotTables from OLAP-sources only.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that calculated members should be shown.</w:t>
            </w:r>
          </w:p>
          <w:p>
            <w:pPr>
              <w:pStyle w:val="TableParagraph"/>
              <w:spacing w:line="267" w:lineRule="exact"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calculated members should not be shown.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spacing w:line="237" w:lineRule="auto" w:before="45"/>
              <w:ind w:right="241"/>
              <w:rPr>
                <w:sz w:val="22"/>
              </w:rPr>
            </w:pPr>
            <w:r>
              <w:rPr>
                <w:rFonts w:ascii="Cambria"/>
                <w:sz w:val="22"/>
              </w:rPr>
              <w:t>showDataDropDo wn </w:t>
            </w:r>
            <w:r>
              <w:rPr>
                <w:sz w:val="22"/>
              </w:rPr>
              <w:t>(Show Drop Down)</w:t>
            </w:r>
          </w:p>
        </w:tc>
        <w:tc>
          <w:tcPr>
            <w:tcW w:w="8250" w:type="dxa"/>
          </w:tcPr>
          <w:p>
            <w:pPr>
              <w:pStyle w:val="TableParagraph"/>
              <w:ind w:right="242"/>
              <w:rPr>
                <w:sz w:val="22"/>
              </w:rPr>
            </w:pPr>
            <w:r>
              <w:rPr>
                <w:sz w:val="22"/>
              </w:rPr>
              <w:t>Specifies a boolean value that indicates whether the drop-down lists for the fields in the PivotTable should be hidden. This attribute depends on whether the application implements drop down lists or similar mechanism in the user interface.</w:t>
            </w:r>
          </w:p>
          <w:p>
            <w:pPr>
              <w:pStyle w:val="TableParagraph"/>
              <w:spacing w:before="5"/>
              <w:ind w:left="0"/>
              <w:rPr>
                <w:rFonts w:ascii="Times New Roman"/>
                <w:sz w:val="23"/>
              </w:rPr>
            </w:pPr>
          </w:p>
          <w:p>
            <w:pPr>
              <w:pStyle w:val="TableParagraph"/>
              <w:spacing w:line="477" w:lineRule="auto" w:before="0"/>
              <w:ind w:right="1917"/>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drop down lists are displayed for fields.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drop down lists will </w:t>
            </w:r>
            <w:r>
              <w:rPr>
                <w:spacing w:val="-2"/>
                <w:sz w:val="22"/>
              </w:rPr>
              <w:t>not </w:t>
            </w:r>
            <w:r>
              <w:rPr>
                <w:sz w:val="22"/>
              </w:rPr>
              <w:t>be displayed.</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spacing w:line="237" w:lineRule="auto" w:before="45"/>
              <w:ind w:right="280"/>
              <w:rPr>
                <w:sz w:val="22"/>
              </w:rPr>
            </w:pPr>
            <w:r>
              <w:rPr>
                <w:rFonts w:ascii="Cambria"/>
                <w:sz w:val="22"/>
              </w:rPr>
              <w:t>showDataTips </w:t>
            </w:r>
            <w:r>
              <w:rPr>
                <w:sz w:val="22"/>
              </w:rPr>
              <w:t>(Show ToolTips on Data)</w:t>
            </w:r>
          </w:p>
        </w:tc>
        <w:tc>
          <w:tcPr>
            <w:tcW w:w="8250" w:type="dxa"/>
          </w:tcPr>
          <w:p>
            <w:pPr>
              <w:pStyle w:val="TableParagraph"/>
              <w:ind w:right="920"/>
              <w:rPr>
                <w:sz w:val="22"/>
              </w:rPr>
            </w:pPr>
            <w:r>
              <w:rPr>
                <w:sz w:val="22"/>
              </w:rPr>
              <w:t>Specifies a boolean value that indicates whether tooltips should be displayed for PivotTable data cells.</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tooltips are displayed.</w:t>
            </w:r>
          </w:p>
          <w:p>
            <w:pPr>
              <w:pStyle w:val="TableParagraph"/>
              <w:spacing w:before="5"/>
              <w:ind w:left="0"/>
              <w:rPr>
                <w:rFonts w:ascii="Times New Roman"/>
                <w:sz w:val="23"/>
              </w:rPr>
            </w:pPr>
          </w:p>
          <w:p>
            <w:pPr>
              <w:pStyle w:val="TableParagraph"/>
              <w:spacing w:before="0"/>
              <w:ind w:right="337"/>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tooltips will not be displayed. This attribute depends on whether the application employs tooltips or similar mechanism in the user interface.</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ind w:right="391"/>
              <w:rPr>
                <w:sz w:val="22"/>
              </w:rPr>
            </w:pPr>
            <w:r>
              <w:rPr>
                <w:rFonts w:ascii="Cambria"/>
                <w:sz w:val="22"/>
              </w:rPr>
              <w:t>showDrill </w:t>
            </w:r>
            <w:r>
              <w:rPr>
                <w:sz w:val="22"/>
              </w:rPr>
              <w:t>(Show Expand Collapse)</w:t>
            </w:r>
          </w:p>
        </w:tc>
        <w:tc>
          <w:tcPr>
            <w:tcW w:w="8250" w:type="dxa"/>
          </w:tcPr>
          <w:p>
            <w:pPr>
              <w:pStyle w:val="TableParagraph"/>
              <w:spacing w:line="480" w:lineRule="auto"/>
              <w:ind w:right="806"/>
              <w:rPr>
                <w:sz w:val="22"/>
              </w:rPr>
            </w:pPr>
            <w:r>
              <w:rPr>
                <w:sz w:val="22"/>
              </w:rPr>
              <w:t>Specifies a boolean value that indicates whether drill indicators should be hidden.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drill indicators are displayed.</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drill indicators will not be displayed.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57" w:lineRule="exact" w:before="42"/>
              <w:rPr>
                <w:rFonts w:ascii="Cambria"/>
                <w:sz w:val="22"/>
              </w:rPr>
            </w:pPr>
            <w:r>
              <w:rPr>
                <w:rFonts w:ascii="Cambria"/>
                <w:sz w:val="22"/>
              </w:rPr>
              <w:t>showDropZones</w:t>
            </w:r>
          </w:p>
          <w:p>
            <w:pPr>
              <w:pStyle w:val="TableParagraph"/>
              <w:spacing w:line="268" w:lineRule="exact" w:before="0"/>
              <w:rPr>
                <w:sz w:val="22"/>
              </w:rPr>
            </w:pPr>
            <w:r>
              <w:rPr>
                <w:sz w:val="22"/>
              </w:rPr>
              <w:t>(Show Drop Zones)</w:t>
            </w:r>
          </w:p>
        </w:tc>
        <w:tc>
          <w:tcPr>
            <w:tcW w:w="8250" w:type="dxa"/>
          </w:tcPr>
          <w:p>
            <w:pPr>
              <w:pStyle w:val="TableParagraph"/>
              <w:ind w:right="153"/>
              <w:rPr>
                <w:sz w:val="22"/>
              </w:rPr>
            </w:pPr>
            <w:r>
              <w:rPr>
                <w:sz w:val="22"/>
              </w:rPr>
              <w:t>Specifies a boolean value that indicates whether the PivotTable should display large drop zones when there are no fields in the data region.</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 large drop zone is displayed.</w:t>
            </w:r>
          </w:p>
          <w:p>
            <w:pPr>
              <w:pStyle w:val="TableParagraph"/>
              <w:spacing w:before="4"/>
              <w:ind w:left="0"/>
              <w:rPr>
                <w:rFonts w:ascii="Times New Roman"/>
                <w:sz w:val="23"/>
              </w:rPr>
            </w:pP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a large drop zone will not be displayed.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2233" w:hRule="atLeast"/>
        </w:trPr>
        <w:tc>
          <w:tcPr>
            <w:tcW w:w="2062" w:type="dxa"/>
          </w:tcPr>
          <w:p>
            <w:pPr>
              <w:pStyle w:val="TableParagraph"/>
              <w:spacing w:line="237" w:lineRule="auto" w:before="45"/>
              <w:ind w:right="496"/>
              <w:rPr>
                <w:sz w:val="22"/>
              </w:rPr>
            </w:pPr>
            <w:r>
              <w:rPr>
                <w:rFonts w:ascii="Cambria"/>
                <w:sz w:val="22"/>
              </w:rPr>
              <w:t>showEmptyCol </w:t>
            </w:r>
            <w:r>
              <w:rPr>
                <w:sz w:val="22"/>
              </w:rPr>
              <w:t>(Show Empty Column)</w:t>
            </w:r>
          </w:p>
        </w:tc>
        <w:tc>
          <w:tcPr>
            <w:tcW w:w="8250" w:type="dxa"/>
          </w:tcPr>
          <w:p>
            <w:pPr>
              <w:pStyle w:val="TableParagraph"/>
              <w:spacing w:line="480" w:lineRule="auto"/>
              <w:ind w:right="294"/>
              <w:rPr>
                <w:sz w:val="22"/>
              </w:rPr>
            </w:pPr>
            <w:r>
              <w:rPr>
                <w:sz w:val="22"/>
              </w:rPr>
              <w:t>Specifies a boolean value that indicates whether to include empty columns in the table.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empty columns are included in the PivotTable.</w:t>
            </w:r>
          </w:p>
          <w:p>
            <w:pPr>
              <w:pStyle w:val="TableParagraph"/>
              <w:spacing w:line="267"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empty columns are excluded.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57" w:lineRule="exact" w:before="42"/>
              <w:rPr>
                <w:rFonts w:ascii="Cambria"/>
                <w:sz w:val="22"/>
              </w:rPr>
            </w:pPr>
            <w:r>
              <w:rPr>
                <w:rFonts w:ascii="Cambria"/>
                <w:sz w:val="22"/>
              </w:rPr>
              <w:t>showEmptyRow</w:t>
            </w:r>
          </w:p>
          <w:p>
            <w:pPr>
              <w:pStyle w:val="TableParagraph"/>
              <w:spacing w:line="268" w:lineRule="exact" w:before="0"/>
              <w:rPr>
                <w:sz w:val="22"/>
              </w:rPr>
            </w:pPr>
            <w:r>
              <w:rPr>
                <w:sz w:val="22"/>
              </w:rPr>
              <w:t>(Show Empty Row)</w:t>
            </w:r>
          </w:p>
        </w:tc>
        <w:tc>
          <w:tcPr>
            <w:tcW w:w="8250" w:type="dxa"/>
          </w:tcPr>
          <w:p>
            <w:pPr>
              <w:pStyle w:val="TableParagraph"/>
              <w:spacing w:line="480" w:lineRule="auto"/>
              <w:ind w:right="610"/>
              <w:rPr>
                <w:sz w:val="22"/>
              </w:rPr>
            </w:pPr>
            <w:r>
              <w:rPr>
                <w:sz w:val="22"/>
              </w:rPr>
              <w:t>Specifies a boolean value that indicates whether to include empty rows in the table.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empty rows are included in the PivotTable.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empty rows are excluded.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3" w:hRule="atLeast"/>
        </w:trPr>
        <w:tc>
          <w:tcPr>
            <w:tcW w:w="2062" w:type="dxa"/>
          </w:tcPr>
          <w:p>
            <w:pPr>
              <w:pStyle w:val="TableParagraph"/>
              <w:ind w:right="292"/>
              <w:rPr>
                <w:sz w:val="22"/>
              </w:rPr>
            </w:pPr>
            <w:r>
              <w:rPr>
                <w:rFonts w:ascii="Cambria"/>
                <w:sz w:val="22"/>
              </w:rPr>
              <w:t>showError </w:t>
            </w:r>
            <w:r>
              <w:rPr>
                <w:sz w:val="22"/>
              </w:rPr>
              <w:t>(Show Error)</w:t>
            </w:r>
          </w:p>
        </w:tc>
        <w:tc>
          <w:tcPr>
            <w:tcW w:w="8250" w:type="dxa"/>
          </w:tcPr>
          <w:p>
            <w:pPr>
              <w:pStyle w:val="TableParagraph"/>
              <w:spacing w:line="480" w:lineRule="auto"/>
              <w:ind w:right="892"/>
              <w:rPr>
                <w:sz w:val="22"/>
              </w:rPr>
            </w:pPr>
            <w:r>
              <w:rPr>
                <w:sz w:val="22"/>
              </w:rPr>
              <w:t>Specifies a boolean value that indicates whether to show error messages in cells.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error messages are shown in cells.</w:t>
            </w:r>
          </w:p>
          <w:p>
            <w:pPr>
              <w:pStyle w:val="TableParagraph"/>
              <w:spacing w:before="1"/>
              <w:ind w:right="106"/>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error messages are shown through another mechanism the application provides in the user interface.</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502" w:hRule="atLeast"/>
        </w:trPr>
        <w:tc>
          <w:tcPr>
            <w:tcW w:w="2062" w:type="dxa"/>
          </w:tcPr>
          <w:p>
            <w:pPr>
              <w:pStyle w:val="TableParagraph"/>
              <w:spacing w:before="42"/>
              <w:ind w:right="633"/>
              <w:rPr>
                <w:sz w:val="22"/>
              </w:rPr>
            </w:pPr>
            <w:r>
              <w:rPr>
                <w:rFonts w:ascii="Cambria"/>
                <w:sz w:val="22"/>
              </w:rPr>
              <w:t>showHeaders </w:t>
            </w:r>
            <w:r>
              <w:rPr>
                <w:sz w:val="22"/>
              </w:rPr>
              <w:t>(Show Field Headers)</w:t>
            </w:r>
          </w:p>
        </w:tc>
        <w:tc>
          <w:tcPr>
            <w:tcW w:w="8250" w:type="dxa"/>
          </w:tcPr>
          <w:p>
            <w:pPr>
              <w:pStyle w:val="TableParagraph"/>
              <w:ind w:right="849"/>
              <w:rPr>
                <w:sz w:val="22"/>
              </w:rPr>
            </w:pPr>
            <w:r>
              <w:rPr>
                <w:sz w:val="22"/>
              </w:rPr>
              <w:t>Specifies a boolean value that indicates whether to suppress display of pivot field headers.</w:t>
            </w:r>
          </w:p>
          <w:p>
            <w:pPr>
              <w:pStyle w:val="TableParagraph"/>
              <w:spacing w:before="4"/>
              <w:ind w:left="0"/>
              <w:rPr>
                <w:rFonts w:ascii="Times New Roman"/>
                <w:sz w:val="23"/>
              </w:rPr>
            </w:pPr>
          </w:p>
          <w:p>
            <w:pPr>
              <w:pStyle w:val="TableParagraph"/>
              <w:spacing w:line="480" w:lineRule="auto" w:before="0"/>
              <w:ind w:right="167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field headers are shown in the PivotTable.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field headers are excluded.</w:t>
            </w: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2505" w:hRule="atLeast"/>
        </w:trPr>
        <w:tc>
          <w:tcPr>
            <w:tcW w:w="2062" w:type="dxa"/>
          </w:tcPr>
          <w:p>
            <w:pPr>
              <w:pStyle w:val="TableParagraph"/>
              <w:ind w:right="278"/>
              <w:rPr>
                <w:sz w:val="22"/>
              </w:rPr>
            </w:pPr>
            <w:r>
              <w:rPr>
                <w:rFonts w:ascii="Cambria"/>
                <w:sz w:val="22"/>
              </w:rPr>
              <w:t>showItems </w:t>
            </w:r>
            <w:r>
              <w:rPr>
                <w:sz w:val="22"/>
              </w:rPr>
              <w:t>(Show Item Names)</w:t>
            </w:r>
          </w:p>
        </w:tc>
        <w:tc>
          <w:tcPr>
            <w:tcW w:w="8250" w:type="dxa"/>
          </w:tcPr>
          <w:p>
            <w:pPr>
              <w:pStyle w:val="TableParagraph"/>
              <w:ind w:right="411"/>
              <w:rPr>
                <w:sz w:val="22"/>
              </w:rPr>
            </w:pPr>
            <w:r>
              <w:rPr>
                <w:sz w:val="22"/>
              </w:rPr>
              <w:t>Specifies a boolean value that indicates whether to display item names when adding a field onto a PivotTable that has no data fields.</w:t>
            </w:r>
          </w:p>
          <w:p>
            <w:pPr>
              <w:pStyle w:val="TableParagraph"/>
              <w:spacing w:before="5"/>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item names are displayed.</w:t>
            </w:r>
          </w:p>
          <w:p>
            <w:pPr>
              <w:pStyle w:val="TableParagraph"/>
              <w:spacing w:before="4"/>
              <w:ind w:left="0"/>
              <w:rPr>
                <w:rFonts w:ascii="Times New Roman"/>
                <w:sz w:val="23"/>
              </w:rPr>
            </w:pP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item names will not be displayed.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spacing w:before="42"/>
              <w:ind w:right="170"/>
              <w:rPr>
                <w:sz w:val="22"/>
              </w:rPr>
            </w:pPr>
            <w:r>
              <w:rPr>
                <w:rFonts w:ascii="Cambria"/>
                <w:sz w:val="22"/>
              </w:rPr>
              <w:t>showMemberProp ertyTips </w:t>
            </w:r>
            <w:r>
              <w:rPr>
                <w:sz w:val="22"/>
              </w:rPr>
              <w:t>(Show Member Property ToolTips)</w:t>
            </w:r>
          </w:p>
        </w:tc>
        <w:tc>
          <w:tcPr>
            <w:tcW w:w="8250" w:type="dxa"/>
          </w:tcPr>
          <w:p>
            <w:pPr>
              <w:pStyle w:val="TableParagraph"/>
              <w:ind w:right="101"/>
              <w:rPr>
                <w:sz w:val="22"/>
              </w:rPr>
            </w:pPr>
            <w:r>
              <w:rPr>
                <w:sz w:val="22"/>
              </w:rPr>
              <w:t>Specifies a boolean value that indicates whether member property information should be omitted from PivotTable tooltips.</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member property information is included.</w:t>
            </w:r>
          </w:p>
          <w:p>
            <w:pPr>
              <w:pStyle w:val="TableParagraph"/>
              <w:spacing w:before="2"/>
              <w:ind w:left="0"/>
              <w:rPr>
                <w:rFonts w:ascii="Times New Roman"/>
                <w:sz w:val="23"/>
              </w:rPr>
            </w:pPr>
          </w:p>
          <w:p>
            <w:pPr>
              <w:pStyle w:val="TableParagraph"/>
              <w:spacing w:before="1"/>
              <w:ind w:right="25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member property information is excluded. This attribute depends on whether the application employs tooltips or similar mechanism in the user interface.</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ind w:right="86"/>
              <w:rPr>
                <w:sz w:val="22"/>
              </w:rPr>
            </w:pPr>
            <w:r>
              <w:rPr>
                <w:rFonts w:ascii="Cambria"/>
                <w:sz w:val="22"/>
              </w:rPr>
              <w:t>showMissing </w:t>
            </w:r>
            <w:r>
              <w:rPr>
                <w:sz w:val="22"/>
              </w:rPr>
              <w:t>(Show Missing)</w:t>
            </w:r>
          </w:p>
        </w:tc>
        <w:tc>
          <w:tcPr>
            <w:tcW w:w="8250" w:type="dxa"/>
          </w:tcPr>
          <w:p>
            <w:pPr>
              <w:pStyle w:val="TableParagraph"/>
              <w:ind w:right="655"/>
              <w:rPr>
                <w:sz w:val="22"/>
              </w:rPr>
            </w:pPr>
            <w:r>
              <w:rPr>
                <w:sz w:val="22"/>
              </w:rPr>
              <w:t>Specifies a boolean value that indicates whether to show a message in cells with no value.</w:t>
            </w:r>
          </w:p>
          <w:p>
            <w:pPr>
              <w:pStyle w:val="TableParagraph"/>
              <w:spacing w:before="2"/>
              <w:ind w:left="0"/>
              <w:rPr>
                <w:rFonts w:ascii="Times New Roman"/>
                <w:sz w:val="23"/>
              </w:rPr>
            </w:pPr>
          </w:p>
          <w:p>
            <w:pPr>
              <w:pStyle w:val="TableParagraph"/>
              <w:spacing w:before="1"/>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to show a message string in cells without values.</w:t>
            </w:r>
          </w:p>
          <w:p>
            <w:pPr>
              <w:pStyle w:val="TableParagraph"/>
              <w:spacing w:line="530" w:lineRule="atLeast" w:before="7"/>
              <w:ind w:right="621"/>
              <w:rPr>
                <w:rFonts w:ascii="Cambria"/>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no message string will shown in cells without values.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3040" w:hRule="atLeast"/>
        </w:trPr>
        <w:tc>
          <w:tcPr>
            <w:tcW w:w="2062" w:type="dxa"/>
          </w:tcPr>
          <w:p>
            <w:pPr>
              <w:pStyle w:val="TableParagraph"/>
              <w:spacing w:line="237" w:lineRule="auto" w:before="45"/>
              <w:ind w:right="115"/>
              <w:rPr>
                <w:sz w:val="22"/>
              </w:rPr>
            </w:pPr>
            <w:r>
              <w:rPr>
                <w:rFonts w:ascii="Cambria"/>
                <w:sz w:val="22"/>
              </w:rPr>
              <w:t>showMultipleLabel </w:t>
            </w:r>
            <w:r>
              <w:rPr>
                <w:sz w:val="22"/>
              </w:rPr>
              <w:t>(Show Multiple Labels)</w:t>
            </w:r>
          </w:p>
        </w:tc>
        <w:tc>
          <w:tcPr>
            <w:tcW w:w="8250" w:type="dxa"/>
          </w:tcPr>
          <w:p>
            <w:pPr>
              <w:pStyle w:val="TableParagraph"/>
              <w:ind w:right="135"/>
              <w:jc w:val="both"/>
              <w:rPr>
                <w:sz w:val="22"/>
              </w:rPr>
            </w:pPr>
            <w:r>
              <w:rPr>
                <w:sz w:val="22"/>
              </w:rPr>
              <w:t>Specifies a boolean value that indicates whether a page field with multiple selected items should display "(multiple items)" instead of "All". This attribute applies only to non-OLAP PivotTables. The messages displayed depend on the application implementation.</w:t>
            </w:r>
          </w:p>
          <w:p>
            <w:pPr>
              <w:pStyle w:val="TableParagraph"/>
              <w:spacing w:before="2"/>
              <w:ind w:left="0"/>
              <w:rPr>
                <w:rFonts w:ascii="Times New Roman"/>
                <w:sz w:val="23"/>
              </w:rPr>
            </w:pPr>
          </w:p>
          <w:p>
            <w:pPr>
              <w:pStyle w:val="TableParagraph"/>
              <w:spacing w:before="1"/>
              <w:ind w:right="182"/>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a different message string is displayed for a page field with multiple items.</w:t>
            </w:r>
          </w:p>
          <w:p>
            <w:pPr>
              <w:pStyle w:val="TableParagraph"/>
              <w:spacing w:line="530" w:lineRule="atLeast" w:before="8"/>
              <w:ind w:right="388"/>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same message string is displayed for all page fields. The possible values for this attribute are defined by the W3C XML Schema </w:t>
            </w:r>
            <w:r>
              <w:rPr>
                <w:rFonts w:ascii="Cambria"/>
                <w:sz w:val="22"/>
              </w:rPr>
              <w:t>boolean</w:t>
            </w:r>
          </w:p>
          <w:p>
            <w:pPr>
              <w:pStyle w:val="TableParagraph"/>
              <w:spacing w:before="7"/>
              <w:rPr>
                <w:sz w:val="22"/>
              </w:rPr>
            </w:pPr>
            <w:r>
              <w:rPr>
                <w:sz w:val="22"/>
              </w:rPr>
              <w:t>datatype.</w:t>
            </w:r>
          </w:p>
        </w:tc>
      </w:tr>
      <w:tr>
        <w:trPr>
          <w:trHeight w:val="2772" w:hRule="atLeast"/>
        </w:trPr>
        <w:tc>
          <w:tcPr>
            <w:tcW w:w="2062" w:type="dxa"/>
          </w:tcPr>
          <w:p>
            <w:pPr>
              <w:pStyle w:val="TableParagraph"/>
              <w:spacing w:line="237" w:lineRule="auto" w:before="45"/>
              <w:ind w:right="208"/>
              <w:rPr>
                <w:sz w:val="22"/>
              </w:rPr>
            </w:pPr>
            <w:r>
              <w:rPr>
                <w:rFonts w:ascii="Cambria"/>
                <w:sz w:val="22"/>
              </w:rPr>
              <w:t>subtotalHiddenIte ms </w:t>
            </w:r>
            <w:r>
              <w:rPr>
                <w:sz w:val="22"/>
              </w:rPr>
              <w:t>(Subtotal Hidden Items)</w:t>
            </w:r>
          </w:p>
        </w:tc>
        <w:tc>
          <w:tcPr>
            <w:tcW w:w="8250" w:type="dxa"/>
          </w:tcPr>
          <w:p>
            <w:pPr>
              <w:pStyle w:val="TableParagraph"/>
              <w:ind w:right="1037"/>
              <w:rPr>
                <w:sz w:val="22"/>
              </w:rPr>
            </w:pPr>
            <w:r>
              <w:rPr>
                <w:sz w:val="22"/>
              </w:rPr>
              <w:t>Specifies a boolean value that indicates whether data for hidden pivotItems for PivotFields in the data area should be included in subtotals.</w:t>
            </w:r>
          </w:p>
          <w:p>
            <w:pPr>
              <w:pStyle w:val="TableParagraph"/>
              <w:spacing w:before="2"/>
              <w:ind w:left="0"/>
              <w:rPr>
                <w:rFonts w:ascii="Times New Roman"/>
                <w:sz w:val="23"/>
              </w:rPr>
            </w:pPr>
          </w:p>
          <w:p>
            <w:pPr>
              <w:pStyle w:val="TableParagraph"/>
              <w:spacing w:before="0"/>
              <w:ind w:right="114"/>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that data for hidden pivot items in the data area is included in subtotals.</w:t>
            </w:r>
          </w:p>
          <w:p>
            <w:pPr>
              <w:pStyle w:val="TableParagraph"/>
              <w:spacing w:line="530" w:lineRule="atLeast" w:before="8"/>
              <w:ind w:right="690"/>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hidden pivot items will not be included in subtotals.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889" w:hRule="atLeast"/>
        </w:trPr>
        <w:tc>
          <w:tcPr>
            <w:tcW w:w="2062" w:type="dxa"/>
          </w:tcPr>
          <w:p>
            <w:pPr>
              <w:pStyle w:val="TableParagraph"/>
              <w:ind w:right="569"/>
              <w:rPr>
                <w:sz w:val="22"/>
              </w:rPr>
            </w:pPr>
            <w:r>
              <w:rPr>
                <w:rFonts w:ascii="Cambria"/>
                <w:sz w:val="22"/>
              </w:rPr>
              <w:t>tag </w:t>
            </w:r>
            <w:r>
              <w:rPr>
                <w:sz w:val="22"/>
              </w:rPr>
              <w:t>(PivotTable Custom String)</w:t>
            </w:r>
          </w:p>
        </w:tc>
        <w:tc>
          <w:tcPr>
            <w:tcW w:w="8250" w:type="dxa"/>
          </w:tcPr>
          <w:p>
            <w:pPr>
              <w:pStyle w:val="TableParagraph"/>
              <w:rPr>
                <w:sz w:val="22"/>
              </w:rPr>
            </w:pPr>
            <w:r>
              <w:rPr>
                <w:sz w:val="22"/>
              </w:rPr>
              <w:t>Specifies a user-defined string that is associated with this PivotTable.</w:t>
            </w:r>
          </w:p>
          <w:p>
            <w:pPr>
              <w:pStyle w:val="TableParagraph"/>
              <w:spacing w:before="2"/>
              <w:ind w:left="0"/>
              <w:rPr>
                <w:rFonts w:ascii="Times New Roman"/>
                <w:sz w:val="23"/>
              </w:rPr>
            </w:pPr>
          </w:p>
          <w:p>
            <w:pPr>
              <w:pStyle w:val="TableParagraph"/>
              <w:spacing w:before="0"/>
              <w:rPr>
                <w:sz w:val="22"/>
              </w:rPr>
            </w:pPr>
            <w:r>
              <w:rPr>
                <w:sz w:val="22"/>
              </w:rPr>
              <w:t>The possible values for this attribute are defined by the </w:t>
            </w:r>
            <w:r>
              <w:rPr>
                <w:rFonts w:ascii="Cambria"/>
                <w:sz w:val="22"/>
              </w:rPr>
              <w:t>ST_Xstring </w:t>
            </w:r>
            <w:r>
              <w:rPr>
                <w:sz w:val="22"/>
              </w:rPr>
              <w:t>simple 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(§22.9.2.19).</w:t>
            </w:r>
          </w:p>
        </w:tc>
      </w:tr>
      <w:tr>
        <w:trPr>
          <w:trHeight w:val="1427" w:hRule="atLeast"/>
        </w:trPr>
        <w:tc>
          <w:tcPr>
            <w:tcW w:w="2062" w:type="dxa"/>
          </w:tcPr>
          <w:p>
            <w:pPr>
              <w:pStyle w:val="TableParagraph"/>
              <w:spacing w:line="237" w:lineRule="auto" w:before="45"/>
              <w:ind w:right="344"/>
              <w:rPr>
                <w:sz w:val="22"/>
              </w:rPr>
            </w:pPr>
            <w:r>
              <w:rPr>
                <w:rFonts w:ascii="Cambria"/>
                <w:sz w:val="22"/>
              </w:rPr>
              <w:t>updatedVersion </w:t>
            </w:r>
            <w:r>
              <w:rPr>
                <w:sz w:val="22"/>
              </w:rPr>
              <w:t>(PivotTable Last Updated Version)</w:t>
            </w:r>
          </w:p>
        </w:tc>
        <w:tc>
          <w:tcPr>
            <w:tcW w:w="8250" w:type="dxa"/>
          </w:tcPr>
          <w:p>
            <w:pPr>
              <w:pStyle w:val="TableParagraph"/>
              <w:ind w:right="793"/>
              <w:rPr>
                <w:sz w:val="22"/>
              </w:rPr>
            </w:pPr>
            <w:r>
              <w:rPr>
                <w:sz w:val="22"/>
              </w:rPr>
              <w:t>Specifies the version of the application that last updated the PivotTable view. This attribute is application-dependent.</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unsignedByte</w:t>
            </w:r>
          </w:p>
          <w:p>
            <w:pPr>
              <w:pStyle w:val="TableParagraph"/>
              <w:spacing w:line="267" w:lineRule="exact" w:before="0"/>
              <w:rPr>
                <w:sz w:val="22"/>
              </w:rPr>
            </w:pPr>
            <w:r>
              <w:rPr>
                <w:sz w:val="22"/>
              </w:rPr>
              <w:t>datatype.</w:t>
            </w:r>
          </w:p>
        </w:tc>
      </w:tr>
      <w:tr>
        <w:trPr>
          <w:trHeight w:val="3041" w:hRule="atLeast"/>
        </w:trPr>
        <w:tc>
          <w:tcPr>
            <w:tcW w:w="2062" w:type="dxa"/>
          </w:tcPr>
          <w:p>
            <w:pPr>
              <w:pStyle w:val="TableParagraph"/>
              <w:spacing w:line="257" w:lineRule="exact" w:before="42"/>
              <w:rPr>
                <w:rFonts w:ascii="Cambria"/>
                <w:sz w:val="22"/>
              </w:rPr>
            </w:pPr>
            <w:r>
              <w:rPr>
                <w:rFonts w:ascii="Cambria"/>
                <w:sz w:val="22"/>
              </w:rPr>
              <w:t>useAutoFormatting</w:t>
            </w:r>
          </w:p>
          <w:p>
            <w:pPr>
              <w:pStyle w:val="TableParagraph"/>
              <w:spacing w:line="268" w:lineRule="exact" w:before="0"/>
              <w:rPr>
                <w:sz w:val="22"/>
              </w:rPr>
            </w:pPr>
            <w:r>
              <w:rPr>
                <w:sz w:val="22"/>
              </w:rPr>
              <w:t>(Auto Formatting)</w:t>
            </w:r>
          </w:p>
        </w:tc>
        <w:tc>
          <w:tcPr>
            <w:tcW w:w="8250" w:type="dxa"/>
          </w:tcPr>
          <w:p>
            <w:pPr>
              <w:pStyle w:val="TableParagraph"/>
              <w:ind w:right="135"/>
              <w:rPr>
                <w:sz w:val="22"/>
              </w:rPr>
            </w:pPr>
            <w:r>
              <w:rPr>
                <w:sz w:val="22"/>
              </w:rPr>
              <w:t>Specifies a boolean value that indicates whether legacy auto formatting has been applied to the PivotTable view.</w:t>
            </w:r>
          </w:p>
          <w:p>
            <w:pPr>
              <w:pStyle w:val="TableParagraph"/>
              <w:spacing w:before="4"/>
              <w:ind w:left="0"/>
              <w:rPr>
                <w:rFonts w:ascii="Times New Roman"/>
                <w:sz w:val="23"/>
              </w:rPr>
            </w:pPr>
          </w:p>
          <w:p>
            <w:pPr>
              <w:pStyle w:val="TableParagraph"/>
              <w:spacing w:before="0"/>
              <w:ind w:right="617"/>
              <w:rPr>
                <w:sz w:val="22"/>
              </w:rPr>
            </w:pPr>
            <w:r>
              <w:rPr>
                <w:sz w:val="22"/>
              </w:rPr>
              <w:t>A</w:t>
            </w:r>
            <w:r>
              <w:rPr>
                <w:spacing w:val="-1"/>
                <w:sz w:val="22"/>
              </w:rPr>
              <w:t> </w:t>
            </w:r>
            <w:r>
              <w:rPr>
                <w:sz w:val="22"/>
              </w:rPr>
              <w:t>value</w:t>
            </w:r>
            <w:r>
              <w:rPr>
                <w:spacing w:val="-3"/>
                <w:sz w:val="22"/>
              </w:rPr>
              <w:t> </w:t>
            </w:r>
            <w:r>
              <w:rPr>
                <w:sz w:val="22"/>
              </w:rPr>
              <w:t>of</w:t>
            </w:r>
            <w:r>
              <w:rPr>
                <w:spacing w:val="-1"/>
                <w:sz w:val="22"/>
              </w:rPr>
              <w:t> </w:t>
            </w:r>
            <w:r>
              <w:rPr>
                <w:rFonts w:ascii="Consolas"/>
                <w:sz w:val="20"/>
              </w:rPr>
              <w:t>1</w:t>
            </w:r>
            <w:r>
              <w:rPr>
                <w:rFonts w:ascii="Consolas"/>
                <w:spacing w:val="-60"/>
                <w:sz w:val="20"/>
              </w:rPr>
              <w:t> </w:t>
            </w:r>
            <w:r>
              <w:rPr>
                <w:sz w:val="22"/>
              </w:rPr>
              <w:t>or</w:t>
            </w:r>
            <w:r>
              <w:rPr>
                <w:spacing w:val="-3"/>
                <w:sz w:val="22"/>
              </w:rPr>
              <w:t> </w:t>
            </w:r>
            <w:r>
              <w:rPr>
                <w:rFonts w:ascii="Consolas"/>
                <w:sz w:val="20"/>
              </w:rPr>
              <w:t>true</w:t>
            </w:r>
            <w:r>
              <w:rPr>
                <w:rFonts w:ascii="Consolas"/>
                <w:spacing w:val="-62"/>
                <w:sz w:val="20"/>
              </w:rPr>
              <w:t> </w:t>
            </w:r>
            <w:r>
              <w:rPr>
                <w:sz w:val="22"/>
              </w:rPr>
              <w:t>indicates</w:t>
            </w:r>
            <w:r>
              <w:rPr>
                <w:spacing w:val="-1"/>
                <w:sz w:val="22"/>
              </w:rPr>
              <w:t> </w:t>
            </w:r>
            <w:r>
              <w:rPr>
                <w:sz w:val="22"/>
              </w:rPr>
              <w:t>that</w:t>
            </w:r>
            <w:r>
              <w:rPr>
                <w:spacing w:val="-3"/>
                <w:sz w:val="22"/>
              </w:rPr>
              <w:t> </w:t>
            </w:r>
            <w:r>
              <w:rPr>
                <w:sz w:val="22"/>
              </w:rPr>
              <w:t>legacy</w:t>
            </w:r>
            <w:r>
              <w:rPr>
                <w:spacing w:val="-1"/>
                <w:sz w:val="22"/>
              </w:rPr>
              <w:t> </w:t>
            </w:r>
            <w:r>
              <w:rPr>
                <w:sz w:val="22"/>
              </w:rPr>
              <w:t>auto formatting</w:t>
            </w:r>
            <w:r>
              <w:rPr>
                <w:spacing w:val="-1"/>
                <w:sz w:val="22"/>
              </w:rPr>
              <w:t> </w:t>
            </w:r>
            <w:r>
              <w:rPr>
                <w:sz w:val="22"/>
              </w:rPr>
              <w:t>has</w:t>
            </w:r>
            <w:r>
              <w:rPr>
                <w:spacing w:val="-1"/>
                <w:sz w:val="22"/>
              </w:rPr>
              <w:t> </w:t>
            </w:r>
            <w:r>
              <w:rPr>
                <w:sz w:val="22"/>
              </w:rPr>
              <w:t>been applied</w:t>
            </w:r>
            <w:r>
              <w:rPr>
                <w:spacing w:val="-1"/>
                <w:sz w:val="22"/>
              </w:rPr>
              <w:t> </w:t>
            </w:r>
            <w:r>
              <w:rPr>
                <w:sz w:val="22"/>
              </w:rPr>
              <w:t>to</w:t>
            </w:r>
            <w:r>
              <w:rPr>
                <w:spacing w:val="-2"/>
                <w:sz w:val="22"/>
              </w:rPr>
              <w:t> </w:t>
            </w:r>
            <w:r>
              <w:rPr>
                <w:sz w:val="22"/>
              </w:rPr>
              <w:t>the PivotTable.</w:t>
            </w:r>
          </w:p>
          <w:p>
            <w:pPr>
              <w:pStyle w:val="TableParagraph"/>
              <w:spacing w:before="6"/>
              <w:ind w:left="0"/>
              <w:rPr>
                <w:rFonts w:ascii="Times New Roman"/>
                <w:sz w:val="23"/>
              </w:rPr>
            </w:pPr>
          </w:p>
          <w:p>
            <w:pPr>
              <w:pStyle w:val="TableParagraph"/>
              <w:spacing w:before="0"/>
              <w:rPr>
                <w:sz w:val="22"/>
              </w:rPr>
            </w:pPr>
            <w:r>
              <w:rPr>
                <w:sz w:val="22"/>
              </w:rPr>
              <w:t>A</w:t>
            </w:r>
            <w:r>
              <w:rPr>
                <w:spacing w:val="-2"/>
                <w:sz w:val="22"/>
              </w:rPr>
              <w:t> </w:t>
            </w:r>
            <w:r>
              <w:rPr>
                <w:sz w:val="22"/>
              </w:rPr>
              <w:t>value</w:t>
            </w:r>
            <w:r>
              <w:rPr>
                <w:spacing w:val="-2"/>
                <w:sz w:val="22"/>
              </w:rPr>
              <w:t> </w:t>
            </w:r>
            <w:r>
              <w:rPr>
                <w:sz w:val="22"/>
              </w:rPr>
              <w:t>of</w:t>
            </w:r>
            <w:r>
              <w:rPr>
                <w:spacing w:val="-2"/>
                <w:sz w:val="22"/>
              </w:rPr>
              <w:t> </w:t>
            </w:r>
            <w:r>
              <w:rPr>
                <w:rFonts w:ascii="Consolas"/>
                <w:sz w:val="20"/>
              </w:rPr>
              <w:t>0</w:t>
            </w:r>
            <w:r>
              <w:rPr>
                <w:rFonts w:ascii="Consolas"/>
                <w:spacing w:val="-61"/>
                <w:sz w:val="20"/>
              </w:rPr>
              <w:t> </w:t>
            </w:r>
            <w:r>
              <w:rPr>
                <w:sz w:val="22"/>
              </w:rPr>
              <w:t>or</w:t>
            </w:r>
            <w:r>
              <w:rPr>
                <w:spacing w:val="-2"/>
                <w:sz w:val="22"/>
              </w:rPr>
              <w:t> </w:t>
            </w:r>
            <w:r>
              <w:rPr>
                <w:rFonts w:ascii="Consolas"/>
                <w:sz w:val="20"/>
              </w:rPr>
              <w:t>false</w:t>
            </w:r>
            <w:r>
              <w:rPr>
                <w:rFonts w:ascii="Consolas"/>
                <w:spacing w:val="-60"/>
                <w:sz w:val="20"/>
              </w:rPr>
              <w:t> </w:t>
            </w:r>
            <w:r>
              <w:rPr>
                <w:sz w:val="22"/>
              </w:rPr>
              <w:t>indicates</w:t>
            </w:r>
            <w:r>
              <w:rPr>
                <w:spacing w:val="-1"/>
                <w:sz w:val="22"/>
              </w:rPr>
              <w:t> </w:t>
            </w:r>
            <w:r>
              <w:rPr>
                <w:sz w:val="22"/>
              </w:rPr>
              <w:t>that</w:t>
            </w:r>
            <w:r>
              <w:rPr>
                <w:spacing w:val="-1"/>
                <w:sz w:val="22"/>
              </w:rPr>
              <w:t> </w:t>
            </w:r>
            <w:r>
              <w:rPr>
                <w:sz w:val="22"/>
              </w:rPr>
              <w:t>legacy</w:t>
            </w:r>
            <w:r>
              <w:rPr>
                <w:spacing w:val="-1"/>
                <w:sz w:val="22"/>
              </w:rPr>
              <w:t> </w:t>
            </w:r>
            <w:r>
              <w:rPr>
                <w:sz w:val="22"/>
              </w:rPr>
              <w:t>auto formatting</w:t>
            </w:r>
            <w:r>
              <w:rPr>
                <w:spacing w:val="-2"/>
                <w:sz w:val="22"/>
              </w:rPr>
              <w:t> </w:t>
            </w:r>
            <w:r>
              <w:rPr>
                <w:sz w:val="22"/>
              </w:rPr>
              <w:t>has not</w:t>
            </w:r>
            <w:r>
              <w:rPr>
                <w:spacing w:val="-1"/>
                <w:sz w:val="22"/>
              </w:rPr>
              <w:t> </w:t>
            </w:r>
            <w:r>
              <w:rPr>
                <w:sz w:val="22"/>
              </w:rPr>
              <w:t>been</w:t>
            </w:r>
            <w:r>
              <w:rPr>
                <w:spacing w:val="-1"/>
                <w:sz w:val="22"/>
              </w:rPr>
              <w:t> </w:t>
            </w:r>
            <w:r>
              <w:rPr>
                <w:sz w:val="22"/>
              </w:rPr>
              <w:t>applied</w:t>
            </w:r>
            <w:r>
              <w:rPr>
                <w:spacing w:val="-3"/>
                <w:sz w:val="22"/>
              </w:rPr>
              <w:t> </w:t>
            </w:r>
            <w:r>
              <w:rPr>
                <w:sz w:val="22"/>
              </w:rPr>
              <w:t>to</w:t>
            </w:r>
            <w:r>
              <w:rPr>
                <w:spacing w:val="-2"/>
                <w:sz w:val="22"/>
              </w:rPr>
              <w:t> </w:t>
            </w:r>
            <w:r>
              <w:rPr>
                <w:sz w:val="22"/>
              </w:rPr>
              <w:t>the PivotTable.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vacatedStyle</w:t>
            </w:r>
          </w:p>
          <w:p>
            <w:pPr>
              <w:pStyle w:val="TableParagraph"/>
              <w:spacing w:line="268" w:lineRule="exact" w:before="0"/>
              <w:rPr>
                <w:sz w:val="22"/>
              </w:rPr>
            </w:pPr>
            <w:r>
              <w:rPr>
                <w:sz w:val="22"/>
              </w:rPr>
              <w:t>(Vacated Style)</w:t>
            </w:r>
          </w:p>
        </w:tc>
        <w:tc>
          <w:tcPr>
            <w:tcW w:w="8250" w:type="dxa"/>
          </w:tcPr>
          <w:p>
            <w:pPr>
              <w:pStyle w:val="TableParagraph"/>
              <w:ind w:right="303"/>
              <w:rPr>
                <w:sz w:val="22"/>
              </w:rPr>
            </w:pPr>
            <w:r>
              <w:rPr>
                <w:sz w:val="22"/>
              </w:rPr>
              <w:t>Specifies the name of the style to apply to the cells left blank when a PivotTable shrinks during a refresh operation</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3" w:hRule="atLeast"/>
        </w:trPr>
        <w:tc>
          <w:tcPr>
            <w:tcW w:w="2062" w:type="dxa"/>
          </w:tcPr>
          <w:p>
            <w:pPr>
              <w:pStyle w:val="TableParagraph"/>
              <w:ind w:right="210"/>
              <w:rPr>
                <w:sz w:val="22"/>
              </w:rPr>
            </w:pPr>
            <w:r>
              <w:rPr>
                <w:rFonts w:ascii="Cambria"/>
                <w:sz w:val="22"/>
              </w:rPr>
              <w:t>visualTotals </w:t>
            </w:r>
            <w:r>
              <w:rPr>
                <w:sz w:val="22"/>
              </w:rPr>
              <w:t>(Total Visual Data)</w:t>
            </w:r>
          </w:p>
        </w:tc>
        <w:tc>
          <w:tcPr>
            <w:tcW w:w="8250" w:type="dxa"/>
          </w:tcPr>
          <w:p>
            <w:pPr>
              <w:pStyle w:val="TableParagraph"/>
              <w:ind w:right="380"/>
              <w:rPr>
                <w:sz w:val="22"/>
              </w:rPr>
            </w:pPr>
            <w:r>
              <w:rPr>
                <w:sz w:val="22"/>
              </w:rPr>
              <w:t>Specifies a boolean value that indicates whether totals should be based on visible data only. This attribute applies to OLAP PivotTables only.</w:t>
            </w:r>
          </w:p>
          <w:p>
            <w:pPr>
              <w:pStyle w:val="TableParagraph"/>
              <w:spacing w:before="2"/>
              <w:ind w:left="0"/>
              <w:rPr>
                <w:rFonts w:ascii="Times New Roman"/>
                <w:sz w:val="23"/>
              </w:rPr>
            </w:pPr>
          </w:p>
          <w:p>
            <w:pPr>
              <w:pStyle w:val="TableParagraph"/>
              <w:spacing w:line="480" w:lineRule="auto" w:before="0"/>
              <w:ind w:right="146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subtotals are computed on visible data only.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subtotals are computed on all data.</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CT_pivotTableDefinition</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74 pivotTableStyleInfo (PivotTab" w:id="971"/>
      <w:bookmarkEnd w:id="971"/>
      <w:r>
        <w:rPr/>
      </w:r>
      <w:bookmarkStart w:name="_bookmark322" w:id="972"/>
      <w:bookmarkEnd w:id="972"/>
      <w:r>
        <w:rPr/>
      </w:r>
      <w:bookmarkStart w:name="_bookmark322" w:id="973"/>
      <w:bookmarkEnd w:id="973"/>
      <w:r>
        <w:rPr>
          <w:color w:val="4F81BC"/>
        </w:rPr>
        <w:t>piv</w:t>
      </w:r>
      <w:r>
        <w:rPr>
          <w:color w:val="4F81BC"/>
        </w:rPr>
        <w:t>otTableStyleInfo (PivotTable</w:t>
      </w:r>
      <w:r>
        <w:rPr>
          <w:color w:val="4F81BC"/>
          <w:spacing w:val="-1"/>
        </w:rPr>
        <w:t> </w:t>
      </w:r>
      <w:r>
        <w:rPr>
          <w:color w:val="4F81BC"/>
        </w:rPr>
        <w:t>Style)</w:t>
      </w:r>
    </w:p>
    <w:p>
      <w:pPr>
        <w:pStyle w:val="BodyText"/>
        <w:spacing w:line="453" w:lineRule="auto" w:before="122"/>
        <w:ind w:left="220" w:right="5314"/>
      </w:pPr>
      <w:r>
        <w:rPr/>
        <w:t>Represent information on style applied to the PivotTable. [</w:t>
      </w:r>
      <w:r>
        <w:rPr>
          <w:i/>
        </w:rPr>
        <w:t>Example</w:t>
      </w:r>
      <w:r>
        <w:rPr/>
        <w:t>:</w:t>
      </w:r>
    </w:p>
    <w:p>
      <w:pPr>
        <w:pStyle w:val="BodyText"/>
        <w:spacing w:line="276" w:lineRule="auto" w:before="2"/>
        <w:ind w:left="750" w:hanging="243"/>
        <w:rPr>
          <w:rFonts w:ascii="Consolas"/>
        </w:rPr>
      </w:pPr>
      <w:r>
        <w:rPr>
          <w:rFonts w:ascii="Consolas"/>
        </w:rPr>
        <w:t>&lt;sh:pivotTableStyleInfo name="PivotStyleLight16" showRowHeaders="1" showColHeaders="1" showRowStripes="0" showColStripes="0" showLastColumn="1"/&gt;</w:t>
      </w:r>
    </w:p>
    <w:p>
      <w:pPr>
        <w:spacing w:after="0" w:line="276" w:lineRule="auto"/>
        <w:rPr>
          <w:rFonts w:ascii="Consolas"/>
        </w:rPr>
        <w:sectPr>
          <w:pgSz w:w="12240" w:h="15840"/>
          <w:pgMar w:header="761" w:footer="746" w:top="1340" w:bottom="940" w:left="860" w:right="700"/>
        </w:sectPr>
      </w:pPr>
    </w:p>
    <w:p>
      <w:pPr>
        <w:spacing w:before="150"/>
        <w:ind w:left="220" w:right="0" w:firstLine="0"/>
        <w:jc w:val="left"/>
        <w:rPr>
          <w:sz w:val="22"/>
        </w:rPr>
      </w:pPr>
      <w:r>
        <w:rPr>
          <w:i/>
          <w:sz w:val="22"/>
        </w:rPr>
        <w:t>end example</w:t>
      </w:r>
      <w:r>
        <w:rPr>
          <w:sz w:val="22"/>
        </w:rPr>
        <w:t>]</w:t>
      </w:r>
    </w:p>
    <w:p>
      <w:pPr>
        <w:pStyle w:val="BodyText"/>
        <w:spacing w:before="9"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309"/>
              <w:rPr>
                <w:sz w:val="22"/>
              </w:rPr>
            </w:pPr>
            <w:r>
              <w:rPr>
                <w:rFonts w:ascii="Cambria"/>
                <w:sz w:val="22"/>
              </w:rPr>
              <w:t>name </w:t>
            </w:r>
            <w:r>
              <w:rPr>
                <w:sz w:val="22"/>
              </w:rPr>
              <w:t>(Table Style Name)</w:t>
            </w:r>
          </w:p>
        </w:tc>
        <w:tc>
          <w:tcPr>
            <w:tcW w:w="8250" w:type="dxa"/>
          </w:tcPr>
          <w:p>
            <w:pPr>
              <w:pStyle w:val="TableParagraph"/>
              <w:rPr>
                <w:sz w:val="22"/>
              </w:rPr>
            </w:pPr>
            <w:r>
              <w:rPr>
                <w:sz w:val="22"/>
              </w:rPr>
              <w:t>Specifies the name of the table style to use with this table.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2772" w:hRule="atLeast"/>
        </w:trPr>
        <w:tc>
          <w:tcPr>
            <w:tcW w:w="2062" w:type="dxa"/>
          </w:tcPr>
          <w:p>
            <w:pPr>
              <w:pStyle w:val="TableParagraph"/>
              <w:spacing w:before="42"/>
              <w:ind w:right="333"/>
              <w:rPr>
                <w:sz w:val="22"/>
              </w:rPr>
            </w:pPr>
            <w:r>
              <w:rPr>
                <w:rFonts w:ascii="Cambria"/>
                <w:sz w:val="22"/>
              </w:rPr>
              <w:t>showColHeaders </w:t>
            </w:r>
            <w:r>
              <w:rPr>
                <w:sz w:val="22"/>
              </w:rPr>
              <w:t>(Show Table Style Column Header Formatting)</w:t>
            </w:r>
          </w:p>
        </w:tc>
        <w:tc>
          <w:tcPr>
            <w:tcW w:w="8250" w:type="dxa"/>
          </w:tcPr>
          <w:p>
            <w:pPr>
              <w:pStyle w:val="TableParagraph"/>
              <w:spacing w:line="480" w:lineRule="auto"/>
              <w:ind w:right="317"/>
              <w:rPr>
                <w:sz w:val="22"/>
              </w:rPr>
            </w:pPr>
            <w:r>
              <w:rPr>
                <w:sz w:val="22"/>
              </w:rPr>
              <w:t>Specifies a boolean value that indicates whether to show column headers for the table.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column headers are shown.</w:t>
            </w:r>
          </w:p>
          <w:p>
            <w:pPr>
              <w:pStyle w:val="TableParagraph"/>
              <w:spacing w:line="480" w:lineRule="auto" w:before="1"/>
              <w:ind w:right="2175"/>
              <w:rPr>
                <w:sz w:val="22"/>
              </w:rPr>
            </w:pPr>
            <w:r>
              <w:rPr>
                <w:sz w:val="22"/>
              </w:rPr>
              <w:t>A value of </w:t>
            </w:r>
            <w:r>
              <w:rPr>
                <w:rFonts w:ascii="Consolas"/>
                <w:sz w:val="20"/>
              </w:rPr>
              <w:t>0 </w:t>
            </w:r>
            <w:r>
              <w:rPr>
                <w:sz w:val="22"/>
              </w:rPr>
              <w:t>or </w:t>
            </w:r>
            <w:r>
              <w:rPr>
                <w:rFonts w:ascii="Consolas"/>
                <w:sz w:val="20"/>
              </w:rPr>
              <w:t>false </w:t>
            </w:r>
            <w:r>
              <w:rPr>
                <w:sz w:val="22"/>
              </w:rPr>
              <w:t>indicates column headers are omitted. 'True' if table style column header formatting should be displayed.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before="42"/>
              <w:ind w:right="453"/>
              <w:rPr>
                <w:sz w:val="22"/>
              </w:rPr>
            </w:pPr>
            <w:r>
              <w:rPr>
                <w:rFonts w:ascii="Cambria"/>
                <w:sz w:val="22"/>
              </w:rPr>
              <w:t>showColStripes </w:t>
            </w:r>
            <w:r>
              <w:rPr>
                <w:sz w:val="22"/>
              </w:rPr>
              <w:t>(Show Column Stripes)</w:t>
            </w:r>
          </w:p>
        </w:tc>
        <w:tc>
          <w:tcPr>
            <w:tcW w:w="8250" w:type="dxa"/>
          </w:tcPr>
          <w:p>
            <w:pPr>
              <w:pStyle w:val="TableParagraph"/>
              <w:ind w:right="424"/>
              <w:rPr>
                <w:sz w:val="22"/>
              </w:rPr>
            </w:pPr>
            <w:r>
              <w:rPr>
                <w:sz w:val="22"/>
              </w:rPr>
              <w:t>Specifies a boolean value that indicates whether to show column stripe formatting for the table.</w:t>
            </w:r>
          </w:p>
          <w:p>
            <w:pPr>
              <w:pStyle w:val="TableParagraph"/>
              <w:spacing w:before="0"/>
              <w:ind w:left="0"/>
              <w:rPr>
                <w:sz w:val="22"/>
              </w:rPr>
            </w:pPr>
          </w:p>
          <w:p>
            <w:pPr>
              <w:pStyle w:val="TableParagraph"/>
              <w:spacing w:line="480" w:lineRule="auto" w:before="0"/>
              <w:ind w:right="2308"/>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column stripe formatting is shown. A value of </w:t>
            </w:r>
            <w:r>
              <w:rPr>
                <w:rFonts w:ascii="Consolas"/>
                <w:sz w:val="20"/>
              </w:rPr>
              <w:t>0 </w:t>
            </w:r>
            <w:r>
              <w:rPr>
                <w:sz w:val="22"/>
              </w:rPr>
              <w:t>or </w:t>
            </w:r>
            <w:r>
              <w:rPr>
                <w:rFonts w:ascii="Consolas"/>
                <w:sz w:val="20"/>
              </w:rPr>
              <w:t>false </w:t>
            </w:r>
            <w:r>
              <w:rPr>
                <w:sz w:val="22"/>
              </w:rPr>
              <w:t>indicates no column formatting is shown. True if table style column stripe formatting should be displayed.</w:t>
            </w:r>
          </w:p>
          <w:p>
            <w:pPr>
              <w:pStyle w:val="TableParagraph"/>
              <w:spacing w:line="267" w:lineRule="exact" w:before="2"/>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showLastColumn</w:t>
            </w:r>
          </w:p>
          <w:p>
            <w:pPr>
              <w:pStyle w:val="TableParagraph"/>
              <w:spacing w:line="268" w:lineRule="exact" w:before="0"/>
              <w:rPr>
                <w:sz w:val="22"/>
              </w:rPr>
            </w:pPr>
            <w:r>
              <w:rPr>
                <w:sz w:val="22"/>
              </w:rPr>
              <w:t>(Show Last Column)</w:t>
            </w:r>
          </w:p>
        </w:tc>
        <w:tc>
          <w:tcPr>
            <w:tcW w:w="8250" w:type="dxa"/>
          </w:tcPr>
          <w:p>
            <w:pPr>
              <w:pStyle w:val="TableParagraph"/>
              <w:rPr>
                <w:sz w:val="22"/>
              </w:rPr>
            </w:pPr>
            <w:r>
              <w:rPr>
                <w:sz w:val="22"/>
              </w:rPr>
              <w:t>Specifies a boolean value that indicates whether to show the last column.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37" w:lineRule="auto" w:before="45"/>
              <w:ind w:right="224"/>
              <w:jc w:val="both"/>
              <w:rPr>
                <w:sz w:val="22"/>
              </w:rPr>
            </w:pPr>
            <w:r>
              <w:rPr>
                <w:rFonts w:ascii="Cambria"/>
                <w:sz w:val="22"/>
              </w:rPr>
              <w:t>showRowHeaders </w:t>
            </w:r>
            <w:r>
              <w:rPr>
                <w:sz w:val="22"/>
              </w:rPr>
              <w:t>(Show Row Header Formatting)</w:t>
            </w:r>
          </w:p>
        </w:tc>
        <w:tc>
          <w:tcPr>
            <w:tcW w:w="8250" w:type="dxa"/>
          </w:tcPr>
          <w:p>
            <w:pPr>
              <w:pStyle w:val="TableParagraph"/>
              <w:spacing w:line="480" w:lineRule="auto"/>
              <w:ind w:right="634"/>
              <w:rPr>
                <w:sz w:val="22"/>
              </w:rPr>
            </w:pPr>
            <w:r>
              <w:rPr>
                <w:sz w:val="22"/>
              </w:rPr>
              <w:t>Specifies a boolean value that indicates whether to show row headers for the table.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table style formatting is displayed.</w:t>
            </w:r>
          </w:p>
          <w:p>
            <w:pPr>
              <w:pStyle w:val="TableParagraph"/>
              <w:spacing w:before="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table style formatting will not be displayed.</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spacing w:line="257" w:lineRule="exact" w:before="42"/>
              <w:rPr>
                <w:rFonts w:ascii="Cambria"/>
                <w:sz w:val="22"/>
              </w:rPr>
            </w:pPr>
            <w:r>
              <w:rPr>
                <w:rFonts w:ascii="Cambria"/>
                <w:sz w:val="22"/>
              </w:rPr>
              <w:t>showRowStripes</w:t>
            </w:r>
          </w:p>
          <w:p>
            <w:pPr>
              <w:pStyle w:val="TableParagraph"/>
              <w:spacing w:line="268" w:lineRule="exact" w:before="0"/>
              <w:rPr>
                <w:sz w:val="22"/>
              </w:rPr>
            </w:pPr>
            <w:r>
              <w:rPr>
                <w:sz w:val="22"/>
              </w:rPr>
              <w:t>(Show Row Stripes)</w:t>
            </w:r>
          </w:p>
        </w:tc>
        <w:tc>
          <w:tcPr>
            <w:tcW w:w="8250" w:type="dxa"/>
          </w:tcPr>
          <w:p>
            <w:pPr>
              <w:pStyle w:val="TableParagraph"/>
              <w:ind w:right="392"/>
              <w:rPr>
                <w:sz w:val="22"/>
              </w:rPr>
            </w:pPr>
            <w:r>
              <w:rPr>
                <w:sz w:val="22"/>
              </w:rPr>
              <w:t>Specifies a boolean value that indicates whether to show row stripe formatting for the table.</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row stripe formatting is displayed.</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no row formatting is shown.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CT_PivotTableStyle</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75 query (Query)" w:id="974"/>
      <w:bookmarkEnd w:id="974"/>
      <w:r>
        <w:rPr/>
      </w:r>
      <w:bookmarkStart w:name="_bookmark323" w:id="975"/>
      <w:bookmarkEnd w:id="975"/>
      <w:r>
        <w:rPr/>
      </w:r>
      <w:bookmarkStart w:name="_bookmark323" w:id="976"/>
      <w:bookmarkEnd w:id="976"/>
      <w:r>
        <w:rPr>
          <w:color w:val="4F81BC"/>
        </w:rPr>
        <w:t>q</w:t>
      </w:r>
      <w:r>
        <w:rPr>
          <w:color w:val="4F81BC"/>
        </w:rPr>
        <w:t>uery</w:t>
      </w:r>
      <w:r>
        <w:rPr>
          <w:color w:val="4F81BC"/>
          <w:spacing w:val="-2"/>
        </w:rPr>
        <w:t> </w:t>
      </w:r>
      <w:r>
        <w:rPr>
          <w:color w:val="4F81BC"/>
        </w:rPr>
        <w:t>(Query)</w:t>
      </w:r>
    </w:p>
    <w:p>
      <w:pPr>
        <w:pStyle w:val="BodyText"/>
        <w:spacing w:before="124"/>
        <w:ind w:left="220"/>
      </w:pPr>
      <w:r>
        <w:rPr/>
        <w:t>Represents an OLAP sheet data cached query.</w:t>
      </w:r>
    </w:p>
    <w:p>
      <w:pPr>
        <w:pStyle w:val="BodyText"/>
        <w:spacing w:before="9"/>
        <w:rPr>
          <w:sz w:val="19"/>
        </w:rPr>
      </w:pPr>
    </w:p>
    <w:tbl>
      <w:tblPr>
        <w:tblW w:w="0" w:type="auto"/>
        <w:jc w:val="left"/>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62"/>
        <w:gridCol w:w="8250"/>
      </w:tblGrid>
      <w:tr>
        <w:trPr>
          <w:trHeight w:val="350" w:hRule="atLeast"/>
        </w:trPr>
        <w:tc>
          <w:tcPr>
            <w:tcW w:w="2062" w:type="dxa"/>
            <w:tcBorders>
              <w:left w:val="single" w:sz="4" w:space="0" w:color="000000"/>
              <w:bottom w:val="single" w:sz="4" w:space="0" w:color="000000"/>
              <w:right w:val="single" w:sz="4" w:space="0" w:color="000000"/>
            </w:tcBorders>
            <w:shd w:val="clear" w:color="auto" w:fill="C0C0C0"/>
          </w:tcPr>
          <w:p>
            <w:pPr>
              <w:pStyle w:val="TableParagraph"/>
              <w:spacing w:before="37"/>
              <w:ind w:left="566"/>
              <w:rPr>
                <w:b/>
                <w:sz w:val="22"/>
              </w:rPr>
            </w:pPr>
            <w:r>
              <w:rPr>
                <w:b/>
                <w:sz w:val="22"/>
              </w:rPr>
              <w:t>Attributes</w:t>
            </w:r>
          </w:p>
        </w:tc>
        <w:tc>
          <w:tcPr>
            <w:tcW w:w="8250" w:type="dxa"/>
            <w:tcBorders>
              <w:left w:val="single" w:sz="4" w:space="0" w:color="000000"/>
              <w:bottom w:val="single" w:sz="4" w:space="0" w:color="000000"/>
              <w:right w:val="single" w:sz="4" w:space="0" w:color="000000"/>
            </w:tcBorders>
            <w:shd w:val="clear" w:color="auto" w:fill="C0C0C0"/>
          </w:tcPr>
          <w:p>
            <w:pPr>
              <w:pStyle w:val="TableParagraph"/>
              <w:spacing w:before="37"/>
              <w:ind w:left="98" w:right="91"/>
              <w:jc w:val="center"/>
              <w:rPr>
                <w:b/>
                <w:sz w:val="22"/>
              </w:rPr>
            </w:pPr>
            <w:r>
              <w:rPr>
                <w:b/>
                <w:sz w:val="22"/>
              </w:rPr>
              <w:t>Description</w:t>
            </w:r>
          </w:p>
        </w:tc>
      </w:tr>
      <w:tr>
        <w:trPr>
          <w:trHeight w:val="2774" w:hRule="atLeast"/>
        </w:trPr>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44"/>
              <w:ind w:right="353"/>
              <w:rPr>
                <w:sz w:val="22"/>
              </w:rPr>
            </w:pPr>
            <w:r>
              <w:rPr>
                <w:rFonts w:ascii="Cambria"/>
                <w:sz w:val="22"/>
              </w:rPr>
              <w:t>mdx </w:t>
            </w:r>
            <w:r>
              <w:rPr>
                <w:sz w:val="22"/>
              </w:rPr>
              <w:t>(MDX Query String)</w:t>
            </w:r>
          </w:p>
        </w:tc>
        <w:tc>
          <w:tcPr>
            <w:tcW w:w="8250" w:type="dxa"/>
            <w:tcBorders>
              <w:top w:val="single" w:sz="4" w:space="0" w:color="000000"/>
              <w:left w:val="single" w:sz="4" w:space="0" w:color="000000"/>
              <w:bottom w:val="single" w:sz="4" w:space="0" w:color="000000"/>
              <w:right w:val="single" w:sz="4" w:space="0" w:color="000000"/>
            </w:tcBorders>
          </w:tcPr>
          <w:p>
            <w:pPr>
              <w:pStyle w:val="TableParagraph"/>
              <w:spacing w:before="42"/>
              <w:rPr>
                <w:sz w:val="22"/>
              </w:rPr>
            </w:pPr>
            <w:r>
              <w:rPr>
                <w:sz w:val="22"/>
              </w:rPr>
              <w:t>Specifies the Multidimensional Expressions (MDX) query string.</w:t>
            </w:r>
          </w:p>
          <w:p>
            <w:pPr>
              <w:pStyle w:val="TableParagraph"/>
              <w:spacing w:before="10"/>
              <w:ind w:left="0"/>
              <w:rPr>
                <w:sz w:val="21"/>
              </w:rPr>
            </w:pPr>
          </w:p>
          <w:p>
            <w:pPr>
              <w:pStyle w:val="TableParagraph"/>
              <w:spacing w:before="0"/>
              <w:ind w:right="539"/>
              <w:rPr>
                <w:sz w:val="22"/>
              </w:rPr>
            </w:pPr>
            <w:r>
              <w:rPr>
                <w:sz w:val="22"/>
              </w:rPr>
              <w:t>[</w:t>
            </w:r>
            <w:r>
              <w:rPr>
                <w:i/>
                <w:sz w:val="22"/>
              </w:rPr>
              <w:t>Note</w:t>
            </w:r>
            <w:r>
              <w:rPr>
                <w:sz w:val="22"/>
              </w:rPr>
              <w:t>: Data connectivity can use a number of different technologies. One example of potential values stored in this attribute can be found at: </w:t>
            </w:r>
            <w:hyperlink r:id="rId160">
              <w:r>
                <w:rPr>
                  <w:color w:val="5F5F5F"/>
                  <w:sz w:val="22"/>
                  <w:u w:val="single" w:color="5F5F5F"/>
                </w:rPr>
                <w:t>http://msdn2.microsoft.com/en-us/library/ms145595.aspx</w:t>
              </w:r>
              <w:r>
                <w:rPr>
                  <w:color w:val="5F5F5F"/>
                  <w:sz w:val="22"/>
                </w:rPr>
                <w:t> </w:t>
              </w:r>
            </w:hyperlink>
            <w:r>
              <w:rPr>
                <w:i/>
                <w:sz w:val="22"/>
              </w:rPr>
              <w:t>end note</w:t>
            </w:r>
            <w:r>
              <w:rPr>
                <w:sz w:val="22"/>
              </w:rPr>
              <w:t>]</w:t>
            </w:r>
          </w:p>
          <w:p>
            <w:pPr>
              <w:pStyle w:val="TableParagraph"/>
              <w:spacing w:before="1"/>
              <w:ind w:left="0"/>
              <w:rPr>
                <w:sz w:val="22"/>
              </w:rPr>
            </w:pPr>
          </w:p>
          <w:p>
            <w:pPr>
              <w:pStyle w:val="TableParagraph"/>
              <w:spacing w:before="0"/>
              <w:rPr>
                <w:sz w:val="22"/>
              </w:rPr>
            </w:pPr>
            <w:r>
              <w:rPr>
                <w:sz w:val="22"/>
              </w:rPr>
              <w:t>See the MDX Language Reference for more information:</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8"/>
        <w:rPr>
          <w:sz w:val="19"/>
        </w:rPr>
      </w:pPr>
    </w:p>
    <w:p>
      <w:pPr>
        <w:pStyle w:val="BodyText"/>
        <w:ind w:left="220"/>
      </w:pPr>
      <w:r>
        <w:rPr/>
        <w:t>[</w:t>
      </w:r>
      <w:r>
        <w:rPr>
          <w:i/>
        </w:rPr>
        <w:t>Note</w:t>
      </w:r>
      <w:r>
        <w:rPr/>
        <w:t>: The W3C XML Schema definition of this element’s content model (</w:t>
      </w:r>
      <w:r>
        <w:rPr>
          <w:color w:val="5F5F5F"/>
          <w:u w:val="single" w:color="5F5F5F"/>
        </w:rPr>
        <w:t>CT_Query</w:t>
      </w:r>
      <w:r>
        <w:rPr/>
        <w:t>) is located in §A.2. </w:t>
      </w:r>
      <w:r>
        <w:rPr>
          <w:i/>
        </w:rPr>
        <w:t>end note</w:t>
      </w:r>
      <w:r>
        <w:rPr/>
        <w:t>]</w:t>
      </w:r>
    </w:p>
    <w:p>
      <w:pPr>
        <w:pStyle w:val="BodyText"/>
        <w:spacing w:before="8"/>
        <w:rPr>
          <w:sz w:val="19"/>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76 queryCache (OLAP Query Cache)" w:id="977"/>
      <w:bookmarkEnd w:id="977"/>
      <w:r>
        <w:rPr/>
      </w:r>
      <w:bookmarkStart w:name="_bookmark324" w:id="978"/>
      <w:bookmarkEnd w:id="978"/>
      <w:r>
        <w:rPr/>
      </w:r>
      <w:bookmarkStart w:name="_bookmark324" w:id="979"/>
      <w:bookmarkEnd w:id="979"/>
      <w:r>
        <w:rPr>
          <w:color w:val="4F81BC"/>
        </w:rPr>
        <w:t>q</w:t>
      </w:r>
      <w:r>
        <w:rPr>
          <w:color w:val="4F81BC"/>
        </w:rPr>
        <w:t>ueryCache (OLAP Query</w:t>
      </w:r>
      <w:r>
        <w:rPr>
          <w:color w:val="4F81BC"/>
          <w:spacing w:val="-2"/>
        </w:rPr>
        <w:t> </w:t>
      </w:r>
      <w:r>
        <w:rPr>
          <w:color w:val="4F81BC"/>
        </w:rPr>
        <w:t>Cache)</w:t>
      </w:r>
    </w:p>
    <w:p>
      <w:pPr>
        <w:pStyle w:val="BodyText"/>
        <w:spacing w:before="121"/>
        <w:ind w:left="220"/>
      </w:pPr>
      <w:r>
        <w:rPr/>
        <w:t>Represents the cache of OLAP sheet data queries.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613"/>
              <w:rPr>
                <w:sz w:val="22"/>
              </w:rPr>
            </w:pPr>
            <w:r>
              <w:rPr>
                <w:rFonts w:ascii="Cambria"/>
                <w:sz w:val="22"/>
              </w:rPr>
              <w:t>count </w:t>
            </w:r>
            <w:r>
              <w:rPr>
                <w:sz w:val="22"/>
              </w:rPr>
              <w:t>(Cached Query Count)</w:t>
            </w:r>
          </w:p>
        </w:tc>
        <w:tc>
          <w:tcPr>
            <w:tcW w:w="8250" w:type="dxa"/>
          </w:tcPr>
          <w:p>
            <w:pPr>
              <w:pStyle w:val="TableParagraph"/>
              <w:rPr>
                <w:sz w:val="22"/>
              </w:rPr>
            </w:pPr>
            <w:r>
              <w:rPr>
                <w:sz w:val="22"/>
              </w:rPr>
              <w:t>Specifies the number of cached queries in the collection.</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spacing w:line="278" w:lineRule="auto" w:before="1"/>
        <w:ind w:left="220" w:right="395"/>
      </w:pPr>
      <w:r>
        <w:rPr/>
        <w:t>[</w:t>
      </w:r>
      <w:r>
        <w:rPr>
          <w:i/>
        </w:rPr>
        <w:t>Note</w:t>
      </w:r>
      <w:r>
        <w:rPr/>
        <w:t>: The W3C XML Schema definition of this element’s content model (</w:t>
      </w:r>
      <w:r>
        <w:rPr>
          <w:color w:val="5F5F5F"/>
          <w:u w:val="single" w:color="5F5F5F"/>
        </w:rPr>
        <w:t>CT_QueryCache</w:t>
      </w:r>
      <w:r>
        <w:rPr/>
        <w:t>) is located in §A.2. </w:t>
      </w:r>
      <w:r>
        <w:rPr>
          <w:i/>
        </w:rPr>
        <w:t>end </w:t>
      </w:r>
      <w:r>
        <w:rPr>
          <w:i/>
        </w:rPr>
        <w:t>note</w:t>
      </w:r>
      <w:r>
        <w:rPr/>
        <w:t>]</w:t>
      </w:r>
    </w:p>
    <w:p>
      <w:pPr>
        <w:pStyle w:val="BodyText"/>
        <w:spacing w:before="2"/>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77 r (PivotCache Record)" w:id="980"/>
      <w:bookmarkEnd w:id="980"/>
      <w:r>
        <w:rPr/>
      </w:r>
      <w:bookmarkStart w:name="_bookmark325" w:id="981"/>
      <w:bookmarkEnd w:id="981"/>
      <w:r>
        <w:rPr/>
      </w:r>
      <w:bookmarkStart w:name="_bookmark325" w:id="982"/>
      <w:bookmarkEnd w:id="982"/>
      <w:r>
        <w:rPr>
          <w:color w:val="4F81BC"/>
        </w:rPr>
        <w:t>r</w:t>
      </w:r>
      <w:r>
        <w:rPr>
          <w:color w:val="4F81BC"/>
        </w:rPr>
        <w:t> (PivotCache</w:t>
      </w:r>
      <w:r>
        <w:rPr>
          <w:color w:val="4F81BC"/>
          <w:spacing w:val="-2"/>
        </w:rPr>
        <w:t> </w:t>
      </w:r>
      <w:r>
        <w:rPr>
          <w:color w:val="4F81BC"/>
        </w:rPr>
        <w:t>Record)</w:t>
      </w:r>
    </w:p>
    <w:p>
      <w:pPr>
        <w:pStyle w:val="BodyText"/>
        <w:spacing w:line="453" w:lineRule="auto" w:before="121"/>
        <w:ind w:left="220" w:right="5734"/>
      </w:pPr>
      <w:r>
        <w:rPr/>
        <w:t>Represents a single record of data in the PivotCache. [</w:t>
      </w:r>
      <w:r>
        <w:rPr>
          <w:i/>
        </w:rPr>
        <w:t>Example</w:t>
      </w:r>
      <w:r>
        <w:rPr/>
        <w:t>:</w:t>
      </w:r>
    </w:p>
    <w:p>
      <w:pPr>
        <w:spacing w:after="0" w:line="453" w:lineRule="auto"/>
        <w:sectPr>
          <w:pgSz w:w="12240" w:h="15840"/>
          <w:pgMar w:header="761" w:footer="746" w:top="1340" w:bottom="940" w:left="860" w:right="700"/>
        </w:sectPr>
      </w:pPr>
    </w:p>
    <w:p>
      <w:pPr>
        <w:pStyle w:val="BodyText"/>
        <w:spacing w:before="150"/>
        <w:ind w:left="508"/>
        <w:rPr>
          <w:rFonts w:ascii="Consolas"/>
        </w:rPr>
      </w:pPr>
      <w:r>
        <w:rPr>
          <w:rFonts w:ascii="Consolas"/>
        </w:rPr>
        <w:t>&lt;r&gt;</w:t>
      </w:r>
    </w:p>
    <w:p>
      <w:pPr>
        <w:pStyle w:val="BodyText"/>
        <w:spacing w:before="38"/>
        <w:ind w:left="750"/>
        <w:rPr>
          <w:rFonts w:ascii="Consolas"/>
        </w:rPr>
      </w:pPr>
      <w:r>
        <w:rPr>
          <w:rFonts w:ascii="Consolas"/>
        </w:rPr>
        <w:t>&lt;s v="3550"/&gt;</w:t>
      </w:r>
    </w:p>
    <w:p>
      <w:pPr>
        <w:pStyle w:val="BodyText"/>
        <w:spacing w:before="40"/>
        <w:ind w:left="750"/>
        <w:rPr>
          <w:rFonts w:ascii="Consolas"/>
        </w:rPr>
      </w:pPr>
      <w:r>
        <w:rPr>
          <w:rFonts w:ascii="Consolas"/>
        </w:rPr>
        <w:t>&lt;s v="Road-150 Red, 62"/&gt;</w:t>
      </w:r>
    </w:p>
    <w:p>
      <w:pPr>
        <w:pStyle w:val="BodyText"/>
        <w:spacing w:line="276" w:lineRule="auto" w:before="38"/>
        <w:ind w:left="993" w:right="542" w:hanging="243"/>
        <w:rPr>
          <w:rFonts w:ascii="Consolas"/>
        </w:rPr>
      </w:pPr>
      <w:r>
        <w:rPr>
          <w:rFonts w:ascii="Consolas"/>
        </w:rPr>
        <w:t>&lt;s v="This bike is ridden by race winners. Developed with the Adventure Works Cycles professional race team, it has a extremely light heat-treated aluminum frame, and steering that allows precision control."/&gt;</w:t>
      </w:r>
    </w:p>
    <w:p>
      <w:pPr>
        <w:pStyle w:val="BodyText"/>
        <w:spacing w:before="1"/>
        <w:ind w:left="750"/>
        <w:rPr>
          <w:rFonts w:ascii="Consolas"/>
        </w:rPr>
      </w:pPr>
      <w:r>
        <w:rPr>
          <w:rFonts w:ascii="Consolas"/>
        </w:rPr>
        <w:t>&lt;s v="No Discount"/&gt;</w:t>
      </w:r>
    </w:p>
    <w:p>
      <w:pPr>
        <w:pStyle w:val="BodyText"/>
        <w:spacing w:before="38"/>
        <w:ind w:left="750"/>
        <w:rPr>
          <w:rFonts w:ascii="Consolas"/>
        </w:rPr>
      </w:pPr>
      <w:r>
        <w:rPr>
          <w:rFonts w:ascii="Consolas"/>
        </w:rPr>
        <w:t>&lt;x v="0"/&gt;</w:t>
      </w:r>
    </w:p>
    <w:p>
      <w:pPr>
        <w:pStyle w:val="BodyText"/>
        <w:spacing w:before="38"/>
        <w:ind w:left="750"/>
        <w:rPr>
          <w:rFonts w:ascii="Consolas"/>
        </w:rPr>
      </w:pPr>
      <w:r>
        <w:rPr>
          <w:rFonts w:ascii="Consolas"/>
        </w:rPr>
        <w:t>&lt;s v="Australian Dollar"/&gt;</w:t>
      </w:r>
    </w:p>
    <w:p>
      <w:pPr>
        <w:pStyle w:val="BodyText"/>
        <w:spacing w:before="40"/>
        <w:ind w:left="750"/>
        <w:rPr>
          <w:rFonts w:ascii="Consolas"/>
        </w:rPr>
      </w:pPr>
      <w:r>
        <w:rPr>
          <w:rFonts w:ascii="Consolas"/>
        </w:rPr>
        <w:t>&lt;n v="1"/&gt;</w:t>
      </w:r>
    </w:p>
    <w:p>
      <w:pPr>
        <w:pStyle w:val="BodyText"/>
        <w:spacing w:before="37"/>
        <w:ind w:left="750"/>
        <w:rPr>
          <w:rFonts w:ascii="Consolas"/>
        </w:rPr>
      </w:pPr>
      <w:r>
        <w:rPr>
          <w:rFonts w:ascii="Consolas"/>
        </w:rPr>
        <w:t>&lt;n v="3578.27"/&gt;</w:t>
      </w:r>
    </w:p>
    <w:p>
      <w:pPr>
        <w:pStyle w:val="BodyText"/>
        <w:spacing w:before="40"/>
        <w:ind w:left="750"/>
        <w:rPr>
          <w:rFonts w:ascii="Consolas"/>
        </w:rPr>
      </w:pPr>
      <w:r>
        <w:rPr>
          <w:rFonts w:ascii="Consolas"/>
        </w:rPr>
        <w:t>&lt;n v="0"/&gt;</w:t>
      </w:r>
    </w:p>
    <w:p>
      <w:pPr>
        <w:pStyle w:val="BodyText"/>
        <w:spacing w:before="38"/>
        <w:ind w:left="750"/>
        <w:rPr>
          <w:rFonts w:ascii="Consolas"/>
        </w:rPr>
      </w:pPr>
      <w:r>
        <w:rPr>
          <w:rFonts w:ascii="Consolas"/>
        </w:rPr>
        <w:t>&lt;n v="2171.2941999999998"/&gt;</w:t>
      </w:r>
    </w:p>
    <w:p>
      <w:pPr>
        <w:pStyle w:val="BodyText"/>
        <w:spacing w:before="40"/>
        <w:ind w:left="750"/>
        <w:rPr>
          <w:rFonts w:ascii="Consolas"/>
        </w:rPr>
      </w:pPr>
      <w:r>
        <w:rPr>
          <w:rFonts w:ascii="Consolas"/>
        </w:rPr>
        <w:t>&lt;n v="3578.27"/&gt;</w:t>
      </w:r>
    </w:p>
    <w:p>
      <w:pPr>
        <w:pStyle w:val="BodyText"/>
        <w:spacing w:before="38"/>
        <w:ind w:left="750"/>
        <w:rPr>
          <w:rFonts w:ascii="Consolas"/>
        </w:rPr>
      </w:pPr>
      <w:r>
        <w:rPr>
          <w:rFonts w:ascii="Consolas"/>
        </w:rPr>
        <w:t>&lt;n v="89.456800000000001"/&gt;</w:t>
      </w:r>
    </w:p>
    <w:p>
      <w:pPr>
        <w:pStyle w:val="BodyText"/>
        <w:spacing w:before="38"/>
        <w:ind w:left="508"/>
        <w:rPr>
          <w:rFonts w:ascii="Consolas"/>
        </w:rPr>
      </w:pPr>
      <w:r>
        <w:rPr>
          <w:rFonts w:ascii="Consolas"/>
        </w:rPr>
        <w:t>&lt;/r&gt;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5"/>
        <w:rPr>
          <w:sz w:val="19"/>
        </w:rPr>
      </w:pPr>
    </w:p>
    <w:p>
      <w:pPr>
        <w:pStyle w:val="BodyText"/>
        <w:spacing w:line="278" w:lineRule="auto" w:before="1"/>
        <w:ind w:left="220" w:right="855"/>
      </w:pPr>
      <w:r>
        <w:rPr/>
        <w:t>[</w:t>
      </w:r>
      <w:r>
        <w:rPr>
          <w:i/>
        </w:rPr>
        <w:t>Note</w:t>
      </w:r>
      <w:r>
        <w:rPr/>
        <w:t>: The W3C XML Schema definition of this element’s content model (</w:t>
      </w:r>
      <w:r>
        <w:rPr>
          <w:color w:val="5F5F5F"/>
          <w:u w:val="single" w:color="5F5F5F"/>
        </w:rPr>
        <w:t>CT_Record</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78 rangePr (Range Grouping Prope" w:id="983"/>
      <w:bookmarkEnd w:id="983"/>
      <w:r>
        <w:rPr/>
      </w:r>
      <w:bookmarkStart w:name="_bookmark326" w:id="984"/>
      <w:bookmarkEnd w:id="984"/>
      <w:r>
        <w:rPr/>
      </w:r>
      <w:bookmarkStart w:name="_bookmark326" w:id="985"/>
      <w:bookmarkEnd w:id="985"/>
      <w:r>
        <w:rPr>
          <w:color w:val="4F81BC"/>
        </w:rPr>
        <w:t>ra</w:t>
      </w:r>
      <w:r>
        <w:rPr>
          <w:color w:val="4F81BC"/>
        </w:rPr>
        <w:t>ngePr (Range Grouping</w:t>
      </w:r>
      <w:r>
        <w:rPr>
          <w:color w:val="4F81BC"/>
          <w:spacing w:val="-3"/>
        </w:rPr>
        <w:t> </w:t>
      </w:r>
      <w:r>
        <w:rPr>
          <w:color w:val="4F81BC"/>
        </w:rPr>
        <w:t>Properties)</w:t>
      </w:r>
    </w:p>
    <w:p>
      <w:pPr>
        <w:pStyle w:val="BodyText"/>
        <w:spacing w:line="456" w:lineRule="auto" w:before="121"/>
        <w:ind w:left="220" w:right="5496"/>
      </w:pPr>
      <w:r>
        <w:rPr/>
        <w:t>Represents the collection of range grouping properties. [</w:t>
      </w:r>
      <w:r>
        <w:rPr>
          <w:i/>
        </w:rPr>
        <w:t>Example</w:t>
      </w:r>
      <w:r>
        <w:rPr/>
        <w:t>:</w:t>
      </w:r>
    </w:p>
    <w:p>
      <w:pPr>
        <w:pStyle w:val="BodyText"/>
        <w:spacing w:line="276" w:lineRule="auto"/>
        <w:ind w:left="750" w:right="3274" w:hanging="243"/>
        <w:rPr>
          <w:rFonts w:ascii="Consolas"/>
        </w:rPr>
      </w:pPr>
      <w:r>
        <w:rPr>
          <w:rFonts w:ascii="Consolas"/>
        </w:rPr>
        <w:t>&lt;rangePr groupBy="months" startDate="2002-01-01T00:00:00" endDate="2006-05-06T00:00:00"/&gt;</w:t>
      </w:r>
    </w:p>
    <w:p>
      <w:pPr>
        <w:spacing w:before="197"/>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2" w:hRule="atLeast"/>
        </w:trPr>
        <w:tc>
          <w:tcPr>
            <w:tcW w:w="2062" w:type="dxa"/>
          </w:tcPr>
          <w:p>
            <w:pPr>
              <w:pStyle w:val="TableParagraph"/>
              <w:ind w:right="169"/>
              <w:rPr>
                <w:sz w:val="22"/>
              </w:rPr>
            </w:pPr>
            <w:r>
              <w:rPr>
                <w:rFonts w:ascii="Cambria"/>
                <w:sz w:val="22"/>
              </w:rPr>
              <w:t>autoEnd </w:t>
            </w:r>
            <w:r>
              <w:rPr>
                <w:sz w:val="22"/>
              </w:rPr>
              <w:t>(Source Data Ending Range)</w:t>
            </w:r>
          </w:p>
        </w:tc>
        <w:tc>
          <w:tcPr>
            <w:tcW w:w="8250" w:type="dxa"/>
          </w:tcPr>
          <w:p>
            <w:pPr>
              <w:pStyle w:val="TableParagraph"/>
              <w:ind w:right="262"/>
              <w:rPr>
                <w:sz w:val="22"/>
              </w:rPr>
            </w:pPr>
            <w:r>
              <w:rPr>
                <w:sz w:val="22"/>
              </w:rPr>
              <w:t>Specifies a boolean value that indicates whether the application uses the source data to set the ending range value.</w:t>
            </w:r>
          </w:p>
          <w:p>
            <w:pPr>
              <w:pStyle w:val="TableParagraph"/>
              <w:spacing w:before="0"/>
              <w:ind w:left="0"/>
              <w:rPr>
                <w:sz w:val="22"/>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ending range value is set from the source data.</w:t>
            </w:r>
          </w:p>
          <w:p>
            <w:pPr>
              <w:pStyle w:val="TableParagraph"/>
              <w:spacing w:before="1"/>
              <w:ind w:left="0"/>
              <w:rPr>
                <w:sz w:val="22"/>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ending range values are set by the value specified in</w:t>
            </w:r>
          </w:p>
          <w:p>
            <w:pPr>
              <w:pStyle w:val="TableParagraph"/>
              <w:spacing w:before="1"/>
              <w:rPr>
                <w:rFonts w:ascii="Cambria"/>
                <w:sz w:val="22"/>
              </w:rPr>
            </w:pPr>
            <w:r>
              <w:rPr>
                <w:rFonts w:ascii="Cambria"/>
                <w:sz w:val="22"/>
              </w:rPr>
              <w:t>endDate </w:t>
            </w:r>
            <w:r>
              <w:rPr>
                <w:sz w:val="22"/>
              </w:rPr>
              <w:t>or </w:t>
            </w:r>
            <w:r>
              <w:rPr>
                <w:rFonts w:ascii="Cambria"/>
                <w:sz w:val="22"/>
              </w:rPr>
              <w:t>endNum.</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ind w:right="229"/>
              <w:rPr>
                <w:sz w:val="22"/>
              </w:rPr>
            </w:pPr>
            <w:r>
              <w:rPr>
                <w:rFonts w:ascii="Cambria"/>
                <w:sz w:val="22"/>
              </w:rPr>
              <w:t>autoStart </w:t>
            </w:r>
            <w:r>
              <w:rPr>
                <w:sz w:val="22"/>
              </w:rPr>
              <w:t>(Source Data Set Beginning</w:t>
            </w:r>
          </w:p>
        </w:tc>
        <w:tc>
          <w:tcPr>
            <w:tcW w:w="8250" w:type="dxa"/>
          </w:tcPr>
          <w:p>
            <w:pPr>
              <w:pStyle w:val="TableParagraph"/>
              <w:ind w:right="173"/>
              <w:rPr>
                <w:sz w:val="22"/>
              </w:rPr>
            </w:pPr>
            <w:r>
              <w:rPr>
                <w:sz w:val="22"/>
              </w:rPr>
              <w:t>Specifies a boolean value that indicates whether we use source data to set the beginning range value.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4" w:hRule="atLeast"/>
        </w:trPr>
        <w:tc>
          <w:tcPr>
            <w:tcW w:w="2062" w:type="dxa"/>
          </w:tcPr>
          <w:p>
            <w:pPr>
              <w:pStyle w:val="TableParagraph"/>
              <w:rPr>
                <w:sz w:val="22"/>
              </w:rPr>
            </w:pPr>
            <w:r>
              <w:rPr>
                <w:sz w:val="22"/>
              </w:rPr>
              <w:t>Range)</w:t>
            </w:r>
          </w:p>
        </w:tc>
        <w:tc>
          <w:tcPr>
            <w:tcW w:w="8250" w:type="dxa"/>
          </w:tcPr>
          <w:p>
            <w:pPr>
              <w:pStyle w:val="TableParagraph"/>
              <w:spacing w:before="3"/>
              <w:ind w:left="0"/>
              <w:rPr>
                <w:sz w:val="25"/>
              </w:rPr>
            </w:pPr>
          </w:p>
          <w:p>
            <w:pPr>
              <w:pStyle w:val="TableParagraph"/>
              <w:spacing w:before="0"/>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beginning range value is set from the source data.</w:t>
            </w:r>
          </w:p>
          <w:p>
            <w:pPr>
              <w:pStyle w:val="TableParagraph"/>
              <w:spacing w:before="1"/>
              <w:ind w:left="0"/>
              <w:rPr>
                <w:sz w:val="22"/>
              </w:rPr>
            </w:pPr>
          </w:p>
          <w:p>
            <w:pPr>
              <w:pStyle w:val="TableParagraph"/>
              <w:spacing w:before="0"/>
              <w:ind w:right="277"/>
              <w:rPr>
                <w:rFonts w:ascii="Cambria"/>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beginning range value is set from the value specified in </w:t>
            </w:r>
            <w:r>
              <w:rPr>
                <w:rFonts w:ascii="Cambria"/>
                <w:sz w:val="22"/>
              </w:rPr>
              <w:t>startDate </w:t>
            </w:r>
            <w:r>
              <w:rPr>
                <w:sz w:val="22"/>
              </w:rPr>
              <w:t>or </w:t>
            </w:r>
            <w:r>
              <w:rPr>
                <w:rFonts w:ascii="Cambria"/>
                <w:sz w:val="22"/>
              </w:rPr>
              <w:t>startNum.</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9" w:hRule="atLeast"/>
        </w:trPr>
        <w:tc>
          <w:tcPr>
            <w:tcW w:w="2062" w:type="dxa"/>
            <w:tcBorders>
              <w:bottom w:val="single" w:sz="6" w:space="0" w:color="000000"/>
            </w:tcBorders>
          </w:tcPr>
          <w:p>
            <w:pPr>
              <w:pStyle w:val="TableParagraph"/>
              <w:ind w:right="591"/>
              <w:rPr>
                <w:sz w:val="22"/>
              </w:rPr>
            </w:pPr>
            <w:r>
              <w:rPr>
                <w:rFonts w:ascii="Cambria"/>
                <w:sz w:val="22"/>
              </w:rPr>
              <w:t>endDate </w:t>
            </w:r>
            <w:r>
              <w:rPr>
                <w:sz w:val="22"/>
              </w:rPr>
              <w:t>(Date Grouping End Value)</w:t>
            </w:r>
          </w:p>
        </w:tc>
        <w:tc>
          <w:tcPr>
            <w:tcW w:w="8250" w:type="dxa"/>
            <w:tcBorders>
              <w:bottom w:val="single" w:sz="6" w:space="0" w:color="000000"/>
            </w:tcBorders>
          </w:tcPr>
          <w:p>
            <w:pPr>
              <w:pStyle w:val="TableParagraph"/>
              <w:rPr>
                <w:sz w:val="22"/>
              </w:rPr>
            </w:pPr>
            <w:r>
              <w:rPr>
                <w:sz w:val="22"/>
              </w:rPr>
              <w:t>Specifies the ending value for date grouping if </w:t>
            </w:r>
            <w:r>
              <w:rPr>
                <w:rFonts w:ascii="Consolas"/>
                <w:sz w:val="20"/>
              </w:rPr>
              <w:t>autoEnd</w:t>
            </w:r>
            <w:r>
              <w:rPr>
                <w:rFonts w:ascii="Consolas"/>
                <w:spacing w:val="-59"/>
                <w:sz w:val="20"/>
              </w:rPr>
              <w:t> </w:t>
            </w:r>
            <w:r>
              <w:rPr>
                <w:sz w:val="22"/>
              </w:rPr>
              <w:t>is </w:t>
            </w:r>
            <w:r>
              <w:rPr>
                <w:rFonts w:ascii="Cambria"/>
                <w:sz w:val="22"/>
              </w:rPr>
              <w:t>false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dateTime</w:t>
            </w:r>
          </w:p>
          <w:p>
            <w:pPr>
              <w:pStyle w:val="TableParagraph"/>
              <w:spacing w:before="0"/>
              <w:rPr>
                <w:sz w:val="22"/>
              </w:rPr>
            </w:pPr>
            <w:r>
              <w:rPr>
                <w:sz w:val="22"/>
              </w:rPr>
              <w:t>datatype.</w:t>
            </w:r>
          </w:p>
        </w:tc>
      </w:tr>
      <w:tr>
        <w:trPr>
          <w:trHeight w:val="1156" w:hRule="atLeast"/>
        </w:trPr>
        <w:tc>
          <w:tcPr>
            <w:tcW w:w="2062" w:type="dxa"/>
            <w:tcBorders>
              <w:top w:val="single" w:sz="6" w:space="0" w:color="000000"/>
            </w:tcBorders>
          </w:tcPr>
          <w:p>
            <w:pPr>
              <w:pStyle w:val="TableParagraph"/>
              <w:spacing w:before="37"/>
              <w:ind w:right="232"/>
              <w:rPr>
                <w:sz w:val="22"/>
              </w:rPr>
            </w:pPr>
            <w:r>
              <w:rPr>
                <w:rFonts w:ascii="Cambria"/>
                <w:sz w:val="22"/>
              </w:rPr>
              <w:t>endNum </w:t>
            </w:r>
            <w:r>
              <w:rPr>
                <w:sz w:val="22"/>
              </w:rPr>
              <w:t>(Numeric Grouping End Value)</w:t>
            </w:r>
          </w:p>
        </w:tc>
        <w:tc>
          <w:tcPr>
            <w:tcW w:w="8250" w:type="dxa"/>
            <w:tcBorders>
              <w:top w:val="single" w:sz="6" w:space="0" w:color="000000"/>
            </w:tcBorders>
          </w:tcPr>
          <w:p>
            <w:pPr>
              <w:pStyle w:val="TableParagraph"/>
              <w:spacing w:before="37"/>
              <w:rPr>
                <w:sz w:val="22"/>
              </w:rPr>
            </w:pPr>
            <w:r>
              <w:rPr>
                <w:sz w:val="22"/>
              </w:rPr>
              <w:t>Specifies the ending value for numeric grouping if </w:t>
            </w:r>
            <w:r>
              <w:rPr>
                <w:rFonts w:ascii="Consolas"/>
                <w:sz w:val="20"/>
              </w:rPr>
              <w:t>autoEnd</w:t>
            </w:r>
            <w:r>
              <w:rPr>
                <w:rFonts w:ascii="Consolas"/>
                <w:spacing w:val="-64"/>
                <w:sz w:val="20"/>
              </w:rPr>
              <w:t> </w:t>
            </w:r>
            <w:r>
              <w:rPr>
                <w:sz w:val="22"/>
              </w:rPr>
              <w:t>is </w:t>
            </w:r>
            <w:r>
              <w:rPr>
                <w:rFonts w:ascii="Cambria"/>
                <w:sz w:val="22"/>
              </w:rPr>
              <w:t>false</w:t>
            </w:r>
            <w:r>
              <w:rPr>
                <w:sz w:val="22"/>
              </w:rPr>
              <w:t>.</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double</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groupBy </w:t>
            </w:r>
            <w:r>
              <w:rPr>
                <w:sz w:val="22"/>
              </w:rPr>
              <w:t>(Group By)</w:t>
            </w:r>
          </w:p>
        </w:tc>
        <w:tc>
          <w:tcPr>
            <w:tcW w:w="8250" w:type="dxa"/>
          </w:tcPr>
          <w:p>
            <w:pPr>
              <w:pStyle w:val="TableParagraph"/>
              <w:rPr>
                <w:sz w:val="22"/>
              </w:rPr>
            </w:pPr>
            <w:r>
              <w:rPr>
                <w:sz w:val="22"/>
              </w:rPr>
              <w:t>Specifies the grouping.</w:t>
            </w:r>
          </w:p>
          <w:p>
            <w:pPr>
              <w:pStyle w:val="TableParagraph"/>
              <w:spacing w:before="0"/>
              <w:ind w:left="0"/>
              <w:rPr>
                <w:sz w:val="22"/>
              </w:rPr>
            </w:pPr>
          </w:p>
          <w:p>
            <w:pPr>
              <w:pStyle w:val="TableParagraph"/>
              <w:spacing w:before="0"/>
              <w:ind w:right="873"/>
              <w:rPr>
                <w:sz w:val="22"/>
              </w:rPr>
            </w:pPr>
            <w:r>
              <w:rPr>
                <w:sz w:val="22"/>
              </w:rPr>
              <w:t>The possible values for this attribute are defined by the </w:t>
            </w:r>
            <w:r>
              <w:rPr>
                <w:rFonts w:ascii="Cambria" w:hAnsi="Cambria"/>
                <w:sz w:val="22"/>
              </w:rPr>
              <w:t>ST_GroupBy </w:t>
            </w:r>
            <w:r>
              <w:rPr>
                <w:sz w:val="22"/>
              </w:rPr>
              <w:t>simple type </w:t>
            </w:r>
            <w:hyperlink w:history="true" w:anchor="_bookmark860">
              <w:r>
                <w:rPr>
                  <w:sz w:val="22"/>
                </w:rPr>
                <w:t>(§18.18.38</w:t>
              </w:r>
            </w:hyperlink>
            <w:r>
              <w:rPr>
                <w:sz w:val="22"/>
              </w:rPr>
              <w:t>).</w:t>
            </w:r>
          </w:p>
        </w:tc>
      </w:tr>
      <w:tr>
        <w:trPr>
          <w:trHeight w:val="1428" w:hRule="atLeast"/>
        </w:trPr>
        <w:tc>
          <w:tcPr>
            <w:tcW w:w="2062" w:type="dxa"/>
          </w:tcPr>
          <w:p>
            <w:pPr>
              <w:pStyle w:val="TableParagraph"/>
              <w:spacing w:line="256" w:lineRule="exact" w:before="42"/>
              <w:rPr>
                <w:rFonts w:ascii="Cambria"/>
                <w:sz w:val="22"/>
              </w:rPr>
            </w:pPr>
            <w:r>
              <w:rPr>
                <w:rFonts w:ascii="Cambria"/>
                <w:sz w:val="22"/>
              </w:rPr>
              <w:t>groupInterval</w:t>
            </w:r>
          </w:p>
          <w:p>
            <w:pPr>
              <w:pStyle w:val="TableParagraph"/>
              <w:spacing w:line="267" w:lineRule="exact" w:before="0"/>
              <w:rPr>
                <w:sz w:val="22"/>
              </w:rPr>
            </w:pPr>
            <w:r>
              <w:rPr>
                <w:sz w:val="22"/>
              </w:rPr>
              <w:t>(Grouping Interval)</w:t>
            </w:r>
          </w:p>
        </w:tc>
        <w:tc>
          <w:tcPr>
            <w:tcW w:w="8250" w:type="dxa"/>
          </w:tcPr>
          <w:p>
            <w:pPr>
              <w:pStyle w:val="TableParagraph"/>
              <w:ind w:right="208"/>
              <w:rPr>
                <w:sz w:val="22"/>
              </w:rPr>
            </w:pPr>
            <w:r>
              <w:rPr>
                <w:sz w:val="22"/>
              </w:rPr>
              <w:t>Specifies the grouping interval for numeric range grouping. Specifies the number of days to group by in date range grouping.</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1"/>
              <w:rPr>
                <w:sz w:val="22"/>
              </w:rPr>
            </w:pPr>
            <w:r>
              <w:rPr>
                <w:sz w:val="22"/>
              </w:rPr>
              <w:t>datatype.</w:t>
            </w:r>
          </w:p>
        </w:tc>
      </w:tr>
      <w:tr>
        <w:trPr>
          <w:trHeight w:val="1161" w:hRule="atLeast"/>
        </w:trPr>
        <w:tc>
          <w:tcPr>
            <w:tcW w:w="2062" w:type="dxa"/>
          </w:tcPr>
          <w:p>
            <w:pPr>
              <w:pStyle w:val="TableParagraph"/>
              <w:ind w:right="501"/>
              <w:rPr>
                <w:sz w:val="22"/>
              </w:rPr>
            </w:pPr>
            <w:r>
              <w:rPr>
                <w:rFonts w:ascii="Cambria"/>
                <w:sz w:val="22"/>
              </w:rPr>
              <w:t>startDate </w:t>
            </w:r>
            <w:r>
              <w:rPr>
                <w:sz w:val="22"/>
              </w:rPr>
              <w:t>(Date Grouping Start Value)</w:t>
            </w:r>
          </w:p>
        </w:tc>
        <w:tc>
          <w:tcPr>
            <w:tcW w:w="8250" w:type="dxa"/>
          </w:tcPr>
          <w:p>
            <w:pPr>
              <w:pStyle w:val="TableParagraph"/>
              <w:rPr>
                <w:sz w:val="22"/>
              </w:rPr>
            </w:pPr>
            <w:r>
              <w:rPr>
                <w:sz w:val="22"/>
              </w:rPr>
              <w:t>Specifies the starting value for date grouping if </w:t>
            </w:r>
            <w:r>
              <w:rPr>
                <w:rFonts w:ascii="Consolas"/>
                <w:sz w:val="20"/>
              </w:rPr>
              <w:t>autoStart</w:t>
            </w:r>
            <w:r>
              <w:rPr>
                <w:rFonts w:ascii="Consolas"/>
                <w:spacing w:val="-63"/>
                <w:sz w:val="20"/>
              </w:rPr>
              <w:t> </w:t>
            </w:r>
            <w:r>
              <w:rPr>
                <w:sz w:val="22"/>
              </w:rPr>
              <w:t>is </w:t>
            </w:r>
            <w:r>
              <w:rPr>
                <w:rFonts w:ascii="Cambria"/>
                <w:sz w:val="22"/>
              </w:rPr>
              <w:t>false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dateTime</w:t>
            </w:r>
          </w:p>
          <w:p>
            <w:pPr>
              <w:pStyle w:val="TableParagraph"/>
              <w:spacing w:before="0"/>
              <w:rPr>
                <w:sz w:val="22"/>
              </w:rPr>
            </w:pPr>
            <w:r>
              <w:rPr>
                <w:sz w:val="22"/>
              </w:rPr>
              <w:t>datatype.</w:t>
            </w:r>
          </w:p>
        </w:tc>
      </w:tr>
      <w:tr>
        <w:trPr>
          <w:trHeight w:val="1161" w:hRule="atLeast"/>
        </w:trPr>
        <w:tc>
          <w:tcPr>
            <w:tcW w:w="2062" w:type="dxa"/>
          </w:tcPr>
          <w:p>
            <w:pPr>
              <w:pStyle w:val="TableParagraph"/>
              <w:ind w:right="142"/>
              <w:rPr>
                <w:sz w:val="22"/>
              </w:rPr>
            </w:pPr>
            <w:r>
              <w:rPr>
                <w:rFonts w:ascii="Cambria"/>
                <w:sz w:val="22"/>
              </w:rPr>
              <w:t>startNum </w:t>
            </w:r>
            <w:r>
              <w:rPr>
                <w:sz w:val="22"/>
              </w:rPr>
              <w:t>(Numeric Grouping Start Value)</w:t>
            </w:r>
          </w:p>
        </w:tc>
        <w:tc>
          <w:tcPr>
            <w:tcW w:w="8250" w:type="dxa"/>
          </w:tcPr>
          <w:p>
            <w:pPr>
              <w:pStyle w:val="TableParagraph"/>
              <w:rPr>
                <w:sz w:val="22"/>
              </w:rPr>
            </w:pPr>
            <w:r>
              <w:rPr>
                <w:sz w:val="22"/>
              </w:rPr>
              <w:t>Specifies the starting value for numeric grouping if </w:t>
            </w:r>
            <w:r>
              <w:rPr>
                <w:rFonts w:ascii="Consolas"/>
                <w:sz w:val="20"/>
              </w:rPr>
              <w:t>autoStart</w:t>
            </w:r>
            <w:r>
              <w:rPr>
                <w:rFonts w:ascii="Consolas"/>
                <w:spacing w:val="-66"/>
                <w:sz w:val="20"/>
              </w:rPr>
              <w:t> </w:t>
            </w:r>
            <w:r>
              <w:rPr>
                <w:sz w:val="22"/>
              </w:rPr>
              <w:t>is </w:t>
            </w:r>
            <w:r>
              <w:rPr>
                <w:rFonts w:ascii="Cambria"/>
                <w:sz w:val="22"/>
              </w:rPr>
              <w:t>false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741"/>
      </w:pPr>
      <w:r>
        <w:rPr/>
        <w:t>[</w:t>
      </w:r>
      <w:r>
        <w:rPr>
          <w:i/>
        </w:rPr>
        <w:t>Note</w:t>
      </w:r>
      <w:r>
        <w:rPr/>
        <w:t>: The W3C XML Schema definition of this element’s content model (</w:t>
      </w:r>
      <w:r>
        <w:rPr>
          <w:color w:val="5F5F5F"/>
          <w:u w:val="single" w:color="5F5F5F"/>
        </w:rPr>
        <w:t>CT_RangePr</w:t>
      </w:r>
      <w:r>
        <w:rPr/>
        <w:t>) is located in §A.2. </w:t>
      </w:r>
      <w:r>
        <w:rPr>
          <w:i/>
        </w:rPr>
        <w:t>end </w:t>
      </w:r>
      <w:r>
        <w:rPr>
          <w:i/>
        </w:rPr>
        <w:t>note</w:t>
      </w:r>
      <w:r>
        <w:rPr/>
        <w:t>]</w:t>
      </w:r>
    </w:p>
    <w:p>
      <w:pPr>
        <w:pStyle w:val="Heading3"/>
        <w:numPr>
          <w:ilvl w:val="3"/>
          <w:numId w:val="42"/>
        </w:numPr>
        <w:tabs>
          <w:tab w:pos="1732" w:val="left" w:leader="none"/>
          <w:tab w:pos="1733" w:val="left" w:leader="none"/>
        </w:tabs>
        <w:spacing w:line="240" w:lineRule="auto" w:before="197" w:after="0"/>
        <w:ind w:left="1732" w:right="0" w:hanging="1513"/>
        <w:jc w:val="left"/>
      </w:pPr>
      <w:bookmarkStart w:name="18.10.1.79 rangeSet (Range Set)" w:id="986"/>
      <w:bookmarkEnd w:id="986"/>
      <w:r>
        <w:rPr/>
      </w:r>
      <w:bookmarkStart w:name="_bookmark327" w:id="987"/>
      <w:bookmarkEnd w:id="987"/>
      <w:r>
        <w:rPr/>
      </w:r>
      <w:bookmarkStart w:name="_bookmark327" w:id="988"/>
      <w:bookmarkEnd w:id="988"/>
      <w:r>
        <w:rPr>
          <w:color w:val="4F81BC"/>
        </w:rPr>
        <w:t>ra</w:t>
      </w:r>
      <w:r>
        <w:rPr>
          <w:color w:val="4F81BC"/>
        </w:rPr>
        <w:t>ngeSet (Range Set)</w:t>
      </w:r>
    </w:p>
    <w:p>
      <w:pPr>
        <w:pStyle w:val="BodyText"/>
        <w:spacing w:line="276" w:lineRule="auto" w:before="121"/>
        <w:ind w:left="220" w:right="621"/>
      </w:pPr>
      <w:r>
        <w:rPr/>
        <w:t>Represents a single range in the </w:t>
      </w:r>
      <w:r>
        <w:rPr>
          <w:rFonts w:ascii="Cambria"/>
        </w:rPr>
        <w:t>rangeSets </w:t>
      </w:r>
      <w:r>
        <w:rPr/>
        <w:t>collection. element is intended to facilitate creating a PivotTable report by consolidating SpreadsheetML ranges that have similar categories of data to be summarized. The simplest layout for the data source is for each </w:t>
      </w:r>
      <w:r>
        <w:rPr>
          <w:rFonts w:ascii="Cambria"/>
        </w:rPr>
        <w:t>rangeSets </w:t>
      </w:r>
      <w:r>
        <w:rPr/>
        <w:t>of data to be in list-like format, with column labels in the first row, row labels in the first column, the rest of the rows having similar items in the same row and</w:t>
      </w:r>
    </w:p>
    <w:p>
      <w:pPr>
        <w:spacing w:after="0" w:line="276" w:lineRule="auto"/>
        <w:sectPr>
          <w:pgSz w:w="12240" w:h="15840"/>
          <w:pgMar w:header="761" w:footer="746" w:top="1340" w:bottom="940" w:left="860" w:right="700"/>
        </w:sectPr>
      </w:pPr>
    </w:p>
    <w:p>
      <w:pPr>
        <w:pStyle w:val="BodyText"/>
        <w:spacing w:line="276" w:lineRule="auto" w:before="148"/>
        <w:ind w:left="220" w:right="605"/>
        <w:jc w:val="both"/>
      </w:pPr>
      <w:r>
        <w:rPr/>
        <w:t>column, and no blank rows or columns within the range. A particular </w:t>
      </w:r>
      <w:r>
        <w:rPr>
          <w:rFonts w:ascii="Cambria"/>
        </w:rPr>
        <w:t>rangeSet </w:t>
      </w:r>
      <w:r>
        <w:rPr/>
        <w:t>can consist of a built-in named range that is provided by the application, a user defined named range, a range reference, or a reference to an external workbook.</w:t>
      </w:r>
    </w:p>
    <w:p>
      <w:pPr>
        <w:pStyle w:val="BodyText"/>
        <w:spacing w:before="4"/>
        <w:rPr>
          <w:sz w:val="16"/>
        </w:rPr>
      </w:pPr>
    </w:p>
    <w:p>
      <w:pPr>
        <w:pStyle w:val="BodyText"/>
        <w:spacing w:line="276" w:lineRule="auto"/>
        <w:ind w:left="220" w:right="387"/>
      </w:pPr>
      <w:r>
        <w:rPr/>
        <w:t>When multiple ranges are consolidated using this functionality, up to 4 custom report filters (also known as page fields) can be created to help filter the PivotTable report, by specifically enabling one or more of the individual ranges to be selected in the report filter. For each custom page field created, a custom label can be specified and assigned to each range participating in the consolidation range, so that the PivotTable can be filtered by one or more of the ranges being</w:t>
      </w:r>
      <w:r>
        <w:rPr>
          <w:spacing w:val="-4"/>
        </w:rPr>
        <w:t> </w:t>
      </w:r>
      <w:r>
        <w:rPr/>
        <w:t>summarized.</w:t>
      </w:r>
    </w:p>
    <w:p>
      <w:pPr>
        <w:pStyle w:val="BodyText"/>
        <w:spacing w:before="7"/>
        <w:rPr>
          <w:sz w:val="16"/>
        </w:rPr>
      </w:pPr>
    </w:p>
    <w:p>
      <w:pPr>
        <w:pStyle w:val="BodyText"/>
        <w:spacing w:before="1"/>
        <w:ind w:left="220"/>
      </w:pPr>
      <w:r>
        <w:rPr/>
        <w:t>[</w:t>
      </w:r>
      <w:r>
        <w:rPr>
          <w:i/>
        </w:rPr>
        <w:t>Example</w:t>
      </w:r>
      <w:r>
        <w:rPr/>
        <w:t>: Consider a workbook with 6 worksheets. On Sheet1 we have:</w:t>
      </w:r>
    </w:p>
    <w:p>
      <w:pPr>
        <w:pStyle w:val="BodyText"/>
        <w:spacing w:before="6"/>
        <w:rPr>
          <w:sz w:val="16"/>
        </w:rPr>
      </w:pPr>
      <w:r>
        <w:rPr/>
        <w:drawing>
          <wp:anchor distT="0" distB="0" distL="0" distR="0" allowOverlap="1" layoutInCell="1" locked="0" behindDoc="0" simplePos="0" relativeHeight="65">
            <wp:simplePos x="0" y="0"/>
            <wp:positionH relativeFrom="page">
              <wp:posOffset>685800</wp:posOffset>
            </wp:positionH>
            <wp:positionV relativeFrom="paragraph">
              <wp:posOffset>152732</wp:posOffset>
            </wp:positionV>
            <wp:extent cx="1274591" cy="647700"/>
            <wp:effectExtent l="0" t="0" r="0" b="0"/>
            <wp:wrapTopAndBottom/>
            <wp:docPr id="121" name="image60.png"/>
            <wp:cNvGraphicFramePr>
              <a:graphicFrameLocks noChangeAspect="1"/>
            </wp:cNvGraphicFramePr>
            <a:graphic>
              <a:graphicData uri="http://schemas.openxmlformats.org/drawingml/2006/picture">
                <pic:pic>
                  <pic:nvPicPr>
                    <pic:cNvPr id="122" name="image60.png"/>
                    <pic:cNvPicPr/>
                  </pic:nvPicPr>
                  <pic:blipFill>
                    <a:blip r:embed="rId161" cstate="print"/>
                    <a:stretch>
                      <a:fillRect/>
                    </a:stretch>
                  </pic:blipFill>
                  <pic:spPr>
                    <a:xfrm>
                      <a:off x="0" y="0"/>
                      <a:ext cx="1274591" cy="647700"/>
                    </a:xfrm>
                    <a:prstGeom prst="rect">
                      <a:avLst/>
                    </a:prstGeom>
                  </pic:spPr>
                </pic:pic>
              </a:graphicData>
            </a:graphic>
          </wp:anchor>
        </w:drawing>
      </w:r>
    </w:p>
    <w:p>
      <w:pPr>
        <w:pStyle w:val="BodyText"/>
        <w:spacing w:before="3"/>
        <w:rPr>
          <w:sz w:val="17"/>
        </w:rPr>
      </w:pPr>
    </w:p>
    <w:p>
      <w:pPr>
        <w:pStyle w:val="BodyText"/>
        <w:ind w:left="220"/>
      </w:pPr>
      <w:r>
        <w:rPr/>
        <w:t>On Sheet2 we have:</w:t>
      </w:r>
    </w:p>
    <w:p>
      <w:pPr>
        <w:pStyle w:val="BodyText"/>
        <w:spacing w:before="6"/>
        <w:rPr>
          <w:sz w:val="16"/>
        </w:rPr>
      </w:pPr>
      <w:r>
        <w:rPr/>
        <w:drawing>
          <wp:anchor distT="0" distB="0" distL="0" distR="0" allowOverlap="1" layoutInCell="1" locked="0" behindDoc="0" simplePos="0" relativeHeight="66">
            <wp:simplePos x="0" y="0"/>
            <wp:positionH relativeFrom="page">
              <wp:posOffset>685800</wp:posOffset>
            </wp:positionH>
            <wp:positionV relativeFrom="paragraph">
              <wp:posOffset>152862</wp:posOffset>
            </wp:positionV>
            <wp:extent cx="1312857" cy="657225"/>
            <wp:effectExtent l="0" t="0" r="0" b="0"/>
            <wp:wrapTopAndBottom/>
            <wp:docPr id="123" name="image61.png"/>
            <wp:cNvGraphicFramePr>
              <a:graphicFrameLocks noChangeAspect="1"/>
            </wp:cNvGraphicFramePr>
            <a:graphic>
              <a:graphicData uri="http://schemas.openxmlformats.org/drawingml/2006/picture">
                <pic:pic>
                  <pic:nvPicPr>
                    <pic:cNvPr id="124" name="image61.png"/>
                    <pic:cNvPicPr/>
                  </pic:nvPicPr>
                  <pic:blipFill>
                    <a:blip r:embed="rId162" cstate="print"/>
                    <a:stretch>
                      <a:fillRect/>
                    </a:stretch>
                  </pic:blipFill>
                  <pic:spPr>
                    <a:xfrm>
                      <a:off x="0" y="0"/>
                      <a:ext cx="1312857" cy="657225"/>
                    </a:xfrm>
                    <a:prstGeom prst="rect">
                      <a:avLst/>
                    </a:prstGeom>
                  </pic:spPr>
                </pic:pic>
              </a:graphicData>
            </a:graphic>
          </wp:anchor>
        </w:drawing>
      </w:r>
    </w:p>
    <w:p>
      <w:pPr>
        <w:pStyle w:val="BodyText"/>
        <w:spacing w:before="5"/>
        <w:rPr>
          <w:sz w:val="17"/>
        </w:rPr>
      </w:pPr>
    </w:p>
    <w:p>
      <w:pPr>
        <w:pStyle w:val="BodyText"/>
        <w:ind w:left="220"/>
      </w:pPr>
      <w:r>
        <w:rPr/>
        <w:t>… and so on up through Sheet5.</w:t>
      </w:r>
    </w:p>
    <w:p>
      <w:pPr>
        <w:pStyle w:val="BodyText"/>
        <w:spacing w:before="6"/>
        <w:rPr>
          <w:sz w:val="19"/>
        </w:rPr>
      </w:pPr>
    </w:p>
    <w:p>
      <w:pPr>
        <w:pStyle w:val="BodyText"/>
        <w:spacing w:line="276" w:lineRule="auto"/>
        <w:ind w:left="220" w:right="702"/>
      </w:pPr>
      <w:r>
        <w:rPr/>
        <w:t>On Sheet6, we have the consolidated ranges being summarized by a PivotTable, and two page filters exist for the PivotTable.</w:t>
      </w:r>
    </w:p>
    <w:p>
      <w:pPr>
        <w:pStyle w:val="BodyText"/>
        <w:spacing w:before="3"/>
        <w:rPr>
          <w:sz w:val="13"/>
        </w:rPr>
      </w:pPr>
      <w:r>
        <w:rPr/>
        <w:drawing>
          <wp:anchor distT="0" distB="0" distL="0" distR="0" allowOverlap="1" layoutInCell="1" locked="0" behindDoc="0" simplePos="0" relativeHeight="67">
            <wp:simplePos x="0" y="0"/>
            <wp:positionH relativeFrom="page">
              <wp:posOffset>685800</wp:posOffset>
            </wp:positionH>
            <wp:positionV relativeFrom="paragraph">
              <wp:posOffset>127567</wp:posOffset>
            </wp:positionV>
            <wp:extent cx="3989718" cy="2867025"/>
            <wp:effectExtent l="0" t="0" r="0" b="0"/>
            <wp:wrapTopAndBottom/>
            <wp:docPr id="125" name="image62.png"/>
            <wp:cNvGraphicFramePr>
              <a:graphicFrameLocks noChangeAspect="1"/>
            </wp:cNvGraphicFramePr>
            <a:graphic>
              <a:graphicData uri="http://schemas.openxmlformats.org/drawingml/2006/picture">
                <pic:pic>
                  <pic:nvPicPr>
                    <pic:cNvPr id="126" name="image62.png"/>
                    <pic:cNvPicPr/>
                  </pic:nvPicPr>
                  <pic:blipFill>
                    <a:blip r:embed="rId163" cstate="print"/>
                    <a:stretch>
                      <a:fillRect/>
                    </a:stretch>
                  </pic:blipFill>
                  <pic:spPr>
                    <a:xfrm>
                      <a:off x="0" y="0"/>
                      <a:ext cx="3989718" cy="2867025"/>
                    </a:xfrm>
                    <a:prstGeom prst="rect">
                      <a:avLst/>
                    </a:prstGeom>
                  </pic:spPr>
                </pic:pic>
              </a:graphicData>
            </a:graphic>
          </wp:anchor>
        </w:drawing>
      </w:r>
    </w:p>
    <w:p>
      <w:pPr>
        <w:spacing w:after="0"/>
        <w:rPr>
          <w:sz w:val="13"/>
        </w:rPr>
        <w:sectPr>
          <w:pgSz w:w="12240" w:h="15840"/>
          <w:pgMar w:header="763" w:footer="746" w:top="1340" w:bottom="940" w:left="860" w:right="700"/>
        </w:sectPr>
      </w:pPr>
    </w:p>
    <w:p>
      <w:pPr>
        <w:pStyle w:val="BodyText"/>
        <w:spacing w:line="276" w:lineRule="auto" w:before="90"/>
        <w:ind w:left="220" w:right="570"/>
        <w:jc w:val="both"/>
      </w:pPr>
      <w:r>
        <w:rPr/>
        <w:t>Notice that for the second page filter, the items have been assigned a custom label, "one", "two", …, "five", for each of Sheet1, Sheet2, …, Sheet5 data sources, respectively. Similarly, the items have been assigned a custom label, "1", "2", …, "5" for each of Sheet1, Sheet2, …, Shet5 data sources, respectively.</w:t>
      </w:r>
    </w:p>
    <w:p>
      <w:pPr>
        <w:pStyle w:val="BodyText"/>
        <w:spacing w:before="7"/>
        <w:rPr>
          <w:sz w:val="16"/>
        </w:rPr>
      </w:pPr>
    </w:p>
    <w:p>
      <w:pPr>
        <w:pStyle w:val="BodyText"/>
        <w:ind w:left="220"/>
        <w:jc w:val="both"/>
      </w:pPr>
      <w:r>
        <w:rPr/>
        <w:t>The XML representing these custom page filters must be like the following:</w:t>
      </w:r>
    </w:p>
    <w:p>
      <w:pPr>
        <w:pStyle w:val="BodyText"/>
        <w:spacing w:before="8"/>
        <w:rPr>
          <w:sz w:val="19"/>
        </w:rPr>
      </w:pPr>
    </w:p>
    <w:p>
      <w:pPr>
        <w:pStyle w:val="BodyText"/>
        <w:ind w:left="508"/>
        <w:rPr>
          <w:rFonts w:ascii="Consolas"/>
        </w:rPr>
      </w:pPr>
      <w:r>
        <w:rPr>
          <w:rFonts w:ascii="Consolas"/>
        </w:rPr>
        <w:t>&lt;cacheSource type="consolidation"&gt;</w:t>
      </w:r>
    </w:p>
    <w:p>
      <w:pPr>
        <w:pStyle w:val="BodyText"/>
        <w:spacing w:before="40"/>
        <w:ind w:left="750"/>
        <w:rPr>
          <w:rFonts w:ascii="Consolas"/>
        </w:rPr>
      </w:pPr>
      <w:r>
        <w:rPr>
          <w:rFonts w:ascii="Consolas"/>
        </w:rPr>
        <w:t>&lt;consolidation autoPage="0"&gt;</w:t>
      </w:r>
    </w:p>
    <w:p>
      <w:pPr>
        <w:pStyle w:val="BodyText"/>
        <w:spacing w:before="38"/>
        <w:ind w:left="993"/>
        <w:rPr>
          <w:rFonts w:ascii="Consolas"/>
        </w:rPr>
      </w:pPr>
      <w:r>
        <w:rPr>
          <w:rFonts w:ascii="Consolas"/>
        </w:rPr>
        <w:t>&lt;pages count="2"&gt;</w:t>
      </w:r>
    </w:p>
    <w:p>
      <w:pPr>
        <w:pStyle w:val="BodyText"/>
        <w:spacing w:before="40"/>
        <w:ind w:left="1235"/>
        <w:rPr>
          <w:rFonts w:ascii="Consolas"/>
        </w:rPr>
      </w:pPr>
      <w:r>
        <w:rPr>
          <w:rFonts w:ascii="Consolas"/>
        </w:rPr>
        <w:t>&lt;page count="5"&gt;</w:t>
      </w:r>
    </w:p>
    <w:p>
      <w:pPr>
        <w:pStyle w:val="BodyText"/>
        <w:spacing w:before="37"/>
        <w:ind w:left="1478"/>
        <w:rPr>
          <w:rFonts w:ascii="Consolas"/>
        </w:rPr>
      </w:pPr>
      <w:r>
        <w:rPr>
          <w:rFonts w:ascii="Consolas"/>
        </w:rPr>
        <w:t>&lt;pageItem</w:t>
      </w:r>
      <w:r>
        <w:rPr>
          <w:rFonts w:ascii="Consolas"/>
          <w:spacing w:val="-15"/>
        </w:rPr>
        <w:t> </w:t>
      </w:r>
      <w:r>
        <w:rPr>
          <w:rFonts w:ascii="Consolas"/>
        </w:rPr>
        <w:t>name="1"/&gt;</w:t>
      </w:r>
    </w:p>
    <w:p>
      <w:pPr>
        <w:pStyle w:val="BodyText"/>
        <w:spacing w:before="40"/>
        <w:ind w:left="1478"/>
        <w:rPr>
          <w:rFonts w:ascii="Consolas"/>
        </w:rPr>
      </w:pPr>
      <w:r>
        <w:rPr>
          <w:rFonts w:ascii="Consolas"/>
        </w:rPr>
        <w:t>&lt;pageItem</w:t>
      </w:r>
      <w:r>
        <w:rPr>
          <w:rFonts w:ascii="Consolas"/>
          <w:spacing w:val="-15"/>
        </w:rPr>
        <w:t> </w:t>
      </w:r>
      <w:r>
        <w:rPr>
          <w:rFonts w:ascii="Consolas"/>
        </w:rPr>
        <w:t>name="2"/&gt;</w:t>
      </w:r>
    </w:p>
    <w:p>
      <w:pPr>
        <w:pStyle w:val="BodyText"/>
        <w:spacing w:before="38"/>
        <w:ind w:left="1478"/>
        <w:rPr>
          <w:rFonts w:ascii="Consolas"/>
        </w:rPr>
      </w:pPr>
      <w:r>
        <w:rPr>
          <w:rFonts w:ascii="Consolas"/>
        </w:rPr>
        <w:t>&lt;pageItem</w:t>
      </w:r>
      <w:r>
        <w:rPr>
          <w:rFonts w:ascii="Consolas"/>
          <w:spacing w:val="-15"/>
        </w:rPr>
        <w:t> </w:t>
      </w:r>
      <w:r>
        <w:rPr>
          <w:rFonts w:ascii="Consolas"/>
        </w:rPr>
        <w:t>name="3"/&gt;</w:t>
      </w:r>
    </w:p>
    <w:p>
      <w:pPr>
        <w:pStyle w:val="BodyText"/>
        <w:spacing w:before="38"/>
        <w:ind w:left="1478"/>
        <w:rPr>
          <w:rFonts w:ascii="Consolas"/>
        </w:rPr>
      </w:pPr>
      <w:r>
        <w:rPr>
          <w:rFonts w:ascii="Consolas"/>
        </w:rPr>
        <w:t>&lt;pageItem</w:t>
      </w:r>
      <w:r>
        <w:rPr>
          <w:rFonts w:ascii="Consolas"/>
          <w:spacing w:val="-15"/>
        </w:rPr>
        <w:t> </w:t>
      </w:r>
      <w:r>
        <w:rPr>
          <w:rFonts w:ascii="Consolas"/>
        </w:rPr>
        <w:t>name="4"/&gt;</w:t>
      </w:r>
    </w:p>
    <w:p>
      <w:pPr>
        <w:pStyle w:val="BodyText"/>
        <w:spacing w:before="40"/>
        <w:ind w:left="1478"/>
        <w:rPr>
          <w:rFonts w:ascii="Consolas"/>
        </w:rPr>
      </w:pPr>
      <w:r>
        <w:rPr>
          <w:rFonts w:ascii="Consolas"/>
        </w:rPr>
        <w:t>&lt;pageItem</w:t>
      </w:r>
      <w:r>
        <w:rPr>
          <w:rFonts w:ascii="Consolas"/>
          <w:spacing w:val="-15"/>
        </w:rPr>
        <w:t> </w:t>
      </w:r>
      <w:r>
        <w:rPr>
          <w:rFonts w:ascii="Consolas"/>
        </w:rPr>
        <w:t>name="5"/&gt;</w:t>
      </w:r>
    </w:p>
    <w:p>
      <w:pPr>
        <w:pStyle w:val="BodyText"/>
        <w:spacing w:before="38"/>
        <w:ind w:left="1235"/>
        <w:rPr>
          <w:rFonts w:ascii="Consolas"/>
        </w:rPr>
      </w:pPr>
      <w:r>
        <w:rPr>
          <w:rFonts w:ascii="Consolas"/>
        </w:rPr>
        <w:t>&lt;/page&gt;</w:t>
      </w:r>
    </w:p>
    <w:p>
      <w:pPr>
        <w:pStyle w:val="BodyText"/>
        <w:spacing w:before="40"/>
        <w:ind w:left="1235"/>
        <w:rPr>
          <w:rFonts w:ascii="Consolas"/>
        </w:rPr>
      </w:pPr>
      <w:r>
        <w:rPr>
          <w:rFonts w:ascii="Consolas"/>
        </w:rPr>
        <w:t>&lt;page count="5"&gt;</w:t>
      </w:r>
    </w:p>
    <w:p>
      <w:pPr>
        <w:pStyle w:val="BodyText"/>
        <w:spacing w:before="37"/>
        <w:ind w:left="1478"/>
        <w:rPr>
          <w:rFonts w:ascii="Consolas"/>
        </w:rPr>
      </w:pPr>
      <w:r>
        <w:rPr>
          <w:rFonts w:ascii="Consolas"/>
        </w:rPr>
        <w:t>&lt;pageItem</w:t>
      </w:r>
      <w:r>
        <w:rPr>
          <w:rFonts w:ascii="Consolas"/>
          <w:spacing w:val="-16"/>
        </w:rPr>
        <w:t> </w:t>
      </w:r>
      <w:r>
        <w:rPr>
          <w:rFonts w:ascii="Consolas"/>
        </w:rPr>
        <w:t>name="one"/&gt;</w:t>
      </w:r>
    </w:p>
    <w:p>
      <w:pPr>
        <w:pStyle w:val="BodyText"/>
        <w:spacing w:before="40"/>
        <w:ind w:left="1478"/>
        <w:rPr>
          <w:rFonts w:ascii="Consolas"/>
        </w:rPr>
      </w:pPr>
      <w:r>
        <w:rPr>
          <w:rFonts w:ascii="Consolas"/>
        </w:rPr>
        <w:t>&lt;pageItem</w:t>
      </w:r>
      <w:r>
        <w:rPr>
          <w:rFonts w:ascii="Consolas"/>
          <w:spacing w:val="-16"/>
        </w:rPr>
        <w:t> </w:t>
      </w:r>
      <w:r>
        <w:rPr>
          <w:rFonts w:ascii="Consolas"/>
        </w:rPr>
        <w:t>name="two"/&gt;</w:t>
      </w:r>
    </w:p>
    <w:p>
      <w:pPr>
        <w:pStyle w:val="BodyText"/>
        <w:spacing w:before="38"/>
        <w:ind w:left="1478"/>
        <w:rPr>
          <w:rFonts w:ascii="Consolas"/>
        </w:rPr>
      </w:pPr>
      <w:r>
        <w:rPr>
          <w:rFonts w:ascii="Consolas"/>
        </w:rPr>
        <w:t>&lt;pageItem name="three"/&gt;</w:t>
      </w:r>
    </w:p>
    <w:p>
      <w:pPr>
        <w:pStyle w:val="BodyText"/>
        <w:spacing w:before="37"/>
        <w:ind w:left="1478"/>
        <w:rPr>
          <w:rFonts w:ascii="Consolas"/>
        </w:rPr>
      </w:pPr>
      <w:r>
        <w:rPr>
          <w:rFonts w:ascii="Consolas"/>
        </w:rPr>
        <w:t>&lt;pageItem</w:t>
      </w:r>
      <w:r>
        <w:rPr>
          <w:rFonts w:ascii="Consolas"/>
          <w:spacing w:val="-18"/>
        </w:rPr>
        <w:t> </w:t>
      </w:r>
      <w:r>
        <w:rPr>
          <w:rFonts w:ascii="Consolas"/>
        </w:rPr>
        <w:t>name="four"/&gt;</w:t>
      </w:r>
    </w:p>
    <w:p>
      <w:pPr>
        <w:pStyle w:val="BodyText"/>
        <w:spacing w:before="40"/>
        <w:ind w:left="1478"/>
        <w:rPr>
          <w:rFonts w:ascii="Consolas"/>
        </w:rPr>
      </w:pPr>
      <w:r>
        <w:rPr>
          <w:rFonts w:ascii="Consolas"/>
        </w:rPr>
        <w:t>&lt;pageItem</w:t>
      </w:r>
      <w:r>
        <w:rPr>
          <w:rFonts w:ascii="Consolas"/>
          <w:spacing w:val="-18"/>
        </w:rPr>
        <w:t> </w:t>
      </w:r>
      <w:r>
        <w:rPr>
          <w:rFonts w:ascii="Consolas"/>
        </w:rPr>
        <w:t>name="five"/&gt;</w:t>
      </w:r>
    </w:p>
    <w:p>
      <w:pPr>
        <w:pStyle w:val="BodyText"/>
        <w:spacing w:before="38"/>
        <w:ind w:left="1235"/>
        <w:rPr>
          <w:rFonts w:ascii="Consolas"/>
        </w:rPr>
      </w:pPr>
      <w:r>
        <w:rPr>
          <w:rFonts w:ascii="Consolas"/>
        </w:rPr>
        <w:t>&lt;/page&gt;</w:t>
      </w:r>
    </w:p>
    <w:p>
      <w:pPr>
        <w:pStyle w:val="BodyText"/>
        <w:spacing w:before="40"/>
        <w:ind w:left="993"/>
        <w:rPr>
          <w:rFonts w:ascii="Consolas"/>
        </w:rPr>
      </w:pPr>
      <w:r>
        <w:rPr>
          <w:rFonts w:ascii="Consolas"/>
        </w:rPr>
        <w:t>&lt;/pages&gt;</w:t>
      </w:r>
    </w:p>
    <w:p>
      <w:pPr>
        <w:pStyle w:val="BodyText"/>
        <w:spacing w:before="38"/>
        <w:ind w:left="993"/>
        <w:rPr>
          <w:rFonts w:ascii="Consolas"/>
        </w:rPr>
      </w:pPr>
      <w:r>
        <w:rPr>
          <w:rFonts w:ascii="Consolas"/>
        </w:rPr>
        <w:t>&lt;rangeSets count="5"&gt;</w:t>
      </w:r>
    </w:p>
    <w:p>
      <w:pPr>
        <w:pStyle w:val="BodyText"/>
        <w:spacing w:before="40"/>
        <w:ind w:left="1235"/>
        <w:rPr>
          <w:rFonts w:ascii="Consolas"/>
        </w:rPr>
      </w:pPr>
      <w:r>
        <w:rPr>
          <w:rFonts w:ascii="Consolas"/>
        </w:rPr>
        <w:t>&lt;rangeSet i1="0" i2="0" ref="A1:B3"</w:t>
      </w:r>
      <w:r>
        <w:rPr>
          <w:rFonts w:ascii="Consolas"/>
          <w:spacing w:val="-37"/>
        </w:rPr>
        <w:t> </w:t>
      </w:r>
      <w:r>
        <w:rPr>
          <w:rFonts w:ascii="Consolas"/>
        </w:rPr>
        <w:t>sheet="Sheet1"/&gt;</w:t>
      </w:r>
    </w:p>
    <w:p>
      <w:pPr>
        <w:pStyle w:val="BodyText"/>
        <w:spacing w:before="38"/>
        <w:ind w:left="1235"/>
        <w:rPr>
          <w:rFonts w:ascii="Consolas"/>
        </w:rPr>
      </w:pPr>
      <w:r>
        <w:rPr>
          <w:rFonts w:ascii="Consolas"/>
        </w:rPr>
        <w:t>&lt;rangeSet i1="1" i2="1" ref="A1:B3"</w:t>
      </w:r>
      <w:r>
        <w:rPr>
          <w:rFonts w:ascii="Consolas"/>
          <w:spacing w:val="-37"/>
        </w:rPr>
        <w:t> </w:t>
      </w:r>
      <w:r>
        <w:rPr>
          <w:rFonts w:ascii="Consolas"/>
        </w:rPr>
        <w:t>sheet="Sheet2"/&gt;</w:t>
      </w:r>
    </w:p>
    <w:p>
      <w:pPr>
        <w:pStyle w:val="BodyText"/>
        <w:spacing w:before="37"/>
        <w:ind w:left="1235"/>
        <w:rPr>
          <w:rFonts w:ascii="Consolas"/>
        </w:rPr>
      </w:pPr>
      <w:r>
        <w:rPr>
          <w:rFonts w:ascii="Consolas"/>
        </w:rPr>
        <w:t>&lt;rangeSet i1="2" i2="2" ref="A1:B3"</w:t>
      </w:r>
      <w:r>
        <w:rPr>
          <w:rFonts w:ascii="Consolas"/>
          <w:spacing w:val="-37"/>
        </w:rPr>
        <w:t> </w:t>
      </w:r>
      <w:r>
        <w:rPr>
          <w:rFonts w:ascii="Consolas"/>
        </w:rPr>
        <w:t>sheet="Sheet3"/&gt;</w:t>
      </w:r>
    </w:p>
    <w:p>
      <w:pPr>
        <w:pStyle w:val="BodyText"/>
        <w:spacing w:before="40"/>
        <w:ind w:left="1235"/>
        <w:rPr>
          <w:rFonts w:ascii="Consolas"/>
        </w:rPr>
      </w:pPr>
      <w:r>
        <w:rPr>
          <w:rFonts w:ascii="Consolas"/>
        </w:rPr>
        <w:t>&lt;rangeSet i1="3" i2="3" ref="A1:B3"</w:t>
      </w:r>
      <w:r>
        <w:rPr>
          <w:rFonts w:ascii="Consolas"/>
          <w:spacing w:val="-37"/>
        </w:rPr>
        <w:t> </w:t>
      </w:r>
      <w:r>
        <w:rPr>
          <w:rFonts w:ascii="Consolas"/>
        </w:rPr>
        <w:t>sheet="Sheet4"/&gt;</w:t>
      </w:r>
    </w:p>
    <w:p>
      <w:pPr>
        <w:pStyle w:val="BodyText"/>
        <w:spacing w:before="38"/>
        <w:ind w:left="1235"/>
        <w:rPr>
          <w:rFonts w:ascii="Consolas"/>
        </w:rPr>
      </w:pPr>
      <w:r>
        <w:rPr>
          <w:rFonts w:ascii="Consolas"/>
        </w:rPr>
        <w:t>&lt;rangeSet i1="4" i2="4" ref="A1:B3"</w:t>
      </w:r>
      <w:r>
        <w:rPr>
          <w:rFonts w:ascii="Consolas"/>
          <w:spacing w:val="-37"/>
        </w:rPr>
        <w:t> </w:t>
      </w:r>
      <w:r>
        <w:rPr>
          <w:rFonts w:ascii="Consolas"/>
        </w:rPr>
        <w:t>sheet="Sheet5"/&gt;</w:t>
      </w:r>
    </w:p>
    <w:p>
      <w:pPr>
        <w:pStyle w:val="BodyText"/>
        <w:spacing w:before="40"/>
        <w:ind w:left="165" w:right="7407"/>
        <w:jc w:val="center"/>
        <w:rPr>
          <w:rFonts w:ascii="Consolas"/>
        </w:rPr>
      </w:pPr>
      <w:r>
        <w:rPr>
          <w:rFonts w:ascii="Consolas"/>
        </w:rPr>
        <w:t>&lt;/rangeSets&gt;</w:t>
      </w:r>
    </w:p>
    <w:p>
      <w:pPr>
        <w:pStyle w:val="BodyText"/>
        <w:spacing w:before="37"/>
        <w:ind w:left="165" w:right="7408"/>
        <w:jc w:val="center"/>
        <w:rPr>
          <w:rFonts w:ascii="Consolas"/>
        </w:rPr>
      </w:pPr>
      <w:r>
        <w:rPr>
          <w:rFonts w:ascii="Consolas"/>
        </w:rPr>
        <w:t>&lt;/consolidation&gt;</w:t>
      </w:r>
    </w:p>
    <w:p>
      <w:pPr>
        <w:pStyle w:val="BodyText"/>
        <w:spacing w:before="40"/>
        <w:ind w:left="165" w:right="8132"/>
        <w:jc w:val="center"/>
        <w:rPr>
          <w:rFonts w:ascii="Consolas"/>
        </w:rPr>
      </w:pPr>
      <w:r>
        <w:rPr>
          <w:rFonts w:ascii="Consolas"/>
        </w:rPr>
        <w:t>&lt;/cacheSource&gt;</w:t>
      </w:r>
    </w:p>
    <w:p>
      <w:pPr>
        <w:pStyle w:val="BodyText"/>
        <w:spacing w:before="3"/>
        <w:rPr>
          <w:rFonts w:ascii="Consolas"/>
          <w:sz w:val="20"/>
        </w:rPr>
      </w:pPr>
    </w:p>
    <w:p>
      <w:pPr>
        <w:spacing w:before="0"/>
        <w:ind w:left="220" w:right="0" w:firstLine="0"/>
        <w:jc w:val="both"/>
        <w:rPr>
          <w:sz w:val="22"/>
        </w:rPr>
      </w:pPr>
      <w:r>
        <w:rPr>
          <w:i/>
          <w:sz w:val="22"/>
        </w:rPr>
        <w:t>end example</w:t>
      </w:r>
      <w:r>
        <w:rPr>
          <w:sz w:val="22"/>
        </w:rPr>
        <w:t>]</w:t>
      </w:r>
    </w:p>
    <w:p>
      <w:pPr>
        <w:pStyle w:val="BodyText"/>
        <w:spacing w:before="6"/>
        <w:rPr>
          <w:sz w:val="19"/>
        </w:rPr>
      </w:pPr>
    </w:p>
    <w:p>
      <w:pPr>
        <w:pStyle w:val="BodyText"/>
        <w:spacing w:line="278" w:lineRule="auto"/>
        <w:ind w:left="220" w:right="689"/>
      </w:pPr>
      <w:r>
        <w:rPr/>
        <w:t>[</w:t>
      </w:r>
      <w:r>
        <w:rPr>
          <w:i/>
        </w:rPr>
        <w:t>Note</w:t>
      </w:r>
      <w:r>
        <w:rPr/>
        <w:t>: Attributes i1, i2, i3, and i4 correspond to custom page fields created in the user interface. Spreadsheet ML only supports 4 custom page fields. </w:t>
      </w:r>
      <w:r>
        <w:rPr>
          <w:i/>
        </w:rPr>
        <w:t>end note</w:t>
      </w:r>
      <w:r>
        <w:rPr/>
        <w:t>]</w:t>
      </w:r>
    </w:p>
    <w:p>
      <w:pPr>
        <w:pStyle w:val="BodyText"/>
        <w:spacing w:before="4"/>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86"/>
              <w:rPr>
                <w:sz w:val="22"/>
              </w:rPr>
            </w:pPr>
            <w:r>
              <w:rPr>
                <w:rFonts w:ascii="Cambria"/>
                <w:sz w:val="22"/>
              </w:rPr>
              <w:t>i1 </w:t>
            </w:r>
            <w:r>
              <w:rPr>
                <w:sz w:val="22"/>
              </w:rPr>
              <w:t>(Field Item Index Page 1)</w:t>
            </w:r>
          </w:p>
        </w:tc>
        <w:tc>
          <w:tcPr>
            <w:tcW w:w="8250" w:type="dxa"/>
          </w:tcPr>
          <w:p>
            <w:pPr>
              <w:pStyle w:val="TableParagraph"/>
              <w:rPr>
                <w:sz w:val="22"/>
              </w:rPr>
            </w:pPr>
            <w:r>
              <w:rPr>
                <w:sz w:val="22"/>
              </w:rPr>
              <w:t>Specifies the index of a page field item in page filter one.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footerReference w:type="even" r:id="rId164"/>
          <w:footerReference w:type="default" r:id="rId165"/>
          <w:pgSz w:w="12240" w:h="15840"/>
          <w:pgMar w:footer="746" w:header="761" w:top="1340" w:bottom="940" w:left="860" w:right="700"/>
          <w:pgNumType w:start="194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186"/>
              <w:rPr>
                <w:sz w:val="22"/>
              </w:rPr>
            </w:pPr>
            <w:r>
              <w:rPr>
                <w:rFonts w:ascii="Cambria"/>
                <w:sz w:val="22"/>
              </w:rPr>
              <w:t>i2 </w:t>
            </w:r>
            <w:r>
              <w:rPr>
                <w:sz w:val="22"/>
              </w:rPr>
              <w:t>(Field Item Index Page 2)</w:t>
            </w:r>
          </w:p>
        </w:tc>
        <w:tc>
          <w:tcPr>
            <w:tcW w:w="8250" w:type="dxa"/>
          </w:tcPr>
          <w:p>
            <w:pPr>
              <w:pStyle w:val="TableParagraph"/>
              <w:rPr>
                <w:sz w:val="22"/>
              </w:rPr>
            </w:pPr>
            <w:r>
              <w:rPr>
                <w:sz w:val="22"/>
              </w:rPr>
              <w:t>Specifies the index of a page field item in page filter two.</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191"/>
              <w:rPr>
                <w:sz w:val="22"/>
              </w:rPr>
            </w:pPr>
            <w:r>
              <w:rPr>
                <w:rFonts w:ascii="Cambria"/>
                <w:sz w:val="22"/>
              </w:rPr>
              <w:t>i3 </w:t>
            </w:r>
            <w:r>
              <w:rPr>
                <w:sz w:val="22"/>
              </w:rPr>
              <w:t>(Field Item index Page 3)</w:t>
            </w:r>
          </w:p>
        </w:tc>
        <w:tc>
          <w:tcPr>
            <w:tcW w:w="8250" w:type="dxa"/>
          </w:tcPr>
          <w:p>
            <w:pPr>
              <w:pStyle w:val="TableParagraph"/>
              <w:rPr>
                <w:sz w:val="22"/>
              </w:rPr>
            </w:pPr>
            <w:r>
              <w:rPr>
                <w:sz w:val="22"/>
              </w:rPr>
              <w:t>Specifies the index of a page field item in page filter three.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186"/>
              <w:rPr>
                <w:sz w:val="22"/>
              </w:rPr>
            </w:pPr>
            <w:r>
              <w:rPr>
                <w:rFonts w:ascii="Cambria"/>
                <w:sz w:val="22"/>
              </w:rPr>
              <w:t>i4 </w:t>
            </w:r>
            <w:r>
              <w:rPr>
                <w:sz w:val="22"/>
              </w:rPr>
              <w:t>(Field Item Index Page 4)</w:t>
            </w:r>
          </w:p>
        </w:tc>
        <w:tc>
          <w:tcPr>
            <w:tcW w:w="8250" w:type="dxa"/>
          </w:tcPr>
          <w:p>
            <w:pPr>
              <w:pStyle w:val="TableParagraph"/>
              <w:rPr>
                <w:sz w:val="22"/>
              </w:rPr>
            </w:pPr>
            <w:r>
              <w:rPr>
                <w:sz w:val="22"/>
              </w:rPr>
              <w:t>Specifies the index of a page field item in page filter four.</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921" w:hRule="atLeast"/>
        </w:trPr>
        <w:tc>
          <w:tcPr>
            <w:tcW w:w="2062" w:type="dxa"/>
          </w:tcPr>
          <w:p>
            <w:pPr>
              <w:pStyle w:val="TableParagraph"/>
              <w:rPr>
                <w:sz w:val="22"/>
              </w:rPr>
            </w:pPr>
            <w:r>
              <w:rPr>
                <w:rFonts w:ascii="Cambria"/>
                <w:sz w:val="22"/>
              </w:rPr>
              <w:t>id </w:t>
            </w:r>
            <w:r>
              <w:rPr>
                <w:sz w:val="22"/>
              </w:rPr>
              <w:t>(Relationship Id)</w:t>
            </w:r>
          </w:p>
          <w:p>
            <w:pPr>
              <w:pStyle w:val="TableParagraph"/>
              <w:spacing w:before="10"/>
              <w:ind w:left="0"/>
              <w:rPr>
                <w:sz w:val="21"/>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ind w:right="359"/>
              <w:rPr>
                <w:sz w:val="22"/>
              </w:rPr>
            </w:pPr>
            <w:r>
              <w:rPr>
                <w:sz w:val="22"/>
              </w:rPr>
              <w:t>Specifies the unique identifier of the Workbook part where the range set is stored. See Workbook (</w:t>
            </w:r>
            <w:hyperlink w:history="true" w:anchor="_bookmark0">
              <w:r>
                <w:rPr>
                  <w:sz w:val="22"/>
                </w:rPr>
                <w:t>§18.2</w:t>
              </w:r>
            </w:hyperlink>
            <w:r>
              <w:rPr>
                <w:sz w:val="22"/>
              </w:rPr>
              <w:t>) for more information.</w:t>
            </w:r>
          </w:p>
          <w:p>
            <w:pPr>
              <w:pStyle w:val="TableParagraph"/>
              <w:spacing w:before="10"/>
              <w:ind w:left="0"/>
              <w:rPr>
                <w:sz w:val="21"/>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161" w:hRule="atLeast"/>
        </w:trPr>
        <w:tc>
          <w:tcPr>
            <w:tcW w:w="2062" w:type="dxa"/>
          </w:tcPr>
          <w:p>
            <w:pPr>
              <w:pStyle w:val="TableParagraph"/>
              <w:ind w:right="633"/>
              <w:rPr>
                <w:sz w:val="22"/>
              </w:rPr>
            </w:pPr>
            <w:r>
              <w:rPr>
                <w:rFonts w:ascii="Cambria"/>
                <w:sz w:val="22"/>
              </w:rPr>
              <w:t>name </w:t>
            </w:r>
            <w:r>
              <w:rPr>
                <w:sz w:val="22"/>
              </w:rPr>
              <w:t>(Named Range)</w:t>
            </w:r>
          </w:p>
        </w:tc>
        <w:tc>
          <w:tcPr>
            <w:tcW w:w="8250" w:type="dxa"/>
          </w:tcPr>
          <w:p>
            <w:pPr>
              <w:pStyle w:val="TableParagraph"/>
              <w:rPr>
                <w:sz w:val="22"/>
              </w:rPr>
            </w:pPr>
            <w:r>
              <w:rPr>
                <w:sz w:val="22"/>
              </w:rPr>
              <w:t>Specifies the named range.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0"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rPr>
                <w:sz w:val="22"/>
              </w:rPr>
            </w:pPr>
            <w:r>
              <w:rPr>
                <w:sz w:val="22"/>
              </w:rPr>
              <w:t>Specifies the cell range.</w:t>
            </w:r>
          </w:p>
          <w:p>
            <w:pPr>
              <w:pStyle w:val="TableParagraph"/>
              <w:spacing w:before="0"/>
              <w:ind w:left="0"/>
              <w:rPr>
                <w:sz w:val="22"/>
              </w:rPr>
            </w:pPr>
          </w:p>
          <w:p>
            <w:pPr>
              <w:pStyle w:val="TableParagraph"/>
              <w:spacing w:before="1"/>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61" w:hRule="atLeast"/>
        </w:trPr>
        <w:tc>
          <w:tcPr>
            <w:tcW w:w="2062" w:type="dxa"/>
          </w:tcPr>
          <w:p>
            <w:pPr>
              <w:pStyle w:val="TableParagraph"/>
              <w:spacing w:before="42"/>
              <w:rPr>
                <w:sz w:val="22"/>
              </w:rPr>
            </w:pPr>
            <w:r>
              <w:rPr>
                <w:rFonts w:ascii="Cambria"/>
                <w:sz w:val="22"/>
              </w:rPr>
              <w:t>sheet </w:t>
            </w:r>
            <w:r>
              <w:rPr>
                <w:sz w:val="22"/>
              </w:rPr>
              <w:t>(Sheet Name)</w:t>
            </w:r>
          </w:p>
        </w:tc>
        <w:tc>
          <w:tcPr>
            <w:tcW w:w="8250" w:type="dxa"/>
          </w:tcPr>
          <w:p>
            <w:pPr>
              <w:pStyle w:val="TableParagraph"/>
              <w:spacing w:before="42"/>
              <w:rPr>
                <w:sz w:val="22"/>
              </w:rPr>
            </w:pPr>
            <w:r>
              <w:rPr>
                <w:sz w:val="22"/>
              </w:rPr>
              <w:t>Specifies the sheet name.</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8" w:lineRule="auto" w:before="56"/>
        <w:ind w:left="220" w:right="647"/>
      </w:pPr>
      <w:r>
        <w:rPr/>
        <w:t>[</w:t>
      </w:r>
      <w:r>
        <w:rPr>
          <w:i/>
        </w:rPr>
        <w:t>Note</w:t>
      </w:r>
      <w:r>
        <w:rPr/>
        <w:t>: The W3C XML Schema definition of this element’s content model (</w:t>
      </w:r>
      <w:r>
        <w:rPr>
          <w:color w:val="5F5F5F"/>
          <w:u w:val="single" w:color="5F5F5F"/>
        </w:rPr>
        <w:t>CT_RangeSet</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80 rangeSets (Range Sets)" w:id="989"/>
      <w:bookmarkEnd w:id="989"/>
      <w:r>
        <w:rPr/>
      </w:r>
      <w:bookmarkStart w:name="_bookmark328" w:id="990"/>
      <w:bookmarkEnd w:id="990"/>
      <w:r>
        <w:rPr/>
      </w:r>
      <w:bookmarkStart w:name="_bookmark328" w:id="991"/>
      <w:bookmarkEnd w:id="991"/>
      <w:r>
        <w:rPr>
          <w:color w:val="4F81BC"/>
        </w:rPr>
        <w:t>ra</w:t>
      </w:r>
      <w:r>
        <w:rPr>
          <w:color w:val="4F81BC"/>
        </w:rPr>
        <w:t>ngeSets (Range</w:t>
      </w:r>
      <w:r>
        <w:rPr>
          <w:color w:val="4F81BC"/>
          <w:spacing w:val="-1"/>
        </w:rPr>
        <w:t> </w:t>
      </w:r>
      <w:r>
        <w:rPr>
          <w:color w:val="4F81BC"/>
        </w:rPr>
        <w:t>Sets)</w:t>
      </w:r>
    </w:p>
    <w:p>
      <w:pPr>
        <w:pStyle w:val="BodyText"/>
        <w:spacing w:before="122"/>
        <w:ind w:left="220"/>
      </w:pPr>
      <w:r>
        <w:rPr/>
        <w:t>Represents the collection of reference-page items pairs.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59"/>
              <w:rPr>
                <w:sz w:val="22"/>
              </w:rPr>
            </w:pPr>
            <w:r>
              <w:rPr>
                <w:rFonts w:ascii="Cambria"/>
                <w:sz w:val="22"/>
              </w:rPr>
              <w:t>count </w:t>
            </w:r>
            <w:r>
              <w:rPr>
                <w:sz w:val="22"/>
              </w:rPr>
              <w:t>(Reference and Page Item Count)</w:t>
            </w:r>
          </w:p>
        </w:tc>
        <w:tc>
          <w:tcPr>
            <w:tcW w:w="8250" w:type="dxa"/>
          </w:tcPr>
          <w:p>
            <w:pPr>
              <w:pStyle w:val="TableParagraph"/>
              <w:rPr>
                <w:sz w:val="22"/>
              </w:rPr>
            </w:pPr>
            <w:r>
              <w:rPr>
                <w:sz w:val="22"/>
              </w:rPr>
              <w:t>Specifies the number of reference and page items.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rPr>
          <w:sz w:val="20"/>
        </w:rPr>
      </w:pPr>
    </w:p>
    <w:p>
      <w:pPr>
        <w:pStyle w:val="BodyText"/>
        <w:spacing w:before="6"/>
        <w:rPr>
          <w:sz w:val="24"/>
        </w:rPr>
      </w:pPr>
    </w:p>
    <w:p>
      <w:pPr>
        <w:pStyle w:val="BodyText"/>
        <w:spacing w:line="278" w:lineRule="auto" w:before="56"/>
        <w:ind w:left="220" w:right="561"/>
      </w:pPr>
      <w:r>
        <w:rPr/>
        <w:t>[</w:t>
      </w:r>
      <w:r>
        <w:rPr>
          <w:i/>
        </w:rPr>
        <w:t>Note</w:t>
      </w:r>
      <w:r>
        <w:rPr/>
        <w:t>: The W3C XML Schema definition of this element’s content model (</w:t>
      </w:r>
      <w:r>
        <w:rPr>
          <w:color w:val="5F5F5F"/>
          <w:u w:val="single" w:color="5F5F5F"/>
        </w:rPr>
        <w:t>CT_RangeSets</w:t>
      </w:r>
      <w:r>
        <w:rPr/>
        <w:t>) is located in §A.2. </w:t>
      </w:r>
      <w:r>
        <w:rPr>
          <w:i/>
        </w:rPr>
        <w:t>end </w:t>
      </w:r>
      <w:r>
        <w:rPr>
          <w:i/>
        </w:rPr>
        <w:t>note</w:t>
      </w:r>
      <w:r>
        <w:rPr/>
        <w:t>]</w:t>
      </w:r>
    </w:p>
    <w:p>
      <w:pPr>
        <w:pStyle w:val="BodyText"/>
        <w:spacing w:before="3"/>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81 rowFields (Row Fields)" w:id="992"/>
      <w:bookmarkEnd w:id="992"/>
      <w:r>
        <w:rPr/>
      </w:r>
      <w:bookmarkStart w:name="_bookmark329" w:id="993"/>
      <w:bookmarkEnd w:id="993"/>
      <w:r>
        <w:rPr/>
      </w:r>
      <w:bookmarkStart w:name="_bookmark329" w:id="994"/>
      <w:bookmarkEnd w:id="994"/>
      <w:r>
        <w:rPr>
          <w:color w:val="4F81BC"/>
        </w:rPr>
        <w:t>r</w:t>
      </w:r>
      <w:r>
        <w:rPr>
          <w:color w:val="4F81BC"/>
        </w:rPr>
        <w:t>owFields (Row</w:t>
      </w:r>
      <w:r>
        <w:rPr>
          <w:color w:val="4F81BC"/>
          <w:spacing w:val="-3"/>
        </w:rPr>
        <w:t> </w:t>
      </w:r>
      <w:r>
        <w:rPr>
          <w:color w:val="4F81BC"/>
        </w:rPr>
        <w:t>Fields)</w:t>
      </w:r>
    </w:p>
    <w:p>
      <w:pPr>
        <w:pStyle w:val="BodyText"/>
        <w:spacing w:before="122"/>
        <w:ind w:left="220"/>
      </w:pPr>
      <w:r>
        <w:rPr/>
        <w:t>Represents the collection of row fields for the PivotTable.</w:t>
      </w:r>
    </w:p>
    <w:p>
      <w:pPr>
        <w:pStyle w:val="BodyText"/>
        <w:spacing w:before="6"/>
        <w:rPr>
          <w:sz w:val="16"/>
        </w:rPr>
      </w:pPr>
      <w:r>
        <w:rPr/>
        <w:drawing>
          <wp:anchor distT="0" distB="0" distL="0" distR="0" allowOverlap="1" layoutInCell="1" locked="0" behindDoc="0" simplePos="0" relativeHeight="68">
            <wp:simplePos x="0" y="0"/>
            <wp:positionH relativeFrom="page">
              <wp:posOffset>685800</wp:posOffset>
            </wp:positionH>
            <wp:positionV relativeFrom="paragraph">
              <wp:posOffset>152651</wp:posOffset>
            </wp:positionV>
            <wp:extent cx="1715307" cy="809625"/>
            <wp:effectExtent l="0" t="0" r="0" b="0"/>
            <wp:wrapTopAndBottom/>
            <wp:docPr id="127" name="image63.png"/>
            <wp:cNvGraphicFramePr>
              <a:graphicFrameLocks noChangeAspect="1"/>
            </wp:cNvGraphicFramePr>
            <a:graphic>
              <a:graphicData uri="http://schemas.openxmlformats.org/drawingml/2006/picture">
                <pic:pic>
                  <pic:nvPicPr>
                    <pic:cNvPr id="128" name="image63.png"/>
                    <pic:cNvPicPr/>
                  </pic:nvPicPr>
                  <pic:blipFill>
                    <a:blip r:embed="rId166" cstate="print"/>
                    <a:stretch>
                      <a:fillRect/>
                    </a:stretch>
                  </pic:blipFill>
                  <pic:spPr>
                    <a:xfrm>
                      <a:off x="0" y="0"/>
                      <a:ext cx="1715307" cy="809625"/>
                    </a:xfrm>
                    <a:prstGeom prst="rect">
                      <a:avLst/>
                    </a:prstGeom>
                  </pic:spPr>
                </pic:pic>
              </a:graphicData>
            </a:graphic>
          </wp:anchor>
        </w:drawing>
      </w:r>
    </w:p>
    <w:p>
      <w:pPr>
        <w:pStyle w:val="BodyText"/>
        <w:rPr>
          <w:sz w:val="17"/>
        </w:rPr>
      </w:pPr>
    </w:p>
    <w:p>
      <w:pPr>
        <w:pStyle w:val="BodyText"/>
        <w:spacing w:line="276" w:lineRule="auto" w:before="1"/>
        <w:ind w:left="220" w:right="404"/>
      </w:pPr>
      <w:r>
        <w:rPr/>
        <w:t>In the image above, the blue field is a row field. A PivotTable report that has more than one row field has one inner row field (Sport, in the example below), the one closest to the data area. Any other row fields are outer row fields (Region, in the example below). Items in the outermost row field are displayed only once, but items in the rest of the row fields are repeated as needed.</w:t>
      </w:r>
    </w:p>
    <w:p>
      <w:pPr>
        <w:pStyle w:val="BodyText"/>
        <w:spacing w:before="6"/>
        <w:rPr>
          <w:sz w:val="16"/>
        </w:rPr>
      </w:pPr>
    </w:p>
    <w:p>
      <w:pPr>
        <w:spacing w:before="0"/>
        <w:ind w:left="270" w:right="0" w:firstLine="0"/>
        <w:jc w:val="left"/>
        <w:rPr>
          <w:sz w:val="22"/>
        </w:rPr>
      </w:pPr>
      <w:r>
        <w:rPr>
          <w:sz w:val="22"/>
        </w:rPr>
        <w:t>[</w:t>
      </w:r>
      <w:r>
        <w:rPr>
          <w:i/>
          <w:sz w:val="22"/>
        </w:rPr>
        <w:t>Example</w:t>
      </w:r>
      <w:r>
        <w:rPr>
          <w:sz w:val="22"/>
        </w:rPr>
        <w:t>:</w:t>
      </w:r>
    </w:p>
    <w:p>
      <w:pPr>
        <w:pStyle w:val="BodyText"/>
        <w:spacing w:before="6"/>
        <w:rPr>
          <w:sz w:val="16"/>
        </w:rPr>
      </w:pPr>
      <w:r>
        <w:rPr/>
        <w:drawing>
          <wp:anchor distT="0" distB="0" distL="0" distR="0" allowOverlap="1" layoutInCell="1" locked="0" behindDoc="0" simplePos="0" relativeHeight="69">
            <wp:simplePos x="0" y="0"/>
            <wp:positionH relativeFrom="page">
              <wp:posOffset>685800</wp:posOffset>
            </wp:positionH>
            <wp:positionV relativeFrom="paragraph">
              <wp:posOffset>152820</wp:posOffset>
            </wp:positionV>
            <wp:extent cx="1750740" cy="1076325"/>
            <wp:effectExtent l="0" t="0" r="0" b="0"/>
            <wp:wrapTopAndBottom/>
            <wp:docPr id="129" name="image64.png"/>
            <wp:cNvGraphicFramePr>
              <a:graphicFrameLocks noChangeAspect="1"/>
            </wp:cNvGraphicFramePr>
            <a:graphic>
              <a:graphicData uri="http://schemas.openxmlformats.org/drawingml/2006/picture">
                <pic:pic>
                  <pic:nvPicPr>
                    <pic:cNvPr id="130" name="image64.png"/>
                    <pic:cNvPicPr/>
                  </pic:nvPicPr>
                  <pic:blipFill>
                    <a:blip r:embed="rId167" cstate="print"/>
                    <a:stretch>
                      <a:fillRect/>
                    </a:stretch>
                  </pic:blipFill>
                  <pic:spPr>
                    <a:xfrm>
                      <a:off x="0" y="0"/>
                      <a:ext cx="1750740" cy="1076325"/>
                    </a:xfrm>
                    <a:prstGeom prst="rect">
                      <a:avLst/>
                    </a:prstGeom>
                  </pic:spPr>
                </pic:pic>
              </a:graphicData>
            </a:graphic>
          </wp:anchor>
        </w:drawing>
      </w:r>
    </w:p>
    <w:p>
      <w:pPr>
        <w:pStyle w:val="BodyText"/>
        <w:spacing w:before="6"/>
        <w:rPr>
          <w:sz w:val="17"/>
        </w:rPr>
      </w:pPr>
    </w:p>
    <w:p>
      <w:pPr>
        <w:pStyle w:val="BodyText"/>
        <w:ind w:left="220"/>
      </w:pPr>
      <w:r>
        <w:rPr/>
        <w:t>In the image above, Region is an outer row field. Sport is an inner row field.</w:t>
      </w:r>
    </w:p>
    <w:p>
      <w:pPr>
        <w:pStyle w:val="BodyText"/>
        <w:spacing w:before="8"/>
        <w:rPr>
          <w:sz w:val="19"/>
        </w:rPr>
      </w:pPr>
    </w:p>
    <w:p>
      <w:pPr>
        <w:pStyle w:val="BodyText"/>
        <w:ind w:left="508"/>
        <w:rPr>
          <w:rFonts w:ascii="Consolas"/>
        </w:rPr>
      </w:pPr>
      <w:r>
        <w:rPr>
          <w:rFonts w:ascii="Consolas"/>
        </w:rPr>
        <w:t>&lt;rowFields count="2"&gt;</w:t>
      </w:r>
    </w:p>
    <w:p>
      <w:pPr>
        <w:pStyle w:val="BodyText"/>
        <w:spacing w:before="38"/>
        <w:ind w:left="750"/>
        <w:rPr>
          <w:rFonts w:ascii="Consolas"/>
        </w:rPr>
      </w:pPr>
      <w:r>
        <w:rPr>
          <w:rFonts w:ascii="Consolas"/>
        </w:rPr>
        <w:t>&lt;field</w:t>
      </w:r>
      <w:r>
        <w:rPr>
          <w:rFonts w:ascii="Consolas"/>
          <w:spacing w:val="-10"/>
        </w:rPr>
        <w:t> </w:t>
      </w:r>
      <w:r>
        <w:rPr>
          <w:rFonts w:ascii="Consolas"/>
        </w:rPr>
        <w:t>x="7"/&gt;</w:t>
      </w:r>
    </w:p>
    <w:p>
      <w:pPr>
        <w:pStyle w:val="BodyText"/>
        <w:spacing w:before="40"/>
        <w:ind w:left="750"/>
        <w:rPr>
          <w:rFonts w:ascii="Consolas"/>
        </w:rPr>
      </w:pPr>
      <w:r>
        <w:rPr>
          <w:rFonts w:ascii="Consolas"/>
        </w:rPr>
        <w:t>&lt;field</w:t>
      </w:r>
      <w:r>
        <w:rPr>
          <w:rFonts w:ascii="Consolas"/>
          <w:spacing w:val="-10"/>
        </w:rPr>
        <w:t> </w:t>
      </w:r>
      <w:r>
        <w:rPr>
          <w:rFonts w:ascii="Consolas"/>
        </w:rPr>
        <w:t>x="8"/&gt;</w:t>
      </w:r>
    </w:p>
    <w:p>
      <w:pPr>
        <w:pStyle w:val="BodyText"/>
        <w:spacing w:before="37"/>
        <w:ind w:left="508"/>
        <w:rPr>
          <w:rFonts w:ascii="Consolas"/>
        </w:rPr>
      </w:pPr>
      <w:r>
        <w:rPr>
          <w:rFonts w:ascii="Consolas"/>
        </w:rPr>
        <w:t>&lt;/rowFields&gt;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411"/>
              <w:rPr>
                <w:sz w:val="22"/>
              </w:rPr>
            </w:pPr>
            <w:r>
              <w:rPr>
                <w:rFonts w:ascii="Cambria"/>
                <w:sz w:val="22"/>
              </w:rPr>
              <w:t>count </w:t>
            </w:r>
            <w:r>
              <w:rPr>
                <w:sz w:val="22"/>
              </w:rPr>
              <w:t>(Repeated Items Count)</w:t>
            </w:r>
          </w:p>
        </w:tc>
        <w:tc>
          <w:tcPr>
            <w:tcW w:w="8250" w:type="dxa"/>
          </w:tcPr>
          <w:p>
            <w:pPr>
              <w:pStyle w:val="TableParagraph"/>
              <w:rPr>
                <w:sz w:val="22"/>
              </w:rPr>
            </w:pPr>
            <w:r>
              <w:rPr>
                <w:sz w:val="22"/>
              </w:rPr>
              <w:t>Specifies the number of repeated items in the collection.</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579"/>
      </w:pPr>
      <w:r>
        <w:rPr/>
        <w:t>[</w:t>
      </w:r>
      <w:r>
        <w:rPr>
          <w:i/>
        </w:rPr>
        <w:t>Note</w:t>
      </w:r>
      <w:r>
        <w:rPr/>
        <w:t>: The W3C XML Schema definition of this element’s content model (</w:t>
      </w:r>
      <w:r>
        <w:rPr>
          <w:color w:val="5F5F5F"/>
          <w:u w:val="single" w:color="5F5F5F"/>
        </w:rPr>
        <w:t>CT_RowFields</w:t>
      </w:r>
      <w:r>
        <w:rPr/>
        <w:t>) is located in §A.2. </w:t>
      </w:r>
      <w:r>
        <w:rPr>
          <w:i/>
        </w:rPr>
        <w:t>end </w:t>
      </w:r>
      <w:r>
        <w:rPr>
          <w:i/>
        </w:rPr>
        <w:t>note</w:t>
      </w:r>
      <w:r>
        <w:rPr/>
        <w:t>]</w:t>
      </w:r>
    </w:p>
    <w:p>
      <w:pPr>
        <w:spacing w:after="0" w:line="278" w:lineRule="auto"/>
        <w:sectPr>
          <w:pgSz w:w="12240" w:h="15840"/>
          <w:pgMar w:header="761" w:footer="746" w:top="1340" w:bottom="940" w:left="860" w:right="700"/>
        </w:sectPr>
      </w:pPr>
    </w:p>
    <w:p>
      <w:pPr>
        <w:pStyle w:val="Heading3"/>
        <w:numPr>
          <w:ilvl w:val="3"/>
          <w:numId w:val="42"/>
        </w:numPr>
        <w:tabs>
          <w:tab w:pos="1732" w:val="left" w:leader="none"/>
          <w:tab w:pos="1733" w:val="left" w:leader="none"/>
        </w:tabs>
        <w:spacing w:line="240" w:lineRule="auto" w:before="151" w:after="0"/>
        <w:ind w:left="1732" w:right="0" w:hanging="1513"/>
        <w:jc w:val="left"/>
      </w:pPr>
      <w:bookmarkStart w:name="18.10.1.82 rowHierarchiesUsage (Row OLAP" w:id="995"/>
      <w:bookmarkEnd w:id="995"/>
      <w:r>
        <w:rPr/>
      </w:r>
      <w:bookmarkStart w:name="_bookmark330" w:id="996"/>
      <w:bookmarkEnd w:id="996"/>
      <w:r>
        <w:rPr/>
      </w:r>
      <w:bookmarkStart w:name="_bookmark330" w:id="997"/>
      <w:bookmarkEnd w:id="997"/>
      <w:r>
        <w:rPr>
          <w:color w:val="4F81BC"/>
        </w:rPr>
        <w:t>r</w:t>
      </w:r>
      <w:r>
        <w:rPr>
          <w:color w:val="4F81BC"/>
        </w:rPr>
        <w:t>owHierarchiesUsage (Row OLAP Hierarchy</w:t>
      </w:r>
      <w:r>
        <w:rPr>
          <w:color w:val="4F81BC"/>
          <w:spacing w:val="-4"/>
        </w:rPr>
        <w:t> </w:t>
      </w:r>
      <w:r>
        <w:rPr>
          <w:color w:val="4F81BC"/>
        </w:rPr>
        <w:t>References)</w:t>
      </w:r>
    </w:p>
    <w:p>
      <w:pPr>
        <w:pStyle w:val="BodyText"/>
        <w:spacing w:line="453" w:lineRule="auto" w:before="121"/>
        <w:ind w:left="220" w:right="2278"/>
      </w:pPr>
      <w:r>
        <w:rPr/>
        <w:t>Represents the collection of references to OLAP hierarchies on the row axis of a PivotTable. [</w:t>
      </w:r>
      <w:r>
        <w:rPr>
          <w:i/>
        </w:rPr>
        <w:t>Example</w:t>
      </w:r>
      <w:r>
        <w:rPr/>
        <w:t>:</w:t>
      </w:r>
    </w:p>
    <w:p>
      <w:pPr>
        <w:pStyle w:val="BodyText"/>
        <w:spacing w:before="3"/>
        <w:ind w:left="508"/>
        <w:rPr>
          <w:rFonts w:ascii="Consolas"/>
        </w:rPr>
      </w:pPr>
      <w:r>
        <w:rPr>
          <w:rFonts w:ascii="Consolas"/>
        </w:rPr>
        <w:t>&lt;sh:rowHierarchiesUsage count="1"&gt;</w:t>
      </w:r>
    </w:p>
    <w:p>
      <w:pPr>
        <w:pStyle w:val="BodyText"/>
        <w:spacing w:before="40"/>
        <w:ind w:left="750"/>
        <w:rPr>
          <w:rFonts w:ascii="Consolas"/>
        </w:rPr>
      </w:pPr>
      <w:r>
        <w:rPr>
          <w:rFonts w:ascii="Consolas"/>
        </w:rPr>
        <w:t>&lt;sh:rowHierarchyUsage hierarchyUsage="9"/&gt;</w:t>
      </w:r>
    </w:p>
    <w:p>
      <w:pPr>
        <w:pStyle w:val="BodyText"/>
        <w:spacing w:before="37"/>
        <w:ind w:left="508"/>
        <w:rPr>
          <w:rFonts w:ascii="Consolas"/>
        </w:rPr>
      </w:pPr>
      <w:r>
        <w:rPr>
          <w:rFonts w:ascii="Consolas"/>
        </w:rPr>
        <w:t>&lt;/sh:rowHierarchiesUsage&gt;</w:t>
      </w:r>
    </w:p>
    <w:p>
      <w:pPr>
        <w:pStyle w:val="BodyText"/>
        <w:spacing w:before="5"/>
        <w:rPr>
          <w:rFonts w:ascii="Consolas"/>
          <w:sz w:val="20"/>
        </w:rPr>
      </w:pPr>
    </w:p>
    <w:p>
      <w:pPr>
        <w:spacing w:before="1"/>
        <w:ind w:left="220" w:right="0" w:firstLine="0"/>
        <w:jc w:val="left"/>
        <w:rPr>
          <w:sz w:val="22"/>
        </w:rPr>
      </w:pPr>
      <w:r>
        <w:rPr>
          <w:i/>
          <w:sz w:val="22"/>
        </w:rPr>
        <w:t>end example</w:t>
      </w:r>
      <w:r>
        <w:rPr>
          <w:sz w:val="22"/>
        </w:rPr>
        <w: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left="30" w:right="129"/>
              <w:jc w:val="center"/>
              <w:rPr>
                <w:sz w:val="22"/>
              </w:rPr>
            </w:pPr>
            <w:r>
              <w:rPr>
                <w:rFonts w:ascii="Cambria"/>
                <w:sz w:val="22"/>
              </w:rPr>
              <w:t>count </w:t>
            </w:r>
            <w:r>
              <w:rPr>
                <w:sz w:val="22"/>
              </w:rPr>
              <w:t>(Item Count)</w:t>
            </w:r>
          </w:p>
        </w:tc>
        <w:tc>
          <w:tcPr>
            <w:tcW w:w="8250" w:type="dxa"/>
          </w:tcPr>
          <w:p>
            <w:pPr>
              <w:pStyle w:val="TableParagraph"/>
              <w:rPr>
                <w:sz w:val="22"/>
              </w:rPr>
            </w:pPr>
            <w:r>
              <w:rPr>
                <w:sz w:val="22"/>
              </w:rPr>
              <w:t>Specifies the number of items in the collection.</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CT_RowHierarchiesUsage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83 rowHierarchyUsage (Row OLAP H" w:id="998"/>
      <w:bookmarkEnd w:id="998"/>
      <w:r>
        <w:rPr/>
      </w:r>
      <w:bookmarkStart w:name="_bookmark331" w:id="999"/>
      <w:bookmarkEnd w:id="999"/>
      <w:r>
        <w:rPr/>
      </w:r>
      <w:bookmarkStart w:name="_bookmark331" w:id="1000"/>
      <w:bookmarkEnd w:id="1000"/>
      <w:r>
        <w:rPr>
          <w:color w:val="4F81BC"/>
        </w:rPr>
        <w:t>r</w:t>
      </w:r>
      <w:r>
        <w:rPr>
          <w:color w:val="4F81BC"/>
        </w:rPr>
        <w:t>owHierarchyUsage (Row OLAP</w:t>
      </w:r>
      <w:r>
        <w:rPr>
          <w:color w:val="4F81BC"/>
          <w:spacing w:val="-2"/>
        </w:rPr>
        <w:t> </w:t>
      </w:r>
      <w:r>
        <w:rPr>
          <w:color w:val="4F81BC"/>
        </w:rPr>
        <w:t>Hierarchies)</w:t>
      </w:r>
    </w:p>
    <w:p>
      <w:pPr>
        <w:pStyle w:val="BodyText"/>
        <w:spacing w:line="453" w:lineRule="auto" w:before="122"/>
        <w:ind w:left="220" w:right="3476"/>
      </w:pPr>
      <w:r>
        <w:rPr/>
        <w:t>Represents a references to an OLAP Hierarchy on the row axis of a PivotTable. [</w:t>
      </w:r>
      <w:r>
        <w:rPr>
          <w:i/>
        </w:rPr>
        <w:t>Example</w:t>
      </w:r>
      <w:r>
        <w:rPr/>
        <w:t>:</w:t>
      </w:r>
    </w:p>
    <w:p>
      <w:pPr>
        <w:pStyle w:val="BodyText"/>
        <w:spacing w:before="2"/>
        <w:ind w:left="508"/>
        <w:rPr>
          <w:rFonts w:ascii="Consolas"/>
        </w:rPr>
      </w:pPr>
      <w:r>
        <w:rPr>
          <w:rFonts w:ascii="Consolas"/>
        </w:rPr>
        <w:t>&lt;sh:rowHierarchyUsage hierarchyUsage="9"/&gt;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line="257" w:lineRule="exact" w:before="42"/>
              <w:rPr>
                <w:rFonts w:ascii="Cambria"/>
                <w:sz w:val="22"/>
              </w:rPr>
            </w:pPr>
            <w:r>
              <w:rPr>
                <w:rFonts w:ascii="Cambria"/>
                <w:sz w:val="22"/>
              </w:rPr>
              <w:t>hierarchyUsage</w:t>
            </w:r>
          </w:p>
          <w:p>
            <w:pPr>
              <w:pStyle w:val="TableParagraph"/>
              <w:spacing w:line="268" w:lineRule="exact" w:before="0"/>
              <w:rPr>
                <w:sz w:val="22"/>
              </w:rPr>
            </w:pPr>
            <w:r>
              <w:rPr>
                <w:sz w:val="22"/>
              </w:rPr>
              <w:t>(Hierarchy Usage)</w:t>
            </w:r>
          </w:p>
        </w:tc>
        <w:tc>
          <w:tcPr>
            <w:tcW w:w="8250" w:type="dxa"/>
          </w:tcPr>
          <w:p>
            <w:pPr>
              <w:pStyle w:val="TableParagraph"/>
              <w:rPr>
                <w:sz w:val="22"/>
              </w:rPr>
            </w:pPr>
            <w:r>
              <w:rPr>
                <w:sz w:val="22"/>
              </w:rPr>
              <w:t>Specifies the reference to an OLAP hierarchy in a PivotTable.</w:t>
            </w:r>
          </w:p>
          <w:p>
            <w:pPr>
              <w:pStyle w:val="TableParagraph"/>
              <w:spacing w:before="0"/>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CT_HierarchyUsage</w:t>
      </w:r>
      <w:r>
        <w:rPr/>
        <w:t>) is located in §A.2.</w:t>
      </w:r>
    </w:p>
    <w:p>
      <w:pPr>
        <w:spacing w:before="43"/>
        <w:ind w:left="220" w:right="0" w:firstLine="0"/>
        <w:jc w:val="left"/>
        <w:rPr>
          <w:sz w:val="22"/>
        </w:rPr>
      </w:pPr>
      <w:r>
        <w:rPr>
          <w:i/>
          <w:sz w:val="22"/>
        </w:rPr>
        <w:t>end note</w:t>
      </w:r>
      <w:r>
        <w:rPr>
          <w:sz w:val="22"/>
        </w:rPr>
        <w:t>]</w:t>
      </w:r>
    </w:p>
    <w:p>
      <w:pPr>
        <w:pStyle w:val="BodyText"/>
        <w:spacing w:before="10"/>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84 rowItems (Row Items)" w:id="1001"/>
      <w:bookmarkEnd w:id="1001"/>
      <w:r>
        <w:rPr/>
      </w:r>
      <w:bookmarkStart w:name="_bookmark332" w:id="1002"/>
      <w:bookmarkEnd w:id="1002"/>
      <w:r>
        <w:rPr/>
      </w:r>
      <w:bookmarkStart w:name="_bookmark332" w:id="1003"/>
      <w:bookmarkEnd w:id="1003"/>
      <w:r>
        <w:rPr>
          <w:color w:val="4F81BC"/>
        </w:rPr>
        <w:t>r</w:t>
      </w:r>
      <w:r>
        <w:rPr>
          <w:color w:val="4F81BC"/>
        </w:rPr>
        <w:t>owItems (Row</w:t>
      </w:r>
      <w:r>
        <w:rPr>
          <w:color w:val="4F81BC"/>
          <w:spacing w:val="-4"/>
        </w:rPr>
        <w:t> </w:t>
      </w:r>
      <w:r>
        <w:rPr>
          <w:color w:val="4F81BC"/>
        </w:rPr>
        <w:t>Items)</w:t>
      </w:r>
    </w:p>
    <w:p>
      <w:pPr>
        <w:pStyle w:val="BodyText"/>
        <w:spacing w:before="121"/>
        <w:ind w:left="220"/>
      </w:pPr>
      <w:r>
        <w:rPr/>
        <w:t>Represents the collection of items in row axis of the PivotTable.</w:t>
      </w:r>
    </w:p>
    <w:p>
      <w:pPr>
        <w:pStyle w:val="BodyText"/>
        <w:spacing w:before="6"/>
        <w:rPr>
          <w:sz w:val="19"/>
        </w:rPr>
      </w:pPr>
    </w:p>
    <w:p>
      <w:pPr>
        <w:pStyle w:val="BodyText"/>
        <w:spacing w:line="276" w:lineRule="auto"/>
        <w:ind w:left="220" w:right="1019" w:firstLine="50"/>
      </w:pPr>
      <w:r>
        <w:rPr/>
        <w:t>[</w:t>
      </w:r>
      <w:r>
        <w:rPr>
          <w:i/>
        </w:rPr>
        <w:t>Example</w:t>
      </w:r>
      <w:r>
        <w:rPr/>
        <w:t>: In the SpreadsheetML example below, the item values are found in cells B10:B13. For example "Bikes" is in B10, and corresponds to the first </w:t>
      </w:r>
      <w:r>
        <w:rPr>
          <w:rFonts w:ascii="Consolas"/>
        </w:rPr>
        <w:t>&lt;i&gt;</w:t>
      </w:r>
      <w:r>
        <w:rPr>
          <w:rFonts w:ascii="Consolas"/>
          <w:spacing w:val="-82"/>
        </w:rPr>
        <w:t> </w:t>
      </w:r>
      <w:r>
        <w:rPr/>
        <w:t>element below.</w:t>
      </w:r>
    </w:p>
    <w:p>
      <w:pPr>
        <w:spacing w:after="0" w:line="276" w:lineRule="auto"/>
        <w:sectPr>
          <w:pgSz w:w="12240" w:h="15840"/>
          <w:pgMar w:header="763" w:footer="746" w:top="1340" w:bottom="940" w:left="860" w:right="700"/>
        </w:sectPr>
      </w:pPr>
    </w:p>
    <w:p>
      <w:pPr>
        <w:pStyle w:val="BodyText"/>
        <w:spacing w:before="93"/>
        <w:ind w:left="508"/>
        <w:rPr>
          <w:rFonts w:ascii="Consolas"/>
        </w:rPr>
      </w:pPr>
      <w:r>
        <w:rPr>
          <w:rFonts w:ascii="Consolas"/>
        </w:rPr>
        <w:t>&lt;rowItems count="4"&gt;</w:t>
      </w:r>
    </w:p>
    <w:p>
      <w:pPr>
        <w:pStyle w:val="BodyText"/>
        <w:spacing w:before="38"/>
        <w:ind w:left="750"/>
        <w:rPr>
          <w:rFonts w:ascii="Consolas"/>
        </w:rPr>
      </w:pPr>
      <w:r>
        <w:rPr>
          <w:rFonts w:ascii="Consolas"/>
        </w:rPr>
        <w:t>&lt;i&gt;</w:t>
      </w:r>
    </w:p>
    <w:p>
      <w:pPr>
        <w:pStyle w:val="BodyText"/>
        <w:spacing w:before="40"/>
        <w:ind w:left="993"/>
        <w:rPr>
          <w:rFonts w:ascii="Consolas"/>
        </w:rPr>
      </w:pPr>
      <w:r>
        <w:rPr>
          <w:rFonts w:ascii="Consolas"/>
        </w:rPr>
        <w:t>&lt;x/&gt;</w:t>
      </w:r>
    </w:p>
    <w:p>
      <w:pPr>
        <w:pStyle w:val="BodyText"/>
        <w:spacing w:before="37"/>
        <w:ind w:left="750"/>
        <w:rPr>
          <w:rFonts w:ascii="Consolas"/>
        </w:rPr>
      </w:pPr>
      <w:r>
        <w:rPr>
          <w:rFonts w:ascii="Consolas"/>
        </w:rPr>
        <w:t>&lt;/i&gt;</w:t>
      </w:r>
    </w:p>
    <w:p>
      <w:pPr>
        <w:pStyle w:val="BodyText"/>
        <w:spacing w:before="40"/>
        <w:ind w:left="750"/>
        <w:rPr>
          <w:rFonts w:ascii="Consolas"/>
        </w:rPr>
      </w:pPr>
      <w:r>
        <w:rPr>
          <w:rFonts w:ascii="Consolas"/>
        </w:rPr>
        <w:t>&lt;i r="1"&gt;</w:t>
      </w:r>
    </w:p>
    <w:p>
      <w:pPr>
        <w:pStyle w:val="BodyText"/>
        <w:spacing w:before="38"/>
        <w:ind w:left="993"/>
        <w:rPr>
          <w:rFonts w:ascii="Consolas"/>
        </w:rPr>
      </w:pPr>
      <w:r>
        <w:rPr>
          <w:rFonts w:ascii="Consolas"/>
        </w:rPr>
        <w:t>&lt;x/&gt;</w:t>
      </w:r>
    </w:p>
    <w:p>
      <w:pPr>
        <w:pStyle w:val="BodyText"/>
        <w:spacing w:before="40"/>
        <w:ind w:left="750"/>
        <w:rPr>
          <w:rFonts w:ascii="Consolas"/>
        </w:rPr>
      </w:pPr>
      <w:r>
        <w:rPr>
          <w:rFonts w:ascii="Consolas"/>
        </w:rPr>
        <w:t>&lt;/i&gt;</w:t>
      </w:r>
    </w:p>
    <w:p>
      <w:pPr>
        <w:pStyle w:val="BodyText"/>
        <w:spacing w:before="37"/>
        <w:ind w:left="750"/>
        <w:rPr>
          <w:rFonts w:ascii="Consolas"/>
        </w:rPr>
      </w:pPr>
      <w:r>
        <w:rPr>
          <w:rFonts w:ascii="Consolas"/>
        </w:rPr>
        <w:t>&lt;i r="1"&gt;</w:t>
      </w:r>
    </w:p>
    <w:p>
      <w:pPr>
        <w:pStyle w:val="BodyText"/>
        <w:spacing w:before="38"/>
        <w:ind w:left="993"/>
        <w:rPr>
          <w:rFonts w:ascii="Consolas"/>
        </w:rPr>
      </w:pPr>
      <w:r>
        <w:rPr>
          <w:rFonts w:ascii="Consolas"/>
        </w:rPr>
        <w:t>&lt;x v="1"/&gt;</w:t>
      </w:r>
    </w:p>
    <w:p>
      <w:pPr>
        <w:pStyle w:val="BodyText"/>
        <w:spacing w:before="40"/>
        <w:ind w:left="750"/>
        <w:rPr>
          <w:rFonts w:ascii="Consolas"/>
        </w:rPr>
      </w:pPr>
      <w:r>
        <w:rPr>
          <w:rFonts w:ascii="Consolas"/>
        </w:rPr>
        <w:t>&lt;/i&gt;</w:t>
      </w:r>
    </w:p>
    <w:p>
      <w:pPr>
        <w:pStyle w:val="BodyText"/>
        <w:spacing w:before="38"/>
        <w:ind w:left="750"/>
        <w:rPr>
          <w:rFonts w:ascii="Consolas"/>
        </w:rPr>
      </w:pPr>
      <w:r>
        <w:rPr>
          <w:rFonts w:ascii="Consolas"/>
        </w:rPr>
        <w:t>&lt;i t="grand"&gt;</w:t>
      </w:r>
    </w:p>
    <w:p>
      <w:pPr>
        <w:pStyle w:val="BodyText"/>
        <w:spacing w:before="40"/>
        <w:ind w:left="993"/>
        <w:rPr>
          <w:rFonts w:ascii="Consolas"/>
        </w:rPr>
      </w:pPr>
      <w:r>
        <w:rPr>
          <w:rFonts w:ascii="Consolas"/>
        </w:rPr>
        <w:t>&lt;x/&gt;</w:t>
      </w:r>
    </w:p>
    <w:p>
      <w:pPr>
        <w:pStyle w:val="BodyText"/>
        <w:spacing w:before="37"/>
        <w:ind w:left="750"/>
        <w:rPr>
          <w:rFonts w:ascii="Consolas"/>
        </w:rPr>
      </w:pPr>
      <w:r>
        <w:rPr>
          <w:rFonts w:ascii="Consolas"/>
        </w:rPr>
        <w:t>&lt;/i&gt;</w:t>
      </w:r>
    </w:p>
    <w:p>
      <w:pPr>
        <w:pStyle w:val="BodyText"/>
        <w:spacing w:before="41"/>
        <w:ind w:left="508"/>
        <w:rPr>
          <w:rFonts w:ascii="Consolas"/>
        </w:rPr>
      </w:pPr>
      <w:r>
        <w:rPr>
          <w:rFonts w:ascii="Consolas"/>
        </w:rPr>
        <w:t>&lt;/rowItems&gt;</w:t>
      </w:r>
    </w:p>
    <w:p>
      <w:pPr>
        <w:pStyle w:val="BodyText"/>
        <w:rPr>
          <w:rFonts w:ascii="Consolas"/>
          <w:sz w:val="20"/>
        </w:rPr>
      </w:pPr>
    </w:p>
    <w:p>
      <w:pPr>
        <w:pStyle w:val="BodyText"/>
        <w:spacing w:line="276" w:lineRule="auto"/>
        <w:ind w:left="220" w:right="408"/>
      </w:pPr>
      <w:r>
        <w:rPr/>
        <w:t>Looking at the layout of the PivotTable in this example, "Bikes" is the first (and only) item value in the first row, in cell B10. In the XML defining the PivotTable row item values, the first </w:t>
      </w:r>
      <w:r>
        <w:rPr>
          <w:rFonts w:ascii="Consolas"/>
        </w:rPr>
        <w:t>&lt;i&gt; </w:t>
      </w:r>
      <w:r>
        <w:rPr/>
        <w:t>element corresponds to the first row. There is a single index element </w:t>
      </w:r>
      <w:r>
        <w:rPr>
          <w:rFonts w:ascii="Consolas"/>
        </w:rPr>
        <w:t>&lt;x&gt;</w:t>
      </w:r>
      <w:r>
        <w:rPr/>
        <w:t>. The first (and only) </w:t>
      </w:r>
      <w:r>
        <w:rPr>
          <w:rFonts w:ascii="Consolas"/>
        </w:rPr>
        <w:t>&lt;x&gt; </w:t>
      </w:r>
      <w:r>
        <w:rPr/>
        <w:t>element corresponds to the first field on the row axis, namely "Product Category", and an index value of "0" indicates that the 0th item in the items collection for that </w:t>
      </w:r>
      <w:r>
        <w:rPr>
          <w:rFonts w:ascii="Consolas"/>
        </w:rPr>
        <w:t>pivotField</w:t>
      </w:r>
      <w:r>
        <w:rPr>
          <w:rFonts w:ascii="Consolas"/>
          <w:spacing w:val="-94"/>
        </w:rPr>
        <w:t> </w:t>
      </w:r>
      <w:r>
        <w:rPr/>
        <w:t>definition is how to obtain the item value. Note that "Bikes" isn't explicitly listed as a value here, but instead the 0th item is an index to this field's shared items collection in the </w:t>
      </w:r>
      <w:r>
        <w:rPr>
          <w:rFonts w:ascii="Cambria"/>
        </w:rPr>
        <w:t>pivotCacheDefinition</w:t>
      </w:r>
      <w:r>
        <w:rPr>
          <w:rFonts w:ascii="Cambria"/>
          <w:spacing w:val="2"/>
        </w:rPr>
        <w:t> </w:t>
      </w:r>
      <w:r>
        <w:rPr/>
        <w:t>part.</w:t>
      </w:r>
    </w:p>
    <w:p>
      <w:pPr>
        <w:pStyle w:val="BodyText"/>
        <w:spacing w:line="276" w:lineRule="auto" w:before="200"/>
        <w:ind w:left="220" w:right="431"/>
      </w:pPr>
      <w:r>
        <w:rPr/>
        <w:t>For the second row there are two item values, one item value (Bikes) from the first field in that row (Product Category) and one item value (Mountain Bikes) from the second field in that row (Product Subcategory). In the PivotTable, the first item value "Bikes" is hidden from view. In the XML for this example, the second </w:t>
      </w:r>
      <w:r>
        <w:rPr>
          <w:rFonts w:ascii="Consolas"/>
          <w:spacing w:val="-2"/>
        </w:rPr>
        <w:t>&lt;i&gt; </w:t>
      </w:r>
      <w:r>
        <w:rPr/>
        <w:t>element expresses both item values for this row. The first item value "Bikes" is expressed implicitly, because the value of </w:t>
      </w:r>
      <w:r>
        <w:rPr>
          <w:rFonts w:ascii="Consolas"/>
        </w:rPr>
        <w:t>@r</w:t>
      </w:r>
      <w:r>
        <w:rPr>
          <w:rFonts w:ascii="Consolas"/>
          <w:spacing w:val="-74"/>
        </w:rPr>
        <w:t> </w:t>
      </w:r>
      <w:r>
        <w:rPr/>
        <w:t>on the second </w:t>
      </w:r>
      <w:r>
        <w:rPr>
          <w:rFonts w:ascii="Consolas"/>
        </w:rPr>
        <w:t>&lt;i&gt;</w:t>
      </w:r>
      <w:r>
        <w:rPr>
          <w:rFonts w:ascii="Consolas"/>
          <w:spacing w:val="-70"/>
        </w:rPr>
        <w:t> </w:t>
      </w:r>
      <w:r>
        <w:rPr/>
        <w:t>element is '1', indicating that the first item value from the previous row is reused again as the first item value for the current row. The second item value is expressed explicitly via the </w:t>
      </w:r>
      <w:r>
        <w:rPr>
          <w:rFonts w:ascii="Consolas"/>
          <w:spacing w:val="-2"/>
        </w:rPr>
        <w:t>&lt;x&gt; </w:t>
      </w:r>
      <w:r>
        <w:rPr/>
        <w:t>element under the second </w:t>
      </w:r>
      <w:r>
        <w:rPr>
          <w:rFonts w:ascii="Consolas"/>
        </w:rPr>
        <w:t>&lt;i&gt; </w:t>
      </w:r>
      <w:r>
        <w:rPr/>
        <w:t>element. The index of '0' indicates that the 0th item in the </w:t>
      </w:r>
      <w:r>
        <w:rPr>
          <w:rFonts w:ascii="Consolas"/>
        </w:rPr>
        <w:t>&lt;pivotField&gt; </w:t>
      </w:r>
      <w:r>
        <w:rPr/>
        <w:t>element for that field is how to obtain the item value. Note again that the 0th item is itself an index into this field's shared items collection in the </w:t>
      </w:r>
      <w:r>
        <w:rPr>
          <w:rFonts w:ascii="Cambria"/>
        </w:rPr>
        <w:t>pivotCacheDefinition </w:t>
      </w:r>
      <w:r>
        <w:rPr/>
        <w:t>part.</w:t>
      </w:r>
    </w:p>
    <w:p>
      <w:pPr>
        <w:pStyle w:val="BodyText"/>
        <w:spacing w:before="204"/>
        <w:ind w:left="220"/>
      </w:pPr>
      <w:r>
        <w:rPr/>
        <w:t>The item values for the third row can be discovered in a similar way. </w:t>
      </w:r>
      <w:r>
        <w:rPr>
          <w:i/>
        </w:rPr>
        <w:t>end example</w:t>
      </w:r>
      <w:r>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98"/>
              <w:rPr>
                <w:sz w:val="22"/>
              </w:rPr>
            </w:pPr>
            <w:r>
              <w:rPr>
                <w:rFonts w:ascii="Cambria"/>
                <w:sz w:val="22"/>
              </w:rPr>
              <w:t>count </w:t>
            </w:r>
            <w:r>
              <w:rPr>
                <w:sz w:val="22"/>
              </w:rPr>
              <w:t>(Items in a Row Count)</w:t>
            </w:r>
          </w:p>
        </w:tc>
        <w:tc>
          <w:tcPr>
            <w:tcW w:w="8250" w:type="dxa"/>
          </w:tcPr>
          <w:p>
            <w:pPr>
              <w:pStyle w:val="TableParagraph"/>
              <w:rPr>
                <w:sz w:val="22"/>
              </w:rPr>
            </w:pPr>
            <w:r>
              <w:rPr>
                <w:sz w:val="22"/>
              </w:rPr>
              <w:t>Specifies the number of items in the row axis of the PivotTable.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ind w:left="220" w:right="635"/>
      </w:pPr>
      <w:r>
        <w:rPr/>
        <w:t>[</w:t>
      </w:r>
      <w:r>
        <w:rPr>
          <w:i/>
        </w:rPr>
        <w:t>Note</w:t>
      </w:r>
      <w:r>
        <w:rPr/>
        <w:t>: The W3C XML Schema definition of this element’s content model (</w:t>
      </w:r>
      <w:r>
        <w:rPr>
          <w:color w:val="5F5F5F"/>
          <w:u w:val="single" w:color="5F5F5F"/>
        </w:rPr>
        <w:t>CT_rowItems</w:t>
      </w:r>
      <w:r>
        <w:rPr/>
        <w:t>) is located in §A.2. </w:t>
      </w:r>
      <w:r>
        <w:rPr>
          <w:i/>
        </w:rPr>
        <w:t>end </w:t>
      </w:r>
      <w:r>
        <w:rPr>
          <w:i/>
        </w:rPr>
        <w:t>note</w:t>
      </w:r>
      <w:r>
        <w:rPr/>
        <w:t>]</w:t>
      </w:r>
    </w:p>
    <w:p>
      <w:pPr>
        <w:spacing w:after="0" w:line="276" w:lineRule="auto"/>
        <w:sectPr>
          <w:pgSz w:w="12240" w:h="15840"/>
          <w:pgMar w:header="761" w:footer="746" w:top="1340" w:bottom="940" w:left="860" w:right="700"/>
        </w:sectPr>
      </w:pPr>
    </w:p>
    <w:p>
      <w:pPr>
        <w:pStyle w:val="Heading3"/>
        <w:numPr>
          <w:ilvl w:val="3"/>
          <w:numId w:val="42"/>
        </w:numPr>
        <w:tabs>
          <w:tab w:pos="1732" w:val="left" w:leader="none"/>
          <w:tab w:pos="1733" w:val="left" w:leader="none"/>
        </w:tabs>
        <w:spacing w:line="240" w:lineRule="auto" w:before="151" w:after="0"/>
        <w:ind w:left="1732" w:right="0" w:hanging="1513"/>
        <w:jc w:val="left"/>
      </w:pPr>
      <w:bookmarkStart w:name="18.10.1.85 s (Character Value)" w:id="1004"/>
      <w:bookmarkEnd w:id="1004"/>
      <w:r>
        <w:rPr/>
      </w:r>
      <w:bookmarkStart w:name="_bookmark333" w:id="1005"/>
      <w:bookmarkEnd w:id="1005"/>
      <w:r>
        <w:rPr/>
      </w:r>
      <w:bookmarkStart w:name="_bookmark333" w:id="1006"/>
      <w:bookmarkEnd w:id="1006"/>
      <w:r>
        <w:rPr>
          <w:color w:val="4F81BC"/>
        </w:rPr>
        <w:t>s</w:t>
      </w:r>
      <w:r>
        <w:rPr>
          <w:color w:val="4F81BC"/>
        </w:rPr>
        <w:t> (Character</w:t>
      </w:r>
      <w:r>
        <w:rPr>
          <w:color w:val="4F81BC"/>
          <w:spacing w:val="-1"/>
        </w:rPr>
        <w:t> </w:t>
      </w:r>
      <w:r>
        <w:rPr>
          <w:color w:val="4F81BC"/>
        </w:rPr>
        <w:t>Value)</w:t>
      </w:r>
    </w:p>
    <w:p>
      <w:pPr>
        <w:pStyle w:val="BodyText"/>
        <w:spacing w:line="453" w:lineRule="auto" w:before="121"/>
        <w:ind w:left="220" w:right="6437"/>
      </w:pPr>
      <w:r>
        <w:rPr/>
        <w:t>Represents a character value in a PivotTable. [</w:t>
      </w:r>
      <w:r>
        <w:rPr>
          <w:i/>
        </w:rPr>
        <w:t>Example</w:t>
      </w:r>
      <w:r>
        <w:rPr/>
        <w:t>:</w:t>
      </w:r>
    </w:p>
    <w:p>
      <w:pPr>
        <w:pStyle w:val="BodyText"/>
        <w:spacing w:before="3"/>
        <w:ind w:left="508"/>
        <w:rPr>
          <w:rFonts w:ascii="Consolas"/>
        </w:rPr>
      </w:pPr>
      <w:r>
        <w:rPr>
          <w:rFonts w:ascii="Consolas"/>
        </w:rPr>
        <w:t>&lt;sharedItems count="2"&gt;</w:t>
      </w:r>
    </w:p>
    <w:p>
      <w:pPr>
        <w:pStyle w:val="BodyText"/>
        <w:spacing w:before="40"/>
        <w:ind w:left="750"/>
        <w:rPr>
          <w:rFonts w:ascii="Consolas"/>
        </w:rPr>
      </w:pPr>
      <w:r>
        <w:rPr>
          <w:rFonts w:ascii="Consolas"/>
        </w:rPr>
        <w:t>&lt;s v="7527 Brook Way"/&gt;</w:t>
      </w:r>
    </w:p>
    <w:p>
      <w:pPr>
        <w:pStyle w:val="BodyText"/>
        <w:spacing w:before="37"/>
        <w:ind w:left="750"/>
        <w:rPr>
          <w:rFonts w:ascii="Consolas"/>
        </w:rPr>
      </w:pPr>
      <w:r>
        <w:rPr>
          <w:rFonts w:ascii="Consolas"/>
        </w:rPr>
        <w:t>&lt;s v="3310 Harvey Way"/&gt;</w:t>
      </w:r>
    </w:p>
    <w:p>
      <w:pPr>
        <w:pStyle w:val="BodyText"/>
        <w:spacing w:before="38"/>
        <w:ind w:left="508"/>
        <w:rPr>
          <w:rFonts w:ascii="Consolas"/>
        </w:rPr>
      </w:pPr>
      <w:r>
        <w:rPr>
          <w:rFonts w:ascii="Consolas"/>
        </w:rPr>
        <w:t>&lt;/sharedItems&gt;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rPr>
                <w:sz w:val="22"/>
              </w:rPr>
            </w:pPr>
            <w:r>
              <w:rPr>
                <w:rFonts w:ascii="Cambria"/>
                <w:sz w:val="22"/>
              </w:rPr>
              <w:t>b </w:t>
            </w:r>
            <w:r>
              <w:rPr>
                <w:sz w:val="22"/>
              </w:rPr>
              <w:t>(Bold)</w:t>
            </w:r>
          </w:p>
        </w:tc>
        <w:tc>
          <w:tcPr>
            <w:tcW w:w="8250" w:type="dxa"/>
          </w:tcPr>
          <w:p>
            <w:pPr>
              <w:pStyle w:val="TableParagraph"/>
              <w:ind w:right="336"/>
              <w:rPr>
                <w:sz w:val="22"/>
              </w:rPr>
            </w:pPr>
            <w:r>
              <w:rPr>
                <w:sz w:val="22"/>
              </w:rPr>
              <w:t>Specifies a boolean value that indicates whether this value contains bold formatting on the OLAP server. This attribute applies to OLAP-based PivotTables only.</w:t>
            </w:r>
          </w:p>
          <w:p>
            <w:pPr>
              <w:pStyle w:val="TableParagraph"/>
              <w:spacing w:line="530" w:lineRule="atLeast" w:before="8"/>
              <w:ind w:right="690"/>
              <w:rPr>
                <w:rFonts w:ascii="Cambria"/>
                <w:sz w:val="22"/>
              </w:rPr>
            </w:pPr>
            <w:r>
              <w:rPr>
                <w:sz w:val="22"/>
              </w:rPr>
              <w:t>A value of </w:t>
            </w:r>
            <w:r>
              <w:rPr>
                <w:rFonts w:ascii="Consolas"/>
                <w:sz w:val="20"/>
              </w:rPr>
              <w:t>1 </w:t>
            </w:r>
            <w:r>
              <w:rPr>
                <w:sz w:val="22"/>
              </w:rPr>
              <w:t>or </w:t>
            </w:r>
            <w:r>
              <w:rPr>
                <w:rFonts w:ascii="Consolas"/>
                <w:sz w:val="20"/>
              </w:rPr>
              <w:t>true </w:t>
            </w:r>
            <w:r>
              <w:rPr>
                <w:sz w:val="22"/>
              </w:rPr>
              <w:t>indicates this value contains bold formatting on the server.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1699" w:hRule="atLeast"/>
        </w:trPr>
        <w:tc>
          <w:tcPr>
            <w:tcW w:w="2062" w:type="dxa"/>
          </w:tcPr>
          <w:p>
            <w:pPr>
              <w:pStyle w:val="TableParagraph"/>
              <w:ind w:right="523"/>
              <w:rPr>
                <w:sz w:val="22"/>
              </w:rPr>
            </w:pPr>
            <w:r>
              <w:rPr>
                <w:rFonts w:ascii="Cambria"/>
                <w:sz w:val="22"/>
              </w:rPr>
              <w:t>bc </w:t>
            </w:r>
            <w:r>
              <w:rPr>
                <w:sz w:val="22"/>
              </w:rPr>
              <w:t>(Background Color)</w:t>
            </w:r>
          </w:p>
        </w:tc>
        <w:tc>
          <w:tcPr>
            <w:tcW w:w="8250" w:type="dxa"/>
          </w:tcPr>
          <w:p>
            <w:pPr>
              <w:pStyle w:val="TableParagraph"/>
              <w:ind w:right="243"/>
              <w:jc w:val="both"/>
              <w:rPr>
                <w:sz w:val="22"/>
              </w:rPr>
            </w:pPr>
            <w:r>
              <w:rPr>
                <w:sz w:val="22"/>
              </w:rPr>
              <w:t>Specifies the background color for this value that was provided by the OLAP server. This attribute applies to OLAP-based PivotTables only. The color is specified as a HEX value in RGB space.</w:t>
            </w:r>
          </w:p>
          <w:p>
            <w:pPr>
              <w:pStyle w:val="TableParagraph"/>
              <w:spacing w:before="0"/>
              <w:ind w:left="0"/>
              <w:rPr>
                <w:sz w:val="22"/>
              </w:rPr>
            </w:pPr>
          </w:p>
          <w:p>
            <w:pPr>
              <w:pStyle w:val="TableParagraph"/>
              <w:spacing w:before="1"/>
              <w:ind w:right="204"/>
              <w:jc w:val="both"/>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158" w:hRule="atLeast"/>
        </w:trPr>
        <w:tc>
          <w:tcPr>
            <w:tcW w:w="2062" w:type="dxa"/>
          </w:tcPr>
          <w:p>
            <w:pPr>
              <w:pStyle w:val="TableParagraph"/>
              <w:rPr>
                <w:sz w:val="22"/>
              </w:rPr>
            </w:pPr>
            <w:r>
              <w:rPr>
                <w:rFonts w:ascii="Cambria"/>
                <w:sz w:val="22"/>
              </w:rPr>
              <w:t>c </w:t>
            </w:r>
            <w:r>
              <w:rPr>
                <w:sz w:val="22"/>
              </w:rPr>
              <w:t>(Item Caption)</w:t>
            </w:r>
          </w:p>
        </w:tc>
        <w:tc>
          <w:tcPr>
            <w:tcW w:w="8250" w:type="dxa"/>
          </w:tcPr>
          <w:p>
            <w:pPr>
              <w:pStyle w:val="TableParagraph"/>
              <w:rPr>
                <w:sz w:val="22"/>
              </w:rPr>
            </w:pPr>
            <w:r>
              <w:rPr>
                <w:sz w:val="22"/>
              </w:rPr>
              <w:t>Specifies the caption for the this item.</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480"/>
              <w:rPr>
                <w:sz w:val="22"/>
              </w:rPr>
            </w:pPr>
            <w:r>
              <w:rPr>
                <w:rFonts w:ascii="Cambria"/>
                <w:sz w:val="22"/>
              </w:rPr>
              <w:t>cp </w:t>
            </w:r>
            <w:r>
              <w:rPr>
                <w:sz w:val="22"/>
              </w:rPr>
              <w:t>(Member Property Count)</w:t>
            </w:r>
          </w:p>
        </w:tc>
        <w:tc>
          <w:tcPr>
            <w:tcW w:w="8250" w:type="dxa"/>
          </w:tcPr>
          <w:p>
            <w:pPr>
              <w:pStyle w:val="TableParagraph"/>
              <w:rPr>
                <w:sz w:val="22"/>
              </w:rPr>
            </w:pPr>
            <w:r>
              <w:rPr>
                <w:sz w:val="22"/>
              </w:rPr>
              <w:t>Specifies the number of member property values.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Pr>
          <w:p>
            <w:pPr>
              <w:pStyle w:val="TableParagraph"/>
              <w:rPr>
                <w:sz w:val="22"/>
              </w:rPr>
            </w:pPr>
            <w:r>
              <w:rPr>
                <w:rFonts w:ascii="Cambria"/>
                <w:sz w:val="22"/>
              </w:rPr>
              <w:t>f </w:t>
            </w:r>
            <w:r>
              <w:rPr>
                <w:sz w:val="22"/>
              </w:rPr>
              <w:t>(Calculated Item)</w:t>
            </w:r>
          </w:p>
        </w:tc>
        <w:tc>
          <w:tcPr>
            <w:tcW w:w="8250" w:type="dxa"/>
          </w:tcPr>
          <w:p>
            <w:pPr>
              <w:pStyle w:val="TableParagraph"/>
              <w:spacing w:line="480" w:lineRule="auto"/>
              <w:ind w:right="1060"/>
              <w:rPr>
                <w:sz w:val="22"/>
              </w:rPr>
            </w:pPr>
            <w:r>
              <w:rPr>
                <w:sz w:val="22"/>
              </w:rPr>
              <w:t>Specifies a boolean value that indicates whether this is a calculated item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item is a calculated value.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not a calculated value.</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92" w:hRule="atLeast"/>
        </w:trPr>
        <w:tc>
          <w:tcPr>
            <w:tcW w:w="2062" w:type="dxa"/>
          </w:tcPr>
          <w:p>
            <w:pPr>
              <w:pStyle w:val="TableParagraph"/>
              <w:ind w:right="591"/>
              <w:rPr>
                <w:sz w:val="22"/>
              </w:rPr>
            </w:pPr>
            <w:r>
              <w:rPr>
                <w:rFonts w:ascii="Cambria"/>
                <w:sz w:val="22"/>
              </w:rPr>
              <w:t>fc </w:t>
            </w:r>
            <w:r>
              <w:rPr>
                <w:sz w:val="22"/>
              </w:rPr>
              <w:t>(Foreground Color)</w:t>
            </w:r>
          </w:p>
        </w:tc>
        <w:tc>
          <w:tcPr>
            <w:tcW w:w="8250" w:type="dxa"/>
          </w:tcPr>
          <w:p>
            <w:pPr>
              <w:pStyle w:val="TableParagraph"/>
              <w:ind w:right="228"/>
              <w:rPr>
                <w:sz w:val="22"/>
              </w:rPr>
            </w:pPr>
            <w:r>
              <w:rPr>
                <w:sz w:val="22"/>
              </w:rPr>
              <w:t>Specifies the foreground color for this value that was provided by the OLAP server. This attribute applies to OLAP-based PivotTables only. The color is specified as a HEX value in RGB space.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190"/>
              <w:rPr>
                <w:sz w:val="22"/>
              </w:rPr>
            </w:pPr>
            <w:r>
              <w:rPr>
                <w:sz w:val="22"/>
              </w:rPr>
              <w:t>The possible values for this attribute are defined by the </w:t>
            </w:r>
            <w:r>
              <w:rPr>
                <w:rFonts w:ascii="Cambria" w:hAnsi="Cambria"/>
                <w:sz w:val="22"/>
              </w:rPr>
              <w:t>ST_UnsignedIntHex </w:t>
            </w:r>
            <w:r>
              <w:rPr>
                <w:sz w:val="22"/>
              </w:rPr>
              <w:t>simple type </w:t>
            </w:r>
            <w:hyperlink w:history="true" w:anchor="_bookmark908">
              <w:r>
                <w:rPr>
                  <w:sz w:val="22"/>
                </w:rPr>
                <w:t>(§18.18.86</w:t>
              </w:r>
            </w:hyperlink>
            <w:r>
              <w:rPr>
                <w:sz w:val="22"/>
              </w:rPr>
              <w:t>).</w:t>
            </w:r>
          </w:p>
        </w:tc>
      </w:tr>
      <w:tr>
        <w:trPr>
          <w:trHeight w:val="1965" w:hRule="atLeast"/>
        </w:trPr>
        <w:tc>
          <w:tcPr>
            <w:tcW w:w="2062" w:type="dxa"/>
          </w:tcPr>
          <w:p>
            <w:pPr>
              <w:pStyle w:val="TableParagraph"/>
              <w:rPr>
                <w:sz w:val="22"/>
              </w:rPr>
            </w:pPr>
            <w:r>
              <w:rPr>
                <w:rFonts w:ascii="Cambria"/>
                <w:sz w:val="22"/>
              </w:rPr>
              <w:t>i </w:t>
            </w:r>
            <w:r>
              <w:rPr>
                <w:sz w:val="22"/>
              </w:rPr>
              <w:t>(Italic)</w:t>
            </w:r>
          </w:p>
        </w:tc>
        <w:tc>
          <w:tcPr>
            <w:tcW w:w="8250" w:type="dxa"/>
          </w:tcPr>
          <w:p>
            <w:pPr>
              <w:pStyle w:val="TableParagraph"/>
              <w:ind w:right="337"/>
              <w:rPr>
                <w:sz w:val="22"/>
              </w:rPr>
            </w:pPr>
            <w:r>
              <w:rPr>
                <w:sz w:val="22"/>
              </w:rPr>
              <w:t>Specifies a boolean value that indicates whether the value contains italic formatting on the OLAP server. This attribute applies to OLAP-based PivotTables only.</w:t>
            </w:r>
          </w:p>
          <w:p>
            <w:pPr>
              <w:pStyle w:val="TableParagraph"/>
              <w:spacing w:line="538" w:lineRule="exact" w:before="46"/>
              <w:ind w:right="690"/>
              <w:rPr>
                <w:rFonts w:ascii="Cambria"/>
                <w:sz w:val="22"/>
              </w:rPr>
            </w:pPr>
            <w:r>
              <w:rPr>
                <w:sz w:val="22"/>
              </w:rPr>
              <w:t>A value of </w:t>
            </w:r>
            <w:r>
              <w:rPr>
                <w:rFonts w:ascii="Consolas"/>
                <w:sz w:val="20"/>
              </w:rPr>
              <w:t>1 </w:t>
            </w:r>
            <w:r>
              <w:rPr>
                <w:sz w:val="22"/>
              </w:rPr>
              <w:t>or </w:t>
            </w:r>
            <w:r>
              <w:rPr>
                <w:rFonts w:ascii="Consolas"/>
                <w:sz w:val="20"/>
              </w:rPr>
              <w:t>true </w:t>
            </w:r>
            <w:r>
              <w:rPr>
                <w:sz w:val="22"/>
              </w:rPr>
              <w:t>indicates this value contains italic formatting on the server.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1428" w:hRule="atLeast"/>
        </w:trPr>
        <w:tc>
          <w:tcPr>
            <w:tcW w:w="2062" w:type="dxa"/>
          </w:tcPr>
          <w:p>
            <w:pPr>
              <w:pStyle w:val="TableParagraph"/>
              <w:rPr>
                <w:sz w:val="22"/>
              </w:rPr>
            </w:pPr>
            <w:r>
              <w:rPr>
                <w:rFonts w:ascii="Cambria"/>
                <w:sz w:val="22"/>
              </w:rPr>
              <w:t>in </w:t>
            </w:r>
            <w:r>
              <w:rPr>
                <w:sz w:val="22"/>
              </w:rPr>
              <w:t>(Format Index)</w:t>
            </w:r>
          </w:p>
        </w:tc>
        <w:tc>
          <w:tcPr>
            <w:tcW w:w="8250" w:type="dxa"/>
          </w:tcPr>
          <w:p>
            <w:pPr>
              <w:pStyle w:val="TableParagraph"/>
              <w:ind w:right="365"/>
              <w:rPr>
                <w:sz w:val="22"/>
              </w:rPr>
            </w:pPr>
            <w:r>
              <w:rPr>
                <w:sz w:val="22"/>
              </w:rPr>
              <w:t>Specifies the index to the OLAP </w:t>
            </w:r>
            <w:r>
              <w:rPr>
                <w:rFonts w:ascii="Cambria"/>
                <w:sz w:val="22"/>
              </w:rPr>
              <w:t>serverformat </w:t>
            </w:r>
            <w:r>
              <w:rPr>
                <w:sz w:val="22"/>
              </w:rPr>
              <w:t>element where the format string for this entry is stored.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7" w:hRule="atLeast"/>
        </w:trPr>
        <w:tc>
          <w:tcPr>
            <w:tcW w:w="2062" w:type="dxa"/>
          </w:tcPr>
          <w:p>
            <w:pPr>
              <w:pStyle w:val="TableParagraph"/>
              <w:rPr>
                <w:sz w:val="22"/>
              </w:rPr>
            </w:pPr>
            <w:r>
              <w:rPr>
                <w:rFonts w:ascii="Cambria"/>
                <w:sz w:val="22"/>
              </w:rPr>
              <w:t>st </w:t>
            </w:r>
            <w:r>
              <w:rPr>
                <w:sz w:val="22"/>
              </w:rPr>
              <w:t>(Strikethrough)</w:t>
            </w:r>
          </w:p>
        </w:tc>
        <w:tc>
          <w:tcPr>
            <w:tcW w:w="8250" w:type="dxa"/>
          </w:tcPr>
          <w:p>
            <w:pPr>
              <w:pStyle w:val="TableParagraph"/>
              <w:ind w:right="457"/>
              <w:rPr>
                <w:sz w:val="22"/>
              </w:rPr>
            </w:pPr>
            <w:r>
              <w:rPr>
                <w:sz w:val="22"/>
              </w:rPr>
              <w:t>Specifies a boolean value that indicates whether the value contains strikethrough formatting on the OLAP server. This attribute applies to OLAP-based PivotTables only.</w:t>
            </w:r>
          </w:p>
          <w:p>
            <w:pPr>
              <w:pStyle w:val="TableParagraph"/>
              <w:spacing w:line="530" w:lineRule="atLeast" w:before="7"/>
              <w:ind w:right="200"/>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this value contains strikethrough formatting on the server.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3040" w:hRule="atLeast"/>
        </w:trPr>
        <w:tc>
          <w:tcPr>
            <w:tcW w:w="2062" w:type="dxa"/>
          </w:tcPr>
          <w:p>
            <w:pPr>
              <w:pStyle w:val="TableParagraph"/>
              <w:rPr>
                <w:sz w:val="22"/>
              </w:rPr>
            </w:pPr>
            <w:r>
              <w:rPr>
                <w:rFonts w:ascii="Cambria"/>
                <w:sz w:val="22"/>
              </w:rPr>
              <w:t>u </w:t>
            </w:r>
            <w:r>
              <w:rPr>
                <w:sz w:val="22"/>
              </w:rPr>
              <w:t>(Unused Item)</w:t>
            </w:r>
          </w:p>
        </w:tc>
        <w:tc>
          <w:tcPr>
            <w:tcW w:w="8250" w:type="dxa"/>
          </w:tcPr>
          <w:p>
            <w:pPr>
              <w:pStyle w:val="TableParagraph"/>
              <w:ind w:right="305"/>
              <w:rPr>
                <w:sz w:val="22"/>
              </w:rPr>
            </w:pPr>
            <w:r>
              <w:rPr>
                <w:sz w:val="22"/>
              </w:rPr>
              <w:t>Specifies a boolean value that indicates whether this is an unused item. The application marks an item as unused when an item is deleted from the data source. The item and associated metadata are retained in the cache until the threshold for unused items specified in </w:t>
            </w:r>
            <w:r>
              <w:rPr>
                <w:rFonts w:ascii="Cambria"/>
                <w:sz w:val="22"/>
              </w:rPr>
              <w:t>missingItemsLimit </w:t>
            </w:r>
            <w:r>
              <w:rPr>
                <w:sz w:val="22"/>
              </w:rPr>
              <w:t>is reached.</w:t>
            </w:r>
          </w:p>
          <w:p>
            <w:pPr>
              <w:pStyle w:val="TableParagraph"/>
              <w:spacing w:before="3"/>
              <w:ind w:left="0"/>
              <w:rPr>
                <w:rFonts w:ascii="Times New Roman"/>
                <w:sz w:val="23"/>
              </w:rPr>
            </w:pPr>
          </w:p>
          <w:p>
            <w:pPr>
              <w:pStyle w:val="TableParagraph"/>
              <w:spacing w:line="480" w:lineRule="auto" w:before="0"/>
              <w:ind w:right="3692"/>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item is unused.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item is used.</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rPr>
                <w:sz w:val="22"/>
              </w:rPr>
            </w:pPr>
            <w:r>
              <w:rPr>
                <w:rFonts w:ascii="Cambria"/>
                <w:sz w:val="22"/>
              </w:rPr>
              <w:t>un </w:t>
            </w:r>
            <w:r>
              <w:rPr>
                <w:sz w:val="22"/>
              </w:rPr>
              <w:t>(Underline)</w:t>
            </w:r>
          </w:p>
        </w:tc>
        <w:tc>
          <w:tcPr>
            <w:tcW w:w="8250" w:type="dxa"/>
          </w:tcPr>
          <w:p>
            <w:pPr>
              <w:pStyle w:val="TableParagraph"/>
              <w:spacing w:line="237" w:lineRule="auto" w:before="42"/>
              <w:ind w:right="183"/>
              <w:rPr>
                <w:sz w:val="22"/>
              </w:rPr>
            </w:pPr>
            <w:r>
              <w:rPr>
                <w:sz w:val="22"/>
              </w:rPr>
              <w:t>Specifies a boolean value that indicates whether the value contains underline formatting on the OLAP server. This attribute applies to OLAP-based PivotTables only.</w:t>
            </w:r>
          </w:p>
          <w:p>
            <w:pPr>
              <w:pStyle w:val="TableParagraph"/>
              <w:spacing w:line="530" w:lineRule="atLeast" w:before="9"/>
              <w:ind w:right="555"/>
              <w:rPr>
                <w:rFonts w:ascii="Cambria"/>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this value contains underline formatting on the server.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1161" w:hRule="atLeast"/>
        </w:trPr>
        <w:tc>
          <w:tcPr>
            <w:tcW w:w="2062" w:type="dxa"/>
          </w:tcPr>
          <w:p>
            <w:pPr>
              <w:pStyle w:val="TableParagraph"/>
              <w:rPr>
                <w:sz w:val="22"/>
              </w:rPr>
            </w:pPr>
            <w:r>
              <w:rPr>
                <w:rFonts w:ascii="Cambria"/>
                <w:sz w:val="22"/>
              </w:rPr>
              <w:t>v </w:t>
            </w:r>
            <w:r>
              <w:rPr>
                <w:sz w:val="22"/>
              </w:rPr>
              <w:t>(Value)</w:t>
            </w:r>
          </w:p>
        </w:tc>
        <w:tc>
          <w:tcPr>
            <w:tcW w:w="8250" w:type="dxa"/>
          </w:tcPr>
          <w:p>
            <w:pPr>
              <w:pStyle w:val="TableParagraph"/>
              <w:rPr>
                <w:sz w:val="22"/>
              </w:rPr>
            </w:pPr>
            <w:r>
              <w:rPr>
                <w:sz w:val="22"/>
              </w:rPr>
              <w:t>Specifies the value of the item.</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1" w:footer="746" w:top="1340" w:bottom="940" w:left="860" w:right="700"/>
        </w:sectPr>
      </w:pPr>
    </w:p>
    <w:p>
      <w:pPr>
        <w:pStyle w:val="BodyText"/>
        <w:rPr>
          <w:rFonts w:ascii="Times New Roman"/>
          <w:sz w:val="20"/>
        </w:rPr>
      </w:pPr>
    </w:p>
    <w:p>
      <w:pPr>
        <w:pStyle w:val="BodyText"/>
        <w:rPr>
          <w:rFonts w:ascii="Times New Roman"/>
          <w:sz w:val="20"/>
        </w:rPr>
      </w:pPr>
    </w:p>
    <w:p>
      <w:pPr>
        <w:pStyle w:val="BodyText"/>
        <w:spacing w:before="4"/>
        <w:rPr>
          <w:rFonts w:ascii="Times New Roman"/>
          <w:sz w:val="17"/>
        </w:rPr>
      </w:pPr>
    </w:p>
    <w:p>
      <w:pPr>
        <w:pStyle w:val="BodyText"/>
        <w:ind w:left="220"/>
      </w:pPr>
      <w:r>
        <w:rPr/>
        <w:t>[</w:t>
      </w:r>
      <w:r>
        <w:rPr>
          <w:i/>
        </w:rPr>
        <w:t>Note</w:t>
      </w:r>
      <w:r>
        <w:rPr/>
        <w:t>: The W3C XML Schema definition of this element’s content model (</w:t>
      </w:r>
      <w:r>
        <w:rPr>
          <w:color w:val="5F5F5F"/>
          <w:u w:val="single" w:color="5F5F5F"/>
        </w:rPr>
        <w:t>CT_String</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86 serverFormat (Server Format)" w:id="1007"/>
      <w:bookmarkEnd w:id="1007"/>
      <w:r>
        <w:rPr/>
      </w:r>
      <w:bookmarkStart w:name="_bookmark334" w:id="1008"/>
      <w:bookmarkEnd w:id="1008"/>
      <w:r>
        <w:rPr/>
      </w:r>
      <w:bookmarkStart w:name="_bookmark334" w:id="1009"/>
      <w:bookmarkEnd w:id="1009"/>
      <w:r>
        <w:rPr>
          <w:color w:val="4F81BC"/>
        </w:rPr>
        <w:t>ser</w:t>
      </w:r>
      <w:r>
        <w:rPr>
          <w:color w:val="4F81BC"/>
        </w:rPr>
        <w:t>verFormat (Server</w:t>
      </w:r>
      <w:r>
        <w:rPr>
          <w:color w:val="4F81BC"/>
          <w:spacing w:val="-1"/>
        </w:rPr>
        <w:t> </w:t>
      </w:r>
      <w:r>
        <w:rPr>
          <w:color w:val="4F81BC"/>
        </w:rPr>
        <w:t>Format)</w:t>
      </w:r>
    </w:p>
    <w:p>
      <w:pPr>
        <w:pStyle w:val="BodyText"/>
        <w:spacing w:before="121"/>
        <w:ind w:left="220"/>
      </w:pPr>
      <w:r>
        <w:rPr/>
        <w:t>Represents the numeric format specified by the OLAP server for a tuple.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2" w:hRule="atLeast"/>
        </w:trPr>
        <w:tc>
          <w:tcPr>
            <w:tcW w:w="2062" w:type="dxa"/>
          </w:tcPr>
          <w:p>
            <w:pPr>
              <w:pStyle w:val="TableParagraph"/>
              <w:rPr>
                <w:sz w:val="22"/>
              </w:rPr>
            </w:pPr>
            <w:r>
              <w:rPr>
                <w:rFonts w:ascii="Cambria"/>
                <w:sz w:val="22"/>
              </w:rPr>
              <w:t>culture </w:t>
            </w:r>
            <w:r>
              <w:rPr>
                <w:sz w:val="22"/>
              </w:rPr>
              <w:t>(Culture)</w:t>
            </w:r>
          </w:p>
        </w:tc>
        <w:tc>
          <w:tcPr>
            <w:tcW w:w="8250" w:type="dxa"/>
          </w:tcPr>
          <w:p>
            <w:pPr>
              <w:pStyle w:val="TableParagraph"/>
              <w:ind w:right="114"/>
              <w:rPr>
                <w:sz w:val="22"/>
              </w:rPr>
            </w:pPr>
            <w:r>
              <w:rPr>
                <w:sz w:val="22"/>
              </w:rPr>
              <w:t>Specifies a language used to determine the currency symbol to display for currency values. [</w:t>
            </w:r>
            <w:r>
              <w:rPr>
                <w:i/>
                <w:sz w:val="22"/>
              </w:rPr>
              <w:t>Example</w:t>
            </w:r>
            <w:r>
              <w:rPr>
                <w:sz w:val="22"/>
              </w:rPr>
              <w:t>: if the culture is "en-us", the values in the application will format the values with a dollar sign. If the culture is "fr-fr" the application will format the values with a euro sign. </w:t>
            </w:r>
            <w:r>
              <w:rPr>
                <w:i/>
                <w:sz w:val="22"/>
              </w:rPr>
              <w:t>end example</w:t>
            </w:r>
            <w:r>
              <w:rPr>
                <w:sz w:val="22"/>
              </w:rPr>
              <w:t>]</w:t>
            </w:r>
          </w:p>
          <w:p>
            <w:pPr>
              <w:pStyle w:val="TableParagraph"/>
              <w:spacing w:before="3"/>
              <w:ind w:left="0"/>
              <w:rPr>
                <w:sz w:val="22"/>
              </w:rPr>
            </w:pPr>
          </w:p>
          <w:p>
            <w:pPr>
              <w:pStyle w:val="TableParagraph"/>
              <w:spacing w:line="237" w:lineRule="auto" w:before="1"/>
              <w:ind w:right="621"/>
              <w:rPr>
                <w:sz w:val="22"/>
              </w:rPr>
            </w:pPr>
            <w:r>
              <w:rPr>
                <w:sz w:val="22"/>
              </w:rPr>
              <w:t>This value conforms to the language tagging conventions of RFC 3066 and later. The pattern &lt;language&gt;-&lt;REGION&gt; is used, e.g., "en-us" or "fr-fr".</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8" w:hRule="atLeast"/>
        </w:trPr>
        <w:tc>
          <w:tcPr>
            <w:tcW w:w="2062" w:type="dxa"/>
          </w:tcPr>
          <w:p>
            <w:pPr>
              <w:pStyle w:val="TableParagraph"/>
              <w:rPr>
                <w:sz w:val="22"/>
              </w:rPr>
            </w:pPr>
            <w:r>
              <w:rPr>
                <w:rFonts w:ascii="Cambria"/>
                <w:sz w:val="22"/>
              </w:rPr>
              <w:t>format </w:t>
            </w:r>
            <w:r>
              <w:rPr>
                <w:sz w:val="22"/>
              </w:rPr>
              <w:t>(Format)</w:t>
            </w:r>
          </w:p>
        </w:tc>
        <w:tc>
          <w:tcPr>
            <w:tcW w:w="8250" w:type="dxa"/>
          </w:tcPr>
          <w:p>
            <w:pPr>
              <w:pStyle w:val="TableParagraph"/>
              <w:ind w:right="363"/>
              <w:rPr>
                <w:sz w:val="22"/>
              </w:rPr>
            </w:pPr>
            <w:r>
              <w:rPr>
                <w:sz w:val="22"/>
              </w:rPr>
              <w:t>Specifies the format string to use for all other numeric values. This string is supplied by the OLAP server. Therefore, the syntax for reading the format string depends on the server implementation.</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CT_ServerFormat</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87 serverFormats (Server Formats" w:id="1010"/>
      <w:bookmarkEnd w:id="1010"/>
      <w:r>
        <w:rPr/>
      </w:r>
      <w:bookmarkStart w:name="_bookmark335" w:id="1011"/>
      <w:bookmarkEnd w:id="1011"/>
      <w:r>
        <w:rPr/>
      </w:r>
      <w:bookmarkStart w:name="_bookmark335" w:id="1012"/>
      <w:bookmarkEnd w:id="1012"/>
      <w:r>
        <w:rPr>
          <w:color w:val="4F81BC"/>
        </w:rPr>
        <w:t>ser</w:t>
      </w:r>
      <w:r>
        <w:rPr>
          <w:color w:val="4F81BC"/>
        </w:rPr>
        <w:t>verFormats (Server</w:t>
      </w:r>
      <w:r>
        <w:rPr>
          <w:color w:val="4F81BC"/>
          <w:spacing w:val="1"/>
        </w:rPr>
        <w:t> </w:t>
      </w:r>
      <w:r>
        <w:rPr>
          <w:color w:val="4F81BC"/>
        </w:rPr>
        <w:t>Formats)</w:t>
      </w:r>
    </w:p>
    <w:p>
      <w:pPr>
        <w:pStyle w:val="BodyText"/>
        <w:spacing w:before="122"/>
        <w:ind w:left="220"/>
      </w:pPr>
      <w:r>
        <w:rPr/>
        <w:t>Represents the collection of numeric and currency formats specified by the OLAP server for a tuple</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ind w:right="620"/>
              <w:rPr>
                <w:sz w:val="22"/>
              </w:rPr>
            </w:pPr>
            <w:r>
              <w:rPr>
                <w:rFonts w:ascii="Cambria"/>
                <w:sz w:val="22"/>
              </w:rPr>
              <w:t>count </w:t>
            </w:r>
            <w:r>
              <w:rPr>
                <w:sz w:val="22"/>
              </w:rPr>
              <w:t>(Format Count)</w:t>
            </w:r>
          </w:p>
        </w:tc>
        <w:tc>
          <w:tcPr>
            <w:tcW w:w="8250" w:type="dxa"/>
          </w:tcPr>
          <w:p>
            <w:pPr>
              <w:pStyle w:val="TableParagraph"/>
              <w:rPr>
                <w:sz w:val="22"/>
              </w:rPr>
            </w:pPr>
            <w:r>
              <w:rPr>
                <w:sz w:val="22"/>
              </w:rPr>
              <w:t>Specifies the number of formats in the collection.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CT_ServerFormats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88 set (OLAP Set)" w:id="1013"/>
      <w:bookmarkEnd w:id="1013"/>
      <w:r>
        <w:rPr/>
      </w:r>
      <w:bookmarkStart w:name="_bookmark336" w:id="1014"/>
      <w:bookmarkEnd w:id="1014"/>
      <w:r>
        <w:rPr/>
      </w:r>
      <w:bookmarkStart w:name="_bookmark336" w:id="1015"/>
      <w:bookmarkEnd w:id="1015"/>
      <w:r>
        <w:rPr>
          <w:color w:val="4F81BC"/>
        </w:rPr>
        <w:t>set</w:t>
      </w:r>
      <w:r>
        <w:rPr>
          <w:color w:val="4F81BC"/>
        </w:rPr>
        <w:t> (OLAP</w:t>
      </w:r>
      <w:r>
        <w:rPr>
          <w:color w:val="4F81BC"/>
          <w:spacing w:val="-1"/>
        </w:rPr>
        <w:t> </w:t>
      </w:r>
      <w:r>
        <w:rPr>
          <w:color w:val="4F81BC"/>
        </w:rPr>
        <w:t>Set)</w:t>
      </w:r>
    </w:p>
    <w:p>
      <w:pPr>
        <w:pStyle w:val="BodyText"/>
        <w:spacing w:line="278" w:lineRule="auto" w:before="119"/>
        <w:ind w:left="220" w:right="820"/>
      </w:pPr>
      <w:r>
        <w:rPr/>
        <w:t>Represents an OLAP sheet data set or tuple set. The set is defined by a Multidimensional Expressions (MDX) query that specifies criteria for the dimension members that belong to the set.</w:t>
      </w:r>
    </w:p>
    <w:p>
      <w:pPr>
        <w:spacing w:after="0" w:line="278" w:lineRule="auto"/>
        <w:sectPr>
          <w:pgSz w:w="12240" w:h="15840"/>
          <w:pgMar w:header="763" w:footer="746" w:top="1340" w:bottom="940" w:left="860" w:right="700"/>
        </w:sectPr>
      </w:pPr>
    </w:p>
    <w:p>
      <w:pPr>
        <w:pStyle w:val="BodyText"/>
        <w:spacing w:line="456" w:lineRule="auto" w:before="93"/>
        <w:ind w:left="220"/>
      </w:pPr>
      <w:r>
        <w:rPr/>
        <w:t>[</w:t>
      </w:r>
      <w:r>
        <w:rPr>
          <w:i/>
        </w:rPr>
        <w:t>Example</w:t>
      </w:r>
      <w:r>
        <w:rPr/>
        <w:t>: the following MDX expression defines the set for the 10 salespersons with the lowest sales: BottomCount([Salesperson].[Salesperson Name].Members,10,[Measures].[Sales])</w:t>
      </w:r>
    </w:p>
    <w:p>
      <w:pPr>
        <w:spacing w:line="266" w:lineRule="exact" w:before="0"/>
        <w:ind w:left="270" w:right="0" w:firstLine="0"/>
        <w:jc w:val="left"/>
        <w:rPr>
          <w:sz w:val="22"/>
        </w:rPr>
      </w:pPr>
      <w:r>
        <w:rPr>
          <w:i/>
          <w:sz w:val="22"/>
        </w:rPr>
        <w:t>end example</w:t>
      </w:r>
      <w:r>
        <w:rPr>
          <w:sz w:val="22"/>
        </w:rPr>
        <w:t>]</w:t>
      </w:r>
    </w:p>
    <w:p>
      <w:pPr>
        <w:pStyle w:val="BodyText"/>
        <w:spacing w:before="8"/>
        <w:rPr>
          <w:sz w:val="19"/>
        </w:rPr>
      </w:pPr>
    </w:p>
    <w:p>
      <w:pPr>
        <w:pStyle w:val="BodyText"/>
        <w:ind w:left="220"/>
        <w:rPr>
          <w:rFonts w:ascii="Cambria"/>
        </w:rPr>
      </w:pPr>
      <w:r>
        <w:rPr/>
        <w:t>The MDX expression is specified in the </w:t>
      </w:r>
      <w:r>
        <w:rPr>
          <w:rFonts w:ascii="Cambria"/>
        </w:rPr>
        <w:t>setDefinition </w:t>
      </w:r>
      <w:r>
        <w:rPr/>
        <w:t>attribute</w:t>
      </w:r>
      <w:r>
        <w:rPr>
          <w:rFonts w:ascii="Cambria"/>
        </w:rPr>
        <w:t>.</w:t>
      </w:r>
    </w:p>
    <w:p>
      <w:pPr>
        <w:pStyle w:val="BodyText"/>
        <w:spacing w:before="6"/>
        <w:rPr>
          <w:rFonts w:ascii="Cambria"/>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01"/>
              <w:rPr>
                <w:sz w:val="22"/>
              </w:rPr>
            </w:pPr>
            <w:r>
              <w:rPr>
                <w:rFonts w:ascii="Cambria"/>
                <w:sz w:val="22"/>
              </w:rPr>
              <w:t>count </w:t>
            </w:r>
            <w:r>
              <w:rPr>
                <w:sz w:val="22"/>
              </w:rPr>
              <w:t>(Number of Tuples)</w:t>
            </w:r>
          </w:p>
        </w:tc>
        <w:tc>
          <w:tcPr>
            <w:tcW w:w="8250" w:type="dxa"/>
          </w:tcPr>
          <w:p>
            <w:pPr>
              <w:pStyle w:val="TableParagraph"/>
              <w:rPr>
                <w:sz w:val="22"/>
              </w:rPr>
            </w:pPr>
            <w:r>
              <w:rPr>
                <w:sz w:val="22"/>
              </w:rPr>
              <w:t>Specifies the number of tuples in the set.</w:t>
            </w:r>
          </w:p>
          <w:p>
            <w:pPr>
              <w:pStyle w:val="TableParagraph"/>
              <w:spacing w:before="11"/>
              <w:ind w:left="0"/>
              <w:rPr>
                <w:rFonts w:ascii="Cambria"/>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90" w:hRule="atLeast"/>
        </w:trPr>
        <w:tc>
          <w:tcPr>
            <w:tcW w:w="2062" w:type="dxa"/>
          </w:tcPr>
          <w:p>
            <w:pPr>
              <w:pStyle w:val="TableParagraph"/>
              <w:spacing w:line="237" w:lineRule="auto" w:before="45"/>
              <w:ind w:right="453"/>
              <w:rPr>
                <w:sz w:val="22"/>
              </w:rPr>
            </w:pPr>
            <w:r>
              <w:rPr>
                <w:rFonts w:ascii="Cambria"/>
                <w:sz w:val="22"/>
              </w:rPr>
              <w:t>maxRank </w:t>
            </w:r>
            <w:r>
              <w:rPr>
                <w:sz w:val="22"/>
              </w:rPr>
              <w:t>(Maximum Rank Requested)</w:t>
            </w:r>
          </w:p>
        </w:tc>
        <w:tc>
          <w:tcPr>
            <w:tcW w:w="8250" w:type="dxa"/>
          </w:tcPr>
          <w:p>
            <w:pPr>
              <w:pStyle w:val="TableParagraph"/>
              <w:rPr>
                <w:sz w:val="22"/>
              </w:rPr>
            </w:pPr>
            <w:r>
              <w:rPr>
                <w:sz w:val="22"/>
              </w:rPr>
              <w:t>Specifies the largest rank entry the user has requested.</w:t>
            </w:r>
          </w:p>
          <w:p>
            <w:pPr>
              <w:pStyle w:val="TableParagraph"/>
              <w:spacing w:before="9"/>
              <w:ind w:left="0"/>
              <w:rPr>
                <w:rFonts w:ascii="Cambria"/>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2234" w:hRule="atLeast"/>
        </w:trPr>
        <w:tc>
          <w:tcPr>
            <w:tcW w:w="2062" w:type="dxa"/>
          </w:tcPr>
          <w:p>
            <w:pPr>
              <w:pStyle w:val="TableParagraph"/>
              <w:ind w:right="125"/>
              <w:rPr>
                <w:sz w:val="22"/>
              </w:rPr>
            </w:pPr>
            <w:r>
              <w:rPr>
                <w:rFonts w:ascii="Cambria"/>
                <w:sz w:val="22"/>
              </w:rPr>
              <w:t>queryFailed </w:t>
            </w:r>
            <w:r>
              <w:rPr>
                <w:sz w:val="22"/>
              </w:rPr>
              <w:t>(Query Failed)</w:t>
            </w:r>
          </w:p>
        </w:tc>
        <w:tc>
          <w:tcPr>
            <w:tcW w:w="8250" w:type="dxa"/>
          </w:tcPr>
          <w:p>
            <w:pPr>
              <w:pStyle w:val="TableParagraph"/>
              <w:spacing w:line="480" w:lineRule="auto"/>
              <w:ind w:right="1367"/>
              <w:rPr>
                <w:sz w:val="22"/>
              </w:rPr>
            </w:pPr>
            <w:r>
              <w:rPr>
                <w:sz w:val="22"/>
              </w:rPr>
              <w:t>Specifies a boolean value that indicates whether querying on this set failed.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 query against this set failed.</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 query against this set succeeded.</w:t>
            </w:r>
          </w:p>
          <w:p>
            <w:pPr>
              <w:pStyle w:val="TableParagraph"/>
              <w:spacing w:before="11"/>
              <w:ind w:left="0"/>
              <w:rPr>
                <w:rFonts w:ascii="Cambria"/>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6" w:hRule="atLeast"/>
        </w:trPr>
        <w:tc>
          <w:tcPr>
            <w:tcW w:w="2062" w:type="dxa"/>
          </w:tcPr>
          <w:p>
            <w:pPr>
              <w:pStyle w:val="TableParagraph"/>
              <w:spacing w:line="237" w:lineRule="auto" w:before="44"/>
              <w:ind w:right="148"/>
              <w:rPr>
                <w:sz w:val="22"/>
              </w:rPr>
            </w:pPr>
            <w:r>
              <w:rPr>
                <w:rFonts w:ascii="Cambria"/>
                <w:sz w:val="22"/>
              </w:rPr>
              <w:t>setDefinition </w:t>
            </w:r>
            <w:r>
              <w:rPr>
                <w:sz w:val="22"/>
              </w:rPr>
              <w:t>(MDX Set Definition)</w:t>
            </w:r>
          </w:p>
        </w:tc>
        <w:tc>
          <w:tcPr>
            <w:tcW w:w="8250" w:type="dxa"/>
          </w:tcPr>
          <w:p>
            <w:pPr>
              <w:pStyle w:val="TableParagraph"/>
              <w:spacing w:before="42"/>
              <w:rPr>
                <w:sz w:val="22"/>
              </w:rPr>
            </w:pPr>
            <w:r>
              <w:rPr>
                <w:sz w:val="22"/>
              </w:rPr>
              <w:t>Specifies the Multidimensional Expressions (MDX) set definition.</w:t>
            </w:r>
          </w:p>
          <w:p>
            <w:pPr>
              <w:pStyle w:val="TableParagraph"/>
              <w:spacing w:before="9"/>
              <w:ind w:left="0"/>
              <w:rPr>
                <w:rFonts w:ascii="Cambria"/>
                <w:sz w:val="22"/>
              </w:rPr>
            </w:pPr>
          </w:p>
          <w:p>
            <w:pPr>
              <w:pStyle w:val="TableParagraph"/>
              <w:spacing w:before="0"/>
              <w:ind w:right="120"/>
              <w:rPr>
                <w:sz w:val="22"/>
              </w:rPr>
            </w:pPr>
            <w:r>
              <w:rPr>
                <w:sz w:val="22"/>
              </w:rPr>
              <w:t>[</w:t>
            </w:r>
            <w:r>
              <w:rPr>
                <w:i/>
                <w:sz w:val="22"/>
              </w:rPr>
              <w:t>Note</w:t>
            </w:r>
            <w:r>
              <w:rPr>
                <w:sz w:val="22"/>
              </w:rPr>
              <w:t>: Data connectivity can use a number of different technologies. One example of potential values stored in this attribute can be found at: </w:t>
            </w:r>
            <w:hyperlink r:id="rId110">
              <w:r>
                <w:rPr>
                  <w:color w:val="5F5F5F"/>
                  <w:sz w:val="22"/>
                  <w:u w:val="single" w:color="5F5F5F"/>
                </w:rPr>
                <w:t>http://msdn2.microsoft.com/en-</w:t>
              </w:r>
            </w:hyperlink>
            <w:r>
              <w:rPr>
                <w:color w:val="5F5F5F"/>
                <w:sz w:val="22"/>
              </w:rPr>
              <w:t> </w:t>
            </w:r>
            <w:r>
              <w:rPr>
                <w:color w:val="5F5F5F"/>
                <w:sz w:val="22"/>
                <w:u w:val="single" w:color="5F5F5F"/>
              </w:rPr>
              <w:t>us/library/ms145595.aspx</w:t>
            </w:r>
            <w:r>
              <w:rPr>
                <w:color w:val="5F5F5F"/>
                <w:sz w:val="22"/>
              </w:rPr>
              <w:t> </w:t>
            </w:r>
            <w:r>
              <w:rPr>
                <w:i/>
                <w:sz w:val="22"/>
              </w:rPr>
              <w:t>end note</w:t>
            </w:r>
            <w:r>
              <w:rPr>
                <w:sz w:val="22"/>
              </w:rPr>
              <w:t>]</w:t>
            </w:r>
          </w:p>
          <w:p>
            <w:pPr>
              <w:pStyle w:val="TableParagraph"/>
              <w:spacing w:before="0"/>
              <w:ind w:left="0"/>
              <w:rPr>
                <w:rFonts w:ascii="Cambria"/>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252"/>
              <w:rPr>
                <w:sz w:val="22"/>
              </w:rPr>
            </w:pPr>
            <w:r>
              <w:rPr>
                <w:rFonts w:ascii="Cambria"/>
                <w:sz w:val="22"/>
              </w:rPr>
              <w:t>sortType </w:t>
            </w:r>
            <w:r>
              <w:rPr>
                <w:sz w:val="22"/>
              </w:rPr>
              <w:t>(Set Sort Order)</w:t>
            </w:r>
          </w:p>
        </w:tc>
        <w:tc>
          <w:tcPr>
            <w:tcW w:w="8250" w:type="dxa"/>
          </w:tcPr>
          <w:p>
            <w:pPr>
              <w:pStyle w:val="TableParagraph"/>
              <w:rPr>
                <w:sz w:val="22"/>
              </w:rPr>
            </w:pPr>
            <w:r>
              <w:rPr>
                <w:sz w:val="22"/>
              </w:rPr>
              <w:t>Specifies the sort order of the set.</w:t>
            </w:r>
          </w:p>
          <w:p>
            <w:pPr>
              <w:pStyle w:val="TableParagraph"/>
              <w:spacing w:before="8"/>
              <w:ind w:left="0"/>
              <w:rPr>
                <w:rFonts w:ascii="Cambria"/>
                <w:sz w:val="22"/>
              </w:rPr>
            </w:pPr>
          </w:p>
          <w:p>
            <w:pPr>
              <w:pStyle w:val="TableParagraph"/>
              <w:spacing w:before="0"/>
              <w:ind w:right="842"/>
              <w:rPr>
                <w:sz w:val="22"/>
              </w:rPr>
            </w:pPr>
            <w:r>
              <w:rPr>
                <w:sz w:val="22"/>
              </w:rPr>
              <w:t>The possible values for this attribute are defined by the </w:t>
            </w:r>
            <w:r>
              <w:rPr>
                <w:rFonts w:ascii="Cambria" w:hAnsi="Cambria"/>
                <w:sz w:val="22"/>
              </w:rPr>
              <w:t>ST_SortType </w:t>
            </w:r>
            <w:r>
              <w:rPr>
                <w:sz w:val="22"/>
              </w:rPr>
              <w:t>simple type </w:t>
            </w:r>
            <w:hyperlink w:history="true" w:anchor="_bookmark896">
              <w:r>
                <w:rPr>
                  <w:sz w:val="22"/>
                </w:rPr>
                <w:t>(§18.18.74</w:t>
              </w:r>
            </w:hyperlink>
            <w:r>
              <w:rPr>
                <w:sz w:val="22"/>
              </w:rPr>
              <w:t>).</w:t>
            </w:r>
          </w:p>
        </w:tc>
      </w:tr>
    </w:tbl>
    <w:p>
      <w:pPr>
        <w:pStyle w:val="BodyText"/>
        <w:rPr>
          <w:rFonts w:ascii="Cambria"/>
          <w:sz w:val="26"/>
        </w:rPr>
      </w:pPr>
    </w:p>
    <w:p>
      <w:pPr>
        <w:pStyle w:val="BodyText"/>
        <w:spacing w:before="204"/>
        <w:ind w:left="220"/>
      </w:pPr>
      <w:r>
        <w:rPr/>
        <w:t>[</w:t>
      </w:r>
      <w:r>
        <w:rPr>
          <w:i/>
        </w:rPr>
        <w:t>Note</w:t>
      </w:r>
      <w:r>
        <w:rPr/>
        <w:t>: The W3C XML Schema definition of this element’s content model (</w:t>
      </w:r>
      <w:r>
        <w:rPr>
          <w:color w:val="5F5F5F"/>
          <w:u w:val="single" w:color="5F5F5F"/>
        </w:rPr>
        <w:t>CT_Set</w:t>
      </w:r>
      <w:r>
        <w:rPr/>
        <w:t>) is located in §A.2. </w:t>
      </w:r>
      <w:r>
        <w:rPr>
          <w:i/>
        </w:rPr>
        <w:t>end note</w:t>
      </w:r>
      <w:r>
        <w:rPr/>
        <w:t>]</w:t>
      </w:r>
    </w:p>
    <w:p>
      <w:pPr>
        <w:pStyle w:val="BodyText"/>
        <w:spacing w:before="8"/>
        <w:rPr>
          <w:sz w:val="19"/>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89 sets (Sets)" w:id="1016"/>
      <w:bookmarkEnd w:id="1016"/>
      <w:r>
        <w:rPr/>
      </w:r>
      <w:bookmarkStart w:name="_bookmark337" w:id="1017"/>
      <w:bookmarkEnd w:id="1017"/>
      <w:r>
        <w:rPr/>
      </w:r>
      <w:bookmarkStart w:name="_bookmark337" w:id="1018"/>
      <w:bookmarkEnd w:id="1018"/>
      <w:r>
        <w:rPr>
          <w:color w:val="4F81BC"/>
        </w:rPr>
        <w:t>sets</w:t>
      </w:r>
      <w:r>
        <w:rPr>
          <w:color w:val="4F81BC"/>
        </w:rPr>
        <w:t> (Sets)</w:t>
      </w:r>
    </w:p>
    <w:p>
      <w:pPr>
        <w:pStyle w:val="BodyText"/>
        <w:spacing w:before="123"/>
        <w:ind w:left="220"/>
      </w:pPr>
      <w:r>
        <w:rPr/>
        <w:t>Represents the collection of OLAP sheet data entries or tuple sets.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7" w:hRule="atLeast"/>
        </w:trPr>
        <w:tc>
          <w:tcPr>
            <w:tcW w:w="2062" w:type="dxa"/>
          </w:tcPr>
          <w:p>
            <w:pPr>
              <w:pStyle w:val="TableParagraph"/>
              <w:spacing w:before="42"/>
              <w:rPr>
                <w:sz w:val="22"/>
              </w:rPr>
            </w:pPr>
            <w:r>
              <w:rPr>
                <w:rFonts w:ascii="Cambria"/>
                <w:sz w:val="22"/>
              </w:rPr>
              <w:t>count </w:t>
            </w:r>
            <w:r>
              <w:rPr>
                <w:sz w:val="22"/>
              </w:rPr>
              <w:t>(Tuple Set</w:t>
            </w:r>
          </w:p>
        </w:tc>
        <w:tc>
          <w:tcPr>
            <w:tcW w:w="8250" w:type="dxa"/>
          </w:tcPr>
          <w:p>
            <w:pPr>
              <w:pStyle w:val="TableParagraph"/>
              <w:spacing w:before="42"/>
              <w:rPr>
                <w:sz w:val="22"/>
              </w:rPr>
            </w:pPr>
            <w:r>
              <w:rPr>
                <w:sz w:val="22"/>
              </w:rPr>
              <w:t>Specifies the number of tuple sets.</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Count)</w:t>
            </w: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CT_Sets</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90 sharedItems (Shared Items)" w:id="1019"/>
      <w:bookmarkEnd w:id="1019"/>
      <w:r>
        <w:rPr/>
      </w:r>
      <w:bookmarkStart w:name="_bookmark338" w:id="1020"/>
      <w:bookmarkEnd w:id="1020"/>
      <w:r>
        <w:rPr/>
      </w:r>
      <w:bookmarkStart w:name="_bookmark338" w:id="1021"/>
      <w:bookmarkEnd w:id="1021"/>
      <w:r>
        <w:rPr>
          <w:color w:val="4F81BC"/>
        </w:rPr>
        <w:t>sha</w:t>
      </w:r>
      <w:r>
        <w:rPr>
          <w:color w:val="4F81BC"/>
        </w:rPr>
        <w:t>redItems (Shared</w:t>
      </w:r>
      <w:r>
        <w:rPr>
          <w:color w:val="4F81BC"/>
          <w:spacing w:val="-1"/>
        </w:rPr>
        <w:t> </w:t>
      </w:r>
      <w:r>
        <w:rPr>
          <w:color w:val="4F81BC"/>
        </w:rPr>
        <w:t>Items)</w:t>
      </w:r>
    </w:p>
    <w:p>
      <w:pPr>
        <w:pStyle w:val="BodyText"/>
        <w:spacing w:line="276" w:lineRule="auto" w:before="119"/>
        <w:ind w:left="220" w:right="430"/>
      </w:pPr>
      <w:r>
        <w:rPr/>
        <w:t>Represents the collection of unique items for a field in the PivotCacheDefinition. The sharedItems complex type stores data type and formatting information about the data in a field. Items in the PivotCacheDefinition can be shared in order to reduce the redundancy of those values that are referenced in multiple places across all the PivotTable parts. [</w:t>
      </w:r>
      <w:r>
        <w:rPr>
          <w:i/>
        </w:rPr>
        <w:t>Example</w:t>
      </w:r>
      <w:r>
        <w:rPr/>
        <w:t>: A value might be part of a filter, it might appear on a row or column axis, and will appear in the pivotCacheRecords definition as well. However, because of the performance cost of creating the optimized shared items, items are only shared if they are actually in use in the PivotTable. Therefore, depending on user actions on the PivotTable layout, the pivotCacheDefinition and underlying PivotCacheRecords part can be updated. </w:t>
      </w:r>
      <w:r>
        <w:rPr>
          <w:i/>
        </w:rPr>
        <w:t>end example</w:t>
      </w:r>
      <w:r>
        <w:rPr/>
        <w:t>]</w:t>
      </w:r>
    </w:p>
    <w:p>
      <w:pPr>
        <w:pStyle w:val="BodyText"/>
        <w:spacing w:before="8"/>
        <w:rPr>
          <w:sz w:val="16"/>
        </w:rPr>
      </w:pPr>
    </w:p>
    <w:p>
      <w:pPr>
        <w:pStyle w:val="BodyText"/>
        <w:spacing w:line="453" w:lineRule="auto"/>
        <w:ind w:left="220" w:right="1888"/>
      </w:pPr>
      <w:r>
        <w:rPr/>
        <w:t>If there are no shared items, then field values are stored directly in the pivotCacheRecords part. [</w:t>
      </w:r>
      <w:r>
        <w:rPr>
          <w:i/>
        </w:rPr>
        <w:t>Example</w:t>
      </w:r>
      <w:r>
        <w:rPr/>
        <w:t>:</w:t>
      </w:r>
    </w:p>
    <w:p>
      <w:pPr>
        <w:pStyle w:val="BodyText"/>
        <w:spacing w:before="2"/>
        <w:ind w:left="508"/>
        <w:rPr>
          <w:rFonts w:ascii="Consolas"/>
        </w:rPr>
      </w:pPr>
      <w:r>
        <w:rPr>
          <w:rFonts w:ascii="Consolas"/>
        </w:rPr>
        <w:t>&lt;sharedItems</w:t>
      </w:r>
      <w:r>
        <w:rPr>
          <w:rFonts w:ascii="Consolas"/>
          <w:spacing w:val="-16"/>
        </w:rPr>
        <w:t> </w:t>
      </w:r>
      <w:r>
        <w:rPr>
          <w:rFonts w:ascii="Consolas"/>
        </w:rPr>
        <w:t>count="1"&gt;</w:t>
      </w:r>
    </w:p>
    <w:p>
      <w:pPr>
        <w:pStyle w:val="BodyText"/>
        <w:spacing w:line="278" w:lineRule="auto" w:before="38"/>
        <w:ind w:left="993" w:right="718" w:hanging="243"/>
        <w:rPr>
          <w:rFonts w:ascii="Consolas"/>
        </w:rPr>
      </w:pPr>
      <w:r>
        <w:rPr>
          <w:rFonts w:ascii="Consolas"/>
        </w:rPr>
        <w:t>&lt;s v="[Customer].[Customer Geography].[Country].&amp;amp;[United</w:t>
      </w:r>
      <w:r>
        <w:rPr>
          <w:rFonts w:ascii="Consolas"/>
          <w:spacing w:val="-46"/>
        </w:rPr>
        <w:t> </w:t>
      </w:r>
      <w:r>
        <w:rPr>
          <w:rFonts w:ascii="Consolas"/>
        </w:rPr>
        <w:t>States]" c="United</w:t>
      </w:r>
      <w:r>
        <w:rPr>
          <w:rFonts w:ascii="Consolas"/>
          <w:spacing w:val="-2"/>
        </w:rPr>
        <w:t> </w:t>
      </w:r>
      <w:r>
        <w:rPr>
          <w:rFonts w:ascii="Consolas"/>
        </w:rPr>
        <w:t>States"/&gt;</w:t>
      </w:r>
    </w:p>
    <w:p>
      <w:pPr>
        <w:pStyle w:val="BodyText"/>
        <w:spacing w:line="253" w:lineRule="exact"/>
        <w:ind w:left="508"/>
        <w:rPr>
          <w:rFonts w:ascii="Consolas"/>
        </w:rPr>
      </w:pPr>
      <w:r>
        <w:rPr>
          <w:rFonts w:ascii="Consolas"/>
        </w:rPr>
        <w:t>&lt;/sharedItems&gt;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The following attributes are not required or used if there are no items in sharedItems.</w:t>
      </w:r>
    </w:p>
    <w:p>
      <w:pPr>
        <w:pStyle w:val="BodyText"/>
        <w:spacing w:before="9"/>
        <w:rPr>
          <w:sz w:val="19"/>
        </w:rPr>
      </w:pPr>
    </w:p>
    <w:p>
      <w:pPr>
        <w:pStyle w:val="ListParagraph"/>
        <w:numPr>
          <w:ilvl w:val="4"/>
          <w:numId w:val="42"/>
        </w:numPr>
        <w:tabs>
          <w:tab w:pos="940" w:val="left" w:leader="none"/>
          <w:tab w:pos="941" w:val="left" w:leader="none"/>
        </w:tabs>
        <w:spacing w:line="240" w:lineRule="auto" w:before="0" w:after="0"/>
        <w:ind w:left="940" w:right="0" w:hanging="361"/>
        <w:jc w:val="left"/>
        <w:rPr>
          <w:rFonts w:ascii="Cambria" w:hAnsi="Cambria"/>
          <w:sz w:val="22"/>
        </w:rPr>
      </w:pPr>
      <w:r>
        <w:rPr>
          <w:rFonts w:ascii="Cambria" w:hAnsi="Cambria"/>
          <w:sz w:val="22"/>
        </w:rPr>
        <w:t>containsBlank</w:t>
      </w:r>
    </w:p>
    <w:p>
      <w:pPr>
        <w:pStyle w:val="ListParagraph"/>
        <w:numPr>
          <w:ilvl w:val="4"/>
          <w:numId w:val="42"/>
        </w:numPr>
        <w:tabs>
          <w:tab w:pos="940" w:val="left" w:leader="none"/>
          <w:tab w:pos="941" w:val="left" w:leader="none"/>
        </w:tabs>
        <w:spacing w:line="240" w:lineRule="auto" w:before="37" w:after="0"/>
        <w:ind w:left="940" w:right="0" w:hanging="361"/>
        <w:jc w:val="left"/>
        <w:rPr>
          <w:rFonts w:ascii="Cambria" w:hAnsi="Cambria"/>
          <w:sz w:val="22"/>
        </w:rPr>
      </w:pPr>
      <w:r>
        <w:rPr>
          <w:rFonts w:ascii="Cambria" w:hAnsi="Cambria"/>
          <w:sz w:val="22"/>
        </w:rPr>
        <w:t>containsSemiMixedTypes</w:t>
      </w:r>
    </w:p>
    <w:p>
      <w:pPr>
        <w:pStyle w:val="ListParagraph"/>
        <w:numPr>
          <w:ilvl w:val="4"/>
          <w:numId w:val="42"/>
        </w:numPr>
        <w:tabs>
          <w:tab w:pos="940" w:val="left" w:leader="none"/>
          <w:tab w:pos="941" w:val="left" w:leader="none"/>
        </w:tabs>
        <w:spacing w:line="240" w:lineRule="auto" w:before="40" w:after="0"/>
        <w:ind w:left="940" w:right="0" w:hanging="361"/>
        <w:jc w:val="left"/>
        <w:rPr>
          <w:rFonts w:ascii="Cambria" w:hAnsi="Cambria"/>
          <w:sz w:val="22"/>
        </w:rPr>
      </w:pPr>
      <w:r>
        <w:rPr>
          <w:rFonts w:ascii="Cambria" w:hAnsi="Cambria"/>
          <w:sz w:val="22"/>
        </w:rPr>
        <w:t>containsMixedTypes</w:t>
      </w:r>
    </w:p>
    <w:p>
      <w:pPr>
        <w:pStyle w:val="ListParagraph"/>
        <w:numPr>
          <w:ilvl w:val="4"/>
          <w:numId w:val="42"/>
        </w:numPr>
        <w:tabs>
          <w:tab w:pos="940" w:val="left" w:leader="none"/>
          <w:tab w:pos="941" w:val="left" w:leader="none"/>
        </w:tabs>
        <w:spacing w:line="240" w:lineRule="auto" w:before="39" w:after="0"/>
        <w:ind w:left="940" w:right="0" w:hanging="361"/>
        <w:jc w:val="left"/>
        <w:rPr>
          <w:rFonts w:ascii="Cambria" w:hAnsi="Cambria"/>
          <w:sz w:val="22"/>
        </w:rPr>
      </w:pPr>
      <w:r>
        <w:rPr>
          <w:rFonts w:ascii="Cambria" w:hAnsi="Cambria"/>
          <w:sz w:val="22"/>
        </w:rPr>
        <w:t>longText</w:t>
      </w:r>
    </w:p>
    <w:p>
      <w:pPr>
        <w:pStyle w:val="BodyText"/>
        <w:spacing w:before="2"/>
        <w:rPr>
          <w:rFonts w:ascii="Cambria"/>
          <w:sz w:val="20"/>
        </w:rPr>
      </w:pPr>
    </w:p>
    <w:p>
      <w:pPr>
        <w:pStyle w:val="BodyText"/>
        <w:spacing w:line="278" w:lineRule="auto"/>
        <w:ind w:left="220" w:right="782"/>
      </w:pPr>
      <w:r>
        <w:rPr/>
        <w:t>The following attributes are not used unless there is more than one item in sharedItems or the one and only item is not a blank item. If the first item is a blank item the data type the field cannot be verified.</w:t>
      </w:r>
    </w:p>
    <w:p>
      <w:pPr>
        <w:pStyle w:val="ListParagraph"/>
        <w:numPr>
          <w:ilvl w:val="4"/>
          <w:numId w:val="42"/>
        </w:numPr>
        <w:tabs>
          <w:tab w:pos="940" w:val="left" w:leader="none"/>
          <w:tab w:pos="941" w:val="left" w:leader="none"/>
        </w:tabs>
        <w:spacing w:line="240" w:lineRule="auto" w:before="196" w:after="0"/>
        <w:ind w:left="940" w:right="0" w:hanging="361"/>
        <w:jc w:val="left"/>
        <w:rPr>
          <w:rFonts w:ascii="Cambria" w:hAnsi="Cambria"/>
          <w:sz w:val="22"/>
        </w:rPr>
      </w:pPr>
      <w:r>
        <w:rPr>
          <w:rFonts w:ascii="Cambria" w:hAnsi="Cambria"/>
          <w:sz w:val="22"/>
        </w:rPr>
        <w:t>containsNumber</w:t>
      </w:r>
    </w:p>
    <w:p>
      <w:pPr>
        <w:pStyle w:val="ListParagraph"/>
        <w:numPr>
          <w:ilvl w:val="4"/>
          <w:numId w:val="42"/>
        </w:numPr>
        <w:tabs>
          <w:tab w:pos="940" w:val="left" w:leader="none"/>
          <w:tab w:pos="941" w:val="left" w:leader="none"/>
        </w:tabs>
        <w:spacing w:line="240" w:lineRule="auto" w:before="40" w:after="0"/>
        <w:ind w:left="940" w:right="0" w:hanging="361"/>
        <w:jc w:val="left"/>
        <w:rPr>
          <w:rFonts w:ascii="Cambria" w:hAnsi="Cambria"/>
          <w:sz w:val="22"/>
        </w:rPr>
      </w:pPr>
      <w:r>
        <w:rPr>
          <w:rFonts w:ascii="Cambria" w:hAnsi="Cambria"/>
          <w:sz w:val="22"/>
        </w:rPr>
        <w:t>containsDates</w:t>
      </w:r>
    </w:p>
    <w:p>
      <w:pPr>
        <w:pStyle w:val="ListParagraph"/>
        <w:numPr>
          <w:ilvl w:val="4"/>
          <w:numId w:val="42"/>
        </w:numPr>
        <w:tabs>
          <w:tab w:pos="940" w:val="left" w:leader="none"/>
          <w:tab w:pos="941" w:val="left" w:leader="none"/>
        </w:tabs>
        <w:spacing w:line="240" w:lineRule="auto" w:before="39" w:after="0"/>
        <w:ind w:left="940" w:right="0" w:hanging="361"/>
        <w:jc w:val="left"/>
        <w:rPr>
          <w:rFonts w:ascii="Cambria" w:hAnsi="Cambria"/>
          <w:sz w:val="22"/>
        </w:rPr>
      </w:pPr>
      <w:r>
        <w:rPr>
          <w:rFonts w:ascii="Cambria" w:hAnsi="Cambria"/>
          <w:sz w:val="22"/>
        </w:rPr>
        <w:t>containsString</w:t>
      </w:r>
    </w:p>
    <w:p>
      <w:pPr>
        <w:pStyle w:val="ListParagraph"/>
        <w:numPr>
          <w:ilvl w:val="4"/>
          <w:numId w:val="42"/>
        </w:numPr>
        <w:tabs>
          <w:tab w:pos="940" w:val="left" w:leader="none"/>
          <w:tab w:pos="941" w:val="left" w:leader="none"/>
        </w:tabs>
        <w:spacing w:line="240" w:lineRule="auto" w:before="37" w:after="0"/>
        <w:ind w:left="940" w:right="0" w:hanging="361"/>
        <w:jc w:val="left"/>
        <w:rPr>
          <w:rFonts w:ascii="Cambria" w:hAnsi="Cambria"/>
          <w:sz w:val="22"/>
        </w:rPr>
      </w:pPr>
      <w:r>
        <w:rPr>
          <w:rFonts w:ascii="Cambria" w:hAnsi="Cambria"/>
          <w:sz w:val="22"/>
        </w:rPr>
        <w:t>containsInteger</w:t>
      </w:r>
    </w:p>
    <w:p>
      <w:pPr>
        <w:pStyle w:val="BodyText"/>
        <w:spacing w:before="4"/>
        <w:rPr>
          <w:rFonts w:ascii="Cambria"/>
          <w:sz w:val="20"/>
        </w:rPr>
      </w:pPr>
    </w:p>
    <w:p>
      <w:pPr>
        <w:pStyle w:val="BodyText"/>
        <w:ind w:left="220"/>
      </w:pPr>
      <w:r>
        <w:rPr/>
        <w:t>The following attributes can be omitted without loss of functionality.</w:t>
      </w:r>
    </w:p>
    <w:p>
      <w:pPr>
        <w:spacing w:after="0"/>
        <w:sectPr>
          <w:pgSz w:w="12240" w:h="15840"/>
          <w:pgMar w:header="763" w:footer="746" w:top="1340" w:bottom="940" w:left="860" w:right="700"/>
        </w:sectPr>
      </w:pPr>
    </w:p>
    <w:p>
      <w:pPr>
        <w:pStyle w:val="ListParagraph"/>
        <w:numPr>
          <w:ilvl w:val="4"/>
          <w:numId w:val="42"/>
        </w:numPr>
        <w:tabs>
          <w:tab w:pos="940" w:val="left" w:leader="none"/>
          <w:tab w:pos="941" w:val="left" w:leader="none"/>
        </w:tabs>
        <w:spacing w:line="240" w:lineRule="auto" w:before="93" w:after="0"/>
        <w:ind w:left="940" w:right="0" w:hanging="361"/>
        <w:jc w:val="left"/>
        <w:rPr>
          <w:rFonts w:ascii="Cambria" w:hAnsi="Cambria"/>
          <w:sz w:val="22"/>
        </w:rPr>
      </w:pPr>
      <w:r>
        <w:rPr>
          <w:rFonts w:ascii="Cambria" w:hAnsi="Cambria"/>
          <w:sz w:val="22"/>
        </w:rPr>
        <w:t>containsNonDate</w:t>
      </w:r>
    </w:p>
    <w:p>
      <w:pPr>
        <w:pStyle w:val="ListParagraph"/>
        <w:numPr>
          <w:ilvl w:val="4"/>
          <w:numId w:val="42"/>
        </w:numPr>
        <w:tabs>
          <w:tab w:pos="940" w:val="left" w:leader="none"/>
          <w:tab w:pos="941" w:val="left" w:leader="none"/>
        </w:tabs>
        <w:spacing w:line="240" w:lineRule="auto" w:before="40" w:after="0"/>
        <w:ind w:left="940" w:right="0" w:hanging="361"/>
        <w:jc w:val="left"/>
        <w:rPr>
          <w:rFonts w:ascii="Cambria" w:hAnsi="Cambria"/>
          <w:sz w:val="22"/>
        </w:rPr>
      </w:pPr>
      <w:r>
        <w:rPr>
          <w:rFonts w:ascii="Cambria" w:hAnsi="Cambria"/>
          <w:sz w:val="22"/>
        </w:rPr>
        <w:t>count</w:t>
      </w:r>
    </w:p>
    <w:p>
      <w:pPr>
        <w:pStyle w:val="BodyText"/>
        <w:spacing w:before="1"/>
        <w:rPr>
          <w:rFonts w:ascii="Cambria"/>
          <w:sz w:val="20"/>
        </w:rPr>
      </w:pPr>
    </w:p>
    <w:p>
      <w:pPr>
        <w:pStyle w:val="BodyText"/>
        <w:spacing w:line="276" w:lineRule="auto"/>
        <w:ind w:left="220" w:right="503"/>
      </w:pPr>
      <w:r>
        <w:rPr/>
        <w:t>The following attributes are not required and can be omitted. However, refreshing the PivotTable could produce different groupings than before.</w:t>
      </w:r>
    </w:p>
    <w:p>
      <w:pPr>
        <w:pStyle w:val="BodyText"/>
        <w:spacing w:before="6"/>
        <w:rPr>
          <w:sz w:val="16"/>
        </w:rPr>
      </w:pPr>
    </w:p>
    <w:p>
      <w:pPr>
        <w:pStyle w:val="ListParagraph"/>
        <w:numPr>
          <w:ilvl w:val="4"/>
          <w:numId w:val="42"/>
        </w:numPr>
        <w:tabs>
          <w:tab w:pos="940" w:val="left" w:leader="none"/>
          <w:tab w:pos="941" w:val="left" w:leader="none"/>
        </w:tabs>
        <w:spacing w:line="240" w:lineRule="auto" w:before="0" w:after="0"/>
        <w:ind w:left="940" w:right="0" w:hanging="361"/>
        <w:jc w:val="left"/>
        <w:rPr>
          <w:rFonts w:ascii="Cambria" w:hAnsi="Cambria"/>
          <w:sz w:val="22"/>
        </w:rPr>
      </w:pPr>
      <w:r>
        <w:rPr>
          <w:rFonts w:ascii="Cambria" w:hAnsi="Cambria"/>
          <w:sz w:val="22"/>
        </w:rPr>
        <w:t>maxDate</w:t>
      </w:r>
    </w:p>
    <w:p>
      <w:pPr>
        <w:pStyle w:val="ListParagraph"/>
        <w:numPr>
          <w:ilvl w:val="4"/>
          <w:numId w:val="42"/>
        </w:numPr>
        <w:tabs>
          <w:tab w:pos="940" w:val="left" w:leader="none"/>
          <w:tab w:pos="941" w:val="left" w:leader="none"/>
        </w:tabs>
        <w:spacing w:line="240" w:lineRule="auto" w:before="40" w:after="0"/>
        <w:ind w:left="940" w:right="0" w:hanging="361"/>
        <w:jc w:val="left"/>
        <w:rPr>
          <w:rFonts w:ascii="Cambria" w:hAnsi="Cambria"/>
          <w:sz w:val="22"/>
        </w:rPr>
      </w:pPr>
      <w:r>
        <w:rPr>
          <w:rFonts w:ascii="Cambria" w:hAnsi="Cambria"/>
          <w:sz w:val="22"/>
        </w:rPr>
        <w:t>minDate</w:t>
      </w:r>
    </w:p>
    <w:p>
      <w:pPr>
        <w:pStyle w:val="ListParagraph"/>
        <w:numPr>
          <w:ilvl w:val="4"/>
          <w:numId w:val="42"/>
        </w:numPr>
        <w:tabs>
          <w:tab w:pos="940" w:val="left" w:leader="none"/>
          <w:tab w:pos="941" w:val="left" w:leader="none"/>
        </w:tabs>
        <w:spacing w:line="240" w:lineRule="auto" w:before="39" w:after="0"/>
        <w:ind w:left="940" w:right="0" w:hanging="361"/>
        <w:jc w:val="left"/>
        <w:rPr>
          <w:rFonts w:ascii="Cambria" w:hAnsi="Cambria"/>
          <w:sz w:val="22"/>
        </w:rPr>
      </w:pPr>
      <w:r>
        <w:rPr>
          <w:rFonts w:ascii="Cambria" w:hAnsi="Cambria"/>
          <w:sz w:val="22"/>
        </w:rPr>
        <w:t>maxValue</w:t>
      </w:r>
    </w:p>
    <w:p>
      <w:pPr>
        <w:pStyle w:val="ListParagraph"/>
        <w:numPr>
          <w:ilvl w:val="4"/>
          <w:numId w:val="42"/>
        </w:numPr>
        <w:tabs>
          <w:tab w:pos="940" w:val="left" w:leader="none"/>
          <w:tab w:pos="941" w:val="left" w:leader="none"/>
        </w:tabs>
        <w:spacing w:line="240" w:lineRule="auto" w:before="37" w:after="0"/>
        <w:ind w:left="940" w:right="0" w:hanging="361"/>
        <w:jc w:val="left"/>
        <w:rPr>
          <w:rFonts w:ascii="Cambria" w:hAnsi="Cambria"/>
          <w:sz w:val="22"/>
        </w:rPr>
      </w:pPr>
      <w:r>
        <w:rPr>
          <w:rFonts w:ascii="Cambria" w:hAnsi="Cambria"/>
          <w:sz w:val="22"/>
        </w:rPr>
        <w:t>minValue</w:t>
      </w:r>
    </w:p>
    <w:p>
      <w:pPr>
        <w:pStyle w:val="BodyText"/>
        <w:spacing w:before="4"/>
        <w:rPr>
          <w:rFonts w:ascii="Cambria"/>
          <w:sz w:val="20"/>
        </w:rPr>
      </w:pPr>
    </w:p>
    <w:p>
      <w:pPr>
        <w:pStyle w:val="BodyText"/>
        <w:ind w:left="220"/>
      </w:pPr>
      <w:r>
        <w:rPr/>
        <w:t>Applications should ensure that “date” attributes are not mixed with “value” attributes.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33" w:hRule="atLeast"/>
        </w:trPr>
        <w:tc>
          <w:tcPr>
            <w:tcW w:w="2062" w:type="dxa"/>
          </w:tcPr>
          <w:p>
            <w:pPr>
              <w:pStyle w:val="TableParagraph"/>
              <w:spacing w:line="257" w:lineRule="exact" w:before="42"/>
              <w:rPr>
                <w:rFonts w:ascii="Cambria"/>
                <w:sz w:val="22"/>
              </w:rPr>
            </w:pPr>
            <w:r>
              <w:rPr>
                <w:rFonts w:ascii="Cambria"/>
                <w:sz w:val="22"/>
              </w:rPr>
              <w:t>containsBlank</w:t>
            </w:r>
          </w:p>
          <w:p>
            <w:pPr>
              <w:pStyle w:val="TableParagraph"/>
              <w:spacing w:line="268" w:lineRule="exact" w:before="0"/>
              <w:rPr>
                <w:sz w:val="22"/>
              </w:rPr>
            </w:pPr>
            <w:r>
              <w:rPr>
                <w:sz w:val="22"/>
              </w:rPr>
              <w:t>(Contains Blank)</w:t>
            </w:r>
          </w:p>
        </w:tc>
        <w:tc>
          <w:tcPr>
            <w:tcW w:w="8250" w:type="dxa"/>
          </w:tcPr>
          <w:p>
            <w:pPr>
              <w:pStyle w:val="TableParagraph"/>
              <w:spacing w:line="480" w:lineRule="auto"/>
              <w:ind w:right="882"/>
              <w:rPr>
                <w:sz w:val="22"/>
              </w:rPr>
            </w:pPr>
            <w:r>
              <w:rPr>
                <w:sz w:val="22"/>
              </w:rPr>
              <w:t>Specifies a boolean value that indicates whether this field contains a blank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field contains one or more blank values.</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field does not contain blank values.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6" w:hRule="atLeast"/>
        </w:trPr>
        <w:tc>
          <w:tcPr>
            <w:tcW w:w="2062" w:type="dxa"/>
          </w:tcPr>
          <w:p>
            <w:pPr>
              <w:pStyle w:val="TableParagraph"/>
              <w:spacing w:line="257" w:lineRule="exact" w:before="42"/>
              <w:rPr>
                <w:rFonts w:ascii="Cambria"/>
                <w:sz w:val="22"/>
              </w:rPr>
            </w:pPr>
            <w:r>
              <w:rPr>
                <w:rFonts w:ascii="Cambria"/>
                <w:sz w:val="22"/>
              </w:rPr>
              <w:t>containsDate</w:t>
            </w:r>
          </w:p>
          <w:p>
            <w:pPr>
              <w:pStyle w:val="TableParagraph"/>
              <w:spacing w:line="268" w:lineRule="exact" w:before="0"/>
              <w:rPr>
                <w:sz w:val="22"/>
              </w:rPr>
            </w:pPr>
            <w:r>
              <w:rPr>
                <w:sz w:val="22"/>
              </w:rPr>
              <w:t>(Contains Date)</w:t>
            </w:r>
          </w:p>
        </w:tc>
        <w:tc>
          <w:tcPr>
            <w:tcW w:w="8250" w:type="dxa"/>
          </w:tcPr>
          <w:p>
            <w:pPr>
              <w:pStyle w:val="TableParagraph"/>
              <w:spacing w:line="480" w:lineRule="auto"/>
              <w:ind w:right="972"/>
              <w:rPr>
                <w:sz w:val="22"/>
              </w:rPr>
            </w:pPr>
            <w:r>
              <w:rPr>
                <w:sz w:val="22"/>
              </w:rPr>
              <w:t>Specifies a boolean value that indicates that the field contains at least one date. 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field contains at least one date value.</w:t>
            </w:r>
          </w:p>
          <w:p>
            <w:pPr>
              <w:pStyle w:val="TableParagraph"/>
              <w:spacing w:before="1"/>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field does not contain any date values.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234" w:hRule="atLeast"/>
        </w:trPr>
        <w:tc>
          <w:tcPr>
            <w:tcW w:w="2062" w:type="dxa"/>
          </w:tcPr>
          <w:p>
            <w:pPr>
              <w:pStyle w:val="TableParagraph"/>
              <w:spacing w:line="256" w:lineRule="exact" w:before="42"/>
              <w:rPr>
                <w:rFonts w:ascii="Cambria"/>
                <w:sz w:val="22"/>
              </w:rPr>
            </w:pPr>
            <w:r>
              <w:rPr>
                <w:rFonts w:ascii="Cambria"/>
                <w:sz w:val="22"/>
              </w:rPr>
              <w:t>containsInteger</w:t>
            </w:r>
          </w:p>
          <w:p>
            <w:pPr>
              <w:pStyle w:val="TableParagraph"/>
              <w:spacing w:line="267" w:lineRule="exact" w:before="0"/>
              <w:rPr>
                <w:sz w:val="22"/>
              </w:rPr>
            </w:pPr>
            <w:r>
              <w:rPr>
                <w:sz w:val="22"/>
              </w:rPr>
              <w:t>(Contains Integer)</w:t>
            </w:r>
          </w:p>
        </w:tc>
        <w:tc>
          <w:tcPr>
            <w:tcW w:w="8250" w:type="dxa"/>
          </w:tcPr>
          <w:p>
            <w:pPr>
              <w:pStyle w:val="TableParagraph"/>
              <w:spacing w:line="477" w:lineRule="auto"/>
              <w:ind w:right="799"/>
              <w:rPr>
                <w:sz w:val="22"/>
              </w:rPr>
            </w:pPr>
            <w:r>
              <w:rPr>
                <w:sz w:val="22"/>
              </w:rPr>
              <w:t>Specifies a boolean value that indicates whether this field contains integer values.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field contains integer values.</w:t>
            </w:r>
          </w:p>
          <w:p>
            <w:pPr>
              <w:pStyle w:val="TableParagraph"/>
              <w:spacing w:before="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non-integer or mixed values.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37" w:lineRule="auto" w:before="45"/>
              <w:ind w:right="197"/>
              <w:jc w:val="both"/>
              <w:rPr>
                <w:sz w:val="22"/>
              </w:rPr>
            </w:pPr>
            <w:r>
              <w:rPr>
                <w:rFonts w:ascii="Cambria"/>
                <w:sz w:val="22"/>
              </w:rPr>
              <w:t>containsMixedTyp es </w:t>
            </w:r>
            <w:r>
              <w:rPr>
                <w:sz w:val="22"/>
              </w:rPr>
              <w:t>(Contains Mixed Data Types)</w:t>
            </w:r>
          </w:p>
        </w:tc>
        <w:tc>
          <w:tcPr>
            <w:tcW w:w="8250" w:type="dxa"/>
          </w:tcPr>
          <w:p>
            <w:pPr>
              <w:pStyle w:val="TableParagraph"/>
              <w:ind w:right="331"/>
              <w:rPr>
                <w:sz w:val="22"/>
              </w:rPr>
            </w:pPr>
            <w:r>
              <w:rPr>
                <w:sz w:val="22"/>
              </w:rPr>
              <w:t>Specifies a boolean value that indicates whether this field contains more than one data type.</w:t>
            </w:r>
          </w:p>
          <w:p>
            <w:pPr>
              <w:pStyle w:val="TableParagraph"/>
              <w:spacing w:before="11"/>
              <w:ind w:left="0"/>
              <w:rPr>
                <w:sz w:val="21"/>
              </w:rPr>
            </w:pPr>
          </w:p>
          <w:p>
            <w:pPr>
              <w:pStyle w:val="TableParagraph"/>
              <w:spacing w:before="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field contains more than one data type.</w:t>
            </w:r>
          </w:p>
          <w:p>
            <w:pPr>
              <w:pStyle w:val="TableParagraph"/>
              <w:spacing w:before="0"/>
              <w:ind w:left="0"/>
              <w:rPr>
                <w:sz w:val="22"/>
              </w:rPr>
            </w:pPr>
          </w:p>
          <w:p>
            <w:pPr>
              <w:pStyle w:val="TableParagraph"/>
              <w:spacing w:before="0"/>
              <w:ind w:right="51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contains only one data type. The field can still contain blank values.</w:t>
            </w:r>
          </w:p>
        </w:tc>
      </w:tr>
    </w:tbl>
    <w:p>
      <w:pPr>
        <w:spacing w:after="0"/>
        <w:rPr>
          <w:sz w:val="22"/>
        </w:rPr>
        <w:sectPr>
          <w:footerReference w:type="even" r:id="rId168"/>
          <w:footerReference w:type="default" r:id="rId169"/>
          <w:pgSz w:w="12240" w:h="15840"/>
          <w:pgMar w:footer="746" w:header="761" w:top="1340" w:bottom="940" w:left="860" w:right="700"/>
          <w:pgNumType w:start="195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2" w:hRule="atLeast"/>
        </w:trPr>
        <w:tc>
          <w:tcPr>
            <w:tcW w:w="2062" w:type="dxa"/>
          </w:tcPr>
          <w:p>
            <w:pPr>
              <w:pStyle w:val="TableParagraph"/>
              <w:spacing w:line="256" w:lineRule="exact" w:before="42"/>
              <w:rPr>
                <w:rFonts w:ascii="Cambria"/>
                <w:sz w:val="22"/>
              </w:rPr>
            </w:pPr>
            <w:r>
              <w:rPr>
                <w:rFonts w:ascii="Cambria"/>
                <w:sz w:val="22"/>
              </w:rPr>
              <w:t>containsNonDate</w:t>
            </w:r>
          </w:p>
          <w:p>
            <w:pPr>
              <w:pStyle w:val="TableParagraph"/>
              <w:spacing w:line="267" w:lineRule="exact" w:before="0"/>
              <w:rPr>
                <w:sz w:val="22"/>
              </w:rPr>
            </w:pPr>
            <w:r>
              <w:rPr>
                <w:sz w:val="22"/>
              </w:rPr>
              <w:t>(Contains Non Date)</w:t>
            </w:r>
          </w:p>
        </w:tc>
        <w:tc>
          <w:tcPr>
            <w:tcW w:w="8250" w:type="dxa"/>
          </w:tcPr>
          <w:p>
            <w:pPr>
              <w:pStyle w:val="TableParagraph"/>
              <w:ind w:right="347"/>
              <w:rPr>
                <w:sz w:val="22"/>
              </w:rPr>
            </w:pPr>
            <w:r>
              <w:rPr>
                <w:sz w:val="22"/>
              </w:rPr>
              <w:t>Specifies a boolean value that indicates that the field contains at least one value that is not a date.</w:t>
            </w:r>
          </w:p>
          <w:p>
            <w:pPr>
              <w:pStyle w:val="TableParagraph"/>
              <w:spacing w:before="2"/>
              <w:ind w:left="0"/>
              <w:rPr>
                <w:rFonts w:ascii="Times New Roman"/>
                <w:sz w:val="23"/>
              </w:rPr>
            </w:pPr>
          </w:p>
          <w:p>
            <w:pPr>
              <w:pStyle w:val="TableParagraph"/>
              <w:spacing w:line="480" w:lineRule="auto" w:before="0"/>
              <w:ind w:right="1243"/>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field contains at least one non-date values.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this field contains no date fields.</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234" w:hRule="atLeast"/>
        </w:trPr>
        <w:tc>
          <w:tcPr>
            <w:tcW w:w="2062" w:type="dxa"/>
          </w:tcPr>
          <w:p>
            <w:pPr>
              <w:pStyle w:val="TableParagraph"/>
              <w:spacing w:line="256" w:lineRule="exact" w:before="43"/>
              <w:rPr>
                <w:rFonts w:ascii="Cambria"/>
                <w:sz w:val="22"/>
              </w:rPr>
            </w:pPr>
            <w:r>
              <w:rPr>
                <w:rFonts w:ascii="Cambria"/>
                <w:sz w:val="22"/>
              </w:rPr>
              <w:t>containsNumber</w:t>
            </w:r>
          </w:p>
          <w:p>
            <w:pPr>
              <w:pStyle w:val="TableParagraph"/>
              <w:spacing w:line="267" w:lineRule="exact" w:before="0"/>
              <w:rPr>
                <w:sz w:val="22"/>
              </w:rPr>
            </w:pPr>
            <w:r>
              <w:rPr>
                <w:sz w:val="22"/>
              </w:rPr>
              <w:t>(Contains Numbers)</w:t>
            </w:r>
          </w:p>
        </w:tc>
        <w:tc>
          <w:tcPr>
            <w:tcW w:w="8250" w:type="dxa"/>
          </w:tcPr>
          <w:p>
            <w:pPr>
              <w:pStyle w:val="TableParagraph"/>
              <w:spacing w:line="480" w:lineRule="auto"/>
              <w:ind w:right="701"/>
              <w:rPr>
                <w:sz w:val="22"/>
              </w:rPr>
            </w:pPr>
            <w:r>
              <w:rPr>
                <w:sz w:val="22"/>
              </w:rPr>
              <w:t>Specifies a boolean value that indicates whether this field contains numeric values.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field contains at least one numeric value.</w:t>
            </w:r>
          </w:p>
          <w:p>
            <w:pPr>
              <w:pStyle w:val="TableParagraph"/>
              <w:spacing w:line="267" w:lineRule="exact" w:before="0"/>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this field contains no numeric values.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spacing w:before="42"/>
              <w:ind w:right="205"/>
              <w:rPr>
                <w:sz w:val="22"/>
              </w:rPr>
            </w:pPr>
            <w:r>
              <w:rPr>
                <w:rFonts w:ascii="Cambria"/>
                <w:sz w:val="22"/>
              </w:rPr>
              <w:t>containsSemiMixe dTypes </w:t>
            </w:r>
            <w:r>
              <w:rPr>
                <w:sz w:val="22"/>
              </w:rPr>
              <w:t>(Contains Semi Mixed Data Types)</w:t>
            </w:r>
          </w:p>
        </w:tc>
        <w:tc>
          <w:tcPr>
            <w:tcW w:w="8250" w:type="dxa"/>
          </w:tcPr>
          <w:p>
            <w:pPr>
              <w:pStyle w:val="TableParagraph"/>
              <w:ind w:right="287"/>
              <w:rPr>
                <w:sz w:val="22"/>
              </w:rPr>
            </w:pPr>
            <w:r>
              <w:rPr>
                <w:sz w:val="22"/>
              </w:rPr>
              <w:t>Specifies a boolean value that indicates that this field contains text values. The field can also contain a mix of other data type and blank values.</w:t>
            </w:r>
          </w:p>
          <w:p>
            <w:pPr>
              <w:pStyle w:val="TableParagraph"/>
              <w:spacing w:before="4"/>
              <w:ind w:left="0"/>
              <w:rPr>
                <w:rFonts w:ascii="Times New Roman"/>
                <w:sz w:val="23"/>
              </w:rPr>
            </w:pPr>
          </w:p>
          <w:p>
            <w:pPr>
              <w:pStyle w:val="TableParagraph"/>
              <w:spacing w:before="0"/>
              <w:ind w:right="215"/>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at least one text value, and can also contain a mix of other data types and blank values.</w:t>
            </w:r>
          </w:p>
          <w:p>
            <w:pPr>
              <w:pStyle w:val="TableParagraph"/>
              <w:spacing w:line="538" w:lineRule="exact" w:before="47"/>
              <w:ind w:right="298"/>
              <w:rPr>
                <w:rFonts w:ascii="Cambria"/>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the field does not have a mix of text and other values.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2234" w:hRule="atLeast"/>
        </w:trPr>
        <w:tc>
          <w:tcPr>
            <w:tcW w:w="2062" w:type="dxa"/>
          </w:tcPr>
          <w:p>
            <w:pPr>
              <w:pStyle w:val="TableParagraph"/>
              <w:spacing w:line="256" w:lineRule="exact" w:before="42"/>
              <w:rPr>
                <w:rFonts w:ascii="Cambria"/>
                <w:sz w:val="22"/>
              </w:rPr>
            </w:pPr>
            <w:r>
              <w:rPr>
                <w:rFonts w:ascii="Cambria"/>
                <w:sz w:val="22"/>
              </w:rPr>
              <w:t>containsString</w:t>
            </w:r>
          </w:p>
          <w:p>
            <w:pPr>
              <w:pStyle w:val="TableParagraph"/>
              <w:spacing w:line="267" w:lineRule="exact" w:before="0"/>
              <w:rPr>
                <w:sz w:val="22"/>
              </w:rPr>
            </w:pPr>
            <w:r>
              <w:rPr>
                <w:sz w:val="22"/>
              </w:rPr>
              <w:t>(Contains String)</w:t>
            </w:r>
          </w:p>
        </w:tc>
        <w:tc>
          <w:tcPr>
            <w:tcW w:w="8250" w:type="dxa"/>
          </w:tcPr>
          <w:p>
            <w:pPr>
              <w:pStyle w:val="TableParagraph"/>
              <w:spacing w:line="480" w:lineRule="auto"/>
              <w:ind w:right="1017"/>
              <w:rPr>
                <w:sz w:val="22"/>
              </w:rPr>
            </w:pPr>
            <w:r>
              <w:rPr>
                <w:sz w:val="22"/>
              </w:rPr>
              <w:t>Specifies a boolean value that indicates whether this field contains a text value. 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this field contains at least one text value.</w:t>
            </w:r>
          </w:p>
          <w:p>
            <w:pPr>
              <w:pStyle w:val="TableParagraph"/>
              <w:spacing w:before="1"/>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this field does not contain any text values.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95"/>
              <w:rPr>
                <w:sz w:val="22"/>
              </w:rPr>
            </w:pPr>
            <w:r>
              <w:rPr>
                <w:rFonts w:ascii="Cambria"/>
                <w:sz w:val="22"/>
              </w:rPr>
              <w:t>count </w:t>
            </w:r>
            <w:r>
              <w:rPr>
                <w:sz w:val="22"/>
              </w:rPr>
              <w:t>(Shared Items Count)</w:t>
            </w:r>
          </w:p>
        </w:tc>
        <w:tc>
          <w:tcPr>
            <w:tcW w:w="8250" w:type="dxa"/>
          </w:tcPr>
          <w:p>
            <w:pPr>
              <w:pStyle w:val="TableParagraph"/>
              <w:rPr>
                <w:sz w:val="22"/>
              </w:rPr>
            </w:pPr>
            <w:r>
              <w:rPr>
                <w:sz w:val="22"/>
              </w:rPr>
              <w:t>Specifies the number of shared items to load for this field.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889" w:hRule="atLeast"/>
        </w:trPr>
        <w:tc>
          <w:tcPr>
            <w:tcW w:w="2062" w:type="dxa"/>
          </w:tcPr>
          <w:p>
            <w:pPr>
              <w:pStyle w:val="TableParagraph"/>
              <w:ind w:right="547"/>
              <w:rPr>
                <w:sz w:val="22"/>
              </w:rPr>
            </w:pPr>
            <w:r>
              <w:rPr>
                <w:rFonts w:ascii="Cambria"/>
                <w:sz w:val="22"/>
              </w:rPr>
              <w:t>longText </w:t>
            </w:r>
            <w:r>
              <w:rPr>
                <w:sz w:val="22"/>
              </w:rPr>
              <w:t>(Long Text)</w:t>
            </w:r>
          </w:p>
        </w:tc>
        <w:tc>
          <w:tcPr>
            <w:tcW w:w="8250" w:type="dxa"/>
          </w:tcPr>
          <w:p>
            <w:pPr>
              <w:pStyle w:val="TableParagraph"/>
              <w:ind w:right="404"/>
              <w:rPr>
                <w:sz w:val="22"/>
              </w:rPr>
            </w:pPr>
            <w:r>
              <w:rPr>
                <w:sz w:val="22"/>
              </w:rPr>
              <w:t>Specifies a boolean value that indicates whether this field contains a long text value. A string is considered long if it is over 255 Unicode scalar values.</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771" w:hRule="atLeast"/>
        </w:trPr>
        <w:tc>
          <w:tcPr>
            <w:tcW w:w="2062" w:type="dxa"/>
          </w:tcPr>
          <w:p>
            <w:pPr>
              <w:pStyle w:val="TableParagraph"/>
              <w:spacing w:before="0"/>
              <w:ind w:left="0"/>
              <w:rPr>
                <w:rFonts w:ascii="Times New Roman"/>
                <w:sz w:val="22"/>
              </w:rPr>
            </w:pPr>
          </w:p>
        </w:tc>
        <w:tc>
          <w:tcPr>
            <w:tcW w:w="8250" w:type="dxa"/>
          </w:tcPr>
          <w:p>
            <w:pPr>
              <w:pStyle w:val="TableParagraph"/>
              <w:ind w:right="26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value contains more than 255 Unicode scalar valuesof text.</w:t>
            </w:r>
          </w:p>
          <w:p>
            <w:pPr>
              <w:pStyle w:val="TableParagraph"/>
              <w:spacing w:before="4"/>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9"/>
                <w:sz w:val="20"/>
              </w:rPr>
              <w:t> </w:t>
            </w:r>
            <w:r>
              <w:rPr>
                <w:sz w:val="22"/>
              </w:rPr>
              <w:t>indicates the value contains less than 255 Unicode scalar values.</w:t>
            </w:r>
          </w:p>
          <w:p>
            <w:pPr>
              <w:pStyle w:val="TableParagraph"/>
              <w:spacing w:before="2"/>
              <w:ind w:left="0"/>
              <w:rPr>
                <w:rFonts w:ascii="Times New Roman"/>
                <w:sz w:val="23"/>
              </w:rPr>
            </w:pPr>
          </w:p>
          <w:p>
            <w:pPr>
              <w:pStyle w:val="TableParagraph"/>
              <w:spacing w:before="1"/>
              <w:ind w:right="909"/>
              <w:rPr>
                <w:sz w:val="22"/>
              </w:rPr>
            </w:pPr>
            <w:r>
              <w:rPr>
                <w:sz w:val="22"/>
              </w:rPr>
              <w:t>[</w:t>
            </w:r>
            <w:r>
              <w:rPr>
                <w:i/>
                <w:sz w:val="22"/>
              </w:rPr>
              <w:t>Note</w:t>
            </w:r>
            <w:r>
              <w:rPr>
                <w:sz w:val="22"/>
              </w:rPr>
              <w:t>: This is used as many legacy spreadsheet application support a limit of 255 characters for text values. </w:t>
            </w:r>
            <w:r>
              <w:rPr>
                <w:i/>
                <w:sz w:val="22"/>
              </w:rPr>
              <w:t>end note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9" w:hRule="atLeast"/>
        </w:trPr>
        <w:tc>
          <w:tcPr>
            <w:tcW w:w="2062" w:type="dxa"/>
          </w:tcPr>
          <w:p>
            <w:pPr>
              <w:pStyle w:val="TableParagraph"/>
              <w:spacing w:line="237" w:lineRule="auto" w:before="45"/>
              <w:ind w:right="470"/>
              <w:rPr>
                <w:sz w:val="22"/>
              </w:rPr>
            </w:pPr>
            <w:r>
              <w:rPr>
                <w:rFonts w:ascii="Cambria"/>
                <w:sz w:val="22"/>
              </w:rPr>
              <w:t>maxDate </w:t>
            </w:r>
            <w:r>
              <w:rPr>
                <w:sz w:val="22"/>
              </w:rPr>
              <w:t>(Maximum Date Time Value)</w:t>
            </w:r>
          </w:p>
        </w:tc>
        <w:tc>
          <w:tcPr>
            <w:tcW w:w="8250" w:type="dxa"/>
          </w:tcPr>
          <w:p>
            <w:pPr>
              <w:pStyle w:val="TableParagraph"/>
              <w:rPr>
                <w:sz w:val="22"/>
              </w:rPr>
            </w:pPr>
            <w:r>
              <w:rPr>
                <w:sz w:val="22"/>
              </w:rPr>
              <w:t>Specifies the maximum date/time value found in a date field.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dateTime</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7"/>
              <w:ind w:right="131"/>
              <w:rPr>
                <w:sz w:val="22"/>
              </w:rPr>
            </w:pPr>
            <w:r>
              <w:rPr>
                <w:rFonts w:ascii="Cambria"/>
                <w:sz w:val="22"/>
              </w:rPr>
              <w:t>maxValue </w:t>
            </w:r>
            <w:r>
              <w:rPr>
                <w:sz w:val="22"/>
              </w:rPr>
              <w:t>(Maximum Numeric Value)</w:t>
            </w:r>
          </w:p>
        </w:tc>
        <w:tc>
          <w:tcPr>
            <w:tcW w:w="8250" w:type="dxa"/>
          </w:tcPr>
          <w:p>
            <w:pPr>
              <w:pStyle w:val="TableParagraph"/>
              <w:spacing w:before="42"/>
              <w:rPr>
                <w:sz w:val="22"/>
              </w:rPr>
            </w:pPr>
            <w:r>
              <w:rPr>
                <w:sz w:val="22"/>
              </w:rPr>
              <w:t>Specifies the maximum numeric value found in a numeric field.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0"/>
              <w:rPr>
                <w:sz w:val="22"/>
              </w:rPr>
            </w:pPr>
            <w:r>
              <w:rPr>
                <w:sz w:val="22"/>
              </w:rPr>
              <w:t>datatype.</w:t>
            </w:r>
          </w:p>
        </w:tc>
      </w:tr>
      <w:tr>
        <w:trPr>
          <w:trHeight w:val="1161" w:hRule="atLeast"/>
        </w:trPr>
        <w:tc>
          <w:tcPr>
            <w:tcW w:w="2062" w:type="dxa"/>
          </w:tcPr>
          <w:p>
            <w:pPr>
              <w:pStyle w:val="TableParagraph"/>
              <w:ind w:right="128"/>
              <w:rPr>
                <w:sz w:val="22"/>
              </w:rPr>
            </w:pPr>
            <w:r>
              <w:rPr>
                <w:rFonts w:ascii="Cambria"/>
                <w:sz w:val="22"/>
              </w:rPr>
              <w:t>minDate </w:t>
            </w:r>
            <w:r>
              <w:rPr>
                <w:sz w:val="22"/>
              </w:rPr>
              <w:t>(Minimum Date Time)</w:t>
            </w:r>
          </w:p>
        </w:tc>
        <w:tc>
          <w:tcPr>
            <w:tcW w:w="8250" w:type="dxa"/>
          </w:tcPr>
          <w:p>
            <w:pPr>
              <w:pStyle w:val="TableParagraph"/>
              <w:rPr>
                <w:sz w:val="22"/>
              </w:rPr>
            </w:pPr>
            <w:r>
              <w:rPr>
                <w:sz w:val="22"/>
              </w:rPr>
              <w:t>Specifies the minimum date/time value found in a date field.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dateTime</w:t>
            </w:r>
          </w:p>
          <w:p>
            <w:pPr>
              <w:pStyle w:val="TableParagraph"/>
              <w:spacing w:before="0"/>
              <w:rPr>
                <w:sz w:val="22"/>
              </w:rPr>
            </w:pPr>
            <w:r>
              <w:rPr>
                <w:sz w:val="22"/>
              </w:rPr>
              <w:t>datatype.</w:t>
            </w:r>
          </w:p>
        </w:tc>
      </w:tr>
      <w:tr>
        <w:trPr>
          <w:trHeight w:val="1159" w:hRule="atLeast"/>
        </w:trPr>
        <w:tc>
          <w:tcPr>
            <w:tcW w:w="2062" w:type="dxa"/>
          </w:tcPr>
          <w:p>
            <w:pPr>
              <w:pStyle w:val="TableParagraph"/>
              <w:spacing w:line="237" w:lineRule="auto" w:before="45"/>
              <w:ind w:right="165"/>
              <w:rPr>
                <w:sz w:val="22"/>
              </w:rPr>
            </w:pPr>
            <w:r>
              <w:rPr>
                <w:rFonts w:ascii="Cambria"/>
                <w:sz w:val="22"/>
              </w:rPr>
              <w:t>minValue </w:t>
            </w:r>
            <w:r>
              <w:rPr>
                <w:sz w:val="22"/>
              </w:rPr>
              <w:t>(Minimum Numeric Value)</w:t>
            </w:r>
          </w:p>
        </w:tc>
        <w:tc>
          <w:tcPr>
            <w:tcW w:w="8250" w:type="dxa"/>
          </w:tcPr>
          <w:p>
            <w:pPr>
              <w:pStyle w:val="TableParagraph"/>
              <w:rPr>
                <w:sz w:val="22"/>
              </w:rPr>
            </w:pPr>
            <w:r>
              <w:rPr>
                <w:sz w:val="22"/>
              </w:rPr>
              <w:t>Specifies the minimum numeric value found in a numeric field.</w:t>
            </w:r>
          </w:p>
          <w:p>
            <w:pPr>
              <w:pStyle w:val="TableParagraph"/>
              <w:spacing w:before="4"/>
              <w:ind w:left="0"/>
              <w:rPr>
                <w:rFonts w:ascii="Times New Roman"/>
                <w:sz w:val="23"/>
              </w:rPr>
            </w:pP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double</w:t>
            </w:r>
          </w:p>
          <w:p>
            <w:pPr>
              <w:pStyle w:val="TableParagraph"/>
              <w:spacing w:line="267" w:lineRule="exact"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361"/>
      </w:pPr>
      <w:r>
        <w:rPr/>
        <w:t>[</w:t>
      </w:r>
      <w:r>
        <w:rPr>
          <w:i/>
        </w:rPr>
        <w:t>Note</w:t>
      </w:r>
      <w:r>
        <w:rPr/>
        <w:t>: The W3C XML Schema definition of this element’s content model (</w:t>
      </w:r>
      <w:r>
        <w:rPr>
          <w:color w:val="5F5F5F"/>
          <w:u w:val="single" w:color="5F5F5F"/>
        </w:rPr>
        <w:t>CT_SharedItems</w:t>
      </w:r>
      <w:r>
        <w:rPr/>
        <w:t>) is located in §A.2. </w:t>
      </w:r>
      <w:r>
        <w:rPr>
          <w:i/>
        </w:rPr>
        <w:t>end </w:t>
      </w:r>
      <w:r>
        <w:rPr>
          <w:i/>
        </w:rPr>
        <w:t>note</w:t>
      </w:r>
      <w:r>
        <w:rPr/>
        <w:t>]</w:t>
      </w:r>
    </w:p>
    <w:p>
      <w:pPr>
        <w:pStyle w:val="BodyText"/>
        <w:spacing w:before="2"/>
        <w:rPr>
          <w:sz w:val="16"/>
        </w:rPr>
      </w:pPr>
    </w:p>
    <w:p>
      <w:pPr>
        <w:pStyle w:val="Heading3"/>
        <w:numPr>
          <w:ilvl w:val="3"/>
          <w:numId w:val="42"/>
        </w:numPr>
        <w:tabs>
          <w:tab w:pos="1732" w:val="left" w:leader="none"/>
          <w:tab w:pos="1733" w:val="left" w:leader="none"/>
        </w:tabs>
        <w:spacing w:line="240" w:lineRule="auto" w:before="1" w:after="0"/>
        <w:ind w:left="1732" w:right="0" w:hanging="1513"/>
        <w:jc w:val="left"/>
      </w:pPr>
      <w:bookmarkStart w:name="18.10.1.91 sortByTuple (Sort By Tuple)" w:id="1022"/>
      <w:bookmarkEnd w:id="1022"/>
      <w:r>
        <w:rPr/>
      </w:r>
      <w:bookmarkStart w:name="_bookmark339" w:id="1023"/>
      <w:bookmarkEnd w:id="1023"/>
      <w:r>
        <w:rPr/>
      </w:r>
      <w:bookmarkStart w:name="_bookmark339" w:id="1024"/>
      <w:bookmarkEnd w:id="1024"/>
      <w:r>
        <w:rPr>
          <w:color w:val="4F81BC"/>
        </w:rPr>
        <w:t>so</w:t>
      </w:r>
      <w:r>
        <w:rPr>
          <w:color w:val="4F81BC"/>
        </w:rPr>
        <w:t>rtByTuple (Sort By</w:t>
      </w:r>
      <w:r>
        <w:rPr>
          <w:color w:val="4F81BC"/>
          <w:spacing w:val="-3"/>
        </w:rPr>
        <w:t> </w:t>
      </w:r>
      <w:r>
        <w:rPr>
          <w:color w:val="4F81BC"/>
        </w:rPr>
        <w:t>Tuple)</w:t>
      </w:r>
    </w:p>
    <w:p>
      <w:pPr>
        <w:pStyle w:val="BodyText"/>
        <w:spacing w:before="121"/>
        <w:ind w:left="220"/>
      </w:pPr>
      <w:r>
        <w:rPr/>
        <w:t>Represents the sort applied to a tuple.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47"/>
              <w:rPr>
                <w:sz w:val="22"/>
              </w:rPr>
            </w:pPr>
            <w:r>
              <w:rPr>
                <w:rFonts w:ascii="Cambria"/>
                <w:sz w:val="22"/>
              </w:rPr>
              <w:t>c </w:t>
            </w:r>
            <w:r>
              <w:rPr>
                <w:sz w:val="22"/>
              </w:rPr>
              <w:t>(Member Name Count)</w:t>
            </w:r>
          </w:p>
        </w:tc>
        <w:tc>
          <w:tcPr>
            <w:tcW w:w="8250" w:type="dxa"/>
          </w:tcPr>
          <w:p>
            <w:pPr>
              <w:pStyle w:val="TableParagraph"/>
              <w:rPr>
                <w:sz w:val="22"/>
              </w:rPr>
            </w:pPr>
            <w:r>
              <w:rPr>
                <w:sz w:val="22"/>
              </w:rPr>
              <w:t>Specifies the number of member names.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CT_Tuples</w:t>
      </w:r>
      <w:r>
        <w:rPr/>
        <w:t>) is located in §A.2. </w:t>
      </w:r>
      <w:r>
        <w:rPr>
          <w:i/>
        </w:rPr>
        <w:t>end note</w:t>
      </w:r>
      <w:r>
        <w:rPr/>
        <w:t>]</w:t>
      </w:r>
    </w:p>
    <w:p>
      <w:pPr>
        <w:spacing w:after="0"/>
        <w:sectPr>
          <w:pgSz w:w="12240" w:h="15840"/>
          <w:pgMar w:header="761" w:footer="746" w:top="1340" w:bottom="940" w:left="860" w:right="700"/>
        </w:sectPr>
      </w:pPr>
    </w:p>
    <w:p>
      <w:pPr>
        <w:pStyle w:val="Heading3"/>
        <w:numPr>
          <w:ilvl w:val="3"/>
          <w:numId w:val="42"/>
        </w:numPr>
        <w:tabs>
          <w:tab w:pos="1732" w:val="left" w:leader="none"/>
          <w:tab w:pos="1733" w:val="left" w:leader="none"/>
        </w:tabs>
        <w:spacing w:line="240" w:lineRule="auto" w:before="151" w:after="0"/>
        <w:ind w:left="1732" w:right="0" w:hanging="1513"/>
        <w:jc w:val="left"/>
      </w:pPr>
      <w:bookmarkStart w:name="18.10.1.92 tpl (Tuple)" w:id="1025"/>
      <w:bookmarkEnd w:id="1025"/>
      <w:r>
        <w:rPr/>
      </w:r>
      <w:bookmarkStart w:name="_bookmark340" w:id="1026"/>
      <w:bookmarkEnd w:id="1026"/>
      <w:r>
        <w:rPr/>
      </w:r>
      <w:bookmarkStart w:name="_bookmark340" w:id="1027"/>
      <w:bookmarkEnd w:id="1027"/>
      <w:r>
        <w:rPr>
          <w:color w:val="4F81BC"/>
        </w:rPr>
        <w:t>t</w:t>
      </w:r>
      <w:r>
        <w:rPr>
          <w:color w:val="4F81BC"/>
        </w:rPr>
        <w:t>pl</w:t>
      </w:r>
      <w:r>
        <w:rPr>
          <w:color w:val="4F81BC"/>
          <w:spacing w:val="-2"/>
        </w:rPr>
        <w:t> </w:t>
      </w:r>
      <w:r>
        <w:rPr>
          <w:color w:val="4F81BC"/>
        </w:rPr>
        <w:t>(Tuple)</w:t>
      </w:r>
    </w:p>
    <w:p>
      <w:pPr>
        <w:pStyle w:val="BodyText"/>
        <w:spacing w:before="121"/>
        <w:ind w:left="220"/>
      </w:pPr>
      <w:r>
        <w:rPr/>
        <w:t>Represents an OLAP sheet data entry member.</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fld </w:t>
            </w:r>
            <w:r>
              <w:rPr>
                <w:sz w:val="22"/>
              </w:rPr>
              <w:t>(Field Index)</w:t>
            </w:r>
          </w:p>
        </w:tc>
        <w:tc>
          <w:tcPr>
            <w:tcW w:w="8250" w:type="dxa"/>
          </w:tcPr>
          <w:p>
            <w:pPr>
              <w:pStyle w:val="TableParagraph"/>
              <w:rPr>
                <w:sz w:val="22"/>
              </w:rPr>
            </w:pPr>
            <w:r>
              <w:rPr>
                <w:sz w:val="22"/>
              </w:rPr>
              <w:t>Specifies the index of the field to which the member belongs.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ind w:right="557"/>
              <w:rPr>
                <w:sz w:val="22"/>
              </w:rPr>
            </w:pPr>
            <w:r>
              <w:rPr>
                <w:rFonts w:ascii="Cambria"/>
                <w:sz w:val="22"/>
              </w:rPr>
              <w:t>hier </w:t>
            </w:r>
            <w:r>
              <w:rPr>
                <w:sz w:val="22"/>
              </w:rPr>
              <w:t>(Hierarchy Index)</w:t>
            </w:r>
          </w:p>
        </w:tc>
        <w:tc>
          <w:tcPr>
            <w:tcW w:w="8250" w:type="dxa"/>
          </w:tcPr>
          <w:p>
            <w:pPr>
              <w:pStyle w:val="TableParagraph"/>
              <w:rPr>
                <w:sz w:val="22"/>
              </w:rPr>
            </w:pPr>
            <w:r>
              <w:rPr>
                <w:sz w:val="22"/>
              </w:rPr>
              <w:t>Specified the index of the hierarchy to which the member belongs.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item </w:t>
            </w:r>
            <w:r>
              <w:rPr>
                <w:sz w:val="22"/>
              </w:rPr>
              <w:t>(Item Index)</w:t>
            </w:r>
          </w:p>
        </w:tc>
        <w:tc>
          <w:tcPr>
            <w:tcW w:w="8250" w:type="dxa"/>
          </w:tcPr>
          <w:p>
            <w:pPr>
              <w:pStyle w:val="TableParagraph"/>
              <w:rPr>
                <w:sz w:val="22"/>
              </w:rPr>
            </w:pPr>
            <w:r>
              <w:rPr>
                <w:sz w:val="22"/>
              </w:rPr>
              <w:t>Specifies the index of the item in the field that represents this item.</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CT_Tuple</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93 tpls (Tuples)" w:id="1028"/>
      <w:bookmarkEnd w:id="1028"/>
      <w:r>
        <w:rPr/>
      </w:r>
      <w:bookmarkStart w:name="_bookmark341" w:id="1029"/>
      <w:bookmarkEnd w:id="1029"/>
      <w:r>
        <w:rPr/>
      </w:r>
      <w:bookmarkStart w:name="_bookmark341" w:id="1030"/>
      <w:bookmarkEnd w:id="1030"/>
      <w:r>
        <w:rPr>
          <w:color w:val="4F81BC"/>
        </w:rPr>
        <w:t>t</w:t>
      </w:r>
      <w:r>
        <w:rPr>
          <w:color w:val="4F81BC"/>
        </w:rPr>
        <w:t>pls</w:t>
      </w:r>
      <w:r>
        <w:rPr>
          <w:color w:val="4F81BC"/>
          <w:spacing w:val="-1"/>
        </w:rPr>
        <w:t> </w:t>
      </w:r>
      <w:r>
        <w:rPr>
          <w:color w:val="4F81BC"/>
        </w:rPr>
        <w:t>(Tuples)</w:t>
      </w:r>
    </w:p>
    <w:p>
      <w:pPr>
        <w:pStyle w:val="BodyText"/>
        <w:spacing w:before="121"/>
        <w:ind w:left="220"/>
      </w:pPr>
      <w:r>
        <w:rPr/>
        <w:t>Represents members for the OLAP sheet data entry, also known as a tuple.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47"/>
              <w:rPr>
                <w:sz w:val="22"/>
              </w:rPr>
            </w:pPr>
            <w:r>
              <w:rPr>
                <w:rFonts w:ascii="Cambria"/>
                <w:sz w:val="22"/>
              </w:rPr>
              <w:t>c </w:t>
            </w:r>
            <w:r>
              <w:rPr>
                <w:sz w:val="22"/>
              </w:rPr>
              <w:t>(Member Name Count)</w:t>
            </w:r>
          </w:p>
        </w:tc>
        <w:tc>
          <w:tcPr>
            <w:tcW w:w="8250" w:type="dxa"/>
          </w:tcPr>
          <w:p>
            <w:pPr>
              <w:pStyle w:val="TableParagraph"/>
              <w:rPr>
                <w:sz w:val="22"/>
              </w:rPr>
            </w:pPr>
            <w:r>
              <w:rPr>
                <w:sz w:val="22"/>
              </w:rPr>
              <w:t>Specifies the number of member names.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CT_Tuples</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94 tupleCache (Tuple Cache)" w:id="1031"/>
      <w:bookmarkEnd w:id="1031"/>
      <w:r>
        <w:rPr/>
      </w:r>
      <w:bookmarkStart w:name="_bookmark342" w:id="1032"/>
      <w:bookmarkEnd w:id="1032"/>
      <w:r>
        <w:rPr/>
      </w:r>
      <w:bookmarkStart w:name="_bookmark342" w:id="1033"/>
      <w:bookmarkEnd w:id="1033"/>
      <w:r>
        <w:rPr>
          <w:color w:val="4F81BC"/>
        </w:rPr>
        <w:t>tu</w:t>
      </w:r>
      <w:r>
        <w:rPr>
          <w:color w:val="4F81BC"/>
        </w:rPr>
        <w:t>pleCache (Tuple</w:t>
      </w:r>
      <w:r>
        <w:rPr>
          <w:color w:val="4F81BC"/>
          <w:spacing w:val="-2"/>
        </w:rPr>
        <w:t> </w:t>
      </w:r>
      <w:r>
        <w:rPr>
          <w:color w:val="4F81BC"/>
        </w:rPr>
        <w:t>Cache)</w:t>
      </w:r>
    </w:p>
    <w:p>
      <w:pPr>
        <w:pStyle w:val="BodyText"/>
        <w:spacing w:before="121"/>
        <w:ind w:left="220"/>
      </w:pPr>
      <w:r>
        <w:rPr/>
        <w:t>Represents the cache of OLAP sheet data members, or tuples.</w:t>
      </w:r>
    </w:p>
    <w:p>
      <w:pPr>
        <w:pStyle w:val="BodyText"/>
        <w:spacing w:before="6"/>
        <w:rPr>
          <w:sz w:val="19"/>
        </w:rPr>
      </w:pPr>
    </w:p>
    <w:p>
      <w:pPr>
        <w:pStyle w:val="BodyText"/>
        <w:spacing w:line="278" w:lineRule="auto"/>
        <w:ind w:left="220" w:right="446"/>
      </w:pPr>
      <w:r>
        <w:rPr/>
        <w:t>[</w:t>
      </w:r>
      <w:r>
        <w:rPr>
          <w:i/>
        </w:rPr>
        <w:t>Note</w:t>
      </w:r>
      <w:r>
        <w:rPr/>
        <w:t>: The W3C XML Schema definition of this element’s content model (</w:t>
      </w:r>
      <w:r>
        <w:rPr>
          <w:color w:val="5F5F5F"/>
          <w:u w:val="single" w:color="5F5F5F"/>
        </w:rPr>
        <w:t>CT_TupleCache</w:t>
      </w:r>
      <w:r>
        <w:rPr/>
        <w:t>) is located in §A.2. </w:t>
      </w:r>
      <w:r>
        <w:rPr>
          <w:i/>
        </w:rPr>
        <w:t>end </w:t>
      </w:r>
      <w:r>
        <w:rPr>
          <w:i/>
        </w:rPr>
        <w:t>note</w:t>
      </w:r>
      <w:r>
        <w:rPr/>
        <w:t>]</w:t>
      </w:r>
    </w:p>
    <w:p>
      <w:pPr>
        <w:pStyle w:val="BodyText"/>
        <w:spacing w:before="4"/>
        <w:rPr>
          <w:sz w:val="16"/>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95 worksheetSource (Worksheet Pi" w:id="1034"/>
      <w:bookmarkEnd w:id="1034"/>
      <w:r>
        <w:rPr/>
      </w:r>
      <w:bookmarkStart w:name="_bookmark343" w:id="1035"/>
      <w:bookmarkEnd w:id="1035"/>
      <w:r>
        <w:rPr/>
      </w:r>
      <w:bookmarkStart w:name="_bookmark343" w:id="1036"/>
      <w:bookmarkEnd w:id="1036"/>
      <w:r>
        <w:rPr>
          <w:color w:val="4F81BC"/>
        </w:rPr>
        <w:t>w</w:t>
      </w:r>
      <w:r>
        <w:rPr>
          <w:color w:val="4F81BC"/>
        </w:rPr>
        <w:t>orksheetSource (Worksheet PivotCache Source)</w:t>
      </w:r>
    </w:p>
    <w:p>
      <w:pPr>
        <w:pStyle w:val="BodyText"/>
        <w:spacing w:line="453" w:lineRule="auto" w:before="121"/>
        <w:ind w:left="220" w:right="3642"/>
      </w:pPr>
      <w:r>
        <w:rPr/>
        <w:t>Represents the location of the source of the data that is stored in the cache. [</w:t>
      </w:r>
      <w:r>
        <w:rPr>
          <w:i/>
        </w:rPr>
        <w:t>Example</w:t>
      </w:r>
      <w:r>
        <w:rPr/>
        <w:t>:</w:t>
      </w:r>
    </w:p>
    <w:p>
      <w:pPr>
        <w:spacing w:after="0" w:line="453" w:lineRule="auto"/>
        <w:sectPr>
          <w:pgSz w:w="12240" w:h="15840"/>
          <w:pgMar w:header="763" w:footer="746" w:top="1340" w:bottom="940" w:left="860" w:right="700"/>
        </w:sectPr>
      </w:pPr>
    </w:p>
    <w:p>
      <w:pPr>
        <w:pStyle w:val="BodyText"/>
        <w:spacing w:before="93"/>
        <w:ind w:left="508"/>
        <w:rPr>
          <w:rFonts w:ascii="Consolas"/>
        </w:rPr>
      </w:pPr>
      <w:r>
        <w:rPr>
          <w:rFonts w:ascii="Consolas"/>
        </w:rPr>
        <w:t>&lt;cacheSource type="worksheet"&gt;</w:t>
      </w:r>
    </w:p>
    <w:p>
      <w:pPr>
        <w:pStyle w:val="BodyText"/>
        <w:spacing w:before="38"/>
        <w:ind w:left="750"/>
        <w:rPr>
          <w:rFonts w:ascii="Consolas"/>
        </w:rPr>
      </w:pPr>
      <w:r>
        <w:rPr>
          <w:rFonts w:ascii="Consolas"/>
        </w:rPr>
        <w:t>&lt;worksheetSource name="Table1" r:id="rId2"/&gt;</w:t>
      </w:r>
    </w:p>
    <w:p>
      <w:pPr>
        <w:pStyle w:val="BodyText"/>
        <w:spacing w:before="40"/>
        <w:ind w:left="508"/>
        <w:rPr>
          <w:rFonts w:ascii="Consolas"/>
        </w:rPr>
      </w:pPr>
      <w:r>
        <w:rPr>
          <w:rFonts w:ascii="Consolas"/>
        </w:rPr>
        <w:t>&lt;/cacheSource&gt;</w:t>
      </w:r>
    </w:p>
    <w:p>
      <w:pPr>
        <w:pStyle w:val="BodyText"/>
        <w:spacing w:before="4"/>
        <w:rPr>
          <w:rFonts w:ascii="Consolas"/>
          <w:sz w:val="20"/>
        </w:rPr>
      </w:pPr>
    </w:p>
    <w:p>
      <w:pPr>
        <w:spacing w:before="1"/>
        <w:ind w:left="220" w:right="0" w:firstLine="0"/>
        <w:jc w:val="left"/>
        <w:rPr>
          <w:sz w:val="22"/>
        </w:rPr>
      </w:pPr>
      <w:r>
        <w:rPr>
          <w:i/>
          <w:sz w:val="22"/>
        </w:rPr>
        <w:t>end example</w:t>
      </w:r>
      <w:r>
        <w:rPr>
          <w:sz w:val="22"/>
        </w:rPr>
        <w: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8" w:hRule="atLeast"/>
        </w:trPr>
        <w:tc>
          <w:tcPr>
            <w:tcW w:w="2062" w:type="dxa"/>
            <w:tcBorders>
              <w:bottom w:val="nil"/>
            </w:tcBorders>
          </w:tcPr>
          <w:p>
            <w:pPr>
              <w:pStyle w:val="TableParagraph"/>
              <w:rPr>
                <w:sz w:val="22"/>
              </w:rPr>
            </w:pPr>
            <w:r>
              <w:rPr>
                <w:rFonts w:ascii="Cambria"/>
                <w:sz w:val="22"/>
              </w:rPr>
              <w:t>id </w:t>
            </w:r>
            <w:r>
              <w:rPr>
                <w:sz w:val="22"/>
              </w:rPr>
              <w:t>(Relationship Id)</w:t>
            </w:r>
          </w:p>
        </w:tc>
        <w:tc>
          <w:tcPr>
            <w:tcW w:w="8250" w:type="dxa"/>
            <w:tcBorders>
              <w:bottom w:val="nil"/>
            </w:tcBorders>
          </w:tcPr>
          <w:p>
            <w:pPr>
              <w:pStyle w:val="TableParagraph"/>
              <w:rPr>
                <w:sz w:val="22"/>
              </w:rPr>
            </w:pPr>
            <w:r>
              <w:rPr>
                <w:sz w:val="22"/>
              </w:rPr>
              <w:t>Specifies the identifier to the Sheet part whose data is stored in the cache. See the Sheet</w:t>
            </w:r>
          </w:p>
        </w:tc>
      </w:tr>
      <w:tr>
        <w:trPr>
          <w:trHeight w:val="267"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48" w:lineRule="exact" w:before="0"/>
              <w:rPr>
                <w:sz w:val="22"/>
              </w:rPr>
            </w:pPr>
            <w:r>
              <w:rPr>
                <w:sz w:val="22"/>
              </w:rPr>
              <w:t>section (§</w:t>
            </w:r>
            <w:hyperlink w:history="true" w:anchor="_bookmark0">
              <w:r>
                <w:rPr>
                  <w:sz w:val="22"/>
                </w:rPr>
                <w:t>18.2</w:t>
              </w:r>
            </w:hyperlink>
            <w:r>
              <w:rPr>
                <w:sz w:val="22"/>
              </w:rPr>
              <w:t>) for more information.</w:t>
            </w:r>
          </w:p>
        </w:tc>
      </w:tr>
      <w:tr>
        <w:trPr>
          <w:trHeight w:val="245" w:hRule="atLeast"/>
        </w:trPr>
        <w:tc>
          <w:tcPr>
            <w:tcW w:w="2062" w:type="dxa"/>
            <w:tcBorders>
              <w:top w:val="nil"/>
              <w:bottom w:val="nil"/>
            </w:tcBorders>
          </w:tcPr>
          <w:p>
            <w:pPr>
              <w:pStyle w:val="TableParagraph"/>
              <w:spacing w:line="225" w:lineRule="exact" w:before="0"/>
              <w:rPr>
                <w:sz w:val="22"/>
              </w:rPr>
            </w:pPr>
            <w:r>
              <w:rPr>
                <w:sz w:val="22"/>
              </w:rPr>
              <w:t>Namespace:</w:t>
            </w:r>
          </w:p>
        </w:tc>
        <w:tc>
          <w:tcPr>
            <w:tcW w:w="8250" w:type="dxa"/>
            <w:tcBorders>
              <w:top w:val="nil"/>
              <w:bottom w:val="nil"/>
            </w:tcBorders>
          </w:tcPr>
          <w:p>
            <w:pPr>
              <w:pStyle w:val="TableParagraph"/>
              <w:spacing w:before="0"/>
              <w:ind w:left="0"/>
              <w:rPr>
                <w:rFonts w:ascii="Times New Roman"/>
                <w:sz w:val="16"/>
              </w:rPr>
            </w:pPr>
          </w:p>
        </w:tc>
      </w:tr>
      <w:tr>
        <w:trPr>
          <w:trHeight w:val="265" w:hRule="atLeast"/>
        </w:trPr>
        <w:tc>
          <w:tcPr>
            <w:tcW w:w="2062" w:type="dxa"/>
            <w:tcBorders>
              <w:top w:val="nil"/>
              <w:bottom w:val="nil"/>
            </w:tcBorders>
          </w:tcPr>
          <w:p>
            <w:pPr>
              <w:pStyle w:val="TableParagraph"/>
              <w:spacing w:line="240" w:lineRule="exact" w:before="5"/>
              <w:rPr>
                <w:rFonts w:ascii="Cambria"/>
                <w:sz w:val="22"/>
              </w:rPr>
            </w:pPr>
            <w:hyperlink r:id="rId18">
              <w:r>
                <w:rPr>
                  <w:rFonts w:ascii="Cambria"/>
                  <w:sz w:val="22"/>
                </w:rPr>
                <w:t>http://purl.oclc.or</w:t>
              </w:r>
            </w:hyperlink>
          </w:p>
        </w:tc>
        <w:tc>
          <w:tcPr>
            <w:tcW w:w="8250" w:type="dxa"/>
            <w:tcBorders>
              <w:top w:val="nil"/>
              <w:bottom w:val="nil"/>
            </w:tcBorders>
          </w:tcPr>
          <w:p>
            <w:pPr>
              <w:pStyle w:val="TableParagraph"/>
              <w:spacing w:line="243" w:lineRule="exact" w:before="2"/>
              <w:rPr>
                <w:sz w:val="22"/>
              </w:rPr>
            </w:pPr>
            <w:r>
              <w:rPr>
                <w:sz w:val="22"/>
              </w:rPr>
              <w:t>The possible values for this attribute are defined by the </w:t>
            </w:r>
            <w:r>
              <w:rPr>
                <w:rFonts w:ascii="Cambria"/>
                <w:sz w:val="22"/>
              </w:rPr>
              <w:t>ST_RelationshipId </w:t>
            </w:r>
            <w:r>
              <w:rPr>
                <w:sz w:val="22"/>
              </w:rPr>
              <w:t>simple type</w:t>
            </w:r>
          </w:p>
        </w:tc>
      </w:tr>
      <w:tr>
        <w:trPr>
          <w:trHeight w:val="256" w:hRule="atLeast"/>
        </w:trPr>
        <w:tc>
          <w:tcPr>
            <w:tcW w:w="2062" w:type="dxa"/>
            <w:tcBorders>
              <w:top w:val="nil"/>
              <w:bottom w:val="nil"/>
            </w:tcBorders>
          </w:tcPr>
          <w:p>
            <w:pPr>
              <w:pStyle w:val="TableParagraph"/>
              <w:spacing w:line="236" w:lineRule="exact" w:before="0"/>
              <w:rPr>
                <w:rFonts w:ascii="Cambria"/>
                <w:sz w:val="22"/>
              </w:rPr>
            </w:pPr>
            <w:r>
              <w:rPr>
                <w:rFonts w:ascii="Cambria"/>
                <w:sz w:val="22"/>
              </w:rPr>
              <w:t>g/ooxml/officeDoc</w:t>
            </w:r>
          </w:p>
        </w:tc>
        <w:tc>
          <w:tcPr>
            <w:tcW w:w="8250" w:type="dxa"/>
            <w:vMerge w:val="restart"/>
            <w:tcBorders>
              <w:top w:val="nil"/>
              <w:bottom w:val="nil"/>
            </w:tcBorders>
          </w:tcPr>
          <w:p>
            <w:pPr>
              <w:pStyle w:val="TableParagraph"/>
              <w:spacing w:line="237" w:lineRule="exact" w:before="6"/>
              <w:rPr>
                <w:sz w:val="22"/>
              </w:rPr>
            </w:pPr>
            <w:r>
              <w:rPr>
                <w:sz w:val="22"/>
              </w:rPr>
              <w:t>(§22.8.2.1).</w:t>
            </w:r>
          </w:p>
        </w:tc>
      </w:tr>
      <w:tr>
        <w:trPr>
          <w:trHeight w:val="7" w:hRule="atLeast"/>
        </w:trPr>
        <w:tc>
          <w:tcPr>
            <w:tcW w:w="2062" w:type="dxa"/>
            <w:vMerge w:val="restart"/>
            <w:tcBorders>
              <w:top w:val="nil"/>
              <w:bottom w:val="nil"/>
            </w:tcBorders>
          </w:tcPr>
          <w:p>
            <w:pPr>
              <w:pStyle w:val="TableParagraph"/>
              <w:spacing w:line="238" w:lineRule="exact" w:before="0"/>
              <w:rPr>
                <w:rFonts w:ascii="Cambria"/>
                <w:sz w:val="22"/>
              </w:rPr>
            </w:pPr>
            <w:r>
              <w:rPr>
                <w:rFonts w:ascii="Cambria"/>
                <w:sz w:val="22"/>
              </w:rPr>
              <w:t>ument/relationshi</w:t>
            </w:r>
          </w:p>
        </w:tc>
        <w:tc>
          <w:tcPr>
            <w:tcW w:w="8250" w:type="dxa"/>
            <w:vMerge/>
            <w:tcBorders>
              <w:top w:val="nil"/>
              <w:bottom w:val="nil"/>
            </w:tcBorders>
          </w:tcPr>
          <w:p>
            <w:pPr>
              <w:rPr>
                <w:sz w:val="2"/>
                <w:szCs w:val="2"/>
              </w:rPr>
            </w:pPr>
          </w:p>
        </w:tc>
      </w:tr>
      <w:tr>
        <w:trPr>
          <w:trHeight w:val="251" w:hRule="atLeast"/>
        </w:trPr>
        <w:tc>
          <w:tcPr>
            <w:tcW w:w="2062" w:type="dxa"/>
            <w:vMerge/>
            <w:tcBorders>
              <w:top w:val="nil"/>
              <w:bottom w:val="nil"/>
            </w:tcBorders>
          </w:tcPr>
          <w:p>
            <w:pPr>
              <w:rPr>
                <w:sz w:val="2"/>
                <w:szCs w:val="2"/>
              </w:rPr>
            </w:pPr>
          </w:p>
        </w:tc>
        <w:tc>
          <w:tcPr>
            <w:tcW w:w="8250" w:type="dxa"/>
            <w:tcBorders>
              <w:top w:val="nil"/>
              <w:bottom w:val="nil"/>
            </w:tcBorders>
          </w:tcPr>
          <w:p>
            <w:pPr>
              <w:pStyle w:val="TableParagraph"/>
              <w:spacing w:before="0"/>
              <w:ind w:left="0"/>
              <w:rPr>
                <w:rFonts w:ascii="Times New Roman"/>
                <w:sz w:val="18"/>
              </w:rPr>
            </w:pPr>
          </w:p>
        </w:tc>
      </w:tr>
      <w:tr>
        <w:trPr>
          <w:trHeight w:val="301" w:hRule="atLeast"/>
        </w:trPr>
        <w:tc>
          <w:tcPr>
            <w:tcW w:w="2062" w:type="dxa"/>
            <w:tcBorders>
              <w:top w:val="nil"/>
            </w:tcBorders>
          </w:tcPr>
          <w:p>
            <w:pPr>
              <w:pStyle w:val="TableParagraph"/>
              <w:spacing w:before="1"/>
              <w:rPr>
                <w:rFonts w:ascii="Cambria"/>
                <w:sz w:val="22"/>
              </w:rPr>
            </w:pPr>
            <w:r>
              <w:rPr>
                <w:rFonts w:ascii="Cambria"/>
                <w:sz w:val="22"/>
              </w:rPr>
              <w:t>ps</w:t>
            </w:r>
          </w:p>
        </w:tc>
        <w:tc>
          <w:tcPr>
            <w:tcW w:w="8250" w:type="dxa"/>
            <w:tcBorders>
              <w:top w:val="nil"/>
            </w:tcBorders>
          </w:tcPr>
          <w:p>
            <w:pPr>
              <w:pStyle w:val="TableParagraph"/>
              <w:spacing w:before="0"/>
              <w:ind w:left="0"/>
              <w:rPr>
                <w:rFonts w:ascii="Times New Roman"/>
                <w:sz w:val="22"/>
              </w:rPr>
            </w:pPr>
          </w:p>
        </w:tc>
      </w:tr>
      <w:tr>
        <w:trPr>
          <w:trHeight w:val="1161" w:hRule="atLeast"/>
        </w:trPr>
        <w:tc>
          <w:tcPr>
            <w:tcW w:w="2062" w:type="dxa"/>
          </w:tcPr>
          <w:p>
            <w:pPr>
              <w:pStyle w:val="TableParagraph"/>
              <w:ind w:right="633"/>
              <w:rPr>
                <w:sz w:val="22"/>
              </w:rPr>
            </w:pPr>
            <w:r>
              <w:rPr>
                <w:rFonts w:ascii="Cambria"/>
                <w:sz w:val="22"/>
              </w:rPr>
              <w:t>name </w:t>
            </w:r>
            <w:r>
              <w:rPr>
                <w:sz w:val="22"/>
              </w:rPr>
              <w:t>(Named Range)</w:t>
            </w:r>
          </w:p>
        </w:tc>
        <w:tc>
          <w:tcPr>
            <w:tcW w:w="8250" w:type="dxa"/>
          </w:tcPr>
          <w:p>
            <w:pPr>
              <w:pStyle w:val="TableParagraph"/>
              <w:rPr>
                <w:sz w:val="22"/>
              </w:rPr>
            </w:pPr>
            <w:r>
              <w:rPr>
                <w:sz w:val="22"/>
              </w:rPr>
              <w:t>Specifies the named range that is the source of the data.</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ind w:right="771"/>
              <w:rPr>
                <w:sz w:val="22"/>
              </w:rPr>
            </w:pPr>
            <w:r>
              <w:rPr>
                <w:sz w:val="22"/>
              </w:rPr>
              <w:t>Specifies the reference that defines a cell range that is the source of the data. This attribute depends on how the application implements cell references.</w:t>
            </w:r>
          </w:p>
          <w:p>
            <w:pPr>
              <w:pStyle w:val="TableParagraph"/>
              <w:spacing w:before="10"/>
              <w:ind w:left="0"/>
              <w:rPr>
                <w:sz w:val="21"/>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61" w:hRule="atLeast"/>
        </w:trPr>
        <w:tc>
          <w:tcPr>
            <w:tcW w:w="2062" w:type="dxa"/>
          </w:tcPr>
          <w:p>
            <w:pPr>
              <w:pStyle w:val="TableParagraph"/>
              <w:rPr>
                <w:sz w:val="22"/>
              </w:rPr>
            </w:pPr>
            <w:r>
              <w:rPr>
                <w:rFonts w:ascii="Cambria"/>
                <w:sz w:val="22"/>
              </w:rPr>
              <w:t>sheet </w:t>
            </w:r>
            <w:r>
              <w:rPr>
                <w:sz w:val="22"/>
              </w:rPr>
              <w:t>(Sheet Name)</w:t>
            </w:r>
          </w:p>
        </w:tc>
        <w:tc>
          <w:tcPr>
            <w:tcW w:w="8250" w:type="dxa"/>
          </w:tcPr>
          <w:p>
            <w:pPr>
              <w:pStyle w:val="TableParagraph"/>
              <w:rPr>
                <w:sz w:val="22"/>
              </w:rPr>
            </w:pPr>
            <w:r>
              <w:rPr>
                <w:sz w:val="22"/>
              </w:rPr>
              <w:t>Specifies the name of the sheet that is the source for the cached data.</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CT_WorksheetSource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96 x (Member Property Index)" w:id="1037"/>
      <w:bookmarkEnd w:id="1037"/>
      <w:r>
        <w:rPr/>
      </w:r>
      <w:bookmarkStart w:name="_bookmark344" w:id="1038"/>
      <w:bookmarkEnd w:id="1038"/>
      <w:r>
        <w:rPr/>
      </w:r>
      <w:bookmarkStart w:name="_bookmark344" w:id="1039"/>
      <w:bookmarkEnd w:id="1039"/>
      <w:r>
        <w:rPr>
          <w:color w:val="4F81BC"/>
        </w:rPr>
        <w:t>x</w:t>
      </w:r>
      <w:r>
        <w:rPr>
          <w:color w:val="4F81BC"/>
        </w:rPr>
        <w:t> (Member Property</w:t>
      </w:r>
      <w:r>
        <w:rPr>
          <w:color w:val="4F81BC"/>
          <w:spacing w:val="-4"/>
        </w:rPr>
        <w:t> </w:t>
      </w:r>
      <w:r>
        <w:rPr>
          <w:color w:val="4F81BC"/>
        </w:rPr>
        <w:t>Index)</w:t>
      </w:r>
    </w:p>
    <w:p>
      <w:pPr>
        <w:pStyle w:val="BodyText"/>
        <w:spacing w:before="122"/>
        <w:ind w:left="220"/>
      </w:pPr>
      <w:r>
        <w:rPr/>
        <w:t>Represents an array of indexes to cached member property values.</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right="517"/>
              <w:rPr>
                <w:sz w:val="22"/>
              </w:rPr>
            </w:pPr>
            <w:r>
              <w:rPr>
                <w:rFonts w:ascii="Cambria"/>
                <w:sz w:val="22"/>
              </w:rPr>
              <w:t>v </w:t>
            </w:r>
            <w:r>
              <w:rPr>
                <w:sz w:val="22"/>
              </w:rPr>
              <w:t>(Shared Items Index)</w:t>
            </w:r>
          </w:p>
        </w:tc>
        <w:tc>
          <w:tcPr>
            <w:tcW w:w="8250" w:type="dxa"/>
          </w:tcPr>
          <w:p>
            <w:pPr>
              <w:pStyle w:val="TableParagraph"/>
              <w:rPr>
                <w:sz w:val="22"/>
              </w:rPr>
            </w:pPr>
            <w:r>
              <w:rPr>
                <w:sz w:val="22"/>
              </w:rPr>
              <w:t>Specifies the index into the shared items table in the PivotCache that identifies this item.</w:t>
            </w:r>
          </w:p>
          <w:p>
            <w:pPr>
              <w:pStyle w:val="TableParagraph"/>
              <w:spacing w:before="1"/>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CT_X</w:t>
      </w:r>
      <w:r>
        <w:rPr/>
        <w:t>) is located in §A.2. </w:t>
      </w:r>
      <w:r>
        <w:rPr>
          <w:i/>
        </w:rPr>
        <w:t>end note</w:t>
      </w:r>
      <w:r>
        <w:rPr/>
        <w:t>]</w:t>
      </w:r>
    </w:p>
    <w:p>
      <w:pPr>
        <w:pStyle w:val="BodyText"/>
        <w:spacing w:before="9"/>
        <w:rPr>
          <w:sz w:val="19"/>
        </w:rPr>
      </w:pPr>
    </w:p>
    <w:p>
      <w:pPr>
        <w:pStyle w:val="Heading3"/>
        <w:numPr>
          <w:ilvl w:val="3"/>
          <w:numId w:val="42"/>
        </w:numPr>
        <w:tabs>
          <w:tab w:pos="1732" w:val="left" w:leader="none"/>
          <w:tab w:pos="1733" w:val="left" w:leader="none"/>
        </w:tabs>
        <w:spacing w:line="240" w:lineRule="auto" w:before="0" w:after="0"/>
        <w:ind w:left="1732" w:right="0" w:hanging="1513"/>
        <w:jc w:val="left"/>
      </w:pPr>
      <w:bookmarkStart w:name="18.10.1.97 x (Shared Items Index)" w:id="1040"/>
      <w:bookmarkEnd w:id="1040"/>
      <w:r>
        <w:rPr/>
      </w:r>
      <w:bookmarkStart w:name="_bookmark345" w:id="1041"/>
      <w:bookmarkEnd w:id="1041"/>
      <w:r>
        <w:rPr/>
      </w:r>
      <w:bookmarkStart w:name="_bookmark345" w:id="1042"/>
      <w:bookmarkEnd w:id="1042"/>
      <w:r>
        <w:rPr>
          <w:color w:val="4F81BC"/>
        </w:rPr>
        <w:t>x</w:t>
      </w:r>
      <w:r>
        <w:rPr>
          <w:color w:val="4F81BC"/>
        </w:rPr>
        <w:t> (Shared Items</w:t>
      </w:r>
      <w:r>
        <w:rPr>
          <w:color w:val="4F81BC"/>
          <w:spacing w:val="-4"/>
        </w:rPr>
        <w:t> </w:t>
      </w:r>
      <w:r>
        <w:rPr>
          <w:color w:val="4F81BC"/>
        </w:rPr>
        <w:t>Index)</w:t>
      </w:r>
    </w:p>
    <w:p>
      <w:pPr>
        <w:pStyle w:val="BodyText"/>
        <w:spacing w:before="121"/>
        <w:ind w:left="220"/>
      </w:pPr>
      <w:r>
        <w:rPr/>
        <w:t>This element represents an array of indexes to cached shared item values</w:t>
      </w:r>
    </w:p>
    <w:p>
      <w:pPr>
        <w:spacing w:after="0"/>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17"/>
              <w:rPr>
                <w:sz w:val="22"/>
              </w:rPr>
            </w:pPr>
            <w:r>
              <w:rPr>
                <w:rFonts w:ascii="Cambria"/>
                <w:sz w:val="22"/>
              </w:rPr>
              <w:t>v </w:t>
            </w:r>
            <w:r>
              <w:rPr>
                <w:sz w:val="22"/>
              </w:rPr>
              <w:t>(Shared Items Index)</w:t>
            </w:r>
          </w:p>
        </w:tc>
        <w:tc>
          <w:tcPr>
            <w:tcW w:w="8250" w:type="dxa"/>
          </w:tcPr>
          <w:p>
            <w:pPr>
              <w:pStyle w:val="TableParagraph"/>
              <w:rPr>
                <w:sz w:val="22"/>
              </w:rPr>
            </w:pPr>
            <w:r>
              <w:rPr>
                <w:sz w:val="22"/>
              </w:rPr>
              <w:t>Specifies the index into the shared items table in the PivotCache that identifies this item.</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CT_Index</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0.2 Shared Pivot Table Data" w:id="1043"/>
      <w:bookmarkEnd w:id="1043"/>
      <w:r>
        <w:rPr>
          <w:b w:val="0"/>
        </w:rPr>
      </w:r>
      <w:bookmarkStart w:name="_bookmark346" w:id="1044"/>
      <w:bookmarkEnd w:id="1044"/>
      <w:r>
        <w:rPr>
          <w:b w:val="0"/>
        </w:rPr>
      </w:r>
      <w:bookmarkStart w:name="_bookmark346" w:id="1045"/>
      <w:bookmarkEnd w:id="1045"/>
      <w:r>
        <w:rPr>
          <w:color w:val="4F81BC"/>
        </w:rPr>
        <w:t>S</w:t>
      </w:r>
      <w:r>
        <w:rPr>
          <w:color w:val="4F81BC"/>
        </w:rPr>
        <w:t>hared Pivot Table</w:t>
      </w:r>
      <w:r>
        <w:rPr>
          <w:color w:val="4F81BC"/>
          <w:spacing w:val="-3"/>
        </w:rPr>
        <w:t> </w:t>
      </w:r>
      <w:r>
        <w:rPr>
          <w:color w:val="4F81BC"/>
        </w:rPr>
        <w:t>Data</w:t>
      </w:r>
    </w:p>
    <w:p>
      <w:pPr>
        <w:pStyle w:val="BodyText"/>
        <w:spacing w:before="124"/>
        <w:ind w:left="220"/>
      </w:pPr>
      <w:r>
        <w:rPr/>
        <w:t>This section defines the part where shared PivotTable data is stored.</w:t>
      </w:r>
    </w:p>
    <w:p>
      <w:pPr>
        <w:pStyle w:val="BodyText"/>
        <w:spacing w:before="10"/>
        <w:rPr>
          <w:sz w:val="19"/>
        </w:rPr>
      </w:pPr>
    </w:p>
    <w:p>
      <w:pPr>
        <w:pStyle w:val="Heading3"/>
        <w:numPr>
          <w:ilvl w:val="3"/>
          <w:numId w:val="51"/>
        </w:numPr>
        <w:tabs>
          <w:tab w:pos="1732" w:val="left" w:leader="none"/>
          <w:tab w:pos="1733" w:val="left" w:leader="none"/>
        </w:tabs>
        <w:spacing w:line="240" w:lineRule="auto" w:before="0" w:after="0"/>
        <w:ind w:left="1732" w:right="0" w:hanging="1513"/>
        <w:jc w:val="left"/>
      </w:pPr>
      <w:bookmarkStart w:name="18.10.2.1 reference (Reference)" w:id="1046"/>
      <w:bookmarkEnd w:id="1046"/>
      <w:r>
        <w:rPr/>
      </w:r>
      <w:bookmarkStart w:name="_bookmark347" w:id="1047"/>
      <w:bookmarkEnd w:id="1047"/>
      <w:r>
        <w:rPr/>
      </w:r>
      <w:bookmarkStart w:name="_bookmark347" w:id="1048"/>
      <w:bookmarkEnd w:id="1048"/>
      <w:r>
        <w:rPr>
          <w:color w:val="4F81BC"/>
        </w:rPr>
        <w:t>r</w:t>
      </w:r>
      <w:r>
        <w:rPr>
          <w:color w:val="4F81BC"/>
        </w:rPr>
        <w:t>eference</w:t>
      </w:r>
      <w:r>
        <w:rPr>
          <w:color w:val="4F81BC"/>
          <w:spacing w:val="-1"/>
        </w:rPr>
        <w:t> </w:t>
      </w:r>
      <w:r>
        <w:rPr>
          <w:color w:val="4F81BC"/>
        </w:rPr>
        <w:t>(Reference)</w:t>
      </w:r>
    </w:p>
    <w:p>
      <w:pPr>
        <w:pStyle w:val="BodyText"/>
        <w:spacing w:line="453" w:lineRule="auto" w:before="121"/>
        <w:ind w:left="220" w:right="3929"/>
      </w:pPr>
      <w:r>
        <w:rPr/>
        <w:t>Represents a set of selected fields and selected items within those fields. [</w:t>
      </w:r>
      <w:r>
        <w:rPr>
          <w:i/>
        </w:rPr>
        <w:t>Example</w:t>
      </w:r>
      <w:r>
        <w:rPr/>
        <w:t>:</w:t>
      </w:r>
    </w:p>
    <w:p>
      <w:pPr>
        <w:pStyle w:val="BodyText"/>
        <w:spacing w:before="2"/>
        <w:ind w:left="508"/>
        <w:rPr>
          <w:rFonts w:ascii="Consolas"/>
        </w:rPr>
      </w:pPr>
      <w:r>
        <w:rPr>
          <w:rFonts w:ascii="Consolas"/>
        </w:rPr>
        <w:t>&lt;sh:reference field="4294967294" count="1" selected="0"&gt;</w:t>
      </w:r>
    </w:p>
    <w:p>
      <w:pPr>
        <w:pStyle w:val="BodyText"/>
        <w:spacing w:before="40"/>
        <w:ind w:right="8355"/>
        <w:jc w:val="right"/>
        <w:rPr>
          <w:rFonts w:ascii="Consolas"/>
        </w:rPr>
      </w:pPr>
      <w:r>
        <w:rPr>
          <w:rFonts w:ascii="Consolas"/>
        </w:rPr>
        <w:t>&lt;sh:x</w:t>
      </w:r>
      <w:r>
        <w:rPr>
          <w:rFonts w:ascii="Consolas"/>
          <w:spacing w:val="-8"/>
        </w:rPr>
        <w:t> </w:t>
      </w:r>
      <w:r>
        <w:rPr>
          <w:rFonts w:ascii="Consolas"/>
        </w:rPr>
        <w:t>v="0"/&gt;</w:t>
      </w:r>
    </w:p>
    <w:p>
      <w:pPr>
        <w:pStyle w:val="BodyText"/>
        <w:spacing w:before="38"/>
        <w:ind w:right="8356"/>
        <w:jc w:val="right"/>
        <w:rPr>
          <w:rFonts w:ascii="Consolas"/>
        </w:rPr>
      </w:pPr>
      <w:r>
        <w:rPr>
          <w:rFonts w:ascii="Consolas"/>
          <w:spacing w:val="-2"/>
        </w:rPr>
        <w:t>&lt;/sh:reference&gt;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03" w:hRule="atLeast"/>
        </w:trPr>
        <w:tc>
          <w:tcPr>
            <w:tcW w:w="2062" w:type="dxa"/>
          </w:tcPr>
          <w:p>
            <w:pPr>
              <w:pStyle w:val="TableParagraph"/>
              <w:spacing w:line="237" w:lineRule="auto" w:before="45"/>
              <w:ind w:right="414"/>
              <w:rPr>
                <w:sz w:val="22"/>
              </w:rPr>
            </w:pPr>
            <w:r>
              <w:rPr>
                <w:rFonts w:ascii="Cambria"/>
                <w:sz w:val="22"/>
              </w:rPr>
              <w:t>avgSubtotal </w:t>
            </w:r>
            <w:r>
              <w:rPr>
                <w:sz w:val="22"/>
              </w:rPr>
              <w:t>(Include Average Filter)</w:t>
            </w:r>
          </w:p>
        </w:tc>
        <w:tc>
          <w:tcPr>
            <w:tcW w:w="8250" w:type="dxa"/>
          </w:tcPr>
          <w:p>
            <w:pPr>
              <w:pStyle w:val="TableParagraph"/>
              <w:ind w:right="655"/>
              <w:rPr>
                <w:sz w:val="22"/>
              </w:rPr>
            </w:pPr>
            <w:r>
              <w:rPr>
                <w:sz w:val="22"/>
              </w:rPr>
              <w:t>Specifies a boolean value that indicates whether the 'average' aggregate function is included in the filter.</w:t>
            </w:r>
          </w:p>
          <w:p>
            <w:pPr>
              <w:pStyle w:val="TableParagraph"/>
              <w:spacing w:before="1"/>
              <w:ind w:left="0"/>
              <w:rPr>
                <w:sz w:val="22"/>
              </w:rPr>
            </w:pPr>
          </w:p>
          <w:p>
            <w:pPr>
              <w:pStyle w:val="TableParagraph"/>
              <w:spacing w:line="477" w:lineRule="auto" w:before="0"/>
              <w:ind w:right="357"/>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average aggregation function is included in the filter.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another aggregation function is included in the filter.</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spacing w:line="237" w:lineRule="auto" w:before="45"/>
              <w:ind w:right="929"/>
              <w:jc w:val="both"/>
              <w:rPr>
                <w:sz w:val="22"/>
              </w:rPr>
            </w:pPr>
            <w:r>
              <w:rPr>
                <w:rFonts w:ascii="Cambria"/>
                <w:sz w:val="22"/>
              </w:rPr>
              <w:t>byPosition </w:t>
            </w:r>
            <w:r>
              <w:rPr>
                <w:sz w:val="22"/>
              </w:rPr>
              <w:t>(Positional Reference)</w:t>
            </w:r>
          </w:p>
        </w:tc>
        <w:tc>
          <w:tcPr>
            <w:tcW w:w="8250" w:type="dxa"/>
          </w:tcPr>
          <w:p>
            <w:pPr>
              <w:pStyle w:val="TableParagraph"/>
              <w:ind w:right="113"/>
              <w:rPr>
                <w:sz w:val="22"/>
              </w:rPr>
            </w:pPr>
            <w:r>
              <w:rPr>
                <w:sz w:val="22"/>
              </w:rPr>
              <w:t>Specifies a boolean value that indicates whether the item is referred to by position rather than item index.</w:t>
            </w:r>
          </w:p>
          <w:p>
            <w:pPr>
              <w:pStyle w:val="TableParagraph"/>
              <w:spacing w:before="0"/>
              <w:ind w:left="0"/>
              <w:rPr>
                <w:sz w:val="22"/>
              </w:rPr>
            </w:pPr>
          </w:p>
          <w:p>
            <w:pPr>
              <w:pStyle w:val="TableParagraph"/>
              <w:spacing w:line="480" w:lineRule="auto" w:before="0"/>
              <w:ind w:right="2355"/>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item is referred to by position.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the item is referred to by index.</w:t>
            </w: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892" w:hRule="atLeast"/>
        </w:trPr>
        <w:tc>
          <w:tcPr>
            <w:tcW w:w="2062" w:type="dxa"/>
          </w:tcPr>
          <w:p>
            <w:pPr>
              <w:pStyle w:val="TableParagraph"/>
              <w:ind w:right="313"/>
              <w:rPr>
                <w:sz w:val="22"/>
              </w:rPr>
            </w:pPr>
            <w:r>
              <w:rPr>
                <w:rFonts w:ascii="Cambria"/>
                <w:sz w:val="22"/>
              </w:rPr>
              <w:t>count </w:t>
            </w:r>
            <w:r>
              <w:rPr>
                <w:sz w:val="22"/>
              </w:rPr>
              <w:t>(Item Index Count)</w:t>
            </w:r>
          </w:p>
        </w:tc>
        <w:tc>
          <w:tcPr>
            <w:tcW w:w="8250" w:type="dxa"/>
          </w:tcPr>
          <w:p>
            <w:pPr>
              <w:pStyle w:val="TableParagraph"/>
              <w:rPr>
                <w:sz w:val="22"/>
              </w:rPr>
            </w:pPr>
            <w:r>
              <w:rPr>
                <w:sz w:val="22"/>
              </w:rPr>
              <w:t>Specifies the number of item indexes in the collection of indexes (x tags).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2502" w:hRule="atLeast"/>
        </w:trPr>
        <w:tc>
          <w:tcPr>
            <w:tcW w:w="2062" w:type="dxa"/>
          </w:tcPr>
          <w:p>
            <w:pPr>
              <w:pStyle w:val="TableParagraph"/>
              <w:spacing w:line="237" w:lineRule="auto" w:before="45"/>
              <w:ind w:right="478"/>
              <w:jc w:val="both"/>
              <w:rPr>
                <w:sz w:val="22"/>
              </w:rPr>
            </w:pPr>
            <w:r>
              <w:rPr>
                <w:rFonts w:ascii="Cambria"/>
                <w:sz w:val="22"/>
              </w:rPr>
              <w:t>countASubtotal </w:t>
            </w:r>
            <w:r>
              <w:rPr>
                <w:sz w:val="22"/>
              </w:rPr>
              <w:t>(Include CountA Filter)</w:t>
            </w:r>
          </w:p>
        </w:tc>
        <w:tc>
          <w:tcPr>
            <w:tcW w:w="8250" w:type="dxa"/>
          </w:tcPr>
          <w:p>
            <w:pPr>
              <w:pStyle w:val="TableParagraph"/>
              <w:ind w:right="294"/>
              <w:rPr>
                <w:sz w:val="22"/>
              </w:rPr>
            </w:pPr>
            <w:r>
              <w:rPr>
                <w:sz w:val="22"/>
              </w:rPr>
              <w:t>Specifies a boolean value that indicates whether the 'countA' subtotal is included in the filter.</w:t>
            </w:r>
          </w:p>
          <w:p>
            <w:pPr>
              <w:pStyle w:val="TableParagraph"/>
              <w:spacing w:before="4"/>
              <w:ind w:left="0"/>
              <w:rPr>
                <w:rFonts w:ascii="Times New Roman"/>
                <w:sz w:val="23"/>
              </w:rPr>
            </w:pPr>
          </w:p>
          <w:p>
            <w:pPr>
              <w:pStyle w:val="TableParagraph"/>
              <w:spacing w:line="477" w:lineRule="auto" w:before="0"/>
              <w:ind w:right="552"/>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count aggregation function is included in the filter.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another aggregation function is included in the filter.</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3" w:hRule="atLeast"/>
        </w:trPr>
        <w:tc>
          <w:tcPr>
            <w:tcW w:w="2062" w:type="dxa"/>
          </w:tcPr>
          <w:p>
            <w:pPr>
              <w:pStyle w:val="TableParagraph"/>
              <w:spacing w:line="237" w:lineRule="auto" w:before="45"/>
              <w:ind w:right="615"/>
              <w:jc w:val="both"/>
              <w:rPr>
                <w:sz w:val="22"/>
              </w:rPr>
            </w:pPr>
            <w:r>
              <w:rPr>
                <w:rFonts w:ascii="Cambria"/>
                <w:sz w:val="22"/>
              </w:rPr>
              <w:t>countSubtotal </w:t>
            </w:r>
            <w:r>
              <w:rPr>
                <w:sz w:val="22"/>
              </w:rPr>
              <w:t>(Include Count Subtotal)</w:t>
            </w:r>
          </w:p>
        </w:tc>
        <w:tc>
          <w:tcPr>
            <w:tcW w:w="8250" w:type="dxa"/>
          </w:tcPr>
          <w:p>
            <w:pPr>
              <w:pStyle w:val="TableParagraph"/>
              <w:ind w:right="132"/>
              <w:rPr>
                <w:sz w:val="22"/>
              </w:rPr>
            </w:pPr>
            <w:r>
              <w:rPr>
                <w:sz w:val="22"/>
              </w:rPr>
              <w:t>Specifies a boolean value that indicates whether the count aggregate function is included in the filter.</w:t>
            </w:r>
          </w:p>
          <w:p>
            <w:pPr>
              <w:pStyle w:val="TableParagraph"/>
              <w:spacing w:before="5"/>
              <w:ind w:left="0"/>
              <w:rPr>
                <w:rFonts w:ascii="Times New Roman"/>
                <w:sz w:val="23"/>
              </w:rPr>
            </w:pPr>
          </w:p>
          <w:p>
            <w:pPr>
              <w:pStyle w:val="TableParagraph"/>
              <w:spacing w:line="477" w:lineRule="auto" w:before="0"/>
              <w:ind w:right="552"/>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count aggregation function is included in the filter.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included in the filter.</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40" w:hRule="atLeast"/>
        </w:trPr>
        <w:tc>
          <w:tcPr>
            <w:tcW w:w="2062" w:type="dxa"/>
          </w:tcPr>
          <w:p>
            <w:pPr>
              <w:pStyle w:val="TableParagraph"/>
              <w:spacing w:line="237" w:lineRule="auto" w:before="45"/>
              <w:ind w:right="490"/>
              <w:jc w:val="both"/>
              <w:rPr>
                <w:sz w:val="22"/>
              </w:rPr>
            </w:pPr>
            <w:r>
              <w:rPr>
                <w:rFonts w:ascii="Cambria"/>
                <w:sz w:val="22"/>
              </w:rPr>
              <w:t>defaultSubtotal </w:t>
            </w:r>
            <w:r>
              <w:rPr>
                <w:sz w:val="22"/>
              </w:rPr>
              <w:t>(Include Default Filter)</w:t>
            </w:r>
          </w:p>
        </w:tc>
        <w:tc>
          <w:tcPr>
            <w:tcW w:w="8250" w:type="dxa"/>
          </w:tcPr>
          <w:p>
            <w:pPr>
              <w:pStyle w:val="TableParagraph"/>
              <w:ind w:right="395"/>
              <w:rPr>
                <w:sz w:val="22"/>
              </w:rPr>
            </w:pPr>
            <w:r>
              <w:rPr>
                <w:sz w:val="22"/>
              </w:rPr>
              <w:t>Specifies a boolean value that indicates whether the default subtotal is included in the filter.</w:t>
            </w:r>
          </w:p>
          <w:p>
            <w:pPr>
              <w:pStyle w:val="TableParagraph"/>
              <w:spacing w:before="4"/>
              <w:ind w:left="0"/>
              <w:rPr>
                <w:rFonts w:ascii="Times New Roman"/>
                <w:sz w:val="23"/>
              </w:rPr>
            </w:pPr>
          </w:p>
          <w:p>
            <w:pPr>
              <w:pStyle w:val="TableParagraph"/>
              <w:spacing w:before="0"/>
              <w:ind w:right="299"/>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default subtotal is included in the filter. The default is to display the total or the grand total.</w:t>
            </w:r>
          </w:p>
          <w:p>
            <w:pPr>
              <w:pStyle w:val="TableParagraph"/>
              <w:spacing w:before="3"/>
              <w:ind w:left="0"/>
              <w:rPr>
                <w:rFonts w:ascii="Times New Roman"/>
                <w:sz w:val="23"/>
              </w:rPr>
            </w:pPr>
          </w:p>
          <w:p>
            <w:pPr>
              <w:pStyle w:val="TableParagraph"/>
              <w:spacing w:before="0"/>
              <w:ind w:right="94"/>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subtotal or aggregation function is included in the filter.</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field </w:t>
            </w:r>
            <w:r>
              <w:rPr>
                <w:sz w:val="22"/>
              </w:rPr>
              <w:t>(Field Index)</w:t>
            </w:r>
          </w:p>
        </w:tc>
        <w:tc>
          <w:tcPr>
            <w:tcW w:w="8250" w:type="dxa"/>
          </w:tcPr>
          <w:p>
            <w:pPr>
              <w:pStyle w:val="TableParagraph"/>
              <w:ind w:right="194"/>
              <w:rPr>
                <w:sz w:val="22"/>
              </w:rPr>
            </w:pPr>
            <w:r>
              <w:rPr>
                <w:sz w:val="22"/>
              </w:rPr>
              <w:t>Specifies the index of the field to which this filter refers. A value of -2 indicates the 'data' field.</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2505" w:hRule="atLeast"/>
        </w:trPr>
        <w:tc>
          <w:tcPr>
            <w:tcW w:w="2062" w:type="dxa"/>
          </w:tcPr>
          <w:p>
            <w:pPr>
              <w:pStyle w:val="TableParagraph"/>
              <w:spacing w:before="42"/>
              <w:ind w:right="239"/>
              <w:rPr>
                <w:sz w:val="22"/>
              </w:rPr>
            </w:pPr>
            <w:r>
              <w:rPr>
                <w:rFonts w:ascii="Cambria"/>
                <w:sz w:val="22"/>
              </w:rPr>
              <w:t>maxSubtotal </w:t>
            </w:r>
            <w:r>
              <w:rPr>
                <w:sz w:val="22"/>
              </w:rPr>
              <w:t>(Include Maximum Filter)</w:t>
            </w:r>
          </w:p>
        </w:tc>
        <w:tc>
          <w:tcPr>
            <w:tcW w:w="8250" w:type="dxa"/>
          </w:tcPr>
          <w:p>
            <w:pPr>
              <w:pStyle w:val="TableParagraph"/>
              <w:ind w:right="470"/>
              <w:rPr>
                <w:sz w:val="22"/>
              </w:rPr>
            </w:pPr>
            <w:r>
              <w:rPr>
                <w:sz w:val="22"/>
              </w:rPr>
              <w:t>Specifies a boolean value that indicates whether the 'maximum' aggregate function is included in the filter.</w:t>
            </w:r>
          </w:p>
          <w:p>
            <w:pPr>
              <w:pStyle w:val="TableParagraph"/>
              <w:spacing w:before="5"/>
              <w:ind w:left="0"/>
              <w:rPr>
                <w:rFonts w:ascii="Times New Roman"/>
                <w:sz w:val="23"/>
              </w:rPr>
            </w:pPr>
          </w:p>
          <w:p>
            <w:pPr>
              <w:pStyle w:val="TableParagraph"/>
              <w:spacing w:line="480" w:lineRule="auto" w:before="0"/>
              <w:ind w:right="174"/>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maximum aggregation function is included in the filter.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another aggregation function is included in the filter.</w:t>
            </w: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02" w:hRule="atLeast"/>
        </w:trPr>
        <w:tc>
          <w:tcPr>
            <w:tcW w:w="2062" w:type="dxa"/>
          </w:tcPr>
          <w:p>
            <w:pPr>
              <w:pStyle w:val="TableParagraph"/>
              <w:spacing w:line="237" w:lineRule="auto" w:before="45"/>
              <w:ind w:right="273"/>
              <w:rPr>
                <w:sz w:val="22"/>
              </w:rPr>
            </w:pPr>
            <w:r>
              <w:rPr>
                <w:rFonts w:ascii="Cambria"/>
                <w:sz w:val="22"/>
              </w:rPr>
              <w:t>minSubtotal </w:t>
            </w:r>
            <w:r>
              <w:rPr>
                <w:sz w:val="22"/>
              </w:rPr>
              <w:t>(Include Minimum Filter)</w:t>
            </w:r>
          </w:p>
        </w:tc>
        <w:tc>
          <w:tcPr>
            <w:tcW w:w="8250" w:type="dxa"/>
          </w:tcPr>
          <w:p>
            <w:pPr>
              <w:pStyle w:val="TableParagraph"/>
              <w:ind w:right="505"/>
              <w:rPr>
                <w:sz w:val="22"/>
              </w:rPr>
            </w:pPr>
            <w:r>
              <w:rPr>
                <w:sz w:val="22"/>
              </w:rPr>
              <w:t>Specifies a boolean value that indicates whether the 'minimum' aggregate function is included in the filter.</w:t>
            </w:r>
          </w:p>
          <w:p>
            <w:pPr>
              <w:pStyle w:val="TableParagraph"/>
              <w:spacing w:before="4"/>
              <w:ind w:left="0"/>
              <w:rPr>
                <w:rFonts w:ascii="Times New Roman"/>
                <w:sz w:val="23"/>
              </w:rPr>
            </w:pPr>
          </w:p>
          <w:p>
            <w:pPr>
              <w:pStyle w:val="TableParagraph"/>
              <w:spacing w:line="477" w:lineRule="auto" w:before="0"/>
              <w:ind w:right="209"/>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minimum aggregation function is included in the filter. 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another aggregation function is included in the filter.</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3" w:hRule="atLeast"/>
        </w:trPr>
        <w:tc>
          <w:tcPr>
            <w:tcW w:w="2062" w:type="dxa"/>
          </w:tcPr>
          <w:p>
            <w:pPr>
              <w:pStyle w:val="TableParagraph"/>
              <w:spacing w:line="237" w:lineRule="auto" w:before="45"/>
              <w:ind w:right="404"/>
              <w:jc w:val="both"/>
              <w:rPr>
                <w:sz w:val="22"/>
              </w:rPr>
            </w:pPr>
            <w:r>
              <w:rPr>
                <w:rFonts w:ascii="Cambria"/>
                <w:sz w:val="22"/>
              </w:rPr>
              <w:t>productSubtotal </w:t>
            </w:r>
            <w:r>
              <w:rPr>
                <w:sz w:val="22"/>
              </w:rPr>
              <w:t>(Include Product Filter)</w:t>
            </w:r>
          </w:p>
        </w:tc>
        <w:tc>
          <w:tcPr>
            <w:tcW w:w="8250" w:type="dxa"/>
          </w:tcPr>
          <w:p>
            <w:pPr>
              <w:pStyle w:val="TableParagraph"/>
              <w:ind w:right="658"/>
              <w:rPr>
                <w:sz w:val="22"/>
              </w:rPr>
            </w:pPr>
            <w:r>
              <w:rPr>
                <w:sz w:val="22"/>
              </w:rPr>
              <w:t>Specifies a boolean value that indicates whether the 'product' aggregate function is included in the filter.</w:t>
            </w:r>
          </w:p>
          <w:p>
            <w:pPr>
              <w:pStyle w:val="TableParagraph"/>
              <w:spacing w:before="5"/>
              <w:ind w:left="0"/>
              <w:rPr>
                <w:rFonts w:ascii="Times New Roman"/>
                <w:sz w:val="23"/>
              </w:rPr>
            </w:pPr>
          </w:p>
          <w:p>
            <w:pPr>
              <w:pStyle w:val="TableParagraph"/>
              <w:spacing w:line="477" w:lineRule="auto" w:before="0"/>
              <w:ind w:right="360"/>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product aggregation function is included in the filter.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included in the filter.</w:t>
            </w:r>
          </w:p>
          <w:p>
            <w:pPr>
              <w:pStyle w:val="TableParagraph"/>
              <w:spacing w:before="4"/>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ind w:right="364"/>
              <w:rPr>
                <w:sz w:val="22"/>
              </w:rPr>
            </w:pPr>
            <w:r>
              <w:rPr>
                <w:rFonts w:ascii="Cambria"/>
                <w:sz w:val="22"/>
              </w:rPr>
              <w:t>relative </w:t>
            </w:r>
            <w:r>
              <w:rPr>
                <w:sz w:val="22"/>
              </w:rPr>
              <w:t>(Relative Reference)</w:t>
            </w:r>
          </w:p>
        </w:tc>
        <w:tc>
          <w:tcPr>
            <w:tcW w:w="8250" w:type="dxa"/>
          </w:tcPr>
          <w:p>
            <w:pPr>
              <w:pStyle w:val="TableParagraph"/>
              <w:ind w:right="106"/>
              <w:rPr>
                <w:sz w:val="22"/>
              </w:rPr>
            </w:pPr>
            <w:r>
              <w:rPr>
                <w:sz w:val="22"/>
              </w:rPr>
              <w:t>Specifies a boolean value that indicates whether the item is referred to by a relative reference rather than an absolute reference. This attribute is used if </w:t>
            </w:r>
            <w:r>
              <w:rPr>
                <w:rFonts w:ascii="Consolas"/>
                <w:sz w:val="20"/>
              </w:rPr>
              <w:t>posRef </w:t>
            </w:r>
            <w:r>
              <w:rPr>
                <w:sz w:val="22"/>
              </w:rPr>
              <w:t>is set to </w:t>
            </w:r>
            <w:r>
              <w:rPr>
                <w:rFonts w:ascii="Cambria"/>
                <w:sz w:val="22"/>
              </w:rPr>
              <w:t>true</w:t>
            </w:r>
            <w:r>
              <w:rPr>
                <w:sz w:val="22"/>
              </w:rPr>
              <w:t>.</w:t>
            </w:r>
          </w:p>
          <w:p>
            <w:pPr>
              <w:pStyle w:val="TableParagraph"/>
              <w:spacing w:before="4"/>
              <w:ind w:left="0"/>
              <w:rPr>
                <w:rFonts w:ascii="Times New Roman"/>
                <w:sz w:val="23"/>
              </w:rPr>
            </w:pPr>
          </w:p>
          <w:p>
            <w:pPr>
              <w:pStyle w:val="TableParagraph"/>
              <w:spacing w:before="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item is referred to by a relative reference.</w:t>
            </w:r>
          </w:p>
          <w:p>
            <w:pPr>
              <w:pStyle w:val="TableParagraph"/>
              <w:spacing w:line="538" w:lineRule="exact" w:before="46"/>
              <w:ind w:right="690"/>
              <w:rPr>
                <w:rFonts w:ascii="Cambria"/>
                <w:sz w:val="22"/>
              </w:rPr>
            </w:pPr>
            <w:r>
              <w:rPr>
                <w:sz w:val="22"/>
              </w:rPr>
              <w:t>A value of </w:t>
            </w:r>
            <w:r>
              <w:rPr>
                <w:rFonts w:ascii="Consolas"/>
                <w:sz w:val="20"/>
              </w:rPr>
              <w:t>0 </w:t>
            </w:r>
            <w:r>
              <w:rPr>
                <w:sz w:val="22"/>
              </w:rPr>
              <w:t>or </w:t>
            </w:r>
            <w:r>
              <w:rPr>
                <w:rFonts w:ascii="Consolas"/>
                <w:sz w:val="20"/>
              </w:rPr>
              <w:t>false </w:t>
            </w:r>
            <w:r>
              <w:rPr>
                <w:sz w:val="22"/>
              </w:rPr>
              <w:t>indicates the item is referred to by an absolute reference.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2772" w:hRule="atLeast"/>
        </w:trPr>
        <w:tc>
          <w:tcPr>
            <w:tcW w:w="2062" w:type="dxa"/>
          </w:tcPr>
          <w:p>
            <w:pPr>
              <w:pStyle w:val="TableParagraph"/>
              <w:ind w:left="28" w:right="129"/>
              <w:jc w:val="center"/>
              <w:rPr>
                <w:sz w:val="22"/>
              </w:rPr>
            </w:pPr>
            <w:r>
              <w:rPr>
                <w:rFonts w:ascii="Cambria"/>
                <w:sz w:val="22"/>
              </w:rPr>
              <w:t>selected </w:t>
            </w:r>
            <w:r>
              <w:rPr>
                <w:sz w:val="22"/>
              </w:rPr>
              <w:t>(Selected)</w:t>
            </w:r>
          </w:p>
        </w:tc>
        <w:tc>
          <w:tcPr>
            <w:tcW w:w="8250" w:type="dxa"/>
          </w:tcPr>
          <w:p>
            <w:pPr>
              <w:pStyle w:val="TableParagraph"/>
              <w:ind w:right="259"/>
              <w:rPr>
                <w:sz w:val="22"/>
              </w:rPr>
            </w:pPr>
            <w:r>
              <w:rPr>
                <w:sz w:val="22"/>
              </w:rPr>
              <w:t>Specifies a boolean value that indicates whether this field has selection. This attribute is used when the PivotTable is in Outline view. It is also used when both header and data cells have selection.</w:t>
            </w:r>
          </w:p>
          <w:p>
            <w:pPr>
              <w:pStyle w:val="TableParagraph"/>
              <w:spacing w:before="4"/>
              <w:ind w:left="0"/>
              <w:rPr>
                <w:rFonts w:ascii="Times New Roman"/>
                <w:sz w:val="23"/>
              </w:rPr>
            </w:pPr>
          </w:p>
          <w:p>
            <w:pPr>
              <w:pStyle w:val="TableParagraph"/>
              <w:spacing w:before="1"/>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field has selection.</w:t>
            </w:r>
          </w:p>
          <w:p>
            <w:pPr>
              <w:pStyle w:val="TableParagraph"/>
              <w:spacing w:before="2"/>
              <w:ind w:left="0"/>
              <w:rPr>
                <w:rFonts w:ascii="Times New Roman"/>
                <w:sz w:val="23"/>
              </w:rPr>
            </w:pPr>
          </w:p>
          <w:p>
            <w:pPr>
              <w:pStyle w:val="TableParagraph"/>
              <w:spacing w:before="0"/>
              <w:rPr>
                <w:sz w:val="22"/>
              </w:rPr>
            </w:pPr>
            <w:r>
              <w:rPr>
                <w:sz w:val="22"/>
              </w:rPr>
              <w:t>A value of </w:t>
            </w:r>
            <w:r>
              <w:rPr>
                <w:rFonts w:ascii="Consolas"/>
                <w:sz w:val="20"/>
              </w:rPr>
              <w:t>0</w:t>
            </w:r>
            <w:r>
              <w:rPr>
                <w:rFonts w:ascii="Consolas"/>
                <w:spacing w:val="-60"/>
                <w:sz w:val="20"/>
              </w:rPr>
              <w:t> </w:t>
            </w:r>
            <w:r>
              <w:rPr>
                <w:sz w:val="22"/>
              </w:rPr>
              <w:t>or </w:t>
            </w:r>
            <w:r>
              <w:rPr>
                <w:rFonts w:ascii="Consolas"/>
                <w:sz w:val="20"/>
              </w:rPr>
              <w:t>false</w:t>
            </w:r>
            <w:r>
              <w:rPr>
                <w:rFonts w:ascii="Consolas"/>
                <w:spacing w:val="-58"/>
                <w:sz w:val="20"/>
              </w:rPr>
              <w:t> </w:t>
            </w:r>
            <w:r>
              <w:rPr>
                <w:sz w:val="22"/>
              </w:rPr>
              <w:t>indicates the field does not have selection.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6" w:hRule="atLeast"/>
        </w:trPr>
        <w:tc>
          <w:tcPr>
            <w:tcW w:w="2062" w:type="dxa"/>
          </w:tcPr>
          <w:p>
            <w:pPr>
              <w:pStyle w:val="TableParagraph"/>
              <w:spacing w:line="237" w:lineRule="auto" w:before="45"/>
              <w:ind w:right="368"/>
              <w:jc w:val="both"/>
              <w:rPr>
                <w:sz w:val="22"/>
              </w:rPr>
            </w:pPr>
            <w:r>
              <w:rPr>
                <w:rFonts w:ascii="Cambria"/>
                <w:sz w:val="22"/>
              </w:rPr>
              <w:t>stdDevPSubtotal </w:t>
            </w:r>
            <w:r>
              <w:rPr>
                <w:sz w:val="22"/>
              </w:rPr>
              <w:t>(Include StdDevP Filter)</w:t>
            </w:r>
          </w:p>
        </w:tc>
        <w:tc>
          <w:tcPr>
            <w:tcW w:w="8250" w:type="dxa"/>
          </w:tcPr>
          <w:p>
            <w:pPr>
              <w:pStyle w:val="TableParagraph"/>
              <w:ind w:right="681"/>
              <w:rPr>
                <w:sz w:val="22"/>
              </w:rPr>
            </w:pPr>
            <w:r>
              <w:rPr>
                <w:sz w:val="22"/>
              </w:rPr>
              <w:t>Specifies a boolean value that indicates whether the population standard deviation aggregate function is included in the filter.</w:t>
            </w:r>
          </w:p>
          <w:p>
            <w:pPr>
              <w:pStyle w:val="TableParagraph"/>
              <w:spacing w:before="4"/>
              <w:ind w:left="0"/>
              <w:rPr>
                <w:rFonts w:ascii="Times New Roman"/>
                <w:sz w:val="23"/>
              </w:rPr>
            </w:pPr>
          </w:p>
          <w:p>
            <w:pPr>
              <w:pStyle w:val="TableParagraph"/>
              <w:spacing w:before="0"/>
              <w:ind w:right="276"/>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population standard deviation aggregation function is included in the filter.</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another aggregation function is included in the filter.</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spacing w:line="237" w:lineRule="auto" w:before="47"/>
              <w:ind w:right="495"/>
              <w:jc w:val="both"/>
              <w:rPr>
                <w:sz w:val="22"/>
              </w:rPr>
            </w:pPr>
            <w:r>
              <w:rPr>
                <w:rFonts w:ascii="Cambria"/>
                <w:sz w:val="22"/>
              </w:rPr>
              <w:t>stdDevSubtotal </w:t>
            </w:r>
            <w:r>
              <w:rPr>
                <w:sz w:val="22"/>
              </w:rPr>
              <w:t>(Include StdDev Filter)</w:t>
            </w:r>
          </w:p>
        </w:tc>
        <w:tc>
          <w:tcPr>
            <w:tcW w:w="8250" w:type="dxa"/>
          </w:tcPr>
          <w:p>
            <w:pPr>
              <w:pStyle w:val="TableParagraph"/>
              <w:spacing w:line="237" w:lineRule="auto" w:before="44"/>
              <w:ind w:right="765"/>
              <w:rPr>
                <w:sz w:val="22"/>
              </w:rPr>
            </w:pPr>
            <w:r>
              <w:rPr>
                <w:sz w:val="22"/>
              </w:rPr>
              <w:t>Specifies a boolean value that indicates whether the standard deviation aggregate function is included in the filter.</w:t>
            </w:r>
          </w:p>
          <w:p>
            <w:pPr>
              <w:pStyle w:val="TableParagraph"/>
              <w:spacing w:before="6"/>
              <w:ind w:left="0"/>
              <w:rPr>
                <w:rFonts w:ascii="Times New Roman"/>
                <w:sz w:val="23"/>
              </w:rPr>
            </w:pPr>
          </w:p>
          <w:p>
            <w:pPr>
              <w:pStyle w:val="TableParagraph"/>
              <w:spacing w:before="0"/>
              <w:ind w:right="269"/>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2"/>
                <w:sz w:val="20"/>
              </w:rPr>
              <w:t> </w:t>
            </w:r>
            <w:r>
              <w:rPr>
                <w:sz w:val="22"/>
              </w:rPr>
              <w:t>indicates the standard deviation aggregation function is included in the filter.</w:t>
            </w:r>
          </w:p>
          <w:p>
            <w:pPr>
              <w:pStyle w:val="TableParagraph"/>
              <w:spacing w:line="538" w:lineRule="exact" w:before="48"/>
              <w:ind w:right="588"/>
              <w:rPr>
                <w:rFonts w:ascii="Cambria"/>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another aggregation function is included in the filter. The possible values for this attribute are defined by the W3C XML Schema </w:t>
            </w:r>
            <w:r>
              <w:rPr>
                <w:rFonts w:ascii="Cambria"/>
                <w:sz w:val="22"/>
              </w:rPr>
              <w:t>boolean</w:t>
            </w:r>
          </w:p>
          <w:p>
            <w:pPr>
              <w:pStyle w:val="TableParagraph"/>
              <w:spacing w:line="220" w:lineRule="exact" w:before="0"/>
              <w:rPr>
                <w:sz w:val="22"/>
              </w:rPr>
            </w:pPr>
            <w:r>
              <w:rPr>
                <w:sz w:val="22"/>
              </w:rPr>
              <w:t>datatype.</w:t>
            </w:r>
          </w:p>
        </w:tc>
      </w:tr>
      <w:tr>
        <w:trPr>
          <w:trHeight w:val="2505" w:hRule="atLeast"/>
        </w:trPr>
        <w:tc>
          <w:tcPr>
            <w:tcW w:w="2062" w:type="dxa"/>
          </w:tcPr>
          <w:p>
            <w:pPr>
              <w:pStyle w:val="TableParagraph"/>
              <w:spacing w:line="256" w:lineRule="exact" w:before="45"/>
              <w:rPr>
                <w:rFonts w:ascii="Cambria"/>
                <w:sz w:val="22"/>
              </w:rPr>
            </w:pPr>
            <w:r>
              <w:rPr>
                <w:rFonts w:ascii="Cambria"/>
                <w:sz w:val="22"/>
              </w:rPr>
              <w:t>sumSubtotal</w:t>
            </w:r>
          </w:p>
          <w:p>
            <w:pPr>
              <w:pStyle w:val="TableParagraph"/>
              <w:spacing w:line="267" w:lineRule="exact" w:before="0"/>
              <w:rPr>
                <w:sz w:val="22"/>
              </w:rPr>
            </w:pPr>
            <w:r>
              <w:rPr>
                <w:sz w:val="22"/>
              </w:rPr>
              <w:t>(Include Sum Filter)</w:t>
            </w:r>
          </w:p>
        </w:tc>
        <w:tc>
          <w:tcPr>
            <w:tcW w:w="8250" w:type="dxa"/>
          </w:tcPr>
          <w:p>
            <w:pPr>
              <w:pStyle w:val="TableParagraph"/>
              <w:spacing w:line="237" w:lineRule="auto" w:before="44"/>
              <w:ind w:right="269"/>
              <w:rPr>
                <w:sz w:val="22"/>
              </w:rPr>
            </w:pPr>
            <w:r>
              <w:rPr>
                <w:sz w:val="22"/>
              </w:rPr>
              <w:t>Specifies a boolean value that indicates whether the sum aggregate function is included in the filter.</w:t>
            </w:r>
          </w:p>
          <w:p>
            <w:pPr>
              <w:pStyle w:val="TableParagraph"/>
              <w:spacing w:line="530" w:lineRule="atLeast" w:before="9"/>
              <w:ind w:right="588"/>
              <w:rPr>
                <w:rFonts w:ascii="Cambria"/>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3"/>
                <w:sz w:val="20"/>
              </w:rPr>
              <w:t> </w:t>
            </w:r>
            <w:r>
              <w:rPr>
                <w:sz w:val="22"/>
              </w:rPr>
              <w:t>indicates the sum aggregation function is included in the filter.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8"/>
                <w:sz w:val="20"/>
              </w:rPr>
              <w:t> </w:t>
            </w:r>
            <w:r>
              <w:rPr>
                <w:sz w:val="22"/>
              </w:rPr>
              <w:t>indicates another aggregation function is included in the filter. The possible values for this attribute are defined by the W3C XML Schema </w:t>
            </w:r>
            <w:r>
              <w:rPr>
                <w:rFonts w:ascii="Cambria"/>
                <w:sz w:val="22"/>
              </w:rPr>
              <w:t>boolean</w:t>
            </w:r>
          </w:p>
          <w:p>
            <w:pPr>
              <w:pStyle w:val="TableParagraph"/>
              <w:spacing w:before="15"/>
              <w:rPr>
                <w:sz w:val="22"/>
              </w:rPr>
            </w:pPr>
            <w:r>
              <w:rPr>
                <w:sz w:val="22"/>
              </w:rPr>
              <w:t>datatype.</w:t>
            </w:r>
          </w:p>
        </w:tc>
      </w:tr>
      <w:tr>
        <w:trPr>
          <w:trHeight w:val="2772" w:hRule="atLeast"/>
        </w:trPr>
        <w:tc>
          <w:tcPr>
            <w:tcW w:w="2062" w:type="dxa"/>
          </w:tcPr>
          <w:p>
            <w:pPr>
              <w:pStyle w:val="TableParagraph"/>
              <w:spacing w:line="256" w:lineRule="exact" w:before="42"/>
              <w:rPr>
                <w:rFonts w:ascii="Cambria"/>
                <w:sz w:val="22"/>
              </w:rPr>
            </w:pPr>
            <w:r>
              <w:rPr>
                <w:rFonts w:ascii="Cambria"/>
                <w:sz w:val="22"/>
              </w:rPr>
              <w:t>varPSubtotal</w:t>
            </w:r>
          </w:p>
          <w:p>
            <w:pPr>
              <w:pStyle w:val="TableParagraph"/>
              <w:spacing w:line="267" w:lineRule="exact" w:before="0"/>
              <w:rPr>
                <w:sz w:val="22"/>
              </w:rPr>
            </w:pPr>
            <w:r>
              <w:rPr>
                <w:sz w:val="22"/>
              </w:rPr>
              <w:t>(Include VarP Filter)</w:t>
            </w:r>
          </w:p>
        </w:tc>
        <w:tc>
          <w:tcPr>
            <w:tcW w:w="8250" w:type="dxa"/>
          </w:tcPr>
          <w:p>
            <w:pPr>
              <w:pStyle w:val="TableParagraph"/>
              <w:ind w:right="665"/>
              <w:rPr>
                <w:sz w:val="22"/>
              </w:rPr>
            </w:pPr>
            <w:r>
              <w:rPr>
                <w:sz w:val="22"/>
              </w:rPr>
              <w:t>Specifies a boolean value that indicates whether the population variance aggregate function is included in the filter.</w:t>
            </w:r>
          </w:p>
          <w:p>
            <w:pPr>
              <w:pStyle w:val="TableParagraph"/>
              <w:spacing w:before="2"/>
              <w:ind w:left="0"/>
              <w:rPr>
                <w:rFonts w:ascii="Times New Roman"/>
                <w:sz w:val="23"/>
              </w:rPr>
            </w:pPr>
          </w:p>
          <w:p>
            <w:pPr>
              <w:pStyle w:val="TableParagraph"/>
              <w:spacing w:before="0"/>
              <w:ind w:right="168"/>
              <w:rPr>
                <w:sz w:val="22"/>
              </w:rPr>
            </w:pPr>
            <w:r>
              <w:rPr>
                <w:sz w:val="22"/>
              </w:rPr>
              <w:t>A value of </w:t>
            </w:r>
            <w:r>
              <w:rPr>
                <w:rFonts w:ascii="Consolas"/>
                <w:sz w:val="20"/>
              </w:rPr>
              <w:t>1</w:t>
            </w:r>
            <w:r>
              <w:rPr>
                <w:rFonts w:ascii="Consolas"/>
                <w:spacing w:val="-59"/>
                <w:sz w:val="20"/>
              </w:rPr>
              <w:t> </w:t>
            </w:r>
            <w:r>
              <w:rPr>
                <w:sz w:val="22"/>
              </w:rPr>
              <w:t>or </w:t>
            </w:r>
            <w:r>
              <w:rPr>
                <w:rFonts w:ascii="Consolas"/>
                <w:sz w:val="20"/>
              </w:rPr>
              <w:t>true</w:t>
            </w:r>
            <w:r>
              <w:rPr>
                <w:rFonts w:ascii="Consolas"/>
                <w:spacing w:val="-62"/>
                <w:sz w:val="20"/>
              </w:rPr>
              <w:t> </w:t>
            </w:r>
            <w:r>
              <w:rPr>
                <w:sz w:val="22"/>
              </w:rPr>
              <w:t>indicates the population variance aggregation function is included in the filter.</w:t>
            </w:r>
          </w:p>
          <w:p>
            <w:pPr>
              <w:pStyle w:val="TableParagraph"/>
              <w:spacing w:line="530" w:lineRule="atLeast" w:before="8"/>
              <w:ind w:right="589"/>
              <w:rPr>
                <w:rFonts w:ascii="Cambria"/>
                <w:sz w:val="22"/>
              </w:rPr>
            </w:pPr>
            <w:r>
              <w:rPr>
                <w:sz w:val="22"/>
              </w:rPr>
              <w:t>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included in the filter. The possible values for this attribute are defined by the W3C XML Schema </w:t>
            </w:r>
            <w:r>
              <w:rPr>
                <w:rFonts w:ascii="Cambria"/>
                <w:sz w:val="22"/>
              </w:rPr>
              <w:t>boolean</w:t>
            </w:r>
          </w:p>
          <w:p>
            <w:pPr>
              <w:pStyle w:val="TableParagraph"/>
              <w:spacing w:before="8"/>
              <w:rPr>
                <w:sz w:val="22"/>
              </w:rPr>
            </w:pPr>
            <w:r>
              <w:rPr>
                <w:sz w:val="22"/>
              </w:rPr>
              <w:t>datatype.</w:t>
            </w:r>
          </w:p>
        </w:tc>
      </w:tr>
      <w:tr>
        <w:trPr>
          <w:trHeight w:val="2503" w:hRule="atLeast"/>
        </w:trPr>
        <w:tc>
          <w:tcPr>
            <w:tcW w:w="2062" w:type="dxa"/>
          </w:tcPr>
          <w:p>
            <w:pPr>
              <w:pStyle w:val="TableParagraph"/>
              <w:spacing w:line="256" w:lineRule="exact" w:before="42"/>
              <w:rPr>
                <w:rFonts w:ascii="Cambria"/>
                <w:sz w:val="22"/>
              </w:rPr>
            </w:pPr>
            <w:r>
              <w:rPr>
                <w:rFonts w:ascii="Cambria"/>
                <w:sz w:val="22"/>
              </w:rPr>
              <w:t>varSubtotal</w:t>
            </w:r>
          </w:p>
          <w:p>
            <w:pPr>
              <w:pStyle w:val="TableParagraph"/>
              <w:spacing w:line="267" w:lineRule="exact" w:before="0"/>
              <w:rPr>
                <w:sz w:val="22"/>
              </w:rPr>
            </w:pPr>
            <w:r>
              <w:rPr>
                <w:sz w:val="22"/>
              </w:rPr>
              <w:t>(Include Var Filter)</w:t>
            </w:r>
          </w:p>
        </w:tc>
        <w:tc>
          <w:tcPr>
            <w:tcW w:w="8250" w:type="dxa"/>
          </w:tcPr>
          <w:p>
            <w:pPr>
              <w:pStyle w:val="TableParagraph"/>
              <w:spacing w:line="237" w:lineRule="auto" w:before="42"/>
              <w:ind w:right="706"/>
              <w:rPr>
                <w:sz w:val="22"/>
              </w:rPr>
            </w:pPr>
            <w:r>
              <w:rPr>
                <w:sz w:val="22"/>
              </w:rPr>
              <w:t>Specifies a boolean value that indicates whether the variance aggregate function is included in the filter.</w:t>
            </w:r>
          </w:p>
          <w:p>
            <w:pPr>
              <w:pStyle w:val="TableParagraph"/>
              <w:spacing w:before="5"/>
              <w:ind w:left="0"/>
              <w:rPr>
                <w:rFonts w:ascii="Times New Roman"/>
                <w:sz w:val="23"/>
              </w:rPr>
            </w:pPr>
          </w:p>
          <w:p>
            <w:pPr>
              <w:pStyle w:val="TableParagraph"/>
              <w:spacing w:line="480" w:lineRule="auto" w:before="0"/>
              <w:ind w:right="313"/>
              <w:rPr>
                <w:sz w:val="22"/>
              </w:rPr>
            </w:pPr>
            <w:r>
              <w:rPr>
                <w:sz w:val="22"/>
              </w:rPr>
              <w:t>A value of </w:t>
            </w:r>
            <w:r>
              <w:rPr>
                <w:rFonts w:ascii="Consolas"/>
                <w:sz w:val="20"/>
              </w:rPr>
              <w:t>1</w:t>
            </w:r>
            <w:r>
              <w:rPr>
                <w:rFonts w:ascii="Consolas"/>
                <w:spacing w:val="-60"/>
                <w:sz w:val="20"/>
              </w:rPr>
              <w:t> </w:t>
            </w:r>
            <w:r>
              <w:rPr>
                <w:sz w:val="22"/>
              </w:rPr>
              <w:t>or </w:t>
            </w:r>
            <w:r>
              <w:rPr>
                <w:rFonts w:ascii="Consolas"/>
                <w:sz w:val="20"/>
              </w:rPr>
              <w:t>true</w:t>
            </w:r>
            <w:r>
              <w:rPr>
                <w:rFonts w:ascii="Consolas"/>
                <w:spacing w:val="-63"/>
                <w:sz w:val="20"/>
              </w:rPr>
              <w:t> </w:t>
            </w:r>
            <w:r>
              <w:rPr>
                <w:sz w:val="22"/>
              </w:rPr>
              <w:t>indicates the variance aggregation function is included in the filter. A value of </w:t>
            </w:r>
            <w:r>
              <w:rPr>
                <w:rFonts w:ascii="Consolas"/>
                <w:sz w:val="20"/>
              </w:rPr>
              <w:t>0</w:t>
            </w:r>
            <w:r>
              <w:rPr>
                <w:rFonts w:ascii="Consolas"/>
                <w:spacing w:val="-59"/>
                <w:sz w:val="20"/>
              </w:rPr>
              <w:t> </w:t>
            </w:r>
            <w:r>
              <w:rPr>
                <w:sz w:val="22"/>
              </w:rPr>
              <w:t>or </w:t>
            </w:r>
            <w:r>
              <w:rPr>
                <w:rFonts w:ascii="Consolas"/>
                <w:sz w:val="20"/>
              </w:rPr>
              <w:t>false</w:t>
            </w:r>
            <w:r>
              <w:rPr>
                <w:rFonts w:ascii="Consolas"/>
                <w:spacing w:val="-59"/>
                <w:sz w:val="20"/>
              </w:rPr>
              <w:t> </w:t>
            </w:r>
            <w:r>
              <w:rPr>
                <w:sz w:val="22"/>
              </w:rPr>
              <w:t>indicates another aggregation function is included in the filter.</w:t>
            </w:r>
          </w:p>
          <w:p>
            <w:pPr>
              <w:pStyle w:val="TableParagraph"/>
              <w:spacing w:before="2"/>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48"/>
        <w:ind w:left="220"/>
      </w:pPr>
      <w:r>
        <w:rPr/>
        <w:t>[</w:t>
      </w:r>
      <w:r>
        <w:rPr>
          <w:i/>
        </w:rPr>
        <w:t>Note</w:t>
      </w:r>
      <w:r>
        <w:rPr/>
        <w:t>: The W3C XML Schema definition of this element’s content model (</w:t>
      </w:r>
      <w:r>
        <w:rPr>
          <w:color w:val="5F5F5F"/>
          <w:u w:val="single" w:color="5F5F5F"/>
        </w:rPr>
        <w:t>CT_PivotAreaReference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51"/>
        </w:numPr>
        <w:tabs>
          <w:tab w:pos="1732" w:val="left" w:leader="none"/>
          <w:tab w:pos="1733" w:val="left" w:leader="none"/>
        </w:tabs>
        <w:spacing w:line="240" w:lineRule="auto" w:before="1" w:after="0"/>
        <w:ind w:left="1732" w:right="0" w:hanging="1513"/>
        <w:jc w:val="left"/>
      </w:pPr>
      <w:bookmarkStart w:name="18.10.2.2 references (References)" w:id="1049"/>
      <w:bookmarkEnd w:id="1049"/>
      <w:r>
        <w:rPr/>
      </w:r>
      <w:bookmarkStart w:name="_bookmark348" w:id="1050"/>
      <w:bookmarkEnd w:id="1050"/>
      <w:r>
        <w:rPr/>
      </w:r>
      <w:bookmarkStart w:name="_bookmark348" w:id="1051"/>
      <w:bookmarkEnd w:id="1051"/>
      <w:r>
        <w:rPr>
          <w:color w:val="4F81BC"/>
        </w:rPr>
        <w:t>r</w:t>
      </w:r>
      <w:r>
        <w:rPr>
          <w:color w:val="4F81BC"/>
        </w:rPr>
        <w:t>eferences</w:t>
      </w:r>
      <w:r>
        <w:rPr>
          <w:color w:val="4F81BC"/>
          <w:spacing w:val="-1"/>
        </w:rPr>
        <w:t> </w:t>
      </w:r>
      <w:r>
        <w:rPr>
          <w:color w:val="4F81BC"/>
        </w:rPr>
        <w:t>(References)</w:t>
      </w:r>
    </w:p>
    <w:p>
      <w:pPr>
        <w:pStyle w:val="BodyText"/>
        <w:spacing w:line="453" w:lineRule="auto" w:before="121"/>
        <w:ind w:left="220" w:right="3387"/>
      </w:pPr>
      <w:r>
        <w:rPr/>
        <w:t>Represents the set of selected fields and the selected items within those fields. [</w:t>
      </w:r>
      <w:r>
        <w:rPr>
          <w:i/>
        </w:rPr>
        <w:t>Example</w:t>
      </w:r>
      <w:r>
        <w:rPr/>
        <w:t>:</w:t>
      </w:r>
    </w:p>
    <w:p>
      <w:pPr>
        <w:pStyle w:val="BodyText"/>
        <w:spacing w:before="2"/>
        <w:ind w:left="508"/>
        <w:rPr>
          <w:rFonts w:ascii="Consolas"/>
        </w:rPr>
      </w:pPr>
      <w:r>
        <w:rPr>
          <w:rFonts w:ascii="Consolas"/>
        </w:rPr>
        <w:t>&lt;sh:references count="5"&gt;</w:t>
      </w:r>
    </w:p>
    <w:p>
      <w:pPr>
        <w:pStyle w:val="BodyText"/>
        <w:spacing w:before="38"/>
        <w:ind w:left="750"/>
        <w:rPr>
          <w:rFonts w:ascii="Consolas"/>
        </w:rPr>
      </w:pPr>
      <w:r>
        <w:rPr>
          <w:rFonts w:ascii="Consolas"/>
        </w:rPr>
        <w:t>&lt;sh:reference field="4294967294" count="1" selected="0"&gt;</w:t>
      </w:r>
    </w:p>
    <w:p>
      <w:pPr>
        <w:pStyle w:val="BodyText"/>
        <w:spacing w:before="40"/>
        <w:ind w:right="8113"/>
        <w:jc w:val="right"/>
        <w:rPr>
          <w:rFonts w:ascii="Consolas"/>
        </w:rPr>
      </w:pPr>
      <w:r>
        <w:rPr>
          <w:rFonts w:ascii="Consolas"/>
        </w:rPr>
        <w:t>&lt;sh:x</w:t>
      </w:r>
      <w:r>
        <w:rPr>
          <w:rFonts w:ascii="Consolas"/>
          <w:spacing w:val="-8"/>
        </w:rPr>
        <w:t> </w:t>
      </w:r>
      <w:r>
        <w:rPr>
          <w:rFonts w:ascii="Consolas"/>
        </w:rPr>
        <w:t>v="0"/&gt;</w:t>
      </w:r>
    </w:p>
    <w:p>
      <w:pPr>
        <w:pStyle w:val="BodyText"/>
        <w:spacing w:before="37"/>
        <w:ind w:right="8113"/>
        <w:jc w:val="right"/>
        <w:rPr>
          <w:rFonts w:ascii="Consolas"/>
        </w:rPr>
      </w:pPr>
      <w:r>
        <w:rPr>
          <w:rFonts w:ascii="Consolas"/>
          <w:spacing w:val="-2"/>
        </w:rPr>
        <w:t>&lt;/sh:reference&gt;</w:t>
      </w:r>
    </w:p>
    <w:p>
      <w:pPr>
        <w:pStyle w:val="BodyText"/>
        <w:spacing w:before="40"/>
        <w:ind w:left="750"/>
        <w:rPr>
          <w:rFonts w:ascii="Consolas"/>
        </w:rPr>
      </w:pPr>
      <w:r>
        <w:rPr>
          <w:rFonts w:ascii="Consolas"/>
        </w:rPr>
        <w:t>&lt;sh:reference field="2" count="1" selected="0"&gt;</w:t>
      </w:r>
    </w:p>
    <w:p>
      <w:pPr>
        <w:pStyle w:val="BodyText"/>
        <w:spacing w:before="39"/>
        <w:ind w:right="8113"/>
        <w:jc w:val="right"/>
        <w:rPr>
          <w:rFonts w:ascii="Consolas"/>
        </w:rPr>
      </w:pPr>
      <w:r>
        <w:rPr>
          <w:rFonts w:ascii="Consolas"/>
        </w:rPr>
        <w:t>&lt;sh:x</w:t>
      </w:r>
      <w:r>
        <w:rPr>
          <w:rFonts w:ascii="Consolas"/>
          <w:spacing w:val="-8"/>
        </w:rPr>
        <w:t> </w:t>
      </w:r>
      <w:r>
        <w:rPr>
          <w:rFonts w:ascii="Consolas"/>
        </w:rPr>
        <w:t>v="0"/&gt;</w:t>
      </w:r>
    </w:p>
    <w:p>
      <w:pPr>
        <w:pStyle w:val="BodyText"/>
        <w:spacing w:before="37"/>
        <w:ind w:right="8113"/>
        <w:jc w:val="right"/>
        <w:rPr>
          <w:rFonts w:ascii="Consolas"/>
        </w:rPr>
      </w:pPr>
      <w:r>
        <w:rPr>
          <w:rFonts w:ascii="Consolas"/>
          <w:spacing w:val="-2"/>
        </w:rPr>
        <w:t>&lt;/sh:reference&gt;</w:t>
      </w:r>
    </w:p>
    <w:p>
      <w:pPr>
        <w:pStyle w:val="BodyText"/>
        <w:spacing w:before="40"/>
        <w:ind w:left="750"/>
        <w:rPr>
          <w:rFonts w:ascii="Consolas"/>
        </w:rPr>
      </w:pPr>
      <w:r>
        <w:rPr>
          <w:rFonts w:ascii="Consolas"/>
        </w:rPr>
        <w:t>&lt;sh:reference field="14" count="1" selected="0"&gt;</w:t>
      </w:r>
    </w:p>
    <w:p>
      <w:pPr>
        <w:pStyle w:val="BodyText"/>
        <w:spacing w:before="38"/>
        <w:ind w:right="8113"/>
        <w:jc w:val="right"/>
        <w:rPr>
          <w:rFonts w:ascii="Consolas"/>
        </w:rPr>
      </w:pPr>
      <w:r>
        <w:rPr>
          <w:rFonts w:ascii="Consolas"/>
        </w:rPr>
        <w:t>&lt;sh:x</w:t>
      </w:r>
      <w:r>
        <w:rPr>
          <w:rFonts w:ascii="Consolas"/>
          <w:spacing w:val="-8"/>
        </w:rPr>
        <w:t> </w:t>
      </w:r>
      <w:r>
        <w:rPr>
          <w:rFonts w:ascii="Consolas"/>
        </w:rPr>
        <w:t>v="0"/&gt;</w:t>
      </w:r>
    </w:p>
    <w:p>
      <w:pPr>
        <w:pStyle w:val="BodyText"/>
        <w:spacing w:before="40"/>
        <w:ind w:right="8113"/>
        <w:jc w:val="right"/>
        <w:rPr>
          <w:rFonts w:ascii="Consolas"/>
        </w:rPr>
      </w:pPr>
      <w:r>
        <w:rPr>
          <w:rFonts w:ascii="Consolas"/>
          <w:spacing w:val="-2"/>
        </w:rPr>
        <w:t>&lt;/sh:reference&gt;</w:t>
      </w:r>
    </w:p>
    <w:p>
      <w:pPr>
        <w:pStyle w:val="BodyText"/>
        <w:spacing w:before="37"/>
        <w:ind w:left="750"/>
        <w:rPr>
          <w:rFonts w:ascii="Consolas"/>
        </w:rPr>
      </w:pPr>
      <w:r>
        <w:rPr>
          <w:rFonts w:ascii="Consolas"/>
        </w:rPr>
        <w:t>&lt;sh:reference field="15" count="2" selected="0"&gt;</w:t>
      </w:r>
    </w:p>
    <w:p>
      <w:pPr>
        <w:pStyle w:val="BodyText"/>
        <w:spacing w:before="40"/>
        <w:ind w:right="8113"/>
        <w:jc w:val="right"/>
        <w:rPr>
          <w:rFonts w:ascii="Consolas"/>
        </w:rPr>
      </w:pPr>
      <w:r>
        <w:rPr>
          <w:rFonts w:ascii="Consolas"/>
        </w:rPr>
        <w:t>&lt;sh:x</w:t>
      </w:r>
      <w:r>
        <w:rPr>
          <w:rFonts w:ascii="Consolas"/>
          <w:spacing w:val="-8"/>
        </w:rPr>
        <w:t> </w:t>
      </w:r>
      <w:r>
        <w:rPr>
          <w:rFonts w:ascii="Consolas"/>
        </w:rPr>
        <w:t>v="2"/&gt;</w:t>
      </w:r>
    </w:p>
    <w:p>
      <w:pPr>
        <w:pStyle w:val="BodyText"/>
        <w:spacing w:before="38"/>
        <w:ind w:right="8113"/>
        <w:jc w:val="right"/>
        <w:rPr>
          <w:rFonts w:ascii="Consolas"/>
        </w:rPr>
      </w:pPr>
      <w:r>
        <w:rPr>
          <w:rFonts w:ascii="Consolas"/>
        </w:rPr>
        <w:t>&lt;sh:x</w:t>
      </w:r>
      <w:r>
        <w:rPr>
          <w:rFonts w:ascii="Consolas"/>
          <w:spacing w:val="-8"/>
        </w:rPr>
        <w:t> </w:t>
      </w:r>
      <w:r>
        <w:rPr>
          <w:rFonts w:ascii="Consolas"/>
        </w:rPr>
        <w:t>v="3"/&gt;</w:t>
      </w:r>
    </w:p>
    <w:p>
      <w:pPr>
        <w:pStyle w:val="BodyText"/>
        <w:spacing w:before="38"/>
        <w:ind w:right="8113"/>
        <w:jc w:val="right"/>
        <w:rPr>
          <w:rFonts w:ascii="Consolas"/>
        </w:rPr>
      </w:pPr>
      <w:r>
        <w:rPr>
          <w:rFonts w:ascii="Consolas"/>
          <w:spacing w:val="-2"/>
        </w:rPr>
        <w:t>&lt;/sh:reference&gt;</w:t>
      </w:r>
    </w:p>
    <w:p>
      <w:pPr>
        <w:pStyle w:val="BodyText"/>
        <w:spacing w:before="40"/>
        <w:ind w:left="508"/>
        <w:rPr>
          <w:rFonts w:ascii="Consolas"/>
        </w:rPr>
      </w:pPr>
      <w:r>
        <w:rPr>
          <w:rFonts w:ascii="Consolas"/>
        </w:rPr>
        <w:t>&lt;/sh:references&gt;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37" w:lineRule="auto" w:before="42"/>
              <w:ind w:right="304"/>
              <w:rPr>
                <w:sz w:val="22"/>
              </w:rPr>
            </w:pPr>
            <w:r>
              <w:rPr>
                <w:rFonts w:ascii="Cambria"/>
                <w:sz w:val="22"/>
              </w:rPr>
              <w:t>count </w:t>
            </w:r>
            <w:r>
              <w:rPr>
                <w:sz w:val="22"/>
              </w:rPr>
              <w:t>(Pivot Filter Count)</w:t>
            </w:r>
          </w:p>
        </w:tc>
        <w:tc>
          <w:tcPr>
            <w:tcW w:w="8250" w:type="dxa"/>
          </w:tcPr>
          <w:p>
            <w:pPr>
              <w:pStyle w:val="TableParagraph"/>
              <w:rPr>
                <w:sz w:val="22"/>
              </w:rPr>
            </w:pPr>
            <w:r>
              <w:rPr>
                <w:sz w:val="22"/>
              </w:rPr>
              <w:t>Specifies the number of filtered records available in the PivotTable.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CT_PivotAreaReferences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7"/>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11 Shared Workbook Data" w:id="1052"/>
      <w:bookmarkEnd w:id="1052"/>
      <w:r>
        <w:rPr>
          <w:b w:val="0"/>
        </w:rPr>
      </w:r>
      <w:bookmarkStart w:name="_bookmark349" w:id="1053"/>
      <w:bookmarkEnd w:id="1053"/>
      <w:r>
        <w:rPr>
          <w:b w:val="0"/>
        </w:rPr>
      </w:r>
      <w:bookmarkStart w:name="_bookmark349" w:id="1054"/>
      <w:bookmarkEnd w:id="1054"/>
      <w:r>
        <w:rPr>
          <w:color w:val="4F81BC"/>
        </w:rPr>
        <w:t>Sh</w:t>
      </w:r>
      <w:r>
        <w:rPr>
          <w:color w:val="4F81BC"/>
        </w:rPr>
        <w:t>ared Workbook</w:t>
      </w:r>
      <w:r>
        <w:rPr>
          <w:color w:val="4F81BC"/>
          <w:spacing w:val="-4"/>
        </w:rPr>
        <w:t> </w:t>
      </w:r>
      <w:r>
        <w:rPr>
          <w:color w:val="4F81BC"/>
        </w:rPr>
        <w:t>Data</w:t>
      </w:r>
    </w:p>
    <w:p>
      <w:pPr>
        <w:pStyle w:val="BodyText"/>
        <w:spacing w:line="276" w:lineRule="auto" w:before="130"/>
        <w:ind w:left="220" w:right="412"/>
      </w:pPr>
      <w:r>
        <w:rPr/>
        <w:t>The Shared Workbooks architecture enables a spreadsheet application to record revisions made to a workbook (e.g., track changes), and is designed to enable either single, or multiple users editing the same workbook at the same time. Therefore, the application needs to support the ability to read changes made by another user and update its own state of the same workbook with those changes, even when those changes are made concurrently with other changes made by other users. Inevitably there are conflicts, and therefore merge conflict resolution should be supported the runtime application. The file format only contains enough</w:t>
      </w:r>
    </w:p>
    <w:p>
      <w:pPr>
        <w:spacing w:after="0" w:line="276" w:lineRule="auto"/>
        <w:sectPr>
          <w:pgSz w:w="12240" w:h="15840"/>
          <w:pgMar w:header="763" w:footer="746" w:top="1340" w:bottom="940" w:left="860" w:right="700"/>
        </w:sectPr>
      </w:pPr>
    </w:p>
    <w:p>
      <w:pPr>
        <w:pStyle w:val="BodyText"/>
        <w:spacing w:line="278" w:lineRule="auto" w:before="90"/>
        <w:ind w:left="220" w:right="503"/>
      </w:pPr>
      <w:r>
        <w:rPr/>
        <w:t>information so that the spreadsheet application can deal with conflicts, and can undo/redo changes from the change history at run time.</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1.1 Shared Workbook Data" w:id="1055"/>
      <w:bookmarkEnd w:id="1055"/>
      <w:r>
        <w:rPr>
          <w:b w:val="0"/>
        </w:rPr>
      </w:r>
      <w:bookmarkStart w:name="_bookmark350" w:id="1056"/>
      <w:bookmarkEnd w:id="1056"/>
      <w:r>
        <w:rPr>
          <w:b w:val="0"/>
        </w:rPr>
      </w:r>
      <w:bookmarkStart w:name="_bookmark350" w:id="1057"/>
      <w:bookmarkEnd w:id="1057"/>
      <w:r>
        <w:rPr>
          <w:color w:val="4F81BC"/>
        </w:rPr>
        <w:t>S</w:t>
      </w:r>
      <w:r>
        <w:rPr>
          <w:color w:val="4F81BC"/>
        </w:rPr>
        <w:t>hared Workbook</w:t>
      </w:r>
      <w:r>
        <w:rPr>
          <w:color w:val="4F81BC"/>
          <w:spacing w:val="-4"/>
        </w:rPr>
        <w:t> </w:t>
      </w:r>
      <w:r>
        <w:rPr>
          <w:color w:val="4F81BC"/>
        </w:rPr>
        <w:t>Data</w:t>
      </w:r>
    </w:p>
    <w:p>
      <w:pPr>
        <w:pStyle w:val="BodyText"/>
        <w:spacing w:line="276" w:lineRule="auto" w:before="121"/>
        <w:ind w:left="220" w:right="383"/>
      </w:pPr>
      <w:r>
        <w:rPr/>
        <w:t>Within a shared workbook, the changes made to the spreadsheet at runtime are persisted as sets of different revisions collectively forming a revision history. These are persisted to the file on disk during a save event, and are saved in different xml parts known as revision logs. There is a headers table xml part that summarizes when changes were made, who made them, and it lists the relationship from each header to the individual revision log that records the specific changes.</w:t>
      </w:r>
    </w:p>
    <w:p>
      <w:pPr>
        <w:pStyle w:val="BodyText"/>
        <w:spacing w:before="6"/>
        <w:rPr>
          <w:sz w:val="16"/>
        </w:rPr>
      </w:pPr>
    </w:p>
    <w:p>
      <w:pPr>
        <w:pStyle w:val="BodyText"/>
        <w:spacing w:line="278" w:lineRule="auto"/>
        <w:ind w:left="220" w:right="941"/>
      </w:pPr>
      <w:r>
        <w:rPr/>
        <w:t>[</w:t>
      </w:r>
      <w:r>
        <w:rPr>
          <w:i/>
        </w:rPr>
        <w:t>Example</w:t>
      </w:r>
      <w:r>
        <w:rPr/>
        <w:t>: This example shows the header and revision log for two simple events: adding text to a cell, and inserting a new sheet.</w:t>
      </w:r>
    </w:p>
    <w:p>
      <w:pPr>
        <w:pStyle w:val="BodyText"/>
        <w:spacing w:before="3"/>
        <w:rPr>
          <w:sz w:val="16"/>
        </w:rPr>
      </w:pPr>
    </w:p>
    <w:p>
      <w:pPr>
        <w:pStyle w:val="BodyText"/>
        <w:ind w:left="220"/>
      </w:pPr>
      <w:r>
        <w:rPr/>
        <w:t>First, take a look at the header table, and revision log:</w:t>
      </w:r>
    </w:p>
    <w:p>
      <w:pPr>
        <w:pStyle w:val="BodyText"/>
        <w:spacing w:before="8"/>
        <w:rPr>
          <w:sz w:val="19"/>
        </w:rPr>
      </w:pPr>
    </w:p>
    <w:p>
      <w:pPr>
        <w:pStyle w:val="BodyText"/>
        <w:ind w:left="508"/>
        <w:rPr>
          <w:rFonts w:ascii="Consolas" w:hAnsi="Consolas"/>
        </w:rPr>
      </w:pPr>
      <w:r>
        <w:rPr>
          <w:rFonts w:ascii="Consolas" w:hAnsi="Consolas"/>
        </w:rPr>
        <w:t>&lt;headers xmlns="…" xmlns:r="…" guid="{A84A6777-8908-4CB9-9EB6-625CEFF419D3}"&gt;</w:t>
      </w:r>
    </w:p>
    <w:p>
      <w:pPr>
        <w:pStyle w:val="BodyText"/>
        <w:spacing w:before="38"/>
        <w:ind w:left="750"/>
        <w:rPr>
          <w:rFonts w:ascii="Consolas"/>
        </w:rPr>
      </w:pPr>
      <w:r>
        <w:rPr>
          <w:rFonts w:ascii="Consolas"/>
        </w:rPr>
        <w:t>&lt;header guid="{A84A6777-8908-4CB9-9EB6-625CEFF419D3}"</w:t>
      </w:r>
    </w:p>
    <w:p>
      <w:pPr>
        <w:pStyle w:val="BodyText"/>
        <w:spacing w:line="278" w:lineRule="auto" w:before="37"/>
        <w:ind w:left="993" w:right="503"/>
        <w:rPr>
          <w:rFonts w:ascii="Consolas"/>
        </w:rPr>
      </w:pPr>
      <w:r>
        <w:rPr>
          <w:rFonts w:ascii="Consolas"/>
        </w:rPr>
        <w:t>dateTime="2006-07-14T13:42:54" maxSheetId="4" userName="UserName" r:id="rId1"&gt;</w:t>
      </w:r>
    </w:p>
    <w:p>
      <w:pPr>
        <w:pStyle w:val="BodyText"/>
        <w:spacing w:line="253" w:lineRule="exact"/>
        <w:ind w:left="993"/>
        <w:rPr>
          <w:rFonts w:ascii="Consolas"/>
        </w:rPr>
      </w:pPr>
      <w:r>
        <w:rPr>
          <w:rFonts w:ascii="Consolas"/>
        </w:rPr>
        <w:t>&lt;sheetIdMap count="3"&gt;</w:t>
      </w:r>
    </w:p>
    <w:p>
      <w:pPr>
        <w:pStyle w:val="BodyText"/>
        <w:spacing w:before="40"/>
        <w:ind w:left="1235"/>
        <w:rPr>
          <w:rFonts w:ascii="Consolas"/>
        </w:rPr>
      </w:pPr>
      <w:r>
        <w:rPr>
          <w:rFonts w:ascii="Consolas"/>
        </w:rPr>
        <w:t>&lt;sheetId</w:t>
      </w:r>
      <w:r>
        <w:rPr>
          <w:rFonts w:ascii="Consolas"/>
          <w:spacing w:val="-12"/>
        </w:rPr>
        <w:t> </w:t>
      </w:r>
      <w:r>
        <w:rPr>
          <w:rFonts w:ascii="Consolas"/>
        </w:rPr>
        <w:t>val="1"/&gt;</w:t>
      </w:r>
    </w:p>
    <w:p>
      <w:pPr>
        <w:pStyle w:val="BodyText"/>
        <w:spacing w:before="38"/>
        <w:ind w:left="1235"/>
        <w:rPr>
          <w:rFonts w:ascii="Consolas"/>
        </w:rPr>
      </w:pPr>
      <w:r>
        <w:rPr>
          <w:rFonts w:ascii="Consolas"/>
        </w:rPr>
        <w:t>&lt;sheetId</w:t>
      </w:r>
      <w:r>
        <w:rPr>
          <w:rFonts w:ascii="Consolas"/>
          <w:spacing w:val="-12"/>
        </w:rPr>
        <w:t> </w:t>
      </w:r>
      <w:r>
        <w:rPr>
          <w:rFonts w:ascii="Consolas"/>
        </w:rPr>
        <w:t>val="2"/&gt;</w:t>
      </w:r>
    </w:p>
    <w:p>
      <w:pPr>
        <w:pStyle w:val="BodyText"/>
        <w:spacing w:before="40"/>
        <w:ind w:left="1235"/>
        <w:rPr>
          <w:rFonts w:ascii="Consolas"/>
        </w:rPr>
      </w:pPr>
      <w:r>
        <w:rPr>
          <w:rFonts w:ascii="Consolas"/>
        </w:rPr>
        <w:t>&lt;sheetId</w:t>
      </w:r>
      <w:r>
        <w:rPr>
          <w:rFonts w:ascii="Consolas"/>
          <w:spacing w:val="-12"/>
        </w:rPr>
        <w:t> </w:t>
      </w:r>
      <w:r>
        <w:rPr>
          <w:rFonts w:ascii="Consolas"/>
        </w:rPr>
        <w:t>val="3"/&gt;</w:t>
      </w:r>
    </w:p>
    <w:p>
      <w:pPr>
        <w:pStyle w:val="BodyText"/>
        <w:spacing w:before="37"/>
        <w:ind w:left="993"/>
        <w:rPr>
          <w:rFonts w:ascii="Consolas"/>
        </w:rPr>
      </w:pPr>
      <w:r>
        <w:rPr>
          <w:rFonts w:ascii="Consolas"/>
        </w:rPr>
        <w:t>&lt;/sheetIdMap&gt;</w:t>
      </w:r>
    </w:p>
    <w:p>
      <w:pPr>
        <w:pStyle w:val="BodyText"/>
        <w:spacing w:before="38"/>
        <w:ind w:left="750"/>
        <w:rPr>
          <w:rFonts w:ascii="Consolas"/>
        </w:rPr>
      </w:pPr>
      <w:r>
        <w:rPr>
          <w:rFonts w:ascii="Consolas"/>
        </w:rPr>
        <w:t>&lt;/header&gt;</w:t>
      </w:r>
    </w:p>
    <w:p>
      <w:pPr>
        <w:pStyle w:val="BodyText"/>
        <w:spacing w:before="40"/>
        <w:ind w:left="508"/>
        <w:rPr>
          <w:rFonts w:ascii="Consolas"/>
        </w:rPr>
      </w:pPr>
      <w:r>
        <w:rPr>
          <w:rFonts w:ascii="Consolas"/>
        </w:rPr>
        <w:t>&lt;/headers&gt;</w:t>
      </w:r>
    </w:p>
    <w:p>
      <w:pPr>
        <w:pStyle w:val="BodyText"/>
        <w:spacing w:before="5"/>
        <w:rPr>
          <w:rFonts w:ascii="Consolas"/>
          <w:sz w:val="20"/>
        </w:rPr>
      </w:pPr>
    </w:p>
    <w:p>
      <w:pPr>
        <w:pStyle w:val="BodyText"/>
        <w:spacing w:before="1"/>
        <w:ind w:left="220"/>
      </w:pPr>
      <w:r>
        <w:rPr/>
        <w:t>And the revision log is essentially empty:</w:t>
      </w:r>
    </w:p>
    <w:p>
      <w:pPr>
        <w:pStyle w:val="BodyText"/>
        <w:spacing w:before="8"/>
        <w:rPr>
          <w:sz w:val="19"/>
        </w:rPr>
      </w:pPr>
    </w:p>
    <w:p>
      <w:pPr>
        <w:pStyle w:val="BodyText"/>
        <w:ind w:left="508"/>
        <w:rPr>
          <w:rFonts w:ascii="Consolas" w:hAnsi="Consolas"/>
        </w:rPr>
      </w:pPr>
      <w:r>
        <w:rPr>
          <w:rFonts w:ascii="Consolas" w:hAnsi="Consolas"/>
        </w:rPr>
        <w:t>&lt;revisions xmlns="…" xmlns:r="…"/&gt;</w:t>
      </w:r>
    </w:p>
    <w:p>
      <w:pPr>
        <w:pStyle w:val="BodyText"/>
        <w:spacing w:before="2"/>
        <w:rPr>
          <w:rFonts w:ascii="Consolas"/>
          <w:sz w:val="20"/>
        </w:rPr>
      </w:pPr>
    </w:p>
    <w:p>
      <w:pPr>
        <w:pStyle w:val="BodyText"/>
        <w:ind w:left="220"/>
      </w:pPr>
      <w:r>
        <w:rPr/>
        <w:t>Now, after inserting the text "foo" into cell A1, and saving, the header looks like this:</w:t>
      </w:r>
    </w:p>
    <w:p>
      <w:pPr>
        <w:pStyle w:val="BodyText"/>
        <w:spacing w:before="8"/>
        <w:rPr>
          <w:sz w:val="19"/>
        </w:rPr>
      </w:pPr>
    </w:p>
    <w:p>
      <w:pPr>
        <w:pStyle w:val="BodyText"/>
        <w:spacing w:line="278" w:lineRule="auto" w:before="1"/>
        <w:ind w:left="750" w:right="960" w:hanging="243"/>
        <w:rPr>
          <w:rFonts w:ascii="Consolas" w:hAnsi="Consolas"/>
        </w:rPr>
      </w:pPr>
      <w:r>
        <w:rPr>
          <w:rFonts w:ascii="Consolas" w:hAnsi="Consolas"/>
        </w:rPr>
        <w:t>&lt;headers xmlns="…" xmlns:r="…" guid="{CFEA9B63-728B-4274-A346-0440E1573AB4}" diskRevisions="1" revisionId="1" version="2"&gt;</w:t>
      </w:r>
    </w:p>
    <w:p>
      <w:pPr>
        <w:pStyle w:val="BodyText"/>
        <w:spacing w:line="253" w:lineRule="exact"/>
        <w:ind w:left="750"/>
        <w:rPr>
          <w:rFonts w:ascii="Consolas"/>
        </w:rPr>
      </w:pPr>
      <w:r>
        <w:rPr>
          <w:rFonts w:ascii="Consolas"/>
        </w:rPr>
        <w:t>&lt;header guid="{A84A6777-8908-4CB9-9EB6-625CEFF419D3}"</w:t>
      </w:r>
    </w:p>
    <w:p>
      <w:pPr>
        <w:pStyle w:val="BodyText"/>
        <w:spacing w:line="276" w:lineRule="auto" w:before="40"/>
        <w:ind w:left="993" w:right="503"/>
        <w:rPr>
          <w:rFonts w:ascii="Consolas"/>
        </w:rPr>
      </w:pPr>
      <w:r>
        <w:rPr>
          <w:rFonts w:ascii="Consolas"/>
        </w:rPr>
        <w:t>dateTime="2006-07-14T13:42:54" maxSheetId="4" userName="UserName" r:id="rId1"&gt;</w:t>
      </w:r>
    </w:p>
    <w:p>
      <w:pPr>
        <w:pStyle w:val="BodyText"/>
        <w:spacing w:before="1"/>
        <w:ind w:left="165" w:right="6199"/>
        <w:jc w:val="center"/>
        <w:rPr>
          <w:rFonts w:ascii="Consolas"/>
        </w:rPr>
      </w:pPr>
      <w:r>
        <w:rPr>
          <w:rFonts w:ascii="Consolas"/>
        </w:rPr>
        <w:t>&lt;sheetIdMap count="3"&gt;</w:t>
      </w:r>
    </w:p>
    <w:p>
      <w:pPr>
        <w:pStyle w:val="BodyText"/>
        <w:spacing w:before="37"/>
        <w:ind w:left="165" w:right="6196"/>
        <w:jc w:val="center"/>
        <w:rPr>
          <w:rFonts w:ascii="Consolas"/>
        </w:rPr>
      </w:pPr>
      <w:r>
        <w:rPr>
          <w:rFonts w:ascii="Consolas"/>
        </w:rPr>
        <w:t>&lt;sheetId</w:t>
      </w:r>
      <w:r>
        <w:rPr>
          <w:rFonts w:ascii="Consolas"/>
          <w:spacing w:val="-11"/>
        </w:rPr>
        <w:t> </w:t>
      </w:r>
      <w:r>
        <w:rPr>
          <w:rFonts w:ascii="Consolas"/>
        </w:rPr>
        <w:t>val="1"/&gt;</w:t>
      </w:r>
    </w:p>
    <w:p>
      <w:pPr>
        <w:pStyle w:val="BodyText"/>
        <w:spacing w:before="38"/>
        <w:ind w:left="165" w:right="6196"/>
        <w:jc w:val="center"/>
        <w:rPr>
          <w:rFonts w:ascii="Consolas"/>
        </w:rPr>
      </w:pPr>
      <w:r>
        <w:rPr>
          <w:rFonts w:ascii="Consolas"/>
        </w:rPr>
        <w:t>&lt;sheetId</w:t>
      </w:r>
      <w:r>
        <w:rPr>
          <w:rFonts w:ascii="Consolas"/>
          <w:spacing w:val="-12"/>
        </w:rPr>
        <w:t> </w:t>
      </w:r>
      <w:r>
        <w:rPr>
          <w:rFonts w:ascii="Consolas"/>
        </w:rPr>
        <w:t>val="2"/&gt;</w:t>
      </w:r>
    </w:p>
    <w:p>
      <w:pPr>
        <w:pStyle w:val="BodyText"/>
        <w:spacing w:before="40"/>
        <w:ind w:left="165" w:right="6196"/>
        <w:jc w:val="center"/>
        <w:rPr>
          <w:rFonts w:ascii="Consolas"/>
        </w:rPr>
      </w:pPr>
      <w:r>
        <w:rPr>
          <w:rFonts w:ascii="Consolas"/>
        </w:rPr>
        <w:t>&lt;sheetId</w:t>
      </w:r>
      <w:r>
        <w:rPr>
          <w:rFonts w:ascii="Consolas"/>
          <w:spacing w:val="-12"/>
        </w:rPr>
        <w:t> </w:t>
      </w:r>
      <w:r>
        <w:rPr>
          <w:rFonts w:ascii="Consolas"/>
        </w:rPr>
        <w:t>val="3"/&gt;</w:t>
      </w:r>
    </w:p>
    <w:p>
      <w:pPr>
        <w:pStyle w:val="BodyText"/>
        <w:spacing w:before="37"/>
        <w:ind w:left="165" w:right="7285"/>
        <w:jc w:val="center"/>
        <w:rPr>
          <w:rFonts w:ascii="Consolas"/>
        </w:rPr>
      </w:pPr>
      <w:r>
        <w:rPr>
          <w:rFonts w:ascii="Consolas"/>
        </w:rPr>
        <w:t>&lt;/sheetIdMap&gt;</w:t>
      </w:r>
    </w:p>
    <w:p>
      <w:pPr>
        <w:pStyle w:val="BodyText"/>
        <w:spacing w:before="40"/>
        <w:ind w:left="165" w:right="8254"/>
        <w:jc w:val="center"/>
        <w:rPr>
          <w:rFonts w:ascii="Consolas"/>
        </w:rPr>
      </w:pPr>
      <w:r>
        <w:rPr>
          <w:rFonts w:ascii="Consolas"/>
        </w:rPr>
        <w:t>&lt;/header&gt;</w:t>
      </w:r>
    </w:p>
    <w:p>
      <w:pPr>
        <w:spacing w:after="0"/>
        <w:jc w:val="center"/>
        <w:rPr>
          <w:rFonts w:ascii="Consolas"/>
        </w:rPr>
        <w:sectPr>
          <w:footerReference w:type="even" r:id="rId170"/>
          <w:footerReference w:type="default" r:id="rId171"/>
          <w:pgSz w:w="12240" w:h="15840"/>
          <w:pgMar w:footer="746" w:header="761" w:top="1340" w:bottom="940" w:left="860" w:right="700"/>
          <w:pgNumType w:start="1960"/>
        </w:sectPr>
      </w:pPr>
    </w:p>
    <w:p>
      <w:pPr>
        <w:pStyle w:val="BodyText"/>
        <w:spacing w:before="150"/>
        <w:ind w:left="750"/>
        <w:rPr>
          <w:rFonts w:ascii="Consolas"/>
        </w:rPr>
      </w:pPr>
      <w:r>
        <w:rPr>
          <w:rFonts w:ascii="Consolas"/>
        </w:rPr>
        <w:t>&lt;header guid="{CFEA9B63-728B-4274-A346-0440E1573AB4}"</w:t>
      </w:r>
    </w:p>
    <w:p>
      <w:pPr>
        <w:pStyle w:val="BodyText"/>
        <w:spacing w:line="278" w:lineRule="auto" w:before="38"/>
        <w:ind w:left="993" w:right="542"/>
        <w:rPr>
          <w:rFonts w:ascii="Consolas"/>
        </w:rPr>
      </w:pPr>
      <w:r>
        <w:rPr>
          <w:rFonts w:ascii="Consolas"/>
        </w:rPr>
        <w:t>dateTime="2006-07-14T13:44:40" maxSheetId="4" userName="UserName" r:id="rId2" minRId="1"&gt;</w:t>
      </w:r>
    </w:p>
    <w:p>
      <w:pPr>
        <w:pStyle w:val="BodyText"/>
        <w:spacing w:line="253" w:lineRule="exact"/>
        <w:ind w:left="993"/>
        <w:rPr>
          <w:rFonts w:ascii="Consolas"/>
        </w:rPr>
      </w:pPr>
      <w:r>
        <w:rPr>
          <w:rFonts w:ascii="Consolas"/>
        </w:rPr>
        <w:t>&lt;sheetIdMap count="3"&gt;</w:t>
      </w:r>
    </w:p>
    <w:p>
      <w:pPr>
        <w:pStyle w:val="BodyText"/>
        <w:spacing w:before="40"/>
        <w:ind w:left="1235"/>
        <w:rPr>
          <w:rFonts w:ascii="Consolas"/>
        </w:rPr>
      </w:pPr>
      <w:r>
        <w:rPr>
          <w:rFonts w:ascii="Consolas"/>
        </w:rPr>
        <w:t>&lt;sheetId</w:t>
      </w:r>
      <w:r>
        <w:rPr>
          <w:rFonts w:ascii="Consolas"/>
          <w:spacing w:val="-12"/>
        </w:rPr>
        <w:t> </w:t>
      </w:r>
      <w:r>
        <w:rPr>
          <w:rFonts w:ascii="Consolas"/>
        </w:rPr>
        <w:t>val="1"/&gt;</w:t>
      </w:r>
    </w:p>
    <w:p>
      <w:pPr>
        <w:pStyle w:val="BodyText"/>
        <w:spacing w:before="38"/>
        <w:ind w:left="1235"/>
        <w:rPr>
          <w:rFonts w:ascii="Consolas"/>
        </w:rPr>
      </w:pPr>
      <w:r>
        <w:rPr>
          <w:rFonts w:ascii="Consolas"/>
        </w:rPr>
        <w:t>&lt;sheetId</w:t>
      </w:r>
      <w:r>
        <w:rPr>
          <w:rFonts w:ascii="Consolas"/>
          <w:spacing w:val="-12"/>
        </w:rPr>
        <w:t> </w:t>
      </w:r>
      <w:r>
        <w:rPr>
          <w:rFonts w:ascii="Consolas"/>
        </w:rPr>
        <w:t>val="2"/&gt;</w:t>
      </w:r>
    </w:p>
    <w:p>
      <w:pPr>
        <w:pStyle w:val="BodyText"/>
        <w:spacing w:before="40"/>
        <w:ind w:left="1235"/>
        <w:rPr>
          <w:rFonts w:ascii="Consolas"/>
        </w:rPr>
      </w:pPr>
      <w:r>
        <w:rPr>
          <w:rFonts w:ascii="Consolas"/>
        </w:rPr>
        <w:t>&lt;sheetId</w:t>
      </w:r>
      <w:r>
        <w:rPr>
          <w:rFonts w:ascii="Consolas"/>
          <w:spacing w:val="-12"/>
        </w:rPr>
        <w:t> </w:t>
      </w:r>
      <w:r>
        <w:rPr>
          <w:rFonts w:ascii="Consolas"/>
        </w:rPr>
        <w:t>val="3"/&gt;</w:t>
      </w:r>
    </w:p>
    <w:p>
      <w:pPr>
        <w:pStyle w:val="BodyText"/>
        <w:spacing w:before="37"/>
        <w:ind w:left="993"/>
        <w:rPr>
          <w:rFonts w:ascii="Consolas"/>
        </w:rPr>
      </w:pPr>
      <w:r>
        <w:rPr>
          <w:rFonts w:ascii="Consolas"/>
        </w:rPr>
        <w:t>&lt;/sheetIdMap&gt;</w:t>
      </w:r>
    </w:p>
    <w:p>
      <w:pPr>
        <w:pStyle w:val="BodyText"/>
        <w:spacing w:before="38"/>
        <w:ind w:left="750"/>
        <w:rPr>
          <w:rFonts w:ascii="Consolas"/>
        </w:rPr>
      </w:pPr>
      <w:r>
        <w:rPr>
          <w:rFonts w:ascii="Consolas"/>
        </w:rPr>
        <w:t>&lt;/header&gt;</w:t>
      </w:r>
    </w:p>
    <w:p>
      <w:pPr>
        <w:pStyle w:val="BodyText"/>
        <w:spacing w:before="40"/>
        <w:ind w:left="508"/>
        <w:rPr>
          <w:rFonts w:ascii="Consolas"/>
        </w:rPr>
      </w:pPr>
      <w:r>
        <w:rPr>
          <w:rFonts w:ascii="Consolas"/>
        </w:rPr>
        <w:t>&lt;/headers&gt;</w:t>
      </w:r>
    </w:p>
    <w:p>
      <w:pPr>
        <w:pStyle w:val="BodyText"/>
        <w:spacing w:before="2"/>
        <w:rPr>
          <w:rFonts w:ascii="Consolas"/>
          <w:sz w:val="20"/>
        </w:rPr>
      </w:pPr>
    </w:p>
    <w:p>
      <w:pPr>
        <w:pStyle w:val="BodyText"/>
        <w:spacing w:line="276" w:lineRule="auto" w:before="1"/>
        <w:ind w:left="220" w:right="464"/>
      </w:pPr>
      <w:r>
        <w:rPr/>
        <w:t>A new header entry is added, with a GUID and a revision ID (rId2) that specifies which log to look into to see the details about the revision.</w:t>
      </w:r>
    </w:p>
    <w:p>
      <w:pPr>
        <w:pStyle w:val="BodyText"/>
        <w:spacing w:before="5"/>
        <w:rPr>
          <w:sz w:val="16"/>
        </w:rPr>
      </w:pPr>
    </w:p>
    <w:p>
      <w:pPr>
        <w:pStyle w:val="BodyText"/>
        <w:spacing w:before="1"/>
        <w:ind w:left="220"/>
      </w:pPr>
      <w:r>
        <w:rPr/>
        <w:t>The old log is saved, and the newly created log (corresponding to rId2) now looks like this:</w:t>
      </w:r>
    </w:p>
    <w:p>
      <w:pPr>
        <w:pStyle w:val="BodyText"/>
        <w:spacing w:before="8"/>
        <w:rPr>
          <w:sz w:val="19"/>
        </w:rPr>
      </w:pPr>
    </w:p>
    <w:p>
      <w:pPr>
        <w:pStyle w:val="BodyText"/>
        <w:ind w:left="508"/>
        <w:rPr>
          <w:rFonts w:ascii="Consolas" w:hAnsi="Consolas"/>
        </w:rPr>
      </w:pPr>
      <w:r>
        <w:rPr>
          <w:rFonts w:ascii="Consolas" w:hAnsi="Consolas"/>
        </w:rPr>
        <w:t>&lt;revisions xmlns="…" xmlns:r="…"&gt;</w:t>
      </w:r>
    </w:p>
    <w:p>
      <w:pPr>
        <w:pStyle w:val="BodyText"/>
        <w:spacing w:before="40"/>
        <w:ind w:left="750"/>
        <w:rPr>
          <w:rFonts w:ascii="Consolas"/>
        </w:rPr>
      </w:pPr>
      <w:r>
        <w:rPr>
          <w:rFonts w:ascii="Consolas"/>
        </w:rPr>
        <w:t>&lt;rcc rId="1" sId="1"&gt;</w:t>
      </w:r>
    </w:p>
    <w:p>
      <w:pPr>
        <w:pStyle w:val="BodyText"/>
        <w:spacing w:before="37"/>
        <w:ind w:left="993"/>
        <w:rPr>
          <w:rFonts w:ascii="Consolas"/>
        </w:rPr>
      </w:pPr>
      <w:r>
        <w:rPr>
          <w:rFonts w:ascii="Consolas"/>
        </w:rPr>
        <w:t>&lt;nc r="A1" t="inlineStr"&gt;</w:t>
      </w:r>
    </w:p>
    <w:p>
      <w:pPr>
        <w:pStyle w:val="BodyText"/>
        <w:spacing w:before="40"/>
        <w:ind w:left="1235"/>
        <w:rPr>
          <w:rFonts w:ascii="Consolas"/>
        </w:rPr>
      </w:pPr>
      <w:r>
        <w:rPr>
          <w:rFonts w:ascii="Consolas"/>
        </w:rPr>
        <w:t>&lt;is&gt;</w:t>
      </w:r>
    </w:p>
    <w:p>
      <w:pPr>
        <w:pStyle w:val="BodyText"/>
        <w:spacing w:before="38"/>
        <w:ind w:left="1478"/>
        <w:rPr>
          <w:rFonts w:ascii="Consolas"/>
        </w:rPr>
      </w:pPr>
      <w:r>
        <w:rPr>
          <w:rFonts w:ascii="Consolas"/>
        </w:rPr>
        <w:t>&lt;t&gt;foo&lt;/t&gt;</w:t>
      </w:r>
    </w:p>
    <w:p>
      <w:pPr>
        <w:pStyle w:val="BodyText"/>
        <w:spacing w:before="38"/>
        <w:ind w:left="1478"/>
        <w:rPr>
          <w:rFonts w:ascii="Consolas"/>
        </w:rPr>
      </w:pPr>
      <w:r>
        <w:rPr>
          <w:rFonts w:ascii="Consolas"/>
        </w:rPr>
        <w:t>&lt;phoneticPr fontId="0"/&gt;</w:t>
      </w:r>
    </w:p>
    <w:p>
      <w:pPr>
        <w:pStyle w:val="BodyText"/>
        <w:spacing w:before="40"/>
        <w:ind w:left="1235"/>
        <w:rPr>
          <w:rFonts w:ascii="Consolas"/>
        </w:rPr>
      </w:pPr>
      <w:r>
        <w:rPr>
          <w:rFonts w:ascii="Consolas"/>
        </w:rPr>
        <w:t>&lt;/is&gt;</w:t>
      </w:r>
    </w:p>
    <w:p>
      <w:pPr>
        <w:pStyle w:val="BodyText"/>
        <w:spacing w:before="37"/>
        <w:ind w:left="993"/>
        <w:rPr>
          <w:rFonts w:ascii="Consolas"/>
        </w:rPr>
      </w:pPr>
      <w:r>
        <w:rPr>
          <w:rFonts w:ascii="Consolas"/>
        </w:rPr>
        <w:t>&lt;/nc&gt;</w:t>
      </w:r>
    </w:p>
    <w:p>
      <w:pPr>
        <w:pStyle w:val="BodyText"/>
        <w:spacing w:before="40"/>
        <w:ind w:left="750"/>
        <w:rPr>
          <w:rFonts w:ascii="Consolas"/>
        </w:rPr>
      </w:pPr>
      <w:r>
        <w:rPr>
          <w:rFonts w:ascii="Consolas"/>
        </w:rPr>
        <w:t>&lt;/rcc&gt;</w:t>
      </w:r>
    </w:p>
    <w:p>
      <w:pPr>
        <w:pStyle w:val="BodyText"/>
        <w:spacing w:before="38"/>
        <w:ind w:left="508"/>
        <w:rPr>
          <w:rFonts w:ascii="Consolas"/>
        </w:rPr>
      </w:pPr>
      <w:r>
        <w:rPr>
          <w:rFonts w:ascii="Consolas"/>
        </w:rPr>
        <w:t>&lt;/revisions&gt;</w:t>
      </w:r>
    </w:p>
    <w:p>
      <w:pPr>
        <w:pStyle w:val="BodyText"/>
        <w:spacing w:before="3"/>
        <w:rPr>
          <w:rFonts w:ascii="Consolas"/>
          <w:sz w:val="20"/>
        </w:rPr>
      </w:pPr>
    </w:p>
    <w:p>
      <w:pPr>
        <w:pStyle w:val="BodyText"/>
        <w:spacing w:line="278" w:lineRule="auto"/>
        <w:ind w:left="220" w:right="703"/>
      </w:pPr>
      <w:r>
        <w:rPr/>
        <w:t>The log shows that the contents of a cell were revised, and the new cell contents is text containg "foo" as the string.</w:t>
      </w:r>
    </w:p>
    <w:p>
      <w:pPr>
        <w:pStyle w:val="BodyText"/>
        <w:spacing w:before="2"/>
        <w:rPr>
          <w:sz w:val="16"/>
        </w:rPr>
      </w:pPr>
    </w:p>
    <w:p>
      <w:pPr>
        <w:pStyle w:val="BodyText"/>
        <w:ind w:left="220"/>
      </w:pPr>
      <w:r>
        <w:rPr/>
        <w:t>After inserting a new sheet, the header looks like this:</w:t>
      </w:r>
    </w:p>
    <w:p>
      <w:pPr>
        <w:pStyle w:val="BodyText"/>
        <w:spacing w:before="8"/>
        <w:rPr>
          <w:sz w:val="19"/>
        </w:rPr>
      </w:pPr>
    </w:p>
    <w:p>
      <w:pPr>
        <w:pStyle w:val="BodyText"/>
        <w:spacing w:line="276" w:lineRule="auto" w:before="1"/>
        <w:ind w:left="750" w:right="960" w:hanging="243"/>
        <w:rPr>
          <w:rFonts w:ascii="Consolas" w:hAnsi="Consolas"/>
        </w:rPr>
      </w:pPr>
      <w:r>
        <w:rPr>
          <w:rFonts w:ascii="Consolas" w:hAnsi="Consolas"/>
        </w:rPr>
        <w:t>&lt;headers xmlns="…" xmlns:r="…" guid="{7E1DAFA8-EF95-4865-8FE8-CC17B28635CF}" diskRevisions="1" revisionId="2" version="3"&gt;</w:t>
      </w:r>
    </w:p>
    <w:p>
      <w:pPr>
        <w:pStyle w:val="BodyText"/>
        <w:spacing w:line="256" w:lineRule="exact"/>
        <w:ind w:left="750"/>
        <w:rPr>
          <w:rFonts w:ascii="Consolas"/>
        </w:rPr>
      </w:pPr>
      <w:r>
        <w:rPr>
          <w:rFonts w:ascii="Consolas"/>
        </w:rPr>
        <w:t>&lt;header guid="{A84A6777-8908-4CB9-9EB6-625CEFF419D3}"</w:t>
      </w:r>
    </w:p>
    <w:p>
      <w:pPr>
        <w:pStyle w:val="BodyText"/>
        <w:spacing w:line="276" w:lineRule="auto" w:before="40"/>
        <w:ind w:left="993" w:right="2289"/>
        <w:rPr>
          <w:rFonts w:ascii="Consolas"/>
        </w:rPr>
      </w:pPr>
      <w:r>
        <w:rPr>
          <w:rFonts w:ascii="Consolas"/>
        </w:rPr>
        <w:t>dateTime="2006-07-14T13:42:54" maxSheetId="4" userName="UserName" r:id="rId1"&gt;</w:t>
      </w:r>
    </w:p>
    <w:p>
      <w:pPr>
        <w:pStyle w:val="BodyText"/>
        <w:ind w:left="165" w:right="6199"/>
        <w:jc w:val="center"/>
        <w:rPr>
          <w:rFonts w:ascii="Consolas"/>
        </w:rPr>
      </w:pPr>
      <w:r>
        <w:rPr>
          <w:rFonts w:ascii="Consolas"/>
        </w:rPr>
        <w:t>&lt;sheetIdMap count="3"&gt;</w:t>
      </w:r>
    </w:p>
    <w:p>
      <w:pPr>
        <w:pStyle w:val="BodyText"/>
        <w:spacing w:before="38"/>
        <w:ind w:left="165" w:right="6196"/>
        <w:jc w:val="center"/>
        <w:rPr>
          <w:rFonts w:ascii="Consolas"/>
        </w:rPr>
      </w:pPr>
      <w:r>
        <w:rPr>
          <w:rFonts w:ascii="Consolas"/>
        </w:rPr>
        <w:t>&lt;sheetId</w:t>
      </w:r>
      <w:r>
        <w:rPr>
          <w:rFonts w:ascii="Consolas"/>
          <w:spacing w:val="-12"/>
        </w:rPr>
        <w:t> </w:t>
      </w:r>
      <w:r>
        <w:rPr>
          <w:rFonts w:ascii="Consolas"/>
        </w:rPr>
        <w:t>val="1"/&gt;</w:t>
      </w:r>
    </w:p>
    <w:p>
      <w:pPr>
        <w:pStyle w:val="BodyText"/>
        <w:spacing w:before="40"/>
        <w:ind w:left="165" w:right="6196"/>
        <w:jc w:val="center"/>
        <w:rPr>
          <w:rFonts w:ascii="Consolas"/>
        </w:rPr>
      </w:pPr>
      <w:r>
        <w:rPr>
          <w:rFonts w:ascii="Consolas"/>
        </w:rPr>
        <w:t>&lt;sheetId</w:t>
      </w:r>
      <w:r>
        <w:rPr>
          <w:rFonts w:ascii="Consolas"/>
          <w:spacing w:val="-12"/>
        </w:rPr>
        <w:t> </w:t>
      </w:r>
      <w:r>
        <w:rPr>
          <w:rFonts w:ascii="Consolas"/>
        </w:rPr>
        <w:t>val="2"/&gt;</w:t>
      </w:r>
    </w:p>
    <w:p>
      <w:pPr>
        <w:pStyle w:val="BodyText"/>
        <w:spacing w:before="38"/>
        <w:ind w:left="165" w:right="6196"/>
        <w:jc w:val="center"/>
        <w:rPr>
          <w:rFonts w:ascii="Consolas"/>
        </w:rPr>
      </w:pPr>
      <w:r>
        <w:rPr>
          <w:rFonts w:ascii="Consolas"/>
        </w:rPr>
        <w:t>&lt;sheetId</w:t>
      </w:r>
      <w:r>
        <w:rPr>
          <w:rFonts w:ascii="Consolas"/>
          <w:spacing w:val="-12"/>
        </w:rPr>
        <w:t> </w:t>
      </w:r>
      <w:r>
        <w:rPr>
          <w:rFonts w:ascii="Consolas"/>
        </w:rPr>
        <w:t>val="3"/&gt;</w:t>
      </w:r>
    </w:p>
    <w:p>
      <w:pPr>
        <w:pStyle w:val="BodyText"/>
        <w:spacing w:before="40"/>
        <w:ind w:left="165" w:right="7285"/>
        <w:jc w:val="center"/>
        <w:rPr>
          <w:rFonts w:ascii="Consolas"/>
        </w:rPr>
      </w:pPr>
      <w:r>
        <w:rPr>
          <w:rFonts w:ascii="Consolas"/>
        </w:rPr>
        <w:t>&lt;/sheetIdMap&gt;</w:t>
      </w:r>
    </w:p>
    <w:p>
      <w:pPr>
        <w:pStyle w:val="BodyText"/>
        <w:spacing w:before="37"/>
        <w:ind w:left="165" w:right="8254"/>
        <w:jc w:val="center"/>
        <w:rPr>
          <w:rFonts w:ascii="Consolas"/>
        </w:rPr>
      </w:pPr>
      <w:r>
        <w:rPr>
          <w:rFonts w:ascii="Consolas"/>
        </w:rPr>
        <w:t>&lt;/header&gt;</w:t>
      </w:r>
    </w:p>
    <w:p>
      <w:pPr>
        <w:spacing w:after="0"/>
        <w:jc w:val="center"/>
        <w:rPr>
          <w:rFonts w:ascii="Consolas"/>
        </w:rPr>
        <w:sectPr>
          <w:pgSz w:w="12240" w:h="15840"/>
          <w:pgMar w:header="763" w:footer="746" w:top="1340" w:bottom="940" w:left="860" w:right="700"/>
        </w:sectPr>
      </w:pPr>
    </w:p>
    <w:p>
      <w:pPr>
        <w:pStyle w:val="BodyText"/>
        <w:spacing w:before="93"/>
        <w:ind w:left="750"/>
        <w:rPr>
          <w:rFonts w:ascii="Consolas"/>
        </w:rPr>
      </w:pPr>
      <w:r>
        <w:rPr>
          <w:rFonts w:ascii="Consolas"/>
        </w:rPr>
        <w:t>&lt;header guid="{CFEA9B63-728B-4274-A346-0440E1573AB4}"</w:t>
      </w:r>
    </w:p>
    <w:p>
      <w:pPr>
        <w:pStyle w:val="BodyText"/>
        <w:spacing w:line="278" w:lineRule="auto" w:before="38"/>
        <w:ind w:left="993" w:right="542"/>
        <w:rPr>
          <w:rFonts w:ascii="Consolas"/>
        </w:rPr>
      </w:pPr>
      <w:r>
        <w:rPr>
          <w:rFonts w:ascii="Consolas"/>
        </w:rPr>
        <w:t>dateTime="2006-07-14T13:44:40" maxSheetId="4" userName="UserName" r:id="rId2" minRId="1"&gt;</w:t>
      </w:r>
    </w:p>
    <w:p>
      <w:pPr>
        <w:pStyle w:val="BodyText"/>
        <w:spacing w:line="253" w:lineRule="exact"/>
        <w:ind w:left="993"/>
        <w:rPr>
          <w:rFonts w:ascii="Consolas"/>
        </w:rPr>
      </w:pPr>
      <w:r>
        <w:rPr>
          <w:rFonts w:ascii="Consolas"/>
        </w:rPr>
        <w:t>&lt;sheetIdMap count="3"&gt;</w:t>
      </w:r>
    </w:p>
    <w:p>
      <w:pPr>
        <w:pStyle w:val="BodyText"/>
        <w:spacing w:before="40"/>
        <w:ind w:left="1235"/>
        <w:rPr>
          <w:rFonts w:ascii="Consolas"/>
        </w:rPr>
      </w:pPr>
      <w:r>
        <w:rPr>
          <w:rFonts w:ascii="Consolas"/>
        </w:rPr>
        <w:t>&lt;sheetId</w:t>
      </w:r>
      <w:r>
        <w:rPr>
          <w:rFonts w:ascii="Consolas"/>
          <w:spacing w:val="-12"/>
        </w:rPr>
        <w:t> </w:t>
      </w:r>
      <w:r>
        <w:rPr>
          <w:rFonts w:ascii="Consolas"/>
        </w:rPr>
        <w:t>val="1"/&gt;</w:t>
      </w:r>
    </w:p>
    <w:p>
      <w:pPr>
        <w:pStyle w:val="BodyText"/>
        <w:spacing w:before="37"/>
        <w:ind w:left="1235"/>
        <w:rPr>
          <w:rFonts w:ascii="Consolas"/>
        </w:rPr>
      </w:pPr>
      <w:r>
        <w:rPr>
          <w:rFonts w:ascii="Consolas"/>
        </w:rPr>
        <w:t>&lt;sheetId</w:t>
      </w:r>
      <w:r>
        <w:rPr>
          <w:rFonts w:ascii="Consolas"/>
          <w:spacing w:val="-12"/>
        </w:rPr>
        <w:t> </w:t>
      </w:r>
      <w:r>
        <w:rPr>
          <w:rFonts w:ascii="Consolas"/>
        </w:rPr>
        <w:t>val="2"/&gt;</w:t>
      </w:r>
    </w:p>
    <w:p>
      <w:pPr>
        <w:pStyle w:val="BodyText"/>
        <w:spacing w:before="40"/>
        <w:ind w:left="1235"/>
        <w:rPr>
          <w:rFonts w:ascii="Consolas"/>
        </w:rPr>
      </w:pPr>
      <w:r>
        <w:rPr>
          <w:rFonts w:ascii="Consolas"/>
        </w:rPr>
        <w:t>&lt;sheetId</w:t>
      </w:r>
      <w:r>
        <w:rPr>
          <w:rFonts w:ascii="Consolas"/>
          <w:spacing w:val="-12"/>
        </w:rPr>
        <w:t> </w:t>
      </w:r>
      <w:r>
        <w:rPr>
          <w:rFonts w:ascii="Consolas"/>
        </w:rPr>
        <w:t>val="3"/&gt;</w:t>
      </w:r>
    </w:p>
    <w:p>
      <w:pPr>
        <w:pStyle w:val="BodyText"/>
        <w:spacing w:before="38"/>
        <w:ind w:left="993"/>
        <w:rPr>
          <w:rFonts w:ascii="Consolas"/>
        </w:rPr>
      </w:pPr>
      <w:r>
        <w:rPr>
          <w:rFonts w:ascii="Consolas"/>
        </w:rPr>
        <w:t>&lt;/sheetIdMap&gt;</w:t>
      </w:r>
    </w:p>
    <w:p>
      <w:pPr>
        <w:pStyle w:val="BodyText"/>
        <w:spacing w:before="37"/>
        <w:ind w:left="750"/>
        <w:rPr>
          <w:rFonts w:ascii="Consolas"/>
        </w:rPr>
      </w:pPr>
      <w:r>
        <w:rPr>
          <w:rFonts w:ascii="Consolas"/>
        </w:rPr>
        <w:t>&lt;/header&gt;</w:t>
      </w:r>
    </w:p>
    <w:p>
      <w:pPr>
        <w:pStyle w:val="BodyText"/>
        <w:spacing w:before="40"/>
        <w:ind w:left="750"/>
        <w:rPr>
          <w:rFonts w:ascii="Consolas"/>
        </w:rPr>
      </w:pPr>
      <w:r>
        <w:rPr>
          <w:rFonts w:ascii="Consolas"/>
        </w:rPr>
        <w:t>&lt;header guid="{7E1DAFA8-EF95-4865-8FE8-CC17B28635CF}"</w:t>
      </w:r>
    </w:p>
    <w:p>
      <w:pPr>
        <w:pStyle w:val="BodyText"/>
        <w:spacing w:line="278" w:lineRule="auto" w:before="38"/>
        <w:ind w:left="993" w:right="542"/>
        <w:rPr>
          <w:rFonts w:ascii="Consolas"/>
        </w:rPr>
      </w:pPr>
      <w:r>
        <w:rPr>
          <w:rFonts w:ascii="Consolas"/>
        </w:rPr>
        <w:t>dateTime="2006-07-14T13:48:56" maxSheetId="5" userName="UserName" r:id="rId3" minRId="2"&gt;</w:t>
      </w:r>
    </w:p>
    <w:p>
      <w:pPr>
        <w:pStyle w:val="BodyText"/>
        <w:spacing w:line="253" w:lineRule="exact"/>
        <w:ind w:left="993"/>
        <w:rPr>
          <w:rFonts w:ascii="Consolas"/>
        </w:rPr>
      </w:pPr>
      <w:r>
        <w:rPr>
          <w:rFonts w:ascii="Consolas"/>
        </w:rPr>
        <w:t>&lt;sheetIdMap count="4"&gt;</w:t>
      </w:r>
    </w:p>
    <w:p>
      <w:pPr>
        <w:pStyle w:val="BodyText"/>
        <w:spacing w:before="41"/>
        <w:ind w:left="1235"/>
        <w:rPr>
          <w:rFonts w:ascii="Consolas"/>
        </w:rPr>
      </w:pPr>
      <w:r>
        <w:rPr>
          <w:rFonts w:ascii="Consolas"/>
        </w:rPr>
        <w:t>&lt;sheetId</w:t>
      </w:r>
      <w:r>
        <w:rPr>
          <w:rFonts w:ascii="Consolas"/>
          <w:spacing w:val="-12"/>
        </w:rPr>
        <w:t> </w:t>
      </w:r>
      <w:r>
        <w:rPr>
          <w:rFonts w:ascii="Consolas"/>
        </w:rPr>
        <w:t>val="1"/&gt;</w:t>
      </w:r>
    </w:p>
    <w:p>
      <w:pPr>
        <w:pStyle w:val="BodyText"/>
        <w:spacing w:before="37"/>
        <w:ind w:left="1235"/>
        <w:rPr>
          <w:rFonts w:ascii="Consolas"/>
        </w:rPr>
      </w:pPr>
      <w:r>
        <w:rPr>
          <w:rFonts w:ascii="Consolas"/>
        </w:rPr>
        <w:t>&lt;sheetId</w:t>
      </w:r>
      <w:r>
        <w:rPr>
          <w:rFonts w:ascii="Consolas"/>
          <w:spacing w:val="-12"/>
        </w:rPr>
        <w:t> </w:t>
      </w:r>
      <w:r>
        <w:rPr>
          <w:rFonts w:ascii="Consolas"/>
        </w:rPr>
        <w:t>val="2"/&gt;</w:t>
      </w:r>
    </w:p>
    <w:p>
      <w:pPr>
        <w:pStyle w:val="BodyText"/>
        <w:spacing w:before="38"/>
        <w:ind w:left="1235"/>
        <w:rPr>
          <w:rFonts w:ascii="Consolas"/>
        </w:rPr>
      </w:pPr>
      <w:r>
        <w:rPr>
          <w:rFonts w:ascii="Consolas"/>
        </w:rPr>
        <w:t>&lt;sheetId</w:t>
      </w:r>
      <w:r>
        <w:rPr>
          <w:rFonts w:ascii="Consolas"/>
          <w:spacing w:val="-12"/>
        </w:rPr>
        <w:t> </w:t>
      </w:r>
      <w:r>
        <w:rPr>
          <w:rFonts w:ascii="Consolas"/>
        </w:rPr>
        <w:t>val="3"/&gt;</w:t>
      </w:r>
    </w:p>
    <w:p>
      <w:pPr>
        <w:pStyle w:val="BodyText"/>
        <w:spacing w:before="40"/>
        <w:ind w:left="1235"/>
        <w:rPr>
          <w:rFonts w:ascii="Consolas"/>
        </w:rPr>
      </w:pPr>
      <w:r>
        <w:rPr>
          <w:rFonts w:ascii="Consolas"/>
        </w:rPr>
        <w:t>&lt;sheetId</w:t>
      </w:r>
      <w:r>
        <w:rPr>
          <w:rFonts w:ascii="Consolas"/>
          <w:spacing w:val="-12"/>
        </w:rPr>
        <w:t> </w:t>
      </w:r>
      <w:r>
        <w:rPr>
          <w:rFonts w:ascii="Consolas"/>
        </w:rPr>
        <w:t>val="4"/&gt;</w:t>
      </w:r>
    </w:p>
    <w:p>
      <w:pPr>
        <w:pStyle w:val="BodyText"/>
        <w:spacing w:before="37"/>
        <w:ind w:left="993"/>
        <w:rPr>
          <w:rFonts w:ascii="Consolas"/>
        </w:rPr>
      </w:pPr>
      <w:r>
        <w:rPr>
          <w:rFonts w:ascii="Consolas"/>
        </w:rPr>
        <w:t>&lt;/sheetIdMap&gt;</w:t>
      </w:r>
    </w:p>
    <w:p>
      <w:pPr>
        <w:pStyle w:val="BodyText"/>
        <w:spacing w:before="40"/>
        <w:ind w:left="750"/>
        <w:rPr>
          <w:rFonts w:ascii="Consolas"/>
        </w:rPr>
      </w:pPr>
      <w:r>
        <w:rPr>
          <w:rFonts w:ascii="Consolas"/>
        </w:rPr>
        <w:t>&lt;/header&gt;</w:t>
      </w:r>
    </w:p>
    <w:p>
      <w:pPr>
        <w:pStyle w:val="BodyText"/>
        <w:spacing w:before="38"/>
        <w:ind w:left="508"/>
        <w:rPr>
          <w:rFonts w:ascii="Consolas"/>
        </w:rPr>
      </w:pPr>
      <w:r>
        <w:rPr>
          <w:rFonts w:ascii="Consolas"/>
        </w:rPr>
        <w:t>&lt;/headers&gt;</w:t>
      </w:r>
    </w:p>
    <w:p>
      <w:pPr>
        <w:pStyle w:val="BodyText"/>
        <w:spacing w:before="2"/>
        <w:rPr>
          <w:rFonts w:ascii="Consolas"/>
          <w:sz w:val="20"/>
        </w:rPr>
      </w:pPr>
    </w:p>
    <w:p>
      <w:pPr>
        <w:pStyle w:val="BodyText"/>
        <w:spacing w:line="278" w:lineRule="auto" w:before="1"/>
        <w:ind w:left="220" w:right="503"/>
      </w:pPr>
      <w:r>
        <w:rPr/>
        <w:t>You can see that the last, most recent, header entry shows an entry for the new sheet. The most recent log looks like this:</w:t>
      </w:r>
    </w:p>
    <w:p>
      <w:pPr>
        <w:pStyle w:val="BodyText"/>
        <w:spacing w:before="197"/>
        <w:ind w:left="508"/>
        <w:rPr>
          <w:rFonts w:ascii="Consolas" w:hAnsi="Consolas"/>
        </w:rPr>
      </w:pPr>
      <w:r>
        <w:rPr>
          <w:rFonts w:ascii="Consolas" w:hAnsi="Consolas"/>
        </w:rPr>
        <w:t>&lt;revisions xmlns="…" xmlns:r="…"&gt;</w:t>
      </w:r>
    </w:p>
    <w:p>
      <w:pPr>
        <w:pStyle w:val="BodyText"/>
        <w:spacing w:line="278" w:lineRule="auto" w:before="38"/>
        <w:ind w:left="993" w:right="542" w:hanging="243"/>
        <w:rPr>
          <w:rFonts w:ascii="Consolas"/>
        </w:rPr>
      </w:pPr>
      <w:r>
        <w:rPr>
          <w:rFonts w:ascii="Consolas"/>
        </w:rPr>
        <w:t>&lt;ris rId="2" sheetId="4" name="[shared example.xlsx]Sheet4" sheetPosition="3"/&gt;</w:t>
      </w:r>
    </w:p>
    <w:p>
      <w:pPr>
        <w:pStyle w:val="BodyText"/>
        <w:spacing w:line="253" w:lineRule="exact"/>
        <w:ind w:left="750"/>
        <w:rPr>
          <w:rFonts w:ascii="Consolas"/>
        </w:rPr>
      </w:pPr>
      <w:r>
        <w:rPr>
          <w:rFonts w:ascii="Consolas"/>
        </w:rPr>
        <w:t>&lt;rcv guid="{841DBE00-ECD0-478E-893B-30CE5DABBEF5}" action="delete"/&gt;</w:t>
      </w:r>
    </w:p>
    <w:p>
      <w:pPr>
        <w:pStyle w:val="BodyText"/>
        <w:spacing w:before="38"/>
        <w:ind w:left="750"/>
        <w:rPr>
          <w:rFonts w:ascii="Consolas"/>
        </w:rPr>
      </w:pPr>
      <w:r>
        <w:rPr>
          <w:rFonts w:ascii="Consolas"/>
        </w:rPr>
        <w:t>&lt;rcv guid="{841DBE00-ECD0-478E-893B-30CE5DABBEF5}" action="add"/&gt;</w:t>
      </w:r>
    </w:p>
    <w:p>
      <w:pPr>
        <w:pStyle w:val="BodyText"/>
        <w:spacing w:before="40"/>
        <w:ind w:left="508"/>
        <w:rPr>
          <w:rFonts w:ascii="Consolas"/>
        </w:rPr>
      </w:pPr>
      <w:r>
        <w:rPr>
          <w:rFonts w:ascii="Consolas"/>
        </w:rPr>
        <w:t>&lt;/revisions&gt;</w:t>
      </w:r>
    </w:p>
    <w:p>
      <w:pPr>
        <w:pStyle w:val="BodyText"/>
        <w:spacing w:before="2"/>
        <w:rPr>
          <w:rFonts w:ascii="Consolas"/>
          <w:sz w:val="20"/>
        </w:rPr>
      </w:pPr>
    </w:p>
    <w:p>
      <w:pPr>
        <w:pStyle w:val="BodyText"/>
        <w:spacing w:line="276" w:lineRule="auto" w:before="1"/>
        <w:ind w:left="220" w:right="412"/>
      </w:pPr>
      <w:r>
        <w:rPr/>
        <w:t>This shows the new sheet, sheetId 4, is added to the workbook. The custom view (rcv) for the user is updated as a new sheet was added.</w:t>
      </w:r>
    </w:p>
    <w:p>
      <w:pPr>
        <w:pStyle w:val="BodyText"/>
        <w:spacing w:before="5"/>
        <w:rPr>
          <w:sz w:val="1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1 header (Header)" w:id="1058"/>
      <w:bookmarkEnd w:id="1058"/>
      <w:r>
        <w:rPr/>
      </w:r>
      <w:bookmarkStart w:name="_bookmark351" w:id="1059"/>
      <w:bookmarkEnd w:id="1059"/>
      <w:r>
        <w:rPr/>
      </w:r>
      <w:bookmarkStart w:name="_bookmark351" w:id="1060"/>
      <w:bookmarkEnd w:id="1060"/>
      <w:r>
        <w:rPr>
          <w:color w:val="4F81BC"/>
        </w:rPr>
        <w:t>hea</w:t>
      </w:r>
      <w:r>
        <w:rPr>
          <w:color w:val="4F81BC"/>
        </w:rPr>
        <w:t>der</w:t>
      </w:r>
      <w:r>
        <w:rPr>
          <w:color w:val="4F81BC"/>
          <w:spacing w:val="-2"/>
        </w:rPr>
        <w:t> </w:t>
      </w:r>
      <w:r>
        <w:rPr>
          <w:color w:val="4F81BC"/>
        </w:rPr>
        <w:t>(Header)</w:t>
      </w:r>
    </w:p>
    <w:p>
      <w:pPr>
        <w:pStyle w:val="BodyText"/>
        <w:spacing w:line="276" w:lineRule="auto" w:before="119"/>
        <w:ind w:left="220" w:right="574"/>
      </w:pPr>
      <w:r>
        <w:rPr/>
        <w:t>This element is essentially a table that contains metadata about a list of specific changes that have taken place for this workbook. It lists when the changes were made, who made them, and the relationship IDs so that the log detailing the specific change can be found. If tracking changes, or sharing workbooks, are enabled, then changes are persisted on the Save event, or at a specified time interval. A </w:t>
      </w:r>
      <w:r>
        <w:rPr>
          <w:rFonts w:ascii="Cambria"/>
        </w:rPr>
        <w:t>header </w:t>
      </w:r>
      <w:r>
        <w:rPr/>
        <w:t>is created for each set of changes.</w:t>
      </w:r>
    </w:p>
    <w:p>
      <w:pPr>
        <w:spacing w:after="0" w:line="276" w:lineRule="auto"/>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484"/>
              <w:rPr>
                <w:sz w:val="22"/>
              </w:rPr>
            </w:pPr>
            <w:r>
              <w:rPr>
                <w:rFonts w:ascii="Cambria"/>
                <w:sz w:val="22"/>
              </w:rPr>
              <w:t>dateTime </w:t>
            </w:r>
            <w:r>
              <w:rPr>
                <w:sz w:val="22"/>
              </w:rPr>
              <w:t>(Date Time)</w:t>
            </w:r>
          </w:p>
        </w:tc>
        <w:tc>
          <w:tcPr>
            <w:tcW w:w="8250" w:type="dxa"/>
          </w:tcPr>
          <w:p>
            <w:pPr>
              <w:pStyle w:val="TableParagraph"/>
              <w:rPr>
                <w:sz w:val="22"/>
              </w:rPr>
            </w:pPr>
            <w:r>
              <w:rPr>
                <w:sz w:val="22"/>
              </w:rPr>
              <w:t>The date and time when this set of revisions was saved.</w:t>
            </w:r>
          </w:p>
          <w:p>
            <w:pPr>
              <w:pStyle w:val="TableParagraph"/>
              <w:spacing w:before="4"/>
              <w:ind w:left="0"/>
              <w:rPr>
                <w:rFonts w:ascii="Times New Roman"/>
                <w:sz w:val="23"/>
              </w:rPr>
            </w:pPr>
          </w:p>
          <w:p>
            <w:pPr>
              <w:pStyle w:val="TableParagraph"/>
              <w:spacing w:before="0"/>
              <w:ind w:right="298"/>
              <w:rPr>
                <w:sz w:val="22"/>
              </w:rPr>
            </w:pPr>
            <w:r>
              <w:rPr>
                <w:sz w:val="22"/>
              </w:rPr>
              <w:t>[</w:t>
            </w:r>
            <w:r>
              <w:rPr>
                <w:i/>
                <w:sz w:val="22"/>
              </w:rPr>
              <w:t>Note</w:t>
            </w:r>
            <w:r>
              <w:rPr>
                <w:sz w:val="22"/>
              </w:rPr>
              <w:t>: This can happen when the user explicitly saves, or the save can occur due to a time interval, specified in the spreadsheet application, elapsing. </w:t>
            </w:r>
            <w:r>
              <w:rPr>
                <w:i/>
                <w:sz w:val="22"/>
              </w:rPr>
              <w:t>end note</w:t>
            </w:r>
            <w:r>
              <w:rPr>
                <w:sz w:val="22"/>
              </w:rPr>
              <w:t>]</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dateTime</w:t>
            </w:r>
          </w:p>
          <w:p>
            <w:pPr>
              <w:pStyle w:val="TableParagraph"/>
              <w:spacing w:before="0"/>
              <w:rPr>
                <w:sz w:val="22"/>
              </w:rPr>
            </w:pPr>
            <w:r>
              <w:rPr>
                <w:sz w:val="22"/>
              </w:rPr>
              <w:t>datatype.</w:t>
            </w:r>
          </w:p>
        </w:tc>
      </w:tr>
      <w:tr>
        <w:trPr>
          <w:trHeight w:val="892" w:hRule="atLeast"/>
        </w:trPr>
        <w:tc>
          <w:tcPr>
            <w:tcW w:w="2062" w:type="dxa"/>
          </w:tcPr>
          <w:p>
            <w:pPr>
              <w:pStyle w:val="TableParagraph"/>
              <w:rPr>
                <w:sz w:val="22"/>
              </w:rPr>
            </w:pPr>
            <w:r>
              <w:rPr>
                <w:rFonts w:ascii="Cambria"/>
                <w:sz w:val="22"/>
              </w:rPr>
              <w:t>guid </w:t>
            </w:r>
            <w:r>
              <w:rPr>
                <w:sz w:val="22"/>
              </w:rPr>
              <w:t>(GUID)</w:t>
            </w:r>
          </w:p>
        </w:tc>
        <w:tc>
          <w:tcPr>
            <w:tcW w:w="8250" w:type="dxa"/>
          </w:tcPr>
          <w:p>
            <w:pPr>
              <w:pStyle w:val="TableParagraph"/>
              <w:rPr>
                <w:sz w:val="22"/>
              </w:rPr>
            </w:pPr>
            <w:r>
              <w:rPr>
                <w:sz w:val="22"/>
              </w:rPr>
              <w:t>A globally unique identifier for this set of revisions.</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598" w:hRule="atLeast"/>
        </w:trPr>
        <w:tc>
          <w:tcPr>
            <w:tcW w:w="2062" w:type="dxa"/>
            <w:tcBorders>
              <w:bottom w:val="nil"/>
            </w:tcBorders>
          </w:tcPr>
          <w:p>
            <w:pPr>
              <w:pStyle w:val="TableParagraph"/>
              <w:rPr>
                <w:sz w:val="22"/>
              </w:rPr>
            </w:pPr>
            <w:r>
              <w:rPr>
                <w:rFonts w:ascii="Cambria"/>
                <w:sz w:val="22"/>
              </w:rPr>
              <w:t>id </w:t>
            </w:r>
            <w:r>
              <w:rPr>
                <w:sz w:val="22"/>
              </w:rPr>
              <w:t>(Relationship ID)</w:t>
            </w:r>
          </w:p>
        </w:tc>
        <w:tc>
          <w:tcPr>
            <w:tcW w:w="8250" w:type="dxa"/>
            <w:tcBorders>
              <w:bottom w:val="nil"/>
            </w:tcBorders>
          </w:tcPr>
          <w:p>
            <w:pPr>
              <w:pStyle w:val="TableParagraph"/>
              <w:ind w:right="380"/>
              <w:rPr>
                <w:sz w:val="22"/>
              </w:rPr>
            </w:pPr>
            <w:r>
              <w:rPr>
                <w:sz w:val="22"/>
              </w:rPr>
              <w:t>This is the ID that is used to find the corresponding log record of the changes made for this h</w:t>
            </w:r>
            <w:r>
              <w:rPr>
                <w:rFonts w:ascii="Cambria"/>
                <w:sz w:val="22"/>
              </w:rPr>
              <w:t>eader</w:t>
            </w:r>
            <w:r>
              <w:rPr>
                <w:sz w:val="22"/>
              </w:rPr>
              <w:t>.</w:t>
            </w:r>
          </w:p>
        </w:tc>
      </w:tr>
      <w:tr>
        <w:trPr>
          <w:trHeight w:val="1341" w:hRule="atLeast"/>
        </w:trPr>
        <w:tc>
          <w:tcPr>
            <w:tcW w:w="2062" w:type="dxa"/>
            <w:tcBorders>
              <w:top w:val="nil"/>
              <w:bottom w:val="nil"/>
            </w:tcBorders>
          </w:tcPr>
          <w:p>
            <w:pPr>
              <w:pStyle w:val="TableParagraph"/>
              <w:spacing w:line="249" w:lineRule="exact" w:before="0"/>
              <w:rPr>
                <w:sz w:val="22"/>
              </w:rPr>
            </w:pPr>
            <w:r>
              <w:rPr>
                <w:sz w:val="22"/>
              </w:rPr>
              <w:t>Namespace:</w:t>
            </w:r>
          </w:p>
          <w:p>
            <w:pPr>
              <w:pStyle w:val="TableParagraph"/>
              <w:spacing w:before="3"/>
              <w:ind w:right="153"/>
              <w:jc w:val="both"/>
              <w:rPr>
                <w:rFonts w:ascii="Cambria"/>
                <w:sz w:val="22"/>
              </w:rPr>
            </w:pPr>
            <w:hyperlink r:id="rId18">
              <w:r>
                <w:rPr>
                  <w:rFonts w:ascii="Cambria"/>
                  <w:sz w:val="22"/>
                </w:rPr>
                <w:t>http://purl.oclc.or</w:t>
              </w:r>
            </w:hyperlink>
            <w:r>
              <w:rPr>
                <w:rFonts w:ascii="Cambria"/>
                <w:sz w:val="22"/>
              </w:rPr>
              <w:t> g/ooxml/officeDoc ument/relationshi ps</w:t>
            </w:r>
          </w:p>
        </w:tc>
        <w:tc>
          <w:tcPr>
            <w:tcW w:w="8250" w:type="dxa"/>
            <w:tcBorders>
              <w:top w:val="nil"/>
              <w:bottom w:val="nil"/>
            </w:tcBorders>
          </w:tcPr>
          <w:p>
            <w:pPr>
              <w:pStyle w:val="TableParagraph"/>
              <w:spacing w:before="9"/>
              <w:ind w:left="0"/>
              <w:rPr>
                <w:rFonts w:ascii="Times New Roman"/>
                <w:sz w:val="21"/>
              </w:rPr>
            </w:pPr>
          </w:p>
          <w:p>
            <w:pPr>
              <w:pStyle w:val="TableParagraph"/>
              <w:spacing w:line="237" w:lineRule="auto" w:before="0"/>
              <w:ind w:right="346"/>
              <w:rPr>
                <w:sz w:val="22"/>
              </w:rPr>
            </w:pPr>
            <w:r>
              <w:rPr>
                <w:sz w:val="22"/>
              </w:rPr>
              <w:t>Use the corresponding relationship expressed in the revisionHeaders part to locate the log record that lists the specific changes.</w:t>
            </w:r>
          </w:p>
          <w:p>
            <w:pPr>
              <w:pStyle w:val="TableParagraph"/>
              <w:spacing w:before="6"/>
              <w:ind w:left="0"/>
              <w:rPr>
                <w:rFonts w:ascii="Times New Roman"/>
                <w:sz w:val="23"/>
              </w:rPr>
            </w:pPr>
          </w:p>
          <w:p>
            <w:pPr>
              <w:pStyle w:val="TableParagraph"/>
              <w:spacing w:before="0"/>
              <w:rPr>
                <w:sz w:val="22"/>
              </w:rPr>
            </w:pPr>
            <w:r>
              <w:rPr>
                <w:sz w:val="22"/>
              </w:rPr>
              <w:t>The possible values for this attribute are defined by the </w:t>
            </w:r>
            <w:r>
              <w:rPr>
                <w:rFonts w:ascii="Cambria"/>
                <w:sz w:val="22"/>
              </w:rPr>
              <w:t>ST_RelationshipId </w:t>
            </w:r>
            <w:r>
              <w:rPr>
                <w:sz w:val="22"/>
              </w:rPr>
              <w:t>simple type</w:t>
            </w:r>
          </w:p>
        </w:tc>
      </w:tr>
      <w:tr>
        <w:trPr>
          <w:trHeight w:val="295"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line="249" w:lineRule="exact" w:before="0"/>
              <w:rPr>
                <w:sz w:val="22"/>
              </w:rPr>
            </w:pPr>
            <w:r>
              <w:rPr>
                <w:sz w:val="22"/>
              </w:rPr>
              <w:t>(§22.8.2.1).</w:t>
            </w:r>
          </w:p>
        </w:tc>
      </w:tr>
      <w:tr>
        <w:trPr>
          <w:trHeight w:val="1965" w:hRule="atLeast"/>
        </w:trPr>
        <w:tc>
          <w:tcPr>
            <w:tcW w:w="2062" w:type="dxa"/>
          </w:tcPr>
          <w:p>
            <w:pPr>
              <w:pStyle w:val="TableParagraph"/>
              <w:ind w:right="686"/>
              <w:rPr>
                <w:sz w:val="22"/>
              </w:rPr>
            </w:pPr>
            <w:r>
              <w:rPr>
                <w:rFonts w:ascii="Cambria"/>
                <w:sz w:val="22"/>
              </w:rPr>
              <w:t>maxRId </w:t>
            </w:r>
            <w:r>
              <w:rPr>
                <w:sz w:val="22"/>
              </w:rPr>
              <w:t>(Max Revision Id)</w:t>
            </w:r>
          </w:p>
        </w:tc>
        <w:tc>
          <w:tcPr>
            <w:tcW w:w="8250" w:type="dxa"/>
          </w:tcPr>
          <w:p>
            <w:pPr>
              <w:pStyle w:val="TableParagraph"/>
              <w:rPr>
                <w:sz w:val="22"/>
              </w:rPr>
            </w:pPr>
            <w:r>
              <w:rPr>
                <w:sz w:val="22"/>
              </w:rPr>
              <w:t>The highest revision Id that belongs to this header.</w:t>
            </w:r>
          </w:p>
          <w:p>
            <w:pPr>
              <w:pStyle w:val="TableParagraph"/>
              <w:spacing w:before="4"/>
              <w:ind w:left="0"/>
              <w:rPr>
                <w:rFonts w:ascii="Times New Roman"/>
                <w:sz w:val="23"/>
              </w:rPr>
            </w:pPr>
          </w:p>
          <w:p>
            <w:pPr>
              <w:pStyle w:val="TableParagraph"/>
              <w:spacing w:before="0"/>
              <w:ind w:right="318"/>
              <w:rPr>
                <w:sz w:val="22"/>
              </w:rPr>
            </w:pPr>
            <w:r>
              <w:rPr>
                <w:sz w:val="22"/>
              </w:rPr>
              <w:t>[</w:t>
            </w:r>
            <w:r>
              <w:rPr>
                <w:i/>
                <w:sz w:val="22"/>
              </w:rPr>
              <w:t>Note</w:t>
            </w:r>
            <w:r>
              <w:rPr>
                <w:sz w:val="22"/>
              </w:rPr>
              <w:t>: This can be used when, given a revision ID, the spreadsheet application needs to determine which revision log to access. </w:t>
            </w:r>
            <w:r>
              <w:rPr>
                <w:i/>
                <w:sz w:val="22"/>
              </w:rPr>
              <w:t>end note</w:t>
            </w:r>
            <w:r>
              <w:rPr>
                <w:sz w:val="22"/>
              </w:rPr>
              <w:t>]</w:t>
            </w:r>
          </w:p>
          <w:p>
            <w:pPr>
              <w:pStyle w:val="TableParagraph"/>
              <w:spacing w:before="5"/>
              <w:ind w:left="0"/>
              <w:rPr>
                <w:rFonts w:ascii="Times New Roman"/>
                <w:sz w:val="23"/>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8" w:lineRule="exact" w:before="0"/>
              <w:rPr>
                <w:sz w:val="22"/>
              </w:rPr>
            </w:pPr>
            <w:r>
              <w:rPr>
                <w:sz w:val="22"/>
              </w:rPr>
              <w:t>datatype.</w:t>
            </w:r>
          </w:p>
        </w:tc>
      </w:tr>
      <w:tr>
        <w:trPr>
          <w:trHeight w:val="1967" w:hRule="atLeast"/>
        </w:trPr>
        <w:tc>
          <w:tcPr>
            <w:tcW w:w="2062" w:type="dxa"/>
          </w:tcPr>
          <w:p>
            <w:pPr>
              <w:pStyle w:val="TableParagraph"/>
              <w:ind w:right="334"/>
              <w:rPr>
                <w:sz w:val="22"/>
              </w:rPr>
            </w:pPr>
            <w:r>
              <w:rPr>
                <w:rFonts w:ascii="Cambria"/>
                <w:sz w:val="22"/>
              </w:rPr>
              <w:t>maxSheetId </w:t>
            </w:r>
            <w:r>
              <w:rPr>
                <w:sz w:val="22"/>
              </w:rPr>
              <w:t>(Last Sheet Id)</w:t>
            </w:r>
          </w:p>
        </w:tc>
        <w:tc>
          <w:tcPr>
            <w:tcW w:w="8250" w:type="dxa"/>
          </w:tcPr>
          <w:p>
            <w:pPr>
              <w:pStyle w:val="TableParagraph"/>
              <w:rPr>
                <w:sz w:val="22"/>
              </w:rPr>
            </w:pPr>
            <w:r>
              <w:rPr>
                <w:sz w:val="22"/>
              </w:rPr>
              <w:t>Internal identifier of the next available sheet in this workbook.</w:t>
            </w:r>
          </w:p>
          <w:p>
            <w:pPr>
              <w:pStyle w:val="TableParagraph"/>
              <w:spacing w:before="4"/>
              <w:ind w:left="0"/>
              <w:rPr>
                <w:rFonts w:ascii="Times New Roman"/>
                <w:sz w:val="23"/>
              </w:rPr>
            </w:pPr>
          </w:p>
          <w:p>
            <w:pPr>
              <w:pStyle w:val="TableParagraph"/>
              <w:spacing w:before="0"/>
              <w:ind w:right="158"/>
              <w:rPr>
                <w:sz w:val="22"/>
              </w:rPr>
            </w:pPr>
            <w:r>
              <w:rPr>
                <w:sz w:val="22"/>
              </w:rPr>
              <w:t>The numbering here is the index of the next available sheet in the workbook in a 1-based index system.</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5" w:hRule="atLeast"/>
        </w:trPr>
        <w:tc>
          <w:tcPr>
            <w:tcW w:w="2062" w:type="dxa"/>
          </w:tcPr>
          <w:p>
            <w:pPr>
              <w:pStyle w:val="TableParagraph"/>
              <w:ind w:right="233"/>
              <w:rPr>
                <w:sz w:val="22"/>
              </w:rPr>
            </w:pPr>
            <w:r>
              <w:rPr>
                <w:rFonts w:ascii="Cambria"/>
                <w:sz w:val="22"/>
              </w:rPr>
              <w:t>minRId </w:t>
            </w:r>
            <w:r>
              <w:rPr>
                <w:sz w:val="22"/>
              </w:rPr>
              <w:t>(Minimum Revision Id)</w:t>
            </w:r>
          </w:p>
        </w:tc>
        <w:tc>
          <w:tcPr>
            <w:tcW w:w="8250" w:type="dxa"/>
          </w:tcPr>
          <w:p>
            <w:pPr>
              <w:pStyle w:val="TableParagraph"/>
              <w:rPr>
                <w:sz w:val="22"/>
              </w:rPr>
            </w:pPr>
            <w:r>
              <w:rPr>
                <w:sz w:val="22"/>
              </w:rPr>
              <w:t>The lowest revision id that belongs to this header.</w:t>
            </w:r>
          </w:p>
          <w:p>
            <w:pPr>
              <w:pStyle w:val="TableParagraph"/>
              <w:spacing w:before="2"/>
              <w:ind w:left="0"/>
              <w:rPr>
                <w:rFonts w:ascii="Times New Roman"/>
                <w:sz w:val="23"/>
              </w:rPr>
            </w:pPr>
          </w:p>
          <w:p>
            <w:pPr>
              <w:pStyle w:val="TableParagraph"/>
              <w:spacing w:before="0"/>
              <w:ind w:right="351"/>
              <w:rPr>
                <w:sz w:val="22"/>
              </w:rPr>
            </w:pPr>
            <w:r>
              <w:rPr>
                <w:sz w:val="22"/>
              </w:rPr>
              <w:t>[</w:t>
            </w:r>
            <w:r>
              <w:rPr>
                <w:i/>
                <w:sz w:val="22"/>
              </w:rPr>
              <w:t>Note</w:t>
            </w:r>
            <w:r>
              <w:rPr>
                <w:sz w:val="22"/>
              </w:rPr>
              <w:t>: this can be used when, given a revision ID, the spreadsheet application needs to determine which revision log to access. </w:t>
            </w:r>
            <w:r>
              <w:rPr>
                <w:i/>
                <w:sz w:val="22"/>
              </w:rPr>
              <w:t>end note</w:t>
            </w:r>
            <w:r>
              <w:rPr>
                <w:sz w:val="22"/>
              </w:rPr>
              <w:t>]</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ind w:right="426"/>
              <w:rPr>
                <w:sz w:val="22"/>
              </w:rPr>
            </w:pPr>
            <w:r>
              <w:rPr>
                <w:rFonts w:ascii="Cambria"/>
                <w:sz w:val="22"/>
              </w:rPr>
              <w:t>userName </w:t>
            </w:r>
            <w:r>
              <w:rPr>
                <w:sz w:val="22"/>
              </w:rPr>
              <w:t>(User Name)</w:t>
            </w:r>
          </w:p>
        </w:tc>
        <w:tc>
          <w:tcPr>
            <w:tcW w:w="8250" w:type="dxa"/>
          </w:tcPr>
          <w:p>
            <w:pPr>
              <w:pStyle w:val="TableParagraph"/>
              <w:rPr>
                <w:sz w:val="22"/>
              </w:rPr>
            </w:pPr>
            <w:r>
              <w:rPr>
                <w:sz w:val="22"/>
              </w:rPr>
              <w:t>A string representing the name of the user making the revision..</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spacing w:after="0"/>
        <w:rPr>
          <w:sz w:val="22"/>
        </w:rPr>
        <w:sectPr>
          <w:pgSz w:w="12240" w:h="15840"/>
          <w:pgMar w:header="763" w:footer="746" w:top="1340" w:bottom="940" w:left="860" w:right="700"/>
        </w:sectPr>
      </w:pPr>
    </w:p>
    <w:p>
      <w:pPr>
        <w:pStyle w:val="BodyText"/>
        <w:spacing w:before="90"/>
        <w:ind w:left="220"/>
      </w:pPr>
      <w:r>
        <w:rPr/>
        <w:t>[</w:t>
      </w:r>
      <w:r>
        <w:rPr>
          <w:i/>
        </w:rPr>
        <w:t>Note</w:t>
      </w:r>
      <w:r>
        <w:rPr/>
        <w:t>: The W3C XML Schema definition of this element’s content model (</w:t>
      </w:r>
      <w:r>
        <w:rPr>
          <w:color w:val="5F5F5F"/>
          <w:u w:val="single" w:color="5F5F5F"/>
        </w:rPr>
        <w:t>CT_RevisionHeader</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2 headers (Revision Headers)" w:id="1061"/>
      <w:bookmarkEnd w:id="1061"/>
      <w:r>
        <w:rPr/>
      </w:r>
      <w:bookmarkStart w:name="_bookmark352" w:id="1062"/>
      <w:bookmarkEnd w:id="1062"/>
      <w:r>
        <w:rPr/>
      </w:r>
      <w:bookmarkStart w:name="_bookmark352" w:id="1063"/>
      <w:bookmarkEnd w:id="1063"/>
      <w:r>
        <w:rPr>
          <w:color w:val="4F81BC"/>
        </w:rPr>
        <w:t>hea</w:t>
      </w:r>
      <w:r>
        <w:rPr>
          <w:color w:val="4F81BC"/>
        </w:rPr>
        <w:t>ders (Revision</w:t>
      </w:r>
      <w:r>
        <w:rPr>
          <w:color w:val="4F81BC"/>
          <w:spacing w:val="-3"/>
        </w:rPr>
        <w:t> </w:t>
      </w:r>
      <w:r>
        <w:rPr>
          <w:color w:val="4F81BC"/>
        </w:rPr>
        <w:t>Headers)</w:t>
      </w:r>
    </w:p>
    <w:p>
      <w:pPr>
        <w:pStyle w:val="BodyText"/>
        <w:spacing w:before="121"/>
        <w:ind w:left="220"/>
      </w:pPr>
      <w:r>
        <w:rPr/>
        <w:t>This element represents the list of revision headers.</w:t>
      </w:r>
    </w:p>
    <w:p>
      <w:pPr>
        <w:pStyle w:val="BodyText"/>
        <w:spacing w:before="6"/>
        <w:rPr>
          <w:sz w:val="19"/>
        </w:rPr>
      </w:pPr>
    </w:p>
    <w:p>
      <w:pPr>
        <w:pStyle w:val="BodyText"/>
        <w:spacing w:line="276" w:lineRule="auto"/>
        <w:ind w:left="220" w:right="503"/>
      </w:pPr>
      <w:r>
        <w:rPr/>
        <w:t>This section contains many references to history, versions, and revisions, and it is helpful to clarify the relationships here. In general, a series of changes (revisions) can be made to a spreadsheet. When a batch of those revisions is saved to disk, the version number of the spreadsheet is incremented. The batch of changes is saved to the revision history, which is persisted on disk with the file in the form of different log files and headers.</w:t>
      </w:r>
    </w:p>
    <w:p>
      <w:pPr>
        <w:pStyle w:val="BodyText"/>
        <w:spacing w:before="5"/>
        <w:rPr>
          <w:sz w:val="16"/>
        </w:rPr>
      </w:pPr>
    </w:p>
    <w:p>
      <w:pPr>
        <w:pStyle w:val="BodyText"/>
        <w:spacing w:line="276" w:lineRule="auto"/>
        <w:ind w:left="220" w:right="787"/>
      </w:pPr>
      <w:r>
        <w:rPr/>
        <w:t>There are some attributes that deal with history which might seem redundant (such as </w:t>
      </w:r>
      <w:r>
        <w:rPr>
          <w:rFonts w:ascii="Consolas"/>
          <w:sz w:val="20"/>
        </w:rPr>
        <w:t>diskRevisions</w:t>
      </w:r>
      <w:r>
        <w:rPr/>
        <w:t>, and </w:t>
      </w:r>
      <w:r>
        <w:rPr>
          <w:rFonts w:ascii="Consolas"/>
          <w:sz w:val="20"/>
        </w:rPr>
        <w:t>history</w:t>
      </w:r>
      <w:r>
        <w:rPr/>
        <w:t>, among others) - these are there for backwards compatibility with older versions of spreadsheet applications and do not need to be used for creating new files.</w:t>
      </w:r>
    </w:p>
    <w:p>
      <w:pPr>
        <w:pStyle w:val="BodyText"/>
        <w:spacing w:before="8"/>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131"/>
              <w:rPr>
                <w:sz w:val="22"/>
              </w:rPr>
            </w:pPr>
            <w:r>
              <w:rPr>
                <w:rFonts w:ascii="Cambria"/>
                <w:sz w:val="22"/>
              </w:rPr>
              <w:t>diskRevisions </w:t>
            </w:r>
            <w:r>
              <w:rPr>
                <w:sz w:val="22"/>
              </w:rPr>
              <w:t>(Disk Revisions)</w:t>
            </w:r>
          </w:p>
        </w:tc>
        <w:tc>
          <w:tcPr>
            <w:tcW w:w="8250" w:type="dxa"/>
          </w:tcPr>
          <w:p>
            <w:pPr>
              <w:pStyle w:val="TableParagraph"/>
              <w:rPr>
                <w:sz w:val="22"/>
              </w:rPr>
            </w:pPr>
            <w:r>
              <w:rPr>
                <w:sz w:val="22"/>
              </w:rPr>
              <w:t>A Boolean value indicating that this shared workbook file contains revisions. </w:t>
            </w:r>
            <w:r>
              <w:rPr>
                <w:rFonts w:ascii="Consolas"/>
                <w:sz w:val="22"/>
              </w:rPr>
              <w:t>True</w:t>
            </w:r>
            <w:r>
              <w:rPr>
                <w:rFonts w:ascii="Consolas"/>
                <w:spacing w:val="-90"/>
                <w:sz w:val="22"/>
              </w:rPr>
              <w:t> </w:t>
            </w:r>
            <w:r>
              <w:rPr>
                <w:sz w:val="22"/>
              </w:rPr>
              <w:t>when the workbook does have revisions, </w:t>
            </w:r>
            <w:r>
              <w:rPr>
                <w:rFonts w:ascii="Consolas"/>
                <w:sz w:val="22"/>
              </w:rPr>
              <w:t>false</w:t>
            </w:r>
            <w:r>
              <w:rPr>
                <w:rFonts w:ascii="Consolas"/>
                <w:spacing w:val="-73"/>
                <w:sz w:val="22"/>
              </w:rPr>
              <w:t> </w:t>
            </w:r>
            <w:r>
              <w:rPr>
                <w:sz w:val="22"/>
              </w:rPr>
              <w:t>otherwise.</w:t>
            </w:r>
          </w:p>
          <w:p>
            <w:pPr>
              <w:pStyle w:val="TableParagraph"/>
              <w:spacing w:before="0"/>
              <w:ind w:left="0"/>
              <w:rPr>
                <w:sz w:val="22"/>
              </w:rPr>
            </w:pPr>
          </w:p>
          <w:p>
            <w:pPr>
              <w:pStyle w:val="TableParagraph"/>
              <w:spacing w:before="0"/>
              <w:rPr>
                <w:sz w:val="22"/>
              </w:rPr>
            </w:pPr>
            <w:r>
              <w:rPr>
                <w:sz w:val="22"/>
              </w:rPr>
              <w:t>[</w:t>
            </w:r>
            <w:r>
              <w:rPr>
                <w:i/>
                <w:sz w:val="22"/>
              </w:rPr>
              <w:t>Note</w:t>
            </w:r>
            <w:r>
              <w:rPr>
                <w:sz w:val="22"/>
              </w:rPr>
              <w:t>: this attribute is used for backwards compatibility. </w:t>
            </w:r>
            <w:r>
              <w:rPr>
                <w:i/>
                <w:sz w:val="22"/>
              </w:rPr>
              <w:t>end note</w:t>
            </w:r>
            <w:r>
              <w:rPr>
                <w:sz w:val="22"/>
              </w:rPr>
              <w:t>]</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ind w:right="128"/>
              <w:rPr>
                <w:sz w:val="22"/>
              </w:rPr>
            </w:pPr>
            <w:r>
              <w:rPr>
                <w:rFonts w:ascii="Cambria"/>
                <w:sz w:val="22"/>
              </w:rPr>
              <w:t>exclusive </w:t>
            </w:r>
            <w:r>
              <w:rPr>
                <w:sz w:val="22"/>
              </w:rPr>
              <w:t>(Exclusive Mode)</w:t>
            </w:r>
          </w:p>
        </w:tc>
        <w:tc>
          <w:tcPr>
            <w:tcW w:w="8250" w:type="dxa"/>
          </w:tcPr>
          <w:p>
            <w:pPr>
              <w:pStyle w:val="TableParagraph"/>
              <w:rPr>
                <w:sz w:val="22"/>
              </w:rPr>
            </w:pPr>
            <w:r>
              <w:rPr>
                <w:sz w:val="22"/>
              </w:rPr>
              <w:t>A Boolean value indicating that this shared workbook is in exclusive mode.</w:t>
            </w:r>
          </w:p>
          <w:p>
            <w:pPr>
              <w:pStyle w:val="TableParagraph"/>
              <w:spacing w:before="0"/>
              <w:ind w:left="0"/>
              <w:rPr>
                <w:sz w:val="22"/>
              </w:rPr>
            </w:pPr>
          </w:p>
          <w:p>
            <w:pPr>
              <w:pStyle w:val="TableParagraph"/>
              <w:spacing w:before="1"/>
              <w:ind w:right="300"/>
              <w:rPr>
                <w:sz w:val="22"/>
              </w:rPr>
            </w:pPr>
            <w:r>
              <w:rPr>
                <w:sz w:val="22"/>
              </w:rPr>
              <w:t>A workbook is in exclusive mode when a user has a lock on it for appending revisions to the file.</w:t>
            </w:r>
          </w:p>
          <w:p>
            <w:pPr>
              <w:pStyle w:val="TableParagraph"/>
              <w:spacing w:before="0"/>
              <w:ind w:left="0"/>
              <w:rPr>
                <w:sz w:val="22"/>
              </w:rPr>
            </w:pPr>
          </w:p>
          <w:p>
            <w:pPr>
              <w:pStyle w:val="TableParagraph"/>
              <w:spacing w:before="0"/>
              <w:ind w:right="257"/>
              <w:rPr>
                <w:sz w:val="22"/>
              </w:rPr>
            </w:pPr>
            <w:r>
              <w:rPr>
                <w:sz w:val="22"/>
              </w:rPr>
              <w:t>[</w:t>
            </w:r>
            <w:r>
              <w:rPr>
                <w:i/>
                <w:sz w:val="22"/>
              </w:rPr>
              <w:t>Note</w:t>
            </w:r>
            <w:r>
              <w:rPr>
                <w:sz w:val="22"/>
              </w:rPr>
              <w:t>: This is used for backwards compatibility with older spreadsheet applications. </w:t>
            </w:r>
            <w:r>
              <w:rPr>
                <w:i/>
                <w:sz w:val="22"/>
              </w:rPr>
              <w:t>end </w:t>
            </w:r>
            <w:r>
              <w:rPr>
                <w:i/>
                <w:sz w:val="22"/>
              </w:rPr>
              <w:t>note</w:t>
            </w:r>
            <w:r>
              <w:rPr>
                <w:sz w:val="22"/>
              </w:rPr>
              <w:t>]</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234"/>
              <w:rPr>
                <w:sz w:val="22"/>
              </w:rPr>
            </w:pPr>
            <w:r>
              <w:rPr>
                <w:rFonts w:ascii="Cambria"/>
                <w:sz w:val="22"/>
              </w:rPr>
              <w:t>guid </w:t>
            </w:r>
            <w:r>
              <w:rPr>
                <w:sz w:val="22"/>
              </w:rPr>
              <w:t>(Last Revision GUID)</w:t>
            </w:r>
          </w:p>
        </w:tc>
        <w:tc>
          <w:tcPr>
            <w:tcW w:w="8250" w:type="dxa"/>
          </w:tcPr>
          <w:p>
            <w:pPr>
              <w:pStyle w:val="TableParagraph"/>
              <w:ind w:right="298"/>
              <w:rPr>
                <w:sz w:val="22"/>
              </w:rPr>
            </w:pPr>
            <w:r>
              <w:rPr>
                <w:sz w:val="22"/>
              </w:rPr>
              <w:t>The globally unique identifier of the last set of revisions. This shall match the GUID for the most recent </w:t>
            </w:r>
            <w:r>
              <w:rPr>
                <w:rFonts w:ascii="Cambria"/>
                <w:sz w:val="22"/>
              </w:rPr>
              <w:t>header</w:t>
            </w:r>
            <w:r>
              <w:rPr>
                <w:sz w:val="22"/>
              </w:rPr>
              <w:t>.</w:t>
            </w:r>
          </w:p>
          <w:p>
            <w:pPr>
              <w:pStyle w:val="TableParagraph"/>
              <w:spacing w:before="1"/>
              <w:ind w:left="0"/>
              <w:rPr>
                <w:sz w:val="22"/>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1965" w:hRule="atLeast"/>
        </w:trPr>
        <w:tc>
          <w:tcPr>
            <w:tcW w:w="2062" w:type="dxa"/>
          </w:tcPr>
          <w:p>
            <w:pPr>
              <w:pStyle w:val="TableParagraph"/>
              <w:rPr>
                <w:sz w:val="22"/>
              </w:rPr>
            </w:pPr>
            <w:r>
              <w:rPr>
                <w:rFonts w:ascii="Cambria"/>
                <w:sz w:val="22"/>
              </w:rPr>
              <w:t>history </w:t>
            </w:r>
            <w:r>
              <w:rPr>
                <w:sz w:val="22"/>
              </w:rPr>
              <w:t>(History)</w:t>
            </w:r>
          </w:p>
        </w:tc>
        <w:tc>
          <w:tcPr>
            <w:tcW w:w="8250" w:type="dxa"/>
          </w:tcPr>
          <w:p>
            <w:pPr>
              <w:pStyle w:val="TableParagraph"/>
              <w:ind w:right="106"/>
              <w:rPr>
                <w:sz w:val="22"/>
              </w:rPr>
            </w:pPr>
            <w:r>
              <w:rPr>
                <w:sz w:val="22"/>
              </w:rPr>
              <w:t>A Boolean value indicating that this shared workbook maintains a revision history. True if a history is maintained, false otherwise.</w:t>
            </w:r>
          </w:p>
          <w:p>
            <w:pPr>
              <w:pStyle w:val="TableParagraph"/>
              <w:spacing w:before="2"/>
              <w:ind w:left="0"/>
              <w:rPr>
                <w:sz w:val="22"/>
              </w:rPr>
            </w:pPr>
          </w:p>
          <w:p>
            <w:pPr>
              <w:pStyle w:val="TableParagraph"/>
              <w:spacing w:line="237" w:lineRule="auto" w:before="0"/>
              <w:ind w:right="257"/>
              <w:rPr>
                <w:sz w:val="22"/>
              </w:rPr>
            </w:pPr>
            <w:r>
              <w:rPr>
                <w:sz w:val="22"/>
              </w:rPr>
              <w:t>[</w:t>
            </w:r>
            <w:r>
              <w:rPr>
                <w:i/>
                <w:sz w:val="22"/>
              </w:rPr>
              <w:t>Note</w:t>
            </w:r>
            <w:r>
              <w:rPr>
                <w:sz w:val="22"/>
              </w:rPr>
              <w:t>: This is used for backwards compatibility with older spreadsheet applications. </w:t>
            </w:r>
            <w:r>
              <w:rPr>
                <w:i/>
                <w:sz w:val="22"/>
              </w:rPr>
              <w:t>end </w:t>
            </w:r>
            <w:r>
              <w:rPr>
                <w:i/>
                <w:sz w:val="22"/>
              </w:rPr>
              <w:t>note</w:t>
            </w:r>
            <w:r>
              <w:rPr>
                <w:sz w:val="22"/>
              </w:rPr>
              <w:t>]</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427" w:hRule="atLeast"/>
        </w:trPr>
        <w:tc>
          <w:tcPr>
            <w:tcW w:w="2062" w:type="dxa"/>
          </w:tcPr>
          <w:p>
            <w:pPr>
              <w:pStyle w:val="TableParagraph"/>
              <w:spacing w:line="237" w:lineRule="auto" w:before="45"/>
              <w:ind w:right="184"/>
              <w:rPr>
                <w:sz w:val="22"/>
              </w:rPr>
            </w:pPr>
            <w:r>
              <w:rPr>
                <w:rFonts w:ascii="Cambria"/>
                <w:sz w:val="22"/>
              </w:rPr>
              <w:t>keepChangeHistor y </w:t>
            </w:r>
            <w:r>
              <w:rPr>
                <w:sz w:val="22"/>
              </w:rPr>
              <w:t>(Keep Change History)</w:t>
            </w:r>
          </w:p>
        </w:tc>
        <w:tc>
          <w:tcPr>
            <w:tcW w:w="8250" w:type="dxa"/>
          </w:tcPr>
          <w:p>
            <w:pPr>
              <w:pStyle w:val="TableParagraph"/>
              <w:ind w:right="448"/>
              <w:rPr>
                <w:sz w:val="22"/>
              </w:rPr>
            </w:pPr>
            <w:r>
              <w:rPr>
                <w:sz w:val="22"/>
              </w:rPr>
              <w:t>A Boolean value indicating whether the revision history should be kept for this shared workbook. True if the history should be kept, false otherwise.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ind w:right="669"/>
              <w:rPr>
                <w:sz w:val="22"/>
              </w:rPr>
            </w:pPr>
            <w:r>
              <w:rPr>
                <w:rFonts w:ascii="Cambria"/>
                <w:sz w:val="22"/>
              </w:rPr>
              <w:t>lastGuid </w:t>
            </w:r>
            <w:r>
              <w:rPr>
                <w:sz w:val="22"/>
              </w:rPr>
              <w:t>(Last GUID)</w:t>
            </w:r>
          </w:p>
        </w:tc>
        <w:tc>
          <w:tcPr>
            <w:tcW w:w="8250" w:type="dxa"/>
          </w:tcPr>
          <w:p>
            <w:pPr>
              <w:pStyle w:val="TableParagraph"/>
              <w:rPr>
                <w:sz w:val="22"/>
              </w:rPr>
            </w:pPr>
            <w:r>
              <w:rPr>
                <w:sz w:val="22"/>
              </w:rPr>
              <w:t>Unique identifier of the last set of revisions that was saved into the file.</w:t>
            </w:r>
          </w:p>
          <w:p>
            <w:pPr>
              <w:pStyle w:val="TableParagraph"/>
              <w:spacing w:before="4"/>
              <w:ind w:left="0"/>
              <w:rPr>
                <w:rFonts w:ascii="Times New Roman"/>
                <w:sz w:val="23"/>
              </w:rPr>
            </w:pPr>
          </w:p>
          <w:p>
            <w:pPr>
              <w:pStyle w:val="TableParagraph"/>
              <w:spacing w:before="0"/>
              <w:ind w:right="233"/>
              <w:rPr>
                <w:sz w:val="22"/>
              </w:rPr>
            </w:pPr>
            <w:r>
              <w:rPr>
                <w:sz w:val="22"/>
              </w:rPr>
              <w:t>The spreadsheet application can have certain modes, such as a timed save mode, where the application doesn't do a full save, but instead just appends the most recent revision records. In cases like this, for a new user that opens such a file while it is being edited, the file that was loaded from disk only have the changes that were saved during a full save. To get the current state of the file which includes edits by other users, the spreadsheet application would need to apply all the revisions from </w:t>
            </w:r>
            <w:r>
              <w:rPr>
                <w:rFonts w:ascii="Consolas"/>
                <w:sz w:val="20"/>
              </w:rPr>
              <w:t>lastGuid</w:t>
            </w:r>
            <w:r>
              <w:rPr>
                <w:rFonts w:ascii="Consolas"/>
                <w:spacing w:val="-78"/>
                <w:sz w:val="20"/>
              </w:rPr>
              <w:t> </w:t>
            </w:r>
            <w:r>
              <w:rPr>
                <w:sz w:val="22"/>
              </w:rPr>
              <w:t>to </w:t>
            </w:r>
            <w:r>
              <w:rPr>
                <w:rFonts w:ascii="Consolas"/>
                <w:sz w:val="20"/>
              </w:rPr>
              <w:t>guid</w:t>
            </w:r>
            <w:r>
              <w:rPr>
                <w:sz w:val="22"/>
              </w:rPr>
              <w:t>.</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1430" w:hRule="atLeast"/>
        </w:trPr>
        <w:tc>
          <w:tcPr>
            <w:tcW w:w="2062" w:type="dxa"/>
          </w:tcPr>
          <w:p>
            <w:pPr>
              <w:pStyle w:val="TableParagraph"/>
              <w:spacing w:line="257" w:lineRule="exact" w:before="42"/>
              <w:rPr>
                <w:rFonts w:ascii="Cambria"/>
                <w:sz w:val="22"/>
              </w:rPr>
            </w:pPr>
            <w:r>
              <w:rPr>
                <w:rFonts w:ascii="Cambria"/>
                <w:sz w:val="22"/>
              </w:rPr>
              <w:t>preserveHistory</w:t>
            </w:r>
          </w:p>
          <w:p>
            <w:pPr>
              <w:pStyle w:val="TableParagraph"/>
              <w:spacing w:line="268" w:lineRule="exact" w:before="0"/>
              <w:rPr>
                <w:sz w:val="22"/>
              </w:rPr>
            </w:pPr>
            <w:r>
              <w:rPr>
                <w:sz w:val="22"/>
              </w:rPr>
              <w:t>(Preserve History)</w:t>
            </w:r>
          </w:p>
        </w:tc>
        <w:tc>
          <w:tcPr>
            <w:tcW w:w="8250" w:type="dxa"/>
          </w:tcPr>
          <w:p>
            <w:pPr>
              <w:pStyle w:val="TableParagraph"/>
              <w:ind w:right="352"/>
              <w:rPr>
                <w:sz w:val="22"/>
              </w:rPr>
            </w:pPr>
            <w:r>
              <w:rPr>
                <w:sz w:val="22"/>
              </w:rPr>
              <w:t>An integer representing the number of days the spreadsheet application shall keep the change history for this workbook.</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27" w:hRule="atLeast"/>
        </w:trPr>
        <w:tc>
          <w:tcPr>
            <w:tcW w:w="2062" w:type="dxa"/>
          </w:tcPr>
          <w:p>
            <w:pPr>
              <w:pStyle w:val="TableParagraph"/>
              <w:spacing w:line="256" w:lineRule="exact" w:before="42"/>
              <w:rPr>
                <w:rFonts w:ascii="Cambria"/>
                <w:sz w:val="22"/>
              </w:rPr>
            </w:pPr>
            <w:r>
              <w:rPr>
                <w:rFonts w:ascii="Cambria"/>
                <w:sz w:val="22"/>
              </w:rPr>
              <w:t>protected</w:t>
            </w:r>
          </w:p>
          <w:p>
            <w:pPr>
              <w:pStyle w:val="TableParagraph"/>
              <w:spacing w:line="267" w:lineRule="exact" w:before="0"/>
              <w:rPr>
                <w:sz w:val="22"/>
              </w:rPr>
            </w:pPr>
            <w:r>
              <w:rPr>
                <w:sz w:val="22"/>
              </w:rPr>
              <w:t>(Protected)</w:t>
            </w:r>
          </w:p>
        </w:tc>
        <w:tc>
          <w:tcPr>
            <w:tcW w:w="8250" w:type="dxa"/>
          </w:tcPr>
          <w:p>
            <w:pPr>
              <w:pStyle w:val="TableParagraph"/>
              <w:ind w:right="289"/>
              <w:rPr>
                <w:sz w:val="22"/>
              </w:rPr>
            </w:pPr>
            <w:r>
              <w:rPr>
                <w:sz w:val="22"/>
              </w:rPr>
              <w:t>A Boolean value indicating whether the change tracking in this shared workbook can be removed. True if the tracking can be removed, false otherwise.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ind w:right="96"/>
              <w:rPr>
                <w:sz w:val="22"/>
              </w:rPr>
            </w:pPr>
            <w:r>
              <w:rPr>
                <w:rFonts w:ascii="Cambria"/>
                <w:sz w:val="22"/>
              </w:rPr>
              <w:t>revisionId </w:t>
            </w:r>
            <w:r>
              <w:rPr>
                <w:sz w:val="22"/>
              </w:rPr>
              <w:t>(Revision Id)</w:t>
            </w:r>
          </w:p>
        </w:tc>
        <w:tc>
          <w:tcPr>
            <w:tcW w:w="8250" w:type="dxa"/>
          </w:tcPr>
          <w:p>
            <w:pPr>
              <w:pStyle w:val="TableParagraph"/>
              <w:rPr>
                <w:sz w:val="22"/>
              </w:rPr>
            </w:pPr>
            <w:r>
              <w:rPr>
                <w:sz w:val="22"/>
              </w:rPr>
              <w:t>The current revision number of this shared workbook.</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Pr>
          <w:p>
            <w:pPr>
              <w:pStyle w:val="TableParagraph"/>
              <w:ind w:right="534"/>
              <w:rPr>
                <w:sz w:val="22"/>
              </w:rPr>
            </w:pPr>
            <w:r>
              <w:rPr>
                <w:rFonts w:ascii="Cambria"/>
                <w:sz w:val="22"/>
              </w:rPr>
              <w:t>shared </w:t>
            </w:r>
            <w:r>
              <w:rPr>
                <w:sz w:val="22"/>
              </w:rPr>
              <w:t>(Shared Workbook)</w:t>
            </w:r>
          </w:p>
        </w:tc>
        <w:tc>
          <w:tcPr>
            <w:tcW w:w="8250" w:type="dxa"/>
          </w:tcPr>
          <w:p>
            <w:pPr>
              <w:pStyle w:val="TableParagraph"/>
              <w:rPr>
                <w:sz w:val="22"/>
              </w:rPr>
            </w:pPr>
            <w:r>
              <w:rPr>
                <w:sz w:val="22"/>
              </w:rPr>
              <w:t>A Boolean value indicating that this workbook is shared. True when the workbook is shared, false otherwise.</w:t>
            </w:r>
          </w:p>
          <w:p>
            <w:pPr>
              <w:pStyle w:val="TableParagraph"/>
              <w:spacing w:before="6"/>
              <w:ind w:left="0"/>
              <w:rPr>
                <w:rFonts w:ascii="Times New Roman"/>
                <w:sz w:val="23"/>
              </w:rPr>
            </w:pPr>
          </w:p>
          <w:p>
            <w:pPr>
              <w:pStyle w:val="TableParagraph"/>
              <w:spacing w:line="237" w:lineRule="auto" w:before="1"/>
              <w:ind w:right="257"/>
              <w:rPr>
                <w:sz w:val="22"/>
              </w:rPr>
            </w:pPr>
            <w:r>
              <w:rPr>
                <w:sz w:val="22"/>
              </w:rPr>
              <w:t>[</w:t>
            </w:r>
            <w:r>
              <w:rPr>
                <w:i/>
                <w:sz w:val="22"/>
              </w:rPr>
              <w:t>Note</w:t>
            </w:r>
            <w:r>
              <w:rPr>
                <w:sz w:val="22"/>
              </w:rPr>
              <w:t>: This is used for backwards compatibility with older spreadsheet applications. </w:t>
            </w:r>
            <w:r>
              <w:rPr>
                <w:i/>
                <w:sz w:val="22"/>
              </w:rPr>
              <w:t>end </w:t>
            </w:r>
            <w:r>
              <w:rPr>
                <w:i/>
                <w:sz w:val="22"/>
              </w:rPr>
              <w:t>note</w:t>
            </w:r>
            <w:r>
              <w:rPr>
                <w:sz w:val="22"/>
              </w:rPr>
              <w:t>]</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9" w:hRule="atLeast"/>
        </w:trPr>
        <w:tc>
          <w:tcPr>
            <w:tcW w:w="2062" w:type="dxa"/>
          </w:tcPr>
          <w:p>
            <w:pPr>
              <w:pStyle w:val="TableParagraph"/>
              <w:spacing w:line="256" w:lineRule="exact" w:before="42"/>
              <w:rPr>
                <w:rFonts w:ascii="Cambria"/>
                <w:sz w:val="22"/>
              </w:rPr>
            </w:pPr>
            <w:r>
              <w:rPr>
                <w:rFonts w:ascii="Cambria"/>
                <w:sz w:val="22"/>
              </w:rPr>
              <w:t>trackRevisions</w:t>
            </w:r>
          </w:p>
          <w:p>
            <w:pPr>
              <w:pStyle w:val="TableParagraph"/>
              <w:spacing w:line="267" w:lineRule="exact" w:before="0"/>
              <w:rPr>
                <w:sz w:val="22"/>
              </w:rPr>
            </w:pPr>
            <w:r>
              <w:rPr>
                <w:sz w:val="22"/>
              </w:rPr>
              <w:t>(Track Revisions)</w:t>
            </w:r>
          </w:p>
        </w:tc>
        <w:tc>
          <w:tcPr>
            <w:tcW w:w="8250" w:type="dxa"/>
          </w:tcPr>
          <w:p>
            <w:pPr>
              <w:pStyle w:val="TableParagraph"/>
              <w:rPr>
                <w:sz w:val="22"/>
              </w:rPr>
            </w:pPr>
            <w:r>
              <w:rPr>
                <w:sz w:val="22"/>
              </w:rPr>
              <w:t>A Boolean value indicating that revisions are tracked in this shared workbook. True when revisions are tracked, false otherwise.</w:t>
            </w:r>
          </w:p>
          <w:p>
            <w:pPr>
              <w:pStyle w:val="TableParagraph"/>
              <w:spacing w:before="4"/>
              <w:ind w:left="0"/>
              <w:rPr>
                <w:rFonts w:ascii="Times New Roman"/>
                <w:sz w:val="23"/>
              </w:rPr>
            </w:pPr>
          </w:p>
          <w:p>
            <w:pPr>
              <w:pStyle w:val="TableParagraph"/>
              <w:spacing w:before="0"/>
              <w:ind w:right="257"/>
              <w:rPr>
                <w:sz w:val="22"/>
              </w:rPr>
            </w:pPr>
            <w:r>
              <w:rPr>
                <w:sz w:val="22"/>
              </w:rPr>
              <w:t>[</w:t>
            </w:r>
            <w:r>
              <w:rPr>
                <w:i/>
                <w:sz w:val="22"/>
              </w:rPr>
              <w:t>Note</w:t>
            </w:r>
            <w:r>
              <w:rPr>
                <w:sz w:val="22"/>
              </w:rPr>
              <w:t>: This is used for backwards compatibility with older spreadsheet applications. </w:t>
            </w:r>
            <w:r>
              <w:rPr>
                <w:i/>
                <w:sz w:val="22"/>
              </w:rPr>
              <w:t>end </w:t>
            </w:r>
            <w:r>
              <w:rPr>
                <w:i/>
                <w:sz w:val="22"/>
              </w:rPr>
              <w:t>note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rPr>
                <w:sz w:val="22"/>
              </w:rPr>
            </w:pPr>
            <w:r>
              <w:rPr>
                <w:rFonts w:ascii="Cambria"/>
                <w:sz w:val="22"/>
              </w:rPr>
              <w:t>version </w:t>
            </w:r>
            <w:r>
              <w:rPr>
                <w:sz w:val="22"/>
              </w:rPr>
              <w:t>(Version)</w:t>
            </w:r>
          </w:p>
        </w:tc>
        <w:tc>
          <w:tcPr>
            <w:tcW w:w="8250" w:type="dxa"/>
          </w:tcPr>
          <w:p>
            <w:pPr>
              <w:pStyle w:val="TableParagraph"/>
              <w:rPr>
                <w:sz w:val="22"/>
              </w:rPr>
            </w:pPr>
            <w:r>
              <w:rPr>
                <w:sz w:val="22"/>
              </w:rPr>
              <w:t>An integer representing the current version of this shared workbook. The integer should begin counting from 1 for the first version.</w:t>
            </w:r>
          </w:p>
          <w:p>
            <w:pPr>
              <w:pStyle w:val="TableParagraph"/>
              <w:spacing w:before="2"/>
              <w:ind w:left="0"/>
              <w:rPr>
                <w:rFonts w:ascii="Times New Roman"/>
                <w:sz w:val="23"/>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CT_RevisionHeaders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1" w:after="0"/>
        <w:ind w:left="1732" w:right="0" w:hanging="1513"/>
        <w:jc w:val="left"/>
      </w:pPr>
      <w:bookmarkStart w:name="18.11.1.3 nc (New Cell Data)" w:id="1064"/>
      <w:bookmarkEnd w:id="1064"/>
      <w:r>
        <w:rPr/>
      </w:r>
      <w:bookmarkStart w:name="_bookmark353" w:id="1065"/>
      <w:bookmarkEnd w:id="1065"/>
      <w:r>
        <w:rPr/>
      </w:r>
      <w:bookmarkStart w:name="_bookmark353" w:id="1066"/>
      <w:bookmarkEnd w:id="1066"/>
      <w:r>
        <w:rPr>
          <w:color w:val="4F81BC"/>
        </w:rPr>
        <w:t>nc</w:t>
      </w:r>
      <w:r>
        <w:rPr>
          <w:color w:val="4F81BC"/>
        </w:rPr>
        <w:t> (New Cell</w:t>
      </w:r>
      <w:r>
        <w:rPr>
          <w:color w:val="4F81BC"/>
          <w:spacing w:val="-3"/>
        </w:rPr>
        <w:t> </w:t>
      </w:r>
      <w:r>
        <w:rPr>
          <w:color w:val="4F81BC"/>
        </w:rPr>
        <w:t>Data)</w:t>
      </w:r>
    </w:p>
    <w:p>
      <w:pPr>
        <w:pStyle w:val="BodyText"/>
        <w:spacing w:before="121"/>
        <w:ind w:left="220"/>
      </w:pPr>
      <w:r>
        <w:rPr/>
        <w:t>This element represents new cell data that was added to the worksheet.</w:t>
      </w:r>
    </w:p>
    <w:p>
      <w:pPr>
        <w:pStyle w:val="BodyText"/>
        <w:spacing w:before="5"/>
        <w:rPr>
          <w:sz w:val="19"/>
        </w:rPr>
      </w:pPr>
    </w:p>
    <w:p>
      <w:pPr>
        <w:pStyle w:val="BodyText"/>
        <w:spacing w:line="276" w:lineRule="auto" w:before="1"/>
        <w:ind w:left="220" w:right="487"/>
      </w:pPr>
      <w:r>
        <w:rPr/>
        <w:t>For most spreadsheet application purposes, only the data type and reference need to be used for revision tracking purposes. The rest of the cell properties can be written out, but are not necessarily needed as they can be recorded in other areas of the spreadsheet. For instance the </w:t>
      </w:r>
      <w:r>
        <w:rPr>
          <w:rFonts w:ascii="Cambria"/>
        </w:rPr>
        <w:t>&lt;rfmt&gt; </w:t>
      </w:r>
      <w:r>
        <w:rPr/>
        <w:t>element can be used to record style information instead of the </w:t>
      </w:r>
      <w:r>
        <w:rPr>
          <w:rFonts w:ascii="Consolas"/>
          <w:sz w:val="20"/>
        </w:rPr>
        <w:t>S (style index)</w:t>
      </w:r>
      <w:r>
        <w:rPr>
          <w:rFonts w:ascii="Consolas"/>
          <w:spacing w:val="-64"/>
          <w:sz w:val="20"/>
        </w:rPr>
        <w:t> </w:t>
      </w:r>
      <w:r>
        <w:rPr/>
        <w:t>attribute.</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267"/>
              <w:rPr>
                <w:sz w:val="22"/>
              </w:rPr>
            </w:pPr>
            <w:r>
              <w:rPr>
                <w:rFonts w:ascii="Cambria"/>
                <w:sz w:val="22"/>
              </w:rPr>
              <w:t>cm </w:t>
            </w:r>
            <w:r>
              <w:rPr>
                <w:sz w:val="22"/>
              </w:rPr>
              <w:t>(Cell Metadata Index)</w:t>
            </w:r>
          </w:p>
        </w:tc>
        <w:tc>
          <w:tcPr>
            <w:tcW w:w="8250" w:type="dxa"/>
          </w:tcPr>
          <w:p>
            <w:pPr>
              <w:pStyle w:val="TableParagraph"/>
              <w:ind w:right="207"/>
              <w:rPr>
                <w:sz w:val="22"/>
              </w:rPr>
            </w:pPr>
            <w:r>
              <w:rPr>
                <w:sz w:val="22"/>
              </w:rPr>
              <w:t>The zero-based index of the cell metadata record associated with this cell. Metadata information is found in the Metadata Part. Cell metadata is extra information stored at the cell level, and is attached to the cell (travels through moves, copy / paste, clear, etc). Cell metadata is not accessible via formula reference.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967" w:hRule="atLeast"/>
        </w:trPr>
        <w:tc>
          <w:tcPr>
            <w:tcW w:w="2062" w:type="dxa"/>
          </w:tcPr>
          <w:p>
            <w:pPr>
              <w:pStyle w:val="TableParagraph"/>
              <w:spacing w:before="42"/>
              <w:rPr>
                <w:sz w:val="22"/>
              </w:rPr>
            </w:pPr>
            <w:r>
              <w:rPr>
                <w:rFonts w:ascii="Cambria"/>
                <w:sz w:val="22"/>
              </w:rPr>
              <w:t>ph </w:t>
            </w:r>
            <w:r>
              <w:rPr>
                <w:sz w:val="22"/>
              </w:rPr>
              <w:t>(Show Phonetic)</w:t>
            </w:r>
          </w:p>
        </w:tc>
        <w:tc>
          <w:tcPr>
            <w:tcW w:w="8250" w:type="dxa"/>
          </w:tcPr>
          <w:p>
            <w:pPr>
              <w:pStyle w:val="TableParagraph"/>
              <w:spacing w:before="42"/>
              <w:ind w:right="214"/>
              <w:rPr>
                <w:sz w:val="22"/>
              </w:rPr>
            </w:pPr>
            <w:r>
              <w:rPr>
                <w:sz w:val="22"/>
              </w:rPr>
              <w:t>A Boolean value indicating if the spreadsheet application should show phonetic information. Phonetic information is displayed in the same cell across the top of the cell and serves as a 'hint' which indicates how the text should be pronounced. This should only be used for East Asian languages.</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An A1 style reference to the location of this cell</w:t>
            </w:r>
          </w:p>
          <w:p>
            <w:pPr>
              <w:pStyle w:val="TableParagraph"/>
              <w:spacing w:before="1"/>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161" w:hRule="atLeast"/>
        </w:trPr>
        <w:tc>
          <w:tcPr>
            <w:tcW w:w="2062" w:type="dxa"/>
          </w:tcPr>
          <w:p>
            <w:pPr>
              <w:pStyle w:val="TableParagraph"/>
              <w:rPr>
                <w:sz w:val="22"/>
              </w:rPr>
            </w:pPr>
            <w:r>
              <w:rPr>
                <w:rFonts w:ascii="Cambria"/>
                <w:sz w:val="22"/>
              </w:rPr>
              <w:t>s </w:t>
            </w:r>
            <w:r>
              <w:rPr>
                <w:sz w:val="22"/>
              </w:rPr>
              <w:t>(Style Index)</w:t>
            </w:r>
          </w:p>
        </w:tc>
        <w:tc>
          <w:tcPr>
            <w:tcW w:w="8250" w:type="dxa"/>
          </w:tcPr>
          <w:p>
            <w:pPr>
              <w:pStyle w:val="TableParagraph"/>
              <w:rPr>
                <w:sz w:val="22"/>
              </w:rPr>
            </w:pPr>
            <w:r>
              <w:rPr>
                <w:sz w:val="22"/>
              </w:rPr>
              <w:t>The index of this cell's style. Style records are stored in the Styles Part.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t </w:t>
            </w:r>
            <w:r>
              <w:rPr>
                <w:sz w:val="22"/>
              </w:rPr>
              <w:t>(Cell Data Type)</w:t>
            </w:r>
          </w:p>
        </w:tc>
        <w:tc>
          <w:tcPr>
            <w:tcW w:w="8250" w:type="dxa"/>
          </w:tcPr>
          <w:p>
            <w:pPr>
              <w:pStyle w:val="TableParagraph"/>
              <w:rPr>
                <w:sz w:val="22"/>
              </w:rPr>
            </w:pPr>
            <w:r>
              <w:rPr>
                <w:sz w:val="22"/>
              </w:rPr>
              <w:t>An enumeration representing the cell's data type.</w:t>
            </w:r>
          </w:p>
          <w:p>
            <w:pPr>
              <w:pStyle w:val="TableParagraph"/>
              <w:spacing w:before="0"/>
              <w:ind w:left="0"/>
              <w:rPr>
                <w:sz w:val="22"/>
              </w:rPr>
            </w:pPr>
          </w:p>
          <w:p>
            <w:pPr>
              <w:pStyle w:val="TableParagraph"/>
              <w:spacing w:before="0"/>
              <w:ind w:right="883"/>
              <w:rPr>
                <w:sz w:val="22"/>
              </w:rPr>
            </w:pPr>
            <w:r>
              <w:rPr>
                <w:sz w:val="22"/>
              </w:rPr>
              <w:t>The possible values for this attribute are defined by the </w:t>
            </w:r>
            <w:r>
              <w:rPr>
                <w:rFonts w:ascii="Cambria" w:hAnsi="Cambria"/>
                <w:sz w:val="22"/>
              </w:rPr>
              <w:t>ST_CellType </w:t>
            </w:r>
            <w:r>
              <w:rPr>
                <w:sz w:val="22"/>
              </w:rPr>
              <w:t>simple type </w:t>
            </w:r>
            <w:hyperlink w:history="true" w:anchor="_bookmark833">
              <w:r>
                <w:rPr>
                  <w:sz w:val="22"/>
                </w:rPr>
                <w:t>(§18.18.11</w:t>
              </w:r>
            </w:hyperlink>
            <w:r>
              <w:rPr>
                <w:sz w:val="22"/>
              </w:rPr>
              <w:t>).</w:t>
            </w:r>
          </w:p>
        </w:tc>
      </w:tr>
      <w:tr>
        <w:trPr>
          <w:trHeight w:val="1967" w:hRule="atLeast"/>
        </w:trPr>
        <w:tc>
          <w:tcPr>
            <w:tcW w:w="2062" w:type="dxa"/>
          </w:tcPr>
          <w:p>
            <w:pPr>
              <w:pStyle w:val="TableParagraph"/>
              <w:ind w:right="432"/>
              <w:rPr>
                <w:sz w:val="22"/>
              </w:rPr>
            </w:pPr>
            <w:r>
              <w:rPr>
                <w:rFonts w:ascii="Cambria"/>
                <w:sz w:val="22"/>
              </w:rPr>
              <w:t>vm </w:t>
            </w:r>
            <w:r>
              <w:rPr>
                <w:sz w:val="22"/>
              </w:rPr>
              <w:t>(Value Metadata Index)</w:t>
            </w:r>
          </w:p>
        </w:tc>
        <w:tc>
          <w:tcPr>
            <w:tcW w:w="8250" w:type="dxa"/>
          </w:tcPr>
          <w:p>
            <w:pPr>
              <w:pStyle w:val="TableParagraph"/>
              <w:ind w:right="292"/>
              <w:rPr>
                <w:sz w:val="22"/>
              </w:rPr>
            </w:pPr>
            <w:r>
              <w:rPr>
                <w:sz w:val="22"/>
              </w:rPr>
              <w:t>The zero-based index of the value metadata record associated with this cell's value. Metadata records are stored in the Metadata Part. Value metadata is extra information stored at the cell level, but associated with the value rather than the cell itself. Value metadata is accessible via formula reference.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7"/>
        <w:ind w:left="220"/>
      </w:pPr>
      <w:r>
        <w:rPr/>
        <w:t>[</w:t>
      </w:r>
      <w:r>
        <w:rPr>
          <w:i/>
        </w:rPr>
        <w:t>Note</w:t>
      </w:r>
      <w:r>
        <w:rPr/>
        <w:t>: The W3C XML Schema definition of this element’s content model (</w:t>
      </w:r>
      <w:r>
        <w:rPr>
          <w:color w:val="5F5F5F"/>
          <w:u w:val="single" w:color="5F5F5F"/>
        </w:rPr>
        <w:t>CT_Cell</w:t>
      </w:r>
      <w:r>
        <w:rPr/>
        <w:t>) is located in §A.2. </w:t>
      </w:r>
      <w:r>
        <w:rPr>
          <w:i/>
        </w:rPr>
        <w:t>end note</w:t>
      </w:r>
      <w:r>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4 ndxf (New Formatting Informati" w:id="1067"/>
      <w:bookmarkEnd w:id="1067"/>
      <w:r>
        <w:rPr/>
      </w:r>
      <w:bookmarkStart w:name="_bookmark354" w:id="1068"/>
      <w:bookmarkEnd w:id="1068"/>
      <w:r>
        <w:rPr/>
      </w:r>
      <w:bookmarkStart w:name="_bookmark354" w:id="1069"/>
      <w:bookmarkEnd w:id="1069"/>
      <w:r>
        <w:rPr>
          <w:color w:val="4F81BC"/>
        </w:rPr>
        <w:t>nd</w:t>
      </w:r>
      <w:r>
        <w:rPr>
          <w:color w:val="4F81BC"/>
        </w:rPr>
        <w:t>xf (New Formatting</w:t>
      </w:r>
      <w:r>
        <w:rPr>
          <w:color w:val="4F81BC"/>
          <w:spacing w:val="-5"/>
        </w:rPr>
        <w:t> </w:t>
      </w:r>
      <w:r>
        <w:rPr>
          <w:color w:val="4F81BC"/>
        </w:rPr>
        <w:t>Information)</w:t>
      </w:r>
    </w:p>
    <w:p>
      <w:pPr>
        <w:pStyle w:val="BodyText"/>
        <w:spacing w:line="278" w:lineRule="auto" w:before="119"/>
        <w:ind w:left="220" w:right="503"/>
      </w:pPr>
      <w:r>
        <w:rPr/>
        <w:t>This element represents new differential formatting information for this cell. This formatting is applied to the existing formatting of the cell.</w:t>
      </w:r>
    </w:p>
    <w:p>
      <w:pPr>
        <w:pStyle w:val="BodyText"/>
        <w:spacing w:before="197"/>
        <w:ind w:left="220"/>
      </w:pPr>
      <w:r>
        <w:rPr/>
        <w:t>[</w:t>
      </w:r>
      <w:r>
        <w:rPr>
          <w:i/>
        </w:rPr>
        <w:t>Note</w:t>
      </w:r>
      <w:r>
        <w:rPr/>
        <w:t>: The W3C XML Schema definition of this element’s content model (</w:t>
      </w:r>
      <w:r>
        <w:rPr>
          <w:color w:val="5F5F5F"/>
          <w:u w:val="single" w:color="5F5F5F"/>
        </w:rPr>
        <w:t>CT_Dxf</w:t>
      </w:r>
      <w:r>
        <w:rPr/>
        <w:t>) is located in §A.2. </w:t>
      </w:r>
      <w:r>
        <w:rPr>
          <w:i/>
        </w:rPr>
        <w:t>end note</w:t>
      </w:r>
      <w:r>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5 oc (Old Cell Data)" w:id="1070"/>
      <w:bookmarkEnd w:id="1070"/>
      <w:r>
        <w:rPr/>
      </w:r>
      <w:bookmarkStart w:name="_bookmark355" w:id="1071"/>
      <w:bookmarkEnd w:id="1071"/>
      <w:r>
        <w:rPr/>
      </w:r>
      <w:bookmarkStart w:name="_bookmark355" w:id="1072"/>
      <w:bookmarkEnd w:id="1072"/>
      <w:r>
        <w:rPr>
          <w:color w:val="4F81BC"/>
        </w:rPr>
        <w:t>o</w:t>
      </w:r>
      <w:r>
        <w:rPr>
          <w:color w:val="4F81BC"/>
        </w:rPr>
        <w:t>c (Old Cell</w:t>
      </w:r>
      <w:r>
        <w:rPr>
          <w:color w:val="4F81BC"/>
          <w:spacing w:val="-2"/>
        </w:rPr>
        <w:t> </w:t>
      </w:r>
      <w:r>
        <w:rPr>
          <w:color w:val="4F81BC"/>
        </w:rPr>
        <w:t>Data)</w:t>
      </w:r>
    </w:p>
    <w:p>
      <w:pPr>
        <w:pStyle w:val="BodyText"/>
        <w:spacing w:before="121"/>
        <w:ind w:left="220"/>
      </w:pPr>
      <w:r>
        <w:rPr/>
        <w:t>This element represents old cell data. Old cell data is data that was previously stored in the cell.</w:t>
      </w:r>
    </w:p>
    <w:p>
      <w:pPr>
        <w:pStyle w:val="BodyText"/>
        <w:spacing w:before="7"/>
        <w:rPr>
          <w:sz w:val="19"/>
        </w:rPr>
      </w:pPr>
    </w:p>
    <w:p>
      <w:pPr>
        <w:pStyle w:val="BodyText"/>
        <w:spacing w:line="276" w:lineRule="auto"/>
        <w:ind w:left="220" w:right="487"/>
      </w:pPr>
      <w:r>
        <w:rPr/>
        <w:t>For most spreadsheet application purposes, only the data type and reference need to be used for revision tracking purposes. The rest of the cell properties can be written out, but are not necessarily needed as they can be recorded in other areas of the spreadsheet. For instance the </w:t>
      </w:r>
      <w:r>
        <w:rPr>
          <w:rFonts w:ascii="Cambria"/>
        </w:rPr>
        <w:t>&lt;rfmt&gt; </w:t>
      </w:r>
      <w:r>
        <w:rPr/>
        <w:t>element can be used to record style information instead of the </w:t>
      </w:r>
      <w:r>
        <w:rPr>
          <w:rFonts w:ascii="Consolas"/>
          <w:sz w:val="20"/>
        </w:rPr>
        <w:t>S (style index)</w:t>
      </w:r>
      <w:r>
        <w:rPr>
          <w:rFonts w:ascii="Consolas"/>
          <w:spacing w:val="-65"/>
          <w:sz w:val="20"/>
        </w:rPr>
        <w:t> </w:t>
      </w:r>
      <w:r>
        <w:rPr/>
        <w:t>attribute.</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5" w:hRule="atLeast"/>
        </w:trPr>
        <w:tc>
          <w:tcPr>
            <w:tcW w:w="2062" w:type="dxa"/>
          </w:tcPr>
          <w:p>
            <w:pPr>
              <w:pStyle w:val="TableParagraph"/>
              <w:ind w:right="267"/>
              <w:rPr>
                <w:sz w:val="22"/>
              </w:rPr>
            </w:pPr>
            <w:r>
              <w:rPr>
                <w:rFonts w:ascii="Cambria"/>
                <w:sz w:val="22"/>
              </w:rPr>
              <w:t>cm </w:t>
            </w:r>
            <w:r>
              <w:rPr>
                <w:sz w:val="22"/>
              </w:rPr>
              <w:t>(Cell Metadata Index)</w:t>
            </w:r>
          </w:p>
        </w:tc>
        <w:tc>
          <w:tcPr>
            <w:tcW w:w="8250" w:type="dxa"/>
          </w:tcPr>
          <w:p>
            <w:pPr>
              <w:pStyle w:val="TableParagraph"/>
              <w:ind w:right="207"/>
              <w:rPr>
                <w:sz w:val="22"/>
              </w:rPr>
            </w:pPr>
            <w:r>
              <w:rPr>
                <w:sz w:val="22"/>
              </w:rPr>
              <w:t>The zero-based index of the cell metadata record associated with this cell. Metadata information is found in the Metadata Part. Cell metadata is extra information stored at the cell level, and is attached to the cell (travels through moves, copy / paste, clear, etc). Cell metadata is not accessible via formula reference.</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698" w:hRule="atLeast"/>
        </w:trPr>
        <w:tc>
          <w:tcPr>
            <w:tcW w:w="2062" w:type="dxa"/>
          </w:tcPr>
          <w:p>
            <w:pPr>
              <w:pStyle w:val="TableParagraph"/>
              <w:ind w:left="66" w:right="129"/>
              <w:jc w:val="center"/>
              <w:rPr>
                <w:sz w:val="22"/>
              </w:rPr>
            </w:pPr>
            <w:r>
              <w:rPr>
                <w:rFonts w:ascii="Cambria"/>
                <w:sz w:val="22"/>
              </w:rPr>
              <w:t>ph </w:t>
            </w:r>
            <w:r>
              <w:rPr>
                <w:sz w:val="22"/>
              </w:rPr>
              <w:t>(Show Phonetic)</w:t>
            </w:r>
          </w:p>
        </w:tc>
        <w:tc>
          <w:tcPr>
            <w:tcW w:w="8250" w:type="dxa"/>
          </w:tcPr>
          <w:p>
            <w:pPr>
              <w:pStyle w:val="TableParagraph"/>
              <w:ind w:right="214"/>
              <w:rPr>
                <w:sz w:val="22"/>
              </w:rPr>
            </w:pPr>
            <w:r>
              <w:rPr>
                <w:sz w:val="22"/>
              </w:rPr>
              <w:t>A Boolean value indicating if the spreadsheet application should show phonetic information. Phonetic information is displayed in the same cell across the top of the cell and serves as a 'hint' which indicates how the text should be pronounced. This should only be used for East Asian languages.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158"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An A1 style reference to the location of this cell</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161" w:hRule="atLeast"/>
        </w:trPr>
        <w:tc>
          <w:tcPr>
            <w:tcW w:w="2062" w:type="dxa"/>
          </w:tcPr>
          <w:p>
            <w:pPr>
              <w:pStyle w:val="TableParagraph"/>
              <w:rPr>
                <w:sz w:val="22"/>
              </w:rPr>
            </w:pPr>
            <w:r>
              <w:rPr>
                <w:rFonts w:ascii="Cambria"/>
                <w:sz w:val="22"/>
              </w:rPr>
              <w:t>s </w:t>
            </w:r>
            <w:r>
              <w:rPr>
                <w:sz w:val="22"/>
              </w:rPr>
              <w:t>(Style Index)</w:t>
            </w:r>
          </w:p>
        </w:tc>
        <w:tc>
          <w:tcPr>
            <w:tcW w:w="8250" w:type="dxa"/>
          </w:tcPr>
          <w:p>
            <w:pPr>
              <w:pStyle w:val="TableParagraph"/>
              <w:rPr>
                <w:sz w:val="22"/>
              </w:rPr>
            </w:pPr>
            <w:r>
              <w:rPr>
                <w:sz w:val="22"/>
              </w:rPr>
              <w:t>The index of this cell's style. Style records are stored in the Styles Part.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t </w:t>
            </w:r>
            <w:r>
              <w:rPr>
                <w:sz w:val="22"/>
              </w:rPr>
              <w:t>(Cell Data Type)</w:t>
            </w:r>
          </w:p>
        </w:tc>
        <w:tc>
          <w:tcPr>
            <w:tcW w:w="8250" w:type="dxa"/>
          </w:tcPr>
          <w:p>
            <w:pPr>
              <w:pStyle w:val="TableParagraph"/>
              <w:rPr>
                <w:sz w:val="22"/>
              </w:rPr>
            </w:pPr>
            <w:r>
              <w:rPr>
                <w:sz w:val="22"/>
              </w:rPr>
              <w:t>An enumeration representing the cell's data type.</w:t>
            </w:r>
          </w:p>
          <w:p>
            <w:pPr>
              <w:pStyle w:val="TableParagraph"/>
              <w:spacing w:before="1"/>
              <w:ind w:left="0"/>
              <w:rPr>
                <w:sz w:val="22"/>
              </w:rPr>
            </w:pPr>
          </w:p>
          <w:p>
            <w:pPr>
              <w:pStyle w:val="TableParagraph"/>
              <w:spacing w:before="0"/>
              <w:ind w:right="883"/>
              <w:rPr>
                <w:sz w:val="22"/>
              </w:rPr>
            </w:pPr>
            <w:r>
              <w:rPr>
                <w:sz w:val="22"/>
              </w:rPr>
              <w:t>The possible values for this attribute are defined by the </w:t>
            </w:r>
            <w:r>
              <w:rPr>
                <w:rFonts w:ascii="Cambria" w:hAnsi="Cambria"/>
                <w:sz w:val="22"/>
              </w:rPr>
              <w:t>ST_CellType </w:t>
            </w:r>
            <w:r>
              <w:rPr>
                <w:sz w:val="22"/>
              </w:rPr>
              <w:t>simple type </w:t>
            </w:r>
            <w:hyperlink w:history="true" w:anchor="_bookmark833">
              <w:r>
                <w:rPr>
                  <w:sz w:val="22"/>
                </w:rPr>
                <w:t>(§18.18.11</w:t>
              </w:r>
            </w:hyperlink>
            <w:r>
              <w:rPr>
                <w:sz w:val="22"/>
              </w:rPr>
              <w:t>).</w:t>
            </w:r>
          </w:p>
        </w:tc>
      </w:tr>
      <w:tr>
        <w:trPr>
          <w:trHeight w:val="1965" w:hRule="atLeast"/>
        </w:trPr>
        <w:tc>
          <w:tcPr>
            <w:tcW w:w="2062" w:type="dxa"/>
          </w:tcPr>
          <w:p>
            <w:pPr>
              <w:pStyle w:val="TableParagraph"/>
              <w:ind w:right="432"/>
              <w:rPr>
                <w:sz w:val="22"/>
              </w:rPr>
            </w:pPr>
            <w:r>
              <w:rPr>
                <w:rFonts w:ascii="Cambria"/>
                <w:sz w:val="22"/>
              </w:rPr>
              <w:t>vm </w:t>
            </w:r>
            <w:r>
              <w:rPr>
                <w:sz w:val="22"/>
              </w:rPr>
              <w:t>(Value Metadata Index)</w:t>
            </w:r>
          </w:p>
        </w:tc>
        <w:tc>
          <w:tcPr>
            <w:tcW w:w="8250" w:type="dxa"/>
          </w:tcPr>
          <w:p>
            <w:pPr>
              <w:pStyle w:val="TableParagraph"/>
              <w:ind w:right="292"/>
              <w:rPr>
                <w:sz w:val="22"/>
              </w:rPr>
            </w:pPr>
            <w:r>
              <w:rPr>
                <w:sz w:val="22"/>
              </w:rPr>
              <w:t>The zero-based index of the value metadata record associated with this cell's value. Metadata records are stored in the Metadata Part. Value metadata is extra information stored at the cell level, but associated with the value rather than the cell itself. Value metadata is accessible via formula reference.</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CT_Cell</w:t>
      </w:r>
      <w:r>
        <w:rPr/>
        <w:t>) is located in §A.2. </w:t>
      </w:r>
      <w:r>
        <w:rPr>
          <w:i/>
        </w:rPr>
        <w:t>end note</w:t>
      </w:r>
      <w:r>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1" w:after="0"/>
        <w:ind w:left="1732" w:right="0" w:hanging="1513"/>
        <w:jc w:val="left"/>
      </w:pPr>
      <w:bookmarkStart w:name="18.11.1.6 odxf (Old Formatting Informati" w:id="1073"/>
      <w:bookmarkEnd w:id="1073"/>
      <w:r>
        <w:rPr/>
      </w:r>
      <w:bookmarkStart w:name="_bookmark356" w:id="1074"/>
      <w:bookmarkEnd w:id="1074"/>
      <w:r>
        <w:rPr/>
      </w:r>
      <w:bookmarkStart w:name="_bookmark356" w:id="1075"/>
      <w:bookmarkEnd w:id="1075"/>
      <w:r>
        <w:rPr>
          <w:color w:val="4F81BC"/>
        </w:rPr>
        <w:t>o</w:t>
      </w:r>
      <w:r>
        <w:rPr>
          <w:color w:val="4F81BC"/>
        </w:rPr>
        <w:t>dxf (Old Formatting</w:t>
      </w:r>
      <w:r>
        <w:rPr>
          <w:color w:val="4F81BC"/>
          <w:spacing w:val="-6"/>
        </w:rPr>
        <w:t> </w:t>
      </w:r>
      <w:r>
        <w:rPr>
          <w:color w:val="4F81BC"/>
        </w:rPr>
        <w:t>Information)</w:t>
      </w:r>
    </w:p>
    <w:p>
      <w:pPr>
        <w:pStyle w:val="BodyText"/>
        <w:spacing w:line="278" w:lineRule="auto" w:before="118"/>
        <w:ind w:left="220"/>
      </w:pPr>
      <w:r>
        <w:rPr/>
        <w:t>This element represents the old differential formatting information for this cell. Old differential formatting is differential formatting that was previously applied to the cell.</w:t>
      </w:r>
    </w:p>
    <w:p>
      <w:pPr>
        <w:pStyle w:val="BodyText"/>
        <w:spacing w:before="3"/>
        <w:rPr>
          <w:sz w:val="16"/>
        </w:rPr>
      </w:pPr>
    </w:p>
    <w:p>
      <w:pPr>
        <w:pStyle w:val="BodyText"/>
        <w:ind w:left="220"/>
      </w:pPr>
      <w:r>
        <w:rPr/>
        <w:t>[</w:t>
      </w:r>
      <w:r>
        <w:rPr>
          <w:i/>
        </w:rPr>
        <w:t>Note</w:t>
      </w:r>
      <w:r>
        <w:rPr/>
        <w:t>: The W3C XML Schema definition of this element’s content model (</w:t>
      </w:r>
      <w:r>
        <w:rPr>
          <w:color w:val="5F5F5F"/>
          <w:u w:val="single" w:color="5F5F5F"/>
        </w:rPr>
        <w:t>CT_Dxf</w:t>
      </w:r>
      <w:r>
        <w:rPr/>
        <w:t>) is located in §A.2. </w:t>
      </w:r>
      <w:r>
        <w:rPr>
          <w:i/>
        </w:rPr>
        <w:t>end note</w:t>
      </w:r>
      <w:r>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7 oldFormula (Old Formula)" w:id="1076"/>
      <w:bookmarkEnd w:id="1076"/>
      <w:r>
        <w:rPr/>
      </w:r>
      <w:bookmarkStart w:name="_bookmark357" w:id="1077"/>
      <w:bookmarkEnd w:id="1077"/>
      <w:r>
        <w:rPr/>
      </w:r>
      <w:bookmarkStart w:name="_bookmark357" w:id="1078"/>
      <w:bookmarkEnd w:id="1078"/>
      <w:r>
        <w:rPr>
          <w:color w:val="4F81BC"/>
        </w:rPr>
        <w:t>ol</w:t>
      </w:r>
      <w:r>
        <w:rPr>
          <w:color w:val="4F81BC"/>
        </w:rPr>
        <w:t>dFormula (Old</w:t>
      </w:r>
      <w:r>
        <w:rPr>
          <w:color w:val="4F81BC"/>
          <w:spacing w:val="-3"/>
        </w:rPr>
        <w:t> </w:t>
      </w:r>
      <w:r>
        <w:rPr>
          <w:color w:val="4F81BC"/>
        </w:rPr>
        <w:t>Formula)</w:t>
      </w:r>
    </w:p>
    <w:p>
      <w:pPr>
        <w:pStyle w:val="BodyText"/>
        <w:spacing w:line="278" w:lineRule="auto" w:before="119"/>
        <w:ind w:left="220" w:right="503"/>
        <w:rPr>
          <w:rFonts w:ascii="Consolas"/>
        </w:rPr>
      </w:pPr>
      <w:r>
        <w:rPr/>
        <w:t>This element represents the old formula for a defined name in this cell. This is only used for named cells. Formulas that are entered in a cell with no name are represented by the formula element </w:t>
      </w:r>
      <w:r>
        <w:rPr>
          <w:rFonts w:ascii="Consolas"/>
        </w:rPr>
        <w:t>&lt;f&gt;.</w:t>
      </w:r>
    </w:p>
    <w:p>
      <w:pPr>
        <w:pStyle w:val="BodyText"/>
        <w:spacing w:before="197"/>
        <w:ind w:left="220"/>
      </w:pPr>
      <w:r>
        <w:rPr/>
        <w:t>The possible values for this element are defined by the </w:t>
      </w:r>
      <w:r>
        <w:rPr>
          <w:rFonts w:ascii="Cambria" w:hAnsi="Cambria"/>
        </w:rPr>
        <w:t>ST_Formula </w:t>
      </w:r>
      <w:r>
        <w:rPr/>
        <w:t>simple type (</w:t>
      </w:r>
      <w:hyperlink w:history="true" w:anchor="_bookmark857">
        <w:r>
          <w:rPr/>
          <w:t>§18.18.35</w:t>
        </w:r>
      </w:hyperlink>
      <w:r>
        <w:rPr/>
        <w:t>).</w:t>
      </w:r>
    </w:p>
    <w:p>
      <w:pPr>
        <w:pStyle w:val="BodyText"/>
        <w:spacing w:before="7"/>
        <w:rPr>
          <w:sz w:val="19"/>
        </w:rPr>
      </w:pPr>
    </w:p>
    <w:p>
      <w:pPr>
        <w:pStyle w:val="BodyText"/>
        <w:spacing w:line="276" w:lineRule="auto"/>
        <w:ind w:left="220" w:right="760"/>
      </w:pPr>
      <w:r>
        <w:rPr/>
        <w:t>[</w:t>
      </w:r>
      <w:r>
        <w:rPr>
          <w:i/>
        </w:rPr>
        <w:t>Note</w:t>
      </w:r>
      <w:r>
        <w:rPr/>
        <w:t>: The W3C XML Schema definition of this element’s content model (</w:t>
      </w:r>
      <w:r>
        <w:rPr>
          <w:color w:val="5F5F5F"/>
          <w:u w:val="single" w:color="5F5F5F"/>
        </w:rPr>
        <w:t>ST_Formula</w:t>
      </w:r>
      <w:r>
        <w:rPr/>
        <w:t>) is located in §A.2. </w:t>
      </w:r>
      <w:r>
        <w:rPr>
          <w:i/>
        </w:rPr>
        <w:t>end </w:t>
      </w:r>
      <w:r>
        <w:rPr>
          <w:i/>
        </w:rPr>
        <w:t>note</w:t>
      </w:r>
      <w:r>
        <w:rPr/>
        <w:t>]</w:t>
      </w:r>
    </w:p>
    <w:p>
      <w:pPr>
        <w:pStyle w:val="BodyText"/>
        <w:spacing w:before="6"/>
        <w:rPr>
          <w:sz w:val="16"/>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8 raf (Revision AutoFormat)" w:id="1079"/>
      <w:bookmarkEnd w:id="1079"/>
      <w:r>
        <w:rPr/>
      </w:r>
      <w:bookmarkStart w:name="_bookmark358" w:id="1080"/>
      <w:bookmarkEnd w:id="1080"/>
      <w:r>
        <w:rPr/>
      </w:r>
      <w:bookmarkStart w:name="_bookmark358" w:id="1081"/>
      <w:bookmarkEnd w:id="1081"/>
      <w:r>
        <w:rPr>
          <w:color w:val="4F81BC"/>
        </w:rPr>
        <w:t>ra</w:t>
      </w:r>
      <w:r>
        <w:rPr>
          <w:color w:val="4F81BC"/>
        </w:rPr>
        <w:t>f (Revision</w:t>
      </w:r>
      <w:r>
        <w:rPr>
          <w:color w:val="4F81BC"/>
          <w:spacing w:val="-3"/>
        </w:rPr>
        <w:t> </w:t>
      </w:r>
      <w:r>
        <w:rPr>
          <w:color w:val="4F81BC"/>
        </w:rPr>
        <w:t>AutoFormat)</w:t>
      </w:r>
    </w:p>
    <w:p>
      <w:pPr>
        <w:pStyle w:val="BodyText"/>
        <w:spacing w:before="124"/>
        <w:ind w:left="220"/>
      </w:pPr>
      <w:r>
        <w:rPr/>
        <w:t>This element represents a revision record of auto formatting change information for a table.</w:t>
      </w:r>
    </w:p>
    <w:p>
      <w:pPr>
        <w:spacing w:after="0"/>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line="237" w:lineRule="auto" w:before="45"/>
              <w:ind w:right="91"/>
              <w:rPr>
                <w:sz w:val="22"/>
              </w:rPr>
            </w:pPr>
            <w:r>
              <w:rPr>
                <w:rFonts w:ascii="Cambria"/>
                <w:sz w:val="22"/>
              </w:rPr>
              <w:t>applyAlignmentFor mats </w:t>
            </w:r>
            <w:r>
              <w:rPr>
                <w:sz w:val="22"/>
              </w:rPr>
              <w:t>(Apply Alignment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alignment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15"/>
              <w:rPr>
                <w:sz w:val="22"/>
              </w:rPr>
            </w:pPr>
            <w:r>
              <w:rPr>
                <w:rFonts w:ascii="Cambria"/>
                <w:sz w:val="22"/>
              </w:rPr>
              <w:t>applyBorderForma ts </w:t>
            </w:r>
            <w:r>
              <w:rPr>
                <w:sz w:val="22"/>
              </w:rPr>
              <w:t>(Apply Border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border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5"/>
              <w:ind w:right="176"/>
              <w:rPr>
                <w:sz w:val="22"/>
              </w:rPr>
            </w:pPr>
            <w:r>
              <w:rPr>
                <w:rFonts w:ascii="Cambria"/>
                <w:sz w:val="22"/>
              </w:rPr>
              <w:t>applyFontFormats </w:t>
            </w:r>
            <w:r>
              <w:rPr>
                <w:sz w:val="22"/>
              </w:rPr>
              <w:t>(Apply Font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font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spacing w:line="237" w:lineRule="auto" w:before="45"/>
              <w:ind w:right="112"/>
              <w:rPr>
                <w:sz w:val="22"/>
              </w:rPr>
            </w:pPr>
            <w:r>
              <w:rPr>
                <w:rFonts w:ascii="Cambria"/>
                <w:sz w:val="22"/>
              </w:rPr>
              <w:t>applyNumberForm ats </w:t>
            </w:r>
            <w:r>
              <w:rPr>
                <w:sz w:val="22"/>
              </w:rPr>
              <w:t>(Apply Number Formats)</w:t>
            </w:r>
          </w:p>
        </w:tc>
        <w:tc>
          <w:tcPr>
            <w:tcW w:w="8250" w:type="dxa"/>
          </w:tcPr>
          <w:p>
            <w:pPr>
              <w:pStyle w:val="TableParagraph"/>
              <w:rPr>
                <w:sz w:val="22"/>
              </w:rPr>
            </w:pPr>
            <w:r>
              <w:rPr>
                <w:sz w:val="22"/>
              </w:rPr>
              <w:t>If </w:t>
            </w:r>
            <w:r>
              <w:rPr>
                <w:rFonts w:ascii="Consolas"/>
                <w:sz w:val="20"/>
              </w:rPr>
              <w:t>true</w:t>
            </w:r>
            <w:r>
              <w:rPr>
                <w:rFonts w:ascii="Consolas"/>
                <w:spacing w:val="-65"/>
                <w:sz w:val="20"/>
              </w:rPr>
              <w:t> </w:t>
            </w:r>
            <w:r>
              <w:rPr>
                <w:sz w:val="22"/>
              </w:rPr>
              <w:t>apply legacy table autoformat number format properties.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83"/>
              <w:rPr>
                <w:sz w:val="22"/>
              </w:rPr>
            </w:pPr>
            <w:r>
              <w:rPr>
                <w:rFonts w:ascii="Cambria"/>
                <w:sz w:val="22"/>
              </w:rPr>
              <w:t>applyPatternForm ats </w:t>
            </w:r>
            <w:r>
              <w:rPr>
                <w:sz w:val="22"/>
              </w:rPr>
              <w:t>(Apply Pattern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pattern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before="42"/>
              <w:ind w:right="188"/>
              <w:rPr>
                <w:sz w:val="22"/>
              </w:rPr>
            </w:pPr>
            <w:r>
              <w:rPr>
                <w:rFonts w:ascii="Cambria"/>
                <w:sz w:val="22"/>
              </w:rPr>
              <w:t>applyWidthHeight Formats </w:t>
            </w:r>
            <w:r>
              <w:rPr>
                <w:sz w:val="22"/>
              </w:rPr>
              <w:t>(Apply Width / Height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width/height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71" w:hRule="atLeast"/>
        </w:trPr>
        <w:tc>
          <w:tcPr>
            <w:tcW w:w="2062" w:type="dxa"/>
          </w:tcPr>
          <w:p>
            <w:pPr>
              <w:pStyle w:val="TableParagraph"/>
              <w:spacing w:line="257" w:lineRule="exact" w:before="42"/>
              <w:rPr>
                <w:rFonts w:ascii="Cambria"/>
                <w:sz w:val="22"/>
              </w:rPr>
            </w:pPr>
            <w:r>
              <w:rPr>
                <w:rFonts w:ascii="Cambria"/>
                <w:sz w:val="22"/>
              </w:rPr>
              <w:t>autoFormatId</w:t>
            </w:r>
          </w:p>
          <w:p>
            <w:pPr>
              <w:pStyle w:val="TableParagraph"/>
              <w:spacing w:line="268" w:lineRule="exact" w:before="0"/>
              <w:rPr>
                <w:sz w:val="22"/>
              </w:rPr>
            </w:pPr>
            <w:r>
              <w:rPr>
                <w:sz w:val="22"/>
              </w:rPr>
              <w:t>(Auto Format Id)</w:t>
            </w:r>
          </w:p>
        </w:tc>
        <w:tc>
          <w:tcPr>
            <w:tcW w:w="8250" w:type="dxa"/>
          </w:tcPr>
          <w:p>
            <w:pPr>
              <w:pStyle w:val="TableParagraph"/>
              <w:rPr>
                <w:sz w:val="22"/>
              </w:rPr>
            </w:pPr>
            <w:r>
              <w:rPr>
                <w:sz w:val="22"/>
              </w:rPr>
              <w:t>Identifies which legacy table autoformat to apply.</w:t>
            </w:r>
          </w:p>
          <w:p>
            <w:pPr>
              <w:pStyle w:val="TableParagraph"/>
              <w:spacing w:before="4"/>
              <w:ind w:left="0"/>
              <w:rPr>
                <w:rFonts w:ascii="Times New Roman"/>
                <w:sz w:val="23"/>
              </w:rPr>
            </w:pPr>
          </w:p>
          <w:p>
            <w:pPr>
              <w:pStyle w:val="TableParagraph"/>
              <w:spacing w:before="0"/>
              <w:ind w:right="123"/>
              <w:rPr>
                <w:sz w:val="22"/>
              </w:rPr>
            </w:pPr>
            <w:r>
              <w:rPr>
                <w:sz w:val="22"/>
              </w:rPr>
              <w:t>Annex D contains a listing of the supported PivotTable AutoFormats, example formatting, and a sample workbook with each of those AutoFormats applied.</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6"/>
              <w:ind w:left="0"/>
              <w:rPr>
                <w:rFonts w:ascii="Times New Roman"/>
                <w:sz w:val="27"/>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893"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rPr>
                <w:sz w:val="22"/>
              </w:rPr>
            </w:pPr>
            <w:r>
              <w:rPr>
                <w:sz w:val="22"/>
              </w:rPr>
              <w:t>A-1 style reference to the location where the formatting was applied</w:t>
            </w:r>
          </w:p>
          <w:p>
            <w:pPr>
              <w:pStyle w:val="TableParagraph"/>
              <w:spacing w:before="5"/>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61"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line="278" w:lineRule="auto" w:before="90"/>
        <w:ind w:left="220" w:right="420"/>
      </w:pPr>
      <w:r>
        <w:rPr/>
        <w:t>[</w:t>
      </w:r>
      <w:r>
        <w:rPr>
          <w:i/>
        </w:rPr>
        <w:t>Note</w:t>
      </w:r>
      <w:r>
        <w:rPr/>
        <w:t>: The W3C XML Schema definition of this element’s content model (</w:t>
      </w:r>
      <w:r>
        <w:rPr>
          <w:color w:val="5F5F5F"/>
          <w:u w:val="single" w:color="5F5F5F"/>
        </w:rPr>
        <w:t>CT_RevisionAutoFormatting</w:t>
      </w:r>
      <w:r>
        <w:rPr/>
        <w:t>) is located in §A.2. </w:t>
      </w:r>
      <w:r>
        <w:rPr>
          <w:i/>
        </w:rPr>
        <w:t>end note</w:t>
      </w:r>
      <w:r>
        <w:rPr/>
        <w:t>]</w:t>
      </w:r>
    </w:p>
    <w:p>
      <w:pPr>
        <w:pStyle w:val="BodyText"/>
        <w:spacing w:before="3"/>
        <w:rPr>
          <w:sz w:val="16"/>
        </w:rPr>
      </w:pPr>
    </w:p>
    <w:p>
      <w:pPr>
        <w:pStyle w:val="Heading3"/>
        <w:numPr>
          <w:ilvl w:val="3"/>
          <w:numId w:val="52"/>
        </w:numPr>
        <w:tabs>
          <w:tab w:pos="1732" w:val="left" w:leader="none"/>
          <w:tab w:pos="1733" w:val="left" w:leader="none"/>
        </w:tabs>
        <w:spacing w:line="240" w:lineRule="auto" w:before="1" w:after="0"/>
        <w:ind w:left="1732" w:right="0" w:hanging="1513"/>
        <w:jc w:val="left"/>
      </w:pPr>
      <w:bookmarkStart w:name="18.11.1.9 rcc (Revision Cell Change)" w:id="1082"/>
      <w:bookmarkEnd w:id="1082"/>
      <w:r>
        <w:rPr/>
      </w:r>
      <w:bookmarkStart w:name="_bookmark359" w:id="1083"/>
      <w:bookmarkEnd w:id="1083"/>
      <w:r>
        <w:rPr/>
      </w:r>
      <w:bookmarkStart w:name="_bookmark359" w:id="1084"/>
      <w:bookmarkEnd w:id="1084"/>
      <w:r>
        <w:rPr>
          <w:color w:val="4F81BC"/>
        </w:rPr>
        <w:t>r</w:t>
      </w:r>
      <w:r>
        <w:rPr>
          <w:color w:val="4F81BC"/>
        </w:rPr>
        <w:t>cc (Revision Cell</w:t>
      </w:r>
      <w:r>
        <w:rPr>
          <w:color w:val="4F81BC"/>
          <w:spacing w:val="-3"/>
        </w:rPr>
        <w:t> </w:t>
      </w:r>
      <w:r>
        <w:rPr>
          <w:color w:val="4F81BC"/>
        </w:rPr>
        <w:t>Change)</w:t>
      </w:r>
    </w:p>
    <w:p>
      <w:pPr>
        <w:pStyle w:val="BodyText"/>
        <w:spacing w:before="121"/>
        <w:ind w:left="220"/>
      </w:pPr>
      <w:r>
        <w:rPr/>
        <w:t>This element stores information about the contents of the cell that was replaced.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rPr>
                <w:sz w:val="22"/>
              </w:rPr>
            </w:pPr>
            <w:r>
              <w:rPr>
                <w:rFonts w:ascii="Cambria"/>
                <w:sz w:val="22"/>
              </w:rPr>
              <w:t>dxf </w:t>
            </w:r>
            <w:r>
              <w:rPr>
                <w:sz w:val="22"/>
              </w:rPr>
              <w:t>(Formatting)</w:t>
            </w:r>
          </w:p>
        </w:tc>
        <w:tc>
          <w:tcPr>
            <w:tcW w:w="8250" w:type="dxa"/>
          </w:tcPr>
          <w:p>
            <w:pPr>
              <w:pStyle w:val="TableParagraph"/>
              <w:ind w:right="492"/>
              <w:rPr>
                <w:sz w:val="22"/>
              </w:rPr>
            </w:pPr>
            <w:r>
              <w:rPr>
                <w:sz w:val="22"/>
              </w:rPr>
              <w:t>A Boolean flag indicating that there was a differential formatting change for this cell - true if there was a formatting change, false otherwise.</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3309" w:hRule="atLeast"/>
        </w:trPr>
        <w:tc>
          <w:tcPr>
            <w:tcW w:w="2062" w:type="dxa"/>
          </w:tcPr>
          <w:p>
            <w:pPr>
              <w:pStyle w:val="TableParagraph"/>
              <w:spacing w:before="43"/>
              <w:ind w:right="216"/>
              <w:jc w:val="both"/>
              <w:rPr>
                <w:sz w:val="22"/>
              </w:rPr>
            </w:pPr>
            <w:r>
              <w:rPr>
                <w:rFonts w:ascii="Cambria"/>
                <w:sz w:val="22"/>
              </w:rPr>
              <w:t>endOfListFormula Update </w:t>
            </w:r>
            <w:r>
              <w:rPr>
                <w:sz w:val="22"/>
              </w:rPr>
              <w:t>(End of List Formula Update)</w:t>
            </w:r>
          </w:p>
        </w:tc>
        <w:tc>
          <w:tcPr>
            <w:tcW w:w="8250" w:type="dxa"/>
          </w:tcPr>
          <w:p>
            <w:pPr>
              <w:pStyle w:val="TableParagraph"/>
              <w:ind w:right="105"/>
              <w:rPr>
                <w:sz w:val="22"/>
              </w:rPr>
            </w:pPr>
            <w:r>
              <w:rPr>
                <w:sz w:val="22"/>
              </w:rPr>
              <w:t>A Boolean flag indicating that indicates that the formula used at the end of a list has been updated. True if the formula was updated, false otherwise.</w:t>
            </w:r>
          </w:p>
          <w:p>
            <w:pPr>
              <w:pStyle w:val="TableParagraph"/>
              <w:spacing w:before="1"/>
              <w:ind w:left="0"/>
              <w:rPr>
                <w:sz w:val="22"/>
              </w:rPr>
            </w:pPr>
          </w:p>
          <w:p>
            <w:pPr>
              <w:pStyle w:val="TableParagraph"/>
              <w:spacing w:before="0"/>
              <w:ind w:right="143"/>
              <w:rPr>
                <w:sz w:val="22"/>
              </w:rPr>
            </w:pPr>
            <w:r>
              <w:rPr>
                <w:sz w:val="22"/>
              </w:rPr>
              <w:t>List in this context does not mean table, rather it refers to the feature where the spreadsheet application automatically creates an internal structure for making data</w:t>
            </w:r>
            <w:r>
              <w:rPr>
                <w:spacing w:val="-28"/>
                <w:sz w:val="22"/>
              </w:rPr>
              <w:t> </w:t>
            </w:r>
            <w:r>
              <w:rPr>
                <w:sz w:val="22"/>
              </w:rPr>
              <w:t>input more consistent on adjacent rows or columns.  For instance, if 3 cells in a row are entered with the same format, then when entering data into the 4th adjacent cell, the spreadsheet application might automatically apply that same format. In this case, those cells are treated as a</w:t>
            </w:r>
            <w:r>
              <w:rPr>
                <w:spacing w:val="-4"/>
                <w:sz w:val="22"/>
              </w:rPr>
              <w:t> </w:t>
            </w:r>
            <w:r>
              <w:rPr>
                <w:sz w:val="22"/>
              </w:rPr>
              <w:t>list.</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numFmtId</w:t>
            </w:r>
          </w:p>
          <w:p>
            <w:pPr>
              <w:pStyle w:val="TableParagraph"/>
              <w:spacing w:line="268" w:lineRule="exact" w:before="0"/>
              <w:rPr>
                <w:sz w:val="22"/>
              </w:rPr>
            </w:pPr>
            <w:r>
              <w:rPr>
                <w:sz w:val="22"/>
              </w:rPr>
              <w:t>(Number Format Id)</w:t>
            </w:r>
          </w:p>
        </w:tc>
        <w:tc>
          <w:tcPr>
            <w:tcW w:w="8250" w:type="dxa"/>
          </w:tcPr>
          <w:p>
            <w:pPr>
              <w:pStyle w:val="TableParagraph"/>
              <w:rPr>
                <w:sz w:val="22"/>
              </w:rPr>
            </w:pPr>
            <w:r>
              <w:rPr>
                <w:sz w:val="22"/>
              </w:rPr>
              <w:t>Zero-based index of the number format (Fmt) record used by this cell format (XF).</w:t>
            </w:r>
          </w:p>
          <w:p>
            <w:pPr>
              <w:pStyle w:val="TableParagraph"/>
              <w:spacing w:before="0"/>
              <w:ind w:left="0"/>
              <w:rPr>
                <w:sz w:val="22"/>
              </w:rPr>
            </w:pPr>
          </w:p>
          <w:p>
            <w:pPr>
              <w:pStyle w:val="TableParagraph"/>
              <w:spacing w:before="1"/>
              <w:ind w:right="682"/>
              <w:rPr>
                <w:sz w:val="22"/>
              </w:rPr>
            </w:pPr>
            <w:r>
              <w:rPr>
                <w:sz w:val="22"/>
              </w:rPr>
              <w:t>The possible values for this attribute are defined by the </w:t>
            </w:r>
            <w:r>
              <w:rPr>
                <w:rFonts w:ascii="Cambria" w:hAnsi="Cambria"/>
                <w:sz w:val="22"/>
              </w:rPr>
              <w:t>ST_NumFmtId </w:t>
            </w:r>
            <w:r>
              <w:rPr>
                <w:sz w:val="22"/>
              </w:rPr>
              <w:t>simple type </w:t>
            </w:r>
            <w:hyperlink w:history="true" w:anchor="_bookmark869">
              <w:r>
                <w:rPr>
                  <w:sz w:val="22"/>
                </w:rPr>
                <w:t>(§18.18.47</w:t>
              </w:r>
            </w:hyperlink>
            <w:r>
              <w:rPr>
                <w:sz w:val="22"/>
              </w:rPr>
              <w:t>).</w:t>
            </w:r>
          </w:p>
        </w:tc>
      </w:tr>
      <w:tr>
        <w:trPr>
          <w:trHeight w:val="1158" w:hRule="atLeast"/>
        </w:trPr>
        <w:tc>
          <w:tcPr>
            <w:tcW w:w="2062" w:type="dxa"/>
          </w:tcPr>
          <w:p>
            <w:pPr>
              <w:pStyle w:val="TableParagraph"/>
              <w:ind w:right="858"/>
              <w:rPr>
                <w:sz w:val="22"/>
              </w:rPr>
            </w:pPr>
            <w:r>
              <w:rPr>
                <w:rFonts w:ascii="Cambria"/>
                <w:sz w:val="22"/>
              </w:rPr>
              <w:t>odxf </w:t>
            </w:r>
            <w:r>
              <w:rPr>
                <w:sz w:val="22"/>
              </w:rPr>
              <w:t>(Old Formatting)</w:t>
            </w:r>
          </w:p>
        </w:tc>
        <w:tc>
          <w:tcPr>
            <w:tcW w:w="8250" w:type="dxa"/>
          </w:tcPr>
          <w:p>
            <w:pPr>
              <w:pStyle w:val="TableParagraph"/>
              <w:rPr>
                <w:sz w:val="22"/>
              </w:rPr>
            </w:pPr>
            <w:r>
              <w:rPr>
                <w:sz w:val="22"/>
              </w:rPr>
              <w:t>Flag indicating that there is old formatting information available for this cell.</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ind w:right="108"/>
              <w:rPr>
                <w:sz w:val="22"/>
              </w:rPr>
            </w:pPr>
            <w:r>
              <w:rPr>
                <w:rFonts w:ascii="Cambria"/>
                <w:sz w:val="22"/>
              </w:rPr>
              <w:t>oldPh </w:t>
            </w:r>
            <w:r>
              <w:rPr>
                <w:sz w:val="22"/>
              </w:rPr>
              <w:t>(Old Phonetic Text)</w:t>
            </w:r>
          </w:p>
        </w:tc>
        <w:tc>
          <w:tcPr>
            <w:tcW w:w="8250" w:type="dxa"/>
          </w:tcPr>
          <w:p>
            <w:pPr>
              <w:pStyle w:val="TableParagraph"/>
              <w:ind w:right="325"/>
              <w:rPr>
                <w:sz w:val="22"/>
              </w:rPr>
            </w:pPr>
            <w:r>
              <w:rPr>
                <w:sz w:val="22"/>
              </w:rPr>
              <w:t>A Boolean flag indicating whether there is old phonetic text information available. True when there is old phonetic text information available, false otherwise.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6" w:hRule="atLeast"/>
        </w:trPr>
        <w:tc>
          <w:tcPr>
            <w:tcW w:w="2062" w:type="dxa"/>
          </w:tcPr>
          <w:p>
            <w:pPr>
              <w:pStyle w:val="TableParagraph"/>
              <w:spacing w:line="256" w:lineRule="exact" w:before="43"/>
              <w:rPr>
                <w:rFonts w:ascii="Cambria"/>
                <w:sz w:val="22"/>
              </w:rPr>
            </w:pPr>
            <w:r>
              <w:rPr>
                <w:rFonts w:ascii="Cambria"/>
                <w:sz w:val="22"/>
              </w:rPr>
              <w:t>oldQuotePrefix</w:t>
            </w:r>
          </w:p>
          <w:p>
            <w:pPr>
              <w:pStyle w:val="TableParagraph"/>
              <w:spacing w:line="267" w:lineRule="exact" w:before="0"/>
              <w:rPr>
                <w:sz w:val="22"/>
              </w:rPr>
            </w:pPr>
            <w:r>
              <w:rPr>
                <w:sz w:val="22"/>
              </w:rPr>
              <w:t>(Old Quote Prefix)</w:t>
            </w:r>
          </w:p>
        </w:tc>
        <w:tc>
          <w:tcPr>
            <w:tcW w:w="8250" w:type="dxa"/>
          </w:tcPr>
          <w:p>
            <w:pPr>
              <w:pStyle w:val="TableParagraph"/>
              <w:ind w:right="298"/>
              <w:rPr>
                <w:sz w:val="22"/>
              </w:rPr>
            </w:pPr>
            <w:r>
              <w:rPr>
                <w:sz w:val="22"/>
              </w:rPr>
              <w:t>A Boolean value indicating if a single quote prefix is was used on this cell previously. Single quote prefixes are used to cause a formula to be evaluated as a string. True if a single quote prefix was used previously, false otherwise</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rPr>
                <w:sz w:val="22"/>
              </w:rPr>
            </w:pPr>
            <w:r>
              <w:rPr>
                <w:rFonts w:ascii="Cambria"/>
                <w:sz w:val="22"/>
              </w:rPr>
              <w:t>ph </w:t>
            </w:r>
            <w:r>
              <w:rPr>
                <w:sz w:val="22"/>
              </w:rPr>
              <w:t>(Phonetic Text)</w:t>
            </w:r>
          </w:p>
        </w:tc>
        <w:tc>
          <w:tcPr>
            <w:tcW w:w="8250" w:type="dxa"/>
          </w:tcPr>
          <w:p>
            <w:pPr>
              <w:pStyle w:val="TableParagraph"/>
              <w:rPr>
                <w:sz w:val="22"/>
              </w:rPr>
            </w:pPr>
            <w:r>
              <w:rPr>
                <w:sz w:val="22"/>
              </w:rPr>
              <w:t>A Boolean flag indicating whether this cell contains phonetic text or not. True when the</w:t>
            </w:r>
          </w:p>
        </w:tc>
      </w:tr>
    </w:tbl>
    <w:p>
      <w:pPr>
        <w:spacing w:after="0"/>
        <w:rPr>
          <w:sz w:val="22"/>
        </w:rPr>
        <w:sectPr>
          <w:footerReference w:type="even" r:id="rId172"/>
          <w:footerReference w:type="default" r:id="rId173"/>
          <w:pgSz w:w="12240" w:h="15840"/>
          <w:pgMar w:footer="746" w:header="761" w:top="1340" w:bottom="940" w:left="860" w:right="700"/>
          <w:pgNumType w:start="197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cell contains phonetic text, false otherwise.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8" w:hRule="atLeast"/>
        </w:trPr>
        <w:tc>
          <w:tcPr>
            <w:tcW w:w="2062" w:type="dxa"/>
          </w:tcPr>
          <w:p>
            <w:pPr>
              <w:pStyle w:val="TableParagraph"/>
              <w:ind w:right="141"/>
              <w:rPr>
                <w:sz w:val="22"/>
              </w:rPr>
            </w:pPr>
            <w:r>
              <w:rPr>
                <w:rFonts w:ascii="Cambria"/>
                <w:sz w:val="22"/>
              </w:rPr>
              <w:t>quotePrefix </w:t>
            </w:r>
            <w:r>
              <w:rPr>
                <w:sz w:val="22"/>
              </w:rPr>
              <w:t>(Quote Prefix)</w:t>
            </w:r>
          </w:p>
        </w:tc>
        <w:tc>
          <w:tcPr>
            <w:tcW w:w="8250" w:type="dxa"/>
          </w:tcPr>
          <w:p>
            <w:pPr>
              <w:pStyle w:val="TableParagraph"/>
              <w:ind w:right="214"/>
              <w:jc w:val="both"/>
              <w:rPr>
                <w:sz w:val="22"/>
              </w:rPr>
            </w:pPr>
            <w:r>
              <w:rPr>
                <w:sz w:val="22"/>
              </w:rPr>
              <w:t>A Boolean value indicating if a single quote prefix is used. Single quote prefixes are used to cause a formula to be evaluated as a string. True if a single quote prefix is used, false otherwise.</w:t>
            </w:r>
          </w:p>
          <w:p>
            <w:pPr>
              <w:pStyle w:val="TableParagraph"/>
              <w:spacing w:before="0"/>
              <w:ind w:left="0"/>
              <w:rPr>
                <w:sz w:val="22"/>
              </w:rPr>
            </w:pPr>
          </w:p>
          <w:p>
            <w:pPr>
              <w:pStyle w:val="TableParagraph"/>
              <w:spacing w:before="1"/>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ind w:right="318"/>
              <w:rPr>
                <w:sz w:val="22"/>
              </w:rPr>
            </w:pPr>
            <w:r>
              <w:rPr>
                <w:rFonts w:ascii="Cambria"/>
                <w:sz w:val="22"/>
              </w:rPr>
              <w:t>ra </w:t>
            </w:r>
            <w:r>
              <w:rPr>
                <w:sz w:val="22"/>
              </w:rPr>
              <w:t>(Revision Undo Rejected)</w:t>
            </w:r>
          </w:p>
        </w:tc>
        <w:tc>
          <w:tcPr>
            <w:tcW w:w="8250" w:type="dxa"/>
          </w:tcPr>
          <w:p>
            <w:pPr>
              <w:pStyle w:val="TableParagraph"/>
              <w:ind w:right="168"/>
              <w:rPr>
                <w:sz w:val="22"/>
              </w:rPr>
            </w:pPr>
            <w:r>
              <w:rPr>
                <w:sz w:val="22"/>
              </w:rPr>
              <w:t>A Boolean flag which indicates that this revision was due to a previous undo (</w:t>
            </w:r>
            <w:r>
              <w:rPr>
                <w:rFonts w:ascii="Consolas"/>
                <w:sz w:val="20"/>
              </w:rPr>
              <w:t>ua</w:t>
            </w:r>
            <w:r>
              <w:rPr>
                <w:sz w:val="22"/>
              </w:rPr>
              <w:t>) revision being rejected.</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rPr>
                <w:sz w:val="22"/>
              </w:rPr>
            </w:pPr>
            <w:r>
              <w:rPr>
                <w:rFonts w:ascii="Cambria"/>
                <w:sz w:val="22"/>
              </w:rPr>
              <w:t>rId </w:t>
            </w:r>
            <w:r>
              <w:rPr>
                <w:sz w:val="22"/>
              </w:rPr>
              <w:t>(Revision Id)</w:t>
            </w:r>
          </w:p>
        </w:tc>
        <w:tc>
          <w:tcPr>
            <w:tcW w:w="8250" w:type="dxa"/>
          </w:tcPr>
          <w:p>
            <w:pPr>
              <w:pStyle w:val="TableParagraph"/>
              <w:rPr>
                <w:sz w:val="22"/>
              </w:rPr>
            </w:pPr>
            <w:r>
              <w:rPr>
                <w:sz w:val="22"/>
              </w:rPr>
              <w:t>An integer representing the number of this revision. This id shall apply to reviewable revision types only.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27" w:hRule="atLeast"/>
        </w:trPr>
        <w:tc>
          <w:tcPr>
            <w:tcW w:w="2062" w:type="dxa"/>
          </w:tcPr>
          <w:p>
            <w:pPr>
              <w:pStyle w:val="TableParagraph"/>
              <w:rPr>
                <w:sz w:val="22"/>
              </w:rPr>
            </w:pPr>
            <w:r>
              <w:rPr>
                <w:rFonts w:ascii="Cambria"/>
                <w:sz w:val="22"/>
              </w:rPr>
              <w:t>s </w:t>
            </w:r>
            <w:r>
              <w:rPr>
                <w:sz w:val="22"/>
              </w:rPr>
              <w:t>(Style Revision)</w:t>
            </w:r>
          </w:p>
        </w:tc>
        <w:tc>
          <w:tcPr>
            <w:tcW w:w="8250" w:type="dxa"/>
          </w:tcPr>
          <w:p>
            <w:pPr>
              <w:pStyle w:val="TableParagraph"/>
              <w:ind w:right="985"/>
              <w:rPr>
                <w:sz w:val="22"/>
              </w:rPr>
            </w:pPr>
            <w:r>
              <w:rPr>
                <w:sz w:val="22"/>
              </w:rPr>
              <w:t>Flag indicating that formatting change for this cell affected the cell's style. (Only applicable for Undo operations)</w:t>
            </w:r>
          </w:p>
          <w:p>
            <w:pPr>
              <w:pStyle w:val="TableParagraph"/>
              <w:spacing w:before="0"/>
              <w:ind w:left="0"/>
              <w:rPr>
                <w:sz w:val="22"/>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8" w:lineRule="exact"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sId </w:t>
            </w:r>
            <w:r>
              <w:rPr>
                <w:sz w:val="22"/>
              </w:rPr>
              <w:t>(Sheet Id)</w:t>
            </w:r>
          </w:p>
        </w:tc>
        <w:tc>
          <w:tcPr>
            <w:tcW w:w="8250" w:type="dxa"/>
          </w:tcPr>
          <w:p>
            <w:pPr>
              <w:pStyle w:val="TableParagraph"/>
              <w:rPr>
                <w:sz w:val="22"/>
              </w:rPr>
            </w:pPr>
            <w:r>
              <w:rPr>
                <w:sz w:val="22"/>
              </w:rPr>
              <w:t>Internal identifier of the sheet on which the revision occurred.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ind w:right="306"/>
              <w:rPr>
                <w:sz w:val="22"/>
              </w:rPr>
            </w:pPr>
            <w:r>
              <w:rPr>
                <w:rFonts w:ascii="Cambria"/>
                <w:sz w:val="22"/>
              </w:rPr>
              <w:t>ua </w:t>
            </w:r>
            <w:r>
              <w:rPr>
                <w:sz w:val="22"/>
              </w:rPr>
              <w:t>(Revision From Rejection)</w:t>
            </w:r>
          </w:p>
        </w:tc>
        <w:tc>
          <w:tcPr>
            <w:tcW w:w="8250" w:type="dxa"/>
          </w:tcPr>
          <w:p>
            <w:pPr>
              <w:pStyle w:val="TableParagraph"/>
              <w:ind w:right="803"/>
              <w:rPr>
                <w:sz w:val="22"/>
              </w:rPr>
            </w:pPr>
            <w:r>
              <w:rPr>
                <w:sz w:val="22"/>
              </w:rPr>
              <w:t>A Boolean flag indicating that this revision occurred because another revision was rejected and therefore undone.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ind w:right="141"/>
              <w:rPr>
                <w:sz w:val="22"/>
              </w:rPr>
            </w:pPr>
            <w:r>
              <w:rPr>
                <w:rFonts w:ascii="Cambria"/>
                <w:sz w:val="22"/>
              </w:rPr>
              <w:t>xfDxf </w:t>
            </w:r>
            <w:r>
              <w:rPr>
                <w:sz w:val="22"/>
              </w:rPr>
              <w:t>(Row Column Formatting Change)</w:t>
            </w:r>
          </w:p>
        </w:tc>
        <w:tc>
          <w:tcPr>
            <w:tcW w:w="8250" w:type="dxa"/>
          </w:tcPr>
          <w:p>
            <w:pPr>
              <w:pStyle w:val="TableParagraph"/>
              <w:ind w:right="323"/>
              <w:rPr>
                <w:sz w:val="22"/>
              </w:rPr>
            </w:pPr>
            <w:r>
              <w:rPr>
                <w:sz w:val="22"/>
              </w:rPr>
              <w:t>Flag indicating that the formatting change had an effect on the formatting of the entire row or column that this cell belongs to. (Only applicable for Undo operations).</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CT_RevisionCellChange</w:t>
      </w:r>
      <w:r>
        <w:rPr/>
        <w:t>) is located in</w:t>
      </w:r>
    </w:p>
    <w:p>
      <w:pPr>
        <w:spacing w:before="43"/>
        <w:ind w:left="220" w:right="0" w:firstLine="0"/>
        <w:jc w:val="left"/>
        <w:rPr>
          <w:sz w:val="22"/>
        </w:rPr>
      </w:pPr>
      <w:r>
        <w:rPr>
          <w:sz w:val="22"/>
        </w:rPr>
        <w:t>§A.2. </w:t>
      </w: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3"/>
        <w:numPr>
          <w:ilvl w:val="3"/>
          <w:numId w:val="52"/>
        </w:numPr>
        <w:tabs>
          <w:tab w:pos="1732" w:val="left" w:leader="none"/>
          <w:tab w:pos="1733" w:val="left" w:leader="none"/>
        </w:tabs>
        <w:spacing w:line="240" w:lineRule="auto" w:before="93" w:after="0"/>
        <w:ind w:left="1732" w:right="0" w:hanging="1513"/>
        <w:jc w:val="left"/>
      </w:pPr>
      <w:bookmarkStart w:name="18.11.1.10 rcft (Revision Merge Conflict" w:id="1085"/>
      <w:bookmarkEnd w:id="1085"/>
      <w:r>
        <w:rPr/>
      </w:r>
      <w:bookmarkStart w:name="_bookmark360" w:id="1086"/>
      <w:bookmarkEnd w:id="1086"/>
      <w:r>
        <w:rPr/>
      </w:r>
      <w:bookmarkStart w:name="_bookmark360" w:id="1087"/>
      <w:bookmarkEnd w:id="1087"/>
      <w:r>
        <w:rPr>
          <w:color w:val="4F81BC"/>
        </w:rPr>
        <w:t>r</w:t>
      </w:r>
      <w:r>
        <w:rPr>
          <w:color w:val="4F81BC"/>
        </w:rPr>
        <w:t>cft (Revision Merge</w:t>
      </w:r>
      <w:r>
        <w:rPr>
          <w:color w:val="4F81BC"/>
          <w:spacing w:val="-2"/>
        </w:rPr>
        <w:t> </w:t>
      </w:r>
      <w:r>
        <w:rPr>
          <w:color w:val="4F81BC"/>
        </w:rPr>
        <w:t>Conflict)</w:t>
      </w:r>
    </w:p>
    <w:p>
      <w:pPr>
        <w:pStyle w:val="BodyText"/>
        <w:spacing w:before="122"/>
        <w:ind w:left="220"/>
      </w:pPr>
      <w:r>
        <w:rPr/>
        <w:t>This element represents a revision record which indicates that there was a merge conflict.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9" w:hRule="atLeast"/>
        </w:trPr>
        <w:tc>
          <w:tcPr>
            <w:tcW w:w="2062" w:type="dxa"/>
          </w:tcPr>
          <w:p>
            <w:pPr>
              <w:pStyle w:val="TableParagraph"/>
              <w:ind w:right="318"/>
              <w:rPr>
                <w:sz w:val="22"/>
              </w:rPr>
            </w:pPr>
            <w:r>
              <w:rPr>
                <w:rFonts w:ascii="Cambria"/>
                <w:sz w:val="22"/>
              </w:rPr>
              <w:t>ra </w:t>
            </w:r>
            <w:r>
              <w:rPr>
                <w:sz w:val="22"/>
              </w:rPr>
              <w:t>(Revision Undo Rejected)</w:t>
            </w:r>
          </w:p>
        </w:tc>
        <w:tc>
          <w:tcPr>
            <w:tcW w:w="8250" w:type="dxa"/>
          </w:tcPr>
          <w:p>
            <w:pPr>
              <w:pStyle w:val="TableParagraph"/>
              <w:ind w:right="168"/>
              <w:rPr>
                <w:sz w:val="22"/>
              </w:rPr>
            </w:pPr>
            <w:r>
              <w:rPr>
                <w:sz w:val="22"/>
              </w:rPr>
              <w:t>A Boolean flag which indicates that this revision was due to a previous undo (</w:t>
            </w:r>
            <w:r>
              <w:rPr>
                <w:rFonts w:ascii="Consolas"/>
                <w:sz w:val="20"/>
              </w:rPr>
              <w:t>ua</w:t>
            </w:r>
            <w:r>
              <w:rPr>
                <w:sz w:val="22"/>
              </w:rPr>
              <w:t>) revision being rejected.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rPr>
                <w:sz w:val="22"/>
              </w:rPr>
            </w:pPr>
            <w:r>
              <w:rPr>
                <w:rFonts w:ascii="Cambria"/>
                <w:sz w:val="22"/>
              </w:rPr>
              <w:t>rId </w:t>
            </w:r>
            <w:r>
              <w:rPr>
                <w:sz w:val="22"/>
              </w:rPr>
              <w:t>(Revision Id)</w:t>
            </w:r>
          </w:p>
        </w:tc>
        <w:tc>
          <w:tcPr>
            <w:tcW w:w="8250" w:type="dxa"/>
          </w:tcPr>
          <w:p>
            <w:pPr>
              <w:pStyle w:val="TableParagraph"/>
              <w:rPr>
                <w:sz w:val="22"/>
              </w:rPr>
            </w:pPr>
            <w:r>
              <w:rPr>
                <w:sz w:val="22"/>
              </w:rPr>
              <w:t>An integer representing the number of this revision. This id shall apply to reviewable revision types only.</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ind w:right="306"/>
              <w:rPr>
                <w:sz w:val="22"/>
              </w:rPr>
            </w:pPr>
            <w:r>
              <w:rPr>
                <w:rFonts w:ascii="Cambria"/>
                <w:sz w:val="22"/>
              </w:rPr>
              <w:t>ua </w:t>
            </w:r>
            <w:r>
              <w:rPr>
                <w:sz w:val="22"/>
              </w:rPr>
              <w:t>(Revision From Rejection)</w:t>
            </w:r>
          </w:p>
        </w:tc>
        <w:tc>
          <w:tcPr>
            <w:tcW w:w="8250" w:type="dxa"/>
          </w:tcPr>
          <w:p>
            <w:pPr>
              <w:pStyle w:val="TableParagraph"/>
              <w:ind w:right="803"/>
              <w:rPr>
                <w:sz w:val="22"/>
              </w:rPr>
            </w:pPr>
            <w:r>
              <w:rPr>
                <w:sz w:val="22"/>
              </w:rPr>
              <w:t>A Boolean flag indicating that this revision occurred because another revision was rejected and therefore undone.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CT_RevisionConflict</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11 rcmt (Revision Cell Comment)" w:id="1088"/>
      <w:bookmarkEnd w:id="1088"/>
      <w:r>
        <w:rPr/>
      </w:r>
      <w:bookmarkStart w:name="_bookmark361" w:id="1089"/>
      <w:bookmarkEnd w:id="1089"/>
      <w:r>
        <w:rPr/>
      </w:r>
      <w:bookmarkStart w:name="_bookmark361" w:id="1090"/>
      <w:bookmarkEnd w:id="1090"/>
      <w:r>
        <w:rPr>
          <w:color w:val="4F81BC"/>
        </w:rPr>
        <w:t>r</w:t>
      </w:r>
      <w:r>
        <w:rPr>
          <w:color w:val="4F81BC"/>
        </w:rPr>
        <w:t>cmt (Revision Cell</w:t>
      </w:r>
      <w:r>
        <w:rPr>
          <w:color w:val="4F81BC"/>
          <w:spacing w:val="-2"/>
        </w:rPr>
        <w:t> </w:t>
      </w:r>
      <w:r>
        <w:rPr>
          <w:color w:val="4F81BC"/>
        </w:rPr>
        <w:t>Comment)</w:t>
      </w:r>
    </w:p>
    <w:p>
      <w:pPr>
        <w:pStyle w:val="BodyText"/>
        <w:spacing w:before="121"/>
        <w:ind w:left="220"/>
      </w:pPr>
      <w:r>
        <w:rPr/>
        <w:t>This element represents a revision record of a cell comment change.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rPr>
                <w:sz w:val="22"/>
              </w:rPr>
            </w:pPr>
            <w:r>
              <w:rPr>
                <w:rFonts w:ascii="Cambria"/>
                <w:sz w:val="22"/>
              </w:rPr>
              <w:t>action </w:t>
            </w:r>
            <w:r>
              <w:rPr>
                <w:sz w:val="22"/>
              </w:rPr>
              <w:t>(User Action)</w:t>
            </w:r>
          </w:p>
        </w:tc>
        <w:tc>
          <w:tcPr>
            <w:tcW w:w="8250" w:type="dxa"/>
          </w:tcPr>
          <w:p>
            <w:pPr>
              <w:pStyle w:val="TableParagraph"/>
              <w:ind w:right="854"/>
              <w:rPr>
                <w:sz w:val="22"/>
              </w:rPr>
            </w:pPr>
            <w:r>
              <w:rPr>
                <w:sz w:val="22"/>
              </w:rPr>
              <w:t>An enumeration identifying what kind of an operation the user performed on the comment.</w:t>
            </w:r>
          </w:p>
          <w:p>
            <w:pPr>
              <w:pStyle w:val="TableParagraph"/>
              <w:spacing w:before="0"/>
              <w:ind w:left="0"/>
              <w:rPr>
                <w:sz w:val="22"/>
              </w:rPr>
            </w:pPr>
          </w:p>
          <w:p>
            <w:pPr>
              <w:pStyle w:val="TableParagraph"/>
              <w:spacing w:before="0"/>
              <w:ind w:right="284"/>
              <w:rPr>
                <w:sz w:val="22"/>
              </w:rPr>
            </w:pPr>
            <w:r>
              <w:rPr>
                <w:sz w:val="22"/>
              </w:rPr>
              <w:t>The possible values for this attribute are defined by the </w:t>
            </w:r>
            <w:r>
              <w:rPr>
                <w:rFonts w:ascii="Cambria" w:hAnsi="Cambria"/>
                <w:sz w:val="22"/>
              </w:rPr>
              <w:t>ST_RevisionAction </w:t>
            </w:r>
            <w:r>
              <w:rPr>
                <w:sz w:val="22"/>
              </w:rPr>
              <w:t>simple type </w:t>
            </w:r>
            <w:hyperlink w:history="true" w:anchor="_bookmark887">
              <w:r>
                <w:rPr>
                  <w:sz w:val="22"/>
                </w:rPr>
                <w:t>(§18.18.65</w:t>
              </w:r>
            </w:hyperlink>
            <w:r>
              <w:rPr>
                <w:sz w:val="22"/>
              </w:rPr>
              <w:t>).</w:t>
            </w:r>
          </w:p>
        </w:tc>
      </w:tr>
      <w:tr>
        <w:trPr>
          <w:trHeight w:val="1427" w:hRule="atLeast"/>
        </w:trPr>
        <w:tc>
          <w:tcPr>
            <w:tcW w:w="2062" w:type="dxa"/>
          </w:tcPr>
          <w:p>
            <w:pPr>
              <w:pStyle w:val="TableParagraph"/>
              <w:spacing w:line="237" w:lineRule="auto" w:before="45"/>
              <w:ind w:right="700"/>
              <w:jc w:val="both"/>
              <w:rPr>
                <w:sz w:val="22"/>
              </w:rPr>
            </w:pPr>
            <w:r>
              <w:rPr>
                <w:rFonts w:ascii="Cambria"/>
                <w:sz w:val="22"/>
              </w:rPr>
              <w:t>alwaysShow </w:t>
            </w:r>
            <w:r>
              <w:rPr>
                <w:sz w:val="22"/>
              </w:rPr>
              <w:t>(Always Show Comment)</w:t>
            </w:r>
          </w:p>
        </w:tc>
        <w:tc>
          <w:tcPr>
            <w:tcW w:w="8250" w:type="dxa"/>
          </w:tcPr>
          <w:p>
            <w:pPr>
              <w:pStyle w:val="TableParagraph"/>
              <w:ind w:right="214"/>
              <w:rPr>
                <w:sz w:val="22"/>
              </w:rPr>
            </w:pPr>
            <w:r>
              <w:rPr>
                <w:sz w:val="22"/>
              </w:rPr>
              <w:t>A Boolean value indicating that the user has set this comment to always be visible. True if the comment is set to always be visible, false otherwise.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rPr>
                <w:sz w:val="22"/>
              </w:rPr>
            </w:pPr>
            <w:r>
              <w:rPr>
                <w:rFonts w:ascii="Cambria"/>
                <w:sz w:val="22"/>
              </w:rPr>
              <w:t>author </w:t>
            </w:r>
            <w:r>
              <w:rPr>
                <w:sz w:val="22"/>
              </w:rPr>
              <w:t>(Author)</w:t>
            </w:r>
          </w:p>
        </w:tc>
        <w:tc>
          <w:tcPr>
            <w:tcW w:w="8250" w:type="dxa"/>
          </w:tcPr>
          <w:p>
            <w:pPr>
              <w:pStyle w:val="TableParagraph"/>
              <w:rPr>
                <w:sz w:val="22"/>
              </w:rPr>
            </w:pPr>
            <w:r>
              <w:rPr>
                <w:sz w:val="22"/>
              </w:rPr>
              <w:t>A string representing the name of the author who changed this comment.</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rPr>
                <w:sz w:val="22"/>
              </w:rPr>
            </w:pPr>
            <w:r>
              <w:rPr>
                <w:rFonts w:ascii="Cambria"/>
                <w:sz w:val="22"/>
              </w:rPr>
              <w:t>cell </w:t>
            </w:r>
            <w:r>
              <w:rPr>
                <w:sz w:val="22"/>
              </w:rPr>
              <w:t>(Cell)</w:t>
            </w:r>
          </w:p>
        </w:tc>
        <w:tc>
          <w:tcPr>
            <w:tcW w:w="8250" w:type="dxa"/>
          </w:tcPr>
          <w:p>
            <w:pPr>
              <w:pStyle w:val="TableParagraph"/>
              <w:rPr>
                <w:sz w:val="22"/>
              </w:rPr>
            </w:pPr>
            <w:r>
              <w:rPr>
                <w:sz w:val="22"/>
              </w:rPr>
              <w:t>An A-1 style reference to the cell where the comment was changed.</w:t>
            </w:r>
          </w:p>
          <w:p>
            <w:pPr>
              <w:pStyle w:val="TableParagraph"/>
              <w:spacing w:before="10"/>
              <w:ind w:left="0"/>
              <w:rPr>
                <w:sz w:val="21"/>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892" w:hRule="atLeast"/>
        </w:trPr>
        <w:tc>
          <w:tcPr>
            <w:tcW w:w="2062" w:type="dxa"/>
          </w:tcPr>
          <w:p>
            <w:pPr>
              <w:pStyle w:val="TableParagraph"/>
              <w:rPr>
                <w:sz w:val="22"/>
              </w:rPr>
            </w:pPr>
            <w:r>
              <w:rPr>
                <w:rFonts w:ascii="Cambria"/>
                <w:sz w:val="22"/>
              </w:rPr>
              <w:t>guid </w:t>
            </w:r>
            <w:r>
              <w:rPr>
                <w:sz w:val="22"/>
              </w:rPr>
              <w:t>(GUID)</w:t>
            </w:r>
          </w:p>
        </w:tc>
        <w:tc>
          <w:tcPr>
            <w:tcW w:w="8250" w:type="dxa"/>
          </w:tcPr>
          <w:p>
            <w:pPr>
              <w:pStyle w:val="TableParagraph"/>
              <w:rPr>
                <w:sz w:val="22"/>
              </w:rPr>
            </w:pPr>
            <w:r>
              <w:rPr>
                <w:sz w:val="22"/>
              </w:rPr>
              <w:t>A globally unique identifier of this comment.</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1428" w:hRule="atLeast"/>
        </w:trPr>
        <w:tc>
          <w:tcPr>
            <w:tcW w:w="2062" w:type="dxa"/>
          </w:tcPr>
          <w:p>
            <w:pPr>
              <w:pStyle w:val="TableParagraph"/>
              <w:spacing w:line="256" w:lineRule="exact" w:before="42"/>
              <w:rPr>
                <w:rFonts w:ascii="Cambria"/>
                <w:sz w:val="22"/>
              </w:rPr>
            </w:pPr>
            <w:r>
              <w:rPr>
                <w:rFonts w:ascii="Cambria"/>
                <w:sz w:val="22"/>
              </w:rPr>
              <w:t>hiddenColumn</w:t>
            </w:r>
          </w:p>
          <w:p>
            <w:pPr>
              <w:pStyle w:val="TableParagraph"/>
              <w:spacing w:line="267" w:lineRule="exact" w:before="0"/>
              <w:rPr>
                <w:sz w:val="22"/>
              </w:rPr>
            </w:pPr>
            <w:r>
              <w:rPr>
                <w:sz w:val="22"/>
              </w:rPr>
              <w:t>(Hidden Column)</w:t>
            </w:r>
          </w:p>
        </w:tc>
        <w:tc>
          <w:tcPr>
            <w:tcW w:w="8250" w:type="dxa"/>
          </w:tcPr>
          <w:p>
            <w:pPr>
              <w:pStyle w:val="TableParagraph"/>
              <w:ind w:right="265"/>
              <w:rPr>
                <w:sz w:val="22"/>
              </w:rPr>
            </w:pPr>
            <w:r>
              <w:rPr>
                <w:sz w:val="22"/>
              </w:rPr>
              <w:t>A Boolean value indicating that the comment belongs to a cell in a hidden column. True if the comment is in a hidden column, false otherwise.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before="42"/>
              <w:ind w:right="746"/>
              <w:rPr>
                <w:sz w:val="22"/>
              </w:rPr>
            </w:pPr>
            <w:r>
              <w:rPr>
                <w:rFonts w:ascii="Cambria"/>
                <w:sz w:val="22"/>
              </w:rPr>
              <w:t>hiddenRow </w:t>
            </w:r>
            <w:r>
              <w:rPr>
                <w:sz w:val="22"/>
              </w:rPr>
              <w:t>(Comment In Hidden Row)</w:t>
            </w:r>
          </w:p>
        </w:tc>
        <w:tc>
          <w:tcPr>
            <w:tcW w:w="8250" w:type="dxa"/>
          </w:tcPr>
          <w:p>
            <w:pPr>
              <w:pStyle w:val="TableParagraph"/>
              <w:ind w:right="298"/>
              <w:rPr>
                <w:sz w:val="22"/>
              </w:rPr>
            </w:pPr>
            <w:r>
              <w:rPr>
                <w:sz w:val="22"/>
              </w:rPr>
              <w:t>A Boolean value indicating that the comment belongs to a cell in a hidden row. True if the comment is in a hidden row, false otherwise.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ind w:right="306"/>
              <w:rPr>
                <w:sz w:val="22"/>
              </w:rPr>
            </w:pPr>
            <w:r>
              <w:rPr>
                <w:rFonts w:ascii="Cambria"/>
                <w:sz w:val="22"/>
              </w:rPr>
              <w:t>newLength </w:t>
            </w:r>
            <w:r>
              <w:rPr>
                <w:sz w:val="22"/>
              </w:rPr>
              <w:t>(New Comment Length)</w:t>
            </w:r>
          </w:p>
        </w:tc>
        <w:tc>
          <w:tcPr>
            <w:tcW w:w="8250" w:type="dxa"/>
          </w:tcPr>
          <w:p>
            <w:pPr>
              <w:pStyle w:val="TableParagraph"/>
              <w:rPr>
                <w:sz w:val="22"/>
              </w:rPr>
            </w:pPr>
            <w:r>
              <w:rPr>
                <w:sz w:val="22"/>
              </w:rPr>
              <w:t>Length of the comment text added in this revision.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30" w:hRule="atLeast"/>
        </w:trPr>
        <w:tc>
          <w:tcPr>
            <w:tcW w:w="2062" w:type="dxa"/>
          </w:tcPr>
          <w:p>
            <w:pPr>
              <w:pStyle w:val="TableParagraph"/>
              <w:spacing w:before="42"/>
              <w:rPr>
                <w:sz w:val="22"/>
              </w:rPr>
            </w:pPr>
            <w:r>
              <w:rPr>
                <w:rFonts w:ascii="Cambria"/>
                <w:sz w:val="22"/>
              </w:rPr>
              <w:t>old </w:t>
            </w:r>
            <w:r>
              <w:rPr>
                <w:sz w:val="22"/>
              </w:rPr>
              <w:t>(Old Comment)</w:t>
            </w:r>
          </w:p>
        </w:tc>
        <w:tc>
          <w:tcPr>
            <w:tcW w:w="8250" w:type="dxa"/>
          </w:tcPr>
          <w:p>
            <w:pPr>
              <w:pStyle w:val="TableParagraph"/>
              <w:spacing w:line="237" w:lineRule="auto" w:before="45"/>
              <w:ind w:right="611"/>
              <w:rPr>
                <w:sz w:val="22"/>
              </w:rPr>
            </w:pPr>
            <w:r>
              <w:rPr>
                <w:sz w:val="22"/>
              </w:rPr>
              <w:t>An ignorable Boolean value used for backwards compatibility that indicates that the original comment was created by a legacy spreadsheet application.</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152"/>
              <w:rPr>
                <w:sz w:val="22"/>
              </w:rPr>
            </w:pPr>
            <w:r>
              <w:rPr>
                <w:rFonts w:ascii="Cambria"/>
                <w:sz w:val="22"/>
              </w:rPr>
              <w:t>oldLength </w:t>
            </w:r>
            <w:r>
              <w:rPr>
                <w:sz w:val="22"/>
              </w:rPr>
              <w:t>(Original Comment Length)</w:t>
            </w:r>
          </w:p>
        </w:tc>
        <w:tc>
          <w:tcPr>
            <w:tcW w:w="8250" w:type="dxa"/>
          </w:tcPr>
          <w:p>
            <w:pPr>
              <w:pStyle w:val="TableParagraph"/>
              <w:rPr>
                <w:sz w:val="22"/>
              </w:rPr>
            </w:pPr>
            <w:r>
              <w:rPr>
                <w:sz w:val="22"/>
              </w:rPr>
              <w:t>Length of the comment before this revision was made.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9"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CT_RevisionComment</w:t>
      </w:r>
      <w:r>
        <w:rPr/>
        <w:t>) is located in</w:t>
      </w:r>
    </w:p>
    <w:p>
      <w:pPr>
        <w:spacing w:before="43"/>
        <w:ind w:left="220" w:right="0" w:firstLine="0"/>
        <w:jc w:val="left"/>
        <w:rPr>
          <w:sz w:val="22"/>
        </w:rPr>
      </w:pPr>
      <w:r>
        <w:rPr>
          <w:sz w:val="22"/>
        </w:rPr>
        <w:t>§A.2. </w:t>
      </w: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3"/>
        <w:numPr>
          <w:ilvl w:val="3"/>
          <w:numId w:val="52"/>
        </w:numPr>
        <w:tabs>
          <w:tab w:pos="1732" w:val="left" w:leader="none"/>
          <w:tab w:pos="1733" w:val="left" w:leader="none"/>
        </w:tabs>
        <w:spacing w:line="240" w:lineRule="auto" w:before="93" w:after="0"/>
        <w:ind w:left="1732" w:right="0" w:hanging="1513"/>
        <w:jc w:val="left"/>
      </w:pPr>
      <w:bookmarkStart w:name="18.11.1.12 rcv (Revision Custom View)" w:id="1091"/>
      <w:bookmarkEnd w:id="1091"/>
      <w:r>
        <w:rPr/>
      </w:r>
      <w:bookmarkStart w:name="_bookmark362" w:id="1092"/>
      <w:bookmarkEnd w:id="1092"/>
      <w:r>
        <w:rPr/>
      </w:r>
      <w:bookmarkStart w:name="_bookmark362" w:id="1093"/>
      <w:bookmarkEnd w:id="1093"/>
      <w:r>
        <w:rPr>
          <w:color w:val="4F81BC"/>
        </w:rPr>
        <w:t>r</w:t>
      </w:r>
      <w:r>
        <w:rPr>
          <w:color w:val="4F81BC"/>
        </w:rPr>
        <w:t>cv (Revision Custom</w:t>
      </w:r>
      <w:r>
        <w:rPr>
          <w:color w:val="4F81BC"/>
          <w:spacing w:val="-2"/>
        </w:rPr>
        <w:t> </w:t>
      </w:r>
      <w:r>
        <w:rPr>
          <w:color w:val="4F81BC"/>
        </w:rPr>
        <w:t>View)</w:t>
      </w:r>
    </w:p>
    <w:p>
      <w:pPr>
        <w:pStyle w:val="BodyText"/>
        <w:spacing w:before="122"/>
        <w:ind w:left="220"/>
      </w:pPr>
      <w:r>
        <w:rPr/>
        <w:t>This element represents a revision record of adding or removing a custom view to the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action </w:t>
            </w:r>
            <w:r>
              <w:rPr>
                <w:sz w:val="22"/>
              </w:rPr>
              <w:t>(User Action)</w:t>
            </w:r>
          </w:p>
        </w:tc>
        <w:tc>
          <w:tcPr>
            <w:tcW w:w="8250" w:type="dxa"/>
          </w:tcPr>
          <w:p>
            <w:pPr>
              <w:pStyle w:val="TableParagraph"/>
              <w:rPr>
                <w:sz w:val="22"/>
              </w:rPr>
            </w:pPr>
            <w:r>
              <w:rPr>
                <w:sz w:val="22"/>
              </w:rPr>
              <w:t>An enumeration representing the action that the user performed.</w:t>
            </w:r>
          </w:p>
          <w:p>
            <w:pPr>
              <w:pStyle w:val="TableParagraph"/>
              <w:spacing w:before="0"/>
              <w:ind w:left="0"/>
              <w:rPr>
                <w:sz w:val="22"/>
              </w:rPr>
            </w:pPr>
          </w:p>
          <w:p>
            <w:pPr>
              <w:pStyle w:val="TableParagraph"/>
              <w:spacing w:before="0"/>
              <w:ind w:right="284"/>
              <w:rPr>
                <w:sz w:val="22"/>
              </w:rPr>
            </w:pPr>
            <w:r>
              <w:rPr>
                <w:sz w:val="22"/>
              </w:rPr>
              <w:t>The possible values for this attribute are defined by the </w:t>
            </w:r>
            <w:r>
              <w:rPr>
                <w:rFonts w:ascii="Cambria" w:hAnsi="Cambria"/>
                <w:sz w:val="22"/>
              </w:rPr>
              <w:t>ST_RevisionAction </w:t>
            </w:r>
            <w:r>
              <w:rPr>
                <w:sz w:val="22"/>
              </w:rPr>
              <w:t>simple type </w:t>
            </w:r>
            <w:hyperlink w:history="true" w:anchor="_bookmark887">
              <w:r>
                <w:rPr>
                  <w:sz w:val="22"/>
                </w:rPr>
                <w:t>(§18.18.65</w:t>
              </w:r>
            </w:hyperlink>
            <w:r>
              <w:rPr>
                <w:sz w:val="22"/>
              </w:rPr>
              <w:t>).</w:t>
            </w:r>
          </w:p>
        </w:tc>
      </w:tr>
      <w:tr>
        <w:trPr>
          <w:trHeight w:val="892" w:hRule="atLeast"/>
        </w:trPr>
        <w:tc>
          <w:tcPr>
            <w:tcW w:w="2062" w:type="dxa"/>
          </w:tcPr>
          <w:p>
            <w:pPr>
              <w:pStyle w:val="TableParagraph"/>
              <w:rPr>
                <w:sz w:val="22"/>
              </w:rPr>
            </w:pPr>
            <w:r>
              <w:rPr>
                <w:rFonts w:ascii="Cambria"/>
                <w:sz w:val="22"/>
              </w:rPr>
              <w:t>guid </w:t>
            </w:r>
            <w:r>
              <w:rPr>
                <w:sz w:val="22"/>
              </w:rPr>
              <w:t>(GUID)</w:t>
            </w:r>
          </w:p>
        </w:tc>
        <w:tc>
          <w:tcPr>
            <w:tcW w:w="8250" w:type="dxa"/>
          </w:tcPr>
          <w:p>
            <w:pPr>
              <w:pStyle w:val="TableParagraph"/>
              <w:rPr>
                <w:sz w:val="22"/>
              </w:rPr>
            </w:pPr>
            <w:r>
              <w:rPr>
                <w:sz w:val="22"/>
              </w:rPr>
              <w:t>A globally unique identifier of the custom view.</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bl>
    <w:p>
      <w:pPr>
        <w:pStyle w:val="BodyText"/>
      </w:pPr>
    </w:p>
    <w:p>
      <w:pPr>
        <w:pStyle w:val="BodyText"/>
        <w:spacing w:before="5"/>
        <w:rPr>
          <w:sz w:val="19"/>
        </w:rPr>
      </w:pPr>
    </w:p>
    <w:p>
      <w:pPr>
        <w:pStyle w:val="BodyText"/>
        <w:spacing w:before="1"/>
        <w:ind w:left="220"/>
      </w:pPr>
      <w:r>
        <w:rPr/>
        <w:t>[</w:t>
      </w:r>
      <w:r>
        <w:rPr>
          <w:i/>
        </w:rPr>
        <w:t>Note</w:t>
      </w:r>
      <w:r>
        <w:rPr/>
        <w:t>: The W3C XML Schema definition of this element’s content model (</w:t>
      </w:r>
      <w:r>
        <w:rPr>
          <w:color w:val="5F5F5F"/>
          <w:u w:val="single" w:color="5F5F5F"/>
        </w:rPr>
        <w:t>CT_RevisionCustomView</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52"/>
        </w:numPr>
        <w:tabs>
          <w:tab w:pos="1732" w:val="left" w:leader="none"/>
          <w:tab w:pos="1733" w:val="left" w:leader="none"/>
        </w:tabs>
        <w:spacing w:line="240" w:lineRule="auto" w:before="1" w:after="0"/>
        <w:ind w:left="1732" w:right="0" w:hanging="1513"/>
        <w:jc w:val="left"/>
      </w:pPr>
      <w:bookmarkStart w:name="18.11.1.13 rdn (Revision Defined Name)" w:id="1094"/>
      <w:bookmarkEnd w:id="1094"/>
      <w:r>
        <w:rPr/>
      </w:r>
      <w:bookmarkStart w:name="_bookmark363" w:id="1095"/>
      <w:bookmarkEnd w:id="1095"/>
      <w:r>
        <w:rPr/>
      </w:r>
      <w:bookmarkStart w:name="_bookmark363" w:id="1096"/>
      <w:bookmarkEnd w:id="1096"/>
      <w:r>
        <w:rPr>
          <w:color w:val="4F81BC"/>
        </w:rPr>
        <w:t>r</w:t>
      </w:r>
      <w:r>
        <w:rPr>
          <w:color w:val="4F81BC"/>
        </w:rPr>
        <w:t>dn (Revision Defined</w:t>
      </w:r>
      <w:r>
        <w:rPr>
          <w:color w:val="4F81BC"/>
          <w:spacing w:val="-2"/>
        </w:rPr>
        <w:t> </w:t>
      </w:r>
      <w:r>
        <w:rPr>
          <w:color w:val="4F81BC"/>
        </w:rPr>
        <w:t>Name)</w:t>
      </w:r>
    </w:p>
    <w:p>
      <w:pPr>
        <w:pStyle w:val="BodyText"/>
        <w:spacing w:before="121"/>
        <w:ind w:left="220"/>
      </w:pPr>
      <w:r>
        <w:rPr/>
        <w:t>This element represents a revision record of a defined name change.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8" w:hRule="atLeast"/>
        </w:trPr>
        <w:tc>
          <w:tcPr>
            <w:tcW w:w="2062" w:type="dxa"/>
          </w:tcPr>
          <w:p>
            <w:pPr>
              <w:pStyle w:val="TableParagraph"/>
              <w:ind w:right="384"/>
              <w:rPr>
                <w:sz w:val="22"/>
              </w:rPr>
            </w:pPr>
            <w:r>
              <w:rPr>
                <w:rFonts w:ascii="Cambria"/>
                <w:sz w:val="22"/>
              </w:rPr>
              <w:t>comment </w:t>
            </w:r>
            <w:r>
              <w:rPr>
                <w:sz w:val="22"/>
              </w:rPr>
              <w:t>(Name Comment)</w:t>
            </w:r>
          </w:p>
        </w:tc>
        <w:tc>
          <w:tcPr>
            <w:tcW w:w="8250" w:type="dxa"/>
          </w:tcPr>
          <w:p>
            <w:pPr>
              <w:pStyle w:val="TableParagraph"/>
              <w:rPr>
                <w:sz w:val="22"/>
              </w:rPr>
            </w:pPr>
            <w:r>
              <w:rPr>
                <w:sz w:val="22"/>
              </w:rPr>
              <w:t>A string representing a comment about the defined name.</w:t>
            </w:r>
          </w:p>
          <w:p>
            <w:pPr>
              <w:pStyle w:val="TableParagraph"/>
              <w:spacing w:before="0"/>
              <w:ind w:left="0"/>
              <w:rPr>
                <w:sz w:val="22"/>
              </w:rPr>
            </w:pPr>
          </w:p>
          <w:p>
            <w:pPr>
              <w:pStyle w:val="TableParagraph"/>
              <w:spacing w:before="0"/>
              <w:ind w:right="251"/>
              <w:rPr>
                <w:sz w:val="22"/>
              </w:rPr>
            </w:pPr>
            <w:r>
              <w:rPr>
                <w:sz w:val="22"/>
              </w:rPr>
              <w:t>This comment can be shown by the spreadsheet application in a names management UI so that users have more information about what the defined name is used for.</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174"/>
              <w:rPr>
                <w:sz w:val="22"/>
              </w:rPr>
            </w:pPr>
            <w:r>
              <w:rPr>
                <w:rFonts w:ascii="Cambria"/>
                <w:sz w:val="22"/>
              </w:rPr>
              <w:t>customMenu </w:t>
            </w:r>
            <w:r>
              <w:rPr>
                <w:sz w:val="22"/>
              </w:rPr>
              <w:t>(New Custom Menu)</w:t>
            </w:r>
          </w:p>
        </w:tc>
        <w:tc>
          <w:tcPr>
            <w:tcW w:w="8250" w:type="dxa"/>
          </w:tcPr>
          <w:p>
            <w:pPr>
              <w:pStyle w:val="TableParagraph"/>
              <w:rPr>
                <w:sz w:val="22"/>
              </w:rPr>
            </w:pPr>
            <w:r>
              <w:rPr>
                <w:sz w:val="22"/>
              </w:rPr>
              <w:t>A string representing the new custom menu text</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line="257" w:lineRule="exact" w:before="42"/>
              <w:rPr>
                <w:rFonts w:ascii="Cambria"/>
                <w:sz w:val="22"/>
              </w:rPr>
            </w:pPr>
            <w:r>
              <w:rPr>
                <w:rFonts w:ascii="Cambria"/>
                <w:sz w:val="22"/>
              </w:rPr>
              <w:t>customView</w:t>
            </w:r>
          </w:p>
          <w:p>
            <w:pPr>
              <w:pStyle w:val="TableParagraph"/>
              <w:spacing w:line="268" w:lineRule="exact" w:before="0"/>
              <w:rPr>
                <w:sz w:val="22"/>
              </w:rPr>
            </w:pPr>
            <w:r>
              <w:rPr>
                <w:sz w:val="22"/>
              </w:rPr>
              <w:t>(Custom View)</w:t>
            </w:r>
          </w:p>
        </w:tc>
        <w:tc>
          <w:tcPr>
            <w:tcW w:w="8250" w:type="dxa"/>
          </w:tcPr>
          <w:p>
            <w:pPr>
              <w:pStyle w:val="TableParagraph"/>
              <w:rPr>
                <w:sz w:val="22"/>
              </w:rPr>
            </w:pPr>
            <w:r>
              <w:rPr>
                <w:sz w:val="22"/>
              </w:rPr>
              <w:t>A Boolean flag indicating that this named range belongs to a custom view</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line="256" w:lineRule="exact" w:before="42"/>
              <w:rPr>
                <w:rFonts w:ascii="Cambria"/>
                <w:sz w:val="22"/>
              </w:rPr>
            </w:pPr>
            <w:r>
              <w:rPr>
                <w:rFonts w:ascii="Cambria"/>
                <w:sz w:val="22"/>
              </w:rPr>
              <w:t>description</w:t>
            </w:r>
          </w:p>
          <w:p>
            <w:pPr>
              <w:pStyle w:val="TableParagraph"/>
              <w:spacing w:line="267" w:lineRule="exact" w:before="0"/>
              <w:rPr>
                <w:sz w:val="22"/>
              </w:rPr>
            </w:pPr>
            <w:r>
              <w:rPr>
                <w:sz w:val="22"/>
              </w:rPr>
              <w:t>(Description)</w:t>
            </w:r>
          </w:p>
        </w:tc>
        <w:tc>
          <w:tcPr>
            <w:tcW w:w="8250" w:type="dxa"/>
          </w:tcPr>
          <w:p>
            <w:pPr>
              <w:pStyle w:val="TableParagraph"/>
              <w:rPr>
                <w:sz w:val="22"/>
              </w:rPr>
            </w:pPr>
            <w:r>
              <w:rPr>
                <w:sz w:val="22"/>
              </w:rPr>
              <w:t>A string representing the new description text for the defined name.</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9" w:hRule="atLeast"/>
        </w:trPr>
        <w:tc>
          <w:tcPr>
            <w:tcW w:w="2062" w:type="dxa"/>
          </w:tcPr>
          <w:p>
            <w:pPr>
              <w:pStyle w:val="TableParagraph"/>
              <w:ind w:left="59" w:right="129"/>
              <w:jc w:val="center"/>
              <w:rPr>
                <w:sz w:val="22"/>
              </w:rPr>
            </w:pPr>
            <w:r>
              <w:rPr>
                <w:rFonts w:ascii="Cambria"/>
                <w:sz w:val="22"/>
              </w:rPr>
              <w:t>function </w:t>
            </w:r>
            <w:r>
              <w:rPr>
                <w:sz w:val="22"/>
              </w:rPr>
              <w:t>(Function)</w:t>
            </w:r>
          </w:p>
        </w:tc>
        <w:tc>
          <w:tcPr>
            <w:tcW w:w="8250" w:type="dxa"/>
          </w:tcPr>
          <w:p>
            <w:pPr>
              <w:pStyle w:val="TableParagraph"/>
              <w:rPr>
                <w:sz w:val="22"/>
              </w:rPr>
            </w:pPr>
            <w:r>
              <w:rPr>
                <w:sz w:val="22"/>
              </w:rPr>
              <w:t>A Boolean value indicating that the defined name refers to a function. True if the defined name is a function, false otherwise.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7606" w:hRule="atLeast"/>
        </w:trPr>
        <w:tc>
          <w:tcPr>
            <w:tcW w:w="2062" w:type="dxa"/>
          </w:tcPr>
          <w:p>
            <w:pPr>
              <w:pStyle w:val="TableParagraph"/>
              <w:spacing w:line="256" w:lineRule="exact" w:before="42"/>
              <w:rPr>
                <w:rFonts w:ascii="Cambria"/>
                <w:sz w:val="22"/>
              </w:rPr>
            </w:pPr>
            <w:r>
              <w:rPr>
                <w:rFonts w:ascii="Cambria"/>
                <w:sz w:val="22"/>
              </w:rPr>
              <w:t>functionGroupId</w:t>
            </w:r>
          </w:p>
          <w:p>
            <w:pPr>
              <w:pStyle w:val="TableParagraph"/>
              <w:spacing w:line="267" w:lineRule="exact" w:before="0"/>
              <w:rPr>
                <w:sz w:val="22"/>
              </w:rPr>
            </w:pPr>
            <w:r>
              <w:rPr>
                <w:sz w:val="22"/>
              </w:rPr>
              <w:t>(Function Group Id)</w:t>
            </w:r>
          </w:p>
        </w:tc>
        <w:tc>
          <w:tcPr>
            <w:tcW w:w="8250" w:type="dxa"/>
          </w:tcPr>
          <w:p>
            <w:pPr>
              <w:pStyle w:val="TableParagraph"/>
              <w:rPr>
                <w:sz w:val="22"/>
              </w:rPr>
            </w:pPr>
            <w:r>
              <w:rPr>
                <w:sz w:val="22"/>
              </w:rPr>
              <w:t>Represents the new function group id.</w:t>
            </w:r>
          </w:p>
          <w:p>
            <w:pPr>
              <w:pStyle w:val="TableParagraph"/>
              <w:spacing w:before="4"/>
              <w:ind w:left="0"/>
              <w:rPr>
                <w:rFonts w:ascii="Times New Roman"/>
                <w:sz w:val="23"/>
              </w:rPr>
            </w:pPr>
          </w:p>
          <w:p>
            <w:pPr>
              <w:pStyle w:val="TableParagraph"/>
              <w:spacing w:before="0"/>
              <w:rPr>
                <w:sz w:val="22"/>
              </w:rPr>
            </w:pPr>
            <w:r>
              <w:rPr>
                <w:sz w:val="22"/>
              </w:rPr>
              <w:t>Function group ids are used to help classify functions. For instance, functions in the same group can be searched or selected easily from the spreadsheet applications UI. For instance, filtering the list of all functions to allow the user to choose from functions used for financial data.</w:t>
            </w:r>
          </w:p>
          <w:p>
            <w:pPr>
              <w:pStyle w:val="TableParagraph"/>
              <w:spacing w:before="3"/>
              <w:ind w:left="0"/>
              <w:rPr>
                <w:rFonts w:ascii="Times New Roman"/>
                <w:sz w:val="23"/>
              </w:rPr>
            </w:pPr>
          </w:p>
          <w:p>
            <w:pPr>
              <w:pStyle w:val="TableParagraph"/>
              <w:spacing w:before="0"/>
              <w:rPr>
                <w:sz w:val="22"/>
              </w:rPr>
            </w:pPr>
            <w:r>
              <w:rPr>
                <w:sz w:val="22"/>
              </w:rPr>
              <w:t>The following group ids should be used:</w:t>
            </w:r>
          </w:p>
          <w:p>
            <w:pPr>
              <w:pStyle w:val="TableParagraph"/>
              <w:tabs>
                <w:tab w:pos="657" w:val="left" w:leader="none"/>
              </w:tabs>
              <w:spacing w:before="0"/>
              <w:rPr>
                <w:sz w:val="22"/>
              </w:rPr>
            </w:pPr>
            <w:r>
              <w:rPr>
                <w:sz w:val="22"/>
              </w:rPr>
              <w:t>ID</w:t>
              <w:tab/>
              <w:t>Function</w:t>
            </w:r>
            <w:r>
              <w:rPr>
                <w:spacing w:val="-2"/>
                <w:sz w:val="22"/>
              </w:rPr>
              <w:t> </w:t>
            </w:r>
            <w:r>
              <w:rPr>
                <w:sz w:val="22"/>
              </w:rPr>
              <w:t>group</w:t>
            </w:r>
          </w:p>
          <w:p>
            <w:pPr>
              <w:pStyle w:val="TableParagraph"/>
              <w:numPr>
                <w:ilvl w:val="0"/>
                <w:numId w:val="53"/>
              </w:numPr>
              <w:tabs>
                <w:tab w:pos="725" w:val="left" w:leader="none"/>
                <w:tab w:pos="726" w:val="left" w:leader="none"/>
              </w:tabs>
              <w:spacing w:line="240" w:lineRule="auto" w:before="1" w:after="0"/>
              <w:ind w:left="725" w:right="0" w:hanging="611"/>
              <w:jc w:val="left"/>
              <w:rPr>
                <w:sz w:val="22"/>
              </w:rPr>
            </w:pPr>
            <w:r>
              <w:rPr>
                <w:sz w:val="22"/>
              </w:rPr>
              <w:t>Financial</w:t>
            </w:r>
          </w:p>
          <w:p>
            <w:pPr>
              <w:pStyle w:val="TableParagraph"/>
              <w:numPr>
                <w:ilvl w:val="0"/>
                <w:numId w:val="53"/>
              </w:numPr>
              <w:tabs>
                <w:tab w:pos="723" w:val="left" w:leader="none"/>
                <w:tab w:pos="724" w:val="left" w:leader="none"/>
              </w:tabs>
              <w:spacing w:line="240" w:lineRule="auto" w:before="0" w:after="0"/>
              <w:ind w:left="723" w:right="0" w:hanging="609"/>
              <w:jc w:val="left"/>
              <w:rPr>
                <w:sz w:val="22"/>
              </w:rPr>
            </w:pPr>
            <w:r>
              <w:rPr>
                <w:sz w:val="22"/>
              </w:rPr>
              <w:t>Date and</w:t>
            </w:r>
            <w:r>
              <w:rPr>
                <w:spacing w:val="-1"/>
                <w:sz w:val="22"/>
              </w:rPr>
              <w:t> </w:t>
            </w:r>
            <w:r>
              <w:rPr>
                <w:sz w:val="22"/>
              </w:rPr>
              <w:t>Time</w:t>
            </w:r>
          </w:p>
          <w:p>
            <w:pPr>
              <w:pStyle w:val="TableParagraph"/>
              <w:numPr>
                <w:ilvl w:val="0"/>
                <w:numId w:val="53"/>
              </w:numPr>
              <w:tabs>
                <w:tab w:pos="724" w:val="left" w:leader="none"/>
                <w:tab w:pos="725" w:val="left" w:leader="none"/>
              </w:tabs>
              <w:spacing w:line="240" w:lineRule="auto" w:before="0" w:after="0"/>
              <w:ind w:left="724" w:right="0" w:hanging="610"/>
              <w:jc w:val="left"/>
              <w:rPr>
                <w:sz w:val="22"/>
              </w:rPr>
            </w:pPr>
            <w:r>
              <w:rPr>
                <w:sz w:val="22"/>
              </w:rPr>
              <w:t>Math and</w:t>
            </w:r>
            <w:r>
              <w:rPr>
                <w:spacing w:val="-4"/>
                <w:sz w:val="22"/>
              </w:rPr>
              <w:t> </w:t>
            </w:r>
            <w:r>
              <w:rPr>
                <w:sz w:val="22"/>
              </w:rPr>
              <w:t>Trig</w:t>
            </w:r>
          </w:p>
          <w:p>
            <w:pPr>
              <w:pStyle w:val="TableParagraph"/>
              <w:numPr>
                <w:ilvl w:val="0"/>
                <w:numId w:val="53"/>
              </w:numPr>
              <w:tabs>
                <w:tab w:pos="725" w:val="left" w:leader="none"/>
                <w:tab w:pos="726" w:val="left" w:leader="none"/>
              </w:tabs>
              <w:spacing w:line="240" w:lineRule="auto" w:before="1" w:after="0"/>
              <w:ind w:left="725" w:right="0" w:hanging="611"/>
              <w:jc w:val="left"/>
              <w:rPr>
                <w:sz w:val="22"/>
              </w:rPr>
            </w:pPr>
            <w:r>
              <w:rPr>
                <w:sz w:val="22"/>
              </w:rPr>
              <w:t>Statistical</w:t>
            </w:r>
          </w:p>
          <w:p>
            <w:pPr>
              <w:pStyle w:val="TableParagraph"/>
              <w:numPr>
                <w:ilvl w:val="0"/>
                <w:numId w:val="53"/>
              </w:numPr>
              <w:tabs>
                <w:tab w:pos="723" w:val="left" w:leader="none"/>
                <w:tab w:pos="724" w:val="left" w:leader="none"/>
              </w:tabs>
              <w:spacing w:line="267" w:lineRule="exact" w:before="0" w:after="0"/>
              <w:ind w:left="723" w:right="0" w:hanging="609"/>
              <w:jc w:val="left"/>
              <w:rPr>
                <w:sz w:val="22"/>
              </w:rPr>
            </w:pPr>
            <w:r>
              <w:rPr>
                <w:sz w:val="22"/>
              </w:rPr>
              <w:t>Lookup &amp;</w:t>
            </w:r>
            <w:r>
              <w:rPr>
                <w:spacing w:val="-3"/>
                <w:sz w:val="22"/>
              </w:rPr>
              <w:t> </w:t>
            </w:r>
            <w:r>
              <w:rPr>
                <w:sz w:val="22"/>
              </w:rPr>
              <w:t>Reference</w:t>
            </w:r>
          </w:p>
          <w:p>
            <w:pPr>
              <w:pStyle w:val="TableParagraph"/>
              <w:numPr>
                <w:ilvl w:val="0"/>
                <w:numId w:val="53"/>
              </w:numPr>
              <w:tabs>
                <w:tab w:pos="723" w:val="left" w:leader="none"/>
                <w:tab w:pos="724" w:val="left" w:leader="none"/>
              </w:tabs>
              <w:spacing w:line="267" w:lineRule="exact" w:before="0" w:after="0"/>
              <w:ind w:left="723" w:right="0" w:hanging="609"/>
              <w:jc w:val="left"/>
              <w:rPr>
                <w:sz w:val="22"/>
              </w:rPr>
            </w:pPr>
            <w:r>
              <w:rPr>
                <w:sz w:val="22"/>
              </w:rPr>
              <w:t>Database</w:t>
            </w:r>
          </w:p>
          <w:p>
            <w:pPr>
              <w:pStyle w:val="TableParagraph"/>
              <w:numPr>
                <w:ilvl w:val="0"/>
                <w:numId w:val="53"/>
              </w:numPr>
              <w:tabs>
                <w:tab w:pos="723" w:val="left" w:leader="none"/>
                <w:tab w:pos="724" w:val="left" w:leader="none"/>
              </w:tabs>
              <w:spacing w:line="240" w:lineRule="auto" w:before="0" w:after="0"/>
              <w:ind w:left="723" w:right="0" w:hanging="609"/>
              <w:jc w:val="left"/>
              <w:rPr>
                <w:sz w:val="22"/>
              </w:rPr>
            </w:pPr>
            <w:r>
              <w:rPr>
                <w:sz w:val="22"/>
              </w:rPr>
              <w:t>Text</w:t>
            </w:r>
          </w:p>
          <w:p>
            <w:pPr>
              <w:pStyle w:val="TableParagraph"/>
              <w:numPr>
                <w:ilvl w:val="0"/>
                <w:numId w:val="53"/>
              </w:numPr>
              <w:tabs>
                <w:tab w:pos="723" w:val="left" w:leader="none"/>
                <w:tab w:pos="724" w:val="left" w:leader="none"/>
              </w:tabs>
              <w:spacing w:line="240" w:lineRule="auto" w:before="1" w:after="0"/>
              <w:ind w:left="723" w:right="0" w:hanging="609"/>
              <w:jc w:val="left"/>
              <w:rPr>
                <w:sz w:val="22"/>
              </w:rPr>
            </w:pPr>
            <w:r>
              <w:rPr>
                <w:sz w:val="22"/>
              </w:rPr>
              <w:t>Logical</w:t>
            </w:r>
          </w:p>
          <w:p>
            <w:pPr>
              <w:pStyle w:val="TableParagraph"/>
              <w:numPr>
                <w:ilvl w:val="0"/>
                <w:numId w:val="53"/>
              </w:numPr>
              <w:tabs>
                <w:tab w:pos="725" w:val="left" w:leader="none"/>
                <w:tab w:pos="726" w:val="left" w:leader="none"/>
              </w:tabs>
              <w:spacing w:line="240" w:lineRule="auto" w:before="0" w:after="0"/>
              <w:ind w:left="725" w:right="0" w:hanging="611"/>
              <w:jc w:val="left"/>
              <w:rPr>
                <w:sz w:val="22"/>
              </w:rPr>
            </w:pPr>
            <w:r>
              <w:rPr>
                <w:sz w:val="22"/>
              </w:rPr>
              <w:t>Information</w:t>
            </w:r>
          </w:p>
          <w:p>
            <w:pPr>
              <w:pStyle w:val="TableParagraph"/>
              <w:numPr>
                <w:ilvl w:val="0"/>
                <w:numId w:val="53"/>
              </w:numPr>
              <w:tabs>
                <w:tab w:pos="737" w:val="left" w:leader="none"/>
                <w:tab w:pos="738" w:val="left" w:leader="none"/>
              </w:tabs>
              <w:spacing w:line="240" w:lineRule="auto" w:before="0" w:after="0"/>
              <w:ind w:left="737" w:right="0" w:hanging="623"/>
              <w:jc w:val="left"/>
              <w:rPr>
                <w:sz w:val="22"/>
              </w:rPr>
            </w:pPr>
            <w:r>
              <w:rPr>
                <w:sz w:val="22"/>
              </w:rPr>
              <w:t>Commands</w:t>
            </w:r>
          </w:p>
          <w:p>
            <w:pPr>
              <w:pStyle w:val="TableParagraph"/>
              <w:numPr>
                <w:ilvl w:val="0"/>
                <w:numId w:val="53"/>
              </w:numPr>
              <w:tabs>
                <w:tab w:pos="737" w:val="left" w:leader="none"/>
                <w:tab w:pos="738" w:val="left" w:leader="none"/>
              </w:tabs>
              <w:spacing w:line="240" w:lineRule="auto" w:before="0" w:after="0"/>
              <w:ind w:left="737" w:right="0" w:hanging="623"/>
              <w:jc w:val="left"/>
              <w:rPr>
                <w:sz w:val="22"/>
              </w:rPr>
            </w:pPr>
            <w:r>
              <w:rPr>
                <w:sz w:val="22"/>
              </w:rPr>
              <w:t>Customizing</w:t>
            </w:r>
          </w:p>
          <w:p>
            <w:pPr>
              <w:pStyle w:val="TableParagraph"/>
              <w:numPr>
                <w:ilvl w:val="0"/>
                <w:numId w:val="53"/>
              </w:numPr>
              <w:tabs>
                <w:tab w:pos="735" w:val="left" w:leader="none"/>
                <w:tab w:pos="736" w:val="left" w:leader="none"/>
              </w:tabs>
              <w:spacing w:line="240" w:lineRule="auto" w:before="1" w:after="0"/>
              <w:ind w:left="735" w:right="0" w:hanging="621"/>
              <w:jc w:val="left"/>
              <w:rPr>
                <w:sz w:val="22"/>
              </w:rPr>
            </w:pPr>
            <w:r>
              <w:rPr>
                <w:sz w:val="22"/>
              </w:rPr>
              <w:t>Macro Control</w:t>
            </w:r>
          </w:p>
          <w:p>
            <w:pPr>
              <w:pStyle w:val="TableParagraph"/>
              <w:numPr>
                <w:ilvl w:val="0"/>
                <w:numId w:val="53"/>
              </w:numPr>
              <w:tabs>
                <w:tab w:pos="735" w:val="left" w:leader="none"/>
                <w:tab w:pos="736" w:val="left" w:leader="none"/>
              </w:tabs>
              <w:spacing w:line="240" w:lineRule="auto" w:before="0" w:after="0"/>
              <w:ind w:left="735" w:right="0" w:hanging="621"/>
              <w:jc w:val="left"/>
              <w:rPr>
                <w:sz w:val="22"/>
              </w:rPr>
            </w:pPr>
            <w:r>
              <w:rPr>
                <w:sz w:val="22"/>
              </w:rPr>
              <w:t>DDE/External</w:t>
            </w:r>
          </w:p>
          <w:p>
            <w:pPr>
              <w:pStyle w:val="TableParagraph"/>
              <w:numPr>
                <w:ilvl w:val="0"/>
                <w:numId w:val="53"/>
              </w:numPr>
              <w:tabs>
                <w:tab w:pos="737" w:val="left" w:leader="none"/>
                <w:tab w:pos="738" w:val="left" w:leader="none"/>
              </w:tabs>
              <w:spacing w:line="240" w:lineRule="auto" w:before="0" w:after="0"/>
              <w:ind w:left="737" w:right="0" w:hanging="623"/>
              <w:jc w:val="left"/>
              <w:rPr>
                <w:sz w:val="22"/>
              </w:rPr>
            </w:pPr>
            <w:r>
              <w:rPr>
                <w:sz w:val="22"/>
              </w:rPr>
              <w:t>User</w:t>
            </w:r>
            <w:r>
              <w:rPr>
                <w:spacing w:val="-2"/>
                <w:sz w:val="22"/>
              </w:rPr>
              <w:t> </w:t>
            </w:r>
            <w:r>
              <w:rPr>
                <w:sz w:val="22"/>
              </w:rPr>
              <w:t>Defined</w:t>
            </w:r>
          </w:p>
          <w:p>
            <w:pPr>
              <w:pStyle w:val="TableParagraph"/>
              <w:numPr>
                <w:ilvl w:val="0"/>
                <w:numId w:val="53"/>
              </w:numPr>
              <w:tabs>
                <w:tab w:pos="735" w:val="left" w:leader="none"/>
                <w:tab w:pos="736" w:val="left" w:leader="none"/>
              </w:tabs>
              <w:spacing w:line="267" w:lineRule="exact" w:before="0" w:after="0"/>
              <w:ind w:left="735" w:right="0" w:hanging="621"/>
              <w:jc w:val="left"/>
              <w:rPr>
                <w:sz w:val="22"/>
              </w:rPr>
            </w:pPr>
            <w:r>
              <w:rPr>
                <w:sz w:val="22"/>
              </w:rPr>
              <w:t>Engineering</w:t>
            </w:r>
          </w:p>
          <w:p>
            <w:pPr>
              <w:pStyle w:val="TableParagraph"/>
              <w:tabs>
                <w:tab w:pos="737" w:val="left" w:leader="none"/>
              </w:tabs>
              <w:spacing w:line="267" w:lineRule="exact" w:before="0"/>
              <w:rPr>
                <w:sz w:val="22"/>
              </w:rPr>
            </w:pPr>
            <w:r>
              <w:rPr>
                <w:sz w:val="22"/>
              </w:rPr>
              <w:t>14</w:t>
              <w:tab/>
              <w:t>Cube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1"/>
              <w:rPr>
                <w:sz w:val="22"/>
              </w:rPr>
            </w:pPr>
            <w:r>
              <w:rPr>
                <w:sz w:val="22"/>
              </w:rPr>
              <w:t>datatype.</w:t>
            </w:r>
          </w:p>
        </w:tc>
      </w:tr>
      <w:tr>
        <w:trPr>
          <w:trHeight w:val="1161" w:hRule="atLeast"/>
        </w:trPr>
        <w:tc>
          <w:tcPr>
            <w:tcW w:w="2062" w:type="dxa"/>
          </w:tcPr>
          <w:p>
            <w:pPr>
              <w:pStyle w:val="TableParagraph"/>
              <w:ind w:right="519"/>
              <w:rPr>
                <w:sz w:val="22"/>
              </w:rPr>
            </w:pPr>
            <w:r>
              <w:rPr>
                <w:rFonts w:ascii="Cambria"/>
                <w:sz w:val="22"/>
              </w:rPr>
              <w:t>help </w:t>
            </w:r>
            <w:r>
              <w:rPr>
                <w:sz w:val="22"/>
              </w:rPr>
              <w:t>(New Help Topic)</w:t>
            </w:r>
          </w:p>
        </w:tc>
        <w:tc>
          <w:tcPr>
            <w:tcW w:w="8250" w:type="dxa"/>
          </w:tcPr>
          <w:p>
            <w:pPr>
              <w:pStyle w:val="TableParagraph"/>
              <w:rPr>
                <w:sz w:val="22"/>
              </w:rPr>
            </w:pPr>
            <w:r>
              <w:rPr>
                <w:sz w:val="22"/>
              </w:rPr>
              <w:t>A string representing the new help topic text.</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ind w:right="497"/>
              <w:rPr>
                <w:sz w:val="22"/>
              </w:rPr>
            </w:pPr>
            <w:r>
              <w:rPr>
                <w:rFonts w:ascii="Cambria"/>
                <w:sz w:val="22"/>
              </w:rPr>
              <w:t>hidden </w:t>
            </w:r>
            <w:r>
              <w:rPr>
                <w:sz w:val="22"/>
              </w:rPr>
              <w:t>(Named Range Hidden)</w:t>
            </w:r>
          </w:p>
        </w:tc>
        <w:tc>
          <w:tcPr>
            <w:tcW w:w="8250" w:type="dxa"/>
          </w:tcPr>
          <w:p>
            <w:pPr>
              <w:pStyle w:val="TableParagraph"/>
              <w:rPr>
                <w:sz w:val="22"/>
              </w:rPr>
            </w:pPr>
            <w:r>
              <w:rPr>
                <w:sz w:val="22"/>
              </w:rPr>
              <w:t>A Boolean value indicating whether the named range is now hidden.</w:t>
            </w:r>
          </w:p>
          <w:p>
            <w:pPr>
              <w:pStyle w:val="TableParagraph"/>
              <w:spacing w:before="2"/>
              <w:ind w:left="0"/>
              <w:rPr>
                <w:rFonts w:ascii="Times New Roman"/>
                <w:sz w:val="23"/>
              </w:rPr>
            </w:pPr>
          </w:p>
          <w:p>
            <w:pPr>
              <w:pStyle w:val="TableParagraph"/>
              <w:spacing w:before="0"/>
              <w:ind w:right="164"/>
              <w:rPr>
                <w:sz w:val="22"/>
              </w:rPr>
            </w:pPr>
            <w:r>
              <w:rPr>
                <w:sz w:val="22"/>
              </w:rPr>
              <w:t>Hidden refers to whether the defined name is of a 'hidden' type. This applies to things like a custom filter on a cell, it has a name, but is hidden and so is not visible in any name management UI.</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7" w:hRule="atLeast"/>
        </w:trPr>
        <w:tc>
          <w:tcPr>
            <w:tcW w:w="2062" w:type="dxa"/>
          </w:tcPr>
          <w:p>
            <w:pPr>
              <w:pStyle w:val="TableParagraph"/>
              <w:ind w:right="190"/>
              <w:rPr>
                <w:sz w:val="22"/>
              </w:rPr>
            </w:pPr>
            <w:r>
              <w:rPr>
                <w:rFonts w:ascii="Cambria"/>
                <w:sz w:val="22"/>
              </w:rPr>
              <w:t>localSheetId </w:t>
            </w:r>
            <w:r>
              <w:rPr>
                <w:sz w:val="22"/>
              </w:rPr>
              <w:t>(Local Name Sheet Id)</w:t>
            </w:r>
          </w:p>
        </w:tc>
        <w:tc>
          <w:tcPr>
            <w:tcW w:w="8250" w:type="dxa"/>
          </w:tcPr>
          <w:p>
            <w:pPr>
              <w:pStyle w:val="TableParagraph"/>
              <w:ind w:right="137"/>
              <w:rPr>
                <w:sz w:val="22"/>
              </w:rPr>
            </w:pPr>
            <w:r>
              <w:rPr>
                <w:sz w:val="22"/>
              </w:rPr>
              <w:t>An integer representing the id of the sheet to which this defined name belongs. This shall be used local defined names only.</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name </w:t>
            </w:r>
            <w:r>
              <w:rPr>
                <w:sz w:val="22"/>
              </w:rPr>
              <w:t>(Name)</w:t>
            </w:r>
          </w:p>
        </w:tc>
        <w:tc>
          <w:tcPr>
            <w:tcW w:w="8250" w:type="dxa"/>
          </w:tcPr>
          <w:p>
            <w:pPr>
              <w:pStyle w:val="TableParagraph"/>
              <w:rPr>
                <w:sz w:val="22"/>
              </w:rPr>
            </w:pPr>
            <w:r>
              <w:rPr>
                <w:sz w:val="22"/>
              </w:rPr>
              <w:t>A string representing the name for this defined name.</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line="237" w:lineRule="auto" w:before="44"/>
              <w:ind w:right="280"/>
              <w:rPr>
                <w:sz w:val="22"/>
              </w:rPr>
            </w:pPr>
            <w:r>
              <w:rPr>
                <w:rFonts w:ascii="Cambria"/>
                <w:sz w:val="22"/>
              </w:rPr>
              <w:t>oldComment </w:t>
            </w:r>
            <w:r>
              <w:rPr>
                <w:sz w:val="22"/>
              </w:rPr>
              <w:t>(Old Name Comment)</w:t>
            </w:r>
          </w:p>
        </w:tc>
        <w:tc>
          <w:tcPr>
            <w:tcW w:w="8250" w:type="dxa"/>
          </w:tcPr>
          <w:p>
            <w:pPr>
              <w:pStyle w:val="TableParagraph"/>
              <w:spacing w:before="42"/>
              <w:rPr>
                <w:sz w:val="22"/>
              </w:rPr>
            </w:pPr>
            <w:r>
              <w:rPr>
                <w:sz w:val="22"/>
              </w:rPr>
              <w:t>A string representing the old comment about the defined name.</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spacing w:before="42"/>
              <w:ind w:right="225"/>
              <w:rPr>
                <w:sz w:val="22"/>
              </w:rPr>
            </w:pPr>
            <w:r>
              <w:rPr>
                <w:rFonts w:ascii="Cambria"/>
                <w:sz w:val="22"/>
              </w:rPr>
              <w:t>oldCustomMenu </w:t>
            </w:r>
            <w:r>
              <w:rPr>
                <w:sz w:val="22"/>
              </w:rPr>
              <w:t>(Old Custom Menu Text)</w:t>
            </w:r>
          </w:p>
        </w:tc>
        <w:tc>
          <w:tcPr>
            <w:tcW w:w="8250" w:type="dxa"/>
          </w:tcPr>
          <w:p>
            <w:pPr>
              <w:pStyle w:val="TableParagraph"/>
              <w:rPr>
                <w:sz w:val="22"/>
              </w:rPr>
            </w:pPr>
            <w:r>
              <w:rPr>
                <w:sz w:val="22"/>
              </w:rPr>
              <w:t>A string representing the old custom menu text</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ind w:right="97"/>
              <w:rPr>
                <w:sz w:val="22"/>
              </w:rPr>
            </w:pPr>
            <w:r>
              <w:rPr>
                <w:rFonts w:ascii="Cambria"/>
                <w:sz w:val="22"/>
              </w:rPr>
              <w:t>oldDescription </w:t>
            </w:r>
            <w:r>
              <w:rPr>
                <w:sz w:val="22"/>
              </w:rPr>
              <w:t>(Old Description)</w:t>
            </w:r>
          </w:p>
        </w:tc>
        <w:tc>
          <w:tcPr>
            <w:tcW w:w="8250" w:type="dxa"/>
          </w:tcPr>
          <w:p>
            <w:pPr>
              <w:pStyle w:val="TableParagraph"/>
              <w:rPr>
                <w:sz w:val="22"/>
              </w:rPr>
            </w:pPr>
            <w:r>
              <w:rPr>
                <w:sz w:val="22"/>
              </w:rPr>
              <w:t>A string representing the old description text</w:t>
            </w:r>
          </w:p>
          <w:p>
            <w:pPr>
              <w:pStyle w:val="TableParagraph"/>
              <w:spacing w:before="6"/>
              <w:ind w:left="0"/>
              <w:rPr>
                <w:rFonts w:ascii="Times New Roman"/>
                <w:sz w:val="23"/>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357"/>
              <w:rPr>
                <w:sz w:val="22"/>
              </w:rPr>
            </w:pPr>
            <w:r>
              <w:rPr>
                <w:rFonts w:ascii="Cambria"/>
                <w:sz w:val="22"/>
              </w:rPr>
              <w:t>oldFunction </w:t>
            </w:r>
            <w:r>
              <w:rPr>
                <w:sz w:val="22"/>
              </w:rPr>
              <w:t>(Old Function)</w:t>
            </w:r>
          </w:p>
        </w:tc>
        <w:tc>
          <w:tcPr>
            <w:tcW w:w="8250" w:type="dxa"/>
          </w:tcPr>
          <w:p>
            <w:pPr>
              <w:pStyle w:val="TableParagraph"/>
              <w:rPr>
                <w:sz w:val="22"/>
              </w:rPr>
            </w:pPr>
            <w:r>
              <w:rPr>
                <w:sz w:val="22"/>
              </w:rPr>
              <w:t>A Boolean flag indicating that the old name was a function</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line="237" w:lineRule="auto" w:before="45"/>
              <w:ind w:right="126"/>
              <w:rPr>
                <w:sz w:val="22"/>
              </w:rPr>
            </w:pPr>
            <w:r>
              <w:rPr>
                <w:rFonts w:ascii="Cambria"/>
                <w:sz w:val="22"/>
              </w:rPr>
              <w:t>oldFunctionGroupI d </w:t>
            </w:r>
            <w:r>
              <w:rPr>
                <w:sz w:val="22"/>
              </w:rPr>
              <w:t>(Old Function Group Id)</w:t>
            </w:r>
          </w:p>
        </w:tc>
        <w:tc>
          <w:tcPr>
            <w:tcW w:w="8250" w:type="dxa"/>
          </w:tcPr>
          <w:p>
            <w:pPr>
              <w:pStyle w:val="TableParagraph"/>
              <w:rPr>
                <w:sz w:val="22"/>
              </w:rPr>
            </w:pPr>
            <w:r>
              <w:rPr>
                <w:sz w:val="22"/>
              </w:rPr>
              <w:t>Old function group ID.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1"/>
              <w:rPr>
                <w:sz w:val="22"/>
              </w:rPr>
            </w:pPr>
            <w:r>
              <w:rPr>
                <w:sz w:val="22"/>
              </w:rPr>
              <w:t>datatype.</w:t>
            </w:r>
          </w:p>
        </w:tc>
      </w:tr>
      <w:tr>
        <w:trPr>
          <w:trHeight w:val="1161" w:hRule="atLeast"/>
        </w:trPr>
        <w:tc>
          <w:tcPr>
            <w:tcW w:w="2062" w:type="dxa"/>
          </w:tcPr>
          <w:p>
            <w:pPr>
              <w:pStyle w:val="TableParagraph"/>
              <w:spacing w:line="237" w:lineRule="auto" w:before="44"/>
              <w:ind w:right="288"/>
              <w:rPr>
                <w:sz w:val="22"/>
              </w:rPr>
            </w:pPr>
            <w:r>
              <w:rPr>
                <w:rFonts w:ascii="Cambria"/>
                <w:sz w:val="22"/>
              </w:rPr>
              <w:t>oldHelp </w:t>
            </w:r>
            <w:r>
              <w:rPr>
                <w:sz w:val="22"/>
              </w:rPr>
              <w:t>(Old Help Topic)</w:t>
            </w:r>
          </w:p>
        </w:tc>
        <w:tc>
          <w:tcPr>
            <w:tcW w:w="8250" w:type="dxa"/>
          </w:tcPr>
          <w:p>
            <w:pPr>
              <w:pStyle w:val="TableParagraph"/>
              <w:spacing w:before="42"/>
              <w:rPr>
                <w:sz w:val="22"/>
              </w:rPr>
            </w:pPr>
            <w:r>
              <w:rPr>
                <w:sz w:val="22"/>
              </w:rPr>
              <w:t>A string representing the old help topic text</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ind w:right="505"/>
              <w:rPr>
                <w:sz w:val="22"/>
              </w:rPr>
            </w:pPr>
            <w:r>
              <w:rPr>
                <w:rFonts w:ascii="Cambria"/>
                <w:sz w:val="22"/>
              </w:rPr>
              <w:t>oldHidden </w:t>
            </w:r>
            <w:r>
              <w:rPr>
                <w:sz w:val="22"/>
              </w:rPr>
              <w:t>(Old Hidden)</w:t>
            </w:r>
          </w:p>
        </w:tc>
        <w:tc>
          <w:tcPr>
            <w:tcW w:w="8250" w:type="dxa"/>
          </w:tcPr>
          <w:p>
            <w:pPr>
              <w:pStyle w:val="TableParagraph"/>
              <w:rPr>
                <w:sz w:val="22"/>
              </w:rPr>
            </w:pPr>
            <w:r>
              <w:rPr>
                <w:sz w:val="22"/>
              </w:rPr>
              <w:t>A Boolean flag indicating whether the named range was hidden</w:t>
            </w:r>
          </w:p>
          <w:p>
            <w:pPr>
              <w:pStyle w:val="TableParagraph"/>
              <w:spacing w:before="4"/>
              <w:ind w:left="0"/>
              <w:rPr>
                <w:rFonts w:ascii="Times New Roman"/>
                <w:sz w:val="23"/>
              </w:rPr>
            </w:pPr>
          </w:p>
          <w:p>
            <w:pPr>
              <w:pStyle w:val="TableParagraph"/>
              <w:spacing w:before="0"/>
              <w:ind w:right="164"/>
              <w:rPr>
                <w:sz w:val="22"/>
              </w:rPr>
            </w:pPr>
            <w:r>
              <w:rPr>
                <w:sz w:val="22"/>
              </w:rPr>
              <w:t>Hidden refers to whether the defined name is of a 'hidden' type. This applies to things like a custom filter on a cell, it has a name, but is hidden and so is not visible in any name management UI.</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oldShortcutKey</w:t>
            </w:r>
          </w:p>
          <w:p>
            <w:pPr>
              <w:pStyle w:val="TableParagraph"/>
              <w:spacing w:line="268" w:lineRule="exact" w:before="0"/>
              <w:rPr>
                <w:sz w:val="22"/>
              </w:rPr>
            </w:pPr>
            <w:r>
              <w:rPr>
                <w:sz w:val="22"/>
              </w:rPr>
              <w:t>(Old Short Cut Key)</w:t>
            </w:r>
          </w:p>
        </w:tc>
        <w:tc>
          <w:tcPr>
            <w:tcW w:w="8250" w:type="dxa"/>
          </w:tcPr>
          <w:p>
            <w:pPr>
              <w:pStyle w:val="TableParagraph"/>
              <w:rPr>
                <w:sz w:val="22"/>
              </w:rPr>
            </w:pPr>
            <w:r>
              <w:rPr>
                <w:sz w:val="22"/>
              </w:rPr>
              <w:t>Old keyboard shortcut.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0"/>
              <w:rPr>
                <w:sz w:val="22"/>
              </w:rPr>
            </w:pPr>
            <w:r>
              <w:rPr>
                <w:sz w:val="22"/>
              </w:rPr>
              <w:t>datatype.</w:t>
            </w:r>
          </w:p>
        </w:tc>
      </w:tr>
      <w:tr>
        <w:trPr>
          <w:trHeight w:val="892" w:hRule="atLeast"/>
        </w:trPr>
        <w:tc>
          <w:tcPr>
            <w:tcW w:w="2062" w:type="dxa"/>
          </w:tcPr>
          <w:p>
            <w:pPr>
              <w:pStyle w:val="TableParagraph"/>
              <w:ind w:right="277"/>
              <w:rPr>
                <w:sz w:val="22"/>
              </w:rPr>
            </w:pPr>
            <w:r>
              <w:rPr>
                <w:rFonts w:ascii="Cambria"/>
                <w:sz w:val="22"/>
              </w:rPr>
              <w:t>oldStatusBar </w:t>
            </w:r>
            <w:r>
              <w:rPr>
                <w:sz w:val="22"/>
              </w:rPr>
              <w:t>(Old Status Bar)</w:t>
            </w:r>
          </w:p>
        </w:tc>
        <w:tc>
          <w:tcPr>
            <w:tcW w:w="8250" w:type="dxa"/>
          </w:tcPr>
          <w:p>
            <w:pPr>
              <w:pStyle w:val="TableParagraph"/>
              <w:rPr>
                <w:sz w:val="22"/>
              </w:rPr>
            </w:pPr>
            <w:r>
              <w:rPr>
                <w:sz w:val="22"/>
              </w:rPr>
              <w:t>A string representing the old status bar text</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t>
            </w:r>
            <w:r>
              <w:rPr>
                <w:rFonts w:ascii="Cambria"/>
                <w:sz w:val="22"/>
              </w:rPr>
              <w:t>ST_Xstring </w:t>
            </w:r>
            <w:r>
              <w:rPr>
                <w:sz w:val="22"/>
              </w:rPr>
              <w:t>simple type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(§22.9.2.19).</w:t>
            </w:r>
          </w:p>
        </w:tc>
      </w:tr>
      <w:tr>
        <w:trPr>
          <w:trHeight w:val="1427" w:hRule="atLeast"/>
        </w:trPr>
        <w:tc>
          <w:tcPr>
            <w:tcW w:w="2062" w:type="dxa"/>
          </w:tcPr>
          <w:p>
            <w:pPr>
              <w:pStyle w:val="TableParagraph"/>
              <w:ind w:right="318"/>
              <w:rPr>
                <w:sz w:val="22"/>
              </w:rPr>
            </w:pPr>
            <w:r>
              <w:rPr>
                <w:rFonts w:ascii="Cambria"/>
                <w:sz w:val="22"/>
              </w:rPr>
              <w:t>ra </w:t>
            </w:r>
            <w:r>
              <w:rPr>
                <w:sz w:val="22"/>
              </w:rPr>
              <w:t>(Revision Undo Rejected)</w:t>
            </w:r>
          </w:p>
        </w:tc>
        <w:tc>
          <w:tcPr>
            <w:tcW w:w="8250" w:type="dxa"/>
          </w:tcPr>
          <w:p>
            <w:pPr>
              <w:pStyle w:val="TableParagraph"/>
              <w:ind w:right="168"/>
              <w:rPr>
                <w:sz w:val="22"/>
              </w:rPr>
            </w:pPr>
            <w:r>
              <w:rPr>
                <w:sz w:val="22"/>
              </w:rPr>
              <w:t>A Boolean flag which indicates that this revision was due to a previous undo (</w:t>
            </w:r>
            <w:r>
              <w:rPr>
                <w:rFonts w:ascii="Consolas"/>
                <w:sz w:val="20"/>
              </w:rPr>
              <w:t>ua</w:t>
            </w:r>
            <w:r>
              <w:rPr>
                <w:sz w:val="22"/>
              </w:rPr>
              <w:t>) revision being rejected.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ind w:left="0" w:right="497"/>
              <w:jc w:val="right"/>
              <w:rPr>
                <w:sz w:val="22"/>
              </w:rPr>
            </w:pPr>
            <w:r>
              <w:rPr>
                <w:rFonts w:ascii="Cambria"/>
                <w:sz w:val="22"/>
              </w:rPr>
              <w:t>rId </w:t>
            </w:r>
            <w:r>
              <w:rPr>
                <w:sz w:val="22"/>
              </w:rPr>
              <w:t>(Revision Id)</w:t>
            </w:r>
          </w:p>
        </w:tc>
        <w:tc>
          <w:tcPr>
            <w:tcW w:w="8250" w:type="dxa"/>
          </w:tcPr>
          <w:p>
            <w:pPr>
              <w:pStyle w:val="TableParagraph"/>
              <w:rPr>
                <w:sz w:val="22"/>
              </w:rPr>
            </w:pPr>
            <w:r>
              <w:rPr>
                <w:sz w:val="22"/>
              </w:rPr>
              <w:t>An integer representing the number of this revision. This id shall apply to reviewable revision types only.</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9" w:hRule="atLeast"/>
        </w:trPr>
        <w:tc>
          <w:tcPr>
            <w:tcW w:w="2062" w:type="dxa"/>
          </w:tcPr>
          <w:p>
            <w:pPr>
              <w:pStyle w:val="TableParagraph"/>
              <w:spacing w:line="256" w:lineRule="exact" w:before="43"/>
              <w:rPr>
                <w:rFonts w:ascii="Cambria"/>
                <w:sz w:val="22"/>
              </w:rPr>
            </w:pPr>
            <w:r>
              <w:rPr>
                <w:rFonts w:ascii="Cambria"/>
                <w:sz w:val="22"/>
              </w:rPr>
              <w:t>shortcutKey</w:t>
            </w:r>
          </w:p>
          <w:p>
            <w:pPr>
              <w:pStyle w:val="TableParagraph"/>
              <w:spacing w:line="267" w:lineRule="exact" w:before="0"/>
              <w:rPr>
                <w:sz w:val="22"/>
              </w:rPr>
            </w:pPr>
            <w:r>
              <w:rPr>
                <w:sz w:val="22"/>
              </w:rPr>
              <w:t>(Shortcut Key)</w:t>
            </w:r>
          </w:p>
        </w:tc>
        <w:tc>
          <w:tcPr>
            <w:tcW w:w="8250" w:type="dxa"/>
          </w:tcPr>
          <w:p>
            <w:pPr>
              <w:pStyle w:val="TableParagraph"/>
              <w:rPr>
                <w:sz w:val="22"/>
              </w:rPr>
            </w:pPr>
            <w:r>
              <w:rPr>
                <w:sz w:val="22"/>
              </w:rPr>
              <w:t>Represents the new keyboard shortcut.</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unsignedByte</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ind w:right="346"/>
              <w:rPr>
                <w:sz w:val="22"/>
              </w:rPr>
            </w:pPr>
            <w:r>
              <w:rPr>
                <w:rFonts w:ascii="Cambria"/>
                <w:sz w:val="22"/>
              </w:rPr>
              <w:t>statusBar </w:t>
            </w:r>
            <w:r>
              <w:rPr>
                <w:sz w:val="22"/>
              </w:rPr>
              <w:t>(Status Bar)</w:t>
            </w:r>
          </w:p>
        </w:tc>
        <w:tc>
          <w:tcPr>
            <w:tcW w:w="8250" w:type="dxa"/>
          </w:tcPr>
          <w:p>
            <w:pPr>
              <w:pStyle w:val="TableParagraph"/>
              <w:rPr>
                <w:sz w:val="22"/>
              </w:rPr>
            </w:pPr>
            <w:r>
              <w:rPr>
                <w:sz w:val="22"/>
              </w:rPr>
              <w:t>A string representing the new status bar text.</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30" w:hRule="atLeast"/>
        </w:trPr>
        <w:tc>
          <w:tcPr>
            <w:tcW w:w="2062" w:type="dxa"/>
          </w:tcPr>
          <w:p>
            <w:pPr>
              <w:pStyle w:val="TableParagraph"/>
              <w:ind w:right="306"/>
              <w:rPr>
                <w:sz w:val="22"/>
              </w:rPr>
            </w:pPr>
            <w:r>
              <w:rPr>
                <w:rFonts w:ascii="Cambria"/>
                <w:sz w:val="22"/>
              </w:rPr>
              <w:t>ua </w:t>
            </w:r>
            <w:r>
              <w:rPr>
                <w:sz w:val="22"/>
              </w:rPr>
              <w:t>(Revision From Rejection)</w:t>
            </w:r>
          </w:p>
        </w:tc>
        <w:tc>
          <w:tcPr>
            <w:tcW w:w="8250" w:type="dxa"/>
          </w:tcPr>
          <w:p>
            <w:pPr>
              <w:pStyle w:val="TableParagraph"/>
              <w:ind w:right="803"/>
              <w:rPr>
                <w:sz w:val="22"/>
              </w:rPr>
            </w:pPr>
            <w:r>
              <w:rPr>
                <w:sz w:val="22"/>
              </w:rPr>
              <w:t>A Boolean flag indicating that this revision occurred because another revision was rejected and therefore undone.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CT_RevisionDefinedName</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14 reviewed (Reviewed)" w:id="1097"/>
      <w:bookmarkEnd w:id="1097"/>
      <w:r>
        <w:rPr/>
      </w:r>
      <w:bookmarkStart w:name="_bookmark364" w:id="1098"/>
      <w:bookmarkEnd w:id="1098"/>
      <w:r>
        <w:rPr/>
      </w:r>
      <w:bookmarkStart w:name="_bookmark364" w:id="1099"/>
      <w:bookmarkEnd w:id="1099"/>
      <w:r>
        <w:rPr>
          <w:color w:val="4F81BC"/>
        </w:rPr>
        <w:t>r</w:t>
      </w:r>
      <w:r>
        <w:rPr>
          <w:color w:val="4F81BC"/>
        </w:rPr>
        <w:t>eviewed</w:t>
      </w:r>
      <w:r>
        <w:rPr>
          <w:color w:val="4F81BC"/>
          <w:spacing w:val="-3"/>
        </w:rPr>
        <w:t> </w:t>
      </w:r>
      <w:r>
        <w:rPr>
          <w:color w:val="4F81BC"/>
        </w:rPr>
        <w:t>(Reviewed)</w:t>
      </w:r>
    </w:p>
    <w:p>
      <w:pPr>
        <w:pStyle w:val="BodyText"/>
        <w:spacing w:line="278" w:lineRule="auto" w:before="119"/>
        <w:ind w:left="220" w:right="450"/>
      </w:pPr>
      <w:r>
        <w:rPr/>
        <w:t>This element represents an identifier of a single reviewed revision. A reviewed revision, is a revision that has been reviewed via the spreadsheet application's track changes feature, has been accepted, and has been saved.</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left="0" w:right="540"/>
              <w:jc w:val="right"/>
              <w:rPr>
                <w:sz w:val="22"/>
              </w:rPr>
            </w:pPr>
            <w:r>
              <w:rPr>
                <w:rFonts w:ascii="Cambria"/>
                <w:sz w:val="22"/>
              </w:rPr>
              <w:t>rId </w:t>
            </w:r>
            <w:r>
              <w:rPr>
                <w:sz w:val="22"/>
              </w:rPr>
              <w:t>(revision Id)</w:t>
            </w:r>
          </w:p>
        </w:tc>
        <w:tc>
          <w:tcPr>
            <w:tcW w:w="8250" w:type="dxa"/>
          </w:tcPr>
          <w:p>
            <w:pPr>
              <w:pStyle w:val="TableParagraph"/>
              <w:rPr>
                <w:sz w:val="22"/>
              </w:rPr>
            </w:pPr>
            <w:r>
              <w:rPr>
                <w:sz w:val="22"/>
              </w:rPr>
              <w:t>ID of a reviewed revision.</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ind w:left="220" w:right="614"/>
      </w:pPr>
      <w:r>
        <w:rPr/>
        <w:t>[</w:t>
      </w:r>
      <w:r>
        <w:rPr>
          <w:i/>
        </w:rPr>
        <w:t>Note</w:t>
      </w:r>
      <w:r>
        <w:rPr/>
        <w:t>: The W3C XML Schema definition of this element’s content model (</w:t>
      </w:r>
      <w:r>
        <w:rPr>
          <w:color w:val="5F5F5F"/>
          <w:u w:val="single" w:color="5F5F5F"/>
        </w:rPr>
        <w:t>CT_Reviewed</w:t>
      </w:r>
      <w:r>
        <w:rPr/>
        <w:t>) is located in §A.2. </w:t>
      </w:r>
      <w:r>
        <w:rPr>
          <w:i/>
        </w:rPr>
        <w:t>end </w:t>
      </w:r>
      <w:r>
        <w:rPr>
          <w:i/>
        </w:rPr>
        <w:t>note</w:t>
      </w:r>
      <w:r>
        <w:rPr/>
        <w:t>]</w:t>
      </w:r>
    </w:p>
    <w:p>
      <w:pPr>
        <w:spacing w:after="0" w:line="276" w:lineRule="auto"/>
        <w:sectPr>
          <w:pgSz w:w="12240" w:h="15840"/>
          <w:pgMar w:header="763" w:footer="746" w:top="1340" w:bottom="940" w:left="860" w:right="700"/>
        </w:sectPr>
      </w:pPr>
    </w:p>
    <w:p>
      <w:pPr>
        <w:pStyle w:val="Heading3"/>
        <w:numPr>
          <w:ilvl w:val="3"/>
          <w:numId w:val="52"/>
        </w:numPr>
        <w:tabs>
          <w:tab w:pos="1732" w:val="left" w:leader="none"/>
          <w:tab w:pos="1733" w:val="left" w:leader="none"/>
        </w:tabs>
        <w:spacing w:line="240" w:lineRule="auto" w:before="93" w:after="0"/>
        <w:ind w:left="1732" w:right="0" w:hanging="1513"/>
        <w:jc w:val="left"/>
      </w:pPr>
      <w:bookmarkStart w:name="18.11.1.15 reviewedList (Reviewed List)" w:id="1100"/>
      <w:bookmarkEnd w:id="1100"/>
      <w:r>
        <w:rPr/>
      </w:r>
      <w:bookmarkStart w:name="_bookmark365" w:id="1101"/>
      <w:bookmarkEnd w:id="1101"/>
      <w:r>
        <w:rPr/>
      </w:r>
      <w:bookmarkStart w:name="_bookmark365" w:id="1102"/>
      <w:bookmarkEnd w:id="1102"/>
      <w:r>
        <w:rPr>
          <w:color w:val="4F81BC"/>
        </w:rPr>
        <w:t>r</w:t>
      </w:r>
      <w:r>
        <w:rPr>
          <w:color w:val="4F81BC"/>
        </w:rPr>
        <w:t>eviewedList (Reviewed</w:t>
      </w:r>
      <w:r>
        <w:rPr>
          <w:color w:val="4F81BC"/>
          <w:spacing w:val="-2"/>
        </w:rPr>
        <w:t> </w:t>
      </w:r>
      <w:r>
        <w:rPr>
          <w:color w:val="4F81BC"/>
        </w:rPr>
        <w:t>List)</w:t>
      </w:r>
    </w:p>
    <w:p>
      <w:pPr>
        <w:pStyle w:val="BodyText"/>
        <w:spacing w:before="122"/>
        <w:ind w:left="220"/>
      </w:pPr>
      <w:r>
        <w:rPr/>
        <w:t>This element maintains a list of reviewed revisions.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98"/>
              <w:rPr>
                <w:sz w:val="22"/>
              </w:rPr>
            </w:pPr>
            <w:r>
              <w:rPr>
                <w:rFonts w:ascii="Cambria"/>
                <w:sz w:val="22"/>
              </w:rPr>
              <w:t>count </w:t>
            </w:r>
            <w:r>
              <w:rPr>
                <w:sz w:val="22"/>
              </w:rPr>
              <w:t>(Reviewed Revisions Count)</w:t>
            </w:r>
          </w:p>
        </w:tc>
        <w:tc>
          <w:tcPr>
            <w:tcW w:w="8250" w:type="dxa"/>
          </w:tcPr>
          <w:p>
            <w:pPr>
              <w:pStyle w:val="TableParagraph"/>
              <w:rPr>
                <w:sz w:val="22"/>
              </w:rPr>
            </w:pPr>
            <w:r>
              <w:rPr>
                <w:sz w:val="22"/>
              </w:rPr>
              <w:t>Number of reviewed revisions.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CT_ReviewedRevisions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10"/>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16 revisions (Revisions)" w:id="1103"/>
      <w:bookmarkEnd w:id="1103"/>
      <w:r>
        <w:rPr/>
      </w:r>
      <w:bookmarkStart w:name="_bookmark366" w:id="1104"/>
      <w:bookmarkEnd w:id="1104"/>
      <w:r>
        <w:rPr/>
      </w:r>
      <w:bookmarkStart w:name="_bookmark366" w:id="1105"/>
      <w:bookmarkEnd w:id="1105"/>
      <w:r>
        <w:rPr>
          <w:color w:val="4F81BC"/>
        </w:rPr>
        <w:t>r</w:t>
      </w:r>
      <w:r>
        <w:rPr>
          <w:color w:val="4F81BC"/>
        </w:rPr>
        <w:t>evisions</w:t>
      </w:r>
      <w:r>
        <w:rPr>
          <w:color w:val="4F81BC"/>
          <w:spacing w:val="-1"/>
        </w:rPr>
        <w:t> </w:t>
      </w:r>
      <w:r>
        <w:rPr>
          <w:color w:val="4F81BC"/>
        </w:rPr>
        <w:t>(Revisions)</w:t>
      </w:r>
    </w:p>
    <w:p>
      <w:pPr>
        <w:pStyle w:val="BodyText"/>
        <w:spacing w:line="276" w:lineRule="auto" w:before="119"/>
        <w:ind w:left="220" w:right="412"/>
      </w:pPr>
      <w:r>
        <w:rPr/>
        <w:t>This element represents the root node of a list of revisions made in this shared workbook. This root node shows up at the beginning of every log file that contains specific revisions made to the workbook.</w:t>
      </w:r>
    </w:p>
    <w:p>
      <w:pPr>
        <w:pStyle w:val="BodyText"/>
        <w:spacing w:before="3"/>
        <w:rPr>
          <w:sz w:val="16"/>
        </w:rPr>
      </w:pPr>
    </w:p>
    <w:p>
      <w:pPr>
        <w:pStyle w:val="BodyText"/>
        <w:spacing w:line="276" w:lineRule="auto"/>
        <w:ind w:left="220" w:right="412"/>
      </w:pPr>
      <w:r>
        <w:rPr/>
        <w:t>When multiple users are sharing, and editing, a workbook at the same time, there can be conflicting changes. The spreadsheet application should have logic to resolve such conflicts, and the file format should only contain enough information so that the spreadsheet application can restore the workbook to the correct state after conflict resolution. Revisions can also be tracked by the spreadsheet application for review by the user at a later time (as opposed to only dealing with conflicts on a save event.) Some edits to workbooks are made as a result of this conflict resolution. So, there are cases where a revision is effectively undone by another user, and as a result that undoing is itself a revision that adds or changes data in the file. These operations are tracked by the </w:t>
      </w:r>
      <w:r>
        <w:rPr>
          <w:rFonts w:ascii="Consolas"/>
          <w:sz w:val="20"/>
        </w:rPr>
        <w:t>ua</w:t>
      </w:r>
      <w:r>
        <w:rPr>
          <w:rFonts w:ascii="Consolas"/>
          <w:spacing w:val="-60"/>
          <w:sz w:val="20"/>
        </w:rPr>
        <w:t> </w:t>
      </w:r>
      <w:r>
        <w:rPr/>
        <w:t>and </w:t>
      </w:r>
      <w:r>
        <w:rPr>
          <w:rFonts w:ascii="Consolas"/>
          <w:sz w:val="20"/>
        </w:rPr>
        <w:t>ra</w:t>
      </w:r>
      <w:r>
        <w:rPr>
          <w:rFonts w:ascii="Consolas"/>
          <w:spacing w:val="-59"/>
          <w:sz w:val="20"/>
        </w:rPr>
        <w:t> </w:t>
      </w:r>
      <w:r>
        <w:rPr/>
        <w:t>attributes of many different elements.</w:t>
      </w:r>
    </w:p>
    <w:p>
      <w:pPr>
        <w:pStyle w:val="BodyText"/>
        <w:spacing w:before="8"/>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220"/>
      </w:pPr>
      <w:r>
        <w:rPr/>
        <w:t>Step 1:</w:t>
      </w:r>
    </w:p>
    <w:p>
      <w:pPr>
        <w:pStyle w:val="BodyText"/>
        <w:spacing w:before="8"/>
        <w:rPr>
          <w:sz w:val="19"/>
        </w:rPr>
      </w:pPr>
    </w:p>
    <w:p>
      <w:pPr>
        <w:pStyle w:val="BodyText"/>
        <w:ind w:left="220"/>
      </w:pPr>
      <w:r>
        <w:rPr/>
        <w:t>User 1 inserts Column A. So the XML in the revision log would look like this:</w:t>
      </w:r>
    </w:p>
    <w:p>
      <w:pPr>
        <w:pStyle w:val="BodyText"/>
        <w:spacing w:before="8"/>
        <w:rPr>
          <w:sz w:val="19"/>
        </w:rPr>
      </w:pPr>
    </w:p>
    <w:p>
      <w:pPr>
        <w:pStyle w:val="BodyText"/>
        <w:spacing w:before="1"/>
        <w:ind w:left="508"/>
        <w:rPr>
          <w:rFonts w:ascii="Consolas" w:hAnsi="Consolas"/>
        </w:rPr>
      </w:pPr>
      <w:r>
        <w:rPr>
          <w:rFonts w:ascii="Consolas" w:hAnsi="Consolas"/>
        </w:rPr>
        <w:t>&lt;revisions xmlns="…" xmlns:r="…"&gt;</w:t>
      </w:r>
    </w:p>
    <w:p>
      <w:pPr>
        <w:pStyle w:val="BodyText"/>
        <w:spacing w:before="40"/>
        <w:ind w:left="750"/>
        <w:rPr>
          <w:rFonts w:ascii="Consolas"/>
        </w:rPr>
      </w:pPr>
      <w:r>
        <w:rPr>
          <w:rFonts w:ascii="Consolas"/>
        </w:rPr>
        <w:t>&lt;rrc rId="1" sId="1" ref="A1:A1048576" action="insertCol"/&gt;</w:t>
      </w:r>
    </w:p>
    <w:p>
      <w:pPr>
        <w:pStyle w:val="BodyText"/>
        <w:spacing w:before="37"/>
        <w:ind w:left="508"/>
        <w:rPr>
          <w:rFonts w:ascii="Consolas"/>
        </w:rPr>
      </w:pPr>
      <w:r>
        <w:rPr>
          <w:rFonts w:ascii="Consolas"/>
        </w:rPr>
        <w:t>&lt;/revisions&gt;</w:t>
      </w:r>
    </w:p>
    <w:p>
      <w:pPr>
        <w:pStyle w:val="BodyText"/>
        <w:spacing w:before="5"/>
        <w:rPr>
          <w:rFonts w:ascii="Consolas"/>
          <w:sz w:val="20"/>
        </w:rPr>
      </w:pPr>
    </w:p>
    <w:p>
      <w:pPr>
        <w:pStyle w:val="BodyText"/>
        <w:ind w:left="220"/>
      </w:pPr>
      <w:r>
        <w:rPr/>
        <w:t>Step 2:</w:t>
      </w:r>
    </w:p>
    <w:p>
      <w:pPr>
        <w:pStyle w:val="BodyText"/>
        <w:spacing w:before="7"/>
        <w:rPr>
          <w:sz w:val="19"/>
        </w:rPr>
      </w:pPr>
    </w:p>
    <w:p>
      <w:pPr>
        <w:pStyle w:val="BodyText"/>
        <w:spacing w:line="276" w:lineRule="auto"/>
        <w:ind w:left="220" w:right="503"/>
      </w:pPr>
      <w:r>
        <w:rPr/>
        <w:t>User 2 synchronizes the file to pick up that change, but then activates the Track Changes feature, and rejects that change. This effectively performs an undo on User 1's insertion. This is denoted in the file with the </w:t>
      </w:r>
      <w:r>
        <w:rPr>
          <w:rFonts w:ascii="Consolas"/>
          <w:sz w:val="20"/>
        </w:rPr>
        <w:t>ua </w:t>
      </w:r>
      <w:r>
        <w:rPr/>
        <w:t>attribute meaning that this change happened as the result of an undo. The XML for the revision log would look like this:</w:t>
      </w:r>
    </w:p>
    <w:p>
      <w:pPr>
        <w:spacing w:after="0" w:line="276" w:lineRule="auto"/>
        <w:sectPr>
          <w:pgSz w:w="12240" w:h="15840"/>
          <w:pgMar w:header="761" w:footer="746" w:top="1340" w:bottom="940" w:left="860" w:right="700"/>
        </w:sectPr>
      </w:pPr>
    </w:p>
    <w:p>
      <w:pPr>
        <w:pStyle w:val="BodyText"/>
        <w:spacing w:before="150"/>
        <w:ind w:left="508"/>
        <w:rPr>
          <w:rFonts w:ascii="Consolas" w:hAnsi="Consolas"/>
        </w:rPr>
      </w:pPr>
      <w:r>
        <w:rPr>
          <w:rFonts w:ascii="Consolas" w:hAnsi="Consolas"/>
        </w:rPr>
        <w:t>&lt;revisions xmlns="…" xmlns:r="…"&gt;</w:t>
      </w:r>
    </w:p>
    <w:p>
      <w:pPr>
        <w:pStyle w:val="BodyText"/>
        <w:spacing w:before="38"/>
        <w:ind w:left="750"/>
        <w:rPr>
          <w:rFonts w:ascii="Consolas"/>
        </w:rPr>
      </w:pPr>
      <w:r>
        <w:rPr>
          <w:rFonts w:ascii="Consolas"/>
        </w:rPr>
        <w:t>&lt;rrc rId="2" ua="1" sId="1" ref="A1:A1048576" action="deleteCol"/&gt;</w:t>
      </w:r>
    </w:p>
    <w:p>
      <w:pPr>
        <w:pStyle w:val="BodyText"/>
        <w:spacing w:before="40"/>
        <w:ind w:left="750"/>
        <w:rPr>
          <w:rFonts w:ascii="Consolas"/>
        </w:rPr>
      </w:pPr>
      <w:r>
        <w:rPr>
          <w:rFonts w:ascii="Consolas"/>
        </w:rPr>
        <w:t>&lt;rcft rId="1" ua="1" sheetId="1"/&gt;</w:t>
      </w:r>
    </w:p>
    <w:p>
      <w:pPr>
        <w:pStyle w:val="BodyText"/>
        <w:spacing w:before="38"/>
        <w:ind w:left="508"/>
        <w:rPr>
          <w:rFonts w:ascii="Consolas"/>
        </w:rPr>
      </w:pPr>
      <w:r>
        <w:rPr>
          <w:rFonts w:ascii="Consolas"/>
        </w:rPr>
        <w:t>&lt;/revisions&gt;</w:t>
      </w:r>
    </w:p>
    <w:p>
      <w:pPr>
        <w:pStyle w:val="BodyText"/>
        <w:spacing w:before="5"/>
        <w:rPr>
          <w:rFonts w:ascii="Consolas"/>
          <w:sz w:val="20"/>
        </w:rPr>
      </w:pPr>
    </w:p>
    <w:p>
      <w:pPr>
        <w:pStyle w:val="BodyText"/>
        <w:ind w:left="220"/>
      </w:pPr>
      <w:r>
        <w:rPr/>
        <w:t>Step 3:</w:t>
      </w:r>
    </w:p>
    <w:p>
      <w:pPr>
        <w:pStyle w:val="BodyText"/>
        <w:spacing w:before="6"/>
        <w:rPr>
          <w:sz w:val="19"/>
        </w:rPr>
      </w:pPr>
    </w:p>
    <w:p>
      <w:pPr>
        <w:pStyle w:val="BodyText"/>
        <w:spacing w:line="276" w:lineRule="auto"/>
        <w:ind w:left="220" w:right="542"/>
      </w:pPr>
      <w:r>
        <w:rPr/>
        <w:t>User 1 enters "foo" in A1, and saves the file. A conflict resolution dialog is shown since User 2's version of the file removed the inserted Column A. User 1 chooses to accept their own changes. This undoes the change that User 2 made. So, in effect, it performed an undo on a previous undo operation. This is denoted in the file format by the </w:t>
      </w:r>
      <w:r>
        <w:rPr>
          <w:rFonts w:ascii="Consolas"/>
          <w:sz w:val="20"/>
        </w:rPr>
        <w:t>ra </w:t>
      </w:r>
      <w:r>
        <w:rPr/>
        <w:t>attribute meaning that a the change occurred because a previous undo was undone. So the resulting XML for the newest log file looks like this:</w:t>
      </w:r>
    </w:p>
    <w:p>
      <w:pPr>
        <w:pStyle w:val="BodyText"/>
        <w:spacing w:before="8"/>
        <w:rPr>
          <w:sz w:val="16"/>
        </w:rPr>
      </w:pPr>
    </w:p>
    <w:p>
      <w:pPr>
        <w:pStyle w:val="BodyText"/>
        <w:ind w:left="508"/>
        <w:rPr>
          <w:rFonts w:ascii="Consolas" w:hAnsi="Consolas"/>
        </w:rPr>
      </w:pPr>
      <w:r>
        <w:rPr>
          <w:rFonts w:ascii="Consolas" w:hAnsi="Consolas"/>
        </w:rPr>
        <w:t>&lt;revisions xmlns="…" xmlns:r="…"&gt;</w:t>
      </w:r>
    </w:p>
    <w:p>
      <w:pPr>
        <w:pStyle w:val="BodyText"/>
        <w:spacing w:before="38"/>
        <w:ind w:left="750"/>
        <w:rPr>
          <w:rFonts w:ascii="Consolas"/>
        </w:rPr>
      </w:pPr>
      <w:r>
        <w:rPr>
          <w:rFonts w:ascii="Consolas"/>
        </w:rPr>
        <w:t>&lt;rrc rId="3" ua="1" ra="1" sId="1" ref="A1:A1048576" action="insertCol"/&gt;</w:t>
      </w:r>
    </w:p>
    <w:p>
      <w:pPr>
        <w:pStyle w:val="BodyText"/>
        <w:spacing w:before="40"/>
        <w:ind w:left="750"/>
        <w:rPr>
          <w:rFonts w:ascii="Consolas"/>
        </w:rPr>
      </w:pPr>
      <w:r>
        <w:rPr>
          <w:rFonts w:ascii="Consolas"/>
        </w:rPr>
        <w:t>&lt;rcft rId="2" ua="1" sheetId="1"/&gt;</w:t>
      </w:r>
    </w:p>
    <w:p>
      <w:pPr>
        <w:pStyle w:val="BodyText"/>
        <w:spacing w:before="37"/>
        <w:ind w:left="750"/>
        <w:rPr>
          <w:rFonts w:ascii="Consolas"/>
        </w:rPr>
      </w:pPr>
      <w:r>
        <w:rPr>
          <w:rFonts w:ascii="Consolas"/>
        </w:rPr>
        <w:t>&lt;rcc rId="4" sId="1"&gt;</w:t>
      </w:r>
    </w:p>
    <w:p>
      <w:pPr>
        <w:pStyle w:val="BodyText"/>
        <w:spacing w:before="38"/>
        <w:ind w:left="993"/>
        <w:rPr>
          <w:rFonts w:ascii="Consolas"/>
        </w:rPr>
      </w:pPr>
      <w:r>
        <w:rPr>
          <w:rFonts w:ascii="Consolas"/>
        </w:rPr>
        <w:t>&lt;nc r="A1" t="inlineStr"&gt;</w:t>
      </w:r>
    </w:p>
    <w:p>
      <w:pPr>
        <w:pStyle w:val="BodyText"/>
        <w:spacing w:before="40"/>
        <w:ind w:left="1235"/>
        <w:rPr>
          <w:rFonts w:ascii="Consolas"/>
        </w:rPr>
      </w:pPr>
      <w:r>
        <w:rPr>
          <w:rFonts w:ascii="Consolas"/>
        </w:rPr>
        <w:t>&lt;is&gt;</w:t>
      </w:r>
    </w:p>
    <w:p>
      <w:pPr>
        <w:pStyle w:val="BodyText"/>
        <w:spacing w:before="37"/>
        <w:ind w:left="1478"/>
        <w:rPr>
          <w:rFonts w:ascii="Consolas"/>
        </w:rPr>
      </w:pPr>
      <w:r>
        <w:rPr>
          <w:rFonts w:ascii="Consolas"/>
        </w:rPr>
        <w:t>&lt;t&gt;foo&lt;/t&gt;</w:t>
      </w:r>
    </w:p>
    <w:p>
      <w:pPr>
        <w:pStyle w:val="BodyText"/>
        <w:spacing w:before="40"/>
        <w:ind w:left="1235"/>
        <w:rPr>
          <w:rFonts w:ascii="Consolas"/>
        </w:rPr>
      </w:pPr>
      <w:r>
        <w:rPr>
          <w:rFonts w:ascii="Consolas"/>
        </w:rPr>
        <w:t>&lt;/is&gt;</w:t>
      </w:r>
    </w:p>
    <w:p>
      <w:pPr>
        <w:pStyle w:val="BodyText"/>
        <w:spacing w:before="38"/>
        <w:ind w:left="993"/>
        <w:rPr>
          <w:rFonts w:ascii="Consolas"/>
        </w:rPr>
      </w:pPr>
      <w:r>
        <w:rPr>
          <w:rFonts w:ascii="Consolas"/>
        </w:rPr>
        <w:t>&lt;/nc&gt;</w:t>
      </w:r>
    </w:p>
    <w:p>
      <w:pPr>
        <w:pStyle w:val="BodyText"/>
        <w:spacing w:before="40"/>
        <w:ind w:left="750"/>
        <w:rPr>
          <w:rFonts w:ascii="Consolas"/>
        </w:rPr>
      </w:pPr>
      <w:r>
        <w:rPr>
          <w:rFonts w:ascii="Consolas"/>
        </w:rPr>
        <w:t>&lt;/rcc&gt;</w:t>
      </w:r>
    </w:p>
    <w:p>
      <w:pPr>
        <w:pStyle w:val="BodyText"/>
        <w:spacing w:before="38"/>
        <w:ind w:left="750"/>
        <w:rPr>
          <w:rFonts w:ascii="Consolas"/>
        </w:rPr>
      </w:pPr>
      <w:r>
        <w:rPr>
          <w:rFonts w:ascii="Consolas"/>
        </w:rPr>
        <w:t>&lt;rcft rId="2" sheetId="1"/&gt;</w:t>
      </w:r>
    </w:p>
    <w:p>
      <w:pPr>
        <w:pStyle w:val="BodyText"/>
        <w:spacing w:before="37"/>
        <w:ind w:left="508"/>
        <w:rPr>
          <w:rFonts w:ascii="Consolas"/>
        </w:rPr>
      </w:pPr>
      <w:r>
        <w:rPr>
          <w:rFonts w:ascii="Consolas"/>
        </w:rPr>
        <w:t>&lt;/revisions&gt;</w:t>
      </w:r>
    </w:p>
    <w:p>
      <w:pPr>
        <w:pStyle w:val="BodyText"/>
        <w:spacing w:before="6"/>
        <w:rPr>
          <w:rFonts w:ascii="Consolas"/>
          <w:sz w:val="20"/>
        </w:rPr>
      </w:pPr>
    </w:p>
    <w:p>
      <w:pPr>
        <w:spacing w:before="0"/>
        <w:ind w:left="220" w:right="0" w:firstLine="0"/>
        <w:jc w:val="left"/>
        <w:rPr>
          <w:sz w:val="22"/>
        </w:rPr>
      </w:pPr>
      <w:r>
        <w:rPr>
          <w:i/>
          <w:sz w:val="22"/>
        </w:rPr>
        <w:t>end example</w:t>
      </w:r>
      <w:r>
        <w:rPr>
          <w:sz w:val="22"/>
        </w:rPr>
        <w:t>]</w:t>
      </w:r>
    </w:p>
    <w:p>
      <w:pPr>
        <w:pStyle w:val="BodyText"/>
        <w:spacing w:before="5"/>
        <w:rPr>
          <w:sz w:val="19"/>
        </w:rPr>
      </w:pPr>
    </w:p>
    <w:p>
      <w:pPr>
        <w:pStyle w:val="BodyText"/>
        <w:spacing w:line="278" w:lineRule="auto" w:before="1"/>
        <w:ind w:left="220" w:right="652"/>
      </w:pPr>
      <w:r>
        <w:rPr/>
        <w:t>[</w:t>
      </w:r>
      <w:r>
        <w:rPr>
          <w:i/>
        </w:rPr>
        <w:t>Note</w:t>
      </w:r>
      <w:r>
        <w:rPr/>
        <w:t>: The W3C XML Schema definition of this element’s content model (</w:t>
      </w:r>
      <w:r>
        <w:rPr>
          <w:color w:val="5F5F5F"/>
          <w:u w:val="single" w:color="5F5F5F"/>
        </w:rPr>
        <w:t>CT_Revisions</w:t>
      </w:r>
      <w:r>
        <w:rPr/>
        <w:t>) is located in §A.2. </w:t>
      </w:r>
      <w:r>
        <w:rPr>
          <w:i/>
        </w:rPr>
        <w:t>end </w:t>
      </w:r>
      <w:r>
        <w:rPr>
          <w:i/>
        </w:rPr>
        <w:t>note</w:t>
      </w:r>
      <w:r>
        <w:rPr/>
        <w:t>]</w:t>
      </w:r>
    </w:p>
    <w:p>
      <w:pPr>
        <w:pStyle w:val="BodyText"/>
        <w:spacing w:before="2"/>
        <w:rPr>
          <w:sz w:val="16"/>
        </w:rPr>
      </w:pPr>
    </w:p>
    <w:p>
      <w:pPr>
        <w:pStyle w:val="Heading3"/>
        <w:numPr>
          <w:ilvl w:val="3"/>
          <w:numId w:val="52"/>
        </w:numPr>
        <w:tabs>
          <w:tab w:pos="1732" w:val="left" w:leader="none"/>
          <w:tab w:pos="1733" w:val="left" w:leader="none"/>
        </w:tabs>
        <w:spacing w:line="240" w:lineRule="auto" w:before="1" w:after="0"/>
        <w:ind w:left="1732" w:right="0" w:hanging="1513"/>
        <w:jc w:val="left"/>
      </w:pPr>
      <w:bookmarkStart w:name="18.11.1.17 rfmt (Revision Format)" w:id="1106"/>
      <w:bookmarkEnd w:id="1106"/>
      <w:r>
        <w:rPr/>
      </w:r>
      <w:bookmarkStart w:name="_bookmark367" w:id="1107"/>
      <w:bookmarkEnd w:id="1107"/>
      <w:r>
        <w:rPr/>
      </w:r>
      <w:bookmarkStart w:name="_bookmark367" w:id="1108"/>
      <w:bookmarkEnd w:id="1108"/>
      <w:r>
        <w:rPr>
          <w:color w:val="4F81BC"/>
        </w:rPr>
        <w:t>r</w:t>
      </w:r>
      <w:r>
        <w:rPr>
          <w:color w:val="4F81BC"/>
        </w:rPr>
        <w:t>fmt (Revision</w:t>
      </w:r>
      <w:r>
        <w:rPr>
          <w:color w:val="4F81BC"/>
          <w:spacing w:val="-2"/>
        </w:rPr>
        <w:t> </w:t>
      </w:r>
      <w:r>
        <w:rPr>
          <w:color w:val="4F81BC"/>
        </w:rPr>
        <w:t>Format)</w:t>
      </w:r>
    </w:p>
    <w:p>
      <w:pPr>
        <w:pStyle w:val="BodyText"/>
        <w:spacing w:before="121"/>
        <w:ind w:left="220"/>
      </w:pPr>
      <w:r>
        <w:rPr/>
        <w:t>This element represents a revision record of information about a formatting change.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length </w:t>
            </w:r>
            <w:r>
              <w:rPr>
                <w:sz w:val="22"/>
              </w:rPr>
              <w:t>(Length)</w:t>
            </w:r>
          </w:p>
        </w:tc>
        <w:tc>
          <w:tcPr>
            <w:tcW w:w="8250" w:type="dxa"/>
          </w:tcPr>
          <w:p>
            <w:pPr>
              <w:pStyle w:val="TableParagraph"/>
              <w:rPr>
                <w:sz w:val="22"/>
              </w:rPr>
            </w:pPr>
            <w:r>
              <w:rPr>
                <w:sz w:val="22"/>
              </w:rPr>
              <w:t>The number of characters that were affected by a string change, counting from</w:t>
            </w:r>
            <w:r>
              <w:rPr>
                <w:spacing w:val="-22"/>
                <w:sz w:val="22"/>
              </w:rPr>
              <w:t> </w:t>
            </w:r>
            <w:r>
              <w:rPr>
                <w:rFonts w:ascii="Consolas"/>
                <w:sz w:val="20"/>
              </w:rPr>
              <w:t>start</w:t>
            </w:r>
            <w:r>
              <w:rPr>
                <w:sz w:val="22"/>
              </w:rPr>
              <w: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unsignedInt</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s </w:t>
            </w:r>
            <w:r>
              <w:rPr>
                <w:sz w:val="22"/>
              </w:rPr>
              <w:t>(Style)</w:t>
            </w:r>
          </w:p>
        </w:tc>
        <w:tc>
          <w:tcPr>
            <w:tcW w:w="8250" w:type="dxa"/>
          </w:tcPr>
          <w:p>
            <w:pPr>
              <w:pStyle w:val="TableParagraph"/>
              <w:ind w:right="570"/>
              <w:rPr>
                <w:sz w:val="22"/>
              </w:rPr>
            </w:pPr>
            <w:r>
              <w:rPr>
                <w:sz w:val="22"/>
              </w:rPr>
              <w:t>Flag indicating that this formatting change affected a cell's style. (Only applicable for Undo operations).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234" w:hRule="atLeast"/>
        </w:trPr>
        <w:tc>
          <w:tcPr>
            <w:tcW w:w="2062" w:type="dxa"/>
            <w:tcBorders>
              <w:bottom w:val="single" w:sz="6" w:space="0" w:color="000000"/>
            </w:tcBorders>
          </w:tcPr>
          <w:p>
            <w:pPr>
              <w:pStyle w:val="TableParagraph"/>
              <w:spacing w:line="237" w:lineRule="auto" w:before="44"/>
              <w:ind w:right="190"/>
              <w:rPr>
                <w:sz w:val="22"/>
              </w:rPr>
            </w:pPr>
            <w:r>
              <w:rPr>
                <w:rFonts w:ascii="Cambria"/>
                <w:sz w:val="22"/>
              </w:rPr>
              <w:t>sqref </w:t>
            </w:r>
            <w:r>
              <w:rPr>
                <w:sz w:val="22"/>
              </w:rPr>
              <w:t>(Sequence Of References)</w:t>
            </w:r>
          </w:p>
        </w:tc>
        <w:tc>
          <w:tcPr>
            <w:tcW w:w="8250" w:type="dxa"/>
            <w:tcBorders>
              <w:bottom w:val="single" w:sz="6" w:space="0" w:color="000000"/>
            </w:tcBorders>
          </w:tcPr>
          <w:p>
            <w:pPr>
              <w:pStyle w:val="TableParagraph"/>
              <w:spacing w:before="42"/>
              <w:ind w:right="175"/>
              <w:rPr>
                <w:sz w:val="22"/>
              </w:rPr>
            </w:pPr>
            <w:r>
              <w:rPr>
                <w:sz w:val="22"/>
              </w:rPr>
              <w:t>A worksheet range to which this formatting was applied. [</w:t>
            </w:r>
            <w:r>
              <w:rPr>
                <w:i/>
                <w:sz w:val="22"/>
              </w:rPr>
              <w:t>Note</w:t>
            </w:r>
            <w:r>
              <w:rPr>
                <w:sz w:val="22"/>
              </w:rPr>
              <w:t>: For applications supporting the default grid size (see §</w:t>
            </w:r>
            <w:hyperlink w:history="true" w:anchor="_bookmark449">
              <w:r>
                <w:rPr>
                  <w:sz w:val="22"/>
                </w:rPr>
                <w:t>18.17.5</w:t>
              </w:r>
            </w:hyperlink>
            <w:r>
              <w:rPr>
                <w:sz w:val="22"/>
              </w:rPr>
              <w:t>), full column and row references shall explicitly state the row and column components, e.g., "A1:A1048576" For column "A", and A1:XFD1 for row "1". Applications with larger grid sizes shall interpret these to mean "column A" and "row 1" respectively, for their larger grid size. </w:t>
            </w:r>
            <w:r>
              <w:rPr>
                <w:i/>
                <w:sz w:val="22"/>
              </w:rPr>
              <w:t>end note</w:t>
            </w:r>
            <w:r>
              <w:rPr>
                <w:sz w:val="22"/>
              </w:rPr>
              <w:t>]</w:t>
            </w:r>
          </w:p>
          <w:p>
            <w:pPr>
              <w:pStyle w:val="TableParagraph"/>
              <w:spacing w:before="11"/>
              <w:ind w:left="0"/>
              <w:rPr>
                <w:sz w:val="21"/>
              </w:rPr>
            </w:pPr>
          </w:p>
          <w:p>
            <w:pPr>
              <w:pStyle w:val="TableParagraph"/>
              <w:spacing w:before="0"/>
              <w:ind w:right="1210"/>
              <w:rPr>
                <w:sz w:val="22"/>
              </w:rPr>
            </w:pPr>
            <w:r>
              <w:rPr>
                <w:sz w:val="22"/>
              </w:rPr>
              <w:t>The possible values for this attribute are defined by the </w:t>
            </w:r>
            <w:r>
              <w:rPr>
                <w:rFonts w:ascii="Cambria" w:hAnsi="Cambria"/>
                <w:sz w:val="22"/>
              </w:rPr>
              <w:t>ST_Sqref </w:t>
            </w:r>
            <w:r>
              <w:rPr>
                <w:sz w:val="22"/>
              </w:rPr>
              <w:t>simple type </w:t>
            </w:r>
            <w:hyperlink w:history="true" w:anchor="_bookmark898">
              <w:r>
                <w:rPr>
                  <w:sz w:val="22"/>
                </w:rPr>
                <w:t>(§18.18.76</w:t>
              </w:r>
            </w:hyperlink>
            <w:r>
              <w:rPr>
                <w:sz w:val="22"/>
              </w:rPr>
              <w:t>).</w:t>
            </w:r>
          </w:p>
        </w:tc>
      </w:tr>
      <w:tr>
        <w:trPr>
          <w:trHeight w:val="1425" w:hRule="atLeast"/>
        </w:trPr>
        <w:tc>
          <w:tcPr>
            <w:tcW w:w="2062" w:type="dxa"/>
            <w:tcBorders>
              <w:top w:val="single" w:sz="6" w:space="0" w:color="000000"/>
            </w:tcBorders>
          </w:tcPr>
          <w:p>
            <w:pPr>
              <w:pStyle w:val="TableParagraph"/>
              <w:spacing w:before="37"/>
              <w:rPr>
                <w:sz w:val="22"/>
              </w:rPr>
            </w:pPr>
            <w:r>
              <w:rPr>
                <w:rFonts w:ascii="Cambria"/>
                <w:sz w:val="22"/>
              </w:rPr>
              <w:t>start </w:t>
            </w:r>
            <w:r>
              <w:rPr>
                <w:sz w:val="22"/>
              </w:rPr>
              <w:t>(Start index)</w:t>
            </w:r>
          </w:p>
        </w:tc>
        <w:tc>
          <w:tcPr>
            <w:tcW w:w="8250" w:type="dxa"/>
            <w:tcBorders>
              <w:top w:val="single" w:sz="6" w:space="0" w:color="000000"/>
            </w:tcBorders>
          </w:tcPr>
          <w:p>
            <w:pPr>
              <w:pStyle w:val="TableParagraph"/>
              <w:spacing w:before="37"/>
              <w:ind w:right="103"/>
              <w:rPr>
                <w:sz w:val="22"/>
              </w:rPr>
            </w:pPr>
            <w:r>
              <w:rPr>
                <w:sz w:val="22"/>
              </w:rPr>
              <w:t>An integer representing an index showing which character a string change starts at within the string in the cell.</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8" w:hRule="atLeast"/>
        </w:trPr>
        <w:tc>
          <w:tcPr>
            <w:tcW w:w="2062" w:type="dxa"/>
          </w:tcPr>
          <w:p>
            <w:pPr>
              <w:pStyle w:val="TableParagraph"/>
              <w:ind w:right="184"/>
              <w:rPr>
                <w:sz w:val="22"/>
              </w:rPr>
            </w:pPr>
            <w:r>
              <w:rPr>
                <w:rFonts w:ascii="Cambria"/>
                <w:sz w:val="22"/>
              </w:rPr>
              <w:t>xfDxf </w:t>
            </w:r>
            <w:r>
              <w:rPr>
                <w:sz w:val="22"/>
              </w:rPr>
              <w:t>(Row or Column Formatting Change)</w:t>
            </w:r>
          </w:p>
        </w:tc>
        <w:tc>
          <w:tcPr>
            <w:tcW w:w="8250" w:type="dxa"/>
          </w:tcPr>
          <w:p>
            <w:pPr>
              <w:pStyle w:val="TableParagraph"/>
              <w:ind w:right="308"/>
              <w:rPr>
                <w:sz w:val="22"/>
              </w:rPr>
            </w:pPr>
            <w:r>
              <w:rPr>
                <w:sz w:val="22"/>
              </w:rPr>
              <w:t>A Boolean flag indicating that this formatting change had an affect on the formatting of an entire row or column that an affected cell(s) belongs to. (Only applicable for Undo operations)</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7"/>
        <w:ind w:left="220"/>
      </w:pPr>
      <w:r>
        <w:rPr/>
        <w:t>[</w:t>
      </w:r>
      <w:r>
        <w:rPr>
          <w:i/>
        </w:rPr>
        <w:t>Note</w:t>
      </w:r>
      <w:r>
        <w:rPr/>
        <w:t>: The W3C XML Schema definition of this element’s content model (</w:t>
      </w:r>
      <w:r>
        <w:rPr>
          <w:color w:val="5F5F5F"/>
          <w:u w:val="single" w:color="5F5F5F"/>
        </w:rPr>
        <w:t>CT_RevisionFormatting</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18 ris (Revision Insert Sheet)" w:id="1109"/>
      <w:bookmarkEnd w:id="1109"/>
      <w:r>
        <w:rPr/>
      </w:r>
      <w:bookmarkStart w:name="_bookmark368" w:id="1110"/>
      <w:bookmarkEnd w:id="1110"/>
      <w:r>
        <w:rPr/>
      </w:r>
      <w:bookmarkStart w:name="_bookmark368" w:id="1111"/>
      <w:bookmarkEnd w:id="1111"/>
      <w:r>
        <w:rPr>
          <w:color w:val="4F81BC"/>
        </w:rPr>
        <w:t>r</w:t>
      </w:r>
      <w:r>
        <w:rPr>
          <w:color w:val="4F81BC"/>
        </w:rPr>
        <w:t>is (Revision Insert</w:t>
      </w:r>
      <w:r>
        <w:rPr>
          <w:color w:val="4F81BC"/>
          <w:spacing w:val="-3"/>
        </w:rPr>
        <w:t> </w:t>
      </w:r>
      <w:r>
        <w:rPr>
          <w:color w:val="4F81BC"/>
        </w:rPr>
        <w:t>Sheet)</w:t>
      </w:r>
    </w:p>
    <w:p>
      <w:pPr>
        <w:pStyle w:val="BodyText"/>
        <w:spacing w:before="124"/>
        <w:ind w:left="220"/>
      </w:pPr>
      <w:r>
        <w:rPr/>
        <w:t>This element represents a revision record of a sheet that was inserted.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42"/>
              <w:rPr>
                <w:sz w:val="22"/>
              </w:rPr>
            </w:pPr>
            <w:r>
              <w:rPr>
                <w:rFonts w:ascii="Cambria"/>
                <w:sz w:val="22"/>
              </w:rPr>
              <w:t>name </w:t>
            </w:r>
            <w:r>
              <w:rPr>
                <w:sz w:val="22"/>
              </w:rPr>
              <w:t>(Sheet Name)</w:t>
            </w:r>
          </w:p>
        </w:tc>
        <w:tc>
          <w:tcPr>
            <w:tcW w:w="8250" w:type="dxa"/>
          </w:tcPr>
          <w:p>
            <w:pPr>
              <w:pStyle w:val="TableParagraph"/>
              <w:spacing w:before="42"/>
              <w:rPr>
                <w:sz w:val="22"/>
              </w:rPr>
            </w:pPr>
            <w:r>
              <w:rPr>
                <w:sz w:val="22"/>
              </w:rPr>
              <w:t>The name of the new sheet.</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30" w:hRule="atLeast"/>
        </w:trPr>
        <w:tc>
          <w:tcPr>
            <w:tcW w:w="2062" w:type="dxa"/>
          </w:tcPr>
          <w:p>
            <w:pPr>
              <w:pStyle w:val="TableParagraph"/>
              <w:ind w:right="318"/>
              <w:rPr>
                <w:sz w:val="22"/>
              </w:rPr>
            </w:pPr>
            <w:r>
              <w:rPr>
                <w:rFonts w:ascii="Cambria"/>
                <w:sz w:val="22"/>
              </w:rPr>
              <w:t>ra </w:t>
            </w:r>
            <w:r>
              <w:rPr>
                <w:sz w:val="22"/>
              </w:rPr>
              <w:t>(Revision Undo Rejected)</w:t>
            </w:r>
          </w:p>
        </w:tc>
        <w:tc>
          <w:tcPr>
            <w:tcW w:w="8250" w:type="dxa"/>
          </w:tcPr>
          <w:p>
            <w:pPr>
              <w:pStyle w:val="TableParagraph"/>
              <w:ind w:right="168"/>
              <w:rPr>
                <w:sz w:val="22"/>
              </w:rPr>
            </w:pPr>
            <w:r>
              <w:rPr>
                <w:sz w:val="22"/>
              </w:rPr>
              <w:t>A Boolean flag which indicates that this revision was due to a previous undo (</w:t>
            </w:r>
            <w:r>
              <w:rPr>
                <w:rFonts w:ascii="Consolas"/>
                <w:sz w:val="20"/>
              </w:rPr>
              <w:t>ua</w:t>
            </w:r>
            <w:r>
              <w:rPr>
                <w:sz w:val="22"/>
              </w:rPr>
              <w:t>) revision being rejected.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rPr>
                <w:sz w:val="22"/>
              </w:rPr>
            </w:pPr>
            <w:r>
              <w:rPr>
                <w:rFonts w:ascii="Cambria"/>
                <w:sz w:val="22"/>
              </w:rPr>
              <w:t>rId </w:t>
            </w:r>
            <w:r>
              <w:rPr>
                <w:sz w:val="22"/>
              </w:rPr>
              <w:t>(Revision Id)</w:t>
            </w:r>
          </w:p>
        </w:tc>
        <w:tc>
          <w:tcPr>
            <w:tcW w:w="8250" w:type="dxa"/>
          </w:tcPr>
          <w:p>
            <w:pPr>
              <w:pStyle w:val="TableParagraph"/>
              <w:rPr>
                <w:sz w:val="22"/>
              </w:rPr>
            </w:pPr>
            <w:r>
              <w:rPr>
                <w:sz w:val="22"/>
              </w:rPr>
              <w:t>An integer representing the number of this revision. This id shall apply to reviewable revision types only.</w:t>
            </w:r>
          </w:p>
        </w:tc>
      </w:tr>
    </w:tbl>
    <w:p>
      <w:pPr>
        <w:spacing w:after="0"/>
        <w:rPr>
          <w:sz w:val="22"/>
        </w:rPr>
        <w:sectPr>
          <w:footerReference w:type="even" r:id="rId174"/>
          <w:footerReference w:type="default" r:id="rId175"/>
          <w:pgSz w:w="12240" w:h="15840"/>
          <w:pgMar w:footer="746" w:header="761" w:top="1340" w:bottom="940" w:left="860" w:right="700"/>
          <w:pgNumType w:start="198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sheetPosition</w:t>
            </w:r>
          </w:p>
          <w:p>
            <w:pPr>
              <w:pStyle w:val="TableParagraph"/>
              <w:spacing w:line="268" w:lineRule="exact" w:before="0"/>
              <w:rPr>
                <w:sz w:val="22"/>
              </w:rPr>
            </w:pPr>
            <w:r>
              <w:rPr>
                <w:sz w:val="22"/>
              </w:rPr>
              <w:t>(Sheet Position)</w:t>
            </w:r>
          </w:p>
        </w:tc>
        <w:tc>
          <w:tcPr>
            <w:tcW w:w="8250" w:type="dxa"/>
          </w:tcPr>
          <w:p>
            <w:pPr>
              <w:pStyle w:val="TableParagraph"/>
              <w:ind w:right="406"/>
              <w:rPr>
                <w:sz w:val="22"/>
              </w:rPr>
            </w:pPr>
            <w:r>
              <w:rPr>
                <w:sz w:val="22"/>
              </w:rPr>
              <w:t>An integer representing the zero based index of the new sheet in the sheets collection </w:t>
            </w:r>
            <w:hyperlink w:history="true" w:anchor="_bookmark20">
              <w:r>
                <w:rPr>
                  <w:sz w:val="22"/>
                </w:rPr>
                <w:t>(§18.2.20</w:t>
              </w:r>
            </w:hyperlink>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27" w:hRule="atLeast"/>
        </w:trPr>
        <w:tc>
          <w:tcPr>
            <w:tcW w:w="2062" w:type="dxa"/>
          </w:tcPr>
          <w:p>
            <w:pPr>
              <w:pStyle w:val="TableParagraph"/>
              <w:ind w:right="306"/>
              <w:rPr>
                <w:sz w:val="22"/>
              </w:rPr>
            </w:pPr>
            <w:r>
              <w:rPr>
                <w:rFonts w:ascii="Cambria"/>
                <w:sz w:val="22"/>
              </w:rPr>
              <w:t>ua </w:t>
            </w:r>
            <w:r>
              <w:rPr>
                <w:sz w:val="22"/>
              </w:rPr>
              <w:t>(Revision From Rejection)</w:t>
            </w:r>
          </w:p>
        </w:tc>
        <w:tc>
          <w:tcPr>
            <w:tcW w:w="8250" w:type="dxa"/>
          </w:tcPr>
          <w:p>
            <w:pPr>
              <w:pStyle w:val="TableParagraph"/>
              <w:ind w:right="803"/>
              <w:rPr>
                <w:sz w:val="22"/>
              </w:rPr>
            </w:pPr>
            <w:r>
              <w:rPr>
                <w:sz w:val="22"/>
              </w:rPr>
              <w:t>A Boolean flag indicating that this revision occurred because another revision was rejected and therefore undone.</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CT_RevisionInsertSheet</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19 rm (Revision Cell Move)" w:id="1112"/>
      <w:bookmarkEnd w:id="1112"/>
      <w:r>
        <w:rPr/>
      </w:r>
      <w:bookmarkStart w:name="_bookmark369" w:id="1113"/>
      <w:bookmarkEnd w:id="1113"/>
      <w:r>
        <w:rPr/>
      </w:r>
      <w:bookmarkStart w:name="_bookmark369" w:id="1114"/>
      <w:bookmarkEnd w:id="1114"/>
      <w:r>
        <w:rPr>
          <w:color w:val="4F81BC"/>
        </w:rPr>
        <w:t>r</w:t>
      </w:r>
      <w:r>
        <w:rPr>
          <w:color w:val="4F81BC"/>
        </w:rPr>
        <w:t>m (Revision Cell</w:t>
      </w:r>
      <w:r>
        <w:rPr>
          <w:color w:val="4F81BC"/>
          <w:spacing w:val="-3"/>
        </w:rPr>
        <w:t> </w:t>
      </w:r>
      <w:r>
        <w:rPr>
          <w:color w:val="4F81BC"/>
        </w:rPr>
        <w:t>Move)</w:t>
      </w:r>
    </w:p>
    <w:p>
      <w:pPr>
        <w:pStyle w:val="BodyText"/>
        <w:spacing w:before="122"/>
        <w:ind w:left="220"/>
      </w:pPr>
      <w:r>
        <w:rPr/>
        <w:t>This element represents a revision record on a cell(s) that moved.</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line="257" w:lineRule="exact" w:before="42"/>
              <w:rPr>
                <w:rFonts w:ascii="Cambria"/>
                <w:sz w:val="22"/>
              </w:rPr>
            </w:pPr>
            <w:r>
              <w:rPr>
                <w:rFonts w:ascii="Cambria"/>
                <w:sz w:val="22"/>
              </w:rPr>
              <w:t>destination</w:t>
            </w:r>
          </w:p>
          <w:p>
            <w:pPr>
              <w:pStyle w:val="TableParagraph"/>
              <w:spacing w:line="268" w:lineRule="exact" w:before="0"/>
              <w:rPr>
                <w:sz w:val="22"/>
              </w:rPr>
            </w:pPr>
            <w:r>
              <w:rPr>
                <w:sz w:val="22"/>
              </w:rPr>
              <w:t>(Destination)</w:t>
            </w:r>
          </w:p>
        </w:tc>
        <w:tc>
          <w:tcPr>
            <w:tcW w:w="8250" w:type="dxa"/>
          </w:tcPr>
          <w:p>
            <w:pPr>
              <w:pStyle w:val="TableParagraph"/>
              <w:rPr>
                <w:sz w:val="22"/>
              </w:rPr>
            </w:pPr>
            <w:r>
              <w:rPr>
                <w:sz w:val="22"/>
              </w:rPr>
              <w:t>New A1 style location of the cell(s) that were moved</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427" w:hRule="atLeast"/>
        </w:trPr>
        <w:tc>
          <w:tcPr>
            <w:tcW w:w="2062" w:type="dxa"/>
          </w:tcPr>
          <w:p>
            <w:pPr>
              <w:pStyle w:val="TableParagraph"/>
              <w:ind w:right="318"/>
              <w:rPr>
                <w:sz w:val="22"/>
              </w:rPr>
            </w:pPr>
            <w:r>
              <w:rPr>
                <w:rFonts w:ascii="Cambria"/>
                <w:sz w:val="22"/>
              </w:rPr>
              <w:t>ra </w:t>
            </w:r>
            <w:r>
              <w:rPr>
                <w:sz w:val="22"/>
              </w:rPr>
              <w:t>(Revision Undo Rejected)</w:t>
            </w:r>
          </w:p>
        </w:tc>
        <w:tc>
          <w:tcPr>
            <w:tcW w:w="8250" w:type="dxa"/>
          </w:tcPr>
          <w:p>
            <w:pPr>
              <w:pStyle w:val="TableParagraph"/>
              <w:ind w:right="168"/>
              <w:rPr>
                <w:sz w:val="22"/>
              </w:rPr>
            </w:pPr>
            <w:r>
              <w:rPr>
                <w:sz w:val="22"/>
              </w:rPr>
              <w:t>A Boolean flag which indicates that this revision was due to a previous undo (</w:t>
            </w:r>
            <w:r>
              <w:rPr>
                <w:rFonts w:ascii="Consolas"/>
                <w:sz w:val="20"/>
              </w:rPr>
              <w:t>ua</w:t>
            </w:r>
            <w:r>
              <w:rPr>
                <w:sz w:val="22"/>
              </w:rPr>
              <w:t>) revision being rejected.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rPr>
                <w:sz w:val="22"/>
              </w:rPr>
            </w:pPr>
            <w:r>
              <w:rPr>
                <w:rFonts w:ascii="Cambria"/>
                <w:sz w:val="22"/>
              </w:rPr>
              <w:t>rId </w:t>
            </w:r>
            <w:r>
              <w:rPr>
                <w:sz w:val="22"/>
              </w:rPr>
              <w:t>(Revision Id)</w:t>
            </w:r>
          </w:p>
        </w:tc>
        <w:tc>
          <w:tcPr>
            <w:tcW w:w="8250" w:type="dxa"/>
          </w:tcPr>
          <w:p>
            <w:pPr>
              <w:pStyle w:val="TableParagraph"/>
              <w:rPr>
                <w:sz w:val="22"/>
              </w:rPr>
            </w:pPr>
            <w:r>
              <w:rPr>
                <w:sz w:val="22"/>
              </w:rPr>
              <w:t>An integer representing the number of this revision. This id shall apply to reviewable revision types only.</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spacing w:after="0" w:line="267" w:lineRule="exact"/>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left="0" w:right="509"/>
              <w:jc w:val="right"/>
              <w:rPr>
                <w:sz w:val="22"/>
              </w:rPr>
            </w:pPr>
            <w:r>
              <w:rPr>
                <w:rFonts w:ascii="Cambria"/>
                <w:sz w:val="22"/>
              </w:rPr>
              <w:t>source </w:t>
            </w:r>
            <w:r>
              <w:rPr>
                <w:sz w:val="22"/>
              </w:rPr>
              <w:t>(Source)</w:t>
            </w:r>
          </w:p>
        </w:tc>
        <w:tc>
          <w:tcPr>
            <w:tcW w:w="8250" w:type="dxa"/>
          </w:tcPr>
          <w:p>
            <w:pPr>
              <w:pStyle w:val="TableParagraph"/>
              <w:rPr>
                <w:sz w:val="22"/>
              </w:rPr>
            </w:pPr>
            <w:r>
              <w:rPr>
                <w:sz w:val="22"/>
              </w:rPr>
              <w:t>The original A1 style location of the cell(s) that were moved</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58" w:hRule="atLeast"/>
        </w:trPr>
        <w:tc>
          <w:tcPr>
            <w:tcW w:w="2062" w:type="dxa"/>
          </w:tcPr>
          <w:p>
            <w:pPr>
              <w:pStyle w:val="TableParagraph"/>
              <w:spacing w:line="256" w:lineRule="exact" w:before="42"/>
              <w:rPr>
                <w:rFonts w:ascii="Cambria"/>
                <w:sz w:val="22"/>
              </w:rPr>
            </w:pPr>
            <w:r>
              <w:rPr>
                <w:rFonts w:ascii="Cambria"/>
                <w:sz w:val="22"/>
              </w:rPr>
              <w:t>sourceSheetId</w:t>
            </w:r>
          </w:p>
          <w:p>
            <w:pPr>
              <w:pStyle w:val="TableParagraph"/>
              <w:spacing w:line="267" w:lineRule="exact" w:before="0"/>
              <w:rPr>
                <w:sz w:val="22"/>
              </w:rPr>
            </w:pPr>
            <w:r>
              <w:rPr>
                <w:sz w:val="22"/>
              </w:rPr>
              <w:t>(Source Sheet Id)</w:t>
            </w:r>
          </w:p>
        </w:tc>
        <w:tc>
          <w:tcPr>
            <w:tcW w:w="8250" w:type="dxa"/>
          </w:tcPr>
          <w:p>
            <w:pPr>
              <w:pStyle w:val="TableParagraph"/>
              <w:rPr>
                <w:sz w:val="22"/>
              </w:rPr>
            </w:pPr>
            <w:r>
              <w:rPr>
                <w:sz w:val="22"/>
              </w:rPr>
              <w:t>An integer representing the internal id of the sheet where the cell(s) originally resided.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30" w:hRule="atLeast"/>
        </w:trPr>
        <w:tc>
          <w:tcPr>
            <w:tcW w:w="2062" w:type="dxa"/>
          </w:tcPr>
          <w:p>
            <w:pPr>
              <w:pStyle w:val="TableParagraph"/>
              <w:ind w:right="306"/>
              <w:rPr>
                <w:sz w:val="22"/>
              </w:rPr>
            </w:pPr>
            <w:r>
              <w:rPr>
                <w:rFonts w:ascii="Cambria"/>
                <w:sz w:val="22"/>
              </w:rPr>
              <w:t>ua </w:t>
            </w:r>
            <w:r>
              <w:rPr>
                <w:sz w:val="22"/>
              </w:rPr>
              <w:t>(Revision From Rejection)</w:t>
            </w:r>
          </w:p>
        </w:tc>
        <w:tc>
          <w:tcPr>
            <w:tcW w:w="8250" w:type="dxa"/>
          </w:tcPr>
          <w:p>
            <w:pPr>
              <w:pStyle w:val="TableParagraph"/>
              <w:ind w:right="803"/>
              <w:rPr>
                <w:sz w:val="22"/>
              </w:rPr>
            </w:pPr>
            <w:r>
              <w:rPr>
                <w:sz w:val="22"/>
              </w:rPr>
              <w:t>A Boolean flag indicating that this revision occurred because another revision was rejected and therefore undone.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CT_RevisionMove</w:t>
      </w:r>
      <w:r>
        <w:rPr/>
        <w:t>) is located in §A.2.</w:t>
      </w:r>
    </w:p>
    <w:p>
      <w:pPr>
        <w:spacing w:before="44"/>
        <w:ind w:left="220" w:right="0" w:firstLine="0"/>
        <w:jc w:val="left"/>
        <w:rPr>
          <w:sz w:val="22"/>
        </w:rPr>
      </w:pPr>
      <w:r>
        <w:rPr>
          <w:i/>
          <w:sz w:val="22"/>
        </w:rPr>
        <w:t>end note</w:t>
      </w:r>
      <w:r>
        <w:rPr>
          <w:sz w:val="22"/>
        </w:rPr>
        <w:t>]</w:t>
      </w:r>
    </w:p>
    <w:p>
      <w:pPr>
        <w:pStyle w:val="BodyText"/>
        <w:spacing w:before="8"/>
        <w:rPr>
          <w:sz w:val="19"/>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20 rqt (Revision Query Table)" w:id="1115"/>
      <w:bookmarkEnd w:id="1115"/>
      <w:r>
        <w:rPr/>
      </w:r>
      <w:bookmarkStart w:name="_bookmark370" w:id="1116"/>
      <w:bookmarkEnd w:id="1116"/>
      <w:r>
        <w:rPr/>
      </w:r>
      <w:bookmarkStart w:name="_bookmark370" w:id="1117"/>
      <w:bookmarkEnd w:id="1117"/>
      <w:r>
        <w:rPr>
          <w:color w:val="4F81BC"/>
        </w:rPr>
        <w:t>r</w:t>
      </w:r>
      <w:r>
        <w:rPr>
          <w:color w:val="4F81BC"/>
        </w:rPr>
        <w:t>qt (Revision Query</w:t>
      </w:r>
      <w:r>
        <w:rPr>
          <w:color w:val="4F81BC"/>
          <w:spacing w:val="-4"/>
        </w:rPr>
        <w:t> </w:t>
      </w:r>
      <w:r>
        <w:rPr>
          <w:color w:val="4F81BC"/>
        </w:rPr>
        <w:t>Table)</w:t>
      </w:r>
    </w:p>
    <w:p>
      <w:pPr>
        <w:pStyle w:val="BodyText"/>
        <w:spacing w:before="122"/>
        <w:ind w:left="220"/>
      </w:pPr>
      <w:r>
        <w:rPr/>
        <w:t>This element represents a revision record of a query table field change.</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rPr>
                <w:sz w:val="22"/>
              </w:rPr>
            </w:pPr>
            <w:r>
              <w:rPr>
                <w:rFonts w:ascii="Cambria"/>
                <w:sz w:val="22"/>
              </w:rPr>
              <w:t>fieldId </w:t>
            </w:r>
            <w:r>
              <w:rPr>
                <w:sz w:val="22"/>
              </w:rPr>
              <w:t>(Field Id)</w:t>
            </w:r>
          </w:p>
        </w:tc>
        <w:tc>
          <w:tcPr>
            <w:tcW w:w="8250" w:type="dxa"/>
          </w:tcPr>
          <w:p>
            <w:pPr>
              <w:pStyle w:val="TableParagraph"/>
              <w:rPr>
                <w:sz w:val="22"/>
              </w:rPr>
            </w:pPr>
            <w:r>
              <w:rPr>
                <w:sz w:val="22"/>
              </w:rPr>
              <w:t>ID of the specific query table field that was removed.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892" w:hRule="atLeast"/>
        </w:trPr>
        <w:tc>
          <w:tcPr>
            <w:tcW w:w="2062" w:type="dxa"/>
          </w:tcPr>
          <w:p>
            <w:pPr>
              <w:pStyle w:val="TableParagraph"/>
              <w:ind w:right="499"/>
              <w:rPr>
                <w:sz w:val="22"/>
              </w:rPr>
            </w:pPr>
            <w:r>
              <w:rPr>
                <w:rFonts w:ascii="Cambria"/>
                <w:sz w:val="22"/>
              </w:rPr>
              <w:t>ref </w:t>
            </w:r>
            <w:r>
              <w:rPr>
                <w:sz w:val="22"/>
              </w:rPr>
              <w:t>(QueryTable Reference)</w:t>
            </w:r>
          </w:p>
        </w:tc>
        <w:tc>
          <w:tcPr>
            <w:tcW w:w="8250" w:type="dxa"/>
          </w:tcPr>
          <w:p>
            <w:pPr>
              <w:pStyle w:val="TableParagraph"/>
              <w:rPr>
                <w:sz w:val="22"/>
              </w:rPr>
            </w:pPr>
            <w:r>
              <w:rPr>
                <w:sz w:val="22"/>
              </w:rPr>
              <w:t>Location of the affected query table.</w:t>
            </w:r>
          </w:p>
          <w:p>
            <w:pPr>
              <w:pStyle w:val="TableParagraph"/>
              <w:spacing w:before="0"/>
              <w:ind w:left="0"/>
              <w:rPr>
                <w:sz w:val="22"/>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161"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379"/>
      </w:pPr>
      <w:r>
        <w:rPr/>
        <w:t>[</w:t>
      </w:r>
      <w:r>
        <w:rPr>
          <w:i/>
        </w:rPr>
        <w:t>Note</w:t>
      </w:r>
      <w:r>
        <w:rPr/>
        <w:t>: The W3C XML Schema definition of this element’s content model (</w:t>
      </w:r>
      <w:r>
        <w:rPr>
          <w:color w:val="5F5F5F"/>
          <w:u w:val="single" w:color="5F5F5F"/>
        </w:rPr>
        <w:t>CT_RevisionQueryTableField</w:t>
      </w:r>
      <w:r>
        <w:rPr/>
        <w:t>) is located in §A.2. </w:t>
      </w:r>
      <w:r>
        <w:rPr>
          <w:i/>
        </w:rPr>
        <w:t>end note</w:t>
      </w:r>
      <w:r>
        <w:rPr/>
        <w:t>]</w:t>
      </w:r>
    </w:p>
    <w:p>
      <w:pPr>
        <w:pStyle w:val="Heading3"/>
        <w:numPr>
          <w:ilvl w:val="3"/>
          <w:numId w:val="52"/>
        </w:numPr>
        <w:tabs>
          <w:tab w:pos="1732" w:val="left" w:leader="none"/>
          <w:tab w:pos="1733" w:val="left" w:leader="none"/>
        </w:tabs>
        <w:spacing w:line="240" w:lineRule="auto" w:before="197" w:after="0"/>
        <w:ind w:left="1732" w:right="0" w:hanging="1513"/>
        <w:jc w:val="left"/>
      </w:pPr>
      <w:bookmarkStart w:name="18.11.1.21 rrc (Revision Row Column Inse" w:id="1118"/>
      <w:bookmarkEnd w:id="1118"/>
      <w:r>
        <w:rPr/>
      </w:r>
      <w:bookmarkStart w:name="_bookmark371" w:id="1119"/>
      <w:bookmarkEnd w:id="1119"/>
      <w:r>
        <w:rPr/>
      </w:r>
      <w:bookmarkStart w:name="_bookmark371" w:id="1120"/>
      <w:bookmarkEnd w:id="1120"/>
      <w:r>
        <w:rPr>
          <w:color w:val="4F81BC"/>
        </w:rPr>
        <w:t>rr</w:t>
      </w:r>
      <w:r>
        <w:rPr>
          <w:color w:val="4F81BC"/>
        </w:rPr>
        <w:t>c (Revision Row Column Insert</w:t>
      </w:r>
      <w:r>
        <w:rPr>
          <w:color w:val="4F81BC"/>
          <w:spacing w:val="-3"/>
        </w:rPr>
        <w:t> </w:t>
      </w:r>
      <w:r>
        <w:rPr>
          <w:color w:val="4F81BC"/>
        </w:rPr>
        <w:t>Delete)</w:t>
      </w:r>
    </w:p>
    <w:p>
      <w:pPr>
        <w:pStyle w:val="BodyText"/>
        <w:spacing w:before="123"/>
        <w:ind w:left="220"/>
      </w:pPr>
      <w:r>
        <w:rPr/>
        <w:t>This element represents a revision record of a row/column insert/delete action.</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42"/>
              <w:ind w:left="75" w:right="90"/>
              <w:jc w:val="center"/>
              <w:rPr>
                <w:sz w:val="22"/>
              </w:rPr>
            </w:pPr>
            <w:r>
              <w:rPr>
                <w:rFonts w:ascii="Cambria"/>
                <w:sz w:val="22"/>
              </w:rPr>
              <w:t>action </w:t>
            </w:r>
            <w:r>
              <w:rPr>
                <w:sz w:val="22"/>
              </w:rPr>
              <w:t>(User Action)</w:t>
            </w:r>
          </w:p>
        </w:tc>
        <w:tc>
          <w:tcPr>
            <w:tcW w:w="8250" w:type="dxa"/>
          </w:tcPr>
          <w:p>
            <w:pPr>
              <w:pStyle w:val="TableParagraph"/>
              <w:spacing w:before="42"/>
              <w:rPr>
                <w:sz w:val="22"/>
              </w:rPr>
            </w:pPr>
            <w:r>
              <w:rPr>
                <w:sz w:val="22"/>
              </w:rPr>
              <w:t>Indicates the action most recently performed on the row or column.</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511"/>
              <w:rPr>
                <w:sz w:val="22"/>
              </w:rPr>
            </w:pPr>
            <w:r>
              <w:rPr>
                <w:sz w:val="22"/>
              </w:rPr>
              <w:t>The possible values for this attribute are defined by the </w:t>
            </w:r>
            <w:r>
              <w:rPr>
                <w:rFonts w:ascii="Cambria" w:hAnsi="Cambria"/>
                <w:sz w:val="22"/>
              </w:rPr>
              <w:t>ST_rwColActionType </w:t>
            </w:r>
            <w:r>
              <w:rPr>
                <w:sz w:val="22"/>
              </w:rPr>
              <w:t>simple type (§</w:t>
            </w:r>
            <w:hyperlink w:history="true" w:anchor="_bookmark888">
              <w:r>
                <w:rPr>
                  <w:sz w:val="22"/>
                </w:rPr>
                <w:t>18.18.66</w:t>
              </w:r>
            </w:hyperlink>
            <w:r>
              <w:rPr>
                <w:sz w:val="22"/>
              </w:rPr>
              <w:t>).</w:t>
            </w:r>
          </w:p>
        </w:tc>
      </w:tr>
      <w:tr>
        <w:trPr>
          <w:trHeight w:val="1427" w:hRule="atLeast"/>
        </w:trPr>
        <w:tc>
          <w:tcPr>
            <w:tcW w:w="2062" w:type="dxa"/>
          </w:tcPr>
          <w:p>
            <w:pPr>
              <w:pStyle w:val="TableParagraph"/>
              <w:rPr>
                <w:sz w:val="22"/>
              </w:rPr>
            </w:pPr>
            <w:r>
              <w:rPr>
                <w:rFonts w:ascii="Cambria"/>
                <w:sz w:val="22"/>
              </w:rPr>
              <w:t>edge </w:t>
            </w:r>
            <w:r>
              <w:rPr>
                <w:sz w:val="22"/>
              </w:rPr>
              <w:t>(Edge Deleted)</w:t>
            </w:r>
          </w:p>
        </w:tc>
        <w:tc>
          <w:tcPr>
            <w:tcW w:w="8250" w:type="dxa"/>
          </w:tcPr>
          <w:p>
            <w:pPr>
              <w:pStyle w:val="TableParagraph"/>
              <w:spacing w:line="237" w:lineRule="auto" w:before="42"/>
              <w:ind w:right="419"/>
              <w:rPr>
                <w:sz w:val="22"/>
              </w:rPr>
            </w:pPr>
            <w:r>
              <w:rPr>
                <w:sz w:val="22"/>
              </w:rPr>
              <w:t>A Boolean flag indicating that a row or column is being deleted at the edge of a sorted range (only applicable to a Delete Row/Column revision types).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309" w:hRule="atLeast"/>
        </w:trPr>
        <w:tc>
          <w:tcPr>
            <w:tcW w:w="2062" w:type="dxa"/>
          </w:tcPr>
          <w:p>
            <w:pPr>
              <w:pStyle w:val="TableParagraph"/>
              <w:rPr>
                <w:sz w:val="22"/>
              </w:rPr>
            </w:pPr>
            <w:r>
              <w:rPr>
                <w:rFonts w:ascii="Cambria"/>
                <w:sz w:val="22"/>
              </w:rPr>
              <w:t>eol </w:t>
            </w:r>
            <w:r>
              <w:rPr>
                <w:sz w:val="22"/>
              </w:rPr>
              <w:t>(End Of List)</w:t>
            </w:r>
          </w:p>
        </w:tc>
        <w:tc>
          <w:tcPr>
            <w:tcW w:w="8250" w:type="dxa"/>
          </w:tcPr>
          <w:p>
            <w:pPr>
              <w:pStyle w:val="TableParagraph"/>
              <w:ind w:right="392"/>
              <w:rPr>
                <w:sz w:val="22"/>
              </w:rPr>
            </w:pPr>
            <w:r>
              <w:rPr>
                <w:sz w:val="22"/>
              </w:rPr>
              <w:t>A Boolean flag indicating that a row or a column is being inserted at the end of a list of data.</w:t>
            </w:r>
          </w:p>
          <w:p>
            <w:pPr>
              <w:pStyle w:val="TableParagraph"/>
              <w:spacing w:before="5"/>
              <w:ind w:left="0"/>
              <w:rPr>
                <w:rFonts w:ascii="Times New Roman"/>
                <w:sz w:val="23"/>
              </w:rPr>
            </w:pPr>
          </w:p>
          <w:p>
            <w:pPr>
              <w:pStyle w:val="TableParagraph"/>
              <w:spacing w:before="0"/>
              <w:ind w:right="143"/>
              <w:rPr>
                <w:sz w:val="22"/>
              </w:rPr>
            </w:pPr>
            <w:r>
              <w:rPr>
                <w:sz w:val="22"/>
              </w:rPr>
              <w:t>List in this context does not mean table, rather it refers to the feature where the spreadsheet application automatically creates an internal structure for making data</w:t>
            </w:r>
            <w:r>
              <w:rPr>
                <w:spacing w:val="-28"/>
                <w:sz w:val="22"/>
              </w:rPr>
              <w:t> </w:t>
            </w:r>
            <w:r>
              <w:rPr>
                <w:sz w:val="22"/>
              </w:rPr>
              <w:t>input more consistent on adjacent rows or columns.  For instance, if 3 cells in a row are entered with the same format, then when entering data into the 4th adjacent cell, the spreadsheet application might automatically apply that same format. In this case, those cells are treated as a</w:t>
            </w:r>
            <w:r>
              <w:rPr>
                <w:spacing w:val="-4"/>
                <w:sz w:val="22"/>
              </w:rPr>
              <w:t> </w:t>
            </w:r>
            <w:r>
              <w:rPr>
                <w:sz w:val="22"/>
              </w:rPr>
              <w:t>list.</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8" w:hRule="atLeast"/>
        </w:trPr>
        <w:tc>
          <w:tcPr>
            <w:tcW w:w="2062" w:type="dxa"/>
          </w:tcPr>
          <w:p>
            <w:pPr>
              <w:pStyle w:val="TableParagraph"/>
              <w:ind w:right="318"/>
              <w:rPr>
                <w:sz w:val="22"/>
              </w:rPr>
            </w:pPr>
            <w:r>
              <w:rPr>
                <w:rFonts w:ascii="Cambria"/>
                <w:sz w:val="22"/>
              </w:rPr>
              <w:t>ra </w:t>
            </w:r>
            <w:r>
              <w:rPr>
                <w:sz w:val="22"/>
              </w:rPr>
              <w:t>(Revision Undo Rejected)</w:t>
            </w:r>
          </w:p>
        </w:tc>
        <w:tc>
          <w:tcPr>
            <w:tcW w:w="8250" w:type="dxa"/>
          </w:tcPr>
          <w:p>
            <w:pPr>
              <w:pStyle w:val="TableParagraph"/>
              <w:ind w:right="168"/>
              <w:rPr>
                <w:sz w:val="22"/>
              </w:rPr>
            </w:pPr>
            <w:r>
              <w:rPr>
                <w:sz w:val="22"/>
              </w:rPr>
              <w:t>A Boolean flag which indicates that this revision was due to a previous undo (</w:t>
            </w:r>
            <w:r>
              <w:rPr>
                <w:rFonts w:ascii="Consolas"/>
                <w:sz w:val="20"/>
              </w:rPr>
              <w:t>ua</w:t>
            </w:r>
            <w:r>
              <w:rPr>
                <w:sz w:val="22"/>
              </w:rPr>
              <w:t>) revision being rejected.</w:t>
            </w:r>
          </w:p>
          <w:p>
            <w:pPr>
              <w:pStyle w:val="TableParagraph"/>
              <w:spacing w:before="4"/>
              <w:ind w:left="0"/>
              <w:rPr>
                <w:rFonts w:ascii="Times New Roman"/>
                <w:sz w:val="23"/>
              </w:rPr>
            </w:pPr>
          </w:p>
          <w:p>
            <w:pPr>
              <w:pStyle w:val="TableParagraph"/>
              <w:spacing w:line="268"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8" w:lineRule="exact" w:before="0"/>
              <w:rPr>
                <w:sz w:val="22"/>
              </w:rPr>
            </w:pPr>
            <w:r>
              <w:rPr>
                <w:sz w:val="22"/>
              </w:rPr>
              <w:t>datatype.</w:t>
            </w:r>
          </w:p>
        </w:tc>
      </w:tr>
      <w:tr>
        <w:trPr>
          <w:trHeight w:val="2502" w:hRule="atLeast"/>
        </w:trPr>
        <w:tc>
          <w:tcPr>
            <w:tcW w:w="2062" w:type="dxa"/>
          </w:tcPr>
          <w:p>
            <w:pPr>
              <w:pStyle w:val="TableParagraph"/>
              <w:rPr>
                <w:sz w:val="22"/>
              </w:rPr>
            </w:pPr>
            <w:r>
              <w:rPr>
                <w:rFonts w:ascii="Cambria"/>
                <w:sz w:val="22"/>
              </w:rPr>
              <w:t>ref </w:t>
            </w:r>
            <w:r>
              <w:rPr>
                <w:sz w:val="22"/>
              </w:rPr>
              <w:t>(Reference)</w:t>
            </w:r>
          </w:p>
        </w:tc>
        <w:tc>
          <w:tcPr>
            <w:tcW w:w="8250" w:type="dxa"/>
          </w:tcPr>
          <w:p>
            <w:pPr>
              <w:pStyle w:val="TableParagraph"/>
              <w:rPr>
                <w:sz w:val="22"/>
              </w:rPr>
            </w:pPr>
            <w:r>
              <w:rPr>
                <w:sz w:val="22"/>
              </w:rPr>
              <w:t>A reference to the location of the rows/columns that were inserted or deleted.</w:t>
            </w:r>
          </w:p>
          <w:p>
            <w:pPr>
              <w:pStyle w:val="TableParagraph"/>
              <w:spacing w:before="4"/>
              <w:ind w:left="0"/>
              <w:rPr>
                <w:rFonts w:ascii="Times New Roman"/>
                <w:sz w:val="23"/>
              </w:rPr>
            </w:pPr>
          </w:p>
          <w:p>
            <w:pPr>
              <w:pStyle w:val="TableParagraph"/>
              <w:spacing w:before="0"/>
              <w:ind w:right="151"/>
              <w:rPr>
                <w:sz w:val="22"/>
              </w:rPr>
            </w:pPr>
            <w:r>
              <w:rPr>
                <w:sz w:val="22"/>
              </w:rPr>
              <w:t>[</w:t>
            </w:r>
            <w:r>
              <w:rPr>
                <w:i/>
                <w:sz w:val="22"/>
              </w:rPr>
              <w:t>Note</w:t>
            </w:r>
            <w:r>
              <w:rPr>
                <w:sz w:val="22"/>
              </w:rPr>
              <w:t>: A reference to a whole column or row must include both the column and row components. For example, column A is referenced by "A1:A1048576", and row 1 is referenced by "A1:XFD1". However, because this attribute value is occurring in the context of an entire row or column insert, the column component of a row reference can be ignored, and the row component of a column reference can be ignored. </w:t>
            </w:r>
            <w:r>
              <w:rPr>
                <w:i/>
                <w:sz w:val="22"/>
              </w:rPr>
              <w:t>end note</w:t>
            </w:r>
            <w:r>
              <w:rPr>
                <w:sz w:val="22"/>
              </w:rPr>
              <w:t>]</w:t>
            </w:r>
          </w:p>
          <w:p>
            <w:pPr>
              <w:pStyle w:val="TableParagraph"/>
              <w:spacing w:before="6"/>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ST_Ref </w:t>
            </w:r>
            <w:r>
              <w:rPr>
                <w:sz w:val="22"/>
              </w:rPr>
              <w:t>simple type (§</w:t>
            </w:r>
            <w:hyperlink w:history="true" w:anchor="_bookmark884">
              <w:r>
                <w:rPr>
                  <w:sz w:val="22"/>
                </w:rPr>
                <w:t>18.18.62</w:t>
              </w:r>
            </w:hyperlink>
            <w:r>
              <w:rPr>
                <w:sz w:val="22"/>
              </w:rPr>
              <w:t>).</w:t>
            </w:r>
          </w:p>
        </w:tc>
      </w:tr>
      <w:tr>
        <w:trPr>
          <w:trHeight w:val="1430" w:hRule="atLeast"/>
        </w:trPr>
        <w:tc>
          <w:tcPr>
            <w:tcW w:w="2062" w:type="dxa"/>
          </w:tcPr>
          <w:p>
            <w:pPr>
              <w:pStyle w:val="TableParagraph"/>
              <w:rPr>
                <w:sz w:val="22"/>
              </w:rPr>
            </w:pPr>
            <w:r>
              <w:rPr>
                <w:rFonts w:ascii="Cambria"/>
                <w:sz w:val="22"/>
              </w:rPr>
              <w:t>rId </w:t>
            </w:r>
            <w:r>
              <w:rPr>
                <w:sz w:val="22"/>
              </w:rPr>
              <w:t>(Revision Id)</w:t>
            </w:r>
          </w:p>
        </w:tc>
        <w:tc>
          <w:tcPr>
            <w:tcW w:w="8250" w:type="dxa"/>
          </w:tcPr>
          <w:p>
            <w:pPr>
              <w:pStyle w:val="TableParagraph"/>
              <w:rPr>
                <w:sz w:val="22"/>
              </w:rPr>
            </w:pPr>
            <w:r>
              <w:rPr>
                <w:sz w:val="22"/>
              </w:rPr>
              <w:t>An integer representing the number of this revision. This id shall apply to reviewable revision types only.</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sId </w:t>
            </w:r>
            <w:r>
              <w:rPr>
                <w:sz w:val="22"/>
              </w:rPr>
              <w:t>(Sheet Id)</w:t>
            </w:r>
          </w:p>
        </w:tc>
        <w:tc>
          <w:tcPr>
            <w:tcW w:w="8250" w:type="dxa"/>
          </w:tcPr>
          <w:p>
            <w:pPr>
              <w:pStyle w:val="TableParagraph"/>
              <w:rPr>
                <w:sz w:val="22"/>
              </w:rPr>
            </w:pPr>
            <w:r>
              <w:rPr>
                <w:sz w:val="22"/>
              </w:rPr>
              <w:t>An integer representing the internal id of the sheet on which the revision occurred.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ind w:right="306"/>
              <w:rPr>
                <w:sz w:val="22"/>
              </w:rPr>
            </w:pPr>
            <w:r>
              <w:rPr>
                <w:rFonts w:ascii="Cambria"/>
                <w:sz w:val="22"/>
              </w:rPr>
              <w:t>ua </w:t>
            </w:r>
            <w:r>
              <w:rPr>
                <w:sz w:val="22"/>
              </w:rPr>
              <w:t>(Revision From Rejection)</w:t>
            </w:r>
          </w:p>
        </w:tc>
        <w:tc>
          <w:tcPr>
            <w:tcW w:w="8250" w:type="dxa"/>
          </w:tcPr>
          <w:p>
            <w:pPr>
              <w:pStyle w:val="TableParagraph"/>
              <w:ind w:right="803"/>
              <w:rPr>
                <w:sz w:val="22"/>
              </w:rPr>
            </w:pPr>
            <w:r>
              <w:rPr>
                <w:sz w:val="22"/>
              </w:rPr>
              <w:t>A Boolean flag indicating that this revision occurred because another revision was rejected and therefore undone.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CT_RevisionRowColumn</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52"/>
        </w:numPr>
        <w:tabs>
          <w:tab w:pos="1732" w:val="left" w:leader="none"/>
          <w:tab w:pos="1733" w:val="left" w:leader="none"/>
        </w:tabs>
        <w:spacing w:line="240" w:lineRule="auto" w:before="1" w:after="0"/>
        <w:ind w:left="1732" w:right="0" w:hanging="1513"/>
        <w:jc w:val="left"/>
      </w:pPr>
      <w:bookmarkStart w:name="18.11.1.22 rsnm (Revision Sheet Name)" w:id="1121"/>
      <w:bookmarkEnd w:id="1121"/>
      <w:r>
        <w:rPr/>
      </w:r>
      <w:bookmarkStart w:name="_bookmark372" w:id="1122"/>
      <w:bookmarkEnd w:id="1122"/>
      <w:r>
        <w:rPr/>
      </w:r>
      <w:bookmarkStart w:name="_bookmark372" w:id="1123"/>
      <w:bookmarkEnd w:id="1123"/>
      <w:r>
        <w:rPr>
          <w:color w:val="4F81BC"/>
        </w:rPr>
        <w:t>r</w:t>
      </w:r>
      <w:r>
        <w:rPr>
          <w:color w:val="4F81BC"/>
        </w:rPr>
        <w:t>snm (Revision Sheet</w:t>
      </w:r>
      <w:r>
        <w:rPr>
          <w:color w:val="4F81BC"/>
          <w:spacing w:val="-3"/>
        </w:rPr>
        <w:t> </w:t>
      </w:r>
      <w:r>
        <w:rPr>
          <w:color w:val="4F81BC"/>
        </w:rPr>
        <w:t>Name)</w:t>
      </w:r>
    </w:p>
    <w:p>
      <w:pPr>
        <w:pStyle w:val="BodyText"/>
        <w:spacing w:before="121"/>
        <w:ind w:left="220"/>
      </w:pPr>
      <w:r>
        <w:rPr/>
        <w:t>This element represents a revision record tracking the renaming a sheet.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ind w:right="445"/>
              <w:rPr>
                <w:sz w:val="22"/>
              </w:rPr>
            </w:pPr>
            <w:r>
              <w:rPr>
                <w:rFonts w:ascii="Cambria"/>
                <w:sz w:val="22"/>
              </w:rPr>
              <w:t>newName </w:t>
            </w:r>
            <w:r>
              <w:rPr>
                <w:sz w:val="22"/>
              </w:rPr>
              <w:t>(New Sheet Name)</w:t>
            </w:r>
          </w:p>
        </w:tc>
        <w:tc>
          <w:tcPr>
            <w:tcW w:w="8250" w:type="dxa"/>
          </w:tcPr>
          <w:p>
            <w:pPr>
              <w:pStyle w:val="TableParagraph"/>
              <w:rPr>
                <w:sz w:val="22"/>
              </w:rPr>
            </w:pPr>
            <w:r>
              <w:rPr>
                <w:sz w:val="22"/>
              </w:rPr>
              <w:t>A string representing the new sheet name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644"/>
              <w:rPr>
                <w:sz w:val="22"/>
              </w:rPr>
            </w:pPr>
            <w:r>
              <w:rPr>
                <w:rFonts w:ascii="Cambria"/>
                <w:sz w:val="22"/>
              </w:rPr>
              <w:t>oldName </w:t>
            </w:r>
            <w:r>
              <w:rPr>
                <w:sz w:val="22"/>
              </w:rPr>
              <w:t>(Old Sheet Name)</w:t>
            </w:r>
          </w:p>
        </w:tc>
        <w:tc>
          <w:tcPr>
            <w:tcW w:w="8250" w:type="dxa"/>
          </w:tcPr>
          <w:p>
            <w:pPr>
              <w:pStyle w:val="TableParagraph"/>
              <w:rPr>
                <w:sz w:val="22"/>
              </w:rPr>
            </w:pPr>
            <w:r>
              <w:rPr>
                <w:sz w:val="22"/>
              </w:rPr>
              <w:t>A string representing the old sheet name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ind w:right="318"/>
              <w:rPr>
                <w:sz w:val="22"/>
              </w:rPr>
            </w:pPr>
            <w:r>
              <w:rPr>
                <w:rFonts w:ascii="Cambria"/>
                <w:sz w:val="22"/>
              </w:rPr>
              <w:t>ra </w:t>
            </w:r>
            <w:r>
              <w:rPr>
                <w:sz w:val="22"/>
              </w:rPr>
              <w:t>(Revision Undo Rejected)</w:t>
            </w:r>
          </w:p>
        </w:tc>
        <w:tc>
          <w:tcPr>
            <w:tcW w:w="8250" w:type="dxa"/>
          </w:tcPr>
          <w:p>
            <w:pPr>
              <w:pStyle w:val="TableParagraph"/>
              <w:ind w:right="168"/>
              <w:rPr>
                <w:sz w:val="22"/>
              </w:rPr>
            </w:pPr>
            <w:r>
              <w:rPr>
                <w:sz w:val="22"/>
              </w:rPr>
              <w:t>A Boolean flag which indicates that this revision was due to a previous undo (</w:t>
            </w:r>
            <w:r>
              <w:rPr>
                <w:rFonts w:ascii="Consolas"/>
                <w:sz w:val="20"/>
              </w:rPr>
              <w:t>ua</w:t>
            </w:r>
            <w:r>
              <w:rPr>
                <w:sz w:val="22"/>
              </w:rPr>
              <w:t>) revision being rejected.</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rId </w:t>
            </w:r>
            <w:r>
              <w:rPr>
                <w:sz w:val="22"/>
              </w:rPr>
              <w:t>(Revision Id)</w:t>
            </w:r>
          </w:p>
        </w:tc>
        <w:tc>
          <w:tcPr>
            <w:tcW w:w="8250" w:type="dxa"/>
          </w:tcPr>
          <w:p>
            <w:pPr>
              <w:pStyle w:val="TableParagraph"/>
              <w:rPr>
                <w:sz w:val="22"/>
              </w:rPr>
            </w:pPr>
            <w:r>
              <w:rPr>
                <w:sz w:val="22"/>
              </w:rPr>
              <w:t>An integer representing the number of this revision. This id shall apply to reviewable revision types only.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61" w:hRule="atLeast"/>
        </w:trPr>
        <w:tc>
          <w:tcPr>
            <w:tcW w:w="2062" w:type="dxa"/>
          </w:tcPr>
          <w:p>
            <w:pPr>
              <w:pStyle w:val="TableParagraph"/>
              <w:spacing w:before="42"/>
              <w:rPr>
                <w:sz w:val="22"/>
              </w:rPr>
            </w:pPr>
            <w:r>
              <w:rPr>
                <w:rFonts w:ascii="Cambria"/>
                <w:sz w:val="22"/>
              </w:rPr>
              <w:t>sheetId </w:t>
            </w:r>
            <w:r>
              <w:rPr>
                <w:sz w:val="22"/>
              </w:rPr>
              <w:t>(Sheet Id)</w:t>
            </w:r>
          </w:p>
        </w:tc>
        <w:tc>
          <w:tcPr>
            <w:tcW w:w="8250" w:type="dxa"/>
          </w:tcPr>
          <w:p>
            <w:pPr>
              <w:pStyle w:val="TableParagraph"/>
              <w:spacing w:before="42"/>
              <w:rPr>
                <w:sz w:val="22"/>
              </w:rPr>
            </w:pPr>
            <w:r>
              <w:rPr>
                <w:sz w:val="22"/>
              </w:rPr>
              <w:t>An integer representing the internal id of the sheet on which the revision occurred.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30" w:hRule="atLeast"/>
        </w:trPr>
        <w:tc>
          <w:tcPr>
            <w:tcW w:w="2062" w:type="dxa"/>
          </w:tcPr>
          <w:p>
            <w:pPr>
              <w:pStyle w:val="TableParagraph"/>
              <w:ind w:right="306"/>
              <w:rPr>
                <w:sz w:val="22"/>
              </w:rPr>
            </w:pPr>
            <w:r>
              <w:rPr>
                <w:rFonts w:ascii="Cambria"/>
                <w:sz w:val="22"/>
              </w:rPr>
              <w:t>ua </w:t>
            </w:r>
            <w:r>
              <w:rPr>
                <w:sz w:val="22"/>
              </w:rPr>
              <w:t>(Revision From Rejection)</w:t>
            </w:r>
          </w:p>
        </w:tc>
        <w:tc>
          <w:tcPr>
            <w:tcW w:w="8250" w:type="dxa"/>
          </w:tcPr>
          <w:p>
            <w:pPr>
              <w:pStyle w:val="TableParagraph"/>
              <w:ind w:right="803"/>
              <w:rPr>
                <w:sz w:val="22"/>
              </w:rPr>
            </w:pPr>
            <w:r>
              <w:rPr>
                <w:sz w:val="22"/>
              </w:rPr>
              <w:t>A Boolean flag indicating that this revision occurred because another revision was rejected and therefore undone.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spacing w:after="0"/>
        <w:rPr>
          <w:sz w:val="22"/>
        </w:rPr>
        <w:sectPr>
          <w:pgSz w:w="12240" w:h="15840"/>
          <w:pgMar w:header="761" w:footer="746" w:top="1340" w:bottom="940" w:left="860" w:right="700"/>
        </w:sectPr>
      </w:pPr>
    </w:p>
    <w:p>
      <w:pPr>
        <w:pStyle w:val="BodyText"/>
        <w:spacing w:before="148"/>
        <w:ind w:left="220"/>
      </w:pPr>
      <w:r>
        <w:rPr/>
        <w:t>[</w:t>
      </w:r>
      <w:r>
        <w:rPr>
          <w:i/>
        </w:rPr>
        <w:t>Note</w:t>
      </w:r>
      <w:r>
        <w:rPr/>
        <w:t>: The W3C XML Schema definition of this element’s content model (</w:t>
      </w:r>
      <w:r>
        <w:rPr>
          <w:color w:val="5F5F5F"/>
          <w:u w:val="single" w:color="5F5F5F"/>
        </w:rPr>
        <w:t>CT_RevisionSheetRename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8"/>
        <w:rPr>
          <w:sz w:val="19"/>
        </w:rPr>
      </w:pPr>
    </w:p>
    <w:p>
      <w:pPr>
        <w:pStyle w:val="Heading3"/>
        <w:numPr>
          <w:ilvl w:val="3"/>
          <w:numId w:val="52"/>
        </w:numPr>
        <w:tabs>
          <w:tab w:pos="1732" w:val="left" w:leader="none"/>
          <w:tab w:pos="1733" w:val="left" w:leader="none"/>
        </w:tabs>
        <w:spacing w:line="240" w:lineRule="auto" w:before="1" w:after="0"/>
        <w:ind w:left="1732" w:right="0" w:hanging="1513"/>
        <w:jc w:val="left"/>
      </w:pPr>
      <w:bookmarkStart w:name="18.11.1.23 sheetId (Sheet Id)" w:id="1124"/>
      <w:bookmarkEnd w:id="1124"/>
      <w:r>
        <w:rPr/>
      </w:r>
      <w:bookmarkStart w:name="_bookmark373" w:id="1125"/>
      <w:bookmarkEnd w:id="1125"/>
      <w:r>
        <w:rPr/>
      </w:r>
      <w:bookmarkStart w:name="_bookmark373" w:id="1126"/>
      <w:bookmarkEnd w:id="1126"/>
      <w:r>
        <w:rPr>
          <w:color w:val="4F81BC"/>
        </w:rPr>
        <w:t>sheet</w:t>
      </w:r>
      <w:r>
        <w:rPr>
          <w:color w:val="4F81BC"/>
        </w:rPr>
        <w:t>Id (Sheet</w:t>
      </w:r>
      <w:r>
        <w:rPr>
          <w:color w:val="4F81BC"/>
          <w:spacing w:val="-3"/>
        </w:rPr>
        <w:t> </w:t>
      </w:r>
      <w:r>
        <w:rPr>
          <w:color w:val="4F81BC"/>
        </w:rPr>
        <w:t>Id)</w:t>
      </w:r>
    </w:p>
    <w:p>
      <w:pPr>
        <w:pStyle w:val="BodyText"/>
        <w:spacing w:line="276" w:lineRule="auto" w:before="118"/>
        <w:ind w:left="220" w:right="414"/>
      </w:pPr>
      <w:r>
        <w:rPr/>
        <w:t>This element represents a sheet that revision can take place on. Each sheet in the workbook should be represented by one of these elements, and each sheet has an id associated with it. Sheet ids are used to refer to sheets internally by the spreadsheet application.</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val </w:t>
            </w:r>
            <w:r>
              <w:rPr>
                <w:sz w:val="22"/>
              </w:rPr>
              <w:t>(Sheet Id)</w:t>
            </w:r>
          </w:p>
        </w:tc>
        <w:tc>
          <w:tcPr>
            <w:tcW w:w="8250" w:type="dxa"/>
          </w:tcPr>
          <w:p>
            <w:pPr>
              <w:pStyle w:val="TableParagraph"/>
              <w:rPr>
                <w:sz w:val="22"/>
              </w:rPr>
            </w:pPr>
            <w:r>
              <w:rPr>
                <w:sz w:val="22"/>
              </w:rPr>
              <w:t>An integer serving as a number by which to reference the sheet internally.</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6" w:lineRule="auto"/>
        <w:ind w:left="220" w:right="805"/>
      </w:pPr>
      <w:r>
        <w:rPr/>
        <w:t>[</w:t>
      </w:r>
      <w:r>
        <w:rPr>
          <w:i/>
        </w:rPr>
        <w:t>Note</w:t>
      </w:r>
      <w:r>
        <w:rPr/>
        <w:t>: The W3C XML Schema definition of this element’s content model (</w:t>
      </w:r>
      <w:r>
        <w:rPr>
          <w:color w:val="5F5F5F"/>
          <w:u w:val="single" w:color="5F5F5F"/>
        </w:rPr>
        <w:t>CT_SheetId</w:t>
      </w:r>
      <w:r>
        <w:rPr/>
        <w:t>) is located in §A.2. </w:t>
      </w:r>
      <w:r>
        <w:rPr>
          <w:i/>
        </w:rPr>
        <w:t>end </w:t>
      </w:r>
      <w:r>
        <w:rPr>
          <w:i/>
        </w:rPr>
        <w:t>note</w:t>
      </w:r>
      <w:r>
        <w:rPr/>
        <w:t>]</w:t>
      </w:r>
    </w:p>
    <w:p>
      <w:pPr>
        <w:pStyle w:val="BodyText"/>
        <w:spacing w:before="8"/>
        <w:rPr>
          <w:sz w:val="16"/>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24 sheetIdMap (Sheet Id Map)" w:id="1127"/>
      <w:bookmarkEnd w:id="1127"/>
      <w:r>
        <w:rPr/>
      </w:r>
      <w:bookmarkStart w:name="_bookmark374" w:id="1128"/>
      <w:bookmarkEnd w:id="1128"/>
      <w:r>
        <w:rPr/>
      </w:r>
      <w:bookmarkStart w:name="_bookmark374" w:id="1129"/>
      <w:bookmarkEnd w:id="1129"/>
      <w:r>
        <w:rPr>
          <w:color w:val="4F81BC"/>
        </w:rPr>
        <w:t>sheet</w:t>
      </w:r>
      <w:r>
        <w:rPr>
          <w:color w:val="4F81BC"/>
        </w:rPr>
        <w:t>IdMap (Sheet Id</w:t>
      </w:r>
      <w:r>
        <w:rPr>
          <w:color w:val="4F81BC"/>
          <w:spacing w:val="-2"/>
        </w:rPr>
        <w:t> </w:t>
      </w:r>
      <w:r>
        <w:rPr>
          <w:color w:val="4F81BC"/>
        </w:rPr>
        <w:t>Map)</w:t>
      </w:r>
    </w:p>
    <w:p>
      <w:pPr>
        <w:pStyle w:val="BodyText"/>
        <w:spacing w:before="122"/>
        <w:ind w:left="220"/>
      </w:pPr>
      <w:r>
        <w:rPr/>
        <w:t>This element represents a list of sheets and corresponding ids that are used for tracking revision records.</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left="85" w:right="90"/>
              <w:jc w:val="center"/>
              <w:rPr>
                <w:sz w:val="22"/>
              </w:rPr>
            </w:pPr>
            <w:r>
              <w:rPr>
                <w:rFonts w:ascii="Cambria"/>
                <w:sz w:val="22"/>
              </w:rPr>
              <w:t>count </w:t>
            </w:r>
            <w:r>
              <w:rPr>
                <w:sz w:val="22"/>
              </w:rPr>
              <w:t>(Sheet Count)</w:t>
            </w:r>
          </w:p>
        </w:tc>
        <w:tc>
          <w:tcPr>
            <w:tcW w:w="8250" w:type="dxa"/>
          </w:tcPr>
          <w:p>
            <w:pPr>
              <w:pStyle w:val="TableParagraph"/>
              <w:rPr>
                <w:sz w:val="22"/>
              </w:rPr>
            </w:pPr>
            <w:r>
              <w:rPr>
                <w:sz w:val="22"/>
              </w:rPr>
              <w:t>Number of sheets.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8" w:lineRule="auto"/>
        <w:ind w:left="220" w:right="396"/>
      </w:pPr>
      <w:r>
        <w:rPr/>
        <w:t>[</w:t>
      </w:r>
      <w:r>
        <w:rPr>
          <w:i/>
        </w:rPr>
        <w:t>Note</w:t>
      </w:r>
      <w:r>
        <w:rPr/>
        <w:t>: The W3C XML Schema definition of this element’s content model (</w:t>
      </w:r>
      <w:r>
        <w:rPr>
          <w:color w:val="5F5F5F"/>
          <w:u w:val="single" w:color="5F5F5F"/>
        </w:rPr>
        <w:t>CT_SheetIdMap</w:t>
      </w:r>
      <w:r>
        <w:rPr/>
        <w:t>) is located in §A.2. </w:t>
      </w:r>
      <w:r>
        <w:rPr>
          <w:i/>
        </w:rPr>
        <w:t>end </w:t>
      </w:r>
      <w:r>
        <w:rPr>
          <w:i/>
        </w:rPr>
        <w:t>note</w:t>
      </w:r>
      <w:r>
        <w:rPr/>
        <w:t>]</w:t>
      </w:r>
    </w:p>
    <w:p>
      <w:pPr>
        <w:pStyle w:val="BodyText"/>
        <w:spacing w:before="3"/>
        <w:rPr>
          <w:sz w:val="16"/>
        </w:rPr>
      </w:pPr>
    </w:p>
    <w:p>
      <w:pPr>
        <w:pStyle w:val="Heading3"/>
        <w:numPr>
          <w:ilvl w:val="3"/>
          <w:numId w:val="52"/>
        </w:numPr>
        <w:tabs>
          <w:tab w:pos="1732" w:val="left" w:leader="none"/>
          <w:tab w:pos="1733" w:val="left" w:leader="none"/>
        </w:tabs>
        <w:spacing w:line="240" w:lineRule="auto" w:before="0" w:after="0"/>
        <w:ind w:left="1732" w:right="0" w:hanging="1513"/>
        <w:jc w:val="left"/>
      </w:pPr>
      <w:bookmarkStart w:name="18.11.1.25 undo (Undo)" w:id="1130"/>
      <w:bookmarkEnd w:id="1130"/>
      <w:r>
        <w:rPr/>
      </w:r>
      <w:bookmarkStart w:name="_bookmark375" w:id="1131"/>
      <w:bookmarkEnd w:id="1131"/>
      <w:r>
        <w:rPr/>
      </w:r>
      <w:bookmarkStart w:name="_bookmark375" w:id="1132"/>
      <w:bookmarkEnd w:id="1132"/>
      <w:r>
        <w:rPr>
          <w:color w:val="4F81BC"/>
        </w:rPr>
        <w:t>un</w:t>
      </w:r>
      <w:r>
        <w:rPr>
          <w:color w:val="4F81BC"/>
        </w:rPr>
        <w:t>do</w:t>
      </w:r>
      <w:r>
        <w:rPr>
          <w:color w:val="4F81BC"/>
          <w:spacing w:val="-2"/>
        </w:rPr>
        <w:t> </w:t>
      </w:r>
      <w:r>
        <w:rPr>
          <w:color w:val="4F81BC"/>
        </w:rPr>
        <w:t>(Undo)</w:t>
      </w:r>
    </w:p>
    <w:p>
      <w:pPr>
        <w:pStyle w:val="BodyText"/>
        <w:spacing w:line="278" w:lineRule="auto" w:before="119"/>
        <w:ind w:left="220" w:right="378"/>
      </w:pPr>
      <w:r>
        <w:rPr/>
        <w:t>This element represents undo information for row/column deletion when there are functions in the spreadsheet that reference the deleted rows/columns. This element is not applicable for insert revisions.</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808"/>
              <w:rPr>
                <w:sz w:val="22"/>
              </w:rPr>
            </w:pPr>
            <w:r>
              <w:rPr>
                <w:rFonts w:ascii="Cambria"/>
                <w:sz w:val="22"/>
              </w:rPr>
              <w:t>array </w:t>
            </w:r>
            <w:r>
              <w:rPr>
                <w:sz w:val="22"/>
              </w:rPr>
              <w:t>(Array Formula)</w:t>
            </w:r>
          </w:p>
        </w:tc>
        <w:tc>
          <w:tcPr>
            <w:tcW w:w="8250" w:type="dxa"/>
          </w:tcPr>
          <w:p>
            <w:pPr>
              <w:pStyle w:val="TableParagraph"/>
              <w:rPr>
                <w:sz w:val="22"/>
              </w:rPr>
            </w:pPr>
            <w:r>
              <w:rPr>
                <w:sz w:val="22"/>
              </w:rPr>
              <w:t>Flag indicating that the affected formula is an array formula.</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892" w:hRule="atLeast"/>
        </w:trPr>
        <w:tc>
          <w:tcPr>
            <w:tcW w:w="2062" w:type="dxa"/>
          </w:tcPr>
          <w:p>
            <w:pPr>
              <w:pStyle w:val="TableParagraph"/>
              <w:ind w:right="569"/>
              <w:rPr>
                <w:sz w:val="22"/>
              </w:rPr>
            </w:pPr>
            <w:r>
              <w:rPr>
                <w:rFonts w:ascii="Cambria"/>
                <w:sz w:val="22"/>
              </w:rPr>
              <w:t>cs </w:t>
            </w:r>
            <w:r>
              <w:rPr>
                <w:sz w:val="22"/>
              </w:rPr>
              <w:t>(Cross Sheet Move)</w:t>
            </w:r>
          </w:p>
        </w:tc>
        <w:tc>
          <w:tcPr>
            <w:tcW w:w="8250" w:type="dxa"/>
          </w:tcPr>
          <w:p>
            <w:pPr>
              <w:pStyle w:val="TableParagraph"/>
              <w:rPr>
                <w:sz w:val="22"/>
              </w:rPr>
            </w:pPr>
            <w:r>
              <w:rPr>
                <w:sz w:val="22"/>
              </w:rPr>
              <w:t>A Boolean flag indicating this was a cross-sheet move. True if it was a cross sheet move, false otherwise.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rPr>
                <w:sz w:val="22"/>
              </w:rPr>
            </w:pPr>
            <w:r>
              <w:rPr>
                <w:rFonts w:ascii="Cambria"/>
                <w:sz w:val="22"/>
              </w:rPr>
              <w:t>dn </w:t>
            </w:r>
            <w:r>
              <w:rPr>
                <w:sz w:val="22"/>
              </w:rPr>
              <w:t>(Defined Name)</w:t>
            </w:r>
          </w:p>
        </w:tc>
        <w:tc>
          <w:tcPr>
            <w:tcW w:w="8250" w:type="dxa"/>
          </w:tcPr>
          <w:p>
            <w:pPr>
              <w:pStyle w:val="TableParagraph"/>
              <w:ind w:right="482"/>
              <w:rPr>
                <w:sz w:val="22"/>
              </w:rPr>
            </w:pPr>
            <w:r>
              <w:rPr>
                <w:sz w:val="22"/>
              </w:rPr>
              <w:t>Identifies the named range that referenced the deleted cell range. Mutually exclusive with the cell reference attribute.</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rPr>
                <w:sz w:val="22"/>
              </w:rPr>
            </w:pPr>
            <w:r>
              <w:rPr>
                <w:rFonts w:ascii="Cambria"/>
                <w:sz w:val="22"/>
              </w:rPr>
              <w:t>dr </w:t>
            </w:r>
            <w:r>
              <w:rPr>
                <w:sz w:val="22"/>
              </w:rPr>
              <w:t>(Range)</w:t>
            </w:r>
          </w:p>
        </w:tc>
        <w:tc>
          <w:tcPr>
            <w:tcW w:w="8250" w:type="dxa"/>
          </w:tcPr>
          <w:p>
            <w:pPr>
              <w:pStyle w:val="TableParagraph"/>
              <w:rPr>
                <w:sz w:val="22"/>
              </w:rPr>
            </w:pPr>
            <w:r>
              <w:rPr>
                <w:sz w:val="22"/>
              </w:rPr>
              <w:t>The range which was deleted that is referenced by the affected formula.</w:t>
            </w:r>
          </w:p>
          <w:p>
            <w:pPr>
              <w:pStyle w:val="TableParagraph"/>
              <w:spacing w:before="4"/>
              <w:ind w:left="0"/>
              <w:rPr>
                <w:rFonts w:ascii="Times New Roman"/>
                <w:sz w:val="23"/>
              </w:rPr>
            </w:pPr>
          </w:p>
          <w:p>
            <w:pPr>
              <w:pStyle w:val="TableParagraph"/>
              <w:spacing w:before="0"/>
              <w:rPr>
                <w:sz w:val="22"/>
              </w:rPr>
            </w:pPr>
            <w:r>
              <w:rPr>
                <w:sz w:val="22"/>
              </w:rPr>
              <w:t>The possible values for this attribute are defined by the </w:t>
            </w:r>
            <w:r>
              <w:rPr>
                <w:rFonts w:ascii="Cambria" w:hAnsi="Cambria"/>
                <w:sz w:val="22"/>
              </w:rPr>
              <w:t>ST_RefA </w:t>
            </w:r>
            <w:r>
              <w:rPr>
                <w:sz w:val="22"/>
              </w:rPr>
              <w:t>simple type (§</w:t>
            </w:r>
            <w:hyperlink w:history="true" w:anchor="_bookmark885">
              <w:r>
                <w:rPr>
                  <w:sz w:val="22"/>
                </w:rPr>
                <w:t>18.18.63</w:t>
              </w:r>
            </w:hyperlink>
            <w:r>
              <w:rPr>
                <w:sz w:val="22"/>
              </w:rPr>
              <w:t>).</w:t>
            </w:r>
          </w:p>
        </w:tc>
      </w:tr>
      <w:tr>
        <w:trPr>
          <w:trHeight w:val="1159" w:hRule="atLeast"/>
        </w:trPr>
        <w:tc>
          <w:tcPr>
            <w:tcW w:w="2062" w:type="dxa"/>
          </w:tcPr>
          <w:p>
            <w:pPr>
              <w:pStyle w:val="TableParagraph"/>
              <w:rPr>
                <w:sz w:val="22"/>
              </w:rPr>
            </w:pPr>
            <w:r>
              <w:rPr>
                <w:rFonts w:ascii="Cambria"/>
                <w:sz w:val="22"/>
              </w:rPr>
              <w:t>exp </w:t>
            </w:r>
            <w:r>
              <w:rPr>
                <w:sz w:val="22"/>
              </w:rPr>
              <w:t>(Expression)</w:t>
            </w:r>
          </w:p>
        </w:tc>
        <w:tc>
          <w:tcPr>
            <w:tcW w:w="8250" w:type="dxa"/>
          </w:tcPr>
          <w:p>
            <w:pPr>
              <w:pStyle w:val="TableParagraph"/>
              <w:rPr>
                <w:sz w:val="22"/>
              </w:rPr>
            </w:pPr>
            <w:r>
              <w:rPr>
                <w:sz w:val="22"/>
              </w:rPr>
              <w:t>Identifies the expression that should be adjusted in the corresponding formula.</w:t>
            </w:r>
          </w:p>
          <w:p>
            <w:pPr>
              <w:pStyle w:val="TableParagraph"/>
              <w:spacing w:before="5"/>
              <w:ind w:left="0"/>
              <w:rPr>
                <w:rFonts w:ascii="Times New Roman"/>
                <w:sz w:val="23"/>
              </w:rPr>
            </w:pPr>
          </w:p>
          <w:p>
            <w:pPr>
              <w:pStyle w:val="TableParagraph"/>
              <w:spacing w:before="0"/>
              <w:ind w:right="312"/>
              <w:rPr>
                <w:sz w:val="22"/>
              </w:rPr>
            </w:pPr>
            <w:r>
              <w:rPr>
                <w:sz w:val="22"/>
              </w:rPr>
              <w:t>The possible values for this attribute are defined by the </w:t>
            </w:r>
            <w:r>
              <w:rPr>
                <w:rFonts w:ascii="Cambria" w:hAnsi="Cambria"/>
                <w:sz w:val="22"/>
              </w:rPr>
              <w:t>ST_FormulaExpression </w:t>
            </w:r>
            <w:r>
              <w:rPr>
                <w:sz w:val="22"/>
              </w:rPr>
              <w:t>simple type (§</w:t>
            </w:r>
            <w:hyperlink w:history="true" w:anchor="_bookmark858">
              <w:r>
                <w:rPr>
                  <w:sz w:val="22"/>
                </w:rPr>
                <w:t>18.18.36</w:t>
              </w:r>
            </w:hyperlink>
            <w:r>
              <w:rPr>
                <w:sz w:val="22"/>
              </w:rPr>
              <w:t>).</w:t>
            </w:r>
          </w:p>
        </w:tc>
      </w:tr>
      <w:tr>
        <w:trPr>
          <w:trHeight w:val="1430" w:hRule="atLeast"/>
        </w:trPr>
        <w:tc>
          <w:tcPr>
            <w:tcW w:w="2062" w:type="dxa"/>
          </w:tcPr>
          <w:p>
            <w:pPr>
              <w:pStyle w:val="TableParagraph"/>
              <w:spacing w:before="42"/>
              <w:rPr>
                <w:sz w:val="22"/>
              </w:rPr>
            </w:pPr>
            <w:r>
              <w:rPr>
                <w:rFonts w:ascii="Cambria"/>
                <w:sz w:val="22"/>
              </w:rPr>
              <w:t>index </w:t>
            </w:r>
            <w:r>
              <w:rPr>
                <w:sz w:val="22"/>
              </w:rPr>
              <w:t>(Index)</w:t>
            </w:r>
          </w:p>
        </w:tc>
        <w:tc>
          <w:tcPr>
            <w:tcW w:w="8250" w:type="dxa"/>
          </w:tcPr>
          <w:p>
            <w:pPr>
              <w:pStyle w:val="TableParagraph"/>
              <w:spacing w:line="237" w:lineRule="auto" w:before="44"/>
              <w:ind w:right="716"/>
              <w:rPr>
                <w:sz w:val="22"/>
              </w:rPr>
            </w:pPr>
            <w:r>
              <w:rPr>
                <w:sz w:val="22"/>
              </w:rPr>
              <w:t>Index of the expression within the corresponding formula that was affected by this change.</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28" w:hRule="atLeast"/>
        </w:trPr>
        <w:tc>
          <w:tcPr>
            <w:tcW w:w="2062" w:type="dxa"/>
          </w:tcPr>
          <w:p>
            <w:pPr>
              <w:pStyle w:val="TableParagraph"/>
              <w:ind w:right="327"/>
              <w:rPr>
                <w:sz w:val="22"/>
              </w:rPr>
            </w:pPr>
            <w:r>
              <w:rPr>
                <w:rFonts w:ascii="Cambria"/>
                <w:sz w:val="22"/>
              </w:rPr>
              <w:t>nf </w:t>
            </w:r>
            <w:r>
              <w:rPr>
                <w:sz w:val="22"/>
              </w:rPr>
              <w:t>(Defined Name Formula)</w:t>
            </w:r>
          </w:p>
        </w:tc>
        <w:tc>
          <w:tcPr>
            <w:tcW w:w="8250" w:type="dxa"/>
          </w:tcPr>
          <w:p>
            <w:pPr>
              <w:pStyle w:val="TableParagraph"/>
              <w:ind w:right="157"/>
              <w:rPr>
                <w:sz w:val="22"/>
              </w:rPr>
            </w:pPr>
            <w:r>
              <w:rPr>
                <w:sz w:val="22"/>
              </w:rPr>
              <w:t>A Boolean flag indicating that the corresponding formula is part of a defined name. True if this formula is part of a defined name, false otherwise.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spacing w:before="42"/>
              <w:rPr>
                <w:sz w:val="22"/>
              </w:rPr>
            </w:pPr>
            <w:r>
              <w:rPr>
                <w:rFonts w:ascii="Cambria"/>
                <w:sz w:val="22"/>
              </w:rPr>
              <w:t>r </w:t>
            </w:r>
            <w:r>
              <w:rPr>
                <w:sz w:val="22"/>
              </w:rPr>
              <w:t>(Cell Reference)</w:t>
            </w:r>
          </w:p>
        </w:tc>
        <w:tc>
          <w:tcPr>
            <w:tcW w:w="8250" w:type="dxa"/>
          </w:tcPr>
          <w:p>
            <w:pPr>
              <w:pStyle w:val="TableParagraph"/>
              <w:spacing w:line="237" w:lineRule="auto" w:before="44"/>
              <w:ind w:right="225"/>
              <w:rPr>
                <w:sz w:val="22"/>
              </w:rPr>
            </w:pPr>
            <w:r>
              <w:rPr>
                <w:sz w:val="22"/>
              </w:rPr>
              <w:t>Location of the cell whose formula referenced the deleted cell range. Mutually exclusive with the defined name attribute</w:t>
            </w:r>
          </w:p>
          <w:p>
            <w:pPr>
              <w:pStyle w:val="TableParagraph"/>
              <w:spacing w:before="6"/>
              <w:ind w:left="0"/>
              <w:rPr>
                <w:rFonts w:ascii="Times New Roman"/>
                <w:sz w:val="23"/>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427" w:hRule="atLeast"/>
        </w:trPr>
        <w:tc>
          <w:tcPr>
            <w:tcW w:w="2062" w:type="dxa"/>
          </w:tcPr>
          <w:p>
            <w:pPr>
              <w:pStyle w:val="TableParagraph"/>
              <w:ind w:right="359"/>
              <w:rPr>
                <w:sz w:val="22"/>
              </w:rPr>
            </w:pPr>
            <w:r>
              <w:rPr>
                <w:rFonts w:ascii="Cambria"/>
                <w:sz w:val="22"/>
              </w:rPr>
              <w:t>ref3D </w:t>
            </w:r>
            <w:r>
              <w:rPr>
                <w:sz w:val="22"/>
              </w:rPr>
              <w:t>(Reference 3D)</w:t>
            </w:r>
          </w:p>
        </w:tc>
        <w:tc>
          <w:tcPr>
            <w:tcW w:w="8250" w:type="dxa"/>
          </w:tcPr>
          <w:p>
            <w:pPr>
              <w:pStyle w:val="TableParagraph"/>
              <w:ind w:right="129"/>
              <w:rPr>
                <w:sz w:val="22"/>
              </w:rPr>
            </w:pPr>
            <w:r>
              <w:rPr>
                <w:sz w:val="22"/>
              </w:rPr>
              <w:t>A Boolean flag indicating that the expression contained the sheet name in addition to the cell reference. True if it contained the sheet name, false otherwise.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30" w:hRule="atLeast"/>
        </w:trPr>
        <w:tc>
          <w:tcPr>
            <w:tcW w:w="2062" w:type="dxa"/>
          </w:tcPr>
          <w:p>
            <w:pPr>
              <w:pStyle w:val="TableParagraph"/>
              <w:rPr>
                <w:sz w:val="22"/>
              </w:rPr>
            </w:pPr>
            <w:r>
              <w:rPr>
                <w:rFonts w:ascii="Cambria"/>
                <w:sz w:val="22"/>
              </w:rPr>
              <w:t>sId </w:t>
            </w:r>
            <w:r>
              <w:rPr>
                <w:sz w:val="22"/>
              </w:rPr>
              <w:t>(Sheet Id)</w:t>
            </w:r>
          </w:p>
        </w:tc>
        <w:tc>
          <w:tcPr>
            <w:tcW w:w="8250" w:type="dxa"/>
          </w:tcPr>
          <w:p>
            <w:pPr>
              <w:pStyle w:val="TableParagraph"/>
              <w:ind w:right="253"/>
              <w:rPr>
                <w:sz w:val="22"/>
              </w:rPr>
            </w:pPr>
            <w:r>
              <w:rPr>
                <w:sz w:val="22"/>
              </w:rPr>
              <w:t>Internal Id of the worksheet that contained the formula that referenced the deleted cell range. Mutually exclusive with the defined name attribute.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v </w:t>
            </w:r>
            <w:r>
              <w:rPr>
                <w:sz w:val="22"/>
              </w:rPr>
              <w:t>(Value Needed)</w:t>
            </w:r>
          </w:p>
        </w:tc>
        <w:tc>
          <w:tcPr>
            <w:tcW w:w="8250" w:type="dxa"/>
          </w:tcPr>
          <w:p>
            <w:pPr>
              <w:pStyle w:val="TableParagraph"/>
              <w:ind w:right="137"/>
              <w:rPr>
                <w:sz w:val="22"/>
              </w:rPr>
            </w:pPr>
            <w:r>
              <w:rPr>
                <w:sz w:val="22"/>
              </w:rPr>
              <w:t>A Boolean flag indicating the formula needs the actual value of the cell(s) it's referencing. True if the formula requires the value of the cell it references, false otherwise.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6"/>
        <w:ind w:left="220" w:right="642"/>
      </w:pPr>
      <w:r>
        <w:rPr/>
        <w:t>[</w:t>
      </w:r>
      <w:r>
        <w:rPr>
          <w:i/>
        </w:rPr>
        <w:t>Note</w:t>
      </w:r>
      <w:r>
        <w:rPr/>
        <w:t>: The W3C XML Schema definition of this element’s content model (</w:t>
      </w:r>
      <w:r>
        <w:rPr>
          <w:color w:val="5F5F5F"/>
          <w:u w:val="single" w:color="5F5F5F"/>
        </w:rPr>
        <w:t>CT_UndoInfo</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1.2 Shared Workbook User Data" w:id="1133"/>
      <w:bookmarkEnd w:id="1133"/>
      <w:r>
        <w:rPr>
          <w:b w:val="0"/>
        </w:rPr>
      </w:r>
      <w:bookmarkStart w:name="_bookmark376" w:id="1134"/>
      <w:bookmarkEnd w:id="1134"/>
      <w:r>
        <w:rPr>
          <w:b w:val="0"/>
        </w:rPr>
      </w:r>
      <w:bookmarkStart w:name="_bookmark376" w:id="1135"/>
      <w:bookmarkEnd w:id="1135"/>
      <w:r>
        <w:rPr>
          <w:color w:val="4F81BC"/>
        </w:rPr>
        <w:t>S</w:t>
      </w:r>
      <w:r>
        <w:rPr>
          <w:color w:val="4F81BC"/>
        </w:rPr>
        <w:t>hared Workbook User</w:t>
      </w:r>
      <w:r>
        <w:rPr>
          <w:color w:val="4F81BC"/>
          <w:spacing w:val="-4"/>
        </w:rPr>
        <w:t> </w:t>
      </w:r>
      <w:r>
        <w:rPr>
          <w:color w:val="4F81BC"/>
        </w:rPr>
        <w:t>Data</w:t>
      </w:r>
    </w:p>
    <w:p>
      <w:pPr>
        <w:pStyle w:val="BodyText"/>
        <w:spacing w:before="124"/>
        <w:ind w:left="220"/>
      </w:pPr>
      <w:r>
        <w:rPr/>
        <w:t>This subclause specifies information about the users of a shared workbook.</w:t>
      </w:r>
    </w:p>
    <w:p>
      <w:pPr>
        <w:pStyle w:val="BodyText"/>
        <w:spacing w:before="9"/>
        <w:rPr>
          <w:sz w:val="19"/>
        </w:rPr>
      </w:pPr>
    </w:p>
    <w:p>
      <w:pPr>
        <w:pStyle w:val="Heading3"/>
        <w:numPr>
          <w:ilvl w:val="3"/>
          <w:numId w:val="54"/>
        </w:numPr>
        <w:tabs>
          <w:tab w:pos="1732" w:val="left" w:leader="none"/>
          <w:tab w:pos="1733" w:val="left" w:leader="none"/>
        </w:tabs>
        <w:spacing w:line="240" w:lineRule="auto" w:before="0" w:after="0"/>
        <w:ind w:left="1732" w:right="0" w:hanging="1513"/>
        <w:jc w:val="left"/>
      </w:pPr>
      <w:bookmarkStart w:name="18.11.2.1 userInfo (User Information)" w:id="1136"/>
      <w:bookmarkEnd w:id="1136"/>
      <w:r>
        <w:rPr/>
      </w:r>
      <w:bookmarkStart w:name="_bookmark377" w:id="1137"/>
      <w:bookmarkEnd w:id="1137"/>
      <w:r>
        <w:rPr/>
      </w:r>
      <w:bookmarkStart w:name="_bookmark377" w:id="1138"/>
      <w:bookmarkEnd w:id="1138"/>
      <w:r>
        <w:rPr>
          <w:color w:val="4F81BC"/>
        </w:rPr>
        <w:t>use</w:t>
      </w:r>
      <w:r>
        <w:rPr>
          <w:color w:val="4F81BC"/>
        </w:rPr>
        <w:t>rInfo (User Information)</w:t>
      </w:r>
    </w:p>
    <w:p>
      <w:pPr>
        <w:pStyle w:val="BodyText"/>
        <w:spacing w:before="121"/>
        <w:ind w:left="220"/>
      </w:pPr>
      <w:r>
        <w:rPr/>
        <w:t>This element represents a user, and it stores information about a specific user as it relates to revisions.</w:t>
      </w:r>
    </w:p>
    <w:p>
      <w:pPr>
        <w:pStyle w:val="BodyText"/>
        <w:spacing w:before="10"/>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84"/>
              <w:rPr>
                <w:sz w:val="22"/>
              </w:rPr>
            </w:pPr>
            <w:r>
              <w:rPr>
                <w:rFonts w:ascii="Cambria"/>
                <w:sz w:val="22"/>
              </w:rPr>
              <w:t>dateTime </w:t>
            </w:r>
            <w:r>
              <w:rPr>
                <w:sz w:val="22"/>
              </w:rPr>
              <w:t>(Date Time)</w:t>
            </w:r>
          </w:p>
        </w:tc>
        <w:tc>
          <w:tcPr>
            <w:tcW w:w="8250" w:type="dxa"/>
          </w:tcPr>
          <w:p>
            <w:pPr>
              <w:pStyle w:val="TableParagraph"/>
              <w:rPr>
                <w:sz w:val="22"/>
              </w:rPr>
            </w:pPr>
            <w:r>
              <w:rPr>
                <w:sz w:val="22"/>
              </w:rPr>
              <w:t>Date and time when this user opened the shared workbook.</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dateTime</w:t>
            </w:r>
          </w:p>
          <w:p>
            <w:pPr>
              <w:pStyle w:val="TableParagraph"/>
              <w:spacing w:before="0"/>
              <w:rPr>
                <w:sz w:val="22"/>
              </w:rPr>
            </w:pPr>
            <w:r>
              <w:rPr>
                <w:sz w:val="22"/>
              </w:rPr>
              <w:t>datatype.</w:t>
            </w:r>
          </w:p>
        </w:tc>
      </w:tr>
      <w:tr>
        <w:trPr>
          <w:trHeight w:val="1965" w:hRule="atLeast"/>
        </w:trPr>
        <w:tc>
          <w:tcPr>
            <w:tcW w:w="2062" w:type="dxa"/>
          </w:tcPr>
          <w:p>
            <w:pPr>
              <w:pStyle w:val="TableParagraph"/>
              <w:ind w:right="92"/>
              <w:rPr>
                <w:sz w:val="22"/>
              </w:rPr>
            </w:pPr>
            <w:r>
              <w:rPr>
                <w:rFonts w:ascii="Cambria"/>
                <w:sz w:val="22"/>
              </w:rPr>
              <w:t>guid </w:t>
            </w:r>
            <w:r>
              <w:rPr>
                <w:sz w:val="22"/>
              </w:rPr>
              <w:t>(User Revisions GUID)</w:t>
            </w:r>
          </w:p>
        </w:tc>
        <w:tc>
          <w:tcPr>
            <w:tcW w:w="8250" w:type="dxa"/>
          </w:tcPr>
          <w:p>
            <w:pPr>
              <w:pStyle w:val="TableParagraph"/>
              <w:ind w:right="1161"/>
              <w:rPr>
                <w:sz w:val="22"/>
              </w:rPr>
            </w:pPr>
            <w:r>
              <w:rPr>
                <w:sz w:val="22"/>
              </w:rPr>
              <w:t>A globally unique identifier identifying the last set of revisions that this uses is synchronized to.</w:t>
            </w:r>
          </w:p>
          <w:p>
            <w:pPr>
              <w:pStyle w:val="TableParagraph"/>
              <w:spacing w:before="10"/>
              <w:ind w:left="0"/>
              <w:rPr>
                <w:sz w:val="21"/>
              </w:rPr>
            </w:pPr>
          </w:p>
          <w:p>
            <w:pPr>
              <w:pStyle w:val="TableParagraph"/>
              <w:spacing w:before="0"/>
              <w:ind w:right="443"/>
              <w:rPr>
                <w:sz w:val="22"/>
              </w:rPr>
            </w:pPr>
            <w:r>
              <w:rPr>
                <w:sz w:val="22"/>
              </w:rPr>
              <w:t>This attribute can be used by the spreadsheet application to ensure that revisions this user depends on aren't deleted.</w:t>
            </w:r>
          </w:p>
          <w:p>
            <w:pPr>
              <w:pStyle w:val="TableParagraph"/>
              <w:spacing w:before="1"/>
              <w:ind w:left="0"/>
              <w:rPr>
                <w:sz w:val="22"/>
              </w:rPr>
            </w:pPr>
          </w:p>
          <w:p>
            <w:pPr>
              <w:pStyle w:val="TableParagraph"/>
              <w:spacing w:before="0"/>
              <w:rPr>
                <w:sz w:val="22"/>
              </w:rPr>
            </w:pPr>
            <w:r>
              <w:rPr>
                <w:sz w:val="22"/>
              </w:rPr>
              <w:t>The possible values for this attribute are defined by the </w:t>
            </w:r>
            <w:r>
              <w:rPr>
                <w:rFonts w:ascii="Cambria" w:hAnsi="Cambria"/>
                <w:sz w:val="22"/>
              </w:rPr>
              <w:t>ST_Guid </w:t>
            </w:r>
            <w:r>
              <w:rPr>
                <w:sz w:val="22"/>
              </w:rPr>
              <w:t>simple type (§22.9.2.4).</w:t>
            </w:r>
          </w:p>
        </w:tc>
      </w:tr>
      <w:tr>
        <w:trPr>
          <w:trHeight w:val="1427" w:hRule="atLeast"/>
        </w:trPr>
        <w:tc>
          <w:tcPr>
            <w:tcW w:w="2062" w:type="dxa"/>
          </w:tcPr>
          <w:p>
            <w:pPr>
              <w:pStyle w:val="TableParagraph"/>
              <w:rPr>
                <w:sz w:val="22"/>
              </w:rPr>
            </w:pPr>
            <w:r>
              <w:rPr>
                <w:rFonts w:ascii="Cambria"/>
                <w:sz w:val="22"/>
              </w:rPr>
              <w:t>id </w:t>
            </w:r>
            <w:r>
              <w:rPr>
                <w:sz w:val="22"/>
              </w:rPr>
              <w:t>(User Id)</w:t>
            </w:r>
          </w:p>
        </w:tc>
        <w:tc>
          <w:tcPr>
            <w:tcW w:w="8250" w:type="dxa"/>
          </w:tcPr>
          <w:p>
            <w:pPr>
              <w:pStyle w:val="TableParagraph"/>
              <w:spacing w:line="480" w:lineRule="auto"/>
              <w:ind w:right="3132"/>
              <w:rPr>
                <w:sz w:val="22"/>
              </w:rPr>
            </w:pPr>
            <w:r>
              <w:rPr>
                <w:sz w:val="22"/>
              </w:rPr>
              <w:t>An integer representing an internal user id for this user. This number can be negative.</w:t>
            </w:r>
          </w:p>
          <w:p>
            <w:pPr>
              <w:pStyle w:val="TableParagraph"/>
              <w:spacing w:before="1"/>
              <w:rPr>
                <w:sz w:val="22"/>
              </w:rPr>
            </w:pPr>
            <w:r>
              <w:rPr>
                <w:sz w:val="22"/>
              </w:rPr>
              <w:t>The possible values for this attribute are defined by the W3C XML Schema </w:t>
            </w:r>
            <w:r>
              <w:rPr>
                <w:rFonts w:ascii="Cambria"/>
                <w:sz w:val="22"/>
              </w:rPr>
              <w:t>int </w:t>
            </w:r>
            <w:r>
              <w:rPr>
                <w:sz w:val="22"/>
              </w:rPr>
              <w:t>datatype.</w:t>
            </w:r>
          </w:p>
        </w:tc>
      </w:tr>
      <w:tr>
        <w:trPr>
          <w:trHeight w:val="1698" w:hRule="atLeast"/>
        </w:trPr>
        <w:tc>
          <w:tcPr>
            <w:tcW w:w="2062" w:type="dxa"/>
          </w:tcPr>
          <w:p>
            <w:pPr>
              <w:pStyle w:val="TableParagraph"/>
              <w:spacing w:before="42"/>
              <w:rPr>
                <w:sz w:val="22"/>
              </w:rPr>
            </w:pPr>
            <w:r>
              <w:rPr>
                <w:rFonts w:ascii="Cambria"/>
                <w:sz w:val="22"/>
              </w:rPr>
              <w:t>name </w:t>
            </w:r>
            <w:r>
              <w:rPr>
                <w:sz w:val="22"/>
              </w:rPr>
              <w:t>(User Name)</w:t>
            </w:r>
          </w:p>
        </w:tc>
        <w:tc>
          <w:tcPr>
            <w:tcW w:w="8250" w:type="dxa"/>
          </w:tcPr>
          <w:p>
            <w:pPr>
              <w:pStyle w:val="TableParagraph"/>
              <w:spacing w:before="42"/>
              <w:rPr>
                <w:sz w:val="22"/>
              </w:rPr>
            </w:pPr>
            <w:r>
              <w:rPr>
                <w:sz w:val="22"/>
              </w:rPr>
              <w:t>Display name for this user</w:t>
            </w:r>
          </w:p>
          <w:p>
            <w:pPr>
              <w:pStyle w:val="TableParagraph"/>
              <w:spacing w:before="10"/>
              <w:ind w:left="0"/>
              <w:rPr>
                <w:sz w:val="21"/>
              </w:rPr>
            </w:pPr>
          </w:p>
          <w:p>
            <w:pPr>
              <w:pStyle w:val="TableParagraph"/>
              <w:spacing w:before="0"/>
              <w:rPr>
                <w:sz w:val="22"/>
              </w:rPr>
            </w:pPr>
            <w:r>
              <w:rPr>
                <w:sz w:val="22"/>
              </w:rPr>
              <w:t>[</w:t>
            </w:r>
            <w:r>
              <w:rPr>
                <w:i/>
                <w:sz w:val="22"/>
              </w:rPr>
              <w:t>Note</w:t>
            </w:r>
            <w:r>
              <w:rPr>
                <w:sz w:val="22"/>
              </w:rPr>
              <w:t>: User name strings should not be longer than 54 characters. </w:t>
            </w:r>
            <w:r>
              <w:rPr>
                <w:i/>
                <w:sz w:val="22"/>
              </w:rPr>
              <w:t>end note</w:t>
            </w:r>
            <w:r>
              <w:rPr>
                <w:sz w:val="22"/>
              </w:rPr>
              <w:t>]</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spacing w:line="278" w:lineRule="auto" w:before="1"/>
        <w:ind w:left="220" w:right="448"/>
      </w:pPr>
      <w:r>
        <w:rPr/>
        <w:t>[</w:t>
      </w:r>
      <w:r>
        <w:rPr>
          <w:i/>
        </w:rPr>
        <w:t>Note</w:t>
      </w:r>
      <w:r>
        <w:rPr/>
        <w:t>: The W3C XML Schema definition of this element’s content model (</w:t>
      </w:r>
      <w:r>
        <w:rPr>
          <w:color w:val="5F5F5F"/>
          <w:u w:val="single" w:color="5F5F5F"/>
        </w:rPr>
        <w:t>CT_SharedUser</w:t>
      </w:r>
      <w:r>
        <w:rPr/>
        <w:t>) is located in §A.2. </w:t>
      </w:r>
      <w:r>
        <w:rPr>
          <w:i/>
        </w:rPr>
        <w:t>end </w:t>
      </w:r>
      <w:r>
        <w:rPr>
          <w:i/>
        </w:rPr>
        <w:t>note</w:t>
      </w:r>
      <w:r>
        <w:rPr/>
        <w:t>]</w:t>
      </w:r>
    </w:p>
    <w:p>
      <w:pPr>
        <w:pStyle w:val="BodyText"/>
        <w:spacing w:before="2"/>
        <w:rPr>
          <w:sz w:val="16"/>
        </w:rPr>
      </w:pPr>
    </w:p>
    <w:p>
      <w:pPr>
        <w:pStyle w:val="Heading3"/>
        <w:numPr>
          <w:ilvl w:val="3"/>
          <w:numId w:val="54"/>
        </w:numPr>
        <w:tabs>
          <w:tab w:pos="1732" w:val="left" w:leader="none"/>
          <w:tab w:pos="1733" w:val="left" w:leader="none"/>
        </w:tabs>
        <w:spacing w:line="240" w:lineRule="auto" w:before="1" w:after="0"/>
        <w:ind w:left="1732" w:right="0" w:hanging="1513"/>
        <w:jc w:val="left"/>
      </w:pPr>
      <w:bookmarkStart w:name="18.11.2.2 users (User List)" w:id="1139"/>
      <w:bookmarkEnd w:id="1139"/>
      <w:r>
        <w:rPr/>
      </w:r>
      <w:bookmarkStart w:name="_bookmark378" w:id="1140"/>
      <w:bookmarkEnd w:id="1140"/>
      <w:r>
        <w:rPr/>
      </w:r>
      <w:bookmarkStart w:name="_bookmark378" w:id="1141"/>
      <w:bookmarkEnd w:id="1141"/>
      <w:r>
        <w:rPr>
          <w:color w:val="4F81BC"/>
        </w:rPr>
        <w:t>use</w:t>
      </w:r>
      <w:r>
        <w:rPr>
          <w:color w:val="4F81BC"/>
        </w:rPr>
        <w:t>rs (User</w:t>
      </w:r>
      <w:r>
        <w:rPr>
          <w:color w:val="4F81BC"/>
          <w:spacing w:val="-2"/>
        </w:rPr>
        <w:t> </w:t>
      </w:r>
      <w:r>
        <w:rPr>
          <w:color w:val="4F81BC"/>
        </w:rPr>
        <w:t>List)</w:t>
      </w:r>
    </w:p>
    <w:p>
      <w:pPr>
        <w:pStyle w:val="BodyText"/>
        <w:spacing w:line="278" w:lineRule="auto" w:before="118"/>
        <w:ind w:left="220" w:right="483"/>
      </w:pPr>
      <w:r>
        <w:rPr/>
        <w:t>This element represents a list of users who currently have this shared workbook open. This list does not include any users who have the workbook open in Read-Only mode.</w:t>
      </w:r>
    </w:p>
    <w:p>
      <w:pPr>
        <w:spacing w:after="0" w:line="278"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252"/>
              <w:rPr>
                <w:sz w:val="22"/>
              </w:rPr>
            </w:pPr>
            <w:r>
              <w:rPr>
                <w:rFonts w:ascii="Cambria"/>
                <w:sz w:val="22"/>
              </w:rPr>
              <w:t>count </w:t>
            </w:r>
            <w:r>
              <w:rPr>
                <w:sz w:val="22"/>
              </w:rPr>
              <w:t>(Active User Count)</w:t>
            </w:r>
          </w:p>
        </w:tc>
        <w:tc>
          <w:tcPr>
            <w:tcW w:w="8250" w:type="dxa"/>
          </w:tcPr>
          <w:p>
            <w:pPr>
              <w:pStyle w:val="TableParagraph"/>
              <w:rPr>
                <w:sz w:val="22"/>
              </w:rPr>
            </w:pPr>
            <w:r>
              <w:rPr>
                <w:sz w:val="22"/>
              </w:rPr>
              <w:t>Number of users who currently have this shared workbook open.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rPr>
          <w:sz w:val="17"/>
        </w:rPr>
      </w:pPr>
    </w:p>
    <w:p>
      <w:pPr>
        <w:pStyle w:val="BodyText"/>
        <w:spacing w:before="56"/>
        <w:ind w:left="220"/>
      </w:pPr>
      <w:r>
        <w:rPr/>
        <w:t>[</w:t>
      </w:r>
      <w:r>
        <w:rPr>
          <w:i/>
        </w:rPr>
        <w:t>Note</w:t>
      </w:r>
      <w:r>
        <w:rPr/>
        <w:t>: The W3C XML Schema definition of this element’s content model (</w:t>
      </w:r>
      <w:r>
        <w:rPr>
          <w:color w:val="5F5F5F"/>
          <w:u w:val="single" w:color="5F5F5F"/>
        </w:rPr>
        <w:t>CT_Users</w:t>
      </w:r>
      <w:r>
        <w:rPr/>
        <w:t>) is located in §A.2. </w:t>
      </w:r>
      <w:r>
        <w:rPr>
          <w:i/>
        </w:rPr>
        <w:t>end note</w:t>
      </w:r>
      <w:r>
        <w:rPr/>
        <w:t>]</w:t>
      </w:r>
    </w:p>
    <w:p>
      <w:pPr>
        <w:pStyle w:val="BodyText"/>
        <w:spacing w:before="7"/>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12 QueryTable Data" w:id="1142"/>
      <w:bookmarkEnd w:id="1142"/>
      <w:r>
        <w:rPr>
          <w:b w:val="0"/>
        </w:rPr>
      </w:r>
      <w:bookmarkStart w:name="_bookmark379" w:id="1143"/>
      <w:bookmarkEnd w:id="1143"/>
      <w:r>
        <w:rPr>
          <w:b w:val="0"/>
        </w:rPr>
      </w:r>
      <w:bookmarkStart w:name="_bookmark379" w:id="1144"/>
      <w:bookmarkEnd w:id="1144"/>
      <w:r>
        <w:rPr>
          <w:color w:val="4F81BC"/>
        </w:rPr>
        <w:t>QueryTabl</w:t>
      </w:r>
      <w:r>
        <w:rPr>
          <w:color w:val="4F81BC"/>
        </w:rPr>
        <w:t>e</w:t>
      </w:r>
      <w:r>
        <w:rPr>
          <w:color w:val="4F81BC"/>
          <w:spacing w:val="-2"/>
        </w:rPr>
        <w:t> </w:t>
      </w:r>
      <w:r>
        <w:rPr>
          <w:color w:val="4F81BC"/>
        </w:rPr>
        <w:t>Data</w:t>
      </w:r>
    </w:p>
    <w:p>
      <w:pPr>
        <w:pStyle w:val="BodyText"/>
        <w:spacing w:line="278" w:lineRule="auto" w:before="127"/>
        <w:ind w:left="220" w:right="444"/>
      </w:pPr>
      <w:r>
        <w:rPr/>
        <w:t>Query tables are 2 dimensional tables of data bound to an external query of some kind. [</w:t>
      </w:r>
      <w:r>
        <w:rPr>
          <w:i/>
        </w:rPr>
        <w:t>Example</w:t>
      </w:r>
      <w:r>
        <w:rPr/>
        <w:t>: A query table could for example show specific data from a text file, from a web query, or from a database query. </w:t>
      </w:r>
      <w:r>
        <w:rPr>
          <w:i/>
        </w:rPr>
        <w:t>end </w:t>
      </w:r>
      <w:r>
        <w:rPr>
          <w:i/>
        </w:rPr>
        <w:t>example</w:t>
      </w:r>
      <w:r>
        <w:rPr/>
        <w:t>]</w:t>
      </w:r>
    </w:p>
    <w:p>
      <w:pPr>
        <w:spacing w:before="196"/>
        <w:ind w:left="220" w:right="0" w:firstLine="0"/>
        <w:jc w:val="left"/>
        <w:rPr>
          <w:sz w:val="22"/>
        </w:rPr>
      </w:pPr>
      <w:r>
        <w:rPr>
          <w:sz w:val="22"/>
        </w:rPr>
        <w:t>[</w:t>
      </w:r>
      <w:r>
        <w:rPr>
          <w:i/>
          <w:sz w:val="22"/>
        </w:rPr>
        <w:t>Example</w:t>
      </w:r>
      <w:r>
        <w:rPr>
          <w:sz w:val="22"/>
        </w:rPr>
        <w:t>:</w:t>
      </w:r>
    </w:p>
    <w:p>
      <w:pPr>
        <w:pStyle w:val="BodyText"/>
        <w:spacing w:before="6"/>
        <w:rPr>
          <w:sz w:val="19"/>
        </w:rPr>
      </w:pPr>
    </w:p>
    <w:p>
      <w:pPr>
        <w:pStyle w:val="BodyText"/>
        <w:spacing w:line="276" w:lineRule="auto"/>
        <w:ind w:left="220" w:right="512"/>
      </w:pPr>
      <w:r>
        <w:rPr/>
        <w:t>Data connectivity can use a number of different technologies. The following spreadsheetML fragment is one an example of a query table connected to a database:</w:t>
      </w:r>
    </w:p>
    <w:p>
      <w:pPr>
        <w:pStyle w:val="BodyText"/>
        <w:spacing w:before="5"/>
        <w:rPr>
          <w:sz w:val="16"/>
        </w:rPr>
      </w:pPr>
    </w:p>
    <w:p>
      <w:pPr>
        <w:pStyle w:val="BodyText"/>
        <w:spacing w:line="276" w:lineRule="auto" w:before="1"/>
        <w:ind w:left="750" w:hanging="243"/>
        <w:rPr>
          <w:rFonts w:ascii="Consolas" w:hAnsi="Consolas"/>
        </w:rPr>
      </w:pPr>
      <w:r>
        <w:rPr>
          <w:rFonts w:ascii="Consolas" w:hAnsi="Consolas"/>
        </w:rPr>
        <w:t>&lt;queryTable xmlns="…" name="Northwind Orders" rowNumbers="1" growShrinkType="overwriteClear" connectionId="1" autoFormatId="16" applyNumberFormats="0" applyBorderFormats="0" applyFontFormats="0" applyPatternFormats="0" applyAlignmentFormats="0" applyWidthHeightFormats="0"&gt;</w:t>
      </w:r>
    </w:p>
    <w:p>
      <w:pPr>
        <w:pStyle w:val="BodyText"/>
        <w:ind w:right="6182"/>
        <w:jc w:val="right"/>
        <w:rPr>
          <w:rFonts w:ascii="Consolas"/>
        </w:rPr>
      </w:pPr>
      <w:r>
        <w:rPr>
          <w:rFonts w:ascii="Consolas"/>
        </w:rPr>
        <w:t>&lt;queryTableRefresh</w:t>
      </w:r>
      <w:r>
        <w:rPr>
          <w:rFonts w:ascii="Consolas"/>
          <w:spacing w:val="-22"/>
        </w:rPr>
        <w:t> </w:t>
      </w:r>
      <w:r>
        <w:rPr>
          <w:rFonts w:ascii="Consolas"/>
        </w:rPr>
        <w:t>nextId="15"&gt;</w:t>
      </w:r>
    </w:p>
    <w:p>
      <w:pPr>
        <w:pStyle w:val="BodyText"/>
        <w:spacing w:before="40"/>
        <w:ind w:right="6183"/>
        <w:jc w:val="right"/>
        <w:rPr>
          <w:rFonts w:ascii="Consolas"/>
        </w:rPr>
      </w:pPr>
      <w:r>
        <w:rPr>
          <w:rFonts w:ascii="Consolas"/>
        </w:rPr>
        <w:t>&lt;queryTableFields</w:t>
      </w:r>
      <w:r>
        <w:rPr>
          <w:rFonts w:ascii="Consolas"/>
          <w:spacing w:val="-21"/>
        </w:rPr>
        <w:t> </w:t>
      </w:r>
      <w:r>
        <w:rPr>
          <w:rFonts w:ascii="Consolas"/>
        </w:rPr>
        <w:t>count="12"&gt;</w:t>
      </w:r>
    </w:p>
    <w:p>
      <w:pPr>
        <w:pStyle w:val="BodyText"/>
        <w:spacing w:before="38"/>
        <w:ind w:left="1235"/>
        <w:rPr>
          <w:rFonts w:ascii="Consolas"/>
        </w:rPr>
      </w:pPr>
      <w:r>
        <w:rPr>
          <w:rFonts w:ascii="Consolas"/>
        </w:rPr>
        <w:t>&lt;queryTableField id="1" name="OrderID" tableColumnId="1"/&gt;</w:t>
      </w:r>
    </w:p>
    <w:p>
      <w:pPr>
        <w:pStyle w:val="BodyText"/>
        <w:spacing w:before="38"/>
        <w:ind w:left="1235"/>
        <w:rPr>
          <w:rFonts w:ascii="Consolas"/>
        </w:rPr>
      </w:pPr>
      <w:r>
        <w:rPr>
          <w:rFonts w:ascii="Consolas"/>
        </w:rPr>
        <w:t>&lt;queryTableField id="2" name="CustomerID"</w:t>
      </w:r>
      <w:r>
        <w:rPr>
          <w:rFonts w:ascii="Consolas"/>
          <w:spacing w:val="-34"/>
        </w:rPr>
        <w:t> </w:t>
      </w:r>
      <w:r>
        <w:rPr>
          <w:rFonts w:ascii="Consolas"/>
        </w:rPr>
        <w:t>tableColumnId="2"/&gt;</w:t>
      </w:r>
    </w:p>
    <w:p>
      <w:pPr>
        <w:pStyle w:val="BodyText"/>
        <w:spacing w:before="40"/>
        <w:ind w:left="1235"/>
        <w:rPr>
          <w:rFonts w:ascii="Consolas"/>
        </w:rPr>
      </w:pPr>
      <w:r>
        <w:rPr>
          <w:rFonts w:ascii="Consolas"/>
        </w:rPr>
        <w:t>&lt;queryTableField id="3" name="EmployeeID"</w:t>
      </w:r>
      <w:r>
        <w:rPr>
          <w:rFonts w:ascii="Consolas"/>
          <w:spacing w:val="-44"/>
        </w:rPr>
        <w:t> </w:t>
      </w:r>
      <w:r>
        <w:rPr>
          <w:rFonts w:ascii="Consolas"/>
        </w:rPr>
        <w:t>tableColumnId="3"/&gt;</w:t>
      </w:r>
    </w:p>
    <w:p>
      <w:pPr>
        <w:pStyle w:val="BodyText"/>
        <w:spacing w:before="37"/>
        <w:ind w:left="1235"/>
        <w:rPr>
          <w:rFonts w:ascii="Consolas"/>
        </w:rPr>
      </w:pPr>
      <w:r>
        <w:rPr>
          <w:rFonts w:ascii="Consolas"/>
        </w:rPr>
        <w:t>&lt;queryTableField id="4" name="OrderDate" tableColumnId="4"/&gt;</w:t>
      </w:r>
    </w:p>
    <w:p>
      <w:pPr>
        <w:pStyle w:val="BodyText"/>
        <w:spacing w:before="40"/>
        <w:ind w:left="1235"/>
        <w:rPr>
          <w:rFonts w:ascii="Consolas"/>
        </w:rPr>
      </w:pPr>
      <w:r>
        <w:rPr>
          <w:rFonts w:ascii="Consolas"/>
        </w:rPr>
        <w:t>&lt;queryTableField id="5" name="RequiredDate" tableColumnId="5"/&gt;</w:t>
      </w:r>
    </w:p>
    <w:p>
      <w:pPr>
        <w:pStyle w:val="BodyText"/>
        <w:spacing w:before="38"/>
        <w:ind w:left="1235"/>
        <w:rPr>
          <w:rFonts w:ascii="Consolas"/>
        </w:rPr>
      </w:pPr>
      <w:r>
        <w:rPr>
          <w:rFonts w:ascii="Consolas"/>
        </w:rPr>
        <w:t>&lt;queryTableField id="6" name="ShippedDate" tableColumnId="6"/&gt;</w:t>
      </w:r>
    </w:p>
    <w:p>
      <w:pPr>
        <w:pStyle w:val="BodyText"/>
        <w:spacing w:before="40"/>
        <w:ind w:left="1235"/>
        <w:rPr>
          <w:rFonts w:ascii="Consolas"/>
        </w:rPr>
      </w:pPr>
      <w:r>
        <w:rPr>
          <w:rFonts w:ascii="Consolas"/>
        </w:rPr>
        <w:t>&lt;queryTableField id="7" name="ShipName" tableColumnId="7"/&gt;</w:t>
      </w:r>
    </w:p>
    <w:p>
      <w:pPr>
        <w:pStyle w:val="BodyText"/>
        <w:spacing w:before="38"/>
        <w:ind w:left="1235"/>
        <w:rPr>
          <w:rFonts w:ascii="Consolas"/>
        </w:rPr>
      </w:pPr>
      <w:r>
        <w:rPr>
          <w:rFonts w:ascii="Consolas"/>
        </w:rPr>
        <w:t>&lt;queryTableField id="8" name="ShipAddress" tableColumnId="8"/&gt;</w:t>
      </w:r>
    </w:p>
    <w:p>
      <w:pPr>
        <w:pStyle w:val="BodyText"/>
        <w:spacing w:before="37"/>
        <w:ind w:left="1235"/>
        <w:rPr>
          <w:rFonts w:ascii="Consolas"/>
        </w:rPr>
      </w:pPr>
      <w:r>
        <w:rPr>
          <w:rFonts w:ascii="Consolas"/>
        </w:rPr>
        <w:t>&lt;queryTableField id="9" name="ShipCity" tableColumnId="9"/&gt;</w:t>
      </w:r>
    </w:p>
    <w:p>
      <w:pPr>
        <w:pStyle w:val="BodyText"/>
        <w:spacing w:before="40"/>
        <w:ind w:left="1235"/>
        <w:rPr>
          <w:rFonts w:ascii="Consolas"/>
        </w:rPr>
      </w:pPr>
      <w:r>
        <w:rPr>
          <w:rFonts w:ascii="Consolas"/>
        </w:rPr>
        <w:t>&lt;queryTableField id="10" name="ShipRegion" tableColumnId="10"/&gt;</w:t>
      </w:r>
    </w:p>
    <w:p>
      <w:pPr>
        <w:pStyle w:val="BodyText"/>
        <w:spacing w:before="38"/>
        <w:ind w:left="1235"/>
        <w:rPr>
          <w:rFonts w:ascii="Consolas"/>
        </w:rPr>
      </w:pPr>
      <w:r>
        <w:rPr>
          <w:rFonts w:ascii="Consolas"/>
        </w:rPr>
        <w:t>&lt;queryTableField id="11" name="ShipPostalCode" tableColumnId="11"/&gt;</w:t>
      </w:r>
    </w:p>
    <w:p>
      <w:pPr>
        <w:pStyle w:val="BodyText"/>
        <w:spacing w:before="40"/>
        <w:ind w:left="1235"/>
        <w:rPr>
          <w:rFonts w:ascii="Consolas"/>
        </w:rPr>
      </w:pPr>
      <w:r>
        <w:rPr>
          <w:rFonts w:ascii="Consolas"/>
        </w:rPr>
        <w:t>&lt;queryTableField id="12" name="ShipCountry" tableColumnId="12"/&gt;</w:t>
      </w:r>
    </w:p>
    <w:p>
      <w:pPr>
        <w:pStyle w:val="BodyText"/>
        <w:spacing w:before="38"/>
        <w:ind w:left="993"/>
        <w:rPr>
          <w:rFonts w:ascii="Consolas"/>
        </w:rPr>
      </w:pPr>
      <w:r>
        <w:rPr>
          <w:rFonts w:ascii="Consolas"/>
        </w:rPr>
        <w:t>&lt;/queryTableFields&gt;</w:t>
      </w:r>
    </w:p>
    <w:p>
      <w:pPr>
        <w:pStyle w:val="BodyText"/>
        <w:spacing w:before="40"/>
        <w:ind w:left="750"/>
        <w:rPr>
          <w:rFonts w:ascii="Consolas"/>
        </w:rPr>
      </w:pPr>
      <w:r>
        <w:rPr>
          <w:rFonts w:ascii="Consolas"/>
        </w:rPr>
        <w:t>&lt;/queryTableRefresh&gt;</w:t>
      </w:r>
    </w:p>
    <w:p>
      <w:pPr>
        <w:pStyle w:val="BodyText"/>
        <w:spacing w:before="38"/>
        <w:ind w:left="508"/>
        <w:rPr>
          <w:rFonts w:ascii="Consolas"/>
        </w:rPr>
      </w:pPr>
      <w:r>
        <w:rPr>
          <w:rFonts w:ascii="Consolas"/>
        </w:rPr>
        <w:t>&lt;/queryTable&gt;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line="278" w:lineRule="auto" w:before="148"/>
        <w:ind w:left="220" w:right="721" w:firstLine="50"/>
      </w:pPr>
      <w:r>
        <w:rPr/>
        <w:t>[</w:t>
      </w:r>
      <w:r>
        <w:rPr>
          <w:i/>
        </w:rPr>
        <w:t>Example</w:t>
      </w:r>
      <w:r>
        <w:rPr/>
        <w:t>: And here's an example of the SpreadsheetML fragment defining a query table connected to a text import:</w:t>
      </w:r>
    </w:p>
    <w:p>
      <w:pPr>
        <w:pStyle w:val="BodyText"/>
        <w:spacing w:before="2"/>
        <w:rPr>
          <w:sz w:val="16"/>
        </w:rPr>
      </w:pPr>
    </w:p>
    <w:p>
      <w:pPr>
        <w:pStyle w:val="BodyText"/>
        <w:spacing w:line="276" w:lineRule="auto" w:before="1"/>
        <w:ind w:left="750" w:right="542" w:hanging="243"/>
        <w:rPr>
          <w:rFonts w:ascii="Consolas" w:hAnsi="Consolas"/>
        </w:rPr>
      </w:pPr>
      <w:r>
        <w:rPr>
          <w:rFonts w:ascii="Consolas" w:hAnsi="Consolas"/>
        </w:rPr>
        <w:t>&lt;queryTable xmlns="…" name="data in text" connectionId="1" autoFormatId="16" applyNumberFormats="0" applyBorderFormats="0" applyFontFormats="1" applyPatternFormats="1" applyAlignmentFormats="0" applyWidthHeightFormats="0"/&gt;</w:t>
      </w:r>
    </w:p>
    <w:p>
      <w:pPr>
        <w:pStyle w:val="BodyText"/>
        <w:spacing w:line="276" w:lineRule="auto" w:before="197"/>
        <w:ind w:left="220" w:right="548"/>
      </w:pPr>
      <w:r>
        <w:rPr/>
        <w:t>Elsewhere in the spreadsheetML file, a </w:t>
      </w:r>
      <w:r>
        <w:rPr>
          <w:rFonts w:ascii="Cambria"/>
        </w:rPr>
        <w:t>connection element </w:t>
      </w:r>
      <w:r>
        <w:rPr/>
        <w:t>is defined with the name "Northwind Orders" that describes how to connect to the appropriate database to refresh data for the query table. </w:t>
      </w:r>
      <w:r>
        <w:rPr>
          <w:i/>
        </w:rPr>
        <w:t>end example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2.1 deletedField (Deleted Field)" w:id="1145"/>
      <w:bookmarkEnd w:id="1145"/>
      <w:r>
        <w:rPr>
          <w:b w:val="0"/>
        </w:rPr>
      </w:r>
      <w:bookmarkStart w:name="_bookmark380" w:id="1146"/>
      <w:bookmarkEnd w:id="1146"/>
      <w:r>
        <w:rPr>
          <w:b w:val="0"/>
        </w:rPr>
      </w:r>
      <w:bookmarkStart w:name="_bookmark380" w:id="1147"/>
      <w:bookmarkEnd w:id="1147"/>
      <w:r>
        <w:rPr>
          <w:color w:val="4F81BC"/>
        </w:rPr>
        <w:t>d</w:t>
      </w:r>
      <w:r>
        <w:rPr>
          <w:color w:val="4F81BC"/>
        </w:rPr>
        <w:t>eletedField (Deleted</w:t>
      </w:r>
      <w:r>
        <w:rPr>
          <w:color w:val="4F81BC"/>
          <w:spacing w:val="-4"/>
        </w:rPr>
        <w:t> </w:t>
      </w:r>
      <w:r>
        <w:rPr>
          <w:color w:val="4F81BC"/>
        </w:rPr>
        <w:t>Field)</w:t>
      </w:r>
    </w:p>
    <w:p>
      <w:pPr>
        <w:pStyle w:val="BodyText"/>
        <w:spacing w:line="456" w:lineRule="auto" w:before="127"/>
        <w:ind w:left="220" w:right="3903"/>
      </w:pPr>
      <w:r>
        <w:rPr/>
        <w:t>This element specifies a field that has been deleted from the query table. [</w:t>
      </w:r>
      <w:r>
        <w:rPr>
          <w:i/>
        </w:rPr>
        <w:t>Example</w:t>
      </w:r>
      <w:r>
        <w:rPr/>
        <w:t>:</w:t>
      </w:r>
    </w:p>
    <w:p>
      <w:pPr>
        <w:pStyle w:val="BodyText"/>
        <w:spacing w:line="255" w:lineRule="exact"/>
        <w:ind w:left="508"/>
        <w:rPr>
          <w:rFonts w:ascii="Consolas"/>
        </w:rPr>
      </w:pPr>
      <w:r>
        <w:rPr>
          <w:rFonts w:ascii="Consolas"/>
        </w:rPr>
        <w:t>&lt;queryTableDeletedFields count="2"&gt;</w:t>
      </w:r>
    </w:p>
    <w:p>
      <w:pPr>
        <w:pStyle w:val="BodyText"/>
        <w:spacing w:before="37"/>
        <w:ind w:left="750"/>
        <w:rPr>
          <w:rFonts w:ascii="Consolas"/>
        </w:rPr>
      </w:pPr>
      <w:r>
        <w:rPr>
          <w:rFonts w:ascii="Consolas"/>
        </w:rPr>
        <w:t>&lt;deletedField</w:t>
      </w:r>
      <w:r>
        <w:rPr>
          <w:rFonts w:ascii="Consolas"/>
          <w:spacing w:val="-21"/>
        </w:rPr>
        <w:t> </w:t>
      </w:r>
      <w:r>
        <w:rPr>
          <w:rFonts w:ascii="Consolas"/>
        </w:rPr>
        <w:t>name="ShipVia"/&gt;</w:t>
      </w:r>
    </w:p>
    <w:p>
      <w:pPr>
        <w:pStyle w:val="BodyText"/>
        <w:spacing w:before="40"/>
        <w:ind w:left="750"/>
        <w:rPr>
          <w:rFonts w:ascii="Consolas"/>
        </w:rPr>
      </w:pPr>
      <w:r>
        <w:rPr>
          <w:rFonts w:ascii="Consolas"/>
        </w:rPr>
        <w:t>&lt;deletedField</w:t>
      </w:r>
      <w:r>
        <w:rPr>
          <w:rFonts w:ascii="Consolas"/>
          <w:spacing w:val="-21"/>
        </w:rPr>
        <w:t> </w:t>
      </w:r>
      <w:r>
        <w:rPr>
          <w:rFonts w:ascii="Consolas"/>
        </w:rPr>
        <w:t>name="Freight"/&gt;</w:t>
      </w:r>
    </w:p>
    <w:p>
      <w:pPr>
        <w:pStyle w:val="BodyText"/>
        <w:spacing w:before="38"/>
        <w:ind w:left="508"/>
        <w:rPr>
          <w:rFonts w:ascii="Consolas"/>
        </w:rPr>
      </w:pPr>
      <w:r>
        <w:rPr>
          <w:rFonts w:ascii="Consolas"/>
        </w:rPr>
        <w:t>&lt;/queryTableDeletedFields&gt;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77"/>
              <w:rPr>
                <w:sz w:val="22"/>
              </w:rPr>
            </w:pPr>
            <w:r>
              <w:rPr>
                <w:rFonts w:ascii="Cambria"/>
                <w:sz w:val="22"/>
              </w:rPr>
              <w:t>name </w:t>
            </w:r>
            <w:r>
              <w:rPr>
                <w:sz w:val="22"/>
              </w:rPr>
              <w:t>(Deleted Fields Name)</w:t>
            </w:r>
          </w:p>
        </w:tc>
        <w:tc>
          <w:tcPr>
            <w:tcW w:w="8250" w:type="dxa"/>
          </w:tcPr>
          <w:p>
            <w:pPr>
              <w:pStyle w:val="TableParagraph"/>
              <w:rPr>
                <w:sz w:val="22"/>
              </w:rPr>
            </w:pPr>
            <w:r>
              <w:rPr>
                <w:sz w:val="22"/>
              </w:rPr>
              <w:t>Specifies the name of the deleted field.</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CT_DeletedField</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2.2 queryTable (Query Table)" w:id="1148"/>
      <w:bookmarkEnd w:id="1148"/>
      <w:r>
        <w:rPr>
          <w:b w:val="0"/>
        </w:rPr>
      </w:r>
      <w:bookmarkStart w:name="_bookmark381" w:id="1149"/>
      <w:bookmarkEnd w:id="1149"/>
      <w:r>
        <w:rPr>
          <w:b w:val="0"/>
        </w:rPr>
      </w:r>
      <w:bookmarkStart w:name="_bookmark381" w:id="1150"/>
      <w:bookmarkEnd w:id="1150"/>
      <w:r>
        <w:rPr>
          <w:color w:val="4F81BC"/>
        </w:rPr>
        <w:t>qu</w:t>
      </w:r>
      <w:r>
        <w:rPr>
          <w:color w:val="4F81BC"/>
        </w:rPr>
        <w:t>eryTable (Query Table)</w:t>
      </w:r>
    </w:p>
    <w:p>
      <w:pPr>
        <w:pStyle w:val="BodyText"/>
        <w:spacing w:line="276" w:lineRule="auto" w:before="124"/>
        <w:ind w:left="220" w:right="653"/>
      </w:pPr>
      <w:r>
        <w:rPr/>
        <w:t>This element specifies all the relevant properties for a query table, one query table element is stored for each query table object in the spreadsheetML document.</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spacing w:before="42"/>
              <w:ind w:right="150"/>
              <w:rPr>
                <w:sz w:val="22"/>
              </w:rPr>
            </w:pPr>
            <w:r>
              <w:rPr>
                <w:rFonts w:ascii="Cambria"/>
                <w:sz w:val="22"/>
              </w:rPr>
              <w:t>adjustColumnWidt h </w:t>
            </w:r>
            <w:r>
              <w:rPr>
                <w:sz w:val="22"/>
              </w:rPr>
              <w:t>(Adjust Column Width On Refresh)</w:t>
            </w:r>
          </w:p>
        </w:tc>
        <w:tc>
          <w:tcPr>
            <w:tcW w:w="8250" w:type="dxa"/>
          </w:tcPr>
          <w:p>
            <w:pPr>
              <w:pStyle w:val="TableParagraph"/>
              <w:ind w:right="796"/>
              <w:rPr>
                <w:sz w:val="22"/>
              </w:rPr>
            </w:pPr>
            <w:r>
              <w:rPr>
                <w:sz w:val="22"/>
              </w:rPr>
              <w:t>Specifies whether to automatically adjust column widths on refresh to fit the data retrieved. </w:t>
            </w:r>
            <w:r>
              <w:rPr>
                <w:rFonts w:ascii="Consolas"/>
                <w:sz w:val="20"/>
              </w:rPr>
              <w:t>true</w:t>
            </w:r>
            <w:r>
              <w:rPr>
                <w:rFonts w:ascii="Consolas"/>
                <w:spacing w:val="-68"/>
                <w:sz w:val="20"/>
              </w:rPr>
              <w:t> </w:t>
            </w:r>
            <w:r>
              <w:rPr>
                <w:sz w:val="22"/>
              </w:rPr>
              <w:t>if column widths should be adjusted.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354" w:hRule="atLeast"/>
        </w:trPr>
        <w:tc>
          <w:tcPr>
            <w:tcW w:w="2062" w:type="dxa"/>
          </w:tcPr>
          <w:p>
            <w:pPr>
              <w:pStyle w:val="TableParagraph"/>
              <w:spacing w:before="42"/>
              <w:ind w:left="96" w:right="90"/>
              <w:jc w:val="center"/>
              <w:rPr>
                <w:rFonts w:ascii="Cambria"/>
                <w:sz w:val="22"/>
              </w:rPr>
            </w:pPr>
            <w:r>
              <w:rPr>
                <w:rFonts w:ascii="Cambria"/>
                <w:sz w:val="22"/>
              </w:rPr>
              <w:t>applyAlignmentFor</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alignment properties.</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ind w:right="144"/>
              <w:rPr>
                <w:sz w:val="22"/>
              </w:rPr>
            </w:pPr>
            <w:r>
              <w:rPr>
                <w:rFonts w:ascii="Cambria"/>
                <w:sz w:val="22"/>
              </w:rPr>
              <w:t>mats </w:t>
            </w:r>
            <w:r>
              <w:rPr>
                <w:sz w:val="22"/>
              </w:rPr>
              <w:t>(Apply Alignment Formats)</w:t>
            </w: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spacing w:line="237" w:lineRule="auto" w:before="45"/>
              <w:ind w:right="115"/>
              <w:rPr>
                <w:sz w:val="22"/>
              </w:rPr>
            </w:pPr>
            <w:r>
              <w:rPr>
                <w:rFonts w:ascii="Cambria"/>
                <w:sz w:val="22"/>
              </w:rPr>
              <w:t>applyBorderForma ts </w:t>
            </w:r>
            <w:r>
              <w:rPr>
                <w:sz w:val="22"/>
              </w:rPr>
              <w:t>(Apply Border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border properties.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76"/>
              <w:rPr>
                <w:sz w:val="22"/>
              </w:rPr>
            </w:pPr>
            <w:r>
              <w:rPr>
                <w:rFonts w:ascii="Cambria"/>
                <w:sz w:val="22"/>
              </w:rPr>
              <w:t>applyFontFormats </w:t>
            </w:r>
            <w:r>
              <w:rPr>
                <w:sz w:val="22"/>
              </w:rPr>
              <w:t>(Apply Font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font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line="237" w:lineRule="auto" w:before="45"/>
              <w:ind w:right="112"/>
              <w:rPr>
                <w:sz w:val="22"/>
              </w:rPr>
            </w:pPr>
            <w:r>
              <w:rPr>
                <w:rFonts w:ascii="Cambria"/>
                <w:sz w:val="22"/>
              </w:rPr>
              <w:t>applyNumberForm ats </w:t>
            </w:r>
            <w:r>
              <w:rPr>
                <w:sz w:val="22"/>
              </w:rPr>
              <w:t>(Apply Number Formats)</w:t>
            </w:r>
          </w:p>
        </w:tc>
        <w:tc>
          <w:tcPr>
            <w:tcW w:w="8250" w:type="dxa"/>
          </w:tcPr>
          <w:p>
            <w:pPr>
              <w:pStyle w:val="TableParagraph"/>
              <w:rPr>
                <w:sz w:val="22"/>
              </w:rPr>
            </w:pPr>
            <w:r>
              <w:rPr>
                <w:sz w:val="22"/>
              </w:rPr>
              <w:t>If </w:t>
            </w:r>
            <w:r>
              <w:rPr>
                <w:rFonts w:ascii="Consolas"/>
                <w:sz w:val="20"/>
              </w:rPr>
              <w:t>true</w:t>
            </w:r>
            <w:r>
              <w:rPr>
                <w:rFonts w:ascii="Consolas"/>
                <w:spacing w:val="-65"/>
                <w:sz w:val="20"/>
              </w:rPr>
              <w:t> </w:t>
            </w:r>
            <w:r>
              <w:rPr>
                <w:sz w:val="22"/>
              </w:rPr>
              <w:t>apply legacy table autoformat number format properties.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83"/>
              <w:rPr>
                <w:sz w:val="22"/>
              </w:rPr>
            </w:pPr>
            <w:r>
              <w:rPr>
                <w:rFonts w:ascii="Cambria"/>
                <w:sz w:val="22"/>
              </w:rPr>
              <w:t>applyPatternForm ats </w:t>
            </w:r>
            <w:r>
              <w:rPr>
                <w:sz w:val="22"/>
              </w:rPr>
              <w:t>(Apply Pattern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pattern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spacing w:before="42"/>
              <w:ind w:right="188"/>
              <w:rPr>
                <w:sz w:val="22"/>
              </w:rPr>
            </w:pPr>
            <w:r>
              <w:rPr>
                <w:rFonts w:ascii="Cambria"/>
                <w:sz w:val="22"/>
              </w:rPr>
              <w:t>applyWidthHeight Formats </w:t>
            </w:r>
            <w:r>
              <w:rPr>
                <w:sz w:val="22"/>
              </w:rPr>
              <w:t>(Apply Width / Height Formats)</w:t>
            </w:r>
          </w:p>
        </w:tc>
        <w:tc>
          <w:tcPr>
            <w:tcW w:w="8250" w:type="dxa"/>
          </w:tcPr>
          <w:p>
            <w:pPr>
              <w:pStyle w:val="TableParagraph"/>
              <w:rPr>
                <w:sz w:val="22"/>
              </w:rPr>
            </w:pPr>
            <w:r>
              <w:rPr>
                <w:sz w:val="22"/>
              </w:rPr>
              <w:t>If </w:t>
            </w:r>
            <w:r>
              <w:rPr>
                <w:rFonts w:ascii="Consolas"/>
                <w:sz w:val="20"/>
              </w:rPr>
              <w:t>true</w:t>
            </w:r>
            <w:r>
              <w:rPr>
                <w:rFonts w:ascii="Consolas"/>
                <w:spacing w:val="-62"/>
                <w:sz w:val="20"/>
              </w:rPr>
              <w:t> </w:t>
            </w:r>
            <w:r>
              <w:rPr>
                <w:sz w:val="22"/>
              </w:rPr>
              <w:t>apply legacy table autoformat width/height properties.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spacing w:line="256" w:lineRule="exact" w:before="43"/>
              <w:rPr>
                <w:rFonts w:ascii="Cambria"/>
                <w:sz w:val="22"/>
              </w:rPr>
            </w:pPr>
            <w:r>
              <w:rPr>
                <w:rFonts w:ascii="Cambria"/>
                <w:sz w:val="22"/>
              </w:rPr>
              <w:t>autoFormatId</w:t>
            </w:r>
          </w:p>
          <w:p>
            <w:pPr>
              <w:pStyle w:val="TableParagraph"/>
              <w:spacing w:line="267" w:lineRule="exact" w:before="0"/>
              <w:rPr>
                <w:sz w:val="22"/>
              </w:rPr>
            </w:pPr>
            <w:r>
              <w:rPr>
                <w:sz w:val="22"/>
              </w:rPr>
              <w:t>(Auto Format Id)</w:t>
            </w:r>
          </w:p>
        </w:tc>
        <w:tc>
          <w:tcPr>
            <w:tcW w:w="8250" w:type="dxa"/>
          </w:tcPr>
          <w:p>
            <w:pPr>
              <w:pStyle w:val="TableParagraph"/>
              <w:rPr>
                <w:sz w:val="22"/>
              </w:rPr>
            </w:pPr>
            <w:r>
              <w:rPr>
                <w:sz w:val="22"/>
              </w:rPr>
              <w:t>Identifies which legacy table autoformat to apply.</w:t>
            </w:r>
          </w:p>
          <w:p>
            <w:pPr>
              <w:pStyle w:val="TableParagraph"/>
              <w:spacing w:before="2"/>
              <w:ind w:left="0"/>
              <w:rPr>
                <w:rFonts w:ascii="Times New Roman"/>
                <w:sz w:val="23"/>
              </w:rPr>
            </w:pPr>
          </w:p>
          <w:p>
            <w:pPr>
              <w:pStyle w:val="TableParagraph"/>
              <w:spacing w:before="0"/>
              <w:ind w:right="123"/>
              <w:rPr>
                <w:sz w:val="22"/>
              </w:rPr>
            </w:pPr>
            <w:r>
              <w:rPr>
                <w:sz w:val="22"/>
              </w:rPr>
              <w:t>Annex D contains a listing of the supported PivotTable AutoFormats, example formatting, and a sample workbook with each of those AutoFormats applied.</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6"/>
              <w:ind w:left="0"/>
              <w:rPr>
                <w:rFonts w:ascii="Times New Roman"/>
                <w:sz w:val="27"/>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9" w:hRule="atLeast"/>
        </w:trPr>
        <w:tc>
          <w:tcPr>
            <w:tcW w:w="2062" w:type="dxa"/>
          </w:tcPr>
          <w:p>
            <w:pPr>
              <w:pStyle w:val="TableParagraph"/>
              <w:spacing w:line="237" w:lineRule="auto" w:before="45"/>
              <w:ind w:right="190"/>
              <w:rPr>
                <w:sz w:val="22"/>
              </w:rPr>
            </w:pPr>
            <w:r>
              <w:rPr>
                <w:rFonts w:ascii="Cambria"/>
                <w:sz w:val="22"/>
              </w:rPr>
              <w:t>backgroundRefres h </w:t>
            </w:r>
            <w:r>
              <w:rPr>
                <w:sz w:val="22"/>
              </w:rPr>
              <w:t>(Background Refresh)</w:t>
            </w:r>
          </w:p>
        </w:tc>
        <w:tc>
          <w:tcPr>
            <w:tcW w:w="8250" w:type="dxa"/>
          </w:tcPr>
          <w:p>
            <w:pPr>
              <w:pStyle w:val="TableParagraph"/>
              <w:rPr>
                <w:sz w:val="22"/>
              </w:rPr>
            </w:pPr>
            <w:r>
              <w:rPr>
                <w:sz w:val="22"/>
              </w:rPr>
              <w:t>Specifies whether or not the query table shall try to refresh data in the background.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9" w:hRule="atLeast"/>
        </w:trPr>
        <w:tc>
          <w:tcPr>
            <w:tcW w:w="2062" w:type="dxa"/>
          </w:tcPr>
          <w:p>
            <w:pPr>
              <w:pStyle w:val="TableParagraph"/>
              <w:spacing w:line="257" w:lineRule="exact" w:before="42"/>
              <w:rPr>
                <w:rFonts w:ascii="Cambria"/>
                <w:sz w:val="22"/>
              </w:rPr>
            </w:pPr>
            <w:r>
              <w:rPr>
                <w:rFonts w:ascii="Cambria"/>
                <w:sz w:val="22"/>
              </w:rPr>
              <w:t>connectionId</w:t>
            </w:r>
          </w:p>
          <w:p>
            <w:pPr>
              <w:pStyle w:val="TableParagraph"/>
              <w:spacing w:line="268" w:lineRule="exact" w:before="0"/>
              <w:rPr>
                <w:sz w:val="22"/>
              </w:rPr>
            </w:pPr>
            <w:r>
              <w:rPr>
                <w:sz w:val="22"/>
              </w:rPr>
              <w:t>(Connection Id)</w:t>
            </w:r>
          </w:p>
        </w:tc>
        <w:tc>
          <w:tcPr>
            <w:tcW w:w="8250" w:type="dxa"/>
          </w:tcPr>
          <w:p>
            <w:pPr>
              <w:pStyle w:val="TableParagraph"/>
              <w:ind w:right="565"/>
              <w:rPr>
                <w:sz w:val="22"/>
              </w:rPr>
            </w:pPr>
            <w:r>
              <w:rPr>
                <w:sz w:val="22"/>
              </w:rPr>
              <w:t>Specifies the ID number of the external data connection to use to refresh data in the query table.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54" w:hRule="atLeast"/>
        </w:trPr>
        <w:tc>
          <w:tcPr>
            <w:tcW w:w="2062" w:type="dxa"/>
          </w:tcPr>
          <w:p>
            <w:pPr>
              <w:pStyle w:val="TableParagraph"/>
              <w:ind w:left="96" w:right="89"/>
              <w:jc w:val="center"/>
              <w:rPr>
                <w:sz w:val="22"/>
              </w:rPr>
            </w:pPr>
            <w:r>
              <w:rPr>
                <w:rFonts w:ascii="Cambria"/>
                <w:sz w:val="22"/>
              </w:rPr>
              <w:t>disableEdit </w:t>
            </w:r>
            <w:r>
              <w:rPr>
                <w:sz w:val="22"/>
              </w:rPr>
              <w:t>(Disable</w:t>
            </w:r>
          </w:p>
        </w:tc>
        <w:tc>
          <w:tcPr>
            <w:tcW w:w="8250" w:type="dxa"/>
          </w:tcPr>
          <w:p>
            <w:pPr>
              <w:pStyle w:val="TableParagraph"/>
              <w:rPr>
                <w:sz w:val="22"/>
              </w:rPr>
            </w:pPr>
            <w:r>
              <w:rPr>
                <w:sz w:val="22"/>
              </w:rPr>
              <w:t>Specifies whether the </w:t>
            </w:r>
            <w:r>
              <w:rPr>
                <w:rFonts w:ascii="Cambria"/>
                <w:sz w:val="22"/>
              </w:rPr>
              <w:t>connection </w:t>
            </w:r>
            <w:r>
              <w:rPr>
                <w:sz w:val="22"/>
              </w:rPr>
              <w:t>element used with this query table shall be editable.</w:t>
            </w:r>
          </w:p>
        </w:tc>
      </w:tr>
    </w:tbl>
    <w:p>
      <w:pPr>
        <w:spacing w:after="0"/>
        <w:rPr>
          <w:sz w:val="22"/>
        </w:rPr>
        <w:sectPr>
          <w:footerReference w:type="even" r:id="rId176"/>
          <w:footerReference w:type="default" r:id="rId177"/>
          <w:pgSz w:w="12240" w:h="15840"/>
          <w:pgMar w:footer="746" w:header="761" w:top="1340" w:bottom="940" w:left="860" w:right="700"/>
          <w:pgNumType w:start="199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sz w:val="22"/>
              </w:rPr>
              <w:t>Edit)</w:t>
            </w:r>
          </w:p>
        </w:tc>
        <w:tc>
          <w:tcPr>
            <w:tcW w:w="8250" w:type="dxa"/>
          </w:tcPr>
          <w:p>
            <w:pPr>
              <w:pStyle w:val="TableParagraph"/>
              <w:rPr>
                <w:sz w:val="22"/>
              </w:rPr>
            </w:pPr>
            <w:r>
              <w:rPr>
                <w:sz w:val="22"/>
              </w:rPr>
              <w:t>If </w:t>
            </w:r>
            <w:r>
              <w:rPr>
                <w:rFonts w:ascii="Consolas"/>
                <w:sz w:val="20"/>
              </w:rPr>
              <w:t>true</w:t>
            </w:r>
            <w:r>
              <w:rPr>
                <w:sz w:val="22"/>
              </w:rPr>
              <w:t>, then the connection is not editable.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disableRefresh</w:t>
            </w:r>
          </w:p>
          <w:p>
            <w:pPr>
              <w:pStyle w:val="TableParagraph"/>
              <w:spacing w:line="268" w:lineRule="exact" w:before="0"/>
              <w:rPr>
                <w:sz w:val="22"/>
              </w:rPr>
            </w:pPr>
            <w:r>
              <w:rPr>
                <w:sz w:val="22"/>
              </w:rPr>
              <w:t>(Disable Refresh)</w:t>
            </w:r>
          </w:p>
        </w:tc>
        <w:tc>
          <w:tcPr>
            <w:tcW w:w="8250" w:type="dxa"/>
          </w:tcPr>
          <w:p>
            <w:pPr>
              <w:pStyle w:val="TableParagraph"/>
              <w:ind w:right="106"/>
              <w:rPr>
                <w:sz w:val="22"/>
              </w:rPr>
            </w:pPr>
            <w:r>
              <w:rPr>
                <w:sz w:val="22"/>
              </w:rPr>
              <w:t>Specifies whether the query table shall be refreshable. If </w:t>
            </w:r>
            <w:r>
              <w:rPr>
                <w:rFonts w:ascii="Consolas"/>
                <w:sz w:val="20"/>
              </w:rPr>
              <w:t>true</w:t>
            </w:r>
            <w:r>
              <w:rPr>
                <w:sz w:val="22"/>
              </w:rPr>
              <w:t>, then then query table is not refreshable.</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697" w:hRule="atLeast"/>
        </w:trPr>
        <w:tc>
          <w:tcPr>
            <w:tcW w:w="2062" w:type="dxa"/>
          </w:tcPr>
          <w:p>
            <w:pPr>
              <w:pStyle w:val="TableParagraph"/>
              <w:ind w:right="180"/>
              <w:rPr>
                <w:sz w:val="22"/>
              </w:rPr>
            </w:pPr>
            <w:r>
              <w:rPr>
                <w:rFonts w:ascii="Cambria"/>
                <w:sz w:val="22"/>
              </w:rPr>
              <w:t>fillFormulas </w:t>
            </w:r>
            <w:r>
              <w:rPr>
                <w:sz w:val="22"/>
              </w:rPr>
              <w:t>(Fill Adjacent Formulas)</w:t>
            </w:r>
          </w:p>
        </w:tc>
        <w:tc>
          <w:tcPr>
            <w:tcW w:w="8250" w:type="dxa"/>
          </w:tcPr>
          <w:p>
            <w:pPr>
              <w:pStyle w:val="TableParagraph"/>
              <w:ind w:right="159"/>
              <w:rPr>
                <w:sz w:val="22"/>
              </w:rPr>
            </w:pPr>
            <w:r>
              <w:rPr>
                <w:sz w:val="22"/>
              </w:rPr>
              <w:t>Specifies whether or not formulas in columns adjacent to the query table should be filled down whenever the query table is refreshed. This is helpful since the number of rows returned by a query table refresh operation can vary.</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698" w:hRule="atLeast"/>
        </w:trPr>
        <w:tc>
          <w:tcPr>
            <w:tcW w:w="2062" w:type="dxa"/>
          </w:tcPr>
          <w:p>
            <w:pPr>
              <w:pStyle w:val="TableParagraph"/>
              <w:spacing w:before="42"/>
              <w:ind w:right="148"/>
              <w:rPr>
                <w:sz w:val="22"/>
              </w:rPr>
            </w:pPr>
            <w:r>
              <w:rPr>
                <w:rFonts w:ascii="Cambria"/>
                <w:sz w:val="22"/>
              </w:rPr>
              <w:t>firstBackgroundRe fresh </w:t>
            </w:r>
            <w:r>
              <w:rPr>
                <w:sz w:val="22"/>
              </w:rPr>
              <w:t>(First Background Refresh)</w:t>
            </w:r>
          </w:p>
        </w:tc>
        <w:tc>
          <w:tcPr>
            <w:tcW w:w="8250" w:type="dxa"/>
          </w:tcPr>
          <w:p>
            <w:pPr>
              <w:pStyle w:val="TableParagraph"/>
              <w:ind w:right="298"/>
              <w:rPr>
                <w:sz w:val="22"/>
              </w:rPr>
            </w:pPr>
            <w:r>
              <w:rPr>
                <w:sz w:val="22"/>
              </w:rPr>
              <w:t>Specifies whether or not data has ever been refreshed for this query table. If the very first background data refresh had not completed at the time the file was saved, this attribute is set to </w:t>
            </w:r>
            <w:r>
              <w:rPr>
                <w:rFonts w:ascii="Consolas"/>
                <w:sz w:val="20"/>
              </w:rPr>
              <w:t>true</w:t>
            </w:r>
            <w:r>
              <w:rPr>
                <w:sz w:val="22"/>
              </w:rPr>
              <w: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503" w:hRule="atLeast"/>
        </w:trPr>
        <w:tc>
          <w:tcPr>
            <w:tcW w:w="2062" w:type="dxa"/>
          </w:tcPr>
          <w:p>
            <w:pPr>
              <w:pStyle w:val="TableParagraph"/>
              <w:spacing w:line="256" w:lineRule="exact" w:before="42"/>
              <w:rPr>
                <w:rFonts w:ascii="Cambria"/>
                <w:sz w:val="22"/>
              </w:rPr>
            </w:pPr>
            <w:r>
              <w:rPr>
                <w:rFonts w:ascii="Cambria"/>
                <w:sz w:val="22"/>
              </w:rPr>
              <w:t>growShrinkType</w:t>
            </w:r>
          </w:p>
          <w:p>
            <w:pPr>
              <w:pStyle w:val="TableParagraph"/>
              <w:spacing w:line="267" w:lineRule="exact" w:before="0"/>
              <w:rPr>
                <w:sz w:val="22"/>
              </w:rPr>
            </w:pPr>
            <w:r>
              <w:rPr>
                <w:sz w:val="22"/>
              </w:rPr>
              <w:t>(Grow Shrink Type)</w:t>
            </w:r>
          </w:p>
        </w:tc>
        <w:tc>
          <w:tcPr>
            <w:tcW w:w="8250" w:type="dxa"/>
          </w:tcPr>
          <w:p>
            <w:pPr>
              <w:pStyle w:val="TableParagraph"/>
              <w:ind w:right="498"/>
              <w:rPr>
                <w:sz w:val="22"/>
              </w:rPr>
            </w:pPr>
            <w:r>
              <w:rPr>
                <w:sz w:val="22"/>
              </w:rPr>
              <w:t>Specifies the type of behavior expected for dealing with a variable number of rows of data in the query table between refresh operations.</w:t>
            </w:r>
          </w:p>
          <w:p>
            <w:pPr>
              <w:pStyle w:val="TableParagraph"/>
              <w:spacing w:before="2"/>
              <w:ind w:left="0"/>
              <w:rPr>
                <w:rFonts w:ascii="Times New Roman"/>
                <w:sz w:val="23"/>
              </w:rPr>
            </w:pPr>
          </w:p>
          <w:p>
            <w:pPr>
              <w:pStyle w:val="TableParagraph"/>
              <w:spacing w:before="0"/>
              <w:ind w:right="731"/>
              <w:rPr>
                <w:sz w:val="22"/>
              </w:rPr>
            </w:pPr>
            <w:r>
              <w:rPr>
                <w:sz w:val="22"/>
              </w:rPr>
              <w:t>The meaning of the possible values of this attribute {</w:t>
            </w:r>
            <w:r>
              <w:rPr>
                <w:rFonts w:ascii="Consolas"/>
                <w:sz w:val="20"/>
              </w:rPr>
              <w:t>insertClear</w:t>
            </w:r>
            <w:r>
              <w:rPr>
                <w:rFonts w:ascii="Cambria"/>
                <w:sz w:val="22"/>
              </w:rPr>
              <w:t>, </w:t>
            </w:r>
            <w:r>
              <w:rPr>
                <w:rFonts w:ascii="Consolas"/>
                <w:sz w:val="20"/>
              </w:rPr>
              <w:t>insertDelete</w:t>
            </w:r>
            <w:r>
              <w:rPr>
                <w:rFonts w:ascii="Cambria"/>
                <w:sz w:val="22"/>
              </w:rPr>
              <w:t>, </w:t>
            </w:r>
            <w:r>
              <w:rPr>
                <w:rFonts w:ascii="Consolas"/>
                <w:sz w:val="20"/>
              </w:rPr>
              <w:t>overwriteClear</w:t>
            </w:r>
            <w:r>
              <w:rPr>
                <w:rFonts w:ascii="Cambria"/>
                <w:sz w:val="22"/>
              </w:rPr>
              <w:t>} </w:t>
            </w:r>
            <w:r>
              <w:rPr>
                <w:sz w:val="22"/>
              </w:rPr>
              <w:t>are explained in detail in the definition of the simple type.</w:t>
            </w:r>
          </w:p>
          <w:p>
            <w:pPr>
              <w:pStyle w:val="TableParagraph"/>
              <w:spacing w:before="0"/>
              <w:ind w:left="0"/>
              <w:rPr>
                <w:rFonts w:ascii="Times New Roman"/>
                <w:sz w:val="26"/>
              </w:rPr>
            </w:pPr>
          </w:p>
          <w:p>
            <w:pPr>
              <w:pStyle w:val="TableParagraph"/>
              <w:spacing w:before="9"/>
              <w:ind w:left="0"/>
              <w:rPr>
                <w:rFonts w:ascii="Times New Roman"/>
                <w:sz w:val="20"/>
              </w:rPr>
            </w:pPr>
          </w:p>
          <w:p>
            <w:pPr>
              <w:pStyle w:val="TableParagraph"/>
              <w:spacing w:before="1"/>
              <w:ind w:right="101"/>
              <w:rPr>
                <w:sz w:val="22"/>
              </w:rPr>
            </w:pPr>
            <w:r>
              <w:rPr>
                <w:sz w:val="22"/>
              </w:rPr>
              <w:t>The possible values for this attribute are defined by the </w:t>
            </w:r>
            <w:r>
              <w:rPr>
                <w:rFonts w:ascii="Cambria" w:hAnsi="Cambria"/>
                <w:sz w:val="22"/>
              </w:rPr>
              <w:t>ST_GrowShrinkType </w:t>
            </w:r>
            <w:r>
              <w:rPr>
                <w:sz w:val="22"/>
              </w:rPr>
              <w:t>simple type </w:t>
            </w:r>
            <w:hyperlink w:history="true" w:anchor="_bookmark861">
              <w:r>
                <w:rPr>
                  <w:sz w:val="22"/>
                </w:rPr>
                <w:t>(§18.18.39</w:t>
              </w:r>
            </w:hyperlink>
            <w:r>
              <w:rPr>
                <w:sz w:val="22"/>
              </w:rPr>
              <w:t>).</w:t>
            </w:r>
          </w:p>
        </w:tc>
      </w:tr>
      <w:tr>
        <w:trPr>
          <w:trHeight w:val="1158" w:hRule="atLeast"/>
        </w:trPr>
        <w:tc>
          <w:tcPr>
            <w:tcW w:w="2062" w:type="dxa"/>
          </w:tcPr>
          <w:p>
            <w:pPr>
              <w:pStyle w:val="TableParagraph"/>
              <w:ind w:right="220"/>
              <w:rPr>
                <w:sz w:val="22"/>
              </w:rPr>
            </w:pPr>
            <w:r>
              <w:rPr>
                <w:rFonts w:ascii="Cambria"/>
                <w:sz w:val="22"/>
              </w:rPr>
              <w:t>headers </w:t>
            </w:r>
            <w:r>
              <w:rPr>
                <w:sz w:val="22"/>
              </w:rPr>
              <w:t>(First Row Column Titles)</w:t>
            </w:r>
          </w:p>
        </w:tc>
        <w:tc>
          <w:tcPr>
            <w:tcW w:w="8250" w:type="dxa"/>
          </w:tcPr>
          <w:p>
            <w:pPr>
              <w:pStyle w:val="TableParagraph"/>
              <w:rPr>
                <w:sz w:val="22"/>
              </w:rPr>
            </w:pPr>
            <w:r>
              <w:rPr>
                <w:sz w:val="22"/>
              </w:rPr>
              <w:t>Specifies whether or not the query table has first row with column titles.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8" w:hRule="atLeast"/>
        </w:trPr>
        <w:tc>
          <w:tcPr>
            <w:tcW w:w="2062" w:type="dxa"/>
          </w:tcPr>
          <w:p>
            <w:pPr>
              <w:pStyle w:val="TableParagraph"/>
              <w:spacing w:line="257" w:lineRule="exact" w:before="42"/>
              <w:rPr>
                <w:rFonts w:ascii="Cambria"/>
                <w:sz w:val="22"/>
              </w:rPr>
            </w:pPr>
            <w:r>
              <w:rPr>
                <w:rFonts w:ascii="Cambria"/>
                <w:sz w:val="22"/>
              </w:rPr>
              <w:t>intermediate</w:t>
            </w:r>
          </w:p>
          <w:p>
            <w:pPr>
              <w:pStyle w:val="TableParagraph"/>
              <w:spacing w:line="268" w:lineRule="exact" w:before="0"/>
              <w:rPr>
                <w:sz w:val="22"/>
              </w:rPr>
            </w:pPr>
            <w:r>
              <w:rPr>
                <w:sz w:val="22"/>
              </w:rPr>
              <w:t>(Intermediate)</w:t>
            </w:r>
          </w:p>
        </w:tc>
        <w:tc>
          <w:tcPr>
            <w:tcW w:w="8250" w:type="dxa"/>
          </w:tcPr>
          <w:p>
            <w:pPr>
              <w:pStyle w:val="TableParagraph"/>
              <w:ind w:right="399"/>
              <w:rPr>
                <w:sz w:val="22"/>
              </w:rPr>
            </w:pPr>
            <w:r>
              <w:rPr>
                <w:sz w:val="22"/>
              </w:rPr>
              <w:t>Specifies whether this query table is in an intermediate state, having been defined but not fully formed and populated with data.</w:t>
            </w:r>
          </w:p>
          <w:p>
            <w:pPr>
              <w:pStyle w:val="TableParagraph"/>
              <w:spacing w:before="5"/>
              <w:ind w:left="0"/>
              <w:rPr>
                <w:rFonts w:ascii="Times New Roman"/>
                <w:sz w:val="23"/>
              </w:rPr>
            </w:pPr>
          </w:p>
          <w:p>
            <w:pPr>
              <w:pStyle w:val="TableParagraph"/>
              <w:spacing w:before="0"/>
              <w:rPr>
                <w:sz w:val="22"/>
              </w:rPr>
            </w:pPr>
            <w:r>
              <w:rPr>
                <w:sz w:val="22"/>
              </w:rPr>
              <w:t>In this state, fields and ranges of the query table can be unknown.</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23" w:hRule="atLeast"/>
        </w:trPr>
        <w:tc>
          <w:tcPr>
            <w:tcW w:w="2062" w:type="dxa"/>
          </w:tcPr>
          <w:p>
            <w:pPr>
              <w:pStyle w:val="TableParagraph"/>
              <w:ind w:right="243"/>
              <w:rPr>
                <w:sz w:val="22"/>
              </w:rPr>
            </w:pPr>
            <w:r>
              <w:rPr>
                <w:rFonts w:ascii="Cambria"/>
                <w:sz w:val="22"/>
              </w:rPr>
              <w:t>name </w:t>
            </w:r>
            <w:r>
              <w:rPr>
                <w:sz w:val="22"/>
              </w:rPr>
              <w:t>(QueryTable Name)</w:t>
            </w:r>
          </w:p>
        </w:tc>
        <w:tc>
          <w:tcPr>
            <w:tcW w:w="8250" w:type="dxa"/>
          </w:tcPr>
          <w:p>
            <w:pPr>
              <w:pStyle w:val="TableParagraph"/>
              <w:rPr>
                <w:sz w:val="22"/>
              </w:rPr>
            </w:pPr>
            <w:r>
              <w:rPr>
                <w:sz w:val="22"/>
              </w:rPr>
              <w:t>Specifies the name of the query table.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spacing w:before="42"/>
              <w:ind w:right="136"/>
              <w:rPr>
                <w:sz w:val="22"/>
              </w:rPr>
            </w:pPr>
            <w:r>
              <w:rPr>
                <w:rFonts w:ascii="Cambria"/>
                <w:sz w:val="22"/>
              </w:rPr>
              <w:t>preserveFormattin g </w:t>
            </w:r>
            <w:r>
              <w:rPr>
                <w:sz w:val="22"/>
              </w:rPr>
              <w:t>(Preserve Formatting On Refresh)</w:t>
            </w:r>
          </w:p>
        </w:tc>
        <w:tc>
          <w:tcPr>
            <w:tcW w:w="8250" w:type="dxa"/>
          </w:tcPr>
          <w:p>
            <w:pPr>
              <w:pStyle w:val="TableParagraph"/>
              <w:ind w:right="461"/>
              <w:rPr>
                <w:sz w:val="22"/>
              </w:rPr>
            </w:pPr>
            <w:r>
              <w:rPr>
                <w:sz w:val="22"/>
              </w:rPr>
              <w:t>Specifies whether the application should try to preserve formatting in the query table and copy this formatting to any new rows of data.</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line="257" w:lineRule="exact" w:before="42"/>
              <w:rPr>
                <w:rFonts w:ascii="Cambria"/>
                <w:sz w:val="22"/>
              </w:rPr>
            </w:pPr>
            <w:r>
              <w:rPr>
                <w:rFonts w:ascii="Cambria"/>
                <w:sz w:val="22"/>
              </w:rPr>
              <w:t>refreshOnLoad</w:t>
            </w:r>
          </w:p>
          <w:p>
            <w:pPr>
              <w:pStyle w:val="TableParagraph"/>
              <w:spacing w:line="268" w:lineRule="exact" w:before="0"/>
              <w:rPr>
                <w:sz w:val="22"/>
              </w:rPr>
            </w:pPr>
            <w:r>
              <w:rPr>
                <w:sz w:val="22"/>
              </w:rPr>
              <w:t>(Refresh On Load)</w:t>
            </w:r>
          </w:p>
        </w:tc>
        <w:tc>
          <w:tcPr>
            <w:tcW w:w="8250" w:type="dxa"/>
          </w:tcPr>
          <w:p>
            <w:pPr>
              <w:pStyle w:val="TableParagraph"/>
              <w:ind w:right="1076"/>
              <w:rPr>
                <w:sz w:val="22"/>
              </w:rPr>
            </w:pPr>
            <w:r>
              <w:rPr>
                <w:sz w:val="22"/>
              </w:rPr>
              <w:t>Specifies whether the query table shall refresh its data automatically when the spreadsheetML document is loaded or opened.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502" w:hRule="atLeast"/>
        </w:trPr>
        <w:tc>
          <w:tcPr>
            <w:tcW w:w="2062" w:type="dxa"/>
          </w:tcPr>
          <w:p>
            <w:pPr>
              <w:pStyle w:val="TableParagraph"/>
              <w:spacing w:line="237" w:lineRule="auto" w:before="45"/>
              <w:ind w:right="187"/>
              <w:jc w:val="both"/>
              <w:rPr>
                <w:sz w:val="22"/>
              </w:rPr>
            </w:pPr>
            <w:r>
              <w:rPr>
                <w:rFonts w:ascii="Cambria"/>
                <w:sz w:val="22"/>
              </w:rPr>
              <w:t>removeDataOnSav e </w:t>
            </w:r>
            <w:r>
              <w:rPr>
                <w:sz w:val="22"/>
              </w:rPr>
              <w:t>(Remove Data On Save)</w:t>
            </w:r>
          </w:p>
        </w:tc>
        <w:tc>
          <w:tcPr>
            <w:tcW w:w="8250" w:type="dxa"/>
          </w:tcPr>
          <w:p>
            <w:pPr>
              <w:pStyle w:val="TableParagraph"/>
              <w:ind w:right="374"/>
              <w:rPr>
                <w:sz w:val="22"/>
              </w:rPr>
            </w:pPr>
            <w:r>
              <w:rPr>
                <w:sz w:val="22"/>
              </w:rPr>
              <w:t>Specifies whether the query table shall remove all data from the worksheet before the spreadsheetML document is saved.</w:t>
            </w:r>
          </w:p>
          <w:p>
            <w:pPr>
              <w:pStyle w:val="TableParagraph"/>
              <w:spacing w:before="2"/>
              <w:ind w:left="0"/>
              <w:rPr>
                <w:rFonts w:ascii="Times New Roman"/>
                <w:sz w:val="23"/>
              </w:rPr>
            </w:pPr>
          </w:p>
          <w:p>
            <w:pPr>
              <w:pStyle w:val="TableParagraph"/>
              <w:spacing w:before="0"/>
              <w:ind w:right="316"/>
              <w:rPr>
                <w:sz w:val="22"/>
              </w:rPr>
            </w:pPr>
            <w:r>
              <w:rPr>
                <w:sz w:val="22"/>
              </w:rPr>
              <w:t>This is very helpful for situations where people who have different permissions to view data want to share the same spreadsheetML document. All data from the last user is removed, and new users re-query the external data sources with their own credentials.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ind w:right="163"/>
              <w:rPr>
                <w:sz w:val="22"/>
              </w:rPr>
            </w:pPr>
            <w:r>
              <w:rPr>
                <w:rFonts w:ascii="Cambria"/>
                <w:sz w:val="22"/>
              </w:rPr>
              <w:t>rowNumbers </w:t>
            </w:r>
            <w:r>
              <w:rPr>
                <w:sz w:val="22"/>
              </w:rPr>
              <w:t>(Row Numbers)</w:t>
            </w:r>
          </w:p>
        </w:tc>
        <w:tc>
          <w:tcPr>
            <w:tcW w:w="8250" w:type="dxa"/>
          </w:tcPr>
          <w:p>
            <w:pPr>
              <w:pStyle w:val="TableParagraph"/>
              <w:rPr>
                <w:sz w:val="22"/>
              </w:rPr>
            </w:pPr>
            <w:r>
              <w:rPr>
                <w:sz w:val="22"/>
              </w:rPr>
              <w:t>Specifies whether the query table shall include a first column of row numbers.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rFonts w:ascii="Times New Roman"/>
          <w:sz w:val="20"/>
        </w:rPr>
      </w:pPr>
    </w:p>
    <w:p>
      <w:pPr>
        <w:pStyle w:val="BodyText"/>
        <w:spacing w:before="4"/>
        <w:rPr>
          <w:rFonts w:ascii="Times New Roman"/>
          <w:sz w:val="19"/>
        </w:rPr>
      </w:pPr>
    </w:p>
    <w:p>
      <w:pPr>
        <w:pStyle w:val="BodyText"/>
        <w:spacing w:line="276" w:lineRule="auto" w:before="56"/>
        <w:ind w:left="220" w:right="447"/>
      </w:pPr>
      <w:r>
        <w:rPr/>
        <w:t>[</w:t>
      </w:r>
      <w:r>
        <w:rPr>
          <w:i/>
        </w:rPr>
        <w:t>Note</w:t>
      </w:r>
      <w:r>
        <w:rPr/>
        <w:t>: The W3C XML Schema definition of this element’s content model (</w:t>
      </w:r>
      <w:r>
        <w:rPr>
          <w:color w:val="5F5F5F"/>
          <w:u w:val="single" w:color="5F5F5F"/>
        </w:rPr>
        <w:t>CT_QueryTable</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2.3 queryTableDeletedFields (Deleted" w:id="1151"/>
      <w:bookmarkEnd w:id="1151"/>
      <w:r>
        <w:rPr>
          <w:b w:val="0"/>
        </w:rPr>
      </w:r>
      <w:bookmarkStart w:name="_bookmark382" w:id="1152"/>
      <w:bookmarkEnd w:id="1152"/>
      <w:r>
        <w:rPr>
          <w:b w:val="0"/>
        </w:rPr>
      </w:r>
      <w:bookmarkStart w:name="_bookmark382" w:id="1153"/>
      <w:bookmarkEnd w:id="1153"/>
      <w:r>
        <w:rPr>
          <w:color w:val="4F81BC"/>
        </w:rPr>
        <w:t>qu</w:t>
      </w:r>
      <w:r>
        <w:rPr>
          <w:color w:val="4F81BC"/>
        </w:rPr>
        <w:t>eryTableDeletedFields (Deleted</w:t>
      </w:r>
      <w:r>
        <w:rPr>
          <w:color w:val="4F81BC"/>
          <w:spacing w:val="-2"/>
        </w:rPr>
        <w:t> </w:t>
      </w:r>
      <w:r>
        <w:rPr>
          <w:color w:val="4F81BC"/>
        </w:rPr>
        <w:t>Fields)</w:t>
      </w:r>
    </w:p>
    <w:p>
      <w:pPr>
        <w:pStyle w:val="BodyText"/>
        <w:spacing w:line="276" w:lineRule="auto" w:before="124"/>
        <w:ind w:left="220" w:right="559"/>
      </w:pPr>
      <w:r>
        <w:rPr/>
        <w:t>This element is the collection for </w:t>
      </w:r>
      <w:r>
        <w:rPr>
          <w:rFonts w:ascii="Cambria" w:hAnsi="Cambria"/>
        </w:rPr>
        <w:t>deletedField </w:t>
      </w:r>
      <w:r>
        <w:rPr/>
        <w:t>(</w:t>
      </w:r>
      <w:hyperlink w:history="true" w:anchor="_bookmark380">
        <w:r>
          <w:rPr/>
          <w:t>§18.12.1</w:t>
        </w:r>
      </w:hyperlink>
      <w:r>
        <w:rPr/>
        <w:t>) elements, each of which represents a column or field that has been deleted from the query table.</w:t>
      </w:r>
    </w:p>
    <w:p>
      <w:pPr>
        <w:pStyle w:val="BodyText"/>
        <w:spacing w:before="5"/>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rPr>
      </w:pPr>
      <w:r>
        <w:rPr>
          <w:rFonts w:ascii="Consolas"/>
        </w:rPr>
        <w:t>&lt;queryTableDeletedFields count="2"&gt;</w:t>
      </w:r>
    </w:p>
    <w:p>
      <w:pPr>
        <w:pStyle w:val="BodyText"/>
        <w:spacing w:before="40"/>
        <w:ind w:left="750"/>
        <w:rPr>
          <w:rFonts w:ascii="Consolas"/>
        </w:rPr>
      </w:pPr>
      <w:r>
        <w:rPr>
          <w:rFonts w:ascii="Consolas"/>
        </w:rPr>
        <w:t>&lt;deletedField</w:t>
      </w:r>
      <w:r>
        <w:rPr>
          <w:rFonts w:ascii="Consolas"/>
          <w:spacing w:val="-21"/>
        </w:rPr>
        <w:t> </w:t>
      </w:r>
      <w:r>
        <w:rPr>
          <w:rFonts w:ascii="Consolas"/>
        </w:rPr>
        <w:t>name="ShipVia"/&gt;</w:t>
      </w:r>
    </w:p>
    <w:p>
      <w:pPr>
        <w:pStyle w:val="BodyText"/>
        <w:spacing w:before="38"/>
        <w:ind w:left="750"/>
        <w:rPr>
          <w:rFonts w:ascii="Consolas"/>
        </w:rPr>
      </w:pPr>
      <w:r>
        <w:rPr>
          <w:rFonts w:ascii="Consolas"/>
        </w:rPr>
        <w:t>&lt;deletedField</w:t>
      </w:r>
      <w:r>
        <w:rPr>
          <w:rFonts w:ascii="Consolas"/>
          <w:spacing w:val="-21"/>
        </w:rPr>
        <w:t> </w:t>
      </w:r>
      <w:r>
        <w:rPr>
          <w:rFonts w:ascii="Consolas"/>
        </w:rPr>
        <w:t>name="Freight"/&gt;</w:t>
      </w:r>
    </w:p>
    <w:p>
      <w:pPr>
        <w:pStyle w:val="BodyText"/>
        <w:spacing w:before="40"/>
        <w:ind w:left="508"/>
        <w:rPr>
          <w:rFonts w:ascii="Consolas"/>
        </w:rPr>
      </w:pPr>
      <w:r>
        <w:rPr>
          <w:rFonts w:ascii="Consolas"/>
        </w:rPr>
        <w:t>&lt;/queryTableDeletedFields&gt;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65"/>
              <w:rPr>
                <w:sz w:val="22"/>
              </w:rPr>
            </w:pPr>
            <w:r>
              <w:rPr>
                <w:rFonts w:ascii="Cambria"/>
                <w:sz w:val="22"/>
              </w:rPr>
              <w:t>count </w:t>
            </w:r>
            <w:r>
              <w:rPr>
                <w:sz w:val="22"/>
              </w:rPr>
              <w:t>(Deleted Fields Count)</w:t>
            </w:r>
          </w:p>
        </w:tc>
        <w:tc>
          <w:tcPr>
            <w:tcW w:w="8250" w:type="dxa"/>
          </w:tcPr>
          <w:p>
            <w:pPr>
              <w:pStyle w:val="TableParagraph"/>
              <w:rPr>
                <w:sz w:val="22"/>
              </w:rPr>
            </w:pPr>
            <w:r>
              <w:rPr>
                <w:sz w:val="22"/>
              </w:rPr>
              <w:t>Specifies how many deleted fields there are.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6"/>
        <w:ind w:left="220" w:right="1050"/>
      </w:pPr>
      <w:r>
        <w:rPr/>
        <w:t>[</w:t>
      </w:r>
      <w:r>
        <w:rPr>
          <w:i/>
        </w:rPr>
        <w:t>Note</w:t>
      </w:r>
      <w:r>
        <w:rPr/>
        <w:t>: The W3C XML Schema definition of this element’s content model (</w:t>
      </w:r>
      <w:r>
        <w:rPr>
          <w:color w:val="5F5F5F"/>
          <w:u w:val="single" w:color="5F5F5F"/>
        </w:rPr>
        <w:t>CT_QueryTableDeletedFields</w:t>
      </w:r>
      <w:r>
        <w:rPr/>
        <w:t>) is located in §A.2. </w:t>
      </w:r>
      <w:r>
        <w:rPr>
          <w:i/>
        </w:rPr>
        <w:t>end 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2.4 queryTableField (QueryTable Fiel" w:id="1154"/>
      <w:bookmarkEnd w:id="1154"/>
      <w:r>
        <w:rPr>
          <w:b w:val="0"/>
        </w:rPr>
      </w:r>
      <w:bookmarkStart w:name="_bookmark383" w:id="1155"/>
      <w:bookmarkEnd w:id="1155"/>
      <w:r>
        <w:rPr>
          <w:b w:val="0"/>
        </w:rPr>
      </w:r>
      <w:bookmarkStart w:name="_bookmark383" w:id="1156"/>
      <w:bookmarkEnd w:id="1156"/>
      <w:r>
        <w:rPr>
          <w:color w:val="4F81BC"/>
        </w:rPr>
        <w:t>qu</w:t>
      </w:r>
      <w:r>
        <w:rPr>
          <w:color w:val="4F81BC"/>
        </w:rPr>
        <w:t>eryTableField (QueryTable</w:t>
      </w:r>
      <w:r>
        <w:rPr>
          <w:color w:val="4F81BC"/>
          <w:spacing w:val="-2"/>
        </w:rPr>
        <w:t> </w:t>
      </w:r>
      <w:r>
        <w:rPr>
          <w:color w:val="4F81BC"/>
        </w:rPr>
        <w:t>Field)</w:t>
      </w:r>
    </w:p>
    <w:p>
      <w:pPr>
        <w:pStyle w:val="BodyText"/>
        <w:spacing w:before="127"/>
        <w:ind w:left="220"/>
      </w:pPr>
      <w:r>
        <w:rPr/>
        <w:t>This element holds the properties related to a specific field or column in a query 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02" w:hRule="atLeast"/>
        </w:trPr>
        <w:tc>
          <w:tcPr>
            <w:tcW w:w="2062" w:type="dxa"/>
          </w:tcPr>
          <w:p>
            <w:pPr>
              <w:pStyle w:val="TableParagraph"/>
              <w:ind w:right="435"/>
              <w:rPr>
                <w:sz w:val="22"/>
              </w:rPr>
            </w:pPr>
            <w:r>
              <w:rPr>
                <w:rFonts w:ascii="Cambria"/>
                <w:sz w:val="22"/>
              </w:rPr>
              <w:t>clipped </w:t>
            </w:r>
            <w:r>
              <w:rPr>
                <w:sz w:val="22"/>
              </w:rPr>
              <w:t>(Clipped Column)</w:t>
            </w:r>
          </w:p>
        </w:tc>
        <w:tc>
          <w:tcPr>
            <w:tcW w:w="8250" w:type="dxa"/>
          </w:tcPr>
          <w:p>
            <w:pPr>
              <w:pStyle w:val="TableParagraph"/>
              <w:ind w:right="840"/>
              <w:rPr>
                <w:sz w:val="22"/>
              </w:rPr>
            </w:pPr>
            <w:r>
              <w:rPr>
                <w:sz w:val="22"/>
              </w:rPr>
              <w:t>Specifies whether this field/column is currently clipped and thus not visible in the worksheet.</w:t>
            </w:r>
          </w:p>
          <w:p>
            <w:pPr>
              <w:pStyle w:val="TableParagraph"/>
              <w:spacing w:before="10"/>
              <w:ind w:left="0"/>
              <w:rPr>
                <w:sz w:val="21"/>
              </w:rPr>
            </w:pPr>
          </w:p>
          <w:p>
            <w:pPr>
              <w:pStyle w:val="TableParagraph"/>
              <w:spacing w:before="0"/>
              <w:ind w:right="218"/>
              <w:rPr>
                <w:sz w:val="22"/>
              </w:rPr>
            </w:pPr>
            <w:r>
              <w:rPr>
                <w:sz w:val="22"/>
              </w:rPr>
              <w:t>[</w:t>
            </w:r>
            <w:r>
              <w:rPr>
                <w:i/>
                <w:sz w:val="22"/>
              </w:rPr>
              <w:t>Note</w:t>
            </w:r>
            <w:r>
              <w:rPr>
                <w:sz w:val="22"/>
              </w:rPr>
              <w:t>: this state might occur for example when a query table is defined near the edge of a worksheet or other object in the spreadsheet that can't be overwritten with external data. In this case some of the fields are displayed, but not all of them. </w:t>
            </w:r>
            <w:r>
              <w:rPr>
                <w:i/>
                <w:sz w:val="22"/>
              </w:rPr>
              <w:t>end note</w:t>
            </w:r>
            <w:r>
              <w:rPr>
                <w:sz w:val="22"/>
              </w:rPr>
              <w: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353"/>
              <w:rPr>
                <w:sz w:val="22"/>
              </w:rPr>
            </w:pPr>
            <w:r>
              <w:rPr>
                <w:rFonts w:ascii="Cambria"/>
                <w:sz w:val="22"/>
              </w:rPr>
              <w:t>dataBound </w:t>
            </w:r>
            <w:r>
              <w:rPr>
                <w:sz w:val="22"/>
              </w:rPr>
              <w:t>(Data Bound Column)</w:t>
            </w:r>
          </w:p>
        </w:tc>
        <w:tc>
          <w:tcPr>
            <w:tcW w:w="8250" w:type="dxa"/>
          </w:tcPr>
          <w:p>
            <w:pPr>
              <w:pStyle w:val="TableParagraph"/>
              <w:ind w:right="235"/>
              <w:rPr>
                <w:sz w:val="22"/>
              </w:rPr>
            </w:pPr>
            <w:r>
              <w:rPr>
                <w:sz w:val="22"/>
              </w:rPr>
              <w:t>Specifies whether this column is a user-defined column or comes from the external data query. User defined columns shall be preserved during data refresh operations. User- defined columns are only supported on query tables that are attached to table objects.</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426"/>
              <w:jc w:val="both"/>
              <w:rPr>
                <w:sz w:val="22"/>
              </w:rPr>
            </w:pPr>
            <w:r>
              <w:rPr>
                <w:rFonts w:ascii="Cambria"/>
                <w:sz w:val="22"/>
              </w:rPr>
              <w:t>fillFormulas </w:t>
            </w:r>
            <w:r>
              <w:rPr>
                <w:sz w:val="22"/>
              </w:rPr>
              <w:t>(Fill This Formula On Refresh)</w:t>
            </w:r>
          </w:p>
        </w:tc>
        <w:tc>
          <w:tcPr>
            <w:tcW w:w="8250" w:type="dxa"/>
          </w:tcPr>
          <w:p>
            <w:pPr>
              <w:pStyle w:val="TableParagraph"/>
              <w:rPr>
                <w:sz w:val="22"/>
              </w:rPr>
            </w:pPr>
            <w:r>
              <w:rPr>
                <w:sz w:val="22"/>
              </w:rPr>
              <w:t>Specifies whether the formula in this field/column should be filled down on data refresh.</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rPr>
                <w:sz w:val="22"/>
              </w:rPr>
            </w:pPr>
            <w:r>
              <w:rPr>
                <w:rFonts w:ascii="Cambria"/>
                <w:sz w:val="22"/>
              </w:rPr>
              <w:t>id </w:t>
            </w:r>
            <w:r>
              <w:rPr>
                <w:sz w:val="22"/>
              </w:rPr>
              <w:t>(Field Id)</w:t>
            </w:r>
          </w:p>
        </w:tc>
        <w:tc>
          <w:tcPr>
            <w:tcW w:w="8250" w:type="dxa"/>
          </w:tcPr>
          <w:p>
            <w:pPr>
              <w:pStyle w:val="TableParagraph"/>
              <w:rPr>
                <w:sz w:val="22"/>
              </w:rPr>
            </w:pPr>
            <w:r>
              <w:rPr>
                <w:sz w:val="22"/>
              </w:rPr>
              <w:t>Specifies the unique identifier of the query table field.</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name </w:t>
            </w:r>
            <w:r>
              <w:rPr>
                <w:sz w:val="22"/>
              </w:rPr>
              <w:t>(Name)</w:t>
            </w:r>
          </w:p>
        </w:tc>
        <w:tc>
          <w:tcPr>
            <w:tcW w:w="8250" w:type="dxa"/>
          </w:tcPr>
          <w:p>
            <w:pPr>
              <w:pStyle w:val="TableParagraph"/>
              <w:rPr>
                <w:sz w:val="22"/>
              </w:rPr>
            </w:pPr>
            <w:r>
              <w:rPr>
                <w:sz w:val="22"/>
              </w:rPr>
              <w:t>Specifies the unique name of the query table field.</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892" w:hRule="atLeast"/>
        </w:trPr>
        <w:tc>
          <w:tcPr>
            <w:tcW w:w="2062" w:type="dxa"/>
          </w:tcPr>
          <w:p>
            <w:pPr>
              <w:pStyle w:val="TableParagraph"/>
              <w:ind w:right="163"/>
              <w:rPr>
                <w:sz w:val="22"/>
              </w:rPr>
            </w:pPr>
            <w:r>
              <w:rPr>
                <w:rFonts w:ascii="Cambria"/>
                <w:sz w:val="22"/>
              </w:rPr>
              <w:t>rowNumbers </w:t>
            </w:r>
            <w:r>
              <w:rPr>
                <w:sz w:val="22"/>
              </w:rPr>
              <w:t>(Row Numbers)</w:t>
            </w:r>
          </w:p>
        </w:tc>
        <w:tc>
          <w:tcPr>
            <w:tcW w:w="8250" w:type="dxa"/>
          </w:tcPr>
          <w:p>
            <w:pPr>
              <w:pStyle w:val="TableParagraph"/>
              <w:rPr>
                <w:sz w:val="22"/>
              </w:rPr>
            </w:pPr>
            <w:r>
              <w:rPr>
                <w:rFonts w:ascii="Consolas"/>
                <w:sz w:val="20"/>
              </w:rPr>
              <w:t>true</w:t>
            </w:r>
            <w:r>
              <w:rPr>
                <w:rFonts w:ascii="Consolas"/>
                <w:spacing w:val="-78"/>
                <w:sz w:val="20"/>
              </w:rPr>
              <w:t> </w:t>
            </w:r>
            <w:r>
              <w:rPr>
                <w:sz w:val="22"/>
              </w:rPr>
              <w:t>if this column contains the row numbers for the records returned.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tc>
      </w:tr>
    </w:tbl>
    <w:p>
      <w:pPr>
        <w:spacing w:after="0"/>
        <w:rPr>
          <w:rFonts w:ascii="Cambria"/>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427" w:hRule="atLeast"/>
        </w:trPr>
        <w:tc>
          <w:tcPr>
            <w:tcW w:w="2062" w:type="dxa"/>
          </w:tcPr>
          <w:p>
            <w:pPr>
              <w:pStyle w:val="TableParagraph"/>
              <w:spacing w:line="256" w:lineRule="exact" w:before="42"/>
              <w:rPr>
                <w:rFonts w:ascii="Cambria"/>
                <w:sz w:val="22"/>
              </w:rPr>
            </w:pPr>
            <w:r>
              <w:rPr>
                <w:rFonts w:ascii="Cambria"/>
                <w:sz w:val="22"/>
              </w:rPr>
              <w:t>tableColumnId</w:t>
            </w:r>
          </w:p>
          <w:p>
            <w:pPr>
              <w:pStyle w:val="TableParagraph"/>
              <w:spacing w:line="267" w:lineRule="exact" w:before="0"/>
              <w:rPr>
                <w:sz w:val="22"/>
              </w:rPr>
            </w:pPr>
            <w:r>
              <w:rPr>
                <w:sz w:val="22"/>
              </w:rPr>
              <w:t>(Table Column Id)</w:t>
            </w:r>
          </w:p>
        </w:tc>
        <w:tc>
          <w:tcPr>
            <w:tcW w:w="8250" w:type="dxa"/>
          </w:tcPr>
          <w:p>
            <w:pPr>
              <w:pStyle w:val="TableParagraph"/>
              <w:ind w:right="545"/>
              <w:rPr>
                <w:sz w:val="22"/>
              </w:rPr>
            </w:pPr>
            <w:r>
              <w:rPr>
                <w:sz w:val="22"/>
              </w:rPr>
              <w:t>Specifies the unique identifier for the table column if the query table is attached to a table object rather than just a range in the sheet.</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CT_QueryTableField</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2.5 queryTableFields (Query table fi" w:id="1157"/>
      <w:bookmarkEnd w:id="1157"/>
      <w:r>
        <w:rPr>
          <w:b w:val="0"/>
        </w:rPr>
      </w:r>
      <w:bookmarkStart w:name="_bookmark384" w:id="1158"/>
      <w:bookmarkEnd w:id="1158"/>
      <w:r>
        <w:rPr>
          <w:b w:val="0"/>
        </w:rPr>
      </w:r>
      <w:bookmarkStart w:name="_bookmark384" w:id="1159"/>
      <w:bookmarkEnd w:id="1159"/>
      <w:r>
        <w:rPr>
          <w:color w:val="4F81BC"/>
        </w:rPr>
        <w:t>qu</w:t>
      </w:r>
      <w:r>
        <w:rPr>
          <w:color w:val="4F81BC"/>
        </w:rPr>
        <w:t>eryTableFields (Query table</w:t>
      </w:r>
      <w:r>
        <w:rPr>
          <w:color w:val="4F81BC"/>
          <w:spacing w:val="-1"/>
        </w:rPr>
        <w:t> </w:t>
      </w:r>
      <w:r>
        <w:rPr>
          <w:color w:val="4F81BC"/>
        </w:rPr>
        <w:t>fields)</w:t>
      </w:r>
    </w:p>
    <w:p>
      <w:pPr>
        <w:pStyle w:val="BodyText"/>
        <w:spacing w:before="127"/>
        <w:ind w:left="220"/>
      </w:pPr>
      <w:r>
        <w:rPr/>
        <w:t>This element is the collection for </w:t>
      </w:r>
      <w:r>
        <w:rPr>
          <w:rFonts w:ascii="Cambria"/>
        </w:rPr>
        <w:t>queryTableField </w:t>
      </w:r>
      <w:r>
        <w:rPr/>
        <w:t>elements.</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spacing w:line="237" w:lineRule="auto" w:before="44"/>
              <w:ind w:right="578"/>
              <w:rPr>
                <w:sz w:val="22"/>
              </w:rPr>
            </w:pPr>
            <w:r>
              <w:rPr>
                <w:rFonts w:ascii="Cambria"/>
                <w:sz w:val="22"/>
              </w:rPr>
              <w:t>count </w:t>
            </w:r>
            <w:r>
              <w:rPr>
                <w:sz w:val="22"/>
              </w:rPr>
              <w:t>(Column Count)</w:t>
            </w:r>
          </w:p>
        </w:tc>
        <w:tc>
          <w:tcPr>
            <w:tcW w:w="8250" w:type="dxa"/>
          </w:tcPr>
          <w:p>
            <w:pPr>
              <w:pStyle w:val="TableParagraph"/>
              <w:spacing w:line="237" w:lineRule="auto" w:before="44"/>
              <w:ind w:right="617"/>
              <w:rPr>
                <w:sz w:val="22"/>
              </w:rPr>
            </w:pPr>
            <w:r>
              <w:rPr>
                <w:sz w:val="22"/>
              </w:rPr>
              <w:t>Specifies the number of columns there are in this query table. Includes both query- defined and user-defined columns, but not deleted columns.</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6"/>
        </w:rPr>
      </w:pPr>
    </w:p>
    <w:p>
      <w:pPr>
        <w:pStyle w:val="BodyText"/>
        <w:spacing w:before="188"/>
        <w:ind w:left="220"/>
      </w:pPr>
      <w:r>
        <w:rPr/>
        <w:t>[</w:t>
      </w:r>
      <w:r>
        <w:rPr>
          <w:i/>
        </w:rPr>
        <w:t>Note</w:t>
      </w:r>
      <w:r>
        <w:rPr/>
        <w:t>: The W3C XML Schema definition of this element’s content model (</w:t>
      </w:r>
      <w:r>
        <w:rPr>
          <w:color w:val="5F5F5F"/>
          <w:u w:val="single" w:color="5F5F5F"/>
        </w:rPr>
        <w:t>CT_QueryTableFields</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2.6 queryTableRefresh (QueryTable Re" w:id="1160"/>
      <w:bookmarkEnd w:id="1160"/>
      <w:r>
        <w:rPr>
          <w:b w:val="0"/>
        </w:rPr>
      </w:r>
      <w:bookmarkStart w:name="_bookmark385" w:id="1161"/>
      <w:bookmarkEnd w:id="1161"/>
      <w:r>
        <w:rPr>
          <w:b w:val="0"/>
        </w:rPr>
      </w:r>
      <w:bookmarkStart w:name="_bookmark385" w:id="1162"/>
      <w:bookmarkEnd w:id="1162"/>
      <w:r>
        <w:rPr>
          <w:color w:val="4F81BC"/>
        </w:rPr>
        <w:t>qu</w:t>
      </w:r>
      <w:r>
        <w:rPr>
          <w:color w:val="4F81BC"/>
        </w:rPr>
        <w:t>eryTableRefresh (QueryTable Refresh</w:t>
      </w:r>
      <w:r>
        <w:rPr>
          <w:color w:val="4F81BC"/>
          <w:spacing w:val="-1"/>
        </w:rPr>
        <w:t> </w:t>
      </w:r>
      <w:r>
        <w:rPr>
          <w:color w:val="4F81BC"/>
        </w:rPr>
        <w:t>Information)</w:t>
      </w:r>
    </w:p>
    <w:p>
      <w:pPr>
        <w:pStyle w:val="BodyText"/>
        <w:spacing w:before="124"/>
        <w:ind w:left="220"/>
      </w:pPr>
      <w:r>
        <w:rPr/>
        <w:t>This element contains information related to refreshing the query table.</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42"/>
              <w:ind w:right="431"/>
              <w:rPr>
                <w:sz w:val="22"/>
              </w:rPr>
            </w:pPr>
            <w:r>
              <w:rPr>
                <w:rFonts w:ascii="Cambria"/>
                <w:sz w:val="22"/>
              </w:rPr>
              <w:t>fieldIdWrapped </w:t>
            </w:r>
            <w:r>
              <w:rPr>
                <w:sz w:val="22"/>
              </w:rPr>
              <w:t>(Next Field Id Wrapped)</w:t>
            </w:r>
          </w:p>
        </w:tc>
        <w:tc>
          <w:tcPr>
            <w:tcW w:w="8250" w:type="dxa"/>
          </w:tcPr>
          <w:p>
            <w:pPr>
              <w:pStyle w:val="TableParagraph"/>
              <w:rPr>
                <w:sz w:val="22"/>
              </w:rPr>
            </w:pPr>
            <w:r>
              <w:rPr>
                <w:sz w:val="22"/>
              </w:rPr>
              <w:t>Whether or not the </w:t>
            </w:r>
            <w:r>
              <w:rPr>
                <w:rFonts w:ascii="Cambria"/>
                <w:sz w:val="22"/>
              </w:rPr>
              <w:t>idFieldNext </w:t>
            </w:r>
            <w:r>
              <w:rPr>
                <w:sz w:val="22"/>
              </w:rPr>
              <w:t>value wrapped around.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spacing w:line="237" w:lineRule="auto" w:before="45"/>
              <w:ind w:right="125"/>
              <w:jc w:val="both"/>
              <w:rPr>
                <w:sz w:val="22"/>
              </w:rPr>
            </w:pPr>
            <w:r>
              <w:rPr>
                <w:rFonts w:ascii="Cambria"/>
                <w:sz w:val="22"/>
              </w:rPr>
              <w:t>headersInLastRefr esh </w:t>
            </w:r>
            <w:r>
              <w:rPr>
                <w:sz w:val="22"/>
              </w:rPr>
              <w:t>(Headers In Last Refresh)</w:t>
            </w:r>
          </w:p>
        </w:tc>
        <w:tc>
          <w:tcPr>
            <w:tcW w:w="8250" w:type="dxa"/>
          </w:tcPr>
          <w:p>
            <w:pPr>
              <w:pStyle w:val="TableParagraph"/>
              <w:rPr>
                <w:sz w:val="22"/>
              </w:rPr>
            </w:pPr>
            <w:r>
              <w:rPr>
                <w:sz w:val="22"/>
              </w:rPr>
              <w:t>Whether or not the Query Table had titles last refresh.</w:t>
            </w:r>
          </w:p>
          <w:p>
            <w:pPr>
              <w:pStyle w:val="TableParagraph"/>
              <w:spacing w:before="1"/>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698" w:hRule="atLeast"/>
        </w:trPr>
        <w:tc>
          <w:tcPr>
            <w:tcW w:w="2062" w:type="dxa"/>
          </w:tcPr>
          <w:p>
            <w:pPr>
              <w:pStyle w:val="TableParagraph"/>
              <w:spacing w:before="42"/>
              <w:ind w:right="259"/>
              <w:jc w:val="both"/>
              <w:rPr>
                <w:sz w:val="22"/>
              </w:rPr>
            </w:pPr>
            <w:r>
              <w:rPr>
                <w:rFonts w:ascii="Cambria"/>
                <w:sz w:val="22"/>
              </w:rPr>
              <w:t>minimumVersion </w:t>
            </w:r>
            <w:r>
              <w:rPr>
                <w:sz w:val="22"/>
              </w:rPr>
              <w:t>(Minimum Refresh Version)</w:t>
            </w:r>
          </w:p>
        </w:tc>
        <w:tc>
          <w:tcPr>
            <w:tcW w:w="8250" w:type="dxa"/>
          </w:tcPr>
          <w:p>
            <w:pPr>
              <w:pStyle w:val="TableParagraph"/>
              <w:ind w:right="355"/>
              <w:rPr>
                <w:sz w:val="22"/>
              </w:rPr>
            </w:pPr>
            <w:r>
              <w:rPr>
                <w:sz w:val="22"/>
              </w:rPr>
              <w:t>For backward compatibility with legacy versions of spreadsheet applications, this attribute specifies the minimum version of the application that is expected to correctly refresh the data in the query table without any problems.</w:t>
            </w:r>
          </w:p>
          <w:p>
            <w:pPr>
              <w:pStyle w:val="TableParagraph"/>
              <w:spacing w:before="0"/>
              <w:ind w:left="0"/>
              <w:rPr>
                <w:sz w:val="22"/>
              </w:rPr>
            </w:pPr>
          </w:p>
          <w:p>
            <w:pPr>
              <w:pStyle w:val="TableParagraph"/>
              <w:spacing w:before="1"/>
              <w:ind w:right="375"/>
              <w:rPr>
                <w:sz w:val="22"/>
              </w:rPr>
            </w:pPr>
            <w:r>
              <w:rPr>
                <w:sz w:val="22"/>
              </w:rPr>
              <w:t>If this attribute is specified, an earlier version of a spreadsheet application should alert the user to the potential incompatibilities when a refresh is attempted.</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unsignedByte</w:t>
            </w:r>
          </w:p>
          <w:p>
            <w:pPr>
              <w:pStyle w:val="TableParagraph"/>
              <w:spacing w:before="0"/>
              <w:rPr>
                <w:sz w:val="22"/>
              </w:rPr>
            </w:pPr>
            <w:r>
              <w:rPr>
                <w:sz w:val="22"/>
              </w:rPr>
              <w:t>datatype.</w:t>
            </w:r>
          </w:p>
        </w:tc>
      </w:tr>
      <w:tr>
        <w:trPr>
          <w:trHeight w:val="1427" w:hRule="atLeast"/>
        </w:trPr>
        <w:tc>
          <w:tcPr>
            <w:tcW w:w="2062" w:type="dxa"/>
          </w:tcPr>
          <w:p>
            <w:pPr>
              <w:pStyle w:val="TableParagraph"/>
              <w:spacing w:line="237" w:lineRule="auto" w:before="42"/>
              <w:ind w:right="334"/>
              <w:rPr>
                <w:sz w:val="22"/>
              </w:rPr>
            </w:pPr>
            <w:r>
              <w:rPr>
                <w:rFonts w:ascii="Cambria"/>
                <w:sz w:val="22"/>
              </w:rPr>
              <w:t>nextId </w:t>
            </w:r>
            <w:r>
              <w:rPr>
                <w:sz w:val="22"/>
              </w:rPr>
              <w:t>(Next field id)</w:t>
            </w:r>
          </w:p>
        </w:tc>
        <w:tc>
          <w:tcPr>
            <w:tcW w:w="8250" w:type="dxa"/>
          </w:tcPr>
          <w:p>
            <w:pPr>
              <w:pStyle w:val="TableParagraph"/>
              <w:spacing w:line="237" w:lineRule="auto" w:before="42"/>
              <w:ind w:right="1162"/>
              <w:rPr>
                <w:sz w:val="22"/>
              </w:rPr>
            </w:pPr>
            <w:r>
              <w:rPr>
                <w:sz w:val="22"/>
              </w:rPr>
              <w:t>Specifies the next unique </w:t>
            </w:r>
            <w:r>
              <w:rPr>
                <w:rFonts w:ascii="Cambria" w:hAnsi="Cambria"/>
                <w:sz w:val="22"/>
              </w:rPr>
              <w:t>queryTableField </w:t>
            </w:r>
            <w:r>
              <w:rPr>
                <w:sz w:val="22"/>
              </w:rPr>
              <w:t>(§</w:t>
            </w:r>
            <w:hyperlink w:history="true" w:anchor="_bookmark383">
              <w:r>
                <w:rPr>
                  <w:sz w:val="22"/>
                </w:rPr>
                <w:t>18.12.4</w:t>
              </w:r>
            </w:hyperlink>
            <w:r>
              <w:rPr>
                <w:sz w:val="22"/>
              </w:rPr>
              <w:t>) </w:t>
            </w:r>
            <w:r>
              <w:rPr>
                <w:rFonts w:ascii="Cambria" w:hAnsi="Cambria"/>
                <w:sz w:val="22"/>
              </w:rPr>
              <w:t>id </w:t>
            </w:r>
            <w:r>
              <w:rPr>
                <w:sz w:val="22"/>
              </w:rPr>
              <w:t>number available for assignment.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2772" w:hRule="atLeast"/>
        </w:trPr>
        <w:tc>
          <w:tcPr>
            <w:tcW w:w="2062" w:type="dxa"/>
          </w:tcPr>
          <w:p>
            <w:pPr>
              <w:pStyle w:val="TableParagraph"/>
              <w:spacing w:line="237" w:lineRule="auto" w:before="45"/>
              <w:ind w:right="118"/>
              <w:rPr>
                <w:sz w:val="22"/>
              </w:rPr>
            </w:pPr>
            <w:r>
              <w:rPr>
                <w:rFonts w:ascii="Cambria"/>
                <w:sz w:val="22"/>
              </w:rPr>
              <w:t>preserveSortFilter Layout </w:t>
            </w:r>
            <w:r>
              <w:rPr>
                <w:sz w:val="22"/>
              </w:rPr>
              <w:t>(Preserve Sort &amp; Filter Layout)</w:t>
            </w:r>
          </w:p>
        </w:tc>
        <w:tc>
          <w:tcPr>
            <w:tcW w:w="8250" w:type="dxa"/>
          </w:tcPr>
          <w:p>
            <w:pPr>
              <w:pStyle w:val="TableParagraph"/>
              <w:ind w:right="832"/>
              <w:rPr>
                <w:sz w:val="22"/>
              </w:rPr>
            </w:pPr>
            <w:r>
              <w:rPr>
                <w:sz w:val="22"/>
              </w:rPr>
              <w:t>Specifies whether sorting, autofilter, layout, and table block formatting should be preserved for this query table across data refresh operations.</w:t>
            </w:r>
          </w:p>
          <w:p>
            <w:pPr>
              <w:pStyle w:val="TableParagraph"/>
              <w:spacing w:before="1"/>
              <w:ind w:left="0"/>
              <w:rPr>
                <w:sz w:val="22"/>
              </w:rPr>
            </w:pPr>
          </w:p>
          <w:p>
            <w:pPr>
              <w:pStyle w:val="TableParagraph"/>
              <w:spacing w:before="0"/>
              <w:rPr>
                <w:sz w:val="22"/>
              </w:rPr>
            </w:pPr>
            <w:r>
              <w:rPr>
                <w:sz w:val="22"/>
              </w:rPr>
              <w:t>If this attribute is set to </w:t>
            </w:r>
            <w:r>
              <w:rPr>
                <w:rFonts w:ascii="Consolas"/>
                <w:sz w:val="20"/>
              </w:rPr>
              <w:t>false</w:t>
            </w:r>
            <w:r>
              <w:rPr>
                <w:sz w:val="22"/>
              </w:rPr>
              <w:t>, the query table might be more or less recreated from scratch when data is refreshed. In this case, all user deleted or rearranged columns, user inserted columns that aren't bound to external data, and table column formatting are discarded.</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spacing w:before="42"/>
              <w:ind w:right="129"/>
              <w:rPr>
                <w:sz w:val="22"/>
              </w:rPr>
            </w:pPr>
            <w:r>
              <w:rPr>
                <w:rFonts w:ascii="Cambria"/>
                <w:sz w:val="22"/>
              </w:rPr>
              <w:t>unboundColumnsL eft </w:t>
            </w:r>
            <w:r>
              <w:rPr>
                <w:sz w:val="22"/>
              </w:rPr>
              <w:t>(Columns Left)</w:t>
            </w:r>
          </w:p>
        </w:tc>
        <w:tc>
          <w:tcPr>
            <w:tcW w:w="8250" w:type="dxa"/>
          </w:tcPr>
          <w:p>
            <w:pPr>
              <w:pStyle w:val="TableParagraph"/>
              <w:ind w:right="580"/>
              <w:rPr>
                <w:sz w:val="22"/>
              </w:rPr>
            </w:pPr>
            <w:r>
              <w:rPr>
                <w:sz w:val="22"/>
              </w:rPr>
              <w:t>Specifies the number of extra columns included at the left end of the field array that aren't bound to external data.</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30" w:hRule="atLeast"/>
        </w:trPr>
        <w:tc>
          <w:tcPr>
            <w:tcW w:w="2062" w:type="dxa"/>
          </w:tcPr>
          <w:p>
            <w:pPr>
              <w:pStyle w:val="TableParagraph"/>
              <w:spacing w:line="237" w:lineRule="auto" w:before="47"/>
              <w:ind w:right="125"/>
              <w:rPr>
                <w:sz w:val="22"/>
              </w:rPr>
            </w:pPr>
            <w:r>
              <w:rPr>
                <w:rFonts w:ascii="Cambria"/>
                <w:spacing w:val="-1"/>
                <w:sz w:val="22"/>
              </w:rPr>
              <w:t>unboundColumnsR </w:t>
            </w:r>
            <w:r>
              <w:rPr>
                <w:rFonts w:ascii="Cambria"/>
                <w:sz w:val="22"/>
              </w:rPr>
              <w:t>ight </w:t>
            </w:r>
            <w:r>
              <w:rPr>
                <w:sz w:val="22"/>
              </w:rPr>
              <w:t>(Columns Right)</w:t>
            </w:r>
          </w:p>
        </w:tc>
        <w:tc>
          <w:tcPr>
            <w:tcW w:w="8250" w:type="dxa"/>
          </w:tcPr>
          <w:p>
            <w:pPr>
              <w:pStyle w:val="TableParagraph"/>
              <w:spacing w:before="42"/>
              <w:ind w:right="300"/>
              <w:rPr>
                <w:sz w:val="22"/>
              </w:rPr>
            </w:pPr>
            <w:r>
              <w:rPr>
                <w:sz w:val="22"/>
              </w:rPr>
              <w:t>Specifies the number of extra columns included at the right end of the Table that aren't bound to external data.</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CT_QueryTableRefresh</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7"/>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13 External Data Connections" w:id="1163"/>
      <w:bookmarkEnd w:id="1163"/>
      <w:r>
        <w:rPr>
          <w:b w:val="0"/>
        </w:rPr>
      </w:r>
      <w:bookmarkStart w:name="_bookmark386" w:id="1164"/>
      <w:bookmarkEnd w:id="1164"/>
      <w:r>
        <w:rPr>
          <w:b w:val="0"/>
        </w:rPr>
      </w:r>
      <w:bookmarkStart w:name="_bookmark386" w:id="1165"/>
      <w:bookmarkEnd w:id="1165"/>
      <w:r>
        <w:rPr>
          <w:color w:val="4F81BC"/>
        </w:rPr>
        <w:t>E</w:t>
      </w:r>
      <w:r>
        <w:rPr>
          <w:color w:val="4F81BC"/>
        </w:rPr>
        <w:t>xternal Data</w:t>
      </w:r>
      <w:r>
        <w:rPr>
          <w:color w:val="4F81BC"/>
          <w:spacing w:val="-1"/>
        </w:rPr>
        <w:t> </w:t>
      </w:r>
      <w:r>
        <w:rPr>
          <w:color w:val="4F81BC"/>
        </w:rPr>
        <w:t>Connections</w:t>
      </w:r>
    </w:p>
    <w:p>
      <w:pPr>
        <w:pStyle w:val="BodyText"/>
        <w:spacing w:line="278" w:lineRule="auto" w:before="127"/>
        <w:ind w:left="220" w:right="495"/>
      </w:pPr>
      <w:r>
        <w:rPr/>
        <w:t>SpreadsheetML allows for the definition of top level data connection objects that describe how to retrieve data from external sources. These connection objects are independent of the constructs in the spreadsheet application that display data such as tables, PivotTables, etc.</w:t>
      </w:r>
    </w:p>
    <w:p>
      <w:pPr>
        <w:pStyle w:val="BodyText"/>
        <w:spacing w:line="276" w:lineRule="auto" w:before="194"/>
        <w:ind w:left="220" w:right="412"/>
      </w:pPr>
      <w:r>
        <w:rPr/>
        <w:t>Some information about a connection is considered part of the connection's definition. Other information is not inherently part of the connection, but it describes the way the connection is to be used by the containing workbook. Note that in many cases, the spreadsheet application does not need knowledge of the command syntax for the external data source (e.g., database query language), and simply stores a command string that was created by a data provider API (e.g., an ODBC driver).</w:t>
      </w:r>
    </w:p>
    <w:p>
      <w:pPr>
        <w:spacing w:after="0" w:line="276" w:lineRule="auto"/>
        <w:sectPr>
          <w:pgSz w:w="12240" w:h="15840"/>
          <w:pgMar w:header="763" w:footer="746" w:top="1340" w:bottom="940" w:left="860" w:right="700"/>
        </w:sectPr>
      </w:pPr>
    </w:p>
    <w:p>
      <w:pPr>
        <w:pStyle w:val="BodyText"/>
        <w:spacing w:line="276" w:lineRule="auto" w:before="90"/>
        <w:ind w:left="220" w:right="395"/>
      </w:pPr>
      <w:r>
        <w:rPr/>
        <w:t>A connection's definition can be established in a standalone connection file for easier sharing and reuse, but this reference documentation deals with the XML representation for external data connections that is directly embedded within a SpreadsheetML document. This embedded representation is expected whenever external data is used, and ensures portability of the document and continued operation of the external query in the most cases.</w:t>
      </w:r>
    </w:p>
    <w:p>
      <w:pPr>
        <w:pStyle w:val="BodyText"/>
        <w:spacing w:before="9"/>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1 connection (Connection)" w:id="1166"/>
      <w:bookmarkEnd w:id="1166"/>
      <w:r>
        <w:rPr>
          <w:b w:val="0"/>
        </w:rPr>
      </w:r>
      <w:bookmarkStart w:name="_bookmark387" w:id="1167"/>
      <w:bookmarkEnd w:id="1167"/>
      <w:r>
        <w:rPr>
          <w:b w:val="0"/>
        </w:rPr>
      </w:r>
      <w:bookmarkStart w:name="_bookmark387" w:id="1168"/>
      <w:bookmarkEnd w:id="1168"/>
      <w:r>
        <w:rPr>
          <w:color w:val="4F81BC"/>
        </w:rPr>
        <w:t>c</w:t>
      </w:r>
      <w:r>
        <w:rPr>
          <w:color w:val="4F81BC"/>
        </w:rPr>
        <w:t>onnection</w:t>
      </w:r>
      <w:r>
        <w:rPr>
          <w:color w:val="4F81BC"/>
          <w:spacing w:val="-1"/>
        </w:rPr>
        <w:t> </w:t>
      </w:r>
      <w:r>
        <w:rPr>
          <w:color w:val="4F81BC"/>
        </w:rPr>
        <w:t>(Connection)</w:t>
      </w:r>
    </w:p>
    <w:p>
      <w:pPr>
        <w:pStyle w:val="BodyText"/>
        <w:spacing w:line="276" w:lineRule="auto" w:before="122"/>
        <w:ind w:left="220" w:right="503"/>
      </w:pPr>
      <w:r>
        <w:rPr/>
        <w:t>This element contains both the definition of how to get at an external data source as well as information describing how the connection is used within the workbook. Specific constructs in a worksheet, such as OLAP formulas, QueryTables, or PivotTables make use of information in the connection to retrieve or refresh data based on default events or the user's explicit request.</w:t>
      </w:r>
    </w:p>
    <w:p>
      <w:pPr>
        <w:pStyle w:val="BodyText"/>
        <w:spacing w:before="7"/>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847" w:hRule="atLeast"/>
        </w:trPr>
        <w:tc>
          <w:tcPr>
            <w:tcW w:w="2062" w:type="dxa"/>
          </w:tcPr>
          <w:p>
            <w:pPr>
              <w:pStyle w:val="TableParagraph"/>
              <w:spacing w:before="42"/>
              <w:ind w:right="806"/>
              <w:jc w:val="both"/>
              <w:rPr>
                <w:sz w:val="22"/>
              </w:rPr>
            </w:pPr>
            <w:r>
              <w:rPr>
                <w:rFonts w:ascii="Cambria"/>
                <w:sz w:val="22"/>
              </w:rPr>
              <w:t>background </w:t>
            </w:r>
            <w:r>
              <w:rPr>
                <w:sz w:val="22"/>
              </w:rPr>
              <w:t>(Background Refresh)</w:t>
            </w:r>
          </w:p>
        </w:tc>
        <w:tc>
          <w:tcPr>
            <w:tcW w:w="8250" w:type="dxa"/>
          </w:tcPr>
          <w:p>
            <w:pPr>
              <w:pStyle w:val="TableParagraph"/>
              <w:rPr>
                <w:sz w:val="22"/>
              </w:rPr>
            </w:pPr>
            <w:r>
              <w:rPr>
                <w:sz w:val="22"/>
              </w:rPr>
              <w:t>Indicates whether the connection can be refreshed in the background (asynchronously). </w:t>
            </w:r>
            <w:r>
              <w:rPr>
                <w:rFonts w:ascii="Consolas"/>
                <w:sz w:val="20"/>
              </w:rPr>
              <w:t>true</w:t>
            </w:r>
            <w:r>
              <w:rPr>
                <w:rFonts w:ascii="Consolas"/>
                <w:spacing w:val="-81"/>
                <w:sz w:val="20"/>
              </w:rPr>
              <w:t> </w:t>
            </w:r>
            <w:r>
              <w:rPr>
                <w:sz w:val="22"/>
              </w:rPr>
              <w:t>if preferred usage of the connection is to refresh asynchronously in the background; </w:t>
            </w:r>
            <w:r>
              <w:rPr>
                <w:rFonts w:ascii="Consolas"/>
                <w:sz w:val="20"/>
              </w:rPr>
              <w:t>false</w:t>
            </w:r>
            <w:r>
              <w:rPr>
                <w:rFonts w:ascii="Consolas"/>
                <w:spacing w:val="-85"/>
                <w:sz w:val="20"/>
              </w:rPr>
              <w:t> </w:t>
            </w:r>
            <w:r>
              <w:rPr>
                <w:sz w:val="22"/>
              </w:rPr>
              <w:t>if preferred usage of the connection is to refresh synchronously in the foreground.</w:t>
            </w:r>
          </w:p>
          <w:p>
            <w:pPr>
              <w:pStyle w:val="TableParagraph"/>
              <w:spacing w:before="0"/>
              <w:ind w:left="0"/>
              <w:rPr>
                <w:sz w:val="22"/>
              </w:rPr>
            </w:pPr>
          </w:p>
          <w:p>
            <w:pPr>
              <w:pStyle w:val="TableParagraph"/>
              <w:spacing w:before="1"/>
              <w:rPr>
                <w:sz w:val="22"/>
              </w:rPr>
            </w:pPr>
            <w:r>
              <w:rPr>
                <w:sz w:val="22"/>
              </w:rPr>
              <w:t>This flag should be intentionally ignored in specific cases.</w:t>
            </w:r>
          </w:p>
          <w:p>
            <w:pPr>
              <w:pStyle w:val="TableParagraph"/>
              <w:spacing w:before="0"/>
              <w:ind w:left="0"/>
              <w:rPr>
                <w:sz w:val="22"/>
              </w:rPr>
            </w:pPr>
          </w:p>
          <w:p>
            <w:pPr>
              <w:pStyle w:val="TableParagraph"/>
              <w:spacing w:before="0"/>
              <w:ind w:right="124"/>
              <w:rPr>
                <w:sz w:val="22"/>
              </w:rPr>
            </w:pPr>
            <w:r>
              <w:rPr>
                <w:sz w:val="22"/>
              </w:rPr>
              <w:t>[</w:t>
            </w:r>
            <w:r>
              <w:rPr>
                <w:i/>
                <w:sz w:val="22"/>
              </w:rPr>
              <w:t>Example</w:t>
            </w:r>
            <w:r>
              <w:rPr>
                <w:sz w:val="22"/>
              </w:rPr>
              <w:t>: An example of when the flag would be ignored is in the case of a connection to OLAP data on Microsoft SQL Server Analysis Services, where the connection is used by both a PivotTable and also by CUBE functions within the workbook. That connection will always be refreshed synchronously by the PivotTable and will always be refreshed asynchronously by the CUBE functions. </w:t>
            </w:r>
            <w:r>
              <w:rPr>
                <w:i/>
                <w:sz w:val="22"/>
              </w:rPr>
              <w:t>end example</w:t>
            </w:r>
            <w:r>
              <w:rPr>
                <w:sz w:val="22"/>
              </w:rPr>
              <w:t>]</w:t>
            </w:r>
          </w:p>
          <w:p>
            <w:pPr>
              <w:pStyle w:val="TableParagraph"/>
              <w:spacing w:before="12"/>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spacing w:line="237" w:lineRule="auto" w:before="45"/>
              <w:ind w:right="622"/>
              <w:rPr>
                <w:sz w:val="22"/>
              </w:rPr>
            </w:pPr>
            <w:r>
              <w:rPr>
                <w:rFonts w:ascii="Cambria"/>
                <w:sz w:val="22"/>
              </w:rPr>
              <w:t>credentials </w:t>
            </w:r>
            <w:r>
              <w:rPr>
                <w:sz w:val="22"/>
              </w:rPr>
              <w:t>(Reconnection Method)</w:t>
            </w:r>
          </w:p>
        </w:tc>
        <w:tc>
          <w:tcPr>
            <w:tcW w:w="8250" w:type="dxa"/>
          </w:tcPr>
          <w:p>
            <w:pPr>
              <w:pStyle w:val="TableParagraph"/>
              <w:ind w:right="114"/>
              <w:rPr>
                <w:sz w:val="22"/>
              </w:rPr>
            </w:pPr>
            <w:r>
              <w:rPr>
                <w:sz w:val="22"/>
              </w:rPr>
              <w:t>Specifies the authentication method to be used when establishing (or re-establishing) the connection.</w:t>
            </w:r>
          </w:p>
          <w:p>
            <w:pPr>
              <w:pStyle w:val="TableParagraph"/>
              <w:spacing w:before="10"/>
              <w:ind w:left="0"/>
              <w:rPr>
                <w:sz w:val="21"/>
              </w:rPr>
            </w:pPr>
          </w:p>
          <w:p>
            <w:pPr>
              <w:pStyle w:val="TableParagraph"/>
              <w:spacing w:before="0"/>
              <w:ind w:right="539"/>
              <w:rPr>
                <w:sz w:val="22"/>
              </w:rPr>
            </w:pPr>
            <w:r>
              <w:rPr>
                <w:sz w:val="22"/>
              </w:rPr>
              <w:t>The possible values for this attribute are defined by the </w:t>
            </w:r>
            <w:r>
              <w:rPr>
                <w:rFonts w:ascii="Cambria" w:hAnsi="Cambria"/>
                <w:sz w:val="22"/>
              </w:rPr>
              <w:t>ST_CredMethod </w:t>
            </w:r>
            <w:r>
              <w:rPr>
                <w:sz w:val="22"/>
              </w:rPr>
              <w:t>simple type </w:t>
            </w:r>
            <w:hyperlink w:history="true" w:anchor="_bookmark838">
              <w:r>
                <w:rPr>
                  <w:sz w:val="22"/>
                </w:rPr>
                <w:t>(§18.18.16</w:t>
              </w:r>
            </w:hyperlink>
            <w:r>
              <w:rPr>
                <w:sz w:val="22"/>
              </w:rPr>
              <w:t>).</w:t>
            </w:r>
          </w:p>
        </w:tc>
      </w:tr>
      <w:tr>
        <w:trPr>
          <w:trHeight w:val="3041" w:hRule="atLeast"/>
        </w:trPr>
        <w:tc>
          <w:tcPr>
            <w:tcW w:w="2062" w:type="dxa"/>
          </w:tcPr>
          <w:p>
            <w:pPr>
              <w:pStyle w:val="TableParagraph"/>
              <w:ind w:right="398"/>
              <w:rPr>
                <w:sz w:val="22"/>
              </w:rPr>
            </w:pPr>
            <w:r>
              <w:rPr>
                <w:rFonts w:ascii="Cambria"/>
                <w:sz w:val="22"/>
              </w:rPr>
              <w:t>deleted </w:t>
            </w:r>
            <w:r>
              <w:rPr>
                <w:sz w:val="22"/>
              </w:rPr>
              <w:t>(Deleted Connection)</w:t>
            </w:r>
          </w:p>
        </w:tc>
        <w:tc>
          <w:tcPr>
            <w:tcW w:w="8250" w:type="dxa"/>
          </w:tcPr>
          <w:p>
            <w:pPr>
              <w:pStyle w:val="TableParagraph"/>
              <w:rPr>
                <w:sz w:val="22"/>
              </w:rPr>
            </w:pPr>
            <w:r>
              <w:rPr>
                <w:sz w:val="22"/>
              </w:rPr>
              <w:t>Indicates whether the associated workbook </w:t>
            </w:r>
            <w:r>
              <w:rPr>
                <w:rFonts w:ascii="Cambria"/>
                <w:sz w:val="22"/>
              </w:rPr>
              <w:t>connection </w:t>
            </w:r>
            <w:r>
              <w:rPr>
                <w:sz w:val="22"/>
              </w:rPr>
              <w:t>has been deleted. </w:t>
            </w:r>
            <w:r>
              <w:rPr>
                <w:rFonts w:ascii="Consolas"/>
                <w:sz w:val="20"/>
              </w:rPr>
              <w:t>true</w:t>
            </w:r>
            <w:r>
              <w:rPr>
                <w:rFonts w:ascii="Consolas"/>
                <w:spacing w:val="-74"/>
                <w:sz w:val="20"/>
              </w:rPr>
              <w:t> </w:t>
            </w:r>
            <w:r>
              <w:rPr>
                <w:sz w:val="22"/>
              </w:rPr>
              <w:t>if the</w:t>
            </w:r>
          </w:p>
          <w:p>
            <w:pPr>
              <w:pStyle w:val="TableParagraph"/>
              <w:spacing w:before="0"/>
              <w:rPr>
                <w:sz w:val="22"/>
              </w:rPr>
            </w:pPr>
            <w:r>
              <w:rPr>
                <w:rFonts w:ascii="Cambria"/>
                <w:sz w:val="22"/>
              </w:rPr>
              <w:t>connection </w:t>
            </w:r>
            <w:r>
              <w:rPr>
                <w:sz w:val="22"/>
              </w:rPr>
              <w:t>has been deleted; otherwise, </w:t>
            </w:r>
            <w:r>
              <w:rPr>
                <w:rFonts w:ascii="Consolas"/>
                <w:sz w:val="20"/>
              </w:rPr>
              <w:t>false</w:t>
            </w:r>
            <w:r>
              <w:rPr>
                <w:sz w:val="22"/>
              </w:rPr>
              <w:t>.</w:t>
            </w:r>
          </w:p>
          <w:p>
            <w:pPr>
              <w:pStyle w:val="TableParagraph"/>
              <w:spacing w:before="0"/>
              <w:ind w:left="0"/>
              <w:rPr>
                <w:sz w:val="22"/>
              </w:rPr>
            </w:pPr>
          </w:p>
          <w:p>
            <w:pPr>
              <w:pStyle w:val="TableParagraph"/>
              <w:spacing w:before="0"/>
              <w:ind w:right="683"/>
              <w:rPr>
                <w:sz w:val="22"/>
              </w:rPr>
            </w:pPr>
            <w:r>
              <w:rPr>
                <w:sz w:val="22"/>
              </w:rPr>
              <w:t>Deleted </w:t>
            </w:r>
            <w:r>
              <w:rPr>
                <w:rFonts w:ascii="Cambria"/>
                <w:sz w:val="22"/>
              </w:rPr>
              <w:t>connections </w:t>
            </w:r>
            <w:r>
              <w:rPr>
                <w:sz w:val="22"/>
              </w:rPr>
              <w:t>contain only the attributes </w:t>
            </w:r>
            <w:r>
              <w:rPr>
                <w:rFonts w:ascii="Cambria"/>
                <w:sz w:val="22"/>
              </w:rPr>
              <w:t>name </w:t>
            </w:r>
            <w:r>
              <w:rPr>
                <w:sz w:val="22"/>
              </w:rPr>
              <w:t>and </w:t>
            </w:r>
            <w:r>
              <w:rPr>
                <w:rFonts w:ascii="Cambria"/>
                <w:sz w:val="22"/>
              </w:rPr>
              <w:t>deleted</w:t>
            </w:r>
            <w:r>
              <w:rPr>
                <w:sz w:val="22"/>
              </w:rPr>
              <w:t>=</w:t>
            </w:r>
            <w:r>
              <w:rPr>
                <w:rFonts w:ascii="Consolas"/>
                <w:sz w:val="20"/>
              </w:rPr>
              <w:t>true</w:t>
            </w:r>
            <w:r>
              <w:rPr>
                <w:sz w:val="22"/>
              </w:rPr>
              <w:t>, all other information is removed from the SpreadsheetML file.</w:t>
            </w:r>
          </w:p>
          <w:p>
            <w:pPr>
              <w:pStyle w:val="TableParagraph"/>
              <w:spacing w:before="2"/>
              <w:ind w:left="0"/>
              <w:rPr>
                <w:sz w:val="22"/>
              </w:rPr>
            </w:pPr>
          </w:p>
          <w:p>
            <w:pPr>
              <w:pStyle w:val="TableParagraph"/>
              <w:spacing w:before="0"/>
              <w:ind w:right="425"/>
              <w:rPr>
                <w:sz w:val="22"/>
              </w:rPr>
            </w:pPr>
            <w:r>
              <w:rPr>
                <w:sz w:val="22"/>
              </w:rPr>
              <w:t>If a new </w:t>
            </w:r>
            <w:r>
              <w:rPr>
                <w:rFonts w:ascii="Cambria"/>
                <w:sz w:val="22"/>
              </w:rPr>
              <w:t>connection </w:t>
            </w:r>
            <w:r>
              <w:rPr>
                <w:sz w:val="22"/>
              </w:rPr>
              <w:t>is created with the same name as a deleted </w:t>
            </w:r>
            <w:r>
              <w:rPr>
                <w:rFonts w:ascii="Cambria"/>
                <w:sz w:val="22"/>
              </w:rPr>
              <w:t>connection</w:t>
            </w:r>
            <w:r>
              <w:rPr>
                <w:sz w:val="22"/>
              </w:rPr>
              <w:t>, then the deleted </w:t>
            </w:r>
            <w:r>
              <w:rPr>
                <w:rFonts w:ascii="Cambria"/>
                <w:sz w:val="22"/>
              </w:rPr>
              <w:t>connection </w:t>
            </w:r>
            <w:r>
              <w:rPr>
                <w:sz w:val="22"/>
              </w:rPr>
              <w:t>is overwritten by the new connection.</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613" w:hRule="atLeast"/>
        </w:trPr>
        <w:tc>
          <w:tcPr>
            <w:tcW w:w="2062" w:type="dxa"/>
          </w:tcPr>
          <w:p>
            <w:pPr>
              <w:pStyle w:val="TableParagraph"/>
              <w:spacing w:line="257" w:lineRule="exact" w:before="42"/>
              <w:rPr>
                <w:rFonts w:ascii="Cambria"/>
                <w:sz w:val="22"/>
              </w:rPr>
            </w:pPr>
            <w:r>
              <w:rPr>
                <w:rFonts w:ascii="Cambria"/>
                <w:sz w:val="22"/>
              </w:rPr>
              <w:t>description</w:t>
            </w:r>
          </w:p>
          <w:p>
            <w:pPr>
              <w:pStyle w:val="TableParagraph"/>
              <w:spacing w:line="268" w:lineRule="exact" w:before="0"/>
              <w:rPr>
                <w:sz w:val="22"/>
              </w:rPr>
            </w:pPr>
            <w:r>
              <w:rPr>
                <w:sz w:val="22"/>
              </w:rPr>
              <w:t>(Connection</w:t>
            </w:r>
          </w:p>
        </w:tc>
        <w:tc>
          <w:tcPr>
            <w:tcW w:w="8250" w:type="dxa"/>
          </w:tcPr>
          <w:p>
            <w:pPr>
              <w:pStyle w:val="TableParagraph"/>
              <w:rPr>
                <w:sz w:val="22"/>
              </w:rPr>
            </w:pPr>
            <w:r>
              <w:rPr>
                <w:sz w:val="22"/>
              </w:rPr>
              <w:t>Specifies the user description for this connection.</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rPr>
                <w:sz w:val="22"/>
              </w:rPr>
            </w:pPr>
            <w:r>
              <w:rPr>
                <w:sz w:val="22"/>
              </w:rPr>
              <w:t>Description)</w:t>
            </w:r>
          </w:p>
        </w:tc>
        <w:tc>
          <w:tcPr>
            <w:tcW w:w="8250" w:type="dxa"/>
          </w:tcPr>
          <w:p>
            <w:pPr>
              <w:pStyle w:val="TableParagraph"/>
              <w:spacing w:before="9"/>
              <w:ind w:left="0"/>
              <w:rPr>
                <w:rFonts w:ascii="Times New Roman"/>
                <w:sz w:val="26"/>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58" w:hRule="atLeast"/>
        </w:trPr>
        <w:tc>
          <w:tcPr>
            <w:tcW w:w="2062" w:type="dxa"/>
          </w:tcPr>
          <w:p>
            <w:pPr>
              <w:pStyle w:val="TableParagraph"/>
              <w:rPr>
                <w:sz w:val="22"/>
              </w:rPr>
            </w:pPr>
            <w:r>
              <w:rPr>
                <w:rFonts w:ascii="Cambria"/>
                <w:sz w:val="22"/>
              </w:rPr>
              <w:t>id </w:t>
            </w:r>
            <w:r>
              <w:rPr>
                <w:sz w:val="22"/>
              </w:rPr>
              <w:t>(Connection Id)</w:t>
            </w:r>
          </w:p>
        </w:tc>
        <w:tc>
          <w:tcPr>
            <w:tcW w:w="8250" w:type="dxa"/>
          </w:tcPr>
          <w:p>
            <w:pPr>
              <w:pStyle w:val="TableParagraph"/>
              <w:rPr>
                <w:sz w:val="22"/>
              </w:rPr>
            </w:pPr>
            <w:r>
              <w:rPr>
                <w:sz w:val="22"/>
              </w:rPr>
              <w:t>Specifies The unique identifier of this connection.</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430" w:hRule="atLeast"/>
        </w:trPr>
        <w:tc>
          <w:tcPr>
            <w:tcW w:w="2062" w:type="dxa"/>
          </w:tcPr>
          <w:p>
            <w:pPr>
              <w:pStyle w:val="TableParagraph"/>
              <w:ind w:right="136"/>
              <w:rPr>
                <w:sz w:val="22"/>
              </w:rPr>
            </w:pPr>
            <w:r>
              <w:rPr>
                <w:rFonts w:ascii="Cambria"/>
                <w:sz w:val="22"/>
              </w:rPr>
              <w:t>interval </w:t>
            </w:r>
            <w:r>
              <w:rPr>
                <w:sz w:val="22"/>
              </w:rPr>
              <w:t>(Automatic Refresh Interval)</w:t>
            </w:r>
          </w:p>
        </w:tc>
        <w:tc>
          <w:tcPr>
            <w:tcW w:w="8250" w:type="dxa"/>
          </w:tcPr>
          <w:p>
            <w:pPr>
              <w:pStyle w:val="TableParagraph"/>
              <w:rPr>
                <w:sz w:val="22"/>
              </w:rPr>
            </w:pPr>
            <w:r>
              <w:rPr>
                <w:sz w:val="22"/>
              </w:rPr>
              <w:t>Specifies the number of minutes between automatic refreshes of the connection. When this attribute is not present, the connection is not automatically refreshed.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2234" w:hRule="atLeast"/>
        </w:trPr>
        <w:tc>
          <w:tcPr>
            <w:tcW w:w="2062" w:type="dxa"/>
          </w:tcPr>
          <w:p>
            <w:pPr>
              <w:pStyle w:val="TableParagraph"/>
              <w:ind w:right="291"/>
              <w:rPr>
                <w:sz w:val="22"/>
              </w:rPr>
            </w:pPr>
            <w:r>
              <w:rPr>
                <w:rFonts w:ascii="Cambria"/>
                <w:sz w:val="22"/>
              </w:rPr>
              <w:t>keepAlive </w:t>
            </w:r>
            <w:r>
              <w:rPr>
                <w:sz w:val="22"/>
              </w:rPr>
              <w:t>(Keep Connection Open)</w:t>
            </w:r>
          </w:p>
        </w:tc>
        <w:tc>
          <w:tcPr>
            <w:tcW w:w="8250" w:type="dxa"/>
          </w:tcPr>
          <w:p>
            <w:pPr>
              <w:pStyle w:val="TableParagraph"/>
              <w:ind w:right="633"/>
              <w:jc w:val="both"/>
              <w:rPr>
                <w:sz w:val="22"/>
              </w:rPr>
            </w:pPr>
            <w:r>
              <w:rPr>
                <w:rFonts w:ascii="Consolas"/>
                <w:sz w:val="20"/>
              </w:rPr>
              <w:t>true</w:t>
            </w:r>
            <w:r>
              <w:rPr>
                <w:rFonts w:ascii="Consolas"/>
                <w:spacing w:val="-85"/>
                <w:sz w:val="20"/>
              </w:rPr>
              <w:t> </w:t>
            </w:r>
            <w:r>
              <w:rPr>
                <w:sz w:val="22"/>
              </w:rPr>
              <w:t>when the spreadsheet application should make efforts to keep the connection open. When </w:t>
            </w:r>
            <w:r>
              <w:rPr>
                <w:rFonts w:ascii="Consolas"/>
                <w:sz w:val="20"/>
              </w:rPr>
              <w:t>false</w:t>
            </w:r>
            <w:r>
              <w:rPr>
                <w:sz w:val="22"/>
              </w:rPr>
              <w:t>, the application should close the connection after retrieving the information. This corresponds to the MaintainConnection property of a PivotCache object.</w:t>
            </w:r>
          </w:p>
          <w:p>
            <w:pPr>
              <w:pStyle w:val="TableParagraph"/>
              <w:spacing w:before="0"/>
              <w:ind w:left="0"/>
              <w:rPr>
                <w:rFonts w:ascii="Times New Roman"/>
                <w:sz w:val="22"/>
              </w:rPr>
            </w:pPr>
          </w:p>
          <w:p>
            <w:pPr>
              <w:pStyle w:val="TableParagraph"/>
              <w:spacing w:before="7"/>
              <w:ind w:left="0"/>
              <w:rPr>
                <w:rFonts w:ascii="Times New Roman"/>
                <w:sz w:val="24"/>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spacing w:before="42"/>
              <w:ind w:right="116"/>
              <w:rPr>
                <w:sz w:val="22"/>
              </w:rPr>
            </w:pPr>
            <w:r>
              <w:rPr>
                <w:rFonts w:ascii="Cambria"/>
                <w:spacing w:val="-1"/>
                <w:sz w:val="22"/>
              </w:rPr>
              <w:t>minRefreshableVer </w:t>
            </w:r>
            <w:r>
              <w:rPr>
                <w:rFonts w:ascii="Cambria"/>
                <w:sz w:val="22"/>
              </w:rPr>
              <w:t>sion </w:t>
            </w:r>
            <w:r>
              <w:rPr>
                <w:sz w:val="22"/>
              </w:rPr>
              <w:t>(Minimum Version Required for</w:t>
            </w:r>
            <w:r>
              <w:rPr>
                <w:spacing w:val="-1"/>
                <w:sz w:val="22"/>
              </w:rPr>
              <w:t> </w:t>
            </w:r>
            <w:r>
              <w:rPr>
                <w:sz w:val="22"/>
              </w:rPr>
              <w:t>Refresh)</w:t>
            </w:r>
          </w:p>
        </w:tc>
        <w:tc>
          <w:tcPr>
            <w:tcW w:w="8250" w:type="dxa"/>
          </w:tcPr>
          <w:p>
            <w:pPr>
              <w:pStyle w:val="TableParagraph"/>
              <w:ind w:right="106"/>
              <w:rPr>
                <w:sz w:val="22"/>
              </w:rPr>
            </w:pPr>
            <w:r>
              <w:rPr>
                <w:sz w:val="22"/>
              </w:rPr>
              <w:t>For compatibility with legacy spreadsheet applications. This represents the minimum version # that is required to be able to correctly refresh the data connection. This attribute applies to connections that are used by a QueryTable.</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unsignedByte</w:t>
            </w:r>
          </w:p>
          <w:p>
            <w:pPr>
              <w:pStyle w:val="TableParagraph"/>
              <w:spacing w:before="0"/>
              <w:rPr>
                <w:sz w:val="22"/>
              </w:rPr>
            </w:pPr>
            <w:r>
              <w:rPr>
                <w:sz w:val="22"/>
              </w:rPr>
              <w:t>datatype.</w:t>
            </w:r>
          </w:p>
        </w:tc>
      </w:tr>
      <w:tr>
        <w:trPr>
          <w:trHeight w:val="1965" w:hRule="atLeast"/>
        </w:trPr>
        <w:tc>
          <w:tcPr>
            <w:tcW w:w="2062" w:type="dxa"/>
          </w:tcPr>
          <w:p>
            <w:pPr>
              <w:pStyle w:val="TableParagraph"/>
              <w:ind w:right="258"/>
              <w:rPr>
                <w:sz w:val="22"/>
              </w:rPr>
            </w:pPr>
            <w:r>
              <w:rPr>
                <w:rFonts w:ascii="Cambria"/>
                <w:sz w:val="22"/>
              </w:rPr>
              <w:t>name </w:t>
            </w:r>
            <w:r>
              <w:rPr>
                <w:sz w:val="22"/>
              </w:rPr>
              <w:t>(Connection Name)</w:t>
            </w:r>
          </w:p>
        </w:tc>
        <w:tc>
          <w:tcPr>
            <w:tcW w:w="8250" w:type="dxa"/>
          </w:tcPr>
          <w:p>
            <w:pPr>
              <w:pStyle w:val="TableParagraph"/>
              <w:rPr>
                <w:sz w:val="22"/>
              </w:rPr>
            </w:pPr>
            <w:r>
              <w:rPr>
                <w:sz w:val="22"/>
              </w:rPr>
              <w:t>Specifies the name of the </w:t>
            </w:r>
            <w:r>
              <w:rPr>
                <w:rFonts w:ascii="Cambria"/>
                <w:sz w:val="22"/>
              </w:rPr>
              <w:t>connection</w:t>
            </w:r>
            <w:r>
              <w:rPr>
                <w:sz w:val="22"/>
              </w:rPr>
              <w:t>. Each connection shall have a unique name.</w:t>
            </w:r>
          </w:p>
          <w:p>
            <w:pPr>
              <w:pStyle w:val="TableParagraph"/>
              <w:spacing w:before="4"/>
              <w:ind w:left="0"/>
              <w:rPr>
                <w:rFonts w:ascii="Times New Roman"/>
                <w:sz w:val="23"/>
              </w:rPr>
            </w:pPr>
          </w:p>
          <w:p>
            <w:pPr>
              <w:pStyle w:val="TableParagraph"/>
              <w:spacing w:before="0"/>
              <w:ind w:right="440"/>
              <w:rPr>
                <w:sz w:val="22"/>
              </w:rPr>
            </w:pPr>
            <w:r>
              <w:rPr>
                <w:sz w:val="22"/>
              </w:rPr>
              <w:t>When a </w:t>
            </w:r>
            <w:r>
              <w:rPr>
                <w:rFonts w:ascii="Cambria"/>
                <w:sz w:val="22"/>
              </w:rPr>
              <w:t>connection </w:t>
            </w:r>
            <w:r>
              <w:rPr>
                <w:sz w:val="22"/>
              </w:rPr>
              <w:t>has been marked as deleted and then a new </w:t>
            </w:r>
            <w:r>
              <w:rPr>
                <w:rFonts w:ascii="Cambria"/>
                <w:sz w:val="22"/>
              </w:rPr>
              <w:t>connection </w:t>
            </w:r>
            <w:r>
              <w:rPr>
                <w:sz w:val="22"/>
              </w:rPr>
              <w:t>is added with the same name, the deleted </w:t>
            </w:r>
            <w:r>
              <w:rPr>
                <w:rFonts w:ascii="Cambria"/>
                <w:sz w:val="22"/>
              </w:rPr>
              <w:t>connection </w:t>
            </w:r>
            <w:r>
              <w:rPr>
                <w:sz w:val="22"/>
              </w:rPr>
              <w:t>is replaced with the new </w:t>
            </w:r>
            <w:r>
              <w:rPr>
                <w:rFonts w:ascii="Cambria"/>
                <w:sz w:val="22"/>
              </w:rPr>
              <w:t>connection</w:t>
            </w:r>
            <w:r>
              <w:rPr>
                <w:sz w:val="22"/>
              </w:rPr>
              <w:t>.</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30" w:hRule="atLeast"/>
        </w:trPr>
        <w:tc>
          <w:tcPr>
            <w:tcW w:w="2062" w:type="dxa"/>
          </w:tcPr>
          <w:p>
            <w:pPr>
              <w:pStyle w:val="TableParagraph"/>
              <w:spacing w:line="237" w:lineRule="auto" w:before="44"/>
              <w:ind w:right="827"/>
              <w:rPr>
                <w:sz w:val="22"/>
              </w:rPr>
            </w:pPr>
            <w:r>
              <w:rPr>
                <w:rFonts w:ascii="Cambria"/>
                <w:sz w:val="22"/>
              </w:rPr>
              <w:t>new </w:t>
            </w:r>
            <w:r>
              <w:rPr>
                <w:sz w:val="22"/>
              </w:rPr>
              <w:t>(New Connection)</w:t>
            </w:r>
          </w:p>
        </w:tc>
        <w:tc>
          <w:tcPr>
            <w:tcW w:w="8250" w:type="dxa"/>
          </w:tcPr>
          <w:p>
            <w:pPr>
              <w:pStyle w:val="TableParagraph"/>
              <w:spacing w:line="237" w:lineRule="auto" w:before="44"/>
              <w:rPr>
                <w:sz w:val="22"/>
              </w:rPr>
            </w:pPr>
            <w:r>
              <w:rPr>
                <w:rFonts w:ascii="Consolas"/>
                <w:sz w:val="20"/>
              </w:rPr>
              <w:t>true</w:t>
            </w:r>
            <w:r>
              <w:rPr>
                <w:rFonts w:ascii="Consolas"/>
                <w:spacing w:val="-85"/>
                <w:sz w:val="20"/>
              </w:rPr>
              <w:t> </w:t>
            </w:r>
            <w:r>
              <w:rPr>
                <w:sz w:val="22"/>
              </w:rPr>
              <w:t>if the </w:t>
            </w:r>
            <w:r>
              <w:rPr>
                <w:rFonts w:ascii="Cambria"/>
                <w:sz w:val="22"/>
              </w:rPr>
              <w:t>connection </w:t>
            </w:r>
            <w:r>
              <w:rPr>
                <w:sz w:val="22"/>
              </w:rPr>
              <w:t>has not been refreshed for the first time; otherwise, </w:t>
            </w:r>
            <w:r>
              <w:rPr>
                <w:rFonts w:ascii="Consolas"/>
                <w:sz w:val="20"/>
              </w:rPr>
              <w:t>false</w:t>
            </w:r>
            <w:r>
              <w:rPr>
                <w:sz w:val="22"/>
              </w:rPr>
              <w:t>. This state can happen when the user saves the file before a query has finished returning.</w:t>
            </w:r>
          </w:p>
          <w:p>
            <w:pPr>
              <w:pStyle w:val="TableParagraph"/>
              <w:spacing w:before="6"/>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9" w:hRule="atLeast"/>
        </w:trPr>
        <w:tc>
          <w:tcPr>
            <w:tcW w:w="2062" w:type="dxa"/>
          </w:tcPr>
          <w:p>
            <w:pPr>
              <w:pStyle w:val="TableParagraph"/>
              <w:ind w:right="97"/>
              <w:rPr>
                <w:sz w:val="22"/>
              </w:rPr>
            </w:pPr>
            <w:r>
              <w:rPr>
                <w:rFonts w:ascii="Cambria"/>
                <w:sz w:val="22"/>
              </w:rPr>
              <w:t>odcFile </w:t>
            </w:r>
            <w:r>
              <w:rPr>
                <w:sz w:val="22"/>
              </w:rPr>
              <w:t>(Connection File)</w:t>
            </w:r>
          </w:p>
        </w:tc>
        <w:tc>
          <w:tcPr>
            <w:tcW w:w="8250" w:type="dxa"/>
          </w:tcPr>
          <w:p>
            <w:pPr>
              <w:pStyle w:val="TableParagraph"/>
              <w:ind w:right="851"/>
              <w:rPr>
                <w:sz w:val="22"/>
              </w:rPr>
            </w:pPr>
            <w:r>
              <w:rPr>
                <w:sz w:val="22"/>
              </w:rPr>
              <w:t>Specifies the full path to external connection file from which this </w:t>
            </w:r>
            <w:r>
              <w:rPr>
                <w:rFonts w:ascii="Cambria"/>
                <w:sz w:val="22"/>
              </w:rPr>
              <w:t>connection </w:t>
            </w:r>
            <w:r>
              <w:rPr>
                <w:sz w:val="22"/>
              </w:rPr>
              <w:t>was created. If a connection fails during an attempt to refresh data, and </w:t>
            </w:r>
            <w:r>
              <w:rPr>
                <w:rFonts w:ascii="Cambria"/>
                <w:sz w:val="22"/>
              </w:rPr>
              <w:t>reconnectionMethod=</w:t>
            </w:r>
            <w:r>
              <w:rPr>
                <w:rFonts w:ascii="Consolas"/>
                <w:sz w:val="20"/>
              </w:rPr>
              <w:t>1</w:t>
            </w:r>
            <w:r>
              <w:rPr>
                <w:rFonts w:ascii="Cambria"/>
                <w:sz w:val="22"/>
              </w:rPr>
              <w:t>, then </w:t>
            </w:r>
            <w:r>
              <w:rPr>
                <w:sz w:val="22"/>
              </w:rPr>
              <w:t>the spreadsheet application will try again using information from the external connection file instead of the connection object embedded within the workbook.</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651"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217"/>
              <w:rPr>
                <w:sz w:val="22"/>
              </w:rPr>
            </w:pPr>
            <w:r>
              <w:rPr>
                <w:sz w:val="22"/>
              </w:rPr>
              <w:t>This is a benefit for data source and spreadsheetML document manageability. If the definition in the external connection file is changed (e.g., because of a database server name change), then the workbooks that made use of that connection will fail to connect with their internal connection information, and reload the new connection information from this file.</w:t>
            </w:r>
          </w:p>
          <w:p>
            <w:pPr>
              <w:pStyle w:val="TableParagraph"/>
              <w:spacing w:before="3"/>
              <w:ind w:left="0"/>
              <w:rPr>
                <w:rFonts w:ascii="Times New Roman"/>
                <w:sz w:val="23"/>
              </w:rPr>
            </w:pPr>
          </w:p>
          <w:p>
            <w:pPr>
              <w:pStyle w:val="TableParagraph"/>
              <w:spacing w:before="1"/>
              <w:ind w:right="162"/>
              <w:rPr>
                <w:sz w:val="22"/>
              </w:rPr>
            </w:pPr>
            <w:r>
              <w:rPr>
                <w:sz w:val="22"/>
              </w:rPr>
              <w:t>This attribute is cleared by the spreadsheet application when the user manually edits the connection definition within the workbook. Can be expressed in URI or system-specific file path notation.</w:t>
            </w:r>
          </w:p>
          <w:p>
            <w:pPr>
              <w:pStyle w:val="TableParagraph"/>
              <w:spacing w:before="4"/>
              <w:ind w:left="0"/>
              <w:rPr>
                <w:rFonts w:ascii="Times New Roman"/>
                <w:sz w:val="23"/>
              </w:rPr>
            </w:pPr>
          </w:p>
          <w:p>
            <w:pPr>
              <w:pStyle w:val="TableParagraph"/>
              <w:spacing w:before="1"/>
              <w:ind w:right="523"/>
              <w:rPr>
                <w:sz w:val="22"/>
              </w:rPr>
            </w:pPr>
            <w:r>
              <w:rPr>
                <w:sz w:val="22"/>
              </w:rPr>
              <w:t>[</w:t>
            </w:r>
            <w:r>
              <w:rPr>
                <w:i/>
                <w:sz w:val="22"/>
              </w:rPr>
              <w:t>Note</w:t>
            </w:r>
            <w:r>
              <w:rPr>
                <w:sz w:val="22"/>
              </w:rPr>
              <w:t>: Applications can decide what forms of URI they support, and whether system- specific file path notations are supported. </w:t>
            </w:r>
            <w:r>
              <w:rPr>
                <w:i/>
                <w:sz w:val="22"/>
              </w:rPr>
              <w:t>end note</w:t>
            </w:r>
            <w:r>
              <w:rPr>
                <w:sz w:val="22"/>
              </w:rPr>
              <w:t>]</w:t>
            </w:r>
          </w:p>
          <w:p>
            <w:pPr>
              <w:pStyle w:val="TableParagraph"/>
              <w:spacing w:before="0"/>
              <w:ind w:left="0"/>
              <w:rPr>
                <w:rFonts w:ascii="Times New Roman"/>
                <w:sz w:val="22"/>
              </w:rPr>
            </w:pPr>
          </w:p>
          <w:p>
            <w:pPr>
              <w:pStyle w:val="TableParagraph"/>
              <w:spacing w:before="7"/>
              <w:ind w:left="0"/>
              <w:rPr>
                <w:rFonts w:ascii="Times New Roman"/>
                <w:sz w:val="24"/>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309" w:hRule="atLeast"/>
        </w:trPr>
        <w:tc>
          <w:tcPr>
            <w:tcW w:w="2062" w:type="dxa"/>
          </w:tcPr>
          <w:p>
            <w:pPr>
              <w:pStyle w:val="TableParagraph"/>
              <w:spacing w:before="42"/>
              <w:ind w:right="96"/>
              <w:rPr>
                <w:sz w:val="22"/>
              </w:rPr>
            </w:pPr>
            <w:r>
              <w:rPr>
                <w:rFonts w:ascii="Cambria"/>
                <w:sz w:val="22"/>
              </w:rPr>
              <w:t>onlyUseConnection File </w:t>
            </w:r>
            <w:r>
              <w:rPr>
                <w:sz w:val="22"/>
              </w:rPr>
              <w:t>(Only Use Connection File)</w:t>
            </w:r>
          </w:p>
        </w:tc>
        <w:tc>
          <w:tcPr>
            <w:tcW w:w="8250" w:type="dxa"/>
          </w:tcPr>
          <w:p>
            <w:pPr>
              <w:pStyle w:val="TableParagraph"/>
              <w:ind w:right="201"/>
              <w:rPr>
                <w:sz w:val="22"/>
              </w:rPr>
            </w:pPr>
            <w:r>
              <w:rPr>
                <w:sz w:val="22"/>
              </w:rPr>
              <w:t>Indicates whether the spreadsheet application should always and only use the connection information in the external connection file indicated by the </w:t>
            </w:r>
            <w:r>
              <w:rPr>
                <w:rFonts w:ascii="Cambria"/>
                <w:sz w:val="22"/>
              </w:rPr>
              <w:t>odcFile </w:t>
            </w:r>
            <w:r>
              <w:rPr>
                <w:sz w:val="22"/>
              </w:rPr>
              <w:t>attribute when the connection is refreshed.</w:t>
            </w:r>
          </w:p>
          <w:p>
            <w:pPr>
              <w:pStyle w:val="TableParagraph"/>
              <w:spacing w:before="4"/>
              <w:ind w:left="0"/>
              <w:rPr>
                <w:rFonts w:ascii="Times New Roman"/>
                <w:sz w:val="23"/>
              </w:rPr>
            </w:pPr>
          </w:p>
          <w:p>
            <w:pPr>
              <w:pStyle w:val="TableParagraph"/>
              <w:spacing w:before="1"/>
              <w:rPr>
                <w:sz w:val="22"/>
              </w:rPr>
            </w:pPr>
            <w:r>
              <w:rPr>
                <w:sz w:val="22"/>
              </w:rPr>
              <w:t>If </w:t>
            </w:r>
            <w:r>
              <w:rPr>
                <w:rFonts w:ascii="Consolas"/>
                <w:sz w:val="20"/>
              </w:rPr>
              <w:t>false</w:t>
            </w:r>
            <w:r>
              <w:rPr>
                <w:sz w:val="22"/>
              </w:rPr>
              <w:t>, then the spreadsheet application should follow the procedure indicated by the</w:t>
            </w:r>
          </w:p>
          <w:p>
            <w:pPr>
              <w:pStyle w:val="TableParagraph"/>
              <w:spacing w:before="0"/>
              <w:rPr>
                <w:sz w:val="22"/>
              </w:rPr>
            </w:pPr>
            <w:r>
              <w:rPr>
                <w:rFonts w:ascii="Cambria"/>
                <w:sz w:val="22"/>
              </w:rPr>
              <w:t>reconnectionMethod </w:t>
            </w:r>
            <w:r>
              <w:rPr>
                <w:sz w:val="22"/>
              </w:rPr>
              <w:t>attribute described below.</w:t>
            </w:r>
          </w:p>
          <w:p>
            <w:pPr>
              <w:pStyle w:val="TableParagraph"/>
              <w:spacing w:before="4"/>
              <w:ind w:left="0"/>
              <w:rPr>
                <w:rFonts w:ascii="Times New Roman"/>
                <w:sz w:val="23"/>
              </w:rPr>
            </w:pPr>
          </w:p>
          <w:p>
            <w:pPr>
              <w:pStyle w:val="TableParagraph"/>
              <w:spacing w:before="0"/>
              <w:ind w:right="651"/>
              <w:rPr>
                <w:sz w:val="22"/>
              </w:rPr>
            </w:pPr>
            <w:r>
              <w:rPr>
                <w:sz w:val="22"/>
              </w:rPr>
              <w:t>Applies to ODBC connections, and may be applied to custom data connections. This attribute is ignored for other types of connections.</w:t>
            </w:r>
          </w:p>
          <w:p>
            <w:pPr>
              <w:pStyle w:val="TableParagraph"/>
              <w:spacing w:before="3"/>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4382" w:hRule="atLeast"/>
        </w:trPr>
        <w:tc>
          <w:tcPr>
            <w:tcW w:w="2062" w:type="dxa"/>
          </w:tcPr>
          <w:p>
            <w:pPr>
              <w:pStyle w:val="TableParagraph"/>
              <w:spacing w:line="237" w:lineRule="auto" w:before="45"/>
              <w:ind w:right="197"/>
              <w:rPr>
                <w:sz w:val="22"/>
              </w:rPr>
            </w:pPr>
            <w:r>
              <w:rPr>
                <w:rFonts w:ascii="Cambria"/>
                <w:sz w:val="22"/>
              </w:rPr>
              <w:t>reconnectionMeth od </w:t>
            </w:r>
            <w:r>
              <w:rPr>
                <w:sz w:val="22"/>
              </w:rPr>
              <w:t>(Reconnection Method)</w:t>
            </w:r>
          </w:p>
        </w:tc>
        <w:tc>
          <w:tcPr>
            <w:tcW w:w="8250" w:type="dxa"/>
          </w:tcPr>
          <w:p>
            <w:pPr>
              <w:pStyle w:val="TableParagraph"/>
              <w:spacing w:line="480" w:lineRule="auto"/>
              <w:ind w:right="1131"/>
              <w:rPr>
                <w:sz w:val="22"/>
              </w:rPr>
            </w:pPr>
            <w:r>
              <w:rPr>
                <w:sz w:val="22"/>
              </w:rPr>
              <w:t>Specifies what the spreadsheet application should do when a connection fails. The values are as follows:</w:t>
            </w:r>
          </w:p>
          <w:p>
            <w:pPr>
              <w:pStyle w:val="TableParagraph"/>
              <w:spacing w:before="1"/>
              <w:ind w:right="479"/>
              <w:rPr>
                <w:sz w:val="22"/>
              </w:rPr>
            </w:pPr>
            <w:r>
              <w:rPr>
                <w:rFonts w:ascii="Consolas"/>
                <w:sz w:val="20"/>
              </w:rPr>
              <w:t>1 = As required</w:t>
            </w:r>
            <w:r>
              <w:rPr>
                <w:sz w:val="22"/>
              </w:rPr>
              <w:t>: On refresh use the existing connection information. If the existing information cannot be used to establish a connection, get updated connection information, if available from the external connection file.</w:t>
            </w:r>
          </w:p>
          <w:p>
            <w:pPr>
              <w:pStyle w:val="TableParagraph"/>
              <w:spacing w:before="2"/>
              <w:ind w:left="0"/>
              <w:rPr>
                <w:rFonts w:ascii="Times New Roman"/>
                <w:sz w:val="23"/>
              </w:rPr>
            </w:pPr>
          </w:p>
          <w:p>
            <w:pPr>
              <w:pStyle w:val="TableParagraph"/>
              <w:spacing w:before="0"/>
              <w:ind w:right="257"/>
              <w:rPr>
                <w:sz w:val="22"/>
              </w:rPr>
            </w:pPr>
            <w:r>
              <w:rPr>
                <w:rFonts w:ascii="Consolas"/>
                <w:sz w:val="20"/>
              </w:rPr>
              <w:t>2 = Always</w:t>
            </w:r>
            <w:r>
              <w:rPr>
                <w:sz w:val="22"/>
              </w:rPr>
              <w:t>: On every refresh get updated connection information from the external connection file, if available, and use that instead of the existing connection information. In this case the data refresh will fail if the external connection file is unavailable.</w:t>
            </w:r>
          </w:p>
          <w:p>
            <w:pPr>
              <w:pStyle w:val="TableParagraph"/>
              <w:spacing w:before="6"/>
              <w:ind w:left="0"/>
              <w:rPr>
                <w:rFonts w:ascii="Times New Roman"/>
                <w:sz w:val="23"/>
              </w:rPr>
            </w:pPr>
          </w:p>
          <w:p>
            <w:pPr>
              <w:pStyle w:val="TableParagraph"/>
              <w:spacing w:before="0"/>
              <w:ind w:right="176"/>
              <w:rPr>
                <w:sz w:val="22"/>
              </w:rPr>
            </w:pPr>
            <w:r>
              <w:rPr>
                <w:rFonts w:ascii="Consolas"/>
                <w:sz w:val="20"/>
              </w:rPr>
              <w:t>3 = Never</w:t>
            </w:r>
            <w:r>
              <w:rPr>
                <w:sz w:val="22"/>
              </w:rPr>
              <w:t>: Never get updated connection information from the external connection file even if it is available and even if the existing connection information cannot be used.</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tc>
      </w:tr>
    </w:tbl>
    <w:p>
      <w:pPr>
        <w:spacing w:after="0"/>
        <w:rPr>
          <w:rFonts w:ascii="Cambria"/>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datatype.</w:t>
            </w:r>
          </w:p>
        </w:tc>
      </w:tr>
      <w:tr>
        <w:trPr>
          <w:trHeight w:val="1965" w:hRule="atLeast"/>
        </w:trPr>
        <w:tc>
          <w:tcPr>
            <w:tcW w:w="2062" w:type="dxa"/>
          </w:tcPr>
          <w:p>
            <w:pPr>
              <w:pStyle w:val="TableParagraph"/>
              <w:spacing w:line="237" w:lineRule="auto" w:before="45"/>
              <w:ind w:right="282"/>
              <w:rPr>
                <w:sz w:val="22"/>
              </w:rPr>
            </w:pPr>
            <w:r>
              <w:rPr>
                <w:rFonts w:ascii="Cambria"/>
                <w:sz w:val="22"/>
              </w:rPr>
              <w:t>refreshedVersion </w:t>
            </w:r>
            <w:r>
              <w:rPr>
                <w:sz w:val="22"/>
              </w:rPr>
              <w:t>(Last Refresh Version)</w:t>
            </w:r>
          </w:p>
        </w:tc>
        <w:tc>
          <w:tcPr>
            <w:tcW w:w="8250" w:type="dxa"/>
          </w:tcPr>
          <w:p>
            <w:pPr>
              <w:pStyle w:val="TableParagraph"/>
              <w:ind w:right="1044"/>
              <w:rPr>
                <w:sz w:val="22"/>
              </w:rPr>
            </w:pPr>
            <w:r>
              <w:rPr>
                <w:sz w:val="22"/>
              </w:rPr>
              <w:t>For backward compatibility purposes, this attribute indicates the version of the spreadsheet application that last refreshed the connection.</w:t>
            </w:r>
          </w:p>
          <w:p>
            <w:pPr>
              <w:pStyle w:val="TableParagraph"/>
              <w:spacing w:before="2"/>
              <w:ind w:left="0"/>
              <w:rPr>
                <w:rFonts w:ascii="Times New Roman"/>
                <w:sz w:val="23"/>
              </w:rPr>
            </w:pPr>
          </w:p>
          <w:p>
            <w:pPr>
              <w:pStyle w:val="TableParagraph"/>
              <w:spacing w:before="0"/>
              <w:rPr>
                <w:sz w:val="22"/>
              </w:rPr>
            </w:pPr>
            <w:r>
              <w:rPr>
                <w:sz w:val="22"/>
              </w:rPr>
              <w:t>This attribute applies to connections that are used by a query table.</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unsignedByte</w:t>
            </w:r>
          </w:p>
          <w:p>
            <w:pPr>
              <w:pStyle w:val="TableParagraph"/>
              <w:spacing w:before="0"/>
              <w:rPr>
                <w:sz w:val="22"/>
              </w:rPr>
            </w:pPr>
            <w:r>
              <w:rPr>
                <w:sz w:val="22"/>
              </w:rPr>
              <w:t>datatype.</w:t>
            </w:r>
          </w:p>
        </w:tc>
      </w:tr>
      <w:tr>
        <w:trPr>
          <w:trHeight w:val="1161" w:hRule="atLeast"/>
        </w:trPr>
        <w:tc>
          <w:tcPr>
            <w:tcW w:w="2062" w:type="dxa"/>
          </w:tcPr>
          <w:p>
            <w:pPr>
              <w:pStyle w:val="TableParagraph"/>
              <w:spacing w:line="257" w:lineRule="exact" w:before="42"/>
              <w:rPr>
                <w:rFonts w:ascii="Cambria"/>
                <w:sz w:val="22"/>
              </w:rPr>
            </w:pPr>
            <w:r>
              <w:rPr>
                <w:rFonts w:ascii="Cambria"/>
                <w:sz w:val="22"/>
              </w:rPr>
              <w:t>refreshOnLoad</w:t>
            </w:r>
          </w:p>
          <w:p>
            <w:pPr>
              <w:pStyle w:val="TableParagraph"/>
              <w:spacing w:line="268" w:lineRule="exact" w:before="0"/>
              <w:rPr>
                <w:sz w:val="22"/>
              </w:rPr>
            </w:pPr>
            <w:r>
              <w:rPr>
                <w:sz w:val="22"/>
              </w:rPr>
              <w:t>(Refresh on Open)</w:t>
            </w:r>
          </w:p>
        </w:tc>
        <w:tc>
          <w:tcPr>
            <w:tcW w:w="8250" w:type="dxa"/>
          </w:tcPr>
          <w:p>
            <w:pPr>
              <w:pStyle w:val="TableParagraph"/>
              <w:rPr>
                <w:sz w:val="22"/>
              </w:rPr>
            </w:pPr>
            <w:r>
              <w:rPr>
                <w:rFonts w:ascii="Consolas"/>
                <w:sz w:val="20"/>
              </w:rPr>
              <w:t>true </w:t>
            </w:r>
            <w:r>
              <w:rPr>
                <w:sz w:val="22"/>
              </w:rPr>
              <w:t>if this connection should be refreshed when opening the file; otherwise, </w:t>
            </w:r>
            <w:r>
              <w:rPr>
                <w:rFonts w:ascii="Consolas"/>
                <w:sz w:val="20"/>
              </w:rPr>
              <w:t>false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2771" w:hRule="atLeast"/>
        </w:trPr>
        <w:tc>
          <w:tcPr>
            <w:tcW w:w="2062" w:type="dxa"/>
          </w:tcPr>
          <w:p>
            <w:pPr>
              <w:pStyle w:val="TableParagraph"/>
              <w:ind w:right="531"/>
              <w:rPr>
                <w:sz w:val="22"/>
              </w:rPr>
            </w:pPr>
            <w:r>
              <w:rPr>
                <w:rFonts w:ascii="Cambria"/>
                <w:sz w:val="22"/>
              </w:rPr>
              <w:t>saveData </w:t>
            </w:r>
            <w:r>
              <w:rPr>
                <w:sz w:val="22"/>
              </w:rPr>
              <w:t>(Save Data)</w:t>
            </w:r>
          </w:p>
        </w:tc>
        <w:tc>
          <w:tcPr>
            <w:tcW w:w="8250" w:type="dxa"/>
          </w:tcPr>
          <w:p>
            <w:pPr>
              <w:pStyle w:val="TableParagraph"/>
              <w:rPr>
                <w:sz w:val="22"/>
              </w:rPr>
            </w:pPr>
            <w:r>
              <w:rPr>
                <w:rFonts w:ascii="Consolas"/>
                <w:sz w:val="20"/>
              </w:rPr>
              <w:t>true</w:t>
            </w:r>
            <w:r>
              <w:rPr>
                <w:rFonts w:ascii="Consolas"/>
                <w:spacing w:val="-89"/>
                <w:sz w:val="20"/>
              </w:rPr>
              <w:t> </w:t>
            </w:r>
            <w:r>
              <w:rPr>
                <w:sz w:val="22"/>
              </w:rPr>
              <w:t>if the external data fetched over the connection to populate a table is to be saved with the workbook; otherwise, </w:t>
            </w:r>
            <w:r>
              <w:rPr>
                <w:rFonts w:ascii="Consolas"/>
                <w:sz w:val="20"/>
              </w:rPr>
              <w:t>false</w:t>
            </w:r>
            <w:r>
              <w:rPr>
                <w:sz w:val="22"/>
              </w:rPr>
              <w:t>.</w:t>
            </w:r>
          </w:p>
          <w:p>
            <w:pPr>
              <w:pStyle w:val="TableParagraph"/>
              <w:spacing w:before="2"/>
              <w:ind w:left="0"/>
              <w:rPr>
                <w:rFonts w:ascii="Times New Roman"/>
                <w:sz w:val="23"/>
              </w:rPr>
            </w:pPr>
          </w:p>
          <w:p>
            <w:pPr>
              <w:pStyle w:val="TableParagraph"/>
              <w:spacing w:before="0"/>
              <w:ind w:right="243"/>
              <w:rPr>
                <w:sz w:val="22"/>
              </w:rPr>
            </w:pPr>
            <w:r>
              <w:rPr>
                <w:sz w:val="22"/>
              </w:rPr>
              <w:t>This exists for data security purposes - if no external data is saved in (or "cached") in the workbook, then current user credentials can be required every time to retrieve the relevant data, and people won't see the data the workbook author had last been using before saving the file.</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9" w:hRule="atLeast"/>
        </w:trPr>
        <w:tc>
          <w:tcPr>
            <w:tcW w:w="2062" w:type="dxa"/>
          </w:tcPr>
          <w:p>
            <w:pPr>
              <w:pStyle w:val="TableParagraph"/>
              <w:spacing w:line="256" w:lineRule="exact" w:before="42"/>
              <w:rPr>
                <w:rFonts w:ascii="Cambria"/>
                <w:sz w:val="22"/>
              </w:rPr>
            </w:pPr>
            <w:r>
              <w:rPr>
                <w:rFonts w:ascii="Cambria"/>
                <w:sz w:val="22"/>
              </w:rPr>
              <w:t>savePassword</w:t>
            </w:r>
          </w:p>
          <w:p>
            <w:pPr>
              <w:pStyle w:val="TableParagraph"/>
              <w:spacing w:line="267" w:lineRule="exact" w:before="0"/>
              <w:rPr>
                <w:sz w:val="22"/>
              </w:rPr>
            </w:pPr>
            <w:r>
              <w:rPr>
                <w:sz w:val="22"/>
              </w:rPr>
              <w:t>(Save Password)</w:t>
            </w:r>
          </w:p>
        </w:tc>
        <w:tc>
          <w:tcPr>
            <w:tcW w:w="8250" w:type="dxa"/>
          </w:tcPr>
          <w:p>
            <w:pPr>
              <w:pStyle w:val="TableParagraph"/>
              <w:rPr>
                <w:sz w:val="22"/>
              </w:rPr>
            </w:pPr>
            <w:r>
              <w:rPr>
                <w:rFonts w:ascii="Consolas"/>
                <w:sz w:val="20"/>
              </w:rPr>
              <w:t>true</w:t>
            </w:r>
            <w:r>
              <w:rPr>
                <w:rFonts w:ascii="Consolas"/>
                <w:spacing w:val="-80"/>
                <w:sz w:val="20"/>
              </w:rPr>
              <w:t> </w:t>
            </w:r>
            <w:r>
              <w:rPr>
                <w:sz w:val="22"/>
              </w:rPr>
              <w:t>if the password is to be saved as part of the connection string; otherwise, False.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1" w:hRule="atLeast"/>
        </w:trPr>
        <w:tc>
          <w:tcPr>
            <w:tcW w:w="2062" w:type="dxa"/>
          </w:tcPr>
          <w:p>
            <w:pPr>
              <w:pStyle w:val="TableParagraph"/>
              <w:spacing w:line="257" w:lineRule="exact" w:before="42"/>
              <w:rPr>
                <w:rFonts w:ascii="Cambria"/>
                <w:sz w:val="22"/>
              </w:rPr>
            </w:pPr>
            <w:r>
              <w:rPr>
                <w:rFonts w:ascii="Cambria"/>
                <w:sz w:val="22"/>
              </w:rPr>
              <w:t>singleSignOnId</w:t>
            </w:r>
          </w:p>
          <w:p>
            <w:pPr>
              <w:pStyle w:val="TableParagraph"/>
              <w:spacing w:line="268" w:lineRule="exact" w:before="0"/>
              <w:rPr>
                <w:sz w:val="22"/>
              </w:rPr>
            </w:pPr>
            <w:r>
              <w:rPr>
                <w:sz w:val="22"/>
              </w:rPr>
              <w:t>(SSO Id)</w:t>
            </w:r>
          </w:p>
        </w:tc>
        <w:tc>
          <w:tcPr>
            <w:tcW w:w="8250" w:type="dxa"/>
          </w:tcPr>
          <w:p>
            <w:pPr>
              <w:pStyle w:val="TableParagraph"/>
              <w:ind w:right="652"/>
              <w:rPr>
                <w:sz w:val="22"/>
              </w:rPr>
            </w:pPr>
            <w:r>
              <w:rPr>
                <w:sz w:val="22"/>
              </w:rPr>
              <w:t>Identifier for Single Sign On (SSO) used for authentication between an intermediate spreadsheetML server and the external data source.</w:t>
            </w:r>
          </w:p>
          <w:p>
            <w:pPr>
              <w:pStyle w:val="TableParagraph"/>
              <w:spacing w:before="4"/>
              <w:ind w:left="0"/>
              <w:rPr>
                <w:rFonts w:ascii="Times New Roman"/>
                <w:sz w:val="23"/>
              </w:rPr>
            </w:pPr>
          </w:p>
          <w:p>
            <w:pPr>
              <w:pStyle w:val="TableParagraph"/>
              <w:spacing w:before="0"/>
              <w:ind w:right="539"/>
              <w:rPr>
                <w:sz w:val="22"/>
              </w:rPr>
            </w:pPr>
            <w:r>
              <w:rPr>
                <w:sz w:val="22"/>
              </w:rPr>
              <w:t>[</w:t>
            </w:r>
            <w:r>
              <w:rPr>
                <w:i/>
                <w:sz w:val="22"/>
              </w:rPr>
              <w:t>Note</w:t>
            </w:r>
            <w:r>
              <w:rPr>
                <w:sz w:val="22"/>
              </w:rPr>
              <w:t>: Data connectivity can use a number of different technologies. One example of potential values stored in this attribute can be found at: </w:t>
            </w:r>
            <w:r>
              <w:rPr>
                <w:color w:val="5F5F5F"/>
                <w:sz w:val="22"/>
                <w:u w:val="single" w:color="5F5F5F"/>
              </w:rPr>
              <w:t>http://msdn.microsoft.com/library/default.asp?url=/library/en-</w:t>
            </w:r>
            <w:r>
              <w:rPr>
                <w:color w:val="5F5F5F"/>
                <w:sz w:val="22"/>
              </w:rPr>
              <w:t> </w:t>
            </w:r>
            <w:r>
              <w:rPr>
                <w:color w:val="5F5F5F"/>
                <w:sz w:val="22"/>
                <w:u w:val="single" w:color="5F5F5F"/>
              </w:rPr>
              <w:t>us/spptsdk/html/cSSOReturnCodes_SV01001109.asp</w:t>
            </w:r>
            <w:r>
              <w:rPr>
                <w:color w:val="5F5F5F"/>
                <w:sz w:val="22"/>
              </w:rPr>
              <w:t> </w:t>
            </w:r>
            <w:r>
              <w:rPr>
                <w:i/>
                <w:sz w:val="22"/>
              </w:rPr>
              <w:t>end note</w:t>
            </w:r>
            <w:r>
              <w:rPr>
                <w:sz w:val="22"/>
              </w:rPr>
              <w:t>]</w:t>
            </w:r>
          </w:p>
          <w:p>
            <w:pPr>
              <w:pStyle w:val="TableParagraph"/>
              <w:spacing w:before="3"/>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ind w:right="215"/>
              <w:rPr>
                <w:sz w:val="22"/>
              </w:rPr>
            </w:pPr>
            <w:r>
              <w:rPr>
                <w:rFonts w:ascii="Cambria"/>
                <w:sz w:val="22"/>
              </w:rPr>
              <w:t>sourceFile </w:t>
            </w:r>
            <w:r>
              <w:rPr>
                <w:sz w:val="22"/>
              </w:rPr>
              <w:t>(Source Database File)</w:t>
            </w:r>
          </w:p>
        </w:tc>
        <w:tc>
          <w:tcPr>
            <w:tcW w:w="8250" w:type="dxa"/>
          </w:tcPr>
          <w:p>
            <w:pPr>
              <w:pStyle w:val="TableParagraph"/>
              <w:ind w:right="253"/>
              <w:rPr>
                <w:sz w:val="22"/>
              </w:rPr>
            </w:pPr>
            <w:r>
              <w:rPr>
                <w:sz w:val="22"/>
              </w:rPr>
              <w:t>Used when the external data source is file-based. When a connection to such a data source fails, the spreadsheet application attempts to connect directly to this file. Can be expressed in URI or system-specific file path notation.</w:t>
            </w:r>
          </w:p>
          <w:p>
            <w:pPr>
              <w:pStyle w:val="TableParagraph"/>
              <w:spacing w:before="5"/>
              <w:ind w:left="0"/>
              <w:rPr>
                <w:rFonts w:ascii="Times New Roman"/>
                <w:sz w:val="23"/>
              </w:rPr>
            </w:pPr>
          </w:p>
          <w:p>
            <w:pPr>
              <w:pStyle w:val="TableParagraph"/>
              <w:spacing w:before="0"/>
              <w:ind w:right="523"/>
              <w:rPr>
                <w:sz w:val="22"/>
              </w:rPr>
            </w:pPr>
            <w:r>
              <w:rPr>
                <w:sz w:val="22"/>
              </w:rPr>
              <w:t>[</w:t>
            </w:r>
            <w:r>
              <w:rPr>
                <w:i/>
                <w:sz w:val="22"/>
              </w:rPr>
              <w:t>Note</w:t>
            </w:r>
            <w:r>
              <w:rPr>
                <w:sz w:val="22"/>
              </w:rPr>
              <w:t>: Applications can decide what forms of URI they support, and whether system- specific file path notations are supported. </w:t>
            </w:r>
            <w:r>
              <w:rPr>
                <w:i/>
                <w:sz w:val="22"/>
              </w:rPr>
              <w:t>end note</w:t>
            </w:r>
            <w:r>
              <w:rPr>
                <w:sz w:val="22"/>
              </w:rPr>
              <w:t>]</w:t>
            </w:r>
          </w:p>
          <w:p>
            <w:pPr>
              <w:pStyle w:val="TableParagraph"/>
              <w:spacing w:before="2"/>
              <w:ind w:left="0"/>
              <w:rPr>
                <w:rFonts w:ascii="Times New Roman"/>
                <w:sz w:val="23"/>
              </w:rPr>
            </w:pPr>
          </w:p>
          <w:p>
            <w:pPr>
              <w:pStyle w:val="TableParagraph"/>
              <w:spacing w:before="1"/>
              <w:rPr>
                <w:sz w:val="22"/>
              </w:rPr>
            </w:pPr>
            <w:r>
              <w:rPr>
                <w:sz w:val="22"/>
              </w:rPr>
              <w:t>The possible values for this attribute are defined by the </w:t>
            </w:r>
            <w:r>
              <w:rPr>
                <w:rFonts w:ascii="Cambria"/>
                <w:sz w:val="22"/>
              </w:rPr>
              <w:t>ST_Xstring </w:t>
            </w:r>
            <w:r>
              <w:rPr>
                <w:sz w:val="22"/>
              </w:rPr>
              <w:t>simple type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(§22.9.2.19).</w:t>
            </w:r>
          </w:p>
        </w:tc>
      </w:tr>
      <w:tr>
        <w:trPr>
          <w:trHeight w:val="597" w:hRule="atLeast"/>
        </w:trPr>
        <w:tc>
          <w:tcPr>
            <w:tcW w:w="2062" w:type="dxa"/>
            <w:tcBorders>
              <w:bottom w:val="nil"/>
            </w:tcBorders>
          </w:tcPr>
          <w:p>
            <w:pPr>
              <w:pStyle w:val="TableParagraph"/>
              <w:ind w:right="550"/>
              <w:rPr>
                <w:sz w:val="22"/>
              </w:rPr>
            </w:pPr>
            <w:r>
              <w:rPr>
                <w:rFonts w:ascii="Cambria"/>
                <w:sz w:val="22"/>
              </w:rPr>
              <w:t>type </w:t>
            </w:r>
            <w:r>
              <w:rPr>
                <w:sz w:val="22"/>
              </w:rPr>
              <w:t>(Database Source Type)</w:t>
            </w:r>
          </w:p>
        </w:tc>
        <w:tc>
          <w:tcPr>
            <w:tcW w:w="8250" w:type="dxa"/>
            <w:tcBorders>
              <w:bottom w:val="nil"/>
            </w:tcBorders>
          </w:tcPr>
          <w:p>
            <w:pPr>
              <w:pStyle w:val="TableParagraph"/>
              <w:rPr>
                <w:sz w:val="22"/>
              </w:rPr>
            </w:pPr>
            <w:r>
              <w:rPr>
                <w:sz w:val="22"/>
              </w:rPr>
              <w:t>Specifies the data source type.</w:t>
            </w:r>
          </w:p>
        </w:tc>
      </w:tr>
      <w:tr>
        <w:trPr>
          <w:trHeight w:val="2551"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Values are as follows:</w:t>
            </w:r>
          </w:p>
          <w:p>
            <w:pPr>
              <w:pStyle w:val="TableParagraph"/>
              <w:numPr>
                <w:ilvl w:val="0"/>
                <w:numId w:val="55"/>
              </w:numPr>
              <w:tabs>
                <w:tab w:pos="334" w:val="left" w:leader="none"/>
              </w:tabs>
              <w:spacing w:line="267" w:lineRule="exact" w:before="0" w:after="0"/>
              <w:ind w:left="333" w:right="0" w:hanging="219"/>
              <w:jc w:val="left"/>
              <w:rPr>
                <w:sz w:val="22"/>
              </w:rPr>
            </w:pPr>
            <w:r>
              <w:rPr>
                <w:sz w:val="22"/>
              </w:rPr>
              <w:t>ODBC-based</w:t>
            </w:r>
            <w:r>
              <w:rPr>
                <w:spacing w:val="-1"/>
                <w:sz w:val="22"/>
              </w:rPr>
              <w:t> </w:t>
            </w:r>
            <w:r>
              <w:rPr>
                <w:sz w:val="22"/>
              </w:rPr>
              <w:t>source</w:t>
            </w:r>
          </w:p>
          <w:p>
            <w:pPr>
              <w:pStyle w:val="TableParagraph"/>
              <w:numPr>
                <w:ilvl w:val="0"/>
                <w:numId w:val="55"/>
              </w:numPr>
              <w:tabs>
                <w:tab w:pos="334" w:val="left" w:leader="none"/>
              </w:tabs>
              <w:spacing w:line="267" w:lineRule="exact" w:before="0" w:after="0"/>
              <w:ind w:left="333" w:right="0" w:hanging="219"/>
              <w:jc w:val="left"/>
              <w:rPr>
                <w:sz w:val="22"/>
              </w:rPr>
            </w:pPr>
            <w:r>
              <w:rPr>
                <w:sz w:val="22"/>
              </w:rPr>
              <w:t>Custom data connection</w:t>
            </w:r>
            <w:r>
              <w:rPr>
                <w:spacing w:val="-10"/>
                <w:sz w:val="22"/>
              </w:rPr>
              <w:t> </w:t>
            </w:r>
            <w:r>
              <w:rPr>
                <w:sz w:val="22"/>
              </w:rPr>
              <w:t>source</w:t>
            </w:r>
          </w:p>
          <w:p>
            <w:pPr>
              <w:pStyle w:val="TableParagraph"/>
              <w:numPr>
                <w:ilvl w:val="0"/>
                <w:numId w:val="55"/>
              </w:numPr>
              <w:tabs>
                <w:tab w:pos="334" w:val="left" w:leader="none"/>
              </w:tabs>
              <w:spacing w:line="240" w:lineRule="auto" w:before="0" w:after="0"/>
              <w:ind w:left="333" w:right="0" w:hanging="219"/>
              <w:jc w:val="left"/>
              <w:rPr>
                <w:sz w:val="22"/>
              </w:rPr>
            </w:pPr>
            <w:r>
              <w:rPr>
                <w:sz w:val="22"/>
              </w:rPr>
              <w:t>Custom data connection</w:t>
            </w:r>
            <w:r>
              <w:rPr>
                <w:spacing w:val="-11"/>
                <w:sz w:val="22"/>
              </w:rPr>
              <w:t> </w:t>
            </w:r>
            <w:r>
              <w:rPr>
                <w:sz w:val="22"/>
              </w:rPr>
              <w:t>source</w:t>
            </w:r>
          </w:p>
          <w:p>
            <w:pPr>
              <w:pStyle w:val="TableParagraph"/>
              <w:numPr>
                <w:ilvl w:val="0"/>
                <w:numId w:val="55"/>
              </w:numPr>
              <w:tabs>
                <w:tab w:pos="334" w:val="left" w:leader="none"/>
              </w:tabs>
              <w:spacing w:line="240" w:lineRule="auto" w:before="0" w:after="0"/>
              <w:ind w:left="333" w:right="0" w:hanging="219"/>
              <w:jc w:val="left"/>
              <w:rPr>
                <w:sz w:val="22"/>
              </w:rPr>
            </w:pPr>
            <w:r>
              <w:rPr>
                <w:sz w:val="22"/>
              </w:rPr>
              <w:t>Web</w:t>
            </w:r>
            <w:r>
              <w:rPr>
                <w:spacing w:val="-4"/>
                <w:sz w:val="22"/>
              </w:rPr>
              <w:t> </w:t>
            </w:r>
            <w:r>
              <w:rPr>
                <w:sz w:val="22"/>
              </w:rPr>
              <w:t>query</w:t>
            </w:r>
          </w:p>
          <w:p>
            <w:pPr>
              <w:pStyle w:val="TableParagraph"/>
              <w:numPr>
                <w:ilvl w:val="0"/>
                <w:numId w:val="55"/>
              </w:numPr>
              <w:tabs>
                <w:tab w:pos="334" w:val="left" w:leader="none"/>
              </w:tabs>
              <w:spacing w:line="240" w:lineRule="auto" w:before="1" w:after="0"/>
              <w:ind w:left="333" w:right="0" w:hanging="219"/>
              <w:jc w:val="left"/>
              <w:rPr>
                <w:sz w:val="22"/>
              </w:rPr>
            </w:pPr>
            <w:r>
              <w:rPr>
                <w:sz w:val="22"/>
              </w:rPr>
              <w:t>Custom data connection</w:t>
            </w:r>
            <w:r>
              <w:rPr>
                <w:spacing w:val="-9"/>
                <w:sz w:val="22"/>
              </w:rPr>
              <w:t> </w:t>
            </w:r>
            <w:r>
              <w:rPr>
                <w:sz w:val="22"/>
              </w:rPr>
              <w:t>source</w:t>
            </w:r>
          </w:p>
          <w:p>
            <w:pPr>
              <w:pStyle w:val="TableParagraph"/>
              <w:numPr>
                <w:ilvl w:val="0"/>
                <w:numId w:val="55"/>
              </w:numPr>
              <w:tabs>
                <w:tab w:pos="334" w:val="left" w:leader="none"/>
              </w:tabs>
              <w:spacing w:line="240" w:lineRule="auto" w:before="0" w:after="0"/>
              <w:ind w:left="333" w:right="0" w:hanging="219"/>
              <w:jc w:val="left"/>
              <w:rPr>
                <w:sz w:val="22"/>
              </w:rPr>
            </w:pPr>
            <w:r>
              <w:rPr>
                <w:sz w:val="22"/>
              </w:rPr>
              <w:t>Text-based</w:t>
            </w:r>
            <w:r>
              <w:rPr>
                <w:spacing w:val="-4"/>
                <w:sz w:val="22"/>
              </w:rPr>
              <w:t> </w:t>
            </w:r>
            <w:r>
              <w:rPr>
                <w:sz w:val="22"/>
              </w:rPr>
              <w:t>source</w:t>
            </w:r>
          </w:p>
          <w:p>
            <w:pPr>
              <w:pStyle w:val="TableParagraph"/>
              <w:numPr>
                <w:ilvl w:val="0"/>
                <w:numId w:val="55"/>
              </w:numPr>
              <w:tabs>
                <w:tab w:pos="334" w:val="left" w:leader="none"/>
              </w:tabs>
              <w:spacing w:line="240" w:lineRule="auto" w:before="0" w:after="0"/>
              <w:ind w:left="333" w:right="0" w:hanging="219"/>
              <w:jc w:val="left"/>
              <w:rPr>
                <w:sz w:val="22"/>
              </w:rPr>
            </w:pPr>
            <w:r>
              <w:rPr>
                <w:sz w:val="22"/>
                <w:u w:val="single"/>
              </w:rPr>
              <w:t>Custom data connection</w:t>
            </w:r>
            <w:r>
              <w:rPr>
                <w:spacing w:val="-10"/>
                <w:sz w:val="22"/>
                <w:u w:val="single"/>
              </w:rPr>
              <w:t> </w:t>
            </w:r>
            <w:r>
              <w:rPr>
                <w:sz w:val="22"/>
                <w:u w:val="single"/>
              </w:rPr>
              <w:t>source</w:t>
            </w:r>
          </w:p>
          <w:p>
            <w:pPr>
              <w:pStyle w:val="TableParagraph"/>
              <w:numPr>
                <w:ilvl w:val="0"/>
                <w:numId w:val="55"/>
              </w:numPr>
              <w:tabs>
                <w:tab w:pos="334" w:val="left" w:leader="none"/>
              </w:tabs>
              <w:spacing w:line="240" w:lineRule="auto" w:before="0" w:after="0"/>
              <w:ind w:left="333" w:right="0" w:hanging="219"/>
              <w:jc w:val="left"/>
              <w:rPr>
                <w:sz w:val="22"/>
              </w:rPr>
            </w:pPr>
            <w:r>
              <w:rPr>
                <w:sz w:val="22"/>
                <w:u w:val="single"/>
              </w:rPr>
              <w:t>Custom data connection</w:t>
            </w:r>
            <w:r>
              <w:rPr>
                <w:spacing w:val="-10"/>
                <w:sz w:val="22"/>
                <w:u w:val="single"/>
              </w:rPr>
              <w:t> </w:t>
            </w:r>
            <w:r>
              <w:rPr>
                <w:sz w:val="22"/>
                <w:u w:val="single"/>
              </w:rPr>
              <w:t>source</w:t>
            </w:r>
            <w:r>
              <w:rPr>
                <w:strike/>
                <w:sz w:val="22"/>
                <w:u w:val="single"/>
              </w:rPr>
              <w:t>DSP</w:t>
            </w:r>
          </w:p>
        </w:tc>
      </w:tr>
      <w:tr>
        <w:trPr>
          <w:trHeight w:val="1319"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before="115"/>
              <w:ind w:right="175"/>
              <w:rPr>
                <w:sz w:val="22"/>
              </w:rPr>
            </w:pPr>
            <w:r>
              <w:rPr>
                <w:sz w:val="22"/>
              </w:rPr>
              <w:t>Custom data connection source represents an application-defined connection technology. [</w:t>
            </w:r>
            <w:r>
              <w:rPr>
                <w:i/>
                <w:sz w:val="22"/>
              </w:rPr>
              <w:t>Note</w:t>
            </w:r>
            <w:r>
              <w:rPr>
                <w:sz w:val="22"/>
              </w:rPr>
              <w:t>: For example, Microsoft Office uses these values to represent DAO (2), application-defined connection file (3), OLE DB (5), ADO (7), and DSP (8) connections. </w:t>
            </w:r>
            <w:r>
              <w:rPr>
                <w:i/>
                <w:sz w:val="22"/>
              </w:rPr>
              <w:t>end</w:t>
            </w:r>
            <w:r>
              <w:rPr>
                <w:i/>
                <w:spacing w:val="-2"/>
                <w:sz w:val="22"/>
              </w:rPr>
              <w:t> </w:t>
            </w:r>
            <w:r>
              <w:rPr>
                <w:i/>
                <w:sz w:val="22"/>
              </w:rPr>
              <w:t>note</w:t>
            </w:r>
            <w:r>
              <w:rPr>
                <w:sz w:val="22"/>
              </w:rPr>
              <w:t>]</w:t>
            </w:r>
          </w:p>
        </w:tc>
      </w:tr>
      <w:tr>
        <w:trPr>
          <w:trHeight w:val="720" w:hRule="atLeast"/>
        </w:trPr>
        <w:tc>
          <w:tcPr>
            <w:tcW w:w="2062" w:type="dxa"/>
            <w:tcBorders>
              <w:top w:val="nil"/>
            </w:tcBorders>
          </w:tcPr>
          <w:p>
            <w:pPr>
              <w:pStyle w:val="TableParagraph"/>
              <w:spacing w:before="0"/>
              <w:ind w:left="0"/>
              <w:rPr>
                <w:rFonts w:ascii="Times New Roman"/>
                <w:sz w:val="22"/>
              </w:rPr>
            </w:pPr>
          </w:p>
        </w:tc>
        <w:tc>
          <w:tcPr>
            <w:tcW w:w="8250" w:type="dxa"/>
            <w:tcBorders>
              <w:top w:val="nil"/>
            </w:tcBorders>
          </w:tcPr>
          <w:p>
            <w:pPr>
              <w:pStyle w:val="TableParagraph"/>
              <w:spacing w:before="136"/>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462"/>
      </w:pPr>
      <w:r>
        <w:rPr/>
        <w:t>[</w:t>
      </w:r>
      <w:r>
        <w:rPr>
          <w:i/>
        </w:rPr>
        <w:t>Note</w:t>
      </w:r>
      <w:r>
        <w:rPr/>
        <w:t>: The W3C XML Schema definition of this element’s content model (</w:t>
      </w:r>
      <w:r>
        <w:rPr>
          <w:color w:val="5F5F5F"/>
          <w:u w:val="single" w:color="5F5F5F"/>
        </w:rPr>
        <w:t>CT_Connection</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2 connections (Connections)" w:id="1169"/>
      <w:bookmarkEnd w:id="1169"/>
      <w:r>
        <w:rPr>
          <w:b w:val="0"/>
        </w:rPr>
      </w:r>
      <w:bookmarkStart w:name="_bookmark388" w:id="1170"/>
      <w:bookmarkEnd w:id="1170"/>
      <w:r>
        <w:rPr>
          <w:b w:val="0"/>
        </w:rPr>
      </w:r>
      <w:bookmarkStart w:name="_bookmark388" w:id="1171"/>
      <w:bookmarkEnd w:id="1171"/>
      <w:r>
        <w:rPr>
          <w:color w:val="4F81BC"/>
        </w:rPr>
        <w:t>c</w:t>
      </w:r>
      <w:r>
        <w:rPr>
          <w:color w:val="4F81BC"/>
        </w:rPr>
        <w:t>onnections (Connections)</w:t>
      </w:r>
    </w:p>
    <w:p>
      <w:pPr>
        <w:pStyle w:val="BodyText"/>
        <w:spacing w:line="278" w:lineRule="auto" w:before="122"/>
        <w:ind w:left="220"/>
      </w:pPr>
      <w:r>
        <w:rPr/>
        <w:t>This element exists when there are one or more connections in the workbook. It is a container for the individual connection objects.</w:t>
      </w:r>
    </w:p>
    <w:p>
      <w:pPr>
        <w:pStyle w:val="BodyText"/>
        <w:spacing w:line="278" w:lineRule="auto" w:before="195"/>
        <w:ind w:left="220" w:right="376"/>
      </w:pPr>
      <w:r>
        <w:rPr/>
        <w:t>[</w:t>
      </w:r>
      <w:r>
        <w:rPr>
          <w:i/>
        </w:rPr>
        <w:t>Note</w:t>
      </w:r>
      <w:r>
        <w:rPr/>
        <w:t>: The W3C XML Schema definition of this element’s content model (</w:t>
      </w:r>
      <w:r>
        <w:rPr>
          <w:color w:val="5F5F5F"/>
          <w:u w:val="single" w:color="5F5F5F"/>
        </w:rPr>
        <w:t>CT_Connections</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3 dbPr (Database Properties)" w:id="1172"/>
      <w:bookmarkEnd w:id="1172"/>
      <w:r>
        <w:rPr>
          <w:b w:val="0"/>
        </w:rPr>
      </w:r>
      <w:bookmarkStart w:name="_bookmark389" w:id="1173"/>
      <w:bookmarkEnd w:id="1173"/>
      <w:r>
        <w:rPr>
          <w:b w:val="0"/>
        </w:rPr>
      </w:r>
      <w:bookmarkStart w:name="_bookmark389" w:id="1174"/>
      <w:bookmarkEnd w:id="1174"/>
      <w:r>
        <w:rPr>
          <w:color w:val="4F81BC"/>
        </w:rPr>
        <w:t>d</w:t>
      </w:r>
      <w:r>
        <w:rPr>
          <w:color w:val="4F81BC"/>
        </w:rPr>
        <w:t>bPr (Database Properties)</w:t>
      </w:r>
    </w:p>
    <w:p>
      <w:pPr>
        <w:pStyle w:val="BodyText"/>
        <w:spacing w:line="453" w:lineRule="auto" w:before="124"/>
        <w:ind w:left="220" w:right="1895"/>
      </w:pPr>
      <w:r>
        <w:rPr/>
        <w:t>This element stores all properties associated with an ODBC or OLE DB external data connection. [</w:t>
      </w:r>
      <w:r>
        <w:rPr>
          <w:i/>
        </w:rPr>
        <w:t>Example</w:t>
      </w:r>
      <w:r>
        <w:rPr/>
        <w:t>:</w:t>
      </w:r>
    </w:p>
    <w:p>
      <w:pPr>
        <w:pStyle w:val="BodyText"/>
        <w:spacing w:line="278" w:lineRule="auto" w:before="1"/>
        <w:ind w:left="220" w:right="961"/>
      </w:pPr>
      <w:r>
        <w:rPr/>
        <w:t>Data connectivity can use a number of different technologies. The following is one example XML fragment defining an OLE DB </w:t>
      </w:r>
      <w:r>
        <w:rPr>
          <w:rFonts w:ascii="Cambria"/>
        </w:rPr>
        <w:t>connection </w:t>
      </w:r>
      <w:r>
        <w:rPr/>
        <w:t>and the associated </w:t>
      </w:r>
      <w:r>
        <w:rPr>
          <w:rFonts w:ascii="Cambria"/>
        </w:rPr>
        <w:t>dbPr </w:t>
      </w:r>
      <w:r>
        <w:rPr/>
        <w:t>element:</w:t>
      </w:r>
    </w:p>
    <w:p>
      <w:pPr>
        <w:pStyle w:val="BodyText"/>
        <w:spacing w:before="198"/>
        <w:ind w:left="508"/>
        <w:rPr>
          <w:rFonts w:ascii="Consolas"/>
        </w:rPr>
      </w:pPr>
      <w:r>
        <w:rPr>
          <w:rFonts w:ascii="Consolas"/>
        </w:rPr>
        <w:t>&lt;connection id="2"</w:t>
      </w:r>
    </w:p>
    <w:p>
      <w:pPr>
        <w:pStyle w:val="BodyText"/>
        <w:spacing w:line="276" w:lineRule="auto" w:before="37"/>
        <w:ind w:left="750"/>
        <w:rPr>
          <w:rFonts w:ascii="Consolas"/>
        </w:rPr>
      </w:pPr>
      <w:r>
        <w:rPr>
          <w:rFonts w:ascii="Consolas"/>
        </w:rPr>
        <w:t>odcFile="C:\My Documents\My Data Sources\Northwind Orders.odc" keepAlive="1" name="Northwind Orders" description="northwind" type="5"</w:t>
      </w:r>
      <w:r>
        <w:rPr>
          <w:rFonts w:ascii="Consolas"/>
          <w:spacing w:val="-52"/>
        </w:rPr>
        <w:t> </w:t>
      </w:r>
      <w:r>
        <w:rPr>
          <w:rFonts w:ascii="Consolas"/>
        </w:rPr>
        <w:t>refreshedVersion="3"&gt;</w:t>
      </w:r>
    </w:p>
    <w:p>
      <w:pPr>
        <w:spacing w:after="0" w:line="276" w:lineRule="auto"/>
        <w:rPr>
          <w:rFonts w:ascii="Consolas"/>
        </w:rPr>
        <w:sectPr>
          <w:footerReference w:type="even" r:id="rId178"/>
          <w:footerReference w:type="default" r:id="rId179"/>
          <w:pgSz w:w="12240" w:h="15840"/>
          <w:pgMar w:footer="746" w:header="761" w:top="1340" w:bottom="940" w:left="860" w:right="700"/>
          <w:pgNumType w:start="2000"/>
        </w:sectPr>
      </w:pPr>
    </w:p>
    <w:p>
      <w:pPr>
        <w:pStyle w:val="BodyText"/>
        <w:spacing w:before="150"/>
        <w:ind w:left="750"/>
        <w:rPr>
          <w:rFonts w:ascii="Consolas"/>
        </w:rPr>
      </w:pPr>
      <w:r>
        <w:rPr>
          <w:rFonts w:ascii="Consolas"/>
        </w:rPr>
        <w:t>&lt;dbPr connection="Provider=SQLOLEDB.1;Persist</w:t>
      </w:r>
    </w:p>
    <w:p>
      <w:pPr>
        <w:pStyle w:val="BodyText"/>
        <w:spacing w:line="276" w:lineRule="auto" w:before="38"/>
        <w:ind w:left="993" w:right="542"/>
        <w:rPr>
          <w:rFonts w:ascii="Consolas"/>
        </w:rPr>
      </w:pPr>
      <w:r>
        <w:rPr>
          <w:rFonts w:ascii="Consolas"/>
        </w:rPr>
        <w:t>Security Info=True;Initial Catalog=Northwind;Data Source=dataserver1;Use Procedure for Prepare=1;Auto Translate=True;Packet Size=4096;Workstation ID=LOCAL_MACHINE_NAME;Use Encryption for Data=False;Tag with column collation when possible=False" command="&amp;quot;Northwind&amp;quot;.&amp;quot;dbo&amp;quot;.&amp;quot;Orders&amp;quot;" commandType="3"/&gt;</w:t>
      </w:r>
    </w:p>
    <w:p>
      <w:pPr>
        <w:pStyle w:val="BodyText"/>
        <w:spacing w:before="1"/>
        <w:ind w:left="508"/>
        <w:rPr>
          <w:rFonts w:ascii="Consolas"/>
        </w:rPr>
      </w:pPr>
      <w:r>
        <w:rPr>
          <w:rFonts w:ascii="Consolas"/>
        </w:rPr>
        <w:t>&lt;/connection&gt;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9176" w:hRule="atLeast"/>
        </w:trPr>
        <w:tc>
          <w:tcPr>
            <w:tcW w:w="2062" w:type="dxa"/>
          </w:tcPr>
          <w:p>
            <w:pPr>
              <w:pStyle w:val="TableParagraph"/>
              <w:spacing w:line="256" w:lineRule="exact" w:before="42"/>
              <w:rPr>
                <w:rFonts w:ascii="Cambria"/>
                <w:sz w:val="22"/>
              </w:rPr>
            </w:pPr>
            <w:r>
              <w:rPr>
                <w:rFonts w:ascii="Cambria"/>
                <w:sz w:val="22"/>
              </w:rPr>
              <w:t>command</w:t>
            </w:r>
          </w:p>
          <w:p>
            <w:pPr>
              <w:pStyle w:val="TableParagraph"/>
              <w:spacing w:line="267" w:lineRule="exact" w:before="0"/>
              <w:rPr>
                <w:sz w:val="22"/>
              </w:rPr>
            </w:pPr>
            <w:r>
              <w:rPr>
                <w:sz w:val="22"/>
              </w:rPr>
              <w:t>(Command Text)</w:t>
            </w:r>
          </w:p>
        </w:tc>
        <w:tc>
          <w:tcPr>
            <w:tcW w:w="8250" w:type="dxa"/>
          </w:tcPr>
          <w:p>
            <w:pPr>
              <w:pStyle w:val="TableParagraph"/>
              <w:ind w:right="106"/>
              <w:rPr>
                <w:sz w:val="22"/>
              </w:rPr>
            </w:pPr>
            <w:r>
              <w:rPr>
                <w:sz w:val="22"/>
              </w:rPr>
              <w:t>The string containing the database command to pass to the data provider that will interact with the external source in order to retrieve data. [</w:t>
            </w:r>
            <w:r>
              <w:rPr>
                <w:i/>
                <w:sz w:val="22"/>
              </w:rPr>
              <w:t>Note</w:t>
            </w:r>
            <w:r>
              <w:rPr>
                <w:sz w:val="22"/>
              </w:rPr>
              <w:t>: The SpreadsheetML application need not understand the command syntax. </w:t>
            </w:r>
            <w:r>
              <w:rPr>
                <w:i/>
                <w:sz w:val="22"/>
              </w:rPr>
              <w:t>end note</w:t>
            </w:r>
            <w:r>
              <w:rPr>
                <w:sz w:val="22"/>
              </w:rPr>
              <w:t>]</w:t>
            </w:r>
          </w:p>
          <w:p>
            <w:pPr>
              <w:pStyle w:val="TableParagraph"/>
              <w:spacing w:before="11"/>
              <w:ind w:left="0"/>
              <w:rPr>
                <w:sz w:val="21"/>
              </w:rPr>
            </w:pPr>
          </w:p>
          <w:p>
            <w:pPr>
              <w:pStyle w:val="TableParagraph"/>
              <w:spacing w:before="0"/>
              <w:rPr>
                <w:sz w:val="22"/>
              </w:rPr>
            </w:pPr>
            <w:r>
              <w:rPr>
                <w:sz w:val="22"/>
              </w:rPr>
              <w:t>[</w:t>
            </w:r>
            <w:r>
              <w:rPr>
                <w:i/>
                <w:sz w:val="22"/>
              </w:rPr>
              <w:t>Example</w:t>
            </w:r>
            <w:r>
              <w:rPr>
                <w:sz w:val="22"/>
              </w:rPr>
              <w:t>:</w:t>
            </w:r>
          </w:p>
          <w:p>
            <w:pPr>
              <w:pStyle w:val="TableParagraph"/>
              <w:spacing w:before="0"/>
              <w:ind w:right="366"/>
              <w:rPr>
                <w:sz w:val="22"/>
              </w:rPr>
            </w:pPr>
            <w:r>
              <w:rPr>
                <w:sz w:val="22"/>
              </w:rPr>
              <w:t>Data connectivity can use a number of different technologies. The following is one example of an ODBC </w:t>
            </w:r>
            <w:r>
              <w:rPr>
                <w:rFonts w:ascii="Cambria"/>
                <w:sz w:val="22"/>
              </w:rPr>
              <w:t>command </w:t>
            </w:r>
            <w:r>
              <w:rPr>
                <w:sz w:val="22"/>
              </w:rPr>
              <w:t>string of </w:t>
            </w:r>
            <w:r>
              <w:rPr>
                <w:rFonts w:ascii="Cambria"/>
                <w:sz w:val="22"/>
              </w:rPr>
              <w:t>commandType</w:t>
            </w:r>
            <w:r>
              <w:rPr>
                <w:sz w:val="22"/>
              </w:rPr>
              <w:t>=2 (for a Microsoft SQL Server database):</w:t>
            </w:r>
          </w:p>
          <w:p>
            <w:pPr>
              <w:pStyle w:val="TableParagraph"/>
              <w:spacing w:before="3"/>
              <w:ind w:left="0"/>
              <w:rPr>
                <w:sz w:val="22"/>
              </w:rPr>
            </w:pPr>
          </w:p>
          <w:p>
            <w:pPr>
              <w:pStyle w:val="TableParagraph"/>
              <w:spacing w:before="1"/>
              <w:ind w:left="403" w:right="617"/>
              <w:rPr>
                <w:rFonts w:ascii="Consolas"/>
                <w:sz w:val="22"/>
              </w:rPr>
            </w:pPr>
            <w:r>
              <w:rPr>
                <w:rFonts w:ascii="Consolas"/>
                <w:sz w:val="22"/>
              </w:rPr>
              <w:t>command="SELECT Orders.OrderID, Orders.OrderDate, Orders.ShipName, Orders.ShipAddress, Orders.ShipCity, Orders.ShipRegion, Orders.ShipPostalCode, Orders.ShipCountry_x000d</w:t>
            </w:r>
            <w:r>
              <w:rPr>
                <w:rFonts w:ascii="Consolas"/>
                <w:sz w:val="22"/>
                <w:u w:val="single"/>
              </w:rPr>
              <w:t> </w:t>
            </w:r>
            <w:r>
              <w:rPr>
                <w:rFonts w:ascii="Consolas"/>
                <w:sz w:val="22"/>
              </w:rPr>
              <w:t>x000a_FROM Northwind.dbo.Orders Orders_x000d</w:t>
            </w:r>
            <w:r>
              <w:rPr>
                <w:rFonts w:ascii="Consolas"/>
                <w:sz w:val="22"/>
                <w:u w:val="single"/>
              </w:rPr>
              <w:t> </w:t>
            </w:r>
            <w:r>
              <w:rPr>
                <w:rFonts w:ascii="Consolas"/>
                <w:sz w:val="22"/>
              </w:rPr>
              <w:t>x000a_WHERE (Orders.ShipCountry=?)"</w:t>
            </w:r>
          </w:p>
          <w:p>
            <w:pPr>
              <w:pStyle w:val="TableParagraph"/>
              <w:spacing w:before="8"/>
              <w:ind w:left="0"/>
              <w:rPr>
                <w:sz w:val="21"/>
              </w:rPr>
            </w:pPr>
          </w:p>
          <w:p>
            <w:pPr>
              <w:pStyle w:val="TableParagraph"/>
              <w:spacing w:before="1"/>
              <w:ind w:right="181"/>
              <w:rPr>
                <w:sz w:val="22"/>
              </w:rPr>
            </w:pPr>
            <w:r>
              <w:rPr>
                <w:sz w:val="22"/>
              </w:rPr>
              <w:t>Some characters in this string have been escaped - for more information on the escaping scheme, please refer to the ST_Xstring simple type definition. </w:t>
            </w:r>
            <w:r>
              <w:rPr>
                <w:i/>
                <w:sz w:val="22"/>
              </w:rPr>
              <w:t>end example</w:t>
            </w:r>
            <w:r>
              <w:rPr>
                <w:sz w:val="22"/>
              </w:rPr>
              <w:t>]</w:t>
            </w:r>
          </w:p>
          <w:p>
            <w:pPr>
              <w:pStyle w:val="TableParagraph"/>
              <w:spacing w:before="0"/>
              <w:ind w:left="0"/>
              <w:rPr>
                <w:sz w:val="22"/>
              </w:rPr>
            </w:pPr>
          </w:p>
          <w:p>
            <w:pPr>
              <w:pStyle w:val="TableParagraph"/>
              <w:spacing w:before="0"/>
              <w:ind w:right="324"/>
              <w:rPr>
                <w:sz w:val="22"/>
              </w:rPr>
            </w:pPr>
            <w:r>
              <w:rPr>
                <w:sz w:val="22"/>
              </w:rPr>
              <w:t>[</w:t>
            </w:r>
            <w:r>
              <w:rPr>
                <w:i/>
                <w:sz w:val="22"/>
              </w:rPr>
              <w:t>Note</w:t>
            </w:r>
            <w:r>
              <w:rPr>
                <w:sz w:val="22"/>
              </w:rPr>
              <w:t>: the "?" syntax in the string is something that the ODBC data provider is aware of and might replace with a </w:t>
            </w:r>
            <w:r>
              <w:rPr>
                <w:rFonts w:ascii="Cambria"/>
                <w:sz w:val="22"/>
              </w:rPr>
              <w:t>parameter </w:t>
            </w:r>
            <w:r>
              <w:rPr>
                <w:sz w:val="22"/>
              </w:rPr>
              <w:t>before execution. </w:t>
            </w:r>
            <w:r>
              <w:rPr>
                <w:i/>
                <w:sz w:val="22"/>
              </w:rPr>
              <w:t>end note</w:t>
            </w:r>
            <w:r>
              <w:rPr>
                <w:sz w:val="22"/>
              </w:rPr>
              <w:t>]</w:t>
            </w:r>
          </w:p>
          <w:p>
            <w:pPr>
              <w:pStyle w:val="TableParagraph"/>
              <w:spacing w:before="1"/>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0"/>
              <w:ind w:right="427"/>
              <w:rPr>
                <w:sz w:val="22"/>
              </w:rPr>
            </w:pPr>
            <w:r>
              <w:rPr>
                <w:sz w:val="22"/>
              </w:rPr>
              <w:t>Data connectivity can use a number of different technologies. The following is one example of an OLE DB </w:t>
            </w:r>
            <w:r>
              <w:rPr>
                <w:rFonts w:ascii="Cambria"/>
                <w:sz w:val="22"/>
              </w:rPr>
              <w:t>command </w:t>
            </w:r>
            <w:r>
              <w:rPr>
                <w:sz w:val="22"/>
              </w:rPr>
              <w:t>string of </w:t>
            </w:r>
            <w:r>
              <w:rPr>
                <w:rFonts w:ascii="Cambria"/>
                <w:sz w:val="22"/>
              </w:rPr>
              <w:t>commandType</w:t>
            </w:r>
            <w:r>
              <w:rPr>
                <w:sz w:val="22"/>
              </w:rPr>
              <w:t>=3 (for an Oracle database):</w:t>
            </w:r>
          </w:p>
          <w:p>
            <w:pPr>
              <w:pStyle w:val="TableParagraph"/>
              <w:spacing w:before="1"/>
              <w:ind w:left="0"/>
              <w:rPr>
                <w:sz w:val="22"/>
              </w:rPr>
            </w:pPr>
          </w:p>
          <w:p>
            <w:pPr>
              <w:pStyle w:val="TableParagraph"/>
              <w:spacing w:before="0"/>
              <w:ind w:left="403"/>
              <w:rPr>
                <w:rFonts w:ascii="Consolas"/>
                <w:sz w:val="22"/>
              </w:rPr>
            </w:pPr>
            <w:r>
              <w:rPr>
                <w:rFonts w:ascii="Consolas"/>
                <w:sz w:val="22"/>
              </w:rPr>
              <w:t>command="&amp;quot;TESTDB&amp;quot;.&amp;quot;ShippersTable&amp;quot;"</w:t>
            </w:r>
          </w:p>
          <w:p>
            <w:pPr>
              <w:pStyle w:val="TableParagraph"/>
              <w:spacing w:before="0"/>
              <w:ind w:left="0"/>
              <w:rPr>
                <w:sz w:val="22"/>
              </w:rPr>
            </w:pPr>
          </w:p>
          <w:p>
            <w:pPr>
              <w:pStyle w:val="TableParagraph"/>
              <w:spacing w:before="0"/>
              <w:rPr>
                <w:sz w:val="22"/>
              </w:rPr>
            </w:pPr>
            <w:r>
              <w:rPr>
                <w:i/>
                <w:sz w:val="22"/>
              </w:rPr>
              <w:t>end example</w:t>
            </w:r>
            <w:r>
              <w:rPr>
                <w:sz w:val="22"/>
              </w:rPr>
              <w:t>]</w:t>
            </w:r>
          </w:p>
          <w:p>
            <w:pPr>
              <w:pStyle w:val="TableParagraph"/>
              <w:spacing w:before="10"/>
              <w:ind w:left="0"/>
              <w:rPr>
                <w:sz w:val="21"/>
              </w:rPr>
            </w:pPr>
          </w:p>
          <w:p>
            <w:pPr>
              <w:pStyle w:val="TableParagraph"/>
              <w:spacing w:before="0"/>
              <w:ind w:right="294"/>
              <w:rPr>
                <w:sz w:val="22"/>
              </w:rPr>
            </w:pPr>
            <w:r>
              <w:rPr>
                <w:sz w:val="22"/>
              </w:rPr>
              <w:t>[</w:t>
            </w:r>
            <w:r>
              <w:rPr>
                <w:i/>
                <w:sz w:val="22"/>
              </w:rPr>
              <w:t>Note</w:t>
            </w:r>
            <w:r>
              <w:rPr>
                <w:sz w:val="22"/>
              </w:rPr>
              <w:t>: Data connectivity can use a number of different technologies. A few examples of potential values stored in this attribute can be found at:</w:t>
            </w:r>
          </w:p>
          <w:p>
            <w:pPr>
              <w:pStyle w:val="TableParagraph"/>
              <w:numPr>
                <w:ilvl w:val="0"/>
                <w:numId w:val="56"/>
              </w:numPr>
              <w:tabs>
                <w:tab w:pos="834" w:val="left" w:leader="none"/>
                <w:tab w:pos="835" w:val="left" w:leader="none"/>
              </w:tabs>
              <w:spacing w:line="240" w:lineRule="auto" w:before="1" w:after="0"/>
              <w:ind w:left="835" w:right="1710" w:hanging="360"/>
              <w:jc w:val="left"/>
              <w:rPr>
                <w:sz w:val="22"/>
              </w:rPr>
            </w:pPr>
            <w:r>
              <w:rPr>
                <w:color w:val="5F5F5F"/>
                <w:spacing w:val="-1"/>
                <w:sz w:val="22"/>
                <w:u w:val="single" w:color="5F5F5F"/>
              </w:rPr>
              <w:t>http://msdn.microsoft.com/library/default.asp?url=/library/en- </w:t>
            </w:r>
            <w:r>
              <w:rPr>
                <w:color w:val="5F5F5F"/>
                <w:sz w:val="22"/>
                <w:u w:val="single" w:color="5F5F5F"/>
              </w:rPr>
              <w:t>us/odbc/htm/odbcsql_statements.asp</w:t>
            </w:r>
          </w:p>
          <w:p>
            <w:pPr>
              <w:pStyle w:val="TableParagraph"/>
              <w:numPr>
                <w:ilvl w:val="0"/>
                <w:numId w:val="56"/>
              </w:numPr>
              <w:tabs>
                <w:tab w:pos="834" w:val="left" w:leader="none"/>
                <w:tab w:pos="835" w:val="left" w:leader="none"/>
              </w:tabs>
              <w:spacing w:line="240" w:lineRule="auto" w:before="1" w:after="0"/>
              <w:ind w:left="835" w:right="0" w:hanging="360"/>
              <w:jc w:val="left"/>
              <w:rPr>
                <w:sz w:val="22"/>
              </w:rPr>
            </w:pPr>
            <w:r>
              <w:rPr>
                <w:color w:val="5F5F5F"/>
                <w:sz w:val="22"/>
                <w:u w:val="single" w:color="5F5F5F"/>
              </w:rPr>
              <w:t>http://msdn.microsoft.com/library/default.asp?url=/library/en-</w:t>
            </w:r>
          </w:p>
        </w:tc>
      </w:tr>
    </w:tbl>
    <w:p>
      <w:pPr>
        <w:spacing w:after="0" w:line="240" w:lineRule="auto"/>
        <w:jc w:val="left"/>
        <w:rPr>
          <w:sz w:val="22"/>
        </w:rPr>
        <w:sectPr>
          <w:pgSz w:w="12240" w:h="15840"/>
          <w:pgMar w:header="763" w:footer="746" w:top="1340" w:bottom="940" w:left="860" w:right="700"/>
        </w:sectPr>
      </w:pPr>
    </w:p>
    <w:p>
      <w:pPr>
        <w:pStyle w:val="BodyText"/>
        <w:spacing w:before="1"/>
        <w:rPr>
          <w:rFonts w:ascii="Times New Roman"/>
          <w:sz w:val="8"/>
        </w:rPr>
      </w:pPr>
      <w:r>
        <w:rPr/>
        <w:pict>
          <v:rect style="position:absolute;margin-left:430.630005pt;margin-top:244.100006pt;width:2.52pt;height:.72pt;mso-position-horizontal-relative:page;mso-position-vertical-relative:page;z-index:-335910912" filled="true" fillcolor="#000000" stroked="false">
            <v:fill type="solid"/>
            <w10:wrap type="none"/>
          </v:rect>
        </w:pic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77" w:hRule="atLeast"/>
        </w:trPr>
        <w:tc>
          <w:tcPr>
            <w:tcW w:w="2062" w:type="dxa"/>
          </w:tcPr>
          <w:p>
            <w:pPr>
              <w:pStyle w:val="TableParagraph"/>
              <w:spacing w:before="0"/>
              <w:ind w:left="0"/>
              <w:rPr>
                <w:rFonts w:ascii="Times New Roman"/>
                <w:sz w:val="22"/>
              </w:rPr>
            </w:pPr>
          </w:p>
        </w:tc>
        <w:tc>
          <w:tcPr>
            <w:tcW w:w="8250" w:type="dxa"/>
          </w:tcPr>
          <w:p>
            <w:pPr>
              <w:pStyle w:val="TableParagraph"/>
              <w:ind w:left="835"/>
              <w:rPr>
                <w:sz w:val="22"/>
              </w:rPr>
            </w:pPr>
            <w:r>
              <w:rPr>
                <w:color w:val="5F5F5F"/>
                <w:sz w:val="22"/>
                <w:u w:val="single" w:color="5F5F5F"/>
              </w:rPr>
              <w:t>us/odbc/htm/odbcsql_minimum_grammar.asp</w:t>
            </w:r>
          </w:p>
          <w:p>
            <w:pPr>
              <w:pStyle w:val="TableParagraph"/>
              <w:numPr>
                <w:ilvl w:val="0"/>
                <w:numId w:val="57"/>
              </w:numPr>
              <w:tabs>
                <w:tab w:pos="834" w:val="left" w:leader="none"/>
                <w:tab w:pos="835" w:val="left" w:leader="none"/>
              </w:tabs>
              <w:spacing w:line="240" w:lineRule="auto" w:before="0" w:after="0"/>
              <w:ind w:left="835" w:right="1710" w:hanging="360"/>
              <w:jc w:val="left"/>
              <w:rPr>
                <w:sz w:val="22"/>
              </w:rPr>
            </w:pPr>
            <w:r>
              <w:rPr>
                <w:color w:val="5F5F5F"/>
                <w:spacing w:val="-1"/>
                <w:sz w:val="22"/>
                <w:u w:val="single" w:color="5F5F5F"/>
              </w:rPr>
              <w:t>http://msdn.microsoft.com/library/default.asp?url=/library/en- </w:t>
            </w:r>
            <w:r>
              <w:rPr>
                <w:color w:val="5F5F5F"/>
                <w:sz w:val="22"/>
                <w:u w:val="single" w:color="5F5F5F"/>
              </w:rPr>
              <w:t>us/oledb/htm/oledbusing_commands.asp</w:t>
            </w:r>
          </w:p>
          <w:p>
            <w:pPr>
              <w:pStyle w:val="TableParagraph"/>
              <w:spacing w:before="1"/>
              <w:rPr>
                <w:sz w:val="22"/>
              </w:rPr>
            </w:pPr>
            <w:r>
              <w:rPr>
                <w:i/>
                <w:sz w:val="22"/>
              </w:rPr>
              <w:t>end note</w:t>
            </w:r>
            <w:r>
              <w:rPr>
                <w:sz w:val="22"/>
              </w:rPr>
              <w:t>]</w:t>
            </w:r>
          </w:p>
          <w:p>
            <w:pPr>
              <w:pStyle w:val="TableParagraph"/>
              <w:spacing w:before="2"/>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578" w:hRule="atLeast"/>
        </w:trPr>
        <w:tc>
          <w:tcPr>
            <w:tcW w:w="2062" w:type="dxa"/>
          </w:tcPr>
          <w:p>
            <w:pPr>
              <w:pStyle w:val="TableParagraph"/>
              <w:spacing w:before="42"/>
              <w:ind w:right="93"/>
              <w:rPr>
                <w:sz w:val="22"/>
              </w:rPr>
            </w:pPr>
            <w:r>
              <w:rPr>
                <w:rFonts w:ascii="Cambria"/>
                <w:sz w:val="22"/>
              </w:rPr>
              <w:t>commandType </w:t>
            </w:r>
            <w:r>
              <w:rPr>
                <w:sz w:val="22"/>
              </w:rPr>
              <w:t>(custom data source Command Type)</w:t>
            </w:r>
          </w:p>
        </w:tc>
        <w:tc>
          <w:tcPr>
            <w:tcW w:w="8250" w:type="dxa"/>
          </w:tcPr>
          <w:p>
            <w:pPr>
              <w:pStyle w:val="TableParagraph"/>
              <w:ind w:right="318"/>
              <w:rPr>
                <w:sz w:val="22"/>
              </w:rPr>
            </w:pPr>
            <w:r>
              <w:rPr>
                <w:sz w:val="22"/>
              </w:rPr>
              <w:t>Specifies the custom data source command type. Values are passed to the custom data source provider.</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 For the OLE DB custom data source provider, valid values are as follows:</w:t>
            </w:r>
          </w:p>
          <w:p>
            <w:pPr>
              <w:pStyle w:val="TableParagraph"/>
              <w:numPr>
                <w:ilvl w:val="0"/>
                <w:numId w:val="58"/>
              </w:numPr>
              <w:tabs>
                <w:tab w:pos="334" w:val="left" w:leader="none"/>
              </w:tabs>
              <w:spacing w:line="240" w:lineRule="auto" w:before="1" w:after="0"/>
              <w:ind w:left="333" w:right="0" w:hanging="219"/>
              <w:jc w:val="left"/>
              <w:rPr>
                <w:sz w:val="22"/>
              </w:rPr>
            </w:pPr>
            <w:r>
              <w:rPr>
                <w:sz w:val="22"/>
              </w:rPr>
              <w:t>Query specifies a cube</w:t>
            </w:r>
            <w:r>
              <w:rPr>
                <w:spacing w:val="-2"/>
                <w:sz w:val="22"/>
              </w:rPr>
              <w:t> </w:t>
            </w:r>
            <w:r>
              <w:rPr>
                <w:sz w:val="22"/>
              </w:rPr>
              <w:t>name</w:t>
            </w:r>
          </w:p>
          <w:p>
            <w:pPr>
              <w:pStyle w:val="TableParagraph"/>
              <w:numPr>
                <w:ilvl w:val="0"/>
                <w:numId w:val="58"/>
              </w:numPr>
              <w:tabs>
                <w:tab w:pos="334" w:val="left" w:leader="none"/>
              </w:tabs>
              <w:spacing w:line="240" w:lineRule="auto" w:before="1" w:after="0"/>
              <w:ind w:left="333" w:right="0" w:hanging="219"/>
              <w:jc w:val="left"/>
              <w:rPr>
                <w:sz w:val="22"/>
              </w:rPr>
            </w:pPr>
            <w:r>
              <w:rPr>
                <w:sz w:val="22"/>
              </w:rPr>
              <w:t>Query specifies a SQL</w:t>
            </w:r>
            <w:r>
              <w:rPr>
                <w:spacing w:val="-5"/>
                <w:sz w:val="22"/>
              </w:rPr>
              <w:t> </w:t>
            </w:r>
            <w:r>
              <w:rPr>
                <w:sz w:val="22"/>
              </w:rPr>
              <w:t>statement</w:t>
            </w:r>
          </w:p>
          <w:p>
            <w:pPr>
              <w:pStyle w:val="TableParagraph"/>
              <w:numPr>
                <w:ilvl w:val="0"/>
                <w:numId w:val="58"/>
              </w:numPr>
              <w:tabs>
                <w:tab w:pos="334" w:val="left" w:leader="none"/>
              </w:tabs>
              <w:spacing w:line="267" w:lineRule="exact" w:before="0" w:after="0"/>
              <w:ind w:left="333" w:right="0" w:hanging="219"/>
              <w:jc w:val="left"/>
              <w:rPr>
                <w:sz w:val="22"/>
              </w:rPr>
            </w:pPr>
            <w:r>
              <w:rPr>
                <w:sz w:val="22"/>
              </w:rPr>
              <w:t>Query specifies a table</w:t>
            </w:r>
            <w:r>
              <w:rPr>
                <w:spacing w:val="-6"/>
                <w:sz w:val="22"/>
              </w:rPr>
              <w:t> </w:t>
            </w:r>
            <w:r>
              <w:rPr>
                <w:sz w:val="22"/>
              </w:rPr>
              <w:t>name</w:t>
            </w:r>
          </w:p>
          <w:p>
            <w:pPr>
              <w:pStyle w:val="TableParagraph"/>
              <w:numPr>
                <w:ilvl w:val="0"/>
                <w:numId w:val="58"/>
              </w:numPr>
              <w:tabs>
                <w:tab w:pos="334" w:val="left" w:leader="none"/>
              </w:tabs>
              <w:spacing w:line="240" w:lineRule="auto" w:before="0" w:after="0"/>
              <w:ind w:left="115" w:right="456" w:firstLine="0"/>
              <w:jc w:val="left"/>
              <w:rPr>
                <w:sz w:val="22"/>
              </w:rPr>
            </w:pPr>
            <w:r>
              <w:rPr>
                <w:sz w:val="22"/>
              </w:rPr>
              <w:t>Query specifies that default information has been given, and it is up to the</w:t>
            </w:r>
            <w:r>
              <w:rPr>
                <w:spacing w:val="-28"/>
                <w:sz w:val="22"/>
              </w:rPr>
              <w:t> </w:t>
            </w:r>
            <w:r>
              <w:rPr>
                <w:sz w:val="22"/>
              </w:rPr>
              <w:t>provider how to</w:t>
            </w:r>
            <w:r>
              <w:rPr>
                <w:spacing w:val="-2"/>
                <w:sz w:val="22"/>
              </w:rPr>
              <w:t> </w:t>
            </w:r>
            <w:r>
              <w:rPr>
                <w:sz w:val="22"/>
              </w:rPr>
              <w:t>interpret.</w:t>
            </w:r>
          </w:p>
          <w:p>
            <w:pPr>
              <w:pStyle w:val="TableParagraph"/>
              <w:numPr>
                <w:ilvl w:val="0"/>
                <w:numId w:val="58"/>
              </w:numPr>
              <w:tabs>
                <w:tab w:pos="334" w:val="left" w:leader="none"/>
              </w:tabs>
              <w:spacing w:line="240" w:lineRule="auto" w:before="0" w:after="0"/>
              <w:ind w:left="333" w:right="0" w:hanging="219"/>
              <w:jc w:val="left"/>
              <w:rPr>
                <w:sz w:val="22"/>
              </w:rPr>
            </w:pPr>
            <w:r>
              <w:rPr>
                <w:sz w:val="22"/>
              </w:rPr>
              <w:t>Query is against a web based List Data Provider. </w:t>
            </w:r>
            <w:r>
              <w:rPr>
                <w:i/>
                <w:sz w:val="22"/>
              </w:rPr>
              <w:t>end</w:t>
            </w:r>
            <w:r>
              <w:rPr>
                <w:i/>
                <w:spacing w:val="-8"/>
                <w:sz w:val="22"/>
              </w:rPr>
              <w:t> </w:t>
            </w:r>
            <w:r>
              <w:rPr>
                <w:i/>
                <w:sz w:val="22"/>
              </w:rPr>
              <w:t>example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6758" w:hRule="atLeast"/>
        </w:trPr>
        <w:tc>
          <w:tcPr>
            <w:tcW w:w="2062" w:type="dxa"/>
          </w:tcPr>
          <w:p>
            <w:pPr>
              <w:pStyle w:val="TableParagraph"/>
              <w:spacing w:line="256" w:lineRule="exact" w:before="42"/>
              <w:rPr>
                <w:rFonts w:ascii="Cambria"/>
                <w:sz w:val="22"/>
              </w:rPr>
            </w:pPr>
            <w:r>
              <w:rPr>
                <w:rFonts w:ascii="Cambria"/>
                <w:sz w:val="22"/>
              </w:rPr>
              <w:t>connection</w:t>
            </w:r>
          </w:p>
          <w:p>
            <w:pPr>
              <w:pStyle w:val="TableParagraph"/>
              <w:spacing w:line="267" w:lineRule="exact" w:before="0"/>
              <w:rPr>
                <w:sz w:val="22"/>
              </w:rPr>
            </w:pPr>
            <w:r>
              <w:rPr>
                <w:sz w:val="22"/>
              </w:rPr>
              <w:t>(Connection String)</w:t>
            </w:r>
          </w:p>
        </w:tc>
        <w:tc>
          <w:tcPr>
            <w:tcW w:w="8250" w:type="dxa"/>
          </w:tcPr>
          <w:p>
            <w:pPr>
              <w:pStyle w:val="TableParagraph"/>
              <w:ind w:right="617"/>
              <w:rPr>
                <w:sz w:val="22"/>
              </w:rPr>
            </w:pPr>
            <w:r>
              <w:rPr>
                <w:sz w:val="22"/>
              </w:rPr>
              <w:t>The string used to initiate a session with a data source. [</w:t>
            </w:r>
            <w:r>
              <w:rPr>
                <w:i/>
                <w:sz w:val="22"/>
              </w:rPr>
              <w:t>Note</w:t>
            </w:r>
            <w:r>
              <w:rPr>
                <w:sz w:val="22"/>
              </w:rPr>
              <w:t>: The SpreadsheetML application need not understand the connection syntax. </w:t>
            </w:r>
            <w:r>
              <w:rPr>
                <w:i/>
                <w:sz w:val="22"/>
              </w:rPr>
              <w:t>end note</w:t>
            </w:r>
            <w:r>
              <w:rPr>
                <w:sz w:val="22"/>
              </w:rPr>
              <w:t>]</w:t>
            </w:r>
          </w:p>
          <w:p>
            <w:pPr>
              <w:pStyle w:val="TableParagraph"/>
              <w:spacing w:before="4"/>
              <w:ind w:left="0"/>
              <w:rPr>
                <w:rFonts w:ascii="Times New Roman"/>
                <w:sz w:val="23"/>
              </w:rPr>
            </w:pPr>
          </w:p>
          <w:p>
            <w:pPr>
              <w:pStyle w:val="TableParagraph"/>
              <w:spacing w:before="0"/>
              <w:rPr>
                <w:sz w:val="22"/>
              </w:rPr>
            </w:pPr>
            <w:r>
              <w:rPr>
                <w:sz w:val="22"/>
              </w:rPr>
              <w:t>[</w:t>
            </w:r>
            <w:r>
              <w:rPr>
                <w:i/>
                <w:sz w:val="22"/>
              </w:rPr>
              <w:t>Example</w:t>
            </w:r>
            <w:r>
              <w:rPr>
                <w:sz w:val="22"/>
              </w:rPr>
              <w:t>: ODBC </w:t>
            </w:r>
            <w:r>
              <w:rPr>
                <w:rFonts w:ascii="Cambria"/>
                <w:sz w:val="22"/>
              </w:rPr>
              <w:t>connection </w:t>
            </w:r>
            <w:r>
              <w:rPr>
                <w:sz w:val="22"/>
              </w:rPr>
              <w:t>string to a database:</w:t>
            </w:r>
          </w:p>
          <w:p>
            <w:pPr>
              <w:pStyle w:val="TableParagraph"/>
              <w:spacing w:before="5"/>
              <w:ind w:left="0"/>
              <w:rPr>
                <w:rFonts w:ascii="Times New Roman"/>
                <w:sz w:val="23"/>
              </w:rPr>
            </w:pPr>
          </w:p>
          <w:p>
            <w:pPr>
              <w:pStyle w:val="TableParagraph"/>
              <w:spacing w:before="0"/>
              <w:ind w:left="403" w:right="157"/>
              <w:rPr>
                <w:rFonts w:ascii="Consolas"/>
                <w:sz w:val="22"/>
              </w:rPr>
            </w:pPr>
            <w:r>
              <w:rPr>
                <w:rFonts w:ascii="Consolas"/>
                <w:sz w:val="22"/>
              </w:rPr>
              <w:t>connection="DRIVER=SQL Server;SERVER=example_server;UID=example_useralias;APP=Microsof t Office 2007;WSID=user_alias;Trusted_Connection=Yes"</w:t>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 of an OLE DB </w:t>
            </w:r>
            <w:r>
              <w:rPr>
                <w:rFonts w:ascii="Cambria"/>
                <w:sz w:val="22"/>
              </w:rPr>
              <w:t>connection </w:t>
            </w:r>
            <w:r>
              <w:rPr>
                <w:sz w:val="22"/>
              </w:rPr>
              <w:t>string to an Oracle database:</w:t>
            </w:r>
          </w:p>
          <w:p>
            <w:pPr>
              <w:pStyle w:val="TableParagraph"/>
              <w:spacing w:before="7"/>
              <w:ind w:left="0"/>
              <w:rPr>
                <w:rFonts w:ascii="Times New Roman"/>
                <w:sz w:val="23"/>
              </w:rPr>
            </w:pPr>
          </w:p>
          <w:p>
            <w:pPr>
              <w:pStyle w:val="TableParagraph"/>
              <w:spacing w:before="0"/>
              <w:ind w:left="403"/>
              <w:rPr>
                <w:rFonts w:ascii="Consolas"/>
                <w:sz w:val="22"/>
              </w:rPr>
            </w:pPr>
            <w:r>
              <w:rPr>
                <w:rFonts w:ascii="Consolas"/>
                <w:sz w:val="22"/>
              </w:rPr>
              <w:t>connection="Provider=OraOLEDB.Oracle.1;Password=example_passwor d;Persist Security Info=True;User ID=example_useralias;Data Source=example_server;Extended Properties=&amp;quot;&amp;quot;"</w:t>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2"/>
              <w:ind w:left="0"/>
              <w:rPr>
                <w:rFonts w:ascii="Times New Roman"/>
                <w:sz w:val="23"/>
              </w:rPr>
            </w:pPr>
          </w:p>
          <w:p>
            <w:pPr>
              <w:pStyle w:val="TableParagraph"/>
              <w:spacing w:before="1"/>
              <w:ind w:right="294"/>
              <w:rPr>
                <w:sz w:val="22"/>
              </w:rPr>
            </w:pPr>
            <w:r>
              <w:rPr>
                <w:sz w:val="22"/>
              </w:rPr>
              <w:t>[</w:t>
            </w:r>
            <w:r>
              <w:rPr>
                <w:i/>
                <w:sz w:val="22"/>
              </w:rPr>
              <w:t>Note</w:t>
            </w:r>
            <w:r>
              <w:rPr>
                <w:sz w:val="22"/>
              </w:rPr>
              <w:t>: Data connectivity can use a number of different technologies. A few examples of potential values stored in this attribute can be found at:</w:t>
            </w:r>
          </w:p>
          <w:p>
            <w:pPr>
              <w:pStyle w:val="TableParagraph"/>
              <w:numPr>
                <w:ilvl w:val="0"/>
                <w:numId w:val="59"/>
              </w:numPr>
              <w:tabs>
                <w:tab w:pos="834" w:val="left" w:leader="none"/>
                <w:tab w:pos="835" w:val="left" w:leader="none"/>
              </w:tabs>
              <w:spacing w:line="240" w:lineRule="auto" w:before="0" w:after="0"/>
              <w:ind w:left="835" w:right="1710" w:hanging="360"/>
              <w:jc w:val="left"/>
              <w:rPr>
                <w:sz w:val="22"/>
              </w:rPr>
            </w:pPr>
            <w:r>
              <w:rPr>
                <w:color w:val="5F5F5F"/>
                <w:spacing w:val="-1"/>
                <w:sz w:val="22"/>
                <w:u w:val="single" w:color="5F5F5F"/>
              </w:rPr>
              <w:t>http://msdn.microsoft.com/library/default.asp?url=/library/en- </w:t>
            </w:r>
            <w:r>
              <w:rPr>
                <w:color w:val="5F5F5F"/>
                <w:sz w:val="22"/>
                <w:u w:val="single" w:color="5F5F5F"/>
              </w:rPr>
              <w:t>us/odbc/htm/dasdkodbcoverview.asp</w:t>
            </w:r>
          </w:p>
          <w:p>
            <w:pPr>
              <w:pStyle w:val="TableParagraph"/>
              <w:numPr>
                <w:ilvl w:val="0"/>
                <w:numId w:val="59"/>
              </w:numPr>
              <w:tabs>
                <w:tab w:pos="834" w:val="left" w:leader="none"/>
                <w:tab w:pos="835" w:val="left" w:leader="none"/>
              </w:tabs>
              <w:spacing w:line="240" w:lineRule="auto" w:before="1" w:after="0"/>
              <w:ind w:left="835" w:right="1710" w:hanging="360"/>
              <w:jc w:val="left"/>
              <w:rPr>
                <w:sz w:val="22"/>
              </w:rPr>
            </w:pPr>
            <w:r>
              <w:rPr>
                <w:color w:val="5F5F5F"/>
                <w:spacing w:val="-1"/>
                <w:sz w:val="22"/>
                <w:u w:val="single" w:color="5F5F5F"/>
              </w:rPr>
              <w:t>http://msdn.microsoft.com/library/default.asp?url=/library/en- </w:t>
            </w:r>
            <w:r>
              <w:rPr>
                <w:color w:val="5F5F5F"/>
                <w:sz w:val="22"/>
                <w:u w:val="single" w:color="5F5F5F"/>
              </w:rPr>
              <w:t>us/odbcsql/od_odbc_d_4x4k.asp</w:t>
            </w:r>
          </w:p>
        </w:tc>
      </w:tr>
    </w:tbl>
    <w:p>
      <w:pPr>
        <w:spacing w:after="0" w:line="240" w:lineRule="auto"/>
        <w:jc w:val="left"/>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514" w:hRule="atLeast"/>
        </w:trPr>
        <w:tc>
          <w:tcPr>
            <w:tcW w:w="2062" w:type="dxa"/>
          </w:tcPr>
          <w:p>
            <w:pPr>
              <w:pStyle w:val="TableParagraph"/>
              <w:spacing w:before="0"/>
              <w:ind w:left="0"/>
              <w:rPr>
                <w:rFonts w:ascii="Times New Roman"/>
                <w:sz w:val="22"/>
              </w:rPr>
            </w:pPr>
          </w:p>
        </w:tc>
        <w:tc>
          <w:tcPr>
            <w:tcW w:w="8250" w:type="dxa"/>
          </w:tcPr>
          <w:p>
            <w:pPr>
              <w:pStyle w:val="TableParagraph"/>
              <w:numPr>
                <w:ilvl w:val="0"/>
                <w:numId w:val="60"/>
              </w:numPr>
              <w:tabs>
                <w:tab w:pos="834" w:val="left" w:leader="none"/>
                <w:tab w:pos="835" w:val="left" w:leader="none"/>
              </w:tabs>
              <w:spacing w:line="240" w:lineRule="auto" w:before="40" w:after="0"/>
              <w:ind w:left="835" w:right="1710" w:hanging="360"/>
              <w:jc w:val="left"/>
              <w:rPr>
                <w:sz w:val="22"/>
              </w:rPr>
            </w:pPr>
            <w:r>
              <w:rPr>
                <w:color w:val="5F5F5F"/>
                <w:spacing w:val="-1"/>
                <w:sz w:val="22"/>
                <w:u w:val="single" w:color="5F5F5F"/>
              </w:rPr>
              <w:t>http://msdn.microsoft.com/library/default.asp?url=/library/en- </w:t>
            </w:r>
            <w:r>
              <w:rPr>
                <w:color w:val="5F5F5F"/>
                <w:sz w:val="22"/>
                <w:u w:val="single" w:color="5F5F5F"/>
              </w:rPr>
              <w:t>us/ado270/htm/mdreforacleprovspec.asp</w:t>
            </w:r>
          </w:p>
          <w:p>
            <w:pPr>
              <w:pStyle w:val="TableParagraph"/>
              <w:spacing w:before="0"/>
              <w:rPr>
                <w:sz w:val="22"/>
              </w:rPr>
            </w:pPr>
            <w:r>
              <w:rPr>
                <w:i/>
                <w:sz w:val="22"/>
              </w:rPr>
              <w:t>end note</w:t>
            </w:r>
            <w:r>
              <w:rPr>
                <w:sz w:val="22"/>
              </w:rPr>
              <w:t>]</w:t>
            </w:r>
          </w:p>
          <w:p>
            <w:pPr>
              <w:pStyle w:val="TableParagraph"/>
              <w:spacing w:before="2"/>
              <w:ind w:left="0"/>
              <w:rPr>
                <w:rFonts w:ascii="Times New Roman"/>
                <w:sz w:val="23"/>
              </w:rPr>
            </w:pPr>
          </w:p>
          <w:p>
            <w:pPr>
              <w:pStyle w:val="TableParagraph"/>
              <w:spacing w:before="1"/>
              <w:ind w:right="625"/>
              <w:rPr>
                <w:sz w:val="22"/>
              </w:rPr>
            </w:pPr>
            <w:r>
              <w:rPr>
                <w:sz w:val="22"/>
              </w:rPr>
              <w:t>Connection strings syntaxes are specific to individual ODBC or custom data provider drivers.</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503" w:hRule="atLeast"/>
        </w:trPr>
        <w:tc>
          <w:tcPr>
            <w:tcW w:w="2062" w:type="dxa"/>
          </w:tcPr>
          <w:p>
            <w:pPr>
              <w:pStyle w:val="TableParagraph"/>
              <w:spacing w:line="256" w:lineRule="exact" w:before="42"/>
              <w:rPr>
                <w:rFonts w:ascii="Cambria"/>
                <w:sz w:val="22"/>
              </w:rPr>
            </w:pPr>
            <w:r>
              <w:rPr>
                <w:rFonts w:ascii="Cambria"/>
                <w:sz w:val="22"/>
              </w:rPr>
              <w:t>serverCommand</w:t>
            </w:r>
          </w:p>
          <w:p>
            <w:pPr>
              <w:pStyle w:val="TableParagraph"/>
              <w:spacing w:line="267" w:lineRule="exact" w:before="0"/>
              <w:rPr>
                <w:sz w:val="22"/>
              </w:rPr>
            </w:pPr>
            <w:r>
              <w:rPr>
                <w:sz w:val="22"/>
              </w:rPr>
              <w:t>(Command Text)</w:t>
            </w:r>
          </w:p>
        </w:tc>
        <w:tc>
          <w:tcPr>
            <w:tcW w:w="8250" w:type="dxa"/>
          </w:tcPr>
          <w:p>
            <w:pPr>
              <w:pStyle w:val="TableParagraph"/>
              <w:ind w:right="354"/>
              <w:rPr>
                <w:sz w:val="22"/>
              </w:rPr>
            </w:pPr>
            <w:r>
              <w:rPr>
                <w:sz w:val="22"/>
              </w:rPr>
              <w:t>Specifies a second command text string that is persisted when PivotTable server-based page fields are in use.</w:t>
            </w:r>
          </w:p>
          <w:p>
            <w:pPr>
              <w:pStyle w:val="TableParagraph"/>
              <w:spacing w:before="5"/>
              <w:ind w:left="0"/>
              <w:rPr>
                <w:rFonts w:ascii="Times New Roman"/>
                <w:sz w:val="23"/>
              </w:rPr>
            </w:pPr>
          </w:p>
          <w:p>
            <w:pPr>
              <w:pStyle w:val="TableParagraph"/>
              <w:spacing w:before="0"/>
              <w:ind w:right="106"/>
              <w:rPr>
                <w:sz w:val="22"/>
              </w:rPr>
            </w:pPr>
            <w:r>
              <w:rPr>
                <w:sz w:val="22"/>
              </w:rPr>
              <w:t>For ODBC connections, serverCommand is usually a broader query than </w:t>
            </w:r>
            <w:r>
              <w:rPr>
                <w:rFonts w:ascii="Cambria"/>
                <w:sz w:val="22"/>
              </w:rPr>
              <w:t>command </w:t>
            </w:r>
            <w:r>
              <w:rPr>
                <w:sz w:val="22"/>
              </w:rPr>
              <w:t>(no WHERE clause is present in the former). Based on these 2 commands, parameter UI can be populated and parameterized queries can be constructed.</w:t>
            </w:r>
          </w:p>
          <w:p>
            <w:pPr>
              <w:pStyle w:val="TableParagraph"/>
              <w:spacing w:before="3"/>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w:t>
      </w:r>
      <w:r>
        <w:rPr>
          <w:i/>
        </w:rPr>
        <w:t>Note</w:t>
      </w:r>
      <w:r>
        <w:rPr/>
        <w:t>: The W3C XML Schema definition of this element’s content model (</w:t>
      </w:r>
      <w:r>
        <w:rPr>
          <w:color w:val="5F5F5F"/>
          <w:u w:val="single" w:color="5F5F5F"/>
        </w:rPr>
        <w:t>CT_DbPr</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4 m (No Value)" w:id="1175"/>
      <w:bookmarkEnd w:id="1175"/>
      <w:r>
        <w:rPr>
          <w:b w:val="0"/>
        </w:rPr>
      </w:r>
      <w:bookmarkStart w:name="_bookmark390" w:id="1176"/>
      <w:bookmarkEnd w:id="1176"/>
      <w:r>
        <w:rPr>
          <w:b w:val="0"/>
        </w:rPr>
      </w:r>
      <w:bookmarkStart w:name="_bookmark390" w:id="1177"/>
      <w:bookmarkEnd w:id="1177"/>
      <w:r>
        <w:rPr>
          <w:color w:val="4F81BC"/>
        </w:rPr>
        <w:t>m</w:t>
      </w:r>
      <w:r>
        <w:rPr>
          <w:color w:val="4F81BC"/>
        </w:rPr>
        <w:t> (No</w:t>
      </w:r>
      <w:r>
        <w:rPr>
          <w:color w:val="4F81BC"/>
          <w:spacing w:val="-3"/>
        </w:rPr>
        <w:t> </w:t>
      </w:r>
      <w:r>
        <w:rPr>
          <w:color w:val="4F81BC"/>
        </w:rPr>
        <w:t>Value)</w:t>
      </w:r>
    </w:p>
    <w:p>
      <w:pPr>
        <w:pStyle w:val="BodyText"/>
        <w:spacing w:before="124"/>
        <w:ind w:left="220"/>
      </w:pPr>
      <w:r>
        <w:rPr/>
        <w:t>This element is present when tables in a web query are missing.</w:t>
      </w: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CT_TableMissing</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5 olapPr (OLAP Properties)" w:id="1178"/>
      <w:bookmarkEnd w:id="1178"/>
      <w:r>
        <w:rPr>
          <w:b w:val="0"/>
        </w:rPr>
      </w:r>
      <w:bookmarkStart w:name="_bookmark391" w:id="1179"/>
      <w:bookmarkEnd w:id="1179"/>
      <w:r>
        <w:rPr>
          <w:b w:val="0"/>
        </w:rPr>
      </w:r>
      <w:bookmarkStart w:name="_bookmark391" w:id="1180"/>
      <w:bookmarkEnd w:id="1180"/>
      <w:r>
        <w:rPr>
          <w:color w:val="4F81BC"/>
        </w:rPr>
        <w:t>o</w:t>
      </w:r>
      <w:r>
        <w:rPr>
          <w:color w:val="4F81BC"/>
        </w:rPr>
        <w:t>lapPr (OLAP Properties)</w:t>
      </w:r>
    </w:p>
    <w:p>
      <w:pPr>
        <w:pStyle w:val="BodyText"/>
        <w:spacing w:line="276" w:lineRule="auto" w:before="124"/>
        <w:ind w:left="220" w:right="503"/>
      </w:pPr>
      <w:r>
        <w:rPr/>
        <w:t>This element contains all the properties needed for an OLAP data connection. OLAP connections contain both the </w:t>
      </w:r>
      <w:r>
        <w:rPr>
          <w:rFonts w:ascii="Cambria"/>
        </w:rPr>
        <w:t>dbPr </w:t>
      </w:r>
      <w:r>
        <w:rPr/>
        <w:t>and </w:t>
      </w:r>
      <w:r>
        <w:rPr>
          <w:rFonts w:ascii="Cambria"/>
        </w:rPr>
        <w:t>olapPr </w:t>
      </w:r>
      <w:r>
        <w:rPr/>
        <w:t>child elements.</w:t>
      </w:r>
    </w:p>
    <w:p>
      <w:pPr>
        <w:spacing w:before="201"/>
        <w:ind w:left="270" w:right="0" w:firstLine="0"/>
        <w:jc w:val="left"/>
        <w:rPr>
          <w:sz w:val="22"/>
        </w:rPr>
      </w:pPr>
      <w:r>
        <w:rPr>
          <w:sz w:val="22"/>
        </w:rPr>
        <w:t>[</w:t>
      </w:r>
      <w:r>
        <w:rPr>
          <w:i/>
          <w:sz w:val="22"/>
        </w:rPr>
        <w:t>Example</w:t>
      </w:r>
      <w:r>
        <w:rPr>
          <w:sz w:val="22"/>
        </w:rPr>
        <w:t>:</w:t>
      </w:r>
    </w:p>
    <w:p>
      <w:pPr>
        <w:pStyle w:val="BodyText"/>
        <w:spacing w:before="6"/>
        <w:rPr>
          <w:sz w:val="19"/>
        </w:rPr>
      </w:pPr>
    </w:p>
    <w:p>
      <w:pPr>
        <w:pStyle w:val="BodyText"/>
        <w:spacing w:line="278" w:lineRule="auto"/>
        <w:ind w:left="220" w:right="456"/>
      </w:pPr>
      <w:r>
        <w:rPr/>
        <w:t>Data connectivity can use a number of different technologies. The following is an example of a connection to an SAP BW OLAP data source:</w:t>
      </w:r>
    </w:p>
    <w:p>
      <w:pPr>
        <w:spacing w:after="0" w:line="278" w:lineRule="auto"/>
        <w:sectPr>
          <w:pgSz w:w="12240" w:h="15840"/>
          <w:pgMar w:header="763" w:footer="746" w:top="1340" w:bottom="940" w:left="860" w:right="700"/>
        </w:sectPr>
      </w:pPr>
    </w:p>
    <w:p>
      <w:pPr>
        <w:pStyle w:val="BodyText"/>
        <w:spacing w:line="276" w:lineRule="auto" w:before="93"/>
        <w:ind w:left="750" w:right="1202" w:hanging="243"/>
        <w:rPr>
          <w:rFonts w:ascii="Consolas"/>
        </w:rPr>
      </w:pPr>
      <w:r>
        <w:rPr>
          <w:rFonts w:ascii="Consolas"/>
        </w:rPr>
        <w:t>&lt;connection id="1" odcFile="C:\My Documents\My Data Sources\$INFOCUBE.odc" keepAlive="1" name="SAP demo cube" description="SAP DemoCube" type="5" refreshedVersion="3" background="1"&gt;</w:t>
      </w:r>
    </w:p>
    <w:p>
      <w:pPr>
        <w:pStyle w:val="BodyText"/>
        <w:spacing w:line="276" w:lineRule="auto"/>
        <w:ind w:left="993" w:right="595" w:hanging="243"/>
        <w:rPr>
          <w:rFonts w:ascii="Consolas"/>
        </w:rPr>
      </w:pPr>
      <w:r>
        <w:rPr>
          <w:rFonts w:ascii="Consolas"/>
        </w:rPr>
        <w:t>&lt;dbPr connection="Provider=MDrmSap.2;Data Source=BI2;User ID=TESTUSER;Location=TESTSERVERNAME;Cache Authentication=False;Encrypt Password=False;Integrated Security=&amp;quot;&amp;quot;;Mask Password=False;Persist Encrypted=False;Persist Security Info=True;Impersonation Level=Anonymous;Mode=Read;Protection Level=None;Extended Properties=&amp;quot;SFC_CLIENT=800;&amp;quot;;Initial Catalog=$INFOCUBE" command="$0D_DECU" commandType="1"/&gt;</w:t>
      </w:r>
    </w:p>
    <w:p>
      <w:pPr>
        <w:pStyle w:val="BodyText"/>
        <w:spacing w:line="278" w:lineRule="auto"/>
        <w:ind w:left="993" w:right="503" w:hanging="243"/>
        <w:rPr>
          <w:rFonts w:ascii="Consolas"/>
        </w:rPr>
      </w:pPr>
      <w:r>
        <w:rPr>
          <w:rFonts w:ascii="Consolas"/>
        </w:rPr>
        <w:t>&lt;olapPr sendLocale="1" rowDrillCount="1000" serverFill="0" serverNumberFormat="0" serverFont="0" serverFontColor="0"/&gt;</w:t>
      </w:r>
    </w:p>
    <w:p>
      <w:pPr>
        <w:spacing w:line="458" w:lineRule="auto" w:before="0"/>
        <w:ind w:left="220" w:right="8579" w:firstLine="288"/>
        <w:jc w:val="left"/>
        <w:rPr>
          <w:sz w:val="22"/>
        </w:rPr>
      </w:pPr>
      <w:r>
        <w:rPr>
          <w:rFonts w:ascii="Consolas"/>
          <w:sz w:val="22"/>
        </w:rPr>
        <w:t>&lt;/connection&gt; </w:t>
      </w:r>
      <w:r>
        <w:rPr>
          <w:i/>
          <w:sz w:val="22"/>
        </w:rPr>
        <w:t>end example</w:t>
      </w:r>
      <w:r>
        <w:rPr>
          <w:sz w:val="22"/>
        </w:rPr>
        <w:t>] [</w:t>
      </w:r>
      <w:r>
        <w:rPr>
          <w:i/>
          <w:sz w:val="22"/>
        </w:rPr>
        <w:t>Example</w:t>
      </w:r>
      <w:r>
        <w:rPr>
          <w:sz w:val="22"/>
        </w:rPr>
        <w:t>:</w:t>
      </w:r>
    </w:p>
    <w:p>
      <w:pPr>
        <w:pStyle w:val="BodyText"/>
        <w:spacing w:line="278" w:lineRule="auto"/>
        <w:ind w:left="220" w:right="572"/>
      </w:pPr>
      <w:r>
        <w:rPr/>
        <w:t>Data connectivity can use a number of different technologies. The following is an example of a connection to a Microsoft SQL Server Analysis Services OLAP data source:</w:t>
      </w:r>
    </w:p>
    <w:p>
      <w:pPr>
        <w:pStyle w:val="BodyText"/>
        <w:spacing w:before="187"/>
        <w:ind w:left="508"/>
        <w:rPr>
          <w:rFonts w:ascii="Consolas"/>
        </w:rPr>
      </w:pPr>
      <w:r>
        <w:rPr>
          <w:rFonts w:ascii="Consolas"/>
        </w:rPr>
        <w:t>&lt;connection id="1"</w:t>
      </w:r>
    </w:p>
    <w:p>
      <w:pPr>
        <w:pStyle w:val="BodyText"/>
        <w:spacing w:line="278" w:lineRule="auto" w:before="37"/>
        <w:ind w:left="750"/>
        <w:rPr>
          <w:rFonts w:ascii="Consolas"/>
        </w:rPr>
      </w:pPr>
      <w:r>
        <w:rPr>
          <w:rFonts w:ascii="Consolas"/>
        </w:rPr>
        <w:t>odcFile="C:\My Documents\My Data Sources\Adventure Works DW.odc" keepAlive="1" name="Adventure Works DW" type="5" refreshedVersion="3" background="1"&gt;</w:t>
      </w:r>
    </w:p>
    <w:p>
      <w:pPr>
        <w:pStyle w:val="BodyText"/>
        <w:spacing w:line="276" w:lineRule="auto"/>
        <w:ind w:left="508" w:right="542" w:firstLine="242"/>
        <w:rPr>
          <w:rFonts w:ascii="Consolas"/>
        </w:rPr>
      </w:pPr>
      <w:r>
        <w:rPr>
          <w:rFonts w:ascii="Consolas"/>
        </w:rPr>
        <w:t>&lt;dbPr connection="Provider=MSOLAP.3;Cache Authentication=False;Persist Security Info=True;Initial Catalog=Adventure Works</w:t>
      </w:r>
    </w:p>
    <w:p>
      <w:pPr>
        <w:pStyle w:val="BodyText"/>
        <w:spacing w:line="276" w:lineRule="auto"/>
        <w:ind w:left="993"/>
        <w:rPr>
          <w:rFonts w:ascii="Consolas"/>
        </w:rPr>
      </w:pPr>
      <w:r>
        <w:rPr>
          <w:rFonts w:ascii="Consolas"/>
        </w:rPr>
        <w:t>DW;Data Source=DATASERVER1;Impersonation Level=Impersonate;Mode=ReadWrite;Protection Level=Pkt Privacy;Auto Synch Period=20000;Default Isolation Mode=0;Default MDX Visual Mode=0;MDX Compatibility=1;MDX Unique Name Style=0;Non Empty Threshold=0;SQLQueryMode=Calculated;Safety Options=2;Secured Cell Value=0;SOURCE_DSN_SUFFIX=&amp;quot;Prompt=CompleteRequired;Window Handle=0x6A903CC;&amp;quot;;SQL Compatibility=0;Compression Level=0;Real Time Olap=False;Packet Size=4096" command="Adventure Works" commandType="1"/&gt;</w:t>
      </w:r>
    </w:p>
    <w:p>
      <w:pPr>
        <w:pStyle w:val="BodyText"/>
        <w:spacing w:line="256" w:lineRule="exact"/>
        <w:ind w:left="750"/>
        <w:rPr>
          <w:rFonts w:ascii="Consolas"/>
        </w:rPr>
      </w:pPr>
      <w:r>
        <w:rPr>
          <w:rFonts w:ascii="Consolas"/>
        </w:rPr>
        <w:t>&lt;olapPr sendLocale="1" rowDrillCount="1000"/&gt;</w:t>
      </w:r>
    </w:p>
    <w:p>
      <w:pPr>
        <w:pStyle w:val="BodyText"/>
        <w:spacing w:before="36"/>
        <w:ind w:left="508"/>
        <w:rPr>
          <w:rFonts w:ascii="Consolas"/>
        </w:rPr>
      </w:pPr>
      <w:r>
        <w:rPr>
          <w:rFonts w:ascii="Consolas"/>
        </w:rPr>
        <w:t>&lt;/connection&gt;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before="1"/>
        <w:ind w:left="220" w:right="536"/>
      </w:pPr>
      <w:r>
        <w:rPr/>
        <w:t>[</w:t>
      </w:r>
      <w:r>
        <w:rPr>
          <w:i/>
        </w:rPr>
        <w:t>Note</w:t>
      </w:r>
      <w:r>
        <w:rPr/>
        <w:t>: Data connectivity can use a number of different technologies. One example of potential values stored in this attribute can be found at </w:t>
      </w:r>
      <w:r>
        <w:rPr>
          <w:color w:val="5F5F5F"/>
          <w:u w:val="single" w:color="5F5F5F"/>
        </w:rPr>
        <w:t>http://msdn.microsoft.com/library/default.asp?url=/library/en-</w:t>
      </w:r>
      <w:r>
        <w:rPr>
          <w:color w:val="5F5F5F"/>
        </w:rPr>
        <w:t> </w:t>
      </w:r>
      <w:r>
        <w:rPr>
          <w:color w:val="5F5F5F"/>
          <w:u w:val="single" w:color="5F5F5F"/>
        </w:rPr>
        <w:t>us/oledb/htm/dasdkoledboverview.asp</w:t>
      </w:r>
      <w:r>
        <w:rPr>
          <w:color w:val="5F5F5F"/>
        </w:rPr>
        <w:t> </w:t>
      </w:r>
      <w:r>
        <w:rPr>
          <w:i/>
        </w:rPr>
        <w:t>end note</w:t>
      </w:r>
      <w:r>
        <w:rPr/>
        <w:t>]</w:t>
      </w:r>
    </w:p>
    <w:p>
      <w:pPr>
        <w:pStyle w:val="BodyText"/>
        <w:spacing w:before="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54" w:hRule="atLeast"/>
        </w:trPr>
        <w:tc>
          <w:tcPr>
            <w:tcW w:w="2062" w:type="dxa"/>
          </w:tcPr>
          <w:p>
            <w:pPr>
              <w:pStyle w:val="TableParagraph"/>
              <w:rPr>
                <w:sz w:val="22"/>
              </w:rPr>
            </w:pPr>
            <w:r>
              <w:rPr>
                <w:rFonts w:ascii="Cambria"/>
                <w:sz w:val="22"/>
              </w:rPr>
              <w:t>local </w:t>
            </w:r>
            <w:r>
              <w:rPr>
                <w:sz w:val="22"/>
              </w:rPr>
              <w:t>(Local Cube)</w:t>
            </w:r>
          </w:p>
        </w:tc>
        <w:tc>
          <w:tcPr>
            <w:tcW w:w="8250" w:type="dxa"/>
          </w:tcPr>
          <w:p>
            <w:pPr>
              <w:pStyle w:val="TableParagraph"/>
              <w:rPr>
                <w:sz w:val="22"/>
              </w:rPr>
            </w:pPr>
            <w:r>
              <w:rPr>
                <w:sz w:val="22"/>
              </w:rPr>
              <w:t>Flag indicating whether we should get data from the local cube on refresh versus the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ind w:right="298"/>
              <w:rPr>
                <w:sz w:val="22"/>
              </w:rPr>
            </w:pPr>
            <w:r>
              <w:rPr>
                <w:sz w:val="22"/>
              </w:rPr>
              <w:t>original data source. </w:t>
            </w:r>
            <w:r>
              <w:rPr>
                <w:rFonts w:ascii="Consolas"/>
                <w:sz w:val="20"/>
              </w:rPr>
              <w:t>true</w:t>
            </w:r>
            <w:r>
              <w:rPr>
                <w:rFonts w:ascii="Consolas"/>
                <w:spacing w:val="-81"/>
                <w:sz w:val="20"/>
              </w:rPr>
              <w:t> </w:t>
            </w:r>
            <w:r>
              <w:rPr>
                <w:sz w:val="22"/>
              </w:rPr>
              <w:t>if a local cube has been created for OLAP data, and it should be used instead of the server.</w:t>
            </w:r>
          </w:p>
          <w:p>
            <w:pPr>
              <w:pStyle w:val="TableParagraph"/>
              <w:spacing w:before="4"/>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3813" w:hRule="atLeast"/>
        </w:trPr>
        <w:tc>
          <w:tcPr>
            <w:tcW w:w="2062" w:type="dxa"/>
          </w:tcPr>
          <w:p>
            <w:pPr>
              <w:pStyle w:val="TableParagraph"/>
              <w:spacing w:before="42"/>
              <w:ind w:right="410"/>
              <w:rPr>
                <w:sz w:val="22"/>
              </w:rPr>
            </w:pPr>
            <w:r>
              <w:rPr>
                <w:rFonts w:ascii="Cambria"/>
                <w:sz w:val="22"/>
              </w:rPr>
              <w:t>localConnection </w:t>
            </w:r>
            <w:r>
              <w:rPr>
                <w:sz w:val="22"/>
              </w:rPr>
              <w:t>(Local Cube Connection)</w:t>
            </w:r>
          </w:p>
        </w:tc>
        <w:tc>
          <w:tcPr>
            <w:tcW w:w="8250" w:type="dxa"/>
          </w:tcPr>
          <w:p>
            <w:pPr>
              <w:pStyle w:val="TableParagraph"/>
              <w:rPr>
                <w:sz w:val="22"/>
              </w:rPr>
            </w:pPr>
            <w:r>
              <w:rPr>
                <w:sz w:val="22"/>
              </w:rPr>
              <w:t>Specifies a connection string to use when a local cube is available. This is used when</w:t>
            </w:r>
          </w:p>
          <w:p>
            <w:pPr>
              <w:pStyle w:val="TableParagraph"/>
              <w:spacing w:line="480" w:lineRule="auto" w:before="0"/>
              <w:ind w:right="6375"/>
              <w:rPr>
                <w:sz w:val="22"/>
              </w:rPr>
            </w:pPr>
            <w:r>
              <w:rPr>
                <w:rFonts w:ascii="Cambria"/>
                <w:sz w:val="22"/>
              </w:rPr>
              <w:t>local </w:t>
            </w:r>
            <w:r>
              <w:rPr>
                <w:sz w:val="22"/>
              </w:rPr>
              <w:t>is set to </w:t>
            </w:r>
            <w:r>
              <w:rPr>
                <w:rFonts w:ascii="Consolas"/>
                <w:sz w:val="20"/>
              </w:rPr>
              <w:t>true</w:t>
            </w:r>
            <w:r>
              <w:rPr>
                <w:sz w:val="22"/>
              </w:rPr>
              <w:t>. [</w:t>
            </w:r>
            <w:r>
              <w:rPr>
                <w:i/>
                <w:sz w:val="22"/>
              </w:rPr>
              <w:t>Example</w:t>
            </w:r>
            <w:r>
              <w:rPr>
                <w:sz w:val="22"/>
              </w:rPr>
              <w:t>:</w:t>
            </w:r>
          </w:p>
          <w:p>
            <w:pPr>
              <w:pStyle w:val="TableParagraph"/>
              <w:spacing w:before="3"/>
              <w:ind w:left="403" w:right="617"/>
              <w:rPr>
                <w:rFonts w:ascii="Consolas"/>
                <w:sz w:val="22"/>
              </w:rPr>
            </w:pPr>
            <w:r>
              <w:rPr>
                <w:rFonts w:ascii="Consolas"/>
                <w:sz w:val="22"/>
              </w:rPr>
              <w:t>&lt;olapPr local="true" localConnection="OLEDB;Provider=MSOLAP;Data Source=C:\Data\DataCube.cub" &gt;</w:t>
            </w:r>
          </w:p>
          <w:p>
            <w:pPr>
              <w:pStyle w:val="TableParagraph"/>
              <w:spacing w:before="3"/>
              <w:ind w:left="0"/>
              <w:rPr>
                <w:rFonts w:ascii="Times New Roman"/>
                <w:sz w:val="23"/>
              </w:rPr>
            </w:pPr>
          </w:p>
          <w:p>
            <w:pPr>
              <w:pStyle w:val="TableParagraph"/>
              <w:spacing w:before="0"/>
              <w:rPr>
                <w:sz w:val="22"/>
              </w:rPr>
            </w:pPr>
            <w:r>
              <w:rPr>
                <w:i/>
                <w:sz w:val="22"/>
              </w:rPr>
              <w:t>end example</w:t>
            </w:r>
            <w:r>
              <w:rPr>
                <w:sz w:val="22"/>
              </w:rPr>
              <w:t>]</w:t>
            </w:r>
          </w:p>
          <w:p>
            <w:pPr>
              <w:pStyle w:val="TableParagraph"/>
              <w:spacing w:before="0"/>
              <w:ind w:left="0"/>
              <w:rPr>
                <w:rFonts w:ascii="Times New Roman"/>
                <w:sz w:val="22"/>
              </w:rPr>
            </w:pPr>
          </w:p>
          <w:p>
            <w:pPr>
              <w:pStyle w:val="TableParagraph"/>
              <w:spacing w:before="6"/>
              <w:ind w:left="0"/>
              <w:rPr>
                <w:rFonts w:ascii="Times New Roman"/>
                <w:sz w:val="24"/>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9" w:hRule="atLeast"/>
        </w:trPr>
        <w:tc>
          <w:tcPr>
            <w:tcW w:w="2062" w:type="dxa"/>
          </w:tcPr>
          <w:p>
            <w:pPr>
              <w:pStyle w:val="TableParagraph"/>
              <w:ind w:right="179"/>
              <w:rPr>
                <w:sz w:val="22"/>
              </w:rPr>
            </w:pPr>
            <w:r>
              <w:rPr>
                <w:rFonts w:ascii="Cambria"/>
                <w:sz w:val="22"/>
              </w:rPr>
              <w:t>localRefresh </w:t>
            </w:r>
            <w:r>
              <w:rPr>
                <w:sz w:val="22"/>
              </w:rPr>
              <w:t>(Local Refresh)</w:t>
            </w:r>
          </w:p>
        </w:tc>
        <w:tc>
          <w:tcPr>
            <w:tcW w:w="8250" w:type="dxa"/>
          </w:tcPr>
          <w:p>
            <w:pPr>
              <w:pStyle w:val="TableParagraph"/>
              <w:ind w:right="100"/>
              <w:rPr>
                <w:sz w:val="22"/>
              </w:rPr>
            </w:pPr>
            <w:r>
              <w:rPr>
                <w:sz w:val="22"/>
              </w:rPr>
              <w:t>Flag indicating whether we should refresh the local cube from the original data source. When </w:t>
            </w:r>
            <w:r>
              <w:rPr>
                <w:rFonts w:ascii="Consolas"/>
                <w:sz w:val="20"/>
              </w:rPr>
              <w:t>true</w:t>
            </w:r>
            <w:r>
              <w:rPr>
                <w:sz w:val="22"/>
              </w:rPr>
              <w:t>, the original OLAP data source is queried each time the user explicitly refreshes the data in the application, and a new local cube is constructed from this query.</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spacing w:line="237" w:lineRule="auto" w:before="45"/>
              <w:ind w:right="562"/>
              <w:rPr>
                <w:sz w:val="22"/>
              </w:rPr>
            </w:pPr>
            <w:r>
              <w:rPr>
                <w:rFonts w:ascii="Cambria"/>
                <w:sz w:val="22"/>
              </w:rPr>
              <w:t>rowDrillCount </w:t>
            </w:r>
            <w:r>
              <w:rPr>
                <w:sz w:val="22"/>
              </w:rPr>
              <w:t>(Drill Through Count)</w:t>
            </w:r>
          </w:p>
        </w:tc>
        <w:tc>
          <w:tcPr>
            <w:tcW w:w="8250" w:type="dxa"/>
          </w:tcPr>
          <w:p>
            <w:pPr>
              <w:pStyle w:val="TableParagraph"/>
              <w:ind w:right="836"/>
              <w:rPr>
                <w:sz w:val="22"/>
              </w:rPr>
            </w:pPr>
            <w:r>
              <w:rPr>
                <w:sz w:val="22"/>
              </w:rPr>
              <w:t>Maximum number of drill-through rows to return when the user drills through an aggregate value in a PivotTable.</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696" w:hRule="atLeast"/>
        </w:trPr>
        <w:tc>
          <w:tcPr>
            <w:tcW w:w="2062" w:type="dxa"/>
          </w:tcPr>
          <w:p>
            <w:pPr>
              <w:pStyle w:val="TableParagraph"/>
              <w:ind w:right="307"/>
              <w:rPr>
                <w:sz w:val="22"/>
              </w:rPr>
            </w:pPr>
            <w:r>
              <w:rPr>
                <w:rFonts w:ascii="Cambria"/>
                <w:sz w:val="22"/>
              </w:rPr>
              <w:t>sendLocale </w:t>
            </w:r>
            <w:r>
              <w:rPr>
                <w:sz w:val="22"/>
              </w:rPr>
              <w:t>(Send Locale to OLAP)</w:t>
            </w:r>
          </w:p>
        </w:tc>
        <w:tc>
          <w:tcPr>
            <w:tcW w:w="8250" w:type="dxa"/>
          </w:tcPr>
          <w:p>
            <w:pPr>
              <w:pStyle w:val="TableParagraph"/>
              <w:ind w:right="134"/>
              <w:jc w:val="both"/>
              <w:rPr>
                <w:sz w:val="22"/>
              </w:rPr>
            </w:pPr>
            <w:r>
              <w:rPr>
                <w:sz w:val="22"/>
              </w:rPr>
              <w:t>When </w:t>
            </w:r>
            <w:r>
              <w:rPr>
                <w:rFonts w:ascii="Consolas"/>
                <w:sz w:val="20"/>
              </w:rPr>
              <w:t>true</w:t>
            </w:r>
            <w:r>
              <w:rPr>
                <w:sz w:val="22"/>
              </w:rPr>
              <w:t>, the spreadsheetML app should send the user interface locale ID to the OLAP provider to retrieve localized member names and properties, etc. When </w:t>
            </w:r>
            <w:r>
              <w:rPr>
                <w:rFonts w:ascii="Consolas"/>
                <w:sz w:val="20"/>
              </w:rPr>
              <w:t>false</w:t>
            </w:r>
            <w:r>
              <w:rPr>
                <w:sz w:val="22"/>
              </w:rPr>
              <w:t>, no locale ID is expected.</w:t>
            </w:r>
          </w:p>
          <w:p>
            <w:pPr>
              <w:pStyle w:val="TableParagraph"/>
              <w:spacing w:before="4"/>
              <w:ind w:left="0"/>
              <w:rPr>
                <w:rFonts w:ascii="Times New Roman"/>
                <w:sz w:val="23"/>
              </w:rPr>
            </w:pPr>
          </w:p>
          <w:p>
            <w:pPr>
              <w:pStyle w:val="TableParagraph"/>
              <w:spacing w:before="1"/>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8" w:hRule="atLeast"/>
        </w:trPr>
        <w:tc>
          <w:tcPr>
            <w:tcW w:w="2062" w:type="dxa"/>
          </w:tcPr>
          <w:p>
            <w:pPr>
              <w:pStyle w:val="TableParagraph"/>
              <w:spacing w:line="237" w:lineRule="auto" w:before="45"/>
              <w:ind w:right="119"/>
              <w:rPr>
                <w:sz w:val="22"/>
              </w:rPr>
            </w:pPr>
            <w:r>
              <w:rPr>
                <w:rFonts w:ascii="Cambria"/>
                <w:sz w:val="22"/>
              </w:rPr>
              <w:t>serverFill </w:t>
            </w:r>
            <w:r>
              <w:rPr>
                <w:sz w:val="22"/>
              </w:rPr>
              <w:t>(OLAP Fill Formatting)</w:t>
            </w:r>
          </w:p>
        </w:tc>
        <w:tc>
          <w:tcPr>
            <w:tcW w:w="8250" w:type="dxa"/>
          </w:tcPr>
          <w:p>
            <w:pPr>
              <w:pStyle w:val="TableParagraph"/>
              <w:spacing w:before="43"/>
              <w:ind w:right="198"/>
              <w:rPr>
                <w:sz w:val="22"/>
              </w:rPr>
            </w:pPr>
            <w:r>
              <w:rPr>
                <w:sz w:val="22"/>
              </w:rPr>
              <w:t>When </w:t>
            </w:r>
            <w:r>
              <w:rPr>
                <w:rFonts w:ascii="Consolas"/>
                <w:sz w:val="20"/>
              </w:rPr>
              <w:t>true</w:t>
            </w:r>
            <w:r>
              <w:rPr>
                <w:rFonts w:ascii="Consolas"/>
                <w:spacing w:val="-81"/>
                <w:sz w:val="20"/>
              </w:rPr>
              <w:t> </w:t>
            </w:r>
            <w:r>
              <w:rPr>
                <w:sz w:val="22"/>
              </w:rPr>
              <w:t>a PivotTable based on an OLAP source should format the data and aggregate cells in the PivotTable view using the background color from the OLAP source if this information is available. When </w:t>
            </w:r>
            <w:r>
              <w:rPr>
                <w:rFonts w:ascii="Consolas"/>
                <w:sz w:val="20"/>
              </w:rPr>
              <w:t>false</w:t>
            </w:r>
            <w:r>
              <w:rPr>
                <w:sz w:val="22"/>
              </w:rPr>
              <w:t>, OLAP server background fill colors are ignored, and standard formatting rules within the worksheet are followed.</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54" w:hRule="atLeast"/>
        </w:trPr>
        <w:tc>
          <w:tcPr>
            <w:tcW w:w="2062" w:type="dxa"/>
          </w:tcPr>
          <w:p>
            <w:pPr>
              <w:pStyle w:val="TableParagraph"/>
              <w:rPr>
                <w:sz w:val="22"/>
              </w:rPr>
            </w:pPr>
            <w:r>
              <w:rPr>
                <w:rFonts w:ascii="Cambria"/>
                <w:sz w:val="22"/>
              </w:rPr>
              <w:t>serverFont </w:t>
            </w:r>
            <w:r>
              <w:rPr>
                <w:sz w:val="22"/>
              </w:rPr>
              <w:t>(OLAP</w:t>
            </w:r>
          </w:p>
        </w:tc>
        <w:tc>
          <w:tcPr>
            <w:tcW w:w="8250" w:type="dxa"/>
          </w:tcPr>
          <w:p>
            <w:pPr>
              <w:pStyle w:val="TableParagraph"/>
              <w:rPr>
                <w:sz w:val="22"/>
              </w:rPr>
            </w:pPr>
            <w:r>
              <w:rPr>
                <w:sz w:val="22"/>
              </w:rPr>
              <w:t>When </w:t>
            </w:r>
            <w:r>
              <w:rPr>
                <w:rFonts w:ascii="Consolas"/>
                <w:sz w:val="20"/>
              </w:rPr>
              <w:t>true</w:t>
            </w:r>
            <w:r>
              <w:rPr>
                <w:sz w:val="22"/>
              </w:rPr>
              <w:t>, a PivotTable based on OLAP source should format the data and aggregate</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696" w:hRule="atLeast"/>
        </w:trPr>
        <w:tc>
          <w:tcPr>
            <w:tcW w:w="2062" w:type="dxa"/>
          </w:tcPr>
          <w:p>
            <w:pPr>
              <w:pStyle w:val="TableParagraph"/>
              <w:rPr>
                <w:sz w:val="22"/>
              </w:rPr>
            </w:pPr>
            <w:r>
              <w:rPr>
                <w:sz w:val="22"/>
              </w:rPr>
              <w:t>Server Font)</w:t>
            </w:r>
          </w:p>
        </w:tc>
        <w:tc>
          <w:tcPr>
            <w:tcW w:w="8250" w:type="dxa"/>
          </w:tcPr>
          <w:p>
            <w:pPr>
              <w:pStyle w:val="TableParagraph"/>
              <w:ind w:right="297"/>
              <w:rPr>
                <w:sz w:val="22"/>
              </w:rPr>
            </w:pPr>
            <w:r>
              <w:rPr>
                <w:sz w:val="22"/>
              </w:rPr>
              <w:t>cells in the PivotTable view using the font from the OLAP source (e.g., Arial or Tahoma). When </w:t>
            </w:r>
            <w:r>
              <w:rPr>
                <w:rFonts w:ascii="Consolas"/>
                <w:sz w:val="20"/>
              </w:rPr>
              <w:t>false</w:t>
            </w:r>
            <w:r>
              <w:rPr>
                <w:sz w:val="22"/>
              </w:rPr>
              <w:t>, OLAP server fonts are ignored, and standard formatting rules within the worksheet are followed.</w:t>
            </w:r>
          </w:p>
          <w:p>
            <w:pPr>
              <w:pStyle w:val="TableParagraph"/>
              <w:spacing w:before="4"/>
              <w:ind w:left="0"/>
              <w:rPr>
                <w:rFonts w:ascii="Times New Roman"/>
                <w:sz w:val="23"/>
              </w:rPr>
            </w:pPr>
          </w:p>
          <w:p>
            <w:pPr>
              <w:pStyle w:val="TableParagraph"/>
              <w:spacing w:line="267" w:lineRule="exact" w:before="1"/>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968" w:hRule="atLeast"/>
        </w:trPr>
        <w:tc>
          <w:tcPr>
            <w:tcW w:w="2062" w:type="dxa"/>
          </w:tcPr>
          <w:p>
            <w:pPr>
              <w:pStyle w:val="TableParagraph"/>
              <w:spacing w:before="42"/>
              <w:ind w:right="374"/>
              <w:rPr>
                <w:sz w:val="22"/>
              </w:rPr>
            </w:pPr>
            <w:r>
              <w:rPr>
                <w:rFonts w:ascii="Cambria"/>
                <w:sz w:val="22"/>
              </w:rPr>
              <w:t>serverFontColor </w:t>
            </w:r>
            <w:r>
              <w:rPr>
                <w:sz w:val="22"/>
              </w:rPr>
              <w:t>(OLAP Font Formatting)</w:t>
            </w:r>
          </w:p>
        </w:tc>
        <w:tc>
          <w:tcPr>
            <w:tcW w:w="8250" w:type="dxa"/>
          </w:tcPr>
          <w:p>
            <w:pPr>
              <w:pStyle w:val="TableParagraph"/>
              <w:ind w:right="193"/>
              <w:rPr>
                <w:sz w:val="22"/>
              </w:rPr>
            </w:pPr>
            <w:r>
              <w:rPr>
                <w:sz w:val="22"/>
              </w:rPr>
              <w:t>When </w:t>
            </w:r>
            <w:r>
              <w:rPr>
                <w:rFonts w:ascii="Consolas"/>
                <w:sz w:val="20"/>
              </w:rPr>
              <w:t>true </w:t>
            </w:r>
            <w:r>
              <w:rPr>
                <w:sz w:val="22"/>
              </w:rPr>
              <w:t>a PivotTable based on OLAP source should format the data and aggregate cells in the PivotTable view using the font color from the OLAP source. When </w:t>
            </w:r>
            <w:r>
              <w:rPr>
                <w:rFonts w:ascii="Consolas"/>
                <w:sz w:val="20"/>
              </w:rPr>
              <w:t>false</w:t>
            </w:r>
            <w:r>
              <w:rPr>
                <w:sz w:val="22"/>
              </w:rPr>
              <w:t>, OLAP server font colors are ignored, and standard formatting rules within the worksheet are followed.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965" w:hRule="atLeast"/>
        </w:trPr>
        <w:tc>
          <w:tcPr>
            <w:tcW w:w="2062" w:type="dxa"/>
          </w:tcPr>
          <w:p>
            <w:pPr>
              <w:pStyle w:val="TableParagraph"/>
              <w:spacing w:line="237" w:lineRule="auto" w:before="45"/>
              <w:ind w:right="187"/>
              <w:jc w:val="both"/>
              <w:rPr>
                <w:sz w:val="22"/>
              </w:rPr>
            </w:pPr>
            <w:r>
              <w:rPr>
                <w:rFonts w:ascii="Cambria"/>
                <w:sz w:val="22"/>
              </w:rPr>
              <w:t>serverNumberFor mat </w:t>
            </w:r>
            <w:r>
              <w:rPr>
                <w:sz w:val="22"/>
              </w:rPr>
              <w:t>(OLAP Number Format)</w:t>
            </w:r>
          </w:p>
        </w:tc>
        <w:tc>
          <w:tcPr>
            <w:tcW w:w="8250" w:type="dxa"/>
          </w:tcPr>
          <w:p>
            <w:pPr>
              <w:pStyle w:val="TableParagraph"/>
              <w:ind w:right="383"/>
              <w:rPr>
                <w:sz w:val="22"/>
              </w:rPr>
            </w:pPr>
            <w:r>
              <w:rPr>
                <w:sz w:val="22"/>
              </w:rPr>
              <w:t>When </w:t>
            </w:r>
            <w:r>
              <w:rPr>
                <w:rFonts w:ascii="Consolas"/>
                <w:sz w:val="20"/>
              </w:rPr>
              <w:t>true</w:t>
            </w:r>
            <w:r>
              <w:rPr>
                <w:sz w:val="22"/>
              </w:rPr>
              <w:t>, a PivotTable based on OLAP source should format the data and aggregate cells in the PivotTable view using the number format from the OLAP source. When </w:t>
            </w:r>
            <w:r>
              <w:rPr>
                <w:rFonts w:ascii="Consolas"/>
                <w:sz w:val="20"/>
              </w:rPr>
              <w:t>false</w:t>
            </w:r>
            <w:r>
              <w:rPr>
                <w:sz w:val="22"/>
              </w:rPr>
              <w:t>, OLAP server number formats are ignored, and standard formatting rules within the worksheet are followed.</w:t>
            </w:r>
          </w:p>
          <w:p>
            <w:pPr>
              <w:pStyle w:val="TableParagraph"/>
              <w:spacing w:before="2"/>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7"/>
        <w:ind w:left="220" w:right="877"/>
      </w:pPr>
      <w:r>
        <w:rPr/>
        <w:t>[</w:t>
      </w:r>
      <w:r>
        <w:rPr>
          <w:i/>
        </w:rPr>
        <w:t>Note</w:t>
      </w:r>
      <w:r>
        <w:rPr/>
        <w:t>: The W3C XML Schema definition of this element’s content model (</w:t>
      </w:r>
      <w:r>
        <w:rPr>
          <w:color w:val="5F5F5F"/>
          <w:u w:val="single" w:color="5F5F5F"/>
        </w:rPr>
        <w:t>CT_OlapPr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6 parameter (Parameter Properties)" w:id="1181"/>
      <w:bookmarkEnd w:id="1181"/>
      <w:r>
        <w:rPr>
          <w:b w:val="0"/>
        </w:rPr>
      </w:r>
      <w:bookmarkStart w:name="_bookmark392" w:id="1182"/>
      <w:bookmarkEnd w:id="1182"/>
      <w:r>
        <w:rPr>
          <w:b w:val="0"/>
        </w:rPr>
      </w:r>
      <w:bookmarkStart w:name="_bookmark392" w:id="1183"/>
      <w:bookmarkEnd w:id="1183"/>
      <w:r>
        <w:rPr>
          <w:color w:val="4F81BC"/>
        </w:rPr>
        <w:t>p</w:t>
      </w:r>
      <w:r>
        <w:rPr>
          <w:color w:val="4F81BC"/>
        </w:rPr>
        <w:t>arameter (Parameter Properties)</w:t>
      </w:r>
    </w:p>
    <w:p>
      <w:pPr>
        <w:pStyle w:val="BodyText"/>
        <w:spacing w:line="276" w:lineRule="auto" w:before="122"/>
        <w:ind w:left="220" w:right="397"/>
      </w:pPr>
      <w:r>
        <w:rPr/>
        <w:t>This element stores properties about any parameters used with external data connections. Parameters are used to change the query executed externally and cause different data to be retrieved into the workbook.  The type of parameter used – see </w:t>
      </w:r>
      <w:r>
        <w:rPr>
          <w:rFonts w:ascii="Cambria" w:hAnsi="Cambria"/>
        </w:rPr>
        <w:t>ST_parameterType </w:t>
      </w:r>
      <w:r>
        <w:rPr/>
        <w:t>(§</w:t>
      </w:r>
      <w:hyperlink w:history="true" w:anchor="_bookmark876">
        <w:r>
          <w:rPr/>
          <w:t>18.18.54</w:t>
        </w:r>
      </w:hyperlink>
      <w:r>
        <w:rPr/>
        <w:t>) – determines whether the user is prompted for a value before data is refreshed, or the value is pulled from a cell in the workbook, or whether the same value should be used until explicitly changed in the data connection. Parameters are permitted for ODBC and web</w:t>
      </w:r>
      <w:r>
        <w:rPr>
          <w:spacing w:val="-21"/>
        </w:rPr>
        <w:t> </w:t>
      </w:r>
      <w:r>
        <w:rPr/>
        <w:t>queries.</w:t>
      </w:r>
    </w:p>
    <w:p>
      <w:pPr>
        <w:pStyle w:val="BodyText"/>
        <w:spacing w:before="7"/>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6"/>
        <w:rPr>
          <w:sz w:val="19"/>
        </w:rPr>
      </w:pPr>
    </w:p>
    <w:p>
      <w:pPr>
        <w:pStyle w:val="BodyText"/>
        <w:spacing w:line="278" w:lineRule="auto"/>
        <w:ind w:left="220" w:right="700"/>
      </w:pPr>
      <w:r>
        <w:rPr/>
        <w:t>Data connectivity can use a number of different technologies. The following is an example of XML defining a connection to a Microsoft Access database, with a </w:t>
      </w:r>
      <w:r>
        <w:rPr>
          <w:rFonts w:ascii="Cambria"/>
        </w:rPr>
        <w:t>parameter </w:t>
      </w:r>
      <w:r>
        <w:rPr/>
        <w:t>based on the value in cell C1 on the first sheet.</w:t>
      </w:r>
    </w:p>
    <w:p>
      <w:pPr>
        <w:pStyle w:val="BodyText"/>
        <w:spacing w:line="276" w:lineRule="auto" w:before="199"/>
        <w:ind w:left="750" w:right="2169" w:hanging="243"/>
        <w:rPr>
          <w:rFonts w:ascii="Consolas"/>
        </w:rPr>
      </w:pPr>
      <w:r>
        <w:rPr>
          <w:rFonts w:ascii="Consolas"/>
        </w:rPr>
        <w:t>&lt;connection id="1" name="Connection" type="1" refreshedVersion="2" background="1" saveData="1"&gt;</w:t>
      </w:r>
    </w:p>
    <w:p>
      <w:pPr>
        <w:pStyle w:val="BodyText"/>
        <w:spacing w:line="276" w:lineRule="auto"/>
        <w:ind w:left="993" w:hanging="243"/>
        <w:rPr>
          <w:rFonts w:ascii="Consolas"/>
        </w:rPr>
      </w:pPr>
      <w:r>
        <w:rPr>
          <w:rFonts w:ascii="Consolas"/>
        </w:rPr>
        <w:t>&lt;dbPr connection="DSN=MS Access Database;DBQ=C:\Desktop\db1.mdb;DefaultDir=C:\Desktop;DriverId=25;FIL=MS Access;MaxBufferSize=2048;PageTimeout=5;" command="SELECT Table1.Field1, Table1.Field2_x000d</w:t>
      </w:r>
      <w:r>
        <w:rPr>
          <w:rFonts w:ascii="Consolas"/>
          <w:u w:val="single"/>
        </w:rPr>
        <w:t> </w:t>
      </w:r>
      <w:r>
        <w:rPr>
          <w:rFonts w:ascii="Consolas"/>
        </w:rPr>
        <w:t>x000a_FROM `C:\Desktop\db1`.Table1</w:t>
      </w:r>
    </w:p>
    <w:p>
      <w:pPr>
        <w:pStyle w:val="BodyText"/>
        <w:ind w:left="993"/>
        <w:rPr>
          <w:rFonts w:ascii="Consolas"/>
        </w:rPr>
      </w:pPr>
      <w:r>
        <w:rPr>
          <w:rFonts w:ascii="Consolas"/>
        </w:rPr>
        <w:t>Table1_x000d</w:t>
      </w:r>
      <w:r>
        <w:rPr>
          <w:rFonts w:ascii="Consolas"/>
          <w:u w:val="single"/>
        </w:rPr>
        <w:t> </w:t>
      </w:r>
      <w:r>
        <w:rPr>
          <w:rFonts w:ascii="Consolas"/>
        </w:rPr>
        <w:t>x000a_WHERE (Table1.Field2=?)"/&gt;</w:t>
      </w:r>
    </w:p>
    <w:p>
      <w:pPr>
        <w:spacing w:after="0"/>
        <w:rPr>
          <w:rFonts w:ascii="Consolas"/>
        </w:rPr>
        <w:sectPr>
          <w:pgSz w:w="12240" w:h="15840"/>
          <w:pgMar w:header="761" w:footer="746" w:top="1340" w:bottom="940" w:left="860" w:right="700"/>
        </w:sectPr>
      </w:pPr>
    </w:p>
    <w:p>
      <w:pPr>
        <w:pStyle w:val="BodyText"/>
        <w:spacing w:before="150"/>
        <w:ind w:left="750"/>
        <w:rPr>
          <w:rFonts w:ascii="Consolas"/>
        </w:rPr>
      </w:pPr>
      <w:r>
        <w:rPr>
          <w:rFonts w:ascii="Consolas"/>
        </w:rPr>
        <w:t>&lt;parameters count="1"&gt;</w:t>
      </w:r>
    </w:p>
    <w:p>
      <w:pPr>
        <w:pStyle w:val="BodyText"/>
        <w:spacing w:line="278" w:lineRule="auto" w:before="38"/>
        <w:ind w:left="1235" w:hanging="243"/>
        <w:rPr>
          <w:rFonts w:ascii="Consolas"/>
        </w:rPr>
      </w:pPr>
      <w:r>
        <w:rPr>
          <w:rFonts w:ascii="Consolas"/>
        </w:rPr>
        <w:t>&lt;parameter name="user specified value" sqlType="4" parameterType="cell" cell="Sheet1!$C$1"/&gt;</w:t>
      </w:r>
    </w:p>
    <w:p>
      <w:pPr>
        <w:pStyle w:val="BodyText"/>
        <w:spacing w:line="253" w:lineRule="exact"/>
        <w:ind w:left="750"/>
        <w:rPr>
          <w:rFonts w:ascii="Consolas"/>
        </w:rPr>
      </w:pPr>
      <w:r>
        <w:rPr>
          <w:rFonts w:ascii="Consolas"/>
        </w:rPr>
        <w:t>&lt;/parameters&gt;</w:t>
      </w:r>
    </w:p>
    <w:p>
      <w:pPr>
        <w:pStyle w:val="BodyText"/>
        <w:spacing w:before="40"/>
        <w:ind w:left="508"/>
        <w:rPr>
          <w:rFonts w:ascii="Consolas"/>
        </w:rPr>
      </w:pPr>
      <w:r>
        <w:rPr>
          <w:rFonts w:ascii="Consolas"/>
        </w:rPr>
        <w:t>&lt;/connection&gt;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503"/>
      </w:pPr>
      <w:r>
        <w:rPr/>
        <w:t>Note that the </w:t>
      </w:r>
      <w:r>
        <w:rPr>
          <w:rFonts w:ascii="Cambria"/>
        </w:rPr>
        <w:t>command </w:t>
      </w:r>
      <w:r>
        <w:rPr/>
        <w:t>string in the </w:t>
      </w:r>
      <w:r>
        <w:rPr>
          <w:rFonts w:ascii="Cambria"/>
        </w:rPr>
        <w:t>dbPr </w:t>
      </w:r>
      <w:r>
        <w:rPr/>
        <w:t>element contains a "?" character. This character serves as a parameter marker.</w:t>
      </w:r>
    </w:p>
    <w:p>
      <w:pPr>
        <w:pStyle w:val="BodyText"/>
        <w:spacing w:line="276" w:lineRule="auto" w:before="195"/>
        <w:ind w:left="220" w:right="536"/>
      </w:pPr>
      <w:r>
        <w:rPr/>
        <w:t>[</w:t>
      </w:r>
      <w:r>
        <w:rPr>
          <w:i/>
        </w:rPr>
        <w:t>Note</w:t>
      </w:r>
      <w:r>
        <w:rPr/>
        <w:t>: Data connectivity can use a number of different technologies. One example of potential values stored in this attribute can be found at: </w:t>
      </w:r>
      <w:r>
        <w:rPr>
          <w:color w:val="5F5F5F"/>
          <w:u w:val="single" w:color="5F5F5F"/>
        </w:rPr>
        <w:t>http://msdn.microsoft.com/library/default.asp?url=/library/en-</w:t>
      </w:r>
      <w:r>
        <w:rPr>
          <w:color w:val="5F5F5F"/>
        </w:rPr>
        <w:t> </w:t>
      </w:r>
      <w:r>
        <w:rPr>
          <w:color w:val="5F5F5F"/>
          <w:u w:val="single" w:color="5F5F5F"/>
        </w:rPr>
        <w:t>us/odbc/htm/odbcstatement_parameters.asp</w:t>
      </w:r>
      <w:r>
        <w:rPr>
          <w:color w:val="5F5F5F"/>
        </w:rPr>
        <w:t> </w:t>
      </w:r>
      <w:r>
        <w:rPr>
          <w:i/>
        </w:rPr>
        <w:t>end note</w:t>
      </w:r>
      <w:r>
        <w:rPr/>
        <w:t>]</w:t>
      </w:r>
    </w:p>
    <w:p>
      <w:pPr>
        <w:pStyle w:val="BodyText"/>
        <w:spacing w:before="7"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boolean </w:t>
            </w:r>
            <w:r>
              <w:rPr>
                <w:sz w:val="22"/>
              </w:rPr>
              <w:t>(Boolean)</w:t>
            </w:r>
          </w:p>
        </w:tc>
        <w:tc>
          <w:tcPr>
            <w:tcW w:w="8250" w:type="dxa"/>
          </w:tcPr>
          <w:p>
            <w:pPr>
              <w:pStyle w:val="TableParagraph"/>
              <w:rPr>
                <w:sz w:val="22"/>
              </w:rPr>
            </w:pPr>
            <w:r>
              <w:rPr>
                <w:sz w:val="22"/>
              </w:rPr>
              <w:t>Boolean value to use as the query parameter. Used only when parameterType = value.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3028" w:hRule="atLeast"/>
        </w:trPr>
        <w:tc>
          <w:tcPr>
            <w:tcW w:w="2062" w:type="dxa"/>
          </w:tcPr>
          <w:p>
            <w:pPr>
              <w:pStyle w:val="TableParagraph"/>
              <w:rPr>
                <w:sz w:val="22"/>
              </w:rPr>
            </w:pPr>
            <w:r>
              <w:rPr>
                <w:rFonts w:ascii="Cambria"/>
                <w:sz w:val="22"/>
              </w:rPr>
              <w:t>cell </w:t>
            </w:r>
            <w:r>
              <w:rPr>
                <w:sz w:val="22"/>
              </w:rPr>
              <w:t>(Cell Reference)</w:t>
            </w:r>
          </w:p>
        </w:tc>
        <w:tc>
          <w:tcPr>
            <w:tcW w:w="8250" w:type="dxa"/>
          </w:tcPr>
          <w:p>
            <w:pPr>
              <w:pStyle w:val="TableParagraph"/>
              <w:ind w:right="525"/>
              <w:rPr>
                <w:sz w:val="22"/>
              </w:rPr>
            </w:pPr>
            <w:r>
              <w:rPr>
                <w:sz w:val="22"/>
              </w:rPr>
              <w:t>Cell reference indicating which cell's value to use for the query parameter. Used only when parameterType = cell.</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3"/>
              <w:ind w:left="0"/>
              <w:rPr>
                <w:sz w:val="22"/>
              </w:rPr>
            </w:pPr>
          </w:p>
          <w:p>
            <w:pPr>
              <w:pStyle w:val="TableParagraph"/>
              <w:spacing w:before="1"/>
              <w:ind w:left="403"/>
              <w:rPr>
                <w:rFonts w:ascii="Consolas"/>
                <w:sz w:val="22"/>
              </w:rPr>
            </w:pPr>
            <w:r>
              <w:rPr>
                <w:rFonts w:ascii="Consolas"/>
                <w:sz w:val="22"/>
              </w:rPr>
              <w:t>&lt;Parameter parameterType="cell" cell="Sheet1!$C$1"&gt;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2"/>
              <w:ind w:left="0"/>
              <w:rPr>
                <w:sz w:val="22"/>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9" w:hRule="atLeast"/>
        </w:trPr>
        <w:tc>
          <w:tcPr>
            <w:tcW w:w="2062" w:type="dxa"/>
          </w:tcPr>
          <w:p>
            <w:pPr>
              <w:pStyle w:val="TableParagraph"/>
              <w:rPr>
                <w:sz w:val="22"/>
              </w:rPr>
            </w:pPr>
            <w:r>
              <w:rPr>
                <w:rFonts w:ascii="Cambria"/>
                <w:sz w:val="22"/>
              </w:rPr>
              <w:t>double </w:t>
            </w:r>
            <w:r>
              <w:rPr>
                <w:sz w:val="22"/>
              </w:rPr>
              <w:t>(Double)</w:t>
            </w:r>
          </w:p>
        </w:tc>
        <w:tc>
          <w:tcPr>
            <w:tcW w:w="8250" w:type="dxa"/>
          </w:tcPr>
          <w:p>
            <w:pPr>
              <w:pStyle w:val="TableParagraph"/>
              <w:ind w:right="1417"/>
              <w:rPr>
                <w:sz w:val="22"/>
              </w:rPr>
            </w:pPr>
            <w:r>
              <w:rPr>
                <w:sz w:val="22"/>
              </w:rPr>
              <w:t>Non-integer numeric value to use as the query parameter. Used only when parameterType = value.</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double</w:t>
            </w:r>
          </w:p>
          <w:p>
            <w:pPr>
              <w:pStyle w:val="TableParagraph"/>
              <w:spacing w:before="1"/>
              <w:rPr>
                <w:sz w:val="22"/>
              </w:rPr>
            </w:pPr>
            <w:r>
              <w:rPr>
                <w:sz w:val="22"/>
              </w:rPr>
              <w:t>datatype.</w:t>
            </w:r>
          </w:p>
        </w:tc>
      </w:tr>
      <w:tr>
        <w:trPr>
          <w:trHeight w:val="890" w:hRule="atLeast"/>
        </w:trPr>
        <w:tc>
          <w:tcPr>
            <w:tcW w:w="2062" w:type="dxa"/>
          </w:tcPr>
          <w:p>
            <w:pPr>
              <w:pStyle w:val="TableParagraph"/>
              <w:rPr>
                <w:sz w:val="22"/>
              </w:rPr>
            </w:pPr>
            <w:r>
              <w:rPr>
                <w:rFonts w:ascii="Cambria"/>
                <w:sz w:val="22"/>
              </w:rPr>
              <w:t>integer </w:t>
            </w:r>
            <w:r>
              <w:rPr>
                <w:sz w:val="22"/>
              </w:rPr>
              <w:t>(Integer)</w:t>
            </w:r>
          </w:p>
        </w:tc>
        <w:tc>
          <w:tcPr>
            <w:tcW w:w="8250" w:type="dxa"/>
          </w:tcPr>
          <w:p>
            <w:pPr>
              <w:pStyle w:val="TableParagraph"/>
              <w:rPr>
                <w:sz w:val="22"/>
              </w:rPr>
            </w:pPr>
            <w:r>
              <w:rPr>
                <w:sz w:val="22"/>
              </w:rPr>
              <w:t>Integer value to use as the query parameter. Used when parameterType = value.</w:t>
            </w:r>
          </w:p>
          <w:p>
            <w:pPr>
              <w:pStyle w:val="TableParagraph"/>
              <w:spacing w:before="1"/>
              <w:ind w:left="0"/>
              <w:rPr>
                <w:sz w:val="22"/>
              </w:rPr>
            </w:pPr>
          </w:p>
          <w:p>
            <w:pPr>
              <w:pStyle w:val="TableParagraph"/>
              <w:spacing w:before="0"/>
              <w:rPr>
                <w:sz w:val="22"/>
              </w:rPr>
            </w:pPr>
            <w:r>
              <w:rPr>
                <w:sz w:val="22"/>
              </w:rPr>
              <w:t>The possible values for this attribute are defined by the W3C XML Schema </w:t>
            </w:r>
            <w:r>
              <w:rPr>
                <w:rFonts w:ascii="Cambria"/>
                <w:sz w:val="22"/>
              </w:rPr>
              <w:t>int </w:t>
            </w:r>
            <w:r>
              <w:rPr>
                <w:sz w:val="22"/>
              </w:rPr>
              <w:t>datatype.</w:t>
            </w:r>
          </w:p>
        </w:tc>
      </w:tr>
      <w:tr>
        <w:trPr>
          <w:trHeight w:val="1161" w:hRule="atLeast"/>
        </w:trPr>
        <w:tc>
          <w:tcPr>
            <w:tcW w:w="2062" w:type="dxa"/>
          </w:tcPr>
          <w:p>
            <w:pPr>
              <w:pStyle w:val="TableParagraph"/>
              <w:spacing w:line="237" w:lineRule="auto" w:before="44"/>
              <w:ind w:right="335"/>
              <w:rPr>
                <w:sz w:val="22"/>
              </w:rPr>
            </w:pPr>
            <w:r>
              <w:rPr>
                <w:rFonts w:ascii="Cambria"/>
                <w:sz w:val="22"/>
              </w:rPr>
              <w:t>name </w:t>
            </w:r>
            <w:r>
              <w:rPr>
                <w:sz w:val="22"/>
              </w:rPr>
              <w:t>(Parameter Name)</w:t>
            </w:r>
          </w:p>
        </w:tc>
        <w:tc>
          <w:tcPr>
            <w:tcW w:w="8250" w:type="dxa"/>
          </w:tcPr>
          <w:p>
            <w:pPr>
              <w:pStyle w:val="TableParagraph"/>
              <w:spacing w:before="42"/>
              <w:rPr>
                <w:sz w:val="22"/>
              </w:rPr>
            </w:pPr>
            <w:r>
              <w:rPr>
                <w:sz w:val="22"/>
              </w:rPr>
              <w:t>The name of the parameter.</w:t>
            </w:r>
          </w:p>
          <w:p>
            <w:pPr>
              <w:pStyle w:val="TableParagraph"/>
              <w:spacing w:before="10"/>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623" w:hRule="atLeast"/>
        </w:trPr>
        <w:tc>
          <w:tcPr>
            <w:tcW w:w="2062" w:type="dxa"/>
          </w:tcPr>
          <w:p>
            <w:pPr>
              <w:pStyle w:val="TableParagraph"/>
              <w:spacing w:line="257" w:lineRule="exact" w:before="42"/>
              <w:rPr>
                <w:rFonts w:ascii="Cambria"/>
                <w:sz w:val="22"/>
              </w:rPr>
            </w:pPr>
            <w:r>
              <w:rPr>
                <w:rFonts w:ascii="Cambria"/>
                <w:sz w:val="22"/>
              </w:rPr>
              <w:t>parameterType</w:t>
            </w:r>
          </w:p>
          <w:p>
            <w:pPr>
              <w:pStyle w:val="TableParagraph"/>
              <w:spacing w:line="268" w:lineRule="exact" w:before="0"/>
              <w:rPr>
                <w:sz w:val="22"/>
              </w:rPr>
            </w:pPr>
            <w:r>
              <w:rPr>
                <w:sz w:val="22"/>
              </w:rPr>
              <w:t>(Parameter Type)</w:t>
            </w:r>
          </w:p>
        </w:tc>
        <w:tc>
          <w:tcPr>
            <w:tcW w:w="8250" w:type="dxa"/>
          </w:tcPr>
          <w:p>
            <w:pPr>
              <w:pStyle w:val="TableParagraph"/>
              <w:rPr>
                <w:sz w:val="22"/>
              </w:rPr>
            </w:pPr>
            <w:r>
              <w:rPr>
                <w:sz w:val="22"/>
              </w:rPr>
              <w:t>Type of parameter used. If the </w:t>
            </w:r>
            <w:r>
              <w:rPr>
                <w:rFonts w:ascii="Cambria"/>
                <w:sz w:val="22"/>
              </w:rPr>
              <w:t>parameterType</w:t>
            </w:r>
            <w:r>
              <w:rPr>
                <w:sz w:val="22"/>
              </w:rPr>
              <w:t>=</w:t>
            </w:r>
            <w:r>
              <w:rPr>
                <w:rFonts w:ascii="Consolas"/>
                <w:sz w:val="20"/>
              </w:rPr>
              <w:t>value</w:t>
            </w:r>
            <w:r>
              <w:rPr>
                <w:sz w:val="22"/>
              </w:rPr>
              <w:t>, then the value from </w:t>
            </w:r>
            <w:r>
              <w:rPr>
                <w:rFonts w:ascii="Cambria"/>
                <w:sz w:val="22"/>
              </w:rPr>
              <w:t>boolean</w:t>
            </w:r>
            <w:r>
              <w:rPr>
                <w:sz w:val="22"/>
              </w:rPr>
              <w:t>, </w:t>
            </w:r>
            <w:r>
              <w:rPr>
                <w:rFonts w:ascii="Cambria"/>
                <w:sz w:val="22"/>
              </w:rPr>
              <w:t>double</w:t>
            </w:r>
            <w:r>
              <w:rPr>
                <w:sz w:val="22"/>
              </w:rPr>
              <w:t>, </w:t>
            </w:r>
            <w:r>
              <w:rPr>
                <w:rFonts w:ascii="Cambria"/>
                <w:sz w:val="22"/>
              </w:rPr>
              <w:t>integer</w:t>
            </w:r>
            <w:r>
              <w:rPr>
                <w:sz w:val="22"/>
              </w:rPr>
              <w:t>, or </w:t>
            </w:r>
            <w:r>
              <w:rPr>
                <w:rFonts w:ascii="Cambria"/>
                <w:sz w:val="22"/>
              </w:rPr>
              <w:t>string </w:t>
            </w:r>
            <w:r>
              <w:rPr>
                <w:sz w:val="22"/>
              </w:rPr>
              <w:t>are used. In this case, it is expected that only one of {</w:t>
            </w:r>
            <w:r>
              <w:rPr>
                <w:rFonts w:ascii="Cambria"/>
                <w:sz w:val="22"/>
              </w:rPr>
              <w:t>boolean</w:t>
            </w: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rFonts w:ascii="Cambria"/>
                <w:sz w:val="22"/>
              </w:rPr>
              <w:t>double</w:t>
            </w:r>
            <w:r>
              <w:rPr>
                <w:sz w:val="22"/>
              </w:rPr>
              <w:t>, </w:t>
            </w:r>
            <w:r>
              <w:rPr>
                <w:rFonts w:ascii="Cambria"/>
                <w:sz w:val="22"/>
              </w:rPr>
              <w:t>integer</w:t>
            </w:r>
            <w:r>
              <w:rPr>
                <w:sz w:val="22"/>
              </w:rPr>
              <w:t>, or </w:t>
            </w:r>
            <w:r>
              <w:rPr>
                <w:rFonts w:ascii="Cambria"/>
                <w:sz w:val="22"/>
              </w:rPr>
              <w:t>string</w:t>
            </w:r>
            <w:r>
              <w:rPr>
                <w:sz w:val="22"/>
              </w:rPr>
              <w:t>} is specified.</w:t>
            </w:r>
          </w:p>
          <w:p>
            <w:pPr>
              <w:pStyle w:val="TableParagraph"/>
              <w:spacing w:before="0"/>
              <w:ind w:left="0"/>
              <w:rPr>
                <w:sz w:val="22"/>
              </w:rPr>
            </w:pPr>
          </w:p>
          <w:p>
            <w:pPr>
              <w:pStyle w:val="TableParagraph"/>
              <w:spacing w:before="0"/>
              <w:ind w:right="240"/>
              <w:rPr>
                <w:sz w:val="22"/>
              </w:rPr>
            </w:pPr>
            <w:r>
              <w:rPr>
                <w:sz w:val="22"/>
              </w:rPr>
              <w:t>The possible values for this attribute are defined by the </w:t>
            </w:r>
            <w:r>
              <w:rPr>
                <w:rFonts w:ascii="Cambria" w:hAnsi="Cambria"/>
                <w:sz w:val="22"/>
              </w:rPr>
              <w:t>ST_ParameterType </w:t>
            </w:r>
            <w:r>
              <w:rPr>
                <w:sz w:val="22"/>
              </w:rPr>
              <w:t>simple type </w:t>
            </w:r>
            <w:hyperlink w:history="true" w:anchor="_bookmark876">
              <w:r>
                <w:rPr>
                  <w:sz w:val="22"/>
                </w:rPr>
                <w:t>(§18.18.54</w:t>
              </w:r>
            </w:hyperlink>
            <w:r>
              <w:rPr>
                <w:sz w:val="22"/>
              </w:rPr>
              <w:t>).</w:t>
            </w:r>
          </w:p>
        </w:tc>
      </w:tr>
      <w:tr>
        <w:trPr>
          <w:trHeight w:val="1698" w:hRule="atLeast"/>
        </w:trPr>
        <w:tc>
          <w:tcPr>
            <w:tcW w:w="2062" w:type="dxa"/>
          </w:tcPr>
          <w:p>
            <w:pPr>
              <w:pStyle w:val="TableParagraph"/>
              <w:spacing w:line="237" w:lineRule="auto" w:before="44"/>
              <w:ind w:right="145"/>
              <w:rPr>
                <w:sz w:val="22"/>
              </w:rPr>
            </w:pPr>
            <w:r>
              <w:rPr>
                <w:rFonts w:ascii="Cambria"/>
                <w:sz w:val="22"/>
              </w:rPr>
              <w:t>prompt </w:t>
            </w:r>
            <w:r>
              <w:rPr>
                <w:sz w:val="22"/>
              </w:rPr>
              <w:t>(Parameter Prompt String)</w:t>
            </w:r>
          </w:p>
        </w:tc>
        <w:tc>
          <w:tcPr>
            <w:tcW w:w="8250" w:type="dxa"/>
          </w:tcPr>
          <w:p>
            <w:pPr>
              <w:pStyle w:val="TableParagraph"/>
              <w:spacing w:before="42"/>
              <w:ind w:right="274"/>
              <w:rPr>
                <w:sz w:val="22"/>
              </w:rPr>
            </w:pPr>
            <w:r>
              <w:rPr>
                <w:sz w:val="22"/>
              </w:rPr>
              <w:t>Prompt string for the parameter. Presented to the spreadsheet user along with input UI to collect the parameter value before refreshing the external data. Used only when parameterType = prompt.</w:t>
            </w:r>
          </w:p>
          <w:p>
            <w:pPr>
              <w:pStyle w:val="TableParagraph"/>
              <w:spacing w:before="11"/>
              <w:ind w:left="0"/>
              <w:rPr>
                <w:sz w:val="21"/>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34" w:hRule="atLeast"/>
        </w:trPr>
        <w:tc>
          <w:tcPr>
            <w:tcW w:w="2062" w:type="dxa"/>
          </w:tcPr>
          <w:p>
            <w:pPr>
              <w:pStyle w:val="TableParagraph"/>
              <w:spacing w:line="256" w:lineRule="exact" w:before="42"/>
              <w:rPr>
                <w:rFonts w:ascii="Cambria"/>
                <w:sz w:val="22"/>
              </w:rPr>
            </w:pPr>
            <w:r>
              <w:rPr>
                <w:rFonts w:ascii="Cambria"/>
                <w:sz w:val="22"/>
              </w:rPr>
              <w:t>refreshOnChange</w:t>
            </w:r>
          </w:p>
          <w:p>
            <w:pPr>
              <w:pStyle w:val="TableParagraph"/>
              <w:spacing w:line="267" w:lineRule="exact" w:before="0"/>
              <w:rPr>
                <w:sz w:val="22"/>
              </w:rPr>
            </w:pPr>
            <w:r>
              <w:rPr>
                <w:sz w:val="22"/>
              </w:rPr>
              <w:t>(Refresh on Change)</w:t>
            </w:r>
          </w:p>
        </w:tc>
        <w:tc>
          <w:tcPr>
            <w:tcW w:w="8250" w:type="dxa"/>
          </w:tcPr>
          <w:p>
            <w:pPr>
              <w:pStyle w:val="TableParagraph"/>
              <w:ind w:right="157"/>
              <w:rPr>
                <w:sz w:val="22"/>
              </w:rPr>
            </w:pPr>
            <w:r>
              <w:rPr>
                <w:sz w:val="22"/>
              </w:rPr>
              <w:t>Flag indicating whether the query should automatically refresh when the contents of a cell that provides the parameter value changes. If </w:t>
            </w:r>
            <w:r>
              <w:rPr>
                <w:rFonts w:ascii="Consolas"/>
                <w:sz w:val="20"/>
              </w:rPr>
              <w:t>true</w:t>
            </w:r>
            <w:r>
              <w:rPr>
                <w:sz w:val="22"/>
              </w:rPr>
              <w:t>, then external data is refreshed using the new parameter value every time there's a change. If </w:t>
            </w:r>
            <w:r>
              <w:rPr>
                <w:rFonts w:ascii="Consolas"/>
                <w:sz w:val="20"/>
              </w:rPr>
              <w:t>false</w:t>
            </w:r>
            <w:r>
              <w:rPr>
                <w:sz w:val="22"/>
              </w:rPr>
              <w:t>, then external data is only refreshed when requested by the user, or some other event triggers refresh (e.g., workbook opened).</w:t>
            </w:r>
          </w:p>
          <w:p>
            <w:pPr>
              <w:pStyle w:val="TableParagraph"/>
              <w:spacing w:before="11"/>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379" w:hRule="atLeast"/>
        </w:trPr>
        <w:tc>
          <w:tcPr>
            <w:tcW w:w="2062" w:type="dxa"/>
          </w:tcPr>
          <w:p>
            <w:pPr>
              <w:pStyle w:val="TableParagraph"/>
              <w:ind w:right="245"/>
              <w:rPr>
                <w:sz w:val="22"/>
              </w:rPr>
            </w:pPr>
            <w:r>
              <w:rPr>
                <w:rFonts w:ascii="Cambria"/>
                <w:sz w:val="22"/>
              </w:rPr>
              <w:t>sqlType </w:t>
            </w:r>
            <w:r>
              <w:rPr>
                <w:sz w:val="22"/>
              </w:rPr>
              <w:t>(SQL Data Type)</w:t>
            </w:r>
          </w:p>
        </w:tc>
        <w:tc>
          <w:tcPr>
            <w:tcW w:w="8250" w:type="dxa"/>
          </w:tcPr>
          <w:p>
            <w:pPr>
              <w:pStyle w:val="TableParagraph"/>
              <w:spacing w:line="242" w:lineRule="auto"/>
              <w:ind w:right="104"/>
              <w:rPr>
                <w:sz w:val="20"/>
              </w:rPr>
            </w:pPr>
            <w:r>
              <w:rPr>
                <w:sz w:val="22"/>
              </w:rPr>
              <w:t>SQL data type of the parameter. This attribute is only supported for ODBC data sources. </w:t>
            </w:r>
            <w:r>
              <w:rPr>
                <w:sz w:val="20"/>
              </w:rPr>
              <w:t>For more information, including supported data types, see ISO 9075-3:2008, Table 33 - Codes used for concise data types.</w:t>
            </w:r>
          </w:p>
          <w:p>
            <w:pPr>
              <w:pStyle w:val="TableParagraph"/>
              <w:spacing w:before="3"/>
              <w:ind w:left="0"/>
              <w:rPr>
                <w:sz w:val="21"/>
              </w:rPr>
            </w:pPr>
          </w:p>
          <w:p>
            <w:pPr>
              <w:pStyle w:val="TableParagraph"/>
              <w:spacing w:before="1"/>
              <w:rPr>
                <w:sz w:val="22"/>
              </w:rPr>
            </w:pPr>
            <w:r>
              <w:rPr>
                <w:sz w:val="22"/>
              </w:rPr>
              <w:t>The possible values for this attribute are defined by the W3C XML Schema </w:t>
            </w:r>
            <w:r>
              <w:rPr>
                <w:rFonts w:ascii="Cambria"/>
                <w:sz w:val="22"/>
              </w:rPr>
              <w:t>int </w:t>
            </w:r>
            <w:r>
              <w:rPr>
                <w:sz w:val="22"/>
              </w:rPr>
              <w:t>datatype.</w:t>
            </w:r>
          </w:p>
        </w:tc>
      </w:tr>
      <w:tr>
        <w:trPr>
          <w:trHeight w:val="1161" w:hRule="atLeast"/>
        </w:trPr>
        <w:tc>
          <w:tcPr>
            <w:tcW w:w="2062" w:type="dxa"/>
          </w:tcPr>
          <w:p>
            <w:pPr>
              <w:pStyle w:val="TableParagraph"/>
              <w:rPr>
                <w:sz w:val="22"/>
              </w:rPr>
            </w:pPr>
            <w:r>
              <w:rPr>
                <w:rFonts w:ascii="Cambria"/>
                <w:sz w:val="22"/>
              </w:rPr>
              <w:t>string </w:t>
            </w:r>
            <w:r>
              <w:rPr>
                <w:sz w:val="22"/>
              </w:rPr>
              <w:t>(String)</w:t>
            </w:r>
          </w:p>
        </w:tc>
        <w:tc>
          <w:tcPr>
            <w:tcW w:w="8250" w:type="dxa"/>
          </w:tcPr>
          <w:p>
            <w:pPr>
              <w:pStyle w:val="TableParagraph"/>
              <w:rPr>
                <w:sz w:val="22"/>
              </w:rPr>
            </w:pPr>
            <w:r>
              <w:rPr>
                <w:sz w:val="22"/>
              </w:rPr>
              <w:t>String value to use as the query parameter. Used only when parameterType = value.</w:t>
            </w:r>
          </w:p>
          <w:p>
            <w:pPr>
              <w:pStyle w:val="TableParagraph"/>
              <w:spacing w:before="0"/>
              <w:ind w:left="0"/>
              <w:rPr>
                <w:sz w:val="22"/>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8" w:lineRule="auto" w:before="56"/>
        <w:ind w:left="220" w:right="539"/>
      </w:pPr>
      <w:r>
        <w:rPr/>
        <w:t>[</w:t>
      </w:r>
      <w:r>
        <w:rPr>
          <w:i/>
        </w:rPr>
        <w:t>Note</w:t>
      </w:r>
      <w:r>
        <w:rPr/>
        <w:t>: The W3C XML Schema definition of this element’s content model (</w:t>
      </w:r>
      <w:r>
        <w:rPr>
          <w:color w:val="5F5F5F"/>
          <w:u w:val="single" w:color="5F5F5F"/>
        </w:rPr>
        <w:t>CT_Parameter</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7 parameters (Query Parameters)" w:id="1184"/>
      <w:bookmarkEnd w:id="1184"/>
      <w:r>
        <w:rPr>
          <w:b w:val="0"/>
        </w:rPr>
      </w:r>
      <w:bookmarkStart w:name="_bookmark393" w:id="1185"/>
      <w:bookmarkEnd w:id="1185"/>
      <w:r>
        <w:rPr>
          <w:b w:val="0"/>
        </w:rPr>
      </w:r>
      <w:bookmarkStart w:name="_bookmark393" w:id="1186"/>
      <w:bookmarkEnd w:id="1186"/>
      <w:r>
        <w:rPr>
          <w:color w:val="4F81BC"/>
        </w:rPr>
        <w:t>p</w:t>
      </w:r>
      <w:r>
        <w:rPr>
          <w:color w:val="4F81BC"/>
        </w:rPr>
        <w:t>arameters (Query</w:t>
      </w:r>
      <w:r>
        <w:rPr>
          <w:color w:val="4F81BC"/>
          <w:spacing w:val="2"/>
        </w:rPr>
        <w:t> </w:t>
      </w:r>
      <w:r>
        <w:rPr>
          <w:color w:val="4F81BC"/>
        </w:rPr>
        <w:t>Parameters)</w:t>
      </w:r>
    </w:p>
    <w:p>
      <w:pPr>
        <w:pStyle w:val="BodyText"/>
        <w:spacing w:before="124"/>
        <w:ind w:left="220"/>
      </w:pPr>
      <w:r>
        <w:rPr/>
        <w:t>This element serves as a collection of parameters for an ODBC or web query.</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323"/>
              <w:rPr>
                <w:sz w:val="22"/>
              </w:rPr>
            </w:pPr>
            <w:r>
              <w:rPr>
                <w:rFonts w:ascii="Cambria"/>
                <w:sz w:val="22"/>
              </w:rPr>
              <w:t>count </w:t>
            </w:r>
            <w:r>
              <w:rPr>
                <w:sz w:val="22"/>
              </w:rPr>
              <w:t>(Parameter Count)</w:t>
            </w:r>
          </w:p>
        </w:tc>
        <w:tc>
          <w:tcPr>
            <w:tcW w:w="8250" w:type="dxa"/>
          </w:tcPr>
          <w:p>
            <w:pPr>
              <w:pStyle w:val="TableParagraph"/>
              <w:rPr>
                <w:sz w:val="22"/>
              </w:rPr>
            </w:pPr>
            <w:r>
              <w:rPr>
                <w:sz w:val="22"/>
              </w:rPr>
              <w:t>The number of parameters used.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6" w:lineRule="auto"/>
        <w:ind w:left="220" w:right="453"/>
      </w:pPr>
      <w:r>
        <w:rPr/>
        <w:t>[</w:t>
      </w:r>
      <w:r>
        <w:rPr>
          <w:i/>
        </w:rPr>
        <w:t>Note</w:t>
      </w:r>
      <w:r>
        <w:rPr/>
        <w:t>: The W3C XML Schema definition of this element’s content model (</w:t>
      </w:r>
      <w:r>
        <w:rPr>
          <w:color w:val="5F5F5F"/>
          <w:u w:val="single" w:color="5F5F5F"/>
        </w:rPr>
        <w:t>CT_Parameters</w:t>
      </w:r>
      <w:r>
        <w:rPr/>
        <w:t>) is located in §A.2. </w:t>
      </w:r>
      <w:r>
        <w:rPr>
          <w:i/>
        </w:rPr>
        <w:t>end </w:t>
      </w:r>
      <w:r>
        <w:rPr>
          <w:i/>
        </w:rPr>
        <w:t>note</w:t>
      </w:r>
      <w:r>
        <w:rPr/>
        <w:t>]</w:t>
      </w:r>
    </w:p>
    <w:p>
      <w:pPr>
        <w:spacing w:after="0" w:line="276" w:lineRule="auto"/>
        <w:sectPr>
          <w:pgSz w:w="12240" w:h="15840"/>
          <w:pgMar w:header="761" w:footer="746" w:top="1340" w:bottom="940" w:left="860" w:right="70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13.8 s (Character Value)" w:id="1187"/>
      <w:bookmarkEnd w:id="1187"/>
      <w:r>
        <w:rPr>
          <w:b w:val="0"/>
        </w:rPr>
      </w:r>
      <w:bookmarkStart w:name="_bookmark394" w:id="1188"/>
      <w:bookmarkEnd w:id="1188"/>
      <w:r>
        <w:rPr>
          <w:b w:val="0"/>
        </w:rPr>
      </w:r>
      <w:bookmarkStart w:name="_bookmark394" w:id="1189"/>
      <w:bookmarkEnd w:id="1189"/>
      <w:r>
        <w:rPr>
          <w:color w:val="4F81BC"/>
        </w:rPr>
        <w:t>s</w:t>
      </w:r>
      <w:r>
        <w:rPr>
          <w:color w:val="4F81BC"/>
        </w:rPr>
        <w:t> (Character Value)</w:t>
      </w:r>
    </w:p>
    <w:p>
      <w:pPr>
        <w:pStyle w:val="BodyText"/>
        <w:spacing w:line="278" w:lineRule="auto" w:before="122"/>
        <w:ind w:left="220" w:right="503"/>
      </w:pPr>
      <w:r>
        <w:rPr/>
        <w:t>This element is used to specify an HTML table to import by name. If the tables are not named, they shall be specified with the </w:t>
      </w:r>
      <w:r>
        <w:rPr>
          <w:rFonts w:ascii="Consolas"/>
        </w:rPr>
        <w:t>&lt;x v="[index]"&gt;</w:t>
      </w:r>
      <w:r>
        <w:rPr>
          <w:rFonts w:ascii="Consolas"/>
          <w:spacing w:val="-75"/>
        </w:rPr>
        <w:t> </w:t>
      </w:r>
      <w:r>
        <w:rPr/>
        <w:t>syntax instead.</w:t>
      </w:r>
    </w:p>
    <w:p>
      <w:pPr>
        <w:pStyle w:val="BodyText"/>
        <w:rPr>
          <w:sz w:val="20"/>
        </w:rPr>
      </w:pPr>
    </w:p>
    <w:p>
      <w:pPr>
        <w:pStyle w:val="BodyText"/>
        <w:rPr>
          <w:sz w:val="20"/>
        </w:rPr>
      </w:pPr>
    </w:p>
    <w:p>
      <w:pPr>
        <w:pStyle w:val="BodyText"/>
        <w:spacing w:before="11"/>
        <w:rPr>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rPr>
                <w:sz w:val="22"/>
              </w:rPr>
            </w:pPr>
            <w:r>
              <w:rPr>
                <w:rFonts w:ascii="Cambria"/>
                <w:sz w:val="22"/>
              </w:rPr>
              <w:t>v </w:t>
            </w:r>
            <w:r>
              <w:rPr>
                <w:sz w:val="22"/>
              </w:rPr>
              <w:t>(Value)</w:t>
            </w:r>
          </w:p>
        </w:tc>
        <w:tc>
          <w:tcPr>
            <w:tcW w:w="8250" w:type="dxa"/>
          </w:tcPr>
          <w:p>
            <w:pPr>
              <w:pStyle w:val="TableParagraph"/>
              <w:ind w:right="106"/>
              <w:rPr>
                <w:sz w:val="22"/>
              </w:rPr>
            </w:pPr>
            <w:r>
              <w:rPr>
                <w:sz w:val="22"/>
              </w:rPr>
              <w:t>The name of the table to retrieve when the web query is refreshed. This corresponds to the string used for the </w:t>
            </w:r>
            <w:r>
              <w:rPr>
                <w:rFonts w:ascii="Cambria"/>
                <w:sz w:val="22"/>
              </w:rPr>
              <w:t>id </w:t>
            </w:r>
            <w:r>
              <w:rPr>
                <w:sz w:val="22"/>
              </w:rPr>
              <w:t>attribute of the HTML </w:t>
            </w:r>
            <w:r>
              <w:rPr>
                <w:rFonts w:ascii="Cambria"/>
                <w:sz w:val="22"/>
              </w:rPr>
              <w:t>&lt;table&gt; </w:t>
            </w:r>
            <w:r>
              <w:rPr>
                <w:sz w:val="22"/>
              </w:rPr>
              <w:t>tag.</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before="57"/>
        <w:ind w:left="220"/>
      </w:pPr>
      <w:r>
        <w:rPr/>
        <w:t>[</w:t>
      </w:r>
      <w:r>
        <w:rPr>
          <w:i/>
        </w:rPr>
        <w:t>Note</w:t>
      </w:r>
      <w:r>
        <w:rPr/>
        <w:t>: The W3C XML Schema definition of this element’s content model (</w:t>
      </w:r>
      <w:r>
        <w:rPr>
          <w:color w:val="5F5F5F"/>
          <w:u w:val="single" w:color="5F5F5F"/>
        </w:rPr>
        <w:t>CT_XStringElement</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3.9 tables (Tables)" w:id="1190"/>
      <w:bookmarkEnd w:id="1190"/>
      <w:r>
        <w:rPr>
          <w:b w:val="0"/>
        </w:rPr>
      </w:r>
      <w:bookmarkStart w:name="_bookmark395" w:id="1191"/>
      <w:bookmarkEnd w:id="1191"/>
      <w:r>
        <w:rPr>
          <w:b w:val="0"/>
        </w:rPr>
      </w:r>
      <w:bookmarkStart w:name="_bookmark395" w:id="1192"/>
      <w:bookmarkEnd w:id="1192"/>
      <w:r>
        <w:rPr>
          <w:color w:val="4F81BC"/>
        </w:rPr>
        <w:t>t</w:t>
      </w:r>
      <w:r>
        <w:rPr>
          <w:color w:val="4F81BC"/>
        </w:rPr>
        <w:t>ables (Tables)</w:t>
      </w:r>
    </w:p>
    <w:p>
      <w:pPr>
        <w:pStyle w:val="BodyText"/>
        <w:spacing w:line="276" w:lineRule="auto" w:before="124"/>
        <w:ind w:left="220" w:right="503"/>
      </w:pPr>
      <w:r>
        <w:rPr/>
        <w:t>This element serves as the collection of tables to be returned via a web query data connection. Tables are then most commonly referenced by &lt;x&gt; via their indices (in order of the &lt;Table&gt; tags in the HTML page).</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498"/>
              <w:rPr>
                <w:sz w:val="22"/>
              </w:rPr>
            </w:pPr>
            <w:r>
              <w:rPr>
                <w:rFonts w:ascii="Cambria"/>
                <w:sz w:val="22"/>
              </w:rPr>
              <w:t>count </w:t>
            </w:r>
            <w:r>
              <w:rPr>
                <w:sz w:val="22"/>
              </w:rPr>
              <w:t>(Count of Tables)</w:t>
            </w:r>
          </w:p>
        </w:tc>
        <w:tc>
          <w:tcPr>
            <w:tcW w:w="8250" w:type="dxa"/>
          </w:tcPr>
          <w:p>
            <w:pPr>
              <w:pStyle w:val="TableParagraph"/>
              <w:rPr>
                <w:sz w:val="22"/>
              </w:rPr>
            </w:pPr>
            <w:r>
              <w:rPr>
                <w:sz w:val="22"/>
              </w:rPr>
              <w:t>Number of tables to pull data from when refreshing from a web query.</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CT_Tables</w:t>
      </w:r>
      <w:r>
        <w:rPr/>
        <w:t>) is located in §A.2. </w:t>
      </w:r>
      <w:r>
        <w:rPr>
          <w:i/>
        </w:rPr>
        <w:t>end note</w:t>
      </w:r>
      <w:r>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3.10 textField (Text Import Field Se" w:id="1193"/>
      <w:bookmarkEnd w:id="1193"/>
      <w:r>
        <w:rPr>
          <w:b w:val="0"/>
        </w:rPr>
      </w:r>
      <w:bookmarkStart w:name="_bookmark396" w:id="1194"/>
      <w:bookmarkEnd w:id="1194"/>
      <w:r>
        <w:rPr>
          <w:b w:val="0"/>
        </w:rPr>
      </w:r>
      <w:bookmarkStart w:name="_bookmark396" w:id="1195"/>
      <w:bookmarkEnd w:id="1195"/>
      <w:r>
        <w:rPr>
          <w:color w:val="4F81BC"/>
        </w:rPr>
        <w:t>t</w:t>
      </w:r>
      <w:r>
        <w:rPr>
          <w:color w:val="4F81BC"/>
        </w:rPr>
        <w:t>extField (Text Import Field</w:t>
      </w:r>
      <w:r>
        <w:rPr>
          <w:color w:val="4F81BC"/>
          <w:spacing w:val="-5"/>
        </w:rPr>
        <w:t> </w:t>
      </w:r>
      <w:r>
        <w:rPr>
          <w:color w:val="4F81BC"/>
        </w:rPr>
        <w:t>Settings)</w:t>
      </w:r>
    </w:p>
    <w:p>
      <w:pPr>
        <w:pStyle w:val="BodyText"/>
        <w:spacing w:before="124"/>
        <w:ind w:left="220"/>
      </w:pPr>
      <w:r>
        <w:rPr/>
        <w:t>This element specifies field settings for text import.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1699" w:hRule="atLeast"/>
        </w:trPr>
        <w:tc>
          <w:tcPr>
            <w:tcW w:w="2062" w:type="dxa"/>
          </w:tcPr>
          <w:p>
            <w:pPr>
              <w:pStyle w:val="TableParagraph"/>
              <w:rPr>
                <w:sz w:val="22"/>
              </w:rPr>
            </w:pPr>
            <w:r>
              <w:rPr>
                <w:rFonts w:ascii="Cambria"/>
                <w:sz w:val="22"/>
              </w:rPr>
              <w:t>position </w:t>
            </w:r>
            <w:r>
              <w:rPr>
                <w:sz w:val="22"/>
              </w:rPr>
              <w:t>(Position)</w:t>
            </w:r>
          </w:p>
        </w:tc>
        <w:tc>
          <w:tcPr>
            <w:tcW w:w="8250" w:type="dxa"/>
          </w:tcPr>
          <w:p>
            <w:pPr>
              <w:pStyle w:val="TableParagraph"/>
              <w:ind w:right="333"/>
              <w:jc w:val="both"/>
              <w:rPr>
                <w:sz w:val="22"/>
              </w:rPr>
            </w:pPr>
            <w:r>
              <w:rPr>
                <w:sz w:val="22"/>
              </w:rPr>
              <w:t>The character position the field starts at for fixed-length fields. The index is 0-based. If this attribute does not exist, position=0 is assumed. Subsequent </w:t>
            </w:r>
            <w:r>
              <w:rPr>
                <w:rFonts w:ascii="Cambria"/>
                <w:sz w:val="22"/>
              </w:rPr>
              <w:t>textField </w:t>
            </w:r>
            <w:r>
              <w:rPr>
                <w:sz w:val="22"/>
              </w:rPr>
              <w:t>elements or carriage returns in the text stream serve to denote endpoints for text fields.</w:t>
            </w:r>
          </w:p>
          <w:p>
            <w:pPr>
              <w:pStyle w:val="TableParagraph"/>
              <w:spacing w:before="1"/>
              <w:ind w:left="0"/>
              <w:rPr>
                <w:sz w:val="22"/>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1158" w:hRule="atLeast"/>
        </w:trPr>
        <w:tc>
          <w:tcPr>
            <w:tcW w:w="2062" w:type="dxa"/>
          </w:tcPr>
          <w:p>
            <w:pPr>
              <w:pStyle w:val="TableParagraph"/>
              <w:rPr>
                <w:sz w:val="22"/>
              </w:rPr>
            </w:pPr>
            <w:r>
              <w:rPr>
                <w:rFonts w:ascii="Cambria"/>
                <w:sz w:val="22"/>
              </w:rPr>
              <w:t>type </w:t>
            </w:r>
            <w:r>
              <w:rPr>
                <w:sz w:val="22"/>
              </w:rPr>
              <w:t>(Field Type)</w:t>
            </w:r>
          </w:p>
        </w:tc>
        <w:tc>
          <w:tcPr>
            <w:tcW w:w="8250" w:type="dxa"/>
          </w:tcPr>
          <w:p>
            <w:pPr>
              <w:pStyle w:val="TableParagraph"/>
              <w:ind w:right="298"/>
              <w:rPr>
                <w:sz w:val="22"/>
              </w:rPr>
            </w:pPr>
            <w:r>
              <w:rPr>
                <w:sz w:val="22"/>
              </w:rPr>
              <w:t>Specifies the field Type. When text is imported into cells in the worksheet, the data in the cells are converted to the field type defined here.</w:t>
            </w:r>
          </w:p>
          <w:p>
            <w:pPr>
              <w:pStyle w:val="TableParagraph"/>
              <w:spacing w:before="0"/>
              <w:ind w:left="0"/>
              <w:rPr>
                <w:sz w:val="22"/>
              </w:rPr>
            </w:pPr>
          </w:p>
          <w:p>
            <w:pPr>
              <w:pStyle w:val="TableParagraph"/>
              <w:spacing w:before="0"/>
              <w:rPr>
                <w:sz w:val="22"/>
              </w:rPr>
            </w:pPr>
            <w:r>
              <w:rPr>
                <w:sz w:val="22"/>
              </w:rPr>
              <w:t>Types can be specified by the user, or determined algorithmically via heuristics and text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analysis.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t>
            </w:r>
            <w:r>
              <w:rPr>
                <w:rFonts w:ascii="Cambria"/>
                <w:sz w:val="22"/>
              </w:rPr>
              <w:t>ST_ExternalConnectionType</w:t>
            </w:r>
          </w:p>
          <w:p>
            <w:pPr>
              <w:pStyle w:val="TableParagraph"/>
              <w:spacing w:before="0"/>
              <w:rPr>
                <w:sz w:val="22"/>
              </w:rPr>
            </w:pPr>
            <w:r>
              <w:rPr>
                <w:sz w:val="22"/>
              </w:rPr>
              <w:t>simple type (§</w:t>
            </w:r>
            <w:hyperlink w:history="true" w:anchor="_bookmark849">
              <w:r>
                <w:rPr>
                  <w:sz w:val="22"/>
                </w:rPr>
                <w:t>18.18.27</w:t>
              </w:r>
            </w:hyperlink>
            <w:r>
              <w:rPr>
                <w:sz w:val="22"/>
              </w:rPr>
              <w:t>).</w:t>
            </w:r>
          </w:p>
        </w:tc>
      </w:tr>
    </w:tbl>
    <w:p>
      <w:pPr>
        <w:pStyle w:val="BodyText"/>
        <w:rPr>
          <w:sz w:val="20"/>
        </w:rPr>
      </w:pPr>
    </w:p>
    <w:p>
      <w:pPr>
        <w:pStyle w:val="BodyText"/>
        <w:spacing w:before="10"/>
        <w:rPr>
          <w:sz w:val="16"/>
        </w:rPr>
      </w:pPr>
    </w:p>
    <w:p>
      <w:pPr>
        <w:pStyle w:val="BodyText"/>
        <w:spacing w:line="276" w:lineRule="auto" w:before="56"/>
        <w:ind w:left="220" w:right="672"/>
      </w:pPr>
      <w:r>
        <w:rPr/>
        <w:t>[</w:t>
      </w:r>
      <w:r>
        <w:rPr>
          <w:i/>
        </w:rPr>
        <w:t>Note</w:t>
      </w:r>
      <w:r>
        <w:rPr/>
        <w:t>: The W3C XML Schema definition of this element’s content model (</w:t>
      </w:r>
      <w:r>
        <w:rPr>
          <w:color w:val="5F5F5F"/>
          <w:u w:val="single" w:color="5F5F5F"/>
        </w:rPr>
        <w:t>CT_TextField</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3.11 textFields (Fields)" w:id="1196"/>
      <w:bookmarkEnd w:id="1196"/>
      <w:r>
        <w:rPr>
          <w:b w:val="0"/>
        </w:rPr>
      </w:r>
      <w:bookmarkStart w:name="_bookmark397" w:id="1197"/>
      <w:bookmarkEnd w:id="1197"/>
      <w:r>
        <w:rPr>
          <w:b w:val="0"/>
        </w:rPr>
      </w:r>
      <w:bookmarkStart w:name="_bookmark397" w:id="1198"/>
      <w:bookmarkEnd w:id="1198"/>
      <w:r>
        <w:rPr>
          <w:color w:val="4F81BC"/>
        </w:rPr>
        <w:t>t</w:t>
      </w:r>
      <w:r>
        <w:rPr>
          <w:color w:val="4F81BC"/>
        </w:rPr>
        <w:t>extFields</w:t>
      </w:r>
      <w:r>
        <w:rPr>
          <w:color w:val="4F81BC"/>
          <w:spacing w:val="1"/>
        </w:rPr>
        <w:t> </w:t>
      </w:r>
      <w:r>
        <w:rPr>
          <w:color w:val="4F81BC"/>
        </w:rPr>
        <w:t>(Fields)</w:t>
      </w:r>
    </w:p>
    <w:p>
      <w:pPr>
        <w:pStyle w:val="BodyText"/>
        <w:spacing w:before="127"/>
        <w:ind w:left="220"/>
      </w:pPr>
      <w:r>
        <w:rPr/>
        <w:t>This element that denotes a set of fields to retrieve from a text file. Contains 1 or more </w:t>
      </w:r>
      <w:r>
        <w:rPr>
          <w:rFonts w:ascii="Cambria"/>
        </w:rPr>
        <w:t>textField </w:t>
      </w:r>
      <w:r>
        <w:rPr/>
        <w:t>elements.</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498"/>
              <w:rPr>
                <w:sz w:val="22"/>
              </w:rPr>
            </w:pPr>
            <w:r>
              <w:rPr>
                <w:rFonts w:ascii="Cambria"/>
                <w:sz w:val="22"/>
              </w:rPr>
              <w:t>count </w:t>
            </w:r>
            <w:r>
              <w:rPr>
                <w:sz w:val="22"/>
              </w:rPr>
              <w:t>(Count of Fields)</w:t>
            </w:r>
          </w:p>
        </w:tc>
        <w:tc>
          <w:tcPr>
            <w:tcW w:w="8250" w:type="dxa"/>
          </w:tcPr>
          <w:p>
            <w:pPr>
              <w:pStyle w:val="TableParagraph"/>
              <w:rPr>
                <w:sz w:val="22"/>
              </w:rPr>
            </w:pPr>
            <w:r>
              <w:rPr>
                <w:sz w:val="22"/>
              </w:rPr>
              <w:t>Number of distinct fields to retrieve.</w:t>
            </w:r>
          </w:p>
          <w:p>
            <w:pPr>
              <w:pStyle w:val="TableParagraph"/>
              <w:spacing w:before="0"/>
              <w:ind w:left="0"/>
              <w:rPr>
                <w:sz w:val="22"/>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bl>
    <w:p>
      <w:pPr>
        <w:pStyle w:val="BodyText"/>
        <w:rPr>
          <w:sz w:val="26"/>
        </w:rPr>
      </w:pPr>
    </w:p>
    <w:p>
      <w:pPr>
        <w:pStyle w:val="BodyText"/>
        <w:spacing w:line="278" w:lineRule="auto" w:before="188"/>
        <w:ind w:left="220" w:right="586"/>
      </w:pPr>
      <w:r>
        <w:rPr/>
        <w:t>[</w:t>
      </w:r>
      <w:r>
        <w:rPr>
          <w:i/>
        </w:rPr>
        <w:t>Note</w:t>
      </w:r>
      <w:r>
        <w:rPr/>
        <w:t>: The W3C XML Schema definition of this element’s content model (</w:t>
      </w:r>
      <w:r>
        <w:rPr>
          <w:color w:val="5F5F5F"/>
          <w:u w:val="single" w:color="5F5F5F"/>
        </w:rPr>
        <w:t>CT_TextFields</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3.12 textPr (Text Import Settings)" w:id="1199"/>
      <w:bookmarkEnd w:id="1199"/>
      <w:r>
        <w:rPr>
          <w:b w:val="0"/>
        </w:rPr>
      </w:r>
      <w:bookmarkStart w:name="_bookmark398" w:id="1200"/>
      <w:bookmarkEnd w:id="1200"/>
      <w:r>
        <w:rPr>
          <w:b w:val="0"/>
        </w:rPr>
      </w:r>
      <w:bookmarkStart w:name="_bookmark398" w:id="1201"/>
      <w:bookmarkEnd w:id="1201"/>
      <w:r>
        <w:rPr>
          <w:color w:val="4F81BC"/>
        </w:rPr>
        <w:t>t</w:t>
      </w:r>
      <w:r>
        <w:rPr>
          <w:color w:val="4F81BC"/>
        </w:rPr>
        <w:t>extPr (Text Import</w:t>
      </w:r>
      <w:r>
        <w:rPr>
          <w:color w:val="4F81BC"/>
          <w:spacing w:val="-1"/>
        </w:rPr>
        <w:t> </w:t>
      </w:r>
      <w:r>
        <w:rPr>
          <w:color w:val="4F81BC"/>
        </w:rPr>
        <w:t>Settings)</w:t>
      </w:r>
    </w:p>
    <w:p>
      <w:pPr>
        <w:pStyle w:val="BodyText"/>
        <w:spacing w:before="127"/>
        <w:ind w:left="220"/>
      </w:pPr>
      <w:r>
        <w:rPr/>
        <w:t>This element contains all of the text import settings.</w:t>
      </w:r>
    </w:p>
    <w:p>
      <w:pPr>
        <w:pStyle w:val="BodyText"/>
        <w:spacing w:before="8"/>
        <w:rPr>
          <w:sz w:val="19"/>
        </w:rPr>
      </w:pPr>
    </w:p>
    <w:p>
      <w:pPr>
        <w:pStyle w:val="BodyText"/>
        <w:ind w:left="270"/>
      </w:pPr>
      <w:r>
        <w:rPr/>
        <w:t>[</w:t>
      </w:r>
      <w:r>
        <w:rPr>
          <w:i/>
        </w:rPr>
        <w:t>Example</w:t>
      </w:r>
      <w:r>
        <w:rPr/>
        <w:t>: Here's an example of the XML for a text connection:</w:t>
      </w:r>
    </w:p>
    <w:p>
      <w:pPr>
        <w:pStyle w:val="BodyText"/>
        <w:spacing w:before="8"/>
        <w:rPr>
          <w:sz w:val="19"/>
        </w:rPr>
      </w:pPr>
    </w:p>
    <w:p>
      <w:pPr>
        <w:pStyle w:val="BodyText"/>
        <w:spacing w:line="276" w:lineRule="auto" w:before="1"/>
        <w:ind w:left="750" w:hanging="243"/>
        <w:rPr>
          <w:rFonts w:ascii="Consolas"/>
        </w:rPr>
      </w:pPr>
      <w:r>
        <w:rPr>
          <w:rFonts w:ascii="Consolas"/>
        </w:rPr>
        <w:t>&lt;connection id="1" name="text data" type="6" refreshedVersion="3" background="1" saveData="1"&gt;</w:t>
      </w:r>
    </w:p>
    <w:p>
      <w:pPr>
        <w:pStyle w:val="BodyText"/>
        <w:spacing w:line="278" w:lineRule="auto"/>
        <w:ind w:left="993" w:right="475" w:hanging="243"/>
        <w:rPr>
          <w:rFonts w:ascii="Consolas"/>
        </w:rPr>
      </w:pPr>
      <w:r>
        <w:rPr>
          <w:rFonts w:ascii="Consolas"/>
        </w:rPr>
        <w:t>&lt;textPr prompt="0" characterSet="IBM437" sourceFile="C:\Desktop\text data.txt" delimiter="|"&gt;</w:t>
      </w:r>
    </w:p>
    <w:p>
      <w:pPr>
        <w:pStyle w:val="BodyText"/>
        <w:spacing w:line="253" w:lineRule="exact"/>
        <w:ind w:left="993"/>
        <w:rPr>
          <w:rFonts w:ascii="Consolas"/>
        </w:rPr>
      </w:pPr>
      <w:r>
        <w:rPr>
          <w:rFonts w:ascii="Consolas"/>
        </w:rPr>
        <w:t>&lt;textFields count="5"&gt;</w:t>
      </w:r>
    </w:p>
    <w:p>
      <w:pPr>
        <w:pStyle w:val="BodyText"/>
        <w:spacing w:before="38"/>
        <w:ind w:left="1235"/>
        <w:rPr>
          <w:rFonts w:ascii="Consolas"/>
        </w:rPr>
      </w:pPr>
      <w:r>
        <w:rPr>
          <w:rFonts w:ascii="Consolas"/>
        </w:rPr>
        <w:t>&lt;textField/&gt;</w:t>
      </w:r>
    </w:p>
    <w:p>
      <w:pPr>
        <w:pStyle w:val="BodyText"/>
        <w:spacing w:before="37"/>
        <w:ind w:left="1235"/>
        <w:rPr>
          <w:rFonts w:ascii="Consolas"/>
        </w:rPr>
      </w:pPr>
      <w:r>
        <w:rPr>
          <w:rFonts w:ascii="Consolas"/>
        </w:rPr>
        <w:t>&lt;textField type="text" position="7"/&gt;</w:t>
      </w:r>
    </w:p>
    <w:p>
      <w:pPr>
        <w:pStyle w:val="BodyText"/>
        <w:spacing w:before="40"/>
        <w:ind w:left="1235"/>
        <w:rPr>
          <w:rFonts w:ascii="Consolas"/>
        </w:rPr>
      </w:pPr>
      <w:r>
        <w:rPr>
          <w:rFonts w:ascii="Consolas"/>
        </w:rPr>
        <w:t>&lt;textField type="text" position="28"/&gt;</w:t>
      </w:r>
    </w:p>
    <w:p>
      <w:pPr>
        <w:pStyle w:val="BodyText"/>
        <w:spacing w:before="38"/>
        <w:ind w:left="1235"/>
        <w:rPr>
          <w:rFonts w:ascii="Consolas"/>
        </w:rPr>
      </w:pPr>
      <w:r>
        <w:rPr>
          <w:rFonts w:ascii="Consolas"/>
        </w:rPr>
        <w:t>&lt;textField position="36"/&gt;</w:t>
      </w:r>
    </w:p>
    <w:p>
      <w:pPr>
        <w:pStyle w:val="BodyText"/>
        <w:spacing w:before="38"/>
        <w:ind w:left="1235"/>
        <w:rPr>
          <w:rFonts w:ascii="Consolas"/>
        </w:rPr>
      </w:pPr>
      <w:r>
        <w:rPr>
          <w:rFonts w:ascii="Consolas"/>
        </w:rPr>
        <w:t>&lt;textField type="text" position="41"/&gt;</w:t>
      </w:r>
    </w:p>
    <w:p>
      <w:pPr>
        <w:pStyle w:val="BodyText"/>
        <w:spacing w:before="40"/>
        <w:ind w:left="993"/>
        <w:rPr>
          <w:rFonts w:ascii="Consolas"/>
        </w:rPr>
      </w:pPr>
      <w:r>
        <w:rPr>
          <w:rFonts w:ascii="Consolas"/>
        </w:rPr>
        <w:t>&lt;/textFields&gt;</w:t>
      </w:r>
    </w:p>
    <w:p>
      <w:pPr>
        <w:pStyle w:val="BodyText"/>
        <w:spacing w:before="38"/>
        <w:ind w:left="165" w:right="8254"/>
        <w:jc w:val="center"/>
        <w:rPr>
          <w:rFonts w:ascii="Consolas"/>
        </w:rPr>
      </w:pPr>
      <w:r>
        <w:rPr>
          <w:rFonts w:ascii="Consolas"/>
        </w:rPr>
        <w:t>&lt;/textPr&gt;</w:t>
      </w:r>
    </w:p>
    <w:p>
      <w:pPr>
        <w:pStyle w:val="BodyText"/>
        <w:spacing w:before="40"/>
        <w:ind w:left="165" w:right="8254"/>
        <w:jc w:val="center"/>
        <w:rPr>
          <w:rFonts w:ascii="Consolas"/>
        </w:rPr>
      </w:pPr>
      <w:r>
        <w:rPr>
          <w:rFonts w:ascii="Consolas"/>
        </w:rPr>
        <w:t>&lt;/connection&gt;</w:t>
      </w:r>
    </w:p>
    <w:p>
      <w:pPr>
        <w:pStyle w:val="BodyText"/>
        <w:spacing w:before="4"/>
        <w:rPr>
          <w:rFonts w:ascii="Consolas"/>
          <w:sz w:val="20"/>
        </w:rPr>
      </w:pPr>
    </w:p>
    <w:p>
      <w:pPr>
        <w:spacing w:before="1"/>
        <w:ind w:left="220" w:right="0" w:firstLine="0"/>
        <w:jc w:val="left"/>
        <w:rPr>
          <w:sz w:val="22"/>
        </w:rPr>
      </w:pPr>
      <w:r>
        <w:rPr>
          <w:i/>
          <w:sz w:val="22"/>
        </w:rPr>
        <w:t>example</w:t>
      </w:r>
      <w:r>
        <w:rPr>
          <w:sz w:val="22"/>
        </w:rPr>
        <w:t>]</w:t>
      </w:r>
    </w:p>
    <w:p>
      <w:pPr>
        <w:spacing w:after="0"/>
        <w:jc w:val="left"/>
        <w:rPr>
          <w:sz w:val="22"/>
        </w:rPr>
        <w:sectPr>
          <w:footerReference w:type="even" r:id="rId180"/>
          <w:footerReference w:type="default" r:id="rId181"/>
          <w:pgSz w:w="12240" w:h="15840"/>
          <w:pgMar w:footer="746" w:header="761" w:top="1340" w:bottom="940" w:left="860" w:right="700"/>
          <w:pgNumType w:start="2010"/>
        </w:sectPr>
      </w:pPr>
    </w:p>
    <w:p>
      <w:pPr>
        <w:pStyle w:val="BodyText"/>
        <w:spacing w:before="1"/>
        <w:rPr>
          <w:rFonts w:ascii="Times New Roman"/>
          <w:sz w:val="13"/>
        </w:rPr>
      </w:pPr>
      <w:r>
        <w:rPr/>
        <w:pict>
          <v:shape style="position:absolute;margin-left:157.100006pt;margin-top:499.630005pt;width:401.25pt;height:190.5pt;mso-position-horizontal-relative:page;mso-position-vertical-relative:page;z-index:2517309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4"/>
                    <w:gridCol w:w="1260"/>
                    <w:gridCol w:w="1169"/>
                    <w:gridCol w:w="1262"/>
                    <w:gridCol w:w="1257"/>
                    <w:gridCol w:w="1886"/>
                  </w:tblGrid>
                  <w:tr>
                    <w:trPr>
                      <w:trHeight w:val="1161" w:hRule="atLeast"/>
                    </w:trPr>
                    <w:tc>
                      <w:tcPr>
                        <w:tcW w:w="1174" w:type="dxa"/>
                        <w:shd w:val="clear" w:color="auto" w:fill="C0C0C0"/>
                      </w:tcPr>
                      <w:p>
                        <w:pPr>
                          <w:pStyle w:val="TableParagraph"/>
                          <w:ind w:left="143" w:right="133" w:firstLine="110"/>
                          <w:jc w:val="both"/>
                          <w:rPr>
                            <w:b/>
                            <w:sz w:val="22"/>
                          </w:rPr>
                        </w:pPr>
                        <w:r>
                          <w:rPr>
                            <w:b/>
                            <w:sz w:val="22"/>
                          </w:rPr>
                          <w:t>System decimal separator</w:t>
                        </w:r>
                      </w:p>
                    </w:tc>
                    <w:tc>
                      <w:tcPr>
                        <w:tcW w:w="1260" w:type="dxa"/>
                        <w:shd w:val="clear" w:color="auto" w:fill="C0C0C0"/>
                      </w:tcPr>
                      <w:p>
                        <w:pPr>
                          <w:pStyle w:val="TableParagraph"/>
                          <w:ind w:left="153" w:right="144" w:firstLine="3"/>
                          <w:jc w:val="center"/>
                          <w:rPr>
                            <w:b/>
                            <w:sz w:val="22"/>
                          </w:rPr>
                        </w:pPr>
                        <w:r>
                          <w:rPr>
                            <w:b/>
                            <w:sz w:val="22"/>
                          </w:rPr>
                          <w:t>System thousands separator</w:t>
                        </w:r>
                      </w:p>
                    </w:tc>
                    <w:tc>
                      <w:tcPr>
                        <w:tcW w:w="1169" w:type="dxa"/>
                        <w:shd w:val="clear" w:color="auto" w:fill="C0C0C0"/>
                      </w:tcPr>
                      <w:p>
                        <w:pPr>
                          <w:pStyle w:val="TableParagraph"/>
                          <w:ind w:left="141" w:right="131" w:firstLine="1"/>
                          <w:jc w:val="center"/>
                          <w:rPr>
                            <w:b/>
                            <w:sz w:val="22"/>
                          </w:rPr>
                        </w:pPr>
                        <w:r>
                          <w:rPr>
                            <w:b/>
                            <w:sz w:val="22"/>
                          </w:rPr>
                          <w:t>Text file decimal separator value</w:t>
                        </w:r>
                      </w:p>
                    </w:tc>
                    <w:tc>
                      <w:tcPr>
                        <w:tcW w:w="1262" w:type="dxa"/>
                        <w:shd w:val="clear" w:color="auto" w:fill="C0C0C0"/>
                      </w:tcPr>
                      <w:p>
                        <w:pPr>
                          <w:pStyle w:val="TableParagraph"/>
                          <w:ind w:left="156" w:right="144" w:hanging="2"/>
                          <w:jc w:val="center"/>
                          <w:rPr>
                            <w:b/>
                            <w:sz w:val="22"/>
                          </w:rPr>
                        </w:pPr>
                        <w:r>
                          <w:rPr>
                            <w:b/>
                            <w:sz w:val="22"/>
                          </w:rPr>
                          <w:t>Text file thousands Separator value</w:t>
                        </w:r>
                      </w:p>
                    </w:tc>
                    <w:tc>
                      <w:tcPr>
                        <w:tcW w:w="1257" w:type="dxa"/>
                        <w:shd w:val="clear" w:color="auto" w:fill="C0C0C0"/>
                      </w:tcPr>
                      <w:p>
                        <w:pPr>
                          <w:pStyle w:val="TableParagraph"/>
                          <w:ind w:left="204" w:right="170" w:firstLine="225"/>
                          <w:rPr>
                            <w:b/>
                            <w:sz w:val="22"/>
                          </w:rPr>
                        </w:pPr>
                        <w:r>
                          <w:rPr>
                            <w:b/>
                            <w:sz w:val="22"/>
                          </w:rPr>
                          <w:t>Text imported</w:t>
                        </w:r>
                      </w:p>
                    </w:tc>
                    <w:tc>
                      <w:tcPr>
                        <w:tcW w:w="1886" w:type="dxa"/>
                        <w:shd w:val="clear" w:color="auto" w:fill="C0C0C0"/>
                      </w:tcPr>
                      <w:p>
                        <w:pPr>
                          <w:pStyle w:val="TableParagraph"/>
                          <w:ind w:left="705" w:right="206" w:hanging="466"/>
                          <w:rPr>
                            <w:b/>
                            <w:sz w:val="22"/>
                          </w:rPr>
                        </w:pPr>
                        <w:r>
                          <w:rPr>
                            <w:b/>
                            <w:sz w:val="22"/>
                          </w:rPr>
                          <w:t>Cell value (data type)</w:t>
                        </w:r>
                      </w:p>
                    </w:tc>
                  </w:tr>
                  <w:tr>
                    <w:trPr>
                      <w:trHeight w:val="621" w:hRule="atLeast"/>
                    </w:trPr>
                    <w:tc>
                      <w:tcPr>
                        <w:tcW w:w="1174" w:type="dxa"/>
                      </w:tcPr>
                      <w:p>
                        <w:pPr>
                          <w:pStyle w:val="TableParagraph"/>
                          <w:rPr>
                            <w:sz w:val="22"/>
                          </w:rPr>
                        </w:pPr>
                        <w:r>
                          <w:rPr>
                            <w:sz w:val="22"/>
                          </w:rPr>
                          <w:t>Period</w:t>
                        </w:r>
                      </w:p>
                    </w:tc>
                    <w:tc>
                      <w:tcPr>
                        <w:tcW w:w="1260" w:type="dxa"/>
                      </w:tcPr>
                      <w:p>
                        <w:pPr>
                          <w:pStyle w:val="TableParagraph"/>
                          <w:rPr>
                            <w:sz w:val="22"/>
                          </w:rPr>
                        </w:pPr>
                        <w:r>
                          <w:rPr>
                            <w:sz w:val="22"/>
                          </w:rPr>
                          <w:t>Comma</w:t>
                        </w:r>
                      </w:p>
                    </w:tc>
                    <w:tc>
                      <w:tcPr>
                        <w:tcW w:w="1169" w:type="dxa"/>
                      </w:tcPr>
                      <w:p>
                        <w:pPr>
                          <w:pStyle w:val="TableParagraph"/>
                          <w:rPr>
                            <w:sz w:val="22"/>
                          </w:rPr>
                        </w:pPr>
                        <w:r>
                          <w:rPr>
                            <w:sz w:val="22"/>
                          </w:rPr>
                          <w:t>Comma</w:t>
                        </w:r>
                      </w:p>
                    </w:tc>
                    <w:tc>
                      <w:tcPr>
                        <w:tcW w:w="1262" w:type="dxa"/>
                      </w:tcPr>
                      <w:p>
                        <w:pPr>
                          <w:pStyle w:val="TableParagraph"/>
                          <w:rPr>
                            <w:sz w:val="22"/>
                          </w:rPr>
                        </w:pPr>
                        <w:r>
                          <w:rPr>
                            <w:sz w:val="22"/>
                          </w:rPr>
                          <w:t>Period</w:t>
                        </w:r>
                      </w:p>
                    </w:tc>
                    <w:tc>
                      <w:tcPr>
                        <w:tcW w:w="1257" w:type="dxa"/>
                      </w:tcPr>
                      <w:p>
                        <w:pPr>
                          <w:pStyle w:val="TableParagraph"/>
                          <w:ind w:left="97" w:right="106"/>
                          <w:jc w:val="center"/>
                          <w:rPr>
                            <w:sz w:val="22"/>
                          </w:rPr>
                        </w:pPr>
                        <w:r>
                          <w:rPr>
                            <w:sz w:val="22"/>
                          </w:rPr>
                          <w:t>123.123,45</w:t>
                        </w:r>
                      </w:p>
                    </w:tc>
                    <w:tc>
                      <w:tcPr>
                        <w:tcW w:w="1886" w:type="dxa"/>
                      </w:tcPr>
                      <w:p>
                        <w:pPr>
                          <w:pStyle w:val="TableParagraph"/>
                          <w:spacing w:line="267" w:lineRule="exact"/>
                          <w:ind w:left="117"/>
                          <w:rPr>
                            <w:sz w:val="22"/>
                          </w:rPr>
                        </w:pPr>
                        <w:r>
                          <w:rPr>
                            <w:sz w:val="22"/>
                          </w:rPr>
                          <w:t>123,123.45</w:t>
                        </w:r>
                      </w:p>
                      <w:p>
                        <w:pPr>
                          <w:pStyle w:val="TableParagraph"/>
                          <w:spacing w:line="267" w:lineRule="exact" w:before="0"/>
                          <w:ind w:left="117"/>
                          <w:rPr>
                            <w:sz w:val="22"/>
                          </w:rPr>
                        </w:pPr>
                        <w:r>
                          <w:rPr>
                            <w:sz w:val="22"/>
                          </w:rPr>
                          <w:t>(numeric)</w:t>
                        </w:r>
                      </w:p>
                    </w:tc>
                  </w:tr>
                  <w:tr>
                    <w:trPr>
                      <w:trHeight w:val="354" w:hRule="atLeast"/>
                    </w:trPr>
                    <w:tc>
                      <w:tcPr>
                        <w:tcW w:w="1174" w:type="dxa"/>
                      </w:tcPr>
                      <w:p>
                        <w:pPr>
                          <w:pStyle w:val="TableParagraph"/>
                          <w:rPr>
                            <w:sz w:val="22"/>
                          </w:rPr>
                        </w:pPr>
                        <w:r>
                          <w:rPr>
                            <w:sz w:val="22"/>
                          </w:rPr>
                          <w:t>Period</w:t>
                        </w:r>
                      </w:p>
                    </w:tc>
                    <w:tc>
                      <w:tcPr>
                        <w:tcW w:w="1260" w:type="dxa"/>
                      </w:tcPr>
                      <w:p>
                        <w:pPr>
                          <w:pStyle w:val="TableParagraph"/>
                          <w:rPr>
                            <w:sz w:val="22"/>
                          </w:rPr>
                        </w:pPr>
                        <w:r>
                          <w:rPr>
                            <w:sz w:val="22"/>
                          </w:rPr>
                          <w:t>Comma</w:t>
                        </w:r>
                      </w:p>
                    </w:tc>
                    <w:tc>
                      <w:tcPr>
                        <w:tcW w:w="1169" w:type="dxa"/>
                      </w:tcPr>
                      <w:p>
                        <w:pPr>
                          <w:pStyle w:val="TableParagraph"/>
                          <w:rPr>
                            <w:sz w:val="22"/>
                          </w:rPr>
                        </w:pPr>
                        <w:r>
                          <w:rPr>
                            <w:sz w:val="22"/>
                          </w:rPr>
                          <w:t>Comma</w:t>
                        </w:r>
                      </w:p>
                    </w:tc>
                    <w:tc>
                      <w:tcPr>
                        <w:tcW w:w="1262" w:type="dxa"/>
                      </w:tcPr>
                      <w:p>
                        <w:pPr>
                          <w:pStyle w:val="TableParagraph"/>
                          <w:rPr>
                            <w:sz w:val="22"/>
                          </w:rPr>
                        </w:pPr>
                        <w:r>
                          <w:rPr>
                            <w:sz w:val="22"/>
                          </w:rPr>
                          <w:t>Comma</w:t>
                        </w:r>
                      </w:p>
                    </w:tc>
                    <w:tc>
                      <w:tcPr>
                        <w:tcW w:w="1257" w:type="dxa"/>
                      </w:tcPr>
                      <w:p>
                        <w:pPr>
                          <w:pStyle w:val="TableParagraph"/>
                          <w:ind w:left="97" w:right="106"/>
                          <w:jc w:val="center"/>
                          <w:rPr>
                            <w:sz w:val="22"/>
                          </w:rPr>
                        </w:pPr>
                        <w:r>
                          <w:rPr>
                            <w:sz w:val="22"/>
                          </w:rPr>
                          <w:t>123.123,45</w:t>
                        </w:r>
                      </w:p>
                    </w:tc>
                    <w:tc>
                      <w:tcPr>
                        <w:tcW w:w="1886" w:type="dxa"/>
                      </w:tcPr>
                      <w:p>
                        <w:pPr>
                          <w:pStyle w:val="TableParagraph"/>
                          <w:ind w:left="117"/>
                          <w:rPr>
                            <w:sz w:val="22"/>
                          </w:rPr>
                        </w:pPr>
                        <w:r>
                          <w:rPr>
                            <w:sz w:val="22"/>
                          </w:rPr>
                          <w:t>123.123,45 (text)</w:t>
                        </w:r>
                      </w:p>
                    </w:tc>
                  </w:tr>
                  <w:tr>
                    <w:trPr>
                      <w:trHeight w:val="624" w:hRule="atLeast"/>
                    </w:trPr>
                    <w:tc>
                      <w:tcPr>
                        <w:tcW w:w="1174" w:type="dxa"/>
                      </w:tcPr>
                      <w:p>
                        <w:pPr>
                          <w:pStyle w:val="TableParagraph"/>
                          <w:rPr>
                            <w:sz w:val="22"/>
                          </w:rPr>
                        </w:pPr>
                        <w:r>
                          <w:rPr>
                            <w:sz w:val="22"/>
                          </w:rPr>
                          <w:t>Comma</w:t>
                        </w:r>
                      </w:p>
                    </w:tc>
                    <w:tc>
                      <w:tcPr>
                        <w:tcW w:w="1260" w:type="dxa"/>
                      </w:tcPr>
                      <w:p>
                        <w:pPr>
                          <w:pStyle w:val="TableParagraph"/>
                          <w:rPr>
                            <w:sz w:val="22"/>
                          </w:rPr>
                        </w:pPr>
                        <w:r>
                          <w:rPr>
                            <w:sz w:val="22"/>
                          </w:rPr>
                          <w:t>Period</w:t>
                        </w:r>
                      </w:p>
                    </w:tc>
                    <w:tc>
                      <w:tcPr>
                        <w:tcW w:w="1169" w:type="dxa"/>
                      </w:tcPr>
                      <w:p>
                        <w:pPr>
                          <w:pStyle w:val="TableParagraph"/>
                          <w:rPr>
                            <w:sz w:val="22"/>
                          </w:rPr>
                        </w:pPr>
                        <w:r>
                          <w:rPr>
                            <w:sz w:val="22"/>
                          </w:rPr>
                          <w:t>Comma</w:t>
                        </w:r>
                      </w:p>
                    </w:tc>
                    <w:tc>
                      <w:tcPr>
                        <w:tcW w:w="1262" w:type="dxa"/>
                      </w:tcPr>
                      <w:p>
                        <w:pPr>
                          <w:pStyle w:val="TableParagraph"/>
                          <w:rPr>
                            <w:sz w:val="22"/>
                          </w:rPr>
                        </w:pPr>
                        <w:r>
                          <w:rPr>
                            <w:sz w:val="22"/>
                          </w:rPr>
                          <w:t>Period</w:t>
                        </w:r>
                      </w:p>
                    </w:tc>
                    <w:tc>
                      <w:tcPr>
                        <w:tcW w:w="1257" w:type="dxa"/>
                      </w:tcPr>
                      <w:p>
                        <w:pPr>
                          <w:pStyle w:val="TableParagraph"/>
                          <w:ind w:left="97" w:right="106"/>
                          <w:jc w:val="center"/>
                          <w:rPr>
                            <w:sz w:val="22"/>
                          </w:rPr>
                        </w:pPr>
                        <w:r>
                          <w:rPr>
                            <w:sz w:val="22"/>
                          </w:rPr>
                          <w:t>123,123.45</w:t>
                        </w:r>
                      </w:p>
                    </w:tc>
                    <w:tc>
                      <w:tcPr>
                        <w:tcW w:w="1886" w:type="dxa"/>
                      </w:tcPr>
                      <w:p>
                        <w:pPr>
                          <w:pStyle w:val="TableParagraph"/>
                          <w:ind w:left="117"/>
                          <w:rPr>
                            <w:sz w:val="22"/>
                          </w:rPr>
                        </w:pPr>
                        <w:r>
                          <w:rPr>
                            <w:sz w:val="22"/>
                          </w:rPr>
                          <w:t>123,123.45</w:t>
                        </w:r>
                      </w:p>
                      <w:p>
                        <w:pPr>
                          <w:pStyle w:val="TableParagraph"/>
                          <w:spacing w:before="0"/>
                          <w:ind w:left="117"/>
                          <w:rPr>
                            <w:sz w:val="22"/>
                          </w:rPr>
                        </w:pPr>
                        <w:r>
                          <w:rPr>
                            <w:sz w:val="22"/>
                          </w:rPr>
                          <w:t>(numeric)</w:t>
                        </w:r>
                      </w:p>
                    </w:tc>
                  </w:tr>
                  <w:tr>
                    <w:trPr>
                      <w:trHeight w:val="354" w:hRule="atLeast"/>
                    </w:trPr>
                    <w:tc>
                      <w:tcPr>
                        <w:tcW w:w="1174" w:type="dxa"/>
                      </w:tcPr>
                      <w:p>
                        <w:pPr>
                          <w:pStyle w:val="TableParagraph"/>
                          <w:rPr>
                            <w:sz w:val="22"/>
                          </w:rPr>
                        </w:pPr>
                        <w:r>
                          <w:rPr>
                            <w:sz w:val="22"/>
                          </w:rPr>
                          <w:t>Period</w:t>
                        </w:r>
                      </w:p>
                    </w:tc>
                    <w:tc>
                      <w:tcPr>
                        <w:tcW w:w="1260" w:type="dxa"/>
                      </w:tcPr>
                      <w:p>
                        <w:pPr>
                          <w:pStyle w:val="TableParagraph"/>
                          <w:rPr>
                            <w:sz w:val="22"/>
                          </w:rPr>
                        </w:pPr>
                        <w:r>
                          <w:rPr>
                            <w:sz w:val="22"/>
                          </w:rPr>
                          <w:t>Comma</w:t>
                        </w:r>
                      </w:p>
                    </w:tc>
                    <w:tc>
                      <w:tcPr>
                        <w:tcW w:w="1169" w:type="dxa"/>
                      </w:tcPr>
                      <w:p>
                        <w:pPr>
                          <w:pStyle w:val="TableParagraph"/>
                          <w:rPr>
                            <w:sz w:val="22"/>
                          </w:rPr>
                        </w:pPr>
                        <w:r>
                          <w:rPr>
                            <w:sz w:val="22"/>
                          </w:rPr>
                          <w:t>Period</w:t>
                        </w:r>
                      </w:p>
                    </w:tc>
                    <w:tc>
                      <w:tcPr>
                        <w:tcW w:w="1262" w:type="dxa"/>
                      </w:tcPr>
                      <w:p>
                        <w:pPr>
                          <w:pStyle w:val="TableParagraph"/>
                          <w:rPr>
                            <w:sz w:val="22"/>
                          </w:rPr>
                        </w:pPr>
                        <w:r>
                          <w:rPr>
                            <w:sz w:val="22"/>
                          </w:rPr>
                          <w:t>Comma</w:t>
                        </w:r>
                      </w:p>
                    </w:tc>
                    <w:tc>
                      <w:tcPr>
                        <w:tcW w:w="1257" w:type="dxa"/>
                      </w:tcPr>
                      <w:p>
                        <w:pPr>
                          <w:pStyle w:val="TableParagraph"/>
                          <w:ind w:left="92" w:right="106"/>
                          <w:jc w:val="center"/>
                          <w:rPr>
                            <w:sz w:val="22"/>
                          </w:rPr>
                        </w:pPr>
                        <w:r>
                          <w:rPr>
                            <w:sz w:val="22"/>
                          </w:rPr>
                          <w:t>123 123.45</w:t>
                        </w:r>
                      </w:p>
                    </w:tc>
                    <w:tc>
                      <w:tcPr>
                        <w:tcW w:w="1886" w:type="dxa"/>
                      </w:tcPr>
                      <w:p>
                        <w:pPr>
                          <w:pStyle w:val="TableParagraph"/>
                          <w:ind w:left="117"/>
                          <w:rPr>
                            <w:sz w:val="22"/>
                          </w:rPr>
                        </w:pPr>
                        <w:r>
                          <w:rPr>
                            <w:sz w:val="22"/>
                          </w:rPr>
                          <w:t>123 123.45 (text)</w:t>
                        </w:r>
                      </w:p>
                    </w:tc>
                  </w:tr>
                  <w:tr>
                    <w:trPr>
                      <w:trHeight w:val="623" w:hRule="atLeast"/>
                    </w:trPr>
                    <w:tc>
                      <w:tcPr>
                        <w:tcW w:w="1174" w:type="dxa"/>
                      </w:tcPr>
                      <w:p>
                        <w:pPr>
                          <w:pStyle w:val="TableParagraph"/>
                          <w:rPr>
                            <w:sz w:val="22"/>
                          </w:rPr>
                        </w:pPr>
                        <w:r>
                          <w:rPr>
                            <w:sz w:val="22"/>
                          </w:rPr>
                          <w:t>Period</w:t>
                        </w:r>
                      </w:p>
                    </w:tc>
                    <w:tc>
                      <w:tcPr>
                        <w:tcW w:w="1260" w:type="dxa"/>
                      </w:tcPr>
                      <w:p>
                        <w:pPr>
                          <w:pStyle w:val="TableParagraph"/>
                          <w:rPr>
                            <w:sz w:val="22"/>
                          </w:rPr>
                        </w:pPr>
                        <w:r>
                          <w:rPr>
                            <w:sz w:val="22"/>
                          </w:rPr>
                          <w:t>Comma</w:t>
                        </w:r>
                      </w:p>
                    </w:tc>
                    <w:tc>
                      <w:tcPr>
                        <w:tcW w:w="1169" w:type="dxa"/>
                      </w:tcPr>
                      <w:p>
                        <w:pPr>
                          <w:pStyle w:val="TableParagraph"/>
                          <w:rPr>
                            <w:sz w:val="22"/>
                          </w:rPr>
                        </w:pPr>
                        <w:r>
                          <w:rPr>
                            <w:sz w:val="22"/>
                          </w:rPr>
                          <w:t>Period</w:t>
                        </w:r>
                      </w:p>
                    </w:tc>
                    <w:tc>
                      <w:tcPr>
                        <w:tcW w:w="1262" w:type="dxa"/>
                      </w:tcPr>
                      <w:p>
                        <w:pPr>
                          <w:pStyle w:val="TableParagraph"/>
                          <w:rPr>
                            <w:sz w:val="22"/>
                          </w:rPr>
                        </w:pPr>
                        <w:r>
                          <w:rPr>
                            <w:sz w:val="22"/>
                          </w:rPr>
                          <w:t>Space</w:t>
                        </w:r>
                      </w:p>
                    </w:tc>
                    <w:tc>
                      <w:tcPr>
                        <w:tcW w:w="1257" w:type="dxa"/>
                      </w:tcPr>
                      <w:p>
                        <w:pPr>
                          <w:pStyle w:val="TableParagraph"/>
                          <w:ind w:left="92" w:right="106"/>
                          <w:jc w:val="center"/>
                          <w:rPr>
                            <w:sz w:val="22"/>
                          </w:rPr>
                        </w:pPr>
                        <w:r>
                          <w:rPr>
                            <w:sz w:val="22"/>
                          </w:rPr>
                          <w:t>123 123.45</w:t>
                        </w:r>
                      </w:p>
                    </w:tc>
                    <w:tc>
                      <w:tcPr>
                        <w:tcW w:w="1886" w:type="dxa"/>
                      </w:tcPr>
                      <w:p>
                        <w:pPr>
                          <w:pStyle w:val="TableParagraph"/>
                          <w:ind w:left="117"/>
                          <w:rPr>
                            <w:sz w:val="22"/>
                          </w:rPr>
                        </w:pPr>
                        <w:r>
                          <w:rPr>
                            <w:sz w:val="22"/>
                          </w:rPr>
                          <w:t>123,123.45</w:t>
                        </w:r>
                      </w:p>
                      <w:p>
                        <w:pPr>
                          <w:pStyle w:val="TableParagraph"/>
                          <w:spacing w:before="0"/>
                          <w:ind w:left="117"/>
                          <w:rPr>
                            <w:sz w:val="22"/>
                          </w:rPr>
                        </w:pPr>
                        <w:r>
                          <w:rPr>
                            <w:sz w:val="22"/>
                          </w:rPr>
                          <w:t>(numeric)</w:t>
                        </w:r>
                      </w:p>
                    </w:tc>
                  </w:tr>
                </w:tbl>
                <w:p>
                  <w:pPr>
                    <w:pStyle w:val="BodyText"/>
                  </w:pPr>
                </w:p>
              </w:txbxContent>
            </v:textbox>
            <w10:wrap type="none"/>
          </v:shape>
        </w:pic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040" w:hRule="atLeast"/>
        </w:trPr>
        <w:tc>
          <w:tcPr>
            <w:tcW w:w="2062" w:type="dxa"/>
          </w:tcPr>
          <w:p>
            <w:pPr>
              <w:pStyle w:val="TableParagraph"/>
              <w:spacing w:line="256" w:lineRule="exact" w:before="42"/>
              <w:rPr>
                <w:rFonts w:ascii="Cambria"/>
                <w:sz w:val="22"/>
              </w:rPr>
            </w:pPr>
            <w:r>
              <w:rPr>
                <w:rFonts w:ascii="Cambria"/>
                <w:sz w:val="22"/>
              </w:rPr>
              <w:t>characterSet</w:t>
            </w:r>
          </w:p>
          <w:p>
            <w:pPr>
              <w:pStyle w:val="TableParagraph"/>
              <w:spacing w:line="267" w:lineRule="exact" w:before="0"/>
              <w:rPr>
                <w:sz w:val="22"/>
              </w:rPr>
            </w:pPr>
            <w:r>
              <w:rPr>
                <w:sz w:val="22"/>
              </w:rPr>
              <w:t>(Character Set)</w:t>
            </w:r>
          </w:p>
        </w:tc>
        <w:tc>
          <w:tcPr>
            <w:tcW w:w="8250" w:type="dxa"/>
          </w:tcPr>
          <w:p>
            <w:pPr>
              <w:pStyle w:val="TableParagraph"/>
              <w:ind w:right="412"/>
              <w:rPr>
                <w:sz w:val="22"/>
              </w:rPr>
            </w:pPr>
            <w:r>
              <w:rPr>
                <w:sz w:val="22"/>
              </w:rPr>
              <w:t>Name of the character set associated with the text file. Values for this attribute are restricted to the names and aliases listed in the IANA CHARACTER SETS listing found at </w:t>
            </w:r>
            <w:hyperlink r:id="rId21">
              <w:r>
                <w:rPr>
                  <w:color w:val="5F5F5F"/>
                  <w:sz w:val="22"/>
                  <w:u w:val="single" w:color="5F5F5F"/>
                </w:rPr>
                <w:t>http://www.iana.org/assignments/character-sets</w:t>
              </w:r>
            </w:hyperlink>
            <w:r>
              <w:rPr>
                <w:sz w:val="22"/>
              </w:rPr>
              <w:t>.</w:t>
            </w:r>
          </w:p>
          <w:p>
            <w:pPr>
              <w:pStyle w:val="TableParagraph"/>
              <w:spacing w:before="2"/>
              <w:ind w:left="0"/>
              <w:rPr>
                <w:rFonts w:ascii="Times New Roman"/>
                <w:sz w:val="23"/>
              </w:rPr>
            </w:pPr>
          </w:p>
          <w:p>
            <w:pPr>
              <w:pStyle w:val="TableParagraph"/>
              <w:spacing w:before="0"/>
              <w:ind w:right="291"/>
              <w:rPr>
                <w:sz w:val="22"/>
              </w:rPr>
            </w:pPr>
            <w:r>
              <w:rPr>
                <w:sz w:val="22"/>
              </w:rPr>
              <w:t>[</w:t>
            </w:r>
            <w:r>
              <w:rPr>
                <w:i/>
                <w:sz w:val="22"/>
              </w:rPr>
              <w:t>Note</w:t>
            </w:r>
            <w:r>
              <w:rPr>
                <w:sz w:val="22"/>
              </w:rPr>
              <w:t>: When reading this value, if a system does not support a particular character set, the application is allowed to decide what is the best course of fallback action. </w:t>
            </w:r>
            <w:r>
              <w:rPr>
                <w:i/>
                <w:sz w:val="22"/>
              </w:rPr>
              <w:t>end note</w:t>
            </w:r>
            <w:r>
              <w:rPr>
                <w:sz w:val="22"/>
              </w:rPr>
              <w:t>]</w:t>
            </w:r>
          </w:p>
          <w:p>
            <w:pPr>
              <w:pStyle w:val="TableParagraph"/>
              <w:spacing w:before="5"/>
              <w:ind w:left="0"/>
              <w:rPr>
                <w:rFonts w:ascii="Times New Roman"/>
                <w:sz w:val="23"/>
              </w:rPr>
            </w:pPr>
          </w:p>
          <w:p>
            <w:pPr>
              <w:pStyle w:val="TableParagraph"/>
              <w:spacing w:before="0"/>
              <w:rPr>
                <w:sz w:val="22"/>
              </w:rPr>
            </w:pPr>
            <w:r>
              <w:rPr>
                <w:sz w:val="22"/>
              </w:rPr>
              <w:t>If this attribute is not present then the codePage attribute are used.</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159" w:hRule="atLeast"/>
        </w:trPr>
        <w:tc>
          <w:tcPr>
            <w:tcW w:w="2062" w:type="dxa"/>
          </w:tcPr>
          <w:p>
            <w:pPr>
              <w:pStyle w:val="TableParagraph"/>
              <w:ind w:right="238"/>
              <w:rPr>
                <w:sz w:val="22"/>
              </w:rPr>
            </w:pPr>
            <w:r>
              <w:rPr>
                <w:rFonts w:ascii="Cambria"/>
                <w:sz w:val="22"/>
              </w:rPr>
              <w:t>comma </w:t>
            </w:r>
            <w:r>
              <w:rPr>
                <w:sz w:val="22"/>
              </w:rPr>
              <w:t>(Comma is Delimiter)</w:t>
            </w:r>
          </w:p>
        </w:tc>
        <w:tc>
          <w:tcPr>
            <w:tcW w:w="8250" w:type="dxa"/>
          </w:tcPr>
          <w:p>
            <w:pPr>
              <w:pStyle w:val="TableParagraph"/>
              <w:rPr>
                <w:sz w:val="22"/>
              </w:rPr>
            </w:pPr>
            <w:r>
              <w:rPr>
                <w:sz w:val="22"/>
              </w:rPr>
              <w:t>Flag indicating whether to treat comma characters as field delimiters.</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boolean</w:t>
            </w:r>
          </w:p>
          <w:p>
            <w:pPr>
              <w:pStyle w:val="TableParagraph"/>
              <w:spacing w:line="267" w:lineRule="exact" w:before="0"/>
              <w:rPr>
                <w:sz w:val="22"/>
              </w:rPr>
            </w:pPr>
            <w:r>
              <w:rPr>
                <w:sz w:val="22"/>
              </w:rPr>
              <w:t>datatype.</w:t>
            </w:r>
          </w:p>
        </w:tc>
      </w:tr>
      <w:tr>
        <w:trPr>
          <w:trHeight w:val="1698" w:hRule="atLeast"/>
        </w:trPr>
        <w:tc>
          <w:tcPr>
            <w:tcW w:w="2062" w:type="dxa"/>
          </w:tcPr>
          <w:p>
            <w:pPr>
              <w:pStyle w:val="TableParagraph"/>
              <w:spacing w:before="42"/>
              <w:ind w:right="781"/>
              <w:jc w:val="both"/>
              <w:rPr>
                <w:sz w:val="22"/>
              </w:rPr>
            </w:pPr>
            <w:r>
              <w:rPr>
                <w:rFonts w:ascii="Cambria"/>
                <w:sz w:val="22"/>
              </w:rPr>
              <w:t>consecutive </w:t>
            </w:r>
            <w:r>
              <w:rPr>
                <w:sz w:val="22"/>
              </w:rPr>
              <w:t>(Consecutive Delimiters)</w:t>
            </w:r>
          </w:p>
        </w:tc>
        <w:tc>
          <w:tcPr>
            <w:tcW w:w="8250" w:type="dxa"/>
          </w:tcPr>
          <w:p>
            <w:pPr>
              <w:pStyle w:val="TableParagraph"/>
              <w:ind w:right="106"/>
              <w:rPr>
                <w:sz w:val="22"/>
              </w:rPr>
            </w:pPr>
            <w:r>
              <w:rPr>
                <w:sz w:val="22"/>
              </w:rPr>
              <w:t>Flag indicating whether consecutive delimiters should be treated as just one delimiter. If this flag is </w:t>
            </w:r>
            <w:r>
              <w:rPr>
                <w:rFonts w:ascii="Consolas"/>
                <w:sz w:val="20"/>
              </w:rPr>
              <w:t>true </w:t>
            </w:r>
            <w:r>
              <w:rPr>
                <w:sz w:val="22"/>
              </w:rPr>
              <w:t>than it's possible or even likely that some rows will return more fields than others, and these fields will always fill cells in the worksheet from left to</w:t>
            </w:r>
            <w:r>
              <w:rPr>
                <w:spacing w:val="-17"/>
                <w:sz w:val="22"/>
              </w:rPr>
              <w:t> </w:t>
            </w:r>
            <w:r>
              <w:rPr>
                <w:sz w:val="22"/>
              </w:rPr>
              <w:t>right.</w:t>
            </w:r>
          </w:p>
          <w:p>
            <w:pPr>
              <w:pStyle w:val="TableParagraph"/>
              <w:spacing w:before="4"/>
              <w:ind w:left="0"/>
              <w:rPr>
                <w:rFonts w:ascii="Times New Roman"/>
                <w:sz w:val="23"/>
              </w:rPr>
            </w:pPr>
          </w:p>
          <w:p>
            <w:pPr>
              <w:pStyle w:val="TableParagraph"/>
              <w:spacing w:before="1"/>
              <w:rPr>
                <w:rFonts w:ascii="Cambria"/>
                <w:sz w:val="22"/>
              </w:rPr>
            </w:pPr>
            <w:r>
              <w:rPr>
                <w:sz w:val="22"/>
              </w:rPr>
              <w:t>The possible values for this attribute are defined by the W3C XML Schema</w:t>
            </w:r>
            <w:r>
              <w:rPr>
                <w:spacing w:val="-27"/>
                <w:sz w:val="22"/>
              </w:rPr>
              <w:t> </w:t>
            </w:r>
            <w:r>
              <w:rPr>
                <w:rFonts w:ascii="Cambria"/>
                <w:sz w:val="22"/>
              </w:rPr>
              <w:t>boolean</w:t>
            </w:r>
          </w:p>
          <w:p>
            <w:pPr>
              <w:pStyle w:val="TableParagraph"/>
              <w:spacing w:before="0"/>
              <w:rPr>
                <w:sz w:val="22"/>
              </w:rPr>
            </w:pPr>
            <w:r>
              <w:rPr>
                <w:sz w:val="22"/>
              </w:rPr>
              <w:t>datatype.</w:t>
            </w:r>
          </w:p>
        </w:tc>
      </w:tr>
      <w:tr>
        <w:trPr>
          <w:trHeight w:val="6581" w:hRule="atLeast"/>
        </w:trPr>
        <w:tc>
          <w:tcPr>
            <w:tcW w:w="2062" w:type="dxa"/>
          </w:tcPr>
          <w:p>
            <w:pPr>
              <w:pStyle w:val="TableParagraph"/>
              <w:ind w:right="344"/>
              <w:rPr>
                <w:sz w:val="22"/>
              </w:rPr>
            </w:pPr>
            <w:r>
              <w:rPr>
                <w:rFonts w:ascii="Cambria"/>
                <w:sz w:val="22"/>
              </w:rPr>
              <w:t>decimal </w:t>
            </w:r>
            <w:r>
              <w:rPr>
                <w:sz w:val="22"/>
              </w:rPr>
              <w:t>(Decimal Separator)</w:t>
            </w:r>
          </w:p>
        </w:tc>
        <w:tc>
          <w:tcPr>
            <w:tcW w:w="8250" w:type="dxa"/>
          </w:tcPr>
          <w:p>
            <w:pPr>
              <w:pStyle w:val="TableParagraph"/>
              <w:ind w:right="358"/>
              <w:jc w:val="both"/>
              <w:rPr>
                <w:sz w:val="22"/>
              </w:rPr>
            </w:pPr>
            <w:r>
              <w:rPr>
                <w:sz w:val="22"/>
              </w:rPr>
              <w:t>The decimal separator character. This and the </w:t>
            </w:r>
            <w:r>
              <w:rPr>
                <w:rFonts w:ascii="Cambria"/>
                <w:sz w:val="22"/>
              </w:rPr>
              <w:t>thousands </w:t>
            </w:r>
            <w:r>
              <w:rPr>
                <w:sz w:val="22"/>
              </w:rPr>
              <w:t>attribute are used only when data in the text file contains decimal and thousands separators that are different from those used on the computer, due to a different language setting being used.</w:t>
            </w:r>
          </w:p>
          <w:p>
            <w:pPr>
              <w:pStyle w:val="TableParagraph"/>
              <w:spacing w:before="2"/>
              <w:ind w:left="0"/>
              <w:rPr>
                <w:rFonts w:ascii="Times New Roman"/>
                <w:sz w:val="23"/>
              </w:rPr>
            </w:pPr>
          </w:p>
          <w:p>
            <w:pPr>
              <w:pStyle w:val="TableParagraph"/>
              <w:spacing w:before="1"/>
              <w:ind w:right="651"/>
              <w:rPr>
                <w:sz w:val="22"/>
              </w:rPr>
            </w:pPr>
            <w:r>
              <w:rPr>
                <w:sz w:val="22"/>
              </w:rPr>
              <w:t>The following table shows the results when you import text into a spreadsheet application using various separators. Numeric results are displayed in the rightmost column.</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1"/>
              <w:ind w:left="0"/>
              <w:rPr>
                <w:rFonts w:ascii="Times New Roman"/>
                <w:sz w:val="26"/>
              </w:rPr>
            </w:pPr>
          </w:p>
          <w:p>
            <w:pPr>
              <w:pStyle w:val="TableParagraph"/>
              <w:spacing w:before="0"/>
              <w:rPr>
                <w:sz w:val="22"/>
              </w:rPr>
            </w:pPr>
            <w:r>
              <w:rPr>
                <w:sz w:val="22"/>
              </w:rPr>
              <w:t>Strings values of this attribute are expected to be one character in length.</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96" w:right="84"/>
              <w:jc w:val="center"/>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spacing w:line="256" w:lineRule="exact" w:before="42"/>
              <w:rPr>
                <w:rFonts w:ascii="Cambria"/>
                <w:sz w:val="22"/>
              </w:rPr>
            </w:pPr>
            <w:r>
              <w:rPr>
                <w:rFonts w:ascii="Cambria"/>
                <w:sz w:val="22"/>
              </w:rPr>
              <w:t>delimited</w:t>
            </w:r>
          </w:p>
          <w:p>
            <w:pPr>
              <w:pStyle w:val="TableParagraph"/>
              <w:spacing w:line="267" w:lineRule="exact" w:before="0"/>
              <w:rPr>
                <w:sz w:val="22"/>
              </w:rPr>
            </w:pPr>
            <w:r>
              <w:rPr>
                <w:sz w:val="22"/>
              </w:rPr>
              <w:t>(Delimited File)</w:t>
            </w:r>
          </w:p>
        </w:tc>
        <w:tc>
          <w:tcPr>
            <w:tcW w:w="8250" w:type="dxa"/>
          </w:tcPr>
          <w:p>
            <w:pPr>
              <w:pStyle w:val="TableParagraph"/>
              <w:ind w:right="106"/>
              <w:rPr>
                <w:sz w:val="22"/>
              </w:rPr>
            </w:pPr>
            <w:r>
              <w:rPr>
                <w:rFonts w:ascii="Consolas"/>
                <w:sz w:val="20"/>
              </w:rPr>
              <w:t>true</w:t>
            </w:r>
            <w:r>
              <w:rPr>
                <w:rFonts w:ascii="Consolas"/>
                <w:spacing w:val="-61"/>
                <w:sz w:val="20"/>
              </w:rPr>
              <w:t> </w:t>
            </w:r>
            <w:r>
              <w:rPr>
                <w:sz w:val="22"/>
              </w:rPr>
              <w:t>if the file is Tab or character delimited. </w:t>
            </w:r>
            <w:r>
              <w:rPr>
                <w:rFonts w:ascii="Consolas"/>
                <w:sz w:val="20"/>
              </w:rPr>
              <w:t>false</w:t>
            </w:r>
            <w:r>
              <w:rPr>
                <w:rFonts w:ascii="Consolas"/>
                <w:spacing w:val="-60"/>
                <w:sz w:val="20"/>
              </w:rPr>
              <w:t> </w:t>
            </w:r>
            <w:r>
              <w:rPr>
                <w:sz w:val="22"/>
              </w:rPr>
              <w:t>if the file should be parsed according to fixed length fields.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ind w:right="250"/>
              <w:rPr>
                <w:sz w:val="22"/>
              </w:rPr>
            </w:pPr>
            <w:r>
              <w:rPr>
                <w:rFonts w:ascii="Cambria"/>
                <w:sz w:val="22"/>
              </w:rPr>
              <w:t>delimiter </w:t>
            </w:r>
            <w:r>
              <w:rPr>
                <w:sz w:val="22"/>
              </w:rPr>
              <w:t>(Custom Delimiter)</w:t>
            </w:r>
          </w:p>
        </w:tc>
        <w:tc>
          <w:tcPr>
            <w:tcW w:w="8250" w:type="dxa"/>
          </w:tcPr>
          <w:p>
            <w:pPr>
              <w:pStyle w:val="TableParagraph"/>
              <w:rPr>
                <w:sz w:val="22"/>
              </w:rPr>
            </w:pPr>
            <w:r>
              <w:rPr>
                <w:sz w:val="22"/>
              </w:rPr>
              <w:t>User-specified character to be treated as a field delimiter. Only single characters are supported.</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5" w:hRule="atLeast"/>
        </w:trPr>
        <w:tc>
          <w:tcPr>
            <w:tcW w:w="2062" w:type="dxa"/>
          </w:tcPr>
          <w:p>
            <w:pPr>
              <w:pStyle w:val="TableParagraph"/>
              <w:ind w:left="54" w:right="129"/>
              <w:jc w:val="center"/>
              <w:rPr>
                <w:sz w:val="22"/>
              </w:rPr>
            </w:pPr>
            <w:r>
              <w:rPr>
                <w:rFonts w:ascii="Cambria"/>
                <w:sz w:val="22"/>
              </w:rPr>
              <w:t>fileType </w:t>
            </w:r>
            <w:r>
              <w:rPr>
                <w:sz w:val="22"/>
              </w:rPr>
              <w:t>(File Type)</w:t>
            </w:r>
          </w:p>
        </w:tc>
        <w:tc>
          <w:tcPr>
            <w:tcW w:w="8250" w:type="dxa"/>
          </w:tcPr>
          <w:p>
            <w:pPr>
              <w:pStyle w:val="TableParagraph"/>
              <w:ind w:right="105"/>
              <w:rPr>
                <w:sz w:val="22"/>
              </w:rPr>
            </w:pPr>
            <w:r>
              <w:rPr>
                <w:sz w:val="22"/>
              </w:rPr>
              <w:t>Ignorable attribute with enum value that defined by </w:t>
            </w:r>
            <w:r>
              <w:rPr>
                <w:rFonts w:ascii="Cambria"/>
                <w:sz w:val="22"/>
              </w:rPr>
              <w:t>ST_FileType</w:t>
            </w:r>
            <w:r>
              <w:rPr>
                <w:sz w:val="22"/>
              </w:rPr>
              <w:t>. Determines the kind of character set to use during import.</w:t>
            </w:r>
          </w:p>
          <w:p>
            <w:pPr>
              <w:pStyle w:val="TableParagraph"/>
              <w:spacing w:before="2"/>
              <w:ind w:left="0"/>
              <w:rPr>
                <w:rFonts w:ascii="Times New Roman"/>
                <w:sz w:val="23"/>
              </w:rPr>
            </w:pPr>
          </w:p>
          <w:p>
            <w:pPr>
              <w:pStyle w:val="TableParagraph"/>
              <w:spacing w:before="0"/>
              <w:rPr>
                <w:sz w:val="22"/>
              </w:rPr>
            </w:pPr>
            <w:r>
              <w:rPr>
                <w:sz w:val="22"/>
              </w:rPr>
              <w:t>Only one of </w:t>
            </w:r>
            <w:r>
              <w:rPr>
                <w:rFonts w:ascii="Cambria"/>
                <w:sz w:val="22"/>
              </w:rPr>
              <w:t>fileType </w:t>
            </w:r>
            <w:r>
              <w:rPr>
                <w:sz w:val="22"/>
              </w:rPr>
              <w:t>and </w:t>
            </w:r>
            <w:r>
              <w:rPr>
                <w:rFonts w:ascii="Cambria"/>
                <w:sz w:val="22"/>
              </w:rPr>
              <w:t>characterSet </w:t>
            </w:r>
            <w:r>
              <w:rPr>
                <w:sz w:val="22"/>
              </w:rPr>
              <w:t>or </w:t>
            </w:r>
            <w:r>
              <w:rPr>
                <w:rFonts w:ascii="Cambria"/>
                <w:sz w:val="22"/>
              </w:rPr>
              <w:t>codePage </w:t>
            </w:r>
            <w:r>
              <w:rPr>
                <w:sz w:val="22"/>
              </w:rPr>
              <w:t>shall be specified for a </w:t>
            </w:r>
            <w:r>
              <w:rPr>
                <w:rFonts w:ascii="Cambria"/>
                <w:sz w:val="22"/>
              </w:rPr>
              <w:t>textPr</w:t>
            </w:r>
            <w:r>
              <w:rPr>
                <w:sz w:val="22"/>
              </w:rPr>
              <w:t>.</w:t>
            </w:r>
          </w:p>
          <w:p>
            <w:pPr>
              <w:pStyle w:val="TableParagraph"/>
              <w:spacing w:before="4"/>
              <w:ind w:left="0"/>
              <w:rPr>
                <w:rFonts w:ascii="Times New Roman"/>
                <w:sz w:val="23"/>
              </w:rPr>
            </w:pPr>
          </w:p>
          <w:p>
            <w:pPr>
              <w:pStyle w:val="TableParagraph"/>
              <w:spacing w:before="1"/>
              <w:ind w:right="888"/>
              <w:rPr>
                <w:sz w:val="22"/>
              </w:rPr>
            </w:pPr>
            <w:r>
              <w:rPr>
                <w:sz w:val="22"/>
              </w:rPr>
              <w:t>The possible values for this attribute are defined by the </w:t>
            </w:r>
            <w:r>
              <w:rPr>
                <w:rFonts w:ascii="Cambria" w:hAnsi="Cambria"/>
                <w:sz w:val="22"/>
              </w:rPr>
              <w:t>ST_FileType </w:t>
            </w:r>
            <w:r>
              <w:rPr>
                <w:sz w:val="22"/>
              </w:rPr>
              <w:t>simple type </w:t>
            </w:r>
            <w:hyperlink w:history="true" w:anchor="_bookmark851">
              <w:r>
                <w:rPr>
                  <w:sz w:val="22"/>
                </w:rPr>
                <w:t>(§18.18.29</w:t>
              </w:r>
            </w:hyperlink>
            <w:r>
              <w:rPr>
                <w:sz w:val="22"/>
              </w:rPr>
              <w:t>).</w:t>
            </w:r>
          </w:p>
        </w:tc>
      </w:tr>
      <w:tr>
        <w:trPr>
          <w:trHeight w:val="1696" w:hRule="atLeast"/>
        </w:trPr>
        <w:tc>
          <w:tcPr>
            <w:tcW w:w="2062" w:type="dxa"/>
          </w:tcPr>
          <w:p>
            <w:pPr>
              <w:pStyle w:val="TableParagraph"/>
              <w:ind w:left="96" w:right="90"/>
              <w:jc w:val="center"/>
              <w:rPr>
                <w:sz w:val="22"/>
              </w:rPr>
            </w:pPr>
            <w:r>
              <w:rPr>
                <w:rFonts w:ascii="Cambria"/>
                <w:sz w:val="22"/>
              </w:rPr>
              <w:t>firstRow </w:t>
            </w:r>
            <w:r>
              <w:rPr>
                <w:sz w:val="22"/>
              </w:rPr>
              <w:t>(First Row)</w:t>
            </w:r>
          </w:p>
        </w:tc>
        <w:tc>
          <w:tcPr>
            <w:tcW w:w="8250" w:type="dxa"/>
          </w:tcPr>
          <w:p>
            <w:pPr>
              <w:pStyle w:val="TableParagraph"/>
              <w:ind w:right="344"/>
              <w:rPr>
                <w:sz w:val="22"/>
              </w:rPr>
            </w:pPr>
            <w:r>
              <w:rPr>
                <w:sz w:val="22"/>
              </w:rPr>
              <w:t>Indicates at what row of the file to start the data import. All unsignedInt values are permitted, although it's possible that firstRow is higher than the number of rows in the text file, in which case no data is imported.</w:t>
            </w:r>
          </w:p>
          <w:p>
            <w:pPr>
              <w:pStyle w:val="TableParagraph"/>
              <w:spacing w:before="5"/>
              <w:ind w:left="0"/>
              <w:rPr>
                <w:rFonts w:ascii="Times New Roman"/>
                <w:sz w:val="23"/>
              </w:rPr>
            </w:pPr>
          </w:p>
          <w:p>
            <w:pPr>
              <w:pStyle w:val="TableParagraph"/>
              <w:spacing w:line="267" w:lineRule="exact" w:before="0"/>
              <w:rPr>
                <w:rFonts w:ascii="Cambria"/>
                <w:sz w:val="22"/>
              </w:rPr>
            </w:pPr>
            <w:r>
              <w:rPr>
                <w:sz w:val="22"/>
              </w:rPr>
              <w:t>The possible values for this attribute are defined by the W3C XML Schema </w:t>
            </w:r>
            <w:r>
              <w:rPr>
                <w:rFonts w:ascii="Cambria"/>
                <w:sz w:val="22"/>
              </w:rPr>
              <w:t>unsignedInt</w:t>
            </w:r>
          </w:p>
          <w:p>
            <w:pPr>
              <w:pStyle w:val="TableParagraph"/>
              <w:spacing w:line="267" w:lineRule="exact" w:before="0"/>
              <w:rPr>
                <w:sz w:val="22"/>
              </w:rPr>
            </w:pPr>
            <w:r>
              <w:rPr>
                <w:sz w:val="22"/>
              </w:rPr>
              <w:t>datatype.</w:t>
            </w:r>
          </w:p>
        </w:tc>
      </w:tr>
      <w:tr>
        <w:trPr>
          <w:trHeight w:val="1430" w:hRule="atLeast"/>
        </w:trPr>
        <w:tc>
          <w:tcPr>
            <w:tcW w:w="2062" w:type="dxa"/>
          </w:tcPr>
          <w:p>
            <w:pPr>
              <w:pStyle w:val="TableParagraph"/>
              <w:ind w:right="110"/>
              <w:rPr>
                <w:sz w:val="22"/>
              </w:rPr>
            </w:pPr>
            <w:r>
              <w:rPr>
                <w:rFonts w:ascii="Cambria"/>
                <w:sz w:val="22"/>
              </w:rPr>
              <w:t>prompt </w:t>
            </w:r>
            <w:r>
              <w:rPr>
                <w:sz w:val="22"/>
              </w:rPr>
              <w:t>(Prompt for File Name)</w:t>
            </w:r>
          </w:p>
        </w:tc>
        <w:tc>
          <w:tcPr>
            <w:tcW w:w="8250" w:type="dxa"/>
          </w:tcPr>
          <w:p>
            <w:pPr>
              <w:pStyle w:val="TableParagraph"/>
              <w:rPr>
                <w:sz w:val="22"/>
              </w:rPr>
            </w:pPr>
            <w:r>
              <w:rPr>
                <w:sz w:val="22"/>
              </w:rPr>
              <w:t>Flag indicating whether the user wants to be prompted for the file name on refresh. If</w:t>
            </w:r>
          </w:p>
          <w:p>
            <w:pPr>
              <w:pStyle w:val="TableParagraph"/>
              <w:spacing w:before="0"/>
              <w:rPr>
                <w:sz w:val="22"/>
              </w:rPr>
            </w:pPr>
            <w:r>
              <w:rPr>
                <w:rFonts w:ascii="Consolas"/>
                <w:sz w:val="20"/>
              </w:rPr>
              <w:t>false</w:t>
            </w:r>
            <w:r>
              <w:rPr>
                <w:sz w:val="22"/>
              </w:rPr>
              <w:t>, then the user is not prompted. If </w:t>
            </w:r>
            <w:r>
              <w:rPr>
                <w:rFonts w:ascii="Consolas"/>
                <w:sz w:val="20"/>
              </w:rPr>
              <w:t>true</w:t>
            </w:r>
            <w:r>
              <w:rPr>
                <w:rFonts w:ascii="Consolas"/>
                <w:spacing w:val="-82"/>
                <w:sz w:val="20"/>
              </w:rPr>
              <w:t> </w:t>
            </w:r>
            <w:r>
              <w:rPr>
                <w:sz w:val="22"/>
              </w:rPr>
              <w:t>or not present, then the user is prompted.</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8" w:hRule="atLeast"/>
        </w:trPr>
        <w:tc>
          <w:tcPr>
            <w:tcW w:w="2062" w:type="dxa"/>
          </w:tcPr>
          <w:p>
            <w:pPr>
              <w:pStyle w:val="TableParagraph"/>
              <w:ind w:left="64" w:right="129"/>
              <w:jc w:val="center"/>
              <w:rPr>
                <w:sz w:val="22"/>
              </w:rPr>
            </w:pPr>
            <w:r>
              <w:rPr>
                <w:rFonts w:ascii="Cambria"/>
                <w:sz w:val="22"/>
              </w:rPr>
              <w:t>qualifier </w:t>
            </w:r>
            <w:r>
              <w:rPr>
                <w:sz w:val="22"/>
              </w:rPr>
              <w:t>(Qualifier)</w:t>
            </w:r>
          </w:p>
        </w:tc>
        <w:tc>
          <w:tcPr>
            <w:tcW w:w="8250" w:type="dxa"/>
          </w:tcPr>
          <w:p>
            <w:pPr>
              <w:pStyle w:val="TableParagraph"/>
              <w:rPr>
                <w:sz w:val="22"/>
              </w:rPr>
            </w:pPr>
            <w:r>
              <w:rPr>
                <w:sz w:val="22"/>
              </w:rPr>
              <w:t>Character used as the text string qualifier.</w:t>
            </w:r>
          </w:p>
          <w:p>
            <w:pPr>
              <w:pStyle w:val="TableParagraph"/>
              <w:spacing w:before="6"/>
              <w:ind w:left="0"/>
              <w:rPr>
                <w:rFonts w:ascii="Times New Roman"/>
                <w:sz w:val="23"/>
              </w:rPr>
            </w:pPr>
          </w:p>
          <w:p>
            <w:pPr>
              <w:pStyle w:val="TableParagraph"/>
              <w:spacing w:line="237" w:lineRule="auto" w:before="0"/>
              <w:ind w:right="885"/>
              <w:rPr>
                <w:sz w:val="22"/>
              </w:rPr>
            </w:pPr>
            <w:r>
              <w:rPr>
                <w:sz w:val="22"/>
              </w:rPr>
              <w:t>The possible values for this attribute are defined by the </w:t>
            </w:r>
            <w:r>
              <w:rPr>
                <w:rFonts w:ascii="Cambria" w:hAnsi="Cambria"/>
                <w:sz w:val="22"/>
              </w:rPr>
              <w:t>ST_Qualifier </w:t>
            </w:r>
            <w:r>
              <w:rPr>
                <w:sz w:val="22"/>
              </w:rPr>
              <w:t>simple type </w:t>
            </w:r>
            <w:hyperlink w:history="true" w:anchor="_bookmark883">
              <w:r>
                <w:rPr>
                  <w:sz w:val="22"/>
                </w:rPr>
                <w:t>(§18.18.61</w:t>
              </w:r>
            </w:hyperlink>
            <w:r>
              <w:rPr>
                <w:sz w:val="22"/>
              </w:rPr>
              <w:t>).</w:t>
            </w:r>
          </w:p>
        </w:tc>
      </w:tr>
      <w:tr>
        <w:trPr>
          <w:trHeight w:val="1161" w:hRule="atLeast"/>
        </w:trPr>
        <w:tc>
          <w:tcPr>
            <w:tcW w:w="2062" w:type="dxa"/>
          </w:tcPr>
          <w:p>
            <w:pPr>
              <w:pStyle w:val="TableParagraph"/>
              <w:spacing w:before="42"/>
              <w:ind w:right="736"/>
              <w:rPr>
                <w:sz w:val="22"/>
              </w:rPr>
            </w:pPr>
            <w:r>
              <w:rPr>
                <w:rFonts w:ascii="Cambria"/>
                <w:sz w:val="22"/>
              </w:rPr>
              <w:t>semicolon </w:t>
            </w:r>
            <w:r>
              <w:rPr>
                <w:sz w:val="22"/>
              </w:rPr>
              <w:t>(Semicolon is Delimiter)</w:t>
            </w:r>
          </w:p>
        </w:tc>
        <w:tc>
          <w:tcPr>
            <w:tcW w:w="8250" w:type="dxa"/>
          </w:tcPr>
          <w:p>
            <w:pPr>
              <w:pStyle w:val="TableParagraph"/>
              <w:rPr>
                <w:sz w:val="22"/>
              </w:rPr>
            </w:pPr>
            <w:r>
              <w:rPr>
                <w:sz w:val="22"/>
              </w:rPr>
              <w:t>Flag indicating whether to treat semicolon characters as field delimiters.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215"/>
              <w:rPr>
                <w:sz w:val="22"/>
              </w:rPr>
            </w:pPr>
            <w:r>
              <w:rPr>
                <w:rFonts w:ascii="Cambria"/>
                <w:sz w:val="22"/>
              </w:rPr>
              <w:t>sourceFile </w:t>
            </w:r>
            <w:r>
              <w:rPr>
                <w:sz w:val="22"/>
              </w:rPr>
              <w:t>(Source File Name)</w:t>
            </w:r>
          </w:p>
        </w:tc>
        <w:tc>
          <w:tcPr>
            <w:tcW w:w="8250" w:type="dxa"/>
          </w:tcPr>
          <w:p>
            <w:pPr>
              <w:pStyle w:val="TableParagraph"/>
              <w:ind w:right="402"/>
              <w:rPr>
                <w:sz w:val="22"/>
              </w:rPr>
            </w:pPr>
            <w:r>
              <w:rPr>
                <w:sz w:val="22"/>
              </w:rPr>
              <w:t>Path to the text file to use to import external data. Can be expressed in URI or system- specific file path notation.</w:t>
            </w:r>
          </w:p>
          <w:p>
            <w:pPr>
              <w:pStyle w:val="TableParagraph"/>
              <w:spacing w:before="4"/>
              <w:ind w:left="0"/>
              <w:rPr>
                <w:rFonts w:ascii="Times New Roman"/>
                <w:sz w:val="23"/>
              </w:rPr>
            </w:pPr>
          </w:p>
          <w:p>
            <w:pPr>
              <w:pStyle w:val="TableParagraph"/>
              <w:spacing w:before="0"/>
              <w:rPr>
                <w:sz w:val="22"/>
              </w:rPr>
            </w:pPr>
            <w:r>
              <w:rPr>
                <w:sz w:val="22"/>
              </w:rPr>
              <w:t>[</w:t>
            </w:r>
            <w:r>
              <w:rPr>
                <w:i/>
                <w:sz w:val="22"/>
              </w:rPr>
              <w:t>Note</w:t>
            </w:r>
            <w:r>
              <w:rPr>
                <w:sz w:val="22"/>
              </w:rPr>
              <w:t>: Applications can decide what forms of URI they support, and whether system-</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specific file path notations are supported. </w:t>
            </w:r>
            <w:r>
              <w:rPr>
                <w:i/>
                <w:sz w:val="22"/>
              </w:rPr>
              <w:t>end note</w:t>
            </w:r>
            <w:r>
              <w:rPr>
                <w:sz w:val="22"/>
              </w:rPr>
              <w:t>]</w:t>
            </w:r>
          </w:p>
          <w:p>
            <w:pPr>
              <w:pStyle w:val="TableParagraph"/>
              <w:spacing w:before="0"/>
              <w:ind w:left="0"/>
              <w:rPr>
                <w:rFonts w:ascii="Times New Roman"/>
                <w:sz w:val="22"/>
              </w:rPr>
            </w:pPr>
          </w:p>
          <w:p>
            <w:pPr>
              <w:pStyle w:val="TableParagraph"/>
              <w:spacing w:before="10"/>
              <w:ind w:left="0"/>
              <w:rPr>
                <w:rFonts w:ascii="Times New Roman"/>
                <w:sz w:val="24"/>
              </w:rPr>
            </w:pPr>
          </w:p>
          <w:p>
            <w:pPr>
              <w:pStyle w:val="TableParagraph"/>
              <w:spacing w:line="237" w:lineRule="auto"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562"/>
              <w:rPr>
                <w:sz w:val="22"/>
              </w:rPr>
            </w:pPr>
            <w:r>
              <w:rPr>
                <w:rFonts w:ascii="Cambria"/>
                <w:sz w:val="22"/>
              </w:rPr>
              <w:t>space </w:t>
            </w:r>
            <w:r>
              <w:rPr>
                <w:sz w:val="22"/>
              </w:rPr>
              <w:t>(Space is Delimiter)</w:t>
            </w:r>
          </w:p>
        </w:tc>
        <w:tc>
          <w:tcPr>
            <w:tcW w:w="8250" w:type="dxa"/>
          </w:tcPr>
          <w:p>
            <w:pPr>
              <w:pStyle w:val="TableParagraph"/>
              <w:rPr>
                <w:sz w:val="22"/>
              </w:rPr>
            </w:pPr>
            <w:r>
              <w:rPr>
                <w:sz w:val="22"/>
              </w:rPr>
              <w:t>Flag indicating whether to treat space characters as field delimiters.</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8" w:hRule="atLeast"/>
        </w:trPr>
        <w:tc>
          <w:tcPr>
            <w:tcW w:w="2062" w:type="dxa"/>
          </w:tcPr>
          <w:p>
            <w:pPr>
              <w:pStyle w:val="TableParagraph"/>
              <w:ind w:right="930"/>
              <w:rPr>
                <w:sz w:val="22"/>
              </w:rPr>
            </w:pPr>
            <w:r>
              <w:rPr>
                <w:rFonts w:ascii="Cambria"/>
                <w:sz w:val="22"/>
              </w:rPr>
              <w:t>tab </w:t>
            </w:r>
            <w:r>
              <w:rPr>
                <w:sz w:val="22"/>
              </w:rPr>
              <w:t>(Tab as Delimiter)</w:t>
            </w:r>
          </w:p>
        </w:tc>
        <w:tc>
          <w:tcPr>
            <w:tcW w:w="8250" w:type="dxa"/>
          </w:tcPr>
          <w:p>
            <w:pPr>
              <w:pStyle w:val="TableParagraph"/>
              <w:rPr>
                <w:sz w:val="22"/>
              </w:rPr>
            </w:pPr>
            <w:r>
              <w:rPr>
                <w:sz w:val="22"/>
              </w:rPr>
              <w:t>Flag indicating whether to treat tab characters as field delimiters. If </w:t>
            </w:r>
            <w:r>
              <w:rPr>
                <w:rFonts w:ascii="Consolas"/>
                <w:sz w:val="20"/>
              </w:rPr>
              <w:t>false</w:t>
            </w:r>
            <w:r>
              <w:rPr>
                <w:sz w:val="22"/>
              </w:rPr>
              <w:t>, then tabs will not be used as delimiters. If </w:t>
            </w:r>
            <w:r>
              <w:rPr>
                <w:rFonts w:ascii="Consolas"/>
                <w:sz w:val="20"/>
              </w:rPr>
              <w:t>true</w:t>
            </w:r>
            <w:r>
              <w:rPr>
                <w:rFonts w:ascii="Consolas"/>
                <w:spacing w:val="-81"/>
                <w:sz w:val="20"/>
              </w:rPr>
              <w:t> </w:t>
            </w:r>
            <w:r>
              <w:rPr>
                <w:sz w:val="22"/>
              </w:rPr>
              <w:t>or not present, then they are used as delimiters.</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boolean</w:t>
            </w:r>
          </w:p>
          <w:p>
            <w:pPr>
              <w:pStyle w:val="TableParagraph"/>
              <w:spacing w:before="0"/>
              <w:rPr>
                <w:sz w:val="22"/>
              </w:rPr>
            </w:pPr>
            <w:r>
              <w:rPr>
                <w:sz w:val="22"/>
              </w:rPr>
              <w:t>datatype.</w:t>
            </w:r>
          </w:p>
        </w:tc>
      </w:tr>
      <w:tr>
        <w:trPr>
          <w:trHeight w:val="2505" w:hRule="atLeast"/>
        </w:trPr>
        <w:tc>
          <w:tcPr>
            <w:tcW w:w="2062" w:type="dxa"/>
          </w:tcPr>
          <w:p>
            <w:pPr>
              <w:pStyle w:val="TableParagraph"/>
              <w:spacing w:before="42"/>
              <w:ind w:right="903"/>
              <w:jc w:val="both"/>
              <w:rPr>
                <w:sz w:val="22"/>
              </w:rPr>
            </w:pPr>
            <w:r>
              <w:rPr>
                <w:rFonts w:ascii="Cambria"/>
                <w:sz w:val="22"/>
              </w:rPr>
              <w:t>thousands </w:t>
            </w:r>
            <w:r>
              <w:rPr>
                <w:sz w:val="22"/>
              </w:rPr>
              <w:t>(Thousands Separator)</w:t>
            </w:r>
          </w:p>
        </w:tc>
        <w:tc>
          <w:tcPr>
            <w:tcW w:w="8250" w:type="dxa"/>
          </w:tcPr>
          <w:p>
            <w:pPr>
              <w:pStyle w:val="TableParagraph"/>
              <w:ind w:right="106"/>
              <w:rPr>
                <w:sz w:val="22"/>
              </w:rPr>
            </w:pPr>
            <w:r>
              <w:rPr>
                <w:sz w:val="22"/>
              </w:rPr>
              <w:t>The thousands separator character. This and the </w:t>
            </w:r>
            <w:r>
              <w:rPr>
                <w:rFonts w:ascii="Cambria"/>
                <w:sz w:val="22"/>
              </w:rPr>
              <w:t>decimal </w:t>
            </w:r>
            <w:r>
              <w:rPr>
                <w:sz w:val="22"/>
              </w:rPr>
              <w:t>attribute are used only when data in the text file contains decimal and thousands separators that are different from those used on the computer, due to a different language setting being used. Please refer to the </w:t>
            </w:r>
            <w:r>
              <w:rPr>
                <w:rFonts w:ascii="Cambria"/>
                <w:sz w:val="22"/>
              </w:rPr>
              <w:t>decimal </w:t>
            </w:r>
            <w:r>
              <w:rPr>
                <w:sz w:val="22"/>
              </w:rPr>
              <w:t>attribute description above for a Table describing the behavior.</w:t>
            </w:r>
          </w:p>
          <w:p>
            <w:pPr>
              <w:pStyle w:val="TableParagraph"/>
              <w:spacing w:before="5"/>
              <w:ind w:left="0"/>
              <w:rPr>
                <w:rFonts w:ascii="Times New Roman"/>
                <w:sz w:val="23"/>
              </w:rPr>
            </w:pPr>
          </w:p>
          <w:p>
            <w:pPr>
              <w:pStyle w:val="TableParagraph"/>
              <w:spacing w:before="0"/>
              <w:rPr>
                <w:sz w:val="22"/>
              </w:rPr>
            </w:pPr>
            <w:r>
              <w:rPr>
                <w:sz w:val="22"/>
              </w:rPr>
              <w:t>Strings values of this attribute are expected to be one character in length.</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rFonts w:ascii="Times New Roman"/>
          <w:sz w:val="20"/>
        </w:rPr>
      </w:pPr>
    </w:p>
    <w:p>
      <w:pPr>
        <w:pStyle w:val="BodyText"/>
        <w:spacing w:before="3"/>
        <w:rPr>
          <w:rFonts w:ascii="Times New Roman"/>
          <w:sz w:val="19"/>
        </w:rPr>
      </w:pPr>
    </w:p>
    <w:p>
      <w:pPr>
        <w:pStyle w:val="BodyText"/>
        <w:spacing w:before="57"/>
        <w:ind w:left="220"/>
      </w:pPr>
      <w:r>
        <w:rPr/>
        <w:t>[</w:t>
      </w:r>
      <w:r>
        <w:rPr>
          <w:i/>
        </w:rPr>
        <w:t>Note</w:t>
      </w:r>
      <w:r>
        <w:rPr/>
        <w:t>: The W3C XML Schema definition of this element’s content model (</w:t>
      </w:r>
      <w:r>
        <w:rPr>
          <w:color w:val="5F5F5F"/>
          <w:u w:val="single" w:color="5F5F5F"/>
        </w:rPr>
        <w:t>CT_TextPr</w:t>
      </w:r>
      <w:r>
        <w:rPr/>
        <w:t>) is located in §A.2. </w:t>
      </w:r>
      <w:r>
        <w:rPr>
          <w:i/>
        </w:rPr>
        <w:t>end note</w:t>
      </w:r>
      <w:r>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3.13 webPr (Web Query Properties)" w:id="1202"/>
      <w:bookmarkEnd w:id="1202"/>
      <w:r>
        <w:rPr>
          <w:b w:val="0"/>
        </w:rPr>
      </w:r>
      <w:bookmarkStart w:name="_bookmark399" w:id="1203"/>
      <w:bookmarkEnd w:id="1203"/>
      <w:r>
        <w:rPr>
          <w:b w:val="0"/>
        </w:rPr>
      </w:r>
      <w:bookmarkStart w:name="_bookmark399" w:id="1204"/>
      <w:bookmarkEnd w:id="1204"/>
      <w:r>
        <w:rPr>
          <w:color w:val="4F81BC"/>
        </w:rPr>
        <w:t>w</w:t>
      </w:r>
      <w:r>
        <w:rPr>
          <w:color w:val="4F81BC"/>
        </w:rPr>
        <w:t>ebPr (Web Query</w:t>
      </w:r>
      <w:r>
        <w:rPr>
          <w:color w:val="4F81BC"/>
          <w:spacing w:val="2"/>
        </w:rPr>
        <w:t> </w:t>
      </w:r>
      <w:r>
        <w:rPr>
          <w:color w:val="4F81BC"/>
        </w:rPr>
        <w:t>Properties)</w:t>
      </w:r>
    </w:p>
    <w:p>
      <w:pPr>
        <w:pStyle w:val="BodyText"/>
        <w:spacing w:line="276" w:lineRule="auto" w:before="121"/>
        <w:ind w:left="220" w:right="503"/>
      </w:pPr>
      <w:r>
        <w:rPr/>
        <w:t>This element specifies the properties for a web query source. A web query will retrieve data from HTML tables, and can also supply HTTP "Get" parameters to be processed by the web server in generating the HTML by including the </w:t>
      </w:r>
      <w:r>
        <w:rPr>
          <w:rFonts w:ascii="Cambria"/>
        </w:rPr>
        <w:t>parameters </w:t>
      </w:r>
      <w:r>
        <w:rPr/>
        <w:t>and </w:t>
      </w:r>
      <w:r>
        <w:rPr>
          <w:rFonts w:ascii="Cambria"/>
        </w:rPr>
        <w:t>parameter </w:t>
      </w:r>
      <w:r>
        <w:rPr/>
        <w:t>elements.</w:t>
      </w:r>
    </w:p>
    <w:p>
      <w:pPr>
        <w:pStyle w:val="BodyText"/>
        <w:spacing w:line="453" w:lineRule="auto" w:before="202"/>
        <w:ind w:left="220" w:right="6297"/>
      </w:pPr>
      <w:r>
        <w:rPr/>
        <w:t>Here's an example of a web query connection: [</w:t>
      </w:r>
      <w:r>
        <w:rPr>
          <w:i/>
        </w:rPr>
        <w:t>Example</w:t>
      </w:r>
      <w:r>
        <w:rPr/>
        <w:t>:</w:t>
      </w:r>
    </w:p>
    <w:p>
      <w:pPr>
        <w:spacing w:after="0" w:line="453" w:lineRule="auto"/>
        <w:sectPr>
          <w:pgSz w:w="12240" w:h="15840"/>
          <w:pgMar w:header="763" w:footer="746" w:top="1340" w:bottom="940" w:left="860" w:right="700"/>
        </w:sectPr>
      </w:pPr>
    </w:p>
    <w:p>
      <w:pPr>
        <w:pStyle w:val="BodyText"/>
        <w:spacing w:line="276" w:lineRule="auto" w:before="93"/>
        <w:ind w:left="750" w:right="542" w:hanging="243"/>
        <w:rPr>
          <w:rFonts w:ascii="Consolas"/>
        </w:rPr>
      </w:pPr>
      <w:r>
        <w:rPr>
          <w:rFonts w:ascii="Consolas"/>
        </w:rPr>
        <w:t>&lt;connection id="1" name="Connection" type="4" refreshedVersion="0" background="1" saveData="1"&gt;</w:t>
      </w:r>
    </w:p>
    <w:p>
      <w:pPr>
        <w:pStyle w:val="BodyText"/>
        <w:spacing w:line="276" w:lineRule="auto"/>
        <w:ind w:left="993" w:hanging="243"/>
        <w:rPr>
          <w:rFonts w:ascii="Consolas"/>
        </w:rPr>
      </w:pPr>
      <w:r>
        <w:rPr>
          <w:rFonts w:ascii="Consolas"/>
        </w:rPr>
        <w:t>&lt;webPr sourceData="1" parsePre="1" consecutive="1" url="</w:t>
      </w:r>
      <w:hyperlink r:id="rId182">
        <w:r>
          <w:rPr>
            <w:rFonts w:ascii="Consolas"/>
          </w:rPr>
          <w:t>http://ServerName/Image%20Library/Forms/AllItems.aspx</w:t>
        </w:r>
      </w:hyperlink>
      <w:r>
        <w:rPr>
          <w:rFonts w:ascii="Consolas"/>
        </w:rPr>
        <w:t>" htmlTables="1"&gt;</w:t>
      </w:r>
    </w:p>
    <w:p>
      <w:pPr>
        <w:pStyle w:val="BodyText"/>
        <w:spacing w:before="1"/>
        <w:ind w:left="993"/>
        <w:rPr>
          <w:rFonts w:ascii="Consolas"/>
        </w:rPr>
      </w:pPr>
      <w:r>
        <w:rPr>
          <w:rFonts w:ascii="Consolas"/>
        </w:rPr>
        <w:t>&lt;tables count="1"&gt;</w:t>
      </w:r>
    </w:p>
    <w:p>
      <w:pPr>
        <w:pStyle w:val="BodyText"/>
        <w:spacing w:before="37"/>
        <w:ind w:left="1235"/>
        <w:rPr>
          <w:rFonts w:ascii="Consolas"/>
        </w:rPr>
      </w:pPr>
      <w:r>
        <w:rPr>
          <w:rFonts w:ascii="Consolas"/>
        </w:rPr>
        <w:t>&lt;s v="contentthumbnail"/&gt;</w:t>
      </w:r>
    </w:p>
    <w:p>
      <w:pPr>
        <w:pStyle w:val="BodyText"/>
        <w:spacing w:before="40"/>
        <w:ind w:left="993"/>
        <w:rPr>
          <w:rFonts w:ascii="Consolas"/>
        </w:rPr>
      </w:pPr>
      <w:r>
        <w:rPr>
          <w:rFonts w:ascii="Consolas"/>
        </w:rPr>
        <w:t>&lt;/tables&gt;</w:t>
      </w:r>
    </w:p>
    <w:p>
      <w:pPr>
        <w:pStyle w:val="BodyText"/>
        <w:spacing w:before="38"/>
        <w:ind w:left="750"/>
        <w:rPr>
          <w:rFonts w:ascii="Consolas"/>
        </w:rPr>
      </w:pPr>
      <w:r>
        <w:rPr>
          <w:rFonts w:ascii="Consolas"/>
        </w:rPr>
        <w:t>&lt;/webPr&gt;</w:t>
      </w:r>
    </w:p>
    <w:p>
      <w:pPr>
        <w:pStyle w:val="BodyText"/>
        <w:spacing w:before="37"/>
        <w:ind w:left="508"/>
        <w:rPr>
          <w:rFonts w:ascii="Consolas"/>
        </w:rPr>
      </w:pPr>
      <w:r>
        <w:rPr>
          <w:rFonts w:ascii="Consolas"/>
        </w:rPr>
        <w:t>&lt;/connection&gt;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spacing w:before="43"/>
              <w:ind w:right="781"/>
              <w:jc w:val="both"/>
              <w:rPr>
                <w:sz w:val="22"/>
              </w:rPr>
            </w:pPr>
            <w:r>
              <w:rPr>
                <w:rFonts w:ascii="Cambria"/>
                <w:sz w:val="22"/>
              </w:rPr>
              <w:t>consecutive </w:t>
            </w:r>
            <w:r>
              <w:rPr>
                <w:sz w:val="22"/>
              </w:rPr>
              <w:t>(Consecutive Delimiters)</w:t>
            </w:r>
          </w:p>
        </w:tc>
        <w:tc>
          <w:tcPr>
            <w:tcW w:w="8250" w:type="dxa"/>
          </w:tcPr>
          <w:p>
            <w:pPr>
              <w:pStyle w:val="TableParagraph"/>
              <w:rPr>
                <w:sz w:val="22"/>
              </w:rPr>
            </w:pPr>
            <w:r>
              <w:rPr>
                <w:sz w:val="22"/>
              </w:rPr>
              <w:t>Flag indicating whether consecutive delimiters should be treated as just one delimiter.</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965" w:hRule="atLeast"/>
        </w:trPr>
        <w:tc>
          <w:tcPr>
            <w:tcW w:w="2062" w:type="dxa"/>
          </w:tcPr>
          <w:p>
            <w:pPr>
              <w:pStyle w:val="TableParagraph"/>
              <w:ind w:right="641"/>
              <w:rPr>
                <w:sz w:val="22"/>
              </w:rPr>
            </w:pPr>
            <w:r>
              <w:rPr>
                <w:rFonts w:ascii="Cambria"/>
                <w:sz w:val="22"/>
              </w:rPr>
              <w:t>editPage </w:t>
            </w:r>
            <w:r>
              <w:rPr>
                <w:sz w:val="22"/>
              </w:rPr>
              <w:t>(Edit Query URL)</w:t>
            </w:r>
          </w:p>
        </w:tc>
        <w:tc>
          <w:tcPr>
            <w:tcW w:w="8250" w:type="dxa"/>
          </w:tcPr>
          <w:p>
            <w:pPr>
              <w:pStyle w:val="TableParagraph"/>
              <w:ind w:right="106"/>
              <w:rPr>
                <w:sz w:val="22"/>
              </w:rPr>
            </w:pPr>
            <w:r>
              <w:rPr>
                <w:sz w:val="22"/>
              </w:rPr>
              <w:t>The URL of the user-facing web page showing the web query data.  This URL is persisted in the case that </w:t>
            </w:r>
            <w:r>
              <w:rPr>
                <w:rFonts w:ascii="Cambria"/>
                <w:sz w:val="22"/>
              </w:rPr>
              <w:t>sourceData</w:t>
            </w:r>
            <w:r>
              <w:rPr>
                <w:sz w:val="22"/>
              </w:rPr>
              <w:t>="</w:t>
            </w:r>
            <w:r>
              <w:rPr>
                <w:rFonts w:ascii="Consolas"/>
                <w:sz w:val="20"/>
              </w:rPr>
              <w:t>true</w:t>
            </w:r>
            <w:r>
              <w:rPr>
                <w:sz w:val="22"/>
              </w:rPr>
              <w:t>" and </w:t>
            </w:r>
            <w:r>
              <w:rPr>
                <w:rFonts w:ascii="Cambria"/>
                <w:sz w:val="22"/>
              </w:rPr>
              <w:t>url </w:t>
            </w:r>
            <w:r>
              <w:rPr>
                <w:sz w:val="22"/>
              </w:rPr>
              <w:t>has been redirected to reference an XML file. Then the user-facing page can be shown in the UI, and the XML data can be retrieved behind the</w:t>
            </w:r>
            <w:r>
              <w:rPr>
                <w:spacing w:val="-1"/>
                <w:sz w:val="22"/>
              </w:rPr>
              <w:t> </w:t>
            </w:r>
            <w:r>
              <w:rPr>
                <w:sz w:val="22"/>
              </w:rPr>
              <w:t>scenes.</w:t>
            </w:r>
          </w:p>
          <w:p>
            <w:pPr>
              <w:pStyle w:val="TableParagraph"/>
              <w:spacing w:before="10"/>
              <w:ind w:left="0"/>
              <w:rPr>
                <w:sz w:val="21"/>
              </w:rPr>
            </w:pPr>
          </w:p>
          <w:p>
            <w:pPr>
              <w:pStyle w:val="TableParagraph"/>
              <w:spacing w:before="1"/>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27" w:hRule="atLeast"/>
        </w:trPr>
        <w:tc>
          <w:tcPr>
            <w:tcW w:w="2062" w:type="dxa"/>
          </w:tcPr>
          <w:p>
            <w:pPr>
              <w:pStyle w:val="TableParagraph"/>
              <w:ind w:right="215"/>
              <w:rPr>
                <w:sz w:val="22"/>
              </w:rPr>
            </w:pPr>
            <w:r>
              <w:rPr>
                <w:rFonts w:ascii="Cambria"/>
                <w:sz w:val="22"/>
              </w:rPr>
              <w:t>firstRow </w:t>
            </w:r>
            <w:r>
              <w:rPr>
                <w:sz w:val="22"/>
              </w:rPr>
              <w:t>(Use First Row)</w:t>
            </w:r>
          </w:p>
        </w:tc>
        <w:tc>
          <w:tcPr>
            <w:tcW w:w="8250" w:type="dxa"/>
          </w:tcPr>
          <w:p>
            <w:pPr>
              <w:pStyle w:val="TableParagraph"/>
              <w:ind w:right="104"/>
              <w:rPr>
                <w:sz w:val="22"/>
              </w:rPr>
            </w:pPr>
            <w:r>
              <w:rPr>
                <w:sz w:val="22"/>
              </w:rPr>
              <w:t>Flag indicating whether to parse all tables inside a PRE block with the same width settings as the first row.</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2772" w:hRule="atLeast"/>
        </w:trPr>
        <w:tc>
          <w:tcPr>
            <w:tcW w:w="2062" w:type="dxa"/>
          </w:tcPr>
          <w:p>
            <w:pPr>
              <w:pStyle w:val="TableParagraph"/>
              <w:spacing w:before="42"/>
              <w:ind w:right="147"/>
              <w:rPr>
                <w:sz w:val="22"/>
              </w:rPr>
            </w:pPr>
            <w:r>
              <w:rPr>
                <w:rFonts w:ascii="Cambria"/>
                <w:sz w:val="22"/>
              </w:rPr>
              <w:t>htmlFormat </w:t>
            </w:r>
            <w:r>
              <w:rPr>
                <w:sz w:val="22"/>
              </w:rPr>
              <w:t>(HTML Formatting Handling)</w:t>
            </w:r>
          </w:p>
        </w:tc>
        <w:tc>
          <w:tcPr>
            <w:tcW w:w="8250" w:type="dxa"/>
          </w:tcPr>
          <w:p>
            <w:pPr>
              <w:pStyle w:val="TableParagraph"/>
              <w:spacing w:line="237" w:lineRule="auto" w:before="44"/>
              <w:ind w:right="199"/>
              <w:rPr>
                <w:sz w:val="22"/>
              </w:rPr>
            </w:pPr>
            <w:r>
              <w:rPr>
                <w:sz w:val="22"/>
              </w:rPr>
              <w:t>How to handle formatting from the HTML source when bringing web query data into the worksheet. Relevant when sourceData is True.</w:t>
            </w:r>
          </w:p>
          <w:p>
            <w:pPr>
              <w:pStyle w:val="TableParagraph"/>
              <w:spacing w:before="2"/>
              <w:ind w:left="0"/>
              <w:rPr>
                <w:sz w:val="22"/>
              </w:rPr>
            </w:pPr>
          </w:p>
          <w:p>
            <w:pPr>
              <w:pStyle w:val="TableParagraph"/>
              <w:spacing w:before="0"/>
              <w:rPr>
                <w:sz w:val="22"/>
              </w:rPr>
            </w:pPr>
            <w:r>
              <w:rPr>
                <w:sz w:val="22"/>
              </w:rPr>
              <w:t>Values are as follows:</w:t>
            </w:r>
          </w:p>
          <w:p>
            <w:pPr>
              <w:pStyle w:val="TableParagraph"/>
              <w:numPr>
                <w:ilvl w:val="0"/>
                <w:numId w:val="61"/>
              </w:numPr>
              <w:tabs>
                <w:tab w:pos="334" w:val="left" w:leader="none"/>
              </w:tabs>
              <w:spacing w:line="240" w:lineRule="auto" w:before="0" w:after="0"/>
              <w:ind w:left="333" w:right="0" w:hanging="219"/>
              <w:jc w:val="left"/>
              <w:rPr>
                <w:sz w:val="22"/>
              </w:rPr>
            </w:pPr>
            <w:r>
              <w:rPr>
                <w:sz w:val="22"/>
              </w:rPr>
              <w:t>None - no formatting at</w:t>
            </w:r>
            <w:r>
              <w:rPr>
                <w:spacing w:val="-7"/>
                <w:sz w:val="22"/>
              </w:rPr>
              <w:t> </w:t>
            </w:r>
            <w:r>
              <w:rPr>
                <w:sz w:val="22"/>
              </w:rPr>
              <w:t>all</w:t>
            </w:r>
          </w:p>
          <w:p>
            <w:pPr>
              <w:pStyle w:val="TableParagraph"/>
              <w:numPr>
                <w:ilvl w:val="0"/>
                <w:numId w:val="61"/>
              </w:numPr>
              <w:tabs>
                <w:tab w:pos="334" w:val="left" w:leader="none"/>
              </w:tabs>
              <w:spacing w:line="240" w:lineRule="auto" w:before="0" w:after="0"/>
              <w:ind w:left="333" w:right="0" w:hanging="219"/>
              <w:jc w:val="left"/>
              <w:rPr>
                <w:sz w:val="22"/>
              </w:rPr>
            </w:pPr>
            <w:r>
              <w:rPr>
                <w:sz w:val="22"/>
              </w:rPr>
              <w:t>RTF - honor just rich text</w:t>
            </w:r>
            <w:r>
              <w:rPr>
                <w:spacing w:val="-9"/>
                <w:sz w:val="22"/>
              </w:rPr>
              <w:t> </w:t>
            </w:r>
            <w:r>
              <w:rPr>
                <w:sz w:val="22"/>
              </w:rPr>
              <w:t>formatting</w:t>
            </w:r>
          </w:p>
          <w:p>
            <w:pPr>
              <w:pStyle w:val="TableParagraph"/>
              <w:numPr>
                <w:ilvl w:val="0"/>
                <w:numId w:val="61"/>
              </w:numPr>
              <w:tabs>
                <w:tab w:pos="334" w:val="left" w:leader="none"/>
              </w:tabs>
              <w:spacing w:line="240" w:lineRule="auto" w:before="0" w:after="0"/>
              <w:ind w:left="333" w:right="0" w:hanging="219"/>
              <w:jc w:val="left"/>
              <w:rPr>
                <w:sz w:val="22"/>
              </w:rPr>
            </w:pPr>
            <w:r>
              <w:rPr>
                <w:sz w:val="22"/>
              </w:rPr>
              <w:t>All - honor all html</w:t>
            </w:r>
            <w:r>
              <w:rPr>
                <w:spacing w:val="-4"/>
                <w:sz w:val="22"/>
              </w:rPr>
              <w:t> </w:t>
            </w:r>
            <w:r>
              <w:rPr>
                <w:sz w:val="22"/>
              </w:rPr>
              <w:t>formatting.</w:t>
            </w:r>
          </w:p>
          <w:p>
            <w:pPr>
              <w:pStyle w:val="TableParagraph"/>
              <w:spacing w:before="1"/>
              <w:ind w:left="0"/>
              <w:rPr>
                <w:sz w:val="22"/>
              </w:rPr>
            </w:pPr>
          </w:p>
          <w:p>
            <w:pPr>
              <w:pStyle w:val="TableParagraph"/>
              <w:spacing w:before="0"/>
              <w:ind w:right="861"/>
              <w:rPr>
                <w:sz w:val="22"/>
              </w:rPr>
            </w:pPr>
            <w:r>
              <w:rPr>
                <w:sz w:val="22"/>
              </w:rPr>
              <w:t>The possible values for this attribute are defined by the </w:t>
            </w:r>
            <w:r>
              <w:rPr>
                <w:rFonts w:ascii="Cambria" w:hAnsi="Cambria"/>
                <w:sz w:val="22"/>
              </w:rPr>
              <w:t>ST_HtmlFmt </w:t>
            </w:r>
            <w:r>
              <w:rPr>
                <w:sz w:val="22"/>
              </w:rPr>
              <w:t>simple type </w:t>
            </w:r>
            <w:hyperlink w:history="true" w:anchor="_bookmark863">
              <w:r>
                <w:rPr>
                  <w:sz w:val="22"/>
                </w:rPr>
                <w:t>(§18.18.41</w:t>
              </w:r>
            </w:hyperlink>
            <w:r>
              <w:rPr>
                <w:sz w:val="22"/>
              </w:rPr>
              <w:t>).</w:t>
            </w:r>
          </w:p>
        </w:tc>
      </w:tr>
      <w:tr>
        <w:trPr>
          <w:trHeight w:val="1161" w:hRule="atLeast"/>
        </w:trPr>
        <w:tc>
          <w:tcPr>
            <w:tcW w:w="2062" w:type="dxa"/>
          </w:tcPr>
          <w:p>
            <w:pPr>
              <w:pStyle w:val="TableParagraph"/>
              <w:spacing w:line="237" w:lineRule="auto" w:before="44"/>
              <w:ind w:right="218"/>
              <w:rPr>
                <w:sz w:val="22"/>
              </w:rPr>
            </w:pPr>
            <w:r>
              <w:rPr>
                <w:rFonts w:ascii="Cambria"/>
                <w:sz w:val="22"/>
              </w:rPr>
              <w:t>htmlTables </w:t>
            </w:r>
            <w:r>
              <w:rPr>
                <w:sz w:val="22"/>
              </w:rPr>
              <w:t>(HTML Tables Only)</w:t>
            </w:r>
          </w:p>
        </w:tc>
        <w:tc>
          <w:tcPr>
            <w:tcW w:w="8250" w:type="dxa"/>
          </w:tcPr>
          <w:p>
            <w:pPr>
              <w:pStyle w:val="TableParagraph"/>
              <w:spacing w:before="42"/>
              <w:rPr>
                <w:sz w:val="22"/>
              </w:rPr>
            </w:pPr>
            <w:r>
              <w:rPr>
                <w:sz w:val="22"/>
              </w:rPr>
              <w:t>Flag indicating whether web queries should only work on HTML tables.</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623" w:hRule="atLeast"/>
        </w:trPr>
        <w:tc>
          <w:tcPr>
            <w:tcW w:w="2062" w:type="dxa"/>
          </w:tcPr>
          <w:p>
            <w:pPr>
              <w:pStyle w:val="TableParagraph"/>
              <w:ind w:right="464"/>
              <w:rPr>
                <w:sz w:val="22"/>
              </w:rPr>
            </w:pPr>
            <w:r>
              <w:rPr>
                <w:rFonts w:ascii="Cambria"/>
                <w:sz w:val="22"/>
              </w:rPr>
              <w:t>parsePre </w:t>
            </w:r>
            <w:r>
              <w:rPr>
                <w:sz w:val="22"/>
              </w:rPr>
              <w:t>(Parse PRE)</w:t>
            </w:r>
          </w:p>
        </w:tc>
        <w:tc>
          <w:tcPr>
            <w:tcW w:w="8250" w:type="dxa"/>
          </w:tcPr>
          <w:p>
            <w:pPr>
              <w:pStyle w:val="TableParagraph"/>
              <w:ind w:right="737"/>
              <w:rPr>
                <w:sz w:val="22"/>
              </w:rPr>
            </w:pPr>
            <w:r>
              <w:rPr>
                <w:sz w:val="22"/>
              </w:rPr>
              <w:t>Flag indicating whether data contained within HTML &lt;PRE&gt; tags in the web page is parsed into columns when you import the page into a query table.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9"/>
              <w:ind w:left="0"/>
              <w:rPr>
                <w:rFonts w:ascii="Times New Roman"/>
                <w:sz w:val="26"/>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427" w:hRule="atLeast"/>
        </w:trPr>
        <w:tc>
          <w:tcPr>
            <w:tcW w:w="2062" w:type="dxa"/>
          </w:tcPr>
          <w:p>
            <w:pPr>
              <w:pStyle w:val="TableParagraph"/>
              <w:rPr>
                <w:sz w:val="22"/>
              </w:rPr>
            </w:pPr>
            <w:r>
              <w:rPr>
                <w:rFonts w:ascii="Cambria"/>
                <w:sz w:val="22"/>
              </w:rPr>
              <w:t>post </w:t>
            </w:r>
            <w:r>
              <w:rPr>
                <w:sz w:val="22"/>
              </w:rPr>
              <w:t>(Web Post)</w:t>
            </w:r>
          </w:p>
        </w:tc>
        <w:tc>
          <w:tcPr>
            <w:tcW w:w="8250" w:type="dxa"/>
          </w:tcPr>
          <w:p>
            <w:pPr>
              <w:pStyle w:val="TableParagraph"/>
              <w:spacing w:line="237" w:lineRule="auto" w:before="42"/>
              <w:ind w:right="241"/>
              <w:rPr>
                <w:sz w:val="22"/>
              </w:rPr>
            </w:pPr>
            <w:r>
              <w:rPr>
                <w:sz w:val="22"/>
              </w:rPr>
              <w:t>Returns or sets the string used with the post method of inputting data into a web server to return data from a web query.</w:t>
            </w:r>
          </w:p>
          <w:p>
            <w:pPr>
              <w:pStyle w:val="TableParagraph"/>
              <w:spacing w:before="5"/>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2225" w:hRule="atLeast"/>
        </w:trPr>
        <w:tc>
          <w:tcPr>
            <w:tcW w:w="2062" w:type="dxa"/>
          </w:tcPr>
          <w:p>
            <w:pPr>
              <w:pStyle w:val="TableParagraph"/>
              <w:ind w:right="125"/>
              <w:rPr>
                <w:sz w:val="22"/>
              </w:rPr>
            </w:pPr>
            <w:r>
              <w:rPr>
                <w:rFonts w:ascii="Cambria"/>
                <w:sz w:val="22"/>
              </w:rPr>
              <w:t>sourceData </w:t>
            </w:r>
            <w:r>
              <w:rPr>
                <w:sz w:val="22"/>
              </w:rPr>
              <w:t>(Import XML Source Data)</w:t>
            </w:r>
          </w:p>
        </w:tc>
        <w:tc>
          <w:tcPr>
            <w:tcW w:w="8250" w:type="dxa"/>
          </w:tcPr>
          <w:p>
            <w:pPr>
              <w:pStyle w:val="TableParagraph"/>
              <w:spacing w:line="480" w:lineRule="auto"/>
              <w:ind w:right="146"/>
              <w:rPr>
                <w:sz w:val="22"/>
              </w:rPr>
            </w:pPr>
            <w:r>
              <w:rPr>
                <w:sz w:val="22"/>
              </w:rPr>
              <w:t>Flag indicating that XML source data should be imported instead of the HTML table itself. Used when a web query exists to an HTML table with the following attribute.</w:t>
            </w:r>
          </w:p>
          <w:p>
            <w:pPr>
              <w:pStyle w:val="TableParagraph"/>
              <w:spacing w:before="3"/>
              <w:ind w:left="403"/>
              <w:rPr>
                <w:rFonts w:ascii="Consolas" w:hAnsi="Consolas"/>
                <w:sz w:val="22"/>
              </w:rPr>
            </w:pPr>
            <w:r>
              <w:rPr>
                <w:rFonts w:ascii="Consolas" w:hAnsi="Consolas"/>
                <w:sz w:val="22"/>
              </w:rPr>
              <w:t>&lt;TABLE … o:WebQuerySourceHRef=”http://…” … &gt; … &lt;/TABLE&gt;</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27" w:hRule="atLeast"/>
        </w:trPr>
        <w:tc>
          <w:tcPr>
            <w:tcW w:w="2062" w:type="dxa"/>
          </w:tcPr>
          <w:p>
            <w:pPr>
              <w:pStyle w:val="TableParagraph"/>
              <w:ind w:right="158"/>
              <w:rPr>
                <w:sz w:val="22"/>
              </w:rPr>
            </w:pPr>
            <w:r>
              <w:rPr>
                <w:rFonts w:ascii="Cambria"/>
                <w:sz w:val="22"/>
              </w:rPr>
              <w:t>textDates </w:t>
            </w:r>
            <w:r>
              <w:rPr>
                <w:sz w:val="22"/>
              </w:rPr>
              <w:t>(Dates as Text)</w:t>
            </w:r>
          </w:p>
        </w:tc>
        <w:tc>
          <w:tcPr>
            <w:tcW w:w="8250" w:type="dxa"/>
          </w:tcPr>
          <w:p>
            <w:pPr>
              <w:pStyle w:val="TableParagraph"/>
              <w:ind w:right="620"/>
              <w:rPr>
                <w:sz w:val="22"/>
              </w:rPr>
            </w:pPr>
            <w:r>
              <w:rPr>
                <w:sz w:val="22"/>
              </w:rPr>
              <w:t>Flag indicating whether dates should be imported into cells in the worksheet as text rather than dates.</w:t>
            </w:r>
          </w:p>
          <w:p>
            <w:pPr>
              <w:pStyle w:val="TableParagraph"/>
              <w:spacing w:before="2"/>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url </w:t>
            </w:r>
            <w:r>
              <w:rPr>
                <w:sz w:val="22"/>
              </w:rPr>
              <w:t>(URL)</w:t>
            </w:r>
          </w:p>
        </w:tc>
        <w:tc>
          <w:tcPr>
            <w:tcW w:w="8250" w:type="dxa"/>
          </w:tcPr>
          <w:p>
            <w:pPr>
              <w:pStyle w:val="TableParagraph"/>
              <w:rPr>
                <w:sz w:val="22"/>
              </w:rPr>
            </w:pPr>
            <w:r>
              <w:rPr>
                <w:sz w:val="22"/>
              </w:rPr>
              <w:t>URL to use to refresh external data.</w:t>
            </w:r>
          </w:p>
          <w:p>
            <w:pPr>
              <w:pStyle w:val="TableParagraph"/>
              <w:spacing w:before="4"/>
              <w:ind w:left="0"/>
              <w:rPr>
                <w:rFonts w:ascii="Times New Roman"/>
                <w:sz w:val="23"/>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965" w:hRule="atLeast"/>
        </w:trPr>
        <w:tc>
          <w:tcPr>
            <w:tcW w:w="2062" w:type="dxa"/>
          </w:tcPr>
          <w:p>
            <w:pPr>
              <w:pStyle w:val="TableParagraph"/>
              <w:ind w:right="239"/>
              <w:rPr>
                <w:sz w:val="22"/>
              </w:rPr>
            </w:pPr>
            <w:r>
              <w:rPr>
                <w:rFonts w:ascii="Cambria"/>
                <w:sz w:val="22"/>
              </w:rPr>
              <w:t>xl2000 </w:t>
            </w:r>
            <w:r>
              <w:rPr>
                <w:sz w:val="22"/>
              </w:rPr>
              <w:t>(Refreshed in Excel 2000)</w:t>
            </w:r>
          </w:p>
        </w:tc>
        <w:tc>
          <w:tcPr>
            <w:tcW w:w="8250" w:type="dxa"/>
          </w:tcPr>
          <w:p>
            <w:pPr>
              <w:pStyle w:val="TableParagraph"/>
              <w:ind w:right="150"/>
              <w:jc w:val="both"/>
              <w:rPr>
                <w:sz w:val="22"/>
              </w:rPr>
            </w:pPr>
            <w:r>
              <w:rPr>
                <w:sz w:val="22"/>
              </w:rPr>
              <w:t>This flag exists for backward compatibility with older existing spreadsheet files, and is set to </w:t>
            </w:r>
            <w:r>
              <w:rPr>
                <w:rFonts w:ascii="Consolas"/>
                <w:sz w:val="20"/>
              </w:rPr>
              <w:t>true</w:t>
            </w:r>
            <w:r>
              <w:rPr>
                <w:rFonts w:ascii="Consolas"/>
                <w:spacing w:val="-81"/>
                <w:sz w:val="20"/>
              </w:rPr>
              <w:t> </w:t>
            </w:r>
            <w:r>
              <w:rPr>
                <w:sz w:val="22"/>
              </w:rPr>
              <w:t>if this web query was refreshed in a spreadsheet application newer than or equal to Microsoft Excel 2000.</w:t>
            </w:r>
          </w:p>
          <w:p>
            <w:pPr>
              <w:pStyle w:val="TableParagraph"/>
              <w:spacing w:line="267" w:lineRule="exact" w:before="0"/>
              <w:jc w:val="both"/>
              <w:rPr>
                <w:sz w:val="22"/>
              </w:rPr>
            </w:pPr>
            <w:r>
              <w:rPr>
                <w:sz w:val="22"/>
              </w:rPr>
              <w:t>This is an optional attribute that can be ignored.</w:t>
            </w:r>
          </w:p>
          <w:p>
            <w:pPr>
              <w:pStyle w:val="TableParagraph"/>
              <w:spacing w:before="4"/>
              <w:ind w:left="0"/>
              <w:rPr>
                <w:rFonts w:ascii="Times New Roman"/>
                <w:sz w:val="23"/>
              </w:rPr>
            </w:pPr>
          </w:p>
          <w:p>
            <w:pPr>
              <w:pStyle w:val="TableParagraph"/>
              <w:spacing w:before="0"/>
              <w:jc w:val="both"/>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96" w:hRule="atLeast"/>
        </w:trPr>
        <w:tc>
          <w:tcPr>
            <w:tcW w:w="2062" w:type="dxa"/>
          </w:tcPr>
          <w:p>
            <w:pPr>
              <w:pStyle w:val="TableParagraph"/>
              <w:ind w:right="468"/>
              <w:rPr>
                <w:sz w:val="22"/>
              </w:rPr>
            </w:pPr>
            <w:r>
              <w:rPr>
                <w:rFonts w:ascii="Cambria"/>
                <w:sz w:val="22"/>
              </w:rPr>
              <w:t>xl97 </w:t>
            </w:r>
            <w:r>
              <w:rPr>
                <w:sz w:val="22"/>
              </w:rPr>
              <w:t>(Created in Excel 97)</w:t>
            </w:r>
          </w:p>
        </w:tc>
        <w:tc>
          <w:tcPr>
            <w:tcW w:w="8250" w:type="dxa"/>
          </w:tcPr>
          <w:p>
            <w:pPr>
              <w:pStyle w:val="TableParagraph"/>
              <w:ind w:right="158"/>
              <w:rPr>
                <w:sz w:val="22"/>
              </w:rPr>
            </w:pPr>
            <w:r>
              <w:rPr>
                <w:sz w:val="22"/>
              </w:rPr>
              <w:t>This flag exists for backward compatibility with older existing spreadhseet files, and is set to </w:t>
            </w:r>
            <w:r>
              <w:rPr>
                <w:rFonts w:ascii="Consolas"/>
                <w:sz w:val="20"/>
              </w:rPr>
              <w:t>true</w:t>
            </w:r>
            <w:r>
              <w:rPr>
                <w:rFonts w:ascii="Consolas"/>
                <w:spacing w:val="-67"/>
                <w:sz w:val="20"/>
              </w:rPr>
              <w:t> </w:t>
            </w:r>
            <w:r>
              <w:rPr>
                <w:sz w:val="22"/>
              </w:rPr>
              <w:t>if this web query was created in Microsoft Excel 97.</w:t>
            </w:r>
          </w:p>
          <w:p>
            <w:pPr>
              <w:pStyle w:val="TableParagraph"/>
              <w:spacing w:before="0"/>
              <w:rPr>
                <w:sz w:val="22"/>
              </w:rPr>
            </w:pPr>
            <w:r>
              <w:rPr>
                <w:sz w:val="22"/>
              </w:rPr>
              <w:t>This is an optional attribute that can be ignored.</w:t>
            </w:r>
          </w:p>
          <w:p>
            <w:pPr>
              <w:pStyle w:val="TableParagraph"/>
              <w:spacing w:before="5"/>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61" w:hRule="atLeast"/>
        </w:trPr>
        <w:tc>
          <w:tcPr>
            <w:tcW w:w="2062" w:type="dxa"/>
          </w:tcPr>
          <w:p>
            <w:pPr>
              <w:pStyle w:val="TableParagraph"/>
              <w:rPr>
                <w:sz w:val="22"/>
              </w:rPr>
            </w:pPr>
            <w:r>
              <w:rPr>
                <w:rFonts w:ascii="Cambria"/>
                <w:sz w:val="22"/>
              </w:rPr>
              <w:t>xml </w:t>
            </w:r>
            <w:r>
              <w:rPr>
                <w:sz w:val="22"/>
              </w:rPr>
              <w:t>(XML Source)</w:t>
            </w:r>
          </w:p>
        </w:tc>
        <w:tc>
          <w:tcPr>
            <w:tcW w:w="8250" w:type="dxa"/>
          </w:tcPr>
          <w:p>
            <w:pPr>
              <w:pStyle w:val="TableParagraph"/>
              <w:rPr>
                <w:sz w:val="22"/>
              </w:rPr>
            </w:pPr>
            <w:r>
              <w:rPr>
                <w:rFonts w:ascii="Consolas"/>
                <w:sz w:val="20"/>
              </w:rPr>
              <w:t>true</w:t>
            </w:r>
            <w:r>
              <w:rPr>
                <w:rFonts w:ascii="Consolas"/>
                <w:spacing w:val="-72"/>
                <w:sz w:val="20"/>
              </w:rPr>
              <w:t> </w:t>
            </w:r>
            <w:r>
              <w:rPr>
                <w:sz w:val="22"/>
              </w:rPr>
              <w:t>if the web query source is XML (versus HTML), otherwise </w:t>
            </w:r>
            <w:r>
              <w:rPr>
                <w:rFonts w:ascii="Consolas"/>
                <w:sz w:val="20"/>
              </w:rPr>
              <w:t>false</w:t>
            </w:r>
            <w:r>
              <w:rPr>
                <w:sz w:val="22"/>
              </w:rPr>
              <w:t>.</w:t>
            </w:r>
          </w:p>
          <w:p>
            <w:pPr>
              <w:pStyle w:val="TableParagraph"/>
              <w:spacing w:before="4"/>
              <w:ind w:left="0"/>
              <w:rPr>
                <w:rFonts w:ascii="Times New Roman"/>
                <w:sz w:val="23"/>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line="278" w:lineRule="auto" w:before="90"/>
        <w:ind w:left="220" w:right="874"/>
      </w:pPr>
      <w:r>
        <w:rPr/>
        <w:t>[</w:t>
      </w:r>
      <w:r>
        <w:rPr>
          <w:i/>
        </w:rPr>
        <w:t>Note</w:t>
      </w:r>
      <w:r>
        <w:rPr/>
        <w:t>: The W3C XML Schema definition of this element’s content model (</w:t>
      </w:r>
      <w:r>
        <w:rPr>
          <w:color w:val="5F5F5F"/>
          <w:u w:val="single" w:color="5F5F5F"/>
        </w:rPr>
        <w:t>CT_WebPr</w:t>
      </w:r>
      <w:r>
        <w:rPr/>
        <w:t>) is located in §A.2. </w:t>
      </w:r>
      <w:r>
        <w:rPr>
          <w:i/>
        </w:rPr>
        <w:t>end </w:t>
      </w:r>
      <w:r>
        <w:rPr>
          <w:i/>
        </w:rPr>
        <w:t>note</w:t>
      </w:r>
      <w:r>
        <w:rPr/>
        <w:t>]</w:t>
      </w:r>
    </w:p>
    <w:p>
      <w:pPr>
        <w:pStyle w:val="Heading1"/>
        <w:numPr>
          <w:ilvl w:val="1"/>
          <w:numId w:val="17"/>
        </w:numPr>
        <w:tabs>
          <w:tab w:pos="1156" w:val="left" w:leader="none"/>
          <w:tab w:pos="1157" w:val="left" w:leader="none"/>
        </w:tabs>
        <w:spacing w:line="240" w:lineRule="auto" w:before="197" w:after="0"/>
        <w:ind w:left="1156" w:right="0" w:hanging="937"/>
        <w:jc w:val="left"/>
      </w:pPr>
      <w:bookmarkStart w:name="18.14 Supplementary Workbook Data" w:id="1205"/>
      <w:bookmarkEnd w:id="1205"/>
      <w:r>
        <w:rPr>
          <w:b w:val="0"/>
        </w:rPr>
      </w:r>
      <w:bookmarkStart w:name="_bookmark400" w:id="1206"/>
      <w:bookmarkEnd w:id="1206"/>
      <w:r>
        <w:rPr>
          <w:b w:val="0"/>
        </w:rPr>
      </w:r>
      <w:bookmarkStart w:name="_bookmark400" w:id="1207"/>
      <w:bookmarkEnd w:id="1207"/>
      <w:r>
        <w:rPr>
          <w:color w:val="4F81BC"/>
        </w:rPr>
        <w:t>Sup</w:t>
      </w:r>
      <w:r>
        <w:rPr>
          <w:color w:val="4F81BC"/>
        </w:rPr>
        <w:t>plementary Workbook</w:t>
      </w:r>
      <w:r>
        <w:rPr>
          <w:color w:val="4F81BC"/>
          <w:spacing w:val="-4"/>
        </w:rPr>
        <w:t> </w:t>
      </w:r>
      <w:r>
        <w:rPr>
          <w:color w:val="4F81BC"/>
        </w:rPr>
        <w:t>Data</w:t>
      </w:r>
    </w:p>
    <w:p>
      <w:pPr>
        <w:pStyle w:val="BodyText"/>
        <w:spacing w:line="276" w:lineRule="auto" w:before="127"/>
        <w:ind w:left="220" w:right="430"/>
      </w:pPr>
      <w:r>
        <w:rPr/>
        <w:t>External links are used when linking the workbook to other workbooks or external data. The most frequent feature for linking a workbook to other workbooks is through the use of formulas. In this case the formula references a range or defined name in another workbook. Hyperlinks on cells and other spreadsheet objects are also considered an external link. Object-linking technologies are yet another technology used to link the workbook to another object. [</w:t>
      </w:r>
      <w:r>
        <w:rPr>
          <w:i/>
        </w:rPr>
        <w:t>Example</w:t>
      </w:r>
      <w:r>
        <w:rPr/>
        <w:t>: KParts or OLE. </w:t>
      </w:r>
      <w:r>
        <w:rPr>
          <w:i/>
        </w:rPr>
        <w:t>end example</w:t>
      </w:r>
      <w:r>
        <w:rPr/>
        <w:t>] Finally, Dynamic Data Exchange, or DDE, servers can be used to access external data. DDE servers are accessed through formulas in the workbook.</w:t>
      </w:r>
    </w:p>
    <w:p>
      <w:pPr>
        <w:pStyle w:val="BodyText"/>
        <w:spacing w:before="6"/>
        <w:rPr>
          <w:sz w:val="16"/>
        </w:rPr>
      </w:pPr>
    </w:p>
    <w:p>
      <w:pPr>
        <w:pStyle w:val="BodyText"/>
        <w:spacing w:line="278" w:lineRule="auto"/>
        <w:ind w:left="220" w:right="1232"/>
      </w:pPr>
      <w:r>
        <w:rPr/>
        <w:t>External links are saved with the target source in a relationship file so that external resources are easily discoverable in lightweight relationship XML rather than deep in the application's XML.</w:t>
      </w:r>
    </w:p>
    <w:p>
      <w:pPr>
        <w:pStyle w:val="BodyText"/>
        <w:spacing w:line="278" w:lineRule="auto" w:before="193"/>
        <w:ind w:left="220" w:right="503"/>
      </w:pPr>
      <w:r>
        <w:rPr/>
        <w:t>For a workbook consumer.xlsx that makes use of data in another workbook called data.xlsx, the following XML would exist in consumer.xlsx to describe the external link:</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hAnsi="Consolas"/>
        </w:rPr>
      </w:pPr>
      <w:r>
        <w:rPr>
          <w:rFonts w:ascii="Consolas" w:hAnsi="Consolas"/>
        </w:rPr>
        <w:t>&lt;Relationships xmlns="…"&gt;</w:t>
      </w:r>
    </w:p>
    <w:p>
      <w:pPr>
        <w:pStyle w:val="BodyText"/>
        <w:spacing w:line="276" w:lineRule="auto" w:before="40"/>
        <w:ind w:left="993" w:hanging="243"/>
        <w:rPr>
          <w:rFonts w:ascii="Consolas" w:hAnsi="Consolas"/>
        </w:rPr>
      </w:pPr>
      <w:r>
        <w:rPr>
          <w:rFonts w:ascii="Consolas" w:hAnsi="Consolas"/>
        </w:rPr>
        <w:t>&lt;Relationship Id="rId1" Type="…/externalLinkPath" Target="data.xlsx" TargetMode="External"/&gt;</w:t>
      </w:r>
    </w:p>
    <w:p>
      <w:pPr>
        <w:pStyle w:val="BodyText"/>
        <w:spacing w:line="256" w:lineRule="exact"/>
        <w:ind w:left="508"/>
        <w:rPr>
          <w:rFonts w:ascii="Consolas"/>
        </w:rPr>
      </w:pPr>
      <w:r>
        <w:rPr>
          <w:rFonts w:ascii="Consolas"/>
        </w:rPr>
        <w:t>&lt;/Relationships&gt;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BodyText"/>
        <w:spacing w:line="453" w:lineRule="auto"/>
        <w:ind w:left="220" w:right="1668"/>
      </w:pPr>
      <w:r>
        <w:rPr/>
        <w:t>And the following XML would exist to describe cached data retrieved from the external workbook: [</w:t>
      </w:r>
      <w:r>
        <w:rPr>
          <w:i/>
        </w:rPr>
        <w:t>Example</w:t>
      </w:r>
      <w:r>
        <w:rPr/>
        <w:t>:</w:t>
      </w:r>
    </w:p>
    <w:p>
      <w:pPr>
        <w:pStyle w:val="BodyText"/>
        <w:spacing w:before="2"/>
        <w:ind w:left="508"/>
        <w:rPr>
          <w:rFonts w:ascii="Consolas" w:hAnsi="Consolas"/>
        </w:rPr>
      </w:pPr>
      <w:r>
        <w:rPr>
          <w:rFonts w:ascii="Consolas" w:hAnsi="Consolas"/>
        </w:rPr>
        <w:t>&lt;externalLink xmlns="…"&gt;</w:t>
      </w:r>
    </w:p>
    <w:p>
      <w:pPr>
        <w:pStyle w:val="BodyText"/>
        <w:spacing w:before="40"/>
        <w:ind w:left="750"/>
        <w:rPr>
          <w:rFonts w:ascii="Consolas" w:hAnsi="Consolas"/>
        </w:rPr>
      </w:pPr>
      <w:r>
        <w:rPr>
          <w:rFonts w:ascii="Consolas" w:hAnsi="Consolas"/>
        </w:rPr>
        <w:t>&lt;externalBook xmlns:r="…" r:id="rId1"&gt;</w:t>
      </w:r>
    </w:p>
    <w:p>
      <w:pPr>
        <w:pStyle w:val="BodyText"/>
        <w:spacing w:before="38"/>
        <w:ind w:left="993"/>
        <w:rPr>
          <w:rFonts w:ascii="Consolas"/>
        </w:rPr>
      </w:pPr>
      <w:r>
        <w:rPr>
          <w:rFonts w:ascii="Consolas"/>
        </w:rPr>
        <w:t>&lt;sheetNames&gt;</w:t>
      </w:r>
    </w:p>
    <w:p>
      <w:pPr>
        <w:pStyle w:val="BodyText"/>
        <w:spacing w:before="40"/>
        <w:ind w:left="1235"/>
        <w:rPr>
          <w:rFonts w:ascii="Consolas"/>
        </w:rPr>
      </w:pPr>
      <w:r>
        <w:rPr>
          <w:rFonts w:ascii="Consolas"/>
        </w:rPr>
        <w:t>&lt;sheetName</w:t>
      </w:r>
      <w:r>
        <w:rPr>
          <w:rFonts w:ascii="Consolas"/>
          <w:spacing w:val="-19"/>
        </w:rPr>
        <w:t> </w:t>
      </w:r>
      <w:r>
        <w:rPr>
          <w:rFonts w:ascii="Consolas"/>
        </w:rPr>
        <w:t>val="Sheet1"/&gt;</w:t>
      </w:r>
    </w:p>
    <w:p>
      <w:pPr>
        <w:pStyle w:val="BodyText"/>
        <w:spacing w:before="37"/>
        <w:ind w:left="1235"/>
        <w:rPr>
          <w:rFonts w:ascii="Consolas"/>
        </w:rPr>
      </w:pPr>
      <w:r>
        <w:rPr>
          <w:rFonts w:ascii="Consolas"/>
        </w:rPr>
        <w:t>&lt;sheetName</w:t>
      </w:r>
      <w:r>
        <w:rPr>
          <w:rFonts w:ascii="Consolas"/>
          <w:spacing w:val="-19"/>
        </w:rPr>
        <w:t> </w:t>
      </w:r>
      <w:r>
        <w:rPr>
          <w:rFonts w:ascii="Consolas"/>
        </w:rPr>
        <w:t>val="Sheet2"/&gt;</w:t>
      </w:r>
    </w:p>
    <w:p>
      <w:pPr>
        <w:pStyle w:val="BodyText"/>
        <w:spacing w:before="38"/>
        <w:ind w:left="1235"/>
        <w:rPr>
          <w:rFonts w:ascii="Consolas"/>
        </w:rPr>
      </w:pPr>
      <w:r>
        <w:rPr>
          <w:rFonts w:ascii="Consolas"/>
        </w:rPr>
        <w:t>&lt;sheetName</w:t>
      </w:r>
      <w:r>
        <w:rPr>
          <w:rFonts w:ascii="Consolas"/>
          <w:spacing w:val="-19"/>
        </w:rPr>
        <w:t> </w:t>
      </w:r>
      <w:r>
        <w:rPr>
          <w:rFonts w:ascii="Consolas"/>
        </w:rPr>
        <w:t>val="Sheet3"/&gt;</w:t>
      </w:r>
    </w:p>
    <w:p>
      <w:pPr>
        <w:pStyle w:val="BodyText"/>
        <w:spacing w:before="40"/>
        <w:ind w:left="993"/>
        <w:rPr>
          <w:rFonts w:ascii="Consolas"/>
        </w:rPr>
      </w:pPr>
      <w:r>
        <w:rPr>
          <w:rFonts w:ascii="Consolas"/>
        </w:rPr>
        <w:t>&lt;/sheetNames&gt;</w:t>
      </w:r>
    </w:p>
    <w:p>
      <w:pPr>
        <w:spacing w:after="0"/>
        <w:rPr>
          <w:rFonts w:ascii="Consolas"/>
        </w:rPr>
        <w:sectPr>
          <w:pgSz w:w="12240" w:h="15840"/>
          <w:pgMar w:header="761" w:footer="746" w:top="1340" w:bottom="940" w:left="860" w:right="700"/>
        </w:sectPr>
      </w:pPr>
    </w:p>
    <w:p>
      <w:pPr>
        <w:pStyle w:val="BodyText"/>
        <w:spacing w:before="150"/>
        <w:ind w:left="993"/>
        <w:rPr>
          <w:rFonts w:ascii="Consolas"/>
        </w:rPr>
      </w:pPr>
      <w:r>
        <w:rPr>
          <w:rFonts w:ascii="Consolas"/>
        </w:rPr>
        <w:t>&lt;sheetDataSet&gt;</w:t>
      </w:r>
    </w:p>
    <w:p>
      <w:pPr>
        <w:pStyle w:val="BodyText"/>
        <w:spacing w:before="38"/>
        <w:ind w:left="1235"/>
        <w:rPr>
          <w:rFonts w:ascii="Consolas"/>
        </w:rPr>
      </w:pPr>
      <w:r>
        <w:rPr>
          <w:rFonts w:ascii="Consolas"/>
        </w:rPr>
        <w:t>&lt;sheetData</w:t>
      </w:r>
      <w:r>
        <w:rPr>
          <w:rFonts w:ascii="Consolas"/>
          <w:spacing w:val="-17"/>
        </w:rPr>
        <w:t> </w:t>
      </w:r>
      <w:r>
        <w:rPr>
          <w:rFonts w:ascii="Consolas"/>
        </w:rPr>
        <w:t>sheetId="0"/&gt;</w:t>
      </w:r>
    </w:p>
    <w:p>
      <w:pPr>
        <w:pStyle w:val="BodyText"/>
        <w:spacing w:before="40"/>
        <w:ind w:left="1235"/>
        <w:rPr>
          <w:rFonts w:ascii="Consolas"/>
        </w:rPr>
      </w:pPr>
      <w:r>
        <w:rPr>
          <w:rFonts w:ascii="Consolas"/>
        </w:rPr>
        <w:t>&lt;sheetData</w:t>
      </w:r>
      <w:r>
        <w:rPr>
          <w:rFonts w:ascii="Consolas"/>
          <w:spacing w:val="-17"/>
        </w:rPr>
        <w:t> </w:t>
      </w:r>
      <w:r>
        <w:rPr>
          <w:rFonts w:ascii="Consolas"/>
        </w:rPr>
        <w:t>sheetId="1"/&gt;</w:t>
      </w:r>
    </w:p>
    <w:p>
      <w:pPr>
        <w:pStyle w:val="BodyText"/>
        <w:spacing w:before="38"/>
        <w:ind w:left="1235"/>
        <w:rPr>
          <w:rFonts w:ascii="Consolas"/>
        </w:rPr>
      </w:pPr>
      <w:r>
        <w:rPr>
          <w:rFonts w:ascii="Consolas"/>
        </w:rPr>
        <w:t>&lt;sheetData sheetId="2"&gt;</w:t>
      </w:r>
    </w:p>
    <w:p>
      <w:pPr>
        <w:pStyle w:val="BodyText"/>
        <w:spacing w:before="40"/>
        <w:ind w:left="1478"/>
        <w:rPr>
          <w:rFonts w:ascii="Consolas"/>
        </w:rPr>
      </w:pPr>
      <w:r>
        <w:rPr>
          <w:rFonts w:ascii="Consolas"/>
        </w:rPr>
        <w:t>&lt;row r="11"&gt;</w:t>
      </w:r>
    </w:p>
    <w:p>
      <w:pPr>
        <w:pStyle w:val="BodyText"/>
        <w:spacing w:before="37"/>
        <w:ind w:left="1718"/>
        <w:rPr>
          <w:rFonts w:ascii="Consolas"/>
        </w:rPr>
      </w:pPr>
      <w:r>
        <w:rPr>
          <w:rFonts w:ascii="Consolas"/>
        </w:rPr>
        <w:t>&lt;cell r="B11"&gt;</w:t>
      </w:r>
    </w:p>
    <w:p>
      <w:pPr>
        <w:pStyle w:val="BodyText"/>
        <w:spacing w:before="40"/>
        <w:ind w:left="1960"/>
        <w:rPr>
          <w:rFonts w:ascii="Consolas"/>
        </w:rPr>
      </w:pPr>
      <w:r>
        <w:rPr>
          <w:rFonts w:ascii="Consolas"/>
        </w:rPr>
        <w:t>&lt;v&gt;47&lt;/v&gt;</w:t>
      </w:r>
    </w:p>
    <w:p>
      <w:pPr>
        <w:pStyle w:val="BodyText"/>
        <w:spacing w:before="38"/>
        <w:ind w:left="1718"/>
        <w:rPr>
          <w:rFonts w:ascii="Consolas"/>
        </w:rPr>
      </w:pPr>
      <w:r>
        <w:rPr>
          <w:rFonts w:ascii="Consolas"/>
        </w:rPr>
        <w:t>&lt;/cell&gt;</w:t>
      </w:r>
    </w:p>
    <w:p>
      <w:pPr>
        <w:pStyle w:val="BodyText"/>
        <w:spacing w:before="38"/>
        <w:ind w:left="1478"/>
        <w:rPr>
          <w:rFonts w:ascii="Consolas"/>
        </w:rPr>
      </w:pPr>
      <w:r>
        <w:rPr>
          <w:rFonts w:ascii="Consolas"/>
        </w:rPr>
        <w:t>&lt;/row&gt;</w:t>
      </w:r>
    </w:p>
    <w:p>
      <w:pPr>
        <w:pStyle w:val="BodyText"/>
        <w:spacing w:before="40"/>
        <w:ind w:left="1478"/>
        <w:rPr>
          <w:rFonts w:ascii="Consolas"/>
        </w:rPr>
      </w:pPr>
      <w:r>
        <w:rPr>
          <w:rFonts w:ascii="Consolas"/>
        </w:rPr>
        <w:t>&lt;row r="12"&gt;</w:t>
      </w:r>
    </w:p>
    <w:p>
      <w:pPr>
        <w:pStyle w:val="BodyText"/>
        <w:spacing w:before="37"/>
        <w:ind w:left="1718"/>
        <w:rPr>
          <w:rFonts w:ascii="Consolas"/>
        </w:rPr>
      </w:pPr>
      <w:r>
        <w:rPr>
          <w:rFonts w:ascii="Consolas"/>
        </w:rPr>
        <w:t>&lt;cell r="B12"&gt;</w:t>
      </w:r>
    </w:p>
    <w:p>
      <w:pPr>
        <w:pStyle w:val="BodyText"/>
        <w:spacing w:before="40"/>
        <w:ind w:left="1960"/>
        <w:rPr>
          <w:rFonts w:ascii="Consolas"/>
        </w:rPr>
      </w:pPr>
      <w:r>
        <w:rPr>
          <w:rFonts w:ascii="Consolas"/>
        </w:rPr>
        <w:t>&lt;v&gt;19&lt;/v&gt;</w:t>
      </w:r>
    </w:p>
    <w:p>
      <w:pPr>
        <w:pStyle w:val="BodyText"/>
        <w:spacing w:before="38"/>
        <w:ind w:left="1718"/>
        <w:rPr>
          <w:rFonts w:ascii="Consolas"/>
        </w:rPr>
      </w:pPr>
      <w:r>
        <w:rPr>
          <w:rFonts w:ascii="Consolas"/>
        </w:rPr>
        <w:t>&lt;/cell&gt;</w:t>
      </w:r>
    </w:p>
    <w:p>
      <w:pPr>
        <w:pStyle w:val="BodyText"/>
        <w:spacing w:before="40"/>
        <w:ind w:left="1478"/>
        <w:rPr>
          <w:rFonts w:ascii="Consolas"/>
        </w:rPr>
      </w:pPr>
      <w:r>
        <w:rPr>
          <w:rFonts w:ascii="Consolas"/>
        </w:rPr>
        <w:t>&lt;/row&gt;</w:t>
      </w:r>
    </w:p>
    <w:p>
      <w:pPr>
        <w:pStyle w:val="BodyText"/>
        <w:spacing w:before="38"/>
        <w:ind w:left="1478"/>
        <w:rPr>
          <w:rFonts w:ascii="Consolas"/>
        </w:rPr>
      </w:pPr>
      <w:r>
        <w:rPr>
          <w:rFonts w:ascii="Consolas"/>
        </w:rPr>
        <w:t>&lt;row r="13"&gt;</w:t>
      </w:r>
    </w:p>
    <w:p>
      <w:pPr>
        <w:pStyle w:val="BodyText"/>
        <w:spacing w:before="38"/>
        <w:ind w:left="1718"/>
        <w:rPr>
          <w:rFonts w:ascii="Consolas"/>
        </w:rPr>
      </w:pPr>
      <w:r>
        <w:rPr>
          <w:rFonts w:ascii="Consolas"/>
        </w:rPr>
        <w:t>&lt;cell r="B13"&gt;</w:t>
      </w:r>
    </w:p>
    <w:p>
      <w:pPr>
        <w:pStyle w:val="BodyText"/>
        <w:spacing w:before="40"/>
        <w:ind w:left="1960"/>
        <w:rPr>
          <w:rFonts w:ascii="Consolas"/>
        </w:rPr>
      </w:pPr>
      <w:r>
        <w:rPr>
          <w:rFonts w:ascii="Consolas"/>
        </w:rPr>
        <w:t>&lt;v&gt;38&lt;/v&gt;</w:t>
      </w:r>
    </w:p>
    <w:p>
      <w:pPr>
        <w:pStyle w:val="BodyText"/>
        <w:spacing w:before="37"/>
        <w:ind w:left="1718"/>
        <w:rPr>
          <w:rFonts w:ascii="Consolas"/>
        </w:rPr>
      </w:pPr>
      <w:r>
        <w:rPr>
          <w:rFonts w:ascii="Consolas"/>
        </w:rPr>
        <w:t>&lt;/cell&gt;</w:t>
      </w:r>
    </w:p>
    <w:p>
      <w:pPr>
        <w:pStyle w:val="BodyText"/>
        <w:spacing w:before="40"/>
        <w:ind w:left="1478"/>
        <w:rPr>
          <w:rFonts w:ascii="Consolas"/>
        </w:rPr>
      </w:pPr>
      <w:r>
        <w:rPr>
          <w:rFonts w:ascii="Consolas"/>
        </w:rPr>
        <w:t>&lt;/row&gt;</w:t>
      </w:r>
    </w:p>
    <w:p>
      <w:pPr>
        <w:pStyle w:val="BodyText"/>
        <w:spacing w:before="38"/>
        <w:ind w:left="1235"/>
        <w:rPr>
          <w:rFonts w:ascii="Consolas"/>
        </w:rPr>
      </w:pPr>
      <w:r>
        <w:rPr>
          <w:rFonts w:ascii="Consolas"/>
        </w:rPr>
        <w:t>&lt;/sheetData&gt;</w:t>
      </w:r>
    </w:p>
    <w:p>
      <w:pPr>
        <w:pStyle w:val="BodyText"/>
        <w:spacing w:before="40"/>
        <w:ind w:left="993"/>
        <w:rPr>
          <w:rFonts w:ascii="Consolas"/>
        </w:rPr>
      </w:pPr>
      <w:r>
        <w:rPr>
          <w:rFonts w:ascii="Consolas"/>
        </w:rPr>
        <w:t>&lt;/sheetDataSet&gt;</w:t>
      </w:r>
    </w:p>
    <w:p>
      <w:pPr>
        <w:pStyle w:val="BodyText"/>
        <w:spacing w:before="37"/>
        <w:ind w:left="750"/>
        <w:rPr>
          <w:rFonts w:ascii="Consolas"/>
        </w:rPr>
      </w:pPr>
      <w:r>
        <w:rPr>
          <w:rFonts w:ascii="Consolas"/>
        </w:rPr>
        <w:t>&lt;/externalBook&gt;</w:t>
      </w:r>
    </w:p>
    <w:p>
      <w:pPr>
        <w:pStyle w:val="BodyText"/>
        <w:spacing w:before="38"/>
        <w:ind w:left="508"/>
        <w:rPr>
          <w:rFonts w:ascii="Consolas"/>
        </w:rPr>
      </w:pPr>
      <w:r>
        <w:rPr>
          <w:rFonts w:ascii="Consolas"/>
        </w:rPr>
        <w:t>&lt;/externalLink&gt;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692"/>
      </w:pPr>
      <w:r>
        <w:rPr/>
        <w:t>The Supplementary Workbook Data section of SpreadsheetML is complimentary to the External Data Connnections (§</w:t>
      </w:r>
      <w:hyperlink w:history="true" w:anchor="_bookmark386">
        <w:r>
          <w:rPr/>
          <w:t>18.13</w:t>
        </w:r>
      </w:hyperlink>
      <w:r>
        <w:rPr/>
        <w:t>) section in maintaining all the information about external information that impacts the workbook.</w:t>
      </w:r>
    </w:p>
    <w:p>
      <w:pPr>
        <w:pStyle w:val="Heading2"/>
        <w:numPr>
          <w:ilvl w:val="2"/>
          <w:numId w:val="17"/>
        </w:numPr>
        <w:tabs>
          <w:tab w:pos="1444" w:val="left" w:leader="none"/>
          <w:tab w:pos="1445" w:val="left" w:leader="none"/>
        </w:tabs>
        <w:spacing w:line="240" w:lineRule="auto" w:before="197" w:after="0"/>
        <w:ind w:left="1444" w:right="0" w:hanging="1225"/>
        <w:jc w:val="left"/>
      </w:pPr>
      <w:bookmarkStart w:name="18.14.1 cell (External Cell Data)" w:id="1208"/>
      <w:bookmarkEnd w:id="1208"/>
      <w:r>
        <w:rPr>
          <w:b w:val="0"/>
        </w:rPr>
      </w:r>
      <w:bookmarkStart w:name="_bookmark401" w:id="1209"/>
      <w:bookmarkEnd w:id="1209"/>
      <w:r>
        <w:rPr>
          <w:b w:val="0"/>
        </w:rPr>
      </w:r>
      <w:bookmarkStart w:name="_bookmark401" w:id="1210"/>
      <w:bookmarkEnd w:id="1210"/>
      <w:r>
        <w:rPr>
          <w:color w:val="4F81BC"/>
        </w:rPr>
        <w:t>c</w:t>
      </w:r>
      <w:r>
        <w:rPr>
          <w:color w:val="4F81BC"/>
        </w:rPr>
        <w:t>ell (External Cell</w:t>
      </w:r>
      <w:r>
        <w:rPr>
          <w:color w:val="4F81BC"/>
          <w:spacing w:val="-4"/>
        </w:rPr>
        <w:t> </w:t>
      </w:r>
      <w:r>
        <w:rPr>
          <w:color w:val="4F81BC"/>
        </w:rPr>
        <w:t>Data)</w:t>
      </w:r>
    </w:p>
    <w:p>
      <w:pPr>
        <w:pStyle w:val="BodyText"/>
        <w:spacing w:line="276" w:lineRule="auto" w:before="122"/>
        <w:ind w:left="220" w:right="793"/>
        <w:jc w:val="both"/>
      </w:pPr>
      <w:r>
        <w:rPr/>
        <w:t>This element is used to store cached values from external sources such as other workbooks. Formulas from external cells are not stored in the consuming workbook. Also, for this context, the attribute </w:t>
      </w:r>
      <w:r>
        <w:rPr>
          <w:rFonts w:ascii="Cambria"/>
        </w:rPr>
        <w:t>t </w:t>
      </w:r>
      <w:r>
        <w:rPr/>
        <w:t>cannot have a value of </w:t>
      </w:r>
      <w:r>
        <w:rPr>
          <w:rFonts w:ascii="Consolas"/>
          <w:sz w:val="20"/>
        </w:rPr>
        <w:t>inlineStr</w:t>
      </w:r>
      <w:r>
        <w:rPr/>
        <w:t>. Rich text is not supported in this context either.</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203"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spacing w:line="480" w:lineRule="auto"/>
              <w:ind w:right="3867"/>
              <w:rPr>
                <w:sz w:val="22"/>
              </w:rPr>
            </w:pPr>
            <w:r>
              <w:rPr>
                <w:sz w:val="22"/>
              </w:rPr>
              <w:t>Describes the cell location in the external book. [</w:t>
            </w:r>
            <w:r>
              <w:rPr>
                <w:i/>
                <w:sz w:val="22"/>
              </w:rPr>
              <w:t>Example</w:t>
            </w:r>
            <w:r>
              <w:rPr>
                <w:sz w:val="22"/>
              </w:rPr>
              <w:t>:</w:t>
            </w:r>
          </w:p>
          <w:p>
            <w:pPr>
              <w:pStyle w:val="TableParagraph"/>
              <w:spacing w:line="257" w:lineRule="exact" w:before="3"/>
              <w:ind w:left="403"/>
              <w:rPr>
                <w:rFonts w:ascii="Consolas"/>
                <w:sz w:val="22"/>
              </w:rPr>
            </w:pPr>
            <w:r>
              <w:rPr>
                <w:rFonts w:ascii="Consolas"/>
                <w:sz w:val="22"/>
              </w:rPr>
              <w:t>&lt;cell r="B12"&gt;</w:t>
            </w:r>
          </w:p>
          <w:p>
            <w:pPr>
              <w:pStyle w:val="TableParagraph"/>
              <w:spacing w:line="257" w:lineRule="exact" w:before="0"/>
              <w:ind w:left="645"/>
              <w:rPr>
                <w:rFonts w:ascii="Consolas"/>
                <w:sz w:val="22"/>
              </w:rPr>
            </w:pPr>
            <w:r>
              <w:rPr>
                <w:rFonts w:ascii="Consolas"/>
                <w:sz w:val="22"/>
              </w:rPr>
              <w:t>&lt;v&gt;74&lt;/v&gt;</w:t>
            </w:r>
          </w:p>
          <w:p>
            <w:pPr>
              <w:pStyle w:val="TableParagraph"/>
              <w:spacing w:before="2"/>
              <w:ind w:left="403"/>
              <w:rPr>
                <w:rFonts w:ascii="Consolas"/>
                <w:sz w:val="22"/>
              </w:rPr>
            </w:pPr>
            <w:r>
              <w:rPr>
                <w:rFonts w:ascii="Consolas"/>
                <w:sz w:val="22"/>
              </w:rPr>
              <w:t>&lt;/cell&gt;</w:t>
            </w:r>
          </w:p>
        </w:tc>
      </w:tr>
    </w:tbl>
    <w:p>
      <w:pPr>
        <w:spacing w:after="0"/>
        <w:rPr>
          <w:rFonts w:ascii="Consolas"/>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i/>
                <w:sz w:val="22"/>
              </w:rPr>
              <w:t>end example</w:t>
            </w:r>
            <w:r>
              <w:rPr>
                <w:sz w:val="22"/>
              </w:rPr>
              <w:t>]</w:t>
            </w:r>
          </w:p>
          <w:p>
            <w:pPr>
              <w:pStyle w:val="TableParagraph"/>
              <w:spacing w:before="0"/>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161" w:hRule="atLeast"/>
        </w:trPr>
        <w:tc>
          <w:tcPr>
            <w:tcW w:w="2062" w:type="dxa"/>
          </w:tcPr>
          <w:p>
            <w:pPr>
              <w:pStyle w:val="TableParagraph"/>
              <w:spacing w:before="42"/>
              <w:rPr>
                <w:sz w:val="22"/>
              </w:rPr>
            </w:pPr>
            <w:r>
              <w:rPr>
                <w:rFonts w:ascii="Cambria"/>
                <w:sz w:val="22"/>
              </w:rPr>
              <w:t>t </w:t>
            </w:r>
            <w:r>
              <w:rPr>
                <w:sz w:val="22"/>
              </w:rPr>
              <w:t>(Type)</w:t>
            </w:r>
          </w:p>
        </w:tc>
        <w:tc>
          <w:tcPr>
            <w:tcW w:w="8250" w:type="dxa"/>
          </w:tcPr>
          <w:p>
            <w:pPr>
              <w:pStyle w:val="TableParagraph"/>
              <w:spacing w:before="42"/>
              <w:rPr>
                <w:sz w:val="22"/>
              </w:rPr>
            </w:pPr>
            <w:r>
              <w:rPr>
                <w:sz w:val="22"/>
              </w:rPr>
              <w:t>Indicates the data type of the cell value.</w:t>
            </w:r>
          </w:p>
          <w:p>
            <w:pPr>
              <w:pStyle w:val="TableParagraph"/>
              <w:spacing w:before="10"/>
              <w:ind w:left="0"/>
              <w:rPr>
                <w:sz w:val="21"/>
              </w:rPr>
            </w:pPr>
          </w:p>
          <w:p>
            <w:pPr>
              <w:pStyle w:val="TableParagraph"/>
              <w:spacing w:before="0"/>
              <w:ind w:right="883"/>
              <w:rPr>
                <w:sz w:val="22"/>
              </w:rPr>
            </w:pPr>
            <w:r>
              <w:rPr>
                <w:sz w:val="22"/>
              </w:rPr>
              <w:t>The possible values for this attribute are defined by the </w:t>
            </w:r>
            <w:r>
              <w:rPr>
                <w:rFonts w:ascii="Cambria" w:hAnsi="Cambria"/>
                <w:sz w:val="22"/>
              </w:rPr>
              <w:t>ST_CellType </w:t>
            </w:r>
            <w:r>
              <w:rPr>
                <w:sz w:val="22"/>
              </w:rPr>
              <w:t>simple type </w:t>
            </w:r>
            <w:hyperlink w:history="true" w:anchor="_bookmark833">
              <w:r>
                <w:rPr>
                  <w:sz w:val="22"/>
                </w:rPr>
                <w:t>(§18.18.11</w:t>
              </w:r>
            </w:hyperlink>
            <w:r>
              <w:rPr>
                <w:sz w:val="22"/>
              </w:rPr>
              <w:t>).</w:t>
            </w:r>
          </w:p>
        </w:tc>
      </w:tr>
      <w:tr>
        <w:trPr>
          <w:trHeight w:val="1161" w:hRule="atLeast"/>
        </w:trPr>
        <w:tc>
          <w:tcPr>
            <w:tcW w:w="2062" w:type="dxa"/>
          </w:tcPr>
          <w:p>
            <w:pPr>
              <w:pStyle w:val="TableParagraph"/>
              <w:ind w:right="973"/>
              <w:rPr>
                <w:sz w:val="22"/>
              </w:rPr>
            </w:pPr>
            <w:r>
              <w:rPr>
                <w:rFonts w:ascii="Cambria"/>
                <w:sz w:val="22"/>
              </w:rPr>
              <w:t>vm </w:t>
            </w:r>
            <w:r>
              <w:rPr>
                <w:sz w:val="22"/>
              </w:rPr>
              <w:t>(Value Metadata)</w:t>
            </w:r>
          </w:p>
        </w:tc>
        <w:tc>
          <w:tcPr>
            <w:tcW w:w="8250" w:type="dxa"/>
          </w:tcPr>
          <w:p>
            <w:pPr>
              <w:pStyle w:val="TableParagraph"/>
              <w:rPr>
                <w:sz w:val="22"/>
              </w:rPr>
            </w:pPr>
            <w:r>
              <w:rPr>
                <w:sz w:val="22"/>
              </w:rPr>
              <w:t>The index of the cell's value metadata, if any exists.</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423"/>
      </w:pPr>
      <w:r>
        <w:rPr/>
        <w:t>[</w:t>
      </w:r>
      <w:r>
        <w:rPr>
          <w:i/>
        </w:rPr>
        <w:t>Note</w:t>
      </w:r>
      <w:r>
        <w:rPr/>
        <w:t>: The W3C XML Schema definition of this element’s content model (</w:t>
      </w:r>
      <w:r>
        <w:rPr>
          <w:color w:val="5F5F5F"/>
          <w:u w:val="single" w:color="5F5F5F"/>
        </w:rPr>
        <w:t>CT_ExternalCell</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4.2 ddeItem (DDE Item definition)" w:id="1211"/>
      <w:bookmarkEnd w:id="1211"/>
      <w:r>
        <w:rPr>
          <w:b w:val="0"/>
        </w:rPr>
      </w:r>
      <w:bookmarkStart w:name="_bookmark402" w:id="1212"/>
      <w:bookmarkEnd w:id="1212"/>
      <w:r>
        <w:rPr>
          <w:b w:val="0"/>
        </w:rPr>
      </w:r>
      <w:bookmarkStart w:name="_bookmark402" w:id="1213"/>
      <w:bookmarkEnd w:id="1213"/>
      <w:r>
        <w:rPr>
          <w:color w:val="4F81BC"/>
        </w:rPr>
        <w:t>d</w:t>
      </w:r>
      <w:r>
        <w:rPr>
          <w:color w:val="4F81BC"/>
        </w:rPr>
        <w:t>deItem (DDE Item</w:t>
      </w:r>
      <w:r>
        <w:rPr>
          <w:color w:val="4F81BC"/>
          <w:spacing w:val="-1"/>
        </w:rPr>
        <w:t> </w:t>
      </w:r>
      <w:r>
        <w:rPr>
          <w:color w:val="4F81BC"/>
        </w:rPr>
        <w:t>definition)</w:t>
      </w:r>
    </w:p>
    <w:p>
      <w:pPr>
        <w:pStyle w:val="BodyText"/>
        <w:spacing w:before="124"/>
        <w:ind w:left="220"/>
      </w:pPr>
      <w:r>
        <w:rPr/>
        <w:t>This element represents a DDE item.</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8" w:hRule="atLeast"/>
        </w:trPr>
        <w:tc>
          <w:tcPr>
            <w:tcW w:w="2062" w:type="dxa"/>
          </w:tcPr>
          <w:p>
            <w:pPr>
              <w:pStyle w:val="TableParagraph"/>
              <w:rPr>
                <w:sz w:val="22"/>
              </w:rPr>
            </w:pPr>
            <w:r>
              <w:rPr>
                <w:rFonts w:ascii="Cambria"/>
                <w:sz w:val="22"/>
              </w:rPr>
              <w:t>advise </w:t>
            </w:r>
            <w:r>
              <w:rPr>
                <w:sz w:val="22"/>
              </w:rPr>
              <w:t>(Advise)</w:t>
            </w:r>
          </w:p>
        </w:tc>
        <w:tc>
          <w:tcPr>
            <w:tcW w:w="8250" w:type="dxa"/>
          </w:tcPr>
          <w:p>
            <w:pPr>
              <w:pStyle w:val="TableParagraph"/>
              <w:ind w:right="388"/>
              <w:rPr>
                <w:sz w:val="22"/>
              </w:rPr>
            </w:pPr>
            <w:r>
              <w:rPr>
                <w:sz w:val="22"/>
              </w:rPr>
              <w:t>Specifies whether the DDE server should notify the application when the external data changes. Default value is </w:t>
            </w:r>
            <w:r>
              <w:rPr>
                <w:rFonts w:ascii="Consolas"/>
                <w:sz w:val="20"/>
              </w:rPr>
              <w:t>false</w:t>
            </w:r>
            <w:r>
              <w:rPr>
                <w:sz w:val="22"/>
              </w:rPr>
              <w: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name </w:t>
            </w:r>
            <w:r>
              <w:rPr>
                <w:sz w:val="22"/>
              </w:rPr>
              <w:t>(DDE Name)</w:t>
            </w:r>
          </w:p>
        </w:tc>
        <w:tc>
          <w:tcPr>
            <w:tcW w:w="8250" w:type="dxa"/>
          </w:tcPr>
          <w:p>
            <w:pPr>
              <w:pStyle w:val="TableParagraph"/>
              <w:rPr>
                <w:sz w:val="22"/>
              </w:rPr>
            </w:pPr>
            <w:r>
              <w:rPr>
                <w:sz w:val="22"/>
              </w:rPr>
              <w:t>Specifies the DDE item name.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250"/>
              <w:rPr>
                <w:sz w:val="22"/>
              </w:rPr>
            </w:pPr>
            <w:r>
              <w:rPr>
                <w:rFonts w:ascii="Cambria"/>
                <w:sz w:val="22"/>
              </w:rPr>
              <w:t>ole </w:t>
            </w:r>
            <w:r>
              <w:rPr>
                <w:sz w:val="22"/>
              </w:rPr>
              <w:t>(Object Linking TechnologyE)</w:t>
            </w:r>
          </w:p>
        </w:tc>
        <w:tc>
          <w:tcPr>
            <w:tcW w:w="8250" w:type="dxa"/>
          </w:tcPr>
          <w:p>
            <w:pPr>
              <w:pStyle w:val="TableParagraph"/>
              <w:rPr>
                <w:sz w:val="22"/>
              </w:rPr>
            </w:pPr>
            <w:r>
              <w:rPr>
                <w:sz w:val="22"/>
              </w:rPr>
              <w:t>Set to </w:t>
            </w:r>
            <w:r>
              <w:rPr>
                <w:rFonts w:ascii="Consolas"/>
                <w:sz w:val="20"/>
              </w:rPr>
              <w:t>true </w:t>
            </w:r>
            <w:r>
              <w:rPr>
                <w:sz w:val="22"/>
              </w:rPr>
              <w:t>if this is item uses an object linking technology. Default value is</w:t>
            </w:r>
            <w:r>
              <w:rPr>
                <w:spacing w:val="-35"/>
                <w:sz w:val="22"/>
              </w:rPr>
              <w:t> </w:t>
            </w:r>
            <w:r>
              <w:rPr>
                <w:rFonts w:ascii="Consolas"/>
                <w:sz w:val="20"/>
              </w:rPr>
              <w:t>false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w:t>
            </w:r>
            <w:r>
              <w:rPr>
                <w:spacing w:val="-27"/>
                <w:sz w:val="22"/>
              </w:rPr>
              <w:t> </w:t>
            </w:r>
            <w:r>
              <w:rPr>
                <w:rFonts w:ascii="Cambria"/>
                <w:sz w:val="22"/>
              </w:rPr>
              <w:t>boolean</w:t>
            </w:r>
          </w:p>
          <w:p>
            <w:pPr>
              <w:pStyle w:val="TableParagraph"/>
              <w:spacing w:before="0"/>
              <w:rPr>
                <w:sz w:val="22"/>
              </w:rPr>
            </w:pPr>
            <w:r>
              <w:rPr>
                <w:sz w:val="22"/>
              </w:rPr>
              <w:t>datatype.</w:t>
            </w:r>
          </w:p>
        </w:tc>
      </w:tr>
      <w:tr>
        <w:trPr>
          <w:trHeight w:val="1159" w:hRule="atLeast"/>
        </w:trPr>
        <w:tc>
          <w:tcPr>
            <w:tcW w:w="2062" w:type="dxa"/>
          </w:tcPr>
          <w:p>
            <w:pPr>
              <w:pStyle w:val="TableParagraph"/>
              <w:ind w:right="327"/>
              <w:rPr>
                <w:sz w:val="22"/>
              </w:rPr>
            </w:pPr>
            <w:r>
              <w:rPr>
                <w:rFonts w:ascii="Cambria"/>
                <w:sz w:val="22"/>
              </w:rPr>
              <w:t>preferPic </w:t>
            </w:r>
            <w:r>
              <w:rPr>
                <w:sz w:val="22"/>
              </w:rPr>
              <w:t>(Data is an Image)</w:t>
            </w:r>
          </w:p>
        </w:tc>
        <w:tc>
          <w:tcPr>
            <w:tcW w:w="8250" w:type="dxa"/>
          </w:tcPr>
          <w:p>
            <w:pPr>
              <w:pStyle w:val="TableParagraph"/>
              <w:rPr>
                <w:sz w:val="22"/>
              </w:rPr>
            </w:pPr>
            <w:r>
              <w:rPr>
                <w:sz w:val="22"/>
              </w:rPr>
              <w:t>Set to </w:t>
            </w:r>
            <w:r>
              <w:rPr>
                <w:rFonts w:ascii="Consolas"/>
                <w:sz w:val="20"/>
              </w:rPr>
              <w:t>true</w:t>
            </w:r>
            <w:r>
              <w:rPr>
                <w:rFonts w:ascii="Consolas"/>
                <w:spacing w:val="-74"/>
                <w:sz w:val="20"/>
              </w:rPr>
              <w:t> </w:t>
            </w:r>
            <w:r>
              <w:rPr>
                <w:sz w:val="22"/>
              </w:rPr>
              <w:t>if data from this DDE item is an image format. Default value is </w:t>
            </w:r>
            <w:r>
              <w:rPr>
                <w:rFonts w:ascii="Consolas"/>
                <w:sz w:val="20"/>
              </w:rPr>
              <w:t>false</w:t>
            </w:r>
            <w:r>
              <w:rPr>
                <w:sz w:val="22"/>
              </w:rPr>
              <w:t>.</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710"/>
      </w:pPr>
      <w:r>
        <w:rPr/>
        <w:t>[</w:t>
      </w:r>
      <w:r>
        <w:rPr>
          <w:i/>
        </w:rPr>
        <w:t>Note</w:t>
      </w:r>
      <w:r>
        <w:rPr/>
        <w:t>: The W3C XML Schema definition of this element’s content model (</w:t>
      </w:r>
      <w:r>
        <w:rPr>
          <w:color w:val="5F5F5F"/>
          <w:u w:val="single" w:color="5F5F5F"/>
        </w:rPr>
        <w:t>CT_DdeItem</w:t>
      </w:r>
      <w:r>
        <w:rPr/>
        <w:t>) is located in §A.2. </w:t>
      </w:r>
      <w:r>
        <w:rPr>
          <w:i/>
        </w:rPr>
        <w:t>end </w:t>
      </w:r>
      <w:r>
        <w:rPr>
          <w:i/>
        </w:rPr>
        <w:t>note</w:t>
      </w:r>
      <w:r>
        <w:rPr/>
        <w:t>]</w:t>
      </w:r>
    </w:p>
    <w:p>
      <w:pPr>
        <w:spacing w:after="0" w:line="278" w:lineRule="auto"/>
        <w:sectPr>
          <w:pgSz w:w="12240" w:h="15840"/>
          <w:pgMar w:header="761" w:footer="746" w:top="1340" w:bottom="940" w:left="860" w:right="70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14.3 ddeItems (DDE Items Collection)" w:id="1214"/>
      <w:bookmarkEnd w:id="1214"/>
      <w:r>
        <w:rPr>
          <w:b w:val="0"/>
        </w:rPr>
      </w:r>
      <w:bookmarkStart w:name="_bookmark403" w:id="1215"/>
      <w:bookmarkEnd w:id="1215"/>
      <w:r>
        <w:rPr>
          <w:b w:val="0"/>
        </w:rPr>
      </w:r>
      <w:bookmarkStart w:name="_bookmark403" w:id="1216"/>
      <w:bookmarkEnd w:id="1216"/>
      <w:r>
        <w:rPr>
          <w:color w:val="4F81BC"/>
        </w:rPr>
        <w:t>d</w:t>
      </w:r>
      <w:r>
        <w:rPr>
          <w:color w:val="4F81BC"/>
        </w:rPr>
        <w:t>deItems (DDE Items</w:t>
      </w:r>
      <w:r>
        <w:rPr>
          <w:color w:val="4F81BC"/>
          <w:spacing w:val="-2"/>
        </w:rPr>
        <w:t> </w:t>
      </w:r>
      <w:r>
        <w:rPr>
          <w:color w:val="4F81BC"/>
        </w:rPr>
        <w:t>Collection)</w:t>
      </w:r>
    </w:p>
    <w:p>
      <w:pPr>
        <w:pStyle w:val="BodyText"/>
        <w:spacing w:before="124"/>
        <w:ind w:left="220"/>
        <w:jc w:val="both"/>
      </w:pPr>
      <w:r>
        <w:rPr/>
        <w:t>This element serves as a collection for </w:t>
      </w:r>
      <w:r>
        <w:rPr>
          <w:rFonts w:ascii="Cambria"/>
        </w:rPr>
        <w:t>ddeItem </w:t>
      </w:r>
      <w:r>
        <w:rPr/>
        <w:t>elements.</w:t>
      </w:r>
    </w:p>
    <w:p>
      <w:pPr>
        <w:pStyle w:val="BodyText"/>
        <w:spacing w:before="6"/>
        <w:rPr>
          <w:sz w:val="19"/>
        </w:rPr>
      </w:pPr>
    </w:p>
    <w:p>
      <w:pPr>
        <w:pStyle w:val="BodyText"/>
        <w:spacing w:line="278" w:lineRule="auto"/>
        <w:ind w:left="220" w:right="624"/>
      </w:pPr>
      <w:r>
        <w:rPr/>
        <w:t>[</w:t>
      </w:r>
      <w:r>
        <w:rPr>
          <w:i/>
        </w:rPr>
        <w:t>Note</w:t>
      </w:r>
      <w:r>
        <w:rPr/>
        <w:t>: The W3C XML Schema definition of this element’s content model (</w:t>
      </w:r>
      <w:r>
        <w:rPr>
          <w:color w:val="5F5F5F"/>
          <w:u w:val="single" w:color="5F5F5F"/>
        </w:rPr>
        <w:t>CT_DdeItems</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14.4 ddeLink (DDE Connection)" w:id="1217"/>
      <w:bookmarkEnd w:id="1217"/>
      <w:r>
        <w:rPr>
          <w:b w:val="0"/>
        </w:rPr>
      </w:r>
      <w:bookmarkStart w:name="_bookmark404" w:id="1218"/>
      <w:bookmarkEnd w:id="1218"/>
      <w:r>
        <w:rPr>
          <w:b w:val="0"/>
        </w:rPr>
      </w:r>
      <w:bookmarkStart w:name="_bookmark404" w:id="1219"/>
      <w:bookmarkEnd w:id="1219"/>
      <w:r>
        <w:rPr>
          <w:color w:val="4F81BC"/>
        </w:rPr>
        <w:t>d</w:t>
      </w:r>
      <w:r>
        <w:rPr>
          <w:color w:val="4F81BC"/>
        </w:rPr>
        <w:t>deLink (DDE</w:t>
      </w:r>
      <w:r>
        <w:rPr>
          <w:color w:val="4F81BC"/>
          <w:spacing w:val="-3"/>
        </w:rPr>
        <w:t> </w:t>
      </w:r>
      <w:r>
        <w:rPr>
          <w:color w:val="4F81BC"/>
        </w:rPr>
        <w:t>Connection)</w:t>
      </w:r>
    </w:p>
    <w:p>
      <w:pPr>
        <w:pStyle w:val="BodyText"/>
        <w:spacing w:line="278" w:lineRule="auto" w:before="121"/>
        <w:ind w:left="220" w:right="422"/>
      </w:pPr>
      <w:r>
        <w:rPr/>
        <w:t>This element represents a connection to an external Dynamic Data Exchange (DDE) server. DDE is a method of sending data between applications using Windows messages according to a documented protocol that has been stable since about 1990.</w:t>
      </w:r>
    </w:p>
    <w:p>
      <w:pPr>
        <w:pStyle w:val="BodyText"/>
        <w:spacing w:line="276" w:lineRule="auto" w:before="194"/>
        <w:ind w:left="220" w:right="625"/>
        <w:jc w:val="both"/>
      </w:pPr>
      <w:r>
        <w:rPr/>
        <w:t>The hierarchy of names defined by a DDE server is Application, Topics, and Items. Topics often correspond to units such as files or documents or database names, and Items refer to subsets of the data such as cell ranges, rows, fields, columns. DDE items can have multiple </w:t>
      </w:r>
      <w:r>
        <w:rPr>
          <w:rFonts w:ascii="Cambria"/>
        </w:rPr>
        <w:t>values </w:t>
      </w:r>
      <w:r>
        <w:rPr/>
        <w:t>as well.</w:t>
      </w:r>
    </w:p>
    <w:p>
      <w:pPr>
        <w:spacing w:before="202"/>
        <w:ind w:left="220" w:right="0" w:firstLine="0"/>
        <w:jc w:val="left"/>
        <w:rPr>
          <w:sz w:val="22"/>
        </w:rPr>
      </w:pPr>
      <w:r>
        <w:rPr>
          <w:sz w:val="22"/>
        </w:rPr>
        <w:t>[</w:t>
      </w:r>
      <w:r>
        <w:rPr>
          <w:i/>
          <w:sz w:val="22"/>
        </w:rPr>
        <w:t>Example</w:t>
      </w:r>
      <w:r>
        <w:rPr>
          <w:sz w:val="22"/>
        </w:rPr>
        <w:t>:</w:t>
      </w:r>
    </w:p>
    <w:p>
      <w:pPr>
        <w:pStyle w:val="BodyText"/>
        <w:spacing w:before="5"/>
        <w:rPr>
          <w:sz w:val="19"/>
        </w:rPr>
      </w:pPr>
    </w:p>
    <w:p>
      <w:pPr>
        <w:pStyle w:val="BodyText"/>
        <w:spacing w:line="278" w:lineRule="auto" w:before="1"/>
        <w:ind w:left="220" w:right="572"/>
      </w:pPr>
      <w:r>
        <w:rPr/>
        <w:t>Data connectivity can use a number of different technologies.The following is just one example of a spreadsheetML fragment describing the product Microsoft Excel being used as a DDE server to provide data to the current spreadsheet document:</w:t>
      </w:r>
    </w:p>
    <w:p>
      <w:pPr>
        <w:pStyle w:val="BodyText"/>
        <w:spacing w:before="195"/>
        <w:ind w:left="508"/>
        <w:rPr>
          <w:rFonts w:ascii="Consolas" w:hAnsi="Consolas"/>
        </w:rPr>
      </w:pPr>
      <w:r>
        <w:rPr>
          <w:rFonts w:ascii="Consolas" w:hAnsi="Consolas"/>
        </w:rPr>
        <w:t>&lt;ddeLink xmlns:r="…" ddeService="excel" ddeTopic="[ddesource.xls]Sheet1"&gt;</w:t>
      </w:r>
    </w:p>
    <w:p>
      <w:pPr>
        <w:pStyle w:val="BodyText"/>
        <w:spacing w:before="38"/>
        <w:ind w:left="750"/>
        <w:rPr>
          <w:rFonts w:ascii="Consolas"/>
        </w:rPr>
      </w:pPr>
      <w:r>
        <w:rPr>
          <w:rFonts w:ascii="Consolas"/>
        </w:rPr>
        <w:t>&lt;ddeItems&gt;</w:t>
      </w:r>
    </w:p>
    <w:p>
      <w:pPr>
        <w:pStyle w:val="BodyText"/>
        <w:spacing w:before="37"/>
        <w:ind w:left="993"/>
        <w:rPr>
          <w:rFonts w:ascii="Consolas"/>
        </w:rPr>
      </w:pPr>
      <w:r>
        <w:rPr>
          <w:rFonts w:ascii="Consolas"/>
        </w:rPr>
        <w:t>&lt;ddeItem name="R1C1" advise="1"/&gt;</w:t>
      </w:r>
    </w:p>
    <w:p>
      <w:pPr>
        <w:pStyle w:val="BodyText"/>
        <w:spacing w:before="40"/>
        <w:ind w:left="993"/>
        <w:rPr>
          <w:rFonts w:ascii="Consolas"/>
        </w:rPr>
      </w:pPr>
      <w:r>
        <w:rPr>
          <w:rFonts w:ascii="Consolas"/>
        </w:rPr>
        <w:t>&lt;ddeItem name="StdDocumentName" ole="1" advise="1"/&gt;</w:t>
      </w:r>
    </w:p>
    <w:p>
      <w:pPr>
        <w:pStyle w:val="BodyText"/>
        <w:spacing w:before="38"/>
        <w:ind w:left="750"/>
        <w:rPr>
          <w:rFonts w:ascii="Consolas"/>
        </w:rPr>
      </w:pPr>
      <w:r>
        <w:rPr>
          <w:rFonts w:ascii="Consolas"/>
        </w:rPr>
        <w:t>&lt;/ddeItems&gt;</w:t>
      </w:r>
    </w:p>
    <w:p>
      <w:pPr>
        <w:pStyle w:val="BodyText"/>
        <w:spacing w:before="40"/>
        <w:ind w:left="508"/>
        <w:rPr>
          <w:rFonts w:ascii="Consolas"/>
        </w:rPr>
      </w:pPr>
      <w:r>
        <w:rPr>
          <w:rFonts w:ascii="Consolas"/>
        </w:rPr>
        <w:t>&lt;/ddeLink&gt;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11"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2"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127"/>
              <w:rPr>
                <w:sz w:val="22"/>
              </w:rPr>
            </w:pPr>
            <w:r>
              <w:rPr>
                <w:rFonts w:ascii="Cambria"/>
                <w:sz w:val="22"/>
              </w:rPr>
              <w:t>ddeService </w:t>
            </w:r>
            <w:r>
              <w:rPr>
                <w:sz w:val="22"/>
              </w:rPr>
              <w:t>(Service name)</w:t>
            </w:r>
          </w:p>
        </w:tc>
        <w:tc>
          <w:tcPr>
            <w:tcW w:w="8250" w:type="dxa"/>
          </w:tcPr>
          <w:p>
            <w:pPr>
              <w:pStyle w:val="TableParagraph"/>
              <w:rPr>
                <w:sz w:val="22"/>
              </w:rPr>
            </w:pPr>
            <w:r>
              <w:rPr>
                <w:sz w:val="22"/>
              </w:rPr>
              <w:t>Service name (i.e., application name) for the DDE connection. This is a required attribute.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430" w:hRule="atLeast"/>
        </w:trPr>
        <w:tc>
          <w:tcPr>
            <w:tcW w:w="2062" w:type="dxa"/>
          </w:tcPr>
          <w:p>
            <w:pPr>
              <w:pStyle w:val="TableParagraph"/>
              <w:ind w:right="130"/>
              <w:rPr>
                <w:sz w:val="22"/>
              </w:rPr>
            </w:pPr>
            <w:r>
              <w:rPr>
                <w:rFonts w:ascii="Cambria"/>
                <w:sz w:val="22"/>
              </w:rPr>
              <w:t>ddeTopic </w:t>
            </w:r>
            <w:r>
              <w:rPr>
                <w:sz w:val="22"/>
              </w:rPr>
              <w:t>(Topic for DDE server)</w:t>
            </w:r>
          </w:p>
        </w:tc>
        <w:tc>
          <w:tcPr>
            <w:tcW w:w="8250" w:type="dxa"/>
          </w:tcPr>
          <w:p>
            <w:pPr>
              <w:pStyle w:val="TableParagraph"/>
              <w:ind w:right="385"/>
              <w:rPr>
                <w:sz w:val="22"/>
              </w:rPr>
            </w:pPr>
            <w:r>
              <w:rPr>
                <w:sz w:val="22"/>
              </w:rPr>
              <w:t>Describes something for the DDE application to which the channel pertains— usually a document of that application. This is a required attribute.</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spacing w:line="276" w:lineRule="auto"/>
        <w:ind w:left="220" w:right="766"/>
      </w:pPr>
      <w:r>
        <w:rPr/>
        <w:t>[</w:t>
      </w:r>
      <w:r>
        <w:rPr>
          <w:i/>
        </w:rPr>
        <w:t>Note</w:t>
      </w:r>
      <w:r>
        <w:rPr/>
        <w:t>: The W3C XML Schema definition of this element’s content model (</w:t>
      </w:r>
      <w:r>
        <w:rPr>
          <w:color w:val="5F5F5F"/>
          <w:u w:val="single" w:color="5F5F5F"/>
        </w:rPr>
        <w:t>CT_DdeLink</w:t>
      </w:r>
      <w:r>
        <w:rPr/>
        <w:t>) is located in §A.2. </w:t>
      </w:r>
      <w:r>
        <w:rPr>
          <w:i/>
        </w:rPr>
        <w:t>end </w:t>
      </w:r>
      <w:r>
        <w:rPr>
          <w:i/>
        </w:rPr>
        <w:t>note</w:t>
      </w:r>
      <w:r>
        <w:rPr/>
        <w:t>]</w:t>
      </w:r>
    </w:p>
    <w:p>
      <w:pPr>
        <w:spacing w:after="0" w:line="276" w:lineRule="auto"/>
        <w:sectPr>
          <w:pgSz w:w="12240" w:h="15840"/>
          <w:pgMar w:header="763" w:footer="746" w:top="1340" w:bottom="940" w:left="860" w:right="700"/>
        </w:sectPr>
      </w:pPr>
    </w:p>
    <w:p>
      <w:pPr>
        <w:pStyle w:val="Heading2"/>
        <w:numPr>
          <w:ilvl w:val="2"/>
          <w:numId w:val="17"/>
        </w:numPr>
        <w:tabs>
          <w:tab w:pos="1444" w:val="left" w:leader="none"/>
          <w:tab w:pos="1445" w:val="left" w:leader="none"/>
        </w:tabs>
        <w:spacing w:line="240" w:lineRule="auto" w:before="93" w:after="0"/>
        <w:ind w:left="1444" w:right="0" w:hanging="1225"/>
        <w:jc w:val="left"/>
      </w:pPr>
      <w:bookmarkStart w:name="18.14.5 definedName (Defined Name)" w:id="1220"/>
      <w:bookmarkEnd w:id="1220"/>
      <w:r>
        <w:rPr>
          <w:b w:val="0"/>
        </w:rPr>
      </w:r>
      <w:bookmarkStart w:name="_bookmark405" w:id="1221"/>
      <w:bookmarkEnd w:id="1221"/>
      <w:r>
        <w:rPr>
          <w:b w:val="0"/>
        </w:rPr>
      </w:r>
      <w:bookmarkStart w:name="_bookmark405" w:id="1222"/>
      <w:bookmarkEnd w:id="1222"/>
      <w:r>
        <w:rPr>
          <w:color w:val="4F81BC"/>
        </w:rPr>
        <w:t>d</w:t>
      </w:r>
      <w:r>
        <w:rPr>
          <w:color w:val="4F81BC"/>
        </w:rPr>
        <w:t>efinedName (Defined Name)</w:t>
      </w:r>
    </w:p>
    <w:p>
      <w:pPr>
        <w:pStyle w:val="BodyText"/>
        <w:spacing w:before="125"/>
        <w:ind w:left="220"/>
      </w:pPr>
      <w:r>
        <w:rPr/>
        <w:t>This element contains information about a named range in an external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ind w:right="578"/>
              <w:rPr>
                <w:sz w:val="22"/>
              </w:rPr>
            </w:pPr>
            <w:r>
              <w:rPr>
                <w:rFonts w:ascii="Cambria"/>
                <w:sz w:val="22"/>
              </w:rPr>
              <w:t>name </w:t>
            </w:r>
            <w:r>
              <w:rPr>
                <w:sz w:val="22"/>
              </w:rPr>
              <w:t>(Defined Name)</w:t>
            </w:r>
          </w:p>
        </w:tc>
        <w:tc>
          <w:tcPr>
            <w:tcW w:w="8250" w:type="dxa"/>
          </w:tcPr>
          <w:p>
            <w:pPr>
              <w:pStyle w:val="TableParagraph"/>
              <w:rPr>
                <w:sz w:val="22"/>
              </w:rPr>
            </w:pPr>
            <w:r>
              <w:rPr>
                <w:sz w:val="22"/>
              </w:rPr>
              <w:t>The defined name. This attribute is required.</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3532" w:hRule="atLeast"/>
        </w:trPr>
        <w:tc>
          <w:tcPr>
            <w:tcW w:w="2062" w:type="dxa"/>
          </w:tcPr>
          <w:p>
            <w:pPr>
              <w:pStyle w:val="TableParagraph"/>
              <w:rPr>
                <w:sz w:val="22"/>
              </w:rPr>
            </w:pPr>
            <w:r>
              <w:rPr>
                <w:rFonts w:ascii="Cambria"/>
                <w:sz w:val="22"/>
              </w:rPr>
              <w:t>refersTo </w:t>
            </w:r>
            <w:r>
              <w:rPr>
                <w:sz w:val="22"/>
              </w:rPr>
              <w:t>(Refers To)</w:t>
            </w:r>
          </w:p>
        </w:tc>
        <w:tc>
          <w:tcPr>
            <w:tcW w:w="8250" w:type="dxa"/>
          </w:tcPr>
          <w:p>
            <w:pPr>
              <w:pStyle w:val="TableParagraph"/>
              <w:spacing w:line="480" w:lineRule="auto"/>
              <w:ind w:right="5486"/>
              <w:rPr>
                <w:sz w:val="22"/>
              </w:rPr>
            </w:pPr>
            <w:r>
              <w:rPr>
                <w:sz w:val="22"/>
              </w:rPr>
              <w:t>Name range definition string. [</w:t>
            </w:r>
            <w:r>
              <w:rPr>
                <w:i/>
                <w:sz w:val="22"/>
              </w:rPr>
              <w:t>Example</w:t>
            </w:r>
            <w:r>
              <w:rPr>
                <w:sz w:val="22"/>
              </w:rPr>
              <w:t>:</w:t>
            </w:r>
          </w:p>
          <w:p>
            <w:pPr>
              <w:pStyle w:val="TableParagraph"/>
              <w:spacing w:line="257" w:lineRule="exact" w:before="3"/>
              <w:ind w:left="403"/>
              <w:rPr>
                <w:rFonts w:ascii="Consolas"/>
                <w:sz w:val="22"/>
              </w:rPr>
            </w:pPr>
            <w:r>
              <w:rPr>
                <w:rFonts w:ascii="Consolas"/>
                <w:sz w:val="22"/>
              </w:rPr>
              <w:t>&lt;definedNames&gt;</w:t>
            </w:r>
          </w:p>
          <w:p>
            <w:pPr>
              <w:pStyle w:val="TableParagraph"/>
              <w:spacing w:before="0"/>
              <w:ind w:left="887" w:right="617" w:hanging="243"/>
              <w:rPr>
                <w:rFonts w:ascii="Consolas"/>
                <w:sz w:val="22"/>
              </w:rPr>
            </w:pPr>
            <w:r>
              <w:rPr>
                <w:rFonts w:ascii="Consolas"/>
                <w:sz w:val="22"/>
              </w:rPr>
              <w:t>&lt;definedName name="namedrange" refersTo="='Sheet1'!$D$5:$D$10"/&gt;</w:t>
            </w:r>
          </w:p>
          <w:p>
            <w:pPr>
              <w:pStyle w:val="TableParagraph"/>
              <w:spacing w:before="1"/>
              <w:ind w:left="403"/>
              <w:rPr>
                <w:rFonts w:ascii="Consolas"/>
                <w:sz w:val="22"/>
              </w:rPr>
            </w:pPr>
            <w:r>
              <w:rPr>
                <w:rFonts w:ascii="Consolas"/>
                <w:sz w:val="22"/>
              </w:rPr>
              <w:t>&lt;/definedNames&gt;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3"/>
              <w:ind w:left="0"/>
              <w:rPr>
                <w:sz w:val="22"/>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699"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ind w:right="353"/>
              <w:rPr>
                <w:sz w:val="22"/>
              </w:rPr>
            </w:pPr>
            <w:r>
              <w:rPr>
                <w:sz w:val="22"/>
              </w:rPr>
              <w:t>The index of the worksheet that the named range applies to for named ranges that are scoped to a particular worksheet rather than the full workbook. This attribute is optional.</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CT_ExternalDefinedName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14.6 definedNames (Named Links)" w:id="1223"/>
      <w:bookmarkEnd w:id="1223"/>
      <w:r>
        <w:rPr>
          <w:b w:val="0"/>
        </w:rPr>
      </w:r>
      <w:bookmarkStart w:name="_bookmark406" w:id="1224"/>
      <w:bookmarkEnd w:id="1224"/>
      <w:r>
        <w:rPr>
          <w:b w:val="0"/>
        </w:rPr>
      </w:r>
      <w:bookmarkStart w:name="_bookmark406" w:id="1225"/>
      <w:bookmarkEnd w:id="1225"/>
      <w:r>
        <w:rPr>
          <w:color w:val="4F81BC"/>
        </w:rPr>
        <w:t>d</w:t>
      </w:r>
      <w:r>
        <w:rPr>
          <w:color w:val="4F81BC"/>
        </w:rPr>
        <w:t>efinedNames (Named</w:t>
      </w:r>
      <w:r>
        <w:rPr>
          <w:color w:val="4F81BC"/>
          <w:spacing w:val="2"/>
        </w:rPr>
        <w:t> </w:t>
      </w:r>
      <w:r>
        <w:rPr>
          <w:color w:val="4F81BC"/>
        </w:rPr>
        <w:t>Links)</w:t>
      </w:r>
    </w:p>
    <w:p>
      <w:pPr>
        <w:pStyle w:val="BodyText"/>
        <w:spacing w:before="123"/>
        <w:ind w:left="220"/>
      </w:pPr>
      <w:r>
        <w:rPr/>
        <w:t>This element is a collection of the defined names associated with the supporting workbook.</w:t>
      </w:r>
    </w:p>
    <w:p>
      <w:pPr>
        <w:pStyle w:val="BodyText"/>
        <w:spacing w:before="6"/>
        <w:rPr>
          <w:sz w:val="19"/>
        </w:rPr>
      </w:pPr>
    </w:p>
    <w:p>
      <w:pPr>
        <w:pStyle w:val="BodyText"/>
        <w:spacing w:line="278" w:lineRule="auto"/>
        <w:ind w:left="220" w:right="535"/>
      </w:pPr>
      <w:r>
        <w:rPr/>
        <w:t>[</w:t>
      </w:r>
      <w:r>
        <w:rPr>
          <w:i/>
        </w:rPr>
        <w:t>Note</w:t>
      </w:r>
      <w:r>
        <w:rPr/>
        <w:t>: The W3C XML Schema definition of this element’s content model (</w:t>
      </w:r>
      <w:r>
        <w:rPr>
          <w:color w:val="5F5F5F"/>
          <w:u w:val="single" w:color="5F5F5F"/>
        </w:rPr>
        <w:t>CT_ExternalDefinedNames</w:t>
      </w:r>
      <w:r>
        <w:rPr/>
        <w:t>) is located in §A.2. </w:t>
      </w:r>
      <w:r>
        <w:rPr>
          <w:i/>
        </w:rPr>
        <w:t>end 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4.7 externalBook (External Workbook)" w:id="1226"/>
      <w:bookmarkEnd w:id="1226"/>
      <w:r>
        <w:rPr>
          <w:b w:val="0"/>
        </w:rPr>
      </w:r>
      <w:bookmarkStart w:name="_bookmark407" w:id="1227"/>
      <w:bookmarkEnd w:id="1227"/>
      <w:r>
        <w:rPr>
          <w:b w:val="0"/>
        </w:rPr>
      </w:r>
      <w:bookmarkStart w:name="_bookmark407" w:id="1228"/>
      <w:bookmarkEnd w:id="1228"/>
      <w:r>
        <w:rPr>
          <w:color w:val="4F81BC"/>
        </w:rPr>
        <w:t>ext</w:t>
      </w:r>
      <w:r>
        <w:rPr>
          <w:color w:val="4F81BC"/>
        </w:rPr>
        <w:t>ernalBook (External</w:t>
      </w:r>
      <w:r>
        <w:rPr>
          <w:color w:val="4F81BC"/>
          <w:spacing w:val="-1"/>
        </w:rPr>
        <w:t> </w:t>
      </w:r>
      <w:r>
        <w:rPr>
          <w:color w:val="4F81BC"/>
        </w:rPr>
        <w:t>Workbook)</w:t>
      </w:r>
    </w:p>
    <w:p>
      <w:pPr>
        <w:pStyle w:val="BodyText"/>
        <w:spacing w:before="124"/>
        <w:ind w:left="220"/>
      </w:pPr>
      <w:r>
        <w:rPr/>
        <w:t>This element represents an external workbook which is supplying data to the current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ind w:right="123"/>
              <w:rPr>
                <w:sz w:val="22"/>
              </w:rPr>
            </w:pPr>
            <w:r>
              <w:rPr>
                <w:rFonts w:ascii="Cambria"/>
                <w:sz w:val="22"/>
              </w:rPr>
              <w:t>id </w:t>
            </w:r>
            <w:r>
              <w:rPr>
                <w:sz w:val="22"/>
              </w:rPr>
              <w:t>(Relationship to supporting book file</w:t>
            </w:r>
          </w:p>
        </w:tc>
        <w:tc>
          <w:tcPr>
            <w:tcW w:w="8250" w:type="dxa"/>
          </w:tcPr>
          <w:p>
            <w:pPr>
              <w:pStyle w:val="TableParagraph"/>
              <w:ind w:right="106"/>
              <w:rPr>
                <w:sz w:val="22"/>
              </w:rPr>
            </w:pPr>
            <w:r>
              <w:rPr>
                <w:sz w:val="22"/>
              </w:rPr>
              <w:t>Relationship ID that references a link in the </w:t>
            </w:r>
            <w:r>
              <w:rPr>
                <w:rFonts w:ascii="Cambria"/>
                <w:sz w:val="22"/>
              </w:rPr>
              <w:t>relationships </w:t>
            </w:r>
            <w:r>
              <w:rPr>
                <w:sz w:val="22"/>
              </w:rPr>
              <w:t>collection. The </w:t>
            </w:r>
            <w:r>
              <w:rPr>
                <w:rFonts w:ascii="Cambria"/>
                <w:sz w:val="22"/>
              </w:rPr>
              <w:t>target </w:t>
            </w:r>
            <w:r>
              <w:rPr>
                <w:sz w:val="22"/>
              </w:rPr>
              <w:t>attribute in the associated </w:t>
            </w:r>
            <w:r>
              <w:rPr>
                <w:rFonts w:ascii="Cambria"/>
                <w:sz w:val="22"/>
              </w:rPr>
              <w:t>relationship </w:t>
            </w:r>
            <w:r>
              <w:rPr>
                <w:sz w:val="22"/>
              </w:rPr>
              <w:t>will specify the worksheet XML file in the current</w:t>
            </w:r>
          </w:p>
        </w:tc>
      </w:tr>
    </w:tbl>
    <w:p>
      <w:pPr>
        <w:spacing w:after="0"/>
        <w:rPr>
          <w:sz w:val="22"/>
        </w:rPr>
        <w:sectPr>
          <w:footerReference w:type="even" r:id="rId183"/>
          <w:footerReference w:type="default" r:id="rId184"/>
          <w:pgSz w:w="12240" w:h="15840"/>
          <w:pgMar w:footer="746" w:header="761" w:top="1340" w:bottom="940" w:left="860" w:right="700"/>
          <w:pgNumType w:start="202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24" w:hRule="atLeast"/>
        </w:trPr>
        <w:tc>
          <w:tcPr>
            <w:tcW w:w="2062" w:type="dxa"/>
          </w:tcPr>
          <w:p>
            <w:pPr>
              <w:pStyle w:val="TableParagraph"/>
              <w:rPr>
                <w:sz w:val="22"/>
              </w:rPr>
            </w:pPr>
            <w:r>
              <w:rPr>
                <w:sz w:val="22"/>
              </w:rPr>
              <w:t>path)</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rPr>
                <w:sz w:val="22"/>
              </w:rPr>
            </w:pPr>
            <w:r>
              <w:rPr>
                <w:sz w:val="22"/>
              </w:rPr>
              <w:t>spreadsheetML document ZIP archive that makes use of this </w:t>
            </w:r>
            <w:r>
              <w:rPr>
                <w:rFonts w:ascii="Cambria"/>
                <w:sz w:val="22"/>
              </w:rPr>
              <w:t>externalbook</w:t>
            </w:r>
            <w:r>
              <w:rPr>
                <w:sz w:val="22"/>
              </w:rPr>
              <w:t>.</w:t>
            </w:r>
          </w:p>
          <w:p>
            <w:pPr>
              <w:pStyle w:val="TableParagraph"/>
              <w:spacing w:before="0"/>
              <w:ind w:left="0"/>
              <w:rPr>
                <w:sz w:val="22"/>
              </w:rPr>
            </w:pPr>
          </w:p>
          <w:p>
            <w:pPr>
              <w:pStyle w:val="TableParagraph"/>
              <w:spacing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CT_ExternalBook</w:t>
      </w:r>
      <w:r>
        <w:rPr/>
        <w:t>) is located in §A.2.</w:t>
      </w:r>
    </w:p>
    <w:p>
      <w:pPr>
        <w:spacing w:before="41"/>
        <w:ind w:left="220" w:right="0" w:firstLine="0"/>
        <w:jc w:val="left"/>
        <w:rPr>
          <w:sz w:val="22"/>
        </w:rPr>
      </w:pPr>
      <w:r>
        <w:rPr>
          <w:i/>
          <w:sz w:val="22"/>
        </w:rPr>
        <w:t>end note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4.8 externalLink (External Reference" w:id="1229"/>
      <w:bookmarkEnd w:id="1229"/>
      <w:r>
        <w:rPr>
          <w:b w:val="0"/>
        </w:rPr>
      </w:r>
      <w:bookmarkStart w:name="_bookmark408" w:id="1230"/>
      <w:bookmarkEnd w:id="1230"/>
      <w:r>
        <w:rPr>
          <w:b w:val="0"/>
        </w:rPr>
      </w:r>
      <w:bookmarkStart w:name="_bookmark408" w:id="1231"/>
      <w:bookmarkEnd w:id="1231"/>
      <w:r>
        <w:rPr>
          <w:color w:val="4F81BC"/>
        </w:rPr>
        <w:t>ext</w:t>
      </w:r>
      <w:r>
        <w:rPr>
          <w:color w:val="4F81BC"/>
        </w:rPr>
        <w:t>ernalLink (External</w:t>
      </w:r>
      <w:r>
        <w:rPr>
          <w:color w:val="4F81BC"/>
          <w:spacing w:val="2"/>
        </w:rPr>
        <w:t> </w:t>
      </w:r>
      <w:r>
        <w:rPr>
          <w:color w:val="4F81BC"/>
        </w:rPr>
        <w:t>Reference)</w:t>
      </w:r>
    </w:p>
    <w:p>
      <w:pPr>
        <w:pStyle w:val="BodyText"/>
        <w:spacing w:before="126"/>
        <w:ind w:left="220"/>
      </w:pPr>
      <w:r>
        <w:rPr/>
        <w:t>This element is a container for specific types of external links.</w:t>
      </w:r>
    </w:p>
    <w:p>
      <w:pPr>
        <w:pStyle w:val="BodyText"/>
        <w:spacing w:before="6"/>
        <w:rPr>
          <w:sz w:val="19"/>
        </w:rPr>
      </w:pPr>
    </w:p>
    <w:p>
      <w:pPr>
        <w:pStyle w:val="BodyText"/>
        <w:spacing w:line="276" w:lineRule="auto"/>
        <w:ind w:left="220" w:right="392"/>
      </w:pPr>
      <w:r>
        <w:rPr/>
        <w:t>[</w:t>
      </w:r>
      <w:r>
        <w:rPr>
          <w:i/>
        </w:rPr>
        <w:t>Note</w:t>
      </w:r>
      <w:r>
        <w:rPr/>
        <w:t>: The W3C XML Schema definition of this element’s content model (</w:t>
      </w:r>
      <w:r>
        <w:rPr>
          <w:color w:val="5F5F5F"/>
          <w:u w:val="single" w:color="5F5F5F"/>
        </w:rPr>
        <w:t>CT_ExternalLink</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4.9 oleItem (Object Link Item)" w:id="1232"/>
      <w:bookmarkEnd w:id="1232"/>
      <w:r>
        <w:rPr>
          <w:b w:val="0"/>
        </w:rPr>
      </w:r>
      <w:bookmarkStart w:name="_bookmark409" w:id="1233"/>
      <w:bookmarkEnd w:id="1233"/>
      <w:r>
        <w:rPr>
          <w:b w:val="0"/>
        </w:rPr>
      </w:r>
      <w:bookmarkStart w:name="_bookmark409" w:id="1234"/>
      <w:bookmarkEnd w:id="1234"/>
      <w:r>
        <w:rPr>
          <w:color w:val="4F81BC"/>
        </w:rPr>
        <w:t>o</w:t>
      </w:r>
      <w:r>
        <w:rPr>
          <w:color w:val="4F81BC"/>
        </w:rPr>
        <w:t>leItem (Object Link</w:t>
      </w:r>
      <w:r>
        <w:rPr>
          <w:color w:val="4F81BC"/>
          <w:spacing w:val="1"/>
        </w:rPr>
        <w:t> </w:t>
      </w:r>
      <w:r>
        <w:rPr>
          <w:color w:val="4F81BC"/>
        </w:rPr>
        <w:t>Item)</w:t>
      </w:r>
    </w:p>
    <w:p>
      <w:pPr>
        <w:pStyle w:val="BodyText"/>
        <w:spacing w:before="127"/>
        <w:ind w:left="220"/>
      </w:pPr>
      <w:r>
        <w:rPr/>
        <w:t>This element represents a single link within the object referenced by the parent element.</w:t>
      </w:r>
    </w:p>
    <w:p>
      <w:pPr>
        <w:pStyle w:val="BodyText"/>
        <w:spacing w:before="8" w:after="1"/>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8" w:hRule="atLeast"/>
        </w:trPr>
        <w:tc>
          <w:tcPr>
            <w:tcW w:w="2062" w:type="dxa"/>
          </w:tcPr>
          <w:p>
            <w:pPr>
              <w:pStyle w:val="TableParagraph"/>
              <w:rPr>
                <w:sz w:val="22"/>
              </w:rPr>
            </w:pPr>
            <w:r>
              <w:rPr>
                <w:rFonts w:ascii="Cambria"/>
                <w:sz w:val="22"/>
              </w:rPr>
              <w:t>advise </w:t>
            </w:r>
            <w:r>
              <w:rPr>
                <w:sz w:val="22"/>
              </w:rPr>
              <w:t>(Advise)</w:t>
            </w:r>
          </w:p>
        </w:tc>
        <w:tc>
          <w:tcPr>
            <w:tcW w:w="8250" w:type="dxa"/>
          </w:tcPr>
          <w:p>
            <w:pPr>
              <w:pStyle w:val="TableParagraph"/>
              <w:ind w:right="617"/>
              <w:rPr>
                <w:sz w:val="22"/>
              </w:rPr>
            </w:pPr>
            <w:r>
              <w:rPr>
                <w:sz w:val="22"/>
              </w:rPr>
              <w:t>Set to </w:t>
            </w:r>
            <w:r>
              <w:rPr>
                <w:rFonts w:ascii="Consolas"/>
                <w:sz w:val="20"/>
              </w:rPr>
              <w:t>true</w:t>
            </w:r>
            <w:r>
              <w:rPr>
                <w:rFonts w:ascii="Consolas"/>
                <w:spacing w:val="-80"/>
                <w:sz w:val="20"/>
              </w:rPr>
              <w:t> </w:t>
            </w:r>
            <w:r>
              <w:rPr>
                <w:sz w:val="22"/>
              </w:rPr>
              <w:t>if the linked object should notify the application when the external data changes. Default value is </w:t>
            </w:r>
            <w:r>
              <w:rPr>
                <w:rFonts w:ascii="Consolas"/>
                <w:sz w:val="20"/>
              </w:rPr>
              <w:t>false</w:t>
            </w:r>
            <w:r>
              <w:rPr>
                <w:sz w:val="22"/>
              </w:rPr>
              <w:t>.</w:t>
            </w:r>
          </w:p>
          <w:p>
            <w:pPr>
              <w:pStyle w:val="TableParagraph"/>
              <w:spacing w:before="10"/>
              <w:ind w:left="0"/>
              <w:rPr>
                <w:sz w:val="21"/>
              </w:rPr>
            </w:pPr>
          </w:p>
          <w:p>
            <w:pPr>
              <w:pStyle w:val="TableParagraph"/>
              <w:spacing w:before="1"/>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rPr>
                <w:sz w:val="22"/>
              </w:rPr>
            </w:pPr>
            <w:r>
              <w:rPr>
                <w:rFonts w:ascii="Cambria"/>
                <w:sz w:val="22"/>
              </w:rPr>
              <w:t>icon </w:t>
            </w:r>
            <w:r>
              <w:rPr>
                <w:sz w:val="22"/>
              </w:rPr>
              <w:t>(Icon)</w:t>
            </w:r>
          </w:p>
        </w:tc>
        <w:tc>
          <w:tcPr>
            <w:tcW w:w="8250" w:type="dxa"/>
          </w:tcPr>
          <w:p>
            <w:pPr>
              <w:pStyle w:val="TableParagraph"/>
              <w:rPr>
                <w:sz w:val="22"/>
              </w:rPr>
            </w:pPr>
            <w:r>
              <w:rPr>
                <w:sz w:val="22"/>
              </w:rPr>
              <w:t>Set to </w:t>
            </w:r>
            <w:r>
              <w:rPr>
                <w:rFonts w:ascii="Consolas"/>
                <w:sz w:val="20"/>
              </w:rPr>
              <w:t>true</w:t>
            </w:r>
            <w:r>
              <w:rPr>
                <w:rFonts w:ascii="Consolas"/>
                <w:spacing w:val="-62"/>
                <w:sz w:val="20"/>
              </w:rPr>
              <w:t> </w:t>
            </w:r>
            <w:r>
              <w:rPr>
                <w:sz w:val="22"/>
              </w:rPr>
              <w:t>if the linked object is represented by an icon.</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58" w:hRule="atLeast"/>
        </w:trPr>
        <w:tc>
          <w:tcPr>
            <w:tcW w:w="2062" w:type="dxa"/>
          </w:tcPr>
          <w:p>
            <w:pPr>
              <w:pStyle w:val="TableParagraph"/>
              <w:ind w:right="691"/>
              <w:rPr>
                <w:sz w:val="22"/>
              </w:rPr>
            </w:pPr>
            <w:r>
              <w:rPr>
                <w:rFonts w:ascii="Cambria"/>
                <w:sz w:val="22"/>
              </w:rPr>
              <w:t>name </w:t>
            </w:r>
            <w:r>
              <w:rPr>
                <w:sz w:val="22"/>
              </w:rPr>
              <w:t>(Object Name)</w:t>
            </w:r>
          </w:p>
        </w:tc>
        <w:tc>
          <w:tcPr>
            <w:tcW w:w="8250" w:type="dxa"/>
          </w:tcPr>
          <w:p>
            <w:pPr>
              <w:pStyle w:val="TableParagraph"/>
              <w:rPr>
                <w:sz w:val="22"/>
              </w:rPr>
            </w:pPr>
            <w:r>
              <w:rPr>
                <w:sz w:val="22"/>
              </w:rPr>
              <w:t>The linked object's name.</w:t>
            </w:r>
          </w:p>
          <w:p>
            <w:pPr>
              <w:pStyle w:val="TableParagraph"/>
              <w:spacing w:before="0"/>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r>
        <w:trPr>
          <w:trHeight w:val="1161" w:hRule="atLeast"/>
        </w:trPr>
        <w:tc>
          <w:tcPr>
            <w:tcW w:w="2062" w:type="dxa"/>
          </w:tcPr>
          <w:p>
            <w:pPr>
              <w:pStyle w:val="TableParagraph"/>
              <w:ind w:right="156"/>
              <w:rPr>
                <w:sz w:val="22"/>
              </w:rPr>
            </w:pPr>
            <w:r>
              <w:rPr>
                <w:rFonts w:ascii="Cambria"/>
                <w:sz w:val="22"/>
              </w:rPr>
              <w:t>preferPic </w:t>
            </w:r>
            <w:r>
              <w:rPr>
                <w:sz w:val="22"/>
              </w:rPr>
              <w:t>(Object is an Image)</w:t>
            </w:r>
          </w:p>
        </w:tc>
        <w:tc>
          <w:tcPr>
            <w:tcW w:w="8250" w:type="dxa"/>
          </w:tcPr>
          <w:p>
            <w:pPr>
              <w:pStyle w:val="TableParagraph"/>
              <w:rPr>
                <w:sz w:val="22"/>
              </w:rPr>
            </w:pPr>
            <w:r>
              <w:rPr>
                <w:sz w:val="22"/>
              </w:rPr>
              <w:t>Set to </w:t>
            </w:r>
            <w:r>
              <w:rPr>
                <w:rFonts w:ascii="Consolas"/>
                <w:sz w:val="20"/>
              </w:rPr>
              <w:t>true</w:t>
            </w:r>
            <w:r>
              <w:rPr>
                <w:rFonts w:ascii="Consolas"/>
                <w:spacing w:val="-62"/>
                <w:sz w:val="20"/>
              </w:rPr>
              <w:t> </w:t>
            </w:r>
            <w:r>
              <w:rPr>
                <w:sz w:val="22"/>
              </w:rPr>
              <w:t>if the linked object is represented by an image.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pStyle w:val="BodyText"/>
      </w:pPr>
    </w:p>
    <w:p>
      <w:pPr>
        <w:pStyle w:val="BodyText"/>
        <w:spacing w:before="5"/>
        <w:rPr>
          <w:sz w:val="19"/>
        </w:rPr>
      </w:pPr>
    </w:p>
    <w:p>
      <w:pPr>
        <w:pStyle w:val="BodyText"/>
        <w:spacing w:line="278" w:lineRule="auto"/>
        <w:ind w:left="220" w:right="765"/>
      </w:pPr>
      <w:r>
        <w:rPr/>
        <w:t>[</w:t>
      </w:r>
      <w:r>
        <w:rPr>
          <w:i/>
        </w:rPr>
        <w:t>Note</w:t>
      </w:r>
      <w:r>
        <w:rPr/>
        <w:t>: The W3C XML Schema definition of this element’s content model (</w:t>
      </w:r>
      <w:r>
        <w:rPr>
          <w:color w:val="5F5F5F"/>
          <w:u w:val="single" w:color="5F5F5F"/>
        </w:rPr>
        <w:t>CT_OleItem</w:t>
      </w:r>
      <w:r>
        <w:rPr/>
        <w:t>) is located in §A.2. </w:t>
      </w:r>
      <w:r>
        <w:rPr>
          <w:i/>
        </w:rPr>
        <w:t>end </w:t>
      </w:r>
      <w:r>
        <w:rPr>
          <w:i/>
        </w:rPr>
        <w:t>note</w:t>
      </w:r>
      <w:r>
        <w:rPr/>
        <w:t>]</w:t>
      </w:r>
    </w:p>
    <w:p>
      <w:pPr>
        <w:spacing w:after="0" w:line="278" w:lineRule="auto"/>
        <w:sectPr>
          <w:pgSz w:w="12240" w:h="15840"/>
          <w:pgMar w:header="763" w:footer="746" w:top="1340" w:bottom="940" w:left="860" w:right="700"/>
        </w:sectPr>
      </w:pPr>
    </w:p>
    <w:p>
      <w:pPr>
        <w:pStyle w:val="Heading2"/>
        <w:numPr>
          <w:ilvl w:val="2"/>
          <w:numId w:val="17"/>
        </w:numPr>
        <w:tabs>
          <w:tab w:pos="1445" w:val="left" w:leader="none"/>
        </w:tabs>
        <w:spacing w:line="240" w:lineRule="auto" w:before="93" w:after="0"/>
        <w:ind w:left="1444" w:right="0" w:hanging="1225"/>
        <w:jc w:val="left"/>
      </w:pPr>
      <w:bookmarkStart w:name="18.14.10 oleItems (Object Link Items)" w:id="1235"/>
      <w:bookmarkEnd w:id="1235"/>
      <w:r>
        <w:rPr>
          <w:b w:val="0"/>
        </w:rPr>
      </w:r>
      <w:bookmarkStart w:name="_bookmark410" w:id="1236"/>
      <w:bookmarkEnd w:id="1236"/>
      <w:r>
        <w:rPr>
          <w:b w:val="0"/>
        </w:rPr>
      </w:r>
      <w:bookmarkStart w:name="_bookmark410" w:id="1237"/>
      <w:bookmarkEnd w:id="1237"/>
      <w:r>
        <w:rPr>
          <w:color w:val="4F81BC"/>
        </w:rPr>
        <w:t>o</w:t>
      </w:r>
      <w:r>
        <w:rPr>
          <w:color w:val="4F81BC"/>
        </w:rPr>
        <w:t>leItems (Object Link</w:t>
      </w:r>
      <w:r>
        <w:rPr>
          <w:color w:val="4F81BC"/>
          <w:spacing w:val="-3"/>
        </w:rPr>
        <w:t> </w:t>
      </w:r>
      <w:r>
        <w:rPr>
          <w:color w:val="4F81BC"/>
        </w:rPr>
        <w:t>Items)</w:t>
      </w:r>
    </w:p>
    <w:p>
      <w:pPr>
        <w:pStyle w:val="BodyText"/>
        <w:spacing w:before="125"/>
        <w:ind w:left="220"/>
      </w:pPr>
      <w:r>
        <w:rPr/>
        <w:t>This element is a collection of items within the link specified by the parent element.</w:t>
      </w:r>
    </w:p>
    <w:p>
      <w:pPr>
        <w:pStyle w:val="BodyText"/>
        <w:spacing w:before="6"/>
        <w:rPr>
          <w:sz w:val="19"/>
        </w:rPr>
      </w:pPr>
    </w:p>
    <w:p>
      <w:pPr>
        <w:pStyle w:val="BodyText"/>
        <w:spacing w:line="278" w:lineRule="auto"/>
        <w:ind w:left="220" w:right="679"/>
      </w:pPr>
      <w:r>
        <w:rPr/>
        <w:t>[</w:t>
      </w:r>
      <w:r>
        <w:rPr>
          <w:i/>
        </w:rPr>
        <w:t>Note</w:t>
      </w:r>
      <w:r>
        <w:rPr/>
        <w:t>: The W3C XML Schema definition of this element’s content model (</w:t>
      </w:r>
      <w:r>
        <w:rPr>
          <w:color w:val="5F5F5F"/>
          <w:u w:val="single" w:color="5F5F5F"/>
        </w:rPr>
        <w:t>CT_OleItems</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4.11 oleLink (Generic Object Link Co" w:id="1238"/>
      <w:bookmarkEnd w:id="1238"/>
      <w:r>
        <w:rPr>
          <w:b w:val="0"/>
        </w:rPr>
      </w:r>
      <w:bookmarkStart w:name="_bookmark411" w:id="1239"/>
      <w:bookmarkEnd w:id="1239"/>
      <w:r>
        <w:rPr>
          <w:b w:val="0"/>
        </w:rPr>
      </w:r>
      <w:bookmarkStart w:name="_bookmark411" w:id="1240"/>
      <w:bookmarkEnd w:id="1240"/>
      <w:r>
        <w:rPr>
          <w:color w:val="4F81BC"/>
        </w:rPr>
        <w:t>o</w:t>
      </w:r>
      <w:r>
        <w:rPr>
          <w:color w:val="4F81BC"/>
        </w:rPr>
        <w:t>leLink (Generic Object Link</w:t>
      </w:r>
      <w:r>
        <w:rPr>
          <w:color w:val="4F81BC"/>
          <w:spacing w:val="-3"/>
        </w:rPr>
        <w:t> </w:t>
      </w:r>
      <w:r>
        <w:rPr>
          <w:color w:val="4F81BC"/>
        </w:rPr>
        <w:t>Connection)</w:t>
      </w:r>
    </w:p>
    <w:p>
      <w:pPr>
        <w:pStyle w:val="BodyText"/>
        <w:spacing w:line="278" w:lineRule="auto" w:before="122"/>
        <w:ind w:left="220" w:right="583"/>
      </w:pPr>
      <w:r>
        <w:rPr/>
        <w:t>This element represents an external link to an embedded object, specified by a progID/object pair. The type of object link is determined by reading the target of the </w:t>
      </w:r>
      <w:r>
        <w:rPr>
          <w:rFonts w:ascii="Cambria"/>
        </w:rPr>
        <w:t>id </w:t>
      </w:r>
      <w:r>
        <w:rPr/>
        <w:t>attribute.</w:t>
      </w:r>
    </w:p>
    <w:p>
      <w:pPr>
        <w:pStyle w:val="BodyText"/>
        <w:spacing w:line="278" w:lineRule="auto" w:before="195"/>
        <w:ind w:left="220" w:right="1002"/>
      </w:pPr>
      <w:r>
        <w:rPr/>
        <w:t>[</w:t>
      </w:r>
      <w:r>
        <w:rPr>
          <w:i/>
        </w:rPr>
        <w:t>Example</w:t>
      </w:r>
      <w:r>
        <w:rPr/>
        <w:t>: The following markup defines a reference to a linked object using Bonobo. The progId attribute contains the shared library that contains the widget. The r:id identifies the referenced Bonobo object.</w:t>
      </w:r>
    </w:p>
    <w:p>
      <w:pPr>
        <w:pStyle w:val="BodyText"/>
        <w:spacing w:before="3"/>
        <w:rPr>
          <w:sz w:val="16"/>
        </w:rPr>
      </w:pPr>
    </w:p>
    <w:p>
      <w:pPr>
        <w:pStyle w:val="BodyText"/>
        <w:ind w:left="508"/>
        <w:rPr>
          <w:rFonts w:ascii="Consolas"/>
        </w:rPr>
      </w:pPr>
      <w:r>
        <w:rPr>
          <w:rFonts w:ascii="Consolas"/>
        </w:rPr>
        <w:t>&lt;oleLink r:id="rb1" progId="OAFIID:Bonobo_Sample_Calculator"&gt;</w:t>
      </w:r>
    </w:p>
    <w:p>
      <w:pPr>
        <w:pStyle w:val="BodyText"/>
        <w:spacing w:before="37"/>
        <w:ind w:left="750"/>
        <w:rPr>
          <w:rFonts w:ascii="Consolas" w:hAnsi="Consolas"/>
        </w:rPr>
      </w:pPr>
      <w:r>
        <w:rPr>
          <w:rFonts w:ascii="Consolas" w:hAnsi="Consolas"/>
          <w:w w:val="100"/>
        </w:rPr>
        <w:t>…</w:t>
      </w:r>
    </w:p>
    <w:p>
      <w:pPr>
        <w:pStyle w:val="BodyText"/>
        <w:spacing w:before="40"/>
        <w:ind w:left="508"/>
        <w:rPr>
          <w:rFonts w:ascii="Consolas"/>
        </w:rPr>
      </w:pPr>
      <w:r>
        <w:rPr>
          <w:rFonts w:ascii="Consolas"/>
        </w:rPr>
        <w:t>&lt;/oleLink&gt;</w:t>
      </w:r>
    </w:p>
    <w:p>
      <w:pPr>
        <w:pStyle w:val="BodyText"/>
        <w:spacing w:before="3"/>
        <w:rPr>
          <w:rFonts w:ascii="Consolas"/>
          <w:sz w:val="20"/>
        </w:rPr>
      </w:pPr>
    </w:p>
    <w:p>
      <w:pPr>
        <w:pStyle w:val="BodyText"/>
        <w:spacing w:line="276" w:lineRule="auto"/>
        <w:ind w:left="220" w:right="1011"/>
      </w:pPr>
      <w:r>
        <w:rPr/>
        <w:t>The target of the relationship with ID </w:t>
      </w:r>
      <w:r>
        <w:rPr>
          <w:rFonts w:ascii="Consolas" w:hAnsi="Consolas"/>
          <w:sz w:val="20"/>
        </w:rPr>
        <w:t>rb1</w:t>
      </w:r>
      <w:r>
        <w:rPr/>
        <w:t>, defines the Bonobo object itself. This example shows a link to a sample Bonobo widget taken from the following article, which also provides an introduction to Bonobo – </w:t>
      </w:r>
      <w:hyperlink r:id="rId185">
        <w:r>
          <w:rPr>
            <w:color w:val="5F5F5F"/>
            <w:u w:val="single" w:color="5F5F5F"/>
          </w:rPr>
          <w:t>http://www.ibm.com/developerworks/webservices/library/co-bnbo2.html</w:t>
        </w:r>
      </w:hyperlink>
      <w:r>
        <w:rPr/>
        <w:t>. </w:t>
      </w:r>
      <w:r>
        <w:rPr>
          <w:i/>
        </w:rPr>
        <w:t>end example</w:t>
      </w:r>
      <w:r>
        <w:rPr/>
        <w:t>]</w:t>
      </w:r>
    </w:p>
    <w:p>
      <w:pPr>
        <w:pStyle w:val="BodyText"/>
        <w:spacing w:before="9"/>
        <w:rPr>
          <w:sz w:val="11"/>
        </w:rPr>
      </w:pPr>
    </w:p>
    <w:p>
      <w:pPr>
        <w:pStyle w:val="BodyText"/>
        <w:spacing w:line="278" w:lineRule="auto" w:before="56"/>
        <w:ind w:left="220" w:right="1131"/>
      </w:pPr>
      <w:r>
        <w:rPr/>
        <w:t>[</w:t>
      </w:r>
      <w:r>
        <w:rPr>
          <w:i/>
        </w:rPr>
        <w:t>Example</w:t>
      </w:r>
      <w:r>
        <w:rPr/>
        <w:t>: The following markup defines a reference to a linked object using KParts. The progId attribute contains the shared library that contains the plugin. The r:id identifies the referenced KParts object.</w:t>
      </w:r>
    </w:p>
    <w:p>
      <w:pPr>
        <w:pStyle w:val="BodyText"/>
        <w:spacing w:before="198"/>
        <w:ind w:left="508"/>
        <w:rPr>
          <w:rFonts w:ascii="Consolas"/>
        </w:rPr>
      </w:pPr>
      <w:r>
        <w:rPr>
          <w:rFonts w:ascii="Consolas"/>
        </w:rPr>
        <w:t>&lt;oleLink r:id="rKp1" progId="libhtmlvalidatorplugin"&gt;</w:t>
      </w:r>
    </w:p>
    <w:p>
      <w:pPr>
        <w:pStyle w:val="BodyText"/>
        <w:spacing w:before="38"/>
        <w:ind w:left="750"/>
        <w:rPr>
          <w:rFonts w:ascii="Consolas" w:hAnsi="Consolas"/>
        </w:rPr>
      </w:pPr>
      <w:r>
        <w:rPr>
          <w:rFonts w:ascii="Consolas" w:hAnsi="Consolas"/>
          <w:w w:val="100"/>
        </w:rPr>
        <w:t>…</w:t>
      </w:r>
    </w:p>
    <w:p>
      <w:pPr>
        <w:pStyle w:val="BodyText"/>
        <w:spacing w:before="37"/>
        <w:ind w:left="508"/>
        <w:rPr>
          <w:rFonts w:ascii="Consolas"/>
        </w:rPr>
      </w:pPr>
      <w:r>
        <w:rPr>
          <w:rFonts w:ascii="Consolas"/>
        </w:rPr>
        <w:t>&lt;/oleLink&gt;</w:t>
      </w:r>
    </w:p>
    <w:p>
      <w:pPr>
        <w:pStyle w:val="BodyText"/>
        <w:spacing w:before="3"/>
        <w:rPr>
          <w:rFonts w:ascii="Consolas"/>
          <w:sz w:val="20"/>
        </w:rPr>
      </w:pPr>
    </w:p>
    <w:p>
      <w:pPr>
        <w:pStyle w:val="BodyText"/>
        <w:spacing w:line="278" w:lineRule="auto"/>
        <w:ind w:left="220" w:right="706"/>
      </w:pPr>
      <w:r>
        <w:rPr/>
        <w:t>The following XML, contained in the target of the relationship with ID </w:t>
      </w:r>
      <w:r>
        <w:rPr>
          <w:rFonts w:ascii="Consolas"/>
          <w:sz w:val="20"/>
        </w:rPr>
        <w:t>rKp1</w:t>
      </w:r>
      <w:r>
        <w:rPr/>
        <w:t>, defines the KPart object, and will follow the kpartgui DTD:</w:t>
      </w:r>
    </w:p>
    <w:p>
      <w:pPr>
        <w:pStyle w:val="BodyText"/>
        <w:spacing w:before="198"/>
        <w:ind w:left="508"/>
        <w:rPr>
          <w:rFonts w:ascii="Consolas"/>
        </w:rPr>
      </w:pPr>
      <w:r>
        <w:rPr>
          <w:rFonts w:ascii="Consolas"/>
        </w:rPr>
        <w:t>&lt;!DOCTYPE kpartgui SYSTEM "kpartgui.dtd"&gt;</w:t>
      </w:r>
    </w:p>
    <w:p>
      <w:pPr>
        <w:pStyle w:val="BodyText"/>
        <w:spacing w:line="278" w:lineRule="auto" w:before="37"/>
        <w:ind w:left="508" w:right="542"/>
        <w:rPr>
          <w:rFonts w:ascii="Consolas"/>
        </w:rPr>
      </w:pPr>
      <w:r>
        <w:rPr>
          <w:rFonts w:ascii="Consolas"/>
        </w:rPr>
        <w:t>&lt;kpartgui library="libhtmlvalidatorplugin" name="htmlvalidatorplugin" version="1" &gt;</w:t>
      </w:r>
    </w:p>
    <w:p>
      <w:pPr>
        <w:pStyle w:val="BodyText"/>
        <w:spacing w:line="253" w:lineRule="exact"/>
        <w:ind w:left="750"/>
        <w:rPr>
          <w:rFonts w:ascii="Consolas"/>
        </w:rPr>
      </w:pPr>
      <w:r>
        <w:rPr>
          <w:rFonts w:ascii="Consolas"/>
        </w:rPr>
        <w:t>&lt;MenuBar&gt;</w:t>
      </w:r>
    </w:p>
    <w:p>
      <w:pPr>
        <w:pStyle w:val="BodyText"/>
        <w:spacing w:before="40"/>
        <w:ind w:left="993"/>
        <w:rPr>
          <w:rFonts w:ascii="Consolas"/>
        </w:rPr>
      </w:pPr>
      <w:r>
        <w:rPr>
          <w:rFonts w:ascii="Consolas"/>
        </w:rPr>
        <w:t>&lt;Menu name="tools"&gt;&lt;Text&gt;&amp;amp;Tools&lt;/Text&gt;</w:t>
      </w:r>
    </w:p>
    <w:p>
      <w:pPr>
        <w:pStyle w:val="BodyText"/>
        <w:spacing w:before="38"/>
        <w:ind w:left="1235"/>
        <w:rPr>
          <w:rFonts w:ascii="Consolas"/>
        </w:rPr>
      </w:pPr>
      <w:r>
        <w:rPr>
          <w:rFonts w:ascii="Consolas"/>
        </w:rPr>
        <w:t>&lt;Action name="validatewebpage"/&gt;</w:t>
      </w:r>
    </w:p>
    <w:p>
      <w:pPr>
        <w:pStyle w:val="BodyText"/>
        <w:spacing w:before="40"/>
        <w:ind w:left="993"/>
        <w:rPr>
          <w:rFonts w:ascii="Consolas"/>
        </w:rPr>
      </w:pPr>
      <w:r>
        <w:rPr>
          <w:rFonts w:ascii="Consolas"/>
        </w:rPr>
        <w:t>&lt;/Menu&gt;</w:t>
      </w:r>
    </w:p>
    <w:p>
      <w:pPr>
        <w:pStyle w:val="BodyText"/>
        <w:spacing w:before="38"/>
        <w:ind w:left="750"/>
        <w:rPr>
          <w:rFonts w:ascii="Consolas"/>
        </w:rPr>
      </w:pPr>
      <w:r>
        <w:rPr>
          <w:rFonts w:ascii="Consolas"/>
        </w:rPr>
        <w:t>&lt;/MenuBar&gt;</w:t>
      </w:r>
    </w:p>
    <w:p>
      <w:pPr>
        <w:pStyle w:val="BodyText"/>
        <w:spacing w:before="38"/>
        <w:ind w:left="508"/>
        <w:rPr>
          <w:rFonts w:ascii="Consolas"/>
        </w:rPr>
      </w:pPr>
      <w:r>
        <w:rPr>
          <w:rFonts w:ascii="Consolas"/>
        </w:rPr>
        <w:t>&lt;/kpartgui&gt;</w:t>
      </w:r>
    </w:p>
    <w:p>
      <w:pPr>
        <w:pStyle w:val="BodyText"/>
        <w:spacing w:before="2"/>
        <w:rPr>
          <w:rFonts w:ascii="Consolas"/>
          <w:sz w:val="20"/>
        </w:rPr>
      </w:pPr>
    </w:p>
    <w:p>
      <w:pPr>
        <w:pStyle w:val="BodyText"/>
        <w:spacing w:line="278" w:lineRule="auto"/>
        <w:ind w:left="220" w:right="410"/>
      </w:pPr>
      <w:r>
        <w:rPr/>
        <w:t>This example is taken from the kde.org web site, and contains a tutorial on building the plugin referenced by the above markup – </w:t>
      </w:r>
      <w:hyperlink r:id="rId186">
        <w:r>
          <w:rPr>
            <w:color w:val="5F5F5F"/>
            <w:u w:val="single" w:color="5F5F5F"/>
          </w:rPr>
          <w:t>http://developer.kde.org/documentation/tutorials/dot/writing-plugins.html</w:t>
        </w:r>
        <w:r>
          <w:rPr/>
          <w:t>. </w:t>
        </w:r>
      </w:hyperlink>
      <w:r>
        <w:rPr>
          <w:i/>
        </w:rPr>
        <w:t>end example</w:t>
      </w:r>
      <w:r>
        <w:rPr/>
        <w:t>]</w:t>
      </w:r>
    </w:p>
    <w:p>
      <w:pPr>
        <w:spacing w:after="0" w:line="278"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190" w:hRule="atLeast"/>
        </w:trPr>
        <w:tc>
          <w:tcPr>
            <w:tcW w:w="2062" w:type="dxa"/>
          </w:tcPr>
          <w:p>
            <w:pPr>
              <w:pStyle w:val="TableParagraph"/>
              <w:ind w:right="620"/>
              <w:rPr>
                <w:sz w:val="22"/>
              </w:rPr>
            </w:pPr>
            <w:r>
              <w:rPr>
                <w:rFonts w:ascii="Cambria"/>
                <w:sz w:val="22"/>
              </w:rPr>
              <w:t>id </w:t>
            </w:r>
            <w:r>
              <w:rPr>
                <w:sz w:val="22"/>
              </w:rPr>
              <w:t>(Object Link Relationship)</w:t>
            </w:r>
          </w:p>
          <w:p>
            <w:pPr>
              <w:pStyle w:val="TableParagraph"/>
              <w:spacing w:before="0"/>
              <w:ind w:left="0"/>
              <w:rPr>
                <w:sz w:val="22"/>
              </w:rPr>
            </w:pPr>
          </w:p>
          <w:p>
            <w:pPr>
              <w:pStyle w:val="TableParagraph"/>
              <w:spacing w:before="0"/>
              <w:ind w:right="135"/>
              <w:rPr>
                <w:rFonts w:ascii="Cambria"/>
                <w:sz w:val="22"/>
              </w:rPr>
            </w:pPr>
            <w:r>
              <w:rPr>
                <w:sz w:val="22"/>
              </w:rPr>
              <w:t>Namespace: </w:t>
            </w:r>
            <w:hyperlink r:id="rId18">
              <w:r>
                <w:rPr>
                  <w:rFonts w:ascii="Cambria"/>
                  <w:sz w:val="22"/>
                </w:rPr>
                <w:t>http://purl.oclc.or</w:t>
              </w:r>
            </w:hyperlink>
            <w:r>
              <w:rPr>
                <w:rFonts w:ascii="Cambria"/>
                <w:sz w:val="22"/>
              </w:rPr>
              <w:t> g/ooxml/officeDoc ument/relationshi ps</w:t>
            </w:r>
          </w:p>
        </w:tc>
        <w:tc>
          <w:tcPr>
            <w:tcW w:w="8250" w:type="dxa"/>
          </w:tcPr>
          <w:p>
            <w:pPr>
              <w:pStyle w:val="TableParagraph"/>
              <w:ind w:right="106"/>
              <w:rPr>
                <w:sz w:val="22"/>
              </w:rPr>
            </w:pPr>
            <w:r>
              <w:rPr>
                <w:sz w:val="22"/>
              </w:rPr>
              <w:t>Relationship ID that references a link in the </w:t>
            </w:r>
            <w:r>
              <w:rPr>
                <w:rFonts w:ascii="Cambria"/>
                <w:sz w:val="22"/>
              </w:rPr>
              <w:t>relationships </w:t>
            </w:r>
            <w:r>
              <w:rPr>
                <w:sz w:val="22"/>
              </w:rPr>
              <w:t>collection. The </w:t>
            </w:r>
            <w:r>
              <w:rPr>
                <w:rFonts w:ascii="Cambria"/>
                <w:sz w:val="22"/>
              </w:rPr>
              <w:t>target </w:t>
            </w:r>
            <w:r>
              <w:rPr>
                <w:sz w:val="22"/>
              </w:rPr>
              <w:t>attribute in the associated </w:t>
            </w:r>
            <w:r>
              <w:rPr>
                <w:rFonts w:ascii="Cambria"/>
                <w:sz w:val="22"/>
              </w:rPr>
              <w:t>relationship </w:t>
            </w:r>
            <w:r>
              <w:rPr>
                <w:sz w:val="22"/>
              </w:rPr>
              <w:t>will specify the external file name used for this </w:t>
            </w:r>
            <w:r>
              <w:rPr>
                <w:rFonts w:ascii="Cambria"/>
                <w:sz w:val="22"/>
              </w:rPr>
              <w:t>oleLink</w:t>
            </w:r>
            <w:r>
              <w:rPr>
                <w:sz w:val="22"/>
              </w:rPr>
              <w:t>.</w:t>
            </w:r>
          </w:p>
          <w:p>
            <w:pPr>
              <w:pStyle w:val="TableParagraph"/>
              <w:spacing w:before="2"/>
              <w:ind w:left="0"/>
              <w:rPr>
                <w:sz w:val="22"/>
              </w:rPr>
            </w:pPr>
          </w:p>
          <w:p>
            <w:pPr>
              <w:pStyle w:val="TableParagraph"/>
              <w:spacing w:line="237" w:lineRule="auto" w:before="0"/>
              <w:ind w:right="326"/>
              <w:rPr>
                <w:sz w:val="22"/>
              </w:rPr>
            </w:pPr>
            <w:r>
              <w:rPr>
                <w:sz w:val="22"/>
              </w:rPr>
              <w:t>The possible values for this attribute are defined by the </w:t>
            </w:r>
            <w:r>
              <w:rPr>
                <w:rFonts w:ascii="Cambria" w:hAnsi="Cambria"/>
                <w:sz w:val="22"/>
              </w:rPr>
              <w:t>ST_RelationshipId </w:t>
            </w:r>
            <w:r>
              <w:rPr>
                <w:sz w:val="22"/>
              </w:rPr>
              <w:t>simple type (§22.8.2.1).</w:t>
            </w:r>
          </w:p>
        </w:tc>
      </w:tr>
      <w:tr>
        <w:trPr>
          <w:trHeight w:val="1699" w:hRule="atLeast"/>
        </w:trPr>
        <w:tc>
          <w:tcPr>
            <w:tcW w:w="2062" w:type="dxa"/>
          </w:tcPr>
          <w:p>
            <w:pPr>
              <w:pStyle w:val="TableParagraph"/>
              <w:ind w:right="171"/>
              <w:rPr>
                <w:sz w:val="22"/>
              </w:rPr>
            </w:pPr>
            <w:r>
              <w:rPr>
                <w:rFonts w:ascii="Cambria"/>
                <w:sz w:val="22"/>
              </w:rPr>
              <w:t>progId </w:t>
            </w:r>
            <w:r>
              <w:rPr>
                <w:sz w:val="22"/>
              </w:rPr>
              <w:t>(Object Link Identifier)</w:t>
            </w:r>
          </w:p>
        </w:tc>
        <w:tc>
          <w:tcPr>
            <w:tcW w:w="8250" w:type="dxa"/>
          </w:tcPr>
          <w:p>
            <w:pPr>
              <w:pStyle w:val="TableParagraph"/>
              <w:ind w:right="104"/>
              <w:rPr>
                <w:sz w:val="22"/>
              </w:rPr>
            </w:pPr>
            <w:r>
              <w:rPr>
                <w:sz w:val="22"/>
              </w:rPr>
              <w:t>The ID for the object link connection. [</w:t>
            </w:r>
            <w:r>
              <w:rPr>
                <w:i/>
                <w:sz w:val="22"/>
              </w:rPr>
              <w:t>Example</w:t>
            </w:r>
            <w:r>
              <w:rPr>
                <w:sz w:val="22"/>
              </w:rPr>
              <w:t>: For a KParts link, this would store the name of the appropriate KParts library. For an OLE link, this would store the ProgID of the appropriate OLE object. </w:t>
            </w:r>
            <w:r>
              <w:rPr>
                <w:i/>
                <w:sz w:val="22"/>
              </w:rPr>
              <w:t>end example</w:t>
            </w:r>
            <w:r>
              <w:rPr>
                <w:sz w:val="22"/>
              </w:rPr>
              <w:t>]</w:t>
            </w:r>
          </w:p>
          <w:p>
            <w:pPr>
              <w:pStyle w:val="TableParagraph"/>
              <w:spacing w:before="1"/>
              <w:ind w:left="0"/>
              <w:rPr>
                <w:sz w:val="22"/>
              </w:rPr>
            </w:pPr>
          </w:p>
          <w:p>
            <w:pPr>
              <w:pStyle w:val="TableParagraph"/>
              <w:spacing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8" w:lineRule="auto" w:before="56"/>
        <w:ind w:left="220" w:right="821"/>
      </w:pPr>
      <w:r>
        <w:rPr/>
        <w:t>[</w:t>
      </w:r>
      <w:r>
        <w:rPr>
          <w:i/>
        </w:rPr>
        <w:t>Note</w:t>
      </w:r>
      <w:r>
        <w:rPr/>
        <w:t>: The W3C XML Schema definition of this element’s content model (</w:t>
      </w:r>
      <w:r>
        <w:rPr>
          <w:color w:val="5F5F5F"/>
          <w:u w:val="single" w:color="5F5F5F"/>
        </w:rPr>
        <w:t>CT_OleLink</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4.12 row (Row)" w:id="1241"/>
      <w:bookmarkEnd w:id="1241"/>
      <w:r>
        <w:rPr>
          <w:b w:val="0"/>
        </w:rPr>
      </w:r>
      <w:bookmarkStart w:name="_bookmark412" w:id="1242"/>
      <w:bookmarkEnd w:id="1242"/>
      <w:r>
        <w:rPr>
          <w:b w:val="0"/>
        </w:rPr>
      </w:r>
      <w:bookmarkStart w:name="_bookmark412" w:id="1243"/>
      <w:bookmarkEnd w:id="1243"/>
      <w:r>
        <w:rPr>
          <w:color w:val="4F81BC"/>
        </w:rPr>
        <w:t>ro</w:t>
      </w:r>
      <w:r>
        <w:rPr>
          <w:color w:val="4F81BC"/>
        </w:rPr>
        <w:t>w</w:t>
      </w:r>
      <w:r>
        <w:rPr>
          <w:color w:val="4F81BC"/>
          <w:spacing w:val="-2"/>
        </w:rPr>
        <w:t> </w:t>
      </w:r>
      <w:r>
        <w:rPr>
          <w:color w:val="4F81BC"/>
        </w:rPr>
        <w:t>(Row)</w:t>
      </w:r>
    </w:p>
    <w:p>
      <w:pPr>
        <w:pStyle w:val="BodyText"/>
        <w:spacing w:before="124"/>
        <w:ind w:left="220"/>
      </w:pPr>
      <w:r>
        <w:rPr/>
        <w:t>This element contains data for an external worksheet row.</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rPr>
                <w:sz w:val="22"/>
              </w:rPr>
            </w:pPr>
            <w:r>
              <w:rPr>
                <w:rFonts w:ascii="Cambria"/>
                <w:sz w:val="22"/>
              </w:rPr>
              <w:t>r </w:t>
            </w:r>
            <w:r>
              <w:rPr>
                <w:sz w:val="22"/>
              </w:rPr>
              <w:t>(Row)</w:t>
            </w:r>
          </w:p>
        </w:tc>
        <w:tc>
          <w:tcPr>
            <w:tcW w:w="8250" w:type="dxa"/>
          </w:tcPr>
          <w:p>
            <w:pPr>
              <w:pStyle w:val="TableParagraph"/>
              <w:rPr>
                <w:sz w:val="22"/>
              </w:rPr>
            </w:pPr>
            <w:r>
              <w:rPr>
                <w:sz w:val="22"/>
              </w:rPr>
              <w:t>Row number of the row in the external book containing the cell data referenced. This attribute is required.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pPr>
    </w:p>
    <w:p>
      <w:pPr>
        <w:pStyle w:val="BodyText"/>
        <w:spacing w:before="7"/>
        <w:rPr>
          <w:sz w:val="19"/>
        </w:rPr>
      </w:pPr>
    </w:p>
    <w:p>
      <w:pPr>
        <w:pStyle w:val="BodyText"/>
        <w:ind w:left="220"/>
      </w:pPr>
      <w:r>
        <w:rPr/>
        <w:t>[</w:t>
      </w:r>
      <w:r>
        <w:rPr>
          <w:i/>
        </w:rPr>
        <w:t>Note</w:t>
      </w:r>
      <w:r>
        <w:rPr/>
        <w:t>: The W3C XML Schema definition of this element’s content model (</w:t>
      </w:r>
      <w:r>
        <w:rPr>
          <w:color w:val="5F5F5F"/>
          <w:u w:val="single" w:color="5F5F5F"/>
        </w:rPr>
        <w:t>CT_ExternalRow</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4.13 sheetData (External Sheet Data " w:id="1244"/>
      <w:bookmarkEnd w:id="1244"/>
      <w:r>
        <w:rPr>
          <w:b w:val="0"/>
        </w:rPr>
      </w:r>
      <w:bookmarkStart w:name="_bookmark413" w:id="1245"/>
      <w:bookmarkEnd w:id="1245"/>
      <w:r>
        <w:rPr>
          <w:b w:val="0"/>
        </w:rPr>
      </w:r>
      <w:bookmarkStart w:name="_bookmark413" w:id="1246"/>
      <w:bookmarkEnd w:id="1246"/>
      <w:r>
        <w:rPr>
          <w:color w:val="4F81BC"/>
        </w:rPr>
        <w:t>s</w:t>
      </w:r>
      <w:r>
        <w:rPr>
          <w:color w:val="4F81BC"/>
        </w:rPr>
        <w:t>heetData (External Sheet Data Set)</w:t>
      </w:r>
    </w:p>
    <w:p>
      <w:pPr>
        <w:pStyle w:val="BodyText"/>
        <w:spacing w:line="456" w:lineRule="auto" w:before="126"/>
        <w:ind w:left="220" w:right="2393"/>
      </w:pPr>
      <w:r>
        <w:rPr/>
        <w:t>This element contains the cached worksheet data associated with a supporting workbook. [</w:t>
      </w:r>
      <w:r>
        <w:rPr>
          <w:i/>
        </w:rPr>
        <w:t>Note</w:t>
      </w:r>
      <w:r>
        <w:rPr/>
        <w:t>: For an example, please refer to example at the beginning of this section. </w:t>
      </w:r>
      <w:r>
        <w:rPr>
          <w:i/>
        </w:rPr>
        <w:t>end note</w:t>
      </w:r>
      <w:r>
        <w:rPr/>
        <w:t>]</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ind w:right="203"/>
              <w:jc w:val="both"/>
              <w:rPr>
                <w:sz w:val="22"/>
              </w:rPr>
            </w:pPr>
            <w:r>
              <w:rPr>
                <w:rFonts w:ascii="Cambria"/>
                <w:sz w:val="22"/>
              </w:rPr>
              <w:t>refreshError </w:t>
            </w:r>
            <w:r>
              <w:rPr>
                <w:sz w:val="22"/>
              </w:rPr>
              <w:t>(Last Refresh Resulted in Error)</w:t>
            </w:r>
          </w:p>
        </w:tc>
        <w:tc>
          <w:tcPr>
            <w:tcW w:w="8250" w:type="dxa"/>
          </w:tcPr>
          <w:p>
            <w:pPr>
              <w:pStyle w:val="TableParagraph"/>
              <w:rPr>
                <w:sz w:val="22"/>
              </w:rPr>
            </w:pPr>
            <w:r>
              <w:rPr>
                <w:sz w:val="22"/>
              </w:rPr>
              <w:t>Specifies that the last external data refresh for this sheet did not succeed.</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30" w:hRule="atLeast"/>
        </w:trPr>
        <w:tc>
          <w:tcPr>
            <w:tcW w:w="2062" w:type="dxa"/>
          </w:tcPr>
          <w:p>
            <w:pPr>
              <w:pStyle w:val="TableParagraph"/>
              <w:rPr>
                <w:sz w:val="22"/>
              </w:rPr>
            </w:pPr>
            <w:r>
              <w:rPr>
                <w:rFonts w:ascii="Cambria"/>
                <w:sz w:val="22"/>
              </w:rPr>
              <w:t>sheetId </w:t>
            </w:r>
            <w:r>
              <w:rPr>
                <w:sz w:val="22"/>
              </w:rPr>
              <w:t>(Sheet Id)</w:t>
            </w:r>
          </w:p>
        </w:tc>
        <w:tc>
          <w:tcPr>
            <w:tcW w:w="8250" w:type="dxa"/>
          </w:tcPr>
          <w:p>
            <w:pPr>
              <w:pStyle w:val="TableParagraph"/>
              <w:ind w:right="465"/>
              <w:rPr>
                <w:sz w:val="22"/>
              </w:rPr>
            </w:pPr>
            <w:r>
              <w:rPr>
                <w:sz w:val="22"/>
              </w:rPr>
              <w:t>Index of sheet in the external workbook that is referenced and partially cached in this data set. This is a 1-based index. This attribute is required.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element’s content model (</w:t>
      </w:r>
      <w:r>
        <w:rPr>
          <w:color w:val="5F5F5F"/>
          <w:u w:val="single" w:color="5F5F5F"/>
        </w:rPr>
        <w:t>CT_ExternalSheetData</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4.14 sheetDataSet (Cached Worksheet " w:id="1247"/>
      <w:bookmarkEnd w:id="1247"/>
      <w:r>
        <w:rPr>
          <w:b w:val="0"/>
        </w:rPr>
      </w:r>
      <w:bookmarkStart w:name="_bookmark414" w:id="1248"/>
      <w:bookmarkEnd w:id="1248"/>
      <w:r>
        <w:rPr>
          <w:b w:val="0"/>
        </w:rPr>
      </w:r>
      <w:bookmarkStart w:name="_bookmark414" w:id="1249"/>
      <w:bookmarkEnd w:id="1249"/>
      <w:r>
        <w:rPr>
          <w:color w:val="4F81BC"/>
        </w:rPr>
        <w:t>s</w:t>
      </w:r>
      <w:r>
        <w:rPr>
          <w:color w:val="4F81BC"/>
        </w:rPr>
        <w:t>heetDataSet (Cached Worksheet Data)</w:t>
      </w:r>
    </w:p>
    <w:p>
      <w:pPr>
        <w:pStyle w:val="BodyText"/>
        <w:spacing w:before="127"/>
        <w:ind w:left="220"/>
        <w:jc w:val="both"/>
      </w:pPr>
      <w:r>
        <w:rPr/>
        <w:t>This element serves as the collection for 1 or more </w:t>
      </w:r>
      <w:r>
        <w:rPr>
          <w:rFonts w:ascii="Cambria"/>
        </w:rPr>
        <w:t>sheetData </w:t>
      </w:r>
      <w:r>
        <w:rPr/>
        <w:t>elements.</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CT_ExternalSheetDataSet</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4.15 sheetName (Sheet Name)" w:id="1250"/>
      <w:bookmarkEnd w:id="1250"/>
      <w:r>
        <w:rPr>
          <w:b w:val="0"/>
        </w:rPr>
      </w:r>
      <w:bookmarkStart w:name="_bookmark415" w:id="1251"/>
      <w:bookmarkEnd w:id="1251"/>
      <w:r>
        <w:rPr>
          <w:b w:val="0"/>
        </w:rPr>
      </w:r>
      <w:bookmarkStart w:name="_bookmark415" w:id="1252"/>
      <w:bookmarkEnd w:id="1252"/>
      <w:r>
        <w:rPr>
          <w:color w:val="4F81BC"/>
        </w:rPr>
        <w:t>s</w:t>
      </w:r>
      <w:r>
        <w:rPr>
          <w:color w:val="4F81BC"/>
        </w:rPr>
        <w:t>heetName (Sheet</w:t>
      </w:r>
      <w:r>
        <w:rPr>
          <w:color w:val="4F81BC"/>
          <w:spacing w:val="2"/>
        </w:rPr>
        <w:t> </w:t>
      </w:r>
      <w:r>
        <w:rPr>
          <w:color w:val="4F81BC"/>
        </w:rPr>
        <w:t>Name)</w:t>
      </w:r>
    </w:p>
    <w:p>
      <w:pPr>
        <w:pStyle w:val="BodyText"/>
        <w:spacing w:before="127"/>
        <w:ind w:left="220"/>
      </w:pPr>
      <w:r>
        <w:rPr/>
        <w:t>Name of a worksheet in the supporting workbook</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9" w:hRule="atLeast"/>
        </w:trPr>
        <w:tc>
          <w:tcPr>
            <w:tcW w:w="2062" w:type="dxa"/>
          </w:tcPr>
          <w:p>
            <w:pPr>
              <w:pStyle w:val="TableParagraph"/>
              <w:ind w:right="432"/>
              <w:rPr>
                <w:sz w:val="22"/>
              </w:rPr>
            </w:pPr>
            <w:r>
              <w:rPr>
                <w:rFonts w:ascii="Cambria"/>
                <w:sz w:val="22"/>
              </w:rPr>
              <w:t>val </w:t>
            </w:r>
            <w:r>
              <w:rPr>
                <w:sz w:val="22"/>
              </w:rPr>
              <w:t>(Sheet Name Value)</w:t>
            </w:r>
          </w:p>
        </w:tc>
        <w:tc>
          <w:tcPr>
            <w:tcW w:w="8250" w:type="dxa"/>
          </w:tcPr>
          <w:p>
            <w:pPr>
              <w:pStyle w:val="TableParagraph"/>
              <w:rPr>
                <w:sz w:val="22"/>
              </w:rPr>
            </w:pPr>
            <w:r>
              <w:rPr>
                <w:sz w:val="22"/>
              </w:rPr>
              <w:t>Name of the sheet. This attribute is required.</w:t>
            </w:r>
          </w:p>
          <w:p>
            <w:pPr>
              <w:pStyle w:val="TableParagraph"/>
              <w:spacing w:before="2"/>
              <w:ind w:left="0"/>
              <w:rPr>
                <w:sz w:val="22"/>
              </w:rPr>
            </w:pPr>
          </w:p>
          <w:p>
            <w:pPr>
              <w:pStyle w:val="TableParagraph"/>
              <w:spacing w:line="237" w:lineRule="auto" w:before="0"/>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pPr>
    </w:p>
    <w:p>
      <w:pPr>
        <w:pStyle w:val="BodyText"/>
        <w:spacing w:before="5"/>
        <w:rPr>
          <w:sz w:val="19"/>
        </w:rPr>
      </w:pPr>
    </w:p>
    <w:p>
      <w:pPr>
        <w:pStyle w:val="BodyText"/>
        <w:ind w:left="220"/>
      </w:pPr>
      <w:r>
        <w:rPr/>
        <w:t>[</w:t>
      </w:r>
      <w:r>
        <w:rPr>
          <w:i/>
        </w:rPr>
        <w:t>Note</w:t>
      </w:r>
      <w:r>
        <w:rPr/>
        <w:t>: The W3C XML Schema definition of this element’s content model (</w:t>
      </w:r>
      <w:r>
        <w:rPr>
          <w:color w:val="5F5F5F"/>
          <w:u w:val="single" w:color="5F5F5F"/>
        </w:rPr>
        <w:t>CT_ExternalSheetName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4.16 sheetNames (Supporting Workbook" w:id="1253"/>
      <w:bookmarkEnd w:id="1253"/>
      <w:r>
        <w:rPr>
          <w:b w:val="0"/>
        </w:rPr>
      </w:r>
      <w:bookmarkStart w:name="_bookmark416" w:id="1254"/>
      <w:bookmarkEnd w:id="1254"/>
      <w:r>
        <w:rPr>
          <w:b w:val="0"/>
        </w:rPr>
      </w:r>
      <w:bookmarkStart w:name="_bookmark416" w:id="1255"/>
      <w:bookmarkEnd w:id="1255"/>
      <w:r>
        <w:rPr>
          <w:color w:val="4F81BC"/>
        </w:rPr>
        <w:t>s</w:t>
      </w:r>
      <w:r>
        <w:rPr>
          <w:color w:val="4F81BC"/>
        </w:rPr>
        <w:t>heetNames (Supporting Workbook Sheet</w:t>
      </w:r>
      <w:r>
        <w:rPr>
          <w:color w:val="4F81BC"/>
          <w:spacing w:val="-2"/>
        </w:rPr>
        <w:t> </w:t>
      </w:r>
      <w:r>
        <w:rPr>
          <w:color w:val="4F81BC"/>
        </w:rPr>
        <w:t>Names)</w:t>
      </w:r>
    </w:p>
    <w:p>
      <w:pPr>
        <w:pStyle w:val="BodyText"/>
        <w:spacing w:before="126"/>
        <w:ind w:left="220"/>
      </w:pPr>
      <w:r>
        <w:rPr/>
        <w:t>This element is the container for all of the worksheet names in a supporting workbook.</w:t>
      </w:r>
    </w:p>
    <w:p>
      <w:pPr>
        <w:pStyle w:val="BodyText"/>
        <w:spacing w:before="6"/>
        <w:rPr>
          <w:sz w:val="19"/>
        </w:rPr>
      </w:pPr>
    </w:p>
    <w:p>
      <w:pPr>
        <w:pStyle w:val="BodyText"/>
        <w:ind w:left="220"/>
      </w:pPr>
      <w:r>
        <w:rPr/>
        <w:t>[</w:t>
      </w:r>
      <w:r>
        <w:rPr>
          <w:i/>
        </w:rPr>
        <w:t>Note</w:t>
      </w:r>
      <w:r>
        <w:rPr/>
        <w:t>: The W3C XML Schema definition of this element’s content model (</w:t>
      </w:r>
      <w:r>
        <w:rPr>
          <w:color w:val="5F5F5F"/>
          <w:u w:val="single" w:color="5F5F5F"/>
        </w:rPr>
        <w:t>CT_ExternalSheetNames</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4.17 val (DDE Link Value)" w:id="1256"/>
      <w:bookmarkEnd w:id="1256"/>
      <w:r>
        <w:rPr>
          <w:b w:val="0"/>
        </w:rPr>
      </w:r>
      <w:bookmarkStart w:name="_bookmark417" w:id="1257"/>
      <w:bookmarkEnd w:id="1257"/>
      <w:r>
        <w:rPr>
          <w:b w:val="0"/>
        </w:rPr>
      </w:r>
      <w:bookmarkStart w:name="_bookmark417" w:id="1258"/>
      <w:bookmarkEnd w:id="1258"/>
      <w:r>
        <w:rPr>
          <w:color w:val="4F81BC"/>
        </w:rPr>
        <w:t>va</w:t>
      </w:r>
      <w:r>
        <w:rPr>
          <w:color w:val="4F81BC"/>
        </w:rPr>
        <w:t>l (DDE Link</w:t>
      </w:r>
      <w:r>
        <w:rPr>
          <w:color w:val="4F81BC"/>
          <w:spacing w:val="-1"/>
        </w:rPr>
        <w:t> </w:t>
      </w:r>
      <w:r>
        <w:rPr>
          <w:color w:val="4F81BC"/>
        </w:rPr>
        <w:t>Value)</w:t>
      </w:r>
    </w:p>
    <w:p>
      <w:pPr>
        <w:pStyle w:val="BodyText"/>
        <w:spacing w:before="127"/>
        <w:ind w:left="220"/>
      </w:pPr>
      <w:r>
        <w:rPr/>
        <w:t>This element specifies a value associated with a particular DDE item.</w:t>
      </w:r>
    </w:p>
    <w:p>
      <w:pPr>
        <w:pStyle w:val="BodyText"/>
        <w:spacing w:before="6"/>
        <w:rPr>
          <w:sz w:val="19"/>
        </w:rPr>
      </w:pPr>
    </w:p>
    <w:p>
      <w:pPr>
        <w:pStyle w:val="BodyText"/>
        <w:spacing w:line="276" w:lineRule="auto"/>
        <w:ind w:left="220" w:right="483" w:firstLine="50"/>
        <w:jc w:val="both"/>
      </w:pPr>
      <w:r>
        <w:rPr/>
        <w:t>[</w:t>
      </w:r>
      <w:r>
        <w:rPr>
          <w:i/>
        </w:rPr>
        <w:t>Example</w:t>
      </w:r>
      <w:r>
        <w:rPr/>
        <w:t>: Here's an example of how </w:t>
      </w:r>
      <w:r>
        <w:rPr>
          <w:rFonts w:ascii="Cambria"/>
        </w:rPr>
        <w:t>values</w:t>
      </w:r>
      <w:r>
        <w:rPr/>
        <w:t>, </w:t>
      </w:r>
      <w:r>
        <w:rPr>
          <w:rFonts w:ascii="Cambria"/>
        </w:rPr>
        <w:t>value</w:t>
      </w:r>
      <w:r>
        <w:rPr/>
        <w:t>, and </w:t>
      </w:r>
      <w:r>
        <w:rPr>
          <w:rFonts w:ascii="Cambria"/>
        </w:rPr>
        <w:t>val </w:t>
      </w:r>
      <w:r>
        <w:rPr/>
        <w:t>elements are written out in the spreadsheetML for a </w:t>
      </w:r>
      <w:r>
        <w:rPr>
          <w:rFonts w:ascii="Cambria"/>
        </w:rPr>
        <w:t>ddeItem </w:t>
      </w:r>
      <w:r>
        <w:rPr/>
        <w:t>supplied by a DDE server. In this example different cells in the workbook are bound to these specific DDE items:</w:t>
      </w:r>
    </w:p>
    <w:p>
      <w:pPr>
        <w:spacing w:after="0" w:line="276" w:lineRule="auto"/>
        <w:jc w:val="both"/>
        <w:sectPr>
          <w:pgSz w:w="12240" w:h="15840"/>
          <w:pgMar w:header="761" w:footer="746" w:top="1340" w:bottom="940" w:left="860" w:right="700"/>
        </w:sectPr>
      </w:pPr>
    </w:p>
    <w:p>
      <w:pPr>
        <w:pStyle w:val="BodyText"/>
        <w:spacing w:before="150"/>
        <w:ind w:left="508"/>
        <w:rPr>
          <w:rFonts w:ascii="Consolas" w:hAnsi="Consolas"/>
        </w:rPr>
      </w:pPr>
      <w:r>
        <w:rPr>
          <w:rFonts w:ascii="Consolas" w:hAnsi="Consolas"/>
        </w:rPr>
        <w:t>&lt;ddeLink xmlns:r="…" ddeService="StockSrv" ddeTopic="Prices"&gt;</w:t>
      </w:r>
    </w:p>
    <w:p>
      <w:pPr>
        <w:pStyle w:val="BodyText"/>
        <w:spacing w:before="38"/>
        <w:ind w:left="750"/>
        <w:rPr>
          <w:rFonts w:ascii="Consolas"/>
        </w:rPr>
      </w:pPr>
      <w:r>
        <w:rPr>
          <w:rFonts w:ascii="Consolas"/>
        </w:rPr>
        <w:t>&lt;ddeItems&gt;</w:t>
      </w:r>
    </w:p>
    <w:p>
      <w:pPr>
        <w:pStyle w:val="BodyText"/>
        <w:spacing w:before="40"/>
        <w:ind w:left="993"/>
        <w:rPr>
          <w:rFonts w:ascii="Consolas"/>
        </w:rPr>
      </w:pPr>
      <w:r>
        <w:rPr>
          <w:rFonts w:ascii="Consolas"/>
        </w:rPr>
        <w:t>&lt;ddeItem name="Bread" advise="1"&gt;</w:t>
      </w:r>
    </w:p>
    <w:p>
      <w:pPr>
        <w:pStyle w:val="BodyText"/>
        <w:spacing w:before="38"/>
        <w:ind w:left="1235"/>
        <w:rPr>
          <w:rFonts w:ascii="Consolas"/>
        </w:rPr>
      </w:pPr>
      <w:r>
        <w:rPr>
          <w:rFonts w:ascii="Consolas"/>
        </w:rPr>
        <w:t>&lt;values&gt;</w:t>
      </w:r>
    </w:p>
    <w:p>
      <w:pPr>
        <w:pStyle w:val="BodyText"/>
        <w:spacing w:before="40"/>
        <w:ind w:left="1478"/>
        <w:rPr>
          <w:rFonts w:ascii="Consolas"/>
        </w:rPr>
      </w:pPr>
      <w:r>
        <w:rPr>
          <w:rFonts w:ascii="Consolas"/>
        </w:rPr>
        <w:t>&lt;value&gt;</w:t>
      </w:r>
    </w:p>
    <w:p>
      <w:pPr>
        <w:pStyle w:val="BodyText"/>
        <w:spacing w:before="37"/>
        <w:ind w:left="1718"/>
        <w:rPr>
          <w:rFonts w:ascii="Consolas"/>
        </w:rPr>
      </w:pPr>
      <w:r>
        <w:rPr>
          <w:rFonts w:ascii="Consolas"/>
        </w:rPr>
        <w:t>&lt;val&gt;3.5&lt;/val&gt;</w:t>
      </w:r>
    </w:p>
    <w:p>
      <w:pPr>
        <w:pStyle w:val="BodyText"/>
        <w:spacing w:before="40"/>
        <w:ind w:left="1478"/>
        <w:rPr>
          <w:rFonts w:ascii="Consolas"/>
        </w:rPr>
      </w:pPr>
      <w:r>
        <w:rPr>
          <w:rFonts w:ascii="Consolas"/>
        </w:rPr>
        <w:t>&lt;/value&gt;</w:t>
      </w:r>
    </w:p>
    <w:p>
      <w:pPr>
        <w:pStyle w:val="BodyText"/>
        <w:spacing w:before="38"/>
        <w:ind w:left="1235"/>
        <w:rPr>
          <w:rFonts w:ascii="Consolas"/>
        </w:rPr>
      </w:pPr>
      <w:r>
        <w:rPr>
          <w:rFonts w:ascii="Consolas"/>
        </w:rPr>
        <w:t>&lt;/values&gt;</w:t>
      </w:r>
    </w:p>
    <w:p>
      <w:pPr>
        <w:pStyle w:val="BodyText"/>
        <w:spacing w:before="38"/>
        <w:ind w:left="993"/>
        <w:rPr>
          <w:rFonts w:ascii="Consolas"/>
        </w:rPr>
      </w:pPr>
      <w:r>
        <w:rPr>
          <w:rFonts w:ascii="Consolas"/>
        </w:rPr>
        <w:t>&lt;/ddeItem&gt;</w:t>
      </w:r>
    </w:p>
    <w:p>
      <w:pPr>
        <w:pStyle w:val="BodyText"/>
        <w:spacing w:before="40"/>
        <w:ind w:left="993"/>
        <w:rPr>
          <w:rFonts w:ascii="Consolas"/>
        </w:rPr>
      </w:pPr>
      <w:r>
        <w:rPr>
          <w:rFonts w:ascii="Consolas"/>
        </w:rPr>
        <w:t>&lt;ddeItem name="Milk" advise="1"&gt;</w:t>
      </w:r>
    </w:p>
    <w:p>
      <w:pPr>
        <w:pStyle w:val="BodyText"/>
        <w:spacing w:before="37"/>
        <w:ind w:left="1235"/>
        <w:rPr>
          <w:rFonts w:ascii="Consolas"/>
        </w:rPr>
      </w:pPr>
      <w:r>
        <w:rPr>
          <w:rFonts w:ascii="Consolas"/>
        </w:rPr>
        <w:t>&lt;values&gt;</w:t>
      </w:r>
    </w:p>
    <w:p>
      <w:pPr>
        <w:pStyle w:val="BodyText"/>
        <w:spacing w:before="40"/>
        <w:ind w:left="1478"/>
        <w:rPr>
          <w:rFonts w:ascii="Consolas"/>
        </w:rPr>
      </w:pPr>
      <w:r>
        <w:rPr>
          <w:rFonts w:ascii="Consolas"/>
        </w:rPr>
        <w:t>&lt;value&gt;</w:t>
      </w:r>
    </w:p>
    <w:p>
      <w:pPr>
        <w:pStyle w:val="BodyText"/>
        <w:spacing w:before="38"/>
        <w:ind w:left="1718"/>
        <w:rPr>
          <w:rFonts w:ascii="Consolas"/>
        </w:rPr>
      </w:pPr>
      <w:r>
        <w:rPr>
          <w:rFonts w:ascii="Consolas"/>
        </w:rPr>
        <w:t>&lt;val&gt;5.7400000000000002&lt;/val&gt;</w:t>
      </w:r>
    </w:p>
    <w:p>
      <w:pPr>
        <w:pStyle w:val="BodyText"/>
        <w:spacing w:before="40"/>
        <w:ind w:left="1478"/>
        <w:rPr>
          <w:rFonts w:ascii="Consolas"/>
        </w:rPr>
      </w:pPr>
      <w:r>
        <w:rPr>
          <w:rFonts w:ascii="Consolas"/>
        </w:rPr>
        <w:t>&lt;/value&gt;</w:t>
      </w:r>
    </w:p>
    <w:p>
      <w:pPr>
        <w:pStyle w:val="BodyText"/>
        <w:spacing w:before="38"/>
        <w:ind w:left="1235"/>
        <w:rPr>
          <w:rFonts w:ascii="Consolas"/>
        </w:rPr>
      </w:pPr>
      <w:r>
        <w:rPr>
          <w:rFonts w:ascii="Consolas"/>
        </w:rPr>
        <w:t>&lt;/values&gt;</w:t>
      </w:r>
    </w:p>
    <w:p>
      <w:pPr>
        <w:pStyle w:val="BodyText"/>
        <w:spacing w:before="38"/>
        <w:ind w:left="993"/>
        <w:rPr>
          <w:rFonts w:ascii="Consolas"/>
        </w:rPr>
      </w:pPr>
      <w:r>
        <w:rPr>
          <w:rFonts w:ascii="Consolas"/>
        </w:rPr>
        <w:t>&lt;/ddeItem&gt;</w:t>
      </w:r>
    </w:p>
    <w:p>
      <w:pPr>
        <w:pStyle w:val="BodyText"/>
        <w:spacing w:before="40"/>
        <w:ind w:left="993"/>
        <w:rPr>
          <w:rFonts w:ascii="Consolas"/>
        </w:rPr>
      </w:pPr>
      <w:r>
        <w:rPr>
          <w:rFonts w:ascii="Consolas"/>
        </w:rPr>
        <w:t>&lt;ddeItem name="MSFT" advise="1"&gt;</w:t>
      </w:r>
    </w:p>
    <w:p>
      <w:pPr>
        <w:pStyle w:val="BodyText"/>
        <w:spacing w:before="37"/>
        <w:ind w:left="1235"/>
        <w:rPr>
          <w:rFonts w:ascii="Consolas"/>
        </w:rPr>
      </w:pPr>
      <w:r>
        <w:rPr>
          <w:rFonts w:ascii="Consolas"/>
        </w:rPr>
        <w:t>&lt;values&gt;</w:t>
      </w:r>
    </w:p>
    <w:p>
      <w:pPr>
        <w:pStyle w:val="BodyText"/>
        <w:spacing w:before="40"/>
        <w:ind w:left="1478"/>
        <w:rPr>
          <w:rFonts w:ascii="Consolas"/>
        </w:rPr>
      </w:pPr>
      <w:r>
        <w:rPr>
          <w:rFonts w:ascii="Consolas"/>
        </w:rPr>
        <w:t>&lt;value&gt;</w:t>
      </w:r>
    </w:p>
    <w:p>
      <w:pPr>
        <w:pStyle w:val="BodyText"/>
        <w:spacing w:before="38"/>
        <w:ind w:left="1718"/>
        <w:rPr>
          <w:rFonts w:ascii="Consolas"/>
        </w:rPr>
      </w:pPr>
      <w:r>
        <w:rPr>
          <w:rFonts w:ascii="Consolas"/>
        </w:rPr>
        <w:t>&lt;val&gt;54.130000000000003&lt;/val&gt;</w:t>
      </w:r>
    </w:p>
    <w:p>
      <w:pPr>
        <w:pStyle w:val="BodyText"/>
        <w:spacing w:before="40"/>
        <w:ind w:left="1478"/>
        <w:rPr>
          <w:rFonts w:ascii="Consolas"/>
        </w:rPr>
      </w:pPr>
      <w:r>
        <w:rPr>
          <w:rFonts w:ascii="Consolas"/>
        </w:rPr>
        <w:t>&lt;/value&gt;</w:t>
      </w:r>
    </w:p>
    <w:p>
      <w:pPr>
        <w:pStyle w:val="BodyText"/>
        <w:spacing w:before="37"/>
        <w:ind w:left="1235"/>
        <w:rPr>
          <w:rFonts w:ascii="Consolas"/>
        </w:rPr>
      </w:pPr>
      <w:r>
        <w:rPr>
          <w:rFonts w:ascii="Consolas"/>
        </w:rPr>
        <w:t>&lt;/values&gt;</w:t>
      </w:r>
    </w:p>
    <w:p>
      <w:pPr>
        <w:pStyle w:val="BodyText"/>
        <w:spacing w:before="38"/>
        <w:ind w:left="993"/>
        <w:rPr>
          <w:rFonts w:ascii="Consolas"/>
        </w:rPr>
      </w:pPr>
      <w:r>
        <w:rPr>
          <w:rFonts w:ascii="Consolas"/>
        </w:rPr>
        <w:t>&lt;/ddeItem&gt;</w:t>
      </w:r>
    </w:p>
    <w:p>
      <w:pPr>
        <w:pStyle w:val="BodyText"/>
        <w:spacing w:before="40"/>
        <w:ind w:left="993"/>
        <w:rPr>
          <w:rFonts w:ascii="Consolas"/>
        </w:rPr>
      </w:pPr>
      <w:r>
        <w:rPr>
          <w:rFonts w:ascii="Consolas"/>
        </w:rPr>
        <w:t>&lt;ddeItem name="StdDocumentName" ole="1" advise="1"/&gt;</w:t>
      </w:r>
    </w:p>
    <w:p>
      <w:pPr>
        <w:pStyle w:val="BodyText"/>
        <w:spacing w:before="38"/>
        <w:ind w:left="750"/>
        <w:rPr>
          <w:rFonts w:ascii="Consolas"/>
        </w:rPr>
      </w:pPr>
      <w:r>
        <w:rPr>
          <w:rFonts w:ascii="Consolas"/>
        </w:rPr>
        <w:t>&lt;/ddeItems&gt;</w:t>
      </w:r>
    </w:p>
    <w:p>
      <w:pPr>
        <w:pStyle w:val="BodyText"/>
        <w:spacing w:before="40"/>
        <w:ind w:left="508"/>
        <w:rPr>
          <w:rFonts w:ascii="Consolas"/>
        </w:rPr>
      </w:pPr>
      <w:r>
        <w:rPr>
          <w:rFonts w:ascii="Consolas"/>
        </w:rPr>
        <w:t>&lt;/ddeLink&gt;</w:t>
      </w:r>
    </w:p>
    <w:p>
      <w:pPr>
        <w:pStyle w:val="BodyText"/>
        <w:spacing w:before="3"/>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The possible values for this element are defined by the </w:t>
      </w:r>
      <w:r>
        <w:rPr>
          <w:rFonts w:ascii="Cambria" w:hAnsi="Cambria"/>
        </w:rPr>
        <w:t>ST_Xstring </w:t>
      </w:r>
      <w:r>
        <w:rPr/>
        <w:t>simple type (§22.9.2.19).</w:t>
      </w:r>
    </w:p>
    <w:p>
      <w:pPr>
        <w:pStyle w:val="BodyText"/>
        <w:spacing w:before="6"/>
        <w:rPr>
          <w:sz w:val="19"/>
        </w:rPr>
      </w:pPr>
    </w:p>
    <w:p>
      <w:pPr>
        <w:pStyle w:val="BodyText"/>
        <w:spacing w:line="278" w:lineRule="auto"/>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4.18 value (Value)" w:id="1259"/>
      <w:bookmarkEnd w:id="1259"/>
      <w:r>
        <w:rPr>
          <w:b w:val="0"/>
        </w:rPr>
      </w:r>
      <w:bookmarkStart w:name="_bookmark418" w:id="1260"/>
      <w:bookmarkEnd w:id="1260"/>
      <w:r>
        <w:rPr>
          <w:b w:val="0"/>
        </w:rPr>
      </w:r>
      <w:bookmarkStart w:name="_bookmark418" w:id="1261"/>
      <w:bookmarkEnd w:id="1261"/>
      <w:r>
        <w:rPr>
          <w:color w:val="4F81BC"/>
        </w:rPr>
        <w:t>va</w:t>
      </w:r>
      <w:r>
        <w:rPr>
          <w:color w:val="4F81BC"/>
        </w:rPr>
        <w:t>lue</w:t>
      </w:r>
      <w:r>
        <w:rPr>
          <w:color w:val="4F81BC"/>
          <w:spacing w:val="-2"/>
        </w:rPr>
        <w:t> </w:t>
      </w:r>
      <w:r>
        <w:rPr>
          <w:color w:val="4F81BC"/>
        </w:rPr>
        <w:t>(Value)</w:t>
      </w:r>
    </w:p>
    <w:p>
      <w:pPr>
        <w:pStyle w:val="BodyText"/>
        <w:spacing w:before="124"/>
        <w:ind w:left="220"/>
        <w:rPr>
          <w:rFonts w:ascii="Cambria"/>
        </w:rPr>
      </w:pPr>
      <w:r>
        <w:rPr/>
        <w:t>This element contains a value associated with a particular DDE item. This serves as a container for the </w:t>
      </w:r>
      <w:r>
        <w:rPr>
          <w:rFonts w:ascii="Cambria"/>
        </w:rPr>
        <w:t>val</w:t>
      </w:r>
    </w:p>
    <w:p>
      <w:pPr>
        <w:pStyle w:val="BodyText"/>
        <w:spacing w:before="41"/>
        <w:ind w:left="220"/>
      </w:pPr>
      <w:r>
        <w:rPr/>
        <w:t>element.</w:t>
      </w:r>
    </w:p>
    <w:p>
      <w:pPr>
        <w:pStyle w:val="BodyText"/>
        <w:spacing w:before="10"/>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61" w:hRule="atLeast"/>
        </w:trPr>
        <w:tc>
          <w:tcPr>
            <w:tcW w:w="2062" w:type="dxa"/>
          </w:tcPr>
          <w:p>
            <w:pPr>
              <w:pStyle w:val="TableParagraph"/>
              <w:rPr>
                <w:sz w:val="22"/>
              </w:rPr>
            </w:pPr>
            <w:r>
              <w:rPr>
                <w:rFonts w:ascii="Cambria"/>
                <w:sz w:val="22"/>
              </w:rPr>
              <w:t>t </w:t>
            </w:r>
            <w:r>
              <w:rPr>
                <w:sz w:val="22"/>
              </w:rPr>
              <w:t>(DDE Value Type)</w:t>
            </w:r>
          </w:p>
        </w:tc>
        <w:tc>
          <w:tcPr>
            <w:tcW w:w="8250" w:type="dxa"/>
          </w:tcPr>
          <w:p>
            <w:pPr>
              <w:pStyle w:val="TableParagraph"/>
              <w:rPr>
                <w:sz w:val="22"/>
              </w:rPr>
            </w:pPr>
            <w:r>
              <w:rPr>
                <w:sz w:val="22"/>
              </w:rPr>
              <w:t>Indicates the DDE value type.</w:t>
            </w:r>
          </w:p>
          <w:p>
            <w:pPr>
              <w:pStyle w:val="TableParagraph"/>
              <w:spacing w:before="0"/>
              <w:ind w:left="0"/>
              <w:rPr>
                <w:sz w:val="22"/>
              </w:rPr>
            </w:pPr>
          </w:p>
          <w:p>
            <w:pPr>
              <w:pStyle w:val="TableParagraph"/>
              <w:spacing w:before="0"/>
              <w:ind w:right="330"/>
              <w:rPr>
                <w:sz w:val="22"/>
              </w:rPr>
            </w:pPr>
            <w:r>
              <w:rPr>
                <w:sz w:val="22"/>
              </w:rPr>
              <w:t>The possible values for this attribute are defined by the </w:t>
            </w:r>
            <w:r>
              <w:rPr>
                <w:rFonts w:ascii="Cambria" w:hAnsi="Cambria"/>
                <w:sz w:val="22"/>
              </w:rPr>
              <w:t>ST_DdeValueType </w:t>
            </w:r>
            <w:r>
              <w:rPr>
                <w:sz w:val="22"/>
              </w:rPr>
              <w:t>simple type </w:t>
            </w:r>
            <w:hyperlink w:history="true" w:anchor="_bookmark845">
              <w:r>
                <w:rPr>
                  <w:sz w:val="22"/>
                </w:rPr>
                <w:t>(§18.18.23</w:t>
              </w:r>
            </w:hyperlink>
            <w:r>
              <w:rPr>
                <w:sz w:val="22"/>
              </w:rPr>
              <w:t>).</w:t>
            </w:r>
          </w:p>
        </w:tc>
      </w:tr>
    </w:tbl>
    <w:p>
      <w:pPr>
        <w:spacing w:after="0"/>
        <w:rPr>
          <w:sz w:val="22"/>
        </w:rPr>
        <w:sectPr>
          <w:pgSz w:w="12240" w:h="15840"/>
          <w:pgMar w:header="763" w:footer="746" w:top="1340" w:bottom="940" w:left="860" w:right="700"/>
        </w:sectPr>
      </w:pPr>
    </w:p>
    <w:p>
      <w:pPr>
        <w:pStyle w:val="BodyText"/>
        <w:spacing w:line="278" w:lineRule="auto" w:before="90"/>
        <w:ind w:left="220" w:right="619"/>
      </w:pPr>
      <w:r>
        <w:rPr/>
        <w:t>[</w:t>
      </w:r>
      <w:r>
        <w:rPr>
          <w:i/>
        </w:rPr>
        <w:t>Note</w:t>
      </w:r>
      <w:r>
        <w:rPr/>
        <w:t>: The W3C XML Schema definition of this element’s content model (</w:t>
      </w:r>
      <w:r>
        <w:rPr>
          <w:color w:val="5F5F5F"/>
          <w:u w:val="single" w:color="5F5F5F"/>
        </w:rPr>
        <w:t>CT_DdeValue</w:t>
      </w:r>
      <w:r>
        <w:rPr/>
        <w:t>) is located in §A.2. </w:t>
      </w:r>
      <w:r>
        <w:rPr>
          <w:i/>
        </w:rPr>
        <w:t>end </w:t>
      </w:r>
      <w:r>
        <w:rPr>
          <w:i/>
        </w:rPr>
        <w:t>note</w:t>
      </w:r>
      <w:r>
        <w:rPr/>
        <w:t>]</w:t>
      </w:r>
    </w:p>
    <w:p>
      <w:pPr>
        <w:pStyle w:val="BodyText"/>
        <w:spacing w:before="4"/>
        <w:rPr>
          <w:sz w:val="16"/>
        </w:rPr>
      </w:pPr>
    </w:p>
    <w:p>
      <w:pPr>
        <w:pStyle w:val="Heading2"/>
        <w:numPr>
          <w:ilvl w:val="2"/>
          <w:numId w:val="17"/>
        </w:numPr>
        <w:tabs>
          <w:tab w:pos="1445" w:val="left" w:leader="none"/>
        </w:tabs>
        <w:spacing w:line="240" w:lineRule="auto" w:before="0" w:after="0"/>
        <w:ind w:left="1444" w:right="0" w:hanging="1225"/>
        <w:jc w:val="left"/>
      </w:pPr>
      <w:bookmarkStart w:name="18.14.19 values (DDE Name Values)" w:id="1262"/>
      <w:bookmarkEnd w:id="1262"/>
      <w:r>
        <w:rPr>
          <w:b w:val="0"/>
        </w:rPr>
      </w:r>
      <w:bookmarkStart w:name="_bookmark419" w:id="1263"/>
      <w:bookmarkEnd w:id="1263"/>
      <w:r>
        <w:rPr>
          <w:b w:val="0"/>
        </w:rPr>
      </w:r>
      <w:bookmarkStart w:name="_bookmark419" w:id="1264"/>
      <w:bookmarkEnd w:id="1264"/>
      <w:r>
        <w:rPr>
          <w:color w:val="4F81BC"/>
        </w:rPr>
        <w:t>va</w:t>
      </w:r>
      <w:r>
        <w:rPr>
          <w:color w:val="4F81BC"/>
        </w:rPr>
        <w:t>lues (DDE Name Values)</w:t>
      </w:r>
    </w:p>
    <w:p>
      <w:pPr>
        <w:pStyle w:val="BodyText"/>
        <w:spacing w:before="124"/>
        <w:ind w:left="220"/>
      </w:pPr>
      <w:r>
        <w:rPr/>
        <w:t>This element defines a collection of values associated with DDE item.</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rPr>
                <w:sz w:val="22"/>
              </w:rPr>
            </w:pPr>
            <w:r>
              <w:rPr>
                <w:rFonts w:ascii="Cambria"/>
                <w:sz w:val="22"/>
              </w:rPr>
              <w:t>cols </w:t>
            </w:r>
            <w:r>
              <w:rPr>
                <w:sz w:val="22"/>
              </w:rPr>
              <w:t>(Columns)</w:t>
            </w:r>
          </w:p>
        </w:tc>
        <w:tc>
          <w:tcPr>
            <w:tcW w:w="8250" w:type="dxa"/>
          </w:tcPr>
          <w:p>
            <w:pPr>
              <w:pStyle w:val="TableParagraph"/>
              <w:rPr>
                <w:sz w:val="22"/>
              </w:rPr>
            </w:pPr>
            <w:r>
              <w:rPr>
                <w:sz w:val="22"/>
              </w:rPr>
              <w:t>The number of columns of data that is returned by the DDE server for this DDE item. The default value of this attribute is 1.</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430" w:hRule="atLeast"/>
        </w:trPr>
        <w:tc>
          <w:tcPr>
            <w:tcW w:w="2062" w:type="dxa"/>
          </w:tcPr>
          <w:p>
            <w:pPr>
              <w:pStyle w:val="TableParagraph"/>
              <w:spacing w:before="43"/>
              <w:rPr>
                <w:sz w:val="22"/>
              </w:rPr>
            </w:pPr>
            <w:r>
              <w:rPr>
                <w:rFonts w:ascii="Cambria"/>
                <w:sz w:val="22"/>
              </w:rPr>
              <w:t>rows </w:t>
            </w:r>
            <w:r>
              <w:rPr>
                <w:sz w:val="22"/>
              </w:rPr>
              <w:t>(Rows)</w:t>
            </w:r>
          </w:p>
        </w:tc>
        <w:tc>
          <w:tcPr>
            <w:tcW w:w="8250" w:type="dxa"/>
          </w:tcPr>
          <w:p>
            <w:pPr>
              <w:pStyle w:val="TableParagraph"/>
              <w:spacing w:line="237" w:lineRule="auto" w:before="45"/>
              <w:rPr>
                <w:sz w:val="22"/>
              </w:rPr>
            </w:pPr>
            <w:r>
              <w:rPr>
                <w:sz w:val="22"/>
              </w:rPr>
              <w:t>The number of rows of data that is returned by the DDE server for this DDE item. The default value of this attribute is 1.</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bl>
    <w:p>
      <w:pPr>
        <w:pStyle w:val="BodyText"/>
      </w:pPr>
    </w:p>
    <w:p>
      <w:pPr>
        <w:pStyle w:val="BodyText"/>
        <w:spacing w:before="5"/>
        <w:rPr>
          <w:sz w:val="19"/>
        </w:rPr>
      </w:pPr>
    </w:p>
    <w:p>
      <w:pPr>
        <w:pStyle w:val="BodyText"/>
        <w:spacing w:line="278" w:lineRule="auto"/>
        <w:ind w:left="220" w:right="533"/>
      </w:pPr>
      <w:r>
        <w:rPr/>
        <w:t>[</w:t>
      </w:r>
      <w:r>
        <w:rPr>
          <w:i/>
        </w:rPr>
        <w:t>Note</w:t>
      </w:r>
      <w:r>
        <w:rPr/>
        <w:t>: The W3C XML Schema definition of this element’s content model (</w:t>
      </w:r>
      <w:r>
        <w:rPr>
          <w:color w:val="5F5F5F"/>
          <w:u w:val="single" w:color="5F5F5F"/>
        </w:rPr>
        <w:t>CT_DdeValues</w:t>
      </w:r>
      <w:r>
        <w:rPr/>
        <w:t>) is located in §A.2. </w:t>
      </w:r>
      <w:r>
        <w:rPr>
          <w:i/>
        </w:rPr>
        <w:t>end </w:t>
      </w:r>
      <w:r>
        <w:rPr>
          <w:i/>
        </w:rPr>
        <w:t>note</w:t>
      </w:r>
      <w:r>
        <w:rPr/>
        <w:t>]</w:t>
      </w:r>
    </w:p>
    <w:p>
      <w:pPr>
        <w:pStyle w:val="Heading1"/>
        <w:numPr>
          <w:ilvl w:val="1"/>
          <w:numId w:val="17"/>
        </w:numPr>
        <w:tabs>
          <w:tab w:pos="1156" w:val="left" w:leader="none"/>
          <w:tab w:pos="1157" w:val="left" w:leader="none"/>
        </w:tabs>
        <w:spacing w:line="240" w:lineRule="auto" w:before="196" w:after="0"/>
        <w:ind w:left="1156" w:right="0" w:hanging="937"/>
        <w:jc w:val="left"/>
      </w:pPr>
      <w:bookmarkStart w:name="18.15 Volatile Dependencies" w:id="1265"/>
      <w:bookmarkEnd w:id="1265"/>
      <w:r>
        <w:rPr>
          <w:b w:val="0"/>
        </w:rPr>
      </w:r>
      <w:bookmarkStart w:name="_bookmark420" w:id="1266"/>
      <w:bookmarkEnd w:id="1266"/>
      <w:r>
        <w:rPr>
          <w:b w:val="0"/>
        </w:rPr>
      </w:r>
      <w:bookmarkStart w:name="_bookmark420" w:id="1267"/>
      <w:bookmarkEnd w:id="1267"/>
      <w:r>
        <w:rPr>
          <w:color w:val="4F81BC"/>
        </w:rPr>
        <w:t>Volat</w:t>
      </w:r>
      <w:r>
        <w:rPr>
          <w:color w:val="4F81BC"/>
        </w:rPr>
        <w:t>ile</w:t>
      </w:r>
      <w:r>
        <w:rPr>
          <w:color w:val="4F81BC"/>
          <w:spacing w:val="-1"/>
        </w:rPr>
        <w:t> </w:t>
      </w:r>
      <w:r>
        <w:rPr>
          <w:color w:val="4F81BC"/>
        </w:rPr>
        <w:t>Dependencies</w:t>
      </w:r>
    </w:p>
    <w:p>
      <w:pPr>
        <w:pStyle w:val="BodyText"/>
        <w:spacing w:line="276" w:lineRule="auto" w:before="127"/>
        <w:ind w:left="220" w:right="483"/>
      </w:pPr>
      <w:r>
        <w:rPr/>
        <w:t>The volatileDependencies part provides a cache of data that supports Real Time Data (RTD) and CUBE functions in the workbook. Both of these types of functions require connectivity to external servers to retrieve their data. For RTD functions, an RTD interface defines how data is provided on the server, and how it is retrieved on the client. Similarly, CUBE functions access data in OLAP cubes via their own function syntax. The volatileDependencies part provides that cache of data and supporting information about these functions and their data servers and connections. This allows the spreadsheet application to work with cached values when recalculating the workbook when the external server is not available.</w:t>
      </w:r>
    </w:p>
    <w:p>
      <w:pPr>
        <w:pStyle w:val="BodyText"/>
        <w:spacing w:before="7"/>
        <w:rPr>
          <w:sz w:val="16"/>
        </w:rPr>
      </w:pPr>
    </w:p>
    <w:p>
      <w:pPr>
        <w:pStyle w:val="BodyText"/>
        <w:spacing w:line="276" w:lineRule="auto"/>
        <w:ind w:left="220" w:right="1170"/>
      </w:pPr>
      <w:r>
        <w:rPr/>
        <w:t>[</w:t>
      </w:r>
      <w:r>
        <w:rPr>
          <w:i/>
        </w:rPr>
        <w:t>Note</w:t>
      </w:r>
      <w:r>
        <w:rPr/>
        <w:t>: How users of SpreadsheetML access RTD data depends on the integration the user's spreadsheet application provides for RTD. </w:t>
      </w:r>
      <w:r>
        <w:rPr>
          <w:i/>
        </w:rPr>
        <w:t>end note</w:t>
      </w:r>
      <w:r>
        <w:rPr/>
        <w:t>]</w:t>
      </w:r>
    </w:p>
    <w:p>
      <w:pPr>
        <w:pStyle w:val="BodyText"/>
        <w:spacing w:before="3"/>
        <w:rPr>
          <w:sz w:val="16"/>
        </w:rPr>
      </w:pPr>
    </w:p>
    <w:p>
      <w:pPr>
        <w:pStyle w:val="BodyText"/>
        <w:spacing w:line="278" w:lineRule="auto"/>
        <w:ind w:left="220" w:right="536"/>
      </w:pPr>
      <w:r>
        <w:rPr/>
        <w:t>[</w:t>
      </w:r>
      <w:r>
        <w:rPr>
          <w:i/>
        </w:rPr>
        <w:t>Note</w:t>
      </w:r>
      <w:r>
        <w:rPr/>
        <w:t>: Data connectivity can use a number of different technologies. One example of potential values stored in this attribute can be found at: </w:t>
      </w:r>
      <w:r>
        <w:rPr>
          <w:color w:val="5F5F5F"/>
          <w:u w:val="single" w:color="5F5F5F"/>
        </w:rPr>
        <w:t>http://msdn.microsoft.com/library/default.asp?url=/library/en-</w:t>
      </w:r>
      <w:r>
        <w:rPr>
          <w:color w:val="5F5F5F"/>
        </w:rPr>
        <w:t> </w:t>
      </w:r>
      <w:r>
        <w:rPr>
          <w:color w:val="5F5F5F"/>
          <w:u w:val="single" w:color="5F5F5F"/>
        </w:rPr>
        <w:t>us/vbaxl11/html/xlobjIRtdServer_HV03085058.asp</w:t>
      </w:r>
      <w:r>
        <w:rPr>
          <w:color w:val="5F5F5F"/>
        </w:rPr>
        <w:t> </w:t>
      </w:r>
      <w:r>
        <w:rPr>
          <w:i/>
        </w:rPr>
        <w:t>end note</w:t>
      </w:r>
      <w:r>
        <w:rPr/>
        <w:t>]</w:t>
      </w:r>
    </w:p>
    <w:p>
      <w:pPr>
        <w:pStyle w:val="BodyText"/>
        <w:spacing w:before="6"/>
        <w:rPr>
          <w:sz w:val="11"/>
        </w:rPr>
      </w:pPr>
    </w:p>
    <w:p>
      <w:pPr>
        <w:pStyle w:val="BodyText"/>
        <w:spacing w:before="56"/>
        <w:ind w:left="220"/>
      </w:pPr>
      <w:r>
        <w:rPr/>
        <w:t>File Architecture</w:t>
      </w:r>
    </w:p>
    <w:p>
      <w:pPr>
        <w:pStyle w:val="BodyText"/>
        <w:spacing w:before="9"/>
        <w:rPr>
          <w:sz w:val="19"/>
        </w:rPr>
      </w:pPr>
    </w:p>
    <w:p>
      <w:pPr>
        <w:pStyle w:val="BodyText"/>
        <w:ind w:left="220"/>
      </w:pPr>
      <w:r>
        <w:rPr/>
        <w:t>The workbook holds the relationship to the volatile dependencies part.</w:t>
      </w:r>
    </w:p>
    <w:p>
      <w:pPr>
        <w:spacing w:after="0"/>
        <w:sectPr>
          <w:pgSz w:w="12240" w:h="15840"/>
          <w:pgMar w:header="761" w:footer="746" w:top="1340" w:bottom="940" w:left="860" w:right="700"/>
        </w:sectPr>
      </w:pPr>
    </w:p>
    <w:p>
      <w:pPr>
        <w:pStyle w:val="BodyText"/>
        <w:rPr>
          <w:sz w:val="20"/>
        </w:rPr>
      </w:pPr>
    </w:p>
    <w:p>
      <w:pPr>
        <w:pStyle w:val="BodyText"/>
        <w:spacing w:before="11"/>
        <w:rPr>
          <w:sz w:val="16"/>
        </w:rPr>
      </w:pPr>
    </w:p>
    <w:p>
      <w:pPr>
        <w:pStyle w:val="BodyText"/>
        <w:ind w:left="777"/>
        <w:rPr>
          <w:sz w:val="20"/>
        </w:rPr>
      </w:pPr>
      <w:r>
        <w:rPr>
          <w:sz w:val="20"/>
        </w:rPr>
        <w:drawing>
          <wp:inline distT="0" distB="0" distL="0" distR="0">
            <wp:extent cx="2762100" cy="1590675"/>
            <wp:effectExtent l="0" t="0" r="0" b="0"/>
            <wp:docPr id="131" name="image65.png"/>
            <wp:cNvGraphicFramePr>
              <a:graphicFrameLocks noChangeAspect="1"/>
            </wp:cNvGraphicFramePr>
            <a:graphic>
              <a:graphicData uri="http://schemas.openxmlformats.org/drawingml/2006/picture">
                <pic:pic>
                  <pic:nvPicPr>
                    <pic:cNvPr id="132" name="image65.png"/>
                    <pic:cNvPicPr/>
                  </pic:nvPicPr>
                  <pic:blipFill>
                    <a:blip r:embed="rId187" cstate="print"/>
                    <a:stretch>
                      <a:fillRect/>
                    </a:stretch>
                  </pic:blipFill>
                  <pic:spPr>
                    <a:xfrm>
                      <a:off x="0" y="0"/>
                      <a:ext cx="2762100" cy="1590675"/>
                    </a:xfrm>
                    <a:prstGeom prst="rect">
                      <a:avLst/>
                    </a:prstGeom>
                  </pic:spPr>
                </pic:pic>
              </a:graphicData>
            </a:graphic>
          </wp:inline>
        </w:drawing>
      </w:r>
      <w:r>
        <w:rPr>
          <w:sz w:val="20"/>
        </w:rPr>
      </w:r>
    </w:p>
    <w:p>
      <w:pPr>
        <w:pStyle w:val="BodyText"/>
        <w:rPr>
          <w:sz w:val="20"/>
        </w:rPr>
      </w:pPr>
    </w:p>
    <w:p>
      <w:pPr>
        <w:pStyle w:val="BodyText"/>
      </w:pPr>
    </w:p>
    <w:p>
      <w:pPr>
        <w:pStyle w:val="BodyText"/>
        <w:spacing w:before="56"/>
        <w:ind w:left="220"/>
      </w:pPr>
      <w:r>
        <w:rPr/>
        <w:t>Illustration</w:t>
      </w:r>
    </w:p>
    <w:p>
      <w:pPr>
        <w:pStyle w:val="BodyText"/>
        <w:spacing w:before="7"/>
        <w:rPr>
          <w:sz w:val="19"/>
        </w:rPr>
      </w:pPr>
    </w:p>
    <w:p>
      <w:pPr>
        <w:pStyle w:val="BodyText"/>
        <w:spacing w:line="276" w:lineRule="auto"/>
        <w:ind w:left="220" w:right="543"/>
      </w:pPr>
      <w:r>
        <w:rPr/>
        <w:t>[</w:t>
      </w:r>
      <w:r>
        <w:rPr>
          <w:i/>
        </w:rPr>
        <w:t>Example</w:t>
      </w:r>
      <w:r>
        <w:rPr/>
        <w:t>: The following image shows an example implementation of CUBE and Real Time Data (RTD) functions in a worksheet.</w:t>
      </w:r>
    </w:p>
    <w:p>
      <w:pPr>
        <w:pStyle w:val="BodyText"/>
        <w:spacing w:before="2"/>
        <w:rPr>
          <w:sz w:val="13"/>
        </w:rPr>
      </w:pPr>
      <w:r>
        <w:rPr/>
        <w:drawing>
          <wp:anchor distT="0" distB="0" distL="0" distR="0" allowOverlap="1" layoutInCell="1" locked="0" behindDoc="0" simplePos="0" relativeHeight="72">
            <wp:simplePos x="0" y="0"/>
            <wp:positionH relativeFrom="page">
              <wp:posOffset>868680</wp:posOffset>
            </wp:positionH>
            <wp:positionV relativeFrom="paragraph">
              <wp:posOffset>127252</wp:posOffset>
            </wp:positionV>
            <wp:extent cx="6412260" cy="1452467"/>
            <wp:effectExtent l="0" t="0" r="0" b="0"/>
            <wp:wrapTopAndBottom/>
            <wp:docPr id="133" name="image66.png"/>
            <wp:cNvGraphicFramePr>
              <a:graphicFrameLocks noChangeAspect="1"/>
            </wp:cNvGraphicFramePr>
            <a:graphic>
              <a:graphicData uri="http://schemas.openxmlformats.org/drawingml/2006/picture">
                <pic:pic>
                  <pic:nvPicPr>
                    <pic:cNvPr id="134" name="image66.png"/>
                    <pic:cNvPicPr/>
                  </pic:nvPicPr>
                  <pic:blipFill>
                    <a:blip r:embed="rId188" cstate="print"/>
                    <a:stretch>
                      <a:fillRect/>
                    </a:stretch>
                  </pic:blipFill>
                  <pic:spPr>
                    <a:xfrm>
                      <a:off x="0" y="0"/>
                      <a:ext cx="6412260" cy="1452467"/>
                    </a:xfrm>
                    <a:prstGeom prst="rect">
                      <a:avLst/>
                    </a:prstGeom>
                  </pic:spPr>
                </pic:pic>
              </a:graphicData>
            </a:graphic>
          </wp:anchor>
        </w:drawing>
      </w:r>
    </w:p>
    <w:p>
      <w:pPr>
        <w:pStyle w:val="BodyText"/>
        <w:spacing w:before="9"/>
        <w:rPr>
          <w:sz w:val="16"/>
        </w:rPr>
      </w:pPr>
    </w:p>
    <w:p>
      <w:pPr>
        <w:pStyle w:val="BodyText"/>
        <w:ind w:left="220"/>
      </w:pPr>
      <w:r>
        <w:rPr/>
        <w:t>The following example shows the XML that describes the functions in the illustration.</w:t>
      </w:r>
    </w:p>
    <w:p>
      <w:pPr>
        <w:pStyle w:val="BodyText"/>
        <w:spacing w:before="8"/>
        <w:rPr>
          <w:sz w:val="19"/>
        </w:rPr>
      </w:pPr>
    </w:p>
    <w:p>
      <w:pPr>
        <w:pStyle w:val="BodyText"/>
        <w:ind w:left="508"/>
        <w:rPr>
          <w:rFonts w:ascii="Consolas" w:hAnsi="Consolas"/>
        </w:rPr>
      </w:pPr>
      <w:r>
        <w:rPr>
          <w:rFonts w:ascii="Consolas" w:hAnsi="Consolas"/>
        </w:rPr>
        <w:t>&lt;volTypes xmlns="…"&gt;</w:t>
      </w:r>
    </w:p>
    <w:p>
      <w:pPr>
        <w:pStyle w:val="BodyText"/>
        <w:spacing w:before="38"/>
        <w:ind w:left="750"/>
        <w:rPr>
          <w:rFonts w:ascii="Consolas"/>
        </w:rPr>
      </w:pPr>
      <w:r>
        <w:rPr>
          <w:rFonts w:ascii="Consolas"/>
        </w:rPr>
        <w:t>&lt;volType type="realTimeData"&gt;</w:t>
      </w:r>
    </w:p>
    <w:p>
      <w:pPr>
        <w:pStyle w:val="BodyText"/>
        <w:spacing w:before="40"/>
        <w:ind w:left="993"/>
        <w:rPr>
          <w:rFonts w:ascii="Consolas"/>
        </w:rPr>
      </w:pPr>
      <w:r>
        <w:rPr>
          <w:rFonts w:ascii="Consolas"/>
        </w:rPr>
        <w:t>&lt;main first="jrtdx.rtd"&gt;</w:t>
      </w:r>
    </w:p>
    <w:p>
      <w:pPr>
        <w:pStyle w:val="BodyText"/>
        <w:spacing w:before="37"/>
        <w:ind w:left="1235"/>
        <w:rPr>
          <w:rFonts w:ascii="Consolas"/>
        </w:rPr>
      </w:pPr>
      <w:r>
        <w:rPr>
          <w:rFonts w:ascii="Consolas"/>
        </w:rPr>
        <w:t>&lt;tp t="s"&gt;</w:t>
      </w:r>
    </w:p>
    <w:p>
      <w:pPr>
        <w:pStyle w:val="BodyText"/>
        <w:spacing w:before="38"/>
        <w:ind w:left="1478"/>
        <w:rPr>
          <w:rFonts w:ascii="Consolas"/>
        </w:rPr>
      </w:pPr>
      <w:r>
        <w:rPr>
          <w:rFonts w:ascii="Consolas"/>
        </w:rPr>
        <w:t>&lt;v&gt;aaa: 4447&lt;/v&gt;</w:t>
      </w:r>
    </w:p>
    <w:p>
      <w:pPr>
        <w:pStyle w:val="BodyText"/>
        <w:spacing w:before="40"/>
        <w:ind w:left="1478"/>
        <w:rPr>
          <w:rFonts w:ascii="Consolas"/>
        </w:rPr>
      </w:pPr>
      <w:r>
        <w:rPr>
          <w:rFonts w:ascii="Consolas"/>
        </w:rPr>
        <w:t>&lt;stp/&gt;</w:t>
      </w:r>
    </w:p>
    <w:p>
      <w:pPr>
        <w:pStyle w:val="BodyText"/>
        <w:spacing w:before="37"/>
        <w:ind w:left="1478"/>
        <w:rPr>
          <w:rFonts w:ascii="Consolas"/>
        </w:rPr>
      </w:pPr>
      <w:r>
        <w:rPr>
          <w:rFonts w:ascii="Consolas"/>
        </w:rPr>
        <w:t>&lt;stp&gt;aaa&lt;/stp&gt;</w:t>
      </w:r>
    </w:p>
    <w:p>
      <w:pPr>
        <w:pStyle w:val="BodyText"/>
        <w:spacing w:before="40"/>
        <w:ind w:left="1478"/>
        <w:rPr>
          <w:rFonts w:ascii="Consolas"/>
        </w:rPr>
      </w:pPr>
      <w:r>
        <w:rPr>
          <w:rFonts w:ascii="Consolas"/>
        </w:rPr>
        <w:t>&lt;tr r="A1" s="1"/&gt;</w:t>
      </w:r>
    </w:p>
    <w:p>
      <w:pPr>
        <w:pStyle w:val="BodyText"/>
        <w:spacing w:before="38"/>
        <w:ind w:right="8838"/>
        <w:jc w:val="right"/>
        <w:rPr>
          <w:rFonts w:ascii="Consolas"/>
        </w:rPr>
      </w:pPr>
      <w:r>
        <w:rPr>
          <w:rFonts w:ascii="Consolas"/>
          <w:spacing w:val="-1"/>
        </w:rPr>
        <w:t>&lt;/tp&gt;</w:t>
      </w:r>
    </w:p>
    <w:p>
      <w:pPr>
        <w:pStyle w:val="BodyText"/>
        <w:spacing w:before="40"/>
        <w:ind w:right="8839"/>
        <w:jc w:val="right"/>
        <w:rPr>
          <w:rFonts w:ascii="Consolas"/>
        </w:rPr>
      </w:pPr>
      <w:r>
        <w:rPr>
          <w:rFonts w:ascii="Consolas"/>
          <w:spacing w:val="-2"/>
        </w:rPr>
        <w:t>&lt;/main&gt;</w:t>
      </w:r>
    </w:p>
    <w:p>
      <w:pPr>
        <w:pStyle w:val="BodyText"/>
        <w:spacing w:before="38"/>
        <w:ind w:left="750"/>
        <w:rPr>
          <w:rFonts w:ascii="Consolas"/>
        </w:rPr>
      </w:pPr>
      <w:r>
        <w:rPr>
          <w:rFonts w:ascii="Consolas"/>
        </w:rPr>
        <w:t>&lt;/volType&gt;</w:t>
      </w:r>
    </w:p>
    <w:p>
      <w:pPr>
        <w:spacing w:after="0"/>
        <w:rPr>
          <w:rFonts w:ascii="Consolas"/>
        </w:rPr>
        <w:sectPr>
          <w:pgSz w:w="12240" w:h="15840"/>
          <w:pgMar w:header="763" w:footer="746" w:top="1340" w:bottom="940" w:left="860" w:right="700"/>
        </w:sectPr>
      </w:pPr>
    </w:p>
    <w:p>
      <w:pPr>
        <w:pStyle w:val="BodyText"/>
        <w:spacing w:before="93"/>
        <w:ind w:left="750"/>
        <w:rPr>
          <w:rFonts w:ascii="Consolas"/>
        </w:rPr>
      </w:pPr>
      <w:r>
        <w:rPr>
          <w:rFonts w:ascii="Consolas"/>
        </w:rPr>
        <w:t>&lt;volType type="olapFunctions"&gt;</w:t>
      </w:r>
    </w:p>
    <w:p>
      <w:pPr>
        <w:pStyle w:val="BodyText"/>
        <w:spacing w:before="38"/>
        <w:ind w:left="993"/>
        <w:rPr>
          <w:rFonts w:ascii="Consolas"/>
        </w:rPr>
      </w:pPr>
      <w:r>
        <w:rPr>
          <w:rFonts w:ascii="Consolas"/>
        </w:rPr>
        <w:t>&lt;main first="xlextdat9 Adventure Works DW Adventure Works"&gt;</w:t>
      </w:r>
    </w:p>
    <w:p>
      <w:pPr>
        <w:pStyle w:val="BodyText"/>
        <w:spacing w:before="40"/>
        <w:ind w:left="1235"/>
        <w:rPr>
          <w:rFonts w:ascii="Consolas"/>
        </w:rPr>
      </w:pPr>
      <w:r>
        <w:rPr>
          <w:rFonts w:ascii="Consolas"/>
        </w:rPr>
        <w:t>&lt;tp t="e"&gt;</w:t>
      </w:r>
    </w:p>
    <w:p>
      <w:pPr>
        <w:pStyle w:val="BodyText"/>
        <w:spacing w:before="37"/>
        <w:ind w:left="1478"/>
        <w:rPr>
          <w:rFonts w:ascii="Consolas"/>
        </w:rPr>
      </w:pPr>
      <w:r>
        <w:rPr>
          <w:rFonts w:ascii="Consolas"/>
        </w:rPr>
        <w:t>&lt;v&gt;#N/A&lt;/v&gt;</w:t>
      </w:r>
    </w:p>
    <w:p>
      <w:pPr>
        <w:pStyle w:val="BodyText"/>
        <w:spacing w:before="40"/>
        <w:ind w:left="1478"/>
        <w:rPr>
          <w:rFonts w:ascii="Consolas"/>
        </w:rPr>
      </w:pPr>
      <w:r>
        <w:rPr>
          <w:rFonts w:ascii="Consolas"/>
        </w:rPr>
        <w:t>&lt;stp&gt;1&lt;/stp&gt;</w:t>
      </w:r>
    </w:p>
    <w:p>
      <w:pPr>
        <w:pStyle w:val="BodyText"/>
        <w:spacing w:before="38"/>
        <w:ind w:left="1478"/>
        <w:rPr>
          <w:rFonts w:ascii="Consolas"/>
        </w:rPr>
      </w:pPr>
      <w:r>
        <w:rPr>
          <w:rFonts w:ascii="Consolas"/>
        </w:rPr>
        <w:t>&lt;tr r="A6"</w:t>
      </w:r>
      <w:r>
        <w:rPr>
          <w:rFonts w:ascii="Consolas"/>
          <w:spacing w:val="-13"/>
        </w:rPr>
        <w:t> </w:t>
      </w:r>
      <w:r>
        <w:rPr>
          <w:rFonts w:ascii="Consolas"/>
        </w:rPr>
        <w:t>s="1"/&gt;</w:t>
      </w:r>
    </w:p>
    <w:p>
      <w:pPr>
        <w:pStyle w:val="BodyText"/>
        <w:spacing w:before="40"/>
        <w:ind w:left="1478"/>
        <w:rPr>
          <w:rFonts w:ascii="Consolas"/>
        </w:rPr>
      </w:pPr>
      <w:r>
        <w:rPr>
          <w:rFonts w:ascii="Consolas"/>
        </w:rPr>
        <w:t>&lt;tr r="A9"</w:t>
      </w:r>
      <w:r>
        <w:rPr>
          <w:rFonts w:ascii="Consolas"/>
          <w:spacing w:val="-13"/>
        </w:rPr>
        <w:t> </w:t>
      </w:r>
      <w:r>
        <w:rPr>
          <w:rFonts w:ascii="Consolas"/>
        </w:rPr>
        <w:t>s="1"/&gt;</w:t>
      </w:r>
    </w:p>
    <w:p>
      <w:pPr>
        <w:pStyle w:val="BodyText"/>
        <w:spacing w:before="37"/>
        <w:ind w:left="1478"/>
        <w:rPr>
          <w:rFonts w:ascii="Consolas"/>
        </w:rPr>
      </w:pPr>
      <w:r>
        <w:rPr>
          <w:rFonts w:ascii="Consolas"/>
        </w:rPr>
        <w:t>&lt;tr r="A8"</w:t>
      </w:r>
      <w:r>
        <w:rPr>
          <w:rFonts w:ascii="Consolas"/>
          <w:spacing w:val="-13"/>
        </w:rPr>
        <w:t> </w:t>
      </w:r>
      <w:r>
        <w:rPr>
          <w:rFonts w:ascii="Consolas"/>
        </w:rPr>
        <w:t>s="1"/&gt;</w:t>
      </w:r>
    </w:p>
    <w:p>
      <w:pPr>
        <w:pStyle w:val="BodyText"/>
        <w:spacing w:before="38"/>
        <w:ind w:left="1478"/>
        <w:rPr>
          <w:rFonts w:ascii="Consolas"/>
        </w:rPr>
      </w:pPr>
      <w:r>
        <w:rPr>
          <w:rFonts w:ascii="Consolas"/>
        </w:rPr>
        <w:t>&lt;tr r="A5"</w:t>
      </w:r>
      <w:r>
        <w:rPr>
          <w:rFonts w:ascii="Consolas"/>
          <w:spacing w:val="-13"/>
        </w:rPr>
        <w:t> </w:t>
      </w:r>
      <w:r>
        <w:rPr>
          <w:rFonts w:ascii="Consolas"/>
        </w:rPr>
        <w:t>s="1"/&gt;</w:t>
      </w:r>
    </w:p>
    <w:p>
      <w:pPr>
        <w:pStyle w:val="BodyText"/>
        <w:spacing w:before="40"/>
        <w:ind w:left="1478"/>
        <w:rPr>
          <w:rFonts w:ascii="Consolas"/>
        </w:rPr>
      </w:pPr>
      <w:r>
        <w:rPr>
          <w:rFonts w:ascii="Consolas"/>
        </w:rPr>
        <w:t>&lt;tr r="A4"</w:t>
      </w:r>
      <w:r>
        <w:rPr>
          <w:rFonts w:ascii="Consolas"/>
          <w:spacing w:val="-13"/>
        </w:rPr>
        <w:t> </w:t>
      </w:r>
      <w:r>
        <w:rPr>
          <w:rFonts w:ascii="Consolas"/>
        </w:rPr>
        <w:t>s="1"/&gt;</w:t>
      </w:r>
    </w:p>
    <w:p>
      <w:pPr>
        <w:pStyle w:val="BodyText"/>
        <w:spacing w:before="38"/>
        <w:ind w:left="1478"/>
        <w:rPr>
          <w:rFonts w:ascii="Consolas"/>
        </w:rPr>
      </w:pPr>
      <w:r>
        <w:rPr>
          <w:rFonts w:ascii="Consolas"/>
        </w:rPr>
        <w:t>&lt;tr r="A3"</w:t>
      </w:r>
      <w:r>
        <w:rPr>
          <w:rFonts w:ascii="Consolas"/>
          <w:spacing w:val="-13"/>
        </w:rPr>
        <w:t> </w:t>
      </w:r>
      <w:r>
        <w:rPr>
          <w:rFonts w:ascii="Consolas"/>
        </w:rPr>
        <w:t>s="1"/&gt;</w:t>
      </w:r>
    </w:p>
    <w:p>
      <w:pPr>
        <w:pStyle w:val="BodyText"/>
        <w:spacing w:before="40"/>
        <w:ind w:right="8839"/>
        <w:jc w:val="right"/>
        <w:rPr>
          <w:rFonts w:ascii="Consolas"/>
        </w:rPr>
      </w:pPr>
      <w:r>
        <w:rPr>
          <w:rFonts w:ascii="Consolas"/>
          <w:spacing w:val="-2"/>
        </w:rPr>
        <w:t>&lt;/tp&gt;</w:t>
      </w:r>
    </w:p>
    <w:p>
      <w:pPr>
        <w:pStyle w:val="BodyText"/>
        <w:spacing w:before="37"/>
        <w:ind w:right="8839"/>
        <w:jc w:val="right"/>
        <w:rPr>
          <w:rFonts w:ascii="Consolas"/>
        </w:rPr>
      </w:pPr>
      <w:r>
        <w:rPr>
          <w:rFonts w:ascii="Consolas"/>
          <w:spacing w:val="-2"/>
        </w:rPr>
        <w:t>&lt;/main&gt;</w:t>
      </w:r>
    </w:p>
    <w:p>
      <w:pPr>
        <w:pStyle w:val="BodyText"/>
        <w:spacing w:before="41"/>
        <w:ind w:left="750"/>
        <w:rPr>
          <w:rFonts w:ascii="Consolas"/>
        </w:rPr>
      </w:pPr>
      <w:r>
        <w:rPr>
          <w:rFonts w:ascii="Consolas"/>
        </w:rPr>
        <w:t>&lt;/volType&gt;</w:t>
      </w:r>
    </w:p>
    <w:p>
      <w:pPr>
        <w:pStyle w:val="BodyText"/>
        <w:spacing w:before="37"/>
        <w:ind w:left="508"/>
        <w:rPr>
          <w:rFonts w:ascii="Consolas"/>
        </w:rPr>
      </w:pPr>
      <w:r>
        <w:rPr>
          <w:rFonts w:ascii="Consolas"/>
        </w:rPr>
        <w:t>&lt;/volTypes&gt;</w:t>
      </w:r>
    </w:p>
    <w:p>
      <w:pPr>
        <w:pStyle w:val="BodyText"/>
        <w:spacing w:before="5"/>
        <w:rPr>
          <w:rFonts w:ascii="Consolas"/>
          <w:sz w:val="20"/>
        </w:rPr>
      </w:pPr>
    </w:p>
    <w:p>
      <w:pPr>
        <w:spacing w:before="0"/>
        <w:ind w:left="220" w:right="0" w:firstLine="0"/>
        <w:jc w:val="both"/>
        <w:rPr>
          <w:sz w:val="22"/>
        </w:rPr>
      </w:pPr>
      <w:r>
        <w:rPr>
          <w:i/>
          <w:sz w:val="22"/>
        </w:rPr>
        <w:t>end example</w:t>
      </w:r>
      <w:r>
        <w:rPr>
          <w:sz w:val="22"/>
        </w:rPr>
        <w:t>]</w:t>
      </w:r>
    </w:p>
    <w:p>
      <w:pPr>
        <w:pStyle w:val="BodyText"/>
        <w:spacing w:before="6"/>
        <w:rPr>
          <w:sz w:val="19"/>
        </w:rPr>
      </w:pPr>
    </w:p>
    <w:p>
      <w:pPr>
        <w:pStyle w:val="BodyText"/>
        <w:spacing w:line="276" w:lineRule="auto"/>
        <w:ind w:left="220" w:right="553"/>
        <w:jc w:val="both"/>
      </w:pPr>
      <w:r>
        <w:rPr/>
        <w:t>While RTD and Cube functions share the cache, there are differences in how the data is interpreted. [</w:t>
      </w:r>
      <w:r>
        <w:rPr>
          <w:i/>
        </w:rPr>
        <w:t>Example</w:t>
      </w:r>
      <w:r>
        <w:rPr/>
        <w:t>: RTD dependencies, </w:t>
      </w:r>
      <w:r>
        <w:rPr>
          <w:rFonts w:ascii="Cambria"/>
        </w:rPr>
        <w:t>volTypes</w:t>
      </w:r>
      <w:r>
        <w:rPr/>
        <w:t>/</w:t>
      </w:r>
      <w:r>
        <w:rPr>
          <w:rFonts w:ascii="Cambria"/>
        </w:rPr>
        <w:t>volType</w:t>
      </w:r>
      <w:r>
        <w:rPr/>
        <w:t>/</w:t>
      </w:r>
      <w:r>
        <w:rPr>
          <w:rFonts w:ascii="Cambria"/>
        </w:rPr>
        <w:t>main</w:t>
      </w:r>
      <w:r>
        <w:rPr/>
        <w:t>@</w:t>
      </w:r>
      <w:r>
        <w:rPr>
          <w:rFonts w:ascii="Consolas"/>
          <w:sz w:val="20"/>
        </w:rPr>
        <w:t>first</w:t>
      </w:r>
      <w:r>
        <w:rPr>
          <w:rFonts w:ascii="Consolas"/>
          <w:spacing w:val="-91"/>
          <w:sz w:val="20"/>
        </w:rPr>
        <w:t> </w:t>
      </w:r>
      <w:r>
        <w:rPr/>
        <w:t>specifies the ProgId of the RTD server. Whereas for OLAP dependencies, </w:t>
      </w:r>
      <w:r>
        <w:rPr>
          <w:rFonts w:ascii="Cambria"/>
        </w:rPr>
        <w:t>main</w:t>
      </w:r>
      <w:r>
        <w:rPr/>
        <w:t>@</w:t>
      </w:r>
      <w:r>
        <w:rPr>
          <w:rFonts w:ascii="Consolas"/>
          <w:sz w:val="20"/>
        </w:rPr>
        <w:t>first</w:t>
      </w:r>
      <w:r>
        <w:rPr>
          <w:rFonts w:ascii="Consolas"/>
          <w:spacing w:val="-72"/>
          <w:sz w:val="20"/>
        </w:rPr>
        <w:t> </w:t>
      </w:r>
      <w:r>
        <w:rPr/>
        <w:t>indicates the connection name. </w:t>
      </w:r>
      <w:r>
        <w:rPr>
          <w:i/>
        </w:rPr>
        <w:t>end example</w:t>
      </w:r>
      <w:r>
        <w:rPr/>
        <w:t>]</w:t>
      </w:r>
    </w:p>
    <w:p>
      <w:pPr>
        <w:pStyle w:val="Heading2"/>
        <w:numPr>
          <w:ilvl w:val="2"/>
          <w:numId w:val="17"/>
        </w:numPr>
        <w:tabs>
          <w:tab w:pos="1444" w:val="left" w:leader="none"/>
          <w:tab w:pos="1445" w:val="left" w:leader="none"/>
        </w:tabs>
        <w:spacing w:line="240" w:lineRule="auto" w:before="203" w:after="0"/>
        <w:ind w:left="1444" w:right="0" w:hanging="1225"/>
        <w:jc w:val="left"/>
      </w:pPr>
      <w:bookmarkStart w:name="18.15.1 main (Main)" w:id="1268"/>
      <w:bookmarkEnd w:id="1268"/>
      <w:r>
        <w:rPr>
          <w:b w:val="0"/>
        </w:rPr>
      </w:r>
      <w:bookmarkStart w:name="_bookmark421" w:id="1269"/>
      <w:bookmarkEnd w:id="1269"/>
      <w:r>
        <w:rPr>
          <w:b w:val="0"/>
        </w:rPr>
      </w:r>
      <w:bookmarkStart w:name="_bookmark421" w:id="1270"/>
      <w:bookmarkEnd w:id="1270"/>
      <w:r>
        <w:rPr>
          <w:color w:val="4F81BC"/>
        </w:rPr>
        <w:t>mai</w:t>
      </w:r>
      <w:r>
        <w:rPr>
          <w:color w:val="4F81BC"/>
        </w:rPr>
        <w:t>n</w:t>
      </w:r>
      <w:r>
        <w:rPr>
          <w:color w:val="4F81BC"/>
          <w:spacing w:val="-1"/>
        </w:rPr>
        <w:t> </w:t>
      </w:r>
      <w:r>
        <w:rPr>
          <w:color w:val="4F81BC"/>
        </w:rPr>
        <w:t>(Main)</w:t>
      </w:r>
    </w:p>
    <w:p>
      <w:pPr>
        <w:pStyle w:val="BodyText"/>
        <w:spacing w:line="276" w:lineRule="auto" w:before="124"/>
        <w:ind w:left="220" w:right="717"/>
      </w:pPr>
      <w:r>
        <w:rPr/>
        <w:t>Represents dependency information for all topics within a volatile dependency type that share the same first string or function argument.</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898" w:hRule="atLeast"/>
        </w:trPr>
        <w:tc>
          <w:tcPr>
            <w:tcW w:w="2062" w:type="dxa"/>
          </w:tcPr>
          <w:p>
            <w:pPr>
              <w:pStyle w:val="TableParagraph"/>
              <w:rPr>
                <w:sz w:val="22"/>
              </w:rPr>
            </w:pPr>
            <w:r>
              <w:rPr>
                <w:rFonts w:ascii="Cambria"/>
                <w:sz w:val="22"/>
              </w:rPr>
              <w:t>first </w:t>
            </w:r>
            <w:r>
              <w:rPr>
                <w:sz w:val="22"/>
              </w:rPr>
              <w:t>(First String)</w:t>
            </w:r>
          </w:p>
        </w:tc>
        <w:tc>
          <w:tcPr>
            <w:tcW w:w="8250" w:type="dxa"/>
          </w:tcPr>
          <w:p>
            <w:pPr>
              <w:pStyle w:val="TableParagraph"/>
              <w:ind w:right="259"/>
              <w:rPr>
                <w:sz w:val="22"/>
              </w:rPr>
            </w:pPr>
            <w:r>
              <w:rPr>
                <w:sz w:val="22"/>
              </w:rPr>
              <w:t>Specifies the first string of all topics within this </w:t>
            </w:r>
            <w:r>
              <w:rPr>
                <w:rFonts w:ascii="Cambria"/>
                <w:sz w:val="22"/>
              </w:rPr>
              <w:t>main</w:t>
            </w:r>
            <w:r>
              <w:rPr>
                <w:sz w:val="22"/>
              </w:rPr>
              <w:t>. This string corresponds to the first argument to the RTD or CUBE function.</w:t>
            </w:r>
          </w:p>
          <w:p>
            <w:pPr>
              <w:pStyle w:val="TableParagraph"/>
              <w:spacing w:line="530" w:lineRule="atLeast" w:before="7"/>
              <w:ind w:right="1474"/>
              <w:rPr>
                <w:sz w:val="22"/>
              </w:rPr>
            </w:pPr>
            <w:r>
              <w:rPr>
                <w:sz w:val="22"/>
              </w:rPr>
              <w:t>For RTD functions, this argument represents the progID of the IRTDServer. [</w:t>
            </w:r>
            <w:r>
              <w:rPr>
                <w:i/>
                <w:sz w:val="22"/>
              </w:rPr>
              <w:t>Example</w:t>
            </w:r>
            <w:r>
              <w:rPr>
                <w:sz w:val="22"/>
              </w:rPr>
              <w:t>:</w:t>
            </w:r>
          </w:p>
          <w:p>
            <w:pPr>
              <w:pStyle w:val="TableParagraph"/>
              <w:spacing w:line="256" w:lineRule="exact" w:before="11"/>
              <w:ind w:left="403"/>
              <w:rPr>
                <w:rFonts w:ascii="Consolas"/>
                <w:sz w:val="22"/>
              </w:rPr>
            </w:pPr>
            <w:r>
              <w:rPr>
                <w:rFonts w:ascii="Consolas"/>
                <w:sz w:val="22"/>
              </w:rPr>
              <w:t>&lt;main first="jrtdx.rtd"&gt;</w:t>
            </w:r>
          </w:p>
          <w:p>
            <w:pPr>
              <w:pStyle w:val="TableParagraph"/>
              <w:spacing w:line="267" w:lineRule="exact" w:before="0"/>
              <w:rPr>
                <w:sz w:val="22"/>
              </w:rPr>
            </w:pPr>
            <w:r>
              <w:rPr>
                <w:i/>
                <w:sz w:val="22"/>
              </w:rPr>
              <w:t>end example</w:t>
            </w:r>
            <w:r>
              <w:rPr>
                <w:sz w:val="22"/>
              </w:rPr>
              <w:t>]</w:t>
            </w:r>
          </w:p>
          <w:p>
            <w:pPr>
              <w:pStyle w:val="TableParagraph"/>
              <w:spacing w:line="538" w:lineRule="exact" w:before="48"/>
              <w:ind w:right="2041"/>
              <w:rPr>
                <w:sz w:val="22"/>
              </w:rPr>
            </w:pPr>
            <w:r>
              <w:rPr>
                <w:sz w:val="22"/>
              </w:rPr>
              <w:t>For CUBE functions, this argument represents the CUBE connection. [</w:t>
            </w:r>
            <w:r>
              <w:rPr>
                <w:i/>
                <w:sz w:val="22"/>
              </w:rPr>
              <w:t>Example</w:t>
            </w:r>
            <w:r>
              <w:rPr>
                <w:sz w:val="22"/>
              </w:rPr>
              <w:t>:</w:t>
            </w:r>
          </w:p>
          <w:p>
            <w:pPr>
              <w:pStyle w:val="TableParagraph"/>
              <w:spacing w:line="209" w:lineRule="exact" w:before="0"/>
              <w:ind w:left="403"/>
              <w:rPr>
                <w:rFonts w:ascii="Consolas"/>
                <w:sz w:val="22"/>
              </w:rPr>
            </w:pPr>
            <w:r>
              <w:rPr>
                <w:rFonts w:ascii="Consolas"/>
                <w:sz w:val="22"/>
              </w:rPr>
              <w:t>&lt;main first="xlextdat9 Adventure Works DW Adventure Works"&gt;</w:t>
            </w:r>
          </w:p>
          <w:p>
            <w:pPr>
              <w:pStyle w:val="TableParagraph"/>
              <w:spacing w:line="268" w:lineRule="exact" w:before="0"/>
              <w:rPr>
                <w:sz w:val="22"/>
              </w:rPr>
            </w:pPr>
            <w:r>
              <w:rPr>
                <w:i/>
                <w:sz w:val="22"/>
              </w:rPr>
              <w:t>end example</w:t>
            </w:r>
            <w:r>
              <w:rPr>
                <w:sz w:val="22"/>
              </w:rPr>
              <w:t>]</w:t>
            </w:r>
          </w:p>
          <w:p>
            <w:pPr>
              <w:pStyle w:val="TableParagraph"/>
              <w:spacing w:before="0"/>
              <w:ind w:left="0"/>
              <w:rPr>
                <w:sz w:val="22"/>
              </w:rPr>
            </w:pPr>
          </w:p>
          <w:p>
            <w:pPr>
              <w:pStyle w:val="TableParagraph"/>
              <w:spacing w:before="0"/>
              <w:ind w:right="722"/>
              <w:rPr>
                <w:sz w:val="22"/>
              </w:rPr>
            </w:pPr>
            <w:r>
              <w:rPr>
                <w:sz w:val="22"/>
              </w:rPr>
              <w:t>For more information on RTD and CUBE functions in SpreadsheetML, see </w:t>
            </w:r>
            <w:hyperlink w:history="true" w:anchor="_bookmark432">
              <w:r>
                <w:rPr>
                  <w:sz w:val="22"/>
                </w:rPr>
                <w:t>§18.17 </w:t>
              </w:r>
            </w:hyperlink>
            <w:r>
              <w:rPr>
                <w:sz w:val="22"/>
              </w:rPr>
              <w:t>in Formulas.</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623" w:hRule="atLeast"/>
        </w:trPr>
        <w:tc>
          <w:tcPr>
            <w:tcW w:w="2062" w:type="dxa"/>
          </w:tcPr>
          <w:p>
            <w:pPr>
              <w:pStyle w:val="TableParagraph"/>
              <w:spacing w:before="0"/>
              <w:ind w:left="0"/>
              <w:rPr>
                <w:rFonts w:ascii="Times New Roman"/>
                <w:sz w:val="22"/>
              </w:rPr>
            </w:pPr>
          </w:p>
        </w:tc>
        <w:tc>
          <w:tcPr>
            <w:tcW w:w="8250" w:type="dxa"/>
          </w:tcPr>
          <w:p>
            <w:pPr>
              <w:pStyle w:val="TableParagraph"/>
              <w:ind w:right="1026"/>
              <w:rPr>
                <w:sz w:val="22"/>
              </w:rPr>
            </w:pPr>
            <w:r>
              <w:rPr>
                <w:sz w:val="22"/>
              </w:rPr>
              <w:t>The possible values for this attribute are defined by the </w:t>
            </w:r>
            <w:r>
              <w:rPr>
                <w:rFonts w:ascii="Cambria" w:hAnsi="Cambria"/>
                <w:sz w:val="22"/>
              </w:rPr>
              <w:t>ST_Xstring </w:t>
            </w:r>
            <w:r>
              <w:rPr>
                <w:sz w:val="22"/>
              </w:rPr>
              <w:t>simple type (§22.9.2.19).</w:t>
            </w:r>
          </w:p>
        </w:tc>
      </w:tr>
    </w:tbl>
    <w:p>
      <w:pPr>
        <w:pStyle w:val="BodyText"/>
        <w:rPr>
          <w:sz w:val="20"/>
        </w:rPr>
      </w:pPr>
    </w:p>
    <w:p>
      <w:pPr>
        <w:pStyle w:val="BodyText"/>
        <w:spacing w:before="10"/>
        <w:rPr>
          <w:sz w:val="16"/>
        </w:rPr>
      </w:pPr>
    </w:p>
    <w:p>
      <w:pPr>
        <w:pStyle w:val="BodyText"/>
        <w:spacing w:line="276" w:lineRule="auto" w:before="56"/>
        <w:ind w:left="220" w:right="734"/>
      </w:pPr>
      <w:r>
        <w:rPr/>
        <w:t>[</w:t>
      </w:r>
      <w:r>
        <w:rPr>
          <w:i/>
        </w:rPr>
        <w:t>Note</w:t>
      </w:r>
      <w:r>
        <w:rPr/>
        <w:t>: The W3C XML Schema definition of this element’s content model (</w:t>
      </w:r>
      <w:r>
        <w:rPr>
          <w:color w:val="5F5F5F"/>
          <w:u w:val="single" w:color="5F5F5F"/>
        </w:rPr>
        <w:t>CT_VolMain</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5.2 stp (Strings in Subtopic)" w:id="1271"/>
      <w:bookmarkEnd w:id="1271"/>
      <w:r>
        <w:rPr>
          <w:b w:val="0"/>
        </w:rPr>
      </w:r>
      <w:bookmarkStart w:name="_bookmark422" w:id="1272"/>
      <w:bookmarkEnd w:id="1272"/>
      <w:r>
        <w:rPr>
          <w:b w:val="0"/>
        </w:rPr>
      </w:r>
      <w:bookmarkStart w:name="_bookmark422" w:id="1273"/>
      <w:bookmarkEnd w:id="1273"/>
      <w:r>
        <w:rPr>
          <w:color w:val="4F81BC"/>
        </w:rPr>
        <w:t>s</w:t>
      </w:r>
      <w:r>
        <w:rPr>
          <w:color w:val="4F81BC"/>
        </w:rPr>
        <w:t>tp (Strings in Subtopic)</w:t>
      </w:r>
    </w:p>
    <w:p>
      <w:pPr>
        <w:pStyle w:val="BodyText"/>
        <w:spacing w:line="278" w:lineRule="auto" w:before="124"/>
        <w:ind w:left="220" w:right="379"/>
      </w:pPr>
      <w:r>
        <w:rPr/>
        <w:t>Represents all strings in the topic except for the first. An </w:t>
      </w:r>
      <w:r>
        <w:rPr>
          <w:rFonts w:ascii="Cambria"/>
        </w:rPr>
        <w:t>stp </w:t>
      </w:r>
      <w:r>
        <w:rPr/>
        <w:t>is allocated for each additional argument. [</w:t>
      </w:r>
      <w:r>
        <w:rPr>
          <w:i/>
        </w:rPr>
        <w:t>Example</w:t>
      </w:r>
      <w:r>
        <w:rPr/>
        <w:t>: For the topic {"progid","","foo"}, there would be two STPs: "" and "foo". </w:t>
      </w:r>
      <w:r>
        <w:rPr>
          <w:i/>
        </w:rPr>
        <w:t>end example</w:t>
      </w:r>
      <w:r>
        <w:rPr/>
        <w:t>]</w:t>
      </w:r>
    </w:p>
    <w:p>
      <w:pPr>
        <w:pStyle w:val="BodyText"/>
        <w:spacing w:line="276" w:lineRule="auto" w:before="196"/>
        <w:ind w:left="220" w:right="954"/>
      </w:pPr>
      <w:r>
        <w:rPr/>
        <w:t>For Cube functions, value of "1" indicates that all of the related cells with calling cube functions have been refreshed.</w:t>
      </w:r>
    </w:p>
    <w:p>
      <w:pPr>
        <w:pStyle w:val="BodyText"/>
        <w:spacing w:before="5"/>
        <w:rPr>
          <w:sz w:val="16"/>
        </w:rPr>
      </w:pPr>
    </w:p>
    <w:p>
      <w:pPr>
        <w:pStyle w:val="BodyText"/>
        <w:spacing w:before="1"/>
        <w:ind w:left="220"/>
      </w:pPr>
      <w:r>
        <w:rPr/>
        <w:t>The possible values for this element are defined by the </w:t>
      </w:r>
      <w:r>
        <w:rPr>
          <w:rFonts w:ascii="Cambria" w:hAnsi="Cambria"/>
        </w:rPr>
        <w:t>ST_Xstring </w:t>
      </w:r>
      <w:r>
        <w:rPr/>
        <w:t>simple type (§22.9.2.19).</w:t>
      </w:r>
    </w:p>
    <w:p>
      <w:pPr>
        <w:pStyle w:val="BodyText"/>
        <w:spacing w:before="5"/>
        <w:rPr>
          <w:sz w:val="19"/>
        </w:rPr>
      </w:pPr>
    </w:p>
    <w:p>
      <w:pPr>
        <w:pStyle w:val="BodyText"/>
        <w:spacing w:line="278" w:lineRule="auto"/>
        <w:ind w:left="220" w:right="714"/>
      </w:pPr>
      <w:r>
        <w:rPr/>
        <w:t>[</w:t>
      </w:r>
      <w:r>
        <w:rPr>
          <w:i/>
        </w:rPr>
        <w:t>Note</w:t>
      </w:r>
      <w:r>
        <w:rPr/>
        <w:t>: The W3C XML Schema definition of this element’s content model (</w:t>
      </w:r>
      <w:r>
        <w:rPr>
          <w:color w:val="5F5F5F"/>
          <w:u w:val="single" w:color="5F5F5F"/>
        </w:rPr>
        <w:t>ST_Xstring</w:t>
      </w:r>
      <w:r>
        <w:rPr/>
        <w:t>) is located in §A.6.9.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5.3 tp (Topic)" w:id="1274"/>
      <w:bookmarkEnd w:id="1274"/>
      <w:r>
        <w:rPr>
          <w:b w:val="0"/>
        </w:rPr>
      </w:r>
      <w:bookmarkStart w:name="_bookmark423" w:id="1275"/>
      <w:bookmarkEnd w:id="1275"/>
      <w:r>
        <w:rPr>
          <w:b w:val="0"/>
        </w:rPr>
      </w:r>
      <w:bookmarkStart w:name="_bookmark423" w:id="1276"/>
      <w:bookmarkEnd w:id="1276"/>
      <w:r>
        <w:rPr>
          <w:color w:val="4F81BC"/>
        </w:rPr>
        <w:t>t</w:t>
      </w:r>
      <w:r>
        <w:rPr>
          <w:color w:val="4F81BC"/>
        </w:rPr>
        <w:t>p</w:t>
      </w:r>
      <w:r>
        <w:rPr>
          <w:color w:val="4F81BC"/>
          <w:spacing w:val="-2"/>
        </w:rPr>
        <w:t> </w:t>
      </w:r>
      <w:r>
        <w:rPr>
          <w:color w:val="4F81BC"/>
        </w:rPr>
        <w:t>(Topic)</w:t>
      </w:r>
    </w:p>
    <w:p>
      <w:pPr>
        <w:pStyle w:val="BodyText"/>
        <w:spacing w:line="278" w:lineRule="auto" w:before="121"/>
        <w:ind w:left="220" w:right="717"/>
      </w:pPr>
      <w:r>
        <w:rPr/>
        <w:t>Represents dependency information for all topics within a volatile dependency type that share the same first string or argument.</w:t>
      </w:r>
    </w:p>
    <w:p>
      <w:pPr>
        <w:pStyle w:val="BodyText"/>
        <w:spacing w:line="278" w:lineRule="auto" w:before="196"/>
        <w:ind w:left="220" w:right="480"/>
      </w:pPr>
      <w:r>
        <w:rPr/>
        <w:t>For the RTD function, this collection will contain the remaining parameters of the function, and indicate the last known value and data type of that value.</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4351" w:hRule="atLeast"/>
        </w:trPr>
        <w:tc>
          <w:tcPr>
            <w:tcW w:w="2062" w:type="dxa"/>
          </w:tcPr>
          <w:p>
            <w:pPr>
              <w:pStyle w:val="TableParagraph"/>
              <w:rPr>
                <w:sz w:val="22"/>
              </w:rPr>
            </w:pPr>
            <w:r>
              <w:rPr>
                <w:rFonts w:ascii="Cambria"/>
                <w:sz w:val="22"/>
              </w:rPr>
              <w:t>t </w:t>
            </w:r>
            <w:r>
              <w:rPr>
                <w:sz w:val="22"/>
              </w:rPr>
              <w:t>(Type)</w:t>
            </w:r>
          </w:p>
        </w:tc>
        <w:tc>
          <w:tcPr>
            <w:tcW w:w="8250" w:type="dxa"/>
          </w:tcPr>
          <w:p>
            <w:pPr>
              <w:pStyle w:val="TableParagraph"/>
              <w:ind w:right="348"/>
              <w:rPr>
                <w:sz w:val="22"/>
              </w:rPr>
            </w:pPr>
            <w:r>
              <w:rPr>
                <w:sz w:val="22"/>
              </w:rPr>
              <w:t>Specifies the type of the cell value. This value corresponds to the type of data returned by the RTD or CUBE function.</w:t>
            </w:r>
          </w:p>
          <w:p>
            <w:pPr>
              <w:pStyle w:val="TableParagraph"/>
              <w:spacing w:before="0"/>
              <w:ind w:left="0"/>
              <w:rPr>
                <w:sz w:val="22"/>
              </w:rPr>
            </w:pPr>
          </w:p>
          <w:p>
            <w:pPr>
              <w:pStyle w:val="TableParagraph"/>
              <w:spacing w:before="10"/>
              <w:ind w:left="0"/>
              <w:rPr>
                <w:sz w:val="21"/>
              </w:rPr>
            </w:pPr>
          </w:p>
          <w:p>
            <w:pPr>
              <w:pStyle w:val="TableParagraph"/>
              <w:spacing w:before="0"/>
              <w:rPr>
                <w:sz w:val="22"/>
              </w:rPr>
            </w:pPr>
            <w:r>
              <w:rPr>
                <w:sz w:val="22"/>
              </w:rPr>
              <w:t>[</w:t>
            </w:r>
            <w:r>
              <w:rPr>
                <w:i/>
                <w:sz w:val="22"/>
              </w:rPr>
              <w:t>Example</w:t>
            </w:r>
            <w:r>
              <w:rPr>
                <w:sz w:val="22"/>
              </w:rPr>
              <w:t>: In the following RTD example, the value "aaa: 4447" has a string data type.</w:t>
            </w:r>
          </w:p>
          <w:p>
            <w:pPr>
              <w:pStyle w:val="TableParagraph"/>
              <w:spacing w:before="3"/>
              <w:ind w:left="0"/>
              <w:rPr>
                <w:sz w:val="22"/>
              </w:rPr>
            </w:pPr>
          </w:p>
          <w:p>
            <w:pPr>
              <w:pStyle w:val="TableParagraph"/>
              <w:spacing w:line="257" w:lineRule="exact" w:before="0"/>
              <w:ind w:left="403"/>
              <w:rPr>
                <w:rFonts w:ascii="Consolas"/>
                <w:sz w:val="22"/>
              </w:rPr>
            </w:pPr>
            <w:r>
              <w:rPr>
                <w:rFonts w:ascii="Consolas"/>
                <w:sz w:val="22"/>
              </w:rPr>
              <w:t>&lt;tp t="s"&gt;</w:t>
            </w:r>
          </w:p>
          <w:p>
            <w:pPr>
              <w:pStyle w:val="TableParagraph"/>
              <w:spacing w:line="257" w:lineRule="exact" w:before="0"/>
              <w:ind w:left="645"/>
              <w:rPr>
                <w:rFonts w:ascii="Consolas"/>
                <w:sz w:val="22"/>
              </w:rPr>
            </w:pPr>
            <w:r>
              <w:rPr>
                <w:rFonts w:ascii="Consolas"/>
                <w:sz w:val="22"/>
              </w:rPr>
              <w:t>&lt;v&gt;aaa: 4447&lt;/v&gt;</w:t>
            </w:r>
          </w:p>
          <w:p>
            <w:pPr>
              <w:pStyle w:val="TableParagraph"/>
              <w:spacing w:before="2"/>
              <w:ind w:left="403"/>
              <w:rPr>
                <w:rFonts w:ascii="Consolas"/>
                <w:sz w:val="22"/>
              </w:rPr>
            </w:pPr>
            <w:r>
              <w:rPr>
                <w:rFonts w:ascii="Consolas"/>
                <w:sz w:val="22"/>
              </w:rPr>
              <w:t>&lt;/tp&gt;</w:t>
            </w:r>
          </w:p>
          <w:p>
            <w:pPr>
              <w:pStyle w:val="TableParagraph"/>
              <w:spacing w:before="10"/>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sz w:val="22"/>
              </w:rPr>
            </w:pPr>
            <w:r>
              <w:rPr>
                <w:sz w:val="22"/>
              </w:rPr>
              <w:t>For Cube functions, this attribute can be ignored when </w:t>
            </w:r>
            <w:r>
              <w:rPr>
                <w:rFonts w:ascii="Cambria"/>
                <w:sz w:val="22"/>
              </w:rPr>
              <w:t>stp </w:t>
            </w:r>
            <w:r>
              <w:rPr>
                <w:sz w:val="22"/>
              </w:rPr>
              <w:t>value is "1".</w:t>
            </w:r>
          </w:p>
          <w:p>
            <w:pPr>
              <w:pStyle w:val="TableParagraph"/>
              <w:spacing w:before="1"/>
              <w:ind w:left="0"/>
              <w:rPr>
                <w:sz w:val="22"/>
              </w:rPr>
            </w:pPr>
          </w:p>
          <w:p>
            <w:pPr>
              <w:pStyle w:val="TableParagraph"/>
              <w:spacing w:before="0"/>
              <w:ind w:right="396"/>
              <w:rPr>
                <w:sz w:val="22"/>
              </w:rPr>
            </w:pPr>
            <w:r>
              <w:rPr>
                <w:sz w:val="22"/>
              </w:rPr>
              <w:t>The possible values for this attribute are defined by the </w:t>
            </w:r>
            <w:r>
              <w:rPr>
                <w:rFonts w:ascii="Cambria" w:hAnsi="Cambria"/>
                <w:sz w:val="22"/>
              </w:rPr>
              <w:t>ST_VolValueType </w:t>
            </w:r>
            <w:r>
              <w:rPr>
                <w:sz w:val="22"/>
              </w:rPr>
              <w:t>simple type </w:t>
            </w:r>
            <w:hyperlink w:history="true" w:anchor="_bookmark913">
              <w:r>
                <w:rPr>
                  <w:sz w:val="22"/>
                </w:rPr>
                <w:t>(§18.18.91</w:t>
              </w:r>
            </w:hyperlink>
            <w:r>
              <w:rPr>
                <w:sz w:val="22"/>
              </w:rPr>
              <w:t>).</w:t>
            </w:r>
          </w:p>
        </w:tc>
      </w:tr>
    </w:tbl>
    <w:p>
      <w:pPr>
        <w:spacing w:after="0"/>
        <w:rPr>
          <w:sz w:val="22"/>
        </w:rPr>
        <w:sectPr>
          <w:pgSz w:w="12240" w:h="15840"/>
          <w:pgMar w:header="763" w:footer="746" w:top="1340" w:bottom="940" w:left="860" w:right="700"/>
        </w:sectPr>
      </w:pPr>
    </w:p>
    <w:p>
      <w:pPr>
        <w:pStyle w:val="BodyText"/>
        <w:spacing w:line="278" w:lineRule="auto" w:before="90"/>
        <w:ind w:left="220" w:right="711"/>
      </w:pPr>
      <w:r>
        <w:rPr/>
        <w:t>[</w:t>
      </w:r>
      <w:r>
        <w:rPr>
          <w:i/>
        </w:rPr>
        <w:t>Note</w:t>
      </w:r>
      <w:r>
        <w:rPr/>
        <w:t>: The W3C XML Schema definition of this element’s content model (</w:t>
      </w:r>
      <w:r>
        <w:rPr>
          <w:color w:val="5F5F5F"/>
          <w:u w:val="single" w:color="5F5F5F"/>
        </w:rPr>
        <w:t>CT_VolTopic</w:t>
      </w:r>
      <w:r>
        <w:rPr/>
        <w:t>) is located in §A.2. </w:t>
      </w:r>
      <w:r>
        <w:rPr>
          <w:i/>
        </w:rPr>
        <w:t>end </w:t>
      </w:r>
      <w:r>
        <w:rPr>
          <w:i/>
        </w:rPr>
        <w:t>note</w:t>
      </w:r>
      <w:r>
        <w:rPr/>
        <w:t>]</w:t>
      </w:r>
    </w:p>
    <w:p>
      <w:pPr>
        <w:pStyle w:val="BodyText"/>
        <w:spacing w:before="4"/>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5.4 tr (References)" w:id="1277"/>
      <w:bookmarkEnd w:id="1277"/>
      <w:r>
        <w:rPr>
          <w:b w:val="0"/>
        </w:rPr>
      </w:r>
      <w:bookmarkStart w:name="_bookmark424" w:id="1278"/>
      <w:bookmarkEnd w:id="1278"/>
      <w:r>
        <w:rPr>
          <w:b w:val="0"/>
        </w:rPr>
      </w:r>
      <w:bookmarkStart w:name="_bookmark424" w:id="1279"/>
      <w:bookmarkEnd w:id="1279"/>
      <w:r>
        <w:rPr>
          <w:color w:val="4F81BC"/>
        </w:rPr>
        <w:t>t</w:t>
      </w:r>
      <w:r>
        <w:rPr>
          <w:color w:val="4F81BC"/>
        </w:rPr>
        <w:t>r</w:t>
      </w:r>
      <w:r>
        <w:rPr>
          <w:color w:val="4F81BC"/>
          <w:spacing w:val="-1"/>
        </w:rPr>
        <w:t> </w:t>
      </w:r>
      <w:r>
        <w:rPr>
          <w:color w:val="4F81BC"/>
        </w:rPr>
        <w:t>(References)</w:t>
      </w:r>
    </w:p>
    <w:p>
      <w:pPr>
        <w:pStyle w:val="BodyText"/>
        <w:spacing w:line="278" w:lineRule="auto" w:before="121"/>
        <w:ind w:left="220" w:right="1566"/>
      </w:pPr>
      <w:r>
        <w:rPr/>
        <w:t>Represents the reference to a cell that depends on this topic. Each topic can have one or more cells dependencies.</w:t>
      </w:r>
    </w:p>
    <w:p>
      <w:pPr>
        <w:pStyle w:val="BodyText"/>
        <w:spacing w:before="196"/>
        <w:ind w:left="220"/>
      </w:pPr>
      <w:r>
        <w:rPr/>
        <w:t>For CUBE functions, each &lt;tr&gt; element contains a cell whose cube function call dependent on the connection in</w:t>
      </w:r>
    </w:p>
    <w:p>
      <w:pPr>
        <w:spacing w:before="41"/>
        <w:ind w:left="220" w:right="0" w:firstLine="0"/>
        <w:jc w:val="left"/>
        <w:rPr>
          <w:sz w:val="22"/>
        </w:rPr>
      </w:pPr>
      <w:r>
        <w:rPr>
          <w:rFonts w:ascii="Cambria"/>
          <w:sz w:val="22"/>
        </w:rPr>
        <w:t>main</w:t>
      </w:r>
      <w:r>
        <w:rPr>
          <w:sz w:val="22"/>
        </w:rPr>
        <w:t>@</w:t>
      </w:r>
      <w:r>
        <w:rPr>
          <w:rFonts w:ascii="Consolas"/>
          <w:sz w:val="20"/>
        </w:rPr>
        <w:t>first</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2493" w:hRule="atLeast"/>
        </w:trPr>
        <w:tc>
          <w:tcPr>
            <w:tcW w:w="2062" w:type="dxa"/>
          </w:tcPr>
          <w:p>
            <w:pPr>
              <w:pStyle w:val="TableParagraph"/>
              <w:rPr>
                <w:sz w:val="22"/>
              </w:rPr>
            </w:pPr>
            <w:r>
              <w:rPr>
                <w:rFonts w:ascii="Cambria"/>
                <w:sz w:val="22"/>
              </w:rPr>
              <w:t>r </w:t>
            </w:r>
            <w:r>
              <w:rPr>
                <w:sz w:val="22"/>
              </w:rPr>
              <w:t>(Reference)</w:t>
            </w:r>
          </w:p>
        </w:tc>
        <w:tc>
          <w:tcPr>
            <w:tcW w:w="8250" w:type="dxa"/>
          </w:tcPr>
          <w:p>
            <w:pPr>
              <w:pStyle w:val="TableParagraph"/>
              <w:rPr>
                <w:sz w:val="22"/>
              </w:rPr>
            </w:pPr>
            <w:r>
              <w:rPr>
                <w:sz w:val="22"/>
              </w:rPr>
              <w:t>Specifies a reference to the cell location. The location is scoped to the sheet specified in</w:t>
            </w:r>
          </w:p>
          <w:p>
            <w:pPr>
              <w:pStyle w:val="TableParagraph"/>
              <w:spacing w:before="0"/>
              <w:rPr>
                <w:sz w:val="22"/>
              </w:rPr>
            </w:pPr>
            <w:r>
              <w:rPr>
                <w:rFonts w:ascii="Consolas"/>
                <w:sz w:val="20"/>
              </w:rPr>
              <w:t>s</w:t>
            </w:r>
            <w:r>
              <w:rPr>
                <w:sz w:val="22"/>
              </w:rPr>
              <w:t>.</w:t>
            </w:r>
          </w:p>
          <w:p>
            <w:pPr>
              <w:pStyle w:val="TableParagraph"/>
              <w:spacing w:before="1"/>
              <w:ind w:left="0"/>
              <w:rPr>
                <w:sz w:val="22"/>
              </w:rPr>
            </w:pPr>
          </w:p>
          <w:p>
            <w:pPr>
              <w:pStyle w:val="TableParagraph"/>
              <w:spacing w:before="0"/>
              <w:rPr>
                <w:sz w:val="22"/>
              </w:rPr>
            </w:pPr>
            <w:r>
              <w:rPr>
                <w:sz w:val="22"/>
              </w:rPr>
              <w:t>[</w:t>
            </w:r>
            <w:r>
              <w:rPr>
                <w:i/>
                <w:sz w:val="22"/>
              </w:rPr>
              <w:t>Example</w:t>
            </w:r>
            <w:r>
              <w:rPr>
                <w:sz w:val="22"/>
              </w:rPr>
              <w:t>:</w:t>
            </w:r>
          </w:p>
          <w:p>
            <w:pPr>
              <w:pStyle w:val="TableParagraph"/>
              <w:spacing w:line="256" w:lineRule="exact" w:before="2"/>
              <w:ind w:left="403"/>
              <w:rPr>
                <w:rFonts w:ascii="Consolas"/>
                <w:sz w:val="22"/>
              </w:rPr>
            </w:pPr>
            <w:r>
              <w:rPr>
                <w:rFonts w:ascii="Consolas"/>
                <w:sz w:val="22"/>
              </w:rPr>
              <w:t>&lt;tr r="A6" s="1"/&gt;</w:t>
            </w:r>
          </w:p>
          <w:p>
            <w:pPr>
              <w:pStyle w:val="TableParagraph"/>
              <w:spacing w:line="267" w:lineRule="exact" w:before="0"/>
              <w:rPr>
                <w:sz w:val="22"/>
              </w:rPr>
            </w:pPr>
            <w:r>
              <w:rPr>
                <w:i/>
                <w:sz w:val="22"/>
              </w:rPr>
              <w:t>end example</w:t>
            </w:r>
            <w:r>
              <w:rPr>
                <w:sz w:val="22"/>
              </w:rPr>
              <w:t>]</w:t>
            </w:r>
          </w:p>
          <w:p>
            <w:pPr>
              <w:pStyle w:val="TableParagraph"/>
              <w:spacing w:before="1"/>
              <w:ind w:left="0"/>
              <w:rPr>
                <w:sz w:val="22"/>
              </w:rPr>
            </w:pPr>
          </w:p>
          <w:p>
            <w:pPr>
              <w:pStyle w:val="TableParagraph"/>
              <w:spacing w:before="0"/>
              <w:ind w:right="1044"/>
              <w:rPr>
                <w:sz w:val="22"/>
              </w:rPr>
            </w:pPr>
            <w:r>
              <w:rPr>
                <w:sz w:val="22"/>
              </w:rPr>
              <w:t>The possible values for this attribute are defined by the </w:t>
            </w:r>
            <w:r>
              <w:rPr>
                <w:rFonts w:ascii="Cambria" w:hAnsi="Cambria"/>
                <w:sz w:val="22"/>
              </w:rPr>
              <w:t>ST_CellRef </w:t>
            </w:r>
            <w:r>
              <w:rPr>
                <w:sz w:val="22"/>
              </w:rPr>
              <w:t>simple type </w:t>
            </w:r>
            <w:hyperlink w:history="true" w:anchor="_bookmark829">
              <w:r>
                <w:rPr>
                  <w:sz w:val="22"/>
                </w:rPr>
                <w:t>(§18.18.7</w:t>
              </w:r>
            </w:hyperlink>
            <w:r>
              <w:rPr>
                <w:sz w:val="22"/>
              </w:rPr>
              <w:t>).</w:t>
            </w:r>
          </w:p>
        </w:tc>
      </w:tr>
      <w:tr>
        <w:trPr>
          <w:trHeight w:val="1161" w:hRule="atLeast"/>
        </w:trPr>
        <w:tc>
          <w:tcPr>
            <w:tcW w:w="2062" w:type="dxa"/>
          </w:tcPr>
          <w:p>
            <w:pPr>
              <w:pStyle w:val="TableParagraph"/>
              <w:rPr>
                <w:sz w:val="22"/>
              </w:rPr>
            </w:pPr>
            <w:r>
              <w:rPr>
                <w:rFonts w:ascii="Cambria"/>
                <w:sz w:val="22"/>
              </w:rPr>
              <w:t>s </w:t>
            </w:r>
            <w:r>
              <w:rPr>
                <w:sz w:val="22"/>
              </w:rPr>
              <w:t>(Sheet Id)</w:t>
            </w:r>
          </w:p>
        </w:tc>
        <w:tc>
          <w:tcPr>
            <w:tcW w:w="8250" w:type="dxa"/>
          </w:tcPr>
          <w:p>
            <w:pPr>
              <w:pStyle w:val="TableParagraph"/>
              <w:rPr>
                <w:sz w:val="22"/>
              </w:rPr>
            </w:pPr>
            <w:r>
              <w:rPr>
                <w:sz w:val="22"/>
              </w:rPr>
              <w:t>Specifies the sheet index.</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bl>
    <w:p>
      <w:pPr>
        <w:pStyle w:val="BodyText"/>
        <w:rPr>
          <w:sz w:val="26"/>
        </w:rPr>
      </w:pPr>
    </w:p>
    <w:p>
      <w:pPr>
        <w:pStyle w:val="BodyText"/>
        <w:spacing w:line="276" w:lineRule="auto" w:before="188"/>
        <w:ind w:left="220" w:right="415"/>
      </w:pPr>
      <w:r>
        <w:rPr/>
        <w:t>[</w:t>
      </w:r>
      <w:r>
        <w:rPr>
          <w:i/>
        </w:rPr>
        <w:t>Note</w:t>
      </w:r>
      <w:r>
        <w:rPr/>
        <w:t>: The W3C XML Schema definition of this element’s content model (</w:t>
      </w:r>
      <w:r>
        <w:rPr>
          <w:color w:val="5F5F5F"/>
          <w:u w:val="single" w:color="5F5F5F"/>
        </w:rPr>
        <w:t>CT_VolTopicRef</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15.5 volType (Volatile Dependency Typ" w:id="1280"/>
      <w:bookmarkEnd w:id="1280"/>
      <w:r>
        <w:rPr>
          <w:b w:val="0"/>
        </w:rPr>
      </w:r>
      <w:bookmarkStart w:name="_bookmark425" w:id="1281"/>
      <w:bookmarkEnd w:id="1281"/>
      <w:r>
        <w:rPr>
          <w:b w:val="0"/>
        </w:rPr>
      </w:r>
      <w:bookmarkStart w:name="_bookmark425" w:id="1282"/>
      <w:bookmarkEnd w:id="1282"/>
      <w:r>
        <w:rPr>
          <w:color w:val="4F81BC"/>
        </w:rPr>
        <w:t>v</w:t>
      </w:r>
      <w:r>
        <w:rPr>
          <w:color w:val="4F81BC"/>
        </w:rPr>
        <w:t>olType (Volatile Dependency Type)</w:t>
      </w:r>
    </w:p>
    <w:p>
      <w:pPr>
        <w:pStyle w:val="BodyText"/>
        <w:spacing w:line="276" w:lineRule="auto" w:before="124"/>
        <w:ind w:left="220" w:right="543"/>
      </w:pPr>
      <w:r>
        <w:rPr/>
        <w:t>Represents dependency information for a specific type of external data server. There is no limit on the number of external dependencies that can exist for a workbook in SpreadsheetML.</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spacing w:before="42"/>
              <w:ind w:left="566"/>
              <w:rPr>
                <w:b/>
                <w:sz w:val="22"/>
              </w:rPr>
            </w:pPr>
            <w:r>
              <w:rPr>
                <w:b/>
                <w:sz w:val="22"/>
              </w:rPr>
              <w:t>Attributes</w:t>
            </w:r>
          </w:p>
        </w:tc>
        <w:tc>
          <w:tcPr>
            <w:tcW w:w="8250" w:type="dxa"/>
            <w:shd w:val="clear" w:color="auto" w:fill="C0C0C0"/>
          </w:tcPr>
          <w:p>
            <w:pPr>
              <w:pStyle w:val="TableParagraph"/>
              <w:spacing w:before="42"/>
              <w:ind w:left="98" w:right="91"/>
              <w:jc w:val="center"/>
              <w:rPr>
                <w:b/>
                <w:sz w:val="22"/>
              </w:rPr>
            </w:pPr>
            <w:r>
              <w:rPr>
                <w:b/>
                <w:sz w:val="22"/>
              </w:rPr>
              <w:t>Description</w:t>
            </w:r>
          </w:p>
        </w:tc>
      </w:tr>
      <w:tr>
        <w:trPr>
          <w:trHeight w:val="2224" w:hRule="atLeast"/>
        </w:trPr>
        <w:tc>
          <w:tcPr>
            <w:tcW w:w="2062" w:type="dxa"/>
          </w:tcPr>
          <w:p>
            <w:pPr>
              <w:pStyle w:val="TableParagraph"/>
              <w:rPr>
                <w:sz w:val="22"/>
              </w:rPr>
            </w:pPr>
            <w:r>
              <w:rPr>
                <w:rFonts w:ascii="Cambria"/>
                <w:sz w:val="22"/>
              </w:rPr>
              <w:t>type </w:t>
            </w:r>
            <w:r>
              <w:rPr>
                <w:sz w:val="22"/>
              </w:rPr>
              <w:t>(Type)</w:t>
            </w:r>
          </w:p>
        </w:tc>
        <w:tc>
          <w:tcPr>
            <w:tcW w:w="8250" w:type="dxa"/>
          </w:tcPr>
          <w:p>
            <w:pPr>
              <w:pStyle w:val="TableParagraph"/>
              <w:rPr>
                <w:sz w:val="22"/>
              </w:rPr>
            </w:pPr>
            <w:r>
              <w:rPr>
                <w:sz w:val="22"/>
              </w:rPr>
              <w:t>Specifies the type of the external dependency.</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p>
            <w:pPr>
              <w:pStyle w:val="TableParagraph"/>
              <w:spacing w:line="256" w:lineRule="exact" w:before="3"/>
              <w:ind w:left="403"/>
              <w:rPr>
                <w:rFonts w:ascii="Consolas"/>
                <w:sz w:val="22"/>
              </w:rPr>
            </w:pPr>
            <w:r>
              <w:rPr>
                <w:rFonts w:ascii="Consolas"/>
                <w:sz w:val="22"/>
              </w:rPr>
              <w:t>&lt;volType type="olapFunctions"&gt;</w:t>
            </w:r>
          </w:p>
          <w:p>
            <w:pPr>
              <w:pStyle w:val="TableParagraph"/>
              <w:spacing w:line="267" w:lineRule="exact" w:before="0"/>
              <w:rPr>
                <w:sz w:val="22"/>
              </w:rPr>
            </w:pPr>
            <w:r>
              <w:rPr>
                <w:i/>
                <w:sz w:val="22"/>
              </w:rPr>
              <w:t>end example</w:t>
            </w:r>
            <w:r>
              <w:rPr>
                <w:sz w:val="22"/>
              </w:rPr>
              <w:t>]</w:t>
            </w:r>
          </w:p>
          <w:p>
            <w:pPr>
              <w:pStyle w:val="TableParagraph"/>
              <w:spacing w:before="1"/>
              <w:ind w:left="0"/>
              <w:rPr>
                <w:sz w:val="22"/>
              </w:rPr>
            </w:pPr>
          </w:p>
          <w:p>
            <w:pPr>
              <w:pStyle w:val="TableParagraph"/>
              <w:spacing w:before="0"/>
              <w:ind w:right="549"/>
              <w:rPr>
                <w:sz w:val="22"/>
              </w:rPr>
            </w:pPr>
            <w:r>
              <w:rPr>
                <w:sz w:val="22"/>
              </w:rPr>
              <w:t>The possible values for this attribute are defined by the </w:t>
            </w:r>
            <w:r>
              <w:rPr>
                <w:rFonts w:ascii="Cambria" w:hAnsi="Cambria"/>
                <w:sz w:val="22"/>
              </w:rPr>
              <w:t>ST_VolDepType </w:t>
            </w:r>
            <w:r>
              <w:rPr>
                <w:sz w:val="22"/>
              </w:rPr>
              <w:t>simple type </w:t>
            </w:r>
            <w:hyperlink w:history="true" w:anchor="_bookmark912">
              <w:r>
                <w:rPr>
                  <w:sz w:val="22"/>
                </w:rPr>
                <w:t>(§18.18.90</w:t>
              </w:r>
            </w:hyperlink>
            <w:r>
              <w:rPr>
                <w:sz w:val="22"/>
              </w:rPr>
              <w:t>).</w:t>
            </w:r>
          </w:p>
        </w:tc>
      </w:tr>
    </w:tbl>
    <w:p>
      <w:pPr>
        <w:spacing w:after="0"/>
        <w:rPr>
          <w:sz w:val="22"/>
        </w:rPr>
        <w:sectPr>
          <w:footerReference w:type="even" r:id="rId189"/>
          <w:footerReference w:type="default" r:id="rId190"/>
          <w:pgSz w:w="12240" w:h="15840"/>
          <w:pgMar w:footer="746" w:header="761" w:top="1340" w:bottom="940" w:left="860" w:right="700"/>
          <w:pgNumType w:start="2030"/>
        </w:sectPr>
      </w:pPr>
    </w:p>
    <w:p>
      <w:pPr>
        <w:pStyle w:val="BodyText"/>
        <w:spacing w:line="278" w:lineRule="auto" w:before="148"/>
        <w:ind w:left="220" w:right="762"/>
      </w:pPr>
      <w:r>
        <w:rPr/>
        <w:t>[</w:t>
      </w:r>
      <w:r>
        <w:rPr>
          <w:i/>
        </w:rPr>
        <w:t>Note</w:t>
      </w:r>
      <w:r>
        <w:rPr/>
        <w:t>: The W3C XML Schema definition of this element’s content model (</w:t>
      </w:r>
      <w:r>
        <w:rPr>
          <w:color w:val="5F5F5F"/>
          <w:u w:val="single" w:color="5F5F5F"/>
        </w:rPr>
        <w:t>CT_VolType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5.6 volTypes (Volatile Dependency Ty" w:id="1283"/>
      <w:bookmarkEnd w:id="1283"/>
      <w:r>
        <w:rPr>
          <w:b w:val="0"/>
        </w:rPr>
      </w:r>
      <w:bookmarkStart w:name="_bookmark426" w:id="1284"/>
      <w:bookmarkEnd w:id="1284"/>
      <w:r>
        <w:rPr>
          <w:b w:val="0"/>
        </w:rPr>
      </w:r>
      <w:bookmarkStart w:name="_bookmark426" w:id="1285"/>
      <w:bookmarkEnd w:id="1285"/>
      <w:r>
        <w:rPr>
          <w:color w:val="4F81BC"/>
        </w:rPr>
        <w:t>v</w:t>
      </w:r>
      <w:r>
        <w:rPr>
          <w:color w:val="4F81BC"/>
        </w:rPr>
        <w:t>olTypes (Volatile Dependency Types)</w:t>
      </w:r>
    </w:p>
    <w:p>
      <w:pPr>
        <w:pStyle w:val="BodyText"/>
        <w:spacing w:line="276" w:lineRule="auto" w:before="122"/>
        <w:ind w:left="220" w:right="399"/>
      </w:pPr>
      <w:r>
        <w:rPr/>
        <w:t>Represents the collection of external dependencies for a workbook. This element defines the structure of the volatilateDependencies part. There can only be one volatileDependencies part for each workbook. However, the part can contain one or more dependency types.</w:t>
      </w:r>
    </w:p>
    <w:p>
      <w:pPr>
        <w:pStyle w:val="BodyText"/>
        <w:spacing w:before="6"/>
        <w:rPr>
          <w:sz w:val="16"/>
        </w:rPr>
      </w:pPr>
    </w:p>
    <w:p>
      <w:pPr>
        <w:pStyle w:val="BodyText"/>
        <w:ind w:left="220"/>
      </w:pPr>
      <w:r>
        <w:rPr/>
        <w:t>The volatileDependencies part stores the following information for Real Time Data (RTD) and CUBE functions:</w:t>
      </w:r>
    </w:p>
    <w:p>
      <w:pPr>
        <w:pStyle w:val="BodyText"/>
        <w:spacing w:before="6"/>
        <w:rPr>
          <w:sz w:val="19"/>
        </w:rPr>
      </w:pPr>
    </w:p>
    <w:p>
      <w:pPr>
        <w:pStyle w:val="ListParagraph"/>
        <w:numPr>
          <w:ilvl w:val="3"/>
          <w:numId w:val="17"/>
        </w:numPr>
        <w:tabs>
          <w:tab w:pos="940" w:val="left" w:leader="none"/>
          <w:tab w:pos="941" w:val="left" w:leader="none"/>
        </w:tabs>
        <w:spacing w:line="240" w:lineRule="auto" w:before="0" w:after="0"/>
        <w:ind w:left="940" w:right="0" w:hanging="361"/>
        <w:jc w:val="left"/>
        <w:rPr>
          <w:sz w:val="22"/>
        </w:rPr>
      </w:pPr>
      <w:r>
        <w:rPr>
          <w:sz w:val="22"/>
        </w:rPr>
        <w:t>Cached</w:t>
      </w:r>
      <w:r>
        <w:rPr>
          <w:spacing w:val="-1"/>
          <w:sz w:val="22"/>
        </w:rPr>
        <w:t> </w:t>
      </w:r>
      <w:r>
        <w:rPr>
          <w:sz w:val="22"/>
        </w:rPr>
        <w:t>values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Parameters</w:t>
      </w:r>
      <w:r>
        <w:rPr>
          <w:spacing w:val="-1"/>
          <w:sz w:val="22"/>
        </w:rPr>
        <w:t> </w:t>
      </w:r>
      <w:r>
        <w:rPr>
          <w:sz w:val="22"/>
        </w:rPr>
        <w:t>used</w:t>
      </w:r>
    </w:p>
    <w:p>
      <w:pPr>
        <w:pStyle w:val="ListParagraph"/>
        <w:numPr>
          <w:ilvl w:val="3"/>
          <w:numId w:val="17"/>
        </w:numPr>
        <w:tabs>
          <w:tab w:pos="940" w:val="left" w:leader="none"/>
          <w:tab w:pos="941" w:val="left" w:leader="none"/>
        </w:tabs>
        <w:spacing w:line="446" w:lineRule="auto" w:before="42" w:after="0"/>
        <w:ind w:left="220" w:right="7062" w:firstLine="360"/>
        <w:jc w:val="left"/>
        <w:rPr>
          <w:i/>
          <w:sz w:val="22"/>
        </w:rPr>
      </w:pPr>
      <w:r>
        <w:rPr>
          <w:sz w:val="22"/>
        </w:rPr>
        <w:t>Connection and Server names [</w:t>
      </w:r>
      <w:r>
        <w:rPr>
          <w:i/>
          <w:sz w:val="22"/>
        </w:rPr>
        <w:t>Example</w:t>
      </w:r>
      <w:r>
        <w:rPr>
          <w:sz w:val="22"/>
        </w:rPr>
        <w:t>: </w:t>
      </w:r>
      <w:r>
        <w:rPr>
          <w:i/>
          <w:sz w:val="22"/>
        </w:rPr>
        <w:t>Outline of XML</w:t>
      </w:r>
      <w:r>
        <w:rPr>
          <w:i/>
          <w:spacing w:val="-9"/>
          <w:sz w:val="22"/>
        </w:rPr>
        <w:t> </w:t>
      </w:r>
      <w:r>
        <w:rPr>
          <w:i/>
          <w:sz w:val="22"/>
        </w:rPr>
        <w:t>Structure</w:t>
      </w:r>
    </w:p>
    <w:p>
      <w:pPr>
        <w:pStyle w:val="BodyText"/>
        <w:spacing w:before="17"/>
        <w:ind w:left="508"/>
        <w:rPr>
          <w:rFonts w:ascii="Consolas" w:hAnsi="Consolas"/>
        </w:rPr>
      </w:pPr>
      <w:r>
        <w:rPr>
          <w:rFonts w:ascii="Consolas" w:hAnsi="Consolas"/>
        </w:rPr>
        <w:t>&lt;volTypes xmlns="…"&gt;</w:t>
      </w:r>
    </w:p>
    <w:p>
      <w:pPr>
        <w:pStyle w:val="BodyText"/>
        <w:spacing w:before="40"/>
        <w:ind w:left="750"/>
        <w:rPr>
          <w:rFonts w:ascii="Consolas"/>
        </w:rPr>
      </w:pPr>
      <w:r>
        <w:rPr>
          <w:rFonts w:ascii="Consolas"/>
        </w:rPr>
        <w:t>&lt;volType type="realTimeData"&gt;</w:t>
      </w:r>
    </w:p>
    <w:p>
      <w:pPr>
        <w:pStyle w:val="BodyText"/>
        <w:spacing w:before="38"/>
        <w:ind w:left="750"/>
        <w:rPr>
          <w:rFonts w:ascii="Consolas"/>
        </w:rPr>
      </w:pPr>
      <w:r>
        <w:rPr>
          <w:rFonts w:ascii="Consolas"/>
        </w:rPr>
        <w:t>&lt;/volType&gt;</w:t>
      </w:r>
    </w:p>
    <w:p>
      <w:pPr>
        <w:pStyle w:val="BodyText"/>
        <w:spacing w:before="40"/>
        <w:ind w:left="750"/>
        <w:rPr>
          <w:rFonts w:ascii="Consolas"/>
        </w:rPr>
      </w:pPr>
      <w:r>
        <w:rPr>
          <w:rFonts w:ascii="Consolas"/>
        </w:rPr>
        <w:t>&lt;volType type="olapFunctions"&gt;</w:t>
      </w:r>
    </w:p>
    <w:p>
      <w:pPr>
        <w:pStyle w:val="BodyText"/>
        <w:spacing w:before="38"/>
        <w:ind w:left="750"/>
        <w:rPr>
          <w:rFonts w:ascii="Consolas"/>
        </w:rPr>
      </w:pPr>
      <w:r>
        <w:rPr>
          <w:rFonts w:ascii="Consolas"/>
        </w:rPr>
        <w:t>&lt;/volType&gt;</w:t>
      </w:r>
    </w:p>
    <w:p>
      <w:pPr>
        <w:pStyle w:val="BodyText"/>
        <w:spacing w:before="40"/>
        <w:ind w:left="508"/>
        <w:rPr>
          <w:rFonts w:ascii="Consolas"/>
        </w:rPr>
      </w:pPr>
      <w:r>
        <w:rPr>
          <w:rFonts w:ascii="Consolas"/>
        </w:rPr>
        <w:t>&lt;/volTypes&gt;</w:t>
      </w:r>
    </w:p>
    <w:p>
      <w:pPr>
        <w:pStyle w:val="BodyText"/>
        <w:spacing w:before="2"/>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before="1"/>
        <w:ind w:left="220" w:right="676"/>
      </w:pPr>
      <w:r>
        <w:rPr/>
        <w:t>[</w:t>
      </w:r>
      <w:r>
        <w:rPr>
          <w:i/>
        </w:rPr>
        <w:t>Note</w:t>
      </w:r>
      <w:r>
        <w:rPr/>
        <w:t>: The W3C XML Schema definition of this element’s content model (</w:t>
      </w:r>
      <w:r>
        <w:rPr>
          <w:color w:val="5F5F5F"/>
          <w:u w:val="single" w:color="5F5F5F"/>
        </w:rPr>
        <w:t>CT_VolTypes</w:t>
      </w:r>
      <w:r>
        <w:rPr/>
        <w:t>) is located in §A.2. </w:t>
      </w:r>
      <w:r>
        <w:rPr>
          <w:i/>
        </w:rPr>
        <w:t>end </w:t>
      </w:r>
      <w:r>
        <w:rPr>
          <w:i/>
        </w:rPr>
        <w:t>note</w:t>
      </w:r>
      <w:r>
        <w:rPr/>
        <w:t>]</w:t>
      </w:r>
    </w:p>
    <w:p>
      <w:pPr>
        <w:pStyle w:val="Heading1"/>
        <w:numPr>
          <w:ilvl w:val="1"/>
          <w:numId w:val="17"/>
        </w:numPr>
        <w:tabs>
          <w:tab w:pos="1156" w:val="left" w:leader="none"/>
          <w:tab w:pos="1157" w:val="left" w:leader="none"/>
        </w:tabs>
        <w:spacing w:line="240" w:lineRule="auto" w:before="196" w:after="0"/>
        <w:ind w:left="1156" w:right="0" w:hanging="937"/>
        <w:jc w:val="left"/>
      </w:pPr>
      <w:bookmarkStart w:name="18.16 Custom XML Mappings" w:id="1286"/>
      <w:bookmarkEnd w:id="1286"/>
      <w:r>
        <w:rPr>
          <w:b w:val="0"/>
        </w:rPr>
      </w:r>
      <w:bookmarkStart w:name="_bookmark427" w:id="1287"/>
      <w:bookmarkEnd w:id="1287"/>
      <w:r>
        <w:rPr>
          <w:b w:val="0"/>
        </w:rPr>
      </w:r>
      <w:bookmarkStart w:name="_bookmark427" w:id="1288"/>
      <w:bookmarkEnd w:id="1288"/>
      <w:r>
        <w:rPr>
          <w:color w:val="4F81BC"/>
        </w:rPr>
        <w:t>Cu</w:t>
      </w:r>
      <w:r>
        <w:rPr>
          <w:color w:val="4F81BC"/>
        </w:rPr>
        <w:t>stom XML</w:t>
      </w:r>
      <w:r>
        <w:rPr>
          <w:color w:val="4F81BC"/>
          <w:spacing w:val="-5"/>
        </w:rPr>
        <w:t> </w:t>
      </w:r>
      <w:r>
        <w:rPr>
          <w:color w:val="4F81BC"/>
        </w:rPr>
        <w:t>Mappings</w:t>
      </w:r>
    </w:p>
    <w:p>
      <w:pPr>
        <w:pStyle w:val="BodyText"/>
        <w:spacing w:line="276" w:lineRule="auto" w:before="129"/>
        <w:ind w:left="220" w:right="436"/>
      </w:pPr>
      <w:r>
        <w:rPr/>
        <w:t>Custom XML Mappings enable binding of arbitrary XML data structures and arbitrary XML schema definitions to the workbook. Once a DataBinding has been established, then various XML nodes can be mapped to table columns, ranges of cells, or even single cells (for non-repeating attributes and elements). Once an XML Mapping is fully defined, the application is able to import and export XML instance structures according to the schema definition. ECMA-376 does not require any particular XML schema language.</w:t>
      </w:r>
    </w:p>
    <w:p>
      <w:pPr>
        <w:pStyle w:val="BodyText"/>
        <w:spacing w:before="3"/>
        <w:rPr>
          <w:sz w:val="16"/>
        </w:rPr>
      </w:pPr>
    </w:p>
    <w:p>
      <w:pPr>
        <w:pStyle w:val="BodyText"/>
        <w:spacing w:line="278" w:lineRule="auto"/>
        <w:ind w:left="220" w:right="961"/>
      </w:pPr>
      <w:r>
        <w:rPr/>
        <w:t>[</w:t>
      </w:r>
      <w:r>
        <w:rPr>
          <w:i/>
        </w:rPr>
        <w:t>Note: </w:t>
      </w:r>
      <w:r>
        <w:rPr/>
        <w:t>Some examples of XML schema languages that might be used to implement Custom XML Mappings include:</w:t>
      </w:r>
    </w:p>
    <w:p>
      <w:pPr>
        <w:pStyle w:val="ListParagraph"/>
        <w:numPr>
          <w:ilvl w:val="0"/>
          <w:numId w:val="62"/>
        </w:numPr>
        <w:tabs>
          <w:tab w:pos="940" w:val="left" w:leader="none"/>
          <w:tab w:pos="941" w:val="left" w:leader="none"/>
        </w:tabs>
        <w:spacing w:line="240" w:lineRule="auto" w:before="196" w:after="0"/>
        <w:ind w:left="940" w:right="0" w:hanging="361"/>
        <w:jc w:val="left"/>
        <w:rPr>
          <w:sz w:val="22"/>
        </w:rPr>
      </w:pPr>
      <w:r>
        <w:rPr>
          <w:sz w:val="22"/>
        </w:rPr>
        <w:t>W3C XML Schema -</w:t>
      </w:r>
      <w:r>
        <w:rPr>
          <w:color w:val="5F5F5F"/>
          <w:spacing w:val="-5"/>
          <w:sz w:val="22"/>
        </w:rPr>
        <w:t> </w:t>
      </w:r>
      <w:hyperlink r:id="rId191">
        <w:r>
          <w:rPr>
            <w:color w:val="5F5F5F"/>
            <w:sz w:val="22"/>
            <w:u w:val="single" w:color="5F5F5F"/>
          </w:rPr>
          <w:t>http://www.w3.org/XML/Schema</w:t>
        </w:r>
      </w:hyperlink>
    </w:p>
    <w:p>
      <w:pPr>
        <w:pStyle w:val="ListParagraph"/>
        <w:numPr>
          <w:ilvl w:val="0"/>
          <w:numId w:val="62"/>
        </w:numPr>
        <w:tabs>
          <w:tab w:pos="940" w:val="left" w:leader="none"/>
          <w:tab w:pos="941" w:val="left" w:leader="none"/>
        </w:tabs>
        <w:spacing w:line="240" w:lineRule="auto" w:before="42" w:after="0"/>
        <w:ind w:left="940" w:right="0" w:hanging="361"/>
        <w:jc w:val="left"/>
        <w:rPr>
          <w:sz w:val="22"/>
        </w:rPr>
      </w:pPr>
      <w:r>
        <w:rPr>
          <w:sz w:val="22"/>
        </w:rPr>
        <w:t>RELAX NG – ISO/IEC</w:t>
      </w:r>
      <w:r>
        <w:rPr>
          <w:spacing w:val="-7"/>
          <w:sz w:val="22"/>
        </w:rPr>
        <w:t> </w:t>
      </w:r>
      <w:r>
        <w:rPr>
          <w:sz w:val="22"/>
        </w:rPr>
        <w:t>19757-2</w:t>
      </w:r>
    </w:p>
    <w:p>
      <w:pPr>
        <w:pStyle w:val="ListParagraph"/>
        <w:numPr>
          <w:ilvl w:val="0"/>
          <w:numId w:val="62"/>
        </w:numPr>
        <w:tabs>
          <w:tab w:pos="940" w:val="left" w:leader="none"/>
          <w:tab w:pos="941" w:val="left" w:leader="none"/>
        </w:tabs>
        <w:spacing w:line="240" w:lineRule="auto" w:before="38" w:after="0"/>
        <w:ind w:left="940" w:right="0" w:hanging="361"/>
        <w:jc w:val="left"/>
        <w:rPr>
          <w:sz w:val="22"/>
        </w:rPr>
      </w:pPr>
      <w:r>
        <w:rPr>
          <w:sz w:val="22"/>
        </w:rPr>
        <w:t>Schematron – ISO/IEC</w:t>
      </w:r>
      <w:r>
        <w:rPr>
          <w:spacing w:val="-5"/>
          <w:sz w:val="22"/>
        </w:rPr>
        <w:t> </w:t>
      </w:r>
      <w:r>
        <w:rPr>
          <w:sz w:val="22"/>
        </w:rPr>
        <w:t>19757-3</w:t>
      </w:r>
    </w:p>
    <w:p>
      <w:pPr>
        <w:pStyle w:val="ListParagraph"/>
        <w:numPr>
          <w:ilvl w:val="0"/>
          <w:numId w:val="62"/>
        </w:numPr>
        <w:tabs>
          <w:tab w:pos="940" w:val="left" w:leader="none"/>
          <w:tab w:pos="941" w:val="left" w:leader="none"/>
        </w:tabs>
        <w:spacing w:line="240" w:lineRule="auto" w:before="42" w:after="0"/>
        <w:ind w:left="940" w:right="0" w:hanging="361"/>
        <w:jc w:val="left"/>
        <w:rPr>
          <w:sz w:val="22"/>
        </w:rPr>
      </w:pPr>
      <w:r>
        <w:rPr>
          <w:sz w:val="22"/>
        </w:rPr>
        <w:t>NVDL – ISO/IEC</w:t>
      </w:r>
      <w:r>
        <w:rPr>
          <w:spacing w:val="-3"/>
          <w:sz w:val="22"/>
        </w:rPr>
        <w:t> </w:t>
      </w:r>
      <w:r>
        <w:rPr>
          <w:sz w:val="22"/>
        </w:rPr>
        <w:t>19757-4</w:t>
      </w:r>
    </w:p>
    <w:p>
      <w:pPr>
        <w:spacing w:before="242"/>
        <w:ind w:left="220" w:right="0" w:firstLine="0"/>
        <w:jc w:val="left"/>
        <w:rPr>
          <w:sz w:val="22"/>
        </w:rPr>
      </w:pPr>
      <w:r>
        <w:rPr>
          <w:i/>
          <w:sz w:val="22"/>
        </w:rPr>
        <w:t>end note</w:t>
      </w:r>
      <w:r>
        <w:rPr>
          <w:sz w:val="22"/>
        </w:rPr>
        <w:t>]</w:t>
      </w:r>
    </w:p>
    <w:p>
      <w:pPr>
        <w:spacing w:after="0"/>
        <w:jc w:val="left"/>
        <w:rPr>
          <w:sz w:val="22"/>
        </w:rPr>
        <w:sectPr>
          <w:pgSz w:w="12240" w:h="15840"/>
          <w:pgMar w:header="763" w:footer="746" w:top="1340" w:bottom="940" w:left="860" w:right="700"/>
        </w:sectPr>
      </w:pPr>
    </w:p>
    <w:p>
      <w:pPr>
        <w:pStyle w:val="BodyText"/>
        <w:spacing w:line="278" w:lineRule="auto" w:before="90"/>
        <w:ind w:left="220" w:right="542"/>
      </w:pPr>
      <w:r>
        <w:rPr/>
        <w:t>While the original schema or XML definition can reside on disk or at some file location outside the workbook, a copy of the schema is stored in the workbook.</w:t>
      </w:r>
    </w:p>
    <w:p>
      <w:pPr>
        <w:pStyle w:val="BodyText"/>
        <w:spacing w:line="276" w:lineRule="auto" w:before="196"/>
        <w:ind w:left="220" w:right="1094"/>
      </w:pPr>
      <w:r>
        <w:rPr/>
        <w:t>Every time an XML instance or schema is added to the workbook, a new map object is created which ties together the schemas and where the various elements are mapped in the workbook.</w:t>
      </w:r>
    </w:p>
    <w:p>
      <w:pPr>
        <w:pStyle w:val="BodyText"/>
        <w:spacing w:before="5"/>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before="1"/>
        <w:ind w:left="508"/>
        <w:rPr>
          <w:rFonts w:ascii="Consolas"/>
        </w:rPr>
      </w:pPr>
      <w:r>
        <w:rPr>
          <w:rFonts w:ascii="Consolas"/>
        </w:rPr>
        <w:t>&lt;MapInfo SelectionNamespaces=""&gt;</w:t>
      </w:r>
    </w:p>
    <w:p>
      <w:pPr>
        <w:pStyle w:val="BodyText"/>
        <w:spacing w:before="40"/>
        <w:ind w:left="750"/>
        <w:rPr>
          <w:rFonts w:ascii="Consolas"/>
        </w:rPr>
      </w:pPr>
      <w:r>
        <w:rPr>
          <w:rFonts w:ascii="Consolas"/>
        </w:rPr>
        <w:t>&lt;Schema ID="Schema1"&gt;</w:t>
      </w:r>
    </w:p>
    <w:p>
      <w:pPr>
        <w:pStyle w:val="BodyText"/>
        <w:spacing w:before="37"/>
        <w:ind w:left="993"/>
        <w:rPr>
          <w:rFonts w:ascii="Consolas"/>
        </w:rPr>
      </w:pPr>
      <w:r>
        <w:rPr>
          <w:rFonts w:ascii="Consolas"/>
        </w:rPr>
        <w:t>&lt;xsd:schema xmlns:xsd="</w:t>
      </w:r>
      <w:hyperlink r:id="rId192">
        <w:r>
          <w:rPr>
            <w:rFonts w:ascii="Consolas"/>
          </w:rPr>
          <w:t>http://www.w3.org/2001/XMLSchema</w:t>
        </w:r>
      </w:hyperlink>
      <w:r>
        <w:rPr>
          <w:rFonts w:ascii="Consolas"/>
        </w:rPr>
        <w:t>"&gt;</w:t>
      </w:r>
    </w:p>
    <w:p>
      <w:pPr>
        <w:pStyle w:val="BodyText"/>
        <w:spacing w:before="40"/>
        <w:ind w:left="1235"/>
        <w:rPr>
          <w:rFonts w:ascii="Consolas"/>
        </w:rPr>
      </w:pPr>
      <w:r>
        <w:rPr>
          <w:rFonts w:ascii="Consolas"/>
        </w:rPr>
        <w:t>&lt;xsd:element nillable="true" name="Root"&gt;</w:t>
      </w:r>
    </w:p>
    <w:p>
      <w:pPr>
        <w:pStyle w:val="BodyText"/>
        <w:spacing w:before="38"/>
        <w:ind w:left="1478"/>
        <w:rPr>
          <w:rFonts w:ascii="Consolas"/>
        </w:rPr>
      </w:pPr>
      <w:r>
        <w:rPr>
          <w:rFonts w:ascii="Consolas"/>
        </w:rPr>
        <w:t>&lt;xsd:complexType&gt;</w:t>
      </w:r>
    </w:p>
    <w:p>
      <w:pPr>
        <w:pStyle w:val="BodyText"/>
        <w:spacing w:before="40"/>
        <w:ind w:left="1718"/>
        <w:rPr>
          <w:rFonts w:ascii="Consolas"/>
        </w:rPr>
      </w:pPr>
      <w:r>
        <w:rPr>
          <w:rFonts w:ascii="Consolas"/>
        </w:rPr>
        <w:t>&lt;xsd:sequence minOccurs="0"&gt;</w:t>
      </w:r>
    </w:p>
    <w:p>
      <w:pPr>
        <w:pStyle w:val="BodyText"/>
        <w:spacing w:line="276" w:lineRule="auto" w:before="38"/>
        <w:ind w:left="2202" w:hanging="243"/>
        <w:rPr>
          <w:rFonts w:ascii="Consolas"/>
        </w:rPr>
      </w:pPr>
      <w:r>
        <w:rPr>
          <w:rFonts w:ascii="Consolas"/>
        </w:rPr>
        <w:t>&lt;xsd:element minOccurs="0" nillable="true" name="EmployeeInfo" form="unqualified"&gt;</w:t>
      </w:r>
    </w:p>
    <w:p>
      <w:pPr>
        <w:pStyle w:val="BodyText"/>
        <w:ind w:left="2202"/>
        <w:rPr>
          <w:rFonts w:ascii="Consolas"/>
        </w:rPr>
      </w:pPr>
      <w:r>
        <w:rPr>
          <w:rFonts w:ascii="Consolas"/>
        </w:rPr>
        <w:t>&lt;xsd:complexType&gt;</w:t>
      </w:r>
    </w:p>
    <w:p>
      <w:pPr>
        <w:pStyle w:val="BodyText"/>
        <w:spacing w:before="38"/>
        <w:ind w:left="2445"/>
        <w:rPr>
          <w:rFonts w:ascii="Consolas"/>
        </w:rPr>
      </w:pPr>
      <w:r>
        <w:rPr>
          <w:rFonts w:ascii="Consolas"/>
        </w:rPr>
        <w:t>&lt;xsd:sequence minOccurs="0"&gt;</w:t>
      </w:r>
    </w:p>
    <w:p>
      <w:pPr>
        <w:pStyle w:val="BodyText"/>
        <w:spacing w:line="276" w:lineRule="auto" w:before="40"/>
        <w:ind w:left="2927" w:hanging="240"/>
        <w:rPr>
          <w:rFonts w:ascii="Consolas"/>
        </w:rPr>
      </w:pPr>
      <w:r>
        <w:rPr>
          <w:rFonts w:ascii="Consolas"/>
        </w:rPr>
        <w:t>&lt;xsd:element minOccurs="0" nillable="true"</w:t>
      </w:r>
      <w:r>
        <w:rPr>
          <w:rFonts w:ascii="Consolas"/>
          <w:spacing w:val="-41"/>
        </w:rPr>
        <w:t> </w:t>
      </w:r>
      <w:r>
        <w:rPr>
          <w:rFonts w:ascii="Consolas"/>
        </w:rPr>
        <w:t>type="xsd:string" name="Name"</w:t>
      </w:r>
      <w:r>
        <w:rPr>
          <w:rFonts w:ascii="Consolas"/>
          <w:spacing w:val="-3"/>
        </w:rPr>
        <w:t> </w:t>
      </w:r>
      <w:r>
        <w:rPr>
          <w:rFonts w:ascii="Consolas"/>
        </w:rPr>
        <w:t>form="unqualified"&gt;&lt;/xsd:element&gt;</w:t>
      </w:r>
    </w:p>
    <w:p>
      <w:pPr>
        <w:pStyle w:val="BodyText"/>
        <w:spacing w:line="276" w:lineRule="auto"/>
        <w:ind w:left="2927" w:hanging="240"/>
        <w:rPr>
          <w:rFonts w:ascii="Consolas"/>
        </w:rPr>
      </w:pPr>
      <w:r>
        <w:rPr>
          <w:rFonts w:ascii="Consolas"/>
        </w:rPr>
        <w:t>&lt;xsd:element minOccurs="0" nillable="true"</w:t>
      </w:r>
      <w:r>
        <w:rPr>
          <w:rFonts w:ascii="Consolas"/>
          <w:spacing w:val="-40"/>
        </w:rPr>
        <w:t> </w:t>
      </w:r>
      <w:r>
        <w:rPr>
          <w:rFonts w:ascii="Consolas"/>
        </w:rPr>
        <w:t>type="xsd:date" name="Date"</w:t>
      </w:r>
      <w:r>
        <w:rPr>
          <w:rFonts w:ascii="Consolas"/>
          <w:spacing w:val="-4"/>
        </w:rPr>
        <w:t> </w:t>
      </w:r>
      <w:r>
        <w:rPr>
          <w:rFonts w:ascii="Consolas"/>
        </w:rPr>
        <w:t>form="unqualified"&gt;&lt;/xsd:element&gt;</w:t>
      </w:r>
    </w:p>
    <w:p>
      <w:pPr>
        <w:pStyle w:val="BodyText"/>
        <w:spacing w:line="278" w:lineRule="auto"/>
        <w:ind w:left="2927" w:right="594" w:hanging="240"/>
        <w:rPr>
          <w:rFonts w:ascii="Consolas"/>
        </w:rPr>
      </w:pPr>
      <w:r>
        <w:rPr>
          <w:rFonts w:ascii="Consolas"/>
        </w:rPr>
        <w:t>&lt;xsd:element minOccurs="0" nillable="true" type="xsd:integer" name="Code"</w:t>
      </w:r>
      <w:r>
        <w:rPr>
          <w:rFonts w:ascii="Consolas"/>
          <w:spacing w:val="-3"/>
        </w:rPr>
        <w:t> </w:t>
      </w:r>
      <w:r>
        <w:rPr>
          <w:rFonts w:ascii="Consolas"/>
        </w:rPr>
        <w:t>form="unqualified"&gt;&lt;/xsd:element&gt;</w:t>
      </w:r>
    </w:p>
    <w:p>
      <w:pPr>
        <w:pStyle w:val="BodyText"/>
        <w:spacing w:line="253" w:lineRule="exact"/>
        <w:ind w:left="2445"/>
        <w:rPr>
          <w:rFonts w:ascii="Consolas"/>
        </w:rPr>
      </w:pPr>
      <w:r>
        <w:rPr>
          <w:rFonts w:ascii="Consolas"/>
        </w:rPr>
        <w:t>&lt;/xsd:sequence&gt;</w:t>
      </w:r>
    </w:p>
    <w:p>
      <w:pPr>
        <w:pStyle w:val="BodyText"/>
        <w:spacing w:before="39"/>
        <w:ind w:left="2202"/>
        <w:rPr>
          <w:rFonts w:ascii="Consolas"/>
        </w:rPr>
      </w:pPr>
      <w:r>
        <w:rPr>
          <w:rFonts w:ascii="Consolas"/>
        </w:rPr>
        <w:t>&lt;/xsd:complexType&gt;&lt;/xsd:element&gt;</w:t>
      </w:r>
    </w:p>
    <w:p>
      <w:pPr>
        <w:pStyle w:val="BodyText"/>
        <w:spacing w:before="7"/>
        <w:rPr>
          <w:rFonts w:ascii="Consolas"/>
          <w:sz w:val="28"/>
        </w:rPr>
      </w:pPr>
    </w:p>
    <w:p>
      <w:pPr>
        <w:pStyle w:val="BodyText"/>
        <w:spacing w:line="276" w:lineRule="auto"/>
        <w:ind w:left="2445" w:hanging="243"/>
        <w:rPr>
          <w:rFonts w:ascii="Consolas"/>
        </w:rPr>
      </w:pPr>
      <w:r>
        <w:rPr>
          <w:rFonts w:ascii="Consolas"/>
        </w:rPr>
        <w:t>&lt;xsd:element minOccurs="0" maxOccurs="unbounded" nillable="true" name="ExpenseItem" form="unqualified"&gt;</w:t>
      </w:r>
    </w:p>
    <w:p>
      <w:pPr>
        <w:pStyle w:val="BodyText"/>
        <w:spacing w:line="256" w:lineRule="exact"/>
        <w:ind w:left="2445"/>
        <w:rPr>
          <w:rFonts w:ascii="Consolas"/>
        </w:rPr>
      </w:pPr>
      <w:r>
        <w:rPr>
          <w:rFonts w:ascii="Consolas"/>
        </w:rPr>
        <w:t>&lt;xsd:complexType&gt;</w:t>
      </w:r>
    </w:p>
    <w:p>
      <w:pPr>
        <w:pStyle w:val="BodyText"/>
        <w:spacing w:before="40"/>
        <w:ind w:left="2687"/>
        <w:rPr>
          <w:rFonts w:ascii="Consolas"/>
        </w:rPr>
      </w:pPr>
      <w:r>
        <w:rPr>
          <w:rFonts w:ascii="Consolas"/>
        </w:rPr>
        <w:t>&lt;xsd:sequence minOccurs="0"&gt;</w:t>
      </w:r>
    </w:p>
    <w:p>
      <w:pPr>
        <w:pStyle w:val="BodyText"/>
        <w:spacing w:line="278" w:lineRule="auto" w:before="38"/>
        <w:ind w:left="3170" w:hanging="243"/>
        <w:rPr>
          <w:rFonts w:ascii="Consolas"/>
        </w:rPr>
      </w:pPr>
      <w:r>
        <w:rPr>
          <w:rFonts w:ascii="Consolas"/>
        </w:rPr>
        <w:t>&lt;xsd:element minOccurs="0" nillable="true" type="xsd:date" name="Date" form="unqualified"&gt;&lt;/xsd:element&gt;</w:t>
      </w:r>
    </w:p>
    <w:p>
      <w:pPr>
        <w:pStyle w:val="BodyText"/>
        <w:spacing w:line="278" w:lineRule="auto"/>
        <w:ind w:left="3170" w:hanging="243"/>
        <w:rPr>
          <w:rFonts w:ascii="Consolas"/>
        </w:rPr>
      </w:pPr>
      <w:r>
        <w:rPr>
          <w:rFonts w:ascii="Consolas"/>
        </w:rPr>
        <w:t>&lt;xsd:element minOccurs="0" nillable="true" type="xsd:string" name="Description" form="unqualified"&gt;&lt;/xsd:element&gt;</w:t>
      </w:r>
    </w:p>
    <w:p>
      <w:pPr>
        <w:pStyle w:val="BodyText"/>
        <w:spacing w:line="276" w:lineRule="auto"/>
        <w:ind w:left="3170" w:hanging="243"/>
        <w:rPr>
          <w:rFonts w:ascii="Consolas"/>
        </w:rPr>
      </w:pPr>
      <w:r>
        <w:rPr>
          <w:rFonts w:ascii="Consolas"/>
        </w:rPr>
        <w:t>&lt;xsd:element minOccurs="0" nillable="true" type="xsd:double" name="Amount" form="unqualified"&gt;&lt;/xsd:element&gt;</w:t>
      </w:r>
    </w:p>
    <w:p>
      <w:pPr>
        <w:pStyle w:val="BodyText"/>
        <w:ind w:left="2687"/>
        <w:rPr>
          <w:rFonts w:ascii="Consolas"/>
        </w:rPr>
      </w:pPr>
      <w:r>
        <w:rPr>
          <w:rFonts w:ascii="Consolas"/>
        </w:rPr>
        <w:t>&lt;/xsd:sequence&gt;</w:t>
      </w:r>
    </w:p>
    <w:p>
      <w:pPr>
        <w:pStyle w:val="BodyText"/>
        <w:spacing w:before="28"/>
        <w:ind w:left="2445"/>
        <w:rPr>
          <w:rFonts w:ascii="Consolas"/>
        </w:rPr>
      </w:pPr>
      <w:r>
        <w:rPr>
          <w:rFonts w:ascii="Consolas"/>
        </w:rPr>
        <w:t>&lt;/xsd:complexType&gt;&lt;/xsd:element&gt;</w:t>
      </w:r>
    </w:p>
    <w:p>
      <w:pPr>
        <w:pStyle w:val="BodyText"/>
        <w:spacing w:before="40"/>
        <w:ind w:left="1718"/>
        <w:rPr>
          <w:rFonts w:ascii="Consolas"/>
        </w:rPr>
      </w:pPr>
      <w:r>
        <w:rPr>
          <w:rFonts w:ascii="Consolas"/>
        </w:rPr>
        <w:t>&lt;/xsd:sequence&gt;</w:t>
      </w:r>
    </w:p>
    <w:p>
      <w:pPr>
        <w:spacing w:after="0"/>
        <w:rPr>
          <w:rFonts w:ascii="Consolas"/>
        </w:rPr>
        <w:sectPr>
          <w:pgSz w:w="12240" w:h="15840"/>
          <w:pgMar w:header="761" w:footer="746" w:top="1340" w:bottom="940" w:left="860" w:right="700"/>
        </w:sectPr>
      </w:pPr>
    </w:p>
    <w:p>
      <w:pPr>
        <w:pStyle w:val="BodyText"/>
        <w:spacing w:line="276" w:lineRule="auto" w:before="150"/>
        <w:ind w:left="1960" w:hanging="243"/>
        <w:rPr>
          <w:rFonts w:ascii="Consolas"/>
        </w:rPr>
      </w:pPr>
      <w:r>
        <w:rPr>
          <w:rFonts w:ascii="Consolas"/>
        </w:rPr>
        <w:t>&lt;xsd:attribute name="Currency"</w:t>
      </w:r>
      <w:r>
        <w:rPr>
          <w:rFonts w:ascii="Consolas"/>
          <w:spacing w:val="-30"/>
        </w:rPr>
        <w:t> </w:t>
      </w:r>
      <w:r>
        <w:rPr>
          <w:rFonts w:ascii="Consolas"/>
        </w:rPr>
        <w:t>form="unqualified" type="xsd:string"&gt;&lt;/xsd:attribute&gt;</w:t>
      </w:r>
    </w:p>
    <w:p>
      <w:pPr>
        <w:pStyle w:val="BodyText"/>
        <w:spacing w:line="276" w:lineRule="auto" w:before="1"/>
        <w:ind w:left="1960" w:hanging="243"/>
        <w:rPr>
          <w:rFonts w:ascii="Consolas"/>
        </w:rPr>
      </w:pPr>
      <w:r>
        <w:rPr>
          <w:rFonts w:ascii="Consolas"/>
        </w:rPr>
        <w:t>&lt;xsd:attribute name="Approved"</w:t>
      </w:r>
      <w:r>
        <w:rPr>
          <w:rFonts w:ascii="Consolas"/>
          <w:spacing w:val="-30"/>
        </w:rPr>
        <w:t> </w:t>
      </w:r>
      <w:r>
        <w:rPr>
          <w:rFonts w:ascii="Consolas"/>
        </w:rPr>
        <w:t>form="unqualified" type="xsd:string"&gt;&lt;/xsd:attribute&gt;</w:t>
      </w:r>
    </w:p>
    <w:p>
      <w:pPr>
        <w:pStyle w:val="BodyText"/>
        <w:ind w:left="1478"/>
        <w:rPr>
          <w:rFonts w:ascii="Consolas"/>
        </w:rPr>
      </w:pPr>
      <w:r>
        <w:rPr>
          <w:rFonts w:ascii="Consolas"/>
        </w:rPr>
        <w:t>&lt;/xsd:complexType&gt;</w:t>
      </w:r>
    </w:p>
    <w:p>
      <w:pPr>
        <w:pStyle w:val="BodyText"/>
        <w:spacing w:before="38"/>
        <w:ind w:left="1235"/>
        <w:rPr>
          <w:rFonts w:ascii="Consolas"/>
        </w:rPr>
      </w:pPr>
      <w:r>
        <w:rPr>
          <w:rFonts w:ascii="Consolas"/>
        </w:rPr>
        <w:t>&lt;/xsd:element&gt;</w:t>
      </w:r>
    </w:p>
    <w:p>
      <w:pPr>
        <w:pStyle w:val="BodyText"/>
        <w:spacing w:before="40"/>
        <w:ind w:left="993"/>
        <w:rPr>
          <w:rFonts w:ascii="Consolas"/>
        </w:rPr>
      </w:pPr>
      <w:r>
        <w:rPr>
          <w:rFonts w:ascii="Consolas"/>
        </w:rPr>
        <w:t>&lt;/xsd:schema&gt;</w:t>
      </w:r>
    </w:p>
    <w:p>
      <w:pPr>
        <w:pStyle w:val="BodyText"/>
        <w:spacing w:before="37"/>
        <w:ind w:left="750"/>
        <w:rPr>
          <w:rFonts w:ascii="Consolas"/>
        </w:rPr>
      </w:pPr>
      <w:r>
        <w:rPr>
          <w:rFonts w:ascii="Consolas"/>
        </w:rPr>
        <w:t>&lt;/Schema&gt;</w:t>
      </w:r>
    </w:p>
    <w:p>
      <w:pPr>
        <w:pStyle w:val="BodyText"/>
        <w:spacing w:line="276" w:lineRule="auto" w:before="38"/>
        <w:ind w:left="993" w:hanging="243"/>
        <w:rPr>
          <w:rFonts w:ascii="Consolas"/>
        </w:rPr>
      </w:pPr>
      <w:r>
        <w:rPr>
          <w:rFonts w:ascii="Consolas"/>
        </w:rPr>
        <w:t>&lt;Map ID="1" Name="Root_Map" RootElement="Root" SchemaID="Schema1" ShowImportExportValidationErrors="false" AutoFit="true" Append="false" PreserveSortAFLayout="true" PreserveFormat="true"&gt;</w:t>
      </w:r>
    </w:p>
    <w:p>
      <w:pPr>
        <w:pStyle w:val="BodyText"/>
        <w:spacing w:before="2"/>
        <w:ind w:left="993"/>
        <w:rPr>
          <w:rFonts w:ascii="Consolas"/>
        </w:rPr>
      </w:pPr>
      <w:r>
        <w:rPr>
          <w:rFonts w:ascii="Consolas"/>
        </w:rPr>
        <w:t>&lt;DataBinding ConnectionID="1" FileBinding="true" DataBindingLoadMode="1"/&gt;</w:t>
      </w:r>
    </w:p>
    <w:p>
      <w:pPr>
        <w:pStyle w:val="BodyText"/>
        <w:spacing w:before="38"/>
        <w:ind w:left="6" w:right="8456"/>
        <w:jc w:val="center"/>
        <w:rPr>
          <w:rFonts w:ascii="Consolas"/>
        </w:rPr>
      </w:pPr>
      <w:r>
        <w:rPr>
          <w:rFonts w:ascii="Consolas"/>
        </w:rPr>
        <w:t>&lt;/Map&gt;</w:t>
      </w:r>
    </w:p>
    <w:p>
      <w:pPr>
        <w:pStyle w:val="BodyText"/>
        <w:spacing w:before="40"/>
        <w:ind w:left="5" w:right="8456"/>
        <w:jc w:val="center"/>
        <w:rPr>
          <w:rFonts w:ascii="Consolas"/>
        </w:rPr>
      </w:pPr>
      <w:r>
        <w:rPr>
          <w:rFonts w:ascii="Consolas"/>
        </w:rPr>
        <w:t>&lt;/MapInfo&gt;</w:t>
      </w:r>
    </w:p>
    <w:p>
      <w:pPr>
        <w:pStyle w:val="BodyText"/>
        <w:spacing w:before="2"/>
        <w:rPr>
          <w:rFonts w:ascii="Consolas"/>
          <w:sz w:val="20"/>
        </w:rPr>
      </w:pPr>
    </w:p>
    <w:p>
      <w:pPr>
        <w:spacing w:before="1"/>
        <w:ind w:left="220" w:right="0" w:firstLine="0"/>
        <w:jc w:val="left"/>
        <w:rPr>
          <w:sz w:val="22"/>
        </w:rPr>
      </w:pPr>
      <w:r>
        <w:rPr>
          <w:i/>
          <w:sz w:val="22"/>
        </w:rPr>
        <w:t>end example</w:t>
      </w:r>
      <w:r>
        <w:rPr>
          <w:sz w:val="22"/>
        </w:rPr>
        <w:t>]</w:t>
      </w:r>
    </w:p>
    <w:p>
      <w:pPr>
        <w:pStyle w:val="BodyText"/>
        <w:spacing w:before="5"/>
        <w:rPr>
          <w:sz w:val="19"/>
        </w:rPr>
      </w:pPr>
    </w:p>
    <w:p>
      <w:pPr>
        <w:pStyle w:val="BodyText"/>
        <w:spacing w:line="278" w:lineRule="auto" w:before="1"/>
        <w:ind w:left="220" w:right="374"/>
        <w:jc w:val="both"/>
      </w:pPr>
      <w:r>
        <w:rPr/>
        <w:t>For XML mapped into a SpreadsheetML Table there will also be additional information in the SpreadsheetML file which refers back to the XML </w:t>
      </w:r>
      <w:r>
        <w:rPr>
          <w:rFonts w:ascii="Cambria"/>
        </w:rPr>
        <w:t>Map </w:t>
      </w:r>
      <w:r>
        <w:rPr/>
        <w:t>and XPath of the element or attribute mapped. This information is stored in a </w:t>
      </w:r>
      <w:r>
        <w:rPr>
          <w:rFonts w:ascii="Cambria"/>
        </w:rPr>
        <w:t>xmlColumnPr </w:t>
      </w:r>
      <w:r>
        <w:rPr/>
        <w:t>element, under the </w:t>
      </w:r>
      <w:r>
        <w:rPr>
          <w:rFonts w:ascii="Cambria"/>
        </w:rPr>
        <w:t>tableColumn </w:t>
      </w:r>
      <w:r>
        <w:rPr/>
        <w:t>node.</w:t>
      </w:r>
    </w:p>
    <w:p>
      <w:pPr>
        <w:spacing w:before="195"/>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line="276" w:lineRule="auto" w:before="1"/>
        <w:ind w:left="750" w:hanging="243"/>
        <w:rPr>
          <w:rFonts w:ascii="Consolas" w:hAnsi="Consolas"/>
        </w:rPr>
      </w:pPr>
      <w:r>
        <w:rPr>
          <w:rFonts w:ascii="Consolas" w:hAnsi="Consolas"/>
        </w:rPr>
        <w:t>&lt;table xmlns="…" id="1" name="Table1" displayName="Table1" ref="A1:H11" tableType="xml" totalsRowShown="0" connectionId="1"&gt;</w:t>
      </w:r>
    </w:p>
    <w:p>
      <w:pPr>
        <w:pStyle w:val="BodyText"/>
        <w:ind w:left="750"/>
        <w:rPr>
          <w:rFonts w:ascii="Consolas"/>
        </w:rPr>
      </w:pPr>
      <w:r>
        <w:rPr>
          <w:rFonts w:ascii="Consolas"/>
        </w:rPr>
        <w:t>&lt;tableColumns count="5"&gt;</w:t>
      </w:r>
    </w:p>
    <w:p>
      <w:pPr>
        <w:pStyle w:val="BodyText"/>
        <w:spacing w:before="38"/>
        <w:ind w:left="993"/>
        <w:rPr>
          <w:rFonts w:ascii="Consolas"/>
        </w:rPr>
      </w:pPr>
      <w:r>
        <w:rPr>
          <w:rFonts w:ascii="Consolas"/>
        </w:rPr>
        <w:t>&lt;tableColumn id="1" uniqueName="Name" name="Name"&gt;</w:t>
      </w:r>
    </w:p>
    <w:p>
      <w:pPr>
        <w:pStyle w:val="BodyText"/>
        <w:spacing w:line="278" w:lineRule="auto" w:before="37"/>
        <w:ind w:left="1478" w:right="503" w:hanging="243"/>
        <w:rPr>
          <w:rFonts w:ascii="Consolas"/>
        </w:rPr>
      </w:pPr>
      <w:r>
        <w:rPr>
          <w:rFonts w:ascii="Consolas"/>
        </w:rPr>
        <w:t>&lt;xmlColumnPr mapId="1" xpath="/Root/EmployeeInfo/Name" xmlDataType="string"/&gt;</w:t>
      </w:r>
    </w:p>
    <w:p>
      <w:pPr>
        <w:pStyle w:val="BodyText"/>
        <w:spacing w:line="253" w:lineRule="exact"/>
        <w:ind w:left="993"/>
        <w:rPr>
          <w:rFonts w:ascii="Consolas"/>
        </w:rPr>
      </w:pPr>
      <w:r>
        <w:rPr>
          <w:rFonts w:ascii="Consolas"/>
        </w:rPr>
        <w:t>&lt;/tableColumn&gt;</w:t>
      </w:r>
    </w:p>
    <w:p>
      <w:pPr>
        <w:pStyle w:val="BodyText"/>
        <w:spacing w:before="40"/>
        <w:ind w:left="993"/>
        <w:rPr>
          <w:rFonts w:ascii="Consolas"/>
        </w:rPr>
      </w:pPr>
      <w:r>
        <w:rPr>
          <w:rFonts w:ascii="Consolas"/>
        </w:rPr>
        <w:t>&lt;tableColumn id="2" uniqueName="Date" name="Date"&gt;</w:t>
      </w:r>
    </w:p>
    <w:p>
      <w:pPr>
        <w:pStyle w:val="BodyText"/>
        <w:spacing w:line="278" w:lineRule="auto" w:before="38"/>
        <w:ind w:left="1478" w:right="542" w:hanging="243"/>
        <w:rPr>
          <w:rFonts w:ascii="Consolas"/>
        </w:rPr>
      </w:pPr>
      <w:r>
        <w:rPr>
          <w:rFonts w:ascii="Consolas"/>
        </w:rPr>
        <w:t>&lt;xmlColumnPr mapId="1" xpath="/Root/EmployeeInfo/Date" xmlDataType="date"/&gt;</w:t>
      </w:r>
    </w:p>
    <w:p>
      <w:pPr>
        <w:pStyle w:val="BodyText"/>
        <w:spacing w:line="253" w:lineRule="exact"/>
        <w:ind w:left="993"/>
        <w:rPr>
          <w:rFonts w:ascii="Consolas"/>
        </w:rPr>
      </w:pPr>
      <w:r>
        <w:rPr>
          <w:rFonts w:ascii="Consolas"/>
        </w:rPr>
        <w:t>&lt;/tableColumn&gt;</w:t>
      </w:r>
    </w:p>
    <w:p>
      <w:pPr>
        <w:pStyle w:val="BodyText"/>
        <w:spacing w:before="38"/>
        <w:ind w:left="993"/>
        <w:rPr>
          <w:rFonts w:ascii="Consolas"/>
        </w:rPr>
      </w:pPr>
      <w:r>
        <w:rPr>
          <w:rFonts w:ascii="Consolas"/>
        </w:rPr>
        <w:t>&lt;tableColumn id="3" uniqueName="Code" name="Code"&gt;</w:t>
      </w:r>
    </w:p>
    <w:p>
      <w:pPr>
        <w:pStyle w:val="BodyText"/>
        <w:spacing w:line="276" w:lineRule="auto" w:before="40"/>
        <w:ind w:left="1478" w:right="503" w:hanging="243"/>
        <w:rPr>
          <w:rFonts w:ascii="Consolas"/>
        </w:rPr>
      </w:pPr>
      <w:r>
        <w:rPr>
          <w:rFonts w:ascii="Consolas"/>
        </w:rPr>
        <w:t>&lt;xmlColumnPr mapId="1" xpath="/Root/EmployeeInfo/Code" xmlDataType="integer"/&gt;</w:t>
      </w:r>
    </w:p>
    <w:p>
      <w:pPr>
        <w:pStyle w:val="BodyText"/>
        <w:spacing w:before="1"/>
        <w:ind w:left="993"/>
        <w:rPr>
          <w:rFonts w:ascii="Consolas"/>
        </w:rPr>
      </w:pPr>
      <w:r>
        <w:rPr>
          <w:rFonts w:ascii="Consolas"/>
        </w:rPr>
        <w:t>&lt;/tableColumn&gt;</w:t>
      </w:r>
    </w:p>
    <w:p>
      <w:pPr>
        <w:pStyle w:val="BodyText"/>
        <w:spacing w:before="37"/>
        <w:ind w:left="993"/>
        <w:rPr>
          <w:rFonts w:ascii="Consolas"/>
        </w:rPr>
      </w:pPr>
      <w:r>
        <w:rPr>
          <w:rFonts w:ascii="Consolas"/>
        </w:rPr>
        <w:t>&lt;tableColumn id="4" uniqueName="Description" name="Description"&gt;</w:t>
      </w:r>
    </w:p>
    <w:p>
      <w:pPr>
        <w:pStyle w:val="BodyText"/>
        <w:spacing w:line="276" w:lineRule="auto" w:before="40"/>
        <w:ind w:left="1478" w:hanging="243"/>
        <w:rPr>
          <w:rFonts w:ascii="Consolas"/>
        </w:rPr>
      </w:pPr>
      <w:r>
        <w:rPr>
          <w:rFonts w:ascii="Consolas"/>
        </w:rPr>
        <w:t>&lt;xmlColumnPr mapId="1" xpath="/Root/ExpenseItem/Description" xmlDataType="string"/&gt;</w:t>
      </w:r>
    </w:p>
    <w:p>
      <w:pPr>
        <w:pStyle w:val="BodyText"/>
        <w:spacing w:line="256" w:lineRule="exact"/>
        <w:ind w:left="993"/>
        <w:rPr>
          <w:rFonts w:ascii="Consolas"/>
        </w:rPr>
      </w:pPr>
      <w:r>
        <w:rPr>
          <w:rFonts w:ascii="Consolas"/>
        </w:rPr>
        <w:t>&lt;/tableColumn&gt;</w:t>
      </w:r>
    </w:p>
    <w:p>
      <w:pPr>
        <w:spacing w:after="0" w:line="256" w:lineRule="exact"/>
        <w:rPr>
          <w:rFonts w:ascii="Consolas"/>
        </w:rPr>
        <w:sectPr>
          <w:pgSz w:w="12240" w:h="15840"/>
          <w:pgMar w:header="763" w:footer="746" w:top="1340" w:bottom="940" w:left="860" w:right="700"/>
        </w:sectPr>
      </w:pPr>
    </w:p>
    <w:p>
      <w:pPr>
        <w:pStyle w:val="BodyText"/>
        <w:spacing w:before="93"/>
        <w:ind w:left="993"/>
        <w:rPr>
          <w:rFonts w:ascii="Consolas"/>
        </w:rPr>
      </w:pPr>
      <w:r>
        <w:rPr>
          <w:rFonts w:ascii="Consolas"/>
        </w:rPr>
        <w:t>&lt;tableColumn id="5" uniqueName="Amount" name="Amount"&gt;</w:t>
      </w:r>
    </w:p>
    <w:p>
      <w:pPr>
        <w:pStyle w:val="BodyText"/>
        <w:spacing w:line="278" w:lineRule="auto" w:before="38"/>
        <w:ind w:left="1478" w:right="503" w:hanging="243"/>
        <w:rPr>
          <w:rFonts w:ascii="Consolas"/>
        </w:rPr>
      </w:pPr>
      <w:r>
        <w:rPr>
          <w:rFonts w:ascii="Consolas"/>
        </w:rPr>
        <w:t>&lt;xmlColumnPr mapId="1" xpath="/Root/ExpenseItem/Amount" xmlDataType="double"/&gt;</w:t>
      </w:r>
    </w:p>
    <w:p>
      <w:pPr>
        <w:pStyle w:val="BodyText"/>
        <w:spacing w:line="253" w:lineRule="exact"/>
        <w:ind w:left="993"/>
        <w:rPr>
          <w:rFonts w:ascii="Consolas"/>
        </w:rPr>
      </w:pPr>
      <w:r>
        <w:rPr>
          <w:rFonts w:ascii="Consolas"/>
        </w:rPr>
        <w:t>&lt;/tableColumn&gt;</w:t>
      </w:r>
    </w:p>
    <w:p>
      <w:pPr>
        <w:pStyle w:val="BodyText"/>
        <w:spacing w:before="40"/>
        <w:ind w:left="750"/>
        <w:rPr>
          <w:rFonts w:ascii="Consolas"/>
        </w:rPr>
      </w:pPr>
      <w:r>
        <w:rPr>
          <w:rFonts w:ascii="Consolas"/>
        </w:rPr>
        <w:t>&lt;/tableColumns&gt;</w:t>
      </w:r>
    </w:p>
    <w:p>
      <w:pPr>
        <w:pStyle w:val="BodyText"/>
        <w:spacing w:line="278" w:lineRule="auto" w:before="37"/>
        <w:ind w:left="993" w:right="542" w:hanging="243"/>
        <w:rPr>
          <w:rFonts w:ascii="Consolas"/>
        </w:rPr>
      </w:pPr>
      <w:r>
        <w:rPr>
          <w:rFonts w:ascii="Consolas"/>
        </w:rPr>
        <w:t>&lt;tableStyleInfo name="TableStyleMedium9" showFirstColumn="0" showLastColumn="0" showRowStripes="1" showColumnStripes="0"/&gt;</w:t>
      </w:r>
    </w:p>
    <w:p>
      <w:pPr>
        <w:pStyle w:val="BodyText"/>
        <w:spacing w:line="253" w:lineRule="exact"/>
        <w:ind w:left="508"/>
        <w:rPr>
          <w:rFonts w:ascii="Consolas"/>
        </w:rPr>
      </w:pPr>
      <w:r>
        <w:rPr>
          <w:rFonts w:ascii="Consolas"/>
        </w:rPr>
        <w:t>&lt;/table&gt;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503"/>
      </w:pPr>
      <w:r>
        <w:rPr/>
        <w:t>For XML mapped into a single SpreadsheetML cell there will also be additional information in the TableSingleCells part which refers back to the XML </w:t>
      </w:r>
      <w:r>
        <w:rPr>
          <w:rFonts w:ascii="Cambria"/>
        </w:rPr>
        <w:t>Map </w:t>
      </w:r>
      <w:r>
        <w:rPr/>
        <w:t>and XPath of the element or attribute mapped. This information is stored in the </w:t>
      </w:r>
      <w:r>
        <w:rPr>
          <w:rFonts w:ascii="Cambria"/>
        </w:rPr>
        <w:t>xmlPr </w:t>
      </w:r>
      <w:r>
        <w:rPr/>
        <w:t>element under the </w:t>
      </w:r>
      <w:r>
        <w:rPr>
          <w:rFonts w:ascii="Cambria"/>
        </w:rPr>
        <w:t>xmlCellPr </w:t>
      </w:r>
      <w:r>
        <w:rPr/>
        <w:t>node.</w:t>
      </w:r>
    </w:p>
    <w:p>
      <w:pPr>
        <w:spacing w:before="202"/>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ind w:left="508"/>
        <w:rPr>
          <w:rFonts w:ascii="Consolas" w:hAnsi="Consolas"/>
        </w:rPr>
      </w:pPr>
      <w:r>
        <w:rPr>
          <w:rFonts w:ascii="Consolas" w:hAnsi="Consolas"/>
        </w:rPr>
        <w:t>&lt;singleXmlCells xmlns="…"&gt;</w:t>
      </w:r>
    </w:p>
    <w:p>
      <w:pPr>
        <w:pStyle w:val="BodyText"/>
        <w:spacing w:line="276" w:lineRule="auto" w:before="40"/>
        <w:ind w:left="993" w:right="503" w:hanging="243"/>
        <w:rPr>
          <w:rFonts w:ascii="Consolas"/>
        </w:rPr>
      </w:pPr>
      <w:r>
        <w:rPr>
          <w:rFonts w:ascii="Consolas"/>
        </w:rPr>
        <w:t>&lt;singleXmlCell id="2" name="Table2" displayName="Table2" r="D19" connectionId="1"&gt;</w:t>
      </w:r>
    </w:p>
    <w:p>
      <w:pPr>
        <w:pStyle w:val="BodyText"/>
        <w:spacing w:line="256" w:lineRule="exact"/>
        <w:ind w:left="993"/>
        <w:rPr>
          <w:rFonts w:ascii="Consolas"/>
        </w:rPr>
      </w:pPr>
      <w:r>
        <w:rPr>
          <w:rFonts w:ascii="Consolas"/>
        </w:rPr>
        <w:t>&lt;xmlCellPr id="1" uniqueName="Currency"&gt;</w:t>
      </w:r>
    </w:p>
    <w:p>
      <w:pPr>
        <w:pStyle w:val="BodyText"/>
        <w:spacing w:before="40"/>
        <w:ind w:left="1235"/>
        <w:rPr>
          <w:rFonts w:ascii="Consolas"/>
        </w:rPr>
      </w:pPr>
      <w:r>
        <w:rPr>
          <w:rFonts w:ascii="Consolas"/>
        </w:rPr>
        <w:t>&lt;xmlPr mapId="1" xpath="/Root/@Currency" xmlDataType="string"/&gt;</w:t>
      </w:r>
    </w:p>
    <w:p>
      <w:pPr>
        <w:pStyle w:val="BodyText"/>
        <w:spacing w:before="38"/>
        <w:ind w:left="165" w:right="7407"/>
        <w:jc w:val="center"/>
        <w:rPr>
          <w:rFonts w:ascii="Consolas"/>
        </w:rPr>
      </w:pPr>
      <w:r>
        <w:rPr>
          <w:rFonts w:ascii="Consolas"/>
        </w:rPr>
        <w:t>&lt;/xmlCellPr&gt;</w:t>
      </w:r>
    </w:p>
    <w:p>
      <w:pPr>
        <w:pStyle w:val="BodyText"/>
        <w:spacing w:before="40"/>
        <w:ind w:left="165" w:right="7408"/>
        <w:jc w:val="center"/>
        <w:rPr>
          <w:rFonts w:ascii="Consolas"/>
        </w:rPr>
      </w:pPr>
      <w:r>
        <w:rPr>
          <w:rFonts w:ascii="Consolas"/>
        </w:rPr>
        <w:t>&lt;/singleXmlCell&gt;</w:t>
      </w:r>
    </w:p>
    <w:p>
      <w:pPr>
        <w:pStyle w:val="BodyText"/>
        <w:spacing w:line="278" w:lineRule="auto" w:before="38"/>
        <w:ind w:left="993" w:right="503" w:hanging="243"/>
        <w:rPr>
          <w:rFonts w:ascii="Consolas"/>
        </w:rPr>
      </w:pPr>
      <w:r>
        <w:rPr>
          <w:rFonts w:ascii="Consolas"/>
        </w:rPr>
        <w:t>&lt;singleXmlCell id="3" name="Table3" displayName="Table3" r="D20" connectionId="1"&gt;</w:t>
      </w:r>
    </w:p>
    <w:p>
      <w:pPr>
        <w:pStyle w:val="BodyText"/>
        <w:spacing w:line="253" w:lineRule="exact"/>
        <w:ind w:left="993"/>
        <w:rPr>
          <w:rFonts w:ascii="Consolas"/>
        </w:rPr>
      </w:pPr>
      <w:r>
        <w:rPr>
          <w:rFonts w:ascii="Consolas"/>
        </w:rPr>
        <w:t>&lt;xmlCellPr id="1" uniqueName="Approved"&gt;</w:t>
      </w:r>
    </w:p>
    <w:p>
      <w:pPr>
        <w:pStyle w:val="BodyText"/>
        <w:spacing w:before="40"/>
        <w:ind w:left="1235"/>
        <w:rPr>
          <w:rFonts w:ascii="Consolas"/>
        </w:rPr>
      </w:pPr>
      <w:r>
        <w:rPr>
          <w:rFonts w:ascii="Consolas"/>
        </w:rPr>
        <w:t>&lt;xmlPr mapId="1" xpath="/Root/@Approved" xmlDataType="string"/&gt;</w:t>
      </w:r>
    </w:p>
    <w:p>
      <w:pPr>
        <w:pStyle w:val="BodyText"/>
        <w:spacing w:before="37"/>
        <w:ind w:left="993"/>
        <w:rPr>
          <w:rFonts w:ascii="Consolas"/>
        </w:rPr>
      </w:pPr>
      <w:r>
        <w:rPr>
          <w:rFonts w:ascii="Consolas"/>
        </w:rPr>
        <w:t>&lt;/xmlCellPr&gt;</w:t>
      </w:r>
    </w:p>
    <w:p>
      <w:pPr>
        <w:pStyle w:val="BodyText"/>
        <w:spacing w:before="38"/>
        <w:ind w:left="750"/>
        <w:rPr>
          <w:rFonts w:ascii="Consolas"/>
        </w:rPr>
      </w:pPr>
      <w:r>
        <w:rPr>
          <w:rFonts w:ascii="Consolas"/>
        </w:rPr>
        <w:t>&lt;/singleXmlCell</w:t>
      </w:r>
    </w:p>
    <w:p>
      <w:pPr>
        <w:pStyle w:val="BodyText"/>
        <w:spacing w:line="276" w:lineRule="auto" w:before="40"/>
        <w:ind w:left="993" w:right="503" w:hanging="243"/>
        <w:rPr>
          <w:rFonts w:ascii="Consolas"/>
        </w:rPr>
      </w:pPr>
      <w:r>
        <w:rPr>
          <w:rFonts w:ascii="Consolas"/>
        </w:rPr>
        <w:t>&lt;singleXmlCell id="4" name="Table4" displayName="Table4" r="D18" connectionId="1"&gt;</w:t>
      </w:r>
    </w:p>
    <w:p>
      <w:pPr>
        <w:pStyle w:val="BodyText"/>
        <w:ind w:left="993"/>
        <w:rPr>
          <w:rFonts w:ascii="Consolas"/>
        </w:rPr>
      </w:pPr>
      <w:r>
        <w:rPr>
          <w:rFonts w:ascii="Consolas"/>
        </w:rPr>
        <w:t>&lt;xmlCellPr id="1" uniqueName="Name"&gt;</w:t>
      </w:r>
    </w:p>
    <w:p>
      <w:pPr>
        <w:pStyle w:val="BodyText"/>
        <w:spacing w:before="38"/>
        <w:ind w:left="1235"/>
        <w:rPr>
          <w:rFonts w:ascii="Consolas"/>
        </w:rPr>
      </w:pPr>
      <w:r>
        <w:rPr>
          <w:rFonts w:ascii="Consolas"/>
        </w:rPr>
        <w:t>&lt;xmlPr mapId="1" xpath="/Root/EmployeeInfo/Name" xmlDataType="string"/&gt;</w:t>
      </w:r>
    </w:p>
    <w:p>
      <w:pPr>
        <w:pStyle w:val="BodyText"/>
        <w:spacing w:before="40"/>
        <w:ind w:left="165" w:right="7407"/>
        <w:jc w:val="center"/>
        <w:rPr>
          <w:rFonts w:ascii="Consolas"/>
        </w:rPr>
      </w:pPr>
      <w:r>
        <w:rPr>
          <w:rFonts w:ascii="Consolas"/>
        </w:rPr>
        <w:t>&lt;/xmlCellPr&gt;</w:t>
      </w:r>
    </w:p>
    <w:p>
      <w:pPr>
        <w:pStyle w:val="BodyText"/>
        <w:spacing w:before="37"/>
        <w:ind w:left="165" w:right="7408"/>
        <w:jc w:val="center"/>
        <w:rPr>
          <w:rFonts w:ascii="Consolas"/>
        </w:rPr>
      </w:pPr>
      <w:r>
        <w:rPr>
          <w:rFonts w:ascii="Consolas"/>
        </w:rPr>
        <w:t>&lt;/singleXmlCell&gt;</w:t>
      </w:r>
    </w:p>
    <w:p>
      <w:pPr>
        <w:pStyle w:val="BodyText"/>
        <w:spacing w:before="38"/>
        <w:ind w:left="5" w:right="7610"/>
        <w:jc w:val="center"/>
        <w:rPr>
          <w:rFonts w:ascii="Consolas"/>
        </w:rPr>
      </w:pPr>
      <w:r>
        <w:rPr>
          <w:rFonts w:ascii="Consolas"/>
        </w:rPr>
        <w:t>&lt;/singleXmlCells&gt;</w:t>
      </w:r>
    </w:p>
    <w:p>
      <w:pPr>
        <w:pStyle w:val="BodyText"/>
        <w:spacing w:before="6"/>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6.1 DataBinding (XML Mapping)" w:id="1289"/>
      <w:bookmarkEnd w:id="1289"/>
      <w:r>
        <w:rPr>
          <w:b w:val="0"/>
        </w:rPr>
      </w:r>
      <w:bookmarkStart w:name="_bookmark428" w:id="1290"/>
      <w:bookmarkEnd w:id="1290"/>
      <w:r>
        <w:rPr>
          <w:b w:val="0"/>
        </w:rPr>
      </w:r>
      <w:bookmarkStart w:name="_bookmark428" w:id="1291"/>
      <w:bookmarkEnd w:id="1291"/>
      <w:r>
        <w:rPr>
          <w:color w:val="4F81BC"/>
        </w:rPr>
        <w:t>Da</w:t>
      </w:r>
      <w:r>
        <w:rPr>
          <w:color w:val="4F81BC"/>
        </w:rPr>
        <w:t>taBinding (XML Mapping)</w:t>
      </w:r>
    </w:p>
    <w:p>
      <w:pPr>
        <w:pStyle w:val="BodyText"/>
        <w:spacing w:line="453" w:lineRule="auto" w:before="126"/>
        <w:ind w:left="220" w:right="2289"/>
      </w:pPr>
      <w:r>
        <w:rPr/>
        <w:t>This element contains properties which specify how the XML mapping should work. [</w:t>
      </w:r>
      <w:r>
        <w:rPr>
          <w:i/>
        </w:rPr>
        <w:t>Example</w:t>
      </w:r>
      <w:r>
        <w:rPr/>
        <w:t>:</w:t>
      </w:r>
    </w:p>
    <w:p>
      <w:pPr>
        <w:spacing w:after="0" w:line="453" w:lineRule="auto"/>
        <w:sectPr>
          <w:pgSz w:w="12240" w:h="15840"/>
          <w:pgMar w:header="761" w:footer="746" w:top="1340" w:bottom="940" w:left="860" w:right="700"/>
        </w:sectPr>
      </w:pPr>
    </w:p>
    <w:p>
      <w:pPr>
        <w:pStyle w:val="BodyText"/>
        <w:spacing w:before="150"/>
        <w:ind w:left="508"/>
        <w:rPr>
          <w:rFonts w:ascii="Consolas"/>
        </w:rPr>
      </w:pPr>
      <w:r>
        <w:rPr>
          <w:rFonts w:ascii="Consolas"/>
        </w:rPr>
        <w:t>&lt;DataBinding ConnectionID="1" FileBinding="true" DataBindingLoadMode="1"/&gt;</w:t>
      </w:r>
    </w:p>
    <w:p>
      <w:pPr>
        <w:pStyle w:val="BodyText"/>
        <w:spacing w:before="5"/>
        <w:rPr>
          <w:rFonts w:ascii="Consolas"/>
          <w:sz w:val="20"/>
        </w:rPr>
      </w:pPr>
    </w:p>
    <w:p>
      <w:pPr>
        <w:spacing w:before="1"/>
        <w:ind w:left="220" w:right="0" w:firstLine="0"/>
        <w:jc w:val="left"/>
        <w:rPr>
          <w:sz w:val="22"/>
        </w:rPr>
      </w:pPr>
      <w:r>
        <w:rPr>
          <w:i/>
          <w:sz w:val="22"/>
        </w:rPr>
        <w:t>end example</w:t>
      </w:r>
      <w:r>
        <w:rPr>
          <w:sz w:val="22"/>
        </w:rPr>
        <w:t>]</w:t>
      </w:r>
    </w:p>
    <w:p>
      <w:pPr>
        <w:pStyle w:val="BodyText"/>
        <w:spacing w:before="5"/>
        <w:rPr>
          <w:sz w:val="19"/>
        </w:rPr>
      </w:pPr>
    </w:p>
    <w:p>
      <w:pPr>
        <w:pStyle w:val="BodyText"/>
        <w:spacing w:line="276" w:lineRule="auto" w:before="1"/>
        <w:ind w:left="220" w:right="737"/>
      </w:pPr>
      <w:r>
        <w:rPr/>
        <w:t>[</w:t>
      </w:r>
      <w:r>
        <w:rPr>
          <w:i/>
        </w:rPr>
        <w:t>Note</w:t>
      </w:r>
      <w:r>
        <w:rPr/>
        <w:t>: This element is not intended to reintroduce transitional schema into the strict conformance class. </w:t>
      </w:r>
      <w:r>
        <w:rPr>
          <w:i/>
        </w:rPr>
        <w:t>end </w:t>
      </w:r>
      <w:r>
        <w:rPr>
          <w:i/>
        </w:rPr>
        <w:t>note</w:t>
      </w:r>
      <w:r>
        <w:rPr/>
        <w:t>]</w:t>
      </w:r>
    </w:p>
    <w:p>
      <w:pPr>
        <w:pStyle w:val="BodyText"/>
        <w:spacing w:before="5" w:after="1"/>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68" w:hRule="atLeast"/>
        </w:trPr>
        <w:tc>
          <w:tcPr>
            <w:tcW w:w="2062" w:type="dxa"/>
          </w:tcPr>
          <w:p>
            <w:pPr>
              <w:pStyle w:val="TableParagraph"/>
              <w:spacing w:before="42"/>
              <w:ind w:right="602"/>
              <w:jc w:val="both"/>
              <w:rPr>
                <w:sz w:val="22"/>
              </w:rPr>
            </w:pPr>
            <w:r>
              <w:rPr>
                <w:rFonts w:ascii="Cambria"/>
                <w:sz w:val="22"/>
              </w:rPr>
              <w:t>ConnectionID </w:t>
            </w:r>
            <w:r>
              <w:rPr>
                <w:sz w:val="22"/>
              </w:rPr>
              <w:t>(Reference to Connection ID)</w:t>
            </w:r>
          </w:p>
        </w:tc>
        <w:tc>
          <w:tcPr>
            <w:tcW w:w="8250" w:type="dxa"/>
          </w:tcPr>
          <w:p>
            <w:pPr>
              <w:pStyle w:val="TableParagraph"/>
              <w:ind w:right="262"/>
              <w:rPr>
                <w:sz w:val="22"/>
              </w:rPr>
            </w:pPr>
            <w:r>
              <w:rPr>
                <w:sz w:val="22"/>
              </w:rPr>
              <w:t>Specifies the Connection ID to the external connection in the External Data Connections part.</w:t>
            </w:r>
          </w:p>
          <w:p>
            <w:pPr>
              <w:pStyle w:val="TableParagraph"/>
              <w:spacing w:before="0"/>
              <w:ind w:left="0"/>
              <w:rPr>
                <w:sz w:val="22"/>
              </w:rPr>
            </w:pPr>
          </w:p>
          <w:p>
            <w:pPr>
              <w:pStyle w:val="TableParagraph"/>
              <w:spacing w:before="0"/>
              <w:rPr>
                <w:sz w:val="22"/>
              </w:rPr>
            </w:pPr>
            <w:r>
              <w:rPr>
                <w:sz w:val="22"/>
              </w:rPr>
              <w:t>Required if </w:t>
            </w:r>
            <w:r>
              <w:rPr>
                <w:rFonts w:ascii="Cambria"/>
                <w:sz w:val="22"/>
              </w:rPr>
              <w:t>FileBinding </w:t>
            </w:r>
            <w:r>
              <w:rPr>
                <w:sz w:val="22"/>
              </w:rPr>
              <w:t>is true.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3035" w:hRule="atLeast"/>
        </w:trPr>
        <w:tc>
          <w:tcPr>
            <w:tcW w:w="2062" w:type="dxa"/>
            <w:tcBorders>
              <w:bottom w:val="single" w:sz="6" w:space="0" w:color="000000"/>
            </w:tcBorders>
          </w:tcPr>
          <w:p>
            <w:pPr>
              <w:pStyle w:val="TableParagraph"/>
              <w:spacing w:line="237" w:lineRule="auto" w:before="45"/>
              <w:ind w:right="105"/>
              <w:rPr>
                <w:sz w:val="22"/>
              </w:rPr>
            </w:pPr>
            <w:r>
              <w:rPr>
                <w:rFonts w:ascii="Cambria"/>
                <w:sz w:val="22"/>
              </w:rPr>
              <w:t>DataBindingLoadM ode </w:t>
            </w:r>
            <w:r>
              <w:rPr>
                <w:sz w:val="22"/>
              </w:rPr>
              <w:t>(XML Data Loading Behavior)</w:t>
            </w:r>
          </w:p>
        </w:tc>
        <w:tc>
          <w:tcPr>
            <w:tcW w:w="8250" w:type="dxa"/>
            <w:tcBorders>
              <w:bottom w:val="single" w:sz="6" w:space="0" w:color="000000"/>
            </w:tcBorders>
          </w:tcPr>
          <w:p>
            <w:pPr>
              <w:pStyle w:val="TableParagraph"/>
              <w:rPr>
                <w:sz w:val="22"/>
              </w:rPr>
            </w:pPr>
            <w:r>
              <w:rPr>
                <w:sz w:val="22"/>
              </w:rPr>
              <w:t>Specifies the mode for loading XML data related to this </w:t>
            </w:r>
            <w:r>
              <w:rPr>
                <w:rFonts w:ascii="Cambria"/>
                <w:sz w:val="22"/>
              </w:rPr>
              <w:t>DataBinding</w:t>
            </w:r>
            <w:r>
              <w:rPr>
                <w:sz w:val="22"/>
              </w:rPr>
              <w:t>.</w:t>
            </w:r>
          </w:p>
          <w:p>
            <w:pPr>
              <w:pStyle w:val="TableParagraph"/>
              <w:spacing w:before="10"/>
              <w:ind w:left="0"/>
              <w:rPr>
                <w:sz w:val="21"/>
              </w:rPr>
            </w:pPr>
          </w:p>
          <w:p>
            <w:pPr>
              <w:pStyle w:val="TableParagraph"/>
              <w:spacing w:before="0"/>
              <w:rPr>
                <w:sz w:val="22"/>
              </w:rPr>
            </w:pPr>
            <w:r>
              <w:rPr>
                <w:sz w:val="22"/>
              </w:rPr>
              <w:t>Supported values are as follows:</w:t>
            </w:r>
          </w:p>
          <w:p>
            <w:pPr>
              <w:pStyle w:val="TableParagraph"/>
              <w:numPr>
                <w:ilvl w:val="0"/>
                <w:numId w:val="63"/>
              </w:numPr>
              <w:tabs>
                <w:tab w:pos="279" w:val="left" w:leader="none"/>
              </w:tabs>
              <w:spacing w:line="240" w:lineRule="auto" w:before="0" w:after="0"/>
              <w:ind w:left="278" w:right="0" w:hanging="164"/>
              <w:jc w:val="left"/>
              <w:rPr>
                <w:sz w:val="22"/>
              </w:rPr>
            </w:pPr>
            <w:r>
              <w:rPr>
                <w:sz w:val="22"/>
              </w:rPr>
              <w:t>-</w:t>
            </w:r>
            <w:r>
              <w:rPr>
                <w:spacing w:val="-1"/>
                <w:sz w:val="22"/>
              </w:rPr>
              <w:t> </w:t>
            </w:r>
            <w:r>
              <w:rPr>
                <w:sz w:val="22"/>
              </w:rPr>
              <w:t>None</w:t>
            </w:r>
          </w:p>
          <w:p>
            <w:pPr>
              <w:pStyle w:val="TableParagraph"/>
              <w:numPr>
                <w:ilvl w:val="0"/>
                <w:numId w:val="63"/>
              </w:numPr>
              <w:tabs>
                <w:tab w:pos="279" w:val="left" w:leader="none"/>
              </w:tabs>
              <w:spacing w:line="240" w:lineRule="auto" w:before="0" w:after="0"/>
              <w:ind w:left="278" w:right="0" w:hanging="164"/>
              <w:jc w:val="left"/>
              <w:rPr>
                <w:sz w:val="22"/>
              </w:rPr>
            </w:pPr>
            <w:r>
              <w:rPr>
                <w:sz w:val="22"/>
              </w:rPr>
              <w:t>- Normal</w:t>
            </w:r>
          </w:p>
          <w:p>
            <w:pPr>
              <w:pStyle w:val="TableParagraph"/>
              <w:numPr>
                <w:ilvl w:val="0"/>
                <w:numId w:val="63"/>
              </w:numPr>
              <w:tabs>
                <w:tab w:pos="279" w:val="left" w:leader="none"/>
              </w:tabs>
              <w:spacing w:line="240" w:lineRule="auto" w:before="1" w:after="0"/>
              <w:ind w:left="278" w:right="0" w:hanging="164"/>
              <w:jc w:val="left"/>
              <w:rPr>
                <w:sz w:val="22"/>
              </w:rPr>
            </w:pPr>
            <w:r>
              <w:rPr>
                <w:sz w:val="22"/>
              </w:rPr>
              <w:t>- Delay</w:t>
            </w:r>
            <w:r>
              <w:rPr>
                <w:spacing w:val="-4"/>
                <w:sz w:val="22"/>
              </w:rPr>
              <w:t> </w:t>
            </w:r>
            <w:r>
              <w:rPr>
                <w:sz w:val="22"/>
              </w:rPr>
              <w:t>Load</w:t>
            </w:r>
          </w:p>
          <w:p>
            <w:pPr>
              <w:pStyle w:val="TableParagraph"/>
              <w:numPr>
                <w:ilvl w:val="0"/>
                <w:numId w:val="63"/>
              </w:numPr>
              <w:tabs>
                <w:tab w:pos="279" w:val="left" w:leader="none"/>
              </w:tabs>
              <w:spacing w:line="240" w:lineRule="auto" w:before="0" w:after="0"/>
              <w:ind w:left="115" w:right="6579" w:firstLine="0"/>
              <w:jc w:val="left"/>
              <w:rPr>
                <w:sz w:val="22"/>
              </w:rPr>
            </w:pPr>
            <w:r>
              <w:rPr>
                <w:sz w:val="22"/>
              </w:rPr>
              <w:t>- </w:t>
            </w:r>
            <w:r>
              <w:rPr>
                <w:spacing w:val="-3"/>
                <w:sz w:val="22"/>
              </w:rPr>
              <w:t>Asynchronous </w:t>
            </w:r>
            <w:r>
              <w:rPr>
                <w:sz w:val="22"/>
              </w:rPr>
              <w:t>4 - Object</w:t>
            </w:r>
            <w:r>
              <w:rPr>
                <w:spacing w:val="-3"/>
                <w:sz w:val="22"/>
              </w:rPr>
              <w:t> </w:t>
            </w:r>
            <w:r>
              <w:rPr>
                <w:sz w:val="22"/>
              </w:rPr>
              <w:t>Model</w:t>
            </w:r>
          </w:p>
          <w:p>
            <w:pPr>
              <w:pStyle w:val="TableParagraph"/>
              <w:spacing w:before="0"/>
              <w:ind w:left="0"/>
              <w:rPr>
                <w:sz w:val="22"/>
              </w:rPr>
            </w:pPr>
          </w:p>
          <w:p>
            <w:pPr>
              <w:pStyle w:val="TableParagraph"/>
              <w:spacing w:before="1"/>
              <w:rPr>
                <w:rFonts w:ascii="Cambria"/>
                <w:sz w:val="22"/>
              </w:rPr>
            </w:pPr>
            <w:r>
              <w:rPr>
                <w:sz w:val="22"/>
              </w:rPr>
              <w:t>The possible values for this attribute are defined by the W3C XML Schema </w:t>
            </w:r>
            <w:r>
              <w:rPr>
                <w:rFonts w:ascii="Cambria"/>
                <w:sz w:val="22"/>
              </w:rPr>
              <w:t>unsignedInt</w:t>
            </w:r>
          </w:p>
          <w:p>
            <w:pPr>
              <w:pStyle w:val="TableParagraph"/>
              <w:spacing w:before="0"/>
              <w:rPr>
                <w:sz w:val="22"/>
              </w:rPr>
            </w:pPr>
            <w:r>
              <w:rPr>
                <w:sz w:val="22"/>
              </w:rPr>
              <w:t>datatype.</w:t>
            </w:r>
          </w:p>
        </w:tc>
      </w:tr>
      <w:tr>
        <w:trPr>
          <w:trHeight w:val="2478" w:hRule="atLeast"/>
        </w:trPr>
        <w:tc>
          <w:tcPr>
            <w:tcW w:w="2062" w:type="dxa"/>
            <w:tcBorders>
              <w:top w:val="single" w:sz="6" w:space="0" w:color="000000"/>
            </w:tcBorders>
          </w:tcPr>
          <w:p>
            <w:pPr>
              <w:pStyle w:val="TableParagraph"/>
              <w:spacing w:line="256" w:lineRule="exact" w:before="43"/>
              <w:rPr>
                <w:rFonts w:ascii="Cambria"/>
                <w:sz w:val="22"/>
              </w:rPr>
            </w:pPr>
            <w:r>
              <w:rPr>
                <w:rFonts w:ascii="Cambria"/>
                <w:sz w:val="22"/>
              </w:rPr>
              <w:t>DataBindingName</w:t>
            </w:r>
          </w:p>
          <w:p>
            <w:pPr>
              <w:pStyle w:val="TableParagraph"/>
              <w:spacing w:line="267" w:lineRule="exact" w:before="0"/>
              <w:rPr>
                <w:sz w:val="22"/>
              </w:rPr>
            </w:pPr>
            <w:r>
              <w:rPr>
                <w:sz w:val="22"/>
              </w:rPr>
              <w:t>(Unique Identifer)</w:t>
            </w:r>
          </w:p>
        </w:tc>
        <w:tc>
          <w:tcPr>
            <w:tcW w:w="8250" w:type="dxa"/>
            <w:tcBorders>
              <w:top w:val="single" w:sz="6" w:space="0" w:color="000000"/>
            </w:tcBorders>
          </w:tcPr>
          <w:p>
            <w:pPr>
              <w:pStyle w:val="TableParagraph"/>
              <w:rPr>
                <w:sz w:val="22"/>
              </w:rPr>
            </w:pPr>
            <w:r>
              <w:rPr>
                <w:sz w:val="22"/>
              </w:rPr>
              <w:t>Specifies the data binding name. These shall be unique for each </w:t>
            </w:r>
            <w:r>
              <w:rPr>
                <w:rFonts w:ascii="Cambria"/>
                <w:sz w:val="22"/>
              </w:rPr>
              <w:t>DataBinding</w:t>
            </w:r>
            <w:r>
              <w:rPr>
                <w:sz w:val="22"/>
              </w:rPr>
              <w:t>.</w:t>
            </w:r>
          </w:p>
          <w:p>
            <w:pPr>
              <w:pStyle w:val="TableParagraph"/>
              <w:spacing w:before="10"/>
              <w:ind w:left="0"/>
              <w:rPr>
                <w:sz w:val="21"/>
              </w:rPr>
            </w:pPr>
          </w:p>
          <w:p>
            <w:pPr>
              <w:pStyle w:val="TableParagraph"/>
              <w:spacing w:before="0"/>
              <w:rPr>
                <w:sz w:val="22"/>
              </w:rPr>
            </w:pPr>
            <w:r>
              <w:rPr>
                <w:sz w:val="22"/>
              </w:rPr>
              <w:t>[</w:t>
            </w:r>
            <w:r>
              <w:rPr>
                <w:i/>
                <w:sz w:val="22"/>
              </w:rPr>
              <w:t>Example</w:t>
            </w:r>
            <w:r>
              <w:rPr>
                <w:sz w:val="22"/>
              </w:rPr>
              <w:t>:</w:t>
            </w:r>
          </w:p>
          <w:p>
            <w:pPr>
              <w:pStyle w:val="TableParagraph"/>
              <w:spacing w:before="3"/>
              <w:ind w:left="645" w:right="617" w:hanging="243"/>
              <w:rPr>
                <w:rFonts w:ascii="Consolas"/>
                <w:sz w:val="22"/>
              </w:rPr>
            </w:pPr>
            <w:r>
              <w:rPr>
                <w:rFonts w:ascii="Consolas"/>
                <w:sz w:val="22"/>
              </w:rPr>
              <w:t>&lt;DataBinding DataBindingName="Binding1" FileBinding="true" FileBindingName="Binding1" DataBindingLoadMode="1"/&gt;</w:t>
            </w:r>
          </w:p>
          <w:p>
            <w:pPr>
              <w:pStyle w:val="TableParagraph"/>
              <w:spacing w:line="267" w:lineRule="exact"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430" w:hRule="atLeast"/>
        </w:trPr>
        <w:tc>
          <w:tcPr>
            <w:tcW w:w="2062" w:type="dxa"/>
          </w:tcPr>
          <w:p>
            <w:pPr>
              <w:pStyle w:val="TableParagraph"/>
              <w:spacing w:before="42"/>
              <w:ind w:right="156"/>
              <w:rPr>
                <w:sz w:val="22"/>
              </w:rPr>
            </w:pPr>
            <w:r>
              <w:rPr>
                <w:rFonts w:ascii="Cambria"/>
                <w:sz w:val="22"/>
              </w:rPr>
              <w:t>FileBinding </w:t>
            </w:r>
            <w:r>
              <w:rPr>
                <w:sz w:val="22"/>
              </w:rPr>
              <w:t>(Binding to External File)</w:t>
            </w:r>
          </w:p>
        </w:tc>
        <w:tc>
          <w:tcPr>
            <w:tcW w:w="8250" w:type="dxa"/>
          </w:tcPr>
          <w:p>
            <w:pPr>
              <w:pStyle w:val="TableParagraph"/>
              <w:rPr>
                <w:sz w:val="22"/>
              </w:rPr>
            </w:pPr>
            <w:r>
              <w:rPr>
                <w:sz w:val="22"/>
              </w:rPr>
              <w:t>Specifies whether the data should be retrieved directly from an XML file. The path to the file is in the corresponding </w:t>
            </w:r>
            <w:r>
              <w:rPr>
                <w:rFonts w:ascii="Cambria"/>
                <w:sz w:val="22"/>
              </w:rPr>
              <w:t>connection </w:t>
            </w:r>
            <w:r>
              <w:rPr>
                <w:sz w:val="22"/>
              </w:rPr>
              <w:t>element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674" w:hRule="atLeast"/>
        </w:trPr>
        <w:tc>
          <w:tcPr>
            <w:tcW w:w="2062" w:type="dxa"/>
          </w:tcPr>
          <w:p>
            <w:pPr>
              <w:pStyle w:val="TableParagraph"/>
              <w:spacing w:line="256" w:lineRule="exact" w:before="42"/>
              <w:rPr>
                <w:rFonts w:ascii="Cambria"/>
                <w:sz w:val="22"/>
              </w:rPr>
            </w:pPr>
            <w:r>
              <w:rPr>
                <w:rFonts w:ascii="Cambria"/>
                <w:sz w:val="22"/>
              </w:rPr>
              <w:t>FileBindingName</w:t>
            </w:r>
          </w:p>
          <w:p>
            <w:pPr>
              <w:pStyle w:val="TableParagraph"/>
              <w:spacing w:line="267" w:lineRule="exact" w:before="0"/>
              <w:rPr>
                <w:sz w:val="22"/>
              </w:rPr>
            </w:pPr>
            <w:r>
              <w:rPr>
                <w:sz w:val="22"/>
              </w:rPr>
              <w:t>(File Binding Name)</w:t>
            </w:r>
          </w:p>
        </w:tc>
        <w:tc>
          <w:tcPr>
            <w:tcW w:w="8250" w:type="dxa"/>
          </w:tcPr>
          <w:p>
            <w:pPr>
              <w:pStyle w:val="TableParagraph"/>
              <w:rPr>
                <w:sz w:val="22"/>
              </w:rPr>
            </w:pPr>
            <w:r>
              <w:rPr>
                <w:sz w:val="22"/>
              </w:rPr>
              <w:t>Specifies the file binding name. These shall be unique for each </w:t>
            </w:r>
            <w:r>
              <w:rPr>
                <w:rFonts w:ascii="Cambria"/>
                <w:sz w:val="22"/>
              </w:rPr>
              <w:t>DataBinding</w:t>
            </w:r>
            <w:r>
              <w:rPr>
                <w:sz w:val="22"/>
              </w:rPr>
              <w:t>.</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p>
            <w:pPr>
              <w:pStyle w:val="TableParagraph"/>
              <w:spacing w:before="3"/>
              <w:ind w:left="645" w:right="617" w:hanging="243"/>
              <w:rPr>
                <w:rFonts w:ascii="Consolas"/>
                <w:sz w:val="22"/>
              </w:rPr>
            </w:pPr>
            <w:r>
              <w:rPr>
                <w:rFonts w:ascii="Consolas"/>
                <w:sz w:val="22"/>
              </w:rPr>
              <w:t>&lt;DataBinding DataBindingName="Binding1" FileBinding="true" FileBindingName="Binding1" DataBindingLoadMode="1"/&gt;</w:t>
            </w:r>
          </w:p>
          <w:p>
            <w:pPr>
              <w:pStyle w:val="TableParagraph"/>
              <w:spacing w:line="265" w:lineRule="exact" w:before="0"/>
              <w:rPr>
                <w:sz w:val="22"/>
              </w:rPr>
            </w:pPr>
            <w:r>
              <w:rPr>
                <w:i/>
                <w:sz w:val="22"/>
              </w:rPr>
              <w:t>end example</w:t>
            </w:r>
            <w:r>
              <w:rPr>
                <w:sz w:val="22"/>
              </w:rPr>
              <w:t>]</w:t>
            </w:r>
          </w:p>
        </w:tc>
      </w:tr>
    </w:tbl>
    <w:p>
      <w:pPr>
        <w:spacing w:after="0" w:line="265" w:lineRule="exact"/>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892" w:hRule="atLeast"/>
        </w:trPr>
        <w:tc>
          <w:tcPr>
            <w:tcW w:w="2062" w:type="dxa"/>
          </w:tcPr>
          <w:p>
            <w:pPr>
              <w:pStyle w:val="TableParagraph"/>
              <w:spacing w:before="0"/>
              <w:ind w:left="0"/>
              <w:rPr>
                <w:rFonts w:ascii="Times New Roman"/>
                <w:sz w:val="22"/>
              </w:rPr>
            </w:pPr>
          </w:p>
        </w:tc>
        <w:tc>
          <w:tcPr>
            <w:tcW w:w="8250" w:type="dxa"/>
          </w:tcPr>
          <w:p>
            <w:pPr>
              <w:pStyle w:val="TableParagraph"/>
              <w:spacing w:before="3"/>
              <w:ind w:left="0"/>
              <w:rPr>
                <w:sz w:val="25"/>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6"/>
        <w:ind w:left="220" w:right="394"/>
      </w:pPr>
      <w:r>
        <w:rPr/>
        <w:t>[</w:t>
      </w:r>
      <w:r>
        <w:rPr>
          <w:i/>
        </w:rPr>
        <w:t>Note</w:t>
      </w:r>
      <w:r>
        <w:rPr/>
        <w:t>: The W3C XML Schema definition of this element’s content model (</w:t>
      </w:r>
      <w:r>
        <w:rPr>
          <w:color w:val="5F5F5F"/>
          <w:u w:val="single" w:color="5F5F5F"/>
        </w:rPr>
        <w:t>CT_DataBinding</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6.2 Map (XML Mapping Properties)" w:id="1292"/>
      <w:bookmarkEnd w:id="1292"/>
      <w:r>
        <w:rPr>
          <w:b w:val="0"/>
        </w:rPr>
      </w:r>
      <w:bookmarkStart w:name="_bookmark429" w:id="1293"/>
      <w:bookmarkEnd w:id="1293"/>
      <w:r>
        <w:rPr>
          <w:b w:val="0"/>
        </w:rPr>
      </w:r>
      <w:bookmarkStart w:name="_bookmark429" w:id="1294"/>
      <w:bookmarkEnd w:id="1294"/>
      <w:r>
        <w:rPr>
          <w:color w:val="4F81BC"/>
        </w:rPr>
        <w:t>Ma</w:t>
      </w:r>
      <w:r>
        <w:rPr>
          <w:color w:val="4F81BC"/>
        </w:rPr>
        <w:t>p (XML Mapping</w:t>
      </w:r>
      <w:r>
        <w:rPr>
          <w:color w:val="4F81BC"/>
          <w:spacing w:val="-5"/>
        </w:rPr>
        <w:t> </w:t>
      </w:r>
      <w:r>
        <w:rPr>
          <w:color w:val="4F81BC"/>
        </w:rPr>
        <w:t>Properties)</w:t>
      </w:r>
    </w:p>
    <w:p>
      <w:pPr>
        <w:pStyle w:val="BodyText"/>
        <w:spacing w:line="278" w:lineRule="auto" w:before="124"/>
        <w:ind w:left="220" w:right="832"/>
      </w:pPr>
      <w:r>
        <w:rPr/>
        <w:t>This element contains all of the properties related to the XML map, and the behaviors expected during data refresh operations.</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19"/>
        </w:rPr>
      </w:pPr>
    </w:p>
    <w:p>
      <w:pPr>
        <w:pStyle w:val="BodyText"/>
        <w:spacing w:line="276" w:lineRule="auto" w:before="1"/>
        <w:ind w:left="750" w:hanging="243"/>
        <w:rPr>
          <w:rFonts w:ascii="Consolas"/>
        </w:rPr>
      </w:pPr>
      <w:r>
        <w:rPr>
          <w:rFonts w:ascii="Consolas"/>
        </w:rPr>
        <w:t>&lt;Map ID="1" Name="Root_Map" RootElement="Root" SchemaID="Schema1" ShowImportExportValidationErrors="false" AutoFit="true" Append="false" PreserveSortAFLayout="true" PreserveFormat="true"&gt;</w:t>
      </w:r>
    </w:p>
    <w:p>
      <w:pPr>
        <w:pStyle w:val="BodyText"/>
        <w:spacing w:line="257" w:lineRule="exact"/>
        <w:ind w:left="750"/>
        <w:rPr>
          <w:rFonts w:ascii="Consolas"/>
        </w:rPr>
      </w:pPr>
      <w:r>
        <w:rPr>
          <w:rFonts w:ascii="Consolas"/>
        </w:rPr>
        <w:t>&lt;DataBinding ConnectionID="1" FileBinding="true" DataBindingLoadMode="1"/&gt;</w:t>
      </w:r>
    </w:p>
    <w:p>
      <w:pPr>
        <w:pStyle w:val="BodyText"/>
        <w:spacing w:before="37"/>
        <w:ind w:left="508"/>
        <w:rPr>
          <w:rFonts w:ascii="Consolas"/>
        </w:rPr>
      </w:pPr>
      <w:r>
        <w:rPr>
          <w:rFonts w:ascii="Consolas"/>
        </w:rPr>
        <w:t>&lt;/Map&gt;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427" w:hRule="atLeast"/>
        </w:trPr>
        <w:tc>
          <w:tcPr>
            <w:tcW w:w="2062" w:type="dxa"/>
          </w:tcPr>
          <w:p>
            <w:pPr>
              <w:pStyle w:val="TableParagraph"/>
              <w:ind w:right="368"/>
              <w:rPr>
                <w:sz w:val="22"/>
              </w:rPr>
            </w:pPr>
            <w:r>
              <w:rPr>
                <w:rFonts w:ascii="Cambria"/>
                <w:sz w:val="22"/>
              </w:rPr>
              <w:t>Append </w:t>
            </w:r>
            <w:r>
              <w:rPr>
                <w:sz w:val="22"/>
              </w:rPr>
              <w:t>(Append Data to Table)</w:t>
            </w:r>
          </w:p>
        </w:tc>
        <w:tc>
          <w:tcPr>
            <w:tcW w:w="8250" w:type="dxa"/>
          </w:tcPr>
          <w:p>
            <w:pPr>
              <w:pStyle w:val="TableParagraph"/>
              <w:ind w:right="276"/>
              <w:rPr>
                <w:sz w:val="22"/>
              </w:rPr>
            </w:pPr>
            <w:r>
              <w:rPr>
                <w:sz w:val="22"/>
              </w:rPr>
              <w:t>Specifies whether XML data should overwrite or be appended to the end of the table or range of mapped cells when data is refreshed.</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line="237" w:lineRule="auto" w:before="44"/>
              <w:ind w:right="347"/>
              <w:rPr>
                <w:sz w:val="22"/>
              </w:rPr>
            </w:pPr>
            <w:r>
              <w:rPr>
                <w:rFonts w:ascii="Cambria"/>
                <w:sz w:val="22"/>
              </w:rPr>
              <w:t>AutoFit </w:t>
            </w:r>
            <w:r>
              <w:rPr>
                <w:sz w:val="22"/>
              </w:rPr>
              <w:t>(AutoFit Table on Refresh)</w:t>
            </w:r>
          </w:p>
        </w:tc>
        <w:tc>
          <w:tcPr>
            <w:tcW w:w="8250" w:type="dxa"/>
          </w:tcPr>
          <w:p>
            <w:pPr>
              <w:pStyle w:val="TableParagraph"/>
              <w:spacing w:line="237" w:lineRule="auto" w:before="44"/>
              <w:ind w:right="603"/>
              <w:rPr>
                <w:sz w:val="22"/>
              </w:rPr>
            </w:pPr>
            <w:r>
              <w:rPr>
                <w:sz w:val="22"/>
              </w:rPr>
              <w:t>Specifies whether columns should be resized to fit the XML data after a data refresh operation.</w:t>
            </w:r>
          </w:p>
          <w:p>
            <w:pPr>
              <w:pStyle w:val="TableParagraph"/>
              <w:spacing w:before="2"/>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161" w:hRule="atLeast"/>
        </w:trPr>
        <w:tc>
          <w:tcPr>
            <w:tcW w:w="2062" w:type="dxa"/>
          </w:tcPr>
          <w:p>
            <w:pPr>
              <w:pStyle w:val="TableParagraph"/>
              <w:ind w:right="346"/>
              <w:rPr>
                <w:sz w:val="22"/>
              </w:rPr>
            </w:pPr>
            <w:r>
              <w:rPr>
                <w:rFonts w:ascii="Cambria"/>
                <w:sz w:val="22"/>
              </w:rPr>
              <w:t>ID </w:t>
            </w:r>
            <w:r>
              <w:rPr>
                <w:sz w:val="22"/>
              </w:rPr>
              <w:t>(XML Mapping ID)</w:t>
            </w:r>
          </w:p>
        </w:tc>
        <w:tc>
          <w:tcPr>
            <w:tcW w:w="8250" w:type="dxa"/>
          </w:tcPr>
          <w:p>
            <w:pPr>
              <w:pStyle w:val="TableParagraph"/>
              <w:rPr>
                <w:sz w:val="22"/>
              </w:rPr>
            </w:pPr>
            <w:r>
              <w:rPr>
                <w:sz w:val="22"/>
              </w:rPr>
              <w:t>Specifies the ID of the XML map.</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unsignedInt</w:t>
            </w:r>
          </w:p>
          <w:p>
            <w:pPr>
              <w:pStyle w:val="TableParagraph"/>
              <w:spacing w:before="1"/>
              <w:rPr>
                <w:sz w:val="22"/>
              </w:rPr>
            </w:pPr>
            <w:r>
              <w:rPr>
                <w:sz w:val="22"/>
              </w:rPr>
              <w:t>datatype.</w:t>
            </w:r>
          </w:p>
        </w:tc>
      </w:tr>
      <w:tr>
        <w:trPr>
          <w:trHeight w:val="1158" w:hRule="atLeast"/>
        </w:trPr>
        <w:tc>
          <w:tcPr>
            <w:tcW w:w="2062" w:type="dxa"/>
          </w:tcPr>
          <w:p>
            <w:pPr>
              <w:pStyle w:val="TableParagraph"/>
              <w:ind w:right="473"/>
              <w:rPr>
                <w:sz w:val="22"/>
              </w:rPr>
            </w:pPr>
            <w:r>
              <w:rPr>
                <w:rFonts w:ascii="Cambria"/>
                <w:sz w:val="22"/>
              </w:rPr>
              <w:t>Name </w:t>
            </w:r>
            <w:r>
              <w:rPr>
                <w:sz w:val="22"/>
              </w:rPr>
              <w:t>(XML Mapping Name)</w:t>
            </w:r>
          </w:p>
        </w:tc>
        <w:tc>
          <w:tcPr>
            <w:tcW w:w="8250" w:type="dxa"/>
          </w:tcPr>
          <w:p>
            <w:pPr>
              <w:pStyle w:val="TableParagraph"/>
              <w:rPr>
                <w:sz w:val="22"/>
              </w:rPr>
            </w:pPr>
            <w:r>
              <w:rPr>
                <w:sz w:val="22"/>
              </w:rPr>
              <w:t>Specifies the name of the XML map.</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623" w:hRule="atLeast"/>
        </w:trPr>
        <w:tc>
          <w:tcPr>
            <w:tcW w:w="2062" w:type="dxa"/>
          </w:tcPr>
          <w:p>
            <w:pPr>
              <w:pStyle w:val="TableParagraph"/>
              <w:spacing w:line="257" w:lineRule="exact" w:before="42"/>
              <w:rPr>
                <w:rFonts w:ascii="Cambria"/>
                <w:sz w:val="22"/>
              </w:rPr>
            </w:pPr>
            <w:r>
              <w:rPr>
                <w:rFonts w:ascii="Cambria"/>
                <w:sz w:val="22"/>
              </w:rPr>
              <w:t>PreserveFormat</w:t>
            </w:r>
          </w:p>
          <w:p>
            <w:pPr>
              <w:pStyle w:val="TableParagraph"/>
              <w:spacing w:line="268" w:lineRule="exact" w:before="0"/>
              <w:rPr>
                <w:sz w:val="22"/>
              </w:rPr>
            </w:pPr>
            <w:r>
              <w:rPr>
                <w:sz w:val="22"/>
              </w:rPr>
              <w:t>(Preserve Cell</w:t>
            </w:r>
          </w:p>
        </w:tc>
        <w:tc>
          <w:tcPr>
            <w:tcW w:w="8250" w:type="dxa"/>
          </w:tcPr>
          <w:p>
            <w:pPr>
              <w:pStyle w:val="TableParagraph"/>
              <w:ind w:right="338"/>
              <w:rPr>
                <w:sz w:val="22"/>
              </w:rPr>
            </w:pPr>
            <w:r>
              <w:rPr>
                <w:sz w:val="22"/>
              </w:rPr>
              <w:t>Specifies whether cell number formatting in the sheet should be preserved during data refresh operations, or whether the number formatting defined by the XML data type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158" w:hRule="atLeast"/>
        </w:trPr>
        <w:tc>
          <w:tcPr>
            <w:tcW w:w="2062" w:type="dxa"/>
          </w:tcPr>
          <w:p>
            <w:pPr>
              <w:pStyle w:val="TableParagraph"/>
              <w:rPr>
                <w:sz w:val="22"/>
              </w:rPr>
            </w:pPr>
            <w:r>
              <w:rPr>
                <w:sz w:val="22"/>
              </w:rPr>
              <w:t>Formatting)</w:t>
            </w:r>
          </w:p>
        </w:tc>
        <w:tc>
          <w:tcPr>
            <w:tcW w:w="8250" w:type="dxa"/>
          </w:tcPr>
          <w:p>
            <w:pPr>
              <w:pStyle w:val="TableParagraph"/>
              <w:rPr>
                <w:sz w:val="22"/>
              </w:rPr>
            </w:pPr>
            <w:r>
              <w:rPr>
                <w:sz w:val="22"/>
              </w:rPr>
              <w:t>should be used.</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0"/>
              <w:rPr>
                <w:sz w:val="22"/>
              </w:rPr>
            </w:pPr>
            <w:r>
              <w:rPr>
                <w:sz w:val="22"/>
              </w:rPr>
              <w:t>datatype.</w:t>
            </w:r>
          </w:p>
        </w:tc>
      </w:tr>
      <w:tr>
        <w:trPr>
          <w:trHeight w:val="1430" w:hRule="atLeast"/>
        </w:trPr>
        <w:tc>
          <w:tcPr>
            <w:tcW w:w="2062" w:type="dxa"/>
          </w:tcPr>
          <w:p>
            <w:pPr>
              <w:pStyle w:val="TableParagraph"/>
              <w:spacing w:before="42"/>
              <w:ind w:right="99"/>
              <w:rPr>
                <w:sz w:val="22"/>
              </w:rPr>
            </w:pPr>
            <w:r>
              <w:rPr>
                <w:rFonts w:ascii="Cambria"/>
                <w:sz w:val="22"/>
              </w:rPr>
              <w:t>PreserveSortAFLay out </w:t>
            </w:r>
            <w:r>
              <w:rPr>
                <w:sz w:val="22"/>
              </w:rPr>
              <w:t>(Preserve AutoFilter State)</w:t>
            </w:r>
          </w:p>
        </w:tc>
        <w:tc>
          <w:tcPr>
            <w:tcW w:w="8250" w:type="dxa"/>
          </w:tcPr>
          <w:p>
            <w:pPr>
              <w:pStyle w:val="TableParagraph"/>
              <w:ind w:right="397"/>
              <w:rPr>
                <w:sz w:val="22"/>
              </w:rPr>
            </w:pPr>
            <w:r>
              <w:rPr>
                <w:sz w:val="22"/>
              </w:rPr>
              <w:t>Specifies whether to keep the filter state of the Table or cell range intact during a data refresh.</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r>
        <w:trPr>
          <w:trHeight w:val="1159" w:hRule="atLeast"/>
        </w:trPr>
        <w:tc>
          <w:tcPr>
            <w:tcW w:w="2062" w:type="dxa"/>
          </w:tcPr>
          <w:p>
            <w:pPr>
              <w:pStyle w:val="TableParagraph"/>
              <w:ind w:right="150"/>
              <w:rPr>
                <w:sz w:val="22"/>
              </w:rPr>
            </w:pPr>
            <w:r>
              <w:rPr>
                <w:rFonts w:ascii="Cambria"/>
                <w:sz w:val="22"/>
              </w:rPr>
              <w:t>RootElement </w:t>
            </w:r>
            <w:r>
              <w:rPr>
                <w:sz w:val="22"/>
              </w:rPr>
              <w:t>(Root Element Name)</w:t>
            </w:r>
          </w:p>
        </w:tc>
        <w:tc>
          <w:tcPr>
            <w:tcW w:w="8250" w:type="dxa"/>
          </w:tcPr>
          <w:p>
            <w:pPr>
              <w:pStyle w:val="TableParagraph"/>
              <w:rPr>
                <w:sz w:val="22"/>
              </w:rPr>
            </w:pPr>
            <w:r>
              <w:rPr>
                <w:sz w:val="22"/>
              </w:rPr>
              <w:t>Specifies the names of the root XML element.</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r>
        <w:trPr>
          <w:trHeight w:val="1161" w:hRule="atLeast"/>
        </w:trPr>
        <w:tc>
          <w:tcPr>
            <w:tcW w:w="2062" w:type="dxa"/>
          </w:tcPr>
          <w:p>
            <w:pPr>
              <w:pStyle w:val="TableParagraph"/>
              <w:spacing w:line="237" w:lineRule="auto" w:before="44"/>
              <w:ind w:right="159"/>
              <w:rPr>
                <w:sz w:val="22"/>
              </w:rPr>
            </w:pPr>
            <w:r>
              <w:rPr>
                <w:rFonts w:ascii="Cambria"/>
                <w:sz w:val="22"/>
              </w:rPr>
              <w:t>SchemaID </w:t>
            </w:r>
            <w:r>
              <w:rPr>
                <w:sz w:val="22"/>
              </w:rPr>
              <w:t>(Schema Name)</w:t>
            </w:r>
          </w:p>
        </w:tc>
        <w:tc>
          <w:tcPr>
            <w:tcW w:w="8250" w:type="dxa"/>
          </w:tcPr>
          <w:p>
            <w:pPr>
              <w:pStyle w:val="TableParagraph"/>
              <w:spacing w:before="42"/>
              <w:rPr>
                <w:sz w:val="22"/>
              </w:rPr>
            </w:pPr>
            <w:r>
              <w:rPr>
                <w:sz w:val="22"/>
              </w:rPr>
              <w:t>Specifies the unique name of the </w:t>
            </w:r>
            <w:r>
              <w:rPr>
                <w:rFonts w:ascii="Cambria"/>
                <w:sz w:val="22"/>
              </w:rPr>
              <w:t>schema </w:t>
            </w:r>
            <w:r>
              <w:rPr>
                <w:sz w:val="22"/>
              </w:rPr>
              <w:t>used for the mapping.</w:t>
            </w:r>
          </w:p>
          <w:p>
            <w:pPr>
              <w:pStyle w:val="TableParagraph"/>
              <w:spacing w:before="10"/>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r>
        <w:trPr>
          <w:trHeight w:val="1430" w:hRule="atLeast"/>
        </w:trPr>
        <w:tc>
          <w:tcPr>
            <w:tcW w:w="2062" w:type="dxa"/>
          </w:tcPr>
          <w:p>
            <w:pPr>
              <w:pStyle w:val="TableParagraph"/>
              <w:spacing w:before="42"/>
              <w:ind w:right="102"/>
              <w:rPr>
                <w:sz w:val="22"/>
              </w:rPr>
            </w:pPr>
            <w:r>
              <w:rPr>
                <w:rFonts w:ascii="Cambria"/>
                <w:sz w:val="22"/>
              </w:rPr>
              <w:t>ShowImportExport ValidationErrors </w:t>
            </w:r>
            <w:r>
              <w:rPr>
                <w:sz w:val="22"/>
              </w:rPr>
              <w:t>(Show Validation Errors)</w:t>
            </w:r>
          </w:p>
        </w:tc>
        <w:tc>
          <w:tcPr>
            <w:tcW w:w="8250" w:type="dxa"/>
          </w:tcPr>
          <w:p>
            <w:pPr>
              <w:pStyle w:val="TableParagraph"/>
              <w:ind w:right="222"/>
              <w:rPr>
                <w:sz w:val="22"/>
              </w:rPr>
            </w:pPr>
            <w:r>
              <w:rPr>
                <w:sz w:val="22"/>
              </w:rPr>
              <w:t>Specifies whether XML schema validation errors should be displayed during data refresh or data export.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boolean</w:t>
            </w:r>
          </w:p>
          <w:p>
            <w:pPr>
              <w:pStyle w:val="TableParagraph"/>
              <w:spacing w:before="1"/>
              <w:rPr>
                <w:sz w:val="22"/>
              </w:rPr>
            </w:pPr>
            <w:r>
              <w:rPr>
                <w:sz w:val="22"/>
              </w:rPr>
              <w:t>datatype.</w:t>
            </w:r>
          </w:p>
        </w:tc>
      </w:tr>
    </w:tbl>
    <w:p>
      <w:pPr>
        <w:pStyle w:val="BodyText"/>
        <w:rPr>
          <w:sz w:val="20"/>
        </w:rPr>
      </w:pPr>
    </w:p>
    <w:p>
      <w:pPr>
        <w:pStyle w:val="BodyText"/>
        <w:rPr>
          <w:sz w:val="17"/>
        </w:rPr>
      </w:pPr>
    </w:p>
    <w:p>
      <w:pPr>
        <w:pStyle w:val="BodyText"/>
        <w:spacing w:before="57"/>
        <w:ind w:left="220"/>
      </w:pPr>
      <w:r>
        <w:rPr/>
        <w:t>[</w:t>
      </w:r>
      <w:r>
        <w:rPr>
          <w:i/>
        </w:rPr>
        <w:t>Note</w:t>
      </w:r>
      <w:r>
        <w:rPr/>
        <w:t>: The W3C XML Schema definition of this element’s content model (</w:t>
      </w:r>
      <w:r>
        <w:rPr>
          <w:color w:val="5F5F5F"/>
          <w:u w:val="single" w:color="5F5F5F"/>
        </w:rPr>
        <w:t>CT_Map</w:t>
      </w:r>
      <w:r>
        <w:rPr/>
        <w:t>) is located in §A.2. </w:t>
      </w:r>
      <w:r>
        <w:rPr>
          <w:i/>
        </w:rPr>
        <w:t>end note</w:t>
      </w:r>
      <w:r>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6.3 MapInfo (XML Mapping)" w:id="1295"/>
      <w:bookmarkEnd w:id="1295"/>
      <w:r>
        <w:rPr>
          <w:b w:val="0"/>
        </w:rPr>
      </w:r>
      <w:bookmarkStart w:name="_bookmark430" w:id="1296"/>
      <w:bookmarkEnd w:id="1296"/>
      <w:r>
        <w:rPr>
          <w:b w:val="0"/>
        </w:rPr>
      </w:r>
      <w:bookmarkStart w:name="_bookmark430" w:id="1297"/>
      <w:bookmarkEnd w:id="1297"/>
      <w:r>
        <w:rPr>
          <w:color w:val="4F81BC"/>
        </w:rPr>
        <w:t>Map</w:t>
      </w:r>
      <w:r>
        <w:rPr>
          <w:color w:val="4F81BC"/>
        </w:rPr>
        <w:t>Info (XML</w:t>
      </w:r>
      <w:r>
        <w:rPr>
          <w:color w:val="4F81BC"/>
          <w:spacing w:val="-1"/>
        </w:rPr>
        <w:t> </w:t>
      </w:r>
      <w:r>
        <w:rPr>
          <w:color w:val="4F81BC"/>
        </w:rPr>
        <w:t>Mapping)</w:t>
      </w:r>
    </w:p>
    <w:p>
      <w:pPr>
        <w:pStyle w:val="BodyText"/>
        <w:spacing w:line="278" w:lineRule="auto" w:before="121"/>
        <w:ind w:left="220" w:right="1174"/>
      </w:pPr>
      <w:r>
        <w:rPr/>
        <w:t>This element acts as the container for all of the XML schemas and maps attached to the SpreadsheetML document.</w:t>
      </w:r>
    </w:p>
    <w:p>
      <w:pPr>
        <w:pStyle w:val="BodyText"/>
        <w:spacing w:before="3"/>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591" w:hRule="atLeast"/>
        </w:trPr>
        <w:tc>
          <w:tcPr>
            <w:tcW w:w="2062" w:type="dxa"/>
            <w:tcBorders>
              <w:bottom w:val="nil"/>
            </w:tcBorders>
          </w:tcPr>
          <w:p>
            <w:pPr>
              <w:pStyle w:val="TableParagraph"/>
              <w:spacing w:line="235" w:lineRule="auto" w:before="47"/>
              <w:ind w:right="92"/>
              <w:rPr>
                <w:sz w:val="22"/>
              </w:rPr>
            </w:pPr>
            <w:r>
              <w:rPr>
                <w:rFonts w:ascii="Cambria"/>
                <w:sz w:val="22"/>
              </w:rPr>
              <w:t>SelectionNamespac es </w:t>
            </w:r>
            <w:r>
              <w:rPr>
                <w:sz w:val="22"/>
              </w:rPr>
              <w:t>(Prefix Mappings</w:t>
            </w:r>
          </w:p>
        </w:tc>
        <w:tc>
          <w:tcPr>
            <w:tcW w:w="8250" w:type="dxa"/>
            <w:tcBorders>
              <w:bottom w:val="nil"/>
            </w:tcBorders>
          </w:tcPr>
          <w:p>
            <w:pPr>
              <w:pStyle w:val="TableParagraph"/>
              <w:spacing w:line="270" w:lineRule="atLeast" w:before="38"/>
              <w:ind w:right="306"/>
              <w:rPr>
                <w:sz w:val="22"/>
              </w:rPr>
            </w:pPr>
            <w:r>
              <w:rPr>
                <w:sz w:val="22"/>
              </w:rPr>
              <w:t>Specifies namespaces for use in XPath expressions when it is necessary to define new namespaces externally. Namespaces are defined in the XML style, as a space-separated</w:t>
            </w:r>
          </w:p>
        </w:tc>
      </w:tr>
      <w:tr>
        <w:trPr>
          <w:trHeight w:val="268" w:hRule="atLeast"/>
        </w:trPr>
        <w:tc>
          <w:tcPr>
            <w:tcW w:w="2062" w:type="dxa"/>
            <w:tcBorders>
              <w:top w:val="nil"/>
              <w:bottom w:val="nil"/>
            </w:tcBorders>
          </w:tcPr>
          <w:p>
            <w:pPr>
              <w:pStyle w:val="TableParagraph"/>
              <w:spacing w:line="243" w:lineRule="exact" w:before="0"/>
              <w:rPr>
                <w:sz w:val="22"/>
              </w:rPr>
            </w:pPr>
            <w:r>
              <w:rPr>
                <w:sz w:val="22"/>
              </w:rPr>
              <w:t>for XPath</w:t>
            </w:r>
          </w:p>
        </w:tc>
        <w:tc>
          <w:tcPr>
            <w:tcW w:w="8250" w:type="dxa"/>
            <w:tcBorders>
              <w:top w:val="nil"/>
              <w:bottom w:val="nil"/>
            </w:tcBorders>
          </w:tcPr>
          <w:p>
            <w:pPr>
              <w:pStyle w:val="TableParagraph"/>
              <w:spacing w:line="249" w:lineRule="exact" w:before="0"/>
              <w:rPr>
                <w:sz w:val="22"/>
              </w:rPr>
            </w:pPr>
            <w:r>
              <w:rPr>
                <w:sz w:val="22"/>
              </w:rPr>
              <w:t>list of namespace declaration attributes</w:t>
            </w:r>
          </w:p>
        </w:tc>
      </w:tr>
      <w:tr>
        <w:trPr>
          <w:trHeight w:val="267" w:hRule="atLeast"/>
        </w:trPr>
        <w:tc>
          <w:tcPr>
            <w:tcW w:w="2062" w:type="dxa"/>
            <w:tcBorders>
              <w:top w:val="nil"/>
              <w:bottom w:val="nil"/>
            </w:tcBorders>
          </w:tcPr>
          <w:p>
            <w:pPr>
              <w:pStyle w:val="TableParagraph"/>
              <w:spacing w:line="243" w:lineRule="exact" w:before="0"/>
              <w:rPr>
                <w:sz w:val="22"/>
              </w:rPr>
            </w:pPr>
            <w:r>
              <w:rPr>
                <w:sz w:val="22"/>
              </w:rPr>
              <w:t>Expressions)</w:t>
            </w:r>
          </w:p>
        </w:tc>
        <w:tc>
          <w:tcPr>
            <w:tcW w:w="8250" w:type="dxa"/>
            <w:tcBorders>
              <w:top w:val="nil"/>
              <w:bottom w:val="nil"/>
            </w:tcBorders>
          </w:tcPr>
          <w:p>
            <w:pPr>
              <w:pStyle w:val="TableParagraph"/>
              <w:spacing w:before="0"/>
              <w:ind w:left="0"/>
              <w:rPr>
                <w:rFonts w:ascii="Times New Roman"/>
                <w:sz w:val="18"/>
              </w:rPr>
            </w:pPr>
          </w:p>
        </w:tc>
      </w:tr>
      <w:tr>
        <w:trPr>
          <w:trHeight w:val="273" w:hRule="atLeast"/>
        </w:trPr>
        <w:tc>
          <w:tcPr>
            <w:tcW w:w="2062" w:type="dxa"/>
            <w:tcBorders>
              <w:top w:val="nil"/>
              <w:bottom w:val="nil"/>
            </w:tcBorders>
          </w:tcPr>
          <w:p>
            <w:pPr>
              <w:pStyle w:val="TableParagraph"/>
              <w:spacing w:before="0"/>
              <w:ind w:left="0"/>
              <w:rPr>
                <w:rFonts w:ascii="Times New Roman"/>
                <w:sz w:val="20"/>
              </w:rPr>
            </w:pPr>
          </w:p>
        </w:tc>
        <w:tc>
          <w:tcPr>
            <w:tcW w:w="8250" w:type="dxa"/>
            <w:tcBorders>
              <w:top w:val="nil"/>
              <w:bottom w:val="nil"/>
            </w:tcBorders>
          </w:tcPr>
          <w:p>
            <w:pPr>
              <w:pStyle w:val="TableParagraph"/>
              <w:spacing w:line="254" w:lineRule="exact" w:before="0"/>
              <w:rPr>
                <w:sz w:val="22"/>
              </w:rPr>
            </w:pPr>
            <w:r>
              <w:rPr>
                <w:sz w:val="22"/>
              </w:rPr>
              <w:t>[</w:t>
            </w:r>
            <w:r>
              <w:rPr>
                <w:i/>
                <w:sz w:val="22"/>
              </w:rPr>
              <w:t>Example</w:t>
            </w:r>
            <w:r>
              <w:rPr>
                <w:sz w:val="22"/>
              </w:rPr>
              <w:t>: The following example contains elements that belong to "a" and "b", in</w:t>
            </w:r>
          </w:p>
        </w:tc>
      </w:tr>
      <w:tr>
        <w:trPr>
          <w:trHeight w:val="401"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49" w:lineRule="exact" w:before="0"/>
              <w:rPr>
                <w:sz w:val="22"/>
              </w:rPr>
            </w:pPr>
            <w:r>
              <w:rPr>
                <w:sz w:val="22"/>
              </w:rPr>
              <w:t>addition to elements that do not belong to any namespace.</w:t>
            </w:r>
          </w:p>
        </w:tc>
      </w:tr>
      <w:tr>
        <w:trPr>
          <w:trHeight w:val="395" w:hRule="atLeast"/>
        </w:trPr>
        <w:tc>
          <w:tcPr>
            <w:tcW w:w="2062" w:type="dxa"/>
            <w:tcBorders>
              <w:top w:val="nil"/>
              <w:bottom w:val="nil"/>
            </w:tcBorders>
          </w:tcPr>
          <w:p>
            <w:pPr>
              <w:pStyle w:val="TableParagraph"/>
              <w:spacing w:before="0"/>
              <w:ind w:left="0"/>
              <w:rPr>
                <w:rFonts w:ascii="Times New Roman"/>
                <w:sz w:val="22"/>
              </w:rPr>
            </w:pPr>
          </w:p>
        </w:tc>
        <w:tc>
          <w:tcPr>
            <w:tcW w:w="8250" w:type="dxa"/>
            <w:tcBorders>
              <w:top w:val="nil"/>
              <w:bottom w:val="nil"/>
            </w:tcBorders>
          </w:tcPr>
          <w:p>
            <w:pPr>
              <w:pStyle w:val="TableParagraph"/>
              <w:spacing w:line="257" w:lineRule="exact" w:before="118"/>
              <w:ind w:left="403"/>
              <w:rPr>
                <w:rFonts w:ascii="Consolas"/>
                <w:sz w:val="22"/>
              </w:rPr>
            </w:pPr>
            <w:r>
              <w:rPr>
                <w:rFonts w:ascii="Consolas"/>
                <w:sz w:val="22"/>
              </w:rPr>
              <w:t>&lt;?xml version="1.0"?&gt;</w:t>
            </w:r>
          </w:p>
        </w:tc>
      </w:tr>
      <w:tr>
        <w:trPr>
          <w:trHeight w:val="25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37" w:lineRule="exact" w:before="0"/>
              <w:ind w:left="645"/>
              <w:rPr>
                <w:rFonts w:ascii="Consolas"/>
                <w:sz w:val="22"/>
              </w:rPr>
            </w:pPr>
            <w:r>
              <w:rPr>
                <w:rFonts w:ascii="Consolas"/>
                <w:sz w:val="22"/>
              </w:rPr>
              <w:t>&lt;root&gt;</w:t>
            </w:r>
          </w:p>
        </w:tc>
      </w:tr>
      <w:tr>
        <w:trPr>
          <w:trHeight w:val="258"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38" w:lineRule="exact" w:before="0"/>
              <w:ind w:left="887"/>
              <w:rPr>
                <w:rFonts w:ascii="Consolas"/>
                <w:sz w:val="22"/>
              </w:rPr>
            </w:pPr>
            <w:r>
              <w:rPr>
                <w:rFonts w:ascii="Consolas"/>
                <w:sz w:val="22"/>
              </w:rPr>
              <w:t>&lt;branch&gt;branch&lt;/branch&gt;</w:t>
            </w:r>
          </w:p>
        </w:tc>
      </w:tr>
      <w:tr>
        <w:trPr>
          <w:trHeight w:val="256" w:hRule="atLeast"/>
        </w:trPr>
        <w:tc>
          <w:tcPr>
            <w:tcW w:w="2062" w:type="dxa"/>
            <w:tcBorders>
              <w:top w:val="nil"/>
              <w:bottom w:val="nil"/>
            </w:tcBorders>
          </w:tcPr>
          <w:p>
            <w:pPr>
              <w:pStyle w:val="TableParagraph"/>
              <w:spacing w:before="0"/>
              <w:ind w:left="0"/>
              <w:rPr>
                <w:rFonts w:ascii="Times New Roman"/>
                <w:sz w:val="18"/>
              </w:rPr>
            </w:pPr>
          </w:p>
        </w:tc>
        <w:tc>
          <w:tcPr>
            <w:tcW w:w="8250" w:type="dxa"/>
            <w:tcBorders>
              <w:top w:val="nil"/>
              <w:bottom w:val="nil"/>
            </w:tcBorders>
          </w:tcPr>
          <w:p>
            <w:pPr>
              <w:pStyle w:val="TableParagraph"/>
              <w:spacing w:line="237" w:lineRule="exact" w:before="0"/>
              <w:ind w:left="887"/>
              <w:rPr>
                <w:rFonts w:ascii="Consolas"/>
                <w:sz w:val="22"/>
              </w:rPr>
            </w:pPr>
            <w:r>
              <w:rPr>
                <w:rFonts w:ascii="Consolas"/>
                <w:sz w:val="22"/>
              </w:rPr>
              <w:t>&lt;a:root xmlns:a=</w:t>
            </w:r>
            <w:hyperlink r:id="rId193">
              <w:r>
                <w:rPr>
                  <w:rFonts w:ascii="Consolas"/>
                  <w:sz w:val="22"/>
                </w:rPr>
                <w:t>"http://myserver.com</w:t>
              </w:r>
            </w:hyperlink>
            <w:r>
              <w:rPr>
                <w:rFonts w:ascii="Consolas"/>
                <w:sz w:val="22"/>
              </w:rPr>
              <w:t>"&gt;</w:t>
            </w:r>
          </w:p>
        </w:tc>
      </w:tr>
      <w:tr>
        <w:trPr>
          <w:trHeight w:val="282" w:hRule="atLeast"/>
        </w:trPr>
        <w:tc>
          <w:tcPr>
            <w:tcW w:w="2062" w:type="dxa"/>
            <w:tcBorders>
              <w:top w:val="nil"/>
            </w:tcBorders>
          </w:tcPr>
          <w:p>
            <w:pPr>
              <w:pStyle w:val="TableParagraph"/>
              <w:spacing w:before="0"/>
              <w:ind w:left="0"/>
              <w:rPr>
                <w:rFonts w:ascii="Times New Roman"/>
                <w:sz w:val="20"/>
              </w:rPr>
            </w:pPr>
          </w:p>
        </w:tc>
        <w:tc>
          <w:tcPr>
            <w:tcW w:w="8250" w:type="dxa"/>
            <w:tcBorders>
              <w:top w:val="nil"/>
            </w:tcBorders>
          </w:tcPr>
          <w:p>
            <w:pPr>
              <w:pStyle w:val="TableParagraph"/>
              <w:spacing w:line="237" w:lineRule="exact" w:before="0"/>
              <w:ind w:left="1130"/>
              <w:rPr>
                <w:rFonts w:ascii="Consolas"/>
                <w:sz w:val="22"/>
              </w:rPr>
            </w:pPr>
            <w:r>
              <w:rPr>
                <w:rFonts w:ascii="Consolas"/>
                <w:sz w:val="22"/>
              </w:rPr>
              <w:t>&lt;a:branch&gt;a-branch&lt;/a:branch&gt;</w:t>
            </w:r>
          </w:p>
        </w:tc>
      </w:tr>
    </w:tbl>
    <w:p>
      <w:pPr>
        <w:spacing w:after="0" w:line="237" w:lineRule="exact"/>
        <w:rPr>
          <w:rFonts w:ascii="Consolas"/>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3265" w:hRule="atLeast"/>
        </w:trPr>
        <w:tc>
          <w:tcPr>
            <w:tcW w:w="2062" w:type="dxa"/>
          </w:tcPr>
          <w:p>
            <w:pPr>
              <w:pStyle w:val="TableParagraph"/>
              <w:spacing w:before="0"/>
              <w:ind w:left="0"/>
              <w:rPr>
                <w:rFonts w:ascii="Times New Roman"/>
                <w:sz w:val="22"/>
              </w:rPr>
            </w:pPr>
          </w:p>
        </w:tc>
        <w:tc>
          <w:tcPr>
            <w:tcW w:w="8250" w:type="dxa"/>
          </w:tcPr>
          <w:p>
            <w:pPr>
              <w:pStyle w:val="TableParagraph"/>
              <w:spacing w:before="42"/>
              <w:ind w:left="1373" w:right="1990" w:hanging="243"/>
              <w:rPr>
                <w:rFonts w:ascii="Consolas"/>
                <w:sz w:val="22"/>
              </w:rPr>
            </w:pPr>
            <w:r>
              <w:rPr>
                <w:rFonts w:ascii="Consolas"/>
                <w:sz w:val="22"/>
              </w:rPr>
              <w:t>&lt;b:branch xmlns:b="</w:t>
            </w:r>
            <w:hyperlink r:id="rId194">
              <w:r>
                <w:rPr>
                  <w:rFonts w:ascii="Consolas"/>
                  <w:sz w:val="22"/>
                </w:rPr>
                <w:t>http://yourserver.com</w:t>
              </w:r>
            </w:hyperlink>
            <w:r>
              <w:rPr>
                <w:rFonts w:ascii="Consolas"/>
                <w:sz w:val="22"/>
              </w:rPr>
              <w:t>"&gt; b-branch&lt;/b:branch&gt;</w:t>
            </w:r>
          </w:p>
          <w:p>
            <w:pPr>
              <w:pStyle w:val="TableParagraph"/>
              <w:spacing w:line="257" w:lineRule="exact" w:before="1"/>
              <w:ind w:left="887"/>
              <w:rPr>
                <w:rFonts w:ascii="Consolas"/>
                <w:sz w:val="22"/>
              </w:rPr>
            </w:pPr>
            <w:r>
              <w:rPr>
                <w:rFonts w:ascii="Consolas"/>
                <w:sz w:val="22"/>
              </w:rPr>
              <w:t>&lt;/a:root&gt;</w:t>
            </w:r>
          </w:p>
          <w:p>
            <w:pPr>
              <w:pStyle w:val="TableParagraph"/>
              <w:spacing w:line="256" w:lineRule="exact" w:before="0"/>
              <w:ind w:left="645"/>
              <w:rPr>
                <w:rFonts w:ascii="Consolas"/>
                <w:sz w:val="22"/>
              </w:rPr>
            </w:pPr>
            <w:r>
              <w:rPr>
                <w:rFonts w:ascii="Consolas"/>
                <w:sz w:val="22"/>
              </w:rPr>
              <w:t>&lt;/root&gt;</w:t>
            </w:r>
          </w:p>
          <w:p>
            <w:pPr>
              <w:pStyle w:val="TableParagraph"/>
              <w:spacing w:line="267" w:lineRule="exact" w:before="0"/>
              <w:rPr>
                <w:sz w:val="22"/>
              </w:rPr>
            </w:pPr>
            <w:r>
              <w:rPr>
                <w:i/>
                <w:sz w:val="22"/>
              </w:rPr>
              <w:t>end example</w:t>
            </w:r>
            <w:r>
              <w:rPr>
                <w:sz w:val="22"/>
              </w:rPr>
              <w:t>]</w:t>
            </w:r>
          </w:p>
          <w:p>
            <w:pPr>
              <w:pStyle w:val="TableParagraph"/>
              <w:spacing w:before="0"/>
              <w:ind w:left="0"/>
              <w:rPr>
                <w:sz w:val="22"/>
              </w:rPr>
            </w:pPr>
          </w:p>
          <w:p>
            <w:pPr>
              <w:pStyle w:val="TableParagraph"/>
              <w:spacing w:before="0"/>
              <w:ind w:right="433"/>
              <w:rPr>
                <w:sz w:val="22"/>
              </w:rPr>
            </w:pPr>
            <w:r>
              <w:rPr>
                <w:sz w:val="22"/>
              </w:rPr>
              <w:t>This is used when writing Xpath expressions at runtime against the XML instance structures, because the Xpath expressions use namespace prefixes instead of the fully spelled out namespace.</w:t>
            </w:r>
          </w:p>
          <w:p>
            <w:pPr>
              <w:pStyle w:val="TableParagraph"/>
              <w:spacing w:before="1"/>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0"/>
              <w:rPr>
                <w:sz w:val="22"/>
              </w:rPr>
            </w:pPr>
            <w:r>
              <w:rPr>
                <w:sz w:val="22"/>
              </w:rPr>
              <w:t>datatype.</w:t>
            </w:r>
          </w:p>
        </w:tc>
      </w:tr>
    </w:tbl>
    <w:p>
      <w:pPr>
        <w:pStyle w:val="BodyText"/>
        <w:rPr>
          <w:sz w:val="20"/>
        </w:rPr>
      </w:pPr>
    </w:p>
    <w:p>
      <w:pPr>
        <w:pStyle w:val="BodyText"/>
        <w:spacing w:before="10"/>
        <w:rPr>
          <w:sz w:val="16"/>
        </w:rPr>
      </w:pPr>
    </w:p>
    <w:p>
      <w:pPr>
        <w:pStyle w:val="BodyText"/>
        <w:spacing w:line="276" w:lineRule="auto" w:before="57"/>
        <w:ind w:left="220" w:right="722"/>
      </w:pPr>
      <w:r>
        <w:rPr/>
        <w:t>[</w:t>
      </w:r>
      <w:r>
        <w:rPr>
          <w:i/>
        </w:rPr>
        <w:t>Note</w:t>
      </w:r>
      <w:r>
        <w:rPr/>
        <w:t>: The W3C XML Schema definition of this element’s content model (</w:t>
      </w:r>
      <w:r>
        <w:rPr>
          <w:color w:val="5F5F5F"/>
          <w:u w:val="single" w:color="5F5F5F"/>
        </w:rPr>
        <w:t>CT_MapInfo</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6.4 Schema (XML Schema)" w:id="1298"/>
      <w:bookmarkEnd w:id="1298"/>
      <w:r>
        <w:rPr>
          <w:b w:val="0"/>
        </w:rPr>
      </w:r>
      <w:bookmarkStart w:name="_bookmark431" w:id="1299"/>
      <w:bookmarkEnd w:id="1299"/>
      <w:r>
        <w:rPr>
          <w:b w:val="0"/>
        </w:rPr>
      </w:r>
      <w:bookmarkStart w:name="_bookmark431" w:id="1300"/>
      <w:bookmarkEnd w:id="1300"/>
      <w:r>
        <w:rPr>
          <w:color w:val="4F81BC"/>
        </w:rPr>
        <w:t>S</w:t>
      </w:r>
      <w:r>
        <w:rPr>
          <w:color w:val="4F81BC"/>
        </w:rPr>
        <w:t>chema (XML</w:t>
      </w:r>
      <w:r>
        <w:rPr>
          <w:color w:val="4F81BC"/>
          <w:spacing w:val="-9"/>
        </w:rPr>
        <w:t> </w:t>
      </w:r>
      <w:r>
        <w:rPr>
          <w:color w:val="4F81BC"/>
        </w:rPr>
        <w:t>Schema)</w:t>
      </w:r>
    </w:p>
    <w:p>
      <w:pPr>
        <w:pStyle w:val="BodyText"/>
        <w:spacing w:before="126"/>
        <w:ind w:left="220"/>
      </w:pPr>
      <w:r>
        <w:rPr/>
        <w:t>This element contains the XML tree for an attached</w:t>
      </w:r>
      <w:r>
        <w:rPr>
          <w:spacing w:val="-16"/>
        </w:rPr>
        <w:t> </w:t>
      </w:r>
      <w:r>
        <w:rPr/>
        <w:t>schema.</w:t>
      </w:r>
    </w:p>
    <w:p>
      <w:pPr>
        <w:pStyle w:val="BodyText"/>
        <w:spacing w:before="6"/>
        <w:rPr>
          <w:sz w:val="19"/>
        </w:rPr>
      </w:pPr>
    </w:p>
    <w:p>
      <w:pPr>
        <w:pStyle w:val="BodyText"/>
        <w:spacing w:line="276" w:lineRule="auto"/>
        <w:ind w:left="220" w:right="737"/>
      </w:pPr>
      <w:r>
        <w:rPr/>
        <w:t>[</w:t>
      </w:r>
      <w:r>
        <w:rPr>
          <w:i/>
        </w:rPr>
        <w:t>Note</w:t>
      </w:r>
      <w:r>
        <w:rPr/>
        <w:t>: This element is not intended to reintroduce transitional schema into the strict conformance class. </w:t>
      </w:r>
      <w:r>
        <w:rPr>
          <w:i/>
        </w:rPr>
        <w:t>end </w:t>
      </w:r>
      <w:r>
        <w:rPr>
          <w:i/>
        </w:rPr>
        <w:t>note</w:t>
      </w:r>
      <w:r>
        <w:rPr/>
        <w:t>]</w:t>
      </w:r>
    </w:p>
    <w:p>
      <w:pPr>
        <w:pStyle w:val="BodyText"/>
        <w:spacing w:before="6"/>
        <w:rPr>
          <w:sz w:val="16"/>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4" w:hRule="atLeast"/>
        </w:trPr>
        <w:tc>
          <w:tcPr>
            <w:tcW w:w="2062" w:type="dxa"/>
            <w:shd w:val="clear" w:color="auto" w:fill="C0C0C0"/>
          </w:tcPr>
          <w:p>
            <w:pPr>
              <w:pStyle w:val="TableParagraph"/>
              <w:ind w:left="0" w:right="552"/>
              <w:jc w:val="right"/>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1956" w:hRule="atLeast"/>
        </w:trPr>
        <w:tc>
          <w:tcPr>
            <w:tcW w:w="2062" w:type="dxa"/>
          </w:tcPr>
          <w:p>
            <w:pPr>
              <w:pStyle w:val="TableParagraph"/>
              <w:ind w:left="0" w:right="590"/>
              <w:jc w:val="right"/>
              <w:rPr>
                <w:sz w:val="22"/>
              </w:rPr>
            </w:pPr>
            <w:r>
              <w:rPr>
                <w:rFonts w:ascii="Cambria"/>
                <w:sz w:val="22"/>
              </w:rPr>
              <w:t>ID </w:t>
            </w:r>
            <w:r>
              <w:rPr>
                <w:sz w:val="22"/>
              </w:rPr>
              <w:t>(Schema ID)</w:t>
            </w:r>
          </w:p>
        </w:tc>
        <w:tc>
          <w:tcPr>
            <w:tcW w:w="8250" w:type="dxa"/>
          </w:tcPr>
          <w:p>
            <w:pPr>
              <w:pStyle w:val="TableParagraph"/>
              <w:ind w:right="2945"/>
              <w:rPr>
                <w:sz w:val="22"/>
              </w:rPr>
            </w:pPr>
            <w:r>
              <w:rPr>
                <w:sz w:val="22"/>
              </w:rPr>
              <w:t>Specifies the unique name or ID for this attached schema. [</w:t>
            </w:r>
            <w:r>
              <w:rPr>
                <w:i/>
                <w:sz w:val="22"/>
              </w:rPr>
              <w:t>Example</w:t>
            </w:r>
            <w:r>
              <w:rPr>
                <w:sz w:val="22"/>
              </w:rPr>
              <w:t>:</w:t>
            </w:r>
          </w:p>
          <w:p>
            <w:pPr>
              <w:pStyle w:val="TableParagraph"/>
              <w:spacing w:line="256" w:lineRule="exact" w:before="3"/>
              <w:ind w:left="403"/>
              <w:rPr>
                <w:rFonts w:ascii="Consolas"/>
                <w:sz w:val="22"/>
              </w:rPr>
            </w:pPr>
            <w:r>
              <w:rPr>
                <w:rFonts w:ascii="Consolas"/>
                <w:sz w:val="22"/>
              </w:rPr>
              <w:t>ID = "Schema1"</w:t>
            </w:r>
          </w:p>
          <w:p>
            <w:pPr>
              <w:pStyle w:val="TableParagraph"/>
              <w:spacing w:line="267" w:lineRule="exact"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r>
        <w:trPr>
          <w:trHeight w:val="3019" w:hRule="atLeast"/>
        </w:trPr>
        <w:tc>
          <w:tcPr>
            <w:tcW w:w="2062" w:type="dxa"/>
          </w:tcPr>
          <w:p>
            <w:pPr>
              <w:pStyle w:val="TableParagraph"/>
              <w:spacing w:line="237" w:lineRule="auto" w:before="45"/>
              <w:ind w:right="675"/>
              <w:rPr>
                <w:sz w:val="22"/>
              </w:rPr>
            </w:pPr>
            <w:r>
              <w:rPr>
                <w:rFonts w:ascii="Cambria"/>
                <w:sz w:val="22"/>
              </w:rPr>
              <w:t>Namespace </w:t>
            </w:r>
            <w:r>
              <w:rPr>
                <w:sz w:val="22"/>
              </w:rPr>
              <w:t>(Schema Root Namespace)</w:t>
            </w:r>
          </w:p>
        </w:tc>
        <w:tc>
          <w:tcPr>
            <w:tcW w:w="8250" w:type="dxa"/>
          </w:tcPr>
          <w:p>
            <w:pPr>
              <w:pStyle w:val="TableParagraph"/>
              <w:spacing w:line="480" w:lineRule="auto"/>
              <w:ind w:right="4028"/>
              <w:rPr>
                <w:sz w:val="22"/>
              </w:rPr>
            </w:pPr>
            <w:r>
              <w:rPr>
                <w:sz w:val="22"/>
              </w:rPr>
              <w:t>Specifies the namespace used by the schema. [</w:t>
            </w:r>
            <w:r>
              <w:rPr>
                <w:i/>
                <w:sz w:val="22"/>
              </w:rPr>
              <w:t>Example</w:t>
            </w:r>
            <w:r>
              <w:rPr>
                <w:sz w:val="22"/>
              </w:rPr>
              <w:t>:</w:t>
            </w:r>
          </w:p>
          <w:p>
            <w:pPr>
              <w:pStyle w:val="TableParagraph"/>
              <w:spacing w:line="257" w:lineRule="exact" w:before="3"/>
              <w:ind w:left="403"/>
              <w:rPr>
                <w:rFonts w:ascii="Consolas" w:hAnsi="Consolas"/>
                <w:sz w:val="22"/>
              </w:rPr>
            </w:pPr>
            <w:r>
              <w:rPr>
                <w:rFonts w:ascii="Consolas" w:hAnsi="Consolas"/>
                <w:sz w:val="22"/>
              </w:rPr>
              <w:t>&lt;MapInfo SelectionNamespaces="…"&gt;</w:t>
            </w:r>
          </w:p>
          <w:p>
            <w:pPr>
              <w:pStyle w:val="TableParagraph"/>
              <w:spacing w:line="257" w:lineRule="exact" w:before="0"/>
              <w:ind w:left="645"/>
              <w:rPr>
                <w:rFonts w:ascii="Consolas" w:hAnsi="Consolas"/>
                <w:sz w:val="22"/>
              </w:rPr>
            </w:pPr>
            <w:r>
              <w:rPr>
                <w:rFonts w:ascii="Consolas" w:hAnsi="Consolas"/>
                <w:sz w:val="22"/>
              </w:rPr>
              <w:t>&lt;Schema ID="Schema1" Namespace="…"&gt;</w:t>
            </w:r>
          </w:p>
          <w:p>
            <w:pPr>
              <w:pStyle w:val="TableParagraph"/>
              <w:spacing w:before="10"/>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r>
        <w:trPr>
          <w:trHeight w:val="623" w:hRule="atLeast"/>
        </w:trPr>
        <w:tc>
          <w:tcPr>
            <w:tcW w:w="2062" w:type="dxa"/>
          </w:tcPr>
          <w:p>
            <w:pPr>
              <w:pStyle w:val="TableParagraph"/>
              <w:spacing w:line="256" w:lineRule="exact" w:before="42"/>
              <w:rPr>
                <w:rFonts w:ascii="Cambria"/>
                <w:sz w:val="22"/>
              </w:rPr>
            </w:pPr>
            <w:r>
              <w:rPr>
                <w:rFonts w:ascii="Cambria"/>
                <w:sz w:val="22"/>
              </w:rPr>
              <w:t>SchemaLanguage</w:t>
            </w:r>
          </w:p>
          <w:p>
            <w:pPr>
              <w:pStyle w:val="TableParagraph"/>
              <w:spacing w:line="267" w:lineRule="exact" w:before="0"/>
              <w:rPr>
                <w:sz w:val="22"/>
              </w:rPr>
            </w:pPr>
            <w:r>
              <w:rPr>
                <w:sz w:val="22"/>
              </w:rPr>
              <w:t>(Schema Language)</w:t>
            </w:r>
          </w:p>
        </w:tc>
        <w:tc>
          <w:tcPr>
            <w:tcW w:w="8250" w:type="dxa"/>
          </w:tcPr>
          <w:p>
            <w:pPr>
              <w:pStyle w:val="TableParagraph"/>
              <w:rPr>
                <w:sz w:val="22"/>
              </w:rPr>
            </w:pPr>
            <w:r>
              <w:rPr>
                <w:sz w:val="22"/>
              </w:rPr>
              <w:t>Specifies the media type of the schema language.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8250"/>
      </w:tblGrid>
      <w:tr>
        <w:trPr>
          <w:trHeight w:val="355" w:hRule="atLeast"/>
        </w:trPr>
        <w:tc>
          <w:tcPr>
            <w:tcW w:w="2062" w:type="dxa"/>
            <w:shd w:val="clear" w:color="auto" w:fill="C0C0C0"/>
          </w:tcPr>
          <w:p>
            <w:pPr>
              <w:pStyle w:val="TableParagraph"/>
              <w:ind w:left="566"/>
              <w:rPr>
                <w:b/>
                <w:sz w:val="22"/>
              </w:rPr>
            </w:pPr>
            <w:r>
              <w:rPr>
                <w:b/>
                <w:sz w:val="22"/>
              </w:rPr>
              <w:t>Attributes</w:t>
            </w:r>
          </w:p>
        </w:tc>
        <w:tc>
          <w:tcPr>
            <w:tcW w:w="8250" w:type="dxa"/>
            <w:shd w:val="clear" w:color="auto" w:fill="C0C0C0"/>
          </w:tcPr>
          <w:p>
            <w:pPr>
              <w:pStyle w:val="TableParagraph"/>
              <w:ind w:left="98" w:right="91"/>
              <w:jc w:val="center"/>
              <w:rPr>
                <w:b/>
                <w:sz w:val="22"/>
              </w:rPr>
            </w:pPr>
            <w:r>
              <w:rPr>
                <w:b/>
                <w:sz w:val="22"/>
              </w:rPr>
              <w:t>Description</w:t>
            </w:r>
          </w:p>
        </w:tc>
      </w:tr>
      <w:tr>
        <w:trPr>
          <w:trHeight w:val="2481" w:hRule="atLeast"/>
        </w:trPr>
        <w:tc>
          <w:tcPr>
            <w:tcW w:w="2062" w:type="dxa"/>
          </w:tcPr>
          <w:p>
            <w:pPr>
              <w:pStyle w:val="TableParagraph"/>
              <w:spacing w:before="0"/>
              <w:ind w:left="0"/>
              <w:rPr>
                <w:rFonts w:ascii="Times New Roman"/>
                <w:sz w:val="22"/>
              </w:rPr>
            </w:pPr>
          </w:p>
        </w:tc>
        <w:tc>
          <w:tcPr>
            <w:tcW w:w="8250" w:type="dxa"/>
          </w:tcPr>
          <w:p>
            <w:pPr>
              <w:pStyle w:val="TableParagraph"/>
              <w:rPr>
                <w:sz w:val="22"/>
              </w:rPr>
            </w:pPr>
            <w:r>
              <w:rPr>
                <w:sz w:val="22"/>
              </w:rPr>
              <w:t>[</w:t>
            </w:r>
            <w:r>
              <w:rPr>
                <w:i/>
                <w:sz w:val="22"/>
              </w:rPr>
              <w:t>Example</w:t>
            </w:r>
            <w:r>
              <w:rPr>
                <w:sz w:val="22"/>
              </w:rPr>
              <w:t>:</w:t>
            </w:r>
          </w:p>
          <w:p>
            <w:pPr>
              <w:pStyle w:val="TableParagraph"/>
              <w:spacing w:before="2"/>
              <w:ind w:left="0"/>
              <w:rPr>
                <w:sz w:val="22"/>
              </w:rPr>
            </w:pPr>
          </w:p>
          <w:p>
            <w:pPr>
              <w:pStyle w:val="TableParagraph"/>
              <w:spacing w:before="0"/>
              <w:ind w:left="403" w:right="1164"/>
              <w:rPr>
                <w:rFonts w:ascii="Consolas" w:hAnsi="Consolas"/>
                <w:sz w:val="22"/>
              </w:rPr>
            </w:pPr>
            <w:r>
              <w:rPr>
                <w:rFonts w:ascii="Consolas" w:hAnsi="Consolas"/>
                <w:sz w:val="22"/>
              </w:rPr>
              <w:t>&lt;Schema … SchemaLanguage="application/relax-ng-compact- syntax"/&gt;</w:t>
            </w:r>
          </w:p>
          <w:p>
            <w:pPr>
              <w:pStyle w:val="TableParagraph"/>
              <w:spacing w:before="9"/>
              <w:ind w:left="0"/>
              <w:rPr>
                <w:sz w:val="21"/>
              </w:rPr>
            </w:pPr>
          </w:p>
          <w:p>
            <w:pPr>
              <w:pStyle w:val="TableParagraph"/>
              <w:spacing w:before="0"/>
              <w:rPr>
                <w:sz w:val="22"/>
              </w:rPr>
            </w:pPr>
            <w:r>
              <w:rPr>
                <w:i/>
                <w:sz w:val="22"/>
              </w:rPr>
              <w:t>end example</w:t>
            </w:r>
            <w:r>
              <w:rPr>
                <w:sz w:val="22"/>
              </w:rPr>
              <w:t>]</w:t>
            </w:r>
          </w:p>
          <w:p>
            <w:pPr>
              <w:pStyle w:val="TableParagraph"/>
              <w:spacing w:before="0"/>
              <w:ind w:left="0"/>
              <w:rPr>
                <w:sz w:val="22"/>
              </w:rPr>
            </w:pPr>
          </w:p>
          <w:p>
            <w:pPr>
              <w:pStyle w:val="TableParagraph"/>
              <w:spacing w:before="0"/>
              <w:rPr>
                <w:rFonts w:ascii="Cambria"/>
                <w:sz w:val="22"/>
              </w:rPr>
            </w:pPr>
            <w:r>
              <w:rPr>
                <w:sz w:val="22"/>
              </w:rPr>
              <w:t>The possible values for this attribute are defined by the W3C XML Schema </w:t>
            </w:r>
            <w:r>
              <w:rPr>
                <w:rFonts w:ascii="Cambria"/>
                <w:sz w:val="22"/>
              </w:rPr>
              <w:t>token</w:t>
            </w:r>
          </w:p>
          <w:p>
            <w:pPr>
              <w:pStyle w:val="TableParagraph"/>
              <w:spacing w:before="1"/>
              <w:rPr>
                <w:sz w:val="22"/>
              </w:rPr>
            </w:pPr>
            <w:r>
              <w:rPr>
                <w:sz w:val="22"/>
              </w:rPr>
              <w:t>datatype.</w:t>
            </w:r>
          </w:p>
        </w:tc>
      </w:tr>
      <w:tr>
        <w:trPr>
          <w:trHeight w:val="1965" w:hRule="atLeast"/>
        </w:trPr>
        <w:tc>
          <w:tcPr>
            <w:tcW w:w="2062" w:type="dxa"/>
          </w:tcPr>
          <w:p>
            <w:pPr>
              <w:pStyle w:val="TableParagraph"/>
              <w:spacing w:line="256" w:lineRule="exact" w:before="42"/>
              <w:rPr>
                <w:rFonts w:ascii="Cambria"/>
                <w:sz w:val="22"/>
              </w:rPr>
            </w:pPr>
            <w:r>
              <w:rPr>
                <w:rFonts w:ascii="Cambria"/>
                <w:sz w:val="22"/>
              </w:rPr>
              <w:t>SchemaRef</w:t>
            </w:r>
          </w:p>
          <w:p>
            <w:pPr>
              <w:pStyle w:val="TableParagraph"/>
              <w:spacing w:line="267" w:lineRule="exact" w:before="0"/>
              <w:rPr>
                <w:sz w:val="22"/>
              </w:rPr>
            </w:pPr>
            <w:r>
              <w:rPr>
                <w:sz w:val="22"/>
              </w:rPr>
              <w:t>(Schema Reference)</w:t>
            </w:r>
          </w:p>
        </w:tc>
        <w:tc>
          <w:tcPr>
            <w:tcW w:w="8250" w:type="dxa"/>
          </w:tcPr>
          <w:p>
            <w:pPr>
              <w:pStyle w:val="TableParagraph"/>
              <w:ind w:right="280"/>
              <w:rPr>
                <w:sz w:val="22"/>
              </w:rPr>
            </w:pPr>
            <w:r>
              <w:rPr>
                <w:sz w:val="22"/>
              </w:rPr>
              <w:t>The </w:t>
            </w:r>
            <w:r>
              <w:rPr>
                <w:rFonts w:ascii="Cambria"/>
                <w:sz w:val="22"/>
              </w:rPr>
              <w:t>schemaRef </w:t>
            </w:r>
            <w:r>
              <w:rPr>
                <w:sz w:val="22"/>
              </w:rPr>
              <w:t>attribute is used in the specific case where the schema definition happens to include another schema file that contributes to the same namespace. The value of this attribute is the relative path to a "root" schema file on disk which in turn references the other schema files contributing type definitions to the same namespace.</w:t>
            </w:r>
          </w:p>
          <w:p>
            <w:pPr>
              <w:pStyle w:val="TableParagraph"/>
              <w:spacing w:before="11"/>
              <w:ind w:left="0"/>
              <w:rPr>
                <w:sz w:val="21"/>
              </w:rPr>
            </w:pPr>
          </w:p>
          <w:p>
            <w:pPr>
              <w:pStyle w:val="TableParagraph"/>
              <w:spacing w:before="0"/>
              <w:rPr>
                <w:rFonts w:ascii="Cambria"/>
                <w:sz w:val="22"/>
              </w:rPr>
            </w:pPr>
            <w:r>
              <w:rPr>
                <w:sz w:val="22"/>
              </w:rPr>
              <w:t>The possible values for this attribute are defined by the W3C XML Schema </w:t>
            </w:r>
            <w:r>
              <w:rPr>
                <w:rFonts w:ascii="Cambria"/>
                <w:sz w:val="22"/>
              </w:rPr>
              <w:t>string</w:t>
            </w:r>
          </w:p>
          <w:p>
            <w:pPr>
              <w:pStyle w:val="TableParagraph"/>
              <w:spacing w:before="1"/>
              <w:rPr>
                <w:sz w:val="22"/>
              </w:rPr>
            </w:pPr>
            <w:r>
              <w:rPr>
                <w:sz w:val="22"/>
              </w:rPr>
              <w:t>datatype.</w:t>
            </w:r>
          </w:p>
        </w:tc>
      </w:tr>
    </w:tbl>
    <w:p>
      <w:pPr>
        <w:pStyle w:val="BodyText"/>
        <w:rPr>
          <w:sz w:val="20"/>
        </w:rPr>
      </w:pPr>
    </w:p>
    <w:p>
      <w:pPr>
        <w:pStyle w:val="BodyText"/>
        <w:spacing w:before="10"/>
        <w:rPr>
          <w:sz w:val="16"/>
        </w:rPr>
      </w:pPr>
    </w:p>
    <w:p>
      <w:pPr>
        <w:pStyle w:val="BodyText"/>
        <w:spacing w:line="278" w:lineRule="auto" w:before="56"/>
        <w:ind w:left="220" w:right="785"/>
      </w:pPr>
      <w:r>
        <w:rPr/>
        <w:t>[</w:t>
      </w:r>
      <w:r>
        <w:rPr>
          <w:i/>
        </w:rPr>
        <w:t>Note</w:t>
      </w:r>
      <w:r>
        <w:rPr/>
        <w:t>: The W3C XML Schema definition of this element’s content model (</w:t>
      </w:r>
      <w:r>
        <w:rPr>
          <w:color w:val="5F5F5F"/>
          <w:u w:val="single" w:color="5F5F5F"/>
        </w:rPr>
        <w:t>CT_Schema</w:t>
      </w:r>
      <w:r>
        <w:rPr/>
        <w:t>) is located in §A.2. </w:t>
      </w:r>
      <w:r>
        <w:rPr>
          <w:i/>
        </w:rPr>
        <w:t>end </w:t>
      </w:r>
      <w:r>
        <w:rPr>
          <w:i/>
        </w:rPr>
        <w:t>note</w:t>
      </w:r>
      <w:r>
        <w:rPr/>
        <w:t>]</w:t>
      </w:r>
    </w:p>
    <w:p>
      <w:pPr>
        <w:pStyle w:val="Heading1"/>
        <w:numPr>
          <w:ilvl w:val="1"/>
          <w:numId w:val="17"/>
        </w:numPr>
        <w:tabs>
          <w:tab w:pos="1156" w:val="left" w:leader="none"/>
          <w:tab w:pos="1157" w:val="left" w:leader="none"/>
        </w:tabs>
        <w:spacing w:line="240" w:lineRule="auto" w:before="196" w:after="0"/>
        <w:ind w:left="1156" w:right="0" w:hanging="937"/>
        <w:jc w:val="left"/>
      </w:pPr>
      <w:bookmarkStart w:name="18.17 Formulas" w:id="1301"/>
      <w:bookmarkEnd w:id="1301"/>
      <w:r>
        <w:rPr>
          <w:b w:val="0"/>
        </w:rPr>
      </w:r>
      <w:bookmarkStart w:name="_bookmark432" w:id="1302"/>
      <w:bookmarkEnd w:id="1302"/>
      <w:r>
        <w:rPr>
          <w:b w:val="0"/>
        </w:rPr>
      </w:r>
      <w:bookmarkStart w:name="_bookmark432" w:id="1303"/>
      <w:bookmarkEnd w:id="1303"/>
      <w:r>
        <w:rPr>
          <w:color w:val="4F81BC"/>
        </w:rPr>
        <w:t>F</w:t>
      </w:r>
      <w:r>
        <w:rPr>
          <w:color w:val="4F81BC"/>
        </w:rPr>
        <w:t>ormulas</w:t>
      </w:r>
    </w:p>
    <w:p>
      <w:pPr>
        <w:pStyle w:val="Heading2"/>
        <w:numPr>
          <w:ilvl w:val="2"/>
          <w:numId w:val="17"/>
        </w:numPr>
        <w:tabs>
          <w:tab w:pos="1444" w:val="left" w:leader="none"/>
          <w:tab w:pos="1445" w:val="left" w:leader="none"/>
        </w:tabs>
        <w:spacing w:line="240" w:lineRule="auto" w:before="212" w:after="0"/>
        <w:ind w:left="1444" w:right="0" w:hanging="1225"/>
        <w:jc w:val="left"/>
      </w:pPr>
      <w:bookmarkStart w:name="18.17.1 Introduction" w:id="1304"/>
      <w:bookmarkEnd w:id="1304"/>
      <w:r>
        <w:rPr>
          <w:b w:val="0"/>
        </w:rPr>
      </w:r>
      <w:bookmarkStart w:name="_bookmark433" w:id="1305"/>
      <w:bookmarkEnd w:id="1305"/>
      <w:r>
        <w:rPr>
          <w:b w:val="0"/>
        </w:rPr>
      </w:r>
      <w:bookmarkStart w:name="_bookmark433" w:id="1306"/>
      <w:bookmarkEnd w:id="1306"/>
      <w:r>
        <w:rPr>
          <w:color w:val="4F81BC"/>
        </w:rPr>
        <w:t>In</w:t>
      </w:r>
      <w:r>
        <w:rPr>
          <w:color w:val="4F81BC"/>
        </w:rPr>
        <w:t>troduction</w:t>
      </w:r>
    </w:p>
    <w:p>
      <w:pPr>
        <w:pStyle w:val="BodyText"/>
        <w:spacing w:line="278" w:lineRule="auto" w:before="122"/>
        <w:ind w:left="220" w:right="474"/>
      </w:pPr>
      <w:r>
        <w:rPr/>
        <w:t>A SpreadsheetML </w:t>
      </w:r>
      <w:r>
        <w:rPr>
          <w:i/>
        </w:rPr>
        <w:t>formula </w:t>
      </w:r>
      <w:r>
        <w:rPr/>
        <w:t>is the syntactic representation of a series of calculations that is parsed or interpreted by the spreadsheet application into a function that calculates a value or array of values based upon zero-to- many inputs.</w:t>
      </w:r>
    </w:p>
    <w:p>
      <w:pPr>
        <w:pStyle w:val="BodyText"/>
        <w:spacing w:line="276" w:lineRule="auto" w:before="193"/>
        <w:ind w:left="220" w:right="1267"/>
      </w:pPr>
      <w:r>
        <w:rPr/>
        <w:t>A formula is an expression that can contain the following: constants, operators, cell references, calls to functions, and names.</w:t>
      </w:r>
    </w:p>
    <w:p>
      <w:pPr>
        <w:pStyle w:val="BodyText"/>
        <w:spacing w:before="6"/>
        <w:rPr>
          <w:sz w:val="16"/>
        </w:rPr>
      </w:pPr>
    </w:p>
    <w:p>
      <w:pPr>
        <w:pStyle w:val="BodyText"/>
        <w:ind w:left="220"/>
      </w:pPr>
      <w:r>
        <w:rPr/>
        <w:t>[</w:t>
      </w:r>
      <w:r>
        <w:rPr>
          <w:i/>
        </w:rPr>
        <w:t>Example</w:t>
      </w:r>
      <w:r>
        <w:rPr/>
        <w:t>: Consider the formula </w:t>
      </w:r>
      <w:r>
        <w:rPr>
          <w:rFonts w:ascii="Consolas"/>
        </w:rPr>
        <w:t>PI()*(A2^2)</w:t>
      </w:r>
      <w:r>
        <w:rPr/>
        <w:t>. In this case,</w:t>
      </w:r>
    </w:p>
    <w:p>
      <w:pPr>
        <w:pStyle w:val="BodyText"/>
        <w:spacing w:before="6"/>
        <w:rPr>
          <w:sz w:val="19"/>
        </w:rPr>
      </w:pPr>
    </w:p>
    <w:p>
      <w:pPr>
        <w:pStyle w:val="ListParagraph"/>
        <w:numPr>
          <w:ilvl w:val="3"/>
          <w:numId w:val="17"/>
        </w:numPr>
        <w:tabs>
          <w:tab w:pos="940" w:val="left" w:leader="none"/>
          <w:tab w:pos="941" w:val="left" w:leader="none"/>
        </w:tabs>
        <w:spacing w:line="240" w:lineRule="auto" w:before="0" w:after="0"/>
        <w:ind w:left="940" w:right="0" w:hanging="361"/>
        <w:jc w:val="left"/>
        <w:rPr>
          <w:sz w:val="22"/>
        </w:rPr>
      </w:pPr>
      <w:r>
        <w:rPr>
          <w:rFonts w:ascii="Consolas" w:hAnsi="Consolas"/>
          <w:sz w:val="22"/>
        </w:rPr>
        <w:t>PI()</w:t>
      </w:r>
      <w:r>
        <w:rPr>
          <w:rFonts w:ascii="Consolas" w:hAnsi="Consolas"/>
          <w:spacing w:val="-85"/>
          <w:sz w:val="22"/>
        </w:rPr>
        <w:t> </w:t>
      </w:r>
      <w:r>
        <w:rPr>
          <w:sz w:val="22"/>
        </w:rPr>
        <w:t>results in a call to the function </w:t>
      </w:r>
      <w:r>
        <w:rPr>
          <w:rFonts w:ascii="Consolas" w:hAnsi="Consolas"/>
          <w:sz w:val="22"/>
        </w:rPr>
        <w:t>PI</w:t>
      </w:r>
      <w:r>
        <w:rPr>
          <w:sz w:val="22"/>
        </w:rPr>
        <w:t>, which returns the value of π.</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The cell reference </w:t>
      </w:r>
      <w:r>
        <w:rPr>
          <w:rFonts w:ascii="Consolas" w:hAnsi="Consolas"/>
          <w:sz w:val="22"/>
        </w:rPr>
        <w:t>A2</w:t>
      </w:r>
      <w:r>
        <w:rPr>
          <w:rFonts w:ascii="Consolas" w:hAnsi="Consolas"/>
          <w:spacing w:val="-79"/>
          <w:sz w:val="22"/>
        </w:rPr>
        <w:t> </w:t>
      </w:r>
      <w:r>
        <w:rPr>
          <w:sz w:val="22"/>
        </w:rPr>
        <w:t>returns the value in that cell.</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rFonts w:ascii="Consolas" w:hAnsi="Consolas"/>
          <w:sz w:val="22"/>
        </w:rPr>
        <w:t>2</w:t>
      </w:r>
      <w:r>
        <w:rPr>
          <w:rFonts w:ascii="Consolas" w:hAnsi="Consolas"/>
          <w:spacing w:val="-74"/>
          <w:sz w:val="22"/>
        </w:rPr>
        <w:t> </w:t>
      </w:r>
      <w:r>
        <w:rPr>
          <w:sz w:val="22"/>
        </w:rPr>
        <w:t>is a numeric constant.</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The caret (</w:t>
      </w:r>
      <w:r>
        <w:rPr>
          <w:rFonts w:ascii="Consolas" w:hAnsi="Consolas"/>
          <w:sz w:val="22"/>
        </w:rPr>
        <w:t>^</w:t>
      </w:r>
      <w:r>
        <w:rPr>
          <w:sz w:val="22"/>
        </w:rPr>
        <w:t>) operator raises its left operand to the power of its right</w:t>
      </w:r>
      <w:r>
        <w:rPr>
          <w:spacing w:val="-10"/>
          <w:sz w:val="22"/>
        </w:rPr>
        <w:t> </w:t>
      </w:r>
      <w:r>
        <w:rPr>
          <w:sz w:val="22"/>
        </w:rPr>
        <w:t>operand.</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The parentheses, </w:t>
      </w:r>
      <w:r>
        <w:rPr>
          <w:rFonts w:ascii="Consolas" w:hAnsi="Consolas"/>
          <w:sz w:val="22"/>
        </w:rPr>
        <w:t>(</w:t>
      </w:r>
      <w:r>
        <w:rPr>
          <w:rFonts w:ascii="Consolas" w:hAnsi="Consolas"/>
          <w:spacing w:val="-81"/>
          <w:sz w:val="22"/>
        </w:rPr>
        <w:t> </w:t>
      </w:r>
      <w:r>
        <w:rPr>
          <w:sz w:val="22"/>
        </w:rPr>
        <w:t>and </w:t>
      </w:r>
      <w:r>
        <w:rPr>
          <w:rFonts w:ascii="Consolas" w:hAnsi="Consolas"/>
          <w:sz w:val="22"/>
        </w:rPr>
        <w:t>)</w:t>
      </w:r>
      <w:r>
        <w:rPr>
          <w:sz w:val="22"/>
        </w:rPr>
        <w:t>, are used for grouping.</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The asterisk (</w:t>
      </w:r>
      <w:r>
        <w:rPr>
          <w:rFonts w:ascii="Consolas" w:hAnsi="Consolas"/>
          <w:sz w:val="22"/>
        </w:rPr>
        <w:t>*</w:t>
      </w:r>
      <w:r>
        <w:rPr>
          <w:sz w:val="22"/>
        </w:rPr>
        <w:t>) operator performs multiplication of its two</w:t>
      </w:r>
      <w:r>
        <w:rPr>
          <w:spacing w:val="-12"/>
          <w:sz w:val="22"/>
        </w:rPr>
        <w:t> </w:t>
      </w:r>
      <w:r>
        <w:rPr>
          <w:sz w:val="22"/>
        </w:rPr>
        <w:t>operands.</w:t>
      </w:r>
    </w:p>
    <w:p>
      <w:pPr>
        <w:spacing w:before="243"/>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2"/>
        <w:numPr>
          <w:ilvl w:val="2"/>
          <w:numId w:val="17"/>
        </w:numPr>
        <w:tabs>
          <w:tab w:pos="1444" w:val="left" w:leader="none"/>
          <w:tab w:pos="1445" w:val="left" w:leader="none"/>
        </w:tabs>
        <w:spacing w:line="240" w:lineRule="auto" w:before="93" w:after="0"/>
        <w:ind w:left="1444" w:right="0" w:hanging="1225"/>
        <w:jc w:val="left"/>
      </w:pPr>
      <w:bookmarkStart w:name="18.17.2 Syntax" w:id="1307"/>
      <w:bookmarkEnd w:id="1307"/>
      <w:r>
        <w:rPr>
          <w:b w:val="0"/>
        </w:rPr>
      </w:r>
      <w:bookmarkStart w:name="_bookmark434" w:id="1308"/>
      <w:bookmarkEnd w:id="1308"/>
      <w:r>
        <w:rPr>
          <w:b w:val="0"/>
        </w:rPr>
      </w:r>
      <w:bookmarkStart w:name="_bookmark434" w:id="1309"/>
      <w:bookmarkEnd w:id="1309"/>
      <w:r>
        <w:rPr>
          <w:color w:val="4F81BC"/>
        </w:rPr>
        <w:t>S</w:t>
      </w:r>
      <w:r>
        <w:rPr>
          <w:color w:val="4F81BC"/>
        </w:rPr>
        <w:t>yntax</w:t>
      </w:r>
    </w:p>
    <w:p>
      <w:pPr>
        <w:pStyle w:val="BodyText"/>
        <w:spacing w:before="122"/>
        <w:ind w:left="220"/>
      </w:pPr>
      <w:r>
        <w:rPr/>
        <w:t>The syntax rules in this subclause follow the system shown in ISO/IEC 14977: literal text is surrounded by</w:t>
      </w:r>
    </w:p>
    <w:p>
      <w:pPr>
        <w:pStyle w:val="BodyText"/>
        <w:spacing w:line="276" w:lineRule="auto" w:before="41"/>
        <w:ind w:left="220" w:right="368"/>
      </w:pPr>
      <w:r>
        <w:rPr/>
        <w:t>double-quotes (or by apostrophes); the left-square-bracket and right-square-bracket designate the start and end of an option; the left-curly-bracket and right-curly-bracket designate the start and end of an sequence of one-or- more items; the vertical-line indicates an alternative; and each rule ends with a semicolon. Whenever hyphen is used as the exception-symbol (as per ISO/IEC 14977), it is surrounded by white space, and further clarified by a comment.</w:t>
      </w:r>
    </w:p>
    <w:p>
      <w:pPr>
        <w:pStyle w:val="BodyText"/>
        <w:spacing w:before="6"/>
        <w:rPr>
          <w:sz w:val="16"/>
        </w:rPr>
      </w:pPr>
    </w:p>
    <w:p>
      <w:pPr>
        <w:pStyle w:val="BodyText"/>
        <w:spacing w:line="276" w:lineRule="auto"/>
        <w:ind w:left="220" w:right="503"/>
      </w:pPr>
      <w:r>
        <w:rPr/>
        <w:t>The syntax rules below are modified by the context-sensitive rules stated in other subclauses of </w:t>
      </w:r>
      <w:hyperlink w:history="true" w:anchor="_bookmark432">
        <w:r>
          <w:rPr/>
          <w:t>§18.17</w:t>
        </w:r>
      </w:hyperlink>
      <w:r>
        <w:rPr/>
        <w:t>.*, as indicated by an EBNF comment of the form “(* see semantic rules at </w:t>
      </w:r>
      <w:hyperlink w:history="true" w:anchor="_bookmark432">
        <w:r>
          <w:rPr/>
          <w:t>18.17</w:t>
        </w:r>
      </w:hyperlink>
      <w:r>
        <w:rPr/>
        <w:t>… *)”. [</w:t>
      </w:r>
      <w:r>
        <w:rPr>
          <w:i/>
        </w:rPr>
        <w:t>Note</w:t>
      </w:r>
      <w:r>
        <w:rPr/>
        <w:t>: Thus, in order to produce an automated verifier, the context-sensitive rules in subclauses </w:t>
      </w:r>
      <w:hyperlink w:history="true" w:anchor="_bookmark432">
        <w:r>
          <w:rPr/>
          <w:t>18.17</w:t>
        </w:r>
      </w:hyperlink>
      <w:r>
        <w:rPr/>
        <w:t>.* must all be considered. The</w:t>
      </w:r>
    </w:p>
    <w:p>
      <w:pPr>
        <w:pStyle w:val="BodyText"/>
        <w:spacing w:line="278" w:lineRule="auto"/>
        <w:ind w:left="220" w:right="656"/>
      </w:pPr>
      <w:r>
        <w:rPr/>
        <w:t>context-free syntax rules shown in this subclause provide an overview to assist comprehension by the reader, but do not represent the entirety of the context-sensitive rules. </w:t>
      </w:r>
      <w:r>
        <w:rPr>
          <w:i/>
        </w:rPr>
        <w:t>end note</w:t>
      </w:r>
      <w:r>
        <w:rPr/>
        <w:t>]</w:t>
      </w:r>
    </w:p>
    <w:p>
      <w:pPr>
        <w:spacing w:before="196"/>
        <w:ind w:left="220" w:right="0" w:firstLine="0"/>
        <w:jc w:val="left"/>
        <w:rPr>
          <w:sz w:val="22"/>
        </w:rPr>
      </w:pPr>
      <w:r>
        <w:rPr>
          <w:sz w:val="22"/>
        </w:rPr>
        <w:t>When used in narrative, production names are set in an italic style, as in </w:t>
      </w:r>
      <w:r>
        <w:rPr>
          <w:rFonts w:ascii="Times New Roman"/>
          <w:i/>
          <w:sz w:val="22"/>
        </w:rPr>
        <w:t>array-constant</w:t>
      </w:r>
      <w:r>
        <w:rPr>
          <w:sz w:val="22"/>
        </w:rPr>
        <w:t>, </w:t>
      </w:r>
      <w:r>
        <w:rPr>
          <w:rFonts w:ascii="Times New Roman"/>
          <w:i/>
          <w:sz w:val="22"/>
        </w:rPr>
        <w:t>expression</w:t>
      </w:r>
      <w:r>
        <w:rPr>
          <w:sz w:val="22"/>
        </w:rPr>
        <w:t>, and</w:t>
      </w:r>
    </w:p>
    <w:p>
      <w:pPr>
        <w:spacing w:before="41"/>
        <w:ind w:left="220" w:right="0" w:firstLine="0"/>
        <w:jc w:val="left"/>
        <w:rPr>
          <w:sz w:val="22"/>
        </w:rPr>
      </w:pPr>
      <w:r>
        <w:rPr>
          <w:rFonts w:ascii="Times New Roman"/>
          <w:i/>
          <w:sz w:val="22"/>
        </w:rPr>
        <w:t>function-name</w:t>
      </w:r>
      <w:r>
        <w:rPr>
          <w:sz w:val="22"/>
        </w:rPr>
        <w:t>.</w:t>
      </w:r>
    </w:p>
    <w:p>
      <w:pPr>
        <w:pStyle w:val="BodyText"/>
        <w:spacing w:before="8"/>
        <w:rPr>
          <w:sz w:val="19"/>
        </w:rPr>
      </w:pPr>
    </w:p>
    <w:p>
      <w:pPr>
        <w:pStyle w:val="BodyText"/>
        <w:ind w:left="220"/>
      </w:pPr>
      <w:r>
        <w:rPr/>
        <w:t>The syntax of a formula is as follows:</w:t>
      </w:r>
    </w:p>
    <w:p>
      <w:pPr>
        <w:pStyle w:val="BodyText"/>
        <w:spacing w:before="8"/>
        <w:rPr>
          <w:sz w:val="19"/>
        </w:rPr>
      </w:pPr>
    </w:p>
    <w:p>
      <w:pPr>
        <w:pStyle w:val="BodyText"/>
        <w:tabs>
          <w:tab w:pos="2200" w:val="left" w:leader="none"/>
        </w:tabs>
        <w:spacing w:line="278" w:lineRule="auto"/>
        <w:ind w:left="750" w:right="8355" w:hanging="243"/>
        <w:rPr>
          <w:rFonts w:ascii="Consolas"/>
        </w:rPr>
      </w:pPr>
      <w:r>
        <w:rPr>
          <w:rFonts w:ascii="Consolas"/>
        </w:rPr>
        <w:t>formula= expression</w:t>
        <w:tab/>
      </w:r>
      <w:r>
        <w:rPr>
          <w:rFonts w:ascii="Consolas"/>
          <w:spacing w:val="-17"/>
        </w:rPr>
        <w:t>;</w:t>
      </w:r>
    </w:p>
    <w:p>
      <w:pPr>
        <w:pStyle w:val="BodyText"/>
        <w:spacing w:line="253" w:lineRule="exact"/>
        <w:ind w:left="508"/>
        <w:rPr>
          <w:rFonts w:ascii="Consolas"/>
        </w:rPr>
      </w:pPr>
      <w:r>
        <w:rPr>
          <w:rFonts w:ascii="Consolas"/>
        </w:rPr>
        <w:t>expression=</w:t>
      </w:r>
    </w:p>
    <w:p>
      <w:pPr>
        <w:pStyle w:val="BodyText"/>
        <w:tabs>
          <w:tab w:pos="1476" w:val="left" w:leader="none"/>
          <w:tab w:pos="1958" w:val="left" w:leader="none"/>
          <w:tab w:pos="3046" w:val="left" w:leader="none"/>
          <w:tab w:pos="3650" w:val="left" w:leader="none"/>
        </w:tabs>
        <w:spacing w:line="276" w:lineRule="auto" w:before="40"/>
        <w:ind w:left="750" w:right="6906"/>
        <w:rPr>
          <w:rFonts w:ascii="Consolas"/>
        </w:rPr>
      </w:pPr>
      <w:r>
        <w:rPr>
          <w:rFonts w:ascii="Consolas"/>
        </w:rPr>
        <w:t>"(",</w:t>
        <w:tab/>
        <w:t>expression,</w:t>
        <w:tab/>
        <w:t>")"</w:t>
        <w:tab/>
      </w:r>
      <w:r>
        <w:rPr>
          <w:rFonts w:ascii="Consolas"/>
          <w:spacing w:val="-18"/>
        </w:rPr>
        <w:t>| </w:t>
      </w:r>
      <w:r>
        <w:rPr>
          <w:rFonts w:ascii="Consolas"/>
        </w:rPr>
        <w:t>constant</w:t>
        <w:tab/>
        <w:t>|</w:t>
      </w:r>
    </w:p>
    <w:p>
      <w:pPr>
        <w:pStyle w:val="BodyText"/>
        <w:tabs>
          <w:tab w:pos="2925" w:val="left" w:leader="none"/>
          <w:tab w:pos="4375" w:val="left" w:leader="none"/>
        </w:tabs>
        <w:spacing w:line="256" w:lineRule="exact"/>
        <w:ind w:left="750"/>
        <w:rPr>
          <w:rFonts w:ascii="Consolas"/>
        </w:rPr>
      </w:pPr>
      <w:r>
        <w:rPr>
          <w:rFonts w:ascii="Consolas"/>
        </w:rPr>
        <w:t>prefix-operator,</w:t>
        <w:tab/>
        <w:t>expression</w:t>
        <w:tab/>
        <w:t>|</w:t>
      </w:r>
    </w:p>
    <w:p>
      <w:pPr>
        <w:pStyle w:val="BodyText"/>
        <w:tabs>
          <w:tab w:pos="2320" w:val="left" w:leader="none"/>
          <w:tab w:pos="4377" w:val="left" w:leader="none"/>
          <w:tab w:pos="4500" w:val="left" w:leader="none"/>
          <w:tab w:pos="5827" w:val="left" w:leader="none"/>
        </w:tabs>
        <w:spacing w:line="276" w:lineRule="auto" w:before="41"/>
        <w:ind w:left="750" w:right="4729"/>
        <w:rPr>
          <w:rFonts w:ascii="Consolas"/>
        </w:rPr>
      </w:pPr>
      <w:r>
        <w:rPr>
          <w:rFonts w:ascii="Consolas"/>
        </w:rPr>
        <w:t>expression,</w:t>
        <w:tab/>
        <w:t>infix-operator,</w:t>
        <w:tab/>
        <w:t>expression</w:t>
        <w:tab/>
      </w:r>
      <w:r>
        <w:rPr>
          <w:rFonts w:ascii="Consolas"/>
          <w:spacing w:val="-18"/>
        </w:rPr>
        <w:t>| </w:t>
      </w:r>
      <w:r>
        <w:rPr>
          <w:rFonts w:ascii="Consolas"/>
        </w:rPr>
        <w:t>expression,</w:t>
        <w:tab/>
        <w:t>postfix-operator</w:t>
        <w:tab/>
        <w:tab/>
        <w:t>|</w:t>
      </w:r>
    </w:p>
    <w:p>
      <w:pPr>
        <w:pStyle w:val="BodyText"/>
        <w:tabs>
          <w:tab w:pos="1476" w:val="left" w:leader="none"/>
          <w:tab w:pos="2564" w:val="left" w:leader="none"/>
          <w:tab w:pos="2685" w:val="left" w:leader="none"/>
        </w:tabs>
        <w:spacing w:line="276" w:lineRule="auto"/>
        <w:ind w:left="750" w:right="7871"/>
        <w:rPr>
          <w:rFonts w:ascii="Consolas"/>
        </w:rPr>
      </w:pPr>
      <w:r>
        <w:rPr>
          <w:rFonts w:ascii="Consolas"/>
        </w:rPr>
        <w:t>cell-reference</w:t>
        <w:tab/>
        <w:tab/>
      </w:r>
      <w:r>
        <w:rPr>
          <w:rFonts w:ascii="Consolas"/>
          <w:spacing w:val="-18"/>
        </w:rPr>
        <w:t>| </w:t>
      </w:r>
      <w:r>
        <w:rPr>
          <w:rFonts w:ascii="Consolas"/>
        </w:rPr>
        <w:t>function-call</w:t>
        <w:tab/>
        <w:t>| name</w:t>
        <w:tab/>
        <w:t>;</w:t>
      </w:r>
    </w:p>
    <w:p>
      <w:pPr>
        <w:pStyle w:val="BodyText"/>
        <w:spacing w:line="278" w:lineRule="auto" w:before="196"/>
        <w:ind w:left="220" w:right="503"/>
      </w:pPr>
      <w:r>
        <w:rPr/>
        <w:t>where </w:t>
      </w:r>
      <w:r>
        <w:rPr>
          <w:rFonts w:ascii="Times New Roman" w:hAnsi="Times New Roman"/>
          <w:i/>
        </w:rPr>
        <w:t>expression </w:t>
      </w:r>
      <w:r>
        <w:rPr/>
        <w:t>is an arbitrarily complex expression involving constants </w:t>
      </w:r>
      <w:hyperlink w:history="true" w:anchor="_bookmark435">
        <w:r>
          <w:rPr/>
          <w:t>(§18.17.2.1</w:t>
        </w:r>
      </w:hyperlink>
      <w:r>
        <w:rPr/>
        <w:t>), operators (§</w:t>
      </w:r>
      <w:hyperlink w:history="true" w:anchor="_bookmark436">
        <w:r>
          <w:rPr/>
          <w:t>18.17.2.2</w:t>
        </w:r>
      </w:hyperlink>
      <w:r>
        <w:rPr/>
        <w:t>), cell references (§</w:t>
      </w:r>
      <w:hyperlink w:history="true" w:anchor="_bookmark437">
        <w:r>
          <w:rPr/>
          <w:t>18.17.2.3</w:t>
        </w:r>
      </w:hyperlink>
      <w:r>
        <w:rPr/>
        <w:t>), calls to functions (§</w:t>
      </w:r>
      <w:hyperlink w:history="true" w:anchor="_bookmark440">
        <w:r>
          <w:rPr/>
          <w:t>18.17.2.4</w:t>
        </w:r>
      </w:hyperlink>
      <w:r>
        <w:rPr/>
        <w:t>), and names (§</w:t>
      </w:r>
      <w:hyperlink w:history="true" w:anchor="_bookmark441">
        <w:r>
          <w:rPr/>
          <w:t>18.17.2.5</w:t>
        </w:r>
      </w:hyperlink>
      <w:r>
        <w:rPr/>
        <w:t>).</w:t>
      </w:r>
    </w:p>
    <w:p>
      <w:pPr>
        <w:pStyle w:val="BodyText"/>
        <w:spacing w:line="278" w:lineRule="auto" w:before="195"/>
        <w:ind w:left="220" w:right="663"/>
      </w:pPr>
      <w:r>
        <w:rPr/>
        <w:t>A </w:t>
      </w:r>
      <w:r>
        <w:rPr>
          <w:i/>
        </w:rPr>
        <w:t>token </w:t>
      </w:r>
      <w:r>
        <w:rPr/>
        <w:t>is the minimal lexical element of a formula. The categories of tokens are: constants (except for </w:t>
      </w:r>
      <w:r>
        <w:rPr>
          <w:rFonts w:ascii="Times New Roman"/>
          <w:i/>
        </w:rPr>
        <w:t>array- </w:t>
      </w:r>
      <w:r>
        <w:rPr>
          <w:rFonts w:ascii="Times New Roman"/>
          <w:i/>
        </w:rPr>
        <w:t>constant</w:t>
      </w:r>
      <w:r>
        <w:rPr/>
        <w:t>), operators, cell references, function names, names, and punctuators. The </w:t>
      </w:r>
      <w:r>
        <w:rPr>
          <w:i/>
        </w:rPr>
        <w:t>punctuator</w:t>
      </w:r>
      <w:r>
        <w:rPr/>
        <w:t>s are:</w:t>
      </w:r>
    </w:p>
    <w:p>
      <w:pPr>
        <w:pStyle w:val="ListParagraph"/>
        <w:numPr>
          <w:ilvl w:val="3"/>
          <w:numId w:val="17"/>
        </w:numPr>
        <w:tabs>
          <w:tab w:pos="940" w:val="left" w:leader="none"/>
          <w:tab w:pos="941" w:val="left" w:leader="none"/>
        </w:tabs>
        <w:spacing w:line="240" w:lineRule="auto" w:before="197" w:after="0"/>
        <w:ind w:left="940" w:right="0" w:hanging="361"/>
        <w:jc w:val="left"/>
        <w:rPr>
          <w:sz w:val="22"/>
        </w:rPr>
      </w:pPr>
      <w:r>
        <w:rPr>
          <w:sz w:val="22"/>
        </w:rPr>
        <w:t>Left parenthesis (</w:t>
      </w:r>
      <w:r>
        <w:rPr>
          <w:rFonts w:ascii="Consolas" w:hAnsi="Consolas"/>
          <w:sz w:val="22"/>
        </w:rPr>
        <w:t>(</w:t>
      </w:r>
      <w:r>
        <w:rPr>
          <w:sz w:val="22"/>
        </w:rPr>
        <w:t>) and right parenthesis (</w:t>
      </w:r>
      <w:r>
        <w:rPr>
          <w:rFonts w:ascii="Consolas" w:hAnsi="Consolas"/>
          <w:sz w:val="22"/>
        </w:rPr>
        <w:t>)</w:t>
      </w:r>
      <w:r>
        <w:rPr>
          <w:sz w:val="22"/>
        </w:rPr>
        <w:t>) used for expression grouping and in a function</w:t>
      </w:r>
      <w:r>
        <w:rPr>
          <w:spacing w:val="-17"/>
          <w:sz w:val="22"/>
        </w:rPr>
        <w:t> </w:t>
      </w:r>
      <w:r>
        <w:rPr>
          <w:sz w:val="22"/>
        </w:rPr>
        <w:t>call.</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Comma (</w:t>
      </w:r>
      <w:r>
        <w:rPr>
          <w:rFonts w:ascii="Consolas" w:hAnsi="Consolas"/>
          <w:sz w:val="22"/>
        </w:rPr>
        <w:t>,</w:t>
      </w:r>
      <w:r>
        <w:rPr>
          <w:sz w:val="22"/>
        </w:rPr>
        <w:t>) used in a function call and an</w:t>
      </w:r>
      <w:r>
        <w:rPr>
          <w:spacing w:val="-11"/>
          <w:sz w:val="22"/>
        </w:rPr>
        <w:t> </w:t>
      </w:r>
      <w:r>
        <w:rPr>
          <w:rFonts w:ascii="Times New Roman" w:hAnsi="Times New Roman"/>
          <w:i/>
          <w:sz w:val="22"/>
        </w:rPr>
        <w:t>array-constant</w:t>
      </w:r>
      <w:r>
        <w:rPr>
          <w:sz w:val="22"/>
        </w:rPr>
        <w: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Left brace (</w:t>
      </w:r>
      <w:r>
        <w:rPr>
          <w:rFonts w:ascii="Consolas" w:hAnsi="Consolas"/>
          <w:sz w:val="22"/>
        </w:rPr>
        <w:t>{</w:t>
      </w:r>
      <w:r>
        <w:rPr>
          <w:sz w:val="22"/>
        </w:rPr>
        <w:t>), right brace (</w:t>
      </w:r>
      <w:r>
        <w:rPr>
          <w:rFonts w:ascii="Consolas" w:hAnsi="Consolas"/>
          <w:sz w:val="22"/>
        </w:rPr>
        <w:t>}</w:t>
      </w:r>
      <w:r>
        <w:rPr>
          <w:sz w:val="22"/>
        </w:rPr>
        <w:t>), and semicolon (</w:t>
      </w:r>
      <w:r>
        <w:rPr>
          <w:rFonts w:ascii="Consolas" w:hAnsi="Consolas"/>
          <w:sz w:val="22"/>
        </w:rPr>
        <w:t>;</w:t>
      </w:r>
      <w:r>
        <w:rPr>
          <w:sz w:val="22"/>
        </w:rPr>
        <w:t>) used in an</w:t>
      </w:r>
      <w:r>
        <w:rPr>
          <w:spacing w:val="-8"/>
          <w:sz w:val="22"/>
        </w:rPr>
        <w:t> </w:t>
      </w:r>
      <w:r>
        <w:rPr>
          <w:rFonts w:ascii="Times New Roman" w:hAnsi="Times New Roman"/>
          <w:i/>
          <w:sz w:val="22"/>
        </w:rPr>
        <w:t>array-constant</w:t>
      </w:r>
      <w:r>
        <w:rPr>
          <w:sz w:val="22"/>
        </w:rPr>
        <w:t>.</w:t>
      </w:r>
    </w:p>
    <w:p>
      <w:pPr>
        <w:pStyle w:val="BodyText"/>
        <w:spacing w:line="276" w:lineRule="auto" w:before="240"/>
        <w:ind w:left="220" w:right="660"/>
      </w:pPr>
      <w:r>
        <w:rPr/>
        <w:t>In a formula, an arbitrary number of space characters (</w:t>
      </w:r>
      <w:r>
        <w:rPr>
          <w:rFonts w:ascii="Consolas"/>
        </w:rPr>
        <w:t>U+0020</w:t>
      </w:r>
      <w:r>
        <w:rPr/>
        <w:t>) can precede the first token or follow the final token. An arbitrary number of space characters can separate two adjacent tokens, except that no space characters shall separate a </w:t>
      </w:r>
      <w:r>
        <w:rPr>
          <w:rFonts w:ascii="Times New Roman"/>
          <w:i/>
        </w:rPr>
        <w:t>function-name </w:t>
      </w:r>
      <w:r>
        <w:rPr/>
        <w:t>from the left parenthesis (</w:t>
      </w:r>
      <w:r>
        <w:rPr>
          <w:rFonts w:ascii="Consolas"/>
        </w:rPr>
        <w:t>(</w:t>
      </w:r>
      <w:r>
        <w:rPr/>
        <w:t>) that follows it. Such space characters</w:t>
      </w:r>
    </w:p>
    <w:p>
      <w:pPr>
        <w:spacing w:after="0" w:line="276" w:lineRule="auto"/>
        <w:sectPr>
          <w:footerReference w:type="even" r:id="rId195"/>
          <w:footerReference w:type="default" r:id="rId196"/>
          <w:pgSz w:w="12240" w:h="15840"/>
          <w:pgMar w:footer="746" w:header="761" w:top="1340" w:bottom="940" w:left="860" w:right="700"/>
          <w:pgNumType w:start="2040"/>
        </w:sectPr>
      </w:pPr>
    </w:p>
    <w:p>
      <w:pPr>
        <w:pStyle w:val="BodyText"/>
        <w:spacing w:line="278" w:lineRule="auto" w:before="148"/>
        <w:ind w:left="220" w:right="1023"/>
      </w:pPr>
      <w:r>
        <w:rPr/>
        <w:t>have no effect on the semantics of a formula; however, such spaces shall be distinguished from the space operator (</w:t>
      </w:r>
      <w:hyperlink w:history="true" w:anchor="_bookmark436">
        <w:r>
          <w:rPr/>
          <w:t>§18.17.2.2</w:t>
        </w:r>
      </w:hyperlink>
      <w:r>
        <w:rPr/>
        <w:t>).</w:t>
      </w:r>
    </w:p>
    <w:p>
      <w:pPr>
        <w:pStyle w:val="BodyText"/>
        <w:spacing w:line="276" w:lineRule="auto" w:before="196"/>
        <w:ind w:left="220" w:right="497"/>
      </w:pPr>
      <w:r>
        <w:rPr/>
        <w:t>All arithmetic terms in an </w:t>
      </w:r>
      <w:r>
        <w:rPr>
          <w:rFonts w:ascii="Times New Roman" w:hAnsi="Times New Roman"/>
          <w:i/>
        </w:rPr>
        <w:t>expression </w:t>
      </w:r>
      <w:r>
        <w:rPr/>
        <w:t>are numbers that can be represented by the workbook's value space. For any given workbook, the default value space is IEC 60559’s double precision. However, an implementation is permitted to override that default value space by use of the characteristics markup (§22.7). [</w:t>
      </w:r>
      <w:r>
        <w:rPr>
          <w:i/>
        </w:rPr>
        <w:t>Example</w:t>
      </w:r>
      <w:r>
        <w:rPr/>
        <w:t>: In the expression </w:t>
      </w:r>
      <w:r>
        <w:rPr>
          <w:rFonts w:ascii="Consolas" w:hAnsi="Consolas"/>
        </w:rPr>
        <w:t>1/3</w:t>
      </w:r>
      <w:r>
        <w:rPr/>
        <w:t>, although the operands appear to be integers, they are, in fact, floating-point numbers, and the result is </w:t>
      </w:r>
      <w:r>
        <w:rPr>
          <w:rFonts w:ascii="Consolas" w:hAnsi="Consolas"/>
        </w:rPr>
        <w:t>0.33…</w:t>
      </w:r>
      <w:r>
        <w:rPr/>
        <w:t>, not </w:t>
      </w:r>
      <w:r>
        <w:rPr>
          <w:rFonts w:ascii="Consolas" w:hAnsi="Consolas"/>
        </w:rPr>
        <w:t>0</w:t>
      </w:r>
      <w:r>
        <w:rPr/>
        <w:t>, as would result from integer division. </w:t>
      </w:r>
      <w:r>
        <w:rPr>
          <w:i/>
        </w:rPr>
        <w:t>end example</w:t>
      </w:r>
      <w:r>
        <w:rPr/>
        <w:t>]</w:t>
      </w:r>
    </w:p>
    <w:p>
      <w:pPr>
        <w:pStyle w:val="BodyText"/>
        <w:spacing w:before="2"/>
        <w:rPr>
          <w:sz w:val="16"/>
        </w:rPr>
      </w:pPr>
    </w:p>
    <w:p>
      <w:pPr>
        <w:pStyle w:val="BodyText"/>
        <w:spacing w:line="276" w:lineRule="auto"/>
        <w:ind w:left="220" w:right="477"/>
      </w:pPr>
      <w:r>
        <w:rPr/>
        <w:t>As ranges of data are fundamental to spreadsheet calculations, many SpreadsheetML functions are able to take arrays as inputs and to return arrays as outputs. Based on whether the formula is an </w:t>
      </w:r>
      <w:r>
        <w:rPr>
          <w:i/>
        </w:rPr>
        <w:t>array formula </w:t>
      </w:r>
      <w:r>
        <w:rPr/>
        <w:t>or not, the way in which input ranges are interpreted and output values are understood to relate to cells sharing the formula can mean one of two things.</w:t>
      </w:r>
    </w:p>
    <w:p>
      <w:pPr>
        <w:pStyle w:val="BodyText"/>
        <w:spacing w:before="5"/>
        <w:rPr>
          <w:sz w:val="16"/>
        </w:rPr>
      </w:pPr>
    </w:p>
    <w:p>
      <w:pPr>
        <w:pStyle w:val="BodyText"/>
        <w:spacing w:line="276" w:lineRule="auto" w:before="1"/>
        <w:ind w:left="220" w:right="462"/>
      </w:pPr>
      <w:r>
        <w:rPr/>
        <w:t>For an array formula: All range arguments are interpreted to be their full range. If the result of the formula is an array, the values of the array are meant to be returned across all of the cells in the sheet sharing the formula. (When the size of the range for an array formula exceeds in either dimension the size of the returned array, the excess cells take on a value of </w:t>
      </w:r>
      <w:r>
        <w:rPr>
          <w:rFonts w:ascii="Consolas"/>
        </w:rPr>
        <w:t>#N/A.</w:t>
      </w:r>
      <w:r>
        <w:rPr/>
        <w:t>)</w:t>
      </w:r>
    </w:p>
    <w:p>
      <w:pPr>
        <w:pStyle w:val="BodyText"/>
        <w:spacing w:before="6"/>
        <w:rPr>
          <w:sz w:val="16"/>
        </w:rPr>
      </w:pPr>
    </w:p>
    <w:p>
      <w:pPr>
        <w:pStyle w:val="BodyText"/>
        <w:spacing w:before="1"/>
        <w:ind w:left="220"/>
      </w:pPr>
      <w:r>
        <w:rPr/>
        <w:t>For a normal (non-array) formula:</w:t>
      </w:r>
    </w:p>
    <w:p>
      <w:pPr>
        <w:pStyle w:val="BodyText"/>
        <w:spacing w:before="6"/>
        <w:rPr>
          <w:sz w:val="19"/>
        </w:rPr>
      </w:pPr>
    </w:p>
    <w:p>
      <w:pPr>
        <w:pStyle w:val="ListParagraph"/>
        <w:numPr>
          <w:ilvl w:val="3"/>
          <w:numId w:val="17"/>
        </w:numPr>
        <w:tabs>
          <w:tab w:pos="940" w:val="left" w:leader="none"/>
          <w:tab w:pos="941" w:val="left" w:leader="none"/>
        </w:tabs>
        <w:spacing w:line="276" w:lineRule="auto" w:before="0" w:after="0"/>
        <w:ind w:left="940" w:right="501" w:hanging="360"/>
        <w:jc w:val="left"/>
        <w:rPr>
          <w:sz w:val="22"/>
        </w:rPr>
      </w:pPr>
      <w:r>
        <w:rPr>
          <w:sz w:val="22"/>
        </w:rPr>
        <w:t>Implicit intersection (§</w:t>
      </w:r>
      <w:hyperlink w:history="true" w:anchor="_bookmark436">
        <w:r>
          <w:rPr>
            <w:sz w:val="22"/>
          </w:rPr>
          <w:t>18.17.2.2</w:t>
        </w:r>
      </w:hyperlink>
      <w:r>
        <w:rPr>
          <w:sz w:val="22"/>
        </w:rPr>
        <w:t>) is performed on all arguments to functions except for those that allow a range.</w:t>
      </w:r>
    </w:p>
    <w:p>
      <w:pPr>
        <w:pStyle w:val="ListParagraph"/>
        <w:numPr>
          <w:ilvl w:val="3"/>
          <w:numId w:val="17"/>
        </w:numPr>
        <w:tabs>
          <w:tab w:pos="940" w:val="left" w:leader="none"/>
          <w:tab w:pos="941" w:val="left" w:leader="none"/>
        </w:tabs>
        <w:spacing w:line="240" w:lineRule="auto" w:before="1" w:after="0"/>
        <w:ind w:left="940" w:right="0" w:hanging="361"/>
        <w:jc w:val="left"/>
        <w:rPr>
          <w:sz w:val="22"/>
        </w:rPr>
      </w:pPr>
      <w:r>
        <w:rPr>
          <w:sz w:val="22"/>
        </w:rPr>
        <w:t>If the formula results in an array, only the first value from the array is returned to the</w:t>
      </w:r>
      <w:r>
        <w:rPr>
          <w:spacing w:val="-22"/>
          <w:sz w:val="22"/>
        </w:rPr>
        <w:t> </w:t>
      </w:r>
      <w:r>
        <w:rPr>
          <w:sz w:val="22"/>
        </w:rPr>
        <w:t>cell.</w:t>
      </w:r>
    </w:p>
    <w:p>
      <w:pPr>
        <w:pStyle w:val="BodyText"/>
        <w:spacing w:line="276" w:lineRule="auto" w:before="241"/>
        <w:ind w:left="220" w:right="561"/>
      </w:pPr>
      <w:r>
        <w:rPr/>
        <w:t>Implicit intersection is determined as follows: When a range is passed to a function which expects only a single cell, a test is made to discover whether the calling cell intersects that range at any point horizontally or vertically. If it does, the cell at the point of intersection is passed to the function. [</w:t>
      </w:r>
      <w:r>
        <w:rPr>
          <w:i/>
        </w:rPr>
        <w:t>Example</w:t>
      </w:r>
      <w:r>
        <w:rPr/>
        <w:t>: The formula </w:t>
      </w:r>
      <w:r>
        <w:rPr>
          <w:rFonts w:ascii="Consolas"/>
        </w:rPr>
        <w:t>ABS(B1:B3) </w:t>
      </w:r>
      <w:r>
        <w:rPr/>
        <w:t>is entered into A2. Because the </w:t>
      </w:r>
      <w:r>
        <w:rPr>
          <w:rFonts w:ascii="Consolas"/>
        </w:rPr>
        <w:t>ABS </w:t>
      </w:r>
      <w:r>
        <w:rPr/>
        <w:t>function does not expect a range, implicit intersection is performed. </w:t>
      </w:r>
      <w:r>
        <w:rPr>
          <w:rFonts w:ascii="Consolas"/>
        </w:rPr>
        <w:t>A2</w:t>
      </w:r>
      <w:r>
        <w:rPr>
          <w:rFonts w:ascii="Consolas"/>
          <w:spacing w:val="-72"/>
        </w:rPr>
        <w:t> </w:t>
      </w:r>
      <w:r>
        <w:rPr/>
        <w:t>intersects </w:t>
      </w:r>
      <w:r>
        <w:rPr>
          <w:rFonts w:ascii="Consolas"/>
        </w:rPr>
        <w:t>B1:B3</w:t>
      </w:r>
      <w:r>
        <w:rPr>
          <w:rFonts w:ascii="Consolas"/>
          <w:spacing w:val="-72"/>
        </w:rPr>
        <w:t> </w:t>
      </w:r>
      <w:r>
        <w:rPr/>
        <w:t>horizontally on row 2, and so the value in </w:t>
      </w:r>
      <w:r>
        <w:rPr>
          <w:rFonts w:ascii="Consolas"/>
        </w:rPr>
        <w:t>B2</w:t>
      </w:r>
      <w:r>
        <w:rPr>
          <w:rFonts w:ascii="Consolas"/>
          <w:spacing w:val="-70"/>
        </w:rPr>
        <w:t> </w:t>
      </w:r>
      <w:r>
        <w:rPr/>
        <w:t>is passed into the function. </w:t>
      </w:r>
      <w:r>
        <w:rPr>
          <w:i/>
        </w:rPr>
        <w:t>end </w:t>
      </w:r>
      <w:r>
        <w:rPr>
          <w:i/>
        </w:rPr>
        <w:t>example</w:t>
      </w:r>
      <w:r>
        <w:rPr/>
        <w:t>]</w:t>
      </w:r>
    </w:p>
    <w:p>
      <w:pPr>
        <w:pStyle w:val="BodyText"/>
        <w:spacing w:before="6"/>
        <w:rPr>
          <w:sz w:val="16"/>
        </w:rPr>
      </w:pPr>
    </w:p>
    <w:p>
      <w:pPr>
        <w:pStyle w:val="BodyText"/>
        <w:ind w:left="220"/>
      </w:pPr>
      <w:r>
        <w:rPr/>
        <w:t>The list of function arguments that allow a range is as follows:</w:t>
      </w:r>
    </w:p>
    <w:p>
      <w:pPr>
        <w:pStyle w:val="BodyText"/>
        <w:spacing w:before="6"/>
        <w:rPr>
          <w:sz w:val="19"/>
        </w:rPr>
      </w:pPr>
    </w:p>
    <w:p>
      <w:pPr>
        <w:pStyle w:val="ListParagraph"/>
        <w:numPr>
          <w:ilvl w:val="3"/>
          <w:numId w:val="17"/>
        </w:numPr>
        <w:tabs>
          <w:tab w:pos="940" w:val="left" w:leader="none"/>
          <w:tab w:pos="941" w:val="left" w:leader="none"/>
        </w:tabs>
        <w:spacing w:line="240" w:lineRule="auto" w:before="0" w:after="0"/>
        <w:ind w:left="940" w:right="0" w:hanging="361"/>
        <w:jc w:val="left"/>
        <w:rPr>
          <w:sz w:val="22"/>
        </w:rPr>
      </w:pPr>
      <w:r>
        <w:rPr>
          <w:sz w:val="22"/>
        </w:rPr>
        <w:t>AND - all</w:t>
      </w:r>
      <w:r>
        <w:rPr>
          <w:spacing w:val="-1"/>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AREAS – </w:t>
      </w:r>
      <w:r>
        <w:rPr>
          <w:rFonts w:ascii="Times New Roman" w:hAnsi="Times New Roman"/>
          <w:i/>
          <w:sz w:val="22"/>
        </w:rPr>
        <w:t>reference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AVEDEV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AVERAGE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38" w:after="0"/>
        <w:ind w:left="940" w:right="0" w:hanging="361"/>
        <w:jc w:val="left"/>
        <w:rPr>
          <w:sz w:val="22"/>
        </w:rPr>
      </w:pPr>
      <w:r>
        <w:rPr>
          <w:sz w:val="22"/>
        </w:rPr>
        <w:t>AVERAGEA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AVERAGEIF - all arguments except for</w:t>
      </w:r>
      <w:r>
        <w:rPr>
          <w:spacing w:val="-8"/>
          <w:sz w:val="22"/>
        </w:rPr>
        <w:t> </w:t>
      </w:r>
      <w:r>
        <w:rPr>
          <w:rFonts w:ascii="Times New Roman" w:hAnsi="Times New Roman"/>
          <w:i/>
          <w:sz w:val="22"/>
        </w:rPr>
        <w:t>criteria</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AVERAGEIFS - all arguments except for </w:t>
      </w:r>
      <w:r>
        <w:rPr>
          <w:rFonts w:ascii="Times New Roman" w:hAnsi="Times New Roman"/>
          <w:i/>
          <w:sz w:val="22"/>
        </w:rPr>
        <w:t>criteria1</w:t>
      </w:r>
      <w:r>
        <w:rPr>
          <w:sz w:val="22"/>
        </w:rPr>
        <w:t>, </w:t>
      </w:r>
      <w:r>
        <w:rPr>
          <w:rFonts w:ascii="Times New Roman" w:hAnsi="Times New Roman"/>
          <w:i/>
          <w:sz w:val="22"/>
        </w:rPr>
        <w:t>criteria2</w:t>
      </w:r>
      <w:r>
        <w:rPr>
          <w:sz w:val="22"/>
        </w:rPr>
        <w:t>,</w:t>
      </w:r>
      <w:r>
        <w:rPr>
          <w:spacing w:val="-6"/>
          <w:sz w:val="22"/>
        </w:rPr>
        <w:t> </w:t>
      </w:r>
      <w:r>
        <w:rPr>
          <w:sz w:val="22"/>
        </w:rPr>
        <w:t>etc.</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CELL - </w:t>
      </w:r>
      <w:r>
        <w:rPr>
          <w:rFonts w:ascii="Times New Roman" w:hAnsi="Times New Roman"/>
          <w:i/>
          <w:sz w:val="22"/>
        </w:rPr>
        <w:t>reference</w:t>
      </w:r>
      <w:r>
        <w:rPr>
          <w:rFonts w:ascii="Times New Roman" w:hAnsi="Times New Roman"/>
          <w:i/>
          <w:spacing w:val="-6"/>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CHITEST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COLUMN - all</w:t>
      </w:r>
      <w:r>
        <w:rPr>
          <w:spacing w:val="-2"/>
          <w:sz w:val="22"/>
        </w:rPr>
        <w:t> </w:t>
      </w:r>
      <w:r>
        <w:rPr>
          <w:sz w:val="22"/>
        </w:rPr>
        <w:t>arguments</w:t>
      </w:r>
    </w:p>
    <w:p>
      <w:pPr>
        <w:spacing w:after="0" w:line="240" w:lineRule="auto"/>
        <w:jc w:val="left"/>
        <w:rPr>
          <w:sz w:val="22"/>
        </w:rPr>
        <w:sectPr>
          <w:pgSz w:w="12240" w:h="15840"/>
          <w:pgMar w:header="763" w:footer="746" w:top="1340" w:bottom="940" w:left="860" w:right="700"/>
        </w:sectPr>
      </w:pPr>
    </w:p>
    <w:p>
      <w:pPr>
        <w:pStyle w:val="ListParagraph"/>
        <w:numPr>
          <w:ilvl w:val="3"/>
          <w:numId w:val="17"/>
        </w:numPr>
        <w:tabs>
          <w:tab w:pos="940" w:val="left" w:leader="none"/>
          <w:tab w:pos="941" w:val="left" w:leader="none"/>
        </w:tabs>
        <w:spacing w:line="240" w:lineRule="auto" w:before="91" w:after="0"/>
        <w:ind w:left="940" w:right="0" w:hanging="361"/>
        <w:jc w:val="left"/>
        <w:rPr>
          <w:sz w:val="22"/>
        </w:rPr>
      </w:pPr>
      <w:r>
        <w:rPr>
          <w:sz w:val="22"/>
        </w:rPr>
        <w:t>COLUMNS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CORREL - all</w:t>
      </w:r>
      <w:r>
        <w:rPr>
          <w:spacing w:val="-1"/>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COUNT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COUNTA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8" w:after="0"/>
        <w:ind w:left="940" w:right="0" w:hanging="361"/>
        <w:jc w:val="left"/>
        <w:rPr>
          <w:sz w:val="22"/>
        </w:rPr>
      </w:pPr>
      <w:r>
        <w:rPr>
          <w:sz w:val="22"/>
        </w:rPr>
        <w:t>COUNTBLANK - all</w:t>
      </w:r>
      <w:r>
        <w:rPr>
          <w:spacing w:val="-1"/>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COUNTIF - all arguments except</w:t>
      </w:r>
      <w:r>
        <w:rPr>
          <w:spacing w:val="-1"/>
          <w:sz w:val="22"/>
        </w:rPr>
        <w:t> </w:t>
      </w:r>
      <w:r>
        <w:rPr>
          <w:rFonts w:ascii="Times New Roman" w:hAnsi="Times New Roman"/>
          <w:i/>
          <w:sz w:val="22"/>
        </w:rPr>
        <w:t>criteria</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COUNTIFS - all arguments except for </w:t>
      </w:r>
      <w:r>
        <w:rPr>
          <w:rFonts w:ascii="Times New Roman" w:hAnsi="Times New Roman"/>
          <w:i/>
          <w:sz w:val="22"/>
        </w:rPr>
        <w:t>criteria1</w:t>
      </w:r>
      <w:r>
        <w:rPr>
          <w:sz w:val="22"/>
        </w:rPr>
        <w:t>, </w:t>
      </w:r>
      <w:r>
        <w:rPr>
          <w:rFonts w:ascii="Times New Roman" w:hAnsi="Times New Roman"/>
          <w:i/>
          <w:sz w:val="22"/>
        </w:rPr>
        <w:t>criteria2</w:t>
      </w:r>
      <w:r>
        <w:rPr>
          <w:sz w:val="22"/>
        </w:rPr>
        <w:t>,</w:t>
      </w:r>
      <w:r>
        <w:rPr>
          <w:spacing w:val="-7"/>
          <w:sz w:val="22"/>
        </w:rPr>
        <w:t> </w:t>
      </w:r>
      <w:r>
        <w:rPr>
          <w:sz w:val="22"/>
        </w:rPr>
        <w:t>etc.</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COVAR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DAVERAGE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DCOUNT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DCOUNTA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DEVSQ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DGET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38" w:after="0"/>
        <w:ind w:left="940" w:right="0" w:hanging="361"/>
        <w:jc w:val="left"/>
        <w:rPr>
          <w:sz w:val="22"/>
        </w:rPr>
      </w:pPr>
      <w:r>
        <w:rPr>
          <w:sz w:val="22"/>
        </w:rPr>
        <w:t>DMAX - all</w:t>
      </w:r>
      <w:r>
        <w:rPr>
          <w:spacing w:val="-1"/>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DMIN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DPRODUCT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DSTDEV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DSTDEVP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DSUM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DVAR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DVARP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rFonts w:ascii="Times New Roman" w:hAnsi="Times New Roman"/>
          <w:i/>
          <w:sz w:val="22"/>
        </w:rPr>
      </w:pPr>
      <w:r>
        <w:rPr>
          <w:sz w:val="22"/>
        </w:rPr>
        <w:t>FORECAST - all arguments except for</w:t>
      </w:r>
      <w:r>
        <w:rPr>
          <w:spacing w:val="-9"/>
          <w:sz w:val="22"/>
        </w:rPr>
        <w:t> </w:t>
      </w:r>
      <w:r>
        <w:rPr>
          <w:rFonts w:ascii="Times New Roman" w:hAnsi="Times New Roman"/>
          <w:i/>
          <w:sz w:val="22"/>
        </w:rPr>
        <w:t>x</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FREQUENCY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FTEST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FVSCHEDULE - </w:t>
      </w:r>
      <w:r>
        <w:rPr>
          <w:rFonts w:ascii="Times New Roman" w:hAnsi="Times New Roman"/>
          <w:i/>
          <w:sz w:val="22"/>
        </w:rPr>
        <w:t>schedule</w:t>
      </w:r>
      <w:r>
        <w:rPr>
          <w:rFonts w:ascii="Times New Roman" w:hAnsi="Times New Roman"/>
          <w:i/>
          <w:spacing w:val="-10"/>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GCD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GEOMEAN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GROWTH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HARMEAN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8" w:after="0"/>
        <w:ind w:left="940" w:right="0" w:hanging="361"/>
        <w:jc w:val="left"/>
        <w:rPr>
          <w:sz w:val="22"/>
        </w:rPr>
      </w:pPr>
      <w:r>
        <w:rPr>
          <w:sz w:val="22"/>
        </w:rPr>
        <w:t>HLOOKUP - </w:t>
      </w:r>
      <w:r>
        <w:rPr>
          <w:rFonts w:ascii="Times New Roman" w:hAnsi="Times New Roman"/>
          <w:i/>
          <w:sz w:val="22"/>
        </w:rPr>
        <w:t>table_array</w:t>
      </w:r>
      <w:r>
        <w:rPr>
          <w:rFonts w:ascii="Times New Roman" w:hAnsi="Times New Roman"/>
          <w:i/>
          <w:spacing w:val="-7"/>
          <w:sz w:val="22"/>
        </w:rPr>
        <w:t> </w:t>
      </w:r>
      <w:r>
        <w:rPr>
          <w:sz w:val="22"/>
        </w:rPr>
        <w:t>argument</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IMPRODUCT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IMSUM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INDEX - </w:t>
      </w:r>
      <w:r>
        <w:rPr>
          <w:rFonts w:ascii="Times New Roman" w:hAnsi="Times New Roman"/>
          <w:i/>
          <w:sz w:val="22"/>
        </w:rPr>
        <w:t>array </w:t>
      </w:r>
      <w:r>
        <w:rPr>
          <w:sz w:val="22"/>
        </w:rPr>
        <w:t>or </w:t>
      </w:r>
      <w:r>
        <w:rPr>
          <w:rFonts w:ascii="Times New Roman" w:hAnsi="Times New Roman"/>
          <w:i/>
          <w:sz w:val="22"/>
        </w:rPr>
        <w:t>reference</w:t>
      </w:r>
      <w:r>
        <w:rPr>
          <w:rFonts w:ascii="Times New Roman" w:hAnsi="Times New Roman"/>
          <w:i/>
          <w:spacing w:val="-15"/>
          <w:sz w:val="22"/>
        </w:rPr>
        <w:t> </w:t>
      </w:r>
      <w:r>
        <w:rPr>
          <w:sz w:val="22"/>
        </w:rPr>
        <w:t>argument</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INTERCEPT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LARGE - </w:t>
      </w:r>
      <w:r>
        <w:rPr>
          <w:rFonts w:ascii="Times New Roman" w:hAnsi="Times New Roman"/>
          <w:i/>
          <w:sz w:val="22"/>
        </w:rPr>
        <w:t>array</w:t>
      </w:r>
      <w:r>
        <w:rPr>
          <w:rFonts w:ascii="Times New Roman" w:hAnsi="Times New Roman"/>
          <w:i/>
          <w:spacing w:val="-9"/>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LCM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LINEST - </w:t>
      </w:r>
      <w:r>
        <w:rPr>
          <w:rFonts w:ascii="Times New Roman" w:hAnsi="Times New Roman"/>
          <w:i/>
          <w:sz w:val="22"/>
        </w:rPr>
        <w:t>known-xs </w:t>
      </w:r>
      <w:r>
        <w:rPr>
          <w:sz w:val="22"/>
        </w:rPr>
        <w:t>and </w:t>
      </w:r>
      <w:r>
        <w:rPr>
          <w:rFonts w:ascii="Times New Roman" w:hAnsi="Times New Roman"/>
          <w:i/>
          <w:sz w:val="22"/>
        </w:rPr>
        <w:t>known-ys</w:t>
      </w:r>
      <w:r>
        <w:rPr>
          <w:rFonts w:ascii="Times New Roman" w:hAnsi="Times New Roman"/>
          <w:i/>
          <w:spacing w:val="-11"/>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LOGEST - </w:t>
      </w:r>
      <w:r>
        <w:rPr>
          <w:rFonts w:ascii="Times New Roman" w:hAnsi="Times New Roman"/>
          <w:i/>
          <w:sz w:val="22"/>
        </w:rPr>
        <w:t>known-xs </w:t>
      </w:r>
      <w:r>
        <w:rPr>
          <w:sz w:val="22"/>
        </w:rPr>
        <w:t>and </w:t>
      </w:r>
      <w:r>
        <w:rPr>
          <w:rFonts w:ascii="Times New Roman" w:hAnsi="Times New Roman"/>
          <w:i/>
          <w:sz w:val="22"/>
        </w:rPr>
        <w:t>known-ys</w:t>
      </w:r>
      <w:r>
        <w:rPr>
          <w:rFonts w:ascii="Times New Roman" w:hAnsi="Times New Roman"/>
          <w:i/>
          <w:spacing w:val="-14"/>
          <w:sz w:val="22"/>
        </w:rPr>
        <w:t> </w:t>
      </w:r>
      <w:r>
        <w:rPr>
          <w:sz w:val="22"/>
        </w:rPr>
        <w:t>arguments</w:t>
      </w:r>
    </w:p>
    <w:p>
      <w:pPr>
        <w:pStyle w:val="ListParagraph"/>
        <w:numPr>
          <w:ilvl w:val="3"/>
          <w:numId w:val="17"/>
        </w:numPr>
        <w:tabs>
          <w:tab w:pos="940" w:val="left" w:leader="none"/>
          <w:tab w:pos="941" w:val="left" w:leader="none"/>
        </w:tabs>
        <w:spacing w:line="240" w:lineRule="auto" w:before="38" w:after="0"/>
        <w:ind w:left="940" w:right="0" w:hanging="361"/>
        <w:jc w:val="left"/>
        <w:rPr>
          <w:rFonts w:ascii="Times New Roman" w:hAnsi="Times New Roman"/>
          <w:i/>
          <w:sz w:val="22"/>
        </w:rPr>
      </w:pPr>
      <w:r>
        <w:rPr>
          <w:sz w:val="22"/>
        </w:rPr>
        <w:t>LOOKUP - all arguments except</w:t>
      </w:r>
      <w:r>
        <w:rPr>
          <w:spacing w:val="-7"/>
          <w:sz w:val="22"/>
        </w:rPr>
        <w:t> </w:t>
      </w:r>
      <w:r>
        <w:rPr>
          <w:rFonts w:ascii="Times New Roman" w:hAnsi="Times New Roman"/>
          <w:i/>
          <w:sz w:val="22"/>
        </w:rPr>
        <w:t>lookup_value</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MATCH - </w:t>
      </w:r>
      <w:r>
        <w:rPr>
          <w:rFonts w:ascii="Times New Roman" w:hAnsi="Times New Roman"/>
          <w:i/>
          <w:sz w:val="22"/>
        </w:rPr>
        <w:t>lookup_array</w:t>
      </w:r>
      <w:r>
        <w:rPr>
          <w:rFonts w:ascii="Times New Roman" w:hAnsi="Times New Roman"/>
          <w:i/>
          <w:spacing w:val="-11"/>
          <w:sz w:val="22"/>
        </w:rPr>
        <w:t> </w:t>
      </w:r>
      <w:r>
        <w:rPr>
          <w:sz w:val="22"/>
        </w:rPr>
        <w:t>argument</w:t>
      </w:r>
    </w:p>
    <w:p>
      <w:pPr>
        <w:spacing w:after="0" w:line="240" w:lineRule="auto"/>
        <w:jc w:val="left"/>
        <w:rPr>
          <w:sz w:val="22"/>
        </w:rPr>
        <w:sectPr>
          <w:pgSz w:w="12240" w:h="15840"/>
          <w:pgMar w:header="761" w:footer="746" w:top="1340" w:bottom="940" w:left="860" w:right="700"/>
        </w:sectPr>
      </w:pPr>
    </w:p>
    <w:p>
      <w:pPr>
        <w:pStyle w:val="ListParagraph"/>
        <w:numPr>
          <w:ilvl w:val="3"/>
          <w:numId w:val="17"/>
        </w:numPr>
        <w:tabs>
          <w:tab w:pos="940" w:val="left" w:leader="none"/>
          <w:tab w:pos="941" w:val="left" w:leader="none"/>
        </w:tabs>
        <w:spacing w:line="240" w:lineRule="auto" w:before="148" w:after="0"/>
        <w:ind w:left="940" w:right="0" w:hanging="361"/>
        <w:jc w:val="left"/>
        <w:rPr>
          <w:sz w:val="22"/>
        </w:rPr>
      </w:pPr>
      <w:r>
        <w:rPr>
          <w:sz w:val="22"/>
        </w:rPr>
        <w:t>MAX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MAXA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MDETERM – </w:t>
      </w:r>
      <w:r>
        <w:rPr>
          <w:rFonts w:ascii="Times New Roman" w:hAnsi="Times New Roman"/>
          <w:i/>
          <w:sz w:val="22"/>
        </w:rPr>
        <w:t>array</w:t>
      </w:r>
      <w:r>
        <w:rPr>
          <w:rFonts w:ascii="Times New Roman" w:hAnsi="Times New Roman"/>
          <w:i/>
          <w:spacing w:val="-6"/>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MEDIAN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MIN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MINA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MINVERSE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MIRR - </w:t>
      </w:r>
      <w:r>
        <w:rPr>
          <w:rFonts w:ascii="Times New Roman" w:hAnsi="Times New Roman"/>
          <w:i/>
          <w:sz w:val="22"/>
        </w:rPr>
        <w:t>values</w:t>
      </w:r>
      <w:r>
        <w:rPr>
          <w:rFonts w:ascii="Times New Roman" w:hAnsi="Times New Roman"/>
          <w:i/>
          <w:spacing w:val="-10"/>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MMULT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MODE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MULTINOMIAL - all arguments</w:t>
      </w:r>
    </w:p>
    <w:p>
      <w:pPr>
        <w:pStyle w:val="ListParagraph"/>
        <w:numPr>
          <w:ilvl w:val="3"/>
          <w:numId w:val="17"/>
        </w:numPr>
        <w:tabs>
          <w:tab w:pos="940" w:val="left" w:leader="none"/>
          <w:tab w:pos="941" w:val="left" w:leader="none"/>
        </w:tabs>
        <w:spacing w:line="240" w:lineRule="auto" w:before="40" w:after="0"/>
        <w:ind w:left="940" w:right="0" w:hanging="361"/>
        <w:jc w:val="left"/>
        <w:rPr>
          <w:sz w:val="22"/>
        </w:rPr>
      </w:pPr>
      <w:r>
        <w:rPr>
          <w:sz w:val="22"/>
        </w:rPr>
        <w:t>NETWORKDAYS - </w:t>
      </w:r>
      <w:r>
        <w:rPr>
          <w:rFonts w:ascii="Times New Roman" w:hAnsi="Times New Roman"/>
          <w:i/>
          <w:sz w:val="22"/>
        </w:rPr>
        <w:t>holidays</w:t>
      </w:r>
      <w:r>
        <w:rPr>
          <w:rFonts w:ascii="Times New Roman" w:hAnsi="Times New Roman"/>
          <w:i/>
          <w:spacing w:val="-9"/>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NETWORKDAYS.INTL - </w:t>
      </w:r>
      <w:r>
        <w:rPr>
          <w:rFonts w:ascii="Times New Roman" w:hAnsi="Times New Roman"/>
          <w:i/>
          <w:sz w:val="22"/>
        </w:rPr>
        <w:t>holidays</w:t>
      </w:r>
      <w:r>
        <w:rPr>
          <w:rFonts w:ascii="Times New Roman" w:hAnsi="Times New Roman"/>
          <w:i/>
          <w:spacing w:val="-6"/>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NPV - all arguments except</w:t>
      </w:r>
      <w:r>
        <w:rPr>
          <w:spacing w:val="-5"/>
          <w:sz w:val="22"/>
        </w:rPr>
        <w:t> </w:t>
      </w:r>
      <w:r>
        <w:rPr>
          <w:rFonts w:ascii="Times New Roman" w:hAnsi="Times New Roman"/>
          <w:i/>
          <w:sz w:val="22"/>
        </w:rPr>
        <w:t>rate</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OFFSET - </w:t>
      </w:r>
      <w:r>
        <w:rPr>
          <w:rFonts w:ascii="Times New Roman" w:hAnsi="Times New Roman"/>
          <w:i/>
          <w:sz w:val="22"/>
        </w:rPr>
        <w:t>reference</w:t>
      </w:r>
      <w:r>
        <w:rPr>
          <w:rFonts w:ascii="Times New Roman" w:hAnsi="Times New Roman"/>
          <w:i/>
          <w:spacing w:val="-5"/>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OR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PEARSON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PERCENTILE - </w:t>
      </w:r>
      <w:r>
        <w:rPr>
          <w:rFonts w:ascii="Times New Roman" w:hAnsi="Times New Roman"/>
          <w:i/>
          <w:sz w:val="22"/>
        </w:rPr>
        <w:t>array</w:t>
      </w:r>
      <w:r>
        <w:rPr>
          <w:rFonts w:ascii="Times New Roman" w:hAnsi="Times New Roman"/>
          <w:i/>
          <w:spacing w:val="-7"/>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PERCENTRANK - </w:t>
      </w:r>
      <w:r>
        <w:rPr>
          <w:rFonts w:ascii="Times New Roman" w:hAnsi="Times New Roman"/>
          <w:i/>
          <w:sz w:val="22"/>
        </w:rPr>
        <w:t>array</w:t>
      </w:r>
      <w:r>
        <w:rPr>
          <w:rFonts w:ascii="Times New Roman" w:hAnsi="Times New Roman"/>
          <w:i/>
          <w:spacing w:val="-8"/>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PROB - </w:t>
      </w:r>
      <w:r>
        <w:rPr>
          <w:rFonts w:ascii="Times New Roman" w:hAnsi="Times New Roman"/>
          <w:i/>
          <w:sz w:val="22"/>
        </w:rPr>
        <w:t>x_range </w:t>
      </w:r>
      <w:r>
        <w:rPr>
          <w:sz w:val="22"/>
        </w:rPr>
        <w:t>and </w:t>
      </w:r>
      <w:r>
        <w:rPr>
          <w:rFonts w:ascii="Times New Roman" w:hAnsi="Times New Roman"/>
          <w:i/>
          <w:sz w:val="22"/>
        </w:rPr>
        <w:t>prob_range</w:t>
      </w:r>
      <w:r>
        <w:rPr>
          <w:rFonts w:ascii="Times New Roman" w:hAnsi="Times New Roman"/>
          <w:i/>
          <w:spacing w:val="-1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PRODUCT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QUARTILE – </w:t>
      </w:r>
      <w:r>
        <w:rPr>
          <w:rFonts w:ascii="Times New Roman" w:hAnsi="Times New Roman"/>
          <w:i/>
          <w:sz w:val="22"/>
        </w:rPr>
        <w:t>array</w:t>
      </w:r>
      <w:r>
        <w:rPr>
          <w:rFonts w:ascii="Times New Roman" w:hAnsi="Times New Roman"/>
          <w:i/>
          <w:spacing w:val="-8"/>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RANK - </w:t>
      </w:r>
      <w:r>
        <w:rPr>
          <w:rFonts w:ascii="Times New Roman" w:hAnsi="Times New Roman"/>
          <w:i/>
          <w:sz w:val="22"/>
        </w:rPr>
        <w:t>ref</w:t>
      </w:r>
      <w:r>
        <w:rPr>
          <w:rFonts w:ascii="Times New Roman" w:hAnsi="Times New Roman"/>
          <w:i/>
          <w:spacing w:val="-4"/>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ROW – </w:t>
      </w:r>
      <w:r>
        <w:rPr>
          <w:rFonts w:ascii="Times New Roman" w:hAnsi="Times New Roman"/>
          <w:i/>
          <w:sz w:val="22"/>
        </w:rPr>
        <w:t>reference</w:t>
      </w:r>
      <w:r>
        <w:rPr>
          <w:rFonts w:ascii="Times New Roman" w:hAnsi="Times New Roman"/>
          <w:i/>
          <w:spacing w:val="-6"/>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ROWS – </w:t>
      </w:r>
      <w:r>
        <w:rPr>
          <w:rFonts w:ascii="Times New Roman" w:hAnsi="Times New Roman"/>
          <w:i/>
          <w:sz w:val="22"/>
        </w:rPr>
        <w:t>array</w:t>
      </w:r>
      <w:r>
        <w:rPr>
          <w:rFonts w:ascii="Times New Roman" w:hAnsi="Times New Roman"/>
          <w:i/>
          <w:spacing w:val="-7"/>
          <w:sz w:val="22"/>
        </w:rPr>
        <w:t> </w:t>
      </w:r>
      <w:r>
        <w:rPr>
          <w:sz w:val="22"/>
        </w:rPr>
        <w:t>argument</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RSQ - all</w:t>
      </w:r>
      <w:r>
        <w:rPr>
          <w:spacing w:val="-1"/>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SKEW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SLOPE - all</w:t>
      </w:r>
      <w:r>
        <w:rPr>
          <w:spacing w:val="-6"/>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SMALL - </w:t>
      </w:r>
      <w:r>
        <w:rPr>
          <w:rFonts w:ascii="Times New Roman" w:hAnsi="Times New Roman"/>
          <w:i/>
          <w:sz w:val="22"/>
        </w:rPr>
        <w:t>array</w:t>
      </w:r>
      <w:r>
        <w:rPr>
          <w:rFonts w:ascii="Times New Roman" w:hAnsi="Times New Roman"/>
          <w:i/>
          <w:spacing w:val="-8"/>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STDEV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STDEVA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STDEVP - all</w:t>
      </w:r>
      <w:r>
        <w:rPr>
          <w:spacing w:val="-6"/>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STDEVPA - all</w:t>
      </w:r>
      <w:r>
        <w:rPr>
          <w:spacing w:val="-2"/>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STEYX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SUBTOTAL - all arguments except</w:t>
      </w:r>
      <w:r>
        <w:rPr>
          <w:spacing w:val="-4"/>
          <w:sz w:val="22"/>
        </w:rPr>
        <w:t> </w:t>
      </w:r>
      <w:r>
        <w:rPr>
          <w:rFonts w:ascii="Times New Roman" w:hAnsi="Times New Roman"/>
          <w:i/>
          <w:sz w:val="22"/>
        </w:rPr>
        <w:t>function_num</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SUM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SUMIF - all arguments except</w:t>
      </w:r>
      <w:r>
        <w:rPr>
          <w:spacing w:val="-3"/>
          <w:sz w:val="22"/>
        </w:rPr>
        <w:t> </w:t>
      </w:r>
      <w:r>
        <w:rPr>
          <w:rFonts w:ascii="Times New Roman" w:hAnsi="Times New Roman"/>
          <w:i/>
          <w:sz w:val="22"/>
        </w:rPr>
        <w:t>criteria</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SUMIFS - all arguments except </w:t>
      </w:r>
      <w:r>
        <w:rPr>
          <w:rFonts w:ascii="Times New Roman" w:hAnsi="Times New Roman"/>
          <w:i/>
          <w:sz w:val="22"/>
        </w:rPr>
        <w:t>criteria1</w:t>
      </w:r>
      <w:r>
        <w:rPr>
          <w:sz w:val="22"/>
        </w:rPr>
        <w:t>, </w:t>
      </w:r>
      <w:r>
        <w:rPr>
          <w:rFonts w:ascii="Times New Roman" w:hAnsi="Times New Roman"/>
          <w:i/>
          <w:sz w:val="22"/>
        </w:rPr>
        <w:t>criteria2</w:t>
      </w:r>
      <w:r>
        <w:rPr>
          <w:sz w:val="22"/>
        </w:rPr>
        <w:t>,</w:t>
      </w:r>
      <w:r>
        <w:rPr>
          <w:spacing w:val="-5"/>
          <w:sz w:val="22"/>
        </w:rPr>
        <w:t> </w:t>
      </w:r>
      <w:r>
        <w:rPr>
          <w:sz w:val="22"/>
        </w:rPr>
        <w:t>etc.</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SUMPRODUCT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SUMSQ - all</w:t>
      </w:r>
      <w:r>
        <w:rPr>
          <w:spacing w:val="-4"/>
          <w:sz w:val="22"/>
        </w:rPr>
        <w:t> </w:t>
      </w:r>
      <w:r>
        <w:rPr>
          <w:sz w:val="22"/>
        </w:rPr>
        <w:t>arguments</w:t>
      </w:r>
    </w:p>
    <w:p>
      <w:pPr>
        <w:spacing w:after="0" w:line="240" w:lineRule="auto"/>
        <w:jc w:val="left"/>
        <w:rPr>
          <w:sz w:val="22"/>
        </w:rPr>
        <w:sectPr>
          <w:pgSz w:w="12240" w:h="15840"/>
          <w:pgMar w:header="763" w:footer="746" w:top="1340" w:bottom="940" w:left="860" w:right="700"/>
        </w:sectPr>
      </w:pPr>
    </w:p>
    <w:p>
      <w:pPr>
        <w:pStyle w:val="ListParagraph"/>
        <w:numPr>
          <w:ilvl w:val="3"/>
          <w:numId w:val="17"/>
        </w:numPr>
        <w:tabs>
          <w:tab w:pos="940" w:val="left" w:leader="none"/>
          <w:tab w:pos="941" w:val="left" w:leader="none"/>
        </w:tabs>
        <w:spacing w:line="240" w:lineRule="auto" w:before="91" w:after="0"/>
        <w:ind w:left="940" w:right="0" w:hanging="361"/>
        <w:jc w:val="left"/>
        <w:rPr>
          <w:sz w:val="22"/>
        </w:rPr>
      </w:pPr>
      <w:r>
        <w:rPr>
          <w:sz w:val="22"/>
        </w:rPr>
        <w:t>SUMX2MY2 -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SUMX2PY2 -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SUMXMY2 - all</w:t>
      </w:r>
      <w:r>
        <w:rPr>
          <w:spacing w:val="-8"/>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TRANSPOSE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38" w:after="0"/>
        <w:ind w:left="940" w:right="0" w:hanging="361"/>
        <w:jc w:val="left"/>
        <w:rPr>
          <w:rFonts w:ascii="Times New Roman" w:hAnsi="Times New Roman"/>
          <w:i/>
          <w:sz w:val="22"/>
        </w:rPr>
      </w:pPr>
      <w:r>
        <w:rPr>
          <w:sz w:val="22"/>
        </w:rPr>
        <w:t>TREND – all arguments except</w:t>
      </w:r>
      <w:r>
        <w:rPr>
          <w:spacing w:val="-1"/>
          <w:sz w:val="22"/>
        </w:rPr>
        <w:t> </w:t>
      </w:r>
      <w:r>
        <w:rPr>
          <w:rFonts w:ascii="Times New Roman" w:hAnsi="Times New Roman"/>
          <w:i/>
          <w:sz w:val="22"/>
        </w:rPr>
        <w:t>const-flag</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TRIMMEAN – </w:t>
      </w:r>
      <w:r>
        <w:rPr>
          <w:rFonts w:ascii="Times New Roman" w:hAnsi="Times New Roman"/>
          <w:i/>
          <w:sz w:val="22"/>
        </w:rPr>
        <w:t>array</w:t>
      </w:r>
      <w:r>
        <w:rPr>
          <w:rFonts w:ascii="Times New Roman" w:hAnsi="Times New Roman"/>
          <w:i/>
          <w:spacing w:val="-9"/>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TRUNC – </w:t>
      </w:r>
      <w:r>
        <w:rPr>
          <w:rFonts w:ascii="Times New Roman" w:hAnsi="Times New Roman"/>
          <w:i/>
          <w:sz w:val="22"/>
        </w:rPr>
        <w:t>x</w:t>
      </w:r>
      <w:r>
        <w:rPr>
          <w:rFonts w:ascii="Times New Roman" w:hAnsi="Times New Roman"/>
          <w:i/>
          <w:spacing w:val="-8"/>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TTEST – </w:t>
      </w:r>
      <w:r>
        <w:rPr>
          <w:rFonts w:ascii="Times New Roman" w:hAnsi="Times New Roman"/>
          <w:i/>
          <w:sz w:val="22"/>
        </w:rPr>
        <w:t>array-1 </w:t>
      </w:r>
      <w:r>
        <w:rPr>
          <w:sz w:val="22"/>
        </w:rPr>
        <w:t>and </w:t>
      </w:r>
      <w:r>
        <w:rPr>
          <w:rFonts w:ascii="Times New Roman" w:hAnsi="Times New Roman"/>
          <w:i/>
          <w:sz w:val="22"/>
        </w:rPr>
        <w:t>array-2</w:t>
      </w:r>
      <w:r>
        <w:rPr>
          <w:rFonts w:ascii="Times New Roman" w:hAnsi="Times New Roman"/>
          <w:i/>
          <w:spacing w:val="-13"/>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TYPE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VALUE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VAR – all</w:t>
      </w:r>
      <w:r>
        <w:rPr>
          <w:spacing w:val="-1"/>
          <w:sz w:val="22"/>
        </w:rPr>
        <w:t> </w:t>
      </w:r>
      <w:r>
        <w:rPr>
          <w:sz w:val="22"/>
        </w:rPr>
        <w:t>arguments</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VARA – all</w:t>
      </w:r>
      <w:r>
        <w:rPr>
          <w:spacing w:val="-5"/>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VARP – all</w:t>
      </w:r>
      <w:r>
        <w:rPr>
          <w:spacing w:val="-3"/>
          <w:sz w:val="22"/>
        </w:rPr>
        <w:t> </w:t>
      </w:r>
      <w:r>
        <w:rPr>
          <w:sz w:val="22"/>
        </w:rPr>
        <w:t>arguments</w:t>
      </w:r>
    </w:p>
    <w:p>
      <w:pPr>
        <w:pStyle w:val="ListParagraph"/>
        <w:numPr>
          <w:ilvl w:val="3"/>
          <w:numId w:val="17"/>
        </w:numPr>
        <w:tabs>
          <w:tab w:pos="940" w:val="left" w:leader="none"/>
          <w:tab w:pos="941" w:val="left" w:leader="none"/>
        </w:tabs>
        <w:spacing w:line="240" w:lineRule="auto" w:before="38" w:after="0"/>
        <w:ind w:left="940" w:right="0" w:hanging="361"/>
        <w:jc w:val="left"/>
        <w:rPr>
          <w:sz w:val="22"/>
        </w:rPr>
      </w:pPr>
      <w:r>
        <w:rPr>
          <w:sz w:val="22"/>
        </w:rPr>
        <w:t>VARPA – all</w:t>
      </w:r>
      <w:r>
        <w:rPr>
          <w:spacing w:val="-4"/>
          <w:sz w:val="22"/>
        </w:rPr>
        <w:t> </w:t>
      </w:r>
      <w:r>
        <w:rPr>
          <w:sz w:val="22"/>
        </w:rPr>
        <w:t>arguments</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VLOOKUP – </w:t>
      </w:r>
      <w:r>
        <w:rPr>
          <w:rFonts w:ascii="Times New Roman" w:hAnsi="Times New Roman"/>
          <w:i/>
          <w:sz w:val="22"/>
        </w:rPr>
        <w:t>table-array</w:t>
      </w:r>
      <w:r>
        <w:rPr>
          <w:rFonts w:ascii="Times New Roman" w:hAnsi="Times New Roman"/>
          <w:i/>
          <w:spacing w:val="-8"/>
          <w:sz w:val="22"/>
        </w:rPr>
        <w:t> </w:t>
      </w:r>
      <w:r>
        <w:rPr>
          <w:sz w:val="22"/>
        </w:rPr>
        <w:t>argument</w:t>
      </w:r>
    </w:p>
    <w:p>
      <w:pPr>
        <w:pStyle w:val="ListParagraph"/>
        <w:numPr>
          <w:ilvl w:val="3"/>
          <w:numId w:val="17"/>
        </w:numPr>
        <w:tabs>
          <w:tab w:pos="940" w:val="left" w:leader="none"/>
          <w:tab w:pos="941" w:val="left" w:leader="none"/>
        </w:tabs>
        <w:spacing w:line="240" w:lineRule="auto" w:before="39" w:after="0"/>
        <w:ind w:left="940" w:right="0" w:hanging="361"/>
        <w:jc w:val="left"/>
        <w:rPr>
          <w:sz w:val="22"/>
        </w:rPr>
      </w:pPr>
      <w:r>
        <w:rPr>
          <w:sz w:val="22"/>
        </w:rPr>
        <w:t>WORKDAY – </w:t>
      </w:r>
      <w:r>
        <w:rPr>
          <w:rFonts w:ascii="Times New Roman" w:hAnsi="Times New Roman"/>
          <w:i/>
          <w:sz w:val="22"/>
        </w:rPr>
        <w:t>holidays</w:t>
      </w:r>
      <w:r>
        <w:rPr>
          <w:rFonts w:ascii="Times New Roman" w:hAnsi="Times New Roman"/>
          <w:i/>
          <w:spacing w:val="-9"/>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sz w:val="22"/>
        </w:rPr>
        <w:t>WORKDAY.INTL – </w:t>
      </w:r>
      <w:r>
        <w:rPr>
          <w:rFonts w:ascii="Times New Roman" w:hAnsi="Times New Roman"/>
          <w:i/>
          <w:sz w:val="22"/>
        </w:rPr>
        <w:t>holidays</w:t>
      </w:r>
      <w:r>
        <w:rPr>
          <w:rFonts w:ascii="Times New Roman" w:hAnsi="Times New Roman"/>
          <w:i/>
          <w:spacing w:val="-8"/>
          <w:sz w:val="22"/>
        </w:rPr>
        <w:t> </w:t>
      </w:r>
      <w:r>
        <w:rPr>
          <w:sz w:val="22"/>
        </w:rPr>
        <w:t>argument</w:t>
      </w:r>
    </w:p>
    <w:p>
      <w:pPr>
        <w:pStyle w:val="ListParagraph"/>
        <w:numPr>
          <w:ilvl w:val="3"/>
          <w:numId w:val="17"/>
        </w:numPr>
        <w:tabs>
          <w:tab w:pos="940" w:val="left" w:leader="none"/>
          <w:tab w:pos="941" w:val="left" w:leader="none"/>
        </w:tabs>
        <w:spacing w:line="240" w:lineRule="auto" w:before="41" w:after="0"/>
        <w:ind w:left="940" w:right="0" w:hanging="361"/>
        <w:jc w:val="left"/>
        <w:rPr>
          <w:rFonts w:ascii="Times New Roman" w:hAnsi="Times New Roman"/>
          <w:i/>
          <w:sz w:val="22"/>
        </w:rPr>
      </w:pPr>
      <w:r>
        <w:rPr>
          <w:sz w:val="22"/>
        </w:rPr>
        <w:t>XIRR – all arguments except</w:t>
      </w:r>
      <w:r>
        <w:rPr>
          <w:spacing w:val="-4"/>
          <w:sz w:val="22"/>
        </w:rPr>
        <w:t> </w:t>
      </w:r>
      <w:r>
        <w:rPr>
          <w:rFonts w:ascii="Times New Roman" w:hAnsi="Times New Roman"/>
          <w:i/>
          <w:sz w:val="22"/>
        </w:rPr>
        <w:t>guess</w:t>
      </w:r>
    </w:p>
    <w:p>
      <w:pPr>
        <w:pStyle w:val="ListParagraph"/>
        <w:numPr>
          <w:ilvl w:val="3"/>
          <w:numId w:val="17"/>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XNPV – all arguments except</w:t>
      </w:r>
      <w:r>
        <w:rPr>
          <w:spacing w:val="-4"/>
          <w:sz w:val="22"/>
        </w:rPr>
        <w:t> </w:t>
      </w:r>
      <w:r>
        <w:rPr>
          <w:rFonts w:ascii="Times New Roman" w:hAnsi="Times New Roman"/>
          <w:i/>
          <w:sz w:val="22"/>
        </w:rPr>
        <w:t>rate</w:t>
      </w:r>
    </w:p>
    <w:p>
      <w:pPr>
        <w:pStyle w:val="ListParagraph"/>
        <w:numPr>
          <w:ilvl w:val="3"/>
          <w:numId w:val="17"/>
        </w:numPr>
        <w:tabs>
          <w:tab w:pos="940" w:val="left" w:leader="none"/>
          <w:tab w:pos="941" w:val="left" w:leader="none"/>
        </w:tabs>
        <w:spacing w:line="240" w:lineRule="auto" w:before="42" w:after="0"/>
        <w:ind w:left="940" w:right="0" w:hanging="361"/>
        <w:jc w:val="left"/>
        <w:rPr>
          <w:sz w:val="22"/>
        </w:rPr>
      </w:pPr>
      <w:r>
        <w:rPr>
          <w:sz w:val="22"/>
        </w:rPr>
        <w:t>ZTEST – </w:t>
      </w:r>
      <w:r>
        <w:rPr>
          <w:rFonts w:ascii="Times New Roman" w:hAnsi="Times New Roman"/>
          <w:i/>
          <w:sz w:val="22"/>
        </w:rPr>
        <w:t>array</w:t>
      </w:r>
      <w:r>
        <w:rPr>
          <w:rFonts w:ascii="Times New Roman" w:hAnsi="Times New Roman"/>
          <w:i/>
          <w:spacing w:val="-6"/>
          <w:sz w:val="22"/>
        </w:rPr>
        <w:t> </w:t>
      </w:r>
      <w:r>
        <w:rPr>
          <w:sz w:val="22"/>
        </w:rPr>
        <w:t>argument</w:t>
      </w:r>
    </w:p>
    <w:p>
      <w:pPr>
        <w:pStyle w:val="BodyText"/>
        <w:spacing w:before="242"/>
        <w:ind w:left="220"/>
      </w:pPr>
      <w:r>
        <w:rPr/>
        <w:t>[</w:t>
      </w:r>
      <w:r>
        <w:rPr>
          <w:i/>
        </w:rPr>
        <w:t>Example</w:t>
      </w:r>
      <w:r>
        <w:rPr/>
        <w:t>: Here are some formulas taking array constants and ranges:</w:t>
      </w:r>
    </w:p>
    <w:p>
      <w:pPr>
        <w:pStyle w:val="BodyText"/>
        <w:spacing w:before="7"/>
        <w:rPr>
          <w:sz w:val="19"/>
        </w:rPr>
      </w:pPr>
    </w:p>
    <w:p>
      <w:pPr>
        <w:pStyle w:val="ListParagraph"/>
        <w:numPr>
          <w:ilvl w:val="3"/>
          <w:numId w:val="17"/>
        </w:numPr>
        <w:tabs>
          <w:tab w:pos="940" w:val="left" w:leader="none"/>
          <w:tab w:pos="941" w:val="left" w:leader="none"/>
        </w:tabs>
        <w:spacing w:line="240" w:lineRule="auto" w:before="0" w:after="0"/>
        <w:ind w:left="940" w:right="0" w:hanging="361"/>
        <w:jc w:val="left"/>
        <w:rPr>
          <w:sz w:val="22"/>
        </w:rPr>
      </w:pPr>
      <w:r>
        <w:rPr>
          <w:rFonts w:ascii="Consolas" w:hAnsi="Consolas"/>
          <w:sz w:val="22"/>
        </w:rPr>
        <w:t>(B2:B4*C2:C4)+10.5</w:t>
      </w:r>
      <w:r>
        <w:rPr>
          <w:rFonts w:ascii="Consolas" w:hAnsi="Consolas"/>
          <w:spacing w:val="-73"/>
          <w:sz w:val="22"/>
        </w:rPr>
        <w:t> </w:t>
      </w:r>
      <w:r>
        <w:rPr>
          <w:sz w:val="22"/>
        </w:rPr>
        <w:t>performs three calculations: </w:t>
      </w:r>
      <w:r>
        <w:rPr>
          <w:rFonts w:ascii="Consolas" w:hAnsi="Consolas"/>
          <w:sz w:val="22"/>
        </w:rPr>
        <w:t>(B2*C2)+10.5</w:t>
      </w:r>
      <w:r>
        <w:rPr>
          <w:sz w:val="22"/>
        </w:rPr>
        <w:t>, </w:t>
      </w:r>
      <w:r>
        <w:rPr>
          <w:rFonts w:ascii="Consolas" w:hAnsi="Consolas"/>
          <w:sz w:val="22"/>
        </w:rPr>
        <w:t>(B3*C3)+10.5</w:t>
      </w:r>
      <w:r>
        <w:rPr>
          <w:sz w:val="22"/>
        </w:rPr>
        <w:t>, and</w:t>
      </w:r>
    </w:p>
    <w:p>
      <w:pPr>
        <w:pStyle w:val="BodyText"/>
        <w:spacing w:before="39"/>
        <w:ind w:left="940"/>
      </w:pPr>
      <w:r>
        <w:rPr>
          <w:rFonts w:ascii="Consolas"/>
        </w:rPr>
        <w:t>(B4*C4)+10.5</w:t>
      </w:r>
      <w:r>
        <w:rPr/>
        <w:t>.</w:t>
      </w:r>
    </w:p>
    <w:p>
      <w:pPr>
        <w:pStyle w:val="ListParagraph"/>
        <w:numPr>
          <w:ilvl w:val="3"/>
          <w:numId w:val="17"/>
        </w:numPr>
        <w:tabs>
          <w:tab w:pos="940" w:val="left" w:leader="none"/>
          <w:tab w:pos="941" w:val="left" w:leader="none"/>
        </w:tabs>
        <w:spacing w:line="240" w:lineRule="auto" w:before="41" w:after="0"/>
        <w:ind w:left="940" w:right="0" w:hanging="361"/>
        <w:jc w:val="left"/>
        <w:rPr>
          <w:sz w:val="22"/>
        </w:rPr>
      </w:pPr>
      <w:r>
        <w:rPr>
          <w:rFonts w:ascii="Consolas" w:hAnsi="Consolas"/>
          <w:sz w:val="22"/>
        </w:rPr>
        <w:t>SQRT({1,2,3,4})</w:t>
      </w:r>
      <w:r>
        <w:rPr>
          <w:rFonts w:ascii="Consolas" w:hAnsi="Consolas"/>
          <w:spacing w:val="-69"/>
          <w:sz w:val="22"/>
        </w:rPr>
        <w:t> </w:t>
      </w:r>
      <w:r>
        <w:rPr>
          <w:sz w:val="22"/>
        </w:rPr>
        <w:t>returns 1 when entered normally.</w:t>
      </w:r>
    </w:p>
    <w:p>
      <w:pPr>
        <w:pStyle w:val="ListParagraph"/>
        <w:numPr>
          <w:ilvl w:val="3"/>
          <w:numId w:val="17"/>
        </w:numPr>
        <w:tabs>
          <w:tab w:pos="940" w:val="left" w:leader="none"/>
          <w:tab w:pos="941" w:val="left" w:leader="none"/>
        </w:tabs>
        <w:spacing w:line="276" w:lineRule="auto" w:before="39" w:after="0"/>
        <w:ind w:left="940" w:right="469" w:hanging="360"/>
        <w:jc w:val="left"/>
        <w:rPr>
          <w:sz w:val="22"/>
        </w:rPr>
      </w:pPr>
      <w:r>
        <w:rPr>
          <w:rFonts w:ascii="Consolas" w:hAnsi="Consolas"/>
          <w:sz w:val="22"/>
        </w:rPr>
        <w:t>SQRT({1,2,3,4}) </w:t>
      </w:r>
      <w:r>
        <w:rPr>
          <w:sz w:val="22"/>
        </w:rPr>
        <w:t>returns 1 when used in an array formula in a single cell, but if the array formula spans four or more contiguous cells in a row, it will return 1, 1.41, 1.73, and 2 in the first four cells, respectively, and </w:t>
      </w:r>
      <w:r>
        <w:rPr>
          <w:rFonts w:ascii="Consolas" w:hAnsi="Consolas"/>
          <w:sz w:val="22"/>
        </w:rPr>
        <w:t>#N/A</w:t>
      </w:r>
      <w:r>
        <w:rPr>
          <w:rFonts w:ascii="Consolas" w:hAnsi="Consolas"/>
          <w:spacing w:val="-97"/>
          <w:sz w:val="22"/>
        </w:rPr>
        <w:t> </w:t>
      </w:r>
      <w:r>
        <w:rPr>
          <w:sz w:val="22"/>
        </w:rPr>
        <w:t>in any additional cells in the horizontal range spanned by the array formula. (For display purposes, the values returned have been truncated to two decimal</w:t>
      </w:r>
      <w:r>
        <w:rPr>
          <w:spacing w:val="-8"/>
          <w:sz w:val="22"/>
        </w:rPr>
        <w:t> </w:t>
      </w:r>
      <w:r>
        <w:rPr>
          <w:sz w:val="22"/>
        </w:rPr>
        <w:t>places.)</w:t>
      </w:r>
    </w:p>
    <w:p>
      <w:pPr>
        <w:pStyle w:val="ListParagraph"/>
        <w:numPr>
          <w:ilvl w:val="3"/>
          <w:numId w:val="17"/>
        </w:numPr>
        <w:tabs>
          <w:tab w:pos="940" w:val="left" w:leader="none"/>
          <w:tab w:pos="941" w:val="left" w:leader="none"/>
        </w:tabs>
        <w:spacing w:line="276" w:lineRule="auto" w:before="1" w:after="0"/>
        <w:ind w:left="940" w:right="782" w:hanging="360"/>
        <w:jc w:val="left"/>
        <w:rPr>
          <w:sz w:val="22"/>
        </w:rPr>
      </w:pPr>
      <w:r>
        <w:rPr>
          <w:rFonts w:ascii="Consolas" w:hAnsi="Consolas"/>
          <w:sz w:val="22"/>
        </w:rPr>
        <w:t>SUM(SQRT({1,2,3,4}))</w:t>
      </w:r>
      <w:r>
        <w:rPr>
          <w:rFonts w:ascii="Consolas" w:hAnsi="Consolas"/>
          <w:spacing w:val="-102"/>
          <w:sz w:val="22"/>
        </w:rPr>
        <w:t> </w:t>
      </w:r>
      <w:r>
        <w:rPr>
          <w:sz w:val="22"/>
        </w:rPr>
        <w:t>returns 6.14 when entered normally; when used in an array formula, the intermediate calculation (in this instance performed by the SQRT function) is performed upon each element of the</w:t>
      </w:r>
      <w:r>
        <w:rPr>
          <w:spacing w:val="-4"/>
          <w:sz w:val="22"/>
        </w:rPr>
        <w:t> </w:t>
      </w:r>
      <w:r>
        <w:rPr>
          <w:sz w:val="22"/>
        </w:rPr>
        <w:t>array.</w:t>
      </w:r>
    </w:p>
    <w:p>
      <w:pPr>
        <w:pStyle w:val="BodyText"/>
        <w:spacing w:before="5"/>
        <w:rPr>
          <w:sz w:val="16"/>
        </w:rPr>
      </w:pPr>
    </w:p>
    <w:p>
      <w:pPr>
        <w:pStyle w:val="BodyText"/>
        <w:spacing w:before="1"/>
        <w:ind w:left="220"/>
      </w:pPr>
      <w:r>
        <w:rPr/>
        <w:t>With </w:t>
      </w:r>
      <w:r>
        <w:rPr>
          <w:rFonts w:ascii="Consolas"/>
        </w:rPr>
        <w:t>A1:A4</w:t>
      </w:r>
      <w:r>
        <w:rPr>
          <w:rFonts w:ascii="Consolas"/>
          <w:spacing w:val="-79"/>
        </w:rPr>
        <w:t> </w:t>
      </w:r>
      <w:r>
        <w:rPr/>
        <w:t>holding the values 1, 2, 3, and 4, respectively:</w:t>
      </w:r>
    </w:p>
    <w:p>
      <w:pPr>
        <w:pStyle w:val="BodyText"/>
        <w:spacing w:before="6"/>
        <w:rPr>
          <w:sz w:val="19"/>
        </w:rPr>
      </w:pPr>
    </w:p>
    <w:p>
      <w:pPr>
        <w:pStyle w:val="ListParagraph"/>
        <w:numPr>
          <w:ilvl w:val="3"/>
          <w:numId w:val="17"/>
        </w:numPr>
        <w:tabs>
          <w:tab w:pos="940" w:val="left" w:leader="none"/>
          <w:tab w:pos="941" w:val="left" w:leader="none"/>
        </w:tabs>
        <w:spacing w:line="276" w:lineRule="auto" w:before="0" w:after="0"/>
        <w:ind w:left="940" w:right="710" w:hanging="360"/>
        <w:jc w:val="left"/>
        <w:rPr>
          <w:sz w:val="22"/>
        </w:rPr>
      </w:pPr>
      <w:r>
        <w:rPr>
          <w:rFonts w:ascii="Consolas" w:hAnsi="Consolas"/>
          <w:sz w:val="22"/>
        </w:rPr>
        <w:t>SQRT(A1:A4)</w:t>
      </w:r>
      <w:r>
        <w:rPr>
          <w:rFonts w:ascii="Consolas" w:hAnsi="Consolas"/>
          <w:spacing w:val="-95"/>
          <w:sz w:val="22"/>
        </w:rPr>
        <w:t> </w:t>
      </w:r>
      <w:r>
        <w:rPr>
          <w:sz w:val="22"/>
        </w:rPr>
        <w:t>entered normally will do implicit intersection if it is in any of the rows 1–4, and return the </w:t>
      </w:r>
      <w:r>
        <w:rPr>
          <w:rFonts w:ascii="Consolas" w:hAnsi="Consolas"/>
          <w:sz w:val="22"/>
        </w:rPr>
        <w:t>SQRT</w:t>
      </w:r>
      <w:r>
        <w:rPr>
          <w:rFonts w:ascii="Consolas" w:hAnsi="Consolas"/>
          <w:spacing w:val="-77"/>
          <w:sz w:val="22"/>
        </w:rPr>
        <w:t> </w:t>
      </w:r>
      <w:r>
        <w:rPr>
          <w:sz w:val="22"/>
        </w:rPr>
        <w:t>of the number in the same row.</w:t>
      </w:r>
    </w:p>
    <w:p>
      <w:pPr>
        <w:pStyle w:val="ListParagraph"/>
        <w:numPr>
          <w:ilvl w:val="3"/>
          <w:numId w:val="17"/>
        </w:numPr>
        <w:tabs>
          <w:tab w:pos="940" w:val="left" w:leader="none"/>
          <w:tab w:pos="941" w:val="left" w:leader="none"/>
        </w:tabs>
        <w:spacing w:line="276" w:lineRule="auto" w:before="2" w:after="0"/>
        <w:ind w:left="940" w:right="471" w:hanging="360"/>
        <w:jc w:val="left"/>
        <w:rPr>
          <w:sz w:val="22"/>
        </w:rPr>
      </w:pPr>
      <w:r>
        <w:rPr>
          <w:rFonts w:ascii="Consolas" w:hAnsi="Consolas"/>
          <w:sz w:val="22"/>
        </w:rPr>
        <w:t>SQRT(A1:A4) </w:t>
      </w:r>
      <w:r>
        <w:rPr>
          <w:sz w:val="22"/>
        </w:rPr>
        <w:t>returns 1 when used in an array formula in a single cell, since it does not do implicit intersection in this case. If it is used in an array formula spanning multiple contiguous cells in a column, it will return 1, 1.41, 1.73, 2, </w:t>
      </w:r>
      <w:r>
        <w:rPr>
          <w:rFonts w:ascii="Consolas" w:hAnsi="Consolas"/>
          <w:sz w:val="22"/>
        </w:rPr>
        <w:t>#N/A</w:t>
      </w:r>
      <w:r>
        <w:rPr>
          <w:sz w:val="22"/>
        </w:rPr>
        <w:t>, …, respectively, in the cells in its vertical output range. </w:t>
      </w:r>
      <w:r>
        <w:rPr>
          <w:i/>
          <w:sz w:val="22"/>
        </w:rPr>
        <w:t>end</w:t>
      </w:r>
      <w:r>
        <w:rPr>
          <w:i/>
          <w:spacing w:val="-33"/>
          <w:sz w:val="22"/>
        </w:rPr>
        <w:t> </w:t>
      </w:r>
      <w:r>
        <w:rPr>
          <w:i/>
          <w:sz w:val="22"/>
        </w:rPr>
        <w:t>example</w:t>
      </w:r>
      <w:r>
        <w:rPr>
          <w:sz w:val="22"/>
        </w:rPr>
        <w:t>]</w:t>
      </w:r>
    </w:p>
    <w:p>
      <w:pPr>
        <w:spacing w:after="0" w:line="276" w:lineRule="auto"/>
        <w:jc w:val="left"/>
        <w:rPr>
          <w:sz w:val="22"/>
        </w:rPr>
        <w:sectPr>
          <w:pgSz w:w="12240" w:h="15840"/>
          <w:pgMar w:header="761" w:footer="746" w:top="1340" w:bottom="940" w:left="860" w:right="700"/>
        </w:sectPr>
      </w:pPr>
    </w:p>
    <w:p>
      <w:pPr>
        <w:pStyle w:val="Heading3"/>
        <w:numPr>
          <w:ilvl w:val="3"/>
          <w:numId w:val="64"/>
        </w:numPr>
        <w:tabs>
          <w:tab w:pos="1732" w:val="left" w:leader="none"/>
          <w:tab w:pos="1733" w:val="left" w:leader="none"/>
        </w:tabs>
        <w:spacing w:line="240" w:lineRule="auto" w:before="151" w:after="0"/>
        <w:ind w:left="1732" w:right="0" w:hanging="1513"/>
        <w:jc w:val="left"/>
      </w:pPr>
      <w:bookmarkStart w:name="18.17.2.1 Constants" w:id="1310"/>
      <w:bookmarkEnd w:id="1310"/>
      <w:r>
        <w:rPr/>
      </w:r>
      <w:bookmarkStart w:name="_bookmark435" w:id="1311"/>
      <w:bookmarkEnd w:id="1311"/>
      <w:r>
        <w:rPr/>
      </w:r>
      <w:bookmarkStart w:name="_bookmark435" w:id="1312"/>
      <w:bookmarkEnd w:id="1312"/>
      <w:r>
        <w:rPr>
          <w:color w:val="4F81BC"/>
        </w:rPr>
        <w:t>C</w:t>
      </w:r>
      <w:r>
        <w:rPr>
          <w:color w:val="4F81BC"/>
        </w:rPr>
        <w:t>onstants</w:t>
      </w:r>
    </w:p>
    <w:p>
      <w:pPr>
        <w:pStyle w:val="BodyText"/>
        <w:spacing w:line="278" w:lineRule="auto" w:before="119"/>
        <w:ind w:left="220" w:right="503"/>
      </w:pPr>
      <w:r>
        <w:rPr/>
        <w:t>A </w:t>
      </w:r>
      <w:r>
        <w:rPr>
          <w:i/>
        </w:rPr>
        <w:t>constant </w:t>
      </w:r>
      <w:r>
        <w:rPr/>
        <w:t>represents a fixed value that can be used in the calculation of a formula. A constant has the following</w:t>
      </w:r>
      <w:r>
        <w:rPr>
          <w:spacing w:val="-3"/>
        </w:rPr>
        <w:t> </w:t>
      </w:r>
      <w:r>
        <w:rPr/>
        <w:t>form:</w:t>
      </w:r>
    </w:p>
    <w:p>
      <w:pPr>
        <w:pStyle w:val="BodyText"/>
        <w:spacing w:before="198"/>
        <w:ind w:left="508"/>
        <w:rPr>
          <w:rFonts w:ascii="Consolas"/>
        </w:rPr>
      </w:pPr>
      <w:r>
        <w:rPr>
          <w:rFonts w:ascii="Consolas"/>
        </w:rPr>
        <w:t>constant=</w:t>
      </w:r>
    </w:p>
    <w:p>
      <w:pPr>
        <w:pStyle w:val="BodyText"/>
        <w:tabs>
          <w:tab w:pos="2685" w:val="left" w:leader="none"/>
          <w:tab w:pos="2805" w:val="left" w:leader="none"/>
          <w:tab w:pos="2925" w:val="left" w:leader="none"/>
          <w:tab w:pos="3168" w:val="left" w:leader="none"/>
        </w:tabs>
        <w:spacing w:line="276" w:lineRule="auto" w:before="37"/>
        <w:ind w:left="750" w:right="7388"/>
        <w:rPr>
          <w:rFonts w:ascii="Consolas"/>
        </w:rPr>
      </w:pPr>
      <w:r>
        <w:rPr>
          <w:rFonts w:ascii="Consolas"/>
        </w:rPr>
        <w:t>error-constant</w:t>
        <w:tab/>
        <w:t>| </w:t>
      </w:r>
      <w:r>
        <w:rPr>
          <w:rFonts w:ascii="Consolas"/>
          <w:spacing w:val="-1"/>
        </w:rPr>
        <w:t>logical-constant</w:t>
        <w:tab/>
        <w:tab/>
      </w:r>
      <w:r>
        <w:rPr>
          <w:rFonts w:ascii="Consolas"/>
        </w:rPr>
        <w:t>| </w:t>
      </w:r>
      <w:r>
        <w:rPr>
          <w:rFonts w:ascii="Consolas"/>
          <w:spacing w:val="-1"/>
        </w:rPr>
        <w:t>numerical-constant</w:t>
        <w:tab/>
      </w:r>
      <w:r>
        <w:rPr>
          <w:rFonts w:ascii="Consolas"/>
        </w:rPr>
        <w:t>| string-constant</w:t>
        <w:tab/>
        <w:tab/>
        <w:t>| array-constant</w:t>
        <w:tab/>
        <w:t>;</w:t>
      </w:r>
    </w:p>
    <w:p>
      <w:pPr>
        <w:pStyle w:val="BodyText"/>
        <w:spacing w:line="257" w:lineRule="exact"/>
        <w:ind w:left="508"/>
        <w:rPr>
          <w:rFonts w:ascii="Consolas"/>
        </w:rPr>
      </w:pPr>
      <w:r>
        <w:rPr>
          <w:rFonts w:ascii="Consolas"/>
        </w:rPr>
        <w:t>error-constant=</w:t>
      </w:r>
    </w:p>
    <w:p>
      <w:pPr>
        <w:pStyle w:val="BodyText"/>
        <w:tabs>
          <w:tab w:pos="1838" w:val="left" w:leader="none"/>
          <w:tab w:pos="2080" w:val="left" w:leader="none"/>
          <w:tab w:pos="2200" w:val="left" w:leader="none"/>
          <w:tab w:pos="2442" w:val="left" w:leader="none"/>
          <w:tab w:pos="3288" w:val="left" w:leader="none"/>
          <w:tab w:pos="3408" w:val="left" w:leader="none"/>
          <w:tab w:pos="3770" w:val="left" w:leader="none"/>
          <w:tab w:pos="4978" w:val="left" w:leader="none"/>
          <w:tab w:pos="5107" w:val="left" w:leader="none"/>
          <w:tab w:pos="5339" w:val="left" w:leader="none"/>
          <w:tab w:pos="6547" w:val="left" w:leader="none"/>
          <w:tab w:pos="7162" w:val="left" w:leader="none"/>
        </w:tabs>
        <w:spacing w:line="276" w:lineRule="auto" w:before="40"/>
        <w:ind w:left="750" w:right="3394"/>
        <w:rPr>
          <w:rFonts w:ascii="Consolas"/>
        </w:rPr>
      </w:pPr>
      <w:r>
        <w:rPr>
          <w:rFonts w:ascii="Consolas"/>
          <w:spacing w:val="-1"/>
        </w:rPr>
        <w:t>"#DIV/0!"</w:t>
        <w:tab/>
      </w:r>
      <w:r>
        <w:rPr>
          <w:rFonts w:ascii="Consolas"/>
        </w:rPr>
        <w:t>|</w:t>
        <w:tab/>
        <w:t>"#N/A"</w:t>
        <w:tab/>
        <w:tab/>
        <w:t>|</w:t>
        <w:tab/>
        <w:t>"#NAME?"</w:t>
        <w:tab/>
        <w:t>|</w:t>
        <w:tab/>
        <w:tab/>
        <w:t>"#NULL!"</w:t>
        <w:tab/>
        <w:t>| "#NUM!"</w:t>
        <w:tab/>
        <w:t>|</w:t>
        <w:tab/>
        <w:tab/>
        <w:t>"#REF!"</w:t>
        <w:tab/>
        <w:t>|</w:t>
      </w:r>
      <w:r>
        <w:rPr>
          <w:rFonts w:ascii="Consolas"/>
          <w:spacing w:val="-5"/>
        </w:rPr>
        <w:t> </w:t>
      </w:r>
      <w:r>
        <w:rPr>
          <w:rFonts w:ascii="Consolas"/>
        </w:rPr>
        <w:t>"#VALUE!"</w:t>
      </w:r>
      <w:r>
        <w:rPr>
          <w:rFonts w:ascii="Consolas"/>
          <w:spacing w:val="2"/>
        </w:rPr>
        <w:t> </w:t>
      </w:r>
      <w:r>
        <w:rPr>
          <w:rFonts w:ascii="Consolas"/>
        </w:rPr>
        <w:t>|</w:t>
        <w:tab/>
        <w:tab/>
        <w:t>"#GETTING_DATA"</w:t>
        <w:tab/>
      </w:r>
      <w:r>
        <w:rPr>
          <w:rFonts w:ascii="Consolas"/>
          <w:spacing w:val="-18"/>
        </w:rPr>
        <w:t>;</w:t>
      </w:r>
    </w:p>
    <w:p>
      <w:pPr>
        <w:pStyle w:val="BodyText"/>
        <w:tabs>
          <w:tab w:pos="1838" w:val="left" w:leader="none"/>
          <w:tab w:pos="2200" w:val="left" w:leader="none"/>
          <w:tab w:pos="3166" w:val="left" w:leader="none"/>
        </w:tabs>
        <w:spacing w:line="276" w:lineRule="auto" w:before="1"/>
        <w:ind w:left="750" w:right="7390" w:hanging="243"/>
        <w:rPr>
          <w:rFonts w:ascii="Consolas"/>
        </w:rPr>
      </w:pPr>
      <w:r>
        <w:rPr>
          <w:rFonts w:ascii="Consolas"/>
        </w:rPr>
        <w:t>logical-constant= "FALSE"</w:t>
        <w:tab/>
        <w:t>|</w:t>
        <w:tab/>
        <w:t>"TRUE"</w:t>
        <w:tab/>
      </w:r>
      <w:r>
        <w:rPr>
          <w:rFonts w:ascii="Consolas"/>
          <w:spacing w:val="-18"/>
        </w:rPr>
        <w:t>;</w:t>
      </w:r>
    </w:p>
    <w:p>
      <w:pPr>
        <w:pStyle w:val="BodyText"/>
        <w:spacing w:before="1"/>
        <w:ind w:left="508"/>
        <w:rPr>
          <w:rFonts w:ascii="Consolas"/>
        </w:rPr>
      </w:pPr>
      <w:r>
        <w:rPr>
          <w:rFonts w:ascii="Consolas"/>
        </w:rPr>
        <w:t>numerical-constant=</w:t>
      </w:r>
    </w:p>
    <w:p>
      <w:pPr>
        <w:pStyle w:val="BodyText"/>
        <w:tabs>
          <w:tab w:pos="2201" w:val="left" w:leader="none"/>
          <w:tab w:pos="3168" w:val="left" w:leader="none"/>
          <w:tab w:pos="4378" w:val="left" w:leader="none"/>
          <w:tab w:pos="4863" w:val="left" w:leader="none"/>
          <w:tab w:pos="6435" w:val="left" w:leader="none"/>
          <w:tab w:pos="6920" w:val="left" w:leader="none"/>
        </w:tabs>
        <w:spacing w:line="276" w:lineRule="auto" w:before="37"/>
        <w:ind w:left="750" w:right="3635"/>
        <w:rPr>
          <w:rFonts w:ascii="Consolas"/>
        </w:rPr>
      </w:pPr>
      <w:r>
        <w:rPr>
          <w:rFonts w:ascii="Consolas"/>
        </w:rPr>
        <w:t>whole-number-part,</w:t>
        <w:tab/>
        <w:t>[full-stop],</w:t>
        <w:tab/>
        <w:t>[exponent-part]</w:t>
        <w:tab/>
      </w:r>
      <w:r>
        <w:rPr>
          <w:rFonts w:ascii="Consolas"/>
          <w:spacing w:val="-17"/>
        </w:rPr>
        <w:t>| </w:t>
      </w:r>
      <w:r>
        <w:rPr>
          <w:rFonts w:ascii="Consolas"/>
        </w:rPr>
        <w:t>full-stop,</w:t>
        <w:tab/>
        <w:t>fractional-part,</w:t>
        <w:tab/>
        <w:t>[exponent-part]</w:t>
        <w:tab/>
        <w:t>|</w:t>
      </w:r>
    </w:p>
    <w:p>
      <w:pPr>
        <w:pStyle w:val="BodyText"/>
        <w:tabs>
          <w:tab w:pos="3168" w:val="left" w:leader="none"/>
          <w:tab w:pos="4621" w:val="left" w:leader="none"/>
          <w:tab w:pos="6678" w:val="left" w:leader="none"/>
          <w:tab w:pos="8735" w:val="left" w:leader="none"/>
        </w:tabs>
        <w:spacing w:line="276" w:lineRule="auto"/>
        <w:ind w:left="508" w:right="1821" w:firstLine="242"/>
        <w:rPr>
          <w:rFonts w:ascii="Consolas"/>
        </w:rPr>
      </w:pPr>
      <w:r>
        <w:rPr>
          <w:rFonts w:ascii="Consolas"/>
        </w:rPr>
        <w:t>whole-number-part,</w:t>
        <w:tab/>
        <w:t>full-stop,</w:t>
        <w:tab/>
        <w:t>fractional-part</w:t>
        <w:tab/>
        <w:t>[exponent-part]</w:t>
        <w:tab/>
      </w:r>
      <w:r>
        <w:rPr>
          <w:rFonts w:ascii="Consolas"/>
          <w:spacing w:val="-18"/>
        </w:rPr>
        <w:t>; </w:t>
      </w:r>
      <w:r>
        <w:rPr>
          <w:rFonts w:ascii="Consolas"/>
        </w:rPr>
        <w:t>full-stop=</w:t>
      </w:r>
    </w:p>
    <w:p>
      <w:pPr>
        <w:pStyle w:val="BodyText"/>
        <w:tabs>
          <w:tab w:pos="1596" w:val="left" w:leader="none"/>
          <w:tab w:pos="1958" w:val="left" w:leader="none"/>
        </w:tabs>
        <w:spacing w:before="1"/>
        <w:ind w:left="750"/>
        <w:rPr>
          <w:rFonts w:ascii="Consolas" w:hAnsi="Consolas"/>
        </w:rPr>
      </w:pPr>
      <w:r>
        <w:rPr>
          <w:rFonts w:ascii="Consolas" w:hAnsi="Consolas"/>
        </w:rPr>
        <w:t>"."</w:t>
        <w:tab/>
        <w:t>;</w:t>
        <w:tab/>
        <w:t>(* also known as “period”</w:t>
      </w:r>
      <w:r>
        <w:rPr>
          <w:rFonts w:ascii="Consolas" w:hAnsi="Consolas"/>
          <w:spacing w:val="-10"/>
        </w:rPr>
        <w:t> </w:t>
      </w:r>
      <w:r>
        <w:rPr>
          <w:rFonts w:ascii="Consolas" w:hAnsi="Consolas"/>
        </w:rPr>
        <w:t>*)</w:t>
      </w:r>
    </w:p>
    <w:p>
      <w:pPr>
        <w:pStyle w:val="BodyText"/>
        <w:tabs>
          <w:tab w:pos="2685" w:val="left" w:leader="none"/>
        </w:tabs>
        <w:spacing w:line="278" w:lineRule="auto" w:before="37"/>
        <w:ind w:left="750" w:right="7870" w:hanging="243"/>
        <w:rPr>
          <w:rFonts w:ascii="Consolas"/>
        </w:rPr>
      </w:pPr>
      <w:r>
        <w:rPr>
          <w:rFonts w:ascii="Consolas"/>
        </w:rPr>
        <w:t>whole-number-part= digit-sequence</w:t>
        <w:tab/>
      </w:r>
      <w:r>
        <w:rPr>
          <w:rFonts w:ascii="Consolas"/>
          <w:spacing w:val="-17"/>
        </w:rPr>
        <w:t>;</w:t>
      </w:r>
    </w:p>
    <w:p>
      <w:pPr>
        <w:pStyle w:val="BodyText"/>
        <w:tabs>
          <w:tab w:pos="2685" w:val="left" w:leader="none"/>
        </w:tabs>
        <w:spacing w:line="276" w:lineRule="auto"/>
        <w:ind w:left="750" w:right="7870" w:hanging="243"/>
        <w:rPr>
          <w:rFonts w:ascii="Consolas"/>
        </w:rPr>
      </w:pPr>
      <w:r>
        <w:rPr>
          <w:rFonts w:ascii="Consolas"/>
        </w:rPr>
        <w:t>fractional-part= digit-sequence</w:t>
        <w:tab/>
      </w:r>
      <w:r>
        <w:rPr>
          <w:rFonts w:ascii="Consolas"/>
          <w:spacing w:val="-17"/>
        </w:rPr>
        <w:t>;</w:t>
      </w:r>
    </w:p>
    <w:p>
      <w:pPr>
        <w:pStyle w:val="BodyText"/>
        <w:ind w:left="508"/>
        <w:rPr>
          <w:rFonts w:ascii="Consolas"/>
        </w:rPr>
      </w:pPr>
      <w:r>
        <w:rPr>
          <w:rFonts w:ascii="Consolas"/>
        </w:rPr>
        <w:t>exponent-part=</w:t>
      </w:r>
    </w:p>
    <w:p>
      <w:pPr>
        <w:pStyle w:val="BodyText"/>
        <w:tabs>
          <w:tab w:pos="4257" w:val="left" w:leader="none"/>
        </w:tabs>
        <w:spacing w:line="278" w:lineRule="auto" w:before="34"/>
        <w:ind w:left="750" w:right="6298"/>
        <w:rPr>
          <w:rFonts w:ascii="Consolas"/>
        </w:rPr>
      </w:pPr>
      <w:r>
        <w:rPr>
          <w:rFonts w:ascii="Consolas"/>
        </w:rPr>
        <w:t>"e" [ sign</w:t>
      </w:r>
      <w:r>
        <w:rPr>
          <w:rFonts w:ascii="Consolas"/>
          <w:spacing w:val="-7"/>
        </w:rPr>
        <w:t> </w:t>
      </w:r>
      <w:r>
        <w:rPr>
          <w:rFonts w:ascii="Consolas"/>
        </w:rPr>
        <w:t>]</w:t>
      </w:r>
      <w:r>
        <w:rPr>
          <w:rFonts w:ascii="Consolas"/>
          <w:spacing w:val="-4"/>
        </w:rPr>
        <w:t> </w:t>
      </w:r>
      <w:r>
        <w:rPr>
          <w:rFonts w:ascii="Consolas"/>
        </w:rPr>
        <w:t>digit-sequence</w:t>
        <w:tab/>
      </w:r>
      <w:r>
        <w:rPr>
          <w:rFonts w:ascii="Consolas"/>
          <w:spacing w:val="-17"/>
        </w:rPr>
        <w:t>| </w:t>
      </w:r>
      <w:r>
        <w:rPr>
          <w:rFonts w:ascii="Consolas"/>
        </w:rPr>
        <w:t>"E" [ sign</w:t>
      </w:r>
      <w:r>
        <w:rPr>
          <w:rFonts w:ascii="Consolas"/>
          <w:spacing w:val="-7"/>
        </w:rPr>
        <w:t> </w:t>
      </w:r>
      <w:r>
        <w:rPr>
          <w:rFonts w:ascii="Consolas"/>
        </w:rPr>
        <w:t>]</w:t>
      </w:r>
      <w:r>
        <w:rPr>
          <w:rFonts w:ascii="Consolas"/>
          <w:spacing w:val="-4"/>
        </w:rPr>
        <w:t> </w:t>
      </w:r>
      <w:r>
        <w:rPr>
          <w:rFonts w:ascii="Consolas"/>
        </w:rPr>
        <w:t>digit-sequence</w:t>
        <w:tab/>
      </w:r>
      <w:r>
        <w:rPr>
          <w:rFonts w:ascii="Consolas"/>
          <w:spacing w:val="-17"/>
        </w:rPr>
        <w:t>;</w:t>
      </w:r>
    </w:p>
    <w:p>
      <w:pPr>
        <w:pStyle w:val="BodyText"/>
        <w:spacing w:line="253" w:lineRule="exact"/>
        <w:ind w:left="508"/>
        <w:rPr>
          <w:rFonts w:ascii="Consolas"/>
        </w:rPr>
      </w:pPr>
      <w:r>
        <w:rPr>
          <w:rFonts w:ascii="Consolas"/>
        </w:rPr>
        <w:t>sign=</w:t>
      </w:r>
    </w:p>
    <w:p>
      <w:pPr>
        <w:pStyle w:val="BodyText"/>
        <w:tabs>
          <w:tab w:pos="1354" w:val="left" w:leader="none"/>
        </w:tabs>
        <w:spacing w:before="40"/>
        <w:ind w:left="750"/>
        <w:rPr>
          <w:rFonts w:ascii="Consolas"/>
        </w:rPr>
      </w:pPr>
      <w:r>
        <w:rPr>
          <w:rFonts w:ascii="Consolas"/>
        </w:rPr>
        <w:t>"+"</w:t>
        <w:tab/>
        <w:t>|</w:t>
      </w:r>
    </w:p>
    <w:p>
      <w:pPr>
        <w:pStyle w:val="BodyText"/>
        <w:tabs>
          <w:tab w:pos="1355" w:val="left" w:leader="none"/>
        </w:tabs>
        <w:spacing w:before="38"/>
        <w:ind w:left="750"/>
        <w:rPr>
          <w:rFonts w:ascii="Consolas"/>
        </w:rPr>
      </w:pPr>
      <w:r>
        <w:rPr>
          <w:rFonts w:ascii="Consolas"/>
        </w:rPr>
        <w:t>"-"</w:t>
        <w:tab/>
        <w:t>;</w:t>
      </w:r>
    </w:p>
    <w:p>
      <w:pPr>
        <w:pStyle w:val="BodyText"/>
        <w:spacing w:before="37"/>
        <w:ind w:left="508"/>
        <w:rPr>
          <w:rFonts w:ascii="Consolas"/>
        </w:rPr>
      </w:pPr>
      <w:r>
        <w:rPr>
          <w:rFonts w:ascii="Consolas"/>
        </w:rPr>
        <w:t>digit-sequence=</w:t>
      </w:r>
    </w:p>
    <w:p>
      <w:pPr>
        <w:pStyle w:val="BodyText"/>
        <w:tabs>
          <w:tab w:pos="2685" w:val="left" w:leader="none"/>
          <w:tab w:pos="4741" w:val="left" w:leader="none"/>
        </w:tabs>
        <w:spacing w:line="276" w:lineRule="auto" w:before="40" w:after="39"/>
        <w:ind w:left="508" w:right="5815" w:firstLine="242"/>
        <w:rPr>
          <w:rFonts w:ascii="Consolas"/>
        </w:rPr>
      </w:pPr>
      <w:r>
        <w:rPr>
          <w:rFonts w:ascii="Consolas"/>
        </w:rPr>
        <w:t>decimal-digit,</w:t>
        <w:tab/>
        <w:t>{decimal-digit}</w:t>
        <w:tab/>
      </w:r>
      <w:r>
        <w:rPr>
          <w:rFonts w:ascii="Consolas"/>
          <w:spacing w:val="-18"/>
        </w:rPr>
        <w:t>; </w:t>
      </w:r>
      <w:r>
        <w:rPr>
          <w:rFonts w:ascii="Consolas"/>
        </w:rPr>
        <w:t>decimal-digit=</w:t>
      </w:r>
    </w:p>
    <w:tbl>
      <w:tblPr>
        <w:tblW w:w="0" w:type="auto"/>
        <w:jc w:val="lef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
        <w:gridCol w:w="362"/>
        <w:gridCol w:w="604"/>
        <w:gridCol w:w="363"/>
        <w:gridCol w:w="604"/>
        <w:gridCol w:w="363"/>
        <w:gridCol w:w="604"/>
        <w:gridCol w:w="362"/>
        <w:gridCol w:w="604"/>
        <w:gridCol w:w="292"/>
      </w:tblGrid>
      <w:tr>
        <w:trPr>
          <w:trHeight w:val="258" w:hRule="atLeast"/>
        </w:trPr>
        <w:tc>
          <w:tcPr>
            <w:tcW w:w="534" w:type="dxa"/>
          </w:tcPr>
          <w:p>
            <w:pPr>
              <w:pStyle w:val="TableParagraph"/>
              <w:spacing w:line="219" w:lineRule="exact" w:before="0"/>
              <w:ind w:left="50"/>
              <w:rPr>
                <w:rFonts w:ascii="Consolas"/>
                <w:sz w:val="22"/>
              </w:rPr>
            </w:pPr>
            <w:r>
              <w:rPr>
                <w:rFonts w:ascii="Consolas"/>
                <w:sz w:val="22"/>
              </w:rPr>
              <w:t>"0"</w:t>
            </w:r>
          </w:p>
        </w:tc>
        <w:tc>
          <w:tcPr>
            <w:tcW w:w="362" w:type="dxa"/>
          </w:tcPr>
          <w:p>
            <w:pPr>
              <w:pStyle w:val="TableParagraph"/>
              <w:spacing w:line="219" w:lineRule="exact" w:before="0"/>
              <w:ind w:left="0"/>
              <w:jc w:val="center"/>
              <w:rPr>
                <w:rFonts w:ascii="Consolas"/>
                <w:sz w:val="22"/>
              </w:rPr>
            </w:pPr>
            <w:r>
              <w:rPr>
                <w:rFonts w:ascii="Consolas"/>
                <w:w w:val="100"/>
                <w:sz w:val="22"/>
              </w:rPr>
              <w:t>|</w:t>
            </w:r>
          </w:p>
        </w:tc>
        <w:tc>
          <w:tcPr>
            <w:tcW w:w="604" w:type="dxa"/>
          </w:tcPr>
          <w:p>
            <w:pPr>
              <w:pStyle w:val="TableParagraph"/>
              <w:spacing w:line="219" w:lineRule="exact" w:before="0"/>
              <w:ind w:left="100" w:right="101"/>
              <w:jc w:val="center"/>
              <w:rPr>
                <w:rFonts w:ascii="Consolas"/>
                <w:sz w:val="22"/>
              </w:rPr>
            </w:pPr>
            <w:r>
              <w:rPr>
                <w:rFonts w:ascii="Consolas"/>
                <w:sz w:val="22"/>
              </w:rPr>
              <w:t>"1"</w:t>
            </w:r>
          </w:p>
        </w:tc>
        <w:tc>
          <w:tcPr>
            <w:tcW w:w="363" w:type="dxa"/>
          </w:tcPr>
          <w:p>
            <w:pPr>
              <w:pStyle w:val="TableParagraph"/>
              <w:spacing w:line="219" w:lineRule="exact" w:before="0"/>
              <w:ind w:left="0"/>
              <w:jc w:val="center"/>
              <w:rPr>
                <w:rFonts w:ascii="Consolas"/>
                <w:sz w:val="22"/>
              </w:rPr>
            </w:pPr>
            <w:r>
              <w:rPr>
                <w:rFonts w:ascii="Consolas"/>
                <w:w w:val="100"/>
                <w:sz w:val="22"/>
              </w:rPr>
              <w:t>|</w:t>
            </w:r>
          </w:p>
        </w:tc>
        <w:tc>
          <w:tcPr>
            <w:tcW w:w="604" w:type="dxa"/>
          </w:tcPr>
          <w:p>
            <w:pPr>
              <w:pStyle w:val="TableParagraph"/>
              <w:spacing w:line="219" w:lineRule="exact" w:before="0"/>
              <w:ind w:left="100" w:right="101"/>
              <w:jc w:val="center"/>
              <w:rPr>
                <w:rFonts w:ascii="Consolas" w:hAnsi="Consolas"/>
                <w:sz w:val="22"/>
              </w:rPr>
            </w:pPr>
            <w:r>
              <w:rPr>
                <w:rFonts w:ascii="Consolas" w:hAnsi="Consolas"/>
                <w:sz w:val="22"/>
              </w:rPr>
              <w:t>"2”</w:t>
            </w:r>
          </w:p>
        </w:tc>
        <w:tc>
          <w:tcPr>
            <w:tcW w:w="363" w:type="dxa"/>
          </w:tcPr>
          <w:p>
            <w:pPr>
              <w:pStyle w:val="TableParagraph"/>
              <w:spacing w:line="219" w:lineRule="exact" w:before="0"/>
              <w:ind w:left="0"/>
              <w:jc w:val="center"/>
              <w:rPr>
                <w:rFonts w:ascii="Consolas"/>
                <w:sz w:val="22"/>
              </w:rPr>
            </w:pPr>
            <w:r>
              <w:rPr>
                <w:rFonts w:ascii="Consolas"/>
                <w:w w:val="100"/>
                <w:sz w:val="22"/>
              </w:rPr>
              <w:t>|</w:t>
            </w:r>
          </w:p>
        </w:tc>
        <w:tc>
          <w:tcPr>
            <w:tcW w:w="604" w:type="dxa"/>
          </w:tcPr>
          <w:p>
            <w:pPr>
              <w:pStyle w:val="TableParagraph"/>
              <w:spacing w:line="219" w:lineRule="exact" w:before="0"/>
              <w:ind w:left="100" w:right="101"/>
              <w:jc w:val="center"/>
              <w:rPr>
                <w:rFonts w:ascii="Consolas"/>
                <w:sz w:val="22"/>
              </w:rPr>
            </w:pPr>
            <w:r>
              <w:rPr>
                <w:rFonts w:ascii="Consolas"/>
                <w:sz w:val="22"/>
              </w:rPr>
              <w:t>"3"</w:t>
            </w:r>
          </w:p>
        </w:tc>
        <w:tc>
          <w:tcPr>
            <w:tcW w:w="362" w:type="dxa"/>
          </w:tcPr>
          <w:p>
            <w:pPr>
              <w:pStyle w:val="TableParagraph"/>
              <w:spacing w:line="219" w:lineRule="exact" w:before="0"/>
              <w:ind w:left="0" w:right="1"/>
              <w:jc w:val="center"/>
              <w:rPr>
                <w:rFonts w:ascii="Consolas"/>
                <w:sz w:val="22"/>
              </w:rPr>
            </w:pPr>
            <w:r>
              <w:rPr>
                <w:rFonts w:ascii="Consolas"/>
                <w:w w:val="100"/>
                <w:sz w:val="22"/>
              </w:rPr>
              <w:t>|</w:t>
            </w:r>
          </w:p>
        </w:tc>
        <w:tc>
          <w:tcPr>
            <w:tcW w:w="604" w:type="dxa"/>
          </w:tcPr>
          <w:p>
            <w:pPr>
              <w:pStyle w:val="TableParagraph"/>
              <w:spacing w:line="219" w:lineRule="exact" w:before="0"/>
              <w:ind w:left="100" w:right="101"/>
              <w:jc w:val="center"/>
              <w:rPr>
                <w:rFonts w:ascii="Consolas"/>
                <w:sz w:val="22"/>
              </w:rPr>
            </w:pPr>
            <w:r>
              <w:rPr>
                <w:rFonts w:ascii="Consolas"/>
                <w:sz w:val="22"/>
              </w:rPr>
              <w:t>"4"</w:t>
            </w:r>
          </w:p>
        </w:tc>
        <w:tc>
          <w:tcPr>
            <w:tcW w:w="292" w:type="dxa"/>
          </w:tcPr>
          <w:p>
            <w:pPr>
              <w:pStyle w:val="TableParagraph"/>
              <w:spacing w:line="219" w:lineRule="exact" w:before="0"/>
              <w:ind w:left="0" w:right="49"/>
              <w:jc w:val="right"/>
              <w:rPr>
                <w:rFonts w:ascii="Consolas"/>
                <w:sz w:val="22"/>
              </w:rPr>
            </w:pPr>
            <w:r>
              <w:rPr>
                <w:rFonts w:ascii="Consolas"/>
                <w:w w:val="100"/>
                <w:sz w:val="22"/>
              </w:rPr>
              <w:t>|</w:t>
            </w:r>
          </w:p>
        </w:tc>
      </w:tr>
      <w:tr>
        <w:trPr>
          <w:trHeight w:val="258" w:hRule="atLeast"/>
        </w:trPr>
        <w:tc>
          <w:tcPr>
            <w:tcW w:w="534" w:type="dxa"/>
          </w:tcPr>
          <w:p>
            <w:pPr>
              <w:pStyle w:val="TableParagraph"/>
              <w:spacing w:line="238" w:lineRule="exact" w:before="0"/>
              <w:ind w:left="50"/>
              <w:rPr>
                <w:rFonts w:ascii="Consolas" w:hAnsi="Consolas"/>
                <w:sz w:val="22"/>
              </w:rPr>
            </w:pPr>
            <w:r>
              <w:rPr>
                <w:rFonts w:ascii="Consolas" w:hAnsi="Consolas"/>
                <w:sz w:val="22"/>
              </w:rPr>
              <w:t>"5”</w:t>
            </w:r>
          </w:p>
        </w:tc>
        <w:tc>
          <w:tcPr>
            <w:tcW w:w="362" w:type="dxa"/>
          </w:tcPr>
          <w:p>
            <w:pPr>
              <w:pStyle w:val="TableParagraph"/>
              <w:spacing w:line="238" w:lineRule="exact" w:before="0"/>
              <w:ind w:left="0"/>
              <w:jc w:val="center"/>
              <w:rPr>
                <w:rFonts w:ascii="Consolas"/>
                <w:sz w:val="22"/>
              </w:rPr>
            </w:pPr>
            <w:r>
              <w:rPr>
                <w:rFonts w:ascii="Consolas"/>
                <w:w w:val="100"/>
                <w:sz w:val="22"/>
              </w:rPr>
              <w:t>|</w:t>
            </w:r>
          </w:p>
        </w:tc>
        <w:tc>
          <w:tcPr>
            <w:tcW w:w="604" w:type="dxa"/>
          </w:tcPr>
          <w:p>
            <w:pPr>
              <w:pStyle w:val="TableParagraph"/>
              <w:spacing w:line="238" w:lineRule="exact" w:before="0"/>
              <w:ind w:left="100" w:right="101"/>
              <w:jc w:val="center"/>
              <w:rPr>
                <w:rFonts w:ascii="Consolas"/>
                <w:sz w:val="22"/>
              </w:rPr>
            </w:pPr>
            <w:r>
              <w:rPr>
                <w:rFonts w:ascii="Consolas"/>
                <w:sz w:val="22"/>
              </w:rPr>
              <w:t>"6"</w:t>
            </w:r>
          </w:p>
        </w:tc>
        <w:tc>
          <w:tcPr>
            <w:tcW w:w="363" w:type="dxa"/>
          </w:tcPr>
          <w:p>
            <w:pPr>
              <w:pStyle w:val="TableParagraph"/>
              <w:spacing w:line="238" w:lineRule="exact" w:before="0"/>
              <w:ind w:left="0"/>
              <w:jc w:val="center"/>
              <w:rPr>
                <w:rFonts w:ascii="Consolas"/>
                <w:sz w:val="22"/>
              </w:rPr>
            </w:pPr>
            <w:r>
              <w:rPr>
                <w:rFonts w:ascii="Consolas"/>
                <w:w w:val="100"/>
                <w:sz w:val="22"/>
              </w:rPr>
              <w:t>|</w:t>
            </w:r>
          </w:p>
        </w:tc>
        <w:tc>
          <w:tcPr>
            <w:tcW w:w="604" w:type="dxa"/>
          </w:tcPr>
          <w:p>
            <w:pPr>
              <w:pStyle w:val="TableParagraph"/>
              <w:spacing w:line="238" w:lineRule="exact" w:before="0"/>
              <w:ind w:left="100" w:right="101"/>
              <w:jc w:val="center"/>
              <w:rPr>
                <w:rFonts w:ascii="Consolas"/>
                <w:sz w:val="22"/>
              </w:rPr>
            </w:pPr>
            <w:r>
              <w:rPr>
                <w:rFonts w:ascii="Consolas"/>
                <w:sz w:val="22"/>
              </w:rPr>
              <w:t>"7"</w:t>
            </w:r>
          </w:p>
        </w:tc>
        <w:tc>
          <w:tcPr>
            <w:tcW w:w="363" w:type="dxa"/>
          </w:tcPr>
          <w:p>
            <w:pPr>
              <w:pStyle w:val="TableParagraph"/>
              <w:spacing w:line="238" w:lineRule="exact" w:before="0"/>
              <w:ind w:left="0"/>
              <w:jc w:val="center"/>
              <w:rPr>
                <w:rFonts w:ascii="Consolas"/>
                <w:sz w:val="22"/>
              </w:rPr>
            </w:pPr>
            <w:r>
              <w:rPr>
                <w:rFonts w:ascii="Consolas"/>
                <w:w w:val="100"/>
                <w:sz w:val="22"/>
              </w:rPr>
              <w:t>|</w:t>
            </w:r>
          </w:p>
        </w:tc>
        <w:tc>
          <w:tcPr>
            <w:tcW w:w="604" w:type="dxa"/>
          </w:tcPr>
          <w:p>
            <w:pPr>
              <w:pStyle w:val="TableParagraph"/>
              <w:spacing w:line="238" w:lineRule="exact" w:before="0"/>
              <w:ind w:left="100" w:right="101"/>
              <w:jc w:val="center"/>
              <w:rPr>
                <w:rFonts w:ascii="Consolas" w:hAnsi="Consolas"/>
                <w:sz w:val="22"/>
              </w:rPr>
            </w:pPr>
            <w:r>
              <w:rPr>
                <w:rFonts w:ascii="Consolas" w:hAnsi="Consolas"/>
                <w:sz w:val="22"/>
              </w:rPr>
              <w:t>"8”</w:t>
            </w:r>
          </w:p>
        </w:tc>
        <w:tc>
          <w:tcPr>
            <w:tcW w:w="362" w:type="dxa"/>
          </w:tcPr>
          <w:p>
            <w:pPr>
              <w:pStyle w:val="TableParagraph"/>
              <w:spacing w:line="238" w:lineRule="exact" w:before="0"/>
              <w:ind w:left="0" w:right="1"/>
              <w:jc w:val="center"/>
              <w:rPr>
                <w:rFonts w:ascii="Consolas"/>
                <w:sz w:val="22"/>
              </w:rPr>
            </w:pPr>
            <w:r>
              <w:rPr>
                <w:rFonts w:ascii="Consolas"/>
                <w:w w:val="100"/>
                <w:sz w:val="22"/>
              </w:rPr>
              <w:t>|</w:t>
            </w:r>
          </w:p>
        </w:tc>
        <w:tc>
          <w:tcPr>
            <w:tcW w:w="604" w:type="dxa"/>
          </w:tcPr>
          <w:p>
            <w:pPr>
              <w:pStyle w:val="TableParagraph"/>
              <w:spacing w:line="238" w:lineRule="exact" w:before="0"/>
              <w:ind w:left="100" w:right="101"/>
              <w:jc w:val="center"/>
              <w:rPr>
                <w:rFonts w:ascii="Consolas"/>
                <w:sz w:val="22"/>
              </w:rPr>
            </w:pPr>
            <w:r>
              <w:rPr>
                <w:rFonts w:ascii="Consolas"/>
                <w:sz w:val="22"/>
              </w:rPr>
              <w:t>"9"</w:t>
            </w:r>
          </w:p>
        </w:tc>
        <w:tc>
          <w:tcPr>
            <w:tcW w:w="292" w:type="dxa"/>
          </w:tcPr>
          <w:p>
            <w:pPr>
              <w:pStyle w:val="TableParagraph"/>
              <w:spacing w:line="238" w:lineRule="exact" w:before="0"/>
              <w:ind w:left="0" w:right="49"/>
              <w:jc w:val="right"/>
              <w:rPr>
                <w:rFonts w:ascii="Consolas"/>
                <w:sz w:val="22"/>
              </w:rPr>
            </w:pPr>
            <w:r>
              <w:rPr>
                <w:rFonts w:ascii="Consolas"/>
                <w:w w:val="100"/>
                <w:sz w:val="22"/>
              </w:rPr>
              <w:t>;</w:t>
            </w:r>
          </w:p>
        </w:tc>
      </w:tr>
    </w:tbl>
    <w:p>
      <w:pPr>
        <w:pStyle w:val="BodyText"/>
        <w:spacing w:before="39"/>
        <w:ind w:left="508"/>
        <w:rPr>
          <w:rFonts w:ascii="Consolas"/>
        </w:rPr>
      </w:pPr>
      <w:r>
        <w:rPr>
          <w:rFonts w:ascii="Consolas"/>
        </w:rPr>
        <w:t>string-constant=</w:t>
      </w:r>
    </w:p>
    <w:p>
      <w:pPr>
        <w:pStyle w:val="BodyText"/>
        <w:tabs>
          <w:tab w:pos="6073" w:val="left" w:leader="none"/>
        </w:tabs>
        <w:spacing w:line="276" w:lineRule="auto" w:before="37"/>
        <w:ind w:left="508" w:right="4483" w:firstLine="242"/>
        <w:rPr>
          <w:rFonts w:ascii="Consolas"/>
        </w:rPr>
      </w:pPr>
      <w:r>
        <w:rPr>
          <w:rFonts w:ascii="Consolas"/>
        </w:rPr>
        <w:t>double-quote,</w:t>
      </w:r>
      <w:r>
        <w:rPr>
          <w:rFonts w:ascii="Consolas"/>
          <w:spacing w:val="-8"/>
        </w:rPr>
        <w:t> </w:t>
      </w:r>
      <w:r>
        <w:rPr>
          <w:rFonts w:ascii="Consolas"/>
        </w:rPr>
        <w:t>[string-chars],</w:t>
      </w:r>
      <w:r>
        <w:rPr>
          <w:rFonts w:ascii="Consolas"/>
          <w:spacing w:val="-7"/>
        </w:rPr>
        <w:t> </w:t>
      </w:r>
      <w:r>
        <w:rPr>
          <w:rFonts w:ascii="Consolas"/>
        </w:rPr>
        <w:t>double-quote</w:t>
        <w:tab/>
      </w:r>
      <w:r>
        <w:rPr>
          <w:rFonts w:ascii="Consolas"/>
          <w:spacing w:val="-18"/>
        </w:rPr>
        <w:t>; </w:t>
      </w:r>
      <w:r>
        <w:rPr>
          <w:rFonts w:ascii="Consolas"/>
        </w:rPr>
        <w:t>double-quote=</w:t>
      </w:r>
    </w:p>
    <w:p>
      <w:pPr>
        <w:pStyle w:val="BodyText"/>
        <w:tabs>
          <w:tab w:pos="1354" w:val="left" w:leader="none"/>
        </w:tabs>
        <w:spacing w:line="276" w:lineRule="auto" w:before="1"/>
        <w:ind w:left="508" w:right="5332" w:firstLine="242"/>
        <w:rPr>
          <w:rFonts w:ascii="Consolas"/>
        </w:rPr>
      </w:pPr>
      <w:r>
        <w:rPr>
          <w:rFonts w:ascii="Consolas"/>
        </w:rPr>
        <w:t>'"'</w:t>
        <w:tab/>
        <w:t>; (* one double-quote character*) string-chars=</w:t>
      </w:r>
    </w:p>
    <w:p>
      <w:pPr>
        <w:pStyle w:val="BodyText"/>
        <w:tabs>
          <w:tab w:pos="2443" w:val="left" w:leader="none"/>
          <w:tab w:pos="4258" w:val="left" w:leader="none"/>
        </w:tabs>
        <w:ind w:left="750"/>
        <w:rPr>
          <w:rFonts w:ascii="Consolas"/>
        </w:rPr>
      </w:pPr>
      <w:r>
        <w:rPr>
          <w:rFonts w:ascii="Consolas"/>
        </w:rPr>
        <w:t>string-char,</w:t>
        <w:tab/>
        <w:t>{string-char}</w:t>
        <w:tab/>
        <w:t>;</w:t>
      </w:r>
    </w:p>
    <w:p>
      <w:pPr>
        <w:spacing w:after="0"/>
        <w:rPr>
          <w:rFonts w:ascii="Consolas"/>
        </w:rPr>
        <w:sectPr>
          <w:pgSz w:w="12240" w:h="15840"/>
          <w:pgMar w:header="763" w:footer="746" w:top="1340" w:bottom="940" w:left="860" w:right="700"/>
        </w:sectPr>
      </w:pPr>
    </w:p>
    <w:p>
      <w:pPr>
        <w:pStyle w:val="BodyText"/>
        <w:spacing w:before="93"/>
        <w:ind w:left="508"/>
        <w:rPr>
          <w:rFonts w:ascii="Consolas"/>
        </w:rPr>
      </w:pPr>
      <w:r>
        <w:rPr>
          <w:rFonts w:ascii="Consolas"/>
        </w:rPr>
        <w:t>string-char=</w:t>
      </w:r>
    </w:p>
    <w:p>
      <w:pPr>
        <w:pStyle w:val="BodyText"/>
        <w:tabs>
          <w:tab w:pos="1476" w:val="left" w:leader="none"/>
          <w:tab w:pos="1958" w:val="left" w:leader="none"/>
          <w:tab w:pos="2082" w:val="left" w:leader="none"/>
          <w:tab w:pos="2445" w:val="left" w:leader="none"/>
          <w:tab w:pos="4136" w:val="left" w:leader="none"/>
          <w:tab w:pos="4620" w:val="left" w:leader="none"/>
        </w:tabs>
        <w:spacing w:line="278" w:lineRule="auto" w:before="38"/>
        <w:ind w:left="750" w:right="1338"/>
        <w:rPr>
          <w:rFonts w:ascii="Consolas"/>
        </w:rPr>
      </w:pPr>
      <w:r>
        <w:rPr>
          <w:rFonts w:ascii="Consolas"/>
        </w:rPr>
        <w:t>'""'</w:t>
        <w:tab/>
        <w:t>|</w:t>
        <w:tab/>
        <w:t>(* consecutive double-quotes, with no space between them *) character</w:t>
        <w:tab/>
        <w:tab/>
        <w:t>-</w:t>
        <w:tab/>
        <w:t>double-quote</w:t>
        <w:tab/>
        <w:t>;</w:t>
        <w:tab/>
        <w:t>(* any character except double-quote</w:t>
      </w:r>
      <w:r>
        <w:rPr>
          <w:rFonts w:ascii="Consolas"/>
          <w:spacing w:val="-18"/>
        </w:rPr>
        <w:t> </w:t>
      </w:r>
      <w:r>
        <w:rPr>
          <w:rFonts w:ascii="Consolas"/>
        </w:rPr>
        <w:t>*)</w:t>
      </w:r>
    </w:p>
    <w:p>
      <w:pPr>
        <w:pStyle w:val="BodyText"/>
        <w:spacing w:line="253" w:lineRule="exact"/>
        <w:ind w:left="508"/>
        <w:rPr>
          <w:rFonts w:ascii="Consolas"/>
        </w:rPr>
      </w:pPr>
      <w:r>
        <w:rPr>
          <w:rFonts w:ascii="Consolas"/>
        </w:rPr>
        <w:t>character=</w:t>
      </w:r>
    </w:p>
    <w:p>
      <w:pPr>
        <w:pStyle w:val="BodyText"/>
        <w:spacing w:before="40"/>
        <w:ind w:left="750"/>
        <w:rPr>
          <w:rFonts w:ascii="Consolas" w:hAnsi="Consolas"/>
        </w:rPr>
      </w:pPr>
      <w:r>
        <w:rPr>
          <w:rFonts w:ascii="Consolas" w:hAnsi="Consolas"/>
        </w:rPr>
        <w:t>as defined by the production Char in the XML 1.0 specification, §2.2.</w:t>
      </w:r>
    </w:p>
    <w:p>
      <w:pPr>
        <w:pStyle w:val="BodyText"/>
        <w:rPr>
          <w:rFonts w:ascii="Consolas"/>
          <w:sz w:val="20"/>
        </w:rPr>
      </w:pPr>
    </w:p>
    <w:p>
      <w:pPr>
        <w:pStyle w:val="BodyText"/>
        <w:spacing w:line="278" w:lineRule="auto"/>
        <w:ind w:left="220" w:right="1069"/>
      </w:pPr>
      <w:r>
        <w:rPr/>
        <w:t>[</w:t>
      </w:r>
      <w:r>
        <w:rPr>
          <w:i/>
        </w:rPr>
        <w:t>Example</w:t>
      </w:r>
      <w:r>
        <w:rPr/>
        <w:t>: =$A$1/3 divides the value in A1 by the constant value three; =$A$1&amp;"a" appends the constant string "a" to the string representation of the contents of cell A1. </w:t>
      </w:r>
      <w:r>
        <w:rPr>
          <w:i/>
        </w:rPr>
        <w:t>end example</w:t>
      </w:r>
      <w:r>
        <w:rPr/>
        <w:t>]</w:t>
      </w:r>
    </w:p>
    <w:p>
      <w:pPr>
        <w:pStyle w:val="BodyText"/>
        <w:spacing w:line="278" w:lineRule="auto" w:before="195"/>
        <w:ind w:left="220" w:right="693"/>
      </w:pPr>
      <w:r>
        <w:rPr/>
        <w:t>To include a double-quote character (</w:t>
      </w:r>
      <w:r>
        <w:rPr>
          <w:rFonts w:ascii="Consolas"/>
        </w:rPr>
        <w:t>"</w:t>
      </w:r>
      <w:r>
        <w:rPr/>
        <w:t>) in </w:t>
      </w:r>
      <w:r>
        <w:rPr>
          <w:rFonts w:ascii="Times New Roman"/>
          <w:i/>
        </w:rPr>
        <w:t>string-chars</w:t>
      </w:r>
      <w:r>
        <w:rPr/>
        <w:t>, precede it with another double-quote character. [</w:t>
      </w:r>
      <w:r>
        <w:rPr>
          <w:i/>
        </w:rPr>
        <w:t>Example</w:t>
      </w:r>
      <w:r>
        <w:rPr/>
        <w:t>: </w:t>
      </w:r>
      <w:r>
        <w:rPr>
          <w:rFonts w:ascii="Consolas"/>
        </w:rPr>
        <w:t>"ab""cd"</w:t>
      </w:r>
      <w:r>
        <w:rPr>
          <w:rFonts w:ascii="Consolas"/>
          <w:spacing w:val="-73"/>
        </w:rPr>
        <w:t> </w:t>
      </w:r>
      <w:r>
        <w:rPr/>
        <w:t>contains the characters </w:t>
      </w:r>
      <w:r>
        <w:rPr>
          <w:rFonts w:ascii="Consolas"/>
        </w:rPr>
        <w:t>ab"cd</w:t>
      </w:r>
      <w:r>
        <w:rPr/>
        <w:t>, and </w:t>
      </w:r>
      <w:r>
        <w:rPr>
          <w:rFonts w:ascii="Consolas"/>
        </w:rPr>
        <w:t>"""abcd"""</w:t>
      </w:r>
      <w:r>
        <w:rPr>
          <w:rFonts w:ascii="Consolas"/>
          <w:spacing w:val="-70"/>
        </w:rPr>
        <w:t> </w:t>
      </w:r>
      <w:r>
        <w:rPr/>
        <w:t>contains the characters </w:t>
      </w:r>
      <w:r>
        <w:rPr>
          <w:rFonts w:ascii="Consolas"/>
        </w:rPr>
        <w:t>"abcd"</w:t>
      </w:r>
      <w:r>
        <w:rPr/>
        <w:t>. </w:t>
      </w:r>
      <w:r>
        <w:rPr>
          <w:i/>
        </w:rPr>
        <w:t>end </w:t>
      </w:r>
      <w:r>
        <w:rPr>
          <w:i/>
        </w:rPr>
        <w:t>example</w:t>
      </w:r>
      <w:r>
        <w:rPr/>
        <w:t>]</w:t>
      </w:r>
    </w:p>
    <w:p>
      <w:pPr>
        <w:pStyle w:val="BodyText"/>
        <w:spacing w:line="276" w:lineRule="auto" w:before="194"/>
        <w:ind w:left="220" w:right="1032"/>
      </w:pPr>
      <w:r>
        <w:rPr/>
        <w:t>An </w:t>
      </w:r>
      <w:r>
        <w:rPr>
          <w:i/>
        </w:rPr>
        <w:t>array constant </w:t>
      </w:r>
      <w:r>
        <w:rPr/>
        <w:t>is a list of one or more constants organized in one or two dimensions, and delimited by braces. An array constant has the following form:</w:t>
      </w:r>
    </w:p>
    <w:p>
      <w:pPr>
        <w:pStyle w:val="BodyText"/>
        <w:spacing w:before="5"/>
        <w:rPr>
          <w:sz w:val="16"/>
        </w:rPr>
      </w:pPr>
    </w:p>
    <w:p>
      <w:pPr>
        <w:pStyle w:val="BodyText"/>
        <w:spacing w:before="1"/>
        <w:ind w:left="508"/>
        <w:rPr>
          <w:rFonts w:ascii="Consolas"/>
        </w:rPr>
      </w:pPr>
      <w:r>
        <w:rPr>
          <w:rFonts w:ascii="Consolas"/>
        </w:rPr>
        <w:t>array-constant=</w:t>
      </w:r>
    </w:p>
    <w:p>
      <w:pPr>
        <w:pStyle w:val="BodyText"/>
        <w:tabs>
          <w:tab w:pos="1476" w:val="left" w:leader="none"/>
          <w:tab w:pos="4016" w:val="left" w:leader="none"/>
          <w:tab w:pos="4620" w:val="left" w:leader="none"/>
        </w:tabs>
        <w:spacing w:line="276" w:lineRule="auto" w:before="40"/>
        <w:ind w:left="508" w:right="5936" w:firstLine="242"/>
        <w:rPr>
          <w:rFonts w:ascii="Consolas"/>
        </w:rPr>
      </w:pPr>
      <w:r>
        <w:rPr>
          <w:rFonts w:ascii="Consolas"/>
        </w:rPr>
        <w:t>"{",</w:t>
        <w:tab/>
        <w:t>constant-list-rows,</w:t>
        <w:tab/>
        <w:t>"}"</w:t>
        <w:tab/>
      </w:r>
      <w:r>
        <w:rPr>
          <w:rFonts w:ascii="Consolas"/>
          <w:spacing w:val="-18"/>
        </w:rPr>
        <w:t>; </w:t>
      </w:r>
      <w:r>
        <w:rPr>
          <w:rFonts w:ascii="Consolas"/>
        </w:rPr>
        <w:t>constant-list-rows=</w:t>
      </w:r>
    </w:p>
    <w:p>
      <w:pPr>
        <w:pStyle w:val="BodyText"/>
        <w:tabs>
          <w:tab w:pos="3168" w:val="left" w:leader="none"/>
          <w:tab w:pos="3530" w:val="left" w:leader="none"/>
          <w:tab w:pos="4980" w:val="left" w:leader="none"/>
          <w:tab w:pos="7283" w:val="left" w:leader="none"/>
          <w:tab w:pos="7645" w:val="left" w:leader="none"/>
        </w:tabs>
        <w:spacing w:line="276" w:lineRule="auto"/>
        <w:ind w:left="508" w:right="2911" w:firstLine="242"/>
        <w:rPr>
          <w:rFonts w:ascii="Consolas"/>
        </w:rPr>
      </w:pPr>
      <w:r>
        <w:rPr>
          <w:rFonts w:ascii="Consolas"/>
        </w:rPr>
        <w:t>constant-list-row,</w:t>
        <w:tab/>
        <w:t>{</w:t>
        <w:tab/>
        <w:t>semicolon,</w:t>
        <w:tab/>
        <w:t>constant-list-row</w:t>
        <w:tab/>
        <w:t>}</w:t>
        <w:tab/>
      </w:r>
      <w:r>
        <w:rPr>
          <w:rFonts w:ascii="Consolas"/>
          <w:spacing w:val="-18"/>
        </w:rPr>
        <w:t>; </w:t>
      </w:r>
      <w:r>
        <w:rPr>
          <w:rFonts w:ascii="Consolas"/>
        </w:rPr>
        <w:t>semicolon=</w:t>
      </w:r>
    </w:p>
    <w:p>
      <w:pPr>
        <w:pStyle w:val="BodyText"/>
        <w:tabs>
          <w:tab w:pos="1596" w:val="left" w:leader="none"/>
        </w:tabs>
        <w:spacing w:line="256" w:lineRule="exact"/>
        <w:ind w:left="750"/>
        <w:rPr>
          <w:rFonts w:ascii="Consolas"/>
        </w:rPr>
      </w:pPr>
      <w:r>
        <w:rPr>
          <w:rFonts w:ascii="Consolas"/>
        </w:rPr>
        <w:t>";"</w:t>
        <w:tab/>
        <w:t>;</w:t>
      </w:r>
    </w:p>
    <w:p>
      <w:pPr>
        <w:pStyle w:val="BodyText"/>
        <w:spacing w:before="40"/>
        <w:ind w:left="508"/>
        <w:rPr>
          <w:rFonts w:ascii="Consolas"/>
        </w:rPr>
      </w:pPr>
      <w:r>
        <w:rPr>
          <w:rFonts w:ascii="Consolas"/>
        </w:rPr>
        <w:t>constant-list-row=</w:t>
      </w:r>
    </w:p>
    <w:p>
      <w:pPr>
        <w:pStyle w:val="BodyText"/>
        <w:tabs>
          <w:tab w:pos="2080" w:val="left" w:leader="none"/>
          <w:tab w:pos="2442" w:val="left" w:leader="none"/>
          <w:tab w:pos="3408" w:val="left" w:leader="none"/>
          <w:tab w:pos="4616" w:val="left" w:leader="none"/>
          <w:tab w:pos="4978" w:val="left" w:leader="none"/>
        </w:tabs>
        <w:spacing w:before="37"/>
        <w:ind w:left="750"/>
        <w:rPr>
          <w:rFonts w:ascii="Consolas"/>
        </w:rPr>
      </w:pPr>
      <w:r>
        <w:rPr>
          <w:rFonts w:ascii="Consolas"/>
        </w:rPr>
        <w:t>constant,</w:t>
        <w:tab/>
        <w:t>{</w:t>
        <w:tab/>
        <w:t>comma,</w:t>
        <w:tab/>
        <w:t>constant</w:t>
        <w:tab/>
        <w:t>}</w:t>
        <w:tab/>
        <w:t>;</w:t>
      </w:r>
    </w:p>
    <w:p>
      <w:pPr>
        <w:pStyle w:val="BodyText"/>
        <w:spacing w:before="5"/>
        <w:rPr>
          <w:rFonts w:ascii="Consolas"/>
          <w:sz w:val="20"/>
        </w:rPr>
      </w:pPr>
    </w:p>
    <w:p>
      <w:pPr>
        <w:spacing w:before="1"/>
        <w:ind w:left="220" w:right="0" w:firstLine="0"/>
        <w:jc w:val="left"/>
        <w:rPr>
          <w:sz w:val="22"/>
        </w:rPr>
      </w:pPr>
      <w:r>
        <w:rPr>
          <w:sz w:val="22"/>
        </w:rPr>
        <w:t>An </w:t>
      </w:r>
      <w:r>
        <w:rPr>
          <w:rFonts w:ascii="Times New Roman"/>
          <w:i/>
          <w:sz w:val="22"/>
        </w:rPr>
        <w:t>array-constant </w:t>
      </w:r>
      <w:r>
        <w:rPr>
          <w:sz w:val="22"/>
        </w:rPr>
        <w:t>shall not contain</w:t>
      </w:r>
    </w:p>
    <w:p>
      <w:pPr>
        <w:pStyle w:val="BodyText"/>
        <w:spacing w:before="6"/>
        <w:rPr>
          <w:sz w:val="19"/>
        </w:rPr>
      </w:pPr>
    </w:p>
    <w:p>
      <w:pPr>
        <w:pStyle w:val="ListParagraph"/>
        <w:numPr>
          <w:ilvl w:val="4"/>
          <w:numId w:val="64"/>
        </w:numPr>
        <w:tabs>
          <w:tab w:pos="940" w:val="left" w:leader="none"/>
          <w:tab w:pos="941" w:val="left" w:leader="none"/>
        </w:tabs>
        <w:spacing w:line="240" w:lineRule="auto" w:before="0" w:after="0"/>
        <w:ind w:left="940" w:right="0" w:hanging="361"/>
        <w:jc w:val="left"/>
        <w:rPr>
          <w:rFonts w:ascii="Times New Roman" w:hAnsi="Times New Roman"/>
          <w:i/>
          <w:sz w:val="22"/>
        </w:rPr>
      </w:pPr>
      <w:r>
        <w:rPr>
          <w:sz w:val="22"/>
        </w:rPr>
        <w:t>An</w:t>
      </w:r>
      <w:r>
        <w:rPr>
          <w:spacing w:val="-1"/>
          <w:sz w:val="22"/>
        </w:rPr>
        <w:t> </w:t>
      </w:r>
      <w:r>
        <w:rPr>
          <w:rFonts w:ascii="Times New Roman" w:hAnsi="Times New Roman"/>
          <w:i/>
          <w:sz w:val="22"/>
        </w:rPr>
        <w:t>array-constant.</w:t>
      </w:r>
    </w:p>
    <w:p>
      <w:pPr>
        <w:pStyle w:val="ListParagraph"/>
        <w:numPr>
          <w:ilvl w:val="4"/>
          <w:numId w:val="64"/>
        </w:numPr>
        <w:tabs>
          <w:tab w:pos="940" w:val="left" w:leader="none"/>
          <w:tab w:pos="941" w:val="left" w:leader="none"/>
        </w:tabs>
        <w:spacing w:line="240" w:lineRule="auto" w:before="42" w:after="0"/>
        <w:ind w:left="940" w:right="0" w:hanging="361"/>
        <w:jc w:val="left"/>
        <w:rPr>
          <w:sz w:val="22"/>
        </w:rPr>
      </w:pPr>
      <w:r>
        <w:rPr>
          <w:sz w:val="22"/>
        </w:rPr>
        <w:t>Columns or rows of unequal</w:t>
      </w:r>
      <w:r>
        <w:rPr>
          <w:spacing w:val="-9"/>
          <w:sz w:val="22"/>
        </w:rPr>
        <w:t> </w:t>
      </w:r>
      <w:r>
        <w:rPr>
          <w:sz w:val="22"/>
        </w:rPr>
        <w:t>length.</w:t>
      </w:r>
    </w:p>
    <w:p>
      <w:pPr>
        <w:spacing w:line="453" w:lineRule="auto" w:before="242"/>
        <w:ind w:left="220" w:right="1683" w:firstLine="0"/>
        <w:jc w:val="left"/>
        <w:rPr>
          <w:sz w:val="22"/>
        </w:rPr>
      </w:pPr>
      <w:r>
        <w:rPr>
          <w:sz w:val="22"/>
        </w:rPr>
        <w:t>Any </w:t>
      </w:r>
      <w:r>
        <w:rPr>
          <w:rFonts w:ascii="Times New Roman"/>
          <w:i/>
          <w:sz w:val="22"/>
        </w:rPr>
        <w:t>numerical-constant </w:t>
      </w:r>
      <w:r>
        <w:rPr>
          <w:sz w:val="22"/>
        </w:rPr>
        <w:t>in an </w:t>
      </w:r>
      <w:r>
        <w:rPr>
          <w:rFonts w:ascii="Times New Roman"/>
          <w:i/>
          <w:sz w:val="22"/>
        </w:rPr>
        <w:t>array-constant </w:t>
      </w:r>
      <w:r>
        <w:rPr>
          <w:sz w:val="22"/>
        </w:rPr>
        <w:t>can be preceded immediately by a </w:t>
      </w:r>
      <w:r>
        <w:rPr>
          <w:rFonts w:ascii="Times New Roman"/>
          <w:i/>
          <w:sz w:val="22"/>
        </w:rPr>
        <w:t>prefix-operator</w:t>
      </w:r>
      <w:r>
        <w:rPr>
          <w:sz w:val="22"/>
        </w:rPr>
        <w:t>. The </w:t>
      </w:r>
      <w:r>
        <w:rPr>
          <w:rFonts w:ascii="Times New Roman"/>
          <w:i/>
          <w:sz w:val="22"/>
        </w:rPr>
        <w:t>constant</w:t>
      </w:r>
      <w:r>
        <w:rPr>
          <w:sz w:val="22"/>
        </w:rPr>
        <w:t>s in an </w:t>
      </w:r>
      <w:r>
        <w:rPr>
          <w:rFonts w:ascii="Times New Roman"/>
          <w:i/>
          <w:sz w:val="22"/>
        </w:rPr>
        <w:t>array-constant </w:t>
      </w:r>
      <w:r>
        <w:rPr>
          <w:sz w:val="22"/>
        </w:rPr>
        <w:t>can have different types.</w:t>
      </w:r>
    </w:p>
    <w:p>
      <w:pPr>
        <w:pStyle w:val="BodyText"/>
        <w:ind w:left="220"/>
      </w:pPr>
      <w:r>
        <w:rPr/>
        <w:t>[G</w:t>
      </w:r>
      <w:r>
        <w:rPr>
          <w:i/>
        </w:rPr>
        <w:t>uidance </w:t>
      </w:r>
      <w:r>
        <w:rPr/>
        <w:t>An implementation is encouraged to not unnecessarily limit the number of rows and columns in an</w:t>
      </w:r>
    </w:p>
    <w:p>
      <w:pPr>
        <w:spacing w:before="41"/>
        <w:ind w:left="220" w:right="0" w:firstLine="0"/>
        <w:jc w:val="left"/>
        <w:rPr>
          <w:sz w:val="22"/>
        </w:rPr>
      </w:pPr>
      <w:r>
        <w:rPr>
          <w:rFonts w:ascii="Times New Roman"/>
          <w:i/>
          <w:sz w:val="22"/>
        </w:rPr>
        <w:t>array-constant</w:t>
      </w:r>
      <w:r>
        <w:rPr>
          <w:sz w:val="22"/>
        </w:rPr>
        <w:t>. </w:t>
      </w:r>
      <w:r>
        <w:rPr>
          <w:i/>
          <w:sz w:val="22"/>
        </w:rPr>
        <w:t>end guidance</w:t>
      </w:r>
      <w:r>
        <w:rPr>
          <w:sz w:val="22"/>
        </w:rPr>
        <w:t>]</w:t>
      </w:r>
    </w:p>
    <w:p>
      <w:pPr>
        <w:pStyle w:val="BodyText"/>
        <w:spacing w:before="8"/>
        <w:rPr>
          <w:sz w:val="19"/>
        </w:rPr>
      </w:pPr>
    </w:p>
    <w:p>
      <w:pPr>
        <w:pStyle w:val="BodyText"/>
        <w:spacing w:before="1"/>
        <w:ind w:left="220"/>
      </w:pPr>
      <w:r>
        <w:rPr/>
        <w:t>[</w:t>
      </w:r>
      <w:r>
        <w:rPr>
          <w:i/>
        </w:rPr>
        <w:t>Example</w:t>
      </w:r>
      <w:r>
        <w:rPr/>
        <w:t>: </w:t>
      </w:r>
      <w:r>
        <w:rPr>
          <w:rFonts w:ascii="Consolas"/>
        </w:rPr>
        <w:t>{1,3.5,TRUE,"Hello"}</w:t>
      </w:r>
      <w:r>
        <w:rPr>
          <w:rFonts w:ascii="Consolas"/>
          <w:spacing w:val="-77"/>
        </w:rPr>
        <w:t> </w:t>
      </w:r>
      <w:r>
        <w:rPr/>
        <w:t>is a 1x4 array of constants.</w:t>
      </w:r>
    </w:p>
    <w:p>
      <w:pPr>
        <w:pStyle w:val="BodyText"/>
        <w:spacing w:before="8"/>
        <w:rPr>
          <w:sz w:val="19"/>
        </w:rPr>
      </w:pPr>
    </w:p>
    <w:p>
      <w:pPr>
        <w:pStyle w:val="BodyText"/>
        <w:spacing w:before="1"/>
        <w:ind w:left="220"/>
      </w:pPr>
      <w:r>
        <w:rPr/>
        <w:t>To represent the values 10, 20, 30, and 40, as a 1x4 array, use </w:t>
      </w:r>
      <w:r>
        <w:rPr>
          <w:rFonts w:ascii="Consolas"/>
        </w:rPr>
        <w:t>{10,20,30,40}</w:t>
      </w:r>
      <w:r>
        <w:rPr/>
        <w:t>.</w:t>
      </w:r>
    </w:p>
    <w:p>
      <w:pPr>
        <w:pStyle w:val="BodyText"/>
        <w:spacing w:before="5"/>
        <w:rPr>
          <w:sz w:val="19"/>
        </w:rPr>
      </w:pPr>
    </w:p>
    <w:p>
      <w:pPr>
        <w:pStyle w:val="BodyText"/>
        <w:spacing w:line="278" w:lineRule="auto"/>
        <w:ind w:left="220" w:right="823"/>
      </w:pPr>
      <w:r>
        <w:rPr/>
        <w:t>To represent the values 10, 20, 30, and 40 in the first row, and 50, 60, 70, and 80 in the second row, use the following 2x4 array constant: </w:t>
      </w:r>
      <w:r>
        <w:rPr>
          <w:rFonts w:ascii="Consolas"/>
        </w:rPr>
        <w:t>{10,20,30,40;50,60,70,80}</w:t>
      </w:r>
      <w:r>
        <w:rPr/>
        <w:t>. </w:t>
      </w:r>
      <w:r>
        <w:rPr>
          <w:i/>
        </w:rPr>
        <w:t>end example</w:t>
      </w:r>
      <w:r>
        <w:rPr/>
        <w:t>]</w:t>
      </w:r>
    </w:p>
    <w:p>
      <w:pPr>
        <w:pStyle w:val="BodyText"/>
        <w:spacing w:before="3"/>
        <w:rPr>
          <w:sz w:val="16"/>
        </w:rPr>
      </w:pPr>
    </w:p>
    <w:p>
      <w:pPr>
        <w:spacing w:before="0"/>
        <w:ind w:left="220" w:right="0" w:firstLine="0"/>
        <w:jc w:val="left"/>
        <w:rPr>
          <w:sz w:val="22"/>
        </w:rPr>
      </w:pPr>
      <w:r>
        <w:rPr>
          <w:rFonts w:ascii="Times New Roman" w:hAnsi="Times New Roman"/>
          <w:i/>
          <w:sz w:val="22"/>
        </w:rPr>
        <w:t>error-constant </w:t>
      </w:r>
      <w:r>
        <w:rPr>
          <w:sz w:val="22"/>
        </w:rPr>
        <w:t>is described in </w:t>
      </w:r>
      <w:hyperlink w:history="true" w:anchor="_bookmark444">
        <w:r>
          <w:rPr>
            <w:sz w:val="22"/>
          </w:rPr>
          <w:t>§18.17.3.</w:t>
        </w:r>
      </w:hyperlink>
    </w:p>
    <w:p>
      <w:pPr>
        <w:pStyle w:val="BodyText"/>
        <w:spacing w:before="8"/>
        <w:rPr>
          <w:sz w:val="19"/>
        </w:rPr>
      </w:pPr>
    </w:p>
    <w:p>
      <w:pPr>
        <w:pStyle w:val="BodyText"/>
        <w:ind w:left="220"/>
      </w:pPr>
      <w:r>
        <w:rPr/>
        <w:t>Each </w:t>
      </w:r>
      <w:r>
        <w:rPr>
          <w:rFonts w:ascii="Times New Roman" w:hAnsi="Times New Roman"/>
          <w:i/>
        </w:rPr>
        <w:t>constant </w:t>
      </w:r>
      <w:r>
        <w:rPr/>
        <w:t>has a corresponding type (§</w:t>
      </w:r>
      <w:hyperlink w:history="true" w:anchor="_bookmark442">
        <w:r>
          <w:rPr/>
          <w:t>18.17.2.6</w:t>
        </w:r>
      </w:hyperlink>
      <w:r>
        <w:rPr/>
        <w:t>), as follows:</w:t>
      </w:r>
    </w:p>
    <w:p>
      <w:pPr>
        <w:spacing w:after="0"/>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9"/>
        <w:gridCol w:w="1169"/>
      </w:tblGrid>
      <w:tr>
        <w:trPr>
          <w:trHeight w:val="355" w:hRule="atLeast"/>
        </w:trPr>
        <w:tc>
          <w:tcPr>
            <w:tcW w:w="1999" w:type="dxa"/>
            <w:shd w:val="clear" w:color="auto" w:fill="C0C0C0"/>
          </w:tcPr>
          <w:p>
            <w:pPr>
              <w:pStyle w:val="TableParagraph"/>
              <w:ind w:left="326"/>
              <w:rPr>
                <w:b/>
                <w:sz w:val="22"/>
              </w:rPr>
            </w:pPr>
            <w:r>
              <w:rPr>
                <w:b/>
                <w:sz w:val="22"/>
              </w:rPr>
              <w:t>Constant Form</w:t>
            </w:r>
          </w:p>
        </w:tc>
        <w:tc>
          <w:tcPr>
            <w:tcW w:w="1169" w:type="dxa"/>
            <w:shd w:val="clear" w:color="auto" w:fill="C0C0C0"/>
          </w:tcPr>
          <w:p>
            <w:pPr>
              <w:pStyle w:val="TableParagraph"/>
              <w:ind w:left="362"/>
              <w:rPr>
                <w:b/>
                <w:sz w:val="22"/>
              </w:rPr>
            </w:pPr>
            <w:r>
              <w:rPr>
                <w:b/>
                <w:sz w:val="22"/>
              </w:rPr>
              <w:t>Type</w:t>
            </w:r>
          </w:p>
        </w:tc>
      </w:tr>
      <w:tr>
        <w:trPr>
          <w:trHeight w:val="354" w:hRule="atLeast"/>
        </w:trPr>
        <w:tc>
          <w:tcPr>
            <w:tcW w:w="1999" w:type="dxa"/>
          </w:tcPr>
          <w:p>
            <w:pPr>
              <w:pStyle w:val="TableParagraph"/>
              <w:spacing w:before="37"/>
              <w:rPr>
                <w:rFonts w:ascii="Times New Roman"/>
                <w:i/>
                <w:sz w:val="22"/>
              </w:rPr>
            </w:pPr>
            <w:r>
              <w:rPr>
                <w:rFonts w:ascii="Times New Roman"/>
                <w:i/>
                <w:sz w:val="22"/>
              </w:rPr>
              <w:t>array-constant</w:t>
            </w:r>
          </w:p>
        </w:tc>
        <w:tc>
          <w:tcPr>
            <w:tcW w:w="1169" w:type="dxa"/>
          </w:tcPr>
          <w:p>
            <w:pPr>
              <w:pStyle w:val="TableParagraph"/>
              <w:ind w:left="112"/>
              <w:rPr>
                <w:sz w:val="22"/>
              </w:rPr>
            </w:pPr>
            <w:r>
              <w:rPr>
                <w:sz w:val="22"/>
              </w:rPr>
              <w:t>array</w:t>
            </w:r>
          </w:p>
        </w:tc>
      </w:tr>
      <w:tr>
        <w:trPr>
          <w:trHeight w:val="354" w:hRule="atLeast"/>
        </w:trPr>
        <w:tc>
          <w:tcPr>
            <w:tcW w:w="1999" w:type="dxa"/>
          </w:tcPr>
          <w:p>
            <w:pPr>
              <w:pStyle w:val="TableParagraph"/>
              <w:spacing w:before="37"/>
              <w:rPr>
                <w:rFonts w:ascii="Times New Roman"/>
                <w:i/>
                <w:sz w:val="22"/>
              </w:rPr>
            </w:pPr>
            <w:r>
              <w:rPr>
                <w:rFonts w:ascii="Times New Roman"/>
                <w:i/>
                <w:sz w:val="22"/>
              </w:rPr>
              <w:t>error-constant</w:t>
            </w:r>
          </w:p>
        </w:tc>
        <w:tc>
          <w:tcPr>
            <w:tcW w:w="1169" w:type="dxa"/>
          </w:tcPr>
          <w:p>
            <w:pPr>
              <w:pStyle w:val="TableParagraph"/>
              <w:ind w:left="112"/>
              <w:rPr>
                <w:sz w:val="22"/>
              </w:rPr>
            </w:pPr>
            <w:r>
              <w:rPr>
                <w:sz w:val="22"/>
              </w:rPr>
              <w:t>error</w:t>
            </w:r>
          </w:p>
        </w:tc>
      </w:tr>
      <w:tr>
        <w:trPr>
          <w:trHeight w:val="352" w:hRule="atLeast"/>
        </w:trPr>
        <w:tc>
          <w:tcPr>
            <w:tcW w:w="1999" w:type="dxa"/>
          </w:tcPr>
          <w:p>
            <w:pPr>
              <w:pStyle w:val="TableParagraph"/>
              <w:spacing w:before="37"/>
              <w:rPr>
                <w:rFonts w:ascii="Times New Roman"/>
                <w:i/>
                <w:sz w:val="22"/>
              </w:rPr>
            </w:pPr>
            <w:r>
              <w:rPr>
                <w:rFonts w:ascii="Times New Roman"/>
                <w:i/>
                <w:sz w:val="22"/>
              </w:rPr>
              <w:t>logical-constant</w:t>
            </w:r>
          </w:p>
        </w:tc>
        <w:tc>
          <w:tcPr>
            <w:tcW w:w="1169" w:type="dxa"/>
          </w:tcPr>
          <w:p>
            <w:pPr>
              <w:pStyle w:val="TableParagraph"/>
              <w:ind w:left="112"/>
              <w:rPr>
                <w:sz w:val="22"/>
              </w:rPr>
            </w:pPr>
            <w:r>
              <w:rPr>
                <w:sz w:val="22"/>
              </w:rPr>
              <w:t>logical</w:t>
            </w:r>
          </w:p>
        </w:tc>
      </w:tr>
      <w:tr>
        <w:trPr>
          <w:trHeight w:val="354" w:hRule="atLeast"/>
        </w:trPr>
        <w:tc>
          <w:tcPr>
            <w:tcW w:w="1999" w:type="dxa"/>
          </w:tcPr>
          <w:p>
            <w:pPr>
              <w:pStyle w:val="TableParagraph"/>
              <w:spacing w:before="39"/>
              <w:rPr>
                <w:rFonts w:ascii="Times New Roman"/>
                <w:i/>
                <w:sz w:val="22"/>
              </w:rPr>
            </w:pPr>
            <w:r>
              <w:rPr>
                <w:rFonts w:ascii="Times New Roman"/>
                <w:i/>
                <w:sz w:val="22"/>
              </w:rPr>
              <w:t>numerical-constant</w:t>
            </w:r>
          </w:p>
        </w:tc>
        <w:tc>
          <w:tcPr>
            <w:tcW w:w="1169" w:type="dxa"/>
          </w:tcPr>
          <w:p>
            <w:pPr>
              <w:pStyle w:val="TableParagraph"/>
              <w:spacing w:before="42"/>
              <w:ind w:left="112"/>
              <w:rPr>
                <w:sz w:val="22"/>
              </w:rPr>
            </w:pPr>
            <w:r>
              <w:rPr>
                <w:sz w:val="22"/>
              </w:rPr>
              <w:t>number</w:t>
            </w:r>
          </w:p>
        </w:tc>
      </w:tr>
      <w:tr>
        <w:trPr>
          <w:trHeight w:val="354" w:hRule="atLeast"/>
        </w:trPr>
        <w:tc>
          <w:tcPr>
            <w:tcW w:w="1999" w:type="dxa"/>
          </w:tcPr>
          <w:p>
            <w:pPr>
              <w:pStyle w:val="TableParagraph"/>
              <w:spacing w:before="37"/>
              <w:rPr>
                <w:rFonts w:ascii="Times New Roman"/>
                <w:i/>
                <w:sz w:val="22"/>
              </w:rPr>
            </w:pPr>
            <w:r>
              <w:rPr>
                <w:rFonts w:ascii="Times New Roman"/>
                <w:i/>
                <w:sz w:val="22"/>
              </w:rPr>
              <w:t>string-constant</w:t>
            </w:r>
          </w:p>
        </w:tc>
        <w:tc>
          <w:tcPr>
            <w:tcW w:w="1169" w:type="dxa"/>
          </w:tcPr>
          <w:p>
            <w:pPr>
              <w:pStyle w:val="TableParagraph"/>
              <w:ind w:left="112"/>
              <w:rPr>
                <w:sz w:val="22"/>
              </w:rPr>
            </w:pPr>
            <w:r>
              <w:rPr>
                <w:sz w:val="22"/>
              </w:rPr>
              <w:t>text</w:t>
            </w:r>
          </w:p>
        </w:tc>
      </w:tr>
    </w:tbl>
    <w:p>
      <w:pPr>
        <w:pStyle w:val="BodyText"/>
        <w:spacing w:line="268" w:lineRule="exact"/>
        <w:ind w:left="220"/>
      </w:pPr>
      <w:r>
        <w:rPr/>
        <w:t>In the context of cell formulas and values in SpreadsheetML, the following definition of precision shall apply:</w:t>
      </w:r>
    </w:p>
    <w:p>
      <w:pPr>
        <w:pStyle w:val="BodyText"/>
        <w:spacing w:before="5"/>
        <w:rPr>
          <w:sz w:val="19"/>
        </w:rPr>
      </w:pPr>
    </w:p>
    <w:p>
      <w:pPr>
        <w:pStyle w:val="BodyText"/>
        <w:spacing w:line="278" w:lineRule="auto" w:before="1"/>
        <w:ind w:left="220" w:right="1421"/>
      </w:pPr>
      <w:r>
        <w:rPr/>
        <w:t>By default, default representation of precision shall be as defined by the XML schema </w:t>
      </w:r>
      <w:r>
        <w:rPr>
          <w:rFonts w:ascii="Cambria"/>
        </w:rPr>
        <w:t>double </w:t>
      </w:r>
      <w:r>
        <w:rPr/>
        <w:t>type:</w:t>
      </w:r>
      <w:hyperlink r:id="rId197">
        <w:r>
          <w:rPr/>
          <w:t> http://www.w3.org/TR/xmlschema-2/#double. </w:t>
        </w:r>
      </w:hyperlink>
      <w:r>
        <w:rPr/>
        <w:t>The default is therefore 53-bits of mantissa precision.</w:t>
      </w:r>
    </w:p>
    <w:p>
      <w:pPr>
        <w:pStyle w:val="BodyText"/>
        <w:spacing w:line="278" w:lineRule="auto" w:before="196"/>
        <w:ind w:left="220" w:right="501"/>
      </w:pPr>
      <w:r>
        <w:rPr/>
        <w:t>An application that uses XML schema </w:t>
      </w:r>
      <w:r>
        <w:rPr>
          <w:rFonts w:ascii="Cambria"/>
        </w:rPr>
        <w:t>double </w:t>
      </w:r>
      <w:r>
        <w:rPr/>
        <w:t>can optionally state the precision in the Additional Characteristics part by writing out the number of bits in the mantissa and exponent.</w:t>
      </w:r>
    </w:p>
    <w:p>
      <w:pPr>
        <w:pStyle w:val="BodyText"/>
        <w:spacing w:before="197"/>
        <w:ind w:left="220"/>
      </w:pPr>
      <w:r>
        <w:rPr/>
        <w:t>A compliant consumer shall parse numbers of arbitrary precision without error.</w:t>
      </w:r>
    </w:p>
    <w:p>
      <w:pPr>
        <w:pStyle w:val="BodyText"/>
        <w:spacing w:before="9"/>
        <w:rPr>
          <w:sz w:val="19"/>
        </w:rPr>
      </w:pPr>
    </w:p>
    <w:p>
      <w:pPr>
        <w:pStyle w:val="Heading3"/>
        <w:numPr>
          <w:ilvl w:val="3"/>
          <w:numId w:val="64"/>
        </w:numPr>
        <w:tabs>
          <w:tab w:pos="1732" w:val="left" w:leader="none"/>
          <w:tab w:pos="1733" w:val="left" w:leader="none"/>
        </w:tabs>
        <w:spacing w:line="240" w:lineRule="auto" w:before="0" w:after="0"/>
        <w:ind w:left="1732" w:right="0" w:hanging="1513"/>
        <w:jc w:val="left"/>
      </w:pPr>
      <w:bookmarkStart w:name="18.17.2.2 Operators" w:id="1313"/>
      <w:bookmarkEnd w:id="1313"/>
      <w:r>
        <w:rPr/>
      </w:r>
      <w:bookmarkStart w:name="_bookmark436" w:id="1314"/>
      <w:bookmarkEnd w:id="1314"/>
      <w:r>
        <w:rPr/>
      </w:r>
      <w:bookmarkStart w:name="_bookmark436" w:id="1315"/>
      <w:bookmarkEnd w:id="1315"/>
      <w:r>
        <w:rPr>
          <w:color w:val="4F81BC"/>
        </w:rPr>
        <w:t>Op</w:t>
      </w:r>
      <w:r>
        <w:rPr>
          <w:color w:val="4F81BC"/>
        </w:rPr>
        <w:t>erators</w:t>
      </w:r>
    </w:p>
    <w:p>
      <w:pPr>
        <w:pStyle w:val="BodyText"/>
        <w:spacing w:line="278" w:lineRule="auto" w:before="119"/>
        <w:ind w:left="220" w:right="813"/>
      </w:pPr>
      <w:r>
        <w:rPr/>
        <w:t>An </w:t>
      </w:r>
      <w:r>
        <w:rPr>
          <w:i/>
        </w:rPr>
        <w:t>operator </w:t>
      </w:r>
      <w:r>
        <w:rPr/>
        <w:t>is a symbol that specifies the type of operation to perform on one or more operands. There are arithmetic, comparison, text, and reference operators.</w:t>
      </w:r>
    </w:p>
    <w:p>
      <w:pPr>
        <w:pStyle w:val="BodyText"/>
        <w:spacing w:before="2"/>
        <w:rPr>
          <w:sz w:val="16"/>
        </w:rPr>
      </w:pPr>
    </w:p>
    <w:p>
      <w:pPr>
        <w:pStyle w:val="BodyText"/>
        <w:ind w:left="508"/>
        <w:rPr>
          <w:rFonts w:ascii="Consolas"/>
        </w:rPr>
      </w:pPr>
      <w:r>
        <w:rPr>
          <w:rFonts w:ascii="Consolas"/>
        </w:rPr>
        <w:t>operator=</w:t>
      </w:r>
    </w:p>
    <w:p>
      <w:pPr>
        <w:pStyle w:val="BodyText"/>
        <w:tabs>
          <w:tab w:pos="1354" w:val="left" w:leader="none"/>
          <w:tab w:pos="1716" w:val="left" w:leader="none"/>
          <w:tab w:pos="2562" w:val="left" w:leader="none"/>
          <w:tab w:pos="2924" w:val="left" w:leader="none"/>
          <w:tab w:pos="3770" w:val="left" w:leader="none"/>
          <w:tab w:pos="4132" w:val="left" w:leader="none"/>
          <w:tab w:pos="4736" w:val="left" w:leader="none"/>
          <w:tab w:pos="5100" w:val="left" w:leader="none"/>
          <w:tab w:pos="5703" w:val="left" w:leader="none"/>
          <w:tab w:pos="6065" w:val="left" w:leader="none"/>
          <w:tab w:pos="6669" w:val="left" w:leader="none"/>
          <w:tab w:pos="7031" w:val="left" w:leader="none"/>
          <w:tab w:pos="7635" w:val="left" w:leader="none"/>
          <w:tab w:pos="7997" w:val="left" w:leader="none"/>
        </w:tabs>
        <w:spacing w:before="38"/>
        <w:ind w:left="750"/>
        <w:rPr>
          <w:rFonts w:ascii="Consolas"/>
        </w:rPr>
      </w:pPr>
      <w:r>
        <w:rPr>
          <w:rFonts w:ascii="Consolas"/>
        </w:rPr>
        <w:t>":"</w:t>
        <w:tab/>
        <w:t>|</w:t>
        <w:tab/>
        <w:t>comma</w:t>
        <w:tab/>
        <w:t>|</w:t>
        <w:tab/>
        <w:t>space</w:t>
        <w:tab/>
        <w:t>|</w:t>
        <w:tab/>
        <w:t>"^"</w:t>
        <w:tab/>
        <w:t>|</w:t>
        <w:tab/>
        <w:t>"*"</w:t>
        <w:tab/>
        <w:t>|</w:t>
        <w:tab/>
        <w:t>"/"</w:t>
        <w:tab/>
        <w:t>|</w:t>
        <w:tab/>
        <w:t>"+"</w:t>
        <w:tab/>
        <w:t>|</w:t>
        <w:tab/>
      </w:r>
      <w:r>
        <w:rPr>
          <w:rFonts w:ascii="Consolas"/>
          <w:spacing w:val="3"/>
        </w:rPr>
        <w:t>"-"</w:t>
      </w:r>
    </w:p>
    <w:p>
      <w:pPr>
        <w:pStyle w:val="BodyText"/>
        <w:tabs>
          <w:tab w:pos="1112" w:val="left" w:leader="none"/>
          <w:tab w:pos="1716" w:val="left" w:leader="none"/>
          <w:tab w:pos="2080" w:val="left" w:leader="none"/>
          <w:tab w:pos="2684" w:val="left" w:leader="none"/>
          <w:tab w:pos="3046" w:val="left" w:leader="none"/>
          <w:tab w:pos="3770" w:val="left" w:leader="none"/>
          <w:tab w:pos="4132" w:val="left" w:leader="none"/>
          <w:tab w:pos="4736" w:val="left" w:leader="none"/>
          <w:tab w:pos="5100" w:val="left" w:leader="none"/>
          <w:tab w:pos="5823" w:val="left" w:leader="none"/>
          <w:tab w:pos="6185" w:val="left" w:leader="none"/>
          <w:tab w:pos="6789" w:val="left" w:leader="none"/>
          <w:tab w:pos="7151" w:val="left" w:leader="none"/>
          <w:tab w:pos="7877" w:val="left" w:leader="none"/>
          <w:tab w:pos="8239" w:val="left" w:leader="none"/>
          <w:tab w:pos="8843" w:val="left" w:leader="none"/>
        </w:tabs>
        <w:spacing w:before="40"/>
        <w:ind w:left="750"/>
        <w:rPr>
          <w:rFonts w:ascii="Consolas" w:hAnsi="Consolas"/>
        </w:rPr>
      </w:pPr>
      <w:r>
        <w:rPr>
          <w:rFonts w:ascii="Consolas" w:hAnsi="Consolas"/>
        </w:rPr>
        <w:t>|</w:t>
        <w:tab/>
        <w:t>"&amp;"</w:t>
        <w:tab/>
        <w:t>|</w:t>
        <w:tab/>
        <w:t>"="</w:t>
        <w:tab/>
        <w:t>|</w:t>
        <w:tab/>
        <w:t>"&lt;&gt;"</w:t>
        <w:tab/>
        <w:t>|</w:t>
        <w:tab/>
        <w:t>"&lt;"</w:t>
        <w:tab/>
        <w:t>|</w:t>
        <w:tab/>
        <w:t>"&lt;="</w:t>
        <w:tab/>
        <w:t>|</w:t>
        <w:tab/>
        <w:t>"&gt;"</w:t>
        <w:tab/>
        <w:t>|</w:t>
        <w:tab/>
        <w:t>"&gt;="</w:t>
        <w:tab/>
        <w:t>|</w:t>
        <w:tab/>
        <w:t>“%”</w:t>
        <w:tab/>
        <w:t>;</w:t>
      </w:r>
    </w:p>
    <w:p>
      <w:pPr>
        <w:pStyle w:val="BodyText"/>
        <w:spacing w:before="38"/>
        <w:ind w:left="508"/>
        <w:rPr>
          <w:rFonts w:ascii="Consolas"/>
        </w:rPr>
      </w:pPr>
      <w:r>
        <w:rPr>
          <w:rFonts w:ascii="Consolas"/>
        </w:rPr>
        <w:t>infix-operator=</w:t>
      </w:r>
    </w:p>
    <w:p>
      <w:pPr>
        <w:pStyle w:val="BodyText"/>
        <w:tabs>
          <w:tab w:pos="1354" w:val="left" w:leader="none"/>
          <w:tab w:pos="1716" w:val="left" w:leader="none"/>
          <w:tab w:pos="2562" w:val="left" w:leader="none"/>
          <w:tab w:pos="2924" w:val="left" w:leader="none"/>
          <w:tab w:pos="3770" w:val="left" w:leader="none"/>
          <w:tab w:pos="4132" w:val="left" w:leader="none"/>
          <w:tab w:pos="4736" w:val="left" w:leader="none"/>
          <w:tab w:pos="5100" w:val="left" w:leader="none"/>
          <w:tab w:pos="5703" w:val="left" w:leader="none"/>
          <w:tab w:pos="6065" w:val="left" w:leader="none"/>
          <w:tab w:pos="6669" w:val="left" w:leader="none"/>
          <w:tab w:pos="7031" w:val="left" w:leader="none"/>
          <w:tab w:pos="7635" w:val="left" w:leader="none"/>
          <w:tab w:pos="7997" w:val="left" w:leader="none"/>
          <w:tab w:pos="8613" w:val="left" w:leader="none"/>
          <w:tab w:pos="8975" w:val="left" w:leader="none"/>
        </w:tabs>
        <w:spacing w:before="38"/>
        <w:ind w:left="750"/>
        <w:rPr>
          <w:rFonts w:ascii="Consolas"/>
        </w:rPr>
      </w:pPr>
      <w:r>
        <w:rPr>
          <w:rFonts w:ascii="Consolas"/>
        </w:rPr>
        <w:t>":"</w:t>
        <w:tab/>
        <w:t>|</w:t>
        <w:tab/>
        <w:t>comma</w:t>
        <w:tab/>
        <w:t>|</w:t>
        <w:tab/>
        <w:t>space</w:t>
        <w:tab/>
        <w:t>|</w:t>
        <w:tab/>
        <w:t>"^"</w:t>
        <w:tab/>
        <w:t>|</w:t>
        <w:tab/>
        <w:t>"*"</w:t>
        <w:tab/>
        <w:t>|</w:t>
        <w:tab/>
        <w:t>"/"</w:t>
        <w:tab/>
        <w:t>|</w:t>
        <w:tab/>
        <w:t>"+"</w:t>
        <w:tab/>
        <w:t>|</w:t>
        <w:tab/>
      </w:r>
      <w:r>
        <w:rPr>
          <w:rFonts w:ascii="Consolas"/>
          <w:spacing w:val="3"/>
        </w:rPr>
        <w:t>"-"</w:t>
        <w:tab/>
      </w:r>
      <w:r>
        <w:rPr>
          <w:rFonts w:ascii="Consolas"/>
        </w:rPr>
        <w:t>|</w:t>
        <w:tab/>
        <w:t>"&amp;"</w:t>
      </w:r>
    </w:p>
    <w:p>
      <w:pPr>
        <w:pStyle w:val="BodyText"/>
        <w:tabs>
          <w:tab w:pos="1112" w:val="left" w:leader="none"/>
          <w:tab w:pos="1716" w:val="left" w:leader="none"/>
          <w:tab w:pos="2080" w:val="left" w:leader="none"/>
          <w:tab w:pos="2804" w:val="left" w:leader="none"/>
          <w:tab w:pos="3166" w:val="left" w:leader="none"/>
          <w:tab w:pos="3770" w:val="left" w:leader="none"/>
          <w:tab w:pos="4132" w:val="left" w:leader="none"/>
          <w:tab w:pos="4858" w:val="left" w:leader="none"/>
          <w:tab w:pos="5220" w:val="left" w:leader="none"/>
          <w:tab w:pos="5823" w:val="left" w:leader="none"/>
          <w:tab w:pos="6185" w:val="left" w:leader="none"/>
          <w:tab w:pos="6911" w:val="left" w:leader="none"/>
        </w:tabs>
        <w:spacing w:before="40"/>
        <w:ind w:left="750"/>
        <w:rPr>
          <w:rFonts w:ascii="Consolas"/>
        </w:rPr>
      </w:pPr>
      <w:r>
        <w:rPr>
          <w:rFonts w:ascii="Consolas"/>
        </w:rPr>
        <w:t>|</w:t>
        <w:tab/>
        <w:t>"="</w:t>
        <w:tab/>
        <w:t>|</w:t>
        <w:tab/>
        <w:t>"&lt;&gt;"</w:t>
        <w:tab/>
        <w:t>|</w:t>
        <w:tab/>
        <w:t>"&lt;"</w:t>
        <w:tab/>
        <w:t>|</w:t>
        <w:tab/>
        <w:t>"&lt;="</w:t>
        <w:tab/>
        <w:t>|</w:t>
        <w:tab/>
        <w:t>"&gt;"</w:t>
        <w:tab/>
        <w:t>|</w:t>
        <w:tab/>
        <w:t>"&gt;="</w:t>
        <w:tab/>
        <w:t>;</w:t>
      </w:r>
    </w:p>
    <w:p>
      <w:pPr>
        <w:pStyle w:val="BodyText"/>
        <w:tabs>
          <w:tab w:pos="1354" w:val="left" w:leader="none"/>
        </w:tabs>
        <w:spacing w:line="278" w:lineRule="auto" w:before="37"/>
        <w:ind w:left="750" w:right="8112" w:hanging="243"/>
        <w:rPr>
          <w:rFonts w:ascii="Consolas"/>
        </w:rPr>
      </w:pPr>
      <w:r>
        <w:rPr>
          <w:rFonts w:ascii="Consolas"/>
          <w:spacing w:val="-1"/>
        </w:rPr>
        <w:t>postfix-operator= </w:t>
      </w:r>
      <w:r>
        <w:rPr>
          <w:rFonts w:ascii="Consolas"/>
        </w:rPr>
        <w:t>"%"</w:t>
        <w:tab/>
        <w:t>;</w:t>
      </w:r>
    </w:p>
    <w:p>
      <w:pPr>
        <w:pStyle w:val="BodyText"/>
        <w:tabs>
          <w:tab w:pos="1355" w:val="left" w:leader="none"/>
        </w:tabs>
        <w:spacing w:line="278" w:lineRule="auto"/>
        <w:ind w:left="750" w:right="8235" w:hanging="243"/>
        <w:rPr>
          <w:rFonts w:ascii="Consolas"/>
        </w:rPr>
      </w:pPr>
      <w:r>
        <w:rPr>
          <w:rFonts w:ascii="Consolas"/>
          <w:spacing w:val="-1"/>
        </w:rPr>
        <w:t>prefix-operator= </w:t>
      </w:r>
      <w:r>
        <w:rPr>
          <w:rFonts w:ascii="Consolas"/>
        </w:rPr>
        <w:t>"-"</w:t>
        <w:tab/>
        <w:t>;</w:t>
      </w:r>
    </w:p>
    <w:p>
      <w:pPr>
        <w:spacing w:before="190"/>
        <w:ind w:left="220" w:right="0" w:firstLine="0"/>
        <w:jc w:val="left"/>
        <w:rPr>
          <w:sz w:val="22"/>
        </w:rPr>
      </w:pPr>
      <w:r>
        <w:rPr>
          <w:sz w:val="22"/>
        </w:rPr>
        <w:t>The </w:t>
      </w:r>
      <w:r>
        <w:rPr>
          <w:rFonts w:ascii="Times New Roman"/>
          <w:i/>
          <w:sz w:val="22"/>
        </w:rPr>
        <w:t>operator</w:t>
      </w:r>
      <w:r>
        <w:rPr>
          <w:sz w:val="22"/>
        </w:rPr>
        <w:t>s permitted in </w:t>
      </w:r>
      <w:r>
        <w:rPr>
          <w:rFonts w:ascii="Times New Roman"/>
          <w:i/>
          <w:sz w:val="22"/>
        </w:rPr>
        <w:t>expression </w:t>
      </w:r>
      <w:r>
        <w:rPr>
          <w:sz w:val="22"/>
        </w:rPr>
        <w:t>are:</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1169"/>
        <w:gridCol w:w="4320"/>
        <w:gridCol w:w="1711"/>
      </w:tblGrid>
      <w:tr>
        <w:trPr>
          <w:trHeight w:val="354" w:hRule="atLeast"/>
        </w:trPr>
        <w:tc>
          <w:tcPr>
            <w:tcW w:w="8839" w:type="dxa"/>
            <w:gridSpan w:val="4"/>
            <w:shd w:val="clear" w:color="auto" w:fill="C0C0C0"/>
          </w:tcPr>
          <w:p>
            <w:pPr>
              <w:pStyle w:val="TableParagraph"/>
              <w:ind w:left="3938" w:right="3926"/>
              <w:jc w:val="center"/>
              <w:rPr>
                <w:b/>
                <w:sz w:val="22"/>
              </w:rPr>
            </w:pPr>
            <w:r>
              <w:rPr>
                <w:b/>
                <w:sz w:val="22"/>
              </w:rPr>
              <w:t>Operators</w:t>
            </w:r>
          </w:p>
        </w:tc>
      </w:tr>
      <w:tr>
        <w:trPr>
          <w:trHeight w:val="354" w:hRule="atLeast"/>
        </w:trPr>
        <w:tc>
          <w:tcPr>
            <w:tcW w:w="1639" w:type="dxa"/>
          </w:tcPr>
          <w:p>
            <w:pPr>
              <w:pStyle w:val="TableParagraph"/>
              <w:rPr>
                <w:sz w:val="22"/>
              </w:rPr>
            </w:pPr>
            <w:r>
              <w:rPr>
                <w:sz w:val="22"/>
              </w:rPr>
              <w:t>Family</w:t>
            </w:r>
          </w:p>
        </w:tc>
        <w:tc>
          <w:tcPr>
            <w:tcW w:w="1169" w:type="dxa"/>
          </w:tcPr>
          <w:p>
            <w:pPr>
              <w:pStyle w:val="TableParagraph"/>
              <w:ind w:left="112"/>
              <w:rPr>
                <w:sz w:val="22"/>
              </w:rPr>
            </w:pPr>
            <w:r>
              <w:rPr>
                <w:sz w:val="22"/>
              </w:rPr>
              <w:t>Operator</w:t>
            </w:r>
          </w:p>
        </w:tc>
        <w:tc>
          <w:tcPr>
            <w:tcW w:w="4320" w:type="dxa"/>
          </w:tcPr>
          <w:p>
            <w:pPr>
              <w:pStyle w:val="TableParagraph"/>
              <w:rPr>
                <w:sz w:val="22"/>
              </w:rPr>
            </w:pPr>
            <w:r>
              <w:rPr>
                <w:sz w:val="22"/>
              </w:rPr>
              <w:t>Description</w:t>
            </w:r>
          </w:p>
        </w:tc>
        <w:tc>
          <w:tcPr>
            <w:tcW w:w="1711" w:type="dxa"/>
          </w:tcPr>
          <w:p>
            <w:pPr>
              <w:pStyle w:val="TableParagraph"/>
              <w:rPr>
                <w:sz w:val="22"/>
              </w:rPr>
            </w:pPr>
            <w:r>
              <w:rPr>
                <w:sz w:val="22"/>
              </w:rPr>
              <w:t>Precedence</w:t>
            </w:r>
          </w:p>
        </w:tc>
      </w:tr>
      <w:tr>
        <w:trPr>
          <w:trHeight w:val="1699" w:hRule="atLeast"/>
        </w:trPr>
        <w:tc>
          <w:tcPr>
            <w:tcW w:w="1639" w:type="dxa"/>
            <w:vMerge w:val="restart"/>
          </w:tcPr>
          <w:p>
            <w:pPr>
              <w:pStyle w:val="TableParagraph"/>
              <w:ind w:right="584"/>
              <w:rPr>
                <w:sz w:val="22"/>
              </w:rPr>
            </w:pPr>
            <w:r>
              <w:rPr>
                <w:sz w:val="22"/>
              </w:rPr>
              <w:t>Reference operators</w:t>
            </w:r>
          </w:p>
        </w:tc>
        <w:tc>
          <w:tcPr>
            <w:tcW w:w="1169" w:type="dxa"/>
          </w:tcPr>
          <w:p>
            <w:pPr>
              <w:pStyle w:val="TableParagraph"/>
              <w:spacing w:before="43"/>
              <w:ind w:left="112"/>
              <w:rPr>
                <w:rFonts w:ascii="Consolas"/>
                <w:sz w:val="22"/>
              </w:rPr>
            </w:pPr>
            <w:r>
              <w:rPr>
                <w:rFonts w:ascii="Consolas"/>
                <w:w w:val="100"/>
                <w:sz w:val="22"/>
              </w:rPr>
              <w:t>:</w:t>
            </w:r>
          </w:p>
        </w:tc>
        <w:tc>
          <w:tcPr>
            <w:tcW w:w="4320" w:type="dxa"/>
          </w:tcPr>
          <w:p>
            <w:pPr>
              <w:pStyle w:val="TableParagraph"/>
              <w:ind w:right="179"/>
              <w:rPr>
                <w:sz w:val="22"/>
              </w:rPr>
            </w:pPr>
            <w:r>
              <w:rPr>
                <w:sz w:val="22"/>
              </w:rPr>
              <w:t>Binary range operator, which takes two cell reference (</w:t>
            </w:r>
            <w:hyperlink w:history="true" w:anchor="_bookmark437">
              <w:r>
                <w:rPr>
                  <w:sz w:val="22"/>
                </w:rPr>
                <w:t>§18.17.2.3</w:t>
              </w:r>
            </w:hyperlink>
            <w:r>
              <w:rPr>
                <w:sz w:val="22"/>
              </w:rPr>
              <w:t>) operands, and results in one reference to the cells inclusive of, and between, those references. [</w:t>
            </w:r>
            <w:r>
              <w:rPr>
                <w:i/>
                <w:sz w:val="22"/>
              </w:rPr>
              <w:t>Example</w:t>
            </w:r>
            <w:r>
              <w:rPr>
                <w:sz w:val="22"/>
              </w:rPr>
              <w:t>: </w:t>
            </w:r>
            <w:r>
              <w:rPr>
                <w:rFonts w:ascii="Consolas" w:hAnsi="Consolas"/>
                <w:sz w:val="22"/>
              </w:rPr>
              <w:t>SUM(B5:C15)</w:t>
            </w:r>
            <w:r>
              <w:rPr>
                <w:sz w:val="22"/>
              </w:rPr>
              <w:t>, which references 11 cells. </w:t>
            </w:r>
            <w:r>
              <w:rPr>
                <w:i/>
                <w:sz w:val="22"/>
              </w:rPr>
              <w:t>end example</w:t>
            </w:r>
            <w:r>
              <w:rPr>
                <w:sz w:val="22"/>
              </w:rPr>
              <w:t>]</w:t>
            </w:r>
          </w:p>
        </w:tc>
        <w:tc>
          <w:tcPr>
            <w:tcW w:w="1711" w:type="dxa"/>
            <w:vMerge w:val="restart"/>
          </w:tcPr>
          <w:p>
            <w:pPr>
              <w:pStyle w:val="TableParagraph"/>
              <w:rPr>
                <w:sz w:val="22"/>
              </w:rPr>
            </w:pPr>
            <w:r>
              <w:rPr>
                <w:sz w:val="22"/>
              </w:rPr>
              <w:t>highest</w:t>
            </w:r>
          </w:p>
        </w:tc>
      </w:tr>
      <w:tr>
        <w:trPr>
          <w:trHeight w:val="623"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ind w:right="200"/>
              <w:rPr>
                <w:sz w:val="22"/>
              </w:rPr>
            </w:pPr>
            <w:r>
              <w:rPr>
                <w:sz w:val="22"/>
              </w:rPr>
              <w:t>Binary union operator, which takes two cell reference (</w:t>
            </w:r>
            <w:hyperlink w:history="true" w:anchor="_bookmark437">
              <w:r>
                <w:rPr>
                  <w:sz w:val="22"/>
                </w:rPr>
                <w:t>§18.17.2.3</w:t>
              </w:r>
            </w:hyperlink>
            <w:r>
              <w:rPr>
                <w:sz w:val="22"/>
              </w:rPr>
              <w:t>) operands, and results</w:t>
            </w:r>
          </w:p>
        </w:tc>
        <w:tc>
          <w:tcPr>
            <w:tcW w:w="1711"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1169"/>
        <w:gridCol w:w="4320"/>
        <w:gridCol w:w="1711"/>
      </w:tblGrid>
      <w:tr>
        <w:trPr>
          <w:trHeight w:val="355" w:hRule="atLeast"/>
        </w:trPr>
        <w:tc>
          <w:tcPr>
            <w:tcW w:w="8839" w:type="dxa"/>
            <w:gridSpan w:val="4"/>
            <w:shd w:val="clear" w:color="auto" w:fill="C0C0C0"/>
          </w:tcPr>
          <w:p>
            <w:pPr>
              <w:pStyle w:val="TableParagraph"/>
              <w:ind w:left="3938" w:right="3926"/>
              <w:jc w:val="center"/>
              <w:rPr>
                <w:b/>
                <w:sz w:val="22"/>
              </w:rPr>
            </w:pPr>
            <w:r>
              <w:rPr>
                <w:b/>
                <w:sz w:val="22"/>
              </w:rPr>
              <w:t>Operators</w:t>
            </w:r>
          </w:p>
        </w:tc>
      </w:tr>
      <w:tr>
        <w:trPr>
          <w:trHeight w:val="2234" w:hRule="atLeast"/>
        </w:trPr>
        <w:tc>
          <w:tcPr>
            <w:tcW w:w="1639" w:type="dxa"/>
            <w:vMerge w:val="restart"/>
          </w:tcPr>
          <w:p>
            <w:pPr>
              <w:pStyle w:val="TableParagraph"/>
              <w:spacing w:before="0"/>
              <w:ind w:left="0"/>
              <w:rPr>
                <w:rFonts w:ascii="Times New Roman"/>
                <w:sz w:val="22"/>
              </w:rPr>
            </w:pPr>
          </w:p>
        </w:tc>
        <w:tc>
          <w:tcPr>
            <w:tcW w:w="1169" w:type="dxa"/>
          </w:tcPr>
          <w:p>
            <w:pPr>
              <w:pStyle w:val="TableParagraph"/>
              <w:spacing w:before="0"/>
              <w:ind w:left="0"/>
              <w:rPr>
                <w:rFonts w:ascii="Times New Roman"/>
                <w:sz w:val="22"/>
              </w:rPr>
            </w:pPr>
          </w:p>
        </w:tc>
        <w:tc>
          <w:tcPr>
            <w:tcW w:w="4320" w:type="dxa"/>
          </w:tcPr>
          <w:p>
            <w:pPr>
              <w:pStyle w:val="TableParagraph"/>
              <w:ind w:right="366"/>
              <w:rPr>
                <w:sz w:val="22"/>
              </w:rPr>
            </w:pPr>
            <w:r>
              <w:rPr>
                <w:sz w:val="22"/>
              </w:rPr>
              <w:t>in one reference to all those, possibly non- contiguous, cells. [</w:t>
            </w:r>
            <w:r>
              <w:rPr>
                <w:i/>
                <w:sz w:val="22"/>
              </w:rPr>
              <w:t>Example</w:t>
            </w:r>
            <w:r>
              <w:rPr>
                <w:sz w:val="22"/>
              </w:rPr>
              <w:t>: </w:t>
            </w:r>
            <w:r>
              <w:rPr>
                <w:rFonts w:ascii="Consolas"/>
                <w:sz w:val="22"/>
              </w:rPr>
              <w:t>SUM((B5:B15,D5:D15)))</w:t>
            </w:r>
            <w:r>
              <w:rPr>
                <w:sz w:val="22"/>
              </w:rPr>
              <w:t>, which</w:t>
            </w:r>
          </w:p>
          <w:p>
            <w:pPr>
              <w:pStyle w:val="TableParagraph"/>
              <w:spacing w:before="0"/>
              <w:ind w:right="112"/>
              <w:rPr>
                <w:sz w:val="22"/>
              </w:rPr>
            </w:pPr>
            <w:r>
              <w:rPr>
                <w:sz w:val="22"/>
              </w:rPr>
              <w:t>references 22 cells, 11 from column </w:t>
            </w:r>
            <w:r>
              <w:rPr>
                <w:rFonts w:ascii="Consolas"/>
                <w:sz w:val="22"/>
              </w:rPr>
              <w:t>B</w:t>
            </w:r>
            <w:r>
              <w:rPr>
                <w:sz w:val="22"/>
              </w:rPr>
              <w:t>, and 11 from column </w:t>
            </w:r>
            <w:r>
              <w:rPr>
                <w:rFonts w:ascii="Consolas"/>
                <w:sz w:val="22"/>
              </w:rPr>
              <w:t>D</w:t>
            </w:r>
            <w:r>
              <w:rPr>
                <w:sz w:val="22"/>
              </w:rPr>
              <w:t>. The grouping parentheses are necessary to indicate that the comma is an operator rather than a punctuator separating two arguments. </w:t>
            </w:r>
            <w:r>
              <w:rPr>
                <w:i/>
                <w:sz w:val="22"/>
              </w:rPr>
              <w:t>end</w:t>
            </w:r>
            <w:r>
              <w:rPr>
                <w:i/>
                <w:spacing w:val="-7"/>
                <w:sz w:val="22"/>
              </w:rPr>
              <w:t> </w:t>
            </w:r>
            <w:r>
              <w:rPr>
                <w:i/>
                <w:sz w:val="22"/>
              </w:rPr>
              <w:t>example</w:t>
            </w:r>
            <w:r>
              <w:rPr>
                <w:sz w:val="22"/>
              </w:rPr>
              <w:t>]</w:t>
            </w:r>
          </w:p>
        </w:tc>
        <w:tc>
          <w:tcPr>
            <w:tcW w:w="1711" w:type="dxa"/>
            <w:vMerge w:val="restart"/>
          </w:tcPr>
          <w:p>
            <w:pPr>
              <w:pStyle w:val="TableParagraph"/>
              <w:spacing w:before="0"/>
              <w:ind w:left="0"/>
              <w:rPr>
                <w:rFonts w:ascii="Times New Roman"/>
                <w:sz w:val="22"/>
              </w:rPr>
            </w:pPr>
          </w:p>
        </w:tc>
      </w:tr>
      <w:tr>
        <w:trPr>
          <w:trHeight w:val="2772" w:hRule="atLeast"/>
        </w:trPr>
        <w:tc>
          <w:tcPr>
            <w:tcW w:w="1639" w:type="dxa"/>
            <w:vMerge/>
            <w:tcBorders>
              <w:top w:val="nil"/>
            </w:tcBorders>
          </w:tcPr>
          <w:p>
            <w:pPr>
              <w:rPr>
                <w:sz w:val="2"/>
                <w:szCs w:val="2"/>
              </w:rPr>
            </w:pPr>
          </w:p>
        </w:tc>
        <w:tc>
          <w:tcPr>
            <w:tcW w:w="1169" w:type="dxa"/>
          </w:tcPr>
          <w:p>
            <w:pPr>
              <w:pStyle w:val="TableParagraph"/>
              <w:ind w:left="112"/>
              <w:rPr>
                <w:sz w:val="22"/>
              </w:rPr>
            </w:pPr>
            <w:r>
              <w:rPr>
                <w:sz w:val="22"/>
              </w:rPr>
              <w:t>space</w:t>
            </w:r>
          </w:p>
        </w:tc>
        <w:tc>
          <w:tcPr>
            <w:tcW w:w="4320" w:type="dxa"/>
          </w:tcPr>
          <w:p>
            <w:pPr>
              <w:pStyle w:val="TableParagraph"/>
              <w:ind w:right="107"/>
              <w:rPr>
                <w:sz w:val="22"/>
              </w:rPr>
            </w:pPr>
            <w:r>
              <w:rPr>
                <w:sz w:val="22"/>
              </w:rPr>
              <w:t>Binary intersection operator, which takes two cell reference (§</w:t>
            </w:r>
            <w:hyperlink w:history="true" w:anchor="_bookmark437">
              <w:r>
                <w:rPr>
                  <w:sz w:val="22"/>
                </w:rPr>
                <w:t>18.17.2.3</w:t>
              </w:r>
            </w:hyperlink>
            <w:r>
              <w:rPr>
                <w:sz w:val="22"/>
              </w:rPr>
              <w:t>) operands, and results in one reference to those, possibly non-contiguous, cells that are common. If the intersection is empty, the result is </w:t>
            </w:r>
            <w:r>
              <w:rPr>
                <w:rFonts w:ascii="Consolas" w:hAnsi="Consolas"/>
                <w:sz w:val="22"/>
              </w:rPr>
              <w:t>#NULL!</w:t>
            </w:r>
            <w:r>
              <w:rPr>
                <w:sz w:val="22"/>
              </w:rPr>
              <w:t>. [</w:t>
            </w:r>
            <w:r>
              <w:rPr>
                <w:i/>
                <w:sz w:val="22"/>
              </w:rPr>
              <w:t>Example</w:t>
            </w:r>
            <w:r>
              <w:rPr>
                <w:sz w:val="22"/>
              </w:rPr>
              <w:t>: </w:t>
            </w:r>
            <w:r>
              <w:rPr>
                <w:rFonts w:ascii="Consolas" w:hAnsi="Consolas"/>
                <w:sz w:val="22"/>
              </w:rPr>
              <w:t>((B1:C1) (C1:D1)) </w:t>
            </w:r>
            <w:r>
              <w:rPr>
                <w:sz w:val="22"/>
              </w:rPr>
              <w:t>results in a reference to </w:t>
            </w:r>
            <w:r>
              <w:rPr>
                <w:rFonts w:ascii="Consolas" w:hAnsi="Consolas"/>
                <w:sz w:val="22"/>
              </w:rPr>
              <w:t>C1</w:t>
            </w:r>
            <w:r>
              <w:rPr>
                <w:sz w:val="22"/>
              </w:rPr>
              <w:t>, while </w:t>
            </w:r>
            <w:r>
              <w:rPr>
                <w:rFonts w:ascii="Consolas" w:hAnsi="Consolas"/>
                <w:sz w:val="22"/>
              </w:rPr>
              <w:t>((B1:D1) (B1,D1)) </w:t>
            </w:r>
            <w:r>
              <w:rPr>
                <w:sz w:val="22"/>
              </w:rPr>
              <w:t>results in a single reference to </w:t>
            </w:r>
            <w:r>
              <w:rPr>
                <w:rFonts w:ascii="Consolas" w:hAnsi="Consolas"/>
                <w:sz w:val="22"/>
              </w:rPr>
              <w:t>B1 </w:t>
            </w:r>
            <w:r>
              <w:rPr>
                <w:sz w:val="22"/>
              </w:rPr>
              <w:t>and</w:t>
            </w:r>
            <w:r>
              <w:rPr>
                <w:spacing w:val="-1"/>
                <w:sz w:val="22"/>
              </w:rPr>
              <w:t> </w:t>
            </w:r>
            <w:r>
              <w:rPr>
                <w:rFonts w:ascii="Consolas" w:hAnsi="Consolas"/>
                <w:sz w:val="22"/>
              </w:rPr>
              <w:t>D1</w:t>
            </w:r>
            <w:r>
              <w:rPr>
                <w:sz w:val="22"/>
              </w:rPr>
              <w:t>.</w:t>
            </w:r>
          </w:p>
          <w:p>
            <w:pPr>
              <w:pStyle w:val="TableParagraph"/>
              <w:spacing w:before="0"/>
              <w:rPr>
                <w:sz w:val="22"/>
              </w:rPr>
            </w:pPr>
            <w:r>
              <w:rPr>
                <w:i/>
                <w:sz w:val="22"/>
              </w:rPr>
              <w:t>end example</w:t>
            </w:r>
            <w:r>
              <w:rPr>
                <w:sz w:val="22"/>
              </w:rPr>
              <w:t>]</w:t>
            </w:r>
          </w:p>
        </w:tc>
        <w:tc>
          <w:tcPr>
            <w:tcW w:w="1711" w:type="dxa"/>
            <w:vMerge/>
            <w:tcBorders>
              <w:top w:val="nil"/>
            </w:tcBorders>
          </w:tcPr>
          <w:p>
            <w:pPr>
              <w:rPr>
                <w:sz w:val="2"/>
                <w:szCs w:val="2"/>
              </w:rPr>
            </w:pPr>
          </w:p>
        </w:tc>
      </w:tr>
      <w:tr>
        <w:trPr>
          <w:trHeight w:val="354" w:hRule="atLeast"/>
        </w:trPr>
        <w:tc>
          <w:tcPr>
            <w:tcW w:w="1639" w:type="dxa"/>
            <w:vMerge w:val="restart"/>
          </w:tcPr>
          <w:p>
            <w:pPr>
              <w:pStyle w:val="TableParagraph"/>
              <w:ind w:right="547"/>
              <w:rPr>
                <w:sz w:val="22"/>
              </w:rPr>
            </w:pPr>
            <w:r>
              <w:rPr>
                <w:sz w:val="22"/>
              </w:rPr>
              <w:t>Arithmetic operators</w:t>
            </w: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rPr>
                <w:sz w:val="22"/>
              </w:rPr>
            </w:pPr>
            <w:r>
              <w:rPr>
                <w:sz w:val="22"/>
              </w:rPr>
              <w:t>Unary minus</w:t>
            </w:r>
          </w:p>
        </w:tc>
        <w:tc>
          <w:tcPr>
            <w:tcW w:w="1711" w:type="dxa"/>
          </w:tcPr>
          <w:p>
            <w:pPr>
              <w:pStyle w:val="TableParagraph"/>
              <w:spacing w:before="0"/>
              <w:ind w:left="0"/>
              <w:rPr>
                <w:rFonts w:ascii="Times New Roman"/>
                <w:sz w:val="22"/>
              </w:rPr>
            </w:pPr>
          </w:p>
        </w:tc>
      </w:tr>
      <w:tr>
        <w:trPr>
          <w:trHeight w:val="892"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ind w:right="241"/>
              <w:rPr>
                <w:sz w:val="22"/>
              </w:rPr>
            </w:pPr>
            <w:r>
              <w:rPr>
                <w:sz w:val="22"/>
              </w:rPr>
              <w:t>Percentage (unary postfix), which divides its operand by 100. [</w:t>
            </w:r>
            <w:r>
              <w:rPr>
                <w:i/>
                <w:sz w:val="22"/>
              </w:rPr>
              <w:t>Example</w:t>
            </w:r>
            <w:r>
              <w:rPr>
                <w:sz w:val="22"/>
              </w:rPr>
              <w:t>: </w:t>
            </w:r>
            <w:r>
              <w:rPr>
                <w:rFonts w:ascii="Consolas"/>
                <w:sz w:val="22"/>
              </w:rPr>
              <w:t>10.5%</w:t>
            </w:r>
            <w:r>
              <w:rPr>
                <w:sz w:val="22"/>
              </w:rPr>
              <w:t>, which results in </w:t>
            </w:r>
            <w:r>
              <w:rPr>
                <w:rFonts w:ascii="Consolas"/>
                <w:sz w:val="22"/>
              </w:rPr>
              <w:t>0.105</w:t>
            </w:r>
            <w:r>
              <w:rPr>
                <w:sz w:val="22"/>
              </w:rPr>
              <w:t>. </w:t>
            </w:r>
            <w:r>
              <w:rPr>
                <w:i/>
                <w:sz w:val="22"/>
              </w:rPr>
              <w:t>end example</w:t>
            </w:r>
            <w:r>
              <w:rPr>
                <w:sz w:val="22"/>
              </w:rPr>
              <w:t>]</w:t>
            </w:r>
          </w:p>
        </w:tc>
        <w:tc>
          <w:tcPr>
            <w:tcW w:w="1711" w:type="dxa"/>
          </w:tcPr>
          <w:p>
            <w:pPr>
              <w:pStyle w:val="TableParagraph"/>
              <w:spacing w:before="0"/>
              <w:ind w:left="0"/>
              <w:rPr>
                <w:rFonts w:ascii="Times New Roman"/>
                <w:sz w:val="22"/>
              </w:rPr>
            </w:pP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rPr>
                <w:sz w:val="22"/>
              </w:rPr>
            </w:pPr>
            <w:r>
              <w:rPr>
                <w:sz w:val="22"/>
              </w:rPr>
              <w:t>Exponentiation</w:t>
            </w:r>
          </w:p>
        </w:tc>
        <w:tc>
          <w:tcPr>
            <w:tcW w:w="1711" w:type="dxa"/>
          </w:tcPr>
          <w:p>
            <w:pPr>
              <w:pStyle w:val="TableParagraph"/>
              <w:spacing w:before="0"/>
              <w:ind w:left="0"/>
              <w:rPr>
                <w:rFonts w:ascii="Times New Roman"/>
                <w:sz w:val="22"/>
              </w:rPr>
            </w:pPr>
          </w:p>
        </w:tc>
      </w:tr>
      <w:tr>
        <w:trPr>
          <w:trHeight w:val="352"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rPr>
                <w:sz w:val="22"/>
              </w:rPr>
            </w:pPr>
            <w:r>
              <w:rPr>
                <w:sz w:val="22"/>
              </w:rPr>
              <w:t>Multiplication</w:t>
            </w:r>
          </w:p>
        </w:tc>
        <w:tc>
          <w:tcPr>
            <w:tcW w:w="1711" w:type="dxa"/>
            <w:vMerge w:val="restart"/>
          </w:tcPr>
          <w:p>
            <w:pPr>
              <w:pStyle w:val="TableParagraph"/>
              <w:spacing w:before="0"/>
              <w:ind w:left="0"/>
              <w:rPr>
                <w:rFonts w:ascii="Times New Roman"/>
                <w:sz w:val="22"/>
              </w:rPr>
            </w:pP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4"/>
              <w:ind w:left="112"/>
              <w:rPr>
                <w:rFonts w:ascii="Consolas"/>
                <w:sz w:val="22"/>
              </w:rPr>
            </w:pPr>
            <w:r>
              <w:rPr>
                <w:rFonts w:ascii="Consolas"/>
                <w:w w:val="100"/>
                <w:sz w:val="22"/>
              </w:rPr>
              <w:t>/</w:t>
            </w:r>
          </w:p>
        </w:tc>
        <w:tc>
          <w:tcPr>
            <w:tcW w:w="4320" w:type="dxa"/>
          </w:tcPr>
          <w:p>
            <w:pPr>
              <w:pStyle w:val="TableParagraph"/>
              <w:spacing w:before="42"/>
              <w:rPr>
                <w:sz w:val="22"/>
              </w:rPr>
            </w:pPr>
            <w:r>
              <w:rPr>
                <w:sz w:val="22"/>
              </w:rPr>
              <w:t>Division</w:t>
            </w:r>
          </w:p>
        </w:tc>
        <w:tc>
          <w:tcPr>
            <w:tcW w:w="1711" w:type="dxa"/>
            <w:vMerge/>
            <w:tcBorders>
              <w:top w:val="nil"/>
            </w:tcBorders>
          </w:tcPr>
          <w:p>
            <w:pPr>
              <w:rPr>
                <w:sz w:val="2"/>
                <w:szCs w:val="2"/>
              </w:rPr>
            </w:pP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rPr>
                <w:sz w:val="22"/>
              </w:rPr>
            </w:pPr>
            <w:r>
              <w:rPr>
                <w:sz w:val="22"/>
              </w:rPr>
              <w:t>Addition</w:t>
            </w:r>
          </w:p>
        </w:tc>
        <w:tc>
          <w:tcPr>
            <w:tcW w:w="1711" w:type="dxa"/>
            <w:vMerge w:val="restart"/>
          </w:tcPr>
          <w:p>
            <w:pPr>
              <w:pStyle w:val="TableParagraph"/>
              <w:spacing w:before="0"/>
              <w:ind w:left="0"/>
              <w:rPr>
                <w:rFonts w:ascii="Times New Roman"/>
                <w:sz w:val="22"/>
              </w:rPr>
            </w:pP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rPr>
                <w:sz w:val="22"/>
              </w:rPr>
            </w:pPr>
            <w:r>
              <w:rPr>
                <w:sz w:val="22"/>
              </w:rPr>
              <w:t>Subtraction</w:t>
            </w:r>
          </w:p>
        </w:tc>
        <w:tc>
          <w:tcPr>
            <w:tcW w:w="1711" w:type="dxa"/>
            <w:vMerge/>
            <w:tcBorders>
              <w:top w:val="nil"/>
            </w:tcBorders>
          </w:tcPr>
          <w:p>
            <w:pPr>
              <w:rPr>
                <w:sz w:val="2"/>
                <w:szCs w:val="2"/>
              </w:rPr>
            </w:pPr>
          </w:p>
        </w:tc>
      </w:tr>
      <w:tr>
        <w:trPr>
          <w:trHeight w:val="892" w:hRule="atLeast"/>
        </w:trPr>
        <w:tc>
          <w:tcPr>
            <w:tcW w:w="1639" w:type="dxa"/>
          </w:tcPr>
          <w:p>
            <w:pPr>
              <w:pStyle w:val="TableParagraph"/>
              <w:rPr>
                <w:sz w:val="22"/>
              </w:rPr>
            </w:pPr>
            <w:r>
              <w:rPr>
                <w:sz w:val="22"/>
              </w:rPr>
              <w:t>Text operator</w:t>
            </w:r>
          </w:p>
        </w:tc>
        <w:tc>
          <w:tcPr>
            <w:tcW w:w="1169" w:type="dxa"/>
          </w:tcPr>
          <w:p>
            <w:pPr>
              <w:pStyle w:val="TableParagraph"/>
              <w:spacing w:before="42"/>
              <w:ind w:left="112"/>
              <w:rPr>
                <w:rFonts w:ascii="Consolas"/>
                <w:sz w:val="22"/>
              </w:rPr>
            </w:pPr>
            <w:r>
              <w:rPr>
                <w:rFonts w:ascii="Consolas"/>
                <w:w w:val="100"/>
                <w:sz w:val="22"/>
              </w:rPr>
              <w:t>&amp;</w:t>
            </w:r>
          </w:p>
        </w:tc>
        <w:tc>
          <w:tcPr>
            <w:tcW w:w="4320" w:type="dxa"/>
          </w:tcPr>
          <w:p>
            <w:pPr>
              <w:pStyle w:val="TableParagraph"/>
              <w:ind w:right="340"/>
              <w:rPr>
                <w:sz w:val="22"/>
              </w:rPr>
            </w:pPr>
            <w:r>
              <w:rPr>
                <w:sz w:val="22"/>
              </w:rPr>
              <w:t>Text concatenation (Each of the two operands is converted to text, if necessary, before concatenation.)</w:t>
            </w:r>
          </w:p>
        </w:tc>
        <w:tc>
          <w:tcPr>
            <w:tcW w:w="1711" w:type="dxa"/>
          </w:tcPr>
          <w:p>
            <w:pPr>
              <w:pStyle w:val="TableParagraph"/>
              <w:spacing w:before="0"/>
              <w:ind w:left="0"/>
              <w:rPr>
                <w:rFonts w:ascii="Times New Roman"/>
                <w:sz w:val="22"/>
              </w:rPr>
            </w:pPr>
          </w:p>
        </w:tc>
      </w:tr>
      <w:tr>
        <w:trPr>
          <w:trHeight w:val="354" w:hRule="atLeast"/>
        </w:trPr>
        <w:tc>
          <w:tcPr>
            <w:tcW w:w="1639" w:type="dxa"/>
            <w:vMerge w:val="restart"/>
          </w:tcPr>
          <w:p>
            <w:pPr>
              <w:pStyle w:val="TableParagraph"/>
              <w:ind w:right="419"/>
              <w:rPr>
                <w:sz w:val="22"/>
              </w:rPr>
            </w:pPr>
            <w:r>
              <w:rPr>
                <w:sz w:val="22"/>
              </w:rPr>
              <w:t>Comparison operators</w:t>
            </w:r>
          </w:p>
        </w:tc>
        <w:tc>
          <w:tcPr>
            <w:tcW w:w="1169" w:type="dxa"/>
          </w:tcPr>
          <w:p>
            <w:pPr>
              <w:pStyle w:val="TableParagraph"/>
              <w:spacing w:before="42"/>
              <w:ind w:left="112"/>
              <w:rPr>
                <w:rFonts w:ascii="Consolas"/>
                <w:sz w:val="22"/>
              </w:rPr>
            </w:pPr>
            <w:r>
              <w:rPr>
                <w:rFonts w:ascii="Consolas"/>
                <w:w w:val="100"/>
                <w:sz w:val="22"/>
              </w:rPr>
              <w:t>=</w:t>
            </w:r>
          </w:p>
        </w:tc>
        <w:tc>
          <w:tcPr>
            <w:tcW w:w="4320" w:type="dxa"/>
          </w:tcPr>
          <w:p>
            <w:pPr>
              <w:pStyle w:val="TableParagraph"/>
              <w:rPr>
                <w:sz w:val="22"/>
              </w:rPr>
            </w:pPr>
            <w:r>
              <w:rPr>
                <w:sz w:val="22"/>
              </w:rPr>
              <w:t>Equal-to</w:t>
            </w:r>
          </w:p>
        </w:tc>
        <w:tc>
          <w:tcPr>
            <w:tcW w:w="1711" w:type="dxa"/>
            <w:vMerge w:val="restart"/>
          </w:tcPr>
          <w:p>
            <w:pPr>
              <w:pStyle w:val="TableParagraph"/>
              <w:rPr>
                <w:sz w:val="22"/>
              </w:rPr>
            </w:pPr>
            <w:r>
              <w:rPr>
                <w:sz w:val="22"/>
              </w:rPr>
              <w:t>lowest</w:t>
            </w: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sz w:val="22"/>
              </w:rPr>
              <w:t>&lt;&gt;</w:t>
            </w:r>
          </w:p>
        </w:tc>
        <w:tc>
          <w:tcPr>
            <w:tcW w:w="4320" w:type="dxa"/>
          </w:tcPr>
          <w:p>
            <w:pPr>
              <w:pStyle w:val="TableParagraph"/>
              <w:rPr>
                <w:sz w:val="22"/>
              </w:rPr>
            </w:pPr>
            <w:r>
              <w:rPr>
                <w:sz w:val="22"/>
              </w:rPr>
              <w:t>Not-equal-to</w:t>
            </w:r>
          </w:p>
        </w:tc>
        <w:tc>
          <w:tcPr>
            <w:tcW w:w="1711" w:type="dxa"/>
            <w:vMerge/>
            <w:tcBorders>
              <w:top w:val="nil"/>
            </w:tcBorders>
          </w:tcPr>
          <w:p>
            <w:pPr>
              <w:rPr>
                <w:sz w:val="2"/>
                <w:szCs w:val="2"/>
              </w:rPr>
            </w:pP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&lt;</w:t>
            </w:r>
          </w:p>
        </w:tc>
        <w:tc>
          <w:tcPr>
            <w:tcW w:w="4320" w:type="dxa"/>
          </w:tcPr>
          <w:p>
            <w:pPr>
              <w:pStyle w:val="TableParagraph"/>
              <w:rPr>
                <w:sz w:val="22"/>
              </w:rPr>
            </w:pPr>
            <w:r>
              <w:rPr>
                <w:sz w:val="22"/>
              </w:rPr>
              <w:t>Less-than</w:t>
            </w:r>
          </w:p>
        </w:tc>
        <w:tc>
          <w:tcPr>
            <w:tcW w:w="1711" w:type="dxa"/>
            <w:vMerge/>
            <w:tcBorders>
              <w:top w:val="nil"/>
            </w:tcBorders>
          </w:tcPr>
          <w:p>
            <w:pPr>
              <w:rPr>
                <w:sz w:val="2"/>
                <w:szCs w:val="2"/>
              </w:rPr>
            </w:pPr>
          </w:p>
        </w:tc>
      </w:tr>
      <w:tr>
        <w:trPr>
          <w:trHeight w:val="352"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sz w:val="22"/>
              </w:rPr>
              <w:t>&lt;=</w:t>
            </w:r>
          </w:p>
        </w:tc>
        <w:tc>
          <w:tcPr>
            <w:tcW w:w="4320" w:type="dxa"/>
          </w:tcPr>
          <w:p>
            <w:pPr>
              <w:pStyle w:val="TableParagraph"/>
              <w:rPr>
                <w:sz w:val="22"/>
              </w:rPr>
            </w:pPr>
            <w:r>
              <w:rPr>
                <w:sz w:val="22"/>
              </w:rPr>
              <w:t>Less-than or equal-to</w:t>
            </w:r>
          </w:p>
        </w:tc>
        <w:tc>
          <w:tcPr>
            <w:tcW w:w="1711" w:type="dxa"/>
            <w:vMerge/>
            <w:tcBorders>
              <w:top w:val="nil"/>
            </w:tcBorders>
          </w:tcPr>
          <w:p>
            <w:pPr>
              <w:rPr>
                <w:sz w:val="2"/>
                <w:szCs w:val="2"/>
              </w:rPr>
            </w:pP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w w:val="100"/>
                <w:sz w:val="22"/>
              </w:rPr>
              <w:t>&gt;</w:t>
            </w:r>
          </w:p>
        </w:tc>
        <w:tc>
          <w:tcPr>
            <w:tcW w:w="4320" w:type="dxa"/>
          </w:tcPr>
          <w:p>
            <w:pPr>
              <w:pStyle w:val="TableParagraph"/>
              <w:rPr>
                <w:sz w:val="22"/>
              </w:rPr>
            </w:pPr>
            <w:r>
              <w:rPr>
                <w:sz w:val="22"/>
              </w:rPr>
              <w:t>Greater-than</w:t>
            </w:r>
          </w:p>
        </w:tc>
        <w:tc>
          <w:tcPr>
            <w:tcW w:w="1711" w:type="dxa"/>
            <w:vMerge/>
            <w:tcBorders>
              <w:top w:val="nil"/>
            </w:tcBorders>
          </w:tcPr>
          <w:p>
            <w:pPr>
              <w:rPr>
                <w:sz w:val="2"/>
                <w:szCs w:val="2"/>
              </w:rPr>
            </w:pPr>
          </w:p>
        </w:tc>
      </w:tr>
      <w:tr>
        <w:trPr>
          <w:trHeight w:val="354" w:hRule="atLeast"/>
        </w:trPr>
        <w:tc>
          <w:tcPr>
            <w:tcW w:w="1639" w:type="dxa"/>
            <w:vMerge/>
            <w:tcBorders>
              <w:top w:val="nil"/>
            </w:tcBorders>
          </w:tcPr>
          <w:p>
            <w:pPr>
              <w:rPr>
                <w:sz w:val="2"/>
                <w:szCs w:val="2"/>
              </w:rPr>
            </w:pPr>
          </w:p>
        </w:tc>
        <w:tc>
          <w:tcPr>
            <w:tcW w:w="1169" w:type="dxa"/>
          </w:tcPr>
          <w:p>
            <w:pPr>
              <w:pStyle w:val="TableParagraph"/>
              <w:spacing w:before="42"/>
              <w:ind w:left="112"/>
              <w:rPr>
                <w:rFonts w:ascii="Consolas"/>
                <w:sz w:val="22"/>
              </w:rPr>
            </w:pPr>
            <w:r>
              <w:rPr>
                <w:rFonts w:ascii="Consolas"/>
                <w:sz w:val="22"/>
              </w:rPr>
              <w:t>&gt;=</w:t>
            </w:r>
          </w:p>
        </w:tc>
        <w:tc>
          <w:tcPr>
            <w:tcW w:w="4320" w:type="dxa"/>
          </w:tcPr>
          <w:p>
            <w:pPr>
              <w:pStyle w:val="TableParagraph"/>
              <w:rPr>
                <w:sz w:val="22"/>
              </w:rPr>
            </w:pPr>
            <w:r>
              <w:rPr>
                <w:sz w:val="22"/>
              </w:rPr>
              <w:t>Greater-than-or-equal-to</w:t>
            </w:r>
          </w:p>
        </w:tc>
        <w:tc>
          <w:tcPr>
            <w:tcW w:w="1711" w:type="dxa"/>
            <w:vMerge/>
            <w:tcBorders>
              <w:top w:val="nil"/>
            </w:tcBorders>
          </w:tcPr>
          <w:p>
            <w:pPr>
              <w:rPr>
                <w:sz w:val="2"/>
                <w:szCs w:val="2"/>
              </w:rPr>
            </w:pPr>
          </w:p>
        </w:tc>
      </w:tr>
    </w:tbl>
    <w:p>
      <w:pPr>
        <w:pStyle w:val="BodyText"/>
        <w:rPr>
          <w:sz w:val="20"/>
        </w:rPr>
      </w:pPr>
    </w:p>
    <w:p>
      <w:pPr>
        <w:pStyle w:val="BodyText"/>
        <w:spacing w:before="7"/>
        <w:rPr>
          <w:sz w:val="21"/>
        </w:rPr>
      </w:pPr>
    </w:p>
    <w:p>
      <w:pPr>
        <w:pStyle w:val="BodyText"/>
        <w:ind w:left="220"/>
      </w:pPr>
      <w:r>
        <w:rPr>
          <w:rFonts w:ascii="Times New Roman"/>
          <w:i/>
        </w:rPr>
        <w:t>expression </w:t>
      </w:r>
      <w:r>
        <w:rPr/>
        <w:t>can contain grouping parentheses to document the default precedence or to override it.</w:t>
      </w:r>
    </w:p>
    <w:p>
      <w:pPr>
        <w:pStyle w:val="BodyText"/>
        <w:spacing w:before="9"/>
        <w:rPr>
          <w:sz w:val="19"/>
        </w:rPr>
      </w:pPr>
    </w:p>
    <w:p>
      <w:pPr>
        <w:spacing w:before="0"/>
        <w:ind w:left="220" w:right="0" w:firstLine="0"/>
        <w:jc w:val="left"/>
        <w:rPr>
          <w:sz w:val="22"/>
        </w:rPr>
      </w:pPr>
      <w:r>
        <w:rPr>
          <w:rFonts w:ascii="Times New Roman"/>
          <w:i/>
          <w:sz w:val="22"/>
        </w:rPr>
        <w:t>operator</w:t>
      </w:r>
      <w:r>
        <w:rPr>
          <w:sz w:val="22"/>
        </w:rPr>
        <w:t>s in </w:t>
      </w:r>
      <w:r>
        <w:rPr>
          <w:rFonts w:ascii="Times New Roman"/>
          <w:i/>
          <w:sz w:val="22"/>
        </w:rPr>
        <w:t>expression </w:t>
      </w:r>
      <w:r>
        <w:rPr>
          <w:sz w:val="22"/>
        </w:rPr>
        <w:t>having the same precedence associate left-to-right.</w:t>
      </w:r>
    </w:p>
    <w:p>
      <w:pPr>
        <w:spacing w:after="0"/>
        <w:jc w:val="left"/>
        <w:rPr>
          <w:sz w:val="22"/>
        </w:rPr>
        <w:sectPr>
          <w:pgSz w:w="12240" w:h="15840"/>
          <w:pgMar w:header="761" w:footer="746" w:top="1340" w:bottom="940" w:left="860" w:right="700"/>
        </w:sectPr>
      </w:pPr>
    </w:p>
    <w:p>
      <w:pPr>
        <w:pStyle w:val="BodyText"/>
        <w:spacing w:before="150"/>
        <w:ind w:left="220"/>
      </w:pPr>
      <w:r>
        <w:rPr/>
        <w:t>[</w:t>
      </w:r>
      <w:r>
        <w:rPr>
          <w:i/>
        </w:rPr>
        <w:t>Example</w:t>
      </w:r>
      <w:r>
        <w:rPr/>
        <w:t>: Given that cell </w:t>
      </w:r>
      <w:r>
        <w:rPr>
          <w:rFonts w:ascii="Consolas"/>
        </w:rPr>
        <w:t>E38</w:t>
      </w:r>
      <w:r>
        <w:rPr>
          <w:rFonts w:ascii="Consolas"/>
          <w:spacing w:val="-72"/>
        </w:rPr>
        <w:t> </w:t>
      </w:r>
      <w:r>
        <w:rPr/>
        <w:t>contains the value 4, and cell </w:t>
      </w:r>
      <w:r>
        <w:rPr>
          <w:rFonts w:ascii="Consolas"/>
        </w:rPr>
        <w:t>F38</w:t>
      </w:r>
      <w:r>
        <w:rPr>
          <w:rFonts w:ascii="Consolas"/>
          <w:spacing w:val="-69"/>
        </w:rPr>
        <w:t> </w:t>
      </w:r>
      <w:r>
        <w:rPr/>
        <w:t>contains the value 2, the formula</w:t>
      </w:r>
    </w:p>
    <w:p>
      <w:pPr>
        <w:pStyle w:val="BodyText"/>
        <w:spacing w:before="9"/>
        <w:rPr>
          <w:sz w:val="19"/>
        </w:rPr>
      </w:pPr>
    </w:p>
    <w:p>
      <w:pPr>
        <w:pStyle w:val="BodyText"/>
        <w:ind w:left="508"/>
        <w:rPr>
          <w:rFonts w:ascii="Consolas"/>
        </w:rPr>
      </w:pPr>
      <w:r>
        <w:rPr>
          <w:rFonts w:ascii="Consolas"/>
        </w:rPr>
        <w:t>((-1+E38^2)*3-F38)/2</w:t>
      </w:r>
    </w:p>
    <w:p>
      <w:pPr>
        <w:pStyle w:val="BodyText"/>
        <w:spacing w:before="5"/>
        <w:rPr>
          <w:rFonts w:ascii="Consolas"/>
          <w:sz w:val="20"/>
        </w:rPr>
      </w:pPr>
    </w:p>
    <w:p>
      <w:pPr>
        <w:spacing w:before="0"/>
        <w:ind w:left="220" w:right="0" w:firstLine="0"/>
        <w:jc w:val="left"/>
        <w:rPr>
          <w:sz w:val="22"/>
        </w:rPr>
      </w:pPr>
      <w:r>
        <w:rPr>
          <w:sz w:val="22"/>
        </w:rPr>
        <w:t>produces the result </w:t>
      </w:r>
      <w:r>
        <w:rPr>
          <w:rFonts w:ascii="Consolas"/>
          <w:sz w:val="22"/>
        </w:rPr>
        <w:t>21.5</w:t>
      </w:r>
      <w:r>
        <w:rPr>
          <w:sz w:val="22"/>
        </w:rPr>
        <w:t>. </w:t>
      </w:r>
      <w:r>
        <w:rPr>
          <w:i/>
          <w:sz w:val="22"/>
        </w:rPr>
        <w:t>end example</w:t>
      </w:r>
      <w:r>
        <w:rPr>
          <w:sz w:val="22"/>
        </w:rPr>
        <w:t>]</w:t>
      </w:r>
    </w:p>
    <w:p>
      <w:pPr>
        <w:pStyle w:val="BodyText"/>
        <w:spacing w:before="6"/>
        <w:rPr>
          <w:sz w:val="19"/>
        </w:rPr>
      </w:pPr>
    </w:p>
    <w:p>
      <w:pPr>
        <w:pStyle w:val="BodyText"/>
        <w:spacing w:line="276" w:lineRule="auto"/>
        <w:ind w:left="220" w:right="775"/>
      </w:pPr>
      <w:r>
        <w:rPr/>
        <w:t>The comparison operators yield </w:t>
      </w:r>
      <w:r>
        <w:rPr>
          <w:rFonts w:ascii="Consolas"/>
        </w:rPr>
        <w:t>TRUE</w:t>
      </w:r>
      <w:r>
        <w:rPr>
          <w:rFonts w:ascii="Consolas"/>
          <w:spacing w:val="-73"/>
        </w:rPr>
        <w:t> </w:t>
      </w:r>
      <w:r>
        <w:rPr/>
        <w:t>for true and </w:t>
      </w:r>
      <w:r>
        <w:rPr>
          <w:rFonts w:ascii="Consolas"/>
        </w:rPr>
        <w:t>FALSE</w:t>
      </w:r>
      <w:r>
        <w:rPr>
          <w:rFonts w:ascii="Consolas"/>
          <w:spacing w:val="-70"/>
        </w:rPr>
        <w:t> </w:t>
      </w:r>
      <w:r>
        <w:rPr/>
        <w:t>for false. An expression with value 0 tests logically false while one with any non-zero numeric value tests true.</w:t>
      </w:r>
    </w:p>
    <w:p>
      <w:pPr>
        <w:pStyle w:val="BodyText"/>
        <w:spacing w:before="3"/>
        <w:rPr>
          <w:sz w:val="16"/>
        </w:rPr>
      </w:pPr>
    </w:p>
    <w:p>
      <w:pPr>
        <w:pStyle w:val="BodyText"/>
        <w:spacing w:line="276" w:lineRule="auto"/>
        <w:ind w:left="220" w:right="537"/>
      </w:pPr>
      <w:r>
        <w:rPr/>
        <w:t>For any given operator in an expression, if only one operand is an error value, the result is that error value. If more than one operand has an error value and those error values are the same, the result is that error value. If more than one operand has an error value and those error values are not all the same, as to which of those error values is used as the result is unspecified.</w:t>
      </w:r>
    </w:p>
    <w:p>
      <w:pPr>
        <w:pStyle w:val="BodyText"/>
        <w:spacing w:before="5"/>
        <w:rPr>
          <w:sz w:val="16"/>
        </w:rPr>
      </w:pPr>
    </w:p>
    <w:p>
      <w:pPr>
        <w:pStyle w:val="BodyText"/>
        <w:spacing w:line="278" w:lineRule="auto"/>
        <w:ind w:left="220" w:right="528"/>
      </w:pPr>
      <w:r>
        <w:rPr/>
        <w:t>It the semantics of an operator having a given operand are not specified by ECMA-376, the result is </w:t>
      </w:r>
      <w:r>
        <w:rPr>
          <w:rFonts w:ascii="Consolas"/>
        </w:rPr>
        <w:t>#VALUE!</w:t>
      </w:r>
      <w:r>
        <w:rPr/>
        <w:t>. [</w:t>
      </w:r>
      <w:r>
        <w:rPr>
          <w:i/>
        </w:rPr>
        <w:t>Example</w:t>
      </w:r>
      <w:r>
        <w:rPr/>
        <w:t>: </w:t>
      </w:r>
      <w:r>
        <w:rPr>
          <w:rFonts w:ascii="Consolas"/>
        </w:rPr>
        <w:t>"abc"+1</w:t>
      </w:r>
      <w:r>
        <w:rPr>
          <w:rFonts w:ascii="Consolas"/>
          <w:spacing w:val="-72"/>
        </w:rPr>
        <w:t> </w:t>
      </w:r>
      <w:r>
        <w:rPr/>
        <w:t>results in </w:t>
      </w:r>
      <w:r>
        <w:rPr>
          <w:rFonts w:ascii="Consolas"/>
        </w:rPr>
        <w:t>#VALUE!</w:t>
      </w:r>
      <w:r>
        <w:rPr/>
        <w:t>, and </w:t>
      </w:r>
      <w:r>
        <w:rPr>
          <w:rFonts w:ascii="Consolas"/>
        </w:rPr>
        <w:t>"abc"/0</w:t>
      </w:r>
      <w:r>
        <w:rPr>
          <w:rFonts w:ascii="Consolas"/>
          <w:spacing w:val="-72"/>
        </w:rPr>
        <w:t> </w:t>
      </w:r>
      <w:r>
        <w:rPr/>
        <w:t>results in </w:t>
      </w:r>
      <w:r>
        <w:rPr>
          <w:rFonts w:ascii="Consolas"/>
        </w:rPr>
        <w:t>#VALUE!</w:t>
      </w:r>
      <w:r>
        <w:rPr>
          <w:rFonts w:ascii="Consolas"/>
          <w:spacing w:val="-71"/>
        </w:rPr>
        <w:t> </w:t>
      </w:r>
      <w:r>
        <w:rPr/>
        <w:t>rather than </w:t>
      </w:r>
      <w:r>
        <w:rPr>
          <w:rFonts w:ascii="Consolas"/>
        </w:rPr>
        <w:t>#DIV/0!</w:t>
      </w:r>
      <w:r>
        <w:rPr/>
        <w:t>. </w:t>
      </w:r>
      <w:r>
        <w:rPr>
          <w:i/>
        </w:rPr>
        <w:t>end example</w:t>
      </w:r>
      <w:r>
        <w:rPr/>
        <w:t>]</w:t>
      </w:r>
    </w:p>
    <w:p>
      <w:pPr>
        <w:pStyle w:val="BodyText"/>
        <w:spacing w:before="3"/>
        <w:rPr>
          <w:sz w:val="16"/>
        </w:rPr>
      </w:pPr>
    </w:p>
    <w:p>
      <w:pPr>
        <w:pStyle w:val="Heading3"/>
        <w:numPr>
          <w:ilvl w:val="3"/>
          <w:numId w:val="64"/>
        </w:numPr>
        <w:tabs>
          <w:tab w:pos="1732" w:val="left" w:leader="none"/>
          <w:tab w:pos="1733" w:val="left" w:leader="none"/>
        </w:tabs>
        <w:spacing w:line="240" w:lineRule="auto" w:before="0" w:after="0"/>
        <w:ind w:left="1732" w:right="0" w:hanging="1513"/>
        <w:jc w:val="left"/>
      </w:pPr>
      <w:bookmarkStart w:name="18.17.2.3 Cell References" w:id="1316"/>
      <w:bookmarkEnd w:id="1316"/>
      <w:r>
        <w:rPr/>
      </w:r>
      <w:bookmarkStart w:name="_bookmark437" w:id="1317"/>
      <w:bookmarkEnd w:id="1317"/>
      <w:r>
        <w:rPr/>
      </w:r>
      <w:bookmarkStart w:name="_bookmark437" w:id="1318"/>
      <w:bookmarkEnd w:id="1318"/>
      <w:r>
        <w:rPr>
          <w:color w:val="4F81BC"/>
        </w:rPr>
        <w:t>C</w:t>
      </w:r>
      <w:r>
        <w:rPr>
          <w:color w:val="4F81BC"/>
        </w:rPr>
        <w:t>ell</w:t>
      </w:r>
      <w:r>
        <w:rPr>
          <w:color w:val="4F81BC"/>
          <w:spacing w:val="-1"/>
        </w:rPr>
        <w:t> </w:t>
      </w:r>
      <w:r>
        <w:rPr>
          <w:color w:val="4F81BC"/>
        </w:rPr>
        <w:t>References</w:t>
      </w:r>
    </w:p>
    <w:p>
      <w:pPr>
        <w:pStyle w:val="BodyText"/>
        <w:spacing w:line="278" w:lineRule="auto" w:before="119"/>
        <w:ind w:left="220" w:right="799"/>
        <w:jc w:val="both"/>
      </w:pPr>
      <w:r>
        <w:rPr/>
        <w:t>Each set of horizontal cells in a worksheet is a </w:t>
      </w:r>
      <w:r>
        <w:rPr>
          <w:i/>
        </w:rPr>
        <w:t>row</w:t>
      </w:r>
      <w:r>
        <w:rPr/>
        <w:t>, and each set of vertical cells is a </w:t>
      </w:r>
      <w:r>
        <w:rPr>
          <w:i/>
        </w:rPr>
        <w:t>column</w:t>
      </w:r>
      <w:r>
        <w:rPr/>
        <w:t>. A cell's row and column combination designates the location of that cell. [G</w:t>
      </w:r>
      <w:r>
        <w:rPr>
          <w:i/>
        </w:rPr>
        <w:t>uidance </w:t>
      </w:r>
      <w:r>
        <w:rPr/>
        <w:t>An implementation is encouraged to not unnecessarily limit the number of rows and columns in a worksheet. </w:t>
      </w:r>
      <w:r>
        <w:rPr>
          <w:i/>
        </w:rPr>
        <w:t>end guidance</w:t>
      </w:r>
      <w:r>
        <w:rPr/>
        <w:t>]</w:t>
      </w:r>
    </w:p>
    <w:p>
      <w:pPr>
        <w:pStyle w:val="BodyText"/>
        <w:spacing w:before="196"/>
        <w:ind w:left="220"/>
      </w:pPr>
      <w:r>
        <w:rPr/>
        <w:t>A </w:t>
      </w:r>
      <w:r>
        <w:rPr>
          <w:i/>
        </w:rPr>
        <w:t>cell reference </w:t>
      </w:r>
      <w:r>
        <w:rPr/>
        <w:t>designates one or more cells on the same worksheet. Using references, one can:</w:t>
      </w:r>
    </w:p>
    <w:p>
      <w:pPr>
        <w:pStyle w:val="BodyText"/>
        <w:spacing w:before="6"/>
        <w:rPr>
          <w:sz w:val="19"/>
        </w:rPr>
      </w:pPr>
    </w:p>
    <w:p>
      <w:pPr>
        <w:pStyle w:val="ListParagraph"/>
        <w:numPr>
          <w:ilvl w:val="4"/>
          <w:numId w:val="64"/>
        </w:numPr>
        <w:tabs>
          <w:tab w:pos="940" w:val="left" w:leader="none"/>
          <w:tab w:pos="941" w:val="left" w:leader="none"/>
        </w:tabs>
        <w:spacing w:line="240" w:lineRule="auto" w:before="0" w:after="0"/>
        <w:ind w:left="940" w:right="0" w:hanging="361"/>
        <w:jc w:val="left"/>
        <w:rPr>
          <w:sz w:val="22"/>
        </w:rPr>
      </w:pPr>
      <w:r>
        <w:rPr>
          <w:sz w:val="22"/>
        </w:rPr>
        <w:t>Use data contained in different parts of the same worksheet in a single</w:t>
      </w:r>
      <w:r>
        <w:rPr>
          <w:spacing w:val="-12"/>
          <w:sz w:val="22"/>
        </w:rPr>
        <w:t> </w:t>
      </w:r>
      <w:r>
        <w:rPr>
          <w:sz w:val="22"/>
        </w:rPr>
        <w:t>formula.</w:t>
      </w:r>
    </w:p>
    <w:p>
      <w:pPr>
        <w:pStyle w:val="ListParagraph"/>
        <w:numPr>
          <w:ilvl w:val="4"/>
          <w:numId w:val="64"/>
        </w:numPr>
        <w:tabs>
          <w:tab w:pos="940" w:val="left" w:leader="none"/>
          <w:tab w:pos="941" w:val="left" w:leader="none"/>
        </w:tabs>
        <w:spacing w:line="240" w:lineRule="auto" w:before="39" w:after="0"/>
        <w:ind w:left="940" w:right="0" w:hanging="361"/>
        <w:jc w:val="left"/>
        <w:rPr>
          <w:sz w:val="22"/>
        </w:rPr>
      </w:pPr>
      <w:r>
        <w:rPr>
          <w:sz w:val="22"/>
        </w:rPr>
        <w:t>Use the value from a single cell in several</w:t>
      </w:r>
      <w:r>
        <w:rPr>
          <w:spacing w:val="-4"/>
          <w:sz w:val="22"/>
        </w:rPr>
        <w:t> </w:t>
      </w:r>
      <w:r>
        <w:rPr>
          <w:sz w:val="22"/>
        </w:rPr>
        <w:t>formulas.</w:t>
      </w:r>
    </w:p>
    <w:p>
      <w:pPr>
        <w:pStyle w:val="ListParagraph"/>
        <w:numPr>
          <w:ilvl w:val="4"/>
          <w:numId w:val="64"/>
        </w:numPr>
        <w:tabs>
          <w:tab w:pos="940" w:val="left" w:leader="none"/>
          <w:tab w:pos="941" w:val="left" w:leader="none"/>
        </w:tabs>
        <w:spacing w:line="276" w:lineRule="auto" w:before="42" w:after="0"/>
        <w:ind w:left="940" w:right="498" w:hanging="360"/>
        <w:jc w:val="left"/>
        <w:rPr>
          <w:sz w:val="22"/>
        </w:rPr>
      </w:pPr>
      <w:r>
        <w:rPr>
          <w:sz w:val="22"/>
        </w:rPr>
        <w:t>Refer to cells on other sheets in the same workbook, and even to other workbooks. (References to cells in other workbooks are called</w:t>
      </w:r>
      <w:r>
        <w:rPr>
          <w:spacing w:val="-6"/>
          <w:sz w:val="22"/>
        </w:rPr>
        <w:t> </w:t>
      </w:r>
      <w:r>
        <w:rPr>
          <w:i/>
          <w:sz w:val="22"/>
        </w:rPr>
        <w:t>links</w:t>
      </w:r>
      <w:r>
        <w:rPr>
          <w:sz w:val="22"/>
        </w:rPr>
        <w:t>.)</w:t>
      </w:r>
    </w:p>
    <w:p>
      <w:pPr>
        <w:pStyle w:val="BodyText"/>
        <w:spacing w:before="5"/>
        <w:rPr>
          <w:sz w:val="16"/>
        </w:rPr>
      </w:pPr>
    </w:p>
    <w:p>
      <w:pPr>
        <w:pStyle w:val="BodyText"/>
        <w:ind w:left="220"/>
      </w:pPr>
      <w:r>
        <w:rPr/>
        <w:t>A cell reference has the following form:</w:t>
      </w:r>
    </w:p>
    <w:p>
      <w:pPr>
        <w:pStyle w:val="BodyText"/>
        <w:spacing w:before="8"/>
        <w:rPr>
          <w:sz w:val="19"/>
        </w:rPr>
      </w:pPr>
    </w:p>
    <w:p>
      <w:pPr>
        <w:pStyle w:val="BodyText"/>
        <w:tabs>
          <w:tab w:pos="2080" w:val="left" w:leader="none"/>
        </w:tabs>
        <w:spacing w:line="278" w:lineRule="auto"/>
        <w:ind w:left="750" w:right="8355" w:hanging="243"/>
        <w:rPr>
          <w:rFonts w:ascii="Consolas"/>
        </w:rPr>
      </w:pPr>
      <w:r>
        <w:rPr>
          <w:rFonts w:ascii="Consolas"/>
          <w:spacing w:val="-1"/>
        </w:rPr>
        <w:t>cell-reference= </w:t>
      </w:r>
      <w:r>
        <w:rPr>
          <w:rFonts w:ascii="Consolas"/>
        </w:rPr>
        <w:t>name</w:t>
        <w:tab/>
        <w:t>|</w:t>
      </w:r>
    </w:p>
    <w:p>
      <w:pPr>
        <w:pStyle w:val="BodyText"/>
        <w:tabs>
          <w:tab w:pos="3290" w:val="left" w:leader="none"/>
          <w:tab w:pos="5466" w:val="left" w:leader="none"/>
        </w:tabs>
        <w:spacing w:line="253" w:lineRule="exact"/>
        <w:ind w:left="750"/>
        <w:rPr>
          <w:rFonts w:ascii="Consolas"/>
        </w:rPr>
      </w:pPr>
      <w:r>
        <w:rPr>
          <w:rFonts w:ascii="Consolas"/>
        </w:rPr>
        <w:t>[work-sheet-prefix]</w:t>
        <w:tab/>
        <w:t>A1-reference</w:t>
        <w:tab/>
        <w:t>|</w:t>
      </w:r>
    </w:p>
    <w:p>
      <w:pPr>
        <w:pStyle w:val="BodyText"/>
        <w:tabs>
          <w:tab w:pos="3290" w:val="left" w:leader="none"/>
          <w:tab w:pos="5106" w:val="left" w:leader="none"/>
          <w:tab w:pos="5467" w:val="left" w:leader="none"/>
          <w:tab w:pos="5830" w:val="left" w:leader="none"/>
          <w:tab w:pos="8006" w:val="left" w:leader="none"/>
        </w:tabs>
        <w:spacing w:line="276" w:lineRule="auto" w:before="40"/>
        <w:ind w:left="750" w:right="2549"/>
        <w:rPr>
          <w:rFonts w:ascii="Consolas"/>
        </w:rPr>
      </w:pPr>
      <w:r>
        <w:rPr>
          <w:rFonts w:ascii="Consolas"/>
        </w:rPr>
        <w:t>[work-sheet-prefix]</w:t>
        <w:tab/>
        <w:t>A1-reference,</w:t>
        <w:tab/>
        <w:t>":",</w:t>
        <w:tab/>
        <w:t>A1-reference</w:t>
        <w:tab/>
      </w:r>
      <w:r>
        <w:rPr>
          <w:rFonts w:ascii="Consolas"/>
          <w:spacing w:val="-17"/>
        </w:rPr>
        <w:t>| </w:t>
      </w:r>
      <w:r>
        <w:rPr>
          <w:rFonts w:ascii="Consolas"/>
        </w:rPr>
        <w:t>[work-sheet-prefix]</w:t>
        <w:tab/>
        <w:t>R1C1-reference</w:t>
        <w:tab/>
        <w:tab/>
        <w:t>|</w:t>
      </w:r>
    </w:p>
    <w:p>
      <w:pPr>
        <w:pStyle w:val="BodyText"/>
        <w:tabs>
          <w:tab w:pos="3290" w:val="left" w:leader="none"/>
          <w:tab w:pos="5345" w:val="left" w:leader="none"/>
          <w:tab w:pos="6071" w:val="left" w:leader="none"/>
          <w:tab w:pos="8249" w:val="left" w:leader="none"/>
        </w:tabs>
        <w:spacing w:line="276" w:lineRule="auto"/>
        <w:ind w:left="508" w:right="2307" w:firstLine="242"/>
        <w:rPr>
          <w:rFonts w:ascii="Consolas"/>
        </w:rPr>
      </w:pPr>
      <w:r>
        <w:rPr>
          <w:rFonts w:ascii="Consolas"/>
        </w:rPr>
        <w:t>[work-sheet-prefix]</w:t>
        <w:tab/>
        <w:t>R1C1-reference,</w:t>
        <w:tab/>
        <w:t>":",</w:t>
        <w:tab/>
        <w:t>R1C1-reference</w:t>
        <w:tab/>
      </w:r>
      <w:r>
        <w:rPr>
          <w:rFonts w:ascii="Consolas"/>
          <w:spacing w:val="-18"/>
        </w:rPr>
        <w:t>; </w:t>
      </w:r>
      <w:r>
        <w:rPr>
          <w:rFonts w:ascii="Consolas"/>
        </w:rPr>
        <w:t>work-sheet-prefix=</w:t>
      </w:r>
    </w:p>
    <w:p>
      <w:pPr>
        <w:pStyle w:val="BodyText"/>
        <w:tabs>
          <w:tab w:pos="2321" w:val="left" w:leader="none"/>
          <w:tab w:pos="2925" w:val="left" w:leader="none"/>
          <w:tab w:pos="4015" w:val="left" w:leader="none"/>
        </w:tabs>
        <w:spacing w:line="278" w:lineRule="auto"/>
        <w:ind w:left="750" w:right="6541"/>
        <w:rPr>
          <w:rFonts w:ascii="Consolas"/>
        </w:rPr>
      </w:pPr>
      <w:r>
        <w:rPr>
          <w:rFonts w:ascii="Consolas"/>
        </w:rPr>
        <w:t>work-sheet-prefix-special</w:t>
        <w:tab/>
      </w:r>
      <w:r>
        <w:rPr>
          <w:rFonts w:ascii="Consolas"/>
          <w:spacing w:val="-18"/>
        </w:rPr>
        <w:t>| </w:t>
      </w:r>
      <w:r>
        <w:rPr>
          <w:rFonts w:ascii="Consolas"/>
        </w:rPr>
        <w:t>sheet-name,</w:t>
        <w:tab/>
        <w:t>"!"</w:t>
        <w:tab/>
        <w:t>|</w:t>
      </w:r>
    </w:p>
    <w:p>
      <w:pPr>
        <w:pStyle w:val="BodyText"/>
        <w:tabs>
          <w:tab w:pos="2321" w:val="left" w:leader="none"/>
          <w:tab w:pos="3047" w:val="left" w:leader="none"/>
          <w:tab w:pos="4621" w:val="left" w:leader="none"/>
          <w:tab w:pos="5225" w:val="left" w:leader="none"/>
        </w:tabs>
        <w:spacing w:line="253" w:lineRule="exact"/>
        <w:ind w:left="750"/>
        <w:rPr>
          <w:rFonts w:ascii="Consolas"/>
        </w:rPr>
      </w:pPr>
      <w:r>
        <w:rPr>
          <w:rFonts w:ascii="Consolas"/>
        </w:rPr>
        <w:t>sheet-name,</w:t>
        <w:tab/>
        <w:t>":",</w:t>
        <w:tab/>
        <w:t>sheet-name,</w:t>
        <w:tab/>
        <w:t>"!"</w:t>
        <w:tab/>
        <w:t>|</w:t>
      </w:r>
    </w:p>
    <w:p>
      <w:pPr>
        <w:pStyle w:val="BodyText"/>
        <w:tabs>
          <w:tab w:pos="1477" w:val="left" w:leader="none"/>
          <w:tab w:pos="3410" w:val="left" w:leader="none"/>
          <w:tab w:pos="4134" w:val="left" w:leader="none"/>
          <w:tab w:pos="5710" w:val="left" w:leader="none"/>
          <w:tab w:pos="6434" w:val="left" w:leader="none"/>
          <w:tab w:pos="8007" w:val="left" w:leader="none"/>
          <w:tab w:pos="8733" w:val="left" w:leader="none"/>
        </w:tabs>
        <w:spacing w:before="39"/>
        <w:ind w:left="750"/>
        <w:rPr>
          <w:rFonts w:ascii="Consolas"/>
        </w:rPr>
      </w:pPr>
      <w:r>
        <w:rPr>
          <w:rFonts w:ascii="Consolas"/>
        </w:rPr>
        <w:t>"[",</w:t>
        <w:tab/>
        <w:t>workbook-name,</w:t>
        <w:tab/>
        <w:t>"]",</w:t>
        <w:tab/>
        <w:t>sheet-name,</w:t>
        <w:tab/>
        <w:t>":",</w:t>
        <w:tab/>
        <w:t>sheet-name,</w:t>
        <w:tab/>
        <w:t>"!"</w:t>
        <w:tab/>
        <w:t>;</w:t>
      </w:r>
    </w:p>
    <w:p>
      <w:pPr>
        <w:spacing w:after="0"/>
        <w:rPr>
          <w:rFonts w:ascii="Consolas"/>
        </w:rPr>
        <w:sectPr>
          <w:pgSz w:w="12240" w:h="15840"/>
          <w:pgMar w:header="763" w:footer="746" w:top="1340" w:bottom="940" w:left="860" w:right="700"/>
        </w:sectPr>
      </w:pPr>
    </w:p>
    <w:p>
      <w:pPr>
        <w:pStyle w:val="BodyText"/>
        <w:spacing w:before="93"/>
        <w:ind w:left="508"/>
        <w:rPr>
          <w:rFonts w:ascii="Consolas"/>
        </w:rPr>
      </w:pPr>
      <w:r>
        <w:rPr>
          <w:rFonts w:ascii="Consolas"/>
        </w:rPr>
        <w:t>work-sheet-prefix-special=</w:t>
      </w:r>
    </w:p>
    <w:p>
      <w:pPr>
        <w:pStyle w:val="BodyText"/>
        <w:tabs>
          <w:tab w:pos="2320" w:val="left" w:leader="none"/>
          <w:tab w:pos="4863" w:val="left" w:leader="none"/>
          <w:tab w:pos="6916" w:val="left" w:leader="none"/>
        </w:tabs>
        <w:spacing w:line="278" w:lineRule="auto" w:before="38"/>
        <w:ind w:left="750" w:right="3639"/>
        <w:rPr>
          <w:rFonts w:ascii="Consolas"/>
        </w:rPr>
      </w:pPr>
      <w:r>
        <w:rPr>
          <w:rFonts w:ascii="Consolas"/>
        </w:rPr>
        <w:t>apostrophe,</w:t>
        <w:tab/>
        <w:t>sheet-name-special,</w:t>
        <w:tab/>
        <w:t>apostrophe,</w:t>
      </w:r>
      <w:r>
        <w:rPr>
          <w:rFonts w:ascii="Consolas"/>
          <w:spacing w:val="-6"/>
        </w:rPr>
        <w:t> </w:t>
      </w:r>
      <w:r>
        <w:rPr>
          <w:rFonts w:ascii="Consolas"/>
        </w:rPr>
        <w:t>"!"</w:t>
        <w:tab/>
      </w:r>
      <w:r>
        <w:rPr>
          <w:rFonts w:ascii="Consolas"/>
          <w:spacing w:val="-17"/>
        </w:rPr>
        <w:t>| </w:t>
      </w:r>
      <w:r>
        <w:rPr>
          <w:rFonts w:ascii="Consolas"/>
        </w:rPr>
        <w:t>apostrophe,</w:t>
        <w:tab/>
        <w:t>sheet-name-special,</w:t>
        <w:tab/>
        <w:t>":",</w:t>
      </w:r>
    </w:p>
    <w:p>
      <w:pPr>
        <w:pStyle w:val="BodyText"/>
        <w:tabs>
          <w:tab w:pos="2320" w:val="left" w:leader="none"/>
          <w:tab w:pos="3046" w:val="left" w:leader="none"/>
          <w:tab w:pos="5587" w:val="left" w:leader="none"/>
          <w:tab w:pos="5950" w:val="left" w:leader="none"/>
          <w:tab w:pos="7157" w:val="left" w:leader="none"/>
          <w:tab w:pos="7761" w:val="left" w:leader="none"/>
        </w:tabs>
        <w:spacing w:line="278" w:lineRule="auto"/>
        <w:ind w:left="750" w:right="2795" w:firstLine="2299"/>
        <w:rPr>
          <w:rFonts w:ascii="Consolas"/>
        </w:rPr>
      </w:pPr>
      <w:r>
        <w:rPr>
          <w:rFonts w:ascii="Consolas"/>
        </w:rPr>
        <w:t>sheet-name-special,</w:t>
        <w:tab/>
        <w:t>apostrophe,</w:t>
        <w:tab/>
        <w:t>"!"</w:t>
        <w:tab/>
      </w:r>
      <w:r>
        <w:rPr>
          <w:rFonts w:ascii="Consolas"/>
          <w:spacing w:val="-18"/>
        </w:rPr>
        <w:t>| </w:t>
      </w:r>
      <w:r>
        <w:rPr>
          <w:rFonts w:ascii="Consolas"/>
        </w:rPr>
        <w:t>apostrophe,</w:t>
        <w:tab/>
        <w:t>"[",</w:t>
        <w:tab/>
        <w:t>workbook-name-special,</w:t>
        <w:tab/>
        <w:t>"]",</w:t>
      </w:r>
    </w:p>
    <w:p>
      <w:pPr>
        <w:pStyle w:val="BodyText"/>
        <w:tabs>
          <w:tab w:pos="2320" w:val="left" w:leader="none"/>
          <w:tab w:pos="3046" w:val="left" w:leader="none"/>
          <w:tab w:pos="5710" w:val="left" w:leader="none"/>
          <w:tab w:pos="5950" w:val="left" w:leader="none"/>
          <w:tab w:pos="7279" w:val="left" w:leader="none"/>
          <w:tab w:pos="7889" w:val="left" w:leader="none"/>
        </w:tabs>
        <w:spacing w:line="278" w:lineRule="auto"/>
        <w:ind w:left="750" w:right="2667" w:firstLine="2419"/>
        <w:rPr>
          <w:rFonts w:ascii="Consolas"/>
        </w:rPr>
      </w:pPr>
      <w:r>
        <w:rPr>
          <w:rFonts w:ascii="Consolas"/>
        </w:rPr>
        <w:t>sheet-name-special,</w:t>
        <w:tab/>
        <w:t>apostrophe,</w:t>
        <w:tab/>
        <w:t>"!"</w:t>
        <w:tab/>
      </w:r>
      <w:r>
        <w:rPr>
          <w:rFonts w:ascii="Consolas"/>
          <w:spacing w:val="-18"/>
        </w:rPr>
        <w:t>| </w:t>
      </w:r>
      <w:r>
        <w:rPr>
          <w:rFonts w:ascii="Consolas"/>
        </w:rPr>
        <w:t>apostrophe,</w:t>
        <w:tab/>
        <w:t>"[",</w:t>
        <w:tab/>
      </w:r>
      <w:r>
        <w:rPr>
          <w:rFonts w:ascii="Consolas"/>
          <w:spacing w:val="-1"/>
        </w:rPr>
        <w:t>workbook-name-special,</w:t>
        <w:tab/>
        <w:tab/>
      </w:r>
      <w:r>
        <w:rPr>
          <w:rFonts w:ascii="Consolas"/>
        </w:rPr>
        <w:t>"]",</w:t>
      </w:r>
    </w:p>
    <w:p>
      <w:pPr>
        <w:pStyle w:val="BodyText"/>
        <w:tabs>
          <w:tab w:pos="4740" w:val="left" w:leader="none"/>
          <w:tab w:pos="5466" w:val="left" w:leader="none"/>
          <w:tab w:pos="5710" w:val="left" w:leader="none"/>
          <w:tab w:pos="6434" w:val="left" w:leader="none"/>
        </w:tabs>
        <w:spacing w:line="276" w:lineRule="auto"/>
        <w:ind w:left="3170" w:right="1943"/>
        <w:rPr>
          <w:rFonts w:ascii="Consolas"/>
        </w:rPr>
      </w:pPr>
      <w:r>
        <w:rPr>
          <w:rFonts w:ascii="Consolas"/>
          <w:spacing w:val="-1"/>
        </w:rPr>
        <w:t>sheet-name-special,</w:t>
        <w:tab/>
      </w:r>
      <w:r>
        <w:rPr>
          <w:rFonts w:ascii="Consolas"/>
        </w:rPr>
        <w:t>":",</w:t>
        <w:tab/>
      </w:r>
      <w:r>
        <w:rPr>
          <w:rFonts w:ascii="Consolas"/>
          <w:spacing w:val="-1"/>
        </w:rPr>
        <w:t>sheet-name-special, </w:t>
      </w:r>
      <w:r>
        <w:rPr>
          <w:rFonts w:ascii="Consolas"/>
        </w:rPr>
        <w:t>apostrophe,</w:t>
        <w:tab/>
        <w:t>"!"</w:t>
        <w:tab/>
        <w:t>;</w:t>
      </w:r>
    </w:p>
    <w:p>
      <w:pPr>
        <w:pStyle w:val="BodyText"/>
        <w:spacing w:line="243" w:lineRule="exact"/>
        <w:ind w:left="508"/>
        <w:rPr>
          <w:rFonts w:ascii="Consolas"/>
        </w:rPr>
      </w:pPr>
      <w:r>
        <w:rPr>
          <w:rFonts w:ascii="Consolas"/>
        </w:rPr>
        <w:t>workbook-name=</w:t>
      </w:r>
    </w:p>
    <w:p>
      <w:pPr>
        <w:pStyle w:val="BodyText"/>
        <w:tabs>
          <w:tab w:pos="3410" w:val="left" w:leader="none"/>
        </w:tabs>
        <w:spacing w:line="278" w:lineRule="auto" w:before="37"/>
        <w:ind w:left="508" w:right="7146" w:firstLine="242"/>
        <w:rPr>
          <w:rFonts w:ascii="Consolas"/>
        </w:rPr>
      </w:pPr>
      <w:r>
        <w:rPr>
          <w:rFonts w:ascii="Consolas"/>
        </w:rPr>
        <w:t>book-name-characters</w:t>
        <w:tab/>
      </w:r>
      <w:r>
        <w:rPr>
          <w:rFonts w:ascii="Consolas"/>
          <w:spacing w:val="-18"/>
        </w:rPr>
        <w:t>; </w:t>
      </w:r>
      <w:r>
        <w:rPr>
          <w:rFonts w:ascii="Consolas"/>
        </w:rPr>
        <w:t>book-name-characters=</w:t>
      </w:r>
    </w:p>
    <w:p>
      <w:pPr>
        <w:pStyle w:val="BodyText"/>
        <w:tabs>
          <w:tab w:pos="3410" w:val="left" w:leader="none"/>
          <w:tab w:pos="6192" w:val="left" w:leader="none"/>
        </w:tabs>
        <w:spacing w:line="278" w:lineRule="auto"/>
        <w:ind w:left="508" w:right="4364" w:firstLine="242"/>
        <w:rPr>
          <w:rFonts w:ascii="Consolas"/>
        </w:rPr>
      </w:pPr>
      <w:r>
        <w:rPr>
          <w:rFonts w:ascii="Consolas"/>
        </w:rPr>
        <w:t>book-name-character,</w:t>
        <w:tab/>
        <w:t>{book-name-character}</w:t>
        <w:tab/>
      </w:r>
      <w:r>
        <w:rPr>
          <w:rFonts w:ascii="Consolas"/>
          <w:spacing w:val="-18"/>
        </w:rPr>
        <w:t>; </w:t>
      </w:r>
      <w:r>
        <w:rPr>
          <w:rFonts w:ascii="Consolas"/>
        </w:rPr>
        <w:t>book-name-character=</w:t>
      </w:r>
    </w:p>
    <w:p>
      <w:pPr>
        <w:pStyle w:val="BodyText"/>
        <w:tabs>
          <w:tab w:pos="2082" w:val="left" w:leader="none"/>
          <w:tab w:pos="2445" w:val="left" w:leader="none"/>
          <w:tab w:pos="3772" w:val="left" w:leader="none"/>
          <w:tab w:pos="4134" w:val="left" w:leader="none"/>
          <w:tab w:pos="5584" w:val="left" w:leader="none"/>
          <w:tab w:pos="5946" w:val="left" w:leader="none"/>
          <w:tab w:pos="6550" w:val="left" w:leader="none"/>
          <w:tab w:pos="6914" w:val="left" w:leader="none"/>
          <w:tab w:pos="7518" w:val="left" w:leader="none"/>
          <w:tab w:pos="7880" w:val="left" w:leader="none"/>
          <w:tab w:pos="8603" w:val="left" w:leader="none"/>
        </w:tabs>
        <w:spacing w:line="276" w:lineRule="auto"/>
        <w:ind w:left="1235" w:right="1952" w:hanging="485"/>
        <w:rPr>
          <w:rFonts w:ascii="Consolas" w:hAnsi="Consolas"/>
        </w:rPr>
      </w:pPr>
      <w:r>
        <w:rPr>
          <w:rFonts w:ascii="Consolas" w:hAnsi="Consolas"/>
        </w:rPr>
        <w:t>character</w:t>
        <w:tab/>
        <w:t>–</w:t>
        <w:tab/>
        <w:t>(operator</w:t>
        <w:tab/>
        <w:t>|</w:t>
        <w:tab/>
        <w:t>apostrophe</w:t>
        <w:tab/>
        <w:t>|</w:t>
        <w:tab/>
        <w:t>"["</w:t>
        <w:tab/>
        <w:t>|</w:t>
        <w:tab/>
        <w:t>"]"</w:t>
        <w:tab/>
        <w:t>|</w:t>
        <w:tab/>
        <w:t>"?")</w:t>
        <w:tab/>
      </w:r>
      <w:r>
        <w:rPr>
          <w:rFonts w:ascii="Consolas" w:hAnsi="Consolas"/>
          <w:spacing w:val="-17"/>
        </w:rPr>
        <w:t>; </w:t>
      </w:r>
      <w:r>
        <w:rPr>
          <w:rFonts w:ascii="Consolas" w:hAnsi="Consolas"/>
        </w:rPr>
        <w:t>(* any character except operator or ', [, ], or ?</w:t>
      </w:r>
      <w:r>
        <w:rPr>
          <w:rFonts w:ascii="Consolas" w:hAnsi="Consolas"/>
          <w:spacing w:val="-22"/>
        </w:rPr>
        <w:t> </w:t>
      </w:r>
      <w:r>
        <w:rPr>
          <w:rFonts w:ascii="Consolas" w:hAnsi="Consolas"/>
        </w:rPr>
        <w:t>*)</w:t>
      </w:r>
    </w:p>
    <w:p>
      <w:pPr>
        <w:pStyle w:val="BodyText"/>
        <w:ind w:left="508"/>
        <w:rPr>
          <w:rFonts w:ascii="Consolas"/>
        </w:rPr>
      </w:pPr>
      <w:r>
        <w:rPr>
          <w:rFonts w:ascii="Consolas"/>
        </w:rPr>
        <w:t>apostrophe=</w:t>
      </w:r>
    </w:p>
    <w:p>
      <w:pPr>
        <w:pStyle w:val="BodyText"/>
        <w:tabs>
          <w:tab w:pos="1354" w:val="left" w:leader="none"/>
          <w:tab w:pos="1838" w:val="left" w:leader="none"/>
        </w:tabs>
        <w:spacing w:line="278" w:lineRule="auto" w:before="29"/>
        <w:ind w:left="508" w:right="5216" w:firstLine="242"/>
        <w:rPr>
          <w:rFonts w:ascii="Consolas"/>
        </w:rPr>
      </w:pPr>
      <w:r>
        <w:rPr>
          <w:rFonts w:ascii="Consolas"/>
        </w:rPr>
        <w:t>"'"</w:t>
        <w:tab/>
        <w:t>;</w:t>
        <w:tab/>
        <w:t>(* one apostrophe character</w:t>
      </w:r>
      <w:r>
        <w:rPr>
          <w:rFonts w:ascii="Consolas"/>
          <w:spacing w:val="-20"/>
        </w:rPr>
        <w:t> </w:t>
      </w:r>
      <w:r>
        <w:rPr>
          <w:rFonts w:ascii="Consolas"/>
        </w:rPr>
        <w:t>*) sheet-name=</w:t>
      </w:r>
    </w:p>
    <w:p>
      <w:pPr>
        <w:pStyle w:val="BodyText"/>
        <w:tabs>
          <w:tab w:pos="3652" w:val="left" w:leader="none"/>
        </w:tabs>
        <w:spacing w:line="278" w:lineRule="auto"/>
        <w:ind w:left="508" w:right="6904" w:firstLine="242"/>
        <w:rPr>
          <w:rFonts w:ascii="Consolas"/>
        </w:rPr>
      </w:pPr>
      <w:r>
        <w:rPr>
          <w:rFonts w:ascii="Consolas"/>
        </w:rPr>
        <w:t>sheet-name-characters</w:t>
        <w:tab/>
      </w:r>
      <w:r>
        <w:rPr>
          <w:rFonts w:ascii="Consolas"/>
          <w:spacing w:val="-18"/>
        </w:rPr>
        <w:t>; </w:t>
      </w:r>
      <w:r>
        <w:rPr>
          <w:rFonts w:ascii="Consolas"/>
        </w:rPr>
        <w:t>sheet-name-character=</w:t>
      </w:r>
    </w:p>
    <w:p>
      <w:pPr>
        <w:pStyle w:val="BodyText"/>
        <w:tabs>
          <w:tab w:pos="2082" w:val="left" w:leader="none"/>
          <w:tab w:pos="2445" w:val="left" w:leader="none"/>
          <w:tab w:pos="3772" w:val="left" w:leader="none"/>
          <w:tab w:pos="4134" w:val="left" w:leader="none"/>
          <w:tab w:pos="5584" w:val="left" w:leader="none"/>
          <w:tab w:pos="5946" w:val="left" w:leader="none"/>
          <w:tab w:pos="6550" w:val="left" w:leader="none"/>
          <w:tab w:pos="6914" w:val="left" w:leader="none"/>
          <w:tab w:pos="7518" w:val="left" w:leader="none"/>
          <w:tab w:pos="7880" w:val="left" w:leader="none"/>
          <w:tab w:pos="8493" w:val="left" w:leader="none"/>
          <w:tab w:pos="8855" w:val="left" w:leader="none"/>
          <w:tab w:pos="9579" w:val="left" w:leader="none"/>
        </w:tabs>
        <w:spacing w:line="276" w:lineRule="auto"/>
        <w:ind w:left="2082" w:right="977" w:hanging="1332"/>
        <w:rPr>
          <w:rFonts w:ascii="Consolas" w:hAnsi="Consolas"/>
        </w:rPr>
      </w:pPr>
      <w:r>
        <w:rPr>
          <w:rFonts w:ascii="Consolas" w:hAnsi="Consolas"/>
        </w:rPr>
        <w:t>character</w:t>
        <w:tab/>
        <w:t>–</w:t>
        <w:tab/>
        <w:t>(operator</w:t>
        <w:tab/>
        <w:t>|</w:t>
        <w:tab/>
        <w:t>apostrophe</w:t>
        <w:tab/>
        <w:t>|</w:t>
        <w:tab/>
        <w:t>"["</w:t>
        <w:tab/>
        <w:t>|</w:t>
        <w:tab/>
        <w:t>"]"</w:t>
        <w:tab/>
        <w:t>|</w:t>
        <w:tab/>
      </w:r>
      <w:r>
        <w:rPr>
          <w:rFonts w:ascii="Consolas" w:hAnsi="Consolas"/>
          <w:spacing w:val="2"/>
        </w:rPr>
        <w:t>"\"</w:t>
        <w:tab/>
      </w:r>
      <w:r>
        <w:rPr>
          <w:rFonts w:ascii="Consolas" w:hAnsi="Consolas"/>
        </w:rPr>
        <w:t>|</w:t>
        <w:tab/>
        <w:t>"?")</w:t>
        <w:tab/>
      </w:r>
      <w:r>
        <w:rPr>
          <w:rFonts w:ascii="Consolas" w:hAnsi="Consolas"/>
          <w:spacing w:val="-18"/>
        </w:rPr>
        <w:t>; </w:t>
      </w:r>
      <w:r>
        <w:rPr>
          <w:rFonts w:ascii="Consolas" w:hAnsi="Consolas"/>
        </w:rPr>
        <w:t>(* any character except operator or ', [, ], \, or ?</w:t>
      </w:r>
      <w:r>
        <w:rPr>
          <w:rFonts w:ascii="Consolas" w:hAnsi="Consolas"/>
          <w:spacing w:val="-22"/>
        </w:rPr>
        <w:t> </w:t>
      </w:r>
      <w:r>
        <w:rPr>
          <w:rFonts w:ascii="Consolas" w:hAnsi="Consolas"/>
        </w:rPr>
        <w:t>*)</w:t>
      </w:r>
    </w:p>
    <w:p>
      <w:pPr>
        <w:pStyle w:val="BodyText"/>
        <w:ind w:left="508"/>
        <w:rPr>
          <w:rFonts w:ascii="Consolas"/>
        </w:rPr>
      </w:pPr>
      <w:r>
        <w:rPr>
          <w:rFonts w:ascii="Consolas"/>
        </w:rPr>
        <w:t>sheet-name-characters=</w:t>
      </w:r>
    </w:p>
    <w:p>
      <w:pPr>
        <w:pStyle w:val="BodyText"/>
        <w:tabs>
          <w:tab w:pos="3530" w:val="left" w:leader="none"/>
          <w:tab w:pos="6434" w:val="left" w:leader="none"/>
        </w:tabs>
        <w:spacing w:line="278" w:lineRule="auto" w:before="29"/>
        <w:ind w:left="508" w:right="4121" w:firstLine="242"/>
        <w:rPr>
          <w:rFonts w:ascii="Consolas"/>
        </w:rPr>
      </w:pPr>
      <w:r>
        <w:rPr>
          <w:rFonts w:ascii="Consolas"/>
        </w:rPr>
        <w:t>sheet-name-character,</w:t>
        <w:tab/>
        <w:t>{sheet-name-character}</w:t>
        <w:tab/>
      </w:r>
      <w:r>
        <w:rPr>
          <w:rFonts w:ascii="Consolas"/>
          <w:spacing w:val="-17"/>
        </w:rPr>
        <w:t>; </w:t>
      </w:r>
      <w:r>
        <w:rPr>
          <w:rFonts w:ascii="Consolas"/>
        </w:rPr>
        <w:t>workbook-name-special=</w:t>
      </w:r>
    </w:p>
    <w:p>
      <w:pPr>
        <w:pStyle w:val="BodyText"/>
        <w:spacing w:line="278" w:lineRule="auto"/>
        <w:ind w:left="993" w:right="5693" w:hanging="243"/>
        <w:rPr>
          <w:rFonts w:ascii="Consolas"/>
        </w:rPr>
      </w:pPr>
      <w:r>
        <w:rPr>
          <w:rFonts w:ascii="Consolas"/>
        </w:rPr>
        <w:t>book-name-start-character-special, [ book-name-characters-special</w:t>
      </w:r>
      <w:r>
        <w:rPr>
          <w:rFonts w:ascii="Consolas"/>
          <w:spacing w:val="-15"/>
        </w:rPr>
        <w:t> </w:t>
      </w:r>
      <w:r>
        <w:rPr>
          <w:rFonts w:ascii="Consolas"/>
        </w:rPr>
        <w:t>];</w:t>
      </w:r>
    </w:p>
    <w:p>
      <w:pPr>
        <w:pStyle w:val="BodyText"/>
        <w:spacing w:line="253" w:lineRule="exact"/>
        <w:ind w:left="508"/>
        <w:rPr>
          <w:rFonts w:ascii="Consolas"/>
        </w:rPr>
      </w:pPr>
      <w:r>
        <w:rPr>
          <w:rFonts w:ascii="Consolas"/>
        </w:rPr>
        <w:t>book-name-start-character-special=</w:t>
      </w:r>
    </w:p>
    <w:p>
      <w:pPr>
        <w:pStyle w:val="BodyText"/>
        <w:tabs>
          <w:tab w:pos="2082" w:val="left" w:leader="none"/>
          <w:tab w:pos="2445" w:val="left" w:leader="none"/>
          <w:tab w:pos="4015" w:val="left" w:leader="none"/>
          <w:tab w:pos="4377" w:val="left" w:leader="none"/>
          <w:tab w:pos="4980" w:val="left" w:leader="none"/>
          <w:tab w:pos="5342" w:val="left" w:leader="none"/>
          <w:tab w:pos="5946" w:val="left" w:leader="none"/>
          <w:tab w:pos="6310" w:val="left" w:leader="none"/>
          <w:tab w:pos="6914" w:val="left" w:leader="none"/>
          <w:tab w:pos="7276" w:val="left" w:leader="none"/>
          <w:tab w:pos="7880" w:val="left" w:leader="none"/>
          <w:tab w:pos="8242" w:val="left" w:leader="none"/>
          <w:tab w:pos="8966" w:val="left" w:leader="none"/>
        </w:tabs>
        <w:spacing w:line="276" w:lineRule="auto" w:before="35"/>
        <w:ind w:left="1235" w:right="1350" w:hanging="485"/>
        <w:rPr>
          <w:rFonts w:ascii="Consolas" w:hAnsi="Consolas"/>
        </w:rPr>
      </w:pPr>
      <w:r>
        <w:rPr>
          <w:rFonts w:ascii="Consolas" w:hAnsi="Consolas"/>
        </w:rPr>
        <w:t>character</w:t>
        <w:tab/>
        <w:t>–</w:t>
        <w:tab/>
        <w:t>(apostrophe</w:t>
        <w:tab/>
        <w:t>|</w:t>
        <w:tab/>
        <w:t>"*"</w:t>
        <w:tab/>
        <w:t>|</w:t>
        <w:tab/>
        <w:t>"["</w:t>
        <w:tab/>
        <w:t>|</w:t>
        <w:tab/>
        <w:t>"]"</w:t>
        <w:tab/>
        <w:t>|</w:t>
        <w:tab/>
        <w:t>":"</w:t>
        <w:tab/>
        <w:t>|</w:t>
        <w:tab/>
        <w:t>"?")</w:t>
        <w:tab/>
        <w:t>; (* any character, including operator, except ', *, [, ], :, or ?</w:t>
      </w:r>
      <w:r>
        <w:rPr>
          <w:rFonts w:ascii="Consolas" w:hAnsi="Consolas"/>
          <w:spacing w:val="-43"/>
        </w:rPr>
        <w:t> </w:t>
      </w:r>
      <w:r>
        <w:rPr>
          <w:rFonts w:ascii="Consolas" w:hAnsi="Consolas"/>
        </w:rPr>
        <w:t>*)</w:t>
      </w:r>
    </w:p>
    <w:p>
      <w:pPr>
        <w:pStyle w:val="BodyText"/>
        <w:spacing w:line="256" w:lineRule="exact"/>
        <w:ind w:left="508"/>
        <w:rPr>
          <w:rFonts w:ascii="Consolas"/>
        </w:rPr>
      </w:pPr>
      <w:r>
        <w:rPr>
          <w:rFonts w:ascii="Consolas"/>
        </w:rPr>
        <w:t>book-name-characters-special=</w:t>
      </w:r>
    </w:p>
    <w:p>
      <w:pPr>
        <w:pStyle w:val="BodyText"/>
        <w:tabs>
          <w:tab w:pos="4378" w:val="left" w:leader="none"/>
          <w:tab w:pos="8129" w:val="left" w:leader="none"/>
        </w:tabs>
        <w:spacing w:line="276" w:lineRule="auto" w:before="40"/>
        <w:ind w:left="508" w:right="2426" w:firstLine="242"/>
        <w:rPr>
          <w:rFonts w:ascii="Consolas"/>
        </w:rPr>
      </w:pPr>
      <w:r>
        <w:rPr>
          <w:rFonts w:ascii="Consolas"/>
        </w:rPr>
        <w:t>book-name-character-special,</w:t>
        <w:tab/>
        <w:t>{book-name-character-special}</w:t>
        <w:tab/>
      </w:r>
      <w:r>
        <w:rPr>
          <w:rFonts w:ascii="Consolas"/>
          <w:spacing w:val="-17"/>
        </w:rPr>
        <w:t>; </w:t>
      </w:r>
      <w:r>
        <w:rPr>
          <w:rFonts w:ascii="Consolas"/>
        </w:rPr>
        <w:t>book-name-character-special=</w:t>
      </w:r>
    </w:p>
    <w:p>
      <w:pPr>
        <w:pStyle w:val="BodyText"/>
        <w:tabs>
          <w:tab w:pos="3650" w:val="left" w:leader="none"/>
        </w:tabs>
        <w:ind w:left="750"/>
        <w:rPr>
          <w:rFonts w:ascii="Consolas"/>
        </w:rPr>
      </w:pPr>
      <w:r>
        <w:rPr>
          <w:rFonts w:ascii="Consolas"/>
        </w:rPr>
        <w:t>apostrophe,</w:t>
      </w:r>
      <w:r>
        <w:rPr>
          <w:rFonts w:ascii="Consolas"/>
          <w:spacing w:val="-7"/>
        </w:rPr>
        <w:t> </w:t>
      </w:r>
      <w:r>
        <w:rPr>
          <w:rFonts w:ascii="Consolas"/>
        </w:rPr>
        <w:t>apostrophe</w:t>
        <w:tab/>
        <w:t>|</w:t>
      </w:r>
    </w:p>
    <w:p>
      <w:pPr>
        <w:pStyle w:val="BodyText"/>
        <w:tabs>
          <w:tab w:pos="2082" w:val="left" w:leader="none"/>
          <w:tab w:pos="2445" w:val="left" w:leader="none"/>
          <w:tab w:pos="4014" w:val="left" w:leader="none"/>
          <w:tab w:pos="4376" w:val="left" w:leader="none"/>
          <w:tab w:pos="4980" w:val="left" w:leader="none"/>
          <w:tab w:pos="5342" w:val="left" w:leader="none"/>
          <w:tab w:pos="5946" w:val="left" w:leader="none"/>
          <w:tab w:pos="6310" w:val="left" w:leader="none"/>
          <w:tab w:pos="6914" w:val="left" w:leader="none"/>
          <w:tab w:pos="7396" w:val="left" w:leader="none"/>
          <w:tab w:pos="7999" w:val="left" w:leader="none"/>
          <w:tab w:pos="8361" w:val="left" w:leader="none"/>
          <w:tab w:pos="9087" w:val="left" w:leader="none"/>
        </w:tabs>
        <w:spacing w:line="278" w:lineRule="auto" w:before="38"/>
        <w:ind w:left="1478" w:right="1108" w:hanging="728"/>
        <w:rPr>
          <w:rFonts w:ascii="Consolas" w:hAnsi="Consolas"/>
        </w:rPr>
      </w:pPr>
      <w:r>
        <w:rPr>
          <w:rFonts w:ascii="Consolas" w:hAnsi="Consolas"/>
        </w:rPr>
        <w:t>character</w:t>
        <w:tab/>
        <w:t>–</w:t>
        <w:tab/>
        <w:t>(apostrophe</w:t>
        <w:tab/>
        <w:t>|</w:t>
        <w:tab/>
        <w:t>"*"</w:t>
        <w:tab/>
        <w:t>|</w:t>
        <w:tab/>
        <w:t>"["</w:t>
        <w:tab/>
        <w:t>|</w:t>
        <w:tab/>
        <w:t>"]"</w:t>
        <w:tab/>
        <w:t>|</w:t>
        <w:tab/>
        <w:t>":"</w:t>
        <w:tab/>
        <w:t>|</w:t>
        <w:tab/>
        <w:t>"?")</w:t>
        <w:tab/>
        <w:t>;  (* any character, including operator, except ', *, [, ], :, or ?</w:t>
      </w:r>
      <w:r>
        <w:rPr>
          <w:rFonts w:ascii="Consolas" w:hAnsi="Consolas"/>
          <w:spacing w:val="-43"/>
        </w:rPr>
        <w:t> </w:t>
      </w:r>
      <w:r>
        <w:rPr>
          <w:rFonts w:ascii="Consolas" w:hAnsi="Consolas"/>
        </w:rPr>
        <w:t>*)</w:t>
      </w:r>
    </w:p>
    <w:p>
      <w:pPr>
        <w:pStyle w:val="BodyText"/>
        <w:spacing w:line="253" w:lineRule="exact"/>
        <w:ind w:left="508"/>
        <w:rPr>
          <w:rFonts w:ascii="Consolas"/>
        </w:rPr>
      </w:pPr>
      <w:r>
        <w:rPr>
          <w:rFonts w:ascii="Consolas"/>
        </w:rPr>
        <w:t>sheet-name-special=</w:t>
      </w:r>
    </w:p>
    <w:p>
      <w:pPr>
        <w:pStyle w:val="BodyText"/>
        <w:spacing w:before="38"/>
        <w:ind w:left="750"/>
        <w:rPr>
          <w:rFonts w:ascii="Consolas"/>
        </w:rPr>
      </w:pPr>
      <w:r>
        <w:rPr>
          <w:rFonts w:ascii="Consolas"/>
        </w:rPr>
        <w:t>sheet-name-start-character-special,</w:t>
      </w:r>
    </w:p>
    <w:p>
      <w:pPr>
        <w:pStyle w:val="BodyText"/>
        <w:tabs>
          <w:tab w:pos="9459" w:val="left" w:leader="none"/>
        </w:tabs>
        <w:spacing w:before="40"/>
        <w:ind w:left="993"/>
        <w:rPr>
          <w:rFonts w:ascii="Consolas"/>
        </w:rPr>
      </w:pPr>
      <w:r>
        <w:rPr>
          <w:rFonts w:ascii="Consolas"/>
        </w:rPr>
        <w:t>[</w:t>
      </w:r>
      <w:r>
        <w:rPr>
          <w:rFonts w:ascii="Consolas"/>
          <w:spacing w:val="-12"/>
        </w:rPr>
        <w:t> </w:t>
      </w:r>
      <w:r>
        <w:rPr>
          <w:rFonts w:ascii="Consolas"/>
        </w:rPr>
        <w:t>[sheet-name-characters-special],</w:t>
      </w:r>
      <w:r>
        <w:rPr>
          <w:rFonts w:ascii="Consolas"/>
          <w:spacing w:val="-12"/>
        </w:rPr>
        <w:t> </w:t>
      </w:r>
      <w:r>
        <w:rPr>
          <w:rFonts w:ascii="Consolas"/>
        </w:rPr>
        <w:t>sheet-name-end-character-special]</w:t>
        <w:tab/>
        <w:t>;</w:t>
      </w:r>
    </w:p>
    <w:p>
      <w:pPr>
        <w:spacing w:after="0"/>
        <w:rPr>
          <w:rFonts w:ascii="Consolas"/>
        </w:rPr>
        <w:sectPr>
          <w:footerReference w:type="even" r:id="rId198"/>
          <w:footerReference w:type="default" r:id="rId199"/>
          <w:pgSz w:w="12240" w:h="15840"/>
          <w:pgMar w:footer="746" w:header="761" w:top="1340" w:bottom="940" w:left="860" w:right="700"/>
          <w:pgNumType w:start="2050"/>
        </w:sectPr>
      </w:pPr>
    </w:p>
    <w:p>
      <w:pPr>
        <w:pStyle w:val="BodyText"/>
        <w:spacing w:before="150"/>
        <w:ind w:left="508"/>
        <w:rPr>
          <w:rFonts w:ascii="Consolas"/>
        </w:rPr>
      </w:pPr>
      <w:r>
        <w:rPr>
          <w:rFonts w:ascii="Consolas"/>
        </w:rPr>
        <w:t>sheet-name-start-character-special=</w:t>
      </w:r>
    </w:p>
    <w:p>
      <w:pPr>
        <w:pStyle w:val="BodyText"/>
        <w:tabs>
          <w:tab w:pos="2082" w:val="left" w:leader="none"/>
          <w:tab w:pos="2445" w:val="left" w:leader="none"/>
          <w:tab w:pos="4014" w:val="left" w:leader="none"/>
          <w:tab w:pos="4376" w:val="left" w:leader="none"/>
          <w:tab w:pos="4980" w:val="left" w:leader="none"/>
          <w:tab w:pos="5342" w:val="left" w:leader="none"/>
          <w:tab w:pos="5946" w:val="left" w:leader="none"/>
          <w:tab w:pos="6310" w:val="left" w:leader="none"/>
          <w:tab w:pos="6914" w:val="left" w:leader="none"/>
          <w:tab w:pos="7276" w:val="left" w:leader="none"/>
          <w:tab w:pos="7888" w:val="left" w:leader="none"/>
          <w:tab w:pos="8250" w:val="left" w:leader="none"/>
          <w:tab w:pos="8854" w:val="left" w:leader="none"/>
          <w:tab w:pos="9216" w:val="left" w:leader="none"/>
        </w:tabs>
        <w:spacing w:before="38"/>
        <w:ind w:left="750"/>
        <w:rPr>
          <w:rFonts w:ascii="Consolas" w:hAnsi="Consolas"/>
        </w:rPr>
      </w:pPr>
      <w:r>
        <w:rPr>
          <w:rFonts w:ascii="Consolas" w:hAnsi="Consolas"/>
        </w:rPr>
        <w:t>character</w:t>
        <w:tab/>
        <w:t>–</w:t>
        <w:tab/>
        <w:t>(apostrophe</w:t>
        <w:tab/>
        <w:t>|</w:t>
        <w:tab/>
        <w:t>"*"</w:t>
        <w:tab/>
        <w:t>|</w:t>
        <w:tab/>
        <w:t>"["</w:t>
        <w:tab/>
        <w:t>|</w:t>
        <w:tab/>
        <w:t>"]"</w:t>
        <w:tab/>
        <w:t>|</w:t>
        <w:tab/>
      </w:r>
      <w:r>
        <w:rPr>
          <w:rFonts w:ascii="Consolas" w:hAnsi="Consolas"/>
          <w:spacing w:val="2"/>
        </w:rPr>
        <w:t>"\"</w:t>
        <w:tab/>
      </w:r>
      <w:r>
        <w:rPr>
          <w:rFonts w:ascii="Consolas" w:hAnsi="Consolas"/>
        </w:rPr>
        <w:t>|</w:t>
        <w:tab/>
        <w:t>":"</w:t>
        <w:tab/>
        <w:t>|</w:t>
        <w:tab/>
        <w:t>"/"</w:t>
      </w:r>
    </w:p>
    <w:p>
      <w:pPr>
        <w:pStyle w:val="BodyText"/>
        <w:tabs>
          <w:tab w:pos="1477" w:val="left" w:leader="none"/>
          <w:tab w:pos="2201" w:val="left" w:leader="none"/>
        </w:tabs>
        <w:spacing w:before="40"/>
        <w:ind w:left="1113"/>
        <w:rPr>
          <w:rFonts w:ascii="Consolas"/>
        </w:rPr>
      </w:pPr>
      <w:r>
        <w:rPr>
          <w:rFonts w:ascii="Consolas"/>
        </w:rPr>
        <w:t>|</w:t>
        <w:tab/>
        <w:t>"?")</w:t>
        <w:tab/>
        <w:t>;</w:t>
      </w:r>
    </w:p>
    <w:p>
      <w:pPr>
        <w:pStyle w:val="BodyText"/>
        <w:spacing w:line="278" w:lineRule="auto" w:before="38"/>
        <w:ind w:left="508" w:right="733" w:firstLine="604"/>
        <w:rPr>
          <w:rFonts w:ascii="Consolas"/>
        </w:rPr>
      </w:pPr>
      <w:r>
        <w:rPr>
          <w:rFonts w:ascii="Consolas"/>
        </w:rPr>
        <w:t>(* any character, including operator, except ', *, [, ], \, :, /, or ? *) sheet-name-end-character-special=</w:t>
      </w:r>
    </w:p>
    <w:p>
      <w:pPr>
        <w:pStyle w:val="BodyText"/>
        <w:tabs>
          <w:tab w:pos="5105" w:val="left" w:leader="none"/>
        </w:tabs>
        <w:spacing w:line="278" w:lineRule="auto"/>
        <w:ind w:left="508" w:right="5450" w:firstLine="242"/>
        <w:rPr>
          <w:rFonts w:ascii="Consolas"/>
        </w:rPr>
      </w:pPr>
      <w:r>
        <w:rPr>
          <w:rFonts w:ascii="Consolas"/>
        </w:rPr>
        <w:t>sheet-name-start-character-special</w:t>
        <w:tab/>
      </w:r>
      <w:r>
        <w:rPr>
          <w:rFonts w:ascii="Consolas"/>
          <w:spacing w:val="-17"/>
        </w:rPr>
        <w:t>; </w:t>
      </w:r>
      <w:r>
        <w:rPr>
          <w:rFonts w:ascii="Consolas"/>
        </w:rPr>
        <w:t>sheet-name-characters-special=</w:t>
      </w:r>
    </w:p>
    <w:p>
      <w:pPr>
        <w:pStyle w:val="BodyText"/>
        <w:tabs>
          <w:tab w:pos="4500" w:val="left" w:leader="none"/>
          <w:tab w:pos="8369" w:val="left" w:leader="none"/>
        </w:tabs>
        <w:spacing w:line="276" w:lineRule="auto"/>
        <w:ind w:left="508" w:right="2186" w:firstLine="242"/>
        <w:rPr>
          <w:rFonts w:ascii="Consolas"/>
        </w:rPr>
      </w:pPr>
      <w:r>
        <w:rPr>
          <w:rFonts w:ascii="Consolas"/>
        </w:rPr>
        <w:t>sheet-name-character-special,</w:t>
        <w:tab/>
        <w:t>{sheet-name-character-special}</w:t>
        <w:tab/>
      </w:r>
      <w:r>
        <w:rPr>
          <w:rFonts w:ascii="Consolas"/>
          <w:spacing w:val="-17"/>
        </w:rPr>
        <w:t>; </w:t>
      </w:r>
      <w:r>
        <w:rPr>
          <w:rFonts w:ascii="Consolas"/>
        </w:rPr>
        <w:t>sheet-name-character-special=</w:t>
      </w:r>
    </w:p>
    <w:p>
      <w:pPr>
        <w:pStyle w:val="BodyText"/>
        <w:tabs>
          <w:tab w:pos="3650" w:val="left" w:leader="none"/>
        </w:tabs>
        <w:ind w:left="750"/>
        <w:rPr>
          <w:rFonts w:ascii="Consolas"/>
        </w:rPr>
      </w:pPr>
      <w:r>
        <w:rPr>
          <w:rFonts w:ascii="Consolas"/>
        </w:rPr>
        <w:t>apostrophe,</w:t>
      </w:r>
      <w:r>
        <w:rPr>
          <w:rFonts w:ascii="Consolas"/>
          <w:spacing w:val="-8"/>
        </w:rPr>
        <w:t> </w:t>
      </w:r>
      <w:r>
        <w:rPr>
          <w:rFonts w:ascii="Consolas"/>
        </w:rPr>
        <w:t>apostrophe</w:t>
        <w:tab/>
        <w:t>|</w:t>
      </w:r>
    </w:p>
    <w:p>
      <w:pPr>
        <w:pStyle w:val="BodyText"/>
        <w:tabs>
          <w:tab w:pos="2082" w:val="left" w:leader="none"/>
          <w:tab w:pos="2445" w:val="left" w:leader="none"/>
          <w:tab w:pos="4014" w:val="left" w:leader="none"/>
          <w:tab w:pos="4376" w:val="left" w:leader="none"/>
          <w:tab w:pos="4980" w:val="left" w:leader="none"/>
          <w:tab w:pos="5342" w:val="left" w:leader="none"/>
          <w:tab w:pos="5946" w:val="left" w:leader="none"/>
          <w:tab w:pos="6310" w:val="left" w:leader="none"/>
          <w:tab w:pos="6914" w:val="left" w:leader="none"/>
          <w:tab w:pos="7276" w:val="left" w:leader="none"/>
          <w:tab w:pos="7888" w:val="left" w:leader="none"/>
          <w:tab w:pos="8250" w:val="left" w:leader="none"/>
          <w:tab w:pos="8854" w:val="left" w:leader="none"/>
          <w:tab w:pos="9216" w:val="left" w:leader="none"/>
        </w:tabs>
        <w:spacing w:before="28"/>
        <w:ind w:left="750"/>
        <w:rPr>
          <w:rFonts w:ascii="Consolas" w:hAnsi="Consolas"/>
        </w:rPr>
      </w:pPr>
      <w:r>
        <w:rPr>
          <w:rFonts w:ascii="Consolas" w:hAnsi="Consolas"/>
        </w:rPr>
        <w:t>character</w:t>
        <w:tab/>
        <w:t>–</w:t>
        <w:tab/>
        <w:t>(apostrophe</w:t>
        <w:tab/>
        <w:t>|</w:t>
        <w:tab/>
        <w:t>"*"</w:t>
        <w:tab/>
        <w:t>|</w:t>
        <w:tab/>
        <w:t>"["</w:t>
        <w:tab/>
        <w:t>|</w:t>
        <w:tab/>
        <w:t>"]"</w:t>
        <w:tab/>
        <w:t>|</w:t>
        <w:tab/>
      </w:r>
      <w:r>
        <w:rPr>
          <w:rFonts w:ascii="Consolas" w:hAnsi="Consolas"/>
          <w:spacing w:val="2"/>
        </w:rPr>
        <w:t>"\"</w:t>
        <w:tab/>
      </w:r>
      <w:r>
        <w:rPr>
          <w:rFonts w:ascii="Consolas" w:hAnsi="Consolas"/>
        </w:rPr>
        <w:t>|</w:t>
        <w:tab/>
        <w:t>":"</w:t>
        <w:tab/>
        <w:t>|</w:t>
        <w:tab/>
        <w:t>"/"</w:t>
      </w:r>
    </w:p>
    <w:p>
      <w:pPr>
        <w:pStyle w:val="BodyText"/>
        <w:tabs>
          <w:tab w:pos="1477" w:val="left" w:leader="none"/>
          <w:tab w:pos="2201" w:val="left" w:leader="none"/>
        </w:tabs>
        <w:spacing w:before="40"/>
        <w:ind w:left="1113"/>
        <w:rPr>
          <w:rFonts w:ascii="Consolas"/>
        </w:rPr>
      </w:pPr>
      <w:r>
        <w:rPr>
          <w:rFonts w:ascii="Consolas"/>
        </w:rPr>
        <w:t>|</w:t>
        <w:tab/>
        <w:t>"?")</w:t>
        <w:tab/>
        <w:t>;</w:t>
      </w:r>
    </w:p>
    <w:p>
      <w:pPr>
        <w:pStyle w:val="BodyText"/>
        <w:spacing w:before="38"/>
        <w:ind w:left="1113"/>
        <w:rPr>
          <w:rFonts w:ascii="Consolas" w:hAnsi="Consolas"/>
        </w:rPr>
      </w:pPr>
      <w:r>
        <w:rPr>
          <w:rFonts w:ascii="Consolas" w:hAnsi="Consolas"/>
        </w:rPr>
        <w:t>(* any character, including operator, except ‘ *, [, ], \, :, /, or ? *)</w:t>
      </w:r>
    </w:p>
    <w:p>
      <w:pPr>
        <w:pStyle w:val="BodyText"/>
        <w:spacing w:before="3"/>
        <w:rPr>
          <w:rFonts w:ascii="Consolas"/>
          <w:sz w:val="20"/>
        </w:rPr>
      </w:pPr>
    </w:p>
    <w:p>
      <w:pPr>
        <w:pStyle w:val="BodyText"/>
        <w:spacing w:line="276" w:lineRule="auto"/>
        <w:ind w:left="220" w:right="361"/>
      </w:pPr>
      <w:r>
        <w:rPr/>
        <w:t>A </w:t>
      </w:r>
      <w:r>
        <w:rPr>
          <w:i/>
        </w:rPr>
        <w:t>relative cell reference </w:t>
      </w:r>
      <w:r>
        <w:rPr/>
        <w:t>is based on the relative position of the cell that contains the formula and the cell to which the reference refers. If the position of the cell that contains the formula changes, the reference is changed along with it.</w:t>
      </w:r>
    </w:p>
    <w:p>
      <w:pPr>
        <w:pStyle w:val="BodyText"/>
        <w:spacing w:before="4"/>
        <w:rPr>
          <w:sz w:val="16"/>
        </w:rPr>
      </w:pPr>
    </w:p>
    <w:p>
      <w:pPr>
        <w:pStyle w:val="BodyText"/>
        <w:spacing w:line="278" w:lineRule="auto"/>
        <w:ind w:left="220" w:right="481"/>
      </w:pPr>
      <w:r>
        <w:rPr/>
        <w:t>An </w:t>
      </w:r>
      <w:r>
        <w:rPr>
          <w:i/>
        </w:rPr>
        <w:t>absolute cell reference </w:t>
      </w:r>
      <w:r>
        <w:rPr/>
        <w:t>always refers to the absolute location of a cell. If the position of the cell that contains the formula changes, the absolute reference remains the same.</w:t>
      </w:r>
    </w:p>
    <w:p>
      <w:pPr>
        <w:pStyle w:val="BodyText"/>
        <w:spacing w:before="197"/>
        <w:ind w:left="220"/>
      </w:pPr>
      <w:r>
        <w:rPr/>
        <w:t>A </w:t>
      </w:r>
      <w:r>
        <w:rPr>
          <w:i/>
        </w:rPr>
        <w:t>mixed cell reference </w:t>
      </w:r>
      <w:r>
        <w:rPr/>
        <w:t>has either an absolute column and relative row, or an absolute row and relative</w:t>
      </w:r>
      <w:r>
        <w:rPr>
          <w:spacing w:val="-21"/>
        </w:rPr>
        <w:t> </w:t>
      </w:r>
      <w:r>
        <w:rPr/>
        <w:t>column.</w:t>
      </w:r>
    </w:p>
    <w:p>
      <w:pPr>
        <w:pStyle w:val="BodyText"/>
        <w:spacing w:before="6"/>
        <w:rPr>
          <w:sz w:val="19"/>
        </w:rPr>
      </w:pPr>
    </w:p>
    <w:p>
      <w:pPr>
        <w:pStyle w:val="BodyText"/>
        <w:spacing w:line="276" w:lineRule="auto"/>
        <w:ind w:left="220" w:right="500"/>
      </w:pPr>
      <w:r>
        <w:rPr/>
        <w:t>A </w:t>
      </w:r>
      <w:r>
        <w:rPr>
          <w:i/>
        </w:rPr>
        <w:t>link </w:t>
      </w:r>
      <w:r>
        <w:rPr/>
        <w:t>or </w:t>
      </w:r>
      <w:r>
        <w:rPr>
          <w:i/>
        </w:rPr>
        <w:t>external reference </w:t>
      </w:r>
      <w:r>
        <w:rPr/>
        <w:t>to a workbook is a reference that specifies the location of the workbook, including file or network path, book name, sheet name, and cell reference. Instead of writing the full file path or network location and workbook name directly in the </w:t>
      </w:r>
      <w:r>
        <w:rPr>
          <w:rFonts w:ascii="Cambria"/>
        </w:rPr>
        <w:t>f </w:t>
      </w:r>
      <w:r>
        <w:rPr/>
        <w:t>(formula) element, in order to make all external references more accessible, the workbook name shall be written in a Relationship part according to the Relationships</w:t>
      </w:r>
      <w:r>
        <w:rPr>
          <w:spacing w:val="-30"/>
        </w:rPr>
        <w:t> </w:t>
      </w:r>
      <w:r>
        <w:rPr/>
        <w:t>semantic:</w:t>
      </w:r>
    </w:p>
    <w:p>
      <w:pPr>
        <w:pStyle w:val="BodyText"/>
        <w:spacing w:before="5"/>
        <w:rPr>
          <w:sz w:val="16"/>
        </w:rPr>
      </w:pPr>
    </w:p>
    <w:p>
      <w:pPr>
        <w:pStyle w:val="ListParagraph"/>
        <w:numPr>
          <w:ilvl w:val="4"/>
          <w:numId w:val="64"/>
        </w:numPr>
        <w:tabs>
          <w:tab w:pos="940" w:val="left" w:leader="none"/>
          <w:tab w:pos="941" w:val="left" w:leader="none"/>
        </w:tabs>
        <w:spacing w:line="240" w:lineRule="auto" w:before="1" w:after="0"/>
        <w:ind w:left="940" w:right="0" w:hanging="361"/>
        <w:jc w:val="left"/>
        <w:rPr>
          <w:rFonts w:ascii="Consolas" w:hAnsi="Consolas"/>
          <w:sz w:val="20"/>
        </w:rPr>
      </w:pPr>
      <w:r>
        <w:rPr>
          <w:rFonts w:ascii="Cambria" w:hAnsi="Cambria"/>
          <w:sz w:val="22"/>
        </w:rPr>
        <w:t>Type </w:t>
      </w:r>
      <w:r>
        <w:rPr>
          <w:sz w:val="22"/>
        </w:rPr>
        <w:t>shall be set to</w:t>
      </w:r>
      <w:r>
        <w:rPr>
          <w:spacing w:val="-4"/>
          <w:sz w:val="22"/>
        </w:rPr>
        <w:t> </w:t>
      </w:r>
      <w:hyperlink r:id="rId200">
        <w:r>
          <w:rPr>
            <w:sz w:val="22"/>
          </w:rPr>
          <w:t>http://purl.oclc.org/ooxml/officeDocument/relationships/externalLinkPath</w:t>
        </w:r>
        <w:r>
          <w:rPr>
            <w:rFonts w:ascii="Consolas" w:hAnsi="Consolas"/>
            <w:sz w:val="20"/>
          </w:rPr>
          <w:t>,</w:t>
        </w:r>
      </w:hyperlink>
    </w:p>
    <w:p>
      <w:pPr>
        <w:pStyle w:val="ListParagraph"/>
        <w:numPr>
          <w:ilvl w:val="4"/>
          <w:numId w:val="64"/>
        </w:numPr>
        <w:tabs>
          <w:tab w:pos="940" w:val="left" w:leader="none"/>
          <w:tab w:pos="941" w:val="left" w:leader="none"/>
        </w:tabs>
        <w:spacing w:line="240" w:lineRule="auto" w:before="41" w:after="0"/>
        <w:ind w:left="940" w:right="0" w:hanging="361"/>
        <w:jc w:val="left"/>
        <w:rPr>
          <w:sz w:val="22"/>
        </w:rPr>
      </w:pPr>
      <w:r>
        <w:rPr>
          <w:rFonts w:ascii="Cambria" w:hAnsi="Cambria"/>
          <w:sz w:val="22"/>
        </w:rPr>
        <w:t>Target </w:t>
      </w:r>
      <w:r>
        <w:rPr>
          <w:sz w:val="22"/>
        </w:rPr>
        <w:t>shall specify the full file path and file name,</w:t>
      </w:r>
      <w:r>
        <w:rPr>
          <w:spacing w:val="-3"/>
          <w:sz w:val="22"/>
        </w:rPr>
        <w:t> </w:t>
      </w:r>
      <w:r>
        <w:rPr>
          <w:sz w:val="22"/>
        </w:rPr>
        <w:t>and</w:t>
      </w:r>
    </w:p>
    <w:p>
      <w:pPr>
        <w:pStyle w:val="ListParagraph"/>
        <w:numPr>
          <w:ilvl w:val="4"/>
          <w:numId w:val="64"/>
        </w:numPr>
        <w:tabs>
          <w:tab w:pos="940" w:val="left" w:leader="none"/>
          <w:tab w:pos="941" w:val="left" w:leader="none"/>
        </w:tabs>
        <w:spacing w:line="240" w:lineRule="auto" w:before="39" w:after="0"/>
        <w:ind w:left="940" w:right="0" w:hanging="361"/>
        <w:jc w:val="left"/>
        <w:rPr>
          <w:sz w:val="22"/>
        </w:rPr>
      </w:pPr>
      <w:r>
        <w:rPr>
          <w:rFonts w:ascii="Cambria" w:hAnsi="Cambria"/>
          <w:sz w:val="22"/>
        </w:rPr>
        <w:t>TargetMode </w:t>
      </w:r>
      <w:r>
        <w:rPr>
          <w:sz w:val="22"/>
        </w:rPr>
        <w:t>shall be set to</w:t>
      </w:r>
      <w:r>
        <w:rPr>
          <w:spacing w:val="-2"/>
          <w:sz w:val="22"/>
        </w:rPr>
        <w:t> </w:t>
      </w:r>
      <w:r>
        <w:rPr>
          <w:rFonts w:ascii="Consolas" w:hAnsi="Consolas"/>
          <w:sz w:val="20"/>
        </w:rPr>
        <w:t>External</w:t>
      </w:r>
      <w:r>
        <w:rPr>
          <w:sz w:val="22"/>
        </w:rPr>
        <w:t>.</w:t>
      </w:r>
    </w:p>
    <w:p>
      <w:pPr>
        <w:pStyle w:val="BodyText"/>
        <w:spacing w:line="276" w:lineRule="auto" w:before="240"/>
        <w:ind w:left="220" w:right="449"/>
      </w:pPr>
      <w:r>
        <w:rPr/>
        <w:t>Additionally, in order to support the possibility that the external workbook is offline or otherwise inaccessible, a cache of the relevant sheet values in the referenced external workbook shall be stored within the referencing workbook according to </w:t>
      </w:r>
      <w:hyperlink w:history="true" w:anchor="_bookmark400">
        <w:r>
          <w:rPr/>
          <w:t>§18.14.</w:t>
        </w:r>
      </w:hyperlink>
    </w:p>
    <w:p>
      <w:pPr>
        <w:pStyle w:val="BodyText"/>
        <w:spacing w:before="4"/>
        <w:rPr>
          <w:sz w:val="16"/>
        </w:rPr>
      </w:pPr>
    </w:p>
    <w:p>
      <w:pPr>
        <w:pStyle w:val="BodyText"/>
        <w:spacing w:line="278" w:lineRule="auto"/>
        <w:ind w:left="220" w:right="546"/>
      </w:pPr>
      <w:r>
        <w:rPr/>
        <w:t>This Supplementary Workbook Data part shall be the source part of the relationship that points to the external workbook as a target resource, and the Id of this relationship shall be referenced within the markup of the Supplementary Workbook Data part, using the </w:t>
      </w:r>
      <w:r>
        <w:rPr>
          <w:rFonts w:ascii="Cambria" w:hAnsi="Cambria"/>
        </w:rPr>
        <w:t>externalBook </w:t>
      </w:r>
      <w:r>
        <w:rPr/>
        <w:t>element (§</w:t>
      </w:r>
      <w:hyperlink w:history="true" w:anchor="_bookmark407">
        <w:r>
          <w:rPr/>
          <w:t>18.14.7</w:t>
        </w:r>
      </w:hyperlink>
      <w:r>
        <w:rPr/>
        <w:t>).</w:t>
      </w:r>
    </w:p>
    <w:p>
      <w:pPr>
        <w:pStyle w:val="BodyText"/>
        <w:spacing w:line="276" w:lineRule="auto" w:before="194"/>
        <w:ind w:left="220" w:right="432"/>
      </w:pPr>
      <w:r>
        <w:rPr/>
        <w:t>The Supplementary Workbook Data part shall also be the target of a relationship whose source is the Workbook part (§</w:t>
      </w:r>
      <w:hyperlink w:history="true" w:anchor="_bookmark0">
        <w:r>
          <w:rPr/>
          <w:t>18.2</w:t>
        </w:r>
      </w:hyperlink>
      <w:r>
        <w:rPr/>
        <w:t>). The markup within the Workbook part shall reference this relationship Id using the </w:t>
      </w:r>
      <w:r>
        <w:rPr>
          <w:rFonts w:ascii="Cambria" w:hAnsi="Cambria"/>
        </w:rPr>
        <w:t>externalReference </w:t>
      </w:r>
      <w:r>
        <w:rPr/>
        <w:t>element (§</w:t>
      </w:r>
      <w:hyperlink w:history="true" w:anchor="_bookmark8">
        <w:r>
          <w:rPr/>
          <w:t>18.2.8</w:t>
        </w:r>
      </w:hyperlink>
      <w:r>
        <w:rPr/>
        <w:t>).</w:t>
      </w:r>
    </w:p>
    <w:p>
      <w:pPr>
        <w:spacing w:after="0" w:line="276" w:lineRule="auto"/>
        <w:sectPr>
          <w:pgSz w:w="12240" w:h="15840"/>
          <w:pgMar w:header="763" w:footer="746" w:top="1340" w:bottom="940" w:left="860" w:right="700"/>
        </w:sectPr>
      </w:pPr>
    </w:p>
    <w:p>
      <w:pPr>
        <w:pStyle w:val="BodyText"/>
        <w:spacing w:line="276" w:lineRule="auto" w:before="90"/>
        <w:ind w:left="220" w:right="390"/>
      </w:pPr>
      <w:r>
        <w:rPr/>
        <w:t>Finally, a 1-based index referencing an </w:t>
      </w:r>
      <w:r>
        <w:rPr>
          <w:rFonts w:ascii="Cambria"/>
        </w:rPr>
        <w:t>externalReference </w:t>
      </w:r>
      <w:r>
        <w:rPr/>
        <w:t>within the collection </w:t>
      </w:r>
      <w:r>
        <w:rPr>
          <w:rFonts w:ascii="Cambria"/>
        </w:rPr>
        <w:t>externalReferences </w:t>
      </w:r>
      <w:r>
        <w:rPr/>
        <w:t>shall be written inline within the formula expression containing the reference to the external workbook. The index in this context shall be enclosed within square brackets, i.e.; left square bracket ([), followed by the index, followed by a right square bracket</w:t>
      </w:r>
      <w:r>
        <w:rPr>
          <w:spacing w:val="-1"/>
        </w:rPr>
        <w:t> </w:t>
      </w:r>
      <w:r>
        <w:rPr/>
        <w:t>(]).</w:t>
      </w:r>
    </w:p>
    <w:p>
      <w:pPr>
        <w:pStyle w:val="BodyText"/>
        <w:spacing w:before="7"/>
        <w:rPr>
          <w:sz w:val="16"/>
        </w:rPr>
      </w:pPr>
    </w:p>
    <w:p>
      <w:pPr>
        <w:pStyle w:val="BodyText"/>
        <w:spacing w:line="453" w:lineRule="auto" w:before="1"/>
        <w:ind w:left="220" w:right="3587"/>
      </w:pPr>
      <w:r>
        <w:rPr/>
        <w:t>In this way, external resource files can more easily be accessed and updated. [</w:t>
      </w:r>
      <w:r>
        <w:rPr>
          <w:i/>
        </w:rPr>
        <w:t>Example</w:t>
      </w:r>
      <w:r>
        <w:rPr/>
        <w:t>:</w:t>
      </w:r>
    </w:p>
    <w:p>
      <w:pPr>
        <w:pStyle w:val="BodyText"/>
        <w:spacing w:before="2"/>
        <w:ind w:left="220"/>
        <w:rPr>
          <w:rFonts w:ascii="Consolas"/>
        </w:rPr>
      </w:pPr>
      <w:r>
        <w:rPr/>
        <w:t>Consider the formula </w:t>
      </w:r>
      <w:r>
        <w:rPr>
          <w:rFonts w:ascii="Consolas"/>
        </w:rPr>
        <w:t>=SUM('C:\[Source.xlsx]Sheet1'!$A$1:$A$3)</w:t>
      </w:r>
    </w:p>
    <w:p>
      <w:pPr>
        <w:pStyle w:val="BodyText"/>
        <w:spacing w:before="6"/>
        <w:rPr>
          <w:rFonts w:ascii="Consolas"/>
          <w:sz w:val="20"/>
        </w:rPr>
      </w:pPr>
    </w:p>
    <w:p>
      <w:pPr>
        <w:pStyle w:val="BodyText"/>
        <w:ind w:left="220"/>
      </w:pPr>
      <w:r>
        <w:rPr/>
        <w:t>This formula is expressed in the </w:t>
      </w:r>
      <w:r>
        <w:rPr>
          <w:rFonts w:ascii="Cambria"/>
        </w:rPr>
        <w:t>f </w:t>
      </w:r>
      <w:r>
        <w:rPr/>
        <w:t>element (formula) like this:</w:t>
      </w:r>
    </w:p>
    <w:p>
      <w:pPr>
        <w:pStyle w:val="BodyText"/>
        <w:spacing w:before="8"/>
        <w:rPr>
          <w:sz w:val="19"/>
        </w:rPr>
      </w:pPr>
    </w:p>
    <w:p>
      <w:pPr>
        <w:pStyle w:val="BodyText"/>
        <w:ind w:left="508"/>
        <w:rPr>
          <w:rFonts w:ascii="Consolas"/>
        </w:rPr>
      </w:pPr>
      <w:r>
        <w:rPr>
          <w:rFonts w:ascii="Consolas"/>
        </w:rPr>
        <w:t>&lt;f&gt;SUM([1]Sheet1!$A$1:$A$3)&lt;/f&gt;</w:t>
      </w:r>
    </w:p>
    <w:p>
      <w:pPr>
        <w:pStyle w:val="BodyText"/>
        <w:spacing w:before="3"/>
        <w:rPr>
          <w:rFonts w:ascii="Consolas"/>
          <w:sz w:val="20"/>
        </w:rPr>
      </w:pPr>
    </w:p>
    <w:p>
      <w:pPr>
        <w:pStyle w:val="BodyText"/>
        <w:spacing w:line="276" w:lineRule="auto" w:before="1"/>
        <w:ind w:left="220" w:right="382"/>
      </w:pPr>
      <w:r>
        <w:rPr/>
        <w:t>The external reference to another workbook in this case is tokenized to </w:t>
      </w:r>
      <w:r>
        <w:rPr>
          <w:rFonts w:ascii="Consolas"/>
        </w:rPr>
        <w:t>[1]</w:t>
      </w:r>
      <w:r>
        <w:rPr/>
        <w:t>. The value inside the brackets is a 1- based index to the </w:t>
      </w:r>
      <w:r>
        <w:rPr>
          <w:rFonts w:ascii="Cambria"/>
        </w:rPr>
        <w:t>externalReferences </w:t>
      </w:r>
      <w:r>
        <w:rPr/>
        <w:t>collection in the workbook part, referencing a specific </w:t>
      </w:r>
      <w:r>
        <w:rPr>
          <w:rFonts w:ascii="Cambria"/>
        </w:rPr>
        <w:t>externalReference </w:t>
      </w:r>
      <w:r>
        <w:rPr/>
        <w:t>element.</w:t>
      </w:r>
    </w:p>
    <w:p>
      <w:pPr>
        <w:pStyle w:val="BodyText"/>
        <w:spacing w:before="201"/>
        <w:ind w:left="220"/>
      </w:pPr>
      <w:r>
        <w:rPr/>
        <w:t>The corresponding content of </w:t>
      </w:r>
      <w:r>
        <w:rPr>
          <w:rFonts w:ascii="Cambria"/>
        </w:rPr>
        <w:t>externalReferences </w:t>
      </w:r>
      <w:r>
        <w:rPr/>
        <w:t>in the workbook part is:</w:t>
      </w:r>
    </w:p>
    <w:p>
      <w:pPr>
        <w:pStyle w:val="BodyText"/>
        <w:spacing w:before="8"/>
        <w:rPr>
          <w:sz w:val="19"/>
        </w:rPr>
      </w:pPr>
    </w:p>
    <w:p>
      <w:pPr>
        <w:pStyle w:val="BodyText"/>
        <w:ind w:left="508"/>
        <w:rPr>
          <w:rFonts w:ascii="Consolas"/>
        </w:rPr>
      </w:pPr>
      <w:r>
        <w:rPr>
          <w:rFonts w:ascii="Consolas"/>
        </w:rPr>
        <w:t>&lt;externalReferences&gt;</w:t>
      </w:r>
    </w:p>
    <w:p>
      <w:pPr>
        <w:pStyle w:val="BodyText"/>
        <w:spacing w:before="40"/>
        <w:ind w:left="993"/>
        <w:rPr>
          <w:rFonts w:ascii="Consolas"/>
        </w:rPr>
      </w:pPr>
      <w:r>
        <w:rPr>
          <w:rFonts w:ascii="Consolas"/>
        </w:rPr>
        <w:t>&lt;externalReference r:id="rId4"/&gt;</w:t>
      </w:r>
    </w:p>
    <w:p>
      <w:pPr>
        <w:pStyle w:val="BodyText"/>
        <w:spacing w:before="38"/>
        <w:ind w:left="508"/>
        <w:rPr>
          <w:rFonts w:ascii="Consolas"/>
        </w:rPr>
      </w:pPr>
      <w:r>
        <w:rPr>
          <w:rFonts w:ascii="Consolas"/>
        </w:rPr>
        <w:t>&lt;/externalReferences&gt;</w:t>
      </w:r>
    </w:p>
    <w:p>
      <w:pPr>
        <w:pStyle w:val="BodyText"/>
        <w:spacing w:before="2"/>
        <w:rPr>
          <w:rFonts w:ascii="Consolas"/>
          <w:sz w:val="20"/>
        </w:rPr>
      </w:pPr>
    </w:p>
    <w:p>
      <w:pPr>
        <w:pStyle w:val="BodyText"/>
        <w:spacing w:line="276" w:lineRule="auto" w:before="1"/>
        <w:ind w:left="220" w:right="699"/>
        <w:rPr>
          <w:rFonts w:ascii="Consolas"/>
          <w:sz w:val="20"/>
        </w:rPr>
      </w:pPr>
      <w:r>
        <w:rPr/>
        <w:t>The workbook part's </w:t>
      </w:r>
      <w:r>
        <w:rPr>
          <w:rFonts w:ascii="Cambria"/>
        </w:rPr>
        <w:t>externalReferences </w:t>
      </w:r>
      <w:r>
        <w:rPr/>
        <w:t>collection indicates that there is an external workbook reference in this workbook. The Supplementary Workbook Data cache, also stored in this workbook, can be found by following the relationship from the workbook whose </w:t>
      </w:r>
      <w:r>
        <w:rPr>
          <w:rFonts w:ascii="Cambria"/>
        </w:rPr>
        <w:t>id </w:t>
      </w:r>
      <w:r>
        <w:rPr/>
        <w:t>value is </w:t>
      </w:r>
      <w:r>
        <w:rPr>
          <w:rFonts w:ascii="Consolas"/>
          <w:sz w:val="20"/>
        </w:rPr>
        <w:t>rId4.</w:t>
      </w:r>
    </w:p>
    <w:p>
      <w:pPr>
        <w:pStyle w:val="BodyText"/>
        <w:spacing w:before="202"/>
        <w:ind w:left="220"/>
      </w:pPr>
      <w:r>
        <w:rPr/>
        <w:t>That particular relationship (rId4) is expressed as:</w:t>
      </w:r>
    </w:p>
    <w:p>
      <w:pPr>
        <w:pStyle w:val="BodyText"/>
        <w:spacing w:before="8"/>
        <w:rPr>
          <w:sz w:val="19"/>
        </w:rPr>
      </w:pPr>
    </w:p>
    <w:p>
      <w:pPr>
        <w:pStyle w:val="BodyText"/>
        <w:spacing w:line="276" w:lineRule="auto"/>
        <w:ind w:left="508" w:right="1201"/>
        <w:rPr>
          <w:rFonts w:ascii="Consolas"/>
        </w:rPr>
      </w:pPr>
      <w:r>
        <w:rPr>
          <w:rFonts w:ascii="Consolas"/>
        </w:rPr>
        <w:t>&lt;Relationship Id="rId4" Type= "</w:t>
      </w:r>
      <w:hyperlink r:id="rId200">
        <w:r>
          <w:rPr>
            <w:rFonts w:ascii="Consolas"/>
          </w:rPr>
          <w:t>http://purl.oclc.org/ooxml/officeDocument/relationships/externalLinkPath</w:t>
        </w:r>
      </w:hyperlink>
      <w:r>
        <w:rPr>
          <w:rFonts w:ascii="Consolas"/>
        </w:rPr>
        <w:t>" Target="externalLinks/externalLink1.xml"/&gt;</w:t>
      </w:r>
    </w:p>
    <w:p>
      <w:pPr>
        <w:pStyle w:val="BodyText"/>
        <w:spacing w:before="11"/>
        <w:rPr>
          <w:rFonts w:ascii="Consolas"/>
          <w:sz w:val="16"/>
        </w:rPr>
      </w:pPr>
    </w:p>
    <w:p>
      <w:pPr>
        <w:pStyle w:val="BodyText"/>
        <w:spacing w:line="278" w:lineRule="auto"/>
        <w:ind w:left="220" w:right="815"/>
      </w:pPr>
      <w:r>
        <w:rPr/>
        <w:t>The above relationship indicates that the formula is supported by the Supplementary Workbook Data cache located at externalLinks/externalLink1.xml in the package.</w:t>
      </w:r>
    </w:p>
    <w:p>
      <w:pPr>
        <w:pStyle w:val="BodyText"/>
        <w:spacing w:line="276" w:lineRule="auto" w:before="195"/>
        <w:ind w:left="220" w:right="485"/>
      </w:pPr>
      <w:r>
        <w:rPr/>
        <w:t>The corresponding content in externalLink1.xml follows the markup specified in §</w:t>
      </w:r>
      <w:hyperlink w:history="true" w:anchor="_bookmark400">
        <w:r>
          <w:rPr/>
          <w:t>18.14, </w:t>
        </w:r>
      </w:hyperlink>
      <w:r>
        <w:rPr/>
        <w:t>Supplementary Workbook Data. The </w:t>
      </w:r>
      <w:r>
        <w:rPr>
          <w:rFonts w:ascii="Cambria" w:hAnsi="Cambria"/>
        </w:rPr>
        <w:t>externalBook </w:t>
      </w:r>
      <w:r>
        <w:rPr/>
        <w:t>element in that markup indicates the </w:t>
      </w:r>
      <w:r>
        <w:rPr>
          <w:rFonts w:ascii="Cambria" w:hAnsi="Cambria"/>
        </w:rPr>
        <w:t>id </w:t>
      </w:r>
      <w:r>
        <w:rPr/>
        <w:t>of the relationship that points from the source part externalLink1.xml to the location of the actual external workbook:</w:t>
      </w:r>
    </w:p>
    <w:p>
      <w:pPr>
        <w:pStyle w:val="BodyText"/>
        <w:spacing w:before="7"/>
        <w:rPr>
          <w:sz w:val="16"/>
        </w:rPr>
      </w:pPr>
    </w:p>
    <w:p>
      <w:pPr>
        <w:pStyle w:val="BodyText"/>
        <w:spacing w:line="276" w:lineRule="auto"/>
        <w:ind w:left="508" w:right="596"/>
        <w:rPr>
          <w:rFonts w:ascii="Consolas"/>
        </w:rPr>
      </w:pPr>
      <w:r>
        <w:rPr>
          <w:rFonts w:ascii="Consolas"/>
        </w:rPr>
        <w:t>&lt;externalBook xmlns:r="</w:t>
      </w:r>
      <w:hyperlink r:id="rId23">
        <w:r>
          <w:rPr>
            <w:rFonts w:ascii="Consolas"/>
          </w:rPr>
          <w:t>http://purl.oclc.org/ooxml/officeDocument/relationships</w:t>
        </w:r>
      </w:hyperlink>
      <w:r>
        <w:rPr>
          <w:rFonts w:ascii="Consolas"/>
        </w:rPr>
        <w:t>" r:id="rId1"&gt;</w:t>
      </w:r>
    </w:p>
    <w:p>
      <w:pPr>
        <w:pStyle w:val="BodyText"/>
        <w:rPr>
          <w:rFonts w:ascii="Consolas"/>
          <w:sz w:val="17"/>
        </w:rPr>
      </w:pPr>
    </w:p>
    <w:p>
      <w:pPr>
        <w:pStyle w:val="BodyText"/>
        <w:spacing w:before="1"/>
        <w:ind w:left="220"/>
      </w:pPr>
      <w:r>
        <w:rPr/>
        <w:t>That relationship (rId1) is shown here:</w:t>
      </w:r>
    </w:p>
    <w:p>
      <w:pPr>
        <w:spacing w:after="0"/>
        <w:sectPr>
          <w:pgSz w:w="12240" w:h="15840"/>
          <w:pgMar w:header="761" w:footer="746" w:top="1340" w:bottom="940" w:left="860" w:right="700"/>
        </w:sectPr>
      </w:pPr>
    </w:p>
    <w:p>
      <w:pPr>
        <w:pStyle w:val="BodyText"/>
        <w:spacing w:line="276" w:lineRule="auto" w:before="150"/>
        <w:ind w:left="508" w:right="1201"/>
        <w:rPr>
          <w:rFonts w:ascii="Consolas"/>
        </w:rPr>
      </w:pPr>
      <w:r>
        <w:rPr>
          <w:rFonts w:ascii="Consolas"/>
        </w:rPr>
        <w:t>&lt;Relationship Id="rId1" Type= "</w:t>
      </w:r>
      <w:hyperlink r:id="rId200">
        <w:r>
          <w:rPr>
            <w:rFonts w:ascii="Consolas"/>
          </w:rPr>
          <w:t>http://purl.oclc.org/ooxml/officeDocument/relationships/externalLinkPath</w:t>
        </w:r>
      </w:hyperlink>
      <w:r>
        <w:rPr>
          <w:rFonts w:ascii="Consolas"/>
        </w:rPr>
        <w:t>" Target="file:///C:/Source.xlsx" TargetMode="External"/&gt;</w:t>
      </w:r>
    </w:p>
    <w:p>
      <w:pPr>
        <w:pStyle w:val="BodyText"/>
        <w:rPr>
          <w:rFonts w:ascii="Consolas"/>
          <w:sz w:val="17"/>
        </w:rPr>
      </w:pPr>
    </w:p>
    <w:p>
      <w:pPr>
        <w:pStyle w:val="BodyText"/>
        <w:spacing w:line="276" w:lineRule="auto"/>
        <w:ind w:left="220" w:right="719"/>
      </w:pPr>
      <w:r>
        <w:rPr/>
        <w:t>This relationship indicates that the external workbook that the formula references resides on a local drive, at c:\source.xlsx. </w:t>
      </w:r>
      <w:r>
        <w:rPr>
          <w:i/>
        </w:rPr>
        <w:t>end example</w:t>
      </w:r>
      <w:r>
        <w:rPr/>
        <w:t>]</w:t>
      </w:r>
    </w:p>
    <w:p>
      <w:pPr>
        <w:pStyle w:val="BodyText"/>
        <w:spacing w:before="3"/>
        <w:rPr>
          <w:sz w:val="16"/>
        </w:rPr>
      </w:pPr>
    </w:p>
    <w:p>
      <w:pPr>
        <w:pStyle w:val="BodyText"/>
        <w:ind w:left="220"/>
        <w:rPr>
          <w:i/>
        </w:rPr>
      </w:pPr>
      <w:r>
        <w:rPr/>
        <w:t>It is possible to process the same cell or set of cells on multiple worksheets within a workbook, using a </w:t>
      </w:r>
      <w:r>
        <w:rPr>
          <w:i/>
        </w:rPr>
        <w:t>3-</w:t>
      </w:r>
    </w:p>
    <w:p>
      <w:pPr>
        <w:pStyle w:val="BodyText"/>
        <w:spacing w:line="276" w:lineRule="auto" w:before="41"/>
        <w:ind w:left="220" w:right="363"/>
      </w:pPr>
      <w:r>
        <w:rPr>
          <w:i/>
        </w:rPr>
        <w:t>D reference</w:t>
      </w:r>
      <w:r>
        <w:rPr/>
        <w:t>. A reference of this type is made up of the cell reference, preceded by a range of worksheet names, and an exclamation mark character (</w:t>
      </w:r>
      <w:r>
        <w:rPr>
          <w:rFonts w:ascii="Consolas"/>
        </w:rPr>
        <w:t>!</w:t>
      </w:r>
      <w:r>
        <w:rPr/>
        <w:t>), in that order. A 3-D reference can be used to refer to cells on other sheets, to defined names, and to create formulas by using the following functions: </w:t>
      </w:r>
      <w:r>
        <w:rPr>
          <w:rFonts w:ascii="Consolas"/>
        </w:rPr>
        <w:t>AVERAGE</w:t>
      </w:r>
      <w:r>
        <w:rPr/>
        <w:t>, </w:t>
      </w:r>
      <w:r>
        <w:rPr>
          <w:rFonts w:ascii="Consolas"/>
        </w:rPr>
        <w:t>AVERAGEA</w:t>
      </w:r>
      <w:r>
        <w:rPr/>
        <w:t>, </w:t>
      </w:r>
      <w:r>
        <w:rPr>
          <w:rFonts w:ascii="Consolas"/>
        </w:rPr>
        <w:t>COUNT</w:t>
      </w:r>
      <w:r>
        <w:rPr/>
        <w:t>, </w:t>
      </w:r>
      <w:r>
        <w:rPr>
          <w:rFonts w:ascii="Consolas"/>
        </w:rPr>
        <w:t>COUNTA</w:t>
      </w:r>
      <w:r>
        <w:rPr/>
        <w:t>, </w:t>
      </w:r>
      <w:r>
        <w:rPr>
          <w:rFonts w:ascii="Consolas"/>
        </w:rPr>
        <w:t>MAX</w:t>
      </w:r>
      <w:r>
        <w:rPr/>
        <w:t>, </w:t>
      </w:r>
      <w:r>
        <w:rPr>
          <w:rFonts w:ascii="Consolas"/>
        </w:rPr>
        <w:t>MAXA</w:t>
      </w:r>
      <w:r>
        <w:rPr/>
        <w:t>, </w:t>
      </w:r>
      <w:r>
        <w:rPr>
          <w:rFonts w:ascii="Consolas"/>
        </w:rPr>
        <w:t>MIN</w:t>
      </w:r>
      <w:r>
        <w:rPr/>
        <w:t>, </w:t>
      </w:r>
      <w:r>
        <w:rPr>
          <w:rFonts w:ascii="Consolas"/>
        </w:rPr>
        <w:t>MINA</w:t>
      </w:r>
      <w:r>
        <w:rPr/>
        <w:t>, </w:t>
      </w:r>
      <w:r>
        <w:rPr>
          <w:rFonts w:ascii="Consolas"/>
        </w:rPr>
        <w:t>PRODUCT</w:t>
      </w:r>
      <w:r>
        <w:rPr/>
        <w:t>, </w:t>
      </w:r>
      <w:r>
        <w:rPr>
          <w:rFonts w:ascii="Consolas"/>
        </w:rPr>
        <w:t>STDEV</w:t>
      </w:r>
      <w:r>
        <w:rPr/>
        <w:t>, </w:t>
      </w:r>
      <w:r>
        <w:rPr>
          <w:rFonts w:ascii="Consolas"/>
        </w:rPr>
        <w:t>STDEVA</w:t>
      </w:r>
      <w:r>
        <w:rPr/>
        <w:t>, </w:t>
      </w:r>
      <w:r>
        <w:rPr>
          <w:rFonts w:ascii="Consolas"/>
        </w:rPr>
        <w:t>STDEVP</w:t>
      </w:r>
      <w:r>
        <w:rPr/>
        <w:t>, </w:t>
      </w:r>
      <w:r>
        <w:rPr>
          <w:rFonts w:ascii="Consolas"/>
        </w:rPr>
        <w:t>STDEVPA</w:t>
      </w:r>
      <w:r>
        <w:rPr/>
        <w:t>, </w:t>
      </w:r>
      <w:r>
        <w:rPr>
          <w:rFonts w:ascii="Consolas"/>
        </w:rPr>
        <w:t>SUM</w:t>
      </w:r>
      <w:r>
        <w:rPr/>
        <w:t>, </w:t>
      </w:r>
      <w:r>
        <w:rPr>
          <w:rFonts w:ascii="Consolas"/>
        </w:rPr>
        <w:t>VAR</w:t>
      </w:r>
      <w:r>
        <w:rPr/>
        <w:t>, </w:t>
      </w:r>
      <w:r>
        <w:rPr>
          <w:rFonts w:ascii="Consolas"/>
        </w:rPr>
        <w:t>VARA</w:t>
      </w:r>
      <w:r>
        <w:rPr/>
        <w:t>, </w:t>
      </w:r>
      <w:r>
        <w:rPr>
          <w:rFonts w:ascii="Consolas"/>
        </w:rPr>
        <w:t>VARP</w:t>
      </w:r>
      <w:r>
        <w:rPr/>
        <w:t>, and </w:t>
      </w:r>
      <w:r>
        <w:rPr>
          <w:rFonts w:ascii="Consolas"/>
        </w:rPr>
        <w:t>VARPA</w:t>
      </w:r>
      <w:r>
        <w:rPr/>
        <w:t>.</w:t>
      </w:r>
    </w:p>
    <w:p>
      <w:pPr>
        <w:pStyle w:val="BodyText"/>
        <w:spacing w:before="8"/>
        <w:rPr>
          <w:sz w:val="16"/>
        </w:rPr>
      </w:pPr>
    </w:p>
    <w:p>
      <w:pPr>
        <w:pStyle w:val="BodyText"/>
        <w:ind w:left="220"/>
      </w:pPr>
      <w:r>
        <w:rPr/>
        <w:t>3-D references shall not be used in array formulas.</w:t>
      </w:r>
    </w:p>
    <w:p>
      <w:pPr>
        <w:pStyle w:val="BodyText"/>
        <w:spacing w:before="6"/>
        <w:rPr>
          <w:sz w:val="19"/>
        </w:rPr>
      </w:pPr>
    </w:p>
    <w:p>
      <w:pPr>
        <w:pStyle w:val="BodyText"/>
        <w:spacing w:line="276" w:lineRule="auto"/>
        <w:ind w:left="220" w:right="397"/>
      </w:pPr>
      <w:r>
        <w:rPr/>
        <w:t>By default, a cell reference is understood to refer to one or more cells in the current worksheet. However, a cell reference can be preceded by its parent worksheet name and an exclamation mark (</w:t>
      </w:r>
      <w:r>
        <w:rPr>
          <w:rFonts w:ascii="Consolas"/>
        </w:rPr>
        <w:t>!</w:t>
      </w:r>
      <w:r>
        <w:rPr/>
        <w:t>), in that order. This allows cells in one worksheet to be referenced in another worksheet of the same workbook. [</w:t>
      </w:r>
      <w:r>
        <w:rPr>
          <w:i/>
        </w:rPr>
        <w:t>Example</w:t>
      </w:r>
      <w:r>
        <w:rPr/>
        <w:t>: The cell reference </w:t>
      </w:r>
      <w:r>
        <w:rPr>
          <w:rFonts w:ascii="Consolas"/>
        </w:rPr>
        <w:t>MonthlyTotals!D1:D12 </w:t>
      </w:r>
      <w:r>
        <w:rPr/>
        <w:t>might be used from within a sibling (or the same) worksheet of </w:t>
      </w:r>
      <w:r>
        <w:rPr>
          <w:rFonts w:ascii="Consolas"/>
        </w:rPr>
        <w:t>MonthlyTotals</w:t>
      </w:r>
      <w:r>
        <w:rPr>
          <w:rFonts w:ascii="Consolas"/>
          <w:spacing w:val="-70"/>
        </w:rPr>
        <w:t> </w:t>
      </w:r>
      <w:r>
        <w:rPr/>
        <w:t>to refer to those 12 cells. </w:t>
      </w:r>
      <w:r>
        <w:rPr>
          <w:i/>
        </w:rPr>
        <w:t>end example</w:t>
      </w:r>
      <w:r>
        <w:rPr/>
        <w:t>]</w:t>
      </w:r>
    </w:p>
    <w:p>
      <w:pPr>
        <w:pStyle w:val="BodyText"/>
        <w:spacing w:before="3"/>
        <w:rPr>
          <w:sz w:val="16"/>
        </w:rPr>
      </w:pPr>
    </w:p>
    <w:p>
      <w:pPr>
        <w:pStyle w:val="BodyText"/>
        <w:spacing w:line="276" w:lineRule="auto"/>
        <w:ind w:left="220" w:right="412"/>
      </w:pPr>
      <w:r>
        <w:rPr/>
        <w:t>An </w:t>
      </w:r>
      <w:r>
        <w:rPr>
          <w:i/>
        </w:rPr>
        <w:t>area </w:t>
      </w:r>
      <w:r>
        <w:rPr/>
        <w:t>is a set of rectangular-shaped contiguous cells. An area can be a single cell. [</w:t>
      </w:r>
      <w:r>
        <w:rPr>
          <w:i/>
        </w:rPr>
        <w:t>Example</w:t>
      </w:r>
      <w:r>
        <w:rPr/>
        <w:t>: </w:t>
      </w:r>
      <w:r>
        <w:rPr>
          <w:rFonts w:ascii="Consolas" w:hAnsi="Consolas"/>
        </w:rPr>
        <w:t>A5 </w:t>
      </w:r>
      <w:r>
        <w:rPr/>
        <w:t>and </w:t>
      </w:r>
      <w:r>
        <w:rPr>
          <w:rFonts w:ascii="Consolas" w:hAnsi="Consolas"/>
        </w:rPr>
        <w:t>B6:C10 </w:t>
      </w:r>
      <w:r>
        <w:rPr/>
        <w:t>each designate one area, and </w:t>
      </w:r>
      <w:r>
        <w:rPr>
          <w:rFonts w:ascii="Consolas" w:hAnsi="Consolas"/>
        </w:rPr>
        <w:t>D3:D5,E12:F15</w:t>
      </w:r>
      <w:r>
        <w:rPr>
          <w:rFonts w:ascii="Consolas" w:hAnsi="Consolas"/>
          <w:spacing w:val="-98"/>
        </w:rPr>
        <w:t> </w:t>
      </w:r>
      <w:r>
        <w:rPr/>
        <w:t>designates two areas (the comma (</w:t>
      </w:r>
      <w:r>
        <w:rPr>
          <w:rFonts w:ascii="Consolas" w:hAnsi="Consolas"/>
        </w:rPr>
        <w:t>,</w:t>
      </w:r>
      <w:r>
        <w:rPr/>
        <w:t>) being the union operator). </w:t>
      </w:r>
      <w:r>
        <w:rPr>
          <w:i/>
        </w:rPr>
        <w:t>end example</w:t>
      </w:r>
      <w:r>
        <w:rPr/>
        <w:t>] [</w:t>
      </w:r>
      <w:r>
        <w:rPr>
          <w:i/>
        </w:rPr>
        <w:t>Note</w:t>
      </w:r>
      <w:r>
        <w:rPr/>
        <w:t>: The number of areas designated by a cell reference can be obtained by calling the function </w:t>
      </w:r>
      <w:r>
        <w:rPr>
          <w:rFonts w:ascii="Consolas" w:hAnsi="Consolas"/>
        </w:rPr>
        <w:t>AREAS</w:t>
      </w:r>
      <w:r>
        <w:rPr>
          <w:rFonts w:ascii="Consolas" w:hAnsi="Consolas"/>
          <w:spacing w:val="-74"/>
        </w:rPr>
        <w:t> </w:t>
      </w:r>
      <w:r>
        <w:rPr/>
        <w:t>(</w:t>
      </w:r>
      <w:hyperlink w:history="true" w:anchor="_bookmark473">
        <w:r>
          <w:rPr/>
          <w:t>§18.17.7.10</w:t>
        </w:r>
      </w:hyperlink>
      <w:r>
        <w:rPr/>
        <w:t>). </w:t>
      </w:r>
      <w:r>
        <w:rPr>
          <w:i/>
        </w:rPr>
        <w:t>end note</w:t>
      </w:r>
      <w:r>
        <w:rPr/>
        <w:t>]</w:t>
      </w:r>
    </w:p>
    <w:p>
      <w:pPr>
        <w:pStyle w:val="BodyText"/>
        <w:spacing w:before="7"/>
        <w:rPr>
          <w:sz w:val="16"/>
        </w:rPr>
      </w:pPr>
    </w:p>
    <w:p>
      <w:pPr>
        <w:pStyle w:val="BodyText"/>
        <w:spacing w:before="1"/>
        <w:ind w:left="220"/>
      </w:pPr>
      <w:r>
        <w:rPr/>
        <w:t>There are two cell reference styles: A1 (§</w:t>
      </w:r>
      <w:hyperlink w:history="true" w:anchor="_bookmark438">
        <w:r>
          <w:rPr/>
          <w:t>18.17.2.3.1</w:t>
        </w:r>
      </w:hyperlink>
      <w:r>
        <w:rPr/>
        <w:t>) and R1C1 (§</w:t>
      </w:r>
      <w:hyperlink w:history="true" w:anchor="_bookmark439">
        <w:r>
          <w:rPr/>
          <w:t>18.17.2.3.2</w:t>
        </w:r>
      </w:hyperlink>
      <w:r>
        <w:rPr/>
        <w:t>).</w:t>
      </w:r>
    </w:p>
    <w:p>
      <w:pPr>
        <w:pStyle w:val="BodyText"/>
        <w:spacing w:before="11"/>
        <w:rPr>
          <w:sz w:val="19"/>
        </w:rPr>
      </w:pPr>
    </w:p>
    <w:p>
      <w:pPr>
        <w:pStyle w:val="ListParagraph"/>
        <w:numPr>
          <w:ilvl w:val="4"/>
          <w:numId w:val="65"/>
        </w:numPr>
        <w:tabs>
          <w:tab w:pos="2020" w:val="left" w:leader="none"/>
          <w:tab w:pos="2021" w:val="left" w:leader="none"/>
        </w:tabs>
        <w:spacing w:line="240" w:lineRule="auto" w:before="0" w:after="0"/>
        <w:ind w:left="2020" w:right="0" w:hanging="1801"/>
        <w:jc w:val="left"/>
        <w:rPr>
          <w:rFonts w:ascii="Cambria"/>
          <w:sz w:val="24"/>
        </w:rPr>
      </w:pPr>
      <w:bookmarkStart w:name="18.17.2.3.1 A1-Style Cell References" w:id="1319"/>
      <w:bookmarkEnd w:id="1319"/>
      <w:r>
        <w:rPr/>
      </w:r>
      <w:bookmarkStart w:name="_bookmark438" w:id="1320"/>
      <w:bookmarkEnd w:id="1320"/>
      <w:r>
        <w:rPr/>
      </w:r>
      <w:bookmarkStart w:name="_bookmark438" w:id="1321"/>
      <w:bookmarkEnd w:id="1321"/>
      <w:r>
        <w:rPr>
          <w:rFonts w:ascii="Cambria"/>
          <w:color w:val="233E5F"/>
          <w:sz w:val="24"/>
        </w:rPr>
        <w:t>A1</w:t>
      </w:r>
      <w:r>
        <w:rPr>
          <w:rFonts w:ascii="Cambria"/>
          <w:color w:val="233E5F"/>
          <w:sz w:val="24"/>
        </w:rPr>
        <w:t>-Style Cell</w:t>
      </w:r>
      <w:r>
        <w:rPr>
          <w:rFonts w:ascii="Cambria"/>
          <w:color w:val="233E5F"/>
          <w:spacing w:val="-1"/>
          <w:sz w:val="24"/>
        </w:rPr>
        <w:t> </w:t>
      </w:r>
      <w:r>
        <w:rPr>
          <w:rFonts w:ascii="Cambria"/>
          <w:color w:val="233E5F"/>
          <w:sz w:val="24"/>
        </w:rPr>
        <w:t>References</w:t>
      </w:r>
    </w:p>
    <w:p>
      <w:pPr>
        <w:pStyle w:val="BodyText"/>
        <w:spacing w:before="121"/>
        <w:ind w:left="220"/>
      </w:pPr>
      <w:r>
        <w:rPr/>
        <w:t>A cell reference using the A1 reference style has the following form:</w:t>
      </w:r>
    </w:p>
    <w:p>
      <w:pPr>
        <w:pStyle w:val="BodyText"/>
        <w:spacing w:before="8"/>
        <w:rPr>
          <w:sz w:val="19"/>
        </w:rPr>
      </w:pPr>
    </w:p>
    <w:p>
      <w:pPr>
        <w:pStyle w:val="BodyText"/>
        <w:ind w:left="508"/>
        <w:rPr>
          <w:rFonts w:ascii="Consolas"/>
        </w:rPr>
      </w:pPr>
      <w:r>
        <w:rPr>
          <w:rFonts w:ascii="Consolas"/>
        </w:rPr>
        <w:t>A1-reference=</w:t>
      </w:r>
    </w:p>
    <w:p>
      <w:pPr>
        <w:pStyle w:val="BodyText"/>
        <w:tabs>
          <w:tab w:pos="1839" w:val="left" w:leader="none"/>
          <w:tab w:pos="2201" w:val="left" w:leader="none"/>
          <w:tab w:pos="2924" w:val="left" w:leader="none"/>
          <w:tab w:pos="3653" w:val="left" w:leader="none"/>
          <w:tab w:pos="4500" w:val="left" w:leader="none"/>
        </w:tabs>
        <w:spacing w:line="278" w:lineRule="auto" w:before="38"/>
        <w:ind w:left="750" w:right="6055"/>
        <w:rPr>
          <w:rFonts w:ascii="Consolas"/>
        </w:rPr>
      </w:pPr>
      <w:r>
        <w:rPr>
          <w:rFonts w:ascii="Consolas"/>
        </w:rPr>
        <w:t>A1-column,</w:t>
        <w:tab/>
        <w:t>":",</w:t>
        <w:tab/>
        <w:t>A1-column</w:t>
        <w:tab/>
      </w:r>
      <w:r>
        <w:rPr>
          <w:rFonts w:ascii="Consolas"/>
          <w:spacing w:val="-17"/>
        </w:rPr>
        <w:t>| </w:t>
      </w:r>
      <w:r>
        <w:rPr>
          <w:rFonts w:ascii="Consolas"/>
        </w:rPr>
        <w:t>A1-row,</w:t>
        <w:tab/>
        <w:t>":",</w:t>
      </w:r>
      <w:r>
        <w:rPr>
          <w:rFonts w:ascii="Consolas"/>
          <w:spacing w:val="-3"/>
        </w:rPr>
        <w:t> </w:t>
      </w:r>
      <w:r>
        <w:rPr>
          <w:rFonts w:ascii="Consolas"/>
        </w:rPr>
        <w:t>A1-row</w:t>
        <w:tab/>
        <w:t>|</w:t>
      </w:r>
    </w:p>
    <w:p>
      <w:pPr>
        <w:pStyle w:val="BodyText"/>
        <w:tabs>
          <w:tab w:pos="2201" w:val="left" w:leader="none"/>
          <w:tab w:pos="3168" w:val="left" w:leader="none"/>
        </w:tabs>
        <w:spacing w:line="276" w:lineRule="auto"/>
        <w:ind w:left="508" w:right="7387" w:firstLine="242"/>
        <w:rPr>
          <w:rFonts w:ascii="Consolas"/>
        </w:rPr>
      </w:pPr>
      <w:r>
        <w:rPr>
          <w:rFonts w:ascii="Consolas"/>
        </w:rPr>
        <w:t>A1-column,</w:t>
        <w:tab/>
        <w:t>A1-row</w:t>
        <w:tab/>
      </w:r>
      <w:r>
        <w:rPr>
          <w:rFonts w:ascii="Consolas"/>
          <w:spacing w:val="-17"/>
        </w:rPr>
        <w:t>; </w:t>
      </w:r>
      <w:r>
        <w:rPr>
          <w:rFonts w:ascii="Consolas"/>
        </w:rPr>
        <w:t>A1-column=</w:t>
      </w:r>
    </w:p>
    <w:p>
      <w:pPr>
        <w:pStyle w:val="BodyText"/>
        <w:tabs>
          <w:tab w:pos="3168" w:val="left" w:leader="none"/>
        </w:tabs>
        <w:spacing w:line="276" w:lineRule="auto"/>
        <w:ind w:left="750" w:right="7388"/>
        <w:rPr>
          <w:rFonts w:ascii="Consolas"/>
        </w:rPr>
      </w:pPr>
      <w:r>
        <w:rPr>
          <w:rFonts w:ascii="Consolas"/>
        </w:rPr>
        <w:t>A1-relative-column</w:t>
        <w:tab/>
      </w:r>
      <w:r>
        <w:rPr>
          <w:rFonts w:ascii="Consolas"/>
          <w:spacing w:val="-18"/>
        </w:rPr>
        <w:t>| </w:t>
      </w:r>
      <w:r>
        <w:rPr>
          <w:rFonts w:ascii="Consolas"/>
        </w:rPr>
        <w:t>A1-absolute-column</w:t>
        <w:tab/>
      </w:r>
      <w:r>
        <w:rPr>
          <w:rFonts w:ascii="Consolas"/>
          <w:spacing w:val="-18"/>
        </w:rPr>
        <w:t>;</w:t>
      </w:r>
    </w:p>
    <w:p>
      <w:pPr>
        <w:pStyle w:val="BodyText"/>
        <w:ind w:left="508"/>
        <w:rPr>
          <w:rFonts w:ascii="Consolas"/>
        </w:rPr>
      </w:pPr>
      <w:r>
        <w:rPr>
          <w:rFonts w:ascii="Consolas"/>
        </w:rPr>
        <w:t>A1-relative-column=</w:t>
      </w:r>
    </w:p>
    <w:p>
      <w:pPr>
        <w:pStyle w:val="BodyText"/>
        <w:tabs>
          <w:tab w:pos="2924" w:val="left" w:leader="none"/>
          <w:tab w:pos="3288" w:val="left" w:leader="none"/>
        </w:tabs>
        <w:spacing w:before="34"/>
        <w:ind w:left="750"/>
        <w:rPr>
          <w:rFonts w:ascii="Consolas"/>
        </w:rPr>
      </w:pPr>
      <w:r>
        <w:rPr>
          <w:rFonts w:ascii="Consolas"/>
        </w:rPr>
        <w:t>letter,</w:t>
      </w:r>
      <w:r>
        <w:rPr>
          <w:rFonts w:ascii="Consolas"/>
          <w:spacing w:val="-7"/>
        </w:rPr>
        <w:t> </w:t>
      </w:r>
      <w:r>
        <w:rPr>
          <w:rFonts w:ascii="Consolas"/>
        </w:rPr>
        <w:t>{letter}</w:t>
        <w:tab/>
        <w:t>;</w:t>
        <w:tab/>
        <w:t>(* see semantic rules at 3.17.2.3.1</w:t>
      </w:r>
      <w:r>
        <w:rPr>
          <w:rFonts w:ascii="Consolas"/>
          <w:spacing w:val="-13"/>
        </w:rPr>
        <w:t> </w:t>
      </w:r>
      <w:r>
        <w:rPr>
          <w:rFonts w:ascii="Consolas"/>
        </w:rPr>
        <w:t>*)</w:t>
      </w:r>
    </w:p>
    <w:p>
      <w:pPr>
        <w:spacing w:after="0"/>
        <w:rPr>
          <w:rFonts w:ascii="Consolas"/>
        </w:rPr>
        <w:sectPr>
          <w:pgSz w:w="12240" w:h="15840"/>
          <w:pgMar w:header="763" w:footer="746" w:top="1340" w:bottom="940" w:left="860" w:right="700"/>
        </w:sectPr>
      </w:pPr>
    </w:p>
    <w:p>
      <w:pPr>
        <w:pStyle w:val="BodyText"/>
        <w:spacing w:line="276" w:lineRule="auto" w:before="93"/>
        <w:ind w:left="750" w:right="3137" w:hanging="243"/>
        <w:rPr>
          <w:rFonts w:ascii="Consolas"/>
        </w:rPr>
      </w:pPr>
      <w:r>
        <w:rPr>
          <w:rFonts w:ascii="Consolas"/>
        </w:rPr>
        <w:t>letter= </w:t>
      </w:r>
      <w:r>
        <w:rPr>
          <w:rFonts w:ascii="Consolas"/>
          <w:spacing w:val="-1"/>
        </w:rPr>
        <w:t>"a"|"b"|"c"|"d"|"e"|"f"|"g"|"h"|"i"|"j"|"k"|"l"|"m"|</w:t>
      </w:r>
    </w:p>
    <w:p>
      <w:pPr>
        <w:pStyle w:val="BodyText"/>
        <w:ind w:left="750"/>
        <w:rPr>
          <w:rFonts w:ascii="Consolas"/>
        </w:rPr>
      </w:pPr>
      <w:r>
        <w:rPr>
          <w:rFonts w:ascii="Consolas"/>
        </w:rPr>
        <w:t>"n"|"o"|"p"|"q"|"r"|"s"|"t"|"u"|"v"|"w"|"x"|"y"|"z"|</w:t>
      </w:r>
    </w:p>
    <w:p>
      <w:pPr>
        <w:pStyle w:val="BodyText"/>
        <w:spacing w:before="38"/>
        <w:ind w:left="750"/>
        <w:rPr>
          <w:rFonts w:ascii="Consolas"/>
        </w:rPr>
      </w:pPr>
      <w:r>
        <w:rPr>
          <w:rFonts w:ascii="Consolas"/>
        </w:rPr>
        <w:t>"A"|"B"|"C"|"D"|"E"|"F"|"G"|"H"|"I"|"J"|"K"|"L"|"M"|</w:t>
      </w:r>
    </w:p>
    <w:p>
      <w:pPr>
        <w:pStyle w:val="BodyText"/>
        <w:spacing w:before="40"/>
        <w:ind w:left="750"/>
        <w:rPr>
          <w:rFonts w:ascii="Consolas"/>
        </w:rPr>
      </w:pPr>
      <w:r>
        <w:rPr>
          <w:rFonts w:ascii="Consolas"/>
        </w:rPr>
        <w:t>"N"|"O"|"P"|"Q"|"R"|"S"|"T"|"U"|"V"|"W"|"X"|"Y"|"Z" ;</w:t>
      </w:r>
    </w:p>
    <w:p>
      <w:pPr>
        <w:pStyle w:val="BodyText"/>
        <w:spacing w:before="37"/>
        <w:ind w:left="508"/>
        <w:rPr>
          <w:rFonts w:ascii="Consolas"/>
        </w:rPr>
      </w:pPr>
      <w:r>
        <w:rPr>
          <w:rFonts w:ascii="Consolas"/>
        </w:rPr>
        <w:t>A1-absolute-column=</w:t>
      </w:r>
    </w:p>
    <w:p>
      <w:pPr>
        <w:pStyle w:val="BodyText"/>
        <w:tabs>
          <w:tab w:pos="3773" w:val="left" w:leader="none"/>
        </w:tabs>
        <w:spacing w:line="276" w:lineRule="auto" w:before="40"/>
        <w:ind w:left="508" w:right="6783" w:firstLine="242"/>
        <w:rPr>
          <w:rFonts w:ascii="Consolas"/>
        </w:rPr>
      </w:pPr>
      <w:r>
        <w:rPr>
          <w:rFonts w:ascii="Consolas"/>
        </w:rPr>
        <w:t>"$",</w:t>
      </w:r>
      <w:r>
        <w:rPr>
          <w:rFonts w:ascii="Consolas"/>
          <w:spacing w:val="-7"/>
        </w:rPr>
        <w:t> </w:t>
      </w:r>
      <w:r>
        <w:rPr>
          <w:rFonts w:ascii="Consolas"/>
        </w:rPr>
        <w:t>A1-relative-column</w:t>
        <w:tab/>
      </w:r>
      <w:r>
        <w:rPr>
          <w:rFonts w:ascii="Consolas"/>
          <w:spacing w:val="-18"/>
        </w:rPr>
        <w:t>; </w:t>
      </w:r>
      <w:r>
        <w:rPr>
          <w:rFonts w:ascii="Consolas"/>
        </w:rPr>
        <w:t>A1-row=</w:t>
      </w:r>
    </w:p>
    <w:p>
      <w:pPr>
        <w:pStyle w:val="BodyText"/>
        <w:tabs>
          <w:tab w:pos="2806" w:val="left" w:leader="none"/>
        </w:tabs>
        <w:spacing w:line="278" w:lineRule="auto"/>
        <w:ind w:left="750" w:right="7749"/>
        <w:rPr>
          <w:rFonts w:ascii="Consolas"/>
        </w:rPr>
      </w:pPr>
      <w:r>
        <w:rPr>
          <w:rFonts w:ascii="Consolas"/>
        </w:rPr>
        <w:t>A1-relative-row</w:t>
        <w:tab/>
      </w:r>
      <w:r>
        <w:rPr>
          <w:rFonts w:ascii="Consolas"/>
          <w:spacing w:val="-17"/>
        </w:rPr>
        <w:t>| </w:t>
      </w:r>
      <w:r>
        <w:rPr>
          <w:rFonts w:ascii="Consolas"/>
        </w:rPr>
        <w:t>A1-absolute-row</w:t>
        <w:tab/>
      </w:r>
      <w:r>
        <w:rPr>
          <w:rFonts w:ascii="Consolas"/>
          <w:spacing w:val="-17"/>
        </w:rPr>
        <w:t>;</w:t>
      </w:r>
    </w:p>
    <w:p>
      <w:pPr>
        <w:pStyle w:val="BodyText"/>
        <w:spacing w:line="253" w:lineRule="exact"/>
        <w:ind w:left="508"/>
        <w:rPr>
          <w:rFonts w:ascii="Consolas"/>
        </w:rPr>
      </w:pPr>
      <w:r>
        <w:rPr>
          <w:rFonts w:ascii="Consolas"/>
        </w:rPr>
        <w:t>A1-relative-row=</w:t>
      </w:r>
    </w:p>
    <w:p>
      <w:pPr>
        <w:pStyle w:val="BodyText"/>
        <w:tabs>
          <w:tab w:pos="2685" w:val="left" w:leader="none"/>
          <w:tab w:pos="3047" w:val="left" w:leader="none"/>
        </w:tabs>
        <w:spacing w:line="276" w:lineRule="auto" w:before="38"/>
        <w:ind w:left="508" w:right="2914" w:firstLine="242"/>
        <w:rPr>
          <w:rFonts w:ascii="Consolas"/>
        </w:rPr>
      </w:pPr>
      <w:r>
        <w:rPr>
          <w:rFonts w:ascii="Consolas"/>
        </w:rPr>
        <w:t>digit-sequence</w:t>
        <w:tab/>
        <w:t>;</w:t>
        <w:tab/>
        <w:t>(* shall be non-zero; see 3.17.2.3.1</w:t>
      </w:r>
      <w:r>
        <w:rPr>
          <w:rFonts w:ascii="Consolas"/>
          <w:spacing w:val="-19"/>
        </w:rPr>
        <w:t> </w:t>
      </w:r>
      <w:r>
        <w:rPr>
          <w:rFonts w:ascii="Consolas"/>
        </w:rPr>
        <w:t>*) A1-absolute-row=</w:t>
      </w:r>
    </w:p>
    <w:p>
      <w:pPr>
        <w:pStyle w:val="BodyText"/>
        <w:tabs>
          <w:tab w:pos="3411" w:val="left" w:leader="none"/>
        </w:tabs>
        <w:spacing w:before="1"/>
        <w:ind w:left="750"/>
        <w:rPr>
          <w:rFonts w:ascii="Consolas" w:hAnsi="Consolas"/>
        </w:rPr>
      </w:pPr>
      <w:r>
        <w:rPr>
          <w:rFonts w:ascii="Consolas" w:hAnsi="Consolas"/>
        </w:rPr>
        <w:t>“$”,</w:t>
      </w:r>
      <w:r>
        <w:rPr>
          <w:rFonts w:ascii="Consolas" w:hAnsi="Consolas"/>
          <w:spacing w:val="-6"/>
        </w:rPr>
        <w:t> </w:t>
      </w:r>
      <w:r>
        <w:rPr>
          <w:rFonts w:ascii="Consolas" w:hAnsi="Consolas"/>
        </w:rPr>
        <w:t>A1-relative-row</w:t>
        <w:tab/>
        <w:t>;</w:t>
      </w:r>
    </w:p>
    <w:p>
      <w:pPr>
        <w:pStyle w:val="BodyText"/>
        <w:rPr>
          <w:rFonts w:ascii="Consolas"/>
          <w:sz w:val="20"/>
        </w:rPr>
      </w:pPr>
    </w:p>
    <w:p>
      <w:pPr>
        <w:pStyle w:val="BodyText"/>
        <w:spacing w:line="278" w:lineRule="auto" w:before="1"/>
        <w:ind w:left="220" w:right="759"/>
      </w:pPr>
      <w:r>
        <w:rPr/>
        <w:t>In this style, each row has a numeric heading numbered sequentially from the top down, starting at 1. Each column has an alphabetic heading named sequentially from left-to-right, A–Z, then AA–AZ, BA–BZ, …, ZA–ZZ, AAA–AAZ, ABA–ABZ, and so on. Column letters are not case-sensitive.</w:t>
      </w:r>
    </w:p>
    <w:p>
      <w:pPr>
        <w:pStyle w:val="BodyText"/>
        <w:spacing w:line="276" w:lineRule="auto" w:before="193"/>
        <w:ind w:left="220" w:right="369"/>
      </w:pPr>
      <w:r>
        <w:rPr/>
        <w:t>A relative reference to a single cell is written as its column letter immediately followed by its row number. A relative reference to a whole row is written as its row number. A relative reference to a whole column is written as its column letter. A reference to a range of two or more cells is written as two single-cell references separated by the binary range operator (</w:t>
      </w:r>
      <w:r>
        <w:rPr>
          <w:rFonts w:ascii="Consolas"/>
        </w:rPr>
        <w:t>:</w:t>
      </w:r>
      <w:r>
        <w:rPr/>
        <w:t>). An absolute A1 reference is made up of a cell's column letter followed by its row number, with each being preceded by a dollar character (</w:t>
      </w:r>
      <w:r>
        <w:rPr>
          <w:rFonts w:ascii="Consolas"/>
        </w:rPr>
        <w:t>$</w:t>
      </w:r>
      <w:r>
        <w:rPr/>
        <w:t>). [</w:t>
      </w:r>
      <w:r>
        <w:rPr>
          <w:i/>
        </w:rPr>
        <w:t>Example</w:t>
      </w:r>
      <w:r>
        <w:rPr/>
        <w:t>: </w:t>
      </w:r>
      <w:r>
        <w:rPr>
          <w:rFonts w:ascii="Consolas"/>
        </w:rPr>
        <w:t>A2</w:t>
      </w:r>
      <w:r>
        <w:rPr/>
        <w:t>, </w:t>
      </w:r>
      <w:r>
        <w:rPr>
          <w:rFonts w:ascii="Consolas"/>
        </w:rPr>
        <w:t>B34</w:t>
      </w:r>
      <w:r>
        <w:rPr/>
        <w:t>, and </w:t>
      </w:r>
      <w:r>
        <w:rPr>
          <w:rFonts w:ascii="Consolas"/>
        </w:rPr>
        <w:t>B5:D8</w:t>
      </w:r>
      <w:r>
        <w:rPr>
          <w:rFonts w:ascii="Consolas"/>
          <w:spacing w:val="-96"/>
        </w:rPr>
        <w:t> </w:t>
      </w:r>
      <w:r>
        <w:rPr/>
        <w:t>are relative</w:t>
      </w:r>
    </w:p>
    <w:p>
      <w:pPr>
        <w:pStyle w:val="BodyText"/>
        <w:spacing w:line="278" w:lineRule="auto"/>
        <w:ind w:left="220" w:right="535"/>
      </w:pPr>
      <w:r>
        <w:rPr/>
        <w:t>A1 references. </w:t>
      </w:r>
      <w:r>
        <w:rPr>
          <w:rFonts w:ascii="Consolas"/>
        </w:rPr>
        <w:t>$A$2</w:t>
      </w:r>
      <w:r>
        <w:rPr/>
        <w:t>, </w:t>
      </w:r>
      <w:r>
        <w:rPr>
          <w:rFonts w:ascii="Consolas"/>
        </w:rPr>
        <w:t>$B$34</w:t>
      </w:r>
      <w:r>
        <w:rPr/>
        <w:t>, and </w:t>
      </w:r>
      <w:r>
        <w:rPr>
          <w:rFonts w:ascii="Consolas"/>
        </w:rPr>
        <w:t>$B$5:$D$8</w:t>
      </w:r>
      <w:r>
        <w:rPr>
          <w:rFonts w:ascii="Consolas"/>
          <w:spacing w:val="-72"/>
        </w:rPr>
        <w:t> </w:t>
      </w:r>
      <w:r>
        <w:rPr/>
        <w:t>are absolute A1 references. </w:t>
      </w:r>
      <w:r>
        <w:rPr>
          <w:rFonts w:ascii="Consolas"/>
        </w:rPr>
        <w:t>$A2</w:t>
      </w:r>
      <w:r>
        <w:rPr/>
        <w:t>, </w:t>
      </w:r>
      <w:r>
        <w:rPr>
          <w:rFonts w:ascii="Consolas"/>
        </w:rPr>
        <w:t>B$34</w:t>
      </w:r>
      <w:r>
        <w:rPr/>
        <w:t>, and </w:t>
      </w:r>
      <w:r>
        <w:rPr>
          <w:rFonts w:ascii="Consolas"/>
        </w:rPr>
        <w:t>$B5:D$8</w:t>
      </w:r>
      <w:r>
        <w:rPr>
          <w:rFonts w:ascii="Consolas"/>
          <w:spacing w:val="-72"/>
        </w:rPr>
        <w:t> </w:t>
      </w:r>
      <w:r>
        <w:rPr/>
        <w:t>are mixed A1 references. </w:t>
      </w:r>
      <w:r>
        <w:rPr>
          <w:i/>
        </w:rPr>
        <w:t>end example</w:t>
      </w:r>
      <w:r>
        <w:rPr/>
        <w:t>]</w:t>
      </w:r>
    </w:p>
    <w:p>
      <w:pPr>
        <w:pStyle w:val="BodyText"/>
        <w:spacing w:line="278" w:lineRule="auto" w:before="195"/>
        <w:ind w:left="220" w:right="503"/>
      </w:pPr>
      <w:r>
        <w:rPr/>
        <w:t>[</w:t>
      </w:r>
      <w:r>
        <w:rPr>
          <w:i/>
        </w:rPr>
        <w:t>Example</w:t>
      </w:r>
      <w:r>
        <w:rPr/>
        <w:t>: </w:t>
      </w:r>
      <w:r>
        <w:rPr>
          <w:rFonts w:ascii="Consolas"/>
        </w:rPr>
        <w:t>SUM(Sheet2:Sheet13!B5)</w:t>
      </w:r>
      <w:r>
        <w:rPr>
          <w:rFonts w:ascii="Consolas"/>
          <w:spacing w:val="-102"/>
        </w:rPr>
        <w:t> </w:t>
      </w:r>
      <w:r>
        <w:rPr/>
        <w:t>adds all the values contained in cell B5 on all the worksheets between and including Sheet2 and Sheet13. </w:t>
      </w:r>
      <w:r>
        <w:rPr>
          <w:i/>
        </w:rPr>
        <w:t>end example</w:t>
      </w:r>
      <w:r>
        <w:rPr/>
        <w:t>]</w:t>
      </w:r>
    </w:p>
    <w:p>
      <w:pPr>
        <w:pStyle w:val="BodyText"/>
        <w:spacing w:before="198"/>
        <w:ind w:left="220"/>
      </w:pPr>
      <w:r>
        <w:rPr/>
        <w:t>For rules on how deal with potential ambiguities between cell references and defined names, see §</w:t>
      </w:r>
      <w:hyperlink w:history="true" w:anchor="_bookmark450">
        <w:r>
          <w:rPr/>
          <w:t>18.17.5.1</w:t>
        </w:r>
      </w:hyperlink>
      <w:r>
        <w:rPr/>
        <w:t>.</w:t>
      </w:r>
    </w:p>
    <w:p>
      <w:pPr>
        <w:pStyle w:val="BodyText"/>
        <w:spacing w:before="8"/>
        <w:rPr>
          <w:sz w:val="19"/>
        </w:rPr>
      </w:pPr>
    </w:p>
    <w:p>
      <w:pPr>
        <w:pStyle w:val="ListParagraph"/>
        <w:numPr>
          <w:ilvl w:val="4"/>
          <w:numId w:val="65"/>
        </w:numPr>
        <w:tabs>
          <w:tab w:pos="2020" w:val="left" w:leader="none"/>
          <w:tab w:pos="2021" w:val="left" w:leader="none"/>
        </w:tabs>
        <w:spacing w:line="240" w:lineRule="auto" w:before="1" w:after="0"/>
        <w:ind w:left="2020" w:right="0" w:hanging="1801"/>
        <w:jc w:val="left"/>
        <w:rPr>
          <w:rFonts w:ascii="Cambria"/>
          <w:sz w:val="24"/>
        </w:rPr>
      </w:pPr>
      <w:bookmarkStart w:name="18.17.2.3.2 R1C1-Style Cell Reference" w:id="1322"/>
      <w:bookmarkEnd w:id="1322"/>
      <w:r>
        <w:rPr/>
      </w:r>
      <w:bookmarkStart w:name="_bookmark439" w:id="1323"/>
      <w:bookmarkEnd w:id="1323"/>
      <w:r>
        <w:rPr/>
      </w:r>
      <w:bookmarkStart w:name="_bookmark439" w:id="1324"/>
      <w:bookmarkEnd w:id="1324"/>
      <w:r>
        <w:rPr>
          <w:rFonts w:ascii="Cambria"/>
          <w:color w:val="233E5F"/>
          <w:sz w:val="24"/>
        </w:rPr>
        <w:t>R</w:t>
      </w:r>
      <w:r>
        <w:rPr>
          <w:rFonts w:ascii="Cambria"/>
          <w:color w:val="233E5F"/>
          <w:sz w:val="24"/>
        </w:rPr>
        <w:t>1C1-Style Cell</w:t>
      </w:r>
      <w:r>
        <w:rPr>
          <w:rFonts w:ascii="Cambria"/>
          <w:color w:val="233E5F"/>
          <w:spacing w:val="1"/>
          <w:sz w:val="24"/>
        </w:rPr>
        <w:t> </w:t>
      </w:r>
      <w:r>
        <w:rPr>
          <w:rFonts w:ascii="Cambria"/>
          <w:color w:val="233E5F"/>
          <w:sz w:val="24"/>
        </w:rPr>
        <w:t>Reference</w:t>
      </w:r>
    </w:p>
    <w:p>
      <w:pPr>
        <w:pStyle w:val="BodyText"/>
        <w:spacing w:before="121"/>
        <w:ind w:left="220"/>
      </w:pPr>
      <w:r>
        <w:rPr/>
        <w:t>A cell reference using the R1C1 reference style has the following form:</w:t>
      </w:r>
    </w:p>
    <w:p>
      <w:pPr>
        <w:pStyle w:val="BodyText"/>
        <w:spacing w:before="8"/>
        <w:rPr>
          <w:sz w:val="19"/>
        </w:rPr>
      </w:pPr>
    </w:p>
    <w:p>
      <w:pPr>
        <w:pStyle w:val="BodyText"/>
        <w:tabs>
          <w:tab w:pos="2806" w:val="left" w:leader="none"/>
        </w:tabs>
        <w:spacing w:line="276" w:lineRule="auto"/>
        <w:ind w:left="750" w:right="7750" w:hanging="243"/>
        <w:rPr>
          <w:rFonts w:ascii="Consolas"/>
        </w:rPr>
      </w:pPr>
      <w:r>
        <w:rPr>
          <w:rFonts w:ascii="Consolas"/>
        </w:rPr>
        <w:t>R1C1-reference= R1C1-row-only</w:t>
        <w:tab/>
      </w:r>
      <w:r>
        <w:rPr>
          <w:rFonts w:ascii="Consolas"/>
          <w:spacing w:val="-18"/>
        </w:rPr>
        <w:t>|</w:t>
      </w:r>
    </w:p>
    <w:p>
      <w:pPr>
        <w:pStyle w:val="BodyText"/>
        <w:tabs>
          <w:tab w:pos="2081" w:val="left" w:leader="none"/>
          <w:tab w:pos="3168" w:val="left" w:leader="none"/>
          <w:tab w:pos="3653" w:val="left" w:leader="none"/>
        </w:tabs>
        <w:spacing w:line="276" w:lineRule="auto" w:before="1"/>
        <w:ind w:left="750" w:right="6903"/>
        <w:rPr>
          <w:rFonts w:ascii="Consolas"/>
        </w:rPr>
      </w:pPr>
      <w:r>
        <w:rPr>
          <w:rFonts w:ascii="Consolas"/>
        </w:rPr>
        <w:t>R1C1-column-only</w:t>
        <w:tab/>
        <w:t>| R1C1-row,</w:t>
        <w:tab/>
        <w:t>R1C1-column</w:t>
        <w:tab/>
      </w:r>
      <w:r>
        <w:rPr>
          <w:rFonts w:ascii="Consolas"/>
          <w:spacing w:val="-18"/>
        </w:rPr>
        <w:t>;</w:t>
      </w:r>
    </w:p>
    <w:p>
      <w:pPr>
        <w:pStyle w:val="BodyText"/>
        <w:spacing w:line="256" w:lineRule="exact"/>
        <w:ind w:left="508"/>
        <w:rPr>
          <w:rFonts w:ascii="Consolas"/>
        </w:rPr>
      </w:pPr>
      <w:r>
        <w:rPr>
          <w:rFonts w:ascii="Consolas"/>
        </w:rPr>
        <w:t>R1C1-row-only=</w:t>
      </w:r>
    </w:p>
    <w:p>
      <w:pPr>
        <w:pStyle w:val="BodyText"/>
        <w:tabs>
          <w:tab w:pos="1476" w:val="left" w:leader="none"/>
          <w:tab w:pos="1596" w:val="left" w:leader="none"/>
          <w:tab w:pos="4378" w:val="left" w:leader="none"/>
          <w:tab w:pos="4862" w:val="left" w:leader="none"/>
        </w:tabs>
        <w:spacing w:line="276" w:lineRule="auto" w:before="40"/>
        <w:ind w:left="750" w:right="5693"/>
        <w:rPr>
          <w:rFonts w:ascii="Consolas"/>
        </w:rPr>
      </w:pPr>
      <w:r>
        <w:rPr>
          <w:rFonts w:ascii="Consolas"/>
        </w:rPr>
        <w:t>"R",</w:t>
        <w:tab/>
        <w:t>R1C1-absolute-number,</w:t>
        <w:tab/>
        <w:t>| "R[",</w:t>
        <w:tab/>
        <w:tab/>
        <w:t>R1C1-relative-number,</w:t>
      </w:r>
      <w:r>
        <w:rPr>
          <w:rFonts w:ascii="Consolas"/>
          <w:spacing w:val="-7"/>
        </w:rPr>
        <w:t> </w:t>
      </w:r>
      <w:r>
        <w:rPr>
          <w:rFonts w:ascii="Consolas"/>
        </w:rPr>
        <w:t>"]"</w:t>
        <w:tab/>
      </w:r>
      <w:r>
        <w:rPr>
          <w:rFonts w:ascii="Consolas"/>
          <w:spacing w:val="-17"/>
        </w:rPr>
        <w:t>;</w:t>
      </w:r>
    </w:p>
    <w:p>
      <w:pPr>
        <w:spacing w:after="0" w:line="276" w:lineRule="auto"/>
        <w:rPr>
          <w:rFonts w:ascii="Consolas"/>
        </w:rPr>
        <w:sectPr>
          <w:pgSz w:w="12240" w:h="15840"/>
          <w:pgMar w:header="761" w:footer="746" w:top="1340" w:bottom="940" w:left="860" w:right="700"/>
        </w:sectPr>
      </w:pPr>
    </w:p>
    <w:p>
      <w:pPr>
        <w:pStyle w:val="BodyText"/>
        <w:spacing w:before="150"/>
        <w:ind w:left="508"/>
        <w:rPr>
          <w:rFonts w:ascii="Consolas"/>
        </w:rPr>
      </w:pPr>
      <w:r>
        <w:rPr>
          <w:rFonts w:ascii="Consolas"/>
        </w:rPr>
        <w:t>R1C1-row=</w:t>
      </w:r>
    </w:p>
    <w:p>
      <w:pPr>
        <w:pStyle w:val="BodyText"/>
        <w:tabs>
          <w:tab w:pos="3048" w:val="left" w:leader="none"/>
        </w:tabs>
        <w:spacing w:line="278" w:lineRule="auto" w:before="38"/>
        <w:ind w:left="750" w:right="7507"/>
        <w:rPr>
          <w:rFonts w:ascii="Consolas"/>
        </w:rPr>
      </w:pPr>
      <w:r>
        <w:rPr>
          <w:rFonts w:ascii="Consolas"/>
        </w:rPr>
        <w:t>R1C1-relative-row</w:t>
        <w:tab/>
      </w:r>
      <w:r>
        <w:rPr>
          <w:rFonts w:ascii="Consolas"/>
          <w:spacing w:val="-17"/>
        </w:rPr>
        <w:t>| </w:t>
      </w:r>
      <w:r>
        <w:rPr>
          <w:rFonts w:ascii="Consolas"/>
        </w:rPr>
        <w:t>R1C1-absolute-row</w:t>
        <w:tab/>
      </w:r>
      <w:r>
        <w:rPr>
          <w:rFonts w:ascii="Consolas"/>
          <w:spacing w:val="-17"/>
        </w:rPr>
        <w:t>;</w:t>
      </w:r>
    </w:p>
    <w:p>
      <w:pPr>
        <w:pStyle w:val="BodyText"/>
        <w:spacing w:line="253" w:lineRule="exact"/>
        <w:ind w:left="508"/>
        <w:rPr>
          <w:rFonts w:ascii="Consolas"/>
        </w:rPr>
      </w:pPr>
      <w:r>
        <w:rPr>
          <w:rFonts w:ascii="Consolas"/>
        </w:rPr>
        <w:t>R1C1-relative-row=</w:t>
      </w:r>
    </w:p>
    <w:p>
      <w:pPr>
        <w:pStyle w:val="BodyText"/>
        <w:tabs>
          <w:tab w:pos="1596" w:val="left" w:leader="none"/>
          <w:tab w:pos="4862" w:val="left" w:leader="none"/>
        </w:tabs>
        <w:spacing w:line="276" w:lineRule="auto" w:before="40"/>
        <w:ind w:left="508" w:right="5693" w:firstLine="242"/>
        <w:rPr>
          <w:rFonts w:ascii="Consolas"/>
        </w:rPr>
      </w:pPr>
      <w:r>
        <w:rPr>
          <w:rFonts w:ascii="Consolas"/>
        </w:rPr>
        <w:t>"R[",</w:t>
        <w:tab/>
        <w:t>R1C1-relative-number,</w:t>
      </w:r>
      <w:r>
        <w:rPr>
          <w:rFonts w:ascii="Consolas"/>
          <w:spacing w:val="-7"/>
        </w:rPr>
        <w:t> </w:t>
      </w:r>
      <w:r>
        <w:rPr>
          <w:rFonts w:ascii="Consolas"/>
        </w:rPr>
        <w:t>"]"</w:t>
        <w:tab/>
      </w:r>
      <w:r>
        <w:rPr>
          <w:rFonts w:ascii="Consolas"/>
          <w:spacing w:val="-17"/>
        </w:rPr>
        <w:t>; </w:t>
      </w:r>
      <w:r>
        <w:rPr>
          <w:rFonts w:ascii="Consolas"/>
        </w:rPr>
        <w:t>R1C1-absolute-row=</w:t>
      </w:r>
    </w:p>
    <w:p>
      <w:pPr>
        <w:pStyle w:val="BodyText"/>
        <w:tabs>
          <w:tab w:pos="1596" w:val="left" w:leader="none"/>
        </w:tabs>
        <w:ind w:left="750"/>
        <w:rPr>
          <w:rFonts w:ascii="Consolas"/>
        </w:rPr>
      </w:pPr>
      <w:r>
        <w:rPr>
          <w:rFonts w:ascii="Consolas"/>
        </w:rPr>
        <w:t>"R"</w:t>
        <w:tab/>
        <w:t>|</w:t>
      </w:r>
    </w:p>
    <w:p>
      <w:pPr>
        <w:pStyle w:val="BodyText"/>
        <w:tabs>
          <w:tab w:pos="4015" w:val="left" w:leader="none"/>
        </w:tabs>
        <w:spacing w:line="276" w:lineRule="auto" w:before="38"/>
        <w:ind w:left="508" w:right="6540" w:firstLine="242"/>
        <w:rPr>
          <w:rFonts w:ascii="Consolas"/>
        </w:rPr>
      </w:pPr>
      <w:r>
        <w:rPr>
          <w:rFonts w:ascii="Consolas"/>
        </w:rPr>
        <w:t>"R",</w:t>
      </w:r>
      <w:r>
        <w:rPr>
          <w:rFonts w:ascii="Consolas"/>
          <w:spacing w:val="-7"/>
        </w:rPr>
        <w:t> </w:t>
      </w:r>
      <w:r>
        <w:rPr>
          <w:rFonts w:ascii="Consolas"/>
        </w:rPr>
        <w:t>R1C1-absolute-number</w:t>
        <w:tab/>
      </w:r>
      <w:r>
        <w:rPr>
          <w:rFonts w:ascii="Consolas"/>
          <w:spacing w:val="-17"/>
        </w:rPr>
        <w:t>; </w:t>
      </w:r>
      <w:r>
        <w:rPr>
          <w:rFonts w:ascii="Consolas"/>
        </w:rPr>
        <w:t>R1C1-column-only=</w:t>
      </w:r>
    </w:p>
    <w:p>
      <w:pPr>
        <w:pStyle w:val="BodyText"/>
        <w:tabs>
          <w:tab w:pos="1476" w:val="left" w:leader="none"/>
          <w:tab w:pos="4015" w:val="left" w:leader="none"/>
        </w:tabs>
        <w:ind w:left="750"/>
        <w:rPr>
          <w:rFonts w:ascii="Consolas"/>
        </w:rPr>
      </w:pPr>
      <w:r>
        <w:rPr>
          <w:rFonts w:ascii="Consolas"/>
        </w:rPr>
        <w:t>"C",</w:t>
        <w:tab/>
        <w:t>R1C1-abolute-number</w:t>
        <w:tab/>
        <w:t>|</w:t>
      </w:r>
    </w:p>
    <w:p>
      <w:pPr>
        <w:pStyle w:val="BodyText"/>
        <w:tabs>
          <w:tab w:pos="1596" w:val="left" w:leader="none"/>
          <w:tab w:pos="4378" w:val="left" w:leader="none"/>
          <w:tab w:pos="4982" w:val="left" w:leader="none"/>
        </w:tabs>
        <w:spacing w:line="278" w:lineRule="auto" w:before="38"/>
        <w:ind w:left="508" w:right="5574" w:firstLine="242"/>
        <w:rPr>
          <w:rFonts w:ascii="Consolas"/>
        </w:rPr>
      </w:pPr>
      <w:r>
        <w:rPr>
          <w:rFonts w:ascii="Consolas"/>
        </w:rPr>
        <w:t>"C[",</w:t>
        <w:tab/>
        <w:t>R1C1-relative-number,</w:t>
        <w:tab/>
        <w:t>"]"</w:t>
        <w:tab/>
      </w:r>
      <w:r>
        <w:rPr>
          <w:rFonts w:ascii="Consolas"/>
          <w:spacing w:val="-18"/>
        </w:rPr>
        <w:t>; </w:t>
      </w:r>
      <w:r>
        <w:rPr>
          <w:rFonts w:ascii="Consolas"/>
        </w:rPr>
        <w:t>R1C1-column=</w:t>
      </w:r>
    </w:p>
    <w:p>
      <w:pPr>
        <w:pStyle w:val="BodyText"/>
        <w:tabs>
          <w:tab w:pos="3410" w:val="left" w:leader="none"/>
        </w:tabs>
        <w:spacing w:line="278" w:lineRule="auto"/>
        <w:ind w:left="750" w:right="7145"/>
        <w:rPr>
          <w:rFonts w:ascii="Consolas"/>
        </w:rPr>
      </w:pPr>
      <w:r>
        <w:rPr>
          <w:rFonts w:ascii="Consolas"/>
        </w:rPr>
        <w:t>R1C1-relative-column</w:t>
        <w:tab/>
      </w:r>
      <w:r>
        <w:rPr>
          <w:rFonts w:ascii="Consolas"/>
          <w:spacing w:val="-17"/>
        </w:rPr>
        <w:t>| </w:t>
      </w:r>
      <w:r>
        <w:rPr>
          <w:rFonts w:ascii="Consolas"/>
        </w:rPr>
        <w:t>R1C1-absolute-column</w:t>
        <w:tab/>
      </w:r>
      <w:r>
        <w:rPr>
          <w:rFonts w:ascii="Consolas"/>
          <w:spacing w:val="-17"/>
        </w:rPr>
        <w:t>;</w:t>
      </w:r>
    </w:p>
    <w:p>
      <w:pPr>
        <w:pStyle w:val="BodyText"/>
        <w:spacing w:line="253" w:lineRule="exact"/>
        <w:ind w:left="508"/>
        <w:rPr>
          <w:rFonts w:ascii="Consolas"/>
        </w:rPr>
      </w:pPr>
      <w:r>
        <w:rPr>
          <w:rFonts w:ascii="Consolas"/>
        </w:rPr>
        <w:t>R1C1-relative-column=</w:t>
      </w:r>
    </w:p>
    <w:p>
      <w:pPr>
        <w:pStyle w:val="BodyText"/>
        <w:tabs>
          <w:tab w:pos="1596" w:val="left" w:leader="none"/>
          <w:tab w:pos="4378" w:val="left" w:leader="none"/>
          <w:tab w:pos="4982" w:val="left" w:leader="none"/>
        </w:tabs>
        <w:spacing w:line="278" w:lineRule="auto" w:before="33"/>
        <w:ind w:left="508" w:right="5574" w:firstLine="242"/>
        <w:rPr>
          <w:rFonts w:ascii="Consolas"/>
        </w:rPr>
      </w:pPr>
      <w:r>
        <w:rPr>
          <w:rFonts w:ascii="Consolas"/>
        </w:rPr>
        <w:t>"C[",</w:t>
        <w:tab/>
        <w:t>R1C1-relative-number,</w:t>
        <w:tab/>
        <w:t>"]"</w:t>
        <w:tab/>
      </w:r>
      <w:r>
        <w:rPr>
          <w:rFonts w:ascii="Consolas"/>
          <w:spacing w:val="-18"/>
        </w:rPr>
        <w:t>; </w:t>
      </w:r>
      <w:r>
        <w:rPr>
          <w:rFonts w:ascii="Consolas"/>
        </w:rPr>
        <w:t>R1C1-absolute-column=</w:t>
      </w:r>
    </w:p>
    <w:p>
      <w:pPr>
        <w:pStyle w:val="BodyText"/>
        <w:tabs>
          <w:tab w:pos="1596" w:val="left" w:leader="none"/>
        </w:tabs>
        <w:spacing w:line="253" w:lineRule="exact"/>
        <w:ind w:left="750"/>
        <w:rPr>
          <w:rFonts w:ascii="Consolas"/>
        </w:rPr>
      </w:pPr>
      <w:r>
        <w:rPr>
          <w:rFonts w:ascii="Consolas"/>
        </w:rPr>
        <w:t>"C"</w:t>
        <w:tab/>
        <w:t>|</w:t>
      </w:r>
    </w:p>
    <w:p>
      <w:pPr>
        <w:pStyle w:val="BodyText"/>
        <w:tabs>
          <w:tab w:pos="4015" w:val="left" w:leader="none"/>
        </w:tabs>
        <w:spacing w:line="276" w:lineRule="auto" w:before="40"/>
        <w:ind w:left="508" w:right="6540" w:firstLine="242"/>
        <w:rPr>
          <w:rFonts w:ascii="Consolas"/>
        </w:rPr>
      </w:pPr>
      <w:r>
        <w:rPr>
          <w:rFonts w:ascii="Consolas"/>
        </w:rPr>
        <w:t>"C",</w:t>
      </w:r>
      <w:r>
        <w:rPr>
          <w:rFonts w:ascii="Consolas"/>
          <w:spacing w:val="-7"/>
        </w:rPr>
        <w:t> </w:t>
      </w:r>
      <w:r>
        <w:rPr>
          <w:rFonts w:ascii="Consolas"/>
        </w:rPr>
        <w:t>R1C1-absolute-number</w:t>
        <w:tab/>
      </w:r>
      <w:r>
        <w:rPr>
          <w:rFonts w:ascii="Consolas"/>
          <w:spacing w:val="-17"/>
        </w:rPr>
        <w:t>; </w:t>
      </w:r>
      <w:r>
        <w:rPr>
          <w:rFonts w:ascii="Consolas"/>
        </w:rPr>
        <w:t>R1C1-relative-number=</w:t>
      </w:r>
    </w:p>
    <w:p>
      <w:pPr>
        <w:pStyle w:val="BodyText"/>
        <w:tabs>
          <w:tab w:pos="3652" w:val="left" w:leader="none"/>
        </w:tabs>
        <w:spacing w:line="276" w:lineRule="auto" w:before="1"/>
        <w:ind w:left="508" w:right="6903" w:firstLine="242"/>
        <w:rPr>
          <w:rFonts w:ascii="Consolas"/>
        </w:rPr>
      </w:pPr>
      <w:r>
        <w:rPr>
          <w:rFonts w:ascii="Consolas"/>
        </w:rPr>
        <w:t>["-"],</w:t>
      </w:r>
      <w:r>
        <w:rPr>
          <w:rFonts w:ascii="Consolas"/>
          <w:spacing w:val="-6"/>
        </w:rPr>
        <w:t> </w:t>
      </w:r>
      <w:r>
        <w:rPr>
          <w:rFonts w:ascii="Consolas"/>
        </w:rPr>
        <w:t>digit-sequence</w:t>
        <w:tab/>
      </w:r>
      <w:r>
        <w:rPr>
          <w:rFonts w:ascii="Consolas"/>
          <w:spacing w:val="-17"/>
        </w:rPr>
        <w:t>; </w:t>
      </w:r>
      <w:r>
        <w:rPr>
          <w:rFonts w:ascii="Consolas"/>
        </w:rPr>
        <w:t>R1C1-absolute-number=</w:t>
      </w:r>
    </w:p>
    <w:p>
      <w:pPr>
        <w:pStyle w:val="BodyText"/>
        <w:tabs>
          <w:tab w:pos="2685" w:val="left" w:leader="none"/>
          <w:tab w:pos="3047" w:val="left" w:leader="none"/>
        </w:tabs>
        <w:spacing w:line="256" w:lineRule="exact"/>
        <w:ind w:left="750"/>
        <w:rPr>
          <w:rFonts w:ascii="Consolas"/>
        </w:rPr>
      </w:pPr>
      <w:r>
        <w:rPr>
          <w:rFonts w:ascii="Consolas"/>
        </w:rPr>
        <w:t>digit-sequence</w:t>
        <w:tab/>
        <w:t>;</w:t>
        <w:tab/>
        <w:t>(* shall be non-zero; see 3.17.2.3.2</w:t>
      </w:r>
      <w:r>
        <w:rPr>
          <w:rFonts w:ascii="Consolas"/>
          <w:spacing w:val="-7"/>
        </w:rPr>
        <w:t> </w:t>
      </w:r>
      <w:r>
        <w:rPr>
          <w:rFonts w:ascii="Consolas"/>
        </w:rPr>
        <w:t>*)</w:t>
      </w:r>
    </w:p>
    <w:p>
      <w:pPr>
        <w:pStyle w:val="BodyText"/>
        <w:spacing w:before="3"/>
        <w:rPr>
          <w:rFonts w:ascii="Consolas"/>
          <w:sz w:val="20"/>
        </w:rPr>
      </w:pPr>
    </w:p>
    <w:p>
      <w:pPr>
        <w:pStyle w:val="BodyText"/>
        <w:spacing w:line="278" w:lineRule="auto"/>
        <w:ind w:left="220" w:right="868"/>
      </w:pPr>
      <w:r>
        <w:rPr/>
        <w:t>In this style, each row has a numeric heading numbered sequentially from the top down, starting at 1. Each column has a numeric heading numbered sequentially from left-to-right, starting at 1.</w:t>
      </w:r>
    </w:p>
    <w:p>
      <w:pPr>
        <w:pStyle w:val="BodyText"/>
        <w:spacing w:line="276" w:lineRule="auto" w:before="195"/>
        <w:ind w:left="220" w:right="427"/>
      </w:pPr>
      <w:r>
        <w:rPr/>
        <w:t>A whole row is referenced by omitting the column, and a whole column is referenced by omitting the row. An absolute row or column reference uses absolute row or column numbers, respectively. A relative row or column reference uses, respectively, row or column offsets from the cell containing the formula, with a negative offset indicating a row to the left or a column above, and a positive offset indicateing a row to the right or a column below. Specifying an offset of zero is equivalent to omitting that offset and its delimiting brackets. [</w:t>
      </w:r>
      <w:r>
        <w:rPr>
          <w:i/>
        </w:rPr>
        <w:t>Example</w:t>
      </w:r>
      <w:r>
        <w:rPr/>
        <w:t>:</w:t>
      </w:r>
    </w:p>
    <w:p>
      <w:pPr>
        <w:pStyle w:val="BodyText"/>
        <w:spacing w:line="278" w:lineRule="auto"/>
        <w:ind w:left="220" w:right="429"/>
      </w:pPr>
      <w:r>
        <w:rPr>
          <w:rFonts w:ascii="Consolas"/>
        </w:rPr>
        <w:t>R[-2]C</w:t>
      </w:r>
      <w:r>
        <w:rPr>
          <w:rFonts w:ascii="Consolas"/>
          <w:spacing w:val="-72"/>
        </w:rPr>
        <w:t> </w:t>
      </w:r>
      <w:r>
        <w:rPr/>
        <w:t>refers to the cell two rows up and in the same column, </w:t>
      </w:r>
      <w:r>
        <w:rPr>
          <w:rFonts w:ascii="Consolas"/>
        </w:rPr>
        <w:t>R[2]C[2]</w:t>
      </w:r>
      <w:r>
        <w:rPr>
          <w:rFonts w:ascii="Consolas"/>
          <w:spacing w:val="-70"/>
        </w:rPr>
        <w:t> </w:t>
      </w:r>
      <w:r>
        <w:rPr/>
        <w:t>refers to the cell two rows down and two columns to the right, </w:t>
      </w:r>
      <w:r>
        <w:rPr>
          <w:rFonts w:ascii="Consolas"/>
        </w:rPr>
        <w:t>R2C2 </w:t>
      </w:r>
      <w:r>
        <w:rPr/>
        <w:t>refers to the cell in the second row and in the second column, </w:t>
      </w:r>
      <w:r>
        <w:rPr>
          <w:rFonts w:ascii="Consolas"/>
        </w:rPr>
        <w:t>R[-1] </w:t>
      </w:r>
      <w:r>
        <w:rPr/>
        <w:t>refers to the entire row above the active cell, and </w:t>
      </w:r>
      <w:r>
        <w:rPr>
          <w:rFonts w:ascii="Consolas"/>
        </w:rPr>
        <w:t>R</w:t>
      </w:r>
      <w:r>
        <w:rPr>
          <w:rFonts w:ascii="Consolas"/>
          <w:spacing w:val="-81"/>
        </w:rPr>
        <w:t> </w:t>
      </w:r>
      <w:r>
        <w:rPr/>
        <w:t>refers to the current row. </w:t>
      </w:r>
      <w:r>
        <w:rPr>
          <w:i/>
        </w:rPr>
        <w:t>end example</w:t>
      </w:r>
      <w:r>
        <w:rPr/>
        <w:t>]</w:t>
      </w:r>
    </w:p>
    <w:p>
      <w:pPr>
        <w:pStyle w:val="BodyText"/>
        <w:spacing w:before="196"/>
        <w:ind w:left="220"/>
      </w:pPr>
      <w:r>
        <w:rPr/>
        <w:t>The R1C1 alternate reference style can only be used at runtime. See §</w:t>
      </w:r>
      <w:hyperlink w:history="true" w:anchor="_bookmark455">
        <w:r>
          <w:rPr/>
          <w:t>18.17.6.1 </w:t>
        </w:r>
      </w:hyperlink>
      <w:r>
        <w:rPr/>
        <w:t>for XML-related details.</w:t>
      </w:r>
    </w:p>
    <w:p>
      <w:pPr>
        <w:pStyle w:val="BodyText"/>
        <w:spacing w:before="8"/>
        <w:rPr>
          <w:sz w:val="19"/>
        </w:rPr>
      </w:pPr>
    </w:p>
    <w:p>
      <w:pPr>
        <w:pStyle w:val="Heading3"/>
        <w:numPr>
          <w:ilvl w:val="3"/>
          <w:numId w:val="64"/>
        </w:numPr>
        <w:tabs>
          <w:tab w:pos="1732" w:val="left" w:leader="none"/>
          <w:tab w:pos="1733" w:val="left" w:leader="none"/>
        </w:tabs>
        <w:spacing w:line="240" w:lineRule="auto" w:before="1" w:after="0"/>
        <w:ind w:left="1732" w:right="0" w:hanging="1513"/>
        <w:jc w:val="left"/>
      </w:pPr>
      <w:bookmarkStart w:name="18.17.2.4 Functions" w:id="1325"/>
      <w:bookmarkEnd w:id="1325"/>
      <w:r>
        <w:rPr/>
      </w:r>
      <w:bookmarkStart w:name="_bookmark440" w:id="1326"/>
      <w:bookmarkEnd w:id="1326"/>
      <w:r>
        <w:rPr/>
      </w:r>
      <w:bookmarkStart w:name="_bookmark440" w:id="1327"/>
      <w:bookmarkEnd w:id="1327"/>
      <w:r>
        <w:rPr>
          <w:color w:val="4F81BC"/>
        </w:rPr>
        <w:t>F</w:t>
      </w:r>
      <w:r>
        <w:rPr>
          <w:color w:val="4F81BC"/>
        </w:rPr>
        <w:t>unctions</w:t>
      </w:r>
    </w:p>
    <w:p>
      <w:pPr>
        <w:pStyle w:val="BodyText"/>
        <w:spacing w:line="278" w:lineRule="auto" w:before="118"/>
        <w:ind w:left="220" w:right="973"/>
      </w:pPr>
      <w:r>
        <w:rPr/>
        <w:t>A </w:t>
      </w:r>
      <w:r>
        <w:rPr>
          <w:i/>
        </w:rPr>
        <w:t>function </w:t>
      </w:r>
      <w:r>
        <w:rPr/>
        <w:t>is a named formula that takes zero or more arguments, performs an operation, and, optionally, returns a result. A function call has the following form:</w:t>
      </w:r>
    </w:p>
    <w:p>
      <w:pPr>
        <w:pStyle w:val="BodyText"/>
        <w:spacing w:before="2"/>
        <w:rPr>
          <w:sz w:val="16"/>
        </w:rPr>
      </w:pPr>
    </w:p>
    <w:p>
      <w:pPr>
        <w:pStyle w:val="BodyText"/>
        <w:spacing w:before="1"/>
        <w:ind w:left="508"/>
        <w:rPr>
          <w:rFonts w:ascii="Consolas"/>
        </w:rPr>
      </w:pPr>
      <w:r>
        <w:rPr>
          <w:rFonts w:ascii="Consolas"/>
        </w:rPr>
        <w:t>function-call=</w:t>
      </w:r>
    </w:p>
    <w:p>
      <w:pPr>
        <w:pStyle w:val="BodyText"/>
        <w:tabs>
          <w:tab w:pos="2686" w:val="left" w:leader="none"/>
          <w:tab w:pos="3409" w:val="left" w:leader="none"/>
          <w:tab w:pos="5588" w:val="left" w:leader="none"/>
          <w:tab w:pos="6434" w:val="left" w:leader="none"/>
        </w:tabs>
        <w:spacing w:before="37"/>
        <w:ind w:left="750"/>
        <w:rPr>
          <w:rFonts w:ascii="Consolas"/>
        </w:rPr>
      </w:pPr>
      <w:r>
        <w:rPr>
          <w:rFonts w:ascii="Consolas"/>
        </w:rPr>
        <w:t>function-name,</w:t>
        <w:tab/>
        <w:t>"(",</w:t>
        <w:tab/>
        <w:t>[argument-list],</w:t>
        <w:tab/>
        <w:t>")"</w:t>
        <w:tab/>
        <w:t>;</w:t>
      </w:r>
    </w:p>
    <w:p>
      <w:pPr>
        <w:spacing w:after="0"/>
        <w:rPr>
          <w:rFonts w:ascii="Consolas"/>
        </w:rPr>
        <w:sectPr>
          <w:pgSz w:w="12240" w:h="15840"/>
          <w:pgMar w:header="763" w:footer="746" w:top="1340" w:bottom="940" w:left="860" w:right="700"/>
        </w:sectPr>
      </w:pPr>
    </w:p>
    <w:p>
      <w:pPr>
        <w:pStyle w:val="BodyText"/>
        <w:spacing w:before="93"/>
        <w:ind w:left="508"/>
        <w:rPr>
          <w:rFonts w:ascii="Consolas"/>
        </w:rPr>
      </w:pPr>
      <w:r>
        <w:rPr>
          <w:rFonts w:ascii="Consolas"/>
        </w:rPr>
        <w:t>function-name=</w:t>
      </w:r>
    </w:p>
    <w:p>
      <w:pPr>
        <w:pStyle w:val="BodyText"/>
        <w:tabs>
          <w:tab w:pos="4257" w:val="left" w:leader="none"/>
          <w:tab w:pos="4500" w:val="left" w:leader="none"/>
        </w:tabs>
        <w:spacing w:line="276" w:lineRule="auto" w:before="38"/>
        <w:ind w:left="750" w:right="6055"/>
        <w:rPr>
          <w:rFonts w:ascii="Consolas"/>
        </w:rPr>
      </w:pPr>
      <w:r>
        <w:rPr>
          <w:rFonts w:ascii="Consolas"/>
        </w:rPr>
        <w:t>prefixed-function-name</w:t>
        <w:tab/>
        <w:t>| predefined-function-name</w:t>
        <w:tab/>
        <w:t>| user-defined-function-name</w:t>
        <w:tab/>
        <w:tab/>
      </w:r>
      <w:r>
        <w:rPr>
          <w:rFonts w:ascii="Consolas"/>
          <w:spacing w:val="-17"/>
        </w:rPr>
        <w:t>;</w:t>
      </w:r>
    </w:p>
    <w:p>
      <w:pPr>
        <w:pStyle w:val="BodyText"/>
        <w:tabs>
          <w:tab w:pos="1596" w:val="left" w:leader="none"/>
          <w:tab w:pos="1958" w:val="left" w:leader="none"/>
          <w:tab w:pos="2924" w:val="left" w:leader="none"/>
          <w:tab w:pos="3288" w:val="left" w:leader="none"/>
        </w:tabs>
        <w:spacing w:line="276" w:lineRule="auto" w:before="1"/>
        <w:ind w:left="750" w:right="6544" w:hanging="243"/>
        <w:rPr>
          <w:rFonts w:ascii="Consolas"/>
        </w:rPr>
      </w:pPr>
      <w:r>
        <w:rPr>
          <w:rFonts w:ascii="Consolas"/>
        </w:rPr>
        <w:t>predefined-function-name= "ABS"</w:t>
        <w:tab/>
        <w:t>|</w:t>
        <w:tab/>
        <w:t>"ACOS"</w:t>
        <w:tab/>
        <w:t>|</w:t>
        <w:tab/>
      </w:r>
      <w:r>
        <w:rPr>
          <w:rFonts w:ascii="Consolas"/>
          <w:spacing w:val="-4"/>
        </w:rPr>
        <w:t>"ACOSH"</w:t>
      </w:r>
    </w:p>
    <w:p>
      <w:pPr>
        <w:pStyle w:val="BodyText"/>
        <w:tabs>
          <w:tab w:pos="1477" w:val="left" w:leader="none"/>
          <w:tab w:pos="7646" w:val="left" w:leader="none"/>
        </w:tabs>
        <w:spacing w:line="276" w:lineRule="auto" w:before="1"/>
        <w:ind w:left="508" w:right="2910" w:firstLine="604"/>
        <w:rPr>
          <w:rFonts w:ascii="Consolas" w:hAnsi="Consolas"/>
        </w:rPr>
      </w:pPr>
      <w:r>
        <w:rPr>
          <w:rFonts w:ascii="Consolas" w:hAnsi="Consolas"/>
        </w:rPr>
        <w:t>|</w:t>
        <w:tab/>
        <w:t>( any of the other functions defined</w:t>
      </w:r>
      <w:r>
        <w:rPr>
          <w:rFonts w:ascii="Consolas" w:hAnsi="Consolas"/>
          <w:spacing w:val="-18"/>
        </w:rPr>
        <w:t> </w:t>
      </w:r>
      <w:r>
        <w:rPr>
          <w:rFonts w:ascii="Consolas" w:hAnsi="Consolas"/>
        </w:rPr>
        <w:t>in</w:t>
      </w:r>
      <w:r>
        <w:rPr>
          <w:rFonts w:ascii="Consolas" w:hAnsi="Consolas"/>
          <w:spacing w:val="-2"/>
        </w:rPr>
        <w:t> </w:t>
      </w:r>
      <w:r>
        <w:rPr>
          <w:rFonts w:ascii="Consolas" w:hAnsi="Consolas"/>
        </w:rPr>
        <w:t>§</w:t>
      </w:r>
      <w:hyperlink w:history="true" w:anchor="_bookmark462">
        <w:r>
          <w:rPr>
            <w:rFonts w:ascii="Consolas" w:hAnsi="Consolas"/>
            <w:i/>
          </w:rPr>
          <w:t>18.17.7</w:t>
        </w:r>
      </w:hyperlink>
      <w:r>
        <w:rPr>
          <w:rFonts w:ascii="Consolas" w:hAnsi="Consolas"/>
        </w:rPr>
        <w:t>)</w:t>
        <w:tab/>
      </w:r>
      <w:r>
        <w:rPr>
          <w:rFonts w:ascii="Consolas" w:hAnsi="Consolas"/>
          <w:spacing w:val="-18"/>
        </w:rPr>
        <w:t>; </w:t>
      </w:r>
      <w:r>
        <w:rPr>
          <w:rFonts w:ascii="Consolas" w:hAnsi="Consolas"/>
        </w:rPr>
        <w:t>prefixed-function-name=</w:t>
      </w:r>
    </w:p>
    <w:p>
      <w:pPr>
        <w:pStyle w:val="BodyText"/>
        <w:spacing w:line="278" w:lineRule="auto"/>
        <w:ind w:left="750" w:right="5797"/>
        <w:rPr>
          <w:rFonts w:ascii="Consolas"/>
        </w:rPr>
      </w:pPr>
      <w:r>
        <w:rPr>
          <w:rFonts w:ascii="Consolas"/>
        </w:rPr>
        <w:t>"ISO.", predefined-function-name | "ECMA.", predefined-function-name</w:t>
      </w:r>
    </w:p>
    <w:p>
      <w:pPr>
        <w:pStyle w:val="BodyText"/>
        <w:spacing w:line="253" w:lineRule="exact"/>
        <w:ind w:left="508"/>
        <w:rPr>
          <w:rFonts w:ascii="Consolas"/>
        </w:rPr>
      </w:pPr>
      <w:r>
        <w:rPr>
          <w:rFonts w:ascii="Consolas"/>
        </w:rPr>
        <w:t>user-defined-function-name=</w:t>
      </w:r>
    </w:p>
    <w:p>
      <w:pPr>
        <w:pStyle w:val="BodyText"/>
        <w:tabs>
          <w:tab w:pos="1838" w:val="left" w:leader="none"/>
          <w:tab w:pos="6191" w:val="left" w:leader="none"/>
        </w:tabs>
        <w:spacing w:line="276" w:lineRule="auto" w:before="37"/>
        <w:ind w:left="508" w:right="4364" w:firstLine="242"/>
        <w:rPr>
          <w:rFonts w:ascii="Consolas"/>
        </w:rPr>
      </w:pPr>
      <w:r>
        <w:rPr>
          <w:rFonts w:ascii="Consolas"/>
        </w:rPr>
        <w:t>letter,</w:t>
        <w:tab/>
        <w:t>[</w:t>
      </w:r>
      <w:r>
        <w:rPr>
          <w:rFonts w:ascii="Consolas"/>
          <w:spacing w:val="-5"/>
        </w:rPr>
        <w:t> </w:t>
      </w:r>
      <w:r>
        <w:rPr>
          <w:rFonts w:ascii="Consolas"/>
        </w:rPr>
        <w:t>user-defined-name-characters</w:t>
      </w:r>
      <w:r>
        <w:rPr>
          <w:rFonts w:ascii="Consolas"/>
          <w:spacing w:val="-5"/>
        </w:rPr>
        <w:t> </w:t>
      </w:r>
      <w:r>
        <w:rPr>
          <w:rFonts w:ascii="Consolas"/>
        </w:rPr>
        <w:t>]</w:t>
        <w:tab/>
      </w:r>
      <w:r>
        <w:rPr>
          <w:rFonts w:ascii="Consolas"/>
          <w:spacing w:val="-17"/>
        </w:rPr>
        <w:t>; </w:t>
      </w:r>
      <w:r>
        <w:rPr>
          <w:rFonts w:ascii="Consolas"/>
        </w:rPr>
        <w:t>user-defined-name-characters=</w:t>
      </w:r>
    </w:p>
    <w:p>
      <w:pPr>
        <w:pStyle w:val="BodyText"/>
        <w:tabs>
          <w:tab w:pos="4377" w:val="left" w:leader="none"/>
          <w:tab w:pos="8129" w:val="left" w:leader="none"/>
        </w:tabs>
        <w:spacing w:line="276" w:lineRule="auto" w:before="1"/>
        <w:ind w:left="508" w:right="2427" w:firstLine="242"/>
        <w:rPr>
          <w:rFonts w:ascii="Consolas"/>
        </w:rPr>
      </w:pPr>
      <w:r>
        <w:rPr>
          <w:rFonts w:ascii="Consolas"/>
        </w:rPr>
        <w:t>user-defined-name-character,</w:t>
        <w:tab/>
        <w:t>{user-defined-name-character}</w:t>
        <w:tab/>
      </w:r>
      <w:r>
        <w:rPr>
          <w:rFonts w:ascii="Consolas"/>
          <w:spacing w:val="-18"/>
        </w:rPr>
        <w:t>; </w:t>
      </w:r>
      <w:r>
        <w:rPr>
          <w:rFonts w:ascii="Consolas"/>
        </w:rPr>
        <w:t>user-defined-name-character=</w:t>
      </w:r>
    </w:p>
    <w:p>
      <w:pPr>
        <w:pStyle w:val="BodyText"/>
        <w:tabs>
          <w:tab w:pos="1716" w:val="left" w:leader="none"/>
          <w:tab w:pos="2080" w:val="left" w:leader="none"/>
          <w:tab w:pos="3895" w:val="left" w:leader="none"/>
          <w:tab w:pos="4257" w:val="left" w:leader="none"/>
          <w:tab w:pos="5830" w:val="left" w:leader="none"/>
        </w:tabs>
        <w:spacing w:line="278" w:lineRule="auto"/>
        <w:ind w:left="508" w:right="4725" w:firstLine="242"/>
        <w:rPr>
          <w:rFonts w:ascii="Consolas"/>
        </w:rPr>
      </w:pPr>
      <w:r>
        <w:rPr>
          <w:rFonts w:ascii="Consolas"/>
        </w:rPr>
        <w:t>letter</w:t>
        <w:tab/>
        <w:t>|</w:t>
        <w:tab/>
        <w:t>decimal-digit</w:t>
        <w:tab/>
        <w:t>|</w:t>
        <w:tab/>
        <w:t>full-stop</w:t>
        <w:tab/>
      </w:r>
      <w:r>
        <w:rPr>
          <w:rFonts w:ascii="Consolas"/>
          <w:spacing w:val="-17"/>
        </w:rPr>
        <w:t>; </w:t>
      </w:r>
      <w:r>
        <w:rPr>
          <w:rFonts w:ascii="Consolas"/>
        </w:rPr>
        <w:t>argument-list=</w:t>
      </w:r>
    </w:p>
    <w:p>
      <w:pPr>
        <w:pStyle w:val="BodyText"/>
        <w:tabs>
          <w:tab w:pos="2080" w:val="left" w:leader="none"/>
          <w:tab w:pos="2442" w:val="left" w:leader="none"/>
          <w:tab w:pos="3408" w:val="left" w:leader="none"/>
          <w:tab w:pos="4616" w:val="left" w:leader="none"/>
          <w:tab w:pos="4978" w:val="left" w:leader="none"/>
        </w:tabs>
        <w:spacing w:line="278" w:lineRule="auto"/>
        <w:ind w:left="508" w:right="5578" w:firstLine="242"/>
        <w:rPr>
          <w:rFonts w:ascii="Consolas"/>
        </w:rPr>
      </w:pPr>
      <w:r>
        <w:rPr>
          <w:rFonts w:ascii="Consolas"/>
        </w:rPr>
        <w:t>argument,</w:t>
        <w:tab/>
        <w:t>{</w:t>
        <w:tab/>
        <w:t>comma,</w:t>
        <w:tab/>
        <w:t>argument</w:t>
        <w:tab/>
        <w:t>}</w:t>
        <w:tab/>
      </w:r>
      <w:r>
        <w:rPr>
          <w:rFonts w:ascii="Consolas"/>
          <w:spacing w:val="-18"/>
        </w:rPr>
        <w:t>; </w:t>
      </w:r>
      <w:r>
        <w:rPr>
          <w:rFonts w:ascii="Consolas"/>
        </w:rPr>
        <w:t>comma=</w:t>
      </w:r>
    </w:p>
    <w:p>
      <w:pPr>
        <w:pStyle w:val="BodyText"/>
        <w:tabs>
          <w:tab w:pos="1354" w:val="left" w:leader="none"/>
        </w:tabs>
        <w:spacing w:line="253" w:lineRule="exact"/>
        <w:ind w:left="750"/>
        <w:rPr>
          <w:rFonts w:ascii="Consolas"/>
        </w:rPr>
      </w:pPr>
      <w:r>
        <w:rPr>
          <w:rFonts w:ascii="Consolas"/>
        </w:rPr>
        <w:t>","</w:t>
        <w:tab/>
        <w:t>;</w:t>
      </w:r>
    </w:p>
    <w:p>
      <w:pPr>
        <w:pStyle w:val="BodyText"/>
        <w:tabs>
          <w:tab w:pos="2200" w:val="left" w:leader="none"/>
        </w:tabs>
        <w:spacing w:line="276" w:lineRule="auto" w:before="33"/>
        <w:ind w:left="750" w:right="8355" w:hanging="243"/>
        <w:rPr>
          <w:rFonts w:ascii="Consolas"/>
        </w:rPr>
      </w:pPr>
      <w:r>
        <w:rPr>
          <w:rFonts w:ascii="Consolas"/>
        </w:rPr>
        <w:t>argument= expression</w:t>
        <w:tab/>
      </w:r>
      <w:r>
        <w:rPr>
          <w:rFonts w:ascii="Consolas"/>
          <w:spacing w:val="-17"/>
        </w:rPr>
        <w:t>;</w:t>
      </w:r>
    </w:p>
    <w:p>
      <w:pPr>
        <w:pStyle w:val="BodyText"/>
        <w:spacing w:before="1"/>
        <w:rPr>
          <w:rFonts w:ascii="Consolas"/>
          <w:sz w:val="17"/>
        </w:rPr>
      </w:pPr>
    </w:p>
    <w:p>
      <w:pPr>
        <w:spacing w:line="456" w:lineRule="auto" w:before="0"/>
        <w:ind w:left="220" w:right="3059" w:firstLine="0"/>
        <w:jc w:val="left"/>
        <w:rPr>
          <w:sz w:val="22"/>
        </w:rPr>
      </w:pPr>
      <w:r>
        <w:rPr>
          <w:rFonts w:ascii="Times New Roman"/>
          <w:i/>
          <w:sz w:val="22"/>
        </w:rPr>
        <w:t>predefined-function-name</w:t>
      </w:r>
      <w:r>
        <w:rPr>
          <w:sz w:val="22"/>
        </w:rPr>
        <w:t>s and </w:t>
      </w:r>
      <w:r>
        <w:rPr>
          <w:rFonts w:ascii="Times New Roman"/>
          <w:i/>
          <w:sz w:val="22"/>
        </w:rPr>
        <w:t>user-defined-function-name</w:t>
      </w:r>
      <w:r>
        <w:rPr>
          <w:sz w:val="22"/>
        </w:rPr>
        <w:t>s are not case-sensitive. A </w:t>
      </w:r>
      <w:r>
        <w:rPr>
          <w:rFonts w:ascii="Times New Roman"/>
          <w:i/>
          <w:sz w:val="22"/>
        </w:rPr>
        <w:t>user-defined-function-name </w:t>
      </w:r>
      <w:r>
        <w:rPr>
          <w:sz w:val="22"/>
        </w:rPr>
        <w:t>shall not have any of the following forms:</w:t>
      </w:r>
    </w:p>
    <w:p>
      <w:pPr>
        <w:pStyle w:val="ListParagraph"/>
        <w:numPr>
          <w:ilvl w:val="4"/>
          <w:numId w:val="64"/>
        </w:numPr>
        <w:tabs>
          <w:tab w:pos="940" w:val="left" w:leader="none"/>
          <w:tab w:pos="941" w:val="left" w:leader="none"/>
        </w:tabs>
        <w:spacing w:line="276" w:lineRule="exact" w:before="0" w:after="0"/>
        <w:ind w:left="940" w:right="0" w:hanging="361"/>
        <w:jc w:val="left"/>
        <w:rPr>
          <w:rFonts w:ascii="Consolas" w:hAnsi="Consolas"/>
          <w:sz w:val="22"/>
        </w:rPr>
      </w:pPr>
      <w:r>
        <w:rPr>
          <w:rFonts w:ascii="Consolas" w:hAnsi="Consolas"/>
          <w:sz w:val="22"/>
        </w:rPr>
        <w:t>TRUE</w:t>
      </w:r>
      <w:r>
        <w:rPr>
          <w:rFonts w:ascii="Consolas" w:hAnsi="Consolas"/>
          <w:spacing w:val="-75"/>
          <w:sz w:val="22"/>
        </w:rPr>
        <w:t> </w:t>
      </w:r>
      <w:r>
        <w:rPr>
          <w:sz w:val="22"/>
        </w:rPr>
        <w:t>or </w:t>
      </w:r>
      <w:r>
        <w:rPr>
          <w:rFonts w:ascii="Consolas" w:hAnsi="Consolas"/>
          <w:sz w:val="22"/>
        </w:rPr>
        <w:t>FALSE</w:t>
      </w:r>
    </w:p>
    <w:p>
      <w:pPr>
        <w:pStyle w:val="ListParagraph"/>
        <w:numPr>
          <w:ilvl w:val="4"/>
          <w:numId w:val="64"/>
        </w:numPr>
        <w:tabs>
          <w:tab w:pos="940" w:val="left" w:leader="none"/>
          <w:tab w:pos="941" w:val="left" w:leader="none"/>
        </w:tabs>
        <w:spacing w:line="240" w:lineRule="auto" w:before="34" w:after="0"/>
        <w:ind w:left="940" w:right="0" w:hanging="361"/>
        <w:jc w:val="left"/>
        <w:rPr>
          <w:rFonts w:ascii="Times New Roman" w:hAnsi="Times New Roman"/>
          <w:i/>
          <w:sz w:val="22"/>
        </w:rPr>
      </w:pPr>
      <w:r>
        <w:rPr>
          <w:rFonts w:ascii="Times New Roman" w:hAnsi="Times New Roman"/>
          <w:i/>
          <w:sz w:val="22"/>
        </w:rPr>
        <w:t>name</w:t>
      </w:r>
    </w:p>
    <w:p>
      <w:pPr>
        <w:pStyle w:val="ListParagraph"/>
        <w:numPr>
          <w:ilvl w:val="4"/>
          <w:numId w:val="64"/>
        </w:numPr>
        <w:tabs>
          <w:tab w:pos="940" w:val="left" w:leader="none"/>
          <w:tab w:pos="941" w:val="left" w:leader="none"/>
        </w:tabs>
        <w:spacing w:line="240" w:lineRule="auto" w:before="40" w:after="0"/>
        <w:ind w:left="940" w:right="0" w:hanging="361"/>
        <w:jc w:val="left"/>
        <w:rPr>
          <w:rFonts w:ascii="Times New Roman" w:hAnsi="Times New Roman"/>
          <w:i/>
          <w:sz w:val="22"/>
        </w:rPr>
      </w:pPr>
      <w:r>
        <w:rPr>
          <w:rFonts w:ascii="Times New Roman" w:hAnsi="Times New Roman"/>
          <w:i/>
          <w:sz w:val="22"/>
        </w:rPr>
        <w:t>cell-reference</w:t>
      </w:r>
    </w:p>
    <w:p>
      <w:pPr>
        <w:pStyle w:val="BodyText"/>
        <w:spacing w:before="9"/>
        <w:rPr>
          <w:rFonts w:ascii="Times New Roman"/>
          <w:i/>
          <w:sz w:val="20"/>
        </w:rPr>
      </w:pPr>
    </w:p>
    <w:p>
      <w:pPr>
        <w:spacing w:line="278" w:lineRule="auto" w:before="0"/>
        <w:ind w:left="220" w:right="1210" w:firstLine="0"/>
        <w:jc w:val="left"/>
        <w:rPr>
          <w:sz w:val="22"/>
        </w:rPr>
      </w:pPr>
      <w:r>
        <w:rPr>
          <w:sz w:val="22"/>
        </w:rPr>
        <w:t>[</w:t>
      </w:r>
      <w:r>
        <w:rPr>
          <w:i/>
          <w:sz w:val="22"/>
        </w:rPr>
        <w:t>Guidance</w:t>
      </w:r>
      <w:r>
        <w:rPr>
          <w:sz w:val="22"/>
        </w:rPr>
        <w:t>: An implementation is encouraged to support </w:t>
      </w:r>
      <w:r>
        <w:rPr>
          <w:rFonts w:ascii="Times New Roman"/>
          <w:i/>
          <w:sz w:val="22"/>
        </w:rPr>
        <w:t>user-defined-function-name</w:t>
      </w:r>
      <w:r>
        <w:rPr>
          <w:sz w:val="22"/>
        </w:rPr>
        <w:t>s at least as long as 255 characters. </w:t>
      </w:r>
      <w:r>
        <w:rPr>
          <w:i/>
          <w:sz w:val="22"/>
        </w:rPr>
        <w:t>end guidance</w:t>
      </w:r>
      <w:r>
        <w:rPr>
          <w:sz w:val="22"/>
        </w:rPr>
        <w:t>]</w:t>
      </w:r>
    </w:p>
    <w:p>
      <w:pPr>
        <w:pStyle w:val="BodyText"/>
        <w:spacing w:before="3"/>
        <w:rPr>
          <w:sz w:val="16"/>
        </w:rPr>
      </w:pPr>
    </w:p>
    <w:p>
      <w:pPr>
        <w:spacing w:before="0"/>
        <w:ind w:left="220" w:right="0" w:firstLine="0"/>
        <w:jc w:val="left"/>
        <w:rPr>
          <w:sz w:val="22"/>
        </w:rPr>
      </w:pPr>
      <w:r>
        <w:rPr>
          <w:sz w:val="22"/>
        </w:rPr>
        <w:t>The semantics of a call to a function having a </w:t>
      </w:r>
      <w:r>
        <w:rPr>
          <w:rFonts w:ascii="Times New Roman"/>
          <w:i/>
          <w:sz w:val="22"/>
        </w:rPr>
        <w:t>user-defined-function-name </w:t>
      </w:r>
      <w:r>
        <w:rPr>
          <w:sz w:val="22"/>
        </w:rPr>
        <w:t>are unspecified.</w:t>
      </w:r>
    </w:p>
    <w:p>
      <w:pPr>
        <w:pStyle w:val="BodyText"/>
        <w:spacing w:before="8"/>
        <w:rPr>
          <w:sz w:val="19"/>
        </w:rPr>
      </w:pPr>
    </w:p>
    <w:p>
      <w:pPr>
        <w:spacing w:before="0"/>
        <w:ind w:left="220" w:right="0" w:firstLine="0"/>
        <w:jc w:val="left"/>
        <w:rPr>
          <w:sz w:val="22"/>
        </w:rPr>
      </w:pPr>
      <w:r>
        <w:rPr>
          <w:sz w:val="22"/>
        </w:rPr>
        <w:t>[</w:t>
      </w:r>
      <w:r>
        <w:rPr>
          <w:i/>
          <w:sz w:val="22"/>
        </w:rPr>
        <w:t>Example</w:t>
      </w:r>
      <w:r>
        <w:rPr>
          <w:sz w:val="22"/>
        </w:rPr>
        <w:t>: Here are some function calls: </w:t>
      </w:r>
      <w:r>
        <w:rPr>
          <w:rFonts w:ascii="Consolas"/>
          <w:sz w:val="22"/>
        </w:rPr>
        <w:t>PI(), POWER(A1,B3)</w:t>
      </w:r>
      <w:r>
        <w:rPr>
          <w:sz w:val="22"/>
        </w:rPr>
        <w:t>, and </w:t>
      </w:r>
      <w:r>
        <w:rPr>
          <w:rFonts w:ascii="Consolas"/>
          <w:sz w:val="22"/>
        </w:rPr>
        <w:t>SUM(C6:C10)</w:t>
      </w:r>
      <w:r>
        <w:rPr>
          <w:sz w:val="22"/>
        </w:rPr>
        <w:t>. </w:t>
      </w:r>
      <w:r>
        <w:rPr>
          <w:i/>
          <w:sz w:val="22"/>
        </w:rPr>
        <w:t>end example</w:t>
      </w:r>
      <w:r>
        <w:rPr>
          <w:sz w:val="22"/>
        </w:rPr>
        <w:t>]</w:t>
      </w:r>
    </w:p>
    <w:p>
      <w:pPr>
        <w:pStyle w:val="BodyText"/>
        <w:spacing w:before="6"/>
        <w:rPr>
          <w:sz w:val="19"/>
        </w:rPr>
      </w:pPr>
    </w:p>
    <w:p>
      <w:pPr>
        <w:pStyle w:val="BodyText"/>
        <w:spacing w:line="278" w:lineRule="auto" w:before="1"/>
        <w:ind w:left="220" w:right="1663"/>
      </w:pPr>
      <w:r>
        <w:rPr/>
        <w:t>An argument to a function can be a call to a function. That is, function calls can nest. [G</w:t>
      </w:r>
      <w:r>
        <w:rPr>
          <w:i/>
        </w:rPr>
        <w:t>uidance </w:t>
      </w:r>
      <w:r>
        <w:rPr/>
        <w:t>An implementation is encouraged to support at least 64 levels of nested function calls. </w:t>
      </w:r>
      <w:r>
        <w:rPr>
          <w:i/>
        </w:rPr>
        <w:t>end guidance</w:t>
      </w:r>
      <w:r>
        <w:rPr/>
        <w:t>]</w:t>
      </w:r>
    </w:p>
    <w:p>
      <w:pPr>
        <w:pStyle w:val="BodyText"/>
        <w:spacing w:line="276" w:lineRule="auto" w:before="195"/>
        <w:ind w:left="220" w:right="380"/>
      </w:pPr>
      <w:r>
        <w:rPr/>
        <w:t>Some functions take a variable number of arguments. This is indicated in the Syntax sections of §</w:t>
      </w:r>
      <w:hyperlink w:history="true" w:anchor="_bookmark462">
        <w:r>
          <w:rPr/>
          <w:t>18.17.7 </w:t>
        </w:r>
      </w:hyperlink>
      <w:r>
        <w:rPr/>
        <w:t>by their having </w:t>
      </w:r>
      <w:r>
        <w:rPr>
          <w:rFonts w:ascii="Times New Roman" w:hAnsi="Times New Roman"/>
          <w:i/>
        </w:rPr>
        <w:t>argument-list </w:t>
      </w:r>
      <w:r>
        <w:rPr/>
        <w:t>as all, or the trailing part, of their argument list. The total number of arguments that shall be passed to such functions is at least 1.</w:t>
      </w:r>
    </w:p>
    <w:p>
      <w:pPr>
        <w:spacing w:after="0" w:line="276" w:lineRule="auto"/>
        <w:sectPr>
          <w:pgSz w:w="12240" w:h="15840"/>
          <w:pgMar w:header="761" w:footer="746" w:top="1340" w:bottom="940" w:left="860" w:right="700"/>
        </w:sectPr>
      </w:pPr>
    </w:p>
    <w:p>
      <w:pPr>
        <w:pStyle w:val="BodyText"/>
        <w:spacing w:line="278" w:lineRule="auto" w:before="148"/>
        <w:ind w:left="220" w:right="1062"/>
      </w:pPr>
      <w:r>
        <w:rPr/>
        <w:t>[</w:t>
      </w:r>
      <w:r>
        <w:rPr>
          <w:i/>
        </w:rPr>
        <w:t>Guidance </w:t>
      </w:r>
      <w:r>
        <w:rPr/>
        <w:t>An implementation is encouraged to support function calls having at least 255 arguments. </w:t>
      </w:r>
      <w:r>
        <w:rPr>
          <w:i/>
        </w:rPr>
        <w:t>end </w:t>
      </w:r>
      <w:r>
        <w:rPr>
          <w:i/>
        </w:rPr>
        <w:t>guidance</w:t>
      </w:r>
      <w:r>
        <w:rPr/>
        <w:t>]</w:t>
      </w:r>
    </w:p>
    <w:p>
      <w:pPr>
        <w:pStyle w:val="BodyText"/>
        <w:spacing w:line="276" w:lineRule="auto" w:before="196"/>
        <w:ind w:left="220" w:right="658"/>
        <w:jc w:val="both"/>
      </w:pPr>
      <w:r>
        <w:rPr/>
        <w:t>Expressions can have one or more values. Scalar expressions designate a single value, and cell references and array constants can designate multiple values. In the case of a multi-value expression, the way in which this is handled by a function when passed as an argument depends on a number of factors.</w:t>
      </w:r>
    </w:p>
    <w:p>
      <w:pPr>
        <w:pStyle w:val="BodyText"/>
        <w:spacing w:before="3"/>
        <w:rPr>
          <w:sz w:val="16"/>
        </w:rPr>
      </w:pPr>
    </w:p>
    <w:p>
      <w:pPr>
        <w:pStyle w:val="BodyText"/>
        <w:spacing w:line="276" w:lineRule="auto"/>
        <w:ind w:left="220" w:right="660"/>
      </w:pPr>
      <w:r>
        <w:rPr/>
        <w:t>Most functions and operators expect either single- or multi-valued arguments and perform all of the array calculations whenever multi-valued arguments are present. [</w:t>
      </w:r>
      <w:r>
        <w:rPr>
          <w:i/>
        </w:rPr>
        <w:t>Example</w:t>
      </w:r>
      <w:r>
        <w:rPr/>
        <w:t>: </w:t>
      </w:r>
      <w:r>
        <w:rPr>
          <w:rFonts w:ascii="Consolas" w:hAnsi="Consolas"/>
        </w:rPr>
        <w:t>SQRT({1;2;3;4})</w:t>
      </w:r>
      <w:r>
        <w:rPr/>
        <w:t>; see the examples in </w:t>
      </w:r>
      <w:hyperlink w:history="true" w:anchor="_bookmark434">
        <w:r>
          <w:rPr/>
          <w:t>§18.17.2. </w:t>
        </w:r>
      </w:hyperlink>
      <w:r>
        <w:rPr>
          <w:i/>
        </w:rPr>
        <w:t>end example</w:t>
      </w:r>
      <w:r>
        <w:rPr/>
        <w:t>]</w:t>
      </w:r>
    </w:p>
    <w:p>
      <w:pPr>
        <w:pStyle w:val="BodyText"/>
        <w:spacing w:before="4"/>
        <w:rPr>
          <w:sz w:val="16"/>
        </w:rPr>
      </w:pPr>
    </w:p>
    <w:p>
      <w:pPr>
        <w:pStyle w:val="BodyText"/>
        <w:spacing w:line="276" w:lineRule="auto"/>
        <w:ind w:left="220" w:right="388"/>
      </w:pPr>
      <w:r>
        <w:rPr/>
        <w:t>When a function expects a single-valued argument but a multi-valued expression is passed, an attempt can be made to convert that set of values to a single value. For an array value or constant, the value of the expression is the value of the first element within that array value or constant. For a cell range, the first element can be used, or implicit intersection can be performed—the exact behavior is unspecified.</w:t>
      </w:r>
    </w:p>
    <w:p>
      <w:pPr>
        <w:pStyle w:val="BodyText"/>
        <w:spacing w:before="5"/>
        <w:rPr>
          <w:sz w:val="16"/>
        </w:rPr>
      </w:pPr>
    </w:p>
    <w:p>
      <w:pPr>
        <w:pStyle w:val="BodyText"/>
        <w:spacing w:line="278" w:lineRule="auto"/>
        <w:ind w:left="220" w:right="670"/>
        <w:jc w:val="both"/>
      </w:pPr>
      <w:r>
        <w:rPr/>
        <w:t>When a function expects a multi-valued argument but a single-valued expression is passed, that single-valued argument is treated as a 1x1 array.</w:t>
      </w:r>
    </w:p>
    <w:p>
      <w:pPr>
        <w:pStyle w:val="BodyText"/>
        <w:spacing w:before="3"/>
        <w:rPr>
          <w:sz w:val="16"/>
        </w:rPr>
      </w:pPr>
    </w:p>
    <w:p>
      <w:pPr>
        <w:pStyle w:val="BodyText"/>
        <w:ind w:left="220"/>
      </w:pPr>
      <w:r>
        <w:rPr/>
        <w:t>For rules on how deal with potential ambiguities between function names and defined names, see §</w:t>
      </w:r>
      <w:hyperlink w:history="true" w:anchor="_bookmark450">
        <w:r>
          <w:rPr/>
          <w:t>18.17.5.1.</w:t>
        </w:r>
      </w:hyperlink>
    </w:p>
    <w:p>
      <w:pPr>
        <w:pStyle w:val="BodyText"/>
        <w:spacing w:before="8"/>
        <w:rPr>
          <w:sz w:val="19"/>
        </w:rPr>
      </w:pPr>
    </w:p>
    <w:p>
      <w:pPr>
        <w:pStyle w:val="Heading3"/>
        <w:numPr>
          <w:ilvl w:val="3"/>
          <w:numId w:val="64"/>
        </w:numPr>
        <w:tabs>
          <w:tab w:pos="1732" w:val="left" w:leader="none"/>
          <w:tab w:pos="1733" w:val="left" w:leader="none"/>
        </w:tabs>
        <w:spacing w:line="240" w:lineRule="auto" w:before="1" w:after="0"/>
        <w:ind w:left="1732" w:right="0" w:hanging="1513"/>
        <w:jc w:val="left"/>
      </w:pPr>
      <w:bookmarkStart w:name="18.17.2.5 Names" w:id="1328"/>
      <w:bookmarkEnd w:id="1328"/>
      <w:r>
        <w:rPr/>
      </w:r>
      <w:bookmarkStart w:name="_bookmark441" w:id="1329"/>
      <w:bookmarkEnd w:id="1329"/>
      <w:r>
        <w:rPr/>
      </w:r>
      <w:bookmarkStart w:name="_bookmark441" w:id="1330"/>
      <w:bookmarkEnd w:id="1330"/>
      <w:r>
        <w:rPr>
          <w:color w:val="4F81BC"/>
        </w:rPr>
        <w:t>Names</w:t>
      </w:r>
    </w:p>
    <w:p>
      <w:pPr>
        <w:pStyle w:val="BodyText"/>
        <w:spacing w:line="278" w:lineRule="auto" w:before="118"/>
        <w:ind w:left="220" w:right="440"/>
      </w:pPr>
      <w:r>
        <w:rPr/>
        <w:t>A </w:t>
      </w:r>
      <w:r>
        <w:rPr>
          <w:i/>
        </w:rPr>
        <w:t>name </w:t>
      </w:r>
      <w:r>
        <w:rPr/>
        <w:t>is an alias for a constant, a cell reference, or a formula. [</w:t>
      </w:r>
      <w:r>
        <w:rPr>
          <w:i/>
        </w:rPr>
        <w:t>Note</w:t>
      </w:r>
      <w:r>
        <w:rPr/>
        <w:t>: A name in a formula can make it easier to understand the purpose of that formula. For example, the formula </w:t>
      </w:r>
      <w:r>
        <w:rPr>
          <w:rFonts w:ascii="Consolas"/>
        </w:rPr>
        <w:t>SUM(FirstQuarterSales) </w:t>
      </w:r>
      <w:r>
        <w:rPr/>
        <w:t>is easier to identify than </w:t>
      </w:r>
      <w:r>
        <w:rPr>
          <w:rFonts w:ascii="Consolas"/>
        </w:rPr>
        <w:t>SUM(C20:C30)</w:t>
      </w:r>
      <w:r>
        <w:rPr/>
        <w:t>. </w:t>
      </w:r>
      <w:r>
        <w:rPr>
          <w:i/>
        </w:rPr>
        <w:t>end note</w:t>
      </w:r>
      <w:r>
        <w:rPr/>
        <w:t>]</w:t>
      </w:r>
    </w:p>
    <w:p>
      <w:pPr>
        <w:pStyle w:val="BodyText"/>
        <w:spacing w:before="197"/>
        <w:ind w:left="220"/>
      </w:pPr>
      <w:r>
        <w:rPr/>
        <w:t>Here is the syntax for </w:t>
      </w:r>
      <w:r>
        <w:rPr>
          <w:rFonts w:ascii="Times New Roman"/>
          <w:i/>
        </w:rPr>
        <w:t>name</w:t>
      </w:r>
      <w:r>
        <w:rPr/>
        <w:t>:</w:t>
      </w:r>
    </w:p>
    <w:p>
      <w:pPr>
        <w:pStyle w:val="BodyText"/>
        <w:spacing w:before="8"/>
        <w:rPr>
          <w:sz w:val="19"/>
        </w:rPr>
      </w:pPr>
    </w:p>
    <w:p>
      <w:pPr>
        <w:pStyle w:val="BodyText"/>
        <w:ind w:left="508"/>
        <w:rPr>
          <w:rFonts w:ascii="Consolas"/>
        </w:rPr>
      </w:pPr>
      <w:r>
        <w:rPr>
          <w:rFonts w:ascii="Consolas"/>
        </w:rPr>
        <w:t>name=</w:t>
      </w:r>
    </w:p>
    <w:p>
      <w:pPr>
        <w:pStyle w:val="BodyText"/>
        <w:tabs>
          <w:tab w:pos="8853" w:val="left" w:leader="none"/>
        </w:tabs>
        <w:spacing w:line="278" w:lineRule="auto" w:before="37"/>
        <w:ind w:left="508" w:right="1702" w:firstLine="242"/>
        <w:rPr>
          <w:rFonts w:ascii="Consolas"/>
        </w:rPr>
      </w:pPr>
      <w:r>
        <w:rPr>
          <w:rFonts w:ascii="Consolas"/>
        </w:rPr>
        <w:t>[ workbook-name, "!" ], name-start-character, [</w:t>
      </w:r>
      <w:r>
        <w:rPr>
          <w:rFonts w:ascii="Consolas"/>
          <w:spacing w:val="-24"/>
        </w:rPr>
        <w:t> </w:t>
      </w:r>
      <w:r>
        <w:rPr>
          <w:rFonts w:ascii="Consolas"/>
        </w:rPr>
        <w:t>name-characters</w:t>
      </w:r>
      <w:r>
        <w:rPr>
          <w:rFonts w:ascii="Consolas"/>
          <w:spacing w:val="-4"/>
        </w:rPr>
        <w:t> </w:t>
      </w:r>
      <w:r>
        <w:rPr>
          <w:rFonts w:ascii="Consolas"/>
        </w:rPr>
        <w:t>]</w:t>
        <w:tab/>
      </w:r>
      <w:r>
        <w:rPr>
          <w:rFonts w:ascii="Consolas"/>
          <w:spacing w:val="-17"/>
        </w:rPr>
        <w:t>; </w:t>
      </w:r>
      <w:r>
        <w:rPr>
          <w:rFonts w:ascii="Consolas"/>
        </w:rPr>
        <w:t>name-start-character=</w:t>
      </w:r>
    </w:p>
    <w:p>
      <w:pPr>
        <w:pStyle w:val="BodyText"/>
        <w:tabs>
          <w:tab w:pos="1716" w:val="left" w:leader="none"/>
          <w:tab w:pos="2080" w:val="left" w:leader="none"/>
          <w:tab w:pos="3528" w:val="left" w:leader="none"/>
          <w:tab w:pos="3892" w:val="left" w:leader="none"/>
          <w:tab w:pos="5220" w:val="left" w:leader="none"/>
        </w:tabs>
        <w:spacing w:line="276" w:lineRule="auto"/>
        <w:ind w:left="508" w:right="5336" w:firstLine="242"/>
        <w:rPr>
          <w:rFonts w:ascii="Consolas"/>
        </w:rPr>
      </w:pPr>
      <w:r>
        <w:rPr>
          <w:rFonts w:ascii="Consolas"/>
        </w:rPr>
        <w:t>letter</w:t>
        <w:tab/>
        <w:t>|</w:t>
        <w:tab/>
        <w:t>underscore</w:t>
        <w:tab/>
        <w:t>|</w:t>
        <w:tab/>
        <w:t>backslash</w:t>
        <w:tab/>
      </w:r>
      <w:r>
        <w:rPr>
          <w:rFonts w:ascii="Consolas"/>
          <w:spacing w:val="-18"/>
        </w:rPr>
        <w:t>; </w:t>
      </w:r>
      <w:r>
        <w:rPr>
          <w:rFonts w:ascii="Consolas"/>
        </w:rPr>
        <w:t>underscore=</w:t>
      </w:r>
    </w:p>
    <w:p>
      <w:pPr>
        <w:pStyle w:val="BodyText"/>
        <w:tabs>
          <w:tab w:pos="1354" w:val="left" w:leader="none"/>
        </w:tabs>
        <w:ind w:left="750"/>
        <w:rPr>
          <w:rFonts w:ascii="Consolas"/>
        </w:rPr>
      </w:pPr>
      <w:r>
        <w:rPr>
          <w:rFonts w:ascii="Consolas"/>
        </w:rPr>
        <w:t>"_"</w:t>
        <w:tab/>
        <w:t>;</w:t>
      </w:r>
    </w:p>
    <w:p>
      <w:pPr>
        <w:pStyle w:val="BodyText"/>
        <w:tabs>
          <w:tab w:pos="1355" w:val="left" w:leader="none"/>
        </w:tabs>
        <w:spacing w:line="278" w:lineRule="auto" w:before="34"/>
        <w:ind w:left="750" w:right="8960" w:hanging="243"/>
        <w:rPr>
          <w:rFonts w:ascii="Consolas"/>
        </w:rPr>
      </w:pPr>
      <w:r>
        <w:rPr>
          <w:rFonts w:ascii="Consolas"/>
          <w:spacing w:val="-1"/>
        </w:rPr>
        <w:t>backslash= </w:t>
      </w:r>
      <w:r>
        <w:rPr>
          <w:rFonts w:ascii="Consolas"/>
        </w:rPr>
        <w:t>"\"</w:t>
        <w:tab/>
        <w:t>;</w:t>
      </w:r>
    </w:p>
    <w:p>
      <w:pPr>
        <w:pStyle w:val="BodyText"/>
        <w:spacing w:line="253" w:lineRule="exact"/>
        <w:ind w:left="508"/>
        <w:rPr>
          <w:rFonts w:ascii="Consolas"/>
        </w:rPr>
      </w:pPr>
      <w:r>
        <w:rPr>
          <w:rFonts w:ascii="Consolas"/>
        </w:rPr>
        <w:t>name-characters=</w:t>
      </w:r>
    </w:p>
    <w:p>
      <w:pPr>
        <w:pStyle w:val="BodyText"/>
        <w:tabs>
          <w:tab w:pos="2805" w:val="left" w:leader="none"/>
          <w:tab w:pos="4982" w:val="left" w:leader="none"/>
        </w:tabs>
        <w:spacing w:line="276" w:lineRule="auto" w:before="40"/>
        <w:ind w:left="508" w:right="5573" w:firstLine="242"/>
        <w:rPr>
          <w:rFonts w:ascii="Consolas"/>
        </w:rPr>
      </w:pPr>
      <w:r>
        <w:rPr>
          <w:rFonts w:ascii="Consolas"/>
        </w:rPr>
        <w:t>name-character,</w:t>
        <w:tab/>
        <w:t>{name-character}</w:t>
        <w:tab/>
      </w:r>
      <w:r>
        <w:rPr>
          <w:rFonts w:ascii="Consolas"/>
          <w:spacing w:val="-17"/>
        </w:rPr>
        <w:t>; </w:t>
      </w:r>
      <w:r>
        <w:rPr>
          <w:rFonts w:ascii="Consolas"/>
        </w:rPr>
        <w:t>name-character=</w:t>
      </w:r>
    </w:p>
    <w:p>
      <w:pPr>
        <w:pStyle w:val="BodyText"/>
        <w:tabs>
          <w:tab w:pos="1717" w:val="left" w:leader="none"/>
          <w:tab w:pos="2082" w:val="left" w:leader="none"/>
          <w:tab w:pos="3895" w:val="left" w:leader="none"/>
          <w:tab w:pos="4257" w:val="left" w:leader="none"/>
          <w:tab w:pos="5707" w:val="left" w:leader="none"/>
          <w:tab w:pos="6069" w:val="left" w:leader="none"/>
          <w:tab w:pos="7403" w:val="left" w:leader="none"/>
        </w:tabs>
        <w:spacing w:line="256" w:lineRule="exact"/>
        <w:ind w:left="750"/>
        <w:rPr>
          <w:rFonts w:ascii="Consolas"/>
        </w:rPr>
      </w:pPr>
      <w:r>
        <w:rPr>
          <w:rFonts w:ascii="Consolas"/>
        </w:rPr>
        <w:t>letter</w:t>
        <w:tab/>
        <w:t>|</w:t>
        <w:tab/>
        <w:t>decimal-digit</w:t>
        <w:tab/>
        <w:t>|</w:t>
        <w:tab/>
        <w:t>underscore</w:t>
        <w:tab/>
        <w:t>|</w:t>
        <w:tab/>
        <w:t>full-stop</w:t>
        <w:tab/>
        <w:t>;</w:t>
      </w:r>
    </w:p>
    <w:p>
      <w:pPr>
        <w:pStyle w:val="BodyText"/>
        <w:spacing w:before="5"/>
        <w:rPr>
          <w:rFonts w:ascii="Consolas"/>
          <w:sz w:val="20"/>
        </w:rPr>
      </w:pPr>
    </w:p>
    <w:p>
      <w:pPr>
        <w:pStyle w:val="BodyText"/>
        <w:ind w:left="220"/>
      </w:pPr>
      <w:r>
        <w:rPr>
          <w:rFonts w:ascii="Times New Roman"/>
          <w:i/>
        </w:rPr>
        <w:t>name</w:t>
      </w:r>
      <w:r>
        <w:rPr/>
        <w:t>s are not case-sensitive.</w:t>
      </w:r>
    </w:p>
    <w:p>
      <w:pPr>
        <w:pStyle w:val="BodyText"/>
        <w:spacing w:before="6"/>
        <w:rPr>
          <w:sz w:val="19"/>
        </w:rPr>
      </w:pPr>
    </w:p>
    <w:p>
      <w:pPr>
        <w:pStyle w:val="BodyText"/>
        <w:spacing w:line="276" w:lineRule="auto"/>
        <w:ind w:left="220" w:right="555"/>
        <w:jc w:val="both"/>
      </w:pPr>
      <w:r>
        <w:rPr/>
        <w:t>All </w:t>
      </w:r>
      <w:r>
        <w:rPr>
          <w:rFonts w:ascii="Times New Roman"/>
          <w:i/>
        </w:rPr>
        <w:t>name</w:t>
      </w:r>
      <w:r>
        <w:rPr/>
        <w:t>s within a workbook shall be unique. If the same </w:t>
      </w:r>
      <w:r>
        <w:rPr>
          <w:rFonts w:ascii="Times New Roman"/>
          <w:i/>
        </w:rPr>
        <w:t>name</w:t>
      </w:r>
      <w:r>
        <w:rPr/>
        <w:t>s are defined in two workbooks, both </w:t>
      </w:r>
      <w:r>
        <w:rPr>
          <w:rFonts w:ascii="Times New Roman"/>
          <w:i/>
        </w:rPr>
        <w:t>name</w:t>
      </w:r>
      <w:r>
        <w:rPr/>
        <w:t>s can be used in the same context be prefixing them with their corresponding workbook name and an exclamation</w:t>
      </w:r>
    </w:p>
    <w:p>
      <w:pPr>
        <w:spacing w:after="0" w:line="276" w:lineRule="auto"/>
        <w:jc w:val="both"/>
        <w:sectPr>
          <w:pgSz w:w="12240" w:h="15840"/>
          <w:pgMar w:header="763" w:footer="746" w:top="1340" w:bottom="940" w:left="860" w:right="700"/>
        </w:sectPr>
      </w:pPr>
    </w:p>
    <w:p>
      <w:pPr>
        <w:pStyle w:val="BodyText"/>
        <w:spacing w:line="278" w:lineRule="auto" w:before="90"/>
        <w:ind w:left="220" w:right="653"/>
      </w:pPr>
      <w:r>
        <w:rPr/>
        <w:t>mark (</w:t>
      </w:r>
      <w:r>
        <w:rPr>
          <w:rFonts w:ascii="Consolas"/>
        </w:rPr>
        <w:t>!</w:t>
      </w:r>
      <w:r>
        <w:rPr/>
        <w:t>). [</w:t>
      </w:r>
      <w:r>
        <w:rPr>
          <w:i/>
        </w:rPr>
        <w:t>Example</w:t>
      </w:r>
      <w:r>
        <w:rPr/>
        <w:t>: </w:t>
      </w:r>
      <w:r>
        <w:rPr>
          <w:rFonts w:ascii="Consolas"/>
        </w:rPr>
        <w:t>SUM(Sales.xlsx!ProjectedSales)</w:t>
      </w:r>
      <w:r>
        <w:rPr>
          <w:rFonts w:ascii="Consolas"/>
          <w:spacing w:val="-69"/>
        </w:rPr>
        <w:t> </w:t>
      </w:r>
      <w:r>
        <w:rPr/>
        <w:t>refers to the named range </w:t>
      </w:r>
      <w:r>
        <w:rPr>
          <w:rFonts w:ascii="Consolas"/>
        </w:rPr>
        <w:t>ProjectedSales</w:t>
      </w:r>
      <w:r>
        <w:rPr>
          <w:rFonts w:ascii="Consolas"/>
          <w:spacing w:val="-71"/>
        </w:rPr>
        <w:t> </w:t>
      </w:r>
      <w:r>
        <w:rPr/>
        <w:t>in the workbook named </w:t>
      </w:r>
      <w:r>
        <w:rPr>
          <w:rFonts w:ascii="Consolas"/>
        </w:rPr>
        <w:t>Sales.xlsx</w:t>
      </w:r>
      <w:r>
        <w:rPr/>
        <w:t>. </w:t>
      </w:r>
      <w:r>
        <w:rPr>
          <w:i/>
        </w:rPr>
        <w:t>end example</w:t>
      </w:r>
      <w:r>
        <w:rPr/>
        <w:t>]</w:t>
      </w:r>
    </w:p>
    <w:p>
      <w:pPr>
        <w:pStyle w:val="BodyText"/>
        <w:spacing w:before="3"/>
        <w:rPr>
          <w:sz w:val="16"/>
        </w:rPr>
      </w:pPr>
    </w:p>
    <w:p>
      <w:pPr>
        <w:pStyle w:val="BodyText"/>
        <w:ind w:left="220"/>
      </w:pPr>
      <w:r>
        <w:rPr/>
        <w:t>A </w:t>
      </w:r>
      <w:r>
        <w:rPr>
          <w:rFonts w:ascii="Times New Roman"/>
          <w:i/>
        </w:rPr>
        <w:t>name </w:t>
      </w:r>
      <w:r>
        <w:rPr/>
        <w:t>shall not have any of the following forms:</w:t>
      </w:r>
    </w:p>
    <w:p>
      <w:pPr>
        <w:pStyle w:val="BodyText"/>
        <w:spacing w:before="6"/>
        <w:rPr>
          <w:sz w:val="19"/>
        </w:rPr>
      </w:pPr>
    </w:p>
    <w:p>
      <w:pPr>
        <w:pStyle w:val="ListParagraph"/>
        <w:numPr>
          <w:ilvl w:val="4"/>
          <w:numId w:val="64"/>
        </w:numPr>
        <w:tabs>
          <w:tab w:pos="940" w:val="left" w:leader="none"/>
          <w:tab w:pos="941" w:val="left" w:leader="none"/>
        </w:tabs>
        <w:spacing w:line="240" w:lineRule="auto" w:before="0" w:after="0"/>
        <w:ind w:left="940" w:right="0" w:hanging="361"/>
        <w:jc w:val="left"/>
        <w:rPr>
          <w:rFonts w:ascii="Consolas" w:hAnsi="Consolas"/>
          <w:sz w:val="22"/>
        </w:rPr>
      </w:pPr>
      <w:r>
        <w:rPr>
          <w:rFonts w:ascii="Consolas" w:hAnsi="Consolas"/>
          <w:sz w:val="22"/>
        </w:rPr>
        <w:t>TRUE</w:t>
      </w:r>
      <w:r>
        <w:rPr>
          <w:rFonts w:ascii="Consolas" w:hAnsi="Consolas"/>
          <w:spacing w:val="-75"/>
          <w:sz w:val="22"/>
        </w:rPr>
        <w:t> </w:t>
      </w:r>
      <w:r>
        <w:rPr>
          <w:sz w:val="22"/>
        </w:rPr>
        <w:t>or </w:t>
      </w:r>
      <w:r>
        <w:rPr>
          <w:rFonts w:ascii="Consolas" w:hAnsi="Consolas"/>
          <w:sz w:val="22"/>
        </w:rPr>
        <w:t>FALSE</w:t>
      </w:r>
    </w:p>
    <w:p>
      <w:pPr>
        <w:pStyle w:val="ListParagraph"/>
        <w:numPr>
          <w:ilvl w:val="4"/>
          <w:numId w:val="64"/>
        </w:numPr>
        <w:tabs>
          <w:tab w:pos="940" w:val="left" w:leader="none"/>
          <w:tab w:pos="941" w:val="left" w:leader="none"/>
        </w:tabs>
        <w:spacing w:line="240" w:lineRule="auto" w:before="34" w:after="0"/>
        <w:ind w:left="940" w:right="0" w:hanging="361"/>
        <w:jc w:val="left"/>
        <w:rPr>
          <w:rFonts w:ascii="Times New Roman" w:hAnsi="Times New Roman"/>
          <w:i/>
          <w:sz w:val="22"/>
        </w:rPr>
      </w:pPr>
      <w:r>
        <w:rPr>
          <w:rFonts w:ascii="Times New Roman" w:hAnsi="Times New Roman"/>
          <w:i/>
          <w:sz w:val="22"/>
        </w:rPr>
        <w:t>user-defined-function-name</w:t>
      </w:r>
    </w:p>
    <w:p>
      <w:pPr>
        <w:pStyle w:val="ListParagraph"/>
        <w:numPr>
          <w:ilvl w:val="4"/>
          <w:numId w:val="64"/>
        </w:numPr>
        <w:tabs>
          <w:tab w:pos="940" w:val="left" w:leader="none"/>
          <w:tab w:pos="941" w:val="left" w:leader="none"/>
        </w:tabs>
        <w:spacing w:line="240" w:lineRule="auto" w:before="40" w:after="0"/>
        <w:ind w:left="940" w:right="0" w:hanging="361"/>
        <w:jc w:val="left"/>
        <w:rPr>
          <w:rFonts w:ascii="Times New Roman" w:hAnsi="Times New Roman"/>
          <w:i/>
          <w:sz w:val="22"/>
        </w:rPr>
      </w:pPr>
      <w:r>
        <w:rPr>
          <w:rFonts w:ascii="Times New Roman" w:hAnsi="Times New Roman"/>
          <w:i/>
          <w:sz w:val="22"/>
        </w:rPr>
        <w:t>cell-reference</w:t>
      </w:r>
    </w:p>
    <w:p>
      <w:pPr>
        <w:pStyle w:val="BodyText"/>
        <w:rPr>
          <w:rFonts w:ascii="Times New Roman"/>
          <w:i/>
          <w:sz w:val="21"/>
        </w:rPr>
      </w:pPr>
    </w:p>
    <w:p>
      <w:pPr>
        <w:spacing w:before="0"/>
        <w:ind w:left="220" w:right="0" w:firstLine="0"/>
        <w:jc w:val="left"/>
        <w:rPr>
          <w:sz w:val="22"/>
        </w:rPr>
      </w:pPr>
      <w:r>
        <w:rPr>
          <w:sz w:val="22"/>
        </w:rPr>
        <w:t>[</w:t>
      </w:r>
      <w:r>
        <w:rPr>
          <w:i/>
          <w:sz w:val="22"/>
        </w:rPr>
        <w:t>Guidance </w:t>
      </w:r>
      <w:r>
        <w:rPr>
          <w:sz w:val="22"/>
        </w:rPr>
        <w:t>An implementation is encouraged to support </w:t>
      </w:r>
      <w:r>
        <w:rPr>
          <w:rFonts w:ascii="Times New Roman"/>
          <w:i/>
          <w:sz w:val="22"/>
        </w:rPr>
        <w:t>name</w:t>
      </w:r>
      <w:r>
        <w:rPr>
          <w:sz w:val="22"/>
        </w:rPr>
        <w:t>s at least as long as 255 characters. </w:t>
      </w:r>
      <w:r>
        <w:rPr>
          <w:i/>
          <w:sz w:val="22"/>
        </w:rPr>
        <w:t>end guidance</w:t>
      </w:r>
      <w:r>
        <w:rPr>
          <w:sz w:val="22"/>
        </w:rPr>
        <w:t>]</w:t>
      </w:r>
    </w:p>
    <w:p>
      <w:pPr>
        <w:pStyle w:val="BodyText"/>
        <w:spacing w:before="6"/>
        <w:rPr>
          <w:sz w:val="19"/>
        </w:rPr>
      </w:pPr>
    </w:p>
    <w:p>
      <w:pPr>
        <w:pStyle w:val="BodyText"/>
        <w:spacing w:line="278" w:lineRule="auto"/>
        <w:ind w:left="220" w:right="583"/>
      </w:pPr>
      <w:r>
        <w:rPr/>
        <w:t>For rules on how deal with potential ambiguities between function names and defined names, or between cell references and defined names, see §</w:t>
      </w:r>
      <w:hyperlink w:history="true" w:anchor="_bookmark450">
        <w:r>
          <w:rPr/>
          <w:t>18.17.5.1.</w:t>
        </w:r>
      </w:hyperlink>
    </w:p>
    <w:p>
      <w:pPr>
        <w:pStyle w:val="BodyText"/>
        <w:spacing w:before="4"/>
        <w:rPr>
          <w:sz w:val="16"/>
        </w:rPr>
      </w:pPr>
    </w:p>
    <w:p>
      <w:pPr>
        <w:pStyle w:val="Heading3"/>
        <w:numPr>
          <w:ilvl w:val="3"/>
          <w:numId w:val="64"/>
        </w:numPr>
        <w:tabs>
          <w:tab w:pos="1732" w:val="left" w:leader="none"/>
          <w:tab w:pos="1733" w:val="left" w:leader="none"/>
        </w:tabs>
        <w:spacing w:line="240" w:lineRule="auto" w:before="0" w:after="0"/>
        <w:ind w:left="1732" w:right="0" w:hanging="1513"/>
        <w:jc w:val="left"/>
      </w:pPr>
      <w:bookmarkStart w:name="18.17.2.6 Types and Values" w:id="1331"/>
      <w:bookmarkEnd w:id="1331"/>
      <w:r>
        <w:rPr/>
      </w:r>
      <w:bookmarkStart w:name="_bookmark442" w:id="1332"/>
      <w:bookmarkEnd w:id="1332"/>
      <w:r>
        <w:rPr/>
      </w:r>
      <w:bookmarkStart w:name="_bookmark442" w:id="1333"/>
      <w:bookmarkEnd w:id="1333"/>
      <w:r>
        <w:rPr>
          <w:color w:val="4F81BC"/>
        </w:rPr>
        <w:t>T</w:t>
      </w:r>
      <w:r>
        <w:rPr>
          <w:color w:val="4F81BC"/>
        </w:rPr>
        <w:t>ypes and</w:t>
      </w:r>
      <w:r>
        <w:rPr>
          <w:color w:val="4F81BC"/>
          <w:spacing w:val="-2"/>
        </w:rPr>
        <w:t> </w:t>
      </w:r>
      <w:r>
        <w:rPr>
          <w:color w:val="4F81BC"/>
        </w:rPr>
        <w:t>Values</w:t>
      </w:r>
    </w:p>
    <w:p>
      <w:pPr>
        <w:pStyle w:val="BodyText"/>
        <w:spacing w:line="278" w:lineRule="auto" w:before="119"/>
        <w:ind w:left="220" w:right="532"/>
      </w:pPr>
      <w:r>
        <w:rPr/>
        <w:t>Each </w:t>
      </w:r>
      <w:r>
        <w:rPr>
          <w:rFonts w:ascii="Times New Roman"/>
          <w:i/>
        </w:rPr>
        <w:t>expression </w:t>
      </w:r>
      <w:r>
        <w:rPr/>
        <w:t>has a type. SpreadsheetML formulas support the following types: array, error, logical, number, and text.</w:t>
      </w:r>
    </w:p>
    <w:p>
      <w:pPr>
        <w:pStyle w:val="BodyText"/>
        <w:spacing w:line="276" w:lineRule="auto" w:before="195"/>
        <w:ind w:left="220" w:right="760"/>
      </w:pPr>
      <w:r>
        <w:rPr/>
        <w:t>An array value or constant represents a collection of one or more elements, whose values can have any type (i.e., the elements of an array need not all have the same type).</w:t>
      </w:r>
    </w:p>
    <w:p>
      <w:pPr>
        <w:pStyle w:val="BodyText"/>
        <w:spacing w:before="3"/>
        <w:rPr>
          <w:sz w:val="16"/>
        </w:rPr>
      </w:pPr>
    </w:p>
    <w:p>
      <w:pPr>
        <w:pStyle w:val="BodyText"/>
        <w:ind w:left="220"/>
        <w:rPr>
          <w:rFonts w:ascii="Times New Roman" w:hAnsi="Times New Roman"/>
          <w:i/>
        </w:rPr>
      </w:pPr>
      <w:r>
        <w:rPr/>
        <w:t>An error value (§</w:t>
      </w:r>
      <w:hyperlink w:history="true" w:anchor="_bookmark444">
        <w:r>
          <w:rPr/>
          <w:t>18.17.3</w:t>
        </w:r>
      </w:hyperlink>
      <w:r>
        <w:rPr/>
        <w:t>) or constant represents an error, and can have any value defined for </w:t>
      </w:r>
      <w:r>
        <w:rPr>
          <w:rFonts w:ascii="Times New Roman" w:hAnsi="Times New Roman"/>
          <w:i/>
        </w:rPr>
        <w:t>error-constant</w:t>
      </w:r>
    </w:p>
    <w:p>
      <w:pPr>
        <w:pStyle w:val="BodyText"/>
        <w:spacing w:before="44"/>
        <w:ind w:left="220"/>
      </w:pPr>
      <w:hyperlink w:history="true" w:anchor="_bookmark435">
        <w:r>
          <w:rPr/>
          <w:t>(§18.17.2.1</w:t>
        </w:r>
      </w:hyperlink>
      <w:r>
        <w:rPr/>
        <w:t>).</w:t>
      </w:r>
    </w:p>
    <w:p>
      <w:pPr>
        <w:pStyle w:val="BodyText"/>
        <w:spacing w:before="5"/>
        <w:rPr>
          <w:sz w:val="19"/>
        </w:rPr>
      </w:pPr>
    </w:p>
    <w:p>
      <w:pPr>
        <w:pStyle w:val="BodyText"/>
        <w:ind w:left="220"/>
        <w:rPr>
          <w:rFonts w:ascii="Times New Roman"/>
          <w:i/>
        </w:rPr>
      </w:pPr>
      <w:r>
        <w:rPr/>
        <w:t>A logical value or constant represents a truth value, and can have any value defined for </w:t>
      </w:r>
      <w:r>
        <w:rPr>
          <w:rFonts w:ascii="Times New Roman"/>
          <w:i/>
        </w:rPr>
        <w:t>logical-constant</w:t>
      </w:r>
    </w:p>
    <w:p>
      <w:pPr>
        <w:pStyle w:val="BodyText"/>
        <w:spacing w:before="44"/>
        <w:ind w:left="220"/>
      </w:pPr>
      <w:hyperlink w:history="true" w:anchor="_bookmark435">
        <w:r>
          <w:rPr/>
          <w:t>(§18.17.2.1</w:t>
        </w:r>
      </w:hyperlink>
      <w:r>
        <w:rPr/>
        <w:t>).</w:t>
      </w:r>
    </w:p>
    <w:p>
      <w:pPr>
        <w:pStyle w:val="BodyText"/>
        <w:spacing w:before="6"/>
        <w:rPr>
          <w:sz w:val="19"/>
        </w:rPr>
      </w:pPr>
    </w:p>
    <w:p>
      <w:pPr>
        <w:pStyle w:val="BodyText"/>
        <w:ind w:left="220"/>
        <w:rPr>
          <w:rFonts w:ascii="Times New Roman"/>
          <w:i/>
        </w:rPr>
      </w:pPr>
      <w:r>
        <w:rPr/>
        <w:t>A numeric value or constant represents a real number, and can have any value defined for </w:t>
      </w:r>
      <w:r>
        <w:rPr>
          <w:rFonts w:ascii="Times New Roman"/>
          <w:i/>
        </w:rPr>
        <w:t>numeric-constant</w:t>
      </w:r>
    </w:p>
    <w:p>
      <w:pPr>
        <w:pStyle w:val="BodyText"/>
        <w:spacing w:before="44"/>
        <w:ind w:left="220"/>
      </w:pPr>
      <w:hyperlink w:history="true" w:anchor="_bookmark435">
        <w:r>
          <w:rPr/>
          <w:t>(§18.17.2.1</w:t>
        </w:r>
      </w:hyperlink>
      <w:r>
        <w:rPr/>
        <w:t>). The term "number" is used as a generic name for any expression of type </w:t>
      </w:r>
      <w:r>
        <w:rPr>
          <w:rFonts w:ascii="Times New Roman" w:hAnsi="Times New Roman"/>
          <w:i/>
        </w:rPr>
        <w:t>number</w:t>
      </w:r>
      <w:r>
        <w:rPr/>
        <w:t>.</w:t>
      </w:r>
    </w:p>
    <w:p>
      <w:pPr>
        <w:pStyle w:val="BodyText"/>
        <w:spacing w:before="5"/>
        <w:rPr>
          <w:sz w:val="19"/>
        </w:rPr>
      </w:pPr>
    </w:p>
    <w:p>
      <w:pPr>
        <w:pStyle w:val="BodyText"/>
        <w:spacing w:before="1"/>
        <w:ind w:left="220"/>
        <w:rPr>
          <w:rFonts w:ascii="Times New Roman"/>
          <w:i/>
        </w:rPr>
      </w:pPr>
      <w:r>
        <w:rPr/>
        <w:t>A text value or constant represents arbitrary text, and can have any value defined for </w:t>
      </w:r>
      <w:r>
        <w:rPr>
          <w:rFonts w:ascii="Times New Roman"/>
          <w:i/>
        </w:rPr>
        <w:t>string-constant</w:t>
      </w:r>
    </w:p>
    <w:p>
      <w:pPr>
        <w:pStyle w:val="BodyText"/>
        <w:spacing w:before="41"/>
        <w:ind w:left="220"/>
      </w:pPr>
      <w:hyperlink w:history="true" w:anchor="_bookmark435">
        <w:r>
          <w:rPr/>
          <w:t>(§18.17.2.1</w:t>
        </w:r>
      </w:hyperlink>
      <w:r>
        <w:rPr/>
        <w:t>). The term "string" is used as a generic name for any expression of type </w:t>
      </w:r>
      <w:r>
        <w:rPr>
          <w:rFonts w:ascii="Times New Roman" w:hAnsi="Times New Roman"/>
          <w:i/>
        </w:rPr>
        <w:t>text</w:t>
      </w:r>
      <w:r>
        <w:rPr/>
        <w:t>.</w:t>
      </w:r>
    </w:p>
    <w:p>
      <w:pPr>
        <w:pStyle w:val="BodyText"/>
        <w:spacing w:before="5"/>
        <w:rPr>
          <w:sz w:val="19"/>
        </w:rPr>
      </w:pPr>
    </w:p>
    <w:p>
      <w:pPr>
        <w:pStyle w:val="BodyText"/>
        <w:spacing w:line="276" w:lineRule="auto" w:before="1"/>
        <w:ind w:left="220" w:right="387"/>
      </w:pPr>
      <w:r>
        <w:rPr/>
        <w:t>An implementation is permitted to provide an implicit conversion from </w:t>
      </w:r>
      <w:r>
        <w:rPr>
          <w:rFonts w:ascii="Times New Roman"/>
          <w:i/>
        </w:rPr>
        <w:t>string-constant </w:t>
      </w:r>
      <w:r>
        <w:rPr/>
        <w:t>to number. However, the rules by which such conversions take place are implementation-defined. [</w:t>
      </w:r>
      <w:r>
        <w:rPr>
          <w:i/>
        </w:rPr>
        <w:t>Example</w:t>
      </w:r>
      <w:r>
        <w:rPr/>
        <w:t>: An implementation might choose to accept "123"+10 by converting the string "123" to the number 123. Such conversions might be locale- specific in that a </w:t>
      </w:r>
      <w:r>
        <w:rPr>
          <w:rFonts w:ascii="Times New Roman"/>
          <w:i/>
        </w:rPr>
        <w:t>string-constant </w:t>
      </w:r>
      <w:r>
        <w:rPr/>
        <w:t>such as "10,56" might be converted to 10.56 in some locales, but not in others, depending on the radix point character. </w:t>
      </w:r>
      <w:r>
        <w:rPr>
          <w:i/>
        </w:rPr>
        <w:t>end example</w:t>
      </w:r>
      <w:r>
        <w:rPr/>
        <w:t>]</w:t>
      </w:r>
    </w:p>
    <w:p>
      <w:pPr>
        <w:pStyle w:val="BodyText"/>
        <w:spacing w:before="5"/>
        <w:rPr>
          <w:sz w:val="16"/>
        </w:rPr>
      </w:pPr>
    </w:p>
    <w:p>
      <w:pPr>
        <w:pStyle w:val="BodyText"/>
        <w:spacing w:line="278" w:lineRule="auto"/>
        <w:ind w:left="220" w:right="1123"/>
      </w:pPr>
      <w:r>
        <w:rPr/>
        <w:t>[</w:t>
      </w:r>
      <w:r>
        <w:rPr>
          <w:i/>
        </w:rPr>
        <w:t>Guidance </w:t>
      </w:r>
      <w:r>
        <w:rPr/>
        <w:t>An implementation is encouraged to support strings at least as long as 32,767 characters. </w:t>
      </w:r>
      <w:r>
        <w:rPr>
          <w:i/>
        </w:rPr>
        <w:t>end </w:t>
      </w:r>
      <w:r>
        <w:rPr>
          <w:i/>
        </w:rPr>
        <w:t>guidance</w:t>
      </w:r>
      <w:r>
        <w:rPr/>
        <w:t>]</w:t>
      </w:r>
    </w:p>
    <w:p>
      <w:pPr>
        <w:pStyle w:val="BodyText"/>
        <w:spacing w:line="276" w:lineRule="auto" w:before="196"/>
        <w:ind w:left="220" w:right="503"/>
      </w:pPr>
      <w:r>
        <w:rPr/>
        <w:t>A complex number is represented as a string in one of two equivalent text formats: </w:t>
      </w:r>
      <w:r>
        <w:rPr>
          <w:i/>
        </w:rPr>
        <w:t>x + y</w:t>
      </w:r>
      <w:r>
        <w:rPr>
          <w:rFonts w:ascii="Consolas"/>
        </w:rPr>
        <w:t>i</w:t>
      </w:r>
      <w:r>
        <w:rPr>
          <w:rFonts w:ascii="Consolas"/>
          <w:spacing w:val="-72"/>
        </w:rPr>
        <w:t> </w:t>
      </w:r>
      <w:r>
        <w:rPr/>
        <w:t>or </w:t>
      </w:r>
      <w:r>
        <w:rPr>
          <w:i/>
        </w:rPr>
        <w:t>x + y</w:t>
      </w:r>
      <w:r>
        <w:rPr>
          <w:rFonts w:ascii="Consolas"/>
        </w:rPr>
        <w:t>j</w:t>
      </w:r>
      <w:r>
        <w:rPr/>
        <w:t>, where </w:t>
      </w:r>
      <w:r>
        <w:rPr>
          <w:rFonts w:ascii="Times New Roman"/>
          <w:i/>
        </w:rPr>
        <w:t>x </w:t>
      </w:r>
      <w:r>
        <w:rPr/>
        <w:t>is the real part, and </w:t>
      </w:r>
      <w:r>
        <w:rPr>
          <w:rFonts w:ascii="Times New Roman"/>
          <w:i/>
        </w:rPr>
        <w:t>y </w:t>
      </w:r>
      <w:r>
        <w:rPr/>
        <w:t>is the imaginary part. [</w:t>
      </w:r>
      <w:r>
        <w:rPr>
          <w:i/>
        </w:rPr>
        <w:t>Example</w:t>
      </w:r>
      <w:r>
        <w:rPr/>
        <w:t>: </w:t>
      </w:r>
      <w:r>
        <w:rPr>
          <w:rFonts w:ascii="Consolas"/>
        </w:rPr>
        <w:t>"3+4i"</w:t>
      </w:r>
      <w:r>
        <w:rPr>
          <w:rFonts w:ascii="Consolas"/>
          <w:spacing w:val="-70"/>
        </w:rPr>
        <w:t> </w:t>
      </w:r>
      <w:r>
        <w:rPr/>
        <w:t>and </w:t>
      </w:r>
      <w:r>
        <w:rPr>
          <w:rFonts w:ascii="Consolas"/>
        </w:rPr>
        <w:t>"-2.5-34.6j"</w:t>
      </w:r>
      <w:r>
        <w:rPr>
          <w:rFonts w:ascii="Consolas"/>
          <w:spacing w:val="-70"/>
        </w:rPr>
        <w:t> </w:t>
      </w:r>
      <w:r>
        <w:rPr>
          <w:i/>
        </w:rPr>
        <w:t>end example</w:t>
      </w:r>
      <w:r>
        <w:rPr/>
        <w:t>]</w:t>
      </w:r>
    </w:p>
    <w:p>
      <w:pPr>
        <w:spacing w:after="0" w:line="276" w:lineRule="auto"/>
        <w:sectPr>
          <w:pgSz w:w="12240" w:h="15840"/>
          <w:pgMar w:header="761" w:footer="746" w:top="1340" w:bottom="940" w:left="860" w:right="700"/>
        </w:sectPr>
      </w:pPr>
    </w:p>
    <w:p>
      <w:pPr>
        <w:pStyle w:val="Heading3"/>
        <w:numPr>
          <w:ilvl w:val="3"/>
          <w:numId w:val="64"/>
        </w:numPr>
        <w:tabs>
          <w:tab w:pos="1732" w:val="left" w:leader="none"/>
          <w:tab w:pos="1733" w:val="left" w:leader="none"/>
        </w:tabs>
        <w:spacing w:line="240" w:lineRule="auto" w:before="151" w:after="0"/>
        <w:ind w:left="1732" w:right="0" w:hanging="1513"/>
        <w:jc w:val="left"/>
      </w:pPr>
      <w:bookmarkStart w:name="18.17.2.7 Single- and Array Formulas" w:id="1334"/>
      <w:bookmarkEnd w:id="1334"/>
      <w:r>
        <w:rPr/>
      </w:r>
      <w:bookmarkStart w:name="_bookmark443" w:id="1335"/>
      <w:bookmarkEnd w:id="1335"/>
      <w:r>
        <w:rPr/>
      </w:r>
      <w:bookmarkStart w:name="_bookmark443" w:id="1336"/>
      <w:bookmarkEnd w:id="1336"/>
      <w:r>
        <w:rPr>
          <w:color w:val="4F81BC"/>
        </w:rPr>
        <w:t>Sin</w:t>
      </w:r>
      <w:r>
        <w:rPr>
          <w:color w:val="4F81BC"/>
        </w:rPr>
        <w:t>gle- and Array</w:t>
      </w:r>
      <w:r>
        <w:rPr>
          <w:color w:val="4F81BC"/>
          <w:spacing w:val="-5"/>
        </w:rPr>
        <w:t> </w:t>
      </w:r>
      <w:r>
        <w:rPr>
          <w:color w:val="4F81BC"/>
        </w:rPr>
        <w:t>Formulas</w:t>
      </w:r>
    </w:p>
    <w:p>
      <w:pPr>
        <w:pStyle w:val="BodyText"/>
        <w:spacing w:before="121"/>
        <w:ind w:left="220"/>
      </w:pPr>
      <w:r>
        <w:rPr/>
        <w:t>A formula can either be a single-cell formula, or an array formula.</w:t>
      </w:r>
    </w:p>
    <w:p>
      <w:pPr>
        <w:pStyle w:val="BodyText"/>
        <w:spacing w:before="9"/>
        <w:rPr>
          <w:sz w:val="19"/>
        </w:rPr>
      </w:pPr>
    </w:p>
    <w:p>
      <w:pPr>
        <w:pStyle w:val="BodyText"/>
        <w:ind w:left="220"/>
      </w:pPr>
      <w:r>
        <w:rPr/>
        <w:t>A single-cell formula is applied to a single cell while an array formula is applied to a range of cells as a group.</w:t>
      </w:r>
    </w:p>
    <w:p>
      <w:pPr>
        <w:pStyle w:val="BodyText"/>
        <w:spacing w:before="5"/>
        <w:rPr>
          <w:sz w:val="19"/>
        </w:rPr>
      </w:pPr>
    </w:p>
    <w:p>
      <w:pPr>
        <w:pStyle w:val="BodyText"/>
        <w:spacing w:line="278" w:lineRule="auto" w:before="1"/>
        <w:ind w:left="220" w:right="820"/>
      </w:pPr>
      <w:r>
        <w:rPr/>
        <w:t>When a single-cell formula results in a single value, the designated cell takes on that value. [</w:t>
      </w:r>
      <w:r>
        <w:rPr>
          <w:i/>
        </w:rPr>
        <w:t>Example</w:t>
      </w:r>
      <w:r>
        <w:rPr/>
        <w:t>: When cell </w:t>
      </w:r>
      <w:r>
        <w:rPr>
          <w:rFonts w:ascii="Consolas"/>
        </w:rPr>
        <w:t>A10</w:t>
      </w:r>
      <w:r>
        <w:rPr>
          <w:rFonts w:ascii="Consolas"/>
          <w:spacing w:val="-85"/>
        </w:rPr>
        <w:t> </w:t>
      </w:r>
      <w:r>
        <w:rPr/>
        <w:t>contains </w:t>
      </w:r>
      <w:r>
        <w:rPr>
          <w:rFonts w:ascii="Consolas"/>
        </w:rPr>
        <w:t>SIN(0.3)</w:t>
      </w:r>
      <w:r>
        <w:rPr/>
        <w:t>, the result stored in that cell is </w:t>
      </w:r>
      <w:r>
        <w:rPr>
          <w:rFonts w:ascii="Consolas"/>
        </w:rPr>
        <w:t>0.295520207</w:t>
      </w:r>
      <w:r>
        <w:rPr/>
        <w:t>. </w:t>
      </w:r>
      <w:r>
        <w:rPr>
          <w:i/>
        </w:rPr>
        <w:t>end example</w:t>
      </w:r>
      <w:r>
        <w:rPr/>
        <w:t>]</w:t>
      </w:r>
    </w:p>
    <w:p>
      <w:pPr>
        <w:pStyle w:val="BodyText"/>
        <w:spacing w:line="276" w:lineRule="auto" w:before="195"/>
        <w:ind w:left="220" w:right="980"/>
      </w:pPr>
      <w:r>
        <w:rPr/>
        <w:t>When a single-cell formula results in multiple values, the designated cell takes on the first of those values. [</w:t>
      </w:r>
      <w:r>
        <w:rPr>
          <w:i/>
        </w:rPr>
        <w:t>Example</w:t>
      </w:r>
      <w:r>
        <w:rPr/>
        <w:t>: When cell A10 contains </w:t>
      </w:r>
      <w:r>
        <w:rPr>
          <w:rFonts w:ascii="Consolas"/>
        </w:rPr>
        <w:t>SIN({0.3,0.4,0.5})</w:t>
      </w:r>
      <w:r>
        <w:rPr/>
        <w:t>, the result stored in that cell is 0.295520207 (SIN(0.3)). </w:t>
      </w:r>
      <w:r>
        <w:rPr>
          <w:i/>
        </w:rPr>
        <w:t>end example</w:t>
      </w:r>
      <w:r>
        <w:rPr/>
        <w:t>]</w:t>
      </w:r>
    </w:p>
    <w:p>
      <w:pPr>
        <w:pStyle w:val="BodyText"/>
        <w:spacing w:before="4"/>
        <w:rPr>
          <w:sz w:val="16"/>
        </w:rPr>
      </w:pPr>
    </w:p>
    <w:p>
      <w:pPr>
        <w:pStyle w:val="BodyText"/>
        <w:spacing w:line="278" w:lineRule="auto"/>
        <w:ind w:left="220" w:right="858"/>
      </w:pPr>
      <w:r>
        <w:rPr/>
        <w:t>Array formulas are an extension of the formula paradigm. They allow for combining of several formula operations into one, and the returning of multiple results. Array formulas span one or more cells. There are three primary functions that array formulas perform:</w:t>
      </w:r>
    </w:p>
    <w:p>
      <w:pPr>
        <w:pStyle w:val="ListParagraph"/>
        <w:numPr>
          <w:ilvl w:val="0"/>
          <w:numId w:val="41"/>
        </w:numPr>
        <w:tabs>
          <w:tab w:pos="941" w:val="left" w:leader="none"/>
        </w:tabs>
        <w:spacing w:line="276" w:lineRule="auto" w:before="194" w:after="0"/>
        <w:ind w:left="940" w:right="429" w:hanging="360"/>
        <w:jc w:val="left"/>
        <w:rPr>
          <w:sz w:val="22"/>
        </w:rPr>
      </w:pPr>
      <w:r>
        <w:rPr>
          <w:sz w:val="22"/>
        </w:rPr>
        <w:t>Returning multiple results from one single function call. [</w:t>
      </w:r>
      <w:r>
        <w:rPr>
          <w:i/>
          <w:sz w:val="22"/>
        </w:rPr>
        <w:t>Example</w:t>
      </w:r>
      <w:r>
        <w:rPr>
          <w:sz w:val="22"/>
        </w:rPr>
        <w:t>: the function </w:t>
      </w:r>
      <w:r>
        <w:rPr>
          <w:rFonts w:ascii="Consolas"/>
          <w:sz w:val="22"/>
        </w:rPr>
        <w:t>LINEST</w:t>
      </w:r>
      <w:r>
        <w:rPr>
          <w:rFonts w:ascii="Consolas"/>
          <w:spacing w:val="-102"/>
          <w:sz w:val="22"/>
        </w:rPr>
        <w:t> </w:t>
      </w:r>
      <w:r>
        <w:rPr>
          <w:sz w:val="22"/>
        </w:rPr>
        <w:t>returns an array of several results, and, therefore, ought to be spanned across several cells as an array formula in order to display those results. </w:t>
      </w:r>
      <w:r>
        <w:rPr>
          <w:i/>
          <w:sz w:val="22"/>
        </w:rPr>
        <w:t>end</w:t>
      </w:r>
      <w:r>
        <w:rPr>
          <w:i/>
          <w:spacing w:val="-4"/>
          <w:sz w:val="22"/>
        </w:rPr>
        <w:t> </w:t>
      </w:r>
      <w:r>
        <w:rPr>
          <w:i/>
          <w:sz w:val="22"/>
        </w:rPr>
        <w:t>example</w:t>
      </w:r>
      <w:r>
        <w:rPr>
          <w:sz w:val="22"/>
        </w:rPr>
        <w:t>]</w:t>
      </w:r>
    </w:p>
    <w:p>
      <w:pPr>
        <w:pStyle w:val="ListParagraph"/>
        <w:numPr>
          <w:ilvl w:val="0"/>
          <w:numId w:val="41"/>
        </w:numPr>
        <w:tabs>
          <w:tab w:pos="941" w:val="left" w:leader="none"/>
        </w:tabs>
        <w:spacing w:line="276" w:lineRule="auto" w:before="0" w:after="0"/>
        <w:ind w:left="940" w:right="404" w:hanging="360"/>
        <w:jc w:val="left"/>
        <w:rPr>
          <w:sz w:val="22"/>
        </w:rPr>
      </w:pPr>
      <w:r>
        <w:rPr>
          <w:sz w:val="22"/>
        </w:rPr>
        <w:t>Executing one formula several times to generate an array of results. [</w:t>
      </w:r>
      <w:r>
        <w:rPr>
          <w:i/>
          <w:sz w:val="22"/>
        </w:rPr>
        <w:t>Example</w:t>
      </w:r>
      <w:r>
        <w:rPr>
          <w:sz w:val="22"/>
        </w:rPr>
        <w:t>: The array formula </w:t>
      </w:r>
      <w:r>
        <w:rPr>
          <w:rFonts w:ascii="Consolas"/>
          <w:sz w:val="22"/>
        </w:rPr>
        <w:t>SIN(A1:A3)</w:t>
      </w:r>
      <w:r>
        <w:rPr>
          <w:rFonts w:ascii="Consolas"/>
          <w:spacing w:val="-99"/>
          <w:sz w:val="22"/>
        </w:rPr>
        <w:t> </w:t>
      </w:r>
      <w:r>
        <w:rPr>
          <w:sz w:val="22"/>
        </w:rPr>
        <w:t>returns an array with three elements, those being the sines of A1, A2 and A3, respectively. </w:t>
      </w:r>
      <w:r>
        <w:rPr>
          <w:i/>
          <w:sz w:val="22"/>
        </w:rPr>
        <w:t>end</w:t>
      </w:r>
      <w:r>
        <w:rPr>
          <w:i/>
          <w:spacing w:val="-2"/>
          <w:sz w:val="22"/>
        </w:rPr>
        <w:t> </w:t>
      </w:r>
      <w:r>
        <w:rPr>
          <w:i/>
          <w:sz w:val="22"/>
        </w:rPr>
        <w:t>example</w:t>
      </w:r>
      <w:r>
        <w:rPr>
          <w:sz w:val="22"/>
        </w:rPr>
        <w:t>]</w:t>
      </w:r>
    </w:p>
    <w:p>
      <w:pPr>
        <w:pStyle w:val="ListParagraph"/>
        <w:numPr>
          <w:ilvl w:val="0"/>
          <w:numId w:val="41"/>
        </w:numPr>
        <w:tabs>
          <w:tab w:pos="941" w:val="left" w:leader="none"/>
        </w:tabs>
        <w:spacing w:line="276" w:lineRule="auto" w:before="0" w:after="0"/>
        <w:ind w:left="940" w:right="424" w:hanging="360"/>
        <w:jc w:val="left"/>
        <w:rPr>
          <w:sz w:val="22"/>
        </w:rPr>
      </w:pPr>
      <w:r>
        <w:rPr>
          <w:sz w:val="22"/>
        </w:rPr>
        <w:t>Returning one single result from an operation that incorporated arrays as an intermediate step. [</w:t>
      </w:r>
      <w:r>
        <w:rPr>
          <w:i/>
          <w:sz w:val="22"/>
        </w:rPr>
        <w:t>Example</w:t>
      </w:r>
      <w:r>
        <w:rPr>
          <w:sz w:val="22"/>
        </w:rPr>
        <w:t>:</w:t>
      </w:r>
      <w:r>
        <w:rPr>
          <w:spacing w:val="-4"/>
          <w:sz w:val="22"/>
        </w:rPr>
        <w:t> </w:t>
      </w:r>
      <w:r>
        <w:rPr>
          <w:sz w:val="22"/>
        </w:rPr>
        <w:t>The</w:t>
      </w:r>
      <w:r>
        <w:rPr>
          <w:spacing w:val="-1"/>
          <w:sz w:val="22"/>
        </w:rPr>
        <w:t> </w:t>
      </w:r>
      <w:r>
        <w:rPr>
          <w:sz w:val="22"/>
        </w:rPr>
        <w:t>array</w:t>
      </w:r>
      <w:r>
        <w:rPr>
          <w:spacing w:val="-2"/>
          <w:sz w:val="22"/>
        </w:rPr>
        <w:t> </w:t>
      </w:r>
      <w:r>
        <w:rPr>
          <w:sz w:val="22"/>
        </w:rPr>
        <w:t>formula</w:t>
      </w:r>
      <w:r>
        <w:rPr>
          <w:spacing w:val="-2"/>
          <w:sz w:val="22"/>
        </w:rPr>
        <w:t> </w:t>
      </w:r>
      <w:r>
        <w:rPr>
          <w:rFonts w:ascii="Consolas"/>
          <w:sz w:val="22"/>
        </w:rPr>
        <w:t>SUM(SIN(A1:A3))</w:t>
      </w:r>
      <w:r>
        <w:rPr>
          <w:rFonts w:ascii="Consolas"/>
          <w:spacing w:val="-72"/>
          <w:sz w:val="22"/>
        </w:rPr>
        <w:t> </w:t>
      </w:r>
      <w:r>
        <w:rPr>
          <w:sz w:val="22"/>
        </w:rPr>
        <w:t>returns</w:t>
      </w:r>
      <w:r>
        <w:rPr>
          <w:spacing w:val="-2"/>
          <w:sz w:val="22"/>
        </w:rPr>
        <w:t> </w:t>
      </w:r>
      <w:r>
        <w:rPr>
          <w:sz w:val="22"/>
        </w:rPr>
        <w:t>a</w:t>
      </w:r>
      <w:r>
        <w:rPr>
          <w:spacing w:val="-2"/>
          <w:sz w:val="22"/>
        </w:rPr>
        <w:t> </w:t>
      </w:r>
      <w:r>
        <w:rPr>
          <w:sz w:val="22"/>
        </w:rPr>
        <w:t>single</w:t>
      </w:r>
      <w:r>
        <w:rPr>
          <w:spacing w:val="-3"/>
          <w:sz w:val="22"/>
        </w:rPr>
        <w:t> </w:t>
      </w:r>
      <w:r>
        <w:rPr>
          <w:sz w:val="22"/>
        </w:rPr>
        <w:t>result,</w:t>
      </w:r>
      <w:r>
        <w:rPr>
          <w:spacing w:val="-2"/>
          <w:sz w:val="22"/>
        </w:rPr>
        <w:t> </w:t>
      </w:r>
      <w:r>
        <w:rPr>
          <w:sz w:val="22"/>
        </w:rPr>
        <w:t>that</w:t>
      </w:r>
      <w:r>
        <w:rPr>
          <w:spacing w:val="-2"/>
          <w:sz w:val="22"/>
        </w:rPr>
        <w:t> </w:t>
      </w:r>
      <w:r>
        <w:rPr>
          <w:sz w:val="22"/>
        </w:rPr>
        <w:t>being</w:t>
      </w:r>
      <w:r>
        <w:rPr>
          <w:spacing w:val="-3"/>
          <w:sz w:val="22"/>
        </w:rPr>
        <w:t> </w:t>
      </w:r>
      <w:r>
        <w:rPr>
          <w:sz w:val="22"/>
        </w:rPr>
        <w:t>the</w:t>
      </w:r>
      <w:r>
        <w:rPr>
          <w:spacing w:val="-2"/>
          <w:sz w:val="22"/>
        </w:rPr>
        <w:t> </w:t>
      </w:r>
      <w:r>
        <w:rPr>
          <w:sz w:val="22"/>
        </w:rPr>
        <w:t>SUM</w:t>
      </w:r>
      <w:r>
        <w:rPr>
          <w:spacing w:val="-4"/>
          <w:sz w:val="22"/>
        </w:rPr>
        <w:t> </w:t>
      </w:r>
      <w:r>
        <w:rPr>
          <w:sz w:val="22"/>
        </w:rPr>
        <w:t>of</w:t>
      </w:r>
      <w:r>
        <w:rPr>
          <w:spacing w:val="-5"/>
          <w:sz w:val="22"/>
        </w:rPr>
        <w:t> </w:t>
      </w:r>
      <w:r>
        <w:rPr>
          <w:sz w:val="22"/>
        </w:rPr>
        <w:t>the</w:t>
      </w:r>
      <w:r>
        <w:rPr>
          <w:spacing w:val="-4"/>
          <w:sz w:val="22"/>
        </w:rPr>
        <w:t> </w:t>
      </w:r>
      <w:r>
        <w:rPr>
          <w:sz w:val="22"/>
        </w:rPr>
        <w:t>sines of A1, A2 and A3, respectively. </w:t>
      </w:r>
      <w:r>
        <w:rPr>
          <w:i/>
          <w:sz w:val="22"/>
        </w:rPr>
        <w:t>end</w:t>
      </w:r>
      <w:r>
        <w:rPr>
          <w:i/>
          <w:spacing w:val="-8"/>
          <w:sz w:val="22"/>
        </w:rPr>
        <w:t> </w:t>
      </w:r>
      <w:r>
        <w:rPr>
          <w:i/>
          <w:sz w:val="22"/>
        </w:rPr>
        <w:t>example</w:t>
      </w:r>
      <w:r>
        <w:rPr>
          <w:sz w:val="22"/>
        </w:rPr>
        <w:t>]</w:t>
      </w:r>
    </w:p>
    <w:p>
      <w:pPr>
        <w:pStyle w:val="BodyText"/>
        <w:spacing w:before="4"/>
        <w:rPr>
          <w:sz w:val="16"/>
        </w:rPr>
      </w:pPr>
    </w:p>
    <w:p>
      <w:pPr>
        <w:pStyle w:val="BodyText"/>
        <w:spacing w:line="276" w:lineRule="auto"/>
        <w:ind w:left="220" w:right="497"/>
      </w:pPr>
      <w:r>
        <w:rPr/>
        <w:t>When an array formula results in a single value, all of the cells spanned by the array formula take on that value. [</w:t>
      </w:r>
      <w:r>
        <w:rPr>
          <w:i/>
        </w:rPr>
        <w:t>Example</w:t>
      </w:r>
      <w:r>
        <w:rPr/>
        <w:t>: When the group of cells </w:t>
      </w:r>
      <w:r>
        <w:rPr>
          <w:rFonts w:ascii="Consolas"/>
        </w:rPr>
        <w:t>A10:A12 </w:t>
      </w:r>
      <w:r>
        <w:rPr/>
        <w:t>contains </w:t>
      </w:r>
      <w:r>
        <w:rPr>
          <w:rFonts w:ascii="Consolas"/>
        </w:rPr>
        <w:t>SIN(0.3)</w:t>
      </w:r>
      <w:r>
        <w:rPr/>
        <w:t>, the result stored in each of those cells is </w:t>
      </w:r>
      <w:r>
        <w:rPr>
          <w:rFonts w:ascii="Consolas"/>
        </w:rPr>
        <w:t>0.295520207</w:t>
      </w:r>
      <w:r>
        <w:rPr/>
        <w:t>. </w:t>
      </w:r>
      <w:r>
        <w:rPr>
          <w:i/>
        </w:rPr>
        <w:t>end example</w:t>
      </w:r>
      <w:r>
        <w:rPr/>
        <w:t>]</w:t>
      </w:r>
    </w:p>
    <w:p>
      <w:pPr>
        <w:pStyle w:val="BodyText"/>
        <w:spacing w:before="3"/>
        <w:rPr>
          <w:sz w:val="16"/>
        </w:rPr>
      </w:pPr>
    </w:p>
    <w:p>
      <w:pPr>
        <w:pStyle w:val="BodyText"/>
        <w:spacing w:line="278" w:lineRule="auto" w:before="1"/>
        <w:ind w:left="220" w:right="564"/>
      </w:pPr>
      <w:r>
        <w:rPr/>
        <w:t>When an array formula results in multiple values, the designated cells take on corresponding values, according to the shape of the cell group and the values. Specifically,</w:t>
      </w:r>
    </w:p>
    <w:p>
      <w:pPr>
        <w:pStyle w:val="ListParagraph"/>
        <w:numPr>
          <w:ilvl w:val="4"/>
          <w:numId w:val="64"/>
        </w:numPr>
        <w:tabs>
          <w:tab w:pos="940" w:val="left" w:leader="none"/>
          <w:tab w:pos="941" w:val="left" w:leader="none"/>
        </w:tabs>
        <w:spacing w:line="276" w:lineRule="auto" w:before="195" w:after="0"/>
        <w:ind w:left="940" w:right="465" w:hanging="360"/>
        <w:jc w:val="left"/>
        <w:rPr>
          <w:sz w:val="22"/>
        </w:rPr>
      </w:pPr>
      <w:r>
        <w:rPr>
          <w:sz w:val="22"/>
        </w:rPr>
        <w:t>If the cell group and values have the same shape (i.e., the same number of rows and columns), each cell takes on the value corresponding to its relative</w:t>
      </w:r>
      <w:r>
        <w:rPr>
          <w:spacing w:val="-6"/>
          <w:sz w:val="22"/>
        </w:rPr>
        <w:t> </w:t>
      </w:r>
      <w:r>
        <w:rPr>
          <w:sz w:val="22"/>
        </w:rPr>
        <w:t>position.</w:t>
      </w:r>
    </w:p>
    <w:p>
      <w:pPr>
        <w:pStyle w:val="ListParagraph"/>
        <w:numPr>
          <w:ilvl w:val="4"/>
          <w:numId w:val="64"/>
        </w:numPr>
        <w:tabs>
          <w:tab w:pos="940" w:val="left" w:leader="none"/>
          <w:tab w:pos="941" w:val="left" w:leader="none"/>
        </w:tabs>
        <w:spacing w:line="276" w:lineRule="auto" w:before="0" w:after="0"/>
        <w:ind w:left="940" w:right="375" w:hanging="360"/>
        <w:jc w:val="left"/>
        <w:rPr>
          <w:sz w:val="22"/>
        </w:rPr>
      </w:pPr>
      <w:r>
        <w:rPr>
          <w:sz w:val="22"/>
        </w:rPr>
        <w:t>If the cell group has fewer columns than the values, the left-most columns of the values are stored in the cells.</w:t>
      </w:r>
    </w:p>
    <w:p>
      <w:pPr>
        <w:pStyle w:val="ListParagraph"/>
        <w:numPr>
          <w:ilvl w:val="4"/>
          <w:numId w:val="64"/>
        </w:numPr>
        <w:tabs>
          <w:tab w:pos="940" w:val="left" w:leader="none"/>
          <w:tab w:pos="941" w:val="left" w:leader="none"/>
        </w:tabs>
        <w:spacing w:line="240" w:lineRule="auto" w:before="2" w:after="0"/>
        <w:ind w:left="940" w:right="0" w:hanging="361"/>
        <w:jc w:val="left"/>
        <w:rPr>
          <w:sz w:val="22"/>
        </w:rPr>
      </w:pPr>
      <w:r>
        <w:rPr>
          <w:sz w:val="22"/>
        </w:rPr>
        <w:t>If the cell group has fewer rows than the values, the top-most rows of the values are stored in the</w:t>
      </w:r>
      <w:r>
        <w:rPr>
          <w:spacing w:val="-23"/>
          <w:sz w:val="22"/>
        </w:rPr>
        <w:t> </w:t>
      </w:r>
      <w:r>
        <w:rPr>
          <w:sz w:val="22"/>
        </w:rPr>
        <w:t>cells.</w:t>
      </w:r>
    </w:p>
    <w:p>
      <w:pPr>
        <w:pStyle w:val="ListParagraph"/>
        <w:numPr>
          <w:ilvl w:val="4"/>
          <w:numId w:val="64"/>
        </w:numPr>
        <w:tabs>
          <w:tab w:pos="940" w:val="left" w:leader="none"/>
          <w:tab w:pos="941" w:val="left" w:leader="none"/>
        </w:tabs>
        <w:spacing w:line="278" w:lineRule="auto" w:before="39" w:after="0"/>
        <w:ind w:left="940" w:right="817" w:hanging="360"/>
        <w:jc w:val="left"/>
        <w:rPr>
          <w:sz w:val="22"/>
        </w:rPr>
      </w:pPr>
      <w:r>
        <w:rPr>
          <w:sz w:val="22"/>
        </w:rPr>
        <w:t>If the cell group has more columns than the values, each cell takes on the value corresponding to its relative position, except</w:t>
      </w:r>
      <w:r>
        <w:rPr>
          <w:spacing w:val="-5"/>
          <w:sz w:val="22"/>
        </w:rPr>
        <w:t> </w:t>
      </w:r>
      <w:r>
        <w:rPr>
          <w:sz w:val="22"/>
        </w:rPr>
        <w:t>that</w:t>
      </w:r>
    </w:p>
    <w:p>
      <w:pPr>
        <w:pStyle w:val="ListParagraph"/>
        <w:numPr>
          <w:ilvl w:val="5"/>
          <w:numId w:val="64"/>
        </w:numPr>
        <w:tabs>
          <w:tab w:pos="1300" w:val="left" w:leader="none"/>
          <w:tab w:pos="1301" w:val="left" w:leader="none"/>
        </w:tabs>
        <w:spacing w:line="273" w:lineRule="auto" w:before="195" w:after="0"/>
        <w:ind w:left="1300" w:right="1169" w:hanging="360"/>
        <w:jc w:val="left"/>
        <w:rPr>
          <w:sz w:val="22"/>
        </w:rPr>
      </w:pPr>
      <w:r>
        <w:rPr>
          <w:sz w:val="22"/>
        </w:rPr>
        <w:t>For a cell group 1x</w:t>
      </w:r>
      <w:r>
        <w:rPr>
          <w:i/>
          <w:sz w:val="22"/>
        </w:rPr>
        <w:t>N </w:t>
      </w:r>
      <w:r>
        <w:rPr>
          <w:sz w:val="22"/>
        </w:rPr>
        <w:t>array or a two-dimensional array, the excess right-most cells take on an unspecified</w:t>
      </w:r>
      <w:r>
        <w:rPr>
          <w:spacing w:val="-1"/>
          <w:sz w:val="22"/>
        </w:rPr>
        <w:t> </w:t>
      </w:r>
      <w:r>
        <w:rPr>
          <w:sz w:val="22"/>
        </w:rPr>
        <w:t>value.</w:t>
      </w:r>
    </w:p>
    <w:p>
      <w:pPr>
        <w:pStyle w:val="ListParagraph"/>
        <w:numPr>
          <w:ilvl w:val="5"/>
          <w:numId w:val="64"/>
        </w:numPr>
        <w:tabs>
          <w:tab w:pos="1300" w:val="left" w:leader="none"/>
          <w:tab w:pos="1301" w:val="left" w:leader="none"/>
        </w:tabs>
        <w:spacing w:line="240" w:lineRule="auto" w:before="5" w:after="0"/>
        <w:ind w:left="1300" w:right="0" w:hanging="361"/>
        <w:jc w:val="left"/>
        <w:rPr>
          <w:sz w:val="22"/>
        </w:rPr>
      </w:pPr>
      <w:r>
        <w:rPr>
          <w:sz w:val="22"/>
        </w:rPr>
        <w:t>For a cell group </w:t>
      </w:r>
      <w:r>
        <w:rPr>
          <w:i/>
          <w:sz w:val="22"/>
        </w:rPr>
        <w:t>N</w:t>
      </w:r>
      <w:r>
        <w:rPr>
          <w:sz w:val="22"/>
        </w:rPr>
        <w:t>x1 array, the excess columns are clones of the first</w:t>
      </w:r>
      <w:r>
        <w:rPr>
          <w:spacing w:val="-11"/>
          <w:sz w:val="22"/>
        </w:rPr>
        <w:t> </w:t>
      </w:r>
      <w:r>
        <w:rPr>
          <w:sz w:val="22"/>
        </w:rPr>
        <w:t>column.</w:t>
      </w:r>
    </w:p>
    <w:p>
      <w:pPr>
        <w:spacing w:after="0" w:line="240" w:lineRule="auto"/>
        <w:jc w:val="left"/>
        <w:rPr>
          <w:sz w:val="22"/>
        </w:rPr>
        <w:sectPr>
          <w:pgSz w:w="12240" w:h="15840"/>
          <w:pgMar w:header="763" w:footer="746" w:top="1340" w:bottom="940" w:left="860" w:right="700"/>
        </w:sectPr>
      </w:pPr>
    </w:p>
    <w:p>
      <w:pPr>
        <w:pStyle w:val="ListParagraph"/>
        <w:numPr>
          <w:ilvl w:val="4"/>
          <w:numId w:val="64"/>
        </w:numPr>
        <w:tabs>
          <w:tab w:pos="940" w:val="left" w:leader="none"/>
          <w:tab w:pos="941" w:val="left" w:leader="none"/>
        </w:tabs>
        <w:spacing w:line="278" w:lineRule="auto" w:before="91" w:after="0"/>
        <w:ind w:left="940" w:right="409" w:hanging="360"/>
        <w:jc w:val="left"/>
        <w:rPr>
          <w:sz w:val="22"/>
        </w:rPr>
      </w:pPr>
      <w:r>
        <w:rPr>
          <w:sz w:val="22"/>
        </w:rPr>
        <w:t>If the cell group has more rows than the values, each cell takes on the value corresponding to its relative position, except</w:t>
      </w:r>
      <w:r>
        <w:rPr>
          <w:spacing w:val="-3"/>
          <w:sz w:val="22"/>
        </w:rPr>
        <w:t> </w:t>
      </w:r>
      <w:r>
        <w:rPr>
          <w:sz w:val="22"/>
        </w:rPr>
        <w:t>that:</w:t>
      </w:r>
    </w:p>
    <w:p>
      <w:pPr>
        <w:pStyle w:val="ListParagraph"/>
        <w:numPr>
          <w:ilvl w:val="5"/>
          <w:numId w:val="64"/>
        </w:numPr>
        <w:tabs>
          <w:tab w:pos="1300" w:val="left" w:leader="none"/>
          <w:tab w:pos="1301" w:val="left" w:leader="none"/>
        </w:tabs>
        <w:spacing w:line="273" w:lineRule="auto" w:before="195" w:after="0"/>
        <w:ind w:left="1300" w:right="916" w:hanging="360"/>
        <w:jc w:val="left"/>
        <w:rPr>
          <w:sz w:val="22"/>
        </w:rPr>
      </w:pPr>
      <w:r>
        <w:rPr>
          <w:sz w:val="22"/>
        </w:rPr>
        <w:t>For a cell group </w:t>
      </w:r>
      <w:r>
        <w:rPr>
          <w:i/>
          <w:sz w:val="22"/>
        </w:rPr>
        <w:t>N</w:t>
      </w:r>
      <w:r>
        <w:rPr>
          <w:sz w:val="22"/>
        </w:rPr>
        <w:t>x1 array or a two-dimensional array, the excess bottom-most cells take on an unspecified</w:t>
      </w:r>
      <w:r>
        <w:rPr>
          <w:spacing w:val="-1"/>
          <w:sz w:val="22"/>
        </w:rPr>
        <w:t> </w:t>
      </w:r>
      <w:r>
        <w:rPr>
          <w:sz w:val="22"/>
        </w:rPr>
        <w:t>value.</w:t>
      </w:r>
    </w:p>
    <w:p>
      <w:pPr>
        <w:pStyle w:val="ListParagraph"/>
        <w:numPr>
          <w:ilvl w:val="5"/>
          <w:numId w:val="64"/>
        </w:numPr>
        <w:tabs>
          <w:tab w:pos="1300" w:val="left" w:leader="none"/>
          <w:tab w:pos="1301" w:val="left" w:leader="none"/>
        </w:tabs>
        <w:spacing w:line="240" w:lineRule="auto" w:before="5" w:after="0"/>
        <w:ind w:left="1300" w:right="0" w:hanging="361"/>
        <w:jc w:val="left"/>
        <w:rPr>
          <w:sz w:val="22"/>
        </w:rPr>
      </w:pPr>
      <w:r>
        <w:rPr>
          <w:sz w:val="22"/>
        </w:rPr>
        <w:t>For a cell group 1x</w:t>
      </w:r>
      <w:r>
        <w:rPr>
          <w:i/>
          <w:sz w:val="22"/>
        </w:rPr>
        <w:t>N </w:t>
      </w:r>
      <w:r>
        <w:rPr>
          <w:sz w:val="22"/>
        </w:rPr>
        <w:t>array, the excess rows are clones of the first</w:t>
      </w:r>
      <w:r>
        <w:rPr>
          <w:spacing w:val="-17"/>
          <w:sz w:val="22"/>
        </w:rPr>
        <w:t> </w:t>
      </w:r>
      <w:r>
        <w:rPr>
          <w:sz w:val="22"/>
        </w:rPr>
        <w:t>row.</w:t>
      </w:r>
    </w:p>
    <w:p>
      <w:pPr>
        <w:pStyle w:val="BodyText"/>
        <w:spacing w:line="276" w:lineRule="auto" w:before="240"/>
        <w:ind w:left="220" w:right="503"/>
      </w:pPr>
      <w:r>
        <w:rPr/>
        <w:t>[</w:t>
      </w:r>
      <w:r>
        <w:rPr>
          <w:i/>
        </w:rPr>
        <w:t>Example</w:t>
      </w:r>
      <w:r>
        <w:rPr/>
        <w:t>: Case 1: The 1x3 group of cells </w:t>
      </w:r>
      <w:r>
        <w:rPr>
          <w:rFonts w:ascii="Consolas"/>
        </w:rPr>
        <w:t>A20:C20</w:t>
      </w:r>
      <w:r>
        <w:rPr>
          <w:rFonts w:ascii="Consolas"/>
          <w:spacing w:val="-104"/>
        </w:rPr>
        <w:t> </w:t>
      </w:r>
      <w:r>
        <w:rPr/>
        <w:t>has applied to it the array formula </w:t>
      </w:r>
      <w:r>
        <w:rPr>
          <w:rFonts w:ascii="Consolas"/>
        </w:rPr>
        <w:t>SIN({0.3,0.4,0.5})</w:t>
      </w:r>
      <w:r>
        <w:rPr/>
        <w:t>. The number of rows and columns in the group exactly matches the number of rows and columns in the result. Those cells then contain 0.295520207, 0.389418342, and 0.479425539, which correspond to </w:t>
      </w:r>
      <w:r>
        <w:rPr>
          <w:rFonts w:ascii="Consolas"/>
        </w:rPr>
        <w:t>SIN(0.3)</w:t>
      </w:r>
      <w:r>
        <w:rPr/>
        <w:t>, </w:t>
      </w:r>
      <w:r>
        <w:rPr>
          <w:rFonts w:ascii="Consolas"/>
        </w:rPr>
        <w:t>SIN(0.4)</w:t>
      </w:r>
      <w:r>
        <w:rPr/>
        <w:t>, and </w:t>
      </w:r>
      <w:r>
        <w:rPr>
          <w:rFonts w:ascii="Consolas"/>
        </w:rPr>
        <w:t>SIN(0.5)</w:t>
      </w:r>
      <w:r>
        <w:rPr/>
        <w:t>, respectively.</w:t>
      </w:r>
    </w:p>
    <w:p>
      <w:pPr>
        <w:pStyle w:val="BodyText"/>
        <w:spacing w:before="5"/>
        <w:rPr>
          <w:sz w:val="16"/>
        </w:rPr>
      </w:pPr>
    </w:p>
    <w:p>
      <w:pPr>
        <w:pStyle w:val="BodyText"/>
        <w:spacing w:line="276" w:lineRule="auto"/>
        <w:ind w:left="220" w:right="380"/>
      </w:pPr>
      <w:r>
        <w:rPr/>
        <w:t>Case 2: The 1x2 group of cells </w:t>
      </w:r>
      <w:r>
        <w:rPr>
          <w:rFonts w:ascii="Consolas"/>
        </w:rPr>
        <w:t>A20:B20</w:t>
      </w:r>
      <w:r>
        <w:rPr>
          <w:rFonts w:ascii="Consolas"/>
          <w:spacing w:val="-70"/>
        </w:rPr>
        <w:t> </w:t>
      </w:r>
      <w:r>
        <w:rPr/>
        <w:t>has applied to it the array formula </w:t>
      </w:r>
      <w:r>
        <w:rPr>
          <w:rFonts w:ascii="Consolas"/>
        </w:rPr>
        <w:t>SIN({0.3,0.4,0.5})</w:t>
      </w:r>
      <w:r>
        <w:rPr/>
        <w:t>. The number of columns in the group is less than the number of columns in the result. (The number of rows is the same in each.) Those cells then contain 0.295520207 and 0.389418342, which correspond to </w:t>
      </w:r>
      <w:r>
        <w:rPr>
          <w:rFonts w:ascii="Consolas"/>
        </w:rPr>
        <w:t>SIN(0.3)</w:t>
      </w:r>
      <w:r>
        <w:rPr>
          <w:rFonts w:ascii="Consolas"/>
          <w:spacing w:val="-100"/>
        </w:rPr>
        <w:t> </w:t>
      </w:r>
      <w:r>
        <w:rPr/>
        <w:t>and </w:t>
      </w:r>
      <w:r>
        <w:rPr>
          <w:rFonts w:ascii="Consolas"/>
        </w:rPr>
        <w:t>SIN(0.4)</w:t>
      </w:r>
      <w:r>
        <w:rPr/>
        <w:t>, respectively, the left-most part of the set of values.</w:t>
      </w:r>
    </w:p>
    <w:p>
      <w:pPr>
        <w:pStyle w:val="BodyText"/>
        <w:spacing w:before="5"/>
        <w:rPr>
          <w:sz w:val="16"/>
        </w:rPr>
      </w:pPr>
    </w:p>
    <w:p>
      <w:pPr>
        <w:pStyle w:val="BodyText"/>
        <w:spacing w:line="276" w:lineRule="auto"/>
        <w:ind w:left="220" w:right="379"/>
      </w:pPr>
      <w:r>
        <w:rPr/>
        <w:t>Case 3: The 1x4 group of cells </w:t>
      </w:r>
      <w:r>
        <w:rPr>
          <w:rFonts w:ascii="Consolas"/>
        </w:rPr>
        <w:t>A20:D20</w:t>
      </w:r>
      <w:r>
        <w:rPr>
          <w:rFonts w:ascii="Consolas"/>
          <w:spacing w:val="-69"/>
        </w:rPr>
        <w:t> </w:t>
      </w:r>
      <w:r>
        <w:rPr/>
        <w:t>has applied to it the array formula </w:t>
      </w:r>
      <w:r>
        <w:rPr>
          <w:rFonts w:ascii="Consolas"/>
        </w:rPr>
        <w:t>SIN({0.3,0.4,0.5})</w:t>
      </w:r>
      <w:r>
        <w:rPr/>
        <w:t>. The number of columns in the group is greater than the number of columns in the result. (The number of rows is the same in each.) Those cells then contain 0.295520207, 0.389418342, 0.479425539, and an unspecified value, which correspond to </w:t>
      </w:r>
      <w:r>
        <w:rPr>
          <w:rFonts w:ascii="Consolas"/>
        </w:rPr>
        <w:t>SIN(0.3)</w:t>
      </w:r>
      <w:r>
        <w:rPr/>
        <w:t>, </w:t>
      </w:r>
      <w:r>
        <w:rPr>
          <w:rFonts w:ascii="Consolas"/>
        </w:rPr>
        <w:t>SIN(0.4)</w:t>
      </w:r>
      <w:r>
        <w:rPr/>
        <w:t>, and </w:t>
      </w:r>
      <w:r>
        <w:rPr>
          <w:rFonts w:ascii="Consolas"/>
        </w:rPr>
        <w:t>SIN(0.5)</w:t>
      </w:r>
      <w:r>
        <w:rPr/>
        <w:t>, respectively, with the fourth value being unspecified.</w:t>
      </w:r>
    </w:p>
    <w:p>
      <w:pPr>
        <w:pStyle w:val="BodyText"/>
        <w:spacing w:before="4"/>
        <w:rPr>
          <w:sz w:val="16"/>
        </w:rPr>
      </w:pPr>
    </w:p>
    <w:p>
      <w:pPr>
        <w:pStyle w:val="BodyText"/>
        <w:spacing w:line="276" w:lineRule="auto"/>
        <w:ind w:left="220" w:right="417"/>
      </w:pPr>
      <w:r>
        <w:rPr/>
        <w:t>Case</w:t>
      </w:r>
      <w:r>
        <w:rPr>
          <w:spacing w:val="-3"/>
        </w:rPr>
        <w:t> </w:t>
      </w:r>
      <w:r>
        <w:rPr/>
        <w:t>4:</w:t>
      </w:r>
      <w:r>
        <w:rPr>
          <w:spacing w:val="-3"/>
        </w:rPr>
        <w:t> </w:t>
      </w:r>
      <w:r>
        <w:rPr/>
        <w:t>The</w:t>
      </w:r>
      <w:r>
        <w:rPr>
          <w:spacing w:val="-3"/>
        </w:rPr>
        <w:t> </w:t>
      </w:r>
      <w:r>
        <w:rPr/>
        <w:t>2x2</w:t>
      </w:r>
      <w:r>
        <w:rPr>
          <w:spacing w:val="-2"/>
        </w:rPr>
        <w:t> </w:t>
      </w:r>
      <w:r>
        <w:rPr/>
        <w:t>group</w:t>
      </w:r>
      <w:r>
        <w:rPr>
          <w:spacing w:val="-3"/>
        </w:rPr>
        <w:t> </w:t>
      </w:r>
      <w:r>
        <w:rPr/>
        <w:t>of</w:t>
      </w:r>
      <w:r>
        <w:rPr>
          <w:spacing w:val="-2"/>
        </w:rPr>
        <w:t> </w:t>
      </w:r>
      <w:r>
        <w:rPr/>
        <w:t>cells</w:t>
      </w:r>
      <w:r>
        <w:rPr>
          <w:spacing w:val="-1"/>
        </w:rPr>
        <w:t> </w:t>
      </w:r>
      <w:r>
        <w:rPr>
          <w:rFonts w:ascii="Consolas"/>
        </w:rPr>
        <w:t>A30:B31</w:t>
      </w:r>
      <w:r>
        <w:rPr>
          <w:rFonts w:ascii="Consolas"/>
          <w:spacing w:val="-69"/>
        </w:rPr>
        <w:t> </w:t>
      </w:r>
      <w:r>
        <w:rPr/>
        <w:t>has</w:t>
      </w:r>
      <w:r>
        <w:rPr>
          <w:spacing w:val="-1"/>
        </w:rPr>
        <w:t> </w:t>
      </w:r>
      <w:r>
        <w:rPr/>
        <w:t>applied</w:t>
      </w:r>
      <w:r>
        <w:rPr>
          <w:spacing w:val="-4"/>
        </w:rPr>
        <w:t> </w:t>
      </w:r>
      <w:r>
        <w:rPr/>
        <w:t>to</w:t>
      </w:r>
      <w:r>
        <w:rPr>
          <w:spacing w:val="-4"/>
        </w:rPr>
        <w:t> </w:t>
      </w:r>
      <w:r>
        <w:rPr/>
        <w:t>it</w:t>
      </w:r>
      <w:r>
        <w:rPr>
          <w:spacing w:val="-1"/>
        </w:rPr>
        <w:t> </w:t>
      </w:r>
      <w:r>
        <w:rPr/>
        <w:t>the</w:t>
      </w:r>
      <w:r>
        <w:rPr>
          <w:spacing w:val="-1"/>
        </w:rPr>
        <w:t> </w:t>
      </w:r>
      <w:r>
        <w:rPr/>
        <w:t>array formula</w:t>
      </w:r>
      <w:r>
        <w:rPr>
          <w:spacing w:val="-4"/>
        </w:rPr>
        <w:t> </w:t>
      </w:r>
      <w:r>
        <w:rPr>
          <w:rFonts w:ascii="Consolas"/>
        </w:rPr>
        <w:t>SIN({0.1,0.2,0.3})</w:t>
      </w:r>
      <w:r>
        <w:rPr/>
        <w:t>.</w:t>
      </w:r>
      <w:r>
        <w:rPr>
          <w:spacing w:val="-2"/>
        </w:rPr>
        <w:t> </w:t>
      </w:r>
      <w:r>
        <w:rPr/>
        <w:t>The</w:t>
      </w:r>
      <w:r>
        <w:rPr>
          <w:spacing w:val="-4"/>
        </w:rPr>
        <w:t> </w:t>
      </w:r>
      <w:r>
        <w:rPr/>
        <w:t>number of columns in the group is less than the number of columns in the result. As a result, the cells in row 30 contain 0.295520207 and 0.389418342, which correspond to </w:t>
      </w:r>
      <w:r>
        <w:rPr>
          <w:rFonts w:ascii="Consolas"/>
        </w:rPr>
        <w:t>SIN(0.3) </w:t>
      </w:r>
      <w:r>
        <w:rPr/>
        <w:t>and </w:t>
      </w:r>
      <w:r>
        <w:rPr>
          <w:rFonts w:ascii="Consolas"/>
        </w:rPr>
        <w:t>SIN(0.4)</w:t>
      </w:r>
      <w:r>
        <w:rPr/>
        <w:t>, respectively. The number of rows in the group is greater than the number of rows in the result, so the cells in 31 are a copy of the cells in row 30. The left-most part of the set of values is propagated into the</w:t>
      </w:r>
      <w:r>
        <w:rPr>
          <w:spacing w:val="-13"/>
        </w:rPr>
        <w:t> </w:t>
      </w:r>
      <w:r>
        <w:rPr/>
        <w:t>cells.</w:t>
      </w:r>
    </w:p>
    <w:p>
      <w:pPr>
        <w:pStyle w:val="BodyText"/>
        <w:spacing w:before="6"/>
        <w:rPr>
          <w:sz w:val="16"/>
        </w:rPr>
      </w:pPr>
    </w:p>
    <w:p>
      <w:pPr>
        <w:pStyle w:val="BodyText"/>
        <w:spacing w:line="276" w:lineRule="auto"/>
        <w:ind w:left="220" w:right="536"/>
      </w:pPr>
      <w:r>
        <w:rPr/>
        <w:t>Case 5: The 2x2 group of cells </w:t>
      </w:r>
      <w:r>
        <w:rPr>
          <w:rFonts w:ascii="Consolas"/>
        </w:rPr>
        <w:t>A40:B41 </w:t>
      </w:r>
      <w:r>
        <w:rPr/>
        <w:t>has applied to it the array formula </w:t>
      </w:r>
      <w:r>
        <w:rPr>
          <w:rFonts w:ascii="Consolas"/>
        </w:rPr>
        <w:t>SIN({0.1,0.2,0.3; 0.4,0.5,0.6; 0.7,0.8,0.9})</w:t>
      </w:r>
      <w:r>
        <w:rPr/>
        <w:t>. The number of columns in the group is less than the number of columns in the result. As a result, the left-most column values are stored. The number of rows in the group is less than the number of rows in the result. As a result, the top-most column values are stored. </w:t>
      </w:r>
      <w:r>
        <w:rPr>
          <w:i/>
        </w:rPr>
        <w:t>end example</w:t>
      </w:r>
      <w:r>
        <w:rPr/>
        <w:t>]</w:t>
      </w:r>
    </w:p>
    <w:p>
      <w:pPr>
        <w:pStyle w:val="BodyText"/>
        <w:spacing w:before="8"/>
        <w:rPr>
          <w:sz w:val="16"/>
        </w:rPr>
      </w:pPr>
    </w:p>
    <w:p>
      <w:pPr>
        <w:pStyle w:val="Heading2"/>
        <w:numPr>
          <w:ilvl w:val="2"/>
          <w:numId w:val="66"/>
        </w:numPr>
        <w:tabs>
          <w:tab w:pos="1444" w:val="left" w:leader="none"/>
          <w:tab w:pos="1445" w:val="left" w:leader="none"/>
        </w:tabs>
        <w:spacing w:line="240" w:lineRule="auto" w:before="0" w:after="0"/>
        <w:ind w:left="1444" w:right="0" w:hanging="1225"/>
        <w:jc w:val="left"/>
      </w:pPr>
      <w:bookmarkStart w:name="18.17.3 Error values" w:id="1337"/>
      <w:bookmarkEnd w:id="1337"/>
      <w:r>
        <w:rPr>
          <w:b w:val="0"/>
        </w:rPr>
      </w:r>
      <w:bookmarkStart w:name="_bookmark444" w:id="1338"/>
      <w:bookmarkEnd w:id="1338"/>
      <w:r>
        <w:rPr>
          <w:b w:val="0"/>
        </w:rPr>
      </w:r>
      <w:bookmarkStart w:name="_bookmark444" w:id="1339"/>
      <w:bookmarkEnd w:id="1339"/>
      <w:r>
        <w:rPr>
          <w:color w:val="4F81BC"/>
        </w:rPr>
        <w:t>Er</w:t>
      </w:r>
      <w:r>
        <w:rPr>
          <w:color w:val="4F81BC"/>
        </w:rPr>
        <w:t>ror</w:t>
      </w:r>
      <w:r>
        <w:rPr>
          <w:color w:val="4F81BC"/>
          <w:spacing w:val="1"/>
        </w:rPr>
        <w:t> </w:t>
      </w:r>
      <w:r>
        <w:rPr>
          <w:color w:val="4F81BC"/>
        </w:rPr>
        <w:t>values</w:t>
      </w:r>
    </w:p>
    <w:p>
      <w:pPr>
        <w:pStyle w:val="BodyText"/>
        <w:spacing w:line="278" w:lineRule="auto" w:before="122"/>
        <w:ind w:left="220" w:right="389"/>
      </w:pPr>
      <w:r>
        <w:rPr/>
        <w:t>The evaluation of an expression can result in an error having one of a number of </w:t>
      </w:r>
      <w:r>
        <w:rPr>
          <w:rFonts w:ascii="Times New Roman"/>
          <w:i/>
        </w:rPr>
        <w:t>error value</w:t>
      </w:r>
      <w:r>
        <w:rPr/>
        <w:t>s. These error values are:</w:t>
      </w:r>
    </w:p>
    <w:p>
      <w:pPr>
        <w:pStyle w:val="BodyText"/>
        <w:spacing w:before="2" w:after="1"/>
        <w:rPr>
          <w:sz w:val="16"/>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7456"/>
      </w:tblGrid>
      <w:tr>
        <w:trPr>
          <w:trHeight w:val="355" w:hRule="atLeast"/>
        </w:trPr>
        <w:tc>
          <w:tcPr>
            <w:tcW w:w="1882" w:type="dxa"/>
            <w:shd w:val="clear" w:color="auto" w:fill="C0C0C0"/>
          </w:tcPr>
          <w:p>
            <w:pPr>
              <w:pStyle w:val="TableParagraph"/>
              <w:ind w:left="424"/>
              <w:rPr>
                <w:b/>
                <w:sz w:val="22"/>
              </w:rPr>
            </w:pPr>
            <w:r>
              <w:rPr>
                <w:b/>
                <w:sz w:val="22"/>
              </w:rPr>
              <w:t>Error Value</w:t>
            </w:r>
          </w:p>
        </w:tc>
        <w:tc>
          <w:tcPr>
            <w:tcW w:w="7456" w:type="dxa"/>
            <w:shd w:val="clear" w:color="auto" w:fill="C0C0C0"/>
          </w:tcPr>
          <w:p>
            <w:pPr>
              <w:pStyle w:val="TableParagraph"/>
              <w:ind w:left="2671" w:right="2663"/>
              <w:jc w:val="center"/>
              <w:rPr>
                <w:b/>
                <w:sz w:val="22"/>
              </w:rPr>
            </w:pPr>
            <w:r>
              <w:rPr>
                <w:b/>
                <w:sz w:val="22"/>
              </w:rPr>
              <w:t>Reason for Occurrence</w:t>
            </w:r>
          </w:p>
        </w:tc>
      </w:tr>
      <w:tr>
        <w:trPr>
          <w:trHeight w:val="621" w:hRule="atLeast"/>
        </w:trPr>
        <w:tc>
          <w:tcPr>
            <w:tcW w:w="1882" w:type="dxa"/>
          </w:tcPr>
          <w:p>
            <w:pPr>
              <w:pStyle w:val="TableParagraph"/>
              <w:spacing w:before="42"/>
              <w:rPr>
                <w:rFonts w:ascii="Consolas"/>
                <w:sz w:val="22"/>
              </w:rPr>
            </w:pPr>
            <w:r>
              <w:rPr>
                <w:rFonts w:ascii="Consolas"/>
                <w:sz w:val="22"/>
              </w:rPr>
              <w:t>#DIV/0!</w:t>
            </w:r>
          </w:p>
        </w:tc>
        <w:tc>
          <w:tcPr>
            <w:tcW w:w="7456" w:type="dxa"/>
          </w:tcPr>
          <w:p>
            <w:pPr>
              <w:pStyle w:val="TableParagraph"/>
              <w:ind w:left="114" w:right="601"/>
              <w:rPr>
                <w:sz w:val="22"/>
              </w:rPr>
            </w:pPr>
            <w:r>
              <w:rPr>
                <w:sz w:val="22"/>
              </w:rPr>
              <w:t>Intended to indicate when any number (including zero) or any error code is divided by zero.</w:t>
            </w:r>
          </w:p>
        </w:tc>
      </w:tr>
      <w:tr>
        <w:trPr>
          <w:trHeight w:val="966" w:hRule="atLeast"/>
        </w:trPr>
        <w:tc>
          <w:tcPr>
            <w:tcW w:w="1882" w:type="dxa"/>
          </w:tcPr>
          <w:p>
            <w:pPr>
              <w:pStyle w:val="TableParagraph"/>
              <w:spacing w:before="45"/>
              <w:rPr>
                <w:sz w:val="24"/>
              </w:rPr>
            </w:pPr>
            <w:r>
              <w:rPr>
                <w:sz w:val="24"/>
              </w:rPr>
              <w:t>#GETTING_DATA</w:t>
            </w:r>
          </w:p>
        </w:tc>
        <w:tc>
          <w:tcPr>
            <w:tcW w:w="7456" w:type="dxa"/>
          </w:tcPr>
          <w:p>
            <w:pPr>
              <w:pStyle w:val="TableParagraph"/>
              <w:spacing w:before="45"/>
              <w:ind w:left="114" w:right="190"/>
              <w:rPr>
                <w:sz w:val="24"/>
              </w:rPr>
            </w:pPr>
            <w:r>
              <w:rPr>
                <w:sz w:val="24"/>
              </w:rPr>
              <w:t>Intended to indicate when a cell reference cannot be evaluated because the value for the cell has not been retrieved or calculated. [</w:t>
            </w:r>
            <w:r>
              <w:rPr>
                <w:i/>
                <w:sz w:val="22"/>
              </w:rPr>
              <w:t>Note</w:t>
            </w:r>
            <w:r>
              <w:rPr>
                <w:sz w:val="24"/>
              </w:rPr>
              <w:t>: This can happen when connected to an OLAP cube. </w:t>
            </w:r>
            <w:r>
              <w:rPr>
                <w:i/>
                <w:sz w:val="22"/>
              </w:rPr>
              <w:t>end note</w:t>
            </w:r>
            <w:r>
              <w:rPr>
                <w:sz w:val="24"/>
              </w:rPr>
              <w:t>]</w:t>
            </w:r>
          </w:p>
        </w:tc>
      </w:tr>
    </w:tbl>
    <w:p>
      <w:pPr>
        <w:spacing w:after="0"/>
        <w:rPr>
          <w:sz w:val="24"/>
        </w:rPr>
        <w:sectPr>
          <w:footerReference w:type="even" r:id="rId201"/>
          <w:footerReference w:type="default" r:id="rId202"/>
          <w:pgSz w:w="12240" w:h="15840"/>
          <w:pgMar w:footer="746" w:header="761" w:top="1340" w:bottom="940" w:left="860" w:right="700"/>
          <w:pgNumType w:start="206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7456"/>
      </w:tblGrid>
      <w:tr>
        <w:trPr>
          <w:trHeight w:val="355" w:hRule="atLeast"/>
        </w:trPr>
        <w:tc>
          <w:tcPr>
            <w:tcW w:w="1882" w:type="dxa"/>
            <w:shd w:val="clear" w:color="auto" w:fill="C0C0C0"/>
          </w:tcPr>
          <w:p>
            <w:pPr>
              <w:pStyle w:val="TableParagraph"/>
              <w:ind w:left="424"/>
              <w:rPr>
                <w:b/>
                <w:sz w:val="22"/>
              </w:rPr>
            </w:pPr>
            <w:r>
              <w:rPr>
                <w:b/>
                <w:sz w:val="22"/>
              </w:rPr>
              <w:t>Error Value</w:t>
            </w:r>
          </w:p>
        </w:tc>
        <w:tc>
          <w:tcPr>
            <w:tcW w:w="7456" w:type="dxa"/>
            <w:shd w:val="clear" w:color="auto" w:fill="C0C0C0"/>
          </w:tcPr>
          <w:p>
            <w:pPr>
              <w:pStyle w:val="TableParagraph"/>
              <w:ind w:left="2671" w:right="2663"/>
              <w:jc w:val="center"/>
              <w:rPr>
                <w:b/>
                <w:sz w:val="22"/>
              </w:rPr>
            </w:pPr>
            <w:r>
              <w:rPr>
                <w:b/>
                <w:sz w:val="22"/>
              </w:rPr>
              <w:t>Reason for Occurrence</w:t>
            </w:r>
          </w:p>
        </w:tc>
      </w:tr>
      <w:tr>
        <w:trPr>
          <w:trHeight w:val="1185" w:hRule="atLeast"/>
        </w:trPr>
        <w:tc>
          <w:tcPr>
            <w:tcW w:w="1882" w:type="dxa"/>
          </w:tcPr>
          <w:p>
            <w:pPr>
              <w:pStyle w:val="TableParagraph"/>
              <w:spacing w:before="0"/>
              <w:ind w:left="0"/>
              <w:rPr>
                <w:rFonts w:ascii="Times New Roman"/>
                <w:sz w:val="22"/>
              </w:rPr>
            </w:pPr>
          </w:p>
        </w:tc>
        <w:tc>
          <w:tcPr>
            <w:tcW w:w="7456" w:type="dxa"/>
          </w:tcPr>
          <w:p>
            <w:pPr>
              <w:pStyle w:val="TableParagraph"/>
              <w:spacing w:before="3"/>
              <w:ind w:left="0"/>
              <w:rPr>
                <w:sz w:val="27"/>
              </w:rPr>
            </w:pPr>
          </w:p>
          <w:p>
            <w:pPr>
              <w:pStyle w:val="TableParagraph"/>
              <w:spacing w:before="0"/>
              <w:ind w:left="114" w:right="446"/>
              <w:rPr>
                <w:sz w:val="22"/>
              </w:rPr>
            </w:pPr>
            <w:r>
              <w:rPr>
                <w:sz w:val="22"/>
              </w:rPr>
              <w:t>This error constant differs from #N/A in that #GETTING_DATA is used when there is an expectation that the value for the cell will eventually be available, whereas #N/A is used when there is no such expectation.</w:t>
            </w:r>
          </w:p>
        </w:tc>
      </w:tr>
      <w:tr>
        <w:trPr>
          <w:trHeight w:val="1965" w:hRule="atLeast"/>
        </w:trPr>
        <w:tc>
          <w:tcPr>
            <w:tcW w:w="1882" w:type="dxa"/>
          </w:tcPr>
          <w:p>
            <w:pPr>
              <w:pStyle w:val="TableParagraph"/>
              <w:spacing w:before="42"/>
              <w:rPr>
                <w:rFonts w:ascii="Consolas"/>
                <w:sz w:val="22"/>
              </w:rPr>
            </w:pPr>
            <w:r>
              <w:rPr>
                <w:rFonts w:ascii="Consolas"/>
                <w:sz w:val="22"/>
              </w:rPr>
              <w:t>#N/A</w:t>
            </w:r>
          </w:p>
        </w:tc>
        <w:tc>
          <w:tcPr>
            <w:tcW w:w="7456" w:type="dxa"/>
          </w:tcPr>
          <w:p>
            <w:pPr>
              <w:pStyle w:val="TableParagraph"/>
              <w:ind w:left="114" w:right="271"/>
              <w:rPr>
                <w:sz w:val="22"/>
              </w:rPr>
            </w:pPr>
            <w:r>
              <w:rPr>
                <w:sz w:val="22"/>
              </w:rPr>
              <w:t>Intended to indicate when a designated value is not available. [</w:t>
            </w:r>
            <w:r>
              <w:rPr>
                <w:i/>
                <w:sz w:val="22"/>
              </w:rPr>
              <w:t>Example</w:t>
            </w:r>
            <w:r>
              <w:rPr>
                <w:sz w:val="22"/>
              </w:rPr>
              <w:t>: Some functions, such as </w:t>
            </w:r>
            <w:r>
              <w:rPr>
                <w:rFonts w:ascii="Consolas"/>
                <w:sz w:val="22"/>
              </w:rPr>
              <w:t>SUMX2MY2</w:t>
            </w:r>
            <w:r>
              <w:rPr>
                <w:sz w:val="22"/>
              </w:rPr>
              <w:t>, perform a series of operations on corresponding elements in two arrays. If those arrays do not have the same number of elements, then for some elements in the longer array, there are no corresponding elements in the shorter one; that is, one or more values in the shorter array are not available. </w:t>
            </w:r>
            <w:r>
              <w:rPr>
                <w:i/>
                <w:sz w:val="22"/>
              </w:rPr>
              <w:t>end example</w:t>
            </w:r>
            <w:r>
              <w:rPr>
                <w:sz w:val="22"/>
              </w:rPr>
              <w:t>]</w:t>
            </w:r>
          </w:p>
          <w:p>
            <w:pPr>
              <w:pStyle w:val="TableParagraph"/>
              <w:spacing w:line="268" w:lineRule="exact" w:before="0"/>
              <w:ind w:left="114"/>
              <w:rPr>
                <w:sz w:val="22"/>
              </w:rPr>
            </w:pPr>
            <w:r>
              <w:rPr>
                <w:sz w:val="22"/>
              </w:rPr>
              <w:t>This error value can be produced by calling the function </w:t>
            </w:r>
            <w:r>
              <w:rPr>
                <w:rFonts w:ascii="Consolas" w:hAnsi="Consolas"/>
                <w:sz w:val="22"/>
              </w:rPr>
              <w:t>NA</w:t>
            </w:r>
            <w:r>
              <w:rPr>
                <w:rFonts w:ascii="Consolas" w:hAnsi="Consolas"/>
                <w:spacing w:val="-81"/>
                <w:sz w:val="22"/>
              </w:rPr>
              <w:t> </w:t>
            </w:r>
            <w:r>
              <w:rPr>
                <w:sz w:val="22"/>
              </w:rPr>
              <w:t>(</w:t>
            </w:r>
            <w:hyperlink w:history="true" w:anchor="_bookmark686">
              <w:r>
                <w:rPr>
                  <w:sz w:val="22"/>
                </w:rPr>
                <w:t>§18.17.7.223</w:t>
              </w:r>
            </w:hyperlink>
            <w:r>
              <w:rPr>
                <w:sz w:val="22"/>
              </w:rPr>
              <w:t>).</w:t>
            </w:r>
          </w:p>
        </w:tc>
      </w:tr>
      <w:tr>
        <w:trPr>
          <w:trHeight w:val="1428" w:hRule="atLeast"/>
        </w:trPr>
        <w:tc>
          <w:tcPr>
            <w:tcW w:w="1882" w:type="dxa"/>
          </w:tcPr>
          <w:p>
            <w:pPr>
              <w:pStyle w:val="TableParagraph"/>
              <w:spacing w:before="43"/>
              <w:rPr>
                <w:rFonts w:ascii="Consolas"/>
                <w:sz w:val="22"/>
              </w:rPr>
            </w:pPr>
            <w:r>
              <w:rPr>
                <w:rFonts w:ascii="Consolas"/>
                <w:sz w:val="22"/>
              </w:rPr>
              <w:t>#NAME?</w:t>
            </w:r>
          </w:p>
        </w:tc>
        <w:tc>
          <w:tcPr>
            <w:tcW w:w="7456" w:type="dxa"/>
          </w:tcPr>
          <w:p>
            <w:pPr>
              <w:pStyle w:val="TableParagraph"/>
              <w:ind w:left="114" w:right="113"/>
              <w:jc w:val="both"/>
              <w:rPr>
                <w:rFonts w:ascii="Consolas"/>
                <w:sz w:val="22"/>
              </w:rPr>
            </w:pPr>
            <w:r>
              <w:rPr>
                <w:sz w:val="22"/>
              </w:rPr>
              <w:t>Intended to indicate when what looks like a name is used, but no such name has been defined. [</w:t>
            </w:r>
            <w:r>
              <w:rPr>
                <w:i/>
                <w:sz w:val="22"/>
              </w:rPr>
              <w:t>Example</w:t>
            </w:r>
            <w:r>
              <w:rPr>
                <w:sz w:val="22"/>
              </w:rPr>
              <w:t>: </w:t>
            </w:r>
            <w:r>
              <w:rPr>
                <w:rFonts w:ascii="Consolas"/>
                <w:sz w:val="22"/>
              </w:rPr>
              <w:t>XYZ/3</w:t>
            </w:r>
            <w:r>
              <w:rPr>
                <w:sz w:val="22"/>
              </w:rPr>
              <w:t>, where </w:t>
            </w:r>
            <w:r>
              <w:rPr>
                <w:rFonts w:ascii="Consolas"/>
                <w:sz w:val="22"/>
              </w:rPr>
              <w:t>XYZ</w:t>
            </w:r>
            <w:r>
              <w:rPr>
                <w:rFonts w:ascii="Consolas"/>
                <w:spacing w:val="-101"/>
                <w:sz w:val="22"/>
              </w:rPr>
              <w:t> </w:t>
            </w:r>
            <w:r>
              <w:rPr>
                <w:sz w:val="22"/>
              </w:rPr>
              <w:t>is not a defined name. </w:t>
            </w:r>
            <w:r>
              <w:rPr>
                <w:rFonts w:ascii="Consolas"/>
                <w:sz w:val="22"/>
              </w:rPr>
              <w:t>Total is &amp; A10</w:t>
            </w:r>
            <w:r>
              <w:rPr>
                <w:sz w:val="22"/>
              </w:rPr>
              <w:t>, where neither </w:t>
            </w:r>
            <w:r>
              <w:rPr>
                <w:rFonts w:ascii="Consolas"/>
                <w:sz w:val="22"/>
              </w:rPr>
              <w:t>Total</w:t>
            </w:r>
            <w:r>
              <w:rPr>
                <w:rFonts w:ascii="Consolas"/>
                <w:spacing w:val="-72"/>
                <w:sz w:val="22"/>
              </w:rPr>
              <w:t> </w:t>
            </w:r>
            <w:r>
              <w:rPr>
                <w:sz w:val="22"/>
              </w:rPr>
              <w:t>nor </w:t>
            </w:r>
            <w:r>
              <w:rPr>
                <w:rFonts w:ascii="Consolas"/>
                <w:sz w:val="22"/>
              </w:rPr>
              <w:t>is</w:t>
            </w:r>
            <w:r>
              <w:rPr>
                <w:rFonts w:ascii="Consolas"/>
                <w:spacing w:val="-71"/>
                <w:sz w:val="22"/>
              </w:rPr>
              <w:t> </w:t>
            </w:r>
            <w:r>
              <w:rPr>
                <w:sz w:val="22"/>
              </w:rPr>
              <w:t>is a defined name. Presumably, </w:t>
            </w:r>
            <w:r>
              <w:rPr>
                <w:rFonts w:ascii="Consolas"/>
                <w:sz w:val="22"/>
              </w:rPr>
              <w:t>"Total</w:t>
            </w:r>
          </w:p>
          <w:p>
            <w:pPr>
              <w:pStyle w:val="TableParagraph"/>
              <w:spacing w:before="1"/>
              <w:ind w:left="114" w:right="790"/>
              <w:jc w:val="both"/>
              <w:rPr>
                <w:sz w:val="22"/>
              </w:rPr>
            </w:pPr>
            <w:r>
              <w:rPr>
                <w:rFonts w:ascii="Consolas"/>
                <w:sz w:val="22"/>
              </w:rPr>
              <w:t>is " &amp; A10</w:t>
            </w:r>
            <w:r>
              <w:rPr>
                <w:rFonts w:ascii="Consolas"/>
                <w:spacing w:val="-71"/>
                <w:sz w:val="22"/>
              </w:rPr>
              <w:t> </w:t>
            </w:r>
            <w:r>
              <w:rPr>
                <w:sz w:val="22"/>
              </w:rPr>
              <w:t>was intended. </w:t>
            </w:r>
            <w:r>
              <w:rPr>
                <w:rFonts w:ascii="Consolas"/>
                <w:sz w:val="22"/>
              </w:rPr>
              <w:t>SUM(A1C10)</w:t>
            </w:r>
            <w:r>
              <w:rPr>
                <w:sz w:val="22"/>
              </w:rPr>
              <w:t>, where the range </w:t>
            </w:r>
            <w:r>
              <w:rPr>
                <w:rFonts w:ascii="Consolas"/>
                <w:sz w:val="22"/>
              </w:rPr>
              <w:t>A1:C10</w:t>
            </w:r>
            <w:r>
              <w:rPr>
                <w:rFonts w:ascii="Consolas"/>
                <w:spacing w:val="-71"/>
                <w:sz w:val="22"/>
              </w:rPr>
              <w:t> </w:t>
            </w:r>
            <w:r>
              <w:rPr>
                <w:sz w:val="22"/>
              </w:rPr>
              <w:t>was intended. </w:t>
            </w:r>
            <w:r>
              <w:rPr>
                <w:i/>
                <w:sz w:val="22"/>
              </w:rPr>
              <w:t>end example</w:t>
            </w:r>
            <w:r>
              <w:rPr>
                <w:sz w:val="22"/>
              </w:rPr>
              <w:t>]</w:t>
            </w:r>
          </w:p>
        </w:tc>
      </w:tr>
      <w:tr>
        <w:trPr>
          <w:trHeight w:val="892" w:hRule="atLeast"/>
        </w:trPr>
        <w:tc>
          <w:tcPr>
            <w:tcW w:w="1882" w:type="dxa"/>
          </w:tcPr>
          <w:p>
            <w:pPr>
              <w:pStyle w:val="TableParagraph"/>
              <w:spacing w:before="42"/>
              <w:rPr>
                <w:rFonts w:ascii="Consolas"/>
                <w:sz w:val="22"/>
              </w:rPr>
            </w:pPr>
            <w:r>
              <w:rPr>
                <w:rFonts w:ascii="Consolas"/>
                <w:sz w:val="22"/>
              </w:rPr>
              <w:t>#NULL!</w:t>
            </w:r>
          </w:p>
        </w:tc>
        <w:tc>
          <w:tcPr>
            <w:tcW w:w="7456" w:type="dxa"/>
          </w:tcPr>
          <w:p>
            <w:pPr>
              <w:pStyle w:val="TableParagraph"/>
              <w:ind w:left="114" w:right="162"/>
              <w:rPr>
                <w:sz w:val="22"/>
              </w:rPr>
            </w:pPr>
            <w:r>
              <w:rPr>
                <w:sz w:val="22"/>
              </w:rPr>
              <w:t>Intended to indicate when two areas are required to intersect, but do not. [</w:t>
            </w:r>
            <w:r>
              <w:rPr>
                <w:i/>
                <w:sz w:val="22"/>
              </w:rPr>
              <w:t>Example</w:t>
            </w:r>
            <w:r>
              <w:rPr>
                <w:sz w:val="22"/>
              </w:rPr>
              <w:t>: In the case of </w:t>
            </w:r>
            <w:r>
              <w:rPr>
                <w:rFonts w:ascii="Consolas"/>
                <w:sz w:val="22"/>
              </w:rPr>
              <w:t>SUM(B1 C1)</w:t>
            </w:r>
            <w:r>
              <w:rPr>
                <w:sz w:val="22"/>
              </w:rPr>
              <w:t>, the space between B1 and C1 is treated as the binary intersection operator, when a comma was intended. </w:t>
            </w:r>
            <w:r>
              <w:rPr>
                <w:i/>
                <w:sz w:val="22"/>
              </w:rPr>
              <w:t>end example</w:t>
            </w:r>
            <w:r>
              <w:rPr>
                <w:sz w:val="22"/>
              </w:rPr>
              <w:t>]</w:t>
            </w:r>
          </w:p>
        </w:tc>
      </w:tr>
      <w:tr>
        <w:trPr>
          <w:trHeight w:val="2234" w:hRule="atLeast"/>
        </w:trPr>
        <w:tc>
          <w:tcPr>
            <w:tcW w:w="1882" w:type="dxa"/>
          </w:tcPr>
          <w:p>
            <w:pPr>
              <w:pStyle w:val="TableParagraph"/>
              <w:spacing w:before="42"/>
              <w:rPr>
                <w:rFonts w:ascii="Consolas"/>
                <w:sz w:val="22"/>
              </w:rPr>
            </w:pPr>
            <w:r>
              <w:rPr>
                <w:rFonts w:ascii="Consolas"/>
                <w:sz w:val="22"/>
              </w:rPr>
              <w:t>#NUM!</w:t>
            </w:r>
          </w:p>
        </w:tc>
        <w:tc>
          <w:tcPr>
            <w:tcW w:w="7456" w:type="dxa"/>
          </w:tcPr>
          <w:p>
            <w:pPr>
              <w:pStyle w:val="TableParagraph"/>
              <w:ind w:left="114" w:right="138"/>
              <w:rPr>
                <w:sz w:val="22"/>
              </w:rPr>
            </w:pPr>
            <w:r>
              <w:rPr>
                <w:sz w:val="22"/>
              </w:rPr>
              <w:t>Intended to indicate when an argument to a function has a compatible type, but has a value that is outside the domain over which that function is defined. (This is known as a </w:t>
            </w:r>
            <w:r>
              <w:rPr>
                <w:i/>
                <w:sz w:val="22"/>
              </w:rPr>
              <w:t>domain error</w:t>
            </w:r>
            <w:r>
              <w:rPr>
                <w:sz w:val="22"/>
              </w:rPr>
              <w:t>.) [</w:t>
            </w:r>
            <w:r>
              <w:rPr>
                <w:i/>
                <w:sz w:val="22"/>
              </w:rPr>
              <w:t>Example</w:t>
            </w:r>
            <w:r>
              <w:rPr>
                <w:sz w:val="22"/>
              </w:rPr>
              <w:t>: Certain calls to </w:t>
            </w:r>
            <w:r>
              <w:rPr>
                <w:rFonts w:ascii="Consolas"/>
                <w:sz w:val="22"/>
              </w:rPr>
              <w:t>ASIN</w:t>
            </w:r>
            <w:r>
              <w:rPr>
                <w:sz w:val="22"/>
              </w:rPr>
              <w:t>, </w:t>
            </w:r>
            <w:r>
              <w:rPr>
                <w:rFonts w:ascii="Consolas"/>
                <w:sz w:val="22"/>
              </w:rPr>
              <w:t>ATANH</w:t>
            </w:r>
            <w:r>
              <w:rPr>
                <w:sz w:val="22"/>
              </w:rPr>
              <w:t>, </w:t>
            </w:r>
            <w:r>
              <w:rPr>
                <w:rFonts w:ascii="Consolas"/>
                <w:sz w:val="22"/>
              </w:rPr>
              <w:t>FACT</w:t>
            </w:r>
            <w:r>
              <w:rPr>
                <w:sz w:val="22"/>
              </w:rPr>
              <w:t>, and </w:t>
            </w:r>
            <w:r>
              <w:rPr>
                <w:rFonts w:ascii="Consolas"/>
                <w:sz w:val="22"/>
              </w:rPr>
              <w:t>SQRT</w:t>
            </w:r>
            <w:r>
              <w:rPr>
                <w:rFonts w:ascii="Consolas"/>
                <w:spacing w:val="-81"/>
                <w:sz w:val="22"/>
              </w:rPr>
              <w:t> </w:t>
            </w:r>
            <w:r>
              <w:rPr>
                <w:sz w:val="22"/>
              </w:rPr>
              <w:t>might result in domain errors. </w:t>
            </w:r>
            <w:r>
              <w:rPr>
                <w:i/>
                <w:sz w:val="22"/>
              </w:rPr>
              <w:t>end example</w:t>
            </w:r>
            <w:r>
              <w:rPr>
                <w:sz w:val="22"/>
              </w:rPr>
              <w:t>]</w:t>
            </w:r>
          </w:p>
          <w:p>
            <w:pPr>
              <w:pStyle w:val="TableParagraph"/>
              <w:spacing w:before="1"/>
              <w:ind w:left="114" w:right="296"/>
              <w:rPr>
                <w:sz w:val="22"/>
              </w:rPr>
            </w:pPr>
            <w:r>
              <w:rPr>
                <w:sz w:val="22"/>
              </w:rPr>
              <w:t>Intended to indicate that the result of a function cannot be represented in a value of the specified type, typically due to extreme magnitude. (This is known as a </w:t>
            </w:r>
            <w:r>
              <w:rPr>
                <w:i/>
                <w:sz w:val="22"/>
              </w:rPr>
              <w:t>range error</w:t>
            </w:r>
            <w:r>
              <w:rPr>
                <w:sz w:val="22"/>
              </w:rPr>
              <w:t>.) [</w:t>
            </w:r>
            <w:r>
              <w:rPr>
                <w:i/>
                <w:sz w:val="22"/>
              </w:rPr>
              <w:t>Example</w:t>
            </w:r>
            <w:r>
              <w:rPr>
                <w:sz w:val="22"/>
              </w:rPr>
              <w:t>: </w:t>
            </w:r>
            <w:r>
              <w:rPr>
                <w:rFonts w:ascii="Consolas"/>
                <w:sz w:val="22"/>
              </w:rPr>
              <w:t>FACT(1000) </w:t>
            </w:r>
            <w:r>
              <w:rPr>
                <w:sz w:val="22"/>
              </w:rPr>
              <w:t>might result in a range error. </w:t>
            </w:r>
            <w:r>
              <w:rPr>
                <w:i/>
                <w:sz w:val="22"/>
              </w:rPr>
              <w:t>end </w:t>
            </w:r>
            <w:r>
              <w:rPr>
                <w:i/>
                <w:sz w:val="22"/>
              </w:rPr>
              <w:t>example</w:t>
            </w:r>
            <w:r>
              <w:rPr>
                <w:sz w:val="22"/>
              </w:rPr>
              <w:t>]</w:t>
            </w:r>
          </w:p>
        </w:tc>
      </w:tr>
      <w:tr>
        <w:trPr>
          <w:trHeight w:val="1429" w:hRule="atLeast"/>
        </w:trPr>
        <w:tc>
          <w:tcPr>
            <w:tcW w:w="1882" w:type="dxa"/>
          </w:tcPr>
          <w:p>
            <w:pPr>
              <w:pStyle w:val="TableParagraph"/>
              <w:spacing w:before="42"/>
              <w:rPr>
                <w:rFonts w:ascii="Consolas"/>
                <w:sz w:val="22"/>
              </w:rPr>
            </w:pPr>
            <w:r>
              <w:rPr>
                <w:rFonts w:ascii="Consolas"/>
                <w:sz w:val="22"/>
              </w:rPr>
              <w:t>#REF!</w:t>
            </w:r>
          </w:p>
        </w:tc>
        <w:tc>
          <w:tcPr>
            <w:tcW w:w="7456" w:type="dxa"/>
          </w:tcPr>
          <w:p>
            <w:pPr>
              <w:pStyle w:val="TableParagraph"/>
              <w:ind w:left="114" w:right="330"/>
              <w:rPr>
                <w:sz w:val="22"/>
              </w:rPr>
            </w:pPr>
            <w:r>
              <w:rPr>
                <w:sz w:val="22"/>
              </w:rPr>
              <w:t>Intended to indicate when a cell reference cannot be evaluated. [</w:t>
            </w:r>
            <w:r>
              <w:rPr>
                <w:i/>
                <w:sz w:val="22"/>
              </w:rPr>
              <w:t>Example</w:t>
            </w:r>
            <w:r>
              <w:rPr>
                <w:sz w:val="22"/>
              </w:rPr>
              <w:t>: If a formula contains a reference to a cell, and then the row or column containing that cell is deleted, a </w:t>
            </w:r>
            <w:r>
              <w:rPr>
                <w:rFonts w:ascii="Consolas"/>
                <w:sz w:val="22"/>
              </w:rPr>
              <w:t>#REF! </w:t>
            </w:r>
            <w:r>
              <w:rPr>
                <w:sz w:val="22"/>
              </w:rPr>
              <w:t>error results. If a worksheet does not support 20,001 columns, </w:t>
            </w:r>
            <w:r>
              <w:rPr>
                <w:rFonts w:ascii="Consolas"/>
                <w:sz w:val="22"/>
              </w:rPr>
              <w:t>OFFSET(A1,0,20000) </w:t>
            </w:r>
            <w:r>
              <w:rPr>
                <w:sz w:val="22"/>
              </w:rPr>
              <w:t>will result in a </w:t>
            </w:r>
            <w:r>
              <w:rPr>
                <w:rFonts w:ascii="Consolas"/>
                <w:sz w:val="22"/>
              </w:rPr>
              <w:t>#REF! </w:t>
            </w:r>
            <w:r>
              <w:rPr>
                <w:sz w:val="22"/>
              </w:rPr>
              <w:t>error. </w:t>
            </w:r>
            <w:r>
              <w:rPr>
                <w:i/>
                <w:sz w:val="22"/>
              </w:rPr>
              <w:t>end </w:t>
            </w:r>
            <w:r>
              <w:rPr>
                <w:i/>
                <w:sz w:val="22"/>
              </w:rPr>
              <w:t>example</w:t>
            </w:r>
            <w:r>
              <w:rPr>
                <w:sz w:val="22"/>
              </w:rPr>
              <w:t>]</w:t>
            </w:r>
          </w:p>
        </w:tc>
      </w:tr>
      <w:tr>
        <w:trPr>
          <w:trHeight w:val="1159" w:hRule="atLeast"/>
        </w:trPr>
        <w:tc>
          <w:tcPr>
            <w:tcW w:w="1882" w:type="dxa"/>
          </w:tcPr>
          <w:p>
            <w:pPr>
              <w:pStyle w:val="TableParagraph"/>
              <w:spacing w:before="42"/>
              <w:rPr>
                <w:rFonts w:ascii="Consolas"/>
                <w:sz w:val="22"/>
              </w:rPr>
            </w:pPr>
            <w:r>
              <w:rPr>
                <w:rFonts w:ascii="Consolas"/>
                <w:sz w:val="22"/>
              </w:rPr>
              <w:t>#VALUE!</w:t>
            </w:r>
          </w:p>
        </w:tc>
        <w:tc>
          <w:tcPr>
            <w:tcW w:w="7456" w:type="dxa"/>
          </w:tcPr>
          <w:p>
            <w:pPr>
              <w:pStyle w:val="TableParagraph"/>
              <w:ind w:left="114" w:right="93"/>
              <w:rPr>
                <w:sz w:val="22"/>
              </w:rPr>
            </w:pPr>
            <w:r>
              <w:rPr>
                <w:sz w:val="22"/>
              </w:rPr>
              <w:t>Intended to indicate when an incompatible type argument is passed to a function, or an incompatible type operand is used with an operator. [</w:t>
            </w:r>
            <w:r>
              <w:rPr>
                <w:i/>
                <w:sz w:val="22"/>
              </w:rPr>
              <w:t>Example</w:t>
            </w:r>
            <w:r>
              <w:rPr>
                <w:sz w:val="22"/>
              </w:rPr>
              <w:t>: In the case of a function argument, text was expected, but a number was provided </w:t>
            </w:r>
            <w:r>
              <w:rPr>
                <w:i/>
                <w:sz w:val="22"/>
              </w:rPr>
              <w:t>end example</w:t>
            </w:r>
            <w:r>
              <w:rPr>
                <w:sz w:val="22"/>
              </w:rPr>
              <w:t>]</w:t>
            </w:r>
          </w:p>
        </w:tc>
      </w:tr>
    </w:tbl>
    <w:p>
      <w:pPr>
        <w:pStyle w:val="BodyText"/>
        <w:rPr>
          <w:sz w:val="20"/>
        </w:rPr>
      </w:pPr>
    </w:p>
    <w:p>
      <w:pPr>
        <w:pStyle w:val="BodyText"/>
        <w:spacing w:before="7"/>
        <w:rPr>
          <w:sz w:val="21"/>
        </w:rPr>
      </w:pPr>
    </w:p>
    <w:p>
      <w:pPr>
        <w:spacing w:before="0"/>
        <w:ind w:left="220" w:right="0" w:firstLine="0"/>
        <w:jc w:val="left"/>
        <w:rPr>
          <w:sz w:val="22"/>
        </w:rPr>
      </w:pPr>
      <w:r>
        <w:rPr>
          <w:sz w:val="22"/>
        </w:rPr>
        <w:t>Each error value has a corresponding </w:t>
      </w:r>
      <w:r>
        <w:rPr>
          <w:rFonts w:ascii="Times New Roman" w:hAnsi="Times New Roman"/>
          <w:i/>
          <w:sz w:val="22"/>
        </w:rPr>
        <w:t>error-constant </w:t>
      </w:r>
      <w:r>
        <w:rPr>
          <w:sz w:val="22"/>
        </w:rPr>
        <w:t>(</w:t>
      </w:r>
      <w:hyperlink w:history="true" w:anchor="_bookmark435">
        <w:r>
          <w:rPr>
            <w:sz w:val="22"/>
          </w:rPr>
          <w:t>§18.17.2.1</w:t>
        </w:r>
      </w:hyperlink>
      <w:r>
        <w:rPr>
          <w:sz w:val="22"/>
        </w:rPr>
        <w:t>).</w:t>
      </w:r>
    </w:p>
    <w:p>
      <w:pPr>
        <w:pStyle w:val="BodyText"/>
        <w:spacing w:before="6"/>
        <w:rPr>
          <w:sz w:val="19"/>
        </w:rPr>
      </w:pPr>
    </w:p>
    <w:p>
      <w:pPr>
        <w:pStyle w:val="BodyText"/>
        <w:ind w:left="220"/>
        <w:rPr>
          <w:rFonts w:ascii="Consolas" w:hAnsi="Consolas"/>
        </w:rPr>
      </w:pPr>
      <w:r>
        <w:rPr/>
        <w:t>[</w:t>
      </w:r>
      <w:r>
        <w:rPr>
          <w:i/>
        </w:rPr>
        <w:t>Note</w:t>
      </w:r>
      <w:r>
        <w:rPr/>
        <w:t>: A number of functions operate on error values: They include </w:t>
      </w:r>
      <w:r>
        <w:rPr>
          <w:rFonts w:ascii="Consolas" w:hAnsi="Consolas"/>
        </w:rPr>
        <w:t>ERROR.TYPE</w:t>
      </w:r>
      <w:r>
        <w:rPr>
          <w:rFonts w:ascii="Consolas" w:hAnsi="Consolas"/>
          <w:spacing w:val="-91"/>
        </w:rPr>
        <w:t> </w:t>
      </w:r>
      <w:hyperlink w:history="true" w:anchor="_bookmark573">
        <w:r>
          <w:rPr/>
          <w:t>(§18.17.7.110</w:t>
        </w:r>
      </w:hyperlink>
      <w:r>
        <w:rPr/>
        <w:t>), </w:t>
      </w:r>
      <w:r>
        <w:rPr>
          <w:rFonts w:ascii="Consolas" w:hAnsi="Consolas"/>
        </w:rPr>
        <w:t>ISERR</w:t>
      </w:r>
    </w:p>
    <w:p>
      <w:pPr>
        <w:pStyle w:val="BodyText"/>
        <w:spacing w:before="44"/>
        <w:ind w:left="220"/>
      </w:pPr>
      <w:hyperlink w:history="true" w:anchor="_bookmark638">
        <w:r>
          <w:rPr/>
          <w:t>(§18.17.7.175</w:t>
        </w:r>
      </w:hyperlink>
      <w:r>
        <w:rPr/>
        <w:t>), </w:t>
      </w:r>
      <w:r>
        <w:rPr>
          <w:rFonts w:ascii="Consolas" w:hAnsi="Consolas"/>
        </w:rPr>
        <w:t>ISERROR</w:t>
      </w:r>
      <w:r>
        <w:rPr>
          <w:rFonts w:ascii="Consolas" w:hAnsi="Consolas"/>
          <w:spacing w:val="-71"/>
        </w:rPr>
        <w:t> </w:t>
      </w:r>
      <w:r>
        <w:rPr/>
        <w:t>(§</w:t>
      </w:r>
      <w:hyperlink w:history="true" w:anchor="_bookmark639">
        <w:r>
          <w:rPr/>
          <w:t>18.17.7.176</w:t>
        </w:r>
      </w:hyperlink>
      <w:r>
        <w:rPr/>
        <w:t>), and </w:t>
      </w:r>
      <w:r>
        <w:rPr>
          <w:rFonts w:ascii="Consolas" w:hAnsi="Consolas"/>
        </w:rPr>
        <w:t>ISNA</w:t>
      </w:r>
      <w:r>
        <w:rPr>
          <w:rFonts w:ascii="Consolas" w:hAnsi="Consolas"/>
          <w:spacing w:val="-72"/>
        </w:rPr>
        <w:t> </w:t>
      </w:r>
      <w:r>
        <w:rPr/>
        <w:t>(§</w:t>
      </w:r>
      <w:hyperlink w:history="true" w:anchor="_bookmark642">
        <w:r>
          <w:rPr/>
          <w:t>18.17.7.179</w:t>
        </w:r>
      </w:hyperlink>
      <w:r>
        <w:rPr/>
        <w:t>). </w:t>
      </w:r>
      <w:r>
        <w:rPr>
          <w:i/>
        </w:rPr>
        <w:t>end note</w:t>
      </w:r>
      <w:r>
        <w:rPr/>
        <w:t>]</w:t>
      </w:r>
    </w:p>
    <w:p>
      <w:pPr>
        <w:spacing w:after="0"/>
        <w:sectPr>
          <w:pgSz w:w="12240" w:h="15840"/>
          <w:pgMar w:header="763" w:footer="746" w:top="1340" w:bottom="940" w:left="860" w:right="700"/>
        </w:sectPr>
      </w:pPr>
    </w:p>
    <w:p>
      <w:pPr>
        <w:pStyle w:val="Heading2"/>
        <w:numPr>
          <w:ilvl w:val="2"/>
          <w:numId w:val="66"/>
        </w:numPr>
        <w:tabs>
          <w:tab w:pos="1444" w:val="left" w:leader="none"/>
          <w:tab w:pos="1445" w:val="left" w:leader="none"/>
        </w:tabs>
        <w:spacing w:line="240" w:lineRule="auto" w:before="93" w:after="0"/>
        <w:ind w:left="1444" w:right="0" w:hanging="1225"/>
        <w:jc w:val="left"/>
      </w:pPr>
      <w:bookmarkStart w:name="18.17.4 Dates and Times" w:id="1340"/>
      <w:bookmarkEnd w:id="1340"/>
      <w:r>
        <w:rPr>
          <w:b w:val="0"/>
        </w:rPr>
      </w:r>
      <w:bookmarkStart w:name="_bookmark445" w:id="1341"/>
      <w:bookmarkEnd w:id="1341"/>
      <w:r>
        <w:rPr>
          <w:b w:val="0"/>
        </w:rPr>
      </w:r>
      <w:bookmarkStart w:name="_bookmark445" w:id="1342"/>
      <w:bookmarkEnd w:id="1342"/>
      <w:r>
        <w:rPr>
          <w:color w:val="4F81BC"/>
        </w:rPr>
        <w:t>Da</w:t>
      </w:r>
      <w:r>
        <w:rPr>
          <w:color w:val="4F81BC"/>
        </w:rPr>
        <w:t>tes and</w:t>
      </w:r>
      <w:r>
        <w:rPr>
          <w:color w:val="4F81BC"/>
          <w:spacing w:val="-3"/>
        </w:rPr>
        <w:t> </w:t>
      </w:r>
      <w:r>
        <w:rPr>
          <w:color w:val="4F81BC"/>
        </w:rPr>
        <w:t>Times</w:t>
      </w:r>
    </w:p>
    <w:p>
      <w:pPr>
        <w:pStyle w:val="BodyText"/>
        <w:spacing w:line="278" w:lineRule="auto" w:before="122"/>
        <w:ind w:left="220" w:right="967"/>
      </w:pPr>
      <w:r>
        <w:rPr/>
        <w:t>Dates and times in cells in SpreadsheetML are stored as strings, using the ISO 8601 lexical formats defined below.</w:t>
      </w:r>
    </w:p>
    <w:p>
      <w:pPr>
        <w:pStyle w:val="BodyText"/>
        <w:spacing w:line="276" w:lineRule="auto" w:before="196"/>
        <w:ind w:left="220" w:right="363"/>
      </w:pPr>
      <w:r>
        <w:rPr/>
        <w:t>The earliest date permitted is 0001-01-01, 00:00. The latest date permitted is 9999-12-31, 23:59:59.999. The time midnight shall be expressed always with hour component 0 and not with hour component 24. Leap seconds are not permitted – the maximum number of seconds expressed in a minute shall be 60.</w:t>
      </w:r>
    </w:p>
    <w:p>
      <w:pPr>
        <w:pStyle w:val="BodyText"/>
        <w:spacing w:before="3"/>
        <w:rPr>
          <w:sz w:val="16"/>
        </w:rPr>
      </w:pPr>
    </w:p>
    <w:p>
      <w:pPr>
        <w:pStyle w:val="BodyText"/>
        <w:spacing w:line="278" w:lineRule="auto" w:before="1"/>
        <w:ind w:left="220"/>
      </w:pPr>
      <w:r>
        <w:rPr/>
        <w:t>Values with only a date component shall be expressed using the Complete, Extended Format Calendar Date representation, as defined in ISO 8601, §B.1.1 and §B.2.1.</w:t>
      </w:r>
    </w:p>
    <w:p>
      <w:pPr>
        <w:pStyle w:val="BodyText"/>
        <w:spacing w:line="456" w:lineRule="auto" w:before="197"/>
        <w:ind w:left="220" w:right="4254"/>
      </w:pPr>
      <w:r>
        <w:rPr/>
        <w:t>[</w:t>
      </w:r>
      <w:r>
        <w:rPr>
          <w:i/>
        </w:rPr>
        <w:t>Example</w:t>
      </w:r>
      <w:r>
        <w:rPr/>
        <w:t>: The date 5 October 1975 is expressed in SpreadsheetML as 1975-10-05</w:t>
      </w:r>
    </w:p>
    <w:p>
      <w:pPr>
        <w:spacing w:line="266" w:lineRule="exact"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390"/>
        <w:jc w:val="both"/>
      </w:pPr>
      <w:r>
        <w:rPr/>
        <w:t>Values with only a time-of-day component shall be expressed using the Complete, Extended Format Time Of Day representation, as defined in ISO 8601, §B.1.2 and §B.2.2. The decimal separator shall be a full stop (period), and fractional seconds should be expressed with no more than three decimal places.</w:t>
      </w:r>
    </w:p>
    <w:p>
      <w:pPr>
        <w:pStyle w:val="BodyText"/>
        <w:spacing w:line="276" w:lineRule="auto" w:before="194"/>
        <w:ind w:left="220" w:right="618"/>
      </w:pPr>
      <w:r>
        <w:rPr/>
        <w:t>[</w:t>
      </w:r>
      <w:r>
        <w:rPr>
          <w:i/>
        </w:rPr>
        <w:t>Rationale</w:t>
      </w:r>
      <w:r>
        <w:rPr/>
        <w:t>: There are significant differences among standards’ and systems’ support for fractional seconds in time values. Allowing implementations to choose a level of precision support that is most appropriate to each implementation provides the most flexibility for different usage scenarios. A recommended baseline precision sets a goal for support with the intention of improving interoperability. </w:t>
      </w:r>
      <w:r>
        <w:rPr>
          <w:i/>
        </w:rPr>
        <w:t>end rationale</w:t>
      </w:r>
      <w:r>
        <w:rPr/>
        <w:t>]</w:t>
      </w:r>
    </w:p>
    <w:p>
      <w:pPr>
        <w:pStyle w:val="BodyText"/>
        <w:spacing w:before="4"/>
        <w:rPr>
          <w:sz w:val="16"/>
        </w:rPr>
      </w:pPr>
    </w:p>
    <w:p>
      <w:pPr>
        <w:pStyle w:val="BodyText"/>
        <w:spacing w:line="276" w:lineRule="auto" w:before="1"/>
        <w:ind w:left="220" w:right="1641"/>
      </w:pPr>
      <w:r>
        <w:rPr/>
        <w:t>[</w:t>
      </w:r>
      <w:r>
        <w:rPr>
          <w:i/>
        </w:rPr>
        <w:t>Guidance</w:t>
      </w:r>
      <w:r>
        <w:rPr/>
        <w:t>: Implementations are encouraged to document their time precision support to enhance interoperability. </w:t>
      </w:r>
      <w:r>
        <w:rPr>
          <w:i/>
        </w:rPr>
        <w:t>end guidance</w:t>
      </w:r>
      <w:r>
        <w:rPr/>
        <w:t>]</w:t>
      </w:r>
    </w:p>
    <w:p>
      <w:pPr>
        <w:pStyle w:val="BodyText"/>
        <w:spacing w:line="506" w:lineRule="exact" w:before="5"/>
        <w:ind w:left="220" w:right="1870"/>
      </w:pPr>
      <w:r>
        <w:rPr/>
        <w:t>[</w:t>
      </w:r>
      <w:r>
        <w:rPr>
          <w:i/>
        </w:rPr>
        <w:t>Example</w:t>
      </w:r>
      <w:r>
        <w:rPr/>
        <w:t>: The time-of-day 08:30 can be expressed in the following ways within SpreadsheetML: 08:30</w:t>
      </w:r>
    </w:p>
    <w:p>
      <w:pPr>
        <w:pStyle w:val="BodyText"/>
        <w:spacing w:line="268" w:lineRule="exact"/>
        <w:ind w:left="220"/>
      </w:pPr>
      <w:r>
        <w:rPr/>
        <w:t>08:30:00</w:t>
      </w:r>
    </w:p>
    <w:p>
      <w:pPr>
        <w:pStyle w:val="BodyText"/>
        <w:spacing w:before="41"/>
        <w:ind w:left="220"/>
      </w:pPr>
      <w:r>
        <w:rPr/>
        <w:t>08:30:00.000</w:t>
      </w:r>
    </w:p>
    <w:p>
      <w:pPr>
        <w:spacing w:before="41"/>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ind w:left="220" w:right="657"/>
      </w:pPr>
      <w:r>
        <w:rPr/>
        <w:t>Values with both date and time-of-day components shall be expressed using the Complete, Extended Format Calendar Date and Time Of Day representation, as defined in ISO 8601, §B.1.3 and §B.2.3. For the time component, only seconds may use a decimal separator, the decimal separator shall be a full stop (period) and fractional seconds should be expressed with no more than three decimal places.</w:t>
      </w:r>
    </w:p>
    <w:p>
      <w:pPr>
        <w:pStyle w:val="BodyText"/>
        <w:spacing w:before="5"/>
        <w:rPr>
          <w:sz w:val="16"/>
        </w:rPr>
      </w:pPr>
    </w:p>
    <w:p>
      <w:pPr>
        <w:pStyle w:val="BodyText"/>
        <w:spacing w:line="278" w:lineRule="auto"/>
        <w:ind w:left="220" w:right="1105"/>
      </w:pPr>
      <w:r>
        <w:rPr/>
        <w:t>[</w:t>
      </w:r>
      <w:r>
        <w:rPr>
          <w:i/>
        </w:rPr>
        <w:t>Example</w:t>
      </w:r>
      <w:r>
        <w:rPr/>
        <w:t>: The date 22 November 1976 at local time 08:30 can be expressed in the following ways within SpreadsheetML:</w:t>
      </w:r>
    </w:p>
    <w:p>
      <w:pPr>
        <w:spacing w:after="0" w:line="278" w:lineRule="auto"/>
        <w:sectPr>
          <w:pgSz w:w="12240" w:h="15840"/>
          <w:pgMar w:header="761" w:footer="746" w:top="1340" w:bottom="940" w:left="860" w:right="700"/>
        </w:sectPr>
      </w:pPr>
    </w:p>
    <w:p>
      <w:pPr>
        <w:pStyle w:val="BodyText"/>
        <w:spacing w:before="148"/>
        <w:ind w:left="220"/>
      </w:pPr>
      <w:r>
        <w:rPr/>
        <w:t>1976-11-22T08:30</w:t>
      </w:r>
    </w:p>
    <w:p>
      <w:pPr>
        <w:pStyle w:val="BodyText"/>
        <w:spacing w:before="41"/>
        <w:ind w:left="220"/>
      </w:pPr>
      <w:r>
        <w:rPr/>
        <w:t>1976-11-22T08:30:00</w:t>
      </w:r>
    </w:p>
    <w:p>
      <w:pPr>
        <w:pStyle w:val="BodyText"/>
        <w:spacing w:before="41"/>
        <w:ind w:left="220"/>
      </w:pPr>
      <w:r>
        <w:rPr/>
        <w:t>1976-11-22T08:30:00.000</w:t>
      </w:r>
    </w:p>
    <w:p>
      <w:pPr>
        <w:pStyle w:val="BodyText"/>
        <w:spacing w:before="6"/>
        <w:rPr>
          <w:sz w:val="19"/>
        </w:rPr>
      </w:pPr>
    </w:p>
    <w:p>
      <w:pPr>
        <w:pStyle w:val="BodyText"/>
        <w:spacing w:line="278" w:lineRule="auto"/>
        <w:ind w:left="220" w:right="1123"/>
      </w:pPr>
      <w:r>
        <w:rPr/>
        <w:t>The date 15 October 1582—the day the Gregorian calendar went into effect for some countries—can be expressed in the following ways:</w:t>
      </w:r>
    </w:p>
    <w:p>
      <w:pPr>
        <w:pStyle w:val="BodyText"/>
        <w:spacing w:before="196"/>
        <w:ind w:left="220"/>
      </w:pPr>
      <w:r>
        <w:rPr/>
        <w:t>1582-10-15</w:t>
      </w:r>
    </w:p>
    <w:p>
      <w:pPr>
        <w:pStyle w:val="BodyText"/>
        <w:spacing w:before="41"/>
        <w:ind w:left="220"/>
      </w:pPr>
      <w:r>
        <w:rPr/>
        <w:t>1582-10-15T00:00</w:t>
      </w:r>
    </w:p>
    <w:p>
      <w:pPr>
        <w:pStyle w:val="BodyText"/>
        <w:spacing w:before="38"/>
        <w:ind w:left="220"/>
      </w:pPr>
      <w:r>
        <w:rPr/>
        <w:t>1582-10-15T00:00:00</w:t>
      </w:r>
    </w:p>
    <w:p>
      <w:pPr>
        <w:pStyle w:val="BodyText"/>
        <w:spacing w:before="44"/>
        <w:ind w:left="220"/>
      </w:pPr>
      <w:r>
        <w:rPr/>
        <w:t>1582-10-15T00:00:00.000</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6" w:lineRule="auto" w:before="1"/>
        <w:ind w:left="220" w:right="412"/>
      </w:pPr>
      <w:r>
        <w:rPr/>
        <w:t>[</w:t>
      </w:r>
      <w:r>
        <w:rPr>
          <w:i/>
        </w:rPr>
        <w:t>Note: </w:t>
      </w:r>
      <w:r>
        <w:rPr/>
        <w:t>SpreadsheetML relates all dates to the proleptic Gregorian calendar of ISO 8601, treating time periods extending into the past and into the distant future as if the Gregorian calendar is in effect for all of those days. January 1 is always the first day of each year, ignoring historical changes to the period of the calendar year. The gaps and shifts introduced as part of calendar reforms and for introduction of leap seconds are ignored under the proleptic Gregorian calendar system. </w:t>
      </w:r>
      <w:r>
        <w:rPr>
          <w:i/>
        </w:rPr>
        <w:t>end note</w:t>
      </w:r>
      <w:r>
        <w:rPr/>
        <w:t>]</w:t>
      </w:r>
    </w:p>
    <w:p>
      <w:pPr>
        <w:pStyle w:val="BodyText"/>
        <w:spacing w:before="5"/>
        <w:rPr>
          <w:sz w:val="16"/>
        </w:rPr>
      </w:pPr>
    </w:p>
    <w:p>
      <w:pPr>
        <w:pStyle w:val="BodyText"/>
        <w:spacing w:line="276" w:lineRule="auto"/>
        <w:ind w:left="220" w:right="437"/>
      </w:pPr>
      <w:r>
        <w:rPr/>
        <w:t>Wherever a calculation in a formula is specified to apply to number values and a date or time is provided, the effect shall be the same as if the date and/or time value is converted to the corresponding serial date-time. Wherever a calculation in a formula is specified to apply to or to deliver a date and/or time value, and a number value is supplied, the number value is interpreted as a serial date-time for the date and/or time. The relationships between serial date-times and dates and times are specified in §</w:t>
      </w:r>
      <w:hyperlink w:history="true" w:anchor="_bookmark446">
        <w:r>
          <w:rPr/>
          <w:t>18.17.4.1, </w:t>
        </w:r>
      </w:hyperlink>
      <w:r>
        <w:rPr/>
        <w:t>§</w:t>
      </w:r>
      <w:hyperlink w:history="true" w:anchor="_bookmark447">
        <w:r>
          <w:rPr/>
          <w:t>18.17.4.2</w:t>
        </w:r>
      </w:hyperlink>
      <w:r>
        <w:rPr/>
        <w:t>, and</w:t>
      </w:r>
    </w:p>
    <w:p>
      <w:pPr>
        <w:pStyle w:val="BodyText"/>
        <w:spacing w:before="2"/>
        <w:ind w:left="220"/>
      </w:pPr>
      <w:hyperlink w:history="true" w:anchor="_bookmark448">
        <w:r>
          <w:rPr/>
          <w:t>§18.17.4.3</w:t>
        </w:r>
      </w:hyperlink>
      <w:r>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4.1 Date Conversion for Serial Dat" w:id="1343"/>
      <w:bookmarkEnd w:id="1343"/>
      <w:r>
        <w:rPr/>
      </w:r>
      <w:bookmarkStart w:name="_bookmark446" w:id="1344"/>
      <w:bookmarkEnd w:id="1344"/>
      <w:r>
        <w:rPr/>
      </w:r>
      <w:bookmarkStart w:name="_bookmark446" w:id="1345"/>
      <w:bookmarkEnd w:id="1345"/>
      <w:r>
        <w:rPr>
          <w:color w:val="4F81BC"/>
        </w:rPr>
        <w:t>Date</w:t>
      </w:r>
      <w:r>
        <w:rPr>
          <w:color w:val="4F81BC"/>
        </w:rPr>
        <w:t> Conversion for Serial</w:t>
      </w:r>
      <w:r>
        <w:rPr>
          <w:color w:val="4F81BC"/>
          <w:spacing w:val="-2"/>
        </w:rPr>
        <w:t> </w:t>
      </w:r>
      <w:r>
        <w:rPr>
          <w:color w:val="4F81BC"/>
        </w:rPr>
        <w:t>Date-Times</w:t>
      </w:r>
    </w:p>
    <w:p>
      <w:pPr>
        <w:pStyle w:val="BodyText"/>
        <w:spacing w:line="276" w:lineRule="auto" w:before="118"/>
        <w:ind w:left="220" w:right="417"/>
      </w:pPr>
      <w:r>
        <w:rPr/>
        <w:t>A serial date-time is a number that represents a date and time. This signed value is in units of days relative to the base date for the selected date system. Serial date-times increase by 1 into each successive day and decrease by 1 into each preceding day. Fractional portions of serial date-times represent fractions of a single day. [</w:t>
      </w:r>
      <w:r>
        <w:rPr>
          <w:i/>
        </w:rPr>
        <w:t>Example</w:t>
      </w:r>
      <w:r>
        <w:rPr/>
        <w:t>: When using the 1900 date system, which has a base date of 30</w:t>
      </w:r>
      <w:r>
        <w:rPr>
          <w:vertAlign w:val="superscript"/>
        </w:rPr>
        <w:t>th</w:t>
      </w:r>
      <w:r>
        <w:rPr>
          <w:vertAlign w:val="baseline"/>
        </w:rPr>
        <w:t> December 1899, a serial date- time of 1.5 represents midday on the 31</w:t>
      </w:r>
      <w:r>
        <w:rPr>
          <w:vertAlign w:val="superscript"/>
        </w:rPr>
        <w:t>st</w:t>
      </w:r>
      <w:r>
        <w:rPr>
          <w:vertAlign w:val="baseline"/>
        </w:rPr>
        <w:t> December 1899 (serial date-time day 1), or 1899-12-31T12:00. A serial date-time of -4.25 represents 6 pm on the 25</w:t>
      </w:r>
      <w:r>
        <w:rPr>
          <w:vertAlign w:val="superscript"/>
        </w:rPr>
        <w:t>th</w:t>
      </w:r>
      <w:r>
        <w:rPr>
          <w:vertAlign w:val="baseline"/>
        </w:rPr>
        <w:t> December 1899, or 1899-12-25T18:00. </w:t>
      </w:r>
      <w:r>
        <w:rPr>
          <w:i/>
          <w:vertAlign w:val="baseline"/>
        </w:rPr>
        <w:t>end example</w:t>
      </w:r>
      <w:r>
        <w:rPr>
          <w:vertAlign w:val="baseline"/>
        </w:rPr>
        <w:t>] The base dates and the related serial date-times represent local date and</w:t>
      </w:r>
      <w:r>
        <w:rPr>
          <w:spacing w:val="-11"/>
          <w:vertAlign w:val="baseline"/>
        </w:rPr>
        <w:t> </w:t>
      </w:r>
      <w:r>
        <w:rPr>
          <w:vertAlign w:val="baseline"/>
        </w:rPr>
        <w:t>time.</w:t>
      </w:r>
    </w:p>
    <w:p>
      <w:pPr>
        <w:pStyle w:val="BodyText"/>
        <w:spacing w:before="9"/>
        <w:rPr>
          <w:sz w:val="16"/>
        </w:rPr>
      </w:pPr>
    </w:p>
    <w:p>
      <w:pPr>
        <w:pStyle w:val="BodyText"/>
        <w:spacing w:before="1"/>
        <w:ind w:left="220"/>
      </w:pPr>
      <w:r>
        <w:rPr/>
        <w:t>Two different bases are used for converting dates to and from serial date-times:</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In the </w:t>
      </w:r>
      <w:r>
        <w:rPr>
          <w:i/>
          <w:sz w:val="22"/>
        </w:rPr>
        <w:t>1900 date system</w:t>
      </w:r>
      <w:r>
        <w:rPr>
          <w:sz w:val="22"/>
        </w:rPr>
        <w:t>, the lower limit is January 1</w:t>
      </w:r>
      <w:r>
        <w:rPr>
          <w:sz w:val="22"/>
          <w:vertAlign w:val="superscript"/>
        </w:rPr>
        <w:t>st</w:t>
      </w:r>
      <w:r>
        <w:rPr>
          <w:sz w:val="22"/>
          <w:vertAlign w:val="baseline"/>
        </w:rPr>
        <w:t>, 0001 00:00:00, which has a serial</w:t>
      </w:r>
      <w:r>
        <w:rPr>
          <w:spacing w:val="-21"/>
          <w:sz w:val="22"/>
          <w:vertAlign w:val="baseline"/>
        </w:rPr>
        <w:t> </w:t>
      </w:r>
      <w:r>
        <w:rPr>
          <w:sz w:val="22"/>
          <w:vertAlign w:val="baseline"/>
        </w:rPr>
        <w:t>date-</w:t>
      </w:r>
    </w:p>
    <w:p>
      <w:pPr>
        <w:pStyle w:val="BodyText"/>
        <w:spacing w:line="276" w:lineRule="auto" w:before="39"/>
        <w:ind w:left="940" w:right="386"/>
      </w:pPr>
      <w:r>
        <w:rPr/>
        <w:t>time of -693593. The upper-limit is December 31</w:t>
      </w:r>
      <w:r>
        <w:rPr>
          <w:vertAlign w:val="superscript"/>
        </w:rPr>
        <w:t>st</w:t>
      </w:r>
      <w:r>
        <w:rPr>
          <w:vertAlign w:val="baseline"/>
        </w:rPr>
        <w:t>, 9999, 23:59:59.999, which has a serial date-time of 2,958,465.9999884. The base date for this system is 00:00:00 on December 30</w:t>
      </w:r>
      <w:r>
        <w:rPr>
          <w:vertAlign w:val="superscript"/>
        </w:rPr>
        <w:t>th</w:t>
      </w:r>
      <w:r>
        <w:rPr>
          <w:vertAlign w:val="baseline"/>
        </w:rPr>
        <w:t>, 1899, which has a serial date-time of 0.</w:t>
      </w:r>
    </w:p>
    <w:p>
      <w:pPr>
        <w:pStyle w:val="ListParagraph"/>
        <w:numPr>
          <w:ilvl w:val="4"/>
          <w:numId w:val="66"/>
        </w:numPr>
        <w:tabs>
          <w:tab w:pos="940" w:val="left" w:leader="none"/>
          <w:tab w:pos="941" w:val="left" w:leader="none"/>
        </w:tabs>
        <w:spacing w:line="276" w:lineRule="auto" w:before="0" w:after="0"/>
        <w:ind w:left="940" w:right="941" w:hanging="360"/>
        <w:jc w:val="left"/>
        <w:rPr>
          <w:sz w:val="22"/>
        </w:rPr>
      </w:pPr>
      <w:r>
        <w:rPr>
          <w:sz w:val="22"/>
        </w:rPr>
        <w:t>In the </w:t>
      </w:r>
      <w:r>
        <w:rPr>
          <w:i/>
          <w:sz w:val="22"/>
        </w:rPr>
        <w:t>1904 date system</w:t>
      </w:r>
      <w:r>
        <w:rPr>
          <w:sz w:val="22"/>
        </w:rPr>
        <w:t>, the lower limit is January 1</w:t>
      </w:r>
      <w:r>
        <w:rPr>
          <w:sz w:val="22"/>
          <w:vertAlign w:val="superscript"/>
        </w:rPr>
        <w:t>st</w:t>
      </w:r>
      <w:r>
        <w:rPr>
          <w:sz w:val="22"/>
          <w:vertAlign w:val="baseline"/>
        </w:rPr>
        <w:t>, 0001, 00:00:00, which has a serial date-time of -695055. The upper limit is December 31</w:t>
      </w:r>
      <w:r>
        <w:rPr>
          <w:sz w:val="22"/>
          <w:vertAlign w:val="superscript"/>
        </w:rPr>
        <w:t>st</w:t>
      </w:r>
      <w:r>
        <w:rPr>
          <w:sz w:val="22"/>
          <w:vertAlign w:val="baseline"/>
        </w:rPr>
        <w:t>, 9999, 23:59:59.999, which has a serial date-time</w:t>
      </w:r>
      <w:r>
        <w:rPr>
          <w:spacing w:val="-31"/>
          <w:sz w:val="22"/>
          <w:vertAlign w:val="baseline"/>
        </w:rPr>
        <w:t> </w:t>
      </w:r>
      <w:r>
        <w:rPr>
          <w:sz w:val="22"/>
          <w:vertAlign w:val="baseline"/>
        </w:rPr>
        <w:t>of</w:t>
      </w:r>
    </w:p>
    <w:p>
      <w:pPr>
        <w:spacing w:after="0" w:line="276" w:lineRule="auto"/>
        <w:jc w:val="left"/>
        <w:rPr>
          <w:sz w:val="22"/>
        </w:rPr>
        <w:sectPr>
          <w:pgSz w:w="12240" w:h="15840"/>
          <w:pgMar w:header="763" w:footer="746" w:top="1340" w:bottom="940" w:left="860" w:right="700"/>
        </w:sectPr>
      </w:pPr>
    </w:p>
    <w:p>
      <w:pPr>
        <w:pStyle w:val="BodyText"/>
        <w:spacing w:line="278" w:lineRule="auto" w:before="90"/>
        <w:ind w:left="940" w:right="701"/>
      </w:pPr>
      <w:r>
        <w:rPr/>
        <w:t>2,957,003.9999884. The base date for this system is 00:00:00 on January 1</w:t>
      </w:r>
      <w:r>
        <w:rPr>
          <w:vertAlign w:val="superscript"/>
        </w:rPr>
        <w:t>st</w:t>
      </w:r>
      <w:r>
        <w:rPr>
          <w:vertAlign w:val="baseline"/>
        </w:rPr>
        <w:t>, 1904, which has a serial date-time of 0.</w:t>
      </w:r>
    </w:p>
    <w:p>
      <w:pPr>
        <w:pStyle w:val="BodyText"/>
        <w:spacing w:before="3"/>
        <w:rPr>
          <w:sz w:val="16"/>
        </w:rPr>
      </w:pPr>
    </w:p>
    <w:p>
      <w:pPr>
        <w:pStyle w:val="BodyText"/>
        <w:ind w:left="220"/>
      </w:pPr>
      <w:r>
        <w:rPr/>
        <w:t>A serial date-time outside the temporal range for the selected date system is invalid.</w:t>
      </w:r>
    </w:p>
    <w:p>
      <w:pPr>
        <w:pStyle w:val="BodyText"/>
        <w:spacing w:line="500" w:lineRule="atLeast" w:before="9"/>
        <w:ind w:left="220" w:right="832"/>
        <w:rPr>
          <w:rFonts w:ascii="Consolas"/>
        </w:rPr>
      </w:pPr>
      <w:r>
        <w:rPr/>
        <w:t>The date system is specified by the value of the </w:t>
      </w:r>
      <w:r>
        <w:rPr>
          <w:rFonts w:ascii="Cambria"/>
        </w:rPr>
        <w:t>date1904 </w:t>
      </w:r>
      <w:r>
        <w:rPr/>
        <w:t>attribute of the </w:t>
      </w:r>
      <w:r>
        <w:rPr>
          <w:rFonts w:ascii="Cambria"/>
        </w:rPr>
        <w:t>workbookPr </w:t>
      </w:r>
      <w:r>
        <w:rPr/>
        <w:t>element. [</w:t>
      </w:r>
      <w:r>
        <w:rPr>
          <w:i/>
        </w:rPr>
        <w:t>Example</w:t>
      </w:r>
      <w:r>
        <w:rPr/>
        <w:t>: 1900 date system: </w:t>
      </w:r>
      <w:r>
        <w:rPr>
          <w:rFonts w:ascii="Consolas"/>
        </w:rPr>
        <w:t>&lt;workbookPr showObjects="all"/&gt;</w:t>
      </w:r>
    </w:p>
    <w:p>
      <w:pPr>
        <w:pStyle w:val="BodyText"/>
        <w:spacing w:before="47"/>
        <w:ind w:left="220"/>
        <w:rPr>
          <w:rFonts w:ascii="Consolas"/>
        </w:rPr>
      </w:pPr>
      <w:r>
        <w:rPr/>
        <w:t>1904 date system: </w:t>
      </w:r>
      <w:r>
        <w:rPr>
          <w:rFonts w:ascii="Consolas"/>
        </w:rPr>
        <w:t>&lt;workbookPr date1904="1" showObjects="all"/&gt;</w:t>
      </w:r>
    </w:p>
    <w:p>
      <w:pPr>
        <w:pStyle w:val="BodyText"/>
        <w:spacing w:before="6"/>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4.2 Time Conversion for Serial Dat" w:id="1346"/>
      <w:bookmarkEnd w:id="1346"/>
      <w:r>
        <w:rPr/>
      </w:r>
      <w:bookmarkStart w:name="_bookmark447" w:id="1347"/>
      <w:bookmarkEnd w:id="1347"/>
      <w:r>
        <w:rPr/>
      </w:r>
      <w:bookmarkStart w:name="_bookmark447" w:id="1348"/>
      <w:bookmarkEnd w:id="1348"/>
      <w:r>
        <w:rPr>
          <w:color w:val="4F81BC"/>
        </w:rPr>
        <w:t>Ti</w:t>
      </w:r>
      <w:r>
        <w:rPr>
          <w:color w:val="4F81BC"/>
        </w:rPr>
        <w:t>me Conversion for Serial</w:t>
      </w:r>
      <w:r>
        <w:rPr>
          <w:color w:val="4F81BC"/>
          <w:spacing w:val="-2"/>
        </w:rPr>
        <w:t> </w:t>
      </w:r>
      <w:r>
        <w:rPr>
          <w:color w:val="4F81BC"/>
        </w:rPr>
        <w:t>Date-Times</w:t>
      </w:r>
    </w:p>
    <w:p>
      <w:pPr>
        <w:pStyle w:val="BodyText"/>
        <w:spacing w:line="278" w:lineRule="auto" w:before="122"/>
        <w:ind w:left="220" w:right="782"/>
      </w:pPr>
      <w:r>
        <w:rPr/>
        <w:t>Time of day is represented by a serial date-time less than 1, but not less than 0. Values from 0–0.99999999 represent times from </w:t>
      </w:r>
      <w:r>
        <w:rPr>
          <w:i/>
        </w:rPr>
        <w:t>the </w:t>
      </w:r>
      <w:r>
        <w:rPr/>
        <w:t>starting instant 0:00:00 (12:00:00 AM) to the last instant 23:59:59 (11:59:59 P.M.).</w:t>
      </w:r>
    </w:p>
    <w:p>
      <w:pPr>
        <w:pStyle w:val="BodyText"/>
        <w:spacing w:line="278" w:lineRule="auto" w:before="193"/>
        <w:ind w:left="220" w:right="503"/>
      </w:pPr>
      <w:r>
        <w:rPr/>
        <w:t>For any serial date-time, the serial time-of-day is the serial date-time minus the serial date-time of the day in which the time-of-day occurs. The serial date-time of the day in which a serial date-time occurs is the greatest integer that does not exceed the serial date-time.</w:t>
      </w:r>
    </w:p>
    <w:p>
      <w:pPr>
        <w:spacing w:before="196"/>
        <w:ind w:left="220" w:right="0" w:firstLine="0"/>
        <w:jc w:val="left"/>
        <w:rPr>
          <w:i/>
          <w:sz w:val="22"/>
        </w:rPr>
      </w:pPr>
      <w:r>
        <w:rPr>
          <w:sz w:val="22"/>
        </w:rPr>
        <w:t>[</w:t>
      </w:r>
      <w:r>
        <w:rPr>
          <w:i/>
          <w:sz w:val="22"/>
        </w:rPr>
        <w:t>Example:</w:t>
      </w:r>
    </w:p>
    <w:p>
      <w:pPr>
        <w:pStyle w:val="BodyText"/>
        <w:spacing w:before="6"/>
        <w:rPr>
          <w:i/>
          <w:sz w:val="19"/>
        </w:rPr>
      </w:pPr>
    </w:p>
    <w:p>
      <w:pPr>
        <w:spacing w:line="276" w:lineRule="auto" w:before="0"/>
        <w:ind w:left="220" w:right="507" w:firstLine="0"/>
        <w:jc w:val="left"/>
        <w:rPr>
          <w:i/>
          <w:sz w:val="22"/>
        </w:rPr>
      </w:pPr>
      <w:r>
        <w:rPr>
          <w:i/>
          <w:sz w:val="22"/>
        </w:rPr>
        <w:t>The serial date-time 4.66666667 is in serial day 4, and the time-of-day serial date-time is 4.66666667 – 4, which </w:t>
      </w:r>
      <w:r>
        <w:rPr>
          <w:i/>
          <w:sz w:val="22"/>
        </w:rPr>
        <w:t>is 0.66666667.</w:t>
      </w:r>
    </w:p>
    <w:p>
      <w:pPr>
        <w:pStyle w:val="BodyText"/>
        <w:spacing w:before="3"/>
        <w:rPr>
          <w:i/>
          <w:sz w:val="16"/>
        </w:rPr>
      </w:pPr>
    </w:p>
    <w:p>
      <w:pPr>
        <w:spacing w:line="278" w:lineRule="auto" w:before="0"/>
        <w:ind w:left="220" w:right="679" w:firstLine="0"/>
        <w:jc w:val="left"/>
        <w:rPr>
          <w:i/>
          <w:sz w:val="22"/>
        </w:rPr>
      </w:pPr>
      <w:r>
        <w:rPr>
          <w:i/>
          <w:sz w:val="22"/>
        </w:rPr>
        <w:t>The serial date-time -2.00000001 is in serial day -3, and the time-of-day serial date-time is -2.00000001 – (-3), </w:t>
      </w:r>
      <w:r>
        <w:rPr>
          <w:i/>
          <w:sz w:val="22"/>
        </w:rPr>
        <w:t>which is 0.99999999.</w:t>
      </w:r>
    </w:p>
    <w:p>
      <w:pPr>
        <w:pStyle w:val="BodyText"/>
        <w:spacing w:before="2"/>
        <w:rPr>
          <w:i/>
          <w:sz w:val="16"/>
        </w:rPr>
      </w:pPr>
    </w:p>
    <w:p>
      <w:pPr>
        <w:spacing w:before="1"/>
        <w:ind w:left="220" w:right="0" w:firstLine="0"/>
        <w:jc w:val="left"/>
        <w:rPr>
          <w:sz w:val="22"/>
        </w:rPr>
      </w:pPr>
      <w:r>
        <w:rPr>
          <w:i/>
          <w:sz w:val="22"/>
        </w:rPr>
        <w:t>end example</w:t>
      </w:r>
      <w:r>
        <w:rPr>
          <w:sz w:val="22"/>
        </w:rPr>
        <w:t>]</w:t>
      </w:r>
    </w:p>
    <w:p>
      <w:pPr>
        <w:pStyle w:val="BodyText"/>
        <w:spacing w:before="5"/>
        <w:rPr>
          <w:sz w:val="19"/>
        </w:rPr>
      </w:pPr>
    </w:p>
    <w:p>
      <w:pPr>
        <w:pStyle w:val="BodyText"/>
        <w:spacing w:line="278" w:lineRule="auto" w:before="1"/>
        <w:ind w:left="220" w:right="594"/>
      </w:pPr>
      <w:r>
        <w:rPr/>
        <w:t>Going forward in time, the time component of a serial date-time increases by 1/86,400 each second. [</w:t>
      </w:r>
      <w:r>
        <w:rPr>
          <w:i/>
        </w:rPr>
        <w:t>Note</w:t>
      </w:r>
      <w:r>
        <w:rPr/>
        <w:t>: As such, the time 12:00 has a serial date-time time component of 0.5. </w:t>
      </w:r>
      <w:r>
        <w:rPr>
          <w:i/>
        </w:rPr>
        <w:t>end note</w:t>
      </w:r>
      <w:r>
        <w:rPr/>
        <w:t>]</w:t>
      </w:r>
    </w:p>
    <w:p>
      <w:pPr>
        <w:spacing w:before="195"/>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5380"/>
        <w:jc w:val="both"/>
        <w:rPr>
          <w:rFonts w:ascii="Consolas" w:hAnsi="Consolas"/>
        </w:rPr>
      </w:pPr>
      <w:r>
        <w:rPr/>
        <w:t>The serial date-time </w:t>
      </w:r>
      <w:r>
        <w:rPr>
          <w:rFonts w:ascii="Consolas" w:hAnsi="Consolas"/>
        </w:rPr>
        <w:t>0.0000000…</w:t>
      </w:r>
      <w:r>
        <w:rPr>
          <w:rFonts w:ascii="Consolas" w:hAnsi="Consolas"/>
          <w:spacing w:val="-93"/>
        </w:rPr>
        <w:t> </w:t>
      </w:r>
      <w:r>
        <w:rPr/>
        <w:t>represents </w:t>
      </w:r>
      <w:r>
        <w:rPr>
          <w:rFonts w:ascii="Consolas" w:hAnsi="Consolas"/>
        </w:rPr>
        <w:t>00:00:00 </w:t>
      </w:r>
      <w:r>
        <w:rPr/>
        <w:t>The serial date-time </w:t>
      </w:r>
      <w:r>
        <w:rPr>
          <w:rFonts w:ascii="Consolas" w:hAnsi="Consolas"/>
        </w:rPr>
        <w:t>0.0000115…</w:t>
      </w:r>
      <w:r>
        <w:rPr>
          <w:rFonts w:ascii="Consolas" w:hAnsi="Consolas"/>
          <w:spacing w:val="-93"/>
        </w:rPr>
        <w:t> </w:t>
      </w:r>
      <w:r>
        <w:rPr/>
        <w:t>represents </w:t>
      </w:r>
      <w:r>
        <w:rPr>
          <w:rFonts w:ascii="Consolas" w:hAnsi="Consolas"/>
        </w:rPr>
        <w:t>00:00:01 </w:t>
      </w:r>
      <w:r>
        <w:rPr/>
        <w:t>The serial date-time </w:t>
      </w:r>
      <w:r>
        <w:rPr>
          <w:rFonts w:ascii="Consolas" w:hAnsi="Consolas"/>
        </w:rPr>
        <w:t>0.4207639…</w:t>
      </w:r>
      <w:r>
        <w:rPr>
          <w:rFonts w:ascii="Consolas" w:hAnsi="Consolas"/>
          <w:spacing w:val="-93"/>
        </w:rPr>
        <w:t> </w:t>
      </w:r>
      <w:r>
        <w:rPr/>
        <w:t>represents </w:t>
      </w:r>
      <w:r>
        <w:rPr>
          <w:rFonts w:ascii="Consolas" w:hAnsi="Consolas"/>
        </w:rPr>
        <w:t>10:05:54 </w:t>
      </w:r>
      <w:r>
        <w:rPr/>
        <w:t>The serial date-time </w:t>
      </w:r>
      <w:r>
        <w:rPr>
          <w:rFonts w:ascii="Consolas" w:hAnsi="Consolas"/>
        </w:rPr>
        <w:t>0.5000000…</w:t>
      </w:r>
      <w:r>
        <w:rPr>
          <w:rFonts w:ascii="Consolas" w:hAnsi="Consolas"/>
          <w:spacing w:val="-93"/>
        </w:rPr>
        <w:t> </w:t>
      </w:r>
      <w:r>
        <w:rPr/>
        <w:t>represents </w:t>
      </w:r>
      <w:r>
        <w:rPr>
          <w:rFonts w:ascii="Consolas" w:hAnsi="Consolas"/>
        </w:rPr>
        <w:t>12:00:00 </w:t>
      </w:r>
      <w:r>
        <w:rPr/>
        <w:t>The serial date-time </w:t>
      </w:r>
      <w:r>
        <w:rPr>
          <w:rFonts w:ascii="Consolas" w:hAnsi="Consolas"/>
        </w:rPr>
        <w:t>0.9999884…</w:t>
      </w:r>
      <w:r>
        <w:rPr>
          <w:rFonts w:ascii="Consolas" w:hAnsi="Consolas"/>
          <w:spacing w:val="-93"/>
        </w:rPr>
        <w:t> </w:t>
      </w:r>
      <w:r>
        <w:rPr/>
        <w:t>represents </w:t>
      </w:r>
      <w:r>
        <w:rPr>
          <w:rFonts w:ascii="Consolas" w:hAnsi="Consolas"/>
        </w:rPr>
        <w:t>23:59:59</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4.3 Combined Date and Time Convers" w:id="1349"/>
      <w:bookmarkEnd w:id="1349"/>
      <w:r>
        <w:rPr/>
      </w:r>
      <w:bookmarkStart w:name="_bookmark448" w:id="1350"/>
      <w:bookmarkEnd w:id="1350"/>
      <w:r>
        <w:rPr/>
      </w:r>
      <w:bookmarkStart w:name="_bookmark448" w:id="1351"/>
      <w:bookmarkEnd w:id="1351"/>
      <w:r>
        <w:rPr>
          <w:color w:val="4F81BC"/>
        </w:rPr>
        <w:t>C</w:t>
      </w:r>
      <w:r>
        <w:rPr>
          <w:color w:val="4F81BC"/>
        </w:rPr>
        <w:t>ombined Date and Time Conversion for Serial</w:t>
      </w:r>
      <w:r>
        <w:rPr>
          <w:color w:val="4F81BC"/>
          <w:spacing w:val="-5"/>
        </w:rPr>
        <w:t> </w:t>
      </w:r>
      <w:r>
        <w:rPr>
          <w:color w:val="4F81BC"/>
        </w:rPr>
        <w:t>Date-Times</w:t>
      </w:r>
    </w:p>
    <w:p>
      <w:pPr>
        <w:pStyle w:val="BodyText"/>
        <w:spacing w:line="278" w:lineRule="auto" w:before="119"/>
        <w:ind w:left="220" w:right="499"/>
      </w:pPr>
      <w:r>
        <w:rPr/>
        <w:t>The serial date-time corresponding to a date component can be added to any serial date-time for a time-of-day component to determine the serial date-time for the combined date-time.</w:t>
      </w:r>
    </w:p>
    <w:p>
      <w:pPr>
        <w:spacing w:after="0" w:line="278" w:lineRule="auto"/>
        <w:sectPr>
          <w:pgSz w:w="12240" w:h="15840"/>
          <w:pgMar w:header="761" w:footer="746" w:top="1340" w:bottom="940" w:left="860" w:right="700"/>
        </w:sectPr>
      </w:pPr>
    </w:p>
    <w:p>
      <w:pPr>
        <w:pStyle w:val="BodyText"/>
        <w:spacing w:line="453" w:lineRule="auto" w:before="150"/>
        <w:ind w:left="220" w:right="937"/>
      </w:pPr>
      <w:r>
        <w:rPr/>
        <w:t>[</w:t>
      </w:r>
      <w:r>
        <w:rPr>
          <w:i/>
        </w:rPr>
        <w:t>Note</w:t>
      </w:r>
      <w:r>
        <w:rPr/>
        <w:t>: In the 1900 date system, the serial date-time -1.25 represents December 28, 1899, 18:00. </w:t>
      </w:r>
      <w:r>
        <w:rPr>
          <w:i/>
        </w:rPr>
        <w:t>end note</w:t>
      </w:r>
      <w:r>
        <w:rPr/>
        <w:t>] [</w:t>
      </w:r>
      <w:r>
        <w:rPr>
          <w:i/>
        </w:rPr>
        <w:t>Example</w:t>
      </w:r>
      <w:r>
        <w:rPr/>
        <w:t>: For the 1900 date system:</w:t>
      </w:r>
    </w:p>
    <w:p>
      <w:pPr>
        <w:pStyle w:val="BodyText"/>
        <w:spacing w:line="276" w:lineRule="auto" w:before="109"/>
        <w:ind w:left="220" w:right="3976"/>
      </w:pPr>
      <w:r>
        <w:rPr/>
        <w:t>The serial date-time -2337.999989… represents 1893-08-05T00:00:01 The serial date-time </w:t>
      </w:r>
      <w:r>
        <w:rPr>
          <w:rFonts w:ascii="Consolas" w:hAnsi="Consolas"/>
        </w:rPr>
        <w:t>3687.4207639… </w:t>
      </w:r>
      <w:r>
        <w:rPr/>
        <w:t>represents 1910-02-03T10:05:54 The serial date-time </w:t>
      </w:r>
      <w:r>
        <w:rPr>
          <w:rFonts w:ascii="Consolas" w:hAnsi="Consolas"/>
        </w:rPr>
        <w:t>2.5000000… </w:t>
      </w:r>
      <w:r>
        <w:rPr/>
        <w:t>represents 1900-01-01T12:00:00</w:t>
      </w:r>
    </w:p>
    <w:p>
      <w:pPr>
        <w:pStyle w:val="BodyText"/>
        <w:spacing w:line="453" w:lineRule="auto" w:before="2"/>
        <w:ind w:left="220" w:right="3580"/>
      </w:pPr>
      <w:r>
        <w:rPr/>
        <w:t>The serial date-time </w:t>
      </w:r>
      <w:r>
        <w:rPr>
          <w:rFonts w:ascii="Consolas" w:hAnsi="Consolas"/>
        </w:rPr>
        <w:t>2958465.9999884…</w:t>
      </w:r>
      <w:r>
        <w:rPr>
          <w:rFonts w:ascii="Consolas" w:hAnsi="Consolas"/>
          <w:spacing w:val="-102"/>
        </w:rPr>
        <w:t> </w:t>
      </w:r>
      <w:r>
        <w:rPr/>
        <w:t>represents 9999-12-31T23:59:59 For the 1904 date system:</w:t>
      </w:r>
    </w:p>
    <w:p>
      <w:pPr>
        <w:pStyle w:val="BodyText"/>
        <w:spacing w:line="276" w:lineRule="auto" w:before="110"/>
        <w:ind w:left="220" w:right="3976"/>
      </w:pPr>
      <w:r>
        <w:rPr/>
        <w:t>The serial date-time -3799.999989… represents 1893-08-05T00:00:01 The serial date-time </w:t>
      </w:r>
      <w:r>
        <w:rPr>
          <w:rFonts w:ascii="Consolas" w:hAnsi="Consolas"/>
        </w:rPr>
        <w:t>2225.4207639… </w:t>
      </w:r>
      <w:r>
        <w:rPr/>
        <w:t>represents 1910-02-03T10:05:54 The serial date-time </w:t>
      </w:r>
      <w:r>
        <w:rPr>
          <w:rFonts w:ascii="Consolas" w:hAnsi="Consolas"/>
        </w:rPr>
        <w:t>0.5000000…</w:t>
      </w:r>
      <w:r>
        <w:rPr>
          <w:rFonts w:ascii="Consolas" w:hAnsi="Consolas"/>
          <w:spacing w:val="-84"/>
        </w:rPr>
        <w:t> </w:t>
      </w:r>
      <w:r>
        <w:rPr/>
        <w:t>represents 1904-01-01T12:00:00</w:t>
      </w:r>
    </w:p>
    <w:p>
      <w:pPr>
        <w:pStyle w:val="BodyText"/>
        <w:spacing w:before="1"/>
        <w:ind w:left="220"/>
      </w:pPr>
      <w:r>
        <w:rPr/>
        <w:t>The serial date-time </w:t>
      </w:r>
      <w:r>
        <w:rPr>
          <w:rFonts w:ascii="Consolas" w:hAnsi="Consolas"/>
        </w:rPr>
        <w:t>2957003.9999884…</w:t>
      </w:r>
      <w:r>
        <w:rPr>
          <w:rFonts w:ascii="Consolas" w:hAnsi="Consolas"/>
          <w:spacing w:val="-79"/>
        </w:rPr>
        <w:t> </w:t>
      </w:r>
      <w:r>
        <w:rPr/>
        <w:t>represents 9999-12-31T23:59:59</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2"/>
        <w:numPr>
          <w:ilvl w:val="2"/>
          <w:numId w:val="66"/>
        </w:numPr>
        <w:tabs>
          <w:tab w:pos="1444" w:val="left" w:leader="none"/>
          <w:tab w:pos="1445" w:val="left" w:leader="none"/>
        </w:tabs>
        <w:spacing w:line="240" w:lineRule="auto" w:before="0" w:after="0"/>
        <w:ind w:left="1444" w:right="0" w:hanging="1225"/>
        <w:jc w:val="left"/>
      </w:pPr>
      <w:bookmarkStart w:name="18.17.5 Limits and Precision" w:id="1352"/>
      <w:bookmarkEnd w:id="1352"/>
      <w:r>
        <w:rPr>
          <w:b w:val="0"/>
        </w:rPr>
      </w:r>
      <w:bookmarkStart w:name="_bookmark449" w:id="1353"/>
      <w:bookmarkEnd w:id="1353"/>
      <w:r>
        <w:rPr>
          <w:b w:val="0"/>
        </w:rPr>
      </w:r>
      <w:bookmarkStart w:name="_bookmark449" w:id="1354"/>
      <w:bookmarkEnd w:id="1354"/>
      <w:r>
        <w:rPr>
          <w:color w:val="4F81BC"/>
        </w:rPr>
        <w:t>L</w:t>
      </w:r>
      <w:r>
        <w:rPr>
          <w:color w:val="4F81BC"/>
        </w:rPr>
        <w:t>imits and</w:t>
      </w:r>
      <w:r>
        <w:rPr>
          <w:color w:val="4F81BC"/>
          <w:spacing w:val="-1"/>
        </w:rPr>
        <w:t> </w:t>
      </w:r>
      <w:r>
        <w:rPr>
          <w:color w:val="4F81BC"/>
        </w:rPr>
        <w:t>Precision</w:t>
      </w:r>
    </w:p>
    <w:p>
      <w:pPr>
        <w:pStyle w:val="Heading3"/>
        <w:numPr>
          <w:ilvl w:val="3"/>
          <w:numId w:val="66"/>
        </w:numPr>
        <w:tabs>
          <w:tab w:pos="1732" w:val="left" w:leader="none"/>
          <w:tab w:pos="1733" w:val="left" w:leader="none"/>
        </w:tabs>
        <w:spacing w:line="240" w:lineRule="auto" w:before="206" w:after="0"/>
        <w:ind w:left="1732" w:right="0" w:hanging="1513"/>
        <w:jc w:val="left"/>
      </w:pPr>
      <w:bookmarkStart w:name="18.17.5.1 Limits" w:id="1355"/>
      <w:bookmarkEnd w:id="1355"/>
      <w:r>
        <w:rPr/>
      </w:r>
      <w:bookmarkStart w:name="_bookmark450" w:id="1356"/>
      <w:bookmarkEnd w:id="1356"/>
      <w:r>
        <w:rPr/>
      </w:r>
      <w:bookmarkStart w:name="_bookmark450" w:id="1357"/>
      <w:bookmarkEnd w:id="1357"/>
      <w:r>
        <w:rPr>
          <w:color w:val="4F81BC"/>
        </w:rPr>
        <w:t>Limits</w:t>
      </w:r>
    </w:p>
    <w:p>
      <w:pPr>
        <w:pStyle w:val="BodyText"/>
        <w:spacing w:line="278" w:lineRule="auto" w:before="119"/>
        <w:ind w:left="220" w:right="420"/>
      </w:pPr>
      <w:r>
        <w:rPr/>
        <w:t>In SpreadsheetML, cell references range from column A1–A1048576 (column A:A) to column XFD1–XFD1048576 (column XFD:XFD).</w:t>
      </w:r>
    </w:p>
    <w:p>
      <w:pPr>
        <w:pStyle w:val="BodyText"/>
        <w:spacing w:line="276" w:lineRule="auto" w:before="195"/>
        <w:ind w:left="220" w:right="514"/>
      </w:pPr>
      <w:r>
        <w:rPr/>
        <w:t>An implementation can extend this range. However, to avoid ambiguities, it is necessary to ensure that defined names are distinct from cell references, or that one takes precedence over the other. With this in mind, the following rules apply:</w:t>
      </w:r>
    </w:p>
    <w:p>
      <w:pPr>
        <w:pStyle w:val="BodyText"/>
        <w:spacing w:before="5"/>
        <w:rPr>
          <w:sz w:val="16"/>
        </w:rPr>
      </w:pPr>
    </w:p>
    <w:p>
      <w:pPr>
        <w:pStyle w:val="ListParagraph"/>
        <w:numPr>
          <w:ilvl w:val="4"/>
          <w:numId w:val="66"/>
        </w:numPr>
        <w:tabs>
          <w:tab w:pos="1300" w:val="left" w:leader="none"/>
          <w:tab w:pos="1301" w:val="left" w:leader="none"/>
        </w:tabs>
        <w:spacing w:line="276" w:lineRule="auto" w:before="0" w:after="0"/>
        <w:ind w:left="1300" w:right="710" w:hanging="360"/>
        <w:jc w:val="left"/>
        <w:rPr>
          <w:sz w:val="22"/>
        </w:rPr>
      </w:pPr>
      <w:r>
        <w:rPr>
          <w:sz w:val="22"/>
        </w:rPr>
        <w:t>A producer or consumer shall consider a defined name of the form used by cells in the range A1– XFD1048576 to be an</w:t>
      </w:r>
      <w:r>
        <w:rPr>
          <w:spacing w:val="-2"/>
          <w:sz w:val="22"/>
        </w:rPr>
        <w:t> </w:t>
      </w:r>
      <w:r>
        <w:rPr>
          <w:sz w:val="22"/>
        </w:rPr>
        <w:t>error.</w:t>
      </w:r>
    </w:p>
    <w:p>
      <w:pPr>
        <w:pStyle w:val="ListParagraph"/>
        <w:numPr>
          <w:ilvl w:val="4"/>
          <w:numId w:val="66"/>
        </w:numPr>
        <w:tabs>
          <w:tab w:pos="1300" w:val="left" w:leader="none"/>
          <w:tab w:pos="1301" w:val="left" w:leader="none"/>
        </w:tabs>
        <w:spacing w:line="278" w:lineRule="auto" w:before="0" w:after="0"/>
        <w:ind w:left="1300" w:right="787" w:hanging="360"/>
        <w:jc w:val="left"/>
        <w:rPr>
          <w:sz w:val="22"/>
        </w:rPr>
      </w:pPr>
      <w:r>
        <w:rPr>
          <w:sz w:val="22"/>
        </w:rPr>
        <w:t>All other names outside this range can be defined names and shall override a cell reference if an ambiguity</w:t>
      </w:r>
      <w:r>
        <w:rPr>
          <w:spacing w:val="-3"/>
          <w:sz w:val="22"/>
        </w:rPr>
        <w:t> </w:t>
      </w:r>
      <w:r>
        <w:rPr>
          <w:sz w:val="22"/>
        </w:rPr>
        <w:t>exists.</w:t>
      </w:r>
    </w:p>
    <w:p>
      <w:pPr>
        <w:pStyle w:val="BodyText"/>
        <w:spacing w:line="278" w:lineRule="auto" w:before="194"/>
        <w:ind w:left="220" w:right="829"/>
      </w:pPr>
      <w:r>
        <w:rPr/>
        <w:t>[</w:t>
      </w:r>
      <w:r>
        <w:rPr>
          <w:i/>
        </w:rPr>
        <w:t>Example</w:t>
      </w:r>
      <w:r>
        <w:rPr/>
        <w:t>: </w:t>
      </w:r>
      <w:r>
        <w:rPr>
          <w:rFonts w:ascii="Consolas" w:hAnsi="Consolas"/>
        </w:rPr>
        <w:t>LOG10</w:t>
      </w:r>
      <w:r>
        <w:rPr>
          <w:rFonts w:ascii="Consolas" w:hAnsi="Consolas"/>
          <w:spacing w:val="-70"/>
        </w:rPr>
        <w:t> </w:t>
      </w:r>
      <w:r>
        <w:rPr/>
        <w:t>is always a cell reference, </w:t>
      </w:r>
      <w:r>
        <w:rPr>
          <w:rFonts w:ascii="Consolas" w:hAnsi="Consolas"/>
        </w:rPr>
        <w:t>LOG10(…)</w:t>
      </w:r>
      <w:r>
        <w:rPr>
          <w:rFonts w:ascii="Consolas" w:hAnsi="Consolas"/>
          <w:spacing w:val="-73"/>
        </w:rPr>
        <w:t> </w:t>
      </w:r>
      <w:r>
        <w:rPr/>
        <w:t>is always a formula, and </w:t>
      </w:r>
      <w:r>
        <w:rPr>
          <w:rFonts w:ascii="Consolas" w:hAnsi="Consolas"/>
        </w:rPr>
        <w:t>LOGO1000</w:t>
      </w:r>
      <w:r>
        <w:rPr>
          <w:rFonts w:ascii="Consolas" w:hAnsi="Consolas"/>
          <w:spacing w:val="-74"/>
        </w:rPr>
        <w:t> </w:t>
      </w:r>
      <w:r>
        <w:rPr/>
        <w:t>can be a defined name that overrides a cell reference. </w:t>
      </w:r>
      <w:r>
        <w:rPr>
          <w:i/>
        </w:rPr>
        <w:t>end example</w:t>
      </w:r>
      <w:r>
        <w:rPr/>
        <w:t>]</w:t>
      </w:r>
    </w:p>
    <w:p>
      <w:pPr>
        <w:pStyle w:val="BodyText"/>
        <w:spacing w:before="3"/>
        <w:rPr>
          <w:sz w:val="16"/>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5.2 Precision" w:id="1358"/>
      <w:bookmarkEnd w:id="1358"/>
      <w:r>
        <w:rPr/>
      </w:r>
      <w:bookmarkStart w:name="_bookmark451" w:id="1359"/>
      <w:bookmarkEnd w:id="1359"/>
      <w:r>
        <w:rPr/>
      </w:r>
      <w:bookmarkStart w:name="_bookmark451" w:id="1360"/>
      <w:bookmarkEnd w:id="1360"/>
      <w:r>
        <w:rPr>
          <w:color w:val="4F81BC"/>
        </w:rPr>
        <w:t>Precision</w:t>
      </w:r>
    </w:p>
    <w:p>
      <w:pPr>
        <w:pStyle w:val="BodyText"/>
        <w:spacing w:line="276" w:lineRule="auto" w:before="120"/>
        <w:ind w:left="220" w:right="898"/>
      </w:pPr>
      <w:r>
        <w:rPr/>
        <w:t>In order to clarify the semantics of cell formulas and values in SpreadsheetML, it is necessary to specify the precision of the numbers being represented in the file format. These numbers are therefore regarded as ranging over a specific value space, which defaults to the following:</w:t>
      </w:r>
    </w:p>
    <w:p>
      <w:pPr>
        <w:pStyle w:val="BodyText"/>
        <w:spacing w:before="3"/>
        <w:rPr>
          <w:sz w:val="16"/>
        </w:rPr>
      </w:pPr>
    </w:p>
    <w:p>
      <w:pPr>
        <w:pStyle w:val="BodyText"/>
        <w:ind w:left="220" w:right="398"/>
        <w:rPr>
          <w:i/>
        </w:rPr>
      </w:pPr>
      <w:r>
        <w:rPr/>
        <w:t>The </w:t>
      </w:r>
      <w:r>
        <w:rPr>
          <w:i/>
        </w:rPr>
        <w:t>value space </w:t>
      </w:r>
      <w:r>
        <w:rPr/>
        <w:t>consists of the values (-1)^s × m × 2^n, where s is 0 or 1, m is an integer greater than or equal to 0 and less than 2^53, and n is an integer between -1074 and 971, inclusive. m is herein referred to as the </w:t>
      </w:r>
      <w:r>
        <w:rPr>
          <w:i/>
        </w:rPr>
        <w:t>binary</w:t>
      </w:r>
    </w:p>
    <w:p>
      <w:pPr>
        <w:spacing w:after="0"/>
        <w:sectPr>
          <w:pgSz w:w="12240" w:h="15840"/>
          <w:pgMar w:header="763" w:footer="746" w:top="1340" w:bottom="940" w:left="860" w:right="700"/>
        </w:sectPr>
      </w:pPr>
    </w:p>
    <w:p>
      <w:pPr>
        <w:pStyle w:val="BodyText"/>
        <w:spacing w:before="90"/>
        <w:ind w:left="220" w:right="537"/>
      </w:pPr>
      <w:r>
        <w:rPr>
          <w:i/>
        </w:rPr>
        <w:t>mantissa</w:t>
      </w:r>
      <w:r>
        <w:rPr/>
        <w:t>, and n is herein referred to as the </w:t>
      </w:r>
      <w:r>
        <w:rPr>
          <w:i/>
        </w:rPr>
        <w:t>binary exponent</w:t>
      </w:r>
      <w:r>
        <w:rPr/>
        <w:t>. [</w:t>
      </w:r>
      <w:r>
        <w:rPr>
          <w:i/>
        </w:rPr>
        <w:t>Note</w:t>
      </w:r>
      <w:r>
        <w:rPr/>
        <w:t>: The default precision is patterned after the IEC double-precision 64-bit floating-point type [IEC 60559]. </w:t>
      </w:r>
      <w:r>
        <w:rPr>
          <w:i/>
        </w:rPr>
        <w:t>end note</w:t>
      </w:r>
      <w:r>
        <w:rPr/>
        <w:t>]</w:t>
      </w:r>
    </w:p>
    <w:p>
      <w:pPr>
        <w:pStyle w:val="BodyText"/>
        <w:spacing w:before="1"/>
      </w:pPr>
    </w:p>
    <w:p>
      <w:pPr>
        <w:pStyle w:val="BodyText"/>
        <w:spacing w:line="276" w:lineRule="auto"/>
        <w:ind w:left="220" w:right="652"/>
      </w:pPr>
      <w:r>
        <w:rPr/>
        <w:t>Implementing applications can use the characteristics markup (§22.7) to specify other value spaces to replace the default in a given workbook. When present in the workbook, the value space defined using the characteristics markup overrides the default value space.</w:t>
      </w:r>
    </w:p>
    <w:p>
      <w:pPr>
        <w:pStyle w:val="BodyText"/>
        <w:spacing w:before="4"/>
        <w:rPr>
          <w:sz w:val="16"/>
        </w:rPr>
      </w:pPr>
    </w:p>
    <w:p>
      <w:pPr>
        <w:pStyle w:val="BodyText"/>
        <w:ind w:left="220"/>
      </w:pPr>
      <w:r>
        <w:rPr/>
        <w:t>Regardless of the specific value space in use, values shall have a lexical representation as described</w:t>
      </w:r>
    </w:p>
    <w:p>
      <w:pPr>
        <w:pStyle w:val="BodyText"/>
        <w:spacing w:line="276" w:lineRule="auto" w:before="41"/>
        <w:ind w:left="220" w:right="376"/>
      </w:pPr>
      <w:r>
        <w:rPr/>
        <w:t>in </w:t>
      </w:r>
      <w:hyperlink w:history="true" w:anchor="_bookmark452">
        <w:r>
          <w:rPr/>
          <w:t>§18.17.5.3</w:t>
        </w:r>
      </w:hyperlink>
      <w:r>
        <w:rPr/>
        <w:t>. Any numerical expression conforming to this lexical description is permitted. However, numbers of higher precision than available in the value space, and numbers that lie outside the range representable in the value space shall be handled as prescribed in</w:t>
      </w:r>
      <w:r>
        <w:rPr>
          <w:spacing w:val="-3"/>
        </w:rPr>
        <w:t> </w:t>
      </w:r>
      <w:r>
        <w:rPr/>
        <w:t>§</w:t>
      </w:r>
      <w:hyperlink w:history="true" w:anchor="_bookmark453">
        <w:r>
          <w:rPr/>
          <w:t>18.17.5.4.</w:t>
        </w:r>
      </w:hyperlink>
    </w:p>
    <w:p>
      <w:pPr>
        <w:pStyle w:val="BodyText"/>
        <w:spacing w:before="7"/>
        <w:rPr>
          <w:sz w:val="16"/>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5.3 Lexical Representation" w:id="1361"/>
      <w:bookmarkEnd w:id="1361"/>
      <w:r>
        <w:rPr/>
      </w:r>
      <w:bookmarkStart w:name="_bookmark452" w:id="1362"/>
      <w:bookmarkEnd w:id="1362"/>
      <w:r>
        <w:rPr/>
      </w:r>
      <w:bookmarkStart w:name="_bookmark452" w:id="1363"/>
      <w:bookmarkEnd w:id="1363"/>
      <w:r>
        <w:rPr>
          <w:color w:val="4F81BC"/>
        </w:rPr>
        <w:t>Lexical</w:t>
      </w:r>
      <w:r>
        <w:rPr>
          <w:color w:val="4F81BC"/>
          <w:spacing w:val="-2"/>
        </w:rPr>
        <w:t> </w:t>
      </w:r>
      <w:r>
        <w:rPr>
          <w:color w:val="4F81BC"/>
        </w:rPr>
        <w:t>Representation</w:t>
      </w:r>
    </w:p>
    <w:p>
      <w:pPr>
        <w:pStyle w:val="BodyText"/>
        <w:spacing w:line="276" w:lineRule="auto" w:before="119"/>
        <w:ind w:left="220" w:right="524"/>
      </w:pPr>
      <w:r>
        <w:rPr/>
        <w:t>The value space shall have a lexical representation consisting of a base 10 mantissa followed, optionally, by the character "E" or "e", followed by a base 10 exponent. The exponent shall be an integer. The mantissa shall be a decimal number. The representations for exponent and mantissa shall follow the lexical rules for integer and decimal below. If the "E" or "e" and the following exponent are omitted, an exponent value of 0 is assumed.</w:t>
      </w:r>
    </w:p>
    <w:p>
      <w:pPr>
        <w:pStyle w:val="BodyText"/>
        <w:spacing w:before="7"/>
        <w:rPr>
          <w:sz w:val="16"/>
        </w:rPr>
      </w:pPr>
    </w:p>
    <w:p>
      <w:pPr>
        <w:pStyle w:val="BodyText"/>
        <w:ind w:left="220"/>
      </w:pPr>
      <w:r>
        <w:rPr/>
        <w:t>Lexical representations for zero can take a positive or negative sign.</w:t>
      </w:r>
    </w:p>
    <w:p>
      <w:pPr>
        <w:pStyle w:val="BodyText"/>
        <w:spacing w:before="6"/>
        <w:rPr>
          <w:sz w:val="19"/>
        </w:rPr>
      </w:pPr>
    </w:p>
    <w:p>
      <w:pPr>
        <w:pStyle w:val="BodyText"/>
        <w:spacing w:line="278" w:lineRule="auto"/>
        <w:ind w:left="220" w:right="447"/>
      </w:pPr>
      <w:r>
        <w:rPr/>
        <w:t>[</w:t>
      </w:r>
      <w:r>
        <w:rPr>
          <w:i/>
        </w:rPr>
        <w:t>Example</w:t>
      </w:r>
      <w:r>
        <w:rPr/>
        <w:t>: -1E4, 1267.43233E12, 12.78e-2, 12 , -0, and 0 are all literals for numbers in the default value space. 4503599627370497.5 is also a literal, although it represents the same value as 4503599627370497 (2^52 + 1) in the default value space (as explained in §</w:t>
      </w:r>
      <w:hyperlink w:history="true" w:anchor="_bookmark453">
        <w:r>
          <w:rPr/>
          <w:t>18.17.5.4</w:t>
        </w:r>
      </w:hyperlink>
      <w:r>
        <w:rPr/>
        <w:t>). </w:t>
      </w:r>
      <w:r>
        <w:rPr>
          <w:i/>
        </w:rPr>
        <w:t>end example</w:t>
      </w:r>
      <w:r>
        <w:rPr/>
        <w:t>]</w:t>
      </w:r>
    </w:p>
    <w:p>
      <w:pPr>
        <w:pStyle w:val="BodyText"/>
        <w:spacing w:line="276" w:lineRule="auto" w:before="194"/>
        <w:ind w:left="220" w:right="527"/>
        <w:jc w:val="both"/>
      </w:pPr>
      <w:r>
        <w:rPr/>
        <w:t>An </w:t>
      </w:r>
      <w:r>
        <w:rPr>
          <w:i/>
        </w:rPr>
        <w:t>Integer </w:t>
      </w:r>
      <w:r>
        <w:rPr/>
        <w:t>has a lexical representation consisting of a finite-length sequence of decimal digits (#x30–#x39) with an optional leading sign. If the sign is omitted, "+" is assumed. [</w:t>
      </w:r>
      <w:r>
        <w:rPr>
          <w:i/>
        </w:rPr>
        <w:t>Example</w:t>
      </w:r>
      <w:r>
        <w:rPr/>
        <w:t>: -1, 0, 12678967543233, +100000. </w:t>
      </w:r>
      <w:r>
        <w:rPr>
          <w:i/>
        </w:rPr>
        <w:t>end </w:t>
      </w:r>
      <w:r>
        <w:rPr>
          <w:i/>
        </w:rPr>
        <w:t>example</w:t>
      </w:r>
      <w:r>
        <w:rPr/>
        <w:t>]</w:t>
      </w:r>
    </w:p>
    <w:p>
      <w:pPr>
        <w:pStyle w:val="BodyText"/>
        <w:spacing w:before="4"/>
        <w:rPr>
          <w:sz w:val="16"/>
        </w:rPr>
      </w:pPr>
    </w:p>
    <w:p>
      <w:pPr>
        <w:pStyle w:val="BodyText"/>
        <w:spacing w:line="276" w:lineRule="auto"/>
        <w:ind w:left="220" w:right="441"/>
      </w:pPr>
      <w:r>
        <w:rPr/>
        <w:t>A </w:t>
      </w:r>
      <w:r>
        <w:rPr>
          <w:i/>
        </w:rPr>
        <w:t>Decimal Number </w:t>
      </w:r>
      <w:r>
        <w:rPr/>
        <w:t>has a lexical representation consisting of a finite-length sequence of decimal digits (#x30– #x39) separated by a period as a decimal indicator. An optional leading sign is allowed. If the sign is omitted, "+" is assumed. Leading and trailing zeroes are optional. If the fractional part is zero, the period and following zero(s) can be omitted. [</w:t>
      </w:r>
      <w:r>
        <w:rPr>
          <w:i/>
        </w:rPr>
        <w:t>Example</w:t>
      </w:r>
      <w:r>
        <w:rPr/>
        <w:t>: -1.23, 12678967.543233, +100000.00, 210. </w:t>
      </w:r>
      <w:r>
        <w:rPr>
          <w:i/>
        </w:rPr>
        <w:t>end example</w:t>
      </w:r>
      <w:r>
        <w:rPr/>
        <w:t>]</w:t>
      </w:r>
    </w:p>
    <w:p>
      <w:pPr>
        <w:pStyle w:val="BodyText"/>
        <w:spacing w:before="7"/>
        <w:rPr>
          <w:sz w:val="16"/>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5.4 Interpretation" w:id="1364"/>
      <w:bookmarkEnd w:id="1364"/>
      <w:r>
        <w:rPr/>
      </w:r>
      <w:bookmarkStart w:name="_bookmark453" w:id="1365"/>
      <w:bookmarkEnd w:id="1365"/>
      <w:r>
        <w:rPr/>
      </w:r>
      <w:bookmarkStart w:name="_bookmark453" w:id="1366"/>
      <w:bookmarkEnd w:id="1366"/>
      <w:r>
        <w:rPr>
          <w:color w:val="4F81BC"/>
        </w:rPr>
        <w:t>I</w:t>
      </w:r>
      <w:r>
        <w:rPr>
          <w:color w:val="4F81BC"/>
        </w:rPr>
        <w:t>nterpretation</w:t>
      </w:r>
    </w:p>
    <w:p>
      <w:pPr>
        <w:pStyle w:val="BodyText"/>
        <w:spacing w:line="278" w:lineRule="auto" w:before="119"/>
        <w:ind w:left="220" w:right="656"/>
      </w:pPr>
      <w:r>
        <w:rPr/>
        <w:t>Strings that are permitted according to the lexical definition in §</w:t>
      </w:r>
      <w:hyperlink w:history="true" w:anchor="_bookmark452">
        <w:r>
          <w:rPr/>
          <w:t>18.17.5.3 </w:t>
        </w:r>
      </w:hyperlink>
      <w:r>
        <w:rPr/>
        <w:t>shall be interpreted as values in the value space as follows:</w:t>
      </w:r>
    </w:p>
    <w:p>
      <w:pPr>
        <w:pStyle w:val="ListParagraph"/>
        <w:numPr>
          <w:ilvl w:val="0"/>
          <w:numId w:val="67"/>
        </w:numPr>
        <w:tabs>
          <w:tab w:pos="941" w:val="left" w:leader="none"/>
        </w:tabs>
        <w:spacing w:line="240" w:lineRule="auto" w:before="196" w:after="0"/>
        <w:ind w:left="940" w:right="0" w:hanging="361"/>
        <w:jc w:val="left"/>
        <w:rPr>
          <w:sz w:val="22"/>
        </w:rPr>
      </w:pPr>
      <w:r>
        <w:rPr>
          <w:sz w:val="22"/>
        </w:rPr>
        <w:t>The mantissa shall be interpreted as a real number expressed in base</w:t>
      </w:r>
      <w:r>
        <w:rPr>
          <w:spacing w:val="-13"/>
          <w:sz w:val="22"/>
        </w:rPr>
        <w:t> </w:t>
      </w:r>
      <w:r>
        <w:rPr>
          <w:sz w:val="22"/>
        </w:rPr>
        <w:t>10</w:t>
      </w:r>
    </w:p>
    <w:p>
      <w:pPr>
        <w:pStyle w:val="ListParagraph"/>
        <w:numPr>
          <w:ilvl w:val="0"/>
          <w:numId w:val="67"/>
        </w:numPr>
        <w:tabs>
          <w:tab w:pos="941" w:val="left" w:leader="none"/>
        </w:tabs>
        <w:spacing w:line="240" w:lineRule="auto" w:before="41" w:after="0"/>
        <w:ind w:left="940" w:right="0" w:hanging="361"/>
        <w:jc w:val="left"/>
        <w:rPr>
          <w:sz w:val="22"/>
        </w:rPr>
      </w:pPr>
      <w:r>
        <w:rPr>
          <w:sz w:val="22"/>
        </w:rPr>
        <w:t>The exponent shall be interpreted as an integer expressed in base</w:t>
      </w:r>
      <w:r>
        <w:rPr>
          <w:spacing w:val="-9"/>
          <w:sz w:val="22"/>
        </w:rPr>
        <w:t> </w:t>
      </w:r>
      <w:r>
        <w:rPr>
          <w:sz w:val="22"/>
        </w:rPr>
        <w:t>10</w:t>
      </w:r>
    </w:p>
    <w:p>
      <w:pPr>
        <w:pStyle w:val="ListParagraph"/>
        <w:numPr>
          <w:ilvl w:val="0"/>
          <w:numId w:val="67"/>
        </w:numPr>
        <w:tabs>
          <w:tab w:pos="941" w:val="left" w:leader="none"/>
        </w:tabs>
        <w:spacing w:line="276" w:lineRule="auto" w:before="39" w:after="0"/>
        <w:ind w:left="940" w:right="4017" w:hanging="360"/>
        <w:jc w:val="left"/>
        <w:rPr>
          <w:sz w:val="22"/>
        </w:rPr>
      </w:pPr>
      <w:r>
        <w:rPr>
          <w:sz w:val="22"/>
        </w:rPr>
        <w:t>The raw value for a numerical expression shall be interpreted as mantissa x</w:t>
      </w:r>
      <w:r>
        <w:rPr>
          <w:spacing w:val="-5"/>
          <w:sz w:val="22"/>
        </w:rPr>
        <w:t> </w:t>
      </w:r>
      <w:r>
        <w:rPr>
          <w:sz w:val="22"/>
        </w:rPr>
        <w:t>10</w:t>
      </w:r>
      <w:r>
        <w:rPr>
          <w:sz w:val="22"/>
          <w:vertAlign w:val="superscript"/>
        </w:rPr>
        <w:t>exponent</w:t>
      </w:r>
    </w:p>
    <w:p>
      <w:pPr>
        <w:pStyle w:val="ListParagraph"/>
        <w:numPr>
          <w:ilvl w:val="0"/>
          <w:numId w:val="67"/>
        </w:numPr>
        <w:tabs>
          <w:tab w:pos="941" w:val="left" w:leader="none"/>
        </w:tabs>
        <w:spacing w:line="273" w:lineRule="auto" w:before="1" w:after="0"/>
        <w:ind w:left="940" w:right="542" w:hanging="360"/>
        <w:jc w:val="left"/>
        <w:rPr>
          <w:sz w:val="22"/>
        </w:rPr>
      </w:pPr>
      <w:r>
        <w:rPr>
          <w:sz w:val="22"/>
        </w:rPr>
        <w:t>If the absolute value is larger than the largest value in the value space (2^1024 minus 2^971) then a consuming application shall treat this as equivalent to the error value </w:t>
      </w:r>
      <w:r>
        <w:rPr>
          <w:rFonts w:ascii="Consolas" w:hAnsi="Consolas"/>
          <w:sz w:val="22"/>
        </w:rPr>
        <w:t>#NUM!</w:t>
      </w:r>
      <w:r>
        <w:rPr>
          <w:rFonts w:ascii="Consolas" w:hAnsi="Consolas"/>
          <w:spacing w:val="-99"/>
          <w:sz w:val="22"/>
        </w:rPr>
        <w:t> </w:t>
      </w:r>
      <w:r>
        <w:rPr>
          <w:sz w:val="22"/>
        </w:rPr>
        <w:t>(§</w:t>
      </w:r>
      <w:hyperlink w:history="true" w:anchor="_bookmark444">
        <w:r>
          <w:rPr>
            <w:sz w:val="22"/>
          </w:rPr>
          <w:t>18.17.3</w:t>
        </w:r>
      </w:hyperlink>
      <w:r>
        <w:rPr>
          <w:sz w:val="22"/>
        </w:rPr>
        <w:t>). Otherwise the</w:t>
      </w:r>
    </w:p>
    <w:p>
      <w:pPr>
        <w:spacing w:after="0" w:line="273" w:lineRule="auto"/>
        <w:jc w:val="left"/>
        <w:rPr>
          <w:sz w:val="22"/>
        </w:rPr>
        <w:sectPr>
          <w:pgSz w:w="12240" w:h="15840"/>
          <w:pgMar w:header="761" w:footer="746" w:top="1340" w:bottom="940" w:left="860" w:right="700"/>
        </w:sectPr>
      </w:pPr>
    </w:p>
    <w:p>
      <w:pPr>
        <w:pStyle w:val="BodyText"/>
        <w:spacing w:line="278" w:lineRule="auto" w:before="148"/>
        <w:ind w:left="940" w:right="503"/>
      </w:pPr>
      <w:r>
        <w:rPr/>
        <w:t>value in the value space that is closest to the raw value is chosen as the interpretation. In the case that two values are equally close, the one with the smaller absolute value is chosen.</w:t>
      </w:r>
    </w:p>
    <w:p>
      <w:pPr>
        <w:pStyle w:val="BodyText"/>
        <w:spacing w:before="3"/>
        <w:rPr>
          <w:sz w:val="16"/>
        </w:rPr>
      </w:pPr>
    </w:p>
    <w:p>
      <w:pPr>
        <w:pStyle w:val="Heading2"/>
        <w:numPr>
          <w:ilvl w:val="2"/>
          <w:numId w:val="66"/>
        </w:numPr>
        <w:tabs>
          <w:tab w:pos="1444" w:val="left" w:leader="none"/>
          <w:tab w:pos="1445" w:val="left" w:leader="none"/>
        </w:tabs>
        <w:spacing w:line="240" w:lineRule="auto" w:before="0" w:after="0"/>
        <w:ind w:left="1444" w:right="0" w:hanging="1225"/>
        <w:jc w:val="left"/>
      </w:pPr>
      <w:bookmarkStart w:name="18.17.6 XML Representation" w:id="1367"/>
      <w:bookmarkEnd w:id="1367"/>
      <w:r>
        <w:rPr>
          <w:b w:val="0"/>
        </w:rPr>
      </w:r>
      <w:bookmarkStart w:name="_bookmark454" w:id="1368"/>
      <w:bookmarkEnd w:id="1368"/>
      <w:r>
        <w:rPr>
          <w:b w:val="0"/>
        </w:rPr>
      </w:r>
      <w:bookmarkStart w:name="_bookmark454" w:id="1369"/>
      <w:bookmarkEnd w:id="1369"/>
      <w:r>
        <w:rPr>
          <w:color w:val="4F81BC"/>
        </w:rPr>
        <w:t>XML</w:t>
      </w:r>
      <w:r>
        <w:rPr>
          <w:color w:val="4F81BC"/>
          <w:spacing w:val="-1"/>
        </w:rPr>
        <w:t> </w:t>
      </w:r>
      <w:r>
        <w:rPr>
          <w:color w:val="4F81BC"/>
        </w:rPr>
        <w:t>Representation</w:t>
      </w:r>
    </w:p>
    <w:p>
      <w:pPr>
        <w:pStyle w:val="Heading3"/>
        <w:numPr>
          <w:ilvl w:val="3"/>
          <w:numId w:val="66"/>
        </w:numPr>
        <w:tabs>
          <w:tab w:pos="1732" w:val="left" w:leader="none"/>
          <w:tab w:pos="1733" w:val="left" w:leader="none"/>
        </w:tabs>
        <w:spacing w:line="240" w:lineRule="auto" w:before="204" w:after="0"/>
        <w:ind w:left="1732" w:right="0" w:hanging="1513"/>
        <w:jc w:val="left"/>
      </w:pPr>
      <w:bookmarkStart w:name="18.17.6.1 Cell Reference Style" w:id="1370"/>
      <w:bookmarkEnd w:id="1370"/>
      <w:r>
        <w:rPr/>
      </w:r>
      <w:bookmarkStart w:name="_bookmark455" w:id="1371"/>
      <w:bookmarkEnd w:id="1371"/>
      <w:r>
        <w:rPr/>
      </w:r>
      <w:bookmarkStart w:name="_bookmark455" w:id="1372"/>
      <w:bookmarkEnd w:id="1372"/>
      <w:r>
        <w:rPr>
          <w:color w:val="4F81BC"/>
        </w:rPr>
        <w:t>C</w:t>
      </w:r>
      <w:r>
        <w:rPr>
          <w:color w:val="4F81BC"/>
        </w:rPr>
        <w:t>ell Reference</w:t>
      </w:r>
      <w:r>
        <w:rPr>
          <w:color w:val="4F81BC"/>
          <w:spacing w:val="-2"/>
        </w:rPr>
        <w:t> </w:t>
      </w:r>
      <w:r>
        <w:rPr>
          <w:color w:val="4F81BC"/>
        </w:rPr>
        <w:t>Style</w:t>
      </w:r>
    </w:p>
    <w:p>
      <w:pPr>
        <w:pStyle w:val="BodyText"/>
        <w:spacing w:line="278" w:lineRule="auto" w:before="119"/>
        <w:ind w:left="220" w:right="385"/>
      </w:pPr>
      <w:r>
        <w:rPr/>
        <w:t>A workbook saved with reference style A1 (§</w:t>
      </w:r>
      <w:hyperlink w:history="true" w:anchor="_bookmark438">
        <w:r>
          <w:rPr/>
          <w:t>18.17.2.3.1</w:t>
        </w:r>
      </w:hyperlink>
      <w:r>
        <w:rPr/>
        <w:t>), shall have the </w:t>
      </w:r>
      <w:r>
        <w:rPr>
          <w:rFonts w:ascii="Cambria" w:hAnsi="Cambria"/>
        </w:rPr>
        <w:t>refMode </w:t>
      </w:r>
      <w:r>
        <w:rPr/>
        <w:t>attribute of the </w:t>
      </w:r>
      <w:r>
        <w:rPr>
          <w:rFonts w:ascii="Cambria" w:hAnsi="Cambria"/>
        </w:rPr>
        <w:t>calcPr </w:t>
      </w:r>
      <w:r>
        <w:rPr/>
        <w:t>element (§</w:t>
      </w:r>
      <w:hyperlink w:history="true" w:anchor="_bookmark2">
        <w:r>
          <w:rPr/>
          <w:t>18.2.2</w:t>
        </w:r>
      </w:hyperlink>
      <w:r>
        <w:rPr/>
        <w:t>) in the Workbook part's XML omitted or set to </w:t>
      </w:r>
      <w:r>
        <w:rPr>
          <w:rFonts w:ascii="Consolas" w:hAnsi="Consolas"/>
          <w:sz w:val="20"/>
        </w:rPr>
        <w:t>A1</w:t>
      </w:r>
      <w:r>
        <w:rPr/>
        <w:t>. A workbook saved with reference style R1C1 (§</w:t>
      </w:r>
      <w:hyperlink w:history="true" w:anchor="_bookmark439">
        <w:r>
          <w:rPr/>
          <w:t>18.17.2.3.2</w:t>
        </w:r>
      </w:hyperlink>
      <w:r>
        <w:rPr/>
        <w:t>) shall have that </w:t>
      </w:r>
      <w:r>
        <w:rPr>
          <w:rFonts w:ascii="Cambria" w:hAnsi="Cambria"/>
        </w:rPr>
        <w:t>refMode </w:t>
      </w:r>
      <w:r>
        <w:rPr/>
        <w:t>attribute set to </w:t>
      </w:r>
      <w:r>
        <w:rPr>
          <w:rFonts w:ascii="Consolas" w:hAnsi="Consolas"/>
          <w:sz w:val="20"/>
        </w:rPr>
        <w:t>R1C1</w:t>
      </w:r>
      <w:r>
        <w:rPr/>
        <w:t>. [</w:t>
      </w:r>
      <w:r>
        <w:rPr>
          <w:i/>
        </w:rPr>
        <w:t>Example</w:t>
      </w:r>
      <w:r>
        <w:rPr/>
        <w:t>: With R1C1 mode set, here is how the XML might</w:t>
      </w:r>
      <w:r>
        <w:rPr>
          <w:spacing w:val="-4"/>
        </w:rPr>
        <w:t> </w:t>
      </w:r>
      <w:r>
        <w:rPr/>
        <w:t>look:</w:t>
      </w:r>
    </w:p>
    <w:p>
      <w:pPr>
        <w:pStyle w:val="BodyText"/>
        <w:spacing w:before="194"/>
        <w:ind w:left="508"/>
        <w:rPr>
          <w:rFonts w:ascii="Consolas" w:hAnsi="Consolas"/>
        </w:rPr>
      </w:pPr>
      <w:r>
        <w:rPr>
          <w:rFonts w:ascii="Consolas" w:hAnsi="Consolas"/>
        </w:rPr>
        <w:t>&lt;workbook …&gt;</w:t>
      </w:r>
    </w:p>
    <w:p>
      <w:pPr>
        <w:pStyle w:val="BodyText"/>
        <w:spacing w:before="37"/>
        <w:ind w:left="750"/>
        <w:rPr>
          <w:rFonts w:ascii="Consolas" w:hAnsi="Consolas"/>
        </w:rPr>
      </w:pPr>
      <w:r>
        <w:rPr>
          <w:rFonts w:ascii="Consolas" w:hAnsi="Consolas"/>
          <w:w w:val="100"/>
        </w:rPr>
        <w:t>…</w:t>
      </w:r>
    </w:p>
    <w:p>
      <w:pPr>
        <w:pStyle w:val="BodyText"/>
        <w:spacing w:before="39"/>
        <w:ind w:left="750"/>
        <w:rPr>
          <w:rFonts w:ascii="Consolas"/>
        </w:rPr>
      </w:pPr>
      <w:r>
        <w:rPr>
          <w:rFonts w:ascii="Consolas"/>
        </w:rPr>
        <w:t>&lt;calcPr calcId="122211" fullCalcOnLoad="1" refMode="R1C1"/&gt;</w:t>
      </w:r>
    </w:p>
    <w:p>
      <w:pPr>
        <w:pStyle w:val="BodyText"/>
        <w:spacing w:before="40"/>
        <w:ind w:left="750"/>
        <w:rPr>
          <w:rFonts w:ascii="Consolas" w:hAnsi="Consolas"/>
        </w:rPr>
      </w:pPr>
      <w:r>
        <w:rPr>
          <w:rFonts w:ascii="Consolas" w:hAnsi="Consolas"/>
          <w:w w:val="100"/>
        </w:rPr>
        <w:t>…</w:t>
      </w:r>
    </w:p>
    <w:p>
      <w:pPr>
        <w:pStyle w:val="BodyText"/>
        <w:spacing w:before="37"/>
        <w:ind w:left="508"/>
        <w:rPr>
          <w:rFonts w:ascii="Consolas"/>
        </w:rPr>
      </w:pPr>
      <w:r>
        <w:rPr>
          <w:rFonts w:ascii="Consolas"/>
        </w:rPr>
        <w:t>&lt;/workbook&gt;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6"/>
        <w:rPr>
          <w:sz w:val="19"/>
        </w:rPr>
      </w:pPr>
    </w:p>
    <w:p>
      <w:pPr>
        <w:pStyle w:val="BodyText"/>
        <w:spacing w:line="278" w:lineRule="auto"/>
        <w:ind w:left="220" w:right="868"/>
      </w:pPr>
      <w:r>
        <w:rPr/>
        <w:t>Regardless of the value of the </w:t>
      </w:r>
      <w:r>
        <w:rPr>
          <w:rFonts w:ascii="Cambria"/>
        </w:rPr>
        <w:t>refMode </w:t>
      </w:r>
      <w:r>
        <w:rPr/>
        <w:t>attribute, cell references shall be stored in XML in the A1 form. This attribute's value tells an implementation which reference style to use at runtime.</w:t>
      </w:r>
    </w:p>
    <w:p>
      <w:pPr>
        <w:pStyle w:val="BodyText"/>
        <w:spacing w:before="3"/>
        <w:rPr>
          <w:sz w:val="16"/>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6.2 Scalar Formulas" w:id="1373"/>
      <w:bookmarkEnd w:id="1373"/>
      <w:r>
        <w:rPr/>
      </w:r>
      <w:bookmarkStart w:name="_bookmark456" w:id="1374"/>
      <w:bookmarkEnd w:id="1374"/>
      <w:r>
        <w:rPr/>
      </w:r>
      <w:bookmarkStart w:name="_bookmark456" w:id="1375"/>
      <w:bookmarkEnd w:id="1375"/>
      <w:r>
        <w:rPr>
          <w:color w:val="4F81BC"/>
        </w:rPr>
        <w:t>Scalar</w:t>
      </w:r>
      <w:r>
        <w:rPr>
          <w:color w:val="4F81BC"/>
          <w:spacing w:val="-2"/>
        </w:rPr>
        <w:t> </w:t>
      </w:r>
      <w:r>
        <w:rPr>
          <w:color w:val="4F81BC"/>
        </w:rPr>
        <w:t>Formulas</w:t>
      </w:r>
    </w:p>
    <w:p>
      <w:pPr>
        <w:pStyle w:val="BodyText"/>
        <w:spacing w:line="276" w:lineRule="auto" w:before="119"/>
        <w:ind w:left="220" w:right="423"/>
      </w:pPr>
      <w:r>
        <w:rPr/>
        <w:t>A scalar formula shall be represented in a worksheet's XML by an </w:t>
      </w:r>
      <w:r>
        <w:rPr>
          <w:rFonts w:ascii="Cambria"/>
        </w:rPr>
        <w:t>f </w:t>
      </w:r>
      <w:r>
        <w:rPr/>
        <w:t>element that contains the text of the formula, and a </w:t>
      </w:r>
      <w:r>
        <w:rPr>
          <w:rFonts w:ascii="Cambria"/>
        </w:rPr>
        <w:t>v </w:t>
      </w:r>
      <w:r>
        <w:rPr/>
        <w:t>element that contains the text version of the last computed value for that formula. This pair of elements shall be inside a </w:t>
      </w:r>
      <w:r>
        <w:rPr>
          <w:rFonts w:ascii="Cambria"/>
        </w:rPr>
        <w:t>c </w:t>
      </w:r>
      <w:r>
        <w:rPr/>
        <w:t>element, which is, in turn, shall be inside a </w:t>
      </w:r>
      <w:r>
        <w:rPr>
          <w:rFonts w:ascii="Cambria"/>
        </w:rPr>
        <w:t>row </w:t>
      </w:r>
      <w:r>
        <w:rPr/>
        <w:t>element. [</w:t>
      </w:r>
      <w:r>
        <w:rPr>
          <w:i/>
        </w:rPr>
        <w:t>Example</w:t>
      </w:r>
      <w:r>
        <w:rPr/>
        <w:t>: Consider the scalar formula </w:t>
      </w:r>
      <w:r>
        <w:rPr>
          <w:rFonts w:ascii="Consolas"/>
        </w:rPr>
        <w:t>SQRT(C2^2+D2^2)</w:t>
      </w:r>
      <w:r>
        <w:rPr/>
        <w:t>, where </w:t>
      </w:r>
      <w:r>
        <w:rPr>
          <w:rFonts w:ascii="Consolas"/>
        </w:rPr>
        <w:t>C2</w:t>
      </w:r>
      <w:r>
        <w:rPr>
          <w:rFonts w:ascii="Consolas"/>
          <w:spacing w:val="-71"/>
        </w:rPr>
        <w:t> </w:t>
      </w:r>
      <w:r>
        <w:rPr/>
        <w:t>refers to a cell containing the number 12.5, and </w:t>
      </w:r>
      <w:r>
        <w:rPr>
          <w:rFonts w:ascii="Consolas"/>
        </w:rPr>
        <w:t>D2</w:t>
      </w:r>
      <w:r>
        <w:rPr>
          <w:rFonts w:ascii="Consolas"/>
          <w:spacing w:val="-71"/>
        </w:rPr>
        <w:t> </w:t>
      </w:r>
      <w:r>
        <w:rPr/>
        <w:t>refers to a cell containing the number 9.6. The corresponding XML might be as follows:</w:t>
      </w:r>
    </w:p>
    <w:p>
      <w:pPr>
        <w:pStyle w:val="BodyText"/>
        <w:spacing w:before="8"/>
        <w:rPr>
          <w:sz w:val="16"/>
        </w:rPr>
      </w:pPr>
    </w:p>
    <w:p>
      <w:pPr>
        <w:pStyle w:val="BodyText"/>
        <w:ind w:left="508"/>
        <w:rPr>
          <w:rFonts w:ascii="Consolas"/>
        </w:rPr>
      </w:pPr>
      <w:r>
        <w:rPr>
          <w:rFonts w:ascii="Consolas"/>
        </w:rPr>
        <w:t>&lt;row r="2" spans="2:4"&gt;</w:t>
      </w:r>
    </w:p>
    <w:p>
      <w:pPr>
        <w:pStyle w:val="BodyText"/>
        <w:spacing w:before="38"/>
        <w:ind w:left="750"/>
        <w:rPr>
          <w:rFonts w:ascii="Consolas"/>
        </w:rPr>
      </w:pPr>
      <w:r>
        <w:rPr>
          <w:rFonts w:ascii="Consolas"/>
        </w:rPr>
        <w:t>&lt;c r="B2" s="40"&gt;</w:t>
      </w:r>
    </w:p>
    <w:p>
      <w:pPr>
        <w:pStyle w:val="BodyText"/>
        <w:spacing w:before="40"/>
        <w:ind w:left="993"/>
        <w:rPr>
          <w:rFonts w:ascii="Consolas"/>
        </w:rPr>
      </w:pPr>
      <w:r>
        <w:rPr>
          <w:rFonts w:ascii="Consolas"/>
        </w:rPr>
        <w:t>&lt;f&gt;SQRT(C2^2+D2^2)&lt;/f&gt;</w:t>
      </w:r>
    </w:p>
    <w:p>
      <w:pPr>
        <w:pStyle w:val="BodyText"/>
        <w:spacing w:before="37"/>
        <w:ind w:left="993"/>
        <w:rPr>
          <w:rFonts w:ascii="Consolas"/>
        </w:rPr>
      </w:pPr>
      <w:r>
        <w:rPr>
          <w:rFonts w:ascii="Consolas"/>
        </w:rPr>
        <w:t>&lt;v&gt;15.761027885261798&lt;/v&gt;</w:t>
      </w:r>
    </w:p>
    <w:p>
      <w:pPr>
        <w:pStyle w:val="BodyText"/>
        <w:spacing w:before="38"/>
        <w:ind w:left="750"/>
        <w:rPr>
          <w:rFonts w:ascii="Consolas"/>
        </w:rPr>
      </w:pPr>
      <w:r>
        <w:rPr>
          <w:rFonts w:ascii="Consolas"/>
        </w:rPr>
        <w:t>&lt;/c&gt;</w:t>
      </w:r>
    </w:p>
    <w:p>
      <w:pPr>
        <w:pStyle w:val="BodyText"/>
        <w:spacing w:before="40"/>
        <w:ind w:left="750"/>
        <w:rPr>
          <w:rFonts w:ascii="Consolas"/>
        </w:rPr>
      </w:pPr>
      <w:r>
        <w:rPr>
          <w:rFonts w:ascii="Consolas"/>
        </w:rPr>
        <w:t>&lt;c r="C2" s="0"&gt;</w:t>
      </w:r>
    </w:p>
    <w:p>
      <w:pPr>
        <w:pStyle w:val="BodyText"/>
        <w:spacing w:before="38"/>
        <w:ind w:left="993"/>
        <w:rPr>
          <w:rFonts w:ascii="Consolas"/>
        </w:rPr>
      </w:pPr>
      <w:r>
        <w:rPr>
          <w:rFonts w:ascii="Consolas"/>
        </w:rPr>
        <w:t>&lt;v&gt;12.5&lt;/v&gt;</w:t>
      </w:r>
    </w:p>
    <w:p>
      <w:pPr>
        <w:pStyle w:val="BodyText"/>
        <w:spacing w:before="40"/>
        <w:ind w:left="750"/>
        <w:rPr>
          <w:rFonts w:ascii="Consolas"/>
        </w:rPr>
      </w:pPr>
      <w:r>
        <w:rPr>
          <w:rFonts w:ascii="Consolas"/>
        </w:rPr>
        <w:t>&lt;/c&gt;</w:t>
      </w:r>
    </w:p>
    <w:p>
      <w:pPr>
        <w:pStyle w:val="BodyText"/>
        <w:spacing w:before="38"/>
        <w:ind w:left="750"/>
        <w:rPr>
          <w:rFonts w:ascii="Consolas"/>
        </w:rPr>
      </w:pPr>
      <w:r>
        <w:rPr>
          <w:rFonts w:ascii="Consolas"/>
        </w:rPr>
        <w:t>&lt;c r="D2" s="0"&gt;</w:t>
      </w:r>
    </w:p>
    <w:p>
      <w:pPr>
        <w:pStyle w:val="BodyText"/>
        <w:spacing w:before="40"/>
        <w:ind w:left="993"/>
        <w:rPr>
          <w:rFonts w:ascii="Consolas"/>
        </w:rPr>
      </w:pPr>
      <w:r>
        <w:rPr>
          <w:rFonts w:ascii="Consolas"/>
        </w:rPr>
        <w:t>&lt;v&gt;9.6&lt;/v&gt;</w:t>
      </w:r>
    </w:p>
    <w:p>
      <w:pPr>
        <w:pStyle w:val="BodyText"/>
        <w:spacing w:before="37"/>
        <w:ind w:right="9443"/>
        <w:jc w:val="right"/>
        <w:rPr>
          <w:rFonts w:ascii="Consolas"/>
        </w:rPr>
      </w:pPr>
      <w:r>
        <w:rPr>
          <w:rFonts w:ascii="Consolas"/>
          <w:spacing w:val="-1"/>
        </w:rPr>
        <w:t>&lt;/c&gt;</w:t>
      </w:r>
    </w:p>
    <w:p>
      <w:pPr>
        <w:pStyle w:val="BodyText"/>
        <w:spacing w:before="38"/>
        <w:ind w:right="9444"/>
        <w:jc w:val="right"/>
        <w:rPr>
          <w:rFonts w:ascii="Consolas"/>
        </w:rPr>
      </w:pPr>
      <w:r>
        <w:rPr>
          <w:rFonts w:ascii="Consolas"/>
          <w:spacing w:val="-1"/>
        </w:rPr>
        <w:t>&lt;/row&gt;</w:t>
      </w:r>
    </w:p>
    <w:p>
      <w:pPr>
        <w:pStyle w:val="BodyText"/>
        <w:spacing w:before="3"/>
        <w:rPr>
          <w:rFonts w:ascii="Consolas"/>
          <w:sz w:val="20"/>
        </w:rPr>
      </w:pPr>
    </w:p>
    <w:p>
      <w:pPr>
        <w:pStyle w:val="BodyText"/>
        <w:spacing w:line="278" w:lineRule="auto"/>
        <w:ind w:left="220" w:right="503"/>
      </w:pPr>
      <w:r>
        <w:rPr/>
        <w:t>In the scalar formula </w:t>
      </w:r>
      <w:r>
        <w:rPr>
          <w:rFonts w:ascii="Consolas"/>
        </w:rPr>
        <w:t>CONCATENATE("The total is ",C7," units")</w:t>
      </w:r>
      <w:r>
        <w:rPr/>
        <w:t>, </w:t>
      </w:r>
      <w:r>
        <w:rPr>
          <w:rFonts w:ascii="Consolas"/>
        </w:rPr>
        <w:t>C7</w:t>
      </w:r>
      <w:r>
        <w:rPr>
          <w:rFonts w:ascii="Consolas"/>
          <w:spacing w:val="-106"/>
        </w:rPr>
        <w:t> </w:t>
      </w:r>
      <w:r>
        <w:rPr/>
        <w:t>refers to a cell containing the number 23. The corresponding XML might be as follows:</w:t>
      </w:r>
    </w:p>
    <w:p>
      <w:pPr>
        <w:spacing w:after="0" w:line="278" w:lineRule="auto"/>
        <w:sectPr>
          <w:pgSz w:w="12240" w:h="15840"/>
          <w:pgMar w:header="763" w:footer="746" w:top="1340" w:bottom="940" w:left="860" w:right="700"/>
        </w:sectPr>
      </w:pPr>
    </w:p>
    <w:p>
      <w:pPr>
        <w:pStyle w:val="BodyText"/>
        <w:spacing w:before="93"/>
        <w:ind w:left="508"/>
        <w:rPr>
          <w:rFonts w:ascii="Consolas"/>
        </w:rPr>
      </w:pPr>
      <w:r>
        <w:rPr>
          <w:rFonts w:ascii="Consolas"/>
        </w:rPr>
        <w:t>&lt;row r="7" spans="2:4" ht="285"&gt;</w:t>
      </w:r>
    </w:p>
    <w:p>
      <w:pPr>
        <w:pStyle w:val="BodyText"/>
        <w:spacing w:before="38"/>
        <w:ind w:left="750"/>
        <w:rPr>
          <w:rFonts w:ascii="Consolas"/>
        </w:rPr>
      </w:pPr>
      <w:r>
        <w:rPr>
          <w:rFonts w:ascii="Consolas"/>
        </w:rPr>
        <w:t>&lt;c r="B7" s="4" t="str"&gt;</w:t>
      </w:r>
    </w:p>
    <w:p>
      <w:pPr>
        <w:pStyle w:val="BodyText"/>
        <w:spacing w:before="40"/>
        <w:ind w:left="993"/>
        <w:rPr>
          <w:rFonts w:ascii="Consolas"/>
        </w:rPr>
      </w:pPr>
      <w:r>
        <w:rPr>
          <w:rFonts w:ascii="Consolas"/>
        </w:rPr>
        <w:t>&lt;f&gt;CONCATENATE("The total is ",C7," units")&lt;/f&gt;</w:t>
      </w:r>
    </w:p>
    <w:p>
      <w:pPr>
        <w:pStyle w:val="BodyText"/>
        <w:spacing w:before="37"/>
        <w:ind w:left="993"/>
        <w:rPr>
          <w:rFonts w:ascii="Consolas"/>
        </w:rPr>
      </w:pPr>
      <w:r>
        <w:rPr>
          <w:rFonts w:ascii="Consolas"/>
        </w:rPr>
        <w:t>&lt;v&gt;The total is 23 units&lt;/v&gt;</w:t>
      </w:r>
    </w:p>
    <w:p>
      <w:pPr>
        <w:pStyle w:val="BodyText"/>
        <w:spacing w:before="40"/>
        <w:ind w:left="750"/>
        <w:rPr>
          <w:rFonts w:ascii="Consolas"/>
        </w:rPr>
      </w:pPr>
      <w:r>
        <w:rPr>
          <w:rFonts w:ascii="Consolas"/>
        </w:rPr>
        <w:t>&lt;/c&gt;</w:t>
      </w:r>
    </w:p>
    <w:p>
      <w:pPr>
        <w:pStyle w:val="BodyText"/>
        <w:spacing w:before="38"/>
        <w:ind w:left="750"/>
        <w:rPr>
          <w:rFonts w:ascii="Consolas"/>
        </w:rPr>
      </w:pPr>
      <w:r>
        <w:rPr>
          <w:rFonts w:ascii="Consolas"/>
        </w:rPr>
        <w:t>&lt;c r="C7" s="0"&gt;</w:t>
      </w:r>
    </w:p>
    <w:p>
      <w:pPr>
        <w:pStyle w:val="BodyText"/>
        <w:spacing w:before="40"/>
        <w:ind w:left="993"/>
        <w:rPr>
          <w:rFonts w:ascii="Consolas"/>
        </w:rPr>
      </w:pPr>
      <w:r>
        <w:rPr>
          <w:rFonts w:ascii="Consolas"/>
        </w:rPr>
        <w:t>&lt;v&gt;23&lt;/v&gt;</w:t>
      </w:r>
    </w:p>
    <w:p>
      <w:pPr>
        <w:pStyle w:val="BodyText"/>
        <w:spacing w:before="37"/>
        <w:ind w:right="9443"/>
        <w:jc w:val="right"/>
        <w:rPr>
          <w:rFonts w:ascii="Consolas"/>
        </w:rPr>
      </w:pPr>
      <w:r>
        <w:rPr>
          <w:rFonts w:ascii="Consolas"/>
          <w:spacing w:val="-1"/>
        </w:rPr>
        <w:t>&lt;/c&gt;</w:t>
      </w:r>
    </w:p>
    <w:p>
      <w:pPr>
        <w:pStyle w:val="BodyText"/>
        <w:spacing w:before="38"/>
        <w:ind w:right="9444"/>
        <w:jc w:val="right"/>
        <w:rPr>
          <w:rFonts w:ascii="Consolas"/>
        </w:rPr>
      </w:pPr>
      <w:r>
        <w:rPr>
          <w:rFonts w:ascii="Consolas"/>
          <w:spacing w:val="-1"/>
        </w:rPr>
        <w:t>&lt;/row&gt;</w:t>
      </w:r>
    </w:p>
    <w:p>
      <w:pPr>
        <w:pStyle w:val="BodyText"/>
        <w:spacing w:before="5"/>
        <w:rPr>
          <w:rFonts w:ascii="Consolas"/>
          <w:sz w:val="20"/>
        </w:rPr>
      </w:pPr>
    </w:p>
    <w:p>
      <w:pPr>
        <w:pStyle w:val="BodyText"/>
        <w:ind w:left="220"/>
      </w:pPr>
      <w:r>
        <w:rPr/>
        <w:t>As the function </w:t>
      </w:r>
      <w:r>
        <w:rPr>
          <w:rFonts w:ascii="Consolas"/>
        </w:rPr>
        <w:t>CONCATENATE</w:t>
      </w:r>
      <w:r>
        <w:rPr>
          <w:rFonts w:ascii="Consolas"/>
          <w:spacing w:val="-80"/>
        </w:rPr>
        <w:t> </w:t>
      </w:r>
      <w:r>
        <w:rPr/>
        <w:t>returns a string, the value for the cell's </w:t>
      </w:r>
      <w:r>
        <w:rPr>
          <w:rFonts w:ascii="Cambria"/>
        </w:rPr>
        <w:t>t </w:t>
      </w:r>
      <w:r>
        <w:rPr/>
        <w:t>attribute is </w:t>
      </w:r>
      <w:r>
        <w:rPr>
          <w:rFonts w:ascii="Consolas"/>
          <w:sz w:val="20"/>
        </w:rPr>
        <w:t>str</w:t>
      </w:r>
      <w:r>
        <w:rPr/>
        <w:t>.</w:t>
      </w:r>
    </w:p>
    <w:p>
      <w:pPr>
        <w:pStyle w:val="BodyText"/>
        <w:spacing w:before="8"/>
        <w:rPr>
          <w:sz w:val="19"/>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6.3 Array Formulas" w:id="1376"/>
      <w:bookmarkEnd w:id="1376"/>
      <w:r>
        <w:rPr/>
      </w:r>
      <w:bookmarkStart w:name="_bookmark457" w:id="1377"/>
      <w:bookmarkEnd w:id="1377"/>
      <w:r>
        <w:rPr/>
      </w:r>
      <w:bookmarkStart w:name="_bookmark457" w:id="1378"/>
      <w:bookmarkEnd w:id="1378"/>
      <w:r>
        <w:rPr>
          <w:color w:val="4F81BC"/>
        </w:rPr>
        <w:t>A</w:t>
      </w:r>
      <w:r>
        <w:rPr>
          <w:color w:val="4F81BC"/>
        </w:rPr>
        <w:t>rray</w:t>
      </w:r>
      <w:r>
        <w:rPr>
          <w:color w:val="4F81BC"/>
          <w:spacing w:val="-2"/>
        </w:rPr>
        <w:t> </w:t>
      </w:r>
      <w:r>
        <w:rPr>
          <w:color w:val="4F81BC"/>
        </w:rPr>
        <w:t>Formulas</w:t>
      </w:r>
    </w:p>
    <w:p>
      <w:pPr>
        <w:pStyle w:val="BodyText"/>
        <w:spacing w:line="278" w:lineRule="auto" w:before="119"/>
        <w:ind w:left="220" w:right="477"/>
      </w:pPr>
      <w:r>
        <w:rPr/>
        <w:t>An array formula shall be represented in XML just like other formulas, except that the array formula’s </w:t>
      </w:r>
      <w:r>
        <w:rPr>
          <w:rFonts w:ascii="Cambria" w:hAnsi="Cambria"/>
        </w:rPr>
        <w:t>f </w:t>
      </w:r>
      <w:r>
        <w:rPr/>
        <w:t>element shall contain an attribute </w:t>
      </w:r>
      <w:r>
        <w:rPr>
          <w:rFonts w:ascii="Cambria" w:hAnsi="Cambria"/>
        </w:rPr>
        <w:t>t</w:t>
      </w:r>
      <w:r>
        <w:rPr/>
        <w:t>, whose value shall be </w:t>
      </w:r>
      <w:r>
        <w:rPr>
          <w:rFonts w:ascii="Consolas" w:hAnsi="Consolas"/>
          <w:sz w:val="20"/>
        </w:rPr>
        <w:t>array</w:t>
      </w:r>
      <w:r>
        <w:rPr/>
        <w:t>.</w:t>
      </w:r>
    </w:p>
    <w:p>
      <w:pPr>
        <w:pStyle w:val="BodyText"/>
        <w:spacing w:before="195"/>
        <w:ind w:left="220"/>
      </w:pPr>
      <w:r>
        <w:rPr/>
        <w:t>For a single-cell formula, the </w:t>
      </w:r>
      <w:r>
        <w:rPr>
          <w:rFonts w:ascii="Cambria"/>
        </w:rPr>
        <w:t>r </w:t>
      </w:r>
      <w:r>
        <w:rPr/>
        <w:t>attribute shall designate that cell. [</w:t>
      </w:r>
      <w:r>
        <w:rPr>
          <w:i/>
        </w:rPr>
        <w:t>Example</w:t>
      </w:r>
      <w:r>
        <w:rPr/>
        <w:t>: Consider the array formula</w:t>
      </w:r>
    </w:p>
    <w:p>
      <w:pPr>
        <w:pStyle w:val="BodyText"/>
        <w:spacing w:before="44"/>
        <w:ind w:left="220"/>
      </w:pPr>
      <w:r>
        <w:rPr>
          <w:rFonts w:ascii="Consolas"/>
        </w:rPr>
        <w:t>SUM(C11:C12*D11:D12)</w:t>
      </w:r>
      <w:r>
        <w:rPr/>
        <w:t>. The corresponding XML might be as follows:</w:t>
      </w:r>
    </w:p>
    <w:p>
      <w:pPr>
        <w:pStyle w:val="BodyText"/>
        <w:spacing w:before="8"/>
        <w:rPr>
          <w:sz w:val="19"/>
        </w:rPr>
      </w:pPr>
    </w:p>
    <w:p>
      <w:pPr>
        <w:pStyle w:val="BodyText"/>
        <w:ind w:left="508"/>
        <w:rPr>
          <w:rFonts w:ascii="Consolas"/>
        </w:rPr>
      </w:pPr>
      <w:r>
        <w:rPr>
          <w:rFonts w:ascii="Consolas"/>
        </w:rPr>
        <w:t>&lt;row r="11" spans="2:4" ht="300"&gt;</w:t>
      </w:r>
    </w:p>
    <w:p>
      <w:pPr>
        <w:pStyle w:val="BodyText"/>
        <w:spacing w:before="37"/>
        <w:ind w:left="750"/>
        <w:rPr>
          <w:rFonts w:ascii="Consolas"/>
        </w:rPr>
      </w:pPr>
      <w:r>
        <w:rPr>
          <w:rFonts w:ascii="Consolas"/>
        </w:rPr>
        <w:t>&lt;c r="B11" s="16"&gt;</w:t>
      </w:r>
    </w:p>
    <w:p>
      <w:pPr>
        <w:pStyle w:val="BodyText"/>
        <w:spacing w:before="40"/>
        <w:ind w:left="993"/>
        <w:rPr>
          <w:rFonts w:ascii="Consolas"/>
        </w:rPr>
      </w:pPr>
      <w:r>
        <w:rPr>
          <w:rFonts w:ascii="Consolas"/>
        </w:rPr>
        <w:t>&lt;f t="array" r="B11"&gt;SUM(C11:C12*D11:D12)&lt;/f&gt;</w:t>
      </w:r>
    </w:p>
    <w:p>
      <w:pPr>
        <w:pStyle w:val="BodyText"/>
        <w:spacing w:before="38"/>
        <w:ind w:left="993"/>
        <w:rPr>
          <w:rFonts w:ascii="Consolas"/>
        </w:rPr>
      </w:pPr>
      <w:r>
        <w:rPr>
          <w:rFonts w:ascii="Consolas"/>
        </w:rPr>
        <w:t>&lt;v&gt;110&lt;/v&gt;</w:t>
      </w:r>
    </w:p>
    <w:p>
      <w:pPr>
        <w:pStyle w:val="BodyText"/>
        <w:spacing w:before="40"/>
        <w:ind w:left="750"/>
        <w:rPr>
          <w:rFonts w:ascii="Consolas"/>
        </w:rPr>
      </w:pPr>
      <w:r>
        <w:rPr>
          <w:rFonts w:ascii="Consolas"/>
        </w:rPr>
        <w:t>&lt;/c&gt;</w:t>
      </w:r>
    </w:p>
    <w:p>
      <w:pPr>
        <w:pStyle w:val="BodyText"/>
        <w:spacing w:before="38"/>
        <w:ind w:left="750"/>
        <w:rPr>
          <w:rFonts w:ascii="Consolas"/>
        </w:rPr>
      </w:pPr>
      <w:r>
        <w:rPr>
          <w:rFonts w:ascii="Consolas"/>
        </w:rPr>
        <w:t>&lt;c r="C11" s="4"&gt;</w:t>
      </w:r>
    </w:p>
    <w:p>
      <w:pPr>
        <w:pStyle w:val="BodyText"/>
        <w:spacing w:before="38"/>
        <w:ind w:left="993"/>
        <w:rPr>
          <w:rFonts w:ascii="Consolas"/>
        </w:rPr>
      </w:pPr>
      <w:r>
        <w:rPr>
          <w:rFonts w:ascii="Consolas"/>
        </w:rPr>
        <w:t>&lt;v&gt;10&lt;/v&gt;</w:t>
      </w:r>
    </w:p>
    <w:p>
      <w:pPr>
        <w:pStyle w:val="BodyText"/>
        <w:spacing w:before="40"/>
        <w:ind w:left="750"/>
        <w:rPr>
          <w:rFonts w:ascii="Consolas"/>
        </w:rPr>
      </w:pPr>
      <w:r>
        <w:rPr>
          <w:rFonts w:ascii="Consolas"/>
        </w:rPr>
        <w:t>&lt;/c&gt;</w:t>
      </w:r>
    </w:p>
    <w:p>
      <w:pPr>
        <w:pStyle w:val="BodyText"/>
        <w:spacing w:before="37"/>
        <w:ind w:left="750"/>
        <w:rPr>
          <w:rFonts w:ascii="Consolas"/>
        </w:rPr>
      </w:pPr>
      <w:r>
        <w:rPr>
          <w:rFonts w:ascii="Consolas"/>
        </w:rPr>
        <w:t>&lt;c r="D11" s="0"&gt;</w:t>
      </w:r>
    </w:p>
    <w:p>
      <w:pPr>
        <w:pStyle w:val="BodyText"/>
        <w:spacing w:before="40"/>
        <w:ind w:left="993"/>
        <w:rPr>
          <w:rFonts w:ascii="Consolas"/>
        </w:rPr>
      </w:pPr>
      <w:r>
        <w:rPr>
          <w:rFonts w:ascii="Consolas"/>
        </w:rPr>
        <w:t>&lt;v&gt;3&lt;/v&gt;</w:t>
      </w:r>
    </w:p>
    <w:p>
      <w:pPr>
        <w:pStyle w:val="BodyText"/>
        <w:spacing w:before="38"/>
        <w:ind w:right="9443"/>
        <w:jc w:val="right"/>
        <w:rPr>
          <w:rFonts w:ascii="Consolas"/>
        </w:rPr>
      </w:pPr>
      <w:r>
        <w:rPr>
          <w:rFonts w:ascii="Consolas"/>
          <w:spacing w:val="-1"/>
        </w:rPr>
        <w:t>&lt;/c&gt;</w:t>
      </w:r>
    </w:p>
    <w:p>
      <w:pPr>
        <w:pStyle w:val="BodyText"/>
        <w:spacing w:before="40"/>
        <w:ind w:right="9444"/>
        <w:jc w:val="right"/>
        <w:rPr>
          <w:rFonts w:ascii="Consolas"/>
        </w:rPr>
      </w:pPr>
      <w:r>
        <w:rPr>
          <w:rFonts w:ascii="Consolas"/>
          <w:spacing w:val="-1"/>
        </w:rPr>
        <w:t>&lt;/row&gt;</w:t>
      </w:r>
    </w:p>
    <w:p>
      <w:pPr>
        <w:pStyle w:val="BodyText"/>
        <w:spacing w:before="37"/>
        <w:ind w:left="508"/>
        <w:rPr>
          <w:rFonts w:ascii="Consolas"/>
        </w:rPr>
      </w:pPr>
      <w:r>
        <w:rPr>
          <w:rFonts w:ascii="Consolas"/>
        </w:rPr>
        <w:t>&lt;row r="12" spans="2:4" ht="285"&gt;</w:t>
      </w:r>
    </w:p>
    <w:p>
      <w:pPr>
        <w:pStyle w:val="BodyText"/>
        <w:spacing w:before="38"/>
        <w:ind w:left="750"/>
        <w:rPr>
          <w:rFonts w:ascii="Consolas"/>
        </w:rPr>
      </w:pPr>
      <w:r>
        <w:rPr>
          <w:rFonts w:ascii="Consolas"/>
        </w:rPr>
        <w:t>&lt;c r="C12" s="4"&gt;</w:t>
      </w:r>
    </w:p>
    <w:p>
      <w:pPr>
        <w:pStyle w:val="BodyText"/>
        <w:spacing w:before="40"/>
        <w:ind w:left="993"/>
        <w:rPr>
          <w:rFonts w:ascii="Consolas"/>
        </w:rPr>
      </w:pPr>
      <w:r>
        <w:rPr>
          <w:rFonts w:ascii="Consolas"/>
        </w:rPr>
        <w:t>&lt;v&gt;20&lt;/v&gt;</w:t>
      </w:r>
    </w:p>
    <w:p>
      <w:pPr>
        <w:pStyle w:val="BodyText"/>
        <w:spacing w:before="38"/>
        <w:ind w:left="750"/>
        <w:rPr>
          <w:rFonts w:ascii="Consolas"/>
        </w:rPr>
      </w:pPr>
      <w:r>
        <w:rPr>
          <w:rFonts w:ascii="Consolas"/>
        </w:rPr>
        <w:t>&lt;/c&gt;</w:t>
      </w:r>
    </w:p>
    <w:p>
      <w:pPr>
        <w:pStyle w:val="BodyText"/>
        <w:spacing w:before="40"/>
        <w:ind w:left="750"/>
        <w:rPr>
          <w:rFonts w:ascii="Consolas"/>
        </w:rPr>
      </w:pPr>
      <w:r>
        <w:rPr>
          <w:rFonts w:ascii="Consolas"/>
        </w:rPr>
        <w:t>&lt;c r="D12" s="0"&gt;</w:t>
      </w:r>
    </w:p>
    <w:p>
      <w:pPr>
        <w:pStyle w:val="BodyText"/>
        <w:spacing w:before="38"/>
        <w:ind w:left="993"/>
        <w:rPr>
          <w:rFonts w:ascii="Consolas"/>
        </w:rPr>
      </w:pPr>
      <w:r>
        <w:rPr>
          <w:rFonts w:ascii="Consolas"/>
        </w:rPr>
        <w:t>&lt;v&gt;4&lt;/v&gt;</w:t>
      </w:r>
    </w:p>
    <w:p>
      <w:pPr>
        <w:pStyle w:val="BodyText"/>
        <w:spacing w:before="40"/>
        <w:ind w:right="9443"/>
        <w:jc w:val="right"/>
        <w:rPr>
          <w:rFonts w:ascii="Consolas"/>
        </w:rPr>
      </w:pPr>
      <w:r>
        <w:rPr>
          <w:rFonts w:ascii="Consolas"/>
          <w:spacing w:val="-1"/>
        </w:rPr>
        <w:t>&lt;/c&gt;</w:t>
      </w:r>
    </w:p>
    <w:p>
      <w:pPr>
        <w:pStyle w:val="BodyText"/>
        <w:spacing w:before="37"/>
        <w:ind w:right="9444"/>
        <w:jc w:val="right"/>
        <w:rPr>
          <w:rFonts w:ascii="Consolas"/>
        </w:rPr>
      </w:pPr>
      <w:r>
        <w:rPr>
          <w:rFonts w:ascii="Consolas"/>
          <w:spacing w:val="-1"/>
        </w:rPr>
        <w:t>&lt;/row&gt;</w:t>
      </w:r>
    </w:p>
    <w:p>
      <w:pPr>
        <w:pStyle w:val="BodyText"/>
        <w:spacing w:before="5"/>
        <w:rPr>
          <w:rFonts w:ascii="Consolas"/>
          <w:sz w:val="20"/>
        </w:rPr>
      </w:pPr>
    </w:p>
    <w:p>
      <w:pPr>
        <w:pStyle w:val="BodyText"/>
        <w:ind w:left="220"/>
      </w:pPr>
      <w:r>
        <w:rPr/>
        <w:t>As this formula is a single-cell formula, the </w:t>
      </w:r>
      <w:r>
        <w:rPr>
          <w:rFonts w:ascii="Cambria"/>
        </w:rPr>
        <w:t>r </w:t>
      </w:r>
      <w:r>
        <w:rPr/>
        <w:t>attribute contains the name of that cell, </w:t>
      </w:r>
      <w:r>
        <w:rPr>
          <w:rFonts w:ascii="Consolas"/>
        </w:rPr>
        <w:t>B11</w:t>
      </w:r>
      <w:r>
        <w:rPr/>
        <w:t>. </w:t>
      </w:r>
      <w:r>
        <w:rPr>
          <w:i/>
        </w:rPr>
        <w:t>end example</w:t>
      </w:r>
      <w:r>
        <w:rPr/>
        <w:t>]</w:t>
      </w:r>
    </w:p>
    <w:p>
      <w:pPr>
        <w:spacing w:after="0"/>
        <w:sectPr>
          <w:pgSz w:w="12240" w:h="15840"/>
          <w:pgMar w:header="761" w:footer="746" w:top="1340" w:bottom="940" w:left="860" w:right="700"/>
        </w:sectPr>
      </w:pPr>
    </w:p>
    <w:p>
      <w:pPr>
        <w:pStyle w:val="BodyText"/>
        <w:spacing w:line="276" w:lineRule="auto" w:before="148"/>
        <w:ind w:left="220" w:right="419"/>
      </w:pPr>
      <w:r>
        <w:rPr/>
        <w:t>For an array formula spanning multiple cells, the </w:t>
      </w:r>
      <w:r>
        <w:rPr>
          <w:rFonts w:ascii="Cambria"/>
        </w:rPr>
        <w:t>r </w:t>
      </w:r>
      <w:r>
        <w:rPr/>
        <w:t>attribute of the top-left cell of the range of cells to which that formula applies shall designate the range of cells to which that formula applies. The </w:t>
      </w:r>
      <w:r>
        <w:rPr>
          <w:rFonts w:ascii="Cambria"/>
        </w:rPr>
        <w:t>c </w:t>
      </w:r>
      <w:r>
        <w:rPr/>
        <w:t>elements for all cells except the top-left cell in that range shall not have an </w:t>
      </w:r>
      <w:r>
        <w:rPr>
          <w:rFonts w:ascii="Cambria"/>
        </w:rPr>
        <w:t>f </w:t>
      </w:r>
      <w:r>
        <w:rPr/>
        <w:t>element; however, they shall each have a </w:t>
      </w:r>
      <w:r>
        <w:rPr>
          <w:rFonts w:ascii="Cambria"/>
        </w:rPr>
        <w:t>v </w:t>
      </w:r>
      <w:r>
        <w:rPr/>
        <w:t>element. [</w:t>
      </w:r>
      <w:r>
        <w:rPr>
          <w:i/>
        </w:rPr>
        <w:t>Example</w:t>
      </w:r>
      <w:r>
        <w:rPr/>
        <w:t>: Consider the array formula </w:t>
      </w:r>
      <w:r>
        <w:rPr>
          <w:rFonts w:ascii="Consolas"/>
        </w:rPr>
        <w:t>A1:A3*B1:B3</w:t>
      </w:r>
      <w:r>
        <w:rPr/>
        <w:t>, which is applied to the cell range </w:t>
      </w:r>
      <w:r>
        <w:rPr>
          <w:rFonts w:ascii="Consolas"/>
        </w:rPr>
        <w:t>C1:C3</w:t>
      </w:r>
      <w:r>
        <w:rPr/>
        <w:t>. The corresponding XML might be as follows:</w:t>
      </w:r>
    </w:p>
    <w:p>
      <w:pPr>
        <w:pStyle w:val="BodyText"/>
        <w:spacing w:before="7"/>
        <w:rPr>
          <w:sz w:val="16"/>
        </w:rPr>
      </w:pPr>
    </w:p>
    <w:p>
      <w:pPr>
        <w:spacing w:before="0"/>
        <w:ind w:left="508" w:right="0" w:firstLine="0"/>
        <w:jc w:val="left"/>
        <w:rPr>
          <w:rFonts w:ascii="Consolas"/>
          <w:sz w:val="20"/>
        </w:rPr>
      </w:pPr>
      <w:r>
        <w:rPr>
          <w:rFonts w:ascii="Consolas"/>
          <w:sz w:val="20"/>
        </w:rPr>
        <w:t>&lt;row r="1" spans="1:3"&gt;</w:t>
      </w:r>
    </w:p>
    <w:p>
      <w:pPr>
        <w:spacing w:before="35"/>
        <w:ind w:left="729" w:right="0" w:firstLine="0"/>
        <w:jc w:val="left"/>
        <w:rPr>
          <w:rFonts w:ascii="Consolas"/>
          <w:sz w:val="20"/>
        </w:rPr>
      </w:pPr>
      <w:r>
        <w:rPr>
          <w:rFonts w:ascii="Consolas"/>
          <w:sz w:val="20"/>
        </w:rPr>
        <w:t>&lt;c r="A1" s="0"&gt;</w:t>
      </w:r>
    </w:p>
    <w:p>
      <w:pPr>
        <w:spacing w:before="34"/>
        <w:ind w:left="950" w:right="0" w:firstLine="0"/>
        <w:jc w:val="left"/>
        <w:rPr>
          <w:rFonts w:ascii="Consolas"/>
          <w:sz w:val="20"/>
        </w:rPr>
      </w:pPr>
      <w:r>
        <w:rPr>
          <w:rFonts w:ascii="Consolas"/>
          <w:sz w:val="20"/>
        </w:rPr>
        <w:t>&lt;v&gt;112&lt;/v&gt;</w:t>
      </w:r>
    </w:p>
    <w:p>
      <w:pPr>
        <w:spacing w:before="35"/>
        <w:ind w:left="729" w:right="0" w:firstLine="0"/>
        <w:jc w:val="left"/>
        <w:rPr>
          <w:rFonts w:ascii="Consolas"/>
          <w:sz w:val="20"/>
        </w:rPr>
      </w:pPr>
      <w:r>
        <w:rPr>
          <w:rFonts w:ascii="Consolas"/>
          <w:sz w:val="20"/>
        </w:rPr>
        <w:t>&lt;/c&gt;</w:t>
      </w:r>
    </w:p>
    <w:p>
      <w:pPr>
        <w:spacing w:before="37"/>
        <w:ind w:left="729" w:right="0" w:firstLine="0"/>
        <w:jc w:val="left"/>
        <w:rPr>
          <w:rFonts w:ascii="Consolas"/>
          <w:sz w:val="20"/>
        </w:rPr>
      </w:pPr>
      <w:r>
        <w:rPr>
          <w:rFonts w:ascii="Consolas"/>
          <w:sz w:val="20"/>
        </w:rPr>
        <w:t>&lt;c r="B1" s="0"&gt;</w:t>
      </w:r>
    </w:p>
    <w:p>
      <w:pPr>
        <w:spacing w:before="35"/>
        <w:ind w:left="950" w:right="0" w:firstLine="0"/>
        <w:jc w:val="left"/>
        <w:rPr>
          <w:rFonts w:ascii="Consolas"/>
          <w:sz w:val="20"/>
        </w:rPr>
      </w:pPr>
      <w:r>
        <w:rPr>
          <w:rFonts w:ascii="Consolas"/>
          <w:sz w:val="20"/>
        </w:rPr>
        <w:t>&lt;v&gt;2.34&lt;/v&gt;</w:t>
      </w:r>
    </w:p>
    <w:p>
      <w:pPr>
        <w:spacing w:before="34"/>
        <w:ind w:left="729" w:right="0" w:firstLine="0"/>
        <w:jc w:val="left"/>
        <w:rPr>
          <w:rFonts w:ascii="Consolas"/>
          <w:sz w:val="20"/>
        </w:rPr>
      </w:pPr>
      <w:r>
        <w:rPr>
          <w:rFonts w:ascii="Consolas"/>
          <w:sz w:val="20"/>
        </w:rPr>
        <w:t>&lt;/c&gt;</w:t>
      </w:r>
    </w:p>
    <w:p>
      <w:pPr>
        <w:spacing w:before="35"/>
        <w:ind w:left="729" w:right="0" w:firstLine="0"/>
        <w:jc w:val="left"/>
        <w:rPr>
          <w:rFonts w:ascii="Consolas"/>
          <w:sz w:val="20"/>
        </w:rPr>
      </w:pPr>
      <w:r>
        <w:rPr>
          <w:rFonts w:ascii="Consolas"/>
          <w:sz w:val="20"/>
        </w:rPr>
        <w:t>&lt;c r="C1" s="0"&gt;</w:t>
      </w:r>
    </w:p>
    <w:p>
      <w:pPr>
        <w:spacing w:before="35"/>
        <w:ind w:left="950" w:right="0" w:firstLine="0"/>
        <w:jc w:val="left"/>
        <w:rPr>
          <w:rFonts w:ascii="Consolas"/>
          <w:sz w:val="20"/>
        </w:rPr>
      </w:pPr>
      <w:r>
        <w:rPr>
          <w:rFonts w:ascii="Consolas"/>
          <w:sz w:val="20"/>
        </w:rPr>
        <w:t>&lt;f t="array" r="C1:C3"&gt;A1:A3*B1:B3&lt;/f&gt;</w:t>
      </w:r>
    </w:p>
    <w:p>
      <w:pPr>
        <w:spacing w:before="37"/>
        <w:ind w:left="950" w:right="0" w:firstLine="0"/>
        <w:jc w:val="left"/>
        <w:rPr>
          <w:rFonts w:ascii="Consolas"/>
          <w:sz w:val="20"/>
        </w:rPr>
      </w:pPr>
      <w:r>
        <w:rPr>
          <w:rFonts w:ascii="Consolas"/>
          <w:sz w:val="20"/>
        </w:rPr>
        <w:t>&lt;v&gt;262.08&lt;/v&gt;</w:t>
      </w:r>
    </w:p>
    <w:p>
      <w:pPr>
        <w:spacing w:before="35"/>
        <w:ind w:left="0" w:right="9507" w:firstLine="0"/>
        <w:jc w:val="right"/>
        <w:rPr>
          <w:rFonts w:ascii="Consolas"/>
          <w:sz w:val="20"/>
        </w:rPr>
      </w:pPr>
      <w:r>
        <w:rPr>
          <w:rFonts w:ascii="Consolas"/>
          <w:w w:val="95"/>
          <w:sz w:val="20"/>
        </w:rPr>
        <w:t>&lt;/c&gt;</w:t>
      </w:r>
    </w:p>
    <w:p>
      <w:pPr>
        <w:spacing w:before="34"/>
        <w:ind w:left="0" w:right="9507" w:firstLine="0"/>
        <w:jc w:val="right"/>
        <w:rPr>
          <w:rFonts w:ascii="Consolas"/>
          <w:sz w:val="20"/>
        </w:rPr>
      </w:pPr>
      <w:r>
        <w:rPr>
          <w:rFonts w:ascii="Consolas"/>
          <w:w w:val="95"/>
          <w:sz w:val="20"/>
        </w:rPr>
        <w:t>&lt;/row&gt;</w:t>
      </w:r>
    </w:p>
    <w:p>
      <w:pPr>
        <w:spacing w:before="35"/>
        <w:ind w:left="508" w:right="0" w:firstLine="0"/>
        <w:jc w:val="left"/>
        <w:rPr>
          <w:rFonts w:ascii="Consolas"/>
          <w:sz w:val="20"/>
        </w:rPr>
      </w:pPr>
      <w:r>
        <w:rPr>
          <w:rFonts w:ascii="Consolas"/>
          <w:sz w:val="20"/>
        </w:rPr>
        <w:t>&lt;row r="2" spans="1:3"&gt;</w:t>
      </w:r>
    </w:p>
    <w:p>
      <w:pPr>
        <w:spacing w:before="34"/>
        <w:ind w:left="729" w:right="0" w:firstLine="0"/>
        <w:jc w:val="left"/>
        <w:rPr>
          <w:rFonts w:ascii="Consolas"/>
          <w:sz w:val="20"/>
        </w:rPr>
      </w:pPr>
      <w:r>
        <w:rPr>
          <w:rFonts w:ascii="Consolas"/>
          <w:sz w:val="20"/>
        </w:rPr>
        <w:t>&lt;c r="A2" s="0"&gt;</w:t>
      </w:r>
    </w:p>
    <w:p>
      <w:pPr>
        <w:spacing w:before="37"/>
        <w:ind w:left="950" w:right="0" w:firstLine="0"/>
        <w:jc w:val="left"/>
        <w:rPr>
          <w:rFonts w:ascii="Consolas"/>
          <w:sz w:val="20"/>
        </w:rPr>
      </w:pPr>
      <w:r>
        <w:rPr>
          <w:rFonts w:ascii="Consolas"/>
          <w:sz w:val="20"/>
        </w:rPr>
        <w:t>&lt;v&gt;209&lt;/v&gt;</w:t>
      </w:r>
    </w:p>
    <w:p>
      <w:pPr>
        <w:spacing w:before="35"/>
        <w:ind w:left="729" w:right="0" w:firstLine="0"/>
        <w:jc w:val="left"/>
        <w:rPr>
          <w:rFonts w:ascii="Consolas"/>
          <w:sz w:val="20"/>
        </w:rPr>
      </w:pPr>
      <w:r>
        <w:rPr>
          <w:rFonts w:ascii="Consolas"/>
          <w:sz w:val="20"/>
        </w:rPr>
        <w:t>&lt;/c&gt;</w:t>
      </w:r>
    </w:p>
    <w:p>
      <w:pPr>
        <w:spacing w:before="35"/>
        <w:ind w:left="729" w:right="0" w:firstLine="0"/>
        <w:jc w:val="left"/>
        <w:rPr>
          <w:rFonts w:ascii="Consolas"/>
          <w:sz w:val="20"/>
        </w:rPr>
      </w:pPr>
      <w:r>
        <w:rPr>
          <w:rFonts w:ascii="Consolas"/>
          <w:sz w:val="20"/>
        </w:rPr>
        <w:t>&lt;c r="B2" s="0"&gt;</w:t>
      </w:r>
    </w:p>
    <w:p>
      <w:pPr>
        <w:spacing w:before="34"/>
        <w:ind w:left="950" w:right="0" w:firstLine="0"/>
        <w:jc w:val="left"/>
        <w:rPr>
          <w:rFonts w:ascii="Consolas"/>
          <w:sz w:val="20"/>
        </w:rPr>
      </w:pPr>
      <w:r>
        <w:rPr>
          <w:rFonts w:ascii="Consolas"/>
          <w:sz w:val="20"/>
        </w:rPr>
        <w:t>&lt;v&gt;1.28&lt;/v&gt;</w:t>
      </w:r>
    </w:p>
    <w:p>
      <w:pPr>
        <w:spacing w:before="35"/>
        <w:ind w:left="729" w:right="0" w:firstLine="0"/>
        <w:jc w:val="left"/>
        <w:rPr>
          <w:rFonts w:ascii="Consolas"/>
          <w:sz w:val="20"/>
        </w:rPr>
      </w:pPr>
      <w:r>
        <w:rPr>
          <w:rFonts w:ascii="Consolas"/>
          <w:sz w:val="20"/>
        </w:rPr>
        <w:t>&lt;/c&gt;</w:t>
      </w:r>
    </w:p>
    <w:p>
      <w:pPr>
        <w:spacing w:before="37"/>
        <w:ind w:left="729" w:right="0" w:firstLine="0"/>
        <w:jc w:val="left"/>
        <w:rPr>
          <w:rFonts w:ascii="Consolas"/>
          <w:sz w:val="20"/>
        </w:rPr>
      </w:pPr>
      <w:r>
        <w:rPr>
          <w:rFonts w:ascii="Consolas"/>
          <w:sz w:val="20"/>
        </w:rPr>
        <w:t>&lt;c r="C2" s="0"&gt;</w:t>
      </w:r>
    </w:p>
    <w:p>
      <w:pPr>
        <w:spacing w:before="35"/>
        <w:ind w:left="950" w:right="0" w:firstLine="0"/>
        <w:jc w:val="left"/>
        <w:rPr>
          <w:rFonts w:ascii="Consolas"/>
          <w:sz w:val="20"/>
        </w:rPr>
      </w:pPr>
      <w:r>
        <w:rPr>
          <w:rFonts w:ascii="Consolas"/>
          <w:sz w:val="20"/>
        </w:rPr>
        <w:t>&lt;v&gt;267.52&lt;/v&gt;</w:t>
      </w:r>
    </w:p>
    <w:p>
      <w:pPr>
        <w:spacing w:before="35"/>
        <w:ind w:left="0" w:right="9507" w:firstLine="0"/>
        <w:jc w:val="right"/>
        <w:rPr>
          <w:rFonts w:ascii="Consolas"/>
          <w:sz w:val="20"/>
        </w:rPr>
      </w:pPr>
      <w:r>
        <w:rPr>
          <w:rFonts w:ascii="Consolas"/>
          <w:w w:val="95"/>
          <w:sz w:val="20"/>
        </w:rPr>
        <w:t>&lt;/c&gt;</w:t>
      </w:r>
    </w:p>
    <w:p>
      <w:pPr>
        <w:spacing w:before="34"/>
        <w:ind w:left="0" w:right="9507" w:firstLine="0"/>
        <w:jc w:val="right"/>
        <w:rPr>
          <w:rFonts w:ascii="Consolas"/>
          <w:sz w:val="20"/>
        </w:rPr>
      </w:pPr>
      <w:r>
        <w:rPr>
          <w:rFonts w:ascii="Consolas"/>
          <w:w w:val="95"/>
          <w:sz w:val="20"/>
        </w:rPr>
        <w:t>&lt;/row&gt;</w:t>
      </w:r>
    </w:p>
    <w:p>
      <w:pPr>
        <w:spacing w:before="37"/>
        <w:ind w:left="508" w:right="0" w:firstLine="0"/>
        <w:jc w:val="left"/>
        <w:rPr>
          <w:rFonts w:ascii="Consolas"/>
          <w:sz w:val="20"/>
        </w:rPr>
      </w:pPr>
      <w:r>
        <w:rPr>
          <w:rFonts w:ascii="Consolas"/>
          <w:sz w:val="20"/>
        </w:rPr>
        <w:t>&lt;row r="3" spans="1:3"&gt;</w:t>
      </w:r>
    </w:p>
    <w:p>
      <w:pPr>
        <w:spacing w:before="35"/>
        <w:ind w:left="729" w:right="0" w:firstLine="0"/>
        <w:jc w:val="left"/>
        <w:rPr>
          <w:rFonts w:ascii="Consolas"/>
          <w:sz w:val="20"/>
        </w:rPr>
      </w:pPr>
      <w:r>
        <w:rPr>
          <w:rFonts w:ascii="Consolas"/>
          <w:sz w:val="20"/>
        </w:rPr>
        <w:t>&lt;c r="A3" s="0"&gt;</w:t>
      </w:r>
    </w:p>
    <w:p>
      <w:pPr>
        <w:spacing w:before="35"/>
        <w:ind w:left="950" w:right="0" w:firstLine="0"/>
        <w:jc w:val="left"/>
        <w:rPr>
          <w:rFonts w:ascii="Consolas"/>
          <w:sz w:val="20"/>
        </w:rPr>
      </w:pPr>
      <w:r>
        <w:rPr>
          <w:rFonts w:ascii="Consolas"/>
          <w:sz w:val="20"/>
        </w:rPr>
        <w:t>&lt;v&gt;128&lt;/v&gt;</w:t>
      </w:r>
    </w:p>
    <w:p>
      <w:pPr>
        <w:spacing w:before="34"/>
        <w:ind w:left="729" w:right="0" w:firstLine="0"/>
        <w:jc w:val="left"/>
        <w:rPr>
          <w:rFonts w:ascii="Consolas"/>
          <w:sz w:val="20"/>
        </w:rPr>
      </w:pPr>
      <w:r>
        <w:rPr>
          <w:rFonts w:ascii="Consolas"/>
          <w:sz w:val="20"/>
        </w:rPr>
        <w:t>&lt;/c&gt;</w:t>
      </w:r>
    </w:p>
    <w:p>
      <w:pPr>
        <w:spacing w:before="35"/>
        <w:ind w:left="729" w:right="0" w:firstLine="0"/>
        <w:jc w:val="left"/>
        <w:rPr>
          <w:rFonts w:ascii="Consolas"/>
          <w:sz w:val="20"/>
        </w:rPr>
      </w:pPr>
      <w:r>
        <w:rPr>
          <w:rFonts w:ascii="Consolas"/>
          <w:sz w:val="20"/>
        </w:rPr>
        <w:t>&lt;c r="B3" s="0"&gt;</w:t>
      </w:r>
    </w:p>
    <w:p>
      <w:pPr>
        <w:spacing w:before="37"/>
        <w:ind w:left="950" w:right="0" w:firstLine="0"/>
        <w:jc w:val="left"/>
        <w:rPr>
          <w:rFonts w:ascii="Consolas"/>
          <w:sz w:val="20"/>
        </w:rPr>
      </w:pPr>
      <w:r>
        <w:rPr>
          <w:rFonts w:ascii="Consolas"/>
          <w:sz w:val="20"/>
        </w:rPr>
        <w:t>&lt;v&gt;3.12&lt;/v&gt;</w:t>
      </w:r>
    </w:p>
    <w:p>
      <w:pPr>
        <w:spacing w:before="34"/>
        <w:ind w:left="729" w:right="0" w:firstLine="0"/>
        <w:jc w:val="left"/>
        <w:rPr>
          <w:rFonts w:ascii="Consolas"/>
          <w:sz w:val="20"/>
        </w:rPr>
      </w:pPr>
      <w:r>
        <w:rPr>
          <w:rFonts w:ascii="Consolas"/>
          <w:sz w:val="20"/>
        </w:rPr>
        <w:t>&lt;/c&gt;</w:t>
      </w:r>
    </w:p>
    <w:p>
      <w:pPr>
        <w:spacing w:before="35"/>
        <w:ind w:left="729" w:right="0" w:firstLine="0"/>
        <w:jc w:val="left"/>
        <w:rPr>
          <w:rFonts w:ascii="Consolas"/>
          <w:sz w:val="20"/>
        </w:rPr>
      </w:pPr>
      <w:r>
        <w:rPr>
          <w:rFonts w:ascii="Consolas"/>
          <w:sz w:val="20"/>
        </w:rPr>
        <w:t>&lt;c r="C3" s="0"&gt;</w:t>
      </w:r>
    </w:p>
    <w:p>
      <w:pPr>
        <w:spacing w:before="35"/>
        <w:ind w:left="950" w:right="0" w:firstLine="0"/>
        <w:jc w:val="left"/>
        <w:rPr>
          <w:rFonts w:ascii="Consolas"/>
          <w:sz w:val="20"/>
        </w:rPr>
      </w:pPr>
      <w:r>
        <w:rPr>
          <w:rFonts w:ascii="Consolas"/>
          <w:sz w:val="20"/>
        </w:rPr>
        <w:t>&lt;v&gt;399.36&lt;/v&gt;</w:t>
      </w:r>
    </w:p>
    <w:p>
      <w:pPr>
        <w:spacing w:before="34"/>
        <w:ind w:left="0" w:right="9507" w:firstLine="0"/>
        <w:jc w:val="right"/>
        <w:rPr>
          <w:rFonts w:ascii="Consolas"/>
          <w:sz w:val="20"/>
        </w:rPr>
      </w:pPr>
      <w:r>
        <w:rPr>
          <w:rFonts w:ascii="Consolas"/>
          <w:w w:val="95"/>
          <w:sz w:val="20"/>
        </w:rPr>
        <w:t>&lt;/c&gt;</w:t>
      </w:r>
    </w:p>
    <w:p>
      <w:pPr>
        <w:spacing w:before="38"/>
        <w:ind w:left="0" w:right="9507" w:firstLine="0"/>
        <w:jc w:val="right"/>
        <w:rPr>
          <w:rFonts w:ascii="Consolas"/>
          <w:sz w:val="20"/>
        </w:rPr>
      </w:pPr>
      <w:r>
        <w:rPr>
          <w:rFonts w:ascii="Consolas"/>
          <w:w w:val="95"/>
          <w:sz w:val="20"/>
        </w:rPr>
        <w:t>&lt;/row&gt;</w:t>
      </w:r>
    </w:p>
    <w:p>
      <w:pPr>
        <w:pStyle w:val="BodyText"/>
        <w:spacing w:before="10"/>
        <w:rPr>
          <w:rFonts w:ascii="Consolas"/>
          <w:sz w:val="19"/>
        </w:rPr>
      </w:pPr>
    </w:p>
    <w:p>
      <w:pPr>
        <w:pStyle w:val="BodyText"/>
        <w:spacing w:line="278" w:lineRule="auto"/>
        <w:ind w:left="220" w:right="503"/>
      </w:pPr>
      <w:r>
        <w:rPr/>
        <w:t>As this formula is an array formula spanning multiple cells, the </w:t>
      </w:r>
      <w:r>
        <w:rPr>
          <w:rFonts w:ascii="Cambria"/>
        </w:rPr>
        <w:t>r </w:t>
      </w:r>
      <w:r>
        <w:rPr/>
        <w:t>attribute of cell </w:t>
      </w:r>
      <w:r>
        <w:rPr>
          <w:rFonts w:ascii="Consolas"/>
        </w:rPr>
        <w:t>C1</w:t>
      </w:r>
      <w:r>
        <w:rPr>
          <w:rFonts w:ascii="Consolas"/>
          <w:spacing w:val="-98"/>
        </w:rPr>
        <w:t> </w:t>
      </w:r>
      <w:r>
        <w:rPr/>
        <w:t>contains the name of that cell range, </w:t>
      </w:r>
      <w:r>
        <w:rPr>
          <w:rFonts w:ascii="Consolas"/>
        </w:rPr>
        <w:t>C1:C3</w:t>
      </w:r>
      <w:r>
        <w:rPr/>
        <w:t>, and cells </w:t>
      </w:r>
      <w:r>
        <w:rPr>
          <w:rFonts w:ascii="Consolas"/>
        </w:rPr>
        <w:t>C2</w:t>
      </w:r>
      <w:r>
        <w:rPr>
          <w:rFonts w:ascii="Consolas"/>
          <w:spacing w:val="-72"/>
        </w:rPr>
        <w:t> </w:t>
      </w:r>
      <w:r>
        <w:rPr/>
        <w:t>and </w:t>
      </w:r>
      <w:r>
        <w:rPr>
          <w:rFonts w:ascii="Consolas"/>
        </w:rPr>
        <w:t>C3</w:t>
      </w:r>
      <w:r>
        <w:rPr>
          <w:rFonts w:ascii="Consolas"/>
          <w:spacing w:val="-71"/>
        </w:rPr>
        <w:t> </w:t>
      </w:r>
      <w:r>
        <w:rPr/>
        <w:t>do not have an </w:t>
      </w:r>
      <w:r>
        <w:rPr>
          <w:rFonts w:ascii="Cambria"/>
        </w:rPr>
        <w:t>f </w:t>
      </w:r>
      <w:r>
        <w:rPr/>
        <w:t>element. </w:t>
      </w:r>
      <w:r>
        <w:rPr>
          <w:i/>
        </w:rPr>
        <w:t>end example</w:t>
      </w:r>
      <w:r>
        <w:rPr/>
        <w:t>]</w:t>
      </w:r>
    </w:p>
    <w:p>
      <w:pPr>
        <w:pStyle w:val="Heading3"/>
        <w:numPr>
          <w:ilvl w:val="3"/>
          <w:numId w:val="66"/>
        </w:numPr>
        <w:tabs>
          <w:tab w:pos="1732" w:val="left" w:leader="none"/>
          <w:tab w:pos="1733" w:val="left" w:leader="none"/>
        </w:tabs>
        <w:spacing w:line="240" w:lineRule="auto" w:before="198" w:after="0"/>
        <w:ind w:left="1732" w:right="0" w:hanging="1513"/>
        <w:jc w:val="left"/>
      </w:pPr>
      <w:bookmarkStart w:name="18.17.6.4 Formula Evaluation Order" w:id="1379"/>
      <w:bookmarkEnd w:id="1379"/>
      <w:r>
        <w:rPr/>
      </w:r>
      <w:bookmarkStart w:name="_bookmark458" w:id="1380"/>
      <w:bookmarkEnd w:id="1380"/>
      <w:r>
        <w:rPr/>
      </w:r>
      <w:bookmarkStart w:name="_bookmark458" w:id="1381"/>
      <w:bookmarkEnd w:id="1381"/>
      <w:r>
        <w:rPr>
          <w:color w:val="4F81BC"/>
        </w:rPr>
        <w:t>Fo</w:t>
      </w:r>
      <w:r>
        <w:rPr>
          <w:color w:val="4F81BC"/>
        </w:rPr>
        <w:t>rmula Evaluation</w:t>
      </w:r>
      <w:r>
        <w:rPr>
          <w:color w:val="4F81BC"/>
          <w:spacing w:val="-2"/>
        </w:rPr>
        <w:t> </w:t>
      </w:r>
      <w:r>
        <w:rPr>
          <w:color w:val="4F81BC"/>
        </w:rPr>
        <w:t>Order</w:t>
      </w:r>
    </w:p>
    <w:p>
      <w:pPr>
        <w:pStyle w:val="BodyText"/>
        <w:spacing w:before="119"/>
        <w:ind w:left="220"/>
      </w:pPr>
      <w:r>
        <w:rPr/>
        <w:t>The order in which formulas are evaluated is determined by the order of their corresponding </w:t>
      </w:r>
      <w:r>
        <w:rPr>
          <w:rFonts w:ascii="Cambria"/>
        </w:rPr>
        <w:t>c </w:t>
      </w:r>
      <w:r>
        <w:rPr/>
        <w:t>elements in the</w:t>
      </w:r>
    </w:p>
    <w:p>
      <w:pPr>
        <w:pStyle w:val="BodyText"/>
        <w:spacing w:before="43"/>
        <w:ind w:left="220"/>
      </w:pPr>
      <w:r>
        <w:rPr>
          <w:rFonts w:ascii="Cambria" w:hAnsi="Cambria"/>
        </w:rPr>
        <w:t>calcChain </w:t>
      </w:r>
      <w:r>
        <w:rPr/>
        <w:t>element of the Calculation Chain part (§</w:t>
      </w:r>
      <w:hyperlink w:history="true" w:anchor="_bookmark174">
        <w:r>
          <w:rPr/>
          <w:t>18.6.2</w:t>
        </w:r>
      </w:hyperlink>
      <w:r>
        <w:rPr/>
        <w:t>).</w:t>
      </w:r>
    </w:p>
    <w:p>
      <w:pPr>
        <w:spacing w:after="0"/>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6.5 Name Representation" w:id="1382"/>
      <w:bookmarkEnd w:id="1382"/>
      <w:r>
        <w:rPr/>
      </w:r>
      <w:bookmarkStart w:name="_bookmark459" w:id="1383"/>
      <w:bookmarkEnd w:id="1383"/>
      <w:r>
        <w:rPr/>
      </w:r>
      <w:bookmarkStart w:name="_bookmark459" w:id="1384"/>
      <w:bookmarkEnd w:id="1384"/>
      <w:r>
        <w:rPr>
          <w:color w:val="4F81BC"/>
        </w:rPr>
        <w:t>Name</w:t>
      </w:r>
      <w:r>
        <w:rPr>
          <w:color w:val="4F81BC"/>
          <w:spacing w:val="-1"/>
        </w:rPr>
        <w:t> </w:t>
      </w:r>
      <w:r>
        <w:rPr>
          <w:color w:val="4F81BC"/>
        </w:rPr>
        <w:t>Representation</w:t>
      </w:r>
    </w:p>
    <w:p>
      <w:pPr>
        <w:pStyle w:val="BodyText"/>
        <w:spacing w:line="278" w:lineRule="auto" w:before="119"/>
        <w:ind w:left="220" w:right="459"/>
      </w:pPr>
      <w:r>
        <w:rPr/>
        <w:t>A formula can contain one or more names. These names shall be defined in the Workbook part's XML with each being the subject of a </w:t>
      </w:r>
      <w:r>
        <w:rPr>
          <w:rFonts w:ascii="Cambria"/>
        </w:rPr>
        <w:t>definedName </w:t>
      </w:r>
      <w:r>
        <w:rPr/>
        <w:t>element, inside a </w:t>
      </w:r>
      <w:r>
        <w:rPr>
          <w:rFonts w:ascii="Cambria"/>
        </w:rPr>
        <w:t>definedNames </w:t>
      </w:r>
      <w:r>
        <w:rPr/>
        <w:t>element. [</w:t>
      </w:r>
      <w:r>
        <w:rPr>
          <w:i/>
        </w:rPr>
        <w:t>Example</w:t>
      </w:r>
      <w:r>
        <w:rPr/>
        <w:t>: Consider the scalar formula </w:t>
      </w:r>
      <w:r>
        <w:rPr>
          <w:rFonts w:ascii="Consolas"/>
        </w:rPr>
        <w:t>SUM(value1,value2)</w:t>
      </w:r>
      <w:r>
        <w:rPr/>
        <w:t>. The corresponding XML might be as follows:</w:t>
      </w:r>
    </w:p>
    <w:p>
      <w:pPr>
        <w:pStyle w:val="BodyText"/>
        <w:spacing w:before="196"/>
        <w:ind w:left="508"/>
        <w:rPr>
          <w:rFonts w:ascii="Consolas"/>
        </w:rPr>
      </w:pPr>
      <w:r>
        <w:rPr>
          <w:rFonts w:ascii="Consolas"/>
        </w:rPr>
        <w:t>&lt;definedNames&gt;</w:t>
      </w:r>
    </w:p>
    <w:p>
      <w:pPr>
        <w:pStyle w:val="BodyText"/>
        <w:spacing w:before="38"/>
        <w:ind w:left="750"/>
        <w:rPr>
          <w:rFonts w:ascii="Consolas"/>
        </w:rPr>
      </w:pPr>
      <w:r>
        <w:rPr>
          <w:rFonts w:ascii="Consolas"/>
        </w:rPr>
        <w:t>&lt;definedName name="value1"</w:t>
      </w:r>
      <w:r>
        <w:rPr>
          <w:rFonts w:ascii="Consolas"/>
          <w:spacing w:val="-51"/>
        </w:rPr>
        <w:t> </w:t>
      </w:r>
      <w:r>
        <w:rPr>
          <w:rFonts w:ascii="Consolas"/>
        </w:rPr>
        <w:t>localSheetId="0"&gt;Sheet2!$B$2&lt;/definedName&gt;</w:t>
      </w:r>
    </w:p>
    <w:p>
      <w:pPr>
        <w:pStyle w:val="BodyText"/>
        <w:spacing w:before="37"/>
        <w:ind w:left="750"/>
        <w:rPr>
          <w:rFonts w:ascii="Consolas"/>
        </w:rPr>
      </w:pPr>
      <w:r>
        <w:rPr>
          <w:rFonts w:ascii="Consolas"/>
        </w:rPr>
        <w:t>&lt;definedName name="value2"</w:t>
      </w:r>
      <w:r>
        <w:rPr>
          <w:rFonts w:ascii="Consolas"/>
          <w:spacing w:val="-51"/>
        </w:rPr>
        <w:t> </w:t>
      </w:r>
      <w:r>
        <w:rPr>
          <w:rFonts w:ascii="Consolas"/>
        </w:rPr>
        <w:t>localSheetId="0"&gt;Sheet2!$B$3&lt;/definedName&gt;</w:t>
      </w:r>
    </w:p>
    <w:p>
      <w:pPr>
        <w:pStyle w:val="BodyText"/>
        <w:spacing w:before="40"/>
        <w:ind w:left="508"/>
        <w:rPr>
          <w:rFonts w:ascii="Consolas"/>
        </w:rPr>
      </w:pPr>
      <w:r>
        <w:rPr>
          <w:rFonts w:ascii="Consolas"/>
        </w:rPr>
        <w:t>&lt;/definedNames&gt;</w:t>
      </w:r>
    </w:p>
    <w:p>
      <w:pPr>
        <w:pStyle w:val="BodyText"/>
        <w:spacing w:before="38"/>
        <w:ind w:left="508"/>
        <w:rPr>
          <w:rFonts w:ascii="Consolas" w:hAnsi="Consolas"/>
        </w:rPr>
      </w:pPr>
      <w:r>
        <w:rPr>
          <w:rFonts w:ascii="Consolas" w:hAnsi="Consolas"/>
          <w:w w:val="100"/>
        </w:rPr>
        <w:t>…</w:t>
      </w:r>
    </w:p>
    <w:p>
      <w:pPr>
        <w:pStyle w:val="BodyText"/>
        <w:spacing w:before="40"/>
        <w:ind w:left="508"/>
        <w:rPr>
          <w:rFonts w:ascii="Consolas"/>
        </w:rPr>
      </w:pPr>
      <w:r>
        <w:rPr>
          <w:rFonts w:ascii="Consolas"/>
        </w:rPr>
        <w:t>&lt;c r="E5" s="0"&gt;</w:t>
      </w:r>
    </w:p>
    <w:p>
      <w:pPr>
        <w:pStyle w:val="BodyText"/>
        <w:spacing w:before="38"/>
        <w:ind w:left="750"/>
        <w:rPr>
          <w:rFonts w:ascii="Consolas"/>
        </w:rPr>
      </w:pPr>
      <w:r>
        <w:rPr>
          <w:rFonts w:ascii="Consolas"/>
        </w:rPr>
        <w:t>&lt;f ce="1"&gt;SUM(value1,value2)&lt;/f&gt;</w:t>
      </w:r>
    </w:p>
    <w:p>
      <w:pPr>
        <w:pStyle w:val="BodyText"/>
        <w:spacing w:before="40"/>
        <w:ind w:left="750"/>
        <w:rPr>
          <w:rFonts w:ascii="Consolas"/>
        </w:rPr>
      </w:pPr>
      <w:r>
        <w:rPr>
          <w:rFonts w:ascii="Consolas"/>
        </w:rPr>
        <w:t>&lt;v&gt;8&lt;/v&gt;</w:t>
      </w:r>
    </w:p>
    <w:p>
      <w:pPr>
        <w:pStyle w:val="BodyText"/>
        <w:spacing w:before="38"/>
        <w:ind w:left="508"/>
        <w:rPr>
          <w:rFonts w:ascii="Consolas"/>
        </w:rPr>
      </w:pPr>
      <w:r>
        <w:rPr>
          <w:rFonts w:ascii="Consolas"/>
        </w:rPr>
        <w:t>&lt;/c&gt;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BodyText"/>
        <w:ind w:left="220"/>
      </w:pPr>
      <w:r>
        <w:rPr/>
        <w:t>Each name shall be the subject of an </w:t>
      </w:r>
      <w:r>
        <w:rPr>
          <w:rFonts w:ascii="Cambria"/>
        </w:rPr>
        <w:t>lpstr </w:t>
      </w:r>
      <w:r>
        <w:rPr/>
        <w:t>element in the Application-Defined File Properties part.</w:t>
      </w:r>
    </w:p>
    <w:p>
      <w:pPr>
        <w:pStyle w:val="BodyText"/>
        <w:spacing w:before="8"/>
        <w:rPr>
          <w:sz w:val="19"/>
        </w:rPr>
      </w:pPr>
    </w:p>
    <w:p>
      <w:pPr>
        <w:pStyle w:val="BodyText"/>
        <w:ind w:left="508"/>
        <w:rPr>
          <w:rFonts w:ascii="Consolas"/>
        </w:rPr>
      </w:pPr>
      <w:r>
        <w:rPr>
          <w:rFonts w:ascii="Consolas"/>
        </w:rPr>
        <w:t>&lt;TitlesOfParts&gt;</w:t>
      </w:r>
    </w:p>
    <w:p>
      <w:pPr>
        <w:pStyle w:val="BodyText"/>
        <w:spacing w:before="38"/>
        <w:ind w:left="750"/>
        <w:rPr>
          <w:rFonts w:ascii="Consolas" w:hAnsi="Consolas"/>
        </w:rPr>
      </w:pPr>
      <w:r>
        <w:rPr>
          <w:rFonts w:ascii="Consolas" w:hAnsi="Consolas"/>
        </w:rPr>
        <w:t>&lt;vt:vector … baseType="lpstr"&gt;</w:t>
      </w:r>
    </w:p>
    <w:p>
      <w:pPr>
        <w:pStyle w:val="BodyText"/>
        <w:spacing w:before="40"/>
        <w:ind w:left="993"/>
        <w:rPr>
          <w:rFonts w:ascii="Consolas"/>
        </w:rPr>
      </w:pPr>
      <w:r>
        <w:rPr>
          <w:rFonts w:ascii="Consolas"/>
        </w:rPr>
        <w:t>&lt;vt:lpstr&gt;Sheet1&lt;/vt:lpstr&gt;</w:t>
      </w:r>
    </w:p>
    <w:p>
      <w:pPr>
        <w:pStyle w:val="BodyText"/>
        <w:spacing w:before="38"/>
        <w:ind w:left="993"/>
        <w:rPr>
          <w:rFonts w:ascii="Consolas"/>
        </w:rPr>
      </w:pPr>
      <w:r>
        <w:rPr>
          <w:rFonts w:ascii="Consolas"/>
        </w:rPr>
        <w:t>&lt;vt:lpstr&gt;Sheet2&lt;/vt:lpstr&gt;</w:t>
      </w:r>
    </w:p>
    <w:p>
      <w:pPr>
        <w:pStyle w:val="BodyText"/>
        <w:spacing w:before="40"/>
        <w:ind w:left="993"/>
        <w:rPr>
          <w:rFonts w:ascii="Consolas"/>
        </w:rPr>
      </w:pPr>
      <w:r>
        <w:rPr>
          <w:rFonts w:ascii="Consolas"/>
        </w:rPr>
        <w:t>&lt;vt:lpstr&gt;Sheet3&lt;/vt:lpstr&gt;</w:t>
      </w:r>
    </w:p>
    <w:p>
      <w:pPr>
        <w:pStyle w:val="BodyText"/>
        <w:spacing w:before="37"/>
        <w:ind w:left="993"/>
        <w:rPr>
          <w:rFonts w:ascii="Consolas"/>
        </w:rPr>
      </w:pPr>
      <w:r>
        <w:rPr>
          <w:rFonts w:ascii="Consolas"/>
        </w:rPr>
        <w:t>&lt;vt:lpstr&gt;value1&lt;/vt:lpstr&gt;</w:t>
      </w:r>
    </w:p>
    <w:p>
      <w:pPr>
        <w:pStyle w:val="BodyText"/>
        <w:spacing w:before="38"/>
        <w:ind w:left="993"/>
        <w:rPr>
          <w:rFonts w:ascii="Consolas"/>
        </w:rPr>
      </w:pPr>
      <w:r>
        <w:rPr>
          <w:rFonts w:ascii="Consolas"/>
        </w:rPr>
        <w:t>&lt;vt:lpstr&gt;value2&lt;/vt:lpstr&gt;</w:t>
      </w:r>
    </w:p>
    <w:p>
      <w:pPr>
        <w:pStyle w:val="BodyText"/>
        <w:spacing w:before="40"/>
        <w:ind w:left="165" w:right="7889"/>
        <w:jc w:val="center"/>
        <w:rPr>
          <w:rFonts w:ascii="Consolas"/>
        </w:rPr>
      </w:pPr>
      <w:r>
        <w:rPr>
          <w:rFonts w:ascii="Consolas"/>
        </w:rPr>
        <w:t>&lt;/vt:vector&gt;</w:t>
      </w:r>
    </w:p>
    <w:p>
      <w:pPr>
        <w:pStyle w:val="BodyText"/>
        <w:spacing w:before="38"/>
        <w:ind w:left="165" w:right="7892"/>
        <w:jc w:val="center"/>
        <w:rPr>
          <w:rFonts w:ascii="Consolas"/>
        </w:rPr>
      </w:pPr>
      <w:r>
        <w:rPr>
          <w:rFonts w:ascii="Consolas"/>
        </w:rPr>
        <w:t>&lt;/TitlesOfParts&gt;</w:t>
      </w:r>
    </w:p>
    <w:p>
      <w:pPr>
        <w:pStyle w:val="BodyText"/>
        <w:spacing w:before="5"/>
        <w:rPr>
          <w:rFonts w:ascii="Consolas"/>
          <w:sz w:val="20"/>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6.6 Value Representation" w:id="1385"/>
      <w:bookmarkEnd w:id="1385"/>
      <w:r>
        <w:rPr/>
      </w:r>
      <w:bookmarkStart w:name="_bookmark460" w:id="1386"/>
      <w:bookmarkEnd w:id="1386"/>
      <w:r>
        <w:rPr/>
      </w:r>
      <w:bookmarkStart w:name="_bookmark460" w:id="1387"/>
      <w:bookmarkEnd w:id="1387"/>
      <w:r>
        <w:rPr>
          <w:color w:val="4F81BC"/>
        </w:rPr>
        <w:t>Valu</w:t>
      </w:r>
      <w:r>
        <w:rPr>
          <w:color w:val="4F81BC"/>
        </w:rPr>
        <w:t>e</w:t>
      </w:r>
      <w:r>
        <w:rPr>
          <w:color w:val="4F81BC"/>
          <w:spacing w:val="-2"/>
        </w:rPr>
        <w:t> </w:t>
      </w:r>
      <w:r>
        <w:rPr>
          <w:color w:val="4F81BC"/>
        </w:rPr>
        <w:t>Representation</w:t>
      </w:r>
    </w:p>
    <w:p>
      <w:pPr>
        <w:pStyle w:val="BodyText"/>
        <w:spacing w:before="121"/>
        <w:ind w:left="220"/>
      </w:pPr>
      <w:r>
        <w:rPr/>
        <w:t>The most recent value of a formula shall be stored in the corresponding </w:t>
      </w:r>
      <w:r>
        <w:rPr>
          <w:rFonts w:ascii="Cambria"/>
        </w:rPr>
        <w:t>v </w:t>
      </w:r>
      <w:r>
        <w:rPr/>
        <w:t>element, as follows:</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6393"/>
      </w:tblGrid>
      <w:tr>
        <w:trPr>
          <w:trHeight w:val="354" w:hRule="atLeast"/>
        </w:trPr>
        <w:tc>
          <w:tcPr>
            <w:tcW w:w="1548" w:type="dxa"/>
            <w:shd w:val="clear" w:color="auto" w:fill="C0C0C0"/>
          </w:tcPr>
          <w:p>
            <w:pPr>
              <w:pStyle w:val="TableParagraph"/>
              <w:ind w:left="242"/>
              <w:rPr>
                <w:b/>
                <w:sz w:val="22"/>
              </w:rPr>
            </w:pPr>
            <w:r>
              <w:rPr>
                <w:b/>
                <w:sz w:val="22"/>
              </w:rPr>
              <w:t>Result Type</w:t>
            </w:r>
          </w:p>
        </w:tc>
        <w:tc>
          <w:tcPr>
            <w:tcW w:w="6393" w:type="dxa"/>
            <w:shd w:val="clear" w:color="auto" w:fill="C0C0C0"/>
          </w:tcPr>
          <w:p>
            <w:pPr>
              <w:pStyle w:val="TableParagraph"/>
              <w:ind w:left="2472" w:right="2461"/>
              <w:jc w:val="center"/>
              <w:rPr>
                <w:b/>
                <w:sz w:val="22"/>
              </w:rPr>
            </w:pPr>
            <w:r>
              <w:rPr>
                <w:b/>
                <w:sz w:val="22"/>
              </w:rPr>
              <w:t>Representation</w:t>
            </w:r>
          </w:p>
        </w:tc>
      </w:tr>
      <w:tr>
        <w:trPr>
          <w:trHeight w:val="354" w:hRule="atLeast"/>
        </w:trPr>
        <w:tc>
          <w:tcPr>
            <w:tcW w:w="1548" w:type="dxa"/>
          </w:tcPr>
          <w:p>
            <w:pPr>
              <w:pStyle w:val="TableParagraph"/>
              <w:rPr>
                <w:sz w:val="22"/>
              </w:rPr>
            </w:pPr>
            <w:r>
              <w:rPr>
                <w:sz w:val="22"/>
              </w:rPr>
              <w:t>array</w:t>
            </w:r>
          </w:p>
        </w:tc>
        <w:tc>
          <w:tcPr>
            <w:tcW w:w="6393" w:type="dxa"/>
          </w:tcPr>
          <w:p>
            <w:pPr>
              <w:pStyle w:val="TableParagraph"/>
              <w:ind w:left="114"/>
              <w:rPr>
                <w:sz w:val="22"/>
              </w:rPr>
            </w:pPr>
            <w:r>
              <w:rPr>
                <w:sz w:val="22"/>
              </w:rPr>
              <w:t>The text form of the array's value.</w:t>
            </w:r>
          </w:p>
        </w:tc>
      </w:tr>
      <w:tr>
        <w:trPr>
          <w:trHeight w:val="354" w:hRule="atLeast"/>
        </w:trPr>
        <w:tc>
          <w:tcPr>
            <w:tcW w:w="1548" w:type="dxa"/>
          </w:tcPr>
          <w:p>
            <w:pPr>
              <w:pStyle w:val="TableParagraph"/>
              <w:rPr>
                <w:sz w:val="22"/>
              </w:rPr>
            </w:pPr>
            <w:r>
              <w:rPr>
                <w:sz w:val="22"/>
              </w:rPr>
              <w:t>error</w:t>
            </w:r>
          </w:p>
        </w:tc>
        <w:tc>
          <w:tcPr>
            <w:tcW w:w="6393" w:type="dxa"/>
          </w:tcPr>
          <w:p>
            <w:pPr>
              <w:pStyle w:val="TableParagraph"/>
              <w:ind w:left="114"/>
              <w:rPr>
                <w:sz w:val="22"/>
              </w:rPr>
            </w:pPr>
            <w:r>
              <w:rPr>
                <w:sz w:val="22"/>
              </w:rPr>
              <w:t>The text form of the error value.</w:t>
            </w:r>
          </w:p>
        </w:tc>
      </w:tr>
      <w:tr>
        <w:trPr>
          <w:trHeight w:val="354" w:hRule="atLeast"/>
        </w:trPr>
        <w:tc>
          <w:tcPr>
            <w:tcW w:w="1548" w:type="dxa"/>
          </w:tcPr>
          <w:p>
            <w:pPr>
              <w:pStyle w:val="TableParagraph"/>
              <w:rPr>
                <w:sz w:val="22"/>
              </w:rPr>
            </w:pPr>
            <w:r>
              <w:rPr>
                <w:sz w:val="22"/>
              </w:rPr>
              <w:t>logical</w:t>
            </w:r>
          </w:p>
        </w:tc>
        <w:tc>
          <w:tcPr>
            <w:tcW w:w="6393" w:type="dxa"/>
          </w:tcPr>
          <w:p>
            <w:pPr>
              <w:pStyle w:val="TableParagraph"/>
              <w:ind w:left="114"/>
              <w:rPr>
                <w:sz w:val="22"/>
              </w:rPr>
            </w:pPr>
            <w:r>
              <w:rPr>
                <w:sz w:val="22"/>
              </w:rPr>
              <w:t>The text </w:t>
            </w:r>
            <w:r>
              <w:rPr>
                <w:rFonts w:ascii="Consolas"/>
                <w:sz w:val="22"/>
              </w:rPr>
              <w:t>0</w:t>
            </w:r>
            <w:r>
              <w:rPr>
                <w:rFonts w:ascii="Consolas"/>
                <w:spacing w:val="-70"/>
                <w:sz w:val="22"/>
              </w:rPr>
              <w:t> </w:t>
            </w:r>
            <w:r>
              <w:rPr>
                <w:sz w:val="22"/>
              </w:rPr>
              <w:t>for </w:t>
            </w:r>
            <w:r>
              <w:rPr>
                <w:rFonts w:ascii="Consolas"/>
                <w:sz w:val="22"/>
              </w:rPr>
              <w:t>FALSE</w:t>
            </w:r>
            <w:r>
              <w:rPr>
                <w:rFonts w:ascii="Consolas"/>
                <w:spacing w:val="-72"/>
                <w:sz w:val="22"/>
              </w:rPr>
              <w:t> </w:t>
            </w:r>
            <w:r>
              <w:rPr>
                <w:sz w:val="22"/>
              </w:rPr>
              <w:t>and </w:t>
            </w:r>
            <w:r>
              <w:rPr>
                <w:rFonts w:ascii="Consolas"/>
                <w:sz w:val="22"/>
              </w:rPr>
              <w:t>1</w:t>
            </w:r>
            <w:r>
              <w:rPr>
                <w:rFonts w:ascii="Consolas"/>
                <w:spacing w:val="-72"/>
                <w:sz w:val="22"/>
              </w:rPr>
              <w:t> </w:t>
            </w:r>
            <w:r>
              <w:rPr>
                <w:sz w:val="22"/>
              </w:rPr>
              <w:t>for </w:t>
            </w:r>
            <w:r>
              <w:rPr>
                <w:rFonts w:ascii="Consolas"/>
                <w:sz w:val="22"/>
              </w:rPr>
              <w:t>TRUE</w:t>
            </w:r>
            <w:r>
              <w:rPr>
                <w:sz w:val="22"/>
              </w:rPr>
              <w:t>.</w:t>
            </w:r>
          </w:p>
        </w:tc>
      </w:tr>
      <w:tr>
        <w:trPr>
          <w:trHeight w:val="355" w:hRule="atLeast"/>
        </w:trPr>
        <w:tc>
          <w:tcPr>
            <w:tcW w:w="1548" w:type="dxa"/>
          </w:tcPr>
          <w:p>
            <w:pPr>
              <w:pStyle w:val="TableParagraph"/>
              <w:rPr>
                <w:sz w:val="22"/>
              </w:rPr>
            </w:pPr>
            <w:r>
              <w:rPr>
                <w:sz w:val="22"/>
              </w:rPr>
              <w:t>number</w:t>
            </w:r>
          </w:p>
        </w:tc>
        <w:tc>
          <w:tcPr>
            <w:tcW w:w="6393" w:type="dxa"/>
          </w:tcPr>
          <w:p>
            <w:pPr>
              <w:pStyle w:val="TableParagraph"/>
              <w:ind w:left="114"/>
              <w:rPr>
                <w:sz w:val="22"/>
              </w:rPr>
            </w:pPr>
            <w:r>
              <w:rPr>
                <w:sz w:val="22"/>
              </w:rPr>
              <w:t>The unformatted text form of the number, as accurately as possible.</w:t>
            </w:r>
          </w:p>
        </w:tc>
      </w:tr>
      <w:tr>
        <w:trPr>
          <w:trHeight w:val="354" w:hRule="atLeast"/>
        </w:trPr>
        <w:tc>
          <w:tcPr>
            <w:tcW w:w="1548" w:type="dxa"/>
          </w:tcPr>
          <w:p>
            <w:pPr>
              <w:pStyle w:val="TableParagraph"/>
              <w:rPr>
                <w:sz w:val="22"/>
              </w:rPr>
            </w:pPr>
            <w:r>
              <w:rPr>
                <w:sz w:val="22"/>
              </w:rPr>
              <w:t>text</w:t>
            </w:r>
          </w:p>
        </w:tc>
        <w:tc>
          <w:tcPr>
            <w:tcW w:w="6393" w:type="dxa"/>
          </w:tcPr>
          <w:p>
            <w:pPr>
              <w:pStyle w:val="TableParagraph"/>
              <w:ind w:left="114"/>
              <w:rPr>
                <w:sz w:val="22"/>
              </w:rPr>
            </w:pPr>
            <w:r>
              <w:rPr>
                <w:sz w:val="22"/>
              </w:rPr>
              <w:t>All of the characters in the text.</w:t>
            </w:r>
          </w:p>
        </w:tc>
      </w:tr>
    </w:tbl>
    <w:p>
      <w:pPr>
        <w:pStyle w:val="Heading3"/>
        <w:numPr>
          <w:ilvl w:val="3"/>
          <w:numId w:val="66"/>
        </w:numPr>
        <w:tabs>
          <w:tab w:pos="1732" w:val="left" w:leader="none"/>
          <w:tab w:pos="1733" w:val="left" w:leader="none"/>
        </w:tabs>
        <w:spacing w:line="240" w:lineRule="auto" w:before="158" w:after="0"/>
        <w:ind w:left="1732" w:right="0" w:hanging="1513"/>
        <w:jc w:val="left"/>
      </w:pPr>
      <w:bookmarkStart w:name="18.17.6.7 Dates and Times" w:id="1388"/>
      <w:bookmarkEnd w:id="1388"/>
      <w:r>
        <w:rPr/>
      </w:r>
      <w:bookmarkStart w:name="_bookmark461" w:id="1389"/>
      <w:bookmarkEnd w:id="1389"/>
      <w:r>
        <w:rPr/>
      </w:r>
      <w:bookmarkStart w:name="_bookmark461" w:id="1390"/>
      <w:bookmarkEnd w:id="1390"/>
      <w:r>
        <w:rPr>
          <w:color w:val="4F81BC"/>
        </w:rPr>
        <w:t>Dates</w:t>
      </w:r>
      <w:r>
        <w:rPr>
          <w:color w:val="4F81BC"/>
        </w:rPr>
        <w:t> and</w:t>
      </w:r>
      <w:r>
        <w:rPr>
          <w:color w:val="4F81BC"/>
          <w:spacing w:val="-3"/>
        </w:rPr>
        <w:t> </w:t>
      </w:r>
      <w:r>
        <w:rPr>
          <w:color w:val="4F81BC"/>
        </w:rPr>
        <w:t>Times</w:t>
      </w:r>
    </w:p>
    <w:p>
      <w:pPr>
        <w:pStyle w:val="BodyText"/>
        <w:spacing w:line="276" w:lineRule="auto" w:before="121"/>
        <w:ind w:left="220" w:right="386"/>
      </w:pPr>
      <w:r>
        <w:rPr/>
        <w:t>When a SpreadsheetML cell contains a date-time, the value of the cell is expressed as a string conforming to one of the ISO 8601 lexical formats specified in §</w:t>
      </w:r>
      <w:hyperlink w:history="true" w:anchor="_bookmark445">
        <w:r>
          <w:rPr/>
          <w:t>18.17.4</w:t>
        </w:r>
      </w:hyperlink>
      <w:r>
        <w:rPr/>
        <w:t>.</w:t>
      </w:r>
    </w:p>
    <w:p>
      <w:pPr>
        <w:spacing w:after="0" w:line="276" w:lineRule="auto"/>
        <w:sectPr>
          <w:footerReference w:type="even" r:id="rId203"/>
          <w:footerReference w:type="default" r:id="rId204"/>
          <w:pgSz w:w="12240" w:h="15840"/>
          <w:pgMar w:footer="746" w:header="761" w:top="1340" w:bottom="940" w:left="860" w:right="700"/>
          <w:pgNumType w:start="2070"/>
        </w:sectPr>
      </w:pPr>
    </w:p>
    <w:p>
      <w:pPr>
        <w:spacing w:before="150"/>
        <w:ind w:left="220" w:right="0" w:firstLine="0"/>
        <w:jc w:val="left"/>
        <w:rPr>
          <w:sz w:val="22"/>
        </w:rPr>
      </w:pPr>
      <w:r>
        <w:rPr>
          <w:sz w:val="22"/>
        </w:rPr>
        <w:t>[</w:t>
      </w:r>
      <w:r>
        <w:rPr>
          <w:i/>
          <w:sz w:val="22"/>
        </w:rPr>
        <w:t>Example</w:t>
      </w:r>
      <w:r>
        <w:rPr>
          <w:sz w:val="22"/>
        </w:rPr>
        <w:t>:</w:t>
      </w:r>
    </w:p>
    <w:p>
      <w:pPr>
        <w:pStyle w:val="BodyText"/>
        <w:spacing w:before="1"/>
        <w:rPr>
          <w:sz w:val="20"/>
        </w:rPr>
      </w:pPr>
    </w:p>
    <w:p>
      <w:pPr>
        <w:spacing w:before="0"/>
        <w:ind w:left="165" w:right="9470" w:firstLine="0"/>
        <w:jc w:val="center"/>
        <w:rPr>
          <w:rFonts w:ascii="Consolas"/>
          <w:sz w:val="22"/>
        </w:rPr>
      </w:pPr>
      <w:r>
        <w:rPr>
          <w:rFonts w:ascii="Consolas"/>
          <w:sz w:val="22"/>
        </w:rPr>
        <w:t>&lt;</w:t>
      </w:r>
      <w:r>
        <w:rPr>
          <w:rFonts w:ascii="Arial"/>
          <w:sz w:val="20"/>
        </w:rPr>
        <w:t>c t</w:t>
      </w:r>
      <w:r>
        <w:rPr>
          <w:rFonts w:ascii="Consolas"/>
          <w:sz w:val="22"/>
        </w:rPr>
        <w:t>="d"&gt;</w:t>
      </w:r>
    </w:p>
    <w:p>
      <w:pPr>
        <w:pStyle w:val="BodyText"/>
        <w:spacing w:before="48"/>
        <w:ind w:left="165" w:right="6655"/>
        <w:jc w:val="center"/>
        <w:rPr>
          <w:rFonts w:ascii="Consolas"/>
        </w:rPr>
      </w:pPr>
      <w:r>
        <w:rPr>
          <w:rFonts w:ascii="Consolas"/>
        </w:rPr>
        <w:t>&lt;f&gt;DATE(1582,10,15)+0.5&lt;/f&gt;</w:t>
      </w:r>
    </w:p>
    <w:p>
      <w:pPr>
        <w:pStyle w:val="BodyText"/>
        <w:spacing w:before="37"/>
        <w:ind w:left="165" w:right="6651"/>
        <w:jc w:val="center"/>
        <w:rPr>
          <w:rFonts w:ascii="Consolas"/>
        </w:rPr>
      </w:pPr>
      <w:r>
        <w:rPr>
          <w:rFonts w:ascii="Consolas"/>
        </w:rPr>
        <w:t>&lt;v&gt;1582-10-15T12:00&lt;/v&gt;</w:t>
      </w:r>
    </w:p>
    <w:p>
      <w:pPr>
        <w:pStyle w:val="BodyText"/>
        <w:spacing w:before="38"/>
        <w:ind w:left="165" w:right="9434"/>
        <w:jc w:val="center"/>
        <w:rPr>
          <w:rFonts w:ascii="Consolas"/>
        </w:rPr>
      </w:pPr>
      <w:r>
        <w:rPr>
          <w:rFonts w:ascii="Consolas"/>
        </w:rPr>
        <w:t>&lt;/c&gt;</w:t>
      </w:r>
    </w:p>
    <w:p>
      <w:pPr>
        <w:pStyle w:val="BodyText"/>
        <w:spacing w:before="5"/>
        <w:rPr>
          <w:rFonts w:ascii="Consolas"/>
          <w:sz w:val="2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2"/>
        <w:numPr>
          <w:ilvl w:val="2"/>
          <w:numId w:val="66"/>
        </w:numPr>
        <w:tabs>
          <w:tab w:pos="1444" w:val="left" w:leader="none"/>
          <w:tab w:pos="1445" w:val="left" w:leader="none"/>
        </w:tabs>
        <w:spacing w:line="240" w:lineRule="auto" w:before="0" w:after="0"/>
        <w:ind w:left="1444" w:right="0" w:hanging="1225"/>
        <w:jc w:val="left"/>
      </w:pPr>
      <w:bookmarkStart w:name="18.17.7 Predefined Function Definitions" w:id="1391"/>
      <w:bookmarkEnd w:id="1391"/>
      <w:r>
        <w:rPr>
          <w:b w:val="0"/>
        </w:rPr>
      </w:r>
      <w:bookmarkStart w:name="_bookmark462" w:id="1392"/>
      <w:bookmarkEnd w:id="1392"/>
      <w:r>
        <w:rPr>
          <w:b w:val="0"/>
        </w:rPr>
      </w:r>
      <w:bookmarkStart w:name="_bookmark462" w:id="1393"/>
      <w:bookmarkEnd w:id="1393"/>
      <w:r>
        <w:rPr>
          <w:color w:val="4F81BC"/>
        </w:rPr>
        <w:t>Pr</w:t>
      </w:r>
      <w:r>
        <w:rPr>
          <w:color w:val="4F81BC"/>
        </w:rPr>
        <w:t>edefined Function</w:t>
      </w:r>
      <w:r>
        <w:rPr>
          <w:color w:val="4F81BC"/>
          <w:spacing w:val="-2"/>
        </w:rPr>
        <w:t> </w:t>
      </w:r>
      <w:r>
        <w:rPr>
          <w:color w:val="4F81BC"/>
        </w:rPr>
        <w:t>Definitions</w:t>
      </w:r>
    </w:p>
    <w:p>
      <w:pPr>
        <w:pStyle w:val="BodyText"/>
        <w:spacing w:line="276" w:lineRule="auto" w:before="124"/>
        <w:ind w:left="220" w:right="497"/>
      </w:pPr>
      <w:r>
        <w:rPr/>
        <w:t>Each of the subclauses below this subclause describes a separate function, and each description contains a section marked </w:t>
      </w:r>
      <w:r>
        <w:rPr>
          <w:b/>
        </w:rPr>
        <w:t>Syntax</w:t>
      </w:r>
      <w:r>
        <w:rPr/>
        <w:t>. That section contains pieces of the function grammar as they pertain to that specific function. These pieces are presented in a slightly simpler form to aid in the understanding of the description. In those sections, the left-square-bracket and right-square-bracket designate the start and end of an option, as used in ISO/IEC 14977. However, the function-name, the open-parenthesis and the close-parenthesis designate actual literal text, as does each comma. [</w:t>
      </w:r>
      <w:r>
        <w:rPr>
          <w:i/>
        </w:rPr>
        <w:t>Note</w:t>
      </w:r>
      <w:r>
        <w:rPr/>
        <w:t>: Therefore, in a strict presentation according to ISO/IEC 14977, each would appear with double-quotes surrounding each instance. </w:t>
      </w:r>
      <w:r>
        <w:rPr>
          <w:i/>
        </w:rPr>
        <w:t>end note</w:t>
      </w:r>
      <w:r>
        <w:rPr/>
        <w:t>]</w:t>
      </w:r>
    </w:p>
    <w:p>
      <w:pPr>
        <w:pStyle w:val="BodyText"/>
        <w:spacing w:before="5"/>
        <w:rPr>
          <w:sz w:val="16"/>
        </w:rPr>
      </w:pPr>
    </w:p>
    <w:p>
      <w:pPr>
        <w:pStyle w:val="BodyText"/>
        <w:spacing w:line="276" w:lineRule="auto"/>
        <w:ind w:left="220" w:right="449"/>
      </w:pPr>
      <w:r>
        <w:rPr/>
        <w:t>The </w:t>
      </w:r>
      <w:r>
        <w:rPr>
          <w:b/>
        </w:rPr>
        <w:t>Syntax </w:t>
      </w:r>
      <w:r>
        <w:rPr/>
        <w:t>section for each function defined in this subclause corresponds to a call to that function. Except for </w:t>
      </w:r>
      <w:r>
        <w:rPr>
          <w:rFonts w:ascii="Times New Roman" w:hAnsi="Times New Roman"/>
          <w:i/>
        </w:rPr>
        <w:t>argument-list</w:t>
      </w:r>
      <w:r>
        <w:rPr/>
        <w:t>, the names in any </w:t>
      </w:r>
      <w:r>
        <w:rPr>
          <w:b/>
        </w:rPr>
        <w:t>Syntax </w:t>
      </w:r>
      <w:r>
        <w:rPr/>
        <w:t>section typeset as in </w:t>
      </w:r>
      <w:r>
        <w:rPr>
          <w:rFonts w:ascii="Times New Roman" w:hAnsi="Times New Roman"/>
          <w:i/>
        </w:rPr>
        <w:t>number </w:t>
      </w:r>
      <w:r>
        <w:rPr/>
        <w:t>and </w:t>
      </w:r>
      <w:r>
        <w:rPr>
          <w:rFonts w:ascii="Times New Roman" w:hAnsi="Times New Roman"/>
          <w:i/>
        </w:rPr>
        <w:t>string-1</w:t>
      </w:r>
      <w:r>
        <w:rPr/>
        <w:t>, are parameter names for that function, and are local to that function definition's description. </w:t>
      </w:r>
      <w:r>
        <w:rPr>
          <w:rFonts w:ascii="Times New Roman" w:hAnsi="Times New Roman"/>
          <w:i/>
        </w:rPr>
        <w:t>argument-list </w:t>
      </w:r>
      <w:r>
        <w:rPr/>
        <w:t>is the name of a production in the grammar, and, as defined in §</w:t>
      </w:r>
      <w:hyperlink w:history="true" w:anchor="_bookmark434">
        <w:r>
          <w:rPr/>
          <w:t>18.17.2</w:t>
        </w:r>
      </w:hyperlink>
      <w:r>
        <w:rPr/>
        <w:t>, permits a comma-separated list of </w:t>
      </w:r>
      <w:r>
        <w:rPr>
          <w:rFonts w:ascii="Times New Roman" w:hAnsi="Times New Roman"/>
          <w:i/>
        </w:rPr>
        <w:t>argument</w:t>
      </w:r>
      <w:r>
        <w:rPr/>
        <w:t>s.</w:t>
      </w:r>
    </w:p>
    <w:p>
      <w:pPr>
        <w:pStyle w:val="BodyText"/>
        <w:spacing w:before="200"/>
        <w:ind w:left="220"/>
      </w:pPr>
      <w:r>
        <w:rPr/>
        <w:t>When the type of an argument passed to a function is incompatible with the type expected the error value</w:t>
      </w:r>
    </w:p>
    <w:p>
      <w:pPr>
        <w:pStyle w:val="BodyText"/>
        <w:spacing w:before="43"/>
        <w:ind w:left="220"/>
      </w:pPr>
      <w:r>
        <w:rPr>
          <w:rFonts w:ascii="Consolas"/>
        </w:rPr>
        <w:t>#VALUE!</w:t>
      </w:r>
      <w:r>
        <w:rPr>
          <w:rFonts w:ascii="Consolas"/>
          <w:spacing w:val="-71"/>
        </w:rPr>
        <w:t> </w:t>
      </w:r>
      <w:r>
        <w:rPr/>
        <w:t>is returned by that function.</w:t>
      </w:r>
    </w:p>
    <w:p>
      <w:pPr>
        <w:pStyle w:val="BodyText"/>
        <w:spacing w:before="6"/>
        <w:rPr>
          <w:sz w:val="19"/>
        </w:rPr>
      </w:pPr>
    </w:p>
    <w:p>
      <w:pPr>
        <w:pStyle w:val="BodyText"/>
        <w:spacing w:line="276" w:lineRule="auto" w:before="1"/>
        <w:ind w:left="220" w:right="685"/>
      </w:pPr>
      <w:r>
        <w:rPr/>
        <w:t>The set of predefined functions is divided into the following functional categories [</w:t>
      </w:r>
      <w:r>
        <w:rPr>
          <w:i/>
        </w:rPr>
        <w:t>Note</w:t>
      </w:r>
      <w:r>
        <w:rPr/>
        <w:t>: The predefined functions defined here reflect current spreadsheet semantics and might not match common practice in other contexts. New functions might be added in future versions of the specification. </w:t>
      </w:r>
      <w:r>
        <w:rPr>
          <w:i/>
        </w:rPr>
        <w:t>end note</w:t>
      </w:r>
      <w:r>
        <w:rPr/>
        <w:t>]:</w:t>
      </w:r>
    </w:p>
    <w:p>
      <w:pPr>
        <w:pStyle w:val="BodyText"/>
        <w:spacing w:before="3"/>
        <w:rPr>
          <w:sz w:val="16"/>
        </w:rPr>
      </w:pPr>
    </w:p>
    <w:p>
      <w:pPr>
        <w:pStyle w:val="BodyText"/>
        <w:spacing w:line="276" w:lineRule="auto"/>
        <w:ind w:left="220" w:right="503"/>
      </w:pPr>
      <w:r>
        <w:rPr/>
        <w:t>All predefined functions can be used with their simple name, with the prefix </w:t>
      </w:r>
      <w:r>
        <w:rPr>
          <w:rFonts w:ascii="Consolas"/>
        </w:rPr>
        <w:t>ECMA. </w:t>
      </w:r>
      <w:r>
        <w:rPr/>
        <w:t>or with the prefix </w:t>
      </w:r>
      <w:r>
        <w:rPr>
          <w:rFonts w:ascii="Consolas"/>
        </w:rPr>
        <w:t>ISO.</w:t>
      </w:r>
      <w:r>
        <w:rPr/>
        <w:t>, with the following exception: the predefined function named </w:t>
      </w:r>
      <w:r>
        <w:rPr>
          <w:rFonts w:ascii="Consolas"/>
        </w:rPr>
        <w:t>CEILING</w:t>
      </w:r>
      <w:r>
        <w:rPr>
          <w:rFonts w:ascii="Consolas"/>
          <w:spacing w:val="-104"/>
        </w:rPr>
        <w:t> </w:t>
      </w:r>
      <w:r>
        <w:rPr/>
        <w:t>in ECMA-376 can only be used with the prefix </w:t>
      </w:r>
      <w:r>
        <w:rPr>
          <w:rFonts w:ascii="Consolas"/>
        </w:rPr>
        <w:t>ECMA.</w:t>
      </w:r>
      <w:r>
        <w:rPr/>
        <w:t>. The predefined function named </w:t>
      </w:r>
      <w:r>
        <w:rPr>
          <w:rFonts w:ascii="Consolas"/>
        </w:rPr>
        <w:t>ISO.CEILING</w:t>
      </w:r>
      <w:r>
        <w:rPr>
          <w:rFonts w:ascii="Consolas"/>
          <w:spacing w:val="-82"/>
        </w:rPr>
        <w:t> </w:t>
      </w:r>
      <w:r>
        <w:rPr/>
        <w:t>is specified in ECMA-376.</w:t>
      </w:r>
    </w:p>
    <w:p>
      <w:pPr>
        <w:pStyle w:val="BodyText"/>
        <w:rPr>
          <w:sz w:val="20"/>
        </w:rPr>
      </w:pPr>
    </w:p>
    <w:p>
      <w:pPr>
        <w:pStyle w:val="BodyText"/>
        <w:rPr>
          <w:sz w:val="20"/>
        </w:rPr>
      </w:pPr>
    </w:p>
    <w:p>
      <w:pPr>
        <w:pStyle w:val="BodyText"/>
        <w:spacing w:before="3"/>
        <w:rPr>
          <w:sz w:val="1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7202"/>
      </w:tblGrid>
      <w:tr>
        <w:trPr>
          <w:trHeight w:val="354" w:hRule="atLeast"/>
        </w:trPr>
        <w:tc>
          <w:tcPr>
            <w:tcW w:w="1728" w:type="dxa"/>
            <w:shd w:val="clear" w:color="auto" w:fill="C0C0C0"/>
          </w:tcPr>
          <w:p>
            <w:pPr>
              <w:pStyle w:val="TableParagraph"/>
              <w:ind w:left="455"/>
              <w:rPr>
                <w:b/>
                <w:sz w:val="22"/>
              </w:rPr>
            </w:pPr>
            <w:r>
              <w:rPr>
                <w:b/>
                <w:sz w:val="22"/>
              </w:rPr>
              <w:t>Category</w:t>
            </w:r>
          </w:p>
        </w:tc>
        <w:tc>
          <w:tcPr>
            <w:tcW w:w="7202" w:type="dxa"/>
            <w:shd w:val="clear" w:color="auto" w:fill="C0C0C0"/>
          </w:tcPr>
          <w:p>
            <w:pPr>
              <w:pStyle w:val="TableParagraph"/>
              <w:ind w:left="3158" w:right="3149"/>
              <w:jc w:val="center"/>
              <w:rPr>
                <w:b/>
                <w:sz w:val="22"/>
              </w:rPr>
            </w:pPr>
            <w:r>
              <w:rPr>
                <w:b/>
                <w:sz w:val="22"/>
              </w:rPr>
              <w:t>Formulas</w:t>
            </w:r>
          </w:p>
        </w:tc>
      </w:tr>
      <w:tr>
        <w:trPr>
          <w:trHeight w:val="1161" w:hRule="atLeast"/>
        </w:trPr>
        <w:tc>
          <w:tcPr>
            <w:tcW w:w="1728" w:type="dxa"/>
          </w:tcPr>
          <w:p>
            <w:pPr>
              <w:pStyle w:val="TableParagraph"/>
              <w:rPr>
                <w:sz w:val="22"/>
              </w:rPr>
            </w:pPr>
            <w:r>
              <w:rPr>
                <w:sz w:val="22"/>
              </w:rPr>
              <w:t>Cube</w:t>
            </w:r>
          </w:p>
        </w:tc>
        <w:tc>
          <w:tcPr>
            <w:tcW w:w="7202" w:type="dxa"/>
          </w:tcPr>
          <w:p>
            <w:pPr>
              <w:pStyle w:val="TableParagraph"/>
              <w:ind w:left="114" w:right="107"/>
              <w:rPr>
                <w:sz w:val="22"/>
              </w:rPr>
            </w:pPr>
            <w:r>
              <w:rPr>
                <w:sz w:val="22"/>
              </w:rPr>
              <w:t>CUBEKPIMEMBER (§</w:t>
            </w:r>
            <w:hyperlink w:history="true" w:anchor="_bookmark528">
              <w:r>
                <w:rPr>
                  <w:sz w:val="22"/>
                </w:rPr>
                <w:t>18.17.7.65</w:t>
              </w:r>
            </w:hyperlink>
            <w:r>
              <w:rPr>
                <w:sz w:val="22"/>
              </w:rPr>
              <w:t>), CUBEMEMBER (§</w:t>
            </w:r>
            <w:hyperlink w:history="true" w:anchor="_bookmark529">
              <w:r>
                <w:rPr>
                  <w:sz w:val="22"/>
                </w:rPr>
                <w:t>18.17.7.66</w:t>
              </w:r>
            </w:hyperlink>
            <w:r>
              <w:rPr>
                <w:sz w:val="22"/>
              </w:rPr>
              <w:t>), CUBEMEMBERPROPERTY (§</w:t>
            </w:r>
            <w:hyperlink w:history="true" w:anchor="_bookmark530">
              <w:r>
                <w:rPr>
                  <w:sz w:val="22"/>
                </w:rPr>
                <w:t>18.17.7.67</w:t>
              </w:r>
            </w:hyperlink>
            <w:r>
              <w:rPr>
                <w:sz w:val="22"/>
              </w:rPr>
              <w:t>), CUBERANKEDMEMBER (§</w:t>
            </w:r>
            <w:hyperlink w:history="true" w:anchor="_bookmark531">
              <w:r>
                <w:rPr>
                  <w:sz w:val="22"/>
                </w:rPr>
                <w:t>18.17.7.68</w:t>
              </w:r>
            </w:hyperlink>
            <w:r>
              <w:rPr>
                <w:sz w:val="22"/>
              </w:rPr>
              <w:t>), CUBESET (§</w:t>
            </w:r>
            <w:hyperlink w:history="true" w:anchor="_bookmark532">
              <w:r>
                <w:rPr>
                  <w:sz w:val="22"/>
                </w:rPr>
                <w:t>18.17.7.69</w:t>
              </w:r>
            </w:hyperlink>
            <w:r>
              <w:rPr>
                <w:sz w:val="22"/>
              </w:rPr>
              <w:t>), CUBESETCOUNT (§</w:t>
            </w:r>
            <w:hyperlink w:history="true" w:anchor="_bookmark533">
              <w:r>
                <w:rPr>
                  <w:sz w:val="22"/>
                </w:rPr>
                <w:t>18.17.7.70</w:t>
              </w:r>
            </w:hyperlink>
            <w:r>
              <w:rPr>
                <w:sz w:val="22"/>
              </w:rPr>
              <w:t>), CUBEVALUE (§</w:t>
            </w:r>
            <w:hyperlink w:history="true" w:anchor="_bookmark534">
              <w:r>
                <w:rPr>
                  <w:sz w:val="22"/>
                </w:rPr>
                <w:t>18.17.7.71</w:t>
              </w:r>
            </w:hyperlink>
            <w:r>
              <w:rPr>
                <w:sz w:val="22"/>
              </w:rPr>
              <w:t>)</w:t>
            </w:r>
          </w:p>
        </w:tc>
      </w:tr>
      <w:tr>
        <w:trPr>
          <w:trHeight w:val="892" w:hRule="atLeast"/>
        </w:trPr>
        <w:tc>
          <w:tcPr>
            <w:tcW w:w="1728" w:type="dxa"/>
          </w:tcPr>
          <w:p>
            <w:pPr>
              <w:pStyle w:val="TableParagraph"/>
              <w:rPr>
                <w:sz w:val="22"/>
              </w:rPr>
            </w:pPr>
            <w:r>
              <w:rPr>
                <w:sz w:val="22"/>
              </w:rPr>
              <w:t>Database</w:t>
            </w:r>
          </w:p>
        </w:tc>
        <w:tc>
          <w:tcPr>
            <w:tcW w:w="7202" w:type="dxa"/>
          </w:tcPr>
          <w:p>
            <w:pPr>
              <w:pStyle w:val="TableParagraph"/>
              <w:ind w:left="114" w:right="394"/>
              <w:jc w:val="both"/>
              <w:rPr>
                <w:sz w:val="22"/>
              </w:rPr>
            </w:pPr>
            <w:r>
              <w:rPr>
                <w:sz w:val="22"/>
              </w:rPr>
              <w:t>DAVERAGE (§</w:t>
            </w:r>
            <w:hyperlink w:history="true" w:anchor="_bookmark540">
              <w:r>
                <w:rPr>
                  <w:sz w:val="22"/>
                </w:rPr>
                <w:t>18.17.7.77</w:t>
              </w:r>
            </w:hyperlink>
            <w:r>
              <w:rPr>
                <w:sz w:val="22"/>
              </w:rPr>
              <w:t>), DCOUNT (§</w:t>
            </w:r>
            <w:hyperlink w:history="true" w:anchor="_bookmark544">
              <w:r>
                <w:rPr>
                  <w:sz w:val="22"/>
                </w:rPr>
                <w:t>18.17.7.81</w:t>
              </w:r>
            </w:hyperlink>
            <w:r>
              <w:rPr>
                <w:sz w:val="22"/>
              </w:rPr>
              <w:t>), DCOUNTA (§</w:t>
            </w:r>
            <w:hyperlink w:history="true" w:anchor="_bookmark545">
              <w:r>
                <w:rPr>
                  <w:sz w:val="22"/>
                </w:rPr>
                <w:t>18.17.7.82</w:t>
              </w:r>
            </w:hyperlink>
            <w:r>
              <w:rPr>
                <w:sz w:val="22"/>
              </w:rPr>
              <w:t>), DGET (§</w:t>
            </w:r>
            <w:hyperlink w:history="true" w:anchor="_bookmark553">
              <w:r>
                <w:rPr>
                  <w:sz w:val="22"/>
                </w:rPr>
                <w:t>18.17.7.90</w:t>
              </w:r>
            </w:hyperlink>
            <w:r>
              <w:rPr>
                <w:sz w:val="22"/>
              </w:rPr>
              <w:t>), DMAX (§</w:t>
            </w:r>
            <w:hyperlink w:history="true" w:anchor="_bookmark555">
              <w:r>
                <w:rPr>
                  <w:sz w:val="22"/>
                </w:rPr>
                <w:t>18.17.7.92</w:t>
              </w:r>
            </w:hyperlink>
            <w:r>
              <w:rPr>
                <w:sz w:val="22"/>
              </w:rPr>
              <w:t>), DMIN (§</w:t>
            </w:r>
            <w:hyperlink w:history="true" w:anchor="_bookmark556">
              <w:r>
                <w:rPr>
                  <w:sz w:val="22"/>
                </w:rPr>
                <w:t>18.17.7.93</w:t>
              </w:r>
            </w:hyperlink>
            <w:r>
              <w:rPr>
                <w:sz w:val="22"/>
              </w:rPr>
              <w:t>), DPRODUCT (§</w:t>
            </w:r>
            <w:hyperlink w:history="true" w:anchor="_bookmark560">
              <w:r>
                <w:rPr>
                  <w:sz w:val="22"/>
                </w:rPr>
                <w:t>18.17.7.97</w:t>
              </w:r>
            </w:hyperlink>
            <w:r>
              <w:rPr>
                <w:sz w:val="22"/>
              </w:rPr>
              <w:t>), DSTDEV (§</w:t>
            </w:r>
            <w:hyperlink w:history="true" w:anchor="_bookmark561">
              <w:r>
                <w:rPr>
                  <w:sz w:val="22"/>
                </w:rPr>
                <w:t>18.17.7.98</w:t>
              </w:r>
            </w:hyperlink>
            <w:r>
              <w:rPr>
                <w:sz w:val="22"/>
              </w:rPr>
              <w:t>), DSTDEVP (§</w:t>
            </w:r>
            <w:hyperlink w:history="true" w:anchor="_bookmark562">
              <w:r>
                <w:rPr>
                  <w:sz w:val="22"/>
                </w:rPr>
                <w:t>18.17.7.99</w:t>
              </w:r>
            </w:hyperlink>
            <w:r>
              <w:rPr>
                <w:sz w:val="22"/>
              </w:rPr>
              <w:t>), DSUM</w:t>
            </w:r>
          </w:p>
        </w:tc>
      </w:tr>
    </w:tbl>
    <w:p>
      <w:pPr>
        <w:spacing w:after="0"/>
        <w:jc w:val="both"/>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7202"/>
      </w:tblGrid>
      <w:tr>
        <w:trPr>
          <w:trHeight w:val="355" w:hRule="atLeast"/>
        </w:trPr>
        <w:tc>
          <w:tcPr>
            <w:tcW w:w="1728" w:type="dxa"/>
            <w:shd w:val="clear" w:color="auto" w:fill="C0C0C0"/>
          </w:tcPr>
          <w:p>
            <w:pPr>
              <w:pStyle w:val="TableParagraph"/>
              <w:ind w:left="455"/>
              <w:rPr>
                <w:b/>
                <w:sz w:val="22"/>
              </w:rPr>
            </w:pPr>
            <w:r>
              <w:rPr>
                <w:b/>
                <w:sz w:val="22"/>
              </w:rPr>
              <w:t>Category</w:t>
            </w:r>
          </w:p>
        </w:tc>
        <w:tc>
          <w:tcPr>
            <w:tcW w:w="7202" w:type="dxa"/>
            <w:shd w:val="clear" w:color="auto" w:fill="C0C0C0"/>
          </w:tcPr>
          <w:p>
            <w:pPr>
              <w:pStyle w:val="TableParagraph"/>
              <w:ind w:left="3158" w:right="3149"/>
              <w:jc w:val="center"/>
              <w:rPr>
                <w:b/>
                <w:sz w:val="22"/>
              </w:rPr>
            </w:pPr>
            <w:r>
              <w:rPr>
                <w:b/>
                <w:sz w:val="22"/>
              </w:rPr>
              <w:t>Formulas</w:t>
            </w:r>
          </w:p>
        </w:tc>
      </w:tr>
      <w:tr>
        <w:trPr>
          <w:trHeight w:val="354" w:hRule="atLeast"/>
        </w:trPr>
        <w:tc>
          <w:tcPr>
            <w:tcW w:w="1728" w:type="dxa"/>
          </w:tcPr>
          <w:p>
            <w:pPr>
              <w:pStyle w:val="TableParagraph"/>
              <w:spacing w:before="0"/>
              <w:ind w:left="0"/>
              <w:rPr>
                <w:rFonts w:ascii="Times New Roman"/>
                <w:sz w:val="22"/>
              </w:rPr>
            </w:pPr>
          </w:p>
        </w:tc>
        <w:tc>
          <w:tcPr>
            <w:tcW w:w="7202" w:type="dxa"/>
          </w:tcPr>
          <w:p>
            <w:pPr>
              <w:pStyle w:val="TableParagraph"/>
              <w:ind w:left="114"/>
              <w:rPr>
                <w:sz w:val="22"/>
              </w:rPr>
            </w:pPr>
            <w:hyperlink w:history="true" w:anchor="_bookmark563">
              <w:r>
                <w:rPr>
                  <w:sz w:val="22"/>
                </w:rPr>
                <w:t>(§18.17.7.100</w:t>
              </w:r>
            </w:hyperlink>
            <w:r>
              <w:rPr>
                <w:sz w:val="22"/>
              </w:rPr>
              <w:t>), DVAR (§</w:t>
            </w:r>
            <w:hyperlink w:history="true" w:anchor="_bookmark565">
              <w:r>
                <w:rPr>
                  <w:sz w:val="22"/>
                </w:rPr>
                <w:t>18.17.7.102</w:t>
              </w:r>
            </w:hyperlink>
            <w:r>
              <w:rPr>
                <w:sz w:val="22"/>
              </w:rPr>
              <w:t>), and DVARP (§</w:t>
            </w:r>
            <w:hyperlink w:history="true" w:anchor="_bookmark566">
              <w:r>
                <w:rPr>
                  <w:sz w:val="22"/>
                </w:rPr>
                <w:t>18.17.7.103</w:t>
              </w:r>
            </w:hyperlink>
            <w:r>
              <w:rPr>
                <w:sz w:val="22"/>
              </w:rPr>
              <w:t>).</w:t>
            </w:r>
          </w:p>
        </w:tc>
      </w:tr>
      <w:tr>
        <w:trPr>
          <w:trHeight w:val="2502" w:hRule="atLeast"/>
        </w:trPr>
        <w:tc>
          <w:tcPr>
            <w:tcW w:w="1728" w:type="dxa"/>
          </w:tcPr>
          <w:p>
            <w:pPr>
              <w:pStyle w:val="TableParagraph"/>
              <w:rPr>
                <w:sz w:val="22"/>
              </w:rPr>
            </w:pPr>
            <w:r>
              <w:rPr>
                <w:sz w:val="22"/>
              </w:rPr>
              <w:t>Date and Time</w:t>
            </w:r>
          </w:p>
        </w:tc>
        <w:tc>
          <w:tcPr>
            <w:tcW w:w="7202" w:type="dxa"/>
          </w:tcPr>
          <w:p>
            <w:pPr>
              <w:pStyle w:val="TableParagraph"/>
              <w:ind w:left="114" w:right="170"/>
              <w:rPr>
                <w:sz w:val="22"/>
              </w:rPr>
            </w:pPr>
            <w:r>
              <w:rPr>
                <w:sz w:val="22"/>
              </w:rPr>
              <w:t>DATE (</w:t>
            </w:r>
            <w:hyperlink w:history="true" w:anchor="_bookmark537">
              <w:r>
                <w:rPr>
                  <w:sz w:val="22"/>
                </w:rPr>
                <w:t>§18.17.7.74</w:t>
              </w:r>
            </w:hyperlink>
            <w:r>
              <w:rPr>
                <w:sz w:val="22"/>
              </w:rPr>
              <w:t>), DATEDIF (§</w:t>
            </w:r>
            <w:hyperlink w:history="true" w:anchor="_bookmark538">
              <w:r>
                <w:rPr>
                  <w:sz w:val="22"/>
                </w:rPr>
                <w:t>18.17.7.75</w:t>
              </w:r>
            </w:hyperlink>
            <w:r>
              <w:rPr>
                <w:sz w:val="22"/>
              </w:rPr>
              <w:t>), DATEVALUE (§</w:t>
            </w:r>
            <w:hyperlink w:history="true" w:anchor="_bookmark539">
              <w:r>
                <w:rPr>
                  <w:sz w:val="22"/>
                </w:rPr>
                <w:t>18.17.7.76</w:t>
              </w:r>
            </w:hyperlink>
            <w:r>
              <w:rPr>
                <w:sz w:val="22"/>
              </w:rPr>
              <w:t>), DAY (§</w:t>
            </w:r>
            <w:hyperlink w:history="true" w:anchor="_bookmark541">
              <w:r>
                <w:rPr>
                  <w:sz w:val="22"/>
                </w:rPr>
                <w:t>18.17.7.78</w:t>
              </w:r>
            </w:hyperlink>
            <w:r>
              <w:rPr>
                <w:sz w:val="22"/>
              </w:rPr>
              <w:t>), DAYS360 (§</w:t>
            </w:r>
            <w:hyperlink w:history="true" w:anchor="_bookmark542">
              <w:r>
                <w:rPr>
                  <w:sz w:val="22"/>
                </w:rPr>
                <w:t>18.17.7.79</w:t>
              </w:r>
            </w:hyperlink>
            <w:r>
              <w:rPr>
                <w:sz w:val="22"/>
              </w:rPr>
              <w:t>), EDATE (§</w:t>
            </w:r>
            <w:hyperlink w:history="true" w:anchor="_bookmark568">
              <w:r>
                <w:rPr>
                  <w:sz w:val="22"/>
                </w:rPr>
                <w:t>18.17.7.105</w:t>
              </w:r>
            </w:hyperlink>
            <w:r>
              <w:rPr>
                <w:sz w:val="22"/>
              </w:rPr>
              <w:t>), EOMONTH (§</w:t>
            </w:r>
            <w:hyperlink w:history="true" w:anchor="_bookmark570">
              <w:r>
                <w:rPr>
                  <w:sz w:val="22"/>
                </w:rPr>
                <w:t>18.17.7.107</w:t>
              </w:r>
            </w:hyperlink>
            <w:r>
              <w:rPr>
                <w:sz w:val="22"/>
              </w:rPr>
              <w:t>), HOUR (§</w:t>
            </w:r>
            <w:hyperlink w:history="true" w:anchor="_bookmark607">
              <w:r>
                <w:rPr>
                  <w:sz w:val="22"/>
                </w:rPr>
                <w:t>18.17.7.144</w:t>
              </w:r>
            </w:hyperlink>
            <w:r>
              <w:rPr>
                <w:sz w:val="22"/>
              </w:rPr>
              <w:t>), MINUTE (§</w:t>
            </w:r>
            <w:hyperlink w:history="true" w:anchor="_bookmark677">
              <w:r>
                <w:rPr>
                  <w:sz w:val="22"/>
                </w:rPr>
                <w:t>18.17.7.214</w:t>
              </w:r>
            </w:hyperlink>
            <w:r>
              <w:rPr>
                <w:sz w:val="22"/>
              </w:rPr>
              <w:t>), MONTH (§</w:t>
            </w:r>
            <w:hyperlink w:history="true" w:anchor="_bookmark683">
              <w:r>
                <w:rPr>
                  <w:sz w:val="22"/>
                </w:rPr>
                <w:t>18.17.7.220</w:t>
              </w:r>
            </w:hyperlink>
            <w:r>
              <w:rPr>
                <w:sz w:val="22"/>
              </w:rPr>
              <w:t>), NETWORKDAYS (§</w:t>
            </w:r>
            <w:hyperlink w:history="true" w:anchor="_bookmark689">
              <w:r>
                <w:rPr>
                  <w:sz w:val="22"/>
                </w:rPr>
                <w:t>18.17.7.226</w:t>
              </w:r>
            </w:hyperlink>
            <w:r>
              <w:rPr>
                <w:sz w:val="22"/>
              </w:rPr>
              <w:t>), NETWORKDAYS.INTL (§</w:t>
            </w:r>
            <w:hyperlink w:history="true" w:anchor="_bookmark690">
              <w:r>
                <w:rPr>
                  <w:sz w:val="22"/>
                </w:rPr>
                <w:t>18.17.7.227</w:t>
              </w:r>
            </w:hyperlink>
            <w:r>
              <w:rPr>
                <w:sz w:val="22"/>
              </w:rPr>
              <w:t>), NOW (§</w:t>
            </w:r>
            <w:hyperlink w:history="true" w:anchor="_bookmark697">
              <w:r>
                <w:rPr>
                  <w:sz w:val="22"/>
                </w:rPr>
                <w:t>18.17.7.234</w:t>
              </w:r>
            </w:hyperlink>
            <w:r>
              <w:rPr>
                <w:sz w:val="22"/>
              </w:rPr>
              <w:t>), SECOND (§</w:t>
            </w:r>
            <w:hyperlink w:history="true" w:anchor="_bookmark750">
              <w:r>
                <w:rPr>
                  <w:sz w:val="22"/>
                </w:rPr>
                <w:t>18.17.7.287</w:t>
              </w:r>
            </w:hyperlink>
            <w:r>
              <w:rPr>
                <w:sz w:val="22"/>
              </w:rPr>
              <w:t>), TIME (§</w:t>
            </w:r>
            <w:hyperlink w:history="true" w:anchor="_bookmark786">
              <w:r>
                <w:rPr>
                  <w:sz w:val="22"/>
                </w:rPr>
                <w:t>18.17.7.323</w:t>
              </w:r>
            </w:hyperlink>
            <w:r>
              <w:rPr>
                <w:sz w:val="22"/>
              </w:rPr>
              <w:t>), TIMEVALUE (§</w:t>
            </w:r>
            <w:hyperlink w:history="true" w:anchor="_bookmark787">
              <w:r>
                <w:rPr>
                  <w:sz w:val="22"/>
                </w:rPr>
                <w:t>18.17.7.324</w:t>
              </w:r>
            </w:hyperlink>
            <w:r>
              <w:rPr>
                <w:sz w:val="22"/>
              </w:rPr>
              <w:t>), TODAY (§</w:t>
            </w:r>
            <w:hyperlink w:history="true" w:anchor="_bookmark789">
              <w:r>
                <w:rPr>
                  <w:sz w:val="22"/>
                </w:rPr>
                <w:t>18.17.7.326</w:t>
              </w:r>
            </w:hyperlink>
            <w:r>
              <w:rPr>
                <w:sz w:val="22"/>
              </w:rPr>
              <w:t>), WEEKDAY (§</w:t>
            </w:r>
            <w:hyperlink w:history="true" w:anchor="_bookmark809">
              <w:r>
                <w:rPr>
                  <w:sz w:val="22"/>
                </w:rPr>
                <w:t>18.17.7.344</w:t>
              </w:r>
            </w:hyperlink>
            <w:r>
              <w:rPr>
                <w:sz w:val="22"/>
              </w:rPr>
              <w:t>), WEEKNUM (§</w:t>
            </w:r>
            <w:hyperlink w:history="true" w:anchor="_bookmark810">
              <w:r>
                <w:rPr>
                  <w:sz w:val="22"/>
                </w:rPr>
                <w:t>18.17.7.345</w:t>
              </w:r>
            </w:hyperlink>
            <w:r>
              <w:rPr>
                <w:sz w:val="22"/>
              </w:rPr>
              <w:t>), WORKDAY (§</w:t>
            </w:r>
            <w:hyperlink w:history="true" w:anchor="_bookmark812">
              <w:r>
                <w:rPr>
                  <w:sz w:val="22"/>
                </w:rPr>
                <w:t>18.17.7.347</w:t>
              </w:r>
            </w:hyperlink>
            <w:r>
              <w:rPr>
                <w:sz w:val="22"/>
              </w:rPr>
              <w:t>) , WORKDAY.INTL (§</w:t>
            </w:r>
            <w:hyperlink w:history="true" w:anchor="_bookmark813">
              <w:r>
                <w:rPr>
                  <w:sz w:val="22"/>
                </w:rPr>
                <w:t>18.17.7.348</w:t>
              </w:r>
            </w:hyperlink>
            <w:r>
              <w:rPr>
                <w:sz w:val="22"/>
              </w:rPr>
              <w:t>), YEAR (§</w:t>
            </w:r>
            <w:hyperlink w:history="true" w:anchor="_bookmark816">
              <w:r>
                <w:rPr>
                  <w:sz w:val="22"/>
                </w:rPr>
                <w:t>18.17.7.351</w:t>
              </w:r>
            </w:hyperlink>
            <w:r>
              <w:rPr>
                <w:sz w:val="22"/>
              </w:rPr>
              <w:t>), and YEARFRAC (§</w:t>
            </w:r>
            <w:hyperlink w:history="true" w:anchor="_bookmark817">
              <w:r>
                <w:rPr>
                  <w:sz w:val="22"/>
                </w:rPr>
                <w:t>18.17.7.352</w:t>
              </w:r>
            </w:hyperlink>
            <w:r>
              <w:rPr>
                <w:sz w:val="22"/>
              </w:rPr>
              <w:t>)</w:t>
            </w:r>
          </w:p>
        </w:tc>
      </w:tr>
      <w:tr>
        <w:trPr>
          <w:trHeight w:val="3845" w:hRule="atLeast"/>
        </w:trPr>
        <w:tc>
          <w:tcPr>
            <w:tcW w:w="1728" w:type="dxa"/>
          </w:tcPr>
          <w:p>
            <w:pPr>
              <w:pStyle w:val="TableParagraph"/>
              <w:rPr>
                <w:sz w:val="22"/>
              </w:rPr>
            </w:pPr>
            <w:r>
              <w:rPr>
                <w:sz w:val="22"/>
              </w:rPr>
              <w:t>Engineering</w:t>
            </w:r>
          </w:p>
        </w:tc>
        <w:tc>
          <w:tcPr>
            <w:tcW w:w="7202" w:type="dxa"/>
          </w:tcPr>
          <w:p>
            <w:pPr>
              <w:pStyle w:val="TableParagraph"/>
              <w:ind w:left="114" w:right="160"/>
              <w:rPr>
                <w:sz w:val="22"/>
              </w:rPr>
            </w:pPr>
            <w:r>
              <w:rPr>
                <w:sz w:val="22"/>
              </w:rPr>
              <w:t>BESSELI (</w:t>
            </w:r>
            <w:hyperlink w:history="true" w:anchor="_bookmark486">
              <w:r>
                <w:rPr>
                  <w:sz w:val="22"/>
                </w:rPr>
                <w:t>§18.17.7.23</w:t>
              </w:r>
            </w:hyperlink>
            <w:r>
              <w:rPr>
                <w:sz w:val="22"/>
              </w:rPr>
              <w:t>), BESSELJ (§</w:t>
            </w:r>
            <w:hyperlink w:history="true" w:anchor="_bookmark487">
              <w:r>
                <w:rPr>
                  <w:sz w:val="22"/>
                </w:rPr>
                <w:t>18.17.7.24</w:t>
              </w:r>
            </w:hyperlink>
            <w:r>
              <w:rPr>
                <w:sz w:val="22"/>
              </w:rPr>
              <w:t>), BESSELK (§</w:t>
            </w:r>
            <w:hyperlink w:history="true" w:anchor="_bookmark488">
              <w:r>
                <w:rPr>
                  <w:sz w:val="22"/>
                </w:rPr>
                <w:t>18.17.7.25</w:t>
              </w:r>
            </w:hyperlink>
            <w:r>
              <w:rPr>
                <w:sz w:val="22"/>
              </w:rPr>
              <w:t>), BESSELY (§</w:t>
            </w:r>
            <w:hyperlink w:history="true" w:anchor="_bookmark489">
              <w:r>
                <w:rPr>
                  <w:sz w:val="22"/>
                </w:rPr>
                <w:t>18.17.7.26</w:t>
              </w:r>
            </w:hyperlink>
            <w:r>
              <w:rPr>
                <w:sz w:val="22"/>
              </w:rPr>
              <w:t>), BIN2DEC (§</w:t>
            </w:r>
            <w:hyperlink w:history="true" w:anchor="_bookmark492">
              <w:r>
                <w:rPr>
                  <w:sz w:val="22"/>
                </w:rPr>
                <w:t>18.17.7.29</w:t>
              </w:r>
            </w:hyperlink>
            <w:r>
              <w:rPr>
                <w:sz w:val="22"/>
              </w:rPr>
              <w:t>), BIN2HEX (§</w:t>
            </w:r>
            <w:hyperlink w:history="true" w:anchor="_bookmark493">
              <w:r>
                <w:rPr>
                  <w:sz w:val="22"/>
                </w:rPr>
                <w:t>18.17.7.30</w:t>
              </w:r>
            </w:hyperlink>
            <w:r>
              <w:rPr>
                <w:sz w:val="22"/>
              </w:rPr>
              <w:t>), BIN2OCT (§</w:t>
            </w:r>
            <w:hyperlink w:history="true" w:anchor="_bookmark494">
              <w:r>
                <w:rPr>
                  <w:sz w:val="22"/>
                </w:rPr>
                <w:t>18.17.7.31</w:t>
              </w:r>
            </w:hyperlink>
            <w:r>
              <w:rPr>
                <w:sz w:val="22"/>
              </w:rPr>
              <w:t>), COMPLEX (§</w:t>
            </w:r>
            <w:hyperlink w:history="true" w:anchor="_bookmark508">
              <w:r>
                <w:rPr>
                  <w:sz w:val="22"/>
                </w:rPr>
                <w:t>18.17.7.45</w:t>
              </w:r>
            </w:hyperlink>
            <w:r>
              <w:rPr>
                <w:sz w:val="22"/>
              </w:rPr>
              <w:t>), CONVERT (§</w:t>
            </w:r>
            <w:hyperlink w:history="true" w:anchor="_bookmark511">
              <w:r>
                <w:rPr>
                  <w:sz w:val="22"/>
                </w:rPr>
                <w:t>18.17.7.48</w:t>
              </w:r>
            </w:hyperlink>
            <w:r>
              <w:rPr>
                <w:sz w:val="22"/>
              </w:rPr>
              <w:t>), DEC2BIN (§</w:t>
            </w:r>
            <w:hyperlink w:history="true" w:anchor="_bookmark547">
              <w:r>
                <w:rPr>
                  <w:sz w:val="22"/>
                </w:rPr>
                <w:t>18.17.7.84</w:t>
              </w:r>
            </w:hyperlink>
            <w:r>
              <w:rPr>
                <w:sz w:val="22"/>
              </w:rPr>
              <w:t>), DEC2HEX (§</w:t>
            </w:r>
            <w:hyperlink w:history="true" w:anchor="_bookmark548">
              <w:r>
                <w:rPr>
                  <w:sz w:val="22"/>
                </w:rPr>
                <w:t>18.17.7.85</w:t>
              </w:r>
            </w:hyperlink>
            <w:r>
              <w:rPr>
                <w:sz w:val="22"/>
              </w:rPr>
              <w:t>), DEC2OCT (§</w:t>
            </w:r>
            <w:hyperlink w:history="true" w:anchor="_bookmark549">
              <w:r>
                <w:rPr>
                  <w:sz w:val="22"/>
                </w:rPr>
                <w:t>18.17.7.86</w:t>
              </w:r>
            </w:hyperlink>
            <w:r>
              <w:rPr>
                <w:sz w:val="22"/>
              </w:rPr>
              <w:t>), DELTA (§</w:t>
            </w:r>
            <w:hyperlink w:history="true" w:anchor="_bookmark551">
              <w:r>
                <w:rPr>
                  <w:sz w:val="22"/>
                </w:rPr>
                <w:t>18.17.7.88</w:t>
              </w:r>
            </w:hyperlink>
            <w:r>
              <w:rPr>
                <w:sz w:val="22"/>
              </w:rPr>
              <w:t>), ERF (§</w:t>
            </w:r>
            <w:hyperlink w:history="true" w:anchor="_bookmark571">
              <w:r>
                <w:rPr>
                  <w:sz w:val="22"/>
                </w:rPr>
                <w:t>18.17.7.108</w:t>
              </w:r>
            </w:hyperlink>
            <w:r>
              <w:rPr>
                <w:sz w:val="22"/>
              </w:rPr>
              <w:t>), ERFC (§</w:t>
            </w:r>
            <w:hyperlink w:history="true" w:anchor="_bookmark572">
              <w:r>
                <w:rPr>
                  <w:sz w:val="22"/>
                </w:rPr>
                <w:t>18.17.7.109</w:t>
              </w:r>
            </w:hyperlink>
            <w:r>
              <w:rPr>
                <w:sz w:val="22"/>
              </w:rPr>
              <w:t>), GESTEP (§</w:t>
            </w:r>
            <w:hyperlink w:history="true" w:anchor="_bookmark599">
              <w:r>
                <w:rPr>
                  <w:sz w:val="22"/>
                </w:rPr>
                <w:t>18.17.7.136</w:t>
              </w:r>
            </w:hyperlink>
            <w:r>
              <w:rPr>
                <w:sz w:val="22"/>
              </w:rPr>
              <w:t>), HEX2BIN (§</w:t>
            </w:r>
            <w:hyperlink w:history="true" w:anchor="_bookmark603">
              <w:r>
                <w:rPr>
                  <w:sz w:val="22"/>
                </w:rPr>
                <w:t>18.17.7.140</w:t>
              </w:r>
            </w:hyperlink>
            <w:r>
              <w:rPr>
                <w:sz w:val="22"/>
              </w:rPr>
              <w:t>), HEX2DEC (§</w:t>
            </w:r>
            <w:hyperlink w:history="true" w:anchor="_bookmark604">
              <w:r>
                <w:rPr>
                  <w:sz w:val="22"/>
                </w:rPr>
                <w:t>18.17.7.141</w:t>
              </w:r>
            </w:hyperlink>
            <w:r>
              <w:rPr>
                <w:sz w:val="22"/>
              </w:rPr>
              <w:t>), HEX2OCT (§</w:t>
            </w:r>
            <w:hyperlink w:history="true" w:anchor="_bookmark605">
              <w:r>
                <w:rPr>
                  <w:sz w:val="22"/>
                </w:rPr>
                <w:t>18.17.7.142</w:t>
              </w:r>
            </w:hyperlink>
            <w:r>
              <w:rPr>
                <w:sz w:val="22"/>
              </w:rPr>
              <w:t>), IMABS (§</w:t>
            </w:r>
            <w:hyperlink w:history="true" w:anchor="_bookmark612">
              <w:r>
                <w:rPr>
                  <w:sz w:val="22"/>
                </w:rPr>
                <w:t>18.17.7.149</w:t>
              </w:r>
            </w:hyperlink>
            <w:r>
              <w:rPr>
                <w:sz w:val="22"/>
              </w:rPr>
              <w:t>), IMAGINARY (§</w:t>
            </w:r>
            <w:hyperlink w:history="true" w:anchor="_bookmark613">
              <w:r>
                <w:rPr>
                  <w:sz w:val="22"/>
                </w:rPr>
                <w:t>18.17.7.150</w:t>
              </w:r>
            </w:hyperlink>
            <w:r>
              <w:rPr>
                <w:sz w:val="22"/>
              </w:rPr>
              <w:t>), IMARGUMENT (§</w:t>
            </w:r>
            <w:hyperlink w:history="true" w:anchor="_bookmark614">
              <w:r>
                <w:rPr>
                  <w:sz w:val="22"/>
                </w:rPr>
                <w:t>18.17.7.151</w:t>
              </w:r>
            </w:hyperlink>
            <w:r>
              <w:rPr>
                <w:sz w:val="22"/>
              </w:rPr>
              <w:t>), IMCONJUGATE (§</w:t>
            </w:r>
            <w:hyperlink w:history="true" w:anchor="_bookmark615">
              <w:r>
                <w:rPr>
                  <w:sz w:val="22"/>
                </w:rPr>
                <w:t>18.17.7.152</w:t>
              </w:r>
            </w:hyperlink>
            <w:r>
              <w:rPr>
                <w:sz w:val="22"/>
              </w:rPr>
              <w:t>), IMCOS (§</w:t>
            </w:r>
            <w:hyperlink w:history="true" w:anchor="_bookmark616">
              <w:r>
                <w:rPr>
                  <w:sz w:val="22"/>
                </w:rPr>
                <w:t>18.17.7.153</w:t>
              </w:r>
            </w:hyperlink>
            <w:r>
              <w:rPr>
                <w:sz w:val="22"/>
              </w:rPr>
              <w:t>), IMDIV (§</w:t>
            </w:r>
            <w:hyperlink w:history="true" w:anchor="_bookmark617">
              <w:r>
                <w:rPr>
                  <w:sz w:val="22"/>
                </w:rPr>
                <w:t>18.17.7.154</w:t>
              </w:r>
            </w:hyperlink>
            <w:r>
              <w:rPr>
                <w:sz w:val="22"/>
              </w:rPr>
              <w:t>), IMEXP (§</w:t>
            </w:r>
            <w:hyperlink w:history="true" w:anchor="_bookmark618">
              <w:r>
                <w:rPr>
                  <w:sz w:val="22"/>
                </w:rPr>
                <w:t>18.17.7.155</w:t>
              </w:r>
            </w:hyperlink>
            <w:r>
              <w:rPr>
                <w:sz w:val="22"/>
              </w:rPr>
              <w:t>), IMLN (§</w:t>
            </w:r>
            <w:hyperlink w:history="true" w:anchor="_bookmark619">
              <w:r>
                <w:rPr>
                  <w:sz w:val="22"/>
                </w:rPr>
                <w:t>18.17.7.156</w:t>
              </w:r>
            </w:hyperlink>
            <w:r>
              <w:rPr>
                <w:sz w:val="22"/>
              </w:rPr>
              <w:t>), IMLOG10 (§</w:t>
            </w:r>
            <w:hyperlink w:history="true" w:anchor="_bookmark620">
              <w:r>
                <w:rPr>
                  <w:sz w:val="22"/>
                </w:rPr>
                <w:t>18.17.7.157</w:t>
              </w:r>
            </w:hyperlink>
            <w:r>
              <w:rPr>
                <w:sz w:val="22"/>
              </w:rPr>
              <w:t>), IMLOG2 (§</w:t>
            </w:r>
            <w:hyperlink w:history="true" w:anchor="_bookmark621">
              <w:r>
                <w:rPr>
                  <w:sz w:val="22"/>
                </w:rPr>
                <w:t>18.17.7.158</w:t>
              </w:r>
            </w:hyperlink>
            <w:r>
              <w:rPr>
                <w:sz w:val="22"/>
              </w:rPr>
              <w:t>), IMPOWER (§</w:t>
            </w:r>
            <w:hyperlink w:history="true" w:anchor="_bookmark622">
              <w:r>
                <w:rPr>
                  <w:sz w:val="22"/>
                </w:rPr>
                <w:t>18.17.7.159</w:t>
              </w:r>
            </w:hyperlink>
            <w:r>
              <w:rPr>
                <w:sz w:val="22"/>
              </w:rPr>
              <w:t>), IMPRODUCT (§</w:t>
            </w:r>
            <w:hyperlink w:history="true" w:anchor="_bookmark623">
              <w:r>
                <w:rPr>
                  <w:sz w:val="22"/>
                </w:rPr>
                <w:t>18.17.7.160</w:t>
              </w:r>
            </w:hyperlink>
            <w:r>
              <w:rPr>
                <w:sz w:val="22"/>
              </w:rPr>
              <w:t>), IMREAL (§</w:t>
            </w:r>
            <w:hyperlink w:history="true" w:anchor="_bookmark624">
              <w:r>
                <w:rPr>
                  <w:sz w:val="22"/>
                </w:rPr>
                <w:t>18.17.7.161</w:t>
              </w:r>
            </w:hyperlink>
            <w:r>
              <w:rPr>
                <w:sz w:val="22"/>
              </w:rPr>
              <w:t>), IMSIN (§</w:t>
            </w:r>
            <w:hyperlink w:history="true" w:anchor="_bookmark625">
              <w:r>
                <w:rPr>
                  <w:sz w:val="22"/>
                </w:rPr>
                <w:t>18.17.7.162</w:t>
              </w:r>
            </w:hyperlink>
            <w:r>
              <w:rPr>
                <w:sz w:val="22"/>
              </w:rPr>
              <w:t>), IMSQRT (§</w:t>
            </w:r>
            <w:hyperlink w:history="true" w:anchor="_bookmark626">
              <w:r>
                <w:rPr>
                  <w:sz w:val="22"/>
                </w:rPr>
                <w:t>18.17.7.163</w:t>
              </w:r>
            </w:hyperlink>
            <w:r>
              <w:rPr>
                <w:sz w:val="22"/>
              </w:rPr>
              <w:t>), IMSUB (§</w:t>
            </w:r>
            <w:hyperlink w:history="true" w:anchor="_bookmark627">
              <w:r>
                <w:rPr>
                  <w:sz w:val="22"/>
                </w:rPr>
                <w:t>18.17.7.164</w:t>
              </w:r>
            </w:hyperlink>
            <w:r>
              <w:rPr>
                <w:sz w:val="22"/>
              </w:rPr>
              <w:t>), IMSUM (§</w:t>
            </w:r>
            <w:hyperlink w:history="true" w:anchor="_bookmark628">
              <w:r>
                <w:rPr>
                  <w:sz w:val="22"/>
                </w:rPr>
                <w:t>18.17.7.165</w:t>
              </w:r>
            </w:hyperlink>
            <w:r>
              <w:rPr>
                <w:sz w:val="22"/>
              </w:rPr>
              <w:t>), OCT2BIN (§</w:t>
            </w:r>
            <w:hyperlink w:history="true" w:anchor="_bookmark700">
              <w:r>
                <w:rPr>
                  <w:sz w:val="22"/>
                </w:rPr>
                <w:t>18.17.7.237</w:t>
              </w:r>
            </w:hyperlink>
            <w:r>
              <w:rPr>
                <w:sz w:val="22"/>
              </w:rPr>
              <w:t>), OCT2DEC (§</w:t>
            </w:r>
            <w:hyperlink w:history="true" w:anchor="_bookmark701">
              <w:r>
                <w:rPr>
                  <w:sz w:val="22"/>
                </w:rPr>
                <w:t>18.17.7.238</w:t>
              </w:r>
            </w:hyperlink>
            <w:r>
              <w:rPr>
                <w:sz w:val="22"/>
              </w:rPr>
              <w:t>), and OCT2HEX (§</w:t>
            </w:r>
            <w:hyperlink w:history="true" w:anchor="_bookmark702">
              <w:r>
                <w:rPr>
                  <w:sz w:val="22"/>
                </w:rPr>
                <w:t>18.17.7.239</w:t>
              </w:r>
            </w:hyperlink>
            <w:r>
              <w:rPr>
                <w:sz w:val="22"/>
              </w:rPr>
              <w:t>).</w:t>
            </w:r>
          </w:p>
        </w:tc>
      </w:tr>
      <w:tr>
        <w:trPr>
          <w:trHeight w:val="4923" w:hRule="atLeast"/>
        </w:trPr>
        <w:tc>
          <w:tcPr>
            <w:tcW w:w="1728" w:type="dxa"/>
          </w:tcPr>
          <w:p>
            <w:pPr>
              <w:pStyle w:val="TableParagraph"/>
              <w:spacing w:before="42"/>
              <w:rPr>
                <w:sz w:val="22"/>
              </w:rPr>
            </w:pPr>
            <w:r>
              <w:rPr>
                <w:sz w:val="22"/>
              </w:rPr>
              <w:t>Financial</w:t>
            </w:r>
          </w:p>
        </w:tc>
        <w:tc>
          <w:tcPr>
            <w:tcW w:w="7202" w:type="dxa"/>
          </w:tcPr>
          <w:p>
            <w:pPr>
              <w:pStyle w:val="TableParagraph"/>
              <w:spacing w:before="42"/>
              <w:ind w:left="114" w:right="100"/>
              <w:rPr>
                <w:sz w:val="22"/>
              </w:rPr>
            </w:pPr>
            <w:r>
              <w:rPr>
                <w:sz w:val="22"/>
              </w:rPr>
              <w:t>ACCRINT (§</w:t>
            </w:r>
            <w:hyperlink w:history="true" w:anchor="_bookmark464">
              <w:r>
                <w:rPr>
                  <w:sz w:val="22"/>
                </w:rPr>
                <w:t>18.17.7.2</w:t>
              </w:r>
            </w:hyperlink>
            <w:r>
              <w:rPr>
                <w:sz w:val="22"/>
              </w:rPr>
              <w:t>), ACCRINTM (§</w:t>
            </w:r>
            <w:hyperlink w:history="true" w:anchor="_bookmark465">
              <w:r>
                <w:rPr>
                  <w:sz w:val="22"/>
                </w:rPr>
                <w:t>18.17.7.3</w:t>
              </w:r>
            </w:hyperlink>
            <w:r>
              <w:rPr>
                <w:sz w:val="22"/>
              </w:rPr>
              <w:t>), AMORDEGRC (§</w:t>
            </w:r>
            <w:hyperlink w:history="true" w:anchor="_bookmark469">
              <w:r>
                <w:rPr>
                  <w:sz w:val="22"/>
                </w:rPr>
                <w:t>18.17.7.7</w:t>
              </w:r>
            </w:hyperlink>
            <w:r>
              <w:rPr>
                <w:sz w:val="22"/>
              </w:rPr>
              <w:t>), AMORLINC (§</w:t>
            </w:r>
            <w:hyperlink w:history="true" w:anchor="_bookmark471">
              <w:r>
                <w:rPr>
                  <w:sz w:val="22"/>
                </w:rPr>
                <w:t>18.17.7.8</w:t>
              </w:r>
            </w:hyperlink>
            <w:r>
              <w:rPr>
                <w:sz w:val="22"/>
              </w:rPr>
              <w:t>), COUPDAYBS (§</w:t>
            </w:r>
            <w:hyperlink w:history="true" w:anchor="_bookmark520">
              <w:r>
                <w:rPr>
                  <w:sz w:val="22"/>
                </w:rPr>
                <w:t>18.17.7.57</w:t>
              </w:r>
            </w:hyperlink>
            <w:r>
              <w:rPr>
                <w:sz w:val="22"/>
              </w:rPr>
              <w:t>), COUPDAYS (§</w:t>
            </w:r>
            <w:hyperlink w:history="true" w:anchor="_bookmark521">
              <w:r>
                <w:rPr>
                  <w:sz w:val="22"/>
                </w:rPr>
                <w:t>18.17.7.58</w:t>
              </w:r>
            </w:hyperlink>
            <w:r>
              <w:rPr>
                <w:sz w:val="22"/>
              </w:rPr>
              <w:t>), COUPDAYSNC (§</w:t>
            </w:r>
            <w:hyperlink w:history="true" w:anchor="_bookmark522">
              <w:r>
                <w:rPr>
                  <w:sz w:val="22"/>
                </w:rPr>
                <w:t>18.17.7.59</w:t>
              </w:r>
            </w:hyperlink>
            <w:r>
              <w:rPr>
                <w:sz w:val="22"/>
              </w:rPr>
              <w:t>), COUPNCD (§</w:t>
            </w:r>
            <w:hyperlink w:history="true" w:anchor="_bookmark523">
              <w:r>
                <w:rPr>
                  <w:sz w:val="22"/>
                </w:rPr>
                <w:t>18.17.7.60</w:t>
              </w:r>
            </w:hyperlink>
            <w:r>
              <w:rPr>
                <w:sz w:val="22"/>
              </w:rPr>
              <w:t>), COUPNUM (§</w:t>
            </w:r>
            <w:hyperlink w:history="true" w:anchor="_bookmark524">
              <w:r>
                <w:rPr>
                  <w:sz w:val="22"/>
                </w:rPr>
                <w:t>18.17.7.61</w:t>
              </w:r>
            </w:hyperlink>
            <w:r>
              <w:rPr>
                <w:sz w:val="22"/>
              </w:rPr>
              <w:t>), COUPPCD (§</w:t>
            </w:r>
            <w:hyperlink w:history="true" w:anchor="_bookmark525">
              <w:r>
                <w:rPr>
                  <w:sz w:val="22"/>
                </w:rPr>
                <w:t>18.17.7.62</w:t>
              </w:r>
            </w:hyperlink>
            <w:r>
              <w:rPr>
                <w:sz w:val="22"/>
              </w:rPr>
              <w:t>), CUMIPMT (§</w:t>
            </w:r>
            <w:hyperlink w:history="true" w:anchor="_bookmark535">
              <w:r>
                <w:rPr>
                  <w:sz w:val="22"/>
                </w:rPr>
                <w:t>18.17.7.72</w:t>
              </w:r>
            </w:hyperlink>
            <w:r>
              <w:rPr>
                <w:sz w:val="22"/>
              </w:rPr>
              <w:t>), CUMPRINC (§</w:t>
            </w:r>
            <w:hyperlink w:history="true" w:anchor="_bookmark536">
              <w:r>
                <w:rPr>
                  <w:sz w:val="22"/>
                </w:rPr>
                <w:t>18.17.7.73</w:t>
              </w:r>
            </w:hyperlink>
            <w:r>
              <w:rPr>
                <w:sz w:val="22"/>
              </w:rPr>
              <w:t>), DB (§</w:t>
            </w:r>
            <w:hyperlink w:history="true" w:anchor="_bookmark543">
              <w:r>
                <w:rPr>
                  <w:sz w:val="22"/>
                </w:rPr>
                <w:t>18.17.7.80</w:t>
              </w:r>
            </w:hyperlink>
            <w:r>
              <w:rPr>
                <w:sz w:val="22"/>
              </w:rPr>
              <w:t>), DDB (§</w:t>
            </w:r>
            <w:hyperlink w:history="true" w:anchor="_bookmark546">
              <w:r>
                <w:rPr>
                  <w:sz w:val="22"/>
                </w:rPr>
                <w:t>18.17.7.83</w:t>
              </w:r>
            </w:hyperlink>
            <w:r>
              <w:rPr>
                <w:sz w:val="22"/>
              </w:rPr>
              <w:t>), DISC (§</w:t>
            </w:r>
            <w:hyperlink w:history="true" w:anchor="_bookmark553">
              <w:r>
                <w:rPr>
                  <w:sz w:val="22"/>
                </w:rPr>
                <w:t>18.17.7.90</w:t>
              </w:r>
            </w:hyperlink>
            <w:r>
              <w:rPr>
                <w:sz w:val="22"/>
              </w:rPr>
              <w:t>), DOLLARDE (§</w:t>
            </w:r>
            <w:hyperlink w:history="true" w:anchor="_bookmark558">
              <w:r>
                <w:rPr>
                  <w:sz w:val="22"/>
                </w:rPr>
                <w:t>18.17.7.95</w:t>
              </w:r>
            </w:hyperlink>
            <w:r>
              <w:rPr>
                <w:sz w:val="22"/>
              </w:rPr>
              <w:t>), DOLLARFR (§</w:t>
            </w:r>
            <w:hyperlink w:history="true" w:anchor="_bookmark559">
              <w:r>
                <w:rPr>
                  <w:sz w:val="22"/>
                </w:rPr>
                <w:t>18.17.7.96</w:t>
              </w:r>
            </w:hyperlink>
            <w:r>
              <w:rPr>
                <w:sz w:val="22"/>
              </w:rPr>
              <w:t>), DURATION (§</w:t>
            </w:r>
            <w:hyperlink w:history="true" w:anchor="_bookmark564">
              <w:r>
                <w:rPr>
                  <w:sz w:val="22"/>
                </w:rPr>
                <w:t>18.17.7.101</w:t>
              </w:r>
            </w:hyperlink>
            <w:r>
              <w:rPr>
                <w:sz w:val="22"/>
              </w:rPr>
              <w:t>), EFFECT (§</w:t>
            </w:r>
            <w:hyperlink w:history="true" w:anchor="_bookmark569">
              <w:r>
                <w:rPr>
                  <w:sz w:val="22"/>
                </w:rPr>
                <w:t>18.17.7.106</w:t>
              </w:r>
            </w:hyperlink>
            <w:r>
              <w:rPr>
                <w:sz w:val="22"/>
              </w:rPr>
              <w:t>), FV (§</w:t>
            </w:r>
            <w:hyperlink w:history="true" w:anchor="_bookmark592">
              <w:r>
                <w:rPr>
                  <w:sz w:val="22"/>
                </w:rPr>
                <w:t>18.17.7.129</w:t>
              </w:r>
            </w:hyperlink>
            <w:r>
              <w:rPr>
                <w:sz w:val="22"/>
              </w:rPr>
              <w:t>), FVSCHEDULE (§</w:t>
            </w:r>
            <w:hyperlink w:history="true" w:anchor="_bookmark593">
              <w:r>
                <w:rPr>
                  <w:sz w:val="22"/>
                </w:rPr>
                <w:t>18.17.7.130</w:t>
              </w:r>
            </w:hyperlink>
            <w:r>
              <w:rPr>
                <w:sz w:val="22"/>
              </w:rPr>
              <w:t>), INTRATE (§</w:t>
            </w:r>
            <w:hyperlink w:history="true" w:anchor="_bookmark634">
              <w:r>
                <w:rPr>
                  <w:sz w:val="22"/>
                </w:rPr>
                <w:t>18.17.7.171</w:t>
              </w:r>
            </w:hyperlink>
            <w:r>
              <w:rPr>
                <w:sz w:val="22"/>
              </w:rPr>
              <w:t>), IPMT (§</w:t>
            </w:r>
            <w:hyperlink w:history="true" w:anchor="_bookmark635">
              <w:r>
                <w:rPr>
                  <w:sz w:val="22"/>
                </w:rPr>
                <w:t>18.17.7.172</w:t>
              </w:r>
            </w:hyperlink>
            <w:r>
              <w:rPr>
                <w:sz w:val="22"/>
              </w:rPr>
              <w:t>), IRR (§</w:t>
            </w:r>
            <w:hyperlink w:history="true" w:anchor="_bookmark636">
              <w:r>
                <w:rPr>
                  <w:sz w:val="22"/>
                </w:rPr>
                <w:t>18.17.7.173</w:t>
              </w:r>
            </w:hyperlink>
            <w:r>
              <w:rPr>
                <w:sz w:val="22"/>
              </w:rPr>
              <w:t>), ISPMT (§</w:t>
            </w:r>
            <w:hyperlink w:history="true" w:anchor="_bookmark647">
              <w:r>
                <w:rPr>
                  <w:sz w:val="22"/>
                </w:rPr>
                <w:t>18.17.7.184</w:t>
              </w:r>
            </w:hyperlink>
            <w:r>
              <w:rPr>
                <w:sz w:val="22"/>
              </w:rPr>
              <w:t>), MDURATION (§</w:t>
            </w:r>
            <w:hyperlink w:history="true" w:anchor="_bookmark671">
              <w:r>
                <w:rPr>
                  <w:sz w:val="22"/>
                </w:rPr>
                <w:t>18.17.7.208</w:t>
              </w:r>
            </w:hyperlink>
            <w:r>
              <w:rPr>
                <w:sz w:val="22"/>
              </w:rPr>
              <w:t>), MIRR (§</w:t>
            </w:r>
            <w:hyperlink w:history="true" w:anchor="_bookmark679">
              <w:r>
                <w:rPr>
                  <w:sz w:val="22"/>
                </w:rPr>
                <w:t>18.17.7.216</w:t>
              </w:r>
            </w:hyperlink>
            <w:r>
              <w:rPr>
                <w:sz w:val="22"/>
              </w:rPr>
              <w:t>), NOMINAL (§</w:t>
            </w:r>
            <w:hyperlink w:history="true" w:anchor="_bookmark691">
              <w:r>
                <w:rPr>
                  <w:sz w:val="22"/>
                </w:rPr>
                <w:t>18.17.7.228</w:t>
              </w:r>
            </w:hyperlink>
            <w:r>
              <w:rPr>
                <w:sz w:val="22"/>
              </w:rPr>
              <w:t>), NPER (§</w:t>
            </w:r>
            <w:hyperlink w:history="true" w:anchor="_bookmark698">
              <w:r>
                <w:rPr>
                  <w:sz w:val="22"/>
                </w:rPr>
                <w:t>18.17.7.235</w:t>
              </w:r>
            </w:hyperlink>
            <w:r>
              <w:rPr>
                <w:sz w:val="22"/>
              </w:rPr>
              <w:t>), NPV (§</w:t>
            </w:r>
            <w:hyperlink w:history="true" w:anchor="_bookmark699">
              <w:r>
                <w:rPr>
                  <w:sz w:val="22"/>
                </w:rPr>
                <w:t>18.17.7.236</w:t>
              </w:r>
            </w:hyperlink>
            <w:r>
              <w:rPr>
                <w:sz w:val="22"/>
              </w:rPr>
              <w:t>), ODDFPRICE (§</w:t>
            </w:r>
            <w:hyperlink w:history="true" w:anchor="_bookmark704">
              <w:r>
                <w:rPr>
                  <w:sz w:val="22"/>
                </w:rPr>
                <w:t>18.17.7.241</w:t>
              </w:r>
            </w:hyperlink>
            <w:r>
              <w:rPr>
                <w:sz w:val="22"/>
              </w:rPr>
              <w:t>), ODDFYIELD (§</w:t>
            </w:r>
            <w:hyperlink w:history="true" w:anchor="_bookmark705">
              <w:r>
                <w:rPr>
                  <w:sz w:val="22"/>
                </w:rPr>
                <w:t>18.17.7.242</w:t>
              </w:r>
            </w:hyperlink>
            <w:r>
              <w:rPr>
                <w:sz w:val="22"/>
              </w:rPr>
              <w:t>), ODDLPRICE (§</w:t>
            </w:r>
            <w:hyperlink w:history="true" w:anchor="_bookmark706">
              <w:r>
                <w:rPr>
                  <w:sz w:val="22"/>
                </w:rPr>
                <w:t>18.17.7.243</w:t>
              </w:r>
            </w:hyperlink>
            <w:r>
              <w:rPr>
                <w:sz w:val="22"/>
              </w:rPr>
              <w:t>), ODDLYIELD (§</w:t>
            </w:r>
            <w:hyperlink w:history="true" w:anchor="_bookmark707">
              <w:r>
                <w:rPr>
                  <w:sz w:val="22"/>
                </w:rPr>
                <w:t>18.17.7.244</w:t>
              </w:r>
            </w:hyperlink>
            <w:r>
              <w:rPr>
                <w:sz w:val="22"/>
              </w:rPr>
              <w:t>), PMT (§</w:t>
            </w:r>
            <w:hyperlink w:history="true" w:anchor="_bookmark716">
              <w:r>
                <w:rPr>
                  <w:sz w:val="22"/>
                </w:rPr>
                <w:t>18.17.7.253</w:t>
              </w:r>
            </w:hyperlink>
            <w:r>
              <w:rPr>
                <w:sz w:val="22"/>
              </w:rPr>
              <w:t>), PPMT (§</w:t>
            </w:r>
            <w:hyperlink w:history="true" w:anchor="_bookmark719">
              <w:r>
                <w:rPr>
                  <w:sz w:val="22"/>
                </w:rPr>
                <w:t>18.17.7.256</w:t>
              </w:r>
            </w:hyperlink>
            <w:r>
              <w:rPr>
                <w:sz w:val="22"/>
              </w:rPr>
              <w:t>), PRICE (§</w:t>
            </w:r>
            <w:hyperlink w:history="true" w:anchor="_bookmark720">
              <w:r>
                <w:rPr>
                  <w:sz w:val="22"/>
                </w:rPr>
                <w:t>18.17.7.257</w:t>
              </w:r>
            </w:hyperlink>
            <w:r>
              <w:rPr>
                <w:sz w:val="22"/>
              </w:rPr>
              <w:t>), PRICEDISC (§</w:t>
            </w:r>
            <w:hyperlink w:history="true" w:anchor="_bookmark721">
              <w:r>
                <w:rPr>
                  <w:sz w:val="22"/>
                </w:rPr>
                <w:t>18.17.7.258</w:t>
              </w:r>
            </w:hyperlink>
            <w:r>
              <w:rPr>
                <w:sz w:val="22"/>
              </w:rPr>
              <w:t>), PRICEMAT (§</w:t>
            </w:r>
            <w:hyperlink w:history="true" w:anchor="_bookmark722">
              <w:r>
                <w:rPr>
                  <w:sz w:val="22"/>
                </w:rPr>
                <w:t>18.17.7.259</w:t>
              </w:r>
            </w:hyperlink>
            <w:r>
              <w:rPr>
                <w:sz w:val="22"/>
              </w:rPr>
              <w:t>), PV (§</w:t>
            </w:r>
            <w:hyperlink w:history="true" w:anchor="_bookmark726">
              <w:r>
                <w:rPr>
                  <w:sz w:val="22"/>
                </w:rPr>
                <w:t>18.17.7.263</w:t>
              </w:r>
            </w:hyperlink>
            <w:r>
              <w:rPr>
                <w:sz w:val="22"/>
              </w:rPr>
              <w:t>), RATE (§</w:t>
            </w:r>
            <w:hyperlink w:history="true" w:anchor="_bookmark733">
              <w:r>
                <w:rPr>
                  <w:sz w:val="22"/>
                </w:rPr>
                <w:t>18.17.7.270</w:t>
              </w:r>
            </w:hyperlink>
            <w:r>
              <w:rPr>
                <w:sz w:val="22"/>
              </w:rPr>
              <w:t>), RECEIVED (§</w:t>
            </w:r>
            <w:hyperlink w:history="true" w:anchor="_bookmark734">
              <w:r>
                <w:rPr>
                  <w:sz w:val="22"/>
                </w:rPr>
                <w:t>18.17.7.271</w:t>
              </w:r>
            </w:hyperlink>
            <w:r>
              <w:rPr>
                <w:sz w:val="22"/>
              </w:rPr>
              <w:t>), SLN (§</w:t>
            </w:r>
            <w:hyperlink w:history="true" w:anchor="_bookmark756">
              <w:r>
                <w:rPr>
                  <w:sz w:val="22"/>
                </w:rPr>
                <w:t>18.17.7.293</w:t>
              </w:r>
            </w:hyperlink>
            <w:r>
              <w:rPr>
                <w:sz w:val="22"/>
              </w:rPr>
              <w:t>), SYD (§</w:t>
            </w:r>
            <w:hyperlink w:history="true" w:anchor="_bookmark777">
              <w:r>
                <w:rPr>
                  <w:sz w:val="22"/>
                </w:rPr>
                <w:t>18.17.7.314</w:t>
              </w:r>
            </w:hyperlink>
            <w:r>
              <w:rPr>
                <w:sz w:val="22"/>
              </w:rPr>
              <w:t>), TBILLEQ (§</w:t>
            </w:r>
            <w:hyperlink w:history="true" w:anchor="_bookmark781">
              <w:r>
                <w:rPr>
                  <w:sz w:val="22"/>
                </w:rPr>
                <w:t>18.17.7.318</w:t>
              </w:r>
            </w:hyperlink>
            <w:r>
              <w:rPr>
                <w:sz w:val="22"/>
              </w:rPr>
              <w:t>), TBILLPRICE (§</w:t>
            </w:r>
            <w:hyperlink w:history="true" w:anchor="_bookmark782">
              <w:r>
                <w:rPr>
                  <w:sz w:val="22"/>
                </w:rPr>
                <w:t>18.17.7.319</w:t>
              </w:r>
            </w:hyperlink>
            <w:r>
              <w:rPr>
                <w:sz w:val="22"/>
              </w:rPr>
              <w:t>), TBILLYIELD (§</w:t>
            </w:r>
            <w:hyperlink w:history="true" w:anchor="_bookmark783">
              <w:r>
                <w:rPr>
                  <w:sz w:val="22"/>
                </w:rPr>
                <w:t>18.17.7.320</w:t>
              </w:r>
            </w:hyperlink>
            <w:r>
              <w:rPr>
                <w:sz w:val="22"/>
              </w:rPr>
              <w:t>), VDB (§</w:t>
            </w:r>
            <w:hyperlink w:history="true" w:anchor="_bookmark807">
              <w:r>
                <w:rPr>
                  <w:sz w:val="22"/>
                </w:rPr>
                <w:t>18.17.7.342</w:t>
              </w:r>
            </w:hyperlink>
            <w:r>
              <w:rPr>
                <w:sz w:val="22"/>
              </w:rPr>
              <w:t>), XIRR (§</w:t>
            </w:r>
            <w:hyperlink w:history="true" w:anchor="_bookmark814">
              <w:r>
                <w:rPr>
                  <w:sz w:val="22"/>
                </w:rPr>
                <w:t>18.17.7.349</w:t>
              </w:r>
            </w:hyperlink>
            <w:r>
              <w:rPr>
                <w:sz w:val="22"/>
              </w:rPr>
              <w:t>), XNPV (§</w:t>
            </w:r>
            <w:hyperlink w:history="true" w:anchor="_bookmark815">
              <w:r>
                <w:rPr>
                  <w:sz w:val="22"/>
                </w:rPr>
                <w:t>18.17.7.350</w:t>
              </w:r>
            </w:hyperlink>
            <w:r>
              <w:rPr>
                <w:sz w:val="22"/>
              </w:rPr>
              <w:t>), YIELD (§</w:t>
            </w:r>
            <w:hyperlink w:history="true" w:anchor="_bookmark818">
              <w:r>
                <w:rPr>
                  <w:sz w:val="22"/>
                </w:rPr>
                <w:t>18.17.7.353</w:t>
              </w:r>
            </w:hyperlink>
            <w:r>
              <w:rPr>
                <w:sz w:val="22"/>
              </w:rPr>
              <w:t>), YIELDDISC (§</w:t>
            </w:r>
            <w:hyperlink w:history="true" w:anchor="_bookmark819">
              <w:r>
                <w:rPr>
                  <w:sz w:val="22"/>
                </w:rPr>
                <w:t>18.17.7.354</w:t>
              </w:r>
            </w:hyperlink>
            <w:r>
              <w:rPr>
                <w:sz w:val="22"/>
              </w:rPr>
              <w:t>), and YIELDMAT (§</w:t>
            </w:r>
            <w:hyperlink w:history="true" w:anchor="_bookmark820">
              <w:r>
                <w:rPr>
                  <w:sz w:val="22"/>
                </w:rPr>
                <w:t>18.17.7.355</w:t>
              </w:r>
            </w:hyperlink>
            <w:r>
              <w:rPr>
                <w:sz w:val="22"/>
              </w:rPr>
              <w:t>).</w:t>
            </w:r>
          </w:p>
        </w:tc>
      </w:tr>
      <w:tr>
        <w:trPr>
          <w:trHeight w:val="889" w:hRule="atLeast"/>
        </w:trPr>
        <w:tc>
          <w:tcPr>
            <w:tcW w:w="1728" w:type="dxa"/>
          </w:tcPr>
          <w:p>
            <w:pPr>
              <w:pStyle w:val="TableParagraph"/>
              <w:rPr>
                <w:sz w:val="22"/>
              </w:rPr>
            </w:pPr>
            <w:r>
              <w:rPr>
                <w:sz w:val="22"/>
              </w:rPr>
              <w:t>Information</w:t>
            </w:r>
          </w:p>
        </w:tc>
        <w:tc>
          <w:tcPr>
            <w:tcW w:w="7202" w:type="dxa"/>
          </w:tcPr>
          <w:p>
            <w:pPr>
              <w:pStyle w:val="TableParagraph"/>
              <w:ind w:left="114" w:right="92"/>
              <w:rPr>
                <w:sz w:val="22"/>
              </w:rPr>
            </w:pPr>
            <w:r>
              <w:rPr>
                <w:sz w:val="22"/>
              </w:rPr>
              <w:t>CELL (§</w:t>
            </w:r>
            <w:hyperlink w:history="true" w:anchor="_bookmark497">
              <w:r>
                <w:rPr>
                  <w:sz w:val="22"/>
                </w:rPr>
                <w:t>18.17.7.34</w:t>
              </w:r>
            </w:hyperlink>
            <w:r>
              <w:rPr>
                <w:sz w:val="22"/>
              </w:rPr>
              <w:t>), ERROR.TYPE (§</w:t>
            </w:r>
            <w:hyperlink w:history="true" w:anchor="_bookmark573">
              <w:r>
                <w:rPr>
                  <w:sz w:val="22"/>
                </w:rPr>
                <w:t>18.17.7.110</w:t>
              </w:r>
            </w:hyperlink>
            <w:r>
              <w:rPr>
                <w:sz w:val="22"/>
              </w:rPr>
              <w:t>), INFO (§</w:t>
            </w:r>
            <w:hyperlink w:history="true" w:anchor="_bookmark631">
              <w:r>
                <w:rPr>
                  <w:sz w:val="22"/>
                </w:rPr>
                <w:t>18.17.7.168</w:t>
              </w:r>
            </w:hyperlink>
            <w:r>
              <w:rPr>
                <w:sz w:val="22"/>
              </w:rPr>
              <w:t>), ISBLANK (§</w:t>
            </w:r>
            <w:hyperlink w:history="true" w:anchor="_bookmark637">
              <w:r>
                <w:rPr>
                  <w:sz w:val="22"/>
                </w:rPr>
                <w:t>18.17.7.174</w:t>
              </w:r>
            </w:hyperlink>
            <w:r>
              <w:rPr>
                <w:sz w:val="22"/>
              </w:rPr>
              <w:t>), ISERR (§</w:t>
            </w:r>
            <w:hyperlink w:history="true" w:anchor="_bookmark638">
              <w:r>
                <w:rPr>
                  <w:sz w:val="22"/>
                </w:rPr>
                <w:t>18.17.7.175</w:t>
              </w:r>
            </w:hyperlink>
            <w:r>
              <w:rPr>
                <w:sz w:val="22"/>
              </w:rPr>
              <w:t>), ISERROR (§</w:t>
            </w:r>
            <w:hyperlink w:history="true" w:anchor="_bookmark639">
              <w:r>
                <w:rPr>
                  <w:sz w:val="22"/>
                </w:rPr>
                <w:t>18.17.7.176</w:t>
              </w:r>
            </w:hyperlink>
            <w:r>
              <w:rPr>
                <w:sz w:val="22"/>
              </w:rPr>
              <w:t>), ISEVEN (§</w:t>
            </w:r>
            <w:hyperlink w:history="true" w:anchor="_bookmark640">
              <w:r>
                <w:rPr>
                  <w:sz w:val="22"/>
                </w:rPr>
                <w:t>18.17.7.177</w:t>
              </w:r>
            </w:hyperlink>
            <w:r>
              <w:rPr>
                <w:sz w:val="22"/>
              </w:rPr>
              <w:t>), ISLOGICAL (§</w:t>
            </w:r>
            <w:hyperlink w:history="true" w:anchor="_bookmark641">
              <w:r>
                <w:rPr>
                  <w:sz w:val="22"/>
                </w:rPr>
                <w:t>18.17.7.178</w:t>
              </w:r>
            </w:hyperlink>
            <w:r>
              <w:rPr>
                <w:sz w:val="22"/>
              </w:rPr>
              <w:t>), ISNA (§</w:t>
            </w:r>
            <w:hyperlink w:history="true" w:anchor="_bookmark642">
              <w:r>
                <w:rPr>
                  <w:sz w:val="22"/>
                </w:rPr>
                <w:t>18.17.7.179</w:t>
              </w:r>
            </w:hyperlink>
            <w:r>
              <w:rPr>
                <w:sz w:val="22"/>
              </w:rPr>
              <w:t>), ISNONTEXT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7202"/>
      </w:tblGrid>
      <w:tr>
        <w:trPr>
          <w:trHeight w:val="355" w:hRule="atLeast"/>
        </w:trPr>
        <w:tc>
          <w:tcPr>
            <w:tcW w:w="1728" w:type="dxa"/>
            <w:shd w:val="clear" w:color="auto" w:fill="C0C0C0"/>
          </w:tcPr>
          <w:p>
            <w:pPr>
              <w:pStyle w:val="TableParagraph"/>
              <w:ind w:left="455"/>
              <w:rPr>
                <w:b/>
                <w:sz w:val="22"/>
              </w:rPr>
            </w:pPr>
            <w:r>
              <w:rPr>
                <w:b/>
                <w:sz w:val="22"/>
              </w:rPr>
              <w:t>Category</w:t>
            </w:r>
          </w:p>
        </w:tc>
        <w:tc>
          <w:tcPr>
            <w:tcW w:w="7202" w:type="dxa"/>
            <w:shd w:val="clear" w:color="auto" w:fill="C0C0C0"/>
          </w:tcPr>
          <w:p>
            <w:pPr>
              <w:pStyle w:val="TableParagraph"/>
              <w:ind w:left="3158" w:right="3149"/>
              <w:jc w:val="center"/>
              <w:rPr>
                <w:b/>
                <w:sz w:val="22"/>
              </w:rPr>
            </w:pPr>
            <w:r>
              <w:rPr>
                <w:b/>
                <w:sz w:val="22"/>
              </w:rPr>
              <w:t>Formulas</w:t>
            </w:r>
          </w:p>
        </w:tc>
      </w:tr>
      <w:tr>
        <w:trPr>
          <w:trHeight w:val="892" w:hRule="atLeast"/>
        </w:trPr>
        <w:tc>
          <w:tcPr>
            <w:tcW w:w="1728" w:type="dxa"/>
          </w:tcPr>
          <w:p>
            <w:pPr>
              <w:pStyle w:val="TableParagraph"/>
              <w:spacing w:before="0"/>
              <w:ind w:left="0"/>
              <w:rPr>
                <w:rFonts w:ascii="Times New Roman"/>
                <w:sz w:val="22"/>
              </w:rPr>
            </w:pPr>
          </w:p>
        </w:tc>
        <w:tc>
          <w:tcPr>
            <w:tcW w:w="7202" w:type="dxa"/>
          </w:tcPr>
          <w:p>
            <w:pPr>
              <w:pStyle w:val="TableParagraph"/>
              <w:ind w:left="114" w:right="329"/>
              <w:rPr>
                <w:sz w:val="22"/>
              </w:rPr>
            </w:pPr>
            <w:hyperlink w:history="true" w:anchor="_bookmark643">
              <w:r>
                <w:rPr>
                  <w:sz w:val="22"/>
                </w:rPr>
                <w:t>(§18.17.7.180</w:t>
              </w:r>
            </w:hyperlink>
            <w:r>
              <w:rPr>
                <w:sz w:val="22"/>
              </w:rPr>
              <w:t>), ISNUMBER (§</w:t>
            </w:r>
            <w:hyperlink w:history="true" w:anchor="_bookmark644">
              <w:r>
                <w:rPr>
                  <w:sz w:val="22"/>
                </w:rPr>
                <w:t>18.17.7.181</w:t>
              </w:r>
            </w:hyperlink>
            <w:r>
              <w:rPr>
                <w:sz w:val="22"/>
              </w:rPr>
              <w:t>), ISODD (§</w:t>
            </w:r>
            <w:hyperlink w:history="true" w:anchor="_bookmark646">
              <w:r>
                <w:rPr>
                  <w:sz w:val="22"/>
                </w:rPr>
                <w:t>18.17.7.183</w:t>
              </w:r>
            </w:hyperlink>
            <w:r>
              <w:rPr>
                <w:sz w:val="22"/>
              </w:rPr>
              <w:t>), ISREF (§</w:t>
            </w:r>
            <w:hyperlink w:history="true" w:anchor="_bookmark648">
              <w:r>
                <w:rPr>
                  <w:sz w:val="22"/>
                </w:rPr>
                <w:t>18.17.7.185</w:t>
              </w:r>
            </w:hyperlink>
            <w:r>
              <w:rPr>
                <w:sz w:val="22"/>
              </w:rPr>
              <w:t>), ISTEXT (§</w:t>
            </w:r>
            <w:hyperlink w:history="true" w:anchor="_bookmark649">
              <w:r>
                <w:rPr>
                  <w:sz w:val="22"/>
                </w:rPr>
                <w:t>18.17.7.186</w:t>
              </w:r>
            </w:hyperlink>
            <w:r>
              <w:rPr>
                <w:sz w:val="22"/>
              </w:rPr>
              <w:t>), N (§</w:t>
            </w:r>
            <w:hyperlink w:history="true" w:anchor="_bookmark686">
              <w:r>
                <w:rPr>
                  <w:sz w:val="22"/>
                </w:rPr>
                <w:t>18.17.7.223</w:t>
              </w:r>
            </w:hyperlink>
            <w:r>
              <w:rPr>
                <w:sz w:val="22"/>
              </w:rPr>
              <w:t>), NA (§</w:t>
            </w:r>
            <w:hyperlink w:history="true" w:anchor="_bookmark687">
              <w:r>
                <w:rPr>
                  <w:sz w:val="22"/>
                </w:rPr>
                <w:t>18.17.7.224</w:t>
              </w:r>
            </w:hyperlink>
            <w:r>
              <w:rPr>
                <w:sz w:val="22"/>
              </w:rPr>
              <w:t>), and TYPE (§</w:t>
            </w:r>
            <w:hyperlink w:history="true" w:anchor="_bookmark798">
              <w:r>
                <w:rPr>
                  <w:sz w:val="22"/>
                </w:rPr>
                <w:t>18.17.7.334</w:t>
              </w:r>
            </w:hyperlink>
            <w:r>
              <w:rPr>
                <w:sz w:val="22"/>
              </w:rPr>
              <w:t>).</w:t>
            </w:r>
          </w:p>
        </w:tc>
      </w:tr>
      <w:tr>
        <w:trPr>
          <w:trHeight w:val="890" w:hRule="atLeast"/>
        </w:trPr>
        <w:tc>
          <w:tcPr>
            <w:tcW w:w="1728" w:type="dxa"/>
          </w:tcPr>
          <w:p>
            <w:pPr>
              <w:pStyle w:val="TableParagraph"/>
              <w:rPr>
                <w:sz w:val="22"/>
              </w:rPr>
            </w:pPr>
            <w:r>
              <w:rPr>
                <w:sz w:val="22"/>
              </w:rPr>
              <w:t>Logical</w:t>
            </w:r>
          </w:p>
        </w:tc>
        <w:tc>
          <w:tcPr>
            <w:tcW w:w="7202" w:type="dxa"/>
          </w:tcPr>
          <w:p>
            <w:pPr>
              <w:pStyle w:val="TableParagraph"/>
              <w:ind w:left="114" w:right="1054"/>
              <w:rPr>
                <w:sz w:val="22"/>
              </w:rPr>
            </w:pPr>
            <w:r>
              <w:rPr>
                <w:sz w:val="22"/>
              </w:rPr>
              <w:t>AND (§</w:t>
            </w:r>
            <w:hyperlink w:history="true" w:anchor="_bookmark472">
              <w:r>
                <w:rPr>
                  <w:sz w:val="22"/>
                </w:rPr>
                <w:t>18.17.7.9</w:t>
              </w:r>
            </w:hyperlink>
            <w:r>
              <w:rPr>
                <w:sz w:val="22"/>
              </w:rPr>
              <w:t>), FALSE (§</w:t>
            </w:r>
            <w:hyperlink w:history="true" w:anchor="_bookmark580">
              <w:r>
                <w:rPr>
                  <w:sz w:val="22"/>
                </w:rPr>
                <w:t>18.17.7.117</w:t>
              </w:r>
            </w:hyperlink>
            <w:r>
              <w:rPr>
                <w:sz w:val="22"/>
              </w:rPr>
              <w:t>), IF (§</w:t>
            </w:r>
            <w:hyperlink w:history="true" w:anchor="_bookmark610">
              <w:r>
                <w:rPr>
                  <w:sz w:val="22"/>
                </w:rPr>
                <w:t>18.17.7.147</w:t>
              </w:r>
            </w:hyperlink>
            <w:r>
              <w:rPr>
                <w:sz w:val="22"/>
              </w:rPr>
              <w:t>), IFERROR (§</w:t>
            </w:r>
            <w:hyperlink w:history="true" w:anchor="_bookmark611">
              <w:r>
                <w:rPr>
                  <w:sz w:val="22"/>
                </w:rPr>
                <w:t>18.17.7.148</w:t>
              </w:r>
            </w:hyperlink>
            <w:r>
              <w:rPr>
                <w:sz w:val="22"/>
              </w:rPr>
              <w:t>), NOT (§</w:t>
            </w:r>
            <w:hyperlink w:history="true" w:anchor="_bookmark696">
              <w:r>
                <w:rPr>
                  <w:sz w:val="22"/>
                </w:rPr>
                <w:t>18.17.7.233</w:t>
              </w:r>
            </w:hyperlink>
            <w:r>
              <w:rPr>
                <w:sz w:val="22"/>
              </w:rPr>
              <w:t>), OR (§</w:t>
            </w:r>
            <w:hyperlink w:history="true" w:anchor="_bookmark709">
              <w:r>
                <w:rPr>
                  <w:sz w:val="22"/>
                </w:rPr>
                <w:t>18.17.7.246</w:t>
              </w:r>
            </w:hyperlink>
            <w:r>
              <w:rPr>
                <w:sz w:val="22"/>
              </w:rPr>
              <w:t>), and TRUE (§</w:t>
            </w:r>
            <w:hyperlink w:history="true" w:anchor="_bookmark794">
              <w:r>
                <w:rPr>
                  <w:sz w:val="22"/>
                </w:rPr>
                <w:t>18.17.7.330</w:t>
              </w:r>
            </w:hyperlink>
            <w:r>
              <w:rPr>
                <w:sz w:val="22"/>
              </w:rPr>
              <w:t>).</w:t>
            </w:r>
          </w:p>
        </w:tc>
      </w:tr>
      <w:tr>
        <w:trPr>
          <w:trHeight w:val="1699" w:hRule="atLeast"/>
        </w:trPr>
        <w:tc>
          <w:tcPr>
            <w:tcW w:w="1728" w:type="dxa"/>
          </w:tcPr>
          <w:p>
            <w:pPr>
              <w:pStyle w:val="TableParagraph"/>
              <w:ind w:right="541"/>
              <w:rPr>
                <w:sz w:val="22"/>
              </w:rPr>
            </w:pPr>
            <w:r>
              <w:rPr>
                <w:sz w:val="22"/>
              </w:rPr>
              <w:t>Lookup and Reference</w:t>
            </w:r>
          </w:p>
        </w:tc>
        <w:tc>
          <w:tcPr>
            <w:tcW w:w="7202" w:type="dxa"/>
          </w:tcPr>
          <w:p>
            <w:pPr>
              <w:pStyle w:val="TableParagraph"/>
              <w:ind w:left="114" w:right="145"/>
              <w:rPr>
                <w:sz w:val="22"/>
              </w:rPr>
            </w:pPr>
            <w:r>
              <w:rPr>
                <w:sz w:val="22"/>
              </w:rPr>
              <w:t>ADDRESS (§</w:t>
            </w:r>
            <w:hyperlink w:history="true" w:anchor="_bookmark468">
              <w:r>
                <w:rPr>
                  <w:sz w:val="22"/>
                </w:rPr>
                <w:t>18.17.7.6</w:t>
              </w:r>
            </w:hyperlink>
            <w:r>
              <w:rPr>
                <w:sz w:val="22"/>
              </w:rPr>
              <w:t>), AREAS (§</w:t>
            </w:r>
            <w:hyperlink w:history="true" w:anchor="_bookmark473">
              <w:r>
                <w:rPr>
                  <w:sz w:val="22"/>
                </w:rPr>
                <w:t>18.17.7.10</w:t>
              </w:r>
            </w:hyperlink>
            <w:r>
              <w:rPr>
                <w:sz w:val="22"/>
              </w:rPr>
              <w:t>), CHOOSE (§</w:t>
            </w:r>
            <w:hyperlink w:history="true" w:anchor="_bookmark502">
              <w:r>
                <w:rPr>
                  <w:sz w:val="22"/>
                </w:rPr>
                <w:t>18.17.7.39</w:t>
              </w:r>
            </w:hyperlink>
            <w:r>
              <w:rPr>
                <w:sz w:val="22"/>
              </w:rPr>
              <w:t>), COLUMN (§</w:t>
            </w:r>
            <w:hyperlink w:history="true" w:anchor="_bookmark505">
              <w:r>
                <w:rPr>
                  <w:sz w:val="22"/>
                </w:rPr>
                <w:t>18.17.7.42</w:t>
              </w:r>
            </w:hyperlink>
            <w:r>
              <w:rPr>
                <w:sz w:val="22"/>
              </w:rPr>
              <w:t>), COLUMNS (§</w:t>
            </w:r>
            <w:hyperlink w:history="true" w:anchor="_bookmark506">
              <w:r>
                <w:rPr>
                  <w:sz w:val="22"/>
                </w:rPr>
                <w:t>18.17.7.43</w:t>
              </w:r>
            </w:hyperlink>
            <w:r>
              <w:rPr>
                <w:sz w:val="22"/>
              </w:rPr>
              <w:t>, GETPIVOTDATA (§</w:t>
            </w:r>
            <w:hyperlink w:history="true" w:anchor="_bookmark600">
              <w:r>
                <w:rPr>
                  <w:sz w:val="22"/>
                </w:rPr>
                <w:t>18.17.7.137</w:t>
              </w:r>
            </w:hyperlink>
            <w:r>
              <w:rPr>
                <w:sz w:val="22"/>
              </w:rPr>
              <w:t>), HLOOKUP (§</w:t>
            </w:r>
            <w:hyperlink w:history="true" w:anchor="_bookmark606">
              <w:r>
                <w:rPr>
                  <w:sz w:val="22"/>
                </w:rPr>
                <w:t>18.17.7.143</w:t>
              </w:r>
            </w:hyperlink>
            <w:r>
              <w:rPr>
                <w:sz w:val="22"/>
              </w:rPr>
              <w:t>), HYPERLINK (§</w:t>
            </w:r>
            <w:hyperlink w:history="true" w:anchor="_bookmark608">
              <w:r>
                <w:rPr>
                  <w:sz w:val="22"/>
                </w:rPr>
                <w:t>18.17.7.145</w:t>
              </w:r>
            </w:hyperlink>
            <w:r>
              <w:rPr>
                <w:sz w:val="22"/>
              </w:rPr>
              <w:t>), INDEX (§</w:t>
            </w:r>
            <w:hyperlink w:history="true" w:anchor="_bookmark629">
              <w:r>
                <w:rPr>
                  <w:sz w:val="22"/>
                </w:rPr>
                <w:t>18.17.7.166</w:t>
              </w:r>
            </w:hyperlink>
            <w:r>
              <w:rPr>
                <w:sz w:val="22"/>
              </w:rPr>
              <w:t>), INDIRECT (§</w:t>
            </w:r>
            <w:hyperlink w:history="true" w:anchor="_bookmark630">
              <w:r>
                <w:rPr>
                  <w:sz w:val="22"/>
                </w:rPr>
                <w:t>18.17.7.167</w:t>
              </w:r>
            </w:hyperlink>
            <w:r>
              <w:rPr>
                <w:sz w:val="22"/>
              </w:rPr>
              <w:t>), LOOKUP (§</w:t>
            </w:r>
            <w:hyperlink w:history="true" w:anchor="_bookmark665">
              <w:r>
                <w:rPr>
                  <w:sz w:val="22"/>
                </w:rPr>
                <w:t>18.17.7.202</w:t>
              </w:r>
            </w:hyperlink>
            <w:r>
              <w:rPr>
                <w:sz w:val="22"/>
              </w:rPr>
              <w:t>), MATCH (§</w:t>
            </w:r>
            <w:hyperlink w:history="true" w:anchor="_bookmark667">
              <w:r>
                <w:rPr>
                  <w:sz w:val="22"/>
                </w:rPr>
                <w:t>18.17.7.204</w:t>
              </w:r>
            </w:hyperlink>
            <w:r>
              <w:rPr>
                <w:sz w:val="22"/>
              </w:rPr>
              <w:t>), OFFSET (§</w:t>
            </w:r>
            <w:hyperlink w:history="true" w:anchor="_bookmark708">
              <w:r>
                <w:rPr>
                  <w:sz w:val="22"/>
                </w:rPr>
                <w:t>18.17.7.245</w:t>
              </w:r>
            </w:hyperlink>
            <w:r>
              <w:rPr>
                <w:sz w:val="22"/>
              </w:rPr>
              <w:t>), ROW (§</w:t>
            </w:r>
            <w:hyperlink w:history="true" w:anchor="_bookmark744">
              <w:r>
                <w:rPr>
                  <w:sz w:val="22"/>
                </w:rPr>
                <w:t>18.17.7.281</w:t>
              </w:r>
            </w:hyperlink>
            <w:r>
              <w:rPr>
                <w:sz w:val="22"/>
              </w:rPr>
              <w:t>), ROWS (§</w:t>
            </w:r>
            <w:hyperlink w:history="true" w:anchor="_bookmark745">
              <w:r>
                <w:rPr>
                  <w:sz w:val="22"/>
                </w:rPr>
                <w:t>18.17.7.282</w:t>
              </w:r>
            </w:hyperlink>
            <w:r>
              <w:rPr>
                <w:sz w:val="22"/>
              </w:rPr>
              <w:t>), RTD (§</w:t>
            </w:r>
            <w:hyperlink w:history="true" w:anchor="_bookmark747">
              <w:r>
                <w:rPr>
                  <w:sz w:val="22"/>
                </w:rPr>
                <w:t>18.17.7.284</w:t>
              </w:r>
            </w:hyperlink>
            <w:r>
              <w:rPr>
                <w:sz w:val="22"/>
              </w:rPr>
              <w:t>), TRANSPOSE (§</w:t>
            </w:r>
            <w:hyperlink w:history="true" w:anchor="_bookmark790">
              <w:r>
                <w:rPr>
                  <w:sz w:val="22"/>
                </w:rPr>
                <w:t>18.17.7.327</w:t>
              </w:r>
            </w:hyperlink>
            <w:r>
              <w:rPr>
                <w:sz w:val="22"/>
              </w:rPr>
              <w:t>), and VLOOKUP (§</w:t>
            </w:r>
            <w:hyperlink w:history="true" w:anchor="_bookmark808">
              <w:r>
                <w:rPr>
                  <w:sz w:val="22"/>
                </w:rPr>
                <w:t>18.17.7.343</w:t>
              </w:r>
            </w:hyperlink>
            <w:r>
              <w:rPr>
                <w:sz w:val="22"/>
              </w:rPr>
              <w:t>).</w:t>
            </w:r>
          </w:p>
        </w:tc>
      </w:tr>
      <w:tr>
        <w:trPr>
          <w:trHeight w:val="5724" w:hRule="atLeast"/>
        </w:trPr>
        <w:tc>
          <w:tcPr>
            <w:tcW w:w="1728" w:type="dxa"/>
          </w:tcPr>
          <w:p>
            <w:pPr>
              <w:pStyle w:val="TableParagraph"/>
              <w:rPr>
                <w:sz w:val="22"/>
              </w:rPr>
            </w:pPr>
            <w:r>
              <w:rPr>
                <w:sz w:val="22"/>
              </w:rPr>
              <w:t>Math and Trig</w:t>
            </w:r>
          </w:p>
        </w:tc>
        <w:tc>
          <w:tcPr>
            <w:tcW w:w="7202" w:type="dxa"/>
          </w:tcPr>
          <w:p>
            <w:pPr>
              <w:pStyle w:val="TableParagraph"/>
              <w:ind w:left="114" w:right="170"/>
              <w:rPr>
                <w:sz w:val="22"/>
              </w:rPr>
            </w:pPr>
            <w:r>
              <w:rPr>
                <w:sz w:val="22"/>
              </w:rPr>
              <w:t>ABS (§</w:t>
            </w:r>
            <w:hyperlink w:history="true" w:anchor="_bookmark463">
              <w:r>
                <w:rPr>
                  <w:sz w:val="22"/>
                </w:rPr>
                <w:t>18.17.7.1</w:t>
              </w:r>
            </w:hyperlink>
            <w:r>
              <w:rPr>
                <w:sz w:val="22"/>
              </w:rPr>
              <w:t>), ACOS (§</w:t>
            </w:r>
            <w:hyperlink w:history="true" w:anchor="_bookmark466">
              <w:r>
                <w:rPr>
                  <w:sz w:val="22"/>
                </w:rPr>
                <w:t>18.17.7.4</w:t>
              </w:r>
            </w:hyperlink>
            <w:r>
              <w:rPr>
                <w:sz w:val="22"/>
              </w:rPr>
              <w:t>), ACOSH (§</w:t>
            </w:r>
            <w:hyperlink w:history="true" w:anchor="_bookmark467">
              <w:r>
                <w:rPr>
                  <w:sz w:val="22"/>
                </w:rPr>
                <w:t>18.17.7.5</w:t>
              </w:r>
            </w:hyperlink>
            <w:r>
              <w:rPr>
                <w:sz w:val="22"/>
              </w:rPr>
              <w:t>), ASIN (§</w:t>
            </w:r>
            <w:hyperlink w:history="true" w:anchor="_bookmark475">
              <w:r>
                <w:rPr>
                  <w:sz w:val="22"/>
                </w:rPr>
                <w:t>18.17.7.12</w:t>
              </w:r>
            </w:hyperlink>
            <w:r>
              <w:rPr>
                <w:sz w:val="22"/>
              </w:rPr>
              <w:t>), ASINH (§</w:t>
            </w:r>
            <w:hyperlink w:history="true" w:anchor="_bookmark476">
              <w:r>
                <w:rPr>
                  <w:sz w:val="22"/>
                </w:rPr>
                <w:t>18.17.7.13</w:t>
              </w:r>
            </w:hyperlink>
            <w:r>
              <w:rPr>
                <w:sz w:val="22"/>
              </w:rPr>
              <w:t>), ATAN (§</w:t>
            </w:r>
            <w:hyperlink w:history="true" w:anchor="_bookmark477">
              <w:r>
                <w:rPr>
                  <w:sz w:val="22"/>
                </w:rPr>
                <w:t>18.17.7.14</w:t>
              </w:r>
            </w:hyperlink>
            <w:r>
              <w:rPr>
                <w:sz w:val="22"/>
              </w:rPr>
              <w:t>), ATAN2 (§</w:t>
            </w:r>
            <w:hyperlink w:history="true" w:anchor="_bookmark478">
              <w:r>
                <w:rPr>
                  <w:sz w:val="22"/>
                </w:rPr>
                <w:t>18.17.7.15</w:t>
              </w:r>
            </w:hyperlink>
            <w:r>
              <w:rPr>
                <w:sz w:val="22"/>
              </w:rPr>
              <w:t>), ATANH (§</w:t>
            </w:r>
            <w:hyperlink w:history="true" w:anchor="_bookmark479">
              <w:r>
                <w:rPr>
                  <w:sz w:val="22"/>
                </w:rPr>
                <w:t>18.17.7.16</w:t>
              </w:r>
            </w:hyperlink>
            <w:r>
              <w:rPr>
                <w:sz w:val="22"/>
              </w:rPr>
              <w:t>), CEILING (§</w:t>
            </w:r>
            <w:hyperlink w:history="true" w:anchor="_bookmark496">
              <w:r>
                <w:rPr>
                  <w:sz w:val="22"/>
                </w:rPr>
                <w:t>18.17.7.33</w:t>
              </w:r>
            </w:hyperlink>
            <w:r>
              <w:rPr>
                <w:sz w:val="22"/>
              </w:rPr>
              <w:t>), COMBIN (§</w:t>
            </w:r>
            <w:hyperlink w:history="true" w:anchor="_bookmark507">
              <w:r>
                <w:rPr>
                  <w:sz w:val="22"/>
                </w:rPr>
                <w:t>18.17.7.44</w:t>
              </w:r>
            </w:hyperlink>
            <w:r>
              <w:rPr>
                <w:sz w:val="22"/>
              </w:rPr>
              <w:t>), COS (§</w:t>
            </w:r>
            <w:hyperlink w:history="true" w:anchor="_bookmark513">
              <w:r>
                <w:rPr>
                  <w:sz w:val="22"/>
                </w:rPr>
                <w:t>18.17.7.50</w:t>
              </w:r>
            </w:hyperlink>
            <w:r>
              <w:rPr>
                <w:sz w:val="22"/>
              </w:rPr>
              <w:t>), COSH (§</w:t>
            </w:r>
            <w:hyperlink w:history="true" w:anchor="_bookmark514">
              <w:r>
                <w:rPr>
                  <w:sz w:val="22"/>
                </w:rPr>
                <w:t>18.17.7.51</w:t>
              </w:r>
            </w:hyperlink>
            <w:r>
              <w:rPr>
                <w:sz w:val="22"/>
              </w:rPr>
              <w:t>), DEGREES (§</w:t>
            </w:r>
            <w:hyperlink w:history="true" w:anchor="_bookmark550">
              <w:r>
                <w:rPr>
                  <w:sz w:val="22"/>
                </w:rPr>
                <w:t>18.17.7.87</w:t>
              </w:r>
            </w:hyperlink>
            <w:r>
              <w:rPr>
                <w:sz w:val="22"/>
              </w:rPr>
              <w:t>), ECMA.CEILING (§</w:t>
            </w:r>
            <w:hyperlink w:history="true" w:anchor="_bookmark567">
              <w:r>
                <w:rPr>
                  <w:sz w:val="22"/>
                </w:rPr>
                <w:t>18.17.7.104</w:t>
              </w:r>
            </w:hyperlink>
            <w:r>
              <w:rPr>
                <w:sz w:val="22"/>
              </w:rPr>
              <w:t>), EVEN (§</w:t>
            </w:r>
            <w:hyperlink w:history="true" w:anchor="_bookmark574">
              <w:r>
                <w:rPr>
                  <w:sz w:val="22"/>
                </w:rPr>
                <w:t>18.17.7.111</w:t>
              </w:r>
            </w:hyperlink>
            <w:r>
              <w:rPr>
                <w:sz w:val="22"/>
              </w:rPr>
              <w:t>), EXP (§</w:t>
            </w:r>
            <w:hyperlink w:history="true" w:anchor="_bookmark576">
              <w:r>
                <w:rPr>
                  <w:sz w:val="22"/>
                </w:rPr>
                <w:t>18.17.7.113</w:t>
              </w:r>
            </w:hyperlink>
            <w:r>
              <w:rPr>
                <w:sz w:val="22"/>
              </w:rPr>
              <w:t>), FACT (§</w:t>
            </w:r>
            <w:hyperlink w:history="true" w:anchor="_bookmark578">
              <w:r>
                <w:rPr>
                  <w:sz w:val="22"/>
                </w:rPr>
                <w:t>18.17.7.115</w:t>
              </w:r>
            </w:hyperlink>
            <w:r>
              <w:rPr>
                <w:sz w:val="22"/>
              </w:rPr>
              <w:t>), FACTDOUBLE (§</w:t>
            </w:r>
            <w:hyperlink w:history="true" w:anchor="_bookmark579">
              <w:r>
                <w:rPr>
                  <w:sz w:val="22"/>
                </w:rPr>
                <w:t>18.17.7.116</w:t>
              </w:r>
            </w:hyperlink>
            <w:r>
              <w:rPr>
                <w:sz w:val="22"/>
              </w:rPr>
              <w:t>), FLOOR (§</w:t>
            </w:r>
            <w:hyperlink w:history="true" w:anchor="_bookmark588">
              <w:r>
                <w:rPr>
                  <w:sz w:val="22"/>
                </w:rPr>
                <w:t>18.17.7.125</w:t>
              </w:r>
            </w:hyperlink>
            <w:r>
              <w:rPr>
                <w:sz w:val="22"/>
              </w:rPr>
              <w:t>), GCD (§</w:t>
            </w:r>
            <w:hyperlink w:history="true" w:anchor="_bookmark597">
              <w:r>
                <w:rPr>
                  <w:sz w:val="22"/>
                </w:rPr>
                <w:t>18.17.7.134</w:t>
              </w:r>
            </w:hyperlink>
            <w:r>
              <w:rPr>
                <w:sz w:val="22"/>
              </w:rPr>
              <w:t>), INT (§</w:t>
            </w:r>
            <w:hyperlink w:history="true" w:anchor="_bookmark632">
              <w:r>
                <w:rPr>
                  <w:sz w:val="22"/>
                </w:rPr>
                <w:t>18.17.7.169</w:t>
              </w:r>
            </w:hyperlink>
            <w:r>
              <w:rPr>
                <w:sz w:val="22"/>
              </w:rPr>
              <w:t>), ISO.CEILING (§</w:t>
            </w:r>
            <w:hyperlink w:history="true" w:anchor="_bookmark645">
              <w:r>
                <w:rPr>
                  <w:sz w:val="22"/>
                </w:rPr>
                <w:t>18.17.7.182</w:t>
              </w:r>
            </w:hyperlink>
            <w:r>
              <w:rPr>
                <w:sz w:val="22"/>
              </w:rPr>
              <w:t>), LCM</w:t>
            </w:r>
          </w:p>
          <w:p>
            <w:pPr>
              <w:pStyle w:val="TableParagraph"/>
              <w:spacing w:before="0"/>
              <w:ind w:left="114" w:right="113"/>
              <w:rPr>
                <w:sz w:val="22"/>
              </w:rPr>
            </w:pPr>
            <w:hyperlink w:history="true" w:anchor="_bookmark653">
              <w:r>
                <w:rPr>
                  <w:sz w:val="22"/>
                </w:rPr>
                <w:t>(§18.17.7.190</w:t>
              </w:r>
            </w:hyperlink>
            <w:r>
              <w:rPr>
                <w:sz w:val="22"/>
              </w:rPr>
              <w:t>), LN (§</w:t>
            </w:r>
            <w:hyperlink w:history="true" w:anchor="_bookmark659">
              <w:r>
                <w:rPr>
                  <w:sz w:val="22"/>
                </w:rPr>
                <w:t>18.17.7.196</w:t>
              </w:r>
            </w:hyperlink>
            <w:r>
              <w:rPr>
                <w:sz w:val="22"/>
              </w:rPr>
              <w:t>), LOG (§</w:t>
            </w:r>
            <w:hyperlink w:history="true" w:anchor="_bookmark660">
              <w:r>
                <w:rPr>
                  <w:sz w:val="22"/>
                </w:rPr>
                <w:t>18.17.7.197</w:t>
              </w:r>
            </w:hyperlink>
            <w:r>
              <w:rPr>
                <w:sz w:val="22"/>
              </w:rPr>
              <w:t>), LOG10 (§</w:t>
            </w:r>
            <w:hyperlink w:history="true" w:anchor="_bookmark661">
              <w:r>
                <w:rPr>
                  <w:sz w:val="22"/>
                </w:rPr>
                <w:t>18.17.7.198</w:t>
              </w:r>
            </w:hyperlink>
            <w:r>
              <w:rPr>
                <w:sz w:val="22"/>
              </w:rPr>
              <w:t>), MDETERM (§</w:t>
            </w:r>
            <w:hyperlink w:history="true" w:anchor="_bookmark670">
              <w:r>
                <w:rPr>
                  <w:sz w:val="22"/>
                </w:rPr>
                <w:t>18.17.7.207</w:t>
              </w:r>
            </w:hyperlink>
            <w:r>
              <w:rPr>
                <w:sz w:val="22"/>
              </w:rPr>
              <w:t>), MINVERSE (§</w:t>
            </w:r>
            <w:hyperlink w:history="true" w:anchor="_bookmark678">
              <w:r>
                <w:rPr>
                  <w:sz w:val="22"/>
                </w:rPr>
                <w:t>18.17.7.215</w:t>
              </w:r>
            </w:hyperlink>
            <w:r>
              <w:rPr>
                <w:sz w:val="22"/>
              </w:rPr>
              <w:t>), MMULT (§</w:t>
            </w:r>
            <w:hyperlink w:history="true" w:anchor="_bookmark680">
              <w:r>
                <w:rPr>
                  <w:sz w:val="22"/>
                </w:rPr>
                <w:t>18.17.7.217</w:t>
              </w:r>
            </w:hyperlink>
            <w:r>
              <w:rPr>
                <w:sz w:val="22"/>
              </w:rPr>
              <w:t>), MOD (§</w:t>
            </w:r>
            <w:hyperlink w:history="true" w:anchor="_bookmark681">
              <w:r>
                <w:rPr>
                  <w:sz w:val="22"/>
                </w:rPr>
                <w:t>18.17.7.218</w:t>
              </w:r>
            </w:hyperlink>
            <w:r>
              <w:rPr>
                <w:sz w:val="22"/>
              </w:rPr>
              <w:t>), MROUND (§</w:t>
            </w:r>
            <w:hyperlink w:history="true" w:anchor="_bookmark684">
              <w:r>
                <w:rPr>
                  <w:sz w:val="22"/>
                </w:rPr>
                <w:t>18.17.7.221</w:t>
              </w:r>
            </w:hyperlink>
            <w:r>
              <w:rPr>
                <w:sz w:val="22"/>
              </w:rPr>
              <w:t>), MULTINOMIAL (§</w:t>
            </w:r>
            <w:hyperlink w:history="true" w:anchor="_bookmark685">
              <w:r>
                <w:rPr>
                  <w:sz w:val="22"/>
                </w:rPr>
                <w:t>18.17.7.222</w:t>
              </w:r>
            </w:hyperlink>
            <w:r>
              <w:rPr>
                <w:sz w:val="22"/>
              </w:rPr>
              <w:t>), ODD (§</w:t>
            </w:r>
            <w:hyperlink w:history="true" w:anchor="_bookmark703">
              <w:r>
                <w:rPr>
                  <w:sz w:val="22"/>
                </w:rPr>
                <w:t>18.17.7.240</w:t>
              </w:r>
            </w:hyperlink>
            <w:r>
              <w:rPr>
                <w:sz w:val="22"/>
              </w:rPr>
              <w:t>), PI (§</w:t>
            </w:r>
            <w:hyperlink w:history="true" w:anchor="_bookmark715">
              <w:r>
                <w:rPr>
                  <w:sz w:val="22"/>
                </w:rPr>
                <w:t>18.17.7.252</w:t>
              </w:r>
            </w:hyperlink>
            <w:r>
              <w:rPr>
                <w:sz w:val="22"/>
              </w:rPr>
              <w:t>), POWER (§</w:t>
            </w:r>
            <w:hyperlink w:history="true" w:anchor="_bookmark718">
              <w:r>
                <w:rPr>
                  <w:sz w:val="22"/>
                </w:rPr>
                <w:t>18.17.7.255</w:t>
              </w:r>
            </w:hyperlink>
            <w:r>
              <w:rPr>
                <w:sz w:val="22"/>
              </w:rPr>
              <w:t>), PRODUCT (§</w:t>
            </w:r>
            <w:hyperlink w:history="true" w:anchor="_bookmark724">
              <w:r>
                <w:rPr>
                  <w:sz w:val="22"/>
                </w:rPr>
                <w:t>18.17.7.261</w:t>
              </w:r>
            </w:hyperlink>
            <w:r>
              <w:rPr>
                <w:sz w:val="22"/>
              </w:rPr>
              <w:t>), QUOTIENT (§</w:t>
            </w:r>
            <w:hyperlink w:history="true" w:anchor="_bookmark728">
              <w:r>
                <w:rPr>
                  <w:sz w:val="22"/>
                </w:rPr>
                <w:t>18.17.7.265</w:t>
              </w:r>
            </w:hyperlink>
            <w:r>
              <w:rPr>
                <w:sz w:val="22"/>
              </w:rPr>
              <w:t>), RADIANS (§</w:t>
            </w:r>
            <w:hyperlink w:history="true" w:anchor="_bookmark729">
              <w:r>
                <w:rPr>
                  <w:sz w:val="22"/>
                </w:rPr>
                <w:t>18.17.7.266</w:t>
              </w:r>
            </w:hyperlink>
            <w:r>
              <w:rPr>
                <w:sz w:val="22"/>
              </w:rPr>
              <w:t>), RAND (§</w:t>
            </w:r>
            <w:hyperlink w:history="true" w:anchor="_bookmark730">
              <w:r>
                <w:rPr>
                  <w:sz w:val="22"/>
                </w:rPr>
                <w:t>18.17.7.267</w:t>
              </w:r>
            </w:hyperlink>
            <w:r>
              <w:rPr>
                <w:sz w:val="22"/>
              </w:rPr>
              <w:t>), RANDBETWEEN (§</w:t>
            </w:r>
            <w:hyperlink w:history="true" w:anchor="_bookmark731">
              <w:r>
                <w:rPr>
                  <w:sz w:val="22"/>
                </w:rPr>
                <w:t>18.17.7.268</w:t>
              </w:r>
            </w:hyperlink>
            <w:r>
              <w:rPr>
                <w:sz w:val="22"/>
              </w:rPr>
              <w:t>), ROMAN (§</w:t>
            </w:r>
            <w:hyperlink w:history="true" w:anchor="_bookmark740">
              <w:r>
                <w:rPr>
                  <w:sz w:val="22"/>
                </w:rPr>
                <w:t>18.17.7.277</w:t>
              </w:r>
            </w:hyperlink>
            <w:r>
              <w:rPr>
                <w:sz w:val="22"/>
              </w:rPr>
              <w:t>), ROUND (§</w:t>
            </w:r>
            <w:hyperlink w:history="true" w:anchor="_bookmark741">
              <w:r>
                <w:rPr>
                  <w:sz w:val="22"/>
                </w:rPr>
                <w:t>18.17.7.278</w:t>
              </w:r>
            </w:hyperlink>
            <w:r>
              <w:rPr>
                <w:sz w:val="22"/>
              </w:rPr>
              <w:t>), ROUNDDOWN (§</w:t>
            </w:r>
            <w:hyperlink w:history="true" w:anchor="_bookmark742">
              <w:r>
                <w:rPr>
                  <w:sz w:val="22"/>
                </w:rPr>
                <w:t>18.17.7.279</w:t>
              </w:r>
            </w:hyperlink>
            <w:r>
              <w:rPr>
                <w:sz w:val="22"/>
              </w:rPr>
              <w:t>), ROUNDUP (§</w:t>
            </w:r>
            <w:hyperlink w:history="true" w:anchor="_bookmark743">
              <w:r>
                <w:rPr>
                  <w:sz w:val="22"/>
                </w:rPr>
                <w:t>18.17.7.280</w:t>
              </w:r>
            </w:hyperlink>
            <w:r>
              <w:rPr>
                <w:sz w:val="22"/>
              </w:rPr>
              <w:t>), SERIESSUM (§</w:t>
            </w:r>
            <w:hyperlink w:history="true" w:anchor="_bookmark751">
              <w:r>
                <w:rPr>
                  <w:sz w:val="22"/>
                </w:rPr>
                <w:t>18.17.7.288</w:t>
              </w:r>
            </w:hyperlink>
            <w:r>
              <w:rPr>
                <w:sz w:val="22"/>
              </w:rPr>
              <w:t>), SIGN (§</w:t>
            </w:r>
            <w:hyperlink w:history="true" w:anchor="_bookmark752">
              <w:r>
                <w:rPr>
                  <w:sz w:val="22"/>
                </w:rPr>
                <w:t>18.17.7.289</w:t>
              </w:r>
            </w:hyperlink>
            <w:r>
              <w:rPr>
                <w:sz w:val="22"/>
              </w:rPr>
              <w:t>), SIN (§</w:t>
            </w:r>
            <w:hyperlink w:history="true" w:anchor="_bookmark753">
              <w:r>
                <w:rPr>
                  <w:sz w:val="22"/>
                </w:rPr>
                <w:t>18.17.7.290</w:t>
              </w:r>
            </w:hyperlink>
            <w:r>
              <w:rPr>
                <w:sz w:val="22"/>
              </w:rPr>
              <w:t>), SINH (§</w:t>
            </w:r>
            <w:hyperlink w:history="true" w:anchor="_bookmark754">
              <w:r>
                <w:rPr>
                  <w:sz w:val="22"/>
                </w:rPr>
                <w:t>18.17.7.291</w:t>
              </w:r>
            </w:hyperlink>
            <w:r>
              <w:rPr>
                <w:sz w:val="22"/>
              </w:rPr>
              <w:t>), SQRT (§</w:t>
            </w:r>
            <w:hyperlink w:history="true" w:anchor="_bookmark759">
              <w:r>
                <w:rPr>
                  <w:sz w:val="22"/>
                </w:rPr>
                <w:t>18.17.7.296</w:t>
              </w:r>
            </w:hyperlink>
            <w:r>
              <w:rPr>
                <w:sz w:val="22"/>
              </w:rPr>
              <w:t>), SQRTPI (§</w:t>
            </w:r>
            <w:hyperlink w:history="true" w:anchor="_bookmark760">
              <w:r>
                <w:rPr>
                  <w:sz w:val="22"/>
                </w:rPr>
                <w:t>18.17.7.297</w:t>
              </w:r>
            </w:hyperlink>
            <w:r>
              <w:rPr>
                <w:sz w:val="22"/>
              </w:rPr>
              <w:t>), SUBTOTAL (§</w:t>
            </w:r>
            <w:hyperlink w:history="true" w:anchor="_bookmark768">
              <w:r>
                <w:rPr>
                  <w:sz w:val="22"/>
                </w:rPr>
                <w:t>18.17.7.305</w:t>
              </w:r>
            </w:hyperlink>
            <w:r>
              <w:rPr>
                <w:sz w:val="22"/>
              </w:rPr>
              <w:t>), SUM (§</w:t>
            </w:r>
            <w:hyperlink w:history="true" w:anchor="_bookmark769">
              <w:r>
                <w:rPr>
                  <w:sz w:val="22"/>
                </w:rPr>
                <w:t>18.17.7.306</w:t>
              </w:r>
            </w:hyperlink>
            <w:r>
              <w:rPr>
                <w:sz w:val="22"/>
              </w:rPr>
              <w:t>), SUMIF (§</w:t>
            </w:r>
            <w:hyperlink w:history="true" w:anchor="_bookmark770">
              <w:r>
                <w:rPr>
                  <w:sz w:val="22"/>
                </w:rPr>
                <w:t>18.17.7.307</w:t>
              </w:r>
            </w:hyperlink>
            <w:r>
              <w:rPr>
                <w:sz w:val="22"/>
              </w:rPr>
              <w:t>), SUMIFS (§</w:t>
            </w:r>
            <w:hyperlink w:history="true" w:anchor="_bookmark771">
              <w:r>
                <w:rPr>
                  <w:sz w:val="22"/>
                </w:rPr>
                <w:t>18.17.7.308</w:t>
              </w:r>
            </w:hyperlink>
            <w:r>
              <w:rPr>
                <w:sz w:val="22"/>
              </w:rPr>
              <w:t>), SUMPRODUCT (§</w:t>
            </w:r>
            <w:hyperlink w:history="true" w:anchor="_bookmark772">
              <w:r>
                <w:rPr>
                  <w:sz w:val="22"/>
                </w:rPr>
                <w:t>18.17.7.309</w:t>
              </w:r>
            </w:hyperlink>
            <w:r>
              <w:rPr>
                <w:sz w:val="22"/>
              </w:rPr>
              <w:t>), SUMSQ (§</w:t>
            </w:r>
            <w:hyperlink w:history="true" w:anchor="_bookmark773">
              <w:r>
                <w:rPr>
                  <w:sz w:val="22"/>
                </w:rPr>
                <w:t>18.17.7.310</w:t>
              </w:r>
            </w:hyperlink>
            <w:r>
              <w:rPr>
                <w:sz w:val="22"/>
              </w:rPr>
              <w:t>), SUMX2MY2 (§</w:t>
            </w:r>
            <w:hyperlink w:history="true" w:anchor="_bookmark774">
              <w:r>
                <w:rPr>
                  <w:sz w:val="22"/>
                </w:rPr>
                <w:t>18.17.7.311</w:t>
              </w:r>
            </w:hyperlink>
            <w:r>
              <w:rPr>
                <w:sz w:val="22"/>
              </w:rPr>
              <w:t>), SUMX2PY2 (§</w:t>
            </w:r>
            <w:hyperlink w:history="true" w:anchor="_bookmark775">
              <w:r>
                <w:rPr>
                  <w:sz w:val="22"/>
                </w:rPr>
                <w:t>18.17.7.312</w:t>
              </w:r>
            </w:hyperlink>
            <w:r>
              <w:rPr>
                <w:sz w:val="22"/>
              </w:rPr>
              <w:t>), SUMXMY2 (§</w:t>
            </w:r>
            <w:hyperlink w:history="true" w:anchor="_bookmark776">
              <w:r>
                <w:rPr>
                  <w:sz w:val="22"/>
                </w:rPr>
                <w:t>18.17.7.313</w:t>
              </w:r>
            </w:hyperlink>
            <w:r>
              <w:rPr>
                <w:sz w:val="22"/>
              </w:rPr>
              <w:t>), TAN (§</w:t>
            </w:r>
            <w:hyperlink w:history="true" w:anchor="_bookmark779">
              <w:r>
                <w:rPr>
                  <w:sz w:val="22"/>
                </w:rPr>
                <w:t>18.17.7.316</w:t>
              </w:r>
            </w:hyperlink>
            <w:r>
              <w:rPr>
                <w:sz w:val="22"/>
              </w:rPr>
              <w:t>), TANH (§</w:t>
            </w:r>
            <w:hyperlink w:history="true" w:anchor="_bookmark780">
              <w:r>
                <w:rPr>
                  <w:sz w:val="22"/>
                </w:rPr>
                <w:t>18.17.7.317</w:t>
              </w:r>
            </w:hyperlink>
            <w:r>
              <w:rPr>
                <w:sz w:val="22"/>
              </w:rPr>
              <w:t>), and TRUNC</w:t>
            </w:r>
            <w:r>
              <w:rPr>
                <w:spacing w:val="-5"/>
                <w:sz w:val="22"/>
              </w:rPr>
              <w:t> </w:t>
            </w:r>
            <w:r>
              <w:rPr>
                <w:sz w:val="22"/>
              </w:rPr>
              <w:t>(§</w:t>
            </w:r>
            <w:hyperlink w:history="true" w:anchor="_bookmark796">
              <w:r>
                <w:rPr>
                  <w:sz w:val="22"/>
                </w:rPr>
                <w:t>18.17.7.332</w:t>
              </w:r>
            </w:hyperlink>
            <w:r>
              <w:rPr>
                <w:sz w:val="22"/>
              </w:rPr>
              <w:t>).</w:t>
            </w:r>
          </w:p>
        </w:tc>
      </w:tr>
      <w:tr>
        <w:trPr>
          <w:trHeight w:val="3040" w:hRule="atLeast"/>
        </w:trPr>
        <w:tc>
          <w:tcPr>
            <w:tcW w:w="1728" w:type="dxa"/>
          </w:tcPr>
          <w:p>
            <w:pPr>
              <w:pStyle w:val="TableParagraph"/>
              <w:spacing w:before="42"/>
              <w:rPr>
                <w:sz w:val="22"/>
              </w:rPr>
            </w:pPr>
            <w:r>
              <w:rPr>
                <w:sz w:val="22"/>
              </w:rPr>
              <w:t>Statistical</w:t>
            </w:r>
          </w:p>
        </w:tc>
        <w:tc>
          <w:tcPr>
            <w:tcW w:w="7202" w:type="dxa"/>
          </w:tcPr>
          <w:p>
            <w:pPr>
              <w:pStyle w:val="TableParagraph"/>
              <w:spacing w:before="42"/>
              <w:ind w:left="114" w:right="144"/>
              <w:rPr>
                <w:sz w:val="22"/>
              </w:rPr>
            </w:pPr>
            <w:r>
              <w:rPr>
                <w:sz w:val="22"/>
              </w:rPr>
              <w:t>AVEDEV (§</w:t>
            </w:r>
            <w:hyperlink w:history="true" w:anchor="_bookmark480">
              <w:r>
                <w:rPr>
                  <w:sz w:val="22"/>
                </w:rPr>
                <w:t>18.17.7.17</w:t>
              </w:r>
            </w:hyperlink>
            <w:r>
              <w:rPr>
                <w:sz w:val="22"/>
              </w:rPr>
              <w:t>), AVERAGE (§</w:t>
            </w:r>
            <w:hyperlink w:history="true" w:anchor="_bookmark481">
              <w:r>
                <w:rPr>
                  <w:sz w:val="22"/>
                </w:rPr>
                <w:t>18.17.7.18</w:t>
              </w:r>
            </w:hyperlink>
            <w:r>
              <w:rPr>
                <w:sz w:val="22"/>
              </w:rPr>
              <w:t>), AVERAGEA (§</w:t>
            </w:r>
            <w:hyperlink w:history="true" w:anchor="_bookmark482">
              <w:r>
                <w:rPr>
                  <w:sz w:val="22"/>
                </w:rPr>
                <w:t>18.17.7.19</w:t>
              </w:r>
            </w:hyperlink>
            <w:r>
              <w:rPr>
                <w:sz w:val="22"/>
              </w:rPr>
              <w:t>),AVERAGEIF (§</w:t>
            </w:r>
            <w:hyperlink w:history="true" w:anchor="_bookmark483">
              <w:r>
                <w:rPr>
                  <w:sz w:val="22"/>
                </w:rPr>
                <w:t>18.17.7.20</w:t>
              </w:r>
            </w:hyperlink>
            <w:r>
              <w:rPr>
                <w:sz w:val="22"/>
              </w:rPr>
              <w:t>), AVERAGEIFS (§</w:t>
            </w:r>
            <w:hyperlink w:history="true" w:anchor="_bookmark484">
              <w:r>
                <w:rPr>
                  <w:sz w:val="22"/>
                </w:rPr>
                <w:t>18.17.7.21</w:t>
              </w:r>
            </w:hyperlink>
            <w:r>
              <w:rPr>
                <w:sz w:val="22"/>
              </w:rPr>
              <w:t>), BETADIST (§</w:t>
            </w:r>
            <w:hyperlink w:history="true" w:anchor="_bookmark490">
              <w:r>
                <w:rPr>
                  <w:sz w:val="22"/>
                </w:rPr>
                <w:t>18.17.7.27</w:t>
              </w:r>
            </w:hyperlink>
            <w:r>
              <w:rPr>
                <w:sz w:val="22"/>
              </w:rPr>
              <w:t>), BETAINV (§</w:t>
            </w:r>
            <w:hyperlink w:history="true" w:anchor="_bookmark491">
              <w:r>
                <w:rPr>
                  <w:sz w:val="22"/>
                </w:rPr>
                <w:t>18.17.7.28</w:t>
              </w:r>
            </w:hyperlink>
            <w:r>
              <w:rPr>
                <w:sz w:val="22"/>
              </w:rPr>
              <w:t>), BINOMDIST (§</w:t>
            </w:r>
            <w:hyperlink w:history="true" w:anchor="_bookmark495">
              <w:r>
                <w:rPr>
                  <w:sz w:val="22"/>
                </w:rPr>
                <w:t>18.17.7.32</w:t>
              </w:r>
            </w:hyperlink>
            <w:r>
              <w:rPr>
                <w:sz w:val="22"/>
              </w:rPr>
              <w:t>), CHIDIST (§</w:t>
            </w:r>
            <w:hyperlink w:history="true" w:anchor="_bookmark499">
              <w:r>
                <w:rPr>
                  <w:sz w:val="22"/>
                </w:rPr>
                <w:t>18.17.7.36</w:t>
              </w:r>
            </w:hyperlink>
            <w:r>
              <w:rPr>
                <w:sz w:val="22"/>
              </w:rPr>
              <w:t>), CHIINV (§</w:t>
            </w:r>
            <w:hyperlink w:history="true" w:anchor="_bookmark500">
              <w:r>
                <w:rPr>
                  <w:sz w:val="22"/>
                </w:rPr>
                <w:t>18.17.7.37</w:t>
              </w:r>
            </w:hyperlink>
            <w:r>
              <w:rPr>
                <w:sz w:val="22"/>
              </w:rPr>
              <w:t>), CHITEST (§</w:t>
            </w:r>
            <w:hyperlink w:history="true" w:anchor="_bookmark501">
              <w:r>
                <w:rPr>
                  <w:sz w:val="22"/>
                </w:rPr>
                <w:t>18.17.7.38</w:t>
              </w:r>
            </w:hyperlink>
            <w:r>
              <w:rPr>
                <w:sz w:val="22"/>
              </w:rPr>
              <w:t>), CONFIDENCE (§</w:t>
            </w:r>
            <w:hyperlink w:history="true" w:anchor="_bookmark510">
              <w:r>
                <w:rPr>
                  <w:sz w:val="22"/>
                </w:rPr>
                <w:t>18.17.7.47</w:t>
              </w:r>
            </w:hyperlink>
            <w:r>
              <w:rPr>
                <w:sz w:val="22"/>
              </w:rPr>
              <w:t>), CORREL (§</w:t>
            </w:r>
            <w:hyperlink w:history="true" w:anchor="_bookmark512">
              <w:r>
                <w:rPr>
                  <w:sz w:val="22"/>
                </w:rPr>
                <w:t>18.17.7.49</w:t>
              </w:r>
            </w:hyperlink>
            <w:r>
              <w:rPr>
                <w:sz w:val="22"/>
              </w:rPr>
              <w:t>), COUNT (§</w:t>
            </w:r>
            <w:hyperlink w:history="true" w:anchor="_bookmark515">
              <w:r>
                <w:rPr>
                  <w:sz w:val="22"/>
                </w:rPr>
                <w:t>18.17.7.52</w:t>
              </w:r>
            </w:hyperlink>
            <w:r>
              <w:rPr>
                <w:sz w:val="22"/>
              </w:rPr>
              <w:t>), COUNTA (§</w:t>
            </w:r>
            <w:hyperlink w:history="true" w:anchor="_bookmark516">
              <w:r>
                <w:rPr>
                  <w:sz w:val="22"/>
                </w:rPr>
                <w:t>18.17.7.53</w:t>
              </w:r>
            </w:hyperlink>
            <w:r>
              <w:rPr>
                <w:sz w:val="22"/>
              </w:rPr>
              <w:t>), COUNTBLANK (§</w:t>
            </w:r>
            <w:hyperlink w:history="true" w:anchor="_bookmark517">
              <w:r>
                <w:rPr>
                  <w:sz w:val="22"/>
                </w:rPr>
                <w:t>18.17.7.54</w:t>
              </w:r>
            </w:hyperlink>
            <w:r>
              <w:rPr>
                <w:sz w:val="22"/>
              </w:rPr>
              <w:t>), COUNTIF (§</w:t>
            </w:r>
            <w:hyperlink w:history="true" w:anchor="_bookmark518">
              <w:r>
                <w:rPr>
                  <w:sz w:val="22"/>
                </w:rPr>
                <w:t>18.17.7.55</w:t>
              </w:r>
            </w:hyperlink>
            <w:r>
              <w:rPr>
                <w:sz w:val="22"/>
              </w:rPr>
              <w:t>),COUNTIFS (§</w:t>
            </w:r>
            <w:hyperlink w:history="true" w:anchor="_bookmark519">
              <w:r>
                <w:rPr>
                  <w:sz w:val="22"/>
                </w:rPr>
                <w:t>18.17.7.56</w:t>
              </w:r>
            </w:hyperlink>
            <w:r>
              <w:rPr>
                <w:sz w:val="22"/>
              </w:rPr>
              <w:t>), COVAR (§</w:t>
            </w:r>
            <w:hyperlink w:history="true" w:anchor="_bookmark526">
              <w:r>
                <w:rPr>
                  <w:sz w:val="22"/>
                </w:rPr>
                <w:t>18.17.7.63</w:t>
              </w:r>
            </w:hyperlink>
            <w:r>
              <w:rPr>
                <w:sz w:val="22"/>
              </w:rPr>
              <w:t>), CRITBINOM (§</w:t>
            </w:r>
            <w:hyperlink w:history="true" w:anchor="_bookmark527">
              <w:r>
                <w:rPr>
                  <w:sz w:val="22"/>
                </w:rPr>
                <w:t>18.17.7.64</w:t>
              </w:r>
            </w:hyperlink>
            <w:r>
              <w:rPr>
                <w:sz w:val="22"/>
              </w:rPr>
              <w:t>), DEVSQ (§</w:t>
            </w:r>
            <w:hyperlink w:history="true" w:anchor="_bookmark552">
              <w:r>
                <w:rPr>
                  <w:sz w:val="22"/>
                </w:rPr>
                <w:t>18.17.7.89</w:t>
              </w:r>
            </w:hyperlink>
            <w:r>
              <w:rPr>
                <w:sz w:val="22"/>
              </w:rPr>
              <w:t>), EXPONDIST (§</w:t>
            </w:r>
            <w:hyperlink w:history="true" w:anchor="_bookmark577">
              <w:r>
                <w:rPr>
                  <w:sz w:val="22"/>
                </w:rPr>
                <w:t>18.17.7.114</w:t>
              </w:r>
            </w:hyperlink>
            <w:r>
              <w:rPr>
                <w:sz w:val="22"/>
              </w:rPr>
              <w:t>), FDIST (§</w:t>
            </w:r>
            <w:hyperlink w:history="true" w:anchor="_bookmark581">
              <w:r>
                <w:rPr>
                  <w:sz w:val="22"/>
                </w:rPr>
                <w:t>18.17.7.118</w:t>
              </w:r>
            </w:hyperlink>
            <w:r>
              <w:rPr>
                <w:sz w:val="22"/>
              </w:rPr>
              <w:t>), FINV (§</w:t>
            </w:r>
            <w:hyperlink w:history="true" w:anchor="_bookmark584">
              <w:r>
                <w:rPr>
                  <w:sz w:val="22"/>
                </w:rPr>
                <w:t>18.17.7.121</w:t>
              </w:r>
            </w:hyperlink>
            <w:r>
              <w:rPr>
                <w:sz w:val="22"/>
              </w:rPr>
              <w:t>), FISHER (§</w:t>
            </w:r>
            <w:hyperlink w:history="true" w:anchor="_bookmark585">
              <w:r>
                <w:rPr>
                  <w:sz w:val="22"/>
                </w:rPr>
                <w:t>18.17.7.122</w:t>
              </w:r>
            </w:hyperlink>
            <w:r>
              <w:rPr>
                <w:sz w:val="22"/>
              </w:rPr>
              <w:t>), FISHERINV (§</w:t>
            </w:r>
            <w:hyperlink w:history="true" w:anchor="_bookmark586">
              <w:r>
                <w:rPr>
                  <w:sz w:val="22"/>
                </w:rPr>
                <w:t>18.17.7.123</w:t>
              </w:r>
            </w:hyperlink>
            <w:r>
              <w:rPr>
                <w:sz w:val="22"/>
              </w:rPr>
              <w:t>), FORECAST (§</w:t>
            </w:r>
            <w:hyperlink w:history="true" w:anchor="_bookmark589">
              <w:r>
                <w:rPr>
                  <w:sz w:val="22"/>
                </w:rPr>
                <w:t>18.17.7.126</w:t>
              </w:r>
            </w:hyperlink>
            <w:r>
              <w:rPr>
                <w:sz w:val="22"/>
              </w:rPr>
              <w:t>), FREQUENCY (§</w:t>
            </w:r>
            <w:hyperlink w:history="true" w:anchor="_bookmark590">
              <w:r>
                <w:rPr>
                  <w:sz w:val="22"/>
                </w:rPr>
                <w:t>18.17.7.127</w:t>
              </w:r>
            </w:hyperlink>
            <w:r>
              <w:rPr>
                <w:sz w:val="22"/>
              </w:rPr>
              <w:t>), FTEST (§</w:t>
            </w:r>
            <w:hyperlink w:history="true" w:anchor="_bookmark591">
              <w:r>
                <w:rPr>
                  <w:sz w:val="22"/>
                </w:rPr>
                <w:t>18.17.7.128</w:t>
              </w:r>
            </w:hyperlink>
            <w:r>
              <w:rPr>
                <w:sz w:val="22"/>
              </w:rPr>
              <w:t>), GAMMADIST (§</w:t>
            </w:r>
            <w:hyperlink w:history="true" w:anchor="_bookmark594">
              <w:r>
                <w:rPr>
                  <w:sz w:val="22"/>
                </w:rPr>
                <w:t>18.17.7.131</w:t>
              </w:r>
            </w:hyperlink>
            <w:r>
              <w:rPr>
                <w:sz w:val="22"/>
              </w:rPr>
              <w:t>), GAMMAINV (§</w:t>
            </w:r>
            <w:hyperlink w:history="true" w:anchor="_bookmark595">
              <w:r>
                <w:rPr>
                  <w:sz w:val="22"/>
                </w:rPr>
                <w:t>18.17.7.132</w:t>
              </w:r>
            </w:hyperlink>
            <w:r>
              <w:rPr>
                <w:sz w:val="22"/>
              </w:rPr>
              <w:t>), GAMMALN</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7202"/>
      </w:tblGrid>
      <w:tr>
        <w:trPr>
          <w:trHeight w:val="355" w:hRule="atLeast"/>
        </w:trPr>
        <w:tc>
          <w:tcPr>
            <w:tcW w:w="1728" w:type="dxa"/>
            <w:shd w:val="clear" w:color="auto" w:fill="C0C0C0"/>
          </w:tcPr>
          <w:p>
            <w:pPr>
              <w:pStyle w:val="TableParagraph"/>
              <w:ind w:left="455"/>
              <w:rPr>
                <w:b/>
                <w:sz w:val="22"/>
              </w:rPr>
            </w:pPr>
            <w:r>
              <w:rPr>
                <w:b/>
                <w:sz w:val="22"/>
              </w:rPr>
              <w:t>Category</w:t>
            </w:r>
          </w:p>
        </w:tc>
        <w:tc>
          <w:tcPr>
            <w:tcW w:w="7202" w:type="dxa"/>
            <w:shd w:val="clear" w:color="auto" w:fill="C0C0C0"/>
          </w:tcPr>
          <w:p>
            <w:pPr>
              <w:pStyle w:val="TableParagraph"/>
              <w:ind w:left="3158" w:right="3149"/>
              <w:jc w:val="center"/>
              <w:rPr>
                <w:b/>
                <w:sz w:val="22"/>
              </w:rPr>
            </w:pPr>
            <w:r>
              <w:rPr>
                <w:b/>
                <w:sz w:val="22"/>
              </w:rPr>
              <w:t>Formulas</w:t>
            </w:r>
          </w:p>
        </w:tc>
      </w:tr>
      <w:tr>
        <w:trPr>
          <w:trHeight w:val="5189" w:hRule="atLeast"/>
        </w:trPr>
        <w:tc>
          <w:tcPr>
            <w:tcW w:w="1728" w:type="dxa"/>
          </w:tcPr>
          <w:p>
            <w:pPr>
              <w:pStyle w:val="TableParagraph"/>
              <w:spacing w:before="0"/>
              <w:ind w:left="0"/>
              <w:rPr>
                <w:rFonts w:ascii="Times New Roman"/>
                <w:sz w:val="22"/>
              </w:rPr>
            </w:pPr>
          </w:p>
        </w:tc>
        <w:tc>
          <w:tcPr>
            <w:tcW w:w="7202" w:type="dxa"/>
          </w:tcPr>
          <w:p>
            <w:pPr>
              <w:pStyle w:val="TableParagraph"/>
              <w:ind w:left="114" w:right="301"/>
              <w:rPr>
                <w:sz w:val="22"/>
              </w:rPr>
            </w:pPr>
            <w:hyperlink w:history="true" w:anchor="_bookmark596">
              <w:r>
                <w:rPr>
                  <w:sz w:val="22"/>
                </w:rPr>
                <w:t>(§18.17.7.133</w:t>
              </w:r>
            </w:hyperlink>
            <w:r>
              <w:rPr>
                <w:sz w:val="22"/>
              </w:rPr>
              <w:t>), GEOMEAN (§</w:t>
            </w:r>
            <w:hyperlink w:history="true" w:anchor="_bookmark598">
              <w:r>
                <w:rPr>
                  <w:sz w:val="22"/>
                </w:rPr>
                <w:t>18.17.7.135</w:t>
              </w:r>
            </w:hyperlink>
            <w:r>
              <w:rPr>
                <w:sz w:val="22"/>
              </w:rPr>
              <w:t>), GROWTH (§</w:t>
            </w:r>
            <w:hyperlink w:history="true" w:anchor="_bookmark601">
              <w:r>
                <w:rPr>
                  <w:sz w:val="22"/>
                </w:rPr>
                <w:t>18.17.7.138</w:t>
              </w:r>
            </w:hyperlink>
            <w:r>
              <w:rPr>
                <w:sz w:val="22"/>
              </w:rPr>
              <w:t>), HARMEAN (§</w:t>
            </w:r>
            <w:hyperlink w:history="true" w:anchor="_bookmark602">
              <w:r>
                <w:rPr>
                  <w:sz w:val="22"/>
                </w:rPr>
                <w:t>18.17.7.139</w:t>
              </w:r>
            </w:hyperlink>
            <w:r>
              <w:rPr>
                <w:sz w:val="22"/>
              </w:rPr>
              <w:t>), HYPGEOMDIST (§</w:t>
            </w:r>
            <w:hyperlink w:history="true" w:anchor="_bookmark609">
              <w:r>
                <w:rPr>
                  <w:sz w:val="22"/>
                </w:rPr>
                <w:t>18.17.7.146</w:t>
              </w:r>
            </w:hyperlink>
            <w:r>
              <w:rPr>
                <w:sz w:val="22"/>
              </w:rPr>
              <w:t>), INTERCEPT (§</w:t>
            </w:r>
            <w:hyperlink w:history="true" w:anchor="_bookmark633">
              <w:r>
                <w:rPr>
                  <w:sz w:val="22"/>
                </w:rPr>
                <w:t>18.17.7.170</w:t>
              </w:r>
            </w:hyperlink>
            <w:r>
              <w:rPr>
                <w:sz w:val="22"/>
              </w:rPr>
              <w:t>), KURT (§</w:t>
            </w:r>
            <w:hyperlink w:history="true" w:anchor="_bookmark651">
              <w:r>
                <w:rPr>
                  <w:sz w:val="22"/>
                </w:rPr>
                <w:t>18.17.7.188</w:t>
              </w:r>
            </w:hyperlink>
            <w:r>
              <w:rPr>
                <w:sz w:val="22"/>
              </w:rPr>
              <w:t>), LARGE (§</w:t>
            </w:r>
            <w:hyperlink w:history="true" w:anchor="_bookmark652">
              <w:r>
                <w:rPr>
                  <w:sz w:val="22"/>
                </w:rPr>
                <w:t>18.17.7.189</w:t>
              </w:r>
            </w:hyperlink>
            <w:r>
              <w:rPr>
                <w:sz w:val="22"/>
              </w:rPr>
              <w:t>), LINEST (§</w:t>
            </w:r>
            <w:hyperlink w:history="true" w:anchor="_bookmark658">
              <w:r>
                <w:rPr>
                  <w:sz w:val="22"/>
                </w:rPr>
                <w:t>18.17.7.195</w:t>
              </w:r>
            </w:hyperlink>
            <w:r>
              <w:rPr>
                <w:sz w:val="22"/>
              </w:rPr>
              <w:t>), LOGEST (§</w:t>
            </w:r>
            <w:hyperlink w:history="true" w:anchor="_bookmark662">
              <w:r>
                <w:rPr>
                  <w:sz w:val="22"/>
                </w:rPr>
                <w:t>18.17.7.199</w:t>
              </w:r>
            </w:hyperlink>
            <w:r>
              <w:rPr>
                <w:sz w:val="22"/>
              </w:rPr>
              <w:t>), LOGINV (§</w:t>
            </w:r>
            <w:hyperlink w:history="true" w:anchor="_bookmark663">
              <w:r>
                <w:rPr>
                  <w:sz w:val="22"/>
                </w:rPr>
                <w:t>18.17.7.200</w:t>
              </w:r>
            </w:hyperlink>
            <w:r>
              <w:rPr>
                <w:sz w:val="22"/>
              </w:rPr>
              <w:t>), LOGNORMDIST (§</w:t>
            </w:r>
            <w:hyperlink w:history="true" w:anchor="_bookmark664">
              <w:r>
                <w:rPr>
                  <w:sz w:val="22"/>
                </w:rPr>
                <w:t>18.17.7.201</w:t>
              </w:r>
            </w:hyperlink>
            <w:r>
              <w:rPr>
                <w:sz w:val="22"/>
              </w:rPr>
              <w:t>), MAX (§</w:t>
            </w:r>
            <w:hyperlink w:history="true" w:anchor="_bookmark668">
              <w:r>
                <w:rPr>
                  <w:sz w:val="22"/>
                </w:rPr>
                <w:t>18.17.7.205</w:t>
              </w:r>
            </w:hyperlink>
            <w:r>
              <w:rPr>
                <w:sz w:val="22"/>
              </w:rPr>
              <w:t>), MAXA (§</w:t>
            </w:r>
            <w:hyperlink w:history="true" w:anchor="_bookmark669">
              <w:r>
                <w:rPr>
                  <w:sz w:val="22"/>
                </w:rPr>
                <w:t>18.17.7.206</w:t>
              </w:r>
            </w:hyperlink>
            <w:r>
              <w:rPr>
                <w:sz w:val="22"/>
              </w:rPr>
              <w:t>), MEDIAN (§</w:t>
            </w:r>
            <w:hyperlink w:history="true" w:anchor="_bookmark672">
              <w:r>
                <w:rPr>
                  <w:sz w:val="22"/>
                </w:rPr>
                <w:t>18.17.7.209</w:t>
              </w:r>
            </w:hyperlink>
            <w:r>
              <w:rPr>
                <w:sz w:val="22"/>
              </w:rPr>
              <w:t>), MIN (§</w:t>
            </w:r>
            <w:hyperlink w:history="true" w:anchor="_bookmark675">
              <w:r>
                <w:rPr>
                  <w:sz w:val="22"/>
                </w:rPr>
                <w:t>18.17.7.212</w:t>
              </w:r>
            </w:hyperlink>
            <w:r>
              <w:rPr>
                <w:sz w:val="22"/>
              </w:rPr>
              <w:t>), MINA (§</w:t>
            </w:r>
            <w:hyperlink w:history="true" w:anchor="_bookmark676">
              <w:r>
                <w:rPr>
                  <w:sz w:val="22"/>
                </w:rPr>
                <w:t>18.17.7.213</w:t>
              </w:r>
            </w:hyperlink>
            <w:r>
              <w:rPr>
                <w:sz w:val="22"/>
              </w:rPr>
              <w:t>), MODE (§</w:t>
            </w:r>
            <w:hyperlink w:history="true" w:anchor="_bookmark682">
              <w:r>
                <w:rPr>
                  <w:sz w:val="22"/>
                </w:rPr>
                <w:t>18.17.7.219</w:t>
              </w:r>
            </w:hyperlink>
            <w:r>
              <w:rPr>
                <w:sz w:val="22"/>
              </w:rPr>
              <w:t>), NEGBINOMDIST (§</w:t>
            </w:r>
            <w:hyperlink w:history="true" w:anchor="_bookmark688">
              <w:r>
                <w:rPr>
                  <w:sz w:val="22"/>
                </w:rPr>
                <w:t>18.17.7.225</w:t>
              </w:r>
            </w:hyperlink>
            <w:r>
              <w:rPr>
                <w:sz w:val="22"/>
              </w:rPr>
              <w:t>), NORMDIST (§</w:t>
            </w:r>
            <w:hyperlink w:history="true" w:anchor="_bookmark692">
              <w:r>
                <w:rPr>
                  <w:sz w:val="22"/>
                </w:rPr>
                <w:t>18.17.7.229</w:t>
              </w:r>
            </w:hyperlink>
            <w:r>
              <w:rPr>
                <w:sz w:val="22"/>
              </w:rPr>
              <w:t>), NORMINV (§</w:t>
            </w:r>
            <w:hyperlink w:history="true" w:anchor="_bookmark693">
              <w:r>
                <w:rPr>
                  <w:sz w:val="22"/>
                </w:rPr>
                <w:t>18.17.7.230</w:t>
              </w:r>
            </w:hyperlink>
            <w:r>
              <w:rPr>
                <w:sz w:val="22"/>
              </w:rPr>
              <w:t>), NORMSDIST (§</w:t>
            </w:r>
            <w:hyperlink w:history="true" w:anchor="_bookmark694">
              <w:r>
                <w:rPr>
                  <w:sz w:val="22"/>
                </w:rPr>
                <w:t>18.17.7.231</w:t>
              </w:r>
            </w:hyperlink>
            <w:r>
              <w:rPr>
                <w:sz w:val="22"/>
              </w:rPr>
              <w:t>), NORMSINV (§</w:t>
            </w:r>
            <w:hyperlink w:history="true" w:anchor="_bookmark695">
              <w:r>
                <w:rPr>
                  <w:sz w:val="22"/>
                </w:rPr>
                <w:t>18.17.7.232</w:t>
              </w:r>
            </w:hyperlink>
            <w:r>
              <w:rPr>
                <w:sz w:val="22"/>
              </w:rPr>
              <w:t>), PEARSON (§</w:t>
            </w:r>
            <w:hyperlink w:history="true" w:anchor="_bookmark710">
              <w:r>
                <w:rPr>
                  <w:sz w:val="22"/>
                </w:rPr>
                <w:t>18.17.7.247</w:t>
              </w:r>
            </w:hyperlink>
            <w:r>
              <w:rPr>
                <w:sz w:val="22"/>
              </w:rPr>
              <w:t>), PERCENTILE (§</w:t>
            </w:r>
            <w:hyperlink w:history="true" w:anchor="_bookmark711">
              <w:r>
                <w:rPr>
                  <w:sz w:val="22"/>
                </w:rPr>
                <w:t>18.17.7.248</w:t>
              </w:r>
            </w:hyperlink>
            <w:r>
              <w:rPr>
                <w:sz w:val="22"/>
              </w:rPr>
              <w:t>), PERCENTRANK (§</w:t>
            </w:r>
            <w:hyperlink w:history="true" w:anchor="_bookmark712">
              <w:r>
                <w:rPr>
                  <w:sz w:val="22"/>
                </w:rPr>
                <w:t>18.17.7.249</w:t>
              </w:r>
            </w:hyperlink>
            <w:r>
              <w:rPr>
                <w:sz w:val="22"/>
              </w:rPr>
              <w:t>), PERMUT (§</w:t>
            </w:r>
            <w:hyperlink w:history="true" w:anchor="_bookmark713">
              <w:r>
                <w:rPr>
                  <w:sz w:val="22"/>
                </w:rPr>
                <w:t>18.17.7.250</w:t>
              </w:r>
            </w:hyperlink>
            <w:r>
              <w:rPr>
                <w:sz w:val="22"/>
              </w:rPr>
              <w:t>), POISSON (§</w:t>
            </w:r>
            <w:hyperlink w:history="true" w:anchor="_bookmark717">
              <w:r>
                <w:rPr>
                  <w:sz w:val="22"/>
                </w:rPr>
                <w:t>18.17.7.254</w:t>
              </w:r>
            </w:hyperlink>
            <w:r>
              <w:rPr>
                <w:sz w:val="22"/>
              </w:rPr>
              <w:t>), PROB (§</w:t>
            </w:r>
            <w:hyperlink w:history="true" w:anchor="_bookmark723">
              <w:r>
                <w:rPr>
                  <w:sz w:val="22"/>
                </w:rPr>
                <w:t>18.17.7.260</w:t>
              </w:r>
            </w:hyperlink>
            <w:r>
              <w:rPr>
                <w:sz w:val="22"/>
              </w:rPr>
              <w:t>), QUARTILE (§</w:t>
            </w:r>
            <w:hyperlink w:history="true" w:anchor="_bookmark727">
              <w:r>
                <w:rPr>
                  <w:sz w:val="22"/>
                </w:rPr>
                <w:t>18.17.7.264</w:t>
              </w:r>
            </w:hyperlink>
            <w:r>
              <w:rPr>
                <w:sz w:val="22"/>
              </w:rPr>
              <w:t>), RANK (§</w:t>
            </w:r>
            <w:hyperlink w:history="true" w:anchor="_bookmark732">
              <w:r>
                <w:rPr>
                  <w:sz w:val="22"/>
                </w:rPr>
                <w:t>18.17.7.269</w:t>
              </w:r>
            </w:hyperlink>
            <w:r>
              <w:rPr>
                <w:sz w:val="22"/>
              </w:rPr>
              <w:t>), RSQ (§</w:t>
            </w:r>
            <w:hyperlink w:history="true" w:anchor="_bookmark746">
              <w:r>
                <w:rPr>
                  <w:sz w:val="22"/>
                </w:rPr>
                <w:t>18.17.7.283</w:t>
              </w:r>
            </w:hyperlink>
            <w:r>
              <w:rPr>
                <w:sz w:val="22"/>
              </w:rPr>
              <w:t>), SKEW (§</w:t>
            </w:r>
            <w:hyperlink w:history="true" w:anchor="_bookmark755">
              <w:r>
                <w:rPr>
                  <w:sz w:val="22"/>
                </w:rPr>
                <w:t>18.17.7.292</w:t>
              </w:r>
            </w:hyperlink>
            <w:r>
              <w:rPr>
                <w:sz w:val="22"/>
              </w:rPr>
              <w:t>), SLOPE (§</w:t>
            </w:r>
            <w:hyperlink w:history="true" w:anchor="_bookmark757">
              <w:r>
                <w:rPr>
                  <w:sz w:val="22"/>
                </w:rPr>
                <w:t>18.17.7.294</w:t>
              </w:r>
            </w:hyperlink>
            <w:r>
              <w:rPr>
                <w:sz w:val="22"/>
              </w:rPr>
              <w:t>), SMALL (§</w:t>
            </w:r>
            <w:hyperlink w:history="true" w:anchor="_bookmark758">
              <w:r>
                <w:rPr>
                  <w:sz w:val="22"/>
                </w:rPr>
                <w:t>18.17.7.295</w:t>
              </w:r>
            </w:hyperlink>
            <w:r>
              <w:rPr>
                <w:sz w:val="22"/>
              </w:rPr>
              <w:t>), STANDARDIZE (§</w:t>
            </w:r>
            <w:hyperlink w:history="true" w:anchor="_bookmark761">
              <w:r>
                <w:rPr>
                  <w:sz w:val="22"/>
                </w:rPr>
                <w:t>18.17.7.298</w:t>
              </w:r>
            </w:hyperlink>
            <w:r>
              <w:rPr>
                <w:sz w:val="22"/>
              </w:rPr>
              <w:t>), STDEV (§</w:t>
            </w:r>
            <w:hyperlink w:history="true" w:anchor="_bookmark762">
              <w:r>
                <w:rPr>
                  <w:sz w:val="22"/>
                </w:rPr>
                <w:t>18.17.7.299</w:t>
              </w:r>
            </w:hyperlink>
            <w:r>
              <w:rPr>
                <w:sz w:val="22"/>
              </w:rPr>
              <w:t>), STDEVA (§</w:t>
            </w:r>
            <w:hyperlink w:history="true" w:anchor="_bookmark763">
              <w:r>
                <w:rPr>
                  <w:sz w:val="22"/>
                </w:rPr>
                <w:t>18.17.7.300</w:t>
              </w:r>
            </w:hyperlink>
            <w:r>
              <w:rPr>
                <w:sz w:val="22"/>
              </w:rPr>
              <w:t>), STDEVP (§</w:t>
            </w:r>
            <w:hyperlink w:history="true" w:anchor="_bookmark764">
              <w:r>
                <w:rPr>
                  <w:sz w:val="22"/>
                </w:rPr>
                <w:t>18.17.7.301</w:t>
              </w:r>
            </w:hyperlink>
            <w:r>
              <w:rPr>
                <w:sz w:val="22"/>
              </w:rPr>
              <w:t>), STDEVPA (§</w:t>
            </w:r>
            <w:hyperlink w:history="true" w:anchor="_bookmark765">
              <w:r>
                <w:rPr>
                  <w:sz w:val="22"/>
                </w:rPr>
                <w:t>18.17.7.302</w:t>
              </w:r>
            </w:hyperlink>
            <w:r>
              <w:rPr>
                <w:sz w:val="22"/>
              </w:rPr>
              <w:t>), STEYX (§</w:t>
            </w:r>
            <w:hyperlink w:history="true" w:anchor="_bookmark766">
              <w:r>
                <w:rPr>
                  <w:sz w:val="22"/>
                </w:rPr>
                <w:t>18.17.7.303</w:t>
              </w:r>
            </w:hyperlink>
            <w:r>
              <w:rPr>
                <w:sz w:val="22"/>
              </w:rPr>
              <w:t>), TDIST (§</w:t>
            </w:r>
            <w:hyperlink w:history="true" w:anchor="_bookmark784">
              <w:r>
                <w:rPr>
                  <w:sz w:val="22"/>
                </w:rPr>
                <w:t>18.17.7.321</w:t>
              </w:r>
            </w:hyperlink>
            <w:r>
              <w:rPr>
                <w:sz w:val="22"/>
              </w:rPr>
              <w:t>), TINV (§</w:t>
            </w:r>
            <w:hyperlink w:history="true" w:anchor="_bookmark788">
              <w:r>
                <w:rPr>
                  <w:sz w:val="22"/>
                </w:rPr>
                <w:t>18.17.7.325</w:t>
              </w:r>
            </w:hyperlink>
            <w:r>
              <w:rPr>
                <w:sz w:val="22"/>
              </w:rPr>
              <w:t>), TREND (§</w:t>
            </w:r>
            <w:hyperlink w:history="true" w:anchor="_bookmark791">
              <w:r>
                <w:rPr>
                  <w:sz w:val="22"/>
                </w:rPr>
                <w:t>18.17.7.328</w:t>
              </w:r>
            </w:hyperlink>
            <w:r>
              <w:rPr>
                <w:sz w:val="22"/>
              </w:rPr>
              <w:t>), TRIMMEAN (§</w:t>
            </w:r>
            <w:hyperlink w:history="true" w:anchor="_bookmark793">
              <w:r>
                <w:rPr>
                  <w:sz w:val="22"/>
                </w:rPr>
                <w:t>18.17.7.330</w:t>
              </w:r>
            </w:hyperlink>
            <w:r>
              <w:rPr>
                <w:sz w:val="22"/>
              </w:rPr>
              <w:t>), TTEST (§</w:t>
            </w:r>
            <w:hyperlink w:history="true" w:anchor="_bookmark797">
              <w:r>
                <w:rPr>
                  <w:sz w:val="22"/>
                </w:rPr>
                <w:t>18.17.7.333</w:t>
              </w:r>
            </w:hyperlink>
            <w:r>
              <w:rPr>
                <w:sz w:val="22"/>
              </w:rPr>
              <w:t>), VAR (§</w:t>
            </w:r>
            <w:hyperlink w:history="true" w:anchor="_bookmark802">
              <w:r>
                <w:rPr>
                  <w:sz w:val="22"/>
                </w:rPr>
                <w:t>18.17.7.338</w:t>
              </w:r>
            </w:hyperlink>
            <w:r>
              <w:rPr>
                <w:sz w:val="22"/>
              </w:rPr>
              <w:t>), VARA (§</w:t>
            </w:r>
            <w:hyperlink w:history="true" w:anchor="_bookmark803">
              <w:r>
                <w:rPr>
                  <w:sz w:val="22"/>
                </w:rPr>
                <w:t>18.17.7.339</w:t>
              </w:r>
            </w:hyperlink>
            <w:r>
              <w:rPr>
                <w:sz w:val="22"/>
              </w:rPr>
              <w:t>), VARP (§</w:t>
            </w:r>
            <w:hyperlink w:history="true" w:anchor="_bookmark804">
              <w:r>
                <w:rPr>
                  <w:sz w:val="22"/>
                </w:rPr>
                <w:t>18.17.7.340</w:t>
              </w:r>
            </w:hyperlink>
            <w:r>
              <w:rPr>
                <w:sz w:val="22"/>
              </w:rPr>
              <w:t>), VARPA (§</w:t>
            </w:r>
            <w:hyperlink w:history="true" w:anchor="_bookmark805">
              <w:r>
                <w:rPr>
                  <w:sz w:val="22"/>
                </w:rPr>
                <w:t>18.17.7.341</w:t>
              </w:r>
            </w:hyperlink>
            <w:r>
              <w:rPr>
                <w:sz w:val="22"/>
              </w:rPr>
              <w:t>), WEIBULL (§</w:t>
            </w:r>
            <w:hyperlink w:history="true" w:anchor="_bookmark811">
              <w:r>
                <w:rPr>
                  <w:sz w:val="22"/>
                </w:rPr>
                <w:t>18.17.7.346</w:t>
              </w:r>
            </w:hyperlink>
            <w:r>
              <w:rPr>
                <w:sz w:val="22"/>
              </w:rPr>
              <w:t>), and ZTEST (§</w:t>
            </w:r>
            <w:hyperlink w:history="true" w:anchor="_bookmark821">
              <w:r>
                <w:rPr>
                  <w:sz w:val="22"/>
                </w:rPr>
                <w:t>18.17.7.356</w:t>
              </w:r>
            </w:hyperlink>
            <w:r>
              <w:rPr>
                <w:sz w:val="22"/>
              </w:rPr>
              <w:t>).</w:t>
            </w:r>
          </w:p>
        </w:tc>
      </w:tr>
      <w:tr>
        <w:trPr>
          <w:trHeight w:val="3040" w:hRule="atLeast"/>
        </w:trPr>
        <w:tc>
          <w:tcPr>
            <w:tcW w:w="1728" w:type="dxa"/>
          </w:tcPr>
          <w:p>
            <w:pPr>
              <w:pStyle w:val="TableParagraph"/>
              <w:rPr>
                <w:sz w:val="22"/>
              </w:rPr>
            </w:pPr>
            <w:r>
              <w:rPr>
                <w:sz w:val="22"/>
              </w:rPr>
              <w:t>Text and Data</w:t>
            </w:r>
          </w:p>
        </w:tc>
        <w:tc>
          <w:tcPr>
            <w:tcW w:w="7202" w:type="dxa"/>
          </w:tcPr>
          <w:p>
            <w:pPr>
              <w:pStyle w:val="TableParagraph"/>
              <w:ind w:left="114" w:right="507"/>
              <w:rPr>
                <w:sz w:val="22"/>
              </w:rPr>
            </w:pPr>
            <w:r>
              <w:rPr>
                <w:sz w:val="22"/>
              </w:rPr>
              <w:t>ASC (§</w:t>
            </w:r>
            <w:hyperlink w:history="true" w:anchor="_bookmark474">
              <w:r>
                <w:rPr>
                  <w:sz w:val="22"/>
                </w:rPr>
                <w:t>18.17.7.11</w:t>
              </w:r>
            </w:hyperlink>
            <w:r>
              <w:rPr>
                <w:sz w:val="22"/>
              </w:rPr>
              <w:t>), BAHTTEXT (§</w:t>
            </w:r>
            <w:hyperlink w:history="true" w:anchor="_bookmark485">
              <w:r>
                <w:rPr>
                  <w:sz w:val="22"/>
                </w:rPr>
                <w:t>18.17.7.22</w:t>
              </w:r>
            </w:hyperlink>
            <w:r>
              <w:rPr>
                <w:sz w:val="22"/>
              </w:rPr>
              <w:t>), CHAR (§</w:t>
            </w:r>
            <w:hyperlink w:history="true" w:anchor="_bookmark498">
              <w:r>
                <w:rPr>
                  <w:sz w:val="22"/>
                </w:rPr>
                <w:t>18.17.7.35</w:t>
              </w:r>
            </w:hyperlink>
            <w:r>
              <w:rPr>
                <w:sz w:val="22"/>
              </w:rPr>
              <w:t>), CLEAN (§</w:t>
            </w:r>
            <w:hyperlink w:history="true" w:anchor="_bookmark503">
              <w:r>
                <w:rPr>
                  <w:sz w:val="22"/>
                </w:rPr>
                <w:t>18.17.7.40</w:t>
              </w:r>
            </w:hyperlink>
            <w:r>
              <w:rPr>
                <w:sz w:val="22"/>
              </w:rPr>
              <w:t>), CODE (§</w:t>
            </w:r>
            <w:hyperlink w:history="true" w:anchor="_bookmark504">
              <w:r>
                <w:rPr>
                  <w:sz w:val="22"/>
                </w:rPr>
                <w:t>18.17.7.41</w:t>
              </w:r>
            </w:hyperlink>
            <w:r>
              <w:rPr>
                <w:sz w:val="22"/>
              </w:rPr>
              <w:t>), CONCATENATE (§</w:t>
            </w:r>
            <w:hyperlink w:history="true" w:anchor="_bookmark509">
              <w:r>
                <w:rPr>
                  <w:sz w:val="22"/>
                </w:rPr>
                <w:t>18.17.7.46</w:t>
              </w:r>
            </w:hyperlink>
            <w:r>
              <w:rPr>
                <w:sz w:val="22"/>
              </w:rPr>
              <w:t>), DOLLAR (§</w:t>
            </w:r>
            <w:hyperlink w:history="true" w:anchor="_bookmark557">
              <w:r>
                <w:rPr>
                  <w:sz w:val="22"/>
                </w:rPr>
                <w:t>18.17.7.94</w:t>
              </w:r>
            </w:hyperlink>
            <w:r>
              <w:rPr>
                <w:sz w:val="22"/>
              </w:rPr>
              <w:t>), EXACT (§</w:t>
            </w:r>
            <w:hyperlink w:history="true" w:anchor="_bookmark575">
              <w:r>
                <w:rPr>
                  <w:sz w:val="22"/>
                </w:rPr>
                <w:t>18.17.7.112</w:t>
              </w:r>
            </w:hyperlink>
            <w:r>
              <w:rPr>
                <w:sz w:val="22"/>
              </w:rPr>
              <w:t>), FIND (§</w:t>
            </w:r>
            <w:hyperlink w:history="true" w:anchor="_bookmark582">
              <w:r>
                <w:rPr>
                  <w:sz w:val="22"/>
                </w:rPr>
                <w:t>18.17.7.119</w:t>
              </w:r>
            </w:hyperlink>
            <w:r>
              <w:rPr>
                <w:sz w:val="22"/>
              </w:rPr>
              <w:t>), FINDB</w:t>
            </w:r>
          </w:p>
          <w:p>
            <w:pPr>
              <w:pStyle w:val="TableParagraph"/>
              <w:spacing w:before="0"/>
              <w:ind w:left="114" w:right="112"/>
              <w:rPr>
                <w:sz w:val="22"/>
              </w:rPr>
            </w:pPr>
            <w:hyperlink w:history="true" w:anchor="_bookmark583">
              <w:r>
                <w:rPr>
                  <w:sz w:val="22"/>
                </w:rPr>
                <w:t>(§18.17.7.120</w:t>
              </w:r>
            </w:hyperlink>
            <w:r>
              <w:rPr>
                <w:sz w:val="22"/>
              </w:rPr>
              <w:t>), FIXED (§</w:t>
            </w:r>
            <w:hyperlink w:history="true" w:anchor="_bookmark587">
              <w:r>
                <w:rPr>
                  <w:sz w:val="22"/>
                </w:rPr>
                <w:t>18.17.7.124</w:t>
              </w:r>
            </w:hyperlink>
            <w:r>
              <w:rPr>
                <w:sz w:val="22"/>
              </w:rPr>
              <w:t>), JIS (§</w:t>
            </w:r>
            <w:hyperlink w:history="true" w:anchor="_bookmark650">
              <w:r>
                <w:rPr>
                  <w:sz w:val="22"/>
                </w:rPr>
                <w:t>18.17.7.187</w:t>
              </w:r>
            </w:hyperlink>
            <w:r>
              <w:rPr>
                <w:sz w:val="22"/>
              </w:rPr>
              <w:t>), LEFT (§</w:t>
            </w:r>
            <w:hyperlink w:history="true" w:anchor="_bookmark654">
              <w:r>
                <w:rPr>
                  <w:sz w:val="22"/>
                </w:rPr>
                <w:t>18.17.7.191</w:t>
              </w:r>
            </w:hyperlink>
            <w:r>
              <w:rPr>
                <w:sz w:val="22"/>
              </w:rPr>
              <w:t>), LEFTB (§</w:t>
            </w:r>
            <w:hyperlink w:history="true" w:anchor="_bookmark655">
              <w:r>
                <w:rPr>
                  <w:sz w:val="22"/>
                </w:rPr>
                <w:t>18.17.7.192</w:t>
              </w:r>
            </w:hyperlink>
            <w:r>
              <w:rPr>
                <w:sz w:val="22"/>
              </w:rPr>
              <w:t>), LEN (§</w:t>
            </w:r>
            <w:hyperlink w:history="true" w:anchor="_bookmark656">
              <w:r>
                <w:rPr>
                  <w:sz w:val="22"/>
                </w:rPr>
                <w:t>18.17.7.193</w:t>
              </w:r>
            </w:hyperlink>
            <w:r>
              <w:rPr>
                <w:sz w:val="22"/>
              </w:rPr>
              <w:t>), LENB (§</w:t>
            </w:r>
            <w:hyperlink w:history="true" w:anchor="_bookmark657">
              <w:r>
                <w:rPr>
                  <w:sz w:val="22"/>
                </w:rPr>
                <w:t>18.17.7.194</w:t>
              </w:r>
            </w:hyperlink>
            <w:r>
              <w:rPr>
                <w:sz w:val="22"/>
              </w:rPr>
              <w:t>), LOWER (§</w:t>
            </w:r>
            <w:hyperlink w:history="true" w:anchor="_bookmark666">
              <w:r>
                <w:rPr>
                  <w:sz w:val="22"/>
                </w:rPr>
                <w:t>18.17.7.203</w:t>
              </w:r>
            </w:hyperlink>
            <w:r>
              <w:rPr>
                <w:sz w:val="22"/>
              </w:rPr>
              <w:t>), MID (§</w:t>
            </w:r>
            <w:hyperlink w:history="true" w:anchor="_bookmark673">
              <w:r>
                <w:rPr>
                  <w:sz w:val="22"/>
                </w:rPr>
                <w:t>18.17.7.210</w:t>
              </w:r>
            </w:hyperlink>
            <w:r>
              <w:rPr>
                <w:sz w:val="22"/>
              </w:rPr>
              <w:t>), MIDB (§</w:t>
            </w:r>
            <w:hyperlink w:history="true" w:anchor="_bookmark674">
              <w:r>
                <w:rPr>
                  <w:sz w:val="22"/>
                </w:rPr>
                <w:t>18.17.7.211</w:t>
              </w:r>
            </w:hyperlink>
            <w:r>
              <w:rPr>
                <w:sz w:val="22"/>
              </w:rPr>
              <w:t>), PHONETIC (§</w:t>
            </w:r>
            <w:hyperlink w:history="true" w:anchor="_bookmark714">
              <w:r>
                <w:rPr>
                  <w:sz w:val="22"/>
                </w:rPr>
                <w:t>18.17.7.251</w:t>
              </w:r>
            </w:hyperlink>
            <w:r>
              <w:rPr>
                <w:sz w:val="22"/>
              </w:rPr>
              <w:t>), PROPER (§</w:t>
            </w:r>
            <w:hyperlink w:history="true" w:anchor="_bookmark725">
              <w:r>
                <w:rPr>
                  <w:sz w:val="22"/>
                </w:rPr>
                <w:t>18.17.7.262</w:t>
              </w:r>
            </w:hyperlink>
            <w:r>
              <w:rPr>
                <w:sz w:val="22"/>
              </w:rPr>
              <w:t>), REPLACE (§</w:t>
            </w:r>
            <w:hyperlink w:history="true" w:anchor="_bookmark735">
              <w:r>
                <w:rPr>
                  <w:sz w:val="22"/>
                </w:rPr>
                <w:t>18.17.7.272</w:t>
              </w:r>
            </w:hyperlink>
            <w:r>
              <w:rPr>
                <w:sz w:val="22"/>
              </w:rPr>
              <w:t>), REPLACEB (§</w:t>
            </w:r>
            <w:hyperlink w:history="true" w:anchor="_bookmark736">
              <w:r>
                <w:rPr>
                  <w:sz w:val="22"/>
                </w:rPr>
                <w:t>18.17.7.273</w:t>
              </w:r>
            </w:hyperlink>
            <w:r>
              <w:rPr>
                <w:sz w:val="22"/>
              </w:rPr>
              <w:t>), REPT (§</w:t>
            </w:r>
            <w:hyperlink w:history="true" w:anchor="_bookmark737">
              <w:r>
                <w:rPr>
                  <w:sz w:val="22"/>
                </w:rPr>
                <w:t>18.17.7.274</w:t>
              </w:r>
            </w:hyperlink>
            <w:r>
              <w:rPr>
                <w:sz w:val="22"/>
              </w:rPr>
              <w:t>), RIGHT (§</w:t>
            </w:r>
            <w:hyperlink w:history="true" w:anchor="_bookmark738">
              <w:r>
                <w:rPr>
                  <w:sz w:val="22"/>
                </w:rPr>
                <w:t>18.17.7.275</w:t>
              </w:r>
            </w:hyperlink>
            <w:r>
              <w:rPr>
                <w:sz w:val="22"/>
              </w:rPr>
              <w:t>), RIGHTB (§</w:t>
            </w:r>
            <w:hyperlink w:history="true" w:anchor="_bookmark739">
              <w:r>
                <w:rPr>
                  <w:sz w:val="22"/>
                </w:rPr>
                <w:t>18.17.7.276</w:t>
              </w:r>
            </w:hyperlink>
            <w:r>
              <w:rPr>
                <w:sz w:val="22"/>
              </w:rPr>
              <w:t>), SEARCH (§</w:t>
            </w:r>
            <w:hyperlink w:history="true" w:anchor="_bookmark748">
              <w:r>
                <w:rPr>
                  <w:sz w:val="22"/>
                </w:rPr>
                <w:t>18.17.7.285</w:t>
              </w:r>
            </w:hyperlink>
            <w:r>
              <w:rPr>
                <w:sz w:val="22"/>
              </w:rPr>
              <w:t>), SEARCHB (§</w:t>
            </w:r>
            <w:hyperlink w:history="true" w:anchor="_bookmark749">
              <w:r>
                <w:rPr>
                  <w:sz w:val="22"/>
                </w:rPr>
                <w:t>18.17.7.286</w:t>
              </w:r>
            </w:hyperlink>
            <w:r>
              <w:rPr>
                <w:sz w:val="22"/>
              </w:rPr>
              <w:t>), SUBSTITUTE (§</w:t>
            </w:r>
            <w:hyperlink w:history="true" w:anchor="_bookmark767">
              <w:r>
                <w:rPr>
                  <w:sz w:val="22"/>
                </w:rPr>
                <w:t>18.17.7.304</w:t>
              </w:r>
            </w:hyperlink>
            <w:r>
              <w:rPr>
                <w:sz w:val="22"/>
              </w:rPr>
              <w:t>), T (§</w:t>
            </w:r>
            <w:hyperlink w:history="true" w:anchor="_bookmark778">
              <w:r>
                <w:rPr>
                  <w:sz w:val="22"/>
                </w:rPr>
                <w:t>18.17.7.315</w:t>
              </w:r>
            </w:hyperlink>
            <w:r>
              <w:rPr>
                <w:sz w:val="22"/>
              </w:rPr>
              <w:t>), TEXT (§</w:t>
            </w:r>
            <w:hyperlink w:history="true" w:anchor="_bookmark785">
              <w:r>
                <w:rPr>
                  <w:sz w:val="22"/>
                </w:rPr>
                <w:t>18.17.7.322</w:t>
              </w:r>
            </w:hyperlink>
            <w:r>
              <w:rPr>
                <w:sz w:val="22"/>
              </w:rPr>
              <w:t>), TRIM (§</w:t>
            </w:r>
            <w:hyperlink w:history="true" w:anchor="_bookmark792">
              <w:r>
                <w:rPr>
                  <w:sz w:val="22"/>
                </w:rPr>
                <w:t>18.17.7.329</w:t>
              </w:r>
            </w:hyperlink>
            <w:r>
              <w:rPr>
                <w:sz w:val="22"/>
              </w:rPr>
              <w:t>), UPPER (§</w:t>
            </w:r>
            <w:hyperlink w:history="true" w:anchor="_bookmark799">
              <w:r>
                <w:rPr>
                  <w:sz w:val="22"/>
                </w:rPr>
                <w:t>18.17.7.335</w:t>
              </w:r>
            </w:hyperlink>
            <w:r>
              <w:rPr>
                <w:sz w:val="22"/>
              </w:rPr>
              <w:t>), and VALUE (§</w:t>
            </w:r>
            <w:hyperlink w:history="true" w:anchor="_bookmark801">
              <w:r>
                <w:rPr>
                  <w:sz w:val="22"/>
                </w:rPr>
                <w:t>18.17.7.337</w:t>
              </w:r>
            </w:hyperlink>
            <w:r>
              <w:rPr>
                <w:sz w:val="22"/>
              </w:rPr>
              <w:t>).</w:t>
            </w:r>
          </w:p>
        </w:tc>
      </w:tr>
    </w:tbl>
    <w:p>
      <w:pPr>
        <w:pStyle w:val="Heading3"/>
        <w:numPr>
          <w:ilvl w:val="3"/>
          <w:numId w:val="66"/>
        </w:numPr>
        <w:tabs>
          <w:tab w:pos="1732" w:val="left" w:leader="none"/>
          <w:tab w:pos="1733" w:val="left" w:leader="none"/>
        </w:tabs>
        <w:spacing w:line="240" w:lineRule="auto" w:before="159" w:after="0"/>
        <w:ind w:left="1732" w:right="0" w:hanging="1513"/>
        <w:jc w:val="left"/>
      </w:pPr>
      <w:bookmarkStart w:name="18.17.7.1 ABS" w:id="1394"/>
      <w:bookmarkEnd w:id="1394"/>
      <w:r>
        <w:rPr/>
      </w:r>
      <w:bookmarkStart w:name="_bookmark463" w:id="1395"/>
      <w:bookmarkEnd w:id="1395"/>
      <w:r>
        <w:rPr/>
      </w:r>
      <w:bookmarkStart w:name="_bookmark463" w:id="1396"/>
      <w:bookmarkEnd w:id="1396"/>
      <w:r>
        <w:rPr>
          <w:color w:val="4F81BC"/>
        </w:rPr>
        <w:t>ABS</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ABS ( </w:t>
      </w:r>
      <w:r>
        <w:rPr>
          <w:i/>
          <w:sz w:val="22"/>
        </w:rPr>
        <w:t>x </w:t>
      </w:r>
      <w:r>
        <w:rPr>
          <w:rFonts w:ascii="Lucida Console"/>
          <w:sz w:val="20"/>
        </w:rPr>
        <w:t>)</w:t>
      </w:r>
    </w:p>
    <w:p>
      <w:pPr>
        <w:spacing w:before="109"/>
        <w:ind w:left="220" w:right="0" w:firstLine="0"/>
        <w:jc w:val="left"/>
        <w:rPr>
          <w:sz w:val="22"/>
        </w:rPr>
      </w:pPr>
      <w:r>
        <w:rPr>
          <w:b/>
          <w:sz w:val="22"/>
        </w:rPr>
        <w:t>Description: </w:t>
      </w:r>
      <w:r>
        <w:rPr>
          <w:sz w:val="22"/>
        </w:rPr>
        <w:t>Computes the absolute value of </w:t>
      </w:r>
      <w:r>
        <w:rPr>
          <w:rFonts w:ascii="Times New Roman"/>
          <w:i/>
          <w:sz w:val="22"/>
        </w:rPr>
        <w:t>x</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whose absolute value is to be determined.</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The absolute value of </w:t>
      </w:r>
      <w:r>
        <w:rPr>
          <w:rFonts w:ascii="Times New Roman" w:hAnsi="Times New Roman"/>
          <w:i/>
          <w:sz w:val="22"/>
        </w:rPr>
        <w:t>x</w:t>
      </w:r>
      <w:r>
        <w:rPr>
          <w:sz w:val="22"/>
        </w:rPr>
        <w:t>.</w:t>
      </w:r>
    </w:p>
    <w:p>
      <w:pPr>
        <w:spacing w:after="0"/>
        <w:jc w:val="left"/>
        <w:rPr>
          <w:sz w:val="22"/>
        </w:rPr>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before="1"/>
        <w:ind w:left="220" w:right="7964"/>
        <w:rPr>
          <w:rFonts w:ascii="Consolas"/>
        </w:rPr>
      </w:pPr>
      <w:r>
        <w:rPr>
          <w:rFonts w:ascii="Consolas"/>
        </w:rPr>
        <w:t>ABS(10.5)</w:t>
      </w:r>
      <w:r>
        <w:rPr>
          <w:rFonts w:ascii="Consolas"/>
          <w:spacing w:val="-81"/>
        </w:rPr>
        <w:t> </w:t>
      </w:r>
      <w:r>
        <w:rPr/>
        <w:t>results in </w:t>
      </w:r>
      <w:r>
        <w:rPr>
          <w:rFonts w:ascii="Consolas"/>
        </w:rPr>
        <w:t>10.5 ABS(0)</w:t>
      </w:r>
      <w:r>
        <w:rPr>
          <w:rFonts w:ascii="Consolas"/>
          <w:spacing w:val="-73"/>
        </w:rPr>
        <w:t> </w:t>
      </w:r>
      <w:r>
        <w:rPr/>
        <w:t>results in </w:t>
      </w:r>
      <w:r>
        <w:rPr>
          <w:rFonts w:ascii="Consolas"/>
        </w:rPr>
        <w:t>0</w:t>
      </w:r>
    </w:p>
    <w:p>
      <w:pPr>
        <w:pStyle w:val="BodyText"/>
        <w:spacing w:before="1"/>
        <w:ind w:left="220"/>
        <w:rPr>
          <w:rFonts w:ascii="Consolas"/>
        </w:rPr>
      </w:pPr>
      <w:r>
        <w:rPr>
          <w:rFonts w:ascii="Consolas"/>
        </w:rPr>
        <w:t>ABS(-10.5</w:t>
      </w:r>
      <w:r>
        <w:rPr/>
        <w:t>) results in </w:t>
      </w:r>
      <w:r>
        <w:rPr>
          <w:rFonts w:ascii="Consolas"/>
        </w:rPr>
        <w:t>10.5</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 ACCRINT" w:id="1397"/>
      <w:bookmarkEnd w:id="1397"/>
      <w:r>
        <w:rPr/>
      </w:r>
      <w:bookmarkStart w:name="_bookmark464" w:id="1398"/>
      <w:bookmarkEnd w:id="1398"/>
      <w:r>
        <w:rPr/>
      </w:r>
      <w:bookmarkStart w:name="_bookmark464" w:id="1399"/>
      <w:bookmarkEnd w:id="1399"/>
      <w:r>
        <w:rPr>
          <w:color w:val="4F81BC"/>
        </w:rPr>
        <w:t>A</w:t>
      </w:r>
      <w:r>
        <w:rPr>
          <w:color w:val="4F81BC"/>
        </w:rPr>
        <w:t>CCRINT</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ACCRINT ( </w:t>
      </w:r>
      <w:r>
        <w:rPr>
          <w:i/>
          <w:sz w:val="22"/>
        </w:rPr>
        <w:t>issue </w:t>
      </w:r>
      <w:r>
        <w:rPr>
          <w:rFonts w:ascii="Lucida Console"/>
          <w:sz w:val="20"/>
        </w:rPr>
        <w:t>, </w:t>
      </w:r>
      <w:r>
        <w:rPr>
          <w:i/>
          <w:sz w:val="22"/>
        </w:rPr>
        <w:t>first-interest </w:t>
      </w:r>
      <w:r>
        <w:rPr>
          <w:rFonts w:ascii="Lucida Console"/>
          <w:sz w:val="20"/>
        </w:rPr>
        <w:t>, </w:t>
      </w:r>
      <w:r>
        <w:rPr>
          <w:i/>
          <w:sz w:val="22"/>
        </w:rPr>
        <w:t>settlement </w:t>
      </w:r>
      <w:r>
        <w:rPr>
          <w:rFonts w:ascii="Lucida Console"/>
          <w:sz w:val="20"/>
        </w:rPr>
        <w:t>, </w:t>
      </w:r>
      <w:r>
        <w:rPr>
          <w:i/>
          <w:sz w:val="22"/>
        </w:rPr>
        <w:t>rate </w:t>
      </w:r>
      <w:r>
        <w:rPr>
          <w:rFonts w:ascii="Lucida Console"/>
          <w:sz w:val="20"/>
        </w:rPr>
        <w:t>, </w:t>
      </w:r>
      <w:r>
        <w:rPr>
          <w:sz w:val="22"/>
        </w:rPr>
        <w:t>[ </w:t>
      </w:r>
      <w:r>
        <w:rPr>
          <w:i/>
          <w:sz w:val="22"/>
        </w:rPr>
        <w:t>par </w:t>
      </w:r>
      <w:r>
        <w:rPr>
          <w:sz w:val="22"/>
        </w:rPr>
        <w:t>]  </w:t>
      </w:r>
      <w:r>
        <w:rPr>
          <w:rFonts w:ascii="Lucida Console"/>
          <w:sz w:val="20"/>
        </w:rPr>
        <w:t>, </w:t>
      </w:r>
      <w:r>
        <w:rPr>
          <w:i/>
          <w:sz w:val="22"/>
        </w:rPr>
        <w:t>frequency </w:t>
      </w:r>
      <w:r>
        <w:rPr>
          <w:sz w:val="22"/>
        </w:rPr>
        <w:t>[ </w:t>
      </w:r>
      <w:r>
        <w:rPr>
          <w:rFonts w:ascii="Lucida Console"/>
          <w:sz w:val="20"/>
        </w:rPr>
        <w:t>,</w:t>
      </w:r>
      <w:r>
        <w:rPr>
          <w:rFonts w:ascii="Lucida Console"/>
          <w:spacing w:val="-70"/>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accrued interest for a security that pays periodic interest.</w:t>
      </w:r>
    </w:p>
    <w:p>
      <w:pPr>
        <w:pStyle w:val="BodyText"/>
        <w:spacing w:before="8"/>
        <w:rPr>
          <w:sz w:val="19"/>
        </w:rPr>
      </w:pPr>
    </w:p>
    <w:p>
      <w:pPr>
        <w:pStyle w:val="Heading4"/>
        <w:spacing w:before="1"/>
        <w:rPr>
          <w:b w:val="0"/>
        </w:rPr>
      </w:pPr>
      <w:r>
        <w:rPr/>
        <w:t>Mathematical Formula</w:t>
      </w:r>
      <w:r>
        <w:rPr>
          <w:b w:val="0"/>
        </w:rPr>
        <w:t>:</w:t>
      </w:r>
    </w:p>
    <w:p>
      <w:pPr>
        <w:pStyle w:val="BodyText"/>
        <w:spacing w:before="1"/>
        <w:rPr>
          <w:sz w:val="12"/>
        </w:rPr>
      </w:pPr>
    </w:p>
    <w:p>
      <w:pPr>
        <w:spacing w:after="0"/>
        <w:rPr>
          <w:sz w:val="12"/>
        </w:rPr>
        <w:sectPr>
          <w:pgSz w:w="12240" w:h="15840"/>
          <w:pgMar w:header="763" w:footer="746" w:top="1340" w:bottom="940" w:left="860" w:right="700"/>
        </w:sectPr>
      </w:pPr>
    </w:p>
    <w:p>
      <w:pPr>
        <w:pStyle w:val="BodyText"/>
        <w:spacing w:line="213" w:lineRule="exact" w:before="177"/>
        <w:ind w:left="2394"/>
        <w:rPr>
          <w:rFonts w:ascii="Cambria Math" w:eastAsia="Cambria Math"/>
        </w:rPr>
      </w:pPr>
      <w:r>
        <w:rPr>
          <w:rFonts w:ascii="Cambria Math" w:eastAsia="Cambria Math"/>
        </w:rPr>
        <w:t>𝑟𝑎𝑡𝑒</w:t>
      </w:r>
    </w:p>
    <w:p>
      <w:pPr>
        <w:pStyle w:val="BodyText"/>
        <w:spacing w:line="158" w:lineRule="exact"/>
        <w:ind w:left="220"/>
        <w:rPr>
          <w:rFonts w:ascii="Cambria Math" w:hAnsi="Cambria Math" w:eastAsia="Cambria Math"/>
        </w:rPr>
      </w:pPr>
      <w:r>
        <w:rPr/>
        <w:pict>
          <v:line style="position:absolute;mso-position-horizontal-relative:page;mso-position-vertical-relative:paragraph;z-index:251732992" from="147.380005pt,5.084153pt" to="199.604005pt,5.084153pt" stroked="true" strokeweight=".72pt" strokecolor="#000000">
            <v:stroke dashstyle="solid"/>
            <w10:wrap type="none"/>
          </v:line>
        </w:pict>
      </w:r>
      <w:r>
        <w:rPr>
          <w:rFonts w:ascii="Cambria Math" w:hAnsi="Cambria Math" w:eastAsia="Cambria Math"/>
        </w:rPr>
        <w:t>𝐴𝐶𝐶𝑅𝐼𝑁𝑇 = 𝑝𝑎𝑟 ×</w:t>
      </w:r>
    </w:p>
    <w:p>
      <w:pPr>
        <w:pStyle w:val="BodyText"/>
        <w:spacing w:line="203" w:lineRule="exact"/>
        <w:ind w:left="2087"/>
        <w:rPr>
          <w:rFonts w:ascii="Cambria Math" w:eastAsia="Cambria Math"/>
        </w:rPr>
      </w:pPr>
      <w:r>
        <w:rPr>
          <w:rFonts w:ascii="Cambria Math" w:eastAsia="Cambria Math"/>
          <w:spacing w:val="-1"/>
        </w:rPr>
        <w:t>𝑓𝑟𝑒𝑞𝑢𝑒𝑛𝑐𝑦</w:t>
      </w:r>
    </w:p>
    <w:p>
      <w:pPr>
        <w:spacing w:line="145" w:lineRule="exact" w:before="73"/>
        <w:ind w:left="42" w:right="6729" w:firstLine="0"/>
        <w:jc w:val="center"/>
        <w:rPr>
          <w:rFonts w:ascii="Cambria Math" w:eastAsia="Cambria Math"/>
          <w:sz w:val="16"/>
        </w:rPr>
      </w:pPr>
      <w:r>
        <w:rPr/>
        <w:br w:type="column"/>
      </w:r>
      <w:r>
        <w:rPr>
          <w:rFonts w:ascii="Cambria Math" w:eastAsia="Cambria Math"/>
          <w:w w:val="105"/>
          <w:sz w:val="16"/>
        </w:rPr>
        <w:t>𝑁𝐶</w:t>
      </w:r>
    </w:p>
    <w:p>
      <w:pPr>
        <w:spacing w:line="330" w:lineRule="exact" w:before="0"/>
        <w:ind w:left="42" w:right="6630" w:firstLine="0"/>
        <w:jc w:val="center"/>
        <w:rPr>
          <w:rFonts w:ascii="Cambria Math" w:hAnsi="Cambria Math" w:eastAsia="Cambria Math"/>
          <w:sz w:val="16"/>
        </w:rPr>
      </w:pPr>
      <w:r>
        <w:rPr/>
        <w:pict>
          <v:line style="position:absolute;mso-position-horizontal-relative:page;mso-position-vertical-relative:paragraph;z-index:-335906816" from="231.169998pt,13.687394pt" to="248.569998pt,13.687394pt" stroked="true" strokeweight=".72pt" strokecolor="#000000">
            <v:stroke dashstyle="solid"/>
            <w10:wrap type="none"/>
          </v:line>
        </w:pict>
      </w:r>
      <w:r>
        <w:rPr>
          <w:rFonts w:ascii="Cambria Math" w:hAnsi="Cambria Math" w:eastAsia="Cambria Math"/>
          <w:w w:val="120"/>
          <w:sz w:val="22"/>
        </w:rPr>
        <w:t>× </w:t>
      </w:r>
      <w:r>
        <w:rPr>
          <w:rFonts w:ascii="Cambria Math" w:hAnsi="Cambria Math" w:eastAsia="Cambria Math"/>
          <w:w w:val="170"/>
          <w:sz w:val="22"/>
        </w:rPr>
        <w:t>∑</w:t>
      </w:r>
      <w:r>
        <w:rPr>
          <w:rFonts w:ascii="Cambria Math" w:hAnsi="Cambria Math" w:eastAsia="Cambria Math"/>
          <w:spacing w:val="-24"/>
          <w:w w:val="170"/>
          <w:sz w:val="22"/>
        </w:rPr>
        <w:t> </w:t>
      </w:r>
      <w:r>
        <w:rPr>
          <w:rFonts w:ascii="Cambria Math" w:hAnsi="Cambria Math" w:eastAsia="Cambria Math"/>
          <w:w w:val="120"/>
          <w:position w:val="17"/>
          <w:sz w:val="22"/>
        </w:rPr>
        <w:t>𝐴</w:t>
      </w:r>
      <w:r>
        <w:rPr>
          <w:rFonts w:ascii="Cambria Math" w:hAnsi="Cambria Math" w:eastAsia="Cambria Math"/>
          <w:w w:val="120"/>
          <w:position w:val="12"/>
          <w:sz w:val="16"/>
        </w:rPr>
        <w:t>𝑖</w:t>
      </w:r>
    </w:p>
    <w:p>
      <w:pPr>
        <w:spacing w:line="188" w:lineRule="exact" w:before="0"/>
        <w:ind w:left="596" w:right="0" w:firstLine="0"/>
        <w:jc w:val="left"/>
        <w:rPr>
          <w:rFonts w:ascii="Cambria Math" w:eastAsia="Cambria Math"/>
          <w:sz w:val="16"/>
        </w:rPr>
      </w:pPr>
      <w:r>
        <w:rPr>
          <w:rFonts w:ascii="Cambria Math" w:eastAsia="Cambria Math"/>
          <w:w w:val="105"/>
          <w:sz w:val="22"/>
        </w:rPr>
        <w:t>𝑁𝐿</w:t>
      </w:r>
      <w:r>
        <w:rPr>
          <w:rFonts w:ascii="Cambria Math" w:eastAsia="Cambria Math"/>
          <w:w w:val="105"/>
          <w:position w:val="-4"/>
          <w:sz w:val="16"/>
        </w:rPr>
        <w:t>𝑖</w:t>
      </w:r>
    </w:p>
    <w:p>
      <w:pPr>
        <w:spacing w:line="136" w:lineRule="exact" w:before="0"/>
        <w:ind w:left="42" w:right="6725" w:firstLine="0"/>
        <w:jc w:val="center"/>
        <w:rPr>
          <w:rFonts w:ascii="Cambria Math" w:eastAsia="Cambria Math"/>
          <w:sz w:val="16"/>
        </w:rPr>
      </w:pPr>
      <w:r>
        <w:rPr>
          <w:rFonts w:ascii="Cambria Math" w:eastAsia="Cambria Math"/>
          <w:w w:val="105"/>
          <w:sz w:val="16"/>
        </w:rPr>
        <w:t>𝑖=1</w:t>
      </w:r>
    </w:p>
    <w:p>
      <w:pPr>
        <w:spacing w:after="0" w:line="136" w:lineRule="exact"/>
        <w:jc w:val="center"/>
        <w:rPr>
          <w:rFonts w:ascii="Cambria Math" w:eastAsia="Cambria Math"/>
          <w:sz w:val="16"/>
        </w:rPr>
        <w:sectPr>
          <w:type w:val="continuous"/>
          <w:pgSz w:w="12240" w:h="15840"/>
          <w:pgMar w:top="1340" w:bottom="940" w:left="860" w:right="700"/>
          <w:cols w:num="2" w:equalWidth="0">
            <w:col w:w="3128" w:space="40"/>
            <w:col w:w="7512"/>
          </w:cols>
        </w:sectPr>
      </w:pPr>
    </w:p>
    <w:p>
      <w:pPr>
        <w:pStyle w:val="BodyText"/>
        <w:spacing w:before="7"/>
        <w:rPr>
          <w:rFonts w:ascii="Cambria Math"/>
          <w:sz w:val="12"/>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Cambria Math" w:hAnsi="Cambria Math"/>
          <w:spacing w:val="2"/>
          <w:sz w:val="22"/>
        </w:rPr>
        <w:t>A</w:t>
      </w:r>
      <w:r>
        <w:rPr>
          <w:rFonts w:ascii="Cambria Math" w:hAnsi="Cambria Math"/>
          <w:spacing w:val="2"/>
          <w:position w:val="-4"/>
          <w:sz w:val="16"/>
        </w:rPr>
        <w:t>i</w:t>
      </w:r>
      <w:r>
        <w:rPr>
          <w:spacing w:val="2"/>
          <w:sz w:val="22"/>
        </w:rPr>
        <w:t>Ai </w:t>
      </w:r>
      <w:r>
        <w:rPr>
          <w:sz w:val="22"/>
        </w:rPr>
        <w:t>= number of accrued days for the i</w:t>
      </w:r>
      <w:r>
        <w:rPr>
          <w:sz w:val="22"/>
          <w:vertAlign w:val="superscript"/>
        </w:rPr>
        <w:t>th</w:t>
      </w:r>
      <w:r>
        <w:rPr>
          <w:sz w:val="22"/>
          <w:vertAlign w:val="baseline"/>
        </w:rPr>
        <w:t> quasi-coupon period within odd</w:t>
      </w:r>
      <w:r>
        <w:rPr>
          <w:spacing w:val="-14"/>
          <w:sz w:val="22"/>
          <w:vertAlign w:val="baseline"/>
        </w:rPr>
        <w:t> </w:t>
      </w:r>
      <w:r>
        <w:rPr>
          <w:sz w:val="22"/>
          <w:vertAlign w:val="baseline"/>
        </w:rPr>
        <w:t>period.</w:t>
      </w:r>
    </w:p>
    <w:p>
      <w:pPr>
        <w:pStyle w:val="ListParagraph"/>
        <w:numPr>
          <w:ilvl w:val="4"/>
          <w:numId w:val="66"/>
        </w:numPr>
        <w:tabs>
          <w:tab w:pos="940" w:val="left" w:leader="none"/>
          <w:tab w:pos="941" w:val="left" w:leader="none"/>
        </w:tabs>
        <w:spacing w:line="240" w:lineRule="auto" w:before="15" w:after="0"/>
        <w:ind w:left="940" w:right="0" w:hanging="361"/>
        <w:jc w:val="left"/>
        <w:rPr>
          <w:rFonts w:ascii="Times New Roman" w:hAnsi="Times New Roman"/>
          <w:i/>
          <w:sz w:val="22"/>
        </w:rPr>
      </w:pPr>
      <w:r>
        <w:rPr>
          <w:rFonts w:ascii="Times New Roman" w:hAnsi="Times New Roman"/>
          <w:i/>
          <w:sz w:val="22"/>
        </w:rPr>
        <w:t>frequency </w:t>
      </w:r>
      <w:r>
        <w:rPr>
          <w:sz w:val="22"/>
        </w:rPr>
        <w:t>= argument</w:t>
      </w:r>
      <w:r>
        <w:rPr>
          <w:spacing w:val="-1"/>
          <w:sz w:val="22"/>
        </w:rPr>
        <w:t> </w:t>
      </w:r>
      <w:r>
        <w:rPr>
          <w:rFonts w:ascii="Times New Roman" w:hAnsi="Times New Roman"/>
          <w:i/>
          <w:sz w:val="22"/>
        </w:rPr>
        <w:t>frequency</w:t>
      </w:r>
    </w:p>
    <w:p>
      <w:pPr>
        <w:pStyle w:val="ListParagraph"/>
        <w:numPr>
          <w:ilvl w:val="4"/>
          <w:numId w:val="66"/>
        </w:numPr>
        <w:tabs>
          <w:tab w:pos="940" w:val="left" w:leader="none"/>
          <w:tab w:pos="941" w:val="left" w:leader="none"/>
        </w:tabs>
        <w:spacing w:line="278" w:lineRule="auto" w:before="39" w:after="0"/>
        <w:ind w:left="940" w:right="390" w:hanging="360"/>
        <w:jc w:val="left"/>
        <w:rPr>
          <w:sz w:val="22"/>
        </w:rPr>
      </w:pPr>
      <w:r>
        <w:rPr>
          <w:rFonts w:ascii="Times New Roman" w:hAnsi="Times New Roman"/>
          <w:i/>
          <w:sz w:val="22"/>
        </w:rPr>
        <w:t>NC</w:t>
      </w:r>
      <w:r>
        <w:rPr>
          <w:rFonts w:ascii="Times New Roman" w:hAnsi="Times New Roman"/>
          <w:i/>
          <w:spacing w:val="-7"/>
          <w:sz w:val="22"/>
        </w:rPr>
        <w:t> </w:t>
      </w:r>
      <w:r>
        <w:rPr>
          <w:sz w:val="22"/>
        </w:rPr>
        <w:t>= number</w:t>
      </w:r>
      <w:r>
        <w:rPr>
          <w:spacing w:val="-3"/>
          <w:sz w:val="22"/>
        </w:rPr>
        <w:t> </w:t>
      </w:r>
      <w:r>
        <w:rPr>
          <w:sz w:val="22"/>
        </w:rPr>
        <w:t>of</w:t>
      </w:r>
      <w:r>
        <w:rPr>
          <w:spacing w:val="-3"/>
          <w:sz w:val="22"/>
        </w:rPr>
        <w:t> </w:t>
      </w:r>
      <w:r>
        <w:rPr>
          <w:sz w:val="22"/>
        </w:rPr>
        <w:t>quasi-coupon</w:t>
      </w:r>
      <w:r>
        <w:rPr>
          <w:spacing w:val="-2"/>
          <w:sz w:val="22"/>
        </w:rPr>
        <w:t> </w:t>
      </w:r>
      <w:r>
        <w:rPr>
          <w:sz w:val="22"/>
        </w:rPr>
        <w:t>periods</w:t>
      </w:r>
      <w:r>
        <w:rPr>
          <w:spacing w:val="-3"/>
          <w:sz w:val="22"/>
        </w:rPr>
        <w:t> </w:t>
      </w:r>
      <w:r>
        <w:rPr>
          <w:sz w:val="22"/>
        </w:rPr>
        <w:t>that</w:t>
      </w:r>
      <w:r>
        <w:rPr>
          <w:spacing w:val="-4"/>
          <w:sz w:val="22"/>
        </w:rPr>
        <w:t> </w:t>
      </w:r>
      <w:r>
        <w:rPr>
          <w:sz w:val="22"/>
        </w:rPr>
        <w:t>fit in</w:t>
      </w:r>
      <w:r>
        <w:rPr>
          <w:spacing w:val="-4"/>
          <w:sz w:val="22"/>
        </w:rPr>
        <w:t> </w:t>
      </w:r>
      <w:r>
        <w:rPr>
          <w:sz w:val="22"/>
        </w:rPr>
        <w:t>odd</w:t>
      </w:r>
      <w:r>
        <w:rPr>
          <w:spacing w:val="-3"/>
          <w:sz w:val="22"/>
        </w:rPr>
        <w:t> </w:t>
      </w:r>
      <w:r>
        <w:rPr>
          <w:sz w:val="22"/>
        </w:rPr>
        <w:t>period.</w:t>
      </w:r>
      <w:r>
        <w:rPr>
          <w:spacing w:val="-2"/>
          <w:sz w:val="22"/>
        </w:rPr>
        <w:t> </w:t>
      </w:r>
      <w:r>
        <w:rPr>
          <w:sz w:val="22"/>
        </w:rPr>
        <w:t>If this</w:t>
      </w:r>
      <w:r>
        <w:rPr>
          <w:spacing w:val="-4"/>
          <w:sz w:val="22"/>
        </w:rPr>
        <w:t> </w:t>
      </w:r>
      <w:r>
        <w:rPr>
          <w:sz w:val="22"/>
        </w:rPr>
        <w:t>number</w:t>
      </w:r>
      <w:r>
        <w:rPr>
          <w:spacing w:val="-2"/>
          <w:sz w:val="22"/>
        </w:rPr>
        <w:t> </w:t>
      </w:r>
      <w:r>
        <w:rPr>
          <w:sz w:val="22"/>
        </w:rPr>
        <w:t>contains</w:t>
      </w:r>
      <w:r>
        <w:rPr>
          <w:spacing w:val="-1"/>
          <w:sz w:val="22"/>
        </w:rPr>
        <w:t> </w:t>
      </w:r>
      <w:r>
        <w:rPr>
          <w:sz w:val="22"/>
        </w:rPr>
        <w:t>a fraction,</w:t>
      </w:r>
      <w:r>
        <w:rPr>
          <w:spacing w:val="-1"/>
          <w:sz w:val="22"/>
        </w:rPr>
        <w:t> </w:t>
      </w:r>
      <w:r>
        <w:rPr>
          <w:sz w:val="22"/>
        </w:rPr>
        <w:t>raise</w:t>
      </w:r>
      <w:r>
        <w:rPr>
          <w:spacing w:val="1"/>
          <w:sz w:val="22"/>
        </w:rPr>
        <w:t> </w:t>
      </w:r>
      <w:r>
        <w:rPr>
          <w:sz w:val="22"/>
        </w:rPr>
        <w:t>it</w:t>
      </w:r>
      <w:r>
        <w:rPr>
          <w:spacing w:val="-4"/>
          <w:sz w:val="22"/>
        </w:rPr>
        <w:t> </w:t>
      </w:r>
      <w:r>
        <w:rPr>
          <w:sz w:val="22"/>
        </w:rPr>
        <w:t>to the next whole number. The quasi-coupon period can be calculated in one of two following</w:t>
      </w:r>
      <w:r>
        <w:rPr>
          <w:spacing w:val="-19"/>
          <w:sz w:val="22"/>
        </w:rPr>
        <w:t> </w:t>
      </w:r>
      <w:r>
        <w:rPr>
          <w:sz w:val="22"/>
        </w:rPr>
        <w:t>ways:</w:t>
      </w:r>
    </w:p>
    <w:p>
      <w:pPr>
        <w:pStyle w:val="ListParagraph"/>
        <w:numPr>
          <w:ilvl w:val="5"/>
          <w:numId w:val="66"/>
        </w:numPr>
        <w:tabs>
          <w:tab w:pos="1300" w:val="left" w:leader="none"/>
          <w:tab w:pos="1301" w:val="left" w:leader="none"/>
        </w:tabs>
        <w:spacing w:line="276" w:lineRule="auto" w:before="196" w:after="0"/>
        <w:ind w:left="1300" w:right="392" w:hanging="360"/>
        <w:jc w:val="left"/>
        <w:rPr>
          <w:sz w:val="22"/>
        </w:rPr>
      </w:pPr>
      <w:r>
        <w:rPr>
          <w:sz w:val="22"/>
        </w:rPr>
        <w:t>Odd long first coupon: by working backwards in time from the long coupon’s interest payment date (first coupon date) and adding together the number of standard coupon periods that would fit in the long coupon, rounding up to the next whole</w:t>
      </w:r>
      <w:r>
        <w:rPr>
          <w:spacing w:val="-6"/>
          <w:sz w:val="22"/>
        </w:rPr>
        <w:t> </w:t>
      </w:r>
      <w:r>
        <w:rPr>
          <w:sz w:val="22"/>
        </w:rPr>
        <w:t>number;</w:t>
      </w:r>
    </w:p>
    <w:p>
      <w:pPr>
        <w:pStyle w:val="ListParagraph"/>
        <w:numPr>
          <w:ilvl w:val="5"/>
          <w:numId w:val="66"/>
        </w:numPr>
        <w:tabs>
          <w:tab w:pos="1300" w:val="left" w:leader="none"/>
          <w:tab w:pos="1301" w:val="left" w:leader="none"/>
        </w:tabs>
        <w:spacing w:line="276" w:lineRule="auto" w:before="0" w:after="0"/>
        <w:ind w:left="1300" w:right="505" w:hanging="360"/>
        <w:jc w:val="left"/>
        <w:rPr>
          <w:sz w:val="22"/>
        </w:rPr>
      </w:pPr>
      <w:r>
        <w:rPr>
          <w:sz w:val="22"/>
        </w:rPr>
        <w:t>Odd long last coupon: by working forward in time from the long coupon’s interest payment date (last coupon date before redemption) and adding together the number of standard coupon periods that would fit in the long coupon, rounding up to the next whole</w:t>
      </w:r>
      <w:r>
        <w:rPr>
          <w:spacing w:val="-17"/>
          <w:sz w:val="22"/>
        </w:rPr>
        <w:t> </w:t>
      </w:r>
      <w:r>
        <w:rPr>
          <w:sz w:val="22"/>
        </w:rPr>
        <w:t>number.</w:t>
      </w:r>
    </w:p>
    <w:p>
      <w:pPr>
        <w:pStyle w:val="BodyText"/>
        <w:spacing w:before="4"/>
        <w:rPr>
          <w:sz w:val="16"/>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Cambria Math" w:hAnsi="Cambria Math"/>
          <w:sz w:val="22"/>
        </w:rPr>
        <w:t>NL</w:t>
      </w:r>
      <w:r>
        <w:rPr>
          <w:rFonts w:ascii="Cambria Math" w:hAnsi="Cambria Math"/>
          <w:position w:val="-4"/>
          <w:sz w:val="16"/>
        </w:rPr>
        <w:t>i</w:t>
      </w:r>
      <w:r>
        <w:rPr>
          <w:sz w:val="22"/>
        </w:rPr>
        <w:t>NLi = normal length in days of the i</w:t>
      </w:r>
      <w:r>
        <w:rPr>
          <w:sz w:val="22"/>
          <w:vertAlign w:val="superscript"/>
        </w:rPr>
        <w:t>th</w:t>
      </w:r>
      <w:r>
        <w:rPr>
          <w:sz w:val="22"/>
          <w:vertAlign w:val="baseline"/>
        </w:rPr>
        <w:t> quasi-coupon period within odd</w:t>
      </w:r>
      <w:r>
        <w:rPr>
          <w:spacing w:val="-11"/>
          <w:sz w:val="22"/>
          <w:vertAlign w:val="baseline"/>
        </w:rPr>
        <w:t> </w:t>
      </w:r>
      <w:r>
        <w:rPr>
          <w:sz w:val="22"/>
          <w:vertAlign w:val="baseline"/>
        </w:rPr>
        <w:t>period.</w:t>
      </w:r>
    </w:p>
    <w:p>
      <w:pPr>
        <w:pStyle w:val="ListParagraph"/>
        <w:numPr>
          <w:ilvl w:val="4"/>
          <w:numId w:val="66"/>
        </w:numPr>
        <w:tabs>
          <w:tab w:pos="940" w:val="left" w:leader="none"/>
          <w:tab w:pos="941" w:val="left" w:leader="none"/>
        </w:tabs>
        <w:spacing w:line="240" w:lineRule="auto" w:before="15" w:after="0"/>
        <w:ind w:left="940" w:right="0" w:hanging="361"/>
        <w:jc w:val="left"/>
        <w:rPr>
          <w:rFonts w:ascii="Times New Roman" w:hAnsi="Times New Roman"/>
          <w:i/>
          <w:sz w:val="22"/>
        </w:rPr>
      </w:pPr>
      <w:r>
        <w:rPr>
          <w:rFonts w:ascii="Times New Roman" w:hAnsi="Times New Roman"/>
          <w:i/>
          <w:sz w:val="22"/>
        </w:rPr>
        <w:t>par </w:t>
      </w:r>
      <w:r>
        <w:rPr>
          <w:sz w:val="22"/>
        </w:rPr>
        <w:t>= argument</w:t>
      </w:r>
      <w:r>
        <w:rPr>
          <w:spacing w:val="-2"/>
          <w:sz w:val="22"/>
        </w:rPr>
        <w:t> </w:t>
      </w:r>
      <w:r>
        <w:rPr>
          <w:rFonts w:ascii="Times New Roman" w:hAnsi="Times New Roman"/>
          <w:i/>
          <w:sz w:val="22"/>
        </w:rPr>
        <w:t>par</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4"/>
          <w:sz w:val="22"/>
        </w:rPr>
        <w:t> </w:t>
      </w:r>
      <w:r>
        <w:rPr>
          <w:rFonts w:ascii="Times New Roman" w:hAnsi="Times New Roman"/>
          <w:i/>
          <w:sz w:val="22"/>
        </w:rPr>
        <w:t>rate</w:t>
      </w:r>
    </w:p>
    <w:p>
      <w:pPr>
        <w:pStyle w:val="Heading4"/>
        <w:spacing w:before="243"/>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29"/>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29" w:type="dxa"/>
            <w:shd w:val="clear" w:color="auto" w:fill="C0C0C0"/>
          </w:tcPr>
          <w:p>
            <w:pPr>
              <w:pStyle w:val="TableParagraph"/>
              <w:ind w:left="2169" w:right="2162"/>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issue</w:t>
            </w:r>
          </w:p>
        </w:tc>
        <w:tc>
          <w:tcPr>
            <w:tcW w:w="1800" w:type="dxa"/>
          </w:tcPr>
          <w:p>
            <w:pPr>
              <w:pStyle w:val="TableParagraph"/>
              <w:ind w:left="112"/>
              <w:rPr>
                <w:sz w:val="22"/>
              </w:rPr>
            </w:pPr>
            <w:r>
              <w:rPr>
                <w:sz w:val="22"/>
              </w:rPr>
              <w:t>number</w:t>
            </w:r>
          </w:p>
        </w:tc>
        <w:tc>
          <w:tcPr>
            <w:tcW w:w="5429" w:type="dxa"/>
          </w:tcPr>
          <w:p>
            <w:pPr>
              <w:pStyle w:val="TableParagraph"/>
              <w:ind w:left="113"/>
              <w:rPr>
                <w:sz w:val="22"/>
              </w:rPr>
            </w:pPr>
            <w:r>
              <w:rPr>
                <w:sz w:val="22"/>
              </w:rPr>
              <w:t>The security's issue date.</w:t>
            </w:r>
          </w:p>
        </w:tc>
      </w:tr>
      <w:tr>
        <w:trPr>
          <w:trHeight w:val="354" w:hRule="atLeast"/>
        </w:trPr>
        <w:tc>
          <w:tcPr>
            <w:tcW w:w="1466" w:type="dxa"/>
          </w:tcPr>
          <w:p>
            <w:pPr>
              <w:pStyle w:val="TableParagraph"/>
              <w:spacing w:before="36"/>
              <w:rPr>
                <w:rFonts w:ascii="Times New Roman"/>
                <w:i/>
                <w:sz w:val="22"/>
              </w:rPr>
            </w:pPr>
            <w:r>
              <w:rPr>
                <w:rFonts w:ascii="Times New Roman"/>
                <w:i/>
                <w:sz w:val="22"/>
              </w:rPr>
              <w:t>first-interest</w:t>
            </w:r>
          </w:p>
        </w:tc>
        <w:tc>
          <w:tcPr>
            <w:tcW w:w="1800" w:type="dxa"/>
          </w:tcPr>
          <w:p>
            <w:pPr>
              <w:pStyle w:val="TableParagraph"/>
              <w:ind w:left="112"/>
              <w:rPr>
                <w:sz w:val="22"/>
              </w:rPr>
            </w:pPr>
            <w:r>
              <w:rPr>
                <w:sz w:val="22"/>
              </w:rPr>
              <w:t>number</w:t>
            </w:r>
          </w:p>
        </w:tc>
        <w:tc>
          <w:tcPr>
            <w:tcW w:w="5429" w:type="dxa"/>
          </w:tcPr>
          <w:p>
            <w:pPr>
              <w:pStyle w:val="TableParagraph"/>
              <w:ind w:left="113"/>
              <w:rPr>
                <w:sz w:val="22"/>
              </w:rPr>
            </w:pPr>
            <w:r>
              <w:rPr>
                <w:sz w:val="22"/>
              </w:rPr>
              <w:t>The security's first interest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429" w:type="dxa"/>
          </w:tcPr>
          <w:p>
            <w:pPr>
              <w:pStyle w:val="TableParagraph"/>
              <w:ind w:left="113"/>
              <w:rPr>
                <w:sz w:val="22"/>
              </w:rPr>
            </w:pPr>
            <w:r>
              <w:rPr>
                <w:sz w:val="22"/>
              </w:rPr>
              <w:t>The security's settlement date.</w:t>
            </w:r>
          </w:p>
        </w:tc>
      </w:tr>
    </w:tbl>
    <w:p>
      <w:pPr>
        <w:spacing w:after="0"/>
        <w:rPr>
          <w:sz w:val="22"/>
        </w:rPr>
        <w:sectPr>
          <w:type w:val="continuous"/>
          <w:pgSz w:w="12240" w:h="15840"/>
          <w:pgMar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117"/>
        <w:gridCol w:w="1819"/>
        <w:gridCol w:w="3372"/>
        <w:gridCol w:w="119"/>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27" w:type="dxa"/>
            <w:gridSpan w:val="4"/>
            <w:shd w:val="clear" w:color="auto" w:fill="C0C0C0"/>
          </w:tcPr>
          <w:p>
            <w:pPr>
              <w:pStyle w:val="TableParagraph"/>
              <w:ind w:left="2169" w:right="2160"/>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27" w:type="dxa"/>
            <w:gridSpan w:val="4"/>
          </w:tcPr>
          <w:p>
            <w:pPr>
              <w:pStyle w:val="TableParagraph"/>
              <w:ind w:left="113"/>
              <w:rPr>
                <w:sz w:val="22"/>
              </w:rPr>
            </w:pPr>
            <w:r>
              <w:rPr>
                <w:sz w:val="22"/>
              </w:rPr>
              <w:t>The security's annual coupon rate.</w:t>
            </w:r>
          </w:p>
        </w:tc>
      </w:tr>
      <w:tr>
        <w:trPr>
          <w:trHeight w:val="354" w:hRule="atLeast"/>
        </w:trPr>
        <w:tc>
          <w:tcPr>
            <w:tcW w:w="1466" w:type="dxa"/>
          </w:tcPr>
          <w:p>
            <w:pPr>
              <w:pStyle w:val="TableParagraph"/>
              <w:spacing w:before="37"/>
              <w:rPr>
                <w:rFonts w:ascii="Times New Roman"/>
                <w:i/>
                <w:sz w:val="22"/>
              </w:rPr>
            </w:pPr>
            <w:r>
              <w:rPr>
                <w:rFonts w:ascii="Times New Roman"/>
                <w:i/>
                <w:sz w:val="22"/>
              </w:rPr>
              <w:t>par</w:t>
            </w:r>
          </w:p>
        </w:tc>
        <w:tc>
          <w:tcPr>
            <w:tcW w:w="1800" w:type="dxa"/>
          </w:tcPr>
          <w:p>
            <w:pPr>
              <w:pStyle w:val="TableParagraph"/>
              <w:ind w:left="112"/>
              <w:rPr>
                <w:sz w:val="22"/>
              </w:rPr>
            </w:pPr>
            <w:r>
              <w:rPr>
                <w:sz w:val="22"/>
              </w:rPr>
              <w:t>number</w:t>
            </w:r>
          </w:p>
        </w:tc>
        <w:tc>
          <w:tcPr>
            <w:tcW w:w="5427" w:type="dxa"/>
            <w:gridSpan w:val="4"/>
          </w:tcPr>
          <w:p>
            <w:pPr>
              <w:pStyle w:val="TableParagraph"/>
              <w:ind w:left="113"/>
              <w:rPr>
                <w:sz w:val="22"/>
              </w:rPr>
            </w:pPr>
            <w:r>
              <w:rPr>
                <w:sz w:val="22"/>
              </w:rPr>
              <w:t>The security's par value. If omitted, 1,000 is used.</w:t>
            </w:r>
          </w:p>
        </w:tc>
      </w:tr>
      <w:tr>
        <w:trPr>
          <w:trHeight w:val="1158"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427" w:type="dxa"/>
            <w:gridSpan w:val="4"/>
          </w:tcPr>
          <w:p>
            <w:pPr>
              <w:pStyle w:val="TableParagraph"/>
              <w:ind w:left="113" w:right="452"/>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427" w:type="dxa"/>
            <w:gridSpan w:val="4"/>
          </w:tcPr>
          <w:p>
            <w:pPr>
              <w:pStyle w:val="TableParagraph"/>
              <w:ind w:left="113" w:right="330"/>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11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3372" w:type="dxa"/>
            <w:shd w:val="clear" w:color="auto" w:fill="C0C0C0"/>
          </w:tcPr>
          <w:p>
            <w:pPr>
              <w:pStyle w:val="TableParagraph"/>
              <w:ind w:left="957"/>
              <w:rPr>
                <w:b/>
                <w:sz w:val="22"/>
              </w:rPr>
            </w:pPr>
            <w:r>
              <w:rPr>
                <w:b/>
                <w:sz w:val="22"/>
              </w:rPr>
              <w:t>Day Count Basis</w:t>
            </w:r>
          </w:p>
        </w:tc>
        <w:tc>
          <w:tcPr>
            <w:tcW w:w="119" w:type="dxa"/>
            <w:tcBorders>
              <w:top w:val="nil"/>
              <w:bottom w:val="nil"/>
            </w:tcBorders>
          </w:tcPr>
          <w:p>
            <w:pPr>
              <w:pStyle w:val="TableParagraph"/>
              <w:spacing w:before="0"/>
              <w:ind w:left="0"/>
              <w:rPr>
                <w:rFonts w:ascii="Times New Roman"/>
                <w:sz w:val="22"/>
              </w:rPr>
            </w:pPr>
          </w:p>
        </w:tc>
      </w:tr>
      <w:tr>
        <w:trPr>
          <w:trHeight w:val="386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11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3372" w:type="dxa"/>
          </w:tcPr>
          <w:p>
            <w:pPr>
              <w:pStyle w:val="TableParagraph"/>
              <w:ind w:left="117" w:right="166"/>
              <w:rPr>
                <w:sz w:val="22"/>
              </w:rPr>
            </w:pPr>
            <w:r>
              <w:rPr>
                <w:sz w:val="22"/>
              </w:rPr>
              <w:t>US (NASD) 30/360. Assumes that each month has 30 days and the total number of days in the year is 360 by making the following adjustments:</w:t>
            </w:r>
          </w:p>
          <w:p>
            <w:pPr>
              <w:pStyle w:val="TableParagraph"/>
              <w:numPr>
                <w:ilvl w:val="0"/>
                <w:numId w:val="68"/>
              </w:numPr>
              <w:tabs>
                <w:tab w:pos="837" w:val="left" w:leader="none"/>
                <w:tab w:pos="838" w:val="left" w:leader="none"/>
              </w:tabs>
              <w:spacing w:line="240" w:lineRule="auto" w:before="2" w:after="0"/>
              <w:ind w:left="837" w:right="245" w:hanging="360"/>
              <w:jc w:val="left"/>
              <w:rPr>
                <w:sz w:val="22"/>
              </w:rPr>
            </w:pPr>
            <w:r>
              <w:rPr>
                <w:sz w:val="22"/>
              </w:rPr>
              <w:t>If the date is 28 or 29 February, it is adjusted</w:t>
            </w:r>
            <w:r>
              <w:rPr>
                <w:spacing w:val="-9"/>
                <w:sz w:val="22"/>
              </w:rPr>
              <w:t> </w:t>
            </w:r>
            <w:r>
              <w:rPr>
                <w:sz w:val="22"/>
              </w:rPr>
              <w:t>to 30</w:t>
            </w:r>
            <w:r>
              <w:rPr>
                <w:spacing w:val="-1"/>
                <w:sz w:val="22"/>
              </w:rPr>
              <w:t> </w:t>
            </w:r>
            <w:r>
              <w:rPr>
                <w:sz w:val="22"/>
              </w:rPr>
              <w:t>February.</w:t>
            </w:r>
          </w:p>
          <w:p>
            <w:pPr>
              <w:pStyle w:val="TableParagraph"/>
              <w:numPr>
                <w:ilvl w:val="0"/>
                <w:numId w:val="68"/>
              </w:numPr>
              <w:tabs>
                <w:tab w:pos="838" w:val="left" w:leader="none"/>
              </w:tabs>
              <w:spacing w:line="240" w:lineRule="auto" w:before="0" w:after="0"/>
              <w:ind w:left="837" w:right="264" w:hanging="360"/>
              <w:jc w:val="both"/>
              <w:rPr>
                <w:sz w:val="22"/>
              </w:rPr>
            </w:pPr>
            <w:r>
              <w:rPr>
                <w:sz w:val="22"/>
              </w:rPr>
              <w:t>For months with 31 </w:t>
            </w:r>
            <w:r>
              <w:rPr>
                <w:spacing w:val="-4"/>
                <w:sz w:val="22"/>
              </w:rPr>
              <w:t>days, </w:t>
            </w:r>
            <w:r>
              <w:rPr>
                <w:sz w:val="22"/>
              </w:rPr>
              <w:t>all dates with a day value of 31 are changed</w:t>
            </w:r>
            <w:r>
              <w:rPr>
                <w:spacing w:val="-2"/>
                <w:sz w:val="22"/>
              </w:rPr>
              <w:t> </w:t>
            </w:r>
            <w:r>
              <w:rPr>
                <w:sz w:val="22"/>
              </w:rPr>
              <w:t>to</w:t>
            </w:r>
          </w:p>
          <w:p>
            <w:pPr>
              <w:pStyle w:val="TableParagraph"/>
              <w:spacing w:before="0"/>
              <w:ind w:left="837" w:right="221"/>
              <w:rPr>
                <w:sz w:val="22"/>
              </w:rPr>
            </w:pPr>
            <w:r>
              <w:rPr>
                <w:sz w:val="22"/>
              </w:rPr>
              <w:t>day 30, including situations where the first date is 28 or 29 February.</w:t>
            </w:r>
          </w:p>
        </w:tc>
        <w:tc>
          <w:tcPr>
            <w:tcW w:w="119" w:type="dxa"/>
            <w:tcBorders>
              <w:top w:val="nil"/>
              <w:bottom w:val="nil"/>
            </w:tcBorders>
          </w:tcPr>
          <w:p>
            <w:pPr>
              <w:pStyle w:val="TableParagraph"/>
              <w:spacing w:before="0"/>
              <w:ind w:left="0"/>
              <w:rPr>
                <w:rFonts w:ascii="Times New Roman"/>
                <w:sz w:val="22"/>
              </w:rPr>
            </w:pPr>
          </w:p>
        </w:tc>
      </w:tr>
      <w:tr>
        <w:trPr>
          <w:trHeight w:val="142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11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3372" w:type="dxa"/>
          </w:tcPr>
          <w:p>
            <w:pPr>
              <w:pStyle w:val="TableParagraph"/>
              <w:ind w:left="117" w:right="109"/>
              <w:rPr>
                <w:sz w:val="22"/>
              </w:rPr>
            </w:pPr>
            <w:r>
              <w:rPr>
                <w:sz w:val="22"/>
              </w:rPr>
              <w:t>Actual/actual. The actual number of days between the two dates are counted. If the date range includes the date 29 February, the year is 366 days; otherwise it is 365 days.</w:t>
            </w:r>
          </w:p>
        </w:tc>
        <w:tc>
          <w:tcPr>
            <w:tcW w:w="119" w:type="dxa"/>
            <w:tcBorders>
              <w:top w:val="nil"/>
              <w:bottom w:val="nil"/>
            </w:tcBorders>
          </w:tcPr>
          <w:p>
            <w:pPr>
              <w:pStyle w:val="TableParagraph"/>
              <w:spacing w:before="0"/>
              <w:ind w:left="0"/>
              <w:rPr>
                <w:rFonts w:ascii="Times New Roman"/>
                <w:sz w:val="22"/>
              </w:rPr>
            </w:pPr>
          </w:p>
        </w:tc>
      </w:tr>
      <w:tr>
        <w:trPr>
          <w:trHeight w:val="6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11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3372" w:type="dxa"/>
          </w:tcPr>
          <w:p>
            <w:pPr>
              <w:pStyle w:val="TableParagraph"/>
              <w:ind w:left="117" w:right="216"/>
              <w:rPr>
                <w:sz w:val="22"/>
              </w:rPr>
            </w:pPr>
            <w:r>
              <w:rPr>
                <w:sz w:val="22"/>
              </w:rPr>
              <w:t>Actual/360. Similar to Basis 1, but only has 360 days per year.</w:t>
            </w:r>
          </w:p>
        </w:tc>
        <w:tc>
          <w:tcPr>
            <w:tcW w:w="119"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11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3372" w:type="dxa"/>
          </w:tcPr>
          <w:p>
            <w:pPr>
              <w:pStyle w:val="TableParagraph"/>
              <w:ind w:left="117" w:right="216"/>
              <w:rPr>
                <w:sz w:val="22"/>
              </w:rPr>
            </w:pPr>
            <w:r>
              <w:rPr>
                <w:sz w:val="22"/>
              </w:rPr>
              <w:t>Actual/365. Similar to Basis 1, but always has 365 days per year.</w:t>
            </w:r>
          </w:p>
        </w:tc>
        <w:tc>
          <w:tcPr>
            <w:tcW w:w="119" w:type="dxa"/>
            <w:tcBorders>
              <w:top w:val="nil"/>
              <w:bottom w:val="nil"/>
            </w:tcBorders>
          </w:tcPr>
          <w:p>
            <w:pPr>
              <w:pStyle w:val="TableParagraph"/>
              <w:spacing w:before="0"/>
              <w:ind w:left="0"/>
              <w:rPr>
                <w:rFonts w:ascii="Times New Roman"/>
                <w:sz w:val="22"/>
              </w:rPr>
            </w:pPr>
          </w:p>
        </w:tc>
      </w:tr>
      <w:tr>
        <w:trPr>
          <w:trHeight w:val="279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11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3372" w:type="dxa"/>
          </w:tcPr>
          <w:p>
            <w:pPr>
              <w:pStyle w:val="TableParagraph"/>
              <w:ind w:left="117" w:right="167"/>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69"/>
              </w:numPr>
              <w:tabs>
                <w:tab w:pos="1197" w:val="left" w:leader="none"/>
                <w:tab w:pos="1198" w:val="left" w:leader="none"/>
              </w:tabs>
              <w:spacing w:line="240" w:lineRule="auto" w:before="2" w:after="0"/>
              <w:ind w:left="1197" w:right="122" w:hanging="360"/>
              <w:jc w:val="left"/>
              <w:rPr>
                <w:sz w:val="22"/>
              </w:rPr>
            </w:pPr>
            <w:r>
              <w:rPr>
                <w:sz w:val="22"/>
              </w:rPr>
              <w:t>If the date is 28 or 29 February, it is adjusted to 30</w:t>
            </w:r>
            <w:r>
              <w:rPr>
                <w:spacing w:val="-4"/>
                <w:sz w:val="22"/>
              </w:rPr>
              <w:t> </w:t>
            </w:r>
            <w:r>
              <w:rPr>
                <w:sz w:val="22"/>
              </w:rPr>
              <w:t>February.</w:t>
            </w:r>
          </w:p>
          <w:p>
            <w:pPr>
              <w:pStyle w:val="TableParagraph"/>
              <w:numPr>
                <w:ilvl w:val="0"/>
                <w:numId w:val="69"/>
              </w:numPr>
              <w:tabs>
                <w:tab w:pos="1197" w:val="left" w:leader="none"/>
                <w:tab w:pos="1198" w:val="left" w:leader="none"/>
              </w:tabs>
              <w:spacing w:line="279" w:lineRule="exact" w:before="0" w:after="0"/>
              <w:ind w:left="1197" w:right="0" w:hanging="361"/>
              <w:jc w:val="left"/>
              <w:rPr>
                <w:sz w:val="22"/>
              </w:rPr>
            </w:pPr>
            <w:r>
              <w:rPr>
                <w:sz w:val="22"/>
              </w:rPr>
              <w:t>For months</w:t>
            </w:r>
            <w:r>
              <w:rPr>
                <w:spacing w:val="-5"/>
                <w:sz w:val="22"/>
              </w:rPr>
              <w:t> </w:t>
            </w:r>
            <w:r>
              <w:rPr>
                <w:sz w:val="22"/>
              </w:rPr>
              <w:t>with</w:t>
            </w:r>
          </w:p>
        </w:tc>
        <w:tc>
          <w:tcPr>
            <w:tcW w:w="119"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117"/>
        <w:gridCol w:w="1819"/>
        <w:gridCol w:w="3372"/>
        <w:gridCol w:w="119"/>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27" w:type="dxa"/>
            <w:gridSpan w:val="4"/>
            <w:shd w:val="clear" w:color="auto" w:fill="C0C0C0"/>
          </w:tcPr>
          <w:p>
            <w:pPr>
              <w:pStyle w:val="TableParagraph"/>
              <w:ind w:left="2169" w:right="2160"/>
              <w:jc w:val="center"/>
              <w:rPr>
                <w:b/>
                <w:sz w:val="22"/>
              </w:rPr>
            </w:pPr>
            <w:r>
              <w:rPr>
                <w:b/>
                <w:sz w:val="22"/>
              </w:rPr>
              <w:t>Description</w:t>
            </w:r>
          </w:p>
        </w:tc>
      </w:tr>
      <w:tr>
        <w:trPr>
          <w:trHeight w:val="180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11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3372" w:type="dxa"/>
          </w:tcPr>
          <w:p>
            <w:pPr>
              <w:pStyle w:val="TableParagraph"/>
              <w:spacing w:before="92"/>
              <w:ind w:left="1197" w:right="168"/>
              <w:rPr>
                <w:sz w:val="22"/>
              </w:rPr>
            </w:pPr>
            <w:r>
              <w:rPr>
                <w:sz w:val="22"/>
              </w:rPr>
              <w:t>31 days, all dates with a day value of 31 are changed to day 30, including situations where the first date</w:t>
            </w:r>
          </w:p>
          <w:p>
            <w:pPr>
              <w:pStyle w:val="TableParagraph"/>
              <w:spacing w:line="267" w:lineRule="exact" w:before="0"/>
              <w:ind w:left="1197"/>
              <w:rPr>
                <w:sz w:val="22"/>
              </w:rPr>
            </w:pPr>
            <w:r>
              <w:rPr>
                <w:sz w:val="22"/>
              </w:rPr>
              <w:t>is 28 or 29 February.</w:t>
            </w:r>
          </w:p>
        </w:tc>
        <w:tc>
          <w:tcPr>
            <w:tcW w:w="119"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456" w:lineRule="auto" w:before="1"/>
        <w:ind w:left="220" w:right="1824"/>
      </w:pPr>
      <w:r>
        <w:rPr>
          <w:b/>
        </w:rPr>
        <w:t>Return Type and Value</w:t>
      </w:r>
      <w:r>
        <w:rPr/>
        <w:t>: number – The accrued interest for a security that pays periodic interest.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issue</w:t>
      </w:r>
      <w:r>
        <w:rPr>
          <w:sz w:val="22"/>
        </w:rPr>
        <w:t>, </w:t>
      </w:r>
      <w:r>
        <w:rPr>
          <w:rFonts w:ascii="Times New Roman" w:hAnsi="Times New Roman"/>
          <w:i/>
          <w:sz w:val="22"/>
        </w:rPr>
        <w:t>first-interest</w:t>
      </w:r>
      <w:r>
        <w:rPr>
          <w:sz w:val="22"/>
        </w:rPr>
        <w:t>, or </w:t>
      </w:r>
      <w:r>
        <w:rPr>
          <w:rFonts w:ascii="Times New Roman" w:hAnsi="Times New Roman"/>
          <w:i/>
          <w:sz w:val="22"/>
        </w:rPr>
        <w:t>settlement </w:t>
      </w:r>
      <w:r>
        <w:rPr>
          <w:sz w:val="22"/>
        </w:rPr>
        <w:t>is out of range for the current date system,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issue </w:t>
      </w:r>
      <w:r>
        <w:rPr>
          <w:sz w:val="22"/>
        </w:rPr>
        <w:t>≥ </w:t>
      </w:r>
      <w:r>
        <w:rPr>
          <w:rFonts w:ascii="Times New Roman" w:hAnsi="Times New Roman"/>
          <w:i/>
          <w:sz w:val="22"/>
        </w:rPr>
        <w:t>settlement</w:t>
      </w:r>
      <w:r>
        <w:rPr>
          <w:sz w:val="22"/>
        </w:rPr>
        <w:t>,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rate </w:t>
      </w:r>
      <w:r>
        <w:rPr>
          <w:sz w:val="22"/>
        </w:rPr>
        <w:t>or </w:t>
      </w:r>
      <w:r>
        <w:rPr>
          <w:rFonts w:ascii="Times New Roman" w:hAnsi="Times New Roman"/>
          <w:i/>
          <w:sz w:val="22"/>
        </w:rPr>
        <w:t>par </w:t>
      </w:r>
      <w:r>
        <w:rPr>
          <w:sz w:val="22"/>
        </w:rPr>
        <w:t>≤ 0, </w:t>
      </w:r>
      <w:r>
        <w:rPr>
          <w:rFonts w:ascii="Consolas" w:hAnsi="Consolas"/>
          <w:sz w:val="22"/>
        </w:rPr>
        <w:t>#NUM!</w:t>
      </w:r>
      <w:r>
        <w:rPr>
          <w:rFonts w:ascii="Consolas" w:hAnsi="Consolas"/>
          <w:spacing w:val="-78"/>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148"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6"/>
        <w:ind w:left="220"/>
        <w:rPr>
          <w:rFonts w:ascii="Consolas"/>
        </w:rPr>
      </w:pPr>
      <w:r>
        <w:rPr>
          <w:rFonts w:ascii="Consolas"/>
        </w:rPr>
        <w:t>ACCRINT(DATE(2006,3,1),DATE(2006,9,1),DATE(2006,5,1),0.1,1100,2,0)</w:t>
      </w:r>
      <w:r>
        <w:rPr>
          <w:rFonts w:ascii="Consolas"/>
          <w:spacing w:val="-100"/>
        </w:rPr>
        <w:t> </w:t>
      </w:r>
      <w:r>
        <w:rPr/>
        <w:t>results in </w:t>
      </w:r>
      <w:r>
        <w:rPr>
          <w:rFonts w:ascii="Consolas"/>
        </w:rPr>
        <w:t>18.33 ACCRINT(DATE(2006,3,1),DATE(2006,9,1),DATE(2006,5,1),0.1,,2,0)</w:t>
      </w:r>
      <w:r>
        <w:rPr>
          <w:rFonts w:ascii="Consolas"/>
          <w:spacing w:val="-73"/>
        </w:rPr>
        <w:t> </w:t>
      </w:r>
      <w:r>
        <w:rPr/>
        <w:t>results in </w:t>
      </w:r>
      <w:r>
        <w:rPr>
          <w:rFonts w:ascii="Consolas"/>
        </w:rPr>
        <w:t>16.67</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 ACCRINTM" w:id="1400"/>
      <w:bookmarkEnd w:id="1400"/>
      <w:r>
        <w:rPr/>
      </w:r>
      <w:bookmarkStart w:name="_bookmark465" w:id="1401"/>
      <w:bookmarkEnd w:id="1401"/>
      <w:r>
        <w:rPr/>
      </w:r>
      <w:bookmarkStart w:name="_bookmark465" w:id="1402"/>
      <w:bookmarkEnd w:id="1402"/>
      <w:r>
        <w:rPr>
          <w:color w:val="4F81BC"/>
        </w:rPr>
        <w:t>A</w:t>
      </w:r>
      <w:r>
        <w:rPr>
          <w:color w:val="4F81BC"/>
        </w:rPr>
        <w:t>CCRINTM</w:t>
      </w:r>
    </w:p>
    <w:p>
      <w:pPr>
        <w:pStyle w:val="Heading4"/>
        <w:spacing w:before="121"/>
        <w:rPr>
          <w:b w:val="0"/>
        </w:rPr>
      </w:pPr>
      <w:r>
        <w:rPr/>
        <w:t>Syntax</w:t>
      </w:r>
      <w:r>
        <w:rPr>
          <w:b w:val="0"/>
        </w:rPr>
        <w:t>:</w:t>
      </w:r>
    </w:p>
    <w:p>
      <w:pPr>
        <w:pStyle w:val="BodyText"/>
        <w:spacing w:before="1"/>
        <w:rPr>
          <w:sz w:val="19"/>
        </w:rPr>
      </w:pPr>
    </w:p>
    <w:p>
      <w:pPr>
        <w:spacing w:before="0"/>
        <w:ind w:left="165" w:right="2476" w:firstLine="0"/>
        <w:jc w:val="center"/>
        <w:rPr>
          <w:rFonts w:ascii="Lucida Console"/>
          <w:sz w:val="20"/>
        </w:rPr>
      </w:pPr>
      <w:r>
        <w:rPr>
          <w:rFonts w:ascii="Lucida Console"/>
          <w:sz w:val="20"/>
        </w:rPr>
        <w:t>ACCRINTM ( </w:t>
      </w:r>
      <w:r>
        <w:rPr>
          <w:i/>
          <w:sz w:val="22"/>
        </w:rPr>
        <w:t>issue </w:t>
      </w:r>
      <w:r>
        <w:rPr>
          <w:rFonts w:ascii="Lucida Console"/>
          <w:sz w:val="20"/>
        </w:rPr>
        <w:t>, </w:t>
      </w:r>
      <w:r>
        <w:rPr>
          <w:i/>
          <w:sz w:val="22"/>
        </w:rPr>
        <w:t>settlement </w:t>
      </w:r>
      <w:r>
        <w:rPr>
          <w:rFonts w:ascii="Lucida Console"/>
          <w:sz w:val="20"/>
        </w:rPr>
        <w:t>, </w:t>
      </w:r>
      <w:r>
        <w:rPr>
          <w:i/>
          <w:sz w:val="22"/>
        </w:rPr>
        <w:t>rate </w:t>
      </w:r>
      <w:r>
        <w:rPr>
          <w:rFonts w:ascii="Lucida Console"/>
          <w:sz w:val="20"/>
        </w:rPr>
        <w:t>, </w:t>
      </w:r>
      <w:r>
        <w:rPr>
          <w:sz w:val="22"/>
        </w:rPr>
        <w:t>[ [ </w:t>
      </w:r>
      <w:r>
        <w:rPr>
          <w:i/>
          <w:sz w:val="22"/>
        </w:rPr>
        <w:t>par </w:t>
      </w:r>
      <w:r>
        <w:rPr>
          <w:sz w:val="22"/>
        </w:rPr>
        <w:t>] [  </w:t>
      </w:r>
      <w:r>
        <w:rPr>
          <w:rFonts w:ascii="Lucida Console"/>
          <w:sz w:val="20"/>
        </w:rPr>
        <w:t>,</w:t>
      </w:r>
      <w:r>
        <w:rPr>
          <w:rFonts w:ascii="Lucida Console"/>
          <w:spacing w:val="-71"/>
          <w:sz w:val="20"/>
        </w:rPr>
        <w:t> </w:t>
      </w:r>
      <w:r>
        <w:rPr>
          <w:sz w:val="22"/>
        </w:rPr>
        <w:t>[ </w:t>
      </w:r>
      <w:r>
        <w:rPr>
          <w:i/>
          <w:sz w:val="22"/>
        </w:rPr>
        <w:t>basis </w:t>
      </w:r>
      <w:r>
        <w:rPr>
          <w:sz w:val="22"/>
        </w:rPr>
        <w:t>] ] ] </w:t>
      </w:r>
      <w:r>
        <w:rPr>
          <w:rFonts w:ascii="Lucida Console"/>
          <w:sz w:val="20"/>
        </w:rPr>
        <w:t>)</w:t>
      </w:r>
    </w:p>
    <w:p>
      <w:pPr>
        <w:pStyle w:val="BodyText"/>
        <w:spacing w:before="109"/>
        <w:ind w:left="165" w:right="2541"/>
        <w:jc w:val="center"/>
      </w:pPr>
      <w:r>
        <w:rPr>
          <w:b/>
        </w:rPr>
        <w:t>Description</w:t>
      </w:r>
      <w:r>
        <w:rPr/>
        <w:t>: Computes the accrued interest for a security that pays interest at maturity.</w:t>
      </w:r>
    </w:p>
    <w:p>
      <w:pPr>
        <w:pStyle w:val="BodyText"/>
        <w:spacing w:before="10"/>
        <w:rPr>
          <w:sz w:val="19"/>
        </w:rPr>
      </w:pPr>
    </w:p>
    <w:p>
      <w:pPr>
        <w:pStyle w:val="Heading4"/>
        <w:rPr>
          <w:b w:val="0"/>
        </w:rPr>
      </w:pPr>
      <w:r>
        <w:rPr/>
        <w:t>Mathematical Formula</w:t>
      </w:r>
      <w:r>
        <w:rPr>
          <w:b w:val="0"/>
        </w:rPr>
        <w:t>:</w:t>
      </w:r>
    </w:p>
    <w:p>
      <w:pPr>
        <w:pStyle w:val="BodyText"/>
        <w:rPr>
          <w:sz w:val="12"/>
        </w:rPr>
      </w:pPr>
    </w:p>
    <w:p>
      <w:pPr>
        <w:pStyle w:val="BodyText"/>
        <w:spacing w:line="213" w:lineRule="exact" w:before="63"/>
        <w:ind w:left="3062"/>
        <w:rPr>
          <w:rFonts w:ascii="Cambria Math" w:eastAsia="Cambria Math"/>
        </w:rPr>
      </w:pPr>
      <w:r>
        <w:rPr>
          <w:rFonts w:ascii="Cambria Math" w:eastAsia="Cambria Math"/>
        </w:rPr>
        <w:t>𝐴</w:t>
      </w:r>
    </w:p>
    <w:p>
      <w:pPr>
        <w:pStyle w:val="BodyText"/>
        <w:spacing w:line="159" w:lineRule="exact"/>
        <w:ind w:left="220"/>
        <w:rPr>
          <w:rFonts w:ascii="Cambria Math" w:hAnsi="Cambria Math" w:eastAsia="Cambria Math"/>
        </w:rPr>
      </w:pPr>
      <w:r>
        <w:rPr/>
        <w:pict>
          <v:line style="position:absolute;mso-position-horizontal-relative:page;mso-position-vertical-relative:paragraph;z-index:251735040" from="195.740005pt,5.069167pt" to="203.684005pt,5.069167pt" stroked="true" strokeweight=".71997pt" strokecolor="#000000">
            <v:stroke dashstyle="solid"/>
            <w10:wrap type="none"/>
          </v:line>
        </w:pict>
      </w:r>
      <w:r>
        <w:rPr>
          <w:rFonts w:ascii="Cambria Math" w:hAnsi="Cambria Math" w:eastAsia="Cambria Math"/>
        </w:rPr>
        <w:t>𝐴𝐶𝐶𝑅𝐼𝑁𝑇𝑀 = 𝑝𝑎𝑟 × 𝑟𝑎𝑡𝑒 ×</w:t>
      </w:r>
    </w:p>
    <w:p>
      <w:pPr>
        <w:pStyle w:val="BodyText"/>
        <w:spacing w:line="203" w:lineRule="exact"/>
        <w:ind w:left="3054"/>
        <w:rPr>
          <w:rFonts w:ascii="Cambria Math" w:eastAsia="Cambria Math"/>
        </w:rPr>
      </w:pPr>
      <w:r>
        <w:rPr>
          <w:rFonts w:ascii="Cambria Math" w:eastAsia="Cambria Math"/>
        </w:rPr>
        <w:t>𝐷</w:t>
      </w:r>
    </w:p>
    <w:p>
      <w:pPr>
        <w:pStyle w:val="BodyText"/>
        <w:spacing w:before="3"/>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73" w:lineRule="auto" w:before="1" w:after="0"/>
        <w:ind w:left="940" w:right="677" w:hanging="360"/>
        <w:jc w:val="left"/>
        <w:rPr>
          <w:sz w:val="22"/>
        </w:rPr>
      </w:pPr>
      <w:r>
        <w:rPr>
          <w:rFonts w:ascii="Times New Roman" w:hAnsi="Times New Roman"/>
          <w:i/>
          <w:sz w:val="22"/>
        </w:rPr>
        <w:t>A </w:t>
      </w:r>
      <w:r>
        <w:rPr>
          <w:sz w:val="22"/>
        </w:rPr>
        <w:t>= Number of accrued days counted according to a monthly basis. For interest at maturity items,</w:t>
      </w:r>
      <w:r>
        <w:rPr>
          <w:spacing w:val="-32"/>
          <w:sz w:val="22"/>
        </w:rPr>
        <w:t> </w:t>
      </w:r>
      <w:r>
        <w:rPr>
          <w:sz w:val="22"/>
        </w:rPr>
        <w:t>the number of days from the issue date to the maturity date is</w:t>
      </w:r>
      <w:r>
        <w:rPr>
          <w:spacing w:val="-13"/>
          <w:sz w:val="22"/>
        </w:rPr>
        <w:t> </w:t>
      </w:r>
      <w:r>
        <w:rPr>
          <w:sz w:val="22"/>
        </w:rPr>
        <w:t>used.</w:t>
      </w:r>
    </w:p>
    <w:p>
      <w:pPr>
        <w:pStyle w:val="BodyText"/>
        <w:spacing w:before="8"/>
        <w:rPr>
          <w:sz w:val="25"/>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D </w:t>
      </w:r>
      <w:r>
        <w:rPr>
          <w:sz w:val="22"/>
        </w:rPr>
        <w:t>= Annual Year</w:t>
      </w:r>
      <w:r>
        <w:rPr>
          <w:spacing w:val="-9"/>
          <w:sz w:val="22"/>
        </w:rPr>
        <w:t> </w:t>
      </w:r>
      <w:r>
        <w:rPr>
          <w:sz w:val="22"/>
        </w:rPr>
        <w:t>Basis.</w:t>
      </w:r>
    </w:p>
    <w:p>
      <w:pPr>
        <w:spacing w:after="0" w:line="240" w:lineRule="auto"/>
        <w:jc w:val="left"/>
        <w:rPr>
          <w:sz w:val="22"/>
        </w:rPr>
        <w:sectPr>
          <w:pgSz w:w="12240" w:h="15840"/>
          <w:pgMar w:header="763" w:footer="746" w:top="1340" w:bottom="940" w:left="860" w:right="700"/>
        </w:sectPr>
      </w:pPr>
    </w:p>
    <w:p>
      <w:pPr>
        <w:pStyle w:val="ListParagraph"/>
        <w:numPr>
          <w:ilvl w:val="4"/>
          <w:numId w:val="66"/>
        </w:numPr>
        <w:tabs>
          <w:tab w:pos="940" w:val="left" w:leader="none"/>
          <w:tab w:pos="941" w:val="left" w:leader="none"/>
        </w:tabs>
        <w:spacing w:line="240" w:lineRule="auto" w:before="91" w:after="0"/>
        <w:ind w:left="940" w:right="0" w:hanging="361"/>
        <w:jc w:val="left"/>
        <w:rPr>
          <w:rFonts w:ascii="Times New Roman" w:hAnsi="Times New Roman"/>
          <w:i/>
          <w:sz w:val="22"/>
        </w:rPr>
      </w:pPr>
      <w:r>
        <w:rPr>
          <w:rFonts w:ascii="Times New Roman" w:hAnsi="Times New Roman"/>
          <w:i/>
          <w:sz w:val="22"/>
        </w:rPr>
        <w:t>par </w:t>
      </w:r>
      <w:r>
        <w:rPr>
          <w:sz w:val="22"/>
        </w:rPr>
        <w:t>= argument</w:t>
      </w:r>
      <w:r>
        <w:rPr>
          <w:spacing w:val="-2"/>
          <w:sz w:val="22"/>
        </w:rPr>
        <w:t> </w:t>
      </w:r>
      <w:r>
        <w:rPr>
          <w:rFonts w:ascii="Times New Roman" w:hAnsi="Times New Roman"/>
          <w:i/>
          <w:sz w:val="22"/>
        </w:rPr>
        <w:t>par</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4"/>
          <w:sz w:val="22"/>
        </w:rPr>
        <w:t> </w:t>
      </w:r>
      <w:r>
        <w:rPr>
          <w:rFonts w:ascii="Times New Roman" w:hAnsi="Times New Roman"/>
          <w:i/>
          <w:sz w:val="22"/>
        </w:rPr>
        <w:t>rate</w:t>
      </w:r>
    </w:p>
    <w:p>
      <w:pPr>
        <w:pStyle w:val="Heading4"/>
        <w:spacing w:before="240"/>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399" w:type="dxa"/>
            <w:gridSpan w:val="4"/>
            <w:shd w:val="clear" w:color="auto" w:fill="C0C0C0"/>
          </w:tcPr>
          <w:p>
            <w:pPr>
              <w:pStyle w:val="TableParagraph"/>
              <w:spacing w:before="42"/>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issue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issue date.</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annual coupon rate.</w:t>
            </w:r>
          </w:p>
        </w:tc>
      </w:tr>
      <w:tr>
        <w:trPr>
          <w:trHeight w:val="354" w:hRule="atLeast"/>
        </w:trPr>
        <w:tc>
          <w:tcPr>
            <w:tcW w:w="1466" w:type="dxa"/>
          </w:tcPr>
          <w:p>
            <w:pPr>
              <w:pStyle w:val="TableParagraph"/>
              <w:spacing w:before="37"/>
              <w:rPr>
                <w:rFonts w:ascii="Times New Roman"/>
                <w:i/>
                <w:sz w:val="22"/>
              </w:rPr>
            </w:pPr>
            <w:r>
              <w:rPr>
                <w:rFonts w:ascii="Times New Roman"/>
                <w:i/>
                <w:sz w:val="22"/>
              </w:rPr>
              <w:t>par</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par value. If omitted, 1,000 is used.</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70"/>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70"/>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Pr>
                <w:sz w:val="22"/>
              </w:rPr>
            </w:pPr>
            <w:r>
              <w:rPr>
                <w:sz w:val="22"/>
              </w:rPr>
              <w:t>Actual/actual. The</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2286"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09"/>
              <w:rPr>
                <w:sz w:val="22"/>
              </w:rPr>
            </w:pPr>
            <w:r>
              <w:rPr>
                <w:sz w:val="22"/>
              </w:rPr>
              <w:t>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val="restart"/>
          </w:tcPr>
          <w:p>
            <w:pPr>
              <w:pStyle w:val="TableParagraph"/>
              <w:spacing w:before="0"/>
              <w:ind w:left="0"/>
              <w:rPr>
                <w:rFonts w:ascii="Times New Roman"/>
                <w:sz w:val="2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3"/>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4"/>
              <w:ind w:left="116"/>
              <w:rPr>
                <w:rFonts w:ascii="Consolas"/>
                <w:sz w:val="22"/>
              </w:rPr>
            </w:pPr>
            <w:r>
              <w:rPr>
                <w:rFonts w:ascii="Consolas"/>
                <w:w w:val="100"/>
                <w:sz w:val="22"/>
              </w:rPr>
              <w:t>4</w:t>
            </w:r>
          </w:p>
        </w:tc>
        <w:tc>
          <w:tcPr>
            <w:tcW w:w="2340" w:type="dxa"/>
          </w:tcPr>
          <w:p>
            <w:pPr>
              <w:pStyle w:val="TableParagraph"/>
              <w:spacing w:before="42"/>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71"/>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71"/>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line="267" w:lineRule="exact"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rPr>
          <w:rFonts w:ascii="Times New Roman"/>
          <w:sz w:val="20"/>
        </w:rPr>
      </w:pPr>
    </w:p>
    <w:p>
      <w:pPr>
        <w:pStyle w:val="BodyText"/>
        <w:spacing w:before="5"/>
        <w:rPr>
          <w:rFonts w:ascii="Times New Roman"/>
          <w:sz w:val="27"/>
        </w:rPr>
      </w:pPr>
    </w:p>
    <w:p>
      <w:pPr>
        <w:pStyle w:val="BodyText"/>
        <w:spacing w:before="56"/>
        <w:ind w:left="220"/>
      </w:pPr>
      <w:r>
        <w:rPr/>
        <w:t>Time information in the date arguments is ignored.</w:t>
      </w:r>
    </w:p>
    <w:p>
      <w:pPr>
        <w:pStyle w:val="BodyText"/>
        <w:spacing w:before="8"/>
        <w:rPr>
          <w:sz w:val="19"/>
        </w:rPr>
      </w:pPr>
    </w:p>
    <w:p>
      <w:pPr>
        <w:pStyle w:val="BodyText"/>
        <w:spacing w:line="453" w:lineRule="auto" w:before="1"/>
        <w:ind w:left="220" w:right="1552"/>
      </w:pPr>
      <w:r>
        <w:rPr>
          <w:b/>
        </w:rPr>
        <w:t>Return Type and Value</w:t>
      </w:r>
      <w:r>
        <w:rPr/>
        <w:t>: number – The accrued interest for a security that pays interest at maturity.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issue </w:t>
      </w:r>
      <w:r>
        <w:rPr>
          <w:sz w:val="22"/>
        </w:rPr>
        <w:t>or </w:t>
      </w:r>
      <w:r>
        <w:rPr>
          <w:rFonts w:ascii="Times New Roman" w:hAnsi="Times New Roman"/>
          <w:i/>
          <w:sz w:val="22"/>
        </w:rPr>
        <w:t>settlement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issue </w:t>
      </w:r>
      <w:r>
        <w:rPr>
          <w:sz w:val="22"/>
        </w:rPr>
        <w:t>≥ </w:t>
      </w:r>
      <w:r>
        <w:rPr>
          <w:rFonts w:ascii="Times New Roman" w:hAnsi="Times New Roman"/>
          <w:i/>
          <w:sz w:val="22"/>
        </w:rPr>
        <w:t>settlement</w:t>
      </w:r>
      <w:r>
        <w:rPr>
          <w:sz w:val="22"/>
        </w:rPr>
        <w:t>,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rate </w:t>
      </w:r>
      <w:r>
        <w:rPr>
          <w:sz w:val="22"/>
        </w:rPr>
        <w:t>or </w:t>
      </w:r>
      <w:r>
        <w:rPr>
          <w:rFonts w:ascii="Times New Roman" w:hAnsi="Times New Roman"/>
          <w:i/>
          <w:sz w:val="22"/>
        </w:rPr>
        <w:t>par </w:t>
      </w:r>
      <w:r>
        <w:rPr>
          <w:sz w:val="22"/>
        </w:rPr>
        <w:t>≤ 0, </w:t>
      </w:r>
      <w:r>
        <w:rPr>
          <w:rFonts w:ascii="Consolas" w:hAnsi="Consolas"/>
          <w:sz w:val="22"/>
        </w:rPr>
        <w:t>#NUM!</w:t>
      </w:r>
      <w:r>
        <w:rPr>
          <w:rFonts w:ascii="Consolas" w:hAnsi="Consolas"/>
          <w:spacing w:val="-78"/>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6148"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6"/>
        <w:ind w:left="220"/>
        <w:rPr>
          <w:rFonts w:ascii="Consolas"/>
        </w:rPr>
      </w:pPr>
      <w:r>
        <w:rPr>
          <w:rFonts w:ascii="Consolas"/>
        </w:rPr>
        <w:t>ACCRINTM(DATE(2006,3,1),DATE(2006,5,1),0.1,1100,0)</w:t>
      </w:r>
      <w:r>
        <w:rPr>
          <w:rFonts w:ascii="Consolas"/>
          <w:spacing w:val="-99"/>
        </w:rPr>
        <w:t> </w:t>
      </w:r>
      <w:r>
        <w:rPr/>
        <w:t>results in </w:t>
      </w:r>
      <w:r>
        <w:rPr>
          <w:rFonts w:ascii="Consolas"/>
        </w:rPr>
        <w:t>18.33333333 ACCRINTM(DATE(2006,3,1),DATE(2006,5,1),0.1,,0) </w:t>
      </w:r>
      <w:r>
        <w:rPr/>
        <w:t>results in </w:t>
      </w:r>
      <w:r>
        <w:rPr>
          <w:rFonts w:ascii="Consolas"/>
        </w:rPr>
        <w:t>16.66666667 ACCRINTM(DATE(2006,3,1),DATE(2006,5,1),0.1,)</w:t>
      </w:r>
      <w:r>
        <w:rPr>
          <w:rFonts w:ascii="Consolas"/>
          <w:spacing w:val="-79"/>
        </w:rPr>
        <w:t> </w:t>
      </w:r>
      <w:r>
        <w:rPr/>
        <w:t>results in </w:t>
      </w:r>
      <w:r>
        <w:rPr>
          <w:rFonts w:ascii="Consolas"/>
        </w:rPr>
        <w:t>16.66666667</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 ACOS" w:id="1403"/>
      <w:bookmarkEnd w:id="1403"/>
      <w:r>
        <w:rPr/>
      </w:r>
      <w:bookmarkStart w:name="_bookmark466" w:id="1404"/>
      <w:bookmarkEnd w:id="1404"/>
      <w:r>
        <w:rPr/>
      </w:r>
      <w:bookmarkStart w:name="_bookmark466" w:id="1405"/>
      <w:bookmarkEnd w:id="1405"/>
      <w:r>
        <w:rPr>
          <w:color w:val="4F81BC"/>
        </w:rPr>
        <w:t>ACOS</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ACOS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arc cosine of </w:t>
      </w:r>
      <w:r>
        <w:rPr>
          <w:rFonts w:ascii="Times New Roman"/>
          <w:i/>
          <w:sz w:val="22"/>
        </w:rPr>
        <w:t>x</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whose arc cosine is to be determined.</w:t>
            </w:r>
          </w:p>
        </w:tc>
      </w:tr>
    </w:tbl>
    <w:p>
      <w:pPr>
        <w:pStyle w:val="BodyText"/>
        <w:rPr>
          <w:b/>
        </w:rPr>
      </w:pPr>
    </w:p>
    <w:p>
      <w:pPr>
        <w:pStyle w:val="BodyText"/>
        <w:spacing w:before="7"/>
        <w:rPr>
          <w:b/>
          <w:sz w:val="19"/>
        </w:rPr>
      </w:pPr>
    </w:p>
    <w:p>
      <w:pPr>
        <w:spacing w:line="453" w:lineRule="auto" w:before="0"/>
        <w:ind w:left="220" w:right="4640" w:firstLine="0"/>
        <w:jc w:val="left"/>
        <w:rPr>
          <w:sz w:val="22"/>
        </w:rPr>
      </w:pPr>
      <w:r>
        <w:rPr>
          <w:b/>
          <w:sz w:val="22"/>
        </w:rPr>
        <w:t>Return Type and Value: </w:t>
      </w:r>
      <w:r>
        <w:rPr>
          <w:sz w:val="22"/>
        </w:rPr>
        <w:t>number – The arc cosine of </w:t>
      </w:r>
      <w:r>
        <w:rPr>
          <w:rFonts w:ascii="Times New Roman" w:hAnsi="Times New Roman"/>
          <w:i/>
          <w:sz w:val="22"/>
        </w:rPr>
        <w:t>x</w:t>
      </w:r>
      <w:r>
        <w:rPr>
          <w:sz w:val="22"/>
        </w:rPr>
        <w:t>, in radians. However, if </w:t>
      </w:r>
      <w:r>
        <w:rPr>
          <w:rFonts w:ascii="Times New Roman" w:hAnsi="Times New Roman"/>
          <w:i/>
          <w:sz w:val="22"/>
        </w:rPr>
        <w:t>x </w:t>
      </w:r>
      <w:r>
        <w:rPr>
          <w:sz w:val="22"/>
        </w:rPr>
        <w:t>is outside the interval [-1,+1], </w:t>
      </w:r>
      <w:r>
        <w:rPr>
          <w:rFonts w:ascii="Consolas" w:hAnsi="Consolas"/>
          <w:sz w:val="22"/>
        </w:rPr>
        <w:t>#NUM! </w:t>
      </w:r>
      <w:r>
        <w:rPr>
          <w:sz w:val="22"/>
        </w:rPr>
        <w:t>is returned [</w:t>
      </w:r>
      <w:r>
        <w:rPr>
          <w:i/>
          <w:sz w:val="22"/>
        </w:rPr>
        <w:t>Example</w:t>
      </w:r>
      <w:r>
        <w:rPr>
          <w:sz w:val="22"/>
        </w:rPr>
        <w:t>:</w:t>
      </w:r>
    </w:p>
    <w:p>
      <w:pPr>
        <w:pStyle w:val="BodyText"/>
        <w:spacing w:line="276" w:lineRule="auto" w:before="110"/>
        <w:ind w:left="220" w:right="7242"/>
        <w:rPr>
          <w:rFonts w:ascii="Consolas"/>
        </w:rPr>
      </w:pPr>
      <w:r>
        <w:rPr>
          <w:rFonts w:ascii="Consolas"/>
        </w:rPr>
        <w:t>ACOS(-1)</w:t>
      </w:r>
      <w:r>
        <w:rPr>
          <w:rFonts w:ascii="Consolas"/>
          <w:spacing w:val="-85"/>
        </w:rPr>
        <w:t> </w:t>
      </w:r>
      <w:r>
        <w:rPr/>
        <w:t>results in </w:t>
      </w:r>
      <w:r>
        <w:rPr>
          <w:rFonts w:ascii="Consolas"/>
        </w:rPr>
        <w:t>3.141592654 ACOS(0) </w:t>
      </w:r>
      <w:r>
        <w:rPr/>
        <w:t>results in </w:t>
      </w:r>
      <w:r>
        <w:rPr>
          <w:rFonts w:ascii="Consolas"/>
        </w:rPr>
        <w:t>1.570796327 ACOS(1)</w:t>
      </w:r>
      <w:r>
        <w:rPr>
          <w:rFonts w:ascii="Consolas"/>
          <w:spacing w:val="-73"/>
        </w:rPr>
        <w:t> </w:t>
      </w:r>
      <w:r>
        <w:rPr/>
        <w:t>results in </w:t>
      </w:r>
      <w:r>
        <w:rPr>
          <w:rFonts w:ascii="Consolas"/>
        </w:rPr>
        <w:t>0</w:t>
      </w:r>
    </w:p>
    <w:p>
      <w:pPr>
        <w:pStyle w:val="BodyText"/>
        <w:spacing w:before="7"/>
        <w:rPr>
          <w:rFonts w:ascii="Consolas"/>
          <w:sz w:val="25"/>
        </w:rPr>
      </w:pPr>
    </w:p>
    <w:p>
      <w:pPr>
        <w:spacing w:before="0"/>
        <w:ind w:left="220" w:right="0" w:firstLine="0"/>
        <w:jc w:val="left"/>
        <w:rPr>
          <w:sz w:val="22"/>
        </w:rPr>
      </w:pPr>
      <w:r>
        <w:rPr>
          <w:i/>
          <w:sz w:val="22"/>
        </w:rPr>
        <w:t>end example</w:t>
      </w:r>
      <w:r>
        <w:rPr>
          <w:sz w:val="22"/>
        </w:rPr>
        <w:t>]</w:t>
      </w:r>
    </w:p>
    <w:p>
      <w:pPr>
        <w:spacing w:after="0"/>
        <w:jc w:val="left"/>
        <w:rPr>
          <w:sz w:val="22"/>
        </w:rPr>
        <w:sectPr>
          <w:footerReference w:type="even" r:id="rId205"/>
          <w:footerReference w:type="default" r:id="rId206"/>
          <w:pgSz w:w="12240" w:h="15840"/>
          <w:pgMar w:footer="746" w:header="761" w:top="1340" w:bottom="940" w:left="860" w:right="700"/>
          <w:pgNumType w:start="208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5 ACOSH" w:id="1406"/>
      <w:bookmarkEnd w:id="1406"/>
      <w:r>
        <w:rPr/>
      </w:r>
      <w:bookmarkStart w:name="_bookmark467" w:id="1407"/>
      <w:bookmarkEnd w:id="1407"/>
      <w:r>
        <w:rPr/>
      </w:r>
      <w:bookmarkStart w:name="_bookmark467" w:id="1408"/>
      <w:bookmarkEnd w:id="1408"/>
      <w:r>
        <w:rPr>
          <w:color w:val="4F81BC"/>
        </w:rPr>
        <w:t>A</w:t>
      </w:r>
      <w:r>
        <w:rPr>
          <w:color w:val="4F81BC"/>
        </w:rPr>
        <w:t>COSH</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ACOSH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inverse hyperbolic cosine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750"/>
              <w:rPr>
                <w:sz w:val="22"/>
              </w:rPr>
            </w:pPr>
            <w:r>
              <w:rPr>
                <w:sz w:val="22"/>
              </w:rPr>
              <w:t>The value whose inverse hyperbolic cosine is to be determined.</w:t>
            </w:r>
          </w:p>
        </w:tc>
      </w:tr>
    </w:tbl>
    <w:p>
      <w:pPr>
        <w:pStyle w:val="BodyText"/>
        <w:rPr>
          <w:b/>
        </w:rPr>
      </w:pPr>
    </w:p>
    <w:p>
      <w:pPr>
        <w:pStyle w:val="BodyText"/>
        <w:spacing w:before="8"/>
        <w:rPr>
          <w:b/>
          <w:sz w:val="19"/>
        </w:rPr>
      </w:pPr>
    </w:p>
    <w:p>
      <w:pPr>
        <w:spacing w:line="453" w:lineRule="auto" w:before="0"/>
        <w:ind w:left="220" w:right="4251" w:firstLine="0"/>
        <w:jc w:val="left"/>
        <w:rPr>
          <w:sz w:val="22"/>
        </w:rPr>
      </w:pPr>
      <w:r>
        <w:rPr>
          <w:b/>
          <w:sz w:val="22"/>
        </w:rPr>
        <w:t>Return Type and Value: </w:t>
      </w:r>
      <w:r>
        <w:rPr>
          <w:sz w:val="22"/>
        </w:rPr>
        <w:t>number – The inverse hyperbolic cosine of </w:t>
      </w:r>
      <w:r>
        <w:rPr>
          <w:rFonts w:ascii="Times New Roman" w:hAnsi="Times New Roman"/>
          <w:i/>
          <w:sz w:val="22"/>
        </w:rPr>
        <w:t>x</w:t>
      </w:r>
      <w:r>
        <w:rPr>
          <w:sz w:val="22"/>
        </w:rPr>
        <w:t>. However, if </w:t>
      </w:r>
      <w:r>
        <w:rPr>
          <w:rFonts w:ascii="Times New Roman" w:hAnsi="Times New Roman"/>
          <w:i/>
          <w:sz w:val="22"/>
        </w:rPr>
        <w:t>x </w:t>
      </w:r>
      <w:r>
        <w:rPr>
          <w:sz w:val="22"/>
        </w:rPr>
        <w:t>&lt; 1, </w:t>
      </w:r>
      <w:r>
        <w:rPr>
          <w:rFonts w:ascii="Consolas" w:hAnsi="Consolas"/>
          <w:sz w:val="22"/>
        </w:rPr>
        <w:t>#NUM!</w:t>
      </w:r>
      <w:r>
        <w:rPr>
          <w:rFonts w:ascii="Consolas" w:hAnsi="Consolas"/>
          <w:spacing w:val="-83"/>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rFonts w:ascii="Consolas"/>
        </w:rPr>
        <w:t>ACOSH(1)</w:t>
      </w:r>
      <w:r>
        <w:rPr>
          <w:rFonts w:ascii="Consolas"/>
          <w:spacing w:val="-71"/>
        </w:rPr>
        <w:t> </w:t>
      </w:r>
      <w:r>
        <w:rPr/>
        <w:t>results in </w:t>
      </w:r>
      <w:r>
        <w:rPr>
          <w:rFonts w:ascii="Consolas"/>
        </w:rPr>
        <w:t>0</w:t>
      </w:r>
    </w:p>
    <w:p>
      <w:pPr>
        <w:pStyle w:val="BodyText"/>
        <w:spacing w:line="276" w:lineRule="auto" w:before="38"/>
        <w:ind w:left="220" w:right="6999"/>
        <w:rPr>
          <w:rFonts w:ascii="Consolas"/>
        </w:rPr>
      </w:pPr>
      <w:r>
        <w:rPr>
          <w:rFonts w:ascii="Consolas"/>
        </w:rPr>
        <w:t>ACOSH(10) </w:t>
      </w:r>
      <w:r>
        <w:rPr/>
        <w:t>results in </w:t>
      </w:r>
      <w:r>
        <w:rPr>
          <w:rFonts w:ascii="Consolas"/>
        </w:rPr>
        <w:t>2.993222846 ACOSH(100)</w:t>
      </w:r>
      <w:r>
        <w:rPr>
          <w:rFonts w:ascii="Consolas"/>
          <w:spacing w:val="-84"/>
        </w:rPr>
        <w:t> </w:t>
      </w:r>
      <w:r>
        <w:rPr/>
        <w:t>results in </w:t>
      </w:r>
      <w:r>
        <w:rPr>
          <w:rFonts w:ascii="Consolas"/>
        </w:rPr>
        <w:t>5.298292366</w:t>
      </w:r>
    </w:p>
    <w:p>
      <w:pPr>
        <w:pStyle w:val="BodyText"/>
        <w:spacing w:before="7"/>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 ADDRESS" w:id="1409"/>
      <w:bookmarkEnd w:id="1409"/>
      <w:r>
        <w:rPr/>
      </w:r>
      <w:bookmarkStart w:name="_bookmark468" w:id="1410"/>
      <w:bookmarkEnd w:id="1410"/>
      <w:r>
        <w:rPr/>
      </w:r>
      <w:bookmarkStart w:name="_bookmark468" w:id="1411"/>
      <w:bookmarkEnd w:id="1411"/>
      <w:r>
        <w:rPr>
          <w:color w:val="4F81BC"/>
        </w:rPr>
        <w:t>A</w:t>
      </w:r>
      <w:r>
        <w:rPr>
          <w:color w:val="4F81BC"/>
        </w:rPr>
        <w:t>DDRESS</w:t>
      </w:r>
    </w:p>
    <w:p>
      <w:pPr>
        <w:pStyle w:val="Heading4"/>
        <w:spacing w:before="121"/>
        <w:rPr>
          <w:b w:val="0"/>
        </w:rPr>
      </w:pPr>
      <w:r>
        <w:rPr/>
        <w:t>Syntax</w:t>
      </w:r>
      <w:r>
        <w:rPr>
          <w:b w:val="0"/>
        </w:rPr>
        <w:t>:</w:t>
      </w:r>
    </w:p>
    <w:p>
      <w:pPr>
        <w:pStyle w:val="BodyText"/>
        <w:spacing w:before="4"/>
        <w:rPr>
          <w:sz w:val="20"/>
        </w:rPr>
      </w:pPr>
    </w:p>
    <w:p>
      <w:pPr>
        <w:spacing w:line="223" w:lineRule="auto" w:before="0"/>
        <w:ind w:left="1300" w:right="2518" w:hanging="360"/>
        <w:jc w:val="left"/>
        <w:rPr>
          <w:rFonts w:ascii="Lucida Console"/>
          <w:sz w:val="20"/>
        </w:rPr>
      </w:pPr>
      <w:r>
        <w:rPr>
          <w:rFonts w:ascii="Lucida Console"/>
          <w:sz w:val="20"/>
        </w:rPr>
        <w:t>ADDRESS</w:t>
      </w:r>
      <w:r>
        <w:rPr>
          <w:rFonts w:ascii="Lucida Console"/>
          <w:spacing w:val="-22"/>
          <w:sz w:val="20"/>
        </w:rPr>
        <w:t> </w:t>
      </w:r>
      <w:r>
        <w:rPr>
          <w:rFonts w:ascii="Lucida Console"/>
          <w:sz w:val="20"/>
        </w:rPr>
        <w:t>(</w:t>
      </w:r>
      <w:r>
        <w:rPr>
          <w:rFonts w:ascii="Lucida Console"/>
          <w:spacing w:val="-21"/>
          <w:sz w:val="20"/>
        </w:rPr>
        <w:t> </w:t>
      </w:r>
      <w:r>
        <w:rPr>
          <w:i/>
          <w:sz w:val="22"/>
        </w:rPr>
        <w:t>row-number</w:t>
      </w:r>
      <w:r>
        <w:rPr>
          <w:i/>
          <w:spacing w:val="46"/>
          <w:sz w:val="22"/>
        </w:rPr>
        <w:t> </w:t>
      </w:r>
      <w:r>
        <w:rPr>
          <w:rFonts w:ascii="Lucida Console"/>
          <w:sz w:val="20"/>
        </w:rPr>
        <w:t>,</w:t>
      </w:r>
      <w:r>
        <w:rPr>
          <w:rFonts w:ascii="Lucida Console"/>
          <w:spacing w:val="-21"/>
          <w:sz w:val="20"/>
        </w:rPr>
        <w:t> </w:t>
      </w:r>
      <w:r>
        <w:rPr>
          <w:i/>
          <w:sz w:val="22"/>
        </w:rPr>
        <w:t>col-number </w:t>
      </w:r>
      <w:r>
        <w:rPr>
          <w:sz w:val="22"/>
        </w:rPr>
        <w:t>[</w:t>
      </w:r>
      <w:r>
        <w:rPr>
          <w:spacing w:val="-3"/>
          <w:sz w:val="22"/>
        </w:rPr>
        <w:t> </w:t>
      </w:r>
      <w:r>
        <w:rPr>
          <w:rFonts w:ascii="Lucida Console"/>
          <w:sz w:val="20"/>
        </w:rPr>
        <w:t>,</w:t>
      </w:r>
      <w:r>
        <w:rPr>
          <w:rFonts w:ascii="Lucida Console"/>
          <w:spacing w:val="-22"/>
          <w:sz w:val="20"/>
        </w:rPr>
        <w:t> </w:t>
      </w:r>
      <w:r>
        <w:rPr>
          <w:sz w:val="22"/>
        </w:rPr>
        <w:t>[</w:t>
      </w:r>
      <w:r>
        <w:rPr>
          <w:spacing w:val="47"/>
          <w:sz w:val="22"/>
        </w:rPr>
        <w:t> </w:t>
      </w:r>
      <w:r>
        <w:rPr>
          <w:i/>
          <w:sz w:val="22"/>
        </w:rPr>
        <w:t>ref-type</w:t>
      </w:r>
      <w:r>
        <w:rPr>
          <w:i/>
          <w:spacing w:val="49"/>
          <w:sz w:val="22"/>
        </w:rPr>
        <w:t> </w:t>
      </w:r>
      <w:r>
        <w:rPr>
          <w:sz w:val="22"/>
        </w:rPr>
        <w:t>] [</w:t>
      </w:r>
      <w:r>
        <w:rPr>
          <w:spacing w:val="-1"/>
          <w:sz w:val="22"/>
        </w:rPr>
        <w:t> </w:t>
      </w:r>
      <w:r>
        <w:rPr>
          <w:rFonts w:ascii="Lucida Console"/>
          <w:sz w:val="20"/>
        </w:rPr>
        <w:t>,</w:t>
      </w:r>
      <w:r>
        <w:rPr>
          <w:rFonts w:ascii="Lucida Console"/>
          <w:spacing w:val="-22"/>
          <w:sz w:val="20"/>
        </w:rPr>
        <w:t> </w:t>
      </w:r>
      <w:r>
        <w:rPr>
          <w:sz w:val="22"/>
        </w:rPr>
        <w:t>[</w:t>
      </w:r>
      <w:r>
        <w:rPr>
          <w:spacing w:val="47"/>
          <w:sz w:val="22"/>
        </w:rPr>
        <w:t> </w:t>
      </w:r>
      <w:r>
        <w:rPr>
          <w:i/>
          <w:sz w:val="22"/>
        </w:rPr>
        <w:t>A1-ref-style-flag</w:t>
      </w:r>
      <w:r>
        <w:rPr>
          <w:i/>
          <w:spacing w:val="48"/>
          <w:sz w:val="22"/>
        </w:rPr>
        <w:t> </w:t>
      </w:r>
      <w:r>
        <w:rPr>
          <w:sz w:val="22"/>
        </w:rPr>
        <w:t>] [ </w:t>
      </w:r>
      <w:r>
        <w:rPr>
          <w:rFonts w:ascii="Lucida Console"/>
          <w:sz w:val="20"/>
        </w:rPr>
        <w:t>, </w:t>
      </w:r>
      <w:r>
        <w:rPr>
          <w:i/>
          <w:sz w:val="22"/>
        </w:rPr>
        <w:t>sheet-name </w:t>
      </w:r>
      <w:r>
        <w:rPr>
          <w:sz w:val="22"/>
        </w:rPr>
        <w:t>] ] ]</w:t>
      </w:r>
      <w:r>
        <w:rPr>
          <w:spacing w:val="29"/>
          <w:sz w:val="22"/>
        </w:rPr>
        <w:t> </w:t>
      </w:r>
      <w:r>
        <w:rPr>
          <w:rFonts w:ascii="Lucida Console"/>
          <w:sz w:val="20"/>
        </w:rPr>
        <w:t>)</w:t>
      </w:r>
    </w:p>
    <w:p>
      <w:pPr>
        <w:pStyle w:val="BodyText"/>
        <w:spacing w:before="115"/>
        <w:ind w:left="220"/>
      </w:pPr>
      <w:r>
        <w:rPr>
          <w:b/>
        </w:rPr>
        <w:t>Description: </w:t>
      </w:r>
      <w:r>
        <w:rPr/>
        <w:t>Creates a cell address, given the specified row and column numbers.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637"/>
        <w:gridCol w:w="2804"/>
        <w:gridCol w:w="123"/>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1" w:type="dxa"/>
            <w:gridSpan w:val="4"/>
            <w:shd w:val="clear" w:color="auto" w:fill="C0C0C0"/>
          </w:tcPr>
          <w:p>
            <w:pPr>
              <w:pStyle w:val="TableParagraph"/>
              <w:ind w:left="2155" w:right="2149"/>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sz w:val="22"/>
              </w:rPr>
              <w:t>row-number</w:t>
            </w:r>
          </w:p>
        </w:tc>
        <w:tc>
          <w:tcPr>
            <w:tcW w:w="1800" w:type="dxa"/>
          </w:tcPr>
          <w:p>
            <w:pPr>
              <w:pStyle w:val="TableParagraph"/>
              <w:spacing w:before="42"/>
              <w:ind w:left="112"/>
              <w:rPr>
                <w:sz w:val="22"/>
              </w:rPr>
            </w:pPr>
            <w:r>
              <w:rPr>
                <w:sz w:val="22"/>
              </w:rPr>
              <w:t>number</w:t>
            </w:r>
          </w:p>
        </w:tc>
        <w:tc>
          <w:tcPr>
            <w:tcW w:w="5401" w:type="dxa"/>
            <w:gridSpan w:val="4"/>
          </w:tcPr>
          <w:p>
            <w:pPr>
              <w:pStyle w:val="TableParagraph"/>
              <w:spacing w:before="42"/>
              <w:ind w:left="113"/>
              <w:rPr>
                <w:sz w:val="22"/>
              </w:rPr>
            </w:pPr>
            <w:r>
              <w:rPr>
                <w:sz w:val="22"/>
              </w:rPr>
              <w:t>The number of the row.</w:t>
            </w:r>
          </w:p>
        </w:tc>
      </w:tr>
      <w:tr>
        <w:trPr>
          <w:trHeight w:val="355" w:hRule="atLeast"/>
        </w:trPr>
        <w:tc>
          <w:tcPr>
            <w:tcW w:w="1466" w:type="dxa"/>
          </w:tcPr>
          <w:p>
            <w:pPr>
              <w:pStyle w:val="TableParagraph"/>
              <w:spacing w:before="37"/>
              <w:rPr>
                <w:rFonts w:ascii="Times New Roman"/>
                <w:i/>
                <w:sz w:val="22"/>
              </w:rPr>
            </w:pPr>
            <w:r>
              <w:rPr>
                <w:rFonts w:ascii="Times New Roman"/>
                <w:i/>
                <w:sz w:val="22"/>
              </w:rPr>
              <w:t>col-number</w:t>
            </w:r>
          </w:p>
        </w:tc>
        <w:tc>
          <w:tcPr>
            <w:tcW w:w="1800" w:type="dxa"/>
          </w:tcPr>
          <w:p>
            <w:pPr>
              <w:pStyle w:val="TableParagraph"/>
              <w:ind w:left="112"/>
              <w:rPr>
                <w:sz w:val="22"/>
              </w:rPr>
            </w:pPr>
            <w:r>
              <w:rPr>
                <w:sz w:val="22"/>
              </w:rPr>
              <w:t>number</w:t>
            </w:r>
          </w:p>
        </w:tc>
        <w:tc>
          <w:tcPr>
            <w:tcW w:w="5401" w:type="dxa"/>
            <w:gridSpan w:val="4"/>
          </w:tcPr>
          <w:p>
            <w:pPr>
              <w:pStyle w:val="TableParagraph"/>
              <w:ind w:left="113"/>
              <w:rPr>
                <w:sz w:val="22"/>
              </w:rPr>
            </w:pPr>
            <w:r>
              <w:rPr>
                <w:sz w:val="22"/>
              </w:rPr>
              <w:t>The number of the column.</w:t>
            </w:r>
          </w:p>
        </w:tc>
      </w:tr>
      <w:tr>
        <w:trPr>
          <w:trHeight w:val="580" w:hRule="atLeast"/>
        </w:trPr>
        <w:tc>
          <w:tcPr>
            <w:tcW w:w="1466" w:type="dxa"/>
            <w:vMerge w:val="restart"/>
          </w:tcPr>
          <w:p>
            <w:pPr>
              <w:pStyle w:val="TableParagraph"/>
              <w:spacing w:before="37"/>
              <w:rPr>
                <w:rFonts w:ascii="Times New Roman"/>
                <w:i/>
                <w:sz w:val="22"/>
              </w:rPr>
            </w:pPr>
            <w:r>
              <w:rPr>
                <w:rFonts w:ascii="Times New Roman"/>
                <w:i/>
                <w:sz w:val="22"/>
              </w:rPr>
              <w:t>ref-type</w:t>
            </w:r>
          </w:p>
        </w:tc>
        <w:tc>
          <w:tcPr>
            <w:tcW w:w="1800" w:type="dxa"/>
            <w:vMerge w:val="restart"/>
          </w:tcPr>
          <w:p>
            <w:pPr>
              <w:pStyle w:val="TableParagraph"/>
              <w:ind w:left="112"/>
              <w:rPr>
                <w:sz w:val="22"/>
              </w:rPr>
            </w:pPr>
            <w:r>
              <w:rPr>
                <w:sz w:val="22"/>
              </w:rPr>
              <w:t>number</w:t>
            </w:r>
          </w:p>
        </w:tc>
        <w:tc>
          <w:tcPr>
            <w:tcW w:w="5401" w:type="dxa"/>
            <w:gridSpan w:val="4"/>
            <w:tcBorders>
              <w:bottom w:val="nil"/>
            </w:tcBorders>
          </w:tcPr>
          <w:p>
            <w:pPr>
              <w:pStyle w:val="TableParagraph"/>
              <w:ind w:left="113"/>
              <w:rPr>
                <w:sz w:val="22"/>
              </w:rPr>
            </w:pPr>
            <w:r>
              <w:rPr>
                <w:sz w:val="22"/>
              </w:rPr>
              <w:t>The type of reference to return,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637" w:type="dxa"/>
            <w:shd w:val="clear" w:color="auto" w:fill="C0C0C0"/>
          </w:tcPr>
          <w:p>
            <w:pPr>
              <w:pStyle w:val="TableParagraph"/>
              <w:ind w:left="537" w:right="527"/>
              <w:jc w:val="center"/>
              <w:rPr>
                <w:b/>
                <w:sz w:val="22"/>
              </w:rPr>
            </w:pPr>
            <w:r>
              <w:rPr>
                <w:b/>
                <w:sz w:val="22"/>
              </w:rPr>
              <w:t>Value</w:t>
            </w:r>
          </w:p>
        </w:tc>
        <w:tc>
          <w:tcPr>
            <w:tcW w:w="2804" w:type="dxa"/>
            <w:shd w:val="clear" w:color="auto" w:fill="C0C0C0"/>
          </w:tcPr>
          <w:p>
            <w:pPr>
              <w:pStyle w:val="TableParagraph"/>
              <w:ind w:left="123"/>
              <w:rPr>
                <w:b/>
                <w:sz w:val="22"/>
              </w:rPr>
            </w:pPr>
            <w:r>
              <w:rPr>
                <w:b/>
                <w:sz w:val="22"/>
              </w:rPr>
              <w:t>Type of Reference Returned</w:t>
            </w:r>
          </w:p>
        </w:tc>
        <w:tc>
          <w:tcPr>
            <w:tcW w:w="123"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637" w:type="dxa"/>
          </w:tcPr>
          <w:p>
            <w:pPr>
              <w:pStyle w:val="TableParagraph"/>
              <w:ind w:left="116"/>
              <w:rPr>
                <w:sz w:val="22"/>
              </w:rPr>
            </w:pPr>
            <w:r>
              <w:rPr>
                <w:sz w:val="22"/>
              </w:rPr>
              <w:t>1 or omitted</w:t>
            </w:r>
          </w:p>
        </w:tc>
        <w:tc>
          <w:tcPr>
            <w:tcW w:w="2804" w:type="dxa"/>
          </w:tcPr>
          <w:p>
            <w:pPr>
              <w:pStyle w:val="TableParagraph"/>
              <w:ind w:left="116"/>
              <w:rPr>
                <w:sz w:val="22"/>
              </w:rPr>
            </w:pPr>
            <w:r>
              <w:rPr>
                <w:sz w:val="22"/>
              </w:rPr>
              <w:t>Absolute row and column</w:t>
            </w:r>
          </w:p>
        </w:tc>
        <w:tc>
          <w:tcPr>
            <w:tcW w:w="123"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637" w:type="dxa"/>
          </w:tcPr>
          <w:p>
            <w:pPr>
              <w:pStyle w:val="TableParagraph"/>
              <w:ind w:left="116"/>
              <w:rPr>
                <w:sz w:val="22"/>
              </w:rPr>
            </w:pPr>
            <w:r>
              <w:rPr>
                <w:w w:val="100"/>
                <w:sz w:val="22"/>
              </w:rPr>
              <w:t>2</w:t>
            </w:r>
          </w:p>
        </w:tc>
        <w:tc>
          <w:tcPr>
            <w:tcW w:w="2804" w:type="dxa"/>
          </w:tcPr>
          <w:p>
            <w:pPr>
              <w:pStyle w:val="TableParagraph"/>
              <w:ind w:left="116" w:right="680"/>
              <w:rPr>
                <w:sz w:val="22"/>
              </w:rPr>
            </w:pPr>
            <w:r>
              <w:rPr>
                <w:sz w:val="22"/>
              </w:rPr>
              <w:t>Absolute row; relative column</w:t>
            </w:r>
          </w:p>
        </w:tc>
        <w:tc>
          <w:tcPr>
            <w:tcW w:w="123"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637"/>
        <w:gridCol w:w="2804"/>
        <w:gridCol w:w="12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1" w:type="dxa"/>
            <w:gridSpan w:val="4"/>
            <w:shd w:val="clear" w:color="auto" w:fill="C0C0C0"/>
          </w:tcPr>
          <w:p>
            <w:pPr>
              <w:pStyle w:val="TableParagraph"/>
              <w:ind w:left="2155" w:right="2149"/>
              <w:jc w:val="center"/>
              <w:rPr>
                <w:b/>
                <w:sz w:val="22"/>
              </w:rPr>
            </w:pPr>
            <w:r>
              <w:rPr>
                <w:b/>
                <w:sz w:val="22"/>
              </w:rPr>
              <w:t>Description</w:t>
            </w:r>
          </w:p>
        </w:tc>
      </w:tr>
      <w:tr>
        <w:trPr>
          <w:trHeight w:val="676"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637" w:type="dxa"/>
          </w:tcPr>
          <w:p>
            <w:pPr>
              <w:pStyle w:val="TableParagraph"/>
              <w:spacing w:before="92"/>
              <w:ind w:left="116"/>
              <w:rPr>
                <w:sz w:val="22"/>
              </w:rPr>
            </w:pPr>
            <w:r>
              <w:rPr>
                <w:w w:val="100"/>
                <w:sz w:val="22"/>
              </w:rPr>
              <w:t>3</w:t>
            </w:r>
          </w:p>
        </w:tc>
        <w:tc>
          <w:tcPr>
            <w:tcW w:w="2804" w:type="dxa"/>
          </w:tcPr>
          <w:p>
            <w:pPr>
              <w:pStyle w:val="TableParagraph"/>
              <w:spacing w:before="92"/>
              <w:ind w:left="116" w:right="659"/>
              <w:rPr>
                <w:sz w:val="22"/>
              </w:rPr>
            </w:pPr>
            <w:r>
              <w:rPr>
                <w:sz w:val="22"/>
              </w:rPr>
              <w:t>Relative row; absolute column</w:t>
            </w:r>
          </w:p>
        </w:tc>
        <w:tc>
          <w:tcPr>
            <w:tcW w:w="123" w:type="dxa"/>
            <w:tcBorders>
              <w:bottom w:val="nil"/>
            </w:tcBorders>
          </w:tcPr>
          <w:p>
            <w:pPr>
              <w:pStyle w:val="TableParagraph"/>
              <w:spacing w:before="0"/>
              <w:ind w:left="0"/>
              <w:rPr>
                <w:rFonts w:ascii="Times New Roman"/>
                <w:sz w:val="22"/>
              </w:rPr>
            </w:pPr>
          </w:p>
        </w:tc>
      </w:tr>
      <w:tr>
        <w:trPr>
          <w:trHeight w:val="40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637" w:type="dxa"/>
          </w:tcPr>
          <w:p>
            <w:pPr>
              <w:pStyle w:val="TableParagraph"/>
              <w:ind w:left="116"/>
              <w:rPr>
                <w:sz w:val="22"/>
              </w:rPr>
            </w:pPr>
            <w:r>
              <w:rPr>
                <w:w w:val="100"/>
                <w:sz w:val="22"/>
              </w:rPr>
              <w:t>4</w:t>
            </w:r>
          </w:p>
        </w:tc>
        <w:tc>
          <w:tcPr>
            <w:tcW w:w="2804" w:type="dxa"/>
          </w:tcPr>
          <w:p>
            <w:pPr>
              <w:pStyle w:val="TableParagraph"/>
              <w:ind w:left="116"/>
              <w:rPr>
                <w:sz w:val="22"/>
              </w:rPr>
            </w:pPr>
            <w:r>
              <w:rPr>
                <w:sz w:val="22"/>
              </w:rPr>
              <w:t>Relative row and column</w:t>
            </w:r>
          </w:p>
        </w:tc>
        <w:tc>
          <w:tcPr>
            <w:tcW w:w="123" w:type="dxa"/>
            <w:tcBorders>
              <w:top w:val="nil"/>
            </w:tcBorders>
          </w:tcPr>
          <w:p>
            <w:pPr>
              <w:pStyle w:val="TableParagraph"/>
              <w:spacing w:before="0"/>
              <w:ind w:left="0"/>
              <w:rPr>
                <w:rFonts w:ascii="Times New Roman"/>
                <w:sz w:val="22"/>
              </w:rPr>
            </w:pPr>
          </w:p>
        </w:tc>
      </w:tr>
      <w:tr>
        <w:trPr>
          <w:trHeight w:val="890" w:hRule="atLeast"/>
        </w:trPr>
        <w:tc>
          <w:tcPr>
            <w:tcW w:w="1466" w:type="dxa"/>
          </w:tcPr>
          <w:p>
            <w:pPr>
              <w:pStyle w:val="TableParagraph"/>
              <w:spacing w:before="37"/>
              <w:ind w:right="209"/>
              <w:rPr>
                <w:rFonts w:ascii="Times New Roman"/>
                <w:i/>
                <w:sz w:val="22"/>
              </w:rPr>
            </w:pPr>
            <w:r>
              <w:rPr>
                <w:rFonts w:ascii="Times New Roman"/>
                <w:i/>
                <w:sz w:val="22"/>
              </w:rPr>
              <w:t>A1-ref-style- </w:t>
            </w:r>
            <w:r>
              <w:rPr>
                <w:rFonts w:ascii="Times New Roman"/>
                <w:i/>
                <w:sz w:val="22"/>
              </w:rPr>
              <w:t>flag</w:t>
            </w:r>
          </w:p>
        </w:tc>
        <w:tc>
          <w:tcPr>
            <w:tcW w:w="1800" w:type="dxa"/>
          </w:tcPr>
          <w:p>
            <w:pPr>
              <w:pStyle w:val="TableParagraph"/>
              <w:ind w:left="112"/>
              <w:rPr>
                <w:sz w:val="22"/>
              </w:rPr>
            </w:pPr>
            <w:r>
              <w:rPr>
                <w:sz w:val="22"/>
              </w:rPr>
              <w:t>logical</w:t>
            </w:r>
          </w:p>
        </w:tc>
        <w:tc>
          <w:tcPr>
            <w:tcW w:w="5401" w:type="dxa"/>
            <w:gridSpan w:val="4"/>
          </w:tcPr>
          <w:p>
            <w:pPr>
              <w:pStyle w:val="TableParagraph"/>
              <w:ind w:left="113"/>
              <w:rPr>
                <w:sz w:val="22"/>
              </w:rPr>
            </w:pPr>
            <w:r>
              <w:rPr>
                <w:sz w:val="22"/>
              </w:rPr>
              <w:t>The style of the reference. If </w:t>
            </w:r>
            <w:r>
              <w:rPr>
                <w:rFonts w:ascii="Consolas" w:hAnsi="Consolas"/>
                <w:sz w:val="22"/>
              </w:rPr>
              <w:t>TRUE</w:t>
            </w:r>
            <w:r>
              <w:rPr>
                <w:rFonts w:ascii="Consolas" w:hAnsi="Consolas"/>
                <w:spacing w:val="-85"/>
                <w:sz w:val="22"/>
              </w:rPr>
              <w:t> </w:t>
            </w:r>
            <w:r>
              <w:rPr>
                <w:sz w:val="22"/>
              </w:rPr>
              <w:t>or omitted, an A1-style reference (</w:t>
            </w:r>
            <w:hyperlink w:history="true" w:anchor="_bookmark438">
              <w:r>
                <w:rPr>
                  <w:sz w:val="22"/>
                </w:rPr>
                <w:t>§18.17.2.3.1</w:t>
              </w:r>
            </w:hyperlink>
            <w:r>
              <w:rPr>
                <w:sz w:val="22"/>
              </w:rPr>
              <w:t>) is returned; otherwise, an R1C1- style reference (§</w:t>
            </w:r>
            <w:hyperlink w:history="true" w:anchor="_bookmark439">
              <w:r>
                <w:rPr>
                  <w:sz w:val="22"/>
                </w:rPr>
                <w:t>18.17.2.3.2</w:t>
              </w:r>
            </w:hyperlink>
            <w:r>
              <w:rPr>
                <w:sz w:val="22"/>
              </w:rPr>
              <w:t>) is returned.</w:t>
            </w:r>
          </w:p>
        </w:tc>
      </w:tr>
      <w:tr>
        <w:trPr>
          <w:trHeight w:val="623" w:hRule="atLeast"/>
        </w:trPr>
        <w:tc>
          <w:tcPr>
            <w:tcW w:w="1466" w:type="dxa"/>
          </w:tcPr>
          <w:p>
            <w:pPr>
              <w:pStyle w:val="TableParagraph"/>
              <w:spacing w:before="39"/>
              <w:rPr>
                <w:rFonts w:ascii="Times New Roman"/>
                <w:i/>
                <w:sz w:val="22"/>
              </w:rPr>
            </w:pPr>
            <w:r>
              <w:rPr>
                <w:rFonts w:ascii="Times New Roman"/>
                <w:i/>
                <w:sz w:val="22"/>
              </w:rPr>
              <w:t>sheet-name</w:t>
            </w:r>
          </w:p>
        </w:tc>
        <w:tc>
          <w:tcPr>
            <w:tcW w:w="1800" w:type="dxa"/>
          </w:tcPr>
          <w:p>
            <w:pPr>
              <w:pStyle w:val="TableParagraph"/>
              <w:spacing w:before="42"/>
              <w:ind w:left="112"/>
              <w:rPr>
                <w:sz w:val="22"/>
              </w:rPr>
            </w:pPr>
            <w:r>
              <w:rPr>
                <w:sz w:val="22"/>
              </w:rPr>
              <w:t>text</w:t>
            </w:r>
          </w:p>
        </w:tc>
        <w:tc>
          <w:tcPr>
            <w:tcW w:w="5401" w:type="dxa"/>
            <w:gridSpan w:val="4"/>
          </w:tcPr>
          <w:p>
            <w:pPr>
              <w:pStyle w:val="TableParagraph"/>
              <w:spacing w:line="237" w:lineRule="auto" w:before="44"/>
              <w:ind w:left="113" w:right="475"/>
              <w:rPr>
                <w:sz w:val="22"/>
              </w:rPr>
            </w:pPr>
            <w:r>
              <w:rPr>
                <w:sz w:val="22"/>
              </w:rPr>
              <w:t>The name of the worksheet to be used. If omitted, no sheet name is used.</w:t>
            </w:r>
          </w:p>
        </w:tc>
      </w:tr>
    </w:tbl>
    <w:p>
      <w:pPr>
        <w:pStyle w:val="BodyText"/>
        <w:rPr>
          <w:b/>
          <w:sz w:val="20"/>
        </w:rPr>
      </w:pPr>
    </w:p>
    <w:p>
      <w:pPr>
        <w:pStyle w:val="BodyText"/>
        <w:rPr>
          <w:b/>
          <w:sz w:val="17"/>
        </w:rPr>
      </w:pPr>
    </w:p>
    <w:p>
      <w:pPr>
        <w:spacing w:line="456" w:lineRule="auto" w:before="56"/>
        <w:ind w:left="220" w:right="2280" w:firstLine="0"/>
        <w:jc w:val="left"/>
        <w:rPr>
          <w:sz w:val="22"/>
        </w:rPr>
      </w:pPr>
      <w:r>
        <w:rPr>
          <w:b/>
          <w:sz w:val="22"/>
        </w:rPr>
        <w:t>Return Type and Value: </w:t>
      </w:r>
      <w:r>
        <w:rPr>
          <w:sz w:val="22"/>
        </w:rPr>
        <w:t>text – A cell address, given the specified row and column numbers.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row-number </w:t>
      </w:r>
      <w:r>
        <w:rPr>
          <w:sz w:val="22"/>
        </w:rPr>
        <w:t>or </w:t>
      </w:r>
      <w:r>
        <w:rPr>
          <w:rFonts w:ascii="Times New Roman" w:hAnsi="Times New Roman"/>
          <w:i/>
          <w:sz w:val="22"/>
        </w:rPr>
        <w:t>col-number </w:t>
      </w:r>
      <w:r>
        <w:rPr>
          <w:sz w:val="22"/>
        </w:rPr>
        <w:t>&lt; 1,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75" w:right="5062" w:firstLine="305"/>
        <w:jc w:val="left"/>
        <w:rPr>
          <w:sz w:val="22"/>
        </w:rPr>
      </w:pPr>
      <w:r>
        <w:rPr>
          <w:rFonts w:ascii="Times New Roman" w:hAnsi="Times New Roman"/>
          <w:i/>
          <w:sz w:val="22"/>
        </w:rPr>
        <w:t>ref-type </w:t>
      </w:r>
      <w:r>
        <w:rPr>
          <w:sz w:val="22"/>
        </w:rPr>
        <w:t>is outside the range 1–4, </w:t>
      </w:r>
      <w:r>
        <w:rPr>
          <w:rFonts w:ascii="Consolas" w:hAnsi="Consolas"/>
          <w:sz w:val="22"/>
        </w:rPr>
        <w:t>#NUM!</w:t>
      </w:r>
      <w:r>
        <w:rPr>
          <w:rFonts w:ascii="Consolas" w:hAnsi="Consolas"/>
          <w:spacing w:val="-93"/>
          <w:sz w:val="22"/>
        </w:rPr>
        <w:t> </w:t>
      </w:r>
      <w:r>
        <w:rPr>
          <w:sz w:val="22"/>
        </w:rPr>
        <w:t>is returned. [</w:t>
      </w:r>
      <w:r>
        <w:rPr>
          <w:i/>
          <w:sz w:val="22"/>
        </w:rPr>
        <w:t>Example</w:t>
      </w:r>
      <w:r>
        <w:rPr>
          <w:sz w:val="22"/>
        </w:rPr>
        <w:t>:</w:t>
      </w:r>
    </w:p>
    <w:p>
      <w:pPr>
        <w:pStyle w:val="BodyText"/>
        <w:spacing w:before="125"/>
        <w:ind w:left="220"/>
      </w:pPr>
      <w:r>
        <w:rPr/>
        <w:t>In A1-reference style mode:</w:t>
      </w:r>
    </w:p>
    <w:p>
      <w:pPr>
        <w:pStyle w:val="BodyText"/>
        <w:spacing w:before="9"/>
        <w:rPr>
          <w:sz w:val="28"/>
        </w:rPr>
      </w:pPr>
    </w:p>
    <w:p>
      <w:pPr>
        <w:pStyle w:val="BodyText"/>
        <w:spacing w:line="276" w:lineRule="auto"/>
        <w:ind w:left="220" w:right="7278"/>
        <w:rPr>
          <w:rFonts w:ascii="Consolas"/>
        </w:rPr>
      </w:pPr>
      <w:r>
        <w:rPr>
          <w:rFonts w:ascii="Consolas"/>
        </w:rPr>
        <w:t>ADDRESS(5,7,1) </w:t>
      </w:r>
      <w:r>
        <w:rPr/>
        <w:t>results in </w:t>
      </w:r>
      <w:r>
        <w:rPr>
          <w:rFonts w:ascii="Consolas"/>
        </w:rPr>
        <w:t>$G$5 ADDRESS(5,7,2) </w:t>
      </w:r>
      <w:r>
        <w:rPr/>
        <w:t>results in </w:t>
      </w:r>
      <w:r>
        <w:rPr>
          <w:rFonts w:ascii="Consolas"/>
        </w:rPr>
        <w:t>G$5 ADDRESS(5,7,3) </w:t>
      </w:r>
      <w:r>
        <w:rPr/>
        <w:t>results in </w:t>
      </w:r>
      <w:r>
        <w:rPr>
          <w:rFonts w:ascii="Consolas"/>
        </w:rPr>
        <w:t>$G5 ADDRESS(5,7,4) </w:t>
      </w:r>
      <w:r>
        <w:rPr/>
        <w:t>results in </w:t>
      </w:r>
      <w:r>
        <w:rPr>
          <w:rFonts w:ascii="Consolas"/>
        </w:rPr>
        <w:t>G5</w:t>
      </w:r>
    </w:p>
    <w:p>
      <w:pPr>
        <w:pStyle w:val="BodyText"/>
        <w:spacing w:before="1"/>
        <w:ind w:left="220"/>
        <w:rPr>
          <w:rFonts w:ascii="Consolas"/>
        </w:rPr>
      </w:pPr>
      <w:r>
        <w:rPr>
          <w:rFonts w:ascii="Consolas"/>
        </w:rPr>
        <w:t>ADDRESS(5,7,,,"Sheet1")</w:t>
      </w:r>
      <w:r>
        <w:rPr>
          <w:rFonts w:ascii="Consolas"/>
          <w:spacing w:val="-69"/>
        </w:rPr>
        <w:t> </w:t>
      </w:r>
      <w:r>
        <w:rPr/>
        <w:t>results in </w:t>
      </w:r>
      <w:r>
        <w:rPr>
          <w:rFonts w:ascii="Consolas"/>
        </w:rPr>
        <w:t>Sheet1!$G$5</w:t>
      </w:r>
    </w:p>
    <w:p>
      <w:pPr>
        <w:pStyle w:val="BodyText"/>
        <w:spacing w:before="4"/>
        <w:rPr>
          <w:rFonts w:ascii="Consolas"/>
          <w:sz w:val="20"/>
        </w:rPr>
      </w:pPr>
    </w:p>
    <w:p>
      <w:pPr>
        <w:pStyle w:val="BodyText"/>
        <w:ind w:left="220"/>
      </w:pPr>
      <w:r>
        <w:rPr/>
        <w:t>In R1C1-reference style mode:</w:t>
      </w:r>
    </w:p>
    <w:p>
      <w:pPr>
        <w:pStyle w:val="BodyText"/>
        <w:spacing w:before="9"/>
        <w:rPr>
          <w:sz w:val="28"/>
        </w:rPr>
      </w:pPr>
    </w:p>
    <w:p>
      <w:pPr>
        <w:pStyle w:val="BodyText"/>
        <w:spacing w:line="276" w:lineRule="auto"/>
        <w:ind w:left="220" w:right="6068"/>
        <w:rPr>
          <w:rFonts w:ascii="Consolas"/>
        </w:rPr>
      </w:pPr>
      <w:r>
        <w:rPr>
          <w:rFonts w:ascii="Consolas"/>
        </w:rPr>
        <w:t>ADDRESS(5,7,1,FALSE) </w:t>
      </w:r>
      <w:r>
        <w:rPr/>
        <w:t>results in </w:t>
      </w:r>
      <w:r>
        <w:rPr>
          <w:rFonts w:ascii="Consolas"/>
        </w:rPr>
        <w:t>R5C7 ADDRESS(5,7,2,FALSE) </w:t>
      </w:r>
      <w:r>
        <w:rPr/>
        <w:t>results in </w:t>
      </w:r>
      <w:r>
        <w:rPr>
          <w:rFonts w:ascii="Consolas"/>
        </w:rPr>
        <w:t>R5C[7] ADDRESS(5,7,3,FALSE) </w:t>
      </w:r>
      <w:r>
        <w:rPr/>
        <w:t>results in </w:t>
      </w:r>
      <w:r>
        <w:rPr>
          <w:rFonts w:ascii="Consolas"/>
        </w:rPr>
        <w:t>R[5]C7 ADDRESS(5,7,4,FALSE) </w:t>
      </w:r>
      <w:r>
        <w:rPr/>
        <w:t>results in </w:t>
      </w:r>
      <w:r>
        <w:rPr>
          <w:rFonts w:ascii="Consolas"/>
        </w:rPr>
        <w:t>R[5]C[7]</w:t>
      </w:r>
    </w:p>
    <w:p>
      <w:pPr>
        <w:pStyle w:val="BodyText"/>
        <w:spacing w:before="3"/>
        <w:rPr>
          <w:rFonts w:ascii="Consolas"/>
          <w:sz w:val="1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7 AMORDEGRC" w:id="1412"/>
      <w:bookmarkEnd w:id="1412"/>
      <w:r>
        <w:rPr/>
      </w:r>
      <w:bookmarkStart w:name="_bookmark469" w:id="1413"/>
      <w:bookmarkEnd w:id="1413"/>
      <w:r>
        <w:rPr/>
      </w:r>
      <w:bookmarkStart w:name="_bookmark469" w:id="1414"/>
      <w:bookmarkEnd w:id="1414"/>
      <w:r>
        <w:rPr>
          <w:color w:val="4F81BC"/>
        </w:rPr>
        <w:t>A</w:t>
      </w:r>
      <w:r>
        <w:rPr>
          <w:color w:val="4F81BC"/>
        </w:rPr>
        <w:t>MORDE</w:t>
      </w:r>
      <w:bookmarkStart w:name="_bookmark470" w:id="1415"/>
      <w:bookmarkEnd w:id="1415"/>
      <w:r>
        <w:rPr>
          <w:color w:val="4F81BC"/>
        </w:rPr>
        <w:t>GRC</w:t>
      </w:r>
    </w:p>
    <w:p>
      <w:pPr>
        <w:pStyle w:val="Heading4"/>
        <w:spacing w:before="121"/>
        <w:rPr>
          <w:b w:val="0"/>
        </w:rPr>
      </w:pPr>
      <w:r>
        <w:rPr/>
        <w:t>Syntax</w:t>
      </w:r>
      <w:r>
        <w:rPr>
          <w:b w:val="0"/>
        </w:rPr>
        <w:t>:</w:t>
      </w:r>
    </w:p>
    <w:p>
      <w:pPr>
        <w:pStyle w:val="BodyText"/>
        <w:spacing w:before="1"/>
        <w:rPr>
          <w:sz w:val="19"/>
        </w:rPr>
      </w:pPr>
    </w:p>
    <w:p>
      <w:pPr>
        <w:spacing w:line="259" w:lineRule="exact" w:before="0"/>
        <w:ind w:left="940" w:right="0" w:firstLine="0"/>
        <w:jc w:val="left"/>
        <w:rPr>
          <w:rFonts w:ascii="Lucida Console"/>
          <w:sz w:val="20"/>
        </w:rPr>
      </w:pPr>
      <w:r>
        <w:rPr>
          <w:rFonts w:ascii="Lucida Console"/>
          <w:sz w:val="20"/>
        </w:rPr>
        <w:t>AMORDEGRC ( </w:t>
      </w:r>
      <w:r>
        <w:rPr>
          <w:i/>
          <w:sz w:val="22"/>
        </w:rPr>
        <w:t>cost </w:t>
      </w:r>
      <w:r>
        <w:rPr>
          <w:rFonts w:ascii="Lucida Console"/>
          <w:sz w:val="20"/>
        </w:rPr>
        <w:t>, </w:t>
      </w:r>
      <w:r>
        <w:rPr>
          <w:i/>
          <w:sz w:val="22"/>
        </w:rPr>
        <w:t>date-purchased </w:t>
      </w:r>
      <w:r>
        <w:rPr>
          <w:rFonts w:ascii="Lucida Console"/>
          <w:sz w:val="20"/>
        </w:rPr>
        <w:t>, </w:t>
      </w:r>
      <w:r>
        <w:rPr>
          <w:i/>
          <w:sz w:val="22"/>
        </w:rPr>
        <w:t>first-period </w:t>
      </w:r>
      <w:r>
        <w:rPr>
          <w:rFonts w:ascii="Lucida Console"/>
          <w:sz w:val="20"/>
        </w:rPr>
        <w:t>, </w:t>
      </w:r>
      <w:r>
        <w:rPr>
          <w:i/>
          <w:sz w:val="22"/>
        </w:rPr>
        <w:t>salvage </w:t>
      </w:r>
      <w:r>
        <w:rPr>
          <w:rFonts w:ascii="Lucida Console"/>
          <w:sz w:val="20"/>
        </w:rPr>
        <w:t>, </w:t>
      </w:r>
      <w:r>
        <w:rPr>
          <w:i/>
          <w:sz w:val="22"/>
        </w:rPr>
        <w:t>period </w:t>
      </w:r>
      <w:r>
        <w:rPr>
          <w:rFonts w:ascii="Lucida Console"/>
          <w:sz w:val="20"/>
        </w:rPr>
        <w:t>,</w:t>
      </w:r>
    </w:p>
    <w:p>
      <w:pPr>
        <w:spacing w:line="259" w:lineRule="exact" w:before="0"/>
        <w:ind w:left="1300" w:right="0" w:firstLine="0"/>
        <w:jc w:val="left"/>
        <w:rPr>
          <w:rFonts w:ascii="Lucida Console"/>
          <w:sz w:val="20"/>
        </w:rPr>
      </w:pPr>
      <w:r>
        <w:rPr>
          <w:i/>
          <w:sz w:val="22"/>
        </w:rPr>
        <w:t>rate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spacing w:after="0" w:line="259" w:lineRule="exact"/>
        <w:jc w:val="left"/>
        <w:rPr>
          <w:rFonts w:ascii="Lucida Console"/>
          <w:sz w:val="20"/>
        </w:rPr>
        <w:sectPr>
          <w:pgSz w:w="12240" w:h="15840"/>
          <w:pgMar w:header="761" w:footer="746" w:top="1340" w:bottom="940" w:left="860" w:right="700"/>
        </w:sectPr>
      </w:pPr>
    </w:p>
    <w:p>
      <w:pPr>
        <w:pStyle w:val="BodyText"/>
        <w:spacing w:line="276" w:lineRule="auto" w:before="148"/>
        <w:ind w:left="220" w:right="512"/>
      </w:pPr>
      <w:r>
        <w:rPr>
          <w:b/>
        </w:rPr>
        <w:t>Description</w:t>
      </w:r>
      <w:r>
        <w:rPr/>
        <w:t>: Computes the depreciation for each accounting period. (This function is provided for the French accounting system. If an asset is purchased in the middle of the accounting period, the prorated depreciation is taken into account. The function is similar to </w:t>
      </w:r>
      <w:r>
        <w:rPr>
          <w:rFonts w:ascii="Consolas" w:hAnsi="Consolas"/>
        </w:rPr>
        <w:t>AMORLINC </w:t>
      </w:r>
      <w:r>
        <w:rPr/>
        <w:t>(§</w:t>
      </w:r>
      <w:hyperlink w:history="true" w:anchor="_bookmark470">
        <w:r>
          <w:rPr/>
          <w:t>18.17.7.7</w:t>
        </w:r>
      </w:hyperlink>
      <w:r>
        <w:rPr/>
        <w:t>), except that a depreciation coefficient is applied in the calculation depending on the life of the assets.)</w:t>
      </w:r>
    </w:p>
    <w:p>
      <w:pPr>
        <w:pStyle w:val="BodyText"/>
        <w:spacing w:before="7"/>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cost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cost of the asset.</w:t>
            </w:r>
          </w:p>
        </w:tc>
      </w:tr>
      <w:tr>
        <w:trPr>
          <w:trHeight w:val="592" w:hRule="atLeast"/>
        </w:trPr>
        <w:tc>
          <w:tcPr>
            <w:tcW w:w="1466" w:type="dxa"/>
          </w:tcPr>
          <w:p>
            <w:pPr>
              <w:pStyle w:val="TableParagraph"/>
              <w:spacing w:before="37"/>
              <w:ind w:right="404"/>
              <w:rPr>
                <w:rFonts w:ascii="Times New Roman"/>
                <w:i/>
                <w:sz w:val="22"/>
              </w:rPr>
            </w:pPr>
            <w:r>
              <w:rPr>
                <w:rFonts w:ascii="Times New Roman"/>
                <w:i/>
                <w:sz w:val="22"/>
              </w:rPr>
              <w:t>date- </w:t>
            </w:r>
            <w:r>
              <w:rPr>
                <w:rFonts w:ascii="Times New Roman"/>
                <w:i/>
                <w:sz w:val="22"/>
              </w:rPr>
              <w:t>purchased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date of the purchase of the asset.</w:t>
            </w:r>
          </w:p>
        </w:tc>
      </w:tr>
      <w:tr>
        <w:trPr>
          <w:trHeight w:val="352" w:hRule="atLeast"/>
        </w:trPr>
        <w:tc>
          <w:tcPr>
            <w:tcW w:w="1466" w:type="dxa"/>
          </w:tcPr>
          <w:p>
            <w:pPr>
              <w:pStyle w:val="TableParagraph"/>
              <w:spacing w:before="37"/>
              <w:rPr>
                <w:rFonts w:ascii="Times New Roman"/>
                <w:i/>
                <w:sz w:val="22"/>
              </w:rPr>
            </w:pPr>
            <w:r>
              <w:rPr>
                <w:rFonts w:ascii="Times New Roman"/>
                <w:i/>
                <w:sz w:val="22"/>
              </w:rPr>
              <w:t>first-period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date of the end of the first period.</w:t>
            </w:r>
          </w:p>
        </w:tc>
      </w:tr>
      <w:tr>
        <w:trPr>
          <w:trHeight w:val="355" w:hRule="atLeast"/>
        </w:trPr>
        <w:tc>
          <w:tcPr>
            <w:tcW w:w="1466" w:type="dxa"/>
          </w:tcPr>
          <w:p>
            <w:pPr>
              <w:pStyle w:val="TableParagraph"/>
              <w:rPr>
                <w:rFonts w:ascii="Times New Roman"/>
                <w:i/>
                <w:sz w:val="22"/>
              </w:rPr>
            </w:pPr>
            <w:r>
              <w:rPr>
                <w:rFonts w:ascii="Times New Roman"/>
                <w:i/>
                <w:sz w:val="22"/>
              </w:rPr>
              <w:t>salvage</w:t>
            </w:r>
          </w:p>
        </w:tc>
        <w:tc>
          <w:tcPr>
            <w:tcW w:w="1800" w:type="dxa"/>
          </w:tcPr>
          <w:p>
            <w:pPr>
              <w:pStyle w:val="TableParagraph"/>
              <w:spacing w:before="43"/>
              <w:ind w:left="112"/>
              <w:rPr>
                <w:sz w:val="22"/>
              </w:rPr>
            </w:pPr>
            <w:r>
              <w:rPr>
                <w:sz w:val="22"/>
              </w:rPr>
              <w:t>number</w:t>
            </w:r>
          </w:p>
        </w:tc>
        <w:tc>
          <w:tcPr>
            <w:tcW w:w="5399" w:type="dxa"/>
            <w:gridSpan w:val="4"/>
          </w:tcPr>
          <w:p>
            <w:pPr>
              <w:pStyle w:val="TableParagraph"/>
              <w:spacing w:before="43"/>
              <w:ind w:left="113"/>
              <w:rPr>
                <w:sz w:val="22"/>
              </w:rPr>
            </w:pPr>
            <w:r>
              <w:rPr>
                <w:sz w:val="22"/>
              </w:rPr>
              <w:t>The salvage value at the end of the life of the asset.</w:t>
            </w:r>
          </w:p>
        </w:tc>
      </w:tr>
      <w:tr>
        <w:trPr>
          <w:trHeight w:val="354" w:hRule="atLeast"/>
        </w:trPr>
        <w:tc>
          <w:tcPr>
            <w:tcW w:w="1466" w:type="dxa"/>
          </w:tcPr>
          <w:p>
            <w:pPr>
              <w:pStyle w:val="TableParagraph"/>
              <w:spacing w:before="37"/>
              <w:rPr>
                <w:rFonts w:ascii="Times New Roman"/>
                <w:i/>
                <w:sz w:val="22"/>
              </w:rPr>
            </w:pPr>
            <w:r>
              <w:rPr>
                <w:rFonts w:ascii="Times New Roman"/>
                <w:i/>
                <w:sz w:val="22"/>
              </w:rPr>
              <w:t>period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period.</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rate of depreciation.</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68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72"/>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72"/>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w:t>
            </w:r>
            <w:r>
              <w:rPr>
                <w:spacing w:val="-4"/>
                <w:sz w:val="22"/>
              </w:rPr>
              <w:t> </w:t>
            </w:r>
            <w:r>
              <w:rPr>
                <w:sz w:val="22"/>
              </w:rPr>
              <w:t>or</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1214"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ight="129"/>
              <w:rPr>
                <w:sz w:val="22"/>
              </w:rPr>
            </w:pPr>
            <w:r>
              <w:rPr>
                <w:sz w:val="22"/>
              </w:rPr>
              <w:t>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661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73"/>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73"/>
              </w:numPr>
              <w:tabs>
                <w:tab w:pos="837" w:val="left" w:leader="none"/>
                <w:tab w:pos="838" w:val="left" w:leader="none"/>
              </w:tabs>
              <w:spacing w:line="240" w:lineRule="auto" w:before="1" w:after="0"/>
              <w:ind w:left="837" w:right="132" w:hanging="360"/>
              <w:jc w:val="left"/>
              <w:rPr>
                <w:sz w:val="22"/>
              </w:rPr>
            </w:pPr>
            <w:r>
              <w:rPr>
                <w:sz w:val="22"/>
              </w:rPr>
              <w:t>For months with 31 days, all dates with a day value of </w:t>
            </w:r>
            <w:r>
              <w:rPr>
                <w:spacing w:val="-8"/>
                <w:sz w:val="22"/>
              </w:rPr>
              <w:t>31 </w:t>
            </w:r>
            <w:r>
              <w:rPr>
                <w:sz w:val="22"/>
              </w:rPr>
              <w:t>are changed to day 30, including situations where the first date is 28 or 29 February.</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spacing w:line="456" w:lineRule="auto" w:before="150"/>
        <w:ind w:left="220" w:right="3312" w:firstLine="0"/>
        <w:jc w:val="left"/>
        <w:rPr>
          <w:sz w:val="22"/>
        </w:rPr>
      </w:pPr>
      <w:r>
        <w:rPr>
          <w:b/>
          <w:sz w:val="22"/>
        </w:rPr>
        <w:t>Return Type and Value: </w:t>
      </w:r>
      <w:r>
        <w:rPr>
          <w:sz w:val="22"/>
        </w:rPr>
        <w:t>number – The depreciation for each accounting period.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cost</w:t>
      </w:r>
      <w:r>
        <w:rPr>
          <w:sz w:val="22"/>
        </w:rPr>
        <w:t>, </w:t>
      </w:r>
      <w:r>
        <w:rPr>
          <w:rFonts w:ascii="Times New Roman" w:hAnsi="Times New Roman"/>
          <w:i/>
          <w:sz w:val="22"/>
        </w:rPr>
        <w:t>salvage</w:t>
      </w:r>
      <w:r>
        <w:rPr>
          <w:sz w:val="22"/>
        </w:rPr>
        <w:t>, </w:t>
      </w:r>
      <w:r>
        <w:rPr>
          <w:rFonts w:ascii="Times New Roman" w:hAnsi="Times New Roman"/>
          <w:i/>
          <w:sz w:val="22"/>
        </w:rPr>
        <w:t>period</w:t>
      </w:r>
      <w:r>
        <w:rPr>
          <w:sz w:val="22"/>
        </w:rPr>
        <w:t>, </w:t>
      </w:r>
      <w:r>
        <w:rPr>
          <w:rFonts w:ascii="Times New Roman" w:hAnsi="Times New Roman"/>
          <w:i/>
          <w:sz w:val="22"/>
        </w:rPr>
        <w:t>or rate </w:t>
      </w:r>
      <w:r>
        <w:rPr>
          <w:sz w:val="22"/>
        </w:rPr>
        <w:t>&lt; 0, </w:t>
      </w:r>
      <w:r>
        <w:rPr>
          <w:rFonts w:ascii="Consolas" w:hAnsi="Consolas"/>
          <w:sz w:val="22"/>
        </w:rPr>
        <w:t>#NUM!</w:t>
      </w:r>
      <w:r>
        <w:rPr>
          <w:rFonts w:ascii="Consolas" w:hAnsi="Consolas"/>
          <w:spacing w:val="-64"/>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date-purchased </w:t>
      </w:r>
      <w:r>
        <w:rPr>
          <w:sz w:val="22"/>
        </w:rPr>
        <w:t>or </w:t>
      </w:r>
      <w:r>
        <w:rPr>
          <w:rFonts w:ascii="Times New Roman" w:hAnsi="Times New Roman"/>
          <w:i/>
          <w:sz w:val="22"/>
        </w:rPr>
        <w:t>first-period </w:t>
      </w:r>
      <w:r>
        <w:rPr>
          <w:sz w:val="22"/>
        </w:rPr>
        <w:t>is out of range for the current date system, </w:t>
      </w:r>
      <w:r>
        <w:rPr>
          <w:rFonts w:ascii="Consolas" w:hAnsi="Consolas"/>
          <w:sz w:val="22"/>
        </w:rPr>
        <w:t>#NUM!</w:t>
      </w:r>
      <w:r>
        <w:rPr>
          <w:rFonts w:ascii="Consolas" w:hAnsi="Consolas"/>
          <w:spacing w:val="-87"/>
          <w:sz w:val="22"/>
        </w:rPr>
        <w:t> </w:t>
      </w:r>
      <w:r>
        <w:rPr>
          <w:sz w:val="22"/>
        </w:rPr>
        <w:t>is returned.</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0"/>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sz w:val="22"/>
        </w:rPr>
        <w:t>The life of the assets is between 0 and 1, 1 and 2, 2 and 3, or 4 and 5, </w:t>
      </w:r>
      <w:r>
        <w:rPr>
          <w:rFonts w:ascii="Consolas" w:hAnsi="Consolas"/>
          <w:sz w:val="22"/>
        </w:rPr>
        <w:t>#NUM!</w:t>
      </w:r>
      <w:r>
        <w:rPr>
          <w:rFonts w:ascii="Consolas" w:hAnsi="Consolas"/>
          <w:spacing w:val="-93"/>
          <w:sz w:val="22"/>
        </w:rPr>
        <w:t> </w:t>
      </w:r>
      <w:r>
        <w:rPr>
          <w:sz w:val="22"/>
        </w:rPr>
        <w:t>is returned.</w:t>
      </w:r>
    </w:p>
    <w:p>
      <w:pPr>
        <w:pStyle w:val="BodyText"/>
        <w:spacing w:line="276" w:lineRule="auto" w:before="240"/>
        <w:ind w:left="220" w:right="580"/>
      </w:pPr>
      <w:r>
        <w:rPr/>
        <w:t>This function returns the depreciation until the last period of the life of the assets or until the cumulated value of depreciation is greater than the cost of the assets minus the salvage value.</w:t>
      </w:r>
    </w:p>
    <w:p>
      <w:pPr>
        <w:pStyle w:val="BodyText"/>
        <w:spacing w:before="5"/>
        <w:rPr>
          <w:sz w:val="16"/>
        </w:rPr>
      </w:pPr>
    </w:p>
    <w:p>
      <w:pPr>
        <w:pStyle w:val="BodyText"/>
        <w:ind w:left="220"/>
      </w:pPr>
      <w:r>
        <w:rPr/>
        <w:t>The depreciation coefficients are:</w:t>
      </w:r>
    </w:p>
    <w:p>
      <w:pPr>
        <w:pStyle w:val="BodyText"/>
        <w:spacing w:before="10"/>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0"/>
        <w:gridCol w:w="2701"/>
      </w:tblGrid>
      <w:tr>
        <w:trPr>
          <w:trHeight w:val="354" w:hRule="atLeast"/>
        </w:trPr>
        <w:tc>
          <w:tcPr>
            <w:tcW w:w="2360" w:type="dxa"/>
            <w:shd w:val="clear" w:color="auto" w:fill="C0C0C0"/>
          </w:tcPr>
          <w:p>
            <w:pPr>
              <w:pStyle w:val="TableParagraph"/>
              <w:ind w:left="208"/>
              <w:rPr>
                <w:b/>
                <w:sz w:val="22"/>
              </w:rPr>
            </w:pPr>
            <w:r>
              <w:rPr>
                <w:b/>
                <w:sz w:val="22"/>
              </w:rPr>
              <w:t>Life of assets (1/rate)</w:t>
            </w:r>
          </w:p>
        </w:tc>
        <w:tc>
          <w:tcPr>
            <w:tcW w:w="2701" w:type="dxa"/>
            <w:shd w:val="clear" w:color="auto" w:fill="C0C0C0"/>
          </w:tcPr>
          <w:p>
            <w:pPr>
              <w:pStyle w:val="TableParagraph"/>
              <w:ind w:left="237"/>
              <w:rPr>
                <w:b/>
                <w:sz w:val="22"/>
              </w:rPr>
            </w:pPr>
            <w:r>
              <w:rPr>
                <w:b/>
                <w:sz w:val="22"/>
              </w:rPr>
              <w:t>Depreciation Coefficient</w:t>
            </w:r>
          </w:p>
        </w:tc>
      </w:tr>
      <w:tr>
        <w:trPr>
          <w:trHeight w:val="354" w:hRule="atLeast"/>
        </w:trPr>
        <w:tc>
          <w:tcPr>
            <w:tcW w:w="2360" w:type="dxa"/>
          </w:tcPr>
          <w:p>
            <w:pPr>
              <w:pStyle w:val="TableParagraph"/>
              <w:rPr>
                <w:sz w:val="22"/>
              </w:rPr>
            </w:pPr>
            <w:r>
              <w:rPr>
                <w:sz w:val="22"/>
              </w:rPr>
              <w:t>Between 3 and 4 years</w:t>
            </w:r>
          </w:p>
        </w:tc>
        <w:tc>
          <w:tcPr>
            <w:tcW w:w="2701" w:type="dxa"/>
          </w:tcPr>
          <w:p>
            <w:pPr>
              <w:pStyle w:val="TableParagraph"/>
              <w:ind w:left="112"/>
              <w:rPr>
                <w:sz w:val="22"/>
              </w:rPr>
            </w:pPr>
            <w:r>
              <w:rPr>
                <w:sz w:val="22"/>
              </w:rPr>
              <w:t>1.5</w:t>
            </w:r>
          </w:p>
        </w:tc>
      </w:tr>
      <w:tr>
        <w:trPr>
          <w:trHeight w:val="354" w:hRule="atLeast"/>
        </w:trPr>
        <w:tc>
          <w:tcPr>
            <w:tcW w:w="2360" w:type="dxa"/>
          </w:tcPr>
          <w:p>
            <w:pPr>
              <w:pStyle w:val="TableParagraph"/>
              <w:rPr>
                <w:sz w:val="22"/>
              </w:rPr>
            </w:pPr>
            <w:r>
              <w:rPr>
                <w:sz w:val="22"/>
              </w:rPr>
              <w:t>Between 5 and 6 years</w:t>
            </w:r>
          </w:p>
        </w:tc>
        <w:tc>
          <w:tcPr>
            <w:tcW w:w="2701" w:type="dxa"/>
          </w:tcPr>
          <w:p>
            <w:pPr>
              <w:pStyle w:val="TableParagraph"/>
              <w:ind w:left="112"/>
              <w:rPr>
                <w:sz w:val="22"/>
              </w:rPr>
            </w:pPr>
            <w:r>
              <w:rPr>
                <w:w w:val="100"/>
                <w:sz w:val="22"/>
              </w:rPr>
              <w:t>2</w:t>
            </w:r>
          </w:p>
        </w:tc>
      </w:tr>
      <w:tr>
        <w:trPr>
          <w:trHeight w:val="354" w:hRule="atLeast"/>
        </w:trPr>
        <w:tc>
          <w:tcPr>
            <w:tcW w:w="2360" w:type="dxa"/>
          </w:tcPr>
          <w:p>
            <w:pPr>
              <w:pStyle w:val="TableParagraph"/>
              <w:rPr>
                <w:sz w:val="22"/>
              </w:rPr>
            </w:pPr>
            <w:r>
              <w:rPr>
                <w:sz w:val="22"/>
              </w:rPr>
              <w:t>More than 6 years</w:t>
            </w:r>
          </w:p>
        </w:tc>
        <w:tc>
          <w:tcPr>
            <w:tcW w:w="2701" w:type="dxa"/>
          </w:tcPr>
          <w:p>
            <w:pPr>
              <w:pStyle w:val="TableParagraph"/>
              <w:ind w:left="112"/>
              <w:rPr>
                <w:sz w:val="22"/>
              </w:rPr>
            </w:pPr>
            <w:r>
              <w:rPr>
                <w:sz w:val="22"/>
              </w:rPr>
              <w:t>2.5</w:t>
            </w:r>
          </w:p>
        </w:tc>
      </w:tr>
    </w:tbl>
    <w:p>
      <w:pPr>
        <w:pStyle w:val="BodyText"/>
      </w:pPr>
    </w:p>
    <w:p>
      <w:pPr>
        <w:pStyle w:val="BodyText"/>
        <w:spacing w:before="5"/>
        <w:rPr>
          <w:sz w:val="19"/>
        </w:rPr>
      </w:pPr>
    </w:p>
    <w:p>
      <w:pPr>
        <w:pStyle w:val="BodyText"/>
        <w:spacing w:line="278" w:lineRule="auto"/>
        <w:ind w:left="220" w:right="381"/>
      </w:pPr>
      <w:r>
        <w:rPr/>
        <w:t>The depreciation rate grows to 50 percent for the period preceding the last period, and grows to 100 percent for the last period.</w:t>
      </w:r>
    </w:p>
    <w:p>
      <w:pPr>
        <w:spacing w:before="195"/>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before="1"/>
        <w:ind w:left="220"/>
        <w:rPr>
          <w:rFonts w:ascii="Consolas"/>
        </w:rPr>
      </w:pPr>
      <w:r>
        <w:rPr>
          <w:rFonts w:ascii="Consolas"/>
        </w:rPr>
        <w:t>AMORDEGRC(2400,DATE(2008,8,19),DATE(2008,12,31),300,1,0.15,1)</w:t>
      </w:r>
      <w:r>
        <w:rPr>
          <w:rFonts w:ascii="Consolas"/>
          <w:spacing w:val="-65"/>
        </w:rPr>
        <w:t> </w:t>
      </w:r>
      <w:r>
        <w:rPr/>
        <w:t>results in </w:t>
      </w:r>
      <w:r>
        <w:rPr>
          <w:rFonts w:ascii="Consolas"/>
        </w:rPr>
        <w:t>776.00</w:t>
      </w:r>
    </w:p>
    <w:p>
      <w:pPr>
        <w:pStyle w:val="BodyText"/>
        <w:rPr>
          <w:rFonts w:ascii="Consolas"/>
        </w:rPr>
      </w:pPr>
    </w:p>
    <w:p>
      <w:pPr>
        <w:pStyle w:val="BodyText"/>
        <w:spacing w:before="11"/>
        <w:rPr>
          <w:rFonts w:ascii="Consolas"/>
          <w:sz w:val="24"/>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 AMORLINC" w:id="1416"/>
      <w:bookmarkEnd w:id="1416"/>
      <w:r>
        <w:rPr/>
      </w:r>
      <w:bookmarkStart w:name="_bookmark471" w:id="1417"/>
      <w:bookmarkEnd w:id="1417"/>
      <w:r>
        <w:rPr/>
      </w:r>
      <w:bookmarkStart w:name="_bookmark471" w:id="1418"/>
      <w:bookmarkEnd w:id="1418"/>
      <w:r>
        <w:rPr>
          <w:color w:val="4F81BC"/>
        </w:rPr>
        <w:t>A</w:t>
      </w:r>
      <w:r>
        <w:rPr>
          <w:color w:val="4F81BC"/>
        </w:rPr>
        <w:t>MORLINC</w:t>
      </w:r>
    </w:p>
    <w:p>
      <w:pPr>
        <w:pStyle w:val="Heading4"/>
        <w:spacing w:before="121"/>
        <w:rPr>
          <w:b w:val="0"/>
        </w:rPr>
      </w:pPr>
      <w:r>
        <w:rPr/>
        <w:t>Syntax</w:t>
      </w:r>
      <w:r>
        <w:rPr>
          <w:b w:val="0"/>
        </w:rPr>
        <w:t>:</w:t>
      </w:r>
    </w:p>
    <w:p>
      <w:pPr>
        <w:pStyle w:val="BodyText"/>
        <w:spacing w:before="1"/>
        <w:rPr>
          <w:sz w:val="19"/>
        </w:rPr>
      </w:pPr>
    </w:p>
    <w:p>
      <w:pPr>
        <w:spacing w:line="259" w:lineRule="exact" w:before="0"/>
        <w:ind w:left="940" w:right="0" w:firstLine="0"/>
        <w:jc w:val="left"/>
        <w:rPr>
          <w:rFonts w:ascii="Lucida Console"/>
          <w:sz w:val="20"/>
        </w:rPr>
      </w:pPr>
      <w:r>
        <w:rPr>
          <w:rFonts w:ascii="Lucida Console"/>
          <w:sz w:val="20"/>
        </w:rPr>
        <w:t>AMORLINC ( </w:t>
      </w:r>
      <w:r>
        <w:rPr>
          <w:i/>
          <w:sz w:val="22"/>
        </w:rPr>
        <w:t>cost </w:t>
      </w:r>
      <w:r>
        <w:rPr>
          <w:rFonts w:ascii="Lucida Console"/>
          <w:sz w:val="20"/>
        </w:rPr>
        <w:t>, </w:t>
      </w:r>
      <w:r>
        <w:rPr>
          <w:i/>
          <w:sz w:val="22"/>
        </w:rPr>
        <w:t>date-purchased </w:t>
      </w:r>
      <w:r>
        <w:rPr>
          <w:rFonts w:ascii="Lucida Console"/>
          <w:sz w:val="20"/>
        </w:rPr>
        <w:t>, </w:t>
      </w:r>
      <w:r>
        <w:rPr>
          <w:i/>
          <w:sz w:val="22"/>
        </w:rPr>
        <w:t>first-period  </w:t>
      </w:r>
      <w:r>
        <w:rPr>
          <w:rFonts w:ascii="Lucida Console"/>
          <w:sz w:val="20"/>
        </w:rPr>
        <w:t>, </w:t>
      </w:r>
      <w:r>
        <w:rPr>
          <w:i/>
          <w:sz w:val="22"/>
        </w:rPr>
        <w:t>salvage </w:t>
      </w:r>
      <w:r>
        <w:rPr>
          <w:rFonts w:ascii="Lucida Console"/>
          <w:sz w:val="20"/>
        </w:rPr>
        <w:t>, </w:t>
      </w:r>
      <w:r>
        <w:rPr>
          <w:i/>
          <w:sz w:val="22"/>
        </w:rPr>
        <w:t>period </w:t>
      </w:r>
      <w:r>
        <w:rPr>
          <w:rFonts w:ascii="Lucida Console"/>
          <w:sz w:val="20"/>
        </w:rPr>
        <w:t>,</w:t>
      </w:r>
    </w:p>
    <w:p>
      <w:pPr>
        <w:spacing w:line="259" w:lineRule="exact" w:before="0"/>
        <w:ind w:left="1300" w:right="0" w:firstLine="0"/>
        <w:jc w:val="left"/>
        <w:rPr>
          <w:rFonts w:ascii="Lucida Console"/>
          <w:sz w:val="20"/>
        </w:rPr>
      </w:pPr>
      <w:r>
        <w:rPr>
          <w:i/>
          <w:sz w:val="22"/>
        </w:rPr>
        <w:t>rate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pStyle w:val="BodyText"/>
        <w:spacing w:line="278" w:lineRule="auto" w:before="106"/>
        <w:ind w:left="220" w:right="512"/>
      </w:pPr>
      <w:r>
        <w:rPr>
          <w:b/>
        </w:rPr>
        <w:t>Description</w:t>
      </w:r>
      <w:r>
        <w:rPr/>
        <w:t>: Computes the depreciation for each accounting period. (This function is provided for the French accounting system. If an asset is purchased in the middle of the accounting period, the prorated depreciation is taken into account.)</w:t>
      </w:r>
    </w:p>
    <w:p>
      <w:pPr>
        <w:pStyle w:val="Heading4"/>
        <w:spacing w:before="196"/>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2" w:hRule="atLeast"/>
        </w:trPr>
        <w:tc>
          <w:tcPr>
            <w:tcW w:w="1466" w:type="dxa"/>
          </w:tcPr>
          <w:p>
            <w:pPr>
              <w:pStyle w:val="TableParagraph"/>
              <w:spacing w:before="36"/>
              <w:rPr>
                <w:rFonts w:ascii="Times New Roman"/>
                <w:i/>
                <w:sz w:val="22"/>
              </w:rPr>
            </w:pPr>
            <w:r>
              <w:rPr>
                <w:rFonts w:ascii="Times New Roman"/>
                <w:i/>
                <w:sz w:val="22"/>
              </w:rPr>
              <w:t>cost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cost of the asset.</w:t>
            </w:r>
          </w:p>
        </w:tc>
      </w:tr>
      <w:tr>
        <w:trPr>
          <w:trHeight w:val="357" w:hRule="atLeast"/>
        </w:trPr>
        <w:tc>
          <w:tcPr>
            <w:tcW w:w="1466" w:type="dxa"/>
          </w:tcPr>
          <w:p>
            <w:pPr>
              <w:pStyle w:val="TableParagraph"/>
              <w:spacing w:before="39"/>
              <w:rPr>
                <w:rFonts w:ascii="Times New Roman"/>
                <w:i/>
                <w:sz w:val="22"/>
              </w:rPr>
            </w:pPr>
            <w:r>
              <w:rPr>
                <w:rFonts w:ascii="Times New Roman"/>
                <w:i/>
                <w:sz w:val="22"/>
              </w:rPr>
              <w:t>date-</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date of the purchase of the asset.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37" w:hRule="atLeast"/>
        </w:trPr>
        <w:tc>
          <w:tcPr>
            <w:tcW w:w="1466" w:type="dxa"/>
          </w:tcPr>
          <w:p>
            <w:pPr>
              <w:pStyle w:val="TableParagraph"/>
              <w:spacing w:before="37"/>
              <w:rPr>
                <w:rFonts w:ascii="Times New Roman"/>
                <w:i/>
                <w:sz w:val="22"/>
              </w:rPr>
            </w:pPr>
            <w:r>
              <w:rPr>
                <w:rFonts w:ascii="Times New Roman"/>
                <w:i/>
                <w:sz w:val="22"/>
              </w:rPr>
              <w:t>purchased</w:t>
            </w:r>
          </w:p>
        </w:tc>
        <w:tc>
          <w:tcPr>
            <w:tcW w:w="1800" w:type="dxa"/>
          </w:tcPr>
          <w:p>
            <w:pPr>
              <w:pStyle w:val="TableParagraph"/>
              <w:spacing w:before="0"/>
              <w:ind w:left="0"/>
              <w:rPr>
                <w:rFonts w:ascii="Times New Roman"/>
                <w:sz w:val="22"/>
              </w:rPr>
            </w:pPr>
          </w:p>
        </w:tc>
        <w:tc>
          <w:tcPr>
            <w:tcW w:w="5399" w:type="dxa"/>
            <w:gridSpan w:val="4"/>
          </w:tcPr>
          <w:p>
            <w:pPr>
              <w:pStyle w:val="TableParagraph"/>
              <w:spacing w:before="0"/>
              <w:ind w:left="0"/>
              <w:rPr>
                <w:rFonts w:ascii="Times New Roman"/>
                <w:sz w:val="22"/>
              </w:rPr>
            </w:pPr>
          </w:p>
        </w:tc>
      </w:tr>
      <w:tr>
        <w:trPr>
          <w:trHeight w:val="354" w:hRule="atLeast"/>
        </w:trPr>
        <w:tc>
          <w:tcPr>
            <w:tcW w:w="1466" w:type="dxa"/>
          </w:tcPr>
          <w:p>
            <w:pPr>
              <w:pStyle w:val="TableParagraph"/>
              <w:spacing w:before="37"/>
              <w:rPr>
                <w:rFonts w:ascii="Times New Roman"/>
                <w:i/>
                <w:sz w:val="22"/>
              </w:rPr>
            </w:pPr>
            <w:r>
              <w:rPr>
                <w:rFonts w:ascii="Times New Roman"/>
                <w:i/>
                <w:sz w:val="22"/>
              </w:rPr>
              <w:t>first-period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date of the end of the first period.</w:t>
            </w:r>
          </w:p>
        </w:tc>
      </w:tr>
      <w:tr>
        <w:trPr>
          <w:trHeight w:val="354" w:hRule="atLeast"/>
        </w:trPr>
        <w:tc>
          <w:tcPr>
            <w:tcW w:w="1466" w:type="dxa"/>
          </w:tcPr>
          <w:p>
            <w:pPr>
              <w:pStyle w:val="TableParagraph"/>
              <w:spacing w:before="37"/>
              <w:rPr>
                <w:rFonts w:ascii="Times New Roman"/>
                <w:i/>
                <w:sz w:val="22"/>
              </w:rPr>
            </w:pPr>
            <w:r>
              <w:rPr>
                <w:rFonts w:ascii="Times New Roman"/>
                <w:i/>
                <w:sz w:val="22"/>
              </w:rPr>
              <w:t>salvage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salvage value at the end of the life of the asset.</w:t>
            </w:r>
          </w:p>
        </w:tc>
      </w:tr>
      <w:tr>
        <w:trPr>
          <w:trHeight w:val="354" w:hRule="atLeast"/>
        </w:trPr>
        <w:tc>
          <w:tcPr>
            <w:tcW w:w="1466" w:type="dxa"/>
          </w:tcPr>
          <w:p>
            <w:pPr>
              <w:pStyle w:val="TableParagraph"/>
              <w:spacing w:before="37"/>
              <w:rPr>
                <w:rFonts w:ascii="Times New Roman"/>
                <w:i/>
                <w:sz w:val="22"/>
              </w:rPr>
            </w:pPr>
            <w:r>
              <w:rPr>
                <w:rFonts w:ascii="Times New Roman"/>
                <w:i/>
                <w:sz w:val="22"/>
              </w:rPr>
              <w:t>period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period.</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rate of depreciation.</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74"/>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74"/>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142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w:t>
            </w:r>
            <w:r>
              <w:rPr>
                <w:spacing w:val="2"/>
                <w:sz w:val="22"/>
              </w:rPr>
              <w:t> </w:t>
            </w:r>
            <w:r>
              <w:rPr>
                <w:spacing w:val="-6"/>
                <w:sz w:val="22"/>
              </w:rPr>
              <w:t>the</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1211"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262"/>
              <w:rPr>
                <w:sz w:val="22"/>
              </w:rPr>
            </w:pPr>
            <w:r>
              <w:rPr>
                <w:sz w:val="22"/>
              </w:rPr>
              <w:t>date 29 February, the year is 366 days; otherwise it is 365 days.</w:t>
            </w:r>
          </w:p>
        </w:tc>
        <w:tc>
          <w:tcPr>
            <w:tcW w:w="403" w:type="dxa"/>
            <w:vMerge w:val="restart"/>
          </w:tcPr>
          <w:p>
            <w:pPr>
              <w:pStyle w:val="TableParagraph"/>
              <w:spacing w:before="0"/>
              <w:ind w:left="0"/>
              <w:rPr>
                <w:rFonts w:ascii="Times New Roman"/>
                <w:sz w:val="2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4"/>
              <w:ind w:left="116"/>
              <w:rPr>
                <w:rFonts w:ascii="Consolas"/>
                <w:sz w:val="22"/>
              </w:rPr>
            </w:pPr>
            <w:r>
              <w:rPr>
                <w:rFonts w:ascii="Consolas"/>
                <w:w w:val="100"/>
                <w:sz w:val="22"/>
              </w:rPr>
              <w:t>2</w:t>
            </w:r>
          </w:p>
        </w:tc>
        <w:tc>
          <w:tcPr>
            <w:tcW w:w="2340" w:type="dxa"/>
          </w:tcPr>
          <w:p>
            <w:pPr>
              <w:pStyle w:val="TableParagraph"/>
              <w:spacing w:before="42"/>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75"/>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75"/>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pStyle w:val="BodyText"/>
        <w:rPr>
          <w:rFonts w:ascii="Times New Roman"/>
          <w:sz w:val="20"/>
        </w:rPr>
      </w:pPr>
    </w:p>
    <w:p>
      <w:pPr>
        <w:pStyle w:val="BodyText"/>
        <w:spacing w:before="3"/>
        <w:rPr>
          <w:rFonts w:ascii="Times New Roman"/>
          <w:sz w:val="19"/>
        </w:rPr>
      </w:pPr>
    </w:p>
    <w:p>
      <w:pPr>
        <w:spacing w:before="56"/>
        <w:ind w:left="220" w:right="0" w:firstLine="0"/>
        <w:jc w:val="left"/>
        <w:rPr>
          <w:sz w:val="22"/>
        </w:rPr>
      </w:pPr>
      <w:r>
        <w:rPr>
          <w:b/>
          <w:sz w:val="22"/>
        </w:rPr>
        <w:t>Return Type and Value: </w:t>
      </w:r>
      <w:r>
        <w:rPr>
          <w:sz w:val="22"/>
        </w:rPr>
        <w:t>number – The depreciation for each accounting period.</w:t>
      </w:r>
    </w:p>
    <w:p>
      <w:pPr>
        <w:spacing w:after="0"/>
        <w:jc w:val="left"/>
        <w:rPr>
          <w:sz w:val="22"/>
        </w:rPr>
        <w:sectPr>
          <w:pgSz w:w="12240" w:h="15840"/>
          <w:pgMar w:header="763" w:footer="746" w:top="1340" w:bottom="940" w:left="860" w:right="700"/>
        </w:sectPr>
      </w:pPr>
    </w:p>
    <w:p>
      <w:pPr>
        <w:pStyle w:val="BodyText"/>
        <w:spacing w:before="93"/>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cost</w:t>
      </w:r>
      <w:r>
        <w:rPr>
          <w:sz w:val="22"/>
        </w:rPr>
        <w:t>, </w:t>
      </w:r>
      <w:r>
        <w:rPr>
          <w:rFonts w:ascii="Times New Roman" w:hAnsi="Times New Roman"/>
          <w:i/>
          <w:sz w:val="22"/>
        </w:rPr>
        <w:t>salvage</w:t>
      </w:r>
      <w:r>
        <w:rPr>
          <w:sz w:val="22"/>
        </w:rPr>
        <w:t>, </w:t>
      </w:r>
      <w:r>
        <w:rPr>
          <w:rFonts w:ascii="Times New Roman" w:hAnsi="Times New Roman"/>
          <w:i/>
          <w:sz w:val="22"/>
        </w:rPr>
        <w:t>period</w:t>
      </w:r>
      <w:r>
        <w:rPr>
          <w:sz w:val="22"/>
        </w:rPr>
        <w:t>, or </w:t>
      </w:r>
      <w:r>
        <w:rPr>
          <w:rFonts w:ascii="Times New Roman" w:hAnsi="Times New Roman"/>
          <w:i/>
          <w:sz w:val="22"/>
        </w:rPr>
        <w:t>rate </w:t>
      </w:r>
      <w:r>
        <w:rPr>
          <w:sz w:val="22"/>
        </w:rPr>
        <w:t>&lt; 0,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date-purchased </w:t>
      </w:r>
      <w:r>
        <w:rPr>
          <w:sz w:val="22"/>
        </w:rPr>
        <w:t>or </w:t>
      </w:r>
      <w:r>
        <w:rPr>
          <w:rFonts w:ascii="Times New Roman" w:hAnsi="Times New Roman"/>
          <w:i/>
          <w:sz w:val="22"/>
        </w:rPr>
        <w:t>first-period </w:t>
      </w:r>
      <w:r>
        <w:rPr>
          <w:sz w:val="22"/>
        </w:rPr>
        <w:t>is out of range for the current date system, </w:t>
      </w:r>
      <w:r>
        <w:rPr>
          <w:rFonts w:ascii="Consolas" w:hAnsi="Consolas"/>
          <w:sz w:val="22"/>
        </w:rPr>
        <w:t>#NUM!</w:t>
      </w:r>
      <w:r>
        <w:rPr>
          <w:rFonts w:ascii="Consolas" w:hAnsi="Consolas"/>
          <w:spacing w:val="-87"/>
          <w:sz w:val="22"/>
        </w:rPr>
        <w:t> </w:t>
      </w:r>
      <w:r>
        <w:rPr>
          <w:sz w:val="22"/>
        </w:rPr>
        <w:t>is returned.</w:t>
      </w:r>
    </w:p>
    <w:p>
      <w:pPr>
        <w:pStyle w:val="ListParagraph"/>
        <w:numPr>
          <w:ilvl w:val="4"/>
          <w:numId w:val="66"/>
        </w:numPr>
        <w:tabs>
          <w:tab w:pos="940" w:val="left" w:leader="none"/>
          <w:tab w:pos="941" w:val="left" w:leader="none"/>
        </w:tabs>
        <w:spacing w:line="446" w:lineRule="auto" w:before="38"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9"/>
        <w:ind w:left="220"/>
        <w:rPr>
          <w:rFonts w:ascii="Consolas"/>
        </w:rPr>
      </w:pPr>
      <w:r>
        <w:rPr>
          <w:rFonts w:ascii="Consolas"/>
        </w:rPr>
        <w:t>AMORLINC(2400,DATE(2008,8,19),DATE(2008,12,31),300,1,0.15,1)</w:t>
      </w:r>
      <w:r>
        <w:rPr>
          <w:rFonts w:ascii="Consolas"/>
          <w:spacing w:val="-68"/>
        </w:rPr>
        <w:t> </w:t>
      </w:r>
      <w:r>
        <w:rPr/>
        <w:t>results in </w:t>
      </w:r>
      <w:r>
        <w:rPr>
          <w:rFonts w:ascii="Consolas"/>
        </w:rPr>
        <w:t>360.00</w:t>
      </w:r>
    </w:p>
    <w:p>
      <w:pPr>
        <w:pStyle w:val="BodyText"/>
        <w:rPr>
          <w:rFonts w:ascii="Consolas"/>
        </w:rPr>
      </w:pPr>
    </w:p>
    <w:p>
      <w:pPr>
        <w:pStyle w:val="BodyText"/>
        <w:spacing w:before="11"/>
        <w:rPr>
          <w:rFonts w:ascii="Consolas"/>
          <w:sz w:val="24"/>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9 AND" w:id="1419"/>
      <w:bookmarkEnd w:id="1419"/>
      <w:r>
        <w:rPr/>
      </w:r>
      <w:bookmarkStart w:name="_bookmark472" w:id="1420"/>
      <w:bookmarkEnd w:id="1420"/>
      <w:r>
        <w:rPr/>
      </w:r>
      <w:bookmarkStart w:name="_bookmark472" w:id="1421"/>
      <w:bookmarkEnd w:id="1421"/>
      <w:r>
        <w:rPr>
          <w:color w:val="4F81BC"/>
        </w:rPr>
        <w:t>A</w:t>
      </w:r>
      <w:r>
        <w:rPr>
          <w:color w:val="4F81BC"/>
        </w:rPr>
        <w:t>ND</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AND ( </w:t>
      </w:r>
      <w:r>
        <w:rPr>
          <w:i/>
          <w:sz w:val="22"/>
        </w:rPr>
        <w:t>argument-list </w:t>
      </w:r>
      <w:r>
        <w:rPr>
          <w:rFonts w:ascii="Lucida Console"/>
          <w:sz w:val="20"/>
        </w:rPr>
        <w:t>)</w:t>
      </w:r>
    </w:p>
    <w:p>
      <w:pPr>
        <w:spacing w:line="278" w:lineRule="auto" w:before="106"/>
        <w:ind w:left="220" w:right="503" w:firstLine="0"/>
        <w:jc w:val="left"/>
        <w:rPr>
          <w:sz w:val="22"/>
        </w:rPr>
      </w:pPr>
      <w:r>
        <w:rPr>
          <w:b/>
          <w:sz w:val="22"/>
        </w:rPr>
        <w:t>Description: </w:t>
      </w:r>
      <w:r>
        <w:rPr>
          <w:sz w:val="22"/>
        </w:rPr>
        <w:t>Tests if all </w:t>
      </w:r>
      <w:r>
        <w:rPr>
          <w:rFonts w:ascii="Times New Roman"/>
          <w:i/>
          <w:sz w:val="22"/>
        </w:rPr>
        <w:t>argument</w:t>
      </w:r>
      <w:r>
        <w:rPr>
          <w:sz w:val="22"/>
        </w:rPr>
        <w:t>s in </w:t>
      </w:r>
      <w:r>
        <w:rPr>
          <w:rFonts w:ascii="Times New Roman"/>
          <w:i/>
          <w:sz w:val="22"/>
        </w:rPr>
        <w:t>argument-list </w:t>
      </w:r>
      <w:r>
        <w:rPr>
          <w:sz w:val="22"/>
        </w:rPr>
        <w:t>are </w:t>
      </w:r>
      <w:r>
        <w:rPr>
          <w:rFonts w:ascii="Consolas"/>
          <w:sz w:val="22"/>
        </w:rPr>
        <w:t>TRUE</w:t>
      </w:r>
      <w:r>
        <w:rPr>
          <w:sz w:val="22"/>
        </w:rPr>
        <w:t>. The function evaluates all arguments prior to returning a value.</w:t>
      </w:r>
    </w:p>
    <w:p>
      <w:pPr>
        <w:pStyle w:val="Heading4"/>
        <w:spacing w:before="197"/>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2"/>
              <w:rPr>
                <w:sz w:val="22"/>
              </w:rPr>
            </w:pPr>
            <w:r>
              <w:rPr>
                <w:sz w:val="22"/>
              </w:rPr>
              <w:t>logical, array, or cell reference</w:t>
            </w:r>
          </w:p>
        </w:tc>
        <w:tc>
          <w:tcPr>
            <w:tcW w:w="5400" w:type="dxa"/>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to be tested. For an array or cell reference, a cell that contains text or is empty shall be ignored.</w:t>
            </w:r>
          </w:p>
        </w:tc>
      </w:tr>
    </w:tbl>
    <w:p>
      <w:pPr>
        <w:pStyle w:val="BodyText"/>
        <w:rPr>
          <w:b/>
        </w:rPr>
      </w:pPr>
    </w:p>
    <w:p>
      <w:pPr>
        <w:pStyle w:val="BodyText"/>
        <w:spacing w:before="7"/>
        <w:rPr>
          <w:b/>
          <w:sz w:val="19"/>
        </w:rPr>
      </w:pPr>
    </w:p>
    <w:p>
      <w:pPr>
        <w:spacing w:line="453" w:lineRule="auto" w:before="0"/>
        <w:ind w:left="220" w:right="718"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100"/>
          <w:sz w:val="22"/>
        </w:rPr>
        <w:t> </w:t>
      </w:r>
      <w:r>
        <w:rPr>
          <w:sz w:val="22"/>
        </w:rPr>
        <w:t>if all </w:t>
      </w:r>
      <w:r>
        <w:rPr>
          <w:rFonts w:ascii="Times New Roman" w:hAnsi="Times New Roman"/>
          <w:i/>
          <w:sz w:val="22"/>
        </w:rPr>
        <w:t>argument</w:t>
      </w:r>
      <w:r>
        <w:rPr>
          <w:sz w:val="22"/>
        </w:rPr>
        <w:t>s in </w:t>
      </w:r>
      <w:r>
        <w:rPr>
          <w:rFonts w:ascii="Times New Roman" w:hAnsi="Times New Roman"/>
          <w:i/>
          <w:sz w:val="22"/>
        </w:rPr>
        <w:t>argument-list </w:t>
      </w:r>
      <w:r>
        <w:rPr>
          <w:sz w:val="22"/>
        </w:rPr>
        <w:t>are </w:t>
      </w:r>
      <w:r>
        <w:rPr>
          <w:rFonts w:ascii="Consolas" w:hAnsi="Consolas"/>
          <w:sz w:val="22"/>
        </w:rPr>
        <w:t>TRUE</w:t>
      </w:r>
      <w:r>
        <w:rPr>
          <w:sz w:val="22"/>
        </w:rPr>
        <w:t>; otherwise, </w:t>
      </w:r>
      <w:r>
        <w:rPr>
          <w:rFonts w:ascii="Consolas" w:hAnsi="Consolas"/>
          <w:sz w:val="22"/>
        </w:rPr>
        <w:t>FALSE</w:t>
      </w:r>
      <w:r>
        <w:rPr>
          <w:sz w:val="22"/>
        </w:rPr>
        <w:t>. However, if no logical values are found, </w:t>
      </w:r>
      <w:r>
        <w:rPr>
          <w:rFonts w:ascii="Consolas" w:hAnsi="Consolas"/>
          <w:sz w:val="22"/>
        </w:rPr>
        <w:t>#VALUE!</w:t>
      </w:r>
      <w:r>
        <w:rPr>
          <w:rFonts w:ascii="Consolas" w:hAnsi="Consolas"/>
          <w:spacing w:val="-75"/>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6998"/>
        <w:rPr>
          <w:rFonts w:ascii="Consolas"/>
        </w:rPr>
      </w:pPr>
      <w:r>
        <w:rPr>
          <w:rFonts w:ascii="Consolas"/>
        </w:rPr>
        <w:t>AND(TRUE) </w:t>
      </w:r>
      <w:r>
        <w:rPr/>
        <w:t>results in </w:t>
      </w:r>
      <w:r>
        <w:rPr>
          <w:rFonts w:ascii="Consolas"/>
        </w:rPr>
        <w:t>TRUE AND(TRUE,FALSE) </w:t>
      </w:r>
      <w:r>
        <w:rPr/>
        <w:t>results in </w:t>
      </w:r>
      <w:r>
        <w:rPr>
          <w:rFonts w:ascii="Consolas"/>
        </w:rPr>
        <w:t>FALSE AND(10&gt;5,3=1+2,5)</w:t>
      </w:r>
      <w:r>
        <w:rPr>
          <w:rFonts w:ascii="Consolas"/>
          <w:spacing w:val="-83"/>
        </w:rPr>
        <w:t> </w:t>
      </w:r>
      <w:r>
        <w:rPr/>
        <w:t>results in </w:t>
      </w:r>
      <w:r>
        <w:rPr>
          <w:rFonts w:ascii="Consolas"/>
        </w:rPr>
        <w:t>TRUE</w:t>
      </w:r>
    </w:p>
    <w:p>
      <w:pPr>
        <w:pStyle w:val="BodyText"/>
        <w:ind w:left="220"/>
      </w:pPr>
      <w:r>
        <w:rPr>
          <w:rFonts w:ascii="Consolas"/>
        </w:rPr>
        <w:t>AND({10,5,6,7},TRUE,E6:F6)</w:t>
      </w:r>
      <w:r>
        <w:rPr>
          <w:rFonts w:ascii="Consolas"/>
          <w:spacing w:val="-65"/>
        </w:rPr>
        <w:t> </w:t>
      </w:r>
      <w:r>
        <w:rPr/>
        <w:t>results in </w:t>
      </w:r>
      <w:r>
        <w:rPr>
          <w:rFonts w:ascii="Consolas"/>
        </w:rPr>
        <w:t>TRUE</w:t>
      </w:r>
      <w:r>
        <w:rPr/>
        <w:t>, when E6 contains </w:t>
      </w:r>
      <w:r>
        <w:rPr>
          <w:rFonts w:ascii="Consolas"/>
        </w:rPr>
        <w:t>TRUE</w:t>
      </w:r>
      <w:r>
        <w:rPr>
          <w:rFonts w:ascii="Consolas"/>
          <w:spacing w:val="-70"/>
        </w:rPr>
        <w:t> </w:t>
      </w:r>
      <w:r>
        <w:rPr/>
        <w:t>and F6 contains 10</w:t>
      </w:r>
    </w:p>
    <w:p>
      <w:pPr>
        <w:pStyle w:val="BodyText"/>
        <w:spacing w:before="11"/>
        <w:rPr>
          <w:sz w:val="28"/>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0 AREAS" w:id="1422"/>
      <w:bookmarkEnd w:id="1422"/>
      <w:r>
        <w:rPr/>
      </w:r>
      <w:bookmarkStart w:name="_bookmark473" w:id="1423"/>
      <w:bookmarkEnd w:id="1423"/>
      <w:r>
        <w:rPr/>
      </w:r>
      <w:bookmarkStart w:name="_bookmark473" w:id="1424"/>
      <w:bookmarkEnd w:id="1424"/>
      <w:r>
        <w:rPr>
          <w:color w:val="4F81BC"/>
        </w:rPr>
        <w:t>AR</w:t>
      </w:r>
      <w:r>
        <w:rPr>
          <w:color w:val="4F81BC"/>
        </w:rPr>
        <w:t>EAS</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AREAS ( </w:t>
      </w:r>
      <w:r>
        <w:rPr>
          <w:i/>
          <w:sz w:val="22"/>
        </w:rPr>
        <w:t>reference </w:t>
      </w:r>
      <w:r>
        <w:rPr>
          <w:rFonts w:ascii="Lucida Console"/>
          <w:sz w:val="20"/>
        </w:rPr>
        <w:t>)</w:t>
      </w:r>
    </w:p>
    <w:p>
      <w:pPr>
        <w:spacing w:after="0"/>
        <w:jc w:val="left"/>
        <w:rPr>
          <w:rFonts w:ascii="Lucida Console"/>
          <w:sz w:val="20"/>
        </w:rPr>
        <w:sectPr>
          <w:pgSz w:w="12240" w:h="15840"/>
          <w:pgMar w:header="761" w:footer="746" w:top="1340" w:bottom="940" w:left="860" w:right="700"/>
        </w:sectPr>
      </w:pPr>
    </w:p>
    <w:p>
      <w:pPr>
        <w:spacing w:before="150"/>
        <w:ind w:left="220" w:right="0" w:firstLine="0"/>
        <w:jc w:val="left"/>
        <w:rPr>
          <w:sz w:val="22"/>
        </w:rPr>
      </w:pPr>
      <w:r>
        <w:rPr>
          <w:b/>
          <w:sz w:val="22"/>
        </w:rPr>
        <w:t>Description: </w:t>
      </w:r>
      <w:r>
        <w:rPr>
          <w:sz w:val="22"/>
        </w:rPr>
        <w:t>Finds the number of areas (§</w:t>
      </w:r>
      <w:hyperlink w:history="true" w:anchor="_bookmark437">
        <w:r>
          <w:rPr>
            <w:sz w:val="22"/>
          </w:rPr>
          <w:t>18.17.2.3</w:t>
        </w:r>
      </w:hyperlink>
      <w:r>
        <w:rPr>
          <w:sz w:val="22"/>
        </w:rPr>
        <w:t>) designated by </w:t>
      </w:r>
      <w:r>
        <w:rPr>
          <w:rFonts w:ascii="Times New Roman" w:hAnsi="Times New Roman"/>
          <w:i/>
          <w:sz w:val="22"/>
        </w:rPr>
        <w:t>reference</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reference</w:t>
            </w:r>
          </w:p>
        </w:tc>
        <w:tc>
          <w:tcPr>
            <w:tcW w:w="1800" w:type="dxa"/>
          </w:tcPr>
          <w:p>
            <w:pPr>
              <w:pStyle w:val="TableParagraph"/>
              <w:ind w:left="112"/>
              <w:rPr>
                <w:sz w:val="22"/>
              </w:rPr>
            </w:pPr>
            <w:r>
              <w:rPr>
                <w:sz w:val="22"/>
              </w:rPr>
              <w:t>reference</w:t>
            </w:r>
          </w:p>
        </w:tc>
        <w:tc>
          <w:tcPr>
            <w:tcW w:w="5400" w:type="dxa"/>
          </w:tcPr>
          <w:p>
            <w:pPr>
              <w:pStyle w:val="TableParagraph"/>
              <w:ind w:left="113" w:right="248"/>
              <w:rPr>
                <w:sz w:val="22"/>
              </w:rPr>
            </w:pPr>
            <w:r>
              <w:rPr>
                <w:sz w:val="22"/>
              </w:rPr>
              <w:t>A reference to a single cell or to a range of cells that can refer to multiple areas.</w:t>
            </w:r>
          </w:p>
        </w:tc>
      </w:tr>
    </w:tbl>
    <w:p>
      <w:pPr>
        <w:pStyle w:val="BodyText"/>
        <w:rPr>
          <w:b/>
        </w:rPr>
      </w:pPr>
    </w:p>
    <w:p>
      <w:pPr>
        <w:pStyle w:val="BodyText"/>
        <w:spacing w:before="7"/>
        <w:rPr>
          <w:b/>
          <w:sz w:val="19"/>
        </w:rPr>
      </w:pPr>
    </w:p>
    <w:p>
      <w:pPr>
        <w:spacing w:line="453" w:lineRule="auto" w:before="0"/>
        <w:ind w:left="220" w:right="3237" w:firstLine="0"/>
        <w:jc w:val="left"/>
        <w:rPr>
          <w:sz w:val="22"/>
        </w:rPr>
      </w:pPr>
      <w:r>
        <w:rPr>
          <w:b/>
          <w:sz w:val="22"/>
        </w:rPr>
        <w:t>Return Type and Value: </w:t>
      </w:r>
      <w:r>
        <w:rPr>
          <w:sz w:val="22"/>
        </w:rPr>
        <w:t>number – The number of areas designated by </w:t>
      </w:r>
      <w:r>
        <w:rPr>
          <w:rFonts w:ascii="Times New Roman" w:hAnsi="Times New Roman"/>
          <w:i/>
          <w:sz w:val="22"/>
        </w:rPr>
        <w:t>reference</w:t>
      </w:r>
      <w:r>
        <w:rPr>
          <w:sz w:val="22"/>
        </w:rPr>
        <w:t>. However, if the reference designates no areas, </w:t>
      </w:r>
      <w:r>
        <w:rPr>
          <w:rFonts w:ascii="Consolas" w:hAnsi="Consolas"/>
          <w:sz w:val="22"/>
        </w:rPr>
        <w:t>#NUM!</w:t>
      </w:r>
      <w:r>
        <w:rPr>
          <w:rFonts w:ascii="Consolas" w:hAnsi="Consolas"/>
          <w:spacing w:val="-74"/>
          <w:sz w:val="22"/>
        </w:rPr>
        <w:t> </w:t>
      </w:r>
      <w:r>
        <w:rPr>
          <w:sz w:val="22"/>
        </w:rPr>
        <w:t>is returned.</w:t>
      </w:r>
    </w:p>
    <w:p>
      <w:pPr>
        <w:spacing w:before="1"/>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7477"/>
        <w:rPr>
          <w:rFonts w:ascii="Consolas"/>
        </w:rPr>
      </w:pPr>
      <w:r>
        <w:rPr>
          <w:rFonts w:ascii="Consolas"/>
        </w:rPr>
        <w:t>AREAS(E312) </w:t>
      </w:r>
      <w:r>
        <w:rPr/>
        <w:t>results in </w:t>
      </w:r>
      <w:r>
        <w:rPr>
          <w:rFonts w:ascii="Consolas"/>
        </w:rPr>
        <w:t>1 AREAS(E311:F313)</w:t>
      </w:r>
      <w:r>
        <w:rPr>
          <w:rFonts w:ascii="Consolas"/>
          <w:spacing w:val="-78"/>
        </w:rPr>
        <w:t> </w:t>
      </w:r>
      <w:r>
        <w:rPr/>
        <w:t>results in </w:t>
      </w:r>
      <w:r>
        <w:rPr>
          <w:rFonts w:ascii="Consolas"/>
        </w:rPr>
        <w:t>1</w:t>
      </w:r>
    </w:p>
    <w:p>
      <w:pPr>
        <w:pStyle w:val="BodyText"/>
        <w:spacing w:before="2"/>
        <w:ind w:left="220"/>
      </w:pPr>
      <w:r>
        <w:rPr>
          <w:rFonts w:ascii="Consolas"/>
        </w:rPr>
        <w:t>AREAS((E312:F314,G316:H316,G311))</w:t>
      </w:r>
      <w:r>
        <w:rPr>
          <w:rFonts w:ascii="Consolas"/>
          <w:spacing w:val="-74"/>
        </w:rPr>
        <w:t> </w:t>
      </w:r>
      <w:r>
        <w:rPr/>
        <w:t>results in </w:t>
      </w:r>
      <w:r>
        <w:rPr>
          <w:rFonts w:ascii="Consolas"/>
        </w:rPr>
        <w:t>3</w:t>
      </w:r>
      <w:r>
        <w:rPr/>
        <w:t>, given the union of the three areas</w:t>
      </w:r>
    </w:p>
    <w:p>
      <w:pPr>
        <w:pStyle w:val="BodyText"/>
        <w:spacing w:before="39"/>
        <w:ind w:left="220"/>
      </w:pPr>
      <w:r>
        <w:rPr>
          <w:rFonts w:ascii="Consolas"/>
        </w:rPr>
        <w:t>AREAS((E312:F314 E313:F314 F312:F314))</w:t>
      </w:r>
      <w:r>
        <w:rPr>
          <w:rFonts w:ascii="Consolas"/>
          <w:spacing w:val="-84"/>
        </w:rPr>
        <w:t> </w:t>
      </w:r>
      <w:r>
        <w:rPr/>
        <w:t>results in </w:t>
      </w:r>
      <w:r>
        <w:rPr>
          <w:rFonts w:ascii="Consolas"/>
        </w:rPr>
        <w:t>1</w:t>
      </w:r>
      <w:r>
        <w:rPr/>
        <w:t>, given the intersection of the three areas</w:t>
      </w:r>
    </w:p>
    <w:p>
      <w:pPr>
        <w:pStyle w:val="BodyText"/>
        <w:spacing w:before="11"/>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 ASC" w:id="1425"/>
      <w:bookmarkEnd w:id="1425"/>
      <w:r>
        <w:rPr/>
      </w:r>
      <w:bookmarkStart w:name="_bookmark474" w:id="1426"/>
      <w:bookmarkEnd w:id="1426"/>
      <w:r>
        <w:rPr/>
      </w:r>
      <w:bookmarkStart w:name="_bookmark474" w:id="1427"/>
      <w:bookmarkEnd w:id="1427"/>
      <w:r>
        <w:rPr>
          <w:color w:val="4F81BC"/>
        </w:rPr>
        <w:t>A</w:t>
      </w:r>
      <w:r>
        <w:rPr>
          <w:color w:val="4F81BC"/>
        </w:rPr>
        <w:t>SC</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ASC ( </w:t>
      </w:r>
      <w:r>
        <w:rPr>
          <w:i/>
          <w:sz w:val="22"/>
        </w:rPr>
        <w:t>string </w:t>
      </w:r>
      <w:r>
        <w:rPr>
          <w:rFonts w:ascii="Lucida Console"/>
          <w:sz w:val="20"/>
        </w:rPr>
        <w:t>)</w:t>
      </w:r>
    </w:p>
    <w:p>
      <w:pPr>
        <w:pStyle w:val="BodyText"/>
        <w:spacing w:line="278" w:lineRule="auto" w:before="105"/>
        <w:ind w:left="220" w:right="506"/>
      </w:pPr>
      <w:r>
        <w:rPr>
          <w:b/>
        </w:rPr>
        <w:t>Description: </w:t>
      </w:r>
      <w:r>
        <w:rPr/>
        <w:t>For double-byte character set (DBCS) languages, converts all full-width (double-byte) characters to half-width (single-byte) characters.</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0"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536"/>
              <w:jc w:val="both"/>
              <w:rPr>
                <w:sz w:val="22"/>
              </w:rPr>
            </w:pPr>
            <w:r>
              <w:rPr>
                <w:sz w:val="22"/>
              </w:rPr>
              <w:t>Designate the text to be converted. If </w:t>
            </w:r>
            <w:r>
              <w:rPr>
                <w:rFonts w:ascii="Times New Roman"/>
                <w:i/>
                <w:sz w:val="22"/>
              </w:rPr>
              <w:t>string </w:t>
            </w:r>
            <w:r>
              <w:rPr>
                <w:sz w:val="22"/>
              </w:rPr>
              <w:t>does not contain any full-width characters, nothing in </w:t>
            </w:r>
            <w:r>
              <w:rPr>
                <w:rFonts w:ascii="Times New Roman"/>
                <w:i/>
                <w:sz w:val="22"/>
              </w:rPr>
              <w:t>string </w:t>
            </w:r>
            <w:r>
              <w:rPr>
                <w:sz w:val="22"/>
              </w:rPr>
              <w:t>is converted.</w:t>
            </w:r>
          </w:p>
        </w:tc>
      </w:tr>
    </w:tbl>
    <w:p>
      <w:pPr>
        <w:pStyle w:val="BodyText"/>
        <w:rPr>
          <w:b/>
        </w:rPr>
      </w:pPr>
    </w:p>
    <w:p>
      <w:pPr>
        <w:pStyle w:val="BodyText"/>
        <w:spacing w:before="8"/>
        <w:rPr>
          <w:b/>
          <w:sz w:val="19"/>
        </w:rPr>
      </w:pPr>
    </w:p>
    <w:p>
      <w:pPr>
        <w:spacing w:line="453" w:lineRule="auto" w:before="0"/>
        <w:ind w:left="220" w:right="4202" w:firstLine="0"/>
        <w:jc w:val="left"/>
        <w:rPr>
          <w:sz w:val="22"/>
        </w:rPr>
      </w:pPr>
      <w:r>
        <w:rPr>
          <w:b/>
          <w:sz w:val="22"/>
        </w:rPr>
        <w:t>Return Type and Value: </w:t>
      </w:r>
      <w:r>
        <w:rPr>
          <w:sz w:val="22"/>
        </w:rPr>
        <w:t>text – The text resulting from the conversion. [</w:t>
      </w:r>
      <w:r>
        <w:rPr>
          <w:i/>
          <w:sz w:val="22"/>
        </w:rPr>
        <w:t>Example</w:t>
      </w:r>
      <w:r>
        <w:rPr>
          <w:sz w:val="22"/>
        </w:rPr>
        <w:t>:</w:t>
      </w:r>
    </w:p>
    <w:p>
      <w:pPr>
        <w:pStyle w:val="BodyText"/>
        <w:spacing w:line="278" w:lineRule="auto" w:before="110"/>
        <w:ind w:left="220" w:right="7537"/>
      </w:pPr>
      <w:r>
        <w:rPr/>
        <w:drawing>
          <wp:anchor distT="0" distB="0" distL="0" distR="0" allowOverlap="1" layoutInCell="1" locked="0" behindDoc="0" simplePos="0" relativeHeight="251736064">
            <wp:simplePos x="0" y="0"/>
            <wp:positionH relativeFrom="page">
              <wp:posOffset>2363723</wp:posOffset>
            </wp:positionH>
            <wp:positionV relativeFrom="paragraph">
              <wp:posOffset>293035</wp:posOffset>
            </wp:positionV>
            <wp:extent cx="277368" cy="120396"/>
            <wp:effectExtent l="0" t="0" r="0" b="0"/>
            <wp:wrapNone/>
            <wp:docPr id="135" name="image67.png"/>
            <wp:cNvGraphicFramePr>
              <a:graphicFrameLocks noChangeAspect="1"/>
            </wp:cNvGraphicFramePr>
            <a:graphic>
              <a:graphicData uri="http://schemas.openxmlformats.org/drawingml/2006/picture">
                <pic:pic>
                  <pic:nvPicPr>
                    <pic:cNvPr id="136" name="image67.png"/>
                    <pic:cNvPicPr/>
                  </pic:nvPicPr>
                  <pic:blipFill>
                    <a:blip r:embed="rId207" cstate="print"/>
                    <a:stretch>
                      <a:fillRect/>
                    </a:stretch>
                  </pic:blipFill>
                  <pic:spPr>
                    <a:xfrm>
                      <a:off x="0" y="0"/>
                      <a:ext cx="277368" cy="120396"/>
                    </a:xfrm>
                    <a:prstGeom prst="rect">
                      <a:avLst/>
                    </a:prstGeom>
                  </pic:spPr>
                </pic:pic>
              </a:graphicData>
            </a:graphic>
          </wp:anchor>
        </w:drawing>
      </w:r>
      <w:r>
        <w:rPr>
          <w:rFonts w:ascii="Consolas"/>
        </w:rPr>
        <w:t>ASC("ABC") </w:t>
      </w:r>
      <w:r>
        <w:rPr/>
        <w:t>results in </w:t>
      </w:r>
      <w:r>
        <w:rPr>
          <w:rFonts w:ascii="Consolas"/>
          <w:spacing w:val="-2"/>
        </w:rPr>
        <w:t>ABC </w:t>
      </w:r>
      <w:r>
        <w:rPr>
          <w:rFonts w:ascii="Consolas"/>
          <w:spacing w:val="-1"/>
        </w:rPr>
        <w:t>ASC("</w:t>
      </w:r>
      <w:r>
        <w:rPr>
          <w:rFonts w:ascii="Consolas"/>
          <w:spacing w:val="-119"/>
        </w:rPr>
        <w:t> </w:t>
      </w:r>
      <w:r>
        <w:rPr>
          <w:rFonts w:ascii="Consolas"/>
          <w:spacing w:val="-1"/>
          <w:w w:val="100"/>
        </w:rPr>
        <w:drawing>
          <wp:inline distT="0" distB="0" distL="0" distR="0">
            <wp:extent cx="560832" cy="146303"/>
            <wp:effectExtent l="0" t="0" r="0" b="0"/>
            <wp:docPr id="137" name="image68.png"/>
            <wp:cNvGraphicFramePr>
              <a:graphicFrameLocks noChangeAspect="1"/>
            </wp:cNvGraphicFramePr>
            <a:graphic>
              <a:graphicData uri="http://schemas.openxmlformats.org/drawingml/2006/picture">
                <pic:pic>
                  <pic:nvPicPr>
                    <pic:cNvPr id="138" name="image68.png"/>
                    <pic:cNvPicPr/>
                  </pic:nvPicPr>
                  <pic:blipFill>
                    <a:blip r:embed="rId208" cstate="print"/>
                    <a:stretch>
                      <a:fillRect/>
                    </a:stretch>
                  </pic:blipFill>
                  <pic:spPr>
                    <a:xfrm>
                      <a:off x="0" y="0"/>
                      <a:ext cx="560832" cy="146303"/>
                    </a:xfrm>
                    <a:prstGeom prst="rect">
                      <a:avLst/>
                    </a:prstGeom>
                  </pic:spPr>
                </pic:pic>
              </a:graphicData>
            </a:graphic>
          </wp:inline>
        </w:drawing>
      </w:r>
      <w:r>
        <w:rPr>
          <w:rFonts w:ascii="Consolas"/>
          <w:spacing w:val="-1"/>
          <w:w w:val="100"/>
        </w:rPr>
      </w:r>
      <w:r>
        <w:rPr>
          <w:rFonts w:ascii="Consolas"/>
        </w:rPr>
        <w:t>")</w:t>
      </w:r>
      <w:r>
        <w:rPr>
          <w:rFonts w:ascii="Consolas"/>
          <w:spacing w:val="-69"/>
        </w:rPr>
        <w:t> </w:t>
      </w:r>
      <w:r>
        <w:rPr/>
        <w:t>results</w:t>
      </w:r>
      <w:r>
        <w:rPr>
          <w:spacing w:val="-3"/>
        </w:rPr>
        <w:t> </w:t>
      </w:r>
      <w:r>
        <w:rPr>
          <w:spacing w:val="-8"/>
        </w:rPr>
        <w:t>in</w:t>
      </w:r>
    </w:p>
    <w:p>
      <w:pPr>
        <w:spacing w:after="0" w:line="278" w:lineRule="auto"/>
        <w:sectPr>
          <w:pgSz w:w="12240" w:h="15840"/>
          <w:pgMar w:header="763" w:footer="746" w:top="1340" w:bottom="940" w:left="860" w:right="700"/>
        </w:sectPr>
      </w:pPr>
    </w:p>
    <w:p>
      <w:pPr>
        <w:pStyle w:val="BodyText"/>
        <w:spacing w:before="4"/>
        <w:rPr>
          <w:sz w:val="28"/>
        </w:rPr>
      </w:pPr>
    </w:p>
    <w:p>
      <w:pPr>
        <w:spacing w:before="57"/>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 ASIN" w:id="1428"/>
      <w:bookmarkEnd w:id="1428"/>
      <w:r>
        <w:rPr/>
      </w:r>
      <w:bookmarkStart w:name="_bookmark475" w:id="1429"/>
      <w:bookmarkEnd w:id="1429"/>
      <w:r>
        <w:rPr/>
      </w:r>
      <w:bookmarkStart w:name="_bookmark475" w:id="1430"/>
      <w:bookmarkEnd w:id="1430"/>
      <w:r>
        <w:rPr>
          <w:color w:val="4F81BC"/>
        </w:rPr>
        <w:t>A</w:t>
      </w:r>
      <w:r>
        <w:rPr>
          <w:color w:val="4F81BC"/>
        </w:rPr>
        <w:t>SIN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ASIN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arc sine of </w:t>
      </w:r>
      <w:r>
        <w:rPr>
          <w:rFonts w:ascii="Times New Roman"/>
          <w:i/>
          <w:sz w:val="22"/>
        </w:rPr>
        <w:t>x</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whose arc sine is to be determined.</w:t>
            </w:r>
          </w:p>
        </w:tc>
      </w:tr>
    </w:tbl>
    <w:p>
      <w:pPr>
        <w:pStyle w:val="BodyText"/>
        <w:rPr>
          <w:b/>
        </w:rPr>
      </w:pPr>
    </w:p>
    <w:p>
      <w:pPr>
        <w:pStyle w:val="BodyText"/>
        <w:spacing w:before="7"/>
        <w:rPr>
          <w:b/>
          <w:sz w:val="19"/>
        </w:rPr>
      </w:pPr>
    </w:p>
    <w:p>
      <w:pPr>
        <w:spacing w:line="453" w:lineRule="auto" w:before="0"/>
        <w:ind w:left="220" w:right="4863" w:firstLine="0"/>
        <w:jc w:val="both"/>
        <w:rPr>
          <w:sz w:val="22"/>
        </w:rPr>
      </w:pPr>
      <w:r>
        <w:rPr>
          <w:b/>
          <w:sz w:val="22"/>
        </w:rPr>
        <w:t>Return Type and Value: </w:t>
      </w:r>
      <w:r>
        <w:rPr>
          <w:sz w:val="22"/>
        </w:rPr>
        <w:t>number – The arc sine of </w:t>
      </w:r>
      <w:r>
        <w:rPr>
          <w:rFonts w:ascii="Times New Roman" w:hAnsi="Times New Roman"/>
          <w:i/>
          <w:sz w:val="22"/>
        </w:rPr>
        <w:t>x</w:t>
      </w:r>
      <w:r>
        <w:rPr>
          <w:sz w:val="22"/>
        </w:rPr>
        <w:t>, in radians. However, if </w:t>
      </w:r>
      <w:r>
        <w:rPr>
          <w:rFonts w:ascii="Times New Roman" w:hAnsi="Times New Roman"/>
          <w:i/>
          <w:sz w:val="22"/>
        </w:rPr>
        <w:t>x </w:t>
      </w:r>
      <w:r>
        <w:rPr>
          <w:sz w:val="22"/>
        </w:rPr>
        <w:t>is outside the interval [-1,+1], </w:t>
      </w:r>
      <w:r>
        <w:rPr>
          <w:rFonts w:ascii="Consolas" w:hAnsi="Consolas"/>
          <w:sz w:val="22"/>
        </w:rPr>
        <w:t>#NUM!</w:t>
      </w:r>
      <w:r>
        <w:rPr>
          <w:rFonts w:ascii="Consolas" w:hAnsi="Consolas"/>
          <w:spacing w:val="-91"/>
          <w:sz w:val="22"/>
        </w:rPr>
        <w:t> </w:t>
      </w:r>
      <w:r>
        <w:rPr>
          <w:sz w:val="22"/>
        </w:rPr>
        <w:t>is returned. [</w:t>
      </w:r>
      <w:r>
        <w:rPr>
          <w:i/>
          <w:sz w:val="22"/>
        </w:rPr>
        <w:t>Example</w:t>
      </w:r>
      <w:r>
        <w:rPr>
          <w:sz w:val="22"/>
        </w:rPr>
        <w:t>:</w:t>
      </w:r>
    </w:p>
    <w:p>
      <w:pPr>
        <w:pStyle w:val="BodyText"/>
        <w:spacing w:line="276" w:lineRule="auto" w:before="110"/>
        <w:ind w:left="220" w:right="7121"/>
        <w:rPr>
          <w:rFonts w:ascii="Consolas"/>
        </w:rPr>
      </w:pPr>
      <w:r>
        <w:rPr>
          <w:rFonts w:ascii="Consolas"/>
        </w:rPr>
        <w:t>ASIN(-1)</w:t>
      </w:r>
      <w:r>
        <w:rPr>
          <w:rFonts w:ascii="Consolas"/>
          <w:spacing w:val="-85"/>
        </w:rPr>
        <w:t> </w:t>
      </w:r>
      <w:r>
        <w:rPr/>
        <w:t>results in </w:t>
      </w:r>
      <w:r>
        <w:rPr>
          <w:rFonts w:ascii="Consolas"/>
        </w:rPr>
        <w:t>-1.570796327 ASIN(0)</w:t>
      </w:r>
      <w:r>
        <w:rPr>
          <w:rFonts w:ascii="Consolas"/>
          <w:spacing w:val="-73"/>
        </w:rPr>
        <w:t> </w:t>
      </w:r>
      <w:r>
        <w:rPr/>
        <w:t>results in </w:t>
      </w:r>
      <w:r>
        <w:rPr>
          <w:rFonts w:ascii="Consolas"/>
        </w:rPr>
        <w:t>0</w:t>
      </w:r>
    </w:p>
    <w:p>
      <w:pPr>
        <w:pStyle w:val="BodyText"/>
        <w:spacing w:before="1"/>
        <w:ind w:left="220"/>
        <w:rPr>
          <w:rFonts w:ascii="Consolas"/>
        </w:rPr>
      </w:pPr>
      <w:r>
        <w:rPr>
          <w:rFonts w:ascii="Consolas"/>
        </w:rPr>
        <w:t>ASIN(1)</w:t>
      </w:r>
      <w:r>
        <w:rPr>
          <w:rFonts w:ascii="Consolas"/>
          <w:spacing w:val="-73"/>
        </w:rPr>
        <w:t> </w:t>
      </w:r>
      <w:r>
        <w:rPr/>
        <w:t>results in </w:t>
      </w:r>
      <w:r>
        <w:rPr>
          <w:rFonts w:ascii="Consolas"/>
        </w:rPr>
        <w:t>1.570796327</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 ASINH" w:id="1431"/>
      <w:bookmarkEnd w:id="1431"/>
      <w:r>
        <w:rPr/>
      </w:r>
      <w:bookmarkStart w:name="_bookmark476" w:id="1432"/>
      <w:bookmarkEnd w:id="1432"/>
      <w:r>
        <w:rPr/>
      </w:r>
      <w:bookmarkStart w:name="_bookmark476" w:id="1433"/>
      <w:bookmarkEnd w:id="1433"/>
      <w:r>
        <w:rPr>
          <w:color w:val="4F81BC"/>
        </w:rPr>
        <w:t>A</w:t>
      </w:r>
      <w:r>
        <w:rPr>
          <w:color w:val="4F81BC"/>
        </w:rPr>
        <w:t>SINH</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ASINH ( </w:t>
      </w:r>
      <w:r>
        <w:rPr>
          <w:i/>
          <w:sz w:val="22"/>
        </w:rPr>
        <w:t>x </w:t>
      </w:r>
      <w:r>
        <w:rPr>
          <w:rFonts w:ascii="Lucida Console"/>
          <w:sz w:val="20"/>
        </w:rPr>
        <w:t>)</w:t>
      </w:r>
    </w:p>
    <w:p>
      <w:pPr>
        <w:spacing w:before="111"/>
        <w:ind w:left="220" w:right="0" w:firstLine="0"/>
        <w:jc w:val="left"/>
        <w:rPr>
          <w:sz w:val="22"/>
        </w:rPr>
      </w:pPr>
      <w:r>
        <w:rPr>
          <w:b/>
          <w:sz w:val="22"/>
        </w:rPr>
        <w:t>Description: </w:t>
      </w:r>
      <w:r>
        <w:rPr>
          <w:sz w:val="22"/>
        </w:rPr>
        <w:t>Computes the inverse hyperbolic sine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4" w:hRule="atLeast"/>
        </w:trPr>
        <w:tc>
          <w:tcPr>
            <w:tcW w:w="1466" w:type="dxa"/>
          </w:tcPr>
          <w:p>
            <w:pPr>
              <w:pStyle w:val="TableParagraph"/>
              <w:spacing w:before="39"/>
              <w:rPr>
                <w:rFonts w:ascii="Times New Roman"/>
                <w:i/>
                <w:sz w:val="22"/>
              </w:rPr>
            </w:pPr>
            <w:r>
              <w:rPr>
                <w:rFonts w:ascii="Times New Roman"/>
                <w:i/>
                <w:w w:val="100"/>
                <w:sz w:val="22"/>
              </w:rPr>
              <w:t>x</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ight="959"/>
              <w:rPr>
                <w:sz w:val="22"/>
              </w:rPr>
            </w:pPr>
            <w:r>
              <w:rPr>
                <w:sz w:val="22"/>
              </w:rPr>
              <w:t>The value whose inverse hyperbolic sine is to be determined.</w:t>
            </w:r>
          </w:p>
        </w:tc>
      </w:tr>
    </w:tbl>
    <w:p>
      <w:pPr>
        <w:pStyle w:val="BodyText"/>
        <w:rPr>
          <w:b/>
        </w:rPr>
      </w:pPr>
    </w:p>
    <w:p>
      <w:pPr>
        <w:pStyle w:val="BodyText"/>
        <w:spacing w:before="7"/>
        <w:rPr>
          <w:b/>
          <w:sz w:val="19"/>
        </w:rPr>
      </w:pPr>
    </w:p>
    <w:p>
      <w:pPr>
        <w:spacing w:line="453" w:lineRule="auto" w:before="0"/>
        <w:ind w:left="220" w:right="4460" w:firstLine="0"/>
        <w:jc w:val="left"/>
        <w:rPr>
          <w:sz w:val="22"/>
        </w:rPr>
      </w:pPr>
      <w:r>
        <w:rPr>
          <w:b/>
          <w:sz w:val="22"/>
        </w:rPr>
        <w:t>Return Type and Value: </w:t>
      </w:r>
      <w:r>
        <w:rPr>
          <w:sz w:val="22"/>
        </w:rPr>
        <w:t>number – The inverse hyperbolic sine of </w:t>
      </w:r>
      <w:r>
        <w:rPr>
          <w:rFonts w:ascii="Times New Roman" w:hAnsi="Times New Roman"/>
          <w:i/>
          <w:sz w:val="22"/>
        </w:rPr>
        <w:t>x</w:t>
      </w:r>
      <w:r>
        <w:rPr>
          <w:sz w:val="22"/>
        </w:rPr>
        <w:t>. [</w:t>
      </w:r>
      <w:r>
        <w:rPr>
          <w:i/>
          <w:sz w:val="22"/>
        </w:rPr>
        <w:t>Example</w:t>
      </w:r>
      <w:r>
        <w:rPr>
          <w:sz w:val="22"/>
        </w:rPr>
        <w:t>:</w:t>
      </w:r>
    </w:p>
    <w:p>
      <w:pPr>
        <w:pStyle w:val="BodyText"/>
        <w:spacing w:before="111"/>
        <w:ind w:left="220"/>
        <w:rPr>
          <w:rFonts w:ascii="Consolas"/>
        </w:rPr>
      </w:pPr>
      <w:r>
        <w:rPr>
          <w:rFonts w:ascii="Consolas"/>
        </w:rPr>
        <w:t>ASINH(1)</w:t>
      </w:r>
      <w:r>
        <w:rPr>
          <w:rFonts w:ascii="Consolas"/>
          <w:spacing w:val="-71"/>
        </w:rPr>
        <w:t> </w:t>
      </w:r>
      <w:r>
        <w:rPr/>
        <w:t>results in </w:t>
      </w:r>
      <w:r>
        <w:rPr>
          <w:rFonts w:ascii="Consolas"/>
        </w:rPr>
        <w:t>0.881373587</w:t>
      </w:r>
    </w:p>
    <w:p>
      <w:pPr>
        <w:spacing w:after="0"/>
        <w:rPr>
          <w:rFonts w:ascii="Consolas"/>
        </w:rPr>
        <w:sectPr>
          <w:footerReference w:type="even" r:id="rId209"/>
          <w:footerReference w:type="default" r:id="rId210"/>
          <w:pgSz w:w="12240" w:h="15840"/>
          <w:pgMar w:footer="746" w:header="761" w:top="1340" w:bottom="940" w:left="860" w:right="700"/>
          <w:pgNumType w:start="2090"/>
        </w:sectPr>
      </w:pPr>
    </w:p>
    <w:p>
      <w:pPr>
        <w:pStyle w:val="BodyText"/>
        <w:spacing w:line="276" w:lineRule="auto" w:before="148"/>
        <w:ind w:left="220" w:right="6999"/>
        <w:rPr>
          <w:rFonts w:ascii="Consolas"/>
        </w:rPr>
      </w:pPr>
      <w:r>
        <w:rPr>
          <w:rFonts w:ascii="Consolas"/>
        </w:rPr>
        <w:t>ASINH(10) </w:t>
      </w:r>
      <w:r>
        <w:rPr/>
        <w:t>results in </w:t>
      </w:r>
      <w:r>
        <w:rPr>
          <w:rFonts w:ascii="Consolas"/>
        </w:rPr>
        <w:t>2.99822295 ASINH(100)</w:t>
      </w:r>
      <w:r>
        <w:rPr>
          <w:rFonts w:ascii="Consolas"/>
          <w:spacing w:val="-84"/>
        </w:rPr>
        <w:t> </w:t>
      </w:r>
      <w:r>
        <w:rPr/>
        <w:t>results in </w:t>
      </w:r>
      <w:r>
        <w:rPr>
          <w:rFonts w:ascii="Consolas"/>
        </w:rPr>
        <w:t>5.298342366 ASINH(0.5)</w:t>
      </w:r>
      <w:r>
        <w:rPr>
          <w:rFonts w:ascii="Consolas"/>
          <w:spacing w:val="-84"/>
        </w:rPr>
        <w:t> </w:t>
      </w:r>
      <w:r>
        <w:rPr/>
        <w:t>results in </w:t>
      </w:r>
      <w:r>
        <w:rPr>
          <w:rFonts w:ascii="Consolas"/>
        </w:rPr>
        <w:t>0.481211825</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4 ATAN" w:id="1434"/>
      <w:bookmarkEnd w:id="1434"/>
      <w:r>
        <w:rPr/>
      </w:r>
      <w:bookmarkStart w:name="_bookmark477" w:id="1435"/>
      <w:bookmarkEnd w:id="1435"/>
      <w:r>
        <w:rPr/>
      </w:r>
      <w:bookmarkStart w:name="_bookmark477" w:id="1436"/>
      <w:bookmarkEnd w:id="1436"/>
      <w:r>
        <w:rPr>
          <w:color w:val="4F81BC"/>
        </w:rPr>
        <w:t>ATAN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ATAN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arc tangent of </w:t>
      </w:r>
      <w:r>
        <w:rPr>
          <w:rFonts w:ascii="Times New Roman"/>
          <w:i/>
          <w:sz w:val="22"/>
        </w:rPr>
        <w:t>x</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whose arc tangent is to be determined.</w:t>
            </w:r>
          </w:p>
        </w:tc>
      </w:tr>
    </w:tbl>
    <w:p>
      <w:pPr>
        <w:pStyle w:val="BodyText"/>
        <w:rPr>
          <w:b/>
        </w:rPr>
      </w:pPr>
    </w:p>
    <w:p>
      <w:pPr>
        <w:pStyle w:val="BodyText"/>
        <w:spacing w:before="7"/>
        <w:rPr>
          <w:b/>
          <w:sz w:val="19"/>
        </w:rPr>
      </w:pPr>
    </w:p>
    <w:p>
      <w:pPr>
        <w:spacing w:line="453" w:lineRule="auto" w:before="0"/>
        <w:ind w:left="220" w:right="4514" w:firstLine="0"/>
        <w:jc w:val="left"/>
        <w:rPr>
          <w:sz w:val="22"/>
        </w:rPr>
      </w:pPr>
      <w:r>
        <w:rPr>
          <w:b/>
          <w:sz w:val="22"/>
        </w:rPr>
        <w:t>Return Type and Value: </w:t>
      </w:r>
      <w:r>
        <w:rPr>
          <w:sz w:val="22"/>
        </w:rPr>
        <w:t>number – The arc tangent of </w:t>
      </w:r>
      <w:r>
        <w:rPr>
          <w:rFonts w:ascii="Times New Roman" w:hAnsi="Times New Roman"/>
          <w:i/>
          <w:sz w:val="22"/>
        </w:rPr>
        <w:t>x</w:t>
      </w:r>
      <w:r>
        <w:rPr>
          <w:sz w:val="22"/>
        </w:rPr>
        <w:t>, in radians. [</w:t>
      </w:r>
      <w:r>
        <w:rPr>
          <w:i/>
          <w:sz w:val="22"/>
        </w:rPr>
        <w:t>Example</w:t>
      </w:r>
      <w:r>
        <w:rPr>
          <w:sz w:val="22"/>
        </w:rPr>
        <w:t>:</w:t>
      </w:r>
    </w:p>
    <w:p>
      <w:pPr>
        <w:pStyle w:val="BodyText"/>
        <w:spacing w:line="276" w:lineRule="auto" w:before="108"/>
        <w:ind w:left="220" w:right="7121"/>
        <w:rPr>
          <w:rFonts w:ascii="Consolas"/>
        </w:rPr>
      </w:pPr>
      <w:r>
        <w:rPr>
          <w:rFonts w:ascii="Consolas"/>
        </w:rPr>
        <w:t>ATAN(-1)</w:t>
      </w:r>
      <w:r>
        <w:rPr>
          <w:rFonts w:ascii="Consolas"/>
          <w:spacing w:val="-85"/>
        </w:rPr>
        <w:t> </w:t>
      </w:r>
      <w:r>
        <w:rPr/>
        <w:t>results in </w:t>
      </w:r>
      <w:r>
        <w:rPr>
          <w:rFonts w:ascii="Consolas"/>
        </w:rPr>
        <w:t>-0.785398163 ATAN(0)</w:t>
      </w:r>
      <w:r>
        <w:rPr>
          <w:rFonts w:ascii="Consolas"/>
          <w:spacing w:val="-73"/>
        </w:rPr>
        <w:t> </w:t>
      </w:r>
      <w:r>
        <w:rPr/>
        <w:t>results in </w:t>
      </w:r>
      <w:r>
        <w:rPr>
          <w:rFonts w:ascii="Consolas"/>
        </w:rPr>
        <w:t>0</w:t>
      </w:r>
    </w:p>
    <w:p>
      <w:pPr>
        <w:pStyle w:val="BodyText"/>
        <w:spacing w:line="276" w:lineRule="auto" w:before="2"/>
        <w:ind w:left="220" w:right="7126"/>
        <w:rPr>
          <w:rFonts w:ascii="Consolas"/>
        </w:rPr>
      </w:pPr>
      <w:r>
        <w:rPr>
          <w:rFonts w:ascii="Consolas"/>
        </w:rPr>
        <w:t>ATAN(1) </w:t>
      </w:r>
      <w:r>
        <w:rPr/>
        <w:t>results in </w:t>
      </w:r>
      <w:r>
        <w:rPr>
          <w:rFonts w:ascii="Consolas"/>
        </w:rPr>
        <w:t>0.785398163 ATAN(-10)</w:t>
      </w:r>
      <w:r>
        <w:rPr>
          <w:rFonts w:ascii="Consolas"/>
          <w:spacing w:val="-84"/>
        </w:rPr>
        <w:t> </w:t>
      </w:r>
      <w:r>
        <w:rPr/>
        <w:t>results in </w:t>
      </w:r>
      <w:r>
        <w:rPr>
          <w:rFonts w:ascii="Consolas"/>
        </w:rPr>
        <w:t>1.471127674 ATAN(10)</w:t>
      </w:r>
      <w:r>
        <w:rPr>
          <w:rFonts w:ascii="Consolas"/>
          <w:spacing w:val="-79"/>
        </w:rPr>
        <w:t> </w:t>
      </w:r>
      <w:r>
        <w:rPr/>
        <w:t>results in </w:t>
      </w:r>
      <w:r>
        <w:rPr>
          <w:rFonts w:ascii="Consolas"/>
        </w:rPr>
        <w:t>1.471127674</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 ATAN2" w:id="1437"/>
      <w:bookmarkEnd w:id="1437"/>
      <w:r>
        <w:rPr/>
      </w:r>
      <w:bookmarkStart w:name="_bookmark478" w:id="1438"/>
      <w:bookmarkEnd w:id="1438"/>
      <w:r>
        <w:rPr/>
      </w:r>
      <w:bookmarkStart w:name="_bookmark478" w:id="1439"/>
      <w:bookmarkEnd w:id="1439"/>
      <w:r>
        <w:rPr>
          <w:color w:val="4F81BC"/>
        </w:rPr>
        <w:t>A</w:t>
      </w:r>
      <w:r>
        <w:rPr>
          <w:color w:val="4F81BC"/>
        </w:rPr>
        <w:t>TAN2</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ATAN2 ( </w:t>
      </w:r>
      <w:r>
        <w:rPr>
          <w:i/>
          <w:sz w:val="22"/>
        </w:rPr>
        <w:t>x </w:t>
      </w:r>
      <w:r>
        <w:rPr>
          <w:rFonts w:ascii="Lucida Console"/>
          <w:sz w:val="20"/>
        </w:rPr>
        <w:t>, </w:t>
      </w:r>
      <w:r>
        <w:rPr>
          <w:i/>
          <w:sz w:val="22"/>
        </w:rPr>
        <w:t>y </w:t>
      </w:r>
      <w:r>
        <w:rPr>
          <w:rFonts w:ascii="Lucida Console"/>
          <w:sz w:val="20"/>
        </w:rPr>
        <w:t>)</w:t>
      </w:r>
    </w:p>
    <w:p>
      <w:pPr>
        <w:spacing w:before="108"/>
        <w:ind w:left="220" w:right="0" w:firstLine="0"/>
        <w:jc w:val="left"/>
        <w:rPr>
          <w:sz w:val="22"/>
        </w:rPr>
      </w:pPr>
      <w:r>
        <w:rPr>
          <w:b/>
          <w:sz w:val="22"/>
        </w:rPr>
        <w:t>Description: </w:t>
      </w:r>
      <w:r>
        <w:rPr>
          <w:sz w:val="22"/>
        </w:rPr>
        <w:t>Computes the arc tangent of the coordinates </w:t>
      </w:r>
      <w:r>
        <w:rPr>
          <w:rFonts w:ascii="Times New Roman"/>
          <w:i/>
          <w:sz w:val="22"/>
        </w:rPr>
        <w:t>x </w:t>
      </w:r>
      <w:r>
        <w:rPr>
          <w:sz w:val="22"/>
        </w:rPr>
        <w:t>and </w:t>
      </w:r>
      <w:r>
        <w:rPr>
          <w:rFonts w:ascii="Times New Roman"/>
          <w:i/>
          <w:sz w:val="22"/>
        </w:rPr>
        <w:t>y</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first coordinate.</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second coordinate.</w:t>
            </w:r>
          </w:p>
        </w:tc>
      </w:tr>
    </w:tbl>
    <w:p>
      <w:pPr>
        <w:spacing w:after="0"/>
        <w:rPr>
          <w:sz w:val="22"/>
        </w:rPr>
        <w:sectPr>
          <w:pgSz w:w="12240" w:h="15840"/>
          <w:pgMar w:header="763" w:footer="746" w:top="1340" w:bottom="940" w:left="860" w:right="700"/>
        </w:sectPr>
      </w:pPr>
    </w:p>
    <w:p>
      <w:pPr>
        <w:spacing w:line="456" w:lineRule="auto" w:before="93"/>
        <w:ind w:left="220" w:right="4355" w:firstLine="0"/>
        <w:jc w:val="left"/>
        <w:rPr>
          <w:sz w:val="22"/>
        </w:rPr>
      </w:pPr>
      <w:r>
        <w:rPr>
          <w:b/>
          <w:sz w:val="22"/>
        </w:rPr>
        <w:t>Return Type and Value: </w:t>
      </w:r>
      <w:r>
        <w:rPr>
          <w:sz w:val="22"/>
        </w:rPr>
        <w:t>number – The arc tangent of </w:t>
      </w:r>
      <w:r>
        <w:rPr>
          <w:rFonts w:ascii="Times New Roman" w:hAnsi="Times New Roman"/>
          <w:i/>
          <w:sz w:val="22"/>
        </w:rPr>
        <w:t>y/x</w:t>
      </w:r>
      <w:r>
        <w:rPr>
          <w:sz w:val="22"/>
        </w:rPr>
        <w:t>, in radians. However, if both </w:t>
      </w:r>
      <w:r>
        <w:rPr>
          <w:rFonts w:ascii="Times New Roman" w:hAnsi="Times New Roman"/>
          <w:i/>
          <w:sz w:val="22"/>
        </w:rPr>
        <w:t>x </w:t>
      </w:r>
      <w:r>
        <w:rPr>
          <w:sz w:val="22"/>
        </w:rPr>
        <w:t>and </w:t>
      </w:r>
      <w:r>
        <w:rPr>
          <w:rFonts w:ascii="Times New Roman" w:hAnsi="Times New Roman"/>
          <w:i/>
          <w:sz w:val="22"/>
        </w:rPr>
        <w:t>y </w:t>
      </w:r>
      <w:r>
        <w:rPr>
          <w:sz w:val="22"/>
        </w:rPr>
        <w:t>are zero, </w:t>
      </w:r>
      <w:r>
        <w:rPr>
          <w:rFonts w:ascii="Consolas" w:hAnsi="Consolas"/>
          <w:sz w:val="22"/>
        </w:rPr>
        <w:t>#DIV/0!</w:t>
      </w:r>
      <w:r>
        <w:rPr>
          <w:rFonts w:ascii="Consolas" w:hAnsi="Consolas"/>
          <w:spacing w:val="-89"/>
          <w:sz w:val="22"/>
        </w:rPr>
        <w:t> </w:t>
      </w:r>
      <w:r>
        <w:rPr>
          <w:sz w:val="22"/>
        </w:rPr>
        <w:t>is returned.</w:t>
      </w:r>
    </w:p>
    <w:p>
      <w:pPr>
        <w:spacing w:line="264" w:lineRule="exact" w:before="0"/>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6764"/>
        <w:rPr>
          <w:rFonts w:ascii="Consolas"/>
        </w:rPr>
      </w:pPr>
      <w:r>
        <w:rPr>
          <w:rFonts w:ascii="Consolas"/>
        </w:rPr>
        <w:t>ATAN2(1,1) </w:t>
      </w:r>
      <w:r>
        <w:rPr/>
        <w:t>results in </w:t>
      </w:r>
      <w:r>
        <w:rPr>
          <w:rFonts w:ascii="Consolas"/>
        </w:rPr>
        <w:t>0.785398163 ATAN2(-2,2) </w:t>
      </w:r>
      <w:r>
        <w:rPr/>
        <w:t>results in </w:t>
      </w:r>
      <w:r>
        <w:rPr>
          <w:rFonts w:ascii="Consolas"/>
        </w:rPr>
        <w:t>2.35619449 ATAN2(3,-3)</w:t>
      </w:r>
      <w:r>
        <w:rPr>
          <w:rFonts w:ascii="Consolas"/>
          <w:spacing w:val="-87"/>
        </w:rPr>
        <w:t> </w:t>
      </w:r>
      <w:r>
        <w:rPr/>
        <w:t>results in </w:t>
      </w:r>
      <w:r>
        <w:rPr>
          <w:rFonts w:ascii="Consolas"/>
        </w:rPr>
        <w:t>-0.785398163</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6 ATANH" w:id="1440"/>
      <w:bookmarkEnd w:id="1440"/>
      <w:r>
        <w:rPr/>
      </w:r>
      <w:bookmarkStart w:name="_bookmark479" w:id="1441"/>
      <w:bookmarkEnd w:id="1441"/>
      <w:r>
        <w:rPr/>
      </w:r>
      <w:bookmarkStart w:name="_bookmark479" w:id="1442"/>
      <w:bookmarkEnd w:id="1442"/>
      <w:r>
        <w:rPr>
          <w:color w:val="4F81BC"/>
        </w:rPr>
        <w:t>A</w:t>
      </w:r>
      <w:r>
        <w:rPr>
          <w:color w:val="4F81BC"/>
        </w:rPr>
        <w:t>TANH</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ATANH ( </w:t>
      </w:r>
      <w:r>
        <w:rPr>
          <w:i/>
          <w:sz w:val="22"/>
        </w:rPr>
        <w:t>x </w:t>
      </w:r>
      <w:r>
        <w:rPr>
          <w:rFonts w:ascii="Lucida Console"/>
          <w:sz w:val="20"/>
        </w:rPr>
        <w:t>)</w:t>
      </w:r>
    </w:p>
    <w:p>
      <w:pPr>
        <w:spacing w:before="109"/>
        <w:ind w:left="220" w:right="0" w:firstLine="0"/>
        <w:jc w:val="left"/>
        <w:rPr>
          <w:sz w:val="22"/>
        </w:rPr>
      </w:pPr>
      <w:r>
        <w:rPr>
          <w:b/>
          <w:sz w:val="22"/>
        </w:rPr>
        <w:t>Description: </w:t>
      </w:r>
      <w:r>
        <w:rPr>
          <w:sz w:val="22"/>
        </w:rPr>
        <w:t>Computes the inverse hyperbolic tangent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1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624"/>
              <w:rPr>
                <w:sz w:val="22"/>
              </w:rPr>
            </w:pPr>
            <w:r>
              <w:rPr>
                <w:sz w:val="22"/>
              </w:rPr>
              <w:t>The value whose inverse hyperbolic tangent is to be determined.</w:t>
            </w:r>
          </w:p>
        </w:tc>
      </w:tr>
    </w:tbl>
    <w:p>
      <w:pPr>
        <w:pStyle w:val="BodyText"/>
        <w:rPr>
          <w:b/>
        </w:rPr>
      </w:pPr>
    </w:p>
    <w:p>
      <w:pPr>
        <w:pStyle w:val="BodyText"/>
        <w:spacing w:before="8"/>
        <w:rPr>
          <w:b/>
          <w:sz w:val="19"/>
        </w:rPr>
      </w:pPr>
    </w:p>
    <w:p>
      <w:pPr>
        <w:spacing w:line="453" w:lineRule="auto" w:before="0"/>
        <w:ind w:left="220" w:right="4125" w:firstLine="0"/>
        <w:jc w:val="left"/>
        <w:rPr>
          <w:sz w:val="22"/>
        </w:rPr>
      </w:pPr>
      <w:r>
        <w:rPr>
          <w:b/>
          <w:sz w:val="22"/>
        </w:rPr>
        <w:t>Return Type and Value: </w:t>
      </w:r>
      <w:r>
        <w:rPr>
          <w:sz w:val="22"/>
        </w:rPr>
        <w:t>number – The inverse hyperbolic tangent of </w:t>
      </w:r>
      <w:r>
        <w:rPr>
          <w:rFonts w:ascii="Times New Roman" w:hAnsi="Times New Roman"/>
          <w:i/>
          <w:sz w:val="22"/>
        </w:rPr>
        <w:t>x</w:t>
      </w:r>
      <w:r>
        <w:rPr>
          <w:sz w:val="22"/>
        </w:rPr>
        <w:t>. However, if </w:t>
      </w:r>
      <w:r>
        <w:rPr>
          <w:rFonts w:ascii="Times New Roman" w:hAnsi="Times New Roman"/>
          <w:i/>
          <w:sz w:val="22"/>
        </w:rPr>
        <w:t>x </w:t>
      </w:r>
      <w:r>
        <w:rPr>
          <w:sz w:val="22"/>
        </w:rPr>
        <w:t>is outside the interval [-1,+1], </w:t>
      </w:r>
      <w:r>
        <w:rPr>
          <w:rFonts w:ascii="Consolas" w:hAnsi="Consolas"/>
          <w:sz w:val="22"/>
        </w:rPr>
        <w:t>#NUM! </w:t>
      </w:r>
      <w:r>
        <w:rPr>
          <w:sz w:val="22"/>
        </w:rPr>
        <w:t>is returned. [</w:t>
      </w:r>
      <w:r>
        <w:rPr>
          <w:i/>
          <w:sz w:val="22"/>
        </w:rPr>
        <w:t>Example</w:t>
      </w:r>
      <w:r>
        <w:rPr>
          <w:sz w:val="22"/>
        </w:rPr>
        <w:t>:</w:t>
      </w:r>
    </w:p>
    <w:p>
      <w:pPr>
        <w:pStyle w:val="BodyText"/>
        <w:spacing w:before="111"/>
        <w:ind w:left="220"/>
        <w:rPr>
          <w:rFonts w:ascii="Consolas"/>
        </w:rPr>
      </w:pPr>
      <w:r>
        <w:rPr>
          <w:rFonts w:ascii="Consolas"/>
        </w:rPr>
        <w:t>ATANH(-0.999999)</w:t>
      </w:r>
      <w:r>
        <w:rPr>
          <w:rFonts w:ascii="Consolas"/>
          <w:spacing w:val="-70"/>
        </w:rPr>
        <w:t> </w:t>
      </w:r>
      <w:r>
        <w:rPr/>
        <w:t>results in </w:t>
      </w:r>
      <w:r>
        <w:rPr>
          <w:rFonts w:ascii="Consolas"/>
        </w:rPr>
        <w:t>-7.254328619</w:t>
      </w:r>
    </w:p>
    <w:p>
      <w:pPr>
        <w:pStyle w:val="BodyText"/>
        <w:spacing w:before="39"/>
        <w:ind w:left="220"/>
        <w:rPr>
          <w:rFonts w:ascii="Consolas"/>
        </w:rPr>
      </w:pPr>
      <w:r>
        <w:rPr>
          <w:rFonts w:ascii="Consolas"/>
        </w:rPr>
        <w:t>ATANH(0)</w:t>
      </w:r>
      <w:r>
        <w:rPr>
          <w:rFonts w:ascii="Consolas"/>
          <w:spacing w:val="-71"/>
        </w:rPr>
        <w:t> </w:t>
      </w:r>
      <w:r>
        <w:rPr/>
        <w:t>results in </w:t>
      </w:r>
      <w:r>
        <w:rPr>
          <w:rFonts w:ascii="Consolas"/>
        </w:rPr>
        <w:t>0</w:t>
      </w:r>
    </w:p>
    <w:p>
      <w:pPr>
        <w:pStyle w:val="BodyText"/>
        <w:spacing w:before="41"/>
        <w:ind w:left="220"/>
        <w:rPr>
          <w:rFonts w:ascii="Consolas"/>
        </w:rPr>
      </w:pPr>
      <w:r>
        <w:rPr>
          <w:rFonts w:ascii="Consolas"/>
        </w:rPr>
        <w:t>ATANH(0.999999)</w:t>
      </w:r>
      <w:r>
        <w:rPr>
          <w:rFonts w:ascii="Consolas"/>
          <w:spacing w:val="-69"/>
        </w:rPr>
        <w:t> </w:t>
      </w:r>
      <w:r>
        <w:rPr/>
        <w:t>results in </w:t>
      </w:r>
      <w:r>
        <w:rPr>
          <w:rFonts w:ascii="Consolas"/>
        </w:rPr>
        <w:t>7.254328619</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 AVEDEV" w:id="1443"/>
      <w:bookmarkEnd w:id="1443"/>
      <w:r>
        <w:rPr/>
      </w:r>
      <w:bookmarkStart w:name="_bookmark480" w:id="1444"/>
      <w:bookmarkEnd w:id="1444"/>
      <w:r>
        <w:rPr/>
      </w:r>
      <w:bookmarkStart w:name="_bookmark480" w:id="1445"/>
      <w:bookmarkEnd w:id="1445"/>
      <w:r>
        <w:rPr>
          <w:color w:val="4F81BC"/>
        </w:rPr>
        <w:t>A</w:t>
      </w:r>
      <w:r>
        <w:rPr>
          <w:color w:val="4F81BC"/>
        </w:rPr>
        <w:t>VEDEV</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AVEDEV ( </w:t>
      </w:r>
      <w:r>
        <w:rPr>
          <w:i/>
          <w:sz w:val="22"/>
        </w:rPr>
        <w:t>argument-list </w:t>
      </w:r>
      <w:r>
        <w:rPr>
          <w:rFonts w:ascii="Lucida Console"/>
          <w:sz w:val="20"/>
        </w:rPr>
        <w:t>)</w:t>
      </w:r>
    </w:p>
    <w:p>
      <w:pPr>
        <w:pStyle w:val="BodyText"/>
        <w:spacing w:line="278" w:lineRule="auto" w:before="106"/>
        <w:ind w:left="220" w:right="327"/>
      </w:pPr>
      <w:r>
        <w:rPr>
          <w:b/>
        </w:rPr>
        <w:t>Description: </w:t>
      </w:r>
      <w:r>
        <w:rPr/>
        <w:t>Computes the average of the absolute deviations of a set of data points from their mean. </w:t>
      </w:r>
      <w:r>
        <w:rPr>
          <w:rFonts w:ascii="Consolas"/>
        </w:rPr>
        <w:t>AVEDEV</w:t>
      </w:r>
      <w:r>
        <w:rPr>
          <w:rFonts w:ascii="Consolas"/>
          <w:spacing w:val="-104"/>
        </w:rPr>
        <w:t> </w:t>
      </w:r>
      <w:r>
        <w:rPr/>
        <w:t>is a measure of the variability in a data set.</w:t>
      </w:r>
    </w:p>
    <w:p>
      <w:pPr>
        <w:pStyle w:val="Heading4"/>
        <w:spacing w:before="197"/>
        <w:rPr>
          <w:b w:val="0"/>
        </w:rPr>
      </w:pPr>
      <w:r>
        <w:rPr/>
        <w:t>Mathematical Formula</w:t>
      </w:r>
      <w:r>
        <w:rPr>
          <w:b w:val="0"/>
        </w:rPr>
        <w:t>:</w:t>
      </w:r>
    </w:p>
    <w:p>
      <w:pPr>
        <w:spacing w:after="0"/>
        <w:sectPr>
          <w:pgSz w:w="12240" w:h="15840"/>
          <w:pgMar w:header="761" w:footer="746" w:top="1340" w:bottom="940" w:left="860" w:right="700"/>
        </w:sectPr>
      </w:pPr>
    </w:p>
    <w:p>
      <w:pPr>
        <w:pStyle w:val="BodyText"/>
        <w:spacing w:before="150"/>
        <w:ind w:left="220"/>
      </w:pPr>
      <w:r>
        <w:rPr/>
        <w:t>The average of the absolute deviations of a set of data points from their mean is as follows:</w:t>
      </w:r>
    </w:p>
    <w:p>
      <w:pPr>
        <w:pStyle w:val="BodyText"/>
        <w:rPr>
          <w:sz w:val="12"/>
        </w:rPr>
      </w:pPr>
    </w:p>
    <w:p>
      <w:pPr>
        <w:pStyle w:val="BodyText"/>
        <w:spacing w:line="208" w:lineRule="exact" w:before="64"/>
        <w:ind w:left="222"/>
        <w:rPr>
          <w:rFonts w:ascii="Cambria Math"/>
        </w:rPr>
      </w:pPr>
      <w:r>
        <w:rPr>
          <w:rFonts w:ascii="Cambria Math"/>
          <w:w w:val="100"/>
        </w:rPr>
        <w:t>1</w:t>
      </w:r>
    </w:p>
    <w:p>
      <w:pPr>
        <w:pStyle w:val="BodyText"/>
        <w:spacing w:line="163" w:lineRule="exact"/>
        <w:ind w:left="435"/>
        <w:rPr>
          <w:rFonts w:ascii="Cambria Math" w:hAnsi="Cambria Math" w:eastAsia="Cambria Math"/>
        </w:rPr>
      </w:pPr>
      <w:r>
        <w:rPr/>
        <w:pict>
          <v:rect style="position:absolute;margin-left:54pt;margin-top:4.974167pt;width:6.48pt;height:.72pt;mso-position-horizontal-relative:page;mso-position-vertical-relative:paragraph;z-index:251737088" filled="true" fillcolor="#000000" stroked="false">
            <v:fill type="solid"/>
            <w10:wrap type="none"/>
          </v:rect>
        </w:pict>
      </w:r>
      <w:r>
        <w:rPr>
          <w:rFonts w:ascii="Cambria Math" w:hAnsi="Cambria Math" w:eastAsia="Cambria Math"/>
          <w:w w:val="110"/>
        </w:rPr>
        <w:t>∑</w:t>
      </w:r>
      <w:r>
        <w:rPr>
          <w:rFonts w:ascii="Cambria Math" w:hAnsi="Cambria Math" w:eastAsia="Cambria Math"/>
          <w:w w:val="110"/>
          <w:position w:val="1"/>
        </w:rPr>
        <w:t>|</w:t>
      </w:r>
      <w:r>
        <w:rPr>
          <w:rFonts w:ascii="Cambria Math" w:hAnsi="Cambria Math" w:eastAsia="Cambria Math"/>
          <w:w w:val="110"/>
        </w:rPr>
        <w:t>𝑥 − 𝑥̅</w:t>
      </w:r>
      <w:r>
        <w:rPr>
          <w:rFonts w:ascii="Cambria Math" w:hAnsi="Cambria Math" w:eastAsia="Cambria Math"/>
          <w:w w:val="110"/>
          <w:position w:val="1"/>
        </w:rPr>
        <w:t>|</w:t>
      </w:r>
    </w:p>
    <w:p>
      <w:pPr>
        <w:pStyle w:val="BodyText"/>
        <w:spacing w:line="203" w:lineRule="exact"/>
        <w:ind w:left="220"/>
        <w:rPr>
          <w:rFonts w:ascii="Cambria Math" w:eastAsia="Cambria Math"/>
        </w:rPr>
      </w:pPr>
      <w:r>
        <w:rPr>
          <w:rFonts w:ascii="Cambria Math" w:eastAsia="Cambria Math"/>
        </w:rPr>
        <w:t>𝑛</w:t>
      </w:r>
    </w:p>
    <w:p>
      <w:pPr>
        <w:pStyle w:val="BodyText"/>
        <w:spacing w:before="5"/>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n </w:t>
      </w:r>
      <w:r>
        <w:rPr>
          <w:sz w:val="22"/>
        </w:rPr>
        <w:t>= the number of </w:t>
      </w:r>
      <w:r>
        <w:rPr>
          <w:rFonts w:ascii="Times New Roman" w:hAnsi="Times New Roman"/>
          <w:i/>
          <w:sz w:val="22"/>
        </w:rPr>
        <w:t>arguments </w:t>
      </w:r>
      <w:r>
        <w:rPr>
          <w:sz w:val="22"/>
        </w:rPr>
        <w:t>in</w:t>
      </w:r>
      <w:r>
        <w:rPr>
          <w:spacing w:val="-9"/>
          <w:sz w:val="22"/>
        </w:rPr>
        <w:t> </w:t>
      </w:r>
      <w:r>
        <w:rPr>
          <w:rFonts w:ascii="Times New Roman" w:hAnsi="Times New Roman"/>
          <w:i/>
          <w:sz w:val="22"/>
        </w:rPr>
        <w:t>argument-list</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x </w:t>
      </w:r>
      <w:r>
        <w:rPr>
          <w:sz w:val="22"/>
        </w:rPr>
        <w:t>= an </w:t>
      </w:r>
      <w:r>
        <w:rPr>
          <w:rFonts w:ascii="Times New Roman" w:hAnsi="Times New Roman"/>
          <w:i/>
          <w:sz w:val="22"/>
        </w:rPr>
        <w:t>argument </w:t>
      </w:r>
      <w:r>
        <w:rPr>
          <w:sz w:val="22"/>
        </w:rPr>
        <w:t>in</w:t>
      </w:r>
      <w:r>
        <w:rPr>
          <w:spacing w:val="-14"/>
          <w:sz w:val="22"/>
        </w:rPr>
        <w:t> </w:t>
      </w:r>
      <w:r>
        <w:rPr>
          <w:rFonts w:ascii="Times New Roman" w:hAnsi="Times New Roman"/>
          <w:i/>
          <w:sz w:val="22"/>
        </w:rPr>
        <w:t>argument-list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Cambria Math" w:hAnsi="Cambria Math"/>
          <w:spacing w:val="-102"/>
          <w:w w:val="100"/>
          <w:sz w:val="22"/>
        </w:rPr>
        <w:t>x</w:t>
      </w:r>
      <w:r>
        <w:rPr>
          <w:rFonts w:ascii="Cambria Math" w:hAnsi="Cambria Math"/>
          <w:spacing w:val="5"/>
          <w:w w:val="100"/>
          <w:sz w:val="22"/>
        </w:rPr>
        <w:t>̅</w:t>
      </w:r>
      <w:r>
        <w:rPr>
          <w:w w:val="100"/>
          <w:sz w:val="22"/>
        </w:rPr>
        <w:t>=</w:t>
      </w:r>
      <w:r>
        <w:rPr>
          <w:spacing w:val="1"/>
          <w:sz w:val="22"/>
        </w:rPr>
        <w:t> </w:t>
      </w:r>
      <w:r>
        <w:rPr>
          <w:w w:val="100"/>
          <w:sz w:val="22"/>
        </w:rPr>
        <w:t>the</w:t>
      </w:r>
      <w:r>
        <w:rPr>
          <w:spacing w:val="-2"/>
          <w:sz w:val="22"/>
        </w:rPr>
        <w:t> </w:t>
      </w:r>
      <w:r>
        <w:rPr>
          <w:rFonts w:ascii="Times New Roman" w:hAnsi="Times New Roman"/>
          <w:i/>
          <w:w w:val="100"/>
          <w:sz w:val="22"/>
        </w:rPr>
        <w:t>x</w:t>
      </w:r>
      <w:r>
        <w:rPr>
          <w:rFonts w:ascii="Times New Roman" w:hAnsi="Times New Roman"/>
          <w:i/>
          <w:spacing w:val="-7"/>
          <w:sz w:val="22"/>
        </w:rPr>
        <w:t> </w:t>
      </w:r>
      <w:r>
        <w:rPr>
          <w:w w:val="100"/>
          <w:sz w:val="22"/>
        </w:rPr>
        <w:t>mean</w:t>
      </w:r>
      <w:r>
        <w:rPr>
          <w:spacing w:val="-3"/>
          <w:sz w:val="22"/>
        </w:rPr>
        <w:t> </w:t>
      </w:r>
      <w:r>
        <w:rPr>
          <w:w w:val="100"/>
          <w:sz w:val="22"/>
        </w:rPr>
        <w:t>val</w:t>
      </w:r>
      <w:r>
        <w:rPr>
          <w:spacing w:val="-2"/>
          <w:w w:val="100"/>
          <w:sz w:val="22"/>
        </w:rPr>
        <w:t>u</w:t>
      </w:r>
      <w:r>
        <w:rPr>
          <w:w w:val="100"/>
          <w:sz w:val="22"/>
        </w:rPr>
        <w:t>e</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for</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array, or</w:t>
            </w:r>
          </w:p>
        </w:tc>
        <w:tc>
          <w:tcPr>
            <w:tcW w:w="5400" w:type="dxa"/>
            <w:tcBorders>
              <w:top w:val="nil"/>
              <w:bottom w:val="nil"/>
            </w:tcBorders>
          </w:tcPr>
          <w:p>
            <w:pPr>
              <w:pStyle w:val="TableParagraph"/>
              <w:spacing w:line="249" w:lineRule="exact" w:before="0"/>
              <w:ind w:left="113"/>
              <w:rPr>
                <w:sz w:val="22"/>
              </w:rPr>
            </w:pPr>
            <w:r>
              <w:rPr>
                <w:sz w:val="22"/>
              </w:rPr>
              <w:t>which the average of the absolute deviations is to be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that</w:t>
            </w:r>
          </w:p>
        </w:tc>
        <w:tc>
          <w:tcPr>
            <w:tcW w:w="5400" w:type="dxa"/>
            <w:tcBorders>
              <w:top w:val="nil"/>
              <w:bottom w:val="nil"/>
            </w:tcBorders>
          </w:tcPr>
          <w:p>
            <w:pPr>
              <w:pStyle w:val="TableParagraph"/>
              <w:spacing w:line="249" w:lineRule="exact" w:before="0"/>
              <w:ind w:left="113"/>
              <w:rPr>
                <w:sz w:val="22"/>
              </w:rPr>
            </w:pPr>
            <w:r>
              <w:rPr>
                <w:sz w:val="22"/>
              </w:rPr>
              <w:t>computed. Logical values and text representations of</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contains a</w:t>
            </w:r>
          </w:p>
        </w:tc>
        <w:tc>
          <w:tcPr>
            <w:tcW w:w="5400" w:type="dxa"/>
            <w:tcBorders>
              <w:top w:val="nil"/>
              <w:bottom w:val="nil"/>
            </w:tcBorders>
          </w:tcPr>
          <w:p>
            <w:pPr>
              <w:pStyle w:val="TableParagraph"/>
              <w:spacing w:line="249" w:lineRule="exact" w:before="0"/>
              <w:ind w:left="113"/>
              <w:rPr>
                <w:sz w:val="22"/>
              </w:rPr>
            </w:pPr>
            <w:r>
              <w:rPr>
                <w:sz w:val="22"/>
              </w:rPr>
              <w:t>numbers occurring directly in the list of arguments are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 The list</w:t>
            </w:r>
          </w:p>
        </w:tc>
        <w:tc>
          <w:tcPr>
            <w:tcW w:w="5400" w:type="dxa"/>
            <w:tcBorders>
              <w:top w:val="nil"/>
              <w:bottom w:val="nil"/>
            </w:tcBorders>
          </w:tcPr>
          <w:p>
            <w:pPr>
              <w:pStyle w:val="TableParagraph"/>
              <w:spacing w:line="249" w:lineRule="exact" w:before="0"/>
              <w:ind w:left="113"/>
              <w:rPr>
                <w:sz w:val="22"/>
              </w:rPr>
            </w:pPr>
            <w:r>
              <w:rPr>
                <w:sz w:val="22"/>
              </w:rPr>
              <w:t>included. If an array or reference argument contains text,</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can be a single</w:t>
            </w:r>
          </w:p>
        </w:tc>
        <w:tc>
          <w:tcPr>
            <w:tcW w:w="5400" w:type="dxa"/>
            <w:tcBorders>
              <w:top w:val="nil"/>
              <w:bottom w:val="nil"/>
            </w:tcBorders>
          </w:tcPr>
          <w:p>
            <w:pPr>
              <w:pStyle w:val="TableParagraph"/>
              <w:spacing w:line="248" w:lineRule="exact" w:before="0"/>
              <w:ind w:left="113"/>
              <w:rPr>
                <w:sz w:val="22"/>
              </w:rPr>
            </w:pPr>
            <w:r>
              <w:rPr>
                <w:sz w:val="22"/>
              </w:rPr>
              <w:t>logical values, or empty cells, those values are ignored;</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argument that is</w:t>
            </w:r>
          </w:p>
        </w:tc>
        <w:tc>
          <w:tcPr>
            <w:tcW w:w="5400" w:type="dxa"/>
            <w:tcBorders>
              <w:top w:val="nil"/>
              <w:bottom w:val="nil"/>
            </w:tcBorders>
          </w:tcPr>
          <w:p>
            <w:pPr>
              <w:pStyle w:val="TableParagraph"/>
              <w:spacing w:line="247" w:lineRule="exact" w:before="0"/>
              <w:ind w:left="113"/>
              <w:rPr>
                <w:sz w:val="22"/>
              </w:rPr>
            </w:pPr>
            <w:r>
              <w:rPr>
                <w:sz w:val="22"/>
              </w:rPr>
              <w:t>however, cells with the value 0 are included.</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an array or a</w:t>
            </w:r>
          </w:p>
        </w:tc>
        <w:tc>
          <w:tcPr>
            <w:tcW w:w="5400" w:type="dxa"/>
            <w:tcBorders>
              <w:top w:val="nil"/>
              <w:bottom w:val="nil"/>
            </w:tcBorders>
          </w:tcPr>
          <w:p>
            <w:pPr>
              <w:pStyle w:val="TableParagraph"/>
              <w:spacing w:before="0"/>
              <w:ind w:left="0"/>
              <w:rPr>
                <w:rFonts w:ascii="Times New Roman"/>
                <w:sz w:val="18"/>
              </w:rPr>
            </w:pP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 an</w:t>
            </w:r>
          </w:p>
        </w:tc>
        <w:tc>
          <w:tcPr>
            <w:tcW w:w="5400" w:type="dxa"/>
            <w:tcBorders>
              <w:top w:val="nil"/>
              <w:bottom w:val="nil"/>
            </w:tcBorders>
          </w:tcPr>
          <w:p>
            <w:pPr>
              <w:pStyle w:val="TableParagraph"/>
              <w:spacing w:before="0"/>
              <w:ind w:left="0"/>
              <w:rPr>
                <w:rFonts w:ascii="Times New Roman"/>
                <w:sz w:val="18"/>
              </w:rPr>
            </w:pP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9" w:lineRule="exact" w:before="0"/>
              <w:ind w:left="112"/>
              <w:rPr>
                <w:sz w:val="22"/>
              </w:rPr>
            </w:pPr>
            <w:r>
              <w:rPr>
                <w:sz w:val="22"/>
              </w:rPr>
              <w:t>array.</w:t>
            </w:r>
          </w:p>
        </w:tc>
        <w:tc>
          <w:tcPr>
            <w:tcW w:w="5400" w:type="dxa"/>
            <w:tcBorders>
              <w:top w:val="nil"/>
            </w:tcBorders>
          </w:tcPr>
          <w:p>
            <w:pPr>
              <w:pStyle w:val="TableParagraph"/>
              <w:spacing w:before="0"/>
              <w:ind w:left="0"/>
              <w:rPr>
                <w:rFonts w:ascii="Times New Roman"/>
                <w:sz w:val="22"/>
              </w:rPr>
            </w:pPr>
          </w:p>
        </w:tc>
      </w:tr>
    </w:tbl>
    <w:p>
      <w:pPr>
        <w:pStyle w:val="BodyText"/>
        <w:rPr>
          <w:b/>
        </w:rPr>
      </w:pPr>
    </w:p>
    <w:p>
      <w:pPr>
        <w:pStyle w:val="BodyText"/>
        <w:spacing w:before="5"/>
        <w:rPr>
          <w:b/>
          <w:sz w:val="19"/>
        </w:rPr>
      </w:pPr>
    </w:p>
    <w:p>
      <w:pPr>
        <w:spacing w:line="278" w:lineRule="auto" w:before="0"/>
        <w:ind w:left="220" w:right="905" w:firstLine="0"/>
        <w:jc w:val="left"/>
        <w:rPr>
          <w:sz w:val="22"/>
        </w:rPr>
      </w:pPr>
      <w:r>
        <w:rPr>
          <w:b/>
          <w:sz w:val="22"/>
        </w:rPr>
        <w:t>Return Type and Value: </w:t>
      </w:r>
      <w:r>
        <w:rPr>
          <w:sz w:val="22"/>
        </w:rPr>
        <w:t>number – The average of the absolute deviations of a set of data points from their mean.</w:t>
      </w:r>
    </w:p>
    <w:p>
      <w:pPr>
        <w:spacing w:before="196"/>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ind w:left="220"/>
        <w:rPr>
          <w:rFonts w:ascii="Consolas"/>
        </w:rPr>
      </w:pPr>
      <w:r>
        <w:rPr>
          <w:rFonts w:ascii="Consolas"/>
        </w:rPr>
        <w:t>AVEDEV(-3.5,1.4,6.9,-4.5) </w:t>
      </w:r>
      <w:r>
        <w:rPr/>
        <w:t>results in </w:t>
      </w:r>
      <w:r>
        <w:rPr>
          <w:rFonts w:ascii="Consolas"/>
        </w:rPr>
        <w:t>4.075</w:t>
      </w:r>
    </w:p>
    <w:p>
      <w:pPr>
        <w:pStyle w:val="BodyText"/>
        <w:spacing w:before="41"/>
        <w:ind w:left="220"/>
        <w:rPr>
          <w:rFonts w:ascii="Consolas"/>
        </w:rPr>
      </w:pPr>
      <w:r>
        <w:rPr>
          <w:rFonts w:ascii="Consolas"/>
        </w:rPr>
        <w:t>AVEDEV({-3.5,1.4,6.9,-4.5}) </w:t>
      </w:r>
      <w:r>
        <w:rPr/>
        <w:t>results in </w:t>
      </w:r>
      <w:r>
        <w:rPr>
          <w:rFonts w:ascii="Consolas"/>
        </w:rPr>
        <w:t>4.075</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 AVERAGE" w:id="1446"/>
      <w:bookmarkEnd w:id="1446"/>
      <w:r>
        <w:rPr/>
      </w:r>
      <w:bookmarkStart w:name="_bookmark481" w:id="1447"/>
      <w:bookmarkEnd w:id="1447"/>
      <w:r>
        <w:rPr/>
      </w:r>
      <w:bookmarkStart w:name="_bookmark481" w:id="1448"/>
      <w:bookmarkEnd w:id="1448"/>
      <w:r>
        <w:rPr>
          <w:color w:val="4F81BC"/>
        </w:rPr>
        <w:t>A</w:t>
      </w:r>
      <w:r>
        <w:rPr>
          <w:color w:val="4F81BC"/>
        </w:rPr>
        <w:t>VERAGE</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AVERAGE ( </w:t>
      </w:r>
      <w:r>
        <w:rPr>
          <w:i/>
          <w:sz w:val="22"/>
        </w:rPr>
        <w:t>argument-list </w:t>
      </w:r>
      <w:r>
        <w:rPr>
          <w:rFonts w:ascii="Lucida Console"/>
          <w:sz w:val="20"/>
        </w:rPr>
        <w:t>)</w:t>
      </w:r>
    </w:p>
    <w:p>
      <w:pPr>
        <w:pStyle w:val="BodyText"/>
        <w:spacing w:before="111"/>
        <w:ind w:left="220"/>
      </w:pPr>
      <w:r>
        <w:rPr>
          <w:b/>
        </w:rPr>
        <w:t>Description: </w:t>
      </w:r>
      <w:r>
        <w:rPr/>
        <w:t>Computes the arithmetic mean of the numeric values of its arguments.</w:t>
      </w:r>
    </w:p>
    <w:p>
      <w:pPr>
        <w:pStyle w:val="BodyText"/>
        <w:spacing w:before="8"/>
        <w:rPr>
          <w:sz w:val="19"/>
        </w:rPr>
      </w:pPr>
    </w:p>
    <w:p>
      <w:pPr>
        <w:pStyle w:val="Heading4"/>
      </w:pPr>
      <w:r>
        <w:rPr/>
        <w:t>Arguments:</w:t>
      </w:r>
    </w:p>
    <w:p>
      <w:pPr>
        <w:spacing w:after="0"/>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to be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text, or</w:t>
            </w:r>
          </w:p>
        </w:tc>
        <w:tc>
          <w:tcPr>
            <w:tcW w:w="5400" w:type="dxa"/>
            <w:tcBorders>
              <w:top w:val="nil"/>
              <w:bottom w:val="nil"/>
            </w:tcBorders>
          </w:tcPr>
          <w:p>
            <w:pPr>
              <w:pStyle w:val="TableParagraph"/>
              <w:spacing w:line="249" w:lineRule="exact" w:before="0"/>
              <w:ind w:left="113"/>
              <w:rPr>
                <w:sz w:val="22"/>
              </w:rPr>
            </w:pPr>
            <w:r>
              <w:rPr>
                <w:sz w:val="22"/>
              </w:rPr>
              <w:t>averaged. An argument that is a logical value or the text</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that</w:t>
            </w:r>
          </w:p>
        </w:tc>
        <w:tc>
          <w:tcPr>
            <w:tcW w:w="5400" w:type="dxa"/>
            <w:tcBorders>
              <w:top w:val="nil"/>
              <w:bottom w:val="nil"/>
            </w:tcBorders>
          </w:tcPr>
          <w:p>
            <w:pPr>
              <w:pStyle w:val="TableParagraph"/>
              <w:spacing w:line="249" w:lineRule="exact" w:before="0"/>
              <w:ind w:left="113"/>
              <w:rPr>
                <w:sz w:val="22"/>
              </w:rPr>
            </w:pPr>
            <w:r>
              <w:rPr>
                <w:sz w:val="22"/>
              </w:rPr>
              <w:t>representation of a number shall be counted. If an array</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contains a</w:t>
            </w:r>
          </w:p>
        </w:tc>
        <w:tc>
          <w:tcPr>
            <w:tcW w:w="5400" w:type="dxa"/>
            <w:tcBorders>
              <w:top w:val="nil"/>
              <w:bottom w:val="nil"/>
            </w:tcBorders>
          </w:tcPr>
          <w:p>
            <w:pPr>
              <w:pStyle w:val="TableParagraph"/>
              <w:spacing w:line="249" w:lineRule="exact" w:before="0"/>
              <w:ind w:left="113"/>
              <w:rPr>
                <w:sz w:val="22"/>
              </w:rPr>
            </w:pPr>
            <w:r>
              <w:rPr>
                <w:sz w:val="22"/>
              </w:rPr>
              <w:t>or cell reference argument contains logical values, text,</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number.</w:t>
            </w:r>
          </w:p>
        </w:tc>
        <w:tc>
          <w:tcPr>
            <w:tcW w:w="5400" w:type="dxa"/>
            <w:tcBorders>
              <w:top w:val="nil"/>
              <w:bottom w:val="nil"/>
            </w:tcBorders>
          </w:tcPr>
          <w:p>
            <w:pPr>
              <w:pStyle w:val="TableParagraph"/>
              <w:spacing w:line="248" w:lineRule="exact" w:before="0"/>
              <w:ind w:left="113"/>
              <w:rPr>
                <w:sz w:val="22"/>
              </w:rPr>
            </w:pPr>
            <w:r>
              <w:rPr>
                <w:sz w:val="22"/>
              </w:rPr>
              <w:t>or empty cells, those values shall be ignored; however,</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before="0"/>
              <w:ind w:left="0"/>
              <w:rPr>
                <w:rFonts w:ascii="Times New Roman"/>
                <w:sz w:val="18"/>
              </w:rPr>
            </w:pPr>
          </w:p>
        </w:tc>
        <w:tc>
          <w:tcPr>
            <w:tcW w:w="5400" w:type="dxa"/>
            <w:tcBorders>
              <w:top w:val="nil"/>
              <w:bottom w:val="nil"/>
            </w:tcBorders>
          </w:tcPr>
          <w:p>
            <w:pPr>
              <w:pStyle w:val="TableParagraph"/>
              <w:spacing w:line="247" w:lineRule="exact" w:before="0"/>
              <w:ind w:left="113"/>
              <w:rPr>
                <w:sz w:val="22"/>
              </w:rPr>
            </w:pPr>
            <w:r>
              <w:rPr>
                <w:sz w:val="22"/>
              </w:rPr>
              <w:t>cells having the value 0value 0 shall be counted. [</w:t>
            </w:r>
            <w:r>
              <w:rPr>
                <w:i/>
                <w:sz w:val="22"/>
              </w:rPr>
              <w:t>Note</w:t>
            </w:r>
            <w:r>
              <w:rPr>
                <w:sz w:val="22"/>
              </w:rPr>
              <w:t>:</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before="0"/>
              <w:ind w:left="0"/>
              <w:rPr>
                <w:rFonts w:ascii="Times New Roman"/>
                <w:sz w:val="18"/>
              </w:rPr>
            </w:pPr>
          </w:p>
        </w:tc>
        <w:tc>
          <w:tcPr>
            <w:tcW w:w="5400" w:type="dxa"/>
            <w:tcBorders>
              <w:top w:val="nil"/>
              <w:bottom w:val="nil"/>
            </w:tcBorders>
          </w:tcPr>
          <w:p>
            <w:pPr>
              <w:pStyle w:val="TableParagraph"/>
              <w:spacing w:line="249" w:lineRule="exact" w:before="0"/>
              <w:ind w:left="113"/>
              <w:rPr>
                <w:sz w:val="22"/>
              </w:rPr>
            </w:pPr>
            <w:r>
              <w:rPr>
                <w:sz w:val="22"/>
              </w:rPr>
              <w:t>The function </w:t>
            </w:r>
            <w:r>
              <w:rPr>
                <w:rFonts w:ascii="Consolas" w:hAnsi="Consolas"/>
                <w:sz w:val="22"/>
              </w:rPr>
              <w:t>AVERAGEA</w:t>
            </w:r>
            <w:r>
              <w:rPr>
                <w:rFonts w:ascii="Consolas" w:hAnsi="Consolas"/>
                <w:spacing w:val="-79"/>
                <w:sz w:val="22"/>
              </w:rPr>
              <w:t> </w:t>
            </w:r>
            <w:r>
              <w:rPr>
                <w:sz w:val="22"/>
              </w:rPr>
              <w:t>(§</w:t>
            </w:r>
            <w:hyperlink w:history="true" w:anchor="_bookmark481">
              <w:r>
                <w:rPr>
                  <w:sz w:val="22"/>
                </w:rPr>
                <w:t>18.17.7.18</w:t>
              </w:r>
            </w:hyperlink>
            <w:r>
              <w:rPr>
                <w:sz w:val="22"/>
              </w:rPr>
              <w:t>) does include cell</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before="0"/>
              <w:ind w:left="0"/>
              <w:rPr>
                <w:rFonts w:ascii="Times New Roman"/>
                <w:sz w:val="18"/>
              </w:rPr>
            </w:pPr>
          </w:p>
        </w:tc>
        <w:tc>
          <w:tcPr>
            <w:tcW w:w="5400" w:type="dxa"/>
            <w:tcBorders>
              <w:top w:val="nil"/>
              <w:bottom w:val="nil"/>
            </w:tcBorders>
          </w:tcPr>
          <w:p>
            <w:pPr>
              <w:pStyle w:val="TableParagraph"/>
              <w:spacing w:line="248" w:lineRule="exact" w:before="0"/>
              <w:ind w:left="113"/>
              <w:rPr>
                <w:sz w:val="22"/>
              </w:rPr>
            </w:pPr>
            <w:r>
              <w:rPr>
                <w:sz w:val="22"/>
              </w:rPr>
              <w:t>reference arguments that refer to logical values or text</w:t>
            </w: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9" w:lineRule="exact" w:before="0"/>
              <w:ind w:left="113"/>
              <w:rPr>
                <w:sz w:val="22"/>
              </w:rPr>
            </w:pPr>
            <w:r>
              <w:rPr>
                <w:sz w:val="22"/>
              </w:rPr>
              <w:t>representations of numbers. </w:t>
            </w:r>
            <w:r>
              <w:rPr>
                <w:i/>
                <w:sz w:val="22"/>
              </w:rPr>
              <w:t>end note</w:t>
            </w:r>
            <w:r>
              <w:rPr>
                <w:sz w:val="22"/>
              </w:rPr>
              <w:t>]</w:t>
            </w:r>
          </w:p>
        </w:tc>
      </w:tr>
    </w:tbl>
    <w:p>
      <w:pPr>
        <w:pStyle w:val="BodyText"/>
        <w:rPr>
          <w:b/>
          <w:sz w:val="20"/>
        </w:rPr>
      </w:pPr>
    </w:p>
    <w:p>
      <w:pPr>
        <w:pStyle w:val="BodyText"/>
        <w:spacing w:before="8"/>
        <w:rPr>
          <w:b/>
          <w:sz w:val="15"/>
        </w:rPr>
      </w:pPr>
    </w:p>
    <w:p>
      <w:pPr>
        <w:spacing w:line="453" w:lineRule="auto" w:before="56"/>
        <w:ind w:left="220" w:right="2709" w:firstLine="0"/>
        <w:jc w:val="left"/>
        <w:rPr>
          <w:sz w:val="22"/>
        </w:rPr>
      </w:pPr>
      <w:r>
        <w:rPr>
          <w:b/>
          <w:sz w:val="22"/>
        </w:rPr>
        <w:t>Return Type and Value: </w:t>
      </w:r>
      <w:r>
        <w:rPr>
          <w:sz w:val="22"/>
        </w:rPr>
        <w:t>number – The arithmetic mean of the values of its arguments. [</w:t>
      </w:r>
      <w:r>
        <w:rPr>
          <w:i/>
          <w:sz w:val="22"/>
        </w:rPr>
        <w:t>Example</w:t>
      </w:r>
      <w:r>
        <w:rPr>
          <w:sz w:val="22"/>
        </w:rPr>
        <w:t>:</w:t>
      </w:r>
    </w:p>
    <w:p>
      <w:pPr>
        <w:pStyle w:val="BodyText"/>
        <w:spacing w:line="276" w:lineRule="auto" w:before="109"/>
        <w:ind w:left="220" w:right="6274"/>
        <w:rPr>
          <w:rFonts w:ascii="Consolas"/>
        </w:rPr>
      </w:pPr>
      <w:r>
        <w:rPr>
          <w:rFonts w:ascii="Consolas"/>
        </w:rPr>
        <w:t>AVERAGE(1,2,3,4,5) </w:t>
      </w:r>
      <w:r>
        <w:rPr/>
        <w:t>results in </w:t>
      </w:r>
      <w:r>
        <w:rPr>
          <w:rFonts w:ascii="Consolas"/>
        </w:rPr>
        <w:t>3 AVERAGE({1,2;3,4}) </w:t>
      </w:r>
      <w:r>
        <w:rPr/>
        <w:t>results in </w:t>
      </w:r>
      <w:r>
        <w:rPr>
          <w:rFonts w:ascii="Consolas"/>
          <w:spacing w:val="-2"/>
        </w:rPr>
        <w:t>2.5 </w:t>
      </w:r>
      <w:r>
        <w:rPr>
          <w:rFonts w:ascii="Consolas"/>
        </w:rPr>
        <w:t>AVERAGE({1,2,3,4,5},6,"7")</w:t>
      </w:r>
      <w:r>
        <w:rPr>
          <w:rFonts w:ascii="Consolas"/>
          <w:spacing w:val="-85"/>
        </w:rPr>
        <w:t> </w:t>
      </w:r>
      <w:r>
        <w:rPr/>
        <w:t>results in </w:t>
      </w:r>
      <w:r>
        <w:rPr>
          <w:rFonts w:ascii="Consolas"/>
        </w:rPr>
        <w:t>4</w:t>
      </w:r>
    </w:p>
    <w:p>
      <w:pPr>
        <w:pStyle w:val="BodyText"/>
        <w:ind w:left="220"/>
      </w:pPr>
      <w:r>
        <w:rPr>
          <w:rFonts w:ascii="Consolas"/>
        </w:rPr>
        <w:t>AVERAGE({1,"2",TRUE,4})</w:t>
      </w:r>
      <w:r>
        <w:rPr>
          <w:rFonts w:ascii="Consolas"/>
          <w:spacing w:val="-85"/>
        </w:rPr>
        <w:t> </w:t>
      </w:r>
      <w:r>
        <w:rPr/>
        <w:t>results in </w:t>
      </w:r>
      <w:r>
        <w:rPr>
          <w:rFonts w:ascii="Consolas"/>
        </w:rPr>
        <w:t>2.5</w:t>
      </w:r>
      <w:r>
        <w:rPr/>
        <w:t>, as the logical value and numeric text are ignored</w:t>
      </w:r>
    </w:p>
    <w:p>
      <w:pPr>
        <w:pStyle w:val="BodyText"/>
        <w:spacing w:before="8"/>
        <w:rPr>
          <w:sz w:val="28"/>
        </w:rPr>
      </w:pPr>
    </w:p>
    <w:p>
      <w:pPr>
        <w:spacing w:before="0"/>
        <w:ind w:left="220" w:right="0" w:firstLine="0"/>
        <w:jc w:val="left"/>
        <w:rPr>
          <w:sz w:val="22"/>
        </w:rPr>
      </w:pPr>
      <w:r>
        <w:rPr>
          <w:i/>
          <w:sz w:val="22"/>
        </w:rPr>
        <w:t>end example</w:t>
      </w:r>
      <w:r>
        <w:rPr>
          <w:sz w:val="22"/>
        </w:rPr>
        <w:t>]</w:t>
      </w:r>
    </w:p>
    <w:p>
      <w:pPr>
        <w:pStyle w:val="BodyText"/>
        <w:spacing w:before="11"/>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9 AVERAGEA" w:id="1449"/>
      <w:bookmarkEnd w:id="1449"/>
      <w:r>
        <w:rPr/>
      </w:r>
      <w:bookmarkStart w:name="_bookmark482" w:id="1450"/>
      <w:bookmarkEnd w:id="1450"/>
      <w:r>
        <w:rPr/>
      </w:r>
      <w:bookmarkStart w:name="_bookmark482" w:id="1451"/>
      <w:bookmarkEnd w:id="1451"/>
      <w:r>
        <w:rPr>
          <w:color w:val="4F81BC"/>
        </w:rPr>
        <w:t>A</w:t>
      </w:r>
      <w:r>
        <w:rPr>
          <w:color w:val="4F81BC"/>
        </w:rPr>
        <w:t>VERAGEA</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AVERAGEA ( </w:t>
      </w:r>
      <w:r>
        <w:rPr>
          <w:i/>
          <w:sz w:val="22"/>
        </w:rPr>
        <w:t>argument-list </w:t>
      </w:r>
      <w:r>
        <w:rPr>
          <w:rFonts w:ascii="Lucida Console"/>
          <w:sz w:val="20"/>
        </w:rPr>
        <w:t>)</w:t>
      </w:r>
    </w:p>
    <w:p>
      <w:pPr>
        <w:pStyle w:val="BodyText"/>
        <w:spacing w:before="109"/>
        <w:ind w:left="220"/>
      </w:pPr>
      <w:r>
        <w:rPr>
          <w:b/>
        </w:rPr>
        <w:t>Description: </w:t>
      </w:r>
      <w:r>
        <w:rPr/>
        <w:t>Computes the arithmetic mean of the values of its arguments.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50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91"/>
              <w:rPr>
                <w:sz w:val="22"/>
              </w:rPr>
            </w:pPr>
            <w:r>
              <w:rPr>
                <w:sz w:val="22"/>
              </w:rPr>
              <w:t>logical, number, text, or reference that contains a number.</w:t>
            </w:r>
          </w:p>
        </w:tc>
        <w:tc>
          <w:tcPr>
            <w:tcW w:w="5400" w:type="dxa"/>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to be averaged. An argument that is a logical value or the text representation of a number shall be counted. Arguments with value </w:t>
            </w:r>
            <w:r>
              <w:rPr>
                <w:rFonts w:ascii="Consolas"/>
                <w:sz w:val="22"/>
              </w:rPr>
              <w:t>TRUE </w:t>
            </w:r>
            <w:r>
              <w:rPr>
                <w:sz w:val="22"/>
              </w:rPr>
              <w:t>evaluate to 1; arguments with value </w:t>
            </w:r>
            <w:r>
              <w:rPr>
                <w:rFonts w:ascii="Consolas"/>
                <w:sz w:val="22"/>
              </w:rPr>
              <w:t>FALSE</w:t>
            </w:r>
            <w:r>
              <w:rPr>
                <w:rFonts w:ascii="Consolas"/>
                <w:spacing w:val="-83"/>
                <w:sz w:val="22"/>
              </w:rPr>
              <w:t> </w:t>
            </w:r>
            <w:r>
              <w:rPr>
                <w:sz w:val="22"/>
              </w:rPr>
              <w:t>evaluate to 0. An array or cell reference argument that contains text evaluates to 0.</w:t>
            </w:r>
          </w:p>
          <w:p>
            <w:pPr>
              <w:pStyle w:val="TableParagraph"/>
              <w:spacing w:before="0"/>
              <w:ind w:left="113" w:right="503"/>
              <w:jc w:val="both"/>
              <w:rPr>
                <w:sz w:val="22"/>
              </w:rPr>
            </w:pPr>
            <w:r>
              <w:rPr>
                <w:sz w:val="22"/>
              </w:rPr>
              <w:t>If an argument is an array or reference, only values in that array or reference are used. Empty cells and text values in the array or reference are ignored.</w:t>
            </w:r>
          </w:p>
        </w:tc>
      </w:tr>
    </w:tbl>
    <w:p>
      <w:pPr>
        <w:pStyle w:val="BodyText"/>
        <w:rPr>
          <w:b/>
        </w:rPr>
      </w:pPr>
    </w:p>
    <w:p>
      <w:pPr>
        <w:pStyle w:val="BodyText"/>
        <w:rPr>
          <w:b/>
          <w:sz w:val="18"/>
        </w:rPr>
      </w:pPr>
    </w:p>
    <w:p>
      <w:pPr>
        <w:pStyle w:val="BodyText"/>
        <w:spacing w:line="276" w:lineRule="auto"/>
        <w:ind w:left="220" w:right="376"/>
      </w:pPr>
      <w:r>
        <w:rPr/>
        <w:t>[</w:t>
      </w:r>
      <w:r>
        <w:rPr>
          <w:i/>
        </w:rPr>
        <w:t>Note</w:t>
      </w:r>
      <w:r>
        <w:rPr/>
        <w:t>: The function </w:t>
      </w:r>
      <w:r>
        <w:rPr>
          <w:rFonts w:ascii="Consolas" w:hAnsi="Consolas"/>
        </w:rPr>
        <w:t>AVERAGE</w:t>
      </w:r>
      <w:r>
        <w:rPr>
          <w:rFonts w:ascii="Consolas" w:hAnsi="Consolas"/>
          <w:spacing w:val="-102"/>
        </w:rPr>
        <w:t> </w:t>
      </w:r>
      <w:r>
        <w:rPr/>
        <w:t>(§</w:t>
      </w:r>
      <w:hyperlink w:history="true" w:anchor="_bookmark481">
        <w:r>
          <w:rPr/>
          <w:t>18.17.7.18</w:t>
        </w:r>
      </w:hyperlink>
      <w:r>
        <w:rPr/>
        <w:t>) does not include cell reference arguments that refer to logical values or text representations of numbers. </w:t>
      </w:r>
      <w:r>
        <w:rPr>
          <w:i/>
        </w:rPr>
        <w:t>end note</w:t>
      </w:r>
      <w:r>
        <w:rPr/>
        <w:t>]</w:t>
      </w:r>
    </w:p>
    <w:p>
      <w:pPr>
        <w:spacing w:after="0" w:line="276" w:lineRule="auto"/>
        <w:sectPr>
          <w:pgSz w:w="12240" w:h="15840"/>
          <w:pgMar w:header="761" w:footer="746" w:top="1340" w:bottom="940" w:left="860" w:right="700"/>
        </w:sectPr>
      </w:pPr>
    </w:p>
    <w:p>
      <w:pPr>
        <w:spacing w:line="453" w:lineRule="auto" w:before="150"/>
        <w:ind w:left="220" w:right="2709" w:firstLine="0"/>
        <w:jc w:val="left"/>
        <w:rPr>
          <w:sz w:val="22"/>
        </w:rPr>
      </w:pPr>
      <w:r>
        <w:rPr>
          <w:b/>
          <w:sz w:val="22"/>
        </w:rPr>
        <w:t>Return Type and Value: </w:t>
      </w:r>
      <w:r>
        <w:rPr>
          <w:sz w:val="22"/>
        </w:rPr>
        <w:t>number – The arithmetic mean of the values of its arguments. [</w:t>
      </w:r>
      <w:r>
        <w:rPr>
          <w:i/>
          <w:sz w:val="22"/>
        </w:rPr>
        <w:t>Example</w:t>
      </w:r>
      <w:r>
        <w:rPr>
          <w:sz w:val="22"/>
        </w:rPr>
        <w:t>:</w:t>
      </w:r>
    </w:p>
    <w:p>
      <w:pPr>
        <w:pStyle w:val="BodyText"/>
        <w:spacing w:line="276" w:lineRule="auto" w:before="109"/>
        <w:ind w:left="220" w:right="3504"/>
        <w:rPr>
          <w:rFonts w:ascii="Consolas"/>
        </w:rPr>
      </w:pPr>
      <w:r>
        <w:rPr>
          <w:rFonts w:ascii="Consolas"/>
        </w:rPr>
        <w:t>AVERAGEA(10,E1)</w:t>
      </w:r>
      <w:r>
        <w:rPr/>
        <w:t>, where </w:t>
      </w:r>
      <w:r>
        <w:rPr>
          <w:rFonts w:ascii="Consolas"/>
        </w:rPr>
        <w:t>E1</w:t>
      </w:r>
      <w:r>
        <w:rPr>
          <w:rFonts w:ascii="Consolas"/>
          <w:spacing w:val="-71"/>
        </w:rPr>
        <w:t> </w:t>
      </w:r>
      <w:r>
        <w:rPr/>
        <w:t>is an empty cell, results in </w:t>
      </w:r>
      <w:r>
        <w:rPr>
          <w:rFonts w:ascii="Consolas"/>
        </w:rPr>
        <w:t>10</w:t>
      </w:r>
      <w:r>
        <w:rPr/>
        <w:t>, as </w:t>
      </w:r>
      <w:r>
        <w:rPr>
          <w:rFonts w:ascii="Consolas"/>
        </w:rPr>
        <w:t>E1</w:t>
      </w:r>
      <w:r>
        <w:rPr>
          <w:rFonts w:ascii="Consolas"/>
          <w:spacing w:val="-70"/>
        </w:rPr>
        <w:t> </w:t>
      </w:r>
      <w:r>
        <w:rPr/>
        <w:t>is ignored </w:t>
      </w:r>
      <w:r>
        <w:rPr>
          <w:rFonts w:ascii="Consolas"/>
        </w:rPr>
        <w:t>AVERAGEA(10,E2)</w:t>
      </w:r>
      <w:r>
        <w:rPr/>
        <w:t>, where </w:t>
      </w:r>
      <w:r>
        <w:rPr>
          <w:rFonts w:ascii="Consolas"/>
        </w:rPr>
        <w:t>E2 </w:t>
      </w:r>
      <w:r>
        <w:rPr/>
        <w:t>contains </w:t>
      </w:r>
      <w:r>
        <w:rPr>
          <w:rFonts w:ascii="Consolas"/>
        </w:rPr>
        <w:t>TRUE</w:t>
      </w:r>
      <w:r>
        <w:rPr/>
        <w:t>, results in </w:t>
      </w:r>
      <w:r>
        <w:rPr>
          <w:rFonts w:ascii="Consolas"/>
        </w:rPr>
        <w:t>5.5 AVERAGEA(10,E3)</w:t>
      </w:r>
      <w:r>
        <w:rPr/>
        <w:t>, where </w:t>
      </w:r>
      <w:r>
        <w:rPr>
          <w:rFonts w:ascii="Consolas"/>
        </w:rPr>
        <w:t>E3</w:t>
      </w:r>
      <w:r>
        <w:rPr>
          <w:rFonts w:ascii="Consolas"/>
          <w:spacing w:val="-75"/>
        </w:rPr>
        <w:t> </w:t>
      </w:r>
      <w:r>
        <w:rPr/>
        <w:t>contains </w:t>
      </w:r>
      <w:r>
        <w:rPr>
          <w:rFonts w:ascii="Consolas"/>
        </w:rPr>
        <w:t>FALSE</w:t>
      </w:r>
      <w:r>
        <w:rPr/>
        <w:t>, results in </w:t>
      </w:r>
      <w:r>
        <w:rPr>
          <w:rFonts w:ascii="Consolas"/>
        </w:rPr>
        <w:t>5</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 AVERAGEIF" w:id="1452"/>
      <w:bookmarkEnd w:id="1452"/>
      <w:r>
        <w:rPr/>
      </w:r>
      <w:bookmarkStart w:name="_bookmark483" w:id="1453"/>
      <w:bookmarkEnd w:id="1453"/>
      <w:r>
        <w:rPr/>
      </w:r>
      <w:bookmarkStart w:name="_bookmark483" w:id="1454"/>
      <w:bookmarkEnd w:id="1454"/>
      <w:r>
        <w:rPr>
          <w:color w:val="4F81BC"/>
        </w:rPr>
        <w:t>A</w:t>
      </w:r>
      <w:r>
        <w:rPr>
          <w:color w:val="4F81BC"/>
        </w:rPr>
        <w:t>VERAGEIF</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AVERAGEIF ( </w:t>
      </w:r>
      <w:r>
        <w:rPr>
          <w:i/>
          <w:sz w:val="22"/>
        </w:rPr>
        <w:t>cell-range </w:t>
      </w:r>
      <w:r>
        <w:rPr>
          <w:rFonts w:ascii="Lucida Console"/>
          <w:sz w:val="20"/>
        </w:rPr>
        <w:t>, </w:t>
      </w:r>
      <w:r>
        <w:rPr>
          <w:i/>
          <w:sz w:val="22"/>
        </w:rPr>
        <w:t>selection-criteria </w:t>
      </w:r>
      <w:r>
        <w:rPr>
          <w:sz w:val="22"/>
        </w:rPr>
        <w:t>[ </w:t>
      </w:r>
      <w:r>
        <w:rPr>
          <w:rFonts w:ascii="Lucida Console"/>
          <w:sz w:val="20"/>
        </w:rPr>
        <w:t>,</w:t>
      </w:r>
      <w:r>
        <w:rPr>
          <w:rFonts w:ascii="Lucida Console"/>
          <w:spacing w:val="-89"/>
          <w:sz w:val="20"/>
        </w:rPr>
        <w:t> </w:t>
      </w:r>
      <w:r>
        <w:rPr>
          <w:i/>
          <w:sz w:val="22"/>
        </w:rPr>
        <w:t>average-range </w:t>
      </w:r>
      <w:r>
        <w:rPr>
          <w:sz w:val="22"/>
        </w:rPr>
        <w:t>] </w:t>
      </w:r>
      <w:r>
        <w:rPr>
          <w:rFonts w:ascii="Lucida Console"/>
          <w:sz w:val="20"/>
        </w:rPr>
        <w:t>)</w:t>
      </w:r>
    </w:p>
    <w:p>
      <w:pPr>
        <w:pStyle w:val="BodyText"/>
        <w:spacing w:line="278" w:lineRule="auto" w:before="106"/>
        <w:ind w:left="220"/>
      </w:pPr>
      <w:r>
        <w:rPr>
          <w:b/>
        </w:rPr>
        <w:t>Description</w:t>
      </w:r>
      <w:r>
        <w:rPr/>
        <w:t>: Applies selection criteria on the values in one range of cells and averages the values of the cells in a corresponding range.</w:t>
      </w:r>
    </w:p>
    <w:p>
      <w:pPr>
        <w:pStyle w:val="Heading4"/>
        <w:spacing w:before="198"/>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left="0" w:right="432"/>
              <w:jc w:val="right"/>
              <w:rPr>
                <w:rFonts w:ascii="Times New Roman"/>
                <w:i/>
                <w:sz w:val="22"/>
              </w:rPr>
            </w:pPr>
            <w:r>
              <w:rPr>
                <w:rFonts w:ascii="Times New Roman"/>
                <w:i/>
                <w:sz w:val="22"/>
              </w:rPr>
              <w:t>cell-range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to be inspected. Cells in </w:t>
            </w:r>
            <w:r>
              <w:rPr>
                <w:rFonts w:ascii="Times New Roman"/>
                <w:i/>
                <w:sz w:val="22"/>
              </w:rPr>
              <w:t>cell-range </w:t>
            </w:r>
            <w:r>
              <w:rPr>
                <w:sz w:val="22"/>
              </w:rPr>
              <w:t>that contain </w:t>
            </w:r>
            <w:r>
              <w:rPr>
                <w:rFonts w:ascii="Consolas"/>
                <w:sz w:val="22"/>
              </w:rPr>
              <w:t>TRUE</w:t>
            </w:r>
            <w:r>
              <w:rPr>
                <w:rFonts w:ascii="Consolas"/>
                <w:spacing w:val="-72"/>
                <w:sz w:val="22"/>
              </w:rPr>
              <w:t> </w:t>
            </w:r>
            <w:r>
              <w:rPr>
                <w:sz w:val="22"/>
              </w:rPr>
              <w:t>or </w:t>
            </w:r>
            <w:r>
              <w:rPr>
                <w:rFonts w:ascii="Consolas"/>
                <w:sz w:val="22"/>
              </w:rPr>
              <w:t>FALSE</w:t>
            </w:r>
            <w:r>
              <w:rPr>
                <w:rFonts w:ascii="Consolas"/>
                <w:spacing w:val="-69"/>
                <w:sz w:val="22"/>
              </w:rPr>
              <w:t> </w:t>
            </w:r>
            <w:r>
              <w:rPr>
                <w:sz w:val="22"/>
              </w:rPr>
              <w:t>are ignored. If a cell is an empty cell, it is ignored.</w:t>
            </w:r>
          </w:p>
        </w:tc>
      </w:tr>
      <w:tr>
        <w:trPr>
          <w:trHeight w:val="3040" w:hRule="atLeast"/>
        </w:trPr>
        <w:tc>
          <w:tcPr>
            <w:tcW w:w="1466" w:type="dxa"/>
          </w:tcPr>
          <w:p>
            <w:pPr>
              <w:pStyle w:val="TableParagraph"/>
              <w:spacing w:before="37"/>
              <w:ind w:right="465"/>
              <w:rPr>
                <w:rFonts w:ascii="Times New Roman"/>
                <w:i/>
                <w:sz w:val="22"/>
              </w:rPr>
            </w:pPr>
            <w:r>
              <w:rPr>
                <w:rFonts w:ascii="Times New Roman"/>
                <w:i/>
                <w:sz w:val="22"/>
              </w:rPr>
              <w:t>selection- </w:t>
            </w:r>
            <w:r>
              <w:rPr>
                <w:rFonts w:ascii="Times New Roman"/>
                <w:i/>
                <w:sz w:val="22"/>
              </w:rPr>
              <w:t>criteria</w:t>
            </w:r>
          </w:p>
        </w:tc>
        <w:tc>
          <w:tcPr>
            <w:tcW w:w="1800" w:type="dxa"/>
          </w:tcPr>
          <w:p>
            <w:pPr>
              <w:pStyle w:val="TableParagraph"/>
              <w:ind w:left="112" w:right="334"/>
              <w:rPr>
                <w:sz w:val="22"/>
              </w:rPr>
            </w:pPr>
            <w:r>
              <w:rPr>
                <w:sz w:val="22"/>
              </w:rPr>
              <w:t>number, expression, reference, text</w:t>
            </w:r>
          </w:p>
        </w:tc>
        <w:tc>
          <w:tcPr>
            <w:tcW w:w="5400" w:type="dxa"/>
          </w:tcPr>
          <w:p>
            <w:pPr>
              <w:pStyle w:val="TableParagraph"/>
              <w:ind w:left="113" w:right="295"/>
              <w:rPr>
                <w:sz w:val="22"/>
              </w:rPr>
            </w:pPr>
            <w:r>
              <w:rPr>
                <w:sz w:val="22"/>
              </w:rPr>
              <w:t>Designates the cells that are to be averaged. In the case of text, </w:t>
            </w:r>
            <w:r>
              <w:rPr>
                <w:rFonts w:ascii="Times New Roman"/>
                <w:i/>
                <w:sz w:val="22"/>
              </w:rPr>
              <w:t>selection-criteria </w:t>
            </w:r>
            <w:r>
              <w:rPr>
                <w:sz w:val="22"/>
              </w:rPr>
              <w:t>can consist of any comparison operator followed by the operand against which each cell's value is to be compared. </w:t>
            </w:r>
            <w:r>
              <w:rPr>
                <w:rFonts w:ascii="Times New Roman"/>
                <w:i/>
                <w:sz w:val="22"/>
              </w:rPr>
              <w:t>selection-criteria </w:t>
            </w:r>
            <w:r>
              <w:rPr>
                <w:sz w:val="22"/>
              </w:rPr>
              <w:t>can include one or more wildcard characters, question mark (</w:t>
            </w:r>
            <w:r>
              <w:rPr>
                <w:rFonts w:ascii="Consolas"/>
                <w:sz w:val="22"/>
              </w:rPr>
              <w:t>?</w:t>
            </w:r>
            <w:r>
              <w:rPr>
                <w:sz w:val="22"/>
              </w:rPr>
              <w:t>) and asterisk (</w:t>
            </w:r>
            <w:r>
              <w:rPr>
                <w:rFonts w:ascii="Consolas"/>
                <w:sz w:val="22"/>
              </w:rPr>
              <w:t>*</w:t>
            </w:r>
            <w:r>
              <w:rPr>
                <w:sz w:val="22"/>
              </w:rPr>
              <w:t>). A question mark matches any single character; an asterisk matches any sequence of characters. To search for a question mark, asterisk, or tilde character, prefix that character with a tilde (</w:t>
            </w:r>
            <w:r>
              <w:rPr>
                <w:rFonts w:ascii="Consolas"/>
                <w:sz w:val="22"/>
              </w:rPr>
              <w:t>~</w:t>
            </w:r>
            <w:r>
              <w:rPr>
                <w:sz w:val="22"/>
              </w:rPr>
              <w:t>). If a cell in </w:t>
            </w:r>
            <w:r>
              <w:rPr>
                <w:rFonts w:ascii="Times New Roman"/>
                <w:i/>
                <w:sz w:val="22"/>
              </w:rPr>
              <w:t>selection-criteria </w:t>
            </w:r>
            <w:r>
              <w:rPr>
                <w:sz w:val="22"/>
              </w:rPr>
              <w:t>is empty, it is treated as if it contained</w:t>
            </w:r>
            <w:r>
              <w:rPr>
                <w:spacing w:val="-3"/>
                <w:sz w:val="22"/>
              </w:rPr>
              <w:t> </w:t>
            </w:r>
            <w:r>
              <w:rPr>
                <w:sz w:val="22"/>
              </w:rPr>
              <w:t>0.</w:t>
            </w:r>
          </w:p>
        </w:tc>
      </w:tr>
      <w:tr>
        <w:trPr>
          <w:trHeight w:val="2503" w:hRule="atLeast"/>
        </w:trPr>
        <w:tc>
          <w:tcPr>
            <w:tcW w:w="1466" w:type="dxa"/>
          </w:tcPr>
          <w:p>
            <w:pPr>
              <w:pStyle w:val="TableParagraph"/>
              <w:spacing w:before="37"/>
              <w:ind w:right="539"/>
              <w:rPr>
                <w:rFonts w:ascii="Times New Roman"/>
                <w:i/>
                <w:sz w:val="22"/>
              </w:rPr>
            </w:pPr>
            <w:r>
              <w:rPr>
                <w:rFonts w:ascii="Times New Roman"/>
                <w:i/>
                <w:sz w:val="22"/>
              </w:rPr>
              <w:t>average- </w:t>
            </w:r>
            <w:r>
              <w:rPr>
                <w:rFonts w:ascii="Times New Roman"/>
                <w:i/>
                <w:sz w:val="22"/>
              </w:rPr>
              <w:t>range</w:t>
            </w:r>
          </w:p>
        </w:tc>
        <w:tc>
          <w:tcPr>
            <w:tcW w:w="1800" w:type="dxa"/>
          </w:tcPr>
          <w:p>
            <w:pPr>
              <w:pStyle w:val="TableParagraph"/>
              <w:ind w:left="112"/>
              <w:rPr>
                <w:sz w:val="22"/>
              </w:rPr>
            </w:pPr>
            <w:r>
              <w:rPr>
                <w:sz w:val="22"/>
              </w:rPr>
              <w:t>reference</w:t>
            </w:r>
          </w:p>
        </w:tc>
        <w:tc>
          <w:tcPr>
            <w:tcW w:w="5400" w:type="dxa"/>
          </w:tcPr>
          <w:p>
            <w:pPr>
              <w:pStyle w:val="TableParagraph"/>
              <w:ind w:left="113" w:right="175"/>
              <w:rPr>
                <w:sz w:val="22"/>
              </w:rPr>
            </w:pPr>
            <w:r>
              <w:rPr>
                <w:sz w:val="22"/>
              </w:rPr>
              <w:t>Designates the cells whose values are averaged. In this case, </w:t>
            </w:r>
            <w:r>
              <w:rPr>
                <w:rFonts w:ascii="Times New Roman"/>
                <w:i/>
                <w:sz w:val="22"/>
              </w:rPr>
              <w:t>average-range </w:t>
            </w:r>
            <w:r>
              <w:rPr>
                <w:sz w:val="22"/>
              </w:rPr>
              <w:t>need not have the same size and shape as </w:t>
            </w:r>
            <w:r>
              <w:rPr>
                <w:rFonts w:ascii="Times New Roman"/>
                <w:i/>
                <w:sz w:val="22"/>
              </w:rPr>
              <w:t>cell-range</w:t>
            </w:r>
            <w:r>
              <w:rPr>
                <w:sz w:val="22"/>
              </w:rPr>
              <w:t>. The actual cells that are averaged are determined by using the top, left cell in </w:t>
            </w:r>
            <w:r>
              <w:rPr>
                <w:rFonts w:ascii="Times New Roman"/>
                <w:i/>
                <w:sz w:val="22"/>
              </w:rPr>
              <w:t>average- </w:t>
            </w:r>
            <w:r>
              <w:rPr>
                <w:rFonts w:ascii="Times New Roman"/>
                <w:i/>
                <w:sz w:val="22"/>
              </w:rPr>
              <w:t>range </w:t>
            </w:r>
            <w:r>
              <w:rPr>
                <w:sz w:val="22"/>
              </w:rPr>
              <w:t>as the beginning cell, and then including cells that correspond in size and shape to </w:t>
            </w:r>
            <w:r>
              <w:rPr>
                <w:rFonts w:ascii="Times New Roman"/>
                <w:i/>
                <w:sz w:val="22"/>
              </w:rPr>
              <w:t>cell-range</w:t>
            </w:r>
            <w:r>
              <w:rPr>
                <w:sz w:val="22"/>
              </w:rPr>
              <w:t>. If </w:t>
            </w:r>
            <w:r>
              <w:rPr>
                <w:rFonts w:ascii="Times New Roman"/>
                <w:i/>
                <w:sz w:val="22"/>
              </w:rPr>
              <w:t>average- </w:t>
            </w:r>
            <w:r>
              <w:rPr>
                <w:rFonts w:ascii="Times New Roman"/>
                <w:i/>
                <w:sz w:val="22"/>
              </w:rPr>
              <w:t>range </w:t>
            </w:r>
            <w:r>
              <w:rPr>
                <w:sz w:val="22"/>
              </w:rPr>
              <w:t>is omitted, </w:t>
            </w:r>
            <w:r>
              <w:rPr>
                <w:rFonts w:ascii="Times New Roman"/>
                <w:i/>
                <w:sz w:val="22"/>
              </w:rPr>
              <w:t>cell-range </w:t>
            </w:r>
            <w:r>
              <w:rPr>
                <w:sz w:val="22"/>
              </w:rPr>
              <w:t>also designates the cells whose values are averaged. If a cell is an empty cell, it is ignored.</w:t>
            </w:r>
          </w:p>
        </w:tc>
      </w:tr>
    </w:tbl>
    <w:p>
      <w:pPr>
        <w:spacing w:after="0"/>
        <w:rPr>
          <w:sz w:val="22"/>
        </w:rPr>
        <w:sectPr>
          <w:pgSz w:w="12240" w:h="15840"/>
          <w:pgMar w:header="763" w:footer="746" w:top="1340" w:bottom="940" w:left="860" w:right="700"/>
        </w:sectPr>
      </w:pPr>
    </w:p>
    <w:p>
      <w:pPr>
        <w:pStyle w:val="BodyText"/>
        <w:spacing w:line="456" w:lineRule="auto" w:before="93"/>
        <w:ind w:left="220" w:right="1037"/>
      </w:pPr>
      <w:r>
        <w:rPr>
          <w:b/>
        </w:rPr>
        <w:t>Return Type and Value: </w:t>
      </w:r>
      <w:r>
        <w:rPr/>
        <w:t>number – The average of the values of the cells corresponding to those selected. However, if no cells in the range meet the criteria, the return value is unspecified.</w:t>
      </w:r>
    </w:p>
    <w:p>
      <w:pPr>
        <w:pStyle w:val="BodyText"/>
        <w:spacing w:line="264" w:lineRule="exact"/>
        <w:ind w:left="220"/>
      </w:pPr>
      <w:r>
        <w:rPr/>
        <w:t>[</w:t>
      </w:r>
      <w:r>
        <w:rPr>
          <w:i/>
        </w:rPr>
        <w:t>Example</w:t>
      </w:r>
      <w:r>
        <w:rPr/>
        <w:t>: Assuming </w:t>
      </w:r>
      <w:r>
        <w:rPr>
          <w:rFonts w:ascii="Consolas"/>
        </w:rPr>
        <w:t>A2:A4</w:t>
      </w:r>
      <w:r>
        <w:rPr>
          <w:rFonts w:ascii="Consolas"/>
          <w:spacing w:val="-86"/>
        </w:rPr>
        <w:t> </w:t>
      </w:r>
      <w:r>
        <w:rPr/>
        <w:t>contains 10, 20, and 30:</w:t>
      </w:r>
    </w:p>
    <w:p>
      <w:pPr>
        <w:pStyle w:val="BodyText"/>
        <w:spacing w:before="8"/>
        <w:rPr>
          <w:sz w:val="28"/>
        </w:rPr>
      </w:pPr>
    </w:p>
    <w:p>
      <w:pPr>
        <w:pStyle w:val="BodyText"/>
        <w:ind w:left="220"/>
      </w:pPr>
      <w:r>
        <w:rPr>
          <w:rFonts w:ascii="Consolas" w:hAnsi="Consolas"/>
        </w:rPr>
        <w:t>AVERAGEIF(A2:A4,“&gt;15”)</w:t>
      </w:r>
      <w:r>
        <w:rPr>
          <w:rFonts w:ascii="Consolas" w:hAnsi="Consolas"/>
          <w:spacing w:val="-79"/>
        </w:rPr>
        <w:t> </w:t>
      </w:r>
      <w:r>
        <w:rPr/>
        <w:t>results in </w:t>
      </w:r>
      <w:r>
        <w:rPr>
          <w:rFonts w:ascii="Consolas" w:hAnsi="Consolas"/>
        </w:rPr>
        <w:t>25</w:t>
      </w:r>
      <w:r>
        <w:rPr/>
        <w:t>, the average of 20 and 30.</w:t>
      </w:r>
    </w:p>
    <w:p>
      <w:pPr>
        <w:pStyle w:val="BodyText"/>
      </w:pPr>
    </w:p>
    <w:p>
      <w:pPr>
        <w:pStyle w:val="BodyText"/>
        <w:spacing w:before="1"/>
        <w:rPr>
          <w:sz w:val="23"/>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 AVERAGEIFS" w:id="1455"/>
      <w:bookmarkEnd w:id="1455"/>
      <w:r>
        <w:rPr/>
      </w:r>
      <w:bookmarkStart w:name="_bookmark484" w:id="1456"/>
      <w:bookmarkEnd w:id="1456"/>
      <w:r>
        <w:rPr/>
      </w:r>
      <w:bookmarkStart w:name="_bookmark484" w:id="1457"/>
      <w:bookmarkEnd w:id="1457"/>
      <w:r>
        <w:rPr>
          <w:color w:val="4F81BC"/>
        </w:rPr>
        <w:t>A</w:t>
      </w:r>
      <w:r>
        <w:rPr>
          <w:color w:val="4F81BC"/>
        </w:rPr>
        <w:t>VERAGEIFS</w:t>
      </w:r>
    </w:p>
    <w:p>
      <w:pPr>
        <w:pStyle w:val="Heading4"/>
        <w:spacing w:before="121"/>
        <w:rPr>
          <w:b w:val="0"/>
        </w:rPr>
      </w:pPr>
      <w:r>
        <w:rPr/>
        <w:t>Syntax</w:t>
      </w:r>
      <w:r>
        <w:rPr>
          <w:b w:val="0"/>
        </w:rPr>
        <w:t>:</w:t>
      </w:r>
    </w:p>
    <w:p>
      <w:pPr>
        <w:pStyle w:val="BodyText"/>
        <w:spacing w:before="2"/>
        <w:rPr>
          <w:sz w:val="19"/>
        </w:rPr>
      </w:pPr>
    </w:p>
    <w:p>
      <w:pPr>
        <w:spacing w:line="259" w:lineRule="exact" w:before="0"/>
        <w:ind w:left="940" w:right="0" w:firstLine="0"/>
        <w:jc w:val="left"/>
        <w:rPr>
          <w:i/>
          <w:sz w:val="22"/>
        </w:rPr>
      </w:pPr>
      <w:r>
        <w:rPr>
          <w:rFonts w:ascii="Lucida Console"/>
          <w:sz w:val="20"/>
        </w:rPr>
        <w:t>AVERAGEIFS ( </w:t>
      </w:r>
      <w:r>
        <w:rPr>
          <w:i/>
          <w:sz w:val="22"/>
        </w:rPr>
        <w:t>average-range </w:t>
      </w:r>
      <w:r>
        <w:rPr>
          <w:rFonts w:ascii="Lucida Console"/>
          <w:sz w:val="20"/>
        </w:rPr>
        <w:t>, </w:t>
      </w:r>
      <w:r>
        <w:rPr>
          <w:i/>
          <w:sz w:val="22"/>
        </w:rPr>
        <w:t>cell-range-1 </w:t>
      </w:r>
      <w:r>
        <w:rPr>
          <w:rFonts w:ascii="Lucida Console"/>
          <w:sz w:val="20"/>
        </w:rPr>
        <w:t>,</w:t>
      </w:r>
      <w:r>
        <w:rPr>
          <w:rFonts w:ascii="Lucida Console"/>
          <w:spacing w:val="-84"/>
          <w:sz w:val="20"/>
        </w:rPr>
        <w:t> </w:t>
      </w:r>
      <w:r>
        <w:rPr>
          <w:i/>
          <w:sz w:val="22"/>
        </w:rPr>
        <w:t>selection-criteria-1</w:t>
      </w:r>
    </w:p>
    <w:p>
      <w:pPr>
        <w:spacing w:line="259" w:lineRule="exact" w:before="0"/>
        <w:ind w:left="1300" w:right="0" w:firstLine="0"/>
        <w:jc w:val="left"/>
        <w:rPr>
          <w:rFonts w:ascii="Lucida Console" w:hAnsi="Lucida Console"/>
          <w:sz w:val="20"/>
        </w:rPr>
      </w:pPr>
      <w:r>
        <w:rPr>
          <w:sz w:val="22"/>
        </w:rPr>
        <w:t>[ </w:t>
      </w:r>
      <w:r>
        <w:rPr>
          <w:rFonts w:ascii="Lucida Console" w:hAnsi="Lucida Console"/>
          <w:sz w:val="20"/>
        </w:rPr>
        <w:t>, </w:t>
      </w:r>
      <w:r>
        <w:rPr>
          <w:i/>
          <w:sz w:val="22"/>
        </w:rPr>
        <w:t>cell-range-2 </w:t>
      </w:r>
      <w:r>
        <w:rPr>
          <w:rFonts w:ascii="Lucida Console" w:hAnsi="Lucida Console"/>
          <w:sz w:val="20"/>
        </w:rPr>
        <w:t>, </w:t>
      </w:r>
      <w:r>
        <w:rPr>
          <w:i/>
          <w:sz w:val="22"/>
        </w:rPr>
        <w:t>selection-criteria-2 </w:t>
      </w:r>
      <w:r>
        <w:rPr>
          <w:sz w:val="22"/>
        </w:rPr>
        <w:t>[ </w:t>
      </w:r>
      <w:r>
        <w:rPr>
          <w:rFonts w:ascii="Lucida Console" w:hAnsi="Lucida Console"/>
          <w:sz w:val="20"/>
        </w:rPr>
        <w:t>, </w:t>
      </w:r>
      <w:r>
        <w:rPr>
          <w:i/>
          <w:sz w:val="22"/>
        </w:rPr>
        <w:t>… </w:t>
      </w:r>
      <w:r>
        <w:rPr>
          <w:sz w:val="22"/>
        </w:rPr>
        <w:t>] ] </w:t>
      </w:r>
      <w:r>
        <w:rPr>
          <w:rFonts w:ascii="Lucida Console" w:hAnsi="Lucida Console"/>
          <w:sz w:val="20"/>
        </w:rPr>
        <w:t>)</w:t>
      </w:r>
    </w:p>
    <w:p>
      <w:pPr>
        <w:pStyle w:val="BodyText"/>
        <w:spacing w:before="110"/>
        <w:ind w:left="220"/>
      </w:pPr>
      <w:r>
        <w:rPr>
          <w:b/>
        </w:rPr>
        <w:t>Description</w:t>
      </w:r>
      <w:r>
        <w:rPr/>
        <w:t>: The average of the values of all cells that meet multiple criteria.</w:t>
      </w:r>
    </w:p>
    <w:p>
      <w:pPr>
        <w:pStyle w:val="BodyText"/>
        <w:spacing w:before="9"/>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771" w:hRule="atLeast"/>
        </w:trPr>
        <w:tc>
          <w:tcPr>
            <w:tcW w:w="1466" w:type="dxa"/>
          </w:tcPr>
          <w:p>
            <w:pPr>
              <w:pStyle w:val="TableParagraph"/>
              <w:spacing w:before="37"/>
              <w:ind w:right="539"/>
              <w:rPr>
                <w:rFonts w:ascii="Times New Roman"/>
                <w:i/>
                <w:sz w:val="22"/>
              </w:rPr>
            </w:pPr>
            <w:r>
              <w:rPr>
                <w:rFonts w:ascii="Times New Roman"/>
                <w:i/>
                <w:sz w:val="22"/>
              </w:rPr>
              <w:t>average- </w:t>
            </w:r>
            <w:r>
              <w:rPr>
                <w:rFonts w:ascii="Times New Roman"/>
                <w:i/>
                <w:sz w:val="22"/>
              </w:rPr>
              <w:t>range</w:t>
            </w:r>
          </w:p>
        </w:tc>
        <w:tc>
          <w:tcPr>
            <w:tcW w:w="1800" w:type="dxa"/>
          </w:tcPr>
          <w:p>
            <w:pPr>
              <w:pStyle w:val="TableParagraph"/>
              <w:ind w:left="112"/>
              <w:rPr>
                <w:sz w:val="22"/>
              </w:rPr>
            </w:pPr>
            <w:r>
              <w:rPr>
                <w:sz w:val="22"/>
              </w:rPr>
              <w:t>reference</w:t>
            </w:r>
          </w:p>
        </w:tc>
        <w:tc>
          <w:tcPr>
            <w:tcW w:w="5400" w:type="dxa"/>
          </w:tcPr>
          <w:p>
            <w:pPr>
              <w:pStyle w:val="TableParagraph"/>
              <w:ind w:left="113" w:right="175"/>
              <w:rPr>
                <w:sz w:val="22"/>
              </w:rPr>
            </w:pPr>
            <w:r>
              <w:rPr>
                <w:sz w:val="22"/>
              </w:rPr>
              <w:t>Designates the cells whose values are averaged. In this case, </w:t>
            </w:r>
            <w:r>
              <w:rPr>
                <w:rFonts w:ascii="Times New Roman"/>
                <w:i/>
                <w:sz w:val="22"/>
              </w:rPr>
              <w:t>average-range </w:t>
            </w:r>
            <w:r>
              <w:rPr>
                <w:sz w:val="22"/>
              </w:rPr>
              <w:t>need not have the same size and shape as </w:t>
            </w:r>
            <w:r>
              <w:rPr>
                <w:rFonts w:ascii="Times New Roman"/>
                <w:i/>
                <w:sz w:val="22"/>
              </w:rPr>
              <w:t>cell-range-1 </w:t>
            </w:r>
            <w:r>
              <w:rPr>
                <w:sz w:val="22"/>
              </w:rPr>
              <w:t>through </w:t>
            </w:r>
            <w:r>
              <w:rPr>
                <w:rFonts w:ascii="Times New Roman"/>
                <w:i/>
                <w:sz w:val="22"/>
              </w:rPr>
              <w:t>cell-range-n</w:t>
            </w:r>
            <w:r>
              <w:rPr>
                <w:sz w:val="22"/>
              </w:rPr>
              <w:t>. The actual cells that are added are determined by using the top, left cell in </w:t>
            </w:r>
            <w:r>
              <w:rPr>
                <w:rFonts w:ascii="Times New Roman"/>
                <w:i/>
                <w:sz w:val="22"/>
              </w:rPr>
              <w:t>average-range </w:t>
            </w:r>
            <w:r>
              <w:rPr>
                <w:sz w:val="22"/>
              </w:rPr>
              <w:t>as the beginning cell, and then including cells that correspond in size and shape to </w:t>
            </w:r>
            <w:r>
              <w:rPr>
                <w:rFonts w:ascii="Times New Roman"/>
                <w:i/>
                <w:sz w:val="22"/>
              </w:rPr>
              <w:t>cell- </w:t>
            </w:r>
            <w:r>
              <w:rPr>
                <w:rFonts w:ascii="Times New Roman"/>
                <w:i/>
                <w:sz w:val="22"/>
              </w:rPr>
              <w:t>range-1 </w:t>
            </w:r>
            <w:r>
              <w:rPr>
                <w:sz w:val="22"/>
              </w:rPr>
              <w:t>through </w:t>
            </w:r>
            <w:r>
              <w:rPr>
                <w:rFonts w:ascii="Times New Roman"/>
                <w:i/>
                <w:sz w:val="22"/>
              </w:rPr>
              <w:t>cell-range-n</w:t>
            </w:r>
            <w:r>
              <w:rPr>
                <w:sz w:val="22"/>
              </w:rPr>
              <w:t>. If a cell in </w:t>
            </w:r>
            <w:r>
              <w:rPr>
                <w:rFonts w:ascii="Times New Roman"/>
                <w:i/>
                <w:sz w:val="22"/>
              </w:rPr>
              <w:t>average-range </w:t>
            </w:r>
            <w:r>
              <w:rPr>
                <w:sz w:val="22"/>
              </w:rPr>
              <w:t>is empty, that cell is ignored. Each cell in </w:t>
            </w:r>
            <w:r>
              <w:rPr>
                <w:rFonts w:ascii="Times New Roman"/>
                <w:i/>
                <w:sz w:val="22"/>
              </w:rPr>
              <w:t>average-range </w:t>
            </w:r>
            <w:r>
              <w:rPr>
                <w:sz w:val="22"/>
              </w:rPr>
              <w:t>is used in the average calculation only if all of the corresponding criteria specified are true for that cell.</w:t>
            </w:r>
          </w:p>
        </w:tc>
      </w:tr>
      <w:tr>
        <w:trPr>
          <w:trHeight w:val="889" w:hRule="atLeast"/>
        </w:trPr>
        <w:tc>
          <w:tcPr>
            <w:tcW w:w="1466" w:type="dxa"/>
          </w:tcPr>
          <w:p>
            <w:pPr>
              <w:pStyle w:val="TableParagraph"/>
              <w:spacing w:before="37"/>
              <w:rPr>
                <w:rFonts w:ascii="Times New Roman"/>
                <w:i/>
                <w:sz w:val="22"/>
              </w:rPr>
            </w:pPr>
            <w:r>
              <w:rPr>
                <w:rFonts w:ascii="Times New Roman"/>
                <w:i/>
                <w:sz w:val="22"/>
              </w:rPr>
              <w:t>cell-range-1</w:t>
            </w:r>
          </w:p>
        </w:tc>
        <w:tc>
          <w:tcPr>
            <w:tcW w:w="1800" w:type="dxa"/>
          </w:tcPr>
          <w:p>
            <w:pPr>
              <w:pStyle w:val="TableParagraph"/>
              <w:ind w:left="112" w:right="334"/>
              <w:rPr>
                <w:sz w:val="22"/>
              </w:rPr>
            </w:pPr>
            <w:r>
              <w:rPr>
                <w:sz w:val="22"/>
              </w:rPr>
              <w:t>number, expression, reference, text</w:t>
            </w:r>
          </w:p>
        </w:tc>
        <w:tc>
          <w:tcPr>
            <w:tcW w:w="5400" w:type="dxa"/>
          </w:tcPr>
          <w:p>
            <w:pPr>
              <w:pStyle w:val="TableParagraph"/>
              <w:ind w:left="113"/>
              <w:rPr>
                <w:sz w:val="22"/>
              </w:rPr>
            </w:pPr>
            <w:r>
              <w:rPr>
                <w:sz w:val="22"/>
              </w:rPr>
              <w:t>Designates the first range of cells to be inspected.</w:t>
            </w:r>
          </w:p>
        </w:tc>
      </w:tr>
      <w:tr>
        <w:trPr>
          <w:trHeight w:val="3309" w:hRule="atLeast"/>
        </w:trPr>
        <w:tc>
          <w:tcPr>
            <w:tcW w:w="1466" w:type="dxa"/>
          </w:tcPr>
          <w:p>
            <w:pPr>
              <w:pStyle w:val="TableParagraph"/>
              <w:spacing w:before="37"/>
              <w:ind w:right="483"/>
              <w:rPr>
                <w:rFonts w:ascii="Times New Roman"/>
                <w:i/>
                <w:sz w:val="22"/>
              </w:rPr>
            </w:pPr>
            <w:r>
              <w:rPr>
                <w:rFonts w:ascii="Times New Roman"/>
                <w:i/>
                <w:sz w:val="22"/>
              </w:rPr>
              <w:t>selection- </w:t>
            </w:r>
            <w:r>
              <w:rPr>
                <w:rFonts w:ascii="Times New Roman"/>
                <w:i/>
                <w:sz w:val="22"/>
              </w:rPr>
              <w:t>criteria-1</w:t>
            </w:r>
          </w:p>
        </w:tc>
        <w:tc>
          <w:tcPr>
            <w:tcW w:w="1800" w:type="dxa"/>
          </w:tcPr>
          <w:p>
            <w:pPr>
              <w:pStyle w:val="TableParagraph"/>
              <w:ind w:left="112"/>
              <w:rPr>
                <w:sz w:val="22"/>
              </w:rPr>
            </w:pPr>
            <w:r>
              <w:rPr>
                <w:sz w:val="22"/>
              </w:rPr>
              <w:t>reference, text</w:t>
            </w:r>
          </w:p>
        </w:tc>
        <w:tc>
          <w:tcPr>
            <w:tcW w:w="5400" w:type="dxa"/>
          </w:tcPr>
          <w:p>
            <w:pPr>
              <w:pStyle w:val="TableParagraph"/>
              <w:ind w:left="113" w:right="141"/>
              <w:rPr>
                <w:sz w:val="22"/>
              </w:rPr>
            </w:pPr>
            <w:r>
              <w:rPr>
                <w:rFonts w:ascii="Times New Roman"/>
                <w:i/>
                <w:sz w:val="22"/>
              </w:rPr>
              <w:t>selection-criteria-1 </w:t>
            </w:r>
            <w:r>
              <w:rPr>
                <w:sz w:val="22"/>
              </w:rPr>
              <w:t>specifies the criteria for the first range of cells that is averaged. In the case of text, </w:t>
            </w:r>
            <w:r>
              <w:rPr>
                <w:rFonts w:ascii="Times New Roman"/>
                <w:i/>
                <w:sz w:val="22"/>
              </w:rPr>
              <w:t>selection-criteria-1 </w:t>
            </w:r>
            <w:r>
              <w:rPr>
                <w:sz w:val="22"/>
              </w:rPr>
              <w:t>can consist of any comparison operator followed by the operand against which each cell's value is to be compared. If a cell in any selection criteria range is empty, it is treated as if its value was 0. Cells that contain </w:t>
            </w:r>
            <w:r>
              <w:rPr>
                <w:rFonts w:ascii="Consolas"/>
                <w:sz w:val="22"/>
              </w:rPr>
              <w:t>TRUE </w:t>
            </w:r>
            <w:r>
              <w:rPr>
                <w:sz w:val="22"/>
              </w:rPr>
              <w:t>evaluate to 1; cells in any range that contain </w:t>
            </w:r>
            <w:r>
              <w:rPr>
                <w:rFonts w:ascii="Consolas"/>
                <w:sz w:val="22"/>
              </w:rPr>
              <w:t>FALSE</w:t>
            </w:r>
            <w:r>
              <w:rPr>
                <w:rFonts w:ascii="Consolas"/>
                <w:spacing w:val="-89"/>
                <w:sz w:val="22"/>
              </w:rPr>
              <w:t> </w:t>
            </w:r>
            <w:r>
              <w:rPr>
                <w:sz w:val="22"/>
              </w:rPr>
              <w:t>evaluate to 0. </w:t>
            </w:r>
            <w:r>
              <w:rPr>
                <w:rFonts w:ascii="Times New Roman"/>
                <w:i/>
                <w:sz w:val="22"/>
              </w:rPr>
              <w:t>selection-criteria-1 </w:t>
            </w:r>
            <w:r>
              <w:rPr>
                <w:sz w:val="22"/>
              </w:rPr>
              <w:t>can include one or more wildcard characters,</w:t>
            </w:r>
            <w:r>
              <w:rPr>
                <w:spacing w:val="-7"/>
                <w:sz w:val="22"/>
              </w:rPr>
              <w:t> </w:t>
            </w:r>
            <w:r>
              <w:rPr>
                <w:sz w:val="22"/>
              </w:rPr>
              <w:t>question</w:t>
            </w:r>
          </w:p>
          <w:p>
            <w:pPr>
              <w:pStyle w:val="TableParagraph"/>
              <w:spacing w:before="0"/>
              <w:ind w:left="113" w:right="315"/>
              <w:rPr>
                <w:sz w:val="22"/>
              </w:rPr>
            </w:pPr>
            <w:r>
              <w:rPr>
                <w:sz w:val="22"/>
              </w:rPr>
              <w:t>mark (</w:t>
            </w:r>
            <w:r>
              <w:rPr>
                <w:rFonts w:ascii="Consolas"/>
                <w:sz w:val="22"/>
              </w:rPr>
              <w:t>?</w:t>
            </w:r>
            <w:r>
              <w:rPr>
                <w:sz w:val="22"/>
              </w:rPr>
              <w:t>) and asterisk (</w:t>
            </w:r>
            <w:r>
              <w:rPr>
                <w:rFonts w:ascii="Consolas"/>
                <w:sz w:val="22"/>
              </w:rPr>
              <w:t>*</w:t>
            </w:r>
            <w:r>
              <w:rPr>
                <w:sz w:val="22"/>
              </w:rPr>
              <w:t>). A question mark matches any single character; an asterisk matches any sequence of characters. To search for a question mark, asterisk, or</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sz w:val="22"/>
              </w:rPr>
            </w:pPr>
            <w:r>
              <w:rPr>
                <w:sz w:val="22"/>
              </w:rPr>
              <w:t>tilde character, prefix that character with a tilde (</w:t>
            </w:r>
            <w:r>
              <w:rPr>
                <w:rFonts w:ascii="Consolas"/>
                <w:sz w:val="22"/>
              </w:rPr>
              <w:t>~</w:t>
            </w:r>
            <w:r>
              <w:rPr>
                <w:sz w:val="22"/>
              </w:rPr>
              <w:t>).</w:t>
            </w:r>
          </w:p>
        </w:tc>
      </w:tr>
      <w:tr>
        <w:trPr>
          <w:trHeight w:val="890" w:hRule="atLeast"/>
        </w:trPr>
        <w:tc>
          <w:tcPr>
            <w:tcW w:w="1466" w:type="dxa"/>
          </w:tcPr>
          <w:p>
            <w:pPr>
              <w:pStyle w:val="TableParagraph"/>
              <w:spacing w:before="37"/>
              <w:rPr>
                <w:rFonts w:ascii="Times New Roman"/>
                <w:i/>
                <w:sz w:val="22"/>
              </w:rPr>
            </w:pPr>
            <w:r>
              <w:rPr>
                <w:rFonts w:ascii="Times New Roman"/>
                <w:i/>
                <w:sz w:val="22"/>
              </w:rPr>
              <w:t>cell-range-n</w:t>
            </w:r>
          </w:p>
        </w:tc>
        <w:tc>
          <w:tcPr>
            <w:tcW w:w="1800" w:type="dxa"/>
          </w:tcPr>
          <w:p>
            <w:pPr>
              <w:pStyle w:val="TableParagraph"/>
              <w:ind w:left="112" w:right="334"/>
              <w:rPr>
                <w:sz w:val="22"/>
              </w:rPr>
            </w:pPr>
            <w:r>
              <w:rPr>
                <w:sz w:val="22"/>
              </w:rPr>
              <w:t>number, expression, reference, text</w:t>
            </w:r>
          </w:p>
        </w:tc>
        <w:tc>
          <w:tcPr>
            <w:tcW w:w="5400" w:type="dxa"/>
            <w:vMerge w:val="restart"/>
          </w:tcPr>
          <w:p>
            <w:pPr>
              <w:pStyle w:val="TableParagraph"/>
              <w:ind w:left="113" w:right="294"/>
              <w:rPr>
                <w:sz w:val="22"/>
              </w:rPr>
            </w:pPr>
            <w:r>
              <w:rPr>
                <w:sz w:val="22"/>
              </w:rPr>
              <w:t>The optional arguments </w:t>
            </w:r>
            <w:r>
              <w:rPr>
                <w:rFonts w:ascii="Times New Roman"/>
                <w:i/>
                <w:sz w:val="22"/>
              </w:rPr>
              <w:t>selection-criteria-2 </w:t>
            </w:r>
            <w:r>
              <w:rPr>
                <w:sz w:val="22"/>
              </w:rPr>
              <w:t>through </w:t>
            </w:r>
            <w:r>
              <w:rPr>
                <w:rFonts w:ascii="Times New Roman"/>
                <w:i/>
                <w:sz w:val="22"/>
              </w:rPr>
              <w:t>selection-criteria-n </w:t>
            </w:r>
            <w:r>
              <w:rPr>
                <w:sz w:val="22"/>
              </w:rPr>
              <w:t>have corresponding arguments </w:t>
            </w:r>
            <w:r>
              <w:rPr>
                <w:rFonts w:ascii="Times New Roman"/>
                <w:i/>
                <w:sz w:val="22"/>
              </w:rPr>
              <w:t>cell- </w:t>
            </w:r>
            <w:r>
              <w:rPr>
                <w:rFonts w:ascii="Times New Roman"/>
                <w:i/>
                <w:sz w:val="22"/>
              </w:rPr>
              <w:t>range-2 </w:t>
            </w:r>
            <w:r>
              <w:rPr>
                <w:sz w:val="22"/>
              </w:rPr>
              <w:t>through </w:t>
            </w:r>
            <w:r>
              <w:rPr>
                <w:rFonts w:ascii="Times New Roman"/>
                <w:i/>
                <w:sz w:val="22"/>
              </w:rPr>
              <w:t>cell-range-n</w:t>
            </w:r>
            <w:r>
              <w:rPr>
                <w:sz w:val="22"/>
              </w:rPr>
              <w:t>, and have the same semantics as </w:t>
            </w:r>
            <w:r>
              <w:rPr>
                <w:rFonts w:ascii="Times New Roman"/>
                <w:i/>
                <w:sz w:val="22"/>
              </w:rPr>
              <w:t>selection-criteria-1 </w:t>
            </w:r>
            <w:r>
              <w:rPr>
                <w:sz w:val="22"/>
              </w:rPr>
              <w:t>and </w:t>
            </w:r>
            <w:r>
              <w:rPr>
                <w:rFonts w:ascii="Times New Roman"/>
                <w:i/>
                <w:sz w:val="22"/>
              </w:rPr>
              <w:t>cell-range-1</w:t>
            </w:r>
            <w:r>
              <w:rPr>
                <w:sz w:val="22"/>
              </w:rPr>
              <w:t>, respectively.</w:t>
            </w:r>
          </w:p>
        </w:tc>
      </w:tr>
      <w:tr>
        <w:trPr>
          <w:trHeight w:val="796" w:hRule="atLeast"/>
        </w:trPr>
        <w:tc>
          <w:tcPr>
            <w:tcW w:w="1466" w:type="dxa"/>
          </w:tcPr>
          <w:p>
            <w:pPr>
              <w:pStyle w:val="TableParagraph"/>
              <w:spacing w:before="37"/>
              <w:ind w:right="483"/>
              <w:rPr>
                <w:rFonts w:ascii="Times New Roman"/>
                <w:i/>
                <w:sz w:val="22"/>
              </w:rPr>
            </w:pPr>
            <w:r>
              <w:rPr>
                <w:rFonts w:ascii="Times New Roman"/>
                <w:i/>
                <w:sz w:val="22"/>
              </w:rPr>
              <w:t>selection- </w:t>
            </w:r>
            <w:r>
              <w:rPr>
                <w:rFonts w:ascii="Times New Roman"/>
                <w:i/>
                <w:sz w:val="22"/>
              </w:rPr>
              <w:t>criteria-n</w:t>
            </w:r>
          </w:p>
        </w:tc>
        <w:tc>
          <w:tcPr>
            <w:tcW w:w="1800" w:type="dxa"/>
          </w:tcPr>
          <w:p>
            <w:pPr>
              <w:pStyle w:val="TableParagraph"/>
              <w:ind w:left="112"/>
              <w:rPr>
                <w:sz w:val="22"/>
              </w:rPr>
            </w:pPr>
            <w:r>
              <w:rPr>
                <w:sz w:val="22"/>
              </w:rPr>
              <w:t>reference, text</w:t>
            </w:r>
          </w:p>
        </w:tc>
        <w:tc>
          <w:tcPr>
            <w:tcW w:w="5400" w:type="dxa"/>
            <w:vMerge/>
            <w:tcBorders>
              <w:top w:val="nil"/>
            </w:tcBorders>
          </w:tcPr>
          <w:p>
            <w:pPr>
              <w:rPr>
                <w:sz w:val="2"/>
                <w:szCs w:val="2"/>
              </w:rPr>
            </w:pPr>
          </w:p>
        </w:tc>
      </w:tr>
    </w:tbl>
    <w:p>
      <w:pPr>
        <w:pStyle w:val="BodyText"/>
        <w:rPr>
          <w:sz w:val="20"/>
        </w:rPr>
      </w:pPr>
    </w:p>
    <w:p>
      <w:pPr>
        <w:pStyle w:val="BodyText"/>
        <w:rPr>
          <w:sz w:val="17"/>
        </w:rPr>
      </w:pPr>
    </w:p>
    <w:p>
      <w:pPr>
        <w:spacing w:line="453" w:lineRule="auto" w:before="56"/>
        <w:ind w:left="220" w:right="2234" w:firstLine="0"/>
        <w:jc w:val="left"/>
        <w:rPr>
          <w:sz w:val="22"/>
        </w:rPr>
      </w:pPr>
      <w:r>
        <w:rPr>
          <w:b/>
          <w:sz w:val="22"/>
        </w:rPr>
        <w:t>Return Type and Value: </w:t>
      </w:r>
      <w:r>
        <w:rPr>
          <w:sz w:val="22"/>
        </w:rPr>
        <w:t>number – The average of the cells corresponding to those selected. However, if</w:t>
      </w:r>
    </w:p>
    <w:p>
      <w:pPr>
        <w:pStyle w:val="ListParagraph"/>
        <w:numPr>
          <w:ilvl w:val="4"/>
          <w:numId w:val="66"/>
        </w:numPr>
        <w:tabs>
          <w:tab w:pos="940" w:val="left" w:leader="none"/>
          <w:tab w:pos="941" w:val="left" w:leader="none"/>
        </w:tabs>
        <w:spacing w:line="276" w:lineRule="auto" w:before="1" w:after="0"/>
        <w:ind w:left="940" w:right="834" w:hanging="360"/>
        <w:jc w:val="left"/>
        <w:rPr>
          <w:sz w:val="22"/>
        </w:rPr>
      </w:pPr>
      <w:r>
        <w:rPr>
          <w:sz w:val="22"/>
        </w:rPr>
        <w:t>Cells in </w:t>
      </w:r>
      <w:r>
        <w:rPr>
          <w:rFonts w:ascii="Times New Roman" w:hAnsi="Times New Roman"/>
          <w:i/>
          <w:sz w:val="22"/>
        </w:rPr>
        <w:t>average-range </w:t>
      </w:r>
      <w:r>
        <w:rPr>
          <w:sz w:val="22"/>
        </w:rPr>
        <w:t>are empty or contain text values that cannot be translated into numbers, the return value is</w:t>
      </w:r>
      <w:r>
        <w:rPr>
          <w:spacing w:val="-1"/>
          <w:sz w:val="22"/>
        </w:rPr>
        <w:t> </w:t>
      </w:r>
      <w:r>
        <w:rPr>
          <w:sz w:val="22"/>
        </w:rPr>
        <w:t>unspecified.</w:t>
      </w:r>
    </w:p>
    <w:p>
      <w:pPr>
        <w:pStyle w:val="ListParagraph"/>
        <w:numPr>
          <w:ilvl w:val="4"/>
          <w:numId w:val="66"/>
        </w:numPr>
        <w:tabs>
          <w:tab w:pos="940" w:val="left" w:leader="none"/>
          <w:tab w:pos="941" w:val="left" w:leader="none"/>
        </w:tabs>
        <w:spacing w:line="446" w:lineRule="auto" w:before="2" w:after="19"/>
        <w:ind w:left="220" w:right="3056" w:firstLine="360"/>
        <w:jc w:val="left"/>
        <w:rPr>
          <w:sz w:val="22"/>
        </w:rPr>
      </w:pPr>
      <w:r>
        <w:rPr>
          <w:sz w:val="22"/>
        </w:rPr>
        <w:t>There are no cells that meet all the criteria, the return value is unspecified. [</w:t>
      </w:r>
      <w:r>
        <w:rPr>
          <w:i/>
          <w:sz w:val="22"/>
        </w:rPr>
        <w:t>Example</w:t>
      </w:r>
      <w:r>
        <w:rPr>
          <w:sz w:val="22"/>
        </w:rPr>
        <w:t>: Given the following</w:t>
      </w:r>
      <w:r>
        <w:rPr>
          <w:spacing w:val="-5"/>
          <w:sz w:val="22"/>
        </w:rPr>
        <w:t> </w:t>
      </w:r>
      <w:r>
        <w:rPr>
          <w:sz w:val="22"/>
        </w:rPr>
        <w:t>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358"/>
        <w:gridCol w:w="1894"/>
        <w:gridCol w:w="2179"/>
        <w:gridCol w:w="2047"/>
      </w:tblGrid>
      <w:tr>
        <w:trPr>
          <w:trHeight w:val="354" w:hRule="atLeast"/>
        </w:trPr>
        <w:tc>
          <w:tcPr>
            <w:tcW w:w="468" w:type="dxa"/>
            <w:shd w:val="clear" w:color="auto" w:fill="C0C0C0"/>
          </w:tcPr>
          <w:p>
            <w:pPr>
              <w:pStyle w:val="TableParagraph"/>
              <w:spacing w:before="0"/>
              <w:ind w:left="0"/>
              <w:rPr>
                <w:rFonts w:ascii="Times New Roman"/>
                <w:sz w:val="22"/>
              </w:rPr>
            </w:pPr>
          </w:p>
        </w:tc>
        <w:tc>
          <w:tcPr>
            <w:tcW w:w="1358" w:type="dxa"/>
            <w:shd w:val="clear" w:color="auto" w:fill="C0C0C0"/>
          </w:tcPr>
          <w:p>
            <w:pPr>
              <w:pStyle w:val="TableParagraph"/>
              <w:spacing w:before="42"/>
              <w:ind w:left="9"/>
              <w:jc w:val="center"/>
              <w:rPr>
                <w:b/>
                <w:sz w:val="22"/>
              </w:rPr>
            </w:pPr>
            <w:r>
              <w:rPr>
                <w:b/>
                <w:w w:val="100"/>
                <w:sz w:val="22"/>
              </w:rPr>
              <w:t>A</w:t>
            </w:r>
          </w:p>
        </w:tc>
        <w:tc>
          <w:tcPr>
            <w:tcW w:w="1894" w:type="dxa"/>
            <w:shd w:val="clear" w:color="auto" w:fill="C0C0C0"/>
          </w:tcPr>
          <w:p>
            <w:pPr>
              <w:pStyle w:val="TableParagraph"/>
              <w:spacing w:before="42"/>
              <w:ind w:left="7"/>
              <w:jc w:val="center"/>
              <w:rPr>
                <w:b/>
                <w:sz w:val="22"/>
              </w:rPr>
            </w:pPr>
            <w:r>
              <w:rPr>
                <w:b/>
                <w:w w:val="100"/>
                <w:sz w:val="22"/>
              </w:rPr>
              <w:t>B</w:t>
            </w:r>
          </w:p>
        </w:tc>
        <w:tc>
          <w:tcPr>
            <w:tcW w:w="2179" w:type="dxa"/>
            <w:shd w:val="clear" w:color="auto" w:fill="C0C0C0"/>
          </w:tcPr>
          <w:p>
            <w:pPr>
              <w:pStyle w:val="TableParagraph"/>
              <w:spacing w:before="42"/>
              <w:ind w:left="12"/>
              <w:jc w:val="center"/>
              <w:rPr>
                <w:b/>
                <w:sz w:val="22"/>
              </w:rPr>
            </w:pPr>
            <w:r>
              <w:rPr>
                <w:b/>
                <w:w w:val="100"/>
                <w:sz w:val="22"/>
              </w:rPr>
              <w:t>C</w:t>
            </w:r>
          </w:p>
        </w:tc>
        <w:tc>
          <w:tcPr>
            <w:tcW w:w="2047" w:type="dxa"/>
            <w:shd w:val="clear" w:color="auto" w:fill="C0C0C0"/>
          </w:tcPr>
          <w:p>
            <w:pPr>
              <w:pStyle w:val="TableParagraph"/>
              <w:spacing w:before="42"/>
              <w:ind w:left="9"/>
              <w:jc w:val="center"/>
              <w:rPr>
                <w:b/>
                <w:sz w:val="22"/>
              </w:rPr>
            </w:pPr>
            <w:r>
              <w:rPr>
                <w:b/>
                <w:w w:val="100"/>
                <w:sz w:val="22"/>
              </w:rPr>
              <w:t>D</w:t>
            </w:r>
          </w:p>
        </w:tc>
      </w:tr>
      <w:tr>
        <w:trPr>
          <w:trHeight w:val="354" w:hRule="atLeast"/>
        </w:trPr>
        <w:tc>
          <w:tcPr>
            <w:tcW w:w="468" w:type="dxa"/>
          </w:tcPr>
          <w:p>
            <w:pPr>
              <w:pStyle w:val="TableParagraph"/>
              <w:rPr>
                <w:sz w:val="22"/>
              </w:rPr>
            </w:pPr>
            <w:r>
              <w:rPr>
                <w:w w:val="100"/>
                <w:sz w:val="22"/>
              </w:rPr>
              <w:t>1</w:t>
            </w:r>
          </w:p>
        </w:tc>
        <w:tc>
          <w:tcPr>
            <w:tcW w:w="1358" w:type="dxa"/>
          </w:tcPr>
          <w:p>
            <w:pPr>
              <w:pStyle w:val="TableParagraph"/>
              <w:ind w:left="114"/>
              <w:rPr>
                <w:sz w:val="22"/>
              </w:rPr>
            </w:pPr>
            <w:r>
              <w:rPr>
                <w:sz w:val="22"/>
              </w:rPr>
              <w:t>Student</w:t>
            </w:r>
          </w:p>
        </w:tc>
        <w:tc>
          <w:tcPr>
            <w:tcW w:w="1894" w:type="dxa"/>
          </w:tcPr>
          <w:p>
            <w:pPr>
              <w:pStyle w:val="TableParagraph"/>
              <w:ind w:left="112"/>
              <w:rPr>
                <w:sz w:val="22"/>
              </w:rPr>
            </w:pPr>
            <w:r>
              <w:rPr>
                <w:sz w:val="22"/>
              </w:rPr>
              <w:t>First Quiz Grade</w:t>
            </w:r>
          </w:p>
        </w:tc>
        <w:tc>
          <w:tcPr>
            <w:tcW w:w="2179" w:type="dxa"/>
          </w:tcPr>
          <w:p>
            <w:pPr>
              <w:pStyle w:val="TableParagraph"/>
              <w:rPr>
                <w:sz w:val="22"/>
              </w:rPr>
            </w:pPr>
            <w:r>
              <w:rPr>
                <w:sz w:val="22"/>
              </w:rPr>
              <w:t>Second Quiz Grade</w:t>
            </w:r>
          </w:p>
        </w:tc>
        <w:tc>
          <w:tcPr>
            <w:tcW w:w="2047" w:type="dxa"/>
          </w:tcPr>
          <w:p>
            <w:pPr>
              <w:pStyle w:val="TableParagraph"/>
              <w:ind w:left="116"/>
              <w:rPr>
                <w:sz w:val="22"/>
              </w:rPr>
            </w:pPr>
            <w:r>
              <w:rPr>
                <w:sz w:val="22"/>
              </w:rPr>
              <w:t>Final Exam Grade</w:t>
            </w:r>
          </w:p>
        </w:tc>
      </w:tr>
      <w:tr>
        <w:trPr>
          <w:trHeight w:val="354" w:hRule="atLeast"/>
        </w:trPr>
        <w:tc>
          <w:tcPr>
            <w:tcW w:w="468" w:type="dxa"/>
          </w:tcPr>
          <w:p>
            <w:pPr>
              <w:pStyle w:val="TableParagraph"/>
              <w:rPr>
                <w:sz w:val="22"/>
              </w:rPr>
            </w:pPr>
            <w:r>
              <w:rPr>
                <w:w w:val="100"/>
                <w:sz w:val="22"/>
              </w:rPr>
              <w:t>2</w:t>
            </w:r>
          </w:p>
        </w:tc>
        <w:tc>
          <w:tcPr>
            <w:tcW w:w="1358" w:type="dxa"/>
          </w:tcPr>
          <w:p>
            <w:pPr>
              <w:pStyle w:val="TableParagraph"/>
              <w:ind w:left="114"/>
              <w:rPr>
                <w:sz w:val="22"/>
              </w:rPr>
            </w:pPr>
            <w:r>
              <w:rPr>
                <w:sz w:val="22"/>
              </w:rPr>
              <w:t>Emilio</w:t>
            </w:r>
          </w:p>
        </w:tc>
        <w:tc>
          <w:tcPr>
            <w:tcW w:w="1894" w:type="dxa"/>
          </w:tcPr>
          <w:p>
            <w:pPr>
              <w:pStyle w:val="TableParagraph"/>
              <w:ind w:left="112"/>
              <w:rPr>
                <w:sz w:val="22"/>
              </w:rPr>
            </w:pPr>
            <w:r>
              <w:rPr>
                <w:sz w:val="22"/>
              </w:rPr>
              <w:t>75</w:t>
            </w:r>
          </w:p>
        </w:tc>
        <w:tc>
          <w:tcPr>
            <w:tcW w:w="2179" w:type="dxa"/>
          </w:tcPr>
          <w:p>
            <w:pPr>
              <w:pStyle w:val="TableParagraph"/>
              <w:rPr>
                <w:sz w:val="22"/>
              </w:rPr>
            </w:pPr>
            <w:r>
              <w:rPr>
                <w:sz w:val="22"/>
              </w:rPr>
              <w:t>85</w:t>
            </w:r>
          </w:p>
        </w:tc>
        <w:tc>
          <w:tcPr>
            <w:tcW w:w="2047" w:type="dxa"/>
          </w:tcPr>
          <w:p>
            <w:pPr>
              <w:pStyle w:val="TableParagraph"/>
              <w:ind w:left="116"/>
              <w:rPr>
                <w:sz w:val="22"/>
              </w:rPr>
            </w:pPr>
            <w:r>
              <w:rPr>
                <w:sz w:val="22"/>
              </w:rPr>
              <w:t>87</w:t>
            </w:r>
          </w:p>
        </w:tc>
      </w:tr>
      <w:tr>
        <w:trPr>
          <w:trHeight w:val="354" w:hRule="atLeast"/>
        </w:trPr>
        <w:tc>
          <w:tcPr>
            <w:tcW w:w="468" w:type="dxa"/>
          </w:tcPr>
          <w:p>
            <w:pPr>
              <w:pStyle w:val="TableParagraph"/>
              <w:rPr>
                <w:sz w:val="22"/>
              </w:rPr>
            </w:pPr>
            <w:r>
              <w:rPr>
                <w:w w:val="100"/>
                <w:sz w:val="22"/>
              </w:rPr>
              <w:t>3</w:t>
            </w:r>
          </w:p>
        </w:tc>
        <w:tc>
          <w:tcPr>
            <w:tcW w:w="1358" w:type="dxa"/>
          </w:tcPr>
          <w:p>
            <w:pPr>
              <w:pStyle w:val="TableParagraph"/>
              <w:ind w:left="114"/>
              <w:rPr>
                <w:sz w:val="22"/>
              </w:rPr>
            </w:pPr>
            <w:r>
              <w:rPr>
                <w:sz w:val="22"/>
              </w:rPr>
              <w:t>Julie</w:t>
            </w:r>
          </w:p>
        </w:tc>
        <w:tc>
          <w:tcPr>
            <w:tcW w:w="1894" w:type="dxa"/>
          </w:tcPr>
          <w:p>
            <w:pPr>
              <w:pStyle w:val="TableParagraph"/>
              <w:ind w:left="112"/>
              <w:rPr>
                <w:sz w:val="22"/>
              </w:rPr>
            </w:pPr>
            <w:r>
              <w:rPr>
                <w:sz w:val="22"/>
              </w:rPr>
              <w:t>94</w:t>
            </w:r>
          </w:p>
        </w:tc>
        <w:tc>
          <w:tcPr>
            <w:tcW w:w="2179" w:type="dxa"/>
          </w:tcPr>
          <w:p>
            <w:pPr>
              <w:pStyle w:val="TableParagraph"/>
              <w:rPr>
                <w:sz w:val="22"/>
              </w:rPr>
            </w:pPr>
            <w:r>
              <w:rPr>
                <w:sz w:val="22"/>
              </w:rPr>
              <w:t>80</w:t>
            </w:r>
          </w:p>
        </w:tc>
        <w:tc>
          <w:tcPr>
            <w:tcW w:w="2047" w:type="dxa"/>
          </w:tcPr>
          <w:p>
            <w:pPr>
              <w:pStyle w:val="TableParagraph"/>
              <w:ind w:left="116"/>
              <w:rPr>
                <w:sz w:val="22"/>
              </w:rPr>
            </w:pPr>
            <w:r>
              <w:rPr>
                <w:sz w:val="22"/>
              </w:rPr>
              <w:t>88</w:t>
            </w:r>
          </w:p>
        </w:tc>
      </w:tr>
      <w:tr>
        <w:trPr>
          <w:trHeight w:val="355" w:hRule="atLeast"/>
        </w:trPr>
        <w:tc>
          <w:tcPr>
            <w:tcW w:w="468" w:type="dxa"/>
          </w:tcPr>
          <w:p>
            <w:pPr>
              <w:pStyle w:val="TableParagraph"/>
              <w:rPr>
                <w:sz w:val="22"/>
              </w:rPr>
            </w:pPr>
            <w:r>
              <w:rPr>
                <w:w w:val="100"/>
                <w:sz w:val="22"/>
              </w:rPr>
              <w:t>4</w:t>
            </w:r>
          </w:p>
        </w:tc>
        <w:tc>
          <w:tcPr>
            <w:tcW w:w="1358" w:type="dxa"/>
          </w:tcPr>
          <w:p>
            <w:pPr>
              <w:pStyle w:val="TableParagraph"/>
              <w:ind w:left="114"/>
              <w:rPr>
                <w:sz w:val="22"/>
              </w:rPr>
            </w:pPr>
            <w:r>
              <w:rPr>
                <w:sz w:val="22"/>
              </w:rPr>
              <w:t>Hans</w:t>
            </w:r>
          </w:p>
        </w:tc>
        <w:tc>
          <w:tcPr>
            <w:tcW w:w="1894" w:type="dxa"/>
          </w:tcPr>
          <w:p>
            <w:pPr>
              <w:pStyle w:val="TableParagraph"/>
              <w:ind w:left="112"/>
              <w:rPr>
                <w:sz w:val="22"/>
              </w:rPr>
            </w:pPr>
            <w:r>
              <w:rPr>
                <w:sz w:val="22"/>
              </w:rPr>
              <w:t>86</w:t>
            </w:r>
          </w:p>
        </w:tc>
        <w:tc>
          <w:tcPr>
            <w:tcW w:w="2179" w:type="dxa"/>
          </w:tcPr>
          <w:p>
            <w:pPr>
              <w:pStyle w:val="TableParagraph"/>
              <w:rPr>
                <w:sz w:val="22"/>
              </w:rPr>
            </w:pPr>
            <w:r>
              <w:rPr>
                <w:sz w:val="22"/>
              </w:rPr>
              <w:t>93</w:t>
            </w:r>
          </w:p>
        </w:tc>
        <w:tc>
          <w:tcPr>
            <w:tcW w:w="2047" w:type="dxa"/>
          </w:tcPr>
          <w:p>
            <w:pPr>
              <w:pStyle w:val="TableParagraph"/>
              <w:ind w:left="116"/>
              <w:rPr>
                <w:sz w:val="22"/>
              </w:rPr>
            </w:pPr>
            <w:r>
              <w:rPr>
                <w:sz w:val="22"/>
              </w:rPr>
              <w:t>Incomplete</w:t>
            </w:r>
          </w:p>
        </w:tc>
      </w:tr>
      <w:tr>
        <w:trPr>
          <w:trHeight w:val="354" w:hRule="atLeast"/>
        </w:trPr>
        <w:tc>
          <w:tcPr>
            <w:tcW w:w="468" w:type="dxa"/>
          </w:tcPr>
          <w:p>
            <w:pPr>
              <w:pStyle w:val="TableParagraph"/>
              <w:rPr>
                <w:sz w:val="22"/>
              </w:rPr>
            </w:pPr>
            <w:r>
              <w:rPr>
                <w:w w:val="100"/>
                <w:sz w:val="22"/>
              </w:rPr>
              <w:t>5</w:t>
            </w:r>
          </w:p>
        </w:tc>
        <w:tc>
          <w:tcPr>
            <w:tcW w:w="1358" w:type="dxa"/>
          </w:tcPr>
          <w:p>
            <w:pPr>
              <w:pStyle w:val="TableParagraph"/>
              <w:ind w:left="114"/>
              <w:rPr>
                <w:sz w:val="22"/>
              </w:rPr>
            </w:pPr>
            <w:r>
              <w:rPr>
                <w:sz w:val="22"/>
              </w:rPr>
              <w:t>Frederique</w:t>
            </w:r>
          </w:p>
        </w:tc>
        <w:tc>
          <w:tcPr>
            <w:tcW w:w="1894" w:type="dxa"/>
          </w:tcPr>
          <w:p>
            <w:pPr>
              <w:pStyle w:val="TableParagraph"/>
              <w:ind w:left="112"/>
              <w:rPr>
                <w:sz w:val="22"/>
              </w:rPr>
            </w:pPr>
            <w:r>
              <w:rPr>
                <w:sz w:val="22"/>
              </w:rPr>
              <w:t>Incomplete</w:t>
            </w:r>
          </w:p>
        </w:tc>
        <w:tc>
          <w:tcPr>
            <w:tcW w:w="2179" w:type="dxa"/>
          </w:tcPr>
          <w:p>
            <w:pPr>
              <w:pStyle w:val="TableParagraph"/>
              <w:rPr>
                <w:sz w:val="22"/>
              </w:rPr>
            </w:pPr>
            <w:r>
              <w:rPr>
                <w:sz w:val="22"/>
              </w:rPr>
              <w:t>75</w:t>
            </w:r>
          </w:p>
        </w:tc>
        <w:tc>
          <w:tcPr>
            <w:tcW w:w="2047" w:type="dxa"/>
          </w:tcPr>
          <w:p>
            <w:pPr>
              <w:pStyle w:val="TableParagraph"/>
              <w:ind w:left="116"/>
              <w:rPr>
                <w:sz w:val="22"/>
              </w:rPr>
            </w:pPr>
            <w:r>
              <w:rPr>
                <w:sz w:val="22"/>
              </w:rPr>
              <w:t>75</w:t>
            </w:r>
          </w:p>
        </w:tc>
      </w:tr>
    </w:tbl>
    <w:p>
      <w:pPr>
        <w:pStyle w:val="BodyText"/>
      </w:pPr>
    </w:p>
    <w:p>
      <w:pPr>
        <w:pStyle w:val="BodyText"/>
        <w:spacing w:before="5"/>
        <w:rPr>
          <w:sz w:val="19"/>
        </w:rPr>
      </w:pPr>
    </w:p>
    <w:p>
      <w:pPr>
        <w:pStyle w:val="BodyText"/>
        <w:spacing w:line="278" w:lineRule="auto"/>
        <w:ind w:left="220"/>
      </w:pPr>
      <w:r>
        <w:rPr>
          <w:rFonts w:ascii="Consolas"/>
        </w:rPr>
        <w:t>AVERAGEIFS(B2:B5,B2:B5,"&gt;70",B2:B5,"&lt;90")</w:t>
      </w:r>
      <w:r>
        <w:rPr>
          <w:rFonts w:ascii="Consolas"/>
          <w:spacing w:val="-67"/>
        </w:rPr>
        <w:t> </w:t>
      </w:r>
      <w:r>
        <w:rPr/>
        <w:t>results</w:t>
      </w:r>
      <w:r>
        <w:rPr>
          <w:spacing w:val="-3"/>
        </w:rPr>
        <w:t> </w:t>
      </w:r>
      <w:r>
        <w:rPr/>
        <w:t>in</w:t>
      </w:r>
      <w:r>
        <w:rPr>
          <w:spacing w:val="-6"/>
        </w:rPr>
        <w:t> </w:t>
      </w:r>
      <w:r>
        <w:rPr>
          <w:rFonts w:ascii="Consolas"/>
        </w:rPr>
        <w:t>80.5</w:t>
      </w:r>
      <w:r>
        <w:rPr>
          <w:rFonts w:ascii="Consolas"/>
          <w:spacing w:val="-76"/>
        </w:rPr>
        <w:t> </w:t>
      </w:r>
      <w:r>
        <w:rPr/>
        <w:t>(the</w:t>
      </w:r>
      <w:r>
        <w:rPr>
          <w:spacing w:val="-5"/>
        </w:rPr>
        <w:t> </w:t>
      </w:r>
      <w:r>
        <w:rPr/>
        <w:t>average</w:t>
      </w:r>
      <w:r>
        <w:rPr>
          <w:spacing w:val="-3"/>
        </w:rPr>
        <w:t> </w:t>
      </w:r>
      <w:r>
        <w:rPr/>
        <w:t>for</w:t>
      </w:r>
      <w:r>
        <w:rPr>
          <w:spacing w:val="-6"/>
        </w:rPr>
        <w:t> </w:t>
      </w:r>
      <w:r>
        <w:rPr/>
        <w:t>all</w:t>
      </w:r>
      <w:r>
        <w:rPr>
          <w:spacing w:val="-4"/>
        </w:rPr>
        <w:t> </w:t>
      </w:r>
      <w:r>
        <w:rPr/>
        <w:t>students</w:t>
      </w:r>
      <w:r>
        <w:rPr>
          <w:spacing w:val="-3"/>
        </w:rPr>
        <w:t> </w:t>
      </w:r>
      <w:r>
        <w:rPr/>
        <w:t>all</w:t>
      </w:r>
      <w:r>
        <w:rPr>
          <w:spacing w:val="-4"/>
        </w:rPr>
        <w:t> </w:t>
      </w:r>
      <w:r>
        <w:rPr/>
        <w:t>first</w:t>
      </w:r>
      <w:r>
        <w:rPr>
          <w:spacing w:val="-6"/>
        </w:rPr>
        <w:t> </w:t>
      </w:r>
      <w:r>
        <w:rPr/>
        <w:t>quiz grades that are between 70 and</w:t>
      </w:r>
      <w:r>
        <w:rPr>
          <w:spacing w:val="-3"/>
        </w:rPr>
        <w:t> </w:t>
      </w:r>
      <w:r>
        <w:rPr/>
        <w:t>90)</w:t>
      </w:r>
    </w:p>
    <w:p>
      <w:pPr>
        <w:pStyle w:val="BodyText"/>
        <w:spacing w:line="276" w:lineRule="auto" w:before="195"/>
        <w:ind w:left="220" w:right="431"/>
      </w:pPr>
      <w:r>
        <w:rPr>
          <w:rFonts w:ascii="Consolas"/>
        </w:rPr>
        <w:t>AVERAGEIFS(D2:D5,D2:D5,"&lt;&gt;Incomplete",D2:D5,"&gt;80")</w:t>
      </w:r>
      <w:r>
        <w:rPr>
          <w:rFonts w:ascii="Consolas"/>
          <w:spacing w:val="-67"/>
        </w:rPr>
        <w:t> </w:t>
      </w:r>
      <w:r>
        <w:rPr/>
        <w:t>results in </w:t>
      </w:r>
      <w:r>
        <w:rPr>
          <w:rFonts w:ascii="Consolas"/>
        </w:rPr>
        <w:t>87.5</w:t>
      </w:r>
      <w:r>
        <w:rPr>
          <w:rFonts w:ascii="Consolas"/>
          <w:spacing w:val="-77"/>
        </w:rPr>
        <w:t> </w:t>
      </w:r>
      <w:r>
        <w:rPr/>
        <w:t>(the average for all students all first quiz grades that are above 80 and not marked "Incomplete")</w:t>
      </w:r>
    </w:p>
    <w:p>
      <w:pPr>
        <w:pStyle w:val="BodyText"/>
        <w:spacing w:before="5"/>
        <w:rPr>
          <w:sz w:val="16"/>
        </w:rPr>
      </w:pPr>
    </w:p>
    <w:p>
      <w:pPr>
        <w:pStyle w:val="BodyText"/>
        <w:spacing w:before="1"/>
        <w:ind w:left="220"/>
        <w:rPr>
          <w:rFonts w:ascii="Consolas"/>
        </w:rPr>
      </w:pPr>
      <w:r>
        <w:rPr>
          <w:rFonts w:ascii="Consolas"/>
        </w:rPr>
        <w:t>AVERAGEIFS(B2:D5,B2:B5,"&lt;&gt;Incomplete",C2:C5,"&lt;&gt;Incomplete",D2:D5, "&lt;&gt;Incomplete")</w:t>
      </w:r>
    </w:p>
    <w:p>
      <w:pPr>
        <w:pStyle w:val="BodyText"/>
        <w:spacing w:before="37"/>
        <w:ind w:left="220"/>
      </w:pPr>
      <w:r>
        <w:rPr/>
        <w:t>results in 82.375 (the average grades for all students who do not have incomplete grades)</w:t>
      </w:r>
    </w:p>
    <w:p>
      <w:pPr>
        <w:pStyle w:val="BodyText"/>
        <w:spacing w:before="10"/>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 BAHTTEXT" w:id="1458"/>
      <w:bookmarkEnd w:id="1458"/>
      <w:r>
        <w:rPr/>
      </w:r>
      <w:bookmarkStart w:name="_bookmark485" w:id="1459"/>
      <w:bookmarkEnd w:id="1459"/>
      <w:r>
        <w:rPr/>
      </w:r>
      <w:bookmarkStart w:name="_bookmark485" w:id="1460"/>
      <w:bookmarkEnd w:id="1460"/>
      <w:r>
        <w:rPr>
          <w:color w:val="4F81BC"/>
        </w:rPr>
        <w:t>B</w:t>
      </w:r>
      <w:r>
        <w:rPr>
          <w:color w:val="4F81BC"/>
        </w:rPr>
        <w:t>AHTTEXT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BAHTTEXT ( </w:t>
      </w:r>
      <w:r>
        <w:rPr>
          <w:i/>
          <w:sz w:val="22"/>
        </w:rPr>
        <w:t>number </w:t>
      </w:r>
      <w:r>
        <w:rPr>
          <w:rFonts w:ascii="Lucida Console"/>
          <w:sz w:val="20"/>
        </w:rPr>
        <w:t>)</w:t>
      </w:r>
    </w:p>
    <w:p>
      <w:pPr>
        <w:spacing w:after="0"/>
        <w:jc w:val="left"/>
        <w:rPr>
          <w:rFonts w:ascii="Lucida Console"/>
          <w:sz w:val="20"/>
        </w:rPr>
        <w:sectPr>
          <w:pgSz w:w="12240" w:h="15840"/>
          <w:pgMar w:header="763" w:footer="746" w:top="1340" w:bottom="940" w:left="860" w:right="700"/>
        </w:sectPr>
      </w:pPr>
    </w:p>
    <w:p>
      <w:pPr>
        <w:spacing w:before="93"/>
        <w:ind w:left="220" w:right="0" w:firstLine="0"/>
        <w:jc w:val="left"/>
        <w:rPr>
          <w:sz w:val="22"/>
        </w:rPr>
      </w:pPr>
      <w:r>
        <w:rPr>
          <w:b/>
          <w:sz w:val="22"/>
        </w:rPr>
        <w:t>Description: </w:t>
      </w:r>
      <w:r>
        <w:rPr>
          <w:sz w:val="22"/>
        </w:rPr>
        <w:t>Produces a string containing </w:t>
      </w:r>
      <w:r>
        <w:rPr>
          <w:rFonts w:ascii="Times New Roman"/>
          <w:i/>
          <w:sz w:val="22"/>
        </w:rPr>
        <w:t>number </w:t>
      </w:r>
      <w:r>
        <w:rPr>
          <w:sz w:val="22"/>
        </w:rPr>
        <w:t>formatted according to the Thai convention.</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formatted.</w:t>
            </w:r>
          </w:p>
        </w:tc>
      </w:tr>
    </w:tbl>
    <w:p>
      <w:pPr>
        <w:pStyle w:val="BodyText"/>
        <w:rPr>
          <w:b/>
        </w:rPr>
      </w:pPr>
    </w:p>
    <w:p>
      <w:pPr>
        <w:pStyle w:val="BodyText"/>
        <w:spacing w:before="7"/>
        <w:rPr>
          <w:b/>
          <w:sz w:val="19"/>
        </w:rPr>
      </w:pPr>
    </w:p>
    <w:p>
      <w:pPr>
        <w:spacing w:line="453" w:lineRule="auto" w:before="0"/>
        <w:ind w:left="220" w:right="4216" w:firstLine="0"/>
        <w:jc w:val="left"/>
        <w:rPr>
          <w:sz w:val="22"/>
        </w:rPr>
      </w:pPr>
      <w:r>
        <w:rPr>
          <w:b/>
          <w:sz w:val="22"/>
        </w:rPr>
        <w:t>Return Type and Value: </w:t>
      </w:r>
      <w:r>
        <w:rPr>
          <w:sz w:val="22"/>
        </w:rPr>
        <w:t>text – The text containing </w:t>
      </w:r>
      <w:r>
        <w:rPr>
          <w:rFonts w:ascii="Times New Roman" w:hAnsi="Times New Roman"/>
          <w:i/>
          <w:sz w:val="22"/>
        </w:rPr>
        <w:t>number </w:t>
      </w:r>
      <w:r>
        <w:rPr>
          <w:sz w:val="22"/>
        </w:rPr>
        <w:t>formatted. [</w:t>
      </w:r>
      <w:r>
        <w:rPr>
          <w:i/>
          <w:sz w:val="22"/>
        </w:rPr>
        <w:t>Example</w:t>
      </w:r>
      <w:r>
        <w:rPr>
          <w:sz w:val="22"/>
        </w:rPr>
        <w:t>:</w:t>
      </w:r>
    </w:p>
    <w:p>
      <w:pPr>
        <w:spacing w:after="0" w:line="453" w:lineRule="auto"/>
        <w:jc w:val="left"/>
        <w:rPr>
          <w:sz w:val="22"/>
        </w:rPr>
        <w:sectPr>
          <w:pgSz w:w="12240" w:h="15840"/>
          <w:pgMar w:header="761" w:footer="746" w:top="1340" w:bottom="940" w:left="860" w:right="700"/>
        </w:sectPr>
      </w:pPr>
    </w:p>
    <w:p>
      <w:pPr>
        <w:pStyle w:val="BodyText"/>
        <w:spacing w:before="110"/>
        <w:ind w:left="220"/>
        <w:rPr>
          <w:rFonts w:ascii="Tahoma" w:hAnsi="Tahoma" w:cs="Tahoma" w:eastAsia="Tahoma"/>
        </w:rPr>
      </w:pPr>
      <w:r>
        <w:rPr>
          <w:rFonts w:ascii="Consolas" w:hAnsi="Consolas" w:cs="Consolas" w:eastAsia="Consolas"/>
          <w:w w:val="100"/>
        </w:rPr>
        <w:t>B</w:t>
      </w:r>
      <w:r>
        <w:rPr>
          <w:rFonts w:ascii="Consolas" w:hAnsi="Consolas" w:cs="Consolas" w:eastAsia="Consolas"/>
          <w:spacing w:val="-2"/>
          <w:w w:val="100"/>
        </w:rPr>
        <w:t>A</w:t>
      </w:r>
      <w:r>
        <w:rPr>
          <w:rFonts w:ascii="Consolas" w:hAnsi="Consolas" w:cs="Consolas" w:eastAsia="Consolas"/>
          <w:w w:val="100"/>
        </w:rPr>
        <w:t>H</w:t>
      </w:r>
      <w:r>
        <w:rPr>
          <w:rFonts w:ascii="Consolas" w:hAnsi="Consolas" w:cs="Consolas" w:eastAsia="Consolas"/>
          <w:spacing w:val="-2"/>
          <w:w w:val="100"/>
        </w:rPr>
        <w:t>TT</w:t>
      </w:r>
      <w:r>
        <w:rPr>
          <w:rFonts w:ascii="Consolas" w:hAnsi="Consolas" w:cs="Consolas" w:eastAsia="Consolas"/>
          <w:w w:val="100"/>
        </w:rPr>
        <w:t>E</w:t>
      </w:r>
      <w:r>
        <w:rPr>
          <w:rFonts w:ascii="Consolas" w:hAnsi="Consolas" w:cs="Consolas" w:eastAsia="Consolas"/>
          <w:spacing w:val="-2"/>
          <w:w w:val="100"/>
        </w:rPr>
        <w:t>X</w:t>
      </w:r>
      <w:r>
        <w:rPr>
          <w:rFonts w:ascii="Consolas" w:hAnsi="Consolas" w:cs="Consolas" w:eastAsia="Consolas"/>
          <w:w w:val="100"/>
        </w:rPr>
        <w:t>T</w:t>
      </w:r>
      <w:r>
        <w:rPr>
          <w:rFonts w:ascii="Consolas" w:hAnsi="Consolas" w:cs="Consolas" w:eastAsia="Consolas"/>
          <w:spacing w:val="-2"/>
          <w:w w:val="100"/>
        </w:rPr>
        <w:t>(1</w:t>
      </w:r>
      <w:r>
        <w:rPr>
          <w:rFonts w:ascii="Consolas" w:hAnsi="Consolas" w:cs="Consolas" w:eastAsia="Consolas"/>
          <w:w w:val="100"/>
        </w:rPr>
        <w:t>2</w:t>
      </w:r>
      <w:r>
        <w:rPr>
          <w:rFonts w:ascii="Consolas" w:hAnsi="Consolas" w:cs="Consolas" w:eastAsia="Consolas"/>
          <w:spacing w:val="-2"/>
          <w:w w:val="100"/>
        </w:rPr>
        <w:t>3</w:t>
      </w:r>
      <w:r>
        <w:rPr>
          <w:rFonts w:ascii="Consolas" w:hAnsi="Consolas" w:cs="Consolas" w:eastAsia="Consolas"/>
          <w:w w:val="100"/>
        </w:rPr>
        <w:t>4)</w:t>
      </w:r>
      <w:r>
        <w:rPr>
          <w:rFonts w:ascii="Consolas" w:hAnsi="Consolas" w:cs="Consolas" w:eastAsia="Consolas"/>
          <w:spacing w:val="-70"/>
        </w:rPr>
        <w:t> </w:t>
      </w:r>
      <w:r>
        <w:rPr>
          <w:w w:val="100"/>
        </w:rPr>
        <w:t>resu</w:t>
      </w:r>
      <w:r>
        <w:rPr>
          <w:spacing w:val="-1"/>
          <w:w w:val="100"/>
        </w:rPr>
        <w:t>l</w:t>
      </w:r>
      <w:r>
        <w:rPr>
          <w:w w:val="100"/>
        </w:rPr>
        <w:t>ts</w:t>
      </w:r>
      <w:r>
        <w:rPr>
          <w:spacing w:val="-2"/>
        </w:rPr>
        <w:t> </w:t>
      </w:r>
      <w:r>
        <w:rPr>
          <w:spacing w:val="-3"/>
          <w:w w:val="100"/>
        </w:rPr>
        <w:t>i</w:t>
      </w:r>
      <w:r>
        <w:rPr>
          <w:w w:val="100"/>
        </w:rPr>
        <w:t>n</w:t>
      </w:r>
      <w:r>
        <w:rPr>
          <w:spacing w:val="-1"/>
        </w:rPr>
        <w:t> </w:t>
      </w:r>
      <w:r>
        <w:rPr>
          <w:rFonts w:ascii="Tahoma" w:hAnsi="Tahoma" w:cs="Tahoma" w:eastAsia="Tahoma"/>
          <w:w w:val="100"/>
        </w:rPr>
        <w:t>ห</w:t>
      </w:r>
      <w:r>
        <w:rPr>
          <w:rFonts w:ascii="Tahoma" w:hAnsi="Tahoma" w:cs="Tahoma" w:eastAsia="Tahoma"/>
          <w:spacing w:val="-1"/>
          <w:w w:val="100"/>
        </w:rPr>
        <w:t>น</w:t>
      </w:r>
      <w:r>
        <w:rPr>
          <w:rFonts w:ascii="Tahoma" w:hAnsi="Tahoma" w:cs="Tahoma" w:eastAsia="Tahoma"/>
          <w:spacing w:val="-102"/>
          <w:w w:val="100"/>
        </w:rPr>
        <w:t>ง</w:t>
      </w:r>
    </w:p>
    <w:p>
      <w:pPr>
        <w:pStyle w:val="BodyText"/>
        <w:spacing w:before="110"/>
        <w:ind w:left="60"/>
        <w:rPr>
          <w:rFonts w:ascii="Tahoma" w:hAnsi="Tahoma" w:cs="Tahoma" w:eastAsia="Tahoma"/>
        </w:rPr>
      </w:pPr>
      <w:r>
        <w:rPr/>
        <w:br w:type="column"/>
      </w:r>
      <w:r>
        <w:rPr>
          <w:rFonts w:ascii="Tahoma" w:hAnsi="Tahoma" w:cs="Tahoma" w:eastAsia="Tahoma"/>
          <w:spacing w:val="-1"/>
          <w:w w:val="100"/>
        </w:rPr>
        <w:t>พ</w:t>
      </w:r>
      <w:r>
        <w:rPr>
          <w:rFonts w:ascii="Tahoma" w:hAnsi="Tahoma" w:cs="Tahoma" w:eastAsia="Tahoma"/>
          <w:w w:val="100"/>
        </w:rPr>
        <w:t>ั</w:t>
      </w:r>
      <w:r>
        <w:rPr>
          <w:rFonts w:ascii="Tahoma" w:hAnsi="Tahoma" w:cs="Tahoma" w:eastAsia="Tahoma"/>
          <w:spacing w:val="-1"/>
          <w:w w:val="100"/>
        </w:rPr>
        <w:t>น</w:t>
      </w:r>
      <w:r>
        <w:rPr>
          <w:rFonts w:ascii="Tahoma" w:hAnsi="Tahoma" w:cs="Tahoma" w:eastAsia="Tahoma"/>
          <w:w w:val="100"/>
        </w:rPr>
        <w:t>สอ</w:t>
      </w:r>
      <w:r>
        <w:rPr>
          <w:rFonts w:ascii="Tahoma" w:hAnsi="Tahoma" w:cs="Tahoma" w:eastAsia="Tahoma"/>
          <w:spacing w:val="-1"/>
          <w:w w:val="100"/>
        </w:rPr>
        <w:t>ง</w:t>
      </w:r>
      <w:r>
        <w:rPr>
          <w:rFonts w:ascii="Tahoma" w:hAnsi="Tahoma" w:cs="Tahoma" w:eastAsia="Tahoma"/>
          <w:spacing w:val="-2"/>
          <w:w w:val="100"/>
        </w:rPr>
        <w:t>ร</w:t>
      </w:r>
      <w:r>
        <w:rPr>
          <w:rFonts w:ascii="Tahoma" w:hAnsi="Tahoma" w:cs="Tahoma" w:eastAsia="Tahoma"/>
          <w:spacing w:val="-98"/>
          <w:w w:val="100"/>
        </w:rPr>
        <w:t>อ</w:t>
      </w:r>
      <w:r>
        <w:rPr>
          <w:rFonts w:ascii="Tahoma" w:hAnsi="Tahoma" w:cs="Tahoma" w:eastAsia="Tahoma"/>
          <w:w w:val="100"/>
        </w:rPr>
        <w:t>้</w:t>
      </w:r>
      <w:r>
        <w:rPr>
          <w:rFonts w:ascii="Tahoma" w:hAnsi="Tahoma" w:cs="Tahoma" w:eastAsia="Tahoma"/>
          <w:spacing w:val="29"/>
        </w:rPr>
        <w:t> </w:t>
      </w:r>
      <w:r>
        <w:rPr>
          <w:rFonts w:ascii="Tahoma" w:hAnsi="Tahoma" w:cs="Tahoma" w:eastAsia="Tahoma"/>
          <w:spacing w:val="-3"/>
          <w:w w:val="100"/>
        </w:rPr>
        <w:t>ย</w:t>
      </w:r>
      <w:r>
        <w:rPr>
          <w:rFonts w:ascii="Tahoma" w:hAnsi="Tahoma" w:cs="Tahoma" w:eastAsia="Tahoma"/>
          <w:spacing w:val="-5"/>
          <w:w w:val="100"/>
        </w:rPr>
        <w:t>ส</w:t>
      </w:r>
      <w:r>
        <w:rPr>
          <w:rFonts w:ascii="Tahoma" w:hAnsi="Tahoma" w:cs="Tahoma" w:eastAsia="Tahoma"/>
          <w:spacing w:val="-2"/>
          <w:w w:val="100"/>
        </w:rPr>
        <w:t>า</w:t>
      </w:r>
      <w:r>
        <w:rPr>
          <w:rFonts w:ascii="Tahoma" w:hAnsi="Tahoma" w:cs="Tahoma" w:eastAsia="Tahoma"/>
          <w:spacing w:val="-3"/>
          <w:w w:val="100"/>
        </w:rPr>
        <w:t>ม</w:t>
      </w:r>
      <w:r>
        <w:rPr>
          <w:rFonts w:ascii="Tahoma" w:hAnsi="Tahoma" w:cs="Tahoma" w:eastAsia="Tahoma"/>
          <w:spacing w:val="-5"/>
          <w:w w:val="100"/>
        </w:rPr>
        <w:t>ส</w:t>
      </w:r>
      <w:r>
        <w:rPr>
          <w:rFonts w:ascii="Tahoma" w:hAnsi="Tahoma" w:cs="Tahoma" w:eastAsia="Tahoma"/>
          <w:spacing w:val="-2"/>
          <w:w w:val="100"/>
        </w:rPr>
        <w:t>บ</w:t>
      </w:r>
      <w:r>
        <w:rPr>
          <w:rFonts w:ascii="Tahoma" w:hAnsi="Tahoma" w:cs="Tahoma" w:eastAsia="Tahoma"/>
          <w:spacing w:val="-5"/>
          <w:w w:val="100"/>
        </w:rPr>
        <w:t>ส</w:t>
      </w:r>
      <w:r>
        <w:rPr>
          <w:rFonts w:ascii="Tahoma" w:hAnsi="Tahoma" w:cs="Tahoma" w:eastAsia="Tahoma"/>
          <w:spacing w:val="-130"/>
          <w:w w:val="100"/>
        </w:rPr>
        <w:t>บ</w:t>
      </w:r>
    </w:p>
    <w:p>
      <w:pPr>
        <w:pStyle w:val="BodyText"/>
        <w:spacing w:before="110"/>
        <w:ind w:left="87"/>
        <w:rPr>
          <w:rFonts w:ascii="Tahoma" w:hAnsi="Tahoma" w:cs="Tahoma" w:eastAsia="Tahoma"/>
        </w:rPr>
      </w:pPr>
      <w:r>
        <w:rPr/>
        <w:br w:type="column"/>
      </w:r>
      <w:r>
        <w:rPr>
          <w:rFonts w:ascii="Tahoma" w:hAnsi="Tahoma" w:cs="Tahoma" w:eastAsia="Tahoma"/>
        </w:rPr>
        <w:t>าทถว้ น</w:t>
      </w:r>
    </w:p>
    <w:p>
      <w:pPr>
        <w:spacing w:after="0"/>
        <w:rPr>
          <w:rFonts w:ascii="Tahoma" w:hAnsi="Tahoma" w:cs="Tahoma" w:eastAsia="Tahoma"/>
        </w:rPr>
        <w:sectPr>
          <w:type w:val="continuous"/>
          <w:pgSz w:w="12240" w:h="15840"/>
          <w:pgMar w:top="1340" w:bottom="940" w:left="860" w:right="700"/>
          <w:cols w:num="3" w:equalWidth="0">
            <w:col w:w="3118" w:space="40"/>
            <w:col w:w="1866" w:space="39"/>
            <w:col w:w="5617"/>
          </w:cols>
        </w:sectPr>
      </w:pPr>
    </w:p>
    <w:p>
      <w:pPr>
        <w:pStyle w:val="BodyText"/>
        <w:spacing w:before="5"/>
        <w:rPr>
          <w:rFonts w:ascii="Tahoma"/>
          <w:sz w:val="24"/>
        </w:rPr>
      </w:pPr>
    </w:p>
    <w:p>
      <w:pPr>
        <w:spacing w:before="56"/>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 BESSELI" w:id="1461"/>
      <w:bookmarkEnd w:id="1461"/>
      <w:r>
        <w:rPr/>
      </w:r>
      <w:bookmarkStart w:name="_bookmark486" w:id="1462"/>
      <w:bookmarkEnd w:id="1462"/>
      <w:r>
        <w:rPr/>
      </w:r>
      <w:bookmarkStart w:name="_bookmark486" w:id="1463"/>
      <w:bookmarkEnd w:id="1463"/>
      <w:r>
        <w:rPr>
          <w:color w:val="4F81BC"/>
        </w:rPr>
        <w:t>B</w:t>
      </w:r>
      <w:r>
        <w:rPr>
          <w:color w:val="4F81BC"/>
        </w:rPr>
        <w:t>ESSELI</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BESSELI ( </w:t>
      </w:r>
      <w:r>
        <w:rPr>
          <w:i/>
          <w:sz w:val="22"/>
        </w:rPr>
        <w:t>x  </w:t>
      </w:r>
      <w:r>
        <w:rPr>
          <w:rFonts w:ascii="Lucida Console"/>
          <w:sz w:val="20"/>
        </w:rPr>
        <w:t>, </w:t>
      </w:r>
      <w:r>
        <w:rPr>
          <w:i/>
          <w:sz w:val="22"/>
        </w:rPr>
        <w:t>n</w:t>
      </w:r>
      <w:r>
        <w:rPr>
          <w:i/>
          <w:spacing w:val="-16"/>
          <w:sz w:val="22"/>
        </w:rPr>
        <w:t> </w:t>
      </w:r>
      <w:r>
        <w:rPr>
          <w:rFonts w:ascii="Lucida Console"/>
          <w:sz w:val="20"/>
        </w:rPr>
        <w:t>)</w:t>
      </w:r>
    </w:p>
    <w:p>
      <w:pPr>
        <w:pStyle w:val="BodyText"/>
        <w:spacing w:line="276" w:lineRule="auto" w:before="108"/>
        <w:ind w:left="220" w:right="722"/>
      </w:pPr>
      <w:r>
        <w:rPr>
          <w:b/>
        </w:rPr>
        <w:t>Description: </w:t>
      </w:r>
      <w:r>
        <w:rPr/>
        <w:t>The modified Bessel function In(x), which is equivalent to the Bessel function Jn(x) evaluated for purely imaginary</w:t>
      </w:r>
      <w:r>
        <w:rPr>
          <w:spacing w:val="1"/>
        </w:rPr>
        <w:t> </w:t>
      </w:r>
      <w:r>
        <w:rPr/>
        <w:t>arguments.</w:t>
      </w:r>
    </w:p>
    <w:p>
      <w:pPr>
        <w:pStyle w:val="BodyText"/>
        <w:spacing w:before="5"/>
        <w:rPr>
          <w:sz w:val="16"/>
        </w:rPr>
      </w:pPr>
    </w:p>
    <w:p>
      <w:pPr>
        <w:pStyle w:val="Heading4"/>
        <w:rPr>
          <w:b w:val="0"/>
        </w:rPr>
      </w:pPr>
      <w:r>
        <w:rPr/>
        <w:t>Mathematical Formula</w:t>
      </w:r>
      <w:r>
        <w:rPr>
          <w:b w:val="0"/>
        </w:rPr>
        <w:t>:</w:t>
      </w:r>
    </w:p>
    <w:p>
      <w:pPr>
        <w:pStyle w:val="BodyText"/>
        <w:spacing w:before="9"/>
        <w:rPr>
          <w:sz w:val="19"/>
        </w:rPr>
      </w:pPr>
    </w:p>
    <w:p>
      <w:pPr>
        <w:pStyle w:val="BodyText"/>
        <w:ind w:left="220"/>
      </w:pPr>
      <w:r>
        <w:rPr/>
        <w:t>The n-th order modified Bessel function of the variable x is:</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I</w:t>
      </w:r>
      <w:r>
        <w:rPr>
          <w:rFonts w:ascii="Cambria Math" w:hAnsi="Cambria Math" w:eastAsia="Cambria Math"/>
          <w:position w:val="-4"/>
          <w:sz w:val="16"/>
        </w:rPr>
        <w:t>n</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𝑖</w:t>
      </w:r>
      <w:r>
        <w:rPr>
          <w:rFonts w:ascii="Cambria Math" w:hAnsi="Cambria Math" w:eastAsia="Cambria Math"/>
          <w:position w:val="1"/>
        </w:rPr>
        <w:t>)</w:t>
      </w:r>
      <w:r>
        <w:rPr>
          <w:rFonts w:ascii="Cambria Math" w:hAnsi="Cambria Math" w:eastAsia="Cambria Math"/>
          <w:position w:val="1"/>
          <w:vertAlign w:val="superscript"/>
        </w:rPr>
        <w:t>−𝑛</w:t>
      </w:r>
      <w:r>
        <w:rPr>
          <w:rFonts w:ascii="Cambria Math" w:hAnsi="Cambria Math" w:eastAsia="Cambria Math"/>
          <w:position w:val="1"/>
          <w:vertAlign w:val="baseline"/>
        </w:rPr>
        <w:t> </w:t>
      </w:r>
      <w:r>
        <w:rPr>
          <w:rFonts w:ascii="Cambria Math" w:hAnsi="Cambria Math" w:eastAsia="Cambria Math"/>
          <w:vertAlign w:val="baseline"/>
        </w:rPr>
        <w:t>𝐽</w:t>
      </w:r>
      <w:r>
        <w:rPr>
          <w:rFonts w:ascii="Cambria Math" w:hAnsi="Cambria Math" w:eastAsia="Cambria Math"/>
          <w:position w:val="-4"/>
          <w:sz w:val="16"/>
          <w:vertAlign w:val="baseline"/>
        </w:rPr>
        <w:t>𝑛 </w:t>
      </w:r>
      <w:r>
        <w:rPr>
          <w:rFonts w:ascii="Cambria Math" w:hAnsi="Cambria Math" w:eastAsia="Cambria Math"/>
          <w:position w:val="1"/>
          <w:vertAlign w:val="baseline"/>
        </w:rPr>
        <w:t>(</w:t>
      </w:r>
      <w:r>
        <w:rPr>
          <w:rFonts w:ascii="Cambria Math" w:hAnsi="Cambria Math" w:eastAsia="Cambria Math"/>
          <w:vertAlign w:val="baseline"/>
        </w:rPr>
        <w:t>𝑖𝑥</w:t>
      </w:r>
      <w:r>
        <w:rPr>
          <w:rFonts w:ascii="Cambria Math" w:hAnsi="Cambria Math" w:eastAsia="Cambria Math"/>
          <w:position w:val="1"/>
          <w:vertAlign w:val="baseline"/>
        </w:rPr>
        <w:t>)</w:t>
      </w:r>
    </w:p>
    <w:p>
      <w:pPr>
        <w:pStyle w:val="BodyText"/>
        <w:spacing w:before="202"/>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9"/>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n </w:t>
      </w:r>
      <w:r>
        <w:rPr>
          <w:sz w:val="22"/>
        </w:rPr>
        <w:t>= argument</w:t>
      </w:r>
      <w:r>
        <w:rPr>
          <w:spacing w:val="-9"/>
          <w:sz w:val="22"/>
        </w:rPr>
        <w:t> </w:t>
      </w:r>
      <w:r>
        <w:rPr>
          <w:rFonts w:ascii="Times New Roman" w:hAnsi="Times New Roman"/>
          <w:i/>
          <w:sz w:val="22"/>
        </w:rPr>
        <w:t>n</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2"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to evaluate the function.</w:t>
            </w:r>
          </w:p>
        </w:tc>
      </w:tr>
      <w:tr>
        <w:trPr>
          <w:trHeight w:val="624" w:hRule="atLeast"/>
        </w:trPr>
        <w:tc>
          <w:tcPr>
            <w:tcW w:w="1466" w:type="dxa"/>
          </w:tcPr>
          <w:p>
            <w:pPr>
              <w:pStyle w:val="TableParagraph"/>
              <w:rPr>
                <w:rFonts w:ascii="Times New Roman"/>
                <w:i/>
                <w:sz w:val="22"/>
              </w:rPr>
            </w:pPr>
            <w:r>
              <w:rPr>
                <w:rFonts w:ascii="Times New Roman"/>
                <w:i/>
                <w:w w:val="100"/>
                <w:sz w:val="22"/>
              </w:rPr>
              <w:t>n</w:t>
            </w:r>
          </w:p>
        </w:tc>
        <w:tc>
          <w:tcPr>
            <w:tcW w:w="1800" w:type="dxa"/>
          </w:tcPr>
          <w:p>
            <w:pPr>
              <w:pStyle w:val="TableParagraph"/>
              <w:spacing w:before="43"/>
              <w:ind w:left="112"/>
              <w:rPr>
                <w:sz w:val="22"/>
              </w:rPr>
            </w:pPr>
            <w:r>
              <w:rPr>
                <w:sz w:val="22"/>
              </w:rPr>
              <w:t>number</w:t>
            </w:r>
          </w:p>
        </w:tc>
        <w:tc>
          <w:tcPr>
            <w:tcW w:w="5400" w:type="dxa"/>
          </w:tcPr>
          <w:p>
            <w:pPr>
              <w:pStyle w:val="TableParagraph"/>
              <w:spacing w:line="237" w:lineRule="auto" w:before="45"/>
              <w:ind w:left="113" w:right="282"/>
              <w:rPr>
                <w:sz w:val="22"/>
              </w:rPr>
            </w:pPr>
            <w:r>
              <w:rPr>
                <w:sz w:val="22"/>
              </w:rPr>
              <w:t>The order of the Bessel function. This value is truncated to an integer.</w:t>
            </w:r>
          </w:p>
        </w:tc>
      </w:tr>
    </w:tbl>
    <w:p>
      <w:pPr>
        <w:pStyle w:val="BodyText"/>
        <w:rPr>
          <w:b/>
        </w:rPr>
      </w:pPr>
    </w:p>
    <w:p>
      <w:pPr>
        <w:pStyle w:val="BodyText"/>
        <w:spacing w:before="7"/>
        <w:rPr>
          <w:b/>
          <w:sz w:val="19"/>
        </w:rPr>
      </w:pPr>
    </w:p>
    <w:p>
      <w:pPr>
        <w:spacing w:line="453" w:lineRule="auto" w:before="0"/>
        <w:ind w:left="220" w:right="5084" w:firstLine="0"/>
        <w:jc w:val="left"/>
        <w:rPr>
          <w:sz w:val="22"/>
        </w:rPr>
      </w:pPr>
      <w:r>
        <w:rPr>
          <w:b/>
          <w:sz w:val="22"/>
        </w:rPr>
        <w:t>Return Type and Value: </w:t>
      </w:r>
      <w:r>
        <w:rPr>
          <w:sz w:val="22"/>
        </w:rPr>
        <w:t>number – The Bessel function In(x). However, if </w:t>
      </w:r>
      <w:r>
        <w:rPr>
          <w:rFonts w:ascii="Times New Roman" w:hAnsi="Times New Roman"/>
          <w:i/>
          <w:sz w:val="22"/>
        </w:rPr>
        <w:t>n </w:t>
      </w:r>
      <w:r>
        <w:rPr>
          <w:sz w:val="22"/>
        </w:rPr>
        <w:t>&lt; 0, </w:t>
      </w:r>
      <w:r>
        <w:rPr>
          <w:rFonts w:ascii="Consolas" w:hAnsi="Consolas"/>
          <w:sz w:val="22"/>
        </w:rPr>
        <w:t>#NUM!</w:t>
      </w:r>
      <w:r>
        <w:rPr>
          <w:rFonts w:ascii="Consolas" w:hAnsi="Consolas"/>
          <w:spacing w:val="-86"/>
          <w:sz w:val="22"/>
        </w:rPr>
        <w:t> </w:t>
      </w:r>
      <w:r>
        <w:rPr>
          <w:sz w:val="22"/>
        </w:rPr>
        <w:t>is returned.</w:t>
      </w:r>
    </w:p>
    <w:p>
      <w:pPr>
        <w:spacing w:after="0" w:line="453" w:lineRule="auto"/>
        <w:jc w:val="left"/>
        <w:rPr>
          <w:sz w:val="22"/>
        </w:rPr>
        <w:sectPr>
          <w:type w:val="continuous"/>
          <w:pgSz w:w="12240" w:h="15840"/>
          <w:pgMar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before="1"/>
        <w:ind w:left="220" w:right="6270"/>
        <w:rPr>
          <w:rFonts w:ascii="Consolas"/>
        </w:rPr>
      </w:pPr>
      <w:r>
        <w:rPr>
          <w:rFonts w:ascii="Consolas"/>
        </w:rPr>
        <w:t>BESSELI(-5.6,0) </w:t>
      </w:r>
      <w:r>
        <w:rPr/>
        <w:t>results in </w:t>
      </w:r>
      <w:r>
        <w:rPr>
          <w:rFonts w:ascii="Consolas"/>
        </w:rPr>
        <w:t>46.73755194 BESSELI(2.345,5)</w:t>
      </w:r>
      <w:r>
        <w:rPr>
          <w:rFonts w:ascii="Consolas"/>
          <w:spacing w:val="-81"/>
        </w:rPr>
        <w:t> </w:t>
      </w:r>
      <w:r>
        <w:rPr/>
        <w:t>results in </w:t>
      </w:r>
      <w:r>
        <w:rPr>
          <w:rFonts w:ascii="Consolas"/>
        </w:rPr>
        <w:t>0.023137792</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4 BESSELJ" w:id="1464"/>
      <w:bookmarkEnd w:id="1464"/>
      <w:r>
        <w:rPr/>
      </w:r>
      <w:bookmarkStart w:name="_bookmark487" w:id="1465"/>
      <w:bookmarkEnd w:id="1465"/>
      <w:r>
        <w:rPr/>
      </w:r>
      <w:bookmarkStart w:name="_bookmark487" w:id="1466"/>
      <w:bookmarkEnd w:id="1466"/>
      <w:r>
        <w:rPr>
          <w:color w:val="4F81BC"/>
        </w:rPr>
        <w:t>B</w:t>
      </w:r>
      <w:r>
        <w:rPr>
          <w:color w:val="4F81BC"/>
        </w:rPr>
        <w:t>ESSELJ</w:t>
      </w:r>
    </w:p>
    <w:p>
      <w:pPr>
        <w:pStyle w:val="Heading4"/>
        <w:spacing w:before="121"/>
        <w:rPr>
          <w:b w:val="0"/>
        </w:rPr>
      </w:pPr>
      <w:r>
        <w:rPr/>
        <w:t>Syntax</w:t>
      </w:r>
      <w:r>
        <w:rPr>
          <w:b w:val="0"/>
        </w:rPr>
        <w:t>:</w:t>
      </w:r>
    </w:p>
    <w:p>
      <w:pPr>
        <w:pStyle w:val="BodyText"/>
        <w:spacing w:before="4"/>
        <w:rPr>
          <w:sz w:val="19"/>
        </w:rPr>
      </w:pPr>
    </w:p>
    <w:p>
      <w:pPr>
        <w:spacing w:before="0"/>
        <w:ind w:left="940" w:right="0" w:firstLine="0"/>
        <w:jc w:val="left"/>
        <w:rPr>
          <w:rFonts w:ascii="Lucida Console"/>
          <w:sz w:val="20"/>
        </w:rPr>
      </w:pPr>
      <w:r>
        <w:rPr>
          <w:rFonts w:ascii="Lucida Console"/>
          <w:sz w:val="20"/>
        </w:rPr>
        <w:t>BESSELJ ( </w:t>
      </w:r>
      <w:r>
        <w:rPr>
          <w:i/>
          <w:sz w:val="22"/>
        </w:rPr>
        <w:t>x </w:t>
      </w:r>
      <w:r>
        <w:rPr>
          <w:rFonts w:ascii="Lucida Console"/>
          <w:sz w:val="20"/>
        </w:rPr>
        <w:t>, </w:t>
      </w:r>
      <w:r>
        <w:rPr>
          <w:i/>
          <w:sz w:val="22"/>
        </w:rPr>
        <w:t>n </w:t>
      </w:r>
      <w:r>
        <w:rPr>
          <w:rFonts w:ascii="Lucida Console"/>
          <w:sz w:val="20"/>
        </w:rPr>
        <w:t>)</w:t>
      </w:r>
    </w:p>
    <w:p>
      <w:pPr>
        <w:spacing w:before="108"/>
        <w:ind w:left="220" w:right="0" w:firstLine="0"/>
        <w:jc w:val="left"/>
        <w:rPr>
          <w:sz w:val="22"/>
        </w:rPr>
      </w:pPr>
      <w:r>
        <w:rPr>
          <w:b/>
          <w:sz w:val="22"/>
        </w:rPr>
        <w:t>Description: </w:t>
      </w:r>
      <w:r>
        <w:rPr>
          <w:sz w:val="22"/>
        </w:rPr>
        <w:t>The Bessel function Jn(x).</w:t>
      </w:r>
    </w:p>
    <w:p>
      <w:pPr>
        <w:pStyle w:val="BodyText"/>
        <w:spacing w:before="9"/>
        <w:rPr>
          <w:sz w:val="19"/>
        </w:rPr>
      </w:pPr>
    </w:p>
    <w:p>
      <w:pPr>
        <w:pStyle w:val="Heading4"/>
        <w:rPr>
          <w:b w:val="0"/>
        </w:rPr>
      </w:pPr>
      <w:r>
        <w:rPr/>
        <w:t>Mathematical Formula</w:t>
      </w:r>
      <w:r>
        <w:rPr>
          <w:b w:val="0"/>
        </w:rPr>
        <w:t>:</w:t>
      </w:r>
    </w:p>
    <w:p>
      <w:pPr>
        <w:pStyle w:val="BodyText"/>
        <w:spacing w:before="8"/>
        <w:rPr>
          <w:sz w:val="19"/>
        </w:rPr>
      </w:pPr>
    </w:p>
    <w:p>
      <w:pPr>
        <w:pStyle w:val="BodyText"/>
        <w:ind w:left="220"/>
      </w:pPr>
      <w:r>
        <w:rPr/>
        <w:t>The n-th order Bessel function of the variable x is:</w:t>
      </w:r>
    </w:p>
    <w:p>
      <w:pPr>
        <w:pStyle w:val="BodyText"/>
        <w:spacing w:before="8"/>
        <w:rPr>
          <w:sz w:val="16"/>
        </w:rPr>
      </w:pPr>
    </w:p>
    <w:p>
      <w:pPr>
        <w:spacing w:after="0"/>
        <w:rPr>
          <w:sz w:val="16"/>
        </w:rPr>
        <w:sectPr>
          <w:pgSz w:w="12240" w:h="15840"/>
          <w:pgMar w:header="763" w:footer="746" w:top="1340" w:bottom="940" w:left="860" w:right="700"/>
        </w:sectPr>
      </w:pPr>
    </w:p>
    <w:p>
      <w:pPr>
        <w:pStyle w:val="BodyText"/>
        <w:spacing w:line="208" w:lineRule="exact" w:before="88"/>
        <w:jc w:val="right"/>
        <w:rPr>
          <w:rFonts w:ascii="Cambria Math" w:hAnsi="Cambria Math" w:eastAsia="Cambria Math"/>
        </w:rPr>
      </w:pPr>
      <w:r>
        <w:rPr/>
        <w:pict>
          <v:shape style="position:absolute;margin-left:99.384003pt;margin-top:1.170537pt;width:7.45pt;height:8.0500pt;mso-position-horizontal-relative:page;mso-position-vertical-relative:paragraph;z-index:251741184" type="#_x0000_t202" filled="false" stroked="false">
            <v:textbox inset="0,0,0,0">
              <w:txbxContent>
                <w:p>
                  <w:pPr>
                    <w:spacing w:line="161" w:lineRule="exact" w:before="0"/>
                    <w:ind w:left="0" w:right="0" w:firstLine="0"/>
                    <w:jc w:val="left"/>
                    <w:rPr>
                      <w:rFonts w:ascii="Cambria Math" w:hAnsi="Cambria Math"/>
                      <w:sz w:val="16"/>
                    </w:rPr>
                  </w:pPr>
                  <w:r>
                    <w:rPr>
                      <w:rFonts w:ascii="Cambria Math" w:hAnsi="Cambria Math"/>
                      <w:w w:val="109"/>
                      <w:sz w:val="16"/>
                    </w:rPr>
                    <w:t>∞</w:t>
                  </w:r>
                </w:p>
              </w:txbxContent>
            </v:textbox>
            <w10:wrap type="none"/>
          </v:shape>
        </w:pict>
      </w:r>
      <w:r>
        <w:rPr>
          <w:rFonts w:ascii="Cambria Math" w:hAnsi="Cambria Math" w:eastAsia="Cambria Math"/>
          <w:position w:val="1"/>
        </w:rPr>
        <w:t>(</w:t>
      </w:r>
      <w:r>
        <w:rPr>
          <w:rFonts w:ascii="Cambria Math" w:hAnsi="Cambria Math" w:eastAsia="Cambria Math"/>
        </w:rPr>
        <w:t>−1</w:t>
      </w:r>
      <w:r>
        <w:rPr>
          <w:rFonts w:ascii="Cambria Math" w:hAnsi="Cambria Math" w:eastAsia="Cambria Math"/>
          <w:position w:val="1"/>
        </w:rPr>
        <w:t>)</w:t>
      </w:r>
      <w:r>
        <w:rPr>
          <w:rFonts w:ascii="Cambria Math" w:hAnsi="Cambria Math" w:eastAsia="Cambria Math"/>
          <w:position w:val="1"/>
          <w:vertAlign w:val="superscript"/>
        </w:rPr>
        <w:t>𝑘</w:t>
      </w:r>
    </w:p>
    <w:p>
      <w:pPr>
        <w:spacing w:line="196" w:lineRule="exact" w:before="100"/>
        <w:ind w:left="541" w:right="0" w:firstLine="0"/>
        <w:jc w:val="left"/>
        <w:rPr>
          <w:rFonts w:ascii="Cambria Math" w:eastAsia="Cambria Math"/>
          <w:sz w:val="16"/>
        </w:rPr>
      </w:pPr>
      <w:r>
        <w:rPr/>
        <w:br w:type="column"/>
      </w:r>
      <w:r>
        <w:rPr>
          <w:rFonts w:ascii="Cambria Math" w:eastAsia="Cambria Math"/>
          <w:w w:val="105"/>
          <w:position w:val="-5"/>
          <w:sz w:val="22"/>
        </w:rPr>
        <w:t>𝑥 </w:t>
      </w:r>
      <w:r>
        <w:rPr>
          <w:rFonts w:ascii="Cambria Math" w:eastAsia="Cambria Math"/>
          <w:w w:val="105"/>
          <w:sz w:val="16"/>
        </w:rPr>
        <w:t>𝑛+2𝑘</w:t>
      </w:r>
    </w:p>
    <w:p>
      <w:pPr>
        <w:spacing w:after="0" w:line="196" w:lineRule="exact"/>
        <w:jc w:val="left"/>
        <w:rPr>
          <w:rFonts w:ascii="Cambria Math" w:eastAsia="Cambria Math"/>
          <w:sz w:val="16"/>
        </w:rPr>
        <w:sectPr>
          <w:type w:val="continuous"/>
          <w:pgSz w:w="12240" w:h="15840"/>
          <w:pgMar w:top="1340" w:bottom="940" w:left="860" w:right="700"/>
          <w:cols w:num="2" w:equalWidth="0">
            <w:col w:w="2392" w:space="40"/>
            <w:col w:w="8248"/>
          </w:cols>
        </w:sectPr>
      </w:pPr>
    </w:p>
    <w:p>
      <w:pPr>
        <w:pStyle w:val="BodyText"/>
        <w:spacing w:line="337" w:lineRule="exact"/>
        <w:ind w:left="220"/>
        <w:rPr>
          <w:rFonts w:ascii="Cambria Math" w:hAnsi="Cambria Math" w:eastAsia="Cambria Math"/>
        </w:rPr>
      </w:pPr>
      <w:r>
        <w:rPr/>
        <w:pict>
          <v:line style="position:absolute;mso-position-horizontal-relative:page;mso-position-vertical-relative:paragraph;z-index:-335902720" from="112.82pt,5.835636pt" to="184.46pt,5.835636pt" stroked="true" strokeweight=".72pt" strokecolor="#000000">
            <v:stroke dashstyle="solid"/>
            <w10:wrap type="none"/>
          </v:line>
        </w:pict>
      </w:r>
      <w:r>
        <w:rPr/>
        <w:pict>
          <v:rect style="position:absolute;margin-left:191.660004pt;margin-top:5.475636pt;width:6.24pt;height:.72pt;mso-position-horizontal-relative:page;mso-position-vertical-relative:paragraph;z-index:-335901696" filled="true" fillcolor="#000000" stroked="false">
            <v:fill type="solid"/>
            <w10:wrap type="none"/>
          </v:rect>
        </w:pict>
      </w:r>
      <w:r>
        <w:rPr/>
        <w:pict>
          <v:shape style="position:absolute;margin-left:191.660004pt;margin-top:7.797589pt;width:6.15pt;height:11.1pt;mso-position-horizontal-relative:page;mso-position-vertical-relative:paragraph;z-index:-335900672" type="#_x0000_t202" filled="false" stroked="false">
            <v:textbox inset="0,0,0,0">
              <w:txbxContent>
                <w:p>
                  <w:pPr>
                    <w:pStyle w:val="BodyText"/>
                    <w:spacing w:line="221" w:lineRule="exact"/>
                    <w:rPr>
                      <w:rFonts w:ascii="Cambria Math"/>
                    </w:rPr>
                  </w:pPr>
                  <w:r>
                    <w:rPr>
                      <w:rFonts w:ascii="Cambria Math"/>
                      <w:w w:val="100"/>
                    </w:rPr>
                    <w:t>2</w:t>
                  </w:r>
                </w:p>
              </w:txbxContent>
            </v:textbox>
            <w10:wrap type="none"/>
          </v:shape>
        </w:pict>
      </w:r>
      <w:r>
        <w:rPr>
          <w:rFonts w:ascii="Cambria Math" w:hAnsi="Cambria Math" w:eastAsia="Cambria Math"/>
          <w:w w:val="115"/>
          <w:position w:val="15"/>
        </w:rPr>
        <w:t>𝐽</w:t>
      </w:r>
      <w:r>
        <w:rPr>
          <w:rFonts w:ascii="Cambria Math" w:hAnsi="Cambria Math" w:eastAsia="Cambria Math"/>
          <w:w w:val="115"/>
          <w:position w:val="10"/>
          <w:sz w:val="16"/>
        </w:rPr>
        <w:t>𝑛</w:t>
      </w:r>
      <w:r>
        <w:rPr>
          <w:rFonts w:ascii="Cambria Math" w:hAnsi="Cambria Math" w:eastAsia="Cambria Math"/>
          <w:w w:val="115"/>
          <w:position w:val="16"/>
        </w:rPr>
        <w:t>(</w:t>
      </w:r>
      <w:r>
        <w:rPr>
          <w:rFonts w:ascii="Cambria Math" w:hAnsi="Cambria Math" w:eastAsia="Cambria Math"/>
          <w:w w:val="115"/>
          <w:position w:val="15"/>
        </w:rPr>
        <w:t>𝑥</w:t>
      </w:r>
      <w:r>
        <w:rPr>
          <w:rFonts w:ascii="Cambria Math" w:hAnsi="Cambria Math" w:eastAsia="Cambria Math"/>
          <w:w w:val="115"/>
          <w:position w:val="16"/>
        </w:rPr>
        <w:t>) </w:t>
      </w:r>
      <w:r>
        <w:rPr>
          <w:rFonts w:ascii="Cambria Math" w:hAnsi="Cambria Math" w:eastAsia="Cambria Math"/>
          <w:w w:val="115"/>
          <w:position w:val="15"/>
        </w:rPr>
        <w:t>= </w:t>
      </w:r>
      <w:r>
        <w:rPr>
          <w:rFonts w:ascii="Cambria Math" w:hAnsi="Cambria Math" w:eastAsia="Cambria Math"/>
          <w:w w:val="165"/>
          <w:position w:val="15"/>
        </w:rPr>
        <w:t>∑ </w:t>
      </w:r>
      <w:r>
        <w:rPr>
          <w:rFonts w:ascii="Cambria Math" w:hAnsi="Cambria Math" w:eastAsia="Cambria Math"/>
          <w:w w:val="115"/>
        </w:rPr>
        <w:t>𝑘! Γ</w:t>
      </w:r>
      <w:r>
        <w:rPr>
          <w:rFonts w:ascii="Cambria Math" w:hAnsi="Cambria Math" w:eastAsia="Cambria Math"/>
          <w:w w:val="115"/>
          <w:position w:val="1"/>
        </w:rPr>
        <w:t>(</w:t>
      </w:r>
      <w:r>
        <w:rPr>
          <w:rFonts w:ascii="Cambria Math" w:hAnsi="Cambria Math" w:eastAsia="Cambria Math"/>
          <w:w w:val="115"/>
        </w:rPr>
        <w:t>𝑛 + 𝑘 + 1</w:t>
      </w:r>
      <w:r>
        <w:rPr>
          <w:rFonts w:ascii="Cambria Math" w:hAnsi="Cambria Math" w:eastAsia="Cambria Math"/>
          <w:w w:val="115"/>
          <w:position w:val="1"/>
        </w:rPr>
        <w:t>) </w:t>
      </w:r>
      <w:r>
        <w:rPr>
          <w:rFonts w:ascii="Cambria Math" w:hAnsi="Cambria Math" w:eastAsia="Cambria Math"/>
          <w:w w:val="115"/>
          <w:position w:val="15"/>
        </w:rPr>
        <w:t>( )</w:t>
      </w:r>
    </w:p>
    <w:p>
      <w:pPr>
        <w:spacing w:line="161" w:lineRule="exact" w:before="0"/>
        <w:ind w:left="1048" w:right="0" w:firstLine="0"/>
        <w:jc w:val="left"/>
        <w:rPr>
          <w:rFonts w:ascii="Cambria Math" w:eastAsia="Cambria Math"/>
          <w:sz w:val="16"/>
        </w:rPr>
      </w:pPr>
      <w:r>
        <w:rPr>
          <w:rFonts w:ascii="Cambria Math" w:eastAsia="Cambria Math"/>
          <w:w w:val="105"/>
          <w:sz w:val="16"/>
        </w:rPr>
        <w:t>𝑘=0</w:t>
      </w:r>
    </w:p>
    <w:p>
      <w:pPr>
        <w:pStyle w:val="BodyText"/>
        <w:spacing w:before="4"/>
        <w:rPr>
          <w:rFonts w:ascii="Cambria Math"/>
          <w:sz w:val="12"/>
        </w:rPr>
      </w:pPr>
    </w:p>
    <w:p>
      <w:pPr>
        <w:pStyle w:val="BodyText"/>
        <w:spacing w:before="56"/>
        <w:ind w:left="220"/>
      </w:pPr>
      <w:r>
        <w:rPr/>
        <w:t>where:</w:t>
      </w:r>
    </w:p>
    <w:p>
      <w:pPr>
        <w:pStyle w:val="BodyText"/>
        <w:spacing w:before="4"/>
        <w:rPr>
          <w:sz w:val="10"/>
        </w:rPr>
      </w:pPr>
    </w:p>
    <w:p>
      <w:pPr>
        <w:spacing w:before="74"/>
        <w:ind w:left="1813" w:right="0" w:firstLine="0"/>
        <w:jc w:val="left"/>
        <w:rPr>
          <w:rFonts w:ascii="Cambria Math" w:hAnsi="Cambria Math"/>
          <w:sz w:val="16"/>
        </w:rPr>
      </w:pPr>
      <w:r>
        <w:rPr>
          <w:rFonts w:ascii="Cambria Math" w:hAnsi="Cambria Math"/>
          <w:w w:val="109"/>
          <w:sz w:val="16"/>
        </w:rPr>
        <w:t>∞</w:t>
      </w:r>
    </w:p>
    <w:p>
      <w:pPr>
        <w:pStyle w:val="BodyText"/>
        <w:spacing w:before="98"/>
        <w:ind w:left="220"/>
        <w:rPr>
          <w:rFonts w:ascii="Cambria Math" w:hAnsi="Cambria Math" w:eastAsia="Cambria Math"/>
        </w:rPr>
      </w:pPr>
      <w:r>
        <w:rPr>
          <w:rFonts w:ascii="Cambria Math" w:hAnsi="Cambria Math" w:eastAsia="Cambria Math"/>
        </w:rPr>
        <w:t>Γ</w:t>
      </w:r>
      <w:r>
        <w:rPr>
          <w:rFonts w:ascii="Cambria Math" w:hAnsi="Cambria Math" w:eastAsia="Cambria Math"/>
          <w:position w:val="1"/>
        </w:rPr>
        <w:t>(</w:t>
      </w:r>
      <w:r>
        <w:rPr>
          <w:rFonts w:ascii="Cambria Math" w:hAnsi="Cambria Math" w:eastAsia="Cambria Math"/>
        </w:rPr>
        <w:t>𝑛 + 𝑘 + 1</w:t>
      </w:r>
      <w:r>
        <w:rPr>
          <w:rFonts w:ascii="Cambria Math" w:hAnsi="Cambria Math" w:eastAsia="Cambria Math"/>
          <w:position w:val="1"/>
        </w:rPr>
        <w:t>) </w:t>
      </w:r>
      <w:r>
        <w:rPr>
          <w:rFonts w:ascii="Cambria Math" w:hAnsi="Cambria Math" w:eastAsia="Cambria Math"/>
        </w:rPr>
        <w:t>= </w:t>
      </w:r>
      <w:r>
        <w:rPr>
          <w:rFonts w:ascii="Cambria Math" w:hAnsi="Cambria Math" w:eastAsia="Cambria Math"/>
          <w:w w:val="110"/>
        </w:rPr>
        <w:t>∫ </w:t>
      </w:r>
      <w:r>
        <w:rPr>
          <w:rFonts w:ascii="Cambria Math" w:hAnsi="Cambria Math" w:eastAsia="Cambria Math"/>
        </w:rPr>
        <w:t>𝑒</w:t>
      </w:r>
      <w:r>
        <w:rPr>
          <w:rFonts w:ascii="Cambria Math" w:hAnsi="Cambria Math" w:eastAsia="Cambria Math"/>
          <w:vertAlign w:val="superscript"/>
        </w:rPr>
        <w:t>−𝑥</w:t>
      </w:r>
      <w:r>
        <w:rPr>
          <w:rFonts w:ascii="Cambria Math" w:hAnsi="Cambria Math" w:eastAsia="Cambria Math"/>
          <w:vertAlign w:val="baseline"/>
        </w:rPr>
        <w:t>𝑥</w:t>
      </w:r>
      <w:r>
        <w:rPr>
          <w:rFonts w:ascii="Cambria Math" w:hAnsi="Cambria Math" w:eastAsia="Cambria Math"/>
          <w:vertAlign w:val="superscript"/>
        </w:rPr>
        <w:t>𝑛+𝑘</w:t>
      </w:r>
      <w:r>
        <w:rPr>
          <w:rFonts w:ascii="Cambria Math" w:hAnsi="Cambria Math" w:eastAsia="Cambria Math"/>
          <w:vertAlign w:val="baseline"/>
        </w:rPr>
        <w:t> 𝑑𝑥</w:t>
      </w:r>
    </w:p>
    <w:p>
      <w:pPr>
        <w:spacing w:before="109"/>
        <w:ind w:left="1758" w:right="0" w:firstLine="0"/>
        <w:jc w:val="left"/>
        <w:rPr>
          <w:rFonts w:ascii="Cambria Math"/>
          <w:sz w:val="16"/>
        </w:rPr>
      </w:pPr>
      <w:r>
        <w:rPr>
          <w:rFonts w:ascii="Cambria Math"/>
          <w:w w:val="105"/>
          <w:sz w:val="16"/>
        </w:rPr>
        <w:t>0</w:t>
      </w:r>
    </w:p>
    <w:p>
      <w:pPr>
        <w:pStyle w:val="BodyText"/>
        <w:spacing w:before="4"/>
        <w:rPr>
          <w:rFonts w:ascii="Cambria Math"/>
          <w:sz w:val="17"/>
        </w:rPr>
      </w:pPr>
    </w:p>
    <w:p>
      <w:pPr>
        <w:pStyle w:val="BodyText"/>
        <w:ind w:left="220"/>
      </w:pPr>
      <w:r>
        <w:rPr/>
        <w:t>is the Gamma function, and</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9"/>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n </w:t>
      </w:r>
      <w:r>
        <w:rPr>
          <w:sz w:val="22"/>
        </w:rPr>
        <w:t>= argument</w:t>
      </w:r>
      <w:r>
        <w:rPr>
          <w:spacing w:val="-9"/>
          <w:sz w:val="22"/>
        </w:rPr>
        <w:t> </w:t>
      </w:r>
      <w:r>
        <w:rPr>
          <w:rFonts w:ascii="Times New Roman" w:hAnsi="Times New Roman"/>
          <w:i/>
          <w:sz w:val="22"/>
        </w:rPr>
        <w:t>n</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to evaluate the function.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n</w:t>
            </w:r>
          </w:p>
        </w:tc>
        <w:tc>
          <w:tcPr>
            <w:tcW w:w="1800" w:type="dxa"/>
          </w:tcPr>
          <w:p>
            <w:pPr>
              <w:pStyle w:val="TableParagraph"/>
              <w:ind w:left="112"/>
              <w:rPr>
                <w:sz w:val="22"/>
              </w:rPr>
            </w:pPr>
            <w:r>
              <w:rPr>
                <w:sz w:val="22"/>
              </w:rPr>
              <w:t>number</w:t>
            </w:r>
          </w:p>
        </w:tc>
        <w:tc>
          <w:tcPr>
            <w:tcW w:w="5400" w:type="dxa"/>
          </w:tcPr>
          <w:p>
            <w:pPr>
              <w:pStyle w:val="TableParagraph"/>
              <w:ind w:left="113" w:right="282"/>
              <w:rPr>
                <w:sz w:val="22"/>
              </w:rPr>
            </w:pPr>
            <w:r>
              <w:rPr>
                <w:sz w:val="22"/>
              </w:rPr>
              <w:t>The order of the Bessel function. This value is truncated to an integer.</w:t>
            </w:r>
          </w:p>
        </w:tc>
      </w:tr>
    </w:tbl>
    <w:p>
      <w:pPr>
        <w:pStyle w:val="BodyText"/>
        <w:rPr>
          <w:b/>
        </w:rPr>
      </w:pPr>
    </w:p>
    <w:p>
      <w:pPr>
        <w:pStyle w:val="BodyText"/>
        <w:spacing w:before="8"/>
        <w:rPr>
          <w:b/>
          <w:sz w:val="19"/>
        </w:rPr>
      </w:pPr>
    </w:p>
    <w:p>
      <w:pPr>
        <w:spacing w:line="453" w:lineRule="auto" w:before="0"/>
        <w:ind w:left="220" w:right="5069" w:firstLine="0"/>
        <w:jc w:val="left"/>
        <w:rPr>
          <w:sz w:val="22"/>
        </w:rPr>
      </w:pPr>
      <w:r>
        <w:rPr>
          <w:b/>
          <w:sz w:val="22"/>
        </w:rPr>
        <w:t>Return Type and Value: </w:t>
      </w:r>
      <w:r>
        <w:rPr>
          <w:sz w:val="22"/>
        </w:rPr>
        <w:t>number – The Bessel function Jn(x). However, if </w:t>
      </w:r>
      <w:r>
        <w:rPr>
          <w:rFonts w:ascii="Times New Roman" w:hAnsi="Times New Roman"/>
          <w:i/>
          <w:sz w:val="22"/>
        </w:rPr>
        <w:t>n </w:t>
      </w:r>
      <w:r>
        <w:rPr>
          <w:sz w:val="22"/>
        </w:rPr>
        <w:t>&lt; 0, </w:t>
      </w:r>
      <w:r>
        <w:rPr>
          <w:rFonts w:ascii="Consolas" w:hAnsi="Consolas"/>
          <w:sz w:val="22"/>
        </w:rPr>
        <w:t>#NUM!</w:t>
      </w:r>
      <w:r>
        <w:rPr>
          <w:rFonts w:ascii="Consolas" w:hAnsi="Consolas"/>
          <w:spacing w:val="-86"/>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spacing w:after="0"/>
        <w:jc w:val="left"/>
        <w:rPr>
          <w:sz w:val="22"/>
        </w:rPr>
        <w:sectPr>
          <w:type w:val="continuous"/>
          <w:pgSz w:w="12240" w:h="15840"/>
          <w:pgMar w:top="1340" w:bottom="940" w:left="860" w:right="700"/>
        </w:sectPr>
      </w:pPr>
    </w:p>
    <w:p>
      <w:pPr>
        <w:pStyle w:val="BodyText"/>
        <w:spacing w:line="276" w:lineRule="auto" w:before="90"/>
        <w:ind w:left="220" w:right="6274"/>
        <w:rPr>
          <w:rFonts w:ascii="Consolas"/>
        </w:rPr>
      </w:pPr>
      <w:r>
        <w:rPr>
          <w:rFonts w:ascii="Consolas"/>
        </w:rPr>
        <w:t>BESSELJ(-5.6,0) </w:t>
      </w:r>
      <w:r>
        <w:rPr/>
        <w:t>results in </w:t>
      </w:r>
      <w:r>
        <w:rPr>
          <w:rFonts w:ascii="Consolas"/>
        </w:rPr>
        <w:t>0.026970887 BESSELJ(2.345,5)</w:t>
      </w:r>
      <w:r>
        <w:rPr>
          <w:rFonts w:ascii="Consolas"/>
          <w:spacing w:val="-85"/>
        </w:rPr>
        <w:t> </w:t>
      </w:r>
      <w:r>
        <w:rPr/>
        <w:t>results in </w:t>
      </w:r>
      <w:r>
        <w:rPr>
          <w:rFonts w:ascii="Consolas"/>
        </w:rPr>
        <w:t>0.014627862</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 BESSELK" w:id="1467"/>
      <w:bookmarkEnd w:id="1467"/>
      <w:r>
        <w:rPr/>
      </w:r>
      <w:bookmarkStart w:name="_bookmark488" w:id="1468"/>
      <w:bookmarkEnd w:id="1468"/>
      <w:r>
        <w:rPr/>
      </w:r>
      <w:bookmarkStart w:name="_bookmark488" w:id="1469"/>
      <w:bookmarkEnd w:id="1469"/>
      <w:r>
        <w:rPr>
          <w:color w:val="4F81BC"/>
        </w:rPr>
        <w:t>B</w:t>
      </w:r>
      <w:r>
        <w:rPr>
          <w:color w:val="4F81BC"/>
        </w:rPr>
        <w:t>ESSELK</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BESSELK ( </w:t>
      </w:r>
      <w:r>
        <w:rPr>
          <w:i/>
          <w:sz w:val="22"/>
        </w:rPr>
        <w:t>x </w:t>
      </w:r>
      <w:r>
        <w:rPr>
          <w:rFonts w:ascii="Lucida Console"/>
          <w:sz w:val="20"/>
        </w:rPr>
        <w:t>, </w:t>
      </w:r>
      <w:r>
        <w:rPr>
          <w:i/>
          <w:sz w:val="22"/>
        </w:rPr>
        <w:t>n </w:t>
      </w:r>
      <w:r>
        <w:rPr>
          <w:rFonts w:ascii="Lucida Console"/>
          <w:sz w:val="20"/>
        </w:rPr>
        <w:t>)</w:t>
      </w:r>
    </w:p>
    <w:p>
      <w:pPr>
        <w:pStyle w:val="BodyText"/>
        <w:spacing w:before="108"/>
        <w:ind w:left="220"/>
      </w:pPr>
      <w:r>
        <w:rPr>
          <w:b/>
        </w:rPr>
        <w:t>Description: </w:t>
      </w:r>
      <w:r>
        <w:rPr/>
        <w:t>The modified Bessel function Kn(x), which is equivalent to using the Bessel function Jn(x) and Yn(x).</w:t>
      </w:r>
    </w:p>
    <w:p>
      <w:pPr>
        <w:pStyle w:val="BodyText"/>
        <w:spacing w:before="8"/>
        <w:rPr>
          <w:sz w:val="19"/>
        </w:rPr>
      </w:pPr>
    </w:p>
    <w:p>
      <w:pPr>
        <w:pStyle w:val="Heading4"/>
        <w:rPr>
          <w:b w:val="0"/>
        </w:rPr>
      </w:pPr>
      <w:r>
        <w:rPr/>
        <w:t>Mathematical Formula</w:t>
      </w:r>
      <w:r>
        <w:rPr>
          <w:b w:val="0"/>
        </w:rPr>
        <w:t>:</w:t>
      </w:r>
    </w:p>
    <w:p>
      <w:pPr>
        <w:pStyle w:val="BodyText"/>
        <w:spacing w:before="9"/>
        <w:rPr>
          <w:sz w:val="19"/>
        </w:rPr>
      </w:pPr>
    </w:p>
    <w:p>
      <w:pPr>
        <w:pStyle w:val="BodyText"/>
        <w:ind w:left="220"/>
      </w:pPr>
      <w:r>
        <w:rPr/>
        <w:t>The n-th order modified Bessel function of the variable x is:</w:t>
      </w:r>
    </w:p>
    <w:p>
      <w:pPr>
        <w:pStyle w:val="BodyText"/>
        <w:spacing w:before="6"/>
        <w:rPr>
          <w:sz w:val="8"/>
        </w:rPr>
      </w:pPr>
    </w:p>
    <w:p>
      <w:pPr>
        <w:pStyle w:val="BodyText"/>
        <w:spacing w:line="299" w:lineRule="exact" w:before="61" w:after="10"/>
        <w:ind w:left="220"/>
        <w:rPr>
          <w:rFonts w:ascii="Cambria Math" w:eastAsia="Cambria Math"/>
        </w:rPr>
      </w:pPr>
      <w:r>
        <w:rPr>
          <w:rFonts w:ascii="Cambria Math" w:eastAsia="Cambria Math"/>
        </w:rPr>
        <w:t>𝐾 </w:t>
      </w:r>
      <w:r>
        <w:rPr>
          <w:rFonts w:ascii="Cambria Math" w:eastAsia="Cambria Math"/>
          <w:position w:val="1"/>
        </w:rPr>
        <w:t>(</w:t>
      </w:r>
      <w:r>
        <w:rPr>
          <w:rFonts w:ascii="Cambria Math" w:eastAsia="Cambria Math"/>
        </w:rPr>
        <w:t>𝑥</w:t>
      </w:r>
      <w:r>
        <w:rPr>
          <w:rFonts w:ascii="Cambria Math" w:eastAsia="Cambria Math"/>
          <w:position w:val="1"/>
        </w:rPr>
        <w:t>) </w:t>
      </w:r>
      <w:r>
        <w:rPr>
          <w:rFonts w:ascii="Cambria Math" w:eastAsia="Cambria Math"/>
        </w:rPr>
        <w:t>= </w:t>
      </w:r>
      <w:r>
        <w:rPr>
          <w:rFonts w:ascii="Cambria Math" w:eastAsia="Cambria Math"/>
          <w:position w:val="17"/>
        </w:rPr>
        <w:t>𝑝 </w:t>
      </w:r>
      <w:r>
        <w:rPr>
          <w:rFonts w:ascii="Cambria Math" w:eastAsia="Cambria Math"/>
        </w:rPr>
        <w:t>𝑖</w:t>
      </w:r>
      <w:r>
        <w:rPr>
          <w:rFonts w:ascii="Cambria Math" w:eastAsia="Cambria Math"/>
          <w:vertAlign w:val="superscript"/>
        </w:rPr>
        <w:t>𝑛+1</w:t>
      </w:r>
      <w:r>
        <w:rPr>
          <w:rFonts w:ascii="Cambria Math" w:eastAsia="Cambria Math"/>
          <w:position w:val="1"/>
          <w:vertAlign w:val="baseline"/>
        </w:rPr>
        <w:t>[ </w:t>
      </w:r>
      <w:r>
        <w:rPr>
          <w:rFonts w:ascii="Cambria Math" w:eastAsia="Cambria Math"/>
          <w:vertAlign w:val="baseline"/>
        </w:rPr>
        <w:t>𝐽 </w:t>
      </w:r>
      <w:r>
        <w:rPr>
          <w:rFonts w:ascii="Cambria Math" w:eastAsia="Cambria Math"/>
          <w:position w:val="1"/>
          <w:vertAlign w:val="baseline"/>
        </w:rPr>
        <w:t>(</w:t>
      </w:r>
      <w:r>
        <w:rPr>
          <w:rFonts w:ascii="Cambria Math" w:eastAsia="Cambria Math"/>
          <w:vertAlign w:val="baseline"/>
        </w:rPr>
        <w:t>𝑖𝑥</w:t>
      </w:r>
      <w:r>
        <w:rPr>
          <w:rFonts w:ascii="Cambria Math" w:eastAsia="Cambria Math"/>
          <w:position w:val="1"/>
          <w:vertAlign w:val="baseline"/>
        </w:rPr>
        <w:t>) </w:t>
      </w:r>
      <w:r>
        <w:rPr>
          <w:rFonts w:ascii="Cambria Math" w:eastAsia="Cambria Math"/>
          <w:vertAlign w:val="baseline"/>
        </w:rPr>
        <w:t>+ 𝑖𝑌 </w:t>
      </w:r>
      <w:r>
        <w:rPr>
          <w:rFonts w:ascii="Cambria Math" w:eastAsia="Cambria Math"/>
          <w:position w:val="1"/>
          <w:vertAlign w:val="baseline"/>
        </w:rPr>
        <w:t>(</w:t>
      </w:r>
      <w:r>
        <w:rPr>
          <w:rFonts w:ascii="Cambria Math" w:eastAsia="Cambria Math"/>
          <w:vertAlign w:val="baseline"/>
        </w:rPr>
        <w:t>𝑖𝑥</w:t>
      </w:r>
      <w:r>
        <w:rPr>
          <w:rFonts w:ascii="Cambria Math" w:eastAsia="Cambria Math"/>
          <w:position w:val="1"/>
          <w:vertAlign w:val="baseline"/>
        </w:rPr>
        <w:t>)]</w:t>
      </w:r>
    </w:p>
    <w:p>
      <w:pPr>
        <w:pStyle w:val="BodyText"/>
        <w:spacing w:line="20" w:lineRule="exact"/>
        <w:ind w:left="1113"/>
        <w:rPr>
          <w:rFonts w:ascii="Cambria Math"/>
          <w:sz w:val="2"/>
        </w:rPr>
      </w:pPr>
      <w:r>
        <w:rPr>
          <w:rFonts w:ascii="Cambria Math"/>
          <w:sz w:val="2"/>
        </w:rPr>
        <w:pict>
          <v:group style="width:6.25pt;height:.75pt;mso-position-horizontal-relative:char;mso-position-vertical-relative:line" coordorigin="0,0" coordsize="125,15">
            <v:rect style="position:absolute;left:0;top:0;width:125;height:15" filled="true" fillcolor="#000000" stroked="false">
              <v:fill type="solid"/>
            </v:rect>
          </v:group>
        </w:pict>
      </w:r>
      <w:r>
        <w:rPr>
          <w:rFonts w:ascii="Cambria Math"/>
          <w:sz w:val="2"/>
        </w:rPr>
      </w:r>
    </w:p>
    <w:p>
      <w:pPr>
        <w:tabs>
          <w:tab w:pos="1113" w:val="left" w:leader="none"/>
          <w:tab w:pos="1881" w:val="left" w:leader="none"/>
          <w:tab w:pos="2805" w:val="left" w:leader="none"/>
        </w:tabs>
        <w:spacing w:line="108" w:lineRule="auto" w:before="2"/>
        <w:ind w:left="356" w:right="0" w:firstLine="0"/>
        <w:jc w:val="left"/>
        <w:rPr>
          <w:rFonts w:ascii="Cambria Math" w:eastAsia="Cambria Math"/>
          <w:sz w:val="16"/>
        </w:rPr>
      </w:pPr>
      <w:r>
        <w:rPr>
          <w:rFonts w:ascii="Cambria Math" w:eastAsia="Cambria Math"/>
          <w:w w:val="110"/>
          <w:sz w:val="16"/>
        </w:rPr>
        <w:t>𝑛</w:t>
        <w:tab/>
      </w:r>
      <w:r>
        <w:rPr>
          <w:rFonts w:ascii="Cambria Math" w:eastAsia="Cambria Math"/>
          <w:w w:val="110"/>
          <w:position w:val="-9"/>
          <w:sz w:val="22"/>
        </w:rPr>
        <w:t>2</w:t>
        <w:tab/>
      </w:r>
      <w:r>
        <w:rPr>
          <w:rFonts w:ascii="Cambria Math" w:eastAsia="Cambria Math"/>
          <w:w w:val="110"/>
          <w:sz w:val="16"/>
        </w:rPr>
        <w:t>𝑛</w:t>
        <w:tab/>
        <w:t>𝑛</w:t>
      </w:r>
    </w:p>
    <w:p>
      <w:pPr>
        <w:pStyle w:val="BodyText"/>
        <w:spacing w:before="6"/>
        <w:rPr>
          <w:rFonts w:ascii="Cambria Math"/>
          <w:sz w:val="18"/>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Cambria Math" w:hAnsi="Cambria Math"/>
          <w:sz w:val="22"/>
        </w:rPr>
        <w:t>J</w:t>
      </w:r>
      <w:r>
        <w:rPr>
          <w:rFonts w:ascii="Cambria Math" w:hAnsi="Cambria Math"/>
          <w:position w:val="-4"/>
          <w:sz w:val="16"/>
        </w:rPr>
        <w:t>n </w:t>
      </w:r>
      <w:r>
        <w:rPr>
          <w:sz w:val="22"/>
        </w:rPr>
        <w:t>is the J Bessel</w:t>
      </w:r>
      <w:r>
        <w:rPr>
          <w:spacing w:val="-14"/>
          <w:sz w:val="22"/>
        </w:rPr>
        <w:t> </w:t>
      </w:r>
      <w:r>
        <w:rPr>
          <w:sz w:val="22"/>
        </w:rPr>
        <w:t>function</w:t>
      </w:r>
    </w:p>
    <w:p>
      <w:pPr>
        <w:pStyle w:val="ListParagraph"/>
        <w:numPr>
          <w:ilvl w:val="4"/>
          <w:numId w:val="66"/>
        </w:numPr>
        <w:tabs>
          <w:tab w:pos="940" w:val="left" w:leader="none"/>
          <w:tab w:pos="941" w:val="left" w:leader="none"/>
        </w:tabs>
        <w:spacing w:line="240" w:lineRule="auto" w:before="12" w:after="0"/>
        <w:ind w:left="940" w:right="0" w:hanging="361"/>
        <w:jc w:val="left"/>
        <w:rPr>
          <w:rFonts w:ascii="Times New Roman" w:hAnsi="Times New Roman"/>
          <w:i/>
          <w:sz w:val="22"/>
        </w:rPr>
      </w:pPr>
      <w:r>
        <w:rPr>
          <w:rFonts w:ascii="Times New Roman" w:hAnsi="Times New Roman"/>
          <w:i/>
          <w:sz w:val="22"/>
        </w:rPr>
        <w:t>n </w:t>
      </w:r>
      <w:r>
        <w:rPr>
          <w:sz w:val="22"/>
        </w:rPr>
        <w:t>= argument </w:t>
      </w:r>
      <w:r>
        <w:rPr>
          <w:rFonts w:ascii="Times New Roman" w:hAnsi="Times New Roman"/>
          <w:i/>
          <w:sz w:val="22"/>
        </w:rPr>
        <w:t>n</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p </w:t>
      </w:r>
      <w:r>
        <w:rPr>
          <w:sz w:val="22"/>
        </w:rPr>
        <w:t>=</w:t>
      </w:r>
      <w:r>
        <w:rPr>
          <w:spacing w:val="-4"/>
          <w:sz w:val="22"/>
        </w:rPr>
        <w:t> </w:t>
      </w:r>
      <w:r>
        <w:rPr>
          <w:sz w:val="22"/>
        </w:rPr>
        <w:t>π</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3"/>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Cambria Math" w:hAnsi="Cambria Math"/>
          <w:spacing w:val="-3"/>
          <w:sz w:val="22"/>
        </w:rPr>
        <w:t>Y</w:t>
      </w:r>
      <w:r>
        <w:rPr>
          <w:rFonts w:ascii="Cambria Math" w:hAnsi="Cambria Math"/>
          <w:spacing w:val="-3"/>
          <w:position w:val="-4"/>
          <w:sz w:val="16"/>
        </w:rPr>
        <w:t>n</w:t>
      </w:r>
      <w:r>
        <w:rPr>
          <w:spacing w:val="-3"/>
          <w:sz w:val="22"/>
        </w:rPr>
        <w:t>Yn </w:t>
      </w:r>
      <w:r>
        <w:rPr>
          <w:sz w:val="22"/>
        </w:rPr>
        <w:t>is the Y Bessel</w:t>
      </w:r>
      <w:r>
        <w:rPr>
          <w:spacing w:val="-3"/>
          <w:sz w:val="22"/>
        </w:rPr>
        <w:t> </w:t>
      </w:r>
      <w:r>
        <w:rPr>
          <w:sz w:val="22"/>
        </w:rPr>
        <w:t>function</w:t>
      </w:r>
    </w:p>
    <w:p>
      <w:pPr>
        <w:pStyle w:val="Heading4"/>
        <w:numPr>
          <w:ilvl w:val="4"/>
          <w:numId w:val="66"/>
        </w:numPr>
        <w:tabs>
          <w:tab w:pos="940" w:val="left" w:leader="none"/>
          <w:tab w:pos="941" w:val="left" w:leader="none"/>
        </w:tabs>
        <w:spacing w:line="240" w:lineRule="auto" w:before="13" w:after="0"/>
        <w:ind w:left="940" w:right="0" w:hanging="361"/>
        <w:jc w:val="left"/>
      </w:pPr>
      <w:r>
        <w:rPr/>
        <w:t>Arguments:</w:t>
      </w:r>
    </w:p>
    <w:p>
      <w:pPr>
        <w:pStyle w:val="BodyText"/>
        <w:spacing w:before="1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to evaluate the function.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n</w:t>
            </w:r>
          </w:p>
        </w:tc>
        <w:tc>
          <w:tcPr>
            <w:tcW w:w="1800" w:type="dxa"/>
          </w:tcPr>
          <w:p>
            <w:pPr>
              <w:pStyle w:val="TableParagraph"/>
              <w:ind w:left="112"/>
              <w:rPr>
                <w:sz w:val="22"/>
              </w:rPr>
            </w:pPr>
            <w:r>
              <w:rPr>
                <w:sz w:val="22"/>
              </w:rPr>
              <w:t>number</w:t>
            </w:r>
          </w:p>
        </w:tc>
        <w:tc>
          <w:tcPr>
            <w:tcW w:w="5400" w:type="dxa"/>
          </w:tcPr>
          <w:p>
            <w:pPr>
              <w:pStyle w:val="TableParagraph"/>
              <w:ind w:left="113" w:right="282"/>
              <w:rPr>
                <w:sz w:val="22"/>
              </w:rPr>
            </w:pPr>
            <w:r>
              <w:rPr>
                <w:sz w:val="22"/>
              </w:rPr>
              <w:t>The order of the Bessel function. This value is truncated to an integer.</w:t>
            </w:r>
          </w:p>
        </w:tc>
      </w:tr>
    </w:tbl>
    <w:p>
      <w:pPr>
        <w:pStyle w:val="BodyText"/>
        <w:spacing w:before="7"/>
        <w:rPr>
          <w:b/>
          <w:sz w:val="41"/>
        </w:rPr>
      </w:pPr>
    </w:p>
    <w:p>
      <w:pPr>
        <w:spacing w:line="453" w:lineRule="auto" w:before="0"/>
        <w:ind w:left="220" w:right="5025" w:firstLine="0"/>
        <w:jc w:val="left"/>
        <w:rPr>
          <w:sz w:val="22"/>
        </w:rPr>
      </w:pPr>
      <w:r>
        <w:rPr>
          <w:b/>
          <w:sz w:val="22"/>
        </w:rPr>
        <w:t>Return Type and Value: </w:t>
      </w:r>
      <w:r>
        <w:rPr>
          <w:sz w:val="22"/>
        </w:rPr>
        <w:t>number – The Bessel function Kn(x). However, if </w:t>
      </w:r>
      <w:r>
        <w:rPr>
          <w:rFonts w:ascii="Times New Roman" w:hAnsi="Times New Roman"/>
          <w:i/>
          <w:sz w:val="22"/>
        </w:rPr>
        <w:t>n </w:t>
      </w:r>
      <w:r>
        <w:rPr>
          <w:sz w:val="22"/>
        </w:rPr>
        <w:t>&lt; 0, </w:t>
      </w:r>
      <w:r>
        <w:rPr>
          <w:rFonts w:ascii="Consolas" w:hAnsi="Consolas"/>
          <w:sz w:val="22"/>
        </w:rPr>
        <w:t>#NUM!</w:t>
      </w:r>
      <w:r>
        <w:rPr>
          <w:rFonts w:ascii="Consolas" w:hAnsi="Consolas"/>
          <w:spacing w:val="-86"/>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BESSELK(2.345,5)</w:t>
      </w:r>
      <w:r>
        <w:rPr>
          <w:rFonts w:ascii="Consolas"/>
          <w:spacing w:val="-68"/>
        </w:rPr>
        <w:t> </w:t>
      </w:r>
      <w:r>
        <w:rPr/>
        <w:t>results in </w:t>
      </w:r>
      <w:r>
        <w:rPr>
          <w:rFonts w:ascii="Consolas"/>
        </w:rPr>
        <w:t>3.904137225</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6 BESSELY" w:id="1470"/>
      <w:bookmarkEnd w:id="1470"/>
      <w:r>
        <w:rPr/>
      </w:r>
      <w:bookmarkStart w:name="_bookmark489" w:id="1471"/>
      <w:bookmarkEnd w:id="1471"/>
      <w:r>
        <w:rPr/>
      </w:r>
      <w:bookmarkStart w:name="_bookmark489" w:id="1472"/>
      <w:bookmarkEnd w:id="1472"/>
      <w:r>
        <w:rPr>
          <w:color w:val="4F81BC"/>
        </w:rPr>
        <w:t>B</w:t>
      </w:r>
      <w:r>
        <w:rPr>
          <w:color w:val="4F81BC"/>
        </w:rPr>
        <w:t>ESSELY</w:t>
      </w:r>
    </w:p>
    <w:p>
      <w:pPr>
        <w:pStyle w:val="Heading4"/>
        <w:spacing w:before="121"/>
        <w:rPr>
          <w:b w:val="0"/>
        </w:rPr>
      </w:pPr>
      <w:r>
        <w:rPr/>
        <w:t>Syntax</w:t>
      </w:r>
      <w:r>
        <w:rPr>
          <w:b w:val="0"/>
        </w:rPr>
        <w:t>:</w:t>
      </w:r>
    </w:p>
    <w:p>
      <w:pPr>
        <w:spacing w:after="0"/>
        <w:sectPr>
          <w:footerReference w:type="even" r:id="rId211"/>
          <w:footerReference w:type="default" r:id="rId212"/>
          <w:pgSz w:w="12240" w:h="15840"/>
          <w:pgMar w:footer="746" w:header="761" w:top="1340" w:bottom="940" w:left="860" w:right="700"/>
          <w:pgNumType w:start="2100"/>
        </w:sectPr>
      </w:pPr>
    </w:p>
    <w:p>
      <w:pPr>
        <w:spacing w:before="143"/>
        <w:ind w:left="940" w:right="0" w:firstLine="0"/>
        <w:jc w:val="left"/>
        <w:rPr>
          <w:rFonts w:ascii="Lucida Console"/>
          <w:sz w:val="20"/>
        </w:rPr>
      </w:pPr>
      <w:r>
        <w:rPr>
          <w:rFonts w:ascii="Lucida Console"/>
          <w:sz w:val="20"/>
        </w:rPr>
        <w:t>BESSELY ( </w:t>
      </w:r>
      <w:r>
        <w:rPr>
          <w:i/>
          <w:sz w:val="22"/>
        </w:rPr>
        <w:t>x </w:t>
      </w:r>
      <w:r>
        <w:rPr>
          <w:rFonts w:ascii="Lucida Console"/>
          <w:sz w:val="20"/>
        </w:rPr>
        <w:t>, </w:t>
      </w:r>
      <w:r>
        <w:rPr>
          <w:i/>
          <w:sz w:val="22"/>
        </w:rPr>
        <w:t>n </w:t>
      </w:r>
      <w:r>
        <w:rPr>
          <w:rFonts w:ascii="Lucida Console"/>
          <w:sz w:val="20"/>
        </w:rPr>
        <w:t>)</w:t>
      </w:r>
    </w:p>
    <w:p>
      <w:pPr>
        <w:spacing w:before="109"/>
        <w:ind w:left="220" w:right="0" w:firstLine="0"/>
        <w:jc w:val="left"/>
        <w:rPr>
          <w:sz w:val="22"/>
        </w:rPr>
      </w:pPr>
      <w:r>
        <w:rPr>
          <w:b/>
          <w:sz w:val="22"/>
        </w:rPr>
        <w:t>Description: </w:t>
      </w:r>
      <w:r>
        <w:rPr>
          <w:sz w:val="22"/>
        </w:rPr>
        <w:t>Weber's Bessel function Yn(x).</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pStyle w:val="BodyText"/>
        <w:ind w:left="220"/>
      </w:pPr>
      <w:r>
        <w:rPr/>
        <w:t>The n-th order Bessel function of the variable x is:</w:t>
      </w:r>
    </w:p>
    <w:p>
      <w:pPr>
        <w:pStyle w:val="BodyText"/>
        <w:spacing w:before="8"/>
        <w:rPr>
          <w:sz w:val="19"/>
        </w:rPr>
      </w:pPr>
    </w:p>
    <w:p>
      <w:pPr>
        <w:pStyle w:val="BodyText"/>
        <w:spacing w:line="96" w:lineRule="auto" w:after="10"/>
        <w:ind w:left="220"/>
        <w:rPr>
          <w:rFonts w:ascii="Cambria Math" w:hAnsi="Cambria Math" w:eastAsia="Cambria Math"/>
        </w:rPr>
      </w:pPr>
      <w:r>
        <w:rPr>
          <w:rFonts w:ascii="Cambria Math" w:hAnsi="Cambria Math" w:eastAsia="Cambria Math"/>
          <w:position w:val="-16"/>
        </w:rPr>
        <w:t>𝑌 </w:t>
      </w:r>
      <w:r>
        <w:rPr>
          <w:rFonts w:ascii="Cambria Math" w:hAnsi="Cambria Math" w:eastAsia="Cambria Math"/>
          <w:position w:val="-15"/>
        </w:rPr>
        <w:t>(</w:t>
      </w:r>
      <w:r>
        <w:rPr>
          <w:rFonts w:ascii="Cambria Math" w:hAnsi="Cambria Math" w:eastAsia="Cambria Math"/>
          <w:position w:val="-16"/>
        </w:rPr>
        <w:t>𝑥</w:t>
      </w:r>
      <w:r>
        <w:rPr>
          <w:rFonts w:ascii="Cambria Math" w:hAnsi="Cambria Math" w:eastAsia="Cambria Math"/>
          <w:position w:val="-15"/>
        </w:rPr>
        <w:t>) </w:t>
      </w:r>
      <w:r>
        <w:rPr>
          <w:rFonts w:ascii="Cambria Math" w:hAnsi="Cambria Math" w:eastAsia="Cambria Math"/>
          <w:position w:val="-16"/>
        </w:rPr>
        <w:t>= lim </w:t>
      </w:r>
      <w:r>
        <w:rPr>
          <w:rFonts w:ascii="Cambria Math" w:hAnsi="Cambria Math" w:eastAsia="Cambria Math"/>
        </w:rPr>
        <w:t>𝐽</w:t>
      </w:r>
      <w:r>
        <w:rPr>
          <w:rFonts w:ascii="Cambria Math" w:hAnsi="Cambria Math" w:eastAsia="Cambria Math"/>
          <w:position w:val="-4"/>
          <w:sz w:val="16"/>
        </w:rPr>
        <w:t>𝑣</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 </w:t>
      </w:r>
      <w:r>
        <w:rPr>
          <w:rFonts w:ascii="Cambria Math" w:hAnsi="Cambria Math" w:eastAsia="Cambria Math"/>
        </w:rPr>
        <w:t>cos</w:t>
      </w:r>
      <w:r>
        <w:rPr>
          <w:rFonts w:ascii="Cambria Math" w:hAnsi="Cambria Math" w:eastAsia="Cambria Math"/>
          <w:position w:val="1"/>
        </w:rPr>
        <w:t>(</w:t>
      </w:r>
      <w:r>
        <w:rPr>
          <w:rFonts w:ascii="Cambria Math" w:hAnsi="Cambria Math" w:eastAsia="Cambria Math"/>
        </w:rPr>
        <w:t>𝑣 𝜋</w:t>
      </w:r>
      <w:r>
        <w:rPr>
          <w:rFonts w:ascii="Cambria Math" w:hAnsi="Cambria Math" w:eastAsia="Cambria Math"/>
          <w:position w:val="1"/>
        </w:rPr>
        <w:t>) </w:t>
      </w:r>
      <w:r>
        <w:rPr>
          <w:rFonts w:ascii="Cambria Math" w:hAnsi="Cambria Math" w:eastAsia="Cambria Math"/>
        </w:rPr>
        <w:t>− 𝐽</w:t>
      </w:r>
      <w:r>
        <w:rPr>
          <w:rFonts w:ascii="Cambria Math" w:hAnsi="Cambria Math" w:eastAsia="Cambria Math"/>
          <w:position w:val="-4"/>
          <w:sz w:val="16"/>
        </w:rPr>
        <w:t>−𝑣</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w:t>
      </w:r>
    </w:p>
    <w:p>
      <w:pPr>
        <w:pStyle w:val="BodyText"/>
        <w:spacing w:line="20" w:lineRule="exact"/>
        <w:ind w:left="1438"/>
        <w:rPr>
          <w:rFonts w:ascii="Cambria Math"/>
          <w:sz w:val="2"/>
        </w:rPr>
      </w:pPr>
      <w:r>
        <w:rPr>
          <w:rFonts w:ascii="Cambria Math"/>
          <w:sz w:val="2"/>
        </w:rPr>
        <w:pict>
          <v:group style="width:109pt;height:.75pt;mso-position-horizontal-relative:char;mso-position-vertical-relative:line" coordorigin="0,0" coordsize="2180,15">
            <v:line style="position:absolute" from="0,7" to="2180,7" stroked="true" strokeweight=".72pt" strokecolor="#000000">
              <v:stroke dashstyle="solid"/>
            </v:line>
          </v:group>
        </w:pict>
      </w:r>
      <w:r>
        <w:rPr>
          <w:rFonts w:ascii="Cambria Math"/>
          <w:sz w:val="2"/>
        </w:rPr>
      </w:r>
    </w:p>
    <w:p>
      <w:pPr>
        <w:tabs>
          <w:tab w:pos="1074" w:val="left" w:leader="none"/>
          <w:tab w:pos="2149" w:val="left" w:leader="none"/>
        </w:tabs>
        <w:spacing w:line="248" w:lineRule="exact" w:before="0"/>
        <w:ind w:left="315" w:right="0" w:firstLine="0"/>
        <w:jc w:val="left"/>
        <w:rPr>
          <w:rFonts w:ascii="Cambria Math" w:hAnsi="Cambria Math" w:eastAsia="Cambria Math"/>
          <w:sz w:val="22"/>
        </w:rPr>
      </w:pPr>
      <w:r>
        <w:rPr>
          <w:rFonts w:ascii="Cambria Math" w:hAnsi="Cambria Math" w:eastAsia="Cambria Math"/>
          <w:w w:val="105"/>
          <w:position w:val="10"/>
          <w:sz w:val="16"/>
        </w:rPr>
        <w:t>𝑛</w:t>
        <w:tab/>
      </w:r>
      <w:r>
        <w:rPr>
          <w:rFonts w:ascii="Cambria Math" w:hAnsi="Cambria Math" w:eastAsia="Cambria Math"/>
          <w:w w:val="105"/>
          <w:position w:val="1"/>
          <w:sz w:val="16"/>
        </w:rPr>
        <w:t>𝑣→𝑛</w:t>
        <w:tab/>
      </w:r>
      <w:r>
        <w:rPr>
          <w:rFonts w:ascii="Cambria Math" w:hAnsi="Cambria Math" w:eastAsia="Cambria Math"/>
          <w:w w:val="105"/>
          <w:sz w:val="22"/>
        </w:rPr>
        <w:t>sin</w:t>
      </w:r>
      <w:r>
        <w:rPr>
          <w:rFonts w:ascii="Cambria Math" w:hAnsi="Cambria Math" w:eastAsia="Cambria Math"/>
          <w:w w:val="105"/>
          <w:position w:val="1"/>
          <w:sz w:val="22"/>
        </w:rPr>
        <w:t>(</w:t>
      </w:r>
      <w:r>
        <w:rPr>
          <w:rFonts w:ascii="Cambria Math" w:hAnsi="Cambria Math" w:eastAsia="Cambria Math"/>
          <w:w w:val="105"/>
          <w:sz w:val="22"/>
        </w:rPr>
        <w:t>𝑣</w:t>
      </w:r>
      <w:r>
        <w:rPr>
          <w:rFonts w:ascii="Cambria Math" w:hAnsi="Cambria Math" w:eastAsia="Cambria Math"/>
          <w:spacing w:val="3"/>
          <w:w w:val="105"/>
          <w:sz w:val="22"/>
        </w:rPr>
        <w:t> </w:t>
      </w:r>
      <w:r>
        <w:rPr>
          <w:rFonts w:ascii="Cambria Math" w:hAnsi="Cambria Math" w:eastAsia="Cambria Math"/>
          <w:spacing w:val="2"/>
          <w:w w:val="105"/>
          <w:sz w:val="22"/>
        </w:rPr>
        <w:t>𝜋</w:t>
      </w:r>
      <w:r>
        <w:rPr>
          <w:rFonts w:ascii="Cambria Math" w:hAnsi="Cambria Math" w:eastAsia="Cambria Math"/>
          <w:spacing w:val="2"/>
          <w:w w:val="105"/>
          <w:position w:val="1"/>
          <w:sz w:val="22"/>
        </w:rPr>
        <w:t>)</w:t>
      </w:r>
    </w:p>
    <w:p>
      <w:pPr>
        <w:pStyle w:val="BodyText"/>
        <w:spacing w:before="8"/>
        <w:rPr>
          <w:rFonts w:ascii="Cambria Math"/>
          <w:sz w:val="14"/>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rFonts w:ascii="Times New Roman" w:hAnsi="Times New Roman"/>
          <w:i/>
          <w:sz w:val="22"/>
        </w:rPr>
      </w:pPr>
      <w:r>
        <w:rPr>
          <w:rFonts w:ascii="Times New Roman" w:hAnsi="Times New Roman"/>
          <w:i/>
          <w:sz w:val="22"/>
        </w:rPr>
        <w:t>n </w:t>
      </w:r>
      <w:r>
        <w:rPr>
          <w:sz w:val="22"/>
        </w:rPr>
        <w:t>= argument</w:t>
      </w:r>
      <w:r>
        <w:rPr>
          <w:spacing w:val="-1"/>
          <w:sz w:val="22"/>
        </w:rPr>
        <w:t> </w:t>
      </w:r>
      <w:r>
        <w:rPr>
          <w:rFonts w:ascii="Times New Roman" w:hAnsi="Times New Roman"/>
          <w:i/>
          <w:sz w:val="22"/>
        </w:rPr>
        <w:t>n</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4"/>
          <w:sz w:val="22"/>
        </w:rPr>
        <w:t> </w:t>
      </w:r>
      <w:r>
        <w:rPr>
          <w:rFonts w:ascii="Times New Roman" w:hAnsi="Times New Roman"/>
          <w:i/>
          <w:sz w:val="22"/>
        </w:rPr>
        <w:t>x</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to evaluate the function.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n</w:t>
            </w:r>
          </w:p>
        </w:tc>
        <w:tc>
          <w:tcPr>
            <w:tcW w:w="1800" w:type="dxa"/>
          </w:tcPr>
          <w:p>
            <w:pPr>
              <w:pStyle w:val="TableParagraph"/>
              <w:ind w:left="112"/>
              <w:rPr>
                <w:sz w:val="22"/>
              </w:rPr>
            </w:pPr>
            <w:r>
              <w:rPr>
                <w:sz w:val="22"/>
              </w:rPr>
              <w:t>number</w:t>
            </w:r>
          </w:p>
        </w:tc>
        <w:tc>
          <w:tcPr>
            <w:tcW w:w="5400" w:type="dxa"/>
          </w:tcPr>
          <w:p>
            <w:pPr>
              <w:pStyle w:val="TableParagraph"/>
              <w:ind w:left="113" w:right="282"/>
              <w:rPr>
                <w:sz w:val="22"/>
              </w:rPr>
            </w:pPr>
            <w:r>
              <w:rPr>
                <w:sz w:val="22"/>
              </w:rPr>
              <w:t>The order of the Bessel function. This value is truncated to an integer.</w:t>
            </w:r>
          </w:p>
        </w:tc>
      </w:tr>
    </w:tbl>
    <w:p>
      <w:pPr>
        <w:pStyle w:val="BodyText"/>
        <w:rPr>
          <w:b/>
        </w:rPr>
      </w:pPr>
    </w:p>
    <w:p>
      <w:pPr>
        <w:pStyle w:val="BodyText"/>
        <w:spacing w:before="7"/>
        <w:rPr>
          <w:b/>
          <w:sz w:val="19"/>
        </w:rPr>
      </w:pPr>
    </w:p>
    <w:p>
      <w:pPr>
        <w:spacing w:line="453" w:lineRule="auto" w:before="0"/>
        <w:ind w:left="220" w:right="4241" w:firstLine="0"/>
        <w:jc w:val="left"/>
        <w:rPr>
          <w:sz w:val="22"/>
        </w:rPr>
      </w:pPr>
      <w:r>
        <w:rPr>
          <w:b/>
          <w:sz w:val="22"/>
        </w:rPr>
        <w:t>Return Type and Value: </w:t>
      </w:r>
      <w:r>
        <w:rPr>
          <w:sz w:val="22"/>
        </w:rPr>
        <w:t>number – The Weber's Bessel function Yn(x). However, if </w:t>
      </w:r>
      <w:r>
        <w:rPr>
          <w:rFonts w:ascii="Times New Roman" w:hAnsi="Times New Roman"/>
          <w:i/>
          <w:sz w:val="22"/>
        </w:rPr>
        <w:t>n </w:t>
      </w:r>
      <w:r>
        <w:rPr>
          <w:sz w:val="22"/>
        </w:rPr>
        <w:t>&lt; 0, </w:t>
      </w:r>
      <w:r>
        <w:rPr>
          <w:rFonts w:ascii="Consolas" w:hAnsi="Consolas"/>
          <w:sz w:val="22"/>
        </w:rPr>
        <w:t>#NUM!</w:t>
      </w:r>
      <w:r>
        <w:rPr>
          <w:rFonts w:ascii="Consolas" w:hAnsi="Consolas"/>
          <w:spacing w:val="-86"/>
          <w:sz w:val="22"/>
        </w:rPr>
        <w:t> </w:t>
      </w:r>
      <w:r>
        <w:rPr>
          <w:sz w:val="22"/>
        </w:rPr>
        <w:t>is returned.</w:t>
      </w:r>
    </w:p>
    <w:p>
      <w:pPr>
        <w:spacing w:before="1"/>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ind w:left="220"/>
        <w:rPr>
          <w:rFonts w:ascii="Consolas"/>
        </w:rPr>
      </w:pPr>
      <w:r>
        <w:rPr>
          <w:rFonts w:ascii="Consolas"/>
        </w:rPr>
        <w:t>BESSELY(2.345,5)</w:t>
      </w:r>
      <w:r>
        <w:rPr>
          <w:rFonts w:ascii="Consolas"/>
          <w:spacing w:val="-68"/>
        </w:rPr>
        <w:t> </w:t>
      </w:r>
      <w:r>
        <w:rPr/>
        <w:t>results in </w:t>
      </w:r>
      <w:r>
        <w:rPr>
          <w:rFonts w:ascii="Consolas"/>
        </w:rPr>
        <w:t>-4.98977884</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 BETADIST" w:id="1473"/>
      <w:bookmarkEnd w:id="1473"/>
      <w:r>
        <w:rPr/>
      </w:r>
      <w:bookmarkStart w:name="_bookmark490" w:id="1474"/>
      <w:bookmarkEnd w:id="1474"/>
      <w:r>
        <w:rPr/>
      </w:r>
      <w:bookmarkStart w:name="_bookmark490" w:id="1475"/>
      <w:bookmarkEnd w:id="1475"/>
      <w:r>
        <w:rPr>
          <w:color w:val="4F81BC"/>
        </w:rPr>
        <w:t>B</w:t>
      </w:r>
      <w:r>
        <w:rPr>
          <w:color w:val="4F81BC"/>
        </w:rPr>
        <w:t>ETADIST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BETADIST ( </w:t>
      </w:r>
      <w:r>
        <w:rPr>
          <w:i/>
          <w:sz w:val="22"/>
        </w:rPr>
        <w:t>x </w:t>
      </w:r>
      <w:r>
        <w:rPr>
          <w:rFonts w:ascii="Lucida Console"/>
          <w:sz w:val="20"/>
        </w:rPr>
        <w:t>, </w:t>
      </w:r>
      <w:r>
        <w:rPr>
          <w:i/>
          <w:sz w:val="22"/>
        </w:rPr>
        <w:t>alpha </w:t>
      </w:r>
      <w:r>
        <w:rPr>
          <w:rFonts w:ascii="Lucida Console"/>
          <w:sz w:val="20"/>
        </w:rPr>
        <w:t>, </w:t>
      </w:r>
      <w:r>
        <w:rPr>
          <w:i/>
          <w:sz w:val="22"/>
        </w:rPr>
        <w:t>beta </w:t>
      </w:r>
      <w:r>
        <w:rPr>
          <w:sz w:val="22"/>
        </w:rPr>
        <w:t>[ </w:t>
      </w:r>
      <w:r>
        <w:rPr>
          <w:rFonts w:ascii="Lucida Console"/>
          <w:sz w:val="20"/>
        </w:rPr>
        <w:t>, </w:t>
      </w:r>
      <w:r>
        <w:rPr>
          <w:sz w:val="22"/>
        </w:rPr>
        <w:t>[ </w:t>
      </w:r>
      <w:r>
        <w:rPr>
          <w:i/>
          <w:sz w:val="22"/>
        </w:rPr>
        <w:t>A </w:t>
      </w:r>
      <w:r>
        <w:rPr>
          <w:sz w:val="22"/>
        </w:rPr>
        <w:t>] </w:t>
      </w:r>
      <w:r>
        <w:rPr>
          <w:rFonts w:ascii="Lucida Console"/>
          <w:sz w:val="20"/>
        </w:rPr>
        <w:t>,</w:t>
      </w:r>
      <w:r>
        <w:rPr>
          <w:rFonts w:ascii="Lucida Console"/>
          <w:spacing w:val="-85"/>
          <w:sz w:val="20"/>
        </w:rPr>
        <w:t> </w:t>
      </w:r>
      <w:r>
        <w:rPr>
          <w:sz w:val="22"/>
        </w:rPr>
        <w:t>[ </w:t>
      </w:r>
      <w:r>
        <w:rPr>
          <w:i/>
          <w:sz w:val="22"/>
        </w:rPr>
        <w:t>B </w:t>
      </w:r>
      <w:r>
        <w:rPr>
          <w:sz w:val="22"/>
        </w:rPr>
        <w:t>] ] </w:t>
      </w:r>
      <w:r>
        <w:rPr>
          <w:rFonts w:ascii="Lucida Console"/>
          <w:sz w:val="20"/>
        </w:rPr>
        <w:t>)</w:t>
      </w:r>
    </w:p>
    <w:p>
      <w:pPr>
        <w:pStyle w:val="BodyText"/>
        <w:spacing w:before="109"/>
        <w:ind w:left="220"/>
      </w:pPr>
      <w:r>
        <w:rPr>
          <w:b/>
        </w:rPr>
        <w:t>Description: </w:t>
      </w:r>
      <w:r>
        <w:rPr/>
        <w:t>Computes the cumulative beta probability density function.</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between </w:t>
            </w:r>
            <w:r>
              <w:rPr>
                <w:rFonts w:ascii="Times New Roman"/>
                <w:i/>
                <w:sz w:val="22"/>
              </w:rPr>
              <w:t>A </w:t>
            </w:r>
            <w:r>
              <w:rPr>
                <w:sz w:val="22"/>
              </w:rPr>
              <w:t>and </w:t>
            </w:r>
            <w:r>
              <w:rPr>
                <w:rFonts w:ascii="Times New Roman"/>
                <w:i/>
                <w:sz w:val="22"/>
              </w:rPr>
              <w:t>B </w:t>
            </w:r>
            <w:r>
              <w:rPr>
                <w:sz w:val="22"/>
              </w:rPr>
              <w:t>at which to evaluate the function.</w:t>
            </w:r>
          </w:p>
        </w:tc>
      </w:tr>
      <w:tr>
        <w:trPr>
          <w:trHeight w:val="354" w:hRule="atLeast"/>
        </w:trPr>
        <w:tc>
          <w:tcPr>
            <w:tcW w:w="1466" w:type="dxa"/>
          </w:tcPr>
          <w:p>
            <w:pPr>
              <w:pStyle w:val="TableParagraph"/>
              <w:spacing w:before="37"/>
              <w:rPr>
                <w:rFonts w:ascii="Times New Roman"/>
                <w:i/>
                <w:sz w:val="22"/>
              </w:rPr>
            </w:pPr>
            <w:r>
              <w:rPr>
                <w:rFonts w:ascii="Times New Roman"/>
                <w:i/>
                <w:sz w:val="22"/>
              </w:rPr>
              <w:t>alpha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parameter of the distribution.</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beta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parameter of the distribution.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A</w:t>
            </w:r>
          </w:p>
        </w:tc>
        <w:tc>
          <w:tcPr>
            <w:tcW w:w="1800" w:type="dxa"/>
          </w:tcPr>
          <w:p>
            <w:pPr>
              <w:pStyle w:val="TableParagraph"/>
              <w:ind w:left="112"/>
              <w:rPr>
                <w:sz w:val="22"/>
              </w:rPr>
            </w:pPr>
            <w:r>
              <w:rPr>
                <w:sz w:val="22"/>
              </w:rPr>
              <w:t>number</w:t>
            </w:r>
          </w:p>
        </w:tc>
        <w:tc>
          <w:tcPr>
            <w:tcW w:w="5400" w:type="dxa"/>
          </w:tcPr>
          <w:p>
            <w:pPr>
              <w:pStyle w:val="TableParagraph"/>
              <w:ind w:left="113" w:right="642"/>
              <w:rPr>
                <w:sz w:val="22"/>
              </w:rPr>
            </w:pPr>
            <w:r>
              <w:rPr>
                <w:sz w:val="22"/>
              </w:rPr>
              <w:t>The lower bound to the interval of </w:t>
            </w:r>
            <w:r>
              <w:rPr>
                <w:rFonts w:ascii="Times New Roman"/>
                <w:i/>
                <w:sz w:val="22"/>
              </w:rPr>
              <w:t>x</w:t>
            </w:r>
            <w:r>
              <w:rPr>
                <w:sz w:val="22"/>
              </w:rPr>
              <w:t>. If omitted, the lower bound is 0.</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B</w:t>
            </w:r>
          </w:p>
        </w:tc>
        <w:tc>
          <w:tcPr>
            <w:tcW w:w="1800" w:type="dxa"/>
          </w:tcPr>
          <w:p>
            <w:pPr>
              <w:pStyle w:val="TableParagraph"/>
              <w:ind w:left="112"/>
              <w:rPr>
                <w:sz w:val="22"/>
              </w:rPr>
            </w:pPr>
            <w:r>
              <w:rPr>
                <w:sz w:val="22"/>
              </w:rPr>
              <w:t>number</w:t>
            </w:r>
          </w:p>
        </w:tc>
        <w:tc>
          <w:tcPr>
            <w:tcW w:w="5400" w:type="dxa"/>
          </w:tcPr>
          <w:p>
            <w:pPr>
              <w:pStyle w:val="TableParagraph"/>
              <w:ind w:left="113" w:right="619"/>
              <w:rPr>
                <w:sz w:val="22"/>
              </w:rPr>
            </w:pPr>
            <w:r>
              <w:rPr>
                <w:sz w:val="22"/>
              </w:rPr>
              <w:t>The upper bound to the interval of </w:t>
            </w:r>
            <w:r>
              <w:rPr>
                <w:rFonts w:ascii="Times New Roman"/>
                <w:i/>
                <w:sz w:val="22"/>
              </w:rPr>
              <w:t>x</w:t>
            </w:r>
            <w:r>
              <w:rPr>
                <w:sz w:val="22"/>
              </w:rPr>
              <w:t>. If omitted, the upper bound is 1.</w:t>
            </w:r>
          </w:p>
        </w:tc>
      </w:tr>
    </w:tbl>
    <w:p>
      <w:pPr>
        <w:pStyle w:val="BodyText"/>
        <w:rPr>
          <w:b/>
          <w:sz w:val="20"/>
        </w:rPr>
      </w:pPr>
    </w:p>
    <w:p>
      <w:pPr>
        <w:pStyle w:val="BodyText"/>
        <w:rPr>
          <w:b/>
          <w:sz w:val="17"/>
        </w:rPr>
      </w:pPr>
    </w:p>
    <w:p>
      <w:pPr>
        <w:spacing w:line="453" w:lineRule="auto" w:before="56"/>
        <w:ind w:left="220" w:right="2932" w:firstLine="0"/>
        <w:jc w:val="left"/>
        <w:rPr>
          <w:sz w:val="22"/>
        </w:rPr>
      </w:pPr>
      <w:r>
        <w:rPr>
          <w:b/>
          <w:sz w:val="22"/>
        </w:rPr>
        <w:t>Return Type and Value: </w:t>
      </w:r>
      <w:r>
        <w:rPr>
          <w:sz w:val="22"/>
        </w:rPr>
        <w:t>number – The cumulative beta probability density function.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alpha </w:t>
      </w:r>
      <w:r>
        <w:rPr>
          <w:sz w:val="22"/>
        </w:rPr>
        <w:t>or </w:t>
      </w:r>
      <w:r>
        <w:rPr>
          <w:rFonts w:ascii="Times New Roman" w:hAnsi="Times New Roman"/>
          <w:i/>
          <w:sz w:val="22"/>
        </w:rPr>
        <w:t>beta </w:t>
      </w:r>
      <w:r>
        <w:rPr>
          <w:sz w:val="22"/>
        </w:rPr>
        <w:t>≤ 0,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112" w:firstLine="360"/>
        <w:jc w:val="left"/>
        <w:rPr>
          <w:sz w:val="22"/>
        </w:rPr>
      </w:pPr>
      <w:r>
        <w:rPr>
          <w:rFonts w:ascii="Times New Roman" w:hAnsi="Times New Roman"/>
          <w:i/>
          <w:sz w:val="22"/>
        </w:rPr>
        <w:t>x </w:t>
      </w:r>
      <w:r>
        <w:rPr>
          <w:sz w:val="22"/>
        </w:rPr>
        <w:t>&lt; </w:t>
      </w:r>
      <w:r>
        <w:rPr>
          <w:rFonts w:ascii="Times New Roman" w:hAnsi="Times New Roman"/>
          <w:i/>
          <w:sz w:val="22"/>
        </w:rPr>
        <w:t>A</w:t>
      </w:r>
      <w:r>
        <w:rPr>
          <w:sz w:val="22"/>
        </w:rPr>
        <w:t>, </w:t>
      </w:r>
      <w:r>
        <w:rPr>
          <w:rFonts w:ascii="Times New Roman" w:hAnsi="Times New Roman"/>
          <w:i/>
          <w:sz w:val="22"/>
        </w:rPr>
        <w:t>x </w:t>
      </w:r>
      <w:r>
        <w:rPr>
          <w:sz w:val="22"/>
        </w:rPr>
        <w:t>&gt; </w:t>
      </w:r>
      <w:r>
        <w:rPr>
          <w:rFonts w:ascii="Times New Roman" w:hAnsi="Times New Roman"/>
          <w:i/>
          <w:sz w:val="22"/>
        </w:rPr>
        <w:t>B</w:t>
      </w:r>
      <w:r>
        <w:rPr>
          <w:sz w:val="22"/>
        </w:rPr>
        <w:t>, or </w:t>
      </w:r>
      <w:r>
        <w:rPr>
          <w:rFonts w:ascii="Times New Roman" w:hAnsi="Times New Roman"/>
          <w:i/>
          <w:sz w:val="22"/>
        </w:rPr>
        <w:t>A </w:t>
      </w:r>
      <w:r>
        <w:rPr>
          <w:sz w:val="22"/>
        </w:rPr>
        <w:t>= </w:t>
      </w:r>
      <w:r>
        <w:rPr>
          <w:rFonts w:ascii="Times New Roman" w:hAnsi="Times New Roman"/>
          <w:i/>
          <w:sz w:val="22"/>
        </w:rPr>
        <w:t>B</w:t>
      </w:r>
      <w:r>
        <w:rPr>
          <w:sz w:val="22"/>
        </w:rPr>
        <w:t>, </w:t>
      </w:r>
      <w:r>
        <w:rPr>
          <w:rFonts w:ascii="Consolas" w:hAnsi="Consolas"/>
          <w:sz w:val="22"/>
        </w:rPr>
        <w:t>#NUM!</w:t>
      </w:r>
      <w:r>
        <w:rPr>
          <w:rFonts w:ascii="Consolas" w:hAnsi="Consolas"/>
          <w:spacing w:val="-78"/>
          <w:sz w:val="22"/>
        </w:rPr>
        <w:t> </w:t>
      </w:r>
      <w:r>
        <w:rPr>
          <w:sz w:val="22"/>
        </w:rPr>
        <w:t>is returned. [</w:t>
      </w:r>
      <w:r>
        <w:rPr>
          <w:i/>
          <w:sz w:val="22"/>
        </w:rPr>
        <w:t>Example</w:t>
      </w:r>
      <w:r>
        <w:rPr>
          <w:sz w:val="22"/>
        </w:rPr>
        <w:t>:</w:t>
      </w:r>
    </w:p>
    <w:p>
      <w:pPr>
        <w:pStyle w:val="BodyText"/>
        <w:spacing w:line="276" w:lineRule="auto" w:before="126"/>
        <w:ind w:left="220" w:right="5117"/>
        <w:rPr>
          <w:rFonts w:ascii="Consolas"/>
        </w:rPr>
      </w:pPr>
      <w:r>
        <w:rPr>
          <w:rFonts w:ascii="Consolas"/>
        </w:rPr>
        <w:t>BETADIST(0.5,1,2) </w:t>
      </w:r>
      <w:r>
        <w:rPr/>
        <w:t>results in </w:t>
      </w:r>
      <w:r>
        <w:rPr>
          <w:rFonts w:ascii="Consolas"/>
        </w:rPr>
        <w:t>0.75 BETADIST(0.5,1,2,-4.5,7.3) </w:t>
      </w:r>
      <w:r>
        <w:rPr/>
        <w:t>results in </w:t>
      </w:r>
      <w:r>
        <w:rPr>
          <w:rFonts w:ascii="Consolas"/>
        </w:rPr>
        <w:t>0.66791152 BETADIST(0.5,1,2,,2.3) </w:t>
      </w:r>
      <w:r>
        <w:rPr/>
        <w:t>results in </w:t>
      </w:r>
      <w:r>
        <w:rPr>
          <w:rFonts w:ascii="Consolas"/>
        </w:rPr>
        <w:t>0.387523629</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 BETAINV" w:id="1476"/>
      <w:bookmarkEnd w:id="1476"/>
      <w:r>
        <w:rPr/>
      </w:r>
      <w:bookmarkStart w:name="_bookmark491" w:id="1477"/>
      <w:bookmarkEnd w:id="1477"/>
      <w:r>
        <w:rPr/>
      </w:r>
      <w:bookmarkStart w:name="_bookmark491" w:id="1478"/>
      <w:bookmarkEnd w:id="1478"/>
      <w:r>
        <w:rPr>
          <w:color w:val="4F81BC"/>
        </w:rPr>
        <w:t>B</w:t>
      </w:r>
      <w:r>
        <w:rPr>
          <w:color w:val="4F81BC"/>
        </w:rPr>
        <w:t>ETAINV</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both"/>
        <w:rPr>
          <w:rFonts w:ascii="Lucida Console"/>
          <w:sz w:val="20"/>
        </w:rPr>
      </w:pPr>
      <w:r>
        <w:rPr>
          <w:rFonts w:ascii="Lucida Console"/>
          <w:sz w:val="20"/>
        </w:rPr>
        <w:t>BETAINV ( </w:t>
      </w:r>
      <w:r>
        <w:rPr>
          <w:i/>
          <w:sz w:val="22"/>
        </w:rPr>
        <w:t>probability </w:t>
      </w:r>
      <w:r>
        <w:rPr>
          <w:rFonts w:ascii="Lucida Console"/>
          <w:sz w:val="20"/>
        </w:rPr>
        <w:t>, </w:t>
      </w:r>
      <w:r>
        <w:rPr>
          <w:i/>
          <w:sz w:val="22"/>
        </w:rPr>
        <w:t>alpha  </w:t>
      </w:r>
      <w:r>
        <w:rPr>
          <w:rFonts w:ascii="Lucida Console"/>
          <w:sz w:val="20"/>
        </w:rPr>
        <w:t>, </w:t>
      </w:r>
      <w:r>
        <w:rPr>
          <w:i/>
          <w:sz w:val="22"/>
        </w:rPr>
        <w:t>beta  </w:t>
      </w:r>
      <w:r>
        <w:rPr>
          <w:sz w:val="22"/>
        </w:rPr>
        <w:t>[ </w:t>
      </w:r>
      <w:r>
        <w:rPr>
          <w:rFonts w:ascii="Lucida Console"/>
          <w:sz w:val="20"/>
        </w:rPr>
        <w:t>, </w:t>
      </w:r>
      <w:r>
        <w:rPr>
          <w:sz w:val="22"/>
        </w:rPr>
        <w:t>[  </w:t>
      </w:r>
      <w:r>
        <w:rPr>
          <w:i/>
          <w:sz w:val="22"/>
        </w:rPr>
        <w:t>A </w:t>
      </w:r>
      <w:r>
        <w:rPr>
          <w:sz w:val="22"/>
        </w:rPr>
        <w:t>] </w:t>
      </w:r>
      <w:r>
        <w:rPr>
          <w:rFonts w:ascii="Lucida Console"/>
          <w:sz w:val="20"/>
        </w:rPr>
        <w:t>, </w:t>
      </w:r>
      <w:r>
        <w:rPr>
          <w:sz w:val="22"/>
        </w:rPr>
        <w:t>[  </w:t>
      </w:r>
      <w:r>
        <w:rPr>
          <w:i/>
          <w:sz w:val="22"/>
        </w:rPr>
        <w:t>B </w:t>
      </w:r>
      <w:r>
        <w:rPr>
          <w:sz w:val="22"/>
        </w:rPr>
        <w:t>] ]  </w:t>
      </w:r>
      <w:r>
        <w:rPr>
          <w:rFonts w:ascii="Lucida Console"/>
          <w:sz w:val="20"/>
        </w:rPr>
        <w:t>)</w:t>
      </w:r>
    </w:p>
    <w:p>
      <w:pPr>
        <w:pStyle w:val="BodyText"/>
        <w:spacing w:line="278" w:lineRule="auto" w:before="106"/>
        <w:ind w:left="220" w:right="885"/>
        <w:jc w:val="both"/>
      </w:pPr>
      <w:r>
        <w:rPr>
          <w:b/>
        </w:rPr>
        <w:t>Description: </w:t>
      </w:r>
      <w:r>
        <w:rPr/>
        <w:t>Computes the inverse of the cumulative distribution function for a specified beta distribution. Given</w:t>
      </w:r>
      <w:r>
        <w:rPr>
          <w:spacing w:val="-3"/>
        </w:rPr>
        <w:t> </w:t>
      </w:r>
      <w:r>
        <w:rPr/>
        <w:t>a</w:t>
      </w:r>
      <w:r>
        <w:rPr>
          <w:spacing w:val="-3"/>
        </w:rPr>
        <w:t> </w:t>
      </w:r>
      <w:r>
        <w:rPr/>
        <w:t>value</w:t>
      </w:r>
      <w:r>
        <w:rPr>
          <w:spacing w:val="-4"/>
        </w:rPr>
        <w:t> </w:t>
      </w:r>
      <w:r>
        <w:rPr/>
        <w:t>for</w:t>
      </w:r>
      <w:r>
        <w:rPr>
          <w:spacing w:val="-2"/>
        </w:rPr>
        <w:t> </w:t>
      </w:r>
      <w:r>
        <w:rPr>
          <w:rFonts w:ascii="Times New Roman"/>
          <w:i/>
        </w:rPr>
        <w:t>probability</w:t>
      </w:r>
      <w:r>
        <w:rPr/>
        <w:t>,</w:t>
      </w:r>
      <w:r>
        <w:rPr>
          <w:spacing w:val="-1"/>
        </w:rPr>
        <w:t> </w:t>
      </w:r>
      <w:r>
        <w:rPr>
          <w:rFonts w:ascii="Consolas"/>
        </w:rPr>
        <w:t>BETAINV</w:t>
      </w:r>
      <w:r>
        <w:rPr>
          <w:rFonts w:ascii="Consolas"/>
          <w:spacing w:val="-70"/>
        </w:rPr>
        <w:t> </w:t>
      </w:r>
      <w:r>
        <w:rPr/>
        <w:t>is</w:t>
      </w:r>
      <w:r>
        <w:rPr>
          <w:spacing w:val="-4"/>
        </w:rPr>
        <w:t> </w:t>
      </w:r>
      <w:r>
        <w:rPr/>
        <w:t>used</w:t>
      </w:r>
      <w:r>
        <w:rPr>
          <w:spacing w:val="-2"/>
        </w:rPr>
        <w:t> </w:t>
      </w:r>
      <w:r>
        <w:rPr/>
        <w:t>to seek</w:t>
      </w:r>
      <w:r>
        <w:rPr>
          <w:spacing w:val="-5"/>
        </w:rPr>
        <w:t> </w:t>
      </w:r>
      <w:r>
        <w:rPr/>
        <w:t>for</w:t>
      </w:r>
      <w:r>
        <w:rPr>
          <w:spacing w:val="-2"/>
        </w:rPr>
        <w:t> </w:t>
      </w:r>
      <w:r>
        <w:rPr/>
        <w:t>the value</w:t>
      </w:r>
      <w:r>
        <w:rPr>
          <w:spacing w:val="1"/>
        </w:rPr>
        <w:t> </w:t>
      </w:r>
      <w:r>
        <w:rPr>
          <w:rFonts w:ascii="Times New Roman"/>
          <w:i/>
        </w:rPr>
        <w:t>x</w:t>
      </w:r>
      <w:r>
        <w:rPr>
          <w:rFonts w:ascii="Times New Roman"/>
          <w:i/>
          <w:spacing w:val="-8"/>
        </w:rPr>
        <w:t> </w:t>
      </w:r>
      <w:r>
        <w:rPr/>
        <w:t>such</w:t>
      </w:r>
      <w:r>
        <w:rPr>
          <w:spacing w:val="-3"/>
        </w:rPr>
        <w:t> </w:t>
      </w:r>
      <w:r>
        <w:rPr/>
        <w:t>that</w:t>
      </w:r>
      <w:r>
        <w:rPr>
          <w:spacing w:val="-3"/>
        </w:rPr>
        <w:t> </w:t>
      </w:r>
      <w:r>
        <w:rPr>
          <w:rFonts w:ascii="Consolas"/>
        </w:rPr>
        <w:t>BETADIST(</w:t>
      </w:r>
      <w:r>
        <w:rPr>
          <w:rFonts w:ascii="Times New Roman"/>
          <w:i/>
        </w:rPr>
        <w:t>x</w:t>
      </w:r>
      <w:r>
        <w:rPr/>
        <w:t>,</w:t>
      </w:r>
      <w:r>
        <w:rPr>
          <w:spacing w:val="-1"/>
        </w:rPr>
        <w:t> </w:t>
      </w:r>
      <w:r>
        <w:rPr>
          <w:rFonts w:ascii="Times New Roman"/>
          <w:i/>
        </w:rPr>
        <w:t>alpha</w:t>
      </w:r>
      <w:r>
        <w:rPr>
          <w:rFonts w:ascii="Consolas"/>
        </w:rPr>
        <w:t>,</w:t>
      </w:r>
      <w:r>
        <w:rPr>
          <w:rFonts w:ascii="Consolas"/>
          <w:spacing w:val="-72"/>
        </w:rPr>
        <w:t> </w:t>
      </w:r>
      <w:r>
        <w:rPr>
          <w:rFonts w:ascii="Times New Roman"/>
          <w:i/>
        </w:rPr>
        <w:t>beta</w:t>
      </w:r>
      <w:r>
        <w:rPr>
          <w:rFonts w:ascii="Consolas"/>
        </w:rPr>
        <w:t>, </w:t>
      </w:r>
      <w:r>
        <w:rPr>
          <w:rFonts w:ascii="Times New Roman"/>
          <w:i/>
        </w:rPr>
        <w:t>A</w:t>
      </w:r>
      <w:r>
        <w:rPr/>
        <w:t>,</w:t>
      </w:r>
      <w:r>
        <w:rPr>
          <w:spacing w:val="-1"/>
        </w:rPr>
        <w:t> </w:t>
      </w:r>
      <w:r>
        <w:rPr>
          <w:rFonts w:ascii="Times New Roman"/>
          <w:i/>
        </w:rPr>
        <w:t>B</w:t>
      </w:r>
      <w:r>
        <w:rPr>
          <w:rFonts w:ascii="Consolas"/>
        </w:rPr>
        <w:t>)</w:t>
      </w:r>
      <w:r>
        <w:rPr>
          <w:rFonts w:ascii="Consolas"/>
          <w:spacing w:val="-72"/>
        </w:rPr>
        <w:t> </w:t>
      </w:r>
      <w:r>
        <w:rPr/>
        <w:t>=</w:t>
      </w:r>
      <w:r>
        <w:rPr>
          <w:spacing w:val="1"/>
        </w:rPr>
        <w:t> </w:t>
      </w:r>
      <w:r>
        <w:rPr>
          <w:rFonts w:ascii="Times New Roman"/>
          <w:i/>
        </w:rPr>
        <w:t>probability</w:t>
      </w:r>
      <w:r>
        <w:rPr/>
        <w:t>.</w:t>
      </w:r>
      <w:r>
        <w:rPr>
          <w:spacing w:val="-3"/>
        </w:rPr>
        <w:t> </w:t>
      </w:r>
      <w:r>
        <w:rPr/>
        <w:t>Thus, precision</w:t>
      </w:r>
      <w:r>
        <w:rPr>
          <w:spacing w:val="-4"/>
        </w:rPr>
        <w:t> </w:t>
      </w:r>
      <w:r>
        <w:rPr/>
        <w:t>of</w:t>
      </w:r>
      <w:r>
        <w:rPr>
          <w:spacing w:val="-1"/>
        </w:rPr>
        <w:t> </w:t>
      </w:r>
      <w:r>
        <w:rPr>
          <w:rFonts w:ascii="Consolas"/>
        </w:rPr>
        <w:t>BETAINV</w:t>
      </w:r>
      <w:r>
        <w:rPr>
          <w:rFonts w:ascii="Consolas"/>
          <w:spacing w:val="-69"/>
        </w:rPr>
        <w:t> </w:t>
      </w:r>
      <w:r>
        <w:rPr/>
        <w:t>depends on</w:t>
      </w:r>
      <w:r>
        <w:rPr>
          <w:spacing w:val="-1"/>
        </w:rPr>
        <w:t> </w:t>
      </w:r>
      <w:r>
        <w:rPr/>
        <w:t>precision</w:t>
      </w:r>
      <w:r>
        <w:rPr>
          <w:spacing w:val="-4"/>
        </w:rPr>
        <w:t> </w:t>
      </w:r>
      <w:r>
        <w:rPr/>
        <w:t>of</w:t>
      </w:r>
      <w:r>
        <w:rPr>
          <w:spacing w:val="-1"/>
        </w:rPr>
        <w:t> </w:t>
      </w:r>
      <w:r>
        <w:rPr>
          <w:rFonts w:ascii="Consolas"/>
        </w:rPr>
        <w:t>BETADIST</w:t>
      </w:r>
      <w:r>
        <w:rPr/>
        <w:t>.</w:t>
      </w:r>
    </w:p>
    <w:p>
      <w:pPr>
        <w:pStyle w:val="Heading4"/>
        <w:spacing w:before="196"/>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probability associated with the beta distribution.</w:t>
            </w:r>
          </w:p>
        </w:tc>
      </w:tr>
      <w:tr>
        <w:trPr>
          <w:trHeight w:val="352" w:hRule="atLeast"/>
        </w:trPr>
        <w:tc>
          <w:tcPr>
            <w:tcW w:w="1466" w:type="dxa"/>
            <w:tcBorders>
              <w:bottom w:val="single" w:sz="6" w:space="0" w:color="000000"/>
            </w:tcBorders>
          </w:tcPr>
          <w:p>
            <w:pPr>
              <w:pStyle w:val="TableParagraph"/>
              <w:spacing w:before="37"/>
              <w:rPr>
                <w:rFonts w:ascii="Times New Roman"/>
                <w:i/>
                <w:sz w:val="22"/>
              </w:rPr>
            </w:pPr>
            <w:r>
              <w:rPr>
                <w:rFonts w:ascii="Times New Roman"/>
                <w:i/>
                <w:sz w:val="22"/>
              </w:rPr>
              <w:t>alpha</w:t>
            </w:r>
          </w:p>
        </w:tc>
        <w:tc>
          <w:tcPr>
            <w:tcW w:w="1800" w:type="dxa"/>
            <w:tcBorders>
              <w:bottom w:val="single" w:sz="6" w:space="0" w:color="000000"/>
            </w:tcBorders>
          </w:tcPr>
          <w:p>
            <w:pPr>
              <w:pStyle w:val="TableParagraph"/>
              <w:ind w:left="112"/>
              <w:rPr>
                <w:sz w:val="22"/>
              </w:rPr>
            </w:pPr>
            <w:r>
              <w:rPr>
                <w:sz w:val="22"/>
              </w:rPr>
              <w:t>number</w:t>
            </w:r>
          </w:p>
        </w:tc>
        <w:tc>
          <w:tcPr>
            <w:tcW w:w="5400" w:type="dxa"/>
            <w:tcBorders>
              <w:bottom w:val="single" w:sz="6" w:space="0" w:color="000000"/>
            </w:tcBorders>
          </w:tcPr>
          <w:p>
            <w:pPr>
              <w:pStyle w:val="TableParagraph"/>
              <w:ind w:left="113"/>
              <w:rPr>
                <w:sz w:val="22"/>
              </w:rPr>
            </w:pPr>
            <w:r>
              <w:rPr>
                <w:sz w:val="22"/>
              </w:rPr>
              <w:t>A parameter of the distribution.</w:t>
            </w:r>
          </w:p>
        </w:tc>
      </w:tr>
      <w:tr>
        <w:trPr>
          <w:trHeight w:val="350" w:hRule="atLeast"/>
        </w:trPr>
        <w:tc>
          <w:tcPr>
            <w:tcW w:w="1466" w:type="dxa"/>
            <w:tcBorders>
              <w:top w:val="single" w:sz="6" w:space="0" w:color="000000"/>
            </w:tcBorders>
          </w:tcPr>
          <w:p>
            <w:pPr>
              <w:pStyle w:val="TableParagraph"/>
              <w:spacing w:before="34"/>
              <w:rPr>
                <w:rFonts w:ascii="Times New Roman"/>
                <w:i/>
                <w:sz w:val="22"/>
              </w:rPr>
            </w:pPr>
            <w:r>
              <w:rPr>
                <w:rFonts w:ascii="Times New Roman"/>
                <w:i/>
                <w:sz w:val="22"/>
              </w:rPr>
              <w:t>beta</w:t>
            </w:r>
          </w:p>
        </w:tc>
        <w:tc>
          <w:tcPr>
            <w:tcW w:w="1800" w:type="dxa"/>
            <w:tcBorders>
              <w:top w:val="single" w:sz="6" w:space="0" w:color="000000"/>
            </w:tcBorders>
          </w:tcPr>
          <w:p>
            <w:pPr>
              <w:pStyle w:val="TableParagraph"/>
              <w:spacing w:before="37"/>
              <w:ind w:left="112"/>
              <w:rPr>
                <w:sz w:val="22"/>
              </w:rPr>
            </w:pPr>
            <w:r>
              <w:rPr>
                <w:sz w:val="22"/>
              </w:rPr>
              <w:t>number</w:t>
            </w:r>
          </w:p>
        </w:tc>
        <w:tc>
          <w:tcPr>
            <w:tcW w:w="5400" w:type="dxa"/>
            <w:tcBorders>
              <w:top w:val="single" w:sz="6" w:space="0" w:color="000000"/>
            </w:tcBorders>
          </w:tcPr>
          <w:p>
            <w:pPr>
              <w:pStyle w:val="TableParagraph"/>
              <w:spacing w:before="37"/>
              <w:ind w:left="113"/>
              <w:rPr>
                <w:sz w:val="22"/>
              </w:rPr>
            </w:pPr>
            <w:r>
              <w:rPr>
                <w:sz w:val="22"/>
              </w:rPr>
              <w:t>A parameter of the distribution.</w:t>
            </w:r>
          </w:p>
        </w:tc>
      </w:tr>
      <w:tr>
        <w:trPr>
          <w:trHeight w:val="623" w:hRule="atLeast"/>
        </w:trPr>
        <w:tc>
          <w:tcPr>
            <w:tcW w:w="1466" w:type="dxa"/>
          </w:tcPr>
          <w:p>
            <w:pPr>
              <w:pStyle w:val="TableParagraph"/>
              <w:spacing w:before="39"/>
              <w:rPr>
                <w:rFonts w:ascii="Times New Roman"/>
                <w:i/>
                <w:sz w:val="22"/>
              </w:rPr>
            </w:pPr>
            <w:r>
              <w:rPr>
                <w:rFonts w:ascii="Times New Roman"/>
                <w:i/>
                <w:w w:val="100"/>
                <w:sz w:val="22"/>
              </w:rPr>
              <w:t>A</w:t>
            </w:r>
          </w:p>
        </w:tc>
        <w:tc>
          <w:tcPr>
            <w:tcW w:w="1800" w:type="dxa"/>
          </w:tcPr>
          <w:p>
            <w:pPr>
              <w:pStyle w:val="TableParagraph"/>
              <w:spacing w:before="42"/>
              <w:ind w:left="112"/>
              <w:rPr>
                <w:sz w:val="22"/>
              </w:rPr>
            </w:pPr>
            <w:r>
              <w:rPr>
                <w:sz w:val="22"/>
              </w:rPr>
              <w:t>number</w:t>
            </w:r>
          </w:p>
        </w:tc>
        <w:tc>
          <w:tcPr>
            <w:tcW w:w="5400" w:type="dxa"/>
          </w:tcPr>
          <w:p>
            <w:pPr>
              <w:pStyle w:val="TableParagraph"/>
              <w:spacing w:line="237" w:lineRule="auto" w:before="44"/>
              <w:ind w:left="113" w:right="642"/>
              <w:rPr>
                <w:sz w:val="22"/>
              </w:rPr>
            </w:pPr>
            <w:r>
              <w:rPr>
                <w:sz w:val="22"/>
              </w:rPr>
              <w:t>The lower bound to the interval of </w:t>
            </w:r>
            <w:r>
              <w:rPr>
                <w:rFonts w:ascii="Times New Roman"/>
                <w:i/>
                <w:sz w:val="22"/>
              </w:rPr>
              <w:t>x</w:t>
            </w:r>
            <w:r>
              <w:rPr>
                <w:sz w:val="22"/>
              </w:rPr>
              <w:t>. If omitted, the lower bound is 0.</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B</w:t>
            </w:r>
          </w:p>
        </w:tc>
        <w:tc>
          <w:tcPr>
            <w:tcW w:w="1800" w:type="dxa"/>
          </w:tcPr>
          <w:p>
            <w:pPr>
              <w:pStyle w:val="TableParagraph"/>
              <w:ind w:left="112"/>
              <w:rPr>
                <w:sz w:val="22"/>
              </w:rPr>
            </w:pPr>
            <w:r>
              <w:rPr>
                <w:sz w:val="22"/>
              </w:rPr>
              <w:t>number</w:t>
            </w:r>
          </w:p>
        </w:tc>
        <w:tc>
          <w:tcPr>
            <w:tcW w:w="5400" w:type="dxa"/>
          </w:tcPr>
          <w:p>
            <w:pPr>
              <w:pStyle w:val="TableParagraph"/>
              <w:ind w:left="113" w:right="619"/>
              <w:rPr>
                <w:sz w:val="22"/>
              </w:rPr>
            </w:pPr>
            <w:r>
              <w:rPr>
                <w:sz w:val="22"/>
              </w:rPr>
              <w:t>The upper bound to the interval of </w:t>
            </w:r>
            <w:r>
              <w:rPr>
                <w:rFonts w:ascii="Times New Roman"/>
                <w:i/>
                <w:sz w:val="22"/>
              </w:rPr>
              <w:t>x</w:t>
            </w:r>
            <w:r>
              <w:rPr>
                <w:sz w:val="22"/>
              </w:rPr>
              <w:t>. If omitted, the upper bound is 1.</w:t>
            </w:r>
          </w:p>
        </w:tc>
      </w:tr>
    </w:tbl>
    <w:p>
      <w:pPr>
        <w:spacing w:after="0"/>
        <w:rPr>
          <w:sz w:val="22"/>
        </w:rPr>
        <w:sectPr>
          <w:pgSz w:w="12240" w:h="15840"/>
          <w:pgMar w:header="761" w:footer="746" w:top="1340" w:bottom="940" w:left="860" w:right="700"/>
        </w:sectPr>
      </w:pPr>
    </w:p>
    <w:p>
      <w:pPr>
        <w:pStyle w:val="BodyText"/>
        <w:spacing w:line="278" w:lineRule="auto" w:before="148"/>
        <w:ind w:left="220" w:right="1028"/>
      </w:pPr>
      <w:r>
        <w:rPr>
          <w:b/>
        </w:rPr>
        <w:t>Return Type and Value: </w:t>
      </w:r>
      <w:r>
        <w:rPr/>
        <w:t>number – The inverse of the cumulative distribution function for a specified beta distribution.</w:t>
      </w:r>
    </w:p>
    <w:p>
      <w:pPr>
        <w:pStyle w:val="BodyText"/>
        <w:spacing w:before="2"/>
        <w:rPr>
          <w:sz w:val="16"/>
        </w:rPr>
      </w:pPr>
    </w:p>
    <w:p>
      <w:pPr>
        <w:pStyle w:val="BodyText"/>
        <w:spacing w:before="1"/>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alpha </w:t>
      </w:r>
      <w:r>
        <w:rPr>
          <w:sz w:val="22"/>
        </w:rPr>
        <w:t>or </w:t>
      </w:r>
      <w:r>
        <w:rPr>
          <w:rFonts w:ascii="Times New Roman" w:hAnsi="Times New Roman"/>
          <w:i/>
          <w:sz w:val="22"/>
        </w:rPr>
        <w:t>beta </w:t>
      </w:r>
      <w:r>
        <w:rPr>
          <w:sz w:val="22"/>
        </w:rPr>
        <w:t>≤ 0,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probability </w:t>
      </w:r>
      <w:r>
        <w:rPr>
          <w:sz w:val="22"/>
        </w:rPr>
        <w:t>≤ 0 or </w:t>
      </w:r>
      <w:r>
        <w:rPr>
          <w:rFonts w:ascii="Times New Roman" w:hAnsi="Times New Roman"/>
          <w:i/>
          <w:sz w:val="22"/>
        </w:rPr>
        <w:t>probability </w:t>
      </w:r>
      <w:r>
        <w:rPr>
          <w:sz w:val="22"/>
        </w:rPr>
        <w:t>≥ 1, </w:t>
      </w:r>
      <w:r>
        <w:rPr>
          <w:rFonts w:ascii="Consolas" w:hAnsi="Consolas"/>
          <w:sz w:val="22"/>
        </w:rPr>
        <w:t>#NUM!</w:t>
      </w:r>
      <w:r>
        <w:rPr>
          <w:rFonts w:ascii="Consolas" w:hAnsi="Consolas"/>
          <w:spacing w:val="-80"/>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A ≥ B</w:t>
      </w:r>
      <w:r>
        <w:rPr>
          <w:sz w:val="22"/>
        </w:rPr>
        <w:t>,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278" w:lineRule="auto" w:before="39" w:after="0"/>
        <w:ind w:left="940" w:right="1134" w:hanging="360"/>
        <w:jc w:val="left"/>
        <w:rPr>
          <w:sz w:val="22"/>
        </w:rPr>
      </w:pPr>
      <w:r>
        <w:rPr>
          <w:sz w:val="22"/>
        </w:rPr>
        <w:t>The search has not converged after some implementation-defined number of iterations, </w:t>
      </w:r>
      <w:r>
        <w:rPr>
          <w:rFonts w:ascii="Consolas" w:hAnsi="Consolas"/>
          <w:sz w:val="22"/>
        </w:rPr>
        <w:t>#N/A</w:t>
      </w:r>
      <w:r>
        <w:rPr>
          <w:rFonts w:ascii="Consolas" w:hAnsi="Consolas"/>
          <w:spacing w:val="-98"/>
          <w:sz w:val="22"/>
        </w:rPr>
        <w:t> </w:t>
      </w:r>
      <w:r>
        <w:rPr>
          <w:sz w:val="22"/>
        </w:rPr>
        <w:t>is returned.</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4997"/>
        <w:rPr>
          <w:rFonts w:ascii="Consolas"/>
        </w:rPr>
      </w:pPr>
      <w:r>
        <w:rPr>
          <w:rFonts w:ascii="Consolas"/>
        </w:rPr>
        <w:t>BETAINV(0.5,1,2) </w:t>
      </w:r>
      <w:r>
        <w:rPr/>
        <w:t>results in </w:t>
      </w:r>
      <w:r>
        <w:rPr>
          <w:rFonts w:ascii="Consolas"/>
        </w:rPr>
        <w:t>0.29289341 BETAINV(0.5,1,2,-4.5,7.3)</w:t>
      </w:r>
      <w:r>
        <w:rPr>
          <w:rFonts w:ascii="Consolas"/>
          <w:spacing w:val="-70"/>
        </w:rPr>
        <w:t> </w:t>
      </w:r>
      <w:r>
        <w:rPr/>
        <w:t>results in </w:t>
      </w:r>
      <w:r>
        <w:rPr>
          <w:rFonts w:ascii="Consolas"/>
        </w:rPr>
        <w:t>-1.043857765 BETAINV(0.5,1,2,,2.3) </w:t>
      </w:r>
      <w:r>
        <w:rPr/>
        <w:t>results in </w:t>
      </w:r>
      <w:r>
        <w:rPr>
          <w:rFonts w:ascii="Consolas"/>
        </w:rPr>
        <w:t>0.673654842</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 BIN2DEC" w:id="1479"/>
      <w:bookmarkEnd w:id="1479"/>
      <w:r>
        <w:rPr/>
      </w:r>
      <w:bookmarkStart w:name="_bookmark492" w:id="1480"/>
      <w:bookmarkEnd w:id="1480"/>
      <w:r>
        <w:rPr/>
      </w:r>
      <w:bookmarkStart w:name="_bookmark492" w:id="1481"/>
      <w:bookmarkEnd w:id="1481"/>
      <w:r>
        <w:rPr>
          <w:color w:val="4F81BC"/>
        </w:rPr>
        <w:t>B</w:t>
      </w:r>
      <w:r>
        <w:rPr>
          <w:color w:val="4F81BC"/>
        </w:rPr>
        <w:t>IN2DEC</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BIN2DEC ( </w:t>
      </w:r>
      <w:r>
        <w:rPr>
          <w:i/>
          <w:sz w:val="22"/>
        </w:rPr>
        <w:t>number </w:t>
      </w:r>
      <w:r>
        <w:rPr>
          <w:rFonts w:ascii="Lucida Console"/>
          <w:sz w:val="20"/>
        </w:rPr>
        <w:t>)</w:t>
      </w:r>
    </w:p>
    <w:p>
      <w:pPr>
        <w:spacing w:before="108"/>
        <w:ind w:left="220" w:right="0" w:firstLine="0"/>
        <w:jc w:val="left"/>
        <w:rPr>
          <w:sz w:val="22"/>
        </w:rPr>
      </w:pPr>
      <w:r>
        <w:rPr>
          <w:b/>
          <w:sz w:val="22"/>
        </w:rPr>
        <w:t>Description: </w:t>
      </w:r>
      <w:r>
        <w:rPr>
          <w:sz w:val="22"/>
        </w:rPr>
        <w:t>Makes the decimal equivalent of </w:t>
      </w:r>
      <w:r>
        <w:rPr>
          <w:rFonts w:ascii="Times New Roman"/>
          <w:i/>
          <w:sz w:val="22"/>
        </w:rPr>
        <w:t>number</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8"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87"/>
              <w:rPr>
                <w:sz w:val="22"/>
              </w:rPr>
            </w:pPr>
            <w:r>
              <w:rPr>
                <w:sz w:val="22"/>
              </w:rPr>
              <w:t>A 10-digit binary number that is to be converted to a decimal number. If </w:t>
            </w:r>
            <w:r>
              <w:rPr>
                <w:rFonts w:ascii="Times New Roman"/>
                <w:i/>
                <w:sz w:val="22"/>
              </w:rPr>
              <w:t>number </w:t>
            </w:r>
            <w:r>
              <w:rPr>
                <w:sz w:val="22"/>
              </w:rPr>
              <w:t>has less than 10 digits, leading zero digits are implied until it has exactly 10 digits. The</w:t>
            </w:r>
          </w:p>
          <w:p>
            <w:pPr>
              <w:pStyle w:val="TableParagraph"/>
              <w:spacing w:before="0"/>
              <w:ind w:left="113" w:right="297"/>
              <w:rPr>
                <w:sz w:val="22"/>
              </w:rPr>
            </w:pPr>
            <w:r>
              <w:rPr>
                <w:sz w:val="22"/>
              </w:rPr>
              <w:t>10 digits use twos-complement representation with the left-most bit (10th bit from the right) representing the sign bit.</w:t>
            </w:r>
          </w:p>
        </w:tc>
      </w:tr>
    </w:tbl>
    <w:p>
      <w:pPr>
        <w:pStyle w:val="BodyText"/>
        <w:rPr>
          <w:b/>
        </w:rPr>
      </w:pPr>
    </w:p>
    <w:p>
      <w:pPr>
        <w:pStyle w:val="BodyText"/>
        <w:spacing w:before="7"/>
        <w:rPr>
          <w:b/>
          <w:sz w:val="19"/>
        </w:rPr>
      </w:pPr>
    </w:p>
    <w:p>
      <w:pPr>
        <w:spacing w:line="456" w:lineRule="auto" w:before="0"/>
        <w:ind w:left="220" w:right="4241" w:firstLine="0"/>
        <w:jc w:val="left"/>
        <w:rPr>
          <w:sz w:val="22"/>
        </w:rPr>
      </w:pPr>
      <w:r>
        <w:rPr>
          <w:b/>
          <w:sz w:val="22"/>
        </w:rPr>
        <w:t>Return Type and Value: </w:t>
      </w:r>
      <w:r>
        <w:rPr>
          <w:sz w:val="22"/>
        </w:rPr>
        <w:t>number – The decimal equivalent of </w:t>
      </w:r>
      <w:r>
        <w:rPr>
          <w:rFonts w:ascii="Times New Roman" w:hAnsi="Times New Roman"/>
          <w:i/>
          <w:sz w:val="22"/>
        </w:rPr>
        <w:t>number</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number </w:t>
      </w:r>
      <w:r>
        <w:rPr>
          <w:sz w:val="22"/>
        </w:rPr>
        <w:t>contains one or more non-binary digits,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78" w:lineRule="auto" w:before="39" w:after="0"/>
        <w:ind w:left="940" w:right="823" w:hanging="360"/>
        <w:jc w:val="left"/>
        <w:rPr>
          <w:sz w:val="22"/>
        </w:rPr>
      </w:pPr>
      <w:r>
        <w:rPr>
          <w:rFonts w:ascii="Times New Roman" w:hAnsi="Times New Roman"/>
          <w:i/>
          <w:sz w:val="22"/>
        </w:rPr>
        <w:t>number</w:t>
      </w:r>
      <w:r>
        <w:rPr>
          <w:rFonts w:ascii="Times New Roman" w:hAnsi="Times New Roman"/>
          <w:i/>
          <w:spacing w:val="-6"/>
          <w:sz w:val="22"/>
        </w:rPr>
        <w:t> </w:t>
      </w:r>
      <w:r>
        <w:rPr>
          <w:sz w:val="22"/>
        </w:rPr>
        <w:t>contains</w:t>
      </w:r>
      <w:r>
        <w:rPr>
          <w:spacing w:val="-4"/>
          <w:sz w:val="22"/>
        </w:rPr>
        <w:t> </w:t>
      </w:r>
      <w:r>
        <w:rPr>
          <w:sz w:val="22"/>
        </w:rPr>
        <w:t>more</w:t>
      </w:r>
      <w:r>
        <w:rPr>
          <w:spacing w:val="-3"/>
          <w:sz w:val="22"/>
        </w:rPr>
        <w:t> </w:t>
      </w:r>
      <w:r>
        <w:rPr>
          <w:sz w:val="22"/>
        </w:rPr>
        <w:t>than</w:t>
      </w:r>
      <w:r>
        <w:rPr>
          <w:spacing w:val="-2"/>
          <w:sz w:val="22"/>
        </w:rPr>
        <w:t> </w:t>
      </w:r>
      <w:r>
        <w:rPr>
          <w:sz w:val="22"/>
        </w:rPr>
        <w:t>10</w:t>
      </w:r>
      <w:r>
        <w:rPr>
          <w:spacing w:val="1"/>
          <w:sz w:val="22"/>
        </w:rPr>
        <w:t> </w:t>
      </w:r>
      <w:r>
        <w:rPr>
          <w:sz w:val="22"/>
        </w:rPr>
        <w:t>binary</w:t>
      </w:r>
      <w:r>
        <w:rPr>
          <w:spacing w:val="-2"/>
          <w:sz w:val="22"/>
        </w:rPr>
        <w:t> </w:t>
      </w:r>
      <w:r>
        <w:rPr>
          <w:sz w:val="22"/>
        </w:rPr>
        <w:t>digits;</w:t>
      </w:r>
      <w:r>
        <w:rPr>
          <w:spacing w:val="-1"/>
          <w:sz w:val="22"/>
        </w:rPr>
        <w:t> </w:t>
      </w:r>
      <w:r>
        <w:rPr>
          <w:sz w:val="22"/>
        </w:rPr>
        <w:t>that</w:t>
      </w:r>
      <w:r>
        <w:rPr>
          <w:spacing w:val="-4"/>
          <w:sz w:val="22"/>
        </w:rPr>
        <w:t> </w:t>
      </w:r>
      <w:r>
        <w:rPr>
          <w:sz w:val="22"/>
        </w:rPr>
        <w:t>is, </w:t>
      </w:r>
      <w:r>
        <w:rPr>
          <w:rFonts w:ascii="Times New Roman" w:hAnsi="Times New Roman"/>
          <w:i/>
          <w:sz w:val="22"/>
        </w:rPr>
        <w:t>number</w:t>
      </w:r>
      <w:r>
        <w:rPr>
          <w:rFonts w:ascii="Times New Roman" w:hAnsi="Times New Roman"/>
          <w:i/>
          <w:spacing w:val="-5"/>
          <w:sz w:val="22"/>
        </w:rPr>
        <w:t> </w:t>
      </w:r>
      <w:r>
        <w:rPr>
          <w:sz w:val="22"/>
        </w:rPr>
        <w:t>is</w:t>
      </w:r>
      <w:r>
        <w:rPr>
          <w:spacing w:val="-3"/>
          <w:sz w:val="22"/>
        </w:rPr>
        <w:t> </w:t>
      </w:r>
      <w:r>
        <w:rPr>
          <w:sz w:val="22"/>
        </w:rPr>
        <w:t>outside</w:t>
      </w:r>
      <w:r>
        <w:rPr>
          <w:spacing w:val="-1"/>
          <w:sz w:val="22"/>
        </w:rPr>
        <w:t> </w:t>
      </w:r>
      <w:r>
        <w:rPr>
          <w:sz w:val="22"/>
        </w:rPr>
        <w:t>the</w:t>
      </w:r>
      <w:r>
        <w:rPr>
          <w:spacing w:val="-4"/>
          <w:sz w:val="22"/>
        </w:rPr>
        <w:t> </w:t>
      </w:r>
      <w:r>
        <w:rPr>
          <w:sz w:val="22"/>
        </w:rPr>
        <w:t>range</w:t>
      </w:r>
      <w:r>
        <w:rPr>
          <w:spacing w:val="-3"/>
          <w:sz w:val="22"/>
        </w:rPr>
        <w:t> </w:t>
      </w:r>
      <w:r>
        <w:rPr>
          <w:rFonts w:ascii="Consolas" w:hAnsi="Consolas"/>
          <w:sz w:val="22"/>
        </w:rPr>
        <w:t>1000000000</w:t>
      </w:r>
      <w:r>
        <w:rPr>
          <w:rFonts w:ascii="Consolas" w:hAnsi="Consolas"/>
          <w:spacing w:val="-69"/>
          <w:sz w:val="22"/>
        </w:rPr>
        <w:t> </w:t>
      </w:r>
      <w:r>
        <w:rPr>
          <w:sz w:val="22"/>
        </w:rPr>
        <w:t>(-512 decimal)</w:t>
      </w:r>
      <w:r>
        <w:rPr>
          <w:spacing w:val="-4"/>
          <w:sz w:val="22"/>
        </w:rPr>
        <w:t> </w:t>
      </w:r>
      <w:r>
        <w:rPr>
          <w:sz w:val="22"/>
        </w:rPr>
        <w:t>to</w:t>
      </w:r>
      <w:r>
        <w:rPr>
          <w:spacing w:val="-1"/>
          <w:sz w:val="22"/>
        </w:rPr>
        <w:t> </w:t>
      </w:r>
      <w:r>
        <w:rPr>
          <w:rFonts w:ascii="Consolas" w:hAnsi="Consolas"/>
          <w:sz w:val="22"/>
        </w:rPr>
        <w:t>0111111111</w:t>
      </w:r>
      <w:r>
        <w:rPr>
          <w:rFonts w:ascii="Consolas" w:hAnsi="Consolas"/>
          <w:spacing w:val="-68"/>
          <w:sz w:val="22"/>
        </w:rPr>
        <w:t> </w:t>
      </w:r>
      <w:r>
        <w:rPr>
          <w:sz w:val="22"/>
        </w:rPr>
        <w:t>(511 decimal),</w:t>
      </w:r>
      <w:r>
        <w:rPr>
          <w:spacing w:val="-4"/>
          <w:sz w:val="22"/>
        </w:rPr>
        <w:t> </w:t>
      </w:r>
      <w:r>
        <w:rPr>
          <w:sz w:val="22"/>
        </w:rPr>
        <w:t>inclusive,</w:t>
      </w:r>
      <w:r>
        <w:rPr>
          <w:spacing w:val="-2"/>
          <w:sz w:val="22"/>
        </w:rPr>
        <w:t> </w:t>
      </w:r>
      <w:r>
        <w:rPr>
          <w:rFonts w:ascii="Consolas" w:hAnsi="Consolas"/>
          <w:sz w:val="22"/>
        </w:rPr>
        <w:t>#NUM!</w:t>
      </w:r>
      <w:r>
        <w:rPr>
          <w:rFonts w:ascii="Consolas" w:hAnsi="Consolas"/>
          <w:spacing w:val="-69"/>
          <w:sz w:val="22"/>
        </w:rPr>
        <w:t> </w:t>
      </w:r>
      <w:r>
        <w:rPr>
          <w:sz w:val="22"/>
        </w:rPr>
        <w:t>is returned.</w:t>
      </w:r>
    </w:p>
    <w:p>
      <w:pPr>
        <w:spacing w:after="0" w:line="278"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6760"/>
        <w:rPr>
          <w:rFonts w:ascii="Consolas"/>
        </w:rPr>
      </w:pPr>
      <w:r>
        <w:rPr>
          <w:rFonts w:ascii="Consolas"/>
        </w:rPr>
        <w:t>BIN2DEC(111) </w:t>
      </w:r>
      <w:r>
        <w:rPr/>
        <w:t>results in </w:t>
      </w:r>
      <w:r>
        <w:rPr>
          <w:rFonts w:ascii="Consolas"/>
        </w:rPr>
        <w:t>7 BIN2DEC(11111111) </w:t>
      </w:r>
      <w:r>
        <w:rPr/>
        <w:t>results in </w:t>
      </w:r>
      <w:r>
        <w:rPr>
          <w:rFonts w:ascii="Consolas"/>
        </w:rPr>
        <w:t>255 BIN2DEC(1111111110) </w:t>
      </w:r>
      <w:r>
        <w:rPr/>
        <w:t>results in </w:t>
      </w:r>
      <w:r>
        <w:rPr>
          <w:rFonts w:ascii="Consolas"/>
        </w:rPr>
        <w:t>-2 BIN2DEC(1000000000)</w:t>
      </w:r>
      <w:r>
        <w:rPr>
          <w:rFonts w:ascii="Consolas"/>
          <w:spacing w:val="-87"/>
        </w:rPr>
        <w:t> </w:t>
      </w:r>
      <w:r>
        <w:rPr/>
        <w:t>results in </w:t>
      </w:r>
      <w:r>
        <w:rPr>
          <w:rFonts w:ascii="Consolas"/>
        </w:rPr>
        <w:t>-512</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 BIN2HEX" w:id="1482"/>
      <w:bookmarkEnd w:id="1482"/>
      <w:r>
        <w:rPr/>
      </w:r>
      <w:bookmarkStart w:name="_bookmark493" w:id="1483"/>
      <w:bookmarkEnd w:id="1483"/>
      <w:r>
        <w:rPr/>
      </w:r>
      <w:bookmarkStart w:name="_bookmark493" w:id="1484"/>
      <w:bookmarkEnd w:id="1484"/>
      <w:r>
        <w:rPr>
          <w:color w:val="4F81BC"/>
        </w:rPr>
        <w:t>B</w:t>
      </w:r>
      <w:r>
        <w:rPr>
          <w:color w:val="4F81BC"/>
        </w:rPr>
        <w:t>IN2HEX</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BIN2HEX ( </w:t>
      </w:r>
      <w:r>
        <w:rPr>
          <w:i/>
          <w:sz w:val="22"/>
        </w:rPr>
        <w:t>number </w:t>
      </w:r>
      <w:r>
        <w:rPr>
          <w:sz w:val="22"/>
        </w:rPr>
        <w:t>[ </w:t>
      </w:r>
      <w:r>
        <w:rPr>
          <w:rFonts w:ascii="Lucida Console"/>
          <w:sz w:val="20"/>
        </w:rPr>
        <w:t>, </w:t>
      </w:r>
      <w:r>
        <w:rPr>
          <w:i/>
          <w:sz w:val="22"/>
        </w:rPr>
        <w:t>num-hex-digits </w:t>
      </w:r>
      <w:r>
        <w:rPr>
          <w:sz w:val="22"/>
        </w:rPr>
        <w:t>] </w:t>
      </w:r>
      <w:r>
        <w:rPr>
          <w:rFonts w:ascii="Lucida Console"/>
          <w:sz w:val="20"/>
        </w:rPr>
        <w:t>)</w:t>
      </w:r>
    </w:p>
    <w:p>
      <w:pPr>
        <w:spacing w:before="106"/>
        <w:ind w:left="220" w:right="0" w:firstLine="0"/>
        <w:jc w:val="left"/>
        <w:rPr>
          <w:rFonts w:ascii="Times New Roman"/>
          <w:i/>
          <w:sz w:val="22"/>
        </w:rPr>
      </w:pPr>
      <w:r>
        <w:rPr>
          <w:b/>
          <w:sz w:val="22"/>
        </w:rPr>
        <w:t>Description: </w:t>
      </w:r>
      <w:r>
        <w:rPr>
          <w:sz w:val="22"/>
        </w:rPr>
        <w:t>Makes the uppercase hexadecimal equivalent of </w:t>
      </w:r>
      <w:r>
        <w:rPr>
          <w:rFonts w:ascii="Times New Roman"/>
          <w:i/>
          <w:sz w:val="22"/>
        </w:rPr>
        <w:t>number</w:t>
      </w:r>
      <w:r>
        <w:rPr>
          <w:sz w:val="22"/>
        </w:rPr>
        <w:t>, with the result having </w:t>
      </w:r>
      <w:r>
        <w:rPr>
          <w:rFonts w:ascii="Times New Roman"/>
          <w:i/>
          <w:sz w:val="22"/>
        </w:rPr>
        <w:t>num-hex-digits</w:t>
      </w:r>
    </w:p>
    <w:p>
      <w:pPr>
        <w:pStyle w:val="BodyText"/>
        <w:spacing w:before="43"/>
        <w:ind w:left="220"/>
      </w:pPr>
      <w:r>
        <w:rPr/>
        <w:t>digits.</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6"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567"/>
              <w:jc w:val="both"/>
              <w:rPr>
                <w:sz w:val="22"/>
              </w:rPr>
            </w:pPr>
            <w:r>
              <w:rPr>
                <w:sz w:val="22"/>
              </w:rPr>
              <w:t>A 10-digit binary number that is to be converted to a hexadecimal string. If </w:t>
            </w:r>
            <w:r>
              <w:rPr>
                <w:rFonts w:ascii="Times New Roman"/>
                <w:i/>
                <w:sz w:val="22"/>
              </w:rPr>
              <w:t>number </w:t>
            </w:r>
            <w:r>
              <w:rPr>
                <w:sz w:val="22"/>
              </w:rPr>
              <w:t>has less than 10 digits, leading zero digits are implied until it has exactly</w:t>
            </w:r>
          </w:p>
          <w:p>
            <w:pPr>
              <w:pStyle w:val="TableParagraph"/>
              <w:spacing w:before="0"/>
              <w:ind w:left="113" w:right="317"/>
              <w:rPr>
                <w:sz w:val="22"/>
              </w:rPr>
            </w:pPr>
            <w:r>
              <w:rPr>
                <w:sz w:val="22"/>
              </w:rPr>
              <w:t>10 digits. The 10 digits use twos-complement representation with the left-most bit (10th bit from the right) representing the sign bit.</w:t>
            </w:r>
          </w:p>
        </w:tc>
      </w:tr>
      <w:tr>
        <w:trPr>
          <w:trHeight w:val="1698" w:hRule="atLeast"/>
        </w:trPr>
        <w:tc>
          <w:tcPr>
            <w:tcW w:w="1466" w:type="dxa"/>
          </w:tcPr>
          <w:p>
            <w:pPr>
              <w:pStyle w:val="TableParagraph"/>
              <w:spacing w:before="37"/>
              <w:ind w:right="490"/>
              <w:rPr>
                <w:rFonts w:ascii="Times New Roman"/>
                <w:i/>
                <w:sz w:val="22"/>
              </w:rPr>
            </w:pPr>
            <w:r>
              <w:rPr>
                <w:rFonts w:ascii="Times New Roman"/>
                <w:i/>
                <w:sz w:val="22"/>
              </w:rPr>
              <w:t>num-hex-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123"/>
              <w:rPr>
                <w:sz w:val="22"/>
              </w:rPr>
            </w:pPr>
            <w:r>
              <w:rPr>
                <w:sz w:val="22"/>
              </w:rPr>
              <w:t>The number of digits in the result, with leading zeros added as necessary. However, if </w:t>
            </w:r>
            <w:r>
              <w:rPr>
                <w:rFonts w:ascii="Times New Roman"/>
                <w:i/>
                <w:sz w:val="22"/>
              </w:rPr>
              <w:t>number </w:t>
            </w:r>
            <w:r>
              <w:rPr>
                <w:sz w:val="22"/>
              </w:rPr>
              <w:t>is negative, </w:t>
            </w:r>
            <w:r>
              <w:rPr>
                <w:rFonts w:ascii="Times New Roman"/>
                <w:i/>
                <w:sz w:val="22"/>
              </w:rPr>
              <w:t>num- </w:t>
            </w:r>
            <w:r>
              <w:rPr>
                <w:rFonts w:ascii="Times New Roman"/>
                <w:i/>
                <w:sz w:val="22"/>
              </w:rPr>
              <w:t>hex-digits </w:t>
            </w:r>
            <w:r>
              <w:rPr>
                <w:sz w:val="22"/>
              </w:rPr>
              <w:t>is ignored and the result has 10 digits. If </w:t>
            </w:r>
            <w:r>
              <w:rPr>
                <w:rFonts w:ascii="Times New Roman"/>
                <w:i/>
                <w:sz w:val="22"/>
              </w:rPr>
              <w:t>num- </w:t>
            </w:r>
            <w:r>
              <w:rPr>
                <w:rFonts w:ascii="Times New Roman"/>
                <w:i/>
                <w:sz w:val="22"/>
              </w:rPr>
              <w:t>hex-digits </w:t>
            </w:r>
            <w:r>
              <w:rPr>
                <w:sz w:val="22"/>
              </w:rPr>
              <w:t>is omitted, the minimum number of digits is used in the result. </w:t>
            </w:r>
            <w:r>
              <w:rPr>
                <w:rFonts w:ascii="Times New Roman"/>
                <w:i/>
                <w:sz w:val="22"/>
              </w:rPr>
              <w:t>num-hex-digits </w:t>
            </w:r>
            <w:r>
              <w:rPr>
                <w:sz w:val="22"/>
              </w:rPr>
              <w:t>is truncated to an integer.</w:t>
            </w:r>
          </w:p>
        </w:tc>
      </w:tr>
    </w:tbl>
    <w:p>
      <w:pPr>
        <w:pStyle w:val="BodyText"/>
        <w:rPr>
          <w:b/>
        </w:rPr>
      </w:pPr>
    </w:p>
    <w:p>
      <w:pPr>
        <w:pStyle w:val="BodyText"/>
        <w:spacing w:before="7"/>
        <w:rPr>
          <w:b/>
          <w:sz w:val="19"/>
        </w:rPr>
      </w:pPr>
    </w:p>
    <w:p>
      <w:pPr>
        <w:spacing w:line="453" w:lineRule="auto" w:before="0"/>
        <w:ind w:left="220" w:right="3196" w:firstLine="0"/>
        <w:jc w:val="left"/>
        <w:rPr>
          <w:sz w:val="22"/>
        </w:rPr>
      </w:pPr>
      <w:r>
        <w:rPr>
          <w:b/>
          <w:sz w:val="22"/>
        </w:rPr>
        <w:t>Return Type and Value: </w:t>
      </w:r>
      <w:r>
        <w:rPr>
          <w:sz w:val="22"/>
        </w:rPr>
        <w:t>text – The uppercase hexadecimal equivalent of </w:t>
      </w:r>
      <w:r>
        <w:rPr>
          <w:rFonts w:ascii="Times New Roman" w:hAnsi="Times New Roman"/>
          <w:i/>
          <w:sz w:val="22"/>
        </w:rPr>
        <w:t>number</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number </w:t>
      </w:r>
      <w:r>
        <w:rPr>
          <w:sz w:val="22"/>
        </w:rPr>
        <w:t>contains one or more non-binary digits,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number </w:t>
      </w:r>
      <w:r>
        <w:rPr>
          <w:sz w:val="22"/>
        </w:rPr>
        <w:t>contains more than 10 binary digits; that is, </w:t>
      </w:r>
      <w:r>
        <w:rPr>
          <w:rFonts w:ascii="Times New Roman" w:hAnsi="Times New Roman"/>
          <w:i/>
          <w:sz w:val="22"/>
        </w:rPr>
        <w:t>number </w:t>
      </w:r>
      <w:r>
        <w:rPr>
          <w:sz w:val="22"/>
        </w:rPr>
        <w:t>is outside the range </w:t>
      </w:r>
      <w:r>
        <w:rPr>
          <w:rFonts w:ascii="Consolas" w:hAnsi="Consolas"/>
          <w:sz w:val="22"/>
        </w:rPr>
        <w:t>1000000000</w:t>
      </w:r>
      <w:r>
        <w:rPr>
          <w:rFonts w:ascii="Consolas" w:hAnsi="Consolas"/>
          <w:spacing w:val="-101"/>
          <w:sz w:val="22"/>
        </w:rPr>
        <w:t> </w:t>
      </w:r>
      <w:r>
        <w:rPr>
          <w:sz w:val="22"/>
        </w:rPr>
        <w:t>(200 hex,</w:t>
      </w:r>
    </w:p>
    <w:p>
      <w:pPr>
        <w:pStyle w:val="BodyText"/>
        <w:spacing w:before="41"/>
        <w:ind w:left="940"/>
      </w:pPr>
      <w:r>
        <w:rPr/>
        <w:t>-512 decimal) to </w:t>
      </w:r>
      <w:r>
        <w:rPr>
          <w:rFonts w:ascii="Consolas"/>
        </w:rPr>
        <w:t>0111111111</w:t>
      </w:r>
      <w:r>
        <w:rPr>
          <w:rFonts w:ascii="Consolas"/>
          <w:spacing w:val="-69"/>
        </w:rPr>
        <w:t> </w:t>
      </w:r>
      <w:r>
        <w:rPr/>
        <w:t>(1FF hex, 511 decimal), inclusive, </w:t>
      </w:r>
      <w:r>
        <w:rPr>
          <w:rFonts w:ascii="Consolas"/>
        </w:rPr>
        <w:t>#NUM!</w:t>
      </w:r>
      <w:r>
        <w:rPr>
          <w:rFonts w:ascii="Consolas"/>
          <w:spacing w:val="-70"/>
        </w:rPr>
        <w:t> </w:t>
      </w:r>
      <w:r>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num-hex-digits</w:t>
      </w:r>
      <w:r>
        <w:rPr>
          <w:sz w:val="22"/>
        </w:rPr>
        <w:t>,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num-hex-digits </w:t>
      </w:r>
      <w:r>
        <w:rPr>
          <w:sz w:val="22"/>
        </w:rPr>
        <w:t>≤ 0 or &gt; 10, </w:t>
      </w:r>
      <w:r>
        <w:rPr>
          <w:rFonts w:ascii="Consolas" w:hAnsi="Consolas"/>
          <w:sz w:val="22"/>
        </w:rPr>
        <w:t>#NUM!</w:t>
      </w:r>
      <w:r>
        <w:rPr>
          <w:rFonts w:ascii="Consolas" w:hAnsi="Consolas"/>
          <w:spacing w:val="-88"/>
          <w:sz w:val="22"/>
        </w:rPr>
        <w:t> </w:t>
      </w:r>
      <w:r>
        <w:rPr>
          <w:sz w:val="22"/>
        </w:rPr>
        <w:t>is returned.</w:t>
      </w:r>
    </w:p>
    <w:p>
      <w:pPr>
        <w:spacing w:after="0" w:line="240" w:lineRule="auto"/>
        <w:jc w:val="left"/>
        <w:rPr>
          <w:sz w:val="22"/>
        </w:rPr>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before="1"/>
        <w:ind w:left="220" w:right="7482"/>
        <w:rPr>
          <w:rFonts w:ascii="Consolas"/>
        </w:rPr>
      </w:pPr>
      <w:r>
        <w:rPr>
          <w:rFonts w:ascii="Consolas"/>
        </w:rPr>
        <w:t>BIN2HEX(1) </w:t>
      </w:r>
      <w:r>
        <w:rPr/>
        <w:t>results in </w:t>
      </w:r>
      <w:r>
        <w:rPr>
          <w:rFonts w:ascii="Consolas"/>
        </w:rPr>
        <w:t>1 BIN2HEX(1,4) </w:t>
      </w:r>
      <w:r>
        <w:rPr/>
        <w:t>results in </w:t>
      </w:r>
      <w:r>
        <w:rPr>
          <w:rFonts w:ascii="Consolas"/>
        </w:rPr>
        <w:t>0001 BIN2HEX(111111)</w:t>
      </w:r>
      <w:r>
        <w:rPr>
          <w:rFonts w:ascii="Consolas"/>
          <w:spacing w:val="-83"/>
        </w:rPr>
        <w:t> </w:t>
      </w:r>
      <w:r>
        <w:rPr/>
        <w:t>results in </w:t>
      </w:r>
      <w:r>
        <w:rPr>
          <w:rFonts w:ascii="Consolas"/>
        </w:rPr>
        <w:t>3F</w:t>
      </w:r>
    </w:p>
    <w:p>
      <w:pPr>
        <w:pStyle w:val="BodyText"/>
        <w:spacing w:line="276" w:lineRule="auto"/>
        <w:ind w:left="220" w:right="5792"/>
        <w:rPr>
          <w:rFonts w:ascii="Consolas"/>
        </w:rPr>
      </w:pPr>
      <w:r>
        <w:rPr>
          <w:rFonts w:ascii="Consolas"/>
        </w:rPr>
        <w:t>BIN2HEX(1111000000) </w:t>
      </w:r>
      <w:r>
        <w:rPr/>
        <w:t>results in </w:t>
      </w:r>
      <w:r>
        <w:rPr>
          <w:rFonts w:ascii="Consolas"/>
        </w:rPr>
        <w:t>FFFFFFFFC0 BIN2HEX(1000000000,3)</w:t>
      </w:r>
      <w:r>
        <w:rPr>
          <w:rFonts w:ascii="Consolas"/>
          <w:spacing w:val="-87"/>
        </w:rPr>
        <w:t> </w:t>
      </w:r>
      <w:r>
        <w:rPr/>
        <w:t>results in </w:t>
      </w:r>
      <w:r>
        <w:rPr>
          <w:rFonts w:ascii="Consolas"/>
        </w:rPr>
        <w:t>FFFFFFFE00</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 BIN2OCT" w:id="1485"/>
      <w:bookmarkEnd w:id="1485"/>
      <w:r>
        <w:rPr/>
      </w:r>
      <w:bookmarkStart w:name="_bookmark494" w:id="1486"/>
      <w:bookmarkEnd w:id="1486"/>
      <w:r>
        <w:rPr/>
      </w:r>
      <w:bookmarkStart w:name="_bookmark494" w:id="1487"/>
      <w:bookmarkEnd w:id="1487"/>
      <w:r>
        <w:rPr>
          <w:color w:val="4F81BC"/>
        </w:rPr>
        <w:t>B</w:t>
      </w:r>
      <w:r>
        <w:rPr>
          <w:color w:val="4F81BC"/>
        </w:rPr>
        <w:t>IN2OCT</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BIN2OCT ( </w:t>
      </w:r>
      <w:r>
        <w:rPr>
          <w:i/>
          <w:sz w:val="22"/>
        </w:rPr>
        <w:t>number </w:t>
      </w:r>
      <w:r>
        <w:rPr>
          <w:sz w:val="22"/>
        </w:rPr>
        <w:t>[ </w:t>
      </w:r>
      <w:r>
        <w:rPr>
          <w:rFonts w:ascii="Lucida Console"/>
          <w:sz w:val="20"/>
        </w:rPr>
        <w:t>, </w:t>
      </w:r>
      <w:r>
        <w:rPr>
          <w:i/>
          <w:sz w:val="22"/>
        </w:rPr>
        <w:t>num-oct-digits </w:t>
      </w:r>
      <w:r>
        <w:rPr>
          <w:sz w:val="22"/>
        </w:rPr>
        <w:t>] </w:t>
      </w:r>
      <w:r>
        <w:rPr>
          <w:rFonts w:ascii="Lucida Console"/>
          <w:sz w:val="20"/>
        </w:rPr>
        <w:t>)</w:t>
      </w:r>
    </w:p>
    <w:p>
      <w:pPr>
        <w:spacing w:before="109"/>
        <w:ind w:left="220" w:right="0" w:firstLine="0"/>
        <w:jc w:val="left"/>
        <w:rPr>
          <w:sz w:val="22"/>
        </w:rPr>
      </w:pPr>
      <w:r>
        <w:rPr>
          <w:b/>
          <w:sz w:val="22"/>
        </w:rPr>
        <w:t>Description: </w:t>
      </w:r>
      <w:r>
        <w:rPr>
          <w:sz w:val="22"/>
        </w:rPr>
        <w:t>Makes the octal equivalent of </w:t>
      </w:r>
      <w:r>
        <w:rPr>
          <w:rFonts w:ascii="Times New Roman"/>
          <w:i/>
          <w:sz w:val="22"/>
        </w:rPr>
        <w:t>number</w:t>
      </w:r>
      <w:r>
        <w:rPr>
          <w:sz w:val="22"/>
        </w:rPr>
        <w:t>, with the result having </w:t>
      </w:r>
      <w:r>
        <w:rPr>
          <w:rFonts w:ascii="Times New Roman"/>
          <w:i/>
          <w:sz w:val="22"/>
        </w:rPr>
        <w:t>num-oct-digits </w:t>
      </w:r>
      <w:r>
        <w:rPr>
          <w:sz w:val="22"/>
        </w:rPr>
        <w:t>digits.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6"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112"/>
              <w:rPr>
                <w:sz w:val="22"/>
              </w:rPr>
            </w:pPr>
            <w:r>
              <w:rPr>
                <w:sz w:val="22"/>
              </w:rPr>
              <w:t>A 10-digit binary number that is to be converted to an octal string. If </w:t>
            </w:r>
            <w:r>
              <w:rPr>
                <w:rFonts w:ascii="Times New Roman"/>
                <w:i/>
                <w:sz w:val="22"/>
              </w:rPr>
              <w:t>number </w:t>
            </w:r>
            <w:r>
              <w:rPr>
                <w:sz w:val="22"/>
              </w:rPr>
              <w:t>has less than 10 digits, leading zero digits are implied until it has exactly 10 digits. The</w:t>
            </w:r>
          </w:p>
          <w:p>
            <w:pPr>
              <w:pStyle w:val="TableParagraph"/>
              <w:spacing w:before="0"/>
              <w:ind w:left="113" w:right="297"/>
              <w:rPr>
                <w:sz w:val="22"/>
              </w:rPr>
            </w:pPr>
            <w:r>
              <w:rPr>
                <w:sz w:val="22"/>
              </w:rPr>
              <w:t>10 digits use twos-complement representation with the left-most bit (10th bit from the right) representing the sign bit.</w:t>
            </w:r>
          </w:p>
        </w:tc>
      </w:tr>
      <w:tr>
        <w:trPr>
          <w:trHeight w:val="1698" w:hRule="atLeast"/>
        </w:trPr>
        <w:tc>
          <w:tcPr>
            <w:tcW w:w="1466" w:type="dxa"/>
          </w:tcPr>
          <w:p>
            <w:pPr>
              <w:pStyle w:val="TableParagraph"/>
              <w:spacing w:before="37"/>
              <w:ind w:right="526"/>
              <w:rPr>
                <w:rFonts w:ascii="Times New Roman"/>
                <w:i/>
                <w:sz w:val="22"/>
              </w:rPr>
            </w:pPr>
            <w:r>
              <w:rPr>
                <w:rFonts w:ascii="Times New Roman"/>
                <w:i/>
                <w:sz w:val="22"/>
              </w:rPr>
              <w:t>num-oct-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271"/>
              <w:rPr>
                <w:sz w:val="22"/>
              </w:rPr>
            </w:pPr>
            <w:r>
              <w:rPr>
                <w:rFonts w:ascii="Times New Roman"/>
                <w:i/>
                <w:sz w:val="22"/>
              </w:rPr>
              <w:t>num-oct-digits </w:t>
            </w:r>
            <w:r>
              <w:rPr>
                <w:sz w:val="22"/>
              </w:rPr>
              <w:t>is the number of digits in the result, with leading zeros added as necessary. However, if </w:t>
            </w:r>
            <w:r>
              <w:rPr>
                <w:rFonts w:ascii="Times New Roman"/>
                <w:i/>
                <w:sz w:val="22"/>
              </w:rPr>
              <w:t>number</w:t>
            </w:r>
            <w:r>
              <w:rPr>
                <w:rFonts w:ascii="Times New Roman"/>
                <w:i/>
                <w:spacing w:val="-16"/>
                <w:sz w:val="22"/>
              </w:rPr>
              <w:t> </w:t>
            </w:r>
            <w:r>
              <w:rPr>
                <w:sz w:val="22"/>
              </w:rPr>
              <w:t>is negative, </w:t>
            </w:r>
            <w:r>
              <w:rPr>
                <w:rFonts w:ascii="Times New Roman"/>
                <w:i/>
                <w:sz w:val="22"/>
              </w:rPr>
              <w:t>num-oct-digits </w:t>
            </w:r>
            <w:r>
              <w:rPr>
                <w:sz w:val="22"/>
              </w:rPr>
              <w:t>is ignored and the result has 10 digits. If </w:t>
            </w:r>
            <w:r>
              <w:rPr>
                <w:rFonts w:ascii="Times New Roman"/>
                <w:i/>
                <w:sz w:val="22"/>
              </w:rPr>
              <w:t>num-oct-digits </w:t>
            </w:r>
            <w:r>
              <w:rPr>
                <w:sz w:val="22"/>
              </w:rPr>
              <w:t>is omitted, the minimum number of digits is used in the result. </w:t>
            </w:r>
            <w:r>
              <w:rPr>
                <w:rFonts w:ascii="Times New Roman"/>
                <w:i/>
                <w:sz w:val="22"/>
              </w:rPr>
              <w:t>num-oct-digits </w:t>
            </w:r>
            <w:r>
              <w:rPr>
                <w:sz w:val="22"/>
              </w:rPr>
              <w:t>is truncated to an</w:t>
            </w:r>
            <w:r>
              <w:rPr>
                <w:spacing w:val="-3"/>
                <w:sz w:val="22"/>
              </w:rPr>
              <w:t> </w:t>
            </w:r>
            <w:r>
              <w:rPr>
                <w:sz w:val="22"/>
              </w:rPr>
              <w:t>integer.</w:t>
            </w:r>
          </w:p>
        </w:tc>
      </w:tr>
    </w:tbl>
    <w:p>
      <w:pPr>
        <w:pStyle w:val="BodyText"/>
        <w:rPr>
          <w:b/>
        </w:rPr>
      </w:pPr>
    </w:p>
    <w:p>
      <w:pPr>
        <w:pStyle w:val="BodyText"/>
        <w:spacing w:before="7"/>
        <w:rPr>
          <w:b/>
          <w:sz w:val="19"/>
        </w:rPr>
      </w:pPr>
    </w:p>
    <w:p>
      <w:pPr>
        <w:spacing w:line="453" w:lineRule="auto" w:before="0"/>
        <w:ind w:left="220" w:right="4860" w:firstLine="0"/>
        <w:jc w:val="left"/>
        <w:rPr>
          <w:sz w:val="22"/>
        </w:rPr>
      </w:pPr>
      <w:r>
        <w:rPr>
          <w:b/>
          <w:sz w:val="22"/>
        </w:rPr>
        <w:t>Return Type and Value: </w:t>
      </w:r>
      <w:r>
        <w:rPr>
          <w:sz w:val="22"/>
        </w:rPr>
        <w:t>text – The octal equivalent of </w:t>
      </w:r>
      <w:r>
        <w:rPr>
          <w:rFonts w:ascii="Times New Roman" w:hAnsi="Times New Roman"/>
          <w:i/>
          <w:sz w:val="22"/>
        </w:rPr>
        <w:t>number</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number </w:t>
      </w:r>
      <w:r>
        <w:rPr>
          <w:sz w:val="22"/>
        </w:rPr>
        <w:t>contains one or more non-binary digits,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76" w:lineRule="auto" w:before="39" w:after="0"/>
        <w:ind w:left="940" w:right="780" w:hanging="360"/>
        <w:jc w:val="left"/>
        <w:rPr>
          <w:sz w:val="22"/>
        </w:rPr>
      </w:pPr>
      <w:r>
        <w:rPr>
          <w:rFonts w:ascii="Times New Roman" w:hAnsi="Times New Roman"/>
          <w:i/>
          <w:sz w:val="22"/>
        </w:rPr>
        <w:t>number</w:t>
      </w:r>
      <w:r>
        <w:rPr>
          <w:rFonts w:ascii="Times New Roman" w:hAnsi="Times New Roman"/>
          <w:i/>
          <w:spacing w:val="-6"/>
          <w:sz w:val="22"/>
        </w:rPr>
        <w:t> </w:t>
      </w:r>
      <w:r>
        <w:rPr>
          <w:sz w:val="22"/>
        </w:rPr>
        <w:t>contains</w:t>
      </w:r>
      <w:r>
        <w:rPr>
          <w:spacing w:val="-4"/>
          <w:sz w:val="22"/>
        </w:rPr>
        <w:t> </w:t>
      </w:r>
      <w:r>
        <w:rPr>
          <w:sz w:val="22"/>
        </w:rPr>
        <w:t>more</w:t>
      </w:r>
      <w:r>
        <w:rPr>
          <w:spacing w:val="-3"/>
          <w:sz w:val="22"/>
        </w:rPr>
        <w:t> </w:t>
      </w:r>
      <w:r>
        <w:rPr>
          <w:sz w:val="22"/>
        </w:rPr>
        <w:t>than</w:t>
      </w:r>
      <w:r>
        <w:rPr>
          <w:spacing w:val="-2"/>
          <w:sz w:val="22"/>
        </w:rPr>
        <w:t> </w:t>
      </w:r>
      <w:r>
        <w:rPr>
          <w:sz w:val="22"/>
        </w:rPr>
        <w:t>10 binary</w:t>
      </w:r>
      <w:r>
        <w:rPr>
          <w:spacing w:val="-1"/>
          <w:sz w:val="22"/>
        </w:rPr>
        <w:t> </w:t>
      </w:r>
      <w:r>
        <w:rPr>
          <w:sz w:val="22"/>
        </w:rPr>
        <w:t>digits;</w:t>
      </w:r>
      <w:r>
        <w:rPr>
          <w:spacing w:val="-1"/>
          <w:sz w:val="22"/>
        </w:rPr>
        <w:t> </w:t>
      </w:r>
      <w:r>
        <w:rPr>
          <w:sz w:val="22"/>
        </w:rPr>
        <w:t>that</w:t>
      </w:r>
      <w:r>
        <w:rPr>
          <w:spacing w:val="-4"/>
          <w:sz w:val="22"/>
        </w:rPr>
        <w:t> </w:t>
      </w:r>
      <w:r>
        <w:rPr>
          <w:sz w:val="22"/>
        </w:rPr>
        <w:t>is,</w:t>
      </w:r>
      <w:r>
        <w:rPr>
          <w:spacing w:val="-1"/>
          <w:sz w:val="22"/>
        </w:rPr>
        <w:t> </w:t>
      </w:r>
      <w:r>
        <w:rPr>
          <w:rFonts w:ascii="Times New Roman" w:hAnsi="Times New Roman"/>
          <w:i/>
          <w:sz w:val="22"/>
        </w:rPr>
        <w:t>number</w:t>
      </w:r>
      <w:r>
        <w:rPr>
          <w:rFonts w:ascii="Times New Roman" w:hAnsi="Times New Roman"/>
          <w:i/>
          <w:spacing w:val="-5"/>
          <w:sz w:val="22"/>
        </w:rPr>
        <w:t> </w:t>
      </w:r>
      <w:r>
        <w:rPr>
          <w:sz w:val="22"/>
        </w:rPr>
        <w:t>is</w:t>
      </w:r>
      <w:r>
        <w:rPr>
          <w:spacing w:val="-3"/>
          <w:sz w:val="22"/>
        </w:rPr>
        <w:t> </w:t>
      </w:r>
      <w:r>
        <w:rPr>
          <w:sz w:val="22"/>
        </w:rPr>
        <w:t>outside the</w:t>
      </w:r>
      <w:r>
        <w:rPr>
          <w:spacing w:val="-4"/>
          <w:sz w:val="22"/>
        </w:rPr>
        <w:t> </w:t>
      </w:r>
      <w:r>
        <w:rPr>
          <w:sz w:val="22"/>
        </w:rPr>
        <w:t>range</w:t>
      </w:r>
      <w:r>
        <w:rPr>
          <w:spacing w:val="-4"/>
          <w:sz w:val="22"/>
        </w:rPr>
        <w:t> </w:t>
      </w:r>
      <w:r>
        <w:rPr>
          <w:rFonts w:ascii="Consolas" w:hAnsi="Consolas"/>
          <w:sz w:val="22"/>
        </w:rPr>
        <w:t>1000000000</w:t>
      </w:r>
      <w:r>
        <w:rPr>
          <w:rFonts w:ascii="Consolas" w:hAnsi="Consolas"/>
          <w:spacing w:val="-69"/>
          <w:sz w:val="22"/>
        </w:rPr>
        <w:t> </w:t>
      </w:r>
      <w:r>
        <w:rPr>
          <w:sz w:val="22"/>
        </w:rPr>
        <w:t>(1000 octal,</w:t>
      </w:r>
      <w:r>
        <w:rPr>
          <w:spacing w:val="-3"/>
          <w:sz w:val="22"/>
        </w:rPr>
        <w:t> </w:t>
      </w:r>
      <w:r>
        <w:rPr>
          <w:sz w:val="22"/>
        </w:rPr>
        <w:t>-512</w:t>
      </w:r>
      <w:r>
        <w:rPr>
          <w:spacing w:val="-1"/>
          <w:sz w:val="22"/>
        </w:rPr>
        <w:t> </w:t>
      </w:r>
      <w:r>
        <w:rPr>
          <w:sz w:val="22"/>
        </w:rPr>
        <w:t>decimal) to</w:t>
      </w:r>
      <w:r>
        <w:rPr>
          <w:spacing w:val="-1"/>
          <w:sz w:val="22"/>
        </w:rPr>
        <w:t> </w:t>
      </w:r>
      <w:r>
        <w:rPr>
          <w:rFonts w:ascii="Consolas" w:hAnsi="Consolas"/>
          <w:sz w:val="22"/>
        </w:rPr>
        <w:t>0111111111</w:t>
      </w:r>
      <w:r>
        <w:rPr>
          <w:rFonts w:ascii="Consolas" w:hAnsi="Consolas"/>
          <w:spacing w:val="-70"/>
          <w:sz w:val="22"/>
        </w:rPr>
        <w:t> </w:t>
      </w:r>
      <w:r>
        <w:rPr>
          <w:sz w:val="22"/>
        </w:rPr>
        <w:t>(0777</w:t>
      </w:r>
      <w:r>
        <w:rPr>
          <w:spacing w:val="-3"/>
          <w:sz w:val="22"/>
        </w:rPr>
        <w:t> </w:t>
      </w:r>
      <w:r>
        <w:rPr>
          <w:sz w:val="22"/>
        </w:rPr>
        <w:t>octal,</w:t>
      </w:r>
      <w:r>
        <w:rPr>
          <w:spacing w:val="-3"/>
          <w:sz w:val="22"/>
        </w:rPr>
        <w:t> </w:t>
      </w:r>
      <w:r>
        <w:rPr>
          <w:sz w:val="22"/>
        </w:rPr>
        <w:t>511</w:t>
      </w:r>
      <w:r>
        <w:rPr>
          <w:spacing w:val="-5"/>
          <w:sz w:val="22"/>
        </w:rPr>
        <w:t> </w:t>
      </w:r>
      <w:r>
        <w:rPr>
          <w:sz w:val="22"/>
        </w:rPr>
        <w:t>decimal), inclusive,</w:t>
      </w:r>
      <w:r>
        <w:rPr>
          <w:spacing w:val="-3"/>
          <w:sz w:val="22"/>
        </w:rPr>
        <w:t> </w:t>
      </w:r>
      <w:r>
        <w:rPr>
          <w:rFonts w:ascii="Consolas" w:hAnsi="Consolas"/>
          <w:sz w:val="22"/>
        </w:rPr>
        <w:t>#NUM!</w:t>
      </w:r>
      <w:r>
        <w:rPr>
          <w:rFonts w:ascii="Consolas" w:hAnsi="Consolas"/>
          <w:spacing w:val="-69"/>
          <w:sz w:val="22"/>
        </w:rPr>
        <w:t> </w:t>
      </w:r>
      <w:r>
        <w:rPr>
          <w:sz w:val="22"/>
        </w:rPr>
        <w:t>is</w:t>
      </w:r>
      <w:r>
        <w:rPr>
          <w:spacing w:val="-1"/>
          <w:sz w:val="22"/>
        </w:rPr>
        <w:t> </w:t>
      </w:r>
      <w:r>
        <w:rPr>
          <w:sz w:val="22"/>
        </w:rPr>
        <w:t>returned.</w:t>
      </w:r>
    </w:p>
    <w:p>
      <w:pPr>
        <w:pStyle w:val="ListParagraph"/>
        <w:numPr>
          <w:ilvl w:val="4"/>
          <w:numId w:val="66"/>
        </w:numPr>
        <w:tabs>
          <w:tab w:pos="940" w:val="left" w:leader="none"/>
          <w:tab w:pos="941" w:val="left" w:leader="none"/>
        </w:tabs>
        <w:spacing w:line="280" w:lineRule="exact" w:before="0"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num-oct-digits</w:t>
      </w:r>
      <w:r>
        <w:rPr>
          <w:sz w:val="22"/>
        </w:rPr>
        <w:t>,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num-oct-digits </w:t>
      </w:r>
      <w:r>
        <w:rPr>
          <w:sz w:val="22"/>
        </w:rPr>
        <w:t>&lt; 0 or &gt; 10, </w:t>
      </w:r>
      <w:r>
        <w:rPr>
          <w:rFonts w:ascii="Consolas" w:hAnsi="Consolas"/>
          <w:sz w:val="22"/>
        </w:rPr>
        <w:t>#NUM!</w:t>
      </w:r>
      <w:r>
        <w:rPr>
          <w:rFonts w:ascii="Consolas" w:hAnsi="Consolas"/>
          <w:spacing w:val="-87"/>
          <w:sz w:val="22"/>
        </w:rPr>
        <w:t> </w:t>
      </w:r>
      <w:r>
        <w:rPr>
          <w:sz w:val="22"/>
        </w:rPr>
        <w:t>is returned.</w:t>
      </w:r>
    </w:p>
    <w:p>
      <w:pPr>
        <w:spacing w:after="0" w:line="240"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7482"/>
        <w:rPr>
          <w:rFonts w:ascii="Consolas"/>
        </w:rPr>
      </w:pPr>
      <w:r>
        <w:rPr>
          <w:rFonts w:ascii="Consolas"/>
        </w:rPr>
        <w:t>BIN2OCT(1) </w:t>
      </w:r>
      <w:r>
        <w:rPr/>
        <w:t>results in </w:t>
      </w:r>
      <w:r>
        <w:rPr>
          <w:rFonts w:ascii="Consolas"/>
        </w:rPr>
        <w:t>1 BIN2OCT(1,4) </w:t>
      </w:r>
      <w:r>
        <w:rPr/>
        <w:t>results in </w:t>
      </w:r>
      <w:r>
        <w:rPr>
          <w:rFonts w:ascii="Consolas"/>
        </w:rPr>
        <w:t>0001 BIN2OCT(111111)</w:t>
      </w:r>
      <w:r>
        <w:rPr>
          <w:rFonts w:ascii="Consolas"/>
          <w:spacing w:val="-83"/>
        </w:rPr>
        <w:t> </w:t>
      </w:r>
      <w:r>
        <w:rPr/>
        <w:t>results in </w:t>
      </w:r>
      <w:r>
        <w:rPr>
          <w:rFonts w:ascii="Consolas"/>
        </w:rPr>
        <w:t>77</w:t>
      </w:r>
    </w:p>
    <w:p>
      <w:pPr>
        <w:pStyle w:val="BodyText"/>
        <w:spacing w:line="276" w:lineRule="auto"/>
        <w:ind w:left="220" w:right="5792"/>
        <w:rPr>
          <w:rFonts w:ascii="Consolas"/>
        </w:rPr>
      </w:pPr>
      <w:r>
        <w:rPr>
          <w:rFonts w:ascii="Consolas"/>
        </w:rPr>
        <w:t>BIN2OCT(1111000000) </w:t>
      </w:r>
      <w:r>
        <w:rPr/>
        <w:t>results in </w:t>
      </w:r>
      <w:r>
        <w:rPr>
          <w:rFonts w:ascii="Consolas"/>
        </w:rPr>
        <w:t>7777777700 BIN2OCT(1000000000,3)</w:t>
      </w:r>
      <w:r>
        <w:rPr>
          <w:rFonts w:ascii="Consolas"/>
          <w:spacing w:val="-87"/>
        </w:rPr>
        <w:t> </w:t>
      </w:r>
      <w:r>
        <w:rPr/>
        <w:t>results in </w:t>
      </w:r>
      <w:r>
        <w:rPr>
          <w:rFonts w:ascii="Consolas"/>
        </w:rPr>
        <w:t>7777777000</w:t>
      </w:r>
    </w:p>
    <w:p>
      <w:pPr>
        <w:pStyle w:val="BodyText"/>
        <w:spacing w:before="6"/>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 BINOMDIST" w:id="1488"/>
      <w:bookmarkEnd w:id="1488"/>
      <w:r>
        <w:rPr/>
      </w:r>
      <w:bookmarkStart w:name="_bookmark495" w:id="1489"/>
      <w:bookmarkEnd w:id="1489"/>
      <w:r>
        <w:rPr/>
      </w:r>
      <w:bookmarkStart w:name="_bookmark495" w:id="1490"/>
      <w:bookmarkEnd w:id="1490"/>
      <w:r>
        <w:rPr>
          <w:color w:val="4F81BC"/>
        </w:rPr>
        <w:t>B</w:t>
      </w:r>
      <w:r>
        <w:rPr>
          <w:color w:val="4F81BC"/>
        </w:rPr>
        <w:t>INOMDIST</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BINOMDIST ( </w:t>
      </w:r>
      <w:r>
        <w:rPr>
          <w:i/>
          <w:sz w:val="22"/>
        </w:rPr>
        <w:t>number-successes </w:t>
      </w:r>
      <w:r>
        <w:rPr>
          <w:rFonts w:ascii="Lucida Console"/>
          <w:sz w:val="20"/>
        </w:rPr>
        <w:t>, </w:t>
      </w:r>
      <w:r>
        <w:rPr>
          <w:i/>
          <w:sz w:val="22"/>
        </w:rPr>
        <w:t>number-trials </w:t>
      </w:r>
      <w:r>
        <w:rPr>
          <w:rFonts w:ascii="Lucida Console"/>
          <w:sz w:val="20"/>
        </w:rPr>
        <w:t>, </w:t>
      </w:r>
      <w:r>
        <w:rPr>
          <w:i/>
          <w:sz w:val="22"/>
        </w:rPr>
        <w:t>success-probability </w:t>
      </w:r>
      <w:r>
        <w:rPr>
          <w:rFonts w:ascii="Lucida Console"/>
          <w:sz w:val="20"/>
        </w:rPr>
        <w:t>, </w:t>
      </w:r>
      <w:r>
        <w:rPr>
          <w:i/>
          <w:sz w:val="22"/>
        </w:rPr>
        <w:t>cumulative-flag </w:t>
      </w:r>
      <w:r>
        <w:rPr>
          <w:rFonts w:ascii="Lucida Console"/>
          <w:sz w:val="20"/>
        </w:rPr>
        <w:t>)</w:t>
      </w:r>
    </w:p>
    <w:p>
      <w:pPr>
        <w:pStyle w:val="BodyText"/>
        <w:spacing w:before="111"/>
        <w:ind w:left="220"/>
      </w:pPr>
      <w:r>
        <w:rPr>
          <w:b/>
        </w:rPr>
        <w:t>Description: </w:t>
      </w:r>
      <w:r>
        <w:rPr/>
        <w:t>Computes the individual term binomial distribution probability.</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pStyle w:val="BodyText"/>
        <w:ind w:left="220"/>
      </w:pPr>
      <w:r>
        <w:rPr/>
        <w:t>The binomial probability mass function is:</w:t>
      </w:r>
    </w:p>
    <w:p>
      <w:pPr>
        <w:pStyle w:val="BodyText"/>
        <w:spacing w:before="6"/>
        <w:rPr>
          <w:sz w:val="8"/>
        </w:rPr>
      </w:pPr>
    </w:p>
    <w:p>
      <w:pPr>
        <w:spacing w:after="0"/>
        <w:rPr>
          <w:sz w:val="8"/>
        </w:rPr>
        <w:sectPr>
          <w:pgSz w:w="12240" w:h="15840"/>
          <w:pgMar w:header="761" w:footer="746" w:top="1340" w:bottom="940" w:left="860" w:right="700"/>
        </w:sectPr>
      </w:pPr>
    </w:p>
    <w:p>
      <w:pPr>
        <w:pStyle w:val="BodyText"/>
        <w:spacing w:before="195"/>
        <w:ind w:left="220"/>
        <w:rPr>
          <w:rFonts w:ascii="Cambria Math" w:eastAsia="Cambria Math"/>
        </w:rPr>
      </w:pPr>
      <w:r>
        <w:rPr>
          <w:rFonts w:ascii="Cambria Math" w:eastAsia="Cambria Math"/>
          <w:spacing w:val="2"/>
        </w:rPr>
        <w:t>𝑏</w:t>
      </w:r>
      <w:r>
        <w:rPr>
          <w:rFonts w:ascii="Cambria Math" w:eastAsia="Cambria Math"/>
          <w:spacing w:val="2"/>
          <w:position w:val="1"/>
        </w:rPr>
        <w:t>(</w:t>
      </w:r>
      <w:r>
        <w:rPr>
          <w:rFonts w:ascii="Cambria Math" w:eastAsia="Cambria Math"/>
          <w:spacing w:val="2"/>
        </w:rPr>
        <w:t>𝑥, </w:t>
      </w:r>
      <w:r>
        <w:rPr>
          <w:rFonts w:ascii="Cambria Math" w:eastAsia="Cambria Math"/>
        </w:rPr>
        <w:t>𝑛,</w:t>
      </w:r>
      <w:r>
        <w:rPr>
          <w:rFonts w:ascii="Cambria Math" w:eastAsia="Cambria Math"/>
          <w:spacing w:val="-23"/>
        </w:rPr>
        <w:t> </w:t>
      </w:r>
      <w:r>
        <w:rPr>
          <w:rFonts w:ascii="Cambria Math" w:eastAsia="Cambria Math"/>
          <w:spacing w:val="-5"/>
        </w:rPr>
        <w:t>𝑝</w:t>
      </w:r>
      <w:r>
        <w:rPr>
          <w:rFonts w:ascii="Cambria Math" w:eastAsia="Cambria Math"/>
          <w:spacing w:val="-5"/>
          <w:position w:val="1"/>
        </w:rPr>
        <w:t>)</w:t>
      </w:r>
    </w:p>
    <w:p>
      <w:pPr>
        <w:spacing w:line="200" w:lineRule="exact" w:before="63"/>
        <w:ind w:left="383" w:right="252" w:firstLine="0"/>
        <w:jc w:val="center"/>
        <w:rPr>
          <w:rFonts w:ascii="Cambria Math" w:eastAsia="Cambria Math"/>
          <w:sz w:val="22"/>
        </w:rPr>
      </w:pPr>
      <w:r>
        <w:rPr/>
        <w:br w:type="column"/>
      </w:r>
      <w:r>
        <w:rPr>
          <w:rFonts w:ascii="Cambria Math" w:eastAsia="Cambria Math"/>
          <w:sz w:val="22"/>
        </w:rPr>
        <w:t>𝑛</w:t>
      </w:r>
    </w:p>
    <w:p>
      <w:pPr>
        <w:pStyle w:val="BodyText"/>
        <w:spacing w:line="172" w:lineRule="auto"/>
        <w:ind w:left="21"/>
        <w:rPr>
          <w:rFonts w:ascii="Cambria Math" w:eastAsia="Cambria Math"/>
        </w:rPr>
      </w:pPr>
      <w:r>
        <w:rPr>
          <w:rFonts w:ascii="Cambria Math" w:eastAsia="Cambria Math"/>
          <w:w w:val="105"/>
        </w:rPr>
        <w:t>= </w:t>
      </w:r>
      <w:r>
        <w:rPr>
          <w:rFonts w:ascii="Cambria Math" w:eastAsia="Cambria Math"/>
          <w:spacing w:val="4"/>
          <w:w w:val="105"/>
        </w:rPr>
        <w:t>(</w:t>
      </w:r>
      <w:r>
        <w:rPr>
          <w:rFonts w:ascii="Cambria Math" w:eastAsia="Cambria Math"/>
          <w:spacing w:val="4"/>
          <w:w w:val="105"/>
          <w:position w:val="-11"/>
        </w:rPr>
        <w:t>𝑥</w:t>
      </w:r>
      <w:r>
        <w:rPr>
          <w:rFonts w:ascii="Cambria Math" w:eastAsia="Cambria Math"/>
          <w:spacing w:val="4"/>
          <w:w w:val="105"/>
        </w:rPr>
        <w:t>) </w:t>
      </w:r>
      <w:r>
        <w:rPr>
          <w:rFonts w:ascii="Cambria Math" w:eastAsia="Cambria Math"/>
          <w:spacing w:val="-159"/>
          <w:w w:val="105"/>
        </w:rPr>
        <w:t>𝑝</w:t>
      </w:r>
    </w:p>
    <w:p>
      <w:pPr>
        <w:spacing w:before="182"/>
        <w:ind w:left="-32" w:right="0" w:firstLine="0"/>
        <w:jc w:val="left"/>
        <w:rPr>
          <w:rFonts w:ascii="Cambria Math" w:hAnsi="Cambria Math" w:eastAsia="Cambria Math"/>
          <w:sz w:val="22"/>
        </w:rPr>
      </w:pPr>
      <w:r>
        <w:rPr/>
        <w:br w:type="column"/>
      </w:r>
      <w:r>
        <w:rPr>
          <w:rFonts w:ascii="Cambria Math" w:hAnsi="Cambria Math" w:eastAsia="Cambria Math"/>
          <w:spacing w:val="4"/>
          <w:position w:val="8"/>
          <w:sz w:val="16"/>
        </w:rPr>
        <w:t>𝑥</w:t>
      </w:r>
      <w:r>
        <w:rPr>
          <w:rFonts w:ascii="Cambria Math" w:hAnsi="Cambria Math" w:eastAsia="Cambria Math"/>
          <w:spacing w:val="4"/>
          <w:position w:val="1"/>
          <w:sz w:val="22"/>
        </w:rPr>
        <w:t>(</w:t>
      </w:r>
      <w:r>
        <w:rPr>
          <w:rFonts w:ascii="Cambria Math" w:hAnsi="Cambria Math" w:eastAsia="Cambria Math"/>
          <w:spacing w:val="4"/>
          <w:sz w:val="22"/>
        </w:rPr>
        <w:t>1 </w:t>
      </w:r>
      <w:r>
        <w:rPr>
          <w:rFonts w:ascii="Cambria Math" w:hAnsi="Cambria Math" w:eastAsia="Cambria Math"/>
          <w:sz w:val="22"/>
        </w:rPr>
        <w:t>− </w:t>
      </w:r>
      <w:r>
        <w:rPr>
          <w:rFonts w:ascii="Cambria Math" w:hAnsi="Cambria Math" w:eastAsia="Cambria Math"/>
          <w:spacing w:val="-159"/>
          <w:sz w:val="22"/>
        </w:rPr>
        <w:t>𝑝</w:t>
      </w:r>
    </w:p>
    <w:p>
      <w:pPr>
        <w:spacing w:before="180"/>
        <w:ind w:left="-39" w:right="0" w:firstLine="0"/>
        <w:jc w:val="left"/>
        <w:rPr>
          <w:rFonts w:ascii="Cambria Math" w:hAnsi="Cambria Math" w:eastAsia="Cambria Math"/>
          <w:sz w:val="16"/>
        </w:rPr>
      </w:pPr>
      <w:r>
        <w:rPr/>
        <w:br w:type="column"/>
      </w:r>
      <w:r>
        <w:rPr>
          <w:rFonts w:ascii="Cambria Math" w:hAnsi="Cambria Math" w:eastAsia="Cambria Math"/>
          <w:w w:val="105"/>
          <w:position w:val="-6"/>
          <w:sz w:val="22"/>
        </w:rPr>
        <w:t>)</w:t>
      </w:r>
      <w:r>
        <w:rPr>
          <w:rFonts w:ascii="Cambria Math" w:hAnsi="Cambria Math" w:eastAsia="Cambria Math"/>
          <w:w w:val="105"/>
          <w:sz w:val="16"/>
        </w:rPr>
        <w:t>𝑛−𝑥</w:t>
      </w:r>
    </w:p>
    <w:p>
      <w:pPr>
        <w:spacing w:after="0"/>
        <w:jc w:val="left"/>
        <w:rPr>
          <w:rFonts w:ascii="Cambria Math" w:hAnsi="Cambria Math" w:eastAsia="Cambria Math"/>
          <w:sz w:val="16"/>
        </w:rPr>
        <w:sectPr>
          <w:type w:val="continuous"/>
          <w:pgSz w:w="12240" w:h="15840"/>
          <w:pgMar w:top="1340" w:bottom="940" w:left="860" w:right="700"/>
          <w:cols w:num="4" w:equalWidth="0">
            <w:col w:w="1069" w:space="40"/>
            <w:col w:w="803" w:space="39"/>
            <w:col w:w="676" w:space="39"/>
            <w:col w:w="8014"/>
          </w:cols>
        </w:sectPr>
      </w:pPr>
    </w:p>
    <w:p>
      <w:pPr>
        <w:pStyle w:val="BodyText"/>
        <w:spacing w:before="5"/>
        <w:rPr>
          <w:rFonts w:ascii="Cambria Math"/>
          <w:sz w:val="12"/>
        </w:rPr>
      </w:pPr>
    </w:p>
    <w:p>
      <w:pPr>
        <w:pStyle w:val="BodyText"/>
        <w:spacing w:before="57"/>
        <w:ind w:left="220"/>
      </w:pPr>
      <w:r>
        <w:rPr/>
        <w:t>where:</w:t>
      </w:r>
    </w:p>
    <w:p>
      <w:pPr>
        <w:pStyle w:val="BodyText"/>
        <w:spacing w:before="3"/>
        <w:rPr>
          <w:sz w:val="21"/>
        </w:rPr>
      </w:pPr>
    </w:p>
    <w:p>
      <w:pPr>
        <w:pStyle w:val="BodyText"/>
        <w:spacing w:line="132" w:lineRule="auto" w:before="1"/>
        <w:ind w:left="220" w:right="9903" w:firstLine="108"/>
        <w:rPr>
          <w:rFonts w:ascii="Cambria Math" w:eastAsia="Cambria Math"/>
        </w:rPr>
      </w:pPr>
      <w:r>
        <w:rPr>
          <w:rFonts w:ascii="Cambria Math" w:eastAsia="Cambria Math"/>
          <w:w w:val="110"/>
        </w:rPr>
        <w:t>𝑛 (</w:t>
      </w:r>
      <w:r>
        <w:rPr>
          <w:rFonts w:ascii="Cambria Math" w:eastAsia="Cambria Math"/>
          <w:w w:val="110"/>
          <w:position w:val="-11"/>
        </w:rPr>
        <w:t>𝑥</w:t>
      </w:r>
      <w:r>
        <w:rPr>
          <w:rFonts w:ascii="Cambria Math" w:eastAsia="Cambria Math"/>
          <w:w w:val="110"/>
        </w:rPr>
        <w:t>)</w:t>
      </w:r>
    </w:p>
    <w:p>
      <w:pPr>
        <w:pStyle w:val="BodyText"/>
        <w:spacing w:before="212"/>
        <w:ind w:left="220"/>
      </w:pPr>
      <w:r>
        <w:rPr/>
        <w:t>is </w:t>
      </w:r>
      <w:r>
        <w:rPr>
          <w:rFonts w:ascii="Consolas"/>
        </w:rPr>
        <w:t>COMBIN(n,x)</w:t>
      </w:r>
      <w:r>
        <w:rPr/>
        <w:t>.</w:t>
      </w:r>
    </w:p>
    <w:p>
      <w:pPr>
        <w:pStyle w:val="BodyText"/>
        <w:spacing w:before="8"/>
        <w:rPr>
          <w:sz w:val="19"/>
        </w:rPr>
      </w:pPr>
    </w:p>
    <w:p>
      <w:pPr>
        <w:pStyle w:val="BodyText"/>
        <w:ind w:left="220"/>
      </w:pPr>
      <w:r>
        <w:rPr/>
        <w:t>The cumulative binomial distribution is:</w:t>
      </w:r>
    </w:p>
    <w:p>
      <w:pPr>
        <w:pStyle w:val="BodyText"/>
        <w:spacing w:before="4"/>
        <w:rPr>
          <w:sz w:val="10"/>
        </w:rPr>
      </w:pPr>
    </w:p>
    <w:p>
      <w:pPr>
        <w:spacing w:before="74"/>
        <w:ind w:left="165" w:right="7676" w:firstLine="0"/>
        <w:jc w:val="center"/>
        <w:rPr>
          <w:rFonts w:ascii="Cambria Math" w:eastAsia="Cambria Math"/>
          <w:sz w:val="16"/>
        </w:rPr>
      </w:pPr>
      <w:r>
        <w:rPr>
          <w:rFonts w:ascii="Cambria Math" w:eastAsia="Cambria Math"/>
          <w:w w:val="110"/>
          <w:sz w:val="16"/>
        </w:rPr>
        <w:t>𝑥</w:t>
      </w:r>
    </w:p>
    <w:p>
      <w:pPr>
        <w:pStyle w:val="BodyText"/>
        <w:spacing w:before="74"/>
        <w:ind w:left="220"/>
        <w:rPr>
          <w:rFonts w:ascii="Cambria Math" w:hAnsi="Cambria Math" w:eastAsia="Cambria Math"/>
        </w:rPr>
      </w:pPr>
      <w:r>
        <w:rPr>
          <w:rFonts w:ascii="Cambria Math" w:hAnsi="Cambria Math" w:eastAsia="Cambria Math"/>
          <w:w w:val="110"/>
        </w:rPr>
        <w:t>𝐵</w:t>
      </w:r>
      <w:r>
        <w:rPr>
          <w:rFonts w:ascii="Cambria Math" w:hAnsi="Cambria Math" w:eastAsia="Cambria Math"/>
          <w:w w:val="110"/>
          <w:position w:val="1"/>
        </w:rPr>
        <w:t>(</w:t>
      </w:r>
      <w:r>
        <w:rPr>
          <w:rFonts w:ascii="Cambria Math" w:hAnsi="Cambria Math" w:eastAsia="Cambria Math"/>
          <w:w w:val="110"/>
        </w:rPr>
        <w:t>𝑥, 𝑛, 𝑝</w:t>
      </w:r>
      <w:r>
        <w:rPr>
          <w:rFonts w:ascii="Cambria Math" w:hAnsi="Cambria Math" w:eastAsia="Cambria Math"/>
          <w:w w:val="110"/>
          <w:position w:val="1"/>
        </w:rPr>
        <w:t>) </w:t>
      </w:r>
      <w:r>
        <w:rPr>
          <w:rFonts w:ascii="Cambria Math" w:hAnsi="Cambria Math" w:eastAsia="Cambria Math"/>
          <w:w w:val="110"/>
        </w:rPr>
        <w:t>= </w:t>
      </w:r>
      <w:r>
        <w:rPr>
          <w:rFonts w:ascii="Cambria Math" w:hAnsi="Cambria Math" w:eastAsia="Cambria Math"/>
          <w:w w:val="165"/>
        </w:rPr>
        <w:t>∑ </w:t>
      </w:r>
      <w:r>
        <w:rPr>
          <w:rFonts w:ascii="Cambria Math" w:hAnsi="Cambria Math" w:eastAsia="Cambria Math"/>
          <w:w w:val="110"/>
        </w:rPr>
        <w:t>𝑏</w:t>
      </w:r>
      <w:r>
        <w:rPr>
          <w:rFonts w:ascii="Cambria Math" w:hAnsi="Cambria Math" w:eastAsia="Cambria Math"/>
          <w:w w:val="110"/>
          <w:position w:val="1"/>
        </w:rPr>
        <w:t>(</w:t>
      </w:r>
      <w:r>
        <w:rPr>
          <w:rFonts w:ascii="Cambria Math" w:hAnsi="Cambria Math" w:eastAsia="Cambria Math"/>
          <w:w w:val="110"/>
        </w:rPr>
        <w:t>𝑦, 𝑛, 𝑝</w:t>
      </w:r>
      <w:r>
        <w:rPr>
          <w:rFonts w:ascii="Cambria Math" w:hAnsi="Cambria Math" w:eastAsia="Cambria Math"/>
          <w:w w:val="110"/>
          <w:position w:val="1"/>
        </w:rPr>
        <w:t>)</w:t>
      </w:r>
    </w:p>
    <w:p>
      <w:pPr>
        <w:spacing w:before="82"/>
        <w:ind w:left="165" w:right="7666" w:firstLine="0"/>
        <w:jc w:val="center"/>
        <w:rPr>
          <w:rFonts w:ascii="Cambria Math" w:eastAsia="Cambria Math"/>
          <w:sz w:val="16"/>
        </w:rPr>
      </w:pPr>
      <w:r>
        <w:rPr>
          <w:rFonts w:ascii="Cambria Math" w:eastAsia="Cambria Math"/>
          <w:w w:val="105"/>
          <w:sz w:val="16"/>
        </w:rPr>
        <w:t>𝑦=0</w:t>
      </w:r>
    </w:p>
    <w:p>
      <w:pPr>
        <w:pStyle w:val="BodyText"/>
        <w:spacing w:before="7"/>
        <w:rPr>
          <w:rFonts w:ascii="Cambria Math"/>
          <w:sz w:val="19"/>
        </w:rPr>
      </w:pPr>
    </w:p>
    <w:p>
      <w:pPr>
        <w:pStyle w:val="BodyText"/>
        <w:spacing w:before="1"/>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n </w:t>
      </w:r>
      <w:r>
        <w:rPr>
          <w:sz w:val="22"/>
        </w:rPr>
        <w:t>= argument </w:t>
      </w:r>
      <w:r>
        <w:rPr>
          <w:rFonts w:ascii="Times New Roman" w:hAnsi="Times New Roman"/>
          <w:i/>
          <w:sz w:val="22"/>
        </w:rPr>
        <w:t>number-trials</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p </w:t>
      </w:r>
      <w:r>
        <w:rPr>
          <w:sz w:val="22"/>
        </w:rPr>
        <w:t>= argument</w:t>
      </w:r>
      <w:r>
        <w:rPr>
          <w:spacing w:val="-3"/>
          <w:sz w:val="22"/>
        </w:rPr>
        <w:t> </w:t>
      </w:r>
      <w:r>
        <w:rPr>
          <w:rFonts w:ascii="Times New Roman" w:hAnsi="Times New Roman"/>
          <w:i/>
          <w:sz w:val="22"/>
        </w:rPr>
        <w:t>success-probability</w:t>
      </w:r>
    </w:p>
    <w:p>
      <w:pPr>
        <w:pStyle w:val="ListParagraph"/>
        <w:numPr>
          <w:ilvl w:val="4"/>
          <w:numId w:val="66"/>
        </w:numPr>
        <w:tabs>
          <w:tab w:pos="940" w:val="left" w:leader="none"/>
          <w:tab w:pos="941" w:val="left" w:leader="none"/>
        </w:tabs>
        <w:spacing w:line="240" w:lineRule="auto" w:before="4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3"/>
          <w:sz w:val="22"/>
        </w:rPr>
        <w:t> </w:t>
      </w:r>
      <w:r>
        <w:rPr>
          <w:rFonts w:ascii="Times New Roman" w:hAnsi="Times New Roman"/>
          <w:i/>
          <w:sz w:val="22"/>
        </w:rPr>
        <w:t>number-successes</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right="477"/>
              <w:rPr>
                <w:rFonts w:ascii="Times New Roman"/>
                <w:i/>
                <w:sz w:val="22"/>
              </w:rPr>
            </w:pPr>
            <w:r>
              <w:rPr>
                <w:rFonts w:ascii="Times New Roman"/>
                <w:i/>
                <w:sz w:val="22"/>
              </w:rPr>
              <w:t>number- </w:t>
            </w:r>
            <w:r>
              <w:rPr>
                <w:rFonts w:ascii="Times New Roman"/>
                <w:i/>
                <w:sz w:val="22"/>
              </w:rPr>
              <w:t>successes</w:t>
            </w:r>
          </w:p>
        </w:tc>
        <w:tc>
          <w:tcPr>
            <w:tcW w:w="1800" w:type="dxa"/>
          </w:tcPr>
          <w:p>
            <w:pPr>
              <w:pStyle w:val="TableParagraph"/>
              <w:ind w:left="112"/>
              <w:rPr>
                <w:sz w:val="22"/>
              </w:rPr>
            </w:pPr>
            <w:r>
              <w:rPr>
                <w:sz w:val="22"/>
              </w:rPr>
              <w:t>number</w:t>
            </w:r>
          </w:p>
        </w:tc>
        <w:tc>
          <w:tcPr>
            <w:tcW w:w="5400" w:type="dxa"/>
          </w:tcPr>
          <w:p>
            <w:pPr>
              <w:pStyle w:val="TableParagraph"/>
              <w:ind w:left="113" w:right="320"/>
              <w:rPr>
                <w:sz w:val="22"/>
              </w:rPr>
            </w:pPr>
            <w:r>
              <w:rPr>
                <w:sz w:val="22"/>
              </w:rPr>
              <w:t>The number of successes in </w:t>
            </w:r>
            <w:r>
              <w:rPr>
                <w:rFonts w:ascii="Times New Roman"/>
                <w:i/>
                <w:sz w:val="22"/>
              </w:rPr>
              <w:t>number-trials</w:t>
            </w:r>
            <w:r>
              <w:rPr>
                <w:sz w:val="22"/>
              </w:rPr>
              <w:t>, truncated to an integer.</w:t>
            </w:r>
          </w:p>
        </w:tc>
      </w:tr>
    </w:tbl>
    <w:p>
      <w:pPr>
        <w:spacing w:after="0"/>
        <w:rPr>
          <w:sz w:val="22"/>
        </w:rPr>
        <w:sectPr>
          <w:type w:val="continuous"/>
          <w:pgSz w:w="12240" w:h="15840"/>
          <w:pgMar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96" w:right="108"/>
              <w:jc w:val="center"/>
              <w:rPr>
                <w:rFonts w:ascii="Times New Roman"/>
                <w:i/>
                <w:sz w:val="22"/>
              </w:rPr>
            </w:pPr>
            <w:r>
              <w:rPr>
                <w:rFonts w:ascii="Times New Roman"/>
                <w:i/>
                <w:sz w:val="22"/>
              </w:rPr>
              <w:t>number-trials</w:t>
            </w:r>
          </w:p>
        </w:tc>
        <w:tc>
          <w:tcPr>
            <w:tcW w:w="1800" w:type="dxa"/>
          </w:tcPr>
          <w:p>
            <w:pPr>
              <w:pStyle w:val="TableParagraph"/>
              <w:ind w:left="112"/>
              <w:rPr>
                <w:sz w:val="22"/>
              </w:rPr>
            </w:pPr>
            <w:r>
              <w:rPr>
                <w:sz w:val="22"/>
              </w:rPr>
              <w:t>number</w:t>
            </w:r>
          </w:p>
        </w:tc>
        <w:tc>
          <w:tcPr>
            <w:tcW w:w="5400" w:type="dxa"/>
          </w:tcPr>
          <w:p>
            <w:pPr>
              <w:pStyle w:val="TableParagraph"/>
              <w:ind w:left="113" w:right="751"/>
              <w:rPr>
                <w:sz w:val="22"/>
              </w:rPr>
            </w:pPr>
            <w:r>
              <w:rPr>
                <w:sz w:val="22"/>
              </w:rPr>
              <w:t>The number of independent trials, truncated to an integer.</w:t>
            </w:r>
          </w:p>
        </w:tc>
      </w:tr>
      <w:tr>
        <w:trPr>
          <w:trHeight w:val="590" w:hRule="atLeast"/>
        </w:trPr>
        <w:tc>
          <w:tcPr>
            <w:tcW w:w="1466" w:type="dxa"/>
          </w:tcPr>
          <w:p>
            <w:pPr>
              <w:pStyle w:val="TableParagraph"/>
              <w:spacing w:before="37"/>
              <w:ind w:right="343"/>
              <w:rPr>
                <w:rFonts w:ascii="Times New Roman"/>
                <w:i/>
                <w:sz w:val="22"/>
              </w:rPr>
            </w:pPr>
            <w:r>
              <w:rPr>
                <w:rFonts w:ascii="Times New Roman"/>
                <w:i/>
                <w:sz w:val="22"/>
              </w:rPr>
              <w:t>success- </w:t>
            </w: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probability of success on each trial.</w:t>
            </w:r>
          </w:p>
        </w:tc>
      </w:tr>
      <w:tr>
        <w:trPr>
          <w:trHeight w:val="1698" w:hRule="atLeast"/>
        </w:trPr>
        <w:tc>
          <w:tcPr>
            <w:tcW w:w="1466" w:type="dxa"/>
          </w:tcPr>
          <w:p>
            <w:pPr>
              <w:pStyle w:val="TableParagraph"/>
              <w:spacing w:before="39"/>
              <w:ind w:right="282"/>
              <w:rPr>
                <w:rFonts w:ascii="Times New Roman"/>
                <w:i/>
                <w:sz w:val="22"/>
              </w:rPr>
            </w:pPr>
            <w:r>
              <w:rPr>
                <w:rFonts w:ascii="Times New Roman"/>
                <w:i/>
                <w:sz w:val="22"/>
              </w:rPr>
              <w:t>cumulative- </w:t>
            </w:r>
            <w:r>
              <w:rPr>
                <w:rFonts w:ascii="Times New Roman"/>
                <w:i/>
                <w:sz w:val="22"/>
              </w:rPr>
              <w:t>flag</w:t>
            </w:r>
          </w:p>
        </w:tc>
        <w:tc>
          <w:tcPr>
            <w:tcW w:w="1800" w:type="dxa"/>
          </w:tcPr>
          <w:p>
            <w:pPr>
              <w:pStyle w:val="TableParagraph"/>
              <w:spacing w:before="42"/>
              <w:ind w:left="112"/>
              <w:rPr>
                <w:sz w:val="22"/>
              </w:rPr>
            </w:pPr>
            <w:r>
              <w:rPr>
                <w:sz w:val="22"/>
              </w:rPr>
              <w:t>logical</w:t>
            </w:r>
          </w:p>
        </w:tc>
        <w:tc>
          <w:tcPr>
            <w:tcW w:w="5400" w:type="dxa"/>
          </w:tcPr>
          <w:p>
            <w:pPr>
              <w:pStyle w:val="TableParagraph"/>
              <w:spacing w:before="42"/>
              <w:ind w:left="113" w:right="181"/>
              <w:rPr>
                <w:sz w:val="22"/>
              </w:rPr>
            </w:pPr>
            <w:r>
              <w:rPr>
                <w:sz w:val="22"/>
              </w:rPr>
              <w:t>Determines the form of the function. If </w:t>
            </w:r>
            <w:r>
              <w:rPr>
                <w:rFonts w:ascii="Consolas"/>
                <w:sz w:val="22"/>
              </w:rPr>
              <w:t>TRUE</w:t>
            </w:r>
            <w:r>
              <w:rPr>
                <w:sz w:val="22"/>
              </w:rPr>
              <w:t>, then the cumulative distribution function is returned, which is the probability that there are at most </w:t>
            </w:r>
            <w:r>
              <w:rPr>
                <w:rFonts w:ascii="Times New Roman"/>
                <w:i/>
                <w:sz w:val="22"/>
              </w:rPr>
              <w:t>number-successes </w:t>
            </w:r>
            <w:r>
              <w:rPr>
                <w:sz w:val="22"/>
              </w:rPr>
              <w:t>successes; if </w:t>
            </w:r>
            <w:r>
              <w:rPr>
                <w:rFonts w:ascii="Consolas"/>
                <w:sz w:val="22"/>
              </w:rPr>
              <w:t>FALSE</w:t>
            </w:r>
            <w:r>
              <w:rPr>
                <w:sz w:val="22"/>
              </w:rPr>
              <w:t>, the probability mass function is returned, which is the probability that there are </w:t>
            </w:r>
            <w:r>
              <w:rPr>
                <w:rFonts w:ascii="Times New Roman"/>
                <w:i/>
                <w:sz w:val="22"/>
              </w:rPr>
              <w:t>number- </w:t>
            </w:r>
            <w:r>
              <w:rPr>
                <w:rFonts w:ascii="Times New Roman"/>
                <w:i/>
                <w:sz w:val="22"/>
              </w:rPr>
              <w:t>successes </w:t>
            </w:r>
            <w:r>
              <w:rPr>
                <w:sz w:val="22"/>
              </w:rPr>
              <w:t>successes.</w:t>
            </w:r>
          </w:p>
        </w:tc>
      </w:tr>
    </w:tbl>
    <w:p>
      <w:pPr>
        <w:pStyle w:val="BodyText"/>
        <w:rPr>
          <w:b/>
          <w:sz w:val="20"/>
        </w:rPr>
      </w:pPr>
    </w:p>
    <w:p>
      <w:pPr>
        <w:pStyle w:val="BodyText"/>
        <w:rPr>
          <w:b/>
          <w:sz w:val="17"/>
        </w:rPr>
      </w:pPr>
    </w:p>
    <w:p>
      <w:pPr>
        <w:spacing w:line="453" w:lineRule="auto" w:before="57"/>
        <w:ind w:left="220" w:right="2598" w:firstLine="0"/>
        <w:jc w:val="left"/>
        <w:rPr>
          <w:sz w:val="22"/>
        </w:rPr>
      </w:pPr>
      <w:r>
        <w:rPr>
          <w:b/>
          <w:sz w:val="22"/>
        </w:rPr>
        <w:t>Return Type and Value: </w:t>
      </w:r>
      <w:r>
        <w:rPr>
          <w:sz w:val="22"/>
        </w:rPr>
        <w:t>number – The individual term binomial distribution probability.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number-successes </w:t>
      </w:r>
      <w:r>
        <w:rPr>
          <w:sz w:val="22"/>
        </w:rPr>
        <w:t>&lt; 0 or </w:t>
      </w:r>
      <w:r>
        <w:rPr>
          <w:rFonts w:ascii="Times New Roman" w:hAnsi="Times New Roman"/>
          <w:i/>
          <w:sz w:val="22"/>
        </w:rPr>
        <w:t>number-successes </w:t>
      </w:r>
      <w:r>
        <w:rPr>
          <w:sz w:val="22"/>
        </w:rPr>
        <w:t>&gt; </w:t>
      </w:r>
      <w:r>
        <w:rPr>
          <w:rFonts w:ascii="Times New Roman" w:hAnsi="Times New Roman"/>
          <w:i/>
          <w:sz w:val="22"/>
        </w:rPr>
        <w:t>number-trials</w:t>
      </w:r>
      <w:r>
        <w:rPr>
          <w:sz w:val="22"/>
        </w:rPr>
        <w:t>,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4" w:lineRule="auto" w:before="41" w:after="0"/>
        <w:ind w:left="220" w:right="3575" w:firstLine="360"/>
        <w:jc w:val="left"/>
        <w:rPr>
          <w:sz w:val="22"/>
        </w:rPr>
      </w:pPr>
      <w:r>
        <w:rPr>
          <w:rFonts w:ascii="Times New Roman" w:hAnsi="Times New Roman"/>
          <w:i/>
          <w:sz w:val="22"/>
        </w:rPr>
        <w:t>success-probability </w:t>
      </w:r>
      <w:r>
        <w:rPr>
          <w:sz w:val="22"/>
        </w:rPr>
        <w:t>&lt; 0 or </w:t>
      </w:r>
      <w:r>
        <w:rPr>
          <w:rFonts w:ascii="Times New Roman" w:hAnsi="Times New Roman"/>
          <w:i/>
          <w:sz w:val="22"/>
        </w:rPr>
        <w:t>success-probability </w:t>
      </w:r>
      <w:r>
        <w:rPr>
          <w:sz w:val="22"/>
        </w:rPr>
        <w:t>&gt; 1, </w:t>
      </w:r>
      <w:r>
        <w:rPr>
          <w:rFonts w:ascii="Consolas" w:hAnsi="Consolas"/>
          <w:sz w:val="22"/>
        </w:rPr>
        <w:t>#NUM!</w:t>
      </w:r>
      <w:r>
        <w:rPr>
          <w:rFonts w:ascii="Consolas" w:hAnsi="Consolas"/>
          <w:spacing w:val="-91"/>
          <w:sz w:val="22"/>
        </w:rPr>
        <w:t> </w:t>
      </w:r>
      <w:r>
        <w:rPr>
          <w:sz w:val="22"/>
        </w:rPr>
        <w:t>is returned. [</w:t>
      </w:r>
      <w:r>
        <w:rPr>
          <w:i/>
          <w:sz w:val="22"/>
        </w:rPr>
        <w:t>Example</w:t>
      </w:r>
      <w:r>
        <w:rPr>
          <w:sz w:val="22"/>
        </w:rPr>
        <w:t>:</w:t>
      </w:r>
    </w:p>
    <w:p>
      <w:pPr>
        <w:pStyle w:val="BodyText"/>
        <w:spacing w:line="276" w:lineRule="auto" w:before="132"/>
        <w:ind w:left="220" w:right="4547"/>
        <w:rPr>
          <w:rFonts w:ascii="Consolas"/>
        </w:rPr>
      </w:pPr>
      <w:r>
        <w:rPr>
          <w:rFonts w:ascii="Consolas"/>
        </w:rPr>
        <w:t>BINOMDIST(6,10,0.5,FALSE)</w:t>
      </w:r>
      <w:r>
        <w:rPr>
          <w:rFonts w:ascii="Consolas"/>
          <w:spacing w:val="-69"/>
        </w:rPr>
        <w:t> </w:t>
      </w:r>
      <w:r>
        <w:rPr/>
        <w:t>results in </w:t>
      </w:r>
      <w:r>
        <w:rPr>
          <w:rFonts w:ascii="Consolas"/>
        </w:rPr>
        <w:t>0.205078125 BINOMDIST(6,10,0.5,TRUE) </w:t>
      </w:r>
      <w:r>
        <w:rPr/>
        <w:t>results in </w:t>
      </w:r>
      <w:r>
        <w:rPr>
          <w:rFonts w:ascii="Consolas"/>
        </w:rPr>
        <w:t>0.828125</w:t>
      </w:r>
    </w:p>
    <w:p>
      <w:pPr>
        <w:pStyle w:val="BodyText"/>
        <w:spacing w:before="6"/>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3 CEILING" w:id="1491"/>
      <w:bookmarkEnd w:id="1491"/>
      <w:r>
        <w:rPr/>
      </w:r>
      <w:bookmarkStart w:name="_bookmark496" w:id="1492"/>
      <w:bookmarkEnd w:id="1492"/>
      <w:r>
        <w:rPr/>
      </w:r>
      <w:bookmarkStart w:name="_bookmark496" w:id="1493"/>
      <w:bookmarkEnd w:id="1493"/>
      <w:r>
        <w:rPr>
          <w:color w:val="4F81BC"/>
        </w:rPr>
        <w:t>C</w:t>
      </w:r>
      <w:r>
        <w:rPr>
          <w:color w:val="4F81BC"/>
        </w:rPr>
        <w:t>EILING</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CEILING ( </w:t>
      </w:r>
      <w:r>
        <w:rPr>
          <w:i/>
          <w:sz w:val="22"/>
        </w:rPr>
        <w:t>x </w:t>
      </w:r>
      <w:r>
        <w:rPr>
          <w:rFonts w:ascii="Lucida Console"/>
          <w:sz w:val="20"/>
        </w:rPr>
        <w:t>, </w:t>
      </w:r>
      <w:r>
        <w:rPr>
          <w:i/>
          <w:sz w:val="22"/>
        </w:rPr>
        <w:t>significance </w:t>
      </w:r>
      <w:r>
        <w:rPr>
          <w:rFonts w:ascii="Lucida Console"/>
          <w:sz w:val="20"/>
        </w:rPr>
        <w:t>)</w:t>
      </w:r>
    </w:p>
    <w:p>
      <w:pPr>
        <w:pStyle w:val="BodyText"/>
        <w:spacing w:line="278" w:lineRule="auto" w:before="106"/>
        <w:ind w:left="220" w:right="761"/>
      </w:pPr>
      <w:r>
        <w:rPr>
          <w:b/>
        </w:rPr>
        <w:t>Description: </w:t>
      </w:r>
      <w:r>
        <w:rPr/>
        <w:t>Computes a value that is </w:t>
      </w:r>
      <w:r>
        <w:rPr>
          <w:rFonts w:ascii="Times New Roman"/>
          <w:i/>
        </w:rPr>
        <w:t>x </w:t>
      </w:r>
      <w:r>
        <w:rPr/>
        <w:t>rounded-up, away from zero, to the nearest multiple of </w:t>
      </w:r>
      <w:r>
        <w:rPr>
          <w:rFonts w:ascii="Times New Roman"/>
          <w:i/>
        </w:rPr>
        <w:t>significance</w:t>
      </w:r>
      <w:r>
        <w:rPr/>
        <w:t>. Regardless of the sign of </w:t>
      </w:r>
      <w:r>
        <w:rPr>
          <w:rFonts w:ascii="Times New Roman"/>
          <w:i/>
        </w:rPr>
        <w:t>x</w:t>
      </w:r>
      <w:r>
        <w:rPr/>
        <w:t>, a value is rounded up when adjusted away from zero.</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w:t>
            </w:r>
          </w:p>
        </w:tc>
      </w:tr>
      <w:tr>
        <w:trPr>
          <w:trHeight w:val="1696" w:hRule="atLeast"/>
        </w:trPr>
        <w:tc>
          <w:tcPr>
            <w:tcW w:w="1466" w:type="dxa"/>
          </w:tcPr>
          <w:p>
            <w:pPr>
              <w:pStyle w:val="TableParagraph"/>
              <w:spacing w:before="37"/>
              <w:rPr>
                <w:rFonts w:ascii="Times New Roman"/>
                <w:i/>
                <w:sz w:val="22"/>
              </w:rPr>
            </w:pPr>
            <w:r>
              <w:rPr>
                <w:rFonts w:ascii="Times New Roman"/>
                <w:i/>
                <w:sz w:val="22"/>
              </w:rPr>
              <w:t>significance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multiple to which </w:t>
            </w:r>
            <w:r>
              <w:rPr>
                <w:rFonts w:ascii="Times New Roman"/>
                <w:i/>
                <w:sz w:val="22"/>
              </w:rPr>
              <w:t>x </w:t>
            </w:r>
            <w:r>
              <w:rPr>
                <w:sz w:val="22"/>
              </w:rPr>
              <w:t>is to be rounded.</w:t>
            </w:r>
          </w:p>
          <w:p>
            <w:pPr>
              <w:pStyle w:val="TableParagraph"/>
              <w:spacing w:before="0"/>
              <w:ind w:left="0"/>
              <w:rPr>
                <w:b/>
                <w:sz w:val="22"/>
              </w:rPr>
            </w:pPr>
          </w:p>
          <w:p>
            <w:pPr>
              <w:pStyle w:val="TableParagraph"/>
              <w:spacing w:before="0"/>
              <w:ind w:left="113" w:right="409"/>
              <w:rPr>
                <w:sz w:val="22"/>
              </w:rPr>
            </w:pPr>
            <w:r>
              <w:rPr>
                <w:sz w:val="22"/>
              </w:rPr>
              <w:t>If </w:t>
            </w:r>
            <w:r>
              <w:rPr>
                <w:rFonts w:ascii="Times New Roman"/>
                <w:i/>
                <w:sz w:val="22"/>
              </w:rPr>
              <w:t>x </w:t>
            </w:r>
            <w:r>
              <w:rPr>
                <w:sz w:val="22"/>
              </w:rPr>
              <w:t>is negative, and </w:t>
            </w:r>
            <w:r>
              <w:rPr>
                <w:rFonts w:ascii="Times New Roman"/>
                <w:i/>
                <w:sz w:val="22"/>
              </w:rPr>
              <w:t>significance </w:t>
            </w:r>
            <w:r>
              <w:rPr>
                <w:sz w:val="22"/>
              </w:rPr>
              <w:t>is negative, then the value is rounded down (away from zero). If </w:t>
            </w:r>
            <w:r>
              <w:rPr>
                <w:rFonts w:ascii="Times New Roman"/>
                <w:i/>
                <w:sz w:val="22"/>
              </w:rPr>
              <w:t>x </w:t>
            </w:r>
            <w:r>
              <w:rPr>
                <w:sz w:val="22"/>
              </w:rPr>
              <w:t>is negative, and </w:t>
            </w:r>
            <w:r>
              <w:rPr>
                <w:rFonts w:ascii="Times New Roman"/>
                <w:i/>
                <w:sz w:val="22"/>
              </w:rPr>
              <w:t>significance </w:t>
            </w:r>
            <w:r>
              <w:rPr>
                <w:sz w:val="22"/>
              </w:rPr>
              <w:t>is positive, then the value is rounded up, towards zero.</w:t>
            </w:r>
          </w:p>
        </w:tc>
      </w:tr>
    </w:tbl>
    <w:p>
      <w:pPr>
        <w:spacing w:after="0"/>
        <w:rPr>
          <w:sz w:val="22"/>
        </w:rPr>
        <w:sectPr>
          <w:pgSz w:w="12240" w:h="15840"/>
          <w:pgMar w:header="763" w:footer="746" w:top="1340" w:bottom="940" w:left="860" w:right="700"/>
        </w:sectPr>
      </w:pPr>
    </w:p>
    <w:p>
      <w:pPr>
        <w:pStyle w:val="BodyText"/>
        <w:rPr>
          <w:b/>
          <w:sz w:val="20"/>
        </w:rPr>
      </w:pPr>
    </w:p>
    <w:p>
      <w:pPr>
        <w:pStyle w:val="BodyText"/>
        <w:spacing w:before="2"/>
        <w:rPr>
          <w:b/>
        </w:rPr>
      </w:pPr>
    </w:p>
    <w:p>
      <w:pPr>
        <w:spacing w:line="453" w:lineRule="auto" w:before="87"/>
        <w:ind w:left="220" w:right="4130" w:firstLine="0"/>
        <w:jc w:val="left"/>
        <w:rPr>
          <w:sz w:val="22"/>
        </w:rPr>
      </w:pPr>
      <w:r>
        <w:rPr>
          <w:b/>
          <w:sz w:val="22"/>
        </w:rPr>
        <w:t>Return Type and Value: </w:t>
      </w:r>
      <w:r>
        <w:rPr>
          <w:sz w:val="22"/>
        </w:rPr>
        <w:t>number – The rounded-up value of </w:t>
      </w:r>
      <w:r>
        <w:rPr>
          <w:rFonts w:ascii="Times New Roman" w:hAnsi="Times New Roman"/>
          <w:i/>
          <w:sz w:val="22"/>
        </w:rPr>
        <w:t>x</w:t>
      </w:r>
      <w:r>
        <w:rPr>
          <w:sz w:val="22"/>
        </w:rPr>
        <w:t>. However, if </w:t>
      </w:r>
      <w:r>
        <w:rPr>
          <w:rFonts w:ascii="Times New Roman" w:hAnsi="Times New Roman"/>
          <w:i/>
          <w:sz w:val="22"/>
        </w:rPr>
        <w:t>x </w:t>
      </w:r>
      <w:r>
        <w:rPr>
          <w:sz w:val="22"/>
        </w:rPr>
        <w:t>and </w:t>
      </w:r>
      <w:r>
        <w:rPr>
          <w:rFonts w:ascii="Times New Roman" w:hAnsi="Times New Roman"/>
          <w:i/>
          <w:sz w:val="22"/>
        </w:rPr>
        <w:t>significance </w:t>
      </w:r>
      <w:r>
        <w:rPr>
          <w:sz w:val="22"/>
        </w:rPr>
        <w:t>have different signs, </w:t>
      </w:r>
      <w:r>
        <w:rPr>
          <w:rFonts w:ascii="Consolas" w:hAnsi="Consolas"/>
          <w:sz w:val="22"/>
        </w:rPr>
        <w:t>#NUM!</w:t>
      </w:r>
      <w:r>
        <w:rPr>
          <w:rFonts w:ascii="Consolas" w:hAnsi="Consolas"/>
          <w:spacing w:val="-100"/>
          <w:sz w:val="22"/>
        </w:rPr>
        <w:t> </w:t>
      </w:r>
      <w:r>
        <w:rPr>
          <w:sz w:val="22"/>
        </w:rPr>
        <w:t>is returned. [</w:t>
      </w:r>
      <w:r>
        <w:rPr>
          <w:i/>
          <w:sz w:val="22"/>
        </w:rPr>
        <w:t>Example</w:t>
      </w:r>
      <w:r>
        <w:rPr>
          <w:sz w:val="22"/>
        </w:rPr>
        <w:t>:</w:t>
      </w:r>
    </w:p>
    <w:p>
      <w:pPr>
        <w:pStyle w:val="BodyText"/>
        <w:spacing w:line="276" w:lineRule="auto" w:before="109"/>
        <w:ind w:left="220" w:right="3201"/>
        <w:rPr>
          <w:rFonts w:ascii="Consolas"/>
        </w:rPr>
      </w:pPr>
      <w:r>
        <w:rPr>
          <w:rFonts w:ascii="Consolas"/>
        </w:rPr>
        <w:t>CEILING(2.5,1) </w:t>
      </w:r>
      <w:r>
        <w:rPr/>
        <w:t>rounds 2.5 up to nearest multiple of 1; that is, to </w:t>
      </w:r>
      <w:r>
        <w:rPr>
          <w:rFonts w:ascii="Consolas"/>
        </w:rPr>
        <w:t>3 CEILING(-2.5,-2) </w:t>
      </w:r>
      <w:r>
        <w:rPr/>
        <w:t>rounds -2.5 up to nearest multiple of -2; that is, to </w:t>
      </w:r>
      <w:r>
        <w:rPr>
          <w:rFonts w:ascii="Consolas"/>
        </w:rPr>
        <w:t>-4 CEILING(1.5,0.1)</w:t>
      </w:r>
      <w:r>
        <w:rPr>
          <w:rFonts w:ascii="Consolas"/>
          <w:spacing w:val="-93"/>
        </w:rPr>
        <w:t> </w:t>
      </w:r>
      <w:r>
        <w:rPr/>
        <w:t>rounds 1.5 up to the nearest multiple of 0.1; that is, to </w:t>
      </w:r>
      <w:r>
        <w:rPr>
          <w:rFonts w:ascii="Consolas"/>
          <w:spacing w:val="-2"/>
        </w:rPr>
        <w:t>1.5</w:t>
      </w:r>
    </w:p>
    <w:p>
      <w:pPr>
        <w:pStyle w:val="BodyText"/>
        <w:ind w:left="220"/>
        <w:rPr>
          <w:rFonts w:ascii="Consolas"/>
        </w:rPr>
      </w:pPr>
      <w:r>
        <w:rPr>
          <w:rFonts w:ascii="Consolas"/>
        </w:rPr>
        <w:t>CEILING(0.234,0.01)</w:t>
      </w:r>
      <w:r>
        <w:rPr>
          <w:rFonts w:ascii="Consolas"/>
          <w:spacing w:val="-83"/>
        </w:rPr>
        <w:t> </w:t>
      </w:r>
      <w:r>
        <w:rPr/>
        <w:t>rounds 0.234 up to the nearest multiple of 0.01; that is, to </w:t>
      </w:r>
      <w:r>
        <w:rPr>
          <w:rFonts w:ascii="Consolas"/>
        </w:rPr>
        <w:t>0.24</w:t>
      </w:r>
    </w:p>
    <w:p>
      <w:pPr>
        <w:pStyle w:val="BodyText"/>
        <w:spacing w:before="2"/>
        <w:rPr>
          <w:rFonts w:ascii="Consolas"/>
          <w:sz w:val="3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4 CELL" w:id="1494"/>
      <w:bookmarkEnd w:id="1494"/>
      <w:r>
        <w:rPr/>
      </w:r>
      <w:bookmarkStart w:name="_bookmark497" w:id="1495"/>
      <w:bookmarkEnd w:id="1495"/>
      <w:r>
        <w:rPr/>
      </w:r>
      <w:bookmarkStart w:name="_bookmark497" w:id="1496"/>
      <w:bookmarkEnd w:id="1496"/>
      <w:r>
        <w:rPr>
          <w:color w:val="4F81BC"/>
        </w:rPr>
        <w:t>C</w:t>
      </w:r>
      <w:r>
        <w:rPr>
          <w:color w:val="4F81BC"/>
        </w:rPr>
        <w:t>ELL</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CELL ( </w:t>
      </w:r>
      <w:r>
        <w:rPr>
          <w:i/>
          <w:sz w:val="22"/>
        </w:rPr>
        <w:t>category </w:t>
      </w:r>
      <w:r>
        <w:rPr>
          <w:sz w:val="22"/>
        </w:rPr>
        <w:t>[ </w:t>
      </w:r>
      <w:r>
        <w:rPr>
          <w:rFonts w:ascii="Lucida Console"/>
          <w:sz w:val="20"/>
        </w:rPr>
        <w:t>, </w:t>
      </w:r>
      <w:r>
        <w:rPr>
          <w:i/>
          <w:sz w:val="22"/>
        </w:rPr>
        <w:t>reference </w:t>
      </w:r>
      <w:r>
        <w:rPr>
          <w:sz w:val="22"/>
        </w:rPr>
        <w:t>] </w:t>
      </w:r>
      <w:r>
        <w:rPr>
          <w:rFonts w:ascii="Lucida Console"/>
          <w:sz w:val="20"/>
        </w:rPr>
        <w:t>)</w:t>
      </w:r>
    </w:p>
    <w:p>
      <w:pPr>
        <w:pStyle w:val="BodyText"/>
        <w:spacing w:before="106"/>
        <w:ind w:left="220"/>
      </w:pPr>
      <w:r>
        <w:rPr>
          <w:b/>
        </w:rPr>
        <w:t>Description: </w:t>
      </w:r>
      <w:r>
        <w:rPr/>
        <w:t>Retrieves information about the formatting, location, or contents of the upper-left cell indicated by</w:t>
      </w:r>
    </w:p>
    <w:p>
      <w:pPr>
        <w:spacing w:before="43"/>
        <w:ind w:left="220" w:right="0" w:firstLine="0"/>
        <w:jc w:val="left"/>
        <w:rPr>
          <w:sz w:val="22"/>
        </w:rPr>
      </w:pPr>
      <w:r>
        <w:rPr>
          <w:rFonts w:ascii="Times New Roman"/>
          <w:i/>
          <w:sz w:val="22"/>
        </w:rPr>
        <w:t>reference</w:t>
      </w:r>
      <w:r>
        <w:rPr>
          <w:sz w:val="22"/>
        </w:rPr>
        <w:t>. </w:t>
      </w:r>
      <w:r>
        <w:rPr>
          <w:rFonts w:ascii="Times New Roman"/>
          <w:i/>
          <w:sz w:val="22"/>
        </w:rPr>
        <w:t>category </w:t>
      </w:r>
      <w:r>
        <w:rPr>
          <w:sz w:val="22"/>
        </w:rPr>
        <w:t>indicates the kind of information to be retrieved.</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category</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The category string as defined in the table following.</w:t>
            </w:r>
          </w:p>
        </w:tc>
      </w:tr>
      <w:tr>
        <w:trPr>
          <w:trHeight w:val="2502" w:hRule="atLeast"/>
        </w:trPr>
        <w:tc>
          <w:tcPr>
            <w:tcW w:w="1466" w:type="dxa"/>
          </w:tcPr>
          <w:p>
            <w:pPr>
              <w:pStyle w:val="TableParagraph"/>
              <w:spacing w:before="37"/>
              <w:rPr>
                <w:rFonts w:ascii="Times New Roman"/>
                <w:i/>
                <w:sz w:val="22"/>
              </w:rPr>
            </w:pPr>
            <w:r>
              <w:rPr>
                <w:rFonts w:ascii="Times New Roman"/>
                <w:i/>
                <w:sz w:val="22"/>
              </w:rPr>
              <w:t>reference</w:t>
            </w:r>
          </w:p>
        </w:tc>
        <w:tc>
          <w:tcPr>
            <w:tcW w:w="1800" w:type="dxa"/>
          </w:tcPr>
          <w:p>
            <w:pPr>
              <w:pStyle w:val="TableParagraph"/>
              <w:ind w:left="112"/>
              <w:rPr>
                <w:sz w:val="22"/>
              </w:rPr>
            </w:pPr>
            <w:r>
              <w:rPr>
                <w:sz w:val="22"/>
              </w:rPr>
              <w:t>reference</w:t>
            </w:r>
          </w:p>
        </w:tc>
        <w:tc>
          <w:tcPr>
            <w:tcW w:w="5400" w:type="dxa"/>
          </w:tcPr>
          <w:p>
            <w:pPr>
              <w:pStyle w:val="TableParagraph"/>
              <w:ind w:left="113" w:right="182"/>
              <w:rPr>
                <w:sz w:val="22"/>
              </w:rPr>
            </w:pPr>
            <w:r>
              <w:rPr>
                <w:sz w:val="22"/>
              </w:rPr>
              <w:t>Refers to the cell whose category information is being requested. If </w:t>
            </w:r>
            <w:r>
              <w:rPr>
                <w:rFonts w:ascii="Times New Roman"/>
                <w:i/>
                <w:sz w:val="22"/>
              </w:rPr>
              <w:t>reference </w:t>
            </w:r>
            <w:r>
              <w:rPr>
                <w:sz w:val="22"/>
              </w:rPr>
              <w:t>is a cell range, the first cell in that range is the cell whose category information is being requested. If </w:t>
            </w:r>
            <w:r>
              <w:rPr>
                <w:rFonts w:ascii="Times New Roman"/>
                <w:i/>
                <w:sz w:val="22"/>
              </w:rPr>
              <w:t>reference </w:t>
            </w:r>
            <w:r>
              <w:rPr>
                <w:sz w:val="22"/>
              </w:rPr>
              <w:t>is omitted, the information retrieved pertains to the most recent cell whose value was changed. For the category </w:t>
            </w:r>
            <w:r>
              <w:rPr>
                <w:rFonts w:ascii="Consolas"/>
                <w:sz w:val="22"/>
              </w:rPr>
              <w:t>"format"</w:t>
            </w:r>
            <w:r>
              <w:rPr>
                <w:sz w:val="22"/>
              </w:rPr>
              <w:t>, if </w:t>
            </w:r>
            <w:r>
              <w:rPr>
                <w:rFonts w:ascii="Times New Roman"/>
                <w:i/>
                <w:sz w:val="22"/>
              </w:rPr>
              <w:t>reference </w:t>
            </w:r>
            <w:r>
              <w:rPr>
                <w:sz w:val="22"/>
              </w:rPr>
              <w:t>designates a cell formatted with a built-in number format, the number format string is as defined in the table following.</w:t>
            </w:r>
          </w:p>
        </w:tc>
      </w:tr>
    </w:tbl>
    <w:p>
      <w:pPr>
        <w:pStyle w:val="BodyText"/>
        <w:rPr>
          <w:b/>
          <w:sz w:val="20"/>
        </w:rPr>
      </w:pPr>
    </w:p>
    <w:p>
      <w:pPr>
        <w:pStyle w:val="BodyText"/>
        <w:spacing w:before="8"/>
        <w:rPr>
          <w:b/>
          <w:sz w:val="21"/>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4"/>
        <w:gridCol w:w="5784"/>
        <w:gridCol w:w="1554"/>
      </w:tblGrid>
      <w:tr>
        <w:trPr>
          <w:trHeight w:val="355" w:hRule="atLeast"/>
        </w:trPr>
        <w:tc>
          <w:tcPr>
            <w:tcW w:w="1954" w:type="dxa"/>
            <w:shd w:val="clear" w:color="auto" w:fill="C0C0C0"/>
          </w:tcPr>
          <w:p>
            <w:pPr>
              <w:pStyle w:val="TableParagraph"/>
              <w:spacing w:before="42"/>
              <w:ind w:left="590"/>
              <w:rPr>
                <w:rFonts w:ascii="Times New Roman"/>
                <w:b/>
                <w:i/>
                <w:sz w:val="22"/>
              </w:rPr>
            </w:pPr>
            <w:r>
              <w:rPr>
                <w:rFonts w:ascii="Times New Roman"/>
                <w:b/>
                <w:i/>
                <w:sz w:val="22"/>
              </w:rPr>
              <w:t>category</w:t>
            </w:r>
          </w:p>
        </w:tc>
        <w:tc>
          <w:tcPr>
            <w:tcW w:w="5784" w:type="dxa"/>
            <w:shd w:val="clear" w:color="auto" w:fill="C0C0C0"/>
          </w:tcPr>
          <w:p>
            <w:pPr>
              <w:pStyle w:val="TableParagraph"/>
              <w:ind w:left="2465" w:right="2461"/>
              <w:jc w:val="center"/>
              <w:rPr>
                <w:b/>
                <w:sz w:val="22"/>
              </w:rPr>
            </w:pPr>
            <w:r>
              <w:rPr>
                <w:b/>
                <w:sz w:val="22"/>
              </w:rPr>
              <w:t>Meaning</w:t>
            </w:r>
          </w:p>
        </w:tc>
        <w:tc>
          <w:tcPr>
            <w:tcW w:w="1554" w:type="dxa"/>
            <w:shd w:val="clear" w:color="auto" w:fill="C0C0C0"/>
          </w:tcPr>
          <w:p>
            <w:pPr>
              <w:pStyle w:val="TableParagraph"/>
              <w:ind w:left="240"/>
              <w:rPr>
                <w:b/>
                <w:sz w:val="22"/>
              </w:rPr>
            </w:pPr>
            <w:r>
              <w:rPr>
                <w:b/>
                <w:sz w:val="22"/>
              </w:rPr>
              <w:t>Result Type</w:t>
            </w:r>
          </w:p>
        </w:tc>
      </w:tr>
      <w:tr>
        <w:trPr>
          <w:trHeight w:val="354" w:hRule="atLeast"/>
        </w:trPr>
        <w:tc>
          <w:tcPr>
            <w:tcW w:w="1954" w:type="dxa"/>
          </w:tcPr>
          <w:p>
            <w:pPr>
              <w:pStyle w:val="TableParagraph"/>
              <w:spacing w:before="42"/>
              <w:rPr>
                <w:rFonts w:ascii="Consolas"/>
                <w:sz w:val="22"/>
              </w:rPr>
            </w:pPr>
            <w:r>
              <w:rPr>
                <w:rFonts w:ascii="Consolas"/>
                <w:sz w:val="22"/>
              </w:rPr>
              <w:t>"address"</w:t>
            </w:r>
          </w:p>
        </w:tc>
        <w:tc>
          <w:tcPr>
            <w:tcW w:w="5784" w:type="dxa"/>
          </w:tcPr>
          <w:p>
            <w:pPr>
              <w:pStyle w:val="TableParagraph"/>
              <w:ind w:left="114"/>
              <w:rPr>
                <w:sz w:val="22"/>
              </w:rPr>
            </w:pPr>
            <w:r>
              <w:rPr>
                <w:sz w:val="22"/>
              </w:rPr>
              <w:t>Reference of the first cell in </w:t>
            </w:r>
            <w:r>
              <w:rPr>
                <w:rFonts w:ascii="Times New Roman"/>
                <w:i/>
                <w:sz w:val="22"/>
              </w:rPr>
              <w:t>reference</w:t>
            </w:r>
            <w:r>
              <w:rPr>
                <w:sz w:val="22"/>
              </w:rPr>
              <w:t>.</w:t>
            </w:r>
          </w:p>
        </w:tc>
        <w:tc>
          <w:tcPr>
            <w:tcW w:w="1554" w:type="dxa"/>
          </w:tcPr>
          <w:p>
            <w:pPr>
              <w:pStyle w:val="TableParagraph"/>
              <w:ind w:left="111"/>
              <w:rPr>
                <w:sz w:val="22"/>
              </w:rPr>
            </w:pPr>
            <w:r>
              <w:rPr>
                <w:sz w:val="22"/>
              </w:rPr>
              <w:t>text</w:t>
            </w:r>
          </w:p>
        </w:tc>
      </w:tr>
      <w:tr>
        <w:trPr>
          <w:trHeight w:val="354" w:hRule="atLeast"/>
        </w:trPr>
        <w:tc>
          <w:tcPr>
            <w:tcW w:w="1954" w:type="dxa"/>
          </w:tcPr>
          <w:p>
            <w:pPr>
              <w:pStyle w:val="TableParagraph"/>
              <w:spacing w:before="42"/>
              <w:rPr>
                <w:rFonts w:ascii="Consolas"/>
                <w:sz w:val="22"/>
              </w:rPr>
            </w:pPr>
            <w:r>
              <w:rPr>
                <w:rFonts w:ascii="Consolas"/>
                <w:sz w:val="22"/>
              </w:rPr>
              <w:t>"col"</w:t>
            </w:r>
          </w:p>
        </w:tc>
        <w:tc>
          <w:tcPr>
            <w:tcW w:w="5784" w:type="dxa"/>
          </w:tcPr>
          <w:p>
            <w:pPr>
              <w:pStyle w:val="TableParagraph"/>
              <w:ind w:left="114"/>
              <w:rPr>
                <w:sz w:val="22"/>
              </w:rPr>
            </w:pPr>
            <w:r>
              <w:rPr>
                <w:sz w:val="22"/>
              </w:rPr>
              <w:t>Column number of the cell in </w:t>
            </w:r>
            <w:r>
              <w:rPr>
                <w:rFonts w:ascii="Times New Roman"/>
                <w:i/>
                <w:sz w:val="22"/>
              </w:rPr>
              <w:t>reference</w:t>
            </w:r>
            <w:r>
              <w:rPr>
                <w:sz w:val="22"/>
              </w:rPr>
              <w:t>.</w:t>
            </w:r>
          </w:p>
        </w:tc>
        <w:tc>
          <w:tcPr>
            <w:tcW w:w="1554" w:type="dxa"/>
          </w:tcPr>
          <w:p>
            <w:pPr>
              <w:pStyle w:val="TableParagraph"/>
              <w:ind w:left="111"/>
              <w:rPr>
                <w:sz w:val="22"/>
              </w:rPr>
            </w:pPr>
            <w:r>
              <w:rPr>
                <w:sz w:val="22"/>
              </w:rPr>
              <w:t>number</w:t>
            </w:r>
          </w:p>
        </w:tc>
      </w:tr>
      <w:tr>
        <w:trPr>
          <w:trHeight w:val="621" w:hRule="atLeast"/>
        </w:trPr>
        <w:tc>
          <w:tcPr>
            <w:tcW w:w="1954" w:type="dxa"/>
          </w:tcPr>
          <w:p>
            <w:pPr>
              <w:pStyle w:val="TableParagraph"/>
              <w:spacing w:before="42"/>
              <w:rPr>
                <w:rFonts w:ascii="Consolas"/>
                <w:sz w:val="22"/>
              </w:rPr>
            </w:pPr>
            <w:r>
              <w:rPr>
                <w:rFonts w:ascii="Consolas"/>
                <w:sz w:val="22"/>
              </w:rPr>
              <w:t>"color"</w:t>
            </w:r>
          </w:p>
        </w:tc>
        <w:tc>
          <w:tcPr>
            <w:tcW w:w="5784" w:type="dxa"/>
          </w:tcPr>
          <w:p>
            <w:pPr>
              <w:pStyle w:val="TableParagraph"/>
              <w:ind w:left="114" w:right="922"/>
              <w:rPr>
                <w:sz w:val="22"/>
              </w:rPr>
            </w:pPr>
            <w:r>
              <w:rPr>
                <w:sz w:val="22"/>
              </w:rPr>
              <w:t>1 if the cell is formatted in color for negative values; otherwise, 0. 0 if the cell does not contain a number.</w:t>
            </w:r>
          </w:p>
        </w:tc>
        <w:tc>
          <w:tcPr>
            <w:tcW w:w="1554" w:type="dxa"/>
          </w:tcPr>
          <w:p>
            <w:pPr>
              <w:pStyle w:val="TableParagraph"/>
              <w:ind w:left="111"/>
              <w:rPr>
                <w:sz w:val="22"/>
              </w:rPr>
            </w:pPr>
            <w:r>
              <w:rPr>
                <w:sz w:val="22"/>
              </w:rPr>
              <w:t>number</w:t>
            </w:r>
          </w:p>
        </w:tc>
      </w:tr>
      <w:tr>
        <w:trPr>
          <w:trHeight w:val="623" w:hRule="atLeast"/>
        </w:trPr>
        <w:tc>
          <w:tcPr>
            <w:tcW w:w="1954" w:type="dxa"/>
          </w:tcPr>
          <w:p>
            <w:pPr>
              <w:pStyle w:val="TableParagraph"/>
              <w:spacing w:before="44"/>
              <w:rPr>
                <w:rFonts w:ascii="Consolas"/>
                <w:sz w:val="22"/>
              </w:rPr>
            </w:pPr>
            <w:r>
              <w:rPr>
                <w:rFonts w:ascii="Consolas"/>
                <w:sz w:val="22"/>
              </w:rPr>
              <w:t>"contents"</w:t>
            </w:r>
          </w:p>
        </w:tc>
        <w:tc>
          <w:tcPr>
            <w:tcW w:w="5784" w:type="dxa"/>
          </w:tcPr>
          <w:p>
            <w:pPr>
              <w:pStyle w:val="TableParagraph"/>
              <w:spacing w:before="42"/>
              <w:ind w:left="114"/>
              <w:rPr>
                <w:sz w:val="22"/>
              </w:rPr>
            </w:pPr>
            <w:r>
              <w:rPr>
                <w:sz w:val="22"/>
              </w:rPr>
              <w:t>Value of the upper-left cell in </w:t>
            </w:r>
            <w:r>
              <w:rPr>
                <w:rFonts w:ascii="Times New Roman"/>
                <w:i/>
                <w:sz w:val="22"/>
              </w:rPr>
              <w:t>reference</w:t>
            </w:r>
            <w:r>
              <w:rPr>
                <w:sz w:val="22"/>
              </w:rPr>
              <w:t>.</w:t>
            </w:r>
          </w:p>
        </w:tc>
        <w:tc>
          <w:tcPr>
            <w:tcW w:w="1554" w:type="dxa"/>
          </w:tcPr>
          <w:p>
            <w:pPr>
              <w:pStyle w:val="TableParagraph"/>
              <w:spacing w:line="237" w:lineRule="auto" w:before="44"/>
              <w:ind w:left="111" w:right="704"/>
              <w:rPr>
                <w:sz w:val="22"/>
              </w:rPr>
            </w:pPr>
            <w:r>
              <w:rPr>
                <w:sz w:val="22"/>
              </w:rPr>
              <w:t>Text or number</w:t>
            </w:r>
          </w:p>
        </w:tc>
      </w:tr>
    </w:tbl>
    <w:p>
      <w:pPr>
        <w:spacing w:after="0" w:line="237" w:lineRule="auto"/>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4"/>
        <w:gridCol w:w="5784"/>
        <w:gridCol w:w="1554"/>
      </w:tblGrid>
      <w:tr>
        <w:trPr>
          <w:trHeight w:val="355" w:hRule="atLeast"/>
        </w:trPr>
        <w:tc>
          <w:tcPr>
            <w:tcW w:w="1954" w:type="dxa"/>
            <w:shd w:val="clear" w:color="auto" w:fill="C0C0C0"/>
          </w:tcPr>
          <w:p>
            <w:pPr>
              <w:pStyle w:val="TableParagraph"/>
              <w:spacing w:before="42"/>
              <w:ind w:left="590"/>
              <w:rPr>
                <w:rFonts w:ascii="Times New Roman"/>
                <w:b/>
                <w:i/>
                <w:sz w:val="22"/>
              </w:rPr>
            </w:pPr>
            <w:r>
              <w:rPr>
                <w:rFonts w:ascii="Times New Roman"/>
                <w:b/>
                <w:i/>
                <w:sz w:val="22"/>
              </w:rPr>
              <w:t>category</w:t>
            </w:r>
          </w:p>
        </w:tc>
        <w:tc>
          <w:tcPr>
            <w:tcW w:w="5784" w:type="dxa"/>
            <w:shd w:val="clear" w:color="auto" w:fill="C0C0C0"/>
          </w:tcPr>
          <w:p>
            <w:pPr>
              <w:pStyle w:val="TableParagraph"/>
              <w:ind w:left="2465" w:right="2461"/>
              <w:jc w:val="center"/>
              <w:rPr>
                <w:b/>
                <w:sz w:val="22"/>
              </w:rPr>
            </w:pPr>
            <w:r>
              <w:rPr>
                <w:b/>
                <w:sz w:val="22"/>
              </w:rPr>
              <w:t>Meaning</w:t>
            </w:r>
          </w:p>
        </w:tc>
        <w:tc>
          <w:tcPr>
            <w:tcW w:w="1554" w:type="dxa"/>
            <w:shd w:val="clear" w:color="auto" w:fill="C0C0C0"/>
          </w:tcPr>
          <w:p>
            <w:pPr>
              <w:pStyle w:val="TableParagraph"/>
              <w:ind w:left="240"/>
              <w:rPr>
                <w:b/>
                <w:sz w:val="22"/>
              </w:rPr>
            </w:pPr>
            <w:r>
              <w:rPr>
                <w:b/>
                <w:sz w:val="22"/>
              </w:rPr>
              <w:t>Result Type</w:t>
            </w:r>
          </w:p>
        </w:tc>
      </w:tr>
      <w:tr>
        <w:trPr>
          <w:trHeight w:val="892" w:hRule="atLeast"/>
        </w:trPr>
        <w:tc>
          <w:tcPr>
            <w:tcW w:w="1954" w:type="dxa"/>
          </w:tcPr>
          <w:p>
            <w:pPr>
              <w:pStyle w:val="TableParagraph"/>
              <w:spacing w:before="42"/>
              <w:rPr>
                <w:rFonts w:ascii="Consolas"/>
                <w:sz w:val="22"/>
              </w:rPr>
            </w:pPr>
            <w:r>
              <w:rPr>
                <w:rFonts w:ascii="Consolas"/>
                <w:sz w:val="22"/>
              </w:rPr>
              <w:t>"filename"</w:t>
            </w:r>
          </w:p>
        </w:tc>
        <w:tc>
          <w:tcPr>
            <w:tcW w:w="5784" w:type="dxa"/>
          </w:tcPr>
          <w:p>
            <w:pPr>
              <w:pStyle w:val="TableParagraph"/>
              <w:ind w:left="114"/>
              <w:rPr>
                <w:sz w:val="22"/>
              </w:rPr>
            </w:pPr>
            <w:r>
              <w:rPr>
                <w:sz w:val="22"/>
              </w:rPr>
              <w:t>Fully qualified filename of the file that contains </w:t>
            </w:r>
            <w:r>
              <w:rPr>
                <w:rFonts w:ascii="Times New Roman"/>
                <w:i/>
                <w:sz w:val="22"/>
              </w:rPr>
              <w:t>reference</w:t>
            </w:r>
            <w:r>
              <w:rPr>
                <w:sz w:val="22"/>
              </w:rPr>
              <w:t>. However, if the worksheet that contains </w:t>
            </w:r>
            <w:r>
              <w:rPr>
                <w:rFonts w:ascii="Times New Roman"/>
                <w:i/>
                <w:sz w:val="22"/>
              </w:rPr>
              <w:t>reference </w:t>
            </w:r>
            <w:r>
              <w:rPr>
                <w:sz w:val="22"/>
              </w:rPr>
              <w:t>has not yet been saved, the filename is an empty string.</w:t>
            </w:r>
          </w:p>
        </w:tc>
        <w:tc>
          <w:tcPr>
            <w:tcW w:w="1554" w:type="dxa"/>
          </w:tcPr>
          <w:p>
            <w:pPr>
              <w:pStyle w:val="TableParagraph"/>
              <w:ind w:left="111"/>
              <w:rPr>
                <w:sz w:val="22"/>
              </w:rPr>
            </w:pPr>
            <w:r>
              <w:rPr>
                <w:sz w:val="22"/>
              </w:rPr>
              <w:t>text</w:t>
            </w:r>
          </w:p>
        </w:tc>
      </w:tr>
      <w:tr>
        <w:trPr>
          <w:trHeight w:val="1427" w:hRule="atLeast"/>
        </w:trPr>
        <w:tc>
          <w:tcPr>
            <w:tcW w:w="1954" w:type="dxa"/>
          </w:tcPr>
          <w:p>
            <w:pPr>
              <w:pStyle w:val="TableParagraph"/>
              <w:spacing w:before="42"/>
              <w:rPr>
                <w:rFonts w:ascii="Consolas"/>
                <w:sz w:val="22"/>
              </w:rPr>
            </w:pPr>
            <w:r>
              <w:rPr>
                <w:rFonts w:ascii="Consolas"/>
                <w:sz w:val="22"/>
              </w:rPr>
              <w:t>"format"</w:t>
            </w:r>
          </w:p>
        </w:tc>
        <w:tc>
          <w:tcPr>
            <w:tcW w:w="5784" w:type="dxa"/>
          </w:tcPr>
          <w:p>
            <w:pPr>
              <w:pStyle w:val="TableParagraph"/>
              <w:ind w:left="114" w:right="247"/>
              <w:rPr>
                <w:sz w:val="22"/>
              </w:rPr>
            </w:pPr>
            <w:r>
              <w:rPr>
                <w:sz w:val="22"/>
              </w:rPr>
              <w:t>Number format of the cell. (See the discussion of formats below.) The number format string has </w:t>
            </w:r>
            <w:r>
              <w:rPr>
                <w:rFonts w:ascii="Consolas"/>
                <w:sz w:val="22"/>
              </w:rPr>
              <w:t>"-"</w:t>
            </w:r>
            <w:r>
              <w:rPr>
                <w:rFonts w:ascii="Consolas"/>
                <w:spacing w:val="-87"/>
                <w:sz w:val="22"/>
              </w:rPr>
              <w:t> </w:t>
            </w:r>
            <w:r>
              <w:rPr>
                <w:sz w:val="22"/>
              </w:rPr>
              <w:t>appended if the cell is formatted in color for negative values. The number format string has </w:t>
            </w:r>
            <w:r>
              <w:rPr>
                <w:rFonts w:ascii="Consolas"/>
                <w:sz w:val="22"/>
              </w:rPr>
              <w:t>"()"</w:t>
            </w:r>
            <w:r>
              <w:rPr>
                <w:rFonts w:ascii="Consolas"/>
                <w:spacing w:val="-83"/>
                <w:sz w:val="22"/>
              </w:rPr>
              <w:t> </w:t>
            </w:r>
            <w:r>
              <w:rPr>
                <w:sz w:val="22"/>
              </w:rPr>
              <w:t>appended if the cell is formatted in color for positive or all values.</w:t>
            </w:r>
          </w:p>
        </w:tc>
        <w:tc>
          <w:tcPr>
            <w:tcW w:w="1554" w:type="dxa"/>
          </w:tcPr>
          <w:p>
            <w:pPr>
              <w:pStyle w:val="TableParagraph"/>
              <w:ind w:left="111"/>
              <w:rPr>
                <w:sz w:val="22"/>
              </w:rPr>
            </w:pPr>
            <w:r>
              <w:rPr>
                <w:sz w:val="22"/>
              </w:rPr>
              <w:t>text</w:t>
            </w:r>
          </w:p>
        </w:tc>
      </w:tr>
      <w:tr>
        <w:trPr>
          <w:trHeight w:val="623" w:hRule="atLeast"/>
        </w:trPr>
        <w:tc>
          <w:tcPr>
            <w:tcW w:w="1954" w:type="dxa"/>
          </w:tcPr>
          <w:p>
            <w:pPr>
              <w:pStyle w:val="TableParagraph"/>
              <w:spacing w:before="42"/>
              <w:rPr>
                <w:rFonts w:ascii="Consolas"/>
                <w:sz w:val="22"/>
              </w:rPr>
            </w:pPr>
            <w:r>
              <w:rPr>
                <w:rFonts w:ascii="Consolas"/>
                <w:sz w:val="22"/>
              </w:rPr>
              <w:t>"parentheses"</w:t>
            </w:r>
          </w:p>
        </w:tc>
        <w:tc>
          <w:tcPr>
            <w:tcW w:w="5784" w:type="dxa"/>
          </w:tcPr>
          <w:p>
            <w:pPr>
              <w:pStyle w:val="TableParagraph"/>
              <w:ind w:left="114" w:right="247"/>
              <w:rPr>
                <w:sz w:val="22"/>
              </w:rPr>
            </w:pPr>
            <w:r>
              <w:rPr>
                <w:sz w:val="22"/>
              </w:rPr>
              <w:t>1 if the cell is formatted with parentheses for positive or all values; otherwise, 0. 0 if the cell does not contain a number.</w:t>
            </w:r>
          </w:p>
        </w:tc>
        <w:tc>
          <w:tcPr>
            <w:tcW w:w="1554" w:type="dxa"/>
          </w:tcPr>
          <w:p>
            <w:pPr>
              <w:pStyle w:val="TableParagraph"/>
              <w:ind w:left="111"/>
              <w:rPr>
                <w:sz w:val="22"/>
              </w:rPr>
            </w:pPr>
            <w:r>
              <w:rPr>
                <w:sz w:val="22"/>
              </w:rPr>
              <w:t>number</w:t>
            </w:r>
          </w:p>
        </w:tc>
      </w:tr>
      <w:tr>
        <w:trPr>
          <w:trHeight w:val="2561" w:hRule="atLeast"/>
        </w:trPr>
        <w:tc>
          <w:tcPr>
            <w:tcW w:w="1954" w:type="dxa"/>
          </w:tcPr>
          <w:p>
            <w:pPr>
              <w:pStyle w:val="TableParagraph"/>
              <w:spacing w:before="42"/>
              <w:rPr>
                <w:rFonts w:ascii="Consolas"/>
                <w:sz w:val="22"/>
              </w:rPr>
            </w:pPr>
            <w:r>
              <w:rPr>
                <w:rFonts w:ascii="Consolas"/>
                <w:sz w:val="22"/>
              </w:rPr>
              <w:t>"prefix"</w:t>
            </w:r>
          </w:p>
        </w:tc>
        <w:tc>
          <w:tcPr>
            <w:tcW w:w="5784" w:type="dxa"/>
          </w:tcPr>
          <w:p>
            <w:pPr>
              <w:pStyle w:val="TableParagraph"/>
              <w:ind w:left="114" w:right="520"/>
              <w:rPr>
                <w:sz w:val="22"/>
              </w:rPr>
            </w:pPr>
            <w:r>
              <w:rPr>
                <w:sz w:val="22"/>
              </w:rPr>
              <w:t>Text value corresponding to the label prefix of the cell, as follows:</w:t>
            </w:r>
          </w:p>
          <w:p>
            <w:pPr>
              <w:pStyle w:val="TableParagraph"/>
              <w:numPr>
                <w:ilvl w:val="0"/>
                <w:numId w:val="76"/>
              </w:numPr>
              <w:tabs>
                <w:tab w:pos="835" w:val="left" w:leader="none"/>
                <w:tab w:pos="836" w:val="left" w:leader="none"/>
              </w:tabs>
              <w:spacing w:line="237" w:lineRule="auto" w:before="3" w:after="0"/>
              <w:ind w:left="835" w:right="568" w:hanging="360"/>
              <w:jc w:val="left"/>
              <w:rPr>
                <w:sz w:val="22"/>
              </w:rPr>
            </w:pPr>
            <w:r>
              <w:rPr>
                <w:sz w:val="22"/>
              </w:rPr>
              <w:t>Single quotation mark (</w:t>
            </w:r>
            <w:r>
              <w:rPr>
                <w:rFonts w:ascii="Consolas" w:hAnsi="Consolas"/>
                <w:sz w:val="22"/>
              </w:rPr>
              <w:t>'</w:t>
            </w:r>
            <w:r>
              <w:rPr>
                <w:sz w:val="22"/>
              </w:rPr>
              <w:t>) if the cell contains left- aligned</w:t>
            </w:r>
            <w:r>
              <w:rPr>
                <w:spacing w:val="-1"/>
                <w:sz w:val="22"/>
              </w:rPr>
              <w:t> </w:t>
            </w:r>
            <w:r>
              <w:rPr>
                <w:sz w:val="22"/>
              </w:rPr>
              <w:t>text</w:t>
            </w:r>
          </w:p>
          <w:p>
            <w:pPr>
              <w:pStyle w:val="TableParagraph"/>
              <w:numPr>
                <w:ilvl w:val="0"/>
                <w:numId w:val="76"/>
              </w:numPr>
              <w:tabs>
                <w:tab w:pos="835" w:val="left" w:leader="none"/>
                <w:tab w:pos="836" w:val="left" w:leader="none"/>
              </w:tabs>
              <w:spacing w:line="240" w:lineRule="auto" w:before="2" w:after="0"/>
              <w:ind w:left="835" w:right="335" w:hanging="360"/>
              <w:jc w:val="left"/>
              <w:rPr>
                <w:sz w:val="22"/>
              </w:rPr>
            </w:pPr>
            <w:r>
              <w:rPr>
                <w:sz w:val="22"/>
              </w:rPr>
              <w:t>Double quotation mark (</w:t>
            </w:r>
            <w:r>
              <w:rPr>
                <w:rFonts w:ascii="Consolas" w:hAnsi="Consolas"/>
                <w:sz w:val="22"/>
              </w:rPr>
              <w:t>"</w:t>
            </w:r>
            <w:r>
              <w:rPr>
                <w:sz w:val="22"/>
              </w:rPr>
              <w:t>) if the cell contains right- aligned</w:t>
            </w:r>
            <w:r>
              <w:rPr>
                <w:spacing w:val="-1"/>
                <w:sz w:val="22"/>
              </w:rPr>
              <w:t> </w:t>
            </w:r>
            <w:r>
              <w:rPr>
                <w:sz w:val="22"/>
              </w:rPr>
              <w:t>text</w:t>
            </w:r>
          </w:p>
          <w:p>
            <w:pPr>
              <w:pStyle w:val="TableParagraph"/>
              <w:numPr>
                <w:ilvl w:val="0"/>
                <w:numId w:val="76"/>
              </w:numPr>
              <w:tabs>
                <w:tab w:pos="835" w:val="left" w:leader="none"/>
                <w:tab w:pos="836" w:val="left" w:leader="none"/>
              </w:tabs>
              <w:spacing w:line="240" w:lineRule="auto" w:before="1" w:after="0"/>
              <w:ind w:left="835" w:right="0" w:hanging="361"/>
              <w:jc w:val="left"/>
              <w:rPr>
                <w:sz w:val="22"/>
              </w:rPr>
            </w:pPr>
            <w:r>
              <w:rPr>
                <w:sz w:val="22"/>
              </w:rPr>
              <w:t>Caret (</w:t>
            </w:r>
            <w:r>
              <w:rPr>
                <w:rFonts w:ascii="Consolas" w:hAnsi="Consolas"/>
                <w:sz w:val="22"/>
              </w:rPr>
              <w:t>^</w:t>
            </w:r>
            <w:r>
              <w:rPr>
                <w:sz w:val="22"/>
              </w:rPr>
              <w:t>) if the cell contains centered</w:t>
            </w:r>
            <w:r>
              <w:rPr>
                <w:spacing w:val="-7"/>
                <w:sz w:val="22"/>
              </w:rPr>
              <w:t> </w:t>
            </w:r>
            <w:r>
              <w:rPr>
                <w:sz w:val="22"/>
              </w:rPr>
              <w:t>text</w:t>
            </w:r>
          </w:p>
          <w:p>
            <w:pPr>
              <w:pStyle w:val="TableParagraph"/>
              <w:numPr>
                <w:ilvl w:val="0"/>
                <w:numId w:val="76"/>
              </w:numPr>
              <w:tabs>
                <w:tab w:pos="835" w:val="left" w:leader="none"/>
                <w:tab w:pos="836" w:val="left" w:leader="none"/>
              </w:tabs>
              <w:spacing w:line="240" w:lineRule="auto" w:before="0" w:after="0"/>
              <w:ind w:left="835" w:right="0" w:hanging="361"/>
              <w:jc w:val="left"/>
              <w:rPr>
                <w:sz w:val="22"/>
              </w:rPr>
            </w:pPr>
            <w:r>
              <w:rPr>
                <w:sz w:val="22"/>
              </w:rPr>
              <w:t>Backslash (</w:t>
            </w:r>
            <w:r>
              <w:rPr>
                <w:rFonts w:ascii="Consolas" w:hAnsi="Consolas"/>
                <w:sz w:val="22"/>
              </w:rPr>
              <w:t>\</w:t>
            </w:r>
            <w:r>
              <w:rPr>
                <w:sz w:val="22"/>
              </w:rPr>
              <w:t>) if the cell contains fill-aligned</w:t>
            </w:r>
            <w:r>
              <w:rPr>
                <w:spacing w:val="-10"/>
                <w:sz w:val="22"/>
              </w:rPr>
              <w:t> </w:t>
            </w:r>
            <w:r>
              <w:rPr>
                <w:sz w:val="22"/>
              </w:rPr>
              <w:t>text</w:t>
            </w:r>
          </w:p>
          <w:p>
            <w:pPr>
              <w:pStyle w:val="TableParagraph"/>
              <w:numPr>
                <w:ilvl w:val="0"/>
                <w:numId w:val="76"/>
              </w:numPr>
              <w:tabs>
                <w:tab w:pos="835" w:val="left" w:leader="none"/>
                <w:tab w:pos="836" w:val="left" w:leader="none"/>
              </w:tabs>
              <w:spacing w:line="240" w:lineRule="auto" w:before="1" w:after="0"/>
              <w:ind w:left="835" w:right="0" w:hanging="361"/>
              <w:jc w:val="left"/>
              <w:rPr>
                <w:sz w:val="22"/>
              </w:rPr>
            </w:pPr>
            <w:r>
              <w:rPr>
                <w:sz w:val="22"/>
              </w:rPr>
              <w:t>Empty string if the cell contains anything</w:t>
            </w:r>
            <w:r>
              <w:rPr>
                <w:spacing w:val="-9"/>
                <w:sz w:val="22"/>
              </w:rPr>
              <w:t> </w:t>
            </w:r>
            <w:r>
              <w:rPr>
                <w:sz w:val="22"/>
              </w:rPr>
              <w:t>else</w:t>
            </w:r>
          </w:p>
        </w:tc>
        <w:tc>
          <w:tcPr>
            <w:tcW w:w="1554" w:type="dxa"/>
          </w:tcPr>
          <w:p>
            <w:pPr>
              <w:pStyle w:val="TableParagraph"/>
              <w:ind w:left="111"/>
              <w:rPr>
                <w:sz w:val="22"/>
              </w:rPr>
            </w:pPr>
            <w:r>
              <w:rPr>
                <w:sz w:val="22"/>
              </w:rPr>
              <w:t>text</w:t>
            </w:r>
          </w:p>
        </w:tc>
      </w:tr>
      <w:tr>
        <w:trPr>
          <w:trHeight w:val="354" w:hRule="atLeast"/>
        </w:trPr>
        <w:tc>
          <w:tcPr>
            <w:tcW w:w="1954" w:type="dxa"/>
          </w:tcPr>
          <w:p>
            <w:pPr>
              <w:pStyle w:val="TableParagraph"/>
              <w:spacing w:before="42"/>
              <w:rPr>
                <w:rFonts w:ascii="Consolas"/>
                <w:sz w:val="22"/>
              </w:rPr>
            </w:pPr>
            <w:r>
              <w:rPr>
                <w:rFonts w:ascii="Consolas"/>
                <w:sz w:val="22"/>
              </w:rPr>
              <w:t>"protect"</w:t>
            </w:r>
          </w:p>
        </w:tc>
        <w:tc>
          <w:tcPr>
            <w:tcW w:w="5784" w:type="dxa"/>
          </w:tcPr>
          <w:p>
            <w:pPr>
              <w:pStyle w:val="TableParagraph"/>
              <w:ind w:left="114"/>
              <w:rPr>
                <w:sz w:val="22"/>
              </w:rPr>
            </w:pPr>
            <w:r>
              <w:rPr>
                <w:sz w:val="22"/>
              </w:rPr>
              <w:t>0 if the cell is not locked; otherwise, 1.</w:t>
            </w:r>
          </w:p>
        </w:tc>
        <w:tc>
          <w:tcPr>
            <w:tcW w:w="1554" w:type="dxa"/>
          </w:tcPr>
          <w:p>
            <w:pPr>
              <w:pStyle w:val="TableParagraph"/>
              <w:ind w:left="111"/>
              <w:rPr>
                <w:sz w:val="22"/>
              </w:rPr>
            </w:pPr>
            <w:r>
              <w:rPr>
                <w:sz w:val="22"/>
              </w:rPr>
              <w:t>number</w:t>
            </w:r>
          </w:p>
        </w:tc>
      </w:tr>
      <w:tr>
        <w:trPr>
          <w:trHeight w:val="354" w:hRule="atLeast"/>
        </w:trPr>
        <w:tc>
          <w:tcPr>
            <w:tcW w:w="1954" w:type="dxa"/>
          </w:tcPr>
          <w:p>
            <w:pPr>
              <w:pStyle w:val="TableParagraph"/>
              <w:spacing w:before="42"/>
              <w:rPr>
                <w:rFonts w:ascii="Consolas"/>
                <w:sz w:val="22"/>
              </w:rPr>
            </w:pPr>
            <w:r>
              <w:rPr>
                <w:rFonts w:ascii="Consolas"/>
                <w:sz w:val="22"/>
              </w:rPr>
              <w:t>"row"</w:t>
            </w:r>
          </w:p>
        </w:tc>
        <w:tc>
          <w:tcPr>
            <w:tcW w:w="5784" w:type="dxa"/>
          </w:tcPr>
          <w:p>
            <w:pPr>
              <w:pStyle w:val="TableParagraph"/>
              <w:ind w:left="114"/>
              <w:rPr>
                <w:sz w:val="22"/>
              </w:rPr>
            </w:pPr>
            <w:r>
              <w:rPr>
                <w:sz w:val="22"/>
              </w:rPr>
              <w:t>Row number of the cell in reference.</w:t>
            </w:r>
          </w:p>
        </w:tc>
        <w:tc>
          <w:tcPr>
            <w:tcW w:w="1554" w:type="dxa"/>
          </w:tcPr>
          <w:p>
            <w:pPr>
              <w:pStyle w:val="TableParagraph"/>
              <w:ind w:left="111"/>
              <w:rPr>
                <w:sz w:val="22"/>
              </w:rPr>
            </w:pPr>
            <w:r>
              <w:rPr>
                <w:sz w:val="22"/>
              </w:rPr>
              <w:t>number</w:t>
            </w:r>
          </w:p>
        </w:tc>
      </w:tr>
      <w:tr>
        <w:trPr>
          <w:trHeight w:val="1195" w:hRule="atLeast"/>
        </w:trPr>
        <w:tc>
          <w:tcPr>
            <w:tcW w:w="1954" w:type="dxa"/>
          </w:tcPr>
          <w:p>
            <w:pPr>
              <w:pStyle w:val="TableParagraph"/>
              <w:spacing w:before="42"/>
              <w:rPr>
                <w:rFonts w:ascii="Consolas"/>
                <w:sz w:val="22"/>
              </w:rPr>
            </w:pPr>
            <w:r>
              <w:rPr>
                <w:rFonts w:ascii="Consolas"/>
                <w:sz w:val="22"/>
              </w:rPr>
              <w:t>"type"</w:t>
            </w:r>
          </w:p>
        </w:tc>
        <w:tc>
          <w:tcPr>
            <w:tcW w:w="5784" w:type="dxa"/>
          </w:tcPr>
          <w:p>
            <w:pPr>
              <w:pStyle w:val="TableParagraph"/>
              <w:ind w:left="114"/>
              <w:rPr>
                <w:sz w:val="22"/>
              </w:rPr>
            </w:pPr>
            <w:r>
              <w:rPr>
                <w:sz w:val="22"/>
              </w:rPr>
              <w:t>Text value corresponding to the type of data in the cell.</w:t>
            </w:r>
          </w:p>
          <w:p>
            <w:pPr>
              <w:pStyle w:val="TableParagraph"/>
              <w:numPr>
                <w:ilvl w:val="0"/>
                <w:numId w:val="77"/>
              </w:numPr>
              <w:tabs>
                <w:tab w:pos="835" w:val="left" w:leader="none"/>
                <w:tab w:pos="836" w:val="left" w:leader="none"/>
              </w:tabs>
              <w:spacing w:line="240" w:lineRule="auto" w:before="0" w:after="0"/>
              <w:ind w:left="835" w:right="0" w:hanging="361"/>
              <w:jc w:val="left"/>
              <w:rPr>
                <w:sz w:val="22"/>
              </w:rPr>
            </w:pPr>
            <w:r>
              <w:rPr>
                <w:rFonts w:ascii="Consolas" w:hAnsi="Consolas"/>
                <w:sz w:val="22"/>
              </w:rPr>
              <w:t>"b"</w:t>
            </w:r>
            <w:r>
              <w:rPr>
                <w:rFonts w:ascii="Consolas" w:hAnsi="Consolas"/>
                <w:spacing w:val="-73"/>
                <w:sz w:val="22"/>
              </w:rPr>
              <w:t> </w:t>
            </w:r>
            <w:r>
              <w:rPr>
                <w:sz w:val="22"/>
              </w:rPr>
              <w:t>(blank) if the cell is empty</w:t>
            </w:r>
          </w:p>
          <w:p>
            <w:pPr>
              <w:pStyle w:val="TableParagraph"/>
              <w:numPr>
                <w:ilvl w:val="0"/>
                <w:numId w:val="77"/>
              </w:numPr>
              <w:tabs>
                <w:tab w:pos="835" w:val="left" w:leader="none"/>
                <w:tab w:pos="836" w:val="left" w:leader="none"/>
              </w:tabs>
              <w:spacing w:line="240" w:lineRule="auto" w:before="1" w:after="0"/>
              <w:ind w:left="835" w:right="0" w:hanging="361"/>
              <w:jc w:val="left"/>
              <w:rPr>
                <w:sz w:val="22"/>
              </w:rPr>
            </w:pPr>
            <w:r>
              <w:rPr>
                <w:rFonts w:ascii="Consolas" w:hAnsi="Consolas"/>
                <w:sz w:val="22"/>
              </w:rPr>
              <w:t>"l"</w:t>
            </w:r>
            <w:r>
              <w:rPr>
                <w:rFonts w:ascii="Consolas" w:hAnsi="Consolas"/>
                <w:spacing w:val="-77"/>
                <w:sz w:val="22"/>
              </w:rPr>
              <w:t> </w:t>
            </w:r>
            <w:r>
              <w:rPr>
                <w:sz w:val="22"/>
              </w:rPr>
              <w:t>(label) if the cell contains a text constant</w:t>
            </w:r>
          </w:p>
          <w:p>
            <w:pPr>
              <w:pStyle w:val="TableParagraph"/>
              <w:numPr>
                <w:ilvl w:val="0"/>
                <w:numId w:val="77"/>
              </w:numPr>
              <w:tabs>
                <w:tab w:pos="835" w:val="left" w:leader="none"/>
                <w:tab w:pos="836" w:val="left" w:leader="none"/>
              </w:tabs>
              <w:spacing w:line="240" w:lineRule="auto" w:before="1" w:after="0"/>
              <w:ind w:left="835" w:right="0" w:hanging="361"/>
              <w:jc w:val="left"/>
              <w:rPr>
                <w:sz w:val="22"/>
              </w:rPr>
            </w:pPr>
            <w:r>
              <w:rPr>
                <w:rFonts w:ascii="Consolas" w:hAnsi="Consolas"/>
                <w:sz w:val="22"/>
              </w:rPr>
              <w:t>"v"</w:t>
            </w:r>
            <w:r>
              <w:rPr>
                <w:rFonts w:ascii="Consolas" w:hAnsi="Consolas"/>
                <w:spacing w:val="-79"/>
                <w:sz w:val="22"/>
              </w:rPr>
              <w:t> </w:t>
            </w:r>
            <w:r>
              <w:rPr>
                <w:sz w:val="22"/>
              </w:rPr>
              <w:t>(value) if the cell contains anything else</w:t>
            </w:r>
          </w:p>
        </w:tc>
        <w:tc>
          <w:tcPr>
            <w:tcW w:w="1554" w:type="dxa"/>
          </w:tcPr>
          <w:p>
            <w:pPr>
              <w:pStyle w:val="TableParagraph"/>
              <w:ind w:left="111"/>
              <w:rPr>
                <w:sz w:val="22"/>
              </w:rPr>
            </w:pPr>
            <w:r>
              <w:rPr>
                <w:sz w:val="22"/>
              </w:rPr>
              <w:t>text</w:t>
            </w:r>
          </w:p>
        </w:tc>
      </w:tr>
      <w:tr>
        <w:trPr>
          <w:trHeight w:val="892" w:hRule="atLeast"/>
        </w:trPr>
        <w:tc>
          <w:tcPr>
            <w:tcW w:w="1954" w:type="dxa"/>
          </w:tcPr>
          <w:p>
            <w:pPr>
              <w:pStyle w:val="TableParagraph"/>
              <w:spacing w:before="42"/>
              <w:rPr>
                <w:rFonts w:ascii="Consolas"/>
                <w:sz w:val="22"/>
              </w:rPr>
            </w:pPr>
            <w:r>
              <w:rPr>
                <w:rFonts w:ascii="Consolas"/>
                <w:sz w:val="22"/>
              </w:rPr>
              <w:t>"width"</w:t>
            </w:r>
          </w:p>
        </w:tc>
        <w:tc>
          <w:tcPr>
            <w:tcW w:w="5784" w:type="dxa"/>
          </w:tcPr>
          <w:p>
            <w:pPr>
              <w:pStyle w:val="TableParagraph"/>
              <w:ind w:left="114" w:right="222"/>
              <w:jc w:val="both"/>
              <w:rPr>
                <w:sz w:val="22"/>
              </w:rPr>
            </w:pPr>
            <w:r>
              <w:rPr>
                <w:sz w:val="22"/>
              </w:rPr>
              <w:t>Column width of the cell rounded off to an integer. Each unit of column width is equal to the width of one character in the default font size.</w:t>
            </w:r>
          </w:p>
        </w:tc>
        <w:tc>
          <w:tcPr>
            <w:tcW w:w="1554" w:type="dxa"/>
          </w:tcPr>
          <w:p>
            <w:pPr>
              <w:pStyle w:val="TableParagraph"/>
              <w:ind w:left="111"/>
              <w:rPr>
                <w:sz w:val="22"/>
              </w:rPr>
            </w:pPr>
            <w:r>
              <w:rPr>
                <w:sz w:val="22"/>
              </w:rPr>
              <w:t>number</w:t>
            </w:r>
          </w:p>
        </w:tc>
      </w:tr>
    </w:tbl>
    <w:p>
      <w:pPr>
        <w:pStyle w:val="BodyText"/>
        <w:rPr>
          <w:b/>
          <w:sz w:val="20"/>
        </w:rPr>
      </w:pPr>
    </w:p>
    <w:p>
      <w:pPr>
        <w:pStyle w:val="BodyText"/>
        <w:spacing w:before="5"/>
        <w:rPr>
          <w:b/>
          <w:sz w:val="21"/>
        </w:rPr>
      </w:pPr>
    </w:p>
    <w:p>
      <w:pPr>
        <w:pStyle w:val="BodyText"/>
        <w:spacing w:line="278" w:lineRule="auto"/>
        <w:ind w:left="220" w:right="390"/>
        <w:jc w:val="both"/>
      </w:pPr>
      <w:r>
        <w:rPr/>
        <w:t>If the SpreadsheetML is intended to be used in certain non-English locales, the </w:t>
      </w:r>
      <w:r>
        <w:rPr>
          <w:rFonts w:ascii="Times New Roman"/>
          <w:i/>
        </w:rPr>
        <w:t>category </w:t>
      </w:r>
      <w:r>
        <w:rPr/>
        <w:t>string can be the English value shown in the table above, or the translation shown in the following table. Locales not specified in the table below shall only use the English versions of the </w:t>
      </w:r>
      <w:r>
        <w:rPr>
          <w:rFonts w:ascii="Times New Roman"/>
          <w:i/>
        </w:rPr>
        <w:t>category </w:t>
      </w:r>
      <w:r>
        <w:rPr/>
        <w:t>string.</w:t>
      </w:r>
    </w:p>
    <w:p>
      <w:pPr>
        <w:pStyle w:val="BodyText"/>
        <w:spacing w:line="278" w:lineRule="auto" w:before="193"/>
        <w:ind w:left="220" w:right="402"/>
        <w:jc w:val="both"/>
      </w:pPr>
      <w:r>
        <w:rPr/>
        <w:t>[</w:t>
      </w:r>
      <w:r>
        <w:rPr>
          <w:i/>
        </w:rPr>
        <w:t>Note</w:t>
      </w:r>
      <w:r>
        <w:rPr/>
        <w:t>: Using translated versions of the </w:t>
      </w:r>
      <w:r>
        <w:rPr>
          <w:rFonts w:ascii="Times New Roman"/>
          <w:i/>
        </w:rPr>
        <w:t>category</w:t>
      </w:r>
      <w:r>
        <w:rPr>
          <w:rFonts w:ascii="Times New Roman"/>
          <w:i/>
          <w:spacing w:val="-39"/>
        </w:rPr>
        <w:t> </w:t>
      </w:r>
      <w:r>
        <w:rPr/>
        <w:t>string is strongly discouraged, as spreadsheet applications might not support these translations. </w:t>
      </w:r>
      <w:r>
        <w:rPr>
          <w:i/>
        </w:rPr>
        <w:t>end</w:t>
      </w:r>
      <w:r>
        <w:rPr>
          <w:i/>
          <w:spacing w:val="-4"/>
        </w:rPr>
        <w:t> </w:t>
      </w:r>
      <w:r>
        <w:rPr>
          <w:i/>
        </w:rPr>
        <w:t>note</w:t>
      </w:r>
      <w:r>
        <w:rPr/>
        <w:t>]</w:t>
      </w:r>
    </w:p>
    <w:p>
      <w:pPr>
        <w:pStyle w:val="BodyText"/>
        <w:spacing w:before="1" w:after="1"/>
        <w:rPr>
          <w:sz w:val="16"/>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1193"/>
        <w:gridCol w:w="1077"/>
        <w:gridCol w:w="959"/>
        <w:gridCol w:w="1439"/>
        <w:gridCol w:w="1731"/>
        <w:gridCol w:w="968"/>
      </w:tblGrid>
      <w:tr>
        <w:trPr>
          <w:trHeight w:val="386" w:hRule="atLeast"/>
        </w:trPr>
        <w:tc>
          <w:tcPr>
            <w:tcW w:w="1188" w:type="dxa"/>
            <w:shd w:val="clear" w:color="auto" w:fill="C0C0C0"/>
          </w:tcPr>
          <w:p>
            <w:pPr>
              <w:pStyle w:val="TableParagraph"/>
              <w:ind w:left="304"/>
              <w:rPr>
                <w:b/>
                <w:sz w:val="22"/>
              </w:rPr>
            </w:pPr>
            <w:r>
              <w:rPr>
                <w:b/>
                <w:sz w:val="22"/>
              </w:rPr>
              <w:t>Locale</w:t>
            </w:r>
          </w:p>
        </w:tc>
        <w:tc>
          <w:tcPr>
            <w:tcW w:w="1193" w:type="dxa"/>
            <w:shd w:val="clear" w:color="auto" w:fill="C0C0C0"/>
          </w:tcPr>
          <w:p>
            <w:pPr>
              <w:pStyle w:val="TableParagraph"/>
              <w:ind w:left="242"/>
              <w:rPr>
                <w:b/>
                <w:sz w:val="22"/>
              </w:rPr>
            </w:pPr>
            <w:r>
              <w:rPr>
                <w:b/>
                <w:sz w:val="22"/>
              </w:rPr>
              <w:t>address</w:t>
            </w:r>
          </w:p>
        </w:tc>
        <w:tc>
          <w:tcPr>
            <w:tcW w:w="1077" w:type="dxa"/>
            <w:shd w:val="clear" w:color="auto" w:fill="C0C0C0"/>
          </w:tcPr>
          <w:p>
            <w:pPr>
              <w:pStyle w:val="TableParagraph"/>
              <w:ind w:left="385" w:right="376"/>
              <w:jc w:val="center"/>
              <w:rPr>
                <w:b/>
                <w:sz w:val="22"/>
              </w:rPr>
            </w:pPr>
            <w:r>
              <w:rPr>
                <w:b/>
                <w:sz w:val="22"/>
              </w:rPr>
              <w:t>col</w:t>
            </w:r>
          </w:p>
        </w:tc>
        <w:tc>
          <w:tcPr>
            <w:tcW w:w="959" w:type="dxa"/>
            <w:shd w:val="clear" w:color="auto" w:fill="C0C0C0"/>
          </w:tcPr>
          <w:p>
            <w:pPr>
              <w:pStyle w:val="TableParagraph"/>
              <w:ind w:left="250"/>
              <w:rPr>
                <w:b/>
                <w:sz w:val="22"/>
              </w:rPr>
            </w:pPr>
            <w:r>
              <w:rPr>
                <w:b/>
                <w:sz w:val="22"/>
              </w:rPr>
              <w:t>color</w:t>
            </w:r>
          </w:p>
        </w:tc>
        <w:tc>
          <w:tcPr>
            <w:tcW w:w="1439" w:type="dxa"/>
            <w:shd w:val="clear" w:color="auto" w:fill="C0C0C0"/>
          </w:tcPr>
          <w:p>
            <w:pPr>
              <w:pStyle w:val="TableParagraph"/>
              <w:ind w:left="323"/>
              <w:rPr>
                <w:b/>
                <w:sz w:val="22"/>
              </w:rPr>
            </w:pPr>
            <w:r>
              <w:rPr>
                <w:b/>
                <w:sz w:val="22"/>
              </w:rPr>
              <w:t>contents</w:t>
            </w:r>
          </w:p>
        </w:tc>
        <w:tc>
          <w:tcPr>
            <w:tcW w:w="1731" w:type="dxa"/>
            <w:shd w:val="clear" w:color="auto" w:fill="C0C0C0"/>
          </w:tcPr>
          <w:p>
            <w:pPr>
              <w:pStyle w:val="TableParagraph"/>
              <w:ind w:left="466"/>
              <w:rPr>
                <w:b/>
                <w:sz w:val="22"/>
              </w:rPr>
            </w:pPr>
            <w:r>
              <w:rPr>
                <w:b/>
                <w:sz w:val="22"/>
              </w:rPr>
              <w:t>filename</w:t>
            </w:r>
          </w:p>
        </w:tc>
        <w:tc>
          <w:tcPr>
            <w:tcW w:w="968" w:type="dxa"/>
            <w:shd w:val="clear" w:color="auto" w:fill="C0C0C0"/>
          </w:tcPr>
          <w:p>
            <w:pPr>
              <w:pStyle w:val="TableParagraph"/>
              <w:ind w:left="173"/>
              <w:rPr>
                <w:b/>
                <w:sz w:val="22"/>
              </w:rPr>
            </w:pPr>
            <w:r>
              <w:rPr>
                <w:b/>
                <w:sz w:val="22"/>
              </w:rPr>
              <w:t>format</w:t>
            </w:r>
          </w:p>
        </w:tc>
      </w:tr>
      <w:tr>
        <w:trPr>
          <w:trHeight w:val="386" w:hRule="atLeast"/>
        </w:trPr>
        <w:tc>
          <w:tcPr>
            <w:tcW w:w="1188" w:type="dxa"/>
          </w:tcPr>
          <w:p>
            <w:pPr>
              <w:pStyle w:val="TableParagraph"/>
              <w:rPr>
                <w:sz w:val="22"/>
              </w:rPr>
            </w:pPr>
            <w:r>
              <w:rPr>
                <w:sz w:val="22"/>
              </w:rPr>
              <w:t>az-latn-az</w:t>
            </w:r>
          </w:p>
        </w:tc>
        <w:tc>
          <w:tcPr>
            <w:tcW w:w="1193" w:type="dxa"/>
          </w:tcPr>
          <w:p>
            <w:pPr>
              <w:pStyle w:val="TableParagraph"/>
              <w:ind w:left="114"/>
              <w:rPr>
                <w:sz w:val="22"/>
              </w:rPr>
            </w:pPr>
            <w:r>
              <w:rPr>
                <w:sz w:val="22"/>
              </w:rPr>
              <w:t>ünvan</w:t>
            </w:r>
          </w:p>
        </w:tc>
        <w:tc>
          <w:tcPr>
            <w:tcW w:w="1077" w:type="dxa"/>
          </w:tcPr>
          <w:p>
            <w:pPr>
              <w:pStyle w:val="TableParagraph"/>
              <w:rPr>
                <w:sz w:val="22"/>
              </w:rPr>
            </w:pPr>
            <w:r>
              <w:rPr>
                <w:sz w:val="22"/>
              </w:rPr>
              <w:t>col</w:t>
            </w:r>
          </w:p>
        </w:tc>
        <w:tc>
          <w:tcPr>
            <w:tcW w:w="959" w:type="dxa"/>
          </w:tcPr>
          <w:p>
            <w:pPr>
              <w:pStyle w:val="TableParagraph"/>
              <w:rPr>
                <w:sz w:val="22"/>
              </w:rPr>
            </w:pPr>
            <w:r>
              <w:rPr>
                <w:sz w:val="22"/>
              </w:rPr>
              <w:t>r</w:t>
            </w:r>
            <w:r>
              <w:rPr>
                <w:rFonts w:ascii="Arial" w:hAnsi="Arial"/>
                <w:sz w:val="22"/>
              </w:rPr>
              <w:t>ə</w:t>
            </w:r>
            <w:r>
              <w:rPr>
                <w:sz w:val="22"/>
              </w:rPr>
              <w:t>ng</w:t>
            </w:r>
          </w:p>
        </w:tc>
        <w:tc>
          <w:tcPr>
            <w:tcW w:w="1439" w:type="dxa"/>
          </w:tcPr>
          <w:p>
            <w:pPr>
              <w:pStyle w:val="TableParagraph"/>
              <w:ind w:left="116"/>
              <w:rPr>
                <w:sz w:val="22"/>
              </w:rPr>
            </w:pPr>
            <w:r>
              <w:rPr>
                <w:sz w:val="22"/>
              </w:rPr>
              <w:t>münd</w:t>
            </w:r>
            <w:r>
              <w:rPr>
                <w:rFonts w:ascii="Arial" w:hAnsi="Arial"/>
                <w:sz w:val="22"/>
              </w:rPr>
              <w:t>ə</w:t>
            </w:r>
            <w:r>
              <w:rPr>
                <w:sz w:val="22"/>
              </w:rPr>
              <w:t>ricat</w:t>
            </w:r>
          </w:p>
        </w:tc>
        <w:tc>
          <w:tcPr>
            <w:tcW w:w="1731" w:type="dxa"/>
          </w:tcPr>
          <w:p>
            <w:pPr>
              <w:pStyle w:val="TableParagraph"/>
              <w:rPr>
                <w:sz w:val="22"/>
              </w:rPr>
            </w:pPr>
            <w:r>
              <w:rPr>
                <w:sz w:val="22"/>
              </w:rPr>
              <w:t>fayladi</w:t>
            </w:r>
          </w:p>
        </w:tc>
        <w:tc>
          <w:tcPr>
            <w:tcW w:w="968" w:type="dxa"/>
          </w:tcPr>
          <w:p>
            <w:pPr>
              <w:pStyle w:val="TableParagraph"/>
              <w:ind w:left="120"/>
              <w:rPr>
                <w:sz w:val="22"/>
              </w:rPr>
            </w:pPr>
            <w:r>
              <w:rPr>
                <w:sz w:val="22"/>
              </w:rPr>
              <w:t>format</w:t>
            </w:r>
          </w:p>
        </w:tc>
      </w:tr>
      <w:tr>
        <w:trPr>
          <w:trHeight w:val="385" w:hRule="atLeast"/>
        </w:trPr>
        <w:tc>
          <w:tcPr>
            <w:tcW w:w="1188" w:type="dxa"/>
          </w:tcPr>
          <w:p>
            <w:pPr>
              <w:pStyle w:val="TableParagraph"/>
              <w:rPr>
                <w:sz w:val="22"/>
              </w:rPr>
            </w:pPr>
            <w:r>
              <w:rPr>
                <w:sz w:val="22"/>
              </w:rPr>
              <w:t>ca-es</w:t>
            </w:r>
          </w:p>
        </w:tc>
        <w:tc>
          <w:tcPr>
            <w:tcW w:w="1193" w:type="dxa"/>
          </w:tcPr>
          <w:p>
            <w:pPr>
              <w:pStyle w:val="TableParagraph"/>
              <w:ind w:left="114"/>
              <w:rPr>
                <w:sz w:val="22"/>
              </w:rPr>
            </w:pPr>
            <w:r>
              <w:rPr>
                <w:sz w:val="22"/>
              </w:rPr>
              <w:t>dirección</w:t>
            </w:r>
          </w:p>
        </w:tc>
        <w:tc>
          <w:tcPr>
            <w:tcW w:w="1077" w:type="dxa"/>
          </w:tcPr>
          <w:p>
            <w:pPr>
              <w:pStyle w:val="TableParagraph"/>
              <w:rPr>
                <w:sz w:val="22"/>
              </w:rPr>
            </w:pPr>
            <w:r>
              <w:rPr>
                <w:sz w:val="22"/>
              </w:rPr>
              <w:t>columna</w:t>
            </w:r>
          </w:p>
        </w:tc>
        <w:tc>
          <w:tcPr>
            <w:tcW w:w="959" w:type="dxa"/>
          </w:tcPr>
          <w:p>
            <w:pPr>
              <w:pStyle w:val="TableParagraph"/>
              <w:rPr>
                <w:sz w:val="22"/>
              </w:rPr>
            </w:pPr>
            <w:r>
              <w:rPr>
                <w:sz w:val="22"/>
              </w:rPr>
              <w:t>color</w:t>
            </w:r>
          </w:p>
        </w:tc>
        <w:tc>
          <w:tcPr>
            <w:tcW w:w="1439" w:type="dxa"/>
          </w:tcPr>
          <w:p>
            <w:pPr>
              <w:pStyle w:val="TableParagraph"/>
              <w:ind w:left="116"/>
              <w:rPr>
                <w:sz w:val="22"/>
              </w:rPr>
            </w:pPr>
            <w:r>
              <w:rPr>
                <w:sz w:val="22"/>
              </w:rPr>
              <w:t>contenido</w:t>
            </w:r>
          </w:p>
        </w:tc>
        <w:tc>
          <w:tcPr>
            <w:tcW w:w="1731" w:type="dxa"/>
          </w:tcPr>
          <w:p>
            <w:pPr>
              <w:pStyle w:val="TableParagraph"/>
              <w:rPr>
                <w:sz w:val="22"/>
              </w:rPr>
            </w:pPr>
            <w:r>
              <w:rPr>
                <w:sz w:val="22"/>
              </w:rPr>
              <w:t>nombrearchivo</w:t>
            </w:r>
          </w:p>
        </w:tc>
        <w:tc>
          <w:tcPr>
            <w:tcW w:w="968" w:type="dxa"/>
          </w:tcPr>
          <w:p>
            <w:pPr>
              <w:pStyle w:val="TableParagraph"/>
              <w:ind w:left="120"/>
              <w:rPr>
                <w:sz w:val="22"/>
              </w:rPr>
            </w:pPr>
            <w:r>
              <w:rPr>
                <w:sz w:val="22"/>
              </w:rPr>
              <w:t>formato</w:t>
            </w:r>
          </w:p>
        </w:tc>
      </w:tr>
      <w:tr>
        <w:trPr>
          <w:trHeight w:val="385" w:hRule="atLeast"/>
        </w:trPr>
        <w:tc>
          <w:tcPr>
            <w:tcW w:w="1188" w:type="dxa"/>
          </w:tcPr>
          <w:p>
            <w:pPr>
              <w:pStyle w:val="TableParagraph"/>
              <w:rPr>
                <w:sz w:val="22"/>
              </w:rPr>
            </w:pPr>
            <w:r>
              <w:rPr>
                <w:sz w:val="22"/>
              </w:rPr>
              <w:t>cs-cz</w:t>
            </w:r>
          </w:p>
        </w:tc>
        <w:tc>
          <w:tcPr>
            <w:tcW w:w="1193" w:type="dxa"/>
          </w:tcPr>
          <w:p>
            <w:pPr>
              <w:pStyle w:val="TableParagraph"/>
              <w:ind w:left="114"/>
              <w:rPr>
                <w:sz w:val="22"/>
              </w:rPr>
            </w:pPr>
            <w:r>
              <w:rPr>
                <w:sz w:val="22"/>
              </w:rPr>
              <w:t>adresa</w:t>
            </w:r>
          </w:p>
        </w:tc>
        <w:tc>
          <w:tcPr>
            <w:tcW w:w="1077" w:type="dxa"/>
          </w:tcPr>
          <w:p>
            <w:pPr>
              <w:pStyle w:val="TableParagraph"/>
              <w:rPr>
                <w:sz w:val="22"/>
              </w:rPr>
            </w:pPr>
            <w:r>
              <w:rPr>
                <w:sz w:val="22"/>
              </w:rPr>
              <w:t>sloupec</w:t>
            </w:r>
          </w:p>
        </w:tc>
        <w:tc>
          <w:tcPr>
            <w:tcW w:w="959" w:type="dxa"/>
          </w:tcPr>
          <w:p>
            <w:pPr>
              <w:pStyle w:val="TableParagraph"/>
              <w:rPr>
                <w:sz w:val="22"/>
              </w:rPr>
            </w:pPr>
            <w:r>
              <w:rPr>
                <w:sz w:val="22"/>
              </w:rPr>
              <w:t>barva</w:t>
            </w:r>
          </w:p>
        </w:tc>
        <w:tc>
          <w:tcPr>
            <w:tcW w:w="1439" w:type="dxa"/>
          </w:tcPr>
          <w:p>
            <w:pPr>
              <w:pStyle w:val="TableParagraph"/>
              <w:ind w:left="116"/>
              <w:rPr>
                <w:sz w:val="22"/>
              </w:rPr>
            </w:pPr>
            <w:r>
              <w:rPr>
                <w:sz w:val="22"/>
              </w:rPr>
              <w:t>obsah</w:t>
            </w:r>
          </w:p>
        </w:tc>
        <w:tc>
          <w:tcPr>
            <w:tcW w:w="1731" w:type="dxa"/>
          </w:tcPr>
          <w:p>
            <w:pPr>
              <w:pStyle w:val="TableParagraph"/>
              <w:rPr>
                <w:sz w:val="22"/>
              </w:rPr>
            </w:pPr>
            <w:r>
              <w:rPr>
                <w:sz w:val="22"/>
              </w:rPr>
              <w:t>názevsouboru</w:t>
            </w:r>
          </w:p>
        </w:tc>
        <w:tc>
          <w:tcPr>
            <w:tcW w:w="968" w:type="dxa"/>
          </w:tcPr>
          <w:p>
            <w:pPr>
              <w:pStyle w:val="TableParagraph"/>
              <w:ind w:left="120"/>
              <w:rPr>
                <w:sz w:val="22"/>
              </w:rPr>
            </w:pPr>
            <w:r>
              <w:rPr>
                <w:sz w:val="22"/>
              </w:rPr>
              <w:t>formát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1193"/>
        <w:gridCol w:w="1077"/>
        <w:gridCol w:w="959"/>
        <w:gridCol w:w="1439"/>
        <w:gridCol w:w="1731"/>
        <w:gridCol w:w="968"/>
      </w:tblGrid>
      <w:tr>
        <w:trPr>
          <w:trHeight w:val="386" w:hRule="atLeast"/>
        </w:trPr>
        <w:tc>
          <w:tcPr>
            <w:tcW w:w="1188" w:type="dxa"/>
            <w:shd w:val="clear" w:color="auto" w:fill="C0C0C0"/>
          </w:tcPr>
          <w:p>
            <w:pPr>
              <w:pStyle w:val="TableParagraph"/>
              <w:ind w:left="304"/>
              <w:rPr>
                <w:b/>
                <w:sz w:val="22"/>
              </w:rPr>
            </w:pPr>
            <w:r>
              <w:rPr>
                <w:b/>
                <w:sz w:val="22"/>
              </w:rPr>
              <w:t>Locale</w:t>
            </w:r>
          </w:p>
        </w:tc>
        <w:tc>
          <w:tcPr>
            <w:tcW w:w="1193" w:type="dxa"/>
            <w:shd w:val="clear" w:color="auto" w:fill="C0C0C0"/>
          </w:tcPr>
          <w:p>
            <w:pPr>
              <w:pStyle w:val="TableParagraph"/>
              <w:ind w:left="242"/>
              <w:rPr>
                <w:b/>
                <w:sz w:val="22"/>
              </w:rPr>
            </w:pPr>
            <w:r>
              <w:rPr>
                <w:b/>
                <w:sz w:val="22"/>
              </w:rPr>
              <w:t>address</w:t>
            </w:r>
          </w:p>
        </w:tc>
        <w:tc>
          <w:tcPr>
            <w:tcW w:w="1077" w:type="dxa"/>
            <w:shd w:val="clear" w:color="auto" w:fill="C0C0C0"/>
          </w:tcPr>
          <w:p>
            <w:pPr>
              <w:pStyle w:val="TableParagraph"/>
              <w:ind w:left="385" w:right="376"/>
              <w:jc w:val="center"/>
              <w:rPr>
                <w:b/>
                <w:sz w:val="22"/>
              </w:rPr>
            </w:pPr>
            <w:r>
              <w:rPr>
                <w:b/>
                <w:sz w:val="22"/>
              </w:rPr>
              <w:t>col</w:t>
            </w:r>
          </w:p>
        </w:tc>
        <w:tc>
          <w:tcPr>
            <w:tcW w:w="959" w:type="dxa"/>
            <w:shd w:val="clear" w:color="auto" w:fill="C0C0C0"/>
          </w:tcPr>
          <w:p>
            <w:pPr>
              <w:pStyle w:val="TableParagraph"/>
              <w:ind w:left="250"/>
              <w:rPr>
                <w:b/>
                <w:sz w:val="22"/>
              </w:rPr>
            </w:pPr>
            <w:r>
              <w:rPr>
                <w:b/>
                <w:sz w:val="22"/>
              </w:rPr>
              <w:t>color</w:t>
            </w:r>
          </w:p>
        </w:tc>
        <w:tc>
          <w:tcPr>
            <w:tcW w:w="1439" w:type="dxa"/>
            <w:shd w:val="clear" w:color="auto" w:fill="C0C0C0"/>
          </w:tcPr>
          <w:p>
            <w:pPr>
              <w:pStyle w:val="TableParagraph"/>
              <w:ind w:left="323"/>
              <w:rPr>
                <w:b/>
                <w:sz w:val="22"/>
              </w:rPr>
            </w:pPr>
            <w:r>
              <w:rPr>
                <w:b/>
                <w:sz w:val="22"/>
              </w:rPr>
              <w:t>contents</w:t>
            </w:r>
          </w:p>
        </w:tc>
        <w:tc>
          <w:tcPr>
            <w:tcW w:w="1731" w:type="dxa"/>
            <w:shd w:val="clear" w:color="auto" w:fill="C0C0C0"/>
          </w:tcPr>
          <w:p>
            <w:pPr>
              <w:pStyle w:val="TableParagraph"/>
              <w:ind w:left="466"/>
              <w:rPr>
                <w:b/>
                <w:sz w:val="22"/>
              </w:rPr>
            </w:pPr>
            <w:r>
              <w:rPr>
                <w:b/>
                <w:sz w:val="22"/>
              </w:rPr>
              <w:t>filename</w:t>
            </w:r>
          </w:p>
        </w:tc>
        <w:tc>
          <w:tcPr>
            <w:tcW w:w="968" w:type="dxa"/>
            <w:shd w:val="clear" w:color="auto" w:fill="C0C0C0"/>
          </w:tcPr>
          <w:p>
            <w:pPr>
              <w:pStyle w:val="TableParagraph"/>
              <w:ind w:left="173"/>
              <w:rPr>
                <w:b/>
                <w:sz w:val="22"/>
              </w:rPr>
            </w:pPr>
            <w:r>
              <w:rPr>
                <w:b/>
                <w:sz w:val="22"/>
              </w:rPr>
              <w:t>format</w:t>
            </w:r>
          </w:p>
        </w:tc>
      </w:tr>
      <w:tr>
        <w:trPr>
          <w:trHeight w:val="386" w:hRule="atLeast"/>
        </w:trPr>
        <w:tc>
          <w:tcPr>
            <w:tcW w:w="1188" w:type="dxa"/>
          </w:tcPr>
          <w:p>
            <w:pPr>
              <w:pStyle w:val="TableParagraph"/>
              <w:rPr>
                <w:sz w:val="22"/>
              </w:rPr>
            </w:pPr>
            <w:r>
              <w:rPr>
                <w:sz w:val="22"/>
              </w:rPr>
              <w:t>da-dk</w:t>
            </w:r>
          </w:p>
        </w:tc>
        <w:tc>
          <w:tcPr>
            <w:tcW w:w="1193" w:type="dxa"/>
          </w:tcPr>
          <w:p>
            <w:pPr>
              <w:pStyle w:val="TableParagraph"/>
              <w:ind w:left="114"/>
              <w:rPr>
                <w:sz w:val="22"/>
              </w:rPr>
            </w:pPr>
            <w:r>
              <w:rPr>
                <w:sz w:val="22"/>
              </w:rPr>
              <w:t>adresse</w:t>
            </w:r>
          </w:p>
        </w:tc>
        <w:tc>
          <w:tcPr>
            <w:tcW w:w="1077" w:type="dxa"/>
          </w:tcPr>
          <w:p>
            <w:pPr>
              <w:pStyle w:val="TableParagraph"/>
              <w:rPr>
                <w:sz w:val="22"/>
              </w:rPr>
            </w:pPr>
            <w:r>
              <w:rPr>
                <w:sz w:val="22"/>
              </w:rPr>
              <w:t>kolonne</w:t>
            </w:r>
          </w:p>
        </w:tc>
        <w:tc>
          <w:tcPr>
            <w:tcW w:w="959" w:type="dxa"/>
          </w:tcPr>
          <w:p>
            <w:pPr>
              <w:pStyle w:val="TableParagraph"/>
              <w:rPr>
                <w:sz w:val="22"/>
              </w:rPr>
            </w:pPr>
            <w:r>
              <w:rPr>
                <w:sz w:val="22"/>
              </w:rPr>
              <w:t>farve</w:t>
            </w:r>
          </w:p>
        </w:tc>
        <w:tc>
          <w:tcPr>
            <w:tcW w:w="1439" w:type="dxa"/>
          </w:tcPr>
          <w:p>
            <w:pPr>
              <w:pStyle w:val="TableParagraph"/>
              <w:ind w:left="116"/>
              <w:rPr>
                <w:sz w:val="22"/>
              </w:rPr>
            </w:pPr>
            <w:r>
              <w:rPr>
                <w:sz w:val="22"/>
              </w:rPr>
              <w:t>indhold</w:t>
            </w:r>
          </w:p>
        </w:tc>
        <w:tc>
          <w:tcPr>
            <w:tcW w:w="1731" w:type="dxa"/>
          </w:tcPr>
          <w:p>
            <w:pPr>
              <w:pStyle w:val="TableParagraph"/>
              <w:rPr>
                <w:sz w:val="22"/>
              </w:rPr>
            </w:pPr>
            <w:r>
              <w:rPr>
                <w:sz w:val="22"/>
              </w:rPr>
              <w:t>filnavn</w:t>
            </w:r>
          </w:p>
        </w:tc>
        <w:tc>
          <w:tcPr>
            <w:tcW w:w="968" w:type="dxa"/>
          </w:tcPr>
          <w:p>
            <w:pPr>
              <w:pStyle w:val="TableParagraph"/>
              <w:ind w:left="120"/>
              <w:rPr>
                <w:sz w:val="22"/>
              </w:rPr>
            </w:pPr>
            <w:r>
              <w:rPr>
                <w:sz w:val="22"/>
              </w:rPr>
              <w:t>format</w:t>
            </w:r>
          </w:p>
        </w:tc>
      </w:tr>
      <w:tr>
        <w:trPr>
          <w:trHeight w:val="385" w:hRule="atLeast"/>
        </w:trPr>
        <w:tc>
          <w:tcPr>
            <w:tcW w:w="1188" w:type="dxa"/>
          </w:tcPr>
          <w:p>
            <w:pPr>
              <w:pStyle w:val="TableParagraph"/>
              <w:rPr>
                <w:sz w:val="22"/>
              </w:rPr>
            </w:pPr>
            <w:r>
              <w:rPr>
                <w:sz w:val="22"/>
              </w:rPr>
              <w:t>de-de</w:t>
            </w:r>
          </w:p>
        </w:tc>
        <w:tc>
          <w:tcPr>
            <w:tcW w:w="1193" w:type="dxa"/>
          </w:tcPr>
          <w:p>
            <w:pPr>
              <w:pStyle w:val="TableParagraph"/>
              <w:ind w:left="114"/>
              <w:rPr>
                <w:sz w:val="22"/>
              </w:rPr>
            </w:pPr>
            <w:r>
              <w:rPr>
                <w:sz w:val="22"/>
              </w:rPr>
              <w:t>adresse</w:t>
            </w:r>
          </w:p>
        </w:tc>
        <w:tc>
          <w:tcPr>
            <w:tcW w:w="1077" w:type="dxa"/>
          </w:tcPr>
          <w:p>
            <w:pPr>
              <w:pStyle w:val="TableParagraph"/>
              <w:rPr>
                <w:sz w:val="22"/>
              </w:rPr>
            </w:pPr>
            <w:r>
              <w:rPr>
                <w:sz w:val="22"/>
              </w:rPr>
              <w:t>spalte</w:t>
            </w:r>
          </w:p>
        </w:tc>
        <w:tc>
          <w:tcPr>
            <w:tcW w:w="959" w:type="dxa"/>
          </w:tcPr>
          <w:p>
            <w:pPr>
              <w:pStyle w:val="TableParagraph"/>
              <w:rPr>
                <w:sz w:val="22"/>
              </w:rPr>
            </w:pPr>
            <w:r>
              <w:rPr>
                <w:sz w:val="22"/>
              </w:rPr>
              <w:t>farbe</w:t>
            </w:r>
          </w:p>
        </w:tc>
        <w:tc>
          <w:tcPr>
            <w:tcW w:w="1439" w:type="dxa"/>
          </w:tcPr>
          <w:p>
            <w:pPr>
              <w:pStyle w:val="TableParagraph"/>
              <w:ind w:left="116"/>
              <w:rPr>
                <w:sz w:val="22"/>
              </w:rPr>
            </w:pPr>
            <w:r>
              <w:rPr>
                <w:sz w:val="22"/>
              </w:rPr>
              <w:t>inhalt</w:t>
            </w:r>
          </w:p>
        </w:tc>
        <w:tc>
          <w:tcPr>
            <w:tcW w:w="1731" w:type="dxa"/>
          </w:tcPr>
          <w:p>
            <w:pPr>
              <w:pStyle w:val="TableParagraph"/>
              <w:rPr>
                <w:sz w:val="22"/>
              </w:rPr>
            </w:pPr>
            <w:r>
              <w:rPr>
                <w:sz w:val="22"/>
              </w:rPr>
              <w:t>dateiname</w:t>
            </w:r>
          </w:p>
        </w:tc>
        <w:tc>
          <w:tcPr>
            <w:tcW w:w="968" w:type="dxa"/>
          </w:tcPr>
          <w:p>
            <w:pPr>
              <w:pStyle w:val="TableParagraph"/>
              <w:ind w:left="120"/>
              <w:rPr>
                <w:sz w:val="22"/>
              </w:rPr>
            </w:pPr>
            <w:r>
              <w:rPr>
                <w:sz w:val="22"/>
              </w:rPr>
              <w:t>format</w:t>
            </w:r>
          </w:p>
        </w:tc>
      </w:tr>
      <w:tr>
        <w:trPr>
          <w:trHeight w:val="386" w:hRule="atLeast"/>
        </w:trPr>
        <w:tc>
          <w:tcPr>
            <w:tcW w:w="1188" w:type="dxa"/>
          </w:tcPr>
          <w:p>
            <w:pPr>
              <w:pStyle w:val="TableParagraph"/>
              <w:rPr>
                <w:sz w:val="22"/>
              </w:rPr>
            </w:pPr>
            <w:r>
              <w:rPr>
                <w:sz w:val="22"/>
              </w:rPr>
              <w:t>es-es</w:t>
            </w:r>
          </w:p>
        </w:tc>
        <w:tc>
          <w:tcPr>
            <w:tcW w:w="1193" w:type="dxa"/>
          </w:tcPr>
          <w:p>
            <w:pPr>
              <w:pStyle w:val="TableParagraph"/>
              <w:ind w:left="114"/>
              <w:rPr>
                <w:sz w:val="22"/>
              </w:rPr>
            </w:pPr>
            <w:r>
              <w:rPr>
                <w:sz w:val="22"/>
              </w:rPr>
              <w:t>direccion</w:t>
            </w:r>
          </w:p>
        </w:tc>
        <w:tc>
          <w:tcPr>
            <w:tcW w:w="1077" w:type="dxa"/>
          </w:tcPr>
          <w:p>
            <w:pPr>
              <w:pStyle w:val="TableParagraph"/>
              <w:rPr>
                <w:sz w:val="22"/>
              </w:rPr>
            </w:pPr>
            <w:r>
              <w:rPr>
                <w:sz w:val="22"/>
              </w:rPr>
              <w:t>columna</w:t>
            </w:r>
          </w:p>
        </w:tc>
        <w:tc>
          <w:tcPr>
            <w:tcW w:w="959" w:type="dxa"/>
          </w:tcPr>
          <w:p>
            <w:pPr>
              <w:pStyle w:val="TableParagraph"/>
              <w:rPr>
                <w:sz w:val="22"/>
              </w:rPr>
            </w:pPr>
            <w:r>
              <w:rPr>
                <w:sz w:val="22"/>
              </w:rPr>
              <w:t>color</w:t>
            </w:r>
          </w:p>
        </w:tc>
        <w:tc>
          <w:tcPr>
            <w:tcW w:w="1439" w:type="dxa"/>
          </w:tcPr>
          <w:p>
            <w:pPr>
              <w:pStyle w:val="TableParagraph"/>
              <w:ind w:left="116"/>
              <w:rPr>
                <w:sz w:val="22"/>
              </w:rPr>
            </w:pPr>
            <w:r>
              <w:rPr>
                <w:sz w:val="22"/>
              </w:rPr>
              <w:t>contenido</w:t>
            </w:r>
          </w:p>
        </w:tc>
        <w:tc>
          <w:tcPr>
            <w:tcW w:w="1731" w:type="dxa"/>
          </w:tcPr>
          <w:p>
            <w:pPr>
              <w:pStyle w:val="TableParagraph"/>
              <w:rPr>
                <w:sz w:val="22"/>
              </w:rPr>
            </w:pPr>
            <w:r>
              <w:rPr>
                <w:sz w:val="22"/>
              </w:rPr>
              <w:t>nombrearchivo</w:t>
            </w:r>
          </w:p>
        </w:tc>
        <w:tc>
          <w:tcPr>
            <w:tcW w:w="968" w:type="dxa"/>
          </w:tcPr>
          <w:p>
            <w:pPr>
              <w:pStyle w:val="TableParagraph"/>
              <w:ind w:left="120"/>
              <w:rPr>
                <w:sz w:val="22"/>
              </w:rPr>
            </w:pPr>
            <w:r>
              <w:rPr>
                <w:sz w:val="22"/>
              </w:rPr>
              <w:t>formato</w:t>
            </w:r>
          </w:p>
        </w:tc>
      </w:tr>
      <w:tr>
        <w:trPr>
          <w:trHeight w:val="385" w:hRule="atLeast"/>
        </w:trPr>
        <w:tc>
          <w:tcPr>
            <w:tcW w:w="1188" w:type="dxa"/>
          </w:tcPr>
          <w:p>
            <w:pPr>
              <w:pStyle w:val="TableParagraph"/>
              <w:rPr>
                <w:sz w:val="22"/>
              </w:rPr>
            </w:pPr>
            <w:r>
              <w:rPr>
                <w:sz w:val="22"/>
              </w:rPr>
              <w:t>et-ee</w:t>
            </w:r>
          </w:p>
        </w:tc>
        <w:tc>
          <w:tcPr>
            <w:tcW w:w="1193" w:type="dxa"/>
          </w:tcPr>
          <w:p>
            <w:pPr>
              <w:pStyle w:val="TableParagraph"/>
              <w:ind w:left="114"/>
              <w:rPr>
                <w:sz w:val="22"/>
              </w:rPr>
            </w:pPr>
            <w:r>
              <w:rPr>
                <w:sz w:val="22"/>
              </w:rPr>
              <w:t>aadress</w:t>
            </w:r>
          </w:p>
        </w:tc>
        <w:tc>
          <w:tcPr>
            <w:tcW w:w="1077" w:type="dxa"/>
          </w:tcPr>
          <w:p>
            <w:pPr>
              <w:pStyle w:val="TableParagraph"/>
              <w:rPr>
                <w:sz w:val="22"/>
              </w:rPr>
            </w:pPr>
            <w:r>
              <w:rPr>
                <w:sz w:val="22"/>
              </w:rPr>
              <w:t>veerg</w:t>
            </w:r>
          </w:p>
        </w:tc>
        <w:tc>
          <w:tcPr>
            <w:tcW w:w="959" w:type="dxa"/>
          </w:tcPr>
          <w:p>
            <w:pPr>
              <w:pStyle w:val="TableParagraph"/>
              <w:rPr>
                <w:sz w:val="22"/>
              </w:rPr>
            </w:pPr>
            <w:r>
              <w:rPr>
                <w:sz w:val="22"/>
              </w:rPr>
              <w:t>värv</w:t>
            </w:r>
          </w:p>
        </w:tc>
        <w:tc>
          <w:tcPr>
            <w:tcW w:w="1439" w:type="dxa"/>
          </w:tcPr>
          <w:p>
            <w:pPr>
              <w:pStyle w:val="TableParagraph"/>
              <w:ind w:left="116"/>
              <w:rPr>
                <w:sz w:val="22"/>
              </w:rPr>
            </w:pPr>
            <w:r>
              <w:rPr>
                <w:sz w:val="22"/>
              </w:rPr>
              <w:t>sisukord</w:t>
            </w:r>
          </w:p>
        </w:tc>
        <w:tc>
          <w:tcPr>
            <w:tcW w:w="1731" w:type="dxa"/>
          </w:tcPr>
          <w:p>
            <w:pPr>
              <w:pStyle w:val="TableParagraph"/>
              <w:rPr>
                <w:sz w:val="22"/>
              </w:rPr>
            </w:pPr>
            <w:r>
              <w:rPr>
                <w:sz w:val="22"/>
              </w:rPr>
              <w:t>failinimi</w:t>
            </w:r>
          </w:p>
        </w:tc>
        <w:tc>
          <w:tcPr>
            <w:tcW w:w="968" w:type="dxa"/>
          </w:tcPr>
          <w:p>
            <w:pPr>
              <w:pStyle w:val="TableParagraph"/>
              <w:ind w:left="120"/>
              <w:rPr>
                <w:sz w:val="22"/>
              </w:rPr>
            </w:pPr>
            <w:r>
              <w:rPr>
                <w:sz w:val="22"/>
              </w:rPr>
              <w:t>vorming</w:t>
            </w:r>
          </w:p>
        </w:tc>
      </w:tr>
      <w:tr>
        <w:trPr>
          <w:trHeight w:val="385" w:hRule="atLeast"/>
        </w:trPr>
        <w:tc>
          <w:tcPr>
            <w:tcW w:w="1188" w:type="dxa"/>
          </w:tcPr>
          <w:p>
            <w:pPr>
              <w:pStyle w:val="TableParagraph"/>
              <w:rPr>
                <w:sz w:val="22"/>
              </w:rPr>
            </w:pPr>
            <w:r>
              <w:rPr>
                <w:sz w:val="22"/>
              </w:rPr>
              <w:t>fi-fi</w:t>
            </w:r>
          </w:p>
        </w:tc>
        <w:tc>
          <w:tcPr>
            <w:tcW w:w="1193" w:type="dxa"/>
          </w:tcPr>
          <w:p>
            <w:pPr>
              <w:pStyle w:val="TableParagraph"/>
              <w:ind w:left="114"/>
              <w:rPr>
                <w:sz w:val="22"/>
              </w:rPr>
            </w:pPr>
            <w:r>
              <w:rPr>
                <w:sz w:val="22"/>
              </w:rPr>
              <w:t>osoite</w:t>
            </w:r>
          </w:p>
        </w:tc>
        <w:tc>
          <w:tcPr>
            <w:tcW w:w="1077" w:type="dxa"/>
          </w:tcPr>
          <w:p>
            <w:pPr>
              <w:pStyle w:val="TableParagraph"/>
              <w:rPr>
                <w:sz w:val="22"/>
              </w:rPr>
            </w:pPr>
            <w:r>
              <w:rPr>
                <w:sz w:val="22"/>
              </w:rPr>
              <w:t>sarake</w:t>
            </w:r>
          </w:p>
        </w:tc>
        <w:tc>
          <w:tcPr>
            <w:tcW w:w="959" w:type="dxa"/>
          </w:tcPr>
          <w:p>
            <w:pPr>
              <w:pStyle w:val="TableParagraph"/>
              <w:rPr>
                <w:sz w:val="22"/>
              </w:rPr>
            </w:pPr>
            <w:r>
              <w:rPr>
                <w:sz w:val="22"/>
              </w:rPr>
              <w:t>väri</w:t>
            </w:r>
          </w:p>
        </w:tc>
        <w:tc>
          <w:tcPr>
            <w:tcW w:w="1439" w:type="dxa"/>
          </w:tcPr>
          <w:p>
            <w:pPr>
              <w:pStyle w:val="TableParagraph"/>
              <w:ind w:left="116"/>
              <w:rPr>
                <w:sz w:val="22"/>
              </w:rPr>
            </w:pPr>
            <w:r>
              <w:rPr>
                <w:sz w:val="22"/>
              </w:rPr>
              <w:t>sisältö</w:t>
            </w:r>
          </w:p>
        </w:tc>
        <w:tc>
          <w:tcPr>
            <w:tcW w:w="1731" w:type="dxa"/>
          </w:tcPr>
          <w:p>
            <w:pPr>
              <w:pStyle w:val="TableParagraph"/>
              <w:rPr>
                <w:sz w:val="22"/>
              </w:rPr>
            </w:pPr>
            <w:r>
              <w:rPr>
                <w:sz w:val="22"/>
              </w:rPr>
              <w:t>tiedostonnimi</w:t>
            </w:r>
          </w:p>
        </w:tc>
        <w:tc>
          <w:tcPr>
            <w:tcW w:w="968" w:type="dxa"/>
          </w:tcPr>
          <w:p>
            <w:pPr>
              <w:pStyle w:val="TableParagraph"/>
              <w:ind w:left="120"/>
              <w:rPr>
                <w:sz w:val="22"/>
              </w:rPr>
            </w:pPr>
            <w:r>
              <w:rPr>
                <w:sz w:val="22"/>
              </w:rPr>
              <w:t>muoto</w:t>
            </w:r>
          </w:p>
        </w:tc>
      </w:tr>
      <w:tr>
        <w:trPr>
          <w:trHeight w:val="386" w:hRule="atLeast"/>
        </w:trPr>
        <w:tc>
          <w:tcPr>
            <w:tcW w:w="1188" w:type="dxa"/>
          </w:tcPr>
          <w:p>
            <w:pPr>
              <w:pStyle w:val="TableParagraph"/>
              <w:rPr>
                <w:sz w:val="22"/>
              </w:rPr>
            </w:pPr>
            <w:r>
              <w:rPr>
                <w:sz w:val="22"/>
              </w:rPr>
              <w:t>fr-fr</w:t>
            </w:r>
          </w:p>
        </w:tc>
        <w:tc>
          <w:tcPr>
            <w:tcW w:w="1193" w:type="dxa"/>
          </w:tcPr>
          <w:p>
            <w:pPr>
              <w:pStyle w:val="TableParagraph"/>
              <w:ind w:left="114"/>
              <w:rPr>
                <w:sz w:val="22"/>
              </w:rPr>
            </w:pPr>
            <w:r>
              <w:rPr>
                <w:sz w:val="22"/>
              </w:rPr>
              <w:t>adresse</w:t>
            </w:r>
          </w:p>
        </w:tc>
        <w:tc>
          <w:tcPr>
            <w:tcW w:w="1077" w:type="dxa"/>
          </w:tcPr>
          <w:p>
            <w:pPr>
              <w:pStyle w:val="TableParagraph"/>
              <w:rPr>
                <w:sz w:val="22"/>
              </w:rPr>
            </w:pPr>
            <w:r>
              <w:rPr>
                <w:sz w:val="22"/>
              </w:rPr>
              <w:t>colonne</w:t>
            </w:r>
          </w:p>
        </w:tc>
        <w:tc>
          <w:tcPr>
            <w:tcW w:w="959" w:type="dxa"/>
          </w:tcPr>
          <w:p>
            <w:pPr>
              <w:pStyle w:val="TableParagraph"/>
              <w:rPr>
                <w:sz w:val="22"/>
              </w:rPr>
            </w:pPr>
            <w:r>
              <w:rPr>
                <w:sz w:val="22"/>
              </w:rPr>
              <w:t>couleur</w:t>
            </w:r>
          </w:p>
        </w:tc>
        <w:tc>
          <w:tcPr>
            <w:tcW w:w="1439" w:type="dxa"/>
          </w:tcPr>
          <w:p>
            <w:pPr>
              <w:pStyle w:val="TableParagraph"/>
              <w:ind w:left="116"/>
              <w:rPr>
                <w:sz w:val="22"/>
              </w:rPr>
            </w:pPr>
            <w:r>
              <w:rPr>
                <w:sz w:val="22"/>
              </w:rPr>
              <w:t>contenu</w:t>
            </w:r>
          </w:p>
        </w:tc>
        <w:tc>
          <w:tcPr>
            <w:tcW w:w="1731" w:type="dxa"/>
          </w:tcPr>
          <w:p>
            <w:pPr>
              <w:pStyle w:val="TableParagraph"/>
              <w:rPr>
                <w:sz w:val="22"/>
              </w:rPr>
            </w:pPr>
            <w:r>
              <w:rPr>
                <w:sz w:val="22"/>
              </w:rPr>
              <w:t>nomfichier</w:t>
            </w:r>
          </w:p>
        </w:tc>
        <w:tc>
          <w:tcPr>
            <w:tcW w:w="968" w:type="dxa"/>
          </w:tcPr>
          <w:p>
            <w:pPr>
              <w:pStyle w:val="TableParagraph"/>
              <w:ind w:left="120"/>
              <w:rPr>
                <w:sz w:val="22"/>
              </w:rPr>
            </w:pPr>
            <w:r>
              <w:rPr>
                <w:sz w:val="22"/>
              </w:rPr>
              <w:t>format</w:t>
            </w:r>
          </w:p>
        </w:tc>
      </w:tr>
      <w:tr>
        <w:trPr>
          <w:trHeight w:val="385" w:hRule="atLeast"/>
        </w:trPr>
        <w:tc>
          <w:tcPr>
            <w:tcW w:w="1188" w:type="dxa"/>
          </w:tcPr>
          <w:p>
            <w:pPr>
              <w:pStyle w:val="TableParagraph"/>
              <w:rPr>
                <w:sz w:val="22"/>
              </w:rPr>
            </w:pPr>
            <w:r>
              <w:rPr>
                <w:sz w:val="22"/>
              </w:rPr>
              <w:t>hu-hu</w:t>
            </w:r>
          </w:p>
        </w:tc>
        <w:tc>
          <w:tcPr>
            <w:tcW w:w="1193" w:type="dxa"/>
          </w:tcPr>
          <w:p>
            <w:pPr>
              <w:pStyle w:val="TableParagraph"/>
              <w:ind w:left="114"/>
              <w:rPr>
                <w:sz w:val="22"/>
              </w:rPr>
            </w:pPr>
            <w:r>
              <w:rPr>
                <w:sz w:val="22"/>
              </w:rPr>
              <w:t>cím</w:t>
            </w:r>
          </w:p>
        </w:tc>
        <w:tc>
          <w:tcPr>
            <w:tcW w:w="1077" w:type="dxa"/>
          </w:tcPr>
          <w:p>
            <w:pPr>
              <w:pStyle w:val="TableParagraph"/>
              <w:rPr>
                <w:sz w:val="22"/>
              </w:rPr>
            </w:pPr>
            <w:r>
              <w:rPr>
                <w:sz w:val="22"/>
              </w:rPr>
              <w:t>oszlop</w:t>
            </w:r>
          </w:p>
        </w:tc>
        <w:tc>
          <w:tcPr>
            <w:tcW w:w="959" w:type="dxa"/>
          </w:tcPr>
          <w:p>
            <w:pPr>
              <w:pStyle w:val="TableParagraph"/>
              <w:rPr>
                <w:sz w:val="22"/>
              </w:rPr>
            </w:pPr>
            <w:r>
              <w:rPr>
                <w:sz w:val="22"/>
              </w:rPr>
              <w:t>szín</w:t>
            </w:r>
          </w:p>
        </w:tc>
        <w:tc>
          <w:tcPr>
            <w:tcW w:w="1439" w:type="dxa"/>
          </w:tcPr>
          <w:p>
            <w:pPr>
              <w:pStyle w:val="TableParagraph"/>
              <w:ind w:left="116"/>
              <w:rPr>
                <w:sz w:val="22"/>
              </w:rPr>
            </w:pPr>
            <w:r>
              <w:rPr>
                <w:sz w:val="22"/>
              </w:rPr>
              <w:t>tartalom</w:t>
            </w:r>
          </w:p>
        </w:tc>
        <w:tc>
          <w:tcPr>
            <w:tcW w:w="1731" w:type="dxa"/>
          </w:tcPr>
          <w:p>
            <w:pPr>
              <w:pStyle w:val="TableParagraph"/>
              <w:rPr>
                <w:sz w:val="22"/>
              </w:rPr>
            </w:pPr>
            <w:r>
              <w:rPr>
                <w:sz w:val="22"/>
              </w:rPr>
              <w:t>filenév</w:t>
            </w:r>
          </w:p>
        </w:tc>
        <w:tc>
          <w:tcPr>
            <w:tcW w:w="968" w:type="dxa"/>
          </w:tcPr>
          <w:p>
            <w:pPr>
              <w:pStyle w:val="TableParagraph"/>
              <w:ind w:left="120"/>
              <w:rPr>
                <w:sz w:val="22"/>
              </w:rPr>
            </w:pPr>
            <w:r>
              <w:rPr>
                <w:sz w:val="22"/>
              </w:rPr>
              <w:t>forma</w:t>
            </w:r>
          </w:p>
        </w:tc>
      </w:tr>
      <w:tr>
        <w:trPr>
          <w:trHeight w:val="386" w:hRule="atLeast"/>
        </w:trPr>
        <w:tc>
          <w:tcPr>
            <w:tcW w:w="1188" w:type="dxa"/>
          </w:tcPr>
          <w:p>
            <w:pPr>
              <w:pStyle w:val="TableParagraph"/>
              <w:rPr>
                <w:sz w:val="22"/>
              </w:rPr>
            </w:pPr>
            <w:r>
              <w:rPr>
                <w:sz w:val="22"/>
              </w:rPr>
              <w:t>it-it</w:t>
            </w:r>
          </w:p>
        </w:tc>
        <w:tc>
          <w:tcPr>
            <w:tcW w:w="1193" w:type="dxa"/>
          </w:tcPr>
          <w:p>
            <w:pPr>
              <w:pStyle w:val="TableParagraph"/>
              <w:ind w:left="114"/>
              <w:rPr>
                <w:sz w:val="22"/>
              </w:rPr>
            </w:pPr>
            <w:r>
              <w:rPr>
                <w:sz w:val="22"/>
              </w:rPr>
              <w:t>indirizzo</w:t>
            </w:r>
          </w:p>
        </w:tc>
        <w:tc>
          <w:tcPr>
            <w:tcW w:w="1077" w:type="dxa"/>
          </w:tcPr>
          <w:p>
            <w:pPr>
              <w:pStyle w:val="TableParagraph"/>
              <w:rPr>
                <w:sz w:val="22"/>
              </w:rPr>
            </w:pPr>
            <w:r>
              <w:rPr>
                <w:sz w:val="22"/>
              </w:rPr>
              <w:t>col</w:t>
            </w:r>
          </w:p>
        </w:tc>
        <w:tc>
          <w:tcPr>
            <w:tcW w:w="959" w:type="dxa"/>
          </w:tcPr>
          <w:p>
            <w:pPr>
              <w:pStyle w:val="TableParagraph"/>
              <w:rPr>
                <w:sz w:val="22"/>
              </w:rPr>
            </w:pPr>
            <w:r>
              <w:rPr>
                <w:sz w:val="22"/>
              </w:rPr>
              <w:t>colore</w:t>
            </w:r>
          </w:p>
        </w:tc>
        <w:tc>
          <w:tcPr>
            <w:tcW w:w="1439" w:type="dxa"/>
          </w:tcPr>
          <w:p>
            <w:pPr>
              <w:pStyle w:val="TableParagraph"/>
              <w:ind w:left="116"/>
              <w:rPr>
                <w:sz w:val="22"/>
              </w:rPr>
            </w:pPr>
            <w:r>
              <w:rPr>
                <w:sz w:val="22"/>
              </w:rPr>
              <w:t>contenuto</w:t>
            </w:r>
          </w:p>
        </w:tc>
        <w:tc>
          <w:tcPr>
            <w:tcW w:w="1731" w:type="dxa"/>
          </w:tcPr>
          <w:p>
            <w:pPr>
              <w:pStyle w:val="TableParagraph"/>
              <w:rPr>
                <w:sz w:val="22"/>
              </w:rPr>
            </w:pPr>
            <w:r>
              <w:rPr>
                <w:sz w:val="22"/>
              </w:rPr>
              <w:t>nomefile</w:t>
            </w:r>
          </w:p>
        </w:tc>
        <w:tc>
          <w:tcPr>
            <w:tcW w:w="968" w:type="dxa"/>
          </w:tcPr>
          <w:p>
            <w:pPr>
              <w:pStyle w:val="TableParagraph"/>
              <w:ind w:left="120"/>
              <w:rPr>
                <w:sz w:val="22"/>
              </w:rPr>
            </w:pPr>
            <w:r>
              <w:rPr>
                <w:sz w:val="22"/>
              </w:rPr>
              <w:t>formato</w:t>
            </w:r>
          </w:p>
        </w:tc>
      </w:tr>
      <w:tr>
        <w:trPr>
          <w:trHeight w:val="386" w:hRule="atLeast"/>
        </w:trPr>
        <w:tc>
          <w:tcPr>
            <w:tcW w:w="1188" w:type="dxa"/>
          </w:tcPr>
          <w:p>
            <w:pPr>
              <w:pStyle w:val="TableParagraph"/>
              <w:rPr>
                <w:sz w:val="22"/>
              </w:rPr>
            </w:pPr>
            <w:r>
              <w:rPr>
                <w:sz w:val="22"/>
              </w:rPr>
              <w:t>kk-kz</w:t>
            </w:r>
          </w:p>
        </w:tc>
        <w:tc>
          <w:tcPr>
            <w:tcW w:w="1193" w:type="dxa"/>
          </w:tcPr>
          <w:p>
            <w:pPr>
              <w:pStyle w:val="TableParagraph"/>
              <w:ind w:left="114"/>
              <w:rPr>
                <w:sz w:val="22"/>
              </w:rPr>
            </w:pPr>
            <w:r>
              <w:rPr>
                <w:sz w:val="22"/>
              </w:rPr>
              <w:t>мекенжай</w:t>
            </w:r>
          </w:p>
        </w:tc>
        <w:tc>
          <w:tcPr>
            <w:tcW w:w="1077" w:type="dxa"/>
          </w:tcPr>
          <w:p>
            <w:pPr>
              <w:pStyle w:val="TableParagraph"/>
              <w:rPr>
                <w:sz w:val="22"/>
              </w:rPr>
            </w:pPr>
            <w:r>
              <w:rPr>
                <w:sz w:val="22"/>
              </w:rPr>
              <w:t>ба</w:t>
            </w:r>
            <w:r>
              <w:rPr>
                <w:rFonts w:ascii="Arial" w:hAnsi="Arial"/>
                <w:sz w:val="22"/>
              </w:rPr>
              <w:t>ғ</w:t>
            </w:r>
            <w:r>
              <w:rPr>
                <w:sz w:val="22"/>
              </w:rPr>
              <w:t>ан</w:t>
            </w:r>
          </w:p>
        </w:tc>
        <w:tc>
          <w:tcPr>
            <w:tcW w:w="959" w:type="dxa"/>
          </w:tcPr>
          <w:p>
            <w:pPr>
              <w:pStyle w:val="TableParagraph"/>
              <w:rPr>
                <w:sz w:val="22"/>
              </w:rPr>
            </w:pPr>
            <w:r>
              <w:rPr>
                <w:sz w:val="22"/>
              </w:rPr>
              <w:t>т</w:t>
            </w:r>
            <w:r>
              <w:rPr>
                <w:rFonts w:ascii="Arial" w:hAnsi="Arial"/>
                <w:sz w:val="22"/>
              </w:rPr>
              <w:t>ү</w:t>
            </w:r>
            <w:r>
              <w:rPr>
                <w:sz w:val="22"/>
              </w:rPr>
              <w:t>с</w:t>
            </w:r>
          </w:p>
        </w:tc>
        <w:tc>
          <w:tcPr>
            <w:tcW w:w="1439" w:type="dxa"/>
          </w:tcPr>
          <w:p>
            <w:pPr>
              <w:pStyle w:val="TableParagraph"/>
              <w:ind w:left="116"/>
              <w:rPr>
                <w:sz w:val="22"/>
              </w:rPr>
            </w:pPr>
            <w:r>
              <w:rPr>
                <w:sz w:val="22"/>
              </w:rPr>
              <w:t>мазм</w:t>
            </w:r>
            <w:r>
              <w:rPr>
                <w:rFonts w:ascii="Arial" w:hAnsi="Arial"/>
                <w:sz w:val="22"/>
              </w:rPr>
              <w:t>ұ</w:t>
            </w:r>
            <w:r>
              <w:rPr>
                <w:sz w:val="22"/>
              </w:rPr>
              <w:t>ны</w:t>
            </w:r>
          </w:p>
        </w:tc>
        <w:tc>
          <w:tcPr>
            <w:tcW w:w="1731" w:type="dxa"/>
          </w:tcPr>
          <w:p>
            <w:pPr>
              <w:pStyle w:val="TableParagraph"/>
              <w:rPr>
                <w:sz w:val="22"/>
              </w:rPr>
            </w:pPr>
            <w:r>
              <w:rPr>
                <w:sz w:val="22"/>
              </w:rPr>
              <w:t>файлатауы</w:t>
            </w:r>
          </w:p>
        </w:tc>
        <w:tc>
          <w:tcPr>
            <w:tcW w:w="968" w:type="dxa"/>
          </w:tcPr>
          <w:p>
            <w:pPr>
              <w:pStyle w:val="TableParagraph"/>
              <w:ind w:left="120"/>
              <w:rPr>
                <w:sz w:val="22"/>
              </w:rPr>
            </w:pPr>
            <w:r>
              <w:rPr>
                <w:sz w:val="22"/>
              </w:rPr>
              <w:t>пішім</w:t>
            </w:r>
          </w:p>
        </w:tc>
      </w:tr>
      <w:tr>
        <w:trPr>
          <w:trHeight w:val="386" w:hRule="atLeast"/>
        </w:trPr>
        <w:tc>
          <w:tcPr>
            <w:tcW w:w="1188" w:type="dxa"/>
          </w:tcPr>
          <w:p>
            <w:pPr>
              <w:pStyle w:val="TableParagraph"/>
              <w:rPr>
                <w:sz w:val="22"/>
              </w:rPr>
            </w:pPr>
            <w:r>
              <w:rPr>
                <w:sz w:val="22"/>
              </w:rPr>
              <w:t>lv-lv</w:t>
            </w:r>
          </w:p>
        </w:tc>
        <w:tc>
          <w:tcPr>
            <w:tcW w:w="1193" w:type="dxa"/>
          </w:tcPr>
          <w:p>
            <w:pPr>
              <w:pStyle w:val="TableParagraph"/>
              <w:ind w:left="114"/>
              <w:rPr>
                <w:sz w:val="22"/>
              </w:rPr>
            </w:pPr>
            <w:r>
              <w:rPr>
                <w:sz w:val="22"/>
              </w:rPr>
              <w:t>adrese</w:t>
            </w:r>
          </w:p>
        </w:tc>
        <w:tc>
          <w:tcPr>
            <w:tcW w:w="1077" w:type="dxa"/>
          </w:tcPr>
          <w:p>
            <w:pPr>
              <w:pStyle w:val="TableParagraph"/>
              <w:rPr>
                <w:sz w:val="22"/>
              </w:rPr>
            </w:pPr>
            <w:r>
              <w:rPr>
                <w:sz w:val="22"/>
              </w:rPr>
              <w:t>kolonna</w:t>
            </w:r>
          </w:p>
        </w:tc>
        <w:tc>
          <w:tcPr>
            <w:tcW w:w="959" w:type="dxa"/>
          </w:tcPr>
          <w:p>
            <w:pPr>
              <w:pStyle w:val="TableParagraph"/>
              <w:rPr>
                <w:sz w:val="22"/>
              </w:rPr>
            </w:pPr>
            <w:r>
              <w:rPr>
                <w:sz w:val="22"/>
              </w:rPr>
              <w:t>krāsa</w:t>
            </w:r>
          </w:p>
        </w:tc>
        <w:tc>
          <w:tcPr>
            <w:tcW w:w="1439" w:type="dxa"/>
          </w:tcPr>
          <w:p>
            <w:pPr>
              <w:pStyle w:val="TableParagraph"/>
              <w:ind w:left="116"/>
              <w:rPr>
                <w:sz w:val="22"/>
              </w:rPr>
            </w:pPr>
            <w:r>
              <w:rPr>
                <w:sz w:val="22"/>
              </w:rPr>
              <w:t>saturs</w:t>
            </w:r>
          </w:p>
        </w:tc>
        <w:tc>
          <w:tcPr>
            <w:tcW w:w="1731" w:type="dxa"/>
          </w:tcPr>
          <w:p>
            <w:pPr>
              <w:pStyle w:val="TableParagraph"/>
              <w:rPr>
                <w:sz w:val="22"/>
              </w:rPr>
            </w:pPr>
            <w:r>
              <w:rPr>
                <w:sz w:val="22"/>
              </w:rPr>
              <w:t>faila_nosaukums</w:t>
            </w:r>
          </w:p>
        </w:tc>
        <w:tc>
          <w:tcPr>
            <w:tcW w:w="968" w:type="dxa"/>
          </w:tcPr>
          <w:p>
            <w:pPr>
              <w:pStyle w:val="TableParagraph"/>
              <w:ind w:left="120"/>
              <w:rPr>
                <w:sz w:val="22"/>
              </w:rPr>
            </w:pPr>
            <w:r>
              <w:rPr>
                <w:sz w:val="22"/>
              </w:rPr>
              <w:t>formāts</w:t>
            </w:r>
          </w:p>
        </w:tc>
      </w:tr>
      <w:tr>
        <w:trPr>
          <w:trHeight w:val="386" w:hRule="atLeast"/>
        </w:trPr>
        <w:tc>
          <w:tcPr>
            <w:tcW w:w="1188" w:type="dxa"/>
          </w:tcPr>
          <w:p>
            <w:pPr>
              <w:pStyle w:val="TableParagraph"/>
              <w:rPr>
                <w:sz w:val="22"/>
              </w:rPr>
            </w:pPr>
            <w:r>
              <w:rPr>
                <w:sz w:val="22"/>
              </w:rPr>
              <w:t>nb-no</w:t>
            </w:r>
          </w:p>
        </w:tc>
        <w:tc>
          <w:tcPr>
            <w:tcW w:w="1193" w:type="dxa"/>
          </w:tcPr>
          <w:p>
            <w:pPr>
              <w:pStyle w:val="TableParagraph"/>
              <w:ind w:left="114"/>
              <w:rPr>
                <w:sz w:val="22"/>
              </w:rPr>
            </w:pPr>
            <w:r>
              <w:rPr>
                <w:sz w:val="22"/>
              </w:rPr>
              <w:t>adresse</w:t>
            </w:r>
          </w:p>
        </w:tc>
        <w:tc>
          <w:tcPr>
            <w:tcW w:w="1077" w:type="dxa"/>
          </w:tcPr>
          <w:p>
            <w:pPr>
              <w:pStyle w:val="TableParagraph"/>
              <w:rPr>
                <w:sz w:val="22"/>
              </w:rPr>
            </w:pPr>
            <w:r>
              <w:rPr>
                <w:sz w:val="22"/>
              </w:rPr>
              <w:t>kol</w:t>
            </w:r>
          </w:p>
        </w:tc>
        <w:tc>
          <w:tcPr>
            <w:tcW w:w="959" w:type="dxa"/>
          </w:tcPr>
          <w:p>
            <w:pPr>
              <w:pStyle w:val="TableParagraph"/>
              <w:rPr>
                <w:sz w:val="22"/>
              </w:rPr>
            </w:pPr>
            <w:r>
              <w:rPr>
                <w:sz w:val="22"/>
              </w:rPr>
              <w:t>farge</w:t>
            </w:r>
          </w:p>
        </w:tc>
        <w:tc>
          <w:tcPr>
            <w:tcW w:w="1439" w:type="dxa"/>
          </w:tcPr>
          <w:p>
            <w:pPr>
              <w:pStyle w:val="TableParagraph"/>
              <w:ind w:left="116"/>
              <w:rPr>
                <w:sz w:val="22"/>
              </w:rPr>
            </w:pPr>
            <w:r>
              <w:rPr>
                <w:sz w:val="22"/>
              </w:rPr>
              <w:t>innhold</w:t>
            </w:r>
          </w:p>
        </w:tc>
        <w:tc>
          <w:tcPr>
            <w:tcW w:w="1731" w:type="dxa"/>
          </w:tcPr>
          <w:p>
            <w:pPr>
              <w:pStyle w:val="TableParagraph"/>
              <w:rPr>
                <w:sz w:val="22"/>
              </w:rPr>
            </w:pPr>
            <w:r>
              <w:rPr>
                <w:sz w:val="22"/>
              </w:rPr>
              <w:t>filnavn</w:t>
            </w:r>
          </w:p>
        </w:tc>
        <w:tc>
          <w:tcPr>
            <w:tcW w:w="968" w:type="dxa"/>
          </w:tcPr>
          <w:p>
            <w:pPr>
              <w:pStyle w:val="TableParagraph"/>
              <w:ind w:left="120"/>
              <w:rPr>
                <w:sz w:val="22"/>
              </w:rPr>
            </w:pPr>
            <w:r>
              <w:rPr>
                <w:sz w:val="22"/>
              </w:rPr>
              <w:t>format</w:t>
            </w:r>
          </w:p>
        </w:tc>
      </w:tr>
      <w:tr>
        <w:trPr>
          <w:trHeight w:val="385" w:hRule="atLeast"/>
        </w:trPr>
        <w:tc>
          <w:tcPr>
            <w:tcW w:w="1188" w:type="dxa"/>
          </w:tcPr>
          <w:p>
            <w:pPr>
              <w:pStyle w:val="TableParagraph"/>
              <w:rPr>
                <w:sz w:val="22"/>
              </w:rPr>
            </w:pPr>
            <w:r>
              <w:rPr>
                <w:sz w:val="22"/>
              </w:rPr>
              <w:t>nl-nl</w:t>
            </w:r>
          </w:p>
        </w:tc>
        <w:tc>
          <w:tcPr>
            <w:tcW w:w="1193" w:type="dxa"/>
          </w:tcPr>
          <w:p>
            <w:pPr>
              <w:pStyle w:val="TableParagraph"/>
              <w:ind w:left="114"/>
              <w:rPr>
                <w:sz w:val="22"/>
              </w:rPr>
            </w:pPr>
            <w:r>
              <w:rPr>
                <w:sz w:val="22"/>
              </w:rPr>
              <w:t>adres</w:t>
            </w:r>
          </w:p>
        </w:tc>
        <w:tc>
          <w:tcPr>
            <w:tcW w:w="1077" w:type="dxa"/>
          </w:tcPr>
          <w:p>
            <w:pPr>
              <w:pStyle w:val="TableParagraph"/>
              <w:rPr>
                <w:sz w:val="22"/>
              </w:rPr>
            </w:pPr>
            <w:r>
              <w:rPr>
                <w:sz w:val="22"/>
              </w:rPr>
              <w:t>kolom</w:t>
            </w:r>
          </w:p>
        </w:tc>
        <w:tc>
          <w:tcPr>
            <w:tcW w:w="959" w:type="dxa"/>
          </w:tcPr>
          <w:p>
            <w:pPr>
              <w:pStyle w:val="TableParagraph"/>
              <w:rPr>
                <w:sz w:val="22"/>
              </w:rPr>
            </w:pPr>
            <w:r>
              <w:rPr>
                <w:sz w:val="22"/>
              </w:rPr>
              <w:t>kleur</w:t>
            </w:r>
          </w:p>
        </w:tc>
        <w:tc>
          <w:tcPr>
            <w:tcW w:w="1439" w:type="dxa"/>
          </w:tcPr>
          <w:p>
            <w:pPr>
              <w:pStyle w:val="TableParagraph"/>
              <w:ind w:left="116"/>
              <w:rPr>
                <w:sz w:val="22"/>
              </w:rPr>
            </w:pPr>
            <w:r>
              <w:rPr>
                <w:sz w:val="22"/>
              </w:rPr>
              <w:t>inhoud</w:t>
            </w:r>
          </w:p>
        </w:tc>
        <w:tc>
          <w:tcPr>
            <w:tcW w:w="1731" w:type="dxa"/>
          </w:tcPr>
          <w:p>
            <w:pPr>
              <w:pStyle w:val="TableParagraph"/>
              <w:rPr>
                <w:sz w:val="22"/>
              </w:rPr>
            </w:pPr>
            <w:r>
              <w:rPr>
                <w:sz w:val="22"/>
              </w:rPr>
              <w:t>bestandsnaam</w:t>
            </w:r>
          </w:p>
        </w:tc>
        <w:tc>
          <w:tcPr>
            <w:tcW w:w="968" w:type="dxa"/>
          </w:tcPr>
          <w:p>
            <w:pPr>
              <w:pStyle w:val="TableParagraph"/>
              <w:ind w:left="120"/>
              <w:rPr>
                <w:sz w:val="22"/>
              </w:rPr>
            </w:pPr>
            <w:r>
              <w:rPr>
                <w:sz w:val="22"/>
              </w:rPr>
              <w:t>notatie</w:t>
            </w:r>
          </w:p>
        </w:tc>
      </w:tr>
      <w:tr>
        <w:trPr>
          <w:trHeight w:val="386" w:hRule="atLeast"/>
        </w:trPr>
        <w:tc>
          <w:tcPr>
            <w:tcW w:w="1188" w:type="dxa"/>
          </w:tcPr>
          <w:p>
            <w:pPr>
              <w:pStyle w:val="TableParagraph"/>
              <w:rPr>
                <w:sz w:val="22"/>
              </w:rPr>
            </w:pPr>
            <w:r>
              <w:rPr>
                <w:sz w:val="22"/>
              </w:rPr>
              <w:t>pl-pl</w:t>
            </w:r>
          </w:p>
        </w:tc>
        <w:tc>
          <w:tcPr>
            <w:tcW w:w="1193" w:type="dxa"/>
          </w:tcPr>
          <w:p>
            <w:pPr>
              <w:pStyle w:val="TableParagraph"/>
              <w:ind w:left="114"/>
              <w:rPr>
                <w:sz w:val="22"/>
              </w:rPr>
            </w:pPr>
            <w:r>
              <w:rPr>
                <w:sz w:val="22"/>
              </w:rPr>
              <w:t>adres</w:t>
            </w:r>
          </w:p>
        </w:tc>
        <w:tc>
          <w:tcPr>
            <w:tcW w:w="1077" w:type="dxa"/>
          </w:tcPr>
          <w:p>
            <w:pPr>
              <w:pStyle w:val="TableParagraph"/>
              <w:rPr>
                <w:sz w:val="22"/>
              </w:rPr>
            </w:pPr>
            <w:r>
              <w:rPr>
                <w:sz w:val="22"/>
              </w:rPr>
              <w:t>kolumna</w:t>
            </w:r>
          </w:p>
        </w:tc>
        <w:tc>
          <w:tcPr>
            <w:tcW w:w="959" w:type="dxa"/>
          </w:tcPr>
          <w:p>
            <w:pPr>
              <w:pStyle w:val="TableParagraph"/>
              <w:rPr>
                <w:sz w:val="22"/>
              </w:rPr>
            </w:pPr>
            <w:r>
              <w:rPr>
                <w:sz w:val="22"/>
              </w:rPr>
              <w:t>kolor</w:t>
            </w:r>
          </w:p>
        </w:tc>
        <w:tc>
          <w:tcPr>
            <w:tcW w:w="1439" w:type="dxa"/>
          </w:tcPr>
          <w:p>
            <w:pPr>
              <w:pStyle w:val="TableParagraph"/>
              <w:ind w:left="116"/>
              <w:rPr>
                <w:sz w:val="22"/>
              </w:rPr>
            </w:pPr>
            <w:r>
              <w:rPr>
                <w:sz w:val="22"/>
              </w:rPr>
              <w:t>zawartość</w:t>
            </w:r>
          </w:p>
        </w:tc>
        <w:tc>
          <w:tcPr>
            <w:tcW w:w="1731" w:type="dxa"/>
          </w:tcPr>
          <w:p>
            <w:pPr>
              <w:pStyle w:val="TableParagraph"/>
              <w:rPr>
                <w:sz w:val="22"/>
              </w:rPr>
            </w:pPr>
            <w:r>
              <w:rPr>
                <w:sz w:val="22"/>
              </w:rPr>
              <w:t>nazwa_pliku</w:t>
            </w:r>
          </w:p>
        </w:tc>
        <w:tc>
          <w:tcPr>
            <w:tcW w:w="968" w:type="dxa"/>
          </w:tcPr>
          <w:p>
            <w:pPr>
              <w:pStyle w:val="TableParagraph"/>
              <w:ind w:left="120"/>
              <w:rPr>
                <w:sz w:val="22"/>
              </w:rPr>
            </w:pPr>
            <w:r>
              <w:rPr>
                <w:sz w:val="22"/>
              </w:rPr>
              <w:t>format</w:t>
            </w:r>
          </w:p>
        </w:tc>
      </w:tr>
      <w:tr>
        <w:trPr>
          <w:trHeight w:val="385" w:hRule="atLeast"/>
        </w:trPr>
        <w:tc>
          <w:tcPr>
            <w:tcW w:w="1188" w:type="dxa"/>
          </w:tcPr>
          <w:p>
            <w:pPr>
              <w:pStyle w:val="TableParagraph"/>
              <w:rPr>
                <w:sz w:val="22"/>
              </w:rPr>
            </w:pPr>
            <w:r>
              <w:rPr>
                <w:sz w:val="22"/>
              </w:rPr>
              <w:t>pt-br</w:t>
            </w:r>
          </w:p>
        </w:tc>
        <w:tc>
          <w:tcPr>
            <w:tcW w:w="1193" w:type="dxa"/>
          </w:tcPr>
          <w:p>
            <w:pPr>
              <w:pStyle w:val="TableParagraph"/>
              <w:ind w:left="114"/>
              <w:rPr>
                <w:sz w:val="22"/>
              </w:rPr>
            </w:pPr>
            <w:r>
              <w:rPr>
                <w:sz w:val="22"/>
              </w:rPr>
              <w:t>endereço</w:t>
            </w:r>
          </w:p>
        </w:tc>
        <w:tc>
          <w:tcPr>
            <w:tcW w:w="1077" w:type="dxa"/>
          </w:tcPr>
          <w:p>
            <w:pPr>
              <w:pStyle w:val="TableParagraph"/>
              <w:rPr>
                <w:sz w:val="22"/>
              </w:rPr>
            </w:pPr>
            <w:r>
              <w:rPr>
                <w:sz w:val="22"/>
              </w:rPr>
              <w:t>col</w:t>
            </w:r>
          </w:p>
        </w:tc>
        <w:tc>
          <w:tcPr>
            <w:tcW w:w="959" w:type="dxa"/>
          </w:tcPr>
          <w:p>
            <w:pPr>
              <w:pStyle w:val="TableParagraph"/>
              <w:rPr>
                <w:sz w:val="22"/>
              </w:rPr>
            </w:pPr>
            <w:r>
              <w:rPr>
                <w:sz w:val="22"/>
              </w:rPr>
              <w:t>cor</w:t>
            </w:r>
          </w:p>
        </w:tc>
        <w:tc>
          <w:tcPr>
            <w:tcW w:w="1439" w:type="dxa"/>
          </w:tcPr>
          <w:p>
            <w:pPr>
              <w:pStyle w:val="TableParagraph"/>
              <w:ind w:left="116"/>
              <w:rPr>
                <w:sz w:val="22"/>
              </w:rPr>
            </w:pPr>
            <w:r>
              <w:rPr>
                <w:sz w:val="22"/>
              </w:rPr>
              <w:t>conteúdo</w:t>
            </w:r>
          </w:p>
        </w:tc>
        <w:tc>
          <w:tcPr>
            <w:tcW w:w="1731" w:type="dxa"/>
          </w:tcPr>
          <w:p>
            <w:pPr>
              <w:pStyle w:val="TableParagraph"/>
              <w:rPr>
                <w:sz w:val="22"/>
              </w:rPr>
            </w:pPr>
            <w:r>
              <w:rPr>
                <w:sz w:val="22"/>
              </w:rPr>
              <w:t>nome.arquivo</w:t>
            </w:r>
          </w:p>
        </w:tc>
        <w:tc>
          <w:tcPr>
            <w:tcW w:w="968" w:type="dxa"/>
          </w:tcPr>
          <w:p>
            <w:pPr>
              <w:pStyle w:val="TableParagraph"/>
              <w:ind w:left="120"/>
              <w:rPr>
                <w:sz w:val="22"/>
              </w:rPr>
            </w:pPr>
            <w:r>
              <w:rPr>
                <w:sz w:val="22"/>
              </w:rPr>
              <w:t>formato</w:t>
            </w:r>
          </w:p>
        </w:tc>
      </w:tr>
      <w:tr>
        <w:trPr>
          <w:trHeight w:val="386" w:hRule="atLeast"/>
        </w:trPr>
        <w:tc>
          <w:tcPr>
            <w:tcW w:w="1188" w:type="dxa"/>
          </w:tcPr>
          <w:p>
            <w:pPr>
              <w:pStyle w:val="TableParagraph"/>
              <w:rPr>
                <w:sz w:val="22"/>
              </w:rPr>
            </w:pPr>
            <w:r>
              <w:rPr>
                <w:sz w:val="22"/>
              </w:rPr>
              <w:t>pt-pt</w:t>
            </w:r>
          </w:p>
        </w:tc>
        <w:tc>
          <w:tcPr>
            <w:tcW w:w="1193" w:type="dxa"/>
          </w:tcPr>
          <w:p>
            <w:pPr>
              <w:pStyle w:val="TableParagraph"/>
              <w:ind w:left="114"/>
              <w:rPr>
                <w:sz w:val="22"/>
              </w:rPr>
            </w:pPr>
            <w:r>
              <w:rPr>
                <w:sz w:val="22"/>
              </w:rPr>
              <w:t>endereço</w:t>
            </w:r>
          </w:p>
        </w:tc>
        <w:tc>
          <w:tcPr>
            <w:tcW w:w="1077" w:type="dxa"/>
          </w:tcPr>
          <w:p>
            <w:pPr>
              <w:pStyle w:val="TableParagraph"/>
              <w:rPr>
                <w:sz w:val="22"/>
              </w:rPr>
            </w:pPr>
            <w:r>
              <w:rPr>
                <w:sz w:val="22"/>
              </w:rPr>
              <w:t>col</w:t>
            </w:r>
          </w:p>
        </w:tc>
        <w:tc>
          <w:tcPr>
            <w:tcW w:w="959" w:type="dxa"/>
          </w:tcPr>
          <w:p>
            <w:pPr>
              <w:pStyle w:val="TableParagraph"/>
              <w:rPr>
                <w:sz w:val="22"/>
              </w:rPr>
            </w:pPr>
            <w:r>
              <w:rPr>
                <w:sz w:val="22"/>
              </w:rPr>
              <w:t>cor</w:t>
            </w:r>
          </w:p>
        </w:tc>
        <w:tc>
          <w:tcPr>
            <w:tcW w:w="1439" w:type="dxa"/>
          </w:tcPr>
          <w:p>
            <w:pPr>
              <w:pStyle w:val="TableParagraph"/>
              <w:ind w:left="116"/>
              <w:rPr>
                <w:sz w:val="22"/>
              </w:rPr>
            </w:pPr>
            <w:r>
              <w:rPr>
                <w:sz w:val="22"/>
              </w:rPr>
              <w:t>conteúdo</w:t>
            </w:r>
          </w:p>
        </w:tc>
        <w:tc>
          <w:tcPr>
            <w:tcW w:w="1731" w:type="dxa"/>
          </w:tcPr>
          <w:p>
            <w:pPr>
              <w:pStyle w:val="TableParagraph"/>
              <w:rPr>
                <w:sz w:val="22"/>
              </w:rPr>
            </w:pPr>
            <w:r>
              <w:rPr>
                <w:sz w:val="22"/>
              </w:rPr>
              <w:t>nome.ficheiro</w:t>
            </w:r>
          </w:p>
        </w:tc>
        <w:tc>
          <w:tcPr>
            <w:tcW w:w="968" w:type="dxa"/>
          </w:tcPr>
          <w:p>
            <w:pPr>
              <w:pStyle w:val="TableParagraph"/>
              <w:ind w:left="120"/>
              <w:rPr>
                <w:sz w:val="22"/>
              </w:rPr>
            </w:pPr>
            <w:r>
              <w:rPr>
                <w:sz w:val="22"/>
              </w:rPr>
              <w:t>formato</w:t>
            </w:r>
          </w:p>
        </w:tc>
      </w:tr>
      <w:tr>
        <w:trPr>
          <w:trHeight w:val="386" w:hRule="atLeast"/>
        </w:trPr>
        <w:tc>
          <w:tcPr>
            <w:tcW w:w="1188" w:type="dxa"/>
          </w:tcPr>
          <w:p>
            <w:pPr>
              <w:pStyle w:val="TableParagraph"/>
              <w:rPr>
                <w:sz w:val="22"/>
              </w:rPr>
            </w:pPr>
            <w:r>
              <w:rPr>
                <w:sz w:val="22"/>
              </w:rPr>
              <w:t>ru-ru</w:t>
            </w:r>
          </w:p>
        </w:tc>
        <w:tc>
          <w:tcPr>
            <w:tcW w:w="1193" w:type="dxa"/>
          </w:tcPr>
          <w:p>
            <w:pPr>
              <w:pStyle w:val="TableParagraph"/>
              <w:ind w:left="114"/>
              <w:rPr>
                <w:sz w:val="22"/>
              </w:rPr>
            </w:pPr>
            <w:r>
              <w:rPr>
                <w:sz w:val="22"/>
              </w:rPr>
              <w:t>адрес</w:t>
            </w:r>
          </w:p>
        </w:tc>
        <w:tc>
          <w:tcPr>
            <w:tcW w:w="1077" w:type="dxa"/>
          </w:tcPr>
          <w:p>
            <w:pPr>
              <w:pStyle w:val="TableParagraph"/>
              <w:rPr>
                <w:sz w:val="22"/>
              </w:rPr>
            </w:pPr>
            <w:r>
              <w:rPr>
                <w:sz w:val="22"/>
              </w:rPr>
              <w:t>столбец</w:t>
            </w:r>
          </w:p>
        </w:tc>
        <w:tc>
          <w:tcPr>
            <w:tcW w:w="959" w:type="dxa"/>
          </w:tcPr>
          <w:p>
            <w:pPr>
              <w:pStyle w:val="TableParagraph"/>
              <w:rPr>
                <w:sz w:val="22"/>
              </w:rPr>
            </w:pPr>
            <w:r>
              <w:rPr>
                <w:sz w:val="22"/>
              </w:rPr>
              <w:t>цвет</w:t>
            </w:r>
          </w:p>
        </w:tc>
        <w:tc>
          <w:tcPr>
            <w:tcW w:w="1439" w:type="dxa"/>
          </w:tcPr>
          <w:p>
            <w:pPr>
              <w:pStyle w:val="TableParagraph"/>
              <w:ind w:left="116"/>
              <w:rPr>
                <w:sz w:val="22"/>
              </w:rPr>
            </w:pPr>
            <w:r>
              <w:rPr>
                <w:sz w:val="22"/>
              </w:rPr>
              <w:t>содержимое</w:t>
            </w:r>
          </w:p>
        </w:tc>
        <w:tc>
          <w:tcPr>
            <w:tcW w:w="1731" w:type="dxa"/>
          </w:tcPr>
          <w:p>
            <w:pPr>
              <w:pStyle w:val="TableParagraph"/>
              <w:rPr>
                <w:sz w:val="22"/>
              </w:rPr>
            </w:pPr>
            <w:r>
              <w:rPr>
                <w:sz w:val="22"/>
              </w:rPr>
              <w:t>имяфайла</w:t>
            </w:r>
          </w:p>
        </w:tc>
        <w:tc>
          <w:tcPr>
            <w:tcW w:w="968" w:type="dxa"/>
          </w:tcPr>
          <w:p>
            <w:pPr>
              <w:pStyle w:val="TableParagraph"/>
              <w:ind w:left="120"/>
              <w:rPr>
                <w:sz w:val="22"/>
              </w:rPr>
            </w:pPr>
            <w:r>
              <w:rPr>
                <w:sz w:val="22"/>
              </w:rPr>
              <w:t>формат</w:t>
            </w:r>
          </w:p>
        </w:tc>
      </w:tr>
      <w:tr>
        <w:trPr>
          <w:trHeight w:val="385" w:hRule="atLeast"/>
        </w:trPr>
        <w:tc>
          <w:tcPr>
            <w:tcW w:w="1188" w:type="dxa"/>
          </w:tcPr>
          <w:p>
            <w:pPr>
              <w:pStyle w:val="TableParagraph"/>
              <w:rPr>
                <w:sz w:val="22"/>
              </w:rPr>
            </w:pPr>
            <w:r>
              <w:rPr>
                <w:sz w:val="22"/>
              </w:rPr>
              <w:t>sk-sk</w:t>
            </w:r>
          </w:p>
        </w:tc>
        <w:tc>
          <w:tcPr>
            <w:tcW w:w="1193" w:type="dxa"/>
          </w:tcPr>
          <w:p>
            <w:pPr>
              <w:pStyle w:val="TableParagraph"/>
              <w:ind w:left="114"/>
              <w:rPr>
                <w:sz w:val="22"/>
              </w:rPr>
            </w:pPr>
            <w:r>
              <w:rPr>
                <w:sz w:val="22"/>
              </w:rPr>
              <w:t>adresa</w:t>
            </w:r>
          </w:p>
        </w:tc>
        <w:tc>
          <w:tcPr>
            <w:tcW w:w="1077" w:type="dxa"/>
          </w:tcPr>
          <w:p>
            <w:pPr>
              <w:pStyle w:val="TableParagraph"/>
              <w:rPr>
                <w:sz w:val="22"/>
              </w:rPr>
            </w:pPr>
            <w:r>
              <w:rPr>
                <w:sz w:val="22"/>
              </w:rPr>
              <w:t>stĺpec</w:t>
            </w:r>
          </w:p>
        </w:tc>
        <w:tc>
          <w:tcPr>
            <w:tcW w:w="959" w:type="dxa"/>
          </w:tcPr>
          <w:p>
            <w:pPr>
              <w:pStyle w:val="TableParagraph"/>
              <w:rPr>
                <w:sz w:val="22"/>
              </w:rPr>
            </w:pPr>
            <w:r>
              <w:rPr>
                <w:sz w:val="22"/>
              </w:rPr>
              <w:t>farba</w:t>
            </w:r>
          </w:p>
        </w:tc>
        <w:tc>
          <w:tcPr>
            <w:tcW w:w="1439" w:type="dxa"/>
          </w:tcPr>
          <w:p>
            <w:pPr>
              <w:pStyle w:val="TableParagraph"/>
              <w:ind w:left="116"/>
              <w:rPr>
                <w:sz w:val="22"/>
              </w:rPr>
            </w:pPr>
            <w:r>
              <w:rPr>
                <w:sz w:val="22"/>
              </w:rPr>
              <w:t>obsah</w:t>
            </w:r>
          </w:p>
        </w:tc>
        <w:tc>
          <w:tcPr>
            <w:tcW w:w="1731" w:type="dxa"/>
          </w:tcPr>
          <w:p>
            <w:pPr>
              <w:pStyle w:val="TableParagraph"/>
              <w:rPr>
                <w:sz w:val="22"/>
              </w:rPr>
            </w:pPr>
            <w:r>
              <w:rPr>
                <w:sz w:val="22"/>
              </w:rPr>
              <w:t>názovsúboru</w:t>
            </w:r>
          </w:p>
        </w:tc>
        <w:tc>
          <w:tcPr>
            <w:tcW w:w="968" w:type="dxa"/>
          </w:tcPr>
          <w:p>
            <w:pPr>
              <w:pStyle w:val="TableParagraph"/>
              <w:ind w:left="120"/>
              <w:rPr>
                <w:sz w:val="22"/>
              </w:rPr>
            </w:pPr>
            <w:r>
              <w:rPr>
                <w:sz w:val="22"/>
              </w:rPr>
              <w:t>formát</w:t>
            </w:r>
          </w:p>
        </w:tc>
      </w:tr>
      <w:tr>
        <w:trPr>
          <w:trHeight w:val="386" w:hRule="atLeast"/>
        </w:trPr>
        <w:tc>
          <w:tcPr>
            <w:tcW w:w="1188" w:type="dxa"/>
          </w:tcPr>
          <w:p>
            <w:pPr>
              <w:pStyle w:val="TableParagraph"/>
              <w:rPr>
                <w:sz w:val="22"/>
              </w:rPr>
            </w:pPr>
            <w:r>
              <w:rPr>
                <w:sz w:val="22"/>
              </w:rPr>
              <w:t>sl-si</w:t>
            </w:r>
          </w:p>
        </w:tc>
        <w:tc>
          <w:tcPr>
            <w:tcW w:w="1193" w:type="dxa"/>
          </w:tcPr>
          <w:p>
            <w:pPr>
              <w:pStyle w:val="TableParagraph"/>
              <w:ind w:left="114"/>
              <w:rPr>
                <w:sz w:val="22"/>
              </w:rPr>
            </w:pPr>
            <w:r>
              <w:rPr>
                <w:sz w:val="22"/>
              </w:rPr>
              <w:t>address</w:t>
            </w:r>
          </w:p>
        </w:tc>
        <w:tc>
          <w:tcPr>
            <w:tcW w:w="1077" w:type="dxa"/>
          </w:tcPr>
          <w:p>
            <w:pPr>
              <w:pStyle w:val="TableParagraph"/>
              <w:rPr>
                <w:sz w:val="22"/>
              </w:rPr>
            </w:pPr>
            <w:r>
              <w:rPr>
                <w:sz w:val="22"/>
              </w:rPr>
              <w:t>sto</w:t>
            </w:r>
          </w:p>
        </w:tc>
        <w:tc>
          <w:tcPr>
            <w:tcW w:w="959" w:type="dxa"/>
          </w:tcPr>
          <w:p>
            <w:pPr>
              <w:pStyle w:val="TableParagraph"/>
              <w:rPr>
                <w:sz w:val="22"/>
              </w:rPr>
            </w:pPr>
            <w:r>
              <w:rPr>
                <w:sz w:val="22"/>
              </w:rPr>
              <w:t>color</w:t>
            </w:r>
          </w:p>
        </w:tc>
        <w:tc>
          <w:tcPr>
            <w:tcW w:w="1439" w:type="dxa"/>
          </w:tcPr>
          <w:p>
            <w:pPr>
              <w:pStyle w:val="TableParagraph"/>
              <w:ind w:left="116"/>
              <w:rPr>
                <w:sz w:val="22"/>
              </w:rPr>
            </w:pPr>
            <w:r>
              <w:rPr>
                <w:sz w:val="22"/>
              </w:rPr>
              <w:t>contents</w:t>
            </w:r>
          </w:p>
        </w:tc>
        <w:tc>
          <w:tcPr>
            <w:tcW w:w="1731" w:type="dxa"/>
          </w:tcPr>
          <w:p>
            <w:pPr>
              <w:pStyle w:val="TableParagraph"/>
              <w:rPr>
                <w:sz w:val="22"/>
              </w:rPr>
            </w:pPr>
            <w:r>
              <w:rPr>
                <w:sz w:val="22"/>
              </w:rPr>
              <w:t>filename</w:t>
            </w:r>
          </w:p>
        </w:tc>
        <w:tc>
          <w:tcPr>
            <w:tcW w:w="968" w:type="dxa"/>
          </w:tcPr>
          <w:p>
            <w:pPr>
              <w:pStyle w:val="TableParagraph"/>
              <w:ind w:left="120"/>
              <w:rPr>
                <w:sz w:val="22"/>
              </w:rPr>
            </w:pPr>
            <w:r>
              <w:rPr>
                <w:sz w:val="22"/>
              </w:rPr>
              <w:t>format</w:t>
            </w:r>
          </w:p>
        </w:tc>
      </w:tr>
      <w:tr>
        <w:trPr>
          <w:trHeight w:val="386" w:hRule="atLeast"/>
        </w:trPr>
        <w:tc>
          <w:tcPr>
            <w:tcW w:w="1188" w:type="dxa"/>
          </w:tcPr>
          <w:p>
            <w:pPr>
              <w:pStyle w:val="TableParagraph"/>
              <w:rPr>
                <w:sz w:val="22"/>
              </w:rPr>
            </w:pPr>
            <w:r>
              <w:rPr>
                <w:sz w:val="22"/>
              </w:rPr>
              <w:t>sv-se</w:t>
            </w:r>
          </w:p>
        </w:tc>
        <w:tc>
          <w:tcPr>
            <w:tcW w:w="1193" w:type="dxa"/>
          </w:tcPr>
          <w:p>
            <w:pPr>
              <w:pStyle w:val="TableParagraph"/>
              <w:ind w:left="114"/>
              <w:rPr>
                <w:sz w:val="22"/>
              </w:rPr>
            </w:pPr>
            <w:r>
              <w:rPr>
                <w:sz w:val="22"/>
              </w:rPr>
              <w:t>adress</w:t>
            </w:r>
          </w:p>
        </w:tc>
        <w:tc>
          <w:tcPr>
            <w:tcW w:w="1077" w:type="dxa"/>
          </w:tcPr>
          <w:p>
            <w:pPr>
              <w:pStyle w:val="TableParagraph"/>
              <w:rPr>
                <w:sz w:val="22"/>
              </w:rPr>
            </w:pPr>
            <w:r>
              <w:rPr>
                <w:sz w:val="22"/>
              </w:rPr>
              <w:t>kol</w:t>
            </w:r>
          </w:p>
        </w:tc>
        <w:tc>
          <w:tcPr>
            <w:tcW w:w="959" w:type="dxa"/>
          </w:tcPr>
          <w:p>
            <w:pPr>
              <w:pStyle w:val="TableParagraph"/>
              <w:rPr>
                <w:sz w:val="22"/>
              </w:rPr>
            </w:pPr>
            <w:r>
              <w:rPr>
                <w:sz w:val="22"/>
              </w:rPr>
              <w:t>färg</w:t>
            </w:r>
          </w:p>
        </w:tc>
        <w:tc>
          <w:tcPr>
            <w:tcW w:w="1439" w:type="dxa"/>
          </w:tcPr>
          <w:p>
            <w:pPr>
              <w:pStyle w:val="TableParagraph"/>
              <w:ind w:left="116"/>
              <w:rPr>
                <w:sz w:val="22"/>
              </w:rPr>
            </w:pPr>
            <w:r>
              <w:rPr>
                <w:sz w:val="22"/>
              </w:rPr>
              <w:t>innehåll</w:t>
            </w:r>
          </w:p>
        </w:tc>
        <w:tc>
          <w:tcPr>
            <w:tcW w:w="1731" w:type="dxa"/>
          </w:tcPr>
          <w:p>
            <w:pPr>
              <w:pStyle w:val="TableParagraph"/>
              <w:rPr>
                <w:sz w:val="22"/>
              </w:rPr>
            </w:pPr>
            <w:r>
              <w:rPr>
                <w:sz w:val="22"/>
              </w:rPr>
              <w:t>filnamn</w:t>
            </w:r>
          </w:p>
        </w:tc>
        <w:tc>
          <w:tcPr>
            <w:tcW w:w="968" w:type="dxa"/>
          </w:tcPr>
          <w:p>
            <w:pPr>
              <w:pStyle w:val="TableParagraph"/>
              <w:ind w:left="120"/>
              <w:rPr>
                <w:sz w:val="22"/>
              </w:rPr>
            </w:pPr>
            <w:r>
              <w:rPr>
                <w:sz w:val="22"/>
              </w:rPr>
              <w:t>format</w:t>
            </w:r>
          </w:p>
        </w:tc>
      </w:tr>
      <w:tr>
        <w:trPr>
          <w:trHeight w:val="386" w:hRule="atLeast"/>
        </w:trPr>
        <w:tc>
          <w:tcPr>
            <w:tcW w:w="1188" w:type="dxa"/>
          </w:tcPr>
          <w:p>
            <w:pPr>
              <w:pStyle w:val="TableParagraph"/>
              <w:rPr>
                <w:sz w:val="22"/>
              </w:rPr>
            </w:pPr>
            <w:r>
              <w:rPr>
                <w:sz w:val="22"/>
              </w:rPr>
              <w:t>tr-tr</w:t>
            </w:r>
          </w:p>
        </w:tc>
        <w:tc>
          <w:tcPr>
            <w:tcW w:w="1193" w:type="dxa"/>
          </w:tcPr>
          <w:p>
            <w:pPr>
              <w:pStyle w:val="TableParagraph"/>
              <w:ind w:left="114"/>
              <w:rPr>
                <w:sz w:val="22"/>
              </w:rPr>
            </w:pPr>
            <w:r>
              <w:rPr>
                <w:sz w:val="22"/>
              </w:rPr>
              <w:t>adres</w:t>
            </w:r>
          </w:p>
        </w:tc>
        <w:tc>
          <w:tcPr>
            <w:tcW w:w="1077" w:type="dxa"/>
          </w:tcPr>
          <w:p>
            <w:pPr>
              <w:pStyle w:val="TableParagraph"/>
              <w:rPr>
                <w:sz w:val="22"/>
              </w:rPr>
            </w:pPr>
            <w:r>
              <w:rPr>
                <w:sz w:val="22"/>
              </w:rPr>
              <w:t>süt</w:t>
            </w:r>
          </w:p>
        </w:tc>
        <w:tc>
          <w:tcPr>
            <w:tcW w:w="959" w:type="dxa"/>
          </w:tcPr>
          <w:p>
            <w:pPr>
              <w:pStyle w:val="TableParagraph"/>
              <w:rPr>
                <w:sz w:val="22"/>
              </w:rPr>
            </w:pPr>
            <w:r>
              <w:rPr>
                <w:sz w:val="22"/>
              </w:rPr>
              <w:t>renk</w:t>
            </w:r>
          </w:p>
        </w:tc>
        <w:tc>
          <w:tcPr>
            <w:tcW w:w="1439" w:type="dxa"/>
          </w:tcPr>
          <w:p>
            <w:pPr>
              <w:pStyle w:val="TableParagraph"/>
              <w:ind w:left="116"/>
              <w:rPr>
                <w:sz w:val="22"/>
              </w:rPr>
            </w:pPr>
            <w:r>
              <w:rPr>
                <w:sz w:val="22"/>
              </w:rPr>
              <w:t>içerik</w:t>
            </w:r>
          </w:p>
        </w:tc>
        <w:tc>
          <w:tcPr>
            <w:tcW w:w="1731" w:type="dxa"/>
          </w:tcPr>
          <w:p>
            <w:pPr>
              <w:pStyle w:val="TableParagraph"/>
              <w:rPr>
                <w:sz w:val="22"/>
              </w:rPr>
            </w:pPr>
            <w:r>
              <w:rPr>
                <w:sz w:val="22"/>
              </w:rPr>
              <w:t>dosyaadi</w:t>
            </w:r>
          </w:p>
        </w:tc>
        <w:tc>
          <w:tcPr>
            <w:tcW w:w="968" w:type="dxa"/>
          </w:tcPr>
          <w:p>
            <w:pPr>
              <w:pStyle w:val="TableParagraph"/>
              <w:ind w:left="120"/>
              <w:rPr>
                <w:sz w:val="22"/>
              </w:rPr>
            </w:pPr>
            <w:r>
              <w:rPr>
                <w:sz w:val="22"/>
              </w:rPr>
              <w:t>biçim</w:t>
            </w:r>
          </w:p>
        </w:tc>
      </w:tr>
      <w:tr>
        <w:trPr>
          <w:trHeight w:val="385" w:hRule="atLeast"/>
        </w:trPr>
        <w:tc>
          <w:tcPr>
            <w:tcW w:w="1188" w:type="dxa"/>
          </w:tcPr>
          <w:p>
            <w:pPr>
              <w:pStyle w:val="TableParagraph"/>
              <w:rPr>
                <w:sz w:val="22"/>
              </w:rPr>
            </w:pPr>
            <w:r>
              <w:rPr>
                <w:sz w:val="22"/>
              </w:rPr>
              <w:t>uk-ua</w:t>
            </w:r>
          </w:p>
        </w:tc>
        <w:tc>
          <w:tcPr>
            <w:tcW w:w="1193" w:type="dxa"/>
          </w:tcPr>
          <w:p>
            <w:pPr>
              <w:pStyle w:val="TableParagraph"/>
              <w:ind w:left="114"/>
              <w:rPr>
                <w:sz w:val="22"/>
              </w:rPr>
            </w:pPr>
            <w:r>
              <w:rPr>
                <w:sz w:val="22"/>
              </w:rPr>
              <w:t>адреса</w:t>
            </w:r>
          </w:p>
        </w:tc>
        <w:tc>
          <w:tcPr>
            <w:tcW w:w="1077" w:type="dxa"/>
          </w:tcPr>
          <w:p>
            <w:pPr>
              <w:pStyle w:val="TableParagraph"/>
              <w:rPr>
                <w:sz w:val="22"/>
              </w:rPr>
            </w:pPr>
            <w:r>
              <w:rPr>
                <w:sz w:val="22"/>
              </w:rPr>
              <w:t>стовпець</w:t>
            </w:r>
          </w:p>
        </w:tc>
        <w:tc>
          <w:tcPr>
            <w:tcW w:w="959" w:type="dxa"/>
          </w:tcPr>
          <w:p>
            <w:pPr>
              <w:pStyle w:val="TableParagraph"/>
              <w:rPr>
                <w:sz w:val="22"/>
              </w:rPr>
            </w:pPr>
            <w:r>
              <w:rPr>
                <w:sz w:val="22"/>
              </w:rPr>
              <w:t>колір</w:t>
            </w:r>
          </w:p>
        </w:tc>
        <w:tc>
          <w:tcPr>
            <w:tcW w:w="1439" w:type="dxa"/>
          </w:tcPr>
          <w:p>
            <w:pPr>
              <w:pStyle w:val="TableParagraph"/>
              <w:ind w:left="116"/>
              <w:rPr>
                <w:sz w:val="22"/>
              </w:rPr>
            </w:pPr>
            <w:r>
              <w:rPr>
                <w:sz w:val="22"/>
              </w:rPr>
              <w:t>вміст</w:t>
            </w:r>
          </w:p>
        </w:tc>
        <w:tc>
          <w:tcPr>
            <w:tcW w:w="1731" w:type="dxa"/>
          </w:tcPr>
          <w:p>
            <w:pPr>
              <w:pStyle w:val="TableParagraph"/>
              <w:rPr>
                <w:sz w:val="22"/>
              </w:rPr>
            </w:pPr>
            <w:r>
              <w:rPr>
                <w:sz w:val="22"/>
              </w:rPr>
              <w:t>ім`я_файлу</w:t>
            </w:r>
          </w:p>
        </w:tc>
        <w:tc>
          <w:tcPr>
            <w:tcW w:w="968" w:type="dxa"/>
          </w:tcPr>
          <w:p>
            <w:pPr>
              <w:pStyle w:val="TableParagraph"/>
              <w:ind w:left="120"/>
              <w:rPr>
                <w:sz w:val="22"/>
              </w:rPr>
            </w:pPr>
            <w:r>
              <w:rPr>
                <w:sz w:val="22"/>
              </w:rPr>
              <w:t>формат</w:t>
            </w:r>
          </w:p>
        </w:tc>
      </w:tr>
    </w:tbl>
    <w:p>
      <w:pPr>
        <w:pStyle w:val="BodyText"/>
        <w:rPr>
          <w:rFonts w:ascii="Times New Roman"/>
          <w:sz w:val="20"/>
        </w:rPr>
      </w:pPr>
    </w:p>
    <w:p>
      <w:pPr>
        <w:pStyle w:val="BodyText"/>
        <w:spacing w:before="3"/>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1357"/>
        <w:gridCol w:w="1323"/>
        <w:gridCol w:w="1388"/>
        <w:gridCol w:w="960"/>
        <w:gridCol w:w="1142"/>
        <w:gridCol w:w="1104"/>
      </w:tblGrid>
      <w:tr>
        <w:trPr>
          <w:trHeight w:val="386" w:hRule="atLeast"/>
        </w:trPr>
        <w:tc>
          <w:tcPr>
            <w:tcW w:w="1188" w:type="dxa"/>
            <w:shd w:val="clear" w:color="auto" w:fill="C0C0C0"/>
          </w:tcPr>
          <w:p>
            <w:pPr>
              <w:pStyle w:val="TableParagraph"/>
              <w:ind w:left="304"/>
              <w:rPr>
                <w:b/>
                <w:sz w:val="22"/>
              </w:rPr>
            </w:pPr>
            <w:r>
              <w:rPr>
                <w:b/>
                <w:sz w:val="22"/>
              </w:rPr>
              <w:t>Locale</w:t>
            </w:r>
          </w:p>
        </w:tc>
        <w:tc>
          <w:tcPr>
            <w:tcW w:w="1357" w:type="dxa"/>
            <w:shd w:val="clear" w:color="auto" w:fill="C0C0C0"/>
          </w:tcPr>
          <w:p>
            <w:pPr>
              <w:pStyle w:val="TableParagraph"/>
              <w:ind w:left="114"/>
              <w:rPr>
                <w:b/>
                <w:sz w:val="22"/>
              </w:rPr>
            </w:pPr>
            <w:r>
              <w:rPr>
                <w:b/>
                <w:sz w:val="22"/>
              </w:rPr>
              <w:t>parentheses</w:t>
            </w:r>
          </w:p>
        </w:tc>
        <w:tc>
          <w:tcPr>
            <w:tcW w:w="1323" w:type="dxa"/>
            <w:shd w:val="clear" w:color="auto" w:fill="C0C0C0"/>
          </w:tcPr>
          <w:p>
            <w:pPr>
              <w:pStyle w:val="TableParagraph"/>
              <w:ind w:left="392"/>
              <w:rPr>
                <w:b/>
                <w:sz w:val="22"/>
              </w:rPr>
            </w:pPr>
            <w:r>
              <w:rPr>
                <w:b/>
                <w:sz w:val="22"/>
              </w:rPr>
              <w:t>prefix</w:t>
            </w:r>
          </w:p>
        </w:tc>
        <w:tc>
          <w:tcPr>
            <w:tcW w:w="1388" w:type="dxa"/>
            <w:shd w:val="clear" w:color="auto" w:fill="C0C0C0"/>
          </w:tcPr>
          <w:p>
            <w:pPr>
              <w:pStyle w:val="TableParagraph"/>
              <w:ind w:left="356"/>
              <w:rPr>
                <w:b/>
                <w:sz w:val="22"/>
              </w:rPr>
            </w:pPr>
            <w:r>
              <w:rPr>
                <w:b/>
                <w:sz w:val="22"/>
              </w:rPr>
              <w:t>protect</w:t>
            </w:r>
          </w:p>
        </w:tc>
        <w:tc>
          <w:tcPr>
            <w:tcW w:w="960" w:type="dxa"/>
            <w:shd w:val="clear" w:color="auto" w:fill="C0C0C0"/>
          </w:tcPr>
          <w:p>
            <w:pPr>
              <w:pStyle w:val="TableParagraph"/>
              <w:ind w:left="298"/>
              <w:rPr>
                <w:b/>
                <w:sz w:val="22"/>
              </w:rPr>
            </w:pPr>
            <w:r>
              <w:rPr>
                <w:b/>
                <w:sz w:val="22"/>
              </w:rPr>
              <w:t>row</w:t>
            </w:r>
          </w:p>
        </w:tc>
        <w:tc>
          <w:tcPr>
            <w:tcW w:w="1142" w:type="dxa"/>
            <w:shd w:val="clear" w:color="auto" w:fill="C0C0C0"/>
          </w:tcPr>
          <w:p>
            <w:pPr>
              <w:pStyle w:val="TableParagraph"/>
              <w:ind w:left="363"/>
              <w:rPr>
                <w:b/>
                <w:sz w:val="22"/>
              </w:rPr>
            </w:pPr>
            <w:r>
              <w:rPr>
                <w:b/>
                <w:sz w:val="22"/>
              </w:rPr>
              <w:t>type</w:t>
            </w:r>
          </w:p>
        </w:tc>
        <w:tc>
          <w:tcPr>
            <w:tcW w:w="1104" w:type="dxa"/>
            <w:shd w:val="clear" w:color="auto" w:fill="C0C0C0"/>
          </w:tcPr>
          <w:p>
            <w:pPr>
              <w:pStyle w:val="TableParagraph"/>
              <w:ind w:left="284"/>
              <w:rPr>
                <w:b/>
                <w:sz w:val="22"/>
              </w:rPr>
            </w:pPr>
            <w:r>
              <w:rPr>
                <w:b/>
                <w:sz w:val="22"/>
              </w:rPr>
              <w:t>width</w:t>
            </w:r>
          </w:p>
        </w:tc>
      </w:tr>
      <w:tr>
        <w:trPr>
          <w:trHeight w:val="385" w:hRule="atLeast"/>
        </w:trPr>
        <w:tc>
          <w:tcPr>
            <w:tcW w:w="1188" w:type="dxa"/>
          </w:tcPr>
          <w:p>
            <w:pPr>
              <w:pStyle w:val="TableParagraph"/>
              <w:rPr>
                <w:sz w:val="22"/>
              </w:rPr>
            </w:pPr>
            <w:r>
              <w:rPr>
                <w:sz w:val="22"/>
              </w:rPr>
              <w:t>az-latn-az</w:t>
            </w:r>
          </w:p>
        </w:tc>
        <w:tc>
          <w:tcPr>
            <w:tcW w:w="1357" w:type="dxa"/>
          </w:tcPr>
          <w:p>
            <w:pPr>
              <w:pStyle w:val="TableParagraph"/>
              <w:ind w:left="114"/>
              <w:rPr>
                <w:sz w:val="22"/>
              </w:rPr>
            </w:pPr>
            <w:r>
              <w:rPr>
                <w:sz w:val="22"/>
              </w:rPr>
              <w:t>parentheses</w:t>
            </w:r>
          </w:p>
        </w:tc>
        <w:tc>
          <w:tcPr>
            <w:tcW w:w="1323" w:type="dxa"/>
          </w:tcPr>
          <w:p>
            <w:pPr>
              <w:pStyle w:val="TableParagraph"/>
              <w:ind w:left="114"/>
              <w:rPr>
                <w:sz w:val="22"/>
              </w:rPr>
            </w:pPr>
            <w:r>
              <w:rPr>
                <w:sz w:val="22"/>
              </w:rPr>
              <w:t>prefix</w:t>
            </w:r>
          </w:p>
        </w:tc>
        <w:tc>
          <w:tcPr>
            <w:tcW w:w="1388" w:type="dxa"/>
          </w:tcPr>
          <w:p>
            <w:pPr>
              <w:pStyle w:val="TableParagraph"/>
              <w:ind w:left="111"/>
              <w:rPr>
                <w:sz w:val="22"/>
              </w:rPr>
            </w:pPr>
            <w:r>
              <w:rPr>
                <w:sz w:val="22"/>
              </w:rPr>
              <w:t>protect</w:t>
            </w:r>
          </w:p>
        </w:tc>
        <w:tc>
          <w:tcPr>
            <w:tcW w:w="960" w:type="dxa"/>
          </w:tcPr>
          <w:p>
            <w:pPr>
              <w:pStyle w:val="TableParagraph"/>
              <w:ind w:left="113"/>
              <w:rPr>
                <w:sz w:val="22"/>
              </w:rPr>
            </w:pPr>
            <w:r>
              <w:rPr>
                <w:sz w:val="22"/>
              </w:rPr>
              <w:t>s</w:t>
            </w:r>
            <w:r>
              <w:rPr>
                <w:rFonts w:ascii="Arial" w:hAnsi="Arial"/>
                <w:sz w:val="22"/>
              </w:rPr>
              <w:t>ə</w:t>
            </w:r>
            <w:r>
              <w:rPr>
                <w:sz w:val="22"/>
              </w:rPr>
              <w:t>tir</w:t>
            </w:r>
          </w:p>
        </w:tc>
        <w:tc>
          <w:tcPr>
            <w:tcW w:w="1142" w:type="dxa"/>
          </w:tcPr>
          <w:p>
            <w:pPr>
              <w:pStyle w:val="TableParagraph"/>
              <w:ind w:left="113"/>
              <w:rPr>
                <w:sz w:val="22"/>
              </w:rPr>
            </w:pPr>
            <w:r>
              <w:rPr>
                <w:sz w:val="22"/>
              </w:rPr>
              <w:t>tip</w:t>
            </w:r>
          </w:p>
        </w:tc>
        <w:tc>
          <w:tcPr>
            <w:tcW w:w="1104" w:type="dxa"/>
          </w:tcPr>
          <w:p>
            <w:pPr>
              <w:pStyle w:val="TableParagraph"/>
              <w:ind w:left="113"/>
              <w:rPr>
                <w:sz w:val="22"/>
              </w:rPr>
            </w:pPr>
            <w:r>
              <w:rPr>
                <w:sz w:val="22"/>
              </w:rPr>
              <w:t>en</w:t>
            </w:r>
          </w:p>
        </w:tc>
      </w:tr>
      <w:tr>
        <w:trPr>
          <w:trHeight w:val="386" w:hRule="atLeast"/>
        </w:trPr>
        <w:tc>
          <w:tcPr>
            <w:tcW w:w="1188" w:type="dxa"/>
          </w:tcPr>
          <w:p>
            <w:pPr>
              <w:pStyle w:val="TableParagraph"/>
              <w:rPr>
                <w:sz w:val="22"/>
              </w:rPr>
            </w:pPr>
            <w:r>
              <w:rPr>
                <w:sz w:val="22"/>
              </w:rPr>
              <w:t>ca-es</w:t>
            </w:r>
          </w:p>
        </w:tc>
        <w:tc>
          <w:tcPr>
            <w:tcW w:w="1357" w:type="dxa"/>
          </w:tcPr>
          <w:p>
            <w:pPr>
              <w:pStyle w:val="TableParagraph"/>
              <w:ind w:left="114"/>
              <w:rPr>
                <w:sz w:val="22"/>
              </w:rPr>
            </w:pPr>
            <w:r>
              <w:rPr>
                <w:sz w:val="22"/>
              </w:rPr>
              <w:t>parentesis</w:t>
            </w:r>
          </w:p>
        </w:tc>
        <w:tc>
          <w:tcPr>
            <w:tcW w:w="1323" w:type="dxa"/>
          </w:tcPr>
          <w:p>
            <w:pPr>
              <w:pStyle w:val="TableParagraph"/>
              <w:ind w:left="114"/>
              <w:rPr>
                <w:sz w:val="22"/>
              </w:rPr>
            </w:pPr>
            <w:r>
              <w:rPr>
                <w:sz w:val="22"/>
              </w:rPr>
              <w:t>prefijo</w:t>
            </w:r>
          </w:p>
        </w:tc>
        <w:tc>
          <w:tcPr>
            <w:tcW w:w="1388" w:type="dxa"/>
          </w:tcPr>
          <w:p>
            <w:pPr>
              <w:pStyle w:val="TableParagraph"/>
              <w:ind w:left="111"/>
              <w:rPr>
                <w:sz w:val="22"/>
              </w:rPr>
            </w:pPr>
            <w:r>
              <w:rPr>
                <w:sz w:val="22"/>
              </w:rPr>
              <w:t>proteger</w:t>
            </w:r>
          </w:p>
        </w:tc>
        <w:tc>
          <w:tcPr>
            <w:tcW w:w="960" w:type="dxa"/>
          </w:tcPr>
          <w:p>
            <w:pPr>
              <w:pStyle w:val="TableParagraph"/>
              <w:ind w:left="113"/>
              <w:rPr>
                <w:sz w:val="22"/>
              </w:rPr>
            </w:pPr>
            <w:r>
              <w:rPr>
                <w:sz w:val="22"/>
              </w:rPr>
              <w:t>fila</w:t>
            </w:r>
          </w:p>
        </w:tc>
        <w:tc>
          <w:tcPr>
            <w:tcW w:w="1142" w:type="dxa"/>
          </w:tcPr>
          <w:p>
            <w:pPr>
              <w:pStyle w:val="TableParagraph"/>
              <w:ind w:left="113"/>
              <w:rPr>
                <w:sz w:val="22"/>
              </w:rPr>
            </w:pPr>
            <w:r>
              <w:rPr>
                <w:sz w:val="22"/>
              </w:rPr>
              <w:t>tipo</w:t>
            </w:r>
          </w:p>
        </w:tc>
        <w:tc>
          <w:tcPr>
            <w:tcW w:w="1104" w:type="dxa"/>
          </w:tcPr>
          <w:p>
            <w:pPr>
              <w:pStyle w:val="TableParagraph"/>
              <w:ind w:left="113"/>
              <w:rPr>
                <w:sz w:val="22"/>
              </w:rPr>
            </w:pPr>
            <w:r>
              <w:rPr>
                <w:sz w:val="22"/>
              </w:rPr>
              <w:t>ancho</w:t>
            </w:r>
          </w:p>
        </w:tc>
      </w:tr>
      <w:tr>
        <w:trPr>
          <w:trHeight w:val="386" w:hRule="atLeast"/>
        </w:trPr>
        <w:tc>
          <w:tcPr>
            <w:tcW w:w="1188" w:type="dxa"/>
          </w:tcPr>
          <w:p>
            <w:pPr>
              <w:pStyle w:val="TableParagraph"/>
              <w:rPr>
                <w:sz w:val="22"/>
              </w:rPr>
            </w:pPr>
            <w:r>
              <w:rPr>
                <w:sz w:val="22"/>
              </w:rPr>
              <w:t>cs-cz</w:t>
            </w:r>
          </w:p>
        </w:tc>
        <w:tc>
          <w:tcPr>
            <w:tcW w:w="1357" w:type="dxa"/>
          </w:tcPr>
          <w:p>
            <w:pPr>
              <w:pStyle w:val="TableParagraph"/>
              <w:ind w:left="114"/>
              <w:rPr>
                <w:sz w:val="22"/>
              </w:rPr>
            </w:pPr>
            <w:r>
              <w:rPr>
                <w:sz w:val="22"/>
              </w:rPr>
              <w:t>závorky</w:t>
            </w:r>
          </w:p>
        </w:tc>
        <w:tc>
          <w:tcPr>
            <w:tcW w:w="1323" w:type="dxa"/>
          </w:tcPr>
          <w:p>
            <w:pPr>
              <w:pStyle w:val="TableParagraph"/>
              <w:ind w:left="114"/>
              <w:rPr>
                <w:sz w:val="22"/>
              </w:rPr>
            </w:pPr>
            <w:r>
              <w:rPr>
                <w:sz w:val="22"/>
              </w:rPr>
              <w:t>prefix</w:t>
            </w:r>
          </w:p>
        </w:tc>
        <w:tc>
          <w:tcPr>
            <w:tcW w:w="1388" w:type="dxa"/>
          </w:tcPr>
          <w:p>
            <w:pPr>
              <w:pStyle w:val="TableParagraph"/>
              <w:ind w:left="111"/>
              <w:rPr>
                <w:sz w:val="22"/>
              </w:rPr>
            </w:pPr>
            <w:r>
              <w:rPr>
                <w:sz w:val="22"/>
              </w:rPr>
              <w:t>zámek</w:t>
            </w:r>
          </w:p>
        </w:tc>
        <w:tc>
          <w:tcPr>
            <w:tcW w:w="960" w:type="dxa"/>
          </w:tcPr>
          <w:p>
            <w:pPr>
              <w:pStyle w:val="TableParagraph"/>
              <w:ind w:left="113"/>
              <w:rPr>
                <w:sz w:val="22"/>
              </w:rPr>
            </w:pPr>
            <w:r>
              <w:rPr>
                <w:sz w:val="22"/>
              </w:rPr>
              <w:t>řádek</w:t>
            </w:r>
          </w:p>
        </w:tc>
        <w:tc>
          <w:tcPr>
            <w:tcW w:w="1142" w:type="dxa"/>
          </w:tcPr>
          <w:p>
            <w:pPr>
              <w:pStyle w:val="TableParagraph"/>
              <w:ind w:left="113"/>
              <w:rPr>
                <w:sz w:val="22"/>
              </w:rPr>
            </w:pPr>
            <w:r>
              <w:rPr>
                <w:sz w:val="22"/>
              </w:rPr>
              <w:t>typ</w:t>
            </w:r>
          </w:p>
        </w:tc>
        <w:tc>
          <w:tcPr>
            <w:tcW w:w="1104" w:type="dxa"/>
          </w:tcPr>
          <w:p>
            <w:pPr>
              <w:pStyle w:val="TableParagraph"/>
              <w:ind w:left="113"/>
              <w:rPr>
                <w:sz w:val="22"/>
              </w:rPr>
            </w:pPr>
            <w:r>
              <w:rPr>
                <w:sz w:val="22"/>
              </w:rPr>
              <w:t>šířka</w:t>
            </w:r>
          </w:p>
        </w:tc>
      </w:tr>
      <w:tr>
        <w:trPr>
          <w:trHeight w:val="386" w:hRule="atLeast"/>
        </w:trPr>
        <w:tc>
          <w:tcPr>
            <w:tcW w:w="1188" w:type="dxa"/>
          </w:tcPr>
          <w:p>
            <w:pPr>
              <w:pStyle w:val="TableParagraph"/>
              <w:rPr>
                <w:sz w:val="22"/>
              </w:rPr>
            </w:pPr>
            <w:r>
              <w:rPr>
                <w:sz w:val="22"/>
              </w:rPr>
              <w:t>da-dk</w:t>
            </w:r>
          </w:p>
        </w:tc>
        <w:tc>
          <w:tcPr>
            <w:tcW w:w="1357" w:type="dxa"/>
          </w:tcPr>
          <w:p>
            <w:pPr>
              <w:pStyle w:val="TableParagraph"/>
              <w:ind w:left="114"/>
              <w:rPr>
                <w:sz w:val="22"/>
              </w:rPr>
            </w:pPr>
            <w:r>
              <w:rPr>
                <w:sz w:val="22"/>
              </w:rPr>
              <w:t>parenteser</w:t>
            </w:r>
          </w:p>
        </w:tc>
        <w:tc>
          <w:tcPr>
            <w:tcW w:w="1323" w:type="dxa"/>
          </w:tcPr>
          <w:p>
            <w:pPr>
              <w:pStyle w:val="TableParagraph"/>
              <w:ind w:left="114"/>
              <w:rPr>
                <w:sz w:val="22"/>
              </w:rPr>
            </w:pPr>
            <w:r>
              <w:rPr>
                <w:sz w:val="22"/>
              </w:rPr>
              <w:t>foranstillet</w:t>
            </w:r>
          </w:p>
        </w:tc>
        <w:tc>
          <w:tcPr>
            <w:tcW w:w="1388" w:type="dxa"/>
          </w:tcPr>
          <w:p>
            <w:pPr>
              <w:pStyle w:val="TableParagraph"/>
              <w:ind w:left="111"/>
              <w:rPr>
                <w:sz w:val="22"/>
              </w:rPr>
            </w:pPr>
            <w:r>
              <w:rPr>
                <w:sz w:val="22"/>
              </w:rPr>
              <w:t>beskyt</w:t>
            </w:r>
          </w:p>
        </w:tc>
        <w:tc>
          <w:tcPr>
            <w:tcW w:w="960" w:type="dxa"/>
          </w:tcPr>
          <w:p>
            <w:pPr>
              <w:pStyle w:val="TableParagraph"/>
              <w:ind w:left="113"/>
              <w:rPr>
                <w:sz w:val="22"/>
              </w:rPr>
            </w:pPr>
            <w:r>
              <w:rPr>
                <w:sz w:val="22"/>
              </w:rPr>
              <w:t>række</w:t>
            </w:r>
          </w:p>
        </w:tc>
        <w:tc>
          <w:tcPr>
            <w:tcW w:w="1142" w:type="dxa"/>
          </w:tcPr>
          <w:p>
            <w:pPr>
              <w:pStyle w:val="TableParagraph"/>
              <w:ind w:left="113"/>
              <w:rPr>
                <w:sz w:val="22"/>
              </w:rPr>
            </w:pPr>
            <w:r>
              <w:rPr>
                <w:sz w:val="22"/>
              </w:rPr>
              <w:t>værditype</w:t>
            </w:r>
          </w:p>
        </w:tc>
        <w:tc>
          <w:tcPr>
            <w:tcW w:w="1104" w:type="dxa"/>
          </w:tcPr>
          <w:p>
            <w:pPr>
              <w:pStyle w:val="TableParagraph"/>
              <w:ind w:left="113"/>
              <w:rPr>
                <w:sz w:val="22"/>
              </w:rPr>
            </w:pPr>
            <w:r>
              <w:rPr>
                <w:sz w:val="22"/>
              </w:rPr>
              <w:t>bredde</w:t>
            </w:r>
          </w:p>
        </w:tc>
      </w:tr>
      <w:tr>
        <w:trPr>
          <w:trHeight w:val="386" w:hRule="atLeast"/>
        </w:trPr>
        <w:tc>
          <w:tcPr>
            <w:tcW w:w="1188" w:type="dxa"/>
          </w:tcPr>
          <w:p>
            <w:pPr>
              <w:pStyle w:val="TableParagraph"/>
              <w:rPr>
                <w:sz w:val="22"/>
              </w:rPr>
            </w:pPr>
            <w:r>
              <w:rPr>
                <w:sz w:val="22"/>
              </w:rPr>
              <w:t>de-de</w:t>
            </w:r>
          </w:p>
        </w:tc>
        <w:tc>
          <w:tcPr>
            <w:tcW w:w="1357" w:type="dxa"/>
          </w:tcPr>
          <w:p>
            <w:pPr>
              <w:pStyle w:val="TableParagraph"/>
              <w:ind w:left="114"/>
              <w:rPr>
                <w:sz w:val="22"/>
              </w:rPr>
            </w:pPr>
            <w:r>
              <w:rPr>
                <w:sz w:val="22"/>
              </w:rPr>
              <w:t>klammern</w:t>
            </w:r>
          </w:p>
        </w:tc>
        <w:tc>
          <w:tcPr>
            <w:tcW w:w="1323" w:type="dxa"/>
          </w:tcPr>
          <w:p>
            <w:pPr>
              <w:pStyle w:val="TableParagraph"/>
              <w:ind w:left="114"/>
              <w:rPr>
                <w:sz w:val="22"/>
              </w:rPr>
            </w:pPr>
            <w:r>
              <w:rPr>
                <w:sz w:val="22"/>
              </w:rPr>
              <w:t>präfix</w:t>
            </w:r>
          </w:p>
        </w:tc>
        <w:tc>
          <w:tcPr>
            <w:tcW w:w="1388" w:type="dxa"/>
          </w:tcPr>
          <w:p>
            <w:pPr>
              <w:pStyle w:val="TableParagraph"/>
              <w:ind w:left="111"/>
              <w:rPr>
                <w:sz w:val="22"/>
              </w:rPr>
            </w:pPr>
            <w:r>
              <w:rPr>
                <w:sz w:val="22"/>
              </w:rPr>
              <w:t>schutz</w:t>
            </w:r>
          </w:p>
        </w:tc>
        <w:tc>
          <w:tcPr>
            <w:tcW w:w="960" w:type="dxa"/>
          </w:tcPr>
          <w:p>
            <w:pPr>
              <w:pStyle w:val="TableParagraph"/>
              <w:ind w:left="113"/>
              <w:rPr>
                <w:sz w:val="22"/>
              </w:rPr>
            </w:pPr>
            <w:r>
              <w:rPr>
                <w:sz w:val="22"/>
              </w:rPr>
              <w:t>zeile</w:t>
            </w:r>
          </w:p>
        </w:tc>
        <w:tc>
          <w:tcPr>
            <w:tcW w:w="1142" w:type="dxa"/>
          </w:tcPr>
          <w:p>
            <w:pPr>
              <w:pStyle w:val="TableParagraph"/>
              <w:ind w:left="113"/>
              <w:rPr>
                <w:sz w:val="22"/>
              </w:rPr>
            </w:pPr>
            <w:r>
              <w:rPr>
                <w:sz w:val="22"/>
              </w:rPr>
              <w:t>typ</w:t>
            </w:r>
          </w:p>
        </w:tc>
        <w:tc>
          <w:tcPr>
            <w:tcW w:w="1104" w:type="dxa"/>
          </w:tcPr>
          <w:p>
            <w:pPr>
              <w:pStyle w:val="TableParagraph"/>
              <w:ind w:left="113"/>
              <w:rPr>
                <w:sz w:val="22"/>
              </w:rPr>
            </w:pPr>
            <w:r>
              <w:rPr>
                <w:sz w:val="22"/>
              </w:rPr>
              <w:t>breite</w:t>
            </w:r>
          </w:p>
        </w:tc>
      </w:tr>
      <w:tr>
        <w:trPr>
          <w:trHeight w:val="386" w:hRule="atLeast"/>
        </w:trPr>
        <w:tc>
          <w:tcPr>
            <w:tcW w:w="1188" w:type="dxa"/>
          </w:tcPr>
          <w:p>
            <w:pPr>
              <w:pStyle w:val="TableParagraph"/>
              <w:rPr>
                <w:sz w:val="22"/>
              </w:rPr>
            </w:pPr>
            <w:r>
              <w:rPr>
                <w:sz w:val="22"/>
              </w:rPr>
              <w:t>es-es</w:t>
            </w:r>
          </w:p>
        </w:tc>
        <w:tc>
          <w:tcPr>
            <w:tcW w:w="1357" w:type="dxa"/>
          </w:tcPr>
          <w:p>
            <w:pPr>
              <w:pStyle w:val="TableParagraph"/>
              <w:ind w:left="114"/>
              <w:rPr>
                <w:sz w:val="22"/>
              </w:rPr>
            </w:pPr>
            <w:r>
              <w:rPr>
                <w:sz w:val="22"/>
              </w:rPr>
              <w:t>parentesis</w:t>
            </w:r>
          </w:p>
        </w:tc>
        <w:tc>
          <w:tcPr>
            <w:tcW w:w="1323" w:type="dxa"/>
          </w:tcPr>
          <w:p>
            <w:pPr>
              <w:pStyle w:val="TableParagraph"/>
              <w:ind w:left="114"/>
              <w:rPr>
                <w:sz w:val="22"/>
              </w:rPr>
            </w:pPr>
            <w:r>
              <w:rPr>
                <w:sz w:val="22"/>
              </w:rPr>
              <w:t>prefijo</w:t>
            </w:r>
          </w:p>
        </w:tc>
        <w:tc>
          <w:tcPr>
            <w:tcW w:w="1388" w:type="dxa"/>
          </w:tcPr>
          <w:p>
            <w:pPr>
              <w:pStyle w:val="TableParagraph"/>
              <w:ind w:left="111"/>
              <w:rPr>
                <w:sz w:val="22"/>
              </w:rPr>
            </w:pPr>
            <w:r>
              <w:rPr>
                <w:sz w:val="22"/>
              </w:rPr>
              <w:t>proteger</w:t>
            </w:r>
          </w:p>
        </w:tc>
        <w:tc>
          <w:tcPr>
            <w:tcW w:w="960" w:type="dxa"/>
          </w:tcPr>
          <w:p>
            <w:pPr>
              <w:pStyle w:val="TableParagraph"/>
              <w:ind w:left="113"/>
              <w:rPr>
                <w:sz w:val="22"/>
              </w:rPr>
            </w:pPr>
            <w:r>
              <w:rPr>
                <w:sz w:val="22"/>
              </w:rPr>
              <w:t>fila</w:t>
            </w:r>
          </w:p>
        </w:tc>
        <w:tc>
          <w:tcPr>
            <w:tcW w:w="1142" w:type="dxa"/>
          </w:tcPr>
          <w:p>
            <w:pPr>
              <w:pStyle w:val="TableParagraph"/>
              <w:ind w:left="113"/>
              <w:rPr>
                <w:sz w:val="22"/>
              </w:rPr>
            </w:pPr>
            <w:r>
              <w:rPr>
                <w:sz w:val="22"/>
              </w:rPr>
              <w:t>tipo</w:t>
            </w:r>
          </w:p>
        </w:tc>
        <w:tc>
          <w:tcPr>
            <w:tcW w:w="1104" w:type="dxa"/>
          </w:tcPr>
          <w:p>
            <w:pPr>
              <w:pStyle w:val="TableParagraph"/>
              <w:ind w:left="113"/>
              <w:rPr>
                <w:sz w:val="22"/>
              </w:rPr>
            </w:pPr>
            <w:r>
              <w:rPr>
                <w:sz w:val="22"/>
              </w:rPr>
              <w:t>ancho</w:t>
            </w:r>
          </w:p>
        </w:tc>
      </w:tr>
      <w:tr>
        <w:trPr>
          <w:trHeight w:val="385" w:hRule="atLeast"/>
        </w:trPr>
        <w:tc>
          <w:tcPr>
            <w:tcW w:w="1188" w:type="dxa"/>
          </w:tcPr>
          <w:p>
            <w:pPr>
              <w:pStyle w:val="TableParagraph"/>
              <w:rPr>
                <w:sz w:val="22"/>
              </w:rPr>
            </w:pPr>
            <w:r>
              <w:rPr>
                <w:sz w:val="22"/>
              </w:rPr>
              <w:t>et-ee</w:t>
            </w:r>
          </w:p>
        </w:tc>
        <w:tc>
          <w:tcPr>
            <w:tcW w:w="1357" w:type="dxa"/>
          </w:tcPr>
          <w:p>
            <w:pPr>
              <w:pStyle w:val="TableParagraph"/>
              <w:ind w:left="114"/>
              <w:rPr>
                <w:sz w:val="22"/>
              </w:rPr>
            </w:pPr>
            <w:r>
              <w:rPr>
                <w:sz w:val="22"/>
              </w:rPr>
              <w:t>sulud</w:t>
            </w:r>
          </w:p>
        </w:tc>
        <w:tc>
          <w:tcPr>
            <w:tcW w:w="1323" w:type="dxa"/>
          </w:tcPr>
          <w:p>
            <w:pPr>
              <w:pStyle w:val="TableParagraph"/>
              <w:ind w:left="114"/>
              <w:rPr>
                <w:sz w:val="22"/>
              </w:rPr>
            </w:pPr>
            <w:r>
              <w:rPr>
                <w:sz w:val="22"/>
              </w:rPr>
              <w:t>eesliide</w:t>
            </w:r>
          </w:p>
        </w:tc>
        <w:tc>
          <w:tcPr>
            <w:tcW w:w="1388" w:type="dxa"/>
          </w:tcPr>
          <w:p>
            <w:pPr>
              <w:pStyle w:val="TableParagraph"/>
              <w:ind w:left="111"/>
              <w:rPr>
                <w:sz w:val="22"/>
              </w:rPr>
            </w:pPr>
            <w:r>
              <w:rPr>
                <w:sz w:val="22"/>
              </w:rPr>
              <w:t>kaitse</w:t>
            </w:r>
          </w:p>
        </w:tc>
        <w:tc>
          <w:tcPr>
            <w:tcW w:w="960" w:type="dxa"/>
          </w:tcPr>
          <w:p>
            <w:pPr>
              <w:pStyle w:val="TableParagraph"/>
              <w:ind w:left="113"/>
              <w:rPr>
                <w:sz w:val="22"/>
              </w:rPr>
            </w:pPr>
            <w:r>
              <w:rPr>
                <w:sz w:val="22"/>
              </w:rPr>
              <w:t>rida</w:t>
            </w:r>
          </w:p>
        </w:tc>
        <w:tc>
          <w:tcPr>
            <w:tcW w:w="1142" w:type="dxa"/>
          </w:tcPr>
          <w:p>
            <w:pPr>
              <w:pStyle w:val="TableParagraph"/>
              <w:ind w:left="113"/>
              <w:rPr>
                <w:sz w:val="22"/>
              </w:rPr>
            </w:pPr>
            <w:r>
              <w:rPr>
                <w:sz w:val="22"/>
              </w:rPr>
              <w:t>tüüp</w:t>
            </w:r>
          </w:p>
        </w:tc>
        <w:tc>
          <w:tcPr>
            <w:tcW w:w="1104" w:type="dxa"/>
          </w:tcPr>
          <w:p>
            <w:pPr>
              <w:pStyle w:val="TableParagraph"/>
              <w:ind w:left="113"/>
              <w:rPr>
                <w:sz w:val="22"/>
              </w:rPr>
            </w:pPr>
            <w:r>
              <w:rPr>
                <w:sz w:val="22"/>
              </w:rPr>
              <w:t>laius</w:t>
            </w:r>
          </w:p>
        </w:tc>
      </w:tr>
      <w:tr>
        <w:trPr>
          <w:trHeight w:val="386" w:hRule="atLeast"/>
        </w:trPr>
        <w:tc>
          <w:tcPr>
            <w:tcW w:w="1188" w:type="dxa"/>
          </w:tcPr>
          <w:p>
            <w:pPr>
              <w:pStyle w:val="TableParagraph"/>
              <w:rPr>
                <w:sz w:val="22"/>
              </w:rPr>
            </w:pPr>
            <w:r>
              <w:rPr>
                <w:sz w:val="22"/>
              </w:rPr>
              <w:t>fi-fi</w:t>
            </w:r>
          </w:p>
        </w:tc>
        <w:tc>
          <w:tcPr>
            <w:tcW w:w="1357" w:type="dxa"/>
          </w:tcPr>
          <w:p>
            <w:pPr>
              <w:pStyle w:val="TableParagraph"/>
              <w:ind w:left="114"/>
              <w:rPr>
                <w:sz w:val="22"/>
              </w:rPr>
            </w:pPr>
            <w:r>
              <w:rPr>
                <w:sz w:val="22"/>
              </w:rPr>
              <w:t>sulkeet</w:t>
            </w:r>
          </w:p>
        </w:tc>
        <w:tc>
          <w:tcPr>
            <w:tcW w:w="1323" w:type="dxa"/>
          </w:tcPr>
          <w:p>
            <w:pPr>
              <w:pStyle w:val="TableParagraph"/>
              <w:ind w:left="114"/>
              <w:rPr>
                <w:sz w:val="22"/>
              </w:rPr>
            </w:pPr>
            <w:r>
              <w:rPr>
                <w:sz w:val="22"/>
              </w:rPr>
              <w:t>etuliite</w:t>
            </w:r>
          </w:p>
        </w:tc>
        <w:tc>
          <w:tcPr>
            <w:tcW w:w="1388" w:type="dxa"/>
          </w:tcPr>
          <w:p>
            <w:pPr>
              <w:pStyle w:val="TableParagraph"/>
              <w:ind w:left="111"/>
              <w:rPr>
                <w:sz w:val="22"/>
              </w:rPr>
            </w:pPr>
            <w:r>
              <w:rPr>
                <w:sz w:val="22"/>
              </w:rPr>
              <w:t>suojaus</w:t>
            </w:r>
          </w:p>
        </w:tc>
        <w:tc>
          <w:tcPr>
            <w:tcW w:w="960" w:type="dxa"/>
          </w:tcPr>
          <w:p>
            <w:pPr>
              <w:pStyle w:val="TableParagraph"/>
              <w:ind w:left="113"/>
              <w:rPr>
                <w:sz w:val="22"/>
              </w:rPr>
            </w:pPr>
            <w:r>
              <w:rPr>
                <w:sz w:val="22"/>
              </w:rPr>
              <w:t>rivi</w:t>
            </w:r>
          </w:p>
        </w:tc>
        <w:tc>
          <w:tcPr>
            <w:tcW w:w="1142" w:type="dxa"/>
          </w:tcPr>
          <w:p>
            <w:pPr>
              <w:pStyle w:val="TableParagraph"/>
              <w:ind w:left="113"/>
              <w:rPr>
                <w:sz w:val="22"/>
              </w:rPr>
            </w:pPr>
            <w:r>
              <w:rPr>
                <w:sz w:val="22"/>
              </w:rPr>
              <w:t>tyyppi</w:t>
            </w:r>
          </w:p>
        </w:tc>
        <w:tc>
          <w:tcPr>
            <w:tcW w:w="1104" w:type="dxa"/>
          </w:tcPr>
          <w:p>
            <w:pPr>
              <w:pStyle w:val="TableParagraph"/>
              <w:ind w:left="113"/>
              <w:rPr>
                <w:sz w:val="22"/>
              </w:rPr>
            </w:pPr>
            <w:r>
              <w:rPr>
                <w:sz w:val="22"/>
              </w:rPr>
              <w:t>leveys</w:t>
            </w:r>
          </w:p>
        </w:tc>
      </w:tr>
    </w:tbl>
    <w:p>
      <w:pPr>
        <w:spacing w:after="0"/>
        <w:rPr>
          <w:sz w:val="22"/>
        </w:rPr>
        <w:sectPr>
          <w:footerReference w:type="even" r:id="rId213"/>
          <w:footerReference w:type="default" r:id="rId214"/>
          <w:pgSz w:w="12240" w:h="15840"/>
          <w:pgMar w:footer="746" w:header="761" w:top="1340" w:bottom="940" w:left="860" w:right="700"/>
          <w:pgNumType w:start="211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1357"/>
        <w:gridCol w:w="1323"/>
        <w:gridCol w:w="1388"/>
        <w:gridCol w:w="960"/>
        <w:gridCol w:w="1142"/>
        <w:gridCol w:w="1104"/>
      </w:tblGrid>
      <w:tr>
        <w:trPr>
          <w:trHeight w:val="386" w:hRule="atLeast"/>
        </w:trPr>
        <w:tc>
          <w:tcPr>
            <w:tcW w:w="1188" w:type="dxa"/>
            <w:shd w:val="clear" w:color="auto" w:fill="C0C0C0"/>
          </w:tcPr>
          <w:p>
            <w:pPr>
              <w:pStyle w:val="TableParagraph"/>
              <w:ind w:left="304"/>
              <w:rPr>
                <w:b/>
                <w:sz w:val="22"/>
              </w:rPr>
            </w:pPr>
            <w:r>
              <w:rPr>
                <w:b/>
                <w:sz w:val="22"/>
              </w:rPr>
              <w:t>Locale</w:t>
            </w:r>
          </w:p>
        </w:tc>
        <w:tc>
          <w:tcPr>
            <w:tcW w:w="1357" w:type="dxa"/>
            <w:shd w:val="clear" w:color="auto" w:fill="C0C0C0"/>
          </w:tcPr>
          <w:p>
            <w:pPr>
              <w:pStyle w:val="TableParagraph"/>
              <w:ind w:left="114"/>
              <w:rPr>
                <w:b/>
                <w:sz w:val="22"/>
              </w:rPr>
            </w:pPr>
            <w:r>
              <w:rPr>
                <w:b/>
                <w:sz w:val="22"/>
              </w:rPr>
              <w:t>parentheses</w:t>
            </w:r>
          </w:p>
        </w:tc>
        <w:tc>
          <w:tcPr>
            <w:tcW w:w="1323" w:type="dxa"/>
            <w:shd w:val="clear" w:color="auto" w:fill="C0C0C0"/>
          </w:tcPr>
          <w:p>
            <w:pPr>
              <w:pStyle w:val="TableParagraph"/>
              <w:ind w:left="392"/>
              <w:rPr>
                <w:b/>
                <w:sz w:val="22"/>
              </w:rPr>
            </w:pPr>
            <w:r>
              <w:rPr>
                <w:b/>
                <w:sz w:val="22"/>
              </w:rPr>
              <w:t>prefix</w:t>
            </w:r>
          </w:p>
        </w:tc>
        <w:tc>
          <w:tcPr>
            <w:tcW w:w="1388" w:type="dxa"/>
            <w:shd w:val="clear" w:color="auto" w:fill="C0C0C0"/>
          </w:tcPr>
          <w:p>
            <w:pPr>
              <w:pStyle w:val="TableParagraph"/>
              <w:ind w:left="356"/>
              <w:rPr>
                <w:b/>
                <w:sz w:val="22"/>
              </w:rPr>
            </w:pPr>
            <w:r>
              <w:rPr>
                <w:b/>
                <w:sz w:val="22"/>
              </w:rPr>
              <w:t>protect</w:t>
            </w:r>
          </w:p>
        </w:tc>
        <w:tc>
          <w:tcPr>
            <w:tcW w:w="960" w:type="dxa"/>
            <w:shd w:val="clear" w:color="auto" w:fill="C0C0C0"/>
          </w:tcPr>
          <w:p>
            <w:pPr>
              <w:pStyle w:val="TableParagraph"/>
              <w:ind w:left="298"/>
              <w:rPr>
                <w:b/>
                <w:sz w:val="22"/>
              </w:rPr>
            </w:pPr>
            <w:r>
              <w:rPr>
                <w:b/>
                <w:sz w:val="22"/>
              </w:rPr>
              <w:t>row</w:t>
            </w:r>
          </w:p>
        </w:tc>
        <w:tc>
          <w:tcPr>
            <w:tcW w:w="1142" w:type="dxa"/>
            <w:shd w:val="clear" w:color="auto" w:fill="C0C0C0"/>
          </w:tcPr>
          <w:p>
            <w:pPr>
              <w:pStyle w:val="TableParagraph"/>
              <w:ind w:left="363"/>
              <w:rPr>
                <w:b/>
                <w:sz w:val="22"/>
              </w:rPr>
            </w:pPr>
            <w:r>
              <w:rPr>
                <w:b/>
                <w:sz w:val="22"/>
              </w:rPr>
              <w:t>type</w:t>
            </w:r>
          </w:p>
        </w:tc>
        <w:tc>
          <w:tcPr>
            <w:tcW w:w="1104" w:type="dxa"/>
            <w:shd w:val="clear" w:color="auto" w:fill="C0C0C0"/>
          </w:tcPr>
          <w:p>
            <w:pPr>
              <w:pStyle w:val="TableParagraph"/>
              <w:ind w:left="284"/>
              <w:rPr>
                <w:b/>
                <w:sz w:val="22"/>
              </w:rPr>
            </w:pPr>
            <w:r>
              <w:rPr>
                <w:b/>
                <w:sz w:val="22"/>
              </w:rPr>
              <w:t>width</w:t>
            </w:r>
          </w:p>
        </w:tc>
      </w:tr>
      <w:tr>
        <w:trPr>
          <w:trHeight w:val="386" w:hRule="atLeast"/>
        </w:trPr>
        <w:tc>
          <w:tcPr>
            <w:tcW w:w="1188" w:type="dxa"/>
          </w:tcPr>
          <w:p>
            <w:pPr>
              <w:pStyle w:val="TableParagraph"/>
              <w:rPr>
                <w:sz w:val="22"/>
              </w:rPr>
            </w:pPr>
            <w:r>
              <w:rPr>
                <w:sz w:val="22"/>
              </w:rPr>
              <w:t>fr-fr</w:t>
            </w:r>
          </w:p>
        </w:tc>
        <w:tc>
          <w:tcPr>
            <w:tcW w:w="1357" w:type="dxa"/>
          </w:tcPr>
          <w:p>
            <w:pPr>
              <w:pStyle w:val="TableParagraph"/>
              <w:ind w:left="114"/>
              <w:rPr>
                <w:sz w:val="22"/>
              </w:rPr>
            </w:pPr>
            <w:r>
              <w:rPr>
                <w:sz w:val="22"/>
              </w:rPr>
              <w:t>parentheses</w:t>
            </w:r>
          </w:p>
        </w:tc>
        <w:tc>
          <w:tcPr>
            <w:tcW w:w="1323" w:type="dxa"/>
          </w:tcPr>
          <w:p>
            <w:pPr>
              <w:pStyle w:val="TableParagraph"/>
              <w:ind w:left="114"/>
              <w:rPr>
                <w:sz w:val="22"/>
              </w:rPr>
            </w:pPr>
            <w:r>
              <w:rPr>
                <w:sz w:val="22"/>
              </w:rPr>
              <w:t>prefixe</w:t>
            </w:r>
          </w:p>
        </w:tc>
        <w:tc>
          <w:tcPr>
            <w:tcW w:w="1388" w:type="dxa"/>
          </w:tcPr>
          <w:p>
            <w:pPr>
              <w:pStyle w:val="TableParagraph"/>
              <w:ind w:left="111"/>
              <w:rPr>
                <w:sz w:val="22"/>
              </w:rPr>
            </w:pPr>
            <w:r>
              <w:rPr>
                <w:sz w:val="22"/>
              </w:rPr>
              <w:t>protege</w:t>
            </w:r>
          </w:p>
        </w:tc>
        <w:tc>
          <w:tcPr>
            <w:tcW w:w="960" w:type="dxa"/>
          </w:tcPr>
          <w:p>
            <w:pPr>
              <w:pStyle w:val="TableParagraph"/>
              <w:ind w:left="113"/>
              <w:rPr>
                <w:sz w:val="22"/>
              </w:rPr>
            </w:pPr>
            <w:r>
              <w:rPr>
                <w:sz w:val="22"/>
              </w:rPr>
              <w:t>ligne</w:t>
            </w:r>
          </w:p>
        </w:tc>
        <w:tc>
          <w:tcPr>
            <w:tcW w:w="1142" w:type="dxa"/>
          </w:tcPr>
          <w:p>
            <w:pPr>
              <w:pStyle w:val="TableParagraph"/>
              <w:ind w:left="113"/>
              <w:rPr>
                <w:sz w:val="22"/>
              </w:rPr>
            </w:pPr>
            <w:r>
              <w:rPr>
                <w:sz w:val="22"/>
              </w:rPr>
              <w:t>type</w:t>
            </w:r>
          </w:p>
        </w:tc>
        <w:tc>
          <w:tcPr>
            <w:tcW w:w="1104" w:type="dxa"/>
          </w:tcPr>
          <w:p>
            <w:pPr>
              <w:pStyle w:val="TableParagraph"/>
              <w:ind w:left="113"/>
              <w:rPr>
                <w:sz w:val="22"/>
              </w:rPr>
            </w:pPr>
            <w:r>
              <w:rPr>
                <w:sz w:val="22"/>
              </w:rPr>
              <w:t>largeur</w:t>
            </w:r>
          </w:p>
        </w:tc>
      </w:tr>
      <w:tr>
        <w:trPr>
          <w:trHeight w:val="385" w:hRule="atLeast"/>
        </w:trPr>
        <w:tc>
          <w:tcPr>
            <w:tcW w:w="1188" w:type="dxa"/>
          </w:tcPr>
          <w:p>
            <w:pPr>
              <w:pStyle w:val="TableParagraph"/>
              <w:rPr>
                <w:sz w:val="22"/>
              </w:rPr>
            </w:pPr>
            <w:r>
              <w:rPr>
                <w:sz w:val="22"/>
              </w:rPr>
              <w:t>hu-hu</w:t>
            </w:r>
          </w:p>
        </w:tc>
        <w:tc>
          <w:tcPr>
            <w:tcW w:w="1357" w:type="dxa"/>
          </w:tcPr>
          <w:p>
            <w:pPr>
              <w:pStyle w:val="TableParagraph"/>
              <w:ind w:left="114"/>
              <w:rPr>
                <w:sz w:val="22"/>
              </w:rPr>
            </w:pPr>
            <w:r>
              <w:rPr>
                <w:sz w:val="22"/>
              </w:rPr>
              <w:t>zárójelek</w:t>
            </w:r>
          </w:p>
        </w:tc>
        <w:tc>
          <w:tcPr>
            <w:tcW w:w="1323" w:type="dxa"/>
          </w:tcPr>
          <w:p>
            <w:pPr>
              <w:pStyle w:val="TableParagraph"/>
              <w:ind w:left="114"/>
              <w:rPr>
                <w:sz w:val="22"/>
              </w:rPr>
            </w:pPr>
            <w:r>
              <w:rPr>
                <w:sz w:val="22"/>
              </w:rPr>
              <w:t>előtag</w:t>
            </w:r>
          </w:p>
        </w:tc>
        <w:tc>
          <w:tcPr>
            <w:tcW w:w="1388" w:type="dxa"/>
          </w:tcPr>
          <w:p>
            <w:pPr>
              <w:pStyle w:val="TableParagraph"/>
              <w:ind w:left="111"/>
              <w:rPr>
                <w:sz w:val="22"/>
              </w:rPr>
            </w:pPr>
            <w:r>
              <w:rPr>
                <w:sz w:val="22"/>
              </w:rPr>
              <w:t>védett</w:t>
            </w:r>
          </w:p>
        </w:tc>
        <w:tc>
          <w:tcPr>
            <w:tcW w:w="960" w:type="dxa"/>
          </w:tcPr>
          <w:p>
            <w:pPr>
              <w:pStyle w:val="TableParagraph"/>
              <w:ind w:left="113"/>
              <w:rPr>
                <w:sz w:val="22"/>
              </w:rPr>
            </w:pPr>
            <w:r>
              <w:rPr>
                <w:sz w:val="22"/>
              </w:rPr>
              <w:t>sor</w:t>
            </w:r>
          </w:p>
        </w:tc>
        <w:tc>
          <w:tcPr>
            <w:tcW w:w="1142" w:type="dxa"/>
          </w:tcPr>
          <w:p>
            <w:pPr>
              <w:pStyle w:val="TableParagraph"/>
              <w:ind w:left="113"/>
              <w:rPr>
                <w:sz w:val="22"/>
              </w:rPr>
            </w:pPr>
            <w:r>
              <w:rPr>
                <w:sz w:val="22"/>
              </w:rPr>
              <w:t>típus</w:t>
            </w:r>
          </w:p>
        </w:tc>
        <w:tc>
          <w:tcPr>
            <w:tcW w:w="1104" w:type="dxa"/>
          </w:tcPr>
          <w:p>
            <w:pPr>
              <w:pStyle w:val="TableParagraph"/>
              <w:ind w:left="113"/>
              <w:rPr>
                <w:sz w:val="22"/>
              </w:rPr>
            </w:pPr>
            <w:r>
              <w:rPr>
                <w:sz w:val="22"/>
              </w:rPr>
              <w:t>széles</w:t>
            </w:r>
          </w:p>
        </w:tc>
      </w:tr>
      <w:tr>
        <w:trPr>
          <w:trHeight w:val="386" w:hRule="atLeast"/>
        </w:trPr>
        <w:tc>
          <w:tcPr>
            <w:tcW w:w="1188" w:type="dxa"/>
          </w:tcPr>
          <w:p>
            <w:pPr>
              <w:pStyle w:val="TableParagraph"/>
              <w:rPr>
                <w:sz w:val="22"/>
              </w:rPr>
            </w:pPr>
            <w:r>
              <w:rPr>
                <w:sz w:val="22"/>
              </w:rPr>
              <w:t>it-it</w:t>
            </w:r>
          </w:p>
        </w:tc>
        <w:tc>
          <w:tcPr>
            <w:tcW w:w="1357" w:type="dxa"/>
          </w:tcPr>
          <w:p>
            <w:pPr>
              <w:pStyle w:val="TableParagraph"/>
              <w:ind w:left="114"/>
              <w:rPr>
                <w:sz w:val="22"/>
              </w:rPr>
            </w:pPr>
            <w:r>
              <w:rPr>
                <w:sz w:val="22"/>
              </w:rPr>
              <w:t>parentesi</w:t>
            </w:r>
          </w:p>
        </w:tc>
        <w:tc>
          <w:tcPr>
            <w:tcW w:w="1323" w:type="dxa"/>
          </w:tcPr>
          <w:p>
            <w:pPr>
              <w:pStyle w:val="TableParagraph"/>
              <w:ind w:left="114"/>
              <w:rPr>
                <w:sz w:val="22"/>
              </w:rPr>
            </w:pPr>
            <w:r>
              <w:rPr>
                <w:sz w:val="22"/>
              </w:rPr>
              <w:t>prefisso</w:t>
            </w:r>
          </w:p>
        </w:tc>
        <w:tc>
          <w:tcPr>
            <w:tcW w:w="1388" w:type="dxa"/>
          </w:tcPr>
          <w:p>
            <w:pPr>
              <w:pStyle w:val="TableParagraph"/>
              <w:ind w:left="111"/>
              <w:rPr>
                <w:sz w:val="22"/>
              </w:rPr>
            </w:pPr>
            <w:r>
              <w:rPr>
                <w:sz w:val="22"/>
              </w:rPr>
              <w:t>proteggi</w:t>
            </w:r>
          </w:p>
        </w:tc>
        <w:tc>
          <w:tcPr>
            <w:tcW w:w="960" w:type="dxa"/>
          </w:tcPr>
          <w:p>
            <w:pPr>
              <w:pStyle w:val="TableParagraph"/>
              <w:ind w:left="113"/>
              <w:rPr>
                <w:sz w:val="22"/>
              </w:rPr>
            </w:pPr>
            <w:r>
              <w:rPr>
                <w:sz w:val="22"/>
              </w:rPr>
              <w:t>riga</w:t>
            </w:r>
          </w:p>
        </w:tc>
        <w:tc>
          <w:tcPr>
            <w:tcW w:w="1142" w:type="dxa"/>
          </w:tcPr>
          <w:p>
            <w:pPr>
              <w:pStyle w:val="TableParagraph"/>
              <w:ind w:left="113"/>
              <w:rPr>
                <w:sz w:val="22"/>
              </w:rPr>
            </w:pPr>
            <w:r>
              <w:rPr>
                <w:sz w:val="22"/>
              </w:rPr>
              <w:t>tipo</w:t>
            </w:r>
          </w:p>
        </w:tc>
        <w:tc>
          <w:tcPr>
            <w:tcW w:w="1104" w:type="dxa"/>
          </w:tcPr>
          <w:p>
            <w:pPr>
              <w:pStyle w:val="TableParagraph"/>
              <w:ind w:left="113"/>
              <w:rPr>
                <w:sz w:val="22"/>
              </w:rPr>
            </w:pPr>
            <w:r>
              <w:rPr>
                <w:sz w:val="22"/>
              </w:rPr>
              <w:t>larghezza</w:t>
            </w:r>
          </w:p>
        </w:tc>
      </w:tr>
      <w:tr>
        <w:trPr>
          <w:trHeight w:val="385" w:hRule="atLeast"/>
        </w:trPr>
        <w:tc>
          <w:tcPr>
            <w:tcW w:w="1188" w:type="dxa"/>
          </w:tcPr>
          <w:p>
            <w:pPr>
              <w:pStyle w:val="TableParagraph"/>
              <w:rPr>
                <w:sz w:val="22"/>
              </w:rPr>
            </w:pPr>
            <w:r>
              <w:rPr>
                <w:sz w:val="22"/>
              </w:rPr>
              <w:t>kk-kz</w:t>
            </w:r>
          </w:p>
        </w:tc>
        <w:tc>
          <w:tcPr>
            <w:tcW w:w="1357" w:type="dxa"/>
          </w:tcPr>
          <w:p>
            <w:pPr>
              <w:pStyle w:val="TableParagraph"/>
              <w:ind w:left="114"/>
              <w:rPr>
                <w:sz w:val="22"/>
              </w:rPr>
            </w:pPr>
            <w:r>
              <w:rPr>
                <w:sz w:val="22"/>
              </w:rPr>
              <w:t>жа</w:t>
            </w:r>
            <w:r>
              <w:rPr>
                <w:rFonts w:ascii="Arial" w:hAnsi="Arial"/>
                <w:sz w:val="22"/>
              </w:rPr>
              <w:t>қ</w:t>
            </w:r>
            <w:r>
              <w:rPr>
                <w:sz w:val="22"/>
              </w:rPr>
              <w:t>шалар</w:t>
            </w:r>
          </w:p>
        </w:tc>
        <w:tc>
          <w:tcPr>
            <w:tcW w:w="1323" w:type="dxa"/>
          </w:tcPr>
          <w:p>
            <w:pPr>
              <w:pStyle w:val="TableParagraph"/>
              <w:ind w:left="114"/>
              <w:rPr>
                <w:sz w:val="22"/>
              </w:rPr>
            </w:pPr>
            <w:r>
              <w:rPr>
                <w:sz w:val="22"/>
              </w:rPr>
              <w:t>префикс</w:t>
            </w:r>
          </w:p>
        </w:tc>
        <w:tc>
          <w:tcPr>
            <w:tcW w:w="1388" w:type="dxa"/>
          </w:tcPr>
          <w:p>
            <w:pPr>
              <w:pStyle w:val="TableParagraph"/>
              <w:ind w:left="111"/>
              <w:rPr>
                <w:sz w:val="22"/>
              </w:rPr>
            </w:pPr>
            <w:r>
              <w:rPr>
                <w:rFonts w:ascii="Arial" w:hAnsi="Arial"/>
                <w:sz w:val="22"/>
              </w:rPr>
              <w:t>қ</w:t>
            </w:r>
            <w:r>
              <w:rPr>
                <w:sz w:val="22"/>
              </w:rPr>
              <w:t>ор</w:t>
            </w:r>
            <w:r>
              <w:rPr>
                <w:rFonts w:ascii="Arial" w:hAnsi="Arial"/>
                <w:sz w:val="22"/>
              </w:rPr>
              <w:t>ғ</w:t>
            </w:r>
            <w:r>
              <w:rPr>
                <w:sz w:val="22"/>
              </w:rPr>
              <w:t>аныс</w:t>
            </w:r>
          </w:p>
        </w:tc>
        <w:tc>
          <w:tcPr>
            <w:tcW w:w="960" w:type="dxa"/>
          </w:tcPr>
          <w:p>
            <w:pPr>
              <w:pStyle w:val="TableParagraph"/>
              <w:ind w:left="113"/>
              <w:rPr>
                <w:sz w:val="22"/>
              </w:rPr>
            </w:pPr>
            <w:r>
              <w:rPr>
                <w:sz w:val="22"/>
              </w:rPr>
              <w:t>жол</w:t>
            </w:r>
          </w:p>
        </w:tc>
        <w:tc>
          <w:tcPr>
            <w:tcW w:w="1142" w:type="dxa"/>
          </w:tcPr>
          <w:p>
            <w:pPr>
              <w:pStyle w:val="TableParagraph"/>
              <w:ind w:left="113"/>
              <w:rPr>
                <w:sz w:val="22"/>
              </w:rPr>
            </w:pPr>
            <w:r>
              <w:rPr>
                <w:sz w:val="22"/>
              </w:rPr>
              <w:t>т</w:t>
            </w:r>
            <w:r>
              <w:rPr>
                <w:rFonts w:ascii="Arial" w:hAnsi="Arial"/>
                <w:sz w:val="22"/>
              </w:rPr>
              <w:t>ү</w:t>
            </w:r>
            <w:r>
              <w:rPr>
                <w:sz w:val="22"/>
              </w:rPr>
              <w:t>р</w:t>
            </w:r>
          </w:p>
        </w:tc>
        <w:tc>
          <w:tcPr>
            <w:tcW w:w="1104" w:type="dxa"/>
          </w:tcPr>
          <w:p>
            <w:pPr>
              <w:pStyle w:val="TableParagraph"/>
              <w:ind w:left="113"/>
              <w:rPr>
                <w:sz w:val="22"/>
              </w:rPr>
            </w:pPr>
            <w:r>
              <w:rPr>
                <w:sz w:val="22"/>
              </w:rPr>
              <w:t>ені</w:t>
            </w:r>
          </w:p>
        </w:tc>
      </w:tr>
      <w:tr>
        <w:trPr>
          <w:trHeight w:val="385" w:hRule="atLeast"/>
        </w:trPr>
        <w:tc>
          <w:tcPr>
            <w:tcW w:w="1188" w:type="dxa"/>
          </w:tcPr>
          <w:p>
            <w:pPr>
              <w:pStyle w:val="TableParagraph"/>
              <w:rPr>
                <w:sz w:val="22"/>
              </w:rPr>
            </w:pPr>
            <w:r>
              <w:rPr>
                <w:sz w:val="22"/>
              </w:rPr>
              <w:t>lv-lv</w:t>
            </w:r>
          </w:p>
        </w:tc>
        <w:tc>
          <w:tcPr>
            <w:tcW w:w="1357" w:type="dxa"/>
          </w:tcPr>
          <w:p>
            <w:pPr>
              <w:pStyle w:val="TableParagraph"/>
              <w:ind w:left="114"/>
              <w:rPr>
                <w:sz w:val="22"/>
              </w:rPr>
            </w:pPr>
            <w:r>
              <w:rPr>
                <w:sz w:val="22"/>
              </w:rPr>
              <w:t>iekavas</w:t>
            </w:r>
          </w:p>
        </w:tc>
        <w:tc>
          <w:tcPr>
            <w:tcW w:w="1323" w:type="dxa"/>
          </w:tcPr>
          <w:p>
            <w:pPr>
              <w:pStyle w:val="TableParagraph"/>
              <w:ind w:left="114"/>
              <w:rPr>
                <w:sz w:val="22"/>
              </w:rPr>
            </w:pPr>
            <w:r>
              <w:rPr>
                <w:sz w:val="22"/>
              </w:rPr>
              <w:t>prefikss</w:t>
            </w:r>
          </w:p>
        </w:tc>
        <w:tc>
          <w:tcPr>
            <w:tcW w:w="1388" w:type="dxa"/>
          </w:tcPr>
          <w:p>
            <w:pPr>
              <w:pStyle w:val="TableParagraph"/>
              <w:ind w:left="111"/>
              <w:rPr>
                <w:sz w:val="22"/>
              </w:rPr>
            </w:pPr>
            <w:r>
              <w:rPr>
                <w:sz w:val="22"/>
              </w:rPr>
              <w:t>aizsargāt</w:t>
            </w:r>
          </w:p>
        </w:tc>
        <w:tc>
          <w:tcPr>
            <w:tcW w:w="960" w:type="dxa"/>
          </w:tcPr>
          <w:p>
            <w:pPr>
              <w:pStyle w:val="TableParagraph"/>
              <w:ind w:left="113"/>
              <w:rPr>
                <w:sz w:val="22"/>
              </w:rPr>
            </w:pPr>
            <w:r>
              <w:rPr>
                <w:sz w:val="22"/>
              </w:rPr>
              <w:t>rinda</w:t>
            </w:r>
          </w:p>
        </w:tc>
        <w:tc>
          <w:tcPr>
            <w:tcW w:w="1142" w:type="dxa"/>
          </w:tcPr>
          <w:p>
            <w:pPr>
              <w:pStyle w:val="TableParagraph"/>
              <w:ind w:left="113"/>
              <w:rPr>
                <w:sz w:val="22"/>
              </w:rPr>
            </w:pPr>
            <w:r>
              <w:rPr>
                <w:sz w:val="22"/>
              </w:rPr>
              <w:t>tips</w:t>
            </w:r>
          </w:p>
        </w:tc>
        <w:tc>
          <w:tcPr>
            <w:tcW w:w="1104" w:type="dxa"/>
          </w:tcPr>
          <w:p>
            <w:pPr>
              <w:pStyle w:val="TableParagraph"/>
              <w:ind w:left="113"/>
              <w:rPr>
                <w:sz w:val="22"/>
              </w:rPr>
            </w:pPr>
            <w:r>
              <w:rPr>
                <w:sz w:val="22"/>
              </w:rPr>
              <w:t>platums</w:t>
            </w:r>
          </w:p>
        </w:tc>
      </w:tr>
      <w:tr>
        <w:trPr>
          <w:trHeight w:val="386" w:hRule="atLeast"/>
        </w:trPr>
        <w:tc>
          <w:tcPr>
            <w:tcW w:w="1188" w:type="dxa"/>
          </w:tcPr>
          <w:p>
            <w:pPr>
              <w:pStyle w:val="TableParagraph"/>
              <w:rPr>
                <w:sz w:val="22"/>
              </w:rPr>
            </w:pPr>
            <w:r>
              <w:rPr>
                <w:sz w:val="22"/>
              </w:rPr>
              <w:t>nb-no</w:t>
            </w:r>
          </w:p>
        </w:tc>
        <w:tc>
          <w:tcPr>
            <w:tcW w:w="1357" w:type="dxa"/>
          </w:tcPr>
          <w:p>
            <w:pPr>
              <w:pStyle w:val="TableParagraph"/>
              <w:ind w:left="114"/>
              <w:rPr>
                <w:sz w:val="22"/>
              </w:rPr>
            </w:pPr>
            <w:r>
              <w:rPr>
                <w:sz w:val="22"/>
              </w:rPr>
              <w:t>parenteser</w:t>
            </w:r>
          </w:p>
        </w:tc>
        <w:tc>
          <w:tcPr>
            <w:tcW w:w="1323" w:type="dxa"/>
          </w:tcPr>
          <w:p>
            <w:pPr>
              <w:pStyle w:val="TableParagraph"/>
              <w:ind w:left="114"/>
              <w:rPr>
                <w:sz w:val="22"/>
              </w:rPr>
            </w:pPr>
            <w:r>
              <w:rPr>
                <w:sz w:val="22"/>
              </w:rPr>
              <w:t>prefiks</w:t>
            </w:r>
          </w:p>
        </w:tc>
        <w:tc>
          <w:tcPr>
            <w:tcW w:w="1388" w:type="dxa"/>
          </w:tcPr>
          <w:p>
            <w:pPr>
              <w:pStyle w:val="TableParagraph"/>
              <w:ind w:left="111"/>
              <w:rPr>
                <w:sz w:val="22"/>
              </w:rPr>
            </w:pPr>
            <w:r>
              <w:rPr>
                <w:sz w:val="22"/>
              </w:rPr>
              <w:t>beskytt</w:t>
            </w:r>
          </w:p>
        </w:tc>
        <w:tc>
          <w:tcPr>
            <w:tcW w:w="960" w:type="dxa"/>
          </w:tcPr>
          <w:p>
            <w:pPr>
              <w:pStyle w:val="TableParagraph"/>
              <w:ind w:left="113"/>
              <w:rPr>
                <w:sz w:val="22"/>
              </w:rPr>
            </w:pPr>
            <w:r>
              <w:rPr>
                <w:sz w:val="22"/>
              </w:rPr>
              <w:t>rad</w:t>
            </w:r>
          </w:p>
        </w:tc>
        <w:tc>
          <w:tcPr>
            <w:tcW w:w="1142" w:type="dxa"/>
          </w:tcPr>
          <w:p>
            <w:pPr>
              <w:pStyle w:val="TableParagraph"/>
              <w:ind w:left="113"/>
              <w:rPr>
                <w:sz w:val="22"/>
              </w:rPr>
            </w:pPr>
            <w:r>
              <w:rPr>
                <w:sz w:val="22"/>
              </w:rPr>
              <w:t>verditype</w:t>
            </w:r>
          </w:p>
        </w:tc>
        <w:tc>
          <w:tcPr>
            <w:tcW w:w="1104" w:type="dxa"/>
          </w:tcPr>
          <w:p>
            <w:pPr>
              <w:pStyle w:val="TableParagraph"/>
              <w:ind w:left="113"/>
              <w:rPr>
                <w:sz w:val="22"/>
              </w:rPr>
            </w:pPr>
            <w:r>
              <w:rPr>
                <w:sz w:val="22"/>
              </w:rPr>
              <w:t>bredde</w:t>
            </w:r>
          </w:p>
        </w:tc>
      </w:tr>
      <w:tr>
        <w:trPr>
          <w:trHeight w:val="386" w:hRule="atLeast"/>
        </w:trPr>
        <w:tc>
          <w:tcPr>
            <w:tcW w:w="1188" w:type="dxa"/>
          </w:tcPr>
          <w:p>
            <w:pPr>
              <w:pStyle w:val="TableParagraph"/>
              <w:rPr>
                <w:sz w:val="22"/>
              </w:rPr>
            </w:pPr>
            <w:r>
              <w:rPr>
                <w:sz w:val="22"/>
              </w:rPr>
              <w:t>nl-nl</w:t>
            </w:r>
          </w:p>
        </w:tc>
        <w:tc>
          <w:tcPr>
            <w:tcW w:w="1357" w:type="dxa"/>
          </w:tcPr>
          <w:p>
            <w:pPr>
              <w:pStyle w:val="TableParagraph"/>
              <w:ind w:left="114"/>
              <w:rPr>
                <w:sz w:val="22"/>
              </w:rPr>
            </w:pPr>
            <w:r>
              <w:rPr>
                <w:sz w:val="22"/>
              </w:rPr>
              <w:t>haakjes</w:t>
            </w:r>
          </w:p>
        </w:tc>
        <w:tc>
          <w:tcPr>
            <w:tcW w:w="1323" w:type="dxa"/>
          </w:tcPr>
          <w:p>
            <w:pPr>
              <w:pStyle w:val="TableParagraph"/>
              <w:ind w:left="114"/>
              <w:rPr>
                <w:sz w:val="22"/>
              </w:rPr>
            </w:pPr>
            <w:r>
              <w:rPr>
                <w:sz w:val="22"/>
              </w:rPr>
              <w:t>voorvoegsel</w:t>
            </w:r>
          </w:p>
        </w:tc>
        <w:tc>
          <w:tcPr>
            <w:tcW w:w="1388" w:type="dxa"/>
          </w:tcPr>
          <w:p>
            <w:pPr>
              <w:pStyle w:val="TableParagraph"/>
              <w:ind w:left="111"/>
              <w:rPr>
                <w:sz w:val="22"/>
              </w:rPr>
            </w:pPr>
            <w:r>
              <w:rPr>
                <w:sz w:val="22"/>
              </w:rPr>
              <w:t>bescherming</w:t>
            </w:r>
          </w:p>
        </w:tc>
        <w:tc>
          <w:tcPr>
            <w:tcW w:w="960" w:type="dxa"/>
          </w:tcPr>
          <w:p>
            <w:pPr>
              <w:pStyle w:val="TableParagraph"/>
              <w:ind w:left="113"/>
              <w:rPr>
                <w:sz w:val="22"/>
              </w:rPr>
            </w:pPr>
            <w:r>
              <w:rPr>
                <w:sz w:val="22"/>
              </w:rPr>
              <w:t>rij</w:t>
            </w:r>
          </w:p>
        </w:tc>
        <w:tc>
          <w:tcPr>
            <w:tcW w:w="1142" w:type="dxa"/>
          </w:tcPr>
          <w:p>
            <w:pPr>
              <w:pStyle w:val="TableParagraph"/>
              <w:ind w:left="113"/>
              <w:rPr>
                <w:sz w:val="22"/>
              </w:rPr>
            </w:pPr>
            <w:r>
              <w:rPr>
                <w:sz w:val="22"/>
              </w:rPr>
              <w:t>type</w:t>
            </w:r>
          </w:p>
        </w:tc>
        <w:tc>
          <w:tcPr>
            <w:tcW w:w="1104" w:type="dxa"/>
          </w:tcPr>
          <w:p>
            <w:pPr>
              <w:pStyle w:val="TableParagraph"/>
              <w:ind w:left="113"/>
              <w:rPr>
                <w:sz w:val="22"/>
              </w:rPr>
            </w:pPr>
            <w:r>
              <w:rPr>
                <w:sz w:val="22"/>
              </w:rPr>
              <w:t>breedte</w:t>
            </w:r>
          </w:p>
        </w:tc>
      </w:tr>
      <w:tr>
        <w:trPr>
          <w:trHeight w:val="386" w:hRule="atLeast"/>
        </w:trPr>
        <w:tc>
          <w:tcPr>
            <w:tcW w:w="1188" w:type="dxa"/>
          </w:tcPr>
          <w:p>
            <w:pPr>
              <w:pStyle w:val="TableParagraph"/>
              <w:rPr>
                <w:sz w:val="22"/>
              </w:rPr>
            </w:pPr>
            <w:r>
              <w:rPr>
                <w:sz w:val="22"/>
              </w:rPr>
              <w:t>pl-pl</w:t>
            </w:r>
          </w:p>
        </w:tc>
        <w:tc>
          <w:tcPr>
            <w:tcW w:w="1357" w:type="dxa"/>
          </w:tcPr>
          <w:p>
            <w:pPr>
              <w:pStyle w:val="TableParagraph"/>
              <w:ind w:left="114"/>
              <w:rPr>
                <w:sz w:val="22"/>
              </w:rPr>
            </w:pPr>
            <w:r>
              <w:rPr>
                <w:sz w:val="22"/>
              </w:rPr>
              <w:t>nawiasy</w:t>
            </w:r>
          </w:p>
        </w:tc>
        <w:tc>
          <w:tcPr>
            <w:tcW w:w="1323" w:type="dxa"/>
          </w:tcPr>
          <w:p>
            <w:pPr>
              <w:pStyle w:val="TableParagraph"/>
              <w:ind w:left="114"/>
              <w:rPr>
                <w:sz w:val="22"/>
              </w:rPr>
            </w:pPr>
            <w:r>
              <w:rPr>
                <w:sz w:val="22"/>
              </w:rPr>
              <w:t>prefiks</w:t>
            </w:r>
          </w:p>
        </w:tc>
        <w:tc>
          <w:tcPr>
            <w:tcW w:w="1388" w:type="dxa"/>
          </w:tcPr>
          <w:p>
            <w:pPr>
              <w:pStyle w:val="TableParagraph"/>
              <w:ind w:left="111"/>
              <w:rPr>
                <w:sz w:val="22"/>
              </w:rPr>
            </w:pPr>
            <w:r>
              <w:rPr>
                <w:sz w:val="22"/>
              </w:rPr>
              <w:t>ochrona</w:t>
            </w:r>
          </w:p>
        </w:tc>
        <w:tc>
          <w:tcPr>
            <w:tcW w:w="960" w:type="dxa"/>
          </w:tcPr>
          <w:p>
            <w:pPr>
              <w:pStyle w:val="TableParagraph"/>
              <w:ind w:left="113"/>
              <w:rPr>
                <w:sz w:val="22"/>
              </w:rPr>
            </w:pPr>
            <w:r>
              <w:rPr>
                <w:sz w:val="22"/>
              </w:rPr>
              <w:t>wiersz</w:t>
            </w:r>
          </w:p>
        </w:tc>
        <w:tc>
          <w:tcPr>
            <w:tcW w:w="1142" w:type="dxa"/>
          </w:tcPr>
          <w:p>
            <w:pPr>
              <w:pStyle w:val="TableParagraph"/>
              <w:ind w:left="113"/>
              <w:rPr>
                <w:sz w:val="22"/>
              </w:rPr>
            </w:pPr>
            <w:r>
              <w:rPr>
                <w:sz w:val="22"/>
              </w:rPr>
              <w:t>typ</w:t>
            </w:r>
          </w:p>
        </w:tc>
        <w:tc>
          <w:tcPr>
            <w:tcW w:w="1104" w:type="dxa"/>
          </w:tcPr>
          <w:p>
            <w:pPr>
              <w:pStyle w:val="TableParagraph"/>
              <w:ind w:left="113"/>
              <w:rPr>
                <w:sz w:val="22"/>
              </w:rPr>
            </w:pPr>
            <w:r>
              <w:rPr>
                <w:sz w:val="22"/>
              </w:rPr>
              <w:t>szerokość</w:t>
            </w:r>
          </w:p>
        </w:tc>
      </w:tr>
      <w:tr>
        <w:trPr>
          <w:trHeight w:val="386" w:hRule="atLeast"/>
        </w:trPr>
        <w:tc>
          <w:tcPr>
            <w:tcW w:w="1188" w:type="dxa"/>
          </w:tcPr>
          <w:p>
            <w:pPr>
              <w:pStyle w:val="TableParagraph"/>
              <w:rPr>
                <w:sz w:val="22"/>
              </w:rPr>
            </w:pPr>
            <w:r>
              <w:rPr>
                <w:sz w:val="22"/>
              </w:rPr>
              <w:t>pt-br</w:t>
            </w:r>
          </w:p>
        </w:tc>
        <w:tc>
          <w:tcPr>
            <w:tcW w:w="1357" w:type="dxa"/>
          </w:tcPr>
          <w:p>
            <w:pPr>
              <w:pStyle w:val="TableParagraph"/>
              <w:ind w:left="114"/>
              <w:rPr>
                <w:sz w:val="22"/>
              </w:rPr>
            </w:pPr>
            <w:r>
              <w:rPr>
                <w:sz w:val="22"/>
              </w:rPr>
              <w:t>parênteses</w:t>
            </w:r>
          </w:p>
        </w:tc>
        <w:tc>
          <w:tcPr>
            <w:tcW w:w="1323" w:type="dxa"/>
          </w:tcPr>
          <w:p>
            <w:pPr>
              <w:pStyle w:val="TableParagraph"/>
              <w:ind w:left="114"/>
              <w:rPr>
                <w:sz w:val="22"/>
              </w:rPr>
            </w:pPr>
            <w:r>
              <w:rPr>
                <w:sz w:val="22"/>
              </w:rPr>
              <w:t>prefixo</w:t>
            </w:r>
          </w:p>
        </w:tc>
        <w:tc>
          <w:tcPr>
            <w:tcW w:w="1388" w:type="dxa"/>
          </w:tcPr>
          <w:p>
            <w:pPr>
              <w:pStyle w:val="TableParagraph"/>
              <w:ind w:left="111"/>
              <w:rPr>
                <w:sz w:val="22"/>
              </w:rPr>
            </w:pPr>
            <w:r>
              <w:rPr>
                <w:sz w:val="22"/>
              </w:rPr>
              <w:t>proteger</w:t>
            </w:r>
          </w:p>
        </w:tc>
        <w:tc>
          <w:tcPr>
            <w:tcW w:w="960" w:type="dxa"/>
          </w:tcPr>
          <w:p>
            <w:pPr>
              <w:pStyle w:val="TableParagraph"/>
              <w:ind w:left="113"/>
              <w:rPr>
                <w:sz w:val="22"/>
              </w:rPr>
            </w:pPr>
            <w:r>
              <w:rPr>
                <w:sz w:val="22"/>
              </w:rPr>
              <w:t>lin</w:t>
            </w:r>
          </w:p>
        </w:tc>
        <w:tc>
          <w:tcPr>
            <w:tcW w:w="1142" w:type="dxa"/>
          </w:tcPr>
          <w:p>
            <w:pPr>
              <w:pStyle w:val="TableParagraph"/>
              <w:ind w:left="113"/>
              <w:rPr>
                <w:sz w:val="22"/>
              </w:rPr>
            </w:pPr>
            <w:r>
              <w:rPr>
                <w:sz w:val="22"/>
              </w:rPr>
              <w:t>tipo</w:t>
            </w:r>
          </w:p>
        </w:tc>
        <w:tc>
          <w:tcPr>
            <w:tcW w:w="1104" w:type="dxa"/>
          </w:tcPr>
          <w:p>
            <w:pPr>
              <w:pStyle w:val="TableParagraph"/>
              <w:ind w:left="113"/>
              <w:rPr>
                <w:sz w:val="22"/>
              </w:rPr>
            </w:pPr>
            <w:r>
              <w:rPr>
                <w:sz w:val="22"/>
              </w:rPr>
              <w:t>largura</w:t>
            </w:r>
          </w:p>
        </w:tc>
      </w:tr>
      <w:tr>
        <w:trPr>
          <w:trHeight w:val="385" w:hRule="atLeast"/>
        </w:trPr>
        <w:tc>
          <w:tcPr>
            <w:tcW w:w="1188" w:type="dxa"/>
          </w:tcPr>
          <w:p>
            <w:pPr>
              <w:pStyle w:val="TableParagraph"/>
              <w:rPr>
                <w:sz w:val="22"/>
              </w:rPr>
            </w:pPr>
            <w:r>
              <w:rPr>
                <w:sz w:val="22"/>
              </w:rPr>
              <w:t>pt-pt</w:t>
            </w:r>
          </w:p>
        </w:tc>
        <w:tc>
          <w:tcPr>
            <w:tcW w:w="1357" w:type="dxa"/>
          </w:tcPr>
          <w:p>
            <w:pPr>
              <w:pStyle w:val="TableParagraph"/>
              <w:ind w:left="114"/>
              <w:rPr>
                <w:sz w:val="22"/>
              </w:rPr>
            </w:pPr>
            <w:r>
              <w:rPr>
                <w:sz w:val="22"/>
              </w:rPr>
              <w:t>parênteses</w:t>
            </w:r>
          </w:p>
        </w:tc>
        <w:tc>
          <w:tcPr>
            <w:tcW w:w="1323" w:type="dxa"/>
          </w:tcPr>
          <w:p>
            <w:pPr>
              <w:pStyle w:val="TableParagraph"/>
              <w:ind w:left="114"/>
              <w:rPr>
                <w:sz w:val="22"/>
              </w:rPr>
            </w:pPr>
            <w:r>
              <w:rPr>
                <w:sz w:val="22"/>
              </w:rPr>
              <w:t>prefixo</w:t>
            </w:r>
          </w:p>
        </w:tc>
        <w:tc>
          <w:tcPr>
            <w:tcW w:w="1388" w:type="dxa"/>
          </w:tcPr>
          <w:p>
            <w:pPr>
              <w:pStyle w:val="TableParagraph"/>
              <w:ind w:left="111"/>
              <w:rPr>
                <w:sz w:val="22"/>
              </w:rPr>
            </w:pPr>
            <w:r>
              <w:rPr>
                <w:sz w:val="22"/>
              </w:rPr>
              <w:t>proteger</w:t>
            </w:r>
          </w:p>
        </w:tc>
        <w:tc>
          <w:tcPr>
            <w:tcW w:w="960" w:type="dxa"/>
          </w:tcPr>
          <w:p>
            <w:pPr>
              <w:pStyle w:val="TableParagraph"/>
              <w:ind w:left="113"/>
              <w:rPr>
                <w:sz w:val="22"/>
              </w:rPr>
            </w:pPr>
            <w:r>
              <w:rPr>
                <w:sz w:val="22"/>
              </w:rPr>
              <w:t>lin</w:t>
            </w:r>
          </w:p>
        </w:tc>
        <w:tc>
          <w:tcPr>
            <w:tcW w:w="1142" w:type="dxa"/>
          </w:tcPr>
          <w:p>
            <w:pPr>
              <w:pStyle w:val="TableParagraph"/>
              <w:ind w:left="113"/>
              <w:rPr>
                <w:sz w:val="22"/>
              </w:rPr>
            </w:pPr>
            <w:r>
              <w:rPr>
                <w:sz w:val="22"/>
              </w:rPr>
              <w:t>tipo</w:t>
            </w:r>
          </w:p>
        </w:tc>
        <w:tc>
          <w:tcPr>
            <w:tcW w:w="1104" w:type="dxa"/>
          </w:tcPr>
          <w:p>
            <w:pPr>
              <w:pStyle w:val="TableParagraph"/>
              <w:ind w:left="113"/>
              <w:rPr>
                <w:sz w:val="22"/>
              </w:rPr>
            </w:pPr>
            <w:r>
              <w:rPr>
                <w:sz w:val="22"/>
              </w:rPr>
              <w:t>largura</w:t>
            </w:r>
          </w:p>
        </w:tc>
      </w:tr>
      <w:tr>
        <w:trPr>
          <w:trHeight w:val="386" w:hRule="atLeast"/>
        </w:trPr>
        <w:tc>
          <w:tcPr>
            <w:tcW w:w="1188" w:type="dxa"/>
          </w:tcPr>
          <w:p>
            <w:pPr>
              <w:pStyle w:val="TableParagraph"/>
              <w:rPr>
                <w:sz w:val="22"/>
              </w:rPr>
            </w:pPr>
            <w:r>
              <w:rPr>
                <w:sz w:val="22"/>
              </w:rPr>
              <w:t>ru-ru</w:t>
            </w:r>
          </w:p>
        </w:tc>
        <w:tc>
          <w:tcPr>
            <w:tcW w:w="1357" w:type="dxa"/>
          </w:tcPr>
          <w:p>
            <w:pPr>
              <w:pStyle w:val="TableParagraph"/>
              <w:ind w:left="114"/>
              <w:rPr>
                <w:sz w:val="22"/>
              </w:rPr>
            </w:pPr>
            <w:r>
              <w:rPr>
                <w:sz w:val="22"/>
              </w:rPr>
              <w:t>скобки</w:t>
            </w:r>
          </w:p>
        </w:tc>
        <w:tc>
          <w:tcPr>
            <w:tcW w:w="1323" w:type="dxa"/>
          </w:tcPr>
          <w:p>
            <w:pPr>
              <w:pStyle w:val="TableParagraph"/>
              <w:ind w:left="114"/>
              <w:rPr>
                <w:sz w:val="22"/>
              </w:rPr>
            </w:pPr>
            <w:r>
              <w:rPr>
                <w:sz w:val="22"/>
              </w:rPr>
              <w:t>префикс</w:t>
            </w:r>
          </w:p>
        </w:tc>
        <w:tc>
          <w:tcPr>
            <w:tcW w:w="1388" w:type="dxa"/>
          </w:tcPr>
          <w:p>
            <w:pPr>
              <w:pStyle w:val="TableParagraph"/>
              <w:ind w:left="111"/>
              <w:rPr>
                <w:sz w:val="22"/>
              </w:rPr>
            </w:pPr>
            <w:r>
              <w:rPr>
                <w:sz w:val="22"/>
              </w:rPr>
              <w:t>защита</w:t>
            </w:r>
          </w:p>
        </w:tc>
        <w:tc>
          <w:tcPr>
            <w:tcW w:w="960" w:type="dxa"/>
          </w:tcPr>
          <w:p>
            <w:pPr>
              <w:pStyle w:val="TableParagraph"/>
              <w:ind w:left="113"/>
              <w:rPr>
                <w:sz w:val="22"/>
              </w:rPr>
            </w:pPr>
            <w:r>
              <w:rPr>
                <w:sz w:val="22"/>
              </w:rPr>
              <w:t>строка</w:t>
            </w:r>
          </w:p>
        </w:tc>
        <w:tc>
          <w:tcPr>
            <w:tcW w:w="1142" w:type="dxa"/>
          </w:tcPr>
          <w:p>
            <w:pPr>
              <w:pStyle w:val="TableParagraph"/>
              <w:ind w:left="113"/>
              <w:rPr>
                <w:sz w:val="22"/>
              </w:rPr>
            </w:pPr>
            <w:r>
              <w:rPr>
                <w:sz w:val="22"/>
              </w:rPr>
              <w:t>тип</w:t>
            </w:r>
          </w:p>
        </w:tc>
        <w:tc>
          <w:tcPr>
            <w:tcW w:w="1104" w:type="dxa"/>
          </w:tcPr>
          <w:p>
            <w:pPr>
              <w:pStyle w:val="TableParagraph"/>
              <w:ind w:left="113"/>
              <w:rPr>
                <w:sz w:val="22"/>
              </w:rPr>
            </w:pPr>
            <w:r>
              <w:rPr>
                <w:sz w:val="22"/>
              </w:rPr>
              <w:t>ширина</w:t>
            </w:r>
          </w:p>
        </w:tc>
      </w:tr>
      <w:tr>
        <w:trPr>
          <w:trHeight w:val="385" w:hRule="atLeast"/>
        </w:trPr>
        <w:tc>
          <w:tcPr>
            <w:tcW w:w="1188" w:type="dxa"/>
          </w:tcPr>
          <w:p>
            <w:pPr>
              <w:pStyle w:val="TableParagraph"/>
              <w:rPr>
                <w:sz w:val="22"/>
              </w:rPr>
            </w:pPr>
            <w:r>
              <w:rPr>
                <w:sz w:val="22"/>
              </w:rPr>
              <w:t>sk-sk</w:t>
            </w:r>
          </w:p>
        </w:tc>
        <w:tc>
          <w:tcPr>
            <w:tcW w:w="1357" w:type="dxa"/>
          </w:tcPr>
          <w:p>
            <w:pPr>
              <w:pStyle w:val="TableParagraph"/>
              <w:ind w:left="114"/>
              <w:rPr>
                <w:sz w:val="22"/>
              </w:rPr>
            </w:pPr>
            <w:r>
              <w:rPr>
                <w:sz w:val="22"/>
              </w:rPr>
              <w:t>zátvorky</w:t>
            </w:r>
          </w:p>
        </w:tc>
        <w:tc>
          <w:tcPr>
            <w:tcW w:w="1323" w:type="dxa"/>
          </w:tcPr>
          <w:p>
            <w:pPr>
              <w:pStyle w:val="TableParagraph"/>
              <w:ind w:left="114"/>
              <w:rPr>
                <w:sz w:val="22"/>
              </w:rPr>
            </w:pPr>
            <w:r>
              <w:rPr>
                <w:sz w:val="22"/>
              </w:rPr>
              <w:t>vloženýznak</w:t>
            </w:r>
          </w:p>
        </w:tc>
        <w:tc>
          <w:tcPr>
            <w:tcW w:w="1388" w:type="dxa"/>
          </w:tcPr>
          <w:p>
            <w:pPr>
              <w:pStyle w:val="TableParagraph"/>
              <w:ind w:left="111"/>
              <w:rPr>
                <w:sz w:val="22"/>
              </w:rPr>
            </w:pPr>
            <w:r>
              <w:rPr>
                <w:sz w:val="22"/>
              </w:rPr>
              <w:t>chrániť</w:t>
            </w:r>
          </w:p>
        </w:tc>
        <w:tc>
          <w:tcPr>
            <w:tcW w:w="960" w:type="dxa"/>
          </w:tcPr>
          <w:p>
            <w:pPr>
              <w:pStyle w:val="TableParagraph"/>
              <w:ind w:left="113"/>
              <w:rPr>
                <w:sz w:val="22"/>
              </w:rPr>
            </w:pPr>
            <w:r>
              <w:rPr>
                <w:sz w:val="22"/>
              </w:rPr>
              <w:t>riadok</w:t>
            </w:r>
          </w:p>
        </w:tc>
        <w:tc>
          <w:tcPr>
            <w:tcW w:w="1142" w:type="dxa"/>
          </w:tcPr>
          <w:p>
            <w:pPr>
              <w:pStyle w:val="TableParagraph"/>
              <w:ind w:left="113"/>
              <w:rPr>
                <w:sz w:val="22"/>
              </w:rPr>
            </w:pPr>
            <w:r>
              <w:rPr>
                <w:sz w:val="22"/>
              </w:rPr>
              <w:t>typ</w:t>
            </w:r>
          </w:p>
        </w:tc>
        <w:tc>
          <w:tcPr>
            <w:tcW w:w="1104" w:type="dxa"/>
          </w:tcPr>
          <w:p>
            <w:pPr>
              <w:pStyle w:val="TableParagraph"/>
              <w:ind w:left="113"/>
              <w:rPr>
                <w:sz w:val="22"/>
              </w:rPr>
            </w:pPr>
            <w:r>
              <w:rPr>
                <w:sz w:val="22"/>
              </w:rPr>
              <w:t>šírka</w:t>
            </w:r>
          </w:p>
        </w:tc>
      </w:tr>
      <w:tr>
        <w:trPr>
          <w:trHeight w:val="386" w:hRule="atLeast"/>
        </w:trPr>
        <w:tc>
          <w:tcPr>
            <w:tcW w:w="1188" w:type="dxa"/>
          </w:tcPr>
          <w:p>
            <w:pPr>
              <w:pStyle w:val="TableParagraph"/>
              <w:rPr>
                <w:sz w:val="22"/>
              </w:rPr>
            </w:pPr>
            <w:r>
              <w:rPr>
                <w:sz w:val="22"/>
              </w:rPr>
              <w:t>sl-si</w:t>
            </w:r>
          </w:p>
        </w:tc>
        <w:tc>
          <w:tcPr>
            <w:tcW w:w="1357" w:type="dxa"/>
          </w:tcPr>
          <w:p>
            <w:pPr>
              <w:pStyle w:val="TableParagraph"/>
              <w:ind w:left="114"/>
              <w:rPr>
                <w:sz w:val="22"/>
              </w:rPr>
            </w:pPr>
            <w:r>
              <w:rPr>
                <w:sz w:val="22"/>
              </w:rPr>
              <w:t>parentheses</w:t>
            </w:r>
          </w:p>
        </w:tc>
        <w:tc>
          <w:tcPr>
            <w:tcW w:w="1323" w:type="dxa"/>
          </w:tcPr>
          <w:p>
            <w:pPr>
              <w:pStyle w:val="TableParagraph"/>
              <w:ind w:left="114"/>
              <w:rPr>
                <w:sz w:val="22"/>
              </w:rPr>
            </w:pPr>
            <w:r>
              <w:rPr>
                <w:sz w:val="22"/>
              </w:rPr>
              <w:t>prefix</w:t>
            </w:r>
          </w:p>
        </w:tc>
        <w:tc>
          <w:tcPr>
            <w:tcW w:w="1388" w:type="dxa"/>
          </w:tcPr>
          <w:p>
            <w:pPr>
              <w:pStyle w:val="TableParagraph"/>
              <w:ind w:left="111"/>
              <w:rPr>
                <w:sz w:val="22"/>
              </w:rPr>
            </w:pPr>
            <w:r>
              <w:rPr>
                <w:sz w:val="22"/>
              </w:rPr>
              <w:t>protect</w:t>
            </w:r>
          </w:p>
        </w:tc>
        <w:tc>
          <w:tcPr>
            <w:tcW w:w="960" w:type="dxa"/>
          </w:tcPr>
          <w:p>
            <w:pPr>
              <w:pStyle w:val="TableParagraph"/>
              <w:ind w:left="113"/>
              <w:rPr>
                <w:sz w:val="22"/>
              </w:rPr>
            </w:pPr>
            <w:r>
              <w:rPr>
                <w:sz w:val="22"/>
              </w:rPr>
              <w:t>vrstica</w:t>
            </w:r>
          </w:p>
        </w:tc>
        <w:tc>
          <w:tcPr>
            <w:tcW w:w="1142" w:type="dxa"/>
          </w:tcPr>
          <w:p>
            <w:pPr>
              <w:pStyle w:val="TableParagraph"/>
              <w:ind w:left="113"/>
              <w:rPr>
                <w:sz w:val="22"/>
              </w:rPr>
            </w:pPr>
            <w:r>
              <w:rPr>
                <w:sz w:val="22"/>
              </w:rPr>
              <w:t>type</w:t>
            </w:r>
          </w:p>
        </w:tc>
        <w:tc>
          <w:tcPr>
            <w:tcW w:w="1104" w:type="dxa"/>
          </w:tcPr>
          <w:p>
            <w:pPr>
              <w:pStyle w:val="TableParagraph"/>
              <w:ind w:left="113"/>
              <w:rPr>
                <w:sz w:val="22"/>
              </w:rPr>
            </w:pPr>
            <w:r>
              <w:rPr>
                <w:sz w:val="22"/>
              </w:rPr>
              <w:t>širina</w:t>
            </w:r>
          </w:p>
        </w:tc>
      </w:tr>
      <w:tr>
        <w:trPr>
          <w:trHeight w:val="386" w:hRule="atLeast"/>
        </w:trPr>
        <w:tc>
          <w:tcPr>
            <w:tcW w:w="1188" w:type="dxa"/>
          </w:tcPr>
          <w:p>
            <w:pPr>
              <w:pStyle w:val="TableParagraph"/>
              <w:rPr>
                <w:sz w:val="22"/>
              </w:rPr>
            </w:pPr>
            <w:r>
              <w:rPr>
                <w:sz w:val="22"/>
              </w:rPr>
              <w:t>sv-se</w:t>
            </w:r>
          </w:p>
        </w:tc>
        <w:tc>
          <w:tcPr>
            <w:tcW w:w="1357" w:type="dxa"/>
          </w:tcPr>
          <w:p>
            <w:pPr>
              <w:pStyle w:val="TableParagraph"/>
              <w:ind w:left="114"/>
              <w:rPr>
                <w:sz w:val="22"/>
              </w:rPr>
            </w:pPr>
            <w:r>
              <w:rPr>
                <w:sz w:val="22"/>
              </w:rPr>
              <w:t>parenteser</w:t>
            </w:r>
          </w:p>
        </w:tc>
        <w:tc>
          <w:tcPr>
            <w:tcW w:w="1323" w:type="dxa"/>
          </w:tcPr>
          <w:p>
            <w:pPr>
              <w:pStyle w:val="TableParagraph"/>
              <w:ind w:left="114"/>
              <w:rPr>
                <w:sz w:val="22"/>
              </w:rPr>
            </w:pPr>
            <w:r>
              <w:rPr>
                <w:sz w:val="22"/>
              </w:rPr>
              <w:t>prefix</w:t>
            </w:r>
          </w:p>
        </w:tc>
        <w:tc>
          <w:tcPr>
            <w:tcW w:w="1388" w:type="dxa"/>
          </w:tcPr>
          <w:p>
            <w:pPr>
              <w:pStyle w:val="TableParagraph"/>
              <w:ind w:left="111"/>
              <w:rPr>
                <w:sz w:val="22"/>
              </w:rPr>
            </w:pPr>
            <w:r>
              <w:rPr>
                <w:sz w:val="22"/>
              </w:rPr>
              <w:t>skydd</w:t>
            </w:r>
          </w:p>
        </w:tc>
        <w:tc>
          <w:tcPr>
            <w:tcW w:w="960" w:type="dxa"/>
          </w:tcPr>
          <w:p>
            <w:pPr>
              <w:pStyle w:val="TableParagraph"/>
              <w:ind w:left="113"/>
              <w:rPr>
                <w:sz w:val="22"/>
              </w:rPr>
            </w:pPr>
            <w:r>
              <w:rPr>
                <w:sz w:val="22"/>
              </w:rPr>
              <w:t>rad</w:t>
            </w:r>
          </w:p>
        </w:tc>
        <w:tc>
          <w:tcPr>
            <w:tcW w:w="1142" w:type="dxa"/>
          </w:tcPr>
          <w:p>
            <w:pPr>
              <w:pStyle w:val="TableParagraph"/>
              <w:ind w:left="113"/>
              <w:rPr>
                <w:sz w:val="22"/>
              </w:rPr>
            </w:pPr>
            <w:r>
              <w:rPr>
                <w:sz w:val="22"/>
              </w:rPr>
              <w:t>typ</w:t>
            </w:r>
          </w:p>
        </w:tc>
        <w:tc>
          <w:tcPr>
            <w:tcW w:w="1104" w:type="dxa"/>
          </w:tcPr>
          <w:p>
            <w:pPr>
              <w:pStyle w:val="TableParagraph"/>
              <w:ind w:left="113"/>
              <w:rPr>
                <w:sz w:val="22"/>
              </w:rPr>
            </w:pPr>
            <w:r>
              <w:rPr>
                <w:sz w:val="22"/>
              </w:rPr>
              <w:t>bredd</w:t>
            </w:r>
          </w:p>
        </w:tc>
      </w:tr>
      <w:tr>
        <w:trPr>
          <w:trHeight w:val="385" w:hRule="atLeast"/>
        </w:trPr>
        <w:tc>
          <w:tcPr>
            <w:tcW w:w="1188" w:type="dxa"/>
          </w:tcPr>
          <w:p>
            <w:pPr>
              <w:pStyle w:val="TableParagraph"/>
              <w:rPr>
                <w:sz w:val="22"/>
              </w:rPr>
            </w:pPr>
            <w:r>
              <w:rPr>
                <w:sz w:val="22"/>
              </w:rPr>
              <w:t>tr-tr</w:t>
            </w:r>
          </w:p>
        </w:tc>
        <w:tc>
          <w:tcPr>
            <w:tcW w:w="1357" w:type="dxa"/>
          </w:tcPr>
          <w:p>
            <w:pPr>
              <w:pStyle w:val="TableParagraph"/>
              <w:ind w:left="114"/>
              <w:rPr>
                <w:sz w:val="22"/>
              </w:rPr>
            </w:pPr>
            <w:r>
              <w:rPr>
                <w:sz w:val="22"/>
              </w:rPr>
              <w:t>ayraç</w:t>
            </w:r>
          </w:p>
        </w:tc>
        <w:tc>
          <w:tcPr>
            <w:tcW w:w="1323" w:type="dxa"/>
          </w:tcPr>
          <w:p>
            <w:pPr>
              <w:pStyle w:val="TableParagraph"/>
              <w:ind w:left="114"/>
              <w:rPr>
                <w:sz w:val="22"/>
              </w:rPr>
            </w:pPr>
            <w:r>
              <w:rPr>
                <w:sz w:val="22"/>
              </w:rPr>
              <w:t>önek</w:t>
            </w:r>
          </w:p>
        </w:tc>
        <w:tc>
          <w:tcPr>
            <w:tcW w:w="1388" w:type="dxa"/>
          </w:tcPr>
          <w:p>
            <w:pPr>
              <w:pStyle w:val="TableParagraph"/>
              <w:ind w:left="111"/>
              <w:rPr>
                <w:sz w:val="22"/>
              </w:rPr>
            </w:pPr>
            <w:r>
              <w:rPr>
                <w:sz w:val="22"/>
              </w:rPr>
              <w:t>koruma</w:t>
            </w:r>
          </w:p>
        </w:tc>
        <w:tc>
          <w:tcPr>
            <w:tcW w:w="960" w:type="dxa"/>
          </w:tcPr>
          <w:p>
            <w:pPr>
              <w:pStyle w:val="TableParagraph"/>
              <w:ind w:left="113"/>
              <w:rPr>
                <w:sz w:val="22"/>
              </w:rPr>
            </w:pPr>
            <w:r>
              <w:rPr>
                <w:sz w:val="22"/>
              </w:rPr>
              <w:t>sat</w:t>
            </w:r>
          </w:p>
        </w:tc>
        <w:tc>
          <w:tcPr>
            <w:tcW w:w="1142" w:type="dxa"/>
          </w:tcPr>
          <w:p>
            <w:pPr>
              <w:pStyle w:val="TableParagraph"/>
              <w:ind w:left="113"/>
              <w:rPr>
                <w:sz w:val="22"/>
              </w:rPr>
            </w:pPr>
            <w:r>
              <w:rPr>
                <w:sz w:val="22"/>
              </w:rPr>
              <w:t>tür</w:t>
            </w:r>
          </w:p>
        </w:tc>
        <w:tc>
          <w:tcPr>
            <w:tcW w:w="1104" w:type="dxa"/>
          </w:tcPr>
          <w:p>
            <w:pPr>
              <w:pStyle w:val="TableParagraph"/>
              <w:ind w:left="113"/>
              <w:rPr>
                <w:sz w:val="22"/>
              </w:rPr>
            </w:pPr>
            <w:r>
              <w:rPr>
                <w:sz w:val="22"/>
              </w:rPr>
              <w:t>genişlik</w:t>
            </w:r>
          </w:p>
        </w:tc>
      </w:tr>
      <w:tr>
        <w:trPr>
          <w:trHeight w:val="386" w:hRule="atLeast"/>
        </w:trPr>
        <w:tc>
          <w:tcPr>
            <w:tcW w:w="1188" w:type="dxa"/>
          </w:tcPr>
          <w:p>
            <w:pPr>
              <w:pStyle w:val="TableParagraph"/>
              <w:rPr>
                <w:sz w:val="22"/>
              </w:rPr>
            </w:pPr>
            <w:r>
              <w:rPr>
                <w:sz w:val="22"/>
              </w:rPr>
              <w:t>uk-ua</w:t>
            </w:r>
          </w:p>
        </w:tc>
        <w:tc>
          <w:tcPr>
            <w:tcW w:w="1357" w:type="dxa"/>
          </w:tcPr>
          <w:p>
            <w:pPr>
              <w:pStyle w:val="TableParagraph"/>
              <w:ind w:left="114"/>
              <w:rPr>
                <w:sz w:val="22"/>
              </w:rPr>
            </w:pPr>
            <w:r>
              <w:rPr>
                <w:sz w:val="22"/>
              </w:rPr>
              <w:t>дужки</w:t>
            </w:r>
          </w:p>
        </w:tc>
        <w:tc>
          <w:tcPr>
            <w:tcW w:w="1323" w:type="dxa"/>
          </w:tcPr>
          <w:p>
            <w:pPr>
              <w:pStyle w:val="TableParagraph"/>
              <w:ind w:left="114"/>
              <w:rPr>
                <w:sz w:val="22"/>
              </w:rPr>
            </w:pPr>
            <w:r>
              <w:rPr>
                <w:sz w:val="22"/>
              </w:rPr>
              <w:t>префікс</w:t>
            </w:r>
          </w:p>
        </w:tc>
        <w:tc>
          <w:tcPr>
            <w:tcW w:w="1388" w:type="dxa"/>
          </w:tcPr>
          <w:p>
            <w:pPr>
              <w:pStyle w:val="TableParagraph"/>
              <w:ind w:left="111"/>
              <w:rPr>
                <w:sz w:val="22"/>
              </w:rPr>
            </w:pPr>
            <w:r>
              <w:rPr>
                <w:sz w:val="22"/>
              </w:rPr>
              <w:t>захист</w:t>
            </w:r>
          </w:p>
        </w:tc>
        <w:tc>
          <w:tcPr>
            <w:tcW w:w="960" w:type="dxa"/>
          </w:tcPr>
          <w:p>
            <w:pPr>
              <w:pStyle w:val="TableParagraph"/>
              <w:ind w:left="113"/>
              <w:rPr>
                <w:sz w:val="22"/>
              </w:rPr>
            </w:pPr>
            <w:r>
              <w:rPr>
                <w:sz w:val="22"/>
              </w:rPr>
              <w:t>рядок</w:t>
            </w:r>
          </w:p>
        </w:tc>
        <w:tc>
          <w:tcPr>
            <w:tcW w:w="1142" w:type="dxa"/>
          </w:tcPr>
          <w:p>
            <w:pPr>
              <w:pStyle w:val="TableParagraph"/>
              <w:ind w:left="113"/>
              <w:rPr>
                <w:sz w:val="22"/>
              </w:rPr>
            </w:pPr>
            <w:r>
              <w:rPr>
                <w:sz w:val="22"/>
              </w:rPr>
              <w:t>тип</w:t>
            </w:r>
          </w:p>
        </w:tc>
        <w:tc>
          <w:tcPr>
            <w:tcW w:w="1104" w:type="dxa"/>
          </w:tcPr>
          <w:p>
            <w:pPr>
              <w:pStyle w:val="TableParagraph"/>
              <w:ind w:left="113"/>
              <w:rPr>
                <w:sz w:val="22"/>
              </w:rPr>
            </w:pPr>
            <w:r>
              <w:rPr>
                <w:sz w:val="22"/>
              </w:rPr>
              <w:t>довжина</w:t>
            </w:r>
          </w:p>
        </w:tc>
      </w:tr>
    </w:tbl>
    <w:p>
      <w:pPr>
        <w:pStyle w:val="BodyText"/>
        <w:rPr>
          <w:rFonts w:ascii="Times New Roman"/>
          <w:sz w:val="20"/>
        </w:rPr>
      </w:pPr>
    </w:p>
    <w:p>
      <w:pPr>
        <w:pStyle w:val="BodyText"/>
        <w:spacing w:before="4"/>
        <w:rPr>
          <w:rFonts w:ascii="Times New Roman"/>
          <w:sz w:val="16"/>
        </w:rPr>
      </w:pPr>
    </w:p>
    <w:p>
      <w:pPr>
        <w:spacing w:line="278" w:lineRule="auto" w:before="88"/>
        <w:ind w:left="220" w:right="829" w:firstLine="0"/>
        <w:jc w:val="left"/>
        <w:rPr>
          <w:sz w:val="22"/>
        </w:rPr>
      </w:pPr>
      <w:r>
        <w:rPr>
          <w:b/>
          <w:sz w:val="22"/>
        </w:rPr>
        <w:t>Return Type and Value: </w:t>
      </w:r>
      <w:r>
        <w:rPr>
          <w:sz w:val="22"/>
        </w:rPr>
        <w:t>various (see table above) – The value corresponding to </w:t>
      </w:r>
      <w:r>
        <w:rPr>
          <w:rFonts w:ascii="Times New Roman" w:hAnsi="Times New Roman"/>
          <w:i/>
          <w:sz w:val="22"/>
        </w:rPr>
        <w:t>category</w:t>
      </w:r>
      <w:r>
        <w:rPr>
          <w:sz w:val="22"/>
        </w:rPr>
        <w:t>, and whose type is shown in the category value table above.</w:t>
      </w:r>
    </w:p>
    <w:p>
      <w:pPr>
        <w:pStyle w:val="BodyText"/>
        <w:spacing w:line="276" w:lineRule="auto" w:before="195"/>
        <w:ind w:left="220" w:right="524"/>
      </w:pPr>
      <w:r>
        <w:rPr/>
        <w:t>When the category parameter is </w:t>
      </w:r>
      <w:r>
        <w:rPr>
          <w:rFonts w:ascii="Consolas"/>
        </w:rPr>
        <w:t>"format"</w:t>
      </w:r>
      <w:r>
        <w:rPr/>
        <w:t>, then the value returned depends upon the number format of the upper-left cell of </w:t>
      </w:r>
      <w:r>
        <w:rPr>
          <w:rFonts w:ascii="Times New Roman"/>
          <w:i/>
        </w:rPr>
        <w:t>reference</w:t>
      </w:r>
      <w:r>
        <w:rPr/>
        <w:t>, and, more specifically, upon the number format code of the upper-left cell of </w:t>
      </w:r>
      <w:r>
        <w:rPr>
          <w:rFonts w:ascii="Times New Roman"/>
          <w:i/>
        </w:rPr>
        <w:t>reference</w:t>
      </w:r>
      <w:r>
        <w:rPr/>
        <w:t>. Depending upon the number format code of the appropriate cell, the result value of </w:t>
      </w:r>
      <w:r>
        <w:rPr>
          <w:rFonts w:ascii="Consolas"/>
        </w:rPr>
        <w:t>CELL</w:t>
      </w:r>
      <w:r>
        <w:rPr>
          <w:rFonts w:ascii="Consolas"/>
          <w:spacing w:val="-95"/>
        </w:rPr>
        <w:t> </w:t>
      </w:r>
      <w:r>
        <w:rPr/>
        <w:t>when the category is </w:t>
      </w:r>
      <w:r>
        <w:rPr>
          <w:rFonts w:ascii="Consolas"/>
        </w:rPr>
        <w:t>"format"</w:t>
      </w:r>
      <w:r>
        <w:rPr>
          <w:rFonts w:ascii="Consolas"/>
          <w:spacing w:val="-78"/>
        </w:rPr>
        <w:t> </w:t>
      </w:r>
      <w:r>
        <w:rPr/>
        <w:t>is based upon the rules defined below.</w:t>
      </w:r>
    </w:p>
    <w:p>
      <w:pPr>
        <w:pStyle w:val="BodyText"/>
        <w:spacing w:before="7"/>
        <w:rPr>
          <w:sz w:val="16"/>
        </w:rPr>
      </w:pPr>
    </w:p>
    <w:p>
      <w:pPr>
        <w:pStyle w:val="BodyText"/>
        <w:ind w:left="220"/>
      </w:pPr>
      <w:r>
        <w:rPr/>
        <w:t>First, some observations regarding the rules are in order:</w:t>
      </w:r>
    </w:p>
    <w:p>
      <w:pPr>
        <w:pStyle w:val="BodyText"/>
        <w:spacing w:before="6"/>
        <w:rPr>
          <w:sz w:val="19"/>
        </w:rPr>
      </w:pPr>
    </w:p>
    <w:p>
      <w:pPr>
        <w:pStyle w:val="ListParagraph"/>
        <w:numPr>
          <w:ilvl w:val="4"/>
          <w:numId w:val="66"/>
        </w:numPr>
        <w:tabs>
          <w:tab w:pos="940" w:val="left" w:leader="none"/>
          <w:tab w:pos="941" w:val="left" w:leader="none"/>
        </w:tabs>
        <w:spacing w:line="273" w:lineRule="auto" w:before="0" w:after="0"/>
        <w:ind w:left="940" w:right="1116" w:hanging="360"/>
        <w:jc w:val="left"/>
        <w:rPr>
          <w:sz w:val="22"/>
        </w:rPr>
      </w:pPr>
      <w:r>
        <w:rPr>
          <w:sz w:val="22"/>
        </w:rPr>
        <w:t>The various "sections" of the number format code are referred to within the rules. For more information on sections in the number format code, see numFmts (Number Formats)</w:t>
      </w:r>
      <w:r>
        <w:rPr>
          <w:spacing w:val="-27"/>
          <w:sz w:val="22"/>
        </w:rPr>
        <w:t> </w:t>
      </w:r>
      <w:r>
        <w:rPr>
          <w:sz w:val="22"/>
        </w:rPr>
        <w:t>(§</w:t>
      </w:r>
      <w:hyperlink w:history="true" w:anchor="_bookmark214">
        <w:r>
          <w:rPr>
            <w:sz w:val="22"/>
          </w:rPr>
          <w:t>18.8.31</w:t>
        </w:r>
      </w:hyperlink>
      <w:r>
        <w:rPr>
          <w:sz w:val="22"/>
        </w:rPr>
        <w:t>).</w:t>
      </w:r>
    </w:p>
    <w:p>
      <w:pPr>
        <w:pStyle w:val="ListParagraph"/>
        <w:numPr>
          <w:ilvl w:val="4"/>
          <w:numId w:val="66"/>
        </w:numPr>
        <w:tabs>
          <w:tab w:pos="940" w:val="left" w:leader="none"/>
          <w:tab w:pos="941" w:val="left" w:leader="none"/>
        </w:tabs>
        <w:spacing w:line="276" w:lineRule="auto" w:before="6" w:after="0"/>
        <w:ind w:left="940" w:right="506" w:hanging="360"/>
        <w:jc w:val="left"/>
        <w:rPr>
          <w:sz w:val="22"/>
        </w:rPr>
      </w:pPr>
      <w:r>
        <w:rPr>
          <w:sz w:val="22"/>
        </w:rPr>
        <w:t>There are cases in which it is useful to discuss the characters from the number format code that are dependent upon the value in the cell. Instead of representing text or spacing in the cell’s display text, these characters interpret, in some fashion, the value to be displayed. In the rules, these characters are referred to as "interpreted characters" of the number format code. The following table shows all the interpreted</w:t>
      </w:r>
      <w:r>
        <w:rPr>
          <w:spacing w:val="-4"/>
          <w:sz w:val="22"/>
        </w:rPr>
        <w:t> </w:t>
      </w:r>
      <w:r>
        <w:rPr>
          <w:sz w:val="22"/>
        </w:rPr>
        <w:t>characters:</w:t>
      </w:r>
    </w:p>
    <w:p>
      <w:pPr>
        <w:spacing w:after="0" w:line="276" w:lineRule="auto"/>
        <w:jc w:val="left"/>
        <w:rPr>
          <w:sz w:val="22"/>
        </w:rPr>
        <w:sectPr>
          <w:pgSz w:w="12240" w:h="15840"/>
          <w:pgMar w:header="763" w:footer="746" w:top="1340" w:bottom="940" w:left="860" w:right="700"/>
        </w:sectPr>
      </w:pPr>
    </w:p>
    <w:p>
      <w:pPr>
        <w:pStyle w:val="BodyText"/>
        <w:spacing w:before="8"/>
        <w:rPr>
          <w:sz w:val="7"/>
        </w:rPr>
      </w:pPr>
    </w:p>
    <w:tbl>
      <w:tblPr>
        <w:tblW w:w="0" w:type="auto"/>
        <w:jc w:val="left"/>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6"/>
      </w:tblGrid>
      <w:tr>
        <w:trPr>
          <w:trHeight w:val="386" w:hRule="atLeast"/>
        </w:trPr>
        <w:tc>
          <w:tcPr>
            <w:tcW w:w="2456" w:type="dxa"/>
            <w:shd w:val="clear" w:color="auto" w:fill="C0C0C0"/>
          </w:tcPr>
          <w:p>
            <w:pPr>
              <w:pStyle w:val="TableParagraph"/>
              <w:ind w:left="186"/>
              <w:rPr>
                <w:b/>
                <w:sz w:val="22"/>
              </w:rPr>
            </w:pPr>
            <w:r>
              <w:rPr>
                <w:b/>
                <w:sz w:val="22"/>
              </w:rPr>
              <w:t>Interpreted Characters</w:t>
            </w:r>
          </w:p>
        </w:tc>
      </w:tr>
      <w:tr>
        <w:trPr>
          <w:trHeight w:val="386" w:hRule="atLeast"/>
        </w:trPr>
        <w:tc>
          <w:tcPr>
            <w:tcW w:w="2456" w:type="dxa"/>
          </w:tcPr>
          <w:p>
            <w:pPr>
              <w:pStyle w:val="TableParagraph"/>
              <w:rPr>
                <w:sz w:val="22"/>
              </w:rPr>
            </w:pPr>
            <w:r>
              <w:rPr>
                <w:w w:val="100"/>
                <w:sz w:val="22"/>
              </w:rPr>
              <w:t>0</w:t>
            </w:r>
          </w:p>
        </w:tc>
      </w:tr>
      <w:tr>
        <w:trPr>
          <w:trHeight w:val="385" w:hRule="atLeast"/>
        </w:trPr>
        <w:tc>
          <w:tcPr>
            <w:tcW w:w="2456" w:type="dxa"/>
          </w:tcPr>
          <w:p>
            <w:pPr>
              <w:pStyle w:val="TableParagraph"/>
              <w:rPr>
                <w:sz w:val="22"/>
              </w:rPr>
            </w:pPr>
            <w:r>
              <w:rPr>
                <w:w w:val="100"/>
                <w:sz w:val="22"/>
              </w:rPr>
              <w:t>#</w:t>
            </w:r>
          </w:p>
        </w:tc>
      </w:tr>
      <w:tr>
        <w:trPr>
          <w:trHeight w:val="386" w:hRule="atLeast"/>
        </w:trPr>
        <w:tc>
          <w:tcPr>
            <w:tcW w:w="2456" w:type="dxa"/>
          </w:tcPr>
          <w:p>
            <w:pPr>
              <w:pStyle w:val="TableParagraph"/>
              <w:rPr>
                <w:sz w:val="22"/>
              </w:rPr>
            </w:pPr>
            <w:r>
              <w:rPr>
                <w:w w:val="100"/>
                <w:sz w:val="22"/>
              </w:rPr>
              <w:t>@</w:t>
            </w:r>
          </w:p>
        </w:tc>
      </w:tr>
      <w:tr>
        <w:trPr>
          <w:trHeight w:val="385" w:hRule="atLeast"/>
        </w:trPr>
        <w:tc>
          <w:tcPr>
            <w:tcW w:w="2456" w:type="dxa"/>
          </w:tcPr>
          <w:p>
            <w:pPr>
              <w:pStyle w:val="TableParagraph"/>
              <w:rPr>
                <w:sz w:val="22"/>
              </w:rPr>
            </w:pPr>
            <w:r>
              <w:rPr>
                <w:w w:val="100"/>
                <w:sz w:val="22"/>
              </w:rPr>
              <w:t>d</w:t>
            </w:r>
          </w:p>
        </w:tc>
      </w:tr>
      <w:tr>
        <w:trPr>
          <w:trHeight w:val="385" w:hRule="atLeast"/>
        </w:trPr>
        <w:tc>
          <w:tcPr>
            <w:tcW w:w="2456" w:type="dxa"/>
          </w:tcPr>
          <w:p>
            <w:pPr>
              <w:pStyle w:val="TableParagraph"/>
              <w:rPr>
                <w:sz w:val="22"/>
              </w:rPr>
            </w:pPr>
            <w:r>
              <w:rPr>
                <w:w w:val="100"/>
                <w:sz w:val="22"/>
              </w:rPr>
              <w:t>m</w:t>
            </w:r>
          </w:p>
        </w:tc>
      </w:tr>
      <w:tr>
        <w:trPr>
          <w:trHeight w:val="386" w:hRule="atLeast"/>
        </w:trPr>
        <w:tc>
          <w:tcPr>
            <w:tcW w:w="2456" w:type="dxa"/>
          </w:tcPr>
          <w:p>
            <w:pPr>
              <w:pStyle w:val="TableParagraph"/>
              <w:rPr>
                <w:sz w:val="22"/>
              </w:rPr>
            </w:pPr>
            <w:r>
              <w:rPr>
                <w:w w:val="100"/>
                <w:sz w:val="22"/>
              </w:rPr>
              <w:t>y</w:t>
            </w:r>
          </w:p>
        </w:tc>
      </w:tr>
      <w:tr>
        <w:trPr>
          <w:trHeight w:val="385" w:hRule="atLeast"/>
        </w:trPr>
        <w:tc>
          <w:tcPr>
            <w:tcW w:w="2456" w:type="dxa"/>
          </w:tcPr>
          <w:p>
            <w:pPr>
              <w:pStyle w:val="TableParagraph"/>
              <w:rPr>
                <w:sz w:val="22"/>
              </w:rPr>
            </w:pPr>
            <w:r>
              <w:rPr>
                <w:w w:val="100"/>
                <w:sz w:val="22"/>
              </w:rPr>
              <w:t>h</w:t>
            </w:r>
          </w:p>
        </w:tc>
      </w:tr>
      <w:tr>
        <w:trPr>
          <w:trHeight w:val="386" w:hRule="atLeast"/>
        </w:trPr>
        <w:tc>
          <w:tcPr>
            <w:tcW w:w="2456" w:type="dxa"/>
          </w:tcPr>
          <w:p>
            <w:pPr>
              <w:pStyle w:val="TableParagraph"/>
              <w:rPr>
                <w:sz w:val="22"/>
              </w:rPr>
            </w:pPr>
            <w:r>
              <w:rPr>
                <w:w w:val="100"/>
                <w:sz w:val="22"/>
              </w:rPr>
              <w:t>s</w:t>
            </w:r>
          </w:p>
        </w:tc>
      </w:tr>
      <w:tr>
        <w:trPr>
          <w:trHeight w:val="386" w:hRule="atLeast"/>
        </w:trPr>
        <w:tc>
          <w:tcPr>
            <w:tcW w:w="2456" w:type="dxa"/>
          </w:tcPr>
          <w:p>
            <w:pPr>
              <w:pStyle w:val="TableParagraph"/>
              <w:rPr>
                <w:sz w:val="22"/>
              </w:rPr>
            </w:pPr>
            <w:r>
              <w:rPr>
                <w:w w:val="100"/>
                <w:sz w:val="22"/>
              </w:rPr>
              <w:t>?</w:t>
            </w:r>
          </w:p>
        </w:tc>
      </w:tr>
      <w:tr>
        <w:trPr>
          <w:trHeight w:val="386" w:hRule="atLeast"/>
        </w:trPr>
        <w:tc>
          <w:tcPr>
            <w:tcW w:w="2456" w:type="dxa"/>
          </w:tcPr>
          <w:p>
            <w:pPr>
              <w:pStyle w:val="TableParagraph"/>
              <w:rPr>
                <w:sz w:val="22"/>
              </w:rPr>
            </w:pPr>
            <w:r>
              <w:rPr>
                <w:sz w:val="22"/>
              </w:rPr>
              <w:t>AM/PM</w:t>
            </w:r>
          </w:p>
        </w:tc>
      </w:tr>
      <w:tr>
        <w:trPr>
          <w:trHeight w:val="386" w:hRule="atLeast"/>
        </w:trPr>
        <w:tc>
          <w:tcPr>
            <w:tcW w:w="2456" w:type="dxa"/>
          </w:tcPr>
          <w:p>
            <w:pPr>
              <w:pStyle w:val="TableParagraph"/>
              <w:rPr>
                <w:sz w:val="22"/>
              </w:rPr>
            </w:pPr>
            <w:r>
              <w:rPr>
                <w:sz w:val="22"/>
              </w:rPr>
              <w:t>A/P</w:t>
            </w:r>
          </w:p>
        </w:tc>
      </w:tr>
      <w:tr>
        <w:trPr>
          <w:trHeight w:val="385" w:hRule="atLeast"/>
        </w:trPr>
        <w:tc>
          <w:tcPr>
            <w:tcW w:w="2456" w:type="dxa"/>
          </w:tcPr>
          <w:p>
            <w:pPr>
              <w:pStyle w:val="TableParagraph"/>
              <w:rPr>
                <w:sz w:val="22"/>
              </w:rPr>
            </w:pPr>
            <w:r>
              <w:rPr>
                <w:w w:val="100"/>
                <w:sz w:val="22"/>
              </w:rPr>
              <w:t>g</w:t>
            </w:r>
          </w:p>
        </w:tc>
      </w:tr>
      <w:tr>
        <w:trPr>
          <w:trHeight w:val="386" w:hRule="atLeast"/>
        </w:trPr>
        <w:tc>
          <w:tcPr>
            <w:tcW w:w="2456" w:type="dxa"/>
          </w:tcPr>
          <w:p>
            <w:pPr>
              <w:pStyle w:val="TableParagraph"/>
              <w:rPr>
                <w:sz w:val="22"/>
              </w:rPr>
            </w:pPr>
            <w:r>
              <w:rPr>
                <w:w w:val="100"/>
                <w:sz w:val="22"/>
              </w:rPr>
              <w:t>e</w:t>
            </w:r>
          </w:p>
        </w:tc>
      </w:tr>
      <w:tr>
        <w:trPr>
          <w:trHeight w:val="385" w:hRule="atLeast"/>
        </w:trPr>
        <w:tc>
          <w:tcPr>
            <w:tcW w:w="2456" w:type="dxa"/>
          </w:tcPr>
          <w:p>
            <w:pPr>
              <w:pStyle w:val="TableParagraph"/>
              <w:rPr>
                <w:sz w:val="22"/>
              </w:rPr>
            </w:pPr>
            <w:r>
              <w:rPr>
                <w:w w:val="100"/>
                <w:sz w:val="22"/>
              </w:rPr>
              <w:t>r</w:t>
            </w:r>
          </w:p>
        </w:tc>
      </w:tr>
    </w:tbl>
    <w:p>
      <w:pPr>
        <w:pStyle w:val="BodyText"/>
        <w:rPr>
          <w:sz w:val="20"/>
        </w:rPr>
      </w:pPr>
    </w:p>
    <w:p>
      <w:pPr>
        <w:pStyle w:val="BodyText"/>
        <w:spacing w:before="5"/>
        <w:rPr>
          <w:sz w:val="21"/>
        </w:rPr>
      </w:pPr>
    </w:p>
    <w:p>
      <w:pPr>
        <w:pStyle w:val="ListParagraph"/>
        <w:numPr>
          <w:ilvl w:val="4"/>
          <w:numId w:val="66"/>
        </w:numPr>
        <w:tabs>
          <w:tab w:pos="940" w:val="left" w:leader="none"/>
          <w:tab w:pos="941" w:val="left" w:leader="none"/>
        </w:tabs>
        <w:spacing w:line="276" w:lineRule="auto" w:before="0" w:after="0"/>
        <w:ind w:left="940" w:right="692" w:hanging="360"/>
        <w:jc w:val="left"/>
        <w:rPr>
          <w:sz w:val="22"/>
        </w:rPr>
      </w:pPr>
      <w:r>
        <w:rPr>
          <w:sz w:val="22"/>
        </w:rPr>
        <w:t>There are cases in which it is also useful to discuss runs of similar interpreted characters. [</w:t>
      </w:r>
      <w:r>
        <w:rPr>
          <w:i/>
          <w:sz w:val="22"/>
        </w:rPr>
        <w:t>Example</w:t>
      </w:r>
      <w:r>
        <w:rPr>
          <w:sz w:val="22"/>
        </w:rPr>
        <w:t>: Each "d", "m", and "y" within the number format code "dd/mm/yyyy" does not represent a separate interpretation of the day of the date value to be represented, and instead helps to make up a representation of the day of the date that is two digits in length. </w:t>
      </w:r>
      <w:r>
        <w:rPr>
          <w:i/>
          <w:sz w:val="22"/>
        </w:rPr>
        <w:t>end example</w:t>
      </w:r>
      <w:r>
        <w:rPr>
          <w:sz w:val="22"/>
        </w:rPr>
        <w:t>] These runs of similar characters are referred to below as “interpreted symbols” since multiple characters are used, but the result is a single symbolic representation of at least part of the</w:t>
      </w:r>
      <w:r>
        <w:rPr>
          <w:spacing w:val="-12"/>
          <w:sz w:val="22"/>
        </w:rPr>
        <w:t> </w:t>
      </w:r>
      <w:r>
        <w:rPr>
          <w:sz w:val="22"/>
        </w:rPr>
        <w:t>value.</w:t>
      </w:r>
    </w:p>
    <w:p>
      <w:pPr>
        <w:pStyle w:val="ListParagraph"/>
        <w:numPr>
          <w:ilvl w:val="4"/>
          <w:numId w:val="66"/>
        </w:numPr>
        <w:tabs>
          <w:tab w:pos="940" w:val="left" w:leader="none"/>
          <w:tab w:pos="941" w:val="left" w:leader="none"/>
        </w:tabs>
        <w:spacing w:line="276" w:lineRule="auto" w:before="1" w:after="0"/>
        <w:ind w:left="940" w:right="597" w:hanging="360"/>
        <w:jc w:val="left"/>
        <w:rPr>
          <w:sz w:val="22"/>
        </w:rPr>
      </w:pPr>
      <w:r>
        <w:rPr>
          <w:sz w:val="22"/>
        </w:rPr>
        <w:t>Since there are multiple different symbols for days, months, years, hours, minutes, seconds, and AM/PM, it is sometimes useful to discuss all of the representations of each of these. When any of "Day", "Month", "Year", "Hour", "Minute", etc., is referred to within a rule, what is meant is any of the possible representations for that date/time portion. For example, a “Day” symbol would be any of d, dd, ddd, or</w:t>
      </w:r>
      <w:r>
        <w:rPr>
          <w:spacing w:val="-1"/>
          <w:sz w:val="22"/>
        </w:rPr>
        <w:t> </w:t>
      </w:r>
      <w:r>
        <w:rPr>
          <w:sz w:val="22"/>
        </w:rPr>
        <w:t>dddd.</w:t>
      </w:r>
    </w:p>
    <w:p>
      <w:pPr>
        <w:pStyle w:val="ListParagraph"/>
        <w:numPr>
          <w:ilvl w:val="4"/>
          <w:numId w:val="66"/>
        </w:numPr>
        <w:tabs>
          <w:tab w:pos="940" w:val="left" w:leader="none"/>
          <w:tab w:pos="941" w:val="left" w:leader="none"/>
        </w:tabs>
        <w:spacing w:line="276" w:lineRule="auto" w:before="0" w:after="0"/>
        <w:ind w:left="940" w:right="976" w:hanging="360"/>
        <w:jc w:val="left"/>
        <w:rPr>
          <w:sz w:val="22"/>
        </w:rPr>
      </w:pPr>
      <w:r>
        <w:rPr>
          <w:sz w:val="22"/>
        </w:rPr>
        <w:t>The use of characters such as "0", "E", and "%" as a symbol within a number format code does not include usages of these same characters either escaped (by preceding them with a backslash character “\”) or as a part of a quoted</w:t>
      </w:r>
      <w:r>
        <w:rPr>
          <w:spacing w:val="-13"/>
          <w:sz w:val="22"/>
        </w:rPr>
        <w:t> </w:t>
      </w:r>
      <w:r>
        <w:rPr>
          <w:sz w:val="22"/>
        </w:rPr>
        <w:t>string.</w:t>
      </w:r>
    </w:p>
    <w:p>
      <w:pPr>
        <w:pStyle w:val="BodyText"/>
        <w:spacing w:before="8"/>
        <w:rPr>
          <w:sz w:val="16"/>
        </w:rPr>
      </w:pPr>
    </w:p>
    <w:p>
      <w:pPr>
        <w:pStyle w:val="BodyText"/>
        <w:ind w:left="220"/>
      </w:pPr>
      <w:r>
        <w:rPr/>
        <w:t>Here are the rules to determine the result value:</w:t>
      </w:r>
    </w:p>
    <w:p>
      <w:pPr>
        <w:pStyle w:val="BodyText"/>
        <w:spacing w:before="6"/>
        <w:rPr>
          <w:sz w:val="19"/>
        </w:rPr>
      </w:pPr>
    </w:p>
    <w:p>
      <w:pPr>
        <w:pStyle w:val="ListParagraph"/>
        <w:numPr>
          <w:ilvl w:val="0"/>
          <w:numId w:val="78"/>
        </w:numPr>
        <w:tabs>
          <w:tab w:pos="941" w:val="left" w:leader="none"/>
        </w:tabs>
        <w:spacing w:line="276" w:lineRule="auto" w:before="0" w:after="0"/>
        <w:ind w:left="940" w:right="467" w:hanging="360"/>
        <w:jc w:val="left"/>
        <w:rPr>
          <w:sz w:val="22"/>
        </w:rPr>
      </w:pPr>
      <w:r>
        <w:rPr>
          <w:sz w:val="22"/>
        </w:rPr>
        <w:t>If the first interpreted symbols within the first section are any of the date or time characters (any of</w:t>
      </w:r>
      <w:r>
        <w:rPr>
          <w:spacing w:val="-36"/>
          <w:sz w:val="22"/>
        </w:rPr>
        <w:t> </w:t>
      </w:r>
      <w:r>
        <w:rPr>
          <w:sz w:val="22"/>
        </w:rPr>
        <w:t>"y", "m", "d", "h", "m", "s") then the first one or two characters of the return value are determined by the order of interpreted symbols (including any interpreted symbols, not just date/time symbols)</w:t>
      </w:r>
      <w:r>
        <w:rPr>
          <w:spacing w:val="-32"/>
          <w:sz w:val="22"/>
        </w:rPr>
        <w:t> </w:t>
      </w:r>
      <w:r>
        <w:rPr>
          <w:sz w:val="22"/>
        </w:rPr>
        <w:t>according</w:t>
      </w:r>
    </w:p>
    <w:p>
      <w:pPr>
        <w:spacing w:after="0" w:line="276" w:lineRule="auto"/>
        <w:jc w:val="left"/>
        <w:rPr>
          <w:sz w:val="22"/>
        </w:rPr>
        <w:sectPr>
          <w:pgSz w:w="12240" w:h="15840"/>
          <w:pgMar w:header="761" w:footer="746" w:top="1340" w:bottom="940" w:left="860" w:right="700"/>
        </w:sectPr>
      </w:pPr>
    </w:p>
    <w:p>
      <w:pPr>
        <w:pStyle w:val="BodyText"/>
        <w:spacing w:before="148"/>
        <w:ind w:left="940"/>
      </w:pPr>
      <w:r>
        <w:rPr/>
        <w:t>to the following table. ("anything" can mean "no additional symbols". If the type is "anything except</w:t>
      </w:r>
    </w:p>
    <w:p>
      <w:pPr>
        <w:pStyle w:val="BodyText"/>
        <w:spacing w:before="44"/>
        <w:ind w:left="940"/>
      </w:pPr>
      <w:r>
        <w:rPr/>
        <w:t>&lt;type&gt;", then the excepted symbol type cannot follow the previously specified symbol.)</w:t>
      </w:r>
    </w:p>
    <w:p>
      <w:pPr>
        <w:pStyle w:val="BodyText"/>
        <w:spacing w:before="8" w:after="1"/>
        <w:rPr>
          <w:sz w:val="19"/>
        </w:rPr>
      </w:pPr>
    </w:p>
    <w:tbl>
      <w:tblPr>
        <w:tblW w:w="0" w:type="auto"/>
        <w:jc w:val="left"/>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3"/>
        <w:gridCol w:w="2252"/>
      </w:tblGrid>
      <w:tr>
        <w:trPr>
          <w:trHeight w:val="621" w:hRule="atLeast"/>
        </w:trPr>
        <w:tc>
          <w:tcPr>
            <w:tcW w:w="5123" w:type="dxa"/>
            <w:shd w:val="clear" w:color="auto" w:fill="C0C0C0"/>
          </w:tcPr>
          <w:p>
            <w:pPr>
              <w:pStyle w:val="TableParagraph"/>
              <w:ind w:left="1221"/>
              <w:rPr>
                <w:b/>
                <w:sz w:val="22"/>
              </w:rPr>
            </w:pPr>
            <w:r>
              <w:rPr>
                <w:b/>
                <w:sz w:val="22"/>
              </w:rPr>
              <w:t>Interpreted Symbols in Order</w:t>
            </w:r>
          </w:p>
        </w:tc>
        <w:tc>
          <w:tcPr>
            <w:tcW w:w="2252" w:type="dxa"/>
            <w:shd w:val="clear" w:color="auto" w:fill="C0C0C0"/>
          </w:tcPr>
          <w:p>
            <w:pPr>
              <w:pStyle w:val="TableParagraph"/>
              <w:ind w:left="637" w:right="501" w:hanging="113"/>
              <w:rPr>
                <w:b/>
                <w:sz w:val="22"/>
              </w:rPr>
            </w:pPr>
            <w:r>
              <w:rPr>
                <w:b/>
                <w:sz w:val="22"/>
              </w:rPr>
              <w:t>Return Value Characters</w:t>
            </w:r>
          </w:p>
        </w:tc>
      </w:tr>
      <w:tr>
        <w:trPr>
          <w:trHeight w:val="623" w:hRule="atLeast"/>
        </w:trPr>
        <w:tc>
          <w:tcPr>
            <w:tcW w:w="5123" w:type="dxa"/>
          </w:tcPr>
          <w:p>
            <w:pPr>
              <w:pStyle w:val="TableParagraph"/>
              <w:rPr>
                <w:sz w:val="22"/>
              </w:rPr>
            </w:pPr>
            <w:r>
              <w:rPr>
                <w:sz w:val="22"/>
              </w:rPr>
              <w:t>Day, month, year, anything</w:t>
            </w:r>
          </w:p>
        </w:tc>
        <w:tc>
          <w:tcPr>
            <w:tcW w:w="2252" w:type="dxa"/>
          </w:tcPr>
          <w:p>
            <w:pPr>
              <w:pStyle w:val="TableParagraph"/>
              <w:ind w:left="114"/>
              <w:rPr>
                <w:sz w:val="22"/>
              </w:rPr>
            </w:pPr>
            <w:r>
              <w:rPr>
                <w:sz w:val="22"/>
              </w:rPr>
              <w:t>"D1"</w:t>
            </w:r>
          </w:p>
        </w:tc>
      </w:tr>
      <w:tr>
        <w:trPr>
          <w:trHeight w:val="386" w:hRule="atLeast"/>
        </w:trPr>
        <w:tc>
          <w:tcPr>
            <w:tcW w:w="5123" w:type="dxa"/>
          </w:tcPr>
          <w:p>
            <w:pPr>
              <w:pStyle w:val="TableParagraph"/>
              <w:rPr>
                <w:sz w:val="22"/>
              </w:rPr>
            </w:pPr>
            <w:r>
              <w:rPr>
                <w:sz w:val="22"/>
              </w:rPr>
              <w:t>Day, month, anything besides year, anything</w:t>
            </w:r>
          </w:p>
        </w:tc>
        <w:tc>
          <w:tcPr>
            <w:tcW w:w="2252" w:type="dxa"/>
          </w:tcPr>
          <w:p>
            <w:pPr>
              <w:pStyle w:val="TableParagraph"/>
              <w:ind w:left="114"/>
              <w:rPr>
                <w:sz w:val="22"/>
              </w:rPr>
            </w:pPr>
            <w:r>
              <w:rPr>
                <w:sz w:val="22"/>
              </w:rPr>
              <w:t>"D2"</w:t>
            </w:r>
          </w:p>
        </w:tc>
      </w:tr>
      <w:tr>
        <w:trPr>
          <w:trHeight w:val="385" w:hRule="atLeast"/>
        </w:trPr>
        <w:tc>
          <w:tcPr>
            <w:tcW w:w="5123" w:type="dxa"/>
          </w:tcPr>
          <w:p>
            <w:pPr>
              <w:pStyle w:val="TableParagraph"/>
              <w:rPr>
                <w:sz w:val="22"/>
              </w:rPr>
            </w:pPr>
            <w:r>
              <w:rPr>
                <w:sz w:val="22"/>
              </w:rPr>
              <w:t>Month, year, anything</w:t>
            </w:r>
          </w:p>
        </w:tc>
        <w:tc>
          <w:tcPr>
            <w:tcW w:w="2252" w:type="dxa"/>
          </w:tcPr>
          <w:p>
            <w:pPr>
              <w:pStyle w:val="TableParagraph"/>
              <w:ind w:left="114"/>
              <w:rPr>
                <w:sz w:val="22"/>
              </w:rPr>
            </w:pPr>
            <w:r>
              <w:rPr>
                <w:sz w:val="22"/>
              </w:rPr>
              <w:t>"D3"</w:t>
            </w:r>
          </w:p>
        </w:tc>
      </w:tr>
      <w:tr>
        <w:trPr>
          <w:trHeight w:val="657" w:hRule="atLeast"/>
        </w:trPr>
        <w:tc>
          <w:tcPr>
            <w:tcW w:w="5123" w:type="dxa"/>
          </w:tcPr>
          <w:p>
            <w:pPr>
              <w:pStyle w:val="TableParagraph"/>
              <w:rPr>
                <w:sz w:val="22"/>
              </w:rPr>
            </w:pPr>
            <w:r>
              <w:rPr>
                <w:sz w:val="22"/>
              </w:rPr>
              <w:t>Month, day, year, anything</w:t>
            </w:r>
          </w:p>
        </w:tc>
        <w:tc>
          <w:tcPr>
            <w:tcW w:w="2252" w:type="dxa"/>
          </w:tcPr>
          <w:p>
            <w:pPr>
              <w:pStyle w:val="TableParagraph"/>
              <w:ind w:left="114"/>
              <w:rPr>
                <w:sz w:val="22"/>
              </w:rPr>
            </w:pPr>
            <w:r>
              <w:rPr>
                <w:sz w:val="22"/>
              </w:rPr>
              <w:t>"D4"</w:t>
            </w:r>
          </w:p>
        </w:tc>
      </w:tr>
      <w:tr>
        <w:trPr>
          <w:trHeight w:val="386" w:hRule="atLeast"/>
        </w:trPr>
        <w:tc>
          <w:tcPr>
            <w:tcW w:w="5123" w:type="dxa"/>
          </w:tcPr>
          <w:p>
            <w:pPr>
              <w:pStyle w:val="TableParagraph"/>
              <w:rPr>
                <w:sz w:val="22"/>
              </w:rPr>
            </w:pPr>
            <w:r>
              <w:rPr>
                <w:sz w:val="22"/>
              </w:rPr>
              <w:t>Month, day, anything besides year, anything</w:t>
            </w:r>
          </w:p>
        </w:tc>
        <w:tc>
          <w:tcPr>
            <w:tcW w:w="2252" w:type="dxa"/>
          </w:tcPr>
          <w:p>
            <w:pPr>
              <w:pStyle w:val="TableParagraph"/>
              <w:ind w:left="114"/>
              <w:rPr>
                <w:sz w:val="22"/>
              </w:rPr>
            </w:pPr>
            <w:r>
              <w:rPr>
                <w:sz w:val="22"/>
              </w:rPr>
              <w:t>"D5"</w:t>
            </w:r>
          </w:p>
        </w:tc>
      </w:tr>
      <w:tr>
        <w:trPr>
          <w:trHeight w:val="386" w:hRule="atLeast"/>
        </w:trPr>
        <w:tc>
          <w:tcPr>
            <w:tcW w:w="5123" w:type="dxa"/>
          </w:tcPr>
          <w:p>
            <w:pPr>
              <w:pStyle w:val="TableParagraph"/>
              <w:rPr>
                <w:sz w:val="22"/>
              </w:rPr>
            </w:pPr>
            <w:r>
              <w:rPr>
                <w:sz w:val="22"/>
              </w:rPr>
              <w:t>Hours, minutes, seconds, AM/PM, anything</w:t>
            </w:r>
          </w:p>
        </w:tc>
        <w:tc>
          <w:tcPr>
            <w:tcW w:w="2252" w:type="dxa"/>
          </w:tcPr>
          <w:p>
            <w:pPr>
              <w:pStyle w:val="TableParagraph"/>
              <w:ind w:left="114"/>
              <w:rPr>
                <w:sz w:val="22"/>
              </w:rPr>
            </w:pPr>
            <w:r>
              <w:rPr>
                <w:sz w:val="22"/>
              </w:rPr>
              <w:t>"D6"</w:t>
            </w:r>
          </w:p>
        </w:tc>
      </w:tr>
      <w:tr>
        <w:trPr>
          <w:trHeight w:val="385" w:hRule="atLeast"/>
        </w:trPr>
        <w:tc>
          <w:tcPr>
            <w:tcW w:w="5123" w:type="dxa"/>
          </w:tcPr>
          <w:p>
            <w:pPr>
              <w:pStyle w:val="TableParagraph"/>
              <w:rPr>
                <w:sz w:val="22"/>
              </w:rPr>
            </w:pPr>
            <w:r>
              <w:rPr>
                <w:sz w:val="22"/>
              </w:rPr>
              <w:t>Hours, minutes, AM/PM, anything</w:t>
            </w:r>
          </w:p>
        </w:tc>
        <w:tc>
          <w:tcPr>
            <w:tcW w:w="2252" w:type="dxa"/>
          </w:tcPr>
          <w:p>
            <w:pPr>
              <w:pStyle w:val="TableParagraph"/>
              <w:ind w:left="114"/>
              <w:rPr>
                <w:sz w:val="22"/>
              </w:rPr>
            </w:pPr>
            <w:r>
              <w:rPr>
                <w:sz w:val="22"/>
              </w:rPr>
              <w:t>"D7"</w:t>
            </w:r>
          </w:p>
        </w:tc>
      </w:tr>
      <w:tr>
        <w:trPr>
          <w:trHeight w:val="621" w:hRule="atLeast"/>
        </w:trPr>
        <w:tc>
          <w:tcPr>
            <w:tcW w:w="5123" w:type="dxa"/>
          </w:tcPr>
          <w:p>
            <w:pPr>
              <w:pStyle w:val="TableParagraph"/>
              <w:ind w:right="375"/>
              <w:rPr>
                <w:sz w:val="22"/>
              </w:rPr>
            </w:pPr>
            <w:r>
              <w:rPr>
                <w:sz w:val="22"/>
              </w:rPr>
              <w:t>Hours, minutes, seconds, anything besides AM/PM, anything</w:t>
            </w:r>
          </w:p>
        </w:tc>
        <w:tc>
          <w:tcPr>
            <w:tcW w:w="2252" w:type="dxa"/>
          </w:tcPr>
          <w:p>
            <w:pPr>
              <w:pStyle w:val="TableParagraph"/>
              <w:ind w:left="114"/>
              <w:rPr>
                <w:sz w:val="22"/>
              </w:rPr>
            </w:pPr>
            <w:r>
              <w:rPr>
                <w:sz w:val="22"/>
              </w:rPr>
              <w:t>"D8"</w:t>
            </w:r>
          </w:p>
        </w:tc>
      </w:tr>
      <w:tr>
        <w:trPr>
          <w:trHeight w:val="623" w:hRule="atLeast"/>
        </w:trPr>
        <w:tc>
          <w:tcPr>
            <w:tcW w:w="5123" w:type="dxa"/>
          </w:tcPr>
          <w:p>
            <w:pPr>
              <w:pStyle w:val="TableParagraph"/>
              <w:spacing w:line="237" w:lineRule="auto" w:before="44"/>
              <w:ind w:right="188"/>
              <w:rPr>
                <w:sz w:val="22"/>
              </w:rPr>
            </w:pPr>
            <w:r>
              <w:rPr>
                <w:sz w:val="22"/>
              </w:rPr>
              <w:t>Hours, minutes, anything besides seconds or AM/PM, anything</w:t>
            </w:r>
          </w:p>
        </w:tc>
        <w:tc>
          <w:tcPr>
            <w:tcW w:w="2252" w:type="dxa"/>
          </w:tcPr>
          <w:p>
            <w:pPr>
              <w:pStyle w:val="TableParagraph"/>
              <w:spacing w:before="42"/>
              <w:ind w:left="114"/>
              <w:rPr>
                <w:sz w:val="22"/>
              </w:rPr>
            </w:pPr>
            <w:r>
              <w:rPr>
                <w:sz w:val="22"/>
              </w:rPr>
              <w:t>"D9"</w:t>
            </w:r>
          </w:p>
        </w:tc>
      </w:tr>
      <w:tr>
        <w:trPr>
          <w:trHeight w:val="892" w:hRule="atLeast"/>
        </w:trPr>
        <w:tc>
          <w:tcPr>
            <w:tcW w:w="5123" w:type="dxa"/>
          </w:tcPr>
          <w:p>
            <w:pPr>
              <w:pStyle w:val="TableParagraph"/>
              <w:rPr>
                <w:sz w:val="22"/>
              </w:rPr>
            </w:pPr>
            <w:r>
              <w:rPr>
                <w:sz w:val="22"/>
              </w:rPr>
              <w:t>Any other combination of symbols</w:t>
            </w:r>
          </w:p>
        </w:tc>
        <w:tc>
          <w:tcPr>
            <w:tcW w:w="2252" w:type="dxa"/>
          </w:tcPr>
          <w:p>
            <w:pPr>
              <w:pStyle w:val="TableParagraph"/>
              <w:ind w:left="114" w:right="206"/>
              <w:rPr>
                <w:sz w:val="22"/>
              </w:rPr>
            </w:pPr>
            <w:r>
              <w:rPr>
                <w:sz w:val="22"/>
              </w:rPr>
              <w:t>"G" or "C" depending on whether there is</w:t>
            </w:r>
            <w:r>
              <w:rPr>
                <w:spacing w:val="-1"/>
                <w:sz w:val="22"/>
              </w:rPr>
              <w:t> </w:t>
            </w:r>
            <w:r>
              <w:rPr>
                <w:spacing w:val="-14"/>
                <w:sz w:val="22"/>
              </w:rPr>
              <w:t>a</w:t>
            </w:r>
          </w:p>
          <w:p>
            <w:pPr>
              <w:pStyle w:val="TableParagraph"/>
              <w:spacing w:before="0"/>
              <w:ind w:left="114"/>
              <w:rPr>
                <w:sz w:val="22"/>
              </w:rPr>
            </w:pPr>
            <w:r>
              <w:rPr>
                <w:sz w:val="22"/>
              </w:rPr>
              <w:t>$ in the first</w:t>
            </w:r>
            <w:r>
              <w:rPr>
                <w:spacing w:val="-6"/>
                <w:sz w:val="22"/>
              </w:rPr>
              <w:t> </w:t>
            </w:r>
            <w:r>
              <w:rPr>
                <w:sz w:val="22"/>
              </w:rPr>
              <w:t>condition</w:t>
            </w:r>
          </w:p>
        </w:tc>
      </w:tr>
    </w:tbl>
    <w:p>
      <w:pPr>
        <w:pStyle w:val="BodyText"/>
      </w:pPr>
    </w:p>
    <w:p>
      <w:pPr>
        <w:pStyle w:val="BodyText"/>
        <w:spacing w:before="5"/>
        <w:rPr>
          <w:sz w:val="19"/>
        </w:rPr>
      </w:pPr>
    </w:p>
    <w:p>
      <w:pPr>
        <w:pStyle w:val="ListParagraph"/>
        <w:numPr>
          <w:ilvl w:val="0"/>
          <w:numId w:val="78"/>
        </w:numPr>
        <w:tabs>
          <w:tab w:pos="941" w:val="left" w:leader="none"/>
        </w:tabs>
        <w:spacing w:line="240" w:lineRule="auto" w:before="0" w:after="0"/>
        <w:ind w:left="940" w:right="0" w:hanging="361"/>
        <w:jc w:val="left"/>
        <w:rPr>
          <w:sz w:val="22"/>
        </w:rPr>
      </w:pPr>
      <w:r>
        <w:rPr>
          <w:sz w:val="22"/>
        </w:rPr>
        <w:t>Otherwise, the first character of the return value is determined based upon the referenced</w:t>
      </w:r>
      <w:r>
        <w:rPr>
          <w:spacing w:val="-23"/>
          <w:sz w:val="22"/>
        </w:rPr>
        <w:t> </w:t>
      </w:r>
      <w:r>
        <w:rPr>
          <w:sz w:val="22"/>
        </w:rPr>
        <w:t>cell’s</w:t>
      </w:r>
    </w:p>
    <w:p>
      <w:pPr>
        <w:pStyle w:val="BodyText"/>
        <w:spacing w:before="44"/>
        <w:ind w:left="940"/>
      </w:pPr>
      <w:r>
        <w:rPr/>
        <w:t>number format code according to the rules in the table below:</w:t>
      </w:r>
    </w:p>
    <w:p>
      <w:pPr>
        <w:pStyle w:val="BodyText"/>
        <w:spacing w:before="9"/>
        <w:rPr>
          <w:sz w:val="19"/>
        </w:rPr>
      </w:pPr>
    </w:p>
    <w:tbl>
      <w:tblPr>
        <w:tblW w:w="0" w:type="auto"/>
        <w:jc w:val="left"/>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9"/>
        <w:gridCol w:w="3757"/>
        <w:gridCol w:w="1848"/>
      </w:tblGrid>
      <w:tr>
        <w:trPr>
          <w:trHeight w:val="354" w:hRule="atLeast"/>
        </w:trPr>
        <w:tc>
          <w:tcPr>
            <w:tcW w:w="7146" w:type="dxa"/>
            <w:gridSpan w:val="2"/>
            <w:shd w:val="clear" w:color="auto" w:fill="C0C0C0"/>
          </w:tcPr>
          <w:p>
            <w:pPr>
              <w:pStyle w:val="TableParagraph"/>
              <w:ind w:left="1704"/>
              <w:rPr>
                <w:b/>
                <w:sz w:val="22"/>
              </w:rPr>
            </w:pPr>
            <w:r>
              <w:rPr>
                <w:b/>
                <w:sz w:val="22"/>
              </w:rPr>
              <w:t>First Section of the Number Format Code</w:t>
            </w:r>
          </w:p>
        </w:tc>
        <w:tc>
          <w:tcPr>
            <w:tcW w:w="1848" w:type="dxa"/>
            <w:vMerge w:val="restart"/>
            <w:shd w:val="clear" w:color="auto" w:fill="C0C0C0"/>
          </w:tcPr>
          <w:p>
            <w:pPr>
              <w:pStyle w:val="TableParagraph"/>
              <w:ind w:left="194" w:right="165" w:firstLine="192"/>
              <w:rPr>
                <w:b/>
                <w:sz w:val="22"/>
              </w:rPr>
            </w:pPr>
            <w:r>
              <w:rPr>
                <w:b/>
                <w:sz w:val="22"/>
              </w:rPr>
              <w:t>First Return Value Character</w:t>
            </w:r>
          </w:p>
        </w:tc>
      </w:tr>
      <w:tr>
        <w:trPr>
          <w:trHeight w:val="623" w:hRule="atLeast"/>
        </w:trPr>
        <w:tc>
          <w:tcPr>
            <w:tcW w:w="3389" w:type="dxa"/>
            <w:shd w:val="clear" w:color="auto" w:fill="BEBEBE"/>
          </w:tcPr>
          <w:p>
            <w:pPr>
              <w:pStyle w:val="TableParagraph"/>
              <w:ind w:right="1607"/>
              <w:rPr>
                <w:sz w:val="22"/>
              </w:rPr>
            </w:pPr>
            <w:r>
              <w:rPr>
                <w:sz w:val="22"/>
              </w:rPr>
              <w:t>Absent Characters (as Symbols)</w:t>
            </w:r>
          </w:p>
        </w:tc>
        <w:tc>
          <w:tcPr>
            <w:tcW w:w="3757" w:type="dxa"/>
            <w:shd w:val="clear" w:color="auto" w:fill="BEBEBE"/>
          </w:tcPr>
          <w:p>
            <w:pPr>
              <w:pStyle w:val="TableParagraph"/>
              <w:ind w:left="112" w:right="1921"/>
              <w:rPr>
                <w:sz w:val="22"/>
              </w:rPr>
            </w:pPr>
            <w:r>
              <w:rPr>
                <w:sz w:val="22"/>
              </w:rPr>
              <w:t>Present Characters (as Symbols)</w:t>
            </w:r>
          </w:p>
        </w:tc>
        <w:tc>
          <w:tcPr>
            <w:tcW w:w="1848" w:type="dxa"/>
            <w:vMerge/>
            <w:tcBorders>
              <w:top w:val="nil"/>
            </w:tcBorders>
            <w:shd w:val="clear" w:color="auto" w:fill="C0C0C0"/>
          </w:tcPr>
          <w:p>
            <w:pPr>
              <w:rPr>
                <w:sz w:val="2"/>
                <w:szCs w:val="2"/>
              </w:rPr>
            </w:pPr>
          </w:p>
        </w:tc>
      </w:tr>
      <w:tr>
        <w:trPr>
          <w:trHeight w:val="386" w:hRule="atLeast"/>
        </w:trPr>
        <w:tc>
          <w:tcPr>
            <w:tcW w:w="3389" w:type="dxa"/>
          </w:tcPr>
          <w:p>
            <w:pPr>
              <w:pStyle w:val="TableParagraph"/>
              <w:spacing w:before="0"/>
              <w:ind w:left="0"/>
              <w:rPr>
                <w:rFonts w:ascii="Times New Roman"/>
                <w:sz w:val="22"/>
              </w:rPr>
            </w:pPr>
          </w:p>
        </w:tc>
        <w:tc>
          <w:tcPr>
            <w:tcW w:w="3757" w:type="dxa"/>
          </w:tcPr>
          <w:p>
            <w:pPr>
              <w:pStyle w:val="TableParagraph"/>
              <w:ind w:left="112"/>
              <w:rPr>
                <w:sz w:val="22"/>
              </w:rPr>
            </w:pPr>
            <w:r>
              <w:rPr>
                <w:w w:val="100"/>
                <w:sz w:val="22"/>
              </w:rPr>
              <w:t>@</w:t>
            </w:r>
          </w:p>
        </w:tc>
        <w:tc>
          <w:tcPr>
            <w:tcW w:w="1848" w:type="dxa"/>
          </w:tcPr>
          <w:p>
            <w:pPr>
              <w:pStyle w:val="TableParagraph"/>
              <w:rPr>
                <w:sz w:val="22"/>
              </w:rPr>
            </w:pPr>
            <w:r>
              <w:rPr>
                <w:sz w:val="22"/>
              </w:rPr>
              <w:t>"G"</w:t>
            </w:r>
          </w:p>
        </w:tc>
      </w:tr>
      <w:tr>
        <w:trPr>
          <w:trHeight w:val="385" w:hRule="atLeast"/>
        </w:trPr>
        <w:tc>
          <w:tcPr>
            <w:tcW w:w="3389" w:type="dxa"/>
          </w:tcPr>
          <w:p>
            <w:pPr>
              <w:pStyle w:val="TableParagraph"/>
              <w:rPr>
                <w:sz w:val="22"/>
              </w:rPr>
            </w:pPr>
            <w:r>
              <w:rPr>
                <w:w w:val="100"/>
                <w:sz w:val="22"/>
              </w:rPr>
              <w:t>@</w:t>
            </w:r>
          </w:p>
        </w:tc>
        <w:tc>
          <w:tcPr>
            <w:tcW w:w="3757" w:type="dxa"/>
          </w:tcPr>
          <w:p>
            <w:pPr>
              <w:pStyle w:val="TableParagraph"/>
              <w:ind w:left="112"/>
              <w:rPr>
                <w:sz w:val="22"/>
              </w:rPr>
            </w:pPr>
            <w:r>
              <w:rPr>
                <w:w w:val="100"/>
                <w:sz w:val="22"/>
              </w:rPr>
              <w:t>$</w:t>
            </w:r>
          </w:p>
        </w:tc>
        <w:tc>
          <w:tcPr>
            <w:tcW w:w="1848" w:type="dxa"/>
          </w:tcPr>
          <w:p>
            <w:pPr>
              <w:pStyle w:val="TableParagraph"/>
              <w:rPr>
                <w:sz w:val="22"/>
              </w:rPr>
            </w:pPr>
            <w:r>
              <w:rPr>
                <w:sz w:val="22"/>
              </w:rPr>
              <w:t>"C"</w:t>
            </w:r>
          </w:p>
        </w:tc>
      </w:tr>
      <w:tr>
        <w:trPr>
          <w:trHeight w:val="386" w:hRule="atLeast"/>
        </w:trPr>
        <w:tc>
          <w:tcPr>
            <w:tcW w:w="3389" w:type="dxa"/>
          </w:tcPr>
          <w:p>
            <w:pPr>
              <w:pStyle w:val="TableParagraph"/>
              <w:rPr>
                <w:sz w:val="22"/>
              </w:rPr>
            </w:pPr>
            <w:r>
              <w:rPr>
                <w:sz w:val="22"/>
              </w:rPr>
              <w:t>@, $</w:t>
            </w:r>
          </w:p>
        </w:tc>
        <w:tc>
          <w:tcPr>
            <w:tcW w:w="3757" w:type="dxa"/>
          </w:tcPr>
          <w:p>
            <w:pPr>
              <w:pStyle w:val="TableParagraph"/>
              <w:ind w:left="112"/>
              <w:rPr>
                <w:sz w:val="22"/>
              </w:rPr>
            </w:pPr>
            <w:r>
              <w:rPr>
                <w:w w:val="100"/>
                <w:sz w:val="22"/>
              </w:rPr>
              <w:t>%</w:t>
            </w:r>
          </w:p>
        </w:tc>
        <w:tc>
          <w:tcPr>
            <w:tcW w:w="1848" w:type="dxa"/>
          </w:tcPr>
          <w:p>
            <w:pPr>
              <w:pStyle w:val="TableParagraph"/>
              <w:rPr>
                <w:sz w:val="22"/>
              </w:rPr>
            </w:pPr>
            <w:r>
              <w:rPr>
                <w:sz w:val="22"/>
              </w:rPr>
              <w:t>"P"</w:t>
            </w:r>
          </w:p>
        </w:tc>
      </w:tr>
      <w:tr>
        <w:trPr>
          <w:trHeight w:val="655" w:hRule="atLeast"/>
        </w:trPr>
        <w:tc>
          <w:tcPr>
            <w:tcW w:w="3389" w:type="dxa"/>
          </w:tcPr>
          <w:p>
            <w:pPr>
              <w:pStyle w:val="TableParagraph"/>
              <w:rPr>
                <w:sz w:val="22"/>
              </w:rPr>
            </w:pPr>
            <w:r>
              <w:rPr>
                <w:sz w:val="22"/>
              </w:rPr>
              <w:t>@, $, %</w:t>
            </w:r>
          </w:p>
        </w:tc>
        <w:tc>
          <w:tcPr>
            <w:tcW w:w="3757" w:type="dxa"/>
          </w:tcPr>
          <w:p>
            <w:pPr>
              <w:pStyle w:val="TableParagraph"/>
              <w:ind w:left="112"/>
              <w:rPr>
                <w:sz w:val="22"/>
              </w:rPr>
            </w:pPr>
            <w:r>
              <w:rPr>
                <w:w w:val="100"/>
                <w:sz w:val="22"/>
              </w:rPr>
              <w:t>E</w:t>
            </w:r>
          </w:p>
        </w:tc>
        <w:tc>
          <w:tcPr>
            <w:tcW w:w="1848" w:type="dxa"/>
          </w:tcPr>
          <w:p>
            <w:pPr>
              <w:pStyle w:val="TableParagraph"/>
              <w:rPr>
                <w:sz w:val="22"/>
              </w:rPr>
            </w:pPr>
            <w:r>
              <w:rPr>
                <w:sz w:val="22"/>
              </w:rPr>
              <w:t>"S"</w:t>
            </w:r>
          </w:p>
        </w:tc>
      </w:tr>
      <w:tr>
        <w:trPr>
          <w:trHeight w:val="1698" w:hRule="atLeast"/>
        </w:trPr>
        <w:tc>
          <w:tcPr>
            <w:tcW w:w="3389" w:type="dxa"/>
          </w:tcPr>
          <w:p>
            <w:pPr>
              <w:pStyle w:val="TableParagraph"/>
              <w:rPr>
                <w:sz w:val="22"/>
              </w:rPr>
            </w:pPr>
            <w:r>
              <w:rPr>
                <w:sz w:val="22"/>
              </w:rPr>
              <w:t>@, $, %, E</w:t>
            </w:r>
          </w:p>
        </w:tc>
        <w:tc>
          <w:tcPr>
            <w:tcW w:w="3757" w:type="dxa"/>
          </w:tcPr>
          <w:p>
            <w:pPr>
              <w:pStyle w:val="TableParagraph"/>
              <w:ind w:left="112" w:right="132"/>
              <w:rPr>
                <w:sz w:val="22"/>
              </w:rPr>
            </w:pPr>
            <w:r>
              <w:rPr>
                <w:sz w:val="22"/>
              </w:rPr>
              <w:t>A run of any combination of one or more "0", "#", and "?" characters, followed by a comma, followed by a run of any combination of one or more "0", "#", and "?" characters.</w:t>
            </w:r>
          </w:p>
        </w:tc>
        <w:tc>
          <w:tcPr>
            <w:tcW w:w="1848" w:type="dxa"/>
          </w:tcPr>
          <w:p>
            <w:pPr>
              <w:pStyle w:val="TableParagraph"/>
              <w:rPr>
                <w:sz w:val="22"/>
              </w:rPr>
            </w:pP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9"/>
        <w:gridCol w:w="3757"/>
        <w:gridCol w:w="1848"/>
      </w:tblGrid>
      <w:tr>
        <w:trPr>
          <w:trHeight w:val="355" w:hRule="atLeast"/>
        </w:trPr>
        <w:tc>
          <w:tcPr>
            <w:tcW w:w="7146" w:type="dxa"/>
            <w:gridSpan w:val="2"/>
            <w:shd w:val="clear" w:color="auto" w:fill="C0C0C0"/>
          </w:tcPr>
          <w:p>
            <w:pPr>
              <w:pStyle w:val="TableParagraph"/>
              <w:ind w:left="1704"/>
              <w:rPr>
                <w:b/>
                <w:sz w:val="22"/>
              </w:rPr>
            </w:pPr>
            <w:r>
              <w:rPr>
                <w:b/>
                <w:sz w:val="22"/>
              </w:rPr>
              <w:t>First Section of the Number Format Code</w:t>
            </w:r>
          </w:p>
        </w:tc>
        <w:tc>
          <w:tcPr>
            <w:tcW w:w="1848" w:type="dxa"/>
            <w:shd w:val="clear" w:color="auto" w:fill="C0C0C0"/>
          </w:tcPr>
          <w:p>
            <w:pPr>
              <w:pStyle w:val="TableParagraph"/>
              <w:ind w:left="386"/>
              <w:rPr>
                <w:b/>
                <w:sz w:val="22"/>
              </w:rPr>
            </w:pPr>
            <w:r>
              <w:rPr>
                <w:b/>
                <w:sz w:val="22"/>
              </w:rPr>
              <w:t>First Return</w:t>
            </w:r>
          </w:p>
        </w:tc>
      </w:tr>
      <w:tr>
        <w:trPr>
          <w:trHeight w:val="892" w:hRule="atLeast"/>
        </w:trPr>
        <w:tc>
          <w:tcPr>
            <w:tcW w:w="3389" w:type="dxa"/>
          </w:tcPr>
          <w:p>
            <w:pPr>
              <w:pStyle w:val="TableParagraph"/>
              <w:spacing w:before="0"/>
              <w:ind w:left="0"/>
              <w:rPr>
                <w:rFonts w:ascii="Times New Roman"/>
                <w:sz w:val="22"/>
              </w:rPr>
            </w:pPr>
          </w:p>
        </w:tc>
        <w:tc>
          <w:tcPr>
            <w:tcW w:w="3757" w:type="dxa"/>
          </w:tcPr>
          <w:p>
            <w:pPr>
              <w:pStyle w:val="TableParagraph"/>
              <w:ind w:left="112" w:right="653"/>
              <w:jc w:val="both"/>
              <w:rPr>
                <w:sz w:val="22"/>
              </w:rPr>
            </w:pPr>
            <w:r>
              <w:rPr>
                <w:sz w:val="22"/>
              </w:rPr>
              <w:t>This run cannot be preceded by a period (".") or by any interpreted characters.</w:t>
            </w:r>
          </w:p>
        </w:tc>
        <w:tc>
          <w:tcPr>
            <w:tcW w:w="1848" w:type="dxa"/>
          </w:tcPr>
          <w:p>
            <w:pPr>
              <w:pStyle w:val="TableParagraph"/>
              <w:spacing w:before="0"/>
              <w:ind w:left="0"/>
              <w:rPr>
                <w:rFonts w:ascii="Times New Roman"/>
                <w:sz w:val="22"/>
              </w:rPr>
            </w:pPr>
          </w:p>
        </w:tc>
      </w:tr>
      <w:tr>
        <w:trPr>
          <w:trHeight w:val="890" w:hRule="atLeast"/>
        </w:trPr>
        <w:tc>
          <w:tcPr>
            <w:tcW w:w="3389" w:type="dxa"/>
          </w:tcPr>
          <w:p>
            <w:pPr>
              <w:pStyle w:val="TableParagraph"/>
              <w:ind w:right="288"/>
              <w:jc w:val="both"/>
              <w:rPr>
                <w:sz w:val="22"/>
              </w:rPr>
            </w:pPr>
            <w:r>
              <w:rPr>
                <w:sz w:val="22"/>
              </w:rPr>
              <w:t>@, $, %, E, or a run of characters containing a comma as described in the row above</w:t>
            </w:r>
          </w:p>
        </w:tc>
        <w:tc>
          <w:tcPr>
            <w:tcW w:w="3757" w:type="dxa"/>
          </w:tcPr>
          <w:p>
            <w:pPr>
              <w:pStyle w:val="TableParagraph"/>
              <w:ind w:left="112"/>
              <w:rPr>
                <w:sz w:val="22"/>
              </w:rPr>
            </w:pPr>
            <w:r>
              <w:rPr>
                <w:sz w:val="22"/>
              </w:rPr>
              <w:t>At least one of "0", "?", or "#"</w:t>
            </w:r>
          </w:p>
        </w:tc>
        <w:tc>
          <w:tcPr>
            <w:tcW w:w="1848" w:type="dxa"/>
          </w:tcPr>
          <w:p>
            <w:pPr>
              <w:pStyle w:val="TableParagraph"/>
              <w:rPr>
                <w:sz w:val="22"/>
              </w:rPr>
            </w:pPr>
            <w:r>
              <w:rPr>
                <w:sz w:val="22"/>
              </w:rPr>
              <w:t>"F"</w:t>
            </w:r>
          </w:p>
        </w:tc>
      </w:tr>
      <w:tr>
        <w:trPr>
          <w:trHeight w:val="385" w:hRule="atLeast"/>
        </w:trPr>
        <w:tc>
          <w:tcPr>
            <w:tcW w:w="3389" w:type="dxa"/>
          </w:tcPr>
          <w:p>
            <w:pPr>
              <w:pStyle w:val="TableParagraph"/>
              <w:rPr>
                <w:sz w:val="22"/>
              </w:rPr>
            </w:pPr>
            <w:r>
              <w:rPr>
                <w:sz w:val="22"/>
              </w:rPr>
              <w:t>Any of the above conditions</w:t>
            </w:r>
          </w:p>
        </w:tc>
        <w:tc>
          <w:tcPr>
            <w:tcW w:w="3757" w:type="dxa"/>
          </w:tcPr>
          <w:p>
            <w:pPr>
              <w:pStyle w:val="TableParagraph"/>
              <w:ind w:left="112"/>
              <w:rPr>
                <w:sz w:val="22"/>
              </w:rPr>
            </w:pPr>
            <w:r>
              <w:rPr>
                <w:sz w:val="22"/>
              </w:rPr>
              <w:t>Anything</w:t>
            </w:r>
          </w:p>
        </w:tc>
        <w:tc>
          <w:tcPr>
            <w:tcW w:w="1848" w:type="dxa"/>
          </w:tcPr>
          <w:p>
            <w:pPr>
              <w:pStyle w:val="TableParagraph"/>
              <w:rPr>
                <w:sz w:val="22"/>
              </w:rPr>
            </w:pPr>
            <w:r>
              <w:rPr>
                <w:sz w:val="22"/>
              </w:rPr>
              <w:t>"G"</w:t>
            </w:r>
          </w:p>
        </w:tc>
      </w:tr>
    </w:tbl>
    <w:p>
      <w:pPr>
        <w:pStyle w:val="BodyText"/>
        <w:rPr>
          <w:sz w:val="20"/>
        </w:rPr>
      </w:pPr>
    </w:p>
    <w:p>
      <w:pPr>
        <w:pStyle w:val="BodyText"/>
        <w:spacing w:before="10"/>
        <w:rPr>
          <w:sz w:val="16"/>
        </w:rPr>
      </w:pPr>
    </w:p>
    <w:p>
      <w:pPr>
        <w:pStyle w:val="ListParagraph"/>
        <w:numPr>
          <w:ilvl w:val="0"/>
          <w:numId w:val="78"/>
        </w:numPr>
        <w:tabs>
          <w:tab w:pos="941" w:val="left" w:leader="none"/>
        </w:tabs>
        <w:spacing w:line="278" w:lineRule="auto" w:before="56" w:after="0"/>
        <w:ind w:left="940" w:right="463" w:hanging="360"/>
        <w:jc w:val="left"/>
        <w:rPr>
          <w:sz w:val="22"/>
        </w:rPr>
      </w:pPr>
      <w:r>
        <w:rPr>
          <w:sz w:val="22"/>
        </w:rPr>
        <w:t>The final value is determined by appending any of the applicable characters from the table below to the return value characters obtained from the previous two</w:t>
      </w:r>
      <w:r>
        <w:rPr>
          <w:spacing w:val="-5"/>
          <w:sz w:val="22"/>
        </w:rPr>
        <w:t> </w:t>
      </w:r>
      <w:r>
        <w:rPr>
          <w:sz w:val="22"/>
        </w:rPr>
        <w:t>tables:</w:t>
      </w:r>
    </w:p>
    <w:p>
      <w:pPr>
        <w:pStyle w:val="BodyText"/>
        <w:spacing w:before="4"/>
        <w:rPr>
          <w:sz w:val="16"/>
        </w:rPr>
      </w:pPr>
    </w:p>
    <w:tbl>
      <w:tblPr>
        <w:tblW w:w="0" w:type="auto"/>
        <w:jc w:val="left"/>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3"/>
        <w:gridCol w:w="3723"/>
      </w:tblGrid>
      <w:tr>
        <w:trPr>
          <w:trHeight w:val="386" w:hRule="atLeast"/>
        </w:trPr>
        <w:tc>
          <w:tcPr>
            <w:tcW w:w="5123" w:type="dxa"/>
            <w:shd w:val="clear" w:color="auto" w:fill="C0C0C0"/>
          </w:tcPr>
          <w:p>
            <w:pPr>
              <w:pStyle w:val="TableParagraph"/>
              <w:ind w:left="2330" w:right="2318"/>
              <w:jc w:val="center"/>
              <w:rPr>
                <w:b/>
                <w:sz w:val="22"/>
              </w:rPr>
            </w:pPr>
            <w:r>
              <w:rPr>
                <w:b/>
                <w:sz w:val="22"/>
              </w:rPr>
              <w:t>Case</w:t>
            </w:r>
          </w:p>
        </w:tc>
        <w:tc>
          <w:tcPr>
            <w:tcW w:w="3723" w:type="dxa"/>
            <w:shd w:val="clear" w:color="auto" w:fill="C0C0C0"/>
          </w:tcPr>
          <w:p>
            <w:pPr>
              <w:pStyle w:val="TableParagraph"/>
              <w:ind w:left="868"/>
              <w:rPr>
                <w:b/>
                <w:sz w:val="22"/>
              </w:rPr>
            </w:pPr>
            <w:r>
              <w:rPr>
                <w:b/>
                <w:sz w:val="22"/>
              </w:rPr>
              <w:t>Characters to Append</w:t>
            </w:r>
          </w:p>
        </w:tc>
      </w:tr>
      <w:tr>
        <w:trPr>
          <w:trHeight w:val="1161" w:hRule="atLeast"/>
        </w:trPr>
        <w:tc>
          <w:tcPr>
            <w:tcW w:w="5123" w:type="dxa"/>
          </w:tcPr>
          <w:p>
            <w:pPr>
              <w:pStyle w:val="TableParagraph"/>
              <w:ind w:right="329"/>
              <w:jc w:val="both"/>
              <w:rPr>
                <w:sz w:val="22"/>
              </w:rPr>
            </w:pPr>
            <w:r>
              <w:rPr>
                <w:sz w:val="22"/>
              </w:rPr>
              <w:t>The first character of the return value is C, F, S, P, or "," and the number format code contains any of "?", "0", or "#" as a symbol.</w:t>
            </w:r>
          </w:p>
        </w:tc>
        <w:tc>
          <w:tcPr>
            <w:tcW w:w="3723" w:type="dxa"/>
          </w:tcPr>
          <w:p>
            <w:pPr>
              <w:pStyle w:val="TableParagraph"/>
              <w:ind w:left="114" w:right="135"/>
              <w:rPr>
                <w:sz w:val="22"/>
              </w:rPr>
            </w:pPr>
            <w:r>
              <w:rPr>
                <w:sz w:val="22"/>
              </w:rPr>
              <w:t>The decimal number equal to the total number of "#", "?", and "0" characters to the right of the first "." within the first section</w:t>
            </w:r>
          </w:p>
        </w:tc>
      </w:tr>
      <w:tr>
        <w:trPr>
          <w:trHeight w:val="1158" w:hRule="atLeast"/>
        </w:trPr>
        <w:tc>
          <w:tcPr>
            <w:tcW w:w="5123" w:type="dxa"/>
          </w:tcPr>
          <w:p>
            <w:pPr>
              <w:pStyle w:val="TableParagraph"/>
              <w:ind w:right="105"/>
              <w:rPr>
                <w:sz w:val="22"/>
              </w:rPr>
            </w:pPr>
            <w:r>
              <w:rPr>
                <w:sz w:val="22"/>
              </w:rPr>
              <w:t>The first character of the return value was C, and the number format code does not contains any of "?", "0", or "#" as a symbol.</w:t>
            </w:r>
          </w:p>
        </w:tc>
        <w:tc>
          <w:tcPr>
            <w:tcW w:w="3723" w:type="dxa"/>
          </w:tcPr>
          <w:p>
            <w:pPr>
              <w:pStyle w:val="TableParagraph"/>
              <w:ind w:left="114" w:right="90"/>
              <w:rPr>
                <w:sz w:val="22"/>
              </w:rPr>
            </w:pPr>
            <w:r>
              <w:rPr>
                <w:sz w:val="22"/>
              </w:rPr>
              <w:t>15 or the length of the string immediately following the first "$" sign in the number format code that is a symbol.</w:t>
            </w:r>
          </w:p>
        </w:tc>
      </w:tr>
      <w:tr>
        <w:trPr>
          <w:trHeight w:val="621" w:hRule="atLeast"/>
        </w:trPr>
        <w:tc>
          <w:tcPr>
            <w:tcW w:w="5123" w:type="dxa"/>
            <w:tcBorders>
              <w:bottom w:val="single" w:sz="6" w:space="0" w:color="000000"/>
            </w:tcBorders>
          </w:tcPr>
          <w:p>
            <w:pPr>
              <w:pStyle w:val="TableParagraph"/>
              <w:ind w:right="254"/>
              <w:rPr>
                <w:sz w:val="22"/>
              </w:rPr>
            </w:pPr>
            <w:r>
              <w:rPr>
                <w:sz w:val="22"/>
              </w:rPr>
              <w:t>The first section of the number format code contains an open parenthesis ("(") as a symbol.</w:t>
            </w:r>
          </w:p>
        </w:tc>
        <w:tc>
          <w:tcPr>
            <w:tcW w:w="3723" w:type="dxa"/>
            <w:tcBorders>
              <w:bottom w:val="single" w:sz="6" w:space="0" w:color="000000"/>
            </w:tcBorders>
          </w:tcPr>
          <w:p>
            <w:pPr>
              <w:pStyle w:val="TableParagraph"/>
              <w:ind w:left="114"/>
              <w:rPr>
                <w:sz w:val="22"/>
              </w:rPr>
            </w:pPr>
            <w:r>
              <w:rPr>
                <w:sz w:val="22"/>
              </w:rPr>
              <w:t>"()"</w:t>
            </w:r>
          </w:p>
        </w:tc>
      </w:tr>
      <w:tr>
        <w:trPr>
          <w:trHeight w:val="890" w:hRule="atLeast"/>
        </w:trPr>
        <w:tc>
          <w:tcPr>
            <w:tcW w:w="5123" w:type="dxa"/>
            <w:tcBorders>
              <w:top w:val="single" w:sz="6" w:space="0" w:color="000000"/>
            </w:tcBorders>
          </w:tcPr>
          <w:p>
            <w:pPr>
              <w:pStyle w:val="TableParagraph"/>
              <w:spacing w:before="37"/>
              <w:ind w:right="734"/>
              <w:jc w:val="both"/>
              <w:rPr>
                <w:sz w:val="22"/>
              </w:rPr>
            </w:pPr>
            <w:r>
              <w:rPr>
                <w:sz w:val="22"/>
              </w:rPr>
              <w:t>The second section of the number format code contains [Red], [Black], [Green], [White], [Blue], [Magenta], [Yellow], or [Cyan] as a symbol.</w:t>
            </w:r>
          </w:p>
        </w:tc>
        <w:tc>
          <w:tcPr>
            <w:tcW w:w="3723" w:type="dxa"/>
            <w:tcBorders>
              <w:top w:val="single" w:sz="6" w:space="0" w:color="000000"/>
            </w:tcBorders>
          </w:tcPr>
          <w:p>
            <w:pPr>
              <w:pStyle w:val="TableParagraph"/>
              <w:spacing w:before="37"/>
              <w:ind w:left="114"/>
              <w:rPr>
                <w:sz w:val="22"/>
              </w:rPr>
            </w:pPr>
            <w:r>
              <w:rPr>
                <w:sz w:val="22"/>
              </w:rPr>
              <w:t>"-"</w:t>
            </w:r>
          </w:p>
        </w:tc>
      </w:tr>
    </w:tbl>
    <w:p>
      <w:pPr>
        <w:pStyle w:val="BodyText"/>
      </w:pPr>
    </w:p>
    <w:p>
      <w:pPr>
        <w:pStyle w:val="BodyText"/>
        <w:spacing w:before="7"/>
        <w:rPr>
          <w:sz w:val="19"/>
        </w:rPr>
      </w:pPr>
    </w:p>
    <w:p>
      <w:pPr>
        <w:pStyle w:val="BodyText"/>
        <w:spacing w:line="453" w:lineRule="auto"/>
        <w:ind w:left="220" w:right="3137"/>
      </w:pPr>
      <w:r>
        <w:rPr/>
        <w:t>However, if </w:t>
      </w:r>
      <w:r>
        <w:rPr>
          <w:rFonts w:ascii="Times New Roman"/>
          <w:i/>
        </w:rPr>
        <w:t>category </w:t>
      </w:r>
      <w:r>
        <w:rPr/>
        <w:t>is not one of the defined values, </w:t>
      </w:r>
      <w:r>
        <w:rPr>
          <w:rFonts w:ascii="Consolas"/>
        </w:rPr>
        <w:t>#VALUE!</w:t>
      </w:r>
      <w:r>
        <w:rPr>
          <w:rFonts w:ascii="Consolas"/>
          <w:spacing w:val="-93"/>
        </w:rPr>
        <w:t> </w:t>
      </w:r>
      <w:r>
        <w:rPr/>
        <w:t>is returned. [</w:t>
      </w:r>
      <w:r>
        <w:rPr>
          <w:i/>
        </w:rPr>
        <w:t>Example</w:t>
      </w:r>
      <w:r>
        <w:rPr/>
        <w:t>:</w:t>
      </w:r>
    </w:p>
    <w:p>
      <w:pPr>
        <w:pStyle w:val="BodyText"/>
        <w:spacing w:before="108"/>
        <w:ind w:left="220"/>
        <w:rPr>
          <w:rFonts w:ascii="Consolas"/>
        </w:rPr>
      </w:pPr>
      <w:r>
        <w:rPr>
          <w:rFonts w:ascii="Consolas"/>
        </w:rPr>
        <w:t>CELL("address",A10)</w:t>
      </w:r>
      <w:r>
        <w:rPr>
          <w:rFonts w:ascii="Consolas"/>
          <w:spacing w:val="-74"/>
        </w:rPr>
        <w:t> </w:t>
      </w:r>
      <w:r>
        <w:rPr/>
        <w:t>might result in </w:t>
      </w:r>
      <w:r>
        <w:rPr>
          <w:rFonts w:ascii="Consolas"/>
        </w:rPr>
        <w:t>$E$289</w:t>
      </w:r>
    </w:p>
    <w:p>
      <w:pPr>
        <w:pStyle w:val="BodyText"/>
        <w:spacing w:line="276" w:lineRule="auto" w:before="41"/>
        <w:ind w:left="220" w:right="1516"/>
        <w:rPr>
          <w:rFonts w:ascii="Consolas"/>
        </w:rPr>
      </w:pPr>
      <w:r>
        <w:rPr>
          <w:rFonts w:ascii="Consolas"/>
        </w:rPr>
        <w:t>CELL("contents",A10:B10)</w:t>
      </w:r>
      <w:r>
        <w:rPr/>
        <w:t>, results in </w:t>
      </w:r>
      <w:r>
        <w:rPr>
          <w:rFonts w:ascii="Consolas"/>
        </w:rPr>
        <w:t>xxx</w:t>
      </w:r>
      <w:r>
        <w:rPr/>
        <w:t>, when A10 contains </w:t>
      </w:r>
      <w:r>
        <w:rPr>
          <w:rFonts w:ascii="Consolas"/>
        </w:rPr>
        <w:t>xxx</w:t>
      </w:r>
      <w:r>
        <w:rPr/>
        <w:t>, and B10 contains anything </w:t>
      </w:r>
      <w:r>
        <w:rPr>
          <w:rFonts w:ascii="Consolas"/>
        </w:rPr>
        <w:t>CELL("filename",A10) </w:t>
      </w:r>
      <w:r>
        <w:rPr/>
        <w:t>might result in </w:t>
      </w:r>
      <w:r>
        <w:rPr>
          <w:rFonts w:ascii="Consolas"/>
        </w:rPr>
        <w:t>E:\Formulas\[Test.xlsx]Sheet1 CELL("format",A10)</w:t>
      </w:r>
      <w:r>
        <w:rPr>
          <w:rFonts w:ascii="Consolas"/>
          <w:spacing w:val="-74"/>
        </w:rPr>
        <w:t> </w:t>
      </w:r>
      <w:r>
        <w:rPr/>
        <w:t>results in </w:t>
      </w:r>
      <w:r>
        <w:rPr>
          <w:rFonts w:ascii="Consolas"/>
        </w:rPr>
        <w:t>G</w:t>
      </w:r>
      <w:r>
        <w:rPr/>
        <w:t>, when A10 contains </w:t>
      </w:r>
      <w:r>
        <w:rPr>
          <w:rFonts w:ascii="Consolas"/>
        </w:rPr>
        <w:t>xxx</w:t>
      </w:r>
    </w:p>
    <w:p>
      <w:pPr>
        <w:pStyle w:val="BodyText"/>
        <w:spacing w:line="276" w:lineRule="auto" w:before="1"/>
        <w:ind w:left="220" w:right="3137"/>
        <w:rPr>
          <w:rFonts w:ascii="Consolas"/>
        </w:rPr>
      </w:pPr>
      <w:r>
        <w:rPr>
          <w:rFonts w:ascii="Consolas"/>
        </w:rPr>
        <w:t>CELL("format",A10) </w:t>
      </w:r>
      <w:r>
        <w:rPr/>
        <w:t>results in </w:t>
      </w:r>
      <w:r>
        <w:rPr>
          <w:rFonts w:ascii="Consolas"/>
        </w:rPr>
        <w:t>F2-</w:t>
      </w:r>
      <w:r>
        <w:rPr/>
        <w:t>, when A10 contains </w:t>
      </w:r>
      <w:r>
        <w:rPr>
          <w:rFonts w:ascii="Consolas"/>
        </w:rPr>
        <w:t>(123.00) CELL("format",A10)</w:t>
      </w:r>
      <w:r>
        <w:rPr>
          <w:rFonts w:ascii="Consolas"/>
          <w:spacing w:val="-97"/>
        </w:rPr>
        <w:t> </w:t>
      </w:r>
      <w:r>
        <w:rPr/>
        <w:t>results in </w:t>
      </w:r>
      <w:r>
        <w:rPr>
          <w:rFonts w:ascii="Consolas"/>
        </w:rPr>
        <w:t>C3-</w:t>
      </w:r>
      <w:r>
        <w:rPr/>
        <w:t>, when A10 contains </w:t>
      </w:r>
      <w:r>
        <w:rPr>
          <w:rFonts w:ascii="Consolas"/>
        </w:rPr>
        <w:t>$123,456.780 CELL("format",A10) </w:t>
      </w:r>
      <w:r>
        <w:rPr/>
        <w:t>results in </w:t>
      </w:r>
      <w:r>
        <w:rPr>
          <w:rFonts w:ascii="Consolas"/>
        </w:rPr>
        <w:t>S3</w:t>
      </w:r>
      <w:r>
        <w:rPr/>
        <w:t>, when A10 contains </w:t>
      </w:r>
      <w:r>
        <w:rPr>
          <w:rFonts w:ascii="Consolas"/>
        </w:rPr>
        <w:t>1.235E+05 CELL("prefix",A10) </w:t>
      </w:r>
      <w:r>
        <w:rPr/>
        <w:t>results in </w:t>
      </w:r>
      <w:r>
        <w:rPr>
          <w:rFonts w:ascii="Consolas"/>
        </w:rPr>
        <w:t>'</w:t>
      </w:r>
      <w:r>
        <w:rPr/>
        <w:t>, when A10 contains </w:t>
      </w:r>
      <w:r>
        <w:rPr>
          <w:rFonts w:ascii="Consolas"/>
        </w:rPr>
        <w:t>xxx CELL("type",A10)</w:t>
      </w:r>
      <w:r>
        <w:rPr>
          <w:rFonts w:ascii="Consolas"/>
          <w:spacing w:val="-75"/>
        </w:rPr>
        <w:t> </w:t>
      </w:r>
      <w:r>
        <w:rPr/>
        <w:t>results in </w:t>
      </w:r>
      <w:r>
        <w:rPr>
          <w:rFonts w:ascii="Consolas"/>
        </w:rPr>
        <w:t>l</w:t>
      </w:r>
      <w:r>
        <w:rPr/>
        <w:t>, when A10 contains </w:t>
      </w:r>
      <w:r>
        <w:rPr>
          <w:rFonts w:ascii="Consolas"/>
        </w:rPr>
        <w:t>xxx</w:t>
      </w:r>
    </w:p>
    <w:p>
      <w:pPr>
        <w:spacing w:after="0" w:line="276" w:lineRule="auto"/>
        <w:rPr>
          <w:rFonts w:ascii="Consolas"/>
        </w:rPr>
        <w:sectPr>
          <w:pgSz w:w="12240" w:h="15840"/>
          <w:pgMar w:header="761" w:footer="746" w:top="1340" w:bottom="940" w:left="860" w:right="700"/>
        </w:sectPr>
      </w:pPr>
    </w:p>
    <w:p>
      <w:pPr>
        <w:pStyle w:val="BodyText"/>
        <w:rPr>
          <w:rFonts w:ascii="Consolas"/>
          <w:sz w:val="20"/>
        </w:rPr>
      </w:pPr>
    </w:p>
    <w:p>
      <w:pPr>
        <w:pStyle w:val="BodyText"/>
        <w:spacing w:before="1"/>
        <w:rPr>
          <w:rFonts w:ascii="Consolas"/>
          <w:sz w:val="1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5 CHAR" w:id="1497"/>
      <w:bookmarkEnd w:id="1497"/>
      <w:r>
        <w:rPr/>
      </w:r>
      <w:bookmarkStart w:name="_bookmark498" w:id="1498"/>
      <w:bookmarkEnd w:id="1498"/>
      <w:r>
        <w:rPr/>
      </w:r>
      <w:bookmarkStart w:name="_bookmark498" w:id="1499"/>
      <w:bookmarkEnd w:id="1499"/>
      <w:r>
        <w:rPr>
          <w:color w:val="4F81BC"/>
        </w:rPr>
        <w:t>C</w:t>
      </w:r>
      <w:r>
        <w:rPr>
          <w:color w:val="4F81BC"/>
        </w:rPr>
        <w:t>HAR</w:t>
      </w:r>
    </w:p>
    <w:p>
      <w:pPr>
        <w:pStyle w:val="Heading4"/>
        <w:spacing w:before="123"/>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CHAR ( </w:t>
      </w:r>
      <w:r>
        <w:rPr>
          <w:i/>
          <w:sz w:val="22"/>
        </w:rPr>
        <w:t>x </w:t>
      </w:r>
      <w:r>
        <w:rPr>
          <w:rFonts w:ascii="Lucida Console"/>
          <w:sz w:val="20"/>
        </w:rPr>
        <w:t>)</w:t>
      </w:r>
    </w:p>
    <w:p>
      <w:pPr>
        <w:pStyle w:val="BodyText"/>
        <w:spacing w:line="276" w:lineRule="auto" w:before="105"/>
        <w:ind w:left="220" w:right="440"/>
        <w:jc w:val="both"/>
      </w:pPr>
      <w:r>
        <w:rPr>
          <w:b/>
        </w:rPr>
        <w:t>Description: </w:t>
      </w:r>
      <w:r>
        <w:rPr/>
        <w:t>Determines the character that is represented by the value </w:t>
      </w:r>
      <w:r>
        <w:rPr>
          <w:rFonts w:ascii="Times New Roman"/>
          <w:i/>
        </w:rPr>
        <w:t>number</w:t>
      </w:r>
      <w:r>
        <w:rPr/>
        <w:t>. On the Macintosh platform, the Macintosh character set is used. On all other platforms, the Latin character set with IANA name </w:t>
      </w:r>
      <w:r>
        <w:rPr>
          <w:rFonts w:ascii="Consolas"/>
        </w:rPr>
        <w:t>iso-8859-1</w:t>
      </w:r>
      <w:r>
        <w:rPr>
          <w:rFonts w:ascii="Consolas"/>
          <w:spacing w:val="-100"/>
        </w:rPr>
        <w:t> </w:t>
      </w:r>
      <w:r>
        <w:rPr/>
        <w:t>is used.</w:t>
      </w:r>
    </w:p>
    <w:p>
      <w:pPr>
        <w:pStyle w:val="BodyText"/>
        <w:spacing w:before="6"/>
        <w:rPr>
          <w:sz w:val="16"/>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tcBorders>
              <w:left w:val="single" w:sz="4" w:space="0" w:color="000000"/>
              <w:bottom w:val="single" w:sz="4" w:space="0" w:color="000000"/>
              <w:right w:val="single" w:sz="4" w:space="0" w:color="000000"/>
            </w:tcBorders>
            <w:shd w:val="clear" w:color="auto" w:fill="C0C0C0"/>
          </w:tcPr>
          <w:p>
            <w:pPr>
              <w:pStyle w:val="TableParagraph"/>
              <w:spacing w:before="37"/>
              <w:ind w:left="460"/>
              <w:rPr>
                <w:b/>
                <w:sz w:val="22"/>
              </w:rPr>
            </w:pPr>
            <w:r>
              <w:rPr>
                <w:b/>
                <w:sz w:val="22"/>
              </w:rPr>
              <w:t>Name</w:t>
            </w:r>
          </w:p>
        </w:tc>
        <w:tc>
          <w:tcPr>
            <w:tcW w:w="1800" w:type="dxa"/>
            <w:tcBorders>
              <w:left w:val="single" w:sz="4" w:space="0" w:color="000000"/>
              <w:bottom w:val="single" w:sz="4" w:space="0" w:color="000000"/>
              <w:right w:val="single" w:sz="4" w:space="0" w:color="000000"/>
            </w:tcBorders>
            <w:shd w:val="clear" w:color="auto" w:fill="C0C0C0"/>
          </w:tcPr>
          <w:p>
            <w:pPr>
              <w:pStyle w:val="TableParagraph"/>
              <w:spacing w:before="37"/>
              <w:ind w:left="94" w:right="86"/>
              <w:jc w:val="center"/>
              <w:rPr>
                <w:b/>
                <w:sz w:val="22"/>
              </w:rPr>
            </w:pPr>
            <w:r>
              <w:rPr>
                <w:b/>
                <w:sz w:val="22"/>
              </w:rPr>
              <w:t>Type</w:t>
            </w:r>
          </w:p>
        </w:tc>
        <w:tc>
          <w:tcPr>
            <w:tcW w:w="5400" w:type="dxa"/>
            <w:tcBorders>
              <w:left w:val="single" w:sz="4" w:space="0" w:color="000000"/>
              <w:bottom w:val="single" w:sz="4" w:space="0" w:color="000000"/>
              <w:right w:val="single" w:sz="4" w:space="0" w:color="000000"/>
            </w:tcBorders>
            <w:shd w:val="clear" w:color="auto" w:fill="C0C0C0"/>
          </w:tcPr>
          <w:p>
            <w:pPr>
              <w:pStyle w:val="TableParagraph"/>
              <w:spacing w:before="37"/>
              <w:ind w:left="93" w:right="86"/>
              <w:jc w:val="center"/>
              <w:rPr>
                <w:b/>
                <w:sz w:val="22"/>
              </w:rPr>
            </w:pPr>
            <w:r>
              <w:rPr>
                <w:b/>
                <w:sz w:val="22"/>
              </w:rPr>
              <w:t>Description</w:t>
            </w:r>
          </w:p>
        </w:tc>
      </w:tr>
      <w:tr>
        <w:trPr>
          <w:trHeight w:val="623" w:hRule="atLeast"/>
        </w:trPr>
        <w:tc>
          <w:tcPr>
            <w:tcW w:w="1466" w:type="dxa"/>
            <w:tcBorders>
              <w:top w:val="single" w:sz="4" w:space="0" w:color="000000"/>
              <w:left w:val="single" w:sz="4" w:space="0" w:color="000000"/>
              <w:bottom w:val="single" w:sz="4" w:space="0" w:color="000000"/>
              <w:right w:val="single" w:sz="4" w:space="0" w:color="000000"/>
            </w:tcBorders>
          </w:tcPr>
          <w:p>
            <w:pPr>
              <w:pStyle w:val="TableParagraph"/>
              <w:spacing w:before="37"/>
              <w:rPr>
                <w:rFonts w:ascii="Times New Roman"/>
                <w:i/>
                <w:sz w:val="22"/>
              </w:rPr>
            </w:pPr>
            <w:r>
              <w:rPr>
                <w:rFonts w:ascii="Times New Roman"/>
                <w:i/>
                <w:w w:val="100"/>
                <w:sz w:val="22"/>
              </w:rPr>
              <w:t>x</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ind w:left="112"/>
              <w:rPr>
                <w:sz w:val="22"/>
              </w:rPr>
            </w:pPr>
            <w:r>
              <w:rPr>
                <w:sz w:val="22"/>
              </w:rPr>
              <w:t>number</w:t>
            </w:r>
          </w:p>
        </w:tc>
        <w:tc>
          <w:tcPr>
            <w:tcW w:w="5400" w:type="dxa"/>
            <w:tcBorders>
              <w:top w:val="single" w:sz="4" w:space="0" w:color="000000"/>
              <w:left w:val="single" w:sz="4" w:space="0" w:color="000000"/>
              <w:bottom w:val="single" w:sz="4" w:space="0" w:color="000000"/>
              <w:right w:val="single" w:sz="4" w:space="0" w:color="000000"/>
            </w:tcBorders>
          </w:tcPr>
          <w:p>
            <w:pPr>
              <w:pStyle w:val="TableParagraph"/>
              <w:ind w:left="113" w:right="879"/>
              <w:rPr>
                <w:sz w:val="22"/>
              </w:rPr>
            </w:pPr>
            <w:r>
              <w:rPr>
                <w:sz w:val="22"/>
              </w:rPr>
              <w:t>A value in the range 1–255, which designates the character.</w:t>
            </w:r>
          </w:p>
        </w:tc>
      </w:tr>
    </w:tbl>
    <w:p>
      <w:pPr>
        <w:pStyle w:val="BodyText"/>
        <w:rPr>
          <w:b/>
        </w:rPr>
      </w:pPr>
    </w:p>
    <w:p>
      <w:pPr>
        <w:pStyle w:val="BodyText"/>
        <w:spacing w:before="7"/>
        <w:rPr>
          <w:b/>
          <w:sz w:val="19"/>
        </w:rPr>
      </w:pPr>
    </w:p>
    <w:p>
      <w:pPr>
        <w:spacing w:line="453" w:lineRule="auto" w:before="0"/>
        <w:ind w:left="220" w:right="3386" w:firstLine="0"/>
        <w:jc w:val="left"/>
        <w:rPr>
          <w:sz w:val="22"/>
        </w:rPr>
      </w:pPr>
      <w:r>
        <w:rPr>
          <w:b/>
          <w:sz w:val="22"/>
        </w:rPr>
        <w:t>Return Type and Value: </w:t>
      </w:r>
      <w:r>
        <w:rPr>
          <w:sz w:val="22"/>
        </w:rPr>
        <w:t>text – The character represented by the value </w:t>
      </w:r>
      <w:r>
        <w:rPr>
          <w:rFonts w:ascii="Times New Roman" w:hAnsi="Times New Roman"/>
          <w:i/>
          <w:sz w:val="22"/>
        </w:rPr>
        <w:t>number</w:t>
      </w:r>
      <w:r>
        <w:rPr>
          <w:sz w:val="22"/>
        </w:rPr>
        <w:t>. [</w:t>
      </w:r>
      <w:r>
        <w:rPr>
          <w:i/>
          <w:sz w:val="22"/>
        </w:rPr>
        <w:t>Example</w:t>
      </w:r>
      <w:r>
        <w:rPr>
          <w:sz w:val="22"/>
        </w:rPr>
        <w:t>:</w:t>
      </w:r>
    </w:p>
    <w:p>
      <w:pPr>
        <w:pStyle w:val="BodyText"/>
        <w:spacing w:before="108"/>
        <w:ind w:left="220"/>
        <w:rPr>
          <w:rFonts w:ascii="Consolas"/>
        </w:rPr>
      </w:pPr>
      <w:r>
        <w:rPr>
          <w:rFonts w:ascii="Consolas"/>
        </w:rPr>
        <w:t>CHAR(65)</w:t>
      </w:r>
      <w:r>
        <w:rPr>
          <w:rFonts w:ascii="Consolas"/>
          <w:spacing w:val="-71"/>
        </w:rPr>
        <w:t> </w:t>
      </w:r>
      <w:r>
        <w:rPr/>
        <w:t>results in </w:t>
      </w:r>
      <w:r>
        <w:rPr>
          <w:rFonts w:ascii="Consolas"/>
        </w:rPr>
        <w:t>A</w:t>
      </w:r>
    </w:p>
    <w:p>
      <w:pPr>
        <w:pStyle w:val="BodyText"/>
        <w:spacing w:before="41"/>
        <w:ind w:left="220"/>
      </w:pPr>
      <w:r>
        <w:rPr>
          <w:rFonts w:ascii="Consolas"/>
        </w:rPr>
        <w:t>CHAR(A10)</w:t>
      </w:r>
      <w:r>
        <w:rPr>
          <w:rFonts w:ascii="Consolas"/>
          <w:spacing w:val="-75"/>
        </w:rPr>
        <w:t> </w:t>
      </w:r>
      <w:r>
        <w:rPr/>
        <w:t>results in </w:t>
      </w:r>
      <w:r>
        <w:rPr>
          <w:rFonts w:ascii="Consolas"/>
        </w:rPr>
        <w:t>A</w:t>
      </w:r>
      <w:r>
        <w:rPr/>
        <w:t>, when A10 contains 65</w:t>
      </w:r>
    </w:p>
    <w:p>
      <w:pPr>
        <w:pStyle w:val="BodyText"/>
        <w:spacing w:before="10"/>
        <w:rPr>
          <w:sz w:val="28"/>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6 CHIDIST" w:id="1500"/>
      <w:bookmarkEnd w:id="1500"/>
      <w:r>
        <w:rPr/>
      </w:r>
      <w:bookmarkStart w:name="_bookmark499" w:id="1501"/>
      <w:bookmarkEnd w:id="1501"/>
      <w:r>
        <w:rPr/>
      </w:r>
      <w:bookmarkStart w:name="_bookmark499" w:id="1502"/>
      <w:bookmarkEnd w:id="1502"/>
      <w:r>
        <w:rPr>
          <w:color w:val="4F81BC"/>
        </w:rPr>
        <w:t>C</w:t>
      </w:r>
      <w:r>
        <w:rPr>
          <w:color w:val="4F81BC"/>
        </w:rPr>
        <w:t>HIDIST</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CHIDIST ( </w:t>
      </w:r>
      <w:r>
        <w:rPr>
          <w:i/>
          <w:sz w:val="22"/>
        </w:rPr>
        <w:t>x </w:t>
      </w:r>
      <w:r>
        <w:rPr>
          <w:rFonts w:ascii="Lucida Console"/>
          <w:sz w:val="20"/>
        </w:rPr>
        <w:t>, </w:t>
      </w:r>
      <w:r>
        <w:rPr>
          <w:i/>
          <w:sz w:val="22"/>
        </w:rPr>
        <w:t>degrees-freedom </w:t>
      </w:r>
      <w:r>
        <w:rPr>
          <w:rFonts w:ascii="Lucida Console"/>
          <w:sz w:val="20"/>
        </w:rPr>
        <w:t>)</w:t>
      </w:r>
    </w:p>
    <w:p>
      <w:pPr>
        <w:pStyle w:val="BodyText"/>
        <w:spacing w:before="109"/>
        <w:ind w:left="220"/>
      </w:pPr>
      <w:r>
        <w:rPr>
          <w:b/>
        </w:rPr>
        <w:t>Description: </w:t>
      </w:r>
      <w:r>
        <w:rPr/>
        <w:t>Computes the one-tailed probability of the chi-squared distribution.</w:t>
      </w:r>
    </w:p>
    <w:p>
      <w:pPr>
        <w:pStyle w:val="BodyText"/>
        <w:spacing w:before="8"/>
        <w:rPr>
          <w:sz w:val="19"/>
        </w:rPr>
      </w:pPr>
    </w:p>
    <w:p>
      <w:pPr>
        <w:pStyle w:val="Heading4"/>
        <w:rPr>
          <w:b w:val="0"/>
        </w:rPr>
      </w:pPr>
      <w:r>
        <w:rPr/>
        <w:t>Mathematical Formula</w:t>
      </w:r>
      <w:r>
        <w:rPr>
          <w:b w:val="0"/>
        </w:rPr>
        <w:t>:</w:t>
      </w:r>
    </w:p>
    <w:p>
      <w:pPr>
        <w:pStyle w:val="BodyText"/>
        <w:spacing w:before="11"/>
        <w:rPr>
          <w:sz w:val="18"/>
        </w:rPr>
      </w:pPr>
    </w:p>
    <w:p>
      <w:pPr>
        <w:pStyle w:val="BodyText"/>
        <w:ind w:left="220"/>
        <w:jc w:val="both"/>
        <w:rPr>
          <w:rFonts w:ascii="Cambria Math" w:eastAsia="Cambria Math"/>
        </w:rPr>
      </w:pPr>
      <w:r>
        <w:rPr>
          <w:rFonts w:ascii="Cambria Math" w:eastAsia="Cambria Math"/>
        </w:rPr>
        <w:t>𝐶𝐻𝐼𝐷𝐼𝑆𝑇 = 𝑃</w:t>
      </w:r>
      <w:r>
        <w:rPr>
          <w:rFonts w:ascii="Cambria Math" w:eastAsia="Cambria Math"/>
          <w:position w:val="1"/>
        </w:rPr>
        <w:t>(</w:t>
      </w:r>
      <w:r>
        <w:rPr>
          <w:rFonts w:ascii="Cambria Math" w:eastAsia="Cambria Math"/>
        </w:rPr>
        <w:t>𝑋 &gt; 𝑥</w:t>
      </w:r>
      <w:r>
        <w:rPr>
          <w:rFonts w:ascii="Cambria Math" w:eastAsia="Cambria Math"/>
          <w:position w:val="1"/>
        </w:rPr>
        <w:t>)</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 an χ2 random</w:t>
      </w:r>
      <w:r>
        <w:rPr>
          <w:spacing w:val="-7"/>
          <w:sz w:val="22"/>
        </w:rPr>
        <w:t> </w:t>
      </w:r>
      <w:r>
        <w:rPr>
          <w:sz w:val="22"/>
        </w:rPr>
        <w:t>variable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8"/>
          <w:sz w:val="22"/>
        </w:rPr>
        <w:t> </w:t>
      </w:r>
      <w:r>
        <w:rPr>
          <w:rFonts w:ascii="Times New Roman" w:hAnsi="Times New Roman"/>
          <w:i/>
          <w:sz w:val="22"/>
        </w:rPr>
        <w:t>x</w:t>
      </w:r>
    </w:p>
    <w:p>
      <w:pPr>
        <w:pStyle w:val="BodyText"/>
        <w:rPr>
          <w:rFonts w:ascii="Times New Roman"/>
          <w:i/>
          <w:sz w:val="28"/>
        </w:rPr>
      </w:pPr>
    </w:p>
    <w:p>
      <w:pPr>
        <w:pStyle w:val="BodyText"/>
        <w:spacing w:before="3"/>
        <w:rPr>
          <w:rFonts w:ascii="Times New Roman"/>
          <w:i/>
          <w:sz w:val="37"/>
        </w:rPr>
      </w:pPr>
    </w:p>
    <w:p>
      <w:pPr>
        <w:pStyle w:val="Heading4"/>
        <w:spacing w:before="1"/>
      </w:pPr>
      <w:r>
        <w:rPr/>
        <w:t>Arguments:</w:t>
      </w:r>
    </w:p>
    <w:p>
      <w:pPr>
        <w:spacing w:after="0"/>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the distribution is to be evaluated.</w:t>
            </w:r>
          </w:p>
        </w:tc>
      </w:tr>
      <w:tr>
        <w:trPr>
          <w:trHeight w:val="623" w:hRule="atLeast"/>
        </w:trPr>
        <w:tc>
          <w:tcPr>
            <w:tcW w:w="1466" w:type="dxa"/>
          </w:tcPr>
          <w:p>
            <w:pPr>
              <w:pStyle w:val="TableParagraph"/>
              <w:spacing w:before="37"/>
              <w:ind w:right="563"/>
              <w:rPr>
                <w:rFonts w:ascii="Times New Roman"/>
                <w:i/>
                <w:sz w:val="22"/>
              </w:rPr>
            </w:pPr>
            <w:r>
              <w:rPr>
                <w:rFonts w:ascii="Times New Roman"/>
                <w:i/>
                <w:sz w:val="22"/>
              </w:rPr>
              <w:t>degrees- </w:t>
            </w:r>
            <w:r>
              <w:rPr>
                <w:rFonts w:ascii="Times New Roman"/>
                <w:i/>
                <w:sz w:val="22"/>
              </w:rPr>
              <w:t>freedom</w:t>
            </w:r>
          </w:p>
        </w:tc>
        <w:tc>
          <w:tcPr>
            <w:tcW w:w="1800" w:type="dxa"/>
          </w:tcPr>
          <w:p>
            <w:pPr>
              <w:pStyle w:val="TableParagraph"/>
              <w:ind w:left="112"/>
              <w:rPr>
                <w:sz w:val="22"/>
              </w:rPr>
            </w:pPr>
            <w:r>
              <w:rPr>
                <w:sz w:val="22"/>
              </w:rPr>
              <w:t>number</w:t>
            </w:r>
          </w:p>
        </w:tc>
        <w:tc>
          <w:tcPr>
            <w:tcW w:w="5400" w:type="dxa"/>
          </w:tcPr>
          <w:p>
            <w:pPr>
              <w:pStyle w:val="TableParagraph"/>
              <w:ind w:left="113" w:right="627"/>
              <w:rPr>
                <w:sz w:val="22"/>
              </w:rPr>
            </w:pPr>
            <w:r>
              <w:rPr>
                <w:sz w:val="22"/>
              </w:rPr>
              <w:t>The number of degrees of freedom, truncated to an integer.</w:t>
            </w:r>
          </w:p>
        </w:tc>
      </w:tr>
    </w:tbl>
    <w:p>
      <w:pPr>
        <w:pStyle w:val="BodyText"/>
        <w:rPr>
          <w:b/>
          <w:sz w:val="20"/>
        </w:rPr>
      </w:pPr>
    </w:p>
    <w:p>
      <w:pPr>
        <w:pStyle w:val="BodyText"/>
        <w:rPr>
          <w:b/>
          <w:sz w:val="17"/>
        </w:rPr>
      </w:pPr>
    </w:p>
    <w:p>
      <w:pPr>
        <w:spacing w:line="453" w:lineRule="auto" w:before="56"/>
        <w:ind w:left="220" w:right="2187" w:firstLine="0"/>
        <w:jc w:val="left"/>
        <w:rPr>
          <w:sz w:val="22"/>
        </w:rPr>
      </w:pPr>
      <w:r>
        <w:rPr>
          <w:b/>
          <w:sz w:val="22"/>
        </w:rPr>
        <w:t>Return Type and Value: </w:t>
      </w:r>
      <w:r>
        <w:rPr>
          <w:sz w:val="22"/>
        </w:rPr>
        <w:t>number – The one-tailed probability of the chi-squared distribution.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&lt;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783" w:firstLine="360"/>
        <w:jc w:val="left"/>
        <w:rPr>
          <w:sz w:val="22"/>
        </w:rPr>
      </w:pPr>
      <w:r>
        <w:rPr>
          <w:rFonts w:ascii="Times New Roman" w:hAnsi="Times New Roman"/>
          <w:i/>
          <w:sz w:val="22"/>
        </w:rPr>
        <w:t>degrees-freedom </w:t>
      </w:r>
      <w:r>
        <w:rPr>
          <w:sz w:val="22"/>
        </w:rPr>
        <w:t>&lt; 1 or </w:t>
      </w:r>
      <w:r>
        <w:rPr>
          <w:rFonts w:ascii="Times New Roman" w:hAnsi="Times New Roman"/>
          <w:i/>
          <w:sz w:val="22"/>
        </w:rPr>
        <w:t>degrees-freedom </w:t>
      </w:r>
      <w:r>
        <w:rPr>
          <w:sz w:val="22"/>
        </w:rPr>
        <w:t>&gt; 10</w:t>
      </w:r>
      <w:r>
        <w:rPr>
          <w:sz w:val="22"/>
          <w:vertAlign w:val="superscript"/>
        </w:rPr>
        <w:t>10</w:t>
      </w:r>
      <w:r>
        <w:rPr>
          <w:sz w:val="22"/>
          <w:vertAlign w:val="baseline"/>
        </w:rPr>
        <w:t>, </w:t>
      </w:r>
      <w:r>
        <w:rPr>
          <w:rFonts w:ascii="Consolas" w:hAnsi="Consolas"/>
          <w:sz w:val="22"/>
          <w:vertAlign w:val="baseline"/>
        </w:rPr>
        <w:t>#NUM!</w:t>
      </w:r>
      <w:r>
        <w:rPr>
          <w:rFonts w:ascii="Consolas" w:hAnsi="Consolas"/>
          <w:spacing w:val="-79"/>
          <w:sz w:val="22"/>
          <w:vertAlign w:val="baseline"/>
        </w:rPr>
        <w:t> </w:t>
      </w:r>
      <w:r>
        <w:rPr>
          <w:sz w:val="22"/>
          <w:vertAlign w:val="baseline"/>
        </w:rPr>
        <w:t>is returned. [</w:t>
      </w:r>
      <w:r>
        <w:rPr>
          <w:i/>
          <w:sz w:val="22"/>
          <w:vertAlign w:val="baseline"/>
        </w:rPr>
        <w:t>Example</w:t>
      </w:r>
      <w:r>
        <w:rPr>
          <w:sz w:val="22"/>
          <w:vertAlign w:val="baseline"/>
        </w:rPr>
        <w:t>:</w:t>
      </w:r>
    </w:p>
    <w:p>
      <w:pPr>
        <w:pStyle w:val="BodyText"/>
        <w:spacing w:line="273" w:lineRule="auto" w:before="128"/>
        <w:ind w:left="220" w:right="6274"/>
        <w:rPr>
          <w:rFonts w:ascii="Consolas"/>
        </w:rPr>
      </w:pPr>
      <w:r>
        <w:rPr>
          <w:rFonts w:ascii="Consolas"/>
        </w:rPr>
        <w:t>CHIDIST(3.5,4) </w:t>
      </w:r>
      <w:r>
        <w:rPr/>
        <w:t>results in </w:t>
      </w:r>
      <w:r>
        <w:rPr>
          <w:rFonts w:ascii="Consolas"/>
        </w:rPr>
        <w:t>0.47787835 CHIDIST(12.34,7)</w:t>
      </w:r>
      <w:r>
        <w:rPr>
          <w:rFonts w:ascii="Consolas"/>
          <w:spacing w:val="-85"/>
        </w:rPr>
        <w:t> </w:t>
      </w:r>
      <w:r>
        <w:rPr/>
        <w:t>results in </w:t>
      </w:r>
      <w:r>
        <w:rPr>
          <w:rFonts w:ascii="Consolas"/>
        </w:rPr>
        <w:t>0.089917721</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7 CHIINV" w:id="1503"/>
      <w:bookmarkEnd w:id="1503"/>
      <w:r>
        <w:rPr/>
      </w:r>
      <w:bookmarkStart w:name="_bookmark500" w:id="1504"/>
      <w:bookmarkEnd w:id="1504"/>
      <w:r>
        <w:rPr/>
      </w:r>
      <w:bookmarkStart w:name="_bookmark500" w:id="1505"/>
      <w:bookmarkEnd w:id="1505"/>
      <w:r>
        <w:rPr>
          <w:color w:val="4F81BC"/>
        </w:rPr>
        <w:t>C</w:t>
      </w:r>
      <w:r>
        <w:rPr>
          <w:color w:val="4F81BC"/>
        </w:rPr>
        <w:t>HIINV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CHIINV ( </w:t>
      </w:r>
      <w:r>
        <w:rPr>
          <w:i/>
          <w:sz w:val="22"/>
        </w:rPr>
        <w:t>probability </w:t>
      </w:r>
      <w:r>
        <w:rPr>
          <w:rFonts w:ascii="Lucida Console"/>
          <w:sz w:val="20"/>
        </w:rPr>
        <w:t>, </w:t>
      </w:r>
      <w:r>
        <w:rPr>
          <w:i/>
          <w:sz w:val="22"/>
        </w:rPr>
        <w:t>degrees-freedom </w:t>
      </w:r>
      <w:r>
        <w:rPr>
          <w:rFonts w:ascii="Lucida Console"/>
          <w:sz w:val="20"/>
        </w:rPr>
        <w:t>)</w:t>
      </w:r>
    </w:p>
    <w:p>
      <w:pPr>
        <w:pStyle w:val="BodyText"/>
        <w:spacing w:line="276" w:lineRule="auto" w:before="106"/>
        <w:ind w:left="220" w:right="391"/>
      </w:pPr>
      <w:r>
        <w:rPr>
          <w:b/>
        </w:rPr>
        <w:t>Description: </w:t>
      </w:r>
      <w:r>
        <w:rPr/>
        <w:t>Computes the inverse of the one-tailed probability of the chi-squared distribution. Given a value for </w:t>
      </w:r>
      <w:r>
        <w:rPr>
          <w:rFonts w:ascii="Times New Roman"/>
          <w:i/>
        </w:rPr>
        <w:t>probability</w:t>
      </w:r>
      <w:r>
        <w:rPr/>
        <w:t>,</w:t>
      </w:r>
      <w:r>
        <w:rPr>
          <w:spacing w:val="-2"/>
        </w:rPr>
        <w:t> </w:t>
      </w:r>
      <w:r>
        <w:rPr>
          <w:rFonts w:ascii="Consolas"/>
        </w:rPr>
        <w:t>CHIINV</w:t>
      </w:r>
      <w:r>
        <w:rPr>
          <w:rFonts w:ascii="Consolas"/>
          <w:spacing w:val="-68"/>
        </w:rPr>
        <w:t> </w:t>
      </w:r>
      <w:r>
        <w:rPr/>
        <w:t>seeks</w:t>
      </w:r>
      <w:r>
        <w:rPr>
          <w:spacing w:val="-2"/>
        </w:rPr>
        <w:t> </w:t>
      </w:r>
      <w:r>
        <w:rPr/>
        <w:t>for</w:t>
      </w:r>
      <w:r>
        <w:rPr>
          <w:spacing w:val="1"/>
        </w:rPr>
        <w:t> </w:t>
      </w:r>
      <w:r>
        <w:rPr/>
        <w:t>a</w:t>
      </w:r>
      <w:r>
        <w:rPr>
          <w:spacing w:val="-1"/>
        </w:rPr>
        <w:t> </w:t>
      </w:r>
      <w:r>
        <w:rPr/>
        <w:t>value</w:t>
      </w:r>
      <w:r>
        <w:rPr>
          <w:spacing w:val="-1"/>
        </w:rPr>
        <w:t> </w:t>
      </w:r>
      <w:r>
        <w:rPr>
          <w:rFonts w:ascii="Times New Roman"/>
          <w:i/>
        </w:rPr>
        <w:t>x</w:t>
      </w:r>
      <w:r>
        <w:rPr>
          <w:rFonts w:ascii="Times New Roman"/>
          <w:i/>
          <w:spacing w:val="-4"/>
        </w:rPr>
        <w:t> </w:t>
      </w:r>
      <w:r>
        <w:rPr/>
        <w:t>such</w:t>
      </w:r>
      <w:r>
        <w:rPr>
          <w:spacing w:val="-2"/>
        </w:rPr>
        <w:t> </w:t>
      </w:r>
      <w:r>
        <w:rPr/>
        <w:t>that</w:t>
      </w:r>
      <w:r>
        <w:rPr>
          <w:spacing w:val="-1"/>
        </w:rPr>
        <w:t> </w:t>
      </w:r>
      <w:r>
        <w:rPr>
          <w:rFonts w:ascii="Consolas"/>
        </w:rPr>
        <w:t>CHIDIST(</w:t>
      </w:r>
      <w:r>
        <w:rPr>
          <w:rFonts w:ascii="Times New Roman"/>
          <w:i/>
        </w:rPr>
        <w:t>x</w:t>
      </w:r>
      <w:r>
        <w:rPr>
          <w:rFonts w:ascii="Consolas"/>
        </w:rPr>
        <w:t>,</w:t>
      </w:r>
      <w:r>
        <w:rPr>
          <w:rFonts w:ascii="Consolas"/>
          <w:spacing w:val="-70"/>
        </w:rPr>
        <w:t> </w:t>
      </w:r>
      <w:r>
        <w:rPr>
          <w:rFonts w:ascii="Times New Roman"/>
          <w:i/>
        </w:rPr>
        <w:t>degrees-freedom</w:t>
      </w:r>
      <w:r>
        <w:rPr>
          <w:rFonts w:ascii="Consolas"/>
        </w:rPr>
        <w:t>)</w:t>
      </w:r>
      <w:r>
        <w:rPr>
          <w:rFonts w:ascii="Consolas"/>
          <w:spacing w:val="-69"/>
        </w:rPr>
        <w:t> </w:t>
      </w:r>
      <w:r>
        <w:rPr/>
        <w:t>=</w:t>
      </w:r>
      <w:r>
        <w:rPr>
          <w:spacing w:val="-2"/>
        </w:rPr>
        <w:t> </w:t>
      </w:r>
      <w:r>
        <w:rPr>
          <w:rFonts w:ascii="Times New Roman"/>
          <w:i/>
        </w:rPr>
        <w:t>probability</w:t>
      </w:r>
      <w:r>
        <w:rPr/>
        <w:t>.</w:t>
      </w:r>
      <w:r>
        <w:rPr>
          <w:spacing w:val="-2"/>
        </w:rPr>
        <w:t> </w:t>
      </w:r>
      <w:r>
        <w:rPr/>
        <w:t>Thus,</w:t>
      </w:r>
      <w:r>
        <w:rPr>
          <w:spacing w:val="1"/>
        </w:rPr>
        <w:t> </w:t>
      </w:r>
      <w:r>
        <w:rPr/>
        <w:t>precision of </w:t>
      </w:r>
      <w:r>
        <w:rPr>
          <w:rFonts w:ascii="Consolas"/>
        </w:rPr>
        <w:t>CHIINV</w:t>
      </w:r>
      <w:r>
        <w:rPr>
          <w:rFonts w:ascii="Consolas"/>
          <w:spacing w:val="-80"/>
        </w:rPr>
        <w:t> </w:t>
      </w:r>
      <w:r>
        <w:rPr/>
        <w:t>depends on precision of </w:t>
      </w:r>
      <w:r>
        <w:rPr>
          <w:rFonts w:ascii="Consolas"/>
        </w:rPr>
        <w:t>CHIDIST</w:t>
      </w:r>
      <w:r>
        <w:rPr/>
        <w:t>.</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ight="1223"/>
              <w:rPr>
                <w:sz w:val="22"/>
              </w:rPr>
            </w:pPr>
            <w:r>
              <w:rPr>
                <w:sz w:val="22"/>
              </w:rPr>
              <w:t>A probability associated with the chi-squared distribution.</w:t>
            </w:r>
          </w:p>
        </w:tc>
      </w:tr>
      <w:tr>
        <w:trPr>
          <w:trHeight w:val="623" w:hRule="atLeast"/>
        </w:trPr>
        <w:tc>
          <w:tcPr>
            <w:tcW w:w="1466" w:type="dxa"/>
          </w:tcPr>
          <w:p>
            <w:pPr>
              <w:pStyle w:val="TableParagraph"/>
              <w:spacing w:before="37"/>
              <w:ind w:right="563"/>
              <w:rPr>
                <w:rFonts w:ascii="Times New Roman"/>
                <w:i/>
                <w:sz w:val="22"/>
              </w:rPr>
            </w:pPr>
            <w:r>
              <w:rPr>
                <w:rFonts w:ascii="Times New Roman"/>
                <w:i/>
                <w:sz w:val="22"/>
              </w:rPr>
              <w:t>degrees- </w:t>
            </w:r>
            <w:r>
              <w:rPr>
                <w:rFonts w:ascii="Times New Roman"/>
                <w:i/>
                <w:sz w:val="22"/>
              </w:rPr>
              <w:t>freedom</w:t>
            </w:r>
          </w:p>
        </w:tc>
        <w:tc>
          <w:tcPr>
            <w:tcW w:w="1800" w:type="dxa"/>
          </w:tcPr>
          <w:p>
            <w:pPr>
              <w:pStyle w:val="TableParagraph"/>
              <w:ind w:left="112"/>
              <w:rPr>
                <w:sz w:val="22"/>
              </w:rPr>
            </w:pPr>
            <w:r>
              <w:rPr>
                <w:sz w:val="22"/>
              </w:rPr>
              <w:t>number</w:t>
            </w:r>
          </w:p>
        </w:tc>
        <w:tc>
          <w:tcPr>
            <w:tcW w:w="5400" w:type="dxa"/>
          </w:tcPr>
          <w:p>
            <w:pPr>
              <w:pStyle w:val="TableParagraph"/>
              <w:ind w:left="113" w:right="627"/>
              <w:rPr>
                <w:sz w:val="22"/>
              </w:rPr>
            </w:pPr>
            <w:r>
              <w:rPr>
                <w:sz w:val="22"/>
              </w:rPr>
              <w:t>The number of degrees of freedom, truncated to an integer.</w:t>
            </w:r>
          </w:p>
        </w:tc>
      </w:tr>
    </w:tbl>
    <w:p>
      <w:pPr>
        <w:pStyle w:val="BodyText"/>
        <w:rPr>
          <w:b/>
        </w:rPr>
      </w:pPr>
    </w:p>
    <w:p>
      <w:pPr>
        <w:pStyle w:val="BodyText"/>
        <w:spacing w:before="8"/>
        <w:rPr>
          <w:b/>
          <w:sz w:val="19"/>
        </w:rPr>
      </w:pPr>
    </w:p>
    <w:p>
      <w:pPr>
        <w:pStyle w:val="BodyText"/>
        <w:spacing w:line="453" w:lineRule="auto"/>
        <w:ind w:left="220" w:right="909"/>
      </w:pPr>
      <w:r>
        <w:rPr>
          <w:b/>
        </w:rPr>
        <w:t>Return Type and Value: </w:t>
      </w:r>
      <w:r>
        <w:rPr/>
        <w:t>number – The inverse of the one-tailed probability of the chi-squared distribution.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probability </w:t>
      </w:r>
      <w:r>
        <w:rPr>
          <w:sz w:val="22"/>
        </w:rPr>
        <w:t>&lt; 0 or </w:t>
      </w:r>
      <w:r>
        <w:rPr>
          <w:rFonts w:ascii="Times New Roman" w:hAnsi="Times New Roman"/>
          <w:i/>
          <w:sz w:val="22"/>
        </w:rPr>
        <w:t>probability </w:t>
      </w:r>
      <w:r>
        <w:rPr>
          <w:sz w:val="22"/>
        </w:rPr>
        <w:t>&gt; 1, </w:t>
      </w:r>
      <w:r>
        <w:rPr>
          <w:rFonts w:ascii="Consolas" w:hAnsi="Consolas"/>
          <w:sz w:val="22"/>
        </w:rPr>
        <w:t>#NUM!</w:t>
      </w:r>
      <w:r>
        <w:rPr>
          <w:rFonts w:ascii="Consolas" w:hAnsi="Consolas"/>
          <w:spacing w:val="-80"/>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degrees-freedom </w:t>
      </w:r>
      <w:r>
        <w:rPr>
          <w:sz w:val="22"/>
        </w:rPr>
        <w:t>&lt; 1 or </w:t>
      </w:r>
      <w:r>
        <w:rPr>
          <w:rFonts w:ascii="Times New Roman" w:hAnsi="Times New Roman"/>
          <w:i/>
          <w:sz w:val="22"/>
        </w:rPr>
        <w:t>degrees-freedom </w:t>
      </w:r>
      <w:r>
        <w:rPr>
          <w:sz w:val="22"/>
        </w:rPr>
        <w:t>≥ 10</w:t>
      </w:r>
      <w:r>
        <w:rPr>
          <w:sz w:val="22"/>
          <w:vertAlign w:val="superscript"/>
        </w:rPr>
        <w:t>10</w:t>
      </w:r>
      <w:r>
        <w:rPr>
          <w:sz w:val="22"/>
          <w:vertAlign w:val="baseline"/>
        </w:rPr>
        <w:t>, </w:t>
      </w:r>
      <w:r>
        <w:rPr>
          <w:rFonts w:ascii="Consolas" w:hAnsi="Consolas"/>
          <w:sz w:val="22"/>
          <w:vertAlign w:val="baseline"/>
        </w:rPr>
        <w:t>#NUM!</w:t>
      </w:r>
      <w:r>
        <w:rPr>
          <w:rFonts w:ascii="Consolas" w:hAnsi="Consolas"/>
          <w:spacing w:val="-85"/>
          <w:sz w:val="22"/>
          <w:vertAlign w:val="baseline"/>
        </w:rPr>
        <w:t> </w:t>
      </w:r>
      <w:r>
        <w:rPr>
          <w:sz w:val="22"/>
          <w:vertAlign w:val="baseline"/>
        </w:rPr>
        <w:t>is returned.</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sz w:val="22"/>
        </w:rPr>
        <w:t>the implementation determines that a return value cannot be computed, </w:t>
      </w:r>
      <w:r>
        <w:rPr>
          <w:rFonts w:ascii="Consolas" w:hAnsi="Consolas"/>
          <w:sz w:val="22"/>
        </w:rPr>
        <w:t>#N/A</w:t>
      </w:r>
      <w:r>
        <w:rPr>
          <w:rFonts w:ascii="Consolas" w:hAnsi="Consolas"/>
          <w:spacing w:val="-86"/>
          <w:sz w:val="22"/>
        </w:rPr>
        <w:t> </w:t>
      </w:r>
      <w:r>
        <w:rPr>
          <w:sz w:val="22"/>
        </w:rPr>
        <w:t>is returned</w:t>
      </w:r>
    </w:p>
    <w:p>
      <w:pPr>
        <w:spacing w:after="0" w:line="240" w:lineRule="auto"/>
        <w:jc w:val="left"/>
        <w:rPr>
          <w:sz w:val="22"/>
        </w:rPr>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before="1"/>
        <w:ind w:left="220" w:right="6552"/>
        <w:rPr>
          <w:rFonts w:ascii="Consolas"/>
        </w:rPr>
      </w:pPr>
      <w:r>
        <w:rPr>
          <w:rFonts w:ascii="Consolas"/>
        </w:rPr>
        <w:t>CHIINV(0.5,4) </w:t>
      </w:r>
      <w:r>
        <w:rPr/>
        <w:t>results in </w:t>
      </w:r>
      <w:r>
        <w:rPr>
          <w:rFonts w:ascii="Consolas"/>
        </w:rPr>
        <w:t>3.356694001 CHIINV(0.3,7) </w:t>
      </w:r>
      <w:r>
        <w:rPr/>
        <w:t>results in </w:t>
      </w:r>
      <w:r>
        <w:rPr>
          <w:rFonts w:ascii="Consolas"/>
        </w:rPr>
        <w:t>8.38343064</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8 CHITEST" w:id="1506"/>
      <w:bookmarkEnd w:id="1506"/>
      <w:r>
        <w:rPr/>
      </w:r>
      <w:bookmarkStart w:name="_bookmark501" w:id="1507"/>
      <w:bookmarkEnd w:id="1507"/>
      <w:r>
        <w:rPr/>
      </w:r>
      <w:bookmarkStart w:name="_bookmark501" w:id="1508"/>
      <w:bookmarkEnd w:id="1508"/>
      <w:r>
        <w:rPr>
          <w:color w:val="4F81BC"/>
        </w:rPr>
        <w:t>C</w:t>
      </w:r>
      <w:r>
        <w:rPr>
          <w:color w:val="4F81BC"/>
        </w:rPr>
        <w:t>HITEST</w:t>
      </w:r>
    </w:p>
    <w:p>
      <w:pPr>
        <w:pStyle w:val="Heading4"/>
        <w:spacing w:before="121"/>
        <w:rPr>
          <w:b w:val="0"/>
        </w:rPr>
      </w:pPr>
      <w:r>
        <w:rPr/>
        <w:t>Syntax</w:t>
      </w:r>
      <w:r>
        <w:rPr>
          <w:b w:val="0"/>
        </w:rPr>
        <w:t>:</w:t>
      </w:r>
    </w:p>
    <w:p>
      <w:pPr>
        <w:pStyle w:val="BodyText"/>
        <w:spacing w:before="4"/>
        <w:rPr>
          <w:sz w:val="19"/>
        </w:rPr>
      </w:pPr>
    </w:p>
    <w:p>
      <w:pPr>
        <w:spacing w:before="0"/>
        <w:ind w:left="940" w:right="0" w:firstLine="0"/>
        <w:jc w:val="left"/>
        <w:rPr>
          <w:rFonts w:ascii="Lucida Console"/>
          <w:sz w:val="20"/>
        </w:rPr>
      </w:pPr>
      <w:r>
        <w:rPr>
          <w:rFonts w:ascii="Lucida Console"/>
          <w:sz w:val="20"/>
        </w:rPr>
        <w:t>CHITEST ( </w:t>
      </w:r>
      <w:r>
        <w:rPr>
          <w:i/>
          <w:sz w:val="22"/>
        </w:rPr>
        <w:t>actual-range </w:t>
      </w:r>
      <w:r>
        <w:rPr>
          <w:rFonts w:ascii="Lucida Console"/>
          <w:sz w:val="20"/>
        </w:rPr>
        <w:t>, </w:t>
      </w:r>
      <w:r>
        <w:rPr>
          <w:i/>
          <w:sz w:val="22"/>
        </w:rPr>
        <w:t>expected-range </w:t>
      </w:r>
      <w:r>
        <w:rPr>
          <w:rFonts w:ascii="Lucida Console"/>
          <w:sz w:val="20"/>
        </w:rPr>
        <w:t>)</w:t>
      </w:r>
    </w:p>
    <w:p>
      <w:pPr>
        <w:pStyle w:val="BodyText"/>
        <w:spacing w:line="278" w:lineRule="auto" w:before="106"/>
        <w:ind w:left="220" w:right="440"/>
      </w:pPr>
      <w:r>
        <w:rPr>
          <w:b/>
        </w:rPr>
        <w:t>Description: </w:t>
      </w:r>
      <w:r>
        <w:rPr/>
        <w:t>Computes the test for independence. </w:t>
      </w:r>
      <w:r>
        <w:rPr>
          <w:rFonts w:ascii="Consolas"/>
        </w:rPr>
        <w:t>CHITEST</w:t>
      </w:r>
      <w:r>
        <w:rPr>
          <w:rFonts w:ascii="Consolas"/>
          <w:spacing w:val="-71"/>
        </w:rPr>
        <w:t> </w:t>
      </w:r>
      <w:r>
        <w:rPr/>
        <w:t>returns the value from the chi-squared distribution for the statistic and the appropriate degrees of freedom.</w:t>
      </w:r>
    </w:p>
    <w:p>
      <w:pPr>
        <w:pStyle w:val="Heading4"/>
        <w:spacing w:before="196"/>
        <w:rPr>
          <w:b w:val="0"/>
        </w:rPr>
      </w:pPr>
      <w:r>
        <w:rPr/>
        <w:t>Mathematical Formula</w:t>
      </w:r>
      <w:r>
        <w:rPr>
          <w:b w:val="0"/>
        </w:rPr>
        <w:t>:</w:t>
      </w:r>
    </w:p>
    <w:p>
      <w:pPr>
        <w:pStyle w:val="BodyText"/>
        <w:spacing w:before="8"/>
        <w:rPr>
          <w:sz w:val="19"/>
        </w:rPr>
      </w:pPr>
    </w:p>
    <w:p>
      <w:pPr>
        <w:pStyle w:val="BodyText"/>
        <w:ind w:left="220"/>
      </w:pPr>
      <w:r>
        <w:rPr/>
        <w:t>The χ2 test first calculates a χ2 statistic using the formula:</w:t>
      </w:r>
    </w:p>
    <w:p>
      <w:pPr>
        <w:pStyle w:val="BodyText"/>
        <w:spacing w:before="6"/>
        <w:rPr>
          <w:sz w:val="11"/>
        </w:rPr>
      </w:pPr>
    </w:p>
    <w:p>
      <w:pPr>
        <w:tabs>
          <w:tab w:pos="1218" w:val="left" w:leader="none"/>
          <w:tab w:pos="2459" w:val="left" w:leader="none"/>
        </w:tabs>
        <w:spacing w:line="134" w:lineRule="exact" w:before="73"/>
        <w:ind w:left="887" w:right="0" w:firstLine="0"/>
        <w:jc w:val="left"/>
        <w:rPr>
          <w:rFonts w:ascii="Cambria Math" w:eastAsia="Cambria Math"/>
          <w:sz w:val="16"/>
        </w:rPr>
      </w:pPr>
      <w:r>
        <w:rPr>
          <w:rFonts w:ascii="Cambria Math" w:eastAsia="Cambria Math"/>
          <w:w w:val="110"/>
          <w:position w:val="1"/>
          <w:sz w:val="16"/>
        </w:rPr>
        <w:t>𝑟</w:t>
        <w:tab/>
        <w:t>𝑐</w:t>
        <w:tab/>
      </w:r>
      <w:r>
        <w:rPr>
          <w:rFonts w:ascii="Cambria Math" w:eastAsia="Cambria Math"/>
          <w:w w:val="110"/>
          <w:sz w:val="16"/>
        </w:rPr>
        <w:t>2</w:t>
      </w:r>
    </w:p>
    <w:p>
      <w:pPr>
        <w:pStyle w:val="BodyText"/>
        <w:spacing w:line="177" w:lineRule="auto"/>
        <w:ind w:left="220"/>
        <w:rPr>
          <w:rFonts w:ascii="Cambria Math" w:hAnsi="Cambria Math" w:eastAsia="Cambria Math"/>
        </w:rPr>
      </w:pPr>
      <w:r>
        <w:rPr/>
        <w:pict>
          <v:line style="position:absolute;mso-position-horizontal-relative:page;mso-position-vertical-relative:paragraph;z-index:-335896576" from="115.099998pt,15.484099pt" to="171.019998pt,15.484099pt" stroked="true" strokeweight=".72pt" strokecolor="#000000">
            <v:stroke dashstyle="solid"/>
            <w10:wrap type="none"/>
          </v:line>
        </w:pict>
      </w:r>
      <w:r>
        <w:rPr>
          <w:rFonts w:ascii="Cambria Math" w:hAnsi="Cambria Math" w:eastAsia="Cambria Math"/>
          <w:w w:val="115"/>
          <w:position w:val="-16"/>
        </w:rPr>
        <w:t>𝑥</w:t>
      </w:r>
      <w:r>
        <w:rPr>
          <w:rFonts w:ascii="Cambria Math" w:hAnsi="Cambria Math" w:eastAsia="Cambria Math"/>
          <w:w w:val="115"/>
          <w:position w:val="-8"/>
          <w:sz w:val="16"/>
        </w:rPr>
        <w:t>2 </w:t>
      </w:r>
      <w:r>
        <w:rPr>
          <w:rFonts w:ascii="Cambria Math" w:hAnsi="Cambria Math" w:eastAsia="Cambria Math"/>
          <w:w w:val="115"/>
          <w:position w:val="-16"/>
        </w:rPr>
        <w:t>= </w:t>
      </w:r>
      <w:r>
        <w:rPr>
          <w:rFonts w:ascii="Cambria Math" w:hAnsi="Cambria Math" w:eastAsia="Cambria Math"/>
          <w:w w:val="165"/>
          <w:position w:val="-16"/>
        </w:rPr>
        <w:t>∑ ∑ </w:t>
      </w:r>
      <w:r>
        <w:rPr>
          <w:rFonts w:ascii="Cambria Math" w:hAnsi="Cambria Math" w:eastAsia="Cambria Math"/>
          <w:w w:val="115"/>
        </w:rPr>
        <w:t>(𝐴</w:t>
      </w:r>
      <w:r>
        <w:rPr>
          <w:rFonts w:ascii="Cambria Math" w:hAnsi="Cambria Math" w:eastAsia="Cambria Math"/>
          <w:w w:val="115"/>
          <w:vertAlign w:val="subscript"/>
        </w:rPr>
        <w:t>𝑖𝑗</w:t>
      </w:r>
      <w:r>
        <w:rPr>
          <w:rFonts w:ascii="Cambria Math" w:hAnsi="Cambria Math" w:eastAsia="Cambria Math"/>
          <w:w w:val="115"/>
          <w:vertAlign w:val="baseline"/>
        </w:rPr>
        <w:t> − 𝐸</w:t>
      </w:r>
      <w:r>
        <w:rPr>
          <w:rFonts w:ascii="Cambria Math" w:hAnsi="Cambria Math" w:eastAsia="Cambria Math"/>
          <w:w w:val="115"/>
          <w:vertAlign w:val="subscript"/>
        </w:rPr>
        <w:t>𝑖𝑗</w:t>
      </w:r>
      <w:r>
        <w:rPr>
          <w:rFonts w:ascii="Cambria Math" w:hAnsi="Cambria Math" w:eastAsia="Cambria Math"/>
          <w:w w:val="115"/>
          <w:vertAlign w:val="baseline"/>
        </w:rPr>
        <w:t>)</w:t>
      </w:r>
    </w:p>
    <w:p>
      <w:pPr>
        <w:spacing w:line="167" w:lineRule="exact" w:before="0"/>
        <w:ind w:left="1866" w:right="0" w:firstLine="0"/>
        <w:jc w:val="left"/>
        <w:rPr>
          <w:rFonts w:ascii="Cambria Math" w:eastAsia="Cambria Math"/>
          <w:sz w:val="16"/>
        </w:rPr>
      </w:pPr>
      <w:r>
        <w:rPr>
          <w:rFonts w:ascii="Cambria Math" w:eastAsia="Cambria Math"/>
          <w:w w:val="115"/>
          <w:position w:val="5"/>
          <w:sz w:val="22"/>
        </w:rPr>
        <w:t>𝐸</w:t>
      </w:r>
      <w:r>
        <w:rPr>
          <w:rFonts w:ascii="Cambria Math" w:eastAsia="Cambria Math"/>
          <w:w w:val="115"/>
          <w:sz w:val="16"/>
        </w:rPr>
        <w:t>𝑖𝑗</w:t>
      </w:r>
    </w:p>
    <w:p>
      <w:pPr>
        <w:spacing w:line="136" w:lineRule="exact" w:before="0"/>
        <w:ind w:left="796" w:right="0" w:firstLine="0"/>
        <w:jc w:val="left"/>
        <w:rPr>
          <w:rFonts w:ascii="Cambria Math" w:eastAsia="Cambria Math"/>
          <w:sz w:val="16"/>
        </w:rPr>
      </w:pPr>
      <w:r>
        <w:rPr>
          <w:rFonts w:ascii="Cambria Math" w:eastAsia="Cambria Math"/>
          <w:w w:val="110"/>
          <w:sz w:val="16"/>
        </w:rPr>
        <w:t>𝑖=1 𝑗=1</w:t>
      </w:r>
    </w:p>
    <w:p>
      <w:pPr>
        <w:pStyle w:val="BodyText"/>
        <w:rPr>
          <w:rFonts w:ascii="Cambria Math"/>
          <w:sz w:val="15"/>
        </w:rPr>
      </w:pPr>
    </w:p>
    <w:p>
      <w:pPr>
        <w:pStyle w:val="BodyText"/>
        <w:spacing w:before="56"/>
        <w:ind w:left="220"/>
      </w:pPr>
      <w:r>
        <w:rPr/>
        <w:t>where:</w:t>
      </w:r>
    </w:p>
    <w:p>
      <w:pPr>
        <w:pStyle w:val="BodyText"/>
        <w:spacing w:before="4"/>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Cambria Math" w:hAnsi="Cambria Math"/>
          <w:sz w:val="22"/>
        </w:rPr>
        <w:t>A</w:t>
      </w:r>
      <w:r>
        <w:rPr>
          <w:rFonts w:ascii="Cambria Math" w:hAnsi="Cambria Math"/>
          <w:position w:val="-4"/>
          <w:sz w:val="16"/>
        </w:rPr>
        <w:t>ij  </w:t>
      </w:r>
      <w:r>
        <w:rPr>
          <w:sz w:val="22"/>
        </w:rPr>
        <w:t>= actual frequency in the i-th row, j-th column of the argument</w:t>
      </w:r>
      <w:r>
        <w:rPr>
          <w:spacing w:val="-14"/>
          <w:sz w:val="22"/>
        </w:rPr>
        <w:t> </w:t>
      </w:r>
      <w:r>
        <w:rPr>
          <w:rFonts w:ascii="Times New Roman" w:hAnsi="Times New Roman"/>
          <w:i/>
          <w:sz w:val="22"/>
        </w:rPr>
        <w:t>actual-range</w:t>
      </w:r>
    </w:p>
    <w:p>
      <w:pPr>
        <w:pStyle w:val="ListParagraph"/>
        <w:numPr>
          <w:ilvl w:val="4"/>
          <w:numId w:val="66"/>
        </w:numPr>
        <w:tabs>
          <w:tab w:pos="940" w:val="left" w:leader="none"/>
          <w:tab w:pos="941" w:val="left" w:leader="none"/>
        </w:tabs>
        <w:spacing w:line="240" w:lineRule="auto" w:before="37" w:after="0"/>
        <w:ind w:left="940" w:right="0" w:hanging="361"/>
        <w:jc w:val="left"/>
        <w:rPr>
          <w:sz w:val="22"/>
        </w:rPr>
      </w:pPr>
      <w:r>
        <w:rPr>
          <w:rFonts w:ascii="Times New Roman" w:hAnsi="Times New Roman"/>
          <w:i/>
          <w:sz w:val="22"/>
        </w:rPr>
        <w:t>c </w:t>
      </w:r>
      <w:r>
        <w:rPr>
          <w:sz w:val="22"/>
        </w:rPr>
        <w:t>= number of columns in argument </w:t>
      </w:r>
      <w:r>
        <w:rPr>
          <w:rFonts w:ascii="Times New Roman" w:hAnsi="Times New Roman"/>
          <w:i/>
          <w:sz w:val="22"/>
        </w:rPr>
        <w:t>actual-range </w:t>
      </w:r>
      <w:r>
        <w:rPr>
          <w:sz w:val="22"/>
        </w:rPr>
        <w:t>(or argument</w:t>
      </w:r>
      <w:r>
        <w:rPr>
          <w:spacing w:val="-27"/>
          <w:sz w:val="22"/>
        </w:rPr>
        <w:t> </w:t>
      </w:r>
      <w:r>
        <w:rPr>
          <w:rFonts w:ascii="Times New Roman" w:hAnsi="Times New Roman"/>
          <w:i/>
          <w:sz w:val="22"/>
        </w:rPr>
        <w:t>expected-range</w:t>
      </w:r>
      <w:r>
        <w:rPr>
          <w:sz w:val="22"/>
        </w:rPr>
        <w:t>)</w:t>
      </w:r>
    </w:p>
    <w:p>
      <w:pPr>
        <w:pStyle w:val="ListParagraph"/>
        <w:numPr>
          <w:ilvl w:val="4"/>
          <w:numId w:val="66"/>
        </w:numPr>
        <w:tabs>
          <w:tab w:pos="940" w:val="left" w:leader="none"/>
          <w:tab w:pos="941" w:val="left" w:leader="none"/>
        </w:tabs>
        <w:spacing w:line="240" w:lineRule="auto" w:before="37" w:after="0"/>
        <w:ind w:left="940" w:right="0" w:hanging="361"/>
        <w:jc w:val="left"/>
        <w:rPr>
          <w:rFonts w:ascii="Times New Roman" w:hAnsi="Times New Roman"/>
          <w:i/>
          <w:sz w:val="22"/>
        </w:rPr>
      </w:pPr>
      <w:r>
        <w:rPr>
          <w:rFonts w:ascii="Cambria Math" w:hAnsi="Cambria Math"/>
          <w:sz w:val="22"/>
        </w:rPr>
        <w:t>E</w:t>
      </w:r>
      <w:r>
        <w:rPr>
          <w:rFonts w:ascii="Cambria Math" w:hAnsi="Cambria Math"/>
          <w:position w:val="-4"/>
          <w:sz w:val="16"/>
        </w:rPr>
        <w:t>ij </w:t>
      </w:r>
      <w:r>
        <w:rPr>
          <w:sz w:val="22"/>
        </w:rPr>
        <w:t>= expected frequency in the i-th row, j-th column of the argument</w:t>
      </w:r>
      <w:r>
        <w:rPr>
          <w:spacing w:val="-20"/>
          <w:sz w:val="22"/>
        </w:rPr>
        <w:t> </w:t>
      </w:r>
      <w:r>
        <w:rPr>
          <w:rFonts w:ascii="Times New Roman" w:hAnsi="Times New Roman"/>
          <w:i/>
          <w:sz w:val="22"/>
        </w:rPr>
        <w:t>expected-range</w:t>
      </w:r>
    </w:p>
    <w:p>
      <w:pPr>
        <w:pStyle w:val="ListParagraph"/>
        <w:numPr>
          <w:ilvl w:val="4"/>
          <w:numId w:val="66"/>
        </w:numPr>
        <w:tabs>
          <w:tab w:pos="940" w:val="left" w:leader="none"/>
          <w:tab w:pos="941" w:val="left" w:leader="none"/>
        </w:tabs>
        <w:spacing w:line="240" w:lineRule="auto" w:before="36" w:after="0"/>
        <w:ind w:left="940" w:right="0" w:hanging="361"/>
        <w:jc w:val="left"/>
        <w:rPr>
          <w:sz w:val="22"/>
        </w:rPr>
      </w:pPr>
      <w:r>
        <w:rPr>
          <w:rFonts w:ascii="Times New Roman" w:hAnsi="Times New Roman"/>
          <w:i/>
          <w:sz w:val="22"/>
        </w:rPr>
        <w:t>r </w:t>
      </w:r>
      <w:r>
        <w:rPr>
          <w:sz w:val="22"/>
        </w:rPr>
        <w:t>= number or rows in argument </w:t>
      </w:r>
      <w:r>
        <w:rPr>
          <w:rFonts w:ascii="Times New Roman" w:hAnsi="Times New Roman"/>
          <w:i/>
          <w:sz w:val="22"/>
        </w:rPr>
        <w:t>actual-range </w:t>
      </w:r>
      <w:r>
        <w:rPr>
          <w:sz w:val="22"/>
        </w:rPr>
        <w:t>(or argument</w:t>
      </w:r>
      <w:r>
        <w:rPr>
          <w:spacing w:val="-20"/>
          <w:sz w:val="22"/>
        </w:rPr>
        <w:t> </w:t>
      </w:r>
      <w:r>
        <w:rPr>
          <w:rFonts w:ascii="Times New Roman" w:hAnsi="Times New Roman"/>
          <w:i/>
          <w:sz w:val="22"/>
        </w:rPr>
        <w:t>expected-range</w:t>
      </w:r>
      <w:r>
        <w:rPr>
          <w:sz w:val="22"/>
        </w:rPr>
        <w:t>)</w:t>
      </w:r>
    </w:p>
    <w:p>
      <w:pPr>
        <w:pStyle w:val="BodyText"/>
        <w:spacing w:line="278" w:lineRule="auto" w:before="240"/>
        <w:ind w:left="220" w:right="503"/>
      </w:pPr>
      <w:r>
        <w:rPr>
          <w:rFonts w:ascii="Consolas" w:hAnsi="Consolas"/>
        </w:rPr>
        <w:t>CHITEST</w:t>
      </w:r>
      <w:r>
        <w:rPr>
          <w:rFonts w:ascii="Consolas" w:hAnsi="Consolas"/>
          <w:spacing w:val="-103"/>
        </w:rPr>
        <w:t> </w:t>
      </w:r>
      <w:r>
        <w:rPr/>
        <w:t>uses the χ2 distribution with an appropriate number of degrees of freedom, df. If r &gt; 1 and c &gt; 1, then df = (r - 1)(c - 1). If r = 1 and c &gt; 1, then df = c - 1 or if r &gt; 1 and c = 1, then df = r - 1.</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25" w:right="109"/>
              <w:jc w:val="center"/>
              <w:rPr>
                <w:rFonts w:ascii="Times New Roman"/>
                <w:i/>
                <w:sz w:val="22"/>
              </w:rPr>
            </w:pPr>
            <w:r>
              <w:rPr>
                <w:rFonts w:ascii="Times New Roman"/>
                <w:i/>
                <w:sz w:val="22"/>
              </w:rPr>
              <w:t>actual-range</w:t>
            </w:r>
          </w:p>
        </w:tc>
        <w:tc>
          <w:tcPr>
            <w:tcW w:w="1800" w:type="dxa"/>
          </w:tcPr>
          <w:p>
            <w:pPr>
              <w:pStyle w:val="TableParagraph"/>
              <w:ind w:left="112"/>
              <w:rPr>
                <w:sz w:val="22"/>
              </w:rPr>
            </w:pPr>
            <w:r>
              <w:rPr>
                <w:sz w:val="22"/>
              </w:rPr>
              <w:t>reference</w:t>
            </w:r>
          </w:p>
        </w:tc>
        <w:tc>
          <w:tcPr>
            <w:tcW w:w="5400" w:type="dxa"/>
          </w:tcPr>
          <w:p>
            <w:pPr>
              <w:pStyle w:val="TableParagraph"/>
              <w:ind w:left="113" w:right="625"/>
              <w:rPr>
                <w:sz w:val="22"/>
              </w:rPr>
            </w:pPr>
            <w:r>
              <w:rPr>
                <w:sz w:val="22"/>
              </w:rPr>
              <w:t>The range of data that contains observations to test against expected values.</w:t>
            </w:r>
          </w:p>
        </w:tc>
      </w:tr>
      <w:tr>
        <w:trPr>
          <w:trHeight w:val="624" w:hRule="atLeast"/>
        </w:trPr>
        <w:tc>
          <w:tcPr>
            <w:tcW w:w="1466" w:type="dxa"/>
          </w:tcPr>
          <w:p>
            <w:pPr>
              <w:pStyle w:val="TableParagraph"/>
              <w:spacing w:before="37"/>
              <w:ind w:right="478"/>
              <w:rPr>
                <w:rFonts w:ascii="Times New Roman"/>
                <w:i/>
                <w:sz w:val="22"/>
              </w:rPr>
            </w:pPr>
            <w:r>
              <w:rPr>
                <w:rFonts w:ascii="Times New Roman"/>
                <w:i/>
                <w:sz w:val="22"/>
              </w:rPr>
              <w:t>expected- </w:t>
            </w:r>
            <w:r>
              <w:rPr>
                <w:rFonts w:ascii="Times New Roman"/>
                <w:i/>
                <w:sz w:val="22"/>
              </w:rPr>
              <w:t>range</w:t>
            </w:r>
          </w:p>
        </w:tc>
        <w:tc>
          <w:tcPr>
            <w:tcW w:w="1800" w:type="dxa"/>
          </w:tcPr>
          <w:p>
            <w:pPr>
              <w:pStyle w:val="TableParagraph"/>
              <w:ind w:left="112"/>
              <w:rPr>
                <w:sz w:val="22"/>
              </w:rPr>
            </w:pPr>
            <w:r>
              <w:rPr>
                <w:sz w:val="22"/>
              </w:rPr>
              <w:t>reference</w:t>
            </w:r>
          </w:p>
        </w:tc>
        <w:tc>
          <w:tcPr>
            <w:tcW w:w="5400" w:type="dxa"/>
          </w:tcPr>
          <w:p>
            <w:pPr>
              <w:pStyle w:val="TableParagraph"/>
              <w:ind w:left="113" w:right="300"/>
              <w:rPr>
                <w:sz w:val="22"/>
              </w:rPr>
            </w:pPr>
            <w:r>
              <w:rPr>
                <w:sz w:val="22"/>
              </w:rPr>
              <w:t>The range of data that contains the ratio of the product of row totals and column totals to the grand total.</w:t>
            </w:r>
          </w:p>
        </w:tc>
      </w:tr>
    </w:tbl>
    <w:p>
      <w:pPr>
        <w:pStyle w:val="BodyText"/>
        <w:rPr>
          <w:b/>
        </w:rPr>
      </w:pPr>
    </w:p>
    <w:p>
      <w:pPr>
        <w:pStyle w:val="BodyText"/>
        <w:spacing w:before="5"/>
        <w:rPr>
          <w:b/>
          <w:sz w:val="19"/>
        </w:rPr>
      </w:pPr>
    </w:p>
    <w:p>
      <w:pPr>
        <w:pStyle w:val="BodyText"/>
        <w:spacing w:line="276" w:lineRule="auto"/>
        <w:ind w:left="220" w:right="1307"/>
      </w:pPr>
      <w:r>
        <w:rPr>
          <w:b/>
        </w:rPr>
        <w:t>Return Type and Value: </w:t>
      </w:r>
      <w:r>
        <w:rPr/>
        <w:t>number – The value from the chi-squared distribution for the statistic and the appropriate degrees of freedom.</w:t>
      </w:r>
    </w:p>
    <w:p>
      <w:pPr>
        <w:pStyle w:val="BodyText"/>
        <w:spacing w:before="5"/>
        <w:rPr>
          <w:sz w:val="16"/>
        </w:rPr>
      </w:pPr>
    </w:p>
    <w:p>
      <w:pPr>
        <w:pStyle w:val="BodyText"/>
        <w:ind w:left="220"/>
      </w:pPr>
      <w:r>
        <w:rPr/>
        <w:t>However, if:</w:t>
      </w:r>
    </w:p>
    <w:p>
      <w:pPr>
        <w:spacing w:after="0"/>
        <w:sectPr>
          <w:pgSz w:w="12240" w:h="15840"/>
          <w:pgMar w:header="763" w:footer="746" w:top="1340" w:bottom="940" w:left="860" w:right="700"/>
        </w:sectPr>
      </w:pPr>
    </w:p>
    <w:p>
      <w:pPr>
        <w:pStyle w:val="ListParagraph"/>
        <w:numPr>
          <w:ilvl w:val="4"/>
          <w:numId w:val="66"/>
        </w:numPr>
        <w:tabs>
          <w:tab w:pos="940" w:val="left" w:leader="none"/>
          <w:tab w:pos="941" w:val="left" w:leader="none"/>
        </w:tabs>
        <w:spacing w:line="240" w:lineRule="auto" w:before="91" w:after="0"/>
        <w:ind w:left="940" w:right="0" w:hanging="361"/>
        <w:jc w:val="left"/>
        <w:rPr>
          <w:sz w:val="22"/>
        </w:rPr>
      </w:pPr>
      <w:r>
        <w:rPr>
          <w:sz w:val="22"/>
        </w:rPr>
        <w:t>The number of rows and columns is exactly one, the return value is</w:t>
      </w:r>
      <w:r>
        <w:rPr>
          <w:spacing w:val="-12"/>
          <w:sz w:val="22"/>
        </w:rPr>
        <w:t> </w:t>
      </w:r>
      <w:r>
        <w:rPr>
          <w:sz w:val="22"/>
        </w:rPr>
        <w:t>unspecified.</w:t>
      </w:r>
    </w:p>
    <w:p>
      <w:pPr>
        <w:pStyle w:val="ListParagraph"/>
        <w:numPr>
          <w:ilvl w:val="4"/>
          <w:numId w:val="66"/>
        </w:numPr>
        <w:tabs>
          <w:tab w:pos="940" w:val="left" w:leader="none"/>
          <w:tab w:pos="941" w:val="left" w:leader="none"/>
        </w:tabs>
        <w:spacing w:line="446" w:lineRule="auto" w:before="41" w:after="19"/>
        <w:ind w:left="220" w:right="1635" w:firstLine="360"/>
        <w:jc w:val="left"/>
        <w:rPr>
          <w:sz w:val="22"/>
        </w:rPr>
      </w:pPr>
      <w:r>
        <w:rPr>
          <w:rFonts w:ascii="Times New Roman" w:hAnsi="Times New Roman"/>
          <w:i/>
          <w:sz w:val="22"/>
        </w:rPr>
        <w:t>actual-range </w:t>
      </w:r>
      <w:r>
        <w:rPr>
          <w:sz w:val="22"/>
        </w:rPr>
        <w:t>and </w:t>
      </w:r>
      <w:r>
        <w:rPr>
          <w:rFonts w:ascii="Times New Roman" w:hAnsi="Times New Roman"/>
          <w:i/>
          <w:sz w:val="22"/>
        </w:rPr>
        <w:t>expected-range </w:t>
      </w:r>
      <w:r>
        <w:rPr>
          <w:sz w:val="22"/>
        </w:rPr>
        <w:t>have a different number of data points, #N/A is</w:t>
      </w:r>
      <w:r>
        <w:rPr>
          <w:spacing w:val="-29"/>
          <w:sz w:val="22"/>
        </w:rPr>
        <w:t> </w:t>
      </w:r>
      <w:r>
        <w:rPr>
          <w:sz w:val="22"/>
        </w:rPr>
        <w:t>returned. [</w:t>
      </w:r>
      <w:r>
        <w:rPr>
          <w:i/>
          <w:sz w:val="22"/>
        </w:rPr>
        <w:t>Example</w:t>
      </w:r>
      <w:r>
        <w:rPr>
          <w:sz w:val="22"/>
        </w:rPr>
        <w:t>: Given the following</w:t>
      </w:r>
      <w:r>
        <w:rPr>
          <w:spacing w:val="-6"/>
          <w:sz w:val="22"/>
        </w:rPr>
        <w:t> </w:t>
      </w:r>
      <w:r>
        <w:rPr>
          <w:sz w:val="22"/>
        </w:rPr>
        <w:t>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718"/>
        <w:gridCol w:w="1800"/>
        <w:gridCol w:w="1913"/>
      </w:tblGrid>
      <w:tr>
        <w:trPr>
          <w:trHeight w:val="354" w:hRule="atLeast"/>
        </w:trPr>
        <w:tc>
          <w:tcPr>
            <w:tcW w:w="468" w:type="dxa"/>
            <w:shd w:val="clear" w:color="auto" w:fill="C0C0C0"/>
          </w:tcPr>
          <w:p>
            <w:pPr>
              <w:pStyle w:val="TableParagraph"/>
              <w:spacing w:before="0"/>
              <w:ind w:left="0"/>
              <w:rPr>
                <w:rFonts w:ascii="Times New Roman"/>
                <w:sz w:val="22"/>
              </w:rPr>
            </w:pPr>
          </w:p>
        </w:tc>
        <w:tc>
          <w:tcPr>
            <w:tcW w:w="1718" w:type="dxa"/>
            <w:shd w:val="clear" w:color="auto" w:fill="C0C0C0"/>
          </w:tcPr>
          <w:p>
            <w:pPr>
              <w:pStyle w:val="TableParagraph"/>
              <w:spacing w:before="42"/>
              <w:ind w:left="9"/>
              <w:jc w:val="center"/>
              <w:rPr>
                <w:b/>
                <w:sz w:val="22"/>
              </w:rPr>
            </w:pPr>
            <w:r>
              <w:rPr>
                <w:b/>
                <w:w w:val="100"/>
                <w:sz w:val="22"/>
              </w:rPr>
              <w:t>A</w:t>
            </w:r>
          </w:p>
        </w:tc>
        <w:tc>
          <w:tcPr>
            <w:tcW w:w="1800" w:type="dxa"/>
            <w:shd w:val="clear" w:color="auto" w:fill="C0C0C0"/>
          </w:tcPr>
          <w:p>
            <w:pPr>
              <w:pStyle w:val="TableParagraph"/>
              <w:spacing w:before="42"/>
              <w:ind w:left="5"/>
              <w:jc w:val="center"/>
              <w:rPr>
                <w:b/>
                <w:sz w:val="22"/>
              </w:rPr>
            </w:pPr>
            <w:r>
              <w:rPr>
                <w:b/>
                <w:w w:val="100"/>
                <w:sz w:val="22"/>
              </w:rPr>
              <w:t>B</w:t>
            </w:r>
          </w:p>
        </w:tc>
        <w:tc>
          <w:tcPr>
            <w:tcW w:w="1913" w:type="dxa"/>
            <w:shd w:val="clear" w:color="auto" w:fill="C0C0C0"/>
          </w:tcPr>
          <w:p>
            <w:pPr>
              <w:pStyle w:val="TableParagraph"/>
              <w:spacing w:before="42"/>
              <w:ind w:left="5"/>
              <w:jc w:val="center"/>
              <w:rPr>
                <w:b/>
                <w:sz w:val="22"/>
              </w:rPr>
            </w:pPr>
            <w:r>
              <w:rPr>
                <w:b/>
                <w:w w:val="100"/>
                <w:sz w:val="22"/>
              </w:rPr>
              <w:t>C</w:t>
            </w:r>
          </w:p>
        </w:tc>
      </w:tr>
      <w:tr>
        <w:trPr>
          <w:trHeight w:val="354" w:hRule="atLeast"/>
        </w:trPr>
        <w:tc>
          <w:tcPr>
            <w:tcW w:w="468" w:type="dxa"/>
          </w:tcPr>
          <w:p>
            <w:pPr>
              <w:pStyle w:val="TableParagraph"/>
              <w:rPr>
                <w:sz w:val="22"/>
              </w:rPr>
            </w:pPr>
            <w:r>
              <w:rPr>
                <w:w w:val="100"/>
                <w:sz w:val="22"/>
              </w:rPr>
              <w:t>1</w:t>
            </w:r>
          </w:p>
        </w:tc>
        <w:tc>
          <w:tcPr>
            <w:tcW w:w="1718" w:type="dxa"/>
          </w:tcPr>
          <w:p>
            <w:pPr>
              <w:pStyle w:val="TableParagraph"/>
              <w:ind w:left="114"/>
              <w:rPr>
                <w:sz w:val="22"/>
              </w:rPr>
            </w:pPr>
            <w:r>
              <w:rPr>
                <w:sz w:val="22"/>
              </w:rPr>
              <w:t>Men (Actual)</w:t>
            </w:r>
          </w:p>
        </w:tc>
        <w:tc>
          <w:tcPr>
            <w:tcW w:w="1800" w:type="dxa"/>
          </w:tcPr>
          <w:p>
            <w:pPr>
              <w:pStyle w:val="TableParagraph"/>
              <w:ind w:left="112"/>
              <w:rPr>
                <w:sz w:val="22"/>
              </w:rPr>
            </w:pPr>
            <w:r>
              <w:rPr>
                <w:sz w:val="22"/>
              </w:rPr>
              <w:t>Women (Actual)</w:t>
            </w:r>
          </w:p>
        </w:tc>
        <w:tc>
          <w:tcPr>
            <w:tcW w:w="1913" w:type="dxa"/>
          </w:tcPr>
          <w:p>
            <w:pPr>
              <w:pStyle w:val="TableParagraph"/>
              <w:ind w:left="113"/>
              <w:rPr>
                <w:sz w:val="22"/>
              </w:rPr>
            </w:pPr>
            <w:r>
              <w:rPr>
                <w:sz w:val="22"/>
              </w:rPr>
              <w:t>Description</w:t>
            </w:r>
          </w:p>
        </w:tc>
      </w:tr>
      <w:tr>
        <w:trPr>
          <w:trHeight w:val="354" w:hRule="atLeast"/>
        </w:trPr>
        <w:tc>
          <w:tcPr>
            <w:tcW w:w="468" w:type="dxa"/>
          </w:tcPr>
          <w:p>
            <w:pPr>
              <w:pStyle w:val="TableParagraph"/>
              <w:rPr>
                <w:sz w:val="22"/>
              </w:rPr>
            </w:pPr>
            <w:r>
              <w:rPr>
                <w:w w:val="100"/>
                <w:sz w:val="22"/>
              </w:rPr>
              <w:t>2</w:t>
            </w:r>
          </w:p>
        </w:tc>
        <w:tc>
          <w:tcPr>
            <w:tcW w:w="1718" w:type="dxa"/>
          </w:tcPr>
          <w:p>
            <w:pPr>
              <w:pStyle w:val="TableParagraph"/>
              <w:ind w:left="114"/>
              <w:rPr>
                <w:sz w:val="22"/>
              </w:rPr>
            </w:pPr>
            <w:r>
              <w:rPr>
                <w:sz w:val="22"/>
              </w:rPr>
              <w:t>58</w:t>
            </w:r>
          </w:p>
        </w:tc>
        <w:tc>
          <w:tcPr>
            <w:tcW w:w="1800" w:type="dxa"/>
          </w:tcPr>
          <w:p>
            <w:pPr>
              <w:pStyle w:val="TableParagraph"/>
              <w:ind w:left="112"/>
              <w:rPr>
                <w:sz w:val="22"/>
              </w:rPr>
            </w:pPr>
            <w:r>
              <w:rPr>
                <w:sz w:val="22"/>
              </w:rPr>
              <w:t>35</w:t>
            </w:r>
          </w:p>
        </w:tc>
        <w:tc>
          <w:tcPr>
            <w:tcW w:w="1913" w:type="dxa"/>
          </w:tcPr>
          <w:p>
            <w:pPr>
              <w:pStyle w:val="TableParagraph"/>
              <w:ind w:left="113"/>
              <w:rPr>
                <w:sz w:val="22"/>
              </w:rPr>
            </w:pPr>
            <w:r>
              <w:rPr>
                <w:sz w:val="22"/>
              </w:rPr>
              <w:t>Agree</w:t>
            </w:r>
          </w:p>
        </w:tc>
      </w:tr>
      <w:tr>
        <w:trPr>
          <w:trHeight w:val="354" w:hRule="atLeast"/>
        </w:trPr>
        <w:tc>
          <w:tcPr>
            <w:tcW w:w="468" w:type="dxa"/>
          </w:tcPr>
          <w:p>
            <w:pPr>
              <w:pStyle w:val="TableParagraph"/>
              <w:rPr>
                <w:sz w:val="22"/>
              </w:rPr>
            </w:pPr>
            <w:r>
              <w:rPr>
                <w:w w:val="100"/>
                <w:sz w:val="22"/>
              </w:rPr>
              <w:t>3</w:t>
            </w:r>
          </w:p>
        </w:tc>
        <w:tc>
          <w:tcPr>
            <w:tcW w:w="1718" w:type="dxa"/>
          </w:tcPr>
          <w:p>
            <w:pPr>
              <w:pStyle w:val="TableParagraph"/>
              <w:ind w:left="114"/>
              <w:rPr>
                <w:sz w:val="22"/>
              </w:rPr>
            </w:pPr>
            <w:r>
              <w:rPr>
                <w:sz w:val="22"/>
              </w:rPr>
              <w:t>11</w:t>
            </w:r>
          </w:p>
        </w:tc>
        <w:tc>
          <w:tcPr>
            <w:tcW w:w="1800" w:type="dxa"/>
          </w:tcPr>
          <w:p>
            <w:pPr>
              <w:pStyle w:val="TableParagraph"/>
              <w:ind w:left="112"/>
              <w:rPr>
                <w:sz w:val="22"/>
              </w:rPr>
            </w:pPr>
            <w:r>
              <w:rPr>
                <w:sz w:val="22"/>
              </w:rPr>
              <w:t>25</w:t>
            </w:r>
          </w:p>
        </w:tc>
        <w:tc>
          <w:tcPr>
            <w:tcW w:w="1913" w:type="dxa"/>
          </w:tcPr>
          <w:p>
            <w:pPr>
              <w:pStyle w:val="TableParagraph"/>
              <w:ind w:left="113"/>
              <w:rPr>
                <w:sz w:val="22"/>
              </w:rPr>
            </w:pPr>
            <w:r>
              <w:rPr>
                <w:sz w:val="22"/>
              </w:rPr>
              <w:t>Neutral</w:t>
            </w:r>
          </w:p>
        </w:tc>
      </w:tr>
      <w:tr>
        <w:trPr>
          <w:trHeight w:val="354" w:hRule="atLeast"/>
        </w:trPr>
        <w:tc>
          <w:tcPr>
            <w:tcW w:w="468" w:type="dxa"/>
          </w:tcPr>
          <w:p>
            <w:pPr>
              <w:pStyle w:val="TableParagraph"/>
              <w:rPr>
                <w:sz w:val="22"/>
              </w:rPr>
            </w:pPr>
            <w:r>
              <w:rPr>
                <w:w w:val="100"/>
                <w:sz w:val="22"/>
              </w:rPr>
              <w:t>4</w:t>
            </w:r>
          </w:p>
        </w:tc>
        <w:tc>
          <w:tcPr>
            <w:tcW w:w="1718" w:type="dxa"/>
          </w:tcPr>
          <w:p>
            <w:pPr>
              <w:pStyle w:val="TableParagraph"/>
              <w:ind w:left="114"/>
              <w:rPr>
                <w:sz w:val="22"/>
              </w:rPr>
            </w:pPr>
            <w:r>
              <w:rPr>
                <w:sz w:val="22"/>
              </w:rPr>
              <w:t>10</w:t>
            </w:r>
          </w:p>
        </w:tc>
        <w:tc>
          <w:tcPr>
            <w:tcW w:w="1800" w:type="dxa"/>
          </w:tcPr>
          <w:p>
            <w:pPr>
              <w:pStyle w:val="TableParagraph"/>
              <w:ind w:left="112"/>
              <w:rPr>
                <w:sz w:val="22"/>
              </w:rPr>
            </w:pPr>
            <w:r>
              <w:rPr>
                <w:sz w:val="22"/>
              </w:rPr>
              <w:t>23</w:t>
            </w:r>
          </w:p>
        </w:tc>
        <w:tc>
          <w:tcPr>
            <w:tcW w:w="1913" w:type="dxa"/>
          </w:tcPr>
          <w:p>
            <w:pPr>
              <w:pStyle w:val="TableParagraph"/>
              <w:ind w:left="113"/>
              <w:rPr>
                <w:sz w:val="22"/>
              </w:rPr>
            </w:pPr>
            <w:r>
              <w:rPr>
                <w:sz w:val="22"/>
              </w:rPr>
              <w:t>Disagree</w:t>
            </w:r>
          </w:p>
        </w:tc>
      </w:tr>
      <w:tr>
        <w:trPr>
          <w:trHeight w:val="624" w:hRule="atLeast"/>
        </w:trPr>
        <w:tc>
          <w:tcPr>
            <w:tcW w:w="468" w:type="dxa"/>
          </w:tcPr>
          <w:p>
            <w:pPr>
              <w:pStyle w:val="TableParagraph"/>
              <w:rPr>
                <w:sz w:val="22"/>
              </w:rPr>
            </w:pPr>
            <w:r>
              <w:rPr>
                <w:w w:val="100"/>
                <w:sz w:val="22"/>
              </w:rPr>
              <w:t>5</w:t>
            </w:r>
          </w:p>
        </w:tc>
        <w:tc>
          <w:tcPr>
            <w:tcW w:w="1718" w:type="dxa"/>
          </w:tcPr>
          <w:p>
            <w:pPr>
              <w:pStyle w:val="TableParagraph"/>
              <w:spacing w:before="3"/>
              <w:ind w:left="0"/>
              <w:rPr>
                <w:sz w:val="25"/>
              </w:rPr>
            </w:pPr>
          </w:p>
          <w:p>
            <w:pPr>
              <w:pStyle w:val="TableParagraph"/>
              <w:spacing w:before="0"/>
              <w:ind w:left="114"/>
              <w:rPr>
                <w:sz w:val="22"/>
              </w:rPr>
            </w:pPr>
            <w:r>
              <w:rPr>
                <w:sz w:val="22"/>
              </w:rPr>
              <w:t>Men (Expected)</w:t>
            </w:r>
          </w:p>
        </w:tc>
        <w:tc>
          <w:tcPr>
            <w:tcW w:w="1800" w:type="dxa"/>
          </w:tcPr>
          <w:p>
            <w:pPr>
              <w:pStyle w:val="TableParagraph"/>
              <w:ind w:left="112" w:right="705"/>
              <w:rPr>
                <w:sz w:val="22"/>
              </w:rPr>
            </w:pPr>
            <w:r>
              <w:rPr>
                <w:sz w:val="22"/>
              </w:rPr>
              <w:t>Women (Expected)</w:t>
            </w:r>
          </w:p>
        </w:tc>
        <w:tc>
          <w:tcPr>
            <w:tcW w:w="1913" w:type="dxa"/>
          </w:tcPr>
          <w:p>
            <w:pPr>
              <w:pStyle w:val="TableParagraph"/>
              <w:spacing w:before="3"/>
              <w:ind w:left="0"/>
              <w:rPr>
                <w:sz w:val="25"/>
              </w:rPr>
            </w:pPr>
          </w:p>
          <w:p>
            <w:pPr>
              <w:pStyle w:val="TableParagraph"/>
              <w:spacing w:before="0"/>
              <w:ind w:left="113"/>
              <w:rPr>
                <w:sz w:val="22"/>
              </w:rPr>
            </w:pPr>
            <w:r>
              <w:rPr>
                <w:sz w:val="22"/>
              </w:rPr>
              <w:t>Description</w:t>
            </w:r>
          </w:p>
        </w:tc>
      </w:tr>
      <w:tr>
        <w:trPr>
          <w:trHeight w:val="354" w:hRule="atLeast"/>
        </w:trPr>
        <w:tc>
          <w:tcPr>
            <w:tcW w:w="468" w:type="dxa"/>
          </w:tcPr>
          <w:p>
            <w:pPr>
              <w:pStyle w:val="TableParagraph"/>
              <w:rPr>
                <w:sz w:val="22"/>
              </w:rPr>
            </w:pPr>
            <w:r>
              <w:rPr>
                <w:w w:val="100"/>
                <w:sz w:val="22"/>
              </w:rPr>
              <w:t>6</w:t>
            </w:r>
          </w:p>
        </w:tc>
        <w:tc>
          <w:tcPr>
            <w:tcW w:w="1718" w:type="dxa"/>
          </w:tcPr>
          <w:p>
            <w:pPr>
              <w:pStyle w:val="TableParagraph"/>
              <w:ind w:left="114"/>
              <w:rPr>
                <w:sz w:val="22"/>
              </w:rPr>
            </w:pPr>
            <w:r>
              <w:rPr>
                <w:sz w:val="22"/>
              </w:rPr>
              <w:t>45.35</w:t>
            </w:r>
          </w:p>
        </w:tc>
        <w:tc>
          <w:tcPr>
            <w:tcW w:w="1800" w:type="dxa"/>
          </w:tcPr>
          <w:p>
            <w:pPr>
              <w:pStyle w:val="TableParagraph"/>
              <w:ind w:left="112"/>
              <w:rPr>
                <w:sz w:val="22"/>
              </w:rPr>
            </w:pPr>
            <w:r>
              <w:rPr>
                <w:sz w:val="22"/>
              </w:rPr>
              <w:t>47.65</w:t>
            </w:r>
          </w:p>
        </w:tc>
        <w:tc>
          <w:tcPr>
            <w:tcW w:w="1913" w:type="dxa"/>
          </w:tcPr>
          <w:p>
            <w:pPr>
              <w:pStyle w:val="TableParagraph"/>
              <w:ind w:left="113"/>
              <w:rPr>
                <w:sz w:val="22"/>
              </w:rPr>
            </w:pPr>
            <w:r>
              <w:rPr>
                <w:sz w:val="22"/>
              </w:rPr>
              <w:t>Agree</w:t>
            </w:r>
          </w:p>
        </w:tc>
      </w:tr>
      <w:tr>
        <w:trPr>
          <w:trHeight w:val="354" w:hRule="atLeast"/>
        </w:trPr>
        <w:tc>
          <w:tcPr>
            <w:tcW w:w="468" w:type="dxa"/>
          </w:tcPr>
          <w:p>
            <w:pPr>
              <w:pStyle w:val="TableParagraph"/>
              <w:rPr>
                <w:sz w:val="22"/>
              </w:rPr>
            </w:pPr>
            <w:r>
              <w:rPr>
                <w:w w:val="100"/>
                <w:sz w:val="22"/>
              </w:rPr>
              <w:t>7</w:t>
            </w:r>
          </w:p>
        </w:tc>
        <w:tc>
          <w:tcPr>
            <w:tcW w:w="1718" w:type="dxa"/>
          </w:tcPr>
          <w:p>
            <w:pPr>
              <w:pStyle w:val="TableParagraph"/>
              <w:ind w:left="114"/>
              <w:rPr>
                <w:sz w:val="22"/>
              </w:rPr>
            </w:pPr>
            <w:r>
              <w:rPr>
                <w:sz w:val="22"/>
              </w:rPr>
              <w:t>17.56</w:t>
            </w:r>
          </w:p>
        </w:tc>
        <w:tc>
          <w:tcPr>
            <w:tcW w:w="1800" w:type="dxa"/>
          </w:tcPr>
          <w:p>
            <w:pPr>
              <w:pStyle w:val="TableParagraph"/>
              <w:ind w:left="112"/>
              <w:rPr>
                <w:sz w:val="22"/>
              </w:rPr>
            </w:pPr>
            <w:r>
              <w:rPr>
                <w:sz w:val="22"/>
              </w:rPr>
              <w:t>18.44</w:t>
            </w:r>
          </w:p>
        </w:tc>
        <w:tc>
          <w:tcPr>
            <w:tcW w:w="1913" w:type="dxa"/>
          </w:tcPr>
          <w:p>
            <w:pPr>
              <w:pStyle w:val="TableParagraph"/>
              <w:ind w:left="113"/>
              <w:rPr>
                <w:sz w:val="22"/>
              </w:rPr>
            </w:pPr>
            <w:r>
              <w:rPr>
                <w:sz w:val="22"/>
              </w:rPr>
              <w:t>Neutral</w:t>
            </w:r>
          </w:p>
        </w:tc>
      </w:tr>
      <w:tr>
        <w:trPr>
          <w:trHeight w:val="354" w:hRule="atLeast"/>
        </w:trPr>
        <w:tc>
          <w:tcPr>
            <w:tcW w:w="468" w:type="dxa"/>
          </w:tcPr>
          <w:p>
            <w:pPr>
              <w:pStyle w:val="TableParagraph"/>
              <w:rPr>
                <w:sz w:val="22"/>
              </w:rPr>
            </w:pPr>
            <w:r>
              <w:rPr>
                <w:w w:val="100"/>
                <w:sz w:val="22"/>
              </w:rPr>
              <w:t>8</w:t>
            </w:r>
          </w:p>
        </w:tc>
        <w:tc>
          <w:tcPr>
            <w:tcW w:w="1718" w:type="dxa"/>
          </w:tcPr>
          <w:p>
            <w:pPr>
              <w:pStyle w:val="TableParagraph"/>
              <w:ind w:left="114"/>
              <w:rPr>
                <w:sz w:val="22"/>
              </w:rPr>
            </w:pPr>
            <w:r>
              <w:rPr>
                <w:sz w:val="22"/>
              </w:rPr>
              <w:t>16.09</w:t>
            </w:r>
          </w:p>
        </w:tc>
        <w:tc>
          <w:tcPr>
            <w:tcW w:w="1800" w:type="dxa"/>
          </w:tcPr>
          <w:p>
            <w:pPr>
              <w:pStyle w:val="TableParagraph"/>
              <w:ind w:left="112"/>
              <w:rPr>
                <w:sz w:val="22"/>
              </w:rPr>
            </w:pPr>
            <w:r>
              <w:rPr>
                <w:sz w:val="22"/>
              </w:rPr>
              <w:t>16.91</w:t>
            </w:r>
          </w:p>
        </w:tc>
        <w:tc>
          <w:tcPr>
            <w:tcW w:w="1913" w:type="dxa"/>
          </w:tcPr>
          <w:p>
            <w:pPr>
              <w:pStyle w:val="TableParagraph"/>
              <w:ind w:left="113"/>
              <w:rPr>
                <w:sz w:val="22"/>
              </w:rPr>
            </w:pPr>
            <w:r>
              <w:rPr>
                <w:sz w:val="22"/>
              </w:rPr>
              <w:t>Disagree</w:t>
            </w:r>
          </w:p>
        </w:tc>
      </w:tr>
    </w:tbl>
    <w:p>
      <w:pPr>
        <w:pStyle w:val="BodyText"/>
        <w:spacing w:before="11"/>
        <w:rPr>
          <w:sz w:val="24"/>
        </w:rPr>
      </w:pPr>
    </w:p>
    <w:p>
      <w:pPr>
        <w:pStyle w:val="BodyText"/>
        <w:ind w:left="220"/>
        <w:rPr>
          <w:rFonts w:ascii="Consolas"/>
        </w:rPr>
      </w:pPr>
      <w:r>
        <w:rPr>
          <w:rFonts w:ascii="Consolas"/>
        </w:rPr>
        <w:t>CHITEST(A2:B4,A6:B8)</w:t>
      </w:r>
      <w:r>
        <w:rPr>
          <w:rFonts w:ascii="Consolas"/>
          <w:spacing w:val="-72"/>
        </w:rPr>
        <w:t> </w:t>
      </w:r>
      <w:r>
        <w:rPr/>
        <w:t>results in </w:t>
      </w:r>
      <w:r>
        <w:rPr>
          <w:rFonts w:ascii="Consolas"/>
        </w:rPr>
        <w:t>0.000308</w:t>
      </w:r>
    </w:p>
    <w:p>
      <w:pPr>
        <w:pStyle w:val="BodyText"/>
        <w:spacing w:before="1"/>
        <w:rPr>
          <w:rFonts w:ascii="Consolas"/>
          <w:sz w:val="3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9 CHOOSE" w:id="1509"/>
      <w:bookmarkEnd w:id="1509"/>
      <w:r>
        <w:rPr/>
      </w:r>
      <w:bookmarkStart w:name="_bookmark502" w:id="1510"/>
      <w:bookmarkEnd w:id="1510"/>
      <w:r>
        <w:rPr/>
      </w:r>
      <w:bookmarkStart w:name="_bookmark502" w:id="1511"/>
      <w:bookmarkEnd w:id="1511"/>
      <w:r>
        <w:rPr>
          <w:color w:val="4F81BC"/>
        </w:rPr>
        <w:t>C</w:t>
      </w:r>
      <w:r>
        <w:rPr>
          <w:color w:val="4F81BC"/>
        </w:rPr>
        <w:t>HOOSE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CHOOSE ( </w:t>
      </w:r>
      <w:r>
        <w:rPr>
          <w:i/>
          <w:sz w:val="22"/>
        </w:rPr>
        <w:t>index </w:t>
      </w:r>
      <w:r>
        <w:rPr>
          <w:rFonts w:ascii="Lucida Console"/>
          <w:sz w:val="20"/>
        </w:rPr>
        <w:t>,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Selects the </w:t>
      </w:r>
      <w:r>
        <w:rPr>
          <w:rFonts w:ascii="Times New Roman"/>
          <w:i/>
          <w:sz w:val="22"/>
        </w:rPr>
        <w:t>argument </w:t>
      </w:r>
      <w:r>
        <w:rPr>
          <w:sz w:val="22"/>
        </w:rPr>
        <w:t>in </w:t>
      </w:r>
      <w:r>
        <w:rPr>
          <w:rFonts w:ascii="Times New Roman"/>
          <w:i/>
          <w:sz w:val="22"/>
        </w:rPr>
        <w:t>argument-list </w:t>
      </w:r>
      <w:r>
        <w:rPr>
          <w:sz w:val="22"/>
        </w:rPr>
        <w:t>that corresponds by position to </w:t>
      </w:r>
      <w:r>
        <w:rPr>
          <w:rFonts w:ascii="Times New Roman"/>
          <w:i/>
          <w:sz w:val="22"/>
        </w:rPr>
        <w:t>index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rPr>
                <w:rFonts w:ascii="Times New Roman"/>
                <w:i/>
                <w:sz w:val="22"/>
              </w:rPr>
            </w:pPr>
            <w:r>
              <w:rPr>
                <w:rFonts w:ascii="Times New Roman"/>
                <w:i/>
                <w:sz w:val="22"/>
              </w:rPr>
              <w:t>index</w:t>
            </w:r>
          </w:p>
        </w:tc>
        <w:tc>
          <w:tcPr>
            <w:tcW w:w="1800" w:type="dxa"/>
          </w:tcPr>
          <w:p>
            <w:pPr>
              <w:pStyle w:val="TableParagraph"/>
              <w:ind w:left="112"/>
              <w:rPr>
                <w:sz w:val="22"/>
              </w:rPr>
            </w:pPr>
            <w:r>
              <w:rPr>
                <w:sz w:val="22"/>
              </w:rPr>
              <w:t>number</w:t>
            </w:r>
          </w:p>
        </w:tc>
        <w:tc>
          <w:tcPr>
            <w:tcW w:w="5400" w:type="dxa"/>
          </w:tcPr>
          <w:p>
            <w:pPr>
              <w:pStyle w:val="TableParagraph"/>
              <w:ind w:left="113" w:right="136"/>
              <w:rPr>
                <w:sz w:val="22"/>
              </w:rPr>
            </w:pPr>
            <w:r>
              <w:rPr>
                <w:sz w:val="22"/>
              </w:rPr>
              <w:t>An index into </w:t>
            </w:r>
            <w:r>
              <w:rPr>
                <w:rFonts w:ascii="Times New Roman" w:hAnsi="Times New Roman"/>
                <w:i/>
                <w:sz w:val="22"/>
              </w:rPr>
              <w:t>argument-list</w:t>
            </w:r>
            <w:r>
              <w:rPr>
                <w:sz w:val="22"/>
              </w:rPr>
              <w:t>, truncated to an integer. The value of </w:t>
            </w:r>
            <w:r>
              <w:rPr>
                <w:rFonts w:ascii="Times New Roman" w:hAnsi="Times New Roman"/>
                <w:i/>
                <w:sz w:val="22"/>
              </w:rPr>
              <w:t>index </w:t>
            </w:r>
            <w:r>
              <w:rPr>
                <w:sz w:val="22"/>
              </w:rPr>
              <w:t>shall be in the position range 1–</w:t>
            </w:r>
            <w:r>
              <w:rPr>
                <w:i/>
                <w:sz w:val="22"/>
              </w:rPr>
              <w:t>n</w:t>
            </w:r>
            <w:r>
              <w:rPr>
                <w:sz w:val="22"/>
              </w:rPr>
              <w:t>, where </w:t>
            </w:r>
            <w:r>
              <w:rPr>
                <w:rFonts w:ascii="Times New Roman" w:hAnsi="Times New Roman"/>
                <w:i/>
                <w:sz w:val="22"/>
              </w:rPr>
              <w:t>argument-1 </w:t>
            </w:r>
            <w:r>
              <w:rPr>
                <w:sz w:val="22"/>
              </w:rPr>
              <w:t>is position 1, </w:t>
            </w:r>
            <w:r>
              <w:rPr>
                <w:rFonts w:ascii="Times New Roman" w:hAnsi="Times New Roman"/>
                <w:i/>
                <w:sz w:val="22"/>
              </w:rPr>
              <w:t>argument-2 </w:t>
            </w:r>
            <w:r>
              <w:rPr>
                <w:sz w:val="22"/>
              </w:rPr>
              <w:t>is position 2, and so on up to </w:t>
            </w:r>
            <w:r>
              <w:rPr>
                <w:rFonts w:ascii="Times New Roman" w:hAnsi="Times New Roman"/>
                <w:i/>
                <w:sz w:val="22"/>
              </w:rPr>
              <w:t>argument</w:t>
            </w:r>
            <w:r>
              <w:rPr>
                <w:sz w:val="22"/>
              </w:rPr>
              <w:t>-</w:t>
            </w:r>
            <w:r>
              <w:rPr>
                <w:i/>
                <w:sz w:val="22"/>
              </w:rPr>
              <w:t>n</w:t>
            </w:r>
            <w:r>
              <w:rPr>
                <w:sz w:val="22"/>
              </w:rPr>
              <w:t>. If </w:t>
            </w:r>
            <w:r>
              <w:rPr>
                <w:rFonts w:ascii="Times New Roman" w:hAnsi="Times New Roman"/>
                <w:i/>
                <w:sz w:val="22"/>
              </w:rPr>
              <w:t>index </w:t>
            </w:r>
            <w:r>
              <w:rPr>
                <w:sz w:val="22"/>
              </w:rPr>
              <w:t>is an array, the value or every element in that array is evaluated, and if the formula is an array formula, the result is an array of chosen values.</w:t>
            </w:r>
          </w:p>
        </w:tc>
      </w:tr>
      <w:tr>
        <w:trPr>
          <w:trHeight w:val="623" w:hRule="atLeast"/>
        </w:trPr>
        <w:tc>
          <w:tcPr>
            <w:tcW w:w="1466" w:type="dxa"/>
          </w:tcPr>
          <w:p>
            <w:pPr>
              <w:pStyle w:val="TableParagraph"/>
              <w:spacing w:before="37"/>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any</w:t>
            </w:r>
          </w:p>
        </w:tc>
        <w:tc>
          <w:tcPr>
            <w:tcW w:w="5400" w:type="dxa"/>
          </w:tcPr>
          <w:p>
            <w:pPr>
              <w:pStyle w:val="TableParagraph"/>
              <w:ind w:left="113" w:right="479"/>
              <w:rPr>
                <w:sz w:val="22"/>
              </w:rPr>
            </w:pPr>
            <w:r>
              <w:rPr>
                <w:sz w:val="22"/>
              </w:rPr>
              <w:t>The </w:t>
            </w:r>
            <w:r>
              <w:rPr>
                <w:rFonts w:ascii="Times New Roman"/>
                <w:i/>
                <w:sz w:val="22"/>
              </w:rPr>
              <w:t>argument</w:t>
            </w:r>
            <w:r>
              <w:rPr>
                <w:sz w:val="22"/>
              </w:rPr>
              <w:t>s in any given </w:t>
            </w:r>
            <w:r>
              <w:rPr>
                <w:rFonts w:ascii="Times New Roman"/>
                <w:i/>
                <w:sz w:val="22"/>
              </w:rPr>
              <w:t>argument-list </w:t>
            </w:r>
            <w:r>
              <w:rPr>
                <w:sz w:val="22"/>
              </w:rPr>
              <w:t>need not all have the same type.</w:t>
            </w:r>
          </w:p>
        </w:tc>
      </w:tr>
    </w:tbl>
    <w:p>
      <w:pPr>
        <w:pStyle w:val="BodyText"/>
        <w:rPr>
          <w:b/>
        </w:rPr>
      </w:pPr>
    </w:p>
    <w:p>
      <w:pPr>
        <w:pStyle w:val="BodyText"/>
        <w:spacing w:before="5"/>
        <w:rPr>
          <w:b/>
          <w:sz w:val="19"/>
        </w:rPr>
      </w:pPr>
    </w:p>
    <w:p>
      <w:pPr>
        <w:spacing w:before="0"/>
        <w:ind w:left="220" w:right="0" w:firstLine="0"/>
        <w:jc w:val="left"/>
        <w:rPr>
          <w:sz w:val="22"/>
        </w:rPr>
      </w:pPr>
      <w:r>
        <w:rPr>
          <w:b/>
          <w:sz w:val="22"/>
        </w:rPr>
        <w:t>Return Type and Value: </w:t>
      </w:r>
      <w:r>
        <w:rPr>
          <w:sz w:val="22"/>
        </w:rPr>
        <w:t>any, including array – The </w:t>
      </w:r>
      <w:r>
        <w:rPr>
          <w:rFonts w:ascii="Times New Roman" w:hAnsi="Times New Roman"/>
          <w:i/>
          <w:sz w:val="22"/>
        </w:rPr>
        <w:t>argument </w:t>
      </w:r>
      <w:r>
        <w:rPr>
          <w:sz w:val="22"/>
        </w:rPr>
        <w:t>in </w:t>
      </w:r>
      <w:r>
        <w:rPr>
          <w:rFonts w:ascii="Times New Roman" w:hAnsi="Times New Roman"/>
          <w:i/>
          <w:sz w:val="22"/>
        </w:rPr>
        <w:t>argument-list </w:t>
      </w:r>
      <w:r>
        <w:rPr>
          <w:sz w:val="22"/>
        </w:rPr>
        <w:t>that corresponds by position to</w:t>
      </w:r>
    </w:p>
    <w:p>
      <w:pPr>
        <w:spacing w:before="43"/>
        <w:ind w:left="220" w:right="0" w:firstLine="0"/>
        <w:jc w:val="left"/>
        <w:rPr>
          <w:sz w:val="22"/>
        </w:rPr>
      </w:pPr>
      <w:r>
        <w:rPr>
          <w:rFonts w:ascii="Times New Roman"/>
          <w:i/>
          <w:sz w:val="22"/>
        </w:rPr>
        <w:t>index</w:t>
      </w:r>
      <w:r>
        <w:rPr>
          <w:sz w:val="22"/>
        </w:rPr>
        <w:t>.</w:t>
      </w:r>
    </w:p>
    <w:p>
      <w:pPr>
        <w:spacing w:after="0"/>
        <w:jc w:val="left"/>
        <w:rPr>
          <w:sz w:val="22"/>
        </w:rPr>
        <w:sectPr>
          <w:pgSz w:w="12240" w:h="15840"/>
          <w:pgMar w:header="761" w:footer="746" w:top="1340" w:bottom="940" w:left="860" w:right="700"/>
        </w:sectPr>
      </w:pPr>
    </w:p>
    <w:p>
      <w:pPr>
        <w:spacing w:line="453" w:lineRule="auto" w:before="150"/>
        <w:ind w:left="220" w:right="2289" w:firstLine="0"/>
        <w:jc w:val="left"/>
        <w:rPr>
          <w:sz w:val="22"/>
        </w:rPr>
      </w:pPr>
      <w:r>
        <w:rPr>
          <w:sz w:val="22"/>
        </w:rPr>
        <w:t>However, if the value of </w:t>
      </w:r>
      <w:r>
        <w:rPr>
          <w:rFonts w:ascii="Times New Roman"/>
          <w:i/>
          <w:sz w:val="22"/>
        </w:rPr>
        <w:t>index </w:t>
      </w:r>
      <w:r>
        <w:rPr>
          <w:sz w:val="22"/>
        </w:rPr>
        <w:t>is not an index into </w:t>
      </w:r>
      <w:r>
        <w:rPr>
          <w:rFonts w:ascii="Times New Roman"/>
          <w:i/>
          <w:sz w:val="22"/>
        </w:rPr>
        <w:t>argument-list</w:t>
      </w:r>
      <w:r>
        <w:rPr>
          <w:sz w:val="22"/>
        </w:rPr>
        <w:t>, </w:t>
      </w:r>
      <w:r>
        <w:rPr>
          <w:rFonts w:ascii="Consolas"/>
          <w:sz w:val="22"/>
        </w:rPr>
        <w:t>#VALUE!</w:t>
      </w:r>
      <w:r>
        <w:rPr>
          <w:rFonts w:ascii="Consolas"/>
          <w:spacing w:val="-98"/>
          <w:sz w:val="22"/>
        </w:rPr>
        <w:t> </w:t>
      </w:r>
      <w:r>
        <w:rPr>
          <w:sz w:val="22"/>
        </w:rPr>
        <w:t>is returned. [</w:t>
      </w:r>
      <w:r>
        <w:rPr>
          <w:i/>
          <w:sz w:val="22"/>
        </w:rPr>
        <w:t>Example</w:t>
      </w:r>
      <w:r>
        <w:rPr>
          <w:sz w:val="22"/>
        </w:rPr>
        <w:t>:</w:t>
      </w:r>
    </w:p>
    <w:p>
      <w:pPr>
        <w:pStyle w:val="BodyText"/>
        <w:spacing w:line="278" w:lineRule="auto" w:before="109"/>
        <w:ind w:left="220" w:right="824"/>
        <w:rPr>
          <w:rFonts w:ascii="Consolas"/>
        </w:rPr>
      </w:pPr>
      <w:r>
        <w:rPr>
          <w:rFonts w:ascii="Consolas"/>
        </w:rPr>
        <w:t>CHOOSE(E7,F7,G7,H7,I7,J7,K7,L7)</w:t>
      </w:r>
      <w:r>
        <w:rPr>
          <w:rFonts w:ascii="Consolas"/>
          <w:spacing w:val="-67"/>
        </w:rPr>
        <w:t> </w:t>
      </w:r>
      <w:r>
        <w:rPr/>
        <w:t>results in </w:t>
      </w:r>
      <w:r>
        <w:rPr>
          <w:rFonts w:ascii="Consolas"/>
        </w:rPr>
        <w:t>Monday</w:t>
      </w:r>
      <w:r>
        <w:rPr/>
        <w:t>, when </w:t>
      </w:r>
      <w:r>
        <w:rPr>
          <w:rFonts w:ascii="Consolas"/>
        </w:rPr>
        <w:t>E7</w:t>
      </w:r>
      <w:r>
        <w:rPr>
          <w:rFonts w:ascii="Consolas"/>
          <w:spacing w:val="-75"/>
        </w:rPr>
        <w:t> </w:t>
      </w:r>
      <w:r>
        <w:rPr/>
        <w:t>contains </w:t>
      </w:r>
      <w:r>
        <w:rPr>
          <w:rFonts w:ascii="Consolas"/>
        </w:rPr>
        <w:t>2</w:t>
      </w:r>
      <w:r>
        <w:rPr/>
        <w:t>, and the cells </w:t>
      </w:r>
      <w:r>
        <w:rPr>
          <w:rFonts w:ascii="Consolas"/>
        </w:rPr>
        <w:t>F7:L7</w:t>
      </w:r>
      <w:r>
        <w:rPr>
          <w:rFonts w:ascii="Consolas"/>
          <w:spacing w:val="-72"/>
        </w:rPr>
        <w:t> </w:t>
      </w:r>
      <w:r>
        <w:rPr/>
        <w:t>each contain the names of the week, from </w:t>
      </w:r>
      <w:r>
        <w:rPr>
          <w:rFonts w:ascii="Consolas"/>
        </w:rPr>
        <w:t>Sunday</w:t>
      </w:r>
      <w:r>
        <w:rPr>
          <w:rFonts w:ascii="Consolas"/>
          <w:spacing w:val="-78"/>
        </w:rPr>
        <w:t> </w:t>
      </w:r>
      <w:r>
        <w:rPr/>
        <w:t>to </w:t>
      </w:r>
      <w:r>
        <w:rPr>
          <w:rFonts w:ascii="Consolas"/>
        </w:rPr>
        <w:t>Saturday</w:t>
      </w:r>
    </w:p>
    <w:p>
      <w:pPr>
        <w:pStyle w:val="BodyText"/>
        <w:spacing w:before="195"/>
        <w:ind w:left="220"/>
      </w:pPr>
      <w:r>
        <w:rPr>
          <w:rFonts w:ascii="Consolas"/>
        </w:rPr>
        <w:t>SUM(CHOOSE(E1,F20:G20,H20:J24))</w:t>
      </w:r>
      <w:r>
        <w:rPr>
          <w:rFonts w:ascii="Consolas"/>
          <w:spacing w:val="-66"/>
        </w:rPr>
        <w:t> </w:t>
      </w:r>
      <w:r>
        <w:rPr/>
        <w:t>results in the sum of the elements designated by </w:t>
      </w:r>
      <w:r>
        <w:rPr>
          <w:rFonts w:ascii="Consolas"/>
        </w:rPr>
        <w:t>F20:G20</w:t>
      </w:r>
      <w:r>
        <w:rPr>
          <w:rFonts w:ascii="Consolas"/>
          <w:spacing w:val="-72"/>
        </w:rPr>
        <w:t> </w:t>
      </w:r>
      <w:r>
        <w:rPr/>
        <w:t>or</w:t>
      </w:r>
    </w:p>
    <w:p>
      <w:pPr>
        <w:pStyle w:val="BodyText"/>
        <w:spacing w:before="43"/>
        <w:ind w:left="220"/>
        <w:rPr>
          <w:rFonts w:ascii="Consolas"/>
        </w:rPr>
      </w:pPr>
      <w:r>
        <w:rPr>
          <w:rFonts w:ascii="Consolas"/>
        </w:rPr>
        <w:t>H20:J24</w:t>
      </w:r>
      <w:r>
        <w:rPr/>
        <w:t>, as determined by the value of </w:t>
      </w:r>
      <w:r>
        <w:rPr>
          <w:rFonts w:ascii="Consolas"/>
        </w:rPr>
        <w:t>E1</w:t>
      </w:r>
    </w:p>
    <w:p>
      <w:pPr>
        <w:pStyle w:val="BodyText"/>
        <w:spacing w:before="4"/>
        <w:rPr>
          <w:rFonts w:ascii="Consolas"/>
          <w:sz w:val="20"/>
        </w:rPr>
      </w:pPr>
    </w:p>
    <w:p>
      <w:pPr>
        <w:pStyle w:val="BodyText"/>
        <w:spacing w:line="273" w:lineRule="auto"/>
        <w:ind w:left="220" w:right="802"/>
      </w:pPr>
      <w:r>
        <w:rPr/>
        <w:t>If </w:t>
      </w:r>
      <w:r>
        <w:rPr>
          <w:rFonts w:ascii="Consolas"/>
        </w:rPr>
        <w:t>B9:B11</w:t>
      </w:r>
      <w:r>
        <w:rPr>
          <w:rFonts w:ascii="Consolas"/>
          <w:spacing w:val="-70"/>
        </w:rPr>
        <w:t> </w:t>
      </w:r>
      <w:r>
        <w:rPr/>
        <w:t>contain 1, 3, and 3, respectively, and </w:t>
      </w:r>
      <w:r>
        <w:rPr>
          <w:rFonts w:ascii="Consolas"/>
        </w:rPr>
        <w:t>CHOOSE(B9:B11,10,20,30)</w:t>
      </w:r>
      <w:r>
        <w:rPr>
          <w:rFonts w:ascii="Consolas"/>
          <w:spacing w:val="-68"/>
        </w:rPr>
        <w:t> </w:t>
      </w:r>
      <w:r>
        <w:rPr/>
        <w:t>is an array formula spanning 3 cells, the values of those 3 cells is 10, 30, and 30, respectively.</w:t>
      </w:r>
    </w:p>
    <w:p>
      <w:pPr>
        <w:pStyle w:val="BodyText"/>
        <w:rPr>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0 CLEAN" w:id="1512"/>
      <w:bookmarkEnd w:id="1512"/>
      <w:r>
        <w:rPr/>
      </w:r>
      <w:bookmarkStart w:name="_bookmark503" w:id="1513"/>
      <w:bookmarkEnd w:id="1513"/>
      <w:r>
        <w:rPr/>
      </w:r>
      <w:bookmarkStart w:name="_bookmark503" w:id="1514"/>
      <w:bookmarkEnd w:id="1514"/>
      <w:r>
        <w:rPr>
          <w:color w:val="4F81BC"/>
        </w:rPr>
        <w:t>C</w:t>
      </w:r>
      <w:r>
        <w:rPr>
          <w:color w:val="4F81BC"/>
        </w:rPr>
        <w:t>LEAN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CLEAN ( </w:t>
      </w:r>
      <w:r>
        <w:rPr>
          <w:i/>
          <w:sz w:val="22"/>
        </w:rPr>
        <w:t>string </w:t>
      </w:r>
      <w:r>
        <w:rPr>
          <w:rFonts w:ascii="Lucida Console"/>
          <w:sz w:val="20"/>
        </w:rPr>
        <w:t>)</w:t>
      </w:r>
    </w:p>
    <w:p>
      <w:pPr>
        <w:pStyle w:val="Heading4"/>
        <w:spacing w:before="108"/>
      </w:pPr>
      <w:r>
        <w:rPr/>
        <w:t>Description:</w:t>
      </w:r>
    </w:p>
    <w:p>
      <w:pPr>
        <w:pStyle w:val="BodyText"/>
        <w:spacing w:before="6"/>
        <w:rPr>
          <w:b/>
          <w:sz w:val="19"/>
        </w:rPr>
      </w:pPr>
    </w:p>
    <w:p>
      <w:pPr>
        <w:pStyle w:val="BodyText"/>
        <w:spacing w:line="278" w:lineRule="auto"/>
        <w:ind w:left="220" w:right="394"/>
      </w:pPr>
      <w:r>
        <w:rPr/>
        <w:t>Makes a string that is a copy of </w:t>
      </w:r>
      <w:r>
        <w:rPr>
          <w:rFonts w:ascii="Times New Roman" w:hAnsi="Times New Roman"/>
          <w:i/>
        </w:rPr>
        <w:t>string </w:t>
      </w:r>
      <w:r>
        <w:rPr/>
        <w:t>with all so-called "non-printable" characters—those with internal values in the range </w:t>
      </w:r>
      <w:r>
        <w:rPr>
          <w:rFonts w:ascii="Consolas" w:hAnsi="Consolas"/>
        </w:rPr>
        <w:t>U+</w:t>
      </w:r>
      <w:r>
        <w:rPr/>
        <w:t>0000–001F—removed.</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0" w:right="2165"/>
              <w:jc w:val="right"/>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0" w:right="2160"/>
              <w:jc w:val="right"/>
              <w:rPr>
                <w:sz w:val="22"/>
              </w:rPr>
            </w:pPr>
            <w:r>
              <w:rPr>
                <w:sz w:val="22"/>
              </w:rPr>
              <w:t>Designate the string to be cleaned.</w:t>
            </w:r>
          </w:p>
        </w:tc>
      </w:tr>
    </w:tbl>
    <w:p>
      <w:pPr>
        <w:pStyle w:val="BodyText"/>
        <w:rPr>
          <w:b/>
        </w:rPr>
      </w:pPr>
    </w:p>
    <w:p>
      <w:pPr>
        <w:pStyle w:val="BodyText"/>
        <w:spacing w:before="7"/>
        <w:rPr>
          <w:b/>
          <w:sz w:val="19"/>
        </w:rPr>
      </w:pPr>
    </w:p>
    <w:p>
      <w:pPr>
        <w:spacing w:line="453" w:lineRule="auto" w:before="0"/>
        <w:ind w:left="220" w:right="5200" w:firstLine="0"/>
        <w:jc w:val="left"/>
        <w:rPr>
          <w:sz w:val="22"/>
        </w:rPr>
      </w:pPr>
      <w:r>
        <w:rPr>
          <w:b/>
          <w:sz w:val="22"/>
        </w:rPr>
        <w:t>Return Type and Value: </w:t>
      </w:r>
      <w:r>
        <w:rPr>
          <w:sz w:val="22"/>
        </w:rPr>
        <w:t>text – The trimmed copy of </w:t>
      </w:r>
      <w:r>
        <w:rPr>
          <w:rFonts w:ascii="Times New Roman" w:hAnsi="Times New Roman"/>
          <w:i/>
          <w:sz w:val="22"/>
        </w:rPr>
        <w:t>string</w:t>
      </w:r>
      <w:r>
        <w:rPr>
          <w:sz w:val="22"/>
        </w:rPr>
        <w:t>. [</w:t>
      </w:r>
      <w:r>
        <w:rPr>
          <w:i/>
          <w:sz w:val="22"/>
        </w:rPr>
        <w:t>Example</w:t>
      </w:r>
      <w:r>
        <w:rPr>
          <w:sz w:val="22"/>
        </w:rPr>
        <w:t>:</w:t>
      </w:r>
    </w:p>
    <w:p>
      <w:pPr>
        <w:pStyle w:val="BodyText"/>
        <w:spacing w:before="108"/>
        <w:ind w:left="220"/>
      </w:pPr>
      <w:r>
        <w:rPr>
          <w:rFonts w:ascii="Consolas"/>
        </w:rPr>
        <w:t>CLEAN("A" &amp; CHAR(2) &amp; "BC")</w:t>
      </w:r>
      <w:r>
        <w:rPr>
          <w:rFonts w:ascii="Consolas"/>
          <w:spacing w:val="-81"/>
        </w:rPr>
        <w:t> </w:t>
      </w:r>
      <w:r>
        <w:rPr/>
        <w:t>results in </w:t>
      </w:r>
      <w:r>
        <w:rPr>
          <w:rFonts w:ascii="Consolas"/>
        </w:rPr>
        <w:t>ABC</w:t>
      </w:r>
      <w:r>
        <w:rPr/>
        <w:t>, which is stored in A10</w:t>
      </w:r>
    </w:p>
    <w:p>
      <w:pPr>
        <w:pStyle w:val="BodyText"/>
        <w:spacing w:before="41"/>
        <w:ind w:left="220"/>
        <w:rPr>
          <w:rFonts w:ascii="Consolas"/>
        </w:rPr>
      </w:pPr>
      <w:r>
        <w:rPr>
          <w:rFonts w:ascii="Consolas"/>
        </w:rPr>
        <w:t>LEN(A10)</w:t>
      </w:r>
      <w:r>
        <w:rPr>
          <w:rFonts w:ascii="Consolas"/>
          <w:spacing w:val="-71"/>
        </w:rPr>
        <w:t> </w:t>
      </w:r>
      <w:r>
        <w:rPr/>
        <w:t>results in </w:t>
      </w:r>
      <w:r>
        <w:rPr>
          <w:rFonts w:ascii="Consolas"/>
        </w:rPr>
        <w:t>3</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1 CODE" w:id="1515"/>
      <w:bookmarkEnd w:id="1515"/>
      <w:r>
        <w:rPr/>
      </w:r>
      <w:bookmarkStart w:name="_bookmark504" w:id="1516"/>
      <w:bookmarkEnd w:id="1516"/>
      <w:r>
        <w:rPr/>
      </w:r>
      <w:bookmarkStart w:name="_bookmark504" w:id="1517"/>
      <w:bookmarkEnd w:id="1517"/>
      <w:r>
        <w:rPr>
          <w:color w:val="4F81BC"/>
        </w:rPr>
        <w:t>CO</w:t>
      </w:r>
      <w:r>
        <w:rPr>
          <w:color w:val="4F81BC"/>
        </w:rPr>
        <w:t>DE</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CODE ( </w:t>
      </w:r>
      <w:r>
        <w:rPr>
          <w:i/>
          <w:sz w:val="22"/>
        </w:rPr>
        <w:t>string </w:t>
      </w:r>
      <w:r>
        <w:rPr>
          <w:rFonts w:ascii="Lucida Console"/>
          <w:sz w:val="20"/>
        </w:rPr>
        <w:t>)</w:t>
      </w:r>
    </w:p>
    <w:p>
      <w:pPr>
        <w:spacing w:before="110"/>
        <w:ind w:left="220" w:right="0" w:firstLine="0"/>
        <w:jc w:val="left"/>
        <w:rPr>
          <w:sz w:val="22"/>
        </w:rPr>
      </w:pPr>
      <w:r>
        <w:rPr>
          <w:b/>
          <w:sz w:val="22"/>
        </w:rPr>
        <w:t>Description: </w:t>
      </w:r>
      <w:r>
        <w:rPr>
          <w:sz w:val="22"/>
        </w:rPr>
        <w:t>Determines the numeric code of the first character in </w:t>
      </w:r>
      <w:r>
        <w:rPr>
          <w:rFonts w:ascii="Times New Roman"/>
          <w:i/>
          <w:sz w:val="22"/>
        </w:rPr>
        <w:t>string</w:t>
      </w:r>
      <w:r>
        <w:rPr>
          <w:sz w:val="22"/>
        </w:rPr>
        <w:t>.</w:t>
      </w:r>
    </w:p>
    <w:p>
      <w:pPr>
        <w:spacing w:after="0"/>
        <w:jc w:val="left"/>
        <w:rPr>
          <w:sz w:val="22"/>
        </w:rPr>
        <w:sectPr>
          <w:pgSz w:w="12240" w:h="15840"/>
          <w:pgMar w:header="763" w:footer="746" w:top="1340" w:bottom="940" w:left="860" w:right="700"/>
        </w:sectPr>
      </w:pPr>
    </w:p>
    <w:p>
      <w:pPr>
        <w:pStyle w:val="Heading4"/>
        <w:spacing w:before="9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 containing one or more characters.</w:t>
            </w:r>
          </w:p>
        </w:tc>
      </w:tr>
    </w:tbl>
    <w:p>
      <w:pPr>
        <w:pStyle w:val="BodyText"/>
        <w:rPr>
          <w:b/>
        </w:rPr>
      </w:pPr>
    </w:p>
    <w:p>
      <w:pPr>
        <w:pStyle w:val="BodyText"/>
        <w:spacing w:before="7"/>
        <w:rPr>
          <w:b/>
          <w:sz w:val="19"/>
        </w:rPr>
      </w:pPr>
    </w:p>
    <w:p>
      <w:pPr>
        <w:spacing w:line="453" w:lineRule="auto" w:before="0"/>
        <w:ind w:left="220" w:right="3008" w:firstLine="0"/>
        <w:jc w:val="left"/>
        <w:rPr>
          <w:sz w:val="22"/>
        </w:rPr>
      </w:pPr>
      <w:r>
        <w:rPr>
          <w:b/>
          <w:sz w:val="22"/>
        </w:rPr>
        <w:t>Return Type and Value: </w:t>
      </w:r>
      <w:r>
        <w:rPr>
          <w:sz w:val="22"/>
        </w:rPr>
        <w:t>number – The numeric code of the first character in </w:t>
      </w:r>
      <w:r>
        <w:rPr>
          <w:rFonts w:ascii="Times New Roman" w:hAnsi="Times New Roman"/>
          <w:i/>
          <w:sz w:val="22"/>
        </w:rPr>
        <w:t>string</w:t>
      </w:r>
      <w:r>
        <w:rPr>
          <w:sz w:val="22"/>
        </w:rPr>
        <w:t>. However, if </w:t>
      </w:r>
      <w:r>
        <w:rPr>
          <w:rFonts w:ascii="Times New Roman" w:hAnsi="Times New Roman"/>
          <w:i/>
          <w:sz w:val="22"/>
        </w:rPr>
        <w:t>string </w:t>
      </w:r>
      <w:r>
        <w:rPr>
          <w:sz w:val="22"/>
        </w:rPr>
        <w:t>is empty, </w:t>
      </w:r>
      <w:r>
        <w:rPr>
          <w:rFonts w:ascii="Consolas" w:hAnsi="Consolas"/>
          <w:sz w:val="22"/>
        </w:rPr>
        <w:t>#VALUE!</w:t>
      </w:r>
      <w:r>
        <w:rPr>
          <w:rFonts w:ascii="Consolas" w:hAnsi="Consolas"/>
          <w:spacing w:val="-82"/>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CODE("abc")</w:t>
      </w:r>
      <w:r>
        <w:rPr>
          <w:rFonts w:ascii="Consolas"/>
          <w:spacing w:val="-72"/>
        </w:rPr>
        <w:t> </w:t>
      </w:r>
      <w:r>
        <w:rPr/>
        <w:t>results in </w:t>
      </w:r>
      <w:r>
        <w:rPr>
          <w:rFonts w:ascii="Consolas"/>
        </w:rPr>
        <w:t>97</w:t>
      </w:r>
    </w:p>
    <w:p>
      <w:pPr>
        <w:pStyle w:val="BodyText"/>
        <w:spacing w:before="41"/>
        <w:ind w:left="220"/>
        <w:rPr>
          <w:rFonts w:ascii="Consolas"/>
        </w:rPr>
      </w:pPr>
      <w:r>
        <w:rPr>
          <w:rFonts w:ascii="Consolas"/>
        </w:rPr>
        <w:t>CODE(A10)</w:t>
      </w:r>
      <w:r>
        <w:rPr>
          <w:rFonts w:ascii="Consolas"/>
          <w:spacing w:val="-76"/>
        </w:rPr>
        <w:t> </w:t>
      </w:r>
      <w:r>
        <w:rPr/>
        <w:t>results in </w:t>
      </w:r>
      <w:r>
        <w:rPr>
          <w:rFonts w:ascii="Consolas"/>
        </w:rPr>
        <w:t>97</w:t>
      </w:r>
      <w:r>
        <w:rPr/>
        <w:t>, when A1 contains </w:t>
      </w:r>
      <w:r>
        <w:rPr>
          <w:rFonts w:ascii="Consolas"/>
          <w:spacing w:val="-2"/>
        </w:rPr>
        <w:t>abc</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2 COLUMN" w:id="1518"/>
      <w:bookmarkEnd w:id="1518"/>
      <w:r>
        <w:rPr/>
      </w:r>
      <w:bookmarkStart w:name="_bookmark505" w:id="1519"/>
      <w:bookmarkEnd w:id="1519"/>
      <w:r>
        <w:rPr/>
      </w:r>
      <w:bookmarkStart w:name="_bookmark505" w:id="1520"/>
      <w:bookmarkEnd w:id="1520"/>
      <w:r>
        <w:rPr>
          <w:color w:val="4F81BC"/>
        </w:rPr>
        <w:t>COLU</w:t>
      </w:r>
      <w:r>
        <w:rPr>
          <w:color w:val="4F81BC"/>
        </w:rPr>
        <w:t>MN</w:t>
      </w:r>
    </w:p>
    <w:p>
      <w:pPr>
        <w:pStyle w:val="Heading4"/>
        <w:spacing w:before="123"/>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COLUMN ( </w:t>
      </w:r>
      <w:r>
        <w:rPr>
          <w:sz w:val="22"/>
        </w:rPr>
        <w:t>[ </w:t>
      </w:r>
      <w:r>
        <w:rPr>
          <w:i/>
          <w:sz w:val="22"/>
        </w:rPr>
        <w:t>reference </w:t>
      </w:r>
      <w:r>
        <w:rPr>
          <w:sz w:val="22"/>
        </w:rPr>
        <w:t>] </w:t>
      </w:r>
      <w:r>
        <w:rPr>
          <w:rFonts w:ascii="Lucida Console"/>
          <w:sz w:val="20"/>
        </w:rPr>
        <w:t>)</w:t>
      </w:r>
    </w:p>
    <w:p>
      <w:pPr>
        <w:spacing w:before="108"/>
        <w:ind w:left="220" w:right="0" w:firstLine="0"/>
        <w:jc w:val="left"/>
        <w:rPr>
          <w:sz w:val="22"/>
        </w:rPr>
      </w:pPr>
      <w:r>
        <w:rPr>
          <w:b/>
          <w:sz w:val="22"/>
        </w:rPr>
        <w:t>Description: </w:t>
      </w:r>
      <w:r>
        <w:rPr>
          <w:sz w:val="22"/>
        </w:rPr>
        <w:t>Finds the number of the column(s) corresponding to </w:t>
      </w:r>
      <w:r>
        <w:rPr>
          <w:rFonts w:ascii="Times New Roman"/>
          <w:i/>
          <w:sz w:val="22"/>
        </w:rPr>
        <w:t>reference</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rPr>
                <w:rFonts w:ascii="Times New Roman"/>
                <w:i/>
                <w:sz w:val="22"/>
              </w:rPr>
            </w:pPr>
            <w:r>
              <w:rPr>
                <w:rFonts w:ascii="Times New Roman"/>
                <w:i/>
                <w:sz w:val="22"/>
              </w:rPr>
              <w:t>reference</w:t>
            </w:r>
          </w:p>
        </w:tc>
        <w:tc>
          <w:tcPr>
            <w:tcW w:w="1800" w:type="dxa"/>
          </w:tcPr>
          <w:p>
            <w:pPr>
              <w:pStyle w:val="TableParagraph"/>
              <w:ind w:left="112"/>
              <w:rPr>
                <w:sz w:val="22"/>
              </w:rPr>
            </w:pPr>
            <w:r>
              <w:rPr>
                <w:sz w:val="22"/>
              </w:rPr>
              <w:t>reference</w:t>
            </w:r>
          </w:p>
        </w:tc>
        <w:tc>
          <w:tcPr>
            <w:tcW w:w="5400" w:type="dxa"/>
          </w:tcPr>
          <w:p>
            <w:pPr>
              <w:pStyle w:val="TableParagraph"/>
              <w:ind w:left="113" w:right="87"/>
              <w:rPr>
                <w:sz w:val="22"/>
              </w:rPr>
            </w:pPr>
            <w:r>
              <w:rPr>
                <w:sz w:val="22"/>
              </w:rPr>
              <w:t>A reference to a single cell or to a range of contiguous cells. If omitted, the behavior is as if </w:t>
            </w:r>
            <w:r>
              <w:rPr>
                <w:rFonts w:ascii="Times New Roman"/>
                <w:i/>
                <w:sz w:val="22"/>
              </w:rPr>
              <w:t>reference </w:t>
            </w:r>
            <w:r>
              <w:rPr>
                <w:sz w:val="22"/>
              </w:rPr>
              <w:t>referred to the cell containing the formula.</w:t>
            </w:r>
          </w:p>
        </w:tc>
      </w:tr>
    </w:tbl>
    <w:p>
      <w:pPr>
        <w:pStyle w:val="BodyText"/>
        <w:rPr>
          <w:b/>
        </w:rPr>
      </w:pPr>
    </w:p>
    <w:p>
      <w:pPr>
        <w:pStyle w:val="BodyText"/>
        <w:spacing w:before="5"/>
        <w:rPr>
          <w:b/>
          <w:sz w:val="19"/>
        </w:rPr>
      </w:pPr>
    </w:p>
    <w:p>
      <w:pPr>
        <w:pStyle w:val="BodyText"/>
        <w:spacing w:line="276" w:lineRule="auto"/>
        <w:ind w:left="220" w:right="478"/>
      </w:pPr>
      <w:r>
        <w:rPr>
          <w:b/>
        </w:rPr>
        <w:t>Return Type and Value: </w:t>
      </w:r>
      <w:r>
        <w:rPr/>
        <w:t>number – If </w:t>
      </w:r>
      <w:r>
        <w:rPr>
          <w:rFonts w:ascii="Times New Roman" w:hAnsi="Times New Roman"/>
          <w:i/>
        </w:rPr>
        <w:t>reference </w:t>
      </w:r>
      <w:r>
        <w:rPr/>
        <w:t>refers to a single cell or to a single column of cells, the corresponding column is returned. If </w:t>
      </w:r>
      <w:r>
        <w:rPr>
          <w:rFonts w:ascii="Times New Roman" w:hAnsi="Times New Roman"/>
          <w:i/>
        </w:rPr>
        <w:t>reference </w:t>
      </w:r>
      <w:r>
        <w:rPr/>
        <w:t>refers to a range of cells involving multiple columns, a horizontal array of the corresponding columns as numbers is returned.</w:t>
      </w:r>
    </w:p>
    <w:p>
      <w:pPr>
        <w:pStyle w:val="BodyText"/>
        <w:spacing w:before="6"/>
        <w:rPr>
          <w:sz w:val="16"/>
        </w:rPr>
      </w:pPr>
    </w:p>
    <w:p>
      <w:pPr>
        <w:pStyle w:val="BodyText"/>
        <w:spacing w:line="453" w:lineRule="auto"/>
        <w:ind w:left="220" w:right="1564"/>
      </w:pPr>
      <w:r>
        <w:rPr/>
        <w:t>However, if the range of cells referred to by </w:t>
      </w:r>
      <w:r>
        <w:rPr>
          <w:rFonts w:ascii="Times New Roman"/>
          <w:i/>
        </w:rPr>
        <w:t>reference </w:t>
      </w:r>
      <w:r>
        <w:rPr/>
        <w:t>is not contiguous, </w:t>
      </w:r>
      <w:r>
        <w:rPr>
          <w:rFonts w:ascii="Consolas"/>
        </w:rPr>
        <w:t>#REF!</w:t>
      </w:r>
      <w:r>
        <w:rPr>
          <w:rFonts w:ascii="Consolas"/>
          <w:spacing w:val="-102"/>
        </w:rPr>
        <w:t> </w:t>
      </w:r>
      <w:r>
        <w:rPr/>
        <w:t>is returned. [</w:t>
      </w:r>
      <w:r>
        <w:rPr>
          <w:i/>
        </w:rPr>
        <w:t>Example</w:t>
      </w:r>
      <w:r>
        <w:rPr/>
        <w:t>:</w:t>
      </w:r>
    </w:p>
    <w:p>
      <w:pPr>
        <w:pStyle w:val="BodyText"/>
        <w:spacing w:before="109"/>
        <w:ind w:left="220"/>
      </w:pPr>
      <w:r>
        <w:rPr>
          <w:rFonts w:ascii="Consolas"/>
        </w:rPr>
        <w:t>COLUMN()</w:t>
      </w:r>
      <w:r>
        <w:rPr>
          <w:rFonts w:ascii="Consolas"/>
          <w:spacing w:val="-83"/>
        </w:rPr>
        <w:t> </w:t>
      </w:r>
      <w:r>
        <w:rPr/>
        <w:t>results in </w:t>
      </w:r>
      <w:r>
        <w:rPr>
          <w:rFonts w:ascii="Consolas"/>
        </w:rPr>
        <w:t>4</w:t>
      </w:r>
      <w:r>
        <w:rPr/>
        <w:t>, when the cell containing the formula is in column 4</w:t>
      </w:r>
    </w:p>
    <w:p>
      <w:pPr>
        <w:pStyle w:val="BodyText"/>
        <w:spacing w:before="41"/>
        <w:ind w:left="220"/>
        <w:rPr>
          <w:rFonts w:ascii="Consolas"/>
        </w:rPr>
      </w:pPr>
      <w:r>
        <w:rPr>
          <w:rFonts w:ascii="Consolas"/>
        </w:rPr>
        <w:t>COLUMN(E17:E19)</w:t>
      </w:r>
      <w:r>
        <w:rPr>
          <w:rFonts w:ascii="Consolas"/>
          <w:spacing w:val="-69"/>
        </w:rPr>
        <w:t> </w:t>
      </w:r>
      <w:r>
        <w:rPr/>
        <w:t>results in </w:t>
      </w:r>
      <w:r>
        <w:rPr>
          <w:rFonts w:ascii="Consolas"/>
        </w:rPr>
        <w:t>5</w:t>
      </w:r>
    </w:p>
    <w:p>
      <w:pPr>
        <w:pStyle w:val="BodyText"/>
        <w:spacing w:before="41"/>
        <w:ind w:left="220"/>
      </w:pPr>
      <w:r>
        <w:rPr>
          <w:rFonts w:ascii="Consolas"/>
        </w:rPr>
        <w:t>COLUMN(E16:F17)</w:t>
      </w:r>
      <w:r>
        <w:rPr>
          <w:rFonts w:ascii="Consolas"/>
          <w:spacing w:val="-72"/>
        </w:rPr>
        <w:t> </w:t>
      </w:r>
      <w:r>
        <w:rPr/>
        <w:t>results in a horizontal array containing 5and 6, respectively</w:t>
      </w:r>
    </w:p>
    <w:p>
      <w:pPr>
        <w:pStyle w:val="BodyText"/>
        <w:spacing w:before="8"/>
        <w:rPr>
          <w:sz w:val="28"/>
        </w:rPr>
      </w:pPr>
    </w:p>
    <w:p>
      <w:pPr>
        <w:spacing w:before="1"/>
        <w:ind w:left="220" w:right="0" w:firstLine="0"/>
        <w:jc w:val="left"/>
        <w:rPr>
          <w:sz w:val="22"/>
        </w:rPr>
      </w:pPr>
      <w:r>
        <w:rPr>
          <w:i/>
          <w:sz w:val="22"/>
        </w:rPr>
        <w:t>end example</w:t>
      </w:r>
      <w:r>
        <w:rPr>
          <w:sz w:val="22"/>
        </w:rPr>
        <w:t>]</w:t>
      </w:r>
    </w:p>
    <w:p>
      <w:pPr>
        <w:spacing w:after="0"/>
        <w:jc w:val="left"/>
        <w:rPr>
          <w:sz w:val="22"/>
        </w:rPr>
        <w:sectPr>
          <w:footerReference w:type="even" r:id="rId215"/>
          <w:footerReference w:type="default" r:id="rId216"/>
          <w:pgSz w:w="12240" w:h="15840"/>
          <w:pgMar w:footer="746" w:header="761" w:top="1340" w:bottom="940" w:left="860" w:right="700"/>
          <w:pgNumType w:start="212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43 COLUMNS" w:id="1521"/>
      <w:bookmarkEnd w:id="1521"/>
      <w:r>
        <w:rPr/>
      </w:r>
      <w:bookmarkStart w:name="_bookmark506" w:id="1522"/>
      <w:bookmarkEnd w:id="1522"/>
      <w:r>
        <w:rPr/>
      </w:r>
      <w:bookmarkStart w:name="_bookmark506" w:id="1523"/>
      <w:bookmarkEnd w:id="1523"/>
      <w:r>
        <w:rPr>
          <w:color w:val="4F81BC"/>
        </w:rPr>
        <w:t>COLU</w:t>
      </w:r>
      <w:r>
        <w:rPr>
          <w:color w:val="4F81BC"/>
        </w:rPr>
        <w:t>MNS</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COLUMNS ( </w:t>
      </w:r>
      <w:r>
        <w:rPr>
          <w:i/>
          <w:sz w:val="22"/>
        </w:rPr>
        <w:t>array </w:t>
      </w:r>
      <w:r>
        <w:rPr>
          <w:rFonts w:ascii="Lucida Console"/>
          <w:sz w:val="20"/>
        </w:rPr>
        <w:t>)</w:t>
      </w:r>
    </w:p>
    <w:p>
      <w:pPr>
        <w:spacing w:before="108"/>
        <w:ind w:left="220" w:right="0" w:firstLine="0"/>
        <w:jc w:val="left"/>
        <w:rPr>
          <w:sz w:val="22"/>
        </w:rPr>
      </w:pPr>
      <w:r>
        <w:rPr>
          <w:b/>
          <w:sz w:val="22"/>
        </w:rPr>
        <w:t>Description: </w:t>
      </w:r>
      <w:r>
        <w:rPr>
          <w:sz w:val="22"/>
        </w:rPr>
        <w:t>Finds the number of columns corresponding to </w:t>
      </w:r>
      <w:r>
        <w:rPr>
          <w:rFonts w:ascii="Times New Roman"/>
          <w:i/>
          <w:sz w:val="22"/>
        </w:rPr>
        <w:t>array</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Any array.</w:t>
            </w:r>
          </w:p>
        </w:tc>
      </w:tr>
    </w:tbl>
    <w:p>
      <w:pPr>
        <w:pStyle w:val="BodyText"/>
        <w:rPr>
          <w:b/>
        </w:rPr>
      </w:pPr>
    </w:p>
    <w:p>
      <w:pPr>
        <w:pStyle w:val="BodyText"/>
        <w:spacing w:before="8"/>
        <w:rPr>
          <w:b/>
          <w:sz w:val="19"/>
        </w:rPr>
      </w:pPr>
    </w:p>
    <w:p>
      <w:pPr>
        <w:spacing w:line="453" w:lineRule="auto" w:before="0"/>
        <w:ind w:left="220" w:right="2289" w:firstLine="0"/>
        <w:jc w:val="left"/>
        <w:rPr>
          <w:sz w:val="22"/>
        </w:rPr>
      </w:pPr>
      <w:r>
        <w:rPr>
          <w:b/>
          <w:sz w:val="22"/>
        </w:rPr>
        <w:t>Return Type and Value: </w:t>
      </w:r>
      <w:r>
        <w:rPr>
          <w:sz w:val="22"/>
        </w:rPr>
        <w:t>number – The number of columns corresponding to </w:t>
      </w:r>
      <w:r>
        <w:rPr>
          <w:rFonts w:ascii="Times New Roman" w:hAnsi="Times New Roman"/>
          <w:i/>
          <w:sz w:val="22"/>
        </w:rPr>
        <w:t>array</w:t>
      </w:r>
      <w:r>
        <w:rPr>
          <w:sz w:val="22"/>
        </w:rPr>
        <w:t>. However, if the range of cells referred to by </w:t>
      </w:r>
      <w:r>
        <w:rPr>
          <w:rFonts w:ascii="Times New Roman" w:hAnsi="Times New Roman"/>
          <w:i/>
          <w:sz w:val="22"/>
        </w:rPr>
        <w:t>array </w:t>
      </w:r>
      <w:r>
        <w:rPr>
          <w:sz w:val="22"/>
        </w:rPr>
        <w:t>is not contiguous, </w:t>
      </w:r>
      <w:r>
        <w:rPr>
          <w:rFonts w:ascii="Consolas" w:hAnsi="Consolas"/>
          <w:sz w:val="22"/>
        </w:rPr>
        <w:t>#NULL!</w:t>
      </w:r>
      <w:r>
        <w:rPr>
          <w:rFonts w:ascii="Consolas" w:hAnsi="Consolas"/>
          <w:spacing w:val="-100"/>
          <w:sz w:val="22"/>
        </w:rPr>
        <w:t> </w:t>
      </w:r>
      <w:r>
        <w:rPr>
          <w:sz w:val="22"/>
        </w:rPr>
        <w:t>is returned. [</w:t>
      </w:r>
      <w:r>
        <w:rPr>
          <w:i/>
          <w:sz w:val="22"/>
        </w:rPr>
        <w:t>Example</w:t>
      </w:r>
      <w:r>
        <w:rPr>
          <w:sz w:val="22"/>
        </w:rPr>
        <w:t>:</w:t>
      </w:r>
    </w:p>
    <w:p>
      <w:pPr>
        <w:pStyle w:val="BodyText"/>
        <w:spacing w:line="276" w:lineRule="auto" w:before="112"/>
        <w:ind w:left="220" w:right="7238"/>
        <w:rPr>
          <w:rFonts w:ascii="Consolas"/>
        </w:rPr>
      </w:pPr>
      <w:r>
        <w:rPr>
          <w:rFonts w:ascii="Consolas"/>
        </w:rPr>
        <w:t>COLUMNS(E16:F16) </w:t>
      </w:r>
      <w:r>
        <w:rPr/>
        <w:t>results in </w:t>
      </w:r>
      <w:r>
        <w:rPr>
          <w:rFonts w:ascii="Consolas"/>
        </w:rPr>
        <w:t>2 COLUMNS(E16:G18) </w:t>
      </w:r>
      <w:r>
        <w:rPr/>
        <w:t>results in </w:t>
      </w:r>
      <w:r>
        <w:rPr>
          <w:rFonts w:ascii="Consolas"/>
        </w:rPr>
        <w:t>3 COLUMNS({1,2;3,4})</w:t>
      </w:r>
      <w:r>
        <w:rPr>
          <w:rFonts w:ascii="Consolas"/>
          <w:spacing w:val="-81"/>
        </w:rPr>
        <w:t> </w:t>
      </w:r>
      <w:r>
        <w:rPr/>
        <w:t>results in </w:t>
      </w:r>
      <w:r>
        <w:rPr>
          <w:rFonts w:ascii="Consolas"/>
        </w:rPr>
        <w:t>2</w:t>
      </w:r>
    </w:p>
    <w:p>
      <w:pPr>
        <w:pStyle w:val="BodyText"/>
        <w:spacing w:before="4"/>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44 COMBIN" w:id="1524"/>
      <w:bookmarkEnd w:id="1524"/>
      <w:r>
        <w:rPr/>
      </w:r>
      <w:bookmarkStart w:name="_bookmark507" w:id="1525"/>
      <w:bookmarkEnd w:id="1525"/>
      <w:r>
        <w:rPr/>
      </w:r>
      <w:bookmarkStart w:name="_bookmark507" w:id="1526"/>
      <w:bookmarkEnd w:id="1526"/>
      <w:r>
        <w:rPr>
          <w:color w:val="4F81BC"/>
        </w:rPr>
        <w:t>COMBI</w:t>
      </w:r>
      <w:r>
        <w:rPr>
          <w:color w:val="4F81BC"/>
        </w:rPr>
        <w:t>N</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COMBIN ( </w:t>
      </w:r>
      <w:r>
        <w:rPr>
          <w:i/>
          <w:sz w:val="22"/>
        </w:rPr>
        <w:t>number </w:t>
      </w:r>
      <w:r>
        <w:rPr>
          <w:rFonts w:ascii="Lucida Console"/>
          <w:sz w:val="20"/>
        </w:rPr>
        <w:t>, </w:t>
      </w:r>
      <w:r>
        <w:rPr>
          <w:i/>
          <w:sz w:val="22"/>
        </w:rPr>
        <w:t>number-chosen </w:t>
      </w:r>
      <w:r>
        <w:rPr>
          <w:rFonts w:ascii="Lucida Console"/>
          <w:sz w:val="20"/>
        </w:rPr>
        <w:t>)</w:t>
      </w:r>
    </w:p>
    <w:p>
      <w:pPr>
        <w:pStyle w:val="BodyText"/>
        <w:spacing w:line="276" w:lineRule="auto" w:before="106"/>
        <w:ind w:left="220" w:right="382"/>
      </w:pPr>
      <w:r>
        <w:rPr>
          <w:b/>
        </w:rPr>
        <w:t>Description: </w:t>
      </w:r>
      <w:r>
        <w:rPr/>
        <w:t>Computes the possible number of groups of size </w:t>
      </w:r>
      <w:r>
        <w:rPr>
          <w:rFonts w:ascii="Times New Roman"/>
          <w:i/>
        </w:rPr>
        <w:t>number-chosen </w:t>
      </w:r>
      <w:r>
        <w:rPr/>
        <w:t>that can be formed from </w:t>
      </w:r>
      <w:r>
        <w:rPr>
          <w:rFonts w:ascii="Times New Roman"/>
          <w:i/>
        </w:rPr>
        <w:t>number </w:t>
      </w:r>
      <w:r>
        <w:rPr/>
        <w:t>objects. [</w:t>
      </w:r>
      <w:r>
        <w:rPr>
          <w:i/>
        </w:rPr>
        <w:t>Note</w:t>
      </w:r>
      <w:r>
        <w:rPr/>
        <w:t>: A combination is any set or subset of objects, regardless of their internal order. Combinations are distinct from permutations, for which the internal order is significant. </w:t>
      </w:r>
      <w:r>
        <w:rPr>
          <w:i/>
        </w:rPr>
        <w:t>end note</w:t>
      </w:r>
      <w:r>
        <w:rPr/>
        <w:t>]</w:t>
      </w:r>
    </w:p>
    <w:p>
      <w:pPr>
        <w:pStyle w:val="BodyText"/>
        <w:spacing w:before="6"/>
        <w:rPr>
          <w:sz w:val="16"/>
        </w:rPr>
      </w:pPr>
    </w:p>
    <w:p>
      <w:pPr>
        <w:pStyle w:val="Heading4"/>
        <w:rPr>
          <w:b w:val="0"/>
        </w:rPr>
      </w:pPr>
      <w:r>
        <w:rPr/>
        <w:t>Mathematical Formula</w:t>
      </w:r>
      <w:r>
        <w:rPr>
          <w:b w:val="0"/>
        </w:rPr>
        <w:t>:</w:t>
      </w:r>
    </w:p>
    <w:p>
      <w:pPr>
        <w:pStyle w:val="BodyText"/>
        <w:spacing w:before="8"/>
        <w:rPr>
          <w:sz w:val="19"/>
        </w:rPr>
      </w:pPr>
    </w:p>
    <w:p>
      <w:pPr>
        <w:spacing w:before="0"/>
        <w:ind w:left="220" w:right="0" w:firstLine="0"/>
        <w:jc w:val="left"/>
        <w:rPr>
          <w:sz w:val="22"/>
        </w:rPr>
      </w:pPr>
      <w:r>
        <w:rPr>
          <w:sz w:val="22"/>
        </w:rPr>
        <w:t>The number of combinations is as follows, where </w:t>
      </w:r>
      <w:r>
        <w:rPr>
          <w:rFonts w:ascii="Times New Roman"/>
          <w:i/>
          <w:sz w:val="22"/>
        </w:rPr>
        <w:t>number = n </w:t>
      </w:r>
      <w:r>
        <w:rPr>
          <w:sz w:val="22"/>
        </w:rPr>
        <w:t>and </w:t>
      </w:r>
      <w:r>
        <w:rPr>
          <w:rFonts w:ascii="Times New Roman"/>
          <w:i/>
          <w:sz w:val="22"/>
        </w:rPr>
        <w:t>number-chosen = k</w:t>
      </w:r>
      <w:r>
        <w:rPr>
          <w:sz w:val="22"/>
        </w:rPr>
        <w:t>:</w:t>
      </w:r>
    </w:p>
    <w:p>
      <w:pPr>
        <w:pStyle w:val="BodyText"/>
        <w:spacing w:before="10"/>
        <w:rPr>
          <w:sz w:val="11"/>
        </w:rPr>
      </w:pPr>
    </w:p>
    <w:p>
      <w:pPr>
        <w:spacing w:after="0"/>
        <w:rPr>
          <w:sz w:val="11"/>
        </w:rPr>
        <w:sectPr>
          <w:pgSz w:w="12240" w:h="15840"/>
          <w:pgMar w:header="763" w:footer="746" w:top="1340" w:bottom="940" w:left="860" w:right="700"/>
        </w:sectPr>
      </w:pPr>
    </w:p>
    <w:p>
      <w:pPr>
        <w:pStyle w:val="BodyText"/>
        <w:spacing w:line="328" w:lineRule="exact" w:before="91"/>
        <w:ind w:left="328"/>
        <w:rPr>
          <w:rFonts w:ascii="Cambria Math" w:eastAsia="Cambria Math"/>
        </w:rPr>
      </w:pPr>
      <w:r>
        <w:rPr/>
        <w:pict>
          <v:shape style="position:absolute;margin-left:54pt;margin-top:13.404108pt;width:5.45pt;height:11.1pt;mso-position-horizontal-relative:page;mso-position-vertical-relative:paragraph;z-index:251748352" type="#_x0000_t202" filled="false" stroked="false">
            <v:textbox inset="0,0,0,0">
              <w:txbxContent>
                <w:p>
                  <w:pPr>
                    <w:pStyle w:val="BodyText"/>
                    <w:spacing w:line="221" w:lineRule="exact"/>
                    <w:rPr>
                      <w:rFonts w:ascii="Cambria Math"/>
                    </w:rPr>
                  </w:pPr>
                  <w:r>
                    <w:rPr>
                      <w:rFonts w:ascii="Cambria Math"/>
                      <w:w w:val="118"/>
                    </w:rPr>
                    <w:t>(</w:t>
                  </w:r>
                </w:p>
              </w:txbxContent>
            </v:textbox>
            <w10:wrap type="none"/>
          </v:shape>
        </w:pict>
      </w:r>
      <w:r>
        <w:rPr>
          <w:rFonts w:ascii="Cambria Math" w:eastAsia="Cambria Math"/>
          <w:w w:val="105"/>
          <w:position w:val="14"/>
        </w:rPr>
        <w:t>𝑛</w:t>
      </w:r>
      <w:r>
        <w:rPr>
          <w:rFonts w:ascii="Cambria Math" w:eastAsia="Cambria Math"/>
          <w:w w:val="105"/>
        </w:rPr>
        <w:t>) =</w:t>
      </w:r>
    </w:p>
    <w:p>
      <w:pPr>
        <w:pStyle w:val="BodyText"/>
        <w:spacing w:line="188" w:lineRule="exact"/>
        <w:ind w:left="328"/>
        <w:rPr>
          <w:rFonts w:ascii="Cambria Math" w:eastAsia="Cambria Math"/>
        </w:rPr>
      </w:pPr>
      <w:r>
        <w:rPr>
          <w:rFonts w:ascii="Cambria Math" w:eastAsia="Cambria Math"/>
        </w:rPr>
        <w:t>𝑘</w:t>
      </w:r>
    </w:p>
    <w:p>
      <w:pPr>
        <w:spacing w:line="163" w:lineRule="auto" w:before="86"/>
        <w:ind w:left="71" w:right="0" w:firstLine="0"/>
        <w:jc w:val="left"/>
        <w:rPr>
          <w:rFonts w:ascii="Cambria Math" w:eastAsia="Cambria Math"/>
          <w:sz w:val="22"/>
        </w:rPr>
      </w:pPr>
      <w:r>
        <w:rPr/>
        <w:br w:type="column"/>
      </w:r>
      <w:r>
        <w:rPr>
          <w:rFonts w:ascii="Cambria Math" w:eastAsia="Cambria Math"/>
          <w:spacing w:val="-6"/>
          <w:w w:val="105"/>
          <w:position w:val="5"/>
          <w:sz w:val="22"/>
        </w:rPr>
        <w:t>𝑃</w:t>
      </w:r>
      <w:r>
        <w:rPr>
          <w:rFonts w:ascii="Cambria Math" w:eastAsia="Cambria Math"/>
          <w:spacing w:val="-6"/>
          <w:w w:val="105"/>
          <w:sz w:val="16"/>
        </w:rPr>
        <w:t>𝑘,𝑛 </w:t>
      </w:r>
      <w:r>
        <w:rPr>
          <w:rFonts w:ascii="Cambria Math" w:eastAsia="Cambria Math"/>
          <w:spacing w:val="-18"/>
          <w:w w:val="105"/>
          <w:position w:val="-11"/>
          <w:sz w:val="22"/>
        </w:rPr>
        <w:t>=</w:t>
      </w:r>
    </w:p>
    <w:p>
      <w:pPr>
        <w:pStyle w:val="BodyText"/>
        <w:spacing w:line="204" w:lineRule="exact"/>
        <w:ind w:left="157"/>
        <w:rPr>
          <w:rFonts w:ascii="Cambria Math" w:eastAsia="Cambria Math"/>
        </w:rPr>
      </w:pPr>
      <w:r>
        <w:rPr/>
        <w:pict>
          <v:line style="position:absolute;mso-position-horizontal-relative:page;mso-position-vertical-relative:paragraph;z-index:-335893504" from="88.103996pt,-2.826238pt" to="106.223996pt,-2.826238pt" stroked="true" strokeweight=".71997pt" strokecolor="#000000">
            <v:stroke dashstyle="solid"/>
            <w10:wrap type="none"/>
          </v:line>
        </w:pict>
      </w:r>
      <w:r>
        <w:rPr>
          <w:rFonts w:ascii="Cambria Math" w:eastAsia="Cambria Math"/>
        </w:rPr>
        <w:t>𝑘!</w:t>
      </w:r>
    </w:p>
    <w:p>
      <w:pPr>
        <w:spacing w:before="63"/>
        <w:ind w:left="51" w:right="8068" w:firstLine="0"/>
        <w:jc w:val="center"/>
        <w:rPr>
          <w:rFonts w:ascii="Cambria Math" w:eastAsia="Cambria Math"/>
          <w:sz w:val="22"/>
        </w:rPr>
      </w:pPr>
      <w:r>
        <w:rPr/>
        <w:br w:type="column"/>
      </w:r>
      <w:r>
        <w:rPr>
          <w:rFonts w:ascii="Cambria Math" w:eastAsia="Cambria Math"/>
          <w:sz w:val="22"/>
        </w:rPr>
        <w:t>𝑛!</w:t>
      </w:r>
    </w:p>
    <w:p>
      <w:pPr>
        <w:pStyle w:val="BodyText"/>
        <w:spacing w:before="2"/>
        <w:rPr>
          <w:rFonts w:ascii="Cambria Math"/>
          <w:sz w:val="4"/>
        </w:rPr>
      </w:pPr>
    </w:p>
    <w:p>
      <w:pPr>
        <w:pStyle w:val="BodyText"/>
        <w:spacing w:line="20" w:lineRule="exact"/>
        <w:ind w:left="60"/>
        <w:rPr>
          <w:rFonts w:ascii="Cambria Math"/>
          <w:sz w:val="2"/>
        </w:rPr>
      </w:pPr>
      <w:r>
        <w:rPr>
          <w:rFonts w:ascii="Cambria Math"/>
          <w:sz w:val="2"/>
        </w:rPr>
        <w:pict>
          <v:group style="width:49.7pt;height:.75pt;mso-position-horizontal-relative:char;mso-position-vertical-relative:line" coordorigin="0,0" coordsize="994,15">
            <v:line style="position:absolute" from="0,7" to="994,7" stroked="true" strokeweight=".71997pt" strokecolor="#000000">
              <v:stroke dashstyle="solid"/>
            </v:line>
          </v:group>
        </w:pict>
      </w:r>
      <w:r>
        <w:rPr>
          <w:rFonts w:ascii="Cambria Math"/>
          <w:sz w:val="2"/>
        </w:rPr>
      </w:r>
    </w:p>
    <w:p>
      <w:pPr>
        <w:pStyle w:val="BodyText"/>
        <w:ind w:left="54" w:right="8068"/>
        <w:jc w:val="center"/>
        <w:rPr>
          <w:rFonts w:ascii="Cambria Math" w:hAnsi="Cambria Math" w:eastAsia="Cambria Math"/>
        </w:rPr>
      </w:pPr>
      <w:r>
        <w:rPr>
          <w:rFonts w:ascii="Cambria Math" w:hAnsi="Cambria Math" w:eastAsia="Cambria Math"/>
        </w:rPr>
        <w:t>𝑘! </w:t>
      </w:r>
      <w:r>
        <w:rPr>
          <w:rFonts w:ascii="Cambria Math" w:hAnsi="Cambria Math" w:eastAsia="Cambria Math"/>
          <w:position w:val="1"/>
        </w:rPr>
        <w:t>(</w:t>
      </w:r>
      <w:r>
        <w:rPr>
          <w:rFonts w:ascii="Cambria Math" w:hAnsi="Cambria Math" w:eastAsia="Cambria Math"/>
        </w:rPr>
        <w:t>𝑛 − 𝑘</w:t>
      </w:r>
      <w:r>
        <w:rPr>
          <w:rFonts w:ascii="Cambria Math" w:hAnsi="Cambria Math" w:eastAsia="Cambria Math"/>
          <w:position w:val="1"/>
        </w:rPr>
        <w:t>)</w:t>
      </w:r>
      <w:r>
        <w:rPr>
          <w:rFonts w:ascii="Cambria Math" w:hAnsi="Cambria Math" w:eastAsia="Cambria Math"/>
        </w:rPr>
        <w:t>!</w:t>
      </w:r>
    </w:p>
    <w:p>
      <w:pPr>
        <w:spacing w:after="0"/>
        <w:jc w:val="center"/>
        <w:rPr>
          <w:rFonts w:ascii="Cambria Math" w:hAnsi="Cambria Math" w:eastAsia="Cambria Math"/>
        </w:rPr>
        <w:sectPr>
          <w:type w:val="continuous"/>
          <w:pgSz w:w="12240" w:h="15840"/>
          <w:pgMar w:top="1340" w:bottom="940" w:left="860" w:right="700"/>
          <w:cols w:num="3" w:equalWidth="0">
            <w:col w:w="792" w:space="40"/>
            <w:col w:w="659" w:space="39"/>
            <w:col w:w="9150"/>
          </w:cols>
        </w:sectPr>
      </w:pPr>
    </w:p>
    <w:p>
      <w:pPr>
        <w:pStyle w:val="BodyText"/>
        <w:spacing w:before="8"/>
        <w:rPr>
          <w:rFonts w:ascii="Cambria Math"/>
          <w:sz w:val="14"/>
        </w:rPr>
      </w:pPr>
    </w:p>
    <w:p>
      <w:pPr>
        <w:pStyle w:val="BodyText"/>
        <w:spacing w:before="56"/>
        <w:ind w:left="220"/>
      </w:pPr>
      <w:r>
        <w:rPr/>
        <w:t>where:</w:t>
      </w:r>
    </w:p>
    <w:p>
      <w:pPr>
        <w:pStyle w:val="BodyText"/>
        <w:spacing w:before="10"/>
        <w:rPr>
          <w:sz w:val="11"/>
        </w:rPr>
      </w:pPr>
    </w:p>
    <w:p>
      <w:pPr>
        <w:spacing w:after="0"/>
        <w:rPr>
          <w:sz w:val="11"/>
        </w:rPr>
        <w:sectPr>
          <w:type w:val="continuous"/>
          <w:pgSz w:w="12240" w:h="15840"/>
          <w:pgMar w:top="1340" w:bottom="940" w:left="860" w:right="700"/>
        </w:sectPr>
      </w:pPr>
    </w:p>
    <w:p>
      <w:pPr>
        <w:pStyle w:val="BodyText"/>
        <w:spacing w:before="7"/>
        <w:rPr>
          <w:sz w:val="18"/>
        </w:rPr>
      </w:pPr>
    </w:p>
    <w:p>
      <w:pPr>
        <w:spacing w:before="0"/>
        <w:ind w:left="220" w:right="0" w:firstLine="0"/>
        <w:jc w:val="left"/>
        <w:rPr>
          <w:rFonts w:ascii="Cambria Math" w:eastAsia="Cambria Math"/>
          <w:sz w:val="22"/>
        </w:rPr>
      </w:pPr>
      <w:r>
        <w:rPr>
          <w:rFonts w:ascii="Cambria Math" w:eastAsia="Cambria Math"/>
          <w:spacing w:val="-6"/>
          <w:w w:val="105"/>
          <w:position w:val="5"/>
          <w:sz w:val="22"/>
        </w:rPr>
        <w:t>𝑃</w:t>
      </w:r>
      <w:r>
        <w:rPr>
          <w:rFonts w:ascii="Cambria Math" w:eastAsia="Cambria Math"/>
          <w:spacing w:val="-6"/>
          <w:w w:val="105"/>
          <w:sz w:val="16"/>
        </w:rPr>
        <w:t>𝑘,𝑛 </w:t>
      </w:r>
      <w:r>
        <w:rPr>
          <w:rFonts w:ascii="Cambria Math" w:eastAsia="Cambria Math"/>
          <w:spacing w:val="-18"/>
          <w:w w:val="105"/>
          <w:position w:val="5"/>
          <w:sz w:val="22"/>
        </w:rPr>
        <w:t>=</w:t>
      </w:r>
    </w:p>
    <w:p>
      <w:pPr>
        <w:spacing w:before="63"/>
        <w:ind w:left="53" w:right="8979" w:firstLine="0"/>
        <w:jc w:val="center"/>
        <w:rPr>
          <w:rFonts w:ascii="Cambria Math" w:eastAsia="Cambria Math"/>
          <w:sz w:val="22"/>
        </w:rPr>
      </w:pPr>
      <w:r>
        <w:rPr/>
        <w:br w:type="column"/>
      </w:r>
      <w:r>
        <w:rPr>
          <w:rFonts w:ascii="Cambria Math" w:eastAsia="Cambria Math"/>
          <w:sz w:val="22"/>
        </w:rPr>
        <w:t>𝑛!</w:t>
      </w:r>
    </w:p>
    <w:p>
      <w:pPr>
        <w:pStyle w:val="BodyText"/>
        <w:spacing w:before="2"/>
        <w:rPr>
          <w:rFonts w:ascii="Cambria Math"/>
          <w:sz w:val="4"/>
        </w:rPr>
      </w:pPr>
    </w:p>
    <w:p>
      <w:pPr>
        <w:pStyle w:val="BodyText"/>
        <w:spacing w:line="20" w:lineRule="exact"/>
        <w:ind w:left="60"/>
        <w:rPr>
          <w:rFonts w:ascii="Cambria Math"/>
          <w:sz w:val="2"/>
        </w:rPr>
      </w:pPr>
      <w:r>
        <w:rPr>
          <w:rFonts w:ascii="Cambria Math"/>
          <w:sz w:val="2"/>
        </w:rPr>
        <w:pict>
          <v:group style="width:38.3pt;height:.75pt;mso-position-horizontal-relative:char;mso-position-vertical-relative:line" coordorigin="0,0" coordsize="766,15">
            <v:line style="position:absolute" from="0,7" to="766,7" stroked="true" strokeweight=".71997pt" strokecolor="#000000">
              <v:stroke dashstyle="solid"/>
            </v:line>
          </v:group>
        </w:pict>
      </w:r>
      <w:r>
        <w:rPr>
          <w:rFonts w:ascii="Cambria Math"/>
          <w:sz w:val="2"/>
        </w:rPr>
      </w:r>
    </w:p>
    <w:p>
      <w:pPr>
        <w:pStyle w:val="BodyText"/>
        <w:ind w:left="55" w:right="8979"/>
        <w:jc w:val="center"/>
        <w:rPr>
          <w:rFonts w:ascii="Cambria Math" w:hAnsi="Cambria Math" w:eastAsia="Cambria Math"/>
        </w:rPr>
      </w:pPr>
      <w:r>
        <w:rPr>
          <w:rFonts w:ascii="Cambria Math" w:hAnsi="Cambria Math" w:eastAsia="Cambria Math"/>
          <w:position w:val="1"/>
        </w:rPr>
        <w:t>(</w:t>
      </w:r>
      <w:r>
        <w:rPr>
          <w:rFonts w:ascii="Cambria Math" w:hAnsi="Cambria Math" w:eastAsia="Cambria Math"/>
        </w:rPr>
        <w:t>𝑛 − 𝑘</w:t>
      </w:r>
      <w:r>
        <w:rPr>
          <w:rFonts w:ascii="Cambria Math" w:hAnsi="Cambria Math" w:eastAsia="Cambria Math"/>
          <w:position w:val="1"/>
        </w:rPr>
        <w:t>)</w:t>
      </w:r>
      <w:r>
        <w:rPr>
          <w:rFonts w:ascii="Cambria Math" w:hAnsi="Cambria Math" w:eastAsia="Cambria Math"/>
        </w:rPr>
        <w:t>!</w:t>
      </w:r>
    </w:p>
    <w:p>
      <w:pPr>
        <w:spacing w:after="0"/>
        <w:jc w:val="center"/>
        <w:rPr>
          <w:rFonts w:ascii="Cambria Math" w:hAnsi="Cambria Math" w:eastAsia="Cambria Math"/>
        </w:rPr>
        <w:sectPr>
          <w:type w:val="continuous"/>
          <w:pgSz w:w="12240" w:h="15840"/>
          <w:pgMar w:top="1340" w:bottom="940" w:left="860" w:right="700"/>
          <w:cols w:num="2" w:equalWidth="0">
            <w:col w:w="811" w:space="40"/>
            <w:col w:w="9829"/>
          </w:cols>
        </w:sectPr>
      </w:pPr>
    </w:p>
    <w:p>
      <w:pPr>
        <w:pStyle w:val="BodyText"/>
        <w:spacing w:before="8"/>
        <w:rPr>
          <w:rFonts w:ascii="Cambria Math"/>
          <w:sz w:val="14"/>
        </w:rPr>
      </w:pPr>
    </w:p>
    <w:p>
      <w:pPr>
        <w:pStyle w:val="BodyText"/>
        <w:spacing w:before="56"/>
        <w:ind w:left="220"/>
      </w:pPr>
      <w:r>
        <w:rPr/>
        <w:t>where:</w:t>
      </w:r>
    </w:p>
    <w:p>
      <w:pPr>
        <w:spacing w:after="0"/>
        <w:sectPr>
          <w:type w:val="continuous"/>
          <w:pgSz w:w="12240" w:h="15840"/>
          <w:pgMar w:top="1340" w:bottom="940" w:left="860" w:right="700"/>
        </w:sectPr>
      </w:pPr>
    </w:p>
    <w:p>
      <w:pPr>
        <w:pStyle w:val="ListParagraph"/>
        <w:numPr>
          <w:ilvl w:val="4"/>
          <w:numId w:val="66"/>
        </w:numPr>
        <w:tabs>
          <w:tab w:pos="940" w:val="left" w:leader="none"/>
          <w:tab w:pos="941" w:val="left" w:leader="none"/>
        </w:tabs>
        <w:spacing w:line="240" w:lineRule="auto" w:before="91" w:after="0"/>
        <w:ind w:left="940" w:right="0" w:hanging="361"/>
        <w:jc w:val="left"/>
        <w:rPr>
          <w:rFonts w:ascii="Times New Roman" w:hAnsi="Times New Roman"/>
          <w:i/>
          <w:sz w:val="22"/>
        </w:rPr>
      </w:pPr>
      <w:r>
        <w:rPr>
          <w:rFonts w:ascii="Times New Roman" w:hAnsi="Times New Roman"/>
          <w:i/>
          <w:sz w:val="22"/>
        </w:rPr>
        <w:t>k </w:t>
      </w:r>
      <w:r>
        <w:rPr>
          <w:sz w:val="22"/>
        </w:rPr>
        <w:t>= argument</w:t>
      </w:r>
      <w:r>
        <w:rPr>
          <w:spacing w:val="-8"/>
          <w:sz w:val="22"/>
        </w:rPr>
        <w:t> </w:t>
      </w:r>
      <w:r>
        <w:rPr>
          <w:rFonts w:ascii="Times New Roman" w:hAnsi="Times New Roman"/>
          <w:i/>
          <w:sz w:val="22"/>
        </w:rPr>
        <w:t>number-chosen</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n </w:t>
      </w:r>
      <w:r>
        <w:rPr>
          <w:sz w:val="22"/>
        </w:rPr>
        <w:t>= argument</w:t>
      </w:r>
      <w:r>
        <w:rPr>
          <w:spacing w:val="-8"/>
          <w:sz w:val="22"/>
        </w:rPr>
        <w:t> </w:t>
      </w:r>
      <w:r>
        <w:rPr>
          <w:rFonts w:ascii="Times New Roman" w:hAnsi="Times New Roman"/>
          <w:i/>
          <w:sz w:val="22"/>
        </w:rPr>
        <w:t>number</w:t>
      </w:r>
    </w:p>
    <w:p>
      <w:pPr>
        <w:pStyle w:val="Heading4"/>
        <w:spacing w:before="240"/>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433"/>
              <w:rPr>
                <w:sz w:val="22"/>
              </w:rPr>
            </w:pPr>
            <w:r>
              <w:rPr>
                <w:sz w:val="22"/>
              </w:rPr>
              <w:t>The total number of objects available, truncated to an integer.</w:t>
            </w:r>
          </w:p>
        </w:tc>
      </w:tr>
      <w:tr>
        <w:trPr>
          <w:trHeight w:val="623" w:hRule="atLeast"/>
        </w:trPr>
        <w:tc>
          <w:tcPr>
            <w:tcW w:w="1466" w:type="dxa"/>
          </w:tcPr>
          <w:p>
            <w:pPr>
              <w:pStyle w:val="TableParagraph"/>
              <w:spacing w:before="37"/>
              <w:ind w:right="575"/>
              <w:rPr>
                <w:rFonts w:ascii="Times New Roman"/>
                <w:i/>
                <w:sz w:val="22"/>
              </w:rPr>
            </w:pPr>
            <w:r>
              <w:rPr>
                <w:rFonts w:ascii="Times New Roman"/>
                <w:i/>
                <w:sz w:val="22"/>
              </w:rPr>
              <w:t>number- </w:t>
            </w:r>
            <w:r>
              <w:rPr>
                <w:rFonts w:ascii="Times New Roman"/>
                <w:i/>
                <w:sz w:val="22"/>
              </w:rPr>
              <w:t>chosen</w:t>
            </w:r>
          </w:p>
        </w:tc>
        <w:tc>
          <w:tcPr>
            <w:tcW w:w="1800" w:type="dxa"/>
          </w:tcPr>
          <w:p>
            <w:pPr>
              <w:pStyle w:val="TableParagraph"/>
              <w:ind w:left="112"/>
              <w:rPr>
                <w:sz w:val="22"/>
              </w:rPr>
            </w:pPr>
            <w:r>
              <w:rPr>
                <w:sz w:val="22"/>
              </w:rPr>
              <w:t>number</w:t>
            </w:r>
          </w:p>
        </w:tc>
        <w:tc>
          <w:tcPr>
            <w:tcW w:w="5400" w:type="dxa"/>
          </w:tcPr>
          <w:p>
            <w:pPr>
              <w:pStyle w:val="TableParagraph"/>
              <w:ind w:left="113" w:right="148"/>
              <w:rPr>
                <w:sz w:val="22"/>
              </w:rPr>
            </w:pPr>
            <w:r>
              <w:rPr>
                <w:sz w:val="22"/>
              </w:rPr>
              <w:t>The number of objects in each combination, truncated to an integer.</w:t>
            </w:r>
          </w:p>
        </w:tc>
      </w:tr>
    </w:tbl>
    <w:p>
      <w:pPr>
        <w:pStyle w:val="BodyText"/>
        <w:rPr>
          <w:b/>
        </w:rPr>
      </w:pPr>
    </w:p>
    <w:p>
      <w:pPr>
        <w:pStyle w:val="BodyText"/>
        <w:spacing w:before="7"/>
        <w:rPr>
          <w:b/>
          <w:sz w:val="19"/>
        </w:rPr>
      </w:pPr>
    </w:p>
    <w:p>
      <w:pPr>
        <w:spacing w:line="456" w:lineRule="auto" w:before="0"/>
        <w:ind w:left="220" w:right="503" w:firstLine="0"/>
        <w:jc w:val="left"/>
        <w:rPr>
          <w:sz w:val="22"/>
        </w:rPr>
      </w:pPr>
      <w:r>
        <w:rPr>
          <w:b/>
          <w:sz w:val="22"/>
        </w:rPr>
        <w:t>Return Type and Value: </w:t>
      </w:r>
      <w:r>
        <w:rPr>
          <w:sz w:val="22"/>
        </w:rPr>
        <w:t>number – The number of different combinations of </w:t>
      </w:r>
      <w:r>
        <w:rPr>
          <w:rFonts w:ascii="Times New Roman" w:hAnsi="Times New Roman"/>
          <w:i/>
          <w:sz w:val="22"/>
        </w:rPr>
        <w:t>number-chosen </w:t>
      </w:r>
      <w:r>
        <w:rPr>
          <w:sz w:val="22"/>
        </w:rPr>
        <w:t>in</w:t>
      </w:r>
      <w:r>
        <w:rPr>
          <w:spacing w:val="-29"/>
          <w:sz w:val="22"/>
        </w:rPr>
        <w:t> </w:t>
      </w:r>
      <w:r>
        <w:rPr>
          <w:rFonts w:ascii="Times New Roman" w:hAnsi="Times New Roman"/>
          <w:i/>
          <w:sz w:val="22"/>
        </w:rPr>
        <w:t>number</w:t>
      </w:r>
      <w:r>
        <w:rPr>
          <w:sz w:val="22"/>
        </w:rPr>
        <w:t>.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number </w:t>
      </w:r>
      <w:r>
        <w:rPr>
          <w:sz w:val="22"/>
        </w:rPr>
        <w:t>&lt; 0, </w:t>
      </w:r>
      <w:r>
        <w:rPr>
          <w:rFonts w:ascii="Consolas" w:hAnsi="Consolas"/>
          <w:sz w:val="22"/>
        </w:rPr>
        <w:t>#NUM!</w:t>
      </w:r>
      <w:r>
        <w:rPr>
          <w:rFonts w:ascii="Consolas" w:hAnsi="Consolas"/>
          <w:spacing w:val="-78"/>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number-chosen </w:t>
      </w:r>
      <w:r>
        <w:rPr>
          <w:sz w:val="22"/>
        </w:rPr>
        <w:t>&lt; 0,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5701" w:firstLine="360"/>
        <w:jc w:val="left"/>
        <w:rPr>
          <w:sz w:val="22"/>
        </w:rPr>
      </w:pPr>
      <w:r>
        <w:rPr>
          <w:rFonts w:ascii="Times New Roman" w:hAnsi="Times New Roman"/>
          <w:i/>
          <w:sz w:val="22"/>
        </w:rPr>
        <w:t>number </w:t>
      </w:r>
      <w:r>
        <w:rPr>
          <w:sz w:val="22"/>
        </w:rPr>
        <w:t>&lt; </w:t>
      </w:r>
      <w:r>
        <w:rPr>
          <w:rFonts w:ascii="Times New Roman" w:hAnsi="Times New Roman"/>
          <w:i/>
          <w:sz w:val="22"/>
        </w:rPr>
        <w:t>number-chosen</w:t>
      </w:r>
      <w:r>
        <w:rPr>
          <w:sz w:val="22"/>
        </w:rPr>
        <w:t>, </w:t>
      </w:r>
      <w:r>
        <w:rPr>
          <w:rFonts w:ascii="Consolas" w:hAnsi="Consolas"/>
          <w:sz w:val="22"/>
        </w:rPr>
        <w:t>#NUM!</w:t>
      </w:r>
      <w:r>
        <w:rPr>
          <w:rFonts w:ascii="Consolas" w:hAnsi="Consolas"/>
          <w:spacing w:val="-84"/>
          <w:sz w:val="22"/>
        </w:rPr>
        <w:t> </w:t>
      </w:r>
      <w:r>
        <w:rPr>
          <w:sz w:val="22"/>
        </w:rPr>
        <w:t>is returned. [</w:t>
      </w:r>
      <w:r>
        <w:rPr>
          <w:i/>
          <w:sz w:val="22"/>
        </w:rPr>
        <w:t>Example</w:t>
      </w:r>
      <w:r>
        <w:rPr>
          <w:sz w:val="22"/>
        </w:rPr>
        <w:t>:</w:t>
      </w:r>
    </w:p>
    <w:p>
      <w:pPr>
        <w:pStyle w:val="BodyText"/>
        <w:spacing w:line="276" w:lineRule="auto" w:before="128"/>
        <w:ind w:left="220" w:right="7722"/>
        <w:rPr>
          <w:rFonts w:ascii="Consolas"/>
        </w:rPr>
      </w:pPr>
      <w:r>
        <w:rPr>
          <w:rFonts w:ascii="Consolas"/>
        </w:rPr>
        <w:t>COMBIN(8,2) </w:t>
      </w:r>
      <w:r>
        <w:rPr/>
        <w:t>results in </w:t>
      </w:r>
      <w:r>
        <w:rPr>
          <w:rFonts w:ascii="Consolas"/>
        </w:rPr>
        <w:t>28 COMBIN(10,4)</w:t>
      </w:r>
      <w:r>
        <w:rPr>
          <w:rFonts w:ascii="Consolas"/>
          <w:spacing w:val="-81"/>
        </w:rPr>
        <w:t> </w:t>
      </w:r>
      <w:r>
        <w:rPr/>
        <w:t>results in </w:t>
      </w:r>
      <w:r>
        <w:rPr>
          <w:rFonts w:ascii="Consolas"/>
        </w:rPr>
        <w:t>210 COMBIN(6,5)</w:t>
      </w:r>
      <w:r>
        <w:rPr>
          <w:rFonts w:ascii="Consolas"/>
          <w:spacing w:val="-73"/>
        </w:rPr>
        <w:t> </w:t>
      </w:r>
      <w:r>
        <w:rPr/>
        <w:t>results in </w:t>
      </w:r>
      <w:r>
        <w:rPr>
          <w:rFonts w:ascii="Consolas"/>
        </w:rPr>
        <w:t>6</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5 COMPLEX" w:id="1527"/>
      <w:bookmarkEnd w:id="1527"/>
      <w:r>
        <w:rPr/>
      </w:r>
      <w:bookmarkStart w:name="_bookmark508" w:id="1528"/>
      <w:bookmarkEnd w:id="1528"/>
      <w:r>
        <w:rPr/>
      </w:r>
      <w:bookmarkStart w:name="_bookmark508" w:id="1529"/>
      <w:bookmarkEnd w:id="1529"/>
      <w:r>
        <w:rPr>
          <w:color w:val="4F81BC"/>
        </w:rPr>
        <w:t>COM</w:t>
      </w:r>
      <w:r>
        <w:rPr>
          <w:color w:val="4F81BC"/>
        </w:rPr>
        <w:t>PLEX</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COMPLEX ( </w:t>
      </w:r>
      <w:r>
        <w:rPr>
          <w:i/>
          <w:sz w:val="22"/>
        </w:rPr>
        <w:t>real-number </w:t>
      </w:r>
      <w:r>
        <w:rPr>
          <w:rFonts w:ascii="Lucida Console"/>
          <w:sz w:val="20"/>
        </w:rPr>
        <w:t>, </w:t>
      </w:r>
      <w:r>
        <w:rPr>
          <w:i/>
          <w:sz w:val="22"/>
        </w:rPr>
        <w:t>imaginary-number </w:t>
      </w:r>
      <w:r>
        <w:rPr>
          <w:sz w:val="22"/>
        </w:rPr>
        <w:t>[ </w:t>
      </w:r>
      <w:r>
        <w:rPr>
          <w:rFonts w:ascii="Lucida Console"/>
          <w:sz w:val="20"/>
        </w:rPr>
        <w:t>,</w:t>
      </w:r>
      <w:r>
        <w:rPr>
          <w:rFonts w:ascii="Lucida Console"/>
          <w:spacing w:val="-82"/>
          <w:sz w:val="20"/>
        </w:rPr>
        <w:t> </w:t>
      </w:r>
      <w:r>
        <w:rPr>
          <w:i/>
          <w:sz w:val="22"/>
        </w:rPr>
        <w:t>suffix </w:t>
      </w:r>
      <w:r>
        <w:rPr>
          <w:sz w:val="22"/>
        </w:rPr>
        <w:t>] </w:t>
      </w:r>
      <w:r>
        <w:rPr>
          <w:rFonts w:ascii="Lucida Console"/>
          <w:sz w:val="20"/>
        </w:rPr>
        <w:t>)</w:t>
      </w:r>
    </w:p>
    <w:p>
      <w:pPr>
        <w:spacing w:before="111"/>
        <w:ind w:left="220" w:right="0" w:firstLine="0"/>
        <w:jc w:val="left"/>
        <w:rPr>
          <w:sz w:val="22"/>
        </w:rPr>
      </w:pPr>
      <w:r>
        <w:rPr>
          <w:b/>
          <w:sz w:val="22"/>
        </w:rPr>
        <w:t>Description: </w:t>
      </w:r>
      <w:r>
        <w:rPr>
          <w:sz w:val="22"/>
        </w:rPr>
        <w:t>Makes a complex number in </w:t>
      </w:r>
      <w:r>
        <w:rPr>
          <w:i/>
          <w:sz w:val="22"/>
        </w:rPr>
        <w:t>x + yi </w:t>
      </w:r>
      <w:r>
        <w:rPr>
          <w:sz w:val="22"/>
        </w:rPr>
        <w:t>or </w:t>
      </w:r>
      <w:r>
        <w:rPr>
          <w:i/>
          <w:sz w:val="22"/>
        </w:rPr>
        <w:t>x + yj </w:t>
      </w:r>
      <w:r>
        <w:rPr>
          <w:sz w:val="22"/>
        </w:rPr>
        <w:t>text format from the arguments.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3" w:hRule="atLeast"/>
        </w:trPr>
        <w:tc>
          <w:tcPr>
            <w:tcW w:w="1466" w:type="dxa"/>
          </w:tcPr>
          <w:p>
            <w:pPr>
              <w:pStyle w:val="TableParagraph"/>
              <w:spacing w:before="37"/>
              <w:rPr>
                <w:rFonts w:ascii="Times New Roman"/>
                <w:i/>
                <w:sz w:val="22"/>
              </w:rPr>
            </w:pPr>
            <w:r>
              <w:rPr>
                <w:rFonts w:ascii="Times New Roman"/>
                <w:i/>
                <w:sz w:val="22"/>
              </w:rPr>
              <w:t>real-number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real number coefficient.</w:t>
            </w:r>
          </w:p>
        </w:tc>
      </w:tr>
      <w:tr>
        <w:trPr>
          <w:trHeight w:val="592" w:hRule="atLeast"/>
        </w:trPr>
        <w:tc>
          <w:tcPr>
            <w:tcW w:w="1466" w:type="dxa"/>
          </w:tcPr>
          <w:p>
            <w:pPr>
              <w:pStyle w:val="TableParagraph"/>
              <w:spacing w:before="39"/>
              <w:ind w:right="343"/>
              <w:rPr>
                <w:rFonts w:ascii="Times New Roman"/>
                <w:i/>
                <w:sz w:val="22"/>
              </w:rPr>
            </w:pPr>
            <w:r>
              <w:rPr>
                <w:rFonts w:ascii="Times New Roman"/>
                <w:i/>
                <w:sz w:val="22"/>
              </w:rPr>
              <w:t>imaginary- </w:t>
            </w:r>
            <w:r>
              <w:rPr>
                <w:rFonts w:ascii="Times New Roman"/>
                <w:i/>
                <w:sz w:val="22"/>
              </w:rPr>
              <w:t>number</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imaginary number coefficient.</w:t>
            </w:r>
          </w:p>
        </w:tc>
      </w:tr>
      <w:tr>
        <w:trPr>
          <w:trHeight w:val="354" w:hRule="atLeast"/>
        </w:trPr>
        <w:tc>
          <w:tcPr>
            <w:tcW w:w="1466" w:type="dxa"/>
          </w:tcPr>
          <w:p>
            <w:pPr>
              <w:pStyle w:val="TableParagraph"/>
              <w:spacing w:before="37"/>
              <w:rPr>
                <w:rFonts w:ascii="Times New Roman"/>
                <w:i/>
                <w:sz w:val="22"/>
              </w:rPr>
            </w:pPr>
            <w:r>
              <w:rPr>
                <w:rFonts w:ascii="Times New Roman"/>
                <w:i/>
                <w:sz w:val="22"/>
              </w:rPr>
              <w:t>suffix</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w:t>
            </w:r>
            <w:r>
              <w:rPr>
                <w:rFonts w:ascii="Consolas"/>
                <w:sz w:val="22"/>
              </w:rPr>
              <w:t>i</w:t>
            </w:r>
            <w:r>
              <w:rPr>
                <w:sz w:val="22"/>
              </w:rPr>
              <w:t>" or "</w:t>
            </w:r>
            <w:r>
              <w:rPr>
                <w:rFonts w:ascii="Consolas"/>
                <w:sz w:val="22"/>
              </w:rPr>
              <w:t>j</w:t>
            </w:r>
            <w:r>
              <w:rPr>
                <w:sz w:val="22"/>
              </w:rPr>
              <w:t>". If omitted, "</w:t>
            </w:r>
            <w:r>
              <w:rPr>
                <w:rFonts w:ascii="Consolas"/>
                <w:sz w:val="22"/>
              </w:rPr>
              <w:t>i</w:t>
            </w:r>
            <w:r>
              <w:rPr>
                <w:sz w:val="22"/>
              </w:rPr>
              <w:t>" is used.</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text – The complex number string specified by the arguments.</w:t>
      </w:r>
    </w:p>
    <w:p>
      <w:pPr>
        <w:spacing w:after="0"/>
        <w:jc w:val="left"/>
        <w:rPr>
          <w:sz w:val="22"/>
        </w:rPr>
        <w:sectPr>
          <w:pgSz w:w="12240" w:h="15840"/>
          <w:pgMar w:header="761" w:footer="746" w:top="1340" w:bottom="940" w:left="860" w:right="700"/>
        </w:sectPr>
      </w:pPr>
    </w:p>
    <w:p>
      <w:pPr>
        <w:spacing w:line="276" w:lineRule="auto" w:before="148"/>
        <w:ind w:left="220" w:right="376" w:firstLine="0"/>
        <w:jc w:val="left"/>
        <w:rPr>
          <w:sz w:val="22"/>
        </w:rPr>
      </w:pPr>
      <w:r>
        <w:rPr>
          <w:sz w:val="22"/>
        </w:rPr>
        <w:t>If </w:t>
      </w:r>
      <w:r>
        <w:rPr>
          <w:rFonts w:ascii="Times New Roman"/>
          <w:i/>
          <w:sz w:val="22"/>
        </w:rPr>
        <w:t>real-number </w:t>
      </w:r>
      <w:r>
        <w:rPr>
          <w:sz w:val="22"/>
        </w:rPr>
        <w:t>has the value 0 and </w:t>
      </w:r>
      <w:r>
        <w:rPr>
          <w:rFonts w:ascii="Times New Roman"/>
          <w:i/>
          <w:sz w:val="22"/>
        </w:rPr>
        <w:t>imaginary-number </w:t>
      </w:r>
      <w:r>
        <w:rPr>
          <w:sz w:val="22"/>
        </w:rPr>
        <w:t>has a non-zero value, the resulting string contains just the real number. If </w:t>
      </w:r>
      <w:r>
        <w:rPr>
          <w:rFonts w:ascii="Times New Roman"/>
          <w:i/>
          <w:sz w:val="22"/>
        </w:rPr>
        <w:t>real-number </w:t>
      </w:r>
      <w:r>
        <w:rPr>
          <w:sz w:val="22"/>
        </w:rPr>
        <w:t>has a non-zero value and </w:t>
      </w:r>
      <w:r>
        <w:rPr>
          <w:rFonts w:ascii="Times New Roman"/>
          <w:i/>
          <w:sz w:val="22"/>
        </w:rPr>
        <w:t>imaginary-number </w:t>
      </w:r>
      <w:r>
        <w:rPr>
          <w:sz w:val="22"/>
        </w:rPr>
        <w:t>has a zero value, the resulting string contains just the imaginary number and suffix. If both </w:t>
      </w:r>
      <w:r>
        <w:rPr>
          <w:rFonts w:ascii="Times New Roman"/>
          <w:i/>
          <w:sz w:val="22"/>
        </w:rPr>
        <w:t>real-number </w:t>
      </w:r>
      <w:r>
        <w:rPr>
          <w:sz w:val="22"/>
        </w:rPr>
        <w:t>and </w:t>
      </w:r>
      <w:r>
        <w:rPr>
          <w:rFonts w:ascii="Times New Roman"/>
          <w:i/>
          <w:sz w:val="22"/>
        </w:rPr>
        <w:t>imaginary-number </w:t>
      </w:r>
      <w:r>
        <w:rPr>
          <w:sz w:val="22"/>
        </w:rPr>
        <w:t>have a zero value, the resulting string is </w:t>
      </w:r>
      <w:r>
        <w:rPr>
          <w:rFonts w:ascii="Consolas"/>
          <w:sz w:val="22"/>
        </w:rPr>
        <w:t>"0"</w:t>
      </w:r>
      <w:r>
        <w:rPr>
          <w:sz w:val="22"/>
        </w:rPr>
        <w:t>.</w:t>
      </w:r>
    </w:p>
    <w:p>
      <w:pPr>
        <w:pStyle w:val="BodyText"/>
        <w:spacing w:before="7"/>
        <w:rPr>
          <w:sz w:val="16"/>
        </w:rPr>
      </w:pPr>
    </w:p>
    <w:p>
      <w:pPr>
        <w:pStyle w:val="BodyText"/>
        <w:spacing w:line="453" w:lineRule="auto"/>
        <w:ind w:left="220" w:right="4547"/>
      </w:pPr>
      <w:r>
        <w:rPr/>
        <w:t>However, if </w:t>
      </w:r>
      <w:r>
        <w:rPr>
          <w:rFonts w:ascii="Times New Roman"/>
          <w:i/>
        </w:rPr>
        <w:t>suffix </w:t>
      </w:r>
      <w:r>
        <w:rPr/>
        <w:t>is neither "</w:t>
      </w:r>
      <w:r>
        <w:rPr>
          <w:rFonts w:ascii="Consolas"/>
        </w:rPr>
        <w:t>i</w:t>
      </w:r>
      <w:r>
        <w:rPr/>
        <w:t>" nor "</w:t>
      </w:r>
      <w:r>
        <w:rPr>
          <w:rFonts w:ascii="Consolas"/>
        </w:rPr>
        <w:t>j</w:t>
      </w:r>
      <w:r>
        <w:rPr/>
        <w:t>", </w:t>
      </w:r>
      <w:r>
        <w:rPr>
          <w:rFonts w:ascii="Consolas"/>
        </w:rPr>
        <w:t>#VALUE!</w:t>
      </w:r>
      <w:r>
        <w:rPr>
          <w:rFonts w:ascii="Consolas"/>
          <w:spacing w:val="-95"/>
        </w:rPr>
        <w:t> </w:t>
      </w:r>
      <w:r>
        <w:rPr/>
        <w:t>is returned. [</w:t>
      </w:r>
      <w:r>
        <w:rPr>
          <w:i/>
        </w:rPr>
        <w:t>Example</w:t>
      </w:r>
      <w:r>
        <w:rPr/>
        <w:t>:</w:t>
      </w:r>
    </w:p>
    <w:p>
      <w:pPr>
        <w:pStyle w:val="BodyText"/>
        <w:spacing w:line="276" w:lineRule="auto" w:before="108"/>
        <w:ind w:left="220" w:right="5793"/>
        <w:rPr>
          <w:rFonts w:ascii="Consolas"/>
        </w:rPr>
      </w:pPr>
      <w:r>
        <w:rPr>
          <w:rFonts w:ascii="Consolas"/>
        </w:rPr>
        <w:t>COMPLEX(-3.5,19.6) </w:t>
      </w:r>
      <w:r>
        <w:rPr/>
        <w:t>results in </w:t>
      </w:r>
      <w:r>
        <w:rPr>
          <w:rFonts w:ascii="Consolas"/>
        </w:rPr>
        <w:t>-3.5+19.6i COMPLEX(3.5,-19.6,"j")</w:t>
      </w:r>
      <w:r>
        <w:rPr>
          <w:rFonts w:ascii="Consolas"/>
          <w:spacing w:val="-85"/>
        </w:rPr>
        <w:t> </w:t>
      </w:r>
      <w:r>
        <w:rPr/>
        <w:t>results in </w:t>
      </w:r>
      <w:r>
        <w:rPr>
          <w:rFonts w:ascii="Consolas"/>
        </w:rPr>
        <w:t>3.5-19.6j</w:t>
      </w:r>
    </w:p>
    <w:p>
      <w:pPr>
        <w:pStyle w:val="BodyText"/>
        <w:spacing w:line="276" w:lineRule="auto" w:before="2"/>
        <w:ind w:left="220" w:right="7360"/>
        <w:rPr>
          <w:rFonts w:ascii="Consolas"/>
        </w:rPr>
      </w:pPr>
      <w:r>
        <w:rPr>
          <w:rFonts w:ascii="Consolas"/>
        </w:rPr>
        <w:t>COMPLEX(3.5,0) </w:t>
      </w:r>
      <w:r>
        <w:rPr/>
        <w:t>results in </w:t>
      </w:r>
      <w:r>
        <w:rPr>
          <w:rFonts w:ascii="Consolas"/>
        </w:rPr>
        <w:t>3.5 COMPLEX(0,2.4)</w:t>
      </w:r>
      <w:r>
        <w:rPr>
          <w:rFonts w:ascii="Consolas"/>
          <w:spacing w:val="-82"/>
        </w:rPr>
        <w:t> </w:t>
      </w:r>
      <w:r>
        <w:rPr/>
        <w:t>results in </w:t>
      </w:r>
      <w:r>
        <w:rPr>
          <w:rFonts w:ascii="Consolas"/>
        </w:rPr>
        <w:t>2.4i COMPLEX(0,0)</w:t>
      </w:r>
      <w:r>
        <w:rPr>
          <w:rFonts w:ascii="Consolas"/>
          <w:spacing w:val="-77"/>
        </w:rPr>
        <w:t> </w:t>
      </w:r>
      <w:r>
        <w:rPr/>
        <w:t>results in </w:t>
      </w:r>
      <w:r>
        <w:rPr>
          <w:rFonts w:ascii="Consolas"/>
        </w:rPr>
        <w:t>0</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6 CONCATENATE" w:id="1530"/>
      <w:bookmarkEnd w:id="1530"/>
      <w:r>
        <w:rPr/>
      </w:r>
      <w:bookmarkStart w:name="_bookmark509" w:id="1531"/>
      <w:bookmarkEnd w:id="1531"/>
      <w:r>
        <w:rPr/>
      </w:r>
      <w:bookmarkStart w:name="_bookmark509" w:id="1532"/>
      <w:bookmarkEnd w:id="1532"/>
      <w:r>
        <w:rPr>
          <w:color w:val="4F81BC"/>
        </w:rPr>
        <w:t>CO</w:t>
      </w:r>
      <w:r>
        <w:rPr>
          <w:color w:val="4F81BC"/>
        </w:rPr>
        <w:t>NCATENATE</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CONCATENATE ( </w:t>
      </w:r>
      <w:r>
        <w:rPr>
          <w:i/>
          <w:sz w:val="22"/>
        </w:rPr>
        <w:t>argument-list </w:t>
      </w:r>
      <w:r>
        <w:rPr>
          <w:rFonts w:ascii="Lucida Console"/>
          <w:sz w:val="20"/>
        </w:rPr>
        <w:t>)</w:t>
      </w:r>
    </w:p>
    <w:p>
      <w:pPr>
        <w:pStyle w:val="BodyText"/>
        <w:spacing w:before="106"/>
        <w:ind w:left="220"/>
      </w:pPr>
      <w:r>
        <w:rPr>
          <w:b/>
        </w:rPr>
        <w:t>Description: </w:t>
      </w:r>
      <w:r>
        <w:rPr/>
        <w:t>Makes a string that is the concatenation of all the strings corresponding to the </w:t>
      </w:r>
      <w:r>
        <w:rPr>
          <w:rFonts w:ascii="Times New Roman"/>
          <w:i/>
        </w:rPr>
        <w:t>argument</w:t>
      </w:r>
      <w:r>
        <w:rPr/>
        <w:t>s in</w:t>
      </w:r>
    </w:p>
    <w:p>
      <w:pPr>
        <w:spacing w:before="41"/>
        <w:ind w:left="220" w:right="0" w:firstLine="0"/>
        <w:jc w:val="left"/>
        <w:rPr>
          <w:sz w:val="22"/>
        </w:rPr>
      </w:pPr>
      <w:r>
        <w:rPr>
          <w:rFonts w:ascii="Times New Roman"/>
          <w:i/>
          <w:sz w:val="22"/>
        </w:rPr>
        <w:t>argument-list</w:t>
      </w:r>
      <w:r>
        <w:rPr>
          <w:sz w:val="22"/>
        </w:rPr>
        <w:t>, taken left-to-right.</w:t>
      </w:r>
    </w:p>
    <w:p>
      <w:pPr>
        <w:pStyle w:val="BodyText"/>
        <w:spacing w:before="11"/>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Each </w:t>
            </w:r>
            <w:r>
              <w:rPr>
                <w:rFonts w:ascii="Times New Roman"/>
                <w:i/>
                <w:sz w:val="22"/>
              </w:rPr>
              <w:t>argument </w:t>
            </w:r>
            <w:r>
              <w:rPr>
                <w:sz w:val="22"/>
              </w:rPr>
              <w:t>in </w:t>
            </w:r>
            <w:r>
              <w:rPr>
                <w:rFonts w:ascii="Times New Roman"/>
                <w:i/>
                <w:sz w:val="22"/>
              </w:rPr>
              <w:t>argument-list </w:t>
            </w:r>
            <w:r>
              <w:rPr>
                <w:sz w:val="22"/>
              </w:rPr>
              <w:t>shall designate a string.</w:t>
            </w:r>
          </w:p>
        </w:tc>
      </w:tr>
    </w:tbl>
    <w:p>
      <w:pPr>
        <w:pStyle w:val="BodyText"/>
        <w:rPr>
          <w:b/>
        </w:rPr>
      </w:pPr>
    </w:p>
    <w:p>
      <w:pPr>
        <w:pStyle w:val="BodyText"/>
        <w:spacing w:before="3"/>
        <w:rPr>
          <w:b/>
          <w:sz w:val="18"/>
        </w:rPr>
      </w:pPr>
    </w:p>
    <w:p>
      <w:pPr>
        <w:spacing w:line="453" w:lineRule="auto" w:before="0"/>
        <w:ind w:left="220" w:right="5466" w:firstLine="0"/>
        <w:jc w:val="left"/>
        <w:rPr>
          <w:sz w:val="22"/>
        </w:rPr>
      </w:pPr>
      <w:r>
        <w:rPr>
          <w:b/>
          <w:sz w:val="22"/>
        </w:rPr>
        <w:t>Return Type and Value: </w:t>
      </w:r>
      <w:r>
        <w:rPr>
          <w:sz w:val="22"/>
        </w:rPr>
        <w:t>text – The concatenated string. [</w:t>
      </w:r>
      <w:r>
        <w:rPr>
          <w:i/>
          <w:sz w:val="22"/>
        </w:rPr>
        <w:t>Example</w:t>
      </w:r>
      <w:r>
        <w:rPr>
          <w:sz w:val="22"/>
        </w:rPr>
        <w:t>:</w:t>
      </w:r>
    </w:p>
    <w:p>
      <w:pPr>
        <w:pStyle w:val="BodyText"/>
        <w:spacing w:before="108"/>
        <w:ind w:left="220"/>
        <w:rPr>
          <w:rFonts w:ascii="Consolas"/>
        </w:rPr>
      </w:pPr>
      <w:r>
        <w:rPr>
          <w:rFonts w:ascii="Consolas"/>
        </w:rPr>
        <w:t>CONCATENATE("text")</w:t>
      </w:r>
      <w:r>
        <w:rPr>
          <w:rFonts w:ascii="Consolas"/>
          <w:spacing w:val="-74"/>
        </w:rPr>
        <w:t> </w:t>
      </w:r>
      <w:r>
        <w:rPr/>
        <w:t>results in </w:t>
      </w:r>
      <w:r>
        <w:rPr>
          <w:rFonts w:ascii="Consolas"/>
        </w:rPr>
        <w:t>text</w:t>
      </w:r>
    </w:p>
    <w:p>
      <w:pPr>
        <w:pStyle w:val="BodyText"/>
        <w:spacing w:before="41"/>
        <w:ind w:left="220"/>
        <w:rPr>
          <w:rFonts w:ascii="Consolas"/>
        </w:rPr>
      </w:pPr>
      <w:r>
        <w:rPr>
          <w:rFonts w:ascii="Consolas"/>
        </w:rPr>
        <w:t>CONCATENATE("The total is ",A10," units")</w:t>
      </w:r>
      <w:r>
        <w:rPr>
          <w:rFonts w:ascii="Consolas"/>
          <w:spacing w:val="-91"/>
        </w:rPr>
        <w:t> </w:t>
      </w:r>
      <w:r>
        <w:rPr/>
        <w:t>results in </w:t>
      </w:r>
      <w:r>
        <w:rPr>
          <w:rFonts w:ascii="Consolas"/>
        </w:rPr>
        <w:t>The total is 43 units</w:t>
      </w:r>
      <w:r>
        <w:rPr/>
        <w:t>, when </w:t>
      </w:r>
      <w:r>
        <w:rPr>
          <w:rFonts w:ascii="Consolas"/>
        </w:rPr>
        <w:t>A10</w:t>
      </w:r>
    </w:p>
    <w:p>
      <w:pPr>
        <w:pStyle w:val="BodyText"/>
        <w:spacing w:before="42"/>
        <w:ind w:left="220"/>
        <w:rPr>
          <w:rFonts w:ascii="Consolas"/>
        </w:rPr>
      </w:pPr>
      <w:r>
        <w:rPr/>
        <w:t>contains </w:t>
      </w:r>
      <w:r>
        <w:rPr>
          <w:rFonts w:ascii="Consolas"/>
        </w:rPr>
        <w:t>43</w:t>
      </w:r>
    </w:p>
    <w:p>
      <w:pPr>
        <w:pStyle w:val="BodyText"/>
        <w:spacing w:before="38"/>
        <w:ind w:left="220"/>
        <w:rPr>
          <w:rFonts w:ascii="Consolas"/>
        </w:rPr>
      </w:pPr>
      <w:r>
        <w:rPr>
          <w:rFonts w:ascii="Consolas"/>
        </w:rPr>
        <w:t>CONCATENATE(3," + ",4," = ",3+4) </w:t>
      </w:r>
      <w:r>
        <w:rPr/>
        <w:t>results in </w:t>
      </w:r>
      <w:r>
        <w:rPr>
          <w:rFonts w:ascii="Consolas"/>
        </w:rPr>
        <w:t>3 + 4 =</w:t>
      </w:r>
      <w:r>
        <w:rPr>
          <w:rFonts w:ascii="Consolas"/>
          <w:spacing w:val="-76"/>
        </w:rPr>
        <w:t> </w:t>
      </w:r>
      <w:r>
        <w:rPr>
          <w:rFonts w:ascii="Consolas"/>
        </w:rPr>
        <w:t>7</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7 CONFIDENCE" w:id="1533"/>
      <w:bookmarkEnd w:id="1533"/>
      <w:r>
        <w:rPr/>
      </w:r>
      <w:bookmarkStart w:name="_bookmark510" w:id="1534"/>
      <w:bookmarkEnd w:id="1534"/>
      <w:r>
        <w:rPr/>
      </w:r>
      <w:bookmarkStart w:name="_bookmark510" w:id="1535"/>
      <w:bookmarkEnd w:id="1535"/>
      <w:r>
        <w:rPr>
          <w:color w:val="4F81BC"/>
        </w:rPr>
        <w:t>CO</w:t>
      </w:r>
      <w:r>
        <w:rPr>
          <w:color w:val="4F81BC"/>
        </w:rPr>
        <w:t>NFIDENCE</w:t>
      </w:r>
    </w:p>
    <w:p>
      <w:pPr>
        <w:pStyle w:val="Heading4"/>
        <w:spacing w:before="121"/>
        <w:rPr>
          <w:b w:val="0"/>
        </w:rPr>
      </w:pPr>
      <w:r>
        <w:rPr/>
        <w:t>Syntax</w:t>
      </w:r>
      <w:r>
        <w:rPr>
          <w:b w:val="0"/>
        </w:rPr>
        <w:t>:</w:t>
      </w:r>
    </w:p>
    <w:p>
      <w:pPr>
        <w:spacing w:after="0"/>
        <w:sectPr>
          <w:pgSz w:w="12240" w:h="15840"/>
          <w:pgMar w:header="763" w:footer="746" w:top="1340" w:bottom="940" w:left="860" w:right="700"/>
        </w:sectPr>
      </w:pPr>
    </w:p>
    <w:p>
      <w:pPr>
        <w:spacing w:before="85"/>
        <w:ind w:left="940" w:right="0" w:firstLine="0"/>
        <w:jc w:val="left"/>
        <w:rPr>
          <w:rFonts w:ascii="Lucida Console"/>
          <w:sz w:val="20"/>
        </w:rPr>
      </w:pPr>
      <w:r>
        <w:rPr>
          <w:rFonts w:ascii="Lucida Console"/>
          <w:sz w:val="20"/>
        </w:rPr>
        <w:t>CONFIDENCE ( </w:t>
      </w:r>
      <w:r>
        <w:rPr>
          <w:i/>
          <w:sz w:val="22"/>
        </w:rPr>
        <w:t>alpha </w:t>
      </w:r>
      <w:r>
        <w:rPr>
          <w:rFonts w:ascii="Lucida Console"/>
          <w:sz w:val="20"/>
        </w:rPr>
        <w:t>, </w:t>
      </w:r>
      <w:r>
        <w:rPr>
          <w:i/>
          <w:sz w:val="22"/>
        </w:rPr>
        <w:t>standard-dev </w:t>
      </w:r>
      <w:r>
        <w:rPr>
          <w:rFonts w:ascii="Lucida Console"/>
          <w:sz w:val="20"/>
        </w:rPr>
        <w:t>,</w:t>
      </w:r>
      <w:r>
        <w:rPr>
          <w:rFonts w:ascii="Lucida Console"/>
          <w:spacing w:val="-84"/>
          <w:sz w:val="20"/>
        </w:rPr>
        <w:t> </w:t>
      </w:r>
      <w:r>
        <w:rPr>
          <w:i/>
          <w:sz w:val="22"/>
        </w:rPr>
        <w:t>size </w:t>
      </w:r>
      <w:r>
        <w:rPr>
          <w:rFonts w:ascii="Lucida Console"/>
          <w:sz w:val="20"/>
        </w:rPr>
        <w:t>)</w:t>
      </w:r>
    </w:p>
    <w:p>
      <w:pPr>
        <w:pStyle w:val="BodyText"/>
        <w:spacing w:line="278" w:lineRule="auto" w:before="107"/>
        <w:ind w:left="220" w:right="619"/>
      </w:pPr>
      <w:r>
        <w:rPr>
          <w:b/>
        </w:rPr>
        <w:t>Description: </w:t>
      </w:r>
      <w:r>
        <w:rPr/>
        <w:t>Computes a value that can be used to construct a confidence interval for a population mean. The CONFIDENCE function assumes a normal distribution for calculation.</w:t>
      </w:r>
    </w:p>
    <w:p>
      <w:pPr>
        <w:pStyle w:val="Heading4"/>
        <w:spacing w:before="197"/>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alpha</w:t>
            </w:r>
          </w:p>
        </w:tc>
        <w:tc>
          <w:tcPr>
            <w:tcW w:w="1800" w:type="dxa"/>
          </w:tcPr>
          <w:p>
            <w:pPr>
              <w:pStyle w:val="TableParagraph"/>
              <w:ind w:left="112"/>
              <w:rPr>
                <w:sz w:val="22"/>
              </w:rPr>
            </w:pPr>
            <w:r>
              <w:rPr>
                <w:sz w:val="22"/>
              </w:rPr>
              <w:t>number</w:t>
            </w:r>
          </w:p>
        </w:tc>
        <w:tc>
          <w:tcPr>
            <w:tcW w:w="5400" w:type="dxa"/>
          </w:tcPr>
          <w:p>
            <w:pPr>
              <w:pStyle w:val="TableParagraph"/>
              <w:ind w:left="113" w:right="417"/>
              <w:rPr>
                <w:sz w:val="22"/>
              </w:rPr>
            </w:pPr>
            <w:r>
              <w:rPr>
                <w:sz w:val="22"/>
              </w:rPr>
              <w:t>The significance level used to compute the confidence level.</w:t>
            </w:r>
          </w:p>
        </w:tc>
      </w:tr>
      <w:tr>
        <w:trPr>
          <w:trHeight w:val="352" w:hRule="atLeast"/>
        </w:trPr>
        <w:tc>
          <w:tcPr>
            <w:tcW w:w="1466" w:type="dxa"/>
          </w:tcPr>
          <w:p>
            <w:pPr>
              <w:pStyle w:val="TableParagraph"/>
              <w:spacing w:before="37"/>
              <w:rPr>
                <w:rFonts w:ascii="Times New Roman"/>
                <w:i/>
                <w:sz w:val="22"/>
              </w:rPr>
            </w:pPr>
            <w:r>
              <w:rPr>
                <w:rFonts w:ascii="Times New Roman"/>
                <w:i/>
                <w:sz w:val="22"/>
              </w:rPr>
              <w:t>standard-dev</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population standard deviation for the data range.</w:t>
            </w:r>
          </w:p>
        </w:tc>
      </w:tr>
      <w:tr>
        <w:trPr>
          <w:trHeight w:val="357" w:hRule="atLeast"/>
        </w:trPr>
        <w:tc>
          <w:tcPr>
            <w:tcW w:w="1466" w:type="dxa"/>
          </w:tcPr>
          <w:p>
            <w:pPr>
              <w:pStyle w:val="TableParagraph"/>
              <w:spacing w:before="39"/>
              <w:rPr>
                <w:rFonts w:ascii="Times New Roman"/>
                <w:i/>
                <w:sz w:val="22"/>
              </w:rPr>
            </w:pPr>
            <w:r>
              <w:rPr>
                <w:rFonts w:ascii="Times New Roman"/>
                <w:i/>
                <w:sz w:val="22"/>
              </w:rPr>
              <w:t>size</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sample size, truncated to an integer.</w:t>
            </w:r>
          </w:p>
        </w:tc>
      </w:tr>
    </w:tbl>
    <w:p>
      <w:pPr>
        <w:pStyle w:val="BodyText"/>
        <w:rPr>
          <w:b/>
        </w:rPr>
      </w:pPr>
    </w:p>
    <w:p>
      <w:pPr>
        <w:pStyle w:val="BodyText"/>
        <w:spacing w:before="5"/>
        <w:rPr>
          <w:b/>
          <w:sz w:val="19"/>
        </w:rPr>
      </w:pPr>
    </w:p>
    <w:p>
      <w:pPr>
        <w:spacing w:line="276" w:lineRule="auto" w:before="1"/>
        <w:ind w:left="220" w:right="596" w:firstLine="0"/>
        <w:jc w:val="left"/>
        <w:rPr>
          <w:sz w:val="22"/>
        </w:rPr>
      </w:pPr>
      <w:r>
        <w:rPr>
          <w:b/>
          <w:sz w:val="22"/>
        </w:rPr>
        <w:t>Return Type and Value: </w:t>
      </w:r>
      <w:r>
        <w:rPr>
          <w:sz w:val="22"/>
        </w:rPr>
        <w:t>number – A value that can be used to construct a confidence interval for a population mean.</w:t>
      </w:r>
    </w:p>
    <w:p>
      <w:pPr>
        <w:pStyle w:val="BodyText"/>
        <w:spacing w:before="5"/>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alpha </w:t>
      </w:r>
      <w:r>
        <w:rPr>
          <w:sz w:val="22"/>
        </w:rPr>
        <w:t>≤ 0 or </w:t>
      </w:r>
      <w:r>
        <w:rPr>
          <w:rFonts w:ascii="Times New Roman" w:hAnsi="Times New Roman"/>
          <w:i/>
          <w:sz w:val="22"/>
        </w:rPr>
        <w:t>alpha </w:t>
      </w:r>
      <w:r>
        <w:rPr>
          <w:sz w:val="22"/>
        </w:rPr>
        <w:t>≥ 1,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standard-dev </w:t>
      </w:r>
      <w:r>
        <w:rPr>
          <w:sz w:val="22"/>
        </w:rPr>
        <w:t>≤ 0, </w:t>
      </w:r>
      <w:r>
        <w:rPr>
          <w:rFonts w:ascii="Consolas" w:hAnsi="Consolas"/>
          <w:sz w:val="22"/>
        </w:rPr>
        <w:t>#NUM!</w:t>
      </w:r>
      <w:r>
        <w:rPr>
          <w:rFonts w:ascii="Consolas" w:hAnsi="Consolas"/>
          <w:spacing w:val="-7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7286" w:firstLine="360"/>
        <w:jc w:val="left"/>
        <w:rPr>
          <w:sz w:val="22"/>
        </w:rPr>
      </w:pPr>
      <w:r>
        <w:rPr>
          <w:rFonts w:ascii="Times New Roman" w:hAnsi="Times New Roman"/>
          <w:i/>
          <w:sz w:val="22"/>
        </w:rPr>
        <w:t>size </w:t>
      </w:r>
      <w:r>
        <w:rPr>
          <w:sz w:val="22"/>
        </w:rPr>
        <w:t>&lt; 1, </w:t>
      </w:r>
      <w:r>
        <w:rPr>
          <w:rFonts w:ascii="Consolas" w:hAnsi="Consolas"/>
          <w:sz w:val="22"/>
        </w:rPr>
        <w:t>#NUM!</w:t>
      </w:r>
      <w:r>
        <w:rPr>
          <w:rFonts w:ascii="Consolas" w:hAnsi="Consolas"/>
          <w:spacing w:val="-79"/>
          <w:sz w:val="22"/>
        </w:rPr>
        <w:t> </w:t>
      </w:r>
      <w:r>
        <w:rPr>
          <w:sz w:val="22"/>
        </w:rPr>
        <w:t>is returned. [</w:t>
      </w:r>
      <w:r>
        <w:rPr>
          <w:i/>
          <w:sz w:val="22"/>
        </w:rPr>
        <w:t>Example</w:t>
      </w:r>
      <w:r>
        <w:rPr>
          <w:sz w:val="22"/>
        </w:rPr>
        <w:t>:</w:t>
      </w:r>
    </w:p>
    <w:p>
      <w:pPr>
        <w:pStyle w:val="BodyText"/>
        <w:spacing w:line="276" w:lineRule="auto" w:before="129"/>
        <w:ind w:left="220" w:right="5705"/>
        <w:rPr>
          <w:rFonts w:ascii="Consolas"/>
        </w:rPr>
      </w:pPr>
      <w:r>
        <w:rPr>
          <w:rFonts w:ascii="Consolas"/>
        </w:rPr>
        <w:t>CONFIDENCE(0.4,5,12) </w:t>
      </w:r>
      <w:r>
        <w:rPr/>
        <w:t>results in </w:t>
      </w:r>
      <w:r>
        <w:rPr>
          <w:rFonts w:ascii="Consolas"/>
        </w:rPr>
        <w:t>1.214775614 CONFIDENCE(0.75,9,7) </w:t>
      </w:r>
      <w:r>
        <w:rPr/>
        <w:t>results in </w:t>
      </w:r>
      <w:r>
        <w:rPr>
          <w:rFonts w:ascii="Consolas"/>
        </w:rPr>
        <w:t>1.083909234</w:t>
      </w:r>
    </w:p>
    <w:p>
      <w:pPr>
        <w:pStyle w:val="BodyText"/>
        <w:spacing w:before="6"/>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48 CONVERT" w:id="1536"/>
      <w:bookmarkEnd w:id="1536"/>
      <w:r>
        <w:rPr/>
      </w:r>
      <w:bookmarkStart w:name="_bookmark511" w:id="1537"/>
      <w:bookmarkEnd w:id="1537"/>
      <w:r>
        <w:rPr/>
      </w:r>
      <w:bookmarkStart w:name="_bookmark511" w:id="1538"/>
      <w:bookmarkEnd w:id="1538"/>
      <w:r>
        <w:rPr>
          <w:color w:val="4F81BC"/>
        </w:rPr>
        <w:t>CO</w:t>
      </w:r>
      <w:r>
        <w:rPr>
          <w:color w:val="4F81BC"/>
        </w:rPr>
        <w:t>NVERT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CONVERT ( </w:t>
      </w:r>
      <w:r>
        <w:rPr>
          <w:i/>
          <w:sz w:val="22"/>
        </w:rPr>
        <w:t>number </w:t>
      </w:r>
      <w:r>
        <w:rPr>
          <w:rFonts w:ascii="Lucida Console"/>
          <w:sz w:val="20"/>
        </w:rPr>
        <w:t>, </w:t>
      </w:r>
      <w:r>
        <w:rPr>
          <w:i/>
          <w:sz w:val="22"/>
        </w:rPr>
        <w:t>from-unit </w:t>
      </w:r>
      <w:r>
        <w:rPr>
          <w:rFonts w:ascii="Lucida Console"/>
          <w:sz w:val="20"/>
        </w:rPr>
        <w:t>,</w:t>
      </w:r>
      <w:r>
        <w:rPr>
          <w:rFonts w:ascii="Lucida Console"/>
          <w:spacing w:val="-84"/>
          <w:sz w:val="20"/>
        </w:rPr>
        <w:t> </w:t>
      </w:r>
      <w:r>
        <w:rPr>
          <w:i/>
          <w:sz w:val="22"/>
        </w:rPr>
        <w:t>to-unit </w:t>
      </w:r>
      <w:r>
        <w:rPr>
          <w:rFonts w:ascii="Lucida Console"/>
          <w:sz w:val="20"/>
        </w:rPr>
        <w:t>)</w:t>
      </w:r>
    </w:p>
    <w:p>
      <w:pPr>
        <w:pStyle w:val="BodyText"/>
        <w:spacing w:before="108"/>
        <w:ind w:left="220"/>
      </w:pPr>
      <w:r>
        <w:rPr>
          <w:b/>
        </w:rPr>
        <w:t>Description: </w:t>
      </w:r>
      <w:r>
        <w:rPr/>
        <w:t>Converts a number from one measurement system to another.</w:t>
      </w:r>
    </w:p>
    <w:p>
      <w:pPr>
        <w:pStyle w:val="BodyText"/>
        <w:spacing w:before="8"/>
        <w:rPr>
          <w:sz w:val="19"/>
        </w:rPr>
      </w:pPr>
    </w:p>
    <w:p>
      <w:pPr>
        <w:pStyle w:val="Heading4"/>
      </w:pPr>
      <w:r>
        <w:rPr/>
        <w:t>Arguments:</w:t>
      </w:r>
    </w:p>
    <w:p>
      <w:pPr>
        <w:pStyle w:val="BodyText"/>
        <w:spacing w:before="10"/>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converted from </w:t>
            </w:r>
            <w:r>
              <w:rPr>
                <w:rFonts w:ascii="Times New Roman"/>
                <w:i/>
                <w:sz w:val="22"/>
              </w:rPr>
              <w:t>from-unit</w:t>
            </w:r>
            <w:r>
              <w:rPr>
                <w:sz w:val="22"/>
              </w:rPr>
              <w:t>s to </w:t>
            </w:r>
            <w:r>
              <w:rPr>
                <w:rFonts w:ascii="Times New Roman"/>
                <w:i/>
                <w:sz w:val="22"/>
              </w:rPr>
              <w:t>to-unit</w:t>
            </w:r>
            <w:r>
              <w:rPr>
                <w:sz w:val="22"/>
              </w:rPr>
              <w:t>s.</w:t>
            </w:r>
          </w:p>
        </w:tc>
      </w:tr>
      <w:tr>
        <w:trPr>
          <w:trHeight w:val="623" w:hRule="atLeast"/>
        </w:trPr>
        <w:tc>
          <w:tcPr>
            <w:tcW w:w="1466" w:type="dxa"/>
          </w:tcPr>
          <w:p>
            <w:pPr>
              <w:pStyle w:val="TableParagraph"/>
              <w:spacing w:before="37"/>
              <w:rPr>
                <w:rFonts w:ascii="Times New Roman"/>
                <w:i/>
                <w:sz w:val="22"/>
              </w:rPr>
            </w:pPr>
            <w:r>
              <w:rPr>
                <w:rFonts w:ascii="Times New Roman"/>
                <w:i/>
                <w:sz w:val="22"/>
              </w:rPr>
              <w:t>from-unit</w:t>
            </w:r>
          </w:p>
        </w:tc>
        <w:tc>
          <w:tcPr>
            <w:tcW w:w="1800" w:type="dxa"/>
          </w:tcPr>
          <w:p>
            <w:pPr>
              <w:pStyle w:val="TableParagraph"/>
              <w:ind w:left="112"/>
              <w:rPr>
                <w:sz w:val="22"/>
              </w:rPr>
            </w:pPr>
            <w:r>
              <w:rPr>
                <w:sz w:val="22"/>
              </w:rPr>
              <w:t>text</w:t>
            </w:r>
          </w:p>
        </w:tc>
        <w:tc>
          <w:tcPr>
            <w:tcW w:w="5400" w:type="dxa"/>
          </w:tcPr>
          <w:p>
            <w:pPr>
              <w:pStyle w:val="TableParagraph"/>
              <w:ind w:left="113" w:right="589"/>
              <w:rPr>
                <w:sz w:val="22"/>
              </w:rPr>
            </w:pPr>
            <w:r>
              <w:rPr>
                <w:sz w:val="22"/>
              </w:rPr>
              <w:t>The unit to be converted from, where the permitted string values are shown in the tables below.</w:t>
            </w:r>
          </w:p>
        </w:tc>
      </w:tr>
      <w:tr>
        <w:trPr>
          <w:trHeight w:val="623" w:hRule="atLeast"/>
        </w:trPr>
        <w:tc>
          <w:tcPr>
            <w:tcW w:w="1466" w:type="dxa"/>
          </w:tcPr>
          <w:p>
            <w:pPr>
              <w:pStyle w:val="TableParagraph"/>
              <w:spacing w:before="36"/>
              <w:rPr>
                <w:rFonts w:ascii="Times New Roman"/>
                <w:i/>
                <w:sz w:val="22"/>
              </w:rPr>
            </w:pPr>
            <w:r>
              <w:rPr>
                <w:rFonts w:ascii="Times New Roman"/>
                <w:i/>
                <w:sz w:val="22"/>
              </w:rPr>
              <w:t>to-unit</w:t>
            </w:r>
          </w:p>
        </w:tc>
        <w:tc>
          <w:tcPr>
            <w:tcW w:w="1800" w:type="dxa"/>
          </w:tcPr>
          <w:p>
            <w:pPr>
              <w:pStyle w:val="TableParagraph"/>
              <w:ind w:left="112"/>
              <w:rPr>
                <w:sz w:val="22"/>
              </w:rPr>
            </w:pPr>
            <w:r>
              <w:rPr>
                <w:sz w:val="22"/>
              </w:rPr>
              <w:t>text</w:t>
            </w:r>
          </w:p>
        </w:tc>
        <w:tc>
          <w:tcPr>
            <w:tcW w:w="5400" w:type="dxa"/>
          </w:tcPr>
          <w:p>
            <w:pPr>
              <w:pStyle w:val="TableParagraph"/>
              <w:ind w:left="113" w:right="279"/>
              <w:rPr>
                <w:sz w:val="22"/>
              </w:rPr>
            </w:pPr>
            <w:r>
              <w:rPr>
                <w:sz w:val="22"/>
              </w:rPr>
              <w:t>The unit to be converted to, where the permitted string values are shown in the tables below.</w:t>
            </w:r>
          </w:p>
        </w:tc>
      </w:tr>
    </w:tbl>
    <w:p>
      <w:pPr>
        <w:spacing w:after="0"/>
        <w:rPr>
          <w:sz w:val="22"/>
        </w:rPr>
        <w:sectPr>
          <w:pgSz w:w="12240" w:h="15840"/>
          <w:pgMar w:header="761" w:footer="746" w:top="1340" w:bottom="940" w:left="860" w:right="700"/>
        </w:sectPr>
      </w:pPr>
    </w:p>
    <w:p>
      <w:pPr>
        <w:pStyle w:val="BodyText"/>
        <w:rPr>
          <w:rFonts w:ascii="Times New Roman"/>
          <w:sz w:val="20"/>
        </w:rPr>
      </w:pPr>
    </w:p>
    <w:p>
      <w:pPr>
        <w:pStyle w:val="BodyText"/>
        <w:rPr>
          <w:rFonts w:ascii="Times New Roman"/>
          <w:sz w:val="20"/>
        </w:rPr>
      </w:pPr>
    </w:p>
    <w:p>
      <w:pPr>
        <w:pStyle w:val="BodyText"/>
        <w:spacing w:before="4" w:after="1"/>
        <w:rPr>
          <w:rFonts w:ascii="Times New Roman"/>
          <w:sz w:val="1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ind w:left="2097" w:right="2089"/>
              <w:jc w:val="center"/>
              <w:rPr>
                <w:b/>
                <w:sz w:val="22"/>
              </w:rPr>
            </w:pPr>
            <w:r>
              <w:rPr>
                <w:b/>
                <w:sz w:val="22"/>
              </w:rPr>
              <w:t>Weight and Mass</w:t>
            </w:r>
          </w:p>
        </w:tc>
      </w:tr>
      <w:tr>
        <w:trPr>
          <w:trHeight w:val="354"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4" w:hRule="atLeast"/>
        </w:trPr>
        <w:tc>
          <w:tcPr>
            <w:tcW w:w="1368" w:type="dxa"/>
          </w:tcPr>
          <w:p>
            <w:pPr>
              <w:pStyle w:val="TableParagraph"/>
              <w:spacing w:before="42"/>
              <w:rPr>
                <w:rFonts w:ascii="Consolas"/>
                <w:sz w:val="22"/>
              </w:rPr>
            </w:pPr>
            <w:r>
              <w:rPr>
                <w:rFonts w:ascii="Consolas"/>
                <w:w w:val="100"/>
                <w:sz w:val="22"/>
              </w:rPr>
              <w:t>g</w:t>
            </w:r>
          </w:p>
        </w:tc>
        <w:tc>
          <w:tcPr>
            <w:tcW w:w="5221" w:type="dxa"/>
          </w:tcPr>
          <w:p>
            <w:pPr>
              <w:pStyle w:val="TableParagraph"/>
              <w:ind w:left="114"/>
              <w:rPr>
                <w:sz w:val="22"/>
              </w:rPr>
            </w:pPr>
            <w:r>
              <w:rPr>
                <w:sz w:val="22"/>
              </w:rPr>
              <w:t>Gram</w:t>
            </w:r>
          </w:p>
        </w:tc>
      </w:tr>
      <w:tr>
        <w:trPr>
          <w:trHeight w:val="354" w:hRule="atLeast"/>
        </w:trPr>
        <w:tc>
          <w:tcPr>
            <w:tcW w:w="1368" w:type="dxa"/>
          </w:tcPr>
          <w:p>
            <w:pPr>
              <w:pStyle w:val="TableParagraph"/>
              <w:spacing w:before="42"/>
              <w:rPr>
                <w:rFonts w:ascii="Consolas"/>
                <w:sz w:val="22"/>
              </w:rPr>
            </w:pPr>
            <w:r>
              <w:rPr>
                <w:rFonts w:ascii="Consolas"/>
                <w:sz w:val="22"/>
              </w:rPr>
              <w:t>lbm</w:t>
            </w:r>
          </w:p>
        </w:tc>
        <w:tc>
          <w:tcPr>
            <w:tcW w:w="5221" w:type="dxa"/>
          </w:tcPr>
          <w:p>
            <w:pPr>
              <w:pStyle w:val="TableParagraph"/>
              <w:ind w:left="114"/>
              <w:rPr>
                <w:sz w:val="22"/>
              </w:rPr>
            </w:pPr>
            <w:r>
              <w:rPr>
                <w:sz w:val="22"/>
              </w:rPr>
              <w:t>Pound mass (avoirdupois)</w:t>
            </w:r>
          </w:p>
        </w:tc>
      </w:tr>
      <w:tr>
        <w:trPr>
          <w:trHeight w:val="352" w:hRule="atLeast"/>
        </w:trPr>
        <w:tc>
          <w:tcPr>
            <w:tcW w:w="1368" w:type="dxa"/>
          </w:tcPr>
          <w:p>
            <w:pPr>
              <w:pStyle w:val="TableParagraph"/>
              <w:spacing w:before="42"/>
              <w:rPr>
                <w:rFonts w:ascii="Consolas"/>
                <w:sz w:val="22"/>
              </w:rPr>
            </w:pPr>
            <w:r>
              <w:rPr>
                <w:rFonts w:ascii="Consolas"/>
                <w:sz w:val="22"/>
              </w:rPr>
              <w:t>ozm</w:t>
            </w:r>
          </w:p>
        </w:tc>
        <w:tc>
          <w:tcPr>
            <w:tcW w:w="5221" w:type="dxa"/>
          </w:tcPr>
          <w:p>
            <w:pPr>
              <w:pStyle w:val="TableParagraph"/>
              <w:ind w:left="114"/>
              <w:rPr>
                <w:sz w:val="22"/>
              </w:rPr>
            </w:pPr>
            <w:r>
              <w:rPr>
                <w:sz w:val="22"/>
              </w:rPr>
              <w:t>Ounce mass (avoirdupois)</w:t>
            </w:r>
          </w:p>
        </w:tc>
      </w:tr>
      <w:tr>
        <w:trPr>
          <w:trHeight w:val="354" w:hRule="atLeast"/>
        </w:trPr>
        <w:tc>
          <w:tcPr>
            <w:tcW w:w="1368" w:type="dxa"/>
          </w:tcPr>
          <w:p>
            <w:pPr>
              <w:pStyle w:val="TableParagraph"/>
              <w:spacing w:before="42"/>
              <w:rPr>
                <w:rFonts w:ascii="Consolas"/>
                <w:sz w:val="22"/>
              </w:rPr>
            </w:pPr>
            <w:r>
              <w:rPr>
                <w:rFonts w:ascii="Consolas"/>
                <w:sz w:val="22"/>
              </w:rPr>
              <w:t>sg</w:t>
            </w:r>
          </w:p>
        </w:tc>
        <w:tc>
          <w:tcPr>
            <w:tcW w:w="5221" w:type="dxa"/>
          </w:tcPr>
          <w:p>
            <w:pPr>
              <w:pStyle w:val="TableParagraph"/>
              <w:ind w:left="114"/>
              <w:rPr>
                <w:sz w:val="22"/>
              </w:rPr>
            </w:pPr>
            <w:r>
              <w:rPr>
                <w:sz w:val="22"/>
              </w:rPr>
              <w:t>Slug</w:t>
            </w:r>
          </w:p>
        </w:tc>
      </w:tr>
      <w:tr>
        <w:trPr>
          <w:trHeight w:val="354" w:hRule="atLeast"/>
        </w:trPr>
        <w:tc>
          <w:tcPr>
            <w:tcW w:w="1368" w:type="dxa"/>
          </w:tcPr>
          <w:p>
            <w:pPr>
              <w:pStyle w:val="TableParagraph"/>
              <w:spacing w:before="42"/>
              <w:rPr>
                <w:rFonts w:ascii="Consolas"/>
                <w:sz w:val="22"/>
              </w:rPr>
            </w:pPr>
            <w:r>
              <w:rPr>
                <w:rFonts w:ascii="Consolas"/>
                <w:w w:val="100"/>
                <w:sz w:val="22"/>
              </w:rPr>
              <w:t>u</w:t>
            </w:r>
          </w:p>
        </w:tc>
        <w:tc>
          <w:tcPr>
            <w:tcW w:w="5221" w:type="dxa"/>
          </w:tcPr>
          <w:p>
            <w:pPr>
              <w:pStyle w:val="TableParagraph"/>
              <w:ind w:left="114"/>
              <w:rPr>
                <w:sz w:val="22"/>
              </w:rPr>
            </w:pPr>
            <w:r>
              <w:rPr>
                <w:sz w:val="22"/>
              </w:rPr>
              <w:t>U (atomic mass unit)</w:t>
            </w:r>
          </w:p>
        </w:tc>
      </w:tr>
    </w:tbl>
    <w:p>
      <w:pPr>
        <w:pStyle w:val="BodyText"/>
        <w:rPr>
          <w:rFonts w:ascii="Times New Roman"/>
          <w:sz w:val="20"/>
        </w:rPr>
      </w:pPr>
    </w:p>
    <w:p>
      <w:pPr>
        <w:pStyle w:val="BodyText"/>
        <w:spacing w:before="2" w:after="1"/>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5" w:hRule="atLeast"/>
        </w:trPr>
        <w:tc>
          <w:tcPr>
            <w:tcW w:w="6589" w:type="dxa"/>
            <w:gridSpan w:val="2"/>
            <w:shd w:val="clear" w:color="auto" w:fill="C0C0C0"/>
          </w:tcPr>
          <w:p>
            <w:pPr>
              <w:pStyle w:val="TableParagraph"/>
              <w:ind w:left="2097" w:right="2090"/>
              <w:jc w:val="center"/>
              <w:rPr>
                <w:b/>
                <w:sz w:val="22"/>
              </w:rPr>
            </w:pPr>
            <w:r>
              <w:rPr>
                <w:b/>
                <w:sz w:val="22"/>
              </w:rPr>
              <w:t>Distance</w:t>
            </w:r>
          </w:p>
        </w:tc>
      </w:tr>
      <w:tr>
        <w:trPr>
          <w:trHeight w:val="354"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4" w:hRule="atLeast"/>
        </w:trPr>
        <w:tc>
          <w:tcPr>
            <w:tcW w:w="1368" w:type="dxa"/>
          </w:tcPr>
          <w:p>
            <w:pPr>
              <w:pStyle w:val="TableParagraph"/>
              <w:spacing w:before="42"/>
              <w:rPr>
                <w:rFonts w:ascii="Consolas"/>
                <w:sz w:val="22"/>
              </w:rPr>
            </w:pPr>
            <w:r>
              <w:rPr>
                <w:rFonts w:ascii="Consolas"/>
                <w:sz w:val="22"/>
              </w:rPr>
              <w:t>ang</w:t>
            </w:r>
          </w:p>
        </w:tc>
        <w:tc>
          <w:tcPr>
            <w:tcW w:w="5221" w:type="dxa"/>
          </w:tcPr>
          <w:p>
            <w:pPr>
              <w:pStyle w:val="TableParagraph"/>
              <w:ind w:left="114"/>
              <w:rPr>
                <w:sz w:val="22"/>
              </w:rPr>
            </w:pPr>
            <w:r>
              <w:rPr>
                <w:sz w:val="22"/>
              </w:rPr>
              <w:t>Angstrom</w:t>
            </w:r>
          </w:p>
        </w:tc>
      </w:tr>
      <w:tr>
        <w:trPr>
          <w:trHeight w:val="354" w:hRule="atLeast"/>
        </w:trPr>
        <w:tc>
          <w:tcPr>
            <w:tcW w:w="1368" w:type="dxa"/>
          </w:tcPr>
          <w:p>
            <w:pPr>
              <w:pStyle w:val="TableParagraph"/>
              <w:spacing w:before="42"/>
              <w:rPr>
                <w:rFonts w:ascii="Consolas"/>
                <w:sz w:val="22"/>
              </w:rPr>
            </w:pPr>
            <w:r>
              <w:rPr>
                <w:rFonts w:ascii="Consolas"/>
                <w:sz w:val="22"/>
              </w:rPr>
              <w:t>ft</w:t>
            </w:r>
          </w:p>
        </w:tc>
        <w:tc>
          <w:tcPr>
            <w:tcW w:w="5221" w:type="dxa"/>
          </w:tcPr>
          <w:p>
            <w:pPr>
              <w:pStyle w:val="TableParagraph"/>
              <w:ind w:left="114"/>
              <w:rPr>
                <w:sz w:val="22"/>
              </w:rPr>
            </w:pPr>
            <w:r>
              <w:rPr>
                <w:sz w:val="22"/>
              </w:rPr>
              <w:t>Foot</w:t>
            </w:r>
          </w:p>
        </w:tc>
      </w:tr>
      <w:tr>
        <w:trPr>
          <w:trHeight w:val="354" w:hRule="atLeast"/>
        </w:trPr>
        <w:tc>
          <w:tcPr>
            <w:tcW w:w="1368" w:type="dxa"/>
          </w:tcPr>
          <w:p>
            <w:pPr>
              <w:pStyle w:val="TableParagraph"/>
              <w:spacing w:before="42"/>
              <w:rPr>
                <w:rFonts w:ascii="Consolas"/>
                <w:sz w:val="22"/>
              </w:rPr>
            </w:pPr>
            <w:r>
              <w:rPr>
                <w:rFonts w:ascii="Consolas"/>
                <w:sz w:val="22"/>
              </w:rPr>
              <w:t>in</w:t>
            </w:r>
          </w:p>
        </w:tc>
        <w:tc>
          <w:tcPr>
            <w:tcW w:w="5221" w:type="dxa"/>
          </w:tcPr>
          <w:p>
            <w:pPr>
              <w:pStyle w:val="TableParagraph"/>
              <w:ind w:left="114"/>
              <w:rPr>
                <w:sz w:val="22"/>
              </w:rPr>
            </w:pPr>
            <w:r>
              <w:rPr>
                <w:sz w:val="22"/>
              </w:rPr>
              <w:t>Inch</w:t>
            </w:r>
          </w:p>
        </w:tc>
      </w:tr>
      <w:tr>
        <w:trPr>
          <w:trHeight w:val="354" w:hRule="atLeast"/>
        </w:trPr>
        <w:tc>
          <w:tcPr>
            <w:tcW w:w="1368" w:type="dxa"/>
          </w:tcPr>
          <w:p>
            <w:pPr>
              <w:pStyle w:val="TableParagraph"/>
              <w:spacing w:before="42"/>
              <w:rPr>
                <w:rFonts w:ascii="Consolas"/>
                <w:sz w:val="22"/>
              </w:rPr>
            </w:pPr>
            <w:r>
              <w:rPr>
                <w:rFonts w:ascii="Consolas"/>
                <w:w w:val="100"/>
                <w:sz w:val="22"/>
              </w:rPr>
              <w:t>m</w:t>
            </w:r>
          </w:p>
        </w:tc>
        <w:tc>
          <w:tcPr>
            <w:tcW w:w="5221" w:type="dxa"/>
          </w:tcPr>
          <w:p>
            <w:pPr>
              <w:pStyle w:val="TableParagraph"/>
              <w:ind w:left="114"/>
              <w:rPr>
                <w:sz w:val="22"/>
              </w:rPr>
            </w:pPr>
            <w:r>
              <w:rPr>
                <w:sz w:val="22"/>
              </w:rPr>
              <w:t>Meter</w:t>
            </w:r>
          </w:p>
        </w:tc>
      </w:tr>
      <w:tr>
        <w:trPr>
          <w:trHeight w:val="354" w:hRule="atLeast"/>
        </w:trPr>
        <w:tc>
          <w:tcPr>
            <w:tcW w:w="1368" w:type="dxa"/>
          </w:tcPr>
          <w:p>
            <w:pPr>
              <w:pStyle w:val="TableParagraph"/>
              <w:spacing w:before="42"/>
              <w:rPr>
                <w:rFonts w:ascii="Consolas"/>
                <w:sz w:val="22"/>
              </w:rPr>
            </w:pPr>
            <w:r>
              <w:rPr>
                <w:rFonts w:ascii="Consolas"/>
                <w:sz w:val="22"/>
              </w:rPr>
              <w:t>mi</w:t>
            </w:r>
          </w:p>
        </w:tc>
        <w:tc>
          <w:tcPr>
            <w:tcW w:w="5221" w:type="dxa"/>
          </w:tcPr>
          <w:p>
            <w:pPr>
              <w:pStyle w:val="TableParagraph"/>
              <w:ind w:left="114"/>
              <w:rPr>
                <w:sz w:val="22"/>
              </w:rPr>
            </w:pPr>
            <w:r>
              <w:rPr>
                <w:sz w:val="22"/>
              </w:rPr>
              <w:t>Statute mile</w:t>
            </w:r>
          </w:p>
        </w:tc>
      </w:tr>
      <w:tr>
        <w:trPr>
          <w:trHeight w:val="354" w:hRule="atLeast"/>
        </w:trPr>
        <w:tc>
          <w:tcPr>
            <w:tcW w:w="1368" w:type="dxa"/>
          </w:tcPr>
          <w:p>
            <w:pPr>
              <w:pStyle w:val="TableParagraph"/>
              <w:spacing w:before="42"/>
              <w:rPr>
                <w:rFonts w:ascii="Consolas"/>
                <w:sz w:val="22"/>
              </w:rPr>
            </w:pPr>
            <w:r>
              <w:rPr>
                <w:rFonts w:ascii="Consolas"/>
                <w:sz w:val="22"/>
              </w:rPr>
              <w:t>Nmi</w:t>
            </w:r>
          </w:p>
        </w:tc>
        <w:tc>
          <w:tcPr>
            <w:tcW w:w="5221" w:type="dxa"/>
          </w:tcPr>
          <w:p>
            <w:pPr>
              <w:pStyle w:val="TableParagraph"/>
              <w:ind w:left="114"/>
              <w:rPr>
                <w:sz w:val="22"/>
              </w:rPr>
            </w:pPr>
            <w:r>
              <w:rPr>
                <w:sz w:val="22"/>
              </w:rPr>
              <w:t>Nautical mile</w:t>
            </w:r>
          </w:p>
        </w:tc>
      </w:tr>
      <w:tr>
        <w:trPr>
          <w:trHeight w:val="352" w:hRule="atLeast"/>
        </w:trPr>
        <w:tc>
          <w:tcPr>
            <w:tcW w:w="1368" w:type="dxa"/>
          </w:tcPr>
          <w:p>
            <w:pPr>
              <w:pStyle w:val="TableParagraph"/>
              <w:spacing w:before="42"/>
              <w:rPr>
                <w:rFonts w:ascii="Consolas"/>
                <w:sz w:val="22"/>
              </w:rPr>
            </w:pPr>
            <w:r>
              <w:rPr>
                <w:rFonts w:ascii="Consolas"/>
                <w:sz w:val="22"/>
              </w:rPr>
              <w:t>Pica</w:t>
            </w:r>
          </w:p>
        </w:tc>
        <w:tc>
          <w:tcPr>
            <w:tcW w:w="5221" w:type="dxa"/>
          </w:tcPr>
          <w:p>
            <w:pPr>
              <w:pStyle w:val="TableParagraph"/>
              <w:ind w:left="114"/>
              <w:rPr>
                <w:sz w:val="22"/>
              </w:rPr>
            </w:pPr>
            <w:r>
              <w:rPr>
                <w:sz w:val="22"/>
              </w:rPr>
              <w:t>Point (1/72 inch)</w:t>
            </w:r>
          </w:p>
        </w:tc>
      </w:tr>
      <w:tr>
        <w:trPr>
          <w:trHeight w:val="357" w:hRule="atLeast"/>
        </w:trPr>
        <w:tc>
          <w:tcPr>
            <w:tcW w:w="1368" w:type="dxa"/>
          </w:tcPr>
          <w:p>
            <w:pPr>
              <w:pStyle w:val="TableParagraph"/>
              <w:spacing w:before="44"/>
              <w:rPr>
                <w:rFonts w:ascii="Consolas"/>
                <w:sz w:val="22"/>
              </w:rPr>
            </w:pPr>
            <w:r>
              <w:rPr>
                <w:rFonts w:ascii="Consolas"/>
                <w:sz w:val="22"/>
              </w:rPr>
              <w:t>yd</w:t>
            </w:r>
          </w:p>
        </w:tc>
        <w:tc>
          <w:tcPr>
            <w:tcW w:w="5221" w:type="dxa"/>
          </w:tcPr>
          <w:p>
            <w:pPr>
              <w:pStyle w:val="TableParagraph"/>
              <w:spacing w:before="42"/>
              <w:ind w:left="114"/>
              <w:rPr>
                <w:sz w:val="22"/>
              </w:rPr>
            </w:pPr>
            <w:r>
              <w:rPr>
                <w:sz w:val="22"/>
              </w:rPr>
              <w:t>Yard</w:t>
            </w:r>
          </w:p>
        </w:tc>
      </w:tr>
    </w:tbl>
    <w:p>
      <w:pPr>
        <w:pStyle w:val="BodyText"/>
        <w:rPr>
          <w:rFonts w:ascii="Times New Roman"/>
          <w:sz w:val="20"/>
        </w:rPr>
      </w:pPr>
    </w:p>
    <w:p>
      <w:pPr>
        <w:pStyle w:val="BodyText"/>
        <w:spacing w:before="2" w:after="1"/>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2" w:hRule="atLeast"/>
        </w:trPr>
        <w:tc>
          <w:tcPr>
            <w:tcW w:w="6589" w:type="dxa"/>
            <w:gridSpan w:val="2"/>
            <w:shd w:val="clear" w:color="auto" w:fill="C0C0C0"/>
          </w:tcPr>
          <w:p>
            <w:pPr>
              <w:pStyle w:val="TableParagraph"/>
              <w:ind w:left="2097" w:right="2088"/>
              <w:jc w:val="center"/>
              <w:rPr>
                <w:b/>
                <w:sz w:val="22"/>
              </w:rPr>
            </w:pPr>
            <w:r>
              <w:rPr>
                <w:b/>
                <w:sz w:val="22"/>
              </w:rPr>
              <w:t>Time</w:t>
            </w:r>
          </w:p>
        </w:tc>
      </w:tr>
      <w:tr>
        <w:trPr>
          <w:trHeight w:val="354" w:hRule="atLeast"/>
        </w:trPr>
        <w:tc>
          <w:tcPr>
            <w:tcW w:w="1368" w:type="dxa"/>
          </w:tcPr>
          <w:p>
            <w:pPr>
              <w:pStyle w:val="TableParagraph"/>
              <w:spacing w:before="42"/>
              <w:rPr>
                <w:i/>
                <w:sz w:val="22"/>
              </w:rPr>
            </w:pPr>
            <w:r>
              <w:rPr>
                <w:i/>
                <w:sz w:val="22"/>
              </w:rPr>
              <w:t>Unit String</w:t>
            </w:r>
          </w:p>
        </w:tc>
        <w:tc>
          <w:tcPr>
            <w:tcW w:w="5221" w:type="dxa"/>
          </w:tcPr>
          <w:p>
            <w:pPr>
              <w:pStyle w:val="TableParagraph"/>
              <w:spacing w:before="42"/>
              <w:ind w:left="114"/>
              <w:rPr>
                <w:i/>
                <w:sz w:val="22"/>
              </w:rPr>
            </w:pPr>
            <w:r>
              <w:rPr>
                <w:i/>
                <w:sz w:val="22"/>
              </w:rPr>
              <w:t>Meaning</w:t>
            </w:r>
          </w:p>
        </w:tc>
      </w:tr>
      <w:tr>
        <w:trPr>
          <w:trHeight w:val="354" w:hRule="atLeast"/>
        </w:trPr>
        <w:tc>
          <w:tcPr>
            <w:tcW w:w="1368" w:type="dxa"/>
          </w:tcPr>
          <w:p>
            <w:pPr>
              <w:pStyle w:val="TableParagraph"/>
              <w:spacing w:before="42"/>
              <w:rPr>
                <w:rFonts w:ascii="Consolas"/>
                <w:sz w:val="22"/>
              </w:rPr>
            </w:pPr>
            <w:r>
              <w:rPr>
                <w:rFonts w:ascii="Consolas"/>
                <w:sz w:val="22"/>
              </w:rPr>
              <w:t>day</w:t>
            </w:r>
          </w:p>
        </w:tc>
        <w:tc>
          <w:tcPr>
            <w:tcW w:w="5221" w:type="dxa"/>
          </w:tcPr>
          <w:p>
            <w:pPr>
              <w:pStyle w:val="TableParagraph"/>
              <w:ind w:left="114"/>
              <w:rPr>
                <w:sz w:val="22"/>
              </w:rPr>
            </w:pPr>
            <w:r>
              <w:rPr>
                <w:sz w:val="22"/>
              </w:rPr>
              <w:t>Day</w:t>
            </w:r>
          </w:p>
        </w:tc>
      </w:tr>
      <w:tr>
        <w:trPr>
          <w:trHeight w:val="354" w:hRule="atLeast"/>
        </w:trPr>
        <w:tc>
          <w:tcPr>
            <w:tcW w:w="1368" w:type="dxa"/>
          </w:tcPr>
          <w:p>
            <w:pPr>
              <w:pStyle w:val="TableParagraph"/>
              <w:spacing w:before="42"/>
              <w:rPr>
                <w:rFonts w:ascii="Consolas"/>
                <w:sz w:val="22"/>
              </w:rPr>
            </w:pPr>
            <w:r>
              <w:rPr>
                <w:rFonts w:ascii="Consolas"/>
                <w:sz w:val="22"/>
              </w:rPr>
              <w:t>hr</w:t>
            </w:r>
          </w:p>
        </w:tc>
        <w:tc>
          <w:tcPr>
            <w:tcW w:w="5221" w:type="dxa"/>
          </w:tcPr>
          <w:p>
            <w:pPr>
              <w:pStyle w:val="TableParagraph"/>
              <w:ind w:left="114"/>
              <w:rPr>
                <w:sz w:val="22"/>
              </w:rPr>
            </w:pPr>
            <w:r>
              <w:rPr>
                <w:sz w:val="22"/>
              </w:rPr>
              <w:t>Hour</w:t>
            </w:r>
          </w:p>
        </w:tc>
      </w:tr>
      <w:tr>
        <w:trPr>
          <w:trHeight w:val="354" w:hRule="atLeast"/>
        </w:trPr>
        <w:tc>
          <w:tcPr>
            <w:tcW w:w="1368" w:type="dxa"/>
          </w:tcPr>
          <w:p>
            <w:pPr>
              <w:pStyle w:val="TableParagraph"/>
              <w:spacing w:before="42"/>
              <w:rPr>
                <w:rFonts w:ascii="Consolas"/>
                <w:sz w:val="22"/>
              </w:rPr>
            </w:pPr>
            <w:r>
              <w:rPr>
                <w:rFonts w:ascii="Consolas"/>
                <w:sz w:val="22"/>
              </w:rPr>
              <w:t>mn</w:t>
            </w:r>
          </w:p>
        </w:tc>
        <w:tc>
          <w:tcPr>
            <w:tcW w:w="5221" w:type="dxa"/>
          </w:tcPr>
          <w:p>
            <w:pPr>
              <w:pStyle w:val="TableParagraph"/>
              <w:ind w:left="114"/>
              <w:rPr>
                <w:sz w:val="22"/>
              </w:rPr>
            </w:pPr>
            <w:r>
              <w:rPr>
                <w:sz w:val="22"/>
              </w:rPr>
              <w:t>Minute</w:t>
            </w:r>
          </w:p>
        </w:tc>
      </w:tr>
      <w:tr>
        <w:trPr>
          <w:trHeight w:val="354" w:hRule="atLeast"/>
        </w:trPr>
        <w:tc>
          <w:tcPr>
            <w:tcW w:w="1368" w:type="dxa"/>
          </w:tcPr>
          <w:p>
            <w:pPr>
              <w:pStyle w:val="TableParagraph"/>
              <w:spacing w:before="42"/>
              <w:rPr>
                <w:rFonts w:ascii="Consolas"/>
                <w:sz w:val="22"/>
              </w:rPr>
            </w:pPr>
            <w:r>
              <w:rPr>
                <w:rFonts w:ascii="Consolas"/>
                <w:sz w:val="22"/>
              </w:rPr>
              <w:t>sec</w:t>
            </w:r>
          </w:p>
        </w:tc>
        <w:tc>
          <w:tcPr>
            <w:tcW w:w="5221" w:type="dxa"/>
          </w:tcPr>
          <w:p>
            <w:pPr>
              <w:pStyle w:val="TableParagraph"/>
              <w:ind w:left="114"/>
              <w:rPr>
                <w:sz w:val="22"/>
              </w:rPr>
            </w:pPr>
            <w:r>
              <w:rPr>
                <w:sz w:val="22"/>
              </w:rPr>
              <w:t>Second</w:t>
            </w:r>
          </w:p>
        </w:tc>
      </w:tr>
      <w:tr>
        <w:trPr>
          <w:trHeight w:val="354" w:hRule="atLeast"/>
        </w:trPr>
        <w:tc>
          <w:tcPr>
            <w:tcW w:w="1368" w:type="dxa"/>
          </w:tcPr>
          <w:p>
            <w:pPr>
              <w:pStyle w:val="TableParagraph"/>
              <w:spacing w:before="42"/>
              <w:rPr>
                <w:rFonts w:ascii="Consolas"/>
                <w:sz w:val="22"/>
              </w:rPr>
            </w:pPr>
            <w:r>
              <w:rPr>
                <w:rFonts w:ascii="Consolas"/>
                <w:sz w:val="22"/>
              </w:rPr>
              <w:t>yr</w:t>
            </w:r>
          </w:p>
        </w:tc>
        <w:tc>
          <w:tcPr>
            <w:tcW w:w="5221" w:type="dxa"/>
          </w:tcPr>
          <w:p>
            <w:pPr>
              <w:pStyle w:val="TableParagraph"/>
              <w:ind w:left="114"/>
              <w:rPr>
                <w:sz w:val="22"/>
              </w:rPr>
            </w:pPr>
            <w:r>
              <w:rPr>
                <w:sz w:val="22"/>
              </w:rPr>
              <w:t>Year</w:t>
            </w:r>
          </w:p>
        </w:tc>
      </w:tr>
    </w:tbl>
    <w:p>
      <w:pPr>
        <w:pStyle w:val="BodyText"/>
        <w:rPr>
          <w:rFonts w:ascii="Times New Roman"/>
          <w:sz w:val="20"/>
        </w:rPr>
      </w:pPr>
    </w:p>
    <w:p>
      <w:pPr>
        <w:pStyle w:val="BodyText"/>
        <w:spacing w:before="3"/>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ind w:left="2097" w:right="2088"/>
              <w:jc w:val="center"/>
              <w:rPr>
                <w:b/>
                <w:sz w:val="22"/>
              </w:rPr>
            </w:pPr>
            <w:r>
              <w:rPr>
                <w:b/>
                <w:sz w:val="22"/>
              </w:rPr>
              <w:t>Pressure</w:t>
            </w:r>
          </w:p>
        </w:tc>
      </w:tr>
      <w:tr>
        <w:trPr>
          <w:trHeight w:val="354"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4" w:hRule="atLeast"/>
        </w:trPr>
        <w:tc>
          <w:tcPr>
            <w:tcW w:w="1368" w:type="dxa"/>
          </w:tcPr>
          <w:p>
            <w:pPr>
              <w:pStyle w:val="TableParagraph"/>
              <w:rPr>
                <w:rFonts w:ascii="Consolas"/>
                <w:sz w:val="22"/>
              </w:rPr>
            </w:pPr>
            <w:r>
              <w:rPr>
                <w:rFonts w:ascii="Consolas"/>
                <w:sz w:val="22"/>
              </w:rPr>
              <w:t>at</w:t>
            </w:r>
            <w:r>
              <w:rPr>
                <w:rFonts w:ascii="Consolas"/>
                <w:spacing w:val="-75"/>
                <w:sz w:val="22"/>
              </w:rPr>
              <w:t> </w:t>
            </w:r>
            <w:r>
              <w:rPr>
                <w:sz w:val="22"/>
              </w:rPr>
              <w:t>or </w:t>
            </w:r>
            <w:r>
              <w:rPr>
                <w:rFonts w:ascii="Consolas"/>
                <w:sz w:val="22"/>
              </w:rPr>
              <w:t>atm</w:t>
            </w:r>
          </w:p>
        </w:tc>
        <w:tc>
          <w:tcPr>
            <w:tcW w:w="5221" w:type="dxa"/>
          </w:tcPr>
          <w:p>
            <w:pPr>
              <w:pStyle w:val="TableParagraph"/>
              <w:ind w:left="114"/>
              <w:rPr>
                <w:sz w:val="22"/>
              </w:rPr>
            </w:pPr>
            <w:r>
              <w:rPr>
                <w:sz w:val="22"/>
              </w:rPr>
              <w:t>Atmosphere</w:t>
            </w:r>
          </w:p>
        </w:tc>
      </w:tr>
      <w:tr>
        <w:trPr>
          <w:trHeight w:val="354" w:hRule="atLeast"/>
        </w:trPr>
        <w:tc>
          <w:tcPr>
            <w:tcW w:w="1368" w:type="dxa"/>
          </w:tcPr>
          <w:p>
            <w:pPr>
              <w:pStyle w:val="TableParagraph"/>
              <w:spacing w:before="42"/>
              <w:rPr>
                <w:rFonts w:ascii="Consolas"/>
                <w:sz w:val="22"/>
              </w:rPr>
            </w:pPr>
            <w:r>
              <w:rPr>
                <w:rFonts w:ascii="Consolas"/>
                <w:sz w:val="22"/>
              </w:rPr>
              <w:t>mmHg</w:t>
            </w:r>
          </w:p>
        </w:tc>
        <w:tc>
          <w:tcPr>
            <w:tcW w:w="5221" w:type="dxa"/>
          </w:tcPr>
          <w:p>
            <w:pPr>
              <w:pStyle w:val="TableParagraph"/>
              <w:ind w:left="114"/>
              <w:rPr>
                <w:sz w:val="22"/>
              </w:rPr>
            </w:pPr>
            <w:r>
              <w:rPr>
                <w:sz w:val="22"/>
              </w:rPr>
              <w:t>mm of Mercury</w:t>
            </w:r>
          </w:p>
        </w:tc>
      </w:tr>
      <w:tr>
        <w:trPr>
          <w:trHeight w:val="354" w:hRule="atLeast"/>
        </w:trPr>
        <w:tc>
          <w:tcPr>
            <w:tcW w:w="1368" w:type="dxa"/>
          </w:tcPr>
          <w:p>
            <w:pPr>
              <w:pStyle w:val="TableParagraph"/>
              <w:rPr>
                <w:rFonts w:ascii="Consolas"/>
                <w:sz w:val="22"/>
              </w:rPr>
            </w:pPr>
            <w:r>
              <w:rPr>
                <w:rFonts w:ascii="Consolas"/>
                <w:sz w:val="22"/>
              </w:rPr>
              <w:t>P</w:t>
            </w:r>
            <w:r>
              <w:rPr>
                <w:rFonts w:ascii="Consolas"/>
                <w:spacing w:val="-72"/>
                <w:sz w:val="22"/>
              </w:rPr>
              <w:t> </w:t>
            </w:r>
            <w:r>
              <w:rPr>
                <w:sz w:val="22"/>
              </w:rPr>
              <w:t>or </w:t>
            </w:r>
            <w:r>
              <w:rPr>
                <w:rFonts w:ascii="Consolas"/>
                <w:sz w:val="22"/>
              </w:rPr>
              <w:t>p</w:t>
            </w:r>
          </w:p>
        </w:tc>
        <w:tc>
          <w:tcPr>
            <w:tcW w:w="5221" w:type="dxa"/>
          </w:tcPr>
          <w:p>
            <w:pPr>
              <w:pStyle w:val="TableParagraph"/>
              <w:ind w:left="114"/>
              <w:rPr>
                <w:sz w:val="22"/>
              </w:rPr>
            </w:pPr>
            <w:r>
              <w:rPr>
                <w:sz w:val="22"/>
              </w:rPr>
              <w:t>Pascal</w:t>
            </w:r>
          </w:p>
        </w:tc>
      </w:tr>
    </w:tbl>
    <w:p>
      <w:pPr>
        <w:spacing w:after="0"/>
        <w:rPr>
          <w:sz w:val="22"/>
        </w:rPr>
        <w:sectPr>
          <w:pgSz w:w="12240" w:h="15840"/>
          <w:pgMar w:header="763" w:footer="746" w:top="1340" w:bottom="940" w:left="860" w:right="700"/>
        </w:sectPr>
      </w:pPr>
    </w:p>
    <w:p>
      <w:pPr>
        <w:pStyle w:val="BodyText"/>
        <w:rPr>
          <w:rFonts w:ascii="Times New Roman"/>
          <w:sz w:val="20"/>
        </w:rPr>
      </w:pPr>
    </w:p>
    <w:p>
      <w:pPr>
        <w:pStyle w:val="BodyText"/>
        <w:rPr>
          <w:rFonts w:ascii="Times New Roman"/>
          <w:sz w:val="20"/>
        </w:rPr>
      </w:pPr>
    </w:p>
    <w:p>
      <w:pPr>
        <w:pStyle w:val="BodyText"/>
        <w:spacing w:before="4" w:after="1"/>
        <w:rPr>
          <w:rFonts w:ascii="Times New Roman"/>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ind w:left="2097" w:right="2088"/>
              <w:jc w:val="center"/>
              <w:rPr>
                <w:b/>
                <w:sz w:val="22"/>
              </w:rPr>
            </w:pPr>
            <w:r>
              <w:rPr>
                <w:b/>
                <w:sz w:val="22"/>
              </w:rPr>
              <w:t>Force</w:t>
            </w:r>
          </w:p>
        </w:tc>
      </w:tr>
      <w:tr>
        <w:trPr>
          <w:trHeight w:val="354"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4" w:hRule="atLeast"/>
        </w:trPr>
        <w:tc>
          <w:tcPr>
            <w:tcW w:w="1368" w:type="dxa"/>
          </w:tcPr>
          <w:p>
            <w:pPr>
              <w:pStyle w:val="TableParagraph"/>
              <w:rPr>
                <w:rFonts w:ascii="Consolas"/>
                <w:sz w:val="22"/>
              </w:rPr>
            </w:pPr>
            <w:r>
              <w:rPr>
                <w:rFonts w:ascii="Consolas"/>
                <w:sz w:val="22"/>
              </w:rPr>
              <w:t>dy</w:t>
            </w:r>
            <w:r>
              <w:rPr>
                <w:rFonts w:ascii="Consolas"/>
                <w:spacing w:val="-75"/>
                <w:sz w:val="22"/>
              </w:rPr>
              <w:t> </w:t>
            </w:r>
            <w:r>
              <w:rPr>
                <w:sz w:val="22"/>
              </w:rPr>
              <w:t>or </w:t>
            </w:r>
            <w:r>
              <w:rPr>
                <w:rFonts w:ascii="Consolas"/>
                <w:sz w:val="22"/>
              </w:rPr>
              <w:t>dyn</w:t>
            </w:r>
          </w:p>
        </w:tc>
        <w:tc>
          <w:tcPr>
            <w:tcW w:w="5221" w:type="dxa"/>
          </w:tcPr>
          <w:p>
            <w:pPr>
              <w:pStyle w:val="TableParagraph"/>
              <w:ind w:left="114"/>
              <w:rPr>
                <w:sz w:val="22"/>
              </w:rPr>
            </w:pPr>
            <w:r>
              <w:rPr>
                <w:sz w:val="22"/>
              </w:rPr>
              <w:t>Dyne</w:t>
            </w:r>
          </w:p>
        </w:tc>
      </w:tr>
      <w:tr>
        <w:trPr>
          <w:trHeight w:val="354" w:hRule="atLeast"/>
        </w:trPr>
        <w:tc>
          <w:tcPr>
            <w:tcW w:w="1368" w:type="dxa"/>
          </w:tcPr>
          <w:p>
            <w:pPr>
              <w:pStyle w:val="TableParagraph"/>
              <w:spacing w:before="42"/>
              <w:rPr>
                <w:rFonts w:ascii="Consolas"/>
                <w:sz w:val="22"/>
              </w:rPr>
            </w:pPr>
            <w:r>
              <w:rPr>
                <w:rFonts w:ascii="Consolas"/>
                <w:sz w:val="22"/>
              </w:rPr>
              <w:t>lbf</w:t>
            </w:r>
          </w:p>
        </w:tc>
        <w:tc>
          <w:tcPr>
            <w:tcW w:w="5221" w:type="dxa"/>
          </w:tcPr>
          <w:p>
            <w:pPr>
              <w:pStyle w:val="TableParagraph"/>
              <w:ind w:left="114"/>
              <w:rPr>
                <w:sz w:val="22"/>
              </w:rPr>
            </w:pPr>
            <w:r>
              <w:rPr>
                <w:sz w:val="22"/>
              </w:rPr>
              <w:t>Pound force</w:t>
            </w:r>
          </w:p>
        </w:tc>
      </w:tr>
      <w:tr>
        <w:trPr>
          <w:trHeight w:val="354" w:hRule="atLeast"/>
        </w:trPr>
        <w:tc>
          <w:tcPr>
            <w:tcW w:w="1368" w:type="dxa"/>
          </w:tcPr>
          <w:p>
            <w:pPr>
              <w:pStyle w:val="TableParagraph"/>
              <w:spacing w:before="42"/>
              <w:rPr>
                <w:rFonts w:ascii="Consolas"/>
                <w:sz w:val="22"/>
              </w:rPr>
            </w:pPr>
            <w:r>
              <w:rPr>
                <w:rFonts w:ascii="Consolas"/>
                <w:w w:val="100"/>
                <w:sz w:val="22"/>
              </w:rPr>
              <w:t>N</w:t>
            </w:r>
          </w:p>
        </w:tc>
        <w:tc>
          <w:tcPr>
            <w:tcW w:w="5221" w:type="dxa"/>
          </w:tcPr>
          <w:p>
            <w:pPr>
              <w:pStyle w:val="TableParagraph"/>
              <w:ind w:left="114"/>
              <w:rPr>
                <w:sz w:val="22"/>
              </w:rPr>
            </w:pPr>
            <w:r>
              <w:rPr>
                <w:sz w:val="22"/>
              </w:rPr>
              <w:t>Newton</w:t>
            </w:r>
          </w:p>
        </w:tc>
      </w:tr>
    </w:tbl>
    <w:p>
      <w:pPr>
        <w:pStyle w:val="BodyText"/>
        <w:rPr>
          <w:rFonts w:ascii="Times New Roman"/>
          <w:sz w:val="20"/>
        </w:rPr>
      </w:pPr>
    </w:p>
    <w:p>
      <w:pPr>
        <w:pStyle w:val="BodyText"/>
        <w:spacing w:before="2" w:after="1"/>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ind w:left="2097" w:right="2089"/>
              <w:jc w:val="center"/>
              <w:rPr>
                <w:b/>
                <w:sz w:val="22"/>
              </w:rPr>
            </w:pPr>
            <w:r>
              <w:rPr>
                <w:b/>
                <w:sz w:val="22"/>
              </w:rPr>
              <w:t>Energy</w:t>
            </w:r>
          </w:p>
        </w:tc>
      </w:tr>
      <w:tr>
        <w:trPr>
          <w:trHeight w:val="352"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5" w:hRule="atLeast"/>
        </w:trPr>
        <w:tc>
          <w:tcPr>
            <w:tcW w:w="1368" w:type="dxa"/>
          </w:tcPr>
          <w:p>
            <w:pPr>
              <w:pStyle w:val="TableParagraph"/>
              <w:spacing w:before="43"/>
              <w:rPr>
                <w:rFonts w:ascii="Consolas"/>
                <w:sz w:val="22"/>
              </w:rPr>
            </w:pPr>
            <w:r>
              <w:rPr>
                <w:rFonts w:ascii="Consolas"/>
                <w:sz w:val="22"/>
              </w:rPr>
              <w:t>BTU</w:t>
            </w:r>
            <w:r>
              <w:rPr>
                <w:rFonts w:ascii="Consolas"/>
                <w:spacing w:val="-74"/>
                <w:sz w:val="22"/>
              </w:rPr>
              <w:t> </w:t>
            </w:r>
            <w:r>
              <w:rPr>
                <w:sz w:val="22"/>
              </w:rPr>
              <w:t>or </w:t>
            </w:r>
            <w:r>
              <w:rPr>
                <w:rFonts w:ascii="Consolas"/>
                <w:sz w:val="22"/>
              </w:rPr>
              <w:t>btu</w:t>
            </w:r>
          </w:p>
        </w:tc>
        <w:tc>
          <w:tcPr>
            <w:tcW w:w="5221" w:type="dxa"/>
          </w:tcPr>
          <w:p>
            <w:pPr>
              <w:pStyle w:val="TableParagraph"/>
              <w:spacing w:before="42"/>
              <w:ind w:left="114"/>
              <w:rPr>
                <w:sz w:val="14"/>
              </w:rPr>
            </w:pPr>
            <w:r>
              <w:rPr>
                <w:position w:val="2"/>
                <w:sz w:val="22"/>
              </w:rPr>
              <w:t>BTU</w:t>
            </w:r>
            <w:r>
              <w:rPr>
                <w:sz w:val="14"/>
              </w:rPr>
              <w:t>IT</w:t>
            </w:r>
          </w:p>
        </w:tc>
      </w:tr>
      <w:tr>
        <w:trPr>
          <w:trHeight w:val="354" w:hRule="atLeast"/>
        </w:trPr>
        <w:tc>
          <w:tcPr>
            <w:tcW w:w="1368" w:type="dxa"/>
          </w:tcPr>
          <w:p>
            <w:pPr>
              <w:pStyle w:val="TableParagraph"/>
              <w:spacing w:before="42"/>
              <w:rPr>
                <w:rFonts w:ascii="Consolas"/>
                <w:sz w:val="22"/>
              </w:rPr>
            </w:pPr>
            <w:r>
              <w:rPr>
                <w:rFonts w:ascii="Consolas"/>
                <w:w w:val="100"/>
                <w:sz w:val="22"/>
              </w:rPr>
              <w:t>c</w:t>
            </w:r>
          </w:p>
        </w:tc>
        <w:tc>
          <w:tcPr>
            <w:tcW w:w="5221" w:type="dxa"/>
          </w:tcPr>
          <w:p>
            <w:pPr>
              <w:pStyle w:val="TableParagraph"/>
              <w:ind w:left="114"/>
              <w:rPr>
                <w:sz w:val="22"/>
              </w:rPr>
            </w:pPr>
            <w:r>
              <w:rPr>
                <w:sz w:val="22"/>
              </w:rPr>
              <w:t>Thermodynamic calorie</w:t>
            </w:r>
          </w:p>
        </w:tc>
      </w:tr>
      <w:tr>
        <w:trPr>
          <w:trHeight w:val="354" w:hRule="atLeast"/>
        </w:trPr>
        <w:tc>
          <w:tcPr>
            <w:tcW w:w="1368" w:type="dxa"/>
          </w:tcPr>
          <w:p>
            <w:pPr>
              <w:pStyle w:val="TableParagraph"/>
              <w:spacing w:before="42"/>
              <w:rPr>
                <w:rFonts w:ascii="Consolas"/>
                <w:sz w:val="22"/>
              </w:rPr>
            </w:pPr>
            <w:r>
              <w:rPr>
                <w:rFonts w:ascii="Consolas"/>
                <w:sz w:val="22"/>
              </w:rPr>
              <w:t>cal</w:t>
            </w:r>
          </w:p>
        </w:tc>
        <w:tc>
          <w:tcPr>
            <w:tcW w:w="5221" w:type="dxa"/>
          </w:tcPr>
          <w:p>
            <w:pPr>
              <w:pStyle w:val="TableParagraph"/>
              <w:ind w:left="114"/>
              <w:rPr>
                <w:sz w:val="22"/>
              </w:rPr>
            </w:pPr>
            <w:r>
              <w:rPr>
                <w:sz w:val="22"/>
              </w:rPr>
              <w:t>IT calorie</w:t>
            </w:r>
          </w:p>
        </w:tc>
      </w:tr>
      <w:tr>
        <w:trPr>
          <w:trHeight w:val="354" w:hRule="atLeast"/>
        </w:trPr>
        <w:tc>
          <w:tcPr>
            <w:tcW w:w="1368" w:type="dxa"/>
          </w:tcPr>
          <w:p>
            <w:pPr>
              <w:pStyle w:val="TableParagraph"/>
              <w:spacing w:before="42"/>
              <w:rPr>
                <w:rFonts w:ascii="Consolas"/>
                <w:sz w:val="22"/>
              </w:rPr>
            </w:pPr>
            <w:r>
              <w:rPr>
                <w:rFonts w:ascii="Consolas"/>
                <w:w w:val="100"/>
                <w:sz w:val="22"/>
              </w:rPr>
              <w:t>e</w:t>
            </w:r>
          </w:p>
        </w:tc>
        <w:tc>
          <w:tcPr>
            <w:tcW w:w="5221" w:type="dxa"/>
          </w:tcPr>
          <w:p>
            <w:pPr>
              <w:pStyle w:val="TableParagraph"/>
              <w:ind w:left="114"/>
              <w:rPr>
                <w:sz w:val="22"/>
              </w:rPr>
            </w:pPr>
            <w:r>
              <w:rPr>
                <w:sz w:val="22"/>
              </w:rPr>
              <w:t>Erg</w:t>
            </w:r>
          </w:p>
        </w:tc>
      </w:tr>
      <w:tr>
        <w:trPr>
          <w:trHeight w:val="354" w:hRule="atLeast"/>
        </w:trPr>
        <w:tc>
          <w:tcPr>
            <w:tcW w:w="1368" w:type="dxa"/>
          </w:tcPr>
          <w:p>
            <w:pPr>
              <w:pStyle w:val="TableParagraph"/>
              <w:rPr>
                <w:rFonts w:ascii="Consolas"/>
                <w:sz w:val="22"/>
              </w:rPr>
            </w:pPr>
            <w:r>
              <w:rPr>
                <w:rFonts w:ascii="Consolas"/>
                <w:sz w:val="22"/>
              </w:rPr>
              <w:t>ev</w:t>
            </w:r>
            <w:r>
              <w:rPr>
                <w:rFonts w:ascii="Consolas"/>
                <w:spacing w:val="-75"/>
                <w:sz w:val="22"/>
              </w:rPr>
              <w:t> </w:t>
            </w:r>
            <w:r>
              <w:rPr>
                <w:sz w:val="22"/>
              </w:rPr>
              <w:t>or </w:t>
            </w:r>
            <w:r>
              <w:rPr>
                <w:rFonts w:ascii="Consolas"/>
                <w:sz w:val="22"/>
              </w:rPr>
              <w:t>eV</w:t>
            </w:r>
          </w:p>
        </w:tc>
        <w:tc>
          <w:tcPr>
            <w:tcW w:w="5221" w:type="dxa"/>
          </w:tcPr>
          <w:p>
            <w:pPr>
              <w:pStyle w:val="TableParagraph"/>
              <w:ind w:left="114"/>
              <w:rPr>
                <w:sz w:val="22"/>
              </w:rPr>
            </w:pPr>
            <w:r>
              <w:rPr>
                <w:sz w:val="22"/>
              </w:rPr>
              <w:t>Electron volt</w:t>
            </w:r>
          </w:p>
        </w:tc>
      </w:tr>
      <w:tr>
        <w:trPr>
          <w:trHeight w:val="354" w:hRule="atLeast"/>
        </w:trPr>
        <w:tc>
          <w:tcPr>
            <w:tcW w:w="1368" w:type="dxa"/>
          </w:tcPr>
          <w:p>
            <w:pPr>
              <w:pStyle w:val="TableParagraph"/>
              <w:spacing w:before="42"/>
              <w:rPr>
                <w:rFonts w:ascii="Consolas"/>
                <w:sz w:val="22"/>
              </w:rPr>
            </w:pPr>
            <w:r>
              <w:rPr>
                <w:rFonts w:ascii="Consolas"/>
                <w:sz w:val="22"/>
              </w:rPr>
              <w:t>flb</w:t>
            </w:r>
          </w:p>
        </w:tc>
        <w:tc>
          <w:tcPr>
            <w:tcW w:w="5221" w:type="dxa"/>
          </w:tcPr>
          <w:p>
            <w:pPr>
              <w:pStyle w:val="TableParagraph"/>
              <w:ind w:left="114"/>
              <w:rPr>
                <w:sz w:val="22"/>
              </w:rPr>
            </w:pPr>
            <w:r>
              <w:rPr>
                <w:sz w:val="22"/>
              </w:rPr>
              <w:t>Foot-pound</w:t>
            </w:r>
          </w:p>
        </w:tc>
      </w:tr>
      <w:tr>
        <w:trPr>
          <w:trHeight w:val="354" w:hRule="atLeast"/>
        </w:trPr>
        <w:tc>
          <w:tcPr>
            <w:tcW w:w="1368" w:type="dxa"/>
          </w:tcPr>
          <w:p>
            <w:pPr>
              <w:pStyle w:val="TableParagraph"/>
              <w:rPr>
                <w:rFonts w:ascii="Consolas"/>
                <w:sz w:val="22"/>
              </w:rPr>
            </w:pPr>
            <w:r>
              <w:rPr>
                <w:rFonts w:ascii="Consolas"/>
                <w:sz w:val="22"/>
              </w:rPr>
              <w:t>HPh</w:t>
            </w:r>
            <w:r>
              <w:rPr>
                <w:rFonts w:ascii="Consolas"/>
                <w:spacing w:val="-74"/>
                <w:sz w:val="22"/>
              </w:rPr>
              <w:t> </w:t>
            </w:r>
            <w:r>
              <w:rPr>
                <w:sz w:val="22"/>
              </w:rPr>
              <w:t>or </w:t>
            </w:r>
            <w:r>
              <w:rPr>
                <w:rFonts w:ascii="Consolas"/>
                <w:sz w:val="22"/>
              </w:rPr>
              <w:t>hh</w:t>
            </w:r>
          </w:p>
        </w:tc>
        <w:tc>
          <w:tcPr>
            <w:tcW w:w="5221" w:type="dxa"/>
          </w:tcPr>
          <w:p>
            <w:pPr>
              <w:pStyle w:val="TableParagraph"/>
              <w:ind w:left="114"/>
              <w:rPr>
                <w:sz w:val="22"/>
              </w:rPr>
            </w:pPr>
            <w:r>
              <w:rPr>
                <w:sz w:val="22"/>
              </w:rPr>
              <w:t>Horsepower-hour</w:t>
            </w:r>
          </w:p>
        </w:tc>
      </w:tr>
      <w:tr>
        <w:trPr>
          <w:trHeight w:val="354" w:hRule="atLeast"/>
        </w:trPr>
        <w:tc>
          <w:tcPr>
            <w:tcW w:w="1368" w:type="dxa"/>
          </w:tcPr>
          <w:p>
            <w:pPr>
              <w:pStyle w:val="TableParagraph"/>
              <w:spacing w:before="42"/>
              <w:rPr>
                <w:rFonts w:ascii="Consolas"/>
                <w:sz w:val="22"/>
              </w:rPr>
            </w:pPr>
            <w:r>
              <w:rPr>
                <w:rFonts w:ascii="Consolas"/>
                <w:w w:val="100"/>
                <w:sz w:val="22"/>
              </w:rPr>
              <w:t>J</w:t>
            </w:r>
          </w:p>
        </w:tc>
        <w:tc>
          <w:tcPr>
            <w:tcW w:w="5221" w:type="dxa"/>
          </w:tcPr>
          <w:p>
            <w:pPr>
              <w:pStyle w:val="TableParagraph"/>
              <w:ind w:left="114"/>
              <w:rPr>
                <w:sz w:val="22"/>
              </w:rPr>
            </w:pPr>
            <w:r>
              <w:rPr>
                <w:sz w:val="22"/>
              </w:rPr>
              <w:t>Joule</w:t>
            </w:r>
          </w:p>
        </w:tc>
      </w:tr>
      <w:tr>
        <w:trPr>
          <w:trHeight w:val="354" w:hRule="atLeast"/>
        </w:trPr>
        <w:tc>
          <w:tcPr>
            <w:tcW w:w="1368" w:type="dxa"/>
          </w:tcPr>
          <w:p>
            <w:pPr>
              <w:pStyle w:val="TableParagraph"/>
              <w:rPr>
                <w:rFonts w:ascii="Consolas"/>
                <w:sz w:val="22"/>
              </w:rPr>
            </w:pPr>
            <w:r>
              <w:rPr>
                <w:rFonts w:ascii="Consolas"/>
                <w:sz w:val="22"/>
              </w:rPr>
              <w:t>Wh</w:t>
            </w:r>
            <w:r>
              <w:rPr>
                <w:rFonts w:ascii="Consolas"/>
                <w:spacing w:val="-75"/>
                <w:sz w:val="22"/>
              </w:rPr>
              <w:t> </w:t>
            </w:r>
            <w:r>
              <w:rPr>
                <w:sz w:val="22"/>
              </w:rPr>
              <w:t>or </w:t>
            </w:r>
            <w:r>
              <w:rPr>
                <w:rFonts w:ascii="Consolas"/>
                <w:sz w:val="22"/>
              </w:rPr>
              <w:t>wh</w:t>
            </w:r>
          </w:p>
        </w:tc>
        <w:tc>
          <w:tcPr>
            <w:tcW w:w="5221" w:type="dxa"/>
          </w:tcPr>
          <w:p>
            <w:pPr>
              <w:pStyle w:val="TableParagraph"/>
              <w:ind w:left="114"/>
              <w:rPr>
                <w:sz w:val="22"/>
              </w:rPr>
            </w:pPr>
            <w:r>
              <w:rPr>
                <w:sz w:val="22"/>
              </w:rPr>
              <w:t>Watt-hour</w:t>
            </w:r>
          </w:p>
        </w:tc>
      </w:tr>
    </w:tbl>
    <w:p>
      <w:pPr>
        <w:pStyle w:val="BodyText"/>
        <w:rPr>
          <w:rFonts w:ascii="Times New Roman"/>
          <w:sz w:val="20"/>
        </w:rPr>
      </w:pPr>
    </w:p>
    <w:p>
      <w:pPr>
        <w:pStyle w:val="BodyText"/>
        <w:spacing w:before="3"/>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ind w:left="2097" w:right="2087"/>
              <w:jc w:val="center"/>
              <w:rPr>
                <w:b/>
                <w:sz w:val="22"/>
              </w:rPr>
            </w:pPr>
            <w:r>
              <w:rPr>
                <w:b/>
                <w:sz w:val="22"/>
              </w:rPr>
              <w:t>Power</w:t>
            </w:r>
          </w:p>
        </w:tc>
      </w:tr>
      <w:tr>
        <w:trPr>
          <w:trHeight w:val="354"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2" w:hRule="atLeast"/>
        </w:trPr>
        <w:tc>
          <w:tcPr>
            <w:tcW w:w="1368" w:type="dxa"/>
          </w:tcPr>
          <w:p>
            <w:pPr>
              <w:pStyle w:val="TableParagraph"/>
              <w:rPr>
                <w:rFonts w:ascii="Consolas"/>
                <w:sz w:val="22"/>
              </w:rPr>
            </w:pPr>
            <w:r>
              <w:rPr>
                <w:rFonts w:ascii="Consolas"/>
                <w:sz w:val="22"/>
              </w:rPr>
              <w:t>H</w:t>
            </w:r>
            <w:r>
              <w:rPr>
                <w:rFonts w:ascii="Consolas"/>
                <w:spacing w:val="-73"/>
                <w:sz w:val="22"/>
              </w:rPr>
              <w:t> </w:t>
            </w:r>
            <w:r>
              <w:rPr>
                <w:sz w:val="22"/>
              </w:rPr>
              <w:t>or </w:t>
            </w:r>
            <w:r>
              <w:rPr>
                <w:rFonts w:ascii="Consolas"/>
                <w:sz w:val="22"/>
              </w:rPr>
              <w:t>hp</w:t>
            </w:r>
          </w:p>
        </w:tc>
        <w:tc>
          <w:tcPr>
            <w:tcW w:w="5221" w:type="dxa"/>
          </w:tcPr>
          <w:p>
            <w:pPr>
              <w:pStyle w:val="TableParagraph"/>
              <w:ind w:left="114"/>
              <w:rPr>
                <w:sz w:val="22"/>
              </w:rPr>
            </w:pPr>
            <w:r>
              <w:rPr>
                <w:sz w:val="22"/>
              </w:rPr>
              <w:t>Horsepower</w:t>
            </w:r>
          </w:p>
        </w:tc>
      </w:tr>
      <w:tr>
        <w:trPr>
          <w:trHeight w:val="354" w:hRule="atLeast"/>
        </w:trPr>
        <w:tc>
          <w:tcPr>
            <w:tcW w:w="1368" w:type="dxa"/>
          </w:tcPr>
          <w:p>
            <w:pPr>
              <w:pStyle w:val="TableParagraph"/>
              <w:rPr>
                <w:rFonts w:ascii="Consolas"/>
                <w:sz w:val="22"/>
              </w:rPr>
            </w:pPr>
            <w:r>
              <w:rPr>
                <w:rFonts w:ascii="Consolas"/>
                <w:sz w:val="22"/>
              </w:rPr>
              <w:t>W</w:t>
            </w:r>
            <w:r>
              <w:rPr>
                <w:rFonts w:ascii="Consolas"/>
                <w:spacing w:val="-72"/>
                <w:sz w:val="22"/>
              </w:rPr>
              <w:t> </w:t>
            </w:r>
            <w:r>
              <w:rPr>
                <w:sz w:val="22"/>
              </w:rPr>
              <w:t>or </w:t>
            </w:r>
            <w:r>
              <w:rPr>
                <w:rFonts w:ascii="Consolas"/>
                <w:sz w:val="22"/>
              </w:rPr>
              <w:t>w</w:t>
            </w:r>
          </w:p>
        </w:tc>
        <w:tc>
          <w:tcPr>
            <w:tcW w:w="5221" w:type="dxa"/>
          </w:tcPr>
          <w:p>
            <w:pPr>
              <w:pStyle w:val="TableParagraph"/>
              <w:ind w:left="114"/>
              <w:rPr>
                <w:sz w:val="22"/>
              </w:rPr>
            </w:pPr>
            <w:r>
              <w:rPr>
                <w:sz w:val="22"/>
              </w:rPr>
              <w:t>Watt</w:t>
            </w:r>
          </w:p>
        </w:tc>
      </w:tr>
    </w:tbl>
    <w:p>
      <w:pPr>
        <w:pStyle w:val="BodyText"/>
        <w:rPr>
          <w:rFonts w:ascii="Times New Roman"/>
          <w:sz w:val="20"/>
        </w:rPr>
      </w:pPr>
    </w:p>
    <w:p>
      <w:pPr>
        <w:pStyle w:val="BodyText"/>
        <w:spacing w:before="2" w:after="1"/>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spacing w:before="42"/>
              <w:ind w:left="2097" w:right="2089"/>
              <w:jc w:val="center"/>
              <w:rPr>
                <w:b/>
                <w:sz w:val="22"/>
              </w:rPr>
            </w:pPr>
            <w:r>
              <w:rPr>
                <w:b/>
                <w:sz w:val="22"/>
              </w:rPr>
              <w:t>Magnetism</w:t>
            </w:r>
          </w:p>
        </w:tc>
      </w:tr>
      <w:tr>
        <w:trPr>
          <w:trHeight w:val="354"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4" w:hRule="atLeast"/>
        </w:trPr>
        <w:tc>
          <w:tcPr>
            <w:tcW w:w="1368" w:type="dxa"/>
          </w:tcPr>
          <w:p>
            <w:pPr>
              <w:pStyle w:val="TableParagraph"/>
              <w:spacing w:before="42"/>
              <w:rPr>
                <w:rFonts w:ascii="Consolas"/>
                <w:sz w:val="22"/>
              </w:rPr>
            </w:pPr>
            <w:r>
              <w:rPr>
                <w:rFonts w:ascii="Consolas"/>
                <w:sz w:val="22"/>
              </w:rPr>
              <w:t>ga</w:t>
            </w:r>
          </w:p>
        </w:tc>
        <w:tc>
          <w:tcPr>
            <w:tcW w:w="5221" w:type="dxa"/>
          </w:tcPr>
          <w:p>
            <w:pPr>
              <w:pStyle w:val="TableParagraph"/>
              <w:ind w:left="114"/>
              <w:rPr>
                <w:sz w:val="22"/>
              </w:rPr>
            </w:pPr>
            <w:r>
              <w:rPr>
                <w:sz w:val="22"/>
              </w:rPr>
              <w:t>Gauss</w:t>
            </w:r>
          </w:p>
        </w:tc>
      </w:tr>
      <w:tr>
        <w:trPr>
          <w:trHeight w:val="355" w:hRule="atLeast"/>
        </w:trPr>
        <w:tc>
          <w:tcPr>
            <w:tcW w:w="1368" w:type="dxa"/>
          </w:tcPr>
          <w:p>
            <w:pPr>
              <w:pStyle w:val="TableParagraph"/>
              <w:spacing w:before="42"/>
              <w:rPr>
                <w:rFonts w:ascii="Consolas"/>
                <w:sz w:val="22"/>
              </w:rPr>
            </w:pPr>
            <w:r>
              <w:rPr>
                <w:rFonts w:ascii="Consolas"/>
                <w:w w:val="100"/>
                <w:sz w:val="22"/>
              </w:rPr>
              <w:t>T</w:t>
            </w:r>
          </w:p>
        </w:tc>
        <w:tc>
          <w:tcPr>
            <w:tcW w:w="5221" w:type="dxa"/>
          </w:tcPr>
          <w:p>
            <w:pPr>
              <w:pStyle w:val="TableParagraph"/>
              <w:ind w:left="114"/>
              <w:rPr>
                <w:sz w:val="22"/>
              </w:rPr>
            </w:pPr>
            <w:r>
              <w:rPr>
                <w:sz w:val="22"/>
              </w:rPr>
              <w:t>Tesla</w:t>
            </w:r>
          </w:p>
        </w:tc>
      </w:tr>
    </w:tbl>
    <w:p>
      <w:pPr>
        <w:pStyle w:val="BodyText"/>
        <w:rPr>
          <w:rFonts w:ascii="Times New Roman"/>
          <w:sz w:val="20"/>
        </w:rPr>
      </w:pPr>
    </w:p>
    <w:p>
      <w:pPr>
        <w:pStyle w:val="BodyText"/>
        <w:spacing w:before="2" w:after="1"/>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ind w:left="2097" w:right="2086"/>
              <w:jc w:val="center"/>
              <w:rPr>
                <w:b/>
                <w:sz w:val="22"/>
              </w:rPr>
            </w:pPr>
            <w:r>
              <w:rPr>
                <w:b/>
                <w:sz w:val="22"/>
              </w:rPr>
              <w:t>Temperature</w:t>
            </w:r>
          </w:p>
        </w:tc>
      </w:tr>
      <w:tr>
        <w:trPr>
          <w:trHeight w:val="354" w:hRule="atLeast"/>
        </w:trPr>
        <w:tc>
          <w:tcPr>
            <w:tcW w:w="1368" w:type="dxa"/>
          </w:tcPr>
          <w:p>
            <w:pPr>
              <w:pStyle w:val="TableParagraph"/>
              <w:rPr>
                <w:i/>
                <w:sz w:val="22"/>
              </w:rPr>
            </w:pPr>
            <w:r>
              <w:rPr>
                <w:i/>
                <w:sz w:val="22"/>
              </w:rPr>
              <w:t>Unit String</w:t>
            </w:r>
          </w:p>
        </w:tc>
        <w:tc>
          <w:tcPr>
            <w:tcW w:w="5221" w:type="dxa"/>
          </w:tcPr>
          <w:p>
            <w:pPr>
              <w:pStyle w:val="TableParagraph"/>
              <w:ind w:left="114"/>
              <w:rPr>
                <w:i/>
                <w:sz w:val="22"/>
              </w:rPr>
            </w:pPr>
            <w:r>
              <w:rPr>
                <w:i/>
                <w:sz w:val="22"/>
              </w:rPr>
              <w:t>Meaning</w:t>
            </w:r>
          </w:p>
        </w:tc>
      </w:tr>
      <w:tr>
        <w:trPr>
          <w:trHeight w:val="354" w:hRule="atLeast"/>
        </w:trPr>
        <w:tc>
          <w:tcPr>
            <w:tcW w:w="1368" w:type="dxa"/>
          </w:tcPr>
          <w:p>
            <w:pPr>
              <w:pStyle w:val="TableParagraph"/>
              <w:rPr>
                <w:rFonts w:ascii="Consolas"/>
                <w:sz w:val="22"/>
              </w:rPr>
            </w:pPr>
            <w:r>
              <w:rPr>
                <w:rFonts w:ascii="Consolas"/>
                <w:sz w:val="22"/>
              </w:rPr>
              <w:t>C</w:t>
            </w:r>
            <w:r>
              <w:rPr>
                <w:rFonts w:ascii="Consolas"/>
                <w:spacing w:val="-72"/>
                <w:sz w:val="22"/>
              </w:rPr>
              <w:t> </w:t>
            </w:r>
            <w:r>
              <w:rPr>
                <w:sz w:val="22"/>
              </w:rPr>
              <w:t>or </w:t>
            </w:r>
            <w:r>
              <w:rPr>
                <w:rFonts w:ascii="Consolas"/>
                <w:spacing w:val="-2"/>
                <w:sz w:val="22"/>
              </w:rPr>
              <w:t>cel</w:t>
            </w:r>
          </w:p>
        </w:tc>
        <w:tc>
          <w:tcPr>
            <w:tcW w:w="5221" w:type="dxa"/>
          </w:tcPr>
          <w:p>
            <w:pPr>
              <w:pStyle w:val="TableParagraph"/>
              <w:ind w:left="114"/>
              <w:rPr>
                <w:sz w:val="22"/>
              </w:rPr>
            </w:pPr>
            <w:r>
              <w:rPr>
                <w:sz w:val="22"/>
              </w:rPr>
              <w:t>Degrees Celsius</w:t>
            </w:r>
          </w:p>
        </w:tc>
      </w:tr>
      <w:tr>
        <w:trPr>
          <w:trHeight w:val="354" w:hRule="atLeast"/>
        </w:trPr>
        <w:tc>
          <w:tcPr>
            <w:tcW w:w="1368" w:type="dxa"/>
          </w:tcPr>
          <w:p>
            <w:pPr>
              <w:pStyle w:val="TableParagraph"/>
              <w:rPr>
                <w:rFonts w:ascii="Consolas"/>
                <w:sz w:val="22"/>
              </w:rPr>
            </w:pPr>
            <w:r>
              <w:rPr>
                <w:rFonts w:ascii="Consolas"/>
                <w:sz w:val="22"/>
              </w:rPr>
              <w:t>F</w:t>
            </w:r>
            <w:r>
              <w:rPr>
                <w:rFonts w:ascii="Consolas"/>
                <w:spacing w:val="-72"/>
                <w:sz w:val="22"/>
              </w:rPr>
              <w:t> </w:t>
            </w:r>
            <w:r>
              <w:rPr>
                <w:sz w:val="22"/>
              </w:rPr>
              <w:t>or </w:t>
            </w:r>
            <w:r>
              <w:rPr>
                <w:rFonts w:ascii="Consolas"/>
                <w:spacing w:val="-2"/>
                <w:sz w:val="22"/>
              </w:rPr>
              <w:t>fah</w:t>
            </w:r>
          </w:p>
        </w:tc>
        <w:tc>
          <w:tcPr>
            <w:tcW w:w="5221" w:type="dxa"/>
          </w:tcPr>
          <w:p>
            <w:pPr>
              <w:pStyle w:val="TableParagraph"/>
              <w:ind w:left="114"/>
              <w:rPr>
                <w:sz w:val="22"/>
              </w:rPr>
            </w:pPr>
            <w:r>
              <w:rPr>
                <w:sz w:val="22"/>
              </w:rPr>
              <w:t>Degrees Fahrenheit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5" w:hRule="atLeast"/>
        </w:trPr>
        <w:tc>
          <w:tcPr>
            <w:tcW w:w="6589" w:type="dxa"/>
            <w:gridSpan w:val="2"/>
            <w:shd w:val="clear" w:color="auto" w:fill="C0C0C0"/>
          </w:tcPr>
          <w:p>
            <w:pPr>
              <w:pStyle w:val="TableParagraph"/>
              <w:ind w:left="2097" w:right="2086"/>
              <w:jc w:val="center"/>
              <w:rPr>
                <w:b/>
                <w:sz w:val="22"/>
              </w:rPr>
            </w:pPr>
            <w:r>
              <w:rPr>
                <w:b/>
                <w:sz w:val="22"/>
              </w:rPr>
              <w:t>Temperature</w:t>
            </w:r>
          </w:p>
        </w:tc>
      </w:tr>
      <w:tr>
        <w:trPr>
          <w:trHeight w:val="354" w:hRule="atLeast"/>
        </w:trPr>
        <w:tc>
          <w:tcPr>
            <w:tcW w:w="1368" w:type="dxa"/>
          </w:tcPr>
          <w:p>
            <w:pPr>
              <w:pStyle w:val="TableParagraph"/>
              <w:rPr>
                <w:rFonts w:ascii="Consolas"/>
                <w:sz w:val="22"/>
              </w:rPr>
            </w:pPr>
            <w:r>
              <w:rPr>
                <w:rFonts w:ascii="Consolas"/>
                <w:sz w:val="22"/>
              </w:rPr>
              <w:t>K</w:t>
            </w:r>
            <w:r>
              <w:rPr>
                <w:rFonts w:ascii="Consolas"/>
                <w:spacing w:val="-72"/>
                <w:sz w:val="22"/>
              </w:rPr>
              <w:t> </w:t>
            </w:r>
            <w:r>
              <w:rPr>
                <w:sz w:val="22"/>
              </w:rPr>
              <w:t>or </w:t>
            </w:r>
            <w:r>
              <w:rPr>
                <w:rFonts w:ascii="Consolas"/>
                <w:spacing w:val="-2"/>
                <w:sz w:val="22"/>
              </w:rPr>
              <w:t>kel</w:t>
            </w:r>
          </w:p>
        </w:tc>
        <w:tc>
          <w:tcPr>
            <w:tcW w:w="5221" w:type="dxa"/>
          </w:tcPr>
          <w:p>
            <w:pPr>
              <w:pStyle w:val="TableParagraph"/>
              <w:ind w:left="114"/>
              <w:rPr>
                <w:sz w:val="22"/>
              </w:rPr>
            </w:pPr>
            <w:r>
              <w:rPr>
                <w:sz w:val="22"/>
              </w:rPr>
              <w:t>Degrees Kelvin</w:t>
            </w:r>
          </w:p>
        </w:tc>
      </w:tr>
    </w:tbl>
    <w:p>
      <w:pPr>
        <w:pStyle w:val="BodyText"/>
        <w:rPr>
          <w:rFonts w:ascii="Times New Roman"/>
          <w:sz w:val="20"/>
        </w:rPr>
      </w:pPr>
    </w:p>
    <w:p>
      <w:pPr>
        <w:pStyle w:val="BodyText"/>
        <w:spacing w:before="2" w:after="1"/>
        <w:rPr>
          <w:rFonts w:ascii="Times New Roman"/>
          <w:sz w:val="24"/>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2"/>
        <w:gridCol w:w="2659"/>
        <w:gridCol w:w="2625"/>
        <w:gridCol w:w="2623"/>
      </w:tblGrid>
      <w:tr>
        <w:trPr>
          <w:trHeight w:val="354" w:hRule="atLeast"/>
        </w:trPr>
        <w:tc>
          <w:tcPr>
            <w:tcW w:w="9589" w:type="dxa"/>
            <w:gridSpan w:val="4"/>
            <w:shd w:val="clear" w:color="auto" w:fill="C0C0C0"/>
          </w:tcPr>
          <w:p>
            <w:pPr>
              <w:pStyle w:val="TableParagraph"/>
              <w:ind w:left="4070" w:right="4056"/>
              <w:jc w:val="center"/>
              <w:rPr>
                <w:b/>
                <w:sz w:val="22"/>
              </w:rPr>
            </w:pPr>
            <w:r>
              <w:rPr>
                <w:b/>
                <w:sz w:val="22"/>
              </w:rPr>
              <w:t>Liquid Measure</w:t>
            </w:r>
          </w:p>
        </w:tc>
      </w:tr>
      <w:tr>
        <w:trPr>
          <w:trHeight w:val="623" w:hRule="atLeast"/>
        </w:trPr>
        <w:tc>
          <w:tcPr>
            <w:tcW w:w="1682" w:type="dxa"/>
          </w:tcPr>
          <w:p>
            <w:pPr>
              <w:pStyle w:val="TableParagraph"/>
              <w:rPr>
                <w:i/>
                <w:sz w:val="22"/>
              </w:rPr>
            </w:pPr>
            <w:r>
              <w:rPr>
                <w:i/>
                <w:sz w:val="22"/>
              </w:rPr>
              <w:t>Unit String</w:t>
            </w:r>
          </w:p>
        </w:tc>
        <w:tc>
          <w:tcPr>
            <w:tcW w:w="2659" w:type="dxa"/>
          </w:tcPr>
          <w:p>
            <w:pPr>
              <w:pStyle w:val="TableParagraph"/>
              <w:rPr>
                <w:i/>
                <w:sz w:val="22"/>
              </w:rPr>
            </w:pPr>
            <w:r>
              <w:rPr>
                <w:i/>
                <w:sz w:val="22"/>
              </w:rPr>
              <w:t>Meaning</w:t>
            </w:r>
          </w:p>
        </w:tc>
        <w:tc>
          <w:tcPr>
            <w:tcW w:w="2625" w:type="dxa"/>
          </w:tcPr>
          <w:p>
            <w:pPr>
              <w:pStyle w:val="TableParagraph"/>
              <w:ind w:left="116" w:right="242"/>
              <w:rPr>
                <w:i/>
                <w:sz w:val="22"/>
              </w:rPr>
            </w:pPr>
            <w:r>
              <w:rPr>
                <w:i/>
                <w:sz w:val="22"/>
              </w:rPr>
              <w:t>Family Conversion Factor </w:t>
            </w:r>
            <w:r>
              <w:rPr>
                <w:i/>
                <w:sz w:val="22"/>
              </w:rPr>
              <w:t>(Informative)</w:t>
            </w:r>
          </w:p>
        </w:tc>
        <w:tc>
          <w:tcPr>
            <w:tcW w:w="2623" w:type="dxa"/>
          </w:tcPr>
          <w:p>
            <w:pPr>
              <w:pStyle w:val="TableParagraph"/>
              <w:ind w:left="117" w:right="242"/>
              <w:rPr>
                <w:i/>
                <w:sz w:val="22"/>
              </w:rPr>
            </w:pPr>
            <w:r>
              <w:rPr>
                <w:i/>
                <w:sz w:val="22"/>
              </w:rPr>
              <w:t>Metric Conversion Factor </w:t>
            </w:r>
            <w:r>
              <w:rPr>
                <w:i/>
                <w:sz w:val="22"/>
              </w:rPr>
              <w:t>(Informative)</w:t>
            </w:r>
          </w:p>
        </w:tc>
      </w:tr>
      <w:tr>
        <w:trPr>
          <w:trHeight w:val="352" w:hRule="atLeast"/>
        </w:trPr>
        <w:tc>
          <w:tcPr>
            <w:tcW w:w="1682" w:type="dxa"/>
          </w:tcPr>
          <w:p>
            <w:pPr>
              <w:pStyle w:val="TableParagraph"/>
              <w:spacing w:before="42"/>
              <w:rPr>
                <w:rFonts w:ascii="Consolas"/>
                <w:sz w:val="22"/>
              </w:rPr>
            </w:pPr>
            <w:r>
              <w:rPr>
                <w:rFonts w:ascii="Consolas"/>
                <w:sz w:val="22"/>
              </w:rPr>
              <w:t>AU_tbs</w:t>
            </w:r>
          </w:p>
        </w:tc>
        <w:tc>
          <w:tcPr>
            <w:tcW w:w="2659" w:type="dxa"/>
          </w:tcPr>
          <w:p>
            <w:pPr>
              <w:pStyle w:val="TableParagraph"/>
              <w:rPr>
                <w:sz w:val="22"/>
              </w:rPr>
            </w:pPr>
            <w:r>
              <w:rPr>
                <w:sz w:val="22"/>
              </w:rPr>
              <w:t>Australian tablespoon</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20 ml</w:t>
            </w:r>
          </w:p>
        </w:tc>
      </w:tr>
      <w:tr>
        <w:trPr>
          <w:trHeight w:val="623" w:hRule="atLeast"/>
        </w:trPr>
        <w:tc>
          <w:tcPr>
            <w:tcW w:w="1682" w:type="dxa"/>
          </w:tcPr>
          <w:p>
            <w:pPr>
              <w:pStyle w:val="TableParagraph"/>
              <w:spacing w:before="44"/>
              <w:rPr>
                <w:rFonts w:ascii="Consolas"/>
                <w:sz w:val="22"/>
              </w:rPr>
            </w:pPr>
            <w:r>
              <w:rPr>
                <w:rFonts w:ascii="Consolas"/>
                <w:sz w:val="22"/>
              </w:rPr>
              <w:t>cup</w:t>
            </w:r>
          </w:p>
        </w:tc>
        <w:tc>
          <w:tcPr>
            <w:tcW w:w="2659" w:type="dxa"/>
          </w:tcPr>
          <w:p>
            <w:pPr>
              <w:pStyle w:val="TableParagraph"/>
              <w:spacing w:line="237" w:lineRule="auto" w:before="44"/>
              <w:ind w:right="934"/>
              <w:rPr>
                <w:sz w:val="22"/>
              </w:rPr>
            </w:pPr>
            <w:r>
              <w:rPr>
                <w:sz w:val="22"/>
              </w:rPr>
              <w:t>U.S. cup (reduced accuracy)</w:t>
            </w:r>
          </w:p>
        </w:tc>
        <w:tc>
          <w:tcPr>
            <w:tcW w:w="2625" w:type="dxa"/>
          </w:tcPr>
          <w:p>
            <w:pPr>
              <w:pStyle w:val="TableParagraph"/>
              <w:spacing w:before="42"/>
              <w:ind w:left="116"/>
              <w:rPr>
                <w:sz w:val="22"/>
              </w:rPr>
            </w:pPr>
            <w:r>
              <w:rPr>
                <w:sz w:val="22"/>
              </w:rPr>
              <w:t>½ pt</w:t>
            </w:r>
          </w:p>
        </w:tc>
        <w:tc>
          <w:tcPr>
            <w:tcW w:w="2623" w:type="dxa"/>
          </w:tcPr>
          <w:p>
            <w:pPr>
              <w:pStyle w:val="TableParagraph"/>
              <w:spacing w:before="42"/>
              <w:ind w:left="117"/>
              <w:rPr>
                <w:sz w:val="22"/>
              </w:rPr>
            </w:pPr>
            <w:r>
              <w:rPr>
                <w:sz w:val="22"/>
              </w:rPr>
              <w:t>236.59 ml +/-0.025%</w:t>
            </w:r>
          </w:p>
        </w:tc>
      </w:tr>
      <w:tr>
        <w:trPr>
          <w:trHeight w:val="354" w:hRule="atLeast"/>
        </w:trPr>
        <w:tc>
          <w:tcPr>
            <w:tcW w:w="1682" w:type="dxa"/>
          </w:tcPr>
          <w:p>
            <w:pPr>
              <w:pStyle w:val="TableParagraph"/>
              <w:spacing w:before="42"/>
              <w:rPr>
                <w:rFonts w:ascii="Consolas"/>
                <w:sz w:val="22"/>
              </w:rPr>
            </w:pPr>
            <w:r>
              <w:rPr>
                <w:rFonts w:ascii="Consolas"/>
                <w:sz w:val="22"/>
              </w:rPr>
              <w:t>CZ_mass</w:t>
            </w:r>
          </w:p>
        </w:tc>
        <w:tc>
          <w:tcPr>
            <w:tcW w:w="2659" w:type="dxa"/>
          </w:tcPr>
          <w:p>
            <w:pPr>
              <w:pStyle w:val="TableParagraph"/>
              <w:rPr>
                <w:sz w:val="22"/>
              </w:rPr>
            </w:pPr>
            <w:r>
              <w:rPr>
                <w:sz w:val="22"/>
              </w:rPr>
              <w:t>Czech mass</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1.4147 l</w:t>
            </w:r>
          </w:p>
        </w:tc>
      </w:tr>
      <w:tr>
        <w:trPr>
          <w:trHeight w:val="355" w:hRule="atLeast"/>
        </w:trPr>
        <w:tc>
          <w:tcPr>
            <w:tcW w:w="1682" w:type="dxa"/>
          </w:tcPr>
          <w:p>
            <w:pPr>
              <w:pStyle w:val="TableParagraph"/>
              <w:spacing w:before="43"/>
              <w:rPr>
                <w:rFonts w:ascii="Consolas"/>
                <w:sz w:val="22"/>
              </w:rPr>
            </w:pPr>
            <w:r>
              <w:rPr>
                <w:rFonts w:ascii="Consolas"/>
                <w:sz w:val="22"/>
              </w:rPr>
              <w:t>CZ_mug</w:t>
            </w:r>
          </w:p>
        </w:tc>
        <w:tc>
          <w:tcPr>
            <w:tcW w:w="2659" w:type="dxa"/>
          </w:tcPr>
          <w:p>
            <w:pPr>
              <w:pStyle w:val="TableParagraph"/>
              <w:rPr>
                <w:sz w:val="22"/>
              </w:rPr>
            </w:pPr>
            <w:r>
              <w:rPr>
                <w:sz w:val="22"/>
              </w:rPr>
              <w:t>Czech mug</w:t>
            </w:r>
          </w:p>
        </w:tc>
        <w:tc>
          <w:tcPr>
            <w:tcW w:w="2625" w:type="dxa"/>
          </w:tcPr>
          <w:p>
            <w:pPr>
              <w:pStyle w:val="TableParagraph"/>
              <w:ind w:left="116"/>
              <w:rPr>
                <w:sz w:val="22"/>
              </w:rPr>
            </w:pPr>
            <w:r>
              <w:rPr>
                <w:sz w:val="22"/>
              </w:rPr>
              <w:t>¼ CZ_mass</w:t>
            </w:r>
          </w:p>
        </w:tc>
        <w:tc>
          <w:tcPr>
            <w:tcW w:w="2623" w:type="dxa"/>
          </w:tcPr>
          <w:p>
            <w:pPr>
              <w:pStyle w:val="TableParagraph"/>
              <w:ind w:left="117"/>
              <w:rPr>
                <w:sz w:val="22"/>
              </w:rPr>
            </w:pPr>
            <w:r>
              <w:rPr>
                <w:sz w:val="22"/>
              </w:rPr>
              <w:t>0.358 l</w:t>
            </w:r>
          </w:p>
        </w:tc>
      </w:tr>
      <w:tr>
        <w:trPr>
          <w:trHeight w:val="3040" w:hRule="atLeast"/>
        </w:trPr>
        <w:tc>
          <w:tcPr>
            <w:tcW w:w="1682" w:type="dxa"/>
          </w:tcPr>
          <w:p>
            <w:pPr>
              <w:pStyle w:val="TableParagraph"/>
              <w:spacing w:before="42"/>
              <w:rPr>
                <w:rFonts w:ascii="Consolas"/>
                <w:sz w:val="22"/>
              </w:rPr>
            </w:pPr>
            <w:r>
              <w:rPr>
                <w:rFonts w:ascii="Consolas"/>
                <w:sz w:val="22"/>
              </w:rPr>
              <w:t>gal</w:t>
            </w:r>
          </w:p>
        </w:tc>
        <w:tc>
          <w:tcPr>
            <w:tcW w:w="2659" w:type="dxa"/>
          </w:tcPr>
          <w:p>
            <w:pPr>
              <w:pStyle w:val="TableParagraph"/>
              <w:ind w:right="717"/>
              <w:rPr>
                <w:sz w:val="22"/>
              </w:rPr>
            </w:pPr>
            <w:r>
              <w:rPr>
                <w:sz w:val="22"/>
              </w:rPr>
              <w:t>U.S. gallon (reduced accuracy)</w:t>
            </w:r>
          </w:p>
        </w:tc>
        <w:tc>
          <w:tcPr>
            <w:tcW w:w="2625" w:type="dxa"/>
          </w:tcPr>
          <w:p>
            <w:pPr>
              <w:pStyle w:val="TableParagraph"/>
              <w:ind w:left="116"/>
              <w:rPr>
                <w:sz w:val="22"/>
              </w:rPr>
            </w:pPr>
            <w:r>
              <w:rPr>
                <w:sz w:val="22"/>
              </w:rPr>
              <w:t>8 pt</w:t>
            </w:r>
          </w:p>
        </w:tc>
        <w:tc>
          <w:tcPr>
            <w:tcW w:w="2623" w:type="dxa"/>
          </w:tcPr>
          <w:p>
            <w:pPr>
              <w:pStyle w:val="TableParagraph"/>
              <w:ind w:left="117"/>
              <w:rPr>
                <w:sz w:val="22"/>
              </w:rPr>
            </w:pPr>
            <w:r>
              <w:rPr>
                <w:sz w:val="22"/>
              </w:rPr>
              <w:t>3.7854 l +/-0.025%</w:t>
            </w:r>
          </w:p>
          <w:p>
            <w:pPr>
              <w:pStyle w:val="TableParagraph"/>
              <w:spacing w:before="4"/>
              <w:ind w:left="0"/>
              <w:rPr>
                <w:rFonts w:ascii="Times New Roman"/>
                <w:sz w:val="23"/>
              </w:rPr>
            </w:pPr>
          </w:p>
          <w:p>
            <w:pPr>
              <w:pStyle w:val="TableParagraph"/>
              <w:spacing w:before="0"/>
              <w:ind w:left="117" w:right="98"/>
              <w:rPr>
                <w:sz w:val="22"/>
              </w:rPr>
            </w:pPr>
            <w:r>
              <w:rPr>
                <w:sz w:val="22"/>
              </w:rPr>
              <w:t>For the purpose of comparison with calculations by applications using the antecedents to </w:t>
            </w:r>
            <w:r>
              <w:rPr>
                <w:spacing w:val="-3"/>
                <w:sz w:val="22"/>
              </w:rPr>
              <w:t>ECMA-376, </w:t>
            </w:r>
            <w:r>
              <w:rPr>
                <w:sz w:val="22"/>
              </w:rPr>
              <w:t>the specific metric conversion factor value of 3.78624 l might be appropriate.</w:t>
            </w:r>
          </w:p>
        </w:tc>
      </w:tr>
      <w:tr>
        <w:trPr>
          <w:trHeight w:val="880" w:hRule="atLeast"/>
        </w:trPr>
        <w:tc>
          <w:tcPr>
            <w:tcW w:w="1682" w:type="dxa"/>
          </w:tcPr>
          <w:p>
            <w:pPr>
              <w:pStyle w:val="TableParagraph"/>
              <w:spacing w:line="242" w:lineRule="auto"/>
              <w:ind w:right="584"/>
              <w:jc w:val="both"/>
              <w:rPr>
                <w:rFonts w:ascii="Consolas"/>
                <w:sz w:val="22"/>
              </w:rPr>
            </w:pPr>
            <w:r>
              <w:rPr>
                <w:rFonts w:ascii="Consolas"/>
                <w:sz w:val="22"/>
              </w:rPr>
              <w:t>GB_tbs</w:t>
            </w:r>
            <w:r>
              <w:rPr>
                <w:rFonts w:ascii="Consolas"/>
                <w:spacing w:val="-73"/>
                <w:sz w:val="22"/>
              </w:rPr>
              <w:t> </w:t>
            </w:r>
            <w:r>
              <w:rPr>
                <w:spacing w:val="-7"/>
                <w:sz w:val="22"/>
              </w:rPr>
              <w:t>or </w:t>
            </w:r>
            <w:r>
              <w:rPr>
                <w:rFonts w:ascii="Consolas"/>
                <w:sz w:val="22"/>
              </w:rPr>
              <w:t>CA_tbs</w:t>
            </w:r>
            <w:r>
              <w:rPr>
                <w:rFonts w:ascii="Consolas"/>
                <w:spacing w:val="-74"/>
                <w:sz w:val="22"/>
              </w:rPr>
              <w:t> </w:t>
            </w:r>
            <w:r>
              <w:rPr>
                <w:spacing w:val="-6"/>
                <w:sz w:val="22"/>
              </w:rPr>
              <w:t>or </w:t>
            </w:r>
            <w:r>
              <w:rPr>
                <w:rFonts w:ascii="Consolas"/>
                <w:sz w:val="22"/>
              </w:rPr>
              <w:t>JP_tbs</w:t>
            </w:r>
          </w:p>
        </w:tc>
        <w:tc>
          <w:tcPr>
            <w:tcW w:w="2659" w:type="dxa"/>
          </w:tcPr>
          <w:p>
            <w:pPr>
              <w:pStyle w:val="TableParagraph"/>
              <w:ind w:right="1067"/>
              <w:rPr>
                <w:sz w:val="22"/>
              </w:rPr>
            </w:pPr>
            <w:r>
              <w:rPr>
                <w:sz w:val="22"/>
              </w:rPr>
              <w:t>United Kingdom tablespoon</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15 ml</w:t>
            </w:r>
          </w:p>
        </w:tc>
      </w:tr>
      <w:tr>
        <w:trPr>
          <w:trHeight w:val="1139" w:hRule="atLeast"/>
        </w:trPr>
        <w:tc>
          <w:tcPr>
            <w:tcW w:w="1682" w:type="dxa"/>
          </w:tcPr>
          <w:p>
            <w:pPr>
              <w:pStyle w:val="TableParagraph"/>
              <w:spacing w:before="42"/>
              <w:ind w:right="85"/>
              <w:rPr>
                <w:rFonts w:ascii="Consolas"/>
                <w:sz w:val="22"/>
              </w:rPr>
            </w:pPr>
            <w:r>
              <w:rPr>
                <w:rFonts w:ascii="Consolas"/>
                <w:sz w:val="22"/>
              </w:rPr>
              <w:t>imperial_gal </w:t>
            </w:r>
            <w:r>
              <w:rPr>
                <w:sz w:val="22"/>
              </w:rPr>
              <w:t>or </w:t>
            </w:r>
            <w:r>
              <w:rPr>
                <w:rFonts w:ascii="Consolas"/>
                <w:sz w:val="22"/>
              </w:rPr>
              <w:t>AU_gal </w:t>
            </w:r>
            <w:r>
              <w:rPr>
                <w:sz w:val="22"/>
              </w:rPr>
              <w:t>or </w:t>
            </w:r>
            <w:r>
              <w:rPr>
                <w:rFonts w:ascii="Consolas"/>
                <w:sz w:val="22"/>
              </w:rPr>
              <w:t>CA_gal </w:t>
            </w:r>
            <w:r>
              <w:rPr>
                <w:sz w:val="22"/>
              </w:rPr>
              <w:t>or </w:t>
            </w:r>
            <w:r>
              <w:rPr>
                <w:rFonts w:ascii="Consolas"/>
                <w:sz w:val="22"/>
              </w:rPr>
              <w:t>GB_gal</w:t>
            </w:r>
          </w:p>
        </w:tc>
        <w:tc>
          <w:tcPr>
            <w:tcW w:w="2659" w:type="dxa"/>
          </w:tcPr>
          <w:p>
            <w:pPr>
              <w:pStyle w:val="TableParagraph"/>
              <w:rPr>
                <w:sz w:val="22"/>
              </w:rPr>
            </w:pPr>
            <w:r>
              <w:rPr>
                <w:sz w:val="22"/>
              </w:rPr>
              <w:t>Imperial gallon</w:t>
            </w:r>
          </w:p>
        </w:tc>
        <w:tc>
          <w:tcPr>
            <w:tcW w:w="2625" w:type="dxa"/>
          </w:tcPr>
          <w:p>
            <w:pPr>
              <w:pStyle w:val="TableParagraph"/>
              <w:ind w:left="116"/>
              <w:rPr>
                <w:sz w:val="22"/>
              </w:rPr>
            </w:pPr>
            <w:r>
              <w:rPr>
                <w:sz w:val="22"/>
              </w:rPr>
              <w:t>8 imperial_pt</w:t>
            </w:r>
          </w:p>
        </w:tc>
        <w:tc>
          <w:tcPr>
            <w:tcW w:w="2623" w:type="dxa"/>
          </w:tcPr>
          <w:p>
            <w:pPr>
              <w:pStyle w:val="TableParagraph"/>
              <w:ind w:left="117"/>
              <w:rPr>
                <w:sz w:val="22"/>
              </w:rPr>
            </w:pPr>
            <w:r>
              <w:rPr>
                <w:sz w:val="22"/>
              </w:rPr>
              <w:t>4.54609 l</w:t>
            </w:r>
          </w:p>
        </w:tc>
      </w:tr>
      <w:tr>
        <w:trPr>
          <w:trHeight w:val="1137" w:hRule="atLeast"/>
        </w:trPr>
        <w:tc>
          <w:tcPr>
            <w:tcW w:w="1682" w:type="dxa"/>
          </w:tcPr>
          <w:p>
            <w:pPr>
              <w:pStyle w:val="TableParagraph"/>
              <w:spacing w:before="42"/>
              <w:ind w:right="206"/>
              <w:rPr>
                <w:rFonts w:ascii="Consolas"/>
                <w:sz w:val="22"/>
              </w:rPr>
            </w:pPr>
            <w:r>
              <w:rPr>
                <w:rFonts w:ascii="Consolas"/>
                <w:sz w:val="22"/>
              </w:rPr>
              <w:t>imperial_oz </w:t>
            </w:r>
            <w:r>
              <w:rPr>
                <w:sz w:val="22"/>
              </w:rPr>
              <w:t>or </w:t>
            </w:r>
            <w:r>
              <w:rPr>
                <w:rFonts w:ascii="Consolas"/>
                <w:sz w:val="22"/>
              </w:rPr>
              <w:t>AU_oz </w:t>
            </w:r>
            <w:r>
              <w:rPr>
                <w:sz w:val="22"/>
              </w:rPr>
              <w:t>or </w:t>
            </w:r>
            <w:r>
              <w:rPr>
                <w:rFonts w:ascii="Consolas"/>
                <w:sz w:val="22"/>
              </w:rPr>
              <w:t>CA_oz </w:t>
            </w:r>
            <w:r>
              <w:rPr>
                <w:sz w:val="22"/>
              </w:rPr>
              <w:t>or </w:t>
            </w:r>
            <w:r>
              <w:rPr>
                <w:rFonts w:ascii="Consolas"/>
                <w:sz w:val="22"/>
              </w:rPr>
              <w:t>GB_oz</w:t>
            </w:r>
          </w:p>
        </w:tc>
        <w:tc>
          <w:tcPr>
            <w:tcW w:w="2659" w:type="dxa"/>
          </w:tcPr>
          <w:p>
            <w:pPr>
              <w:pStyle w:val="TableParagraph"/>
              <w:rPr>
                <w:sz w:val="22"/>
              </w:rPr>
            </w:pPr>
            <w:r>
              <w:rPr>
                <w:sz w:val="22"/>
              </w:rPr>
              <w:t>Imperial fluid ounce</w:t>
            </w:r>
          </w:p>
        </w:tc>
        <w:tc>
          <w:tcPr>
            <w:tcW w:w="2625" w:type="dxa"/>
          </w:tcPr>
          <w:p>
            <w:pPr>
              <w:pStyle w:val="TableParagraph"/>
              <w:ind w:left="116"/>
              <w:rPr>
                <w:sz w:val="22"/>
              </w:rPr>
            </w:pPr>
            <w:r>
              <w:rPr>
                <w:sz w:val="22"/>
              </w:rPr>
              <w:t>1/20 imperial_pt</w:t>
            </w:r>
          </w:p>
        </w:tc>
        <w:tc>
          <w:tcPr>
            <w:tcW w:w="2623" w:type="dxa"/>
          </w:tcPr>
          <w:p>
            <w:pPr>
              <w:pStyle w:val="TableParagraph"/>
              <w:ind w:left="117"/>
              <w:rPr>
                <w:sz w:val="22"/>
              </w:rPr>
            </w:pPr>
            <w:r>
              <w:rPr>
                <w:sz w:val="22"/>
              </w:rPr>
              <w:t>28.4130625 ml</w:t>
            </w:r>
          </w:p>
        </w:tc>
      </w:tr>
      <w:tr>
        <w:trPr>
          <w:trHeight w:val="1406" w:hRule="atLeast"/>
        </w:trPr>
        <w:tc>
          <w:tcPr>
            <w:tcW w:w="1682" w:type="dxa"/>
          </w:tcPr>
          <w:p>
            <w:pPr>
              <w:pStyle w:val="TableParagraph"/>
              <w:spacing w:before="42"/>
              <w:ind w:right="206"/>
              <w:rPr>
                <w:rFonts w:ascii="Consolas"/>
                <w:sz w:val="22"/>
              </w:rPr>
            </w:pPr>
            <w:r>
              <w:rPr>
                <w:rFonts w:ascii="Consolas"/>
                <w:sz w:val="22"/>
              </w:rPr>
              <w:t>imperial_pt </w:t>
            </w:r>
            <w:r>
              <w:rPr>
                <w:sz w:val="22"/>
              </w:rPr>
              <w:t>or </w:t>
            </w:r>
            <w:r>
              <w:rPr>
                <w:rFonts w:ascii="Consolas"/>
                <w:sz w:val="22"/>
              </w:rPr>
              <w:t>AU_pt </w:t>
            </w:r>
            <w:r>
              <w:rPr>
                <w:sz w:val="22"/>
              </w:rPr>
              <w:t>or </w:t>
            </w:r>
            <w:r>
              <w:rPr>
                <w:rFonts w:ascii="Consolas"/>
                <w:sz w:val="22"/>
              </w:rPr>
              <w:t>CA_pt </w:t>
            </w:r>
            <w:r>
              <w:rPr>
                <w:sz w:val="22"/>
              </w:rPr>
              <w:t>or </w:t>
            </w:r>
            <w:r>
              <w:rPr>
                <w:rFonts w:ascii="Consolas"/>
                <w:sz w:val="22"/>
              </w:rPr>
              <w:t>GB_pt </w:t>
            </w:r>
            <w:r>
              <w:rPr>
                <w:sz w:val="22"/>
              </w:rPr>
              <w:t>or </w:t>
            </w:r>
            <w:r>
              <w:rPr>
                <w:rFonts w:ascii="Consolas"/>
                <w:sz w:val="22"/>
              </w:rPr>
              <w:t>uk_pt</w:t>
            </w:r>
          </w:p>
        </w:tc>
        <w:tc>
          <w:tcPr>
            <w:tcW w:w="2659" w:type="dxa"/>
          </w:tcPr>
          <w:p>
            <w:pPr>
              <w:pStyle w:val="TableParagraph"/>
              <w:rPr>
                <w:sz w:val="22"/>
              </w:rPr>
            </w:pPr>
            <w:r>
              <w:rPr>
                <w:sz w:val="22"/>
              </w:rPr>
              <w:t>Imperial pint</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0.56826125 l</w:t>
            </w:r>
          </w:p>
          <w:p>
            <w:pPr>
              <w:pStyle w:val="TableParagraph"/>
              <w:spacing w:before="5"/>
              <w:ind w:left="0"/>
              <w:rPr>
                <w:rFonts w:ascii="Times New Roman"/>
                <w:sz w:val="23"/>
              </w:rPr>
            </w:pPr>
          </w:p>
          <w:p>
            <w:pPr>
              <w:pStyle w:val="TableParagraph"/>
              <w:spacing w:before="0"/>
              <w:ind w:left="117" w:right="332"/>
              <w:rPr>
                <w:sz w:val="22"/>
              </w:rPr>
            </w:pPr>
            <w:r>
              <w:rPr>
                <w:sz w:val="22"/>
              </w:rPr>
              <w:t>uk_pt might be reduced accuracy: +/- 0.025%</w:t>
            </w:r>
          </w:p>
        </w:tc>
      </w:tr>
      <w:tr>
        <w:trPr>
          <w:trHeight w:val="1139" w:hRule="atLeast"/>
        </w:trPr>
        <w:tc>
          <w:tcPr>
            <w:tcW w:w="1682" w:type="dxa"/>
          </w:tcPr>
          <w:p>
            <w:pPr>
              <w:pStyle w:val="TableParagraph"/>
              <w:spacing w:before="42"/>
              <w:ind w:right="206"/>
              <w:rPr>
                <w:rFonts w:ascii="Consolas"/>
                <w:sz w:val="22"/>
              </w:rPr>
            </w:pPr>
            <w:r>
              <w:rPr>
                <w:rFonts w:ascii="Consolas"/>
                <w:sz w:val="22"/>
              </w:rPr>
              <w:t>imperial_qt </w:t>
            </w:r>
            <w:r>
              <w:rPr>
                <w:sz w:val="22"/>
              </w:rPr>
              <w:t>or </w:t>
            </w:r>
            <w:r>
              <w:rPr>
                <w:rFonts w:ascii="Consolas"/>
                <w:sz w:val="22"/>
              </w:rPr>
              <w:t>AU_qt </w:t>
            </w:r>
            <w:r>
              <w:rPr>
                <w:sz w:val="22"/>
              </w:rPr>
              <w:t>or </w:t>
            </w:r>
            <w:r>
              <w:rPr>
                <w:rFonts w:ascii="Consolas"/>
                <w:sz w:val="22"/>
              </w:rPr>
              <w:t>CA_qt </w:t>
            </w:r>
            <w:r>
              <w:rPr>
                <w:sz w:val="22"/>
              </w:rPr>
              <w:t>or </w:t>
            </w:r>
            <w:r>
              <w:rPr>
                <w:rFonts w:ascii="Consolas"/>
                <w:sz w:val="22"/>
              </w:rPr>
              <w:t>GB_qt</w:t>
            </w:r>
          </w:p>
        </w:tc>
        <w:tc>
          <w:tcPr>
            <w:tcW w:w="2659" w:type="dxa"/>
          </w:tcPr>
          <w:p>
            <w:pPr>
              <w:pStyle w:val="TableParagraph"/>
              <w:rPr>
                <w:sz w:val="22"/>
              </w:rPr>
            </w:pPr>
            <w:r>
              <w:rPr>
                <w:sz w:val="22"/>
              </w:rPr>
              <w:t>Imperial quart</w:t>
            </w:r>
          </w:p>
        </w:tc>
        <w:tc>
          <w:tcPr>
            <w:tcW w:w="2625" w:type="dxa"/>
          </w:tcPr>
          <w:p>
            <w:pPr>
              <w:pStyle w:val="TableParagraph"/>
              <w:ind w:left="116"/>
              <w:rPr>
                <w:sz w:val="22"/>
              </w:rPr>
            </w:pPr>
            <w:r>
              <w:rPr>
                <w:sz w:val="22"/>
              </w:rPr>
              <w:t>2 imperial_pt</w:t>
            </w:r>
          </w:p>
        </w:tc>
        <w:tc>
          <w:tcPr>
            <w:tcW w:w="2623" w:type="dxa"/>
          </w:tcPr>
          <w:p>
            <w:pPr>
              <w:pStyle w:val="TableParagraph"/>
              <w:ind w:left="117"/>
              <w:rPr>
                <w:sz w:val="22"/>
              </w:rPr>
            </w:pPr>
            <w:r>
              <w:rPr>
                <w:sz w:val="22"/>
              </w:rPr>
              <w:t>1.1365225 l</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2"/>
        <w:gridCol w:w="2659"/>
        <w:gridCol w:w="2625"/>
        <w:gridCol w:w="2623"/>
      </w:tblGrid>
      <w:tr>
        <w:trPr>
          <w:trHeight w:val="355" w:hRule="atLeast"/>
        </w:trPr>
        <w:tc>
          <w:tcPr>
            <w:tcW w:w="9589" w:type="dxa"/>
            <w:gridSpan w:val="4"/>
            <w:shd w:val="clear" w:color="auto" w:fill="C0C0C0"/>
          </w:tcPr>
          <w:p>
            <w:pPr>
              <w:pStyle w:val="TableParagraph"/>
              <w:ind w:left="4070" w:right="4056"/>
              <w:jc w:val="center"/>
              <w:rPr>
                <w:b/>
                <w:sz w:val="22"/>
              </w:rPr>
            </w:pPr>
            <w:r>
              <w:rPr>
                <w:b/>
                <w:sz w:val="22"/>
              </w:rPr>
              <w:t>Liquid Measure</w:t>
            </w:r>
          </w:p>
        </w:tc>
      </w:tr>
      <w:tr>
        <w:trPr>
          <w:trHeight w:val="354" w:hRule="atLeast"/>
        </w:trPr>
        <w:tc>
          <w:tcPr>
            <w:tcW w:w="1682" w:type="dxa"/>
          </w:tcPr>
          <w:p>
            <w:pPr>
              <w:pStyle w:val="TableParagraph"/>
              <w:spacing w:before="42"/>
              <w:rPr>
                <w:rFonts w:ascii="Consolas"/>
                <w:sz w:val="22"/>
              </w:rPr>
            </w:pPr>
            <w:r>
              <w:rPr>
                <w:rFonts w:ascii="Consolas"/>
                <w:sz w:val="22"/>
              </w:rPr>
              <w:t>JP_cup</w:t>
            </w:r>
          </w:p>
        </w:tc>
        <w:tc>
          <w:tcPr>
            <w:tcW w:w="2659" w:type="dxa"/>
          </w:tcPr>
          <w:p>
            <w:pPr>
              <w:pStyle w:val="TableParagraph"/>
              <w:rPr>
                <w:sz w:val="22"/>
              </w:rPr>
            </w:pPr>
            <w:r>
              <w:rPr>
                <w:sz w:val="22"/>
              </w:rPr>
              <w:t>Japanese cup</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200 ml</w:t>
            </w:r>
          </w:p>
        </w:tc>
      </w:tr>
      <w:tr>
        <w:trPr>
          <w:trHeight w:val="354" w:hRule="atLeast"/>
        </w:trPr>
        <w:tc>
          <w:tcPr>
            <w:tcW w:w="1682" w:type="dxa"/>
          </w:tcPr>
          <w:p>
            <w:pPr>
              <w:pStyle w:val="TableParagraph"/>
              <w:rPr>
                <w:rFonts w:ascii="Consolas"/>
                <w:sz w:val="22"/>
              </w:rPr>
            </w:pPr>
            <w:r>
              <w:rPr>
                <w:rFonts w:ascii="Consolas"/>
                <w:sz w:val="22"/>
              </w:rPr>
              <w:t>l</w:t>
            </w:r>
            <w:r>
              <w:rPr>
                <w:rFonts w:ascii="Consolas"/>
                <w:spacing w:val="-73"/>
                <w:sz w:val="22"/>
              </w:rPr>
              <w:t> </w:t>
            </w:r>
            <w:r>
              <w:rPr>
                <w:sz w:val="22"/>
              </w:rPr>
              <w:t>or </w:t>
            </w:r>
            <w:r>
              <w:rPr>
                <w:rFonts w:ascii="Consolas"/>
                <w:sz w:val="22"/>
              </w:rPr>
              <w:t>lt</w:t>
            </w:r>
          </w:p>
        </w:tc>
        <w:tc>
          <w:tcPr>
            <w:tcW w:w="2659" w:type="dxa"/>
          </w:tcPr>
          <w:p>
            <w:pPr>
              <w:pStyle w:val="TableParagraph"/>
              <w:rPr>
                <w:sz w:val="22"/>
              </w:rPr>
            </w:pPr>
            <w:r>
              <w:rPr>
                <w:sz w:val="22"/>
              </w:rPr>
              <w:t>Liter</w:t>
            </w:r>
          </w:p>
        </w:tc>
        <w:tc>
          <w:tcPr>
            <w:tcW w:w="2625" w:type="dxa"/>
          </w:tcPr>
          <w:p>
            <w:pPr>
              <w:pStyle w:val="TableParagraph"/>
              <w:spacing w:before="0"/>
              <w:ind w:left="0"/>
              <w:rPr>
                <w:rFonts w:ascii="Times New Roman"/>
                <w:sz w:val="22"/>
              </w:rPr>
            </w:pPr>
          </w:p>
        </w:tc>
        <w:tc>
          <w:tcPr>
            <w:tcW w:w="2623" w:type="dxa"/>
          </w:tcPr>
          <w:p>
            <w:pPr>
              <w:pStyle w:val="TableParagraph"/>
              <w:spacing w:before="0"/>
              <w:ind w:left="0"/>
              <w:rPr>
                <w:rFonts w:ascii="Times New Roman"/>
                <w:sz w:val="22"/>
              </w:rPr>
            </w:pPr>
          </w:p>
        </w:tc>
      </w:tr>
      <w:tr>
        <w:trPr>
          <w:trHeight w:val="1149" w:hRule="atLeast"/>
        </w:trPr>
        <w:tc>
          <w:tcPr>
            <w:tcW w:w="1682" w:type="dxa"/>
          </w:tcPr>
          <w:p>
            <w:pPr>
              <w:pStyle w:val="TableParagraph"/>
              <w:ind w:right="123"/>
              <w:rPr>
                <w:rFonts w:ascii="Consolas"/>
                <w:sz w:val="22"/>
              </w:rPr>
            </w:pPr>
            <w:r>
              <w:rPr>
                <w:rFonts w:ascii="Consolas"/>
                <w:sz w:val="22"/>
              </w:rPr>
              <w:t>metric_</w:t>
            </w:r>
            <w:r>
              <w:rPr>
                <w:sz w:val="22"/>
              </w:rPr>
              <w:t>cup or </w:t>
            </w:r>
            <w:r>
              <w:rPr>
                <w:rFonts w:ascii="Consolas"/>
                <w:sz w:val="22"/>
              </w:rPr>
              <w:t>AU_cup </w:t>
            </w:r>
            <w:r>
              <w:rPr>
                <w:sz w:val="22"/>
              </w:rPr>
              <w:t>or </w:t>
            </w:r>
            <w:r>
              <w:rPr>
                <w:rFonts w:ascii="Consolas"/>
                <w:sz w:val="22"/>
              </w:rPr>
              <w:t>CA_cup </w:t>
            </w:r>
            <w:r>
              <w:rPr>
                <w:sz w:val="22"/>
              </w:rPr>
              <w:t>or </w:t>
            </w:r>
            <w:r>
              <w:rPr>
                <w:rFonts w:ascii="Consolas"/>
                <w:sz w:val="22"/>
              </w:rPr>
              <w:t>NZ_cup</w:t>
            </w:r>
          </w:p>
        </w:tc>
        <w:tc>
          <w:tcPr>
            <w:tcW w:w="2659" w:type="dxa"/>
          </w:tcPr>
          <w:p>
            <w:pPr>
              <w:pStyle w:val="TableParagraph"/>
              <w:rPr>
                <w:sz w:val="22"/>
              </w:rPr>
            </w:pPr>
            <w:r>
              <w:rPr>
                <w:sz w:val="22"/>
              </w:rPr>
              <w:t>Metric cup</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250 ml</w:t>
            </w:r>
          </w:p>
        </w:tc>
      </w:tr>
      <w:tr>
        <w:trPr>
          <w:trHeight w:val="1372" w:hRule="atLeast"/>
        </w:trPr>
        <w:tc>
          <w:tcPr>
            <w:tcW w:w="1682" w:type="dxa"/>
          </w:tcPr>
          <w:p>
            <w:pPr>
              <w:pStyle w:val="TableParagraph"/>
              <w:spacing w:before="42"/>
              <w:ind w:right="103"/>
              <w:rPr>
                <w:rFonts w:ascii="Consolas"/>
                <w:sz w:val="22"/>
              </w:rPr>
            </w:pPr>
            <w:r>
              <w:rPr>
                <w:rFonts w:ascii="Consolas"/>
                <w:sz w:val="22"/>
              </w:rPr>
              <w:t>metric_tsp or AU_tsp </w:t>
            </w:r>
            <w:r>
              <w:rPr>
                <w:rFonts w:ascii="Consolas"/>
                <w:spacing w:val="-6"/>
                <w:sz w:val="22"/>
              </w:rPr>
              <w:t>or </w:t>
            </w:r>
            <w:r>
              <w:rPr>
                <w:rFonts w:ascii="Consolas"/>
                <w:sz w:val="22"/>
              </w:rPr>
              <w:t>CA_tsp or JP_tsp or GB_tsp</w:t>
            </w:r>
          </w:p>
        </w:tc>
        <w:tc>
          <w:tcPr>
            <w:tcW w:w="2659" w:type="dxa"/>
          </w:tcPr>
          <w:p>
            <w:pPr>
              <w:pStyle w:val="TableParagraph"/>
              <w:rPr>
                <w:sz w:val="22"/>
              </w:rPr>
            </w:pPr>
            <w:r>
              <w:rPr>
                <w:sz w:val="22"/>
              </w:rPr>
              <w:t>Metric teaspoon</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5 ml</w:t>
            </w:r>
          </w:p>
        </w:tc>
      </w:tr>
      <w:tr>
        <w:trPr>
          <w:trHeight w:val="355" w:hRule="atLeast"/>
        </w:trPr>
        <w:tc>
          <w:tcPr>
            <w:tcW w:w="1682" w:type="dxa"/>
          </w:tcPr>
          <w:p>
            <w:pPr>
              <w:pStyle w:val="TableParagraph"/>
              <w:spacing w:before="43"/>
              <w:rPr>
                <w:rFonts w:ascii="Consolas"/>
                <w:sz w:val="22"/>
              </w:rPr>
            </w:pPr>
            <w:r>
              <w:rPr>
                <w:rFonts w:ascii="Consolas"/>
                <w:sz w:val="22"/>
              </w:rPr>
              <w:t>ml</w:t>
            </w:r>
          </w:p>
        </w:tc>
        <w:tc>
          <w:tcPr>
            <w:tcW w:w="2659" w:type="dxa"/>
          </w:tcPr>
          <w:p>
            <w:pPr>
              <w:pStyle w:val="TableParagraph"/>
              <w:rPr>
                <w:sz w:val="22"/>
              </w:rPr>
            </w:pPr>
            <w:r>
              <w:rPr>
                <w:sz w:val="22"/>
              </w:rPr>
              <w:t>Milliliter</w:t>
            </w:r>
          </w:p>
        </w:tc>
        <w:tc>
          <w:tcPr>
            <w:tcW w:w="2625" w:type="dxa"/>
          </w:tcPr>
          <w:p>
            <w:pPr>
              <w:pStyle w:val="TableParagraph"/>
              <w:ind w:left="116"/>
              <w:rPr>
                <w:sz w:val="22"/>
              </w:rPr>
            </w:pPr>
            <w:r>
              <w:rPr>
                <w:sz w:val="22"/>
              </w:rPr>
              <w:t>1/1000 l</w:t>
            </w:r>
          </w:p>
        </w:tc>
        <w:tc>
          <w:tcPr>
            <w:tcW w:w="2623" w:type="dxa"/>
          </w:tcPr>
          <w:p>
            <w:pPr>
              <w:pStyle w:val="TableParagraph"/>
              <w:ind w:left="117"/>
              <w:rPr>
                <w:sz w:val="22"/>
              </w:rPr>
            </w:pPr>
            <w:r>
              <w:rPr>
                <w:sz w:val="22"/>
              </w:rPr>
              <w:t>1/1000 l</w:t>
            </w:r>
          </w:p>
        </w:tc>
      </w:tr>
      <w:tr>
        <w:trPr>
          <w:trHeight w:val="623" w:hRule="atLeast"/>
        </w:trPr>
        <w:tc>
          <w:tcPr>
            <w:tcW w:w="1682" w:type="dxa"/>
          </w:tcPr>
          <w:p>
            <w:pPr>
              <w:pStyle w:val="TableParagraph"/>
              <w:spacing w:before="42"/>
              <w:rPr>
                <w:rFonts w:ascii="Consolas"/>
                <w:sz w:val="22"/>
              </w:rPr>
            </w:pPr>
            <w:r>
              <w:rPr>
                <w:rFonts w:ascii="Consolas"/>
                <w:sz w:val="22"/>
              </w:rPr>
              <w:t>oz</w:t>
            </w:r>
          </w:p>
        </w:tc>
        <w:tc>
          <w:tcPr>
            <w:tcW w:w="2659" w:type="dxa"/>
          </w:tcPr>
          <w:p>
            <w:pPr>
              <w:pStyle w:val="TableParagraph"/>
              <w:ind w:right="260"/>
              <w:rPr>
                <w:sz w:val="22"/>
              </w:rPr>
            </w:pPr>
            <w:r>
              <w:rPr>
                <w:sz w:val="22"/>
              </w:rPr>
              <w:t>U.S. fluid ounce (reduced accuracy)</w:t>
            </w:r>
          </w:p>
        </w:tc>
        <w:tc>
          <w:tcPr>
            <w:tcW w:w="2625" w:type="dxa"/>
          </w:tcPr>
          <w:p>
            <w:pPr>
              <w:pStyle w:val="TableParagraph"/>
              <w:ind w:left="116"/>
              <w:rPr>
                <w:sz w:val="22"/>
              </w:rPr>
            </w:pPr>
            <w:r>
              <w:rPr>
                <w:sz w:val="22"/>
              </w:rPr>
              <w:t>1/16 pt</w:t>
            </w:r>
          </w:p>
        </w:tc>
        <w:tc>
          <w:tcPr>
            <w:tcW w:w="2623" w:type="dxa"/>
          </w:tcPr>
          <w:p>
            <w:pPr>
              <w:pStyle w:val="TableParagraph"/>
              <w:ind w:left="117"/>
              <w:rPr>
                <w:sz w:val="22"/>
              </w:rPr>
            </w:pPr>
            <w:r>
              <w:rPr>
                <w:sz w:val="22"/>
              </w:rPr>
              <w:t>29.573 ml +/-0.025%</w:t>
            </w:r>
          </w:p>
        </w:tc>
      </w:tr>
      <w:tr>
        <w:trPr>
          <w:trHeight w:val="354" w:hRule="atLeast"/>
        </w:trPr>
        <w:tc>
          <w:tcPr>
            <w:tcW w:w="1682" w:type="dxa"/>
          </w:tcPr>
          <w:p>
            <w:pPr>
              <w:pStyle w:val="TableParagraph"/>
              <w:rPr>
                <w:rFonts w:ascii="Consolas"/>
                <w:sz w:val="22"/>
              </w:rPr>
            </w:pPr>
            <w:r>
              <w:rPr>
                <w:rFonts w:ascii="Consolas"/>
                <w:sz w:val="22"/>
              </w:rPr>
              <w:t>pt</w:t>
            </w:r>
            <w:r>
              <w:rPr>
                <w:rFonts w:ascii="Consolas"/>
                <w:spacing w:val="-75"/>
                <w:sz w:val="22"/>
              </w:rPr>
              <w:t> </w:t>
            </w:r>
            <w:r>
              <w:rPr>
                <w:sz w:val="22"/>
              </w:rPr>
              <w:t>or </w:t>
            </w:r>
            <w:r>
              <w:rPr>
                <w:rFonts w:ascii="Consolas"/>
                <w:sz w:val="22"/>
              </w:rPr>
              <w:t>us_pt</w:t>
            </w:r>
          </w:p>
        </w:tc>
        <w:tc>
          <w:tcPr>
            <w:tcW w:w="2659" w:type="dxa"/>
          </w:tcPr>
          <w:p>
            <w:pPr>
              <w:pStyle w:val="TableParagraph"/>
              <w:rPr>
                <w:sz w:val="22"/>
              </w:rPr>
            </w:pPr>
            <w:r>
              <w:rPr>
                <w:sz w:val="22"/>
              </w:rPr>
              <w:t>U.S. liquid pint</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473.18 ml +/-0.025%</w:t>
            </w:r>
          </w:p>
        </w:tc>
      </w:tr>
      <w:tr>
        <w:trPr>
          <w:trHeight w:val="354" w:hRule="atLeast"/>
        </w:trPr>
        <w:tc>
          <w:tcPr>
            <w:tcW w:w="1682" w:type="dxa"/>
          </w:tcPr>
          <w:p>
            <w:pPr>
              <w:pStyle w:val="TableParagraph"/>
              <w:spacing w:before="42"/>
              <w:rPr>
                <w:rFonts w:ascii="Consolas"/>
                <w:sz w:val="22"/>
              </w:rPr>
            </w:pPr>
            <w:r>
              <w:rPr>
                <w:rFonts w:ascii="Consolas"/>
                <w:sz w:val="22"/>
              </w:rPr>
              <w:t>qt</w:t>
            </w:r>
          </w:p>
        </w:tc>
        <w:tc>
          <w:tcPr>
            <w:tcW w:w="2659" w:type="dxa"/>
          </w:tcPr>
          <w:p>
            <w:pPr>
              <w:pStyle w:val="TableParagraph"/>
              <w:rPr>
                <w:sz w:val="22"/>
              </w:rPr>
            </w:pPr>
            <w:r>
              <w:rPr>
                <w:sz w:val="22"/>
              </w:rPr>
              <w:t>U.S. liquid quart</w:t>
            </w:r>
          </w:p>
        </w:tc>
        <w:tc>
          <w:tcPr>
            <w:tcW w:w="2625" w:type="dxa"/>
          </w:tcPr>
          <w:p>
            <w:pPr>
              <w:pStyle w:val="TableParagraph"/>
              <w:ind w:left="116"/>
              <w:rPr>
                <w:sz w:val="22"/>
              </w:rPr>
            </w:pPr>
            <w:r>
              <w:rPr>
                <w:sz w:val="22"/>
              </w:rPr>
              <w:t>2 pt</w:t>
            </w:r>
          </w:p>
        </w:tc>
        <w:tc>
          <w:tcPr>
            <w:tcW w:w="2623" w:type="dxa"/>
          </w:tcPr>
          <w:p>
            <w:pPr>
              <w:pStyle w:val="TableParagraph"/>
              <w:ind w:left="117"/>
              <w:rPr>
                <w:sz w:val="22"/>
              </w:rPr>
            </w:pPr>
            <w:r>
              <w:rPr>
                <w:sz w:val="22"/>
              </w:rPr>
              <w:t>946.35 ml +/-0.025%</w:t>
            </w:r>
          </w:p>
        </w:tc>
      </w:tr>
      <w:tr>
        <w:trPr>
          <w:trHeight w:val="623" w:hRule="atLeast"/>
        </w:trPr>
        <w:tc>
          <w:tcPr>
            <w:tcW w:w="1682" w:type="dxa"/>
          </w:tcPr>
          <w:p>
            <w:pPr>
              <w:pStyle w:val="TableParagraph"/>
              <w:spacing w:before="42"/>
              <w:rPr>
                <w:rFonts w:ascii="Consolas"/>
                <w:sz w:val="22"/>
              </w:rPr>
            </w:pPr>
            <w:r>
              <w:rPr>
                <w:rFonts w:ascii="Consolas"/>
                <w:sz w:val="22"/>
              </w:rPr>
              <w:t>tbs</w:t>
            </w:r>
          </w:p>
        </w:tc>
        <w:tc>
          <w:tcPr>
            <w:tcW w:w="2659" w:type="dxa"/>
          </w:tcPr>
          <w:p>
            <w:pPr>
              <w:pStyle w:val="TableParagraph"/>
              <w:ind w:right="255"/>
              <w:rPr>
                <w:sz w:val="22"/>
              </w:rPr>
            </w:pPr>
            <w:r>
              <w:rPr>
                <w:sz w:val="22"/>
              </w:rPr>
              <w:t>U.S. tablespoon (reduced accuracy)</w:t>
            </w:r>
          </w:p>
        </w:tc>
        <w:tc>
          <w:tcPr>
            <w:tcW w:w="2625" w:type="dxa"/>
          </w:tcPr>
          <w:p>
            <w:pPr>
              <w:pStyle w:val="TableParagraph"/>
              <w:ind w:left="116"/>
              <w:rPr>
                <w:sz w:val="22"/>
              </w:rPr>
            </w:pPr>
            <w:r>
              <w:rPr>
                <w:sz w:val="22"/>
              </w:rPr>
              <w:t>½ oz</w:t>
            </w:r>
          </w:p>
        </w:tc>
        <w:tc>
          <w:tcPr>
            <w:tcW w:w="2623" w:type="dxa"/>
          </w:tcPr>
          <w:p>
            <w:pPr>
              <w:pStyle w:val="TableParagraph"/>
              <w:ind w:left="117"/>
              <w:rPr>
                <w:sz w:val="22"/>
              </w:rPr>
            </w:pPr>
            <w:r>
              <w:rPr>
                <w:sz w:val="22"/>
              </w:rPr>
              <w:t>14.787 ml +/-0.025%</w:t>
            </w:r>
          </w:p>
        </w:tc>
      </w:tr>
      <w:tr>
        <w:trPr>
          <w:trHeight w:val="621" w:hRule="atLeast"/>
        </w:trPr>
        <w:tc>
          <w:tcPr>
            <w:tcW w:w="1682" w:type="dxa"/>
          </w:tcPr>
          <w:p>
            <w:pPr>
              <w:pStyle w:val="TableParagraph"/>
              <w:spacing w:before="42"/>
              <w:rPr>
                <w:rFonts w:ascii="Consolas"/>
                <w:sz w:val="22"/>
              </w:rPr>
            </w:pPr>
            <w:r>
              <w:rPr>
                <w:rFonts w:ascii="Consolas"/>
                <w:sz w:val="22"/>
              </w:rPr>
              <w:t>tsp</w:t>
            </w:r>
          </w:p>
        </w:tc>
        <w:tc>
          <w:tcPr>
            <w:tcW w:w="2659" w:type="dxa"/>
          </w:tcPr>
          <w:p>
            <w:pPr>
              <w:pStyle w:val="TableParagraph"/>
              <w:ind w:right="421"/>
              <w:rPr>
                <w:sz w:val="22"/>
              </w:rPr>
            </w:pPr>
            <w:r>
              <w:rPr>
                <w:sz w:val="22"/>
              </w:rPr>
              <w:t>U.S. teaspoon (reduced accuracy)</w:t>
            </w:r>
          </w:p>
        </w:tc>
        <w:tc>
          <w:tcPr>
            <w:tcW w:w="2625" w:type="dxa"/>
          </w:tcPr>
          <w:p>
            <w:pPr>
              <w:pStyle w:val="TableParagraph"/>
              <w:ind w:left="116"/>
              <w:rPr>
                <w:sz w:val="22"/>
              </w:rPr>
            </w:pPr>
            <w:r>
              <w:rPr>
                <w:sz w:val="22"/>
              </w:rPr>
              <w:t>1/6 oz</w:t>
            </w:r>
          </w:p>
        </w:tc>
        <w:tc>
          <w:tcPr>
            <w:tcW w:w="2623" w:type="dxa"/>
          </w:tcPr>
          <w:p>
            <w:pPr>
              <w:pStyle w:val="TableParagraph"/>
              <w:ind w:left="117"/>
              <w:rPr>
                <w:sz w:val="22"/>
              </w:rPr>
            </w:pPr>
            <w:r>
              <w:rPr>
                <w:sz w:val="22"/>
              </w:rPr>
              <w:t>4.9289 ml +/-0.025%</w:t>
            </w:r>
          </w:p>
        </w:tc>
      </w:tr>
      <w:tr>
        <w:trPr>
          <w:trHeight w:val="354" w:hRule="atLeast"/>
        </w:trPr>
        <w:tc>
          <w:tcPr>
            <w:tcW w:w="1682" w:type="dxa"/>
          </w:tcPr>
          <w:p>
            <w:pPr>
              <w:pStyle w:val="TableParagraph"/>
              <w:spacing w:before="44"/>
              <w:rPr>
                <w:rFonts w:ascii="Consolas"/>
                <w:sz w:val="22"/>
              </w:rPr>
            </w:pPr>
            <w:r>
              <w:rPr>
                <w:rFonts w:ascii="Consolas"/>
                <w:sz w:val="22"/>
              </w:rPr>
              <w:t>US_cup</w:t>
            </w:r>
          </w:p>
        </w:tc>
        <w:tc>
          <w:tcPr>
            <w:tcW w:w="2659" w:type="dxa"/>
          </w:tcPr>
          <w:p>
            <w:pPr>
              <w:pStyle w:val="TableParagraph"/>
              <w:spacing w:before="42"/>
              <w:rPr>
                <w:sz w:val="22"/>
              </w:rPr>
            </w:pPr>
            <w:r>
              <w:rPr>
                <w:sz w:val="22"/>
              </w:rPr>
              <w:t>U.S. cup</w:t>
            </w:r>
          </w:p>
        </w:tc>
        <w:tc>
          <w:tcPr>
            <w:tcW w:w="2625" w:type="dxa"/>
          </w:tcPr>
          <w:p>
            <w:pPr>
              <w:pStyle w:val="TableParagraph"/>
              <w:spacing w:before="42"/>
              <w:ind w:left="116"/>
              <w:rPr>
                <w:sz w:val="22"/>
              </w:rPr>
            </w:pPr>
            <w:r>
              <w:rPr>
                <w:sz w:val="22"/>
              </w:rPr>
              <w:t>½ US_pt</w:t>
            </w:r>
          </w:p>
        </w:tc>
        <w:tc>
          <w:tcPr>
            <w:tcW w:w="2623" w:type="dxa"/>
          </w:tcPr>
          <w:p>
            <w:pPr>
              <w:pStyle w:val="TableParagraph"/>
              <w:spacing w:before="42"/>
              <w:ind w:left="117"/>
              <w:rPr>
                <w:sz w:val="22"/>
              </w:rPr>
            </w:pPr>
            <w:r>
              <w:rPr>
                <w:sz w:val="22"/>
              </w:rPr>
              <w:t>236.5882 ml</w:t>
            </w:r>
          </w:p>
        </w:tc>
      </w:tr>
      <w:tr>
        <w:trPr>
          <w:trHeight w:val="355" w:hRule="atLeast"/>
        </w:trPr>
        <w:tc>
          <w:tcPr>
            <w:tcW w:w="1682" w:type="dxa"/>
          </w:tcPr>
          <w:p>
            <w:pPr>
              <w:pStyle w:val="TableParagraph"/>
              <w:spacing w:before="42"/>
              <w:rPr>
                <w:rFonts w:ascii="Consolas"/>
                <w:sz w:val="22"/>
              </w:rPr>
            </w:pPr>
            <w:r>
              <w:rPr>
                <w:rFonts w:ascii="Consolas"/>
                <w:sz w:val="22"/>
              </w:rPr>
              <w:t>US_gal</w:t>
            </w:r>
          </w:p>
        </w:tc>
        <w:tc>
          <w:tcPr>
            <w:tcW w:w="2659" w:type="dxa"/>
          </w:tcPr>
          <w:p>
            <w:pPr>
              <w:pStyle w:val="TableParagraph"/>
              <w:rPr>
                <w:sz w:val="22"/>
              </w:rPr>
            </w:pPr>
            <w:r>
              <w:rPr>
                <w:sz w:val="22"/>
              </w:rPr>
              <w:t>U.S. gallon</w:t>
            </w:r>
          </w:p>
        </w:tc>
        <w:tc>
          <w:tcPr>
            <w:tcW w:w="2625" w:type="dxa"/>
          </w:tcPr>
          <w:p>
            <w:pPr>
              <w:pStyle w:val="TableParagraph"/>
              <w:ind w:left="116"/>
              <w:rPr>
                <w:sz w:val="22"/>
              </w:rPr>
            </w:pPr>
            <w:r>
              <w:rPr>
                <w:sz w:val="22"/>
              </w:rPr>
              <w:t>8 US_pt</w:t>
            </w:r>
          </w:p>
        </w:tc>
        <w:tc>
          <w:tcPr>
            <w:tcW w:w="2623" w:type="dxa"/>
          </w:tcPr>
          <w:p>
            <w:pPr>
              <w:pStyle w:val="TableParagraph"/>
              <w:ind w:left="117"/>
              <w:rPr>
                <w:sz w:val="22"/>
              </w:rPr>
            </w:pPr>
            <w:r>
              <w:rPr>
                <w:sz w:val="22"/>
              </w:rPr>
              <w:t>3.785412 l</w:t>
            </w:r>
          </w:p>
        </w:tc>
      </w:tr>
      <w:tr>
        <w:trPr>
          <w:trHeight w:val="354" w:hRule="atLeast"/>
        </w:trPr>
        <w:tc>
          <w:tcPr>
            <w:tcW w:w="1682" w:type="dxa"/>
          </w:tcPr>
          <w:p>
            <w:pPr>
              <w:pStyle w:val="TableParagraph"/>
              <w:spacing w:before="42"/>
              <w:rPr>
                <w:rFonts w:ascii="Consolas"/>
                <w:sz w:val="22"/>
              </w:rPr>
            </w:pPr>
            <w:r>
              <w:rPr>
                <w:rFonts w:ascii="Consolas"/>
                <w:sz w:val="22"/>
              </w:rPr>
              <w:t>US_oz</w:t>
            </w:r>
          </w:p>
        </w:tc>
        <w:tc>
          <w:tcPr>
            <w:tcW w:w="2659" w:type="dxa"/>
          </w:tcPr>
          <w:p>
            <w:pPr>
              <w:pStyle w:val="TableParagraph"/>
              <w:rPr>
                <w:sz w:val="22"/>
              </w:rPr>
            </w:pPr>
            <w:r>
              <w:rPr>
                <w:sz w:val="22"/>
              </w:rPr>
              <w:t>U.S. fluid ounce</w:t>
            </w:r>
          </w:p>
        </w:tc>
        <w:tc>
          <w:tcPr>
            <w:tcW w:w="2625" w:type="dxa"/>
          </w:tcPr>
          <w:p>
            <w:pPr>
              <w:pStyle w:val="TableParagraph"/>
              <w:ind w:left="116"/>
              <w:rPr>
                <w:sz w:val="22"/>
              </w:rPr>
            </w:pPr>
            <w:r>
              <w:rPr>
                <w:sz w:val="22"/>
              </w:rPr>
              <w:t>1/16 US_pt</w:t>
            </w:r>
          </w:p>
        </w:tc>
        <w:tc>
          <w:tcPr>
            <w:tcW w:w="2623" w:type="dxa"/>
          </w:tcPr>
          <w:p>
            <w:pPr>
              <w:pStyle w:val="TableParagraph"/>
              <w:ind w:left="117"/>
              <w:rPr>
                <w:sz w:val="22"/>
              </w:rPr>
            </w:pPr>
            <w:r>
              <w:rPr>
                <w:sz w:val="22"/>
              </w:rPr>
              <w:t>29.57353 ml</w:t>
            </w:r>
          </w:p>
        </w:tc>
      </w:tr>
      <w:tr>
        <w:trPr>
          <w:trHeight w:val="354" w:hRule="atLeast"/>
        </w:trPr>
        <w:tc>
          <w:tcPr>
            <w:tcW w:w="1682" w:type="dxa"/>
          </w:tcPr>
          <w:p>
            <w:pPr>
              <w:pStyle w:val="TableParagraph"/>
              <w:spacing w:before="42"/>
              <w:rPr>
                <w:rFonts w:ascii="Consolas"/>
                <w:sz w:val="22"/>
              </w:rPr>
            </w:pPr>
            <w:r>
              <w:rPr>
                <w:rFonts w:ascii="Consolas"/>
                <w:sz w:val="22"/>
              </w:rPr>
              <w:t>US_pt</w:t>
            </w:r>
          </w:p>
        </w:tc>
        <w:tc>
          <w:tcPr>
            <w:tcW w:w="2659" w:type="dxa"/>
          </w:tcPr>
          <w:p>
            <w:pPr>
              <w:pStyle w:val="TableParagraph"/>
              <w:rPr>
                <w:sz w:val="22"/>
              </w:rPr>
            </w:pPr>
            <w:r>
              <w:rPr>
                <w:sz w:val="22"/>
              </w:rPr>
              <w:t>U.S. liquid pint</w:t>
            </w:r>
          </w:p>
        </w:tc>
        <w:tc>
          <w:tcPr>
            <w:tcW w:w="2625" w:type="dxa"/>
          </w:tcPr>
          <w:p>
            <w:pPr>
              <w:pStyle w:val="TableParagraph"/>
              <w:spacing w:before="0"/>
              <w:ind w:left="0"/>
              <w:rPr>
                <w:rFonts w:ascii="Times New Roman"/>
                <w:sz w:val="22"/>
              </w:rPr>
            </w:pPr>
          </w:p>
        </w:tc>
        <w:tc>
          <w:tcPr>
            <w:tcW w:w="2623" w:type="dxa"/>
          </w:tcPr>
          <w:p>
            <w:pPr>
              <w:pStyle w:val="TableParagraph"/>
              <w:ind w:left="117"/>
              <w:rPr>
                <w:sz w:val="22"/>
              </w:rPr>
            </w:pPr>
            <w:r>
              <w:rPr>
                <w:sz w:val="22"/>
              </w:rPr>
              <w:t>473.1765 ml</w:t>
            </w:r>
          </w:p>
        </w:tc>
      </w:tr>
      <w:tr>
        <w:trPr>
          <w:trHeight w:val="354" w:hRule="atLeast"/>
        </w:trPr>
        <w:tc>
          <w:tcPr>
            <w:tcW w:w="1682" w:type="dxa"/>
          </w:tcPr>
          <w:p>
            <w:pPr>
              <w:pStyle w:val="TableParagraph"/>
              <w:spacing w:before="42"/>
              <w:rPr>
                <w:rFonts w:ascii="Consolas"/>
                <w:sz w:val="22"/>
              </w:rPr>
            </w:pPr>
            <w:r>
              <w:rPr>
                <w:rFonts w:ascii="Consolas"/>
                <w:sz w:val="22"/>
              </w:rPr>
              <w:t>US_qt</w:t>
            </w:r>
          </w:p>
        </w:tc>
        <w:tc>
          <w:tcPr>
            <w:tcW w:w="2659" w:type="dxa"/>
          </w:tcPr>
          <w:p>
            <w:pPr>
              <w:pStyle w:val="TableParagraph"/>
              <w:rPr>
                <w:sz w:val="22"/>
              </w:rPr>
            </w:pPr>
            <w:r>
              <w:rPr>
                <w:sz w:val="22"/>
              </w:rPr>
              <w:t>U.S. liquid quart</w:t>
            </w:r>
          </w:p>
        </w:tc>
        <w:tc>
          <w:tcPr>
            <w:tcW w:w="2625" w:type="dxa"/>
          </w:tcPr>
          <w:p>
            <w:pPr>
              <w:pStyle w:val="TableParagraph"/>
              <w:ind w:left="116"/>
              <w:rPr>
                <w:sz w:val="22"/>
              </w:rPr>
            </w:pPr>
            <w:r>
              <w:rPr>
                <w:sz w:val="22"/>
              </w:rPr>
              <w:t>2 US_pt</w:t>
            </w:r>
          </w:p>
        </w:tc>
        <w:tc>
          <w:tcPr>
            <w:tcW w:w="2623" w:type="dxa"/>
          </w:tcPr>
          <w:p>
            <w:pPr>
              <w:pStyle w:val="TableParagraph"/>
              <w:ind w:left="117"/>
              <w:rPr>
                <w:sz w:val="22"/>
              </w:rPr>
            </w:pPr>
            <w:r>
              <w:rPr>
                <w:sz w:val="22"/>
              </w:rPr>
              <w:t>946.3529 ml</w:t>
            </w:r>
          </w:p>
        </w:tc>
      </w:tr>
      <w:tr>
        <w:trPr>
          <w:trHeight w:val="354" w:hRule="atLeast"/>
        </w:trPr>
        <w:tc>
          <w:tcPr>
            <w:tcW w:w="1682" w:type="dxa"/>
          </w:tcPr>
          <w:p>
            <w:pPr>
              <w:pStyle w:val="TableParagraph"/>
              <w:spacing w:before="42"/>
              <w:rPr>
                <w:rFonts w:ascii="Consolas"/>
                <w:sz w:val="22"/>
              </w:rPr>
            </w:pPr>
            <w:r>
              <w:rPr>
                <w:rFonts w:ascii="Consolas"/>
                <w:sz w:val="22"/>
              </w:rPr>
              <w:t>US_tbs</w:t>
            </w:r>
          </w:p>
        </w:tc>
        <w:tc>
          <w:tcPr>
            <w:tcW w:w="2659" w:type="dxa"/>
          </w:tcPr>
          <w:p>
            <w:pPr>
              <w:pStyle w:val="TableParagraph"/>
              <w:rPr>
                <w:sz w:val="22"/>
              </w:rPr>
            </w:pPr>
            <w:r>
              <w:rPr>
                <w:sz w:val="22"/>
              </w:rPr>
              <w:t>U.S. tablespoon</w:t>
            </w:r>
          </w:p>
        </w:tc>
        <w:tc>
          <w:tcPr>
            <w:tcW w:w="2625" w:type="dxa"/>
          </w:tcPr>
          <w:p>
            <w:pPr>
              <w:pStyle w:val="TableParagraph"/>
              <w:ind w:left="116"/>
              <w:rPr>
                <w:sz w:val="22"/>
              </w:rPr>
            </w:pPr>
            <w:r>
              <w:rPr>
                <w:sz w:val="22"/>
              </w:rPr>
              <w:t>½ US_oz</w:t>
            </w:r>
          </w:p>
        </w:tc>
        <w:tc>
          <w:tcPr>
            <w:tcW w:w="2623" w:type="dxa"/>
          </w:tcPr>
          <w:p>
            <w:pPr>
              <w:pStyle w:val="TableParagraph"/>
              <w:ind w:left="117"/>
              <w:rPr>
                <w:sz w:val="22"/>
              </w:rPr>
            </w:pPr>
            <w:r>
              <w:rPr>
                <w:sz w:val="22"/>
              </w:rPr>
              <w:t>14.78676 ml</w:t>
            </w:r>
          </w:p>
        </w:tc>
      </w:tr>
      <w:tr>
        <w:trPr>
          <w:trHeight w:val="354" w:hRule="atLeast"/>
        </w:trPr>
        <w:tc>
          <w:tcPr>
            <w:tcW w:w="1682" w:type="dxa"/>
          </w:tcPr>
          <w:p>
            <w:pPr>
              <w:pStyle w:val="TableParagraph"/>
              <w:spacing w:before="42"/>
              <w:rPr>
                <w:rFonts w:ascii="Consolas"/>
                <w:sz w:val="22"/>
              </w:rPr>
            </w:pPr>
            <w:r>
              <w:rPr>
                <w:rFonts w:ascii="Consolas"/>
                <w:sz w:val="22"/>
              </w:rPr>
              <w:t>US_tsp</w:t>
            </w:r>
          </w:p>
        </w:tc>
        <w:tc>
          <w:tcPr>
            <w:tcW w:w="2659" w:type="dxa"/>
          </w:tcPr>
          <w:p>
            <w:pPr>
              <w:pStyle w:val="TableParagraph"/>
              <w:rPr>
                <w:sz w:val="22"/>
              </w:rPr>
            </w:pPr>
            <w:r>
              <w:rPr>
                <w:sz w:val="22"/>
              </w:rPr>
              <w:t>U.S. teaspoon</w:t>
            </w:r>
          </w:p>
        </w:tc>
        <w:tc>
          <w:tcPr>
            <w:tcW w:w="2625" w:type="dxa"/>
          </w:tcPr>
          <w:p>
            <w:pPr>
              <w:pStyle w:val="TableParagraph"/>
              <w:ind w:left="116"/>
              <w:rPr>
                <w:sz w:val="22"/>
              </w:rPr>
            </w:pPr>
            <w:r>
              <w:rPr>
                <w:sz w:val="22"/>
              </w:rPr>
              <w:t>1/6 US_oz</w:t>
            </w:r>
          </w:p>
        </w:tc>
        <w:tc>
          <w:tcPr>
            <w:tcW w:w="2623" w:type="dxa"/>
          </w:tcPr>
          <w:p>
            <w:pPr>
              <w:pStyle w:val="TableParagraph"/>
              <w:ind w:left="117"/>
              <w:rPr>
                <w:sz w:val="22"/>
              </w:rPr>
            </w:pPr>
            <w:r>
              <w:rPr>
                <w:sz w:val="22"/>
              </w:rPr>
              <w:t>4.928922 ml</w:t>
            </w: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The following abbreviated unit prefixes can be used with any metric unit: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4" w:hRule="atLeast"/>
        </w:trPr>
        <w:tc>
          <w:tcPr>
            <w:tcW w:w="6589" w:type="dxa"/>
            <w:gridSpan w:val="2"/>
            <w:shd w:val="clear" w:color="auto" w:fill="C0C0C0"/>
          </w:tcPr>
          <w:p>
            <w:pPr>
              <w:pStyle w:val="TableParagraph"/>
              <w:ind w:left="2097" w:right="2091"/>
              <w:jc w:val="center"/>
              <w:rPr>
                <w:b/>
                <w:sz w:val="22"/>
              </w:rPr>
            </w:pPr>
            <w:r>
              <w:rPr>
                <w:b/>
                <w:sz w:val="22"/>
              </w:rPr>
              <w:t>Abbreviated Unit Prefixes</w:t>
            </w:r>
          </w:p>
        </w:tc>
      </w:tr>
      <w:tr>
        <w:trPr>
          <w:trHeight w:val="355" w:hRule="atLeast"/>
        </w:trPr>
        <w:tc>
          <w:tcPr>
            <w:tcW w:w="1368" w:type="dxa"/>
          </w:tcPr>
          <w:p>
            <w:pPr>
              <w:pStyle w:val="TableParagraph"/>
              <w:rPr>
                <w:i/>
                <w:sz w:val="22"/>
              </w:rPr>
            </w:pPr>
            <w:r>
              <w:rPr>
                <w:i/>
                <w:sz w:val="22"/>
              </w:rPr>
              <w:t>Prefix String</w:t>
            </w:r>
          </w:p>
        </w:tc>
        <w:tc>
          <w:tcPr>
            <w:tcW w:w="5221" w:type="dxa"/>
          </w:tcPr>
          <w:p>
            <w:pPr>
              <w:pStyle w:val="TableParagraph"/>
              <w:ind w:left="114"/>
              <w:rPr>
                <w:i/>
                <w:sz w:val="22"/>
              </w:rPr>
            </w:pPr>
            <w:r>
              <w:rPr>
                <w:i/>
                <w:sz w:val="22"/>
              </w:rPr>
              <w:t>Meaning</w:t>
            </w:r>
          </w:p>
        </w:tc>
      </w:tr>
      <w:tr>
        <w:trPr>
          <w:trHeight w:val="354" w:hRule="atLeast"/>
        </w:trPr>
        <w:tc>
          <w:tcPr>
            <w:tcW w:w="1368" w:type="dxa"/>
          </w:tcPr>
          <w:p>
            <w:pPr>
              <w:pStyle w:val="TableParagraph"/>
              <w:spacing w:before="42"/>
              <w:rPr>
                <w:rFonts w:ascii="Consolas"/>
                <w:sz w:val="22"/>
              </w:rPr>
            </w:pPr>
            <w:r>
              <w:rPr>
                <w:rFonts w:ascii="Consolas"/>
                <w:w w:val="100"/>
                <w:sz w:val="22"/>
              </w:rPr>
              <w:t>E</w:t>
            </w:r>
          </w:p>
        </w:tc>
        <w:tc>
          <w:tcPr>
            <w:tcW w:w="5221" w:type="dxa"/>
          </w:tcPr>
          <w:p>
            <w:pPr>
              <w:pStyle w:val="TableParagraph"/>
              <w:ind w:left="114"/>
              <w:rPr>
                <w:sz w:val="22"/>
              </w:rPr>
            </w:pPr>
            <w:r>
              <w:rPr>
                <w:sz w:val="22"/>
              </w:rPr>
              <w:t>exa (1E+18)</w:t>
            </w:r>
          </w:p>
        </w:tc>
      </w:tr>
      <w:tr>
        <w:trPr>
          <w:trHeight w:val="352" w:hRule="atLeast"/>
        </w:trPr>
        <w:tc>
          <w:tcPr>
            <w:tcW w:w="1368" w:type="dxa"/>
          </w:tcPr>
          <w:p>
            <w:pPr>
              <w:pStyle w:val="TableParagraph"/>
              <w:spacing w:before="42"/>
              <w:rPr>
                <w:rFonts w:ascii="Consolas"/>
                <w:sz w:val="22"/>
              </w:rPr>
            </w:pPr>
            <w:r>
              <w:rPr>
                <w:rFonts w:ascii="Consolas"/>
                <w:w w:val="100"/>
                <w:sz w:val="22"/>
              </w:rPr>
              <w:t>P</w:t>
            </w:r>
          </w:p>
        </w:tc>
        <w:tc>
          <w:tcPr>
            <w:tcW w:w="5221" w:type="dxa"/>
          </w:tcPr>
          <w:p>
            <w:pPr>
              <w:pStyle w:val="TableParagraph"/>
              <w:ind w:left="114"/>
              <w:rPr>
                <w:sz w:val="22"/>
              </w:rPr>
            </w:pPr>
            <w:r>
              <w:rPr>
                <w:sz w:val="22"/>
              </w:rPr>
              <w:t>peta (1E+15)</w:t>
            </w:r>
          </w:p>
        </w:tc>
      </w:tr>
      <w:tr>
        <w:trPr>
          <w:trHeight w:val="354" w:hRule="atLeast"/>
        </w:trPr>
        <w:tc>
          <w:tcPr>
            <w:tcW w:w="1368" w:type="dxa"/>
          </w:tcPr>
          <w:p>
            <w:pPr>
              <w:pStyle w:val="TableParagraph"/>
              <w:spacing w:before="44"/>
              <w:rPr>
                <w:rFonts w:ascii="Consolas"/>
                <w:sz w:val="22"/>
              </w:rPr>
            </w:pPr>
            <w:r>
              <w:rPr>
                <w:rFonts w:ascii="Consolas"/>
                <w:w w:val="100"/>
                <w:sz w:val="22"/>
              </w:rPr>
              <w:t>T</w:t>
            </w:r>
          </w:p>
        </w:tc>
        <w:tc>
          <w:tcPr>
            <w:tcW w:w="5221" w:type="dxa"/>
          </w:tcPr>
          <w:p>
            <w:pPr>
              <w:pStyle w:val="TableParagraph"/>
              <w:spacing w:before="42"/>
              <w:ind w:left="114"/>
              <w:rPr>
                <w:sz w:val="22"/>
              </w:rPr>
            </w:pPr>
            <w:r>
              <w:rPr>
                <w:sz w:val="22"/>
              </w:rPr>
              <w:t>tera (1E+12)</w:t>
            </w:r>
          </w:p>
        </w:tc>
      </w:tr>
      <w:tr>
        <w:trPr>
          <w:trHeight w:val="354" w:hRule="atLeast"/>
        </w:trPr>
        <w:tc>
          <w:tcPr>
            <w:tcW w:w="1368" w:type="dxa"/>
          </w:tcPr>
          <w:p>
            <w:pPr>
              <w:pStyle w:val="TableParagraph"/>
              <w:spacing w:before="42"/>
              <w:rPr>
                <w:rFonts w:ascii="Consolas"/>
                <w:sz w:val="22"/>
              </w:rPr>
            </w:pPr>
            <w:r>
              <w:rPr>
                <w:rFonts w:ascii="Consolas"/>
                <w:w w:val="100"/>
                <w:sz w:val="22"/>
              </w:rPr>
              <w:t>G</w:t>
            </w:r>
          </w:p>
        </w:tc>
        <w:tc>
          <w:tcPr>
            <w:tcW w:w="5221" w:type="dxa"/>
          </w:tcPr>
          <w:p>
            <w:pPr>
              <w:pStyle w:val="TableParagraph"/>
              <w:ind w:left="114"/>
              <w:rPr>
                <w:sz w:val="22"/>
              </w:rPr>
            </w:pPr>
            <w:r>
              <w:rPr>
                <w:sz w:val="22"/>
              </w:rPr>
              <w:t>giga (1E+09)</w:t>
            </w:r>
          </w:p>
        </w:tc>
      </w:tr>
      <w:tr>
        <w:trPr>
          <w:trHeight w:val="354" w:hRule="atLeast"/>
        </w:trPr>
        <w:tc>
          <w:tcPr>
            <w:tcW w:w="1368" w:type="dxa"/>
          </w:tcPr>
          <w:p>
            <w:pPr>
              <w:pStyle w:val="TableParagraph"/>
              <w:spacing w:before="42"/>
              <w:rPr>
                <w:rFonts w:ascii="Consolas"/>
                <w:sz w:val="22"/>
              </w:rPr>
            </w:pPr>
            <w:r>
              <w:rPr>
                <w:rFonts w:ascii="Consolas"/>
                <w:w w:val="100"/>
                <w:sz w:val="22"/>
              </w:rPr>
              <w:t>M</w:t>
            </w:r>
          </w:p>
        </w:tc>
        <w:tc>
          <w:tcPr>
            <w:tcW w:w="5221" w:type="dxa"/>
          </w:tcPr>
          <w:p>
            <w:pPr>
              <w:pStyle w:val="TableParagraph"/>
              <w:ind w:left="114"/>
              <w:rPr>
                <w:sz w:val="22"/>
              </w:rPr>
            </w:pPr>
            <w:r>
              <w:rPr>
                <w:sz w:val="22"/>
              </w:rPr>
              <w:t>mega (1E+06)</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5221"/>
      </w:tblGrid>
      <w:tr>
        <w:trPr>
          <w:trHeight w:val="355" w:hRule="atLeast"/>
        </w:trPr>
        <w:tc>
          <w:tcPr>
            <w:tcW w:w="6589" w:type="dxa"/>
            <w:gridSpan w:val="2"/>
            <w:shd w:val="clear" w:color="auto" w:fill="C0C0C0"/>
          </w:tcPr>
          <w:p>
            <w:pPr>
              <w:pStyle w:val="TableParagraph"/>
              <w:ind w:left="2097" w:right="2091"/>
              <w:jc w:val="center"/>
              <w:rPr>
                <w:b/>
                <w:sz w:val="22"/>
              </w:rPr>
            </w:pPr>
            <w:r>
              <w:rPr>
                <w:b/>
                <w:sz w:val="22"/>
              </w:rPr>
              <w:t>Abbreviated Unit Prefixes</w:t>
            </w:r>
          </w:p>
        </w:tc>
      </w:tr>
      <w:tr>
        <w:trPr>
          <w:trHeight w:val="354" w:hRule="atLeast"/>
        </w:trPr>
        <w:tc>
          <w:tcPr>
            <w:tcW w:w="1368" w:type="dxa"/>
          </w:tcPr>
          <w:p>
            <w:pPr>
              <w:pStyle w:val="TableParagraph"/>
              <w:spacing w:before="42"/>
              <w:rPr>
                <w:rFonts w:ascii="Consolas"/>
                <w:sz w:val="22"/>
              </w:rPr>
            </w:pPr>
            <w:r>
              <w:rPr>
                <w:rFonts w:ascii="Consolas"/>
                <w:w w:val="100"/>
                <w:sz w:val="22"/>
              </w:rPr>
              <w:t>k</w:t>
            </w:r>
          </w:p>
        </w:tc>
        <w:tc>
          <w:tcPr>
            <w:tcW w:w="5221" w:type="dxa"/>
          </w:tcPr>
          <w:p>
            <w:pPr>
              <w:pStyle w:val="TableParagraph"/>
              <w:ind w:left="114"/>
              <w:rPr>
                <w:sz w:val="22"/>
              </w:rPr>
            </w:pPr>
            <w:r>
              <w:rPr>
                <w:sz w:val="22"/>
              </w:rPr>
              <w:t>kilo (1E+03)</w:t>
            </w:r>
          </w:p>
        </w:tc>
      </w:tr>
      <w:tr>
        <w:trPr>
          <w:trHeight w:val="354" w:hRule="atLeast"/>
        </w:trPr>
        <w:tc>
          <w:tcPr>
            <w:tcW w:w="1368" w:type="dxa"/>
          </w:tcPr>
          <w:p>
            <w:pPr>
              <w:pStyle w:val="TableParagraph"/>
              <w:spacing w:before="42"/>
              <w:rPr>
                <w:rFonts w:ascii="Consolas"/>
                <w:sz w:val="22"/>
              </w:rPr>
            </w:pPr>
            <w:r>
              <w:rPr>
                <w:rFonts w:ascii="Consolas"/>
                <w:w w:val="100"/>
                <w:sz w:val="22"/>
              </w:rPr>
              <w:t>h</w:t>
            </w:r>
          </w:p>
        </w:tc>
        <w:tc>
          <w:tcPr>
            <w:tcW w:w="5221" w:type="dxa"/>
          </w:tcPr>
          <w:p>
            <w:pPr>
              <w:pStyle w:val="TableParagraph"/>
              <w:ind w:left="114"/>
              <w:rPr>
                <w:sz w:val="22"/>
              </w:rPr>
            </w:pPr>
            <w:r>
              <w:rPr>
                <w:sz w:val="22"/>
              </w:rPr>
              <w:t>hecto (1E+02)</w:t>
            </w:r>
          </w:p>
        </w:tc>
      </w:tr>
      <w:tr>
        <w:trPr>
          <w:trHeight w:val="352" w:hRule="atLeast"/>
        </w:trPr>
        <w:tc>
          <w:tcPr>
            <w:tcW w:w="1368" w:type="dxa"/>
          </w:tcPr>
          <w:p>
            <w:pPr>
              <w:pStyle w:val="TableParagraph"/>
              <w:spacing w:before="42"/>
              <w:rPr>
                <w:rFonts w:ascii="Consolas"/>
                <w:sz w:val="22"/>
              </w:rPr>
            </w:pPr>
            <w:r>
              <w:rPr>
                <w:rFonts w:ascii="Consolas"/>
                <w:w w:val="100"/>
                <w:sz w:val="22"/>
              </w:rPr>
              <w:t>e</w:t>
            </w:r>
          </w:p>
        </w:tc>
        <w:tc>
          <w:tcPr>
            <w:tcW w:w="5221" w:type="dxa"/>
          </w:tcPr>
          <w:p>
            <w:pPr>
              <w:pStyle w:val="TableParagraph"/>
              <w:ind w:left="114"/>
              <w:rPr>
                <w:sz w:val="22"/>
              </w:rPr>
            </w:pPr>
            <w:r>
              <w:rPr>
                <w:sz w:val="22"/>
              </w:rPr>
              <w:t>deka (1E+01)</w:t>
            </w:r>
          </w:p>
        </w:tc>
      </w:tr>
      <w:tr>
        <w:trPr>
          <w:trHeight w:val="354" w:hRule="atLeast"/>
        </w:trPr>
        <w:tc>
          <w:tcPr>
            <w:tcW w:w="1368" w:type="dxa"/>
          </w:tcPr>
          <w:p>
            <w:pPr>
              <w:pStyle w:val="TableParagraph"/>
              <w:spacing w:before="44"/>
              <w:rPr>
                <w:rFonts w:ascii="Consolas"/>
                <w:sz w:val="22"/>
              </w:rPr>
            </w:pPr>
            <w:r>
              <w:rPr>
                <w:rFonts w:ascii="Consolas"/>
                <w:w w:val="100"/>
                <w:sz w:val="22"/>
              </w:rPr>
              <w:t>d</w:t>
            </w:r>
          </w:p>
        </w:tc>
        <w:tc>
          <w:tcPr>
            <w:tcW w:w="5221" w:type="dxa"/>
          </w:tcPr>
          <w:p>
            <w:pPr>
              <w:pStyle w:val="TableParagraph"/>
              <w:spacing w:before="42"/>
              <w:ind w:left="114"/>
              <w:rPr>
                <w:sz w:val="22"/>
              </w:rPr>
            </w:pPr>
            <w:r>
              <w:rPr>
                <w:sz w:val="22"/>
              </w:rPr>
              <w:t>deci (1E-01)</w:t>
            </w:r>
          </w:p>
        </w:tc>
      </w:tr>
      <w:tr>
        <w:trPr>
          <w:trHeight w:val="354" w:hRule="atLeast"/>
        </w:trPr>
        <w:tc>
          <w:tcPr>
            <w:tcW w:w="1368" w:type="dxa"/>
          </w:tcPr>
          <w:p>
            <w:pPr>
              <w:pStyle w:val="TableParagraph"/>
              <w:spacing w:before="42"/>
              <w:rPr>
                <w:rFonts w:ascii="Consolas"/>
                <w:sz w:val="22"/>
              </w:rPr>
            </w:pPr>
            <w:r>
              <w:rPr>
                <w:rFonts w:ascii="Consolas"/>
                <w:w w:val="100"/>
                <w:sz w:val="22"/>
              </w:rPr>
              <w:t>c</w:t>
            </w:r>
          </w:p>
        </w:tc>
        <w:tc>
          <w:tcPr>
            <w:tcW w:w="5221" w:type="dxa"/>
          </w:tcPr>
          <w:p>
            <w:pPr>
              <w:pStyle w:val="TableParagraph"/>
              <w:ind w:left="114"/>
              <w:rPr>
                <w:sz w:val="22"/>
              </w:rPr>
            </w:pPr>
            <w:r>
              <w:rPr>
                <w:sz w:val="22"/>
              </w:rPr>
              <w:t>centi (1E-02)</w:t>
            </w:r>
          </w:p>
        </w:tc>
      </w:tr>
      <w:tr>
        <w:trPr>
          <w:trHeight w:val="354" w:hRule="atLeast"/>
        </w:trPr>
        <w:tc>
          <w:tcPr>
            <w:tcW w:w="1368" w:type="dxa"/>
          </w:tcPr>
          <w:p>
            <w:pPr>
              <w:pStyle w:val="TableParagraph"/>
              <w:spacing w:before="42"/>
              <w:rPr>
                <w:rFonts w:ascii="Consolas"/>
                <w:sz w:val="22"/>
              </w:rPr>
            </w:pPr>
            <w:r>
              <w:rPr>
                <w:rFonts w:ascii="Consolas"/>
                <w:w w:val="100"/>
                <w:sz w:val="22"/>
              </w:rPr>
              <w:t>m</w:t>
            </w:r>
          </w:p>
        </w:tc>
        <w:tc>
          <w:tcPr>
            <w:tcW w:w="5221" w:type="dxa"/>
          </w:tcPr>
          <w:p>
            <w:pPr>
              <w:pStyle w:val="TableParagraph"/>
              <w:ind w:left="114"/>
              <w:rPr>
                <w:sz w:val="22"/>
              </w:rPr>
            </w:pPr>
            <w:r>
              <w:rPr>
                <w:sz w:val="22"/>
              </w:rPr>
              <w:t>milli (1E-03)</w:t>
            </w:r>
          </w:p>
        </w:tc>
      </w:tr>
      <w:tr>
        <w:trPr>
          <w:trHeight w:val="354" w:hRule="atLeast"/>
        </w:trPr>
        <w:tc>
          <w:tcPr>
            <w:tcW w:w="1368" w:type="dxa"/>
          </w:tcPr>
          <w:p>
            <w:pPr>
              <w:pStyle w:val="TableParagraph"/>
              <w:spacing w:before="42"/>
              <w:rPr>
                <w:rFonts w:ascii="Consolas"/>
                <w:sz w:val="22"/>
              </w:rPr>
            </w:pPr>
            <w:r>
              <w:rPr>
                <w:rFonts w:ascii="Consolas"/>
                <w:w w:val="100"/>
                <w:sz w:val="22"/>
              </w:rPr>
              <w:t>u</w:t>
            </w:r>
          </w:p>
        </w:tc>
        <w:tc>
          <w:tcPr>
            <w:tcW w:w="5221" w:type="dxa"/>
          </w:tcPr>
          <w:p>
            <w:pPr>
              <w:pStyle w:val="TableParagraph"/>
              <w:ind w:left="114"/>
              <w:rPr>
                <w:sz w:val="22"/>
              </w:rPr>
            </w:pPr>
            <w:r>
              <w:rPr>
                <w:sz w:val="22"/>
              </w:rPr>
              <w:t>micro (1E-06)</w:t>
            </w:r>
          </w:p>
        </w:tc>
      </w:tr>
      <w:tr>
        <w:trPr>
          <w:trHeight w:val="354" w:hRule="atLeast"/>
        </w:trPr>
        <w:tc>
          <w:tcPr>
            <w:tcW w:w="1368" w:type="dxa"/>
          </w:tcPr>
          <w:p>
            <w:pPr>
              <w:pStyle w:val="TableParagraph"/>
              <w:spacing w:before="42"/>
              <w:rPr>
                <w:rFonts w:ascii="Consolas"/>
                <w:sz w:val="22"/>
              </w:rPr>
            </w:pPr>
            <w:r>
              <w:rPr>
                <w:rFonts w:ascii="Consolas"/>
                <w:w w:val="100"/>
                <w:sz w:val="22"/>
              </w:rPr>
              <w:t>n</w:t>
            </w:r>
          </w:p>
        </w:tc>
        <w:tc>
          <w:tcPr>
            <w:tcW w:w="5221" w:type="dxa"/>
          </w:tcPr>
          <w:p>
            <w:pPr>
              <w:pStyle w:val="TableParagraph"/>
              <w:ind w:left="114"/>
              <w:rPr>
                <w:sz w:val="22"/>
              </w:rPr>
            </w:pPr>
            <w:r>
              <w:rPr>
                <w:sz w:val="22"/>
              </w:rPr>
              <w:t>nano 1E-09)</w:t>
            </w:r>
          </w:p>
        </w:tc>
      </w:tr>
      <w:tr>
        <w:trPr>
          <w:trHeight w:val="354" w:hRule="atLeast"/>
        </w:trPr>
        <w:tc>
          <w:tcPr>
            <w:tcW w:w="1368" w:type="dxa"/>
          </w:tcPr>
          <w:p>
            <w:pPr>
              <w:pStyle w:val="TableParagraph"/>
              <w:spacing w:before="42"/>
              <w:rPr>
                <w:rFonts w:ascii="Consolas"/>
                <w:sz w:val="22"/>
              </w:rPr>
            </w:pPr>
            <w:r>
              <w:rPr>
                <w:rFonts w:ascii="Consolas"/>
                <w:w w:val="100"/>
                <w:sz w:val="22"/>
              </w:rPr>
              <w:t>p</w:t>
            </w:r>
          </w:p>
        </w:tc>
        <w:tc>
          <w:tcPr>
            <w:tcW w:w="5221" w:type="dxa"/>
          </w:tcPr>
          <w:p>
            <w:pPr>
              <w:pStyle w:val="TableParagraph"/>
              <w:ind w:left="114"/>
              <w:rPr>
                <w:sz w:val="22"/>
              </w:rPr>
            </w:pPr>
            <w:r>
              <w:rPr>
                <w:sz w:val="22"/>
              </w:rPr>
              <w:t>pico (1E-12)</w:t>
            </w:r>
          </w:p>
        </w:tc>
      </w:tr>
      <w:tr>
        <w:trPr>
          <w:trHeight w:val="355" w:hRule="atLeast"/>
        </w:trPr>
        <w:tc>
          <w:tcPr>
            <w:tcW w:w="1368" w:type="dxa"/>
          </w:tcPr>
          <w:p>
            <w:pPr>
              <w:pStyle w:val="TableParagraph"/>
              <w:spacing w:before="43"/>
              <w:rPr>
                <w:rFonts w:ascii="Consolas"/>
                <w:sz w:val="22"/>
              </w:rPr>
            </w:pPr>
            <w:r>
              <w:rPr>
                <w:rFonts w:ascii="Consolas"/>
                <w:w w:val="100"/>
                <w:sz w:val="22"/>
              </w:rPr>
              <w:t>f</w:t>
            </w:r>
          </w:p>
        </w:tc>
        <w:tc>
          <w:tcPr>
            <w:tcW w:w="5221" w:type="dxa"/>
          </w:tcPr>
          <w:p>
            <w:pPr>
              <w:pStyle w:val="TableParagraph"/>
              <w:ind w:left="114"/>
              <w:rPr>
                <w:sz w:val="22"/>
              </w:rPr>
            </w:pPr>
            <w:r>
              <w:rPr>
                <w:sz w:val="22"/>
              </w:rPr>
              <w:t>femto (1E-15)</w:t>
            </w:r>
          </w:p>
        </w:tc>
      </w:tr>
      <w:tr>
        <w:trPr>
          <w:trHeight w:val="354" w:hRule="atLeast"/>
        </w:trPr>
        <w:tc>
          <w:tcPr>
            <w:tcW w:w="1368" w:type="dxa"/>
          </w:tcPr>
          <w:p>
            <w:pPr>
              <w:pStyle w:val="TableParagraph"/>
              <w:spacing w:before="42"/>
              <w:rPr>
                <w:rFonts w:ascii="Consolas"/>
                <w:sz w:val="22"/>
              </w:rPr>
            </w:pPr>
            <w:r>
              <w:rPr>
                <w:rFonts w:ascii="Consolas"/>
                <w:w w:val="100"/>
                <w:sz w:val="22"/>
              </w:rPr>
              <w:t>a</w:t>
            </w:r>
          </w:p>
        </w:tc>
        <w:tc>
          <w:tcPr>
            <w:tcW w:w="5221" w:type="dxa"/>
          </w:tcPr>
          <w:p>
            <w:pPr>
              <w:pStyle w:val="TableParagraph"/>
              <w:ind w:left="114"/>
              <w:rPr>
                <w:sz w:val="22"/>
              </w:rPr>
            </w:pPr>
            <w:r>
              <w:rPr>
                <w:sz w:val="22"/>
              </w:rPr>
              <w:t>atto (1E-18)</w:t>
            </w:r>
          </w:p>
        </w:tc>
      </w:tr>
    </w:tbl>
    <w:p>
      <w:pPr>
        <w:pStyle w:val="BodyText"/>
        <w:rPr>
          <w:sz w:val="20"/>
        </w:rPr>
      </w:pPr>
    </w:p>
    <w:p>
      <w:pPr>
        <w:pStyle w:val="BodyText"/>
        <w:rPr>
          <w:sz w:val="17"/>
        </w:rPr>
      </w:pPr>
    </w:p>
    <w:p>
      <w:pPr>
        <w:pStyle w:val="BodyText"/>
        <w:spacing w:before="56"/>
        <w:ind w:left="220"/>
      </w:pPr>
      <w:r>
        <w:rPr/>
        <w:t>Unit names and prefixes are case-sensitive.</w:t>
      </w:r>
    </w:p>
    <w:p>
      <w:pPr>
        <w:pStyle w:val="BodyText"/>
        <w:spacing w:before="8"/>
        <w:rPr>
          <w:sz w:val="19"/>
        </w:rPr>
      </w:pPr>
    </w:p>
    <w:p>
      <w:pPr>
        <w:spacing w:line="453" w:lineRule="auto" w:before="0"/>
        <w:ind w:left="220" w:right="2348" w:firstLine="0"/>
        <w:jc w:val="left"/>
        <w:rPr>
          <w:sz w:val="22"/>
        </w:rPr>
      </w:pPr>
      <w:r>
        <w:rPr>
          <w:b/>
          <w:sz w:val="22"/>
        </w:rPr>
        <w:t>Return Type and Value: </w:t>
      </w:r>
      <w:r>
        <w:rPr>
          <w:sz w:val="22"/>
        </w:rPr>
        <w:t>number – The value of </w:t>
      </w:r>
      <w:r>
        <w:rPr>
          <w:rFonts w:ascii="Times New Roman" w:hAnsi="Times New Roman"/>
          <w:i/>
          <w:sz w:val="22"/>
        </w:rPr>
        <w:t>number </w:t>
      </w:r>
      <w:r>
        <w:rPr>
          <w:sz w:val="22"/>
        </w:rPr>
        <w:t>in </w:t>
      </w:r>
      <w:r>
        <w:rPr>
          <w:rFonts w:ascii="Times New Roman" w:hAnsi="Times New Roman"/>
          <w:i/>
          <w:sz w:val="22"/>
        </w:rPr>
        <w:t>from-unit</w:t>
      </w:r>
      <w:r>
        <w:rPr>
          <w:sz w:val="22"/>
        </w:rPr>
        <w:t>s converted to </w:t>
      </w:r>
      <w:r>
        <w:rPr>
          <w:rFonts w:ascii="Times New Roman" w:hAnsi="Times New Roman"/>
          <w:i/>
          <w:sz w:val="22"/>
        </w:rPr>
        <w:t>to-unit</w:t>
      </w:r>
      <w:r>
        <w:rPr>
          <w:sz w:val="22"/>
        </w:rPr>
        <w:t>s.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The value of </w:t>
      </w:r>
      <w:r>
        <w:rPr>
          <w:rFonts w:ascii="Times New Roman" w:hAnsi="Times New Roman"/>
          <w:i/>
          <w:sz w:val="22"/>
        </w:rPr>
        <w:t>from-unit </w:t>
      </w:r>
      <w:r>
        <w:rPr>
          <w:sz w:val="22"/>
        </w:rPr>
        <w:t>or </w:t>
      </w:r>
      <w:r>
        <w:rPr>
          <w:rFonts w:ascii="Times New Roman" w:hAnsi="Times New Roman"/>
          <w:i/>
          <w:sz w:val="22"/>
        </w:rPr>
        <w:t>to-unit </w:t>
      </w:r>
      <w:r>
        <w:rPr>
          <w:sz w:val="22"/>
        </w:rPr>
        <w:t>is not one of the defined values, </w:t>
      </w:r>
      <w:r>
        <w:rPr>
          <w:rFonts w:ascii="Consolas" w:hAnsi="Consolas"/>
          <w:sz w:val="22"/>
        </w:rPr>
        <w:t>#N/A</w:t>
      </w:r>
      <w:r>
        <w:rPr>
          <w:rFonts w:ascii="Consolas" w:hAnsi="Consolas"/>
          <w:spacing w:val="-96"/>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sz w:val="22"/>
        </w:rPr>
        <w:t>The </w:t>
      </w:r>
      <w:r>
        <w:rPr>
          <w:rFonts w:ascii="Times New Roman" w:hAnsi="Times New Roman"/>
          <w:i/>
          <w:sz w:val="22"/>
        </w:rPr>
        <w:t>from-unit </w:t>
      </w:r>
      <w:r>
        <w:rPr>
          <w:sz w:val="22"/>
        </w:rPr>
        <w:t>and </w:t>
      </w:r>
      <w:r>
        <w:rPr>
          <w:rFonts w:ascii="Times New Roman" w:hAnsi="Times New Roman"/>
          <w:i/>
          <w:sz w:val="22"/>
        </w:rPr>
        <w:t>to-unit </w:t>
      </w:r>
      <w:r>
        <w:rPr>
          <w:sz w:val="22"/>
        </w:rPr>
        <w:t>are from different measurement categories, </w:t>
      </w:r>
      <w:r>
        <w:rPr>
          <w:rFonts w:ascii="Consolas" w:hAnsi="Consolas"/>
          <w:sz w:val="22"/>
        </w:rPr>
        <w:t>#N/A</w:t>
      </w:r>
      <w:r>
        <w:rPr>
          <w:rFonts w:ascii="Consolas" w:hAnsi="Consolas"/>
          <w:spacing w:val="-93"/>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sz w:val="22"/>
        </w:rPr>
        <w:t>The value of </w:t>
      </w:r>
      <w:r>
        <w:rPr>
          <w:rFonts w:ascii="Times New Roman" w:hAnsi="Times New Roman"/>
          <w:i/>
          <w:sz w:val="22"/>
        </w:rPr>
        <w:t>from-unit </w:t>
      </w:r>
      <w:r>
        <w:rPr>
          <w:sz w:val="22"/>
        </w:rPr>
        <w:t>or </w:t>
      </w:r>
      <w:r>
        <w:rPr>
          <w:rFonts w:ascii="Times New Roman" w:hAnsi="Times New Roman"/>
          <w:i/>
          <w:sz w:val="22"/>
        </w:rPr>
        <w:t>to-unit </w:t>
      </w:r>
      <w:r>
        <w:rPr>
          <w:sz w:val="22"/>
        </w:rPr>
        <w:t>has an abbreviated unit prefix, yet none is supported for that</w:t>
      </w:r>
      <w:r>
        <w:rPr>
          <w:spacing w:val="-36"/>
          <w:sz w:val="22"/>
        </w:rPr>
        <w:t> </w:t>
      </w:r>
      <w:r>
        <w:rPr>
          <w:sz w:val="22"/>
        </w:rPr>
        <w:t>unit, </w:t>
      </w:r>
      <w:r>
        <w:rPr>
          <w:rFonts w:ascii="Consolas" w:hAnsi="Consolas"/>
          <w:sz w:val="22"/>
        </w:rPr>
        <w:t>#N/A</w:t>
      </w:r>
    </w:p>
    <w:p>
      <w:pPr>
        <w:spacing w:line="453" w:lineRule="auto" w:before="43"/>
        <w:ind w:left="220" w:right="8685" w:firstLine="720"/>
        <w:jc w:val="left"/>
        <w:rPr>
          <w:sz w:val="22"/>
        </w:rPr>
      </w:pPr>
      <w:r>
        <w:rPr>
          <w:sz w:val="22"/>
        </w:rPr>
        <w:t>is returned. [</w:t>
      </w:r>
      <w:r>
        <w:rPr>
          <w:i/>
          <w:sz w:val="22"/>
        </w:rPr>
        <w:t>Example</w:t>
      </w:r>
      <w:r>
        <w:rPr>
          <w:sz w:val="22"/>
        </w:rPr>
        <w:t>:</w:t>
      </w:r>
    </w:p>
    <w:p>
      <w:pPr>
        <w:pStyle w:val="BodyText"/>
        <w:spacing w:line="276" w:lineRule="auto" w:before="108"/>
        <w:ind w:left="220" w:right="5673"/>
        <w:rPr>
          <w:rFonts w:ascii="Consolas"/>
        </w:rPr>
      </w:pPr>
      <w:r>
        <w:rPr>
          <w:rFonts w:ascii="Consolas"/>
        </w:rPr>
        <w:t>CONVERT(10,"ozm","g")</w:t>
      </w:r>
      <w:r>
        <w:rPr>
          <w:rFonts w:ascii="Consolas"/>
          <w:spacing w:val="-89"/>
        </w:rPr>
        <w:t> </w:t>
      </w:r>
      <w:r>
        <w:rPr/>
        <w:t>results in </w:t>
      </w:r>
      <w:r>
        <w:rPr>
          <w:rFonts w:ascii="Consolas"/>
        </w:rPr>
        <w:t>283.4951521 CONVERT(1,"yd","mm") </w:t>
      </w:r>
      <w:r>
        <w:rPr/>
        <w:t>results in </w:t>
      </w:r>
      <w:r>
        <w:rPr>
          <w:rFonts w:ascii="Consolas"/>
        </w:rPr>
        <w:t>914.4000003 CONVERT(1,"yd","cm") </w:t>
      </w:r>
      <w:r>
        <w:rPr/>
        <w:t>results in </w:t>
      </w:r>
      <w:r>
        <w:rPr>
          <w:rFonts w:ascii="Consolas"/>
        </w:rPr>
        <w:t>91.44000003 CONVERT(1,"yd","m") </w:t>
      </w:r>
      <w:r>
        <w:rPr/>
        <w:t>results in </w:t>
      </w:r>
      <w:r>
        <w:rPr>
          <w:rFonts w:ascii="Consolas"/>
        </w:rPr>
        <w:t>0.9144 CONVERT(1,"yd","km") </w:t>
      </w:r>
      <w:r>
        <w:rPr/>
        <w:t>results in </w:t>
      </w:r>
      <w:r>
        <w:rPr>
          <w:rFonts w:ascii="Consolas"/>
        </w:rPr>
        <w:t>0.0009144 CONVERT(1,"mi","Nmi")</w:t>
      </w:r>
      <w:r>
        <w:rPr>
          <w:rFonts w:ascii="Consolas"/>
          <w:spacing w:val="-89"/>
        </w:rPr>
        <w:t> </w:t>
      </w:r>
      <w:r>
        <w:rPr/>
        <w:t>results in </w:t>
      </w:r>
      <w:r>
        <w:rPr>
          <w:rFonts w:ascii="Consolas"/>
        </w:rPr>
        <w:t>0.868976242 CONVERT(1,"day","sec") </w:t>
      </w:r>
      <w:r>
        <w:rPr/>
        <w:t>results in </w:t>
      </w:r>
      <w:r>
        <w:rPr>
          <w:rFonts w:ascii="Consolas"/>
        </w:rPr>
        <w:t>86400 CONVERT(0,"K","C")</w:t>
      </w:r>
      <w:r>
        <w:rPr>
          <w:rFonts w:ascii="Consolas"/>
          <w:spacing w:val="-70"/>
        </w:rPr>
        <w:t> </w:t>
      </w:r>
      <w:r>
        <w:rPr/>
        <w:t>results in </w:t>
      </w:r>
      <w:r>
        <w:rPr>
          <w:rFonts w:ascii="Consolas"/>
        </w:rPr>
        <w:t>-273.15</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49 CORREL" w:id="1539"/>
      <w:bookmarkEnd w:id="1539"/>
      <w:r>
        <w:rPr/>
      </w:r>
      <w:bookmarkStart w:name="_bookmark512" w:id="1540"/>
      <w:bookmarkEnd w:id="1540"/>
      <w:r>
        <w:rPr/>
      </w:r>
      <w:bookmarkStart w:name="_bookmark512" w:id="1541"/>
      <w:bookmarkEnd w:id="1541"/>
      <w:r>
        <w:rPr>
          <w:color w:val="4F81BC"/>
        </w:rPr>
        <w:t>CO</w:t>
      </w:r>
      <w:r>
        <w:rPr>
          <w:color w:val="4F81BC"/>
        </w:rPr>
        <w:t>RREL</w:t>
      </w:r>
    </w:p>
    <w:p>
      <w:pPr>
        <w:pStyle w:val="Heading4"/>
        <w:spacing w:before="121"/>
        <w:rPr>
          <w:b w:val="0"/>
        </w:rPr>
      </w:pPr>
      <w:r>
        <w:rPr/>
        <w:t>Syntax</w:t>
      </w:r>
      <w:r>
        <w:rPr>
          <w:b w:val="0"/>
        </w:rPr>
        <w:t>:</w:t>
      </w:r>
    </w:p>
    <w:p>
      <w:pPr>
        <w:spacing w:after="0"/>
        <w:sectPr>
          <w:pgSz w:w="12240" w:h="15840"/>
          <w:pgMar w:header="763" w:footer="746" w:top="1340" w:bottom="940" w:left="860" w:right="700"/>
        </w:sectPr>
      </w:pPr>
    </w:p>
    <w:p>
      <w:pPr>
        <w:spacing w:before="85"/>
        <w:ind w:left="940" w:right="0" w:firstLine="0"/>
        <w:jc w:val="left"/>
        <w:rPr>
          <w:rFonts w:ascii="Lucida Console"/>
          <w:sz w:val="20"/>
        </w:rPr>
      </w:pPr>
      <w:r>
        <w:rPr>
          <w:rFonts w:ascii="Lucida Console"/>
          <w:sz w:val="20"/>
        </w:rPr>
        <w:t>CORREL ( </w:t>
      </w:r>
      <w:r>
        <w:rPr>
          <w:i/>
          <w:sz w:val="22"/>
        </w:rPr>
        <w:t>array-1 </w:t>
      </w:r>
      <w:r>
        <w:rPr>
          <w:rFonts w:ascii="Lucida Console"/>
          <w:sz w:val="20"/>
        </w:rPr>
        <w:t>, </w:t>
      </w:r>
      <w:r>
        <w:rPr>
          <w:i/>
          <w:sz w:val="22"/>
        </w:rPr>
        <w:t>array-2 </w:t>
      </w:r>
      <w:r>
        <w:rPr>
          <w:rFonts w:ascii="Lucida Console"/>
          <w:sz w:val="20"/>
        </w:rPr>
        <w:t>)</w:t>
      </w:r>
    </w:p>
    <w:p>
      <w:pPr>
        <w:spacing w:before="109"/>
        <w:ind w:left="220" w:right="0" w:firstLine="0"/>
        <w:jc w:val="left"/>
        <w:rPr>
          <w:sz w:val="22"/>
        </w:rPr>
      </w:pPr>
      <w:r>
        <w:rPr>
          <w:b/>
          <w:sz w:val="22"/>
        </w:rPr>
        <w:t>Description: </w:t>
      </w:r>
      <w:r>
        <w:rPr>
          <w:sz w:val="22"/>
        </w:rPr>
        <w:t>Computes the correlation coefficient of the two cell ranges designated by </w:t>
      </w:r>
      <w:r>
        <w:rPr>
          <w:rFonts w:ascii="Times New Roman"/>
          <w:i/>
          <w:sz w:val="22"/>
        </w:rPr>
        <w:t>array-1 </w:t>
      </w:r>
      <w:r>
        <w:rPr>
          <w:sz w:val="22"/>
        </w:rPr>
        <w:t>and </w:t>
      </w:r>
      <w:r>
        <w:rPr>
          <w:rFonts w:ascii="Times New Roman"/>
          <w:i/>
          <w:sz w:val="22"/>
        </w:rPr>
        <w:t>array-2</w:t>
      </w:r>
      <w:r>
        <w:rPr>
          <w:sz w:val="22"/>
        </w:rPr>
        <w:t>.</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pStyle w:val="BodyText"/>
        <w:spacing w:before="1"/>
        <w:ind w:left="220"/>
      </w:pPr>
      <w:r>
        <w:rPr/>
        <w:t>The equation for the correlation coefficient is:</w:t>
      </w:r>
    </w:p>
    <w:p>
      <w:pPr>
        <w:pStyle w:val="BodyText"/>
        <w:spacing w:before="9"/>
        <w:rPr>
          <w:sz w:val="12"/>
        </w:rPr>
      </w:pPr>
    </w:p>
    <w:p>
      <w:pPr>
        <w:pStyle w:val="BodyText"/>
        <w:spacing w:line="218" w:lineRule="exact" w:before="60"/>
        <w:ind w:left="1917"/>
        <w:rPr>
          <w:rFonts w:ascii="Cambria Math" w:hAnsi="Cambria Math" w:eastAsia="Cambria Math"/>
        </w:rPr>
      </w:pP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w w:val="100"/>
          <w:position w:val="1"/>
        </w:rPr>
        <w:t>)</w:t>
      </w:r>
    </w:p>
    <w:p>
      <w:pPr>
        <w:pStyle w:val="BodyText"/>
        <w:tabs>
          <w:tab w:pos="1692" w:val="left" w:leader="none"/>
          <w:tab w:pos="3463" w:val="left" w:leader="none"/>
        </w:tabs>
        <w:spacing w:line="183" w:lineRule="exact"/>
        <w:ind w:right="6994"/>
        <w:jc w:val="right"/>
        <w:rPr>
          <w:rFonts w:ascii="Times New Roman" w:eastAsia="Times New Roman"/>
        </w:rPr>
      </w:pPr>
      <w:r>
        <w:rPr/>
        <w:pict>
          <v:line style="position:absolute;mso-position-horizontal-relative:page;mso-position-vertical-relative:paragraph;z-index:-335891456" from="130.460007pt,5.33416pt" to="224.684007pt,5.33416pt" stroked="true" strokeweight=".72pt" strokecolor="#000000">
            <v:stroke dashstyle="solid"/>
            <w10:wrap type="none"/>
          </v:line>
        </w:pict>
      </w:r>
      <w:r>
        <w:rPr>
          <w:rFonts w:ascii="Cambria Math" w:eastAsia="Cambria Math"/>
        </w:rPr>
        <w:t>𝐶𝑜𝑟𝑟𝑒𝑙</w:t>
      </w:r>
      <w:r>
        <w:rPr>
          <w:rFonts w:ascii="Cambria Math" w:eastAsia="Cambria Math"/>
          <w:position w:val="1"/>
        </w:rPr>
        <w:t>(</w:t>
      </w:r>
      <w:r>
        <w:rPr>
          <w:rFonts w:ascii="Cambria Math" w:eastAsia="Cambria Math"/>
        </w:rPr>
        <w:t>𝑋, 𝑌</w:t>
      </w:r>
      <w:r>
        <w:rPr>
          <w:rFonts w:ascii="Cambria Math" w:eastAsia="Cambria Math"/>
          <w:position w:val="1"/>
        </w:rPr>
        <w:t>)</w:t>
      </w:r>
      <w:r>
        <w:rPr>
          <w:rFonts w:ascii="Cambria Math" w:eastAsia="Cambria Math"/>
          <w:spacing w:val="15"/>
          <w:position w:val="1"/>
        </w:rPr>
        <w:t> </w:t>
      </w:r>
      <w:r>
        <w:rPr>
          <w:rFonts w:ascii="Cambria Math" w:eastAsia="Cambria Math"/>
        </w:rPr>
        <w:t>=</w:t>
        <w:tab/>
      </w:r>
      <w:r>
        <w:rPr>
          <w:rFonts w:ascii="Times New Roman" w:eastAsia="Times New Roman"/>
          <w:w w:val="100"/>
          <w:u w:val="single"/>
        </w:rPr>
        <w:t> </w:t>
      </w:r>
      <w:r>
        <w:rPr>
          <w:rFonts w:ascii="Times New Roman" w:eastAsia="Times New Roman"/>
          <w:u w:val="single"/>
        </w:rPr>
        <w:tab/>
      </w:r>
    </w:p>
    <w:p>
      <w:pPr>
        <w:pStyle w:val="BodyText"/>
        <w:spacing w:line="236" w:lineRule="exact"/>
        <w:ind w:right="7051"/>
        <w:jc w:val="right"/>
        <w:rPr>
          <w:rFonts w:ascii="Cambria Math" w:hAnsi="Cambria Math" w:eastAsia="Cambria Math"/>
          <w:sz w:val="16"/>
        </w:rPr>
      </w:pPr>
      <w:r>
        <w:rPr>
          <w:rFonts w:ascii="Cambria Math" w:hAnsi="Cambria Math" w:eastAsia="Cambria Math"/>
          <w:spacing w:val="-1"/>
          <w:w w:val="113"/>
        </w:rPr>
        <w:t>√</w:t>
      </w:r>
      <w:r>
        <w:rPr>
          <w:rFonts w:ascii="Cambria Math" w:hAnsi="Cambria Math" w:eastAsia="Cambria Math"/>
          <w:spacing w:val="-1"/>
          <w:w w:val="100"/>
          <w:position w:val="1"/>
        </w:rPr>
        <w:t>∑(</w:t>
      </w:r>
      <w:r>
        <w:rPr>
          <w:rFonts w:ascii="Cambria Math" w:hAnsi="Cambria Math" w:eastAsia="Cambria Math"/>
          <w:w w:val="100"/>
        </w:rPr>
        <w:t>−</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r>
        <w:rPr>
          <w:rFonts w:ascii="Cambria Math" w:hAnsi="Cambria Math" w:eastAsia="Cambria Math"/>
          <w:spacing w:val="6"/>
          <w:position w:val="7"/>
          <w:sz w:val="16"/>
        </w:rPr>
        <w:t> </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5"/>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p>
    <w:p>
      <w:pPr>
        <w:pStyle w:val="BodyText"/>
        <w:spacing w:before="5"/>
        <w:rPr>
          <w:rFonts w:ascii="Cambria Math"/>
          <w:sz w:val="16"/>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 a sample</w:t>
      </w:r>
      <w:r>
        <w:rPr>
          <w:spacing w:val="-10"/>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array-1</w:t>
      </w:r>
      <w:r>
        <w:rPr>
          <w:rFonts w:ascii="Consolas" w:hAnsi="Consolas"/>
          <w:sz w:val="22"/>
        </w:rPr>
        <w: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y </w:t>
      </w:r>
      <w:r>
        <w:rPr>
          <w:sz w:val="22"/>
        </w:rPr>
        <w:t>= a sample</w:t>
      </w:r>
      <w:r>
        <w:rPr>
          <w:spacing w:val="-2"/>
          <w:sz w:val="22"/>
        </w:rPr>
        <w:t> </w:t>
      </w:r>
      <w:r>
        <w:rPr>
          <w:sz w:val="22"/>
        </w:rPr>
        <w:t>value</w:t>
      </w:r>
    </w:p>
    <w:p>
      <w:pPr>
        <w:pStyle w:val="ListParagraph"/>
        <w:numPr>
          <w:ilvl w:val="4"/>
          <w:numId w:val="66"/>
        </w:numPr>
        <w:tabs>
          <w:tab w:pos="940" w:val="left" w:leader="none"/>
          <w:tab w:pos="941" w:val="left" w:leader="none"/>
        </w:tabs>
        <w:spacing w:line="240" w:lineRule="auto" w:before="41"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array-2</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tcPr>
          <w:p>
            <w:pPr>
              <w:pStyle w:val="TableParagraph"/>
              <w:ind w:left="112"/>
              <w:rPr>
                <w:sz w:val="22"/>
              </w:rPr>
            </w:pPr>
            <w:r>
              <w:rPr>
                <w:sz w:val="22"/>
              </w:rPr>
              <w:t>array, reference</w:t>
            </w:r>
          </w:p>
        </w:tc>
        <w:tc>
          <w:tcPr>
            <w:tcW w:w="5400" w:type="dxa"/>
          </w:tcPr>
          <w:p>
            <w:pPr>
              <w:pStyle w:val="TableParagraph"/>
              <w:ind w:left="113" w:right="142"/>
              <w:rPr>
                <w:sz w:val="22"/>
              </w:rPr>
            </w:pPr>
            <w:r>
              <w:rPr>
                <w:sz w:val="22"/>
              </w:rPr>
              <w:t>The first cell range. If an array or reference argument contains text, logical values, or empty cells, those values are ignored; however, cells with the value 0 are included.</w:t>
            </w:r>
          </w:p>
        </w:tc>
      </w:tr>
      <w:tr>
        <w:trPr>
          <w:trHeight w:val="890" w:hRule="atLeast"/>
        </w:trPr>
        <w:tc>
          <w:tcPr>
            <w:tcW w:w="1466" w:type="dxa"/>
          </w:tcPr>
          <w:p>
            <w:pPr>
              <w:pStyle w:val="TableParagraph"/>
              <w:spacing w:before="37"/>
              <w:rPr>
                <w:rFonts w:ascii="Times New Roman"/>
                <w:i/>
                <w:sz w:val="22"/>
              </w:rPr>
            </w:pPr>
            <w:r>
              <w:rPr>
                <w:rFonts w:ascii="Times New Roman"/>
                <w:i/>
                <w:sz w:val="22"/>
              </w:rPr>
              <w:t>array-2</w:t>
            </w:r>
          </w:p>
        </w:tc>
        <w:tc>
          <w:tcPr>
            <w:tcW w:w="1800" w:type="dxa"/>
          </w:tcPr>
          <w:p>
            <w:pPr>
              <w:pStyle w:val="TableParagraph"/>
              <w:ind w:left="112"/>
              <w:rPr>
                <w:sz w:val="22"/>
              </w:rPr>
            </w:pPr>
            <w:r>
              <w:rPr>
                <w:sz w:val="22"/>
              </w:rPr>
              <w:t>array, reference</w:t>
            </w:r>
          </w:p>
        </w:tc>
        <w:tc>
          <w:tcPr>
            <w:tcW w:w="5400" w:type="dxa"/>
          </w:tcPr>
          <w:p>
            <w:pPr>
              <w:pStyle w:val="TableParagraph"/>
              <w:ind w:left="113" w:right="158"/>
              <w:jc w:val="both"/>
              <w:rPr>
                <w:sz w:val="22"/>
              </w:rPr>
            </w:pPr>
            <w:r>
              <w:rPr>
                <w:sz w:val="22"/>
              </w:rPr>
              <w:t>The second cell range. If an array or reference argument contains text, logical values, or empty cells, those values are ignored; however, cells with the value 0 are included.</w:t>
            </w:r>
          </w:p>
        </w:tc>
      </w:tr>
    </w:tbl>
    <w:p>
      <w:pPr>
        <w:pStyle w:val="BodyText"/>
        <w:rPr>
          <w:b/>
        </w:rPr>
      </w:pPr>
    </w:p>
    <w:p>
      <w:pPr>
        <w:pStyle w:val="BodyText"/>
        <w:spacing w:before="7"/>
        <w:rPr>
          <w:b/>
          <w:sz w:val="19"/>
        </w:rPr>
      </w:pPr>
    </w:p>
    <w:p>
      <w:pPr>
        <w:spacing w:line="453" w:lineRule="auto" w:before="0"/>
        <w:ind w:left="220" w:right="2280" w:firstLine="0"/>
        <w:jc w:val="left"/>
        <w:rPr>
          <w:sz w:val="22"/>
        </w:rPr>
      </w:pPr>
      <w:r>
        <w:rPr>
          <w:b/>
          <w:sz w:val="22"/>
        </w:rPr>
        <w:t>Return Type and Value: </w:t>
      </w:r>
      <w:r>
        <w:rPr>
          <w:sz w:val="22"/>
        </w:rPr>
        <w:t>number – The correlation coefficient of the cells in two cell ranges.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array-1 </w:t>
      </w:r>
      <w:r>
        <w:rPr>
          <w:sz w:val="22"/>
        </w:rPr>
        <w:t>and </w:t>
      </w:r>
      <w:r>
        <w:rPr>
          <w:rFonts w:ascii="Times New Roman" w:hAnsi="Times New Roman"/>
          <w:i/>
          <w:sz w:val="22"/>
        </w:rPr>
        <w:t>array-2 </w:t>
      </w:r>
      <w:r>
        <w:rPr>
          <w:sz w:val="22"/>
        </w:rPr>
        <w:t>have a different number of data points, the return value is</w:t>
      </w:r>
      <w:r>
        <w:rPr>
          <w:spacing w:val="-26"/>
          <w:sz w:val="22"/>
        </w:rPr>
        <w:t> </w:t>
      </w:r>
      <w:r>
        <w:rPr>
          <w:sz w:val="22"/>
        </w:rPr>
        <w:t>unspecified.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array-1 </w:t>
      </w:r>
      <w:r>
        <w:rPr>
          <w:sz w:val="22"/>
        </w:rPr>
        <w:t>and </w:t>
      </w:r>
      <w:r>
        <w:rPr>
          <w:rFonts w:ascii="Times New Roman" w:hAnsi="Times New Roman"/>
          <w:i/>
          <w:sz w:val="22"/>
        </w:rPr>
        <w:t>array-2 </w:t>
      </w:r>
      <w:r>
        <w:rPr>
          <w:sz w:val="22"/>
        </w:rPr>
        <w:t>is empty,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444" w:lineRule="auto" w:before="41" w:after="0"/>
        <w:ind w:left="220" w:right="625" w:firstLine="360"/>
        <w:jc w:val="left"/>
        <w:rPr>
          <w:sz w:val="22"/>
        </w:rPr>
      </w:pPr>
      <w:r>
        <w:rPr>
          <w:sz w:val="22"/>
        </w:rPr>
        <w:t>The standard deviation of the values in </w:t>
      </w:r>
      <w:r>
        <w:rPr>
          <w:rFonts w:ascii="Times New Roman" w:hAnsi="Times New Roman"/>
          <w:i/>
          <w:sz w:val="22"/>
        </w:rPr>
        <w:t>array-1 </w:t>
      </w:r>
      <w:r>
        <w:rPr>
          <w:sz w:val="22"/>
        </w:rPr>
        <w:t>or </w:t>
      </w:r>
      <w:r>
        <w:rPr>
          <w:rFonts w:ascii="Times New Roman" w:hAnsi="Times New Roman"/>
          <w:i/>
          <w:sz w:val="22"/>
        </w:rPr>
        <w:t>array-2 </w:t>
      </w:r>
      <w:r>
        <w:rPr>
          <w:sz w:val="22"/>
        </w:rPr>
        <w:t>equals zero, the return value is</w:t>
      </w:r>
      <w:r>
        <w:rPr>
          <w:spacing w:val="-33"/>
          <w:sz w:val="22"/>
        </w:rPr>
        <w:t> </w:t>
      </w:r>
      <w:r>
        <w:rPr>
          <w:sz w:val="22"/>
        </w:rPr>
        <w:t>unspecified. [</w:t>
      </w:r>
      <w:r>
        <w:rPr>
          <w:i/>
          <w:sz w:val="22"/>
        </w:rPr>
        <w:t>Example</w:t>
      </w:r>
      <w:r>
        <w:rPr>
          <w:sz w:val="22"/>
        </w:rPr>
        <w:t>:</w:t>
      </w:r>
    </w:p>
    <w:p>
      <w:pPr>
        <w:pStyle w:val="BodyText"/>
        <w:spacing w:before="132"/>
        <w:ind w:left="220"/>
        <w:rPr>
          <w:rFonts w:ascii="Consolas"/>
        </w:rPr>
      </w:pPr>
      <w:r>
        <w:rPr>
          <w:rFonts w:ascii="Consolas"/>
        </w:rPr>
        <w:t>CORREL({2.532,5.621;2.1,3.4},{5.32,2.765;5.2,6.7}) </w:t>
      </w:r>
      <w:r>
        <w:rPr/>
        <w:t>results in </w:t>
      </w:r>
      <w:r>
        <w:rPr>
          <w:rFonts w:ascii="Consolas"/>
        </w:rPr>
        <w:t>-0.714976</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50 COS" w:id="1542"/>
      <w:bookmarkEnd w:id="1542"/>
      <w:r>
        <w:rPr/>
      </w:r>
      <w:bookmarkStart w:name="_bookmark513" w:id="1543"/>
      <w:bookmarkEnd w:id="1543"/>
      <w:r>
        <w:rPr/>
      </w:r>
      <w:bookmarkStart w:name="_bookmark513" w:id="1544"/>
      <w:bookmarkEnd w:id="1544"/>
      <w:r>
        <w:rPr>
          <w:color w:val="4F81BC"/>
        </w:rPr>
        <w:t>COS</w:t>
      </w:r>
    </w:p>
    <w:p>
      <w:pPr>
        <w:pStyle w:val="Heading4"/>
        <w:spacing w:before="121"/>
        <w:rPr>
          <w:b w:val="0"/>
        </w:rPr>
      </w:pPr>
      <w:r>
        <w:rPr/>
        <w:t>Syntax</w:t>
      </w:r>
      <w:r>
        <w:rPr>
          <w:b w:val="0"/>
        </w:rPr>
        <w:t>:</w:t>
      </w:r>
    </w:p>
    <w:p>
      <w:pPr>
        <w:spacing w:after="0"/>
        <w:sectPr>
          <w:footerReference w:type="even" r:id="rId217"/>
          <w:footerReference w:type="default" r:id="rId218"/>
          <w:pgSz w:w="12240" w:h="15840"/>
          <w:pgMar w:footer="746" w:header="761" w:top="1340" w:bottom="940" w:left="860" w:right="700"/>
          <w:pgNumType w:start="2130"/>
        </w:sectPr>
      </w:pPr>
    </w:p>
    <w:p>
      <w:pPr>
        <w:spacing w:before="143"/>
        <w:ind w:left="940" w:right="0" w:firstLine="0"/>
        <w:jc w:val="left"/>
        <w:rPr>
          <w:rFonts w:ascii="Lucida Console"/>
          <w:sz w:val="20"/>
        </w:rPr>
      </w:pPr>
      <w:r>
        <w:rPr>
          <w:rFonts w:ascii="Lucida Console"/>
          <w:sz w:val="20"/>
        </w:rPr>
        <w:t>COS ( </w:t>
      </w:r>
      <w:r>
        <w:rPr>
          <w:i/>
          <w:sz w:val="22"/>
        </w:rPr>
        <w:t>x </w:t>
      </w:r>
      <w:r>
        <w:rPr>
          <w:rFonts w:ascii="Lucida Console"/>
          <w:sz w:val="20"/>
        </w:rPr>
        <w:t>)</w:t>
      </w:r>
    </w:p>
    <w:p>
      <w:pPr>
        <w:spacing w:before="109"/>
        <w:ind w:left="220" w:right="0" w:firstLine="0"/>
        <w:jc w:val="left"/>
        <w:rPr>
          <w:sz w:val="22"/>
        </w:rPr>
      </w:pPr>
      <w:r>
        <w:rPr>
          <w:b/>
          <w:sz w:val="22"/>
        </w:rPr>
        <w:t>Description: </w:t>
      </w:r>
      <w:r>
        <w:rPr>
          <w:sz w:val="22"/>
        </w:rPr>
        <w:t>Computes the cosine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in radians, whose cosine is to be determined.</w:t>
            </w:r>
          </w:p>
        </w:tc>
      </w:tr>
    </w:tbl>
    <w:p>
      <w:pPr>
        <w:pStyle w:val="BodyText"/>
        <w:rPr>
          <w:b/>
        </w:rPr>
      </w:pPr>
    </w:p>
    <w:p>
      <w:pPr>
        <w:pStyle w:val="BodyText"/>
        <w:spacing w:before="7"/>
        <w:rPr>
          <w:b/>
          <w:sz w:val="19"/>
        </w:rPr>
      </w:pPr>
    </w:p>
    <w:p>
      <w:pPr>
        <w:spacing w:line="453" w:lineRule="auto" w:before="0"/>
        <w:ind w:left="220" w:right="5940" w:firstLine="0"/>
        <w:jc w:val="left"/>
        <w:rPr>
          <w:sz w:val="22"/>
        </w:rPr>
      </w:pPr>
      <w:r>
        <w:rPr>
          <w:b/>
          <w:sz w:val="22"/>
        </w:rPr>
        <w:t>Return Type and Value: </w:t>
      </w:r>
      <w:r>
        <w:rPr>
          <w:sz w:val="22"/>
        </w:rPr>
        <w:t>number – The cosine of </w:t>
      </w:r>
      <w:r>
        <w:rPr>
          <w:rFonts w:ascii="Times New Roman" w:hAnsi="Times New Roman"/>
          <w:i/>
          <w:sz w:val="22"/>
        </w:rPr>
        <w:t>x</w:t>
      </w:r>
      <w:r>
        <w:rPr>
          <w:sz w:val="22"/>
        </w:rPr>
        <w:t>. [</w:t>
      </w:r>
      <w:r>
        <w:rPr>
          <w:i/>
          <w:sz w:val="22"/>
        </w:rPr>
        <w:t>Example</w:t>
      </w:r>
      <w:r>
        <w:rPr>
          <w:sz w:val="22"/>
        </w:rPr>
        <w:t>:</w:t>
      </w:r>
    </w:p>
    <w:p>
      <w:pPr>
        <w:pStyle w:val="BodyText"/>
        <w:spacing w:line="276" w:lineRule="auto" w:before="109"/>
        <w:ind w:left="220" w:right="7362"/>
        <w:rPr>
          <w:rFonts w:ascii="Consolas"/>
        </w:rPr>
      </w:pPr>
      <w:r>
        <w:rPr>
          <w:rFonts w:ascii="Consolas"/>
        </w:rPr>
        <w:t>COS(-1)</w:t>
      </w:r>
      <w:r>
        <w:rPr>
          <w:rFonts w:ascii="Consolas"/>
          <w:spacing w:val="-84"/>
        </w:rPr>
        <w:t> </w:t>
      </w:r>
      <w:r>
        <w:rPr/>
        <w:t>results in </w:t>
      </w:r>
      <w:r>
        <w:rPr>
          <w:rFonts w:ascii="Consolas"/>
        </w:rPr>
        <w:t>0.540302306 COS(0)</w:t>
      </w:r>
      <w:r>
        <w:rPr>
          <w:rFonts w:ascii="Consolas"/>
          <w:spacing w:val="-73"/>
        </w:rPr>
        <w:t> </w:t>
      </w:r>
      <w:r>
        <w:rPr/>
        <w:t>results in </w:t>
      </w:r>
      <w:r>
        <w:rPr>
          <w:rFonts w:ascii="Consolas"/>
        </w:rPr>
        <w:t>1</w:t>
      </w:r>
    </w:p>
    <w:p>
      <w:pPr>
        <w:pStyle w:val="BodyText"/>
        <w:spacing w:before="2"/>
        <w:ind w:left="220"/>
        <w:rPr>
          <w:rFonts w:ascii="Consolas"/>
        </w:rPr>
      </w:pPr>
      <w:r>
        <w:rPr>
          <w:rFonts w:ascii="Consolas"/>
        </w:rPr>
        <w:t>COS(1)</w:t>
      </w:r>
      <w:r>
        <w:rPr>
          <w:rFonts w:ascii="Consolas"/>
          <w:spacing w:val="-73"/>
        </w:rPr>
        <w:t> </w:t>
      </w:r>
      <w:r>
        <w:rPr/>
        <w:t>results in </w:t>
      </w:r>
      <w:r>
        <w:rPr>
          <w:rFonts w:ascii="Consolas"/>
        </w:rPr>
        <w:t>0.540302306</w:t>
      </w:r>
    </w:p>
    <w:p>
      <w:pPr>
        <w:pStyle w:val="BodyText"/>
        <w:spacing w:before="10"/>
        <w:rPr>
          <w:rFonts w:ascii="Consolas"/>
          <w:sz w:val="2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51 COSH" w:id="1545"/>
      <w:bookmarkEnd w:id="1545"/>
      <w:r>
        <w:rPr/>
      </w:r>
      <w:bookmarkStart w:name="_bookmark514" w:id="1546"/>
      <w:bookmarkEnd w:id="1546"/>
      <w:r>
        <w:rPr/>
      </w:r>
      <w:bookmarkStart w:name="_bookmark514" w:id="1547"/>
      <w:bookmarkEnd w:id="1547"/>
      <w:r>
        <w:rPr>
          <w:color w:val="4F81BC"/>
        </w:rPr>
        <w:t>COSH</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COSH ( </w:t>
      </w:r>
      <w:r>
        <w:rPr>
          <w:i/>
          <w:sz w:val="22"/>
        </w:rPr>
        <w:t>x </w:t>
      </w:r>
      <w:r>
        <w:rPr>
          <w:rFonts w:ascii="Lucida Console"/>
          <w:sz w:val="20"/>
        </w:rPr>
        <w:t>)</w:t>
      </w:r>
    </w:p>
    <w:p>
      <w:pPr>
        <w:spacing w:before="111"/>
        <w:ind w:left="220" w:right="0" w:firstLine="0"/>
        <w:jc w:val="left"/>
        <w:rPr>
          <w:sz w:val="22"/>
        </w:rPr>
      </w:pPr>
      <w:r>
        <w:rPr>
          <w:b/>
          <w:sz w:val="22"/>
        </w:rPr>
        <w:t>Description: </w:t>
      </w:r>
      <w:r>
        <w:rPr>
          <w:sz w:val="22"/>
        </w:rPr>
        <w:t>Computes the hyperbolic cosine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7" w:hRule="atLeast"/>
        </w:trPr>
        <w:tc>
          <w:tcPr>
            <w:tcW w:w="1466" w:type="dxa"/>
          </w:tcPr>
          <w:p>
            <w:pPr>
              <w:pStyle w:val="TableParagraph"/>
              <w:spacing w:before="39"/>
              <w:rPr>
                <w:rFonts w:ascii="Times New Roman"/>
                <w:i/>
                <w:sz w:val="22"/>
              </w:rPr>
            </w:pPr>
            <w:r>
              <w:rPr>
                <w:rFonts w:ascii="Times New Roman"/>
                <w:i/>
                <w:w w:val="100"/>
                <w:sz w:val="22"/>
              </w:rPr>
              <w:t>x</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value whose hyperbolic cosine is to be determined.</w:t>
            </w:r>
          </w:p>
        </w:tc>
      </w:tr>
    </w:tbl>
    <w:p>
      <w:pPr>
        <w:pStyle w:val="BodyText"/>
        <w:rPr>
          <w:b/>
        </w:rPr>
      </w:pPr>
    </w:p>
    <w:p>
      <w:pPr>
        <w:pStyle w:val="BodyText"/>
        <w:spacing w:before="7"/>
        <w:rPr>
          <w:b/>
          <w:sz w:val="19"/>
        </w:rPr>
      </w:pPr>
    </w:p>
    <w:p>
      <w:pPr>
        <w:spacing w:line="453" w:lineRule="auto" w:before="0"/>
        <w:ind w:left="220" w:right="4547" w:firstLine="0"/>
        <w:jc w:val="left"/>
        <w:rPr>
          <w:sz w:val="22"/>
        </w:rPr>
      </w:pPr>
      <w:r>
        <w:rPr>
          <w:b/>
          <w:sz w:val="22"/>
        </w:rPr>
        <w:t>Return Type and Value: </w:t>
      </w:r>
      <w:r>
        <w:rPr>
          <w:sz w:val="22"/>
        </w:rPr>
        <w:t>number – The hyperbolic cosine of </w:t>
      </w:r>
      <w:r>
        <w:rPr>
          <w:rFonts w:ascii="Times New Roman" w:hAnsi="Times New Roman"/>
          <w:i/>
          <w:sz w:val="22"/>
        </w:rPr>
        <w:t>x</w:t>
      </w:r>
      <w:r>
        <w:rPr>
          <w:sz w:val="22"/>
        </w:rPr>
        <w:t>. However, if the magnitude of </w:t>
      </w:r>
      <w:r>
        <w:rPr>
          <w:rFonts w:ascii="Times New Roman" w:hAnsi="Times New Roman"/>
          <w:i/>
          <w:sz w:val="22"/>
        </w:rPr>
        <w:t>x </w:t>
      </w:r>
      <w:r>
        <w:rPr>
          <w:sz w:val="22"/>
        </w:rPr>
        <w:t>is too large, </w:t>
      </w:r>
      <w:r>
        <w:rPr>
          <w:rFonts w:ascii="Consolas" w:hAnsi="Consolas"/>
          <w:sz w:val="22"/>
        </w:rPr>
        <w:t>#NUM!</w:t>
      </w:r>
      <w:r>
        <w:rPr>
          <w:rFonts w:ascii="Consolas" w:hAnsi="Consolas"/>
          <w:spacing w:val="-91"/>
          <w:sz w:val="22"/>
        </w:rPr>
        <w:t> </w:t>
      </w:r>
      <w:r>
        <w:rPr>
          <w:sz w:val="22"/>
        </w:rPr>
        <w:t>is returned. [</w:t>
      </w:r>
      <w:r>
        <w:rPr>
          <w:i/>
          <w:sz w:val="22"/>
        </w:rPr>
        <w:t>Example</w:t>
      </w:r>
      <w:r>
        <w:rPr>
          <w:sz w:val="22"/>
        </w:rPr>
        <w:t>:</w:t>
      </w:r>
    </w:p>
    <w:p>
      <w:pPr>
        <w:pStyle w:val="BodyText"/>
        <w:spacing w:line="276" w:lineRule="auto" w:before="110"/>
        <w:ind w:left="220" w:right="7242"/>
        <w:rPr>
          <w:rFonts w:ascii="Consolas"/>
        </w:rPr>
      </w:pPr>
      <w:r>
        <w:rPr>
          <w:rFonts w:ascii="Consolas"/>
        </w:rPr>
        <w:t>COSH(-1)</w:t>
      </w:r>
      <w:r>
        <w:rPr>
          <w:rFonts w:ascii="Consolas"/>
          <w:spacing w:val="-85"/>
        </w:rPr>
        <w:t> </w:t>
      </w:r>
      <w:r>
        <w:rPr/>
        <w:t>results in </w:t>
      </w:r>
      <w:r>
        <w:rPr>
          <w:rFonts w:ascii="Consolas"/>
        </w:rPr>
        <w:t>1.543080635 COSH(0)</w:t>
      </w:r>
      <w:r>
        <w:rPr>
          <w:rFonts w:ascii="Consolas"/>
          <w:spacing w:val="-73"/>
        </w:rPr>
        <w:t> </w:t>
      </w:r>
      <w:r>
        <w:rPr/>
        <w:t>results in </w:t>
      </w:r>
      <w:r>
        <w:rPr>
          <w:rFonts w:ascii="Consolas"/>
        </w:rPr>
        <w:t>1</w:t>
      </w:r>
    </w:p>
    <w:p>
      <w:pPr>
        <w:pStyle w:val="BodyText"/>
        <w:spacing w:line="268" w:lineRule="exact"/>
        <w:ind w:left="220"/>
        <w:rPr>
          <w:rFonts w:ascii="Consolas"/>
        </w:rPr>
      </w:pPr>
      <w:r>
        <w:rPr>
          <w:rFonts w:ascii="Consolas"/>
        </w:rPr>
        <w:t>COSH(1)</w:t>
      </w:r>
      <w:r>
        <w:rPr>
          <w:rFonts w:ascii="Consolas"/>
          <w:spacing w:val="-73"/>
        </w:rPr>
        <w:t> </w:t>
      </w:r>
      <w:r>
        <w:rPr/>
        <w:t>results in </w:t>
      </w:r>
      <w:r>
        <w:rPr>
          <w:rFonts w:ascii="Consolas"/>
        </w:rPr>
        <w:t>1.543080635</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52 COUNT" w:id="1548"/>
      <w:bookmarkEnd w:id="1548"/>
      <w:r>
        <w:rPr/>
      </w:r>
      <w:bookmarkStart w:name="_bookmark515" w:id="1549"/>
      <w:bookmarkEnd w:id="1549"/>
      <w:r>
        <w:rPr/>
      </w:r>
      <w:bookmarkStart w:name="_bookmark515" w:id="1550"/>
      <w:bookmarkEnd w:id="1550"/>
      <w:r>
        <w:rPr>
          <w:color w:val="4F81BC"/>
        </w:rPr>
        <w:t>COUNT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COUNT ( </w:t>
      </w:r>
      <w:r>
        <w:rPr>
          <w:i/>
          <w:sz w:val="22"/>
        </w:rPr>
        <w:t>argument-list </w:t>
      </w:r>
      <w:r>
        <w:rPr>
          <w:rFonts w:ascii="Lucida Console"/>
          <w:sz w:val="20"/>
        </w:rPr>
        <w:t>)</w:t>
      </w:r>
    </w:p>
    <w:p>
      <w:pPr>
        <w:spacing w:line="278" w:lineRule="auto" w:before="106"/>
        <w:ind w:left="220" w:right="0" w:firstLine="0"/>
        <w:jc w:val="left"/>
        <w:rPr>
          <w:sz w:val="22"/>
        </w:rPr>
      </w:pPr>
      <w:r>
        <w:rPr>
          <w:b/>
          <w:sz w:val="22"/>
        </w:rPr>
        <w:t>Description: </w:t>
      </w:r>
      <w:r>
        <w:rPr>
          <w:sz w:val="22"/>
        </w:rPr>
        <w:t>Counts the number of </w:t>
      </w:r>
      <w:r>
        <w:rPr>
          <w:rFonts w:ascii="Times New Roman"/>
          <w:i/>
          <w:sz w:val="22"/>
        </w:rPr>
        <w:t>argument</w:t>
      </w:r>
      <w:r>
        <w:rPr>
          <w:sz w:val="22"/>
        </w:rPr>
        <w:t>s in </w:t>
      </w:r>
      <w:r>
        <w:rPr>
          <w:rFonts w:ascii="Times New Roman"/>
          <w:i/>
          <w:sz w:val="22"/>
        </w:rPr>
        <w:t>argument-list </w:t>
      </w:r>
      <w:r>
        <w:rPr>
          <w:sz w:val="22"/>
        </w:rPr>
        <w:t>that contain numbers, and the number of cells referred to by </w:t>
      </w:r>
      <w:r>
        <w:rPr>
          <w:rFonts w:ascii="Times New Roman"/>
          <w:i/>
          <w:sz w:val="22"/>
        </w:rPr>
        <w:t>argument</w:t>
      </w:r>
      <w:r>
        <w:rPr>
          <w:sz w:val="22"/>
        </w:rPr>
        <w:t>s in </w:t>
      </w:r>
      <w:r>
        <w:rPr>
          <w:rFonts w:ascii="Times New Roman"/>
          <w:i/>
          <w:sz w:val="22"/>
        </w:rPr>
        <w:t>argument-list</w:t>
      </w:r>
      <w:r>
        <w:rPr>
          <w:sz w:val="22"/>
        </w:rPr>
        <w:t>, which contain numbers.</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50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text</w:t>
            </w:r>
          </w:p>
        </w:tc>
        <w:tc>
          <w:tcPr>
            <w:tcW w:w="5400" w:type="dxa"/>
          </w:tcPr>
          <w:p>
            <w:pPr>
              <w:pStyle w:val="TableParagraph"/>
              <w:ind w:left="113" w:right="487"/>
              <w:rPr>
                <w:sz w:val="22"/>
              </w:rPr>
            </w:pPr>
            <w:r>
              <w:rPr>
                <w:sz w:val="22"/>
              </w:rPr>
              <w:t>Each </w:t>
            </w:r>
            <w:r>
              <w:rPr>
                <w:rFonts w:ascii="Times New Roman"/>
                <w:i/>
                <w:sz w:val="22"/>
              </w:rPr>
              <w:t>argument </w:t>
            </w:r>
            <w:r>
              <w:rPr>
                <w:sz w:val="22"/>
              </w:rPr>
              <w:t>in </w:t>
            </w:r>
            <w:r>
              <w:rPr>
                <w:rFonts w:ascii="Times New Roman"/>
                <w:i/>
                <w:sz w:val="22"/>
              </w:rPr>
              <w:t>argument-list </w:t>
            </w:r>
            <w:r>
              <w:rPr>
                <w:sz w:val="22"/>
              </w:rPr>
              <w:t>designates a value. Arguments that are numbers, logical values, dates, or text representations of numbers shall be counted.</w:t>
            </w:r>
          </w:p>
          <w:p>
            <w:pPr>
              <w:pStyle w:val="TableParagraph"/>
              <w:spacing w:before="1"/>
              <w:ind w:left="113" w:right="128"/>
              <w:rPr>
                <w:sz w:val="22"/>
              </w:rPr>
            </w:pPr>
            <w:r>
              <w:rPr>
                <w:sz w:val="22"/>
              </w:rPr>
              <w:t>If an argument is an array or reference, only numbers in that array or reference shall be counted. Empty cells, logical values, text, or error values in the array or reference shall be ignored. [</w:t>
            </w:r>
            <w:r>
              <w:rPr>
                <w:i/>
                <w:sz w:val="22"/>
              </w:rPr>
              <w:t>Note</w:t>
            </w:r>
            <w:r>
              <w:rPr>
                <w:sz w:val="22"/>
              </w:rPr>
              <w:t>: To count logical values, text, or error values as well, use the </w:t>
            </w:r>
            <w:r>
              <w:rPr>
                <w:rFonts w:ascii="Consolas" w:hAnsi="Consolas"/>
                <w:sz w:val="22"/>
              </w:rPr>
              <w:t>COUNTA </w:t>
            </w:r>
            <w:hyperlink w:history="true" w:anchor="_bookmark516">
              <w:r>
                <w:rPr>
                  <w:sz w:val="22"/>
                </w:rPr>
                <w:t>(§18.17.7.53</w:t>
              </w:r>
            </w:hyperlink>
            <w:r>
              <w:rPr>
                <w:sz w:val="22"/>
              </w:rPr>
              <w:t>) function. </w:t>
            </w:r>
            <w:r>
              <w:rPr>
                <w:i/>
                <w:sz w:val="22"/>
              </w:rPr>
              <w:t>end note</w:t>
            </w:r>
            <w:r>
              <w:rPr>
                <w:sz w:val="22"/>
              </w:rPr>
              <w:t>]</w:t>
            </w:r>
          </w:p>
        </w:tc>
      </w:tr>
    </w:tbl>
    <w:p>
      <w:pPr>
        <w:pStyle w:val="BodyText"/>
        <w:rPr>
          <w:b/>
        </w:rPr>
      </w:pPr>
    </w:p>
    <w:p>
      <w:pPr>
        <w:pStyle w:val="BodyText"/>
        <w:spacing w:before="3"/>
        <w:rPr>
          <w:b/>
          <w:sz w:val="18"/>
        </w:rPr>
      </w:pPr>
    </w:p>
    <w:p>
      <w:pPr>
        <w:spacing w:line="453" w:lineRule="auto" w:before="0"/>
        <w:ind w:left="220" w:right="1411" w:firstLine="0"/>
        <w:jc w:val="left"/>
        <w:rPr>
          <w:sz w:val="22"/>
        </w:rPr>
      </w:pPr>
      <w:r>
        <w:rPr>
          <w:b/>
          <w:sz w:val="22"/>
        </w:rPr>
        <w:t>Return Type and Value: </w:t>
      </w:r>
      <w:r>
        <w:rPr>
          <w:sz w:val="22"/>
        </w:rPr>
        <w:t>number – The numeric argument and reference to numeric argument count. [</w:t>
      </w:r>
      <w:r>
        <w:rPr>
          <w:i/>
          <w:sz w:val="22"/>
        </w:rPr>
        <w:t>Example</w:t>
      </w:r>
      <w:r>
        <w:rPr>
          <w:sz w:val="22"/>
        </w:rPr>
        <w:t>:</w:t>
      </w:r>
    </w:p>
    <w:p>
      <w:pPr>
        <w:pStyle w:val="BodyText"/>
        <w:spacing w:line="276" w:lineRule="auto" w:before="108"/>
        <w:ind w:left="220" w:right="6513"/>
        <w:rPr>
          <w:rFonts w:ascii="Consolas"/>
        </w:rPr>
      </w:pPr>
      <w:r>
        <w:rPr>
          <w:rFonts w:ascii="Consolas"/>
        </w:rPr>
        <w:t>COUNT(1,2,3,4,5) </w:t>
      </w:r>
      <w:r>
        <w:rPr/>
        <w:t>results in </w:t>
      </w:r>
      <w:r>
        <w:rPr>
          <w:rFonts w:ascii="Consolas"/>
        </w:rPr>
        <w:t>5 COUNT({1,2,3,4,5}) </w:t>
      </w:r>
      <w:r>
        <w:rPr/>
        <w:t>results in </w:t>
      </w:r>
      <w:r>
        <w:rPr>
          <w:rFonts w:ascii="Consolas"/>
        </w:rPr>
        <w:t>5 COUNT({1,2,3,4,5},6,"7")</w:t>
      </w:r>
      <w:r>
        <w:rPr>
          <w:rFonts w:ascii="Consolas"/>
          <w:spacing w:val="-82"/>
        </w:rPr>
        <w:t> </w:t>
      </w:r>
      <w:r>
        <w:rPr/>
        <w:t>results in </w:t>
      </w:r>
      <w:r>
        <w:rPr>
          <w:rFonts w:ascii="Consolas"/>
        </w:rPr>
        <w:t>7</w:t>
      </w:r>
    </w:p>
    <w:p>
      <w:pPr>
        <w:pStyle w:val="BodyText"/>
        <w:ind w:left="220"/>
      </w:pPr>
      <w:r>
        <w:rPr>
          <w:rFonts w:ascii="Consolas"/>
        </w:rPr>
        <w:t>COUNT(10,E1)</w:t>
      </w:r>
      <w:r>
        <w:rPr/>
        <w:t>, where </w:t>
      </w:r>
      <w:r>
        <w:rPr>
          <w:rFonts w:ascii="Consolas"/>
        </w:rPr>
        <w:t>E1</w:t>
      </w:r>
      <w:r>
        <w:rPr>
          <w:rFonts w:ascii="Consolas"/>
          <w:spacing w:val="-72"/>
        </w:rPr>
        <w:t> </w:t>
      </w:r>
      <w:r>
        <w:rPr/>
        <w:t>is an empty cell, results in </w:t>
      </w:r>
      <w:r>
        <w:rPr>
          <w:rFonts w:ascii="Consolas"/>
        </w:rPr>
        <w:t>1</w:t>
      </w:r>
      <w:r>
        <w:rPr/>
        <w:t>, as </w:t>
      </w:r>
      <w:r>
        <w:rPr>
          <w:rFonts w:ascii="Consolas"/>
        </w:rPr>
        <w:t>E1</w:t>
      </w:r>
      <w:r>
        <w:rPr>
          <w:rFonts w:ascii="Consolas"/>
          <w:spacing w:val="-70"/>
        </w:rPr>
        <w:t> </w:t>
      </w:r>
      <w:r>
        <w:rPr/>
        <w:t>is ignored</w:t>
      </w:r>
    </w:p>
    <w:p>
      <w:pPr>
        <w:pStyle w:val="BodyText"/>
        <w:spacing w:before="41"/>
        <w:ind w:left="220"/>
      </w:pPr>
      <w:r>
        <w:rPr>
          <w:rFonts w:ascii="Consolas"/>
        </w:rPr>
        <w:t>COUNT(10,E2)</w:t>
      </w:r>
      <w:r>
        <w:rPr/>
        <w:t>, where </w:t>
      </w:r>
      <w:r>
        <w:rPr>
          <w:rFonts w:ascii="Consolas"/>
        </w:rPr>
        <w:t>E2</w:t>
      </w:r>
      <w:r>
        <w:rPr>
          <w:rFonts w:ascii="Consolas"/>
          <w:spacing w:val="-72"/>
        </w:rPr>
        <w:t> </w:t>
      </w:r>
      <w:r>
        <w:rPr/>
        <w:t>contains </w:t>
      </w:r>
      <w:r>
        <w:rPr>
          <w:rFonts w:ascii="Consolas"/>
        </w:rPr>
        <w:t>TRUE</w:t>
      </w:r>
      <w:r>
        <w:rPr/>
        <w:t>, results in </w:t>
      </w:r>
      <w:r>
        <w:rPr>
          <w:rFonts w:ascii="Consolas"/>
        </w:rPr>
        <w:t>1</w:t>
      </w:r>
      <w:r>
        <w:rPr/>
        <w:t>, as </w:t>
      </w:r>
      <w:r>
        <w:rPr>
          <w:rFonts w:ascii="Consolas"/>
        </w:rPr>
        <w:t>E2</w:t>
      </w:r>
      <w:r>
        <w:rPr>
          <w:rFonts w:ascii="Consolas"/>
          <w:spacing w:val="-70"/>
        </w:rPr>
        <w:t> </w:t>
      </w:r>
      <w:r>
        <w:rPr/>
        <w:t>is ignored</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53 COUNTA" w:id="1551"/>
      <w:bookmarkEnd w:id="1551"/>
      <w:r>
        <w:rPr/>
      </w:r>
      <w:bookmarkStart w:name="_bookmark516" w:id="1552"/>
      <w:bookmarkEnd w:id="1552"/>
      <w:r>
        <w:rPr/>
      </w:r>
      <w:bookmarkStart w:name="_bookmark516" w:id="1553"/>
      <w:bookmarkEnd w:id="1553"/>
      <w:r>
        <w:rPr>
          <w:color w:val="4F81BC"/>
        </w:rPr>
        <w:t>COUN</w:t>
      </w:r>
      <w:r>
        <w:rPr>
          <w:color w:val="4F81BC"/>
        </w:rPr>
        <w:t>TA</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COUNTA ( </w:t>
      </w:r>
      <w:r>
        <w:rPr>
          <w:i/>
          <w:sz w:val="22"/>
        </w:rPr>
        <w:t>argument-list</w:t>
      </w:r>
      <w:r>
        <w:rPr>
          <w:i/>
          <w:spacing w:val="-4"/>
          <w:sz w:val="22"/>
        </w:rPr>
        <w:t> </w:t>
      </w:r>
      <w:r>
        <w:rPr>
          <w:rFonts w:ascii="Lucida Console"/>
          <w:sz w:val="20"/>
        </w:rPr>
        <w:t>)</w:t>
      </w:r>
    </w:p>
    <w:p>
      <w:pPr>
        <w:pStyle w:val="BodyText"/>
        <w:spacing w:line="276" w:lineRule="auto" w:before="109"/>
        <w:ind w:left="220" w:right="503"/>
      </w:pPr>
      <w:r>
        <w:rPr>
          <w:b/>
        </w:rPr>
        <w:t>Description: </w:t>
      </w:r>
      <w:r>
        <w:rPr/>
        <w:t>Counts the number of arguments that are not cell references, and the number of cells, referred</w:t>
      </w:r>
      <w:r>
        <w:rPr>
          <w:spacing w:val="-36"/>
        </w:rPr>
        <w:t> </w:t>
      </w:r>
      <w:r>
        <w:rPr/>
        <w:t>to by arguments, which are not</w:t>
      </w:r>
      <w:r>
        <w:rPr>
          <w:spacing w:val="-7"/>
        </w:rPr>
        <w:t> </w:t>
      </w:r>
      <w:r>
        <w:rPr/>
        <w:t>empty.</w:t>
      </w:r>
    </w:p>
    <w:p>
      <w:pPr>
        <w:pStyle w:val="BodyText"/>
        <w:spacing w:before="5"/>
        <w:rPr>
          <w:sz w:val="16"/>
        </w:rPr>
      </w:pPr>
    </w:p>
    <w:p>
      <w:pPr>
        <w:pStyle w:val="Heading4"/>
        <w:spacing w:before="1"/>
      </w:pPr>
      <w:r>
        <w:rPr/>
        <w:t>Arguments:</w:t>
      </w:r>
    </w:p>
    <w:p>
      <w:pPr>
        <w:pStyle w:val="BodyText"/>
        <w:spacing w:before="8"/>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Each </w:t>
            </w:r>
            <w:r>
              <w:rPr>
                <w:rFonts w:ascii="Times New Roman"/>
                <w:i/>
                <w:sz w:val="22"/>
              </w:rPr>
              <w:t>argument </w:t>
            </w:r>
            <w:r>
              <w:rPr>
                <w:sz w:val="22"/>
              </w:rPr>
              <w:t>in </w:t>
            </w:r>
            <w:r>
              <w:rPr>
                <w:rFonts w:ascii="Times New Roman"/>
                <w:i/>
                <w:sz w:val="22"/>
              </w:rPr>
              <w:t>argument-list </w:t>
            </w:r>
            <w:r>
              <w:rPr>
                <w:sz w:val="22"/>
              </w:rPr>
              <w:t>designates a value.</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582"/>
              <w:rPr>
                <w:sz w:val="22"/>
              </w:rPr>
            </w:pPr>
            <w:r>
              <w:rPr>
                <w:sz w:val="22"/>
              </w:rPr>
              <w:t>Arguments with values of any type shall be counted. However, empty cells shall not be counted.</w:t>
            </w:r>
          </w:p>
          <w:p>
            <w:pPr>
              <w:pStyle w:val="TableParagraph"/>
              <w:spacing w:before="0"/>
              <w:ind w:left="113" w:right="159"/>
              <w:rPr>
                <w:sz w:val="22"/>
              </w:rPr>
            </w:pPr>
            <w:r>
              <w:rPr>
                <w:sz w:val="22"/>
              </w:rPr>
              <w:t>If an argument is an array or reference, only values in that array or reference shall be counted. Empty cells and text values in the array or reference shall be ignored. [</w:t>
            </w:r>
            <w:r>
              <w:rPr>
                <w:i/>
                <w:sz w:val="22"/>
              </w:rPr>
              <w:t>Note</w:t>
            </w:r>
            <w:r>
              <w:rPr>
                <w:sz w:val="22"/>
              </w:rPr>
              <w:t>: To exclude logical values, text, or error values, use the </w:t>
            </w:r>
            <w:r>
              <w:rPr>
                <w:rFonts w:ascii="Consolas" w:hAnsi="Consolas"/>
                <w:sz w:val="22"/>
              </w:rPr>
              <w:t>COUNT</w:t>
            </w:r>
            <w:r>
              <w:rPr>
                <w:rFonts w:ascii="Consolas" w:hAnsi="Consolas"/>
                <w:spacing w:val="-74"/>
                <w:sz w:val="22"/>
              </w:rPr>
              <w:t> </w:t>
            </w:r>
            <w:r>
              <w:rPr>
                <w:sz w:val="22"/>
              </w:rPr>
              <w:t>(</w:t>
            </w:r>
            <w:hyperlink w:history="true" w:anchor="_bookmark515">
              <w:r>
                <w:rPr>
                  <w:sz w:val="22"/>
                </w:rPr>
                <w:t>§18.17.7.52</w:t>
              </w:r>
            </w:hyperlink>
            <w:r>
              <w:rPr>
                <w:sz w:val="22"/>
              </w:rPr>
              <w:t>) function. </w:t>
            </w:r>
            <w:r>
              <w:rPr>
                <w:i/>
                <w:sz w:val="22"/>
              </w:rPr>
              <w:t>end note</w:t>
            </w:r>
            <w:r>
              <w:rPr>
                <w:sz w:val="22"/>
              </w:rPr>
              <w:t>]</w:t>
            </w:r>
          </w:p>
        </w:tc>
      </w:tr>
    </w:tbl>
    <w:p>
      <w:pPr>
        <w:pStyle w:val="BodyText"/>
        <w:rPr>
          <w:b/>
          <w:sz w:val="20"/>
        </w:rPr>
      </w:pPr>
    </w:p>
    <w:p>
      <w:pPr>
        <w:pStyle w:val="BodyText"/>
        <w:spacing w:before="5"/>
        <w:rPr>
          <w:b/>
          <w:sz w:val="15"/>
        </w:rPr>
      </w:pPr>
    </w:p>
    <w:p>
      <w:pPr>
        <w:pStyle w:val="BodyText"/>
        <w:spacing w:line="276" w:lineRule="auto" w:before="56"/>
        <w:ind w:left="220" w:right="742"/>
      </w:pPr>
      <w:r>
        <w:rPr>
          <w:b/>
        </w:rPr>
        <w:t>Return Type and Value: </w:t>
      </w:r>
      <w:r>
        <w:rPr/>
        <w:t>number – The number of arguments that are not cell references, and the number of cells, referred to by arguments, which are not empty.</w:t>
      </w:r>
    </w:p>
    <w:p>
      <w:pPr>
        <w:pStyle w:val="BodyText"/>
        <w:spacing w:before="6"/>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6394"/>
        <w:rPr>
          <w:rFonts w:ascii="Consolas"/>
        </w:rPr>
      </w:pPr>
      <w:r>
        <w:rPr>
          <w:rFonts w:ascii="Consolas"/>
        </w:rPr>
        <w:t>COUNTA(1,2,3,4,5) </w:t>
      </w:r>
      <w:r>
        <w:rPr/>
        <w:t>results in </w:t>
      </w:r>
      <w:r>
        <w:rPr>
          <w:rFonts w:ascii="Consolas"/>
        </w:rPr>
        <w:t>5 COUNTA({1,2,3,4,5}) </w:t>
      </w:r>
      <w:r>
        <w:rPr/>
        <w:t>results in </w:t>
      </w:r>
      <w:r>
        <w:rPr>
          <w:rFonts w:ascii="Consolas"/>
        </w:rPr>
        <w:t>15 COUNTA({1,2,3,4,5},6,"7")</w:t>
      </w:r>
      <w:r>
        <w:rPr>
          <w:rFonts w:ascii="Consolas"/>
          <w:spacing w:val="-84"/>
        </w:rPr>
        <w:t> </w:t>
      </w:r>
      <w:r>
        <w:rPr/>
        <w:t>results in </w:t>
      </w:r>
      <w:r>
        <w:rPr>
          <w:rFonts w:ascii="Consolas"/>
        </w:rPr>
        <w:t>7</w:t>
      </w:r>
    </w:p>
    <w:p>
      <w:pPr>
        <w:pStyle w:val="BodyText"/>
        <w:ind w:left="220"/>
      </w:pPr>
      <w:r>
        <w:rPr>
          <w:rFonts w:ascii="Consolas"/>
        </w:rPr>
        <w:t>COUNTA(10,E1)</w:t>
      </w:r>
      <w:r>
        <w:rPr/>
        <w:t>, where </w:t>
      </w:r>
      <w:r>
        <w:rPr>
          <w:rFonts w:ascii="Consolas"/>
        </w:rPr>
        <w:t>E1</w:t>
      </w:r>
      <w:r>
        <w:rPr>
          <w:rFonts w:ascii="Consolas"/>
          <w:spacing w:val="-70"/>
        </w:rPr>
        <w:t> </w:t>
      </w:r>
      <w:r>
        <w:rPr/>
        <w:t>is an empty cell, results in </w:t>
      </w:r>
      <w:r>
        <w:rPr>
          <w:rFonts w:ascii="Consolas"/>
        </w:rPr>
        <w:t>1</w:t>
      </w:r>
      <w:r>
        <w:rPr/>
        <w:t>, as </w:t>
      </w:r>
      <w:r>
        <w:rPr>
          <w:rFonts w:ascii="Consolas"/>
        </w:rPr>
        <w:t>E1</w:t>
      </w:r>
      <w:r>
        <w:rPr>
          <w:rFonts w:ascii="Consolas"/>
          <w:spacing w:val="-70"/>
        </w:rPr>
        <w:t> </w:t>
      </w:r>
      <w:r>
        <w:rPr/>
        <w:t>is ignored</w:t>
      </w:r>
    </w:p>
    <w:p>
      <w:pPr>
        <w:pStyle w:val="BodyText"/>
        <w:spacing w:before="41"/>
        <w:ind w:left="220"/>
      </w:pPr>
      <w:r>
        <w:rPr>
          <w:rFonts w:ascii="Consolas"/>
        </w:rPr>
        <w:t>COUNTA(10,E2)</w:t>
      </w:r>
      <w:r>
        <w:rPr/>
        <w:t>, where </w:t>
      </w:r>
      <w:r>
        <w:rPr>
          <w:rFonts w:ascii="Consolas"/>
        </w:rPr>
        <w:t>E2</w:t>
      </w:r>
      <w:r>
        <w:rPr>
          <w:rFonts w:ascii="Consolas"/>
          <w:spacing w:val="-70"/>
        </w:rPr>
        <w:t> </w:t>
      </w:r>
      <w:r>
        <w:rPr/>
        <w:t>contains </w:t>
      </w:r>
      <w:r>
        <w:rPr>
          <w:rFonts w:ascii="Consolas"/>
        </w:rPr>
        <w:t>TRUE</w:t>
      </w:r>
      <w:r>
        <w:rPr/>
        <w:t>, results in </w:t>
      </w:r>
      <w:r>
        <w:rPr>
          <w:rFonts w:ascii="Consolas"/>
        </w:rPr>
        <w:t>2</w:t>
      </w:r>
      <w:r>
        <w:rPr/>
        <w:t>, as </w:t>
      </w:r>
      <w:r>
        <w:rPr>
          <w:rFonts w:ascii="Consolas"/>
        </w:rPr>
        <w:t>E2</w:t>
      </w:r>
      <w:r>
        <w:rPr>
          <w:rFonts w:ascii="Consolas"/>
          <w:spacing w:val="-70"/>
        </w:rPr>
        <w:t> </w:t>
      </w:r>
      <w:r>
        <w:rPr/>
        <w:t>is counted</w:t>
      </w:r>
    </w:p>
    <w:p>
      <w:pPr>
        <w:pStyle w:val="BodyText"/>
        <w:spacing w:before="8"/>
        <w:rPr>
          <w:sz w:val="28"/>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54 COUNTBLANK" w:id="1554"/>
      <w:bookmarkEnd w:id="1554"/>
      <w:r>
        <w:rPr/>
      </w:r>
      <w:bookmarkStart w:name="_bookmark517" w:id="1555"/>
      <w:bookmarkEnd w:id="1555"/>
      <w:r>
        <w:rPr/>
      </w:r>
      <w:bookmarkStart w:name="_bookmark517" w:id="1556"/>
      <w:bookmarkEnd w:id="1556"/>
      <w:r>
        <w:rPr>
          <w:color w:val="4F81BC"/>
        </w:rPr>
        <w:t>COUN</w:t>
      </w:r>
      <w:r>
        <w:rPr>
          <w:color w:val="4F81BC"/>
        </w:rPr>
        <w:t>TBLANK</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COUNTBLANK ( </w:t>
      </w:r>
      <w:r>
        <w:rPr>
          <w:i/>
          <w:sz w:val="22"/>
        </w:rPr>
        <w:t>cell-range </w:t>
      </w:r>
      <w:r>
        <w:rPr>
          <w:rFonts w:ascii="Lucida Console"/>
          <w:sz w:val="20"/>
        </w:rPr>
        <w:t>)</w:t>
      </w:r>
    </w:p>
    <w:p>
      <w:pPr>
        <w:pStyle w:val="BodyText"/>
        <w:spacing w:line="278" w:lineRule="auto" w:before="106"/>
        <w:ind w:left="220" w:right="1097"/>
      </w:pPr>
      <w:r>
        <w:rPr>
          <w:b/>
        </w:rPr>
        <w:t>Description: </w:t>
      </w:r>
      <w:r>
        <w:rPr/>
        <w:t>Counts the number of cells in a specified range of cells, which are empty. A cell containing a formula that returns an empty string is counted, whereas a cell containing a zero value is not.</w:t>
      </w:r>
    </w:p>
    <w:p>
      <w:pPr>
        <w:pStyle w:val="BodyText"/>
        <w:spacing w:before="2"/>
        <w:rPr>
          <w:sz w:val="16"/>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0" w:right="432"/>
              <w:jc w:val="right"/>
              <w:rPr>
                <w:rFonts w:ascii="Times New Roman"/>
                <w:i/>
                <w:sz w:val="22"/>
              </w:rPr>
            </w:pPr>
            <w:r>
              <w:rPr>
                <w:rFonts w:ascii="Times New Roman"/>
                <w:i/>
                <w:sz w:val="22"/>
              </w:rPr>
              <w:t>cell-range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Designates the range of cells to be inspected.</w:t>
            </w:r>
          </w:p>
        </w:tc>
      </w:tr>
    </w:tbl>
    <w:p>
      <w:pPr>
        <w:pStyle w:val="BodyText"/>
        <w:rPr>
          <w:b/>
        </w:rPr>
      </w:pPr>
    </w:p>
    <w:p>
      <w:pPr>
        <w:pStyle w:val="BodyText"/>
        <w:spacing w:before="3"/>
        <w:rPr>
          <w:b/>
          <w:sz w:val="18"/>
        </w:rPr>
      </w:pPr>
    </w:p>
    <w:p>
      <w:pPr>
        <w:spacing w:line="453" w:lineRule="auto" w:before="0"/>
        <w:ind w:left="220" w:right="2915" w:firstLine="0"/>
        <w:jc w:val="left"/>
        <w:rPr>
          <w:sz w:val="22"/>
        </w:rPr>
      </w:pPr>
      <w:r>
        <w:rPr>
          <w:b/>
          <w:sz w:val="22"/>
        </w:rPr>
        <w:t>Return Type and Value: </w:t>
      </w:r>
      <w:r>
        <w:rPr>
          <w:sz w:val="22"/>
        </w:rPr>
        <w:t>number – The number of empty cells in the range specified. [</w:t>
      </w:r>
      <w:r>
        <w:rPr>
          <w:i/>
          <w:sz w:val="22"/>
        </w:rPr>
        <w:t>Example</w:t>
      </w:r>
      <w:r>
        <w:rPr>
          <w:sz w:val="22"/>
        </w:rPr>
        <w:t>:</w:t>
      </w:r>
    </w:p>
    <w:p>
      <w:pPr>
        <w:pStyle w:val="BodyText"/>
        <w:spacing w:before="108"/>
        <w:ind w:left="220"/>
      </w:pPr>
      <w:r>
        <w:rPr>
          <w:rFonts w:ascii="Consolas"/>
        </w:rPr>
        <w:t>COUNTBLANK(A2:C2)</w:t>
      </w:r>
      <w:r>
        <w:rPr/>
        <w:t>, where </w:t>
      </w:r>
      <w:r>
        <w:rPr>
          <w:rFonts w:ascii="Consolas"/>
        </w:rPr>
        <w:t>A2</w:t>
      </w:r>
      <w:r>
        <w:rPr>
          <w:rFonts w:ascii="Consolas"/>
          <w:spacing w:val="-72"/>
        </w:rPr>
        <w:t> </w:t>
      </w:r>
      <w:r>
        <w:rPr/>
        <w:t>and </w:t>
      </w:r>
      <w:r>
        <w:rPr>
          <w:rFonts w:ascii="Consolas"/>
        </w:rPr>
        <w:t>B2</w:t>
      </w:r>
      <w:r>
        <w:rPr>
          <w:rFonts w:ascii="Consolas"/>
          <w:spacing w:val="-70"/>
        </w:rPr>
        <w:t> </w:t>
      </w:r>
      <w:r>
        <w:rPr/>
        <w:t>are empty, but </w:t>
      </w:r>
      <w:r>
        <w:rPr>
          <w:rFonts w:ascii="Consolas"/>
        </w:rPr>
        <w:t>C2</w:t>
      </w:r>
      <w:r>
        <w:rPr>
          <w:rFonts w:ascii="Consolas"/>
          <w:spacing w:val="-70"/>
        </w:rPr>
        <w:t> </w:t>
      </w:r>
      <w:r>
        <w:rPr/>
        <w:t>is not, results in 2</w:t>
      </w:r>
    </w:p>
    <w:p>
      <w:pPr>
        <w:pStyle w:val="BodyText"/>
        <w:spacing w:before="9"/>
        <w:rPr>
          <w:sz w:val="28"/>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55 COUNTIF" w:id="1557"/>
      <w:bookmarkEnd w:id="1557"/>
      <w:r>
        <w:rPr/>
      </w:r>
      <w:bookmarkStart w:name="_bookmark518" w:id="1558"/>
      <w:bookmarkEnd w:id="1558"/>
      <w:r>
        <w:rPr/>
      </w:r>
      <w:bookmarkStart w:name="_bookmark518" w:id="1559"/>
      <w:bookmarkEnd w:id="1559"/>
      <w:r>
        <w:rPr>
          <w:color w:val="4F81BC"/>
        </w:rPr>
        <w:t>COUN</w:t>
      </w:r>
      <w:r>
        <w:rPr>
          <w:color w:val="4F81BC"/>
        </w:rPr>
        <w:t>TIF</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COUNTIF ( </w:t>
      </w:r>
      <w:r>
        <w:rPr>
          <w:i/>
          <w:sz w:val="22"/>
        </w:rPr>
        <w:t>cell-range </w:t>
      </w:r>
      <w:r>
        <w:rPr>
          <w:rFonts w:ascii="Lucida Console"/>
          <w:sz w:val="20"/>
        </w:rPr>
        <w:t>, </w:t>
      </w:r>
      <w:r>
        <w:rPr>
          <w:i/>
          <w:sz w:val="22"/>
        </w:rPr>
        <w:t>selection-criteria </w:t>
      </w:r>
      <w:r>
        <w:rPr>
          <w:rFonts w:ascii="Lucida Console"/>
          <w:sz w:val="20"/>
        </w:rPr>
        <w:t>)</w:t>
      </w:r>
    </w:p>
    <w:p>
      <w:pPr>
        <w:pStyle w:val="BodyText"/>
        <w:spacing w:before="108"/>
        <w:ind w:left="220"/>
      </w:pPr>
      <w:r>
        <w:rPr>
          <w:b/>
        </w:rPr>
        <w:t>Description: </w:t>
      </w:r>
      <w:r>
        <w:rPr/>
        <w:t>Counts the number of cells in a specified range of cells, whose values meet the specified criteria.</w:t>
      </w:r>
    </w:p>
    <w:p>
      <w:pPr>
        <w:pStyle w:val="BodyText"/>
        <w:spacing w:before="8"/>
        <w:rPr>
          <w:sz w:val="19"/>
        </w:rPr>
      </w:pPr>
    </w:p>
    <w:p>
      <w:pPr>
        <w:pStyle w:val="Heading4"/>
        <w:spacing w:before="1"/>
      </w:pPr>
      <w:r>
        <w:rPr/>
        <w:t>Arguments:</w:t>
      </w:r>
    </w:p>
    <w:p>
      <w:pPr>
        <w:pStyle w:val="BodyText"/>
        <w:spacing w:before="8"/>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0" w:right="432"/>
              <w:jc w:val="right"/>
              <w:rPr>
                <w:rFonts w:ascii="Times New Roman"/>
                <w:i/>
                <w:sz w:val="22"/>
              </w:rPr>
            </w:pPr>
            <w:r>
              <w:rPr>
                <w:rFonts w:ascii="Times New Roman"/>
                <w:i/>
                <w:sz w:val="22"/>
              </w:rPr>
              <w:t>cell-range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Designates the range of cells to be inspected.</w:t>
            </w:r>
          </w:p>
        </w:tc>
      </w:tr>
      <w:tr>
        <w:trPr>
          <w:trHeight w:val="2503" w:hRule="atLeast"/>
        </w:trPr>
        <w:tc>
          <w:tcPr>
            <w:tcW w:w="1466" w:type="dxa"/>
          </w:tcPr>
          <w:p>
            <w:pPr>
              <w:pStyle w:val="TableParagraph"/>
              <w:spacing w:before="37"/>
              <w:ind w:right="465"/>
              <w:rPr>
                <w:rFonts w:ascii="Times New Roman"/>
                <w:i/>
                <w:sz w:val="22"/>
              </w:rPr>
            </w:pPr>
            <w:r>
              <w:rPr>
                <w:rFonts w:ascii="Times New Roman"/>
                <w:i/>
                <w:sz w:val="22"/>
              </w:rPr>
              <w:t>selection- </w:t>
            </w:r>
            <w:r>
              <w:rPr>
                <w:rFonts w:ascii="Times New Roman"/>
                <w:i/>
                <w:sz w:val="22"/>
              </w:rPr>
              <w:t>criteria</w:t>
            </w:r>
          </w:p>
        </w:tc>
        <w:tc>
          <w:tcPr>
            <w:tcW w:w="1800" w:type="dxa"/>
          </w:tcPr>
          <w:p>
            <w:pPr>
              <w:pStyle w:val="TableParagraph"/>
              <w:ind w:left="112" w:right="334"/>
              <w:rPr>
                <w:sz w:val="22"/>
              </w:rPr>
            </w:pPr>
            <w:r>
              <w:rPr>
                <w:sz w:val="22"/>
              </w:rPr>
              <w:t>number, expression, reference, text</w:t>
            </w:r>
          </w:p>
        </w:tc>
        <w:tc>
          <w:tcPr>
            <w:tcW w:w="5400" w:type="dxa"/>
          </w:tcPr>
          <w:p>
            <w:pPr>
              <w:pStyle w:val="TableParagraph"/>
              <w:ind w:left="113" w:right="124"/>
              <w:rPr>
                <w:sz w:val="22"/>
              </w:rPr>
            </w:pPr>
            <w:r>
              <w:rPr>
                <w:sz w:val="22"/>
              </w:rPr>
              <w:t>Designates the cells to be counted. In the case of text, </w:t>
            </w:r>
            <w:r>
              <w:rPr>
                <w:rFonts w:ascii="Times New Roman"/>
                <w:i/>
                <w:sz w:val="22"/>
              </w:rPr>
              <w:t>selection-criteria </w:t>
            </w:r>
            <w:r>
              <w:rPr>
                <w:sz w:val="22"/>
              </w:rPr>
              <w:t>can consist of any comparison operator followed by the operand against which each cell's value is to be compared. </w:t>
            </w:r>
            <w:r>
              <w:rPr>
                <w:rFonts w:ascii="Times New Roman"/>
                <w:i/>
                <w:sz w:val="22"/>
              </w:rPr>
              <w:t>selection-criteria </w:t>
            </w:r>
            <w:r>
              <w:rPr>
                <w:sz w:val="22"/>
              </w:rPr>
              <w:t>can include one or more wildcard characters, question mark (</w:t>
            </w:r>
            <w:r>
              <w:rPr>
                <w:rFonts w:ascii="Consolas"/>
                <w:sz w:val="22"/>
              </w:rPr>
              <w:t>?</w:t>
            </w:r>
            <w:r>
              <w:rPr>
                <w:sz w:val="22"/>
              </w:rPr>
              <w:t>) and</w:t>
            </w:r>
          </w:p>
          <w:p>
            <w:pPr>
              <w:pStyle w:val="TableParagraph"/>
              <w:spacing w:before="1"/>
              <w:ind w:left="113" w:right="463"/>
              <w:rPr>
                <w:sz w:val="22"/>
              </w:rPr>
            </w:pPr>
            <w:r>
              <w:rPr>
                <w:sz w:val="22"/>
              </w:rPr>
              <w:t>asterisk (</w:t>
            </w:r>
            <w:r>
              <w:rPr>
                <w:rFonts w:ascii="Consolas"/>
                <w:sz w:val="22"/>
              </w:rPr>
              <w:t>*</w:t>
            </w:r>
            <w:r>
              <w:rPr>
                <w:sz w:val="22"/>
              </w:rPr>
              <w:t>). A question mark matches any single character; an asterisk matches any sequence of characters. To search for a question mark, asterisk, or tilde character, prefix that character with a tilde (</w:t>
            </w:r>
            <w:r>
              <w:rPr>
                <w:rFonts w:ascii="Consolas"/>
                <w:sz w:val="22"/>
              </w:rPr>
              <w:t>~</w:t>
            </w:r>
            <w:r>
              <w:rPr>
                <w:sz w:val="22"/>
              </w:rPr>
              <w:t>).</w:t>
            </w:r>
          </w:p>
        </w:tc>
      </w:tr>
    </w:tbl>
    <w:p>
      <w:pPr>
        <w:pStyle w:val="BodyText"/>
        <w:rPr>
          <w:b/>
        </w:rPr>
      </w:pPr>
    </w:p>
    <w:p>
      <w:pPr>
        <w:pStyle w:val="BodyText"/>
        <w:spacing w:before="3"/>
        <w:rPr>
          <w:b/>
          <w:sz w:val="18"/>
        </w:rPr>
      </w:pPr>
    </w:p>
    <w:p>
      <w:pPr>
        <w:pStyle w:val="BodyText"/>
        <w:spacing w:line="453" w:lineRule="auto"/>
        <w:ind w:left="220" w:right="1568"/>
      </w:pPr>
      <w:r>
        <w:rPr>
          <w:b/>
        </w:rPr>
        <w:t>Return Type and Value: </w:t>
      </w:r>
      <w:r>
        <w:rPr/>
        <w:t>number – The number of cells in the range specified that meet the criteria. [</w:t>
      </w:r>
      <w:r>
        <w:rPr>
          <w:i/>
        </w:rPr>
        <w:t>Example</w:t>
      </w:r>
      <w:r>
        <w:rPr/>
        <w:t>: Given that </w:t>
      </w:r>
      <w:r>
        <w:rPr>
          <w:rFonts w:ascii="Consolas" w:hAnsi="Consolas"/>
        </w:rPr>
        <w:t>A1</w:t>
      </w:r>
      <w:r>
        <w:rPr/>
        <w:t>, </w:t>
      </w:r>
      <w:r>
        <w:rPr>
          <w:rFonts w:ascii="Consolas" w:hAnsi="Consolas"/>
        </w:rPr>
        <w:t>B1</w:t>
      </w:r>
      <w:r>
        <w:rPr/>
        <w:t>, </w:t>
      </w:r>
      <w:r>
        <w:rPr>
          <w:rFonts w:ascii="Consolas" w:hAnsi="Consolas"/>
        </w:rPr>
        <w:t>C1</w:t>
      </w:r>
      <w:r>
        <w:rPr/>
        <w:t>, and </w:t>
      </w:r>
      <w:r>
        <w:rPr>
          <w:rFonts w:ascii="Consolas" w:hAnsi="Consolas"/>
        </w:rPr>
        <w:t>D1</w:t>
      </w:r>
      <w:r>
        <w:rPr/>
        <w:t>, respectively, contain the values 3, 10, 7, and 10</w:t>
      </w:r>
    </w:p>
    <w:p>
      <w:pPr>
        <w:pStyle w:val="BodyText"/>
        <w:spacing w:line="278" w:lineRule="auto" w:before="108"/>
        <w:ind w:left="220" w:right="6882"/>
        <w:jc w:val="both"/>
        <w:rPr>
          <w:rFonts w:ascii="Consolas"/>
        </w:rPr>
      </w:pPr>
      <w:r>
        <w:rPr>
          <w:rFonts w:ascii="Consolas"/>
        </w:rPr>
        <w:t>COUNTIF(A1:D1,"=10") </w:t>
      </w:r>
      <w:r>
        <w:rPr/>
        <w:t>results in </w:t>
      </w:r>
      <w:r>
        <w:rPr>
          <w:rFonts w:ascii="Consolas"/>
        </w:rPr>
        <w:t>2 COUNTIF(A1:D1,"&gt;5") </w:t>
      </w:r>
      <w:r>
        <w:rPr/>
        <w:t>results in </w:t>
      </w:r>
      <w:r>
        <w:rPr>
          <w:rFonts w:ascii="Consolas"/>
        </w:rPr>
        <w:t>30 COUNTIF(A1:D1,"&lt;&gt;10")</w:t>
      </w:r>
      <w:r>
        <w:rPr>
          <w:rFonts w:ascii="Consolas"/>
          <w:spacing w:val="-83"/>
        </w:rPr>
        <w:t> </w:t>
      </w:r>
      <w:r>
        <w:rPr/>
        <w:t>results in </w:t>
      </w:r>
      <w:r>
        <w:rPr>
          <w:rFonts w:ascii="Consolas"/>
        </w:rPr>
        <w:t>2</w:t>
      </w:r>
    </w:p>
    <w:p>
      <w:pPr>
        <w:pStyle w:val="BodyText"/>
        <w:spacing w:before="194"/>
        <w:ind w:left="220"/>
        <w:rPr>
          <w:rFonts w:ascii="Consolas"/>
        </w:rPr>
      </w:pPr>
      <w:r>
        <w:rPr/>
        <w:t>Given that </w:t>
      </w:r>
      <w:r>
        <w:rPr>
          <w:rFonts w:ascii="Consolas"/>
        </w:rPr>
        <w:t>A2</w:t>
      </w:r>
      <w:r>
        <w:rPr/>
        <w:t>, </w:t>
      </w:r>
      <w:r>
        <w:rPr>
          <w:rFonts w:ascii="Consolas"/>
        </w:rPr>
        <w:t>B2</w:t>
      </w:r>
      <w:r>
        <w:rPr/>
        <w:t>, </w:t>
      </w:r>
      <w:r>
        <w:rPr>
          <w:rFonts w:ascii="Consolas"/>
        </w:rPr>
        <w:t>C2</w:t>
      </w:r>
      <w:r>
        <w:rPr/>
        <w:t>, and </w:t>
      </w:r>
      <w:r>
        <w:rPr>
          <w:rFonts w:ascii="Consolas"/>
        </w:rPr>
        <w:t>D2</w:t>
      </w:r>
      <w:r>
        <w:rPr/>
        <w:t>, respectively, contain the values </w:t>
      </w:r>
      <w:r>
        <w:rPr>
          <w:rFonts w:ascii="Consolas"/>
        </w:rPr>
        <w:t>apples</w:t>
      </w:r>
      <w:r>
        <w:rPr/>
        <w:t>, </w:t>
      </w:r>
      <w:r>
        <w:rPr>
          <w:rFonts w:ascii="Consolas"/>
        </w:rPr>
        <w:t>oranges</w:t>
      </w:r>
      <w:r>
        <w:rPr/>
        <w:t>, </w:t>
      </w:r>
      <w:r>
        <w:rPr>
          <w:rFonts w:ascii="Consolas"/>
        </w:rPr>
        <w:t>grapes</w:t>
      </w:r>
      <w:r>
        <w:rPr/>
        <w:t>, and </w:t>
      </w:r>
      <w:r>
        <w:rPr>
          <w:rFonts w:ascii="Consolas"/>
        </w:rPr>
        <w:t>melons</w:t>
      </w:r>
    </w:p>
    <w:p>
      <w:pPr>
        <w:pStyle w:val="BodyText"/>
        <w:spacing w:before="8"/>
        <w:rPr>
          <w:rFonts w:ascii="Consolas"/>
          <w:sz w:val="29"/>
        </w:rPr>
      </w:pPr>
    </w:p>
    <w:p>
      <w:pPr>
        <w:pStyle w:val="BodyText"/>
        <w:spacing w:line="276" w:lineRule="auto"/>
        <w:ind w:left="220" w:right="6877"/>
        <w:rPr>
          <w:rFonts w:ascii="Consolas"/>
        </w:rPr>
      </w:pPr>
      <w:r>
        <w:rPr>
          <w:rFonts w:ascii="Consolas"/>
        </w:rPr>
        <w:t>COUNTIF(A2:D2,"*es") </w:t>
      </w:r>
      <w:r>
        <w:rPr/>
        <w:t>results in </w:t>
      </w:r>
      <w:r>
        <w:rPr>
          <w:rFonts w:ascii="Consolas"/>
        </w:rPr>
        <w:t>3 COUNTIF(A2:D2,"??a*")</w:t>
      </w:r>
      <w:r>
        <w:rPr>
          <w:rFonts w:ascii="Consolas"/>
          <w:spacing w:val="-83"/>
        </w:rPr>
        <w:t> </w:t>
      </w:r>
      <w:r>
        <w:rPr/>
        <w:t>results in </w:t>
      </w:r>
      <w:r>
        <w:rPr>
          <w:rFonts w:ascii="Consolas"/>
        </w:rPr>
        <w:t>2 COUNTIF(A2:D2,"*l*")</w:t>
      </w:r>
      <w:r>
        <w:rPr>
          <w:rFonts w:ascii="Consolas"/>
          <w:spacing w:val="-77"/>
        </w:rPr>
        <w:t> </w:t>
      </w:r>
      <w:r>
        <w:rPr/>
        <w:t>results in </w:t>
      </w:r>
      <w:r>
        <w:rPr>
          <w:rFonts w:ascii="Consolas"/>
        </w:rPr>
        <w:t>2</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56 COUNTIFS" w:id="1560"/>
      <w:bookmarkEnd w:id="1560"/>
      <w:r>
        <w:rPr/>
      </w:r>
      <w:bookmarkStart w:name="_bookmark519" w:id="1561"/>
      <w:bookmarkEnd w:id="1561"/>
      <w:r>
        <w:rPr/>
      </w:r>
      <w:bookmarkStart w:name="_bookmark519" w:id="1562"/>
      <w:bookmarkEnd w:id="1562"/>
      <w:r>
        <w:rPr>
          <w:color w:val="4F81BC"/>
        </w:rPr>
        <w:t>COUN</w:t>
      </w:r>
      <w:r>
        <w:rPr>
          <w:color w:val="4F81BC"/>
        </w:rPr>
        <w:t>TIFS</w:t>
      </w:r>
    </w:p>
    <w:p>
      <w:pPr>
        <w:pStyle w:val="Heading4"/>
        <w:spacing w:before="122"/>
        <w:rPr>
          <w:b w:val="0"/>
        </w:rPr>
      </w:pPr>
      <w:r>
        <w:rPr/>
        <w:t>Syntax</w:t>
      </w:r>
      <w:r>
        <w:rPr>
          <w:b w:val="0"/>
        </w:rPr>
        <w:t>:</w:t>
      </w:r>
    </w:p>
    <w:p>
      <w:pPr>
        <w:pStyle w:val="BodyText"/>
        <w:rPr>
          <w:sz w:val="19"/>
        </w:rPr>
      </w:pPr>
    </w:p>
    <w:p>
      <w:pPr>
        <w:spacing w:line="259" w:lineRule="exact" w:before="1"/>
        <w:ind w:left="940" w:right="0" w:firstLine="0"/>
        <w:jc w:val="left"/>
        <w:rPr>
          <w:i/>
          <w:sz w:val="22"/>
        </w:rPr>
      </w:pPr>
      <w:r>
        <w:rPr>
          <w:rFonts w:ascii="Lucida Console"/>
          <w:sz w:val="20"/>
        </w:rPr>
        <w:t>COUNTIFS ( </w:t>
      </w:r>
      <w:r>
        <w:rPr>
          <w:i/>
          <w:sz w:val="22"/>
        </w:rPr>
        <w:t>count-range </w:t>
      </w:r>
      <w:r>
        <w:rPr>
          <w:rFonts w:ascii="Lucida Console"/>
          <w:sz w:val="20"/>
        </w:rPr>
        <w:t>, </w:t>
      </w:r>
      <w:r>
        <w:rPr>
          <w:i/>
          <w:sz w:val="22"/>
        </w:rPr>
        <w:t>cell-range-1 </w:t>
      </w:r>
      <w:r>
        <w:rPr>
          <w:rFonts w:ascii="Lucida Console"/>
          <w:sz w:val="20"/>
        </w:rPr>
        <w:t>,</w:t>
      </w:r>
      <w:r>
        <w:rPr>
          <w:rFonts w:ascii="Lucida Console"/>
          <w:spacing w:val="-88"/>
          <w:sz w:val="20"/>
        </w:rPr>
        <w:t> </w:t>
      </w:r>
      <w:r>
        <w:rPr>
          <w:i/>
          <w:sz w:val="22"/>
        </w:rPr>
        <w:t>selection-criteria-1</w:t>
      </w:r>
    </w:p>
    <w:p>
      <w:pPr>
        <w:spacing w:line="259" w:lineRule="exact" w:before="0"/>
        <w:ind w:left="1300" w:right="0" w:firstLine="0"/>
        <w:jc w:val="left"/>
        <w:rPr>
          <w:rFonts w:ascii="Lucida Console" w:hAnsi="Lucida Console"/>
          <w:sz w:val="20"/>
        </w:rPr>
      </w:pPr>
      <w:r>
        <w:rPr>
          <w:sz w:val="22"/>
        </w:rPr>
        <w:t>[ </w:t>
      </w:r>
      <w:r>
        <w:rPr>
          <w:rFonts w:ascii="Lucida Console" w:hAnsi="Lucida Console"/>
          <w:sz w:val="20"/>
        </w:rPr>
        <w:t>, </w:t>
      </w:r>
      <w:r>
        <w:rPr>
          <w:i/>
          <w:sz w:val="22"/>
        </w:rPr>
        <w:t>cell-range-2 </w:t>
      </w:r>
      <w:r>
        <w:rPr>
          <w:rFonts w:ascii="Lucida Console" w:hAnsi="Lucida Console"/>
          <w:sz w:val="20"/>
        </w:rPr>
        <w:t>, </w:t>
      </w:r>
      <w:r>
        <w:rPr>
          <w:i/>
          <w:sz w:val="22"/>
        </w:rPr>
        <w:t>selection-criteria-2 </w:t>
      </w:r>
      <w:r>
        <w:rPr>
          <w:sz w:val="22"/>
        </w:rPr>
        <w:t>[ </w:t>
      </w:r>
      <w:r>
        <w:rPr>
          <w:rFonts w:ascii="Lucida Console" w:hAnsi="Lucida Console"/>
          <w:sz w:val="20"/>
        </w:rPr>
        <w:t>, </w:t>
      </w:r>
      <w:r>
        <w:rPr>
          <w:i/>
          <w:sz w:val="22"/>
        </w:rPr>
        <w:t>… </w:t>
      </w:r>
      <w:r>
        <w:rPr>
          <w:sz w:val="22"/>
        </w:rPr>
        <w:t>] ] </w:t>
      </w:r>
      <w:r>
        <w:rPr>
          <w:rFonts w:ascii="Lucida Console" w:hAnsi="Lucida Console"/>
          <w:sz w:val="20"/>
        </w:rPr>
        <w:t>)</w:t>
      </w:r>
    </w:p>
    <w:p>
      <w:pPr>
        <w:pStyle w:val="BodyText"/>
        <w:spacing w:before="108"/>
        <w:ind w:left="220"/>
      </w:pPr>
      <w:r>
        <w:rPr>
          <w:b/>
        </w:rPr>
        <w:t>Description</w:t>
      </w:r>
      <w:r>
        <w:rPr/>
        <w:t>: Counts the number of cells within a range that meet multiple criteria.</w:t>
      </w:r>
    </w:p>
    <w:p>
      <w:pPr>
        <w:spacing w:after="0"/>
        <w:sectPr>
          <w:pgSz w:w="12240" w:h="15840"/>
          <w:pgMar w:header="761" w:footer="746" w:top="1340" w:bottom="940" w:left="860" w:right="700"/>
        </w:sectPr>
      </w:pPr>
    </w:p>
    <w:p>
      <w:pPr>
        <w:pStyle w:val="Heading4"/>
        <w:spacing w:before="150"/>
        <w:rPr>
          <w:b w:val="0"/>
        </w:rPr>
      </w:pPr>
      <w:r>
        <w:rPr/>
        <w:t>Arguments</w:t>
      </w:r>
      <w:r>
        <w:rPr>
          <w:b w:val="0"/>
        </w:rPr>
        <w:t>:</w:t>
      </w:r>
    </w:p>
    <w:p>
      <w:pPr>
        <w:pStyle w:val="BodyText"/>
        <w:spacing w:before="9"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rPr>
                <w:rFonts w:ascii="Times New Roman"/>
                <w:i/>
                <w:sz w:val="22"/>
              </w:rPr>
            </w:pPr>
            <w:r>
              <w:rPr>
                <w:rFonts w:ascii="Times New Roman"/>
                <w:i/>
                <w:sz w:val="22"/>
              </w:rPr>
              <w:t>count-range</w:t>
            </w:r>
          </w:p>
        </w:tc>
        <w:tc>
          <w:tcPr>
            <w:tcW w:w="1800" w:type="dxa"/>
          </w:tcPr>
          <w:p>
            <w:pPr>
              <w:pStyle w:val="TableParagraph"/>
              <w:ind w:left="112"/>
              <w:rPr>
                <w:sz w:val="22"/>
              </w:rPr>
            </w:pPr>
            <w:r>
              <w:rPr>
                <w:sz w:val="22"/>
              </w:rPr>
              <w:t>reference</w:t>
            </w:r>
          </w:p>
        </w:tc>
        <w:tc>
          <w:tcPr>
            <w:tcW w:w="5400" w:type="dxa"/>
          </w:tcPr>
          <w:p>
            <w:pPr>
              <w:pStyle w:val="TableParagraph"/>
              <w:ind w:left="113" w:right="117"/>
              <w:rPr>
                <w:sz w:val="22"/>
              </w:rPr>
            </w:pPr>
            <w:r>
              <w:rPr>
                <w:sz w:val="22"/>
              </w:rPr>
              <w:t>Designates the cells whose values are included. </w:t>
            </w:r>
            <w:r>
              <w:rPr>
                <w:rFonts w:ascii="Times New Roman"/>
                <w:i/>
                <w:sz w:val="22"/>
              </w:rPr>
              <w:t>count- </w:t>
            </w:r>
            <w:r>
              <w:rPr>
                <w:rFonts w:ascii="Times New Roman"/>
                <w:i/>
                <w:sz w:val="22"/>
              </w:rPr>
              <w:t>range </w:t>
            </w:r>
            <w:r>
              <w:rPr>
                <w:sz w:val="22"/>
              </w:rPr>
              <w:t>does not have to have the same size and shape as </w:t>
            </w:r>
            <w:r>
              <w:rPr>
                <w:rFonts w:ascii="Times New Roman"/>
                <w:i/>
                <w:sz w:val="22"/>
              </w:rPr>
              <w:t>cell-range-1 </w:t>
            </w:r>
            <w:r>
              <w:rPr>
                <w:sz w:val="22"/>
              </w:rPr>
              <w:t>through </w:t>
            </w:r>
            <w:r>
              <w:rPr>
                <w:rFonts w:ascii="Times New Roman"/>
                <w:i/>
                <w:sz w:val="22"/>
              </w:rPr>
              <w:t>cell-range-n</w:t>
            </w:r>
            <w:r>
              <w:rPr>
                <w:sz w:val="22"/>
              </w:rPr>
              <w:t>. The actual cells that are added are determined by using the top, left cell in </w:t>
            </w:r>
            <w:r>
              <w:rPr>
                <w:rFonts w:ascii="Times New Roman"/>
                <w:i/>
                <w:sz w:val="22"/>
              </w:rPr>
              <w:t>count-range </w:t>
            </w:r>
            <w:r>
              <w:rPr>
                <w:sz w:val="22"/>
              </w:rPr>
              <w:t>as the beginning cell, and then including cells that correspond in size and shape to </w:t>
            </w:r>
            <w:r>
              <w:rPr>
                <w:rFonts w:ascii="Times New Roman"/>
                <w:i/>
                <w:sz w:val="22"/>
              </w:rPr>
              <w:t>cell-range-1 </w:t>
            </w:r>
            <w:r>
              <w:rPr>
                <w:sz w:val="22"/>
              </w:rPr>
              <w:t>through </w:t>
            </w:r>
            <w:r>
              <w:rPr>
                <w:rFonts w:ascii="Times New Roman"/>
                <w:i/>
                <w:sz w:val="22"/>
              </w:rPr>
              <w:t>cell-range-n</w:t>
            </w:r>
            <w:r>
              <w:rPr>
                <w:sz w:val="22"/>
              </w:rPr>
              <w:t>.</w:t>
            </w:r>
          </w:p>
        </w:tc>
      </w:tr>
      <w:tr>
        <w:trPr>
          <w:trHeight w:val="893" w:hRule="atLeast"/>
        </w:trPr>
        <w:tc>
          <w:tcPr>
            <w:tcW w:w="1466" w:type="dxa"/>
          </w:tcPr>
          <w:p>
            <w:pPr>
              <w:pStyle w:val="TableParagraph"/>
              <w:spacing w:before="37"/>
              <w:rPr>
                <w:rFonts w:ascii="Times New Roman"/>
                <w:i/>
                <w:sz w:val="22"/>
              </w:rPr>
            </w:pPr>
            <w:r>
              <w:rPr>
                <w:rFonts w:ascii="Times New Roman"/>
                <w:i/>
                <w:sz w:val="22"/>
              </w:rPr>
              <w:t>cell-range-1</w:t>
            </w:r>
          </w:p>
        </w:tc>
        <w:tc>
          <w:tcPr>
            <w:tcW w:w="1800" w:type="dxa"/>
          </w:tcPr>
          <w:p>
            <w:pPr>
              <w:pStyle w:val="TableParagraph"/>
              <w:ind w:left="112"/>
              <w:rPr>
                <w:sz w:val="22"/>
              </w:rPr>
            </w:pPr>
            <w:r>
              <w:rPr>
                <w:sz w:val="22"/>
              </w:rPr>
              <w:t>reference</w:t>
            </w:r>
          </w:p>
        </w:tc>
        <w:tc>
          <w:tcPr>
            <w:tcW w:w="5400" w:type="dxa"/>
          </w:tcPr>
          <w:p>
            <w:pPr>
              <w:pStyle w:val="TableParagraph"/>
              <w:ind w:left="113" w:right="270"/>
              <w:rPr>
                <w:sz w:val="22"/>
              </w:rPr>
            </w:pPr>
            <w:r>
              <w:rPr>
                <w:sz w:val="22"/>
              </w:rPr>
              <w:t>Designates the first range of cells to be inspected. Each cell in a range is counted only if all of the corresponding criteria specified are true for that cell.</w:t>
            </w:r>
          </w:p>
        </w:tc>
      </w:tr>
      <w:tr>
        <w:trPr>
          <w:trHeight w:val="2771" w:hRule="atLeast"/>
        </w:trPr>
        <w:tc>
          <w:tcPr>
            <w:tcW w:w="1466" w:type="dxa"/>
          </w:tcPr>
          <w:p>
            <w:pPr>
              <w:pStyle w:val="TableParagraph"/>
              <w:spacing w:before="37"/>
              <w:ind w:right="483"/>
              <w:rPr>
                <w:rFonts w:ascii="Times New Roman"/>
                <w:i/>
                <w:sz w:val="22"/>
              </w:rPr>
            </w:pPr>
            <w:r>
              <w:rPr>
                <w:rFonts w:ascii="Times New Roman"/>
                <w:i/>
                <w:sz w:val="22"/>
              </w:rPr>
              <w:t>selection- </w:t>
            </w:r>
            <w:r>
              <w:rPr>
                <w:rFonts w:ascii="Times New Roman"/>
                <w:i/>
                <w:sz w:val="22"/>
              </w:rPr>
              <w:t>criteria-1</w:t>
            </w:r>
          </w:p>
        </w:tc>
        <w:tc>
          <w:tcPr>
            <w:tcW w:w="1800" w:type="dxa"/>
          </w:tcPr>
          <w:p>
            <w:pPr>
              <w:pStyle w:val="TableParagraph"/>
              <w:ind w:left="112" w:right="334"/>
              <w:rPr>
                <w:sz w:val="22"/>
              </w:rPr>
            </w:pPr>
            <w:r>
              <w:rPr>
                <w:sz w:val="22"/>
              </w:rPr>
              <w:t>number, expression, reference, text</w:t>
            </w:r>
          </w:p>
        </w:tc>
        <w:tc>
          <w:tcPr>
            <w:tcW w:w="5400" w:type="dxa"/>
          </w:tcPr>
          <w:p>
            <w:pPr>
              <w:pStyle w:val="TableParagraph"/>
              <w:ind w:left="113" w:right="361"/>
              <w:rPr>
                <w:sz w:val="22"/>
              </w:rPr>
            </w:pPr>
            <w:r>
              <w:rPr>
                <w:sz w:val="22"/>
              </w:rPr>
              <w:t>Designates the first range of cells to be counted. In the case of text, </w:t>
            </w:r>
            <w:r>
              <w:rPr>
                <w:rFonts w:ascii="Times New Roman"/>
                <w:i/>
                <w:sz w:val="22"/>
              </w:rPr>
              <w:t>selection-criteria-1 </w:t>
            </w:r>
            <w:r>
              <w:rPr>
                <w:sz w:val="22"/>
              </w:rPr>
              <w:t>can consist of any comparison operator followed by the operand against which each cell's value is to be compared. </w:t>
            </w:r>
            <w:r>
              <w:rPr>
                <w:rFonts w:ascii="Times New Roman"/>
                <w:i/>
                <w:sz w:val="22"/>
              </w:rPr>
              <w:t>selection- </w:t>
            </w:r>
            <w:r>
              <w:rPr>
                <w:rFonts w:ascii="Times New Roman"/>
                <w:i/>
                <w:sz w:val="22"/>
              </w:rPr>
              <w:t>criteria </w:t>
            </w:r>
            <w:r>
              <w:rPr>
                <w:sz w:val="22"/>
              </w:rPr>
              <w:t>can include one or more wildcard characters, question mark (</w:t>
            </w:r>
            <w:r>
              <w:rPr>
                <w:rFonts w:ascii="Consolas"/>
                <w:sz w:val="22"/>
              </w:rPr>
              <w:t>?</w:t>
            </w:r>
            <w:r>
              <w:rPr>
                <w:sz w:val="22"/>
              </w:rPr>
              <w:t>) and asterisk (</w:t>
            </w:r>
            <w:r>
              <w:rPr>
                <w:rFonts w:ascii="Consolas"/>
                <w:sz w:val="22"/>
              </w:rPr>
              <w:t>*</w:t>
            </w:r>
            <w:r>
              <w:rPr>
                <w:sz w:val="22"/>
              </w:rPr>
              <w:t>). A question mark matches any single character; an asterisk matches any sequence of characters. To search for a question mark, asterisk, or tilde character, prefix that character with a tilde (</w:t>
            </w:r>
            <w:r>
              <w:rPr>
                <w:rFonts w:ascii="Consolas"/>
                <w:sz w:val="22"/>
              </w:rPr>
              <w:t>~</w:t>
            </w:r>
            <w:r>
              <w:rPr>
                <w:sz w:val="22"/>
              </w:rPr>
              <w:t>).</w:t>
            </w:r>
          </w:p>
        </w:tc>
      </w:tr>
      <w:tr>
        <w:trPr>
          <w:trHeight w:val="354" w:hRule="atLeast"/>
        </w:trPr>
        <w:tc>
          <w:tcPr>
            <w:tcW w:w="1466" w:type="dxa"/>
          </w:tcPr>
          <w:p>
            <w:pPr>
              <w:pStyle w:val="TableParagraph"/>
              <w:spacing w:before="37"/>
              <w:rPr>
                <w:rFonts w:ascii="Times New Roman"/>
                <w:i/>
                <w:sz w:val="22"/>
              </w:rPr>
            </w:pPr>
            <w:r>
              <w:rPr>
                <w:rFonts w:ascii="Times New Roman"/>
                <w:i/>
                <w:sz w:val="22"/>
              </w:rPr>
              <w:t>cell-range-n</w:t>
            </w:r>
          </w:p>
        </w:tc>
        <w:tc>
          <w:tcPr>
            <w:tcW w:w="1800" w:type="dxa"/>
          </w:tcPr>
          <w:p>
            <w:pPr>
              <w:pStyle w:val="TableParagraph"/>
              <w:ind w:left="112"/>
              <w:rPr>
                <w:sz w:val="22"/>
              </w:rPr>
            </w:pPr>
            <w:r>
              <w:rPr>
                <w:sz w:val="22"/>
              </w:rPr>
              <w:t>reference</w:t>
            </w:r>
          </w:p>
        </w:tc>
        <w:tc>
          <w:tcPr>
            <w:tcW w:w="5400" w:type="dxa"/>
            <w:vMerge w:val="restart"/>
          </w:tcPr>
          <w:p>
            <w:pPr>
              <w:pStyle w:val="TableParagraph"/>
              <w:ind w:left="113" w:right="294"/>
              <w:rPr>
                <w:sz w:val="22"/>
              </w:rPr>
            </w:pPr>
            <w:r>
              <w:rPr>
                <w:sz w:val="22"/>
              </w:rPr>
              <w:t>The optional arguments </w:t>
            </w:r>
            <w:r>
              <w:rPr>
                <w:rFonts w:ascii="Times New Roman"/>
                <w:i/>
                <w:sz w:val="22"/>
              </w:rPr>
              <w:t>selection-criteria-2 </w:t>
            </w:r>
            <w:r>
              <w:rPr>
                <w:sz w:val="22"/>
              </w:rPr>
              <w:t>through </w:t>
            </w:r>
            <w:r>
              <w:rPr>
                <w:rFonts w:ascii="Times New Roman"/>
                <w:i/>
                <w:sz w:val="22"/>
              </w:rPr>
              <w:t>selection-criteria-n </w:t>
            </w:r>
            <w:r>
              <w:rPr>
                <w:sz w:val="22"/>
              </w:rPr>
              <w:t>have corresponding arguments </w:t>
            </w:r>
            <w:r>
              <w:rPr>
                <w:rFonts w:ascii="Times New Roman"/>
                <w:i/>
                <w:sz w:val="22"/>
              </w:rPr>
              <w:t>cell- </w:t>
            </w:r>
            <w:r>
              <w:rPr>
                <w:rFonts w:ascii="Times New Roman"/>
                <w:i/>
                <w:sz w:val="22"/>
              </w:rPr>
              <w:t>range-2 </w:t>
            </w:r>
            <w:r>
              <w:rPr>
                <w:sz w:val="22"/>
              </w:rPr>
              <w:t>through </w:t>
            </w:r>
            <w:r>
              <w:rPr>
                <w:rFonts w:ascii="Times New Roman"/>
                <w:i/>
                <w:sz w:val="22"/>
              </w:rPr>
              <w:t>cell-range-n</w:t>
            </w:r>
            <w:r>
              <w:rPr>
                <w:sz w:val="22"/>
              </w:rPr>
              <w:t>, and have the same semantics as </w:t>
            </w:r>
            <w:r>
              <w:rPr>
                <w:rFonts w:ascii="Times New Roman"/>
                <w:i/>
                <w:sz w:val="22"/>
              </w:rPr>
              <w:t>selection-criteria-1 </w:t>
            </w:r>
            <w:r>
              <w:rPr>
                <w:sz w:val="22"/>
              </w:rPr>
              <w:t>and </w:t>
            </w:r>
            <w:r>
              <w:rPr>
                <w:rFonts w:ascii="Times New Roman"/>
                <w:i/>
                <w:sz w:val="22"/>
              </w:rPr>
              <w:t>cell-range-1</w:t>
            </w:r>
            <w:r>
              <w:rPr>
                <w:sz w:val="22"/>
              </w:rPr>
              <w:t>, respectively.</w:t>
            </w:r>
          </w:p>
        </w:tc>
      </w:tr>
      <w:tr>
        <w:trPr>
          <w:trHeight w:val="1063" w:hRule="atLeast"/>
        </w:trPr>
        <w:tc>
          <w:tcPr>
            <w:tcW w:w="1466" w:type="dxa"/>
          </w:tcPr>
          <w:p>
            <w:pPr>
              <w:pStyle w:val="TableParagraph"/>
              <w:spacing w:before="37"/>
              <w:ind w:right="483"/>
              <w:rPr>
                <w:rFonts w:ascii="Times New Roman"/>
                <w:i/>
                <w:sz w:val="22"/>
              </w:rPr>
            </w:pPr>
            <w:r>
              <w:rPr>
                <w:rFonts w:ascii="Times New Roman"/>
                <w:i/>
                <w:sz w:val="22"/>
              </w:rPr>
              <w:t>selection- </w:t>
            </w:r>
            <w:r>
              <w:rPr>
                <w:rFonts w:ascii="Times New Roman"/>
                <w:i/>
                <w:sz w:val="22"/>
              </w:rPr>
              <w:t>criteria-n</w:t>
            </w:r>
          </w:p>
        </w:tc>
        <w:tc>
          <w:tcPr>
            <w:tcW w:w="1800" w:type="dxa"/>
          </w:tcPr>
          <w:p>
            <w:pPr>
              <w:pStyle w:val="TableParagraph"/>
              <w:ind w:left="112" w:right="334"/>
              <w:rPr>
                <w:sz w:val="22"/>
              </w:rPr>
            </w:pPr>
            <w:r>
              <w:rPr>
                <w:sz w:val="22"/>
              </w:rPr>
              <w:t>number, expression, reference, text</w:t>
            </w:r>
          </w:p>
        </w:tc>
        <w:tc>
          <w:tcPr>
            <w:tcW w:w="5400" w:type="dxa"/>
            <w:vMerge/>
            <w:tcBorders>
              <w:top w:val="nil"/>
            </w:tcBorders>
          </w:tcPr>
          <w:p>
            <w:pPr>
              <w:rPr>
                <w:sz w:val="2"/>
                <w:szCs w:val="2"/>
              </w:rPr>
            </w:pPr>
          </w:p>
        </w:tc>
      </w:tr>
    </w:tbl>
    <w:p>
      <w:pPr>
        <w:pStyle w:val="BodyText"/>
      </w:pPr>
    </w:p>
    <w:p>
      <w:pPr>
        <w:pStyle w:val="BodyText"/>
        <w:spacing w:before="3"/>
        <w:rPr>
          <w:sz w:val="18"/>
        </w:rPr>
      </w:pPr>
    </w:p>
    <w:p>
      <w:pPr>
        <w:pStyle w:val="BodyText"/>
        <w:ind w:left="220"/>
      </w:pPr>
      <w:r>
        <w:rPr/>
        <w:t>If a cell in any argument is an empty cell, it is treated as if it had the value 0.</w:t>
      </w:r>
    </w:p>
    <w:p>
      <w:pPr>
        <w:pStyle w:val="BodyText"/>
        <w:spacing w:before="8"/>
        <w:rPr>
          <w:sz w:val="19"/>
        </w:rPr>
      </w:pPr>
    </w:p>
    <w:p>
      <w:pPr>
        <w:spacing w:line="453" w:lineRule="auto" w:before="0" w:after="3"/>
        <w:ind w:left="220" w:right="2432" w:firstLine="0"/>
        <w:jc w:val="left"/>
        <w:rPr>
          <w:sz w:val="22"/>
        </w:rPr>
      </w:pPr>
      <w:r>
        <w:rPr>
          <w:b/>
          <w:sz w:val="22"/>
        </w:rPr>
        <w:t>Return Type and Value</w:t>
      </w:r>
      <w:r>
        <w:rPr>
          <w:sz w:val="22"/>
        </w:rPr>
        <w:t>: number – The count of the cells corresponding to those selected. [</w:t>
      </w:r>
      <w:r>
        <w:rPr>
          <w:i/>
          <w:sz w:val="22"/>
        </w:rPr>
        <w:t>Example</w:t>
      </w:r>
      <w:r>
        <w:rPr>
          <w:sz w:val="22"/>
        </w:rPr>
        <w:t>: Given the following 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358"/>
        <w:gridCol w:w="1894"/>
        <w:gridCol w:w="2179"/>
        <w:gridCol w:w="2047"/>
      </w:tblGrid>
      <w:tr>
        <w:trPr>
          <w:trHeight w:val="354" w:hRule="atLeast"/>
        </w:trPr>
        <w:tc>
          <w:tcPr>
            <w:tcW w:w="468" w:type="dxa"/>
            <w:shd w:val="clear" w:color="auto" w:fill="C0C0C0"/>
          </w:tcPr>
          <w:p>
            <w:pPr>
              <w:pStyle w:val="TableParagraph"/>
              <w:spacing w:before="0"/>
              <w:ind w:left="0"/>
              <w:rPr>
                <w:rFonts w:ascii="Times New Roman"/>
                <w:sz w:val="22"/>
              </w:rPr>
            </w:pPr>
          </w:p>
        </w:tc>
        <w:tc>
          <w:tcPr>
            <w:tcW w:w="1358" w:type="dxa"/>
            <w:shd w:val="clear" w:color="auto" w:fill="C0C0C0"/>
          </w:tcPr>
          <w:p>
            <w:pPr>
              <w:pStyle w:val="TableParagraph"/>
              <w:ind w:left="9"/>
              <w:jc w:val="center"/>
              <w:rPr>
                <w:b/>
                <w:sz w:val="22"/>
              </w:rPr>
            </w:pPr>
            <w:r>
              <w:rPr>
                <w:b/>
                <w:w w:val="100"/>
                <w:sz w:val="22"/>
              </w:rPr>
              <w:t>A</w:t>
            </w:r>
          </w:p>
        </w:tc>
        <w:tc>
          <w:tcPr>
            <w:tcW w:w="1894" w:type="dxa"/>
            <w:shd w:val="clear" w:color="auto" w:fill="C0C0C0"/>
          </w:tcPr>
          <w:p>
            <w:pPr>
              <w:pStyle w:val="TableParagraph"/>
              <w:ind w:left="7"/>
              <w:jc w:val="center"/>
              <w:rPr>
                <w:b/>
                <w:sz w:val="22"/>
              </w:rPr>
            </w:pPr>
            <w:r>
              <w:rPr>
                <w:b/>
                <w:w w:val="100"/>
                <w:sz w:val="22"/>
              </w:rPr>
              <w:t>B</w:t>
            </w:r>
          </w:p>
        </w:tc>
        <w:tc>
          <w:tcPr>
            <w:tcW w:w="2179" w:type="dxa"/>
            <w:shd w:val="clear" w:color="auto" w:fill="C0C0C0"/>
          </w:tcPr>
          <w:p>
            <w:pPr>
              <w:pStyle w:val="TableParagraph"/>
              <w:ind w:left="12"/>
              <w:jc w:val="center"/>
              <w:rPr>
                <w:b/>
                <w:sz w:val="22"/>
              </w:rPr>
            </w:pPr>
            <w:r>
              <w:rPr>
                <w:b/>
                <w:w w:val="100"/>
                <w:sz w:val="22"/>
              </w:rPr>
              <w:t>C</w:t>
            </w:r>
          </w:p>
        </w:tc>
        <w:tc>
          <w:tcPr>
            <w:tcW w:w="2047" w:type="dxa"/>
            <w:shd w:val="clear" w:color="auto" w:fill="C0C0C0"/>
          </w:tcPr>
          <w:p>
            <w:pPr>
              <w:pStyle w:val="TableParagraph"/>
              <w:ind w:left="9"/>
              <w:jc w:val="center"/>
              <w:rPr>
                <w:b/>
                <w:sz w:val="22"/>
              </w:rPr>
            </w:pPr>
            <w:r>
              <w:rPr>
                <w:b/>
                <w:w w:val="100"/>
                <w:sz w:val="22"/>
              </w:rPr>
              <w:t>D</w:t>
            </w:r>
          </w:p>
        </w:tc>
      </w:tr>
      <w:tr>
        <w:trPr>
          <w:trHeight w:val="624" w:hRule="atLeast"/>
        </w:trPr>
        <w:tc>
          <w:tcPr>
            <w:tcW w:w="468" w:type="dxa"/>
          </w:tcPr>
          <w:p>
            <w:pPr>
              <w:pStyle w:val="TableParagraph"/>
              <w:rPr>
                <w:sz w:val="22"/>
              </w:rPr>
            </w:pPr>
            <w:r>
              <w:rPr>
                <w:w w:val="100"/>
                <w:sz w:val="22"/>
              </w:rPr>
              <w:t>1</w:t>
            </w:r>
          </w:p>
        </w:tc>
        <w:tc>
          <w:tcPr>
            <w:tcW w:w="1358" w:type="dxa"/>
          </w:tcPr>
          <w:p>
            <w:pPr>
              <w:pStyle w:val="TableParagraph"/>
              <w:ind w:left="114"/>
              <w:rPr>
                <w:sz w:val="22"/>
              </w:rPr>
            </w:pPr>
            <w:r>
              <w:rPr>
                <w:sz w:val="22"/>
              </w:rPr>
              <w:t>Sales Person</w:t>
            </w:r>
          </w:p>
        </w:tc>
        <w:tc>
          <w:tcPr>
            <w:tcW w:w="1894" w:type="dxa"/>
          </w:tcPr>
          <w:p>
            <w:pPr>
              <w:pStyle w:val="TableParagraph"/>
              <w:ind w:left="112" w:right="272"/>
              <w:rPr>
                <w:sz w:val="22"/>
              </w:rPr>
            </w:pPr>
            <w:r>
              <w:rPr>
                <w:sz w:val="22"/>
              </w:rPr>
              <w:t>Exceeded Tables Quota</w:t>
            </w:r>
          </w:p>
        </w:tc>
        <w:tc>
          <w:tcPr>
            <w:tcW w:w="2179" w:type="dxa"/>
          </w:tcPr>
          <w:p>
            <w:pPr>
              <w:pStyle w:val="TableParagraph"/>
              <w:ind w:right="577"/>
              <w:rPr>
                <w:sz w:val="22"/>
              </w:rPr>
            </w:pPr>
            <w:r>
              <w:rPr>
                <w:sz w:val="22"/>
              </w:rPr>
              <w:t>Exceeded Chairs Quota</w:t>
            </w:r>
          </w:p>
        </w:tc>
        <w:tc>
          <w:tcPr>
            <w:tcW w:w="2047" w:type="dxa"/>
          </w:tcPr>
          <w:p>
            <w:pPr>
              <w:pStyle w:val="TableParagraph"/>
              <w:ind w:left="116" w:right="479"/>
              <w:rPr>
                <w:sz w:val="22"/>
              </w:rPr>
            </w:pPr>
            <w:r>
              <w:rPr>
                <w:sz w:val="22"/>
              </w:rPr>
              <w:t>Exceeded Desks Quota</w:t>
            </w:r>
          </w:p>
        </w:tc>
      </w:tr>
      <w:tr>
        <w:trPr>
          <w:trHeight w:val="354" w:hRule="atLeast"/>
        </w:trPr>
        <w:tc>
          <w:tcPr>
            <w:tcW w:w="468" w:type="dxa"/>
          </w:tcPr>
          <w:p>
            <w:pPr>
              <w:pStyle w:val="TableParagraph"/>
              <w:rPr>
                <w:sz w:val="22"/>
              </w:rPr>
            </w:pPr>
            <w:r>
              <w:rPr>
                <w:w w:val="100"/>
                <w:sz w:val="22"/>
              </w:rPr>
              <w:t>2</w:t>
            </w:r>
          </w:p>
        </w:tc>
        <w:tc>
          <w:tcPr>
            <w:tcW w:w="1358" w:type="dxa"/>
          </w:tcPr>
          <w:p>
            <w:pPr>
              <w:pStyle w:val="TableParagraph"/>
              <w:ind w:left="114"/>
              <w:rPr>
                <w:sz w:val="22"/>
              </w:rPr>
            </w:pPr>
            <w:r>
              <w:rPr>
                <w:sz w:val="22"/>
              </w:rPr>
              <w:t>Davolio</w:t>
            </w:r>
          </w:p>
        </w:tc>
        <w:tc>
          <w:tcPr>
            <w:tcW w:w="1894" w:type="dxa"/>
          </w:tcPr>
          <w:p>
            <w:pPr>
              <w:pStyle w:val="TableParagraph"/>
              <w:ind w:left="112"/>
              <w:rPr>
                <w:sz w:val="22"/>
              </w:rPr>
            </w:pPr>
            <w:r>
              <w:rPr>
                <w:sz w:val="22"/>
              </w:rPr>
              <w:t>Yes</w:t>
            </w:r>
          </w:p>
        </w:tc>
        <w:tc>
          <w:tcPr>
            <w:tcW w:w="2179" w:type="dxa"/>
          </w:tcPr>
          <w:p>
            <w:pPr>
              <w:pStyle w:val="TableParagraph"/>
              <w:rPr>
                <w:sz w:val="22"/>
              </w:rPr>
            </w:pPr>
            <w:r>
              <w:rPr>
                <w:sz w:val="22"/>
              </w:rPr>
              <w:t>No</w:t>
            </w:r>
          </w:p>
        </w:tc>
        <w:tc>
          <w:tcPr>
            <w:tcW w:w="2047" w:type="dxa"/>
          </w:tcPr>
          <w:p>
            <w:pPr>
              <w:pStyle w:val="TableParagraph"/>
              <w:ind w:left="116"/>
              <w:rPr>
                <w:sz w:val="22"/>
              </w:rPr>
            </w:pPr>
            <w:r>
              <w:rPr>
                <w:sz w:val="22"/>
              </w:rPr>
              <w:t>No</w:t>
            </w:r>
          </w:p>
        </w:tc>
      </w:tr>
      <w:tr>
        <w:trPr>
          <w:trHeight w:val="354" w:hRule="atLeast"/>
        </w:trPr>
        <w:tc>
          <w:tcPr>
            <w:tcW w:w="468" w:type="dxa"/>
          </w:tcPr>
          <w:p>
            <w:pPr>
              <w:pStyle w:val="TableParagraph"/>
              <w:rPr>
                <w:sz w:val="22"/>
              </w:rPr>
            </w:pPr>
            <w:r>
              <w:rPr>
                <w:w w:val="100"/>
                <w:sz w:val="22"/>
              </w:rPr>
              <w:t>3</w:t>
            </w:r>
          </w:p>
        </w:tc>
        <w:tc>
          <w:tcPr>
            <w:tcW w:w="1358" w:type="dxa"/>
          </w:tcPr>
          <w:p>
            <w:pPr>
              <w:pStyle w:val="TableParagraph"/>
              <w:ind w:left="114"/>
              <w:rPr>
                <w:sz w:val="22"/>
              </w:rPr>
            </w:pPr>
            <w:r>
              <w:rPr>
                <w:sz w:val="22"/>
              </w:rPr>
              <w:t>Buchanan</w:t>
            </w:r>
          </w:p>
        </w:tc>
        <w:tc>
          <w:tcPr>
            <w:tcW w:w="1894" w:type="dxa"/>
          </w:tcPr>
          <w:p>
            <w:pPr>
              <w:pStyle w:val="TableParagraph"/>
              <w:ind w:left="112"/>
              <w:rPr>
                <w:sz w:val="22"/>
              </w:rPr>
            </w:pPr>
            <w:r>
              <w:rPr>
                <w:sz w:val="22"/>
              </w:rPr>
              <w:t>Yes</w:t>
            </w:r>
          </w:p>
        </w:tc>
        <w:tc>
          <w:tcPr>
            <w:tcW w:w="2179" w:type="dxa"/>
          </w:tcPr>
          <w:p>
            <w:pPr>
              <w:pStyle w:val="TableParagraph"/>
              <w:rPr>
                <w:sz w:val="22"/>
              </w:rPr>
            </w:pPr>
            <w:r>
              <w:rPr>
                <w:sz w:val="22"/>
              </w:rPr>
              <w:t>Yes</w:t>
            </w:r>
          </w:p>
        </w:tc>
        <w:tc>
          <w:tcPr>
            <w:tcW w:w="2047" w:type="dxa"/>
          </w:tcPr>
          <w:p>
            <w:pPr>
              <w:pStyle w:val="TableParagraph"/>
              <w:ind w:left="116"/>
              <w:rPr>
                <w:sz w:val="22"/>
              </w:rPr>
            </w:pPr>
            <w:r>
              <w:rPr>
                <w:sz w:val="22"/>
              </w:rPr>
              <w:t>No</w:t>
            </w:r>
          </w:p>
        </w:tc>
      </w:tr>
      <w:tr>
        <w:trPr>
          <w:trHeight w:val="352" w:hRule="atLeast"/>
        </w:trPr>
        <w:tc>
          <w:tcPr>
            <w:tcW w:w="468" w:type="dxa"/>
          </w:tcPr>
          <w:p>
            <w:pPr>
              <w:pStyle w:val="TableParagraph"/>
              <w:rPr>
                <w:sz w:val="22"/>
              </w:rPr>
            </w:pPr>
            <w:r>
              <w:rPr>
                <w:w w:val="100"/>
                <w:sz w:val="22"/>
              </w:rPr>
              <w:t>4</w:t>
            </w:r>
          </w:p>
        </w:tc>
        <w:tc>
          <w:tcPr>
            <w:tcW w:w="1358" w:type="dxa"/>
          </w:tcPr>
          <w:p>
            <w:pPr>
              <w:pStyle w:val="TableParagraph"/>
              <w:ind w:left="114"/>
              <w:rPr>
                <w:sz w:val="22"/>
              </w:rPr>
            </w:pPr>
            <w:r>
              <w:rPr>
                <w:sz w:val="22"/>
              </w:rPr>
              <w:t>Suyama</w:t>
            </w:r>
          </w:p>
        </w:tc>
        <w:tc>
          <w:tcPr>
            <w:tcW w:w="1894" w:type="dxa"/>
          </w:tcPr>
          <w:p>
            <w:pPr>
              <w:pStyle w:val="TableParagraph"/>
              <w:ind w:left="112"/>
              <w:rPr>
                <w:sz w:val="22"/>
              </w:rPr>
            </w:pPr>
            <w:r>
              <w:rPr>
                <w:sz w:val="22"/>
              </w:rPr>
              <w:t>Yes</w:t>
            </w:r>
          </w:p>
        </w:tc>
        <w:tc>
          <w:tcPr>
            <w:tcW w:w="2179" w:type="dxa"/>
          </w:tcPr>
          <w:p>
            <w:pPr>
              <w:pStyle w:val="TableParagraph"/>
              <w:rPr>
                <w:sz w:val="22"/>
              </w:rPr>
            </w:pPr>
            <w:r>
              <w:rPr>
                <w:sz w:val="22"/>
              </w:rPr>
              <w:t>Yes</w:t>
            </w:r>
          </w:p>
        </w:tc>
        <w:tc>
          <w:tcPr>
            <w:tcW w:w="2047" w:type="dxa"/>
          </w:tcPr>
          <w:p>
            <w:pPr>
              <w:pStyle w:val="TableParagraph"/>
              <w:ind w:left="116"/>
              <w:rPr>
                <w:sz w:val="22"/>
              </w:rPr>
            </w:pPr>
            <w:r>
              <w:rPr>
                <w:sz w:val="22"/>
              </w:rPr>
              <w:t>Yes</w:t>
            </w:r>
          </w:p>
        </w:tc>
      </w:tr>
      <w:tr>
        <w:trPr>
          <w:trHeight w:val="354" w:hRule="atLeast"/>
        </w:trPr>
        <w:tc>
          <w:tcPr>
            <w:tcW w:w="468" w:type="dxa"/>
          </w:tcPr>
          <w:p>
            <w:pPr>
              <w:pStyle w:val="TableParagraph"/>
              <w:rPr>
                <w:sz w:val="22"/>
              </w:rPr>
            </w:pPr>
            <w:r>
              <w:rPr>
                <w:w w:val="100"/>
                <w:sz w:val="22"/>
              </w:rPr>
              <w:t>5</w:t>
            </w:r>
          </w:p>
        </w:tc>
        <w:tc>
          <w:tcPr>
            <w:tcW w:w="1358" w:type="dxa"/>
          </w:tcPr>
          <w:p>
            <w:pPr>
              <w:pStyle w:val="TableParagraph"/>
              <w:ind w:left="114"/>
              <w:rPr>
                <w:sz w:val="22"/>
              </w:rPr>
            </w:pPr>
            <w:r>
              <w:rPr>
                <w:sz w:val="22"/>
              </w:rPr>
              <w:t>Leverling</w:t>
            </w:r>
          </w:p>
        </w:tc>
        <w:tc>
          <w:tcPr>
            <w:tcW w:w="1894" w:type="dxa"/>
          </w:tcPr>
          <w:p>
            <w:pPr>
              <w:pStyle w:val="TableParagraph"/>
              <w:ind w:left="112"/>
              <w:rPr>
                <w:sz w:val="22"/>
              </w:rPr>
            </w:pPr>
            <w:r>
              <w:rPr>
                <w:sz w:val="22"/>
              </w:rPr>
              <w:t>No</w:t>
            </w:r>
          </w:p>
        </w:tc>
        <w:tc>
          <w:tcPr>
            <w:tcW w:w="2179" w:type="dxa"/>
          </w:tcPr>
          <w:p>
            <w:pPr>
              <w:pStyle w:val="TableParagraph"/>
              <w:rPr>
                <w:sz w:val="22"/>
              </w:rPr>
            </w:pPr>
            <w:r>
              <w:rPr>
                <w:sz w:val="22"/>
              </w:rPr>
              <w:t>Yes</w:t>
            </w:r>
          </w:p>
        </w:tc>
        <w:tc>
          <w:tcPr>
            <w:tcW w:w="2047" w:type="dxa"/>
          </w:tcPr>
          <w:p>
            <w:pPr>
              <w:pStyle w:val="TableParagraph"/>
              <w:ind w:left="116"/>
              <w:rPr>
                <w:sz w:val="22"/>
              </w:rPr>
            </w:pPr>
            <w:r>
              <w:rPr>
                <w:sz w:val="22"/>
              </w:rPr>
              <w:t>Yes</w:t>
            </w:r>
          </w:p>
        </w:tc>
      </w:tr>
    </w:tbl>
    <w:p>
      <w:pPr>
        <w:spacing w:after="0"/>
        <w:rPr>
          <w:sz w:val="22"/>
        </w:rPr>
        <w:sectPr>
          <w:pgSz w:w="12240" w:h="15840"/>
          <w:pgMar w:header="763" w:footer="746" w:top="1340" w:bottom="940" w:left="860" w:right="700"/>
        </w:sectPr>
      </w:pPr>
    </w:p>
    <w:p>
      <w:pPr>
        <w:pStyle w:val="BodyText"/>
        <w:spacing w:line="278" w:lineRule="auto" w:before="90"/>
        <w:ind w:left="220" w:right="697"/>
      </w:pPr>
      <w:r>
        <w:rPr>
          <w:rFonts w:ascii="Consolas"/>
        </w:rPr>
        <w:t>COUNTIFS(B2:D2,"=Yes")</w:t>
      </w:r>
      <w:r>
        <w:rPr>
          <w:rFonts w:ascii="Consolas"/>
          <w:spacing w:val="-70"/>
        </w:rPr>
        <w:t> </w:t>
      </w:r>
      <w:r>
        <w:rPr/>
        <w:t>results in </w:t>
      </w:r>
      <w:r>
        <w:rPr>
          <w:rFonts w:ascii="Consolas"/>
        </w:rPr>
        <w:t>1</w:t>
      </w:r>
      <w:r>
        <w:rPr>
          <w:rFonts w:ascii="Consolas"/>
          <w:spacing w:val="-74"/>
        </w:rPr>
        <w:t> </w:t>
      </w:r>
      <w:r>
        <w:rPr/>
        <w:t>(counts how many times Davolio exceeded a sales quota for tables, chairs, and desks)</w:t>
      </w:r>
    </w:p>
    <w:p>
      <w:pPr>
        <w:pStyle w:val="BodyText"/>
        <w:spacing w:line="276" w:lineRule="auto" w:before="196"/>
        <w:ind w:left="220" w:right="463"/>
      </w:pPr>
      <w:r>
        <w:rPr>
          <w:rFonts w:ascii="Consolas"/>
        </w:rPr>
        <w:t>COUNTIFS(B2:B5,"=Yes",C2:C5,"=Yes")</w:t>
      </w:r>
      <w:r>
        <w:rPr>
          <w:rFonts w:ascii="Consolas"/>
          <w:spacing w:val="-67"/>
        </w:rPr>
        <w:t> </w:t>
      </w:r>
      <w:r>
        <w:rPr/>
        <w:t>results in </w:t>
      </w:r>
      <w:r>
        <w:rPr>
          <w:rFonts w:ascii="Consolas"/>
        </w:rPr>
        <w:t>2</w:t>
      </w:r>
      <w:r>
        <w:rPr>
          <w:rFonts w:ascii="Consolas"/>
          <w:spacing w:val="-75"/>
        </w:rPr>
        <w:t> </w:t>
      </w:r>
      <w:r>
        <w:rPr/>
        <w:t>(counts how many sales people exceeded both their tables and chairs quota)</w:t>
      </w:r>
    </w:p>
    <w:p>
      <w:pPr>
        <w:pStyle w:val="BodyText"/>
        <w:spacing w:before="3"/>
        <w:rPr>
          <w:sz w:val="16"/>
        </w:rPr>
      </w:pPr>
    </w:p>
    <w:p>
      <w:pPr>
        <w:pStyle w:val="BodyText"/>
        <w:spacing w:line="276" w:lineRule="auto"/>
        <w:ind w:left="220" w:right="746"/>
      </w:pPr>
      <w:r>
        <w:rPr>
          <w:rFonts w:ascii="Consolas"/>
        </w:rPr>
        <w:t>COUNTIFS(B5:D5,"=Yes",B3:D3,"=Yes")</w:t>
      </w:r>
      <w:r>
        <w:rPr>
          <w:rFonts w:ascii="Consolas"/>
          <w:spacing w:val="-67"/>
        </w:rPr>
        <w:t> </w:t>
      </w:r>
      <w:r>
        <w:rPr/>
        <w:t>results in </w:t>
      </w:r>
      <w:r>
        <w:rPr>
          <w:rFonts w:ascii="Consolas"/>
        </w:rPr>
        <w:t>1</w:t>
      </w:r>
      <w:r>
        <w:rPr>
          <w:rFonts w:ascii="Consolas"/>
          <w:spacing w:val="-75"/>
        </w:rPr>
        <w:t> </w:t>
      </w:r>
      <w:r>
        <w:rPr/>
        <w:t>(counts how many times Leverling and Buchanan exceeded the same quota for tables, chairs, and desks)</w:t>
      </w:r>
    </w:p>
    <w:p>
      <w:pPr>
        <w:pStyle w:val="BodyText"/>
        <w:spacing w:before="6"/>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57 COUPDAYBS" w:id="1563"/>
      <w:bookmarkEnd w:id="1563"/>
      <w:r>
        <w:rPr/>
      </w:r>
      <w:bookmarkStart w:name="_bookmark520" w:id="1564"/>
      <w:bookmarkEnd w:id="1564"/>
      <w:r>
        <w:rPr/>
      </w:r>
      <w:bookmarkStart w:name="_bookmark520" w:id="1565"/>
      <w:bookmarkEnd w:id="1565"/>
      <w:r>
        <w:rPr>
          <w:color w:val="4F81BC"/>
        </w:rPr>
        <w:t>COU</w:t>
      </w:r>
      <w:r>
        <w:rPr>
          <w:color w:val="4F81BC"/>
        </w:rPr>
        <w:t>PDAYBS</w:t>
      </w:r>
    </w:p>
    <w:p>
      <w:pPr>
        <w:pStyle w:val="Heading4"/>
        <w:spacing w:before="123"/>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COUPDAYBS ( </w:t>
      </w:r>
      <w:r>
        <w:rPr>
          <w:i/>
          <w:sz w:val="22"/>
        </w:rPr>
        <w:t>settlement  </w:t>
      </w:r>
      <w:r>
        <w:rPr>
          <w:rFonts w:ascii="Lucida Console"/>
          <w:sz w:val="20"/>
        </w:rPr>
        <w:t>, </w:t>
      </w:r>
      <w:r>
        <w:rPr>
          <w:i/>
          <w:sz w:val="22"/>
        </w:rPr>
        <w:t>maturity  </w:t>
      </w:r>
      <w:r>
        <w:rPr>
          <w:rFonts w:ascii="Lucida Console"/>
          <w:sz w:val="20"/>
        </w:rPr>
        <w:t>, </w:t>
      </w:r>
      <w:r>
        <w:rPr>
          <w:i/>
          <w:sz w:val="22"/>
        </w:rPr>
        <w:t>frequency  </w:t>
      </w:r>
      <w:r>
        <w:rPr>
          <w:sz w:val="22"/>
        </w:rPr>
        <w:t>[ </w:t>
      </w:r>
      <w:r>
        <w:rPr>
          <w:rFonts w:ascii="Lucida Console"/>
          <w:sz w:val="20"/>
        </w:rPr>
        <w:t>,</w:t>
      </w:r>
      <w:r>
        <w:rPr>
          <w:rFonts w:ascii="Lucida Console"/>
          <w:spacing w:val="-71"/>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number of days from the beginning of the coupon period to the settlement date.</w:t>
      </w:r>
    </w:p>
    <w:p>
      <w:pPr>
        <w:pStyle w:val="BodyText"/>
        <w:spacing w:before="9"/>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1159"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424"/>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3868"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79"/>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79"/>
              </w:numPr>
              <w:tabs>
                <w:tab w:pos="837" w:val="left" w:leader="none"/>
                <w:tab w:pos="838" w:val="left" w:leader="none"/>
              </w:tabs>
              <w:spacing w:line="240" w:lineRule="auto" w:before="1" w:after="0"/>
              <w:ind w:left="837" w:right="139" w:hanging="360"/>
              <w:jc w:val="left"/>
              <w:rPr>
                <w:sz w:val="22"/>
              </w:rPr>
            </w:pPr>
            <w:r>
              <w:rPr>
                <w:sz w:val="22"/>
              </w:rPr>
              <w:t>For months with 31 days, </w:t>
            </w:r>
            <w:r>
              <w:rPr>
                <w:spacing w:val="-6"/>
                <w:sz w:val="22"/>
              </w:rPr>
              <w:t>if </w:t>
            </w:r>
            <w:r>
              <w:rPr>
                <w:sz w:val="22"/>
              </w:rPr>
              <w:t>the first</w:t>
            </w:r>
            <w:r>
              <w:rPr>
                <w:spacing w:val="-4"/>
                <w:sz w:val="22"/>
              </w:rPr>
              <w:t> </w:t>
            </w:r>
            <w:r>
              <w:rPr>
                <w:sz w:val="22"/>
              </w:rPr>
              <w:t>date</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4166"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ight="110"/>
              <w:rPr>
                <w:sz w:val="22"/>
              </w:rPr>
            </w:pPr>
            <w:r>
              <w:rPr>
                <w:sz w:val="22"/>
              </w:rPr>
              <w:t>has a day value of 31, the date is converted to day 30. If the second date has a day value 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5"/>
              <w:ind w:left="116"/>
              <w:rPr>
                <w:rFonts w:ascii="Consolas"/>
                <w:sz w:val="22"/>
              </w:rPr>
            </w:pPr>
            <w:r>
              <w:rPr>
                <w:rFonts w:ascii="Consolas"/>
                <w:w w:val="100"/>
                <w:sz w:val="22"/>
              </w:rPr>
              <w:t>2</w:t>
            </w:r>
          </w:p>
        </w:tc>
        <w:tc>
          <w:tcPr>
            <w:tcW w:w="2340" w:type="dxa"/>
          </w:tcPr>
          <w:p>
            <w:pPr>
              <w:pStyle w:val="TableParagraph"/>
              <w:spacing w:before="42"/>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385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80"/>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w:t>
            </w:r>
            <w:r>
              <w:rPr>
                <w:spacing w:val="-1"/>
                <w:sz w:val="22"/>
              </w:rPr>
              <w:t> </w:t>
            </w:r>
            <w:r>
              <w:rPr>
                <w:sz w:val="22"/>
              </w:rPr>
              <w:t>30</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4500"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Pr>
                <w:sz w:val="22"/>
              </w:rPr>
            </w:pPr>
            <w:r>
              <w:rPr>
                <w:sz w:val="22"/>
              </w:rPr>
              <w:t>February.</w:t>
            </w:r>
          </w:p>
          <w:p>
            <w:pPr>
              <w:pStyle w:val="TableParagraph"/>
              <w:numPr>
                <w:ilvl w:val="0"/>
                <w:numId w:val="81"/>
              </w:numPr>
              <w:tabs>
                <w:tab w:pos="1197" w:val="left" w:leader="none"/>
                <w:tab w:pos="1198" w:val="left" w:leader="none"/>
              </w:tabs>
              <w:spacing w:line="240" w:lineRule="auto" w:before="1"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line="237" w:lineRule="auto" w:before="2"/>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276" w:lineRule="auto"/>
        <w:ind w:left="220" w:right="1263"/>
      </w:pPr>
      <w:r>
        <w:rPr>
          <w:b/>
        </w:rPr>
        <w:t>Return Type and Value</w:t>
      </w:r>
      <w:r>
        <w:rPr/>
        <w:t>: number – The number of days from the beginning of the coupon period to the settlement date.</w:t>
      </w:r>
    </w:p>
    <w:p>
      <w:pPr>
        <w:pStyle w:val="BodyText"/>
        <w:spacing w:before="5"/>
        <w:rPr>
          <w:sz w:val="16"/>
        </w:rPr>
      </w:pPr>
    </w:p>
    <w:p>
      <w:pPr>
        <w:pStyle w:val="BodyText"/>
        <w:spacing w:before="1"/>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6"/>
        <w:ind w:left="220"/>
        <w:rPr>
          <w:rFonts w:ascii="Consolas"/>
        </w:rPr>
      </w:pPr>
      <w:r>
        <w:rPr>
          <w:rFonts w:ascii="Consolas"/>
        </w:rPr>
        <w:t>COUPDAYBS(DATE(2007,1,25),DATE(2008,11,15),2,1)</w:t>
      </w:r>
      <w:r>
        <w:rPr>
          <w:rFonts w:ascii="Consolas"/>
          <w:spacing w:val="-95"/>
        </w:rPr>
        <w:t> </w:t>
      </w:r>
      <w:r>
        <w:rPr/>
        <w:t>results in </w:t>
      </w:r>
      <w:r>
        <w:rPr>
          <w:rFonts w:ascii="Consolas"/>
        </w:rPr>
        <w:t>71 COUPDAYBS(DATE(2007,1,25),DATE(2008,11,15),2)</w:t>
      </w:r>
      <w:r>
        <w:rPr>
          <w:rFonts w:ascii="Consolas"/>
          <w:spacing w:val="-78"/>
        </w:rPr>
        <w:t> </w:t>
      </w:r>
      <w:r>
        <w:rPr/>
        <w:t>results in </w:t>
      </w:r>
      <w:r>
        <w:rPr>
          <w:rFonts w:ascii="Consolas"/>
        </w:rPr>
        <w:t>70</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58 COUPDAYS" w:id="1566"/>
      <w:bookmarkEnd w:id="1566"/>
      <w:r>
        <w:rPr/>
      </w:r>
      <w:bookmarkStart w:name="_bookmark521" w:id="1567"/>
      <w:bookmarkEnd w:id="1567"/>
      <w:r>
        <w:rPr/>
      </w:r>
      <w:bookmarkStart w:name="_bookmark521" w:id="1568"/>
      <w:bookmarkEnd w:id="1568"/>
      <w:r>
        <w:rPr>
          <w:color w:val="4F81BC"/>
        </w:rPr>
        <w:t>COUPD</w:t>
      </w:r>
      <w:r>
        <w:rPr>
          <w:color w:val="4F81BC"/>
        </w:rPr>
        <w:t>AYS</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COUPDAYS ( </w:t>
      </w:r>
      <w:r>
        <w:rPr>
          <w:i/>
          <w:sz w:val="22"/>
        </w:rPr>
        <w:t>settlement </w:t>
      </w:r>
      <w:r>
        <w:rPr>
          <w:rFonts w:ascii="Lucida Console"/>
          <w:sz w:val="20"/>
        </w:rPr>
        <w:t>, </w:t>
      </w:r>
      <w:r>
        <w:rPr>
          <w:i/>
          <w:sz w:val="22"/>
        </w:rPr>
        <w:t>maturity </w:t>
      </w:r>
      <w:r>
        <w:rPr>
          <w:rFonts w:ascii="Lucida Console"/>
          <w:sz w:val="20"/>
        </w:rPr>
        <w:t>, </w:t>
      </w:r>
      <w:r>
        <w:rPr>
          <w:i/>
          <w:sz w:val="22"/>
        </w:rPr>
        <w:t>frequency </w:t>
      </w:r>
      <w:r>
        <w:rPr>
          <w:sz w:val="22"/>
        </w:rPr>
        <w:t>[ </w:t>
      </w:r>
      <w:r>
        <w:rPr>
          <w:rFonts w:ascii="Lucida Console"/>
          <w:sz w:val="20"/>
        </w:rPr>
        <w:t>,</w:t>
      </w:r>
      <w:r>
        <w:rPr>
          <w:rFonts w:ascii="Lucida Console"/>
          <w:spacing w:val="-70"/>
          <w:sz w:val="20"/>
        </w:rPr>
        <w:t> </w:t>
      </w:r>
      <w:r>
        <w:rPr>
          <w:sz w:val="22"/>
        </w:rPr>
        <w:t>[  </w:t>
      </w:r>
      <w:r>
        <w:rPr>
          <w:i/>
          <w:sz w:val="22"/>
        </w:rPr>
        <w:t>basis </w:t>
      </w:r>
      <w:r>
        <w:rPr>
          <w:sz w:val="22"/>
        </w:rPr>
        <w:t>] ]  </w:t>
      </w:r>
      <w:r>
        <w:rPr>
          <w:rFonts w:ascii="Lucida Console"/>
          <w:sz w:val="20"/>
        </w:rPr>
        <w:t>)</w:t>
      </w:r>
    </w:p>
    <w:p>
      <w:pPr>
        <w:pStyle w:val="BodyText"/>
        <w:spacing w:before="111"/>
        <w:ind w:left="220"/>
      </w:pPr>
      <w:r>
        <w:rPr>
          <w:b/>
        </w:rPr>
        <w:t>Description</w:t>
      </w:r>
      <w:r>
        <w:rPr/>
        <w:t>: Computes the number of days in the coupon period that contains the settlement date.</w:t>
      </w:r>
    </w:p>
    <w:p>
      <w:pPr>
        <w:pStyle w:val="BodyText"/>
        <w:spacing w:before="8"/>
        <w:rPr>
          <w:sz w:val="19"/>
        </w:rPr>
      </w:pPr>
    </w:p>
    <w:p>
      <w:pPr>
        <w:pStyle w:val="Heading4"/>
        <w:rPr>
          <w:b w:val="0"/>
        </w:rPr>
      </w:pPr>
      <w:r>
        <w:rPr/>
        <w:t>Arguments</w:t>
      </w:r>
      <w:r>
        <w:rPr>
          <w:b w:val="0"/>
        </w:rPr>
        <w:t>:</w:t>
      </w:r>
    </w:p>
    <w:p>
      <w:pPr>
        <w:spacing w:after="0"/>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1158"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424"/>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82"/>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82"/>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142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w:t>
            </w:r>
            <w:r>
              <w:rPr>
                <w:spacing w:val="2"/>
                <w:sz w:val="22"/>
              </w:rPr>
              <w:t> </w:t>
            </w:r>
            <w:r>
              <w:rPr>
                <w:spacing w:val="-6"/>
                <w:sz w:val="22"/>
              </w:rPr>
              <w:t>the</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1214"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262"/>
              <w:rPr>
                <w:sz w:val="22"/>
              </w:rPr>
            </w:pPr>
            <w:r>
              <w:rPr>
                <w:sz w:val="22"/>
              </w:rPr>
              <w:t>date 29 February, the year is 366 days; otherwise it is 365 days.</w:t>
            </w:r>
          </w:p>
        </w:tc>
        <w:tc>
          <w:tcPr>
            <w:tcW w:w="403" w:type="dxa"/>
            <w:vMerge w:val="restart"/>
          </w:tcPr>
          <w:p>
            <w:pPr>
              <w:pStyle w:val="TableParagraph"/>
              <w:spacing w:before="0"/>
              <w:ind w:left="0"/>
              <w:rPr>
                <w:rFonts w:ascii="Times New Roman"/>
                <w:sz w:val="2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83"/>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83"/>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ind w:left="220"/>
      </w:pPr>
      <w:r>
        <w:rPr>
          <w:b/>
        </w:rPr>
        <w:t>Return Type and Value</w:t>
      </w:r>
      <w:r>
        <w:rPr/>
        <w:t>: number – The number of days in the coupon period that contains the settlement date.</w:t>
      </w:r>
    </w:p>
    <w:p>
      <w:pPr>
        <w:spacing w:after="0"/>
        <w:sectPr>
          <w:footerReference w:type="even" r:id="rId219"/>
          <w:footerReference w:type="default" r:id="rId220"/>
          <w:pgSz w:w="12240" w:h="15840"/>
          <w:pgMar w:footer="746" w:header="761" w:top="1340" w:bottom="940" w:left="860" w:right="700"/>
          <w:pgNumType w:start="2140"/>
        </w:sectPr>
      </w:pPr>
    </w:p>
    <w:p>
      <w:pPr>
        <w:pStyle w:val="BodyText"/>
        <w:spacing w:before="150"/>
        <w:ind w:left="220"/>
      </w:pPr>
      <w:r>
        <w:rPr/>
        <w:t>However, if</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6"/>
        <w:ind w:left="220"/>
        <w:rPr>
          <w:rFonts w:ascii="Consolas"/>
        </w:rPr>
      </w:pPr>
      <w:r>
        <w:rPr>
          <w:rFonts w:ascii="Consolas"/>
        </w:rPr>
        <w:t>COUPDAYS(DATE(2007,1,25),DATE(2008,11,15),2,1)</w:t>
      </w:r>
      <w:r>
        <w:rPr>
          <w:rFonts w:ascii="Consolas"/>
          <w:spacing w:val="-93"/>
        </w:rPr>
        <w:t> </w:t>
      </w:r>
      <w:r>
        <w:rPr/>
        <w:t>results in </w:t>
      </w:r>
      <w:r>
        <w:rPr>
          <w:rFonts w:ascii="Consolas"/>
        </w:rPr>
        <w:t>181 COUPDAYS(DATE(2007,1,25),DATE(2008,11,15),2)</w:t>
      </w:r>
      <w:r>
        <w:rPr>
          <w:rFonts w:ascii="Consolas"/>
          <w:spacing w:val="-75"/>
        </w:rPr>
        <w:t> </w:t>
      </w:r>
      <w:r>
        <w:rPr/>
        <w:t>results in </w:t>
      </w:r>
      <w:r>
        <w:rPr>
          <w:rFonts w:ascii="Consolas"/>
          <w:spacing w:val="-2"/>
        </w:rPr>
        <w:t>180</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59 COUPDAYSNC" w:id="1569"/>
      <w:bookmarkEnd w:id="1569"/>
      <w:r>
        <w:rPr/>
      </w:r>
      <w:bookmarkStart w:name="_bookmark522" w:id="1570"/>
      <w:bookmarkEnd w:id="1570"/>
      <w:r>
        <w:rPr/>
      </w:r>
      <w:bookmarkStart w:name="_bookmark522" w:id="1571"/>
      <w:bookmarkEnd w:id="1571"/>
      <w:r>
        <w:rPr>
          <w:color w:val="4F81BC"/>
        </w:rPr>
        <w:t>COUPD</w:t>
      </w:r>
      <w:r>
        <w:rPr>
          <w:color w:val="4F81BC"/>
        </w:rPr>
        <w:t>AYSNC</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COUPDAYSNC ( </w:t>
      </w:r>
      <w:r>
        <w:rPr>
          <w:i/>
          <w:sz w:val="22"/>
        </w:rPr>
        <w:t>settlement </w:t>
      </w:r>
      <w:r>
        <w:rPr>
          <w:rFonts w:ascii="Lucida Console"/>
          <w:sz w:val="20"/>
        </w:rPr>
        <w:t>, </w:t>
      </w:r>
      <w:r>
        <w:rPr>
          <w:i/>
          <w:sz w:val="22"/>
        </w:rPr>
        <w:t>maturity </w:t>
      </w:r>
      <w:r>
        <w:rPr>
          <w:rFonts w:ascii="Lucida Console"/>
          <w:sz w:val="20"/>
        </w:rPr>
        <w:t>, </w:t>
      </w:r>
      <w:r>
        <w:rPr>
          <w:i/>
          <w:sz w:val="22"/>
        </w:rPr>
        <w:t>frequency </w:t>
      </w:r>
      <w:r>
        <w:rPr>
          <w:sz w:val="22"/>
        </w:rPr>
        <w:t>[ </w:t>
      </w:r>
      <w:r>
        <w:rPr>
          <w:rFonts w:ascii="Lucida Console"/>
          <w:sz w:val="20"/>
        </w:rPr>
        <w:t>,</w:t>
      </w:r>
      <w:r>
        <w:rPr>
          <w:rFonts w:ascii="Lucida Console"/>
          <w:spacing w:val="-71"/>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number of days from the settlement date to the next coupon date.</w:t>
      </w:r>
    </w:p>
    <w:p>
      <w:pPr>
        <w:pStyle w:val="BodyText"/>
        <w:spacing w:before="8"/>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5"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1161"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424"/>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6"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278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84"/>
              </w:numPr>
              <w:tabs>
                <w:tab w:pos="838" w:val="left" w:leader="none"/>
              </w:tabs>
              <w:spacing w:line="240" w:lineRule="auto" w:before="2" w:after="0"/>
              <w:ind w:left="837" w:right="104" w:hanging="360"/>
              <w:jc w:val="both"/>
              <w:rPr>
                <w:sz w:val="22"/>
              </w:rPr>
            </w:pPr>
            <w:r>
              <w:rPr>
                <w:sz w:val="22"/>
              </w:rPr>
              <w:t>If the date is </w:t>
            </w:r>
            <w:r>
              <w:rPr>
                <w:spacing w:val="-7"/>
                <w:sz w:val="22"/>
              </w:rPr>
              <w:t>28 </w:t>
            </w:r>
            <w:r>
              <w:rPr>
                <w:sz w:val="22"/>
              </w:rPr>
              <w:t>or 29 February, it is adjusted</w:t>
            </w:r>
            <w:r>
              <w:rPr>
                <w:spacing w:val="-4"/>
                <w:sz w:val="22"/>
              </w:rPr>
              <w:t> </w:t>
            </w:r>
            <w:r>
              <w:rPr>
                <w:sz w:val="22"/>
              </w:rPr>
              <w:t>to</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253"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Pr>
                <w:sz w:val="22"/>
              </w:rPr>
            </w:pPr>
            <w:r>
              <w:rPr>
                <w:sz w:val="22"/>
              </w:rPr>
              <w:t>30 February.</w:t>
            </w:r>
          </w:p>
          <w:p>
            <w:pPr>
              <w:pStyle w:val="TableParagraph"/>
              <w:numPr>
                <w:ilvl w:val="0"/>
                <w:numId w:val="85"/>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Pr>
                <w:sz w:val="22"/>
              </w:rPr>
            </w:pPr>
            <w:r>
              <w:rPr>
                <w:sz w:val="22"/>
              </w:rPr>
              <w:t>Actual/360</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331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86"/>
              </w:numPr>
              <w:tabs>
                <w:tab w:pos="1198" w:val="left" w:leader="none"/>
              </w:tabs>
              <w:spacing w:line="240" w:lineRule="auto" w:before="0" w:after="0"/>
              <w:ind w:left="1197" w:right="99" w:hanging="360"/>
              <w:jc w:val="both"/>
              <w:rPr>
                <w:sz w:val="22"/>
              </w:rPr>
            </w:pPr>
            <w:r>
              <w:rPr>
                <w:sz w:val="22"/>
              </w:rPr>
              <w:t>If the date is 28 or 29 February, </w:t>
            </w:r>
            <w:r>
              <w:rPr>
                <w:spacing w:val="-8"/>
                <w:sz w:val="22"/>
              </w:rPr>
              <w:t>it</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037"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152"/>
              <w:rPr>
                <w:sz w:val="22"/>
              </w:rPr>
            </w:pPr>
            <w:r>
              <w:rPr>
                <w:sz w:val="22"/>
              </w:rPr>
              <w:t>is adjusted to 30 February.</w:t>
            </w:r>
          </w:p>
          <w:p>
            <w:pPr>
              <w:pStyle w:val="TableParagraph"/>
              <w:numPr>
                <w:ilvl w:val="0"/>
                <w:numId w:val="87"/>
              </w:numPr>
              <w:tabs>
                <w:tab w:pos="1197" w:val="left" w:leader="none"/>
                <w:tab w:pos="1198" w:val="left" w:leader="none"/>
              </w:tabs>
              <w:spacing w:line="237" w:lineRule="auto" w:before="4"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453" w:lineRule="auto" w:before="1"/>
        <w:ind w:left="220" w:right="973"/>
      </w:pPr>
      <w:r>
        <w:rPr>
          <w:b/>
        </w:rPr>
        <w:t>Return Type and Value</w:t>
      </w:r>
      <w:r>
        <w:rPr/>
        <w:t>: number – The number of days from the settlement date to the next coupon date.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6"/>
        <w:ind w:left="220"/>
        <w:rPr>
          <w:rFonts w:ascii="Consolas"/>
        </w:rPr>
      </w:pPr>
      <w:r>
        <w:rPr>
          <w:rFonts w:ascii="Consolas"/>
        </w:rPr>
        <w:t>COUPDAYSNC(DATE(2007,1,25),DATE(2008,11,15),2,1)</w:t>
      </w:r>
      <w:r>
        <w:rPr>
          <w:rFonts w:ascii="Consolas"/>
          <w:spacing w:val="-95"/>
        </w:rPr>
        <w:t> </w:t>
      </w:r>
      <w:r>
        <w:rPr/>
        <w:t>results in </w:t>
      </w:r>
      <w:r>
        <w:rPr>
          <w:rFonts w:ascii="Consolas"/>
        </w:rPr>
        <w:t>110 COUPDAYSNC(DATE(2007,1,25),DATE(2008,11,15),2)</w:t>
      </w:r>
      <w:r>
        <w:rPr>
          <w:rFonts w:ascii="Consolas"/>
          <w:spacing w:val="-76"/>
        </w:rPr>
        <w:t> </w:t>
      </w:r>
      <w:r>
        <w:rPr/>
        <w:t>results in </w:t>
      </w:r>
      <w:r>
        <w:rPr>
          <w:rFonts w:ascii="Consolas"/>
        </w:rPr>
        <w:t>110</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0 COUPNCD" w:id="1572"/>
      <w:bookmarkEnd w:id="1572"/>
      <w:r>
        <w:rPr/>
      </w:r>
      <w:bookmarkStart w:name="_bookmark523" w:id="1573"/>
      <w:bookmarkEnd w:id="1573"/>
      <w:r>
        <w:rPr/>
      </w:r>
      <w:bookmarkStart w:name="_bookmark523" w:id="1574"/>
      <w:bookmarkEnd w:id="1574"/>
      <w:r>
        <w:rPr>
          <w:color w:val="4F81BC"/>
        </w:rPr>
        <w:t>COUPNCD</w:t>
      </w:r>
    </w:p>
    <w:p>
      <w:pPr>
        <w:spacing w:before="114"/>
        <w:ind w:left="940" w:right="0" w:firstLine="0"/>
        <w:jc w:val="left"/>
        <w:rPr>
          <w:rFonts w:ascii="Lucida Console"/>
          <w:sz w:val="20"/>
        </w:rPr>
      </w:pPr>
      <w:r>
        <w:rPr>
          <w:rFonts w:ascii="Lucida Console"/>
          <w:sz w:val="20"/>
        </w:rPr>
        <w:t>COUPNCD ( </w:t>
      </w:r>
      <w:r>
        <w:rPr>
          <w:i/>
          <w:sz w:val="22"/>
        </w:rPr>
        <w:t>settlement </w:t>
      </w:r>
      <w:r>
        <w:rPr>
          <w:rFonts w:ascii="Lucida Console"/>
          <w:sz w:val="20"/>
        </w:rPr>
        <w:t>, </w:t>
      </w:r>
      <w:r>
        <w:rPr>
          <w:i/>
          <w:sz w:val="22"/>
        </w:rPr>
        <w:t>maturity </w:t>
      </w:r>
      <w:r>
        <w:rPr>
          <w:rFonts w:ascii="Lucida Console"/>
          <w:sz w:val="20"/>
        </w:rPr>
        <w:t>, </w:t>
      </w:r>
      <w:r>
        <w:rPr>
          <w:i/>
          <w:sz w:val="22"/>
        </w:rPr>
        <w:t>frequency  </w:t>
      </w:r>
      <w:r>
        <w:rPr>
          <w:sz w:val="22"/>
        </w:rPr>
        <w:t>[ </w:t>
      </w:r>
      <w:r>
        <w:rPr>
          <w:rFonts w:ascii="Lucida Console"/>
          <w:sz w:val="20"/>
        </w:rPr>
        <w:t>,</w:t>
      </w:r>
      <w:r>
        <w:rPr>
          <w:rFonts w:ascii="Lucida Console"/>
          <w:spacing w:val="-73"/>
          <w:sz w:val="20"/>
        </w:rPr>
        <w:t> </w:t>
      </w:r>
      <w:r>
        <w:rPr>
          <w:sz w:val="22"/>
        </w:rPr>
        <w:t>[  </w:t>
      </w:r>
      <w:r>
        <w:rPr>
          <w:i/>
          <w:sz w:val="22"/>
        </w:rPr>
        <w:t>basis </w:t>
      </w:r>
      <w:r>
        <w:rPr>
          <w:sz w:val="22"/>
        </w:rPr>
        <w:t>] ] </w:t>
      </w:r>
      <w:r>
        <w:rPr>
          <w:rFonts w:ascii="Lucida Console"/>
          <w:sz w:val="20"/>
        </w:rPr>
        <w:t>)</w:t>
      </w:r>
    </w:p>
    <w:p>
      <w:pPr>
        <w:pStyle w:val="BodyText"/>
        <w:spacing w:before="111"/>
        <w:ind w:left="220"/>
      </w:pPr>
      <w:r>
        <w:rPr>
          <w:b/>
        </w:rPr>
        <w:t>Description</w:t>
      </w:r>
      <w:r>
        <w:rPr/>
        <w:t>: Computes the next coupon date after the settlement date.</w:t>
      </w:r>
    </w:p>
    <w:p>
      <w:pPr>
        <w:pStyle w:val="BodyText"/>
        <w:spacing w:before="8"/>
        <w:rPr>
          <w:sz w:val="19"/>
        </w:rPr>
      </w:pPr>
    </w:p>
    <w:p>
      <w:pPr>
        <w:pStyle w:val="Heading4"/>
        <w:rPr>
          <w:b w:val="0"/>
        </w:rPr>
      </w:pPr>
      <w:r>
        <w:rPr/>
        <w:t>Arguments</w:t>
      </w:r>
      <w:r>
        <w:rPr>
          <w:b w:val="0"/>
        </w:rPr>
        <w:t>:</w:t>
      </w:r>
    </w:p>
    <w:p>
      <w:pPr>
        <w:spacing w:after="0"/>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1158"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424"/>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88"/>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88"/>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142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w:t>
            </w:r>
            <w:r>
              <w:rPr>
                <w:spacing w:val="2"/>
                <w:sz w:val="22"/>
              </w:rPr>
              <w:t> </w:t>
            </w:r>
            <w:r>
              <w:rPr>
                <w:spacing w:val="-6"/>
                <w:sz w:val="22"/>
              </w:rPr>
              <w:t>the</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1211"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262"/>
              <w:rPr>
                <w:sz w:val="22"/>
              </w:rPr>
            </w:pPr>
            <w:r>
              <w:rPr>
                <w:sz w:val="22"/>
              </w:rPr>
              <w:t>date 29 February, the year is 366 days; otherwise it is 365 days.</w:t>
            </w:r>
          </w:p>
        </w:tc>
        <w:tc>
          <w:tcPr>
            <w:tcW w:w="403" w:type="dxa"/>
            <w:vMerge w:val="restart"/>
          </w:tcPr>
          <w:p>
            <w:pPr>
              <w:pStyle w:val="TableParagraph"/>
              <w:spacing w:before="0"/>
              <w:ind w:left="0"/>
              <w:rPr>
                <w:rFonts w:ascii="Times New Roman"/>
                <w:sz w:val="2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4"/>
              <w:ind w:left="116"/>
              <w:rPr>
                <w:rFonts w:ascii="Consolas"/>
                <w:sz w:val="22"/>
              </w:rPr>
            </w:pPr>
            <w:r>
              <w:rPr>
                <w:rFonts w:ascii="Consolas"/>
                <w:w w:val="100"/>
                <w:sz w:val="22"/>
              </w:rPr>
              <w:t>2</w:t>
            </w:r>
          </w:p>
        </w:tc>
        <w:tc>
          <w:tcPr>
            <w:tcW w:w="2340" w:type="dxa"/>
          </w:tcPr>
          <w:p>
            <w:pPr>
              <w:pStyle w:val="TableParagraph"/>
              <w:spacing w:before="42"/>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89"/>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89"/>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spacing w:after="0"/>
        <w:sectPr>
          <w:pgSz w:w="12240" w:h="15840"/>
          <w:pgMar w:header="763" w:footer="746" w:top="1340" w:bottom="940" w:left="860" w:right="700"/>
        </w:sectPr>
      </w:pPr>
    </w:p>
    <w:p>
      <w:pPr>
        <w:spacing w:line="456" w:lineRule="auto" w:before="93"/>
        <w:ind w:left="220" w:right="2107" w:firstLine="0"/>
        <w:jc w:val="left"/>
        <w:rPr>
          <w:sz w:val="22"/>
        </w:rPr>
      </w:pPr>
      <w:r>
        <w:rPr>
          <w:b/>
          <w:sz w:val="22"/>
        </w:rPr>
        <w:t>Return Type and Value</w:t>
      </w:r>
      <w:r>
        <w:rPr>
          <w:sz w:val="22"/>
        </w:rPr>
        <w:t>: number – The next coupon date after the settlement date, as a date.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COUPNCD(DATE(2007,1,25),DATE(2008,11,15),2,1)</w:t>
      </w:r>
      <w:r>
        <w:rPr>
          <w:rFonts w:ascii="Consolas"/>
          <w:spacing w:val="-67"/>
        </w:rPr>
        <w:t> </w:t>
      </w:r>
      <w:r>
        <w:rPr/>
        <w:t>results in </w:t>
      </w:r>
      <w:r>
        <w:rPr>
          <w:rFonts w:ascii="Consolas"/>
        </w:rPr>
        <w:t>15-May-2007</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1 COUPNUM" w:id="1575"/>
      <w:bookmarkEnd w:id="1575"/>
      <w:r>
        <w:rPr/>
      </w:r>
      <w:bookmarkStart w:name="_bookmark524" w:id="1576"/>
      <w:bookmarkEnd w:id="1576"/>
      <w:r>
        <w:rPr/>
      </w:r>
      <w:bookmarkStart w:name="_bookmark524" w:id="1577"/>
      <w:bookmarkEnd w:id="1577"/>
      <w:r>
        <w:rPr>
          <w:color w:val="4F81BC"/>
        </w:rPr>
        <w:t>COUPNUM</w:t>
      </w:r>
    </w:p>
    <w:p>
      <w:pPr>
        <w:spacing w:before="116"/>
        <w:ind w:left="940" w:right="0" w:firstLine="0"/>
        <w:jc w:val="left"/>
        <w:rPr>
          <w:rFonts w:ascii="Lucida Console"/>
          <w:sz w:val="20"/>
        </w:rPr>
      </w:pPr>
      <w:r>
        <w:rPr>
          <w:rFonts w:ascii="Lucida Console"/>
          <w:sz w:val="20"/>
        </w:rPr>
        <w:t>COUPNUM ( </w:t>
      </w:r>
      <w:r>
        <w:rPr>
          <w:i/>
          <w:sz w:val="22"/>
        </w:rPr>
        <w:t>settlement </w:t>
      </w:r>
      <w:r>
        <w:rPr>
          <w:rFonts w:ascii="Lucida Console"/>
          <w:sz w:val="20"/>
        </w:rPr>
        <w:t>, </w:t>
      </w:r>
      <w:r>
        <w:rPr>
          <w:i/>
          <w:sz w:val="22"/>
        </w:rPr>
        <w:t>maturity </w:t>
      </w:r>
      <w:r>
        <w:rPr>
          <w:rFonts w:ascii="Lucida Console"/>
          <w:sz w:val="20"/>
        </w:rPr>
        <w:t>, </w:t>
      </w:r>
      <w:r>
        <w:rPr>
          <w:i/>
          <w:sz w:val="22"/>
        </w:rPr>
        <w:t>frequency  </w:t>
      </w:r>
      <w:r>
        <w:rPr>
          <w:sz w:val="22"/>
        </w:rPr>
        <w:t>[ </w:t>
      </w:r>
      <w:r>
        <w:rPr>
          <w:rFonts w:ascii="Lucida Console"/>
          <w:sz w:val="20"/>
        </w:rPr>
        <w:t>,</w:t>
      </w:r>
      <w:r>
        <w:rPr>
          <w:rFonts w:ascii="Lucida Console"/>
          <w:spacing w:val="-73"/>
          <w:sz w:val="20"/>
        </w:rPr>
        <w:t> </w:t>
      </w:r>
      <w:r>
        <w:rPr>
          <w:sz w:val="22"/>
        </w:rPr>
        <w:t>[  </w:t>
      </w:r>
      <w:r>
        <w:rPr>
          <w:i/>
          <w:sz w:val="22"/>
        </w:rPr>
        <w:t>basis </w:t>
      </w:r>
      <w:r>
        <w:rPr>
          <w:sz w:val="22"/>
        </w:rPr>
        <w:t>] ] </w:t>
      </w:r>
      <w:r>
        <w:rPr>
          <w:rFonts w:ascii="Lucida Console"/>
          <w:sz w:val="20"/>
        </w:rPr>
        <w:t>)</w:t>
      </w:r>
    </w:p>
    <w:p>
      <w:pPr>
        <w:pStyle w:val="BodyText"/>
        <w:spacing w:line="276" w:lineRule="auto" w:before="106"/>
        <w:ind w:left="220" w:right="1091"/>
      </w:pPr>
      <w:r>
        <w:rPr>
          <w:b/>
        </w:rPr>
        <w:t>Description</w:t>
      </w:r>
      <w:r>
        <w:rPr/>
        <w:t>: Computes the number of coupons payable between the settlement date and maturity date, rounded up to the nearest whole number.</w:t>
      </w:r>
    </w:p>
    <w:p>
      <w:pPr>
        <w:pStyle w:val="BodyText"/>
        <w:spacing w:before="5"/>
        <w:rPr>
          <w:sz w:val="16"/>
        </w:rPr>
      </w:pPr>
    </w:p>
    <w:p>
      <w:pPr>
        <w:pStyle w:val="Heading4"/>
        <w:spacing w:before="1"/>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5"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1161"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424"/>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6"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spacing w:before="42"/>
              <w:ind w:left="629" w:right="618"/>
              <w:jc w:val="center"/>
              <w:rPr>
                <w:b/>
                <w:sz w:val="22"/>
              </w:rPr>
            </w:pPr>
            <w:r>
              <w:rPr>
                <w:b/>
                <w:sz w:val="22"/>
              </w:rPr>
              <w:t>Value</w:t>
            </w:r>
          </w:p>
        </w:tc>
        <w:tc>
          <w:tcPr>
            <w:tcW w:w="2340" w:type="dxa"/>
            <w:shd w:val="clear" w:color="auto" w:fill="C0C0C0"/>
          </w:tcPr>
          <w:p>
            <w:pPr>
              <w:pStyle w:val="TableParagraph"/>
              <w:spacing w:before="42"/>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30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90"/>
              </w:numPr>
              <w:tabs>
                <w:tab w:pos="838" w:val="left" w:leader="none"/>
              </w:tabs>
              <w:spacing w:line="240" w:lineRule="auto" w:before="2"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4984"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numPr>
                <w:ilvl w:val="0"/>
                <w:numId w:val="91"/>
              </w:numPr>
              <w:tabs>
                <w:tab w:pos="837" w:val="left" w:leader="none"/>
                <w:tab w:pos="838" w:val="left" w:leader="none"/>
              </w:tabs>
              <w:spacing w:line="240" w:lineRule="auto" w:before="93"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30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92"/>
              </w:numPr>
              <w:tabs>
                <w:tab w:pos="1197" w:val="left" w:leader="none"/>
                <w:tab w:pos="1198" w:val="left" w:leader="none"/>
              </w:tabs>
              <w:spacing w:line="237" w:lineRule="auto" w:before="5" w:after="0"/>
              <w:ind w:left="1197" w:right="205" w:hanging="360"/>
              <w:jc w:val="left"/>
              <w:rPr>
                <w:sz w:val="22"/>
              </w:rPr>
            </w:pPr>
            <w:r>
              <w:rPr>
                <w:sz w:val="22"/>
              </w:rPr>
              <w:t>If the </w:t>
            </w:r>
            <w:r>
              <w:rPr>
                <w:spacing w:val="-6"/>
                <w:sz w:val="22"/>
              </w:rPr>
              <w:t>date </w:t>
            </w:r>
            <w:r>
              <w:rPr>
                <w:sz w:val="22"/>
              </w:rPr>
              <w:t>is 28 or</w:t>
            </w:r>
            <w:r>
              <w:rPr>
                <w:spacing w:val="-2"/>
                <w:sz w:val="22"/>
              </w:rPr>
              <w:t> </w:t>
            </w:r>
            <w:r>
              <w:rPr>
                <w:spacing w:val="-8"/>
                <w:sz w:val="22"/>
              </w:rPr>
              <w:t>29</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306"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84"/>
              <w:rPr>
                <w:sz w:val="22"/>
              </w:rPr>
            </w:pPr>
            <w:r>
              <w:rPr>
                <w:sz w:val="22"/>
              </w:rPr>
              <w:t>February, it is adjusted to 30 February.</w:t>
            </w:r>
          </w:p>
          <w:p>
            <w:pPr>
              <w:pStyle w:val="TableParagraph"/>
              <w:numPr>
                <w:ilvl w:val="0"/>
                <w:numId w:val="93"/>
              </w:numPr>
              <w:tabs>
                <w:tab w:pos="1197" w:val="left" w:leader="none"/>
                <w:tab w:pos="1198" w:val="left" w:leader="none"/>
              </w:tabs>
              <w:spacing w:line="237" w:lineRule="auto" w:before="4"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6"/>
        <w:rPr>
          <w:sz w:val="19"/>
        </w:rPr>
      </w:pPr>
    </w:p>
    <w:p>
      <w:pPr>
        <w:pStyle w:val="BodyText"/>
        <w:spacing w:line="278" w:lineRule="auto"/>
        <w:ind w:left="220" w:right="572"/>
      </w:pPr>
      <w:r>
        <w:rPr>
          <w:b/>
        </w:rPr>
        <w:t>Return Type and Value</w:t>
      </w:r>
      <w:r>
        <w:rPr/>
        <w:t>: number – The number of coupons payable between the settlement date and maturity date, rounded up to the nearest whole coupon.</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4"/>
          <w:sz w:val="22"/>
        </w:rPr>
        <w:t> </w:t>
      </w:r>
      <w:r>
        <w:rPr>
          <w:sz w:val="22"/>
        </w:rPr>
        <w:t>is returned.</w:t>
      </w:r>
    </w:p>
    <w:p>
      <w:pPr>
        <w:pStyle w:val="ListParagraph"/>
        <w:numPr>
          <w:ilvl w:val="4"/>
          <w:numId w:val="66"/>
        </w:numPr>
        <w:tabs>
          <w:tab w:pos="940" w:val="left" w:leader="none"/>
          <w:tab w:pos="941" w:val="left" w:leader="none"/>
        </w:tabs>
        <w:spacing w:line="444" w:lineRule="auto" w:before="42"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31"/>
        <w:ind w:left="220"/>
        <w:rPr>
          <w:rFonts w:ascii="Consolas"/>
        </w:rPr>
      </w:pPr>
      <w:r>
        <w:rPr>
          <w:rFonts w:ascii="Consolas"/>
        </w:rPr>
        <w:t>COUPNUM(DATE(2007,1,25),DATE(2008,11,15),2,1)</w:t>
      </w:r>
      <w:r>
        <w:rPr>
          <w:rFonts w:ascii="Consolas"/>
          <w:spacing w:val="-67"/>
        </w:rPr>
        <w:t> </w:t>
      </w:r>
      <w:r>
        <w:rPr/>
        <w:t>results in </w:t>
      </w:r>
      <w:r>
        <w:rPr>
          <w:rFonts w:ascii="Consolas"/>
        </w:rPr>
        <w:t>4</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2 COUPPCD" w:id="1578"/>
      <w:bookmarkEnd w:id="1578"/>
      <w:r>
        <w:rPr/>
      </w:r>
      <w:bookmarkStart w:name="_bookmark525" w:id="1579"/>
      <w:bookmarkEnd w:id="1579"/>
      <w:r>
        <w:rPr/>
      </w:r>
      <w:bookmarkStart w:name="_bookmark525" w:id="1580"/>
      <w:bookmarkEnd w:id="1580"/>
      <w:r>
        <w:rPr>
          <w:color w:val="4F81BC"/>
        </w:rPr>
        <w:t>COUP</w:t>
      </w:r>
      <w:r>
        <w:rPr>
          <w:color w:val="4F81BC"/>
        </w:rPr>
        <w:t>PCD</w:t>
      </w:r>
    </w:p>
    <w:p>
      <w:pPr>
        <w:spacing w:before="114"/>
        <w:ind w:left="940" w:right="0" w:firstLine="0"/>
        <w:jc w:val="left"/>
        <w:rPr>
          <w:rFonts w:ascii="Lucida Console"/>
          <w:sz w:val="20"/>
        </w:rPr>
      </w:pPr>
      <w:r>
        <w:rPr>
          <w:rFonts w:ascii="Lucida Console"/>
          <w:sz w:val="20"/>
        </w:rPr>
        <w:t>COUPPCD ( </w:t>
      </w:r>
      <w:r>
        <w:rPr>
          <w:i/>
          <w:sz w:val="22"/>
        </w:rPr>
        <w:t>settlement </w:t>
      </w:r>
      <w:r>
        <w:rPr>
          <w:rFonts w:ascii="Lucida Console"/>
          <w:sz w:val="20"/>
        </w:rPr>
        <w:t>, </w:t>
      </w:r>
      <w:r>
        <w:rPr>
          <w:i/>
          <w:sz w:val="22"/>
        </w:rPr>
        <w:t>maturity </w:t>
      </w:r>
      <w:r>
        <w:rPr>
          <w:rFonts w:ascii="Lucida Console"/>
          <w:sz w:val="20"/>
        </w:rPr>
        <w:t>, </w:t>
      </w:r>
      <w:r>
        <w:rPr>
          <w:i/>
          <w:sz w:val="22"/>
        </w:rPr>
        <w:t>frequency  </w:t>
      </w:r>
      <w:r>
        <w:rPr>
          <w:sz w:val="22"/>
        </w:rPr>
        <w:t>[ </w:t>
      </w:r>
      <w:r>
        <w:rPr>
          <w:rFonts w:ascii="Lucida Console"/>
          <w:sz w:val="20"/>
        </w:rPr>
        <w:t>,</w:t>
      </w:r>
      <w:r>
        <w:rPr>
          <w:rFonts w:ascii="Lucida Console"/>
          <w:spacing w:val="-73"/>
          <w:sz w:val="20"/>
        </w:rPr>
        <w:t> </w:t>
      </w:r>
      <w:r>
        <w:rPr>
          <w:sz w:val="22"/>
        </w:rPr>
        <w:t>[  </w:t>
      </w:r>
      <w:r>
        <w:rPr>
          <w:i/>
          <w:sz w:val="22"/>
        </w:rPr>
        <w:t>basis </w:t>
      </w:r>
      <w:r>
        <w:rPr>
          <w:sz w:val="22"/>
        </w:rPr>
        <w:t>] ] </w:t>
      </w:r>
      <w:r>
        <w:rPr>
          <w:rFonts w:ascii="Lucida Console"/>
          <w:sz w:val="20"/>
        </w:rPr>
        <w:t>)</w:t>
      </w:r>
    </w:p>
    <w:p>
      <w:pPr>
        <w:pStyle w:val="BodyText"/>
        <w:spacing w:before="111"/>
        <w:ind w:left="220"/>
      </w:pPr>
      <w:r>
        <w:rPr>
          <w:b/>
        </w:rPr>
        <w:t>Description</w:t>
      </w:r>
      <w:r>
        <w:rPr/>
        <w:t>: Computes the previous coupon date before the settlement date.</w:t>
      </w:r>
    </w:p>
    <w:p>
      <w:pPr>
        <w:pStyle w:val="BodyText"/>
        <w:spacing w:before="8"/>
        <w:rPr>
          <w:sz w:val="19"/>
        </w:rPr>
      </w:pPr>
    </w:p>
    <w:p>
      <w:pPr>
        <w:pStyle w:val="Heading4"/>
        <w:rPr>
          <w:b w:val="0"/>
        </w:rPr>
      </w:pPr>
      <w:r>
        <w:rPr/>
        <w:t>Arguments</w:t>
      </w:r>
      <w:r>
        <w:rPr>
          <w:b w:val="0"/>
        </w:rPr>
        <w:t>:</w:t>
      </w:r>
    </w:p>
    <w:p>
      <w:pPr>
        <w:spacing w:after="0"/>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1158"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424"/>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94"/>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94"/>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142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w:t>
            </w:r>
            <w:r>
              <w:rPr>
                <w:spacing w:val="2"/>
                <w:sz w:val="22"/>
              </w:rPr>
              <w:t> </w:t>
            </w:r>
            <w:r>
              <w:rPr>
                <w:spacing w:val="-6"/>
                <w:sz w:val="22"/>
              </w:rPr>
              <w:t>the</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1214"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262"/>
              <w:rPr>
                <w:sz w:val="22"/>
              </w:rPr>
            </w:pPr>
            <w:r>
              <w:rPr>
                <w:sz w:val="22"/>
              </w:rPr>
              <w:t>date 29 February, the year is 366 days; otherwise it is 365 days.</w:t>
            </w:r>
          </w:p>
        </w:tc>
        <w:tc>
          <w:tcPr>
            <w:tcW w:w="403" w:type="dxa"/>
            <w:vMerge w:val="restart"/>
          </w:tcPr>
          <w:p>
            <w:pPr>
              <w:pStyle w:val="TableParagraph"/>
              <w:spacing w:before="0"/>
              <w:ind w:left="0"/>
              <w:rPr>
                <w:rFonts w:ascii="Times New Roman"/>
                <w:sz w:val="2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95"/>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95"/>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spacing w:before="0"/>
        <w:ind w:left="220" w:right="0" w:firstLine="0"/>
        <w:jc w:val="left"/>
        <w:rPr>
          <w:sz w:val="22"/>
        </w:rPr>
      </w:pPr>
      <w:r>
        <w:rPr>
          <w:b/>
          <w:sz w:val="22"/>
        </w:rPr>
        <w:t>Return Type and Value</w:t>
      </w:r>
      <w:r>
        <w:rPr>
          <w:sz w:val="22"/>
        </w:rPr>
        <w:t>: number – The previous coupon date before the settlement date, as a date.</w:t>
      </w:r>
    </w:p>
    <w:p>
      <w:pPr>
        <w:spacing w:after="0"/>
        <w:jc w:val="left"/>
        <w:rPr>
          <w:sz w:val="22"/>
        </w:rPr>
        <w:sectPr>
          <w:footerReference w:type="even" r:id="rId221"/>
          <w:footerReference w:type="default" r:id="rId222"/>
          <w:pgSz w:w="12240" w:h="15840"/>
          <w:pgMar w:footer="746" w:header="761" w:top="1340" w:bottom="940" w:left="860" w:right="700"/>
          <w:pgNumType w:start="2150"/>
        </w:sectPr>
      </w:pPr>
    </w:p>
    <w:p>
      <w:pPr>
        <w:pStyle w:val="BodyText"/>
        <w:spacing w:before="150"/>
        <w:ind w:left="220"/>
      </w:pPr>
      <w:r>
        <w:rPr/>
        <w:t>However, if</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COUPPCD(DATE(2007,1,25),DATE(2008,11,15),2,1)</w:t>
      </w:r>
      <w:r>
        <w:rPr>
          <w:rFonts w:ascii="Consolas"/>
          <w:spacing w:val="-67"/>
        </w:rPr>
        <w:t> </w:t>
      </w:r>
      <w:r>
        <w:rPr/>
        <w:t>results in </w:t>
      </w:r>
      <w:r>
        <w:rPr>
          <w:rFonts w:ascii="Consolas"/>
        </w:rPr>
        <w:t>15-Nov-2006</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3 COVAR" w:id="1581"/>
      <w:bookmarkEnd w:id="1581"/>
      <w:r>
        <w:rPr/>
      </w:r>
      <w:bookmarkStart w:name="_bookmark526" w:id="1582"/>
      <w:bookmarkEnd w:id="1582"/>
      <w:r>
        <w:rPr/>
      </w:r>
      <w:bookmarkStart w:name="_bookmark526" w:id="1583"/>
      <w:bookmarkEnd w:id="1583"/>
      <w:r>
        <w:rPr>
          <w:color w:val="4F81BC"/>
        </w:rPr>
        <w:t>CO</w:t>
      </w:r>
      <w:r>
        <w:rPr>
          <w:color w:val="4F81BC"/>
        </w:rPr>
        <w:t>VAR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COVAR ( </w:t>
      </w:r>
      <w:r>
        <w:rPr>
          <w:i/>
          <w:sz w:val="22"/>
        </w:rPr>
        <w:t>array-1 </w:t>
      </w:r>
      <w:r>
        <w:rPr>
          <w:rFonts w:ascii="Lucida Console"/>
          <w:sz w:val="20"/>
        </w:rPr>
        <w:t>, </w:t>
      </w:r>
      <w:r>
        <w:rPr>
          <w:i/>
          <w:sz w:val="22"/>
        </w:rPr>
        <w:t>array-2 </w:t>
      </w:r>
      <w:r>
        <w:rPr>
          <w:rFonts w:ascii="Lucida Console"/>
          <w:sz w:val="20"/>
        </w:rPr>
        <w:t>)</w:t>
      </w:r>
    </w:p>
    <w:p>
      <w:pPr>
        <w:pStyle w:val="BodyText"/>
        <w:spacing w:line="276" w:lineRule="auto" w:before="108"/>
        <w:ind w:left="220" w:right="538"/>
      </w:pPr>
      <w:r>
        <w:rPr>
          <w:b/>
        </w:rPr>
        <w:t>Description: </w:t>
      </w:r>
      <w:r>
        <w:rPr/>
        <w:t>Computes covariance; that is, the average of the products of deviations for each data point pair in the two cell ranges designated by </w:t>
      </w:r>
      <w:r>
        <w:rPr>
          <w:rFonts w:ascii="Times New Roman"/>
          <w:i/>
        </w:rPr>
        <w:t>array-1 </w:t>
      </w:r>
      <w:r>
        <w:rPr/>
        <w:t>and </w:t>
      </w:r>
      <w:r>
        <w:rPr>
          <w:rFonts w:ascii="Times New Roman"/>
          <w:i/>
        </w:rPr>
        <w:t>array-2</w:t>
      </w:r>
      <w:r>
        <w:rPr/>
        <w:t>.</w:t>
      </w:r>
    </w:p>
    <w:p>
      <w:pPr>
        <w:spacing w:line="453" w:lineRule="auto" w:before="201"/>
        <w:ind w:left="220" w:right="8295" w:firstLine="0"/>
        <w:jc w:val="left"/>
        <w:rPr>
          <w:sz w:val="22"/>
        </w:rPr>
      </w:pPr>
      <w:r>
        <w:rPr>
          <w:b/>
          <w:sz w:val="22"/>
        </w:rPr>
        <w:t>Mathematical Formula</w:t>
      </w:r>
      <w:r>
        <w:rPr>
          <w:sz w:val="22"/>
        </w:rPr>
        <w:t>: The covariance is:</w:t>
      </w:r>
    </w:p>
    <w:p>
      <w:pPr>
        <w:spacing w:after="0" w:line="453" w:lineRule="auto"/>
        <w:jc w:val="left"/>
        <w:rPr>
          <w:sz w:val="22"/>
        </w:rPr>
        <w:sectPr>
          <w:pgSz w:w="12240" w:h="15840"/>
          <w:pgMar w:header="763" w:footer="746" w:top="1340" w:bottom="940" w:left="860" w:right="700"/>
        </w:sectPr>
      </w:pPr>
    </w:p>
    <w:p>
      <w:pPr>
        <w:pStyle w:val="BodyText"/>
        <w:spacing w:before="144"/>
        <w:ind w:left="220"/>
        <w:rPr>
          <w:rFonts w:ascii="Cambria Math" w:eastAsia="Cambria Math"/>
        </w:rPr>
      </w:pPr>
      <w:r>
        <w:rPr>
          <w:rFonts w:ascii="Cambria Math" w:eastAsia="Cambria Math"/>
        </w:rPr>
        <w:t>𝐶𝑜𝑣</w:t>
      </w:r>
      <w:r>
        <w:rPr>
          <w:rFonts w:ascii="Cambria Math" w:eastAsia="Cambria Math"/>
          <w:position w:val="1"/>
        </w:rPr>
        <w:t>(</w:t>
      </w:r>
      <w:r>
        <w:rPr>
          <w:rFonts w:ascii="Cambria Math" w:eastAsia="Cambria Math"/>
        </w:rPr>
        <w:t>𝑋, 𝑌</w:t>
      </w:r>
      <w:r>
        <w:rPr>
          <w:rFonts w:ascii="Cambria Math" w:eastAsia="Cambria Math"/>
          <w:position w:val="1"/>
        </w:rPr>
        <w:t>) </w:t>
      </w:r>
      <w:r>
        <w:rPr>
          <w:rFonts w:ascii="Cambria Math" w:eastAsia="Cambria Math"/>
        </w:rPr>
        <w:t>=</w:t>
      </w:r>
    </w:p>
    <w:p>
      <w:pPr>
        <w:pStyle w:val="BodyText"/>
        <w:spacing w:line="244" w:lineRule="exact"/>
        <w:ind w:left="101" w:right="7683"/>
        <w:jc w:val="center"/>
        <w:rPr>
          <w:rFonts w:ascii="Cambria Math" w:hAnsi="Cambria Math" w:eastAsia="Cambria Math"/>
        </w:rPr>
      </w:pPr>
      <w:r>
        <w:rPr/>
        <w:br w:type="column"/>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spacing w:val="-3"/>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w w:val="100"/>
          <w:position w:val="1"/>
        </w:rPr>
        <w:t>)</w:t>
      </w:r>
    </w:p>
    <w:p>
      <w:pPr>
        <w:pStyle w:val="BodyText"/>
        <w:spacing w:before="1"/>
        <w:rPr>
          <w:rFonts w:ascii="Cambria Math"/>
          <w:sz w:val="4"/>
        </w:rPr>
      </w:pPr>
    </w:p>
    <w:p>
      <w:pPr>
        <w:pStyle w:val="BodyText"/>
        <w:spacing w:line="20" w:lineRule="exact"/>
        <w:ind w:left="60"/>
        <w:rPr>
          <w:rFonts w:ascii="Cambria Math"/>
          <w:sz w:val="2"/>
        </w:rPr>
      </w:pPr>
      <w:r>
        <w:rPr>
          <w:rFonts w:ascii="Cambria Math"/>
          <w:sz w:val="2"/>
        </w:rPr>
        <w:pict>
          <v:group style="width:77.3pt;height:.75pt;mso-position-horizontal-relative:char;mso-position-vertical-relative:line" coordorigin="0,0" coordsize="1546,15">
            <v:line style="position:absolute" from="0,7" to="1546,7" stroked="true" strokeweight=".72pt" strokecolor="#000000">
              <v:stroke dashstyle="solid"/>
            </v:line>
          </v:group>
        </w:pict>
      </w:r>
      <w:r>
        <w:rPr>
          <w:rFonts w:ascii="Cambria Math"/>
          <w:sz w:val="2"/>
        </w:rPr>
      </w:r>
    </w:p>
    <w:p>
      <w:pPr>
        <w:pStyle w:val="BodyText"/>
        <w:ind w:left="97" w:right="7683"/>
        <w:jc w:val="center"/>
        <w:rPr>
          <w:rFonts w:ascii="Cambria Math" w:eastAsia="Cambria Math"/>
        </w:rPr>
      </w:pPr>
      <w:r>
        <w:rPr>
          <w:rFonts w:ascii="Cambria Math" w:eastAsia="Cambria Math"/>
        </w:rPr>
        <w:t>𝑛</w:t>
      </w:r>
    </w:p>
    <w:p>
      <w:pPr>
        <w:spacing w:after="0"/>
        <w:jc w:val="center"/>
        <w:rPr>
          <w:rFonts w:ascii="Cambria Math" w:eastAsia="Cambria Math"/>
        </w:rPr>
        <w:sectPr>
          <w:type w:val="continuous"/>
          <w:pgSz w:w="12240" w:h="15840"/>
          <w:pgMar w:top="1340" w:bottom="940" w:left="860" w:right="700"/>
          <w:cols w:num="2" w:equalWidth="0">
            <w:col w:w="1372" w:space="40"/>
            <w:col w:w="9268"/>
          </w:cols>
        </w:sectPr>
      </w:pPr>
    </w:p>
    <w:p>
      <w:pPr>
        <w:pStyle w:val="BodyText"/>
        <w:spacing w:before="7"/>
        <w:rPr>
          <w:rFonts w:ascii="Cambria Math"/>
          <w:sz w:val="11"/>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 </w:t>
      </w:r>
      <w:r>
        <w:rPr>
          <w:sz w:val="22"/>
        </w:rPr>
        <w:t>= the sample</w:t>
      </w:r>
      <w:r>
        <w:rPr>
          <w:spacing w:val="-4"/>
          <w:sz w:val="22"/>
        </w:rPr>
        <w:t> </w:t>
      </w:r>
      <w:r>
        <w:rPr>
          <w:sz w:val="22"/>
        </w:rPr>
        <w:t>size</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x </w:t>
      </w:r>
      <w:r>
        <w:rPr>
          <w:sz w:val="22"/>
        </w:rPr>
        <w:t>= a sample</w:t>
      </w:r>
      <w:r>
        <w:rPr>
          <w:spacing w:val="-10"/>
          <w:sz w:val="22"/>
        </w:rPr>
        <w:t> </w:t>
      </w:r>
      <w:r>
        <w:rPr>
          <w:sz w:val="22"/>
        </w:rPr>
        <w:t>value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array-1</w:t>
      </w:r>
      <w:r>
        <w:rPr>
          <w:rFonts w:ascii="Consolas" w:hAnsi="Consolas"/>
          <w:sz w:val="22"/>
        </w:rPr>
        <w:t>)</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y </w:t>
      </w:r>
      <w:r>
        <w:rPr>
          <w:sz w:val="22"/>
        </w:rPr>
        <w:t>= a sample</w:t>
      </w:r>
      <w:r>
        <w:rPr>
          <w:spacing w:val="-10"/>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array-2</w:t>
      </w:r>
      <w:r>
        <w:rPr>
          <w:rFonts w:ascii="Consolas" w:hAnsi="Consolas"/>
          <w:sz w:val="22"/>
        </w:rPr>
        <w:t>)</w:t>
      </w:r>
    </w:p>
    <w:p>
      <w:pPr>
        <w:pStyle w:val="Heading4"/>
        <w:spacing w:before="240"/>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40"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vMerge w:val="restart"/>
          </w:tcPr>
          <w:p>
            <w:pPr>
              <w:pStyle w:val="TableParagraph"/>
              <w:ind w:left="112" w:right="238"/>
              <w:jc w:val="both"/>
              <w:rPr>
                <w:sz w:val="22"/>
              </w:rPr>
            </w:pPr>
            <w:r>
              <w:rPr>
                <w:sz w:val="22"/>
              </w:rPr>
              <w:t>number, name, array, reference to number</w:t>
            </w:r>
          </w:p>
        </w:tc>
        <w:tc>
          <w:tcPr>
            <w:tcW w:w="5400" w:type="dxa"/>
            <w:vMerge w:val="restart"/>
          </w:tcPr>
          <w:p>
            <w:pPr>
              <w:pStyle w:val="TableParagraph"/>
              <w:ind w:left="113" w:right="384"/>
              <w:rPr>
                <w:sz w:val="22"/>
              </w:rPr>
            </w:pPr>
            <w:r>
              <w:rPr>
                <w:sz w:val="22"/>
              </w:rPr>
              <w:t>If an array or reference argument contains text, logical values, or empty cells, those values are ignored; however, cells with the value 0 are included.</w:t>
            </w:r>
          </w:p>
        </w:tc>
      </w:tr>
      <w:tr>
        <w:trPr>
          <w:trHeight w:val="541" w:hRule="atLeast"/>
        </w:trPr>
        <w:tc>
          <w:tcPr>
            <w:tcW w:w="1466" w:type="dxa"/>
          </w:tcPr>
          <w:p>
            <w:pPr>
              <w:pStyle w:val="TableParagraph"/>
              <w:spacing w:before="37"/>
              <w:rPr>
                <w:rFonts w:ascii="Times New Roman"/>
                <w:i/>
                <w:sz w:val="22"/>
              </w:rPr>
            </w:pPr>
            <w:r>
              <w:rPr>
                <w:rFonts w:ascii="Times New Roman"/>
                <w:i/>
                <w:sz w:val="22"/>
              </w:rPr>
              <w:t>array-2</w:t>
            </w:r>
          </w:p>
        </w:tc>
        <w:tc>
          <w:tcPr>
            <w:tcW w:w="1800" w:type="dxa"/>
            <w:vMerge/>
            <w:tcBorders>
              <w:top w:val="nil"/>
            </w:tcBorders>
          </w:tcPr>
          <w:p>
            <w:pPr>
              <w:rPr>
                <w:sz w:val="2"/>
                <w:szCs w:val="2"/>
              </w:rPr>
            </w:pPr>
          </w:p>
        </w:tc>
        <w:tc>
          <w:tcPr>
            <w:tcW w:w="5400" w:type="dxa"/>
            <w:vMerge/>
            <w:tcBorders>
              <w:top w:val="nil"/>
            </w:tcBorders>
          </w:tcPr>
          <w:p>
            <w:pPr>
              <w:rPr>
                <w:sz w:val="2"/>
                <w:szCs w:val="2"/>
              </w:rPr>
            </w:pP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The covariance.</w:t>
      </w:r>
    </w:p>
    <w:p>
      <w:pPr>
        <w:spacing w:after="0"/>
        <w:jc w:val="left"/>
        <w:rPr>
          <w:sz w:val="22"/>
        </w:rPr>
        <w:sectPr>
          <w:type w:val="continuous"/>
          <w:pgSz w:w="12240" w:h="15840"/>
          <w:pgMar w:top="1340" w:bottom="940" w:left="860" w:right="700"/>
        </w:sectPr>
      </w:pPr>
    </w:p>
    <w:p>
      <w:pPr>
        <w:pStyle w:val="BodyText"/>
        <w:spacing w:before="93"/>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array-1 </w:t>
      </w:r>
      <w:r>
        <w:rPr>
          <w:sz w:val="22"/>
        </w:rPr>
        <w:t>and </w:t>
      </w:r>
      <w:r>
        <w:rPr>
          <w:rFonts w:ascii="Times New Roman" w:hAnsi="Times New Roman"/>
          <w:i/>
          <w:sz w:val="22"/>
        </w:rPr>
        <w:t>array-2 </w:t>
      </w:r>
      <w:r>
        <w:rPr>
          <w:sz w:val="22"/>
        </w:rPr>
        <w:t>have a different number of data points, the return value is</w:t>
      </w:r>
      <w:r>
        <w:rPr>
          <w:spacing w:val="-26"/>
          <w:sz w:val="22"/>
        </w:rPr>
        <w:t> </w:t>
      </w:r>
      <w:r>
        <w:rPr>
          <w:sz w:val="22"/>
        </w:rPr>
        <w:t>unspecified.</w:t>
      </w:r>
    </w:p>
    <w:p>
      <w:pPr>
        <w:pStyle w:val="ListParagraph"/>
        <w:numPr>
          <w:ilvl w:val="4"/>
          <w:numId w:val="66"/>
        </w:numPr>
        <w:tabs>
          <w:tab w:pos="940" w:val="left" w:leader="none"/>
          <w:tab w:pos="941" w:val="left" w:leader="none"/>
        </w:tabs>
        <w:spacing w:line="444" w:lineRule="auto" w:before="42" w:after="0"/>
        <w:ind w:left="220" w:right="4419" w:firstLine="360"/>
        <w:jc w:val="left"/>
        <w:rPr>
          <w:sz w:val="22"/>
        </w:rPr>
      </w:pPr>
      <w:r>
        <w:rPr>
          <w:rFonts w:ascii="Times New Roman" w:hAnsi="Times New Roman"/>
          <w:i/>
          <w:sz w:val="22"/>
        </w:rPr>
        <w:t>array-1 </w:t>
      </w:r>
      <w:r>
        <w:rPr>
          <w:sz w:val="22"/>
        </w:rPr>
        <w:t>or </w:t>
      </w:r>
      <w:r>
        <w:rPr>
          <w:rFonts w:ascii="Times New Roman" w:hAnsi="Times New Roman"/>
          <w:i/>
          <w:sz w:val="22"/>
        </w:rPr>
        <w:t>array-2 </w:t>
      </w:r>
      <w:r>
        <w:rPr>
          <w:sz w:val="22"/>
        </w:rPr>
        <w:t>is empty, the return value is</w:t>
      </w:r>
      <w:r>
        <w:rPr>
          <w:spacing w:val="-28"/>
          <w:sz w:val="22"/>
        </w:rPr>
        <w:t> </w:t>
      </w:r>
      <w:r>
        <w:rPr>
          <w:sz w:val="22"/>
        </w:rPr>
        <w:t>unspecified. [</w:t>
      </w:r>
      <w:r>
        <w:rPr>
          <w:i/>
          <w:sz w:val="22"/>
        </w:rPr>
        <w:t>Example</w:t>
      </w:r>
      <w:r>
        <w:rPr>
          <w:sz w:val="22"/>
        </w:rPr>
        <w:t>:</w:t>
      </w:r>
    </w:p>
    <w:p>
      <w:pPr>
        <w:pStyle w:val="BodyText"/>
        <w:spacing w:before="131"/>
        <w:ind w:left="220"/>
        <w:rPr>
          <w:rFonts w:ascii="Consolas"/>
        </w:rPr>
      </w:pPr>
      <w:r>
        <w:rPr>
          <w:rFonts w:ascii="Consolas"/>
        </w:rPr>
        <w:t>COVAR({2.532,5.621;2.1,3.4},{5.32,2.765;5.2,6.7})</w:t>
      </w:r>
      <w:r>
        <w:rPr>
          <w:rFonts w:ascii="Consolas"/>
          <w:spacing w:val="-68"/>
        </w:rPr>
        <w:t> </w:t>
      </w:r>
      <w:r>
        <w:rPr/>
        <w:t>results in </w:t>
      </w:r>
      <w:r>
        <w:rPr>
          <w:rFonts w:ascii="Consolas"/>
        </w:rPr>
        <w:t>-1.375374</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4 CRITBINOM" w:id="1584"/>
      <w:bookmarkEnd w:id="1584"/>
      <w:r>
        <w:rPr/>
      </w:r>
      <w:bookmarkStart w:name="_bookmark527" w:id="1585"/>
      <w:bookmarkEnd w:id="1585"/>
      <w:r>
        <w:rPr/>
      </w:r>
      <w:bookmarkStart w:name="_bookmark527" w:id="1586"/>
      <w:bookmarkEnd w:id="1586"/>
      <w:r>
        <w:rPr>
          <w:color w:val="4F81BC"/>
        </w:rPr>
        <w:t>CR</w:t>
      </w:r>
      <w:r>
        <w:rPr>
          <w:color w:val="4F81BC"/>
        </w:rPr>
        <w:t>ITBINOM</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CRITBINOM ( </w:t>
      </w:r>
      <w:r>
        <w:rPr>
          <w:i/>
          <w:sz w:val="22"/>
        </w:rPr>
        <w:t>number-trials </w:t>
      </w:r>
      <w:r>
        <w:rPr>
          <w:rFonts w:ascii="Lucida Console"/>
          <w:sz w:val="20"/>
        </w:rPr>
        <w:t>, </w:t>
      </w:r>
      <w:r>
        <w:rPr>
          <w:i/>
          <w:sz w:val="22"/>
        </w:rPr>
        <w:t>success-probability </w:t>
      </w:r>
      <w:r>
        <w:rPr>
          <w:rFonts w:ascii="Lucida Console"/>
          <w:sz w:val="20"/>
        </w:rPr>
        <w:t>,</w:t>
      </w:r>
      <w:r>
        <w:rPr>
          <w:rFonts w:ascii="Lucida Console"/>
          <w:spacing w:val="-83"/>
          <w:sz w:val="20"/>
        </w:rPr>
        <w:t> </w:t>
      </w:r>
      <w:r>
        <w:rPr>
          <w:i/>
          <w:sz w:val="22"/>
        </w:rPr>
        <w:t>alpha </w:t>
      </w:r>
      <w:r>
        <w:rPr>
          <w:rFonts w:ascii="Lucida Console"/>
          <w:sz w:val="20"/>
        </w:rPr>
        <w:t>)</w:t>
      </w:r>
    </w:p>
    <w:p>
      <w:pPr>
        <w:pStyle w:val="BodyText"/>
        <w:spacing w:line="276" w:lineRule="auto" w:before="108"/>
        <w:ind w:left="220" w:right="371"/>
      </w:pPr>
      <w:r>
        <w:rPr>
          <w:b/>
        </w:rPr>
        <w:t>Description: </w:t>
      </w:r>
      <w:r>
        <w:rPr/>
        <w:t>Computes the smallest value for which the cumulative binomial distribution is greater than or equal to a criterion value.</w:t>
      </w:r>
    </w:p>
    <w:p>
      <w:pPr>
        <w:pStyle w:val="BodyText"/>
        <w:spacing w:before="5"/>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number-trials</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Bernoulli trials.</w:t>
            </w:r>
          </w:p>
        </w:tc>
      </w:tr>
      <w:tr>
        <w:trPr>
          <w:trHeight w:val="592" w:hRule="atLeast"/>
        </w:trPr>
        <w:tc>
          <w:tcPr>
            <w:tcW w:w="1466" w:type="dxa"/>
          </w:tcPr>
          <w:p>
            <w:pPr>
              <w:pStyle w:val="TableParagraph"/>
              <w:spacing w:before="37"/>
              <w:ind w:right="343"/>
              <w:rPr>
                <w:rFonts w:ascii="Times New Roman"/>
                <w:i/>
                <w:sz w:val="22"/>
              </w:rPr>
            </w:pPr>
            <w:r>
              <w:rPr>
                <w:rFonts w:ascii="Times New Roman"/>
                <w:i/>
                <w:sz w:val="22"/>
              </w:rPr>
              <w:t>success- </w:t>
            </w: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probability of success on each trial.</w:t>
            </w:r>
          </w:p>
        </w:tc>
      </w:tr>
      <w:tr>
        <w:trPr>
          <w:trHeight w:val="355" w:hRule="atLeast"/>
        </w:trPr>
        <w:tc>
          <w:tcPr>
            <w:tcW w:w="1466" w:type="dxa"/>
          </w:tcPr>
          <w:p>
            <w:pPr>
              <w:pStyle w:val="TableParagraph"/>
              <w:spacing w:before="37"/>
              <w:rPr>
                <w:rFonts w:ascii="Times New Roman"/>
                <w:i/>
                <w:sz w:val="22"/>
              </w:rPr>
            </w:pPr>
            <w:r>
              <w:rPr>
                <w:rFonts w:ascii="Times New Roman"/>
                <w:i/>
                <w:sz w:val="22"/>
              </w:rPr>
              <w:t>alpha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criterion value.</w:t>
            </w:r>
          </w:p>
        </w:tc>
      </w:tr>
    </w:tbl>
    <w:p>
      <w:pPr>
        <w:pStyle w:val="BodyText"/>
        <w:rPr>
          <w:b/>
        </w:rPr>
      </w:pPr>
    </w:p>
    <w:p>
      <w:pPr>
        <w:pStyle w:val="BodyText"/>
        <w:spacing w:before="5"/>
        <w:rPr>
          <w:b/>
          <w:sz w:val="19"/>
        </w:rPr>
      </w:pPr>
    </w:p>
    <w:p>
      <w:pPr>
        <w:pStyle w:val="BodyText"/>
        <w:spacing w:line="278" w:lineRule="auto"/>
        <w:ind w:left="220" w:right="591"/>
      </w:pPr>
      <w:r>
        <w:rPr>
          <w:b/>
        </w:rPr>
        <w:t>Return Type and Value: </w:t>
      </w:r>
      <w:r>
        <w:rPr/>
        <w:t>number – The smallest value for which the cumulative binomial distribution is greater than or equal to a criterion value.</w:t>
      </w:r>
    </w:p>
    <w:p>
      <w:pPr>
        <w:pStyle w:val="BodyText"/>
        <w:spacing w:before="198"/>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number-trials </w:t>
      </w:r>
      <w:r>
        <w:rPr>
          <w:sz w:val="22"/>
        </w:rPr>
        <w:t>&lt; 0,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success-probability </w:t>
      </w:r>
      <w:r>
        <w:rPr>
          <w:sz w:val="22"/>
        </w:rPr>
        <w:t>is &lt; 0 or </w:t>
      </w:r>
      <w:r>
        <w:rPr>
          <w:rFonts w:ascii="Times New Roman" w:hAnsi="Times New Roman"/>
          <w:i/>
          <w:sz w:val="22"/>
        </w:rPr>
        <w:t>success-probability </w:t>
      </w:r>
      <w:r>
        <w:rPr>
          <w:sz w:val="22"/>
        </w:rPr>
        <w:t>&gt; 1, </w:t>
      </w:r>
      <w:r>
        <w:rPr>
          <w:rFonts w:ascii="Consolas" w:hAnsi="Consolas"/>
          <w:sz w:val="22"/>
        </w:rPr>
        <w:t>#NUM!</w:t>
      </w:r>
      <w:r>
        <w:rPr>
          <w:rFonts w:ascii="Consolas" w:hAnsi="Consolas"/>
          <w:spacing w:val="-94"/>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06" w:firstLine="360"/>
        <w:jc w:val="left"/>
        <w:rPr>
          <w:sz w:val="22"/>
        </w:rPr>
      </w:pPr>
      <w:r>
        <w:rPr>
          <w:rFonts w:ascii="Times New Roman" w:hAnsi="Times New Roman"/>
          <w:i/>
          <w:sz w:val="22"/>
        </w:rPr>
        <w:t>alpha </w:t>
      </w:r>
      <w:r>
        <w:rPr>
          <w:sz w:val="22"/>
        </w:rPr>
        <w:t>&lt; 0 or </w:t>
      </w:r>
      <w:r>
        <w:rPr>
          <w:rFonts w:ascii="Times New Roman" w:hAnsi="Times New Roman"/>
          <w:i/>
          <w:sz w:val="22"/>
        </w:rPr>
        <w:t>alpha </w:t>
      </w:r>
      <w:r>
        <w:rPr>
          <w:sz w:val="22"/>
        </w:rPr>
        <w:t>&gt; 1, </w:t>
      </w:r>
      <w:r>
        <w:rPr>
          <w:rFonts w:ascii="Consolas" w:hAnsi="Consolas"/>
          <w:sz w:val="22"/>
        </w:rPr>
        <w:t>#NUM!</w:t>
      </w:r>
      <w:r>
        <w:rPr>
          <w:rFonts w:ascii="Consolas" w:hAnsi="Consolas"/>
          <w:spacing w:val="-90"/>
          <w:sz w:val="22"/>
        </w:rPr>
        <w:t> </w:t>
      </w:r>
      <w:r>
        <w:rPr>
          <w:sz w:val="22"/>
        </w:rPr>
        <w:t>is returned. [</w:t>
      </w:r>
      <w:r>
        <w:rPr>
          <w:i/>
          <w:sz w:val="22"/>
        </w:rPr>
        <w:t>Example</w:t>
      </w:r>
      <w:r>
        <w:rPr>
          <w:sz w:val="22"/>
        </w:rPr>
        <w:t>:</w:t>
      </w:r>
    </w:p>
    <w:p>
      <w:pPr>
        <w:pStyle w:val="BodyText"/>
        <w:spacing w:line="276" w:lineRule="auto" w:before="127"/>
        <w:ind w:left="220" w:right="6754"/>
        <w:rPr>
          <w:rFonts w:ascii="Consolas"/>
        </w:rPr>
      </w:pPr>
      <w:r>
        <w:rPr>
          <w:rFonts w:ascii="Consolas"/>
        </w:rPr>
        <w:t>CRITBINOM(6,0.5,0.75) </w:t>
      </w:r>
      <w:r>
        <w:rPr/>
        <w:t>results in </w:t>
      </w:r>
      <w:r>
        <w:rPr>
          <w:rFonts w:ascii="Consolas"/>
        </w:rPr>
        <w:t>4 CRITBINOM(12,0.3,0.95)</w:t>
      </w:r>
      <w:r>
        <w:rPr>
          <w:rFonts w:ascii="Consolas"/>
          <w:spacing w:val="-81"/>
        </w:rPr>
        <w:t> </w:t>
      </w:r>
      <w:r>
        <w:rPr/>
        <w:t>results in </w:t>
      </w:r>
      <w:r>
        <w:rPr>
          <w:rFonts w:ascii="Consolas"/>
        </w:rPr>
        <w:t>6</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65 CUBEKPIMEMBER" w:id="1587"/>
      <w:bookmarkEnd w:id="1587"/>
      <w:r>
        <w:rPr/>
      </w:r>
      <w:bookmarkStart w:name="_bookmark528" w:id="1588"/>
      <w:bookmarkEnd w:id="1588"/>
      <w:r>
        <w:rPr/>
      </w:r>
      <w:bookmarkStart w:name="_bookmark528" w:id="1589"/>
      <w:bookmarkEnd w:id="1589"/>
      <w:r>
        <w:rPr>
          <w:color w:val="4F81BC"/>
        </w:rPr>
        <w:t>C</w:t>
      </w:r>
      <w:r>
        <w:rPr>
          <w:color w:val="4F81BC"/>
        </w:rPr>
        <w:t>UBEKPIMEMBER</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CUBEKPIMEMBER ( </w:t>
      </w:r>
      <w:r>
        <w:rPr>
          <w:i/>
          <w:sz w:val="22"/>
        </w:rPr>
        <w:t>connection </w:t>
      </w:r>
      <w:r>
        <w:rPr>
          <w:rFonts w:ascii="Lucida Console"/>
          <w:sz w:val="20"/>
        </w:rPr>
        <w:t>,</w:t>
      </w:r>
      <w:r>
        <w:rPr>
          <w:rFonts w:ascii="Lucida Console"/>
          <w:spacing w:val="-71"/>
          <w:sz w:val="20"/>
        </w:rPr>
        <w:t> </w:t>
      </w:r>
      <w:r>
        <w:rPr>
          <w:i/>
          <w:sz w:val="22"/>
        </w:rPr>
        <w:t>kpi-name </w:t>
      </w:r>
      <w:r>
        <w:rPr>
          <w:rFonts w:ascii="Lucida Console"/>
          <w:sz w:val="20"/>
        </w:rPr>
        <w:t>, </w:t>
      </w:r>
      <w:r>
        <w:rPr>
          <w:i/>
          <w:sz w:val="22"/>
        </w:rPr>
        <w:t>kpi-property </w:t>
      </w:r>
      <w:r>
        <w:rPr>
          <w:sz w:val="22"/>
        </w:rPr>
        <w:t>[ </w:t>
      </w:r>
      <w:r>
        <w:rPr>
          <w:rFonts w:ascii="Lucida Console"/>
          <w:sz w:val="20"/>
        </w:rPr>
        <w:t>, </w:t>
      </w:r>
      <w:r>
        <w:rPr>
          <w:sz w:val="22"/>
        </w:rPr>
        <w:t>[  </w:t>
      </w:r>
      <w:r>
        <w:rPr>
          <w:i/>
          <w:sz w:val="22"/>
        </w:rPr>
        <w:t>caption </w:t>
      </w:r>
      <w:r>
        <w:rPr>
          <w:sz w:val="22"/>
        </w:rPr>
        <w:t>] ]  </w:t>
      </w:r>
      <w:r>
        <w:rPr>
          <w:rFonts w:ascii="Lucida Console"/>
          <w:sz w:val="20"/>
        </w:rPr>
        <w:t>)</w:t>
      </w:r>
    </w:p>
    <w:p>
      <w:pPr>
        <w:pStyle w:val="BodyText"/>
        <w:spacing w:line="276" w:lineRule="auto" w:before="105"/>
        <w:ind w:left="220" w:right="743"/>
      </w:pPr>
      <w:r>
        <w:rPr>
          <w:b/>
        </w:rPr>
        <w:t>Description</w:t>
      </w:r>
      <w:r>
        <w:rPr/>
        <w:t>: Fetches from the OLAP cube on the OLAP server designated by </w:t>
      </w:r>
      <w:r>
        <w:rPr>
          <w:rFonts w:ascii="Times New Roman"/>
          <w:i/>
        </w:rPr>
        <w:t>connection</w:t>
      </w:r>
      <w:r>
        <w:rPr/>
        <w:t>, a Key Performance Indicator (KPI) name, property, and measure, and displays the name and property in the cell. A KPI is a quantifiable measurement, such as monthly gross profit or quarterly employee turnover, used to monitor an organization's performance.</w:t>
      </w:r>
    </w:p>
    <w:p>
      <w:pPr>
        <w:pStyle w:val="BodyText"/>
        <w:spacing w:before="7"/>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056"/>
        <w:gridCol w:w="3384"/>
        <w:gridCol w:w="122"/>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connection</w:t>
            </w:r>
          </w:p>
        </w:tc>
        <w:tc>
          <w:tcPr>
            <w:tcW w:w="1800" w:type="dxa"/>
          </w:tcPr>
          <w:p>
            <w:pPr>
              <w:pStyle w:val="TableParagraph"/>
              <w:ind w:left="112"/>
              <w:rPr>
                <w:sz w:val="22"/>
              </w:rPr>
            </w:pPr>
            <w:r>
              <w:rPr>
                <w:sz w:val="22"/>
              </w:rPr>
              <w:t>text</w:t>
            </w:r>
          </w:p>
        </w:tc>
        <w:tc>
          <w:tcPr>
            <w:tcW w:w="5399" w:type="dxa"/>
            <w:gridSpan w:val="4"/>
          </w:tcPr>
          <w:p>
            <w:pPr>
              <w:pStyle w:val="TableParagraph"/>
              <w:ind w:left="113"/>
              <w:rPr>
                <w:sz w:val="22"/>
              </w:rPr>
            </w:pPr>
            <w:r>
              <w:rPr>
                <w:sz w:val="22"/>
              </w:rPr>
              <w:t>The name of the connection to the cube.</w:t>
            </w:r>
          </w:p>
        </w:tc>
      </w:tr>
      <w:tr>
        <w:trPr>
          <w:trHeight w:val="354" w:hRule="atLeast"/>
        </w:trPr>
        <w:tc>
          <w:tcPr>
            <w:tcW w:w="1466" w:type="dxa"/>
          </w:tcPr>
          <w:p>
            <w:pPr>
              <w:pStyle w:val="TableParagraph"/>
              <w:spacing w:before="37"/>
              <w:rPr>
                <w:rFonts w:ascii="Times New Roman"/>
                <w:i/>
                <w:sz w:val="22"/>
              </w:rPr>
            </w:pPr>
            <w:r>
              <w:rPr>
                <w:rFonts w:ascii="Times New Roman"/>
                <w:i/>
                <w:sz w:val="22"/>
              </w:rPr>
              <w:t>kpi-name</w:t>
            </w:r>
          </w:p>
        </w:tc>
        <w:tc>
          <w:tcPr>
            <w:tcW w:w="1800" w:type="dxa"/>
          </w:tcPr>
          <w:p>
            <w:pPr>
              <w:pStyle w:val="TableParagraph"/>
              <w:ind w:left="112"/>
              <w:rPr>
                <w:sz w:val="22"/>
              </w:rPr>
            </w:pPr>
            <w:r>
              <w:rPr>
                <w:sz w:val="22"/>
              </w:rPr>
              <w:t>text</w:t>
            </w:r>
          </w:p>
        </w:tc>
        <w:tc>
          <w:tcPr>
            <w:tcW w:w="5399" w:type="dxa"/>
            <w:gridSpan w:val="4"/>
          </w:tcPr>
          <w:p>
            <w:pPr>
              <w:pStyle w:val="TableParagraph"/>
              <w:ind w:left="113"/>
              <w:rPr>
                <w:sz w:val="22"/>
              </w:rPr>
            </w:pPr>
            <w:r>
              <w:rPr>
                <w:sz w:val="22"/>
              </w:rPr>
              <w:t>The name of the KPI in the cube.</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kpi-property</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183"/>
              <w:rPr>
                <w:sz w:val="22"/>
              </w:rPr>
            </w:pPr>
            <w:r>
              <w:rPr>
                <w:sz w:val="22"/>
              </w:rPr>
              <w:t>The KPI component to be returned, truncated to integer; it shall be one of the following:</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056" w:type="dxa"/>
            <w:shd w:val="clear" w:color="auto" w:fill="C0C0C0"/>
          </w:tcPr>
          <w:p>
            <w:pPr>
              <w:pStyle w:val="TableParagraph"/>
              <w:ind w:left="267"/>
              <w:rPr>
                <w:b/>
                <w:sz w:val="22"/>
              </w:rPr>
            </w:pPr>
            <w:r>
              <w:rPr>
                <w:b/>
                <w:sz w:val="22"/>
              </w:rPr>
              <w:t>Value</w:t>
            </w:r>
          </w:p>
        </w:tc>
        <w:tc>
          <w:tcPr>
            <w:tcW w:w="3384" w:type="dxa"/>
            <w:shd w:val="clear" w:color="auto" w:fill="C0C0C0"/>
          </w:tcPr>
          <w:p>
            <w:pPr>
              <w:pStyle w:val="TableParagraph"/>
              <w:ind w:left="1150" w:right="1137"/>
              <w:jc w:val="center"/>
              <w:rPr>
                <w:b/>
                <w:sz w:val="22"/>
              </w:rPr>
            </w:pPr>
            <w:r>
              <w:rPr>
                <w:b/>
                <w:sz w:val="22"/>
              </w:rPr>
              <w:t>Description</w:t>
            </w:r>
          </w:p>
        </w:tc>
        <w:tc>
          <w:tcPr>
            <w:tcW w:w="122"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56" w:type="dxa"/>
          </w:tcPr>
          <w:p>
            <w:pPr>
              <w:pStyle w:val="TableParagraph"/>
              <w:spacing w:before="42"/>
              <w:ind w:left="116"/>
              <w:rPr>
                <w:rFonts w:ascii="Consolas"/>
                <w:sz w:val="22"/>
              </w:rPr>
            </w:pPr>
            <w:r>
              <w:rPr>
                <w:rFonts w:ascii="Consolas"/>
                <w:w w:val="100"/>
                <w:sz w:val="22"/>
              </w:rPr>
              <w:t>1</w:t>
            </w:r>
          </w:p>
        </w:tc>
        <w:tc>
          <w:tcPr>
            <w:tcW w:w="3384" w:type="dxa"/>
          </w:tcPr>
          <w:p>
            <w:pPr>
              <w:pStyle w:val="TableParagraph"/>
              <w:ind w:left="116" w:right="342"/>
              <w:rPr>
                <w:sz w:val="22"/>
              </w:rPr>
            </w:pPr>
            <w:r>
              <w:rPr>
                <w:sz w:val="22"/>
              </w:rPr>
              <w:t>The actual value, at the time the function is executed.</w:t>
            </w:r>
          </w:p>
        </w:tc>
        <w:tc>
          <w:tcPr>
            <w:tcW w:w="122" w:type="dxa"/>
            <w:tcBorders>
              <w:top w:val="nil"/>
              <w:bottom w:val="nil"/>
            </w:tcBorders>
          </w:tcPr>
          <w:p>
            <w:pPr>
              <w:pStyle w:val="TableParagraph"/>
              <w:spacing w:before="0"/>
              <w:ind w:left="0"/>
              <w:rPr>
                <w:rFonts w:ascii="Times New Roman"/>
                <w:sz w:val="22"/>
              </w:rPr>
            </w:pPr>
          </w:p>
        </w:tc>
      </w:tr>
      <w:tr>
        <w:trPr>
          <w:trHeight w:val="143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56" w:type="dxa"/>
          </w:tcPr>
          <w:p>
            <w:pPr>
              <w:pStyle w:val="TableParagraph"/>
              <w:spacing w:before="44"/>
              <w:ind w:left="116"/>
              <w:rPr>
                <w:rFonts w:ascii="Consolas"/>
                <w:sz w:val="22"/>
              </w:rPr>
            </w:pPr>
            <w:r>
              <w:rPr>
                <w:rFonts w:ascii="Consolas"/>
                <w:w w:val="100"/>
                <w:sz w:val="22"/>
              </w:rPr>
              <w:t>2</w:t>
            </w:r>
          </w:p>
        </w:tc>
        <w:tc>
          <w:tcPr>
            <w:tcW w:w="3384" w:type="dxa"/>
          </w:tcPr>
          <w:p>
            <w:pPr>
              <w:pStyle w:val="TableParagraph"/>
              <w:spacing w:before="42"/>
              <w:ind w:left="116" w:right="204"/>
              <w:rPr>
                <w:sz w:val="22"/>
              </w:rPr>
            </w:pPr>
            <w:r>
              <w:rPr>
                <w:sz w:val="22"/>
              </w:rPr>
              <w:t>A target value of the KPI, which can be compared to the actual value in order to determine if the underlying indicator is meeting its goal.</w:t>
            </w:r>
          </w:p>
        </w:tc>
        <w:tc>
          <w:tcPr>
            <w:tcW w:w="122" w:type="dxa"/>
            <w:tcBorders>
              <w:top w:val="nil"/>
              <w:bottom w:val="nil"/>
            </w:tcBorders>
          </w:tcPr>
          <w:p>
            <w:pPr>
              <w:pStyle w:val="TableParagraph"/>
              <w:spacing w:before="0"/>
              <w:ind w:left="0"/>
              <w:rPr>
                <w:rFonts w:ascii="Times New Roman"/>
                <w:sz w:val="22"/>
              </w:rPr>
            </w:pPr>
          </w:p>
        </w:tc>
      </w:tr>
      <w:tr>
        <w:trPr>
          <w:trHeight w:val="6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56" w:type="dxa"/>
          </w:tcPr>
          <w:p>
            <w:pPr>
              <w:pStyle w:val="TableParagraph"/>
              <w:spacing w:before="42"/>
              <w:ind w:left="116"/>
              <w:rPr>
                <w:rFonts w:ascii="Consolas"/>
                <w:sz w:val="22"/>
              </w:rPr>
            </w:pPr>
            <w:r>
              <w:rPr>
                <w:rFonts w:ascii="Consolas"/>
                <w:w w:val="100"/>
                <w:sz w:val="22"/>
              </w:rPr>
              <w:t>3</w:t>
            </w:r>
          </w:p>
        </w:tc>
        <w:tc>
          <w:tcPr>
            <w:tcW w:w="3384" w:type="dxa"/>
          </w:tcPr>
          <w:p>
            <w:pPr>
              <w:pStyle w:val="TableParagraph"/>
              <w:ind w:left="116" w:right="394"/>
              <w:rPr>
                <w:sz w:val="22"/>
              </w:rPr>
            </w:pPr>
            <w:r>
              <w:rPr>
                <w:sz w:val="22"/>
              </w:rPr>
              <w:t>The state of the KPI at a specific moment in time</w:t>
            </w:r>
          </w:p>
        </w:tc>
        <w:tc>
          <w:tcPr>
            <w:tcW w:w="122"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56" w:type="dxa"/>
          </w:tcPr>
          <w:p>
            <w:pPr>
              <w:pStyle w:val="TableParagraph"/>
              <w:spacing w:before="42"/>
              <w:ind w:left="116"/>
              <w:rPr>
                <w:rFonts w:ascii="Consolas"/>
                <w:sz w:val="22"/>
              </w:rPr>
            </w:pPr>
            <w:r>
              <w:rPr>
                <w:rFonts w:ascii="Consolas"/>
                <w:w w:val="100"/>
                <w:sz w:val="22"/>
              </w:rPr>
              <w:t>4</w:t>
            </w:r>
          </w:p>
        </w:tc>
        <w:tc>
          <w:tcPr>
            <w:tcW w:w="3384" w:type="dxa"/>
          </w:tcPr>
          <w:p>
            <w:pPr>
              <w:pStyle w:val="TableParagraph"/>
              <w:ind w:left="116"/>
              <w:rPr>
                <w:sz w:val="22"/>
              </w:rPr>
            </w:pPr>
            <w:r>
              <w:rPr>
                <w:sz w:val="22"/>
              </w:rPr>
              <w:t>A measure of the value over time</w:t>
            </w:r>
          </w:p>
        </w:tc>
        <w:tc>
          <w:tcPr>
            <w:tcW w:w="122" w:type="dxa"/>
            <w:tcBorders>
              <w:top w:val="nil"/>
              <w:bottom w:val="nil"/>
            </w:tcBorders>
          </w:tcPr>
          <w:p>
            <w:pPr>
              <w:pStyle w:val="TableParagraph"/>
              <w:spacing w:before="0"/>
              <w:ind w:left="0"/>
              <w:rPr>
                <w:rFonts w:ascii="Times New Roman"/>
                <w:sz w:val="22"/>
              </w:rPr>
            </w:pPr>
          </w:p>
        </w:tc>
      </w:tr>
      <w:tr>
        <w:trPr>
          <w:trHeight w:val="330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56" w:type="dxa"/>
          </w:tcPr>
          <w:p>
            <w:pPr>
              <w:pStyle w:val="TableParagraph"/>
              <w:spacing w:before="42"/>
              <w:ind w:left="116"/>
              <w:rPr>
                <w:rFonts w:ascii="Consolas"/>
                <w:sz w:val="22"/>
              </w:rPr>
            </w:pPr>
            <w:r>
              <w:rPr>
                <w:rFonts w:ascii="Consolas"/>
                <w:w w:val="100"/>
                <w:sz w:val="22"/>
              </w:rPr>
              <w:t>5</w:t>
            </w:r>
          </w:p>
        </w:tc>
        <w:tc>
          <w:tcPr>
            <w:tcW w:w="3384" w:type="dxa"/>
          </w:tcPr>
          <w:p>
            <w:pPr>
              <w:pStyle w:val="TableParagraph"/>
              <w:ind w:left="116" w:right="129"/>
              <w:rPr>
                <w:sz w:val="22"/>
              </w:rPr>
            </w:pPr>
            <w:r>
              <w:rPr>
                <w:sz w:val="22"/>
              </w:rPr>
              <w:t>The relative importance assigned to the KPI on the server. If this KPI is assigned a parent KPI, then this number can be used on the server to proportionally adjust the results of this KPI value when calculating the value of the parent KPI. While this number can be shown in the spreadsheet application, it is assumed that it is used by the server for any calculations affecting the KPI.</w:t>
            </w:r>
          </w:p>
        </w:tc>
        <w:tc>
          <w:tcPr>
            <w:tcW w:w="122" w:type="dxa"/>
            <w:tcBorders>
              <w:top w:val="nil"/>
              <w:bottom w:val="nil"/>
            </w:tcBorders>
          </w:tcPr>
          <w:p>
            <w:pPr>
              <w:pStyle w:val="TableParagraph"/>
              <w:spacing w:before="0"/>
              <w:ind w:left="0"/>
              <w:rPr>
                <w:rFonts w:ascii="Times New Roman"/>
                <w:sz w:val="2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56" w:type="dxa"/>
          </w:tcPr>
          <w:p>
            <w:pPr>
              <w:pStyle w:val="TableParagraph"/>
              <w:spacing w:before="44"/>
              <w:ind w:left="116"/>
              <w:rPr>
                <w:rFonts w:ascii="Consolas"/>
                <w:sz w:val="22"/>
              </w:rPr>
            </w:pPr>
            <w:r>
              <w:rPr>
                <w:rFonts w:ascii="Consolas"/>
                <w:w w:val="100"/>
                <w:sz w:val="22"/>
              </w:rPr>
              <w:t>6</w:t>
            </w:r>
          </w:p>
        </w:tc>
        <w:tc>
          <w:tcPr>
            <w:tcW w:w="3384" w:type="dxa"/>
          </w:tcPr>
          <w:p>
            <w:pPr>
              <w:pStyle w:val="TableParagraph"/>
              <w:spacing w:before="42"/>
              <w:ind w:left="116" w:right="158"/>
              <w:rPr>
                <w:sz w:val="22"/>
              </w:rPr>
            </w:pPr>
            <w:r>
              <w:rPr>
                <w:sz w:val="22"/>
              </w:rPr>
              <w:t>The unique name of the member in the time dimension that defines the timeframe of the KPI.</w:t>
            </w:r>
          </w:p>
        </w:tc>
        <w:tc>
          <w:tcPr>
            <w:tcW w:w="122"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056"/>
        <w:gridCol w:w="3384"/>
        <w:gridCol w:w="122"/>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945"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tcBorders>
              <w:bottom w:val="nil"/>
            </w:tcBorders>
          </w:tcPr>
          <w:p>
            <w:pPr>
              <w:pStyle w:val="TableParagraph"/>
              <w:spacing w:before="0"/>
              <w:ind w:left="0"/>
              <w:rPr>
                <w:rFonts w:ascii="Times New Roman"/>
                <w:sz w:val="22"/>
              </w:rPr>
            </w:pPr>
          </w:p>
        </w:tc>
        <w:tc>
          <w:tcPr>
            <w:tcW w:w="1056" w:type="dxa"/>
          </w:tcPr>
          <w:p>
            <w:pPr>
              <w:pStyle w:val="TableParagraph"/>
              <w:spacing w:before="0"/>
              <w:ind w:left="0"/>
              <w:rPr>
                <w:rFonts w:ascii="Times New Roman"/>
                <w:sz w:val="22"/>
              </w:rPr>
            </w:pPr>
          </w:p>
        </w:tc>
        <w:tc>
          <w:tcPr>
            <w:tcW w:w="3384" w:type="dxa"/>
          </w:tcPr>
          <w:p>
            <w:pPr>
              <w:pStyle w:val="TableParagraph"/>
              <w:spacing w:before="92"/>
              <w:ind w:left="116" w:right="142"/>
              <w:rPr>
                <w:sz w:val="22"/>
              </w:rPr>
            </w:pPr>
            <w:r>
              <w:rPr>
                <w:sz w:val="22"/>
              </w:rPr>
              <w:t>[</w:t>
            </w:r>
            <w:r>
              <w:rPr>
                <w:i/>
                <w:sz w:val="22"/>
              </w:rPr>
              <w:t>Example</w:t>
            </w:r>
            <w:r>
              <w:rPr>
                <w:sz w:val="22"/>
              </w:rPr>
              <w:t>: A KPI could be associated with the first quarter of the year 2007. </w:t>
            </w:r>
            <w:r>
              <w:rPr>
                <w:i/>
                <w:sz w:val="22"/>
              </w:rPr>
              <w:t>end example</w:t>
            </w:r>
            <w:r>
              <w:rPr>
                <w:sz w:val="22"/>
              </w:rPr>
              <w:t>]</w:t>
            </w:r>
          </w:p>
        </w:tc>
        <w:tc>
          <w:tcPr>
            <w:tcW w:w="122" w:type="dxa"/>
            <w:tcBorders>
              <w:bottom w:val="nil"/>
            </w:tcBorders>
          </w:tcPr>
          <w:p>
            <w:pPr>
              <w:pStyle w:val="TableParagraph"/>
              <w:spacing w:before="0"/>
              <w:ind w:left="0"/>
              <w:rPr>
                <w:rFonts w:ascii="Times New Roman"/>
                <w:sz w:val="22"/>
              </w:rPr>
            </w:pPr>
          </w:p>
        </w:tc>
      </w:tr>
      <w:tr>
        <w:trPr>
          <w:trHeight w:val="58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5399" w:type="dxa"/>
            <w:gridSpan w:val="4"/>
            <w:tcBorders>
              <w:top w:val="nil"/>
            </w:tcBorders>
          </w:tcPr>
          <w:p>
            <w:pPr>
              <w:pStyle w:val="TableParagraph"/>
              <w:spacing w:before="9"/>
              <w:ind w:left="0"/>
              <w:rPr>
                <w:sz w:val="21"/>
              </w:rPr>
            </w:pPr>
          </w:p>
          <w:p>
            <w:pPr>
              <w:pStyle w:val="TableParagraph"/>
              <w:spacing w:before="0"/>
              <w:ind w:left="113"/>
              <w:rPr>
                <w:sz w:val="22"/>
              </w:rPr>
            </w:pPr>
            <w:r>
              <w:rPr>
                <w:sz w:val="22"/>
              </w:rPr>
              <w:t>If </w:t>
            </w:r>
            <w:r>
              <w:rPr>
                <w:rFonts w:ascii="Consolas"/>
                <w:sz w:val="22"/>
              </w:rPr>
              <w:t>1</w:t>
            </w:r>
            <w:r>
              <w:rPr>
                <w:rFonts w:ascii="Consolas"/>
                <w:spacing w:val="-90"/>
                <w:sz w:val="22"/>
              </w:rPr>
              <w:t> </w:t>
            </w:r>
            <w:r>
              <w:rPr>
                <w:sz w:val="22"/>
              </w:rPr>
              <w:t>is specified, only </w:t>
            </w:r>
            <w:r>
              <w:rPr>
                <w:rFonts w:ascii="Times New Roman"/>
                <w:i/>
                <w:sz w:val="22"/>
              </w:rPr>
              <w:t>kpi-name </w:t>
            </w:r>
            <w:r>
              <w:rPr>
                <w:sz w:val="22"/>
              </w:rPr>
              <w:t>is displayed in the cell.</w:t>
            </w:r>
          </w:p>
        </w:tc>
      </w:tr>
      <w:tr>
        <w:trPr>
          <w:trHeight w:val="623" w:hRule="atLeast"/>
        </w:trPr>
        <w:tc>
          <w:tcPr>
            <w:tcW w:w="1466" w:type="dxa"/>
          </w:tcPr>
          <w:p>
            <w:pPr>
              <w:pStyle w:val="TableParagraph"/>
              <w:spacing w:before="37"/>
              <w:rPr>
                <w:rFonts w:ascii="Times New Roman"/>
                <w:i/>
                <w:sz w:val="22"/>
              </w:rPr>
            </w:pPr>
            <w:r>
              <w:rPr>
                <w:rFonts w:ascii="Times New Roman"/>
                <w:i/>
                <w:sz w:val="22"/>
              </w:rPr>
              <w:t>caption</w:t>
            </w:r>
          </w:p>
        </w:tc>
        <w:tc>
          <w:tcPr>
            <w:tcW w:w="1800" w:type="dxa"/>
          </w:tcPr>
          <w:p>
            <w:pPr>
              <w:pStyle w:val="TableParagraph"/>
              <w:ind w:left="112"/>
              <w:rPr>
                <w:sz w:val="22"/>
              </w:rPr>
            </w:pPr>
            <w:r>
              <w:rPr>
                <w:sz w:val="22"/>
              </w:rPr>
              <w:t>text</w:t>
            </w:r>
          </w:p>
        </w:tc>
        <w:tc>
          <w:tcPr>
            <w:tcW w:w="5399" w:type="dxa"/>
            <w:gridSpan w:val="4"/>
          </w:tcPr>
          <w:p>
            <w:pPr>
              <w:pStyle w:val="TableParagraph"/>
              <w:ind w:left="113" w:right="272"/>
              <w:rPr>
                <w:sz w:val="22"/>
              </w:rPr>
            </w:pPr>
            <w:r>
              <w:rPr>
                <w:sz w:val="22"/>
              </w:rPr>
              <w:t>An alternative string whose value is displayed in the cell instead of </w:t>
            </w:r>
            <w:r>
              <w:rPr>
                <w:rFonts w:ascii="Times New Roman"/>
                <w:i/>
                <w:sz w:val="22"/>
              </w:rPr>
              <w:t>kpi-name </w:t>
            </w:r>
            <w:r>
              <w:rPr>
                <w:sz w:val="22"/>
              </w:rPr>
              <w:t>and </w:t>
            </w:r>
            <w:r>
              <w:rPr>
                <w:rFonts w:ascii="Times New Roman"/>
                <w:i/>
                <w:sz w:val="22"/>
              </w:rPr>
              <w:t>kpi-property</w:t>
            </w:r>
            <w:r>
              <w:rPr>
                <w:sz w:val="22"/>
              </w:rPr>
              <w:t>.</w:t>
            </w:r>
          </w:p>
        </w:tc>
      </w:tr>
    </w:tbl>
    <w:p>
      <w:pPr>
        <w:pStyle w:val="BodyText"/>
        <w:rPr>
          <w:sz w:val="20"/>
        </w:rPr>
      </w:pPr>
    </w:p>
    <w:p>
      <w:pPr>
        <w:pStyle w:val="BodyText"/>
        <w:rPr>
          <w:sz w:val="17"/>
        </w:rPr>
      </w:pPr>
    </w:p>
    <w:p>
      <w:pPr>
        <w:spacing w:line="453" w:lineRule="auto" w:before="56"/>
        <w:ind w:left="220" w:right="4118" w:firstLine="0"/>
        <w:jc w:val="left"/>
        <w:rPr>
          <w:sz w:val="22"/>
        </w:rPr>
      </w:pPr>
      <w:r>
        <w:rPr>
          <w:b/>
          <w:sz w:val="22"/>
        </w:rPr>
        <w:t>Return Type and Value</w:t>
      </w:r>
      <w:r>
        <w:rPr>
          <w:sz w:val="22"/>
        </w:rPr>
        <w:t>: any – The selected key performance indicator.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kpi-name </w:t>
      </w:r>
      <w:r>
        <w:rPr>
          <w:sz w:val="22"/>
        </w:rPr>
        <w:t>is not the name of a KPI in the cube, the return value is</w:t>
      </w:r>
      <w:r>
        <w:rPr>
          <w:spacing w:val="-19"/>
          <w:sz w:val="22"/>
        </w:rPr>
        <w:t> </w:t>
      </w:r>
      <w:r>
        <w:rPr>
          <w:sz w:val="22"/>
        </w:rPr>
        <w:t>unspecified.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kpi-property </w:t>
      </w:r>
      <w:r>
        <w:rPr>
          <w:sz w:val="22"/>
        </w:rPr>
        <w:t>is outside the range 1–6, </w:t>
      </w:r>
      <w:r>
        <w:rPr>
          <w:rFonts w:ascii="Consolas" w:hAnsi="Consolas"/>
          <w:sz w:val="22"/>
        </w:rPr>
        <w:t>#N/A</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73" w:lineRule="auto" w:before="42" w:after="0"/>
        <w:ind w:left="940" w:right="1261" w:hanging="360"/>
        <w:jc w:val="left"/>
        <w:rPr>
          <w:sz w:val="22"/>
        </w:rPr>
      </w:pPr>
      <w:r>
        <w:rPr>
          <w:sz w:val="22"/>
        </w:rPr>
        <w:t>The </w:t>
      </w:r>
      <w:r>
        <w:rPr>
          <w:rFonts w:ascii="Times New Roman" w:hAnsi="Times New Roman"/>
          <w:i/>
          <w:sz w:val="22"/>
        </w:rPr>
        <w:t>connection </w:t>
      </w:r>
      <w:r>
        <w:rPr>
          <w:sz w:val="22"/>
        </w:rPr>
        <w:t>name is not a workbook connection stored in the workbook, the return value is unspecified.</w:t>
      </w:r>
    </w:p>
    <w:p>
      <w:pPr>
        <w:pStyle w:val="ListParagraph"/>
        <w:numPr>
          <w:ilvl w:val="4"/>
          <w:numId w:val="66"/>
        </w:numPr>
        <w:tabs>
          <w:tab w:pos="940" w:val="left" w:leader="none"/>
          <w:tab w:pos="941" w:val="left" w:leader="none"/>
        </w:tabs>
        <w:spacing w:line="276" w:lineRule="auto" w:before="4" w:after="0"/>
        <w:ind w:left="940" w:right="1390" w:hanging="360"/>
        <w:jc w:val="left"/>
        <w:rPr>
          <w:sz w:val="22"/>
        </w:rPr>
      </w:pPr>
      <w:r>
        <w:rPr>
          <w:sz w:val="22"/>
        </w:rPr>
        <w:t>The OLAP server is not running, not available, or returns an error message, the return value is unspecified.</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11"/>
        <w:rPr>
          <w:sz w:val="28"/>
        </w:rPr>
      </w:pPr>
    </w:p>
    <w:p>
      <w:pPr>
        <w:pStyle w:val="BodyText"/>
        <w:ind w:left="220"/>
        <w:rPr>
          <w:rFonts w:ascii="Consolas"/>
        </w:rPr>
      </w:pPr>
      <w:r>
        <w:rPr>
          <w:rFonts w:ascii="Consolas"/>
        </w:rPr>
        <w:t>CUBEKPIMEMBER("Sales","MySalesKPI",1)</w:t>
      </w:r>
    </w:p>
    <w:p>
      <w:pPr>
        <w:pStyle w:val="BodyText"/>
        <w:spacing w:before="38"/>
        <w:ind w:left="220"/>
        <w:rPr>
          <w:rFonts w:ascii="Consolas"/>
        </w:rPr>
      </w:pPr>
      <w:r>
        <w:rPr>
          <w:rFonts w:ascii="Consolas"/>
        </w:rPr>
        <w:t>CUBEKPIMEMBER("Sales","MySalesKPI",2,"Sales KPI Goal")</w:t>
      </w:r>
    </w:p>
    <w:p>
      <w:pPr>
        <w:pStyle w:val="BodyText"/>
        <w:spacing w:before="8"/>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6 CUBEMEMBER" w:id="1590"/>
      <w:bookmarkEnd w:id="1590"/>
      <w:r>
        <w:rPr/>
      </w:r>
      <w:bookmarkStart w:name="_bookmark529" w:id="1591"/>
      <w:bookmarkEnd w:id="1591"/>
      <w:r>
        <w:rPr/>
      </w:r>
      <w:bookmarkStart w:name="_bookmark529" w:id="1592"/>
      <w:bookmarkEnd w:id="1592"/>
      <w:r>
        <w:rPr>
          <w:color w:val="4F81BC"/>
        </w:rPr>
        <w:t>C</w:t>
      </w:r>
      <w:r>
        <w:rPr>
          <w:color w:val="4F81BC"/>
        </w:rPr>
        <w:t>UBEMEMBER</w:t>
      </w:r>
    </w:p>
    <w:p>
      <w:pPr>
        <w:pStyle w:val="Heading4"/>
        <w:spacing w:before="123"/>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CUBEMEMBER ( </w:t>
      </w:r>
      <w:r>
        <w:rPr>
          <w:i/>
          <w:sz w:val="22"/>
        </w:rPr>
        <w:t>connection  </w:t>
      </w:r>
      <w:r>
        <w:rPr>
          <w:rFonts w:ascii="Lucida Console"/>
          <w:sz w:val="20"/>
        </w:rPr>
        <w:t>,</w:t>
      </w:r>
      <w:r>
        <w:rPr>
          <w:rFonts w:ascii="Lucida Console"/>
          <w:spacing w:val="-72"/>
          <w:sz w:val="20"/>
        </w:rPr>
        <w:t> </w:t>
      </w:r>
      <w:r>
        <w:rPr>
          <w:i/>
          <w:sz w:val="22"/>
        </w:rPr>
        <w:t>member-expression </w:t>
      </w:r>
      <w:r>
        <w:rPr>
          <w:rFonts w:ascii="Lucida Console"/>
          <w:sz w:val="20"/>
        </w:rPr>
        <w:t>, </w:t>
      </w:r>
      <w:r>
        <w:rPr>
          <w:sz w:val="22"/>
        </w:rPr>
        <w:t>[ </w:t>
      </w:r>
      <w:r>
        <w:rPr>
          <w:rFonts w:ascii="Lucida Console"/>
          <w:sz w:val="20"/>
        </w:rPr>
        <w:t>, </w:t>
      </w:r>
      <w:r>
        <w:rPr>
          <w:sz w:val="22"/>
        </w:rPr>
        <w:t>[  </w:t>
      </w:r>
      <w:r>
        <w:rPr>
          <w:i/>
          <w:sz w:val="22"/>
        </w:rPr>
        <w:t>caption  </w:t>
      </w:r>
      <w:r>
        <w:rPr>
          <w:sz w:val="22"/>
        </w:rPr>
        <w:t>] ] </w:t>
      </w:r>
      <w:r>
        <w:rPr>
          <w:rFonts w:ascii="Lucida Console"/>
          <w:sz w:val="20"/>
        </w:rPr>
        <w:t>)</w:t>
      </w:r>
    </w:p>
    <w:p>
      <w:pPr>
        <w:spacing w:line="276" w:lineRule="auto" w:before="105"/>
        <w:ind w:left="220" w:right="697" w:firstLine="0"/>
        <w:jc w:val="left"/>
        <w:rPr>
          <w:sz w:val="22"/>
        </w:rPr>
      </w:pPr>
      <w:r>
        <w:rPr>
          <w:b/>
          <w:sz w:val="22"/>
        </w:rPr>
        <w:t>Description</w:t>
      </w:r>
      <w:r>
        <w:rPr>
          <w:sz w:val="22"/>
        </w:rPr>
        <w:t>: Fetches from the OLAP cube on the OLAP server designated by </w:t>
      </w:r>
      <w:r>
        <w:rPr>
          <w:rFonts w:ascii="Times New Roman"/>
          <w:i/>
          <w:sz w:val="22"/>
        </w:rPr>
        <w:t>connection</w:t>
      </w:r>
      <w:r>
        <w:rPr>
          <w:sz w:val="22"/>
        </w:rPr>
        <w:t>, the member or tuple defined by </w:t>
      </w:r>
      <w:r>
        <w:rPr>
          <w:rFonts w:ascii="Times New Roman"/>
          <w:i/>
          <w:sz w:val="22"/>
        </w:rPr>
        <w:t>member-expression</w:t>
      </w:r>
      <w:r>
        <w:rPr>
          <w:sz w:val="22"/>
        </w:rPr>
        <w:t>. [</w:t>
      </w:r>
      <w:r>
        <w:rPr>
          <w:i/>
          <w:sz w:val="22"/>
        </w:rPr>
        <w:t>Note</w:t>
      </w:r>
      <w:r>
        <w:rPr>
          <w:sz w:val="22"/>
        </w:rPr>
        <w:t>: This function is used to ensure that the member or tuple exists in the cube. </w:t>
      </w:r>
      <w:r>
        <w:rPr>
          <w:i/>
          <w:sz w:val="22"/>
        </w:rPr>
        <w:t>end note</w:t>
      </w:r>
      <w:r>
        <w:rPr>
          <w:sz w:val="22"/>
        </w:rPr>
        <w:t>]</w:t>
      </w:r>
    </w:p>
    <w:p>
      <w:pPr>
        <w:pStyle w:val="BodyText"/>
        <w:spacing w:before="5"/>
        <w:rPr>
          <w:sz w:val="16"/>
        </w:rPr>
      </w:pPr>
    </w:p>
    <w:p>
      <w:pPr>
        <w:pStyle w:val="BodyText"/>
        <w:spacing w:line="278" w:lineRule="auto"/>
        <w:ind w:left="220" w:right="503"/>
      </w:pPr>
      <w:r>
        <w:rPr/>
        <w:t>When a call to </w:t>
      </w:r>
      <w:r>
        <w:rPr>
          <w:rFonts w:ascii="Consolas"/>
        </w:rPr>
        <w:t>CUBEMEMBER </w:t>
      </w:r>
      <w:r>
        <w:rPr/>
        <w:t>is used as an argument to another </w:t>
      </w:r>
      <w:r>
        <w:rPr>
          <w:rFonts w:ascii="Consolas"/>
        </w:rPr>
        <w:t>CUBExxx </w:t>
      </w:r>
      <w:r>
        <w:rPr/>
        <w:t>function, the MDX expression that identifies the member or tuple is used by that </w:t>
      </w:r>
      <w:r>
        <w:rPr>
          <w:rFonts w:ascii="Consolas"/>
        </w:rPr>
        <w:t>CUBExxx</w:t>
      </w:r>
      <w:r>
        <w:rPr>
          <w:rFonts w:ascii="Consolas"/>
          <w:spacing w:val="-97"/>
        </w:rPr>
        <w:t> </w:t>
      </w:r>
      <w:r>
        <w:rPr/>
        <w:t>function, rather than the displayed value in the cell of the </w:t>
      </w:r>
      <w:r>
        <w:rPr>
          <w:rFonts w:ascii="Consolas"/>
        </w:rPr>
        <w:t>CUBEMEMBER</w:t>
      </w:r>
      <w:r>
        <w:rPr>
          <w:rFonts w:ascii="Consolas"/>
          <w:spacing w:val="-69"/>
        </w:rPr>
        <w:t> </w:t>
      </w:r>
      <w:r>
        <w:rPr/>
        <w:t>function.</w:t>
      </w:r>
    </w:p>
    <w:p>
      <w:pPr>
        <w:pStyle w:val="Heading4"/>
        <w:spacing w:before="196"/>
        <w:rPr>
          <w:b w:val="0"/>
        </w:rPr>
      </w:pPr>
      <w:r>
        <w:rPr/>
        <w:t>Arguments</w:t>
      </w:r>
      <w:r>
        <w:rPr>
          <w:b w:val="0"/>
        </w:rPr>
        <w:t>:</w:t>
      </w:r>
    </w:p>
    <w:p>
      <w:pPr>
        <w:spacing w:after="0"/>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connection</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The name of the connection to the cube.</w:t>
            </w:r>
          </w:p>
        </w:tc>
      </w:tr>
      <w:tr>
        <w:trPr>
          <w:trHeight w:val="1427" w:hRule="atLeast"/>
        </w:trPr>
        <w:tc>
          <w:tcPr>
            <w:tcW w:w="1466" w:type="dxa"/>
          </w:tcPr>
          <w:p>
            <w:pPr>
              <w:pStyle w:val="TableParagraph"/>
              <w:spacing w:before="37"/>
              <w:ind w:right="380"/>
              <w:rPr>
                <w:rFonts w:ascii="Times New Roman"/>
                <w:i/>
                <w:sz w:val="22"/>
              </w:rPr>
            </w:pPr>
            <w:r>
              <w:rPr>
                <w:rFonts w:ascii="Times New Roman"/>
                <w:i/>
                <w:sz w:val="22"/>
              </w:rPr>
              <w:t>member- </w:t>
            </w:r>
            <w:r>
              <w:rPr>
                <w:rFonts w:ascii="Times New Roman"/>
                <w:i/>
                <w:sz w:val="22"/>
              </w:rPr>
              <w:t>expression</w:t>
            </w:r>
          </w:p>
        </w:tc>
        <w:tc>
          <w:tcPr>
            <w:tcW w:w="1800" w:type="dxa"/>
          </w:tcPr>
          <w:p>
            <w:pPr>
              <w:pStyle w:val="TableParagraph"/>
              <w:ind w:left="112" w:right="279"/>
              <w:rPr>
                <w:sz w:val="22"/>
              </w:rPr>
            </w:pPr>
            <w:r>
              <w:rPr>
                <w:sz w:val="22"/>
              </w:rPr>
              <w:t>text, reference, array</w:t>
            </w:r>
          </w:p>
        </w:tc>
        <w:tc>
          <w:tcPr>
            <w:tcW w:w="5400" w:type="dxa"/>
          </w:tcPr>
          <w:p>
            <w:pPr>
              <w:pStyle w:val="TableParagraph"/>
              <w:ind w:left="113" w:right="174"/>
              <w:rPr>
                <w:sz w:val="22"/>
              </w:rPr>
            </w:pPr>
            <w:r>
              <w:rPr>
                <w:sz w:val="22"/>
              </w:rPr>
              <w:t>A multidimensional expression (MDX) that evaluates to a unique member in the cube. Alternatively, </w:t>
            </w:r>
            <w:r>
              <w:rPr>
                <w:rFonts w:ascii="Times New Roman"/>
                <w:i/>
                <w:sz w:val="22"/>
              </w:rPr>
              <w:t>member- </w:t>
            </w:r>
            <w:r>
              <w:rPr>
                <w:rFonts w:ascii="Times New Roman"/>
                <w:i/>
                <w:sz w:val="22"/>
              </w:rPr>
              <w:t>expression </w:t>
            </w:r>
            <w:r>
              <w:rPr>
                <w:sz w:val="22"/>
              </w:rPr>
              <w:t>can be a tuple, specified as a cell range or an array constant. [</w:t>
            </w:r>
            <w:r>
              <w:rPr>
                <w:i/>
                <w:sz w:val="22"/>
              </w:rPr>
              <w:t>Note</w:t>
            </w:r>
            <w:r>
              <w:rPr>
                <w:sz w:val="22"/>
              </w:rPr>
              <w:t>: MDX is a standard query language for OLAP cubes. </w:t>
            </w:r>
            <w:r>
              <w:rPr>
                <w:i/>
                <w:sz w:val="22"/>
              </w:rPr>
              <w:t>end note</w:t>
            </w:r>
            <w:r>
              <w:rPr>
                <w:sz w:val="22"/>
              </w:rPr>
              <w:t>]</w:t>
            </w:r>
          </w:p>
        </w:tc>
      </w:tr>
      <w:tr>
        <w:trPr>
          <w:trHeight w:val="1161" w:hRule="atLeast"/>
        </w:trPr>
        <w:tc>
          <w:tcPr>
            <w:tcW w:w="1466" w:type="dxa"/>
          </w:tcPr>
          <w:p>
            <w:pPr>
              <w:pStyle w:val="TableParagraph"/>
              <w:spacing w:before="37"/>
              <w:rPr>
                <w:rFonts w:ascii="Times New Roman"/>
                <w:i/>
                <w:sz w:val="22"/>
              </w:rPr>
            </w:pPr>
            <w:r>
              <w:rPr>
                <w:rFonts w:ascii="Times New Roman"/>
                <w:i/>
                <w:sz w:val="22"/>
              </w:rPr>
              <w:t>caption</w:t>
            </w:r>
          </w:p>
        </w:tc>
        <w:tc>
          <w:tcPr>
            <w:tcW w:w="1800" w:type="dxa"/>
          </w:tcPr>
          <w:p>
            <w:pPr>
              <w:pStyle w:val="TableParagraph"/>
              <w:ind w:left="112"/>
              <w:rPr>
                <w:sz w:val="22"/>
              </w:rPr>
            </w:pPr>
            <w:r>
              <w:rPr>
                <w:sz w:val="22"/>
              </w:rPr>
              <w:t>text</w:t>
            </w:r>
          </w:p>
        </w:tc>
        <w:tc>
          <w:tcPr>
            <w:tcW w:w="5400" w:type="dxa"/>
          </w:tcPr>
          <w:p>
            <w:pPr>
              <w:pStyle w:val="TableParagraph"/>
              <w:ind w:left="113" w:right="129"/>
              <w:rPr>
                <w:sz w:val="22"/>
              </w:rPr>
            </w:pPr>
            <w:r>
              <w:rPr>
                <w:sz w:val="22"/>
              </w:rPr>
              <w:t>The string displayed in the cell instead of the caption from the cube (assuming it defines such a caption). When a tuple is returned, the caption used is the one for the last member in the</w:t>
            </w:r>
            <w:r>
              <w:rPr>
                <w:spacing w:val="-5"/>
                <w:sz w:val="22"/>
              </w:rPr>
              <w:t> </w:t>
            </w:r>
            <w:r>
              <w:rPr>
                <w:sz w:val="22"/>
              </w:rPr>
              <w:t>tuple.</w:t>
            </w:r>
          </w:p>
        </w:tc>
      </w:tr>
    </w:tbl>
    <w:p>
      <w:pPr>
        <w:pStyle w:val="BodyText"/>
        <w:rPr>
          <w:sz w:val="20"/>
        </w:rPr>
      </w:pPr>
    </w:p>
    <w:p>
      <w:pPr>
        <w:pStyle w:val="BodyText"/>
        <w:rPr>
          <w:sz w:val="17"/>
        </w:rPr>
      </w:pPr>
    </w:p>
    <w:p>
      <w:pPr>
        <w:spacing w:line="453" w:lineRule="auto" w:before="57"/>
        <w:ind w:left="220" w:right="4220" w:firstLine="0"/>
        <w:jc w:val="left"/>
        <w:rPr>
          <w:sz w:val="22"/>
        </w:rPr>
      </w:pPr>
      <w:r>
        <w:rPr>
          <w:b/>
          <w:sz w:val="22"/>
        </w:rPr>
        <w:t>Return Type and Value</w:t>
      </w:r>
      <w:r>
        <w:rPr>
          <w:sz w:val="22"/>
        </w:rPr>
        <w:t>: any – A member or tuple in a cube hierarchy. However, if</w:t>
      </w:r>
    </w:p>
    <w:p>
      <w:pPr>
        <w:pStyle w:val="ListParagraph"/>
        <w:numPr>
          <w:ilvl w:val="4"/>
          <w:numId w:val="66"/>
        </w:numPr>
        <w:tabs>
          <w:tab w:pos="940" w:val="left" w:leader="none"/>
          <w:tab w:pos="941" w:val="left" w:leader="none"/>
        </w:tabs>
        <w:spacing w:line="276" w:lineRule="auto" w:before="0" w:after="0"/>
        <w:ind w:left="940" w:right="1227" w:hanging="360"/>
        <w:jc w:val="left"/>
        <w:rPr>
          <w:sz w:val="22"/>
        </w:rPr>
      </w:pPr>
      <w:r>
        <w:rPr>
          <w:sz w:val="22"/>
        </w:rPr>
        <w:t>The connection name is not a workbook connection stored in the workbook, the return value is unspecified.</w:t>
      </w:r>
    </w:p>
    <w:p>
      <w:pPr>
        <w:pStyle w:val="ListParagraph"/>
        <w:numPr>
          <w:ilvl w:val="4"/>
          <w:numId w:val="66"/>
        </w:numPr>
        <w:tabs>
          <w:tab w:pos="940" w:val="left" w:leader="none"/>
          <w:tab w:pos="941" w:val="left" w:leader="none"/>
        </w:tabs>
        <w:spacing w:line="276" w:lineRule="auto" w:before="0" w:after="0"/>
        <w:ind w:left="940" w:right="1390" w:hanging="360"/>
        <w:jc w:val="left"/>
        <w:rPr>
          <w:sz w:val="22"/>
        </w:rPr>
      </w:pPr>
      <w:r>
        <w:rPr>
          <w:sz w:val="22"/>
        </w:rPr>
        <w:t>The OLAP server is not running, not available, or returns an error message, the return value is unspecified.</w:t>
      </w:r>
    </w:p>
    <w:p>
      <w:pPr>
        <w:pStyle w:val="ListParagraph"/>
        <w:numPr>
          <w:ilvl w:val="4"/>
          <w:numId w:val="66"/>
        </w:numPr>
        <w:tabs>
          <w:tab w:pos="940" w:val="left" w:leader="none"/>
          <w:tab w:pos="941" w:val="left" w:leader="none"/>
        </w:tabs>
        <w:spacing w:line="280" w:lineRule="exact" w:before="0" w:after="0"/>
        <w:ind w:left="940" w:right="0" w:hanging="361"/>
        <w:jc w:val="left"/>
        <w:rPr>
          <w:sz w:val="22"/>
        </w:rPr>
      </w:pPr>
      <w:r>
        <w:rPr>
          <w:sz w:val="22"/>
        </w:rPr>
        <w:t>At least one element within the tuple is invalid, the return value is</w:t>
      </w:r>
      <w:r>
        <w:rPr>
          <w:spacing w:val="-9"/>
          <w:sz w:val="22"/>
        </w:rPr>
        <w:t> </w:t>
      </w:r>
      <w:r>
        <w:rPr>
          <w:sz w:val="22"/>
        </w:rPr>
        <w:t>unspecified.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sz w:val="22"/>
        </w:rPr>
        <w:t>The syntax of </w:t>
      </w:r>
      <w:r>
        <w:rPr>
          <w:rFonts w:ascii="Times New Roman" w:hAnsi="Times New Roman"/>
          <w:i/>
          <w:sz w:val="22"/>
        </w:rPr>
        <w:t>member-expression </w:t>
      </w:r>
      <w:r>
        <w:rPr>
          <w:sz w:val="22"/>
        </w:rPr>
        <w:t>is incorrect,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sz w:val="22"/>
        </w:rPr>
        <w:t>The member specified by </w:t>
      </w:r>
      <w:r>
        <w:rPr>
          <w:rFonts w:ascii="Times New Roman" w:hAnsi="Times New Roman"/>
          <w:i/>
          <w:sz w:val="22"/>
        </w:rPr>
        <w:t>member-expression </w:t>
      </w:r>
      <w:r>
        <w:rPr>
          <w:sz w:val="22"/>
        </w:rPr>
        <w:t>doesn’t exist in the cube, the return value is</w:t>
      </w:r>
      <w:r>
        <w:rPr>
          <w:spacing w:val="-28"/>
          <w:sz w:val="22"/>
        </w:rPr>
        <w:t> </w:t>
      </w:r>
      <w:r>
        <w:rPr>
          <w:sz w:val="22"/>
        </w:rPr>
        <w:t>unspecified.</w:t>
      </w:r>
    </w:p>
    <w:p>
      <w:pPr>
        <w:pStyle w:val="ListParagraph"/>
        <w:numPr>
          <w:ilvl w:val="4"/>
          <w:numId w:val="66"/>
        </w:numPr>
        <w:tabs>
          <w:tab w:pos="940" w:val="left" w:leader="none"/>
          <w:tab w:pos="941" w:val="left" w:leader="none"/>
        </w:tabs>
        <w:spacing w:line="276" w:lineRule="auto" w:before="39" w:after="0"/>
        <w:ind w:left="940" w:right="1301" w:hanging="360"/>
        <w:jc w:val="left"/>
        <w:rPr>
          <w:sz w:val="22"/>
        </w:rPr>
      </w:pPr>
      <w:r>
        <w:rPr>
          <w:sz w:val="22"/>
        </w:rPr>
        <w:t>The tuple is invalid because there is no intersection for the specified values, the return value is unspecified.</w:t>
      </w:r>
    </w:p>
    <w:p>
      <w:pPr>
        <w:pStyle w:val="ListParagraph"/>
        <w:numPr>
          <w:ilvl w:val="4"/>
          <w:numId w:val="66"/>
        </w:numPr>
        <w:tabs>
          <w:tab w:pos="940" w:val="left" w:leader="none"/>
          <w:tab w:pos="941" w:val="left" w:leader="none"/>
        </w:tabs>
        <w:spacing w:line="278" w:lineRule="auto" w:before="0" w:after="0"/>
        <w:ind w:left="940" w:right="677" w:hanging="360"/>
        <w:jc w:val="left"/>
        <w:rPr>
          <w:sz w:val="22"/>
        </w:rPr>
      </w:pPr>
      <w:r>
        <w:rPr>
          <w:sz w:val="22"/>
        </w:rPr>
        <w:t>The set contains at least one member with a different dimension than the other members, the return value is</w:t>
      </w:r>
      <w:r>
        <w:rPr>
          <w:spacing w:val="-3"/>
          <w:sz w:val="22"/>
        </w:rPr>
        <w:t> </w:t>
      </w:r>
      <w:r>
        <w:rPr>
          <w:sz w:val="22"/>
        </w:rPr>
        <w:t>unspecified.</w:t>
      </w:r>
    </w:p>
    <w:p>
      <w:pPr>
        <w:spacing w:before="195"/>
        <w:ind w:left="220" w:right="0" w:firstLine="0"/>
        <w:jc w:val="left"/>
        <w:rPr>
          <w:sz w:val="22"/>
        </w:rPr>
      </w:pPr>
      <w:r>
        <w:rPr>
          <w:sz w:val="22"/>
        </w:rPr>
        <w:t>[</w:t>
      </w:r>
      <w:r>
        <w:rPr>
          <w:i/>
          <w:sz w:val="22"/>
        </w:rPr>
        <w:t>Example</w:t>
      </w:r>
      <w:r>
        <w:rPr>
          <w:sz w:val="22"/>
        </w:rPr>
        <w:t>:</w:t>
      </w:r>
    </w:p>
    <w:p>
      <w:pPr>
        <w:pStyle w:val="BodyText"/>
        <w:spacing w:before="8"/>
        <w:rPr>
          <w:sz w:val="28"/>
        </w:rPr>
      </w:pPr>
    </w:p>
    <w:p>
      <w:pPr>
        <w:pStyle w:val="BodyText"/>
        <w:spacing w:line="276" w:lineRule="auto" w:before="1"/>
        <w:ind w:left="220" w:right="4547"/>
        <w:rPr>
          <w:rFonts w:ascii="Consolas"/>
        </w:rPr>
      </w:pPr>
      <w:r>
        <w:rPr>
          <w:rFonts w:ascii="Consolas"/>
        </w:rPr>
        <w:t>CUBEMEMBER("Sales","[Time].[Fiscal].[2004]") CUBEMEMBER($A$1,D$12) CUBEMEMBER("Sales",(B4,C6,D5),"SalesFor2004")</w:t>
      </w:r>
    </w:p>
    <w:p>
      <w:pPr>
        <w:pStyle w:val="BodyText"/>
        <w:spacing w:line="276" w:lineRule="auto" w:before="1"/>
        <w:ind w:left="220"/>
        <w:rPr>
          <w:rFonts w:ascii="Consolas"/>
        </w:rPr>
      </w:pPr>
      <w:r>
        <w:rPr>
          <w:rFonts w:ascii="Consolas"/>
        </w:rPr>
        <w:t>CUBEMEMBER("Sales",{[Products].[Food];[Time].[Fiscal].[2004]}) CUBEMEMBER($A$1,C$12:D$12)</w:t>
      </w:r>
    </w:p>
    <w:p>
      <w:pPr>
        <w:pStyle w:val="BodyText"/>
        <w:spacing w:before="4"/>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7 CUBEMEMBERPROPERTY" w:id="1593"/>
      <w:bookmarkEnd w:id="1593"/>
      <w:r>
        <w:rPr/>
      </w:r>
      <w:bookmarkStart w:name="_bookmark530" w:id="1594"/>
      <w:bookmarkEnd w:id="1594"/>
      <w:r>
        <w:rPr/>
      </w:r>
      <w:bookmarkStart w:name="_bookmark530" w:id="1595"/>
      <w:bookmarkEnd w:id="1595"/>
      <w:r>
        <w:rPr>
          <w:color w:val="4F81BC"/>
        </w:rPr>
        <w:t>C</w:t>
      </w:r>
      <w:r>
        <w:rPr>
          <w:color w:val="4F81BC"/>
        </w:rPr>
        <w:t>UBEMEMBERPROPERTY</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CUBEMEMBERPROPERTY ( </w:t>
      </w:r>
      <w:r>
        <w:rPr>
          <w:i/>
          <w:sz w:val="22"/>
        </w:rPr>
        <w:t>connection </w:t>
      </w:r>
      <w:r>
        <w:rPr>
          <w:rFonts w:ascii="Lucida Console"/>
          <w:sz w:val="20"/>
        </w:rPr>
        <w:t>, </w:t>
      </w:r>
      <w:r>
        <w:rPr>
          <w:i/>
          <w:sz w:val="22"/>
        </w:rPr>
        <w:t>member-expression </w:t>
      </w:r>
      <w:r>
        <w:rPr>
          <w:rFonts w:ascii="Lucida Console"/>
          <w:sz w:val="20"/>
        </w:rPr>
        <w:t>,</w:t>
      </w:r>
      <w:r>
        <w:rPr>
          <w:rFonts w:ascii="Lucida Console"/>
          <w:spacing w:val="-86"/>
          <w:sz w:val="20"/>
        </w:rPr>
        <w:t> </w:t>
      </w:r>
      <w:r>
        <w:rPr>
          <w:i/>
          <w:sz w:val="22"/>
        </w:rPr>
        <w:t>property </w:t>
      </w:r>
      <w:r>
        <w:rPr>
          <w:rFonts w:ascii="Lucida Console"/>
          <w:sz w:val="20"/>
        </w:rPr>
        <w:t>)</w:t>
      </w:r>
    </w:p>
    <w:p>
      <w:pPr>
        <w:spacing w:after="0"/>
        <w:jc w:val="left"/>
        <w:rPr>
          <w:rFonts w:ascii="Lucida Console"/>
          <w:sz w:val="20"/>
        </w:rPr>
        <w:sectPr>
          <w:pgSz w:w="12240" w:h="15840"/>
          <w:pgMar w:header="763" w:footer="746" w:top="1340" w:bottom="940" w:left="860" w:right="700"/>
        </w:sectPr>
      </w:pPr>
    </w:p>
    <w:p>
      <w:pPr>
        <w:pStyle w:val="BodyText"/>
        <w:spacing w:line="276" w:lineRule="auto" w:before="90"/>
        <w:ind w:left="220" w:right="684"/>
      </w:pPr>
      <w:r>
        <w:rPr>
          <w:b/>
        </w:rPr>
        <w:t>Description</w:t>
      </w:r>
      <w:r>
        <w:rPr/>
        <w:t>: Fetches a property of a member in the OLAP cube on an OLAP server. [</w:t>
      </w:r>
      <w:r>
        <w:rPr>
          <w:i/>
        </w:rPr>
        <w:t>Note</w:t>
      </w:r>
      <w:r>
        <w:rPr/>
        <w:t>: Use this function o ensure that a member name exists within the cube and to return the specified property for this member. </w:t>
      </w:r>
      <w:r>
        <w:rPr>
          <w:i/>
        </w:rPr>
        <w:t>end </w:t>
      </w:r>
      <w:r>
        <w:rPr>
          <w:i/>
        </w:rPr>
        <w:t>note</w:t>
      </w:r>
      <w:r>
        <w:rPr/>
        <w:t>]</w:t>
      </w:r>
    </w:p>
    <w:p>
      <w:pPr>
        <w:pStyle w:val="BodyText"/>
        <w:spacing w:before="7"/>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connection</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The name of the connection to the cube.</w:t>
            </w:r>
          </w:p>
        </w:tc>
      </w:tr>
      <w:tr>
        <w:trPr>
          <w:trHeight w:val="892" w:hRule="atLeast"/>
        </w:trPr>
        <w:tc>
          <w:tcPr>
            <w:tcW w:w="1466" w:type="dxa"/>
          </w:tcPr>
          <w:p>
            <w:pPr>
              <w:pStyle w:val="TableParagraph"/>
              <w:spacing w:before="37"/>
              <w:ind w:right="380"/>
              <w:rPr>
                <w:rFonts w:ascii="Times New Roman"/>
                <w:i/>
                <w:sz w:val="22"/>
              </w:rPr>
            </w:pPr>
            <w:r>
              <w:rPr>
                <w:rFonts w:ascii="Times New Roman"/>
                <w:i/>
                <w:sz w:val="22"/>
              </w:rPr>
              <w:t>member- </w:t>
            </w:r>
            <w:r>
              <w:rPr>
                <w:rFonts w:ascii="Times New Roman"/>
                <w:i/>
                <w:sz w:val="22"/>
              </w:rPr>
              <w:t>expression</w:t>
            </w:r>
          </w:p>
        </w:tc>
        <w:tc>
          <w:tcPr>
            <w:tcW w:w="1800" w:type="dxa"/>
          </w:tcPr>
          <w:p>
            <w:pPr>
              <w:pStyle w:val="TableParagraph"/>
              <w:ind w:left="112"/>
              <w:rPr>
                <w:sz w:val="22"/>
              </w:rPr>
            </w:pPr>
            <w:r>
              <w:rPr>
                <w:sz w:val="22"/>
              </w:rPr>
              <w:t>text</w:t>
            </w:r>
          </w:p>
        </w:tc>
        <w:tc>
          <w:tcPr>
            <w:tcW w:w="5400" w:type="dxa"/>
          </w:tcPr>
          <w:p>
            <w:pPr>
              <w:pStyle w:val="TableParagraph"/>
              <w:ind w:left="113" w:right="174"/>
              <w:rPr>
                <w:sz w:val="22"/>
              </w:rPr>
            </w:pPr>
            <w:r>
              <w:rPr>
                <w:sz w:val="22"/>
              </w:rPr>
              <w:t>A multidimensional expression (MDX) that evaluates to a unique member in the cube. [</w:t>
            </w:r>
            <w:r>
              <w:rPr>
                <w:i/>
                <w:sz w:val="22"/>
              </w:rPr>
              <w:t>Note</w:t>
            </w:r>
            <w:r>
              <w:rPr>
                <w:sz w:val="22"/>
              </w:rPr>
              <w:t>: MDX is a standard query language for OLAP cubes. </w:t>
            </w:r>
            <w:r>
              <w:rPr>
                <w:i/>
                <w:sz w:val="22"/>
              </w:rPr>
              <w:t>end note</w:t>
            </w:r>
            <w:r>
              <w:rPr>
                <w:sz w:val="22"/>
              </w:rPr>
              <w:t>]</w:t>
            </w:r>
          </w:p>
        </w:tc>
      </w:tr>
      <w:tr>
        <w:trPr>
          <w:trHeight w:val="624" w:hRule="atLeast"/>
        </w:trPr>
        <w:tc>
          <w:tcPr>
            <w:tcW w:w="1466" w:type="dxa"/>
          </w:tcPr>
          <w:p>
            <w:pPr>
              <w:pStyle w:val="TableParagraph"/>
              <w:spacing w:before="37"/>
              <w:rPr>
                <w:rFonts w:ascii="Times New Roman"/>
                <w:i/>
                <w:sz w:val="22"/>
              </w:rPr>
            </w:pPr>
            <w:r>
              <w:rPr>
                <w:rFonts w:ascii="Times New Roman"/>
                <w:i/>
                <w:sz w:val="22"/>
              </w:rPr>
              <w:t>property</w:t>
            </w:r>
          </w:p>
        </w:tc>
        <w:tc>
          <w:tcPr>
            <w:tcW w:w="1800" w:type="dxa"/>
          </w:tcPr>
          <w:p>
            <w:pPr>
              <w:pStyle w:val="TableParagraph"/>
              <w:ind w:left="112"/>
              <w:rPr>
                <w:sz w:val="22"/>
              </w:rPr>
            </w:pPr>
            <w:r>
              <w:rPr>
                <w:sz w:val="22"/>
              </w:rPr>
              <w:t>text</w:t>
            </w:r>
          </w:p>
        </w:tc>
        <w:tc>
          <w:tcPr>
            <w:tcW w:w="5400" w:type="dxa"/>
          </w:tcPr>
          <w:p>
            <w:pPr>
              <w:pStyle w:val="TableParagraph"/>
              <w:ind w:left="113" w:right="403"/>
              <w:rPr>
                <w:sz w:val="22"/>
              </w:rPr>
            </w:pPr>
            <w:r>
              <w:rPr>
                <w:sz w:val="22"/>
              </w:rPr>
              <w:t>The name of the property returned or a reference to a cell that contains the name of the property.</w:t>
            </w:r>
          </w:p>
        </w:tc>
      </w:tr>
    </w:tbl>
    <w:p>
      <w:pPr>
        <w:pStyle w:val="BodyText"/>
      </w:pPr>
    </w:p>
    <w:p>
      <w:pPr>
        <w:pStyle w:val="BodyText"/>
        <w:spacing w:before="7"/>
        <w:rPr>
          <w:sz w:val="19"/>
        </w:rPr>
      </w:pPr>
    </w:p>
    <w:p>
      <w:pPr>
        <w:spacing w:line="453" w:lineRule="auto" w:before="0"/>
        <w:ind w:left="220" w:right="3786" w:firstLine="0"/>
        <w:jc w:val="left"/>
        <w:rPr>
          <w:sz w:val="22"/>
        </w:rPr>
      </w:pPr>
      <w:r>
        <w:rPr>
          <w:b/>
          <w:sz w:val="22"/>
        </w:rPr>
        <w:t>Return Type and Value</w:t>
      </w:r>
      <w:r>
        <w:rPr>
          <w:sz w:val="22"/>
        </w:rPr>
        <w:t>: any – A property of a member in the OLAP cube. However, if</w:t>
      </w:r>
    </w:p>
    <w:p>
      <w:pPr>
        <w:pStyle w:val="ListParagraph"/>
        <w:numPr>
          <w:ilvl w:val="4"/>
          <w:numId w:val="66"/>
        </w:numPr>
        <w:tabs>
          <w:tab w:pos="940" w:val="left" w:leader="none"/>
          <w:tab w:pos="941" w:val="left" w:leader="none"/>
        </w:tabs>
        <w:spacing w:line="273" w:lineRule="auto" w:before="1" w:after="0"/>
        <w:ind w:left="940" w:right="1227" w:hanging="360"/>
        <w:jc w:val="left"/>
        <w:rPr>
          <w:sz w:val="22"/>
        </w:rPr>
      </w:pPr>
      <w:r>
        <w:rPr>
          <w:sz w:val="22"/>
        </w:rPr>
        <w:t>The connection name is not a workbook connection stored in the workbook, the return value is unspecified.</w:t>
      </w:r>
    </w:p>
    <w:p>
      <w:pPr>
        <w:pStyle w:val="ListParagraph"/>
        <w:numPr>
          <w:ilvl w:val="4"/>
          <w:numId w:val="66"/>
        </w:numPr>
        <w:tabs>
          <w:tab w:pos="940" w:val="left" w:leader="none"/>
          <w:tab w:pos="941" w:val="left" w:leader="none"/>
        </w:tabs>
        <w:spacing w:line="276" w:lineRule="auto" w:before="4" w:after="0"/>
        <w:ind w:left="940" w:right="1390" w:hanging="360"/>
        <w:jc w:val="left"/>
        <w:rPr>
          <w:sz w:val="22"/>
        </w:rPr>
      </w:pPr>
      <w:r>
        <w:rPr>
          <w:sz w:val="22"/>
        </w:rPr>
        <w:t>The OLAP server is not running, not available, or returns an error message, the return value is unspecified.</w:t>
      </w:r>
    </w:p>
    <w:p>
      <w:pPr>
        <w:pStyle w:val="ListParagraph"/>
        <w:numPr>
          <w:ilvl w:val="4"/>
          <w:numId w:val="66"/>
        </w:numPr>
        <w:tabs>
          <w:tab w:pos="940" w:val="left" w:leader="none"/>
          <w:tab w:pos="941" w:val="left" w:leader="none"/>
        </w:tabs>
        <w:spacing w:line="280" w:lineRule="exact" w:before="0" w:after="0"/>
        <w:ind w:left="940" w:right="0" w:hanging="361"/>
        <w:jc w:val="left"/>
        <w:rPr>
          <w:sz w:val="22"/>
        </w:rPr>
      </w:pPr>
      <w:r>
        <w:rPr>
          <w:sz w:val="22"/>
        </w:rPr>
        <w:t>The syntax of </w:t>
      </w:r>
      <w:r>
        <w:rPr>
          <w:rFonts w:ascii="Times New Roman" w:hAnsi="Times New Roman"/>
          <w:i/>
          <w:sz w:val="22"/>
        </w:rPr>
        <w:t>member-expression </w:t>
      </w:r>
      <w:r>
        <w:rPr>
          <w:sz w:val="22"/>
        </w:rPr>
        <w:t>is incorrect,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446" w:lineRule="auto" w:before="42" w:after="0"/>
        <w:ind w:left="220" w:right="601" w:firstLine="360"/>
        <w:jc w:val="left"/>
        <w:rPr>
          <w:sz w:val="22"/>
        </w:rPr>
      </w:pPr>
      <w:r>
        <w:rPr>
          <w:sz w:val="22"/>
        </w:rPr>
        <w:t>The member specified by </w:t>
      </w:r>
      <w:r>
        <w:rPr>
          <w:rFonts w:ascii="Times New Roman" w:hAnsi="Times New Roman"/>
          <w:i/>
          <w:sz w:val="22"/>
        </w:rPr>
        <w:t>member-expression</w:t>
      </w:r>
      <w:r>
        <w:rPr>
          <w:rFonts w:ascii="Times New Roman" w:hAnsi="Times New Roman"/>
          <w:i/>
          <w:spacing w:val="-38"/>
          <w:sz w:val="22"/>
        </w:rPr>
        <w:t> </w:t>
      </w:r>
      <w:r>
        <w:rPr>
          <w:sz w:val="22"/>
        </w:rPr>
        <w:t>doesn’t exist in the cube, the return value is unspecified. [</w:t>
      </w:r>
      <w:r>
        <w:rPr>
          <w:i/>
          <w:sz w:val="22"/>
        </w:rPr>
        <w:t>Example</w:t>
      </w:r>
      <w:r>
        <w:rPr>
          <w:sz w:val="22"/>
        </w:rPr>
        <w:t>:</w:t>
      </w:r>
    </w:p>
    <w:p>
      <w:pPr>
        <w:pStyle w:val="BodyText"/>
        <w:spacing w:before="128"/>
        <w:ind w:left="220"/>
        <w:rPr>
          <w:rFonts w:ascii="Consolas"/>
        </w:rPr>
      </w:pPr>
      <w:r>
        <w:rPr>
          <w:rFonts w:ascii="Consolas"/>
        </w:rPr>
        <w:t>CUBEMEMBERPROPERTY("Sales","[Time].[Fiscal].[2004]",$A$3)</w:t>
      </w:r>
    </w:p>
    <w:p>
      <w:pPr>
        <w:pStyle w:val="BodyText"/>
        <w:spacing w:line="276" w:lineRule="auto" w:before="40"/>
        <w:ind w:left="462" w:right="2289" w:hanging="243"/>
        <w:rPr>
          <w:rFonts w:ascii="Consolas"/>
        </w:rPr>
      </w:pPr>
      <w:r>
        <w:rPr>
          <w:rFonts w:ascii="Consolas"/>
        </w:rPr>
        <w:t>CUBEMEMBERPROPERTY("Sales","[Store].[MyFavoriteStore]", "[Store].[Store Name].[Store Sqft]")</w:t>
      </w:r>
    </w:p>
    <w:p>
      <w:pPr>
        <w:pStyle w:val="BodyText"/>
        <w:spacing w:before="3"/>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8 CUBERANKEDMEMBER" w:id="1596"/>
      <w:bookmarkEnd w:id="1596"/>
      <w:r>
        <w:rPr/>
      </w:r>
      <w:bookmarkStart w:name="_bookmark531" w:id="1597"/>
      <w:bookmarkEnd w:id="1597"/>
      <w:r>
        <w:rPr/>
      </w:r>
      <w:bookmarkStart w:name="_bookmark531" w:id="1598"/>
      <w:bookmarkEnd w:id="1598"/>
      <w:r>
        <w:rPr>
          <w:color w:val="4F81BC"/>
        </w:rPr>
        <w:t>C</w:t>
      </w:r>
      <w:r>
        <w:rPr>
          <w:color w:val="4F81BC"/>
        </w:rPr>
        <w:t>UBERANKEDMEMBER</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CUBERANKEDMEMBER ( </w:t>
      </w:r>
      <w:r>
        <w:rPr>
          <w:i/>
          <w:sz w:val="22"/>
        </w:rPr>
        <w:t>connection  </w:t>
      </w:r>
      <w:r>
        <w:rPr>
          <w:rFonts w:ascii="Lucida Console"/>
          <w:sz w:val="20"/>
        </w:rPr>
        <w:t>, </w:t>
      </w:r>
      <w:r>
        <w:rPr>
          <w:i/>
          <w:sz w:val="22"/>
        </w:rPr>
        <w:t>set-expression </w:t>
      </w:r>
      <w:r>
        <w:rPr>
          <w:rFonts w:ascii="Lucida Console"/>
          <w:sz w:val="20"/>
        </w:rPr>
        <w:t>, </w:t>
      </w:r>
      <w:r>
        <w:rPr>
          <w:i/>
          <w:sz w:val="22"/>
        </w:rPr>
        <w:t>rank </w:t>
      </w:r>
      <w:r>
        <w:rPr>
          <w:sz w:val="22"/>
        </w:rPr>
        <w:t>[  </w:t>
      </w:r>
      <w:r>
        <w:rPr>
          <w:rFonts w:ascii="Lucida Console"/>
          <w:sz w:val="20"/>
        </w:rPr>
        <w:t>, </w:t>
      </w:r>
      <w:r>
        <w:rPr>
          <w:i/>
          <w:sz w:val="22"/>
        </w:rPr>
        <w:t>caption  </w:t>
      </w:r>
      <w:r>
        <w:rPr>
          <w:sz w:val="22"/>
        </w:rPr>
        <w:t>]  </w:t>
      </w:r>
      <w:r>
        <w:rPr>
          <w:rFonts w:ascii="Lucida Console"/>
          <w:sz w:val="20"/>
        </w:rPr>
        <w:t>)</w:t>
      </w:r>
    </w:p>
    <w:p>
      <w:pPr>
        <w:pStyle w:val="BodyText"/>
        <w:spacing w:before="111"/>
        <w:ind w:left="220"/>
      </w:pPr>
      <w:r>
        <w:rPr>
          <w:b/>
        </w:rPr>
        <w:t>Description</w:t>
      </w:r>
      <w:r>
        <w:rPr/>
        <w:t>: Fetches the n</w:t>
      </w:r>
      <w:r>
        <w:rPr>
          <w:vertAlign w:val="superscript"/>
        </w:rPr>
        <w:t>th</w:t>
      </w:r>
      <w:r>
        <w:rPr>
          <w:vertAlign w:val="baseline"/>
        </w:rPr>
        <w:t>, or ranked, member in a set.</w:t>
      </w:r>
    </w:p>
    <w:p>
      <w:pPr>
        <w:pStyle w:val="BodyText"/>
        <w:spacing w:before="8"/>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7" w:hRule="atLeast"/>
        </w:trPr>
        <w:tc>
          <w:tcPr>
            <w:tcW w:w="1466" w:type="dxa"/>
          </w:tcPr>
          <w:p>
            <w:pPr>
              <w:pStyle w:val="TableParagraph"/>
              <w:spacing w:before="39"/>
              <w:rPr>
                <w:rFonts w:ascii="Times New Roman"/>
                <w:i/>
                <w:sz w:val="22"/>
              </w:rPr>
            </w:pPr>
            <w:r>
              <w:rPr>
                <w:rFonts w:ascii="Times New Roman"/>
                <w:i/>
                <w:sz w:val="22"/>
              </w:rPr>
              <w:t>connection</w:t>
            </w:r>
          </w:p>
        </w:tc>
        <w:tc>
          <w:tcPr>
            <w:tcW w:w="1800" w:type="dxa"/>
          </w:tcPr>
          <w:p>
            <w:pPr>
              <w:pStyle w:val="TableParagraph"/>
              <w:spacing w:before="42"/>
              <w:ind w:left="112"/>
              <w:rPr>
                <w:sz w:val="22"/>
              </w:rPr>
            </w:pPr>
            <w:r>
              <w:rPr>
                <w:sz w:val="22"/>
              </w:rPr>
              <w:t>text</w:t>
            </w:r>
          </w:p>
        </w:tc>
        <w:tc>
          <w:tcPr>
            <w:tcW w:w="5400" w:type="dxa"/>
          </w:tcPr>
          <w:p>
            <w:pPr>
              <w:pStyle w:val="TableParagraph"/>
              <w:spacing w:before="42"/>
              <w:ind w:left="113"/>
              <w:rPr>
                <w:sz w:val="22"/>
              </w:rPr>
            </w:pPr>
            <w:r>
              <w:rPr>
                <w:sz w:val="22"/>
              </w:rPr>
              <w:t>The name of the connection to the cube.</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2" w:hRule="atLeast"/>
        </w:trPr>
        <w:tc>
          <w:tcPr>
            <w:tcW w:w="1466" w:type="dxa"/>
          </w:tcPr>
          <w:p>
            <w:pPr>
              <w:pStyle w:val="TableParagraph"/>
              <w:spacing w:before="37"/>
              <w:ind w:right="380"/>
              <w:rPr>
                <w:rFonts w:ascii="Times New Roman"/>
                <w:i/>
                <w:sz w:val="22"/>
              </w:rPr>
            </w:pPr>
            <w:r>
              <w:rPr>
                <w:rFonts w:ascii="Times New Roman"/>
                <w:i/>
                <w:sz w:val="22"/>
              </w:rPr>
              <w:t>set- </w:t>
            </w:r>
            <w:r>
              <w:rPr>
                <w:rFonts w:ascii="Times New Roman"/>
                <w:i/>
                <w:sz w:val="22"/>
              </w:rPr>
              <w:t>expression</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A set expression, such as "{[Item1].children}".</w:t>
            </w:r>
          </w:p>
        </w:tc>
      </w:tr>
      <w:tr>
        <w:trPr>
          <w:trHeight w:val="890" w:hRule="atLeast"/>
        </w:trPr>
        <w:tc>
          <w:tcPr>
            <w:tcW w:w="1466" w:type="dxa"/>
          </w:tcPr>
          <w:p>
            <w:pPr>
              <w:pStyle w:val="TableParagraph"/>
              <w:spacing w:before="37"/>
              <w:rPr>
                <w:rFonts w:ascii="Times New Roman"/>
                <w:i/>
                <w:sz w:val="22"/>
              </w:rPr>
            </w:pPr>
            <w:r>
              <w:rPr>
                <w:rFonts w:ascii="Times New Roman"/>
                <w:i/>
                <w:sz w:val="22"/>
              </w:rPr>
              <w:t>rank</w:t>
            </w:r>
          </w:p>
        </w:tc>
        <w:tc>
          <w:tcPr>
            <w:tcW w:w="1800" w:type="dxa"/>
          </w:tcPr>
          <w:p>
            <w:pPr>
              <w:pStyle w:val="TableParagraph"/>
              <w:ind w:left="112"/>
              <w:rPr>
                <w:sz w:val="22"/>
              </w:rPr>
            </w:pPr>
            <w:r>
              <w:rPr>
                <w:sz w:val="22"/>
              </w:rPr>
              <w:t>number</w:t>
            </w:r>
          </w:p>
        </w:tc>
        <w:tc>
          <w:tcPr>
            <w:tcW w:w="5400" w:type="dxa"/>
          </w:tcPr>
          <w:p>
            <w:pPr>
              <w:pStyle w:val="TableParagraph"/>
              <w:ind w:left="113" w:right="314"/>
              <w:rPr>
                <w:sz w:val="22"/>
              </w:rPr>
            </w:pPr>
            <w:r>
              <w:rPr>
                <w:sz w:val="22"/>
              </w:rPr>
              <w:t>Specifies the top value to return, truncated to integer. If 1, the top value is returned; if 2, the second-most top value is returned; and so on.</w:t>
            </w:r>
          </w:p>
        </w:tc>
      </w:tr>
      <w:tr>
        <w:trPr>
          <w:trHeight w:val="623" w:hRule="atLeast"/>
        </w:trPr>
        <w:tc>
          <w:tcPr>
            <w:tcW w:w="1466" w:type="dxa"/>
          </w:tcPr>
          <w:p>
            <w:pPr>
              <w:pStyle w:val="TableParagraph"/>
              <w:spacing w:before="37"/>
              <w:rPr>
                <w:rFonts w:ascii="Times New Roman"/>
                <w:i/>
                <w:sz w:val="22"/>
              </w:rPr>
            </w:pPr>
            <w:r>
              <w:rPr>
                <w:rFonts w:ascii="Times New Roman"/>
                <w:i/>
                <w:sz w:val="22"/>
              </w:rPr>
              <w:t>caption</w:t>
            </w:r>
          </w:p>
        </w:tc>
        <w:tc>
          <w:tcPr>
            <w:tcW w:w="1800" w:type="dxa"/>
          </w:tcPr>
          <w:p>
            <w:pPr>
              <w:pStyle w:val="TableParagraph"/>
              <w:ind w:left="112"/>
              <w:rPr>
                <w:sz w:val="22"/>
              </w:rPr>
            </w:pPr>
            <w:r>
              <w:rPr>
                <w:sz w:val="22"/>
              </w:rPr>
              <w:t>text</w:t>
            </w:r>
          </w:p>
        </w:tc>
        <w:tc>
          <w:tcPr>
            <w:tcW w:w="5400" w:type="dxa"/>
          </w:tcPr>
          <w:p>
            <w:pPr>
              <w:pStyle w:val="TableParagraph"/>
              <w:ind w:left="113" w:right="215"/>
              <w:rPr>
                <w:sz w:val="22"/>
              </w:rPr>
            </w:pPr>
            <w:r>
              <w:rPr>
                <w:sz w:val="22"/>
              </w:rPr>
              <w:t>The text displayed in the cell instead of the caption from the cube (assuming it defines such a caption).</w:t>
            </w:r>
          </w:p>
        </w:tc>
      </w:tr>
    </w:tbl>
    <w:p>
      <w:pPr>
        <w:pStyle w:val="BodyText"/>
        <w:rPr>
          <w:sz w:val="20"/>
        </w:rPr>
      </w:pPr>
    </w:p>
    <w:p>
      <w:pPr>
        <w:pStyle w:val="BodyText"/>
        <w:spacing w:before="6"/>
        <w:rPr>
          <w:sz w:val="15"/>
        </w:rPr>
      </w:pPr>
    </w:p>
    <w:p>
      <w:pPr>
        <w:spacing w:line="456" w:lineRule="auto" w:before="75"/>
        <w:ind w:left="220" w:right="5347" w:firstLine="0"/>
        <w:jc w:val="left"/>
        <w:rPr>
          <w:sz w:val="22"/>
        </w:rPr>
      </w:pPr>
      <w:r>
        <w:rPr>
          <w:b/>
          <w:sz w:val="22"/>
        </w:rPr>
        <w:t>Return Type and Value</w:t>
      </w:r>
      <w:r>
        <w:rPr>
          <w:sz w:val="22"/>
        </w:rPr>
        <w:t>: any – The n</w:t>
      </w:r>
      <w:r>
        <w:rPr>
          <w:sz w:val="22"/>
          <w:vertAlign w:val="superscript"/>
        </w:rPr>
        <w:t>th</w:t>
      </w:r>
      <w:r>
        <w:rPr>
          <w:sz w:val="22"/>
          <w:vertAlign w:val="baseline"/>
        </w:rPr>
        <w:t> member in the set. However, if</w:t>
      </w:r>
    </w:p>
    <w:p>
      <w:pPr>
        <w:pStyle w:val="ListParagraph"/>
        <w:numPr>
          <w:ilvl w:val="4"/>
          <w:numId w:val="66"/>
        </w:numPr>
        <w:tabs>
          <w:tab w:pos="940" w:val="left" w:leader="none"/>
          <w:tab w:pos="941" w:val="left" w:leader="none"/>
        </w:tabs>
        <w:spacing w:line="276" w:lineRule="auto" w:before="0" w:after="0"/>
        <w:ind w:left="940" w:right="1227" w:hanging="360"/>
        <w:jc w:val="left"/>
        <w:rPr>
          <w:sz w:val="22"/>
        </w:rPr>
      </w:pPr>
      <w:r>
        <w:rPr>
          <w:sz w:val="22"/>
        </w:rPr>
        <w:t>The connection name is not a workbook connection stored in the workbook, the return value is unspecified.</w:t>
      </w:r>
    </w:p>
    <w:p>
      <w:pPr>
        <w:pStyle w:val="ListParagraph"/>
        <w:numPr>
          <w:ilvl w:val="4"/>
          <w:numId w:val="66"/>
        </w:numPr>
        <w:tabs>
          <w:tab w:pos="940" w:val="left" w:leader="none"/>
          <w:tab w:pos="941" w:val="left" w:leader="none"/>
        </w:tabs>
        <w:spacing w:line="273" w:lineRule="auto" w:before="0" w:after="0"/>
        <w:ind w:left="940" w:right="1390" w:hanging="360"/>
        <w:jc w:val="left"/>
        <w:rPr>
          <w:sz w:val="22"/>
        </w:rPr>
      </w:pPr>
      <w:r>
        <w:rPr>
          <w:sz w:val="22"/>
        </w:rPr>
        <w:t>The OLAP server is not running, not available, or returns an error message, the return value is unspecified. , the return value is</w:t>
      </w:r>
      <w:r>
        <w:rPr>
          <w:spacing w:val="-7"/>
          <w:sz w:val="22"/>
        </w:rPr>
        <w:t> </w:t>
      </w:r>
      <w:r>
        <w:rPr>
          <w:sz w:val="22"/>
        </w:rPr>
        <w:t>unspecified.</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The syntax of </w:t>
      </w:r>
      <w:r>
        <w:rPr>
          <w:rFonts w:ascii="Times New Roman" w:hAnsi="Times New Roman"/>
          <w:i/>
          <w:sz w:val="22"/>
        </w:rPr>
        <w:t>member-expression </w:t>
      </w:r>
      <w:r>
        <w:rPr>
          <w:sz w:val="22"/>
        </w:rPr>
        <w:t>is incorrect,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278" w:lineRule="auto" w:before="39" w:after="0"/>
        <w:ind w:left="940" w:right="677" w:hanging="360"/>
        <w:jc w:val="left"/>
        <w:rPr>
          <w:sz w:val="22"/>
        </w:rPr>
      </w:pPr>
      <w:r>
        <w:rPr>
          <w:sz w:val="22"/>
        </w:rPr>
        <w:t>The set contains at least one member with a different dimension than the other members, the return value is</w:t>
      </w:r>
      <w:r>
        <w:rPr>
          <w:spacing w:val="-3"/>
          <w:sz w:val="22"/>
        </w:rPr>
        <w:t> </w:t>
      </w:r>
      <w:r>
        <w:rPr>
          <w:sz w:val="22"/>
        </w:rPr>
        <w:t>unspecified.</w:t>
      </w:r>
    </w:p>
    <w:p>
      <w:pPr>
        <w:spacing w:before="196"/>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line="278" w:lineRule="auto"/>
        <w:ind w:left="220"/>
        <w:rPr>
          <w:rFonts w:ascii="Consolas"/>
        </w:rPr>
      </w:pPr>
      <w:r>
        <w:rPr>
          <w:rFonts w:ascii="Consolas"/>
        </w:rPr>
        <w:t>CUBERANKEDMEMBER("Sales",$D$4,1,"Top Month") CUBERANKEDMEMBER("Sales",CUBESET("Sales","Summer","[2004].[June]",</w:t>
      </w:r>
    </w:p>
    <w:p>
      <w:pPr>
        <w:pStyle w:val="BodyText"/>
        <w:spacing w:line="253" w:lineRule="exact"/>
        <w:ind w:left="462"/>
        <w:rPr>
          <w:rFonts w:ascii="Consolas"/>
        </w:rPr>
      </w:pPr>
      <w:r>
        <w:rPr>
          <w:rFonts w:ascii="Consolas"/>
        </w:rPr>
        <w:t>"[2004].[July]","[2004].[August]"),3,"Top Month")</w:t>
      </w:r>
    </w:p>
    <w:p>
      <w:pPr>
        <w:pStyle w:val="BodyText"/>
        <w:spacing w:before="7"/>
        <w:rPr>
          <w:rFonts w:ascii="Consolas"/>
          <w:sz w:val="2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69 CUBESET" w:id="1599"/>
      <w:bookmarkEnd w:id="1599"/>
      <w:r>
        <w:rPr/>
      </w:r>
      <w:bookmarkStart w:name="_bookmark532" w:id="1600"/>
      <w:bookmarkEnd w:id="1600"/>
      <w:r>
        <w:rPr/>
      </w:r>
      <w:bookmarkStart w:name="_bookmark532" w:id="1601"/>
      <w:bookmarkEnd w:id="1601"/>
      <w:r>
        <w:rPr>
          <w:color w:val="4F81BC"/>
        </w:rPr>
        <w:t>C</w:t>
      </w:r>
      <w:r>
        <w:rPr>
          <w:color w:val="4F81BC"/>
        </w:rPr>
        <w:t>UBESET</w:t>
      </w:r>
    </w:p>
    <w:p>
      <w:pPr>
        <w:pStyle w:val="Heading4"/>
        <w:spacing w:before="122"/>
        <w:rPr>
          <w:b w:val="0"/>
        </w:rPr>
      </w:pPr>
      <w:r>
        <w:rPr/>
        <w:t>Syntax</w:t>
      </w:r>
      <w:r>
        <w:rPr>
          <w:b w:val="0"/>
        </w:rPr>
        <w:t>:</w:t>
      </w:r>
    </w:p>
    <w:p>
      <w:pPr>
        <w:pStyle w:val="BodyText"/>
        <w:spacing w:before="1"/>
        <w:rPr>
          <w:sz w:val="20"/>
        </w:rPr>
      </w:pPr>
    </w:p>
    <w:p>
      <w:pPr>
        <w:spacing w:line="225" w:lineRule="auto" w:before="0"/>
        <w:ind w:left="1300" w:right="2873" w:hanging="360"/>
        <w:jc w:val="left"/>
        <w:rPr>
          <w:rFonts w:ascii="Lucida Console"/>
          <w:sz w:val="20"/>
        </w:rPr>
      </w:pPr>
      <w:r>
        <w:rPr>
          <w:rFonts w:ascii="Lucida Console"/>
          <w:sz w:val="20"/>
        </w:rPr>
        <w:t>CUBESET ( </w:t>
      </w:r>
      <w:r>
        <w:rPr>
          <w:i/>
          <w:sz w:val="22"/>
        </w:rPr>
        <w:t>connection </w:t>
      </w:r>
      <w:r>
        <w:rPr>
          <w:rFonts w:ascii="Lucida Console"/>
          <w:sz w:val="20"/>
        </w:rPr>
        <w:t>, </w:t>
      </w:r>
      <w:r>
        <w:rPr>
          <w:i/>
          <w:sz w:val="22"/>
        </w:rPr>
        <w:t>set-expression  </w:t>
      </w:r>
      <w:r>
        <w:rPr>
          <w:sz w:val="22"/>
        </w:rPr>
        <w:t>[ </w:t>
      </w:r>
      <w:r>
        <w:rPr>
          <w:rFonts w:ascii="Lucida Console"/>
          <w:sz w:val="20"/>
        </w:rPr>
        <w:t>, </w:t>
      </w:r>
      <w:r>
        <w:rPr>
          <w:sz w:val="22"/>
        </w:rPr>
        <w:t>[  </w:t>
      </w:r>
      <w:r>
        <w:rPr>
          <w:i/>
          <w:sz w:val="22"/>
        </w:rPr>
        <w:t>caption  </w:t>
      </w:r>
      <w:r>
        <w:rPr>
          <w:sz w:val="22"/>
        </w:rPr>
        <w:t>] [  </w:t>
      </w:r>
      <w:r>
        <w:rPr>
          <w:rFonts w:ascii="Lucida Console"/>
          <w:sz w:val="20"/>
        </w:rPr>
        <w:t>, </w:t>
      </w:r>
      <w:r>
        <w:rPr>
          <w:sz w:val="22"/>
        </w:rPr>
        <w:t>[ </w:t>
      </w:r>
      <w:r>
        <w:rPr>
          <w:i/>
          <w:sz w:val="22"/>
        </w:rPr>
        <w:t>sort-order</w:t>
      </w:r>
      <w:r>
        <w:rPr>
          <w:i/>
          <w:spacing w:val="19"/>
          <w:sz w:val="22"/>
        </w:rPr>
        <w:t> </w:t>
      </w:r>
      <w:r>
        <w:rPr>
          <w:sz w:val="22"/>
        </w:rPr>
        <w:t>] [ </w:t>
      </w:r>
      <w:r>
        <w:rPr>
          <w:rFonts w:ascii="Lucida Console"/>
          <w:sz w:val="20"/>
        </w:rPr>
        <w:t>, </w:t>
      </w:r>
      <w:r>
        <w:rPr>
          <w:sz w:val="22"/>
        </w:rPr>
        <w:t>[ </w:t>
      </w:r>
      <w:r>
        <w:rPr>
          <w:i/>
          <w:sz w:val="22"/>
        </w:rPr>
        <w:t>sort-by </w:t>
      </w:r>
      <w:r>
        <w:rPr>
          <w:sz w:val="22"/>
        </w:rPr>
        <w:t>] ] ] ]</w:t>
      </w:r>
      <w:r>
        <w:rPr>
          <w:spacing w:val="23"/>
          <w:sz w:val="22"/>
        </w:rPr>
        <w:t> </w:t>
      </w:r>
      <w:r>
        <w:rPr>
          <w:rFonts w:ascii="Lucida Console"/>
          <w:sz w:val="20"/>
        </w:rPr>
        <w:t>)</w:t>
      </w:r>
    </w:p>
    <w:p>
      <w:pPr>
        <w:pStyle w:val="BodyText"/>
        <w:spacing w:line="276" w:lineRule="auto" w:before="109"/>
        <w:ind w:left="220" w:right="376"/>
      </w:pPr>
      <w:r>
        <w:rPr>
          <w:b/>
        </w:rPr>
        <w:t>Description</w:t>
      </w:r>
      <w:r>
        <w:rPr/>
        <w:t>: Fetches from the OLAP cube on the OLAP server designated by </w:t>
      </w:r>
      <w:r>
        <w:rPr>
          <w:rFonts w:ascii="Times New Roman"/>
          <w:i/>
        </w:rPr>
        <w:t>connection </w:t>
      </w:r>
      <w:r>
        <w:rPr/>
        <w:t>the set of members or tuples that is defined by </w:t>
      </w:r>
      <w:r>
        <w:rPr>
          <w:rFonts w:ascii="Times New Roman"/>
          <w:i/>
        </w:rPr>
        <w:t>set-expression</w:t>
      </w:r>
      <w:r>
        <w:rPr/>
        <w:t>. [</w:t>
      </w:r>
      <w:r>
        <w:rPr>
          <w:i/>
        </w:rPr>
        <w:t>Note</w:t>
      </w:r>
      <w:r>
        <w:rPr/>
        <w:t>: Use this function to build dynamic reports that aggregate and filter data, by using the return value as a slicer in the </w:t>
      </w:r>
      <w:r>
        <w:rPr>
          <w:rFonts w:ascii="Consolas"/>
        </w:rPr>
        <w:t>CUBEVALUE</w:t>
      </w:r>
      <w:r>
        <w:rPr>
          <w:rFonts w:ascii="Consolas"/>
          <w:spacing w:val="-72"/>
        </w:rPr>
        <w:t> </w:t>
      </w:r>
      <w:r>
        <w:rPr/>
        <w:t>function, the </w:t>
      </w:r>
      <w:r>
        <w:rPr>
          <w:rFonts w:ascii="Consolas"/>
        </w:rPr>
        <w:t>CUBERANKEDMEMBER</w:t>
      </w:r>
      <w:r>
        <w:rPr>
          <w:rFonts w:ascii="Consolas"/>
          <w:spacing w:val="-69"/>
        </w:rPr>
        <w:t> </w:t>
      </w:r>
      <w:r>
        <w:rPr/>
        <w:t>function to choose specific members from the calculated set, and the </w:t>
      </w:r>
      <w:r>
        <w:rPr>
          <w:rFonts w:ascii="Consolas"/>
        </w:rPr>
        <w:t>CUBESETCOUNT</w:t>
      </w:r>
      <w:r>
        <w:rPr>
          <w:rFonts w:ascii="Consolas"/>
          <w:spacing w:val="-100"/>
        </w:rPr>
        <w:t> </w:t>
      </w:r>
      <w:r>
        <w:rPr/>
        <w:t>function to control the size of the set. </w:t>
      </w:r>
      <w:r>
        <w:rPr>
          <w:i/>
        </w:rPr>
        <w:t>end note</w:t>
      </w:r>
      <w:r>
        <w:rPr/>
        <w:t>]</w:t>
      </w:r>
    </w:p>
    <w:p>
      <w:pPr>
        <w:pStyle w:val="BodyText"/>
        <w:spacing w:before="8"/>
        <w:rPr>
          <w:sz w:val="16"/>
        </w:rPr>
      </w:pPr>
    </w:p>
    <w:p>
      <w:pPr>
        <w:pStyle w:val="Heading4"/>
        <w:rPr>
          <w:b w:val="0"/>
        </w:rPr>
      </w:pPr>
      <w:r>
        <w:rPr/>
        <w:t>Arguments</w:t>
      </w:r>
      <w:r>
        <w:rPr>
          <w:b w:val="0"/>
        </w:rPr>
        <w:t>:</w:t>
      </w:r>
    </w:p>
    <w:p>
      <w:pPr>
        <w:spacing w:after="0"/>
        <w:sectPr>
          <w:pgSz w:w="12240" w:h="15840"/>
          <w:pgMar w:header="763" w:footer="746" w:top="1340" w:bottom="940" w:left="860" w:right="700"/>
        </w:sectPr>
      </w:pPr>
    </w:p>
    <w:p>
      <w:pPr>
        <w:pStyle w:val="BodyText"/>
        <w:spacing w:before="8"/>
        <w:rPr>
          <w:sz w:val="7"/>
        </w:rPr>
      </w:pPr>
      <w:r>
        <w:rPr/>
        <w:pict>
          <v:shape style="position:absolute;margin-left:289.25pt;margin-top:241.580002pt;width:222.8pt;height:306.8pt;mso-position-horizontal-relative:page;mso-position-vertical-relative:page;z-index:2517514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5"/>
                    <w:gridCol w:w="2093"/>
                    <w:gridCol w:w="1434"/>
                  </w:tblGrid>
                  <w:tr>
                    <w:trPr>
                      <w:trHeight w:val="607" w:hRule="atLeast"/>
                    </w:trPr>
                    <w:tc>
                      <w:tcPr>
                        <w:tcW w:w="915" w:type="dxa"/>
                        <w:shd w:val="clear" w:color="auto" w:fill="C0C0C0"/>
                      </w:tcPr>
                      <w:p>
                        <w:pPr>
                          <w:pStyle w:val="TableParagraph"/>
                          <w:ind w:left="196"/>
                          <w:rPr>
                            <w:b/>
                            <w:sz w:val="22"/>
                          </w:rPr>
                        </w:pPr>
                        <w:r>
                          <w:rPr>
                            <w:b/>
                            <w:sz w:val="22"/>
                          </w:rPr>
                          <w:t>Value</w:t>
                        </w:r>
                      </w:p>
                    </w:tc>
                    <w:tc>
                      <w:tcPr>
                        <w:tcW w:w="2093" w:type="dxa"/>
                        <w:shd w:val="clear" w:color="auto" w:fill="C0C0C0"/>
                      </w:tcPr>
                      <w:p>
                        <w:pPr>
                          <w:pStyle w:val="TableParagraph"/>
                          <w:ind w:left="525"/>
                          <w:rPr>
                            <w:b/>
                            <w:sz w:val="22"/>
                          </w:rPr>
                        </w:pPr>
                        <w:r>
                          <w:rPr>
                            <w:b/>
                            <w:sz w:val="22"/>
                          </w:rPr>
                          <w:t>Description</w:t>
                        </w:r>
                      </w:p>
                    </w:tc>
                    <w:tc>
                      <w:tcPr>
                        <w:tcW w:w="1434" w:type="dxa"/>
                        <w:shd w:val="clear" w:color="auto" w:fill="C0C0C0"/>
                      </w:tcPr>
                      <w:p>
                        <w:pPr>
                          <w:pStyle w:val="TableParagraph"/>
                          <w:spacing w:line="252" w:lineRule="exact" w:before="41"/>
                          <w:ind w:left="256" w:right="249"/>
                          <w:jc w:val="center"/>
                          <w:rPr>
                            <w:rFonts w:ascii="Times New Roman"/>
                            <w:b/>
                            <w:i/>
                            <w:sz w:val="22"/>
                          </w:rPr>
                        </w:pPr>
                        <w:r>
                          <w:rPr>
                            <w:rFonts w:ascii="Times New Roman"/>
                            <w:b/>
                            <w:i/>
                            <w:sz w:val="22"/>
                          </w:rPr>
                          <w:t>sort-by</w:t>
                        </w:r>
                      </w:p>
                      <w:p>
                        <w:pPr>
                          <w:pStyle w:val="TableParagraph"/>
                          <w:spacing w:line="268" w:lineRule="exact" w:before="0"/>
                          <w:ind w:left="258" w:right="249"/>
                          <w:jc w:val="center"/>
                          <w:rPr>
                            <w:sz w:val="22"/>
                          </w:rPr>
                        </w:pPr>
                        <w:r>
                          <w:rPr>
                            <w:sz w:val="22"/>
                          </w:rPr>
                          <w:t>argument</w:t>
                        </w:r>
                      </w:p>
                    </w:tc>
                  </w:tr>
                  <w:tr>
                    <w:trPr>
                      <w:trHeight w:val="623" w:hRule="atLeast"/>
                    </w:trPr>
                    <w:tc>
                      <w:tcPr>
                        <w:tcW w:w="915" w:type="dxa"/>
                      </w:tcPr>
                      <w:p>
                        <w:pPr>
                          <w:pStyle w:val="TableParagraph"/>
                          <w:ind w:right="132"/>
                          <w:rPr>
                            <w:sz w:val="22"/>
                          </w:rPr>
                        </w:pPr>
                        <w:r>
                          <w:rPr>
                            <w:rFonts w:ascii="Consolas"/>
                            <w:sz w:val="22"/>
                          </w:rPr>
                          <w:t>0 </w:t>
                        </w:r>
                        <w:r>
                          <w:rPr>
                            <w:sz w:val="22"/>
                          </w:rPr>
                          <w:t>or default</w:t>
                        </w:r>
                      </w:p>
                    </w:tc>
                    <w:tc>
                      <w:tcPr>
                        <w:tcW w:w="2093" w:type="dxa"/>
                      </w:tcPr>
                      <w:p>
                        <w:pPr>
                          <w:pStyle w:val="TableParagraph"/>
                          <w:ind w:left="117" w:right="460"/>
                          <w:rPr>
                            <w:sz w:val="22"/>
                          </w:rPr>
                        </w:pPr>
                        <w:r>
                          <w:rPr>
                            <w:sz w:val="22"/>
                          </w:rPr>
                          <w:t>Leaves the set in existing order</w:t>
                        </w:r>
                      </w:p>
                    </w:tc>
                    <w:tc>
                      <w:tcPr>
                        <w:tcW w:w="1434" w:type="dxa"/>
                      </w:tcPr>
                      <w:p>
                        <w:pPr>
                          <w:pStyle w:val="TableParagraph"/>
                          <w:ind w:left="114"/>
                          <w:rPr>
                            <w:sz w:val="22"/>
                          </w:rPr>
                        </w:pPr>
                        <w:r>
                          <w:rPr>
                            <w:sz w:val="22"/>
                          </w:rPr>
                          <w:t>Ignored</w:t>
                        </w:r>
                      </w:p>
                    </w:tc>
                  </w:tr>
                  <w:tr>
                    <w:trPr>
                      <w:trHeight w:val="892" w:hRule="atLeast"/>
                    </w:trPr>
                    <w:tc>
                      <w:tcPr>
                        <w:tcW w:w="915" w:type="dxa"/>
                      </w:tcPr>
                      <w:p>
                        <w:pPr>
                          <w:pStyle w:val="TableParagraph"/>
                          <w:spacing w:before="42"/>
                          <w:rPr>
                            <w:rFonts w:ascii="Consolas"/>
                            <w:sz w:val="22"/>
                          </w:rPr>
                        </w:pPr>
                        <w:r>
                          <w:rPr>
                            <w:rFonts w:ascii="Consolas"/>
                            <w:w w:val="100"/>
                            <w:sz w:val="22"/>
                          </w:rPr>
                          <w:t>1</w:t>
                        </w:r>
                      </w:p>
                    </w:tc>
                    <w:tc>
                      <w:tcPr>
                        <w:tcW w:w="2093" w:type="dxa"/>
                      </w:tcPr>
                      <w:p>
                        <w:pPr>
                          <w:pStyle w:val="TableParagraph"/>
                          <w:ind w:left="117" w:right="242"/>
                          <w:rPr>
                            <w:sz w:val="22"/>
                          </w:rPr>
                        </w:pPr>
                        <w:r>
                          <w:rPr>
                            <w:sz w:val="22"/>
                          </w:rPr>
                          <w:t>Sorts set in ascending order by sort_by</w:t>
                        </w:r>
                      </w:p>
                    </w:tc>
                    <w:tc>
                      <w:tcPr>
                        <w:tcW w:w="1434" w:type="dxa"/>
                      </w:tcPr>
                      <w:p>
                        <w:pPr>
                          <w:pStyle w:val="TableParagraph"/>
                          <w:ind w:left="114"/>
                          <w:rPr>
                            <w:sz w:val="22"/>
                          </w:rPr>
                        </w:pPr>
                        <w:r>
                          <w:rPr>
                            <w:sz w:val="22"/>
                          </w:rPr>
                          <w:t>Required</w:t>
                        </w:r>
                      </w:p>
                    </w:tc>
                  </w:tr>
                  <w:tr>
                    <w:trPr>
                      <w:trHeight w:val="890" w:hRule="atLeast"/>
                    </w:trPr>
                    <w:tc>
                      <w:tcPr>
                        <w:tcW w:w="915" w:type="dxa"/>
                      </w:tcPr>
                      <w:p>
                        <w:pPr>
                          <w:pStyle w:val="TableParagraph"/>
                          <w:spacing w:before="42"/>
                          <w:rPr>
                            <w:rFonts w:ascii="Consolas"/>
                            <w:sz w:val="22"/>
                          </w:rPr>
                        </w:pPr>
                        <w:r>
                          <w:rPr>
                            <w:rFonts w:ascii="Consolas"/>
                            <w:w w:val="100"/>
                            <w:sz w:val="22"/>
                          </w:rPr>
                          <w:t>2</w:t>
                        </w:r>
                      </w:p>
                    </w:tc>
                    <w:tc>
                      <w:tcPr>
                        <w:tcW w:w="2093" w:type="dxa"/>
                      </w:tcPr>
                      <w:p>
                        <w:pPr>
                          <w:pStyle w:val="TableParagraph"/>
                          <w:ind w:left="117" w:right="122"/>
                          <w:rPr>
                            <w:sz w:val="22"/>
                          </w:rPr>
                        </w:pPr>
                        <w:r>
                          <w:rPr>
                            <w:sz w:val="22"/>
                          </w:rPr>
                          <w:t>Sorts set in descending order by sort_by</w:t>
                        </w:r>
                      </w:p>
                    </w:tc>
                    <w:tc>
                      <w:tcPr>
                        <w:tcW w:w="1434" w:type="dxa"/>
                      </w:tcPr>
                      <w:p>
                        <w:pPr>
                          <w:pStyle w:val="TableParagraph"/>
                          <w:ind w:left="114"/>
                          <w:rPr>
                            <w:sz w:val="22"/>
                          </w:rPr>
                        </w:pPr>
                        <w:r>
                          <w:rPr>
                            <w:sz w:val="22"/>
                          </w:rPr>
                          <w:t>Required</w:t>
                        </w:r>
                      </w:p>
                    </w:tc>
                  </w:tr>
                  <w:tr>
                    <w:trPr>
                      <w:trHeight w:val="892" w:hRule="atLeast"/>
                    </w:trPr>
                    <w:tc>
                      <w:tcPr>
                        <w:tcW w:w="915" w:type="dxa"/>
                      </w:tcPr>
                      <w:p>
                        <w:pPr>
                          <w:pStyle w:val="TableParagraph"/>
                          <w:spacing w:before="44"/>
                          <w:rPr>
                            <w:rFonts w:ascii="Consolas"/>
                            <w:sz w:val="22"/>
                          </w:rPr>
                        </w:pPr>
                        <w:r>
                          <w:rPr>
                            <w:rFonts w:ascii="Consolas"/>
                            <w:w w:val="100"/>
                            <w:sz w:val="22"/>
                          </w:rPr>
                          <w:t>3</w:t>
                        </w:r>
                      </w:p>
                    </w:tc>
                    <w:tc>
                      <w:tcPr>
                        <w:tcW w:w="2093" w:type="dxa"/>
                      </w:tcPr>
                      <w:p>
                        <w:pPr>
                          <w:pStyle w:val="TableParagraph"/>
                          <w:spacing w:before="42"/>
                          <w:ind w:left="117" w:right="507"/>
                          <w:rPr>
                            <w:sz w:val="22"/>
                          </w:rPr>
                        </w:pPr>
                        <w:r>
                          <w:rPr>
                            <w:sz w:val="22"/>
                          </w:rPr>
                          <w:t>Sorts set in alphabetic ascending order</w:t>
                        </w:r>
                      </w:p>
                    </w:tc>
                    <w:tc>
                      <w:tcPr>
                        <w:tcW w:w="1434" w:type="dxa"/>
                      </w:tcPr>
                      <w:p>
                        <w:pPr>
                          <w:pStyle w:val="TableParagraph"/>
                          <w:spacing w:before="42"/>
                          <w:ind w:left="114"/>
                          <w:rPr>
                            <w:sz w:val="22"/>
                          </w:rPr>
                        </w:pPr>
                        <w:r>
                          <w:rPr>
                            <w:sz w:val="22"/>
                          </w:rPr>
                          <w:t>Ignored</w:t>
                        </w:r>
                      </w:p>
                    </w:tc>
                  </w:tr>
                  <w:tr>
                    <w:trPr>
                      <w:trHeight w:val="892" w:hRule="atLeast"/>
                    </w:trPr>
                    <w:tc>
                      <w:tcPr>
                        <w:tcW w:w="915" w:type="dxa"/>
                      </w:tcPr>
                      <w:p>
                        <w:pPr>
                          <w:pStyle w:val="TableParagraph"/>
                          <w:spacing w:before="42"/>
                          <w:rPr>
                            <w:rFonts w:ascii="Consolas"/>
                            <w:sz w:val="22"/>
                          </w:rPr>
                        </w:pPr>
                        <w:r>
                          <w:rPr>
                            <w:rFonts w:ascii="Consolas"/>
                            <w:w w:val="100"/>
                            <w:sz w:val="22"/>
                          </w:rPr>
                          <w:t>4</w:t>
                        </w:r>
                      </w:p>
                    </w:tc>
                    <w:tc>
                      <w:tcPr>
                        <w:tcW w:w="2093" w:type="dxa"/>
                      </w:tcPr>
                      <w:p>
                        <w:pPr>
                          <w:pStyle w:val="TableParagraph"/>
                          <w:ind w:left="117" w:right="387"/>
                          <w:rPr>
                            <w:sz w:val="22"/>
                          </w:rPr>
                        </w:pPr>
                        <w:r>
                          <w:rPr>
                            <w:sz w:val="22"/>
                          </w:rPr>
                          <w:t>Sorts set in alphabetic descending order</w:t>
                        </w:r>
                      </w:p>
                    </w:tc>
                    <w:tc>
                      <w:tcPr>
                        <w:tcW w:w="1434" w:type="dxa"/>
                      </w:tcPr>
                      <w:p>
                        <w:pPr>
                          <w:pStyle w:val="TableParagraph"/>
                          <w:ind w:left="114"/>
                          <w:rPr>
                            <w:sz w:val="22"/>
                          </w:rPr>
                        </w:pPr>
                        <w:r>
                          <w:rPr>
                            <w:sz w:val="22"/>
                          </w:rPr>
                          <w:t>Ignored</w:t>
                        </w:r>
                      </w:p>
                    </w:tc>
                  </w:tr>
                  <w:tr>
                    <w:trPr>
                      <w:trHeight w:val="623" w:hRule="atLeast"/>
                    </w:trPr>
                    <w:tc>
                      <w:tcPr>
                        <w:tcW w:w="915" w:type="dxa"/>
                      </w:tcPr>
                      <w:p>
                        <w:pPr>
                          <w:pStyle w:val="TableParagraph"/>
                          <w:spacing w:before="42"/>
                          <w:rPr>
                            <w:rFonts w:ascii="Consolas"/>
                            <w:sz w:val="22"/>
                          </w:rPr>
                        </w:pPr>
                        <w:r>
                          <w:rPr>
                            <w:rFonts w:ascii="Consolas"/>
                            <w:w w:val="100"/>
                            <w:sz w:val="22"/>
                          </w:rPr>
                          <w:t>5</w:t>
                        </w:r>
                      </w:p>
                    </w:tc>
                    <w:tc>
                      <w:tcPr>
                        <w:tcW w:w="2093" w:type="dxa"/>
                      </w:tcPr>
                      <w:p>
                        <w:pPr>
                          <w:pStyle w:val="TableParagraph"/>
                          <w:ind w:left="117" w:right="265"/>
                          <w:rPr>
                            <w:sz w:val="22"/>
                          </w:rPr>
                        </w:pPr>
                        <w:r>
                          <w:rPr>
                            <w:sz w:val="22"/>
                          </w:rPr>
                          <w:t>Sorts set in natural ascending order</w:t>
                        </w:r>
                      </w:p>
                    </w:tc>
                    <w:tc>
                      <w:tcPr>
                        <w:tcW w:w="1434" w:type="dxa"/>
                      </w:tcPr>
                      <w:p>
                        <w:pPr>
                          <w:pStyle w:val="TableParagraph"/>
                          <w:ind w:left="114"/>
                          <w:rPr>
                            <w:sz w:val="22"/>
                          </w:rPr>
                        </w:pPr>
                        <w:r>
                          <w:rPr>
                            <w:sz w:val="22"/>
                          </w:rPr>
                          <w:t>Ignored</w:t>
                        </w:r>
                      </w:p>
                    </w:tc>
                  </w:tr>
                  <w:tr>
                    <w:trPr>
                      <w:trHeight w:val="623" w:hRule="atLeast"/>
                    </w:trPr>
                    <w:tc>
                      <w:tcPr>
                        <w:tcW w:w="915" w:type="dxa"/>
                      </w:tcPr>
                      <w:p>
                        <w:pPr>
                          <w:pStyle w:val="TableParagraph"/>
                          <w:spacing w:before="42"/>
                          <w:rPr>
                            <w:rFonts w:ascii="Consolas"/>
                            <w:sz w:val="22"/>
                          </w:rPr>
                        </w:pPr>
                        <w:r>
                          <w:rPr>
                            <w:rFonts w:ascii="Consolas"/>
                            <w:w w:val="100"/>
                            <w:sz w:val="22"/>
                          </w:rPr>
                          <w:t>6</w:t>
                        </w:r>
                      </w:p>
                    </w:tc>
                    <w:tc>
                      <w:tcPr>
                        <w:tcW w:w="2093" w:type="dxa"/>
                      </w:tcPr>
                      <w:p>
                        <w:pPr>
                          <w:pStyle w:val="TableParagraph"/>
                          <w:ind w:left="117" w:right="265"/>
                          <w:rPr>
                            <w:sz w:val="22"/>
                          </w:rPr>
                        </w:pPr>
                        <w:r>
                          <w:rPr>
                            <w:sz w:val="22"/>
                          </w:rPr>
                          <w:t>Sorts set in natural descending order</w:t>
                        </w:r>
                      </w:p>
                    </w:tc>
                    <w:tc>
                      <w:tcPr>
                        <w:tcW w:w="1434" w:type="dxa"/>
                      </w:tcPr>
                      <w:p>
                        <w:pPr>
                          <w:pStyle w:val="TableParagraph"/>
                          <w:ind w:left="114"/>
                          <w:rPr>
                            <w:sz w:val="22"/>
                          </w:rPr>
                        </w:pPr>
                        <w:r>
                          <w:rPr>
                            <w:sz w:val="22"/>
                          </w:rPr>
                          <w:t>Ignored</w:t>
                        </w:r>
                      </w:p>
                    </w:tc>
                  </w:tr>
                </w:tbl>
                <w:p>
                  <w:pPr>
                    <w:pStyle w:val="BodyText"/>
                  </w:pPr>
                </w:p>
              </w:txbxContent>
            </v:textbox>
            <w10:wrap type="none"/>
          </v:shape>
        </w:pic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connection</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The name of the connection to the cube.</w:t>
            </w:r>
          </w:p>
        </w:tc>
      </w:tr>
      <w:tr>
        <w:trPr>
          <w:trHeight w:val="1158" w:hRule="atLeast"/>
        </w:trPr>
        <w:tc>
          <w:tcPr>
            <w:tcW w:w="1466" w:type="dxa"/>
          </w:tcPr>
          <w:p>
            <w:pPr>
              <w:pStyle w:val="TableParagraph"/>
              <w:spacing w:before="37"/>
              <w:ind w:right="380"/>
              <w:rPr>
                <w:rFonts w:ascii="Times New Roman"/>
                <w:i/>
                <w:sz w:val="22"/>
              </w:rPr>
            </w:pPr>
            <w:r>
              <w:rPr>
                <w:rFonts w:ascii="Times New Roman"/>
                <w:i/>
                <w:sz w:val="22"/>
              </w:rPr>
              <w:t>set- </w:t>
            </w:r>
            <w:r>
              <w:rPr>
                <w:rFonts w:ascii="Times New Roman"/>
                <w:i/>
                <w:sz w:val="22"/>
              </w:rPr>
              <w:t>expression</w:t>
            </w:r>
          </w:p>
        </w:tc>
        <w:tc>
          <w:tcPr>
            <w:tcW w:w="1800" w:type="dxa"/>
          </w:tcPr>
          <w:p>
            <w:pPr>
              <w:pStyle w:val="TableParagraph"/>
              <w:ind w:left="112"/>
              <w:rPr>
                <w:sz w:val="22"/>
              </w:rPr>
            </w:pPr>
            <w:r>
              <w:rPr>
                <w:sz w:val="22"/>
              </w:rPr>
              <w:t>text, reference</w:t>
            </w:r>
          </w:p>
        </w:tc>
        <w:tc>
          <w:tcPr>
            <w:tcW w:w="5400" w:type="dxa"/>
          </w:tcPr>
          <w:p>
            <w:pPr>
              <w:pStyle w:val="TableParagraph"/>
              <w:ind w:left="113" w:right="123"/>
              <w:rPr>
                <w:sz w:val="22"/>
              </w:rPr>
            </w:pPr>
            <w:r>
              <w:rPr>
                <w:sz w:val="22"/>
              </w:rPr>
              <w:t>A set expression that results in a set of members or tuples. </w:t>
            </w:r>
            <w:r>
              <w:rPr>
                <w:rFonts w:ascii="Times New Roman"/>
                <w:i/>
                <w:sz w:val="22"/>
              </w:rPr>
              <w:t>set-expression </w:t>
            </w:r>
            <w:r>
              <w:rPr>
                <w:sz w:val="22"/>
              </w:rPr>
              <w:t>can also be a cell reference to range that contains one or more members, tuples, or sets included in the</w:t>
            </w:r>
            <w:r>
              <w:rPr>
                <w:spacing w:val="-1"/>
                <w:sz w:val="22"/>
              </w:rPr>
              <w:t> </w:t>
            </w:r>
            <w:r>
              <w:rPr>
                <w:sz w:val="22"/>
              </w:rPr>
              <w:t>set.</w:t>
            </w:r>
          </w:p>
        </w:tc>
      </w:tr>
      <w:tr>
        <w:trPr>
          <w:trHeight w:val="623" w:hRule="atLeast"/>
        </w:trPr>
        <w:tc>
          <w:tcPr>
            <w:tcW w:w="1466" w:type="dxa"/>
          </w:tcPr>
          <w:p>
            <w:pPr>
              <w:pStyle w:val="TableParagraph"/>
              <w:spacing w:before="37"/>
              <w:rPr>
                <w:rFonts w:ascii="Times New Roman"/>
                <w:i/>
                <w:sz w:val="22"/>
              </w:rPr>
            </w:pPr>
            <w:r>
              <w:rPr>
                <w:rFonts w:ascii="Times New Roman"/>
                <w:i/>
                <w:sz w:val="22"/>
              </w:rPr>
              <w:t>caption</w:t>
            </w:r>
          </w:p>
        </w:tc>
        <w:tc>
          <w:tcPr>
            <w:tcW w:w="1800" w:type="dxa"/>
          </w:tcPr>
          <w:p>
            <w:pPr>
              <w:pStyle w:val="TableParagraph"/>
              <w:ind w:left="112"/>
              <w:rPr>
                <w:sz w:val="22"/>
              </w:rPr>
            </w:pPr>
            <w:r>
              <w:rPr>
                <w:sz w:val="22"/>
              </w:rPr>
              <w:t>text</w:t>
            </w:r>
          </w:p>
        </w:tc>
        <w:tc>
          <w:tcPr>
            <w:tcW w:w="5400" w:type="dxa"/>
          </w:tcPr>
          <w:p>
            <w:pPr>
              <w:pStyle w:val="TableParagraph"/>
              <w:ind w:left="113" w:right="215"/>
              <w:rPr>
                <w:sz w:val="22"/>
              </w:rPr>
            </w:pPr>
            <w:r>
              <w:rPr>
                <w:sz w:val="22"/>
              </w:rPr>
              <w:t>The text displayed in the cell instead of the caption from the cube (assuming it defines such a caption).</w:t>
            </w:r>
          </w:p>
        </w:tc>
      </w:tr>
      <w:tr>
        <w:trPr>
          <w:trHeight w:val="7831" w:hRule="atLeast"/>
        </w:trPr>
        <w:tc>
          <w:tcPr>
            <w:tcW w:w="1466" w:type="dxa"/>
          </w:tcPr>
          <w:p>
            <w:pPr>
              <w:pStyle w:val="TableParagraph"/>
              <w:spacing w:before="37"/>
              <w:rPr>
                <w:rFonts w:ascii="Times New Roman"/>
                <w:i/>
                <w:sz w:val="22"/>
              </w:rPr>
            </w:pPr>
            <w:r>
              <w:rPr>
                <w:rFonts w:ascii="Times New Roman"/>
                <w:i/>
                <w:sz w:val="22"/>
              </w:rPr>
              <w:t>sort-order</w:t>
            </w:r>
          </w:p>
        </w:tc>
        <w:tc>
          <w:tcPr>
            <w:tcW w:w="1800" w:type="dxa"/>
          </w:tcPr>
          <w:p>
            <w:pPr>
              <w:pStyle w:val="TableParagraph"/>
              <w:ind w:left="112"/>
              <w:rPr>
                <w:sz w:val="22"/>
              </w:rPr>
            </w:pPr>
            <w:r>
              <w:rPr>
                <w:sz w:val="22"/>
              </w:rPr>
              <w:t>text</w:t>
            </w:r>
          </w:p>
        </w:tc>
        <w:tc>
          <w:tcPr>
            <w:tcW w:w="5400" w:type="dxa"/>
          </w:tcPr>
          <w:p>
            <w:pPr>
              <w:pStyle w:val="TableParagraph"/>
              <w:ind w:left="113" w:right="324"/>
              <w:rPr>
                <w:sz w:val="22"/>
              </w:rPr>
            </w:pPr>
            <w:r>
              <w:rPr>
                <w:sz w:val="22"/>
              </w:rPr>
              <w:t>The type of sort, if any, to perform; it can be one of the following:</w:t>
            </w: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0"/>
              <w:ind w:left="0"/>
              <w:rPr>
                <w:sz w:val="22"/>
              </w:rPr>
            </w:pPr>
          </w:p>
          <w:p>
            <w:pPr>
              <w:pStyle w:val="TableParagraph"/>
              <w:spacing w:before="5"/>
              <w:ind w:left="0"/>
              <w:rPr>
                <w:sz w:val="18"/>
              </w:rPr>
            </w:pPr>
          </w:p>
          <w:p>
            <w:pPr>
              <w:pStyle w:val="TableParagraph"/>
              <w:spacing w:before="1"/>
              <w:ind w:left="113" w:right="527"/>
              <w:rPr>
                <w:sz w:val="22"/>
              </w:rPr>
            </w:pPr>
            <w:r>
              <w:rPr>
                <w:sz w:val="22"/>
              </w:rPr>
              <w:t>An alphabetic sort for a set of tuples sorts on the last element in each tuple.</w:t>
            </w:r>
          </w:p>
        </w:tc>
      </w:tr>
      <w:tr>
        <w:trPr>
          <w:trHeight w:val="1699" w:hRule="atLeast"/>
        </w:trPr>
        <w:tc>
          <w:tcPr>
            <w:tcW w:w="1466" w:type="dxa"/>
          </w:tcPr>
          <w:p>
            <w:pPr>
              <w:pStyle w:val="TableParagraph"/>
              <w:spacing w:before="37"/>
              <w:rPr>
                <w:rFonts w:ascii="Times New Roman"/>
                <w:i/>
                <w:sz w:val="22"/>
              </w:rPr>
            </w:pPr>
            <w:r>
              <w:rPr>
                <w:rFonts w:ascii="Times New Roman"/>
                <w:i/>
                <w:sz w:val="22"/>
              </w:rPr>
              <w:t>sort-by</w:t>
            </w:r>
          </w:p>
        </w:tc>
        <w:tc>
          <w:tcPr>
            <w:tcW w:w="1800" w:type="dxa"/>
          </w:tcPr>
          <w:p>
            <w:pPr>
              <w:pStyle w:val="TableParagraph"/>
              <w:ind w:left="112"/>
              <w:rPr>
                <w:sz w:val="22"/>
              </w:rPr>
            </w:pPr>
            <w:r>
              <w:rPr>
                <w:sz w:val="22"/>
              </w:rPr>
              <w:t>text</w:t>
            </w:r>
          </w:p>
        </w:tc>
        <w:tc>
          <w:tcPr>
            <w:tcW w:w="5400" w:type="dxa"/>
          </w:tcPr>
          <w:p>
            <w:pPr>
              <w:pStyle w:val="TableParagraph"/>
              <w:ind w:left="113" w:right="145"/>
              <w:rPr>
                <w:sz w:val="22"/>
              </w:rPr>
            </w:pPr>
            <w:r>
              <w:rPr>
                <w:sz w:val="22"/>
              </w:rPr>
              <w:t>The value by which to sort. [</w:t>
            </w:r>
            <w:r>
              <w:rPr>
                <w:i/>
                <w:sz w:val="22"/>
              </w:rPr>
              <w:t>Example</w:t>
            </w:r>
            <w:r>
              <w:rPr>
                <w:sz w:val="22"/>
              </w:rPr>
              <w:t>: To get the city with the highest sales, set-expression would be a set of cities, and sort-by would be the sales measure. To get the city with the highest population, set-expression would be a set of cities, and sort-by would be the population measure. </w:t>
            </w:r>
            <w:r>
              <w:rPr>
                <w:i/>
                <w:sz w:val="22"/>
              </w:rPr>
              <w:t>end example</w:t>
            </w:r>
            <w:r>
              <w:rPr>
                <w:sz w:val="22"/>
              </w:rPr>
              <w:t>]</w:t>
            </w:r>
          </w:p>
        </w:tc>
      </w:tr>
    </w:tbl>
    <w:p>
      <w:pPr>
        <w:pStyle w:val="BodyText"/>
        <w:rPr>
          <w:sz w:val="20"/>
        </w:rPr>
      </w:pPr>
    </w:p>
    <w:p>
      <w:pPr>
        <w:pStyle w:val="BodyText"/>
        <w:rPr>
          <w:sz w:val="17"/>
        </w:rPr>
      </w:pPr>
    </w:p>
    <w:p>
      <w:pPr>
        <w:spacing w:before="56"/>
        <w:ind w:left="220" w:right="0" w:firstLine="0"/>
        <w:jc w:val="left"/>
        <w:rPr>
          <w:sz w:val="22"/>
        </w:rPr>
      </w:pPr>
      <w:r>
        <w:rPr>
          <w:b/>
          <w:sz w:val="22"/>
        </w:rPr>
        <w:t>Return Type and Value</w:t>
      </w:r>
      <w:r>
        <w:rPr>
          <w:sz w:val="22"/>
        </w:rPr>
        <w:t>: any – The set of members or tuples.</w:t>
      </w:r>
    </w:p>
    <w:p>
      <w:pPr>
        <w:spacing w:after="0"/>
        <w:jc w:val="left"/>
        <w:rPr>
          <w:sz w:val="22"/>
        </w:rPr>
        <w:sectPr>
          <w:pgSz w:w="12240" w:h="15840"/>
          <w:pgMar w:header="761" w:footer="746" w:top="1340" w:bottom="940" w:left="860" w:right="700"/>
        </w:sectPr>
      </w:pPr>
    </w:p>
    <w:p>
      <w:pPr>
        <w:pStyle w:val="BodyText"/>
        <w:spacing w:before="150"/>
        <w:ind w:left="220"/>
      </w:pPr>
      <w:r>
        <w:rPr/>
        <w:t>However, if</w:t>
      </w:r>
    </w:p>
    <w:p>
      <w:pPr>
        <w:pStyle w:val="BodyText"/>
        <w:spacing w:before="7"/>
        <w:rPr>
          <w:sz w:val="19"/>
        </w:rPr>
      </w:pPr>
    </w:p>
    <w:p>
      <w:pPr>
        <w:pStyle w:val="ListParagraph"/>
        <w:numPr>
          <w:ilvl w:val="4"/>
          <w:numId w:val="66"/>
        </w:numPr>
        <w:tabs>
          <w:tab w:pos="940" w:val="left" w:leader="none"/>
          <w:tab w:pos="941" w:val="left" w:leader="none"/>
        </w:tabs>
        <w:spacing w:line="273" w:lineRule="auto" w:before="0" w:after="0"/>
        <w:ind w:left="940" w:right="1227" w:hanging="360"/>
        <w:jc w:val="left"/>
        <w:rPr>
          <w:sz w:val="22"/>
        </w:rPr>
      </w:pPr>
      <w:r>
        <w:rPr>
          <w:sz w:val="22"/>
        </w:rPr>
        <w:t>The connection name is not a workbook connection stored in the workbook, the return value is unspecified.</w:t>
      </w:r>
    </w:p>
    <w:p>
      <w:pPr>
        <w:pStyle w:val="ListParagraph"/>
        <w:numPr>
          <w:ilvl w:val="4"/>
          <w:numId w:val="66"/>
        </w:numPr>
        <w:tabs>
          <w:tab w:pos="940" w:val="left" w:leader="none"/>
          <w:tab w:pos="941" w:val="left" w:leader="none"/>
        </w:tabs>
        <w:spacing w:line="276" w:lineRule="auto" w:before="4" w:after="0"/>
        <w:ind w:left="940" w:right="1390" w:hanging="360"/>
        <w:jc w:val="left"/>
        <w:rPr>
          <w:sz w:val="22"/>
        </w:rPr>
      </w:pPr>
      <w:r>
        <w:rPr>
          <w:sz w:val="22"/>
        </w:rPr>
        <w:t>The OLAP server is not running, not available, or returns an error message, the return value is unspecified.</w:t>
      </w:r>
    </w:p>
    <w:p>
      <w:pPr>
        <w:pStyle w:val="ListParagraph"/>
        <w:numPr>
          <w:ilvl w:val="4"/>
          <w:numId w:val="66"/>
        </w:numPr>
        <w:tabs>
          <w:tab w:pos="940" w:val="left" w:leader="none"/>
          <w:tab w:pos="941" w:val="left" w:leader="none"/>
        </w:tabs>
        <w:spacing w:line="280" w:lineRule="exact" w:before="0" w:after="0"/>
        <w:ind w:left="940" w:right="0" w:hanging="361"/>
        <w:jc w:val="left"/>
        <w:rPr>
          <w:sz w:val="22"/>
        </w:rPr>
      </w:pPr>
      <w:r>
        <w:rPr>
          <w:sz w:val="22"/>
        </w:rPr>
        <w:t>The syntax of </w:t>
      </w:r>
      <w:r>
        <w:rPr>
          <w:rFonts w:ascii="Times New Roman" w:hAnsi="Times New Roman"/>
          <w:i/>
          <w:sz w:val="22"/>
        </w:rPr>
        <w:t>member-expression </w:t>
      </w:r>
      <w:r>
        <w:rPr>
          <w:sz w:val="22"/>
        </w:rPr>
        <w:t>is incorrect,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276" w:lineRule="auto" w:before="42" w:after="0"/>
        <w:ind w:left="940" w:right="677" w:hanging="360"/>
        <w:jc w:val="left"/>
        <w:rPr>
          <w:sz w:val="22"/>
        </w:rPr>
      </w:pPr>
      <w:r>
        <w:rPr>
          <w:sz w:val="22"/>
        </w:rPr>
        <w:t>The set contains at least one member with a different dimension than the other members, the return value is</w:t>
      </w:r>
      <w:r>
        <w:rPr>
          <w:spacing w:val="-3"/>
          <w:sz w:val="22"/>
        </w:rPr>
        <w:t> </w:t>
      </w:r>
      <w:r>
        <w:rPr>
          <w:sz w:val="22"/>
        </w:rPr>
        <w:t>unspecified.</w:t>
      </w:r>
    </w:p>
    <w:p>
      <w:pPr>
        <w:pStyle w:val="ListParagraph"/>
        <w:numPr>
          <w:ilvl w:val="4"/>
          <w:numId w:val="66"/>
        </w:numPr>
        <w:tabs>
          <w:tab w:pos="940" w:val="left" w:leader="none"/>
          <w:tab w:pos="941" w:val="left" w:leader="none"/>
        </w:tabs>
        <w:spacing w:line="280" w:lineRule="exact" w:before="0" w:after="0"/>
        <w:ind w:left="940" w:right="0" w:hanging="361"/>
        <w:jc w:val="left"/>
        <w:rPr>
          <w:sz w:val="22"/>
        </w:rPr>
      </w:pPr>
      <w:r>
        <w:rPr>
          <w:rFonts w:ascii="Times New Roman" w:hAnsi="Times New Roman"/>
          <w:i/>
          <w:sz w:val="22"/>
        </w:rPr>
        <w:t>sort-order </w:t>
      </w:r>
      <w:r>
        <w:rPr>
          <w:sz w:val="22"/>
        </w:rPr>
        <w:t>is outside the range 0–6, </w:t>
      </w:r>
      <w:r>
        <w:rPr>
          <w:rFonts w:ascii="Consolas" w:hAnsi="Consolas"/>
          <w:sz w:val="22"/>
        </w:rPr>
        <w:t>#N/A</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3298" w:firstLine="360"/>
        <w:jc w:val="left"/>
        <w:rPr>
          <w:sz w:val="22"/>
        </w:rPr>
      </w:pPr>
      <w:r>
        <w:rPr>
          <w:rFonts w:ascii="Times New Roman" w:hAnsi="Times New Roman"/>
          <w:i/>
          <w:sz w:val="22"/>
        </w:rPr>
        <w:t>sort-order </w:t>
      </w:r>
      <w:r>
        <w:rPr>
          <w:sz w:val="22"/>
        </w:rPr>
        <w:t>requires </w:t>
      </w:r>
      <w:r>
        <w:rPr>
          <w:rFonts w:ascii="Times New Roman" w:hAnsi="Times New Roman"/>
          <w:i/>
          <w:sz w:val="22"/>
        </w:rPr>
        <w:t>sort-by</w:t>
      </w:r>
      <w:r>
        <w:rPr>
          <w:sz w:val="22"/>
        </w:rPr>
        <w:t>, but </w:t>
      </w:r>
      <w:r>
        <w:rPr>
          <w:rFonts w:ascii="Times New Roman" w:hAnsi="Times New Roman"/>
          <w:i/>
          <w:sz w:val="22"/>
        </w:rPr>
        <w:t>sort-by </w:t>
      </w:r>
      <w:r>
        <w:rPr>
          <w:sz w:val="22"/>
        </w:rPr>
        <w:t>is omitted, </w:t>
      </w:r>
      <w:r>
        <w:rPr>
          <w:rFonts w:ascii="Consolas" w:hAnsi="Consolas"/>
          <w:sz w:val="22"/>
        </w:rPr>
        <w:t>#VALUE!</w:t>
      </w:r>
      <w:r>
        <w:rPr>
          <w:rFonts w:ascii="Consolas" w:hAnsi="Consolas"/>
          <w:spacing w:val="-99"/>
          <w:sz w:val="22"/>
        </w:rPr>
        <w:t> </w:t>
      </w:r>
      <w:r>
        <w:rPr>
          <w:sz w:val="22"/>
        </w:rPr>
        <w:t>is returned. [</w:t>
      </w:r>
      <w:r>
        <w:rPr>
          <w:i/>
          <w:sz w:val="22"/>
        </w:rPr>
        <w:t>Example</w:t>
      </w:r>
      <w:r>
        <w:rPr>
          <w:sz w:val="22"/>
        </w:rPr>
        <w:t>:</w:t>
      </w:r>
    </w:p>
    <w:p>
      <w:pPr>
        <w:pStyle w:val="BodyText"/>
        <w:spacing w:before="129"/>
        <w:ind w:left="220"/>
        <w:rPr>
          <w:rFonts w:ascii="Consolas"/>
        </w:rPr>
      </w:pPr>
      <w:r>
        <w:rPr>
          <w:rFonts w:ascii="Consolas"/>
        </w:rPr>
        <w:t>CUBESET("Finance","Order([Product].[Product].[Product Category]</w:t>
      </w:r>
    </w:p>
    <w:p>
      <w:pPr>
        <w:pStyle w:val="BodyText"/>
        <w:spacing w:before="37"/>
        <w:ind w:left="220"/>
        <w:rPr>
          <w:rFonts w:ascii="Consolas"/>
        </w:rPr>
      </w:pPr>
      <w:r>
        <w:rPr>
          <w:rFonts w:ascii="Consolas"/>
        </w:rPr>
        <w:t>.Members,[Measures].[Unit Sales],ASC)","Products")</w:t>
      </w:r>
    </w:p>
    <w:p>
      <w:pPr>
        <w:pStyle w:val="BodyText"/>
        <w:spacing w:before="5"/>
        <w:rPr>
          <w:rFonts w:ascii="Consolas"/>
          <w:sz w:val="20"/>
        </w:rPr>
      </w:pPr>
    </w:p>
    <w:p>
      <w:pPr>
        <w:pStyle w:val="BodyText"/>
        <w:spacing w:line="278" w:lineRule="auto"/>
        <w:ind w:left="462" w:right="503" w:hanging="243"/>
        <w:rPr>
          <w:rFonts w:ascii="Consolas"/>
        </w:rPr>
      </w:pPr>
      <w:r>
        <w:rPr>
          <w:rFonts w:ascii="Consolas"/>
        </w:rPr>
        <w:t>CUBESET("Sales","[Product].[All Products].Children", "Products",1,"[Measures].[Sales Amount]")</w:t>
      </w:r>
    </w:p>
    <w:p>
      <w:pPr>
        <w:spacing w:line="264" w:lineRule="exact"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70 CUBESETCOUNT" w:id="1602"/>
      <w:bookmarkEnd w:id="1602"/>
      <w:r>
        <w:rPr/>
      </w:r>
      <w:bookmarkStart w:name="_bookmark533" w:id="1603"/>
      <w:bookmarkEnd w:id="1603"/>
      <w:r>
        <w:rPr/>
      </w:r>
      <w:bookmarkStart w:name="_bookmark533" w:id="1604"/>
      <w:bookmarkEnd w:id="1604"/>
      <w:r>
        <w:rPr>
          <w:color w:val="4F81BC"/>
        </w:rPr>
        <w:t>C</w:t>
      </w:r>
      <w:r>
        <w:rPr>
          <w:color w:val="4F81BC"/>
        </w:rPr>
        <w:t>UBESETCOUNT</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CUBESETCOUNT ( </w:t>
      </w:r>
      <w:r>
        <w:rPr>
          <w:i/>
          <w:sz w:val="22"/>
        </w:rPr>
        <w:t>set </w:t>
      </w:r>
      <w:r>
        <w:rPr>
          <w:rFonts w:ascii="Lucida Console"/>
          <w:sz w:val="20"/>
        </w:rPr>
        <w:t>)</w:t>
      </w:r>
    </w:p>
    <w:p>
      <w:pPr>
        <w:spacing w:before="108"/>
        <w:ind w:left="220" w:right="0" w:firstLine="0"/>
        <w:jc w:val="left"/>
        <w:rPr>
          <w:sz w:val="22"/>
        </w:rPr>
      </w:pPr>
      <w:r>
        <w:rPr>
          <w:b/>
          <w:sz w:val="22"/>
        </w:rPr>
        <w:t>Description</w:t>
      </w:r>
      <w:r>
        <w:rPr>
          <w:sz w:val="22"/>
        </w:rPr>
        <w:t>: Computes the number of items in a set.</w:t>
      </w:r>
    </w:p>
    <w:p>
      <w:pPr>
        <w:pStyle w:val="BodyText"/>
        <w:spacing w:before="8"/>
        <w:rPr>
          <w:sz w:val="19"/>
        </w:rPr>
      </w:pPr>
    </w:p>
    <w:p>
      <w:pPr>
        <w:pStyle w:val="Heading4"/>
        <w:spacing w:before="1"/>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set</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An expression that evaluates to a set defined by the</w:t>
            </w:r>
          </w:p>
          <w:p>
            <w:pPr>
              <w:pStyle w:val="TableParagraph"/>
              <w:spacing w:before="0"/>
              <w:ind w:left="113"/>
              <w:rPr>
                <w:sz w:val="22"/>
              </w:rPr>
            </w:pPr>
            <w:r>
              <w:rPr>
                <w:rFonts w:ascii="Consolas"/>
                <w:sz w:val="22"/>
              </w:rPr>
              <w:t>CUBESET</w:t>
            </w:r>
            <w:r>
              <w:rPr>
                <w:rFonts w:ascii="Consolas"/>
                <w:spacing w:val="-70"/>
                <w:sz w:val="22"/>
              </w:rPr>
              <w:t> </w:t>
            </w:r>
            <w:r>
              <w:rPr>
                <w:sz w:val="22"/>
              </w:rPr>
              <w:t>function.</w:t>
            </w:r>
          </w:p>
        </w:tc>
      </w:tr>
    </w:tbl>
    <w:p>
      <w:pPr>
        <w:pStyle w:val="BodyText"/>
      </w:pPr>
    </w:p>
    <w:p>
      <w:pPr>
        <w:pStyle w:val="BodyText"/>
        <w:spacing w:before="7"/>
        <w:rPr>
          <w:sz w:val="19"/>
        </w:rPr>
      </w:pPr>
    </w:p>
    <w:p>
      <w:pPr>
        <w:spacing w:line="453" w:lineRule="auto" w:before="0"/>
        <w:ind w:left="220" w:right="4717" w:firstLine="0"/>
        <w:jc w:val="left"/>
        <w:rPr>
          <w:sz w:val="22"/>
        </w:rPr>
      </w:pPr>
      <w:r>
        <w:rPr>
          <w:b/>
          <w:sz w:val="22"/>
        </w:rPr>
        <w:t>Return Type and Value</w:t>
      </w:r>
      <w:r>
        <w:rPr>
          <w:sz w:val="22"/>
        </w:rPr>
        <w:t>: number – The number of items in a set. [</w:t>
      </w:r>
      <w:r>
        <w:rPr>
          <w:i/>
          <w:sz w:val="22"/>
        </w:rPr>
        <w:t>Example</w:t>
      </w:r>
      <w:r>
        <w:rPr>
          <w:sz w:val="22"/>
        </w:rPr>
        <w:t>:</w:t>
      </w:r>
    </w:p>
    <w:p>
      <w:pPr>
        <w:pStyle w:val="BodyText"/>
        <w:spacing w:before="114"/>
        <w:ind w:left="220"/>
        <w:rPr>
          <w:rFonts w:ascii="Consolas"/>
        </w:rPr>
      </w:pPr>
      <w:r>
        <w:rPr>
          <w:rFonts w:ascii="Consolas"/>
        </w:rPr>
        <w:t>CUBESETCOUNT(A3)</w:t>
      </w:r>
    </w:p>
    <w:p>
      <w:pPr>
        <w:pStyle w:val="BodyText"/>
        <w:spacing w:line="278" w:lineRule="auto" w:before="37"/>
        <w:ind w:left="462" w:hanging="243"/>
        <w:rPr>
          <w:rFonts w:ascii="Consolas"/>
        </w:rPr>
      </w:pPr>
      <w:r>
        <w:rPr>
          <w:rFonts w:ascii="Consolas"/>
        </w:rPr>
        <w:t>CUBESETCOUNT(CUBESET("Sales","[Product].[All Products].Children", "Products",1,"[Measures].[Sales Amount]"))</w:t>
      </w:r>
    </w:p>
    <w:p>
      <w:pPr>
        <w:pStyle w:val="BodyText"/>
        <w:rPr>
          <w:rFonts w:ascii="Consolas"/>
          <w:sz w:val="26"/>
        </w:rPr>
      </w:pPr>
    </w:p>
    <w:p>
      <w:pPr>
        <w:spacing w:before="1"/>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71 CUBEVALUE" w:id="1605"/>
      <w:bookmarkEnd w:id="1605"/>
      <w:r>
        <w:rPr/>
      </w:r>
      <w:bookmarkStart w:name="_bookmark534" w:id="1606"/>
      <w:bookmarkEnd w:id="1606"/>
      <w:r>
        <w:rPr/>
      </w:r>
      <w:bookmarkStart w:name="_bookmark534" w:id="1607"/>
      <w:bookmarkEnd w:id="1607"/>
      <w:r>
        <w:rPr>
          <w:color w:val="4F81BC"/>
        </w:rPr>
        <w:t>C</w:t>
      </w:r>
      <w:r>
        <w:rPr>
          <w:color w:val="4F81BC"/>
        </w:rPr>
        <w:t>UBEVALUE</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CUBEVALUE ( </w:t>
      </w:r>
      <w:r>
        <w:rPr>
          <w:i/>
          <w:sz w:val="22"/>
        </w:rPr>
        <w:t>connection </w:t>
      </w:r>
      <w:r>
        <w:rPr>
          <w:rFonts w:ascii="Lucida Console"/>
          <w:sz w:val="20"/>
        </w:rPr>
        <w:t>, </w:t>
      </w:r>
      <w:r>
        <w:rPr>
          <w:i/>
          <w:sz w:val="22"/>
        </w:rPr>
        <w:t>argument-list </w:t>
      </w:r>
      <w:r>
        <w:rPr>
          <w:rFonts w:ascii="Lucida Console"/>
          <w:sz w:val="20"/>
        </w:rPr>
        <w:t>)</w:t>
      </w:r>
    </w:p>
    <w:p>
      <w:pPr>
        <w:spacing w:line="278" w:lineRule="auto" w:before="106"/>
        <w:ind w:left="220" w:right="680" w:firstLine="0"/>
        <w:jc w:val="left"/>
        <w:rPr>
          <w:sz w:val="22"/>
        </w:rPr>
      </w:pPr>
      <w:r>
        <w:rPr>
          <w:b/>
          <w:sz w:val="22"/>
        </w:rPr>
        <w:t>Description</w:t>
      </w:r>
      <w:r>
        <w:rPr>
          <w:sz w:val="22"/>
        </w:rPr>
        <w:t>: Fetches from the OLAP cube on the OLAP server designated by </w:t>
      </w:r>
      <w:r>
        <w:rPr>
          <w:rFonts w:ascii="Times New Roman"/>
          <w:i/>
          <w:sz w:val="22"/>
        </w:rPr>
        <w:t>connection</w:t>
      </w:r>
      <w:r>
        <w:rPr>
          <w:sz w:val="22"/>
        </w:rPr>
        <w:t>, the aggregated value defined by a series of member-expression </w:t>
      </w:r>
      <w:r>
        <w:rPr>
          <w:rFonts w:ascii="Times New Roman"/>
          <w:i/>
          <w:sz w:val="22"/>
        </w:rPr>
        <w:t>argument</w:t>
      </w:r>
      <w:r>
        <w:rPr>
          <w:sz w:val="22"/>
        </w:rPr>
        <w:t>s in </w:t>
      </w:r>
      <w:r>
        <w:rPr>
          <w:rFonts w:ascii="Times New Roman"/>
          <w:i/>
          <w:sz w:val="22"/>
        </w:rPr>
        <w:t>argument-list</w:t>
      </w:r>
      <w:r>
        <w:rPr>
          <w:sz w:val="22"/>
        </w:rPr>
        <w:t>.</w:t>
      </w:r>
    </w:p>
    <w:p>
      <w:pPr>
        <w:pStyle w:val="Heading4"/>
        <w:spacing w:before="198"/>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connection</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The name of the connection to the cube.</w:t>
            </w:r>
          </w:p>
        </w:tc>
      </w:tr>
      <w:tr>
        <w:trPr>
          <w:trHeight w:val="3578" w:hRule="atLeast"/>
        </w:trPr>
        <w:tc>
          <w:tcPr>
            <w:tcW w:w="1466" w:type="dxa"/>
          </w:tcPr>
          <w:p>
            <w:pPr>
              <w:pStyle w:val="TableParagraph"/>
              <w:spacing w:before="37"/>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text, reference</w:t>
            </w:r>
          </w:p>
        </w:tc>
        <w:tc>
          <w:tcPr>
            <w:tcW w:w="5400" w:type="dxa"/>
          </w:tcPr>
          <w:p>
            <w:pPr>
              <w:pStyle w:val="TableParagraph"/>
              <w:ind w:left="113" w:right="172"/>
              <w:rPr>
                <w:sz w:val="22"/>
              </w:rPr>
            </w:pPr>
            <w:r>
              <w:rPr>
                <w:sz w:val="22"/>
              </w:rPr>
              <w:t>Each </w:t>
            </w:r>
            <w:r>
              <w:rPr>
                <w:rFonts w:ascii="Times New Roman"/>
                <w:i/>
                <w:sz w:val="22"/>
              </w:rPr>
              <w:t>argument </w:t>
            </w:r>
            <w:r>
              <w:rPr>
                <w:sz w:val="22"/>
              </w:rPr>
              <w:t>in </w:t>
            </w:r>
            <w:r>
              <w:rPr>
                <w:rFonts w:ascii="Times New Roman"/>
                <w:i/>
                <w:sz w:val="22"/>
              </w:rPr>
              <w:t>argument-list </w:t>
            </w:r>
            <w:r>
              <w:rPr>
                <w:sz w:val="22"/>
              </w:rPr>
              <w:t>is text containing a multidimensional expression (MDX) that evaluates to a member or tuple within the cube. Alternatively, an </w:t>
            </w:r>
            <w:r>
              <w:rPr>
                <w:rFonts w:ascii="Times New Roman"/>
                <w:i/>
                <w:sz w:val="22"/>
              </w:rPr>
              <w:t>argument </w:t>
            </w:r>
            <w:r>
              <w:rPr>
                <w:sz w:val="22"/>
              </w:rPr>
              <w:t>can be a set defined with the </w:t>
            </w:r>
            <w:r>
              <w:rPr>
                <w:rFonts w:ascii="Consolas"/>
                <w:sz w:val="22"/>
              </w:rPr>
              <w:t>CUBESET </w:t>
            </w:r>
            <w:r>
              <w:rPr>
                <w:sz w:val="22"/>
              </w:rPr>
              <w:t>function. Use any </w:t>
            </w:r>
            <w:r>
              <w:rPr>
                <w:rFonts w:ascii="Times New Roman"/>
                <w:i/>
                <w:sz w:val="22"/>
              </w:rPr>
              <w:t>argument </w:t>
            </w:r>
            <w:r>
              <w:rPr>
                <w:sz w:val="22"/>
              </w:rPr>
              <w:t>as a slicer to define the portion of the cube for which the aggregated value is returned. If no measure is specified in an </w:t>
            </w:r>
            <w:r>
              <w:rPr>
                <w:rFonts w:ascii="Times New Roman"/>
                <w:i/>
                <w:sz w:val="22"/>
              </w:rPr>
              <w:t>argument</w:t>
            </w:r>
            <w:r>
              <w:rPr>
                <w:sz w:val="22"/>
              </w:rPr>
              <w:t>, the default measure for that cube is used. If a cell reference is used for an </w:t>
            </w:r>
            <w:r>
              <w:rPr>
                <w:rFonts w:ascii="Times New Roman"/>
                <w:i/>
                <w:sz w:val="22"/>
              </w:rPr>
              <w:t>argument</w:t>
            </w:r>
            <w:r>
              <w:rPr>
                <w:sz w:val="22"/>
              </w:rPr>
              <w:t>, and that cell reference contains a CUBE function, then that </w:t>
            </w:r>
            <w:r>
              <w:rPr>
                <w:rFonts w:ascii="Times New Roman"/>
                <w:i/>
                <w:sz w:val="22"/>
              </w:rPr>
              <w:t>argument </w:t>
            </w:r>
            <w:r>
              <w:rPr>
                <w:sz w:val="22"/>
              </w:rPr>
              <w:t>uses the MDX expression for the item in the referenced cell, and not the value displayed in that referenced cell. [</w:t>
            </w:r>
            <w:r>
              <w:rPr>
                <w:i/>
                <w:sz w:val="22"/>
              </w:rPr>
              <w:t>Note</w:t>
            </w:r>
            <w:r>
              <w:rPr>
                <w:sz w:val="22"/>
              </w:rPr>
              <w:t>: MDX is a standard query language for OLAP cubes. </w:t>
            </w:r>
            <w:r>
              <w:rPr>
                <w:i/>
                <w:sz w:val="22"/>
              </w:rPr>
              <w:t>end note</w:t>
            </w:r>
            <w:r>
              <w:rPr>
                <w:sz w:val="22"/>
              </w:rPr>
              <w:t>]</w:t>
            </w:r>
          </w:p>
        </w:tc>
      </w:tr>
    </w:tbl>
    <w:p>
      <w:pPr>
        <w:pStyle w:val="BodyText"/>
      </w:pPr>
    </w:p>
    <w:p>
      <w:pPr>
        <w:pStyle w:val="BodyText"/>
        <w:spacing w:before="8"/>
        <w:rPr>
          <w:sz w:val="19"/>
        </w:rPr>
      </w:pPr>
    </w:p>
    <w:p>
      <w:pPr>
        <w:spacing w:line="453" w:lineRule="auto" w:before="0"/>
        <w:ind w:left="220" w:right="5745" w:firstLine="0"/>
        <w:jc w:val="left"/>
        <w:rPr>
          <w:sz w:val="22"/>
        </w:rPr>
      </w:pPr>
      <w:r>
        <w:rPr>
          <w:b/>
          <w:sz w:val="22"/>
        </w:rPr>
        <w:t>Return Type and Value</w:t>
      </w:r>
      <w:r>
        <w:rPr>
          <w:sz w:val="22"/>
        </w:rPr>
        <w:t>: any – The aggregated value. However, if</w:t>
      </w:r>
    </w:p>
    <w:p>
      <w:pPr>
        <w:pStyle w:val="ListParagraph"/>
        <w:numPr>
          <w:ilvl w:val="4"/>
          <w:numId w:val="66"/>
        </w:numPr>
        <w:tabs>
          <w:tab w:pos="940" w:val="left" w:leader="none"/>
          <w:tab w:pos="941" w:val="left" w:leader="none"/>
        </w:tabs>
        <w:spacing w:line="273" w:lineRule="auto" w:before="0" w:after="0"/>
        <w:ind w:left="940" w:right="1227" w:hanging="360"/>
        <w:jc w:val="left"/>
        <w:rPr>
          <w:sz w:val="22"/>
        </w:rPr>
      </w:pPr>
      <w:r>
        <w:rPr>
          <w:sz w:val="22"/>
        </w:rPr>
        <w:t>The connection name is not a workbook connection stored in the workbook, the return value is unspecified.</w:t>
      </w:r>
    </w:p>
    <w:p>
      <w:pPr>
        <w:pStyle w:val="ListParagraph"/>
        <w:numPr>
          <w:ilvl w:val="4"/>
          <w:numId w:val="66"/>
        </w:numPr>
        <w:tabs>
          <w:tab w:pos="940" w:val="left" w:leader="none"/>
          <w:tab w:pos="941" w:val="left" w:leader="none"/>
        </w:tabs>
        <w:spacing w:line="276" w:lineRule="auto" w:before="5" w:after="0"/>
        <w:ind w:left="940" w:right="1390" w:hanging="360"/>
        <w:jc w:val="left"/>
        <w:rPr>
          <w:sz w:val="22"/>
        </w:rPr>
      </w:pPr>
      <w:r>
        <w:rPr>
          <w:sz w:val="22"/>
        </w:rPr>
        <w:t>The OLAP server is not running, not available, or returns an error message, the return value is unspecified.</w:t>
      </w:r>
    </w:p>
    <w:p>
      <w:pPr>
        <w:pStyle w:val="ListParagraph"/>
        <w:numPr>
          <w:ilvl w:val="4"/>
          <w:numId w:val="66"/>
        </w:numPr>
        <w:tabs>
          <w:tab w:pos="940" w:val="left" w:leader="none"/>
          <w:tab w:pos="941" w:val="left" w:leader="none"/>
        </w:tabs>
        <w:spacing w:line="280" w:lineRule="exact" w:before="0" w:after="0"/>
        <w:ind w:left="940" w:right="0" w:hanging="361"/>
        <w:jc w:val="left"/>
        <w:rPr>
          <w:sz w:val="22"/>
        </w:rPr>
      </w:pPr>
      <w:r>
        <w:rPr>
          <w:sz w:val="22"/>
        </w:rPr>
        <w:t>At least one element within the tuple is invalid, the return value is</w:t>
      </w:r>
      <w:r>
        <w:rPr>
          <w:spacing w:val="-7"/>
          <w:sz w:val="22"/>
        </w:rPr>
        <w:t> </w:t>
      </w:r>
      <w:r>
        <w:rPr>
          <w:sz w:val="22"/>
        </w:rPr>
        <w:t>unspecified.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sz w:val="22"/>
        </w:rPr>
        <w:t>The syntax of </w:t>
      </w:r>
      <w:r>
        <w:rPr>
          <w:rFonts w:ascii="Times New Roman" w:hAnsi="Times New Roman"/>
          <w:i/>
          <w:sz w:val="22"/>
        </w:rPr>
        <w:t>member-expression </w:t>
      </w:r>
      <w:r>
        <w:rPr>
          <w:sz w:val="22"/>
        </w:rPr>
        <w:t>is incorrect,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sz w:val="22"/>
        </w:rPr>
        <w:t>The member specified by an </w:t>
      </w:r>
      <w:r>
        <w:rPr>
          <w:rFonts w:ascii="Times New Roman" w:hAnsi="Times New Roman"/>
          <w:i/>
          <w:sz w:val="22"/>
        </w:rPr>
        <w:t>argument </w:t>
      </w:r>
      <w:r>
        <w:rPr>
          <w:sz w:val="22"/>
        </w:rPr>
        <w:t>doesn’t exist in the cube, the return value is</w:t>
      </w:r>
      <w:r>
        <w:rPr>
          <w:spacing w:val="-28"/>
          <w:sz w:val="22"/>
        </w:rPr>
        <w:t> </w:t>
      </w:r>
      <w:r>
        <w:rPr>
          <w:sz w:val="22"/>
        </w:rPr>
        <w:t>unspecified.</w:t>
      </w:r>
    </w:p>
    <w:p>
      <w:pPr>
        <w:pStyle w:val="ListParagraph"/>
        <w:numPr>
          <w:ilvl w:val="4"/>
          <w:numId w:val="66"/>
        </w:numPr>
        <w:tabs>
          <w:tab w:pos="940" w:val="left" w:leader="none"/>
          <w:tab w:pos="941" w:val="left" w:leader="none"/>
        </w:tabs>
        <w:spacing w:line="273" w:lineRule="auto" w:before="42" w:after="0"/>
        <w:ind w:left="940" w:right="1301" w:hanging="360"/>
        <w:jc w:val="left"/>
        <w:rPr>
          <w:sz w:val="22"/>
        </w:rPr>
      </w:pPr>
      <w:r>
        <w:rPr>
          <w:sz w:val="22"/>
        </w:rPr>
        <w:t>The tuple is invalid because there is no intersection for the specified values, the return value is unspecified. (This can occur with multiple elements from the same</w:t>
      </w:r>
      <w:r>
        <w:rPr>
          <w:spacing w:val="-16"/>
          <w:sz w:val="22"/>
        </w:rPr>
        <w:t> </w:t>
      </w:r>
      <w:r>
        <w:rPr>
          <w:sz w:val="22"/>
        </w:rPr>
        <w:t>hierarchy.)</w:t>
      </w:r>
    </w:p>
    <w:p>
      <w:pPr>
        <w:pStyle w:val="ListParagraph"/>
        <w:numPr>
          <w:ilvl w:val="4"/>
          <w:numId w:val="66"/>
        </w:numPr>
        <w:tabs>
          <w:tab w:pos="940" w:val="left" w:leader="none"/>
          <w:tab w:pos="941" w:val="left" w:leader="none"/>
        </w:tabs>
        <w:spacing w:line="278" w:lineRule="auto" w:before="5" w:after="0"/>
        <w:ind w:left="940" w:right="677" w:hanging="360"/>
        <w:jc w:val="left"/>
        <w:rPr>
          <w:sz w:val="22"/>
        </w:rPr>
      </w:pPr>
      <w:r>
        <w:rPr>
          <w:sz w:val="22"/>
        </w:rPr>
        <w:t>The set contains at least one member with a different dimension than the other members, the return value is</w:t>
      </w:r>
      <w:r>
        <w:rPr>
          <w:spacing w:val="-3"/>
          <w:sz w:val="22"/>
        </w:rPr>
        <w:t> </w:t>
      </w:r>
      <w:r>
        <w:rPr>
          <w:sz w:val="22"/>
        </w:rPr>
        <w:t>unspecified.</w:t>
      </w:r>
    </w:p>
    <w:p>
      <w:pPr>
        <w:spacing w:before="195"/>
        <w:ind w:left="220" w:right="0" w:firstLine="0"/>
        <w:jc w:val="left"/>
        <w:rPr>
          <w:sz w:val="22"/>
        </w:rPr>
      </w:pPr>
      <w:r>
        <w:rPr>
          <w:sz w:val="22"/>
        </w:rPr>
        <w:t>[</w:t>
      </w:r>
      <w:r>
        <w:rPr>
          <w:i/>
          <w:sz w:val="22"/>
        </w:rPr>
        <w:t>Example</w:t>
      </w:r>
      <w:r>
        <w:rPr>
          <w:sz w:val="22"/>
        </w:rPr>
        <w:t>:</w:t>
      </w:r>
    </w:p>
    <w:p>
      <w:pPr>
        <w:spacing w:after="0"/>
        <w:jc w:val="left"/>
        <w:rPr>
          <w:sz w:val="22"/>
        </w:rPr>
        <w:sectPr>
          <w:footerReference w:type="even" r:id="rId223"/>
          <w:footerReference w:type="default" r:id="rId224"/>
          <w:pgSz w:w="12240" w:h="15840"/>
          <w:pgMar w:footer="746" w:header="761" w:top="1340" w:bottom="940" w:left="860" w:right="700"/>
          <w:pgNumType w:start="2160"/>
        </w:sectPr>
      </w:pPr>
    </w:p>
    <w:p>
      <w:pPr>
        <w:pStyle w:val="BodyText"/>
        <w:spacing w:line="276" w:lineRule="auto" w:before="150"/>
        <w:ind w:left="462" w:right="3137" w:hanging="243"/>
        <w:rPr>
          <w:rFonts w:ascii="Consolas"/>
        </w:rPr>
      </w:pPr>
      <w:r>
        <w:rPr>
          <w:rFonts w:ascii="Consolas"/>
        </w:rPr>
        <w:t>CUBEVALUE("Sales","[Measures].[Profit]","[Time].[2004]", "[All Product].[Beverages]")</w:t>
      </w:r>
    </w:p>
    <w:p>
      <w:pPr>
        <w:pStyle w:val="BodyText"/>
        <w:spacing w:line="276" w:lineRule="auto" w:before="1"/>
        <w:ind w:left="220" w:right="1028"/>
        <w:rPr>
          <w:rFonts w:ascii="Consolas"/>
        </w:rPr>
      </w:pPr>
      <w:r>
        <w:rPr>
          <w:rFonts w:ascii="Consolas"/>
        </w:rPr>
        <w:t>CUBEVALUE($A$1,"[Measures].[Profit]",D$12,$A23) CUBEVALUE("Sales",$B$7,D$12,$A23)</w:t>
      </w:r>
    </w:p>
    <w:p>
      <w:pPr>
        <w:pStyle w:val="BodyText"/>
        <w:spacing w:before="3"/>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72 CUMIPMT" w:id="1608"/>
      <w:bookmarkEnd w:id="1608"/>
      <w:r>
        <w:rPr/>
      </w:r>
      <w:bookmarkStart w:name="_bookmark535" w:id="1609"/>
      <w:bookmarkEnd w:id="1609"/>
      <w:r>
        <w:rPr/>
      </w:r>
      <w:bookmarkStart w:name="_bookmark535" w:id="1610"/>
      <w:bookmarkEnd w:id="1610"/>
      <w:r>
        <w:rPr>
          <w:color w:val="4F81BC"/>
        </w:rPr>
        <w:t>C</w:t>
      </w:r>
      <w:r>
        <w:rPr>
          <w:color w:val="4F81BC"/>
        </w:rPr>
        <w:t>UMIPMT</w:t>
      </w:r>
    </w:p>
    <w:p>
      <w:pPr>
        <w:pStyle w:val="Heading4"/>
        <w:spacing w:before="121"/>
        <w:rPr>
          <w:b w:val="0"/>
        </w:rPr>
      </w:pPr>
      <w:r>
        <w:rPr/>
        <w:t>Syntax</w:t>
      </w:r>
      <w:r>
        <w:rPr>
          <w:b w:val="0"/>
        </w:rPr>
        <w:t>:</w:t>
      </w:r>
    </w:p>
    <w:p>
      <w:pPr>
        <w:pStyle w:val="BodyText"/>
        <w:spacing w:before="3"/>
        <w:rPr>
          <w:sz w:val="19"/>
        </w:rPr>
      </w:pPr>
    </w:p>
    <w:p>
      <w:pPr>
        <w:spacing w:before="1"/>
        <w:ind w:left="940" w:right="0" w:firstLine="0"/>
        <w:jc w:val="left"/>
        <w:rPr>
          <w:rFonts w:ascii="Lucida Console"/>
          <w:sz w:val="20"/>
        </w:rPr>
      </w:pPr>
      <w:r>
        <w:rPr>
          <w:rFonts w:ascii="Lucida Console"/>
          <w:sz w:val="20"/>
        </w:rPr>
        <w:t>CUMIPMT ( </w:t>
      </w:r>
      <w:r>
        <w:rPr>
          <w:i/>
          <w:sz w:val="22"/>
        </w:rPr>
        <w:t>rate </w:t>
      </w:r>
      <w:r>
        <w:rPr>
          <w:rFonts w:ascii="Lucida Console"/>
          <w:sz w:val="20"/>
        </w:rPr>
        <w:t>, </w:t>
      </w:r>
      <w:r>
        <w:rPr>
          <w:i/>
          <w:sz w:val="22"/>
        </w:rPr>
        <w:t>nper </w:t>
      </w:r>
      <w:r>
        <w:rPr>
          <w:rFonts w:ascii="Lucida Console"/>
          <w:sz w:val="20"/>
        </w:rPr>
        <w:t>, </w:t>
      </w:r>
      <w:r>
        <w:rPr>
          <w:i/>
          <w:sz w:val="22"/>
        </w:rPr>
        <w:t>pv </w:t>
      </w:r>
      <w:r>
        <w:rPr>
          <w:rFonts w:ascii="Lucida Console"/>
          <w:sz w:val="20"/>
        </w:rPr>
        <w:t>, </w:t>
      </w:r>
      <w:r>
        <w:rPr>
          <w:i/>
          <w:sz w:val="22"/>
        </w:rPr>
        <w:t>start-period  </w:t>
      </w:r>
      <w:r>
        <w:rPr>
          <w:rFonts w:ascii="Lucida Console"/>
          <w:sz w:val="20"/>
        </w:rPr>
        <w:t>, </w:t>
      </w:r>
      <w:r>
        <w:rPr>
          <w:i/>
          <w:sz w:val="22"/>
        </w:rPr>
        <w:t>end-period  </w:t>
      </w:r>
      <w:r>
        <w:rPr>
          <w:rFonts w:ascii="Lucida Console"/>
          <w:sz w:val="20"/>
        </w:rPr>
        <w:t>, </w:t>
      </w:r>
      <w:r>
        <w:rPr>
          <w:i/>
          <w:sz w:val="22"/>
        </w:rPr>
        <w:t>type </w:t>
      </w:r>
      <w:r>
        <w:rPr>
          <w:rFonts w:ascii="Lucida Console"/>
          <w:sz w:val="20"/>
        </w:rPr>
        <w:t>)</w:t>
      </w:r>
    </w:p>
    <w:p>
      <w:pPr>
        <w:spacing w:before="108"/>
        <w:ind w:left="220" w:right="0" w:firstLine="0"/>
        <w:jc w:val="left"/>
        <w:rPr>
          <w:sz w:val="22"/>
        </w:rPr>
      </w:pPr>
      <w:r>
        <w:rPr>
          <w:b/>
          <w:sz w:val="22"/>
        </w:rPr>
        <w:t>Description</w:t>
      </w:r>
      <w:r>
        <w:rPr>
          <w:sz w:val="22"/>
        </w:rPr>
        <w:t>: Computes the cumulative interest paid on a loan between </w:t>
      </w:r>
      <w:r>
        <w:rPr>
          <w:rFonts w:ascii="Times New Roman"/>
          <w:i/>
          <w:sz w:val="22"/>
        </w:rPr>
        <w:t>start-period </w:t>
      </w:r>
      <w:r>
        <w:rPr>
          <w:sz w:val="22"/>
        </w:rPr>
        <w:t>and </w:t>
      </w:r>
      <w:r>
        <w:rPr>
          <w:rFonts w:ascii="Times New Roman"/>
          <w:i/>
          <w:sz w:val="22"/>
        </w:rPr>
        <w:t>end-period</w:t>
      </w:r>
      <w:r>
        <w:rPr>
          <w:sz w:val="22"/>
        </w:rPr>
        <w:t>.</w:t>
      </w:r>
    </w:p>
    <w:p>
      <w:pPr>
        <w:pStyle w:val="BodyText"/>
        <w:spacing w:before="9"/>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352"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interest rate.</w:t>
            </w:r>
          </w:p>
        </w:tc>
      </w:tr>
      <w:tr>
        <w:trPr>
          <w:trHeight w:val="623" w:hRule="atLeast"/>
        </w:trPr>
        <w:tc>
          <w:tcPr>
            <w:tcW w:w="1466" w:type="dxa"/>
          </w:tcPr>
          <w:p>
            <w:pPr>
              <w:pStyle w:val="TableParagraph"/>
              <w:spacing w:before="39"/>
              <w:rPr>
                <w:rFonts w:ascii="Times New Roman"/>
                <w:i/>
                <w:sz w:val="22"/>
              </w:rPr>
            </w:pPr>
            <w:r>
              <w:rPr>
                <w:rFonts w:ascii="Times New Roman"/>
                <w:i/>
                <w:sz w:val="22"/>
              </w:rPr>
              <w:t>nper</w:t>
            </w:r>
          </w:p>
        </w:tc>
        <w:tc>
          <w:tcPr>
            <w:tcW w:w="1800" w:type="dxa"/>
          </w:tcPr>
          <w:p>
            <w:pPr>
              <w:pStyle w:val="TableParagraph"/>
              <w:spacing w:before="42"/>
              <w:ind w:left="112"/>
              <w:rPr>
                <w:sz w:val="22"/>
              </w:rPr>
            </w:pPr>
            <w:r>
              <w:rPr>
                <w:sz w:val="22"/>
              </w:rPr>
              <w:t>number</w:t>
            </w:r>
          </w:p>
        </w:tc>
        <w:tc>
          <w:tcPr>
            <w:tcW w:w="5397" w:type="dxa"/>
            <w:gridSpan w:val="4"/>
          </w:tcPr>
          <w:p>
            <w:pPr>
              <w:pStyle w:val="TableParagraph"/>
              <w:spacing w:line="237" w:lineRule="auto" w:before="44"/>
              <w:ind w:left="113" w:right="674"/>
              <w:rPr>
                <w:sz w:val="22"/>
              </w:rPr>
            </w:pPr>
            <w:r>
              <w:rPr>
                <w:sz w:val="22"/>
              </w:rPr>
              <w:t>The total number of payment periods, truncated to integer.</w:t>
            </w:r>
          </w:p>
        </w:tc>
      </w:tr>
      <w:tr>
        <w:trPr>
          <w:trHeight w:val="354"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present value.</w:t>
            </w:r>
          </w:p>
        </w:tc>
      </w:tr>
      <w:tr>
        <w:trPr>
          <w:trHeight w:val="623" w:hRule="atLeast"/>
        </w:trPr>
        <w:tc>
          <w:tcPr>
            <w:tcW w:w="1466" w:type="dxa"/>
          </w:tcPr>
          <w:p>
            <w:pPr>
              <w:pStyle w:val="TableParagraph"/>
              <w:spacing w:before="37"/>
              <w:rPr>
                <w:rFonts w:ascii="Times New Roman"/>
                <w:i/>
                <w:sz w:val="22"/>
              </w:rPr>
            </w:pPr>
            <w:r>
              <w:rPr>
                <w:rFonts w:ascii="Times New Roman"/>
                <w:i/>
                <w:sz w:val="22"/>
              </w:rPr>
              <w:t>start-period</w:t>
            </w:r>
          </w:p>
        </w:tc>
        <w:tc>
          <w:tcPr>
            <w:tcW w:w="1800" w:type="dxa"/>
          </w:tcPr>
          <w:p>
            <w:pPr>
              <w:pStyle w:val="TableParagraph"/>
              <w:ind w:left="112"/>
              <w:rPr>
                <w:sz w:val="22"/>
              </w:rPr>
            </w:pPr>
            <w:r>
              <w:rPr>
                <w:sz w:val="22"/>
              </w:rPr>
              <w:t>number</w:t>
            </w:r>
          </w:p>
        </w:tc>
        <w:tc>
          <w:tcPr>
            <w:tcW w:w="5397" w:type="dxa"/>
            <w:gridSpan w:val="4"/>
          </w:tcPr>
          <w:p>
            <w:pPr>
              <w:pStyle w:val="TableParagraph"/>
              <w:ind w:left="113" w:right="275"/>
              <w:rPr>
                <w:sz w:val="22"/>
              </w:rPr>
            </w:pPr>
            <w:r>
              <w:rPr>
                <w:sz w:val="22"/>
              </w:rPr>
              <w:t>The first period in the calculation. (Payment periods are numbered beginning with 1.)</w:t>
            </w:r>
          </w:p>
        </w:tc>
      </w:tr>
      <w:tr>
        <w:trPr>
          <w:trHeight w:val="354" w:hRule="atLeast"/>
        </w:trPr>
        <w:tc>
          <w:tcPr>
            <w:tcW w:w="1466" w:type="dxa"/>
          </w:tcPr>
          <w:p>
            <w:pPr>
              <w:pStyle w:val="TableParagraph"/>
              <w:spacing w:before="37"/>
              <w:rPr>
                <w:rFonts w:ascii="Times New Roman"/>
                <w:i/>
                <w:sz w:val="22"/>
              </w:rPr>
            </w:pPr>
            <w:r>
              <w:rPr>
                <w:rFonts w:ascii="Times New Roman"/>
                <w:i/>
                <w:sz w:val="22"/>
              </w:rPr>
              <w:t>end-period</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last period in the calculation.</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ind w:left="113" w:right="668"/>
              <w:rPr>
                <w:sz w:val="22"/>
              </w:rPr>
            </w:pPr>
            <w:r>
              <w:rPr>
                <w:sz w:val="22"/>
              </w:rPr>
              <w:t>The timing of the payment, truncated to integer,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1</w:t>
            </w:r>
          </w:p>
        </w:tc>
        <w:tc>
          <w:tcPr>
            <w:tcW w:w="2985" w:type="dxa"/>
          </w:tcPr>
          <w:p>
            <w:pPr>
              <w:pStyle w:val="TableParagraph"/>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bl>
    <w:p>
      <w:pPr>
        <w:pStyle w:val="BodyText"/>
      </w:pPr>
    </w:p>
    <w:p>
      <w:pPr>
        <w:pStyle w:val="BodyText"/>
        <w:spacing w:before="7"/>
        <w:rPr>
          <w:sz w:val="19"/>
        </w:rPr>
      </w:pPr>
    </w:p>
    <w:p>
      <w:pPr>
        <w:pStyle w:val="BodyText"/>
        <w:ind w:left="220"/>
      </w:pPr>
      <w:r>
        <w:rPr/>
        <w:t>Time information in the date arguments is ignored.</w:t>
      </w:r>
    </w:p>
    <w:p>
      <w:pPr>
        <w:pStyle w:val="BodyText"/>
        <w:spacing w:before="9"/>
        <w:rPr>
          <w:sz w:val="19"/>
        </w:rPr>
      </w:pPr>
    </w:p>
    <w:p>
      <w:pPr>
        <w:spacing w:line="453" w:lineRule="auto" w:before="0"/>
        <w:ind w:left="220" w:right="3849" w:firstLine="0"/>
        <w:jc w:val="left"/>
        <w:rPr>
          <w:sz w:val="22"/>
        </w:rPr>
      </w:pPr>
      <w:r>
        <w:rPr>
          <w:b/>
          <w:sz w:val="22"/>
        </w:rPr>
        <w:t>Return Type and Value</w:t>
      </w:r>
      <w:r>
        <w:rPr>
          <w:sz w:val="22"/>
        </w:rPr>
        <w:t>: number – The cumulative interest paid on a loan.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rate</w:t>
      </w:r>
      <w:r>
        <w:rPr>
          <w:sz w:val="22"/>
        </w:rPr>
        <w:t>, </w:t>
      </w:r>
      <w:r>
        <w:rPr>
          <w:rFonts w:ascii="Times New Roman" w:hAnsi="Times New Roman"/>
          <w:i/>
          <w:sz w:val="22"/>
        </w:rPr>
        <w:t>nper</w:t>
      </w:r>
      <w:r>
        <w:rPr>
          <w:sz w:val="22"/>
        </w:rPr>
        <w:t>, or </w:t>
      </w:r>
      <w:r>
        <w:rPr>
          <w:rFonts w:ascii="Times New Roman" w:hAnsi="Times New Roman"/>
          <w:i/>
          <w:sz w:val="22"/>
        </w:rPr>
        <w:t>pv </w:t>
      </w:r>
      <w:r>
        <w:rPr>
          <w:sz w:val="22"/>
        </w:rPr>
        <w: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start-period </w:t>
      </w:r>
      <w:r>
        <w:rPr>
          <w:sz w:val="22"/>
        </w:rPr>
        <w:t>&lt; 1 or </w:t>
      </w:r>
      <w:r>
        <w:rPr>
          <w:rFonts w:ascii="Times New Roman" w:hAnsi="Times New Roman"/>
          <w:i/>
          <w:sz w:val="22"/>
        </w:rPr>
        <w:t>end-period </w:t>
      </w:r>
      <w:r>
        <w:rPr>
          <w:sz w:val="22"/>
        </w:rPr>
        <w:t>&lt; 1, or </w:t>
      </w:r>
      <w:r>
        <w:rPr>
          <w:rFonts w:ascii="Times New Roman" w:hAnsi="Times New Roman"/>
          <w:i/>
          <w:sz w:val="22"/>
        </w:rPr>
        <w:t>start-period </w:t>
      </w:r>
      <w:r>
        <w:rPr>
          <w:sz w:val="22"/>
        </w:rPr>
        <w:t>&gt; </w:t>
      </w:r>
      <w:r>
        <w:rPr>
          <w:rFonts w:ascii="Times New Roman" w:hAnsi="Times New Roman"/>
          <w:i/>
          <w:sz w:val="22"/>
        </w:rPr>
        <w:t>end_period</w:t>
      </w:r>
      <w:r>
        <w:rPr>
          <w:sz w:val="22"/>
        </w:rPr>
        <w:t>,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type </w:t>
      </w:r>
      <w:r>
        <w:rPr>
          <w:sz w:val="22"/>
        </w:rPr>
        <w:t>is any number other than 0 or 1, </w:t>
      </w:r>
      <w:r>
        <w:rPr>
          <w:rFonts w:ascii="Consolas" w:hAnsi="Consolas"/>
          <w:sz w:val="22"/>
        </w:rPr>
        <w:t>#NUM!</w:t>
      </w:r>
      <w:r>
        <w:rPr>
          <w:rFonts w:ascii="Consolas" w:hAnsi="Consolas"/>
          <w:spacing w:val="-84"/>
          <w:sz w:val="22"/>
        </w:rPr>
        <w:t> </w:t>
      </w:r>
      <w:r>
        <w:rPr>
          <w:sz w:val="22"/>
        </w:rPr>
        <w:t>is returned.</w:t>
      </w:r>
    </w:p>
    <w:p>
      <w:pPr>
        <w:spacing w:after="0" w:line="240"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Pr>
          <w:rFonts w:ascii="Consolas"/>
        </w:rPr>
      </w:pPr>
      <w:r>
        <w:rPr>
          <w:rFonts w:ascii="Consolas"/>
        </w:rPr>
        <w:t>CUMIPMT(0.09/12,30*12,125000,13,24,0)</w:t>
      </w:r>
      <w:r>
        <w:rPr>
          <w:rFonts w:ascii="Consolas"/>
          <w:spacing w:val="-93"/>
        </w:rPr>
        <w:t> </w:t>
      </w:r>
      <w:r>
        <w:rPr/>
        <w:t>results in </w:t>
      </w:r>
      <w:r>
        <w:rPr>
          <w:rFonts w:ascii="Consolas"/>
        </w:rPr>
        <w:t>-11135.23 CUMIPMT(0.09/12,30*12,125000,1,1,0)</w:t>
      </w:r>
      <w:r>
        <w:rPr>
          <w:rFonts w:ascii="Consolas"/>
          <w:spacing w:val="-72"/>
        </w:rPr>
        <w:t> </w:t>
      </w:r>
      <w:r>
        <w:rPr/>
        <w:t>results in </w:t>
      </w:r>
      <w:r>
        <w:rPr>
          <w:rFonts w:ascii="Consolas"/>
        </w:rPr>
        <w:t>-937.50</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73 CUMPRINC" w:id="1611"/>
      <w:bookmarkEnd w:id="1611"/>
      <w:r>
        <w:rPr/>
      </w:r>
      <w:bookmarkStart w:name="_bookmark536" w:id="1612"/>
      <w:bookmarkEnd w:id="1612"/>
      <w:r>
        <w:rPr/>
      </w:r>
      <w:bookmarkStart w:name="_bookmark536" w:id="1613"/>
      <w:bookmarkEnd w:id="1613"/>
      <w:r>
        <w:rPr>
          <w:color w:val="4F81BC"/>
        </w:rPr>
        <w:t>C</w:t>
      </w:r>
      <w:r>
        <w:rPr>
          <w:color w:val="4F81BC"/>
        </w:rPr>
        <w:t>UMPRINC</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CUMPRINC ( </w:t>
      </w:r>
      <w:r>
        <w:rPr>
          <w:i/>
          <w:sz w:val="22"/>
        </w:rPr>
        <w:t>rate </w:t>
      </w:r>
      <w:r>
        <w:rPr>
          <w:rFonts w:ascii="Lucida Console"/>
          <w:sz w:val="20"/>
        </w:rPr>
        <w:t>, </w:t>
      </w:r>
      <w:r>
        <w:rPr>
          <w:i/>
          <w:sz w:val="22"/>
        </w:rPr>
        <w:t>nper </w:t>
      </w:r>
      <w:r>
        <w:rPr>
          <w:rFonts w:ascii="Lucida Console"/>
          <w:sz w:val="20"/>
        </w:rPr>
        <w:t>, </w:t>
      </w:r>
      <w:r>
        <w:rPr>
          <w:i/>
          <w:sz w:val="22"/>
        </w:rPr>
        <w:t>pv </w:t>
      </w:r>
      <w:r>
        <w:rPr>
          <w:rFonts w:ascii="Lucida Console"/>
          <w:sz w:val="20"/>
        </w:rPr>
        <w:t>, </w:t>
      </w:r>
      <w:r>
        <w:rPr>
          <w:i/>
          <w:sz w:val="22"/>
        </w:rPr>
        <w:t>start-period </w:t>
      </w:r>
      <w:r>
        <w:rPr>
          <w:rFonts w:ascii="Lucida Console"/>
          <w:sz w:val="20"/>
        </w:rPr>
        <w:t>, </w:t>
      </w:r>
      <w:r>
        <w:rPr>
          <w:i/>
          <w:sz w:val="22"/>
        </w:rPr>
        <w:t>end-period </w:t>
      </w:r>
      <w:r>
        <w:rPr>
          <w:rFonts w:ascii="Lucida Console"/>
          <w:sz w:val="20"/>
        </w:rPr>
        <w:t>, </w:t>
      </w:r>
      <w:r>
        <w:rPr>
          <w:i/>
          <w:sz w:val="22"/>
        </w:rPr>
        <w:t>type </w:t>
      </w:r>
      <w:r>
        <w:rPr>
          <w:rFonts w:ascii="Lucida Console"/>
          <w:sz w:val="20"/>
        </w:rPr>
        <w:t>)</w:t>
      </w:r>
    </w:p>
    <w:p>
      <w:pPr>
        <w:spacing w:before="109"/>
        <w:ind w:left="220" w:right="0" w:firstLine="0"/>
        <w:jc w:val="left"/>
        <w:rPr>
          <w:sz w:val="22"/>
        </w:rPr>
      </w:pPr>
      <w:r>
        <w:rPr>
          <w:b/>
          <w:sz w:val="22"/>
        </w:rPr>
        <w:t>Description</w:t>
      </w:r>
      <w:r>
        <w:rPr>
          <w:sz w:val="22"/>
        </w:rPr>
        <w:t>: Computes the cumulative principal paid on a loan between </w:t>
      </w:r>
      <w:r>
        <w:rPr>
          <w:rFonts w:ascii="Times New Roman"/>
          <w:i/>
          <w:sz w:val="22"/>
        </w:rPr>
        <w:t>start-period </w:t>
      </w:r>
      <w:r>
        <w:rPr>
          <w:sz w:val="22"/>
        </w:rPr>
        <w:t>and </w:t>
      </w:r>
      <w:r>
        <w:rPr>
          <w:rFonts w:ascii="Times New Roman"/>
          <w:i/>
          <w:sz w:val="22"/>
        </w:rPr>
        <w:t>end-period</w:t>
      </w:r>
      <w:r>
        <w:rPr>
          <w:sz w:val="22"/>
        </w:rPr>
        <w:t>.</w:t>
      </w:r>
    </w:p>
    <w:p>
      <w:pPr>
        <w:pStyle w:val="BodyText"/>
        <w:spacing w:before="8"/>
        <w:rPr>
          <w:sz w:val="19"/>
        </w:rPr>
      </w:pPr>
    </w:p>
    <w:p>
      <w:pPr>
        <w:pStyle w:val="Heading4"/>
        <w:spacing w:before="1"/>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interest rate.</w:t>
            </w:r>
          </w:p>
        </w:tc>
      </w:tr>
      <w:tr>
        <w:trPr>
          <w:trHeight w:val="621" w:hRule="atLeast"/>
        </w:trPr>
        <w:tc>
          <w:tcPr>
            <w:tcW w:w="1466" w:type="dxa"/>
          </w:tcPr>
          <w:p>
            <w:pPr>
              <w:pStyle w:val="TableParagraph"/>
              <w:spacing w:before="37"/>
              <w:rPr>
                <w:rFonts w:ascii="Times New Roman"/>
                <w:i/>
                <w:sz w:val="22"/>
              </w:rPr>
            </w:pPr>
            <w:r>
              <w:rPr>
                <w:rFonts w:ascii="Times New Roman"/>
                <w:i/>
                <w:sz w:val="22"/>
              </w:rPr>
              <w:t>nper</w:t>
            </w:r>
          </w:p>
        </w:tc>
        <w:tc>
          <w:tcPr>
            <w:tcW w:w="1800" w:type="dxa"/>
          </w:tcPr>
          <w:p>
            <w:pPr>
              <w:pStyle w:val="TableParagraph"/>
              <w:ind w:left="112"/>
              <w:rPr>
                <w:sz w:val="22"/>
              </w:rPr>
            </w:pPr>
            <w:r>
              <w:rPr>
                <w:sz w:val="22"/>
              </w:rPr>
              <w:t>number</w:t>
            </w:r>
          </w:p>
        </w:tc>
        <w:tc>
          <w:tcPr>
            <w:tcW w:w="5397" w:type="dxa"/>
            <w:gridSpan w:val="4"/>
          </w:tcPr>
          <w:p>
            <w:pPr>
              <w:pStyle w:val="TableParagraph"/>
              <w:ind w:left="113" w:right="674"/>
              <w:rPr>
                <w:sz w:val="22"/>
              </w:rPr>
            </w:pPr>
            <w:r>
              <w:rPr>
                <w:sz w:val="22"/>
              </w:rPr>
              <w:t>The total number of payment periods, truncated to integer.</w:t>
            </w:r>
          </w:p>
        </w:tc>
      </w:tr>
      <w:tr>
        <w:trPr>
          <w:trHeight w:val="354"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present value.</w:t>
            </w:r>
          </w:p>
        </w:tc>
      </w:tr>
      <w:tr>
        <w:trPr>
          <w:trHeight w:val="623" w:hRule="atLeast"/>
        </w:trPr>
        <w:tc>
          <w:tcPr>
            <w:tcW w:w="1466" w:type="dxa"/>
          </w:tcPr>
          <w:p>
            <w:pPr>
              <w:pStyle w:val="TableParagraph"/>
              <w:spacing w:before="37"/>
              <w:rPr>
                <w:rFonts w:ascii="Times New Roman"/>
                <w:i/>
                <w:sz w:val="22"/>
              </w:rPr>
            </w:pPr>
            <w:r>
              <w:rPr>
                <w:rFonts w:ascii="Times New Roman"/>
                <w:i/>
                <w:sz w:val="22"/>
              </w:rPr>
              <w:t>start-period</w:t>
            </w:r>
          </w:p>
        </w:tc>
        <w:tc>
          <w:tcPr>
            <w:tcW w:w="1800" w:type="dxa"/>
          </w:tcPr>
          <w:p>
            <w:pPr>
              <w:pStyle w:val="TableParagraph"/>
              <w:ind w:left="112"/>
              <w:rPr>
                <w:sz w:val="22"/>
              </w:rPr>
            </w:pPr>
            <w:r>
              <w:rPr>
                <w:sz w:val="22"/>
              </w:rPr>
              <w:t>number</w:t>
            </w:r>
          </w:p>
        </w:tc>
        <w:tc>
          <w:tcPr>
            <w:tcW w:w="5397" w:type="dxa"/>
            <w:gridSpan w:val="4"/>
          </w:tcPr>
          <w:p>
            <w:pPr>
              <w:pStyle w:val="TableParagraph"/>
              <w:ind w:left="113" w:right="275"/>
              <w:rPr>
                <w:sz w:val="22"/>
              </w:rPr>
            </w:pPr>
            <w:r>
              <w:rPr>
                <w:sz w:val="22"/>
              </w:rPr>
              <w:t>The first period in the calculation. (Payment periods are numbered beginning with 1.)</w:t>
            </w:r>
          </w:p>
        </w:tc>
      </w:tr>
      <w:tr>
        <w:trPr>
          <w:trHeight w:val="354" w:hRule="atLeast"/>
        </w:trPr>
        <w:tc>
          <w:tcPr>
            <w:tcW w:w="1466" w:type="dxa"/>
          </w:tcPr>
          <w:p>
            <w:pPr>
              <w:pStyle w:val="TableParagraph"/>
              <w:spacing w:before="37"/>
              <w:rPr>
                <w:rFonts w:ascii="Times New Roman"/>
                <w:i/>
                <w:sz w:val="22"/>
              </w:rPr>
            </w:pPr>
            <w:r>
              <w:rPr>
                <w:rFonts w:ascii="Times New Roman"/>
                <w:i/>
                <w:sz w:val="22"/>
              </w:rPr>
              <w:t>end-period</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last period in the calculation.</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ind w:left="113" w:right="668"/>
              <w:rPr>
                <w:sz w:val="22"/>
              </w:rPr>
            </w:pPr>
            <w:r>
              <w:rPr>
                <w:sz w:val="22"/>
              </w:rPr>
              <w:t>The timing of the payment, truncated to integer,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4"/>
              <w:ind w:left="116"/>
              <w:rPr>
                <w:rFonts w:ascii="Consolas"/>
                <w:sz w:val="22"/>
              </w:rPr>
            </w:pPr>
            <w:r>
              <w:rPr>
                <w:rFonts w:ascii="Consolas"/>
                <w:w w:val="100"/>
                <w:sz w:val="22"/>
              </w:rPr>
              <w:t>1</w:t>
            </w:r>
          </w:p>
        </w:tc>
        <w:tc>
          <w:tcPr>
            <w:tcW w:w="2985" w:type="dxa"/>
          </w:tcPr>
          <w:p>
            <w:pPr>
              <w:pStyle w:val="TableParagraph"/>
              <w:spacing w:line="237" w:lineRule="auto" w:before="44"/>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bl>
    <w:p>
      <w:pPr>
        <w:pStyle w:val="BodyText"/>
      </w:pPr>
    </w:p>
    <w:p>
      <w:pPr>
        <w:pStyle w:val="BodyText"/>
        <w:spacing w:before="7"/>
        <w:rPr>
          <w:sz w:val="19"/>
        </w:rPr>
      </w:pPr>
    </w:p>
    <w:p>
      <w:pPr>
        <w:pStyle w:val="BodyText"/>
        <w:ind w:left="220"/>
      </w:pPr>
      <w:r>
        <w:rPr/>
        <w:t>Time information in the date arguments is ignored.</w:t>
      </w:r>
    </w:p>
    <w:p>
      <w:pPr>
        <w:pStyle w:val="BodyText"/>
        <w:spacing w:before="11"/>
        <w:rPr>
          <w:sz w:val="19"/>
        </w:rPr>
      </w:pPr>
    </w:p>
    <w:p>
      <w:pPr>
        <w:spacing w:line="453" w:lineRule="auto" w:before="1"/>
        <w:ind w:left="220" w:right="3771" w:firstLine="0"/>
        <w:jc w:val="left"/>
        <w:rPr>
          <w:sz w:val="22"/>
        </w:rPr>
      </w:pPr>
      <w:r>
        <w:rPr>
          <w:b/>
          <w:sz w:val="22"/>
        </w:rPr>
        <w:t>Return Type and Value</w:t>
      </w:r>
      <w:r>
        <w:rPr>
          <w:sz w:val="22"/>
        </w:rPr>
        <w:t>: number – The cumulative principal paid on a loan.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rate</w:t>
      </w:r>
      <w:r>
        <w:rPr>
          <w:sz w:val="22"/>
        </w:rPr>
        <w:t>, </w:t>
      </w:r>
      <w:r>
        <w:rPr>
          <w:rFonts w:ascii="Times New Roman" w:hAnsi="Times New Roman"/>
          <w:i/>
          <w:sz w:val="22"/>
        </w:rPr>
        <w:t>nper</w:t>
      </w:r>
      <w:r>
        <w:rPr>
          <w:sz w:val="22"/>
        </w:rPr>
        <w:t>, or </w:t>
      </w:r>
      <w:r>
        <w:rPr>
          <w:rFonts w:ascii="Times New Roman" w:hAnsi="Times New Roman"/>
          <w:i/>
          <w:sz w:val="22"/>
        </w:rPr>
        <w:t>pv </w:t>
      </w:r>
      <w:r>
        <w:rPr>
          <w:sz w:val="22"/>
        </w:rPr>
        <w: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start-period </w:t>
      </w:r>
      <w:r>
        <w:rPr>
          <w:sz w:val="22"/>
        </w:rPr>
        <w:t>&lt; 1 or </w:t>
      </w:r>
      <w:r>
        <w:rPr>
          <w:rFonts w:ascii="Times New Roman" w:hAnsi="Times New Roman"/>
          <w:i/>
          <w:sz w:val="22"/>
        </w:rPr>
        <w:t>end-period </w:t>
      </w:r>
      <w:r>
        <w:rPr>
          <w:sz w:val="22"/>
        </w:rPr>
        <w:t>&lt; 1, or </w:t>
      </w:r>
      <w:r>
        <w:rPr>
          <w:rFonts w:ascii="Times New Roman" w:hAnsi="Times New Roman"/>
          <w:i/>
          <w:sz w:val="22"/>
        </w:rPr>
        <w:t>start-period </w:t>
      </w:r>
      <w:r>
        <w:rPr>
          <w:sz w:val="22"/>
        </w:rPr>
        <w:t>&gt; </w:t>
      </w:r>
      <w:r>
        <w:rPr>
          <w:rFonts w:ascii="Times New Roman" w:hAnsi="Times New Roman"/>
          <w:i/>
          <w:sz w:val="22"/>
        </w:rPr>
        <w:t>end_period</w:t>
      </w:r>
      <w:r>
        <w:rPr>
          <w:sz w:val="22"/>
        </w:rPr>
        <w:t>,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type </w:t>
      </w:r>
      <w:r>
        <w:rPr>
          <w:sz w:val="22"/>
        </w:rPr>
        <w:t>is any number other than 0 or 1, </w:t>
      </w:r>
      <w:r>
        <w:rPr>
          <w:rFonts w:ascii="Consolas" w:hAnsi="Consolas"/>
          <w:sz w:val="22"/>
        </w:rPr>
        <w:t>#NUM!</w:t>
      </w:r>
      <w:r>
        <w:rPr>
          <w:rFonts w:ascii="Consolas" w:hAnsi="Consolas"/>
          <w:spacing w:val="-84"/>
          <w:sz w:val="22"/>
        </w:rPr>
        <w:t> </w:t>
      </w:r>
      <w:r>
        <w:rPr>
          <w:sz w:val="22"/>
        </w:rPr>
        <w:t>is returned.</w:t>
      </w:r>
    </w:p>
    <w:p>
      <w:pPr>
        <w:spacing w:after="0" w:line="240" w:lineRule="auto"/>
        <w:jc w:val="left"/>
        <w:rPr>
          <w:sz w:val="22"/>
        </w:rPr>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before="1"/>
        <w:ind w:left="220"/>
        <w:rPr>
          <w:rFonts w:ascii="Consolas"/>
        </w:rPr>
      </w:pPr>
      <w:r>
        <w:rPr>
          <w:rFonts w:ascii="Consolas"/>
        </w:rPr>
        <w:t>CUMPRINC(0.09/12,30*12,125000,13,24,0)</w:t>
      </w:r>
      <w:r>
        <w:rPr>
          <w:rFonts w:ascii="Consolas"/>
          <w:spacing w:val="-92"/>
        </w:rPr>
        <w:t> </w:t>
      </w:r>
      <w:r>
        <w:rPr/>
        <w:t>results in </w:t>
      </w:r>
      <w:r>
        <w:rPr>
          <w:rFonts w:ascii="Consolas"/>
        </w:rPr>
        <w:t>-934.11 CUMPRINC(0.09/12,30*12,125000,1,1,0)</w:t>
      </w:r>
      <w:r>
        <w:rPr>
          <w:rFonts w:ascii="Consolas"/>
          <w:spacing w:val="-72"/>
        </w:rPr>
        <w:t> </w:t>
      </w:r>
      <w:r>
        <w:rPr/>
        <w:t>results in </w:t>
      </w:r>
      <w:r>
        <w:rPr>
          <w:rFonts w:ascii="Consolas"/>
        </w:rPr>
        <w:t>-68.28</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74 DATE" w:id="1614"/>
      <w:bookmarkEnd w:id="1614"/>
      <w:r>
        <w:rPr/>
      </w:r>
      <w:bookmarkStart w:name="_bookmark537" w:id="1615"/>
      <w:bookmarkEnd w:id="1615"/>
      <w:r>
        <w:rPr/>
      </w:r>
      <w:bookmarkStart w:name="_bookmark537" w:id="1616"/>
      <w:bookmarkEnd w:id="1616"/>
      <w:r>
        <w:rPr>
          <w:color w:val="4F81BC"/>
        </w:rPr>
        <w:t>D</w:t>
      </w:r>
      <w:r>
        <w:rPr>
          <w:color w:val="4F81BC"/>
        </w:rPr>
        <w:t>ATE</w:t>
      </w:r>
    </w:p>
    <w:p>
      <w:pPr>
        <w:pStyle w:val="Heading4"/>
        <w:spacing w:before="121"/>
        <w:rPr>
          <w:b w:val="0"/>
        </w:rPr>
      </w:pPr>
      <w:r>
        <w:rPr/>
        <w:t>Syntax</w:t>
      </w:r>
      <w:r>
        <w:rPr>
          <w:b w:val="0"/>
        </w:rPr>
        <w:t>:</w:t>
      </w:r>
    </w:p>
    <w:p>
      <w:pPr>
        <w:pStyle w:val="BodyText"/>
        <w:spacing w:before="4"/>
        <w:rPr>
          <w:sz w:val="19"/>
        </w:rPr>
      </w:pPr>
    </w:p>
    <w:p>
      <w:pPr>
        <w:spacing w:before="0"/>
        <w:ind w:left="940" w:right="0" w:firstLine="0"/>
        <w:jc w:val="left"/>
        <w:rPr>
          <w:rFonts w:ascii="Lucida Console"/>
          <w:sz w:val="20"/>
        </w:rPr>
      </w:pPr>
      <w:r>
        <w:rPr>
          <w:rFonts w:ascii="Lucida Console"/>
          <w:sz w:val="20"/>
        </w:rPr>
        <w:t>DATE ( </w:t>
      </w:r>
      <w:r>
        <w:rPr>
          <w:i/>
          <w:sz w:val="22"/>
        </w:rPr>
        <w:t>year </w:t>
      </w:r>
      <w:r>
        <w:rPr>
          <w:rFonts w:ascii="Lucida Console"/>
          <w:sz w:val="20"/>
        </w:rPr>
        <w:t>, </w:t>
      </w:r>
      <w:r>
        <w:rPr>
          <w:i/>
          <w:sz w:val="22"/>
        </w:rPr>
        <w:t>month </w:t>
      </w:r>
      <w:r>
        <w:rPr>
          <w:rFonts w:ascii="Lucida Console"/>
          <w:sz w:val="20"/>
        </w:rPr>
        <w:t>,</w:t>
      </w:r>
      <w:r>
        <w:rPr>
          <w:rFonts w:ascii="Lucida Console"/>
          <w:spacing w:val="-87"/>
          <w:sz w:val="20"/>
        </w:rPr>
        <w:t> </w:t>
      </w:r>
      <w:r>
        <w:rPr>
          <w:i/>
          <w:sz w:val="22"/>
        </w:rPr>
        <w:t>day </w:t>
      </w:r>
      <w:r>
        <w:rPr>
          <w:rFonts w:ascii="Lucida Console"/>
          <w:sz w:val="20"/>
        </w:rPr>
        <w:t>)</w:t>
      </w:r>
    </w:p>
    <w:p>
      <w:pPr>
        <w:spacing w:before="108"/>
        <w:ind w:left="220" w:right="0" w:firstLine="0"/>
        <w:jc w:val="left"/>
        <w:rPr>
          <w:sz w:val="22"/>
        </w:rPr>
      </w:pPr>
      <w:r>
        <w:rPr>
          <w:b/>
          <w:sz w:val="22"/>
        </w:rPr>
        <w:t>Description: </w:t>
      </w:r>
      <w:r>
        <w:rPr>
          <w:sz w:val="22"/>
        </w:rPr>
        <w:t>Computes the serial date-time for the given date.</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624" w:hRule="atLeast"/>
        </w:trPr>
        <w:tc>
          <w:tcPr>
            <w:tcW w:w="1466" w:type="dxa"/>
          </w:tcPr>
          <w:p>
            <w:pPr>
              <w:pStyle w:val="TableParagraph"/>
              <w:spacing w:before="37"/>
              <w:rPr>
                <w:rFonts w:ascii="Times New Roman"/>
                <w:i/>
                <w:sz w:val="22"/>
              </w:rPr>
            </w:pPr>
            <w:r>
              <w:rPr>
                <w:rFonts w:ascii="Times New Roman"/>
                <w:i/>
                <w:sz w:val="22"/>
              </w:rPr>
              <w:t>year</w:t>
            </w:r>
          </w:p>
        </w:tc>
        <w:tc>
          <w:tcPr>
            <w:tcW w:w="1800" w:type="dxa"/>
          </w:tcPr>
          <w:p>
            <w:pPr>
              <w:pStyle w:val="TableParagraph"/>
              <w:ind w:left="112"/>
              <w:rPr>
                <w:sz w:val="22"/>
              </w:rPr>
            </w:pPr>
            <w:r>
              <w:rPr>
                <w:sz w:val="22"/>
              </w:rPr>
              <w:t>number</w:t>
            </w:r>
          </w:p>
        </w:tc>
        <w:tc>
          <w:tcPr>
            <w:tcW w:w="5400" w:type="dxa"/>
          </w:tcPr>
          <w:p>
            <w:pPr>
              <w:pStyle w:val="TableParagraph"/>
              <w:ind w:left="113" w:right="262"/>
              <w:jc w:val="both"/>
              <w:rPr>
                <w:sz w:val="22"/>
              </w:rPr>
            </w:pPr>
            <w:r>
              <w:rPr>
                <w:sz w:val="22"/>
              </w:rPr>
              <w:t>A positive number, truncated to an integer representing the year, that together with </w:t>
            </w:r>
            <w:r>
              <w:rPr>
                <w:rFonts w:ascii="Times New Roman"/>
                <w:i/>
                <w:sz w:val="22"/>
              </w:rPr>
              <w:t>month </w:t>
            </w:r>
            <w:r>
              <w:rPr>
                <w:sz w:val="22"/>
              </w:rPr>
              <w:t>and </w:t>
            </w:r>
            <w:r>
              <w:rPr>
                <w:rFonts w:ascii="Times New Roman"/>
                <w:i/>
                <w:sz w:val="22"/>
              </w:rPr>
              <w:t>day </w:t>
            </w:r>
            <w:r>
              <w:rPr>
                <w:sz w:val="22"/>
              </w:rPr>
              <w:t>specifies</w:t>
            </w:r>
            <w:r>
              <w:rPr>
                <w:spacing w:val="-25"/>
                <w:sz w:val="22"/>
              </w:rPr>
              <w:t> </w:t>
            </w:r>
            <w:r>
              <w:rPr>
                <w:sz w:val="22"/>
              </w:rPr>
              <w:t>the date whose serial date-time is to be</w:t>
            </w:r>
            <w:r>
              <w:rPr>
                <w:spacing w:val="-7"/>
                <w:sz w:val="22"/>
              </w:rPr>
              <w:t> </w:t>
            </w:r>
            <w:r>
              <w:rPr>
                <w:sz w:val="22"/>
              </w:rPr>
              <w:t>computed.</w:t>
            </w:r>
          </w:p>
          <w:p>
            <w:pPr>
              <w:pStyle w:val="TableParagraph"/>
              <w:spacing w:line="267" w:lineRule="exact" w:before="0"/>
              <w:ind w:left="113"/>
              <w:jc w:val="both"/>
              <w:rPr>
                <w:sz w:val="22"/>
              </w:rPr>
            </w:pPr>
            <w:r>
              <w:rPr>
                <w:sz w:val="22"/>
              </w:rPr>
              <w:t>For the 1900 date system:</w:t>
            </w:r>
          </w:p>
          <w:p>
            <w:pPr>
              <w:pStyle w:val="TableParagraph"/>
              <w:numPr>
                <w:ilvl w:val="0"/>
                <w:numId w:val="96"/>
              </w:numPr>
              <w:tabs>
                <w:tab w:pos="834" w:val="left" w:leader="none"/>
              </w:tabs>
              <w:spacing w:line="240" w:lineRule="auto" w:before="0" w:after="0"/>
              <w:ind w:left="833" w:right="462" w:hanging="360"/>
              <w:jc w:val="both"/>
              <w:rPr>
                <w:sz w:val="22"/>
              </w:rPr>
            </w:pPr>
            <w:r>
              <w:rPr>
                <w:sz w:val="22"/>
              </w:rPr>
              <w:t>If </w:t>
            </w:r>
            <w:r>
              <w:rPr>
                <w:rFonts w:ascii="Times New Roman" w:hAnsi="Times New Roman"/>
                <w:i/>
                <w:sz w:val="22"/>
              </w:rPr>
              <w:t>year </w:t>
            </w:r>
            <w:r>
              <w:rPr>
                <w:sz w:val="22"/>
              </w:rPr>
              <w:t>is in the range 0–99, inclusive, the year shall be interpreted as </w:t>
            </w:r>
            <w:r>
              <w:rPr>
                <w:rFonts w:ascii="Times New Roman" w:hAnsi="Times New Roman"/>
                <w:i/>
                <w:sz w:val="22"/>
              </w:rPr>
              <w:t>year </w:t>
            </w:r>
            <w:r>
              <w:rPr>
                <w:sz w:val="22"/>
              </w:rPr>
              <w:t>+</w:t>
            </w:r>
            <w:r>
              <w:rPr>
                <w:spacing w:val="-8"/>
                <w:sz w:val="22"/>
              </w:rPr>
              <w:t> </w:t>
            </w:r>
            <w:r>
              <w:rPr>
                <w:sz w:val="22"/>
              </w:rPr>
              <w:t>1900.</w:t>
            </w:r>
          </w:p>
          <w:p>
            <w:pPr>
              <w:pStyle w:val="TableParagraph"/>
              <w:numPr>
                <w:ilvl w:val="0"/>
                <w:numId w:val="96"/>
              </w:numPr>
              <w:tabs>
                <w:tab w:pos="834" w:val="left" w:leader="none"/>
              </w:tabs>
              <w:spacing w:line="240" w:lineRule="auto" w:before="1" w:after="0"/>
              <w:ind w:left="833" w:right="458" w:hanging="360"/>
              <w:jc w:val="both"/>
              <w:rPr>
                <w:sz w:val="22"/>
              </w:rPr>
            </w:pPr>
            <w:r>
              <w:rPr>
                <w:sz w:val="22"/>
              </w:rPr>
              <w:t>If </w:t>
            </w:r>
            <w:r>
              <w:rPr>
                <w:rFonts w:ascii="Times New Roman" w:hAnsi="Times New Roman"/>
                <w:i/>
                <w:sz w:val="22"/>
              </w:rPr>
              <w:t>year </w:t>
            </w:r>
            <w:r>
              <w:rPr>
                <w:sz w:val="22"/>
              </w:rPr>
              <w:t>is in the range 100–9999, inclusive,</w:t>
            </w:r>
            <w:r>
              <w:rPr>
                <w:spacing w:val="-18"/>
                <w:sz w:val="22"/>
              </w:rPr>
              <w:t> </w:t>
            </w:r>
            <w:r>
              <w:rPr>
                <w:sz w:val="22"/>
              </w:rPr>
              <w:t>the year shall be interpreted as</w:t>
            </w:r>
            <w:r>
              <w:rPr>
                <w:spacing w:val="-6"/>
                <w:sz w:val="22"/>
              </w:rPr>
              <w:t> </w:t>
            </w:r>
            <w:r>
              <w:rPr>
                <w:rFonts w:ascii="Times New Roman" w:hAnsi="Times New Roman"/>
                <w:i/>
                <w:sz w:val="22"/>
              </w:rPr>
              <w:t>year</w:t>
            </w:r>
            <w:r>
              <w:rPr>
                <w:sz w:val="22"/>
              </w:rPr>
              <w:t>.</w:t>
            </w:r>
          </w:p>
          <w:p>
            <w:pPr>
              <w:pStyle w:val="TableParagraph"/>
              <w:spacing w:before="0"/>
              <w:ind w:left="113"/>
              <w:jc w:val="both"/>
              <w:rPr>
                <w:sz w:val="22"/>
              </w:rPr>
            </w:pPr>
            <w:r>
              <w:rPr>
                <w:sz w:val="22"/>
              </w:rPr>
              <w:t>For the 1904 date system:</w:t>
            </w:r>
          </w:p>
          <w:p>
            <w:pPr>
              <w:pStyle w:val="TableParagraph"/>
              <w:numPr>
                <w:ilvl w:val="0"/>
                <w:numId w:val="96"/>
              </w:numPr>
              <w:tabs>
                <w:tab w:pos="834" w:val="left" w:leader="none"/>
              </w:tabs>
              <w:spacing w:line="237" w:lineRule="auto" w:before="3" w:after="0"/>
              <w:ind w:left="833" w:right="242" w:hanging="360"/>
              <w:jc w:val="both"/>
              <w:rPr>
                <w:sz w:val="22"/>
              </w:rPr>
            </w:pPr>
            <w:r>
              <w:rPr>
                <w:sz w:val="22"/>
              </w:rPr>
              <w:t>If </w:t>
            </w:r>
            <w:r>
              <w:rPr>
                <w:rFonts w:ascii="Times New Roman" w:hAnsi="Times New Roman"/>
                <w:i/>
                <w:sz w:val="22"/>
              </w:rPr>
              <w:t>year </w:t>
            </w:r>
            <w:r>
              <w:rPr>
                <w:sz w:val="22"/>
              </w:rPr>
              <w:t>is in the range 0–1899, inclusive, the</w:t>
            </w:r>
            <w:r>
              <w:rPr>
                <w:spacing w:val="-18"/>
                <w:sz w:val="22"/>
              </w:rPr>
              <w:t> </w:t>
            </w:r>
            <w:r>
              <w:rPr>
                <w:sz w:val="22"/>
              </w:rPr>
              <w:t>year shall be interpreted as </w:t>
            </w:r>
            <w:r>
              <w:rPr>
                <w:rFonts w:ascii="Times New Roman" w:hAnsi="Times New Roman"/>
                <w:i/>
                <w:sz w:val="22"/>
              </w:rPr>
              <w:t>year </w:t>
            </w:r>
            <w:r>
              <w:rPr>
                <w:sz w:val="22"/>
              </w:rPr>
              <w:t>+</w:t>
            </w:r>
            <w:r>
              <w:rPr>
                <w:spacing w:val="-8"/>
                <w:sz w:val="22"/>
              </w:rPr>
              <w:t> </w:t>
            </w:r>
            <w:r>
              <w:rPr>
                <w:sz w:val="22"/>
              </w:rPr>
              <w:t>1900.</w:t>
            </w:r>
          </w:p>
          <w:p>
            <w:pPr>
              <w:pStyle w:val="TableParagraph"/>
              <w:numPr>
                <w:ilvl w:val="0"/>
                <w:numId w:val="96"/>
              </w:numPr>
              <w:tabs>
                <w:tab w:pos="834" w:val="left" w:leader="none"/>
              </w:tabs>
              <w:spacing w:line="240" w:lineRule="auto" w:before="2" w:after="0"/>
              <w:ind w:left="833" w:right="347" w:hanging="360"/>
              <w:jc w:val="both"/>
              <w:rPr>
                <w:sz w:val="22"/>
              </w:rPr>
            </w:pPr>
            <w:r>
              <w:rPr>
                <w:sz w:val="22"/>
              </w:rPr>
              <w:t>If </w:t>
            </w:r>
            <w:r>
              <w:rPr>
                <w:rFonts w:ascii="Times New Roman" w:hAnsi="Times New Roman"/>
                <w:i/>
                <w:sz w:val="22"/>
              </w:rPr>
              <w:t>year </w:t>
            </w:r>
            <w:r>
              <w:rPr>
                <w:sz w:val="22"/>
              </w:rPr>
              <w:t>is in the range 1900–9999, inclusive,</w:t>
            </w:r>
            <w:r>
              <w:rPr>
                <w:spacing w:val="-18"/>
                <w:sz w:val="22"/>
              </w:rPr>
              <w:t> </w:t>
            </w:r>
            <w:r>
              <w:rPr>
                <w:sz w:val="22"/>
              </w:rPr>
              <w:t>the year shall be interpreted as</w:t>
            </w:r>
            <w:r>
              <w:rPr>
                <w:spacing w:val="-6"/>
                <w:sz w:val="22"/>
              </w:rPr>
              <w:t> </w:t>
            </w:r>
            <w:r>
              <w:rPr>
                <w:rFonts w:ascii="Times New Roman" w:hAnsi="Times New Roman"/>
                <w:i/>
                <w:sz w:val="22"/>
              </w:rPr>
              <w:t>year</w:t>
            </w:r>
            <w:r>
              <w:rPr>
                <w:sz w:val="22"/>
              </w:rPr>
              <w:t>.</w:t>
            </w:r>
          </w:p>
        </w:tc>
      </w:tr>
      <w:tr>
        <w:trPr>
          <w:trHeight w:val="1696" w:hRule="atLeast"/>
        </w:trPr>
        <w:tc>
          <w:tcPr>
            <w:tcW w:w="1466" w:type="dxa"/>
          </w:tcPr>
          <w:p>
            <w:pPr>
              <w:pStyle w:val="TableParagraph"/>
              <w:spacing w:before="37"/>
              <w:rPr>
                <w:rFonts w:ascii="Times New Roman"/>
                <w:i/>
                <w:sz w:val="22"/>
              </w:rPr>
            </w:pPr>
            <w:r>
              <w:rPr>
                <w:rFonts w:ascii="Times New Roman"/>
                <w:i/>
                <w:sz w:val="22"/>
              </w:rPr>
              <w:t>month</w:t>
            </w:r>
          </w:p>
        </w:tc>
        <w:tc>
          <w:tcPr>
            <w:tcW w:w="1800" w:type="dxa"/>
          </w:tcPr>
          <w:p>
            <w:pPr>
              <w:pStyle w:val="TableParagraph"/>
              <w:ind w:left="112"/>
              <w:rPr>
                <w:sz w:val="22"/>
              </w:rPr>
            </w:pPr>
            <w:r>
              <w:rPr>
                <w:sz w:val="22"/>
              </w:rPr>
              <w:t>number</w:t>
            </w:r>
          </w:p>
        </w:tc>
        <w:tc>
          <w:tcPr>
            <w:tcW w:w="5400" w:type="dxa"/>
          </w:tcPr>
          <w:p>
            <w:pPr>
              <w:pStyle w:val="TableParagraph"/>
              <w:ind w:left="113" w:right="134"/>
              <w:rPr>
                <w:sz w:val="22"/>
              </w:rPr>
            </w:pPr>
            <w:r>
              <w:rPr>
                <w:sz w:val="22"/>
              </w:rPr>
              <w:t>A month, truncated to integer, that together with </w:t>
            </w:r>
            <w:r>
              <w:rPr>
                <w:rFonts w:ascii="Times New Roman"/>
                <w:i/>
                <w:sz w:val="22"/>
              </w:rPr>
              <w:t>year </w:t>
            </w:r>
            <w:r>
              <w:rPr>
                <w:sz w:val="22"/>
              </w:rPr>
              <w:t>and </w:t>
            </w:r>
            <w:r>
              <w:rPr>
                <w:rFonts w:ascii="Times New Roman"/>
                <w:i/>
                <w:sz w:val="22"/>
              </w:rPr>
              <w:t>day </w:t>
            </w:r>
            <w:r>
              <w:rPr>
                <w:sz w:val="22"/>
              </w:rPr>
              <w:t>specifies the date whose serial date-time is to be computed.</w:t>
            </w:r>
          </w:p>
          <w:p>
            <w:pPr>
              <w:pStyle w:val="TableParagraph"/>
              <w:spacing w:before="0"/>
              <w:ind w:left="113" w:right="579"/>
              <w:rPr>
                <w:sz w:val="22"/>
              </w:rPr>
            </w:pPr>
            <w:r>
              <w:rPr>
                <w:rFonts w:ascii="Times New Roman"/>
                <w:i/>
                <w:sz w:val="22"/>
              </w:rPr>
              <w:t>month </w:t>
            </w:r>
            <w:r>
              <w:rPr>
                <w:sz w:val="22"/>
              </w:rPr>
              <w:t>shall be interpreted as the number of months relative to the final month of the year prior to the specified year.</w:t>
            </w:r>
          </w:p>
        </w:tc>
      </w:tr>
      <w:tr>
        <w:trPr>
          <w:trHeight w:val="1968" w:hRule="atLeast"/>
        </w:trPr>
        <w:tc>
          <w:tcPr>
            <w:tcW w:w="1466" w:type="dxa"/>
          </w:tcPr>
          <w:p>
            <w:pPr>
              <w:pStyle w:val="TableParagraph"/>
              <w:spacing w:before="37"/>
              <w:rPr>
                <w:rFonts w:ascii="Times New Roman"/>
                <w:i/>
                <w:sz w:val="22"/>
              </w:rPr>
            </w:pPr>
            <w:r>
              <w:rPr>
                <w:rFonts w:ascii="Times New Roman"/>
                <w:i/>
                <w:sz w:val="22"/>
              </w:rPr>
              <w:t>day</w:t>
            </w:r>
          </w:p>
        </w:tc>
        <w:tc>
          <w:tcPr>
            <w:tcW w:w="1800" w:type="dxa"/>
          </w:tcPr>
          <w:p>
            <w:pPr>
              <w:pStyle w:val="TableParagraph"/>
              <w:ind w:left="112"/>
              <w:rPr>
                <w:sz w:val="22"/>
              </w:rPr>
            </w:pPr>
            <w:r>
              <w:rPr>
                <w:sz w:val="22"/>
              </w:rPr>
              <w:t>number</w:t>
            </w:r>
          </w:p>
        </w:tc>
        <w:tc>
          <w:tcPr>
            <w:tcW w:w="5400" w:type="dxa"/>
          </w:tcPr>
          <w:p>
            <w:pPr>
              <w:pStyle w:val="TableParagraph"/>
              <w:ind w:left="113" w:right="109"/>
              <w:rPr>
                <w:sz w:val="22"/>
              </w:rPr>
            </w:pPr>
            <w:r>
              <w:rPr>
                <w:sz w:val="22"/>
              </w:rPr>
              <w:t>A day, truncated to integer, that together with </w:t>
            </w:r>
            <w:r>
              <w:rPr>
                <w:rFonts w:ascii="Times New Roman"/>
                <w:i/>
                <w:sz w:val="22"/>
              </w:rPr>
              <w:t>month </w:t>
            </w:r>
            <w:r>
              <w:rPr>
                <w:sz w:val="22"/>
              </w:rPr>
              <w:t>and </w:t>
            </w:r>
            <w:r>
              <w:rPr>
                <w:rFonts w:ascii="Times New Roman"/>
                <w:i/>
                <w:sz w:val="22"/>
              </w:rPr>
              <w:t>year </w:t>
            </w:r>
            <w:r>
              <w:rPr>
                <w:sz w:val="22"/>
              </w:rPr>
              <w:t>specifies the date whose serial date-time is to be computed.</w:t>
            </w:r>
          </w:p>
          <w:p>
            <w:pPr>
              <w:pStyle w:val="TableParagraph"/>
              <w:spacing w:before="1"/>
              <w:ind w:left="113" w:right="128"/>
              <w:rPr>
                <w:sz w:val="22"/>
              </w:rPr>
            </w:pPr>
            <w:r>
              <w:rPr>
                <w:rFonts w:ascii="Times New Roman"/>
                <w:i/>
                <w:sz w:val="22"/>
              </w:rPr>
              <w:t>day </w:t>
            </w:r>
            <w:r>
              <w:rPr>
                <w:sz w:val="22"/>
              </w:rPr>
              <w:t>shall be interpreted as the number of days relative to the last day of the month (and its associated year) prior to the month (and its associated</w:t>
            </w:r>
          </w:p>
          <w:p>
            <w:pPr>
              <w:pStyle w:val="TableParagraph"/>
              <w:spacing w:before="1"/>
              <w:ind w:left="113"/>
              <w:rPr>
                <w:sz w:val="22"/>
              </w:rPr>
            </w:pPr>
            <w:r>
              <w:rPr>
                <w:sz w:val="22"/>
              </w:rPr>
              <w:t>year) as determined from </w:t>
            </w:r>
            <w:r>
              <w:rPr>
                <w:rFonts w:ascii="Times New Roman"/>
                <w:i/>
                <w:sz w:val="22"/>
              </w:rPr>
              <w:t>month </w:t>
            </w:r>
            <w:r>
              <w:rPr>
                <w:sz w:val="22"/>
              </w:rPr>
              <w:t>and </w:t>
            </w:r>
            <w:r>
              <w:rPr>
                <w:rFonts w:ascii="Times New Roman"/>
                <w:i/>
                <w:sz w:val="22"/>
              </w:rPr>
              <w:t>year </w:t>
            </w:r>
            <w:r>
              <w:rPr>
                <w:sz w:val="22"/>
              </w:rPr>
              <w:t>(see below).</w:t>
            </w:r>
          </w:p>
        </w:tc>
      </w:tr>
    </w:tbl>
    <w:p>
      <w:pPr>
        <w:spacing w:after="0"/>
        <w:rPr>
          <w:sz w:val="22"/>
        </w:rPr>
        <w:sectPr>
          <w:pgSz w:w="12240" w:h="15840"/>
          <w:pgMar w:header="763" w:footer="746" w:top="1340" w:bottom="940" w:left="860" w:right="700"/>
        </w:sectPr>
      </w:pPr>
    </w:p>
    <w:p>
      <w:pPr>
        <w:pStyle w:val="BodyText"/>
        <w:spacing w:line="276" w:lineRule="auto" w:before="90"/>
        <w:ind w:left="220" w:right="426"/>
      </w:pPr>
      <w:r>
        <w:rPr/>
        <w:t>The value of </w:t>
      </w:r>
      <w:r>
        <w:rPr>
          <w:rFonts w:ascii="Times New Roman"/>
          <w:i/>
        </w:rPr>
        <w:t>month </w:t>
      </w:r>
      <w:r>
        <w:rPr/>
        <w:t>or </w:t>
      </w:r>
      <w:r>
        <w:rPr>
          <w:rFonts w:ascii="Times New Roman"/>
          <w:i/>
        </w:rPr>
        <w:t>day </w:t>
      </w:r>
      <w:r>
        <w:rPr/>
        <w:t>in a </w:t>
      </w:r>
      <w:r>
        <w:rPr>
          <w:rFonts w:ascii="Times New Roman"/>
          <w:i/>
        </w:rPr>
        <w:t>year</w:t>
      </w:r>
      <w:r>
        <w:rPr/>
        <w:t>-</w:t>
      </w:r>
      <w:r>
        <w:rPr>
          <w:rFonts w:ascii="Times New Roman"/>
          <w:i/>
        </w:rPr>
        <w:t>month</w:t>
      </w:r>
      <w:r>
        <w:rPr/>
        <w:t>-</w:t>
      </w:r>
      <w:r>
        <w:rPr>
          <w:rFonts w:ascii="Times New Roman"/>
          <w:i/>
        </w:rPr>
        <w:t>day </w:t>
      </w:r>
      <w:r>
        <w:rPr/>
        <w:t>argument triplet can be out of range. </w:t>
      </w:r>
      <w:r>
        <w:rPr>
          <w:rFonts w:ascii="Times New Roman"/>
          <w:i/>
        </w:rPr>
        <w:t>month </w:t>
      </w:r>
      <w:r>
        <w:rPr/>
        <w:t>is simply an instance of counting a given number of months, minus one, relative to January of the year specified, using the Gregorian calendar [ISO 8601]. This calendar defines that there are 12 months in a year, and that when counting forward, the month following December of one year is January of the following year, and when counting backward, the month preceding January of one year is December of the previous year. Likewise, </w:t>
      </w:r>
      <w:r>
        <w:rPr>
          <w:rFonts w:ascii="Times New Roman"/>
          <w:i/>
        </w:rPr>
        <w:t>day </w:t>
      </w:r>
      <w:r>
        <w:rPr/>
        <w:t>is simply an instance of counting a given number of days, minus one, relative to the first day of the adjusted month, using the Gregorian calendar. This calendar defines the number of days in each month, and that when counting forward, the day following the final day of one month is the first day of the following month, and when counting backward, the day preceding the first day of one month is the final day of the previous month. [</w:t>
      </w:r>
      <w:r>
        <w:rPr>
          <w:i/>
        </w:rPr>
        <w:t>Example</w:t>
      </w:r>
      <w:r>
        <w:rPr/>
        <w:t>: The </w:t>
      </w:r>
      <w:r>
        <w:rPr>
          <w:rFonts w:ascii="Times New Roman"/>
          <w:i/>
        </w:rPr>
        <w:t>year</w:t>
      </w:r>
      <w:r>
        <w:rPr/>
        <w:t>-</w:t>
      </w:r>
      <w:r>
        <w:rPr>
          <w:rFonts w:ascii="Times New Roman"/>
          <w:i/>
        </w:rPr>
        <w:t>month</w:t>
      </w:r>
      <w:r>
        <w:rPr/>
        <w:t>-</w:t>
      </w:r>
      <w:r>
        <w:rPr>
          <w:rFonts w:ascii="Times New Roman"/>
          <w:i/>
        </w:rPr>
        <w:t>day </w:t>
      </w:r>
      <w:r>
        <w:rPr/>
        <w:t>argument triplets (2007, 12,32), (2007,13,1), and (2008,1,1) all result in the same serial date. </w:t>
      </w:r>
      <w:r>
        <w:rPr>
          <w:i/>
        </w:rPr>
        <w:t>end example</w:t>
      </w:r>
      <w:r>
        <w:rPr/>
        <w:t>]</w:t>
      </w:r>
    </w:p>
    <w:p>
      <w:pPr>
        <w:pStyle w:val="BodyText"/>
        <w:spacing w:line="508" w:lineRule="exact" w:before="6"/>
        <w:ind w:left="220" w:right="3137"/>
      </w:pPr>
      <w:r>
        <w:rPr/>
        <w:t>[</w:t>
      </w:r>
      <w:r>
        <w:rPr>
          <w:i/>
        </w:rPr>
        <w:t>Note</w:t>
      </w:r>
      <w:r>
        <w:rPr/>
        <w:t>: One way to handle out-of-range values for </w:t>
      </w:r>
      <w:r>
        <w:rPr>
          <w:rFonts w:ascii="Times New Roman"/>
          <w:i/>
        </w:rPr>
        <w:t>month </w:t>
      </w:r>
      <w:r>
        <w:rPr/>
        <w:t>or </w:t>
      </w:r>
      <w:r>
        <w:rPr>
          <w:rFonts w:ascii="Times New Roman"/>
          <w:i/>
        </w:rPr>
        <w:t>day </w:t>
      </w:r>
      <w:r>
        <w:rPr/>
        <w:t>is as follows: Compute yearAdjust = INT((</w:t>
      </w:r>
      <w:r>
        <w:rPr>
          <w:rFonts w:ascii="Times New Roman"/>
          <w:i/>
        </w:rPr>
        <w:t>month </w:t>
      </w:r>
      <w:r>
        <w:rPr/>
        <w:t>- 1)/12)</w:t>
      </w:r>
    </w:p>
    <w:p>
      <w:pPr>
        <w:pStyle w:val="BodyText"/>
        <w:spacing w:line="278" w:lineRule="auto"/>
        <w:ind w:left="220" w:right="5295"/>
      </w:pPr>
      <w:r>
        <w:rPr/>
        <w:t>Compute adjustedMonth = </w:t>
      </w:r>
      <w:r>
        <w:rPr>
          <w:rFonts w:ascii="Times New Roman"/>
          <w:i/>
        </w:rPr>
        <w:t>month </w:t>
      </w:r>
      <w:r>
        <w:rPr/>
        <w:t>- (yearAdjust * 12) Compute adjustedYear = </w:t>
      </w:r>
      <w:r>
        <w:rPr>
          <w:rFonts w:ascii="Times New Roman"/>
          <w:i/>
        </w:rPr>
        <w:t>year </w:t>
      </w:r>
      <w:r>
        <w:rPr/>
        <w:t>+ yearAdjust.</w:t>
      </w:r>
    </w:p>
    <w:p>
      <w:pPr>
        <w:pStyle w:val="BodyText"/>
        <w:spacing w:line="276" w:lineRule="auto" w:before="193"/>
        <w:ind w:left="220" w:right="1110"/>
      </w:pPr>
      <w:r>
        <w:rPr/>
        <w:t>A serialDateBase can now be computed for the first day of the adjustedYear and adjustedMonth. Finally, compute the serial date for the full triplet by adding (</w:t>
      </w:r>
      <w:r>
        <w:rPr>
          <w:rFonts w:ascii="Times New Roman"/>
          <w:i/>
        </w:rPr>
        <w:t>day</w:t>
      </w:r>
      <w:r>
        <w:rPr/>
        <w:t>-1) to this serialDateBase. </w:t>
      </w:r>
      <w:r>
        <w:rPr>
          <w:i/>
        </w:rPr>
        <w:t>end note</w:t>
      </w:r>
      <w:r>
        <w:rPr/>
        <w:t>]</w:t>
      </w:r>
    </w:p>
    <w:p>
      <w:pPr>
        <w:pStyle w:val="BodyText"/>
        <w:rPr>
          <w:sz w:val="24"/>
        </w:rPr>
      </w:pPr>
    </w:p>
    <w:p>
      <w:pPr>
        <w:pStyle w:val="BodyText"/>
        <w:spacing w:before="1"/>
        <w:rPr>
          <w:sz w:val="34"/>
        </w:rPr>
      </w:pPr>
    </w:p>
    <w:p>
      <w:pPr>
        <w:spacing w:before="0"/>
        <w:ind w:left="220" w:right="0" w:firstLine="0"/>
        <w:jc w:val="left"/>
        <w:rPr>
          <w:sz w:val="22"/>
        </w:rPr>
      </w:pPr>
      <w:r>
        <w:rPr>
          <w:b/>
          <w:sz w:val="22"/>
        </w:rPr>
        <w:t>Return Type and Value: </w:t>
      </w:r>
      <w:r>
        <w:rPr>
          <w:sz w:val="22"/>
        </w:rPr>
        <w:t>number – The serial date-time for the given date.</w:t>
      </w:r>
    </w:p>
    <w:p>
      <w:pPr>
        <w:pStyle w:val="BodyText"/>
        <w:spacing w:before="8"/>
        <w:rPr>
          <w:sz w:val="19"/>
        </w:rPr>
      </w:pPr>
    </w:p>
    <w:p>
      <w:pPr>
        <w:pStyle w:val="BodyText"/>
        <w:spacing w:line="453" w:lineRule="auto"/>
        <w:ind w:left="220" w:right="503"/>
      </w:pPr>
      <w:r>
        <w:rPr/>
        <w:t>However, if </w:t>
      </w:r>
      <w:r>
        <w:rPr>
          <w:rFonts w:ascii="Times New Roman"/>
          <w:i/>
        </w:rPr>
        <w:t>year </w:t>
      </w:r>
      <w:r>
        <w:rPr/>
        <w:t>is outside the acceptable range for the date system currently in use, </w:t>
      </w:r>
      <w:r>
        <w:rPr>
          <w:rFonts w:ascii="Consolas"/>
        </w:rPr>
        <w:t>#NUM!</w:t>
      </w:r>
      <w:r>
        <w:rPr>
          <w:rFonts w:ascii="Consolas"/>
          <w:spacing w:val="-98"/>
        </w:rPr>
        <w:t> </w:t>
      </w:r>
      <w:r>
        <w:rPr/>
        <w:t>is returned. [</w:t>
      </w:r>
      <w:r>
        <w:rPr>
          <w:i/>
        </w:rPr>
        <w:t>Example</w:t>
      </w:r>
      <w:r>
        <w:rPr/>
        <w:t>: For the 1900 backward compatibility date-base date system:</w:t>
      </w:r>
    </w:p>
    <w:p>
      <w:pPr>
        <w:pStyle w:val="BodyText"/>
        <w:spacing w:line="276" w:lineRule="auto" w:before="111"/>
        <w:ind w:left="220" w:right="4547"/>
        <w:rPr>
          <w:rFonts w:ascii="Consolas"/>
        </w:rPr>
      </w:pPr>
      <w:r>
        <w:rPr>
          <w:rFonts w:ascii="Consolas"/>
        </w:rPr>
        <w:t>DATE(0,1,1) </w:t>
      </w:r>
      <w:r>
        <w:rPr/>
        <w:t>results in a serial date-time of </w:t>
      </w:r>
      <w:r>
        <w:rPr>
          <w:rFonts w:ascii="Consolas"/>
        </w:rPr>
        <w:t>1 DATE(1899,1,1) </w:t>
      </w:r>
      <w:r>
        <w:rPr/>
        <w:t>results in a serial date-time of </w:t>
      </w:r>
      <w:r>
        <w:rPr>
          <w:rFonts w:ascii="Consolas"/>
        </w:rPr>
        <w:t>693598 DATE(1900,1,1) </w:t>
      </w:r>
      <w:r>
        <w:rPr/>
        <w:t>results in a serial date-time of </w:t>
      </w:r>
      <w:r>
        <w:rPr>
          <w:rFonts w:ascii="Consolas"/>
        </w:rPr>
        <w:t>1 DATE(9999,12,31)</w:t>
      </w:r>
      <w:r>
        <w:rPr>
          <w:rFonts w:ascii="Consolas"/>
          <w:spacing w:val="-90"/>
        </w:rPr>
        <w:t> </w:t>
      </w:r>
      <w:r>
        <w:rPr/>
        <w:t>results in a serial date-time of </w:t>
      </w:r>
      <w:r>
        <w:rPr>
          <w:rFonts w:ascii="Consolas"/>
        </w:rPr>
        <w:t>2958465</w:t>
      </w:r>
    </w:p>
    <w:p>
      <w:pPr>
        <w:pStyle w:val="BodyText"/>
        <w:spacing w:before="1"/>
        <w:rPr>
          <w:rFonts w:ascii="Consolas"/>
          <w:sz w:val="17"/>
        </w:rPr>
      </w:pPr>
    </w:p>
    <w:p>
      <w:pPr>
        <w:pStyle w:val="BodyText"/>
        <w:ind w:left="220"/>
      </w:pPr>
      <w:r>
        <w:rPr/>
        <w:t>For the 1904 date system:</w:t>
      </w:r>
    </w:p>
    <w:p>
      <w:pPr>
        <w:pStyle w:val="BodyText"/>
        <w:spacing w:before="6"/>
        <w:rPr>
          <w:sz w:val="28"/>
        </w:rPr>
      </w:pPr>
    </w:p>
    <w:p>
      <w:pPr>
        <w:pStyle w:val="BodyText"/>
        <w:spacing w:line="276" w:lineRule="auto" w:before="1"/>
        <w:ind w:left="220" w:right="4547"/>
        <w:rPr>
          <w:rFonts w:ascii="Consolas"/>
        </w:rPr>
      </w:pPr>
      <w:r>
        <w:rPr>
          <w:rFonts w:ascii="Consolas"/>
        </w:rPr>
        <w:t>DATE(4,1,1) </w:t>
      </w:r>
      <w:r>
        <w:rPr/>
        <w:t>results in a serial date-time of </w:t>
      </w:r>
      <w:r>
        <w:rPr>
          <w:rFonts w:ascii="Consolas"/>
        </w:rPr>
        <w:t>0 DATE(1899,1,1) </w:t>
      </w:r>
      <w:r>
        <w:rPr/>
        <w:t>results in a serial date-time of </w:t>
      </w:r>
      <w:r>
        <w:rPr>
          <w:rFonts w:ascii="Consolas"/>
        </w:rPr>
        <w:t>692136 DATE(1904,1,1) </w:t>
      </w:r>
      <w:r>
        <w:rPr/>
        <w:t>results in a serial date-time of </w:t>
      </w:r>
      <w:r>
        <w:rPr>
          <w:rFonts w:ascii="Consolas"/>
        </w:rPr>
        <w:t>0 DATE(9999,12,31)</w:t>
      </w:r>
      <w:r>
        <w:rPr>
          <w:rFonts w:ascii="Consolas"/>
          <w:spacing w:val="-90"/>
        </w:rPr>
        <w:t> </w:t>
      </w:r>
      <w:r>
        <w:rPr/>
        <w:t>results in a serial date-time of </w:t>
      </w:r>
      <w:r>
        <w:rPr>
          <w:rFonts w:ascii="Consolas"/>
        </w:rPr>
        <w:t>2957003</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804" w:val="left" w:leader="none"/>
          <w:tab w:pos="1805" w:val="left" w:leader="none"/>
        </w:tabs>
        <w:spacing w:line="240" w:lineRule="auto" w:before="0" w:after="0"/>
        <w:ind w:left="1804" w:right="0" w:hanging="1585"/>
        <w:jc w:val="left"/>
      </w:pPr>
      <w:bookmarkStart w:name="18.17.7.75 DATEDIF" w:id="1617"/>
      <w:bookmarkEnd w:id="1617"/>
      <w:r>
        <w:rPr/>
      </w:r>
      <w:bookmarkStart w:name="_bookmark538" w:id="1618"/>
      <w:bookmarkEnd w:id="1618"/>
      <w:r>
        <w:rPr/>
      </w:r>
      <w:bookmarkStart w:name="_bookmark538" w:id="1619"/>
      <w:bookmarkEnd w:id="1619"/>
      <w:r>
        <w:rPr>
          <w:color w:val="4F81BC"/>
        </w:rPr>
        <w:t>D</w:t>
      </w:r>
      <w:r>
        <w:rPr>
          <w:color w:val="4F81BC"/>
        </w:rPr>
        <w:t>ATEDIF</w:t>
      </w:r>
    </w:p>
    <w:p>
      <w:pPr>
        <w:pStyle w:val="Heading4"/>
        <w:spacing w:before="121"/>
        <w:rPr>
          <w:b w:val="0"/>
        </w:rPr>
      </w:pPr>
      <w:r>
        <w:rPr/>
        <w:t>Syntax</w:t>
      </w:r>
      <w:r>
        <w:rPr>
          <w:b w:val="0"/>
        </w:rPr>
        <w:t>:</w:t>
      </w:r>
    </w:p>
    <w:p>
      <w:pPr>
        <w:spacing w:after="0"/>
        <w:sectPr>
          <w:pgSz w:w="12240" w:h="15840"/>
          <w:pgMar w:header="761" w:footer="746" w:top="1340" w:bottom="940" w:left="860" w:right="700"/>
        </w:sectPr>
      </w:pPr>
    </w:p>
    <w:p>
      <w:pPr>
        <w:spacing w:before="143"/>
        <w:ind w:left="940" w:right="0" w:firstLine="0"/>
        <w:jc w:val="left"/>
        <w:rPr>
          <w:rFonts w:ascii="Lucida Console"/>
          <w:sz w:val="20"/>
        </w:rPr>
      </w:pPr>
      <w:r>
        <w:rPr>
          <w:rFonts w:ascii="Lucida Console"/>
          <w:sz w:val="20"/>
        </w:rPr>
        <w:t>DATEDIF ( </w:t>
      </w:r>
      <w:r>
        <w:rPr>
          <w:i/>
          <w:sz w:val="22"/>
        </w:rPr>
        <w:t>start-date </w:t>
      </w:r>
      <w:r>
        <w:rPr>
          <w:rFonts w:ascii="Lucida Console"/>
          <w:sz w:val="20"/>
        </w:rPr>
        <w:t>, </w:t>
      </w:r>
      <w:r>
        <w:rPr>
          <w:i/>
          <w:sz w:val="22"/>
        </w:rPr>
        <w:t>end-date </w:t>
      </w:r>
      <w:r>
        <w:rPr>
          <w:rFonts w:ascii="Lucida Console"/>
          <w:sz w:val="20"/>
        </w:rPr>
        <w:t>,</w:t>
      </w:r>
      <w:r>
        <w:rPr>
          <w:rFonts w:ascii="Lucida Console"/>
          <w:spacing w:val="-86"/>
          <w:sz w:val="20"/>
        </w:rPr>
        <w:t> </w:t>
      </w:r>
      <w:r>
        <w:rPr>
          <w:i/>
          <w:sz w:val="22"/>
        </w:rPr>
        <w:t>unit </w:t>
      </w:r>
      <w:r>
        <w:rPr>
          <w:rFonts w:ascii="Lucida Console"/>
          <w:sz w:val="20"/>
        </w:rPr>
        <w:t>)</w:t>
      </w:r>
    </w:p>
    <w:p>
      <w:pPr>
        <w:pStyle w:val="BodyText"/>
        <w:spacing w:before="109"/>
        <w:ind w:left="220"/>
      </w:pPr>
      <w:r>
        <w:rPr>
          <w:b/>
        </w:rPr>
        <w:t>Description: </w:t>
      </w:r>
      <w:r>
        <w:rPr/>
        <w:t>Calculates the number of days, months, or years between two dates.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140"/>
        <w:gridCol w:w="3019"/>
        <w:gridCol w:w="402"/>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8" w:type="dxa"/>
            <w:gridSpan w:val="4"/>
            <w:shd w:val="clear" w:color="auto" w:fill="C0C0C0"/>
          </w:tcPr>
          <w:p>
            <w:pPr>
              <w:pStyle w:val="TableParagraph"/>
              <w:ind w:left="2155" w:right="214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398" w:type="dxa"/>
            <w:gridSpan w:val="4"/>
          </w:tcPr>
          <w:p>
            <w:pPr>
              <w:pStyle w:val="TableParagraph"/>
              <w:ind w:left="113"/>
              <w:rPr>
                <w:sz w:val="22"/>
              </w:rPr>
            </w:pPr>
            <w:r>
              <w:rPr>
                <w:sz w:val="22"/>
              </w:rPr>
              <w:t>The first date in the period, truncated to integer.</w:t>
            </w:r>
          </w:p>
        </w:tc>
      </w:tr>
      <w:tr>
        <w:trPr>
          <w:trHeight w:val="354" w:hRule="atLeast"/>
        </w:trPr>
        <w:tc>
          <w:tcPr>
            <w:tcW w:w="1466" w:type="dxa"/>
          </w:tcPr>
          <w:p>
            <w:pPr>
              <w:pStyle w:val="TableParagraph"/>
              <w:spacing w:before="37"/>
              <w:rPr>
                <w:rFonts w:ascii="Times New Roman"/>
                <w:i/>
                <w:sz w:val="22"/>
              </w:rPr>
            </w:pPr>
            <w:r>
              <w:rPr>
                <w:rFonts w:ascii="Times New Roman"/>
                <w:i/>
                <w:sz w:val="22"/>
              </w:rPr>
              <w:t>end-date</w:t>
            </w:r>
          </w:p>
        </w:tc>
        <w:tc>
          <w:tcPr>
            <w:tcW w:w="1800" w:type="dxa"/>
          </w:tcPr>
          <w:p>
            <w:pPr>
              <w:pStyle w:val="TableParagraph"/>
              <w:ind w:left="112"/>
              <w:rPr>
                <w:sz w:val="22"/>
              </w:rPr>
            </w:pPr>
            <w:r>
              <w:rPr>
                <w:sz w:val="22"/>
              </w:rPr>
              <w:t>number</w:t>
            </w:r>
          </w:p>
        </w:tc>
        <w:tc>
          <w:tcPr>
            <w:tcW w:w="5398" w:type="dxa"/>
            <w:gridSpan w:val="4"/>
          </w:tcPr>
          <w:p>
            <w:pPr>
              <w:pStyle w:val="TableParagraph"/>
              <w:ind w:left="113"/>
              <w:rPr>
                <w:sz w:val="22"/>
              </w:rPr>
            </w:pPr>
            <w:r>
              <w:rPr>
                <w:sz w:val="22"/>
              </w:rPr>
              <w:t>The last date in the period, truncated to integer.</w:t>
            </w:r>
          </w:p>
        </w:tc>
      </w:tr>
      <w:tr>
        <w:trPr>
          <w:trHeight w:val="580" w:hRule="atLeast"/>
        </w:trPr>
        <w:tc>
          <w:tcPr>
            <w:tcW w:w="1466" w:type="dxa"/>
            <w:vMerge w:val="restart"/>
          </w:tcPr>
          <w:p>
            <w:pPr>
              <w:pStyle w:val="TableParagraph"/>
              <w:spacing w:before="37"/>
              <w:rPr>
                <w:rFonts w:ascii="Times New Roman"/>
                <w:i/>
                <w:sz w:val="22"/>
              </w:rPr>
            </w:pPr>
            <w:r>
              <w:rPr>
                <w:rFonts w:ascii="Times New Roman"/>
                <w:i/>
                <w:sz w:val="22"/>
              </w:rPr>
              <w:t>unit</w:t>
            </w:r>
          </w:p>
        </w:tc>
        <w:tc>
          <w:tcPr>
            <w:tcW w:w="1800" w:type="dxa"/>
            <w:vMerge w:val="restart"/>
          </w:tcPr>
          <w:p>
            <w:pPr>
              <w:pStyle w:val="TableParagraph"/>
              <w:ind w:left="112"/>
              <w:rPr>
                <w:sz w:val="22"/>
              </w:rPr>
            </w:pPr>
            <w:r>
              <w:rPr>
                <w:sz w:val="22"/>
              </w:rPr>
              <w:t>text</w:t>
            </w:r>
          </w:p>
        </w:tc>
        <w:tc>
          <w:tcPr>
            <w:tcW w:w="5398" w:type="dxa"/>
            <w:gridSpan w:val="4"/>
            <w:tcBorders>
              <w:bottom w:val="nil"/>
            </w:tcBorders>
          </w:tcPr>
          <w:p>
            <w:pPr>
              <w:pStyle w:val="TableParagraph"/>
              <w:ind w:left="113"/>
              <w:rPr>
                <w:sz w:val="22"/>
              </w:rPr>
            </w:pPr>
            <w:r>
              <w:rPr>
                <w:sz w:val="22"/>
              </w:rPr>
              <w:t>The count to be returned,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140" w:type="dxa"/>
            <w:shd w:val="clear" w:color="auto" w:fill="C0C0C0"/>
          </w:tcPr>
          <w:p>
            <w:pPr>
              <w:pStyle w:val="TableParagraph"/>
              <w:ind w:left="310"/>
              <w:rPr>
                <w:b/>
                <w:sz w:val="22"/>
              </w:rPr>
            </w:pPr>
            <w:r>
              <w:rPr>
                <w:b/>
                <w:sz w:val="22"/>
              </w:rPr>
              <w:t>Value</w:t>
            </w:r>
          </w:p>
        </w:tc>
        <w:tc>
          <w:tcPr>
            <w:tcW w:w="3019" w:type="dxa"/>
            <w:shd w:val="clear" w:color="auto" w:fill="C0C0C0"/>
          </w:tcPr>
          <w:p>
            <w:pPr>
              <w:pStyle w:val="TableParagraph"/>
              <w:ind w:left="781"/>
              <w:rPr>
                <w:b/>
                <w:sz w:val="22"/>
              </w:rPr>
            </w:pPr>
            <w:r>
              <w:rPr>
                <w:b/>
                <w:sz w:val="22"/>
              </w:rPr>
              <w:t>Day Count Basis</w:t>
            </w:r>
          </w:p>
        </w:tc>
        <w:tc>
          <w:tcPr>
            <w:tcW w:w="402" w:type="dxa"/>
            <w:vMerge w:val="restart"/>
            <w:tcBorders>
              <w:top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0" w:type="dxa"/>
          </w:tcPr>
          <w:p>
            <w:pPr>
              <w:pStyle w:val="TableParagraph"/>
              <w:spacing w:before="42"/>
              <w:ind w:left="116"/>
              <w:rPr>
                <w:rFonts w:ascii="Consolas"/>
                <w:sz w:val="22"/>
              </w:rPr>
            </w:pPr>
            <w:r>
              <w:rPr>
                <w:rFonts w:ascii="Consolas"/>
                <w:sz w:val="22"/>
              </w:rPr>
              <w:t>"Y"</w:t>
            </w:r>
          </w:p>
        </w:tc>
        <w:tc>
          <w:tcPr>
            <w:tcW w:w="3019" w:type="dxa"/>
          </w:tcPr>
          <w:p>
            <w:pPr>
              <w:pStyle w:val="TableParagraph"/>
              <w:ind w:left="116" w:right="129"/>
              <w:rPr>
                <w:sz w:val="22"/>
              </w:rPr>
            </w:pPr>
            <w:r>
              <w:rPr>
                <w:sz w:val="22"/>
              </w:rPr>
              <w:t>The number of complete years in the period.</w:t>
            </w:r>
          </w:p>
        </w:tc>
        <w:tc>
          <w:tcPr>
            <w:tcW w:w="402" w:type="dxa"/>
            <w:vMerge/>
            <w:tcBorders>
              <w:top w:val="nil"/>
            </w:tcBorders>
          </w:tcPr>
          <w:p>
            <w:pPr>
              <w:rPr>
                <w:sz w:val="2"/>
                <w:szCs w:val="2"/>
              </w:rPr>
            </w:pPr>
          </w:p>
        </w:tc>
      </w:tr>
      <w:tr>
        <w:trPr>
          <w:trHeight w:val="6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0" w:type="dxa"/>
          </w:tcPr>
          <w:p>
            <w:pPr>
              <w:pStyle w:val="TableParagraph"/>
              <w:spacing w:before="42"/>
              <w:ind w:left="116"/>
              <w:rPr>
                <w:rFonts w:ascii="Consolas"/>
                <w:sz w:val="22"/>
              </w:rPr>
            </w:pPr>
            <w:r>
              <w:rPr>
                <w:rFonts w:ascii="Consolas"/>
                <w:sz w:val="22"/>
              </w:rPr>
              <w:t>"M"</w:t>
            </w:r>
          </w:p>
        </w:tc>
        <w:tc>
          <w:tcPr>
            <w:tcW w:w="3019" w:type="dxa"/>
          </w:tcPr>
          <w:p>
            <w:pPr>
              <w:pStyle w:val="TableParagraph"/>
              <w:ind w:left="116" w:right="656"/>
              <w:rPr>
                <w:sz w:val="22"/>
              </w:rPr>
            </w:pPr>
            <w:r>
              <w:rPr>
                <w:sz w:val="22"/>
              </w:rPr>
              <w:t>The number of complete months in the period.</w:t>
            </w:r>
          </w:p>
        </w:tc>
        <w:tc>
          <w:tcPr>
            <w:tcW w:w="402" w:type="dxa"/>
            <w:vMerge/>
            <w:tcBorders>
              <w:top w:val="nil"/>
            </w:tcBorders>
          </w:tcPr>
          <w:p>
            <w:pPr>
              <w:rPr>
                <w:sz w:val="2"/>
                <w:szCs w:val="2"/>
              </w:rPr>
            </w:pPr>
          </w:p>
        </w:tc>
      </w:tr>
      <w:tr>
        <w:trPr>
          <w:trHeight w:val="6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0" w:type="dxa"/>
          </w:tcPr>
          <w:p>
            <w:pPr>
              <w:pStyle w:val="TableParagraph"/>
              <w:spacing w:before="42"/>
              <w:ind w:left="116"/>
              <w:rPr>
                <w:rFonts w:ascii="Consolas"/>
                <w:sz w:val="22"/>
              </w:rPr>
            </w:pPr>
            <w:r>
              <w:rPr>
                <w:rFonts w:ascii="Consolas"/>
                <w:sz w:val="22"/>
              </w:rPr>
              <w:t>"D"</w:t>
            </w:r>
          </w:p>
        </w:tc>
        <w:tc>
          <w:tcPr>
            <w:tcW w:w="3019" w:type="dxa"/>
          </w:tcPr>
          <w:p>
            <w:pPr>
              <w:pStyle w:val="TableParagraph"/>
              <w:ind w:left="116" w:right="528"/>
              <w:rPr>
                <w:sz w:val="22"/>
              </w:rPr>
            </w:pPr>
            <w:r>
              <w:rPr>
                <w:sz w:val="22"/>
              </w:rPr>
              <w:t>The number of days in the period.</w:t>
            </w:r>
          </w:p>
        </w:tc>
        <w:tc>
          <w:tcPr>
            <w:tcW w:w="402" w:type="dxa"/>
            <w:vMerge/>
            <w:tcBorders>
              <w:top w:val="nil"/>
            </w:tcBorders>
          </w:tcPr>
          <w:p>
            <w:pPr>
              <w:rPr>
                <w:sz w:val="2"/>
                <w:szCs w:val="2"/>
              </w:rPr>
            </w:pPr>
          </w:p>
        </w:tc>
      </w:tr>
      <w:tr>
        <w:trPr>
          <w:trHeight w:val="116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0" w:type="dxa"/>
          </w:tcPr>
          <w:p>
            <w:pPr>
              <w:pStyle w:val="TableParagraph"/>
              <w:spacing w:before="42"/>
              <w:ind w:left="116"/>
              <w:rPr>
                <w:rFonts w:ascii="Consolas"/>
                <w:sz w:val="22"/>
              </w:rPr>
            </w:pPr>
            <w:r>
              <w:rPr>
                <w:rFonts w:ascii="Consolas"/>
                <w:sz w:val="22"/>
              </w:rPr>
              <w:t>"MD"</w:t>
            </w:r>
          </w:p>
        </w:tc>
        <w:tc>
          <w:tcPr>
            <w:tcW w:w="3019" w:type="dxa"/>
          </w:tcPr>
          <w:p>
            <w:pPr>
              <w:pStyle w:val="TableParagraph"/>
              <w:ind w:left="116" w:right="178"/>
              <w:rPr>
                <w:sz w:val="22"/>
              </w:rPr>
            </w:pPr>
            <w:r>
              <w:rPr>
                <w:sz w:val="22"/>
              </w:rPr>
              <w:t>The difference between the days in </w:t>
            </w:r>
            <w:r>
              <w:rPr>
                <w:rFonts w:ascii="Times New Roman"/>
                <w:i/>
                <w:sz w:val="22"/>
              </w:rPr>
              <w:t>start-date </w:t>
            </w:r>
            <w:r>
              <w:rPr>
                <w:sz w:val="22"/>
              </w:rPr>
              <w:t>and </w:t>
            </w:r>
            <w:r>
              <w:rPr>
                <w:rFonts w:ascii="Times New Roman"/>
                <w:i/>
                <w:sz w:val="22"/>
              </w:rPr>
              <w:t>end- </w:t>
            </w:r>
            <w:r>
              <w:rPr>
                <w:rFonts w:ascii="Times New Roman"/>
                <w:i/>
                <w:sz w:val="22"/>
              </w:rPr>
              <w:t>date</w:t>
            </w:r>
            <w:r>
              <w:rPr>
                <w:sz w:val="22"/>
              </w:rPr>
              <w:t>. The months and years of the dates are ignored.</w:t>
            </w:r>
          </w:p>
        </w:tc>
        <w:tc>
          <w:tcPr>
            <w:tcW w:w="402" w:type="dxa"/>
            <w:vMerge/>
            <w:tcBorders>
              <w:top w:val="nil"/>
            </w:tcBorders>
          </w:tcPr>
          <w:p>
            <w:pPr>
              <w:rPr>
                <w:sz w:val="2"/>
                <w:szCs w:val="2"/>
              </w:rPr>
            </w:pPr>
          </w:p>
        </w:tc>
      </w:tr>
      <w:tr>
        <w:trPr>
          <w:trHeight w:val="115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0" w:type="dxa"/>
          </w:tcPr>
          <w:p>
            <w:pPr>
              <w:pStyle w:val="TableParagraph"/>
              <w:spacing w:before="42"/>
              <w:ind w:left="116"/>
              <w:rPr>
                <w:rFonts w:ascii="Consolas"/>
                <w:sz w:val="22"/>
              </w:rPr>
            </w:pPr>
            <w:r>
              <w:rPr>
                <w:rFonts w:ascii="Consolas"/>
                <w:sz w:val="22"/>
              </w:rPr>
              <w:t>"YM"</w:t>
            </w:r>
          </w:p>
        </w:tc>
        <w:tc>
          <w:tcPr>
            <w:tcW w:w="3019" w:type="dxa"/>
          </w:tcPr>
          <w:p>
            <w:pPr>
              <w:pStyle w:val="TableParagraph"/>
              <w:ind w:left="116" w:right="105"/>
              <w:rPr>
                <w:sz w:val="22"/>
              </w:rPr>
            </w:pPr>
            <w:r>
              <w:rPr>
                <w:sz w:val="22"/>
              </w:rPr>
              <w:t>The difference between the months in </w:t>
            </w:r>
            <w:r>
              <w:rPr>
                <w:rFonts w:ascii="Times New Roman"/>
                <w:i/>
                <w:sz w:val="22"/>
              </w:rPr>
              <w:t>start-date </w:t>
            </w:r>
            <w:r>
              <w:rPr>
                <w:sz w:val="22"/>
              </w:rPr>
              <w:t>and </w:t>
            </w:r>
            <w:r>
              <w:rPr>
                <w:rFonts w:ascii="Times New Roman"/>
                <w:i/>
                <w:sz w:val="22"/>
              </w:rPr>
              <w:t>end- </w:t>
            </w:r>
            <w:r>
              <w:rPr>
                <w:rFonts w:ascii="Times New Roman"/>
                <w:i/>
                <w:sz w:val="22"/>
              </w:rPr>
              <w:t>date</w:t>
            </w:r>
            <w:r>
              <w:rPr>
                <w:sz w:val="22"/>
              </w:rPr>
              <w:t>. The days and years of the dates are ignored.</w:t>
            </w:r>
          </w:p>
        </w:tc>
        <w:tc>
          <w:tcPr>
            <w:tcW w:w="402" w:type="dxa"/>
            <w:vMerge/>
            <w:tcBorders>
              <w:top w:val="nil"/>
            </w:tcBorders>
          </w:tcPr>
          <w:p>
            <w:pPr>
              <w:rPr>
                <w:sz w:val="2"/>
                <w:szCs w:val="2"/>
              </w:rPr>
            </w:pPr>
          </w:p>
        </w:tc>
      </w:tr>
      <w:tr>
        <w:trPr>
          <w:trHeight w:val="121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0" w:type="dxa"/>
          </w:tcPr>
          <w:p>
            <w:pPr>
              <w:pStyle w:val="TableParagraph"/>
              <w:spacing w:before="42"/>
              <w:ind w:left="116"/>
              <w:rPr>
                <w:rFonts w:ascii="Consolas"/>
                <w:sz w:val="22"/>
              </w:rPr>
            </w:pPr>
            <w:r>
              <w:rPr>
                <w:rFonts w:ascii="Consolas"/>
                <w:sz w:val="22"/>
              </w:rPr>
              <w:t>"YD"</w:t>
            </w:r>
          </w:p>
        </w:tc>
        <w:tc>
          <w:tcPr>
            <w:tcW w:w="3019" w:type="dxa"/>
          </w:tcPr>
          <w:p>
            <w:pPr>
              <w:pStyle w:val="TableParagraph"/>
              <w:ind w:left="116" w:right="388"/>
              <w:rPr>
                <w:sz w:val="22"/>
              </w:rPr>
            </w:pPr>
            <w:r>
              <w:rPr>
                <w:sz w:val="22"/>
              </w:rPr>
              <w:t>The difference between the days of </w:t>
            </w:r>
            <w:r>
              <w:rPr>
                <w:rFonts w:ascii="Times New Roman"/>
                <w:i/>
                <w:sz w:val="22"/>
              </w:rPr>
              <w:t>start-date </w:t>
            </w:r>
            <w:r>
              <w:rPr>
                <w:sz w:val="22"/>
              </w:rPr>
              <w:t>and </w:t>
            </w:r>
            <w:r>
              <w:rPr>
                <w:rFonts w:ascii="Times New Roman"/>
                <w:i/>
                <w:sz w:val="22"/>
              </w:rPr>
              <w:t>end- </w:t>
            </w:r>
            <w:r>
              <w:rPr>
                <w:rFonts w:ascii="Times New Roman"/>
                <w:i/>
                <w:sz w:val="22"/>
              </w:rPr>
              <w:t>date</w:t>
            </w:r>
            <w:r>
              <w:rPr>
                <w:sz w:val="22"/>
              </w:rPr>
              <w:t>. The years of the dates are ignored.</w:t>
            </w:r>
          </w:p>
        </w:tc>
        <w:tc>
          <w:tcPr>
            <w:tcW w:w="402" w:type="dxa"/>
            <w:vMerge/>
            <w:tcBorders>
              <w:top w:val="nil"/>
            </w:tcBorders>
          </w:tcPr>
          <w:p>
            <w:pPr>
              <w:rPr>
                <w:sz w:val="2"/>
                <w:szCs w:val="2"/>
              </w:rPr>
            </w:pPr>
          </w:p>
        </w:tc>
      </w:tr>
    </w:tbl>
    <w:p>
      <w:pPr>
        <w:pStyle w:val="BodyText"/>
        <w:rPr>
          <w:b/>
        </w:rPr>
      </w:pPr>
    </w:p>
    <w:p>
      <w:pPr>
        <w:pStyle w:val="BodyText"/>
        <w:spacing w:before="5"/>
        <w:rPr>
          <w:b/>
          <w:sz w:val="19"/>
        </w:rPr>
      </w:pPr>
    </w:p>
    <w:p>
      <w:pPr>
        <w:spacing w:line="278" w:lineRule="auto" w:before="0"/>
        <w:ind w:left="220" w:right="475" w:firstLine="0"/>
        <w:jc w:val="left"/>
        <w:rPr>
          <w:sz w:val="22"/>
        </w:rPr>
      </w:pPr>
      <w:r>
        <w:rPr>
          <w:b/>
          <w:sz w:val="22"/>
        </w:rPr>
        <w:t>Return Type and Value: </w:t>
      </w:r>
      <w:r>
        <w:rPr>
          <w:sz w:val="22"/>
        </w:rPr>
        <w:t>number – The number of days, months, or years between two dates, depending on the value of </w:t>
      </w:r>
      <w:r>
        <w:rPr>
          <w:rFonts w:ascii="Times New Roman" w:hAnsi="Times New Roman"/>
          <w:i/>
          <w:sz w:val="22"/>
        </w:rPr>
        <w:t>unit</w:t>
      </w:r>
      <w:r>
        <w:rPr>
          <w:sz w:val="22"/>
        </w:rPr>
        <w:t>.</w:t>
      </w:r>
    </w:p>
    <w:p>
      <w:pPr>
        <w:pStyle w:val="BodyText"/>
        <w:spacing w:before="198"/>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start-date </w:t>
      </w:r>
      <w:r>
        <w:rPr>
          <w:sz w:val="22"/>
        </w:rPr>
        <w:t>or </w:t>
      </w:r>
      <w:r>
        <w:rPr>
          <w:rFonts w:ascii="Times New Roman" w:hAnsi="Times New Roman"/>
          <w:i/>
          <w:sz w:val="22"/>
        </w:rPr>
        <w:t>end-date </w:t>
      </w:r>
      <w:r>
        <w:rPr>
          <w:sz w:val="22"/>
        </w:rPr>
        <w:t>is out of range for the current date system,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start-date </w:t>
      </w:r>
      <w:r>
        <w:rPr>
          <w:sz w:val="22"/>
        </w:rPr>
        <w:t>≥ </w:t>
      </w:r>
      <w:r>
        <w:rPr>
          <w:rFonts w:ascii="Times New Roman" w:hAnsi="Times New Roman"/>
          <w:i/>
          <w:sz w:val="22"/>
        </w:rPr>
        <w:t>end-date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2653" w:firstLine="360"/>
        <w:jc w:val="left"/>
        <w:rPr>
          <w:sz w:val="22"/>
        </w:rPr>
      </w:pPr>
      <w:r>
        <w:rPr>
          <w:rFonts w:ascii="Times New Roman" w:hAnsi="Times New Roman"/>
          <w:i/>
          <w:sz w:val="22"/>
        </w:rPr>
        <w:t>unit </w:t>
      </w:r>
      <w:r>
        <w:rPr>
          <w:sz w:val="22"/>
        </w:rPr>
        <w:t>is any value other than those shown in the table above, </w:t>
      </w:r>
      <w:r>
        <w:rPr>
          <w:rFonts w:ascii="Consolas" w:hAnsi="Consolas"/>
          <w:sz w:val="22"/>
        </w:rPr>
        <w:t>#NUM!</w:t>
      </w:r>
      <w:r>
        <w:rPr>
          <w:rFonts w:ascii="Consolas" w:hAnsi="Consolas"/>
          <w:spacing w:val="-89"/>
          <w:sz w:val="22"/>
        </w:rPr>
        <w:t> </w:t>
      </w:r>
      <w:r>
        <w:rPr>
          <w:sz w:val="22"/>
        </w:rPr>
        <w:t>is returned. [</w:t>
      </w:r>
      <w:r>
        <w:rPr>
          <w:i/>
          <w:sz w:val="22"/>
        </w:rPr>
        <w:t>Example</w:t>
      </w:r>
      <w:r>
        <w:rPr>
          <w:sz w:val="22"/>
        </w:rPr>
        <w:t>:</w:t>
      </w:r>
    </w:p>
    <w:p>
      <w:pPr>
        <w:pStyle w:val="BodyText"/>
        <w:spacing w:before="125"/>
        <w:ind w:left="220"/>
      </w:pPr>
      <w:r>
        <w:rPr>
          <w:rFonts w:ascii="Consolas"/>
        </w:rPr>
        <w:t>DATEDIF(DATE(2001,1,1),DATE(2003,1,1),"Y")</w:t>
      </w:r>
      <w:r>
        <w:rPr>
          <w:rFonts w:ascii="Consolas"/>
          <w:spacing w:val="-65"/>
        </w:rPr>
        <w:t> </w:t>
      </w:r>
      <w:r>
        <w:rPr/>
        <w:t>results in </w:t>
      </w:r>
      <w:r>
        <w:rPr>
          <w:rFonts w:ascii="Consolas"/>
        </w:rPr>
        <w:t>2</w:t>
      </w:r>
      <w:r>
        <w:rPr>
          <w:rFonts w:ascii="Consolas"/>
          <w:spacing w:val="-72"/>
        </w:rPr>
        <w:t> </w:t>
      </w:r>
      <w:r>
        <w:rPr/>
        <w:t>complete years</w:t>
      </w:r>
    </w:p>
    <w:p>
      <w:pPr>
        <w:spacing w:after="0"/>
        <w:sectPr>
          <w:pgSz w:w="12240" w:h="15840"/>
          <w:pgMar w:header="763" w:footer="746" w:top="1340" w:bottom="940" w:left="860" w:right="700"/>
        </w:sectPr>
      </w:pPr>
    </w:p>
    <w:p>
      <w:pPr>
        <w:pStyle w:val="BodyText"/>
        <w:spacing w:line="276" w:lineRule="auto" w:before="90"/>
        <w:ind w:left="220" w:right="3520"/>
        <w:jc w:val="both"/>
      </w:pPr>
      <w:r>
        <w:rPr>
          <w:rFonts w:ascii="Consolas"/>
        </w:rPr>
        <w:t>DATEDIF(DATE(2001,6,1),DATE(2002,8,15),"D")</w:t>
      </w:r>
      <w:r>
        <w:rPr>
          <w:rFonts w:ascii="Consolas"/>
          <w:spacing w:val="-71"/>
        </w:rPr>
        <w:t> </w:t>
      </w:r>
      <w:r>
        <w:rPr/>
        <w:t>results in </w:t>
      </w:r>
      <w:r>
        <w:rPr>
          <w:rFonts w:ascii="Consolas"/>
        </w:rPr>
        <w:t>440</w:t>
      </w:r>
      <w:r>
        <w:rPr>
          <w:rFonts w:ascii="Consolas"/>
          <w:spacing w:val="-78"/>
        </w:rPr>
        <w:t> </w:t>
      </w:r>
      <w:r>
        <w:rPr/>
        <w:t>days </w:t>
      </w:r>
      <w:r>
        <w:rPr>
          <w:rFonts w:ascii="Consolas"/>
        </w:rPr>
        <w:t>DATEDIF(DATE(2001,6,1),DATE(2002,8,15),"YD")</w:t>
      </w:r>
      <w:r>
        <w:rPr>
          <w:rFonts w:ascii="Consolas"/>
          <w:spacing w:val="-71"/>
        </w:rPr>
        <w:t> </w:t>
      </w:r>
      <w:r>
        <w:rPr/>
        <w:t>results in </w:t>
      </w:r>
      <w:r>
        <w:rPr>
          <w:rFonts w:ascii="Consolas"/>
        </w:rPr>
        <w:t>75</w:t>
      </w:r>
      <w:r>
        <w:rPr>
          <w:rFonts w:ascii="Consolas"/>
          <w:spacing w:val="-77"/>
        </w:rPr>
        <w:t> </w:t>
      </w:r>
      <w:r>
        <w:rPr/>
        <w:t>days </w:t>
      </w:r>
      <w:r>
        <w:rPr>
          <w:rFonts w:ascii="Consolas"/>
        </w:rPr>
        <w:t>DATEDIF(DATE(2001,6,1),DATE(2002,8,15),"MD")</w:t>
      </w:r>
      <w:r>
        <w:rPr>
          <w:rFonts w:ascii="Consolas"/>
          <w:spacing w:val="-71"/>
        </w:rPr>
        <w:t> </w:t>
      </w:r>
      <w:r>
        <w:rPr/>
        <w:t>results in </w:t>
      </w:r>
      <w:r>
        <w:rPr>
          <w:rFonts w:ascii="Consolas"/>
        </w:rPr>
        <w:t>14</w:t>
      </w:r>
      <w:r>
        <w:rPr>
          <w:rFonts w:ascii="Consolas"/>
          <w:spacing w:val="-77"/>
        </w:rPr>
        <w:t> </w:t>
      </w:r>
      <w:r>
        <w:rPr/>
        <w:t>days</w:t>
      </w:r>
    </w:p>
    <w:p>
      <w:pPr>
        <w:pStyle w:val="BodyText"/>
        <w:spacing w:before="7"/>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76 DATEVALUE" w:id="1620"/>
      <w:bookmarkEnd w:id="1620"/>
      <w:r>
        <w:rPr/>
      </w:r>
      <w:bookmarkStart w:name="_bookmark539" w:id="1621"/>
      <w:bookmarkEnd w:id="1621"/>
      <w:r>
        <w:rPr/>
      </w:r>
      <w:bookmarkStart w:name="_bookmark539" w:id="1622"/>
      <w:bookmarkEnd w:id="1622"/>
      <w:r>
        <w:rPr>
          <w:color w:val="4F81BC"/>
        </w:rPr>
        <w:t>D</w:t>
      </w:r>
      <w:r>
        <w:rPr>
          <w:color w:val="4F81BC"/>
        </w:rPr>
        <w:t>ATEVALUE</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DATEVALUE ( </w:t>
      </w:r>
      <w:r>
        <w:rPr>
          <w:i/>
          <w:sz w:val="22"/>
        </w:rPr>
        <w:t>date-time-string </w:t>
      </w:r>
      <w:r>
        <w:rPr>
          <w:rFonts w:ascii="Lucida Console"/>
          <w:sz w:val="20"/>
        </w:rPr>
        <w:t>)</w:t>
      </w:r>
    </w:p>
    <w:p>
      <w:pPr>
        <w:spacing w:line="278" w:lineRule="auto" w:before="105"/>
        <w:ind w:left="220" w:right="688" w:firstLine="0"/>
        <w:jc w:val="left"/>
        <w:rPr>
          <w:sz w:val="22"/>
        </w:rPr>
      </w:pPr>
      <w:r>
        <w:rPr>
          <w:b/>
          <w:sz w:val="22"/>
        </w:rPr>
        <w:t>Description: </w:t>
      </w:r>
      <w:r>
        <w:rPr>
          <w:sz w:val="22"/>
        </w:rPr>
        <w:t>Computes the serial date-time of the date represented by the string </w:t>
      </w:r>
      <w:r>
        <w:rPr>
          <w:rFonts w:ascii="Times New Roman"/>
          <w:i/>
          <w:sz w:val="22"/>
        </w:rPr>
        <w:t>date-time-string</w:t>
      </w:r>
      <w:r>
        <w:rPr>
          <w:sz w:val="22"/>
        </w:rPr>
        <w:t>, taking into account the current date system.</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771" w:hRule="atLeast"/>
        </w:trPr>
        <w:tc>
          <w:tcPr>
            <w:tcW w:w="1466" w:type="dxa"/>
          </w:tcPr>
          <w:p>
            <w:pPr>
              <w:pStyle w:val="TableParagraph"/>
              <w:spacing w:before="37"/>
              <w:ind w:right="416"/>
              <w:rPr>
                <w:rFonts w:ascii="Times New Roman"/>
                <w:i/>
                <w:sz w:val="22"/>
              </w:rPr>
            </w:pPr>
            <w:r>
              <w:rPr>
                <w:rFonts w:ascii="Times New Roman"/>
                <w:i/>
                <w:sz w:val="22"/>
              </w:rPr>
              <w:t>date-time- </w:t>
            </w: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101"/>
              <w:rPr>
                <w:sz w:val="22"/>
              </w:rPr>
            </w:pPr>
            <w:r>
              <w:rPr>
                <w:sz w:val="22"/>
              </w:rPr>
              <w:t>The date and/or time whose serial date-time is to be computed. </w:t>
            </w:r>
            <w:r>
              <w:rPr>
                <w:rFonts w:ascii="Times New Roman"/>
                <w:i/>
                <w:sz w:val="22"/>
              </w:rPr>
              <w:t>date-time-string </w:t>
            </w:r>
            <w:r>
              <w:rPr>
                <w:sz w:val="22"/>
              </w:rPr>
              <w:t>can have any supported date and/or time format. If the year portion of </w:t>
            </w:r>
            <w:r>
              <w:rPr>
                <w:rFonts w:ascii="Times New Roman"/>
                <w:i/>
                <w:sz w:val="22"/>
              </w:rPr>
              <w:t>date-time-string </w:t>
            </w:r>
            <w:r>
              <w:rPr>
                <w:sz w:val="22"/>
              </w:rPr>
              <w:t>is omitted, the current year is used. Any time information in </w:t>
            </w:r>
            <w:r>
              <w:rPr>
                <w:rFonts w:ascii="Times New Roman"/>
                <w:i/>
                <w:sz w:val="22"/>
              </w:rPr>
              <w:t>date-time-string </w:t>
            </w:r>
            <w:r>
              <w:rPr>
                <w:sz w:val="22"/>
              </w:rPr>
              <w:t>shall be ignored. When </w:t>
            </w:r>
            <w:r>
              <w:rPr>
                <w:rFonts w:ascii="Times New Roman"/>
                <w:i/>
                <w:sz w:val="22"/>
              </w:rPr>
              <w:t>date-time- </w:t>
            </w:r>
            <w:r>
              <w:rPr>
                <w:rFonts w:ascii="Times New Roman"/>
                <w:i/>
                <w:sz w:val="22"/>
              </w:rPr>
              <w:t>string </w:t>
            </w:r>
            <w:r>
              <w:rPr>
                <w:sz w:val="22"/>
              </w:rPr>
              <w:t>contains both a date and time part, times in </w:t>
            </w:r>
            <w:r>
              <w:rPr>
                <w:rFonts w:ascii="Times New Roman"/>
                <w:i/>
                <w:sz w:val="22"/>
              </w:rPr>
              <w:t>date- </w:t>
            </w:r>
            <w:r>
              <w:rPr>
                <w:rFonts w:ascii="Times New Roman"/>
                <w:i/>
                <w:sz w:val="22"/>
              </w:rPr>
              <w:t>time-string </w:t>
            </w:r>
            <w:r>
              <w:rPr>
                <w:sz w:val="22"/>
              </w:rPr>
              <w:t>are truncated. Time-only values for </w:t>
            </w:r>
            <w:r>
              <w:rPr>
                <w:rFonts w:ascii="Times New Roman"/>
                <w:i/>
                <w:sz w:val="22"/>
              </w:rPr>
              <w:t>date-time- </w:t>
            </w:r>
            <w:r>
              <w:rPr>
                <w:rFonts w:ascii="Times New Roman"/>
                <w:i/>
                <w:sz w:val="22"/>
              </w:rPr>
              <w:t>string </w:t>
            </w:r>
            <w:r>
              <w:rPr>
                <w:sz w:val="22"/>
              </w:rPr>
              <w:t>are special cased to return 0 so that when they are used in date addition and subtraction, time-only strings are ignored.</w:t>
            </w:r>
          </w:p>
        </w:tc>
      </w:tr>
    </w:tbl>
    <w:p>
      <w:pPr>
        <w:pStyle w:val="BodyText"/>
        <w:rPr>
          <w:b/>
        </w:rPr>
      </w:pPr>
    </w:p>
    <w:p>
      <w:pPr>
        <w:pStyle w:val="BodyText"/>
        <w:spacing w:before="7"/>
        <w:rPr>
          <w:b/>
          <w:sz w:val="19"/>
        </w:rPr>
      </w:pPr>
    </w:p>
    <w:p>
      <w:pPr>
        <w:spacing w:line="453" w:lineRule="auto" w:before="0"/>
        <w:ind w:left="220" w:right="663" w:firstLine="0"/>
        <w:jc w:val="left"/>
        <w:rPr>
          <w:sz w:val="22"/>
        </w:rPr>
      </w:pPr>
      <w:r>
        <w:rPr>
          <w:b/>
          <w:sz w:val="22"/>
        </w:rPr>
        <w:t>Return Type and Value: </w:t>
      </w:r>
      <w:r>
        <w:rPr>
          <w:sz w:val="22"/>
        </w:rPr>
        <w:t>number – The serial date-time of the date represented by the string </w:t>
      </w:r>
      <w:r>
        <w:rPr>
          <w:rFonts w:ascii="Times New Roman" w:hAnsi="Times New Roman"/>
          <w:i/>
          <w:sz w:val="22"/>
        </w:rPr>
        <w:t>date-time-string</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date-time-string </w:t>
      </w:r>
      <w:r>
        <w:rPr>
          <w:sz w:val="22"/>
        </w:rPr>
        <w:t>is out of range for the current date system, </w:t>
      </w:r>
      <w:r>
        <w:rPr>
          <w:rFonts w:ascii="Consolas" w:hAnsi="Consolas"/>
          <w:sz w:val="22"/>
        </w:rPr>
        <w:t>#VALUE!</w:t>
      </w:r>
      <w:r>
        <w:rPr>
          <w:rFonts w:ascii="Consolas" w:hAnsi="Consolas"/>
          <w:spacing w:val="-87"/>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date-time-string </w:t>
      </w:r>
      <w:r>
        <w:rPr>
          <w:sz w:val="22"/>
        </w:rPr>
        <w:t>does not represent a date, </w:t>
      </w:r>
      <w:r>
        <w:rPr>
          <w:rFonts w:ascii="Consolas" w:hAnsi="Consolas"/>
          <w:sz w:val="22"/>
        </w:rPr>
        <w:t>#VALUE!</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78" w:lineRule="auto" w:before="41" w:after="0"/>
        <w:ind w:left="940" w:right="378" w:hanging="360"/>
        <w:jc w:val="left"/>
        <w:rPr>
          <w:sz w:val="22"/>
        </w:rPr>
      </w:pPr>
      <w:r>
        <w:rPr>
          <w:rFonts w:ascii="Times New Roman" w:hAnsi="Times New Roman"/>
          <w:i/>
          <w:sz w:val="22"/>
        </w:rPr>
        <w:t>date-time-string </w:t>
      </w:r>
      <w:r>
        <w:rPr>
          <w:sz w:val="22"/>
        </w:rPr>
        <w:t>contains only a time, 0 is returned so that when it used in date addition and</w:t>
      </w:r>
      <w:r>
        <w:rPr>
          <w:spacing w:val="-30"/>
          <w:sz w:val="22"/>
        </w:rPr>
        <w:t> </w:t>
      </w:r>
      <w:r>
        <w:rPr>
          <w:sz w:val="22"/>
        </w:rPr>
        <w:t>subtraction, time-only strings are</w:t>
      </w:r>
      <w:r>
        <w:rPr>
          <w:spacing w:val="-2"/>
          <w:sz w:val="22"/>
        </w:rPr>
        <w:t> </w:t>
      </w:r>
      <w:r>
        <w:rPr>
          <w:sz w:val="22"/>
        </w:rPr>
        <w:t>ignored.</w:t>
      </w:r>
    </w:p>
    <w:p>
      <w:pPr>
        <w:pStyle w:val="BodyText"/>
        <w:spacing w:before="198"/>
        <w:ind w:left="220"/>
      </w:pPr>
      <w:r>
        <w:rPr/>
        <w:t>[</w:t>
      </w:r>
      <w:r>
        <w:rPr>
          <w:i/>
        </w:rPr>
        <w:t>Example</w:t>
      </w:r>
      <w:r>
        <w:rPr/>
        <w:t>: When the current year is 2006,</w:t>
      </w:r>
    </w:p>
    <w:p>
      <w:pPr>
        <w:pStyle w:val="BodyText"/>
        <w:spacing w:before="8"/>
        <w:rPr>
          <w:sz w:val="19"/>
        </w:rPr>
      </w:pPr>
    </w:p>
    <w:p>
      <w:pPr>
        <w:pStyle w:val="BodyText"/>
        <w:spacing w:line="276" w:lineRule="auto"/>
        <w:ind w:left="220" w:right="6467"/>
        <w:rPr>
          <w:rFonts w:ascii="Consolas"/>
        </w:rPr>
      </w:pPr>
      <w:r>
        <w:rPr>
          <w:rFonts w:ascii="Consolas"/>
        </w:rPr>
        <w:t>DATEVALUE("2/1/2006") DATEVALUE("01-Feb-2006 10:06 AM") DATEVALUE("2006/2/1") DATEVALUE("2006-2-1") DATEVALUE("1-Feb")</w:t>
      </w:r>
    </w:p>
    <w:p>
      <w:pPr>
        <w:spacing w:after="0" w:line="276" w:lineRule="auto"/>
        <w:rPr>
          <w:rFonts w:ascii="Consolas"/>
        </w:rPr>
        <w:sectPr>
          <w:pgSz w:w="12240" w:h="15840"/>
          <w:pgMar w:header="761" w:footer="746" w:top="1340" w:bottom="940" w:left="860" w:right="700"/>
        </w:sectPr>
      </w:pPr>
    </w:p>
    <w:p>
      <w:pPr>
        <w:pStyle w:val="BodyText"/>
        <w:spacing w:before="150"/>
        <w:ind w:left="220"/>
      </w:pPr>
      <w:r>
        <w:rPr/>
        <w:t>all result in </w:t>
      </w:r>
      <w:r>
        <w:rPr>
          <w:rFonts w:ascii="Consolas"/>
        </w:rPr>
        <w:t>38749</w:t>
      </w:r>
      <w:r>
        <w:rPr>
          <w:rFonts w:ascii="Consolas"/>
          <w:spacing w:val="-72"/>
        </w:rPr>
        <w:t> </w:t>
      </w:r>
      <w:r>
        <w:rPr/>
        <w:t>for the 1900 date system, or </w:t>
      </w:r>
      <w:r>
        <w:rPr>
          <w:rFonts w:ascii="Consolas"/>
        </w:rPr>
        <w:t>37287</w:t>
      </w:r>
      <w:r>
        <w:rPr>
          <w:rFonts w:ascii="Consolas"/>
          <w:spacing w:val="-69"/>
        </w:rPr>
        <w:t> </w:t>
      </w:r>
      <w:r>
        <w:rPr/>
        <w:t>for the 1904 date system. </w:t>
      </w:r>
      <w:r>
        <w:rPr>
          <w:i/>
        </w:rPr>
        <w:t>end example</w:t>
      </w:r>
      <w:r>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77 DAVERAGE" w:id="1623"/>
      <w:bookmarkEnd w:id="1623"/>
      <w:r>
        <w:rPr/>
      </w:r>
      <w:bookmarkStart w:name="_bookmark540" w:id="1624"/>
      <w:bookmarkEnd w:id="1624"/>
      <w:r>
        <w:rPr/>
      </w:r>
      <w:bookmarkStart w:name="_bookmark540" w:id="1625"/>
      <w:bookmarkEnd w:id="1625"/>
      <w:r>
        <w:rPr>
          <w:color w:val="4F81BC"/>
        </w:rPr>
        <w:t>D</w:t>
      </w:r>
      <w:r>
        <w:rPr>
          <w:color w:val="4F81BC"/>
        </w:rPr>
        <w:t>AVERAGE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DAVERAGE ( </w:t>
      </w:r>
      <w:r>
        <w:rPr>
          <w:i/>
          <w:sz w:val="22"/>
        </w:rPr>
        <w:t>database </w:t>
      </w:r>
      <w:r>
        <w:rPr>
          <w:rFonts w:ascii="Lucida Console"/>
          <w:sz w:val="20"/>
        </w:rPr>
        <w:t>, </w:t>
      </w:r>
      <w:r>
        <w:rPr>
          <w:i/>
          <w:sz w:val="22"/>
        </w:rPr>
        <w:t>field </w:t>
      </w:r>
      <w:r>
        <w:rPr>
          <w:rFonts w:ascii="Lucida Console"/>
          <w:sz w:val="20"/>
        </w:rPr>
        <w:t>,</w:t>
      </w:r>
      <w:r>
        <w:rPr>
          <w:rFonts w:ascii="Lucida Console"/>
          <w:spacing w:val="-83"/>
          <w:sz w:val="20"/>
        </w:rPr>
        <w:t> </w:t>
      </w:r>
      <w:r>
        <w:rPr>
          <w:i/>
          <w:sz w:val="22"/>
        </w:rPr>
        <w:t>criteria </w:t>
      </w:r>
      <w:r>
        <w:rPr>
          <w:rFonts w:ascii="Lucida Console"/>
          <w:sz w:val="20"/>
        </w:rPr>
        <w:t>)</w:t>
      </w:r>
    </w:p>
    <w:p>
      <w:pPr>
        <w:pStyle w:val="BodyText"/>
        <w:spacing w:before="108"/>
        <w:ind w:left="220"/>
      </w:pPr>
      <w:r>
        <w:rPr>
          <w:b/>
        </w:rPr>
        <w:t>Description</w:t>
      </w:r>
      <w:r>
        <w:rPr/>
        <w:t>: Averages the values in a column of a list or database that match the specified criteria.</w:t>
      </w:r>
    </w:p>
    <w:p>
      <w:pPr>
        <w:pStyle w:val="BodyText"/>
        <w:spacing w:before="6"/>
        <w:rPr>
          <w:sz w:val="19"/>
        </w:rPr>
      </w:pPr>
    </w:p>
    <w:p>
      <w:pPr>
        <w:pStyle w:val="BodyText"/>
        <w:spacing w:line="278" w:lineRule="auto"/>
        <w:ind w:left="220" w:right="846"/>
      </w:pPr>
      <w:r>
        <w:rPr/>
        <w:t>In order to perform an operation on an entire column in a database, a blank line shall be entered below the column labels in the criteria range.</w:t>
      </w:r>
    </w:p>
    <w:p>
      <w:pPr>
        <w:pStyle w:val="BodyText"/>
        <w:spacing w:before="2"/>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427"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ight="117"/>
              <w:rPr>
                <w:sz w:val="22"/>
              </w:rPr>
            </w:pPr>
            <w:r>
              <w:rPr>
                <w:sz w:val="22"/>
              </w:rPr>
              <w:t>The range of cells that makes up the list or database, which shall be a list of related data in which rows of related information are records, and columns of data are fields. The first row of the list shall contain labels for each column.</w:t>
            </w:r>
          </w:p>
        </w:tc>
      </w:tr>
      <w:tr>
        <w:trPr>
          <w:trHeight w:val="1430"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ight="148"/>
              <w:rPr>
                <w:sz w:val="22"/>
              </w:rPr>
            </w:pPr>
            <w:r>
              <w:rPr>
                <w:sz w:val="22"/>
              </w:rPr>
              <w:t>Indicates the column to which </w:t>
            </w:r>
            <w:r>
              <w:rPr>
                <w:rFonts w:ascii="Times New Roman"/>
                <w:i/>
                <w:sz w:val="22"/>
              </w:rPr>
              <w:t>criteria </w:t>
            </w:r>
            <w:r>
              <w:rPr>
                <w:sz w:val="22"/>
              </w:rPr>
              <w:t>shall be applied. It can either be a string containing the column's label, or the column's position number, where columns are numbered starting at 1. [</w:t>
            </w:r>
            <w:r>
              <w:rPr>
                <w:i/>
                <w:sz w:val="22"/>
              </w:rPr>
              <w:t>Example</w:t>
            </w:r>
            <w:r>
              <w:rPr>
                <w:sz w:val="22"/>
              </w:rPr>
              <w:t>: If column 3's label is "Age" then either 3 or "Age" can be used. </w:t>
            </w:r>
            <w:r>
              <w:rPr>
                <w:i/>
                <w:sz w:val="22"/>
              </w:rPr>
              <w:t>end example</w:t>
            </w:r>
            <w:r>
              <w:rPr>
                <w:sz w:val="22"/>
              </w:rPr>
              <w:t>]</w:t>
            </w:r>
          </w:p>
        </w:tc>
      </w:tr>
      <w:tr>
        <w:trPr>
          <w:trHeight w:val="5995"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ight="184"/>
              <w:rPr>
                <w:sz w:val="22"/>
              </w:rPr>
            </w:pPr>
            <w:r>
              <w:rPr>
                <w:sz w:val="22"/>
              </w:rPr>
              <w:t>The range of cells that contains the specified conditions. Each cell in that range that contains a condition shall have a value that is the form of a number, an expression, a cell reference, or text that defines which cells are selected. In the case of text, </w:t>
            </w:r>
            <w:r>
              <w:rPr>
                <w:rFonts w:ascii="Times New Roman"/>
                <w:i/>
                <w:sz w:val="22"/>
              </w:rPr>
              <w:t>criteria </w:t>
            </w:r>
            <w:r>
              <w:rPr>
                <w:sz w:val="22"/>
              </w:rPr>
              <w:t>can include one or more wildcard characters, question mark (</w:t>
            </w:r>
            <w:r>
              <w:rPr>
                <w:rFonts w:ascii="Consolas"/>
                <w:sz w:val="22"/>
              </w:rPr>
              <w:t>?</w:t>
            </w:r>
            <w:r>
              <w:rPr>
                <w:sz w:val="22"/>
              </w:rPr>
              <w:t>) and asterisk (</w:t>
            </w:r>
            <w:r>
              <w:rPr>
                <w:rFonts w:ascii="Consolas"/>
                <w:sz w:val="22"/>
              </w:rPr>
              <w:t>*</w:t>
            </w:r>
            <w:r>
              <w:rPr>
                <w:sz w:val="22"/>
              </w:rPr>
              <w:t>). A question mark matches any single character; an asterisk matches any sequence of characters. To search for a question mark, asterisk, or tilde character, prefix that character with a tilde (</w:t>
            </w:r>
            <w:r>
              <w:rPr>
                <w:rFonts w:ascii="Consolas"/>
                <w:sz w:val="22"/>
              </w:rPr>
              <w:t>~</w:t>
            </w:r>
            <w:r>
              <w:rPr>
                <w:sz w:val="22"/>
              </w:rPr>
              <w:t>). A text </w:t>
            </w:r>
            <w:r>
              <w:rPr>
                <w:rFonts w:ascii="Times New Roman"/>
                <w:i/>
                <w:sz w:val="22"/>
              </w:rPr>
              <w:t>criteria </w:t>
            </w:r>
            <w:r>
              <w:rPr>
                <w:sz w:val="22"/>
              </w:rPr>
              <w:t>can also consist of any comparison</w:t>
            </w:r>
            <w:r>
              <w:rPr>
                <w:spacing w:val="-21"/>
                <w:sz w:val="22"/>
              </w:rPr>
              <w:t> </w:t>
            </w:r>
            <w:r>
              <w:rPr>
                <w:sz w:val="22"/>
              </w:rPr>
              <w:t>operator</w:t>
            </w:r>
          </w:p>
          <w:p>
            <w:pPr>
              <w:pStyle w:val="TableParagraph"/>
              <w:spacing w:before="0"/>
              <w:ind w:left="113" w:right="108"/>
              <w:rPr>
                <w:sz w:val="22"/>
              </w:rPr>
            </w:pPr>
            <w:r>
              <w:rPr>
                <w:sz w:val="22"/>
              </w:rPr>
              <w:t>followed by the operand against which each cell's value is to be compared. If the text does not begin with a comparison operator, the criteria matches any string starting with that text, as though the criteria were suffixed by an asterisk (*). [</w:t>
            </w:r>
            <w:r>
              <w:rPr>
                <w:i/>
                <w:sz w:val="22"/>
              </w:rPr>
              <w:t>Example</w:t>
            </w:r>
            <w:r>
              <w:rPr>
                <w:sz w:val="22"/>
              </w:rPr>
              <w:t>: A criteria of "Pea" can result in Pea, Pear, and Peach's being matched, whereas a criteria of "=Pea" only matches Pea. </w:t>
            </w:r>
            <w:r>
              <w:rPr>
                <w:i/>
                <w:sz w:val="22"/>
              </w:rPr>
              <w:t>end </w:t>
            </w:r>
            <w:r>
              <w:rPr>
                <w:i/>
                <w:sz w:val="22"/>
              </w:rPr>
              <w:t>example</w:t>
            </w:r>
            <w:r>
              <w:rPr>
                <w:sz w:val="22"/>
              </w:rPr>
              <w:t>]</w:t>
            </w:r>
          </w:p>
          <w:p>
            <w:pPr>
              <w:pStyle w:val="TableParagraph"/>
              <w:spacing w:before="0"/>
              <w:ind w:left="113" w:right="122"/>
              <w:rPr>
                <w:sz w:val="22"/>
              </w:rPr>
            </w:pPr>
            <w:r>
              <w:rPr>
                <w:sz w:val="22"/>
              </w:rPr>
              <w:t>Comparison operators do not require a prefix if used in the string, however it is not possible to specifically search for a string which begins with a comparison operator.</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7068"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94"/>
              <w:rPr>
                <w:sz w:val="22"/>
              </w:rPr>
            </w:pPr>
            <w:r>
              <w:rPr>
                <w:sz w:val="22"/>
              </w:rPr>
              <w:t>The range shall include at least one column label and at least one cell below the column label in which a condition for the column is specified. [</w:t>
            </w:r>
            <w:r>
              <w:rPr>
                <w:i/>
                <w:sz w:val="22"/>
              </w:rPr>
              <w:t>Example</w:t>
            </w:r>
            <w:r>
              <w:rPr>
                <w:sz w:val="22"/>
              </w:rPr>
              <w:t>: If the range </w:t>
            </w:r>
            <w:r>
              <w:rPr>
                <w:rFonts w:ascii="Consolas"/>
                <w:sz w:val="22"/>
              </w:rPr>
              <w:t>G1:G2 </w:t>
            </w:r>
            <w:r>
              <w:rPr>
                <w:sz w:val="22"/>
              </w:rPr>
              <w:t>contains the column label </w:t>
            </w:r>
            <w:r>
              <w:rPr>
                <w:rFonts w:ascii="Consolas"/>
                <w:sz w:val="22"/>
              </w:rPr>
              <w:t>Income</w:t>
            </w:r>
            <w:r>
              <w:rPr>
                <w:rFonts w:ascii="Consolas"/>
                <w:spacing w:val="-69"/>
                <w:sz w:val="22"/>
              </w:rPr>
              <w:t> </w:t>
            </w:r>
            <w:r>
              <w:rPr>
                <w:sz w:val="22"/>
              </w:rPr>
              <w:t>in </w:t>
            </w:r>
            <w:r>
              <w:rPr>
                <w:rFonts w:ascii="Consolas"/>
                <w:sz w:val="22"/>
              </w:rPr>
              <w:t>G1</w:t>
            </w:r>
            <w:r>
              <w:rPr>
                <w:rFonts w:ascii="Consolas"/>
                <w:spacing w:val="-70"/>
                <w:sz w:val="22"/>
              </w:rPr>
              <w:t> </w:t>
            </w:r>
            <w:r>
              <w:rPr>
                <w:sz w:val="22"/>
              </w:rPr>
              <w:t>and the amount 10,000 in </w:t>
            </w:r>
            <w:r>
              <w:rPr>
                <w:rFonts w:ascii="Consolas"/>
                <w:sz w:val="22"/>
              </w:rPr>
              <w:t>G2</w:t>
            </w:r>
            <w:r>
              <w:rPr>
                <w:sz w:val="22"/>
              </w:rPr>
              <w:t>, one could define the range as </w:t>
            </w:r>
            <w:r>
              <w:rPr>
                <w:rFonts w:ascii="Consolas"/>
                <w:sz w:val="22"/>
              </w:rPr>
              <w:t>MatchIncome </w:t>
            </w:r>
            <w:r>
              <w:rPr>
                <w:sz w:val="22"/>
              </w:rPr>
              <w:t>and use that name as </w:t>
            </w:r>
            <w:r>
              <w:rPr>
                <w:rFonts w:ascii="Times New Roman"/>
                <w:i/>
                <w:sz w:val="22"/>
              </w:rPr>
              <w:t>criteria</w:t>
            </w:r>
            <w:r>
              <w:rPr>
                <w:sz w:val="22"/>
              </w:rPr>
              <w:t>. </w:t>
            </w:r>
            <w:r>
              <w:rPr>
                <w:i/>
                <w:sz w:val="22"/>
              </w:rPr>
              <w:t>end </w:t>
            </w:r>
            <w:r>
              <w:rPr>
                <w:i/>
                <w:sz w:val="22"/>
              </w:rPr>
              <w:t>example</w:t>
            </w:r>
            <w:r>
              <w:rPr>
                <w:sz w:val="22"/>
              </w:rPr>
              <w:t>] The value of </w:t>
            </w:r>
            <w:r>
              <w:rPr>
                <w:rFonts w:ascii="Times New Roman"/>
                <w:i/>
                <w:sz w:val="22"/>
              </w:rPr>
              <w:t>criteria </w:t>
            </w:r>
            <w:r>
              <w:rPr>
                <w:sz w:val="22"/>
              </w:rPr>
              <w:t>shall not overlap the range specified by </w:t>
            </w:r>
            <w:r>
              <w:rPr>
                <w:rFonts w:ascii="Times New Roman"/>
                <w:i/>
                <w:sz w:val="22"/>
              </w:rPr>
              <w:t>database</w:t>
            </w:r>
            <w:r>
              <w:rPr>
                <w:sz w:val="22"/>
              </w:rPr>
              <w:t>.</w:t>
            </w:r>
          </w:p>
          <w:p>
            <w:pPr>
              <w:pStyle w:val="TableParagraph"/>
              <w:spacing w:before="0"/>
              <w:ind w:left="113" w:right="115"/>
              <w:rPr>
                <w:sz w:val="22"/>
              </w:rPr>
            </w:pPr>
            <w:r>
              <w:rPr>
                <w:sz w:val="22"/>
              </w:rPr>
              <w:t>To find rows that meet multiple criteria for a single column, all of the criteria shall be specified directly below one another in separate rows of the </w:t>
            </w:r>
            <w:r>
              <w:rPr>
                <w:rFonts w:ascii="Times New Roman"/>
                <w:i/>
                <w:sz w:val="22"/>
              </w:rPr>
              <w:t>criteria </w:t>
            </w:r>
            <w:r>
              <w:rPr>
                <w:sz w:val="22"/>
              </w:rPr>
              <w:t>range.</w:t>
            </w:r>
          </w:p>
          <w:p>
            <w:pPr>
              <w:pStyle w:val="TableParagraph"/>
              <w:spacing w:before="0"/>
              <w:ind w:left="113" w:right="256"/>
              <w:rPr>
                <w:sz w:val="22"/>
              </w:rPr>
            </w:pPr>
            <w:r>
              <w:rPr>
                <w:sz w:val="22"/>
              </w:rPr>
              <w:t>To find rows that meet multiple criteria for multiple columns, all of the criteria shall be specified in the same row of the </w:t>
            </w:r>
            <w:r>
              <w:rPr>
                <w:rFonts w:ascii="Times New Roman"/>
                <w:i/>
                <w:sz w:val="22"/>
              </w:rPr>
              <w:t>criteria </w:t>
            </w:r>
            <w:r>
              <w:rPr>
                <w:sz w:val="22"/>
              </w:rPr>
              <w:t>range.</w:t>
            </w:r>
          </w:p>
          <w:p>
            <w:pPr>
              <w:pStyle w:val="TableParagraph"/>
              <w:spacing w:before="1"/>
              <w:ind w:left="113" w:right="144"/>
              <w:rPr>
                <w:sz w:val="22"/>
              </w:rPr>
            </w:pPr>
            <w:r>
              <w:rPr>
                <w:sz w:val="22"/>
              </w:rPr>
              <w:t>To find rows that meet multiple criteria for multiple columns, where any criteria can be true, each of the criteria shall be specified in a different row of the </w:t>
            </w:r>
            <w:r>
              <w:rPr>
                <w:rFonts w:ascii="Times New Roman"/>
                <w:i/>
                <w:sz w:val="22"/>
              </w:rPr>
              <w:t>criteria </w:t>
            </w:r>
            <w:r>
              <w:rPr>
                <w:sz w:val="22"/>
              </w:rPr>
              <w:t>range.</w:t>
            </w:r>
          </w:p>
          <w:p>
            <w:pPr>
              <w:pStyle w:val="TableParagraph"/>
              <w:spacing w:before="0"/>
              <w:ind w:left="113" w:right="292"/>
              <w:rPr>
                <w:sz w:val="22"/>
              </w:rPr>
            </w:pPr>
            <w:r>
              <w:rPr>
                <w:sz w:val="22"/>
              </w:rPr>
              <w:t>To find rows that meet multiple sets of criteria, where each set includes criteria for multiple columns, each set of criteria shall be specified in a separate row of the </w:t>
            </w:r>
            <w:r>
              <w:rPr>
                <w:rFonts w:ascii="Times New Roman"/>
                <w:i/>
                <w:sz w:val="22"/>
              </w:rPr>
              <w:t>criteria </w:t>
            </w:r>
            <w:r>
              <w:rPr>
                <w:sz w:val="22"/>
              </w:rPr>
              <w:t>range.</w:t>
            </w:r>
          </w:p>
          <w:p>
            <w:pPr>
              <w:pStyle w:val="TableParagraph"/>
              <w:spacing w:before="0"/>
              <w:ind w:left="113" w:right="153"/>
              <w:rPr>
                <w:sz w:val="22"/>
              </w:rPr>
            </w:pPr>
            <w:r>
              <w:rPr>
                <w:sz w:val="22"/>
              </w:rPr>
              <w:t>To find rows that meet multiple sets of criteria, where each set includes criteria for one column, multiple columns with the same column heading shall be included in the </w:t>
            </w:r>
            <w:r>
              <w:rPr>
                <w:rFonts w:ascii="Times New Roman"/>
                <w:i/>
                <w:sz w:val="22"/>
              </w:rPr>
              <w:t>criteria </w:t>
            </w:r>
            <w:r>
              <w:rPr>
                <w:sz w:val="22"/>
              </w:rPr>
              <w:t>range.</w:t>
            </w:r>
          </w:p>
        </w:tc>
      </w:tr>
    </w:tbl>
    <w:p>
      <w:pPr>
        <w:pStyle w:val="BodyText"/>
        <w:rPr>
          <w:sz w:val="20"/>
        </w:rPr>
      </w:pPr>
    </w:p>
    <w:p>
      <w:pPr>
        <w:pStyle w:val="BodyText"/>
        <w:spacing w:before="10"/>
        <w:rPr>
          <w:sz w:val="16"/>
        </w:rPr>
      </w:pPr>
    </w:p>
    <w:p>
      <w:pPr>
        <w:pStyle w:val="BodyText"/>
        <w:spacing w:line="278" w:lineRule="auto" w:before="56"/>
        <w:ind w:left="220" w:right="1098"/>
      </w:pPr>
      <w:r>
        <w:rPr>
          <w:b/>
        </w:rPr>
        <w:t>Return Type and Value</w:t>
      </w:r>
      <w:r>
        <w:rPr/>
        <w:t>: number – The average of the values of the cells that correspond to the specified criteria.</w:t>
      </w:r>
    </w:p>
    <w:p>
      <w:pPr>
        <w:pStyle w:val="BodyText"/>
        <w:spacing w:before="2"/>
        <w:rPr>
          <w:sz w:val="16"/>
        </w:rPr>
      </w:pPr>
    </w:p>
    <w:p>
      <w:pPr>
        <w:pStyle w:val="BodyText"/>
        <w:spacing w:before="1"/>
        <w:ind w:left="220"/>
      </w:pPr>
      <w:r>
        <w:rPr/>
        <w:t>[</w:t>
      </w:r>
      <w:r>
        <w:rPr>
          <w:i/>
        </w:rPr>
        <w:t>Example</w:t>
      </w:r>
      <w:r>
        <w:rPr/>
        <w:t>: Given the following data:</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991"/>
        <w:gridCol w:w="900"/>
        <w:gridCol w:w="808"/>
        <w:gridCol w:w="810"/>
        <w:gridCol w:w="899"/>
        <w:gridCol w:w="899"/>
      </w:tblGrid>
      <w:tr>
        <w:trPr>
          <w:trHeight w:val="354" w:hRule="atLeast"/>
        </w:trPr>
        <w:tc>
          <w:tcPr>
            <w:tcW w:w="468" w:type="dxa"/>
            <w:shd w:val="clear" w:color="auto" w:fill="C0C0C0"/>
          </w:tcPr>
          <w:p>
            <w:pPr>
              <w:pStyle w:val="TableParagraph"/>
              <w:spacing w:before="0"/>
              <w:ind w:left="0"/>
              <w:rPr>
                <w:rFonts w:ascii="Times New Roman"/>
                <w:sz w:val="22"/>
              </w:rPr>
            </w:pPr>
          </w:p>
        </w:tc>
        <w:tc>
          <w:tcPr>
            <w:tcW w:w="991" w:type="dxa"/>
            <w:shd w:val="clear" w:color="auto" w:fill="C0C0C0"/>
          </w:tcPr>
          <w:p>
            <w:pPr>
              <w:pStyle w:val="TableParagraph"/>
              <w:ind w:left="6"/>
              <w:jc w:val="center"/>
              <w:rPr>
                <w:b/>
                <w:sz w:val="22"/>
              </w:rPr>
            </w:pPr>
            <w:r>
              <w:rPr>
                <w:b/>
                <w:w w:val="100"/>
                <w:sz w:val="22"/>
              </w:rPr>
              <w:t>A</w:t>
            </w:r>
          </w:p>
        </w:tc>
        <w:tc>
          <w:tcPr>
            <w:tcW w:w="900" w:type="dxa"/>
            <w:shd w:val="clear" w:color="auto" w:fill="C0C0C0"/>
          </w:tcPr>
          <w:p>
            <w:pPr>
              <w:pStyle w:val="TableParagraph"/>
              <w:ind w:left="6"/>
              <w:jc w:val="center"/>
              <w:rPr>
                <w:b/>
                <w:sz w:val="22"/>
              </w:rPr>
            </w:pPr>
            <w:r>
              <w:rPr>
                <w:b/>
                <w:w w:val="100"/>
                <w:sz w:val="22"/>
              </w:rPr>
              <w:t>B</w:t>
            </w:r>
          </w:p>
        </w:tc>
        <w:tc>
          <w:tcPr>
            <w:tcW w:w="808" w:type="dxa"/>
            <w:shd w:val="clear" w:color="auto" w:fill="C0C0C0"/>
          </w:tcPr>
          <w:p>
            <w:pPr>
              <w:pStyle w:val="TableParagraph"/>
              <w:ind w:left="6"/>
              <w:jc w:val="center"/>
              <w:rPr>
                <w:b/>
                <w:sz w:val="22"/>
              </w:rPr>
            </w:pPr>
            <w:r>
              <w:rPr>
                <w:b/>
                <w:w w:val="100"/>
                <w:sz w:val="22"/>
              </w:rPr>
              <w:t>C</w:t>
            </w:r>
          </w:p>
        </w:tc>
        <w:tc>
          <w:tcPr>
            <w:tcW w:w="810" w:type="dxa"/>
            <w:shd w:val="clear" w:color="auto" w:fill="C0C0C0"/>
          </w:tcPr>
          <w:p>
            <w:pPr>
              <w:pStyle w:val="TableParagraph"/>
              <w:ind w:left="13"/>
              <w:jc w:val="center"/>
              <w:rPr>
                <w:b/>
                <w:sz w:val="22"/>
              </w:rPr>
            </w:pPr>
            <w:r>
              <w:rPr>
                <w:b/>
                <w:w w:val="100"/>
                <w:sz w:val="22"/>
              </w:rPr>
              <w:t>D</w:t>
            </w:r>
          </w:p>
        </w:tc>
        <w:tc>
          <w:tcPr>
            <w:tcW w:w="899" w:type="dxa"/>
            <w:shd w:val="clear" w:color="auto" w:fill="C0C0C0"/>
          </w:tcPr>
          <w:p>
            <w:pPr>
              <w:pStyle w:val="TableParagraph"/>
              <w:ind w:left="10"/>
              <w:jc w:val="center"/>
              <w:rPr>
                <w:b/>
                <w:sz w:val="22"/>
              </w:rPr>
            </w:pPr>
            <w:r>
              <w:rPr>
                <w:b/>
                <w:w w:val="100"/>
                <w:sz w:val="22"/>
              </w:rPr>
              <w:t>E</w:t>
            </w:r>
          </w:p>
        </w:tc>
        <w:tc>
          <w:tcPr>
            <w:tcW w:w="899" w:type="dxa"/>
            <w:shd w:val="clear" w:color="auto" w:fill="C0C0C0"/>
          </w:tcPr>
          <w:p>
            <w:pPr>
              <w:pStyle w:val="TableParagraph"/>
              <w:ind w:left="12"/>
              <w:jc w:val="center"/>
              <w:rPr>
                <w:b/>
                <w:sz w:val="22"/>
              </w:rPr>
            </w:pPr>
            <w:r>
              <w:rPr>
                <w:b/>
                <w:w w:val="100"/>
                <w:sz w:val="22"/>
              </w:rPr>
              <w:t>F</w:t>
            </w:r>
          </w:p>
        </w:tc>
      </w:tr>
      <w:tr>
        <w:trPr>
          <w:trHeight w:val="354" w:hRule="atLeast"/>
        </w:trPr>
        <w:tc>
          <w:tcPr>
            <w:tcW w:w="468" w:type="dxa"/>
          </w:tcPr>
          <w:p>
            <w:pPr>
              <w:pStyle w:val="TableParagraph"/>
              <w:rPr>
                <w:sz w:val="22"/>
              </w:rPr>
            </w:pPr>
            <w:r>
              <w:rPr>
                <w:w w:val="100"/>
                <w:sz w:val="22"/>
              </w:rPr>
              <w:t>1</w:t>
            </w:r>
          </w:p>
        </w:tc>
        <w:tc>
          <w:tcPr>
            <w:tcW w:w="991" w:type="dxa"/>
          </w:tcPr>
          <w:p>
            <w:pPr>
              <w:pStyle w:val="TableParagraph"/>
              <w:ind w:left="114"/>
              <w:rPr>
                <w:sz w:val="22"/>
              </w:rPr>
            </w:pPr>
            <w:r>
              <w:rPr>
                <w:sz w:val="22"/>
              </w:rPr>
              <w:t>Tree</w:t>
            </w:r>
          </w:p>
        </w:tc>
        <w:tc>
          <w:tcPr>
            <w:tcW w:w="900" w:type="dxa"/>
          </w:tcPr>
          <w:p>
            <w:pPr>
              <w:pStyle w:val="TableParagraph"/>
              <w:ind w:left="112"/>
              <w:rPr>
                <w:sz w:val="22"/>
              </w:rPr>
            </w:pPr>
            <w:r>
              <w:rPr>
                <w:sz w:val="22"/>
              </w:rPr>
              <w:t>Height</w:t>
            </w:r>
          </w:p>
        </w:tc>
        <w:tc>
          <w:tcPr>
            <w:tcW w:w="808" w:type="dxa"/>
          </w:tcPr>
          <w:p>
            <w:pPr>
              <w:pStyle w:val="TableParagraph"/>
              <w:ind w:left="113"/>
              <w:rPr>
                <w:sz w:val="22"/>
              </w:rPr>
            </w:pPr>
            <w:r>
              <w:rPr>
                <w:sz w:val="22"/>
              </w:rPr>
              <w:t>Age</w:t>
            </w:r>
          </w:p>
        </w:tc>
        <w:tc>
          <w:tcPr>
            <w:tcW w:w="810" w:type="dxa"/>
          </w:tcPr>
          <w:p>
            <w:pPr>
              <w:pStyle w:val="TableParagraph"/>
              <w:ind w:left="116"/>
              <w:rPr>
                <w:sz w:val="22"/>
              </w:rPr>
            </w:pPr>
            <w:r>
              <w:rPr>
                <w:sz w:val="22"/>
              </w:rPr>
              <w:t>Yield</w:t>
            </w:r>
          </w:p>
        </w:tc>
        <w:tc>
          <w:tcPr>
            <w:tcW w:w="899" w:type="dxa"/>
          </w:tcPr>
          <w:p>
            <w:pPr>
              <w:pStyle w:val="TableParagraph"/>
              <w:rPr>
                <w:sz w:val="22"/>
              </w:rPr>
            </w:pPr>
            <w:r>
              <w:rPr>
                <w:sz w:val="22"/>
              </w:rPr>
              <w:t>Profit</w:t>
            </w:r>
          </w:p>
        </w:tc>
        <w:tc>
          <w:tcPr>
            <w:tcW w:w="899" w:type="dxa"/>
          </w:tcPr>
          <w:p>
            <w:pPr>
              <w:pStyle w:val="TableParagraph"/>
              <w:ind w:left="116"/>
              <w:rPr>
                <w:sz w:val="22"/>
              </w:rPr>
            </w:pPr>
            <w:r>
              <w:rPr>
                <w:sz w:val="22"/>
              </w:rPr>
              <w:t>Height</w:t>
            </w:r>
          </w:p>
        </w:tc>
      </w:tr>
      <w:tr>
        <w:trPr>
          <w:trHeight w:val="354" w:hRule="atLeast"/>
        </w:trPr>
        <w:tc>
          <w:tcPr>
            <w:tcW w:w="468" w:type="dxa"/>
          </w:tcPr>
          <w:p>
            <w:pPr>
              <w:pStyle w:val="TableParagraph"/>
              <w:rPr>
                <w:sz w:val="22"/>
              </w:rPr>
            </w:pPr>
            <w:r>
              <w:rPr>
                <w:w w:val="100"/>
                <w:sz w:val="22"/>
              </w:rPr>
              <w:t>2</w:t>
            </w:r>
          </w:p>
        </w:tc>
        <w:tc>
          <w:tcPr>
            <w:tcW w:w="991" w:type="dxa"/>
          </w:tcPr>
          <w:p>
            <w:pPr>
              <w:pStyle w:val="TableParagraph"/>
              <w:ind w:left="114"/>
              <w:rPr>
                <w:sz w:val="22"/>
              </w:rPr>
            </w:pPr>
            <w:r>
              <w:rPr>
                <w:sz w:val="22"/>
              </w:rPr>
              <w:t>=Apple</w:t>
            </w:r>
          </w:p>
        </w:tc>
        <w:tc>
          <w:tcPr>
            <w:tcW w:w="900" w:type="dxa"/>
          </w:tcPr>
          <w:p>
            <w:pPr>
              <w:pStyle w:val="TableParagraph"/>
              <w:ind w:left="112"/>
              <w:rPr>
                <w:sz w:val="22"/>
              </w:rPr>
            </w:pPr>
            <w:r>
              <w:rPr>
                <w:sz w:val="22"/>
              </w:rPr>
              <w:t>&gt;10</w:t>
            </w:r>
          </w:p>
        </w:tc>
        <w:tc>
          <w:tcPr>
            <w:tcW w:w="808" w:type="dxa"/>
          </w:tcPr>
          <w:p>
            <w:pPr>
              <w:pStyle w:val="TableParagraph"/>
              <w:spacing w:before="0"/>
              <w:ind w:left="0"/>
              <w:rPr>
                <w:rFonts w:ascii="Times New Roman"/>
                <w:sz w:val="22"/>
              </w:rPr>
            </w:pPr>
          </w:p>
        </w:tc>
        <w:tc>
          <w:tcPr>
            <w:tcW w:w="810" w:type="dxa"/>
          </w:tcPr>
          <w:p>
            <w:pPr>
              <w:pStyle w:val="TableParagraph"/>
              <w:spacing w:before="0"/>
              <w:ind w:left="0"/>
              <w:rPr>
                <w:rFonts w:ascii="Times New Roman"/>
                <w:sz w:val="22"/>
              </w:rPr>
            </w:pPr>
          </w:p>
        </w:tc>
        <w:tc>
          <w:tcPr>
            <w:tcW w:w="899" w:type="dxa"/>
          </w:tcPr>
          <w:p>
            <w:pPr>
              <w:pStyle w:val="TableParagraph"/>
              <w:spacing w:before="0"/>
              <w:ind w:left="0"/>
              <w:rPr>
                <w:rFonts w:ascii="Times New Roman"/>
                <w:sz w:val="22"/>
              </w:rPr>
            </w:pPr>
          </w:p>
        </w:tc>
        <w:tc>
          <w:tcPr>
            <w:tcW w:w="899" w:type="dxa"/>
          </w:tcPr>
          <w:p>
            <w:pPr>
              <w:pStyle w:val="TableParagraph"/>
              <w:ind w:left="116"/>
              <w:rPr>
                <w:sz w:val="22"/>
              </w:rPr>
            </w:pPr>
            <w:r>
              <w:rPr>
                <w:sz w:val="22"/>
              </w:rPr>
              <w:t>&lt;16</w:t>
            </w:r>
          </w:p>
        </w:tc>
      </w:tr>
      <w:tr>
        <w:trPr>
          <w:trHeight w:val="352" w:hRule="atLeast"/>
        </w:trPr>
        <w:tc>
          <w:tcPr>
            <w:tcW w:w="468" w:type="dxa"/>
            <w:tcBorders>
              <w:bottom w:val="single" w:sz="6" w:space="0" w:color="000000"/>
            </w:tcBorders>
          </w:tcPr>
          <w:p>
            <w:pPr>
              <w:pStyle w:val="TableParagraph"/>
              <w:rPr>
                <w:sz w:val="22"/>
              </w:rPr>
            </w:pPr>
            <w:r>
              <w:rPr>
                <w:w w:val="100"/>
                <w:sz w:val="22"/>
              </w:rPr>
              <w:t>3</w:t>
            </w:r>
          </w:p>
        </w:tc>
        <w:tc>
          <w:tcPr>
            <w:tcW w:w="991" w:type="dxa"/>
            <w:tcBorders>
              <w:bottom w:val="single" w:sz="6" w:space="0" w:color="000000"/>
            </w:tcBorders>
          </w:tcPr>
          <w:p>
            <w:pPr>
              <w:pStyle w:val="TableParagraph"/>
              <w:ind w:left="114"/>
              <w:rPr>
                <w:sz w:val="22"/>
              </w:rPr>
            </w:pPr>
            <w:r>
              <w:rPr>
                <w:sz w:val="22"/>
              </w:rPr>
              <w:t>=Pear</w:t>
            </w:r>
          </w:p>
        </w:tc>
        <w:tc>
          <w:tcPr>
            <w:tcW w:w="900" w:type="dxa"/>
            <w:tcBorders>
              <w:bottom w:val="single" w:sz="6" w:space="0" w:color="000000"/>
            </w:tcBorders>
          </w:tcPr>
          <w:p>
            <w:pPr>
              <w:pStyle w:val="TableParagraph"/>
              <w:spacing w:before="0"/>
              <w:ind w:left="0"/>
              <w:rPr>
                <w:rFonts w:ascii="Times New Roman"/>
                <w:sz w:val="22"/>
              </w:rPr>
            </w:pPr>
          </w:p>
        </w:tc>
        <w:tc>
          <w:tcPr>
            <w:tcW w:w="808" w:type="dxa"/>
            <w:tcBorders>
              <w:bottom w:val="single" w:sz="6" w:space="0" w:color="000000"/>
            </w:tcBorders>
          </w:tcPr>
          <w:p>
            <w:pPr>
              <w:pStyle w:val="TableParagraph"/>
              <w:spacing w:before="0"/>
              <w:ind w:left="0"/>
              <w:rPr>
                <w:rFonts w:ascii="Times New Roman"/>
                <w:sz w:val="22"/>
              </w:rPr>
            </w:pPr>
          </w:p>
        </w:tc>
        <w:tc>
          <w:tcPr>
            <w:tcW w:w="810" w:type="dxa"/>
            <w:tcBorders>
              <w:bottom w:val="single" w:sz="6" w:space="0" w:color="000000"/>
            </w:tcBorders>
          </w:tcPr>
          <w:p>
            <w:pPr>
              <w:pStyle w:val="TableParagraph"/>
              <w:spacing w:before="0"/>
              <w:ind w:left="0"/>
              <w:rPr>
                <w:rFonts w:ascii="Times New Roman"/>
                <w:sz w:val="22"/>
              </w:rPr>
            </w:pPr>
          </w:p>
        </w:tc>
        <w:tc>
          <w:tcPr>
            <w:tcW w:w="899" w:type="dxa"/>
            <w:tcBorders>
              <w:bottom w:val="single" w:sz="6" w:space="0" w:color="000000"/>
            </w:tcBorders>
          </w:tcPr>
          <w:p>
            <w:pPr>
              <w:pStyle w:val="TableParagraph"/>
              <w:spacing w:before="0"/>
              <w:ind w:left="0"/>
              <w:rPr>
                <w:rFonts w:ascii="Times New Roman"/>
                <w:sz w:val="22"/>
              </w:rPr>
            </w:pPr>
          </w:p>
        </w:tc>
        <w:tc>
          <w:tcPr>
            <w:tcW w:w="899" w:type="dxa"/>
            <w:tcBorders>
              <w:bottom w:val="single" w:sz="6" w:space="0" w:color="000000"/>
            </w:tcBorders>
          </w:tcPr>
          <w:p>
            <w:pPr>
              <w:pStyle w:val="TableParagraph"/>
              <w:spacing w:before="0"/>
              <w:ind w:left="0"/>
              <w:rPr>
                <w:rFonts w:ascii="Times New Roman"/>
                <w:sz w:val="22"/>
              </w:rPr>
            </w:pPr>
          </w:p>
        </w:tc>
      </w:tr>
      <w:tr>
        <w:trPr>
          <w:trHeight w:val="352" w:hRule="atLeast"/>
        </w:trPr>
        <w:tc>
          <w:tcPr>
            <w:tcW w:w="468" w:type="dxa"/>
            <w:tcBorders>
              <w:top w:val="single" w:sz="6" w:space="0" w:color="000000"/>
            </w:tcBorders>
          </w:tcPr>
          <w:p>
            <w:pPr>
              <w:pStyle w:val="TableParagraph"/>
              <w:spacing w:before="37"/>
              <w:rPr>
                <w:sz w:val="22"/>
              </w:rPr>
            </w:pPr>
            <w:r>
              <w:rPr>
                <w:w w:val="100"/>
                <w:sz w:val="22"/>
              </w:rPr>
              <w:t>4</w:t>
            </w:r>
          </w:p>
        </w:tc>
        <w:tc>
          <w:tcPr>
            <w:tcW w:w="991" w:type="dxa"/>
            <w:tcBorders>
              <w:top w:val="single" w:sz="6" w:space="0" w:color="000000"/>
            </w:tcBorders>
          </w:tcPr>
          <w:p>
            <w:pPr>
              <w:pStyle w:val="TableParagraph"/>
              <w:spacing w:before="37"/>
              <w:ind w:left="114"/>
              <w:rPr>
                <w:sz w:val="22"/>
              </w:rPr>
            </w:pPr>
            <w:r>
              <w:rPr>
                <w:sz w:val="22"/>
              </w:rPr>
              <w:t>Tree</w:t>
            </w:r>
          </w:p>
        </w:tc>
        <w:tc>
          <w:tcPr>
            <w:tcW w:w="900" w:type="dxa"/>
            <w:tcBorders>
              <w:top w:val="single" w:sz="6" w:space="0" w:color="000000"/>
            </w:tcBorders>
          </w:tcPr>
          <w:p>
            <w:pPr>
              <w:pStyle w:val="TableParagraph"/>
              <w:spacing w:before="37"/>
              <w:ind w:left="112"/>
              <w:rPr>
                <w:sz w:val="22"/>
              </w:rPr>
            </w:pPr>
            <w:r>
              <w:rPr>
                <w:sz w:val="22"/>
              </w:rPr>
              <w:t>Height</w:t>
            </w:r>
          </w:p>
        </w:tc>
        <w:tc>
          <w:tcPr>
            <w:tcW w:w="808" w:type="dxa"/>
            <w:tcBorders>
              <w:top w:val="single" w:sz="6" w:space="0" w:color="000000"/>
            </w:tcBorders>
          </w:tcPr>
          <w:p>
            <w:pPr>
              <w:pStyle w:val="TableParagraph"/>
              <w:spacing w:before="37"/>
              <w:ind w:left="113"/>
              <w:rPr>
                <w:sz w:val="22"/>
              </w:rPr>
            </w:pPr>
            <w:r>
              <w:rPr>
                <w:sz w:val="22"/>
              </w:rPr>
              <w:t>Age</w:t>
            </w:r>
          </w:p>
        </w:tc>
        <w:tc>
          <w:tcPr>
            <w:tcW w:w="810" w:type="dxa"/>
            <w:tcBorders>
              <w:top w:val="single" w:sz="6" w:space="0" w:color="000000"/>
            </w:tcBorders>
          </w:tcPr>
          <w:p>
            <w:pPr>
              <w:pStyle w:val="TableParagraph"/>
              <w:spacing w:before="37"/>
              <w:ind w:left="116"/>
              <w:rPr>
                <w:sz w:val="22"/>
              </w:rPr>
            </w:pPr>
            <w:r>
              <w:rPr>
                <w:sz w:val="22"/>
              </w:rPr>
              <w:t>Yield</w:t>
            </w:r>
          </w:p>
        </w:tc>
        <w:tc>
          <w:tcPr>
            <w:tcW w:w="899" w:type="dxa"/>
            <w:tcBorders>
              <w:top w:val="single" w:sz="6" w:space="0" w:color="000000"/>
            </w:tcBorders>
          </w:tcPr>
          <w:p>
            <w:pPr>
              <w:pStyle w:val="TableParagraph"/>
              <w:spacing w:before="37"/>
              <w:rPr>
                <w:sz w:val="22"/>
              </w:rPr>
            </w:pPr>
            <w:r>
              <w:rPr>
                <w:sz w:val="22"/>
              </w:rPr>
              <w:t>Profit</w:t>
            </w:r>
          </w:p>
        </w:tc>
        <w:tc>
          <w:tcPr>
            <w:tcW w:w="899" w:type="dxa"/>
            <w:tcBorders>
              <w:top w:val="single" w:sz="6" w:space="0" w:color="000000"/>
            </w:tcBorders>
          </w:tcPr>
          <w:p>
            <w:pPr>
              <w:pStyle w:val="TableParagraph"/>
              <w:spacing w:before="0"/>
              <w:ind w:left="0"/>
              <w:rPr>
                <w:rFonts w:ascii="Times New Roman"/>
                <w:sz w:val="22"/>
              </w:rPr>
            </w:pPr>
          </w:p>
        </w:tc>
      </w:tr>
      <w:tr>
        <w:trPr>
          <w:trHeight w:val="354" w:hRule="atLeast"/>
        </w:trPr>
        <w:tc>
          <w:tcPr>
            <w:tcW w:w="468" w:type="dxa"/>
          </w:tcPr>
          <w:p>
            <w:pPr>
              <w:pStyle w:val="TableParagraph"/>
              <w:rPr>
                <w:sz w:val="22"/>
              </w:rPr>
            </w:pPr>
            <w:r>
              <w:rPr>
                <w:w w:val="100"/>
                <w:sz w:val="22"/>
              </w:rPr>
              <w:t>5</w:t>
            </w:r>
          </w:p>
        </w:tc>
        <w:tc>
          <w:tcPr>
            <w:tcW w:w="991" w:type="dxa"/>
          </w:tcPr>
          <w:p>
            <w:pPr>
              <w:pStyle w:val="TableParagraph"/>
              <w:ind w:left="114"/>
              <w:rPr>
                <w:sz w:val="22"/>
              </w:rPr>
            </w:pPr>
            <w:r>
              <w:rPr>
                <w:sz w:val="22"/>
              </w:rPr>
              <w:t>Apple</w:t>
            </w:r>
          </w:p>
        </w:tc>
        <w:tc>
          <w:tcPr>
            <w:tcW w:w="900" w:type="dxa"/>
          </w:tcPr>
          <w:p>
            <w:pPr>
              <w:pStyle w:val="TableParagraph"/>
              <w:ind w:left="112"/>
              <w:rPr>
                <w:sz w:val="22"/>
              </w:rPr>
            </w:pPr>
            <w:r>
              <w:rPr>
                <w:sz w:val="22"/>
              </w:rPr>
              <w:t>18</w:t>
            </w:r>
          </w:p>
        </w:tc>
        <w:tc>
          <w:tcPr>
            <w:tcW w:w="808" w:type="dxa"/>
          </w:tcPr>
          <w:p>
            <w:pPr>
              <w:pStyle w:val="TableParagraph"/>
              <w:ind w:left="113"/>
              <w:rPr>
                <w:sz w:val="22"/>
              </w:rPr>
            </w:pPr>
            <w:r>
              <w:rPr>
                <w:sz w:val="22"/>
              </w:rPr>
              <w:t>20</w:t>
            </w:r>
          </w:p>
        </w:tc>
        <w:tc>
          <w:tcPr>
            <w:tcW w:w="810" w:type="dxa"/>
          </w:tcPr>
          <w:p>
            <w:pPr>
              <w:pStyle w:val="TableParagraph"/>
              <w:ind w:left="116"/>
              <w:rPr>
                <w:sz w:val="22"/>
              </w:rPr>
            </w:pPr>
            <w:r>
              <w:rPr>
                <w:sz w:val="22"/>
              </w:rPr>
              <w:t>14</w:t>
            </w:r>
          </w:p>
        </w:tc>
        <w:tc>
          <w:tcPr>
            <w:tcW w:w="899" w:type="dxa"/>
          </w:tcPr>
          <w:p>
            <w:pPr>
              <w:pStyle w:val="TableParagraph"/>
              <w:rPr>
                <w:sz w:val="22"/>
              </w:rPr>
            </w:pPr>
            <w:r>
              <w:rPr>
                <w:sz w:val="22"/>
              </w:rPr>
              <w:t>105.00</w:t>
            </w:r>
          </w:p>
        </w:tc>
        <w:tc>
          <w:tcPr>
            <w:tcW w:w="899" w:type="dxa"/>
          </w:tcPr>
          <w:p>
            <w:pPr>
              <w:pStyle w:val="TableParagraph"/>
              <w:spacing w:before="0"/>
              <w:ind w:left="0"/>
              <w:rPr>
                <w:rFonts w:ascii="Times New Roman"/>
                <w:sz w:val="22"/>
              </w:rPr>
            </w:pPr>
          </w:p>
        </w:tc>
      </w:tr>
      <w:tr>
        <w:trPr>
          <w:trHeight w:val="352" w:hRule="atLeast"/>
        </w:trPr>
        <w:tc>
          <w:tcPr>
            <w:tcW w:w="468" w:type="dxa"/>
          </w:tcPr>
          <w:p>
            <w:pPr>
              <w:pStyle w:val="TableParagraph"/>
              <w:rPr>
                <w:sz w:val="22"/>
              </w:rPr>
            </w:pPr>
            <w:r>
              <w:rPr>
                <w:w w:val="100"/>
                <w:sz w:val="22"/>
              </w:rPr>
              <w:t>6</w:t>
            </w:r>
          </w:p>
        </w:tc>
        <w:tc>
          <w:tcPr>
            <w:tcW w:w="991" w:type="dxa"/>
          </w:tcPr>
          <w:p>
            <w:pPr>
              <w:pStyle w:val="TableParagraph"/>
              <w:ind w:left="114"/>
              <w:rPr>
                <w:sz w:val="22"/>
              </w:rPr>
            </w:pPr>
            <w:r>
              <w:rPr>
                <w:sz w:val="22"/>
              </w:rPr>
              <w:t>Pear</w:t>
            </w:r>
          </w:p>
        </w:tc>
        <w:tc>
          <w:tcPr>
            <w:tcW w:w="900" w:type="dxa"/>
          </w:tcPr>
          <w:p>
            <w:pPr>
              <w:pStyle w:val="TableParagraph"/>
              <w:ind w:left="112"/>
              <w:rPr>
                <w:sz w:val="22"/>
              </w:rPr>
            </w:pPr>
            <w:r>
              <w:rPr>
                <w:sz w:val="22"/>
              </w:rPr>
              <w:t>12</w:t>
            </w:r>
          </w:p>
        </w:tc>
        <w:tc>
          <w:tcPr>
            <w:tcW w:w="808" w:type="dxa"/>
          </w:tcPr>
          <w:p>
            <w:pPr>
              <w:pStyle w:val="TableParagraph"/>
              <w:ind w:left="113"/>
              <w:rPr>
                <w:sz w:val="22"/>
              </w:rPr>
            </w:pPr>
            <w:r>
              <w:rPr>
                <w:sz w:val="22"/>
              </w:rPr>
              <w:t>12</w:t>
            </w:r>
          </w:p>
        </w:tc>
        <w:tc>
          <w:tcPr>
            <w:tcW w:w="810" w:type="dxa"/>
          </w:tcPr>
          <w:p>
            <w:pPr>
              <w:pStyle w:val="TableParagraph"/>
              <w:ind w:left="116"/>
              <w:rPr>
                <w:sz w:val="22"/>
              </w:rPr>
            </w:pPr>
            <w:r>
              <w:rPr>
                <w:sz w:val="22"/>
              </w:rPr>
              <w:t>10</w:t>
            </w:r>
          </w:p>
        </w:tc>
        <w:tc>
          <w:tcPr>
            <w:tcW w:w="899" w:type="dxa"/>
          </w:tcPr>
          <w:p>
            <w:pPr>
              <w:pStyle w:val="TableParagraph"/>
              <w:rPr>
                <w:sz w:val="22"/>
              </w:rPr>
            </w:pPr>
            <w:r>
              <w:rPr>
                <w:sz w:val="22"/>
              </w:rPr>
              <w:t>96.00</w:t>
            </w:r>
          </w:p>
        </w:tc>
        <w:tc>
          <w:tcPr>
            <w:tcW w:w="899" w:type="dxa"/>
          </w:tcPr>
          <w:p>
            <w:pPr>
              <w:pStyle w:val="TableParagraph"/>
              <w:spacing w:before="0"/>
              <w:ind w:left="0"/>
              <w:rPr>
                <w:rFonts w:ascii="Times New Roman"/>
                <w:sz w:val="22"/>
              </w:rPr>
            </w:pPr>
          </w:p>
        </w:tc>
      </w:tr>
      <w:tr>
        <w:trPr>
          <w:trHeight w:val="354" w:hRule="atLeast"/>
        </w:trPr>
        <w:tc>
          <w:tcPr>
            <w:tcW w:w="468" w:type="dxa"/>
          </w:tcPr>
          <w:p>
            <w:pPr>
              <w:pStyle w:val="TableParagraph"/>
              <w:rPr>
                <w:sz w:val="22"/>
              </w:rPr>
            </w:pPr>
            <w:r>
              <w:rPr>
                <w:w w:val="100"/>
                <w:sz w:val="22"/>
              </w:rPr>
              <w:t>7</w:t>
            </w:r>
          </w:p>
        </w:tc>
        <w:tc>
          <w:tcPr>
            <w:tcW w:w="991" w:type="dxa"/>
          </w:tcPr>
          <w:p>
            <w:pPr>
              <w:pStyle w:val="TableParagraph"/>
              <w:ind w:left="114"/>
              <w:rPr>
                <w:sz w:val="22"/>
              </w:rPr>
            </w:pPr>
            <w:r>
              <w:rPr>
                <w:sz w:val="22"/>
              </w:rPr>
              <w:t>Cherry</w:t>
            </w:r>
          </w:p>
        </w:tc>
        <w:tc>
          <w:tcPr>
            <w:tcW w:w="900" w:type="dxa"/>
          </w:tcPr>
          <w:p>
            <w:pPr>
              <w:pStyle w:val="TableParagraph"/>
              <w:ind w:left="112"/>
              <w:rPr>
                <w:sz w:val="22"/>
              </w:rPr>
            </w:pPr>
            <w:r>
              <w:rPr>
                <w:sz w:val="22"/>
              </w:rPr>
              <w:t>13</w:t>
            </w:r>
          </w:p>
        </w:tc>
        <w:tc>
          <w:tcPr>
            <w:tcW w:w="808" w:type="dxa"/>
          </w:tcPr>
          <w:p>
            <w:pPr>
              <w:pStyle w:val="TableParagraph"/>
              <w:ind w:left="113"/>
              <w:rPr>
                <w:sz w:val="22"/>
              </w:rPr>
            </w:pPr>
            <w:r>
              <w:rPr>
                <w:sz w:val="22"/>
              </w:rPr>
              <w:t>14</w:t>
            </w:r>
          </w:p>
        </w:tc>
        <w:tc>
          <w:tcPr>
            <w:tcW w:w="810" w:type="dxa"/>
          </w:tcPr>
          <w:p>
            <w:pPr>
              <w:pStyle w:val="TableParagraph"/>
              <w:ind w:left="116"/>
              <w:rPr>
                <w:sz w:val="22"/>
              </w:rPr>
            </w:pPr>
            <w:r>
              <w:rPr>
                <w:w w:val="100"/>
                <w:sz w:val="22"/>
              </w:rPr>
              <w:t>9</w:t>
            </w:r>
          </w:p>
        </w:tc>
        <w:tc>
          <w:tcPr>
            <w:tcW w:w="899" w:type="dxa"/>
          </w:tcPr>
          <w:p>
            <w:pPr>
              <w:pStyle w:val="TableParagraph"/>
              <w:rPr>
                <w:sz w:val="22"/>
              </w:rPr>
            </w:pPr>
            <w:r>
              <w:rPr>
                <w:sz w:val="22"/>
              </w:rPr>
              <w:t>105.00</w:t>
            </w:r>
          </w:p>
        </w:tc>
        <w:tc>
          <w:tcPr>
            <w:tcW w:w="899" w:type="dxa"/>
          </w:tcPr>
          <w:p>
            <w:pPr>
              <w:pStyle w:val="TableParagraph"/>
              <w:spacing w:before="0"/>
              <w:ind w:left="0"/>
              <w:rPr>
                <w:rFonts w:ascii="Times New Roman"/>
                <w:sz w:val="22"/>
              </w:rPr>
            </w:pPr>
          </w:p>
        </w:tc>
      </w:tr>
      <w:tr>
        <w:trPr>
          <w:trHeight w:val="354" w:hRule="atLeast"/>
        </w:trPr>
        <w:tc>
          <w:tcPr>
            <w:tcW w:w="468" w:type="dxa"/>
          </w:tcPr>
          <w:p>
            <w:pPr>
              <w:pStyle w:val="TableParagraph"/>
              <w:rPr>
                <w:sz w:val="22"/>
              </w:rPr>
            </w:pPr>
            <w:r>
              <w:rPr>
                <w:w w:val="100"/>
                <w:sz w:val="22"/>
              </w:rPr>
              <w:t>8</w:t>
            </w:r>
          </w:p>
        </w:tc>
        <w:tc>
          <w:tcPr>
            <w:tcW w:w="991" w:type="dxa"/>
          </w:tcPr>
          <w:p>
            <w:pPr>
              <w:pStyle w:val="TableParagraph"/>
              <w:ind w:left="114"/>
              <w:rPr>
                <w:sz w:val="22"/>
              </w:rPr>
            </w:pPr>
            <w:r>
              <w:rPr>
                <w:sz w:val="22"/>
              </w:rPr>
              <w:t>Apple</w:t>
            </w:r>
          </w:p>
        </w:tc>
        <w:tc>
          <w:tcPr>
            <w:tcW w:w="900" w:type="dxa"/>
          </w:tcPr>
          <w:p>
            <w:pPr>
              <w:pStyle w:val="TableParagraph"/>
              <w:ind w:left="112"/>
              <w:rPr>
                <w:sz w:val="22"/>
              </w:rPr>
            </w:pPr>
            <w:r>
              <w:rPr>
                <w:sz w:val="22"/>
              </w:rPr>
              <w:t>14</w:t>
            </w:r>
          </w:p>
        </w:tc>
        <w:tc>
          <w:tcPr>
            <w:tcW w:w="808" w:type="dxa"/>
          </w:tcPr>
          <w:p>
            <w:pPr>
              <w:pStyle w:val="TableParagraph"/>
              <w:ind w:left="113"/>
              <w:rPr>
                <w:sz w:val="22"/>
              </w:rPr>
            </w:pPr>
            <w:r>
              <w:rPr>
                <w:sz w:val="22"/>
              </w:rPr>
              <w:t>15</w:t>
            </w:r>
          </w:p>
        </w:tc>
        <w:tc>
          <w:tcPr>
            <w:tcW w:w="810" w:type="dxa"/>
          </w:tcPr>
          <w:p>
            <w:pPr>
              <w:pStyle w:val="TableParagraph"/>
              <w:ind w:left="116"/>
              <w:rPr>
                <w:sz w:val="22"/>
              </w:rPr>
            </w:pPr>
            <w:r>
              <w:rPr>
                <w:sz w:val="22"/>
              </w:rPr>
              <w:t>10</w:t>
            </w:r>
          </w:p>
        </w:tc>
        <w:tc>
          <w:tcPr>
            <w:tcW w:w="899" w:type="dxa"/>
          </w:tcPr>
          <w:p>
            <w:pPr>
              <w:pStyle w:val="TableParagraph"/>
              <w:rPr>
                <w:sz w:val="22"/>
              </w:rPr>
            </w:pPr>
            <w:r>
              <w:rPr>
                <w:sz w:val="22"/>
              </w:rPr>
              <w:t>75.00</w:t>
            </w:r>
          </w:p>
        </w:tc>
        <w:tc>
          <w:tcPr>
            <w:tcW w:w="899" w:type="dxa"/>
          </w:tcPr>
          <w:p>
            <w:pPr>
              <w:pStyle w:val="TableParagraph"/>
              <w:spacing w:before="0"/>
              <w:ind w:left="0"/>
              <w:rPr>
                <w:rFonts w:ascii="Times New Roman"/>
                <w:sz w:val="22"/>
              </w:rPr>
            </w:pPr>
          </w:p>
        </w:tc>
      </w:tr>
      <w:tr>
        <w:trPr>
          <w:trHeight w:val="354" w:hRule="atLeast"/>
        </w:trPr>
        <w:tc>
          <w:tcPr>
            <w:tcW w:w="468" w:type="dxa"/>
          </w:tcPr>
          <w:p>
            <w:pPr>
              <w:pStyle w:val="TableParagraph"/>
              <w:rPr>
                <w:sz w:val="22"/>
              </w:rPr>
            </w:pPr>
            <w:r>
              <w:rPr>
                <w:w w:val="100"/>
                <w:sz w:val="22"/>
              </w:rPr>
              <w:t>9</w:t>
            </w:r>
          </w:p>
        </w:tc>
        <w:tc>
          <w:tcPr>
            <w:tcW w:w="991" w:type="dxa"/>
          </w:tcPr>
          <w:p>
            <w:pPr>
              <w:pStyle w:val="TableParagraph"/>
              <w:ind w:left="114"/>
              <w:rPr>
                <w:sz w:val="22"/>
              </w:rPr>
            </w:pPr>
            <w:r>
              <w:rPr>
                <w:sz w:val="22"/>
              </w:rPr>
              <w:t>Pear</w:t>
            </w:r>
          </w:p>
        </w:tc>
        <w:tc>
          <w:tcPr>
            <w:tcW w:w="900" w:type="dxa"/>
          </w:tcPr>
          <w:p>
            <w:pPr>
              <w:pStyle w:val="TableParagraph"/>
              <w:ind w:left="112"/>
              <w:rPr>
                <w:sz w:val="22"/>
              </w:rPr>
            </w:pPr>
            <w:r>
              <w:rPr>
                <w:w w:val="100"/>
                <w:sz w:val="22"/>
              </w:rPr>
              <w:t>9</w:t>
            </w:r>
          </w:p>
        </w:tc>
        <w:tc>
          <w:tcPr>
            <w:tcW w:w="808" w:type="dxa"/>
          </w:tcPr>
          <w:p>
            <w:pPr>
              <w:pStyle w:val="TableParagraph"/>
              <w:ind w:left="113"/>
              <w:rPr>
                <w:sz w:val="22"/>
              </w:rPr>
            </w:pPr>
            <w:r>
              <w:rPr>
                <w:w w:val="100"/>
                <w:sz w:val="22"/>
              </w:rPr>
              <w:t>8</w:t>
            </w:r>
          </w:p>
        </w:tc>
        <w:tc>
          <w:tcPr>
            <w:tcW w:w="810" w:type="dxa"/>
          </w:tcPr>
          <w:p>
            <w:pPr>
              <w:pStyle w:val="TableParagraph"/>
              <w:ind w:left="116"/>
              <w:rPr>
                <w:sz w:val="22"/>
              </w:rPr>
            </w:pPr>
            <w:r>
              <w:rPr>
                <w:w w:val="100"/>
                <w:sz w:val="22"/>
              </w:rPr>
              <w:t>8</w:t>
            </w:r>
          </w:p>
        </w:tc>
        <w:tc>
          <w:tcPr>
            <w:tcW w:w="899" w:type="dxa"/>
          </w:tcPr>
          <w:p>
            <w:pPr>
              <w:pStyle w:val="TableParagraph"/>
              <w:rPr>
                <w:sz w:val="22"/>
              </w:rPr>
            </w:pPr>
            <w:r>
              <w:rPr>
                <w:sz w:val="22"/>
              </w:rPr>
              <w:t>76.80</w:t>
            </w:r>
          </w:p>
        </w:tc>
        <w:tc>
          <w:tcPr>
            <w:tcW w:w="899" w:type="dxa"/>
          </w:tcPr>
          <w:p>
            <w:pPr>
              <w:pStyle w:val="TableParagraph"/>
              <w:spacing w:before="0"/>
              <w:ind w:left="0"/>
              <w:rPr>
                <w:rFonts w:ascii="Times New Roman"/>
                <w:sz w:val="22"/>
              </w:rPr>
            </w:pPr>
          </w:p>
        </w:tc>
      </w:tr>
    </w:tbl>
    <w:p>
      <w:pPr>
        <w:spacing w:after="0"/>
        <w:rPr>
          <w:rFonts w:ascii="Times New Roman"/>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991"/>
        <w:gridCol w:w="900"/>
        <w:gridCol w:w="808"/>
        <w:gridCol w:w="810"/>
        <w:gridCol w:w="899"/>
        <w:gridCol w:w="899"/>
      </w:tblGrid>
      <w:tr>
        <w:trPr>
          <w:trHeight w:val="355" w:hRule="atLeast"/>
        </w:trPr>
        <w:tc>
          <w:tcPr>
            <w:tcW w:w="468" w:type="dxa"/>
            <w:shd w:val="clear" w:color="auto" w:fill="C0C0C0"/>
          </w:tcPr>
          <w:p>
            <w:pPr>
              <w:pStyle w:val="TableParagraph"/>
              <w:spacing w:before="0"/>
              <w:ind w:left="0"/>
              <w:rPr>
                <w:rFonts w:ascii="Times New Roman"/>
                <w:sz w:val="22"/>
              </w:rPr>
            </w:pPr>
          </w:p>
        </w:tc>
        <w:tc>
          <w:tcPr>
            <w:tcW w:w="991" w:type="dxa"/>
            <w:shd w:val="clear" w:color="auto" w:fill="C0C0C0"/>
          </w:tcPr>
          <w:p>
            <w:pPr>
              <w:pStyle w:val="TableParagraph"/>
              <w:ind w:left="6"/>
              <w:jc w:val="center"/>
              <w:rPr>
                <w:b/>
                <w:sz w:val="22"/>
              </w:rPr>
            </w:pPr>
            <w:r>
              <w:rPr>
                <w:b/>
                <w:w w:val="100"/>
                <w:sz w:val="22"/>
              </w:rPr>
              <w:t>A</w:t>
            </w:r>
          </w:p>
        </w:tc>
        <w:tc>
          <w:tcPr>
            <w:tcW w:w="900" w:type="dxa"/>
            <w:shd w:val="clear" w:color="auto" w:fill="C0C0C0"/>
          </w:tcPr>
          <w:p>
            <w:pPr>
              <w:pStyle w:val="TableParagraph"/>
              <w:ind w:left="6"/>
              <w:jc w:val="center"/>
              <w:rPr>
                <w:b/>
                <w:sz w:val="22"/>
              </w:rPr>
            </w:pPr>
            <w:r>
              <w:rPr>
                <w:b/>
                <w:w w:val="100"/>
                <w:sz w:val="22"/>
              </w:rPr>
              <w:t>B</w:t>
            </w:r>
          </w:p>
        </w:tc>
        <w:tc>
          <w:tcPr>
            <w:tcW w:w="808" w:type="dxa"/>
            <w:shd w:val="clear" w:color="auto" w:fill="C0C0C0"/>
          </w:tcPr>
          <w:p>
            <w:pPr>
              <w:pStyle w:val="TableParagraph"/>
              <w:ind w:left="6"/>
              <w:jc w:val="center"/>
              <w:rPr>
                <w:b/>
                <w:sz w:val="22"/>
              </w:rPr>
            </w:pPr>
            <w:r>
              <w:rPr>
                <w:b/>
                <w:w w:val="100"/>
                <w:sz w:val="22"/>
              </w:rPr>
              <w:t>C</w:t>
            </w:r>
          </w:p>
        </w:tc>
        <w:tc>
          <w:tcPr>
            <w:tcW w:w="810" w:type="dxa"/>
            <w:shd w:val="clear" w:color="auto" w:fill="C0C0C0"/>
          </w:tcPr>
          <w:p>
            <w:pPr>
              <w:pStyle w:val="TableParagraph"/>
              <w:ind w:left="13"/>
              <w:jc w:val="center"/>
              <w:rPr>
                <w:b/>
                <w:sz w:val="22"/>
              </w:rPr>
            </w:pPr>
            <w:r>
              <w:rPr>
                <w:b/>
                <w:w w:val="100"/>
                <w:sz w:val="22"/>
              </w:rPr>
              <w:t>D</w:t>
            </w:r>
          </w:p>
        </w:tc>
        <w:tc>
          <w:tcPr>
            <w:tcW w:w="899" w:type="dxa"/>
            <w:shd w:val="clear" w:color="auto" w:fill="C0C0C0"/>
          </w:tcPr>
          <w:p>
            <w:pPr>
              <w:pStyle w:val="TableParagraph"/>
              <w:ind w:left="10"/>
              <w:jc w:val="center"/>
              <w:rPr>
                <w:b/>
                <w:sz w:val="22"/>
              </w:rPr>
            </w:pPr>
            <w:r>
              <w:rPr>
                <w:b/>
                <w:w w:val="100"/>
                <w:sz w:val="22"/>
              </w:rPr>
              <w:t>E</w:t>
            </w:r>
          </w:p>
        </w:tc>
        <w:tc>
          <w:tcPr>
            <w:tcW w:w="899" w:type="dxa"/>
            <w:shd w:val="clear" w:color="auto" w:fill="C0C0C0"/>
          </w:tcPr>
          <w:p>
            <w:pPr>
              <w:pStyle w:val="TableParagraph"/>
              <w:ind w:left="12"/>
              <w:jc w:val="center"/>
              <w:rPr>
                <w:b/>
                <w:sz w:val="22"/>
              </w:rPr>
            </w:pPr>
            <w:r>
              <w:rPr>
                <w:b/>
                <w:w w:val="100"/>
                <w:sz w:val="22"/>
              </w:rPr>
              <w:t>F</w:t>
            </w:r>
          </w:p>
        </w:tc>
      </w:tr>
      <w:tr>
        <w:trPr>
          <w:trHeight w:val="354" w:hRule="atLeast"/>
        </w:trPr>
        <w:tc>
          <w:tcPr>
            <w:tcW w:w="468" w:type="dxa"/>
          </w:tcPr>
          <w:p>
            <w:pPr>
              <w:pStyle w:val="TableParagraph"/>
              <w:rPr>
                <w:sz w:val="22"/>
              </w:rPr>
            </w:pPr>
            <w:r>
              <w:rPr>
                <w:sz w:val="22"/>
              </w:rPr>
              <w:t>10</w:t>
            </w:r>
          </w:p>
        </w:tc>
        <w:tc>
          <w:tcPr>
            <w:tcW w:w="991" w:type="dxa"/>
          </w:tcPr>
          <w:p>
            <w:pPr>
              <w:pStyle w:val="TableParagraph"/>
              <w:ind w:left="114"/>
              <w:rPr>
                <w:sz w:val="22"/>
              </w:rPr>
            </w:pPr>
            <w:r>
              <w:rPr>
                <w:sz w:val="22"/>
              </w:rPr>
              <w:t>Apple</w:t>
            </w:r>
          </w:p>
        </w:tc>
        <w:tc>
          <w:tcPr>
            <w:tcW w:w="900" w:type="dxa"/>
          </w:tcPr>
          <w:p>
            <w:pPr>
              <w:pStyle w:val="TableParagraph"/>
              <w:ind w:left="112"/>
              <w:rPr>
                <w:sz w:val="22"/>
              </w:rPr>
            </w:pPr>
            <w:r>
              <w:rPr>
                <w:w w:val="100"/>
                <w:sz w:val="22"/>
              </w:rPr>
              <w:t>8</w:t>
            </w:r>
          </w:p>
        </w:tc>
        <w:tc>
          <w:tcPr>
            <w:tcW w:w="808" w:type="dxa"/>
          </w:tcPr>
          <w:p>
            <w:pPr>
              <w:pStyle w:val="TableParagraph"/>
              <w:ind w:left="113"/>
              <w:rPr>
                <w:sz w:val="22"/>
              </w:rPr>
            </w:pPr>
            <w:r>
              <w:rPr>
                <w:w w:val="100"/>
                <w:sz w:val="22"/>
              </w:rPr>
              <w:t>9</w:t>
            </w:r>
          </w:p>
        </w:tc>
        <w:tc>
          <w:tcPr>
            <w:tcW w:w="810" w:type="dxa"/>
          </w:tcPr>
          <w:p>
            <w:pPr>
              <w:pStyle w:val="TableParagraph"/>
              <w:ind w:left="116"/>
              <w:rPr>
                <w:sz w:val="22"/>
              </w:rPr>
            </w:pPr>
            <w:r>
              <w:rPr>
                <w:w w:val="100"/>
                <w:sz w:val="22"/>
              </w:rPr>
              <w:t>6</w:t>
            </w:r>
          </w:p>
        </w:tc>
        <w:tc>
          <w:tcPr>
            <w:tcW w:w="899" w:type="dxa"/>
          </w:tcPr>
          <w:p>
            <w:pPr>
              <w:pStyle w:val="TableParagraph"/>
              <w:rPr>
                <w:sz w:val="22"/>
              </w:rPr>
            </w:pPr>
            <w:r>
              <w:rPr>
                <w:sz w:val="22"/>
              </w:rPr>
              <w:t>45.00</w:t>
            </w:r>
          </w:p>
        </w:tc>
        <w:tc>
          <w:tcPr>
            <w:tcW w:w="899" w:type="dxa"/>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6"/>
        <w:ind w:left="220" w:right="506"/>
        <w:rPr>
          <w:rFonts w:ascii="Consolas"/>
        </w:rPr>
      </w:pPr>
      <w:r>
        <w:rPr/>
        <w:t>the average yield of apple trees over 10 feet in height is computed by </w:t>
      </w:r>
      <w:r>
        <w:rPr>
          <w:rFonts w:ascii="Consolas"/>
        </w:rPr>
        <w:t>DAVERAGE(A4:E10,"Yield",A1:B2)</w:t>
      </w:r>
      <w:r>
        <w:rPr/>
        <w:t>, which results in </w:t>
      </w:r>
      <w:r>
        <w:rPr>
          <w:rFonts w:ascii="Consolas"/>
        </w:rPr>
        <w:t>12</w:t>
      </w:r>
    </w:p>
    <w:p>
      <w:pPr>
        <w:pStyle w:val="BodyText"/>
        <w:spacing w:before="195"/>
        <w:ind w:left="220"/>
        <w:rPr>
          <w:rFonts w:ascii="Consolas"/>
        </w:rPr>
      </w:pPr>
      <w:r>
        <w:rPr/>
        <w:t>The average age of all trees is computed by </w:t>
      </w:r>
      <w:r>
        <w:rPr>
          <w:rFonts w:ascii="Consolas"/>
        </w:rPr>
        <w:t>DAVERAGE(A4:E10,3,A4:E10)</w:t>
      </w:r>
      <w:r>
        <w:rPr/>
        <w:t>, which results in </w:t>
      </w:r>
      <w:r>
        <w:rPr>
          <w:rFonts w:ascii="Consolas"/>
        </w:rPr>
        <w:t>13</w:t>
      </w:r>
    </w:p>
    <w:p>
      <w:pPr>
        <w:pStyle w:val="BodyText"/>
        <w:spacing w:before="11"/>
        <w:rPr>
          <w:rFonts w:ascii="Consolas"/>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78 DAY" w:id="1626"/>
      <w:bookmarkEnd w:id="1626"/>
      <w:r>
        <w:rPr/>
      </w:r>
      <w:bookmarkStart w:name="_bookmark541" w:id="1627"/>
      <w:bookmarkEnd w:id="1627"/>
      <w:r>
        <w:rPr/>
      </w:r>
      <w:bookmarkStart w:name="_bookmark541" w:id="1628"/>
      <w:bookmarkEnd w:id="1628"/>
      <w:r>
        <w:rPr>
          <w:color w:val="4F81BC"/>
        </w:rPr>
        <w:t>D</w:t>
      </w:r>
      <w:r>
        <w:rPr>
          <w:color w:val="4F81BC"/>
        </w:rPr>
        <w:t>AY</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DAY ( </w:t>
      </w:r>
      <w:r>
        <w:rPr>
          <w:i/>
          <w:sz w:val="22"/>
        </w:rPr>
        <w:t>date-value </w:t>
      </w:r>
      <w:r>
        <w:rPr>
          <w:rFonts w:ascii="Lucida Console"/>
          <w:sz w:val="20"/>
        </w:rPr>
        <w:t>)</w:t>
      </w:r>
    </w:p>
    <w:p>
      <w:pPr>
        <w:pStyle w:val="BodyText"/>
        <w:spacing w:line="278" w:lineRule="auto" w:before="106"/>
        <w:ind w:left="220" w:right="613"/>
      </w:pPr>
      <w:r>
        <w:rPr>
          <w:b/>
        </w:rPr>
        <w:t>Description: </w:t>
      </w:r>
      <w:r>
        <w:rPr/>
        <w:t>Computes the numeric day of the month in the Gregorian calendar [ISO 8601 §3.2.1] for the date and/or time having the given </w:t>
      </w:r>
      <w:r>
        <w:rPr>
          <w:rFonts w:ascii="Times New Roman" w:hAnsi="Times New Roman"/>
          <w:i/>
        </w:rPr>
        <w:t>date-value</w:t>
      </w:r>
      <w:r>
        <w:rPr/>
        <w:t>, taking into account the current date system.</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428" w:hRule="atLeast"/>
        </w:trPr>
        <w:tc>
          <w:tcPr>
            <w:tcW w:w="1466" w:type="dxa"/>
          </w:tcPr>
          <w:p>
            <w:pPr>
              <w:pStyle w:val="TableParagraph"/>
              <w:spacing w:before="37"/>
              <w:ind w:left="0" w:right="408"/>
              <w:jc w:val="right"/>
              <w:rPr>
                <w:rFonts w:ascii="Times New Roman"/>
                <w:i/>
                <w:sz w:val="22"/>
              </w:rPr>
            </w:pPr>
            <w:r>
              <w:rPr>
                <w:rFonts w:ascii="Times New Roman"/>
                <w:i/>
                <w:sz w:val="22"/>
              </w:rPr>
              <w:t>date-value</w:t>
            </w:r>
          </w:p>
        </w:tc>
        <w:tc>
          <w:tcPr>
            <w:tcW w:w="1800" w:type="dxa"/>
          </w:tcPr>
          <w:p>
            <w:pPr>
              <w:pStyle w:val="TableParagraph"/>
              <w:ind w:left="112"/>
              <w:rPr>
                <w:sz w:val="22"/>
              </w:rPr>
            </w:pPr>
            <w:r>
              <w:rPr>
                <w:sz w:val="22"/>
              </w:rPr>
              <w:t>number, text</w:t>
            </w:r>
          </w:p>
        </w:tc>
        <w:tc>
          <w:tcPr>
            <w:tcW w:w="5400" w:type="dxa"/>
          </w:tcPr>
          <w:p>
            <w:pPr>
              <w:pStyle w:val="TableParagraph"/>
              <w:ind w:left="113" w:right="151"/>
              <w:rPr>
                <w:sz w:val="22"/>
              </w:rPr>
            </w:pPr>
            <w:r>
              <w:rPr>
                <w:sz w:val="22"/>
              </w:rPr>
              <w:t>The date and/or time whose day is to be computed. That date and/or time shall be expressed either as a serial date-time, in which case, its fractional part is ignored, or as a </w:t>
            </w:r>
            <w:r>
              <w:rPr>
                <w:rFonts w:ascii="Times New Roman"/>
                <w:i/>
                <w:sz w:val="22"/>
              </w:rPr>
              <w:t>string-constant </w:t>
            </w:r>
            <w:r>
              <w:rPr>
                <w:sz w:val="22"/>
              </w:rPr>
              <w:t>having any date and/or time format, in which case, any time information shall be ignored.</w:t>
            </w:r>
          </w:p>
        </w:tc>
      </w:tr>
    </w:tbl>
    <w:p>
      <w:pPr>
        <w:pStyle w:val="BodyText"/>
        <w:rPr>
          <w:b/>
        </w:rPr>
      </w:pPr>
    </w:p>
    <w:p>
      <w:pPr>
        <w:pStyle w:val="BodyText"/>
        <w:spacing w:before="5"/>
        <w:rPr>
          <w:b/>
          <w:sz w:val="19"/>
        </w:rPr>
      </w:pPr>
    </w:p>
    <w:p>
      <w:pPr>
        <w:pStyle w:val="BodyText"/>
        <w:spacing w:line="278" w:lineRule="auto"/>
        <w:ind w:left="220" w:right="371"/>
      </w:pPr>
      <w:r>
        <w:rPr>
          <w:b/>
        </w:rPr>
        <w:t>Return Type and Value: </w:t>
      </w:r>
      <w:r>
        <w:rPr/>
        <w:t>number – The day of the month in the Gregorian calendar [ISO 8601 §3.2.1] for the date and/or time having the given </w:t>
      </w:r>
      <w:r>
        <w:rPr>
          <w:rFonts w:ascii="Times New Roman" w:hAnsi="Times New Roman"/>
          <w:i/>
        </w:rPr>
        <w:t>date-value</w:t>
      </w:r>
      <w:r>
        <w:rPr/>
        <w:t>. The returned value shall be in the range 1–31.</w:t>
      </w:r>
    </w:p>
    <w:p>
      <w:pPr>
        <w:pStyle w:val="BodyText"/>
        <w:spacing w:line="453" w:lineRule="auto" w:before="198"/>
        <w:ind w:left="220" w:right="2289"/>
      </w:pPr>
      <w:r>
        <w:rPr/>
        <w:t>However, if </w:t>
      </w:r>
      <w:r>
        <w:rPr>
          <w:rFonts w:ascii="Times New Roman"/>
          <w:i/>
        </w:rPr>
        <w:t>date-value </w:t>
      </w:r>
      <w:r>
        <w:rPr/>
        <w:t>is out of range for the current date system, </w:t>
      </w:r>
      <w:r>
        <w:rPr>
          <w:rFonts w:ascii="Consolas"/>
        </w:rPr>
        <w:t>#NUM!</w:t>
      </w:r>
      <w:r>
        <w:rPr>
          <w:rFonts w:ascii="Consolas"/>
          <w:spacing w:val="-102"/>
        </w:rPr>
        <w:t> </w:t>
      </w:r>
      <w:r>
        <w:rPr/>
        <w:t>is returned. [</w:t>
      </w:r>
      <w:r>
        <w:rPr>
          <w:i/>
        </w:rPr>
        <w:t>Example</w:t>
      </w:r>
      <w:r>
        <w:rPr/>
        <w:t>:</w:t>
      </w:r>
    </w:p>
    <w:p>
      <w:pPr>
        <w:pStyle w:val="BodyText"/>
        <w:spacing w:line="276" w:lineRule="auto" w:before="108"/>
        <w:ind w:left="220" w:right="6513"/>
        <w:rPr>
          <w:rFonts w:ascii="Consolas"/>
        </w:rPr>
      </w:pPr>
      <w:r>
        <w:rPr>
          <w:rFonts w:ascii="Consolas"/>
        </w:rPr>
        <w:t>DAY(DATE(2006,1,2)) </w:t>
      </w:r>
      <w:r>
        <w:rPr/>
        <w:t>results in </w:t>
      </w:r>
      <w:r>
        <w:rPr>
          <w:rFonts w:ascii="Consolas"/>
        </w:rPr>
        <w:t>2 DAY(DATE(2006,0,2)) </w:t>
      </w:r>
      <w:r>
        <w:rPr/>
        <w:t>results in 2 </w:t>
      </w:r>
      <w:r>
        <w:rPr>
          <w:rFonts w:ascii="Consolas"/>
        </w:rPr>
        <w:t>DAY(DATE(2013,9,0)) </w:t>
      </w:r>
      <w:r>
        <w:rPr/>
        <w:t>results in 31 </w:t>
      </w:r>
      <w:r>
        <w:rPr>
          <w:rFonts w:ascii="Consolas"/>
        </w:rPr>
        <w:t>DAY("2006/1/2 10:45 AM")</w:t>
      </w:r>
      <w:r>
        <w:rPr>
          <w:rFonts w:ascii="Consolas"/>
          <w:spacing w:val="-82"/>
        </w:rPr>
        <w:t> </w:t>
      </w:r>
      <w:r>
        <w:rPr/>
        <w:t>results in </w:t>
      </w:r>
      <w:r>
        <w:rPr>
          <w:rFonts w:ascii="Consolas"/>
        </w:rPr>
        <w:t>2</w:t>
      </w:r>
    </w:p>
    <w:p>
      <w:pPr>
        <w:pStyle w:val="BodyText"/>
        <w:spacing w:before="1"/>
        <w:ind w:left="220"/>
      </w:pPr>
      <w:r>
        <w:rPr>
          <w:rFonts w:ascii="Consolas"/>
        </w:rPr>
        <w:t>DAY(30000)</w:t>
      </w:r>
      <w:r>
        <w:rPr>
          <w:rFonts w:ascii="Consolas"/>
          <w:spacing w:val="-69"/>
        </w:rPr>
        <w:t> </w:t>
      </w:r>
      <w:r>
        <w:rPr/>
        <w:t>results in </w:t>
      </w:r>
      <w:r>
        <w:rPr>
          <w:rFonts w:ascii="Consolas"/>
        </w:rPr>
        <w:t>18</w:t>
      </w:r>
      <w:r>
        <w:rPr>
          <w:rFonts w:ascii="Consolas"/>
          <w:spacing w:val="-72"/>
        </w:rPr>
        <w:t> </w:t>
      </w:r>
      <w:r>
        <w:rPr/>
        <w:t>for the 1900 date system, or </w:t>
      </w:r>
      <w:r>
        <w:rPr>
          <w:rFonts w:ascii="Consolas"/>
        </w:rPr>
        <w:t>19</w:t>
      </w:r>
      <w:r>
        <w:rPr>
          <w:rFonts w:ascii="Consolas"/>
          <w:spacing w:val="-70"/>
        </w:rPr>
        <w:t> </w:t>
      </w:r>
      <w:r>
        <w:rPr/>
        <w:t>for the 1904 date system</w:t>
      </w:r>
    </w:p>
    <w:p>
      <w:pPr>
        <w:pStyle w:val="BodyText"/>
        <w:spacing w:before="11"/>
        <w:rPr>
          <w:sz w:val="28"/>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79 DAYS360" w:id="1629"/>
      <w:bookmarkEnd w:id="1629"/>
      <w:r>
        <w:rPr/>
      </w:r>
      <w:bookmarkStart w:name="_bookmark542" w:id="1630"/>
      <w:bookmarkEnd w:id="1630"/>
      <w:r>
        <w:rPr/>
      </w:r>
      <w:bookmarkStart w:name="_bookmark542" w:id="1631"/>
      <w:bookmarkEnd w:id="1631"/>
      <w:r>
        <w:rPr>
          <w:color w:val="4F81BC"/>
        </w:rPr>
        <w:t>D</w:t>
      </w:r>
      <w:r>
        <w:rPr>
          <w:color w:val="4F81BC"/>
        </w:rPr>
        <w:t>AYS360</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DAYS360 ( </w:t>
      </w:r>
      <w:r>
        <w:rPr>
          <w:i/>
          <w:sz w:val="22"/>
        </w:rPr>
        <w:t>start-date </w:t>
      </w:r>
      <w:r>
        <w:rPr>
          <w:rFonts w:ascii="Lucida Console"/>
          <w:sz w:val="20"/>
        </w:rPr>
        <w:t>, </w:t>
      </w:r>
      <w:r>
        <w:rPr>
          <w:i/>
          <w:sz w:val="22"/>
        </w:rPr>
        <w:t>end-date </w:t>
      </w:r>
      <w:r>
        <w:rPr>
          <w:sz w:val="22"/>
        </w:rPr>
        <w:t>[ </w:t>
      </w:r>
      <w:r>
        <w:rPr>
          <w:rFonts w:ascii="Lucida Console"/>
          <w:sz w:val="20"/>
        </w:rPr>
        <w:t>,</w:t>
      </w:r>
      <w:r>
        <w:rPr>
          <w:rFonts w:ascii="Lucida Console"/>
          <w:spacing w:val="-90"/>
          <w:sz w:val="20"/>
        </w:rPr>
        <w:t> </w:t>
      </w:r>
      <w:r>
        <w:rPr>
          <w:i/>
          <w:sz w:val="22"/>
        </w:rPr>
        <w:t>method-flag </w:t>
      </w:r>
      <w:r>
        <w:rPr>
          <w:sz w:val="22"/>
        </w:rPr>
        <w:t>] </w:t>
      </w:r>
      <w:r>
        <w:rPr>
          <w:rFonts w:ascii="Lucida Console"/>
          <w:sz w:val="20"/>
        </w:rPr>
        <w:t>)</w:t>
      </w:r>
    </w:p>
    <w:p>
      <w:pPr>
        <w:pStyle w:val="BodyText"/>
        <w:spacing w:line="278" w:lineRule="auto" w:before="106"/>
        <w:ind w:left="220" w:right="562"/>
      </w:pPr>
      <w:r>
        <w:rPr>
          <w:b/>
        </w:rPr>
        <w:t>Description: </w:t>
      </w:r>
      <w:r>
        <w:rPr/>
        <w:t>Computes the signed number of days between two dates based on a 360-day year (twelve 30-day months).</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017"/>
        <w:gridCol w:w="3544"/>
        <w:gridCol w:w="109"/>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8" w:type="dxa"/>
            <w:gridSpan w:val="3"/>
            <w:shd w:val="clear" w:color="auto" w:fill="C0C0C0"/>
          </w:tcPr>
          <w:p>
            <w:pPr>
              <w:pStyle w:val="TableParagraph"/>
              <w:ind w:left="2155" w:right="2146"/>
              <w:jc w:val="center"/>
              <w:rPr>
                <w:b/>
                <w:sz w:val="22"/>
              </w:rPr>
            </w:pPr>
            <w:r>
              <w:rPr>
                <w:b/>
                <w:sz w:val="22"/>
              </w:rPr>
              <w:t>Description</w:t>
            </w:r>
          </w:p>
        </w:tc>
        <w:tc>
          <w:tcPr>
            <w:tcW w:w="109" w:type="dxa"/>
            <w:tcBorders>
              <w:top w:val="nil"/>
              <w:bottom w:val="nil"/>
              <w:right w:val="nil"/>
            </w:tcBorders>
          </w:tcPr>
          <w:p>
            <w:pPr>
              <w:pStyle w:val="TableParagraph"/>
              <w:spacing w:before="0"/>
              <w:ind w:left="0"/>
              <w:rPr>
                <w:rFonts w:ascii="Times New Roman"/>
                <w:sz w:val="22"/>
              </w:rPr>
            </w:pPr>
          </w:p>
        </w:tc>
      </w:tr>
      <w:tr>
        <w:trPr>
          <w:trHeight w:val="354" w:hRule="atLeast"/>
        </w:trPr>
        <w:tc>
          <w:tcPr>
            <w:tcW w:w="1466" w:type="dxa"/>
          </w:tcPr>
          <w:p>
            <w:pPr>
              <w:pStyle w:val="TableParagraph"/>
              <w:spacing w:before="37"/>
              <w:ind w:left="0" w:right="482"/>
              <w:jc w:val="right"/>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398" w:type="dxa"/>
            <w:gridSpan w:val="3"/>
            <w:vMerge w:val="restart"/>
          </w:tcPr>
          <w:p>
            <w:pPr>
              <w:pStyle w:val="TableParagraph"/>
              <w:ind w:left="113" w:right="443"/>
              <w:rPr>
                <w:sz w:val="22"/>
              </w:rPr>
            </w:pPr>
            <w:r>
              <w:rPr>
                <w:rFonts w:ascii="Times New Roman"/>
                <w:i/>
                <w:sz w:val="22"/>
              </w:rPr>
              <w:t>start-date </w:t>
            </w:r>
            <w:r>
              <w:rPr>
                <w:sz w:val="22"/>
              </w:rPr>
              <w:t>and </w:t>
            </w:r>
            <w:r>
              <w:rPr>
                <w:rFonts w:ascii="Times New Roman"/>
                <w:i/>
                <w:sz w:val="22"/>
              </w:rPr>
              <w:t>end-date </w:t>
            </w:r>
            <w:r>
              <w:rPr>
                <w:sz w:val="22"/>
              </w:rPr>
              <w:t>are the dates for which the difference is to be computed. </w:t>
            </w:r>
            <w:r>
              <w:rPr>
                <w:rFonts w:ascii="Times New Roman"/>
                <w:i/>
                <w:sz w:val="22"/>
              </w:rPr>
              <w:t>start-date </w:t>
            </w:r>
            <w:r>
              <w:rPr>
                <w:sz w:val="22"/>
              </w:rPr>
              <w:t>can be earlier than, the same as, or later than </w:t>
            </w:r>
            <w:r>
              <w:rPr>
                <w:rFonts w:ascii="Times New Roman"/>
                <w:i/>
                <w:sz w:val="22"/>
              </w:rPr>
              <w:t>end-date</w:t>
            </w:r>
            <w:r>
              <w:rPr>
                <w:sz w:val="22"/>
              </w:rPr>
              <w:t>.</w:t>
            </w:r>
          </w:p>
        </w:tc>
        <w:tc>
          <w:tcPr>
            <w:tcW w:w="109" w:type="dxa"/>
            <w:vMerge w:val="restart"/>
            <w:tcBorders>
              <w:top w:val="nil"/>
              <w:bottom w:val="nil"/>
              <w:right w:val="nil"/>
            </w:tcBorders>
          </w:tcPr>
          <w:p>
            <w:pPr>
              <w:pStyle w:val="TableParagraph"/>
              <w:spacing w:before="0"/>
              <w:ind w:left="0"/>
              <w:rPr>
                <w:rFonts w:ascii="Times New Roman"/>
                <w:sz w:val="22"/>
              </w:rPr>
            </w:pPr>
          </w:p>
        </w:tc>
      </w:tr>
      <w:tr>
        <w:trPr>
          <w:trHeight w:val="528" w:hRule="atLeast"/>
        </w:trPr>
        <w:tc>
          <w:tcPr>
            <w:tcW w:w="1466" w:type="dxa"/>
          </w:tcPr>
          <w:p>
            <w:pPr>
              <w:pStyle w:val="TableParagraph"/>
              <w:spacing w:before="37"/>
              <w:ind w:left="0" w:right="482"/>
              <w:jc w:val="right"/>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398" w:type="dxa"/>
            <w:gridSpan w:val="3"/>
            <w:vMerge/>
            <w:tcBorders>
              <w:top w:val="nil"/>
            </w:tcBorders>
          </w:tcPr>
          <w:p>
            <w:pPr>
              <w:rPr>
                <w:sz w:val="2"/>
                <w:szCs w:val="2"/>
              </w:rPr>
            </w:pPr>
          </w:p>
        </w:tc>
        <w:tc>
          <w:tcPr>
            <w:tcW w:w="109" w:type="dxa"/>
            <w:vMerge/>
            <w:tcBorders>
              <w:top w:val="nil"/>
              <w:bottom w:val="nil"/>
              <w:right w:val="nil"/>
            </w:tcBorders>
          </w:tcPr>
          <w:p>
            <w:pPr>
              <w:rPr>
                <w:sz w:val="2"/>
                <w:szCs w:val="2"/>
              </w:rPr>
            </w:pPr>
          </w:p>
        </w:tc>
      </w:tr>
      <w:tr>
        <w:trPr>
          <w:trHeight w:val="846" w:hRule="atLeast"/>
        </w:trPr>
        <w:tc>
          <w:tcPr>
            <w:tcW w:w="1466" w:type="dxa"/>
            <w:vMerge w:val="restart"/>
          </w:tcPr>
          <w:p>
            <w:pPr>
              <w:pStyle w:val="TableParagraph"/>
              <w:spacing w:before="37"/>
              <w:rPr>
                <w:rFonts w:ascii="Times New Roman"/>
                <w:i/>
                <w:sz w:val="22"/>
              </w:rPr>
            </w:pPr>
            <w:r>
              <w:rPr>
                <w:rFonts w:ascii="Times New Roman"/>
                <w:i/>
                <w:sz w:val="22"/>
              </w:rPr>
              <w:t>method-flag</w:t>
            </w:r>
          </w:p>
        </w:tc>
        <w:tc>
          <w:tcPr>
            <w:tcW w:w="1800" w:type="dxa"/>
            <w:vMerge w:val="restart"/>
          </w:tcPr>
          <w:p>
            <w:pPr>
              <w:pStyle w:val="TableParagraph"/>
              <w:ind w:left="112"/>
              <w:rPr>
                <w:sz w:val="22"/>
              </w:rPr>
            </w:pPr>
            <w:r>
              <w:rPr>
                <w:sz w:val="22"/>
              </w:rPr>
              <w:t>logical</w:t>
            </w:r>
          </w:p>
        </w:tc>
        <w:tc>
          <w:tcPr>
            <w:tcW w:w="5398" w:type="dxa"/>
            <w:gridSpan w:val="3"/>
            <w:tcBorders>
              <w:bottom w:val="nil"/>
            </w:tcBorders>
          </w:tcPr>
          <w:p>
            <w:pPr>
              <w:pStyle w:val="TableParagraph"/>
              <w:ind w:left="113" w:right="187"/>
              <w:rPr>
                <w:sz w:val="22"/>
              </w:rPr>
            </w:pPr>
            <w:r>
              <w:rPr>
                <w:sz w:val="22"/>
              </w:rPr>
              <w:t>Specifies whether to use the U.S. or European method in the calculation, as follows:</w:t>
            </w:r>
          </w:p>
        </w:tc>
        <w:tc>
          <w:tcPr>
            <w:tcW w:w="109" w:type="dxa"/>
            <w:tcBorders>
              <w:top w:val="nil"/>
              <w:right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017" w:type="dxa"/>
            <w:shd w:val="clear" w:color="auto" w:fill="C0C0C0"/>
          </w:tcPr>
          <w:p>
            <w:pPr>
              <w:pStyle w:val="TableParagraph"/>
              <w:ind w:left="248"/>
              <w:rPr>
                <w:b/>
                <w:sz w:val="22"/>
              </w:rPr>
            </w:pPr>
            <w:r>
              <w:rPr>
                <w:b/>
                <w:sz w:val="22"/>
              </w:rPr>
              <w:t>Value</w:t>
            </w:r>
          </w:p>
        </w:tc>
        <w:tc>
          <w:tcPr>
            <w:tcW w:w="3544" w:type="dxa"/>
            <w:shd w:val="clear" w:color="auto" w:fill="C0C0C0"/>
          </w:tcPr>
          <w:p>
            <w:pPr>
              <w:pStyle w:val="TableParagraph"/>
              <w:ind w:left="1407" w:right="1280"/>
              <w:jc w:val="center"/>
              <w:rPr>
                <w:b/>
                <w:sz w:val="22"/>
              </w:rPr>
            </w:pPr>
            <w:r>
              <w:rPr>
                <w:b/>
                <w:sz w:val="22"/>
              </w:rPr>
              <w:t>Meaning</w:t>
            </w:r>
          </w:p>
        </w:tc>
        <w:tc>
          <w:tcPr>
            <w:tcW w:w="109" w:type="dxa"/>
            <w:shd w:val="clear" w:color="auto" w:fill="C0C0C0"/>
          </w:tcPr>
          <w:p>
            <w:pPr>
              <w:pStyle w:val="TableParagraph"/>
              <w:spacing w:before="0"/>
              <w:ind w:left="0"/>
              <w:rPr>
                <w:rFonts w:ascii="Times New Roman"/>
                <w:sz w:val="22"/>
              </w:rPr>
            </w:pPr>
          </w:p>
        </w:tc>
      </w:tr>
      <w:tr>
        <w:trPr>
          <w:trHeight w:val="277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17" w:type="dxa"/>
          </w:tcPr>
          <w:p>
            <w:pPr>
              <w:pStyle w:val="TableParagraph"/>
              <w:spacing w:line="257" w:lineRule="exact" w:before="42"/>
              <w:ind w:left="116"/>
              <w:rPr>
                <w:rFonts w:ascii="Consolas"/>
                <w:sz w:val="22"/>
              </w:rPr>
            </w:pPr>
            <w:r>
              <w:rPr>
                <w:rFonts w:ascii="Consolas"/>
                <w:sz w:val="22"/>
              </w:rPr>
              <w:t>FALSE</w:t>
            </w:r>
          </w:p>
          <w:p>
            <w:pPr>
              <w:pStyle w:val="TableParagraph"/>
              <w:spacing w:before="0"/>
              <w:ind w:left="116" w:right="156"/>
              <w:rPr>
                <w:sz w:val="22"/>
              </w:rPr>
            </w:pPr>
            <w:r>
              <w:rPr>
                <w:sz w:val="22"/>
              </w:rPr>
              <w:t>or omitted</w:t>
            </w:r>
          </w:p>
        </w:tc>
        <w:tc>
          <w:tcPr>
            <w:tcW w:w="3544" w:type="dxa"/>
          </w:tcPr>
          <w:p>
            <w:pPr>
              <w:pStyle w:val="TableParagraph"/>
              <w:ind w:left="119" w:right="-15"/>
              <w:rPr>
                <w:sz w:val="22"/>
              </w:rPr>
            </w:pPr>
            <w:r>
              <w:rPr>
                <w:sz w:val="22"/>
              </w:rPr>
              <w:t>U.S. (NASD) method: If the </w:t>
            </w:r>
            <w:r>
              <w:rPr>
                <w:rFonts w:ascii="Times New Roman"/>
                <w:i/>
                <w:sz w:val="22"/>
              </w:rPr>
              <w:t>start-date </w:t>
            </w:r>
            <w:r>
              <w:rPr>
                <w:sz w:val="22"/>
              </w:rPr>
              <w:t>is the 31st day of a month, it is changed to the 30th day of that same month. If the </w:t>
            </w:r>
            <w:r>
              <w:rPr>
                <w:rFonts w:ascii="Times New Roman"/>
                <w:i/>
                <w:sz w:val="22"/>
              </w:rPr>
              <w:t>end-date </w:t>
            </w:r>
            <w:r>
              <w:rPr>
                <w:sz w:val="22"/>
              </w:rPr>
              <w:t>is the 31st day of a month and the </w:t>
            </w:r>
            <w:r>
              <w:rPr>
                <w:rFonts w:ascii="Times New Roman"/>
                <w:i/>
                <w:sz w:val="22"/>
              </w:rPr>
              <w:t>start-date </w:t>
            </w:r>
            <w:r>
              <w:rPr>
                <w:sz w:val="22"/>
              </w:rPr>
              <w:t>is earlier than the 30th day of a month, the </w:t>
            </w:r>
            <w:r>
              <w:rPr>
                <w:rFonts w:ascii="Times New Roman"/>
                <w:i/>
                <w:sz w:val="22"/>
              </w:rPr>
              <w:t>end-date </w:t>
            </w:r>
            <w:r>
              <w:rPr>
                <w:sz w:val="22"/>
              </w:rPr>
              <w:t>is changed to the 1st day of the following month; otherwise the </w:t>
            </w:r>
            <w:r>
              <w:rPr>
                <w:rFonts w:ascii="Times New Roman"/>
                <w:i/>
                <w:sz w:val="22"/>
              </w:rPr>
              <w:t>end-date </w:t>
            </w:r>
            <w:r>
              <w:rPr>
                <w:sz w:val="22"/>
              </w:rPr>
              <w:t>is changed to the 30th day of the same</w:t>
            </w:r>
            <w:r>
              <w:rPr>
                <w:spacing w:val="-2"/>
                <w:sz w:val="22"/>
              </w:rPr>
              <w:t> </w:t>
            </w:r>
            <w:r>
              <w:rPr>
                <w:sz w:val="22"/>
              </w:rPr>
              <w:t>month.</w:t>
            </w:r>
          </w:p>
        </w:tc>
        <w:tc>
          <w:tcPr>
            <w:tcW w:w="109" w:type="dxa"/>
          </w:tcPr>
          <w:p>
            <w:pPr>
              <w:pStyle w:val="TableParagraph"/>
              <w:spacing w:before="0"/>
              <w:ind w:left="0"/>
              <w:rPr>
                <w:rFonts w:ascii="Times New Roman"/>
                <w:sz w:val="22"/>
              </w:rPr>
            </w:pPr>
          </w:p>
        </w:tc>
      </w:tr>
      <w:tr>
        <w:trPr>
          <w:trHeight w:val="121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017" w:type="dxa"/>
          </w:tcPr>
          <w:p>
            <w:pPr>
              <w:pStyle w:val="TableParagraph"/>
              <w:spacing w:before="42"/>
              <w:ind w:left="116"/>
              <w:rPr>
                <w:rFonts w:ascii="Consolas"/>
                <w:sz w:val="22"/>
              </w:rPr>
            </w:pPr>
            <w:r>
              <w:rPr>
                <w:rFonts w:ascii="Consolas"/>
                <w:sz w:val="22"/>
              </w:rPr>
              <w:t>TRUE</w:t>
            </w:r>
          </w:p>
        </w:tc>
        <w:tc>
          <w:tcPr>
            <w:tcW w:w="3544" w:type="dxa"/>
          </w:tcPr>
          <w:p>
            <w:pPr>
              <w:pStyle w:val="TableParagraph"/>
              <w:ind w:left="119" w:right="159"/>
              <w:rPr>
                <w:sz w:val="22"/>
              </w:rPr>
            </w:pPr>
            <w:r>
              <w:rPr>
                <w:sz w:val="22"/>
              </w:rPr>
              <w:t>European method: </w:t>
            </w:r>
            <w:r>
              <w:rPr>
                <w:rFonts w:ascii="Times New Roman"/>
                <w:i/>
                <w:sz w:val="22"/>
              </w:rPr>
              <w:t>start-date</w:t>
            </w:r>
            <w:r>
              <w:rPr>
                <w:sz w:val="22"/>
              </w:rPr>
              <w:t>s and </w:t>
            </w:r>
            <w:r>
              <w:rPr>
                <w:rFonts w:ascii="Times New Roman"/>
                <w:i/>
                <w:sz w:val="22"/>
              </w:rPr>
              <w:t>end-date</w:t>
            </w:r>
            <w:r>
              <w:rPr>
                <w:sz w:val="22"/>
              </w:rPr>
              <w:t>s that occur on the 31st day of a month are changed to the 30th day of the same month.</w:t>
            </w:r>
          </w:p>
        </w:tc>
        <w:tc>
          <w:tcPr>
            <w:tcW w:w="109" w:type="dxa"/>
          </w:tcPr>
          <w:p>
            <w:pPr>
              <w:pStyle w:val="TableParagraph"/>
              <w:spacing w:before="0"/>
              <w:ind w:left="0"/>
              <w:rPr>
                <w:rFonts w:ascii="Times New Roman"/>
                <w:sz w:val="22"/>
              </w:rPr>
            </w:pPr>
          </w:p>
        </w:tc>
      </w:tr>
    </w:tbl>
    <w:p>
      <w:pPr>
        <w:pStyle w:val="BodyText"/>
        <w:rPr>
          <w:b/>
        </w:rPr>
      </w:pPr>
    </w:p>
    <w:p>
      <w:pPr>
        <w:pStyle w:val="BodyText"/>
        <w:spacing w:before="5"/>
        <w:rPr>
          <w:b/>
          <w:sz w:val="19"/>
        </w:rPr>
      </w:pPr>
    </w:p>
    <w:p>
      <w:pPr>
        <w:pStyle w:val="BodyText"/>
        <w:spacing w:line="278" w:lineRule="auto"/>
        <w:ind w:left="220" w:right="678"/>
      </w:pPr>
      <w:r>
        <w:rPr>
          <w:b/>
        </w:rPr>
        <w:t>Return Type and Value: </w:t>
      </w:r>
      <w:r>
        <w:rPr/>
        <w:t>number – The signed number of days between two dates based on a 360-day year (12 30-day months). If </w:t>
      </w:r>
      <w:r>
        <w:rPr>
          <w:rFonts w:ascii="Times New Roman" w:hAnsi="Times New Roman"/>
          <w:i/>
        </w:rPr>
        <w:t>start-date </w:t>
      </w:r>
      <w:r>
        <w:rPr/>
        <w:t>is later than </w:t>
      </w:r>
      <w:r>
        <w:rPr>
          <w:rFonts w:ascii="Times New Roman" w:hAnsi="Times New Roman"/>
          <w:i/>
        </w:rPr>
        <w:t>end-date</w:t>
      </w:r>
      <w:r>
        <w:rPr/>
        <w:t>, the return value shall be negative, and the magnitude shall be the difference in days.</w:t>
      </w:r>
    </w:p>
    <w:p>
      <w:pPr>
        <w:spacing w:line="453" w:lineRule="auto" w:before="196"/>
        <w:ind w:left="220" w:right="1028" w:firstLine="0"/>
        <w:jc w:val="left"/>
        <w:rPr>
          <w:sz w:val="22"/>
        </w:rPr>
      </w:pPr>
      <w:r>
        <w:rPr>
          <w:sz w:val="22"/>
        </w:rPr>
        <w:t>However, if </w:t>
      </w:r>
      <w:r>
        <w:rPr>
          <w:rFonts w:ascii="Times New Roman"/>
          <w:i/>
          <w:sz w:val="22"/>
        </w:rPr>
        <w:t>start-date </w:t>
      </w:r>
      <w:r>
        <w:rPr>
          <w:sz w:val="22"/>
        </w:rPr>
        <w:t>or </w:t>
      </w:r>
      <w:r>
        <w:rPr>
          <w:rFonts w:ascii="Times New Roman"/>
          <w:i/>
          <w:sz w:val="22"/>
        </w:rPr>
        <w:t>end-date </w:t>
      </w:r>
      <w:r>
        <w:rPr>
          <w:sz w:val="22"/>
        </w:rPr>
        <w:t>is out of range for the current date system, </w:t>
      </w:r>
      <w:r>
        <w:rPr>
          <w:rFonts w:ascii="Consolas"/>
          <w:sz w:val="22"/>
        </w:rPr>
        <w:t>#NUM!</w:t>
      </w:r>
      <w:r>
        <w:rPr>
          <w:rFonts w:ascii="Consolas"/>
          <w:spacing w:val="-105"/>
          <w:sz w:val="22"/>
        </w:rPr>
        <w:t> </w:t>
      </w:r>
      <w:r>
        <w:rPr>
          <w:sz w:val="22"/>
        </w:rPr>
        <w:t>is returned. [</w:t>
      </w:r>
      <w:r>
        <w:rPr>
          <w:i/>
          <w:sz w:val="22"/>
        </w:rPr>
        <w:t>Example</w:t>
      </w:r>
      <w:r>
        <w:rPr>
          <w:sz w:val="22"/>
        </w:rPr>
        <w:t>:</w:t>
      </w:r>
    </w:p>
    <w:p>
      <w:pPr>
        <w:pStyle w:val="BodyText"/>
        <w:spacing w:line="276" w:lineRule="auto" w:before="108"/>
        <w:ind w:left="220"/>
        <w:rPr>
          <w:rFonts w:ascii="Consolas"/>
        </w:rPr>
      </w:pPr>
      <w:r>
        <w:rPr>
          <w:rFonts w:ascii="Consolas"/>
        </w:rPr>
        <w:t>DAYS360(DATE(2002,2,3),DATE(2005,5,31)) </w:t>
      </w:r>
      <w:r>
        <w:rPr/>
        <w:t>results in </w:t>
      </w:r>
      <w:r>
        <w:rPr>
          <w:rFonts w:ascii="Consolas"/>
        </w:rPr>
        <w:t>1198 DAYS360(DATE(2005,5,31),DATE(2002,2,3)) </w:t>
      </w:r>
      <w:r>
        <w:rPr/>
        <w:t>results in </w:t>
      </w:r>
      <w:r>
        <w:rPr>
          <w:rFonts w:ascii="Consolas"/>
        </w:rPr>
        <w:t>-1197 DAYS360(DATE(2002,2,3),DATE(2005,5,31),FALSE)</w:t>
      </w:r>
      <w:r>
        <w:rPr>
          <w:rFonts w:ascii="Consolas"/>
          <w:spacing w:val="-94"/>
        </w:rPr>
        <w:t> </w:t>
      </w:r>
      <w:r>
        <w:rPr/>
        <w:t>results in </w:t>
      </w:r>
      <w:r>
        <w:rPr>
          <w:rFonts w:ascii="Consolas"/>
        </w:rPr>
        <w:t>1198</w:t>
      </w:r>
    </w:p>
    <w:p>
      <w:pPr>
        <w:spacing w:after="0" w:line="276" w:lineRule="auto"/>
        <w:rPr>
          <w:rFonts w:ascii="Consolas"/>
        </w:rPr>
        <w:sectPr>
          <w:footerReference w:type="even" r:id="rId225"/>
          <w:footerReference w:type="default" r:id="rId226"/>
          <w:pgSz w:w="12240" w:h="15840"/>
          <w:pgMar w:footer="746" w:header="761" w:top="1340" w:bottom="940" w:left="860" w:right="700"/>
          <w:pgNumType w:start="2170"/>
        </w:sectPr>
      </w:pPr>
    </w:p>
    <w:p>
      <w:pPr>
        <w:pStyle w:val="BodyText"/>
        <w:spacing w:before="148"/>
        <w:ind w:left="220"/>
        <w:rPr>
          <w:rFonts w:ascii="Consolas"/>
        </w:rPr>
      </w:pPr>
      <w:r>
        <w:rPr>
          <w:rFonts w:ascii="Consolas"/>
        </w:rPr>
        <w:t>DAYS360(DATE(2002,2,3),DATE(2005,5,31),TRUE)</w:t>
      </w:r>
      <w:r>
        <w:rPr>
          <w:rFonts w:ascii="Consolas"/>
          <w:spacing w:val="-75"/>
        </w:rPr>
        <w:t> </w:t>
      </w:r>
      <w:r>
        <w:rPr/>
        <w:t>results in </w:t>
      </w:r>
      <w:r>
        <w:rPr>
          <w:rFonts w:ascii="Consolas"/>
        </w:rPr>
        <w:t>1197</w:t>
      </w:r>
    </w:p>
    <w:p>
      <w:pPr>
        <w:pStyle w:val="BodyText"/>
        <w:spacing w:before="11"/>
        <w:rPr>
          <w:rFonts w:ascii="Consolas"/>
          <w:sz w:val="28"/>
        </w:rPr>
      </w:pPr>
    </w:p>
    <w:p>
      <w:pPr>
        <w:spacing w:before="0"/>
        <w:ind w:left="220" w:right="0" w:firstLine="0"/>
        <w:jc w:val="left"/>
        <w:rPr>
          <w:sz w:val="22"/>
        </w:rPr>
      </w:pPr>
      <w:r>
        <w:rPr>
          <w:rFonts w:ascii="Consolas"/>
          <w:sz w:val="22"/>
        </w:rPr>
        <w:t>|</w:t>
      </w: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0 DB" w:id="1632"/>
      <w:bookmarkEnd w:id="1632"/>
      <w:r>
        <w:rPr/>
      </w:r>
      <w:bookmarkStart w:name="_bookmark543" w:id="1633"/>
      <w:bookmarkEnd w:id="1633"/>
      <w:r>
        <w:rPr/>
      </w:r>
      <w:bookmarkStart w:name="_bookmark543" w:id="1634"/>
      <w:bookmarkEnd w:id="1634"/>
      <w:r>
        <w:rPr>
          <w:color w:val="4F81BC"/>
        </w:rPr>
        <w:t>DB</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DB ( </w:t>
      </w:r>
      <w:r>
        <w:rPr>
          <w:i/>
          <w:sz w:val="22"/>
        </w:rPr>
        <w:t>cost </w:t>
      </w:r>
      <w:r>
        <w:rPr>
          <w:rFonts w:ascii="Lucida Console"/>
          <w:sz w:val="20"/>
        </w:rPr>
        <w:t>, </w:t>
      </w:r>
      <w:r>
        <w:rPr>
          <w:i/>
          <w:sz w:val="22"/>
        </w:rPr>
        <w:t>salvage </w:t>
      </w:r>
      <w:r>
        <w:rPr>
          <w:rFonts w:ascii="Lucida Console"/>
          <w:sz w:val="20"/>
        </w:rPr>
        <w:t>, </w:t>
      </w:r>
      <w:r>
        <w:rPr>
          <w:i/>
          <w:sz w:val="22"/>
        </w:rPr>
        <w:t>life </w:t>
      </w:r>
      <w:r>
        <w:rPr>
          <w:rFonts w:ascii="Lucida Console"/>
          <w:sz w:val="20"/>
        </w:rPr>
        <w:t>, </w:t>
      </w:r>
      <w:r>
        <w:rPr>
          <w:i/>
          <w:sz w:val="22"/>
        </w:rPr>
        <w:t>period  </w:t>
      </w:r>
      <w:r>
        <w:rPr>
          <w:sz w:val="22"/>
        </w:rPr>
        <w:t>[ </w:t>
      </w:r>
      <w:r>
        <w:rPr>
          <w:rFonts w:ascii="Lucida Console"/>
          <w:sz w:val="20"/>
        </w:rPr>
        <w:t>,</w:t>
      </w:r>
      <w:r>
        <w:rPr>
          <w:rFonts w:ascii="Lucida Console"/>
          <w:spacing w:val="-71"/>
          <w:sz w:val="20"/>
        </w:rPr>
        <w:t> </w:t>
      </w:r>
      <w:r>
        <w:rPr>
          <w:sz w:val="22"/>
        </w:rPr>
        <w:t>[ </w:t>
      </w:r>
      <w:r>
        <w:rPr>
          <w:i/>
          <w:sz w:val="22"/>
        </w:rPr>
        <w:t>month  </w:t>
      </w:r>
      <w:r>
        <w:rPr>
          <w:sz w:val="22"/>
        </w:rPr>
        <w:t>] ] </w:t>
      </w:r>
      <w:r>
        <w:rPr>
          <w:rFonts w:ascii="Lucida Console"/>
          <w:sz w:val="20"/>
        </w:rPr>
        <w:t>)</w:t>
      </w:r>
    </w:p>
    <w:p>
      <w:pPr>
        <w:pStyle w:val="BodyText"/>
        <w:spacing w:line="278" w:lineRule="auto" w:before="106"/>
        <w:ind w:left="220" w:right="913"/>
      </w:pPr>
      <w:r>
        <w:rPr>
          <w:b/>
        </w:rPr>
        <w:t>Description</w:t>
      </w:r>
      <w:r>
        <w:rPr/>
        <w:t>: Computes the depreciation of an asset for a specified period using the fixed-declining balance method.</w:t>
      </w:r>
    </w:p>
    <w:p>
      <w:pPr>
        <w:pStyle w:val="BodyText"/>
        <w:spacing w:before="2"/>
        <w:rPr>
          <w:sz w:val="16"/>
        </w:rPr>
      </w:pPr>
    </w:p>
    <w:p>
      <w:pPr>
        <w:pStyle w:val="Heading4"/>
        <w:spacing w:before="1"/>
        <w:rPr>
          <w:b w:val="0"/>
        </w:rPr>
      </w:pPr>
      <w:r>
        <w:rPr/>
        <w:t>Mathematical Formula</w:t>
      </w:r>
      <w:r>
        <w:rPr>
          <w:b w:val="0"/>
        </w:rPr>
        <w:t>:</w:t>
      </w:r>
    </w:p>
    <w:p>
      <w:pPr>
        <w:pStyle w:val="BodyText"/>
        <w:spacing w:before="6"/>
        <w:rPr>
          <w:sz w:val="19"/>
        </w:rPr>
      </w:pPr>
    </w:p>
    <w:p>
      <w:pPr>
        <w:pStyle w:val="BodyText"/>
        <w:spacing w:line="278" w:lineRule="auto"/>
        <w:ind w:left="220" w:right="503"/>
      </w:pPr>
      <w:r>
        <w:rPr/>
        <w:t>The fixed-declining balance method computes depreciation at a fixed rate. </w:t>
      </w:r>
      <w:r>
        <w:rPr>
          <w:rFonts w:ascii="Consolas"/>
        </w:rPr>
        <w:t>DB</w:t>
      </w:r>
      <w:r>
        <w:rPr>
          <w:rFonts w:ascii="Consolas"/>
          <w:spacing w:val="-106"/>
        </w:rPr>
        <w:t> </w:t>
      </w:r>
      <w:r>
        <w:rPr/>
        <w:t>uses the following formulas to calculate depreciation for a period:</w:t>
      </w:r>
    </w:p>
    <w:p>
      <w:pPr>
        <w:pStyle w:val="BodyText"/>
      </w:pPr>
    </w:p>
    <w:p>
      <w:pPr>
        <w:pStyle w:val="BodyText"/>
      </w:pPr>
    </w:p>
    <w:p>
      <w:pPr>
        <w:pStyle w:val="BodyText"/>
        <w:spacing w:before="168"/>
        <w:ind w:left="220"/>
        <w:rPr>
          <w:rFonts w:ascii="Cambria Math" w:hAnsi="Cambria Math" w:eastAsia="Cambria Math"/>
        </w:rPr>
      </w:pPr>
      <w:r>
        <w:rPr>
          <w:rFonts w:ascii="Cambria Math" w:hAnsi="Cambria Math" w:eastAsia="Cambria Math"/>
        </w:rPr>
        <w:t>(𝑐𝑜𝑠𝑡 − 𝑡𝑜𝑡𝑎𝑙 𝑑𝑒𝑝𝑟𝑒𝑐𝑖𝑎𝑡𝑖𝑜𝑛 𝑓𝑟𝑜𝑚 𝑝𝑟𝑖𝑜𝑟 𝑝𝑒𝑟𝑖𝑜𝑑𝑠) × 𝑟𝑎𝑡𝑒</w:t>
      </w:r>
    </w:p>
    <w:p>
      <w:pPr>
        <w:pStyle w:val="BodyText"/>
        <w:spacing w:before="6"/>
        <w:rPr>
          <w:rFonts w:ascii="Cambria Math"/>
          <w:sz w:val="20"/>
        </w:rPr>
      </w:pPr>
    </w:p>
    <w:p>
      <w:pPr>
        <w:pStyle w:val="BodyText"/>
        <w:ind w:left="220"/>
      </w:pPr>
      <w:r>
        <w:rPr/>
        <w:t>where:</w:t>
      </w:r>
    </w:p>
    <w:p>
      <w:pPr>
        <w:pStyle w:val="BodyText"/>
        <w:rPr>
          <w:sz w:val="20"/>
        </w:rPr>
      </w:pPr>
    </w:p>
    <w:p>
      <w:pPr>
        <w:pStyle w:val="BodyText"/>
        <w:rPr>
          <w:sz w:val="20"/>
        </w:rPr>
      </w:pPr>
    </w:p>
    <w:p>
      <w:pPr>
        <w:spacing w:after="0"/>
        <w:rPr>
          <w:sz w:val="20"/>
        </w:rPr>
        <w:sectPr>
          <w:pgSz w:w="12240" w:h="15840"/>
          <w:pgMar w:header="763" w:footer="746" w:top="1340" w:bottom="940" w:left="860" w:right="700"/>
        </w:sectPr>
      </w:pPr>
    </w:p>
    <w:p>
      <w:pPr>
        <w:pStyle w:val="BodyText"/>
        <w:rPr>
          <w:sz w:val="16"/>
        </w:rPr>
      </w:pPr>
    </w:p>
    <w:p>
      <w:pPr>
        <w:pStyle w:val="BodyText"/>
        <w:spacing w:before="9"/>
        <w:rPr>
          <w:sz w:val="14"/>
        </w:rPr>
      </w:pPr>
    </w:p>
    <w:p>
      <w:pPr>
        <w:spacing w:line="130" w:lineRule="exact" w:before="1"/>
        <w:ind w:left="1475" w:right="0" w:firstLine="0"/>
        <w:jc w:val="center"/>
        <w:rPr>
          <w:rFonts w:ascii="Cambria Math" w:eastAsia="Cambria Math"/>
          <w:sz w:val="16"/>
        </w:rPr>
      </w:pPr>
      <w:r>
        <w:rPr>
          <w:rFonts w:ascii="Cambria Math" w:eastAsia="Cambria Math"/>
          <w:spacing w:val="-1"/>
          <w:w w:val="110"/>
          <w:sz w:val="16"/>
        </w:rPr>
        <w:t>𝑠𝑎𝑙𝑣𝑎𝑔𝑒</w:t>
      </w:r>
    </w:p>
    <w:p>
      <w:pPr>
        <w:pStyle w:val="BodyText"/>
        <w:spacing w:line="155" w:lineRule="exact"/>
        <w:ind w:left="220"/>
        <w:rPr>
          <w:rFonts w:ascii="Cambria Math" w:hAnsi="Cambria Math" w:eastAsia="Cambria Math"/>
        </w:rPr>
      </w:pPr>
      <w:r>
        <w:rPr/>
        <w:pict>
          <v:line style="position:absolute;mso-position-horizontal-relative:page;mso-position-vertical-relative:paragraph;z-index:251753472" from="116.779999pt,4.4574pt" to="147.859999pt,4.4574pt" stroked="true" strokeweight=".72pt" strokecolor="#000000">
            <v:stroke dashstyle="solid"/>
            <w10:wrap type="none"/>
          </v:line>
        </w:pict>
      </w:r>
      <w:r>
        <w:rPr>
          <w:rFonts w:ascii="Cambria Math" w:hAnsi="Cambria Math" w:eastAsia="Cambria Math"/>
        </w:rPr>
        <w:t>𝑟𝑎𝑡𝑒 = 1 − (</w:t>
      </w:r>
    </w:p>
    <w:p>
      <w:pPr>
        <w:spacing w:line="142" w:lineRule="exact" w:before="0"/>
        <w:ind w:left="1471" w:right="0" w:firstLine="0"/>
        <w:jc w:val="center"/>
        <w:rPr>
          <w:rFonts w:ascii="Cambria Math" w:eastAsia="Cambria Math"/>
          <w:sz w:val="16"/>
        </w:rPr>
      </w:pPr>
      <w:r>
        <w:rPr>
          <w:rFonts w:ascii="Cambria Math" w:eastAsia="Cambria Math"/>
          <w:w w:val="110"/>
          <w:sz w:val="16"/>
        </w:rPr>
        <w:t>𝑐𝑜𝑠𝑡</w:t>
      </w:r>
    </w:p>
    <w:p>
      <w:pPr>
        <w:pStyle w:val="BodyText"/>
        <w:rPr>
          <w:rFonts w:ascii="Cambria Math"/>
          <w:sz w:val="12"/>
        </w:rPr>
      </w:pPr>
      <w:r>
        <w:rPr/>
        <w:br w:type="column"/>
      </w:r>
      <w:r>
        <w:rPr>
          <w:rFonts w:ascii="Cambria Math"/>
          <w:sz w:val="12"/>
        </w:rPr>
      </w:r>
    </w:p>
    <w:p>
      <w:pPr>
        <w:spacing w:before="105"/>
        <w:ind w:left="161" w:right="0" w:firstLine="0"/>
        <w:jc w:val="left"/>
        <w:rPr>
          <w:rFonts w:ascii="Cambria Math"/>
          <w:sz w:val="13"/>
        </w:rPr>
      </w:pPr>
      <w:r>
        <w:rPr>
          <w:rFonts w:ascii="Cambria Math"/>
          <w:w w:val="107"/>
          <w:sz w:val="13"/>
        </w:rPr>
        <w:t>1</w:t>
      </w:r>
    </w:p>
    <w:p>
      <w:pPr>
        <w:pStyle w:val="BodyText"/>
        <w:spacing w:line="20" w:lineRule="exact"/>
        <w:ind w:left="67" w:right="-72"/>
        <w:rPr>
          <w:rFonts w:ascii="Cambria Math"/>
          <w:sz w:val="2"/>
        </w:rPr>
      </w:pPr>
      <w:r>
        <w:rPr>
          <w:rFonts w:ascii="Cambria Math"/>
          <w:sz w:val="2"/>
        </w:rPr>
        <w:pict>
          <v:group style="width:12.75pt;height:.5pt;mso-position-horizontal-relative:char;mso-position-vertical-relative:line" coordorigin="0,0" coordsize="255,10">
            <v:line style="position:absolute" from="0,5" to="254,5" stroked="true" strokeweight=".47998pt" strokecolor="#000000">
              <v:stroke dashstyle="solid"/>
            </v:line>
          </v:group>
        </w:pict>
      </w:r>
      <w:r>
        <w:rPr>
          <w:rFonts w:ascii="Cambria Math"/>
          <w:sz w:val="2"/>
        </w:rPr>
      </w:r>
    </w:p>
    <w:p>
      <w:pPr>
        <w:spacing w:before="3"/>
        <w:ind w:left="-36" w:right="0" w:firstLine="0"/>
        <w:jc w:val="left"/>
        <w:rPr>
          <w:rFonts w:ascii="Cambria Math" w:eastAsia="Cambria Math"/>
          <w:sz w:val="13"/>
        </w:rPr>
      </w:pPr>
      <w:r>
        <w:rPr>
          <w:rFonts w:ascii="Cambria Math" w:eastAsia="Cambria Math"/>
          <w:w w:val="115"/>
          <w:position w:val="-10"/>
          <w:sz w:val="22"/>
        </w:rPr>
        <w:t>)</w:t>
      </w:r>
      <w:r>
        <w:rPr>
          <w:rFonts w:ascii="Cambria Math" w:eastAsia="Cambria Math"/>
          <w:w w:val="115"/>
          <w:sz w:val="13"/>
        </w:rPr>
        <w:t>𝑙𝑖𝑓𝑒</w:t>
      </w:r>
    </w:p>
    <w:p>
      <w:pPr>
        <w:pStyle w:val="BodyText"/>
        <w:rPr>
          <w:rFonts w:ascii="Cambria Math"/>
        </w:rPr>
      </w:pPr>
      <w:r>
        <w:rPr/>
        <w:br w:type="column"/>
      </w:r>
      <w:r>
        <w:rPr>
          <w:rFonts w:ascii="Cambria Math"/>
        </w:rPr>
      </w:r>
    </w:p>
    <w:p>
      <w:pPr>
        <w:pStyle w:val="BodyText"/>
        <w:spacing w:before="190"/>
        <w:ind w:left="-31"/>
      </w:pPr>
      <w:r>
        <w:rPr/>
        <w:t>, rounded to three decimal places</w:t>
      </w:r>
    </w:p>
    <w:p>
      <w:pPr>
        <w:spacing w:after="0"/>
        <w:sectPr>
          <w:type w:val="continuous"/>
          <w:pgSz w:w="12240" w:h="15840"/>
          <w:pgMar w:top="1340" w:bottom="940" w:left="860" w:right="700"/>
          <w:cols w:num="3" w:equalWidth="0">
            <w:col w:w="2096" w:space="40"/>
            <w:col w:w="325" w:space="39"/>
            <w:col w:w="8180"/>
          </w:cols>
        </w:sectPr>
      </w:pPr>
    </w:p>
    <w:p>
      <w:pPr>
        <w:pStyle w:val="BodyText"/>
        <w:spacing w:before="1"/>
        <w:rPr>
          <w:sz w:val="10"/>
        </w:rPr>
      </w:pPr>
    </w:p>
    <w:p>
      <w:pPr>
        <w:pStyle w:val="BodyText"/>
        <w:spacing w:line="278" w:lineRule="auto" w:before="88"/>
        <w:ind w:left="220" w:right="707"/>
      </w:pPr>
      <w:r>
        <w:rPr/>
        <w:t>Depreciation for the first and last periods is a special case. If argument </w:t>
      </w:r>
      <w:r>
        <w:rPr>
          <w:rFonts w:ascii="Times New Roman" w:hAnsi="Times New Roman"/>
          <w:i/>
        </w:rPr>
        <w:t>month </w:t>
      </w:r>
      <w:r>
        <w:rPr/>
        <w:t>is omitted, depreciation for the first period is calculated using the formula </w:t>
      </w:r>
      <w:r>
        <w:rPr>
          <w:rFonts w:ascii="Cambria Math" w:hAnsi="Cambria Math"/>
        </w:rPr>
        <w:t>cost × rate</w:t>
      </w:r>
      <w:r>
        <w:rPr/>
        <w:t>.</w:t>
      </w:r>
    </w:p>
    <w:p>
      <w:pPr>
        <w:pStyle w:val="BodyText"/>
        <w:spacing w:line="453" w:lineRule="auto" w:before="198"/>
        <w:ind w:left="220" w:right="5257"/>
      </w:pPr>
      <w:r>
        <w:rPr/>
        <w:t>If month argument is entered, use the following formulas: For the first period, </w:t>
      </w:r>
      <w:r>
        <w:rPr>
          <w:rFonts w:ascii="Consolas"/>
        </w:rPr>
        <w:t>DB</w:t>
      </w:r>
      <w:r>
        <w:rPr>
          <w:rFonts w:ascii="Consolas"/>
          <w:spacing w:val="-76"/>
        </w:rPr>
        <w:t> </w:t>
      </w:r>
      <w:r>
        <w:rPr/>
        <w:t>uses this formula:</w:t>
      </w:r>
    </w:p>
    <w:p>
      <w:pPr>
        <w:pStyle w:val="BodyText"/>
      </w:pPr>
    </w:p>
    <w:p>
      <w:pPr>
        <w:pStyle w:val="BodyText"/>
        <w:spacing w:before="9"/>
        <w:rPr>
          <w:sz w:val="17"/>
        </w:rPr>
      </w:pPr>
    </w:p>
    <w:p>
      <w:pPr>
        <w:pStyle w:val="BodyText"/>
        <w:spacing w:line="295" w:lineRule="auto"/>
        <w:ind w:left="1141" w:right="8289" w:hanging="922"/>
        <w:rPr>
          <w:rFonts w:ascii="Cambria Math" w:hAnsi="Cambria Math" w:eastAsia="Cambria Math"/>
        </w:rPr>
      </w:pPr>
      <w:r>
        <w:rPr/>
        <w:pict>
          <v:line style="position:absolute;mso-position-horizontal-relative:page;mso-position-vertical-relative:paragraph;z-index:-335886336" from="54pt,15.732136pt" to="158.420pt,15.732136pt" stroked="true" strokeweight=".72003pt" strokecolor="#000000">
            <v:stroke dashstyle="solid"/>
            <w10:wrap type="none"/>
          </v:line>
        </w:pict>
      </w:r>
      <w:r>
        <w:rPr>
          <w:rFonts w:ascii="Cambria Math" w:hAnsi="Cambria Math" w:eastAsia="Cambria Math"/>
        </w:rPr>
        <w:t>𝑐𝑜𝑠𝑡 × 𝑟𝑎𝑡𝑒 × 𝑚𝑜𝑛𝑡ℎ 12</w:t>
      </w:r>
    </w:p>
    <w:p>
      <w:pPr>
        <w:pStyle w:val="BodyText"/>
        <w:spacing w:before="130"/>
        <w:ind w:left="220"/>
      </w:pPr>
      <w:r>
        <w:rPr/>
        <w:t>For the last period, </w:t>
      </w:r>
      <w:r>
        <w:rPr>
          <w:rFonts w:ascii="Consolas"/>
        </w:rPr>
        <w:t>DB</w:t>
      </w:r>
      <w:r>
        <w:rPr>
          <w:rFonts w:ascii="Consolas"/>
          <w:spacing w:val="-87"/>
        </w:rPr>
        <w:t> </w:t>
      </w:r>
      <w:r>
        <w:rPr/>
        <w:t>uses this formula:</w:t>
      </w:r>
    </w:p>
    <w:p>
      <w:pPr>
        <w:pStyle w:val="BodyText"/>
      </w:pPr>
    </w:p>
    <w:p>
      <w:pPr>
        <w:pStyle w:val="BodyText"/>
      </w:pPr>
    </w:p>
    <w:p>
      <w:pPr>
        <w:pStyle w:val="BodyText"/>
        <w:spacing w:line="295" w:lineRule="auto" w:before="189"/>
        <w:ind w:left="3614" w:right="3445" w:hanging="3395"/>
        <w:rPr>
          <w:rFonts w:ascii="Cambria Math" w:hAnsi="Cambria Math" w:eastAsia="Cambria Math"/>
        </w:rPr>
      </w:pPr>
      <w:r>
        <w:rPr/>
        <w:pict>
          <v:line style="position:absolute;mso-position-horizontal-relative:page;mso-position-vertical-relative:paragraph;z-index:-335885312" from="54pt,25.682135pt" to="405.79pt,25.682135pt" stroked="true" strokeweight=".72003pt" strokecolor="#000000">
            <v:stroke dashstyle="solid"/>
            <w10:wrap type="none"/>
          </v:line>
        </w:pict>
      </w:r>
      <w:r>
        <w:rPr>
          <w:rFonts w:ascii="Cambria Math" w:hAnsi="Cambria Math" w:eastAsia="Cambria Math"/>
          <w:position w:val="1"/>
        </w:rPr>
        <w:t>(</w:t>
      </w:r>
      <w:r>
        <w:rPr>
          <w:rFonts w:ascii="Cambria Math" w:hAnsi="Cambria Math" w:eastAsia="Cambria Math"/>
        </w:rPr>
        <w:t>𝑐𝑜𝑠𝑡 − 𝑡𝑜𝑡𝑎𝑙 𝑑𝑒𝑝𝑟𝑒𝑐𝑖𝑎𝑡𝑖𝑜𝑛 𝑓𝑟𝑜𝑚 𝑝𝑟𝑖𝑜𝑟 𝑝𝑒𝑟𝑖𝑜𝑑𝑠</w:t>
      </w:r>
      <w:r>
        <w:rPr>
          <w:rFonts w:ascii="Cambria Math" w:hAnsi="Cambria Math" w:eastAsia="Cambria Math"/>
          <w:position w:val="1"/>
        </w:rPr>
        <w:t>) </w:t>
      </w:r>
      <w:r>
        <w:rPr>
          <w:rFonts w:ascii="Cambria Math" w:hAnsi="Cambria Math" w:eastAsia="Cambria Math"/>
        </w:rPr>
        <w:t>× 𝑟𝑎𝑡𝑒 × (12 − 𝑚𝑜𝑛𝑡ℎ) 12</w:t>
      </w:r>
    </w:p>
    <w:p>
      <w:pPr>
        <w:pStyle w:val="BodyText"/>
        <w:spacing w:before="128"/>
        <w:ind w:left="220"/>
      </w:pPr>
      <w:r>
        <w:rPr/>
        <w:t>where:</w:t>
      </w:r>
    </w:p>
    <w:p>
      <w:pPr>
        <w:spacing w:after="0"/>
        <w:sectPr>
          <w:type w:val="continuous"/>
          <w:pgSz w:w="12240" w:h="15840"/>
          <w:pgMar w:top="1340" w:bottom="940" w:left="860" w:right="700"/>
        </w:sectPr>
      </w:pPr>
    </w:p>
    <w:p>
      <w:pPr>
        <w:pStyle w:val="ListParagraph"/>
        <w:numPr>
          <w:ilvl w:val="4"/>
          <w:numId w:val="66"/>
        </w:numPr>
        <w:tabs>
          <w:tab w:pos="940" w:val="left" w:leader="none"/>
          <w:tab w:pos="941" w:val="left" w:leader="none"/>
        </w:tabs>
        <w:spacing w:line="240" w:lineRule="auto" w:before="91" w:after="0"/>
        <w:ind w:left="940" w:right="0" w:hanging="361"/>
        <w:jc w:val="left"/>
        <w:rPr>
          <w:rFonts w:ascii="Times New Roman" w:hAnsi="Times New Roman"/>
          <w:i/>
          <w:sz w:val="22"/>
        </w:rPr>
      </w:pPr>
      <w:r>
        <w:rPr>
          <w:rFonts w:ascii="Times New Roman" w:hAnsi="Times New Roman"/>
          <w:i/>
          <w:sz w:val="22"/>
        </w:rPr>
        <w:t>cost </w:t>
      </w:r>
      <w:r>
        <w:rPr>
          <w:sz w:val="22"/>
        </w:rPr>
        <w:t>= argument</w:t>
      </w:r>
      <w:r>
        <w:rPr>
          <w:spacing w:val="-8"/>
          <w:sz w:val="22"/>
        </w:rPr>
        <w:t> </w:t>
      </w:r>
      <w:r>
        <w:rPr>
          <w:rFonts w:ascii="Times New Roman" w:hAnsi="Times New Roman"/>
          <w:i/>
          <w:sz w:val="22"/>
        </w:rPr>
        <w:t>cost</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life </w:t>
      </w:r>
      <w:r>
        <w:rPr>
          <w:sz w:val="22"/>
        </w:rPr>
        <w:t>= argument</w:t>
      </w:r>
      <w:r>
        <w:rPr>
          <w:spacing w:val="-10"/>
          <w:sz w:val="22"/>
        </w:rPr>
        <w:t> </w:t>
      </w:r>
      <w:r>
        <w:rPr>
          <w:rFonts w:ascii="Times New Roman" w:hAnsi="Times New Roman"/>
          <w:i/>
          <w:sz w:val="22"/>
        </w:rPr>
        <w:t>life</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rate </w:t>
      </w:r>
      <w:r>
        <w:rPr>
          <w:sz w:val="22"/>
        </w:rPr>
        <w:t>= 1 – (salvage / cost) ^ (1 / life), rounded to three</w:t>
      </w:r>
      <w:r>
        <w:rPr>
          <w:spacing w:val="-15"/>
          <w:sz w:val="22"/>
        </w:rPr>
        <w:t> </w:t>
      </w:r>
      <w:r>
        <w:rPr>
          <w:sz w:val="22"/>
        </w:rPr>
        <w:t>decimals</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salvage </w:t>
      </w:r>
      <w:r>
        <w:rPr>
          <w:sz w:val="22"/>
        </w:rPr>
        <w:t>= argument</w:t>
      </w:r>
      <w:r>
        <w:rPr>
          <w:spacing w:val="-10"/>
          <w:sz w:val="22"/>
        </w:rPr>
        <w:t> </w:t>
      </w:r>
      <w:r>
        <w:rPr>
          <w:rFonts w:ascii="Times New Roman" w:hAnsi="Times New Roman"/>
          <w:i/>
          <w:sz w:val="22"/>
        </w:rPr>
        <w:t>salvage</w:t>
      </w:r>
    </w:p>
    <w:p>
      <w:pPr>
        <w:pStyle w:val="ListParagraph"/>
        <w:numPr>
          <w:ilvl w:val="4"/>
          <w:numId w:val="66"/>
        </w:numPr>
        <w:tabs>
          <w:tab w:pos="940" w:val="left" w:leader="none"/>
          <w:tab w:pos="941" w:val="left" w:leader="none"/>
        </w:tabs>
        <w:spacing w:line="276" w:lineRule="auto" w:before="38" w:after="0"/>
        <w:ind w:left="940" w:right="544" w:hanging="360"/>
        <w:jc w:val="left"/>
        <w:rPr>
          <w:rFonts w:ascii="Consolas" w:hAnsi="Consolas"/>
          <w:sz w:val="22"/>
        </w:rPr>
      </w:pPr>
      <w:r>
        <w:rPr>
          <w:rFonts w:ascii="Times New Roman" w:hAnsi="Times New Roman"/>
          <w:i/>
          <w:sz w:val="22"/>
        </w:rPr>
        <w:t>total depreciation from prior periods </w:t>
      </w:r>
      <w:r>
        <w:rPr>
          <w:sz w:val="22"/>
        </w:rPr>
        <w:t>= </w:t>
      </w:r>
      <w:r>
        <w:rPr>
          <w:rFonts w:ascii="Consolas" w:hAnsi="Consolas"/>
          <w:sz w:val="22"/>
        </w:rPr>
        <w:t>DB(cost, salvage, life, 1, [month]) + DB(cost, salvage, life, 2, [month]) + … + DB(cost, salvage, life, period-1, [month]), where period &gt;</w:t>
      </w:r>
      <w:r>
        <w:rPr>
          <w:rFonts w:ascii="Consolas" w:hAnsi="Consolas"/>
          <w:spacing w:val="-3"/>
          <w:sz w:val="22"/>
        </w:rPr>
        <w:t> </w:t>
      </w:r>
      <w:r>
        <w:rPr>
          <w:rFonts w:ascii="Consolas" w:hAnsi="Consolas"/>
          <w:sz w:val="22"/>
        </w:rPr>
        <w:t>1</w:t>
      </w:r>
    </w:p>
    <w:p>
      <w:pPr>
        <w:pStyle w:val="BodyText"/>
        <w:spacing w:before="4"/>
        <w:rPr>
          <w:rFonts w:ascii="Consolas"/>
          <w:sz w:val="17"/>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cost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initial cost of the asset.</w:t>
            </w:r>
          </w:p>
        </w:tc>
      </w:tr>
      <w:tr>
        <w:trPr>
          <w:trHeight w:val="624" w:hRule="atLeast"/>
        </w:trPr>
        <w:tc>
          <w:tcPr>
            <w:tcW w:w="1466" w:type="dxa"/>
          </w:tcPr>
          <w:p>
            <w:pPr>
              <w:pStyle w:val="TableParagraph"/>
              <w:spacing w:before="37"/>
              <w:rPr>
                <w:rFonts w:ascii="Times New Roman"/>
                <w:i/>
                <w:sz w:val="22"/>
              </w:rPr>
            </w:pPr>
            <w:r>
              <w:rPr>
                <w:rFonts w:ascii="Times New Roman"/>
                <w:i/>
                <w:sz w:val="22"/>
              </w:rPr>
              <w:t>salvage</w:t>
            </w:r>
          </w:p>
        </w:tc>
        <w:tc>
          <w:tcPr>
            <w:tcW w:w="1800" w:type="dxa"/>
          </w:tcPr>
          <w:p>
            <w:pPr>
              <w:pStyle w:val="TableParagraph"/>
              <w:ind w:left="112"/>
              <w:rPr>
                <w:sz w:val="22"/>
              </w:rPr>
            </w:pPr>
            <w:r>
              <w:rPr>
                <w:sz w:val="22"/>
              </w:rPr>
              <w:t>number</w:t>
            </w:r>
          </w:p>
        </w:tc>
        <w:tc>
          <w:tcPr>
            <w:tcW w:w="5400" w:type="dxa"/>
          </w:tcPr>
          <w:p>
            <w:pPr>
              <w:pStyle w:val="TableParagraph"/>
              <w:ind w:left="113" w:right="898"/>
              <w:rPr>
                <w:sz w:val="22"/>
              </w:rPr>
            </w:pPr>
            <w:r>
              <w:rPr>
                <w:sz w:val="22"/>
              </w:rPr>
              <w:t>The value at the end of the depreciation. (This is sometimes called the salvage value of the asset.)</w:t>
            </w:r>
          </w:p>
        </w:tc>
      </w:tr>
      <w:tr>
        <w:trPr>
          <w:trHeight w:val="890" w:hRule="atLeast"/>
        </w:trPr>
        <w:tc>
          <w:tcPr>
            <w:tcW w:w="1466" w:type="dxa"/>
          </w:tcPr>
          <w:p>
            <w:pPr>
              <w:pStyle w:val="TableParagraph"/>
              <w:spacing w:before="37"/>
              <w:rPr>
                <w:rFonts w:ascii="Times New Roman"/>
                <w:i/>
                <w:sz w:val="22"/>
              </w:rPr>
            </w:pPr>
            <w:r>
              <w:rPr>
                <w:rFonts w:ascii="Times New Roman"/>
                <w:i/>
                <w:sz w:val="22"/>
              </w:rPr>
              <w:t>life</w:t>
            </w:r>
          </w:p>
        </w:tc>
        <w:tc>
          <w:tcPr>
            <w:tcW w:w="1800" w:type="dxa"/>
          </w:tcPr>
          <w:p>
            <w:pPr>
              <w:pStyle w:val="TableParagraph"/>
              <w:ind w:left="112"/>
              <w:rPr>
                <w:sz w:val="22"/>
              </w:rPr>
            </w:pPr>
            <w:r>
              <w:rPr>
                <w:sz w:val="22"/>
              </w:rPr>
              <w:t>number</w:t>
            </w:r>
          </w:p>
        </w:tc>
        <w:tc>
          <w:tcPr>
            <w:tcW w:w="5400" w:type="dxa"/>
          </w:tcPr>
          <w:p>
            <w:pPr>
              <w:pStyle w:val="TableParagraph"/>
              <w:ind w:left="113" w:right="355"/>
              <w:rPr>
                <w:sz w:val="22"/>
              </w:rPr>
            </w:pPr>
            <w:r>
              <w:rPr>
                <w:sz w:val="22"/>
              </w:rPr>
              <w:t>The number of periods over which the asset is being depreciated. (This is sometimes called the useful life of the asset.)</w:t>
            </w:r>
          </w:p>
        </w:tc>
      </w:tr>
      <w:tr>
        <w:trPr>
          <w:trHeight w:val="623" w:hRule="atLeast"/>
        </w:trPr>
        <w:tc>
          <w:tcPr>
            <w:tcW w:w="1466" w:type="dxa"/>
          </w:tcPr>
          <w:p>
            <w:pPr>
              <w:pStyle w:val="TableParagraph"/>
              <w:spacing w:before="37"/>
              <w:rPr>
                <w:rFonts w:ascii="Times New Roman"/>
                <w:i/>
                <w:sz w:val="22"/>
              </w:rPr>
            </w:pPr>
            <w:r>
              <w:rPr>
                <w:rFonts w:ascii="Times New Roman"/>
                <w:i/>
                <w:sz w:val="22"/>
              </w:rPr>
              <w:t>period</w:t>
            </w:r>
          </w:p>
        </w:tc>
        <w:tc>
          <w:tcPr>
            <w:tcW w:w="1800" w:type="dxa"/>
          </w:tcPr>
          <w:p>
            <w:pPr>
              <w:pStyle w:val="TableParagraph"/>
              <w:ind w:left="112"/>
              <w:rPr>
                <w:sz w:val="22"/>
              </w:rPr>
            </w:pPr>
            <w:r>
              <w:rPr>
                <w:sz w:val="22"/>
              </w:rPr>
              <w:t>number</w:t>
            </w:r>
          </w:p>
        </w:tc>
        <w:tc>
          <w:tcPr>
            <w:tcW w:w="5400" w:type="dxa"/>
          </w:tcPr>
          <w:p>
            <w:pPr>
              <w:pStyle w:val="TableParagraph"/>
              <w:ind w:left="113" w:right="152"/>
              <w:rPr>
                <w:sz w:val="22"/>
              </w:rPr>
            </w:pPr>
            <w:r>
              <w:rPr>
                <w:sz w:val="22"/>
              </w:rPr>
              <w:t>The period for which the depreciation is to be calculated. (</w:t>
            </w:r>
            <w:r>
              <w:rPr>
                <w:rFonts w:ascii="Times New Roman"/>
                <w:i/>
                <w:sz w:val="22"/>
              </w:rPr>
              <w:t>period </w:t>
            </w:r>
            <w:r>
              <w:rPr>
                <w:sz w:val="22"/>
              </w:rPr>
              <w:t>shall use the same units as </w:t>
            </w:r>
            <w:r>
              <w:rPr>
                <w:rFonts w:ascii="Times New Roman"/>
                <w:i/>
                <w:sz w:val="22"/>
              </w:rPr>
              <w:t>life</w:t>
            </w:r>
            <w:r>
              <w:rPr>
                <w:sz w:val="22"/>
              </w:rPr>
              <w:t>.)</w:t>
            </w:r>
          </w:p>
        </w:tc>
      </w:tr>
      <w:tr>
        <w:trPr>
          <w:trHeight w:val="623" w:hRule="atLeast"/>
        </w:trPr>
        <w:tc>
          <w:tcPr>
            <w:tcW w:w="1466" w:type="dxa"/>
          </w:tcPr>
          <w:p>
            <w:pPr>
              <w:pStyle w:val="TableParagraph"/>
              <w:spacing w:before="37"/>
              <w:rPr>
                <w:rFonts w:ascii="Times New Roman"/>
                <w:i/>
                <w:sz w:val="22"/>
              </w:rPr>
            </w:pPr>
            <w:r>
              <w:rPr>
                <w:rFonts w:ascii="Times New Roman"/>
                <w:i/>
                <w:sz w:val="22"/>
              </w:rPr>
              <w:t>month</w:t>
            </w:r>
          </w:p>
        </w:tc>
        <w:tc>
          <w:tcPr>
            <w:tcW w:w="1800" w:type="dxa"/>
          </w:tcPr>
          <w:p>
            <w:pPr>
              <w:pStyle w:val="TableParagraph"/>
              <w:ind w:left="112"/>
              <w:rPr>
                <w:sz w:val="22"/>
              </w:rPr>
            </w:pPr>
            <w:r>
              <w:rPr>
                <w:sz w:val="22"/>
              </w:rPr>
              <w:t>number</w:t>
            </w:r>
          </w:p>
        </w:tc>
        <w:tc>
          <w:tcPr>
            <w:tcW w:w="5400" w:type="dxa"/>
          </w:tcPr>
          <w:p>
            <w:pPr>
              <w:pStyle w:val="TableParagraph"/>
              <w:ind w:left="113" w:right="589"/>
              <w:rPr>
                <w:sz w:val="22"/>
              </w:rPr>
            </w:pPr>
            <w:r>
              <w:rPr>
                <w:sz w:val="22"/>
              </w:rPr>
              <w:t>The number of months in the first year. If omitted, a value of 12 is used.</w:t>
            </w:r>
          </w:p>
        </w:tc>
      </w:tr>
    </w:tbl>
    <w:p>
      <w:pPr>
        <w:pStyle w:val="BodyText"/>
      </w:pPr>
    </w:p>
    <w:p>
      <w:pPr>
        <w:pStyle w:val="BodyText"/>
        <w:spacing w:before="5"/>
        <w:rPr>
          <w:sz w:val="19"/>
        </w:rPr>
      </w:pPr>
    </w:p>
    <w:p>
      <w:pPr>
        <w:pStyle w:val="BodyText"/>
        <w:spacing w:line="278" w:lineRule="auto"/>
        <w:ind w:left="220" w:right="629"/>
      </w:pPr>
      <w:r>
        <w:rPr>
          <w:b/>
        </w:rPr>
        <w:t>Return Type and Value</w:t>
      </w:r>
      <w:r>
        <w:rPr/>
        <w:t>: number – The depreciation of an asset for a specified period using the fixed-declining balance method.</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cost</w:t>
      </w:r>
      <w:r>
        <w:rPr>
          <w:sz w:val="22"/>
        </w:rPr>
        <w:t>, </w:t>
      </w:r>
      <w:r>
        <w:rPr>
          <w:rFonts w:ascii="Times New Roman" w:hAnsi="Times New Roman"/>
          <w:i/>
          <w:sz w:val="22"/>
        </w:rPr>
        <w:t>salvage</w:t>
      </w:r>
      <w:r>
        <w:rPr>
          <w:sz w:val="22"/>
        </w:rPr>
        <w:t>, </w:t>
      </w:r>
      <w:r>
        <w:rPr>
          <w:rFonts w:ascii="Times New Roman" w:hAnsi="Times New Roman"/>
          <w:i/>
          <w:sz w:val="22"/>
        </w:rPr>
        <w:t>life</w:t>
      </w:r>
      <w:r>
        <w:rPr>
          <w:sz w:val="22"/>
        </w:rPr>
        <w:t>, or </w:t>
      </w:r>
      <w:r>
        <w:rPr>
          <w:rFonts w:ascii="Times New Roman" w:hAnsi="Times New Roman"/>
          <w:i/>
          <w:sz w:val="22"/>
        </w:rPr>
        <w:t>period </w:t>
      </w:r>
      <w:r>
        <w:rPr>
          <w:sz w:val="22"/>
        </w:rPr>
        <w:t>&lt; 0,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5084" w:firstLine="360"/>
        <w:jc w:val="left"/>
        <w:rPr>
          <w:sz w:val="22"/>
        </w:rPr>
      </w:pPr>
      <w:r>
        <w:rPr>
          <w:rFonts w:ascii="Times New Roman" w:hAnsi="Times New Roman"/>
          <w:i/>
          <w:sz w:val="22"/>
        </w:rPr>
        <w:t>month </w:t>
      </w:r>
      <w:r>
        <w:rPr>
          <w:sz w:val="22"/>
        </w:rPr>
        <w:t>is outside the range 1–12, </w:t>
      </w:r>
      <w:r>
        <w:rPr>
          <w:rFonts w:ascii="Consolas" w:hAnsi="Consolas"/>
          <w:sz w:val="22"/>
        </w:rPr>
        <w:t>#NUM!</w:t>
      </w:r>
      <w:r>
        <w:rPr>
          <w:rFonts w:ascii="Consolas" w:hAnsi="Consolas"/>
          <w:spacing w:val="-87"/>
          <w:sz w:val="22"/>
        </w:rPr>
        <w:t> </w:t>
      </w:r>
      <w:r>
        <w:rPr>
          <w:sz w:val="22"/>
        </w:rPr>
        <w:t>is returned. [</w:t>
      </w:r>
      <w:r>
        <w:rPr>
          <w:i/>
          <w:sz w:val="22"/>
        </w:rPr>
        <w:t>Example</w:t>
      </w:r>
      <w:r>
        <w:rPr>
          <w:sz w:val="22"/>
        </w:rPr>
        <w:t>:</w:t>
      </w:r>
    </w:p>
    <w:p>
      <w:pPr>
        <w:pStyle w:val="BodyText"/>
        <w:spacing w:line="276" w:lineRule="auto" w:before="128"/>
        <w:ind w:left="220" w:right="5295"/>
        <w:rPr>
          <w:rFonts w:ascii="Consolas"/>
        </w:rPr>
      </w:pPr>
      <w:r>
        <w:rPr>
          <w:rFonts w:ascii="Consolas"/>
        </w:rPr>
        <w:t>DB(1000000,100000,6,1,7)</w:t>
      </w:r>
      <w:r>
        <w:rPr>
          <w:rFonts w:ascii="Consolas"/>
          <w:spacing w:val="-89"/>
        </w:rPr>
        <w:t> </w:t>
      </w:r>
      <w:r>
        <w:rPr/>
        <w:t>results in </w:t>
      </w:r>
      <w:r>
        <w:rPr>
          <w:rFonts w:ascii="Consolas"/>
        </w:rPr>
        <w:t>186,083.33 DB(1000000,100000,6,2,7)</w:t>
      </w:r>
      <w:r>
        <w:rPr>
          <w:rFonts w:ascii="Consolas"/>
          <w:spacing w:val="-89"/>
        </w:rPr>
        <w:t> </w:t>
      </w:r>
      <w:r>
        <w:rPr/>
        <w:t>results in </w:t>
      </w:r>
      <w:r>
        <w:rPr>
          <w:rFonts w:ascii="Consolas"/>
        </w:rPr>
        <w:t>259,639.42 DB(1000000,100000,6,3,7)</w:t>
      </w:r>
      <w:r>
        <w:rPr>
          <w:rFonts w:ascii="Consolas"/>
          <w:spacing w:val="-89"/>
        </w:rPr>
        <w:t> </w:t>
      </w:r>
      <w:r>
        <w:rPr/>
        <w:t>results in </w:t>
      </w:r>
      <w:r>
        <w:rPr>
          <w:rFonts w:ascii="Consolas"/>
        </w:rPr>
        <w:t>176,814.44 DB(1000000,100000,6,4,7)</w:t>
      </w:r>
      <w:r>
        <w:rPr>
          <w:rFonts w:ascii="Consolas"/>
          <w:spacing w:val="-89"/>
        </w:rPr>
        <w:t> </w:t>
      </w:r>
      <w:r>
        <w:rPr/>
        <w:t>results in </w:t>
      </w:r>
      <w:r>
        <w:rPr>
          <w:rFonts w:ascii="Consolas"/>
        </w:rPr>
        <w:t>120,410.64 DB(1000000,100000,6,5,7) </w:t>
      </w:r>
      <w:r>
        <w:rPr/>
        <w:t>results in </w:t>
      </w:r>
      <w:r>
        <w:rPr>
          <w:rFonts w:ascii="Consolas"/>
        </w:rPr>
        <w:t>81,999.64 DB(1000000,100000,6,6,7) </w:t>
      </w:r>
      <w:r>
        <w:rPr/>
        <w:t>results in </w:t>
      </w:r>
      <w:r>
        <w:rPr>
          <w:rFonts w:ascii="Consolas"/>
        </w:rPr>
        <w:t>55,841.76 DB(1000000,100000,6,7,7)</w:t>
      </w:r>
      <w:r>
        <w:rPr>
          <w:rFonts w:ascii="Consolas"/>
          <w:spacing w:val="-82"/>
        </w:rPr>
        <w:t> </w:t>
      </w:r>
      <w:r>
        <w:rPr/>
        <w:t>results in </w:t>
      </w:r>
      <w:r>
        <w:rPr>
          <w:rFonts w:ascii="Consolas"/>
        </w:rPr>
        <w:t>15,845.10</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81 DCOUNT" w:id="1635"/>
      <w:bookmarkEnd w:id="1635"/>
      <w:r>
        <w:rPr/>
      </w:r>
      <w:bookmarkStart w:name="_bookmark544" w:id="1636"/>
      <w:bookmarkEnd w:id="1636"/>
      <w:r>
        <w:rPr/>
      </w:r>
      <w:bookmarkStart w:name="_bookmark544" w:id="1637"/>
      <w:bookmarkEnd w:id="1637"/>
      <w:r>
        <w:rPr>
          <w:color w:val="4F81BC"/>
        </w:rPr>
        <w:t>D</w:t>
      </w:r>
      <w:r>
        <w:rPr>
          <w:color w:val="4F81BC"/>
        </w:rPr>
        <w:t>COUNT</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DCOUNT ( </w:t>
      </w:r>
      <w:r>
        <w:rPr>
          <w:i/>
          <w:sz w:val="22"/>
        </w:rPr>
        <w:t>database </w:t>
      </w:r>
      <w:r>
        <w:rPr>
          <w:rFonts w:ascii="Lucida Console"/>
          <w:sz w:val="20"/>
        </w:rPr>
        <w:t>, </w:t>
      </w:r>
      <w:r>
        <w:rPr>
          <w:i/>
          <w:sz w:val="22"/>
        </w:rPr>
        <w:t>field </w:t>
      </w:r>
      <w:r>
        <w:rPr>
          <w:rFonts w:ascii="Lucida Console"/>
          <w:sz w:val="20"/>
        </w:rPr>
        <w:t>,</w:t>
      </w:r>
      <w:r>
        <w:rPr>
          <w:rFonts w:ascii="Lucida Console"/>
          <w:spacing w:val="-83"/>
          <w:sz w:val="20"/>
        </w:rPr>
        <w:t> </w:t>
      </w:r>
      <w:r>
        <w:rPr>
          <w:i/>
          <w:sz w:val="22"/>
        </w:rPr>
        <w:t>criteria </w:t>
      </w:r>
      <w:r>
        <w:rPr>
          <w:rFonts w:ascii="Lucida Console"/>
          <w:sz w:val="20"/>
        </w:rPr>
        <w:t>)</w:t>
      </w:r>
    </w:p>
    <w:p>
      <w:pPr>
        <w:pStyle w:val="BodyText"/>
        <w:spacing w:line="278" w:lineRule="auto" w:before="105"/>
        <w:ind w:left="220" w:right="406"/>
      </w:pPr>
      <w:r>
        <w:rPr>
          <w:b/>
        </w:rPr>
        <w:t>Description</w:t>
      </w:r>
      <w:r>
        <w:rPr/>
        <w:t>: Counts the number of values in a column of a list or database that match the specified criteria. (See the </w:t>
      </w:r>
      <w:r>
        <w:rPr>
          <w:rFonts w:ascii="Consolas" w:hAnsi="Consolas"/>
        </w:rPr>
        <w:t>DAVERAGE</w:t>
      </w:r>
      <w:r>
        <w:rPr>
          <w:rFonts w:ascii="Consolas" w:hAnsi="Consolas"/>
          <w:spacing w:val="-69"/>
        </w:rPr>
        <w:t> </w:t>
      </w:r>
      <w:r>
        <w:rPr/>
        <w:t>function §</w:t>
      </w:r>
      <w:hyperlink w:history="true" w:anchor="_bookmark540">
        <w:r>
          <w:rPr/>
          <w:t>18.17.7.77</w:t>
        </w:r>
      </w:hyperlink>
      <w:r>
        <w:rPr/>
        <w:t>.)</w:t>
      </w:r>
    </w:p>
    <w:p>
      <w:pPr>
        <w:pStyle w:val="BodyText"/>
        <w:spacing w:before="3"/>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5"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8"/>
        <w:rPr>
          <w:sz w:val="19"/>
        </w:rPr>
      </w:pPr>
    </w:p>
    <w:p>
      <w:pPr>
        <w:pStyle w:val="BodyText"/>
        <w:spacing w:line="453" w:lineRule="auto" w:before="1"/>
        <w:ind w:left="220" w:right="552"/>
      </w:pPr>
      <w:r>
        <w:rPr>
          <w:b/>
        </w:rPr>
        <w:t>Return Type and Value</w:t>
      </w:r>
      <w:r>
        <w:rPr/>
        <w:t>: number – The count of the values of the cells that correspond to the specified criteria. [</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line="276" w:lineRule="auto" w:before="108"/>
        <w:ind w:left="220" w:right="823"/>
      </w:pPr>
      <w:r>
        <w:rPr/>
        <w:t>For all the apple trees having a height between 10 and 16, the number of Age fields that contain numbers is computed by </w:t>
      </w:r>
      <w:r>
        <w:rPr>
          <w:rFonts w:ascii="Consolas"/>
        </w:rPr>
        <w:t>DCOUNT(A4:E10,"Age",A1:F2)</w:t>
      </w:r>
      <w:r>
        <w:rPr/>
        <w:t>, which results in </w:t>
      </w:r>
      <w:r>
        <w:rPr>
          <w:rFonts w:ascii="Consolas"/>
        </w:rPr>
        <w:t>1</w:t>
      </w:r>
      <w:r>
        <w:rPr/>
        <w:t>.</w:t>
      </w:r>
    </w:p>
    <w:p>
      <w:pPr>
        <w:pStyle w:val="BodyText"/>
        <w:spacing w:before="6"/>
        <w:rPr>
          <w:sz w:val="24"/>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2 DCOUNTA" w:id="1638"/>
      <w:bookmarkEnd w:id="1638"/>
      <w:r>
        <w:rPr/>
      </w:r>
      <w:bookmarkStart w:name="_bookmark545" w:id="1639"/>
      <w:bookmarkEnd w:id="1639"/>
      <w:r>
        <w:rPr/>
      </w:r>
      <w:bookmarkStart w:name="_bookmark545" w:id="1640"/>
      <w:bookmarkEnd w:id="1640"/>
      <w:r>
        <w:rPr>
          <w:color w:val="4F81BC"/>
        </w:rPr>
        <w:t>D</w:t>
      </w:r>
      <w:r>
        <w:rPr>
          <w:color w:val="4F81BC"/>
        </w:rPr>
        <w:t>COUNTA</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DCOUNTA ( </w:t>
      </w:r>
      <w:r>
        <w:rPr>
          <w:i/>
          <w:sz w:val="22"/>
        </w:rPr>
        <w:t>database  </w:t>
      </w:r>
      <w:r>
        <w:rPr>
          <w:rFonts w:ascii="Lucida Console"/>
          <w:sz w:val="20"/>
        </w:rPr>
        <w:t>, </w:t>
      </w:r>
      <w:r>
        <w:rPr>
          <w:i/>
          <w:sz w:val="22"/>
        </w:rPr>
        <w:t>field  </w:t>
      </w:r>
      <w:r>
        <w:rPr>
          <w:rFonts w:ascii="Lucida Console"/>
          <w:sz w:val="20"/>
        </w:rPr>
        <w:t>,</w:t>
      </w:r>
      <w:r>
        <w:rPr>
          <w:rFonts w:ascii="Lucida Console"/>
          <w:spacing w:val="-90"/>
          <w:sz w:val="20"/>
        </w:rPr>
        <w:t> </w:t>
      </w:r>
      <w:r>
        <w:rPr>
          <w:i/>
          <w:sz w:val="22"/>
        </w:rPr>
        <w:t>criteria  </w:t>
      </w:r>
      <w:r>
        <w:rPr>
          <w:rFonts w:ascii="Lucida Console"/>
          <w:sz w:val="20"/>
        </w:rPr>
        <w:t>)</w:t>
      </w:r>
    </w:p>
    <w:p>
      <w:pPr>
        <w:pStyle w:val="BodyText"/>
        <w:spacing w:line="278" w:lineRule="auto" w:before="105"/>
        <w:ind w:left="220" w:right="809"/>
      </w:pPr>
      <w:r>
        <w:rPr>
          <w:b/>
        </w:rPr>
        <w:t>Description</w:t>
      </w:r>
      <w:r>
        <w:rPr/>
        <w:t>: Counts the number of non-blank cells in a column of a list or database that match the specified criteria. (See the </w:t>
      </w:r>
      <w:r>
        <w:rPr>
          <w:rFonts w:ascii="Consolas" w:hAnsi="Consolas"/>
        </w:rPr>
        <w:t>DAVERAGE</w:t>
      </w:r>
      <w:r>
        <w:rPr>
          <w:rFonts w:ascii="Consolas" w:hAnsi="Consolas"/>
          <w:spacing w:val="-74"/>
        </w:rPr>
        <w:t> </w:t>
      </w:r>
      <w:r>
        <w:rPr/>
        <w:t>function §</w:t>
      </w:r>
      <w:hyperlink w:history="true" w:anchor="_bookmark540">
        <w:r>
          <w:rPr/>
          <w:t>18.17.7.77</w:t>
        </w:r>
      </w:hyperlink>
      <w:r>
        <w:rPr/>
        <w:t>.)</w:t>
      </w:r>
    </w:p>
    <w:p>
      <w:pPr>
        <w:pStyle w:val="BodyText"/>
        <w:spacing w:before="3"/>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9"/>
        </w:rPr>
        <w:t> </w:t>
      </w:r>
      <w:r>
        <w:rPr/>
        <w:t>function </w:t>
      </w:r>
      <w:hyperlink w:history="true" w:anchor="_bookmark540">
        <w:r>
          <w:rPr/>
          <w:t>§18.17.7.77</w:t>
        </w:r>
      </w:hyperlink>
      <w:r>
        <w:rPr/>
        <w:t>.)</w:t>
      </w:r>
    </w:p>
    <w:p>
      <w:pPr>
        <w:spacing w:after="0"/>
        <w:sectPr>
          <w:pgSz w:w="12240" w:h="15840"/>
          <w:pgMar w:header="763" w:footer="746" w:top="1340" w:bottom="940" w:left="860" w:right="700"/>
        </w:sectPr>
      </w:pPr>
    </w:p>
    <w:p>
      <w:pPr>
        <w:pStyle w:val="BodyText"/>
        <w:spacing w:line="453" w:lineRule="auto" w:before="93"/>
        <w:ind w:left="220" w:right="798"/>
      </w:pPr>
      <w:r>
        <w:rPr>
          <w:b/>
        </w:rPr>
        <w:t>Return Type and Value</w:t>
      </w:r>
      <w:r>
        <w:rPr/>
        <w:t>: number – The count of the non-blank cells that correspond to the specified criteria. [</w:t>
      </w:r>
      <w:r>
        <w:rPr>
          <w:i/>
        </w:rPr>
        <w:t>Example</w:t>
      </w:r>
      <w:r>
        <w:rPr/>
        <w:t>: Using the data in the example in the </w:t>
      </w:r>
      <w:r>
        <w:rPr>
          <w:rFonts w:ascii="Consolas" w:hAnsi="Consolas"/>
        </w:rPr>
        <w:t>DAVERAGE</w:t>
      </w:r>
      <w:r>
        <w:rPr>
          <w:rFonts w:ascii="Consolas" w:hAnsi="Consolas"/>
          <w:spacing w:val="-81"/>
        </w:rPr>
        <w:t> </w:t>
      </w:r>
      <w:r>
        <w:rPr/>
        <w:t>function §</w:t>
      </w:r>
      <w:hyperlink w:history="true" w:anchor="_bookmark540">
        <w:r>
          <w:rPr/>
          <w:t>18.17.7.77</w:t>
        </w:r>
      </w:hyperlink>
      <w:r>
        <w:rPr/>
        <w:t>:</w:t>
      </w:r>
    </w:p>
    <w:p>
      <w:pPr>
        <w:pStyle w:val="BodyText"/>
        <w:spacing w:line="276" w:lineRule="auto" w:before="108"/>
        <w:ind w:left="220" w:right="996"/>
      </w:pPr>
      <w:r>
        <w:rPr/>
        <w:t>For all the apple trees having a height between 10 and 16, the number of Profit fields that are not blank is computed by </w:t>
      </w:r>
      <w:r>
        <w:rPr>
          <w:rFonts w:ascii="Consolas"/>
        </w:rPr>
        <w:t>DCOUNTA(A4:E10,"Profit",A1:F2)</w:t>
      </w:r>
      <w:r>
        <w:rPr/>
        <w:t>, which results in </w:t>
      </w:r>
      <w:r>
        <w:rPr>
          <w:rFonts w:ascii="Consolas"/>
        </w:rPr>
        <w:t>1</w:t>
      </w:r>
      <w:r>
        <w:rPr/>
        <w:t>.</w:t>
      </w:r>
    </w:p>
    <w:p>
      <w:pPr>
        <w:pStyle w:val="BodyText"/>
        <w:spacing w:before="6"/>
        <w:rPr>
          <w:sz w:val="24"/>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3 DDB" w:id="1641"/>
      <w:bookmarkEnd w:id="1641"/>
      <w:r>
        <w:rPr/>
      </w:r>
      <w:bookmarkStart w:name="_bookmark546" w:id="1642"/>
      <w:bookmarkEnd w:id="1642"/>
      <w:r>
        <w:rPr/>
      </w:r>
      <w:bookmarkStart w:name="_bookmark546" w:id="1643"/>
      <w:bookmarkEnd w:id="1643"/>
      <w:r>
        <w:rPr>
          <w:color w:val="4F81BC"/>
        </w:rPr>
        <w:t>DDB</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DDB ( </w:t>
      </w:r>
      <w:r>
        <w:rPr>
          <w:i/>
          <w:sz w:val="22"/>
        </w:rPr>
        <w:t>cost </w:t>
      </w:r>
      <w:r>
        <w:rPr>
          <w:rFonts w:ascii="Lucida Console"/>
          <w:sz w:val="20"/>
        </w:rPr>
        <w:t>, </w:t>
      </w:r>
      <w:r>
        <w:rPr>
          <w:i/>
          <w:sz w:val="22"/>
        </w:rPr>
        <w:t>salvage </w:t>
      </w:r>
      <w:r>
        <w:rPr>
          <w:rFonts w:ascii="Lucida Console"/>
          <w:sz w:val="20"/>
        </w:rPr>
        <w:t>, </w:t>
      </w:r>
      <w:r>
        <w:rPr>
          <w:i/>
          <w:sz w:val="22"/>
        </w:rPr>
        <w:t>life </w:t>
      </w:r>
      <w:r>
        <w:rPr>
          <w:rFonts w:ascii="Lucida Console"/>
          <w:sz w:val="20"/>
        </w:rPr>
        <w:t>, </w:t>
      </w:r>
      <w:r>
        <w:rPr>
          <w:i/>
          <w:sz w:val="22"/>
        </w:rPr>
        <w:t>period  </w:t>
      </w:r>
      <w:r>
        <w:rPr>
          <w:sz w:val="22"/>
        </w:rPr>
        <w:t>[ </w:t>
      </w:r>
      <w:r>
        <w:rPr>
          <w:rFonts w:ascii="Lucida Console"/>
          <w:sz w:val="20"/>
        </w:rPr>
        <w:t>, </w:t>
      </w:r>
      <w:r>
        <w:rPr>
          <w:i/>
          <w:sz w:val="22"/>
        </w:rPr>
        <w:t>factor </w:t>
      </w:r>
      <w:r>
        <w:rPr>
          <w:sz w:val="22"/>
        </w:rPr>
        <w:t>] </w:t>
      </w:r>
      <w:r>
        <w:rPr>
          <w:rFonts w:ascii="Lucida Console"/>
          <w:sz w:val="20"/>
        </w:rPr>
        <w:t>)</w:t>
      </w:r>
    </w:p>
    <w:p>
      <w:pPr>
        <w:pStyle w:val="BodyText"/>
        <w:spacing w:line="276" w:lineRule="auto" w:before="109"/>
        <w:ind w:left="220" w:right="486"/>
      </w:pPr>
      <w:r>
        <w:rPr>
          <w:b/>
        </w:rPr>
        <w:t>Description</w:t>
      </w:r>
      <w:r>
        <w:rPr/>
        <w:t>: Computes the depreciation of an asset for a specified period using the double-declining balance or some other specified method. [</w:t>
      </w:r>
      <w:r>
        <w:rPr>
          <w:i/>
        </w:rPr>
        <w:t>Note</w:t>
      </w:r>
      <w:r>
        <w:rPr/>
        <w:t>: Use </w:t>
      </w:r>
      <w:r>
        <w:rPr>
          <w:rFonts w:ascii="Consolas" w:hAnsi="Consolas"/>
        </w:rPr>
        <w:t>VDB </w:t>
      </w:r>
      <w:r>
        <w:rPr/>
        <w:t>(§</w:t>
      </w:r>
      <w:hyperlink w:history="true" w:anchor="_bookmark806">
        <w:r>
          <w:rPr/>
          <w:t>18.17.7.341</w:t>
        </w:r>
      </w:hyperlink>
      <w:r>
        <w:rPr/>
        <w:t>) for a straight-line depreciation method when depreciation is greater than the declining balance calculation. </w:t>
      </w:r>
      <w:r>
        <w:rPr>
          <w:i/>
        </w:rPr>
        <w:t>end note</w:t>
      </w:r>
      <w:r>
        <w:rPr/>
        <w:t>]</w:t>
      </w:r>
    </w:p>
    <w:p>
      <w:pPr>
        <w:pStyle w:val="BodyText"/>
        <w:spacing w:before="6"/>
        <w:rPr>
          <w:sz w:val="16"/>
        </w:rPr>
      </w:pPr>
    </w:p>
    <w:p>
      <w:pPr>
        <w:pStyle w:val="Heading4"/>
        <w:spacing w:before="1"/>
        <w:rPr>
          <w:b w:val="0"/>
        </w:rPr>
      </w:pPr>
      <w:r>
        <w:rPr/>
        <w:t>Mathematical Formula</w:t>
      </w:r>
      <w:r>
        <w:rPr>
          <w:b w:val="0"/>
        </w:rPr>
        <w:t>:</w:t>
      </w:r>
    </w:p>
    <w:p>
      <w:pPr>
        <w:pStyle w:val="BodyText"/>
      </w:pPr>
    </w:p>
    <w:p>
      <w:pPr>
        <w:pStyle w:val="BodyText"/>
      </w:pPr>
    </w:p>
    <w:p>
      <w:pPr>
        <w:pStyle w:val="BodyText"/>
        <w:spacing w:before="187"/>
        <w:ind w:left="220"/>
        <w:rPr>
          <w:rFonts w:ascii="Cambria Math" w:hAnsi="Cambria Math" w:eastAsia="Cambria Math"/>
        </w:rPr>
      </w:pPr>
      <w:r>
        <w:rPr>
          <w:rFonts w:ascii="Cambria Math" w:hAnsi="Cambria Math" w:eastAsia="Cambria Math"/>
        </w:rPr>
        <w:t>𝑀𝐼𝑁( </w:t>
      </w:r>
      <w:r>
        <w:rPr>
          <w:rFonts w:ascii="Cambria Math" w:hAnsi="Cambria Math" w:eastAsia="Cambria Math"/>
          <w:position w:val="1"/>
        </w:rPr>
        <w:t>(</w:t>
      </w:r>
      <w:r>
        <w:rPr>
          <w:rFonts w:ascii="Cambria Math" w:hAnsi="Cambria Math" w:eastAsia="Cambria Math"/>
        </w:rPr>
        <w:t>𝑐𝑜𝑠𝑡 − 𝑡𝑜𝑡𝑎𝑙 𝑑𝑒𝑝𝑟𝑒𝑐𝑖𝑎𝑡𝑖𝑜𝑛 𝑓𝑟𝑜𝑚 𝑝𝑟𝑖𝑜𝑟 𝑝𝑒𝑟𝑖𝑜𝑑𝑠</w:t>
      </w:r>
      <w:r>
        <w:rPr>
          <w:rFonts w:ascii="Cambria Math" w:hAnsi="Cambria Math" w:eastAsia="Cambria Math"/>
          <w:position w:val="1"/>
        </w:rPr>
        <w:t>)</w:t>
      </w:r>
    </w:p>
    <w:p>
      <w:pPr>
        <w:pStyle w:val="BodyText"/>
        <w:spacing w:line="198" w:lineRule="exact" w:before="14"/>
        <w:ind w:left="1974"/>
        <w:rPr>
          <w:rFonts w:ascii="Cambria Math" w:eastAsia="Cambria Math"/>
        </w:rPr>
      </w:pPr>
      <w:r>
        <w:rPr>
          <w:rFonts w:ascii="Cambria Math" w:eastAsia="Cambria Math"/>
        </w:rPr>
        <w:t>𝑓𝑎𝑐𝑡𝑜𝑟</w:t>
      </w:r>
    </w:p>
    <w:p>
      <w:pPr>
        <w:spacing w:after="0" w:line="198" w:lineRule="exact"/>
        <w:rPr>
          <w:rFonts w:ascii="Cambria Math" w:eastAsia="Cambria Math"/>
        </w:rPr>
        <w:sectPr>
          <w:pgSz w:w="12240" w:h="15840"/>
          <w:pgMar w:header="761" w:footer="746" w:top="1340" w:bottom="940" w:left="860" w:right="700"/>
        </w:sectPr>
      </w:pPr>
    </w:p>
    <w:p>
      <w:pPr>
        <w:pStyle w:val="BodyText"/>
        <w:spacing w:line="174" w:lineRule="exact"/>
        <w:ind w:left="1660"/>
        <w:rPr>
          <w:rFonts w:ascii="Cambria Math" w:hAnsi="Cambria Math"/>
        </w:rPr>
      </w:pPr>
      <w:r>
        <w:rPr/>
        <w:pict>
          <v:line style="position:absolute;mso-position-horizontal-relative:page;mso-position-vertical-relative:paragraph;z-index:251756544" from="141.740005pt,5.840708pt" to="174.620005pt,5.840708pt" stroked="true" strokeweight=".72pt" strokecolor="#000000">
            <v:stroke dashstyle="solid"/>
            <w10:wrap type="none"/>
          </v:line>
        </w:pict>
      </w:r>
      <w:r>
        <w:rPr>
          <w:rFonts w:ascii="Cambria Math" w:hAnsi="Cambria Math"/>
          <w:w w:val="110"/>
        </w:rPr>
        <w:t>× (</w:t>
      </w:r>
    </w:p>
    <w:p>
      <w:pPr>
        <w:pStyle w:val="BodyText"/>
        <w:spacing w:line="203" w:lineRule="exact"/>
        <w:ind w:left="2116"/>
        <w:rPr>
          <w:rFonts w:ascii="Cambria Math" w:eastAsia="Cambria Math"/>
        </w:rPr>
      </w:pPr>
      <w:r>
        <w:rPr>
          <w:rFonts w:ascii="Cambria Math" w:eastAsia="Cambria Math"/>
        </w:rPr>
        <w:t>𝑙𝑖𝑓𝑒</w:t>
      </w:r>
    </w:p>
    <w:p>
      <w:pPr>
        <w:pStyle w:val="BodyText"/>
        <w:spacing w:line="228" w:lineRule="exact"/>
        <w:ind w:left="107"/>
        <w:rPr>
          <w:rFonts w:ascii="Cambria Math" w:hAnsi="Cambria Math" w:eastAsia="Cambria Math"/>
        </w:rPr>
      </w:pPr>
      <w:r>
        <w:rPr/>
        <w:br w:type="column"/>
      </w:r>
      <w:r>
        <w:rPr>
          <w:rFonts w:ascii="Cambria Math" w:hAnsi="Cambria Math" w:eastAsia="Cambria Math"/>
        </w:rPr>
        <w:t>) , </w:t>
      </w:r>
      <w:r>
        <w:rPr>
          <w:rFonts w:ascii="Cambria Math" w:hAnsi="Cambria Math" w:eastAsia="Cambria Math"/>
          <w:position w:val="1"/>
        </w:rPr>
        <w:t>(</w:t>
      </w:r>
      <w:r>
        <w:rPr>
          <w:rFonts w:ascii="Cambria Math" w:hAnsi="Cambria Math" w:eastAsia="Cambria Math"/>
        </w:rPr>
        <w:t>𝑐𝑜𝑠𝑡 − 𝑠𝑎𝑙𝑣𝑎𝑔𝑒 − 𝑡𝑜𝑡𝑎𝑙 𝑑𝑒𝑝𝑟𝑒𝑖𝑎𝑡𝑖𝑜𝑛 𝑓𝑟𝑜𝑚 𝑝𝑟𝑖𝑜𝑟 𝑝𝑒𝑟𝑖𝑜𝑑𝑠</w:t>
      </w:r>
      <w:r>
        <w:rPr>
          <w:rFonts w:ascii="Cambria Math" w:hAnsi="Cambria Math" w:eastAsia="Cambria Math"/>
          <w:position w:val="1"/>
        </w:rPr>
        <w:t>) </w:t>
      </w:r>
      <w:r>
        <w:rPr>
          <w:rFonts w:ascii="Cambria Math" w:hAnsi="Cambria Math" w:eastAsia="Cambria Math"/>
        </w:rPr>
        <w:t>)</w:t>
      </w:r>
    </w:p>
    <w:p>
      <w:pPr>
        <w:spacing w:after="0" w:line="228" w:lineRule="exact"/>
        <w:rPr>
          <w:rFonts w:ascii="Cambria Math" w:hAnsi="Cambria Math" w:eastAsia="Cambria Math"/>
        </w:rPr>
        <w:sectPr>
          <w:type w:val="continuous"/>
          <w:pgSz w:w="12240" w:h="15840"/>
          <w:pgMar w:top="1340" w:bottom="940" w:left="860" w:right="700"/>
          <w:cols w:num="2" w:equalWidth="0">
            <w:col w:w="2488" w:space="40"/>
            <w:col w:w="8152"/>
          </w:cols>
        </w:sectPr>
      </w:pPr>
    </w:p>
    <w:p>
      <w:pPr>
        <w:pStyle w:val="BodyText"/>
        <w:spacing w:before="6"/>
        <w:rPr>
          <w:rFonts w:ascii="Cambria Math"/>
          <w:sz w:val="15"/>
        </w:rPr>
      </w:pPr>
    </w:p>
    <w:p>
      <w:pPr>
        <w:pStyle w:val="BodyText"/>
        <w:spacing w:before="56"/>
        <w:ind w:left="220"/>
      </w:pPr>
      <w:r>
        <w:rPr/>
        <w:t>where:</w:t>
      </w:r>
    </w:p>
    <w:p>
      <w:pPr>
        <w:pStyle w:val="BodyText"/>
        <w:spacing w:before="9"/>
        <w:rPr>
          <w:sz w:val="19"/>
        </w:rPr>
      </w:pPr>
    </w:p>
    <w:p>
      <w:pPr>
        <w:spacing w:line="453" w:lineRule="auto" w:before="0"/>
        <w:ind w:left="220" w:right="8249" w:firstLine="0"/>
        <w:jc w:val="left"/>
        <w:rPr>
          <w:rFonts w:ascii="Times New Roman"/>
          <w:i/>
          <w:sz w:val="22"/>
        </w:rPr>
      </w:pPr>
      <w:r>
        <w:rPr>
          <w:rFonts w:ascii="Times New Roman"/>
          <w:i/>
          <w:sz w:val="22"/>
        </w:rPr>
        <w:t>cost </w:t>
      </w:r>
      <w:r>
        <w:rPr>
          <w:sz w:val="22"/>
        </w:rPr>
        <w:t>= argument </w:t>
      </w:r>
      <w:r>
        <w:rPr>
          <w:rFonts w:ascii="Times New Roman"/>
          <w:i/>
          <w:sz w:val="22"/>
        </w:rPr>
        <w:t>cost </w:t>
      </w:r>
      <w:r>
        <w:rPr>
          <w:rFonts w:ascii="Times New Roman"/>
          <w:i/>
          <w:sz w:val="22"/>
        </w:rPr>
        <w:t>factor </w:t>
      </w:r>
      <w:r>
        <w:rPr>
          <w:sz w:val="22"/>
        </w:rPr>
        <w:t>= argument </w:t>
      </w:r>
      <w:r>
        <w:rPr>
          <w:rFonts w:ascii="Times New Roman"/>
          <w:i/>
          <w:sz w:val="22"/>
        </w:rPr>
        <w:t>factor </w:t>
      </w:r>
      <w:r>
        <w:rPr>
          <w:rFonts w:ascii="Times New Roman"/>
          <w:i/>
          <w:sz w:val="22"/>
        </w:rPr>
        <w:t>life </w:t>
      </w:r>
      <w:r>
        <w:rPr>
          <w:sz w:val="22"/>
        </w:rPr>
        <w:t>= argument </w:t>
      </w:r>
      <w:r>
        <w:rPr>
          <w:rFonts w:ascii="Times New Roman"/>
          <w:i/>
          <w:sz w:val="22"/>
        </w:rPr>
        <w:t>life</w:t>
      </w:r>
    </w:p>
    <w:p>
      <w:pPr>
        <w:spacing w:before="4"/>
        <w:ind w:left="220" w:right="0" w:firstLine="0"/>
        <w:jc w:val="left"/>
        <w:rPr>
          <w:rFonts w:ascii="Times New Roman"/>
          <w:i/>
          <w:sz w:val="22"/>
        </w:rPr>
      </w:pPr>
      <w:r>
        <w:rPr>
          <w:rFonts w:ascii="Times New Roman"/>
          <w:i/>
          <w:sz w:val="22"/>
        </w:rPr>
        <w:t>salvage </w:t>
      </w:r>
      <w:r>
        <w:rPr>
          <w:sz w:val="22"/>
        </w:rPr>
        <w:t>= argument </w:t>
      </w:r>
      <w:r>
        <w:rPr>
          <w:rFonts w:ascii="Times New Roman"/>
          <w:i/>
          <w:sz w:val="22"/>
        </w:rPr>
        <w:t>salvage</w:t>
      </w:r>
    </w:p>
    <w:p>
      <w:pPr>
        <w:pStyle w:val="BodyText"/>
        <w:spacing w:before="7"/>
        <w:rPr>
          <w:rFonts w:ascii="Times New Roman"/>
          <w:i/>
          <w:sz w:val="20"/>
        </w:rPr>
      </w:pPr>
    </w:p>
    <w:p>
      <w:pPr>
        <w:pStyle w:val="BodyText"/>
        <w:tabs>
          <w:tab w:pos="3972" w:val="left" w:leader="none"/>
        </w:tabs>
        <w:spacing w:line="276" w:lineRule="auto" w:before="1"/>
        <w:ind w:left="220" w:right="780"/>
        <w:rPr>
          <w:rFonts w:ascii="Cambria Math" w:hAnsi="Cambria Math"/>
        </w:rPr>
      </w:pPr>
      <w:r>
        <w:rPr>
          <w:rFonts w:ascii="Times New Roman" w:hAnsi="Times New Roman"/>
          <w:i/>
        </w:rPr>
        <w:t>total depreciation from prior periods </w:t>
      </w:r>
      <w:r>
        <w:rPr/>
        <w:t>= </w:t>
      </w:r>
      <w:r>
        <w:rPr>
          <w:rFonts w:ascii="Consolas" w:hAnsi="Consolas"/>
        </w:rPr>
        <w:t>DDB(cost, salvage, life, 1, [factor]) + DDB(cost, salvage, life, 2,</w:t>
      </w:r>
      <w:r>
        <w:rPr>
          <w:rFonts w:ascii="Consolas" w:hAnsi="Consolas"/>
          <w:spacing w:val="-12"/>
        </w:rPr>
        <w:t> </w:t>
      </w:r>
      <w:r>
        <w:rPr>
          <w:rFonts w:ascii="Consolas" w:hAnsi="Consolas"/>
        </w:rPr>
        <w:t>[factor])</w:t>
      </w:r>
      <w:r>
        <w:rPr>
          <w:rFonts w:ascii="Consolas" w:hAnsi="Consolas"/>
          <w:spacing w:val="-3"/>
        </w:rPr>
        <w:t> </w:t>
      </w:r>
      <w:r>
        <w:rPr>
          <w:rFonts w:ascii="Consolas" w:hAnsi="Consolas"/>
        </w:rPr>
        <w:t>+</w:t>
        <w:tab/>
        <w:t>… + DDB(cost, salvage, life, period-1,</w:t>
      </w:r>
      <w:r>
        <w:rPr>
          <w:rFonts w:ascii="Consolas" w:hAnsi="Consolas"/>
          <w:spacing w:val="-25"/>
        </w:rPr>
        <w:t> </w:t>
      </w:r>
      <w:r>
        <w:rPr>
          <w:rFonts w:ascii="Consolas" w:hAnsi="Consolas"/>
        </w:rPr>
        <w:t>[factor]), where period &gt; 1. </w:t>
      </w:r>
      <w:r>
        <w:rPr/>
        <w:t>Depreciation for period = 1 can be calculated by using </w:t>
      </w:r>
      <w:r>
        <w:rPr>
          <w:rFonts w:ascii="Cambria Math" w:hAnsi="Cambria Math"/>
        </w:rPr>
        <w:t>cost ×</w:t>
      </w:r>
      <w:r>
        <w:rPr>
          <w:rFonts w:ascii="Cambria Math" w:hAnsi="Cambria Math"/>
          <w:spacing w:val="-25"/>
        </w:rPr>
        <w:t> </w:t>
      </w:r>
      <w:r>
        <w:rPr>
          <w:rFonts w:ascii="Cambria Math" w:hAnsi="Cambria Math"/>
        </w:rPr>
        <w:t>factor/life.</w:t>
      </w:r>
    </w:p>
    <w:p>
      <w:pPr>
        <w:pStyle w:val="BodyText"/>
        <w:spacing w:before="3"/>
        <w:rPr>
          <w:rFonts w:ascii="Cambria Math"/>
          <w:sz w:val="17"/>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cost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initial cost of the asset.</w:t>
            </w:r>
          </w:p>
        </w:tc>
      </w:tr>
      <w:tr>
        <w:trPr>
          <w:trHeight w:val="623" w:hRule="atLeast"/>
        </w:trPr>
        <w:tc>
          <w:tcPr>
            <w:tcW w:w="1466" w:type="dxa"/>
          </w:tcPr>
          <w:p>
            <w:pPr>
              <w:pStyle w:val="TableParagraph"/>
              <w:spacing w:before="37"/>
              <w:rPr>
                <w:rFonts w:ascii="Times New Roman"/>
                <w:i/>
                <w:sz w:val="22"/>
              </w:rPr>
            </w:pPr>
            <w:r>
              <w:rPr>
                <w:rFonts w:ascii="Times New Roman"/>
                <w:i/>
                <w:sz w:val="22"/>
              </w:rPr>
              <w:t>salvage</w:t>
            </w:r>
          </w:p>
        </w:tc>
        <w:tc>
          <w:tcPr>
            <w:tcW w:w="1800" w:type="dxa"/>
          </w:tcPr>
          <w:p>
            <w:pPr>
              <w:pStyle w:val="TableParagraph"/>
              <w:ind w:left="112"/>
              <w:rPr>
                <w:sz w:val="22"/>
              </w:rPr>
            </w:pPr>
            <w:r>
              <w:rPr>
                <w:sz w:val="22"/>
              </w:rPr>
              <w:t>number</w:t>
            </w:r>
          </w:p>
        </w:tc>
        <w:tc>
          <w:tcPr>
            <w:tcW w:w="5400" w:type="dxa"/>
          </w:tcPr>
          <w:p>
            <w:pPr>
              <w:pStyle w:val="TableParagraph"/>
              <w:ind w:left="113" w:right="898"/>
              <w:rPr>
                <w:sz w:val="22"/>
              </w:rPr>
            </w:pPr>
            <w:r>
              <w:rPr>
                <w:sz w:val="22"/>
              </w:rPr>
              <w:t>The value at the end of the depreciation. (This is sometimes called the salvage value of the asset.)</w:t>
            </w:r>
          </w:p>
        </w:tc>
      </w:tr>
      <w:tr>
        <w:trPr>
          <w:trHeight w:val="354" w:hRule="atLeast"/>
        </w:trPr>
        <w:tc>
          <w:tcPr>
            <w:tcW w:w="1466" w:type="dxa"/>
          </w:tcPr>
          <w:p>
            <w:pPr>
              <w:pStyle w:val="TableParagraph"/>
              <w:spacing w:before="37"/>
              <w:rPr>
                <w:rFonts w:ascii="Times New Roman"/>
                <w:i/>
                <w:sz w:val="22"/>
              </w:rPr>
            </w:pPr>
            <w:r>
              <w:rPr>
                <w:rFonts w:ascii="Times New Roman"/>
                <w:i/>
                <w:sz w:val="22"/>
              </w:rPr>
              <w:t>life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periods over which the asset is being</w:t>
            </w:r>
          </w:p>
        </w:tc>
      </w:tr>
    </w:tbl>
    <w:p>
      <w:pPr>
        <w:spacing w:after="0"/>
        <w:rPr>
          <w:sz w:val="22"/>
        </w:rPr>
        <w:sectPr>
          <w:type w:val="continuous"/>
          <w:pgSz w:w="12240" w:h="15840"/>
          <w:pgMar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355"/>
              <w:rPr>
                <w:sz w:val="22"/>
              </w:rPr>
            </w:pPr>
            <w:r>
              <w:rPr>
                <w:sz w:val="22"/>
              </w:rPr>
              <w:t>depreciated. (This is sometimes called the useful life of the asset.)</w:t>
            </w:r>
          </w:p>
        </w:tc>
      </w:tr>
      <w:tr>
        <w:trPr>
          <w:trHeight w:val="621" w:hRule="atLeast"/>
        </w:trPr>
        <w:tc>
          <w:tcPr>
            <w:tcW w:w="1466" w:type="dxa"/>
          </w:tcPr>
          <w:p>
            <w:pPr>
              <w:pStyle w:val="TableParagraph"/>
              <w:spacing w:before="37"/>
              <w:rPr>
                <w:rFonts w:ascii="Times New Roman"/>
                <w:i/>
                <w:sz w:val="22"/>
              </w:rPr>
            </w:pPr>
            <w:r>
              <w:rPr>
                <w:rFonts w:ascii="Times New Roman"/>
                <w:i/>
                <w:sz w:val="22"/>
              </w:rPr>
              <w:t>period</w:t>
            </w:r>
          </w:p>
        </w:tc>
        <w:tc>
          <w:tcPr>
            <w:tcW w:w="1800" w:type="dxa"/>
          </w:tcPr>
          <w:p>
            <w:pPr>
              <w:pStyle w:val="TableParagraph"/>
              <w:ind w:left="112"/>
              <w:rPr>
                <w:sz w:val="22"/>
              </w:rPr>
            </w:pPr>
            <w:r>
              <w:rPr>
                <w:sz w:val="22"/>
              </w:rPr>
              <w:t>number</w:t>
            </w:r>
          </w:p>
        </w:tc>
        <w:tc>
          <w:tcPr>
            <w:tcW w:w="5400" w:type="dxa"/>
          </w:tcPr>
          <w:p>
            <w:pPr>
              <w:pStyle w:val="TableParagraph"/>
              <w:ind w:left="113" w:right="152"/>
              <w:rPr>
                <w:sz w:val="22"/>
              </w:rPr>
            </w:pPr>
            <w:r>
              <w:rPr>
                <w:sz w:val="22"/>
              </w:rPr>
              <w:t>The period for which the depreciation is to be calculated. (</w:t>
            </w:r>
            <w:r>
              <w:rPr>
                <w:rFonts w:ascii="Times New Roman"/>
                <w:i/>
                <w:sz w:val="22"/>
              </w:rPr>
              <w:t>period </w:t>
            </w:r>
            <w:r>
              <w:rPr>
                <w:sz w:val="22"/>
              </w:rPr>
              <w:t>shall use the same units as </w:t>
            </w:r>
            <w:r>
              <w:rPr>
                <w:rFonts w:ascii="Times New Roman"/>
                <w:i/>
                <w:sz w:val="22"/>
              </w:rPr>
              <w:t>life</w:t>
            </w:r>
            <w:r>
              <w:rPr>
                <w:sz w:val="22"/>
              </w:rPr>
              <w:t>.)</w:t>
            </w:r>
          </w:p>
        </w:tc>
      </w:tr>
      <w:tr>
        <w:trPr>
          <w:trHeight w:val="623" w:hRule="atLeast"/>
        </w:trPr>
        <w:tc>
          <w:tcPr>
            <w:tcW w:w="1466" w:type="dxa"/>
          </w:tcPr>
          <w:p>
            <w:pPr>
              <w:pStyle w:val="TableParagraph"/>
              <w:spacing w:before="37"/>
              <w:rPr>
                <w:rFonts w:ascii="Times New Roman"/>
                <w:i/>
                <w:sz w:val="22"/>
              </w:rPr>
            </w:pPr>
            <w:r>
              <w:rPr>
                <w:rFonts w:ascii="Times New Roman"/>
                <w:i/>
                <w:sz w:val="22"/>
              </w:rPr>
              <w:t>factor</w:t>
            </w:r>
          </w:p>
        </w:tc>
        <w:tc>
          <w:tcPr>
            <w:tcW w:w="1800" w:type="dxa"/>
          </w:tcPr>
          <w:p>
            <w:pPr>
              <w:pStyle w:val="TableParagraph"/>
              <w:ind w:left="112"/>
              <w:rPr>
                <w:sz w:val="22"/>
              </w:rPr>
            </w:pPr>
            <w:r>
              <w:rPr>
                <w:sz w:val="22"/>
              </w:rPr>
              <w:t>number</w:t>
            </w:r>
          </w:p>
        </w:tc>
        <w:tc>
          <w:tcPr>
            <w:tcW w:w="5400" w:type="dxa"/>
          </w:tcPr>
          <w:p>
            <w:pPr>
              <w:pStyle w:val="TableParagraph"/>
              <w:ind w:left="113" w:right="205"/>
              <w:rPr>
                <w:sz w:val="22"/>
              </w:rPr>
            </w:pPr>
            <w:r>
              <w:rPr>
                <w:sz w:val="22"/>
              </w:rPr>
              <w:t>The rate at which the balance declines. If omitted, it is assumed to be 2 (the double-declining balance method).</w:t>
            </w:r>
          </w:p>
        </w:tc>
      </w:tr>
    </w:tbl>
    <w:p>
      <w:pPr>
        <w:pStyle w:val="BodyText"/>
        <w:rPr>
          <w:sz w:val="20"/>
        </w:rPr>
      </w:pPr>
    </w:p>
    <w:p>
      <w:pPr>
        <w:pStyle w:val="BodyText"/>
        <w:rPr>
          <w:sz w:val="17"/>
        </w:rPr>
      </w:pPr>
    </w:p>
    <w:p>
      <w:pPr>
        <w:spacing w:line="453" w:lineRule="auto" w:before="56"/>
        <w:ind w:left="220" w:right="2802" w:firstLine="0"/>
        <w:jc w:val="left"/>
        <w:rPr>
          <w:sz w:val="22"/>
        </w:rPr>
      </w:pPr>
      <w:r>
        <w:rPr>
          <w:b/>
          <w:sz w:val="22"/>
        </w:rPr>
        <w:t>Return Type and Value</w:t>
      </w:r>
      <w:r>
        <w:rPr>
          <w:sz w:val="22"/>
        </w:rPr>
        <w:t>: number – The depreciation of an asset for a specified period.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salvage &lt; 0 #NUM! is</w:t>
      </w:r>
      <w:r>
        <w:rPr>
          <w:spacing w:val="-7"/>
          <w:sz w:val="22"/>
        </w:rPr>
        <w:t> </w:t>
      </w:r>
      <w:r>
        <w:rPr>
          <w:sz w:val="22"/>
        </w:rPr>
        <w:t>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sz w:val="22"/>
        </w:rPr>
        <w:t>cost life ≤ 0, #NUM! is</w:t>
      </w:r>
      <w:r>
        <w:rPr>
          <w:spacing w:val="-8"/>
          <w:sz w:val="22"/>
        </w:rPr>
        <w:t> </w:t>
      </w:r>
      <w:r>
        <w:rPr>
          <w:sz w:val="22"/>
        </w:rPr>
        <w:t>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sz w:val="22"/>
        </w:rPr>
        <w:t>life ≤ 0 #NUM! is</w:t>
      </w:r>
      <w:r>
        <w:rPr>
          <w:spacing w:val="-3"/>
          <w:sz w:val="22"/>
        </w:rPr>
        <w:t> </w:t>
      </w:r>
      <w:r>
        <w:rPr>
          <w:sz w:val="22"/>
        </w:rPr>
        <w:t>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sz w:val="22"/>
        </w:rPr>
        <w:t>period ≤ 0, #NUM! is</w:t>
      </w:r>
      <w:r>
        <w:rPr>
          <w:spacing w:val="-7"/>
          <w:sz w:val="22"/>
        </w:rPr>
        <w:t> </w:t>
      </w:r>
      <w:r>
        <w:rPr>
          <w:sz w:val="22"/>
        </w:rPr>
        <w:t>returned.</w:t>
      </w:r>
    </w:p>
    <w:p>
      <w:pPr>
        <w:pStyle w:val="ListParagraph"/>
        <w:numPr>
          <w:ilvl w:val="4"/>
          <w:numId w:val="66"/>
        </w:numPr>
        <w:tabs>
          <w:tab w:pos="940" w:val="left" w:leader="none"/>
          <w:tab w:pos="941" w:val="left" w:leader="none"/>
        </w:tabs>
        <w:spacing w:line="446" w:lineRule="auto" w:before="41" w:after="0"/>
        <w:ind w:left="220" w:right="7041" w:firstLine="360"/>
        <w:jc w:val="left"/>
        <w:rPr>
          <w:sz w:val="22"/>
        </w:rPr>
      </w:pPr>
      <w:r>
        <w:rPr>
          <w:sz w:val="22"/>
        </w:rPr>
        <w:t>factor ≤ 0, #NUM! is returned. [</w:t>
      </w:r>
      <w:r>
        <w:rPr>
          <w:i/>
          <w:sz w:val="22"/>
        </w:rPr>
        <w:t>Example</w:t>
      </w:r>
      <w:r>
        <w:rPr>
          <w:sz w:val="22"/>
        </w:rPr>
        <w:t>:</w:t>
      </w:r>
    </w:p>
    <w:p>
      <w:pPr>
        <w:pStyle w:val="BodyText"/>
        <w:spacing w:line="276" w:lineRule="auto" w:before="126"/>
        <w:ind w:left="220" w:right="6153"/>
        <w:rPr>
          <w:rFonts w:ascii="Consolas"/>
        </w:rPr>
      </w:pPr>
      <w:r>
        <w:rPr>
          <w:rFonts w:ascii="Consolas"/>
        </w:rPr>
        <w:t>DDB(2400,300,10*365,1) </w:t>
      </w:r>
      <w:r>
        <w:rPr/>
        <w:t>results in </w:t>
      </w:r>
      <w:r>
        <w:rPr>
          <w:rFonts w:ascii="Consolas"/>
        </w:rPr>
        <w:t>1.32 DDB(2400,300,10*12,1,2)</w:t>
      </w:r>
      <w:r>
        <w:rPr>
          <w:rFonts w:ascii="Consolas"/>
          <w:spacing w:val="-87"/>
        </w:rPr>
        <w:t> </w:t>
      </w:r>
      <w:r>
        <w:rPr/>
        <w:t>results in </w:t>
      </w:r>
      <w:r>
        <w:rPr>
          <w:rFonts w:ascii="Consolas"/>
        </w:rPr>
        <w:t>40.00 DDB(2400,300,10,1,2) </w:t>
      </w:r>
      <w:r>
        <w:rPr/>
        <w:t>results in </w:t>
      </w:r>
      <w:r>
        <w:rPr>
          <w:rFonts w:ascii="Consolas"/>
        </w:rPr>
        <w:t>480.00 DDB(2400,300,10,2,1.5)</w:t>
      </w:r>
      <w:r>
        <w:rPr>
          <w:rFonts w:ascii="Consolas"/>
          <w:spacing w:val="-85"/>
        </w:rPr>
        <w:t> </w:t>
      </w:r>
      <w:r>
        <w:rPr/>
        <w:t>results in </w:t>
      </w:r>
      <w:r>
        <w:rPr>
          <w:rFonts w:ascii="Consolas"/>
        </w:rPr>
        <w:t>306.00 DDB(2400,300,10,10)</w:t>
      </w:r>
      <w:r>
        <w:rPr>
          <w:rFonts w:ascii="Consolas"/>
          <w:spacing w:val="-77"/>
        </w:rPr>
        <w:t> </w:t>
      </w:r>
      <w:r>
        <w:rPr/>
        <w:t>results in </w:t>
      </w:r>
      <w:r>
        <w:rPr>
          <w:rFonts w:ascii="Consolas"/>
        </w:rPr>
        <w:t>22.12</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4 DEC2BIN" w:id="1644"/>
      <w:bookmarkEnd w:id="1644"/>
      <w:r>
        <w:rPr/>
      </w:r>
      <w:bookmarkStart w:name="_bookmark547" w:id="1645"/>
      <w:bookmarkEnd w:id="1645"/>
      <w:r>
        <w:rPr/>
      </w:r>
      <w:bookmarkStart w:name="_bookmark547" w:id="1646"/>
      <w:bookmarkEnd w:id="1646"/>
      <w:r>
        <w:rPr>
          <w:color w:val="4F81BC"/>
        </w:rPr>
        <w:t>DE</w:t>
      </w:r>
      <w:r>
        <w:rPr>
          <w:color w:val="4F81BC"/>
        </w:rPr>
        <w:t>C2BIN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DEC2BIN ( </w:t>
      </w:r>
      <w:r>
        <w:rPr>
          <w:i/>
          <w:sz w:val="22"/>
        </w:rPr>
        <w:t>number </w:t>
      </w:r>
      <w:r>
        <w:rPr>
          <w:sz w:val="22"/>
        </w:rPr>
        <w:t>[ </w:t>
      </w:r>
      <w:r>
        <w:rPr>
          <w:rFonts w:ascii="Lucida Console"/>
          <w:sz w:val="20"/>
        </w:rPr>
        <w:t>, </w:t>
      </w:r>
      <w:r>
        <w:rPr>
          <w:i/>
          <w:sz w:val="22"/>
        </w:rPr>
        <w:t>num-bin-digits </w:t>
      </w:r>
      <w:r>
        <w:rPr>
          <w:sz w:val="22"/>
        </w:rPr>
        <w:t>] </w:t>
      </w:r>
      <w:r>
        <w:rPr>
          <w:rFonts w:ascii="Lucida Console"/>
          <w:sz w:val="20"/>
        </w:rPr>
        <w:t>)</w:t>
      </w:r>
    </w:p>
    <w:p>
      <w:pPr>
        <w:spacing w:before="108"/>
        <w:ind w:left="220" w:right="0" w:firstLine="0"/>
        <w:jc w:val="left"/>
        <w:rPr>
          <w:sz w:val="22"/>
        </w:rPr>
      </w:pPr>
      <w:r>
        <w:rPr>
          <w:b/>
          <w:sz w:val="22"/>
        </w:rPr>
        <w:t>Description: </w:t>
      </w:r>
      <w:r>
        <w:rPr>
          <w:sz w:val="22"/>
        </w:rPr>
        <w:t>Makes the binary equivalent of </w:t>
      </w:r>
      <w:r>
        <w:rPr>
          <w:rFonts w:ascii="Times New Roman"/>
          <w:i/>
          <w:sz w:val="22"/>
        </w:rPr>
        <w:t>number</w:t>
      </w:r>
      <w:r>
        <w:rPr>
          <w:sz w:val="22"/>
        </w:rPr>
        <w:t>, with the result having </w:t>
      </w:r>
      <w:r>
        <w:rPr>
          <w:rFonts w:ascii="Times New Roman"/>
          <w:i/>
          <w:sz w:val="22"/>
        </w:rPr>
        <w:t>num-bin-digits </w:t>
      </w:r>
      <w:r>
        <w:rPr>
          <w:sz w:val="22"/>
        </w:rPr>
        <w:t>digits.</w:t>
      </w:r>
    </w:p>
    <w:p>
      <w:pPr>
        <w:pStyle w:val="BodyText"/>
        <w:spacing w:before="8"/>
        <w:rPr>
          <w:sz w:val="19"/>
        </w:rPr>
      </w:pPr>
    </w:p>
    <w:p>
      <w:pPr>
        <w:pStyle w:val="Heading4"/>
        <w:spacing w:before="1"/>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331"/>
              <w:rPr>
                <w:sz w:val="22"/>
              </w:rPr>
            </w:pPr>
            <w:r>
              <w:rPr>
                <w:sz w:val="22"/>
              </w:rPr>
              <w:t>The decimal number that is to be converted to a binary string.</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num-bin-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123"/>
              <w:rPr>
                <w:sz w:val="22"/>
              </w:rPr>
            </w:pPr>
            <w:r>
              <w:rPr>
                <w:sz w:val="22"/>
              </w:rPr>
              <w:t>The number of digits in the result, with leading zeros added as necessary. However, if </w:t>
            </w:r>
            <w:r>
              <w:rPr>
                <w:rFonts w:ascii="Times New Roman"/>
                <w:i/>
                <w:sz w:val="22"/>
              </w:rPr>
              <w:t>number </w:t>
            </w:r>
            <w:r>
              <w:rPr>
                <w:sz w:val="22"/>
              </w:rPr>
              <w:t>is negative, </w:t>
            </w:r>
            <w:r>
              <w:rPr>
                <w:rFonts w:ascii="Times New Roman"/>
                <w:i/>
                <w:sz w:val="22"/>
              </w:rPr>
              <w:t>num- </w:t>
            </w:r>
            <w:r>
              <w:rPr>
                <w:rFonts w:ascii="Times New Roman"/>
                <w:i/>
                <w:sz w:val="22"/>
              </w:rPr>
              <w:t>bin-digits </w:t>
            </w:r>
            <w:r>
              <w:rPr>
                <w:sz w:val="22"/>
              </w:rPr>
              <w:t>is ignored and the result has 10 digits. If</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482"/>
              <w:rPr>
                <w:sz w:val="22"/>
              </w:rPr>
            </w:pPr>
            <w:r>
              <w:rPr>
                <w:sz w:val="22"/>
              </w:rPr>
              <w:t>omitted, the minimum number of digits is used in the result. </w:t>
            </w:r>
            <w:r>
              <w:rPr>
                <w:rFonts w:ascii="Times New Roman"/>
                <w:i/>
                <w:sz w:val="22"/>
              </w:rPr>
              <w:t>num-bin-digits </w:t>
            </w:r>
            <w:r>
              <w:rPr>
                <w:sz w:val="22"/>
              </w:rPr>
              <w:t>is truncated to an integer.</w:t>
            </w:r>
          </w:p>
        </w:tc>
      </w:tr>
    </w:tbl>
    <w:p>
      <w:pPr>
        <w:pStyle w:val="BodyText"/>
        <w:rPr>
          <w:b/>
          <w:sz w:val="20"/>
        </w:rPr>
      </w:pPr>
    </w:p>
    <w:p>
      <w:pPr>
        <w:pStyle w:val="BodyText"/>
        <w:spacing w:before="5"/>
        <w:rPr>
          <w:b/>
          <w:sz w:val="21"/>
        </w:rPr>
      </w:pPr>
    </w:p>
    <w:p>
      <w:pPr>
        <w:pStyle w:val="BodyText"/>
        <w:spacing w:line="278" w:lineRule="auto"/>
        <w:ind w:left="220" w:right="420"/>
      </w:pPr>
      <w:r>
        <w:rPr>
          <w:b/>
        </w:rPr>
        <w:t>Return Type and Value: </w:t>
      </w:r>
      <w:r>
        <w:rPr/>
        <w:t>text – The binary equivalent of </w:t>
      </w:r>
      <w:r>
        <w:rPr>
          <w:rFonts w:ascii="Times New Roman" w:hAnsi="Times New Roman"/>
          <w:i/>
        </w:rPr>
        <w:t>number </w:t>
      </w:r>
      <w:r>
        <w:rPr/>
        <w:t>using twos-complement representation with the left-most bit (10th bit from the right) representing the sign bit.</w:t>
      </w:r>
    </w:p>
    <w:p>
      <w:pPr>
        <w:pStyle w:val="BodyText"/>
        <w:spacing w:before="2"/>
        <w:rPr>
          <w:sz w:val="16"/>
        </w:rPr>
      </w:pPr>
    </w:p>
    <w:p>
      <w:pPr>
        <w:pStyle w:val="BodyText"/>
        <w:spacing w:before="1"/>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73" w:lineRule="auto" w:before="0" w:after="0"/>
        <w:ind w:left="940" w:right="399" w:hanging="360"/>
        <w:jc w:val="left"/>
        <w:rPr>
          <w:sz w:val="22"/>
        </w:rPr>
      </w:pPr>
      <w:r>
        <w:rPr>
          <w:rFonts w:ascii="Times New Roman" w:hAnsi="Times New Roman"/>
          <w:i/>
          <w:sz w:val="22"/>
        </w:rPr>
        <w:t>number</w:t>
      </w:r>
      <w:r>
        <w:rPr>
          <w:rFonts w:ascii="Times New Roman" w:hAnsi="Times New Roman"/>
          <w:i/>
          <w:spacing w:val="-7"/>
          <w:sz w:val="22"/>
        </w:rPr>
        <w:t> </w:t>
      </w:r>
      <w:r>
        <w:rPr>
          <w:sz w:val="22"/>
        </w:rPr>
        <w:t>is</w:t>
      </w:r>
      <w:r>
        <w:rPr>
          <w:spacing w:val="-5"/>
          <w:sz w:val="22"/>
        </w:rPr>
        <w:t> </w:t>
      </w:r>
      <w:r>
        <w:rPr>
          <w:sz w:val="22"/>
        </w:rPr>
        <w:t>outside</w:t>
      </w:r>
      <w:r>
        <w:rPr>
          <w:spacing w:val="-1"/>
          <w:sz w:val="22"/>
        </w:rPr>
        <w:t> </w:t>
      </w:r>
      <w:r>
        <w:rPr>
          <w:sz w:val="22"/>
        </w:rPr>
        <w:t>the</w:t>
      </w:r>
      <w:r>
        <w:rPr>
          <w:spacing w:val="-5"/>
          <w:sz w:val="22"/>
        </w:rPr>
        <w:t> </w:t>
      </w:r>
      <w:r>
        <w:rPr>
          <w:sz w:val="22"/>
        </w:rPr>
        <w:t>range</w:t>
      </w:r>
      <w:r>
        <w:rPr>
          <w:spacing w:val="-1"/>
          <w:sz w:val="22"/>
        </w:rPr>
        <w:t> </w:t>
      </w:r>
      <w:r>
        <w:rPr>
          <w:rFonts w:ascii="Consolas" w:hAnsi="Consolas"/>
          <w:sz w:val="22"/>
        </w:rPr>
        <w:t>-512</w:t>
      </w:r>
      <w:r>
        <w:rPr>
          <w:rFonts w:ascii="Consolas" w:hAnsi="Consolas"/>
          <w:spacing w:val="-74"/>
          <w:sz w:val="22"/>
        </w:rPr>
        <w:t> </w:t>
      </w:r>
      <w:r>
        <w:rPr>
          <w:sz w:val="22"/>
        </w:rPr>
        <w:t>(1000000000</w:t>
      </w:r>
      <w:r>
        <w:rPr>
          <w:spacing w:val="-2"/>
          <w:sz w:val="22"/>
        </w:rPr>
        <w:t> </w:t>
      </w:r>
      <w:r>
        <w:rPr>
          <w:sz w:val="22"/>
        </w:rPr>
        <w:t>binary) to</w:t>
      </w:r>
      <w:r>
        <w:rPr>
          <w:spacing w:val="-3"/>
          <w:sz w:val="22"/>
        </w:rPr>
        <w:t> </w:t>
      </w:r>
      <w:r>
        <w:rPr>
          <w:rFonts w:ascii="Consolas" w:hAnsi="Consolas"/>
          <w:sz w:val="22"/>
        </w:rPr>
        <w:t>511</w:t>
      </w:r>
      <w:r>
        <w:rPr>
          <w:rFonts w:ascii="Consolas" w:hAnsi="Consolas"/>
          <w:spacing w:val="-5"/>
          <w:sz w:val="22"/>
        </w:rPr>
        <w:t> </w:t>
      </w:r>
      <w:r>
        <w:rPr>
          <w:sz w:val="22"/>
        </w:rPr>
        <w:t>(0111111111 binary),</w:t>
      </w:r>
      <w:r>
        <w:rPr>
          <w:spacing w:val="-2"/>
          <w:sz w:val="22"/>
        </w:rPr>
        <w:t> </w:t>
      </w:r>
      <w:r>
        <w:rPr>
          <w:sz w:val="22"/>
        </w:rPr>
        <w:t>inclusive,</w:t>
      </w:r>
      <w:r>
        <w:rPr>
          <w:spacing w:val="-4"/>
          <w:sz w:val="22"/>
        </w:rPr>
        <w:t> </w:t>
      </w:r>
      <w:r>
        <w:rPr>
          <w:rFonts w:ascii="Consolas" w:hAnsi="Consolas"/>
          <w:sz w:val="22"/>
        </w:rPr>
        <w:t>#NUM!</w:t>
      </w:r>
      <w:r>
        <w:rPr>
          <w:rFonts w:ascii="Consolas" w:hAnsi="Consolas"/>
          <w:spacing w:val="-72"/>
          <w:sz w:val="22"/>
        </w:rPr>
        <w:t> </w:t>
      </w:r>
      <w:r>
        <w:rPr>
          <w:sz w:val="22"/>
        </w:rPr>
        <w:t>is returned.</w:t>
      </w:r>
    </w:p>
    <w:p>
      <w:pPr>
        <w:pStyle w:val="ListParagraph"/>
        <w:numPr>
          <w:ilvl w:val="4"/>
          <w:numId w:val="66"/>
        </w:numPr>
        <w:tabs>
          <w:tab w:pos="940" w:val="left" w:leader="none"/>
          <w:tab w:pos="941" w:val="left" w:leader="none"/>
        </w:tabs>
        <w:spacing w:line="240" w:lineRule="auto" w:before="4"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num-bin-digits</w:t>
      </w:r>
      <w:r>
        <w:rPr>
          <w:sz w:val="22"/>
        </w:rPr>
        <w:t>,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6" w:lineRule="auto" w:before="40" w:after="0"/>
        <w:ind w:left="220" w:right="5643" w:firstLine="360"/>
        <w:jc w:val="left"/>
        <w:rPr>
          <w:sz w:val="22"/>
        </w:rPr>
      </w:pPr>
      <w:r>
        <w:rPr>
          <w:rFonts w:ascii="Times New Roman" w:hAnsi="Times New Roman"/>
          <w:i/>
          <w:sz w:val="22"/>
        </w:rPr>
        <w:t>num-bin-digits </w:t>
      </w:r>
      <w:r>
        <w:rPr>
          <w:sz w:val="22"/>
        </w:rPr>
        <w:t>≤ 0 or &gt; 10, </w:t>
      </w:r>
      <w:r>
        <w:rPr>
          <w:rFonts w:ascii="Consolas" w:hAnsi="Consolas"/>
          <w:sz w:val="22"/>
        </w:rPr>
        <w:t>#NUM!</w:t>
      </w:r>
      <w:r>
        <w:rPr>
          <w:rFonts w:ascii="Consolas" w:hAnsi="Consolas"/>
          <w:spacing w:val="-85"/>
          <w:sz w:val="22"/>
        </w:rPr>
        <w:t> </w:t>
      </w:r>
      <w:r>
        <w:rPr>
          <w:sz w:val="22"/>
        </w:rPr>
        <w:t>is returned. [</w:t>
      </w:r>
      <w:r>
        <w:rPr>
          <w:i/>
          <w:sz w:val="22"/>
        </w:rPr>
        <w:t>Example</w:t>
      </w:r>
      <w:r>
        <w:rPr>
          <w:sz w:val="22"/>
        </w:rPr>
        <w:t>:</w:t>
      </w:r>
    </w:p>
    <w:p>
      <w:pPr>
        <w:pStyle w:val="BodyText"/>
        <w:spacing w:line="273" w:lineRule="auto" w:before="128"/>
        <w:ind w:left="220" w:right="6692"/>
        <w:rPr>
          <w:rFonts w:ascii="Consolas"/>
        </w:rPr>
      </w:pPr>
      <w:r>
        <w:rPr>
          <w:rFonts w:ascii="Consolas"/>
        </w:rPr>
        <w:t>DEC2BIN(23) </w:t>
      </w:r>
      <w:r>
        <w:rPr/>
        <w:t>results in </w:t>
      </w:r>
      <w:r>
        <w:rPr>
          <w:rFonts w:ascii="Consolas"/>
        </w:rPr>
        <w:t>10111 DEC2BIN(-256) </w:t>
      </w:r>
      <w:r>
        <w:rPr/>
        <w:t>results in </w:t>
      </w:r>
      <w:r>
        <w:rPr>
          <w:rFonts w:ascii="Consolas"/>
        </w:rPr>
        <w:t>1100000000</w:t>
      </w:r>
    </w:p>
    <w:p>
      <w:pPr>
        <w:pStyle w:val="BodyText"/>
        <w:spacing w:before="5"/>
        <w:ind w:left="220"/>
        <w:rPr>
          <w:rFonts w:ascii="Consolas"/>
        </w:rPr>
      </w:pPr>
      <w:r>
        <w:rPr>
          <w:rFonts w:ascii="Consolas"/>
        </w:rPr>
        <w:t>DEC2BIN(18,7) </w:t>
      </w:r>
      <w:r>
        <w:rPr/>
        <w:t>results in </w:t>
      </w:r>
      <w:r>
        <w:rPr>
          <w:rFonts w:ascii="Consolas"/>
        </w:rPr>
        <w:t>0010010</w:t>
      </w:r>
    </w:p>
    <w:p>
      <w:pPr>
        <w:pStyle w:val="BodyText"/>
        <w:spacing w:before="10"/>
        <w:rPr>
          <w:rFonts w:ascii="Consolas"/>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5 DEC2HEX" w:id="1647"/>
      <w:bookmarkEnd w:id="1647"/>
      <w:r>
        <w:rPr/>
      </w:r>
      <w:bookmarkStart w:name="_bookmark548" w:id="1648"/>
      <w:bookmarkEnd w:id="1648"/>
      <w:r>
        <w:rPr/>
      </w:r>
      <w:bookmarkStart w:name="_bookmark548" w:id="1649"/>
      <w:bookmarkEnd w:id="1649"/>
      <w:r>
        <w:rPr>
          <w:color w:val="4F81BC"/>
        </w:rPr>
        <w:t>DE</w:t>
      </w:r>
      <w:r>
        <w:rPr>
          <w:color w:val="4F81BC"/>
        </w:rPr>
        <w:t>C2HEX</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DEC2HEX ( </w:t>
      </w:r>
      <w:r>
        <w:rPr>
          <w:i/>
          <w:sz w:val="22"/>
        </w:rPr>
        <w:t>number </w:t>
      </w:r>
      <w:r>
        <w:rPr>
          <w:sz w:val="22"/>
        </w:rPr>
        <w:t>[ </w:t>
      </w:r>
      <w:r>
        <w:rPr>
          <w:rFonts w:ascii="Lucida Console"/>
          <w:sz w:val="20"/>
        </w:rPr>
        <w:t>, </w:t>
      </w:r>
      <w:r>
        <w:rPr>
          <w:i/>
          <w:sz w:val="22"/>
        </w:rPr>
        <w:t>num-hex-digits </w:t>
      </w:r>
      <w:r>
        <w:rPr>
          <w:sz w:val="22"/>
        </w:rPr>
        <w:t>] </w:t>
      </w:r>
      <w:r>
        <w:rPr>
          <w:rFonts w:ascii="Lucida Console"/>
          <w:sz w:val="20"/>
        </w:rPr>
        <w:t>)</w:t>
      </w:r>
    </w:p>
    <w:p>
      <w:pPr>
        <w:spacing w:before="108"/>
        <w:ind w:left="220" w:right="0" w:firstLine="0"/>
        <w:jc w:val="left"/>
        <w:rPr>
          <w:sz w:val="22"/>
        </w:rPr>
      </w:pPr>
      <w:r>
        <w:rPr>
          <w:b/>
          <w:sz w:val="22"/>
        </w:rPr>
        <w:t>Description: </w:t>
      </w:r>
      <w:r>
        <w:rPr>
          <w:sz w:val="22"/>
        </w:rPr>
        <w:t>Makes the hexadecimal equivalent of </w:t>
      </w:r>
      <w:r>
        <w:rPr>
          <w:rFonts w:ascii="Times New Roman"/>
          <w:i/>
          <w:sz w:val="22"/>
        </w:rPr>
        <w:t>number</w:t>
      </w:r>
      <w:r>
        <w:rPr>
          <w:sz w:val="22"/>
        </w:rPr>
        <w:t>, with the result having </w:t>
      </w:r>
      <w:r>
        <w:rPr>
          <w:rFonts w:ascii="Times New Roman"/>
          <w:i/>
          <w:sz w:val="22"/>
        </w:rPr>
        <w:t>num-hex-digits </w:t>
      </w:r>
      <w:r>
        <w:rPr>
          <w:sz w:val="22"/>
        </w:rPr>
        <w:t>digits.</w:t>
      </w:r>
    </w:p>
    <w:p>
      <w:pPr>
        <w:pStyle w:val="BodyText"/>
        <w:spacing w:before="8"/>
        <w:rPr>
          <w:sz w:val="19"/>
        </w:rPr>
      </w:pPr>
    </w:p>
    <w:p>
      <w:pPr>
        <w:pStyle w:val="Heading4"/>
        <w:spacing w:before="1"/>
      </w:pPr>
      <w:r>
        <w:rPr/>
        <w:t>Arguments:</w:t>
      </w:r>
    </w:p>
    <w:p>
      <w:pPr>
        <w:pStyle w:val="BodyText"/>
        <w:spacing w:before="1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944"/>
              <w:rPr>
                <w:sz w:val="22"/>
              </w:rPr>
            </w:pPr>
            <w:r>
              <w:rPr>
                <w:sz w:val="22"/>
              </w:rPr>
              <w:t>The decimal number that is to be converted to a hexadecimal string.</w:t>
            </w:r>
          </w:p>
        </w:tc>
      </w:tr>
      <w:tr>
        <w:trPr>
          <w:trHeight w:val="1699" w:hRule="atLeast"/>
        </w:trPr>
        <w:tc>
          <w:tcPr>
            <w:tcW w:w="1466" w:type="dxa"/>
          </w:tcPr>
          <w:p>
            <w:pPr>
              <w:pStyle w:val="TableParagraph"/>
              <w:spacing w:before="37"/>
              <w:ind w:right="514"/>
              <w:rPr>
                <w:rFonts w:ascii="Times New Roman"/>
                <w:i/>
                <w:sz w:val="22"/>
              </w:rPr>
            </w:pPr>
            <w:r>
              <w:rPr>
                <w:rFonts w:ascii="Times New Roman"/>
                <w:i/>
                <w:sz w:val="22"/>
              </w:rPr>
              <w:t>num-bin-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269"/>
              <w:rPr>
                <w:sz w:val="22"/>
              </w:rPr>
            </w:pPr>
            <w:r>
              <w:rPr>
                <w:rFonts w:ascii="Times New Roman"/>
                <w:i/>
                <w:sz w:val="22"/>
              </w:rPr>
              <w:t>num-hex-digits </w:t>
            </w:r>
            <w:r>
              <w:rPr>
                <w:sz w:val="22"/>
              </w:rPr>
              <w:t>is the number of digits in the result,</w:t>
            </w:r>
            <w:r>
              <w:rPr>
                <w:spacing w:val="-23"/>
                <w:sz w:val="22"/>
              </w:rPr>
              <w:t> </w:t>
            </w:r>
            <w:r>
              <w:rPr>
                <w:sz w:val="22"/>
              </w:rPr>
              <w:t>with leading zeros added as necessary. However, if </w:t>
            </w:r>
            <w:r>
              <w:rPr>
                <w:rFonts w:ascii="Times New Roman"/>
                <w:i/>
                <w:sz w:val="22"/>
              </w:rPr>
              <w:t>number </w:t>
            </w:r>
            <w:r>
              <w:rPr>
                <w:sz w:val="22"/>
              </w:rPr>
              <w:t>is negative, </w:t>
            </w:r>
            <w:r>
              <w:rPr>
                <w:rFonts w:ascii="Times New Roman"/>
                <w:i/>
                <w:sz w:val="22"/>
              </w:rPr>
              <w:t>num-hex-digits </w:t>
            </w:r>
            <w:r>
              <w:rPr>
                <w:sz w:val="22"/>
              </w:rPr>
              <w:t>is ignored and the result has 10 digits. If </w:t>
            </w:r>
            <w:r>
              <w:rPr>
                <w:rFonts w:ascii="Times New Roman"/>
                <w:i/>
                <w:sz w:val="22"/>
              </w:rPr>
              <w:t>num-hex-digits </w:t>
            </w:r>
            <w:r>
              <w:rPr>
                <w:sz w:val="22"/>
              </w:rPr>
              <w:t>is omitted, the minimum number of digits is used in the result. </w:t>
            </w:r>
            <w:r>
              <w:rPr>
                <w:rFonts w:ascii="Times New Roman"/>
                <w:i/>
                <w:sz w:val="22"/>
              </w:rPr>
              <w:t>num-hex-digits </w:t>
            </w:r>
            <w:r>
              <w:rPr>
                <w:sz w:val="22"/>
              </w:rPr>
              <w:t>is truncated to an</w:t>
            </w:r>
            <w:r>
              <w:rPr>
                <w:spacing w:val="-3"/>
                <w:sz w:val="22"/>
              </w:rPr>
              <w:t> </w:t>
            </w:r>
            <w:r>
              <w:rPr>
                <w:sz w:val="22"/>
              </w:rPr>
              <w:t>integer.</w:t>
            </w:r>
          </w:p>
        </w:tc>
      </w:tr>
    </w:tbl>
    <w:p>
      <w:pPr>
        <w:pStyle w:val="BodyText"/>
        <w:rPr>
          <w:b/>
        </w:rPr>
      </w:pPr>
    </w:p>
    <w:p>
      <w:pPr>
        <w:pStyle w:val="BodyText"/>
        <w:spacing w:before="5"/>
        <w:rPr>
          <w:b/>
          <w:sz w:val="19"/>
        </w:rPr>
      </w:pPr>
    </w:p>
    <w:p>
      <w:pPr>
        <w:pStyle w:val="BodyText"/>
        <w:spacing w:line="276" w:lineRule="auto"/>
        <w:ind w:left="220" w:right="633"/>
      </w:pPr>
      <w:r>
        <w:rPr>
          <w:b/>
        </w:rPr>
        <w:t>Return Type and Value: </w:t>
      </w:r>
      <w:r>
        <w:rPr/>
        <w:t>text – The hexadecimal equivalent of </w:t>
      </w:r>
      <w:r>
        <w:rPr>
          <w:rFonts w:ascii="Times New Roman" w:hAnsi="Times New Roman"/>
          <w:i/>
        </w:rPr>
        <w:t>number </w:t>
      </w:r>
      <w:r>
        <w:rPr/>
        <w:t>using twos-complement representation with the left-most bit (40th bit from the right) representing the sign bit.</w:t>
      </w:r>
    </w:p>
    <w:p>
      <w:pPr>
        <w:spacing w:after="0" w:line="276" w:lineRule="auto"/>
        <w:sectPr>
          <w:pgSz w:w="12240" w:h="15840"/>
          <w:pgMar w:header="761" w:footer="746" w:top="1340" w:bottom="940" w:left="860" w:right="700"/>
        </w:sectPr>
      </w:pPr>
    </w:p>
    <w:p>
      <w:pPr>
        <w:pStyle w:val="BodyText"/>
        <w:spacing w:before="150"/>
        <w:ind w:left="220"/>
      </w:pPr>
      <w:r>
        <w:rPr/>
        <w:t>However, if</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Consolas" w:hAnsi="Consolas"/>
          <w:sz w:val="22"/>
        </w:rPr>
      </w:pPr>
      <w:r>
        <w:rPr>
          <w:rFonts w:ascii="Times New Roman" w:hAnsi="Times New Roman"/>
          <w:i/>
          <w:sz w:val="22"/>
        </w:rPr>
        <w:t>number </w:t>
      </w:r>
      <w:r>
        <w:rPr>
          <w:sz w:val="22"/>
        </w:rPr>
        <w:t>is outside the range </w:t>
      </w:r>
      <w:r>
        <w:rPr>
          <w:rFonts w:ascii="Consolas" w:hAnsi="Consolas"/>
          <w:sz w:val="22"/>
        </w:rPr>
        <w:t>-549,755,813,888</w:t>
      </w:r>
      <w:r>
        <w:rPr>
          <w:rFonts w:ascii="Consolas" w:hAnsi="Consolas"/>
          <w:spacing w:val="-86"/>
          <w:sz w:val="22"/>
        </w:rPr>
        <w:t> </w:t>
      </w:r>
      <w:r>
        <w:rPr>
          <w:sz w:val="22"/>
        </w:rPr>
        <w:t>(8000000000 hex) to </w:t>
      </w:r>
      <w:r>
        <w:rPr>
          <w:rFonts w:ascii="Consolas" w:hAnsi="Consolas"/>
          <w:sz w:val="22"/>
        </w:rPr>
        <w:t>549,755,813,887</w:t>
      </w:r>
    </w:p>
    <w:p>
      <w:pPr>
        <w:pStyle w:val="BodyText"/>
        <w:spacing w:before="38"/>
        <w:ind w:left="940"/>
      </w:pPr>
      <w:r>
        <w:rPr/>
        <w:t>(7FFFFFFFFF hex), inclusive, </w:t>
      </w:r>
      <w:r>
        <w:rPr>
          <w:rFonts w:ascii="Consolas"/>
        </w:rPr>
        <w:t>#NUM!</w:t>
      </w:r>
      <w:r>
        <w:rPr>
          <w:rFonts w:ascii="Consolas"/>
          <w:spacing w:val="-75"/>
        </w:rPr>
        <w:t> </w:t>
      </w:r>
      <w:r>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num-hex-digits</w:t>
      </w:r>
      <w:r>
        <w:rPr>
          <w:sz w:val="22"/>
        </w:rPr>
        <w:t>,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5620" w:firstLine="360"/>
        <w:jc w:val="left"/>
        <w:rPr>
          <w:sz w:val="22"/>
        </w:rPr>
      </w:pPr>
      <w:r>
        <w:rPr>
          <w:rFonts w:ascii="Times New Roman" w:hAnsi="Times New Roman"/>
          <w:i/>
          <w:sz w:val="22"/>
        </w:rPr>
        <w:t>num-hex-digits </w:t>
      </w:r>
      <w:r>
        <w:rPr>
          <w:sz w:val="22"/>
        </w:rPr>
        <w:t>≤ 0 or &gt; 10, </w:t>
      </w:r>
      <w:r>
        <w:rPr>
          <w:rFonts w:ascii="Consolas" w:hAnsi="Consolas"/>
          <w:sz w:val="22"/>
        </w:rPr>
        <w:t>#NUM!</w:t>
      </w:r>
      <w:r>
        <w:rPr>
          <w:rFonts w:ascii="Consolas" w:hAnsi="Consolas"/>
          <w:spacing w:val="-84"/>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DEC2HEX(23)</w:t>
      </w:r>
      <w:r>
        <w:rPr>
          <w:rFonts w:ascii="Consolas"/>
          <w:spacing w:val="-72"/>
        </w:rPr>
        <w:t> </w:t>
      </w:r>
      <w:r>
        <w:rPr/>
        <w:t>results in </w:t>
      </w:r>
      <w:r>
        <w:rPr>
          <w:rFonts w:ascii="Consolas"/>
        </w:rPr>
        <w:t>17</w:t>
      </w:r>
    </w:p>
    <w:p>
      <w:pPr>
        <w:pStyle w:val="BodyText"/>
        <w:spacing w:before="41"/>
        <w:ind w:left="220"/>
        <w:rPr>
          <w:rFonts w:ascii="Consolas"/>
        </w:rPr>
      </w:pPr>
      <w:r>
        <w:rPr>
          <w:rFonts w:ascii="Consolas"/>
        </w:rPr>
        <w:t>DEC2HEX(-256) </w:t>
      </w:r>
      <w:r>
        <w:rPr/>
        <w:t>results in </w:t>
      </w:r>
      <w:r>
        <w:rPr>
          <w:rFonts w:ascii="Consolas"/>
        </w:rPr>
        <w:t>FFFFFFFF00</w:t>
      </w:r>
    </w:p>
    <w:p>
      <w:pPr>
        <w:pStyle w:val="BodyText"/>
        <w:spacing w:before="39"/>
        <w:ind w:left="220"/>
        <w:rPr>
          <w:rFonts w:ascii="Consolas"/>
        </w:rPr>
      </w:pPr>
      <w:r>
        <w:rPr>
          <w:rFonts w:ascii="Consolas"/>
        </w:rPr>
        <w:t>DEC2HEX(18,7) </w:t>
      </w:r>
      <w:r>
        <w:rPr/>
        <w:t>results in </w:t>
      </w:r>
      <w:r>
        <w:rPr>
          <w:rFonts w:ascii="Consolas"/>
        </w:rPr>
        <w:t>0000012</w:t>
      </w:r>
    </w:p>
    <w:p>
      <w:pPr>
        <w:pStyle w:val="BodyText"/>
        <w:spacing w:before="11"/>
        <w:rPr>
          <w:rFonts w:ascii="Consolas"/>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6 DEC2OCT" w:id="1650"/>
      <w:bookmarkEnd w:id="1650"/>
      <w:r>
        <w:rPr/>
      </w:r>
      <w:bookmarkStart w:name="_bookmark549" w:id="1651"/>
      <w:bookmarkEnd w:id="1651"/>
      <w:r>
        <w:rPr/>
      </w:r>
      <w:bookmarkStart w:name="_bookmark549" w:id="1652"/>
      <w:bookmarkEnd w:id="1652"/>
      <w:r>
        <w:rPr>
          <w:color w:val="4F81BC"/>
        </w:rPr>
        <w:t>DE</w:t>
      </w:r>
      <w:r>
        <w:rPr>
          <w:color w:val="4F81BC"/>
        </w:rPr>
        <w:t>C2OCT</w:t>
      </w:r>
    </w:p>
    <w:p>
      <w:pPr>
        <w:pStyle w:val="Heading4"/>
        <w:spacing w:before="124"/>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DEC2OCT ( </w:t>
      </w:r>
      <w:r>
        <w:rPr>
          <w:i/>
          <w:sz w:val="22"/>
        </w:rPr>
        <w:t>number </w:t>
      </w:r>
      <w:r>
        <w:rPr>
          <w:sz w:val="22"/>
        </w:rPr>
        <w:t>[ </w:t>
      </w:r>
      <w:r>
        <w:rPr>
          <w:rFonts w:ascii="Lucida Console"/>
          <w:sz w:val="20"/>
        </w:rPr>
        <w:t>, </w:t>
      </w:r>
      <w:r>
        <w:rPr>
          <w:i/>
          <w:sz w:val="22"/>
        </w:rPr>
        <w:t>num-oct-digits </w:t>
      </w:r>
      <w:r>
        <w:rPr>
          <w:sz w:val="22"/>
        </w:rPr>
        <w:t>] </w:t>
      </w:r>
      <w:r>
        <w:rPr>
          <w:rFonts w:ascii="Lucida Console"/>
          <w:sz w:val="20"/>
        </w:rPr>
        <w:t>)</w:t>
      </w:r>
    </w:p>
    <w:p>
      <w:pPr>
        <w:spacing w:before="108"/>
        <w:ind w:left="220" w:right="0" w:firstLine="0"/>
        <w:jc w:val="left"/>
        <w:rPr>
          <w:sz w:val="22"/>
        </w:rPr>
      </w:pPr>
      <w:r>
        <w:rPr>
          <w:b/>
          <w:sz w:val="22"/>
        </w:rPr>
        <w:t>Description: </w:t>
      </w:r>
      <w:r>
        <w:rPr>
          <w:sz w:val="22"/>
        </w:rPr>
        <w:t>Makes the octal equivalent of </w:t>
      </w:r>
      <w:r>
        <w:rPr>
          <w:rFonts w:ascii="Times New Roman"/>
          <w:i/>
          <w:sz w:val="22"/>
        </w:rPr>
        <w:t>number</w:t>
      </w:r>
      <w:r>
        <w:rPr>
          <w:sz w:val="22"/>
        </w:rPr>
        <w:t>, with the result having </w:t>
      </w:r>
      <w:r>
        <w:rPr>
          <w:rFonts w:ascii="Times New Roman"/>
          <w:i/>
          <w:sz w:val="22"/>
        </w:rPr>
        <w:t>num-oct-digits </w:t>
      </w:r>
      <w:r>
        <w:rPr>
          <w:sz w:val="22"/>
        </w:rPr>
        <w:t>digits.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4"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340"/>
              <w:rPr>
                <w:sz w:val="22"/>
              </w:rPr>
            </w:pPr>
            <w:r>
              <w:rPr>
                <w:sz w:val="22"/>
              </w:rPr>
              <w:t>The decimal number that is to be converted to an octal string.</w:t>
            </w:r>
          </w:p>
        </w:tc>
      </w:tr>
      <w:tr>
        <w:trPr>
          <w:trHeight w:val="1696" w:hRule="atLeast"/>
        </w:trPr>
        <w:tc>
          <w:tcPr>
            <w:tcW w:w="1466" w:type="dxa"/>
          </w:tcPr>
          <w:p>
            <w:pPr>
              <w:pStyle w:val="TableParagraph"/>
              <w:spacing w:before="37"/>
              <w:ind w:right="514"/>
              <w:rPr>
                <w:rFonts w:ascii="Times New Roman"/>
                <w:i/>
                <w:sz w:val="22"/>
              </w:rPr>
            </w:pPr>
            <w:r>
              <w:rPr>
                <w:rFonts w:ascii="Times New Roman"/>
                <w:i/>
                <w:sz w:val="22"/>
              </w:rPr>
              <w:t>num-bin-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123"/>
              <w:rPr>
                <w:sz w:val="22"/>
              </w:rPr>
            </w:pPr>
            <w:r>
              <w:rPr>
                <w:sz w:val="22"/>
              </w:rPr>
              <w:t>The number of digits in the result, with leading zeros added as necessary. However, if </w:t>
            </w:r>
            <w:r>
              <w:rPr>
                <w:rFonts w:ascii="Times New Roman"/>
                <w:i/>
                <w:sz w:val="22"/>
              </w:rPr>
              <w:t>number </w:t>
            </w:r>
            <w:r>
              <w:rPr>
                <w:sz w:val="22"/>
              </w:rPr>
              <w:t>is negative, </w:t>
            </w:r>
            <w:r>
              <w:rPr>
                <w:rFonts w:ascii="Times New Roman"/>
                <w:i/>
                <w:sz w:val="22"/>
              </w:rPr>
              <w:t>num- </w:t>
            </w:r>
            <w:r>
              <w:rPr>
                <w:rFonts w:ascii="Times New Roman"/>
                <w:i/>
                <w:sz w:val="22"/>
              </w:rPr>
              <w:t>oct-digits </w:t>
            </w:r>
            <w:r>
              <w:rPr>
                <w:sz w:val="22"/>
              </w:rPr>
              <w:t>is ignored and the result has 10 digits. If </w:t>
            </w:r>
            <w:r>
              <w:rPr>
                <w:rFonts w:ascii="Times New Roman"/>
                <w:i/>
                <w:sz w:val="22"/>
              </w:rPr>
              <w:t>num- </w:t>
            </w:r>
            <w:r>
              <w:rPr>
                <w:rFonts w:ascii="Times New Roman"/>
                <w:i/>
                <w:sz w:val="22"/>
              </w:rPr>
              <w:t>oct-digits </w:t>
            </w:r>
            <w:r>
              <w:rPr>
                <w:sz w:val="22"/>
              </w:rPr>
              <w:t>is omitted, the minimum number of digits is used in the result. </w:t>
            </w:r>
            <w:r>
              <w:rPr>
                <w:rFonts w:ascii="Times New Roman"/>
                <w:i/>
                <w:sz w:val="22"/>
              </w:rPr>
              <w:t>num-oct-digits </w:t>
            </w:r>
            <w:r>
              <w:rPr>
                <w:sz w:val="22"/>
              </w:rPr>
              <w:t>is truncated to an integer.</w:t>
            </w:r>
          </w:p>
        </w:tc>
      </w:tr>
    </w:tbl>
    <w:p>
      <w:pPr>
        <w:pStyle w:val="BodyText"/>
        <w:rPr>
          <w:b/>
        </w:rPr>
      </w:pPr>
    </w:p>
    <w:p>
      <w:pPr>
        <w:pStyle w:val="BodyText"/>
        <w:spacing w:before="5"/>
        <w:rPr>
          <w:b/>
          <w:sz w:val="19"/>
        </w:rPr>
      </w:pPr>
    </w:p>
    <w:p>
      <w:pPr>
        <w:pStyle w:val="BodyText"/>
        <w:spacing w:line="278" w:lineRule="auto"/>
        <w:ind w:left="220" w:right="506"/>
      </w:pPr>
      <w:r>
        <w:rPr>
          <w:b/>
        </w:rPr>
        <w:t>Return Type and Value: </w:t>
      </w:r>
      <w:r>
        <w:rPr/>
        <w:t>text – The octal equivalent of </w:t>
      </w:r>
      <w:r>
        <w:rPr>
          <w:rFonts w:ascii="Times New Roman" w:hAnsi="Times New Roman"/>
          <w:i/>
        </w:rPr>
        <w:t>number </w:t>
      </w:r>
      <w:r>
        <w:rPr/>
        <w:t>using twos-complement representation with the left-most bit (30th bit from the right) representing the sign bit.</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73" w:lineRule="auto" w:before="0" w:after="0"/>
        <w:ind w:left="940" w:right="431" w:hanging="360"/>
        <w:jc w:val="left"/>
        <w:rPr>
          <w:sz w:val="22"/>
        </w:rPr>
      </w:pPr>
      <w:r>
        <w:rPr>
          <w:rFonts w:ascii="Times New Roman" w:hAnsi="Times New Roman"/>
          <w:i/>
          <w:sz w:val="22"/>
        </w:rPr>
        <w:t>number</w:t>
      </w:r>
      <w:r>
        <w:rPr>
          <w:rFonts w:ascii="Times New Roman" w:hAnsi="Times New Roman"/>
          <w:i/>
          <w:spacing w:val="-7"/>
          <w:sz w:val="22"/>
        </w:rPr>
        <w:t> </w:t>
      </w:r>
      <w:r>
        <w:rPr>
          <w:sz w:val="22"/>
        </w:rPr>
        <w:t>is</w:t>
      </w:r>
      <w:r>
        <w:rPr>
          <w:spacing w:val="-6"/>
          <w:sz w:val="22"/>
        </w:rPr>
        <w:t> </w:t>
      </w:r>
      <w:r>
        <w:rPr>
          <w:sz w:val="22"/>
        </w:rPr>
        <w:t>outside</w:t>
      </w:r>
      <w:r>
        <w:rPr>
          <w:spacing w:val="-2"/>
          <w:sz w:val="22"/>
        </w:rPr>
        <w:t> </w:t>
      </w:r>
      <w:r>
        <w:rPr>
          <w:sz w:val="22"/>
        </w:rPr>
        <w:t>the</w:t>
      </w:r>
      <w:r>
        <w:rPr>
          <w:spacing w:val="-5"/>
          <w:sz w:val="22"/>
        </w:rPr>
        <w:t> </w:t>
      </w:r>
      <w:r>
        <w:rPr>
          <w:sz w:val="22"/>
        </w:rPr>
        <w:t>range</w:t>
      </w:r>
      <w:r>
        <w:rPr>
          <w:spacing w:val="-2"/>
          <w:sz w:val="22"/>
        </w:rPr>
        <w:t> </w:t>
      </w:r>
      <w:r>
        <w:rPr>
          <w:rFonts w:ascii="Consolas" w:hAnsi="Consolas"/>
          <w:sz w:val="22"/>
        </w:rPr>
        <w:t>-536,870,912</w:t>
      </w:r>
      <w:r>
        <w:rPr>
          <w:rFonts w:ascii="Consolas" w:hAnsi="Consolas"/>
          <w:spacing w:val="-71"/>
          <w:sz w:val="22"/>
        </w:rPr>
        <w:t> </w:t>
      </w:r>
      <w:r>
        <w:rPr>
          <w:sz w:val="22"/>
        </w:rPr>
        <w:t>(4000000000</w:t>
      </w:r>
      <w:r>
        <w:rPr>
          <w:spacing w:val="-3"/>
          <w:sz w:val="22"/>
        </w:rPr>
        <w:t> </w:t>
      </w:r>
      <w:r>
        <w:rPr>
          <w:sz w:val="22"/>
        </w:rPr>
        <w:t>octal)</w:t>
      </w:r>
      <w:r>
        <w:rPr>
          <w:spacing w:val="-3"/>
          <w:sz w:val="22"/>
        </w:rPr>
        <w:t> </w:t>
      </w:r>
      <w:r>
        <w:rPr>
          <w:sz w:val="22"/>
        </w:rPr>
        <w:t>to</w:t>
      </w:r>
      <w:r>
        <w:rPr>
          <w:spacing w:val="-3"/>
          <w:sz w:val="22"/>
        </w:rPr>
        <w:t> </w:t>
      </w:r>
      <w:r>
        <w:rPr>
          <w:rFonts w:ascii="Consolas" w:hAnsi="Consolas"/>
          <w:sz w:val="22"/>
        </w:rPr>
        <w:t>536,870,911</w:t>
      </w:r>
      <w:r>
        <w:rPr>
          <w:rFonts w:ascii="Consolas" w:hAnsi="Consolas"/>
          <w:spacing w:val="-5"/>
          <w:sz w:val="22"/>
        </w:rPr>
        <w:t> </w:t>
      </w:r>
      <w:r>
        <w:rPr>
          <w:sz w:val="22"/>
        </w:rPr>
        <w:t>(3777777777</w:t>
      </w:r>
      <w:r>
        <w:rPr>
          <w:spacing w:val="-3"/>
          <w:sz w:val="22"/>
        </w:rPr>
        <w:t> </w:t>
      </w:r>
      <w:r>
        <w:rPr>
          <w:sz w:val="22"/>
        </w:rPr>
        <w:t>octal), inclusive, </w:t>
      </w:r>
      <w:r>
        <w:rPr>
          <w:rFonts w:ascii="Consolas" w:hAnsi="Consolas"/>
          <w:sz w:val="22"/>
        </w:rPr>
        <w:t>#NUM!</w:t>
      </w:r>
      <w:r>
        <w:rPr>
          <w:rFonts w:ascii="Consolas" w:hAnsi="Consolas"/>
          <w:spacing w:val="-75"/>
          <w:sz w:val="22"/>
        </w:rPr>
        <w:t> </w:t>
      </w:r>
      <w:r>
        <w:rPr>
          <w:sz w:val="22"/>
        </w:rPr>
        <w:t>is returned.</w:t>
      </w:r>
    </w:p>
    <w:p>
      <w:pPr>
        <w:pStyle w:val="ListParagraph"/>
        <w:numPr>
          <w:ilvl w:val="4"/>
          <w:numId w:val="66"/>
        </w:numPr>
        <w:tabs>
          <w:tab w:pos="940" w:val="left" w:leader="none"/>
          <w:tab w:pos="941" w:val="left" w:leader="none"/>
        </w:tabs>
        <w:spacing w:line="240" w:lineRule="auto" w:before="5"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num-oct-digits</w:t>
      </w:r>
      <w:r>
        <w:rPr>
          <w:sz w:val="22"/>
        </w:rPr>
        <w:t>,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num-oct-digits </w:t>
      </w:r>
      <w:r>
        <w:rPr>
          <w:sz w:val="22"/>
        </w:rPr>
        <w:t>≤ 0 or &gt; 10, </w:t>
      </w:r>
      <w:r>
        <w:rPr>
          <w:rFonts w:ascii="Consolas" w:hAnsi="Consolas"/>
          <w:sz w:val="22"/>
        </w:rPr>
        <w:t>#NUM!</w:t>
      </w:r>
      <w:r>
        <w:rPr>
          <w:rFonts w:ascii="Consolas" w:hAnsi="Consolas"/>
          <w:spacing w:val="-80"/>
          <w:sz w:val="22"/>
        </w:rPr>
        <w:t> </w:t>
      </w:r>
      <w:r>
        <w:rPr>
          <w:sz w:val="22"/>
        </w:rPr>
        <w:t>is returned.</w:t>
      </w:r>
    </w:p>
    <w:p>
      <w:pPr>
        <w:spacing w:after="0" w:line="240"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DEC2OCT(23) </w:t>
      </w:r>
      <w:r>
        <w:rPr/>
        <w:t>results in </w:t>
      </w:r>
      <w:r>
        <w:rPr>
          <w:rFonts w:ascii="Consolas"/>
        </w:rPr>
        <w:t>27</w:t>
      </w:r>
    </w:p>
    <w:p>
      <w:pPr>
        <w:pStyle w:val="BodyText"/>
        <w:spacing w:before="41"/>
        <w:ind w:left="220"/>
        <w:rPr>
          <w:rFonts w:ascii="Consolas"/>
        </w:rPr>
      </w:pPr>
      <w:r>
        <w:rPr>
          <w:rFonts w:ascii="Consolas"/>
        </w:rPr>
        <w:t>DEC2OCT(-256) </w:t>
      </w:r>
      <w:r>
        <w:rPr/>
        <w:t>results in </w:t>
      </w:r>
      <w:r>
        <w:rPr>
          <w:rFonts w:ascii="Consolas"/>
        </w:rPr>
        <w:t>7777777400</w:t>
      </w:r>
    </w:p>
    <w:p>
      <w:pPr>
        <w:pStyle w:val="BodyText"/>
        <w:spacing w:before="41"/>
        <w:ind w:left="220"/>
        <w:rPr>
          <w:rFonts w:ascii="Consolas"/>
        </w:rPr>
      </w:pPr>
      <w:r>
        <w:rPr>
          <w:rFonts w:ascii="Consolas"/>
        </w:rPr>
        <w:t>DEC2OCT(18,7) </w:t>
      </w:r>
      <w:r>
        <w:rPr/>
        <w:t>results in </w:t>
      </w:r>
      <w:r>
        <w:rPr>
          <w:rFonts w:ascii="Consolas"/>
        </w:rPr>
        <w:t>0000022</w:t>
      </w:r>
    </w:p>
    <w:p>
      <w:pPr>
        <w:pStyle w:val="BodyText"/>
        <w:spacing w:before="11"/>
        <w:rPr>
          <w:rFonts w:ascii="Consolas"/>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7 DEGREES" w:id="1653"/>
      <w:bookmarkEnd w:id="1653"/>
      <w:r>
        <w:rPr/>
      </w:r>
      <w:bookmarkStart w:name="_bookmark550" w:id="1654"/>
      <w:bookmarkEnd w:id="1654"/>
      <w:r>
        <w:rPr/>
      </w:r>
      <w:bookmarkStart w:name="_bookmark550" w:id="1655"/>
      <w:bookmarkEnd w:id="1655"/>
      <w:r>
        <w:rPr>
          <w:color w:val="4F81BC"/>
        </w:rPr>
        <w:t>DEGREES</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DEGREES ( </w:t>
      </w:r>
      <w:r>
        <w:rPr>
          <w:i/>
          <w:sz w:val="22"/>
        </w:rPr>
        <w:t>angle </w:t>
      </w:r>
      <w:r>
        <w:rPr>
          <w:rFonts w:ascii="Lucida Console"/>
          <w:sz w:val="20"/>
        </w:rPr>
        <w:t>)</w:t>
      </w:r>
    </w:p>
    <w:p>
      <w:pPr>
        <w:spacing w:before="109"/>
        <w:ind w:left="220" w:right="0" w:firstLine="0"/>
        <w:jc w:val="left"/>
        <w:rPr>
          <w:sz w:val="22"/>
        </w:rPr>
      </w:pPr>
      <w:r>
        <w:rPr>
          <w:b/>
          <w:sz w:val="22"/>
        </w:rPr>
        <w:t>Description: </w:t>
      </w:r>
      <w:r>
        <w:rPr>
          <w:sz w:val="22"/>
        </w:rPr>
        <w:t>Converts </w:t>
      </w:r>
      <w:r>
        <w:rPr>
          <w:rFonts w:ascii="Times New Roman"/>
          <w:i/>
          <w:sz w:val="22"/>
        </w:rPr>
        <w:t>angle </w:t>
      </w:r>
      <w:r>
        <w:rPr>
          <w:sz w:val="22"/>
        </w:rPr>
        <w:t>in radians into degrees.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angle</w:t>
            </w:r>
          </w:p>
        </w:tc>
        <w:tc>
          <w:tcPr>
            <w:tcW w:w="1800" w:type="dxa"/>
          </w:tcPr>
          <w:p>
            <w:pPr>
              <w:pStyle w:val="TableParagraph"/>
              <w:ind w:left="112"/>
              <w:rPr>
                <w:sz w:val="22"/>
              </w:rPr>
            </w:pPr>
            <w:r>
              <w:rPr>
                <w:sz w:val="22"/>
              </w:rPr>
              <w:t>number</w:t>
            </w:r>
          </w:p>
        </w:tc>
        <w:tc>
          <w:tcPr>
            <w:tcW w:w="5400" w:type="dxa"/>
          </w:tcPr>
          <w:p>
            <w:pPr>
              <w:pStyle w:val="TableParagraph"/>
              <w:ind w:left="113" w:right="745"/>
              <w:rPr>
                <w:sz w:val="22"/>
              </w:rPr>
            </w:pPr>
            <w:r>
              <w:rPr>
                <w:sz w:val="22"/>
              </w:rPr>
              <w:t>The number of radians that is to be converted into degrees.</w:t>
            </w:r>
          </w:p>
        </w:tc>
      </w:tr>
    </w:tbl>
    <w:p>
      <w:pPr>
        <w:pStyle w:val="BodyText"/>
        <w:rPr>
          <w:b/>
        </w:rPr>
      </w:pPr>
    </w:p>
    <w:p>
      <w:pPr>
        <w:pStyle w:val="BodyText"/>
        <w:spacing w:before="7"/>
        <w:rPr>
          <w:b/>
          <w:sz w:val="19"/>
        </w:rPr>
      </w:pPr>
    </w:p>
    <w:p>
      <w:pPr>
        <w:spacing w:line="453" w:lineRule="auto" w:before="0"/>
        <w:ind w:left="220" w:right="5295" w:firstLine="0"/>
        <w:jc w:val="left"/>
        <w:rPr>
          <w:sz w:val="22"/>
        </w:rPr>
      </w:pPr>
      <w:r>
        <w:rPr>
          <w:b/>
          <w:sz w:val="22"/>
        </w:rPr>
        <w:t>Return Type and Value: </w:t>
      </w:r>
      <w:r>
        <w:rPr>
          <w:sz w:val="22"/>
        </w:rPr>
        <w:t>number – </w:t>
      </w:r>
      <w:r>
        <w:rPr>
          <w:rFonts w:ascii="Times New Roman" w:hAnsi="Times New Roman"/>
          <w:i/>
          <w:sz w:val="22"/>
        </w:rPr>
        <w:t>angle </w:t>
      </w:r>
      <w:r>
        <w:rPr>
          <w:sz w:val="22"/>
        </w:rPr>
        <w:t>in degrees. [</w:t>
      </w:r>
      <w:r>
        <w:rPr>
          <w:i/>
          <w:sz w:val="22"/>
        </w:rPr>
        <w:t>Example</w:t>
      </w:r>
      <w:r>
        <w:rPr>
          <w:sz w:val="22"/>
        </w:rPr>
        <w:t>:</w:t>
      </w:r>
    </w:p>
    <w:p>
      <w:pPr>
        <w:pStyle w:val="BodyText"/>
        <w:spacing w:line="276" w:lineRule="auto" w:before="109"/>
        <w:ind w:left="220" w:right="6761"/>
        <w:rPr>
          <w:rFonts w:ascii="Consolas"/>
        </w:rPr>
      </w:pPr>
      <w:r>
        <w:rPr>
          <w:rFonts w:ascii="Consolas"/>
        </w:rPr>
        <w:t>DEGREES(2 * PI()) </w:t>
      </w:r>
      <w:r>
        <w:rPr/>
        <w:t>results in </w:t>
      </w:r>
      <w:r>
        <w:rPr>
          <w:rFonts w:ascii="Consolas"/>
        </w:rPr>
        <w:t>360 DEGREES(PI()) </w:t>
      </w:r>
      <w:r>
        <w:rPr/>
        <w:t>results in </w:t>
      </w:r>
      <w:r>
        <w:rPr>
          <w:rFonts w:ascii="Consolas"/>
        </w:rPr>
        <w:t>180 DEGREES(PI()/2) </w:t>
      </w:r>
      <w:r>
        <w:rPr/>
        <w:t>results in </w:t>
      </w:r>
      <w:r>
        <w:rPr>
          <w:rFonts w:ascii="Consolas"/>
        </w:rPr>
        <w:t>90 DEGREES(8.5)</w:t>
      </w:r>
      <w:r>
        <w:rPr>
          <w:rFonts w:ascii="Consolas"/>
          <w:spacing w:val="-88"/>
        </w:rPr>
        <w:t> </w:t>
      </w:r>
      <w:r>
        <w:rPr/>
        <w:t>results in </w:t>
      </w:r>
      <w:r>
        <w:rPr>
          <w:rFonts w:ascii="Consolas"/>
        </w:rPr>
        <w:t>487.0141259</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8 DELTA" w:id="1656"/>
      <w:bookmarkEnd w:id="1656"/>
      <w:r>
        <w:rPr/>
      </w:r>
      <w:bookmarkStart w:name="_bookmark551" w:id="1657"/>
      <w:bookmarkEnd w:id="1657"/>
      <w:r>
        <w:rPr/>
      </w:r>
      <w:bookmarkStart w:name="_bookmark551" w:id="1658"/>
      <w:bookmarkEnd w:id="1658"/>
      <w:r>
        <w:rPr>
          <w:color w:val="4F81BC"/>
        </w:rPr>
        <w:t>DELTA</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DELTA ( </w:t>
      </w:r>
      <w:r>
        <w:rPr>
          <w:i/>
          <w:sz w:val="22"/>
        </w:rPr>
        <w:t>number-1 </w:t>
      </w:r>
      <w:r>
        <w:rPr>
          <w:sz w:val="22"/>
        </w:rPr>
        <w:t>[ </w:t>
      </w:r>
      <w:r>
        <w:rPr>
          <w:rFonts w:ascii="Lucida Console"/>
          <w:sz w:val="20"/>
        </w:rPr>
        <w:t>, </w:t>
      </w:r>
      <w:r>
        <w:rPr>
          <w:i/>
          <w:sz w:val="22"/>
        </w:rPr>
        <w:t>number-2 </w:t>
      </w:r>
      <w:r>
        <w:rPr>
          <w:sz w:val="22"/>
        </w:rPr>
        <w:t>] </w:t>
      </w:r>
      <w:r>
        <w:rPr>
          <w:rFonts w:ascii="Lucida Console"/>
          <w:sz w:val="20"/>
        </w:rPr>
        <w:t>)</w:t>
      </w:r>
    </w:p>
    <w:p>
      <w:pPr>
        <w:spacing w:before="109"/>
        <w:ind w:left="220" w:right="0" w:firstLine="0"/>
        <w:jc w:val="left"/>
        <w:rPr>
          <w:sz w:val="22"/>
        </w:rPr>
      </w:pPr>
      <w:r>
        <w:rPr>
          <w:b/>
          <w:sz w:val="22"/>
        </w:rPr>
        <w:t>Description: </w:t>
      </w:r>
      <w:r>
        <w:rPr>
          <w:sz w:val="22"/>
        </w:rPr>
        <w:t>Compares two numbers for equality.</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0" w:right="482"/>
              <w:jc w:val="right"/>
              <w:rPr>
                <w:rFonts w:ascii="Times New Roman"/>
                <w:i/>
                <w:sz w:val="22"/>
              </w:rPr>
            </w:pPr>
            <w:r>
              <w:rPr>
                <w:rFonts w:ascii="Times New Roman"/>
                <w:i/>
                <w:sz w:val="22"/>
              </w:rPr>
              <w:t>number-1</w:t>
            </w:r>
          </w:p>
        </w:tc>
        <w:tc>
          <w:tcPr>
            <w:tcW w:w="1800" w:type="dxa"/>
          </w:tcPr>
          <w:p>
            <w:pPr>
              <w:pStyle w:val="TableParagraph"/>
              <w:ind w:left="112"/>
              <w:rPr>
                <w:sz w:val="22"/>
              </w:rPr>
            </w:pPr>
            <w:r>
              <w:rPr>
                <w:sz w:val="22"/>
              </w:rPr>
              <w:t>number</w:t>
            </w:r>
          </w:p>
        </w:tc>
        <w:tc>
          <w:tcPr>
            <w:tcW w:w="5400" w:type="dxa"/>
            <w:vMerge w:val="restart"/>
          </w:tcPr>
          <w:p>
            <w:pPr>
              <w:pStyle w:val="TableParagraph"/>
              <w:ind w:left="113"/>
              <w:rPr>
                <w:sz w:val="22"/>
              </w:rPr>
            </w:pPr>
            <w:r>
              <w:rPr>
                <w:sz w:val="22"/>
              </w:rPr>
              <w:t>The numbers that are to be compared for equality. If</w:t>
            </w:r>
          </w:p>
          <w:p>
            <w:pPr>
              <w:pStyle w:val="TableParagraph"/>
              <w:spacing w:before="0"/>
              <w:ind w:left="113"/>
              <w:rPr>
                <w:sz w:val="22"/>
              </w:rPr>
            </w:pPr>
            <w:r>
              <w:rPr>
                <w:rFonts w:ascii="Times New Roman"/>
                <w:i/>
                <w:sz w:val="22"/>
              </w:rPr>
              <w:t>number-2 </w:t>
            </w:r>
            <w:r>
              <w:rPr>
                <w:sz w:val="22"/>
              </w:rPr>
              <w:t>is omitted, it is assumed to be zero.</w:t>
            </w:r>
          </w:p>
        </w:tc>
      </w:tr>
      <w:tr>
        <w:trPr>
          <w:trHeight w:val="354" w:hRule="atLeast"/>
        </w:trPr>
        <w:tc>
          <w:tcPr>
            <w:tcW w:w="1466" w:type="dxa"/>
          </w:tcPr>
          <w:p>
            <w:pPr>
              <w:pStyle w:val="TableParagraph"/>
              <w:spacing w:before="36"/>
              <w:ind w:left="0" w:right="482"/>
              <w:jc w:val="right"/>
              <w:rPr>
                <w:rFonts w:ascii="Times New Roman"/>
                <w:i/>
                <w:sz w:val="22"/>
              </w:rPr>
            </w:pPr>
            <w:r>
              <w:rPr>
                <w:rFonts w:ascii="Times New Roman"/>
                <w:i/>
                <w:sz w:val="22"/>
              </w:rPr>
              <w:t>number-2</w:t>
            </w:r>
          </w:p>
        </w:tc>
        <w:tc>
          <w:tcPr>
            <w:tcW w:w="1800" w:type="dxa"/>
          </w:tcPr>
          <w:p>
            <w:pPr>
              <w:pStyle w:val="TableParagraph"/>
              <w:ind w:left="112"/>
              <w:rPr>
                <w:sz w:val="22"/>
              </w:rPr>
            </w:pPr>
            <w:r>
              <w:rPr>
                <w:sz w:val="22"/>
              </w:rPr>
              <w:t>number</w:t>
            </w:r>
          </w:p>
        </w:tc>
        <w:tc>
          <w:tcPr>
            <w:tcW w:w="5400"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rPr>
          <w:b/>
          <w:sz w:val="20"/>
        </w:rPr>
      </w:pPr>
    </w:p>
    <w:p>
      <w:pPr>
        <w:pStyle w:val="BodyText"/>
        <w:spacing w:before="10"/>
        <w:rPr>
          <w:b/>
          <w:sz w:val="26"/>
        </w:rPr>
      </w:pPr>
    </w:p>
    <w:p>
      <w:pPr>
        <w:spacing w:line="453" w:lineRule="auto" w:before="88"/>
        <w:ind w:left="220" w:right="3327" w:firstLine="0"/>
        <w:jc w:val="left"/>
        <w:rPr>
          <w:sz w:val="22"/>
        </w:rPr>
      </w:pPr>
      <w:r>
        <w:rPr>
          <w:b/>
          <w:sz w:val="22"/>
        </w:rPr>
        <w:t>Return Type and Value: </w:t>
      </w:r>
      <w:r>
        <w:rPr>
          <w:sz w:val="22"/>
        </w:rPr>
        <w:t>number – 1 if </w:t>
      </w:r>
      <w:r>
        <w:rPr>
          <w:rFonts w:ascii="Times New Roman" w:hAnsi="Times New Roman"/>
          <w:i/>
          <w:sz w:val="22"/>
        </w:rPr>
        <w:t>number-1 </w:t>
      </w:r>
      <w:r>
        <w:rPr>
          <w:sz w:val="22"/>
        </w:rPr>
        <w:t>equals </w:t>
      </w:r>
      <w:r>
        <w:rPr>
          <w:rFonts w:ascii="Times New Roman" w:hAnsi="Times New Roman"/>
          <w:i/>
          <w:sz w:val="22"/>
        </w:rPr>
        <w:t>number-2</w:t>
      </w:r>
      <w:r>
        <w:rPr>
          <w:sz w:val="22"/>
        </w:rPr>
        <w:t>; otherwise, 0. [</w:t>
      </w:r>
      <w:r>
        <w:rPr>
          <w:i/>
          <w:sz w:val="22"/>
        </w:rPr>
        <w:t>Example</w:t>
      </w:r>
      <w:r>
        <w:rPr>
          <w:sz w:val="22"/>
        </w:rPr>
        <w:t>:</w:t>
      </w:r>
    </w:p>
    <w:p>
      <w:pPr>
        <w:pStyle w:val="BodyText"/>
        <w:spacing w:line="276" w:lineRule="auto" w:before="108"/>
        <w:ind w:left="220" w:right="7477"/>
        <w:rPr>
          <w:rFonts w:ascii="Consolas"/>
        </w:rPr>
      </w:pPr>
      <w:r>
        <w:rPr>
          <w:rFonts w:ascii="Consolas"/>
        </w:rPr>
        <w:t>DELTA(10.5,10.5)</w:t>
      </w:r>
      <w:r>
        <w:rPr>
          <w:rFonts w:ascii="Consolas"/>
          <w:spacing w:val="-78"/>
        </w:rPr>
        <w:t> </w:t>
      </w:r>
      <w:r>
        <w:rPr/>
        <w:t>results in </w:t>
      </w:r>
      <w:r>
        <w:rPr>
          <w:rFonts w:ascii="Consolas"/>
        </w:rPr>
        <w:t>1 DELTA(10.5,10.6)</w:t>
      </w:r>
      <w:r>
        <w:rPr>
          <w:rFonts w:ascii="Consolas"/>
          <w:spacing w:val="-78"/>
        </w:rPr>
        <w:t> </w:t>
      </w:r>
      <w:r>
        <w:rPr/>
        <w:t>results in </w:t>
      </w:r>
      <w:r>
        <w:rPr>
          <w:rFonts w:ascii="Consolas"/>
        </w:rPr>
        <w:t>0 DELTA(10.5) </w:t>
      </w:r>
      <w:r>
        <w:rPr/>
        <w:t>results in </w:t>
      </w:r>
      <w:r>
        <w:rPr>
          <w:rFonts w:ascii="Consolas"/>
        </w:rPr>
        <w:t>0 DELTA(0)</w:t>
      </w:r>
      <w:r>
        <w:rPr>
          <w:rFonts w:ascii="Consolas"/>
          <w:spacing w:val="-72"/>
        </w:rPr>
        <w:t> </w:t>
      </w:r>
      <w:r>
        <w:rPr/>
        <w:t>results in </w:t>
      </w:r>
      <w:r>
        <w:rPr>
          <w:rFonts w:ascii="Consolas"/>
        </w:rPr>
        <w:t>1</w:t>
      </w:r>
    </w:p>
    <w:p>
      <w:pPr>
        <w:pStyle w:val="BodyText"/>
        <w:spacing w:before="5"/>
        <w:rPr>
          <w:rFonts w:ascii="Consolas"/>
          <w:sz w:val="25"/>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89 DEVSQ" w:id="1659"/>
      <w:bookmarkEnd w:id="1659"/>
      <w:r>
        <w:rPr/>
      </w:r>
      <w:bookmarkStart w:name="_bookmark552" w:id="1660"/>
      <w:bookmarkEnd w:id="1660"/>
      <w:r>
        <w:rPr/>
      </w:r>
      <w:bookmarkStart w:name="_bookmark552" w:id="1661"/>
      <w:bookmarkEnd w:id="1661"/>
      <w:r>
        <w:rPr>
          <w:color w:val="4F81BC"/>
        </w:rPr>
        <w:t>DE</w:t>
      </w:r>
      <w:r>
        <w:rPr>
          <w:color w:val="4F81BC"/>
        </w:rPr>
        <w:t>VSQ</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DEVSQ ( </w:t>
      </w:r>
      <w:r>
        <w:rPr>
          <w:i/>
          <w:sz w:val="22"/>
        </w:rPr>
        <w:t>argument-list </w:t>
      </w:r>
      <w:r>
        <w:rPr>
          <w:rFonts w:ascii="Lucida Console"/>
          <w:sz w:val="20"/>
        </w:rPr>
        <w:t>)</w:t>
      </w:r>
    </w:p>
    <w:p>
      <w:pPr>
        <w:pStyle w:val="BodyText"/>
        <w:spacing w:before="108"/>
        <w:ind w:left="220"/>
      </w:pPr>
      <w:r>
        <w:rPr>
          <w:b/>
        </w:rPr>
        <w:t>Description: </w:t>
      </w:r>
      <w:r>
        <w:rPr/>
        <w:t>Computes the sum of squares of deviations of data points from their sample mean.</w:t>
      </w:r>
    </w:p>
    <w:p>
      <w:pPr>
        <w:pStyle w:val="BodyText"/>
        <w:spacing w:before="8"/>
        <w:rPr>
          <w:sz w:val="19"/>
        </w:rPr>
      </w:pPr>
    </w:p>
    <w:p>
      <w:pPr>
        <w:pStyle w:val="Heading4"/>
        <w:rPr>
          <w:b w:val="0"/>
        </w:rPr>
      </w:pPr>
      <w:r>
        <w:rPr/>
        <w:t>Mathematical Formula</w:t>
      </w:r>
      <w:r>
        <w:rPr>
          <w:b w:val="0"/>
        </w:rPr>
        <w:t>:</w:t>
      </w:r>
    </w:p>
    <w:p>
      <w:pPr>
        <w:pStyle w:val="BodyText"/>
        <w:spacing w:before="7"/>
        <w:rPr>
          <w:sz w:val="26"/>
        </w:rPr>
      </w:pPr>
    </w:p>
    <w:p>
      <w:pPr>
        <w:pStyle w:val="BodyText"/>
        <w:ind w:left="220"/>
        <w:rPr>
          <w:rFonts w:ascii="Cambria Math" w:hAnsi="Cambria Math" w:eastAsia="Cambria Math"/>
        </w:rPr>
      </w:pPr>
      <w:r>
        <w:rPr>
          <w:rFonts w:ascii="Cambria Math" w:hAnsi="Cambria Math" w:eastAsia="Cambria Math"/>
          <w:w w:val="110"/>
        </w:rPr>
        <w:t>𝐷𝐸𝑉𝑆𝑄 = ∑</w:t>
      </w:r>
      <w:r>
        <w:rPr>
          <w:rFonts w:ascii="Cambria Math" w:hAnsi="Cambria Math" w:eastAsia="Cambria Math"/>
          <w:w w:val="110"/>
          <w:position w:val="1"/>
        </w:rPr>
        <w:t>(</w:t>
      </w:r>
      <w:r>
        <w:rPr>
          <w:rFonts w:ascii="Cambria Math" w:hAnsi="Cambria Math" w:eastAsia="Cambria Math"/>
          <w:w w:val="110"/>
        </w:rPr>
        <w:t>𝑥 − 𝑥̅</w:t>
      </w:r>
      <w:r>
        <w:rPr>
          <w:rFonts w:ascii="Cambria Math" w:hAnsi="Cambria Math" w:eastAsia="Cambria Math"/>
          <w:w w:val="110"/>
          <w:position w:val="1"/>
        </w:rPr>
        <w:t>)</w:t>
      </w:r>
      <w:r>
        <w:rPr>
          <w:rFonts w:ascii="Cambria Math" w:hAnsi="Cambria Math" w:eastAsia="Cambria Math"/>
          <w:w w:val="110"/>
          <w:position w:val="1"/>
          <w:vertAlign w:val="superscript"/>
        </w:rPr>
        <w:t>2</w:t>
      </w:r>
    </w:p>
    <w:p>
      <w:pPr>
        <w:pStyle w:val="BodyText"/>
        <w:spacing w:before="11"/>
        <w:rPr>
          <w:rFonts w:ascii="Cambria Math"/>
          <w:sz w:val="28"/>
        </w:rPr>
      </w:pPr>
    </w:p>
    <w:p>
      <w:pPr>
        <w:pStyle w:val="BodyText"/>
        <w:ind w:left="220"/>
      </w:pPr>
      <w:r>
        <w:rPr/>
        <w:t>where:</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each element in</w:t>
      </w:r>
      <w:r>
        <w:rPr>
          <w:spacing w:val="-11"/>
          <w:sz w:val="22"/>
        </w:rPr>
        <w:t> </w:t>
      </w:r>
      <w:r>
        <w:rPr>
          <w:rFonts w:ascii="Times New Roman" w:hAnsi="Times New Roman"/>
          <w:i/>
          <w:sz w:val="22"/>
        </w:rPr>
        <w:t>argument-list</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Cambria Math" w:hAnsi="Cambria Math"/>
          <w:spacing w:val="-51"/>
          <w:sz w:val="22"/>
        </w:rPr>
        <w:t>x̅</w:t>
      </w:r>
      <w:r>
        <w:rPr>
          <w:rFonts w:ascii="Cambria Math" w:hAnsi="Cambria Math"/>
          <w:spacing w:val="6"/>
          <w:sz w:val="22"/>
        </w:rPr>
        <w:t> </w:t>
      </w:r>
      <w:r>
        <w:rPr>
          <w:sz w:val="22"/>
        </w:rPr>
        <w:t>= the mean of the elements in</w:t>
      </w:r>
      <w:r>
        <w:rPr>
          <w:spacing w:val="-6"/>
          <w:sz w:val="22"/>
        </w:rPr>
        <w:t> </w:t>
      </w:r>
      <w:r>
        <w:rPr>
          <w:rFonts w:ascii="Times New Roman" w:hAnsi="Times New Roman"/>
          <w:i/>
          <w:sz w:val="22"/>
        </w:rPr>
        <w:t>argument-list</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for</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array, or</w:t>
            </w:r>
          </w:p>
        </w:tc>
        <w:tc>
          <w:tcPr>
            <w:tcW w:w="5400" w:type="dxa"/>
            <w:tcBorders>
              <w:top w:val="nil"/>
              <w:bottom w:val="nil"/>
            </w:tcBorders>
          </w:tcPr>
          <w:p>
            <w:pPr>
              <w:pStyle w:val="TableParagraph"/>
              <w:spacing w:line="249" w:lineRule="exact" w:before="0"/>
              <w:ind w:left="113"/>
              <w:rPr>
                <w:sz w:val="22"/>
              </w:rPr>
            </w:pPr>
            <w:r>
              <w:rPr>
                <w:sz w:val="22"/>
              </w:rPr>
              <w:t>which the sum of squared deviations is to be calculated.</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 a</w:t>
            </w:r>
          </w:p>
        </w:tc>
        <w:tc>
          <w:tcPr>
            <w:tcW w:w="5400" w:type="dxa"/>
            <w:tcBorders>
              <w:top w:val="nil"/>
              <w:bottom w:val="nil"/>
            </w:tcBorders>
          </w:tcPr>
          <w:p>
            <w:pPr>
              <w:pStyle w:val="TableParagraph"/>
              <w:spacing w:line="249" w:lineRule="exact" w:before="0"/>
              <w:ind w:left="113"/>
              <w:rPr>
                <w:sz w:val="22"/>
              </w:rPr>
            </w:pPr>
            <w:r>
              <w:rPr>
                <w:sz w:val="22"/>
              </w:rPr>
              <w:t>Logical values and text representations of numbers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w:t>
            </w:r>
          </w:p>
        </w:tc>
        <w:tc>
          <w:tcPr>
            <w:tcW w:w="5400" w:type="dxa"/>
            <w:tcBorders>
              <w:top w:val="nil"/>
              <w:bottom w:val="nil"/>
            </w:tcBorders>
          </w:tcPr>
          <w:p>
            <w:pPr>
              <w:pStyle w:val="TableParagraph"/>
              <w:spacing w:line="249" w:lineRule="exact" w:before="0"/>
              <w:ind w:left="113"/>
              <w:rPr>
                <w:sz w:val="22"/>
              </w:rPr>
            </w:pPr>
            <w:r>
              <w:rPr>
                <w:sz w:val="22"/>
              </w:rPr>
              <w:t>occurring directly in the list of arguments are included. If</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Argument list</w:t>
            </w:r>
          </w:p>
        </w:tc>
        <w:tc>
          <w:tcPr>
            <w:tcW w:w="5400" w:type="dxa"/>
            <w:tcBorders>
              <w:top w:val="nil"/>
              <w:bottom w:val="nil"/>
            </w:tcBorders>
          </w:tcPr>
          <w:p>
            <w:pPr>
              <w:pStyle w:val="TableParagraph"/>
              <w:spacing w:line="249" w:lineRule="exact" w:before="0"/>
              <w:ind w:left="113"/>
              <w:rPr>
                <w:sz w:val="22"/>
              </w:rPr>
            </w:pPr>
            <w:r>
              <w:rPr>
                <w:sz w:val="22"/>
              </w:rPr>
              <w:t>an array or reference argument contains text, logical</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can be a single</w:t>
            </w:r>
          </w:p>
        </w:tc>
        <w:tc>
          <w:tcPr>
            <w:tcW w:w="5400" w:type="dxa"/>
            <w:tcBorders>
              <w:top w:val="nil"/>
              <w:bottom w:val="nil"/>
            </w:tcBorders>
          </w:tcPr>
          <w:p>
            <w:pPr>
              <w:pStyle w:val="TableParagraph"/>
              <w:spacing w:line="249" w:lineRule="exact" w:before="0"/>
              <w:ind w:left="113"/>
              <w:rPr>
                <w:sz w:val="22"/>
              </w:rPr>
            </w:pPr>
            <w:r>
              <w:rPr>
                <w:sz w:val="22"/>
              </w:rPr>
              <w:t>values, or empty cells, those values are ignored;</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argument that is</w:t>
            </w:r>
          </w:p>
        </w:tc>
        <w:tc>
          <w:tcPr>
            <w:tcW w:w="5400" w:type="dxa"/>
            <w:tcBorders>
              <w:top w:val="nil"/>
              <w:bottom w:val="nil"/>
            </w:tcBorders>
          </w:tcPr>
          <w:p>
            <w:pPr>
              <w:pStyle w:val="TableParagraph"/>
              <w:spacing w:line="248" w:lineRule="exact" w:before="0"/>
              <w:ind w:left="113"/>
              <w:rPr>
                <w:sz w:val="22"/>
              </w:rPr>
            </w:pPr>
            <w:r>
              <w:rPr>
                <w:sz w:val="22"/>
              </w:rPr>
              <w:t>however, cells with the value 0 are included.</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an array or a</w:t>
            </w:r>
          </w:p>
        </w:tc>
        <w:tc>
          <w:tcPr>
            <w:tcW w:w="5400" w:type="dxa"/>
            <w:tcBorders>
              <w:top w:val="nil"/>
              <w:bottom w:val="nil"/>
            </w:tcBorders>
          </w:tcPr>
          <w:p>
            <w:pPr>
              <w:pStyle w:val="TableParagraph"/>
              <w:spacing w:before="0"/>
              <w:ind w:left="0"/>
              <w:rPr>
                <w:rFonts w:ascii="Times New Roman"/>
                <w:sz w:val="18"/>
              </w:rPr>
            </w:pP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 an</w:t>
            </w:r>
          </w:p>
        </w:tc>
        <w:tc>
          <w:tcPr>
            <w:tcW w:w="5400" w:type="dxa"/>
            <w:tcBorders>
              <w:top w:val="nil"/>
              <w:bottom w:val="nil"/>
            </w:tcBorders>
          </w:tcPr>
          <w:p>
            <w:pPr>
              <w:pStyle w:val="TableParagraph"/>
              <w:spacing w:before="0"/>
              <w:ind w:left="0"/>
              <w:rPr>
                <w:rFonts w:ascii="Times New Roman"/>
                <w:sz w:val="18"/>
              </w:rPr>
            </w:pP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9" w:lineRule="exact" w:before="0"/>
              <w:ind w:left="112"/>
              <w:rPr>
                <w:sz w:val="22"/>
              </w:rPr>
            </w:pPr>
            <w:r>
              <w:rPr>
                <w:sz w:val="22"/>
              </w:rPr>
              <w:t>array.</w:t>
            </w:r>
          </w:p>
        </w:tc>
        <w:tc>
          <w:tcPr>
            <w:tcW w:w="5400" w:type="dxa"/>
            <w:tcBorders>
              <w:top w:val="nil"/>
            </w:tcBorders>
          </w:tcPr>
          <w:p>
            <w:pPr>
              <w:pStyle w:val="TableParagraph"/>
              <w:spacing w:before="0"/>
              <w:ind w:left="0"/>
              <w:rPr>
                <w:rFonts w:ascii="Times New Roman"/>
                <w:sz w:val="22"/>
              </w:rPr>
            </w:pPr>
          </w:p>
        </w:tc>
      </w:tr>
    </w:tbl>
    <w:p>
      <w:pPr>
        <w:pStyle w:val="BodyText"/>
        <w:rPr>
          <w:b/>
        </w:rPr>
      </w:pPr>
    </w:p>
    <w:p>
      <w:pPr>
        <w:pStyle w:val="BodyText"/>
        <w:spacing w:before="2"/>
        <w:rPr>
          <w:b/>
          <w:sz w:val="18"/>
        </w:rPr>
      </w:pPr>
    </w:p>
    <w:p>
      <w:pPr>
        <w:spacing w:before="1"/>
        <w:ind w:left="220" w:right="0" w:firstLine="0"/>
        <w:jc w:val="left"/>
        <w:rPr>
          <w:sz w:val="22"/>
        </w:rPr>
      </w:pPr>
      <w:r>
        <w:rPr>
          <w:b/>
          <w:sz w:val="22"/>
        </w:rPr>
        <w:t>Return Type and Value: </w:t>
      </w:r>
      <w:r>
        <w:rPr>
          <w:sz w:val="22"/>
        </w:rPr>
        <w:t>number – The sum of squares of deviations of data points from their sample mean.</w:t>
      </w:r>
    </w:p>
    <w:p>
      <w:pPr>
        <w:spacing w:after="0"/>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5705"/>
        <w:rPr>
          <w:rFonts w:ascii="Consolas"/>
        </w:rPr>
      </w:pPr>
      <w:r>
        <w:rPr>
          <w:rFonts w:ascii="Consolas"/>
        </w:rPr>
        <w:t>DEVSQ(5.6,8.2,9.2) </w:t>
      </w:r>
      <w:r>
        <w:rPr/>
        <w:t>results in </w:t>
      </w:r>
      <w:r>
        <w:rPr>
          <w:rFonts w:ascii="Consolas"/>
        </w:rPr>
        <w:t>6.906666667 DEVSQ({5.6,8.2,9.2}) </w:t>
      </w:r>
      <w:r>
        <w:rPr/>
        <w:t>results in </w:t>
      </w:r>
      <w:r>
        <w:rPr>
          <w:rFonts w:ascii="Consolas"/>
        </w:rPr>
        <w:t>6.906666667</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90 DGET" w:id="1662"/>
      <w:bookmarkEnd w:id="1662"/>
      <w:r>
        <w:rPr/>
      </w:r>
      <w:bookmarkStart w:name="_bookmark553" w:id="1663"/>
      <w:bookmarkEnd w:id="1663"/>
      <w:r>
        <w:rPr/>
      </w:r>
      <w:bookmarkStart w:name="_bookmark553" w:id="1664"/>
      <w:bookmarkEnd w:id="1664"/>
      <w:r>
        <w:rPr>
          <w:color w:val="4F81BC"/>
        </w:rPr>
        <w:t>D</w:t>
      </w:r>
      <w:r>
        <w:rPr>
          <w:color w:val="4F81BC"/>
        </w:rPr>
        <w:t>GET</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DGET ( </w:t>
      </w:r>
      <w:r>
        <w:rPr>
          <w:i/>
          <w:sz w:val="22"/>
        </w:rPr>
        <w:t>database </w:t>
      </w:r>
      <w:r>
        <w:rPr>
          <w:rFonts w:ascii="Lucida Console"/>
          <w:sz w:val="20"/>
        </w:rPr>
        <w:t>, </w:t>
      </w:r>
      <w:r>
        <w:rPr>
          <w:i/>
          <w:sz w:val="22"/>
        </w:rPr>
        <w:t>field </w:t>
      </w:r>
      <w:r>
        <w:rPr>
          <w:rFonts w:ascii="Lucida Console"/>
          <w:sz w:val="20"/>
        </w:rPr>
        <w:t>, </w:t>
      </w:r>
      <w:r>
        <w:rPr>
          <w:i/>
          <w:sz w:val="22"/>
        </w:rPr>
        <w:t>criteria </w:t>
      </w:r>
      <w:r>
        <w:rPr>
          <w:rFonts w:ascii="Lucida Console"/>
          <w:sz w:val="20"/>
        </w:rPr>
        <w:t>)</w:t>
      </w:r>
    </w:p>
    <w:p>
      <w:pPr>
        <w:pStyle w:val="BodyText"/>
        <w:spacing w:before="106"/>
        <w:ind w:left="220"/>
      </w:pPr>
      <w:r>
        <w:rPr/>
        <w:t>Description: Extracts a single value from a column of a list that matches the specified criteria. (See the</w:t>
      </w:r>
    </w:p>
    <w:p>
      <w:pPr>
        <w:pStyle w:val="BodyText"/>
        <w:spacing w:before="42"/>
        <w:ind w:left="220"/>
      </w:pPr>
      <w:r>
        <w:rPr>
          <w:rFonts w:ascii="Consolas" w:hAnsi="Consolas"/>
        </w:rPr>
        <w:t>DAVERAGE</w:t>
      </w:r>
      <w:r>
        <w:rPr>
          <w:rFonts w:ascii="Consolas" w:hAnsi="Consolas"/>
          <w:spacing w:val="-69"/>
        </w:rPr>
        <w:t> </w:t>
      </w:r>
      <w:r>
        <w:rPr/>
        <w:t>function §</w:t>
      </w:r>
      <w:hyperlink w:history="true" w:anchor="_bookmark540">
        <w:r>
          <w:rPr/>
          <w:t>18.17.7.77</w:t>
        </w:r>
      </w:hyperlink>
      <w:r>
        <w:rPr/>
        <w:t>.)</w:t>
      </w:r>
    </w:p>
    <w:p>
      <w:pPr>
        <w:pStyle w:val="BodyText"/>
        <w:spacing w:before="8"/>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9"/>
        <w:rPr>
          <w:sz w:val="19"/>
        </w:rPr>
      </w:pPr>
    </w:p>
    <w:p>
      <w:pPr>
        <w:pStyle w:val="BodyText"/>
        <w:spacing w:line="453" w:lineRule="auto"/>
        <w:ind w:left="220" w:right="1783"/>
      </w:pPr>
      <w:r>
        <w:rPr>
          <w:b/>
        </w:rPr>
        <w:t>Return Type and Value</w:t>
      </w:r>
      <w:r>
        <w:rPr/>
        <w:t>: number – The value of the cell that corresponds to the specified criteria.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No record matches the criteria, </w:t>
      </w:r>
      <w:r>
        <w:rPr>
          <w:rFonts w:ascii="Consolas" w:hAnsi="Consolas"/>
          <w:sz w:val="22"/>
        </w:rPr>
        <w:t>#VALUE!</w:t>
      </w:r>
      <w:r>
        <w:rPr>
          <w:rFonts w:ascii="Consolas" w:hAnsi="Consolas"/>
          <w:spacing w:val="-78"/>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3305" w:firstLine="360"/>
        <w:jc w:val="left"/>
        <w:rPr>
          <w:sz w:val="22"/>
        </w:rPr>
      </w:pPr>
      <w:r>
        <w:rPr>
          <w:sz w:val="22"/>
        </w:rPr>
        <w:t>More than one record matches the criteria, </w:t>
      </w:r>
      <w:r>
        <w:rPr>
          <w:rFonts w:ascii="Consolas" w:hAnsi="Consolas"/>
          <w:sz w:val="22"/>
        </w:rPr>
        <w:t>#NUM! </w:t>
      </w:r>
      <w:r>
        <w:rPr>
          <w:sz w:val="22"/>
        </w:rPr>
        <w:t>is returned. [</w:t>
      </w:r>
      <w:r>
        <w:rPr>
          <w:i/>
          <w:sz w:val="22"/>
        </w:rPr>
        <w:t>Example</w:t>
      </w:r>
      <w:r>
        <w:rPr>
          <w:sz w:val="22"/>
        </w:rPr>
        <w:t>: Using the data in the example in the </w:t>
      </w:r>
      <w:r>
        <w:rPr>
          <w:rFonts w:ascii="Consolas" w:hAnsi="Consolas"/>
          <w:sz w:val="22"/>
        </w:rPr>
        <w:t>DAVERAGE</w:t>
      </w:r>
      <w:r>
        <w:rPr>
          <w:rFonts w:ascii="Consolas" w:hAnsi="Consolas"/>
          <w:spacing w:val="-98"/>
          <w:sz w:val="22"/>
        </w:rPr>
        <w:t> </w:t>
      </w:r>
      <w:r>
        <w:rPr>
          <w:sz w:val="22"/>
        </w:rPr>
        <w:t>function §</w:t>
      </w:r>
      <w:hyperlink w:history="true" w:anchor="_bookmark540">
        <w:r>
          <w:rPr>
            <w:sz w:val="22"/>
          </w:rPr>
          <w:t>18.17.7.77</w:t>
        </w:r>
      </w:hyperlink>
      <w:r>
        <w:rPr>
          <w:sz w:val="22"/>
        </w:rPr>
        <w:t>:</w:t>
      </w:r>
    </w:p>
    <w:p>
      <w:pPr>
        <w:pStyle w:val="BodyText"/>
        <w:spacing w:line="276" w:lineRule="auto" w:before="125"/>
        <w:ind w:left="220" w:right="996"/>
      </w:pPr>
      <w:r>
        <w:rPr/>
        <w:t>For all the apple trees having a height between 10 and 16, the number of Profit fields that are not blank is computed by </w:t>
      </w:r>
      <w:r>
        <w:rPr>
          <w:rFonts w:ascii="Consolas"/>
        </w:rPr>
        <w:t>DGET(A4:E7,"Yield",A1:A2)</w:t>
      </w:r>
      <w:r>
        <w:rPr/>
        <w:t>, which results in </w:t>
      </w:r>
      <w:r>
        <w:rPr>
          <w:rFonts w:ascii="Consolas"/>
        </w:rPr>
        <w:t>14</w:t>
      </w:r>
      <w:r>
        <w:rPr/>
        <w:t>.</w:t>
      </w:r>
    </w:p>
    <w:p>
      <w:pPr>
        <w:pStyle w:val="BodyText"/>
        <w:spacing w:before="6"/>
        <w:rPr>
          <w:sz w:val="24"/>
        </w:rPr>
      </w:pPr>
    </w:p>
    <w:p>
      <w:pPr>
        <w:spacing w:before="1"/>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91 DISC" w:id="1665"/>
      <w:bookmarkEnd w:id="1665"/>
      <w:r>
        <w:rPr/>
      </w:r>
      <w:bookmarkStart w:name="_bookmark554" w:id="1666"/>
      <w:bookmarkEnd w:id="1666"/>
      <w:r>
        <w:rPr/>
      </w:r>
      <w:bookmarkStart w:name="_bookmark554" w:id="1667"/>
      <w:bookmarkEnd w:id="1667"/>
      <w:r>
        <w:rPr>
          <w:color w:val="4F81BC"/>
        </w:rPr>
        <w:t>D</w:t>
      </w:r>
      <w:r>
        <w:rPr>
          <w:color w:val="4F81BC"/>
        </w:rPr>
        <w:t>ISC</w:t>
      </w:r>
    </w:p>
    <w:p>
      <w:pPr>
        <w:pStyle w:val="Heading4"/>
        <w:spacing w:before="121"/>
      </w:pPr>
      <w:r>
        <w:rPr/>
        <w:t>Syntax:</w:t>
      </w:r>
    </w:p>
    <w:p>
      <w:pPr>
        <w:pStyle w:val="BodyText"/>
        <w:spacing w:before="1"/>
        <w:rPr>
          <w:b/>
          <w:sz w:val="19"/>
        </w:rPr>
      </w:pPr>
    </w:p>
    <w:p>
      <w:pPr>
        <w:spacing w:before="0"/>
        <w:ind w:left="940" w:right="0" w:firstLine="0"/>
        <w:jc w:val="left"/>
        <w:rPr>
          <w:rFonts w:ascii="Lucida Console"/>
          <w:sz w:val="20"/>
        </w:rPr>
      </w:pPr>
      <w:r>
        <w:rPr>
          <w:rFonts w:ascii="Lucida Console"/>
          <w:sz w:val="20"/>
        </w:rPr>
        <w:t>DISC ( </w:t>
      </w:r>
      <w:r>
        <w:rPr>
          <w:i/>
          <w:sz w:val="22"/>
        </w:rPr>
        <w:t>settlement </w:t>
      </w:r>
      <w:r>
        <w:rPr>
          <w:rFonts w:ascii="Lucida Console"/>
          <w:sz w:val="20"/>
        </w:rPr>
        <w:t>, </w:t>
      </w:r>
      <w:r>
        <w:rPr>
          <w:i/>
          <w:sz w:val="22"/>
        </w:rPr>
        <w:t>maturity </w:t>
      </w:r>
      <w:r>
        <w:rPr>
          <w:rFonts w:ascii="Lucida Console"/>
          <w:sz w:val="20"/>
        </w:rPr>
        <w:t>, </w:t>
      </w:r>
      <w:r>
        <w:rPr>
          <w:i/>
          <w:sz w:val="22"/>
        </w:rPr>
        <w:t>pr  </w:t>
      </w:r>
      <w:r>
        <w:rPr>
          <w:rFonts w:ascii="Lucida Console"/>
          <w:sz w:val="20"/>
        </w:rPr>
        <w:t>, </w:t>
      </w:r>
      <w:r>
        <w:rPr>
          <w:i/>
          <w:sz w:val="22"/>
        </w:rPr>
        <w:t>redemption </w:t>
      </w:r>
      <w:r>
        <w:rPr>
          <w:sz w:val="22"/>
        </w:rPr>
        <w:t>[ </w:t>
      </w:r>
      <w:r>
        <w:rPr>
          <w:rFonts w:ascii="Lucida Console"/>
          <w:sz w:val="20"/>
        </w:rPr>
        <w:t>,</w:t>
      </w:r>
      <w:r>
        <w:rPr>
          <w:rFonts w:ascii="Lucida Console"/>
          <w:spacing w:val="-71"/>
          <w:sz w:val="20"/>
        </w:rPr>
        <w:t> </w:t>
      </w:r>
      <w:r>
        <w:rPr>
          <w:sz w:val="22"/>
        </w:rPr>
        <w:t>[  </w:t>
      </w:r>
      <w:r>
        <w:rPr>
          <w:i/>
          <w:sz w:val="22"/>
        </w:rPr>
        <w:t>basis </w:t>
      </w:r>
      <w:r>
        <w:rPr>
          <w:sz w:val="22"/>
        </w:rPr>
        <w:t>] ] </w:t>
      </w:r>
      <w:r>
        <w:rPr>
          <w:rFonts w:ascii="Lucida Console"/>
          <w:sz w:val="20"/>
        </w:rPr>
        <w:t>)</w:t>
      </w:r>
    </w:p>
    <w:p>
      <w:pPr>
        <w:spacing w:before="109"/>
        <w:ind w:left="220" w:right="0" w:firstLine="0"/>
        <w:jc w:val="left"/>
        <w:rPr>
          <w:sz w:val="22"/>
        </w:rPr>
      </w:pPr>
      <w:r>
        <w:rPr>
          <w:b/>
          <w:sz w:val="22"/>
        </w:rPr>
        <w:t>Description: </w:t>
      </w:r>
      <w:r>
        <w:rPr>
          <w:sz w:val="22"/>
        </w:rPr>
        <w:t>Computes the discount rate for a security.</w:t>
      </w:r>
    </w:p>
    <w:p>
      <w:pPr>
        <w:spacing w:after="0"/>
        <w:jc w:val="left"/>
        <w:rPr>
          <w:sz w:val="22"/>
        </w:rPr>
        <w:sectPr>
          <w:footerReference w:type="even" r:id="rId227"/>
          <w:footerReference w:type="default" r:id="rId228"/>
          <w:pgSz w:w="12240" w:h="15840"/>
          <w:pgMar w:footer="746" w:header="761" w:top="1340" w:bottom="940" w:left="860" w:right="700"/>
          <w:pgNumType w:start="2180"/>
        </w:sectPr>
      </w:pPr>
    </w:p>
    <w:p>
      <w:pPr>
        <w:pStyle w:val="Heading4"/>
        <w:spacing w:before="150"/>
        <w:rPr>
          <w:b w:val="0"/>
        </w:rPr>
      </w:pPr>
      <w:r>
        <w:rPr/>
        <w:t>Mathematical Formula</w:t>
      </w:r>
      <w:r>
        <w:rPr>
          <w:b w:val="0"/>
        </w:rPr>
        <w:t>:</w:t>
      </w:r>
    </w:p>
    <w:p>
      <w:pPr>
        <w:pStyle w:val="BodyText"/>
        <w:spacing w:before="5"/>
        <w:rPr>
          <w:sz w:val="12"/>
        </w:rPr>
      </w:pPr>
    </w:p>
    <w:p>
      <w:pPr>
        <w:spacing w:after="0"/>
        <w:rPr>
          <w:sz w:val="12"/>
        </w:rPr>
        <w:sectPr>
          <w:pgSz w:w="12240" w:h="15840"/>
          <w:pgMar w:header="763" w:footer="746" w:top="1340" w:bottom="940" w:left="860" w:right="700"/>
        </w:sectPr>
      </w:pPr>
    </w:p>
    <w:p>
      <w:pPr>
        <w:pStyle w:val="BodyText"/>
        <w:spacing w:before="11"/>
        <w:rPr>
          <w:sz w:val="18"/>
        </w:rPr>
      </w:pPr>
    </w:p>
    <w:p>
      <w:pPr>
        <w:pStyle w:val="BodyText"/>
        <w:spacing w:before="1"/>
        <w:ind w:left="220"/>
        <w:rPr>
          <w:rFonts w:ascii="Cambria Math" w:eastAsia="Cambria Math"/>
        </w:rPr>
      </w:pPr>
      <w:r>
        <w:rPr>
          <w:rFonts w:ascii="Cambria Math" w:eastAsia="Cambria Math"/>
        </w:rPr>
        <w:t>𝐷𝐼𝑆𝐶 =</w:t>
      </w:r>
    </w:p>
    <w:p>
      <w:pPr>
        <w:pStyle w:val="BodyText"/>
        <w:spacing w:before="63"/>
        <w:ind w:left="138" w:right="70"/>
        <w:jc w:val="center"/>
        <w:rPr>
          <w:rFonts w:ascii="Cambria Math" w:hAnsi="Cambria Math" w:eastAsia="Cambria Math"/>
        </w:rPr>
      </w:pPr>
      <w:r>
        <w:rPr/>
        <w:br w:type="column"/>
      </w:r>
      <w:r>
        <w:rPr>
          <w:rFonts w:ascii="Cambria Math" w:hAnsi="Cambria Math" w:eastAsia="Cambria Math"/>
        </w:rPr>
        <w:t>𝑟𝑒𝑑𝑒𝑚𝑝𝑡𝑖𝑜𝑛 − </w:t>
      </w:r>
      <w:r>
        <w:rPr>
          <w:rFonts w:ascii="Cambria Math" w:hAnsi="Cambria Math" w:eastAsia="Cambria Math"/>
          <w:spacing w:val="-58"/>
        </w:rPr>
        <w:t>𝑝𝑎𝑟</w:t>
      </w:r>
    </w:p>
    <w:p>
      <w:pPr>
        <w:pStyle w:val="BodyText"/>
        <w:spacing w:before="2"/>
        <w:rPr>
          <w:rFonts w:ascii="Cambria Math"/>
          <w:sz w:val="4"/>
        </w:rPr>
      </w:pPr>
    </w:p>
    <w:p>
      <w:pPr>
        <w:pStyle w:val="BodyText"/>
        <w:spacing w:line="20" w:lineRule="exact"/>
        <w:ind w:left="60" w:right="-72"/>
        <w:rPr>
          <w:rFonts w:ascii="Cambria Math"/>
          <w:sz w:val="2"/>
        </w:rPr>
      </w:pPr>
      <w:r>
        <w:rPr>
          <w:rFonts w:ascii="Cambria Math"/>
          <w:sz w:val="2"/>
        </w:rPr>
        <w:pict>
          <v:group style="width:88.95pt;height:.75pt;mso-position-horizontal-relative:char;mso-position-vertical-relative:line" coordorigin="0,0" coordsize="1779,15">
            <v:line style="position:absolute" from="0,7" to="1778,7" stroked="true" strokeweight=".72pt" strokecolor="#000000">
              <v:stroke dashstyle="solid"/>
            </v:line>
          </v:group>
        </w:pict>
      </w:r>
      <w:r>
        <w:rPr>
          <w:rFonts w:ascii="Cambria Math"/>
          <w:sz w:val="2"/>
        </w:rPr>
      </w:r>
    </w:p>
    <w:p>
      <w:pPr>
        <w:pStyle w:val="BodyText"/>
        <w:ind w:left="136" w:right="70"/>
        <w:jc w:val="center"/>
        <w:rPr>
          <w:rFonts w:ascii="Cambria Math" w:eastAsia="Cambria Math"/>
        </w:rPr>
      </w:pPr>
      <w:r>
        <w:rPr>
          <w:rFonts w:ascii="Cambria Math" w:eastAsia="Cambria Math"/>
        </w:rPr>
        <w:t>𝑝𝑎𝑟</w:t>
      </w:r>
    </w:p>
    <w:p>
      <w:pPr>
        <w:spacing w:line="213" w:lineRule="exact" w:before="63"/>
        <w:ind w:left="299" w:right="0" w:firstLine="0"/>
        <w:jc w:val="left"/>
        <w:rPr>
          <w:rFonts w:ascii="Cambria Math" w:eastAsia="Cambria Math"/>
          <w:sz w:val="22"/>
        </w:rPr>
      </w:pPr>
      <w:r>
        <w:rPr/>
        <w:br w:type="column"/>
      </w:r>
      <w:r>
        <w:rPr>
          <w:rFonts w:ascii="Cambria Math" w:eastAsia="Cambria Math"/>
          <w:sz w:val="22"/>
        </w:rPr>
        <w:t>𝐵</w:t>
      </w:r>
    </w:p>
    <w:p>
      <w:pPr>
        <w:pStyle w:val="BodyText"/>
        <w:spacing w:line="158" w:lineRule="exact"/>
        <w:ind w:left="12"/>
        <w:rPr>
          <w:rFonts w:ascii="Cambria Math" w:hAnsi="Cambria Math"/>
        </w:rPr>
      </w:pPr>
      <w:r>
        <w:rPr/>
        <w:pict>
          <v:line style="position:absolute;mso-position-horizontal-relative:page;mso-position-vertical-relative:paragraph;z-index:251758592" from="197.059998pt,5.084146pt" to="212.563998pt,5.084146pt" stroked="true" strokeweight=".72pt" strokecolor="#000000">
            <v:stroke dashstyle="solid"/>
            <w10:wrap type="none"/>
          </v:line>
        </w:pict>
      </w:r>
      <w:r>
        <w:rPr>
          <w:rFonts w:ascii="Cambria Math" w:hAnsi="Cambria Math"/>
          <w:w w:val="100"/>
        </w:rPr>
        <w:t>×</w:t>
      </w:r>
    </w:p>
    <w:p>
      <w:pPr>
        <w:pStyle w:val="BodyText"/>
        <w:spacing w:line="203" w:lineRule="exact"/>
        <w:ind w:left="219"/>
        <w:rPr>
          <w:rFonts w:ascii="Cambria Math" w:eastAsia="Cambria Math"/>
        </w:rPr>
      </w:pPr>
      <w:r>
        <w:rPr>
          <w:rFonts w:ascii="Cambria Math" w:eastAsia="Cambria Math"/>
        </w:rPr>
        <w:t>𝑆𝑀</w:t>
      </w:r>
    </w:p>
    <w:p>
      <w:pPr>
        <w:spacing w:after="0" w:line="203" w:lineRule="exact"/>
        <w:rPr>
          <w:rFonts w:ascii="Cambria Math" w:eastAsia="Cambria Math"/>
        </w:rPr>
        <w:sectPr>
          <w:type w:val="continuous"/>
          <w:pgSz w:w="12240" w:h="15840"/>
          <w:pgMar w:top="1340" w:bottom="940" w:left="860" w:right="700"/>
          <w:cols w:num="3" w:equalWidth="0">
            <w:col w:w="940" w:space="40"/>
            <w:col w:w="1843" w:space="39"/>
            <w:col w:w="7818"/>
          </w:cols>
        </w:sectPr>
      </w:pPr>
    </w:p>
    <w:p>
      <w:pPr>
        <w:pStyle w:val="BodyText"/>
        <w:spacing w:before="4"/>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B </w:t>
      </w:r>
      <w:r>
        <w:rPr>
          <w:sz w:val="22"/>
        </w:rPr>
        <w:t>= number of days in a year, depending on the year</w:t>
      </w:r>
      <w:r>
        <w:rPr>
          <w:spacing w:val="-21"/>
          <w:sz w:val="22"/>
        </w:rPr>
        <w:t> </w:t>
      </w:r>
      <w:r>
        <w:rPr>
          <w:sz w:val="22"/>
        </w:rPr>
        <w:t>basis.</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DSM </w:t>
      </w:r>
      <w:r>
        <w:rPr>
          <w:sz w:val="22"/>
        </w:rPr>
        <w:t>= number of days between settlement and</w:t>
      </w:r>
      <w:r>
        <w:rPr>
          <w:spacing w:val="-10"/>
          <w:sz w:val="22"/>
        </w:rPr>
        <w:t> </w:t>
      </w:r>
      <w:r>
        <w:rPr>
          <w:sz w:val="22"/>
        </w:rPr>
        <w:t>maturity.</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par </w:t>
      </w:r>
      <w:r>
        <w:rPr>
          <w:sz w:val="22"/>
        </w:rPr>
        <w:t>= argument</w:t>
      </w:r>
      <w:r>
        <w:rPr>
          <w:spacing w:val="-2"/>
          <w:sz w:val="22"/>
        </w:rPr>
        <w:t> </w:t>
      </w:r>
      <w:r>
        <w:rPr>
          <w:rFonts w:ascii="Times New Roman" w:hAnsi="Times New Roman"/>
          <w:i/>
          <w:sz w:val="22"/>
        </w:rPr>
        <w:t>pr</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5"/>
          <w:sz w:val="22"/>
        </w:rPr>
        <w:t> </w:t>
      </w:r>
      <w:r>
        <w:rPr>
          <w:rFonts w:ascii="Times New Roman" w:hAnsi="Times New Roman"/>
          <w:i/>
          <w:sz w:val="22"/>
        </w:rPr>
        <w:t>redemption</w:t>
      </w:r>
    </w:p>
    <w:p>
      <w:pPr>
        <w:pStyle w:val="Heading4"/>
        <w:spacing w:before="243"/>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pr</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price per 100 currency units face value.</w:t>
            </w:r>
          </w:p>
        </w:tc>
      </w:tr>
      <w:tr>
        <w:trPr>
          <w:trHeight w:val="623"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399" w:type="dxa"/>
            <w:gridSpan w:val="4"/>
          </w:tcPr>
          <w:p>
            <w:pPr>
              <w:pStyle w:val="TableParagraph"/>
              <w:ind w:left="113" w:right="340"/>
              <w:rPr>
                <w:sz w:val="22"/>
              </w:rPr>
            </w:pPr>
            <w:r>
              <w:rPr>
                <w:sz w:val="22"/>
              </w:rPr>
              <w:t>The security's redemption value per 100 currency units face value.</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548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spacing w:line="267" w:lineRule="exact" w:before="42"/>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97"/>
              </w:numPr>
              <w:tabs>
                <w:tab w:pos="838" w:val="left" w:leader="none"/>
              </w:tabs>
              <w:spacing w:line="240" w:lineRule="auto" w:before="1" w:after="0"/>
              <w:ind w:left="837" w:right="104" w:hanging="360"/>
              <w:jc w:val="both"/>
              <w:rPr>
                <w:sz w:val="22"/>
              </w:rPr>
            </w:pPr>
            <w:r>
              <w:rPr>
                <w:sz w:val="22"/>
              </w:rPr>
              <w:t>If the date is </w:t>
            </w:r>
            <w:r>
              <w:rPr>
                <w:spacing w:val="-7"/>
                <w:sz w:val="22"/>
              </w:rPr>
              <w:t>28 </w:t>
            </w:r>
            <w:r>
              <w:rPr>
                <w:sz w:val="22"/>
              </w:rPr>
              <w:t>or 29 February, it is adjusted to 30 February.</w:t>
            </w:r>
          </w:p>
          <w:p>
            <w:pPr>
              <w:pStyle w:val="TableParagraph"/>
              <w:numPr>
                <w:ilvl w:val="0"/>
                <w:numId w:val="97"/>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w:t>
            </w:r>
            <w:r>
              <w:rPr>
                <w:spacing w:val="3"/>
                <w:sz w:val="22"/>
              </w:rPr>
              <w:t> </w:t>
            </w:r>
            <w:r>
              <w:rPr>
                <w:spacing w:val="-4"/>
                <w:sz w:val="22"/>
              </w:rPr>
              <w:t>value</w:t>
            </w:r>
          </w:p>
        </w:tc>
        <w:tc>
          <w:tcPr>
            <w:tcW w:w="403" w:type="dxa"/>
            <w:vMerge/>
            <w:tcBorders>
              <w:top w:val="nil"/>
            </w:tcBorders>
          </w:tcPr>
          <w:p>
            <w:pPr>
              <w:rPr>
                <w:sz w:val="2"/>
                <w:szCs w:val="2"/>
              </w:rPr>
            </w:pPr>
          </w:p>
        </w:tc>
      </w:tr>
    </w:tbl>
    <w:p>
      <w:pPr>
        <w:spacing w:after="0"/>
        <w:rPr>
          <w:sz w:val="2"/>
          <w:szCs w:val="2"/>
        </w:rPr>
        <w:sectPr>
          <w:type w:val="continuous"/>
          <w:pgSz w:w="12240" w:h="15840"/>
          <w:pgMar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2555"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ight="129"/>
              <w:rPr>
                <w:sz w:val="22"/>
              </w:rPr>
            </w:pP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547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98"/>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98"/>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24"/>
              <w:jc w:val="both"/>
              <w:rPr>
                <w:sz w:val="22"/>
              </w:rPr>
            </w:pPr>
            <w:r>
              <w:rPr>
                <w:sz w:val="22"/>
              </w:rPr>
              <w:t>31 days, all dates with a day value</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2877"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115"/>
              <w:rPr>
                <w:sz w:val="22"/>
              </w:rPr>
            </w:pPr>
            <w:r>
              <w:rPr>
                <w:sz w:val="22"/>
              </w:rPr>
              <w:t>of 31 are changed to day 30, including situations where the first date</w:t>
            </w:r>
          </w:p>
          <w:p>
            <w:pPr>
              <w:pStyle w:val="TableParagraph"/>
              <w:spacing w:line="268" w:lineRule="exact" w:before="0"/>
              <w:ind w:left="1197"/>
              <w:rPr>
                <w:sz w:val="22"/>
              </w:rPr>
            </w:pPr>
            <w:r>
              <w:rPr>
                <w:sz w:val="22"/>
              </w:rPr>
              <w:t>is 28 or</w:t>
            </w:r>
          </w:p>
          <w:p>
            <w:pPr>
              <w:pStyle w:val="TableParagraph"/>
              <w:spacing w:before="1"/>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ind w:left="220"/>
      </w:pPr>
      <w:r>
        <w:rPr/>
        <w:t>The currency units of </w:t>
      </w:r>
      <w:r>
        <w:rPr>
          <w:rFonts w:ascii="Times New Roman"/>
          <w:i/>
        </w:rPr>
        <w:t>pr </w:t>
      </w:r>
      <w:r>
        <w:rPr/>
        <w:t>and </w:t>
      </w:r>
      <w:r>
        <w:rPr>
          <w:rFonts w:ascii="Times New Roman"/>
          <w:i/>
        </w:rPr>
        <w:t>redemption </w:t>
      </w:r>
      <w:r>
        <w:rPr/>
        <w:t>are assumed to be the same currency.</w:t>
      </w:r>
    </w:p>
    <w:p>
      <w:pPr>
        <w:pStyle w:val="BodyText"/>
        <w:spacing w:before="8"/>
        <w:rPr>
          <w:sz w:val="19"/>
        </w:rPr>
      </w:pPr>
    </w:p>
    <w:p>
      <w:pPr>
        <w:spacing w:line="453" w:lineRule="auto" w:before="1"/>
        <w:ind w:left="220" w:right="4491" w:firstLine="0"/>
        <w:jc w:val="left"/>
        <w:rPr>
          <w:sz w:val="22"/>
        </w:rPr>
      </w:pPr>
      <w:r>
        <w:rPr>
          <w:b/>
          <w:sz w:val="22"/>
        </w:rPr>
        <w:t>Return Type and Value: </w:t>
      </w:r>
      <w:r>
        <w:rPr>
          <w:sz w:val="22"/>
        </w:rPr>
        <w:t>number – The discount rate for a security.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pr </w:t>
      </w:r>
      <w:r>
        <w:rPr>
          <w:sz w:val="22"/>
        </w:rPr>
        <w:t>or </w:t>
      </w:r>
      <w:r>
        <w:rPr>
          <w:rFonts w:ascii="Times New Roman" w:hAnsi="Times New Roman"/>
          <w:i/>
          <w:sz w:val="22"/>
        </w:rPr>
        <w:t>redemption </w:t>
      </w:r>
      <w:r>
        <w:rPr>
          <w:sz w:val="22"/>
        </w:rPr>
        <w:t>≤ 0,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DISC(DATE(2007,1,25),DATE(2007,6,15),97.975,100,1)</w:t>
      </w:r>
      <w:r>
        <w:rPr>
          <w:rFonts w:ascii="Consolas"/>
          <w:spacing w:val="-67"/>
        </w:rPr>
        <w:t> </w:t>
      </w:r>
      <w:r>
        <w:rPr/>
        <w:t>results in </w:t>
      </w:r>
      <w:r>
        <w:rPr>
          <w:rFonts w:ascii="Consolas"/>
        </w:rPr>
        <w:t>5.2420%</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92 DMAX" w:id="1668"/>
      <w:bookmarkEnd w:id="1668"/>
      <w:r>
        <w:rPr/>
      </w:r>
      <w:bookmarkStart w:name="_bookmark555" w:id="1669"/>
      <w:bookmarkEnd w:id="1669"/>
      <w:r>
        <w:rPr/>
      </w:r>
      <w:bookmarkStart w:name="_bookmark555" w:id="1670"/>
      <w:bookmarkEnd w:id="1670"/>
      <w:r>
        <w:rPr>
          <w:color w:val="4F81BC"/>
        </w:rPr>
        <w:t>DM</w:t>
      </w:r>
      <w:r>
        <w:rPr>
          <w:color w:val="4F81BC"/>
        </w:rPr>
        <w:t>AX</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DMAX ( </w:t>
      </w:r>
      <w:r>
        <w:rPr>
          <w:i/>
          <w:sz w:val="22"/>
        </w:rPr>
        <w:t>database </w:t>
      </w:r>
      <w:r>
        <w:rPr>
          <w:rFonts w:ascii="Lucida Console"/>
          <w:sz w:val="20"/>
        </w:rPr>
        <w:t>, </w:t>
      </w:r>
      <w:r>
        <w:rPr>
          <w:i/>
          <w:sz w:val="22"/>
        </w:rPr>
        <w:t>field </w:t>
      </w:r>
      <w:r>
        <w:rPr>
          <w:rFonts w:ascii="Lucida Console"/>
          <w:sz w:val="20"/>
        </w:rPr>
        <w:t>, </w:t>
      </w:r>
      <w:r>
        <w:rPr>
          <w:i/>
          <w:sz w:val="22"/>
        </w:rPr>
        <w:t>criteria </w:t>
      </w:r>
      <w:r>
        <w:rPr>
          <w:rFonts w:ascii="Lucida Console"/>
          <w:sz w:val="20"/>
        </w:rPr>
        <w:t>)</w:t>
      </w:r>
    </w:p>
    <w:p>
      <w:pPr>
        <w:pStyle w:val="BodyText"/>
        <w:spacing w:line="278" w:lineRule="auto" w:before="106"/>
        <w:ind w:left="220" w:right="411"/>
      </w:pPr>
      <w:r>
        <w:rPr>
          <w:b/>
        </w:rPr>
        <w:t>Description</w:t>
      </w:r>
      <w:r>
        <w:rPr/>
        <w:t>: Computes the maximum value of the cells in a column of a list or database that match the specified criteria. (See the </w:t>
      </w:r>
      <w:r>
        <w:rPr>
          <w:rFonts w:ascii="Consolas" w:hAnsi="Consolas"/>
        </w:rPr>
        <w:t>DAVERAGE</w:t>
      </w:r>
      <w:r>
        <w:rPr>
          <w:rFonts w:ascii="Consolas" w:hAnsi="Consolas"/>
          <w:spacing w:val="-74"/>
        </w:rPr>
        <w:t> </w:t>
      </w:r>
      <w:r>
        <w:rPr/>
        <w:t>function §</w:t>
      </w:r>
      <w:hyperlink w:history="true" w:anchor="_bookmark540">
        <w:r>
          <w:rPr/>
          <w:t>18.17.7.77</w:t>
        </w:r>
      </w:hyperlink>
      <w:r>
        <w:rPr/>
        <w:t>.)</w:t>
      </w:r>
    </w:p>
    <w:p>
      <w:pPr>
        <w:pStyle w:val="BodyText"/>
        <w:spacing w:before="2"/>
        <w:rPr>
          <w:sz w:val="16"/>
        </w:rPr>
      </w:pPr>
    </w:p>
    <w:p>
      <w:pPr>
        <w:pStyle w:val="Heading4"/>
        <w:spacing w:before="1"/>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sz w:val="22"/>
              </w:rPr>
              <w:t>database</w:t>
            </w:r>
          </w:p>
        </w:tc>
        <w:tc>
          <w:tcPr>
            <w:tcW w:w="1800" w:type="dxa"/>
          </w:tcPr>
          <w:p>
            <w:pPr>
              <w:pStyle w:val="TableParagraph"/>
              <w:spacing w:before="42"/>
              <w:ind w:left="112"/>
              <w:rPr>
                <w:sz w:val="22"/>
              </w:rPr>
            </w:pPr>
            <w:r>
              <w:rPr>
                <w:sz w:val="22"/>
              </w:rPr>
              <w:t>reference</w:t>
            </w:r>
          </w:p>
        </w:tc>
        <w:tc>
          <w:tcPr>
            <w:tcW w:w="5400" w:type="dxa"/>
          </w:tcPr>
          <w:p>
            <w:pPr>
              <w:pStyle w:val="TableParagraph"/>
              <w:spacing w:before="42"/>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rPr>
          <w:sz w:val="20"/>
        </w:rPr>
      </w:pPr>
    </w:p>
    <w:p>
      <w:pPr>
        <w:pStyle w:val="BodyText"/>
        <w:rPr>
          <w:sz w:val="17"/>
        </w:rPr>
      </w:pPr>
    </w:p>
    <w:p>
      <w:pPr>
        <w:pStyle w:val="BodyText"/>
        <w:spacing w:before="56"/>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6"/>
        <w:rPr>
          <w:sz w:val="19"/>
        </w:rPr>
      </w:pPr>
    </w:p>
    <w:p>
      <w:pPr>
        <w:pStyle w:val="BodyText"/>
        <w:spacing w:line="278" w:lineRule="auto"/>
        <w:ind w:left="220" w:right="913"/>
      </w:pPr>
      <w:r>
        <w:rPr>
          <w:b/>
        </w:rPr>
        <w:t>Return Type and Value</w:t>
      </w:r>
      <w:r>
        <w:rPr/>
        <w:t>: number – The maximum of the values of the cells that correspond to the specified criteria.</w:t>
      </w:r>
    </w:p>
    <w:p>
      <w:pPr>
        <w:pStyle w:val="BodyText"/>
        <w:spacing w:before="196"/>
        <w:ind w:left="220"/>
      </w:pPr>
      <w:r>
        <w:rPr/>
        <w:t>[</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6"/>
        <w:rPr>
          <w:sz w:val="28"/>
        </w:rPr>
      </w:pPr>
    </w:p>
    <w:p>
      <w:pPr>
        <w:pStyle w:val="BodyText"/>
        <w:spacing w:line="276" w:lineRule="auto"/>
        <w:ind w:left="220" w:right="471"/>
      </w:pPr>
      <w:r>
        <w:rPr/>
        <w:t>The maximum profit of apple and pear trees is computed by </w:t>
      </w:r>
      <w:r>
        <w:rPr>
          <w:rFonts w:ascii="Consolas"/>
        </w:rPr>
        <w:t>DMAX(A4:E10,"Profit",A1:A3)</w:t>
      </w:r>
      <w:r>
        <w:rPr/>
        <w:t>, which results in </w:t>
      </w:r>
      <w:r>
        <w:rPr>
          <w:rFonts w:ascii="Consolas"/>
        </w:rPr>
        <w:t>105</w:t>
      </w:r>
      <w:r>
        <w:rPr/>
        <w:t>.</w:t>
      </w:r>
    </w:p>
    <w:p>
      <w:pPr>
        <w:pStyle w:val="BodyText"/>
        <w:spacing w:before="7"/>
        <w:rPr>
          <w:sz w:val="24"/>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93 DMIN" w:id="1671"/>
      <w:bookmarkEnd w:id="1671"/>
      <w:r>
        <w:rPr/>
      </w:r>
      <w:bookmarkStart w:name="_bookmark556" w:id="1672"/>
      <w:bookmarkEnd w:id="1672"/>
      <w:r>
        <w:rPr/>
      </w:r>
      <w:bookmarkStart w:name="_bookmark556" w:id="1673"/>
      <w:bookmarkEnd w:id="1673"/>
      <w:r>
        <w:rPr>
          <w:color w:val="4F81BC"/>
        </w:rPr>
        <w:t>DM</w:t>
      </w:r>
      <w:r>
        <w:rPr>
          <w:color w:val="4F81BC"/>
        </w:rPr>
        <w:t>IN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DMIN ( </w:t>
      </w:r>
      <w:r>
        <w:rPr>
          <w:i/>
          <w:sz w:val="22"/>
        </w:rPr>
        <w:t>database </w:t>
      </w:r>
      <w:r>
        <w:rPr>
          <w:rFonts w:ascii="Lucida Console"/>
          <w:sz w:val="20"/>
        </w:rPr>
        <w:t>, </w:t>
      </w:r>
      <w:r>
        <w:rPr>
          <w:i/>
          <w:sz w:val="22"/>
        </w:rPr>
        <w:t>field </w:t>
      </w:r>
      <w:r>
        <w:rPr>
          <w:rFonts w:ascii="Lucida Console"/>
          <w:sz w:val="20"/>
        </w:rPr>
        <w:t>, </w:t>
      </w:r>
      <w:r>
        <w:rPr>
          <w:i/>
          <w:sz w:val="22"/>
        </w:rPr>
        <w:t>criteria </w:t>
      </w:r>
      <w:r>
        <w:rPr>
          <w:rFonts w:ascii="Lucida Console"/>
          <w:sz w:val="20"/>
        </w:rPr>
        <w:t>)</w:t>
      </w:r>
    </w:p>
    <w:p>
      <w:pPr>
        <w:pStyle w:val="BodyText"/>
        <w:spacing w:line="278" w:lineRule="auto" w:before="106"/>
        <w:ind w:left="220" w:right="446"/>
      </w:pPr>
      <w:r>
        <w:rPr>
          <w:b/>
        </w:rPr>
        <w:t>Description</w:t>
      </w:r>
      <w:r>
        <w:rPr/>
        <w:t>: Computes the minimum value of the cells in a column of a list or database that match the specified criteria. (See the </w:t>
      </w:r>
      <w:r>
        <w:rPr>
          <w:rFonts w:ascii="Consolas" w:hAnsi="Consolas"/>
        </w:rPr>
        <w:t>DAVERAGE</w:t>
      </w:r>
      <w:r>
        <w:rPr>
          <w:rFonts w:ascii="Consolas" w:hAnsi="Consolas"/>
          <w:spacing w:val="-74"/>
        </w:rPr>
        <w:t> </w:t>
      </w:r>
      <w:r>
        <w:rPr/>
        <w:t>function §</w:t>
      </w:r>
      <w:hyperlink w:history="true" w:anchor="_bookmark540">
        <w:r>
          <w:rPr/>
          <w:t>18.17.7.77</w:t>
        </w:r>
      </w:hyperlink>
      <w:r>
        <w:rPr/>
        <w:t>.)</w:t>
      </w:r>
    </w:p>
    <w:p>
      <w:pPr>
        <w:pStyle w:val="Heading4"/>
        <w:spacing w:before="198"/>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6"/>
        <w:rPr>
          <w:sz w:val="19"/>
        </w:rPr>
      </w:pPr>
    </w:p>
    <w:p>
      <w:pPr>
        <w:pStyle w:val="BodyText"/>
        <w:spacing w:line="276" w:lineRule="auto"/>
        <w:ind w:left="220" w:right="948"/>
      </w:pPr>
      <w:r>
        <w:rPr>
          <w:b/>
        </w:rPr>
        <w:t>Return Type and Value</w:t>
      </w:r>
      <w:r>
        <w:rPr/>
        <w:t>: number – The minimum of the values of the cells that correspond to the specified criteria.</w:t>
      </w:r>
    </w:p>
    <w:p>
      <w:pPr>
        <w:pStyle w:val="BodyText"/>
        <w:spacing w:before="3"/>
        <w:rPr>
          <w:sz w:val="16"/>
        </w:rPr>
      </w:pPr>
    </w:p>
    <w:p>
      <w:pPr>
        <w:pStyle w:val="BodyText"/>
        <w:ind w:left="220"/>
      </w:pPr>
      <w:r>
        <w:rPr/>
        <w:t>[</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10"/>
        <w:rPr>
          <w:sz w:val="28"/>
        </w:rPr>
      </w:pPr>
    </w:p>
    <w:p>
      <w:pPr>
        <w:pStyle w:val="BodyText"/>
        <w:spacing w:line="273" w:lineRule="auto"/>
        <w:ind w:left="220" w:right="439"/>
      </w:pPr>
      <w:r>
        <w:rPr/>
        <w:t>The minimum profit of apple trees over 10 in height is computed by </w:t>
      </w:r>
      <w:r>
        <w:rPr>
          <w:rFonts w:ascii="Consolas"/>
        </w:rPr>
        <w:t>DMIN(A4:E10,"Profit",A1:B2)</w:t>
      </w:r>
      <w:r>
        <w:rPr/>
        <w:t>, which results in </w:t>
      </w:r>
      <w:r>
        <w:rPr>
          <w:rFonts w:ascii="Consolas"/>
        </w:rPr>
        <w:t>75</w:t>
      </w:r>
      <w:r>
        <w:rPr/>
        <w:t>.</w:t>
      </w:r>
    </w:p>
    <w:p>
      <w:pPr>
        <w:pStyle w:val="BodyText"/>
        <w:spacing w:before="11"/>
        <w:rPr>
          <w:sz w:val="24"/>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94 DOLLAR" w:id="1674"/>
      <w:bookmarkEnd w:id="1674"/>
      <w:r>
        <w:rPr/>
      </w:r>
      <w:bookmarkStart w:name="_bookmark557" w:id="1675"/>
      <w:bookmarkEnd w:id="1675"/>
      <w:r>
        <w:rPr/>
      </w:r>
      <w:bookmarkStart w:name="_bookmark557" w:id="1676"/>
      <w:bookmarkEnd w:id="1676"/>
      <w:r>
        <w:rPr>
          <w:color w:val="4F81BC"/>
        </w:rPr>
        <w:t>D</w:t>
      </w:r>
      <w:r>
        <w:rPr>
          <w:color w:val="4F81BC"/>
        </w:rPr>
        <w:t>OLLAR</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DOLLAR ( </w:t>
      </w:r>
      <w:r>
        <w:rPr>
          <w:i/>
          <w:sz w:val="22"/>
        </w:rPr>
        <w:t>number </w:t>
      </w:r>
      <w:r>
        <w:rPr>
          <w:sz w:val="22"/>
        </w:rPr>
        <w:t>[ </w:t>
      </w:r>
      <w:r>
        <w:rPr>
          <w:rFonts w:ascii="Lucida Console"/>
          <w:sz w:val="20"/>
        </w:rPr>
        <w:t>, </w:t>
      </w:r>
      <w:r>
        <w:rPr>
          <w:i/>
          <w:sz w:val="22"/>
        </w:rPr>
        <w:t>num-decimal </w:t>
      </w:r>
      <w:r>
        <w:rPr>
          <w:sz w:val="22"/>
        </w:rPr>
        <w:t>] </w:t>
      </w:r>
      <w:r>
        <w:rPr>
          <w:rFonts w:ascii="Lucida Console"/>
          <w:sz w:val="20"/>
        </w:rPr>
        <w:t>)</w:t>
      </w:r>
    </w:p>
    <w:p>
      <w:pPr>
        <w:pStyle w:val="BodyText"/>
        <w:spacing w:line="278" w:lineRule="auto" w:before="105"/>
        <w:ind w:left="220" w:right="432"/>
      </w:pPr>
      <w:r>
        <w:rPr>
          <w:b/>
        </w:rPr>
        <w:t>Description: </w:t>
      </w:r>
      <w:r>
        <w:rPr/>
        <w:t>Produces a string containing </w:t>
      </w:r>
      <w:r>
        <w:rPr>
          <w:rFonts w:ascii="Times New Roman"/>
          <w:i/>
        </w:rPr>
        <w:t>number </w:t>
      </w:r>
      <w:r>
        <w:rPr/>
        <w:t>rounded to </w:t>
      </w:r>
      <w:r>
        <w:rPr>
          <w:rFonts w:ascii="Times New Roman"/>
          <w:i/>
        </w:rPr>
        <w:t>num-decimal </w:t>
      </w:r>
      <w:r>
        <w:rPr/>
        <w:t>decimal places. The formatting applied to the string for the thousands separator, radix point, and currency symbol are implementation-specific.</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that is to be formatted.</w:t>
            </w:r>
          </w:p>
        </w:tc>
      </w:tr>
      <w:tr>
        <w:trPr>
          <w:trHeight w:val="1161" w:hRule="atLeast"/>
        </w:trPr>
        <w:tc>
          <w:tcPr>
            <w:tcW w:w="1466" w:type="dxa"/>
          </w:tcPr>
          <w:p>
            <w:pPr>
              <w:pStyle w:val="TableParagraph"/>
              <w:spacing w:before="37"/>
              <w:rPr>
                <w:rFonts w:ascii="Times New Roman"/>
                <w:i/>
                <w:sz w:val="22"/>
              </w:rPr>
            </w:pPr>
            <w:r>
              <w:rPr>
                <w:rFonts w:ascii="Times New Roman"/>
                <w:i/>
                <w:sz w:val="22"/>
              </w:rPr>
              <w:t>num-decimal</w:t>
            </w:r>
          </w:p>
        </w:tc>
        <w:tc>
          <w:tcPr>
            <w:tcW w:w="1800" w:type="dxa"/>
          </w:tcPr>
          <w:p>
            <w:pPr>
              <w:pStyle w:val="TableParagraph"/>
              <w:ind w:left="112"/>
              <w:rPr>
                <w:sz w:val="22"/>
              </w:rPr>
            </w:pPr>
            <w:r>
              <w:rPr>
                <w:sz w:val="22"/>
              </w:rPr>
              <w:t>number</w:t>
            </w:r>
          </w:p>
        </w:tc>
        <w:tc>
          <w:tcPr>
            <w:tcW w:w="5400" w:type="dxa"/>
          </w:tcPr>
          <w:p>
            <w:pPr>
              <w:pStyle w:val="TableParagraph"/>
              <w:ind w:left="113" w:right="113"/>
              <w:rPr>
                <w:sz w:val="22"/>
              </w:rPr>
            </w:pPr>
            <w:r>
              <w:rPr>
                <w:sz w:val="22"/>
              </w:rPr>
              <w:t>Designate the number of decimal places to be used in the resulting string; it is truncated to an integer. If </w:t>
            </w:r>
            <w:r>
              <w:rPr>
                <w:rFonts w:ascii="Times New Roman"/>
                <w:i/>
                <w:sz w:val="22"/>
              </w:rPr>
              <w:t>num- </w:t>
            </w:r>
            <w:r>
              <w:rPr>
                <w:rFonts w:ascii="Times New Roman"/>
                <w:i/>
                <w:sz w:val="22"/>
              </w:rPr>
              <w:t>decimal </w:t>
            </w:r>
            <w:r>
              <w:rPr>
                <w:sz w:val="22"/>
              </w:rPr>
              <w:t>is negative, </w:t>
            </w:r>
            <w:r>
              <w:rPr>
                <w:rFonts w:ascii="Times New Roman"/>
                <w:i/>
                <w:sz w:val="22"/>
              </w:rPr>
              <w:t>number </w:t>
            </w:r>
            <w:r>
              <w:rPr>
                <w:sz w:val="22"/>
              </w:rPr>
              <w:t>is rounded to the left of the decimal point. If omitted, a value of 2 shall be assumed.</w:t>
            </w:r>
          </w:p>
        </w:tc>
      </w:tr>
    </w:tbl>
    <w:p>
      <w:pPr>
        <w:pStyle w:val="BodyText"/>
        <w:rPr>
          <w:b/>
        </w:rPr>
      </w:pPr>
    </w:p>
    <w:p>
      <w:pPr>
        <w:pStyle w:val="BodyText"/>
        <w:spacing w:before="5"/>
        <w:rPr>
          <w:b/>
          <w:sz w:val="19"/>
        </w:rPr>
      </w:pPr>
    </w:p>
    <w:p>
      <w:pPr>
        <w:spacing w:line="276" w:lineRule="auto" w:before="0"/>
        <w:ind w:left="220" w:right="0" w:firstLine="0"/>
        <w:jc w:val="left"/>
        <w:rPr>
          <w:sz w:val="22"/>
        </w:rPr>
      </w:pPr>
      <w:r>
        <w:rPr>
          <w:b/>
          <w:sz w:val="22"/>
        </w:rPr>
        <w:t>Return Type and Value: </w:t>
      </w:r>
      <w:r>
        <w:rPr>
          <w:sz w:val="22"/>
        </w:rPr>
        <w:t>text – The string containing </w:t>
      </w:r>
      <w:r>
        <w:rPr>
          <w:rFonts w:ascii="Times New Roman" w:hAnsi="Times New Roman"/>
          <w:i/>
          <w:sz w:val="22"/>
        </w:rPr>
        <w:t>number </w:t>
      </w:r>
      <w:r>
        <w:rPr>
          <w:sz w:val="22"/>
        </w:rPr>
        <w:t>rounded to </w:t>
      </w:r>
      <w:r>
        <w:rPr>
          <w:rFonts w:ascii="Times New Roman" w:hAnsi="Times New Roman"/>
          <w:i/>
          <w:sz w:val="22"/>
        </w:rPr>
        <w:t>num-decimal </w:t>
      </w:r>
      <w:r>
        <w:rPr>
          <w:sz w:val="22"/>
        </w:rPr>
        <w:t>decimal places, and have a currency symbol and thousands separators.</w:t>
      </w:r>
    </w:p>
    <w:p>
      <w:pPr>
        <w:pStyle w:val="BodyText"/>
        <w:spacing w:before="3"/>
        <w:rPr>
          <w:sz w:val="16"/>
        </w:rPr>
      </w:pPr>
    </w:p>
    <w:p>
      <w:pPr>
        <w:pStyle w:val="BodyText"/>
        <w:ind w:left="220"/>
      </w:pPr>
      <w:r>
        <w:rPr/>
        <w:t>[</w:t>
      </w:r>
      <w:r>
        <w:rPr>
          <w:i/>
        </w:rPr>
        <w:t>Example</w:t>
      </w:r>
      <w:r>
        <w:rPr/>
        <w:t>: When the spreadsheet application defines the currency symbol to be “$”, the thousands separator to</w:t>
      </w:r>
    </w:p>
    <w:p>
      <w:pPr>
        <w:pStyle w:val="BodyText"/>
        <w:spacing w:before="41"/>
        <w:ind w:left="220"/>
      </w:pPr>
      <w:r>
        <w:rPr/>
        <w:t>be “,” and the radix to be “.”:</w:t>
      </w:r>
    </w:p>
    <w:p>
      <w:pPr>
        <w:pStyle w:val="BodyText"/>
        <w:spacing w:before="6"/>
        <w:rPr>
          <w:sz w:val="28"/>
        </w:rPr>
      </w:pPr>
    </w:p>
    <w:p>
      <w:pPr>
        <w:pStyle w:val="BodyText"/>
        <w:spacing w:line="278" w:lineRule="auto"/>
        <w:ind w:left="220" w:right="5727"/>
        <w:rPr>
          <w:rFonts w:ascii="Consolas"/>
        </w:rPr>
      </w:pPr>
      <w:r>
        <w:rPr>
          <w:rFonts w:ascii="Consolas"/>
        </w:rPr>
        <w:t>DOLLAR(1234.567) </w:t>
      </w:r>
      <w:r>
        <w:rPr/>
        <w:t>results in </w:t>
      </w:r>
      <w:r>
        <w:rPr>
          <w:rFonts w:ascii="Consolas"/>
        </w:rPr>
        <w:t>$1,234.57 DOLLAR(1234.567,-2) </w:t>
      </w:r>
      <w:r>
        <w:rPr/>
        <w:t>results in </w:t>
      </w:r>
      <w:r>
        <w:rPr>
          <w:rFonts w:ascii="Consolas"/>
        </w:rPr>
        <w:t>$1,200 DOLLAR(-1234.567,4)</w:t>
      </w:r>
      <w:r>
        <w:rPr>
          <w:rFonts w:ascii="Consolas"/>
          <w:spacing w:val="-89"/>
        </w:rPr>
        <w:t> </w:t>
      </w:r>
      <w:r>
        <w:rPr/>
        <w:t>results in (</w:t>
      </w:r>
      <w:r>
        <w:rPr>
          <w:rFonts w:ascii="Consolas"/>
        </w:rPr>
        <w:t>$1,234.5670)</w:t>
      </w:r>
    </w:p>
    <w:p>
      <w:pPr>
        <w:pStyle w:val="BodyText"/>
        <w:spacing w:before="194"/>
        <w:ind w:left="220"/>
      </w:pPr>
      <w:r>
        <w:rPr/>
        <w:t>When the spreadsheet application defines the currency symbol to be “</w:t>
      </w:r>
      <w:r>
        <w:rPr>
          <w:rFonts w:ascii="Consolas" w:hAnsi="Consolas"/>
        </w:rPr>
        <w:t>€</w:t>
      </w:r>
      <w:r>
        <w:rPr/>
        <w:t>”, the thousands separator to be “ “ and</w:t>
      </w:r>
    </w:p>
    <w:p>
      <w:pPr>
        <w:pStyle w:val="BodyText"/>
        <w:spacing w:before="39"/>
        <w:ind w:left="220"/>
      </w:pPr>
      <w:r>
        <w:rPr/>
        <w:t>the radix to be “,”:</w:t>
      </w:r>
    </w:p>
    <w:p>
      <w:pPr>
        <w:pStyle w:val="BodyText"/>
        <w:spacing w:before="9"/>
        <w:rPr>
          <w:sz w:val="28"/>
        </w:rPr>
      </w:pPr>
    </w:p>
    <w:p>
      <w:pPr>
        <w:pStyle w:val="BodyText"/>
        <w:ind w:left="220"/>
        <w:rPr>
          <w:rFonts w:ascii="Consolas" w:hAnsi="Consolas"/>
        </w:rPr>
      </w:pPr>
      <w:r>
        <w:rPr>
          <w:rFonts w:ascii="Consolas" w:hAnsi="Consolas"/>
        </w:rPr>
        <w:t>DOLLAR(1234.567) </w:t>
      </w:r>
      <w:r>
        <w:rPr/>
        <w:t>results in </w:t>
      </w:r>
      <w:r>
        <w:rPr>
          <w:rFonts w:ascii="Consolas" w:hAnsi="Consolas"/>
        </w:rPr>
        <w:t>1 234,57</w:t>
      </w:r>
      <w:r>
        <w:rPr>
          <w:rFonts w:ascii="Consolas" w:hAnsi="Consolas"/>
          <w:spacing w:val="-84"/>
        </w:rPr>
        <w:t> </w:t>
      </w:r>
      <w:r>
        <w:rPr>
          <w:rFonts w:ascii="Consolas" w:hAnsi="Consolas"/>
        </w:rPr>
        <w:t>€</w:t>
      </w:r>
    </w:p>
    <w:p>
      <w:pPr>
        <w:pStyle w:val="BodyText"/>
        <w:spacing w:before="38"/>
        <w:ind w:left="220"/>
        <w:rPr>
          <w:rFonts w:ascii="Consolas" w:hAnsi="Consolas"/>
        </w:rPr>
      </w:pPr>
      <w:r>
        <w:rPr>
          <w:rFonts w:ascii="Consolas" w:hAnsi="Consolas"/>
        </w:rPr>
        <w:t>DOLLAR(1234.567,-2) </w:t>
      </w:r>
      <w:r>
        <w:rPr/>
        <w:t>results in </w:t>
      </w:r>
      <w:r>
        <w:rPr>
          <w:rFonts w:ascii="Consolas" w:hAnsi="Consolas"/>
        </w:rPr>
        <w:t>1 200</w:t>
      </w:r>
      <w:r>
        <w:rPr>
          <w:rFonts w:ascii="Consolas" w:hAnsi="Consolas"/>
          <w:spacing w:val="-83"/>
        </w:rPr>
        <w:t> </w:t>
      </w:r>
      <w:r>
        <w:rPr>
          <w:rFonts w:ascii="Consolas" w:hAnsi="Consolas"/>
        </w:rPr>
        <w:t>€</w:t>
      </w:r>
    </w:p>
    <w:p>
      <w:pPr>
        <w:pStyle w:val="BodyText"/>
        <w:spacing w:before="44"/>
        <w:ind w:left="220"/>
        <w:rPr>
          <w:rFonts w:ascii="Consolas" w:hAnsi="Consolas"/>
        </w:rPr>
      </w:pPr>
      <w:r>
        <w:rPr>
          <w:rFonts w:ascii="Consolas" w:hAnsi="Consolas"/>
        </w:rPr>
        <w:t>DOLLAR(-1234.567,4) </w:t>
      </w:r>
      <w:r>
        <w:rPr/>
        <w:t>results in </w:t>
      </w:r>
      <w:r>
        <w:rPr>
          <w:rFonts w:ascii="Consolas" w:hAnsi="Consolas"/>
        </w:rPr>
        <w:t>-1 234,5670</w:t>
      </w:r>
      <w:r>
        <w:rPr>
          <w:rFonts w:ascii="Consolas" w:hAnsi="Consolas"/>
          <w:spacing w:val="-78"/>
        </w:rPr>
        <w:t> </w:t>
      </w:r>
      <w:r>
        <w:rPr>
          <w:rFonts w:ascii="Consolas" w:hAnsi="Consolas"/>
        </w:rPr>
        <w:t>€</w:t>
      </w:r>
    </w:p>
    <w:p>
      <w:pPr>
        <w:pStyle w:val="BodyText"/>
        <w:spacing w:before="3"/>
        <w:rPr>
          <w:rFonts w:ascii="Consolas"/>
          <w:sz w:val="20"/>
        </w:rPr>
      </w:pPr>
    </w:p>
    <w:p>
      <w:pPr>
        <w:pStyle w:val="BodyText"/>
        <w:spacing w:before="1"/>
        <w:ind w:left="220"/>
      </w:pPr>
      <w:r>
        <w:rPr/>
        <w:t>When the spreadsheet application defines the currency symbol to be “</w:t>
      </w:r>
      <w:r>
        <w:rPr>
          <w:rFonts w:ascii="Consolas" w:hAnsi="Consolas"/>
        </w:rPr>
        <w:t>SFr.</w:t>
      </w:r>
      <w:r>
        <w:rPr/>
        <w:t>”, the thousands separator to be “’”</w:t>
      </w:r>
    </w:p>
    <w:p>
      <w:pPr>
        <w:pStyle w:val="BodyText"/>
        <w:spacing w:before="41"/>
        <w:ind w:left="220"/>
      </w:pPr>
      <w:r>
        <w:rPr/>
        <w:t>and the radix to be “.”:</w:t>
      </w:r>
    </w:p>
    <w:p>
      <w:pPr>
        <w:pStyle w:val="BodyText"/>
        <w:spacing w:before="6"/>
        <w:rPr>
          <w:sz w:val="28"/>
        </w:rPr>
      </w:pPr>
    </w:p>
    <w:p>
      <w:pPr>
        <w:pStyle w:val="BodyText"/>
        <w:spacing w:line="276" w:lineRule="auto" w:before="1"/>
        <w:ind w:left="220" w:right="5310"/>
        <w:rPr>
          <w:rFonts w:ascii="Consolas"/>
        </w:rPr>
      </w:pPr>
      <w:r>
        <w:rPr>
          <w:rFonts w:ascii="Consolas"/>
        </w:rPr>
        <w:t>DOLLAR(1234.567) </w:t>
      </w:r>
      <w:r>
        <w:rPr/>
        <w:t>results in </w:t>
      </w:r>
      <w:r>
        <w:rPr>
          <w:rFonts w:ascii="Consolas"/>
        </w:rPr>
        <w:t>SFr. 1'234.57 DOLLAR(1234.567,-2) </w:t>
      </w:r>
      <w:r>
        <w:rPr/>
        <w:t>results in </w:t>
      </w:r>
      <w:r>
        <w:rPr>
          <w:rFonts w:ascii="Consolas"/>
        </w:rPr>
        <w:t>SFr. 1'200 DOLLAR(-1234.567,4)</w:t>
      </w:r>
      <w:r>
        <w:rPr>
          <w:rFonts w:ascii="Consolas"/>
          <w:spacing w:val="-90"/>
        </w:rPr>
        <w:t> </w:t>
      </w:r>
      <w:r>
        <w:rPr/>
        <w:t>results in </w:t>
      </w:r>
      <w:r>
        <w:rPr>
          <w:rFonts w:ascii="Consolas"/>
        </w:rPr>
        <w:t>SFr. -1'234.5670</w:t>
      </w:r>
    </w:p>
    <w:p>
      <w:pPr>
        <w:pStyle w:val="BodyText"/>
        <w:spacing w:before="2"/>
        <w:rPr>
          <w:rFonts w:ascii="Consolas"/>
          <w:sz w:val="17"/>
        </w:rPr>
      </w:pPr>
    </w:p>
    <w:p>
      <w:pPr>
        <w:pStyle w:val="BodyText"/>
        <w:ind w:left="220"/>
      </w:pPr>
      <w:r>
        <w:rPr/>
        <w:t>When the spreadsheet application defines the currency symbol to be “</w:t>
      </w:r>
      <w:r>
        <w:rPr>
          <w:rFonts w:ascii="Consolas" w:hAnsi="Consolas"/>
        </w:rPr>
        <w:t>kr</w:t>
      </w:r>
      <w:r>
        <w:rPr/>
        <w:t>”, the thousands separator to be “ ”</w:t>
      </w:r>
    </w:p>
    <w:p>
      <w:pPr>
        <w:pStyle w:val="BodyText"/>
        <w:spacing w:before="39"/>
        <w:ind w:left="220"/>
      </w:pPr>
      <w:r>
        <w:rPr/>
        <w:t>and the radix to be “,”:</w:t>
      </w:r>
    </w:p>
    <w:p>
      <w:pPr>
        <w:spacing w:after="0"/>
        <w:sectPr>
          <w:pgSz w:w="12240" w:h="15840"/>
          <w:pgMar w:header="763" w:footer="746" w:top="1340" w:bottom="940" w:left="860" w:right="700"/>
        </w:sectPr>
      </w:pPr>
    </w:p>
    <w:p>
      <w:pPr>
        <w:pStyle w:val="BodyText"/>
        <w:spacing w:before="90"/>
        <w:ind w:left="220"/>
        <w:rPr>
          <w:rFonts w:ascii="Consolas"/>
        </w:rPr>
      </w:pPr>
      <w:r>
        <w:rPr>
          <w:rFonts w:ascii="Consolas"/>
        </w:rPr>
        <w:t>DOLLAR(1234.567) </w:t>
      </w:r>
      <w:r>
        <w:rPr/>
        <w:t>results in </w:t>
      </w:r>
      <w:r>
        <w:rPr>
          <w:rFonts w:ascii="Consolas"/>
        </w:rPr>
        <w:t>kr 1</w:t>
      </w:r>
      <w:r>
        <w:rPr>
          <w:rFonts w:ascii="Consolas"/>
          <w:spacing w:val="-84"/>
        </w:rPr>
        <w:t> </w:t>
      </w:r>
      <w:r>
        <w:rPr>
          <w:rFonts w:ascii="Consolas"/>
        </w:rPr>
        <w:t>234,57</w:t>
      </w:r>
    </w:p>
    <w:p>
      <w:pPr>
        <w:pStyle w:val="BodyText"/>
        <w:spacing w:before="42"/>
        <w:ind w:left="220"/>
        <w:rPr>
          <w:rFonts w:ascii="Consolas"/>
        </w:rPr>
      </w:pPr>
      <w:r>
        <w:rPr>
          <w:rFonts w:ascii="Consolas"/>
        </w:rPr>
        <w:t>DOLLAR(1234.567,-2) </w:t>
      </w:r>
      <w:r>
        <w:rPr/>
        <w:t>results in </w:t>
      </w:r>
      <w:r>
        <w:rPr>
          <w:rFonts w:ascii="Consolas"/>
        </w:rPr>
        <w:t>kr 1</w:t>
      </w:r>
      <w:r>
        <w:rPr>
          <w:rFonts w:ascii="Consolas"/>
          <w:spacing w:val="-85"/>
        </w:rPr>
        <w:t> </w:t>
      </w:r>
      <w:r>
        <w:rPr>
          <w:rFonts w:ascii="Consolas"/>
        </w:rPr>
        <w:t>200</w:t>
      </w:r>
    </w:p>
    <w:p>
      <w:pPr>
        <w:pStyle w:val="BodyText"/>
        <w:spacing w:before="38"/>
        <w:ind w:left="220"/>
        <w:rPr>
          <w:rFonts w:ascii="Consolas"/>
        </w:rPr>
      </w:pPr>
      <w:r>
        <w:rPr>
          <w:rFonts w:ascii="Consolas"/>
        </w:rPr>
        <w:t>DOLLAR(-1234.567,4) </w:t>
      </w:r>
      <w:r>
        <w:rPr/>
        <w:t>results in </w:t>
      </w:r>
      <w:r>
        <w:rPr>
          <w:rFonts w:ascii="Consolas"/>
        </w:rPr>
        <w:t>kr -1</w:t>
      </w:r>
      <w:r>
        <w:rPr>
          <w:rFonts w:ascii="Consolas"/>
          <w:spacing w:val="-79"/>
        </w:rPr>
        <w:t> </w:t>
      </w:r>
      <w:r>
        <w:rPr>
          <w:rFonts w:ascii="Consolas"/>
        </w:rPr>
        <w:t>234,5670</w:t>
      </w:r>
    </w:p>
    <w:p>
      <w:pPr>
        <w:spacing w:before="44"/>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95 DOLLARDE" w:id="1677"/>
      <w:bookmarkEnd w:id="1677"/>
      <w:r>
        <w:rPr/>
      </w:r>
      <w:bookmarkStart w:name="_bookmark558" w:id="1678"/>
      <w:bookmarkEnd w:id="1678"/>
      <w:r>
        <w:rPr/>
      </w:r>
      <w:bookmarkStart w:name="_bookmark558" w:id="1679"/>
      <w:bookmarkEnd w:id="1679"/>
      <w:r>
        <w:rPr>
          <w:color w:val="4F81BC"/>
        </w:rPr>
        <w:t>D</w:t>
      </w:r>
      <w:r>
        <w:rPr>
          <w:color w:val="4F81BC"/>
        </w:rPr>
        <w:t>OLLARDE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DOLLARDE ( </w:t>
      </w:r>
      <w:r>
        <w:rPr>
          <w:i/>
          <w:sz w:val="22"/>
        </w:rPr>
        <w:t>fractional-dollar </w:t>
      </w:r>
      <w:r>
        <w:rPr>
          <w:rFonts w:ascii="Lucida Console"/>
          <w:sz w:val="20"/>
        </w:rPr>
        <w:t>, </w:t>
      </w:r>
      <w:r>
        <w:rPr>
          <w:i/>
          <w:sz w:val="22"/>
        </w:rPr>
        <w:t>fraction </w:t>
      </w:r>
      <w:r>
        <w:rPr>
          <w:rFonts w:ascii="Lucida Console"/>
          <w:sz w:val="20"/>
        </w:rPr>
        <w:t>)</w:t>
      </w:r>
    </w:p>
    <w:p>
      <w:pPr>
        <w:pStyle w:val="BodyText"/>
        <w:spacing w:line="276" w:lineRule="auto" w:before="106"/>
        <w:ind w:left="220" w:right="412"/>
      </w:pPr>
      <w:r>
        <w:rPr>
          <w:b/>
        </w:rPr>
        <w:t>Description</w:t>
      </w:r>
      <w:r>
        <w:rPr/>
        <w:t>: Converts a fractional dollar price into a dollar price expressed as a decimal number. [</w:t>
      </w:r>
      <w:r>
        <w:rPr>
          <w:i/>
        </w:rPr>
        <w:t>Note</w:t>
      </w:r>
      <w:r>
        <w:rPr/>
        <w:t>: Fractional dollar numbers are sometimes used for securities prices. </w:t>
      </w:r>
      <w:r>
        <w:rPr>
          <w:i/>
        </w:rPr>
        <w:t>end note</w:t>
      </w:r>
      <w:r>
        <w:rPr/>
        <w:t>] The fractional part of </w:t>
      </w:r>
      <w:r>
        <w:rPr>
          <w:rFonts w:ascii="Times New Roman"/>
          <w:i/>
        </w:rPr>
        <w:t>fractional- </w:t>
      </w:r>
      <w:r>
        <w:rPr>
          <w:rFonts w:ascii="Times New Roman"/>
          <w:i/>
        </w:rPr>
        <w:t>dollar </w:t>
      </w:r>
      <w:r>
        <w:rPr/>
        <w:t>is scaled to match the magnitude of </w:t>
      </w:r>
      <w:r>
        <w:rPr>
          <w:rFonts w:ascii="Times New Roman"/>
          <w:i/>
        </w:rPr>
        <w:t>fraction </w:t>
      </w:r>
      <w:r>
        <w:rPr/>
        <w:t>by moving the decimal place right by the number of digits in </w:t>
      </w:r>
      <w:r>
        <w:rPr>
          <w:rFonts w:ascii="Times New Roman"/>
          <w:i/>
        </w:rPr>
        <w:t>fraction</w:t>
      </w:r>
      <w:r>
        <w:rPr/>
        <w:t>. The </w:t>
      </w:r>
      <w:r>
        <w:rPr>
          <w:rFonts w:ascii="Times New Roman"/>
          <w:i/>
        </w:rPr>
        <w:t>fractional-dollar </w:t>
      </w:r>
      <w:r>
        <w:rPr/>
        <w:t>m.n is computed into a decimal dollar value as m + i, where i is an intermediate result equal to (((0.n)*(10x))/fraction), and x is the base 10 log of fraction, rounded up to the nearest whole number.</w:t>
      </w:r>
    </w:p>
    <w:p>
      <w:pPr>
        <w:pStyle w:val="BodyText"/>
        <w:spacing w:before="6"/>
        <w:rPr>
          <w:sz w:val="16"/>
        </w:rPr>
      </w:pPr>
    </w:p>
    <w:p>
      <w:pPr>
        <w:spacing w:line="276" w:lineRule="auto" w:before="1"/>
        <w:ind w:left="220" w:right="365" w:firstLine="0"/>
        <w:jc w:val="left"/>
        <w:rPr>
          <w:sz w:val="22"/>
        </w:rPr>
      </w:pPr>
      <w:r>
        <w:rPr>
          <w:sz w:val="22"/>
        </w:rPr>
        <w:t>[</w:t>
      </w:r>
      <w:r>
        <w:rPr>
          <w:i/>
          <w:sz w:val="22"/>
        </w:rPr>
        <w:t>Example</w:t>
      </w:r>
      <w:r>
        <w:rPr>
          <w:sz w:val="22"/>
        </w:rPr>
        <w:t>: Given a </w:t>
      </w:r>
      <w:r>
        <w:rPr>
          <w:rFonts w:ascii="Times New Roman"/>
          <w:i/>
          <w:sz w:val="22"/>
        </w:rPr>
        <w:t>fractional-dollar </w:t>
      </w:r>
      <w:r>
        <w:rPr>
          <w:sz w:val="22"/>
        </w:rPr>
        <w:t>value of 1.02 and a </w:t>
      </w:r>
      <w:r>
        <w:rPr>
          <w:rFonts w:ascii="Times New Roman"/>
          <w:i/>
          <w:sz w:val="22"/>
        </w:rPr>
        <w:t>fraction </w:t>
      </w:r>
      <w:r>
        <w:rPr>
          <w:sz w:val="22"/>
        </w:rPr>
        <w:t>value of 16, the fractional part of </w:t>
      </w:r>
      <w:r>
        <w:rPr>
          <w:rFonts w:ascii="Times New Roman"/>
          <w:i/>
          <w:sz w:val="22"/>
        </w:rPr>
        <w:t>fractional- </w:t>
      </w:r>
      <w:r>
        <w:rPr>
          <w:rFonts w:ascii="Times New Roman"/>
          <w:i/>
          <w:sz w:val="22"/>
        </w:rPr>
        <w:t>dollar </w:t>
      </w:r>
      <w:r>
        <w:rPr>
          <w:sz w:val="22"/>
        </w:rPr>
        <w:t>is multiplied by 100, giving a value of 2 to be divided by </w:t>
      </w:r>
      <w:r>
        <w:rPr>
          <w:rFonts w:ascii="Times New Roman"/>
          <w:i/>
          <w:sz w:val="22"/>
        </w:rPr>
        <w:t>fraction </w:t>
      </w:r>
      <w:r>
        <w:rPr>
          <w:sz w:val="22"/>
        </w:rPr>
        <w:t>before being added to the integral part of </w:t>
      </w:r>
      <w:r>
        <w:rPr>
          <w:rFonts w:ascii="Times New Roman"/>
          <w:i/>
          <w:sz w:val="22"/>
        </w:rPr>
        <w:t>fractional-dollar</w:t>
      </w:r>
      <w:r>
        <w:rPr>
          <w:sz w:val="22"/>
        </w:rPr>
        <w:t>, yielding a decimal price of 1.125. </w:t>
      </w:r>
      <w:r>
        <w:rPr>
          <w:i/>
          <w:sz w:val="22"/>
        </w:rPr>
        <w:t>end example</w:t>
      </w:r>
      <w:r>
        <w:rPr>
          <w:sz w:val="22"/>
        </w:rPr>
        <w:t>]</w:t>
      </w:r>
    </w:p>
    <w:p>
      <w:pPr>
        <w:pStyle w:val="Heading4"/>
        <w:spacing w:before="201"/>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2" w:hRule="atLeast"/>
        </w:trPr>
        <w:tc>
          <w:tcPr>
            <w:tcW w:w="1466" w:type="dxa"/>
          </w:tcPr>
          <w:p>
            <w:pPr>
              <w:pStyle w:val="TableParagraph"/>
              <w:spacing w:before="37"/>
              <w:ind w:right="379"/>
              <w:rPr>
                <w:rFonts w:ascii="Times New Roman"/>
                <w:i/>
                <w:sz w:val="22"/>
              </w:rPr>
            </w:pPr>
            <w:r>
              <w:rPr>
                <w:rFonts w:ascii="Times New Roman"/>
                <w:i/>
                <w:sz w:val="22"/>
              </w:rPr>
              <w:t>fractional- </w:t>
            </w:r>
            <w:r>
              <w:rPr>
                <w:rFonts w:ascii="Times New Roman"/>
                <w:i/>
                <w:sz w:val="22"/>
              </w:rPr>
              <w:t>dollar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to be interpreted as a fractional dollar price.</w:t>
            </w:r>
          </w:p>
        </w:tc>
      </w:tr>
      <w:tr>
        <w:trPr>
          <w:trHeight w:val="354" w:hRule="atLeast"/>
        </w:trPr>
        <w:tc>
          <w:tcPr>
            <w:tcW w:w="1466" w:type="dxa"/>
          </w:tcPr>
          <w:p>
            <w:pPr>
              <w:pStyle w:val="TableParagraph"/>
              <w:spacing w:before="37"/>
              <w:rPr>
                <w:rFonts w:ascii="Times New Roman"/>
                <w:i/>
                <w:sz w:val="22"/>
              </w:rPr>
            </w:pPr>
            <w:r>
              <w:rPr>
                <w:rFonts w:ascii="Times New Roman"/>
                <w:i/>
                <w:sz w:val="22"/>
              </w:rPr>
              <w:t>fraction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integer to use in the denominator of the fraction.</w:t>
            </w:r>
          </w:p>
        </w:tc>
      </w:tr>
    </w:tbl>
    <w:p>
      <w:pPr>
        <w:pStyle w:val="BodyText"/>
      </w:pPr>
    </w:p>
    <w:p>
      <w:pPr>
        <w:pStyle w:val="BodyText"/>
        <w:spacing w:before="7"/>
        <w:rPr>
          <w:sz w:val="19"/>
        </w:rPr>
      </w:pPr>
    </w:p>
    <w:p>
      <w:pPr>
        <w:spacing w:line="453" w:lineRule="auto" w:before="0"/>
        <w:ind w:left="220" w:right="3025" w:firstLine="0"/>
        <w:jc w:val="left"/>
        <w:rPr>
          <w:sz w:val="22"/>
        </w:rPr>
      </w:pPr>
      <w:r>
        <w:rPr>
          <w:b/>
          <w:sz w:val="22"/>
        </w:rPr>
        <w:t>Return Type and Value</w:t>
      </w:r>
      <w:r>
        <w:rPr>
          <w:sz w:val="22"/>
        </w:rPr>
        <w:t>: number – The dollar price expressed as a decimal number.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fraction </w:t>
      </w:r>
      <w:r>
        <w:rPr>
          <w:sz w:val="22"/>
        </w:rPr>
        <w:t>&lt;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683" w:firstLine="360"/>
        <w:jc w:val="left"/>
        <w:rPr>
          <w:sz w:val="22"/>
        </w:rPr>
      </w:pPr>
      <w:r>
        <w:rPr>
          <w:rFonts w:ascii="Times New Roman" w:hAnsi="Times New Roman"/>
          <w:i/>
          <w:sz w:val="22"/>
        </w:rPr>
        <w:t>fraction </w:t>
      </w:r>
      <w:r>
        <w:rPr>
          <w:sz w:val="22"/>
        </w:rPr>
        <w:t>= 0, </w:t>
      </w:r>
      <w:r>
        <w:rPr>
          <w:rFonts w:ascii="Consolas" w:hAnsi="Consolas"/>
          <w:sz w:val="22"/>
        </w:rPr>
        <w:t>#DIV/0!</w:t>
      </w:r>
      <w:r>
        <w:rPr>
          <w:rFonts w:ascii="Consolas" w:hAnsi="Consolas"/>
          <w:spacing w:val="-87"/>
          <w:sz w:val="22"/>
        </w:rPr>
        <w:t> </w:t>
      </w:r>
      <w:r>
        <w:rPr>
          <w:sz w:val="22"/>
        </w:rPr>
        <w:t>is returned. [</w:t>
      </w:r>
      <w:r>
        <w:rPr>
          <w:i/>
          <w:sz w:val="22"/>
        </w:rPr>
        <w:t>Example</w:t>
      </w:r>
      <w:r>
        <w:rPr>
          <w:sz w:val="22"/>
        </w:rPr>
        <w:t>:</w:t>
      </w:r>
    </w:p>
    <w:p>
      <w:pPr>
        <w:pStyle w:val="BodyText"/>
        <w:spacing w:line="276" w:lineRule="auto" w:before="126"/>
        <w:ind w:left="220" w:right="6876"/>
        <w:rPr>
          <w:rFonts w:ascii="Consolas"/>
        </w:rPr>
      </w:pPr>
      <w:r>
        <w:rPr>
          <w:rFonts w:ascii="Consolas"/>
        </w:rPr>
        <w:t>DOLLARDE(1.02,16)</w:t>
      </w:r>
      <w:r>
        <w:rPr>
          <w:rFonts w:ascii="Consolas"/>
          <w:spacing w:val="-83"/>
        </w:rPr>
        <w:t> </w:t>
      </w:r>
      <w:r>
        <w:rPr/>
        <w:t>results in </w:t>
      </w:r>
      <w:r>
        <w:rPr>
          <w:rFonts w:ascii="Consolas"/>
        </w:rPr>
        <w:t>1.125 DOLLARDE(1.1,32)</w:t>
      </w:r>
      <w:r>
        <w:rPr>
          <w:rFonts w:ascii="Consolas"/>
          <w:spacing w:val="-82"/>
        </w:rPr>
        <w:t> </w:t>
      </w:r>
      <w:r>
        <w:rPr/>
        <w:t>results in </w:t>
      </w:r>
      <w:r>
        <w:rPr>
          <w:rFonts w:ascii="Consolas"/>
        </w:rPr>
        <w:t>1.3125</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96 DOLLARFR" w:id="1680"/>
      <w:bookmarkEnd w:id="1680"/>
      <w:r>
        <w:rPr/>
      </w:r>
      <w:bookmarkStart w:name="_bookmark559" w:id="1681"/>
      <w:bookmarkEnd w:id="1681"/>
      <w:r>
        <w:rPr/>
      </w:r>
      <w:bookmarkStart w:name="_bookmark559" w:id="1682"/>
      <w:bookmarkEnd w:id="1682"/>
      <w:r>
        <w:rPr>
          <w:color w:val="4F81BC"/>
        </w:rPr>
        <w:t>D</w:t>
      </w:r>
      <w:r>
        <w:rPr>
          <w:color w:val="4F81BC"/>
        </w:rPr>
        <w:t>OLLARFR</w:t>
      </w:r>
    </w:p>
    <w:p>
      <w:pPr>
        <w:pStyle w:val="Heading4"/>
        <w:spacing w:before="121"/>
        <w:rPr>
          <w:b w:val="0"/>
        </w:rPr>
      </w:pPr>
      <w:r>
        <w:rPr/>
        <w:t>Syntax</w:t>
      </w:r>
      <w:r>
        <w:rPr>
          <w:b w:val="0"/>
        </w:rPr>
        <w:t>:</w:t>
      </w:r>
    </w:p>
    <w:p>
      <w:pPr>
        <w:spacing w:after="0"/>
        <w:sectPr>
          <w:pgSz w:w="12240" w:h="15840"/>
          <w:pgMar w:header="761" w:footer="746" w:top="1340" w:bottom="940" w:left="860" w:right="700"/>
        </w:sectPr>
      </w:pPr>
    </w:p>
    <w:p>
      <w:pPr>
        <w:spacing w:before="143"/>
        <w:ind w:left="940" w:right="0" w:firstLine="0"/>
        <w:jc w:val="left"/>
        <w:rPr>
          <w:rFonts w:ascii="Lucida Console"/>
          <w:sz w:val="20"/>
        </w:rPr>
      </w:pPr>
      <w:r>
        <w:rPr>
          <w:rFonts w:ascii="Lucida Console"/>
          <w:sz w:val="20"/>
        </w:rPr>
        <w:t>DOLLARFR ( </w:t>
      </w:r>
      <w:r>
        <w:rPr>
          <w:i/>
          <w:sz w:val="22"/>
        </w:rPr>
        <w:t>decimal-dollar </w:t>
      </w:r>
      <w:r>
        <w:rPr>
          <w:rFonts w:ascii="Lucida Console"/>
          <w:sz w:val="20"/>
        </w:rPr>
        <w:t>, </w:t>
      </w:r>
      <w:r>
        <w:rPr>
          <w:i/>
          <w:sz w:val="22"/>
        </w:rPr>
        <w:t>fraction </w:t>
      </w:r>
      <w:r>
        <w:rPr>
          <w:rFonts w:ascii="Lucida Console"/>
          <w:sz w:val="20"/>
        </w:rPr>
        <w:t>)</w:t>
      </w:r>
    </w:p>
    <w:p>
      <w:pPr>
        <w:pStyle w:val="BodyText"/>
        <w:spacing w:line="278" w:lineRule="auto" w:before="106"/>
        <w:ind w:left="220" w:right="1018"/>
      </w:pPr>
      <w:r>
        <w:rPr/>
        <w:t>Description: Converts a dollar price expressed as a decimal into a dollar price expressed as a fraction. This function is used to convert decimal dollar numbers, such as securities prices, to fractional numbers.</w:t>
      </w:r>
    </w:p>
    <w:p>
      <w:pPr>
        <w:pStyle w:val="BodyText"/>
        <w:spacing w:before="3"/>
        <w:rPr>
          <w:sz w:val="16"/>
        </w:rPr>
      </w:pPr>
    </w:p>
    <w:p>
      <w:pPr>
        <w:pStyle w:val="Heading4"/>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2" w:hRule="atLeast"/>
        </w:trPr>
        <w:tc>
          <w:tcPr>
            <w:tcW w:w="1466" w:type="dxa"/>
          </w:tcPr>
          <w:p>
            <w:pPr>
              <w:pStyle w:val="TableParagraph"/>
              <w:spacing w:before="37"/>
              <w:ind w:right="551"/>
              <w:rPr>
                <w:rFonts w:ascii="Times New Roman"/>
                <w:i/>
                <w:sz w:val="22"/>
              </w:rPr>
            </w:pPr>
            <w:r>
              <w:rPr>
                <w:rFonts w:ascii="Times New Roman"/>
                <w:i/>
                <w:sz w:val="22"/>
              </w:rPr>
              <w:t>decimal- </w:t>
            </w:r>
            <w:r>
              <w:rPr>
                <w:rFonts w:ascii="Times New Roman"/>
                <w:i/>
                <w:sz w:val="22"/>
              </w:rPr>
              <w:t>dollar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expressed as a decimal.</w:t>
            </w:r>
          </w:p>
        </w:tc>
      </w:tr>
      <w:tr>
        <w:trPr>
          <w:trHeight w:val="354" w:hRule="atLeast"/>
        </w:trPr>
        <w:tc>
          <w:tcPr>
            <w:tcW w:w="1466" w:type="dxa"/>
          </w:tcPr>
          <w:p>
            <w:pPr>
              <w:pStyle w:val="TableParagraph"/>
              <w:spacing w:before="37"/>
              <w:rPr>
                <w:rFonts w:ascii="Times New Roman"/>
                <w:i/>
                <w:sz w:val="22"/>
              </w:rPr>
            </w:pPr>
            <w:r>
              <w:rPr>
                <w:rFonts w:ascii="Times New Roman"/>
                <w:i/>
                <w:sz w:val="22"/>
              </w:rPr>
              <w:t>fraction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integer to use in the denominator of the fraction.</w:t>
            </w:r>
          </w:p>
        </w:tc>
      </w:tr>
    </w:tbl>
    <w:p>
      <w:pPr>
        <w:pStyle w:val="BodyText"/>
      </w:pPr>
    </w:p>
    <w:p>
      <w:pPr>
        <w:pStyle w:val="BodyText"/>
        <w:spacing w:before="5"/>
        <w:rPr>
          <w:sz w:val="19"/>
        </w:rPr>
      </w:pPr>
    </w:p>
    <w:p>
      <w:pPr>
        <w:pStyle w:val="BodyText"/>
        <w:spacing w:line="276" w:lineRule="auto" w:before="1"/>
        <w:ind w:left="220" w:right="396"/>
      </w:pPr>
      <w:r>
        <w:rPr>
          <w:b/>
        </w:rPr>
        <w:t>Return Type and Value</w:t>
      </w:r>
      <w:r>
        <w:rPr/>
        <w:t>: number – The dollar price expressed as a fractional number. [</w:t>
      </w:r>
      <w:r>
        <w:rPr>
          <w:i/>
        </w:rPr>
        <w:t>Example</w:t>
      </w:r>
      <w:r>
        <w:rPr/>
        <w:t>: A result of </w:t>
      </w:r>
      <w:r>
        <w:rPr>
          <w:i/>
        </w:rPr>
        <w:t>m.n </w:t>
      </w:r>
      <w:r>
        <w:rPr/>
        <w:t>means </w:t>
      </w:r>
      <w:r>
        <w:rPr>
          <w:i/>
        </w:rPr>
        <w:t>m </w:t>
      </w:r>
      <w:r>
        <w:rPr/>
        <w:t>+ </w:t>
      </w:r>
      <w:r>
        <w:rPr>
          <w:i/>
        </w:rPr>
        <w:t>n</w:t>
      </w:r>
      <w:r>
        <w:rPr/>
        <w:t>/</w:t>
      </w:r>
      <w:r>
        <w:rPr>
          <w:rFonts w:ascii="Times New Roman" w:hAnsi="Times New Roman"/>
          <w:i/>
        </w:rPr>
        <w:t>fraction </w:t>
      </w:r>
      <w:r>
        <w:rPr/>
        <w:t>dollars. </w:t>
      </w:r>
      <w:r>
        <w:rPr>
          <w:i/>
        </w:rPr>
        <w:t>end example</w:t>
      </w:r>
      <w:r>
        <w:rPr/>
        <w:t>] The fractional part of the return value is scaled to have the same number of digits after the decimal point, as there are digits in </w:t>
      </w:r>
      <w:r>
        <w:rPr>
          <w:rFonts w:ascii="Times New Roman" w:hAnsi="Times New Roman"/>
          <w:i/>
        </w:rPr>
        <w:t>fraction</w:t>
      </w:r>
      <w:r>
        <w:rPr/>
        <w:t>. [</w:t>
      </w:r>
      <w:r>
        <w:rPr>
          <w:i/>
        </w:rPr>
        <w:t>Example</w:t>
      </w:r>
      <w:r>
        <w:rPr/>
        <w:t>: DOLLARFR(1.125, 16) has a two-digit </w:t>
      </w:r>
      <w:r>
        <w:rPr>
          <w:rFonts w:ascii="Times New Roman" w:hAnsi="Times New Roman"/>
          <w:i/>
        </w:rPr>
        <w:t>fraction </w:t>
      </w:r>
      <w:r>
        <w:rPr/>
        <w:t>value and so returns the two-digit fractional number 1.02 </w:t>
      </w:r>
      <w:r>
        <w:rPr>
          <w:i/>
        </w:rPr>
        <w:t>end example</w:t>
      </w:r>
      <w:r>
        <w:rPr/>
        <w:t>] If an exact numerator cannot be found, the function returns the lowest numerator that could be used with </w:t>
      </w:r>
      <w:r>
        <w:rPr>
          <w:rFonts w:ascii="Times New Roman" w:hAnsi="Times New Roman"/>
          <w:i/>
        </w:rPr>
        <w:t>fraction</w:t>
      </w:r>
      <w:r>
        <w:rPr/>
        <w:t>, multiplied by a power of ten. [</w:t>
      </w:r>
      <w:r>
        <w:rPr>
          <w:i/>
        </w:rPr>
        <w:t>Example</w:t>
      </w:r>
      <w:r>
        <w:rPr/>
        <w:t>: DOLLARFR(1.5,3) returns 1.15, as there is no exact fraction which satisfies n/3 = 0.5, and 15/30 represents the lowest power of ten </w:t>
      </w:r>
      <w:r>
        <w:rPr>
          <w:rFonts w:ascii="Times New Roman" w:hAnsi="Times New Roman"/>
          <w:i/>
        </w:rPr>
        <w:t>fraction </w:t>
      </w:r>
      <w:r>
        <w:rPr/>
        <w:t>can be multiplied by to obtain an exact value. </w:t>
      </w:r>
      <w:r>
        <w:rPr>
          <w:i/>
        </w:rPr>
        <w:t>end example</w:t>
      </w:r>
      <w:r>
        <w:rPr/>
        <w:t>]</w:t>
      </w:r>
    </w:p>
    <w:p>
      <w:pPr>
        <w:pStyle w:val="BodyText"/>
        <w:spacing w:before="202"/>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fraction </w:t>
      </w:r>
      <w:r>
        <w:rPr>
          <w:sz w:val="22"/>
        </w:rPr>
        <w:t>&lt;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683" w:firstLine="360"/>
        <w:jc w:val="left"/>
        <w:rPr>
          <w:sz w:val="22"/>
        </w:rPr>
      </w:pPr>
      <w:r>
        <w:rPr>
          <w:rFonts w:ascii="Times New Roman" w:hAnsi="Times New Roman"/>
          <w:i/>
          <w:sz w:val="22"/>
        </w:rPr>
        <w:t>fraction </w:t>
      </w:r>
      <w:r>
        <w:rPr>
          <w:sz w:val="22"/>
        </w:rPr>
        <w:t>= 0, </w:t>
      </w:r>
      <w:r>
        <w:rPr>
          <w:rFonts w:ascii="Consolas" w:hAnsi="Consolas"/>
          <w:sz w:val="22"/>
        </w:rPr>
        <w:t>#DIV/0!</w:t>
      </w:r>
      <w:r>
        <w:rPr>
          <w:rFonts w:ascii="Consolas" w:hAnsi="Consolas"/>
          <w:spacing w:val="-87"/>
          <w:sz w:val="22"/>
        </w:rPr>
        <w:t> </w:t>
      </w:r>
      <w:r>
        <w:rPr>
          <w:sz w:val="22"/>
        </w:rPr>
        <w:t>is returned. [</w:t>
      </w:r>
      <w:r>
        <w:rPr>
          <w:i/>
          <w:sz w:val="22"/>
        </w:rPr>
        <w:t>Example</w:t>
      </w:r>
      <w:r>
        <w:rPr>
          <w:sz w:val="22"/>
        </w:rPr>
        <w:t>:</w:t>
      </w:r>
    </w:p>
    <w:p>
      <w:pPr>
        <w:pStyle w:val="BodyText"/>
        <w:spacing w:line="273" w:lineRule="auto" w:before="128"/>
        <w:ind w:left="220" w:right="6877"/>
        <w:rPr>
          <w:rFonts w:ascii="Consolas"/>
        </w:rPr>
      </w:pPr>
      <w:r>
        <w:rPr>
          <w:rFonts w:ascii="Consolas"/>
        </w:rPr>
        <w:t>DOLLARFR(1.125,16)</w:t>
      </w:r>
      <w:r>
        <w:rPr>
          <w:rFonts w:ascii="Consolas"/>
          <w:spacing w:val="-83"/>
        </w:rPr>
        <w:t> </w:t>
      </w:r>
      <w:r>
        <w:rPr/>
        <w:t>results in </w:t>
      </w:r>
      <w:r>
        <w:rPr>
          <w:rFonts w:ascii="Consolas"/>
        </w:rPr>
        <w:t>1.02 DOLLARFR(1.125,32)</w:t>
      </w:r>
      <w:r>
        <w:rPr>
          <w:rFonts w:ascii="Consolas"/>
          <w:spacing w:val="-83"/>
        </w:rPr>
        <w:t> </w:t>
      </w:r>
      <w:r>
        <w:rPr/>
        <w:t>results in </w:t>
      </w:r>
      <w:r>
        <w:rPr>
          <w:rFonts w:ascii="Consolas"/>
        </w:rPr>
        <w:t>1.04</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97 DPRODUCT" w:id="1683"/>
      <w:bookmarkEnd w:id="1683"/>
      <w:r>
        <w:rPr/>
      </w:r>
      <w:bookmarkStart w:name="_bookmark560" w:id="1684"/>
      <w:bookmarkEnd w:id="1684"/>
      <w:r>
        <w:rPr/>
      </w:r>
      <w:bookmarkStart w:name="_bookmark560" w:id="1685"/>
      <w:bookmarkEnd w:id="1685"/>
      <w:r>
        <w:rPr>
          <w:color w:val="4F81BC"/>
        </w:rPr>
        <w:t>DPR</w:t>
      </w:r>
      <w:r>
        <w:rPr>
          <w:color w:val="4F81BC"/>
        </w:rPr>
        <w:t>ODUCT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DPRODUCT ( </w:t>
      </w:r>
      <w:r>
        <w:rPr>
          <w:i/>
          <w:sz w:val="22"/>
        </w:rPr>
        <w:t>database </w:t>
      </w:r>
      <w:r>
        <w:rPr>
          <w:rFonts w:ascii="Lucida Console"/>
          <w:sz w:val="20"/>
        </w:rPr>
        <w:t>, </w:t>
      </w:r>
      <w:r>
        <w:rPr>
          <w:i/>
          <w:sz w:val="22"/>
        </w:rPr>
        <w:t>field </w:t>
      </w:r>
      <w:r>
        <w:rPr>
          <w:rFonts w:ascii="Lucida Console"/>
          <w:sz w:val="20"/>
        </w:rPr>
        <w:t>,</w:t>
      </w:r>
      <w:r>
        <w:rPr>
          <w:rFonts w:ascii="Lucida Console"/>
          <w:spacing w:val="-83"/>
          <w:sz w:val="20"/>
        </w:rPr>
        <w:t> </w:t>
      </w:r>
      <w:r>
        <w:rPr>
          <w:i/>
          <w:sz w:val="22"/>
        </w:rPr>
        <w:t>criteria </w:t>
      </w:r>
      <w:r>
        <w:rPr>
          <w:rFonts w:ascii="Lucida Console"/>
          <w:sz w:val="20"/>
        </w:rPr>
        <w:t>)</w:t>
      </w:r>
    </w:p>
    <w:p>
      <w:pPr>
        <w:pStyle w:val="BodyText"/>
        <w:spacing w:line="278" w:lineRule="auto" w:before="106"/>
        <w:ind w:left="220" w:right="779"/>
      </w:pPr>
      <w:r>
        <w:rPr>
          <w:b/>
        </w:rPr>
        <w:t>Description</w:t>
      </w:r>
      <w:r>
        <w:rPr/>
        <w:t>: Computes the product of the values of the cells in a column of a list or database that match the specified criteria. (See the </w:t>
      </w:r>
      <w:r>
        <w:rPr>
          <w:rFonts w:ascii="Consolas" w:hAnsi="Consolas"/>
        </w:rPr>
        <w:t>DAVERAGE</w:t>
      </w:r>
      <w:r>
        <w:rPr>
          <w:rFonts w:ascii="Consolas" w:hAnsi="Consolas"/>
          <w:spacing w:val="-74"/>
        </w:rPr>
        <w:t> </w:t>
      </w:r>
      <w:r>
        <w:rPr/>
        <w:t>function §</w:t>
      </w:r>
      <w:hyperlink w:history="true" w:anchor="_bookmark540">
        <w:r>
          <w:rPr/>
          <w:t>18.17.7.77</w:t>
        </w:r>
      </w:hyperlink>
      <w:r>
        <w:rPr/>
        <w:t>.)</w:t>
      </w:r>
    </w:p>
    <w:p>
      <w:pPr>
        <w:pStyle w:val="BodyText"/>
        <w:spacing w:before="3"/>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6"/>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rPr>
          <w:sz w:val="20"/>
        </w:rPr>
      </w:pPr>
    </w:p>
    <w:p>
      <w:pPr>
        <w:pStyle w:val="BodyText"/>
        <w:rPr>
          <w:sz w:val="17"/>
        </w:rPr>
      </w:pPr>
    </w:p>
    <w:p>
      <w:pPr>
        <w:pStyle w:val="BodyText"/>
        <w:spacing w:before="56"/>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8"/>
        <w:rPr>
          <w:sz w:val="19"/>
        </w:rPr>
      </w:pPr>
    </w:p>
    <w:p>
      <w:pPr>
        <w:pStyle w:val="BodyText"/>
        <w:spacing w:line="453" w:lineRule="auto" w:before="1"/>
        <w:ind w:left="220" w:right="360"/>
      </w:pPr>
      <w:r>
        <w:rPr>
          <w:b/>
        </w:rPr>
        <w:t>Return Type and Value</w:t>
      </w:r>
      <w:r>
        <w:rPr/>
        <w:t>: number – The product of the values of the cells that correspond to the specified criteria. [</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108"/>
        <w:ind w:left="220"/>
      </w:pPr>
      <w:r>
        <w:rPr/>
        <w:t>The product of the yields from apple trees with a height greater than 10 is computed by</w:t>
      </w:r>
    </w:p>
    <w:p>
      <w:pPr>
        <w:pStyle w:val="BodyText"/>
        <w:spacing w:before="41"/>
        <w:ind w:left="220"/>
      </w:pPr>
      <w:r>
        <w:rPr>
          <w:rFonts w:ascii="Consolas"/>
        </w:rPr>
        <w:t>DPRODUCT(A4:E10,"Yield",A1:B2)</w:t>
      </w:r>
      <w:r>
        <w:rPr/>
        <w:t>, which results in </w:t>
      </w:r>
      <w:r>
        <w:rPr>
          <w:rFonts w:ascii="Consolas"/>
        </w:rPr>
        <w:t>140</w:t>
      </w:r>
      <w:r>
        <w:rPr/>
        <w:t>.</w:t>
      </w:r>
    </w:p>
    <w:p>
      <w:pPr>
        <w:pStyle w:val="BodyText"/>
        <w:spacing w:before="9"/>
        <w:rPr>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98 DSTDEV" w:id="1686"/>
      <w:bookmarkEnd w:id="1686"/>
      <w:r>
        <w:rPr/>
      </w:r>
      <w:bookmarkStart w:name="_bookmark561" w:id="1687"/>
      <w:bookmarkEnd w:id="1687"/>
      <w:r>
        <w:rPr/>
      </w:r>
      <w:bookmarkStart w:name="_bookmark561" w:id="1688"/>
      <w:bookmarkEnd w:id="1688"/>
      <w:r>
        <w:rPr>
          <w:color w:val="4F81BC"/>
        </w:rPr>
        <w:t>DSTDEV</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DSTDEV ( </w:t>
      </w:r>
      <w:r>
        <w:rPr>
          <w:i/>
          <w:sz w:val="22"/>
        </w:rPr>
        <w:t>database </w:t>
      </w:r>
      <w:r>
        <w:rPr>
          <w:rFonts w:ascii="Lucida Console"/>
          <w:sz w:val="20"/>
        </w:rPr>
        <w:t>, </w:t>
      </w:r>
      <w:r>
        <w:rPr>
          <w:i/>
          <w:sz w:val="22"/>
        </w:rPr>
        <w:t>field </w:t>
      </w:r>
      <w:r>
        <w:rPr>
          <w:rFonts w:ascii="Lucida Console"/>
          <w:sz w:val="20"/>
        </w:rPr>
        <w:t>,</w:t>
      </w:r>
      <w:r>
        <w:rPr>
          <w:rFonts w:ascii="Lucida Console"/>
          <w:spacing w:val="-83"/>
          <w:sz w:val="20"/>
        </w:rPr>
        <w:t> </w:t>
      </w:r>
      <w:r>
        <w:rPr>
          <w:i/>
          <w:sz w:val="22"/>
        </w:rPr>
        <w:t>criteria </w:t>
      </w:r>
      <w:r>
        <w:rPr>
          <w:rFonts w:ascii="Lucida Console"/>
          <w:sz w:val="20"/>
        </w:rPr>
        <w:t>)</w:t>
      </w:r>
    </w:p>
    <w:p>
      <w:pPr>
        <w:pStyle w:val="BodyText"/>
        <w:spacing w:line="278" w:lineRule="auto" w:before="105"/>
        <w:ind w:left="220" w:right="866"/>
      </w:pPr>
      <w:r>
        <w:rPr>
          <w:b/>
        </w:rPr>
        <w:t>Description</w:t>
      </w:r>
      <w:r>
        <w:rPr/>
        <w:t>: Estimates the standard deviation of a population based on a sample by using the numbers in a column of a list or database that match the specified criteria. (See the </w:t>
      </w:r>
      <w:r>
        <w:rPr>
          <w:rFonts w:ascii="Consolas" w:hAnsi="Consolas"/>
        </w:rPr>
        <w:t>DAVERAGE</w:t>
      </w:r>
      <w:r>
        <w:rPr>
          <w:rFonts w:ascii="Consolas" w:hAnsi="Consolas"/>
          <w:spacing w:val="-99"/>
        </w:rPr>
        <w:t> </w:t>
      </w:r>
      <w:r>
        <w:rPr/>
        <w:t>function §</w:t>
      </w:r>
      <w:hyperlink w:history="true" w:anchor="_bookmark540">
        <w:r>
          <w:rPr/>
          <w:t>18.17.7.77</w:t>
        </w:r>
      </w:hyperlink>
      <w:r>
        <w:rPr/>
        <w:t>.)</w:t>
      </w:r>
    </w:p>
    <w:p>
      <w:pPr>
        <w:pStyle w:val="BodyText"/>
        <w:spacing w:before="3"/>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6"/>
        <w:rPr>
          <w:sz w:val="19"/>
        </w:rPr>
      </w:pPr>
    </w:p>
    <w:p>
      <w:pPr>
        <w:pStyle w:val="BodyText"/>
        <w:spacing w:line="278" w:lineRule="auto"/>
        <w:ind w:left="220" w:right="462"/>
      </w:pPr>
      <w:r>
        <w:rPr>
          <w:b/>
        </w:rPr>
        <w:t>Return Type and Value</w:t>
      </w:r>
      <w:r>
        <w:rPr/>
        <w:t>: number – An estimate of the standard deviation of a population based on the cells that correspond to the specified criteria.</w:t>
      </w:r>
    </w:p>
    <w:p>
      <w:pPr>
        <w:pStyle w:val="BodyText"/>
        <w:spacing w:before="196"/>
        <w:ind w:left="220"/>
      </w:pPr>
      <w:r>
        <w:rPr/>
        <w:t>[</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6"/>
        <w:rPr>
          <w:sz w:val="28"/>
        </w:rPr>
      </w:pPr>
    </w:p>
    <w:p>
      <w:pPr>
        <w:pStyle w:val="BodyText"/>
        <w:spacing w:line="276" w:lineRule="auto" w:before="1"/>
        <w:ind w:left="220" w:right="400"/>
      </w:pPr>
      <w:r>
        <w:rPr/>
        <w:t>The estimated standard deviation in the yield of apple and pear trees if the data in the database is only a sample of the total orchard population is computed by </w:t>
      </w:r>
      <w:r>
        <w:rPr>
          <w:rFonts w:ascii="Consolas"/>
        </w:rPr>
        <w:t>DSTDEV(A4:E10,"Yield",A1:A3)</w:t>
      </w:r>
      <w:r>
        <w:rPr/>
        <w:t>, which results in </w:t>
      </w:r>
      <w:r>
        <w:rPr>
          <w:rFonts w:ascii="Consolas"/>
        </w:rPr>
        <w:t>2.97</w:t>
      </w:r>
      <w:r>
        <w:rPr/>
        <w:t>.</w:t>
      </w:r>
    </w:p>
    <w:p>
      <w:pPr>
        <w:pStyle w:val="BodyText"/>
        <w:spacing w:before="6"/>
        <w:rPr>
          <w:sz w:val="24"/>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99 DSTDEVP" w:id="1689"/>
      <w:bookmarkEnd w:id="1689"/>
      <w:r>
        <w:rPr/>
      </w:r>
      <w:bookmarkStart w:name="_bookmark562" w:id="1690"/>
      <w:bookmarkEnd w:id="1690"/>
      <w:r>
        <w:rPr/>
      </w:r>
      <w:bookmarkStart w:name="_bookmark562" w:id="1691"/>
      <w:bookmarkEnd w:id="1691"/>
      <w:r>
        <w:rPr>
          <w:color w:val="4F81BC"/>
        </w:rPr>
        <w:t>DSTDEVP</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DSTDEVP ( </w:t>
      </w:r>
      <w:r>
        <w:rPr>
          <w:i/>
          <w:sz w:val="22"/>
        </w:rPr>
        <w:t>database </w:t>
      </w:r>
      <w:r>
        <w:rPr>
          <w:rFonts w:ascii="Lucida Console"/>
          <w:sz w:val="20"/>
        </w:rPr>
        <w:t>, </w:t>
      </w:r>
      <w:r>
        <w:rPr>
          <w:i/>
          <w:sz w:val="22"/>
        </w:rPr>
        <w:t>field </w:t>
      </w:r>
      <w:r>
        <w:rPr>
          <w:rFonts w:ascii="Lucida Console"/>
          <w:sz w:val="20"/>
        </w:rPr>
        <w:t>,</w:t>
      </w:r>
      <w:r>
        <w:rPr>
          <w:rFonts w:ascii="Lucida Console"/>
          <w:spacing w:val="-82"/>
          <w:sz w:val="20"/>
        </w:rPr>
        <w:t> </w:t>
      </w:r>
      <w:r>
        <w:rPr>
          <w:i/>
          <w:sz w:val="22"/>
        </w:rPr>
        <w:t>criteria </w:t>
      </w:r>
      <w:r>
        <w:rPr>
          <w:rFonts w:ascii="Lucida Console"/>
          <w:sz w:val="20"/>
        </w:rPr>
        <w:t>)</w:t>
      </w:r>
    </w:p>
    <w:p>
      <w:pPr>
        <w:pStyle w:val="BodyText"/>
        <w:spacing w:line="276" w:lineRule="auto" w:before="105"/>
        <w:ind w:left="220" w:right="930"/>
        <w:rPr>
          <w:rFonts w:ascii="Consolas"/>
        </w:rPr>
      </w:pPr>
      <w:r>
        <w:rPr>
          <w:b/>
        </w:rPr>
        <w:t>Description</w:t>
      </w:r>
      <w:r>
        <w:rPr/>
        <w:t>: Computes the standard deviation of a population based on the entire population by using the numbers in a column of a list or database that match the specified criteria. (See the </w:t>
      </w:r>
      <w:r>
        <w:rPr>
          <w:rFonts w:ascii="Consolas"/>
        </w:rPr>
        <w:t>DAVERAGE</w:t>
      </w:r>
    </w:p>
    <w:p>
      <w:pPr>
        <w:pStyle w:val="BodyText"/>
        <w:spacing w:before="4"/>
        <w:ind w:left="220"/>
      </w:pPr>
      <w:r>
        <w:rPr/>
        <w:t>function §</w:t>
      </w:r>
      <w:hyperlink w:history="true" w:anchor="_bookmark540">
        <w:r>
          <w:rPr/>
          <w:t>18.17.7.77</w:t>
        </w:r>
      </w:hyperlink>
      <w:r>
        <w:rPr/>
        <w:t>.)</w:t>
      </w:r>
    </w:p>
    <w:p>
      <w:pPr>
        <w:pStyle w:val="BodyText"/>
        <w:spacing w:before="8"/>
        <w:rPr>
          <w:sz w:val="19"/>
        </w:rPr>
      </w:pPr>
    </w:p>
    <w:p>
      <w:pPr>
        <w:pStyle w:val="Heading4"/>
        <w:spacing w:before="1"/>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2"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5" w:hRule="atLeast"/>
        </w:trPr>
        <w:tc>
          <w:tcPr>
            <w:tcW w:w="1466" w:type="dxa"/>
          </w:tcPr>
          <w:p>
            <w:pPr>
              <w:pStyle w:val="TableParagraph"/>
              <w:rPr>
                <w:rFonts w:ascii="Times New Roman"/>
                <w:i/>
                <w:sz w:val="22"/>
              </w:rPr>
            </w:pPr>
            <w:r>
              <w:rPr>
                <w:rFonts w:ascii="Times New Roman"/>
                <w:i/>
                <w:sz w:val="22"/>
              </w:rPr>
              <w:t>field</w:t>
            </w:r>
          </w:p>
        </w:tc>
        <w:tc>
          <w:tcPr>
            <w:tcW w:w="1800" w:type="dxa"/>
          </w:tcPr>
          <w:p>
            <w:pPr>
              <w:pStyle w:val="TableParagraph"/>
              <w:spacing w:before="43"/>
              <w:ind w:left="112"/>
              <w:rPr>
                <w:sz w:val="22"/>
              </w:rPr>
            </w:pPr>
            <w:r>
              <w:rPr>
                <w:sz w:val="22"/>
              </w:rPr>
              <w:t>text, number</w:t>
            </w:r>
          </w:p>
        </w:tc>
        <w:tc>
          <w:tcPr>
            <w:tcW w:w="5400" w:type="dxa"/>
          </w:tcPr>
          <w:p>
            <w:pPr>
              <w:pStyle w:val="TableParagraph"/>
              <w:spacing w:before="43"/>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6"/>
        <w:rPr>
          <w:sz w:val="19"/>
        </w:rPr>
      </w:pPr>
    </w:p>
    <w:p>
      <w:pPr>
        <w:pStyle w:val="BodyText"/>
        <w:spacing w:line="278" w:lineRule="auto"/>
        <w:ind w:left="220" w:right="478"/>
      </w:pPr>
      <w:r>
        <w:rPr>
          <w:b/>
        </w:rPr>
        <w:t>Return Type and Value</w:t>
      </w:r>
      <w:r>
        <w:rPr/>
        <w:t>: number – The standard deviation of a population based on the cells that correspond to the specified criteria.</w:t>
      </w:r>
    </w:p>
    <w:p>
      <w:pPr>
        <w:pStyle w:val="BodyText"/>
        <w:spacing w:before="196"/>
        <w:ind w:left="220"/>
      </w:pPr>
      <w:r>
        <w:rPr/>
        <w:t>[</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6"/>
        <w:rPr>
          <w:sz w:val="28"/>
        </w:rPr>
      </w:pPr>
    </w:p>
    <w:p>
      <w:pPr>
        <w:pStyle w:val="BodyText"/>
        <w:spacing w:line="276" w:lineRule="auto"/>
        <w:ind w:left="220" w:right="1270"/>
      </w:pPr>
      <w:r>
        <w:rPr/>
        <w:t>The true standard deviation in the yield of apple and pear trees if the data in the database is the entire population is computed by </w:t>
      </w:r>
      <w:r>
        <w:rPr>
          <w:rFonts w:ascii="Consolas"/>
        </w:rPr>
        <w:t>DSTDEVP(A4:E10,"Yield",A1:A3)</w:t>
      </w:r>
      <w:r>
        <w:rPr/>
        <w:t>, which results in </w:t>
      </w:r>
      <w:r>
        <w:rPr>
          <w:rFonts w:ascii="Consolas"/>
        </w:rPr>
        <w:t>2.65</w:t>
      </w:r>
      <w:r>
        <w:rPr/>
        <w:t>.</w:t>
      </w:r>
    </w:p>
    <w:p>
      <w:pPr>
        <w:pStyle w:val="BodyText"/>
        <w:spacing w:before="6"/>
        <w:rPr>
          <w:sz w:val="24"/>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00 DSUM" w:id="1692"/>
      <w:bookmarkEnd w:id="1692"/>
      <w:r>
        <w:rPr/>
      </w:r>
      <w:bookmarkStart w:name="_bookmark563" w:id="1693"/>
      <w:bookmarkEnd w:id="1693"/>
      <w:r>
        <w:rPr/>
      </w:r>
      <w:bookmarkStart w:name="_bookmark563" w:id="1694"/>
      <w:bookmarkEnd w:id="1694"/>
      <w:r>
        <w:rPr>
          <w:color w:val="4F81BC"/>
        </w:rPr>
        <w:t>DSUM</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DSUM ( </w:t>
      </w:r>
      <w:r>
        <w:rPr>
          <w:i/>
          <w:sz w:val="22"/>
        </w:rPr>
        <w:t>database </w:t>
      </w:r>
      <w:r>
        <w:rPr>
          <w:rFonts w:ascii="Lucida Console"/>
          <w:sz w:val="20"/>
        </w:rPr>
        <w:t>, </w:t>
      </w:r>
      <w:r>
        <w:rPr>
          <w:i/>
          <w:sz w:val="22"/>
        </w:rPr>
        <w:t>field </w:t>
      </w:r>
      <w:r>
        <w:rPr>
          <w:rFonts w:ascii="Lucida Console"/>
          <w:sz w:val="20"/>
        </w:rPr>
        <w:t>, </w:t>
      </w:r>
      <w:r>
        <w:rPr>
          <w:i/>
          <w:sz w:val="22"/>
        </w:rPr>
        <w:t>criteria </w:t>
      </w:r>
      <w:r>
        <w:rPr>
          <w:rFonts w:ascii="Lucida Console"/>
          <w:sz w:val="20"/>
        </w:rPr>
        <w:t>)</w:t>
      </w:r>
    </w:p>
    <w:p>
      <w:pPr>
        <w:pStyle w:val="BodyText"/>
        <w:spacing w:line="276" w:lineRule="auto" w:before="108"/>
        <w:ind w:left="220" w:right="540"/>
      </w:pPr>
      <w:r>
        <w:rPr>
          <w:b/>
        </w:rPr>
        <w:t>Description</w:t>
      </w:r>
      <w:r>
        <w:rPr/>
        <w:t>: Computes the sum of the values in a column of a list or database that match the specified criteria. (See the </w:t>
      </w:r>
      <w:r>
        <w:rPr>
          <w:rFonts w:ascii="Consolas" w:hAnsi="Consolas"/>
        </w:rPr>
        <w:t>DAVERAGE</w:t>
      </w:r>
      <w:r>
        <w:rPr>
          <w:rFonts w:ascii="Consolas" w:hAnsi="Consolas"/>
          <w:spacing w:val="-72"/>
        </w:rPr>
        <w:t> </w:t>
      </w:r>
      <w:r>
        <w:rPr/>
        <w:t>function </w:t>
      </w:r>
      <w:hyperlink w:history="true" w:anchor="_bookmark540">
        <w:r>
          <w:rPr/>
          <w:t>§18.17.7.77</w:t>
        </w:r>
      </w:hyperlink>
      <w:r>
        <w:rPr/>
        <w:t>.)</w:t>
      </w:r>
    </w:p>
    <w:p>
      <w:pPr>
        <w:pStyle w:val="BodyText"/>
        <w:spacing w:before="5"/>
        <w:rPr>
          <w:sz w:val="16"/>
        </w:rPr>
      </w:pPr>
    </w:p>
    <w:p>
      <w:pPr>
        <w:pStyle w:val="Heading4"/>
        <w:spacing w:before="1"/>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spacing w:after="0"/>
        <w:rPr>
          <w:sz w:val="22"/>
        </w:rPr>
        <w:sectPr>
          <w:pgSz w:w="12240" w:h="15840"/>
          <w:pgMar w:header="763" w:footer="746" w:top="1340" w:bottom="940" w:left="860" w:right="700"/>
        </w:sectPr>
      </w:pPr>
    </w:p>
    <w:p>
      <w:pPr>
        <w:pStyle w:val="BodyText"/>
        <w:spacing w:before="93"/>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8"/>
        <w:rPr>
          <w:sz w:val="19"/>
        </w:rPr>
      </w:pPr>
    </w:p>
    <w:p>
      <w:pPr>
        <w:pStyle w:val="BodyText"/>
        <w:spacing w:line="453" w:lineRule="auto"/>
        <w:ind w:left="220" w:right="689"/>
      </w:pPr>
      <w:r>
        <w:rPr>
          <w:b/>
        </w:rPr>
        <w:t>Return Type and Value</w:t>
      </w:r>
      <w:r>
        <w:rPr/>
        <w:t>: number – The sum of the values of the cells that correspond to the specified criteria. [</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111"/>
        <w:ind w:left="220"/>
      </w:pPr>
      <w:r>
        <w:rPr/>
        <w:t>The total profit from apple trees is computed by </w:t>
      </w:r>
      <w:r>
        <w:rPr>
          <w:rFonts w:ascii="Consolas"/>
        </w:rPr>
        <w:t>DSUM(A4:E10,"Profit",A1:A2)</w:t>
      </w:r>
      <w:r>
        <w:rPr/>
        <w:t>, which results in </w:t>
      </w:r>
      <w:r>
        <w:rPr>
          <w:rFonts w:ascii="Consolas"/>
        </w:rPr>
        <w:t>225</w:t>
      </w:r>
      <w:r>
        <w:rPr/>
        <w:t>.</w:t>
      </w:r>
    </w:p>
    <w:p>
      <w:pPr>
        <w:pStyle w:val="BodyText"/>
        <w:spacing w:before="6"/>
        <w:rPr>
          <w:sz w:val="19"/>
        </w:rPr>
      </w:pPr>
    </w:p>
    <w:p>
      <w:pPr>
        <w:pStyle w:val="BodyText"/>
        <w:ind w:left="220"/>
      </w:pPr>
      <w:r>
        <w:rPr/>
        <w:t>The total profit from apple trees with a height between 10 and 16 is computed by</w:t>
      </w:r>
    </w:p>
    <w:p>
      <w:pPr>
        <w:pStyle w:val="BodyText"/>
        <w:spacing w:before="41"/>
        <w:ind w:left="220"/>
      </w:pPr>
      <w:r>
        <w:rPr>
          <w:rFonts w:ascii="Consolas"/>
        </w:rPr>
        <w:t>DSUM(A4:E10,"Profit",A1:F2)</w:t>
      </w:r>
      <w:r>
        <w:rPr/>
        <w:t>, which results in </w:t>
      </w:r>
      <w:r>
        <w:rPr>
          <w:rFonts w:ascii="Consolas"/>
        </w:rPr>
        <w:t>75</w:t>
      </w:r>
      <w:r>
        <w:rPr/>
        <w:t>.</w:t>
      </w:r>
    </w:p>
    <w:p>
      <w:pPr>
        <w:pStyle w:val="BodyText"/>
        <w:spacing w:before="9"/>
        <w:rPr>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01 DURATION" w:id="1695"/>
      <w:bookmarkEnd w:id="1695"/>
      <w:r>
        <w:rPr/>
      </w:r>
      <w:bookmarkStart w:name="_bookmark564" w:id="1696"/>
      <w:bookmarkEnd w:id="1696"/>
      <w:r>
        <w:rPr/>
      </w:r>
      <w:bookmarkStart w:name="_bookmark564" w:id="1697"/>
      <w:bookmarkEnd w:id="1697"/>
      <w:r>
        <w:rPr>
          <w:color w:val="4F81BC"/>
        </w:rPr>
        <w:t>DUR</w:t>
      </w:r>
      <w:r>
        <w:rPr>
          <w:color w:val="4F81BC"/>
        </w:rPr>
        <w:t>ATION</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DURATION ( </w:t>
      </w:r>
      <w:r>
        <w:rPr>
          <w:i/>
          <w:sz w:val="22"/>
        </w:rPr>
        <w:t>settlement </w:t>
      </w:r>
      <w:r>
        <w:rPr>
          <w:rFonts w:ascii="Lucida Console"/>
          <w:sz w:val="20"/>
        </w:rPr>
        <w:t>, </w:t>
      </w:r>
      <w:r>
        <w:rPr>
          <w:i/>
          <w:sz w:val="22"/>
        </w:rPr>
        <w:t>maturity </w:t>
      </w:r>
      <w:r>
        <w:rPr>
          <w:rFonts w:ascii="Lucida Console"/>
          <w:sz w:val="20"/>
        </w:rPr>
        <w:t>, </w:t>
      </w:r>
      <w:r>
        <w:rPr>
          <w:i/>
          <w:sz w:val="22"/>
        </w:rPr>
        <w:t>coupon  </w:t>
      </w:r>
      <w:r>
        <w:rPr>
          <w:rFonts w:ascii="Lucida Console"/>
          <w:sz w:val="20"/>
        </w:rPr>
        <w:t>, </w:t>
      </w:r>
      <w:r>
        <w:rPr>
          <w:i/>
          <w:sz w:val="22"/>
        </w:rPr>
        <w:t>yld </w:t>
      </w:r>
      <w:r>
        <w:rPr>
          <w:rFonts w:ascii="Lucida Console"/>
          <w:sz w:val="20"/>
        </w:rPr>
        <w:t>, </w:t>
      </w:r>
      <w:r>
        <w:rPr>
          <w:i/>
          <w:sz w:val="22"/>
        </w:rPr>
        <w:t>frequency </w:t>
      </w:r>
      <w:r>
        <w:rPr>
          <w:sz w:val="22"/>
        </w:rPr>
        <w:t>[  </w:t>
      </w:r>
      <w:r>
        <w:rPr>
          <w:rFonts w:ascii="Lucida Console"/>
          <w:sz w:val="20"/>
        </w:rPr>
        <w:t>,</w:t>
      </w:r>
      <w:r>
        <w:rPr>
          <w:rFonts w:ascii="Lucida Console"/>
          <w:spacing w:val="-72"/>
          <w:sz w:val="20"/>
        </w:rPr>
        <w:t> </w:t>
      </w:r>
      <w:r>
        <w:rPr>
          <w:sz w:val="22"/>
        </w:rPr>
        <w:t>[ </w:t>
      </w:r>
      <w:r>
        <w:rPr>
          <w:i/>
          <w:sz w:val="22"/>
        </w:rPr>
        <w:t>basis </w:t>
      </w:r>
      <w:r>
        <w:rPr>
          <w:sz w:val="22"/>
        </w:rPr>
        <w:t>] ] </w:t>
      </w:r>
      <w:r>
        <w:rPr>
          <w:rFonts w:ascii="Lucida Console"/>
          <w:sz w:val="20"/>
        </w:rPr>
        <w:t>)</w:t>
      </w:r>
    </w:p>
    <w:p>
      <w:pPr>
        <w:pStyle w:val="BodyText"/>
        <w:spacing w:line="276" w:lineRule="auto" w:before="108"/>
        <w:ind w:left="220" w:right="608"/>
      </w:pPr>
      <w:r>
        <w:rPr>
          <w:b/>
        </w:rPr>
        <w:t>Description</w:t>
      </w:r>
      <w:r>
        <w:rPr/>
        <w:t>: Computes the Macaulay duration for an assumed par value of 100. Duration is defined as the weighted average term to maturity of the </w:t>
      </w:r>
      <w:hyperlink r:id="rId231">
        <w:r>
          <w:rPr/>
          <w:t>cash flows </w:t>
        </w:r>
      </w:hyperlink>
      <w:r>
        <w:rPr/>
        <w:t>from a bond. The weight of each cash flow is determined by dividing the present value of the cash flow by the price.</w:t>
      </w:r>
    </w:p>
    <w:p>
      <w:pPr>
        <w:pStyle w:val="BodyText"/>
        <w:spacing w:before="6"/>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5"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coupon</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annual coupon rate.</w:t>
            </w:r>
          </w:p>
        </w:tc>
      </w:tr>
      <w:tr>
        <w:trPr>
          <w:trHeight w:val="352" w:hRule="atLeast"/>
        </w:trPr>
        <w:tc>
          <w:tcPr>
            <w:tcW w:w="1466" w:type="dxa"/>
          </w:tcPr>
          <w:p>
            <w:pPr>
              <w:pStyle w:val="TableParagraph"/>
              <w:spacing w:before="37"/>
              <w:rPr>
                <w:rFonts w:ascii="Times New Roman"/>
                <w:i/>
                <w:sz w:val="22"/>
              </w:rPr>
            </w:pPr>
            <w:r>
              <w:rPr>
                <w:rFonts w:ascii="Times New Roman"/>
                <w:i/>
                <w:sz w:val="22"/>
              </w:rPr>
              <w:t>yld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annual yield.</w:t>
            </w:r>
          </w:p>
        </w:tc>
      </w:tr>
      <w:tr>
        <w:trPr>
          <w:trHeight w:val="1161" w:hRule="atLeast"/>
        </w:trPr>
        <w:tc>
          <w:tcPr>
            <w:tcW w:w="1466" w:type="dxa"/>
          </w:tcPr>
          <w:p>
            <w:pPr>
              <w:pStyle w:val="TableParagraph"/>
              <w:spacing w:before="39"/>
              <w:rPr>
                <w:rFonts w:ascii="Times New Roman"/>
                <w:i/>
                <w:sz w:val="22"/>
              </w:rPr>
            </w:pPr>
            <w:r>
              <w:rPr>
                <w:rFonts w:ascii="Times New Roman"/>
                <w:i/>
                <w:sz w:val="22"/>
              </w:rPr>
              <w:t>frequency</w:t>
            </w:r>
          </w:p>
        </w:tc>
        <w:tc>
          <w:tcPr>
            <w:tcW w:w="1800" w:type="dxa"/>
          </w:tcPr>
          <w:p>
            <w:pPr>
              <w:pStyle w:val="TableParagraph"/>
              <w:spacing w:before="42"/>
              <w:ind w:left="112"/>
              <w:rPr>
                <w:sz w:val="22"/>
              </w:rPr>
            </w:pPr>
            <w:r>
              <w:rPr>
                <w:sz w:val="22"/>
              </w:rPr>
              <w:t>number</w:t>
            </w:r>
          </w:p>
        </w:tc>
        <w:tc>
          <w:tcPr>
            <w:tcW w:w="5399" w:type="dxa"/>
            <w:gridSpan w:val="4"/>
          </w:tcPr>
          <w:p>
            <w:pPr>
              <w:pStyle w:val="TableParagraph"/>
              <w:spacing w:before="42"/>
              <w:ind w:left="113" w:right="424"/>
              <w:rPr>
                <w:sz w:val="22"/>
              </w:rPr>
            </w:pPr>
            <w:r>
              <w:rPr>
                <w:sz w:val="22"/>
              </w:rPr>
              <w:t>The number of coupon payments per year. For annual payments, frequency is 1; for semiannual payments, frequency is 2; for quarterly payments, frequency 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1965"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tc>
        <w:tc>
          <w:tcPr>
            <w:tcW w:w="403" w:type="dxa"/>
            <w:vMerge/>
            <w:tcBorders>
              <w:top w:val="nil"/>
            </w:tcBorders>
          </w:tcPr>
          <w:p>
            <w:pPr>
              <w:rPr>
                <w:sz w:val="2"/>
                <w:szCs w:val="2"/>
              </w:rPr>
            </w:pPr>
          </w:p>
        </w:tc>
      </w:tr>
    </w:tbl>
    <w:p>
      <w:pPr>
        <w:spacing w:after="0"/>
        <w:rPr>
          <w:sz w:val="2"/>
          <w:szCs w:val="2"/>
        </w:rPr>
        <w:sectPr>
          <w:footerReference w:type="even" r:id="rId229"/>
          <w:footerReference w:type="default" r:id="rId230"/>
          <w:pgSz w:w="12240" w:h="15840"/>
          <w:pgMar w:footer="746" w:header="761" w:top="1340" w:bottom="940" w:left="860" w:right="700"/>
          <w:pgNumType w:start="219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069"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numPr>
                <w:ilvl w:val="0"/>
                <w:numId w:val="99"/>
              </w:numPr>
              <w:tabs>
                <w:tab w:pos="838" w:val="left" w:leader="none"/>
              </w:tabs>
              <w:spacing w:line="240" w:lineRule="auto" w:before="93"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99"/>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4"/>
              <w:ind w:left="116"/>
              <w:rPr>
                <w:rFonts w:ascii="Consolas"/>
                <w:sz w:val="22"/>
              </w:rPr>
            </w:pPr>
            <w:r>
              <w:rPr>
                <w:rFonts w:ascii="Consolas"/>
                <w:w w:val="100"/>
                <w:sz w:val="22"/>
              </w:rPr>
              <w:t>2</w:t>
            </w:r>
          </w:p>
        </w:tc>
        <w:tc>
          <w:tcPr>
            <w:tcW w:w="2340" w:type="dxa"/>
          </w:tcPr>
          <w:p>
            <w:pPr>
              <w:pStyle w:val="TableParagraph"/>
              <w:spacing w:before="42"/>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1965"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39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47"/>
              <w:rPr>
                <w:sz w:val="22"/>
              </w:rPr>
            </w:pPr>
            <w:r>
              <w:rPr>
                <w:sz w:val="22"/>
              </w:rPr>
              <w:t>by making the following adjustments:</w:t>
            </w:r>
          </w:p>
          <w:p>
            <w:pPr>
              <w:pStyle w:val="TableParagraph"/>
              <w:numPr>
                <w:ilvl w:val="0"/>
                <w:numId w:val="100"/>
              </w:numPr>
              <w:tabs>
                <w:tab w:pos="1197" w:val="left" w:leader="none"/>
                <w:tab w:pos="1198" w:val="left" w:leader="none"/>
              </w:tabs>
              <w:spacing w:line="240" w:lineRule="auto" w:before="1"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00"/>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spacing w:line="453" w:lineRule="auto" w:before="1"/>
        <w:ind w:left="220" w:right="2293" w:firstLine="0"/>
        <w:jc w:val="left"/>
        <w:rPr>
          <w:sz w:val="22"/>
        </w:rPr>
      </w:pPr>
      <w:r>
        <w:rPr>
          <w:b/>
          <w:sz w:val="22"/>
        </w:rPr>
        <w:t>Return Type and Value</w:t>
      </w:r>
      <w:r>
        <w:rPr>
          <w:sz w:val="22"/>
        </w:rPr>
        <w:t>: number – The Macaulay duration for an assumed par value of 100.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coupon </w:t>
      </w:r>
      <w:r>
        <w:rPr>
          <w:sz w:val="22"/>
        </w:rPr>
        <w:t>or </w:t>
      </w:r>
      <w:r>
        <w:rPr>
          <w:rFonts w:ascii="Times New Roman" w:hAnsi="Times New Roman"/>
          <w:i/>
          <w:sz w:val="22"/>
        </w:rPr>
        <w:t>yld </w:t>
      </w:r>
      <w:r>
        <w:rPr>
          <w:sz w:val="22"/>
        </w:rPr>
        <w:t>&lt; 0, </w:t>
      </w:r>
      <w:r>
        <w:rPr>
          <w:rFonts w:ascii="Consolas" w:hAnsi="Consolas"/>
          <w:sz w:val="22"/>
        </w:rPr>
        <w:t>#NUM!</w:t>
      </w:r>
      <w:r>
        <w:rPr>
          <w:rFonts w:ascii="Consolas" w:hAnsi="Consolas"/>
          <w:spacing w:val="-76"/>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DURATION(DATE(2008,1,1),DATE(2016,1,1),0.08,0.09,2,1) </w:t>
      </w:r>
      <w:r>
        <w:rPr/>
        <w:t>results in </w:t>
      </w:r>
      <w:r>
        <w:rPr>
          <w:rFonts w:ascii="Consolas"/>
        </w:rPr>
        <w:t>5.993774956</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102 DVAR" w:id="1698"/>
      <w:bookmarkEnd w:id="1698"/>
      <w:r>
        <w:rPr/>
      </w:r>
      <w:bookmarkStart w:name="_bookmark565" w:id="1699"/>
      <w:bookmarkEnd w:id="1699"/>
      <w:r>
        <w:rPr/>
      </w:r>
      <w:bookmarkStart w:name="_bookmark565" w:id="1700"/>
      <w:bookmarkEnd w:id="1700"/>
      <w:r>
        <w:rPr>
          <w:color w:val="4F81BC"/>
        </w:rPr>
        <w:t>D</w:t>
      </w:r>
      <w:r>
        <w:rPr>
          <w:color w:val="4F81BC"/>
        </w:rPr>
        <w:t>VAR</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DVAR ( </w:t>
      </w:r>
      <w:r>
        <w:rPr>
          <w:i/>
          <w:sz w:val="22"/>
        </w:rPr>
        <w:t>database </w:t>
      </w:r>
      <w:r>
        <w:rPr>
          <w:rFonts w:ascii="Lucida Console"/>
          <w:sz w:val="20"/>
        </w:rPr>
        <w:t>, </w:t>
      </w:r>
      <w:r>
        <w:rPr>
          <w:i/>
          <w:sz w:val="22"/>
        </w:rPr>
        <w:t>field </w:t>
      </w:r>
      <w:r>
        <w:rPr>
          <w:rFonts w:ascii="Lucida Console"/>
          <w:sz w:val="20"/>
        </w:rPr>
        <w:t>, </w:t>
      </w:r>
      <w:r>
        <w:rPr>
          <w:i/>
          <w:sz w:val="22"/>
        </w:rPr>
        <w:t>criteria </w:t>
      </w:r>
      <w:r>
        <w:rPr>
          <w:rFonts w:ascii="Lucida Console"/>
          <w:sz w:val="20"/>
        </w:rPr>
        <w:t>)</w:t>
      </w:r>
    </w:p>
    <w:p>
      <w:pPr>
        <w:pStyle w:val="BodyText"/>
        <w:spacing w:line="278" w:lineRule="auto" w:before="105"/>
        <w:ind w:left="220" w:right="376"/>
      </w:pPr>
      <w:r>
        <w:rPr>
          <w:b/>
        </w:rPr>
        <w:t>Description</w:t>
      </w:r>
      <w:r>
        <w:rPr/>
        <w:t>: Estimates the variance of a population based on a sample by using the numbers in a column of a list or database that match the specified criteria. (See the </w:t>
      </w:r>
      <w:r>
        <w:rPr>
          <w:rFonts w:ascii="Consolas" w:hAnsi="Consolas"/>
        </w:rPr>
        <w:t>DAVERAGE</w:t>
      </w:r>
      <w:r>
        <w:rPr>
          <w:rFonts w:ascii="Consolas" w:hAnsi="Consolas"/>
          <w:spacing w:val="-85"/>
        </w:rPr>
        <w:t> </w:t>
      </w:r>
      <w:r>
        <w:rPr/>
        <w:t>function §</w:t>
      </w:r>
      <w:hyperlink w:history="true" w:anchor="_bookmark540">
        <w:r>
          <w:rPr/>
          <w:t>18.17.7.77</w:t>
        </w:r>
      </w:hyperlink>
      <w:r>
        <w:rPr/>
        <w:t>.)</w:t>
      </w:r>
    </w:p>
    <w:p>
      <w:pPr>
        <w:pStyle w:val="BodyText"/>
        <w:spacing w:before="3"/>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7"/>
              <w:rPr>
                <w:rFonts w:ascii="Times New Roman"/>
                <w:i/>
                <w:sz w:val="22"/>
              </w:rPr>
            </w:pPr>
            <w:r>
              <w:rPr>
                <w:rFonts w:ascii="Times New Roman"/>
                <w:i/>
                <w:sz w:val="22"/>
              </w:rPr>
              <w:t>field</w:t>
            </w:r>
          </w:p>
        </w:tc>
        <w:tc>
          <w:tcPr>
            <w:tcW w:w="1800" w:type="dxa"/>
          </w:tcPr>
          <w:p>
            <w:pPr>
              <w:pStyle w:val="TableParagraph"/>
              <w:ind w:left="112"/>
              <w:rPr>
                <w:sz w:val="22"/>
              </w:rPr>
            </w:pPr>
            <w:r>
              <w:rPr>
                <w:sz w:val="22"/>
              </w:rPr>
              <w:t>text, number</w:t>
            </w:r>
          </w:p>
        </w:tc>
        <w:tc>
          <w:tcPr>
            <w:tcW w:w="5400" w:type="dxa"/>
          </w:tcPr>
          <w:p>
            <w:pPr>
              <w:pStyle w:val="TableParagraph"/>
              <w:ind w:left="113"/>
              <w:rPr>
                <w:sz w:val="22"/>
              </w:rPr>
            </w:pPr>
            <w:r>
              <w:rPr>
                <w:sz w:val="22"/>
              </w:rPr>
              <w:t>The column to which </w:t>
            </w:r>
            <w:r>
              <w:rPr>
                <w:rFonts w:ascii="Times New Roman"/>
                <w:i/>
                <w:sz w:val="22"/>
              </w:rPr>
              <w:t>criteria </w:t>
            </w:r>
            <w:r>
              <w:rPr>
                <w:sz w:val="22"/>
              </w:rPr>
              <w:t>shall be applied.</w:t>
            </w:r>
          </w:p>
        </w:tc>
      </w:tr>
      <w:tr>
        <w:trPr>
          <w:trHeight w:val="355"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pStyle w:val="BodyText"/>
        <w:spacing w:before="6"/>
        <w:rPr>
          <w:sz w:val="19"/>
        </w:rPr>
      </w:pPr>
    </w:p>
    <w:p>
      <w:pPr>
        <w:pStyle w:val="BodyText"/>
        <w:spacing w:line="276" w:lineRule="auto"/>
        <w:ind w:left="220" w:right="1386"/>
      </w:pPr>
      <w:r>
        <w:rPr>
          <w:b/>
        </w:rPr>
        <w:t>Return Type and Value</w:t>
      </w:r>
      <w:r>
        <w:rPr/>
        <w:t>: number – An estimate of the variance of a population based on the cells that correspond to the specified criteria.</w:t>
      </w:r>
    </w:p>
    <w:p>
      <w:pPr>
        <w:pStyle w:val="BodyText"/>
        <w:spacing w:before="3"/>
        <w:rPr>
          <w:sz w:val="16"/>
        </w:rPr>
      </w:pPr>
    </w:p>
    <w:p>
      <w:pPr>
        <w:pStyle w:val="BodyText"/>
        <w:ind w:left="220"/>
      </w:pPr>
      <w:r>
        <w:rPr/>
        <w:t>[</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9"/>
        <w:rPr>
          <w:sz w:val="28"/>
        </w:rPr>
      </w:pPr>
    </w:p>
    <w:p>
      <w:pPr>
        <w:pStyle w:val="BodyText"/>
        <w:spacing w:line="273" w:lineRule="auto"/>
        <w:ind w:left="220" w:right="743"/>
      </w:pPr>
      <w:r>
        <w:rPr/>
        <w:t>The estimated variance in the yield of apple and pear trees if the data in the database is only a sample of the total orchard population is computed by </w:t>
      </w:r>
      <w:r>
        <w:rPr>
          <w:rFonts w:ascii="Consolas"/>
        </w:rPr>
        <w:t>DVAR(A4:E10,"Yield",A1:A3)</w:t>
      </w:r>
      <w:r>
        <w:rPr/>
        <w:t>, which results in </w:t>
      </w:r>
      <w:r>
        <w:rPr>
          <w:rFonts w:ascii="Consolas"/>
        </w:rPr>
        <w:t>8.8</w:t>
      </w:r>
      <w:r>
        <w:rPr/>
        <w:t>.</w:t>
      </w:r>
    </w:p>
    <w:p>
      <w:pPr>
        <w:pStyle w:val="BodyText"/>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03 DVARP" w:id="1701"/>
      <w:bookmarkEnd w:id="1701"/>
      <w:r>
        <w:rPr/>
      </w:r>
      <w:bookmarkStart w:name="_bookmark566" w:id="1702"/>
      <w:bookmarkEnd w:id="1702"/>
      <w:r>
        <w:rPr/>
      </w:r>
      <w:bookmarkStart w:name="_bookmark566" w:id="1703"/>
      <w:bookmarkEnd w:id="1703"/>
      <w:r>
        <w:rPr>
          <w:color w:val="4F81BC"/>
        </w:rPr>
        <w:t>D</w:t>
      </w:r>
      <w:r>
        <w:rPr>
          <w:color w:val="4F81BC"/>
        </w:rPr>
        <w:t>VARP</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DVARP ( </w:t>
      </w:r>
      <w:r>
        <w:rPr>
          <w:i/>
          <w:sz w:val="22"/>
        </w:rPr>
        <w:t>database </w:t>
      </w:r>
      <w:r>
        <w:rPr>
          <w:rFonts w:ascii="Lucida Console"/>
          <w:sz w:val="20"/>
        </w:rPr>
        <w:t>, </w:t>
      </w:r>
      <w:r>
        <w:rPr>
          <w:i/>
          <w:sz w:val="22"/>
        </w:rPr>
        <w:t>field </w:t>
      </w:r>
      <w:r>
        <w:rPr>
          <w:rFonts w:ascii="Lucida Console"/>
          <w:sz w:val="20"/>
        </w:rPr>
        <w:t>,</w:t>
      </w:r>
      <w:r>
        <w:rPr>
          <w:rFonts w:ascii="Lucida Console"/>
          <w:spacing w:val="-82"/>
          <w:sz w:val="20"/>
        </w:rPr>
        <w:t> </w:t>
      </w:r>
      <w:r>
        <w:rPr>
          <w:i/>
          <w:sz w:val="22"/>
        </w:rPr>
        <w:t>criteria </w:t>
      </w:r>
      <w:r>
        <w:rPr>
          <w:rFonts w:ascii="Lucida Console"/>
          <w:sz w:val="20"/>
        </w:rPr>
        <w:t>)</w:t>
      </w:r>
    </w:p>
    <w:p>
      <w:pPr>
        <w:pStyle w:val="BodyText"/>
        <w:spacing w:line="278" w:lineRule="auto" w:before="106"/>
        <w:ind w:left="220" w:right="641"/>
      </w:pPr>
      <w:r>
        <w:rPr>
          <w:b/>
        </w:rPr>
        <w:t>Description</w:t>
      </w:r>
      <w:r>
        <w:rPr/>
        <w:t>: Calculates the variance of a population based on the entire population by using the numbers in a column of a list or database that match the specified criteria. (See the </w:t>
      </w:r>
      <w:r>
        <w:rPr>
          <w:rFonts w:ascii="Consolas" w:hAnsi="Consolas"/>
        </w:rPr>
        <w:t>DAVERAGE</w:t>
      </w:r>
      <w:r>
        <w:rPr>
          <w:rFonts w:ascii="Consolas" w:hAnsi="Consolas"/>
          <w:spacing w:val="-97"/>
        </w:rPr>
        <w:t> </w:t>
      </w:r>
      <w:r>
        <w:rPr/>
        <w:t>function §</w:t>
      </w:r>
      <w:hyperlink w:history="true" w:anchor="_bookmark540">
        <w:r>
          <w:rPr/>
          <w:t>18.17.7.77</w:t>
        </w:r>
      </w:hyperlink>
      <w:r>
        <w:rPr/>
        <w:t>.)</w:t>
      </w:r>
    </w:p>
    <w:p>
      <w:pPr>
        <w:pStyle w:val="Heading4"/>
        <w:spacing w:before="198"/>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2" w:hRule="atLeast"/>
        </w:trPr>
        <w:tc>
          <w:tcPr>
            <w:tcW w:w="1466" w:type="dxa"/>
          </w:tcPr>
          <w:p>
            <w:pPr>
              <w:pStyle w:val="TableParagraph"/>
              <w:spacing w:before="37"/>
              <w:rPr>
                <w:rFonts w:ascii="Times New Roman"/>
                <w:i/>
                <w:sz w:val="22"/>
              </w:rPr>
            </w:pPr>
            <w:r>
              <w:rPr>
                <w:rFonts w:ascii="Times New Roman"/>
                <w:i/>
                <w:sz w:val="22"/>
              </w:rPr>
              <w:t>database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makes up the list or database.</w:t>
            </w:r>
          </w:p>
        </w:tc>
      </w:tr>
      <w:tr>
        <w:trPr>
          <w:trHeight w:val="354" w:hRule="atLeast"/>
        </w:trPr>
        <w:tc>
          <w:tcPr>
            <w:tcW w:w="1466" w:type="dxa"/>
          </w:tcPr>
          <w:p>
            <w:pPr>
              <w:pStyle w:val="TableParagraph"/>
              <w:spacing w:before="39"/>
              <w:rPr>
                <w:rFonts w:ascii="Times New Roman"/>
                <w:i/>
                <w:sz w:val="22"/>
              </w:rPr>
            </w:pPr>
            <w:r>
              <w:rPr>
                <w:rFonts w:ascii="Times New Roman"/>
                <w:i/>
                <w:sz w:val="22"/>
              </w:rPr>
              <w:t>field</w:t>
            </w:r>
          </w:p>
        </w:tc>
        <w:tc>
          <w:tcPr>
            <w:tcW w:w="1800" w:type="dxa"/>
          </w:tcPr>
          <w:p>
            <w:pPr>
              <w:pStyle w:val="TableParagraph"/>
              <w:spacing w:before="42"/>
              <w:ind w:left="112"/>
              <w:rPr>
                <w:sz w:val="22"/>
              </w:rPr>
            </w:pPr>
            <w:r>
              <w:rPr>
                <w:sz w:val="22"/>
              </w:rPr>
              <w:t>text, number</w:t>
            </w:r>
          </w:p>
        </w:tc>
        <w:tc>
          <w:tcPr>
            <w:tcW w:w="5400" w:type="dxa"/>
          </w:tcPr>
          <w:p>
            <w:pPr>
              <w:pStyle w:val="TableParagraph"/>
              <w:spacing w:before="42"/>
              <w:ind w:left="113"/>
              <w:rPr>
                <w:sz w:val="22"/>
              </w:rPr>
            </w:pPr>
            <w:r>
              <w:rPr>
                <w:sz w:val="22"/>
              </w:rPr>
              <w:t>The column to which </w:t>
            </w:r>
            <w:r>
              <w:rPr>
                <w:rFonts w:ascii="Times New Roman"/>
                <w:i/>
                <w:sz w:val="22"/>
              </w:rPr>
              <w:t>criteria </w:t>
            </w:r>
            <w:r>
              <w:rPr>
                <w:sz w:val="22"/>
              </w:rPr>
              <w:t>shall be applied.</w:t>
            </w:r>
          </w:p>
        </w:tc>
      </w:tr>
      <w:tr>
        <w:trPr>
          <w:trHeight w:val="354" w:hRule="atLeast"/>
        </w:trPr>
        <w:tc>
          <w:tcPr>
            <w:tcW w:w="1466" w:type="dxa"/>
          </w:tcPr>
          <w:p>
            <w:pPr>
              <w:pStyle w:val="TableParagraph"/>
              <w:spacing w:before="37"/>
              <w:rPr>
                <w:rFonts w:ascii="Times New Roman"/>
                <w:i/>
                <w:sz w:val="22"/>
              </w:rPr>
            </w:pPr>
            <w:r>
              <w:rPr>
                <w:rFonts w:ascii="Times New Roman"/>
                <w:i/>
                <w:sz w:val="22"/>
              </w:rPr>
              <w:t>criteria</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The range of cells that contains the specified conditions.</w:t>
            </w:r>
          </w:p>
        </w:tc>
      </w:tr>
    </w:tbl>
    <w:p>
      <w:pPr>
        <w:pStyle w:val="BodyText"/>
      </w:pPr>
    </w:p>
    <w:p>
      <w:pPr>
        <w:pStyle w:val="BodyText"/>
        <w:spacing w:before="7"/>
        <w:rPr>
          <w:sz w:val="19"/>
        </w:rPr>
      </w:pPr>
    </w:p>
    <w:p>
      <w:pPr>
        <w:pStyle w:val="BodyText"/>
        <w:ind w:left="220"/>
      </w:pPr>
      <w:r>
        <w:rPr/>
        <w:t>For a detailed description of each argument, see the </w:t>
      </w:r>
      <w:r>
        <w:rPr>
          <w:rFonts w:ascii="Consolas" w:hAnsi="Consolas"/>
        </w:rPr>
        <w:t>DAVERAGE</w:t>
      </w:r>
      <w:r>
        <w:rPr>
          <w:rFonts w:ascii="Consolas" w:hAnsi="Consolas"/>
          <w:spacing w:val="-78"/>
        </w:rPr>
        <w:t> </w:t>
      </w:r>
      <w:r>
        <w:rPr/>
        <w:t>function </w:t>
      </w:r>
      <w:hyperlink w:history="true" w:anchor="_bookmark540">
        <w:r>
          <w:rPr/>
          <w:t>§18.17.7.77</w:t>
        </w:r>
      </w:hyperlink>
      <w:r>
        <w:rPr/>
        <w:t>.</w:t>
      </w:r>
    </w:p>
    <w:p>
      <w:pPr>
        <w:spacing w:after="0"/>
        <w:sectPr>
          <w:pgSz w:w="12240" w:h="15840"/>
          <w:pgMar w:header="763" w:footer="746" w:top="1340" w:bottom="940" w:left="860" w:right="700"/>
        </w:sectPr>
      </w:pPr>
    </w:p>
    <w:p>
      <w:pPr>
        <w:pStyle w:val="BodyText"/>
        <w:spacing w:line="278" w:lineRule="auto" w:before="90"/>
        <w:ind w:left="220" w:right="651"/>
      </w:pPr>
      <w:r>
        <w:rPr>
          <w:b/>
        </w:rPr>
        <w:t>Return Type and Value</w:t>
      </w:r>
      <w:r>
        <w:rPr/>
        <w:t>: number – The variance of a population based on the entire population using the cells that correspond to the specified criteria.</w:t>
      </w:r>
    </w:p>
    <w:p>
      <w:pPr>
        <w:pStyle w:val="BodyText"/>
        <w:spacing w:before="196"/>
        <w:ind w:left="220"/>
      </w:pPr>
      <w:r>
        <w:rPr/>
        <w:t>[</w:t>
      </w:r>
      <w:r>
        <w:rPr>
          <w:i/>
        </w:rPr>
        <w:t>Example</w:t>
      </w:r>
      <w:r>
        <w:rPr/>
        <w:t>: Using the data in the example in the </w:t>
      </w:r>
      <w:r>
        <w:rPr>
          <w:rFonts w:ascii="Consolas" w:hAnsi="Consolas"/>
        </w:rPr>
        <w:t>DAVERAGE</w:t>
      </w:r>
      <w:r>
        <w:rPr>
          <w:rFonts w:ascii="Consolas" w:hAnsi="Consolas"/>
          <w:spacing w:val="-80"/>
        </w:rPr>
        <w:t> </w:t>
      </w:r>
      <w:r>
        <w:rPr/>
        <w:t>function §</w:t>
      </w:r>
      <w:hyperlink w:history="true" w:anchor="_bookmark540">
        <w:r>
          <w:rPr/>
          <w:t>18.17.7.77</w:t>
        </w:r>
      </w:hyperlink>
      <w:r>
        <w:rPr/>
        <w:t>:</w:t>
      </w:r>
    </w:p>
    <w:p>
      <w:pPr>
        <w:pStyle w:val="BodyText"/>
        <w:spacing w:before="6"/>
        <w:rPr>
          <w:sz w:val="28"/>
        </w:rPr>
      </w:pPr>
    </w:p>
    <w:p>
      <w:pPr>
        <w:pStyle w:val="BodyText"/>
        <w:spacing w:line="276" w:lineRule="auto"/>
        <w:ind w:left="220" w:right="421"/>
      </w:pPr>
      <w:r>
        <w:rPr/>
        <w:t>The true variance in the yield of apple and pear trees if the data in the database is the entire orchard population is computed by </w:t>
      </w:r>
      <w:r>
        <w:rPr>
          <w:rFonts w:ascii="Consolas"/>
        </w:rPr>
        <w:t>DVARP(A4:E10,"Yield",A1:A3)</w:t>
      </w:r>
      <w:r>
        <w:rPr/>
        <w:t>, which results in </w:t>
      </w:r>
      <w:r>
        <w:rPr>
          <w:rFonts w:ascii="Consolas"/>
        </w:rPr>
        <w:t>7.04</w:t>
      </w:r>
      <w:r>
        <w:rPr/>
        <w:t>.</w:t>
      </w:r>
    </w:p>
    <w:p>
      <w:pPr>
        <w:pStyle w:val="BodyText"/>
        <w:spacing w:before="6"/>
        <w:rPr>
          <w:sz w:val="24"/>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04 ECMA.CEILING" w:id="1704"/>
      <w:bookmarkEnd w:id="1704"/>
      <w:r>
        <w:rPr/>
      </w:r>
      <w:bookmarkStart w:name="_bookmark567" w:id="1705"/>
      <w:bookmarkEnd w:id="1705"/>
      <w:r>
        <w:rPr/>
      </w:r>
      <w:bookmarkStart w:name="_bookmark567" w:id="1706"/>
      <w:bookmarkEnd w:id="1706"/>
      <w:r>
        <w:rPr>
          <w:color w:val="4F81BC"/>
        </w:rPr>
        <w:t>E</w:t>
      </w:r>
      <w:r>
        <w:rPr>
          <w:color w:val="4F81BC"/>
        </w:rPr>
        <w:t>CMA.CEILING</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ECMA.CEILING ( </w:t>
      </w:r>
      <w:r>
        <w:rPr>
          <w:i/>
          <w:sz w:val="22"/>
        </w:rPr>
        <w:t>x </w:t>
      </w:r>
      <w:r>
        <w:rPr>
          <w:rFonts w:ascii="Lucida Console"/>
          <w:sz w:val="20"/>
        </w:rPr>
        <w:t>, </w:t>
      </w:r>
      <w:r>
        <w:rPr>
          <w:i/>
          <w:sz w:val="22"/>
        </w:rPr>
        <w:t>significance </w:t>
      </w:r>
      <w:r>
        <w:rPr>
          <w:rFonts w:ascii="Lucida Console"/>
          <w:sz w:val="20"/>
        </w:rPr>
        <w:t>)</w:t>
      </w:r>
    </w:p>
    <w:p>
      <w:pPr>
        <w:pStyle w:val="BodyText"/>
        <w:spacing w:line="278" w:lineRule="auto" w:before="106"/>
        <w:ind w:left="220" w:right="761"/>
      </w:pPr>
      <w:r>
        <w:rPr>
          <w:b/>
        </w:rPr>
        <w:t>Description: </w:t>
      </w:r>
      <w:r>
        <w:rPr/>
        <w:t>Computes a value that is </w:t>
      </w:r>
      <w:r>
        <w:rPr>
          <w:rFonts w:ascii="Times New Roman"/>
          <w:i/>
        </w:rPr>
        <w:t>x </w:t>
      </w:r>
      <w:r>
        <w:rPr/>
        <w:t>rounded-up, away from zero, to the nearest multiple of </w:t>
      </w:r>
      <w:r>
        <w:rPr>
          <w:rFonts w:ascii="Times New Roman"/>
          <w:i/>
        </w:rPr>
        <w:t>significance</w:t>
      </w:r>
      <w:r>
        <w:rPr/>
        <w:t>. Regardless of the sign of </w:t>
      </w:r>
      <w:r>
        <w:rPr>
          <w:rFonts w:ascii="Times New Roman"/>
          <w:i/>
        </w:rPr>
        <w:t>x</w:t>
      </w:r>
      <w:r>
        <w:rPr/>
        <w:t>, a value is rounded up when adjusted away from zero.</w:t>
      </w:r>
    </w:p>
    <w:p>
      <w:pPr>
        <w:pStyle w:val="Heading4"/>
        <w:spacing w:before="198"/>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w:t>
            </w:r>
          </w:p>
        </w:tc>
      </w:tr>
      <w:tr>
        <w:trPr>
          <w:trHeight w:val="1696" w:hRule="atLeast"/>
        </w:trPr>
        <w:tc>
          <w:tcPr>
            <w:tcW w:w="1466" w:type="dxa"/>
          </w:tcPr>
          <w:p>
            <w:pPr>
              <w:pStyle w:val="TableParagraph"/>
              <w:spacing w:before="37"/>
              <w:rPr>
                <w:rFonts w:ascii="Times New Roman"/>
                <w:i/>
                <w:sz w:val="22"/>
              </w:rPr>
            </w:pPr>
            <w:r>
              <w:rPr>
                <w:rFonts w:ascii="Times New Roman"/>
                <w:i/>
                <w:sz w:val="22"/>
              </w:rPr>
              <w:t>significance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multiple to which </w:t>
            </w:r>
            <w:r>
              <w:rPr>
                <w:rFonts w:ascii="Times New Roman"/>
                <w:i/>
                <w:sz w:val="22"/>
              </w:rPr>
              <w:t>x </w:t>
            </w:r>
            <w:r>
              <w:rPr>
                <w:sz w:val="22"/>
              </w:rPr>
              <w:t>is to be rounded.</w:t>
            </w:r>
          </w:p>
          <w:p>
            <w:pPr>
              <w:pStyle w:val="TableParagraph"/>
              <w:spacing w:before="0"/>
              <w:ind w:left="0"/>
              <w:rPr>
                <w:b/>
                <w:sz w:val="22"/>
              </w:rPr>
            </w:pPr>
          </w:p>
          <w:p>
            <w:pPr>
              <w:pStyle w:val="TableParagraph"/>
              <w:spacing w:before="0"/>
              <w:ind w:left="113" w:right="409"/>
              <w:rPr>
                <w:sz w:val="22"/>
              </w:rPr>
            </w:pPr>
            <w:r>
              <w:rPr>
                <w:sz w:val="22"/>
              </w:rPr>
              <w:t>If </w:t>
            </w:r>
            <w:r>
              <w:rPr>
                <w:rFonts w:ascii="Times New Roman"/>
                <w:i/>
                <w:sz w:val="22"/>
              </w:rPr>
              <w:t>x </w:t>
            </w:r>
            <w:r>
              <w:rPr>
                <w:sz w:val="22"/>
              </w:rPr>
              <w:t>is negative, and </w:t>
            </w:r>
            <w:r>
              <w:rPr>
                <w:rFonts w:ascii="Times New Roman"/>
                <w:i/>
                <w:sz w:val="22"/>
              </w:rPr>
              <w:t>significance </w:t>
            </w:r>
            <w:r>
              <w:rPr>
                <w:sz w:val="22"/>
              </w:rPr>
              <w:t>is negative, then the value is rounded down (away from zero). If </w:t>
            </w:r>
            <w:r>
              <w:rPr>
                <w:rFonts w:ascii="Times New Roman"/>
                <w:i/>
                <w:sz w:val="22"/>
              </w:rPr>
              <w:t>x </w:t>
            </w:r>
            <w:r>
              <w:rPr>
                <w:sz w:val="22"/>
              </w:rPr>
              <w:t>is negative, and </w:t>
            </w:r>
            <w:r>
              <w:rPr>
                <w:rFonts w:ascii="Times New Roman"/>
                <w:i/>
                <w:sz w:val="22"/>
              </w:rPr>
              <w:t>significance </w:t>
            </w:r>
            <w:r>
              <w:rPr>
                <w:sz w:val="22"/>
              </w:rPr>
              <w:t>is positive, then the value is rounded up, towards zero.</w:t>
            </w:r>
          </w:p>
        </w:tc>
      </w:tr>
    </w:tbl>
    <w:p>
      <w:pPr>
        <w:pStyle w:val="BodyText"/>
        <w:rPr>
          <w:b/>
        </w:rPr>
      </w:pPr>
    </w:p>
    <w:p>
      <w:pPr>
        <w:pStyle w:val="BodyText"/>
        <w:spacing w:before="7"/>
        <w:rPr>
          <w:b/>
          <w:sz w:val="19"/>
        </w:rPr>
      </w:pPr>
    </w:p>
    <w:p>
      <w:pPr>
        <w:spacing w:line="453" w:lineRule="auto" w:before="0"/>
        <w:ind w:left="220" w:right="4918" w:firstLine="0"/>
        <w:jc w:val="left"/>
        <w:rPr>
          <w:sz w:val="22"/>
        </w:rPr>
      </w:pPr>
      <w:r>
        <w:rPr>
          <w:b/>
          <w:sz w:val="22"/>
        </w:rPr>
        <w:t>Return Type and Value: </w:t>
      </w:r>
      <w:r>
        <w:rPr>
          <w:sz w:val="22"/>
        </w:rPr>
        <w:t>number – The rounded-up value of </w:t>
      </w:r>
      <w:r>
        <w:rPr>
          <w:rFonts w:ascii="Times New Roman" w:hAnsi="Times New Roman"/>
          <w:i/>
          <w:sz w:val="22"/>
        </w:rPr>
        <w:t>x</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is positive and </w:t>
      </w:r>
      <w:r>
        <w:rPr>
          <w:rFonts w:ascii="Times New Roman" w:hAnsi="Times New Roman"/>
          <w:i/>
          <w:sz w:val="22"/>
        </w:rPr>
        <w:t>significance </w:t>
      </w:r>
      <w:r>
        <w:rPr>
          <w:sz w:val="22"/>
        </w:rPr>
        <w:t>is negative,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5655" w:firstLine="360"/>
        <w:jc w:val="left"/>
        <w:rPr>
          <w:sz w:val="22"/>
        </w:rPr>
      </w:pPr>
      <w:r>
        <w:rPr>
          <w:rFonts w:ascii="Times New Roman" w:hAnsi="Times New Roman"/>
          <w:i/>
          <w:sz w:val="22"/>
        </w:rPr>
        <w:t>x </w:t>
      </w:r>
      <w:r>
        <w:rPr>
          <w:sz w:val="22"/>
        </w:rPr>
        <w:t>and/or </w:t>
      </w:r>
      <w:r>
        <w:rPr>
          <w:rFonts w:ascii="Times New Roman" w:hAnsi="Times New Roman"/>
          <w:i/>
          <w:sz w:val="22"/>
        </w:rPr>
        <w:t>significance </w:t>
      </w:r>
      <w:r>
        <w:rPr>
          <w:sz w:val="22"/>
        </w:rPr>
        <w:t>is zero, zero is</w:t>
      </w:r>
      <w:r>
        <w:rPr>
          <w:spacing w:val="-19"/>
          <w:sz w:val="22"/>
        </w:rPr>
        <w:t> </w:t>
      </w:r>
      <w:r>
        <w:rPr>
          <w:sz w:val="22"/>
        </w:rPr>
        <w:t>returned. [</w:t>
      </w:r>
      <w:r>
        <w:rPr>
          <w:i/>
          <w:sz w:val="22"/>
        </w:rPr>
        <w:t>Example</w:t>
      </w:r>
      <w:r>
        <w:rPr>
          <w:sz w:val="22"/>
        </w:rPr>
        <w:t>:</w:t>
      </w:r>
    </w:p>
    <w:p>
      <w:pPr>
        <w:pStyle w:val="BodyText"/>
        <w:spacing w:line="276" w:lineRule="auto" w:before="126"/>
        <w:ind w:left="220" w:right="2808"/>
      </w:pPr>
      <w:r>
        <w:rPr>
          <w:rFonts w:ascii="Consolas"/>
        </w:rPr>
        <w:t>ECMA.CEILING(4.3,2) </w:t>
      </w:r>
      <w:r>
        <w:rPr/>
        <w:t>rounds 4.3 up to nearest multiple of 2; that is, to 6 </w:t>
      </w:r>
      <w:r>
        <w:rPr>
          <w:rFonts w:ascii="Consolas"/>
        </w:rPr>
        <w:t>ECMA.CEILING(4.3,-2)</w:t>
      </w:r>
      <w:r>
        <w:rPr>
          <w:rFonts w:ascii="Consolas"/>
          <w:spacing w:val="-90"/>
        </w:rPr>
        <w:t> </w:t>
      </w:r>
      <w:r>
        <w:rPr/>
        <w:t>rounds 4.3 up to nearest multiple of -2; that is, to #NUM! </w:t>
      </w:r>
      <w:r>
        <w:rPr>
          <w:rFonts w:ascii="Consolas"/>
        </w:rPr>
        <w:t>ECMA.CEILING(-4.3,2) </w:t>
      </w:r>
      <w:r>
        <w:rPr/>
        <w:t>rounds -4.3 up to the nearest multiple of 2; that is, to -4 </w:t>
      </w:r>
      <w:r>
        <w:rPr>
          <w:rFonts w:ascii="Consolas"/>
        </w:rPr>
        <w:t>ECMA.CEILING(-4.3,-2)</w:t>
      </w:r>
      <w:r>
        <w:rPr>
          <w:rFonts w:ascii="Consolas"/>
          <w:spacing w:val="-97"/>
        </w:rPr>
        <w:t> </w:t>
      </w:r>
      <w:r>
        <w:rPr/>
        <w:t>rounds -4.3 up to the nearest multiple of -2; that is, to -6</w:t>
      </w:r>
    </w:p>
    <w:p>
      <w:pPr>
        <w:pStyle w:val="BodyText"/>
        <w:spacing w:before="8"/>
        <w:rPr>
          <w:sz w:val="25"/>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105 EDATE" w:id="1707"/>
      <w:bookmarkEnd w:id="1707"/>
      <w:r>
        <w:rPr/>
      </w:r>
      <w:bookmarkStart w:name="_bookmark568" w:id="1708"/>
      <w:bookmarkEnd w:id="1708"/>
      <w:r>
        <w:rPr/>
      </w:r>
      <w:bookmarkStart w:name="_bookmark568" w:id="1709"/>
      <w:bookmarkEnd w:id="1709"/>
      <w:r>
        <w:rPr>
          <w:color w:val="4F81BC"/>
        </w:rPr>
        <w:t>ED</w:t>
      </w:r>
      <w:r>
        <w:rPr>
          <w:color w:val="4F81BC"/>
        </w:rPr>
        <w:t>ATE</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EDATE ( </w:t>
      </w:r>
      <w:r>
        <w:rPr>
          <w:i/>
          <w:sz w:val="22"/>
        </w:rPr>
        <w:t>start-date , month-offset </w:t>
      </w:r>
      <w:r>
        <w:rPr>
          <w:rFonts w:ascii="Lucida Console"/>
          <w:sz w:val="20"/>
        </w:rPr>
        <w:t>)</w:t>
      </w:r>
    </w:p>
    <w:p>
      <w:pPr>
        <w:spacing w:line="278" w:lineRule="auto" w:before="105"/>
        <w:ind w:left="220" w:right="503" w:firstLine="0"/>
        <w:jc w:val="left"/>
        <w:rPr>
          <w:sz w:val="22"/>
        </w:rPr>
      </w:pPr>
      <w:r>
        <w:rPr>
          <w:b/>
          <w:sz w:val="22"/>
        </w:rPr>
        <w:t>Description: </w:t>
      </w:r>
      <w:r>
        <w:rPr>
          <w:sz w:val="22"/>
        </w:rPr>
        <w:t>Computes the serial date-time of the date that is </w:t>
      </w:r>
      <w:r>
        <w:rPr>
          <w:rFonts w:ascii="Times New Roman"/>
          <w:i/>
          <w:sz w:val="22"/>
        </w:rPr>
        <w:t>month-offset </w:t>
      </w:r>
      <w:r>
        <w:rPr>
          <w:sz w:val="22"/>
        </w:rPr>
        <w:t>months from the date specified by the date </w:t>
      </w:r>
      <w:r>
        <w:rPr>
          <w:rFonts w:ascii="Times New Roman"/>
          <w:i/>
          <w:sz w:val="22"/>
        </w:rPr>
        <w:t>date-string</w:t>
      </w:r>
      <w:r>
        <w:rPr>
          <w:sz w:val="22"/>
        </w:rPr>
        <w:t>, taking into account the current date system.</w:t>
      </w:r>
    </w:p>
    <w:p>
      <w:pPr>
        <w:pStyle w:val="Heading4"/>
        <w:spacing w:before="198"/>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start date.</w:t>
            </w:r>
          </w:p>
        </w:tc>
      </w:tr>
      <w:tr>
        <w:trPr>
          <w:trHeight w:val="1161" w:hRule="atLeast"/>
        </w:trPr>
        <w:tc>
          <w:tcPr>
            <w:tcW w:w="1466" w:type="dxa"/>
          </w:tcPr>
          <w:p>
            <w:pPr>
              <w:pStyle w:val="TableParagraph"/>
              <w:spacing w:before="37"/>
              <w:rPr>
                <w:rFonts w:ascii="Times New Roman"/>
                <w:i/>
                <w:sz w:val="22"/>
              </w:rPr>
            </w:pPr>
            <w:r>
              <w:rPr>
                <w:rFonts w:ascii="Times New Roman"/>
                <w:i/>
                <w:sz w:val="22"/>
              </w:rPr>
              <w:t>month-offset</w:t>
            </w:r>
          </w:p>
        </w:tc>
        <w:tc>
          <w:tcPr>
            <w:tcW w:w="1800" w:type="dxa"/>
          </w:tcPr>
          <w:p>
            <w:pPr>
              <w:pStyle w:val="TableParagraph"/>
              <w:ind w:left="112"/>
              <w:rPr>
                <w:sz w:val="22"/>
              </w:rPr>
            </w:pPr>
            <w:r>
              <w:rPr>
                <w:sz w:val="22"/>
              </w:rPr>
              <w:t>number</w:t>
            </w:r>
          </w:p>
        </w:tc>
        <w:tc>
          <w:tcPr>
            <w:tcW w:w="5400" w:type="dxa"/>
          </w:tcPr>
          <w:p>
            <w:pPr>
              <w:pStyle w:val="TableParagraph"/>
              <w:ind w:left="113" w:right="99"/>
              <w:rPr>
                <w:sz w:val="22"/>
              </w:rPr>
            </w:pPr>
            <w:r>
              <w:rPr>
                <w:sz w:val="22"/>
              </w:rPr>
              <w:t>The number of months before or after </w:t>
            </w:r>
            <w:r>
              <w:rPr>
                <w:rFonts w:ascii="Times New Roman"/>
                <w:i/>
                <w:sz w:val="22"/>
              </w:rPr>
              <w:t>start-date</w:t>
            </w:r>
            <w:r>
              <w:rPr>
                <w:sz w:val="22"/>
              </w:rPr>
              <w:t>, truncated to integer. A positive value yields a future date; a negative value yields a past date; a zero value yields the date </w:t>
            </w:r>
            <w:r>
              <w:rPr>
                <w:rFonts w:ascii="Times New Roman"/>
                <w:i/>
                <w:sz w:val="22"/>
              </w:rPr>
              <w:t>start-date</w:t>
            </w:r>
            <w:r>
              <w:rPr>
                <w:sz w:val="22"/>
              </w:rPr>
              <w:t>.</w:t>
            </w:r>
          </w:p>
        </w:tc>
      </w:tr>
    </w:tbl>
    <w:p>
      <w:pPr>
        <w:pStyle w:val="BodyText"/>
        <w:rPr>
          <w:b/>
        </w:rPr>
      </w:pPr>
    </w:p>
    <w:p>
      <w:pPr>
        <w:pStyle w:val="BodyText"/>
        <w:spacing w:before="5"/>
        <w:rPr>
          <w:b/>
          <w:sz w:val="19"/>
        </w:rPr>
      </w:pPr>
    </w:p>
    <w:p>
      <w:pPr>
        <w:spacing w:line="276" w:lineRule="auto" w:before="0"/>
        <w:ind w:left="220" w:right="0" w:firstLine="0"/>
        <w:jc w:val="left"/>
        <w:rPr>
          <w:sz w:val="22"/>
        </w:rPr>
      </w:pPr>
      <w:r>
        <w:rPr>
          <w:b/>
          <w:sz w:val="22"/>
        </w:rPr>
        <w:t>Return Type and Value: </w:t>
      </w:r>
      <w:r>
        <w:rPr>
          <w:sz w:val="22"/>
        </w:rPr>
        <w:t>number – The serial date-time of the date that is </w:t>
      </w:r>
      <w:r>
        <w:rPr>
          <w:rFonts w:ascii="Times New Roman" w:hAnsi="Times New Roman"/>
          <w:i/>
          <w:sz w:val="22"/>
        </w:rPr>
        <w:t>month-offset </w:t>
      </w:r>
      <w:r>
        <w:rPr>
          <w:sz w:val="22"/>
        </w:rPr>
        <w:t>months from the date specified by the date </w:t>
      </w:r>
      <w:r>
        <w:rPr>
          <w:rFonts w:ascii="Times New Roman" w:hAnsi="Times New Roman"/>
          <w:i/>
          <w:sz w:val="22"/>
        </w:rPr>
        <w:t>date-string</w:t>
      </w:r>
      <w:r>
        <w:rPr>
          <w:sz w:val="22"/>
        </w:rPr>
        <w:t>, as a whole number.</w:t>
      </w:r>
    </w:p>
    <w:p>
      <w:pPr>
        <w:pStyle w:val="BodyText"/>
        <w:spacing w:before="201"/>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start-value </w:t>
      </w:r>
      <w:r>
        <w:rPr>
          <w:sz w:val="22"/>
        </w:rPr>
        <w:t>is out of range for the current date system,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1583" w:firstLine="360"/>
        <w:jc w:val="left"/>
        <w:rPr>
          <w:sz w:val="22"/>
        </w:rPr>
      </w:pPr>
      <w:r>
        <w:rPr>
          <w:rFonts w:ascii="Times New Roman" w:hAnsi="Times New Roman"/>
          <w:i/>
          <w:sz w:val="22"/>
        </w:rPr>
        <w:t>start-value </w:t>
      </w:r>
      <w:r>
        <w:rPr>
          <w:sz w:val="22"/>
        </w:rPr>
        <w:t>plus </w:t>
      </w:r>
      <w:r>
        <w:rPr>
          <w:rFonts w:ascii="Times New Roman" w:hAnsi="Times New Roman"/>
          <w:i/>
          <w:sz w:val="22"/>
        </w:rPr>
        <w:t>month-offset </w:t>
      </w:r>
      <w:r>
        <w:rPr>
          <w:sz w:val="22"/>
        </w:rPr>
        <w:t>is out of range for the current date system, </w:t>
      </w:r>
      <w:r>
        <w:rPr>
          <w:rFonts w:ascii="Consolas" w:hAnsi="Consolas"/>
          <w:sz w:val="22"/>
        </w:rPr>
        <w:t>#NUM!</w:t>
      </w:r>
      <w:r>
        <w:rPr>
          <w:rFonts w:ascii="Consolas" w:hAnsi="Consolas"/>
          <w:spacing w:val="-105"/>
          <w:sz w:val="22"/>
        </w:rPr>
        <w:t> </w:t>
      </w:r>
      <w:r>
        <w:rPr>
          <w:sz w:val="22"/>
        </w:rPr>
        <w:t>is returned. [</w:t>
      </w:r>
      <w:r>
        <w:rPr>
          <w:i/>
          <w:sz w:val="22"/>
        </w:rPr>
        <w:t>Example</w:t>
      </w:r>
      <w:r>
        <w:rPr>
          <w:sz w:val="22"/>
        </w:rPr>
        <w:t>: For the 1900 date</w:t>
      </w:r>
      <w:r>
        <w:rPr>
          <w:spacing w:val="-8"/>
          <w:sz w:val="22"/>
        </w:rPr>
        <w:t> </w:t>
      </w:r>
      <w:r>
        <w:rPr>
          <w:sz w:val="22"/>
        </w:rPr>
        <w:t>system:</w:t>
      </w:r>
    </w:p>
    <w:p>
      <w:pPr>
        <w:pStyle w:val="BodyText"/>
        <w:spacing w:line="276" w:lineRule="auto" w:before="126"/>
        <w:ind w:left="220" w:right="3944"/>
        <w:rPr>
          <w:rFonts w:ascii="Consolas"/>
        </w:rPr>
      </w:pPr>
      <w:r>
        <w:rPr>
          <w:rFonts w:ascii="Consolas"/>
        </w:rPr>
        <w:t>EDATE(DATE(2006,1,31),5) </w:t>
      </w:r>
      <w:r>
        <w:rPr/>
        <w:t>results in a serial date-time of </w:t>
      </w:r>
      <w:r>
        <w:rPr>
          <w:rFonts w:ascii="Consolas"/>
        </w:rPr>
        <w:t>38898 EDATE(DATE(2004,2,29),12) </w:t>
      </w:r>
      <w:r>
        <w:rPr/>
        <w:t>results in a serial date-time of </w:t>
      </w:r>
      <w:r>
        <w:rPr>
          <w:rFonts w:ascii="Consolas"/>
        </w:rPr>
        <w:t>38411 EDATE(DATE(2004,2,28),12) </w:t>
      </w:r>
      <w:r>
        <w:rPr/>
        <w:t>results in a serial date-time of </w:t>
      </w:r>
      <w:r>
        <w:rPr>
          <w:rFonts w:ascii="Consolas"/>
        </w:rPr>
        <w:t>38411 EDATE(DATE(2004,1,15),-23)</w:t>
      </w:r>
      <w:r>
        <w:rPr>
          <w:rFonts w:ascii="Consolas"/>
          <w:spacing w:val="-95"/>
        </w:rPr>
        <w:t> </w:t>
      </w:r>
      <w:r>
        <w:rPr/>
        <w:t>results in a serial date-time of </w:t>
      </w:r>
      <w:r>
        <w:rPr>
          <w:rFonts w:ascii="Consolas"/>
        </w:rPr>
        <w:t>37302</w:t>
      </w:r>
    </w:p>
    <w:p>
      <w:pPr>
        <w:pStyle w:val="BodyText"/>
        <w:spacing w:before="1"/>
        <w:rPr>
          <w:rFonts w:ascii="Consolas"/>
          <w:sz w:val="17"/>
        </w:rPr>
      </w:pPr>
    </w:p>
    <w:p>
      <w:pPr>
        <w:pStyle w:val="BodyText"/>
        <w:ind w:left="220"/>
      </w:pPr>
      <w:r>
        <w:rPr/>
        <w:t>For the 1904 date system:</w:t>
      </w:r>
    </w:p>
    <w:p>
      <w:pPr>
        <w:pStyle w:val="BodyText"/>
        <w:spacing w:before="6"/>
        <w:rPr>
          <w:sz w:val="28"/>
        </w:rPr>
      </w:pPr>
    </w:p>
    <w:p>
      <w:pPr>
        <w:pStyle w:val="BodyText"/>
        <w:spacing w:line="276" w:lineRule="auto" w:before="1"/>
        <w:ind w:left="220" w:right="3944"/>
        <w:rPr>
          <w:rFonts w:ascii="Consolas"/>
        </w:rPr>
      </w:pPr>
      <w:r>
        <w:rPr>
          <w:rFonts w:ascii="Consolas"/>
        </w:rPr>
        <w:t>EDATE(DATE(2006,1,31),5) </w:t>
      </w:r>
      <w:r>
        <w:rPr/>
        <w:t>results in a serial date-time of </w:t>
      </w:r>
      <w:r>
        <w:rPr>
          <w:rFonts w:ascii="Consolas"/>
        </w:rPr>
        <w:t>37436 EDATE(DATE(2004,2,29),12) </w:t>
      </w:r>
      <w:r>
        <w:rPr/>
        <w:t>results in a serial date-time of </w:t>
      </w:r>
      <w:r>
        <w:rPr>
          <w:rFonts w:ascii="Consolas"/>
        </w:rPr>
        <w:t>36949 EDATE(DATE(2004,2,28),12) </w:t>
      </w:r>
      <w:r>
        <w:rPr/>
        <w:t>results in a serial date-time of </w:t>
      </w:r>
      <w:r>
        <w:rPr>
          <w:rFonts w:ascii="Consolas"/>
        </w:rPr>
        <w:t>36949 EDATE(DATE(2004,1,15),-23)</w:t>
      </w:r>
      <w:r>
        <w:rPr>
          <w:rFonts w:ascii="Consolas"/>
          <w:spacing w:val="-95"/>
        </w:rPr>
        <w:t> </w:t>
      </w:r>
      <w:r>
        <w:rPr/>
        <w:t>results in a serial date-time of </w:t>
      </w:r>
      <w:r>
        <w:rPr>
          <w:rFonts w:ascii="Consolas"/>
        </w:rPr>
        <w:t>35840</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06 EFFECT" w:id="1710"/>
      <w:bookmarkEnd w:id="1710"/>
      <w:r>
        <w:rPr/>
      </w:r>
      <w:bookmarkStart w:name="_bookmark569" w:id="1711"/>
      <w:bookmarkEnd w:id="1711"/>
      <w:r>
        <w:rPr/>
      </w:r>
      <w:bookmarkStart w:name="_bookmark569" w:id="1712"/>
      <w:bookmarkEnd w:id="1712"/>
      <w:r>
        <w:rPr>
          <w:color w:val="4F81BC"/>
        </w:rPr>
        <w:t>EF</w:t>
      </w:r>
      <w:r>
        <w:rPr>
          <w:color w:val="4F81BC"/>
        </w:rPr>
        <w:t>FECT</w:t>
      </w:r>
    </w:p>
    <w:p>
      <w:pPr>
        <w:pStyle w:val="Heading4"/>
        <w:spacing w:before="121"/>
      </w:pPr>
      <w:r>
        <w:rPr/>
        <w:t>Syntax:</w:t>
      </w:r>
    </w:p>
    <w:p>
      <w:pPr>
        <w:spacing w:after="0"/>
        <w:sectPr>
          <w:pgSz w:w="12240" w:h="15840"/>
          <w:pgMar w:header="763" w:footer="746" w:top="1340" w:bottom="940" w:left="860" w:right="700"/>
        </w:sectPr>
      </w:pPr>
    </w:p>
    <w:p>
      <w:pPr>
        <w:spacing w:before="85"/>
        <w:ind w:left="940" w:right="0" w:firstLine="0"/>
        <w:jc w:val="left"/>
        <w:rPr>
          <w:rFonts w:ascii="Lucida Console"/>
          <w:sz w:val="20"/>
        </w:rPr>
      </w:pPr>
      <w:r>
        <w:rPr>
          <w:rFonts w:ascii="Lucida Console"/>
          <w:sz w:val="20"/>
        </w:rPr>
        <w:t>EFFECT ( </w:t>
      </w:r>
      <w:r>
        <w:rPr>
          <w:i/>
          <w:sz w:val="22"/>
        </w:rPr>
        <w:t>nominal-rate </w:t>
      </w:r>
      <w:r>
        <w:rPr>
          <w:rFonts w:ascii="Lucida Console"/>
          <w:sz w:val="20"/>
        </w:rPr>
        <w:t>, </w:t>
      </w:r>
      <w:r>
        <w:rPr>
          <w:i/>
          <w:sz w:val="22"/>
        </w:rPr>
        <w:t>npery </w:t>
      </w:r>
      <w:r>
        <w:rPr>
          <w:rFonts w:ascii="Lucida Console"/>
          <w:sz w:val="20"/>
        </w:rPr>
        <w:t>)</w:t>
      </w:r>
    </w:p>
    <w:p>
      <w:pPr>
        <w:pStyle w:val="BodyText"/>
        <w:spacing w:line="278" w:lineRule="auto" w:before="107"/>
        <w:ind w:left="220" w:right="1116"/>
      </w:pPr>
      <w:r>
        <w:rPr>
          <w:b/>
        </w:rPr>
        <w:t>Description: </w:t>
      </w:r>
      <w:r>
        <w:rPr/>
        <w:t>Computes the effective annual interest rate, given the nominal annual interest rate and the number of compounding periods per year.</w:t>
      </w:r>
    </w:p>
    <w:p>
      <w:pPr>
        <w:pStyle w:val="BodyText"/>
        <w:spacing w:before="7"/>
        <w:rPr>
          <w:sz w:val="11"/>
        </w:rPr>
      </w:pPr>
    </w:p>
    <w:p>
      <w:pPr>
        <w:spacing w:after="0"/>
        <w:rPr>
          <w:sz w:val="11"/>
        </w:rPr>
        <w:sectPr>
          <w:pgSz w:w="12240" w:h="15840"/>
          <w:pgMar w:header="761" w:footer="746" w:top="1340" w:bottom="940" w:left="860" w:right="700"/>
        </w:sectPr>
      </w:pPr>
    </w:p>
    <w:p>
      <w:pPr>
        <w:pStyle w:val="Heading4"/>
        <w:spacing w:before="56"/>
        <w:rPr>
          <w:b w:val="0"/>
        </w:rPr>
      </w:pPr>
      <w:r>
        <w:rPr/>
        <w:t>Mathematical Formula</w:t>
      </w:r>
      <w:r>
        <w:rPr>
          <w:b w:val="0"/>
        </w:rPr>
        <w:t>:</w:t>
      </w:r>
    </w:p>
    <w:p>
      <w:pPr>
        <w:pStyle w:val="BodyText"/>
        <w:spacing w:before="11"/>
        <w:rPr>
          <w:sz w:val="21"/>
        </w:rPr>
      </w:pPr>
    </w:p>
    <w:p>
      <w:pPr>
        <w:pStyle w:val="BodyText"/>
        <w:spacing w:line="213" w:lineRule="exact"/>
        <w:ind w:left="1859"/>
        <w:rPr>
          <w:rFonts w:ascii="Cambria Math" w:eastAsia="Cambria Math"/>
        </w:rPr>
      </w:pPr>
      <w:r>
        <w:rPr>
          <w:rFonts w:ascii="Cambria Math" w:eastAsia="Cambria Math"/>
        </w:rPr>
        <w:t>𝑁𝑜𝑚𝑖𝑛𝑎𝑙_𝑟𝑎𝑡𝑒</w:t>
      </w:r>
    </w:p>
    <w:p>
      <w:pPr>
        <w:pStyle w:val="BodyText"/>
        <w:spacing w:line="158" w:lineRule="exact"/>
        <w:ind w:left="220"/>
        <w:rPr>
          <w:rFonts w:ascii="Cambria Math" w:eastAsia="Cambria Math"/>
        </w:rPr>
      </w:pPr>
      <w:r>
        <w:rPr/>
        <w:pict>
          <v:line style="position:absolute;mso-position-horizontal-relative:page;mso-position-vertical-relative:paragraph;z-index:251759616" from="135.979996pt,5.084143pt" to="204.403996pt,5.084143pt" stroked="true" strokeweight=".72pt" strokecolor="#000000">
            <v:stroke dashstyle="solid"/>
            <w10:wrap type="none"/>
          </v:line>
        </w:pict>
      </w:r>
      <w:r>
        <w:rPr>
          <w:rFonts w:ascii="Cambria Math" w:eastAsia="Cambria Math"/>
        </w:rPr>
        <w:t>𝐸𝐹𝐹𝐸𝐶𝑇 = (1 +</w:t>
      </w:r>
    </w:p>
    <w:p>
      <w:pPr>
        <w:pStyle w:val="BodyText"/>
        <w:spacing w:line="203" w:lineRule="exact"/>
        <w:ind w:left="2231"/>
        <w:rPr>
          <w:rFonts w:ascii="Cambria Math" w:eastAsia="Cambria Math"/>
        </w:rPr>
      </w:pPr>
      <w:r>
        <w:rPr>
          <w:rFonts w:ascii="Cambria Math" w:eastAsia="Cambria Math"/>
        </w:rPr>
        <w:t>𝑁𝑝𝑒𝑟𝑦</w:t>
      </w:r>
    </w:p>
    <w:p>
      <w:pPr>
        <w:pStyle w:val="BodyText"/>
        <w:rPr>
          <w:rFonts w:ascii="Cambria Math"/>
          <w:sz w:val="16"/>
        </w:rPr>
      </w:pPr>
      <w:r>
        <w:rPr/>
        <w:br w:type="column"/>
      </w:r>
      <w:r>
        <w:rPr>
          <w:rFonts w:ascii="Cambria Math"/>
          <w:sz w:val="16"/>
        </w:rPr>
      </w:r>
    </w:p>
    <w:p>
      <w:pPr>
        <w:pStyle w:val="BodyText"/>
        <w:rPr>
          <w:rFonts w:ascii="Cambria Math"/>
          <w:sz w:val="16"/>
        </w:rPr>
      </w:pPr>
    </w:p>
    <w:p>
      <w:pPr>
        <w:pStyle w:val="BodyText"/>
        <w:spacing w:before="6"/>
        <w:rPr>
          <w:rFonts w:ascii="Cambria Math"/>
          <w:sz w:val="14"/>
        </w:rPr>
      </w:pPr>
    </w:p>
    <w:p>
      <w:pPr>
        <w:spacing w:before="0"/>
        <w:ind w:left="74" w:right="0" w:firstLine="0"/>
        <w:jc w:val="left"/>
        <w:rPr>
          <w:rFonts w:ascii="Cambria Math" w:eastAsia="Cambria Math"/>
          <w:sz w:val="16"/>
        </w:rPr>
      </w:pPr>
      <w:r>
        <w:rPr>
          <w:rFonts w:ascii="Cambria Math" w:eastAsia="Cambria Math"/>
          <w:w w:val="110"/>
          <w:sz w:val="16"/>
        </w:rPr>
        <w:t>𝑁𝑝𝑒𝑟𝑦</w:t>
      </w:r>
    </w:p>
    <w:p>
      <w:pPr>
        <w:pStyle w:val="BodyText"/>
        <w:tabs>
          <w:tab w:pos="628" w:val="left" w:leader="none"/>
        </w:tabs>
        <w:spacing w:before="27"/>
        <w:ind w:left="-34"/>
        <w:rPr>
          <w:rFonts w:ascii="Cambria Math" w:hAnsi="Cambria Math"/>
        </w:rPr>
      </w:pPr>
      <w:r>
        <w:rPr>
          <w:rFonts w:ascii="Cambria Math" w:hAnsi="Cambria Math"/>
          <w:w w:val="105"/>
        </w:rPr>
        <w:t>)</w:t>
        <w:tab/>
        <w:t>−</w:t>
      </w:r>
      <w:r>
        <w:rPr>
          <w:rFonts w:ascii="Cambria Math" w:hAnsi="Cambria Math"/>
          <w:spacing w:val="-3"/>
          <w:w w:val="105"/>
        </w:rPr>
        <w:t> </w:t>
      </w:r>
      <w:r>
        <w:rPr>
          <w:rFonts w:ascii="Cambria Math" w:hAnsi="Cambria Math"/>
          <w:w w:val="105"/>
        </w:rPr>
        <w:t>1</w:t>
      </w:r>
    </w:p>
    <w:p>
      <w:pPr>
        <w:spacing w:after="0"/>
        <w:rPr>
          <w:rFonts w:ascii="Cambria Math" w:hAnsi="Cambria Math"/>
        </w:rPr>
        <w:sectPr>
          <w:type w:val="continuous"/>
          <w:pgSz w:w="12240" w:h="15840"/>
          <w:pgMar w:top="1340" w:bottom="940" w:left="860" w:right="700"/>
          <w:cols w:num="2" w:equalWidth="0">
            <w:col w:w="3223" w:space="40"/>
            <w:col w:w="7417"/>
          </w:cols>
        </w:sectPr>
      </w:pPr>
    </w:p>
    <w:p>
      <w:pPr>
        <w:pStyle w:val="BodyText"/>
        <w:spacing w:before="4"/>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Nominal_rate </w:t>
      </w:r>
      <w:r>
        <w:rPr>
          <w:sz w:val="22"/>
        </w:rPr>
        <w:t>= argument</w:t>
      </w:r>
      <w:r>
        <w:rPr>
          <w:spacing w:val="-8"/>
          <w:sz w:val="22"/>
        </w:rPr>
        <w:t> </w:t>
      </w:r>
      <w:r>
        <w:rPr>
          <w:rFonts w:ascii="Times New Roman" w:hAnsi="Times New Roman"/>
          <w:i/>
          <w:sz w:val="22"/>
        </w:rPr>
        <w:t>nominal-rate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Npery </w:t>
      </w:r>
      <w:r>
        <w:rPr>
          <w:sz w:val="22"/>
        </w:rPr>
        <w:t>= argument</w:t>
      </w:r>
      <w:r>
        <w:rPr>
          <w:spacing w:val="-2"/>
          <w:sz w:val="22"/>
        </w:rPr>
        <w:t> </w:t>
      </w:r>
      <w:r>
        <w:rPr>
          <w:rFonts w:ascii="Times New Roman" w:hAnsi="Times New Roman"/>
          <w:i/>
          <w:sz w:val="22"/>
        </w:rPr>
        <w:t>npery</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nominal-rate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nominal interest rate.</w:t>
            </w:r>
          </w:p>
        </w:tc>
      </w:tr>
      <w:tr>
        <w:trPr>
          <w:trHeight w:val="623" w:hRule="atLeast"/>
        </w:trPr>
        <w:tc>
          <w:tcPr>
            <w:tcW w:w="1466" w:type="dxa"/>
          </w:tcPr>
          <w:p>
            <w:pPr>
              <w:pStyle w:val="TableParagraph"/>
              <w:spacing w:before="37"/>
              <w:rPr>
                <w:rFonts w:ascii="Times New Roman"/>
                <w:i/>
                <w:sz w:val="22"/>
              </w:rPr>
            </w:pPr>
            <w:r>
              <w:rPr>
                <w:rFonts w:ascii="Times New Roman"/>
                <w:i/>
                <w:sz w:val="22"/>
              </w:rPr>
              <w:t>npery</w:t>
            </w:r>
          </w:p>
        </w:tc>
        <w:tc>
          <w:tcPr>
            <w:tcW w:w="1800" w:type="dxa"/>
          </w:tcPr>
          <w:p>
            <w:pPr>
              <w:pStyle w:val="TableParagraph"/>
              <w:ind w:left="112"/>
              <w:rPr>
                <w:sz w:val="22"/>
              </w:rPr>
            </w:pPr>
            <w:r>
              <w:rPr>
                <w:sz w:val="22"/>
              </w:rPr>
              <w:t>number</w:t>
            </w:r>
          </w:p>
        </w:tc>
        <w:tc>
          <w:tcPr>
            <w:tcW w:w="5400" w:type="dxa"/>
          </w:tcPr>
          <w:p>
            <w:pPr>
              <w:pStyle w:val="TableParagraph"/>
              <w:ind w:left="113" w:right="155"/>
              <w:rPr>
                <w:sz w:val="22"/>
              </w:rPr>
            </w:pPr>
            <w:r>
              <w:rPr>
                <w:sz w:val="22"/>
              </w:rPr>
              <w:t>The number of compounding periods per year, truncated to integer.</w:t>
            </w:r>
          </w:p>
        </w:tc>
      </w:tr>
    </w:tbl>
    <w:p>
      <w:pPr>
        <w:pStyle w:val="BodyText"/>
        <w:rPr>
          <w:b/>
        </w:rPr>
      </w:pPr>
    </w:p>
    <w:p>
      <w:pPr>
        <w:pStyle w:val="BodyText"/>
        <w:spacing w:before="7"/>
        <w:rPr>
          <w:b/>
          <w:sz w:val="19"/>
        </w:rPr>
      </w:pPr>
    </w:p>
    <w:p>
      <w:pPr>
        <w:spacing w:line="453" w:lineRule="auto" w:before="0"/>
        <w:ind w:left="220" w:right="4294" w:firstLine="0"/>
        <w:jc w:val="left"/>
        <w:rPr>
          <w:sz w:val="22"/>
        </w:rPr>
      </w:pPr>
      <w:r>
        <w:rPr>
          <w:b/>
          <w:sz w:val="22"/>
        </w:rPr>
        <w:t>Return Type and Value: </w:t>
      </w:r>
      <w:r>
        <w:rPr>
          <w:sz w:val="22"/>
        </w:rPr>
        <w:t>number – The effective annual interest rate.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nominal-rate </w:t>
      </w:r>
      <w:r>
        <w:rPr>
          <w:sz w:val="22"/>
        </w:rPr>
        <w:t>≤ 0,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7123" w:firstLine="360"/>
        <w:jc w:val="left"/>
        <w:rPr>
          <w:sz w:val="22"/>
        </w:rPr>
      </w:pPr>
      <w:r>
        <w:rPr>
          <w:rFonts w:ascii="Times New Roman" w:hAnsi="Times New Roman"/>
          <w:i/>
          <w:sz w:val="22"/>
        </w:rPr>
        <w:t>npery </w:t>
      </w:r>
      <w:r>
        <w:rPr>
          <w:sz w:val="22"/>
        </w:rPr>
        <w:t>&lt; 1, </w:t>
      </w:r>
      <w:r>
        <w:rPr>
          <w:rFonts w:ascii="Consolas" w:hAnsi="Consolas"/>
          <w:sz w:val="22"/>
        </w:rPr>
        <w:t>#NUM!</w:t>
      </w:r>
      <w:r>
        <w:rPr>
          <w:rFonts w:ascii="Consolas" w:hAnsi="Consolas"/>
          <w:spacing w:val="-86"/>
          <w:sz w:val="22"/>
        </w:rPr>
        <w:t> </w:t>
      </w:r>
      <w:r>
        <w:rPr>
          <w:sz w:val="22"/>
        </w:rPr>
        <w:t>is returned. [</w:t>
      </w:r>
      <w:r>
        <w:rPr>
          <w:i/>
          <w:sz w:val="22"/>
        </w:rPr>
        <w:t>Example</w:t>
      </w:r>
      <w:r>
        <w:rPr>
          <w:sz w:val="22"/>
        </w:rPr>
        <w:t>:</w:t>
      </w:r>
    </w:p>
    <w:p>
      <w:pPr>
        <w:pStyle w:val="BodyText"/>
        <w:spacing w:before="128"/>
        <w:ind w:left="220"/>
        <w:rPr>
          <w:rFonts w:ascii="Consolas"/>
        </w:rPr>
      </w:pPr>
      <w:r>
        <w:rPr>
          <w:rFonts w:ascii="Consolas"/>
        </w:rPr>
        <w:t>EFFECT(0.0525,4) </w:t>
      </w:r>
      <w:r>
        <w:rPr/>
        <w:t>results in </w:t>
      </w:r>
      <w:r>
        <w:rPr>
          <w:rFonts w:ascii="Consolas"/>
        </w:rPr>
        <w:t>5.3543%</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07 EOMONTH" w:id="1713"/>
      <w:bookmarkEnd w:id="1713"/>
      <w:r>
        <w:rPr/>
      </w:r>
      <w:bookmarkStart w:name="_bookmark570" w:id="1714"/>
      <w:bookmarkEnd w:id="1714"/>
      <w:r>
        <w:rPr/>
      </w:r>
      <w:bookmarkStart w:name="_bookmark570" w:id="1715"/>
      <w:bookmarkEnd w:id="1715"/>
      <w:r>
        <w:rPr>
          <w:color w:val="4F81BC"/>
        </w:rPr>
        <w:t>E</w:t>
      </w:r>
      <w:r>
        <w:rPr>
          <w:color w:val="4F81BC"/>
        </w:rPr>
        <w:t>OMONTH</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EOMONTH ( </w:t>
      </w:r>
      <w:r>
        <w:rPr>
          <w:i/>
          <w:sz w:val="22"/>
        </w:rPr>
        <w:t>start-date , month-offset </w:t>
      </w:r>
      <w:r>
        <w:rPr>
          <w:rFonts w:ascii="Lucida Console"/>
          <w:sz w:val="20"/>
        </w:rPr>
        <w:t>)</w:t>
      </w:r>
    </w:p>
    <w:p>
      <w:pPr>
        <w:pStyle w:val="BodyText"/>
        <w:spacing w:line="278" w:lineRule="auto" w:before="106"/>
        <w:ind w:left="220" w:right="387"/>
      </w:pPr>
      <w:r>
        <w:rPr>
          <w:b/>
        </w:rPr>
        <w:t>Description: </w:t>
      </w:r>
      <w:r>
        <w:rPr/>
        <w:t>Computes the serial date-time of the last day of the month for the date that is </w:t>
      </w:r>
      <w:r>
        <w:rPr>
          <w:rFonts w:ascii="Times New Roman"/>
          <w:i/>
        </w:rPr>
        <w:t>month-offset </w:t>
      </w:r>
      <w:r>
        <w:rPr/>
        <w:t>months from the date specified by the date </w:t>
      </w:r>
      <w:r>
        <w:rPr>
          <w:rFonts w:ascii="Times New Roman"/>
          <w:i/>
        </w:rPr>
        <w:t>start-date</w:t>
      </w:r>
      <w:r>
        <w:rPr/>
        <w:t>, taking into account the current date system.</w:t>
      </w:r>
    </w:p>
    <w:p>
      <w:pPr>
        <w:pStyle w:val="Heading4"/>
        <w:spacing w:before="198"/>
      </w:pPr>
      <w:r>
        <w:rPr/>
        <w:t>Arguments:</w:t>
      </w:r>
    </w:p>
    <w:p>
      <w:pPr>
        <w:spacing w:after="0"/>
        <w:sectPr>
          <w:type w:val="continuous"/>
          <w:pgSz w:w="12240" w:h="15840"/>
          <w:pgMar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start date.</w:t>
            </w:r>
          </w:p>
        </w:tc>
      </w:tr>
      <w:tr>
        <w:trPr>
          <w:trHeight w:val="1158" w:hRule="atLeast"/>
        </w:trPr>
        <w:tc>
          <w:tcPr>
            <w:tcW w:w="1466" w:type="dxa"/>
          </w:tcPr>
          <w:p>
            <w:pPr>
              <w:pStyle w:val="TableParagraph"/>
              <w:spacing w:before="37"/>
              <w:rPr>
                <w:rFonts w:ascii="Times New Roman"/>
                <w:i/>
                <w:sz w:val="22"/>
              </w:rPr>
            </w:pPr>
            <w:r>
              <w:rPr>
                <w:rFonts w:ascii="Times New Roman"/>
                <w:i/>
                <w:sz w:val="22"/>
              </w:rPr>
              <w:t>month-offset</w:t>
            </w:r>
          </w:p>
        </w:tc>
        <w:tc>
          <w:tcPr>
            <w:tcW w:w="1800" w:type="dxa"/>
          </w:tcPr>
          <w:p>
            <w:pPr>
              <w:pStyle w:val="TableParagraph"/>
              <w:ind w:left="112"/>
              <w:rPr>
                <w:sz w:val="22"/>
              </w:rPr>
            </w:pPr>
            <w:r>
              <w:rPr>
                <w:sz w:val="22"/>
              </w:rPr>
              <w:t>number</w:t>
            </w:r>
          </w:p>
        </w:tc>
        <w:tc>
          <w:tcPr>
            <w:tcW w:w="5400" w:type="dxa"/>
          </w:tcPr>
          <w:p>
            <w:pPr>
              <w:pStyle w:val="TableParagraph"/>
              <w:ind w:left="113" w:right="99"/>
              <w:rPr>
                <w:sz w:val="22"/>
              </w:rPr>
            </w:pPr>
            <w:r>
              <w:rPr>
                <w:sz w:val="22"/>
              </w:rPr>
              <w:t>The number of months before or after </w:t>
            </w:r>
            <w:r>
              <w:rPr>
                <w:rFonts w:ascii="Times New Roman"/>
                <w:i/>
                <w:sz w:val="22"/>
              </w:rPr>
              <w:t>start-date</w:t>
            </w:r>
            <w:r>
              <w:rPr>
                <w:sz w:val="22"/>
              </w:rPr>
              <w:t>, truncated to integer. A positive value yields a future date; a negative value yields a past date; a zero value yields the date </w:t>
            </w:r>
            <w:r>
              <w:rPr>
                <w:rFonts w:ascii="Times New Roman"/>
                <w:i/>
                <w:sz w:val="22"/>
              </w:rPr>
              <w:t>start-date</w:t>
            </w:r>
            <w:r>
              <w:rPr>
                <w:sz w:val="22"/>
              </w:rPr>
              <w:t>.</w:t>
            </w:r>
          </w:p>
        </w:tc>
      </w:tr>
    </w:tbl>
    <w:p>
      <w:pPr>
        <w:pStyle w:val="BodyText"/>
        <w:rPr>
          <w:b/>
          <w:sz w:val="20"/>
        </w:rPr>
      </w:pPr>
    </w:p>
    <w:p>
      <w:pPr>
        <w:pStyle w:val="BodyText"/>
        <w:spacing w:before="5"/>
        <w:rPr>
          <w:b/>
          <w:sz w:val="21"/>
        </w:rPr>
      </w:pPr>
    </w:p>
    <w:p>
      <w:pPr>
        <w:spacing w:line="278" w:lineRule="auto" w:before="0"/>
        <w:ind w:left="220" w:right="604" w:firstLine="0"/>
        <w:jc w:val="left"/>
        <w:rPr>
          <w:sz w:val="22"/>
        </w:rPr>
      </w:pPr>
      <w:r>
        <w:rPr>
          <w:b/>
          <w:sz w:val="22"/>
        </w:rPr>
        <w:t>Return Type and Value: </w:t>
      </w:r>
      <w:r>
        <w:rPr>
          <w:sz w:val="22"/>
        </w:rPr>
        <w:t>number – The serial date-time of the last day of the month for the date that is </w:t>
      </w:r>
      <w:r>
        <w:rPr>
          <w:rFonts w:ascii="Times New Roman" w:hAnsi="Times New Roman"/>
          <w:i/>
          <w:sz w:val="22"/>
        </w:rPr>
        <w:t>month- </w:t>
      </w:r>
      <w:r>
        <w:rPr>
          <w:rFonts w:ascii="Times New Roman" w:hAnsi="Times New Roman"/>
          <w:i/>
          <w:sz w:val="22"/>
        </w:rPr>
        <w:t>offset </w:t>
      </w:r>
      <w:r>
        <w:rPr>
          <w:sz w:val="22"/>
        </w:rPr>
        <w:t>months from the date specified by the date </w:t>
      </w:r>
      <w:r>
        <w:rPr>
          <w:rFonts w:ascii="Times New Roman" w:hAnsi="Times New Roman"/>
          <w:i/>
          <w:sz w:val="22"/>
        </w:rPr>
        <w:t>start-date</w:t>
      </w:r>
      <w:r>
        <w:rPr>
          <w:sz w:val="22"/>
        </w:rPr>
        <w:t>, as a whole number.</w:t>
      </w:r>
    </w:p>
    <w:p>
      <w:pPr>
        <w:pStyle w:val="BodyText"/>
        <w:spacing w:before="198"/>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start-date </w:t>
      </w:r>
      <w:r>
        <w:rPr>
          <w:sz w:val="22"/>
        </w:rPr>
        <w:t>is not a date,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3604" w:firstLine="360"/>
        <w:jc w:val="left"/>
        <w:rPr>
          <w:sz w:val="22"/>
        </w:rPr>
      </w:pPr>
      <w:r>
        <w:rPr>
          <w:rFonts w:ascii="Times New Roman" w:hAnsi="Times New Roman"/>
          <w:i/>
          <w:sz w:val="22"/>
        </w:rPr>
        <w:t>start-date </w:t>
      </w:r>
      <w:r>
        <w:rPr>
          <w:sz w:val="22"/>
        </w:rPr>
        <w:t>plus </w:t>
      </w:r>
      <w:r>
        <w:rPr>
          <w:rFonts w:ascii="Times New Roman" w:hAnsi="Times New Roman"/>
          <w:i/>
          <w:sz w:val="22"/>
        </w:rPr>
        <w:t>month-offset </w:t>
      </w:r>
      <w:r>
        <w:rPr>
          <w:sz w:val="22"/>
        </w:rPr>
        <w:t>does not yield a date, </w:t>
      </w:r>
      <w:r>
        <w:rPr>
          <w:rFonts w:ascii="Consolas" w:hAnsi="Consolas"/>
          <w:sz w:val="22"/>
        </w:rPr>
        <w:t>#NUM!</w:t>
      </w:r>
      <w:r>
        <w:rPr>
          <w:rFonts w:ascii="Consolas" w:hAnsi="Consolas"/>
          <w:spacing w:val="-102"/>
          <w:sz w:val="22"/>
        </w:rPr>
        <w:t> </w:t>
      </w:r>
      <w:r>
        <w:rPr>
          <w:sz w:val="22"/>
        </w:rPr>
        <w:t>is returned. [</w:t>
      </w:r>
      <w:r>
        <w:rPr>
          <w:i/>
          <w:sz w:val="22"/>
        </w:rPr>
        <w:t>Example</w:t>
      </w:r>
      <w:r>
        <w:rPr>
          <w:sz w:val="22"/>
        </w:rPr>
        <w:t>: For the 1900 date</w:t>
      </w:r>
      <w:r>
        <w:rPr>
          <w:spacing w:val="-8"/>
          <w:sz w:val="22"/>
        </w:rPr>
        <w:t> </w:t>
      </w:r>
      <w:r>
        <w:rPr>
          <w:sz w:val="22"/>
        </w:rPr>
        <w:t>system:</w:t>
      </w:r>
    </w:p>
    <w:p>
      <w:pPr>
        <w:pStyle w:val="BodyText"/>
        <w:spacing w:line="276" w:lineRule="auto" w:before="126"/>
        <w:ind w:left="220" w:right="3702"/>
        <w:rPr>
          <w:rFonts w:ascii="Consolas"/>
        </w:rPr>
      </w:pPr>
      <w:r>
        <w:rPr>
          <w:rFonts w:ascii="Consolas"/>
        </w:rPr>
        <w:t>EOMONTH(DATE(2006,1,31),5) </w:t>
      </w:r>
      <w:r>
        <w:rPr/>
        <w:t>results in a serial date-time of </w:t>
      </w:r>
      <w:r>
        <w:rPr>
          <w:rFonts w:ascii="Consolas"/>
        </w:rPr>
        <w:t>38898 EOMONTH(DATE(2004,2,29),12) </w:t>
      </w:r>
      <w:r>
        <w:rPr/>
        <w:t>results in a serial date-time of </w:t>
      </w:r>
      <w:r>
        <w:rPr>
          <w:rFonts w:ascii="Consolas"/>
        </w:rPr>
        <w:t>38411 EOMONTH(DATE(2004,2,28),12) </w:t>
      </w:r>
      <w:r>
        <w:rPr/>
        <w:t>results in a serial date-time of </w:t>
      </w:r>
      <w:r>
        <w:rPr>
          <w:rFonts w:ascii="Consolas"/>
        </w:rPr>
        <w:t>38411 EOMONTH(DATE(2004,1,15),-23)</w:t>
      </w:r>
      <w:r>
        <w:rPr>
          <w:rFonts w:ascii="Consolas"/>
          <w:spacing w:val="-96"/>
        </w:rPr>
        <w:t> </w:t>
      </w:r>
      <w:r>
        <w:rPr/>
        <w:t>results in a serial date-time of </w:t>
      </w:r>
      <w:r>
        <w:rPr>
          <w:rFonts w:ascii="Consolas"/>
        </w:rPr>
        <w:t>37315</w:t>
      </w:r>
    </w:p>
    <w:p>
      <w:pPr>
        <w:pStyle w:val="BodyText"/>
        <w:rPr>
          <w:rFonts w:ascii="Consolas"/>
          <w:sz w:val="17"/>
        </w:rPr>
      </w:pPr>
    </w:p>
    <w:p>
      <w:pPr>
        <w:pStyle w:val="BodyText"/>
        <w:ind w:left="220"/>
      </w:pPr>
      <w:r>
        <w:rPr/>
        <w:t>For the 1904 date system:</w:t>
      </w:r>
    </w:p>
    <w:p>
      <w:pPr>
        <w:pStyle w:val="BodyText"/>
        <w:spacing w:before="7"/>
        <w:rPr>
          <w:sz w:val="28"/>
        </w:rPr>
      </w:pPr>
    </w:p>
    <w:p>
      <w:pPr>
        <w:pStyle w:val="BodyText"/>
        <w:spacing w:line="276" w:lineRule="auto"/>
        <w:ind w:left="220" w:right="3702"/>
        <w:rPr>
          <w:rFonts w:ascii="Consolas"/>
        </w:rPr>
      </w:pPr>
      <w:r>
        <w:rPr>
          <w:rFonts w:ascii="Consolas"/>
        </w:rPr>
        <w:t>EOMONTH(DATE(2006,1,31),5) </w:t>
      </w:r>
      <w:r>
        <w:rPr/>
        <w:t>results in a serial date-time of </w:t>
      </w:r>
      <w:r>
        <w:rPr>
          <w:rFonts w:ascii="Consolas"/>
        </w:rPr>
        <w:t>37436 EOMONTH(DATE(2004,2,29),12) </w:t>
      </w:r>
      <w:r>
        <w:rPr/>
        <w:t>results in a serial date-time of </w:t>
      </w:r>
      <w:r>
        <w:rPr>
          <w:rFonts w:ascii="Consolas"/>
        </w:rPr>
        <w:t>36949 EOMONTH(DATE(2004,2,28),12) </w:t>
      </w:r>
      <w:r>
        <w:rPr/>
        <w:t>results in a serial date-time of </w:t>
      </w:r>
      <w:r>
        <w:rPr>
          <w:rFonts w:ascii="Consolas"/>
        </w:rPr>
        <w:t>36949 EOMONTH(DATE(2004,1,15),-23)</w:t>
      </w:r>
      <w:r>
        <w:rPr>
          <w:rFonts w:ascii="Consolas"/>
          <w:spacing w:val="-96"/>
        </w:rPr>
        <w:t> </w:t>
      </w:r>
      <w:r>
        <w:rPr/>
        <w:t>results in a serial date-time of </w:t>
      </w:r>
      <w:r>
        <w:rPr>
          <w:rFonts w:ascii="Consolas"/>
        </w:rPr>
        <w:t>35853</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08 ERF" w:id="1716"/>
      <w:bookmarkEnd w:id="1716"/>
      <w:r>
        <w:rPr/>
      </w:r>
      <w:bookmarkStart w:name="_bookmark571" w:id="1717"/>
      <w:bookmarkEnd w:id="1717"/>
      <w:r>
        <w:rPr/>
      </w:r>
      <w:bookmarkStart w:name="_bookmark571" w:id="1718"/>
      <w:bookmarkEnd w:id="1718"/>
      <w:r>
        <w:rPr>
          <w:color w:val="4F81BC"/>
        </w:rPr>
        <w:t>E</w:t>
      </w:r>
      <w:r>
        <w:rPr>
          <w:color w:val="4F81BC"/>
        </w:rPr>
        <w:t>RF</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ERF ( </w:t>
      </w:r>
      <w:r>
        <w:rPr>
          <w:i/>
          <w:sz w:val="22"/>
        </w:rPr>
        <w:t>lower-bound </w:t>
      </w:r>
      <w:r>
        <w:rPr>
          <w:sz w:val="22"/>
        </w:rPr>
        <w:t>[ </w:t>
      </w:r>
      <w:r>
        <w:rPr>
          <w:rFonts w:ascii="Lucida Console"/>
          <w:sz w:val="20"/>
        </w:rPr>
        <w:t>, </w:t>
      </w:r>
      <w:r>
        <w:rPr>
          <w:i/>
          <w:sz w:val="22"/>
        </w:rPr>
        <w:t>upper-bound </w:t>
      </w:r>
      <w:r>
        <w:rPr>
          <w:sz w:val="22"/>
        </w:rPr>
        <w:t>] </w:t>
      </w:r>
      <w:r>
        <w:rPr>
          <w:rFonts w:ascii="Lucida Console"/>
          <w:sz w:val="20"/>
        </w:rPr>
        <w:t>)</w:t>
      </w:r>
    </w:p>
    <w:p>
      <w:pPr>
        <w:spacing w:before="109"/>
        <w:ind w:left="220" w:right="0" w:firstLine="0"/>
        <w:jc w:val="left"/>
        <w:rPr>
          <w:sz w:val="22"/>
        </w:rPr>
      </w:pPr>
      <w:r>
        <w:rPr>
          <w:b/>
          <w:sz w:val="22"/>
        </w:rPr>
        <w:t>Description: </w:t>
      </w:r>
      <w:r>
        <w:rPr>
          <w:sz w:val="22"/>
        </w:rPr>
        <w:t>Computes the error function integrated between </w:t>
      </w:r>
      <w:r>
        <w:rPr>
          <w:rFonts w:ascii="Times New Roman"/>
          <w:i/>
          <w:sz w:val="22"/>
        </w:rPr>
        <w:t>lower-bound </w:t>
      </w:r>
      <w:r>
        <w:rPr>
          <w:sz w:val="22"/>
        </w:rPr>
        <w:t>and </w:t>
      </w:r>
      <w:r>
        <w:rPr>
          <w:rFonts w:ascii="Times New Roman"/>
          <w:i/>
          <w:sz w:val="22"/>
        </w:rPr>
        <w:t>upper-bound</w:t>
      </w:r>
      <w:r>
        <w:rPr>
          <w:sz w:val="22"/>
        </w:rPr>
        <w:t>.</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spacing w:before="0"/>
        <w:ind w:left="220" w:right="0" w:firstLine="0"/>
        <w:jc w:val="left"/>
        <w:rPr>
          <w:sz w:val="22"/>
        </w:rPr>
      </w:pPr>
      <w:r>
        <w:rPr>
          <w:sz w:val="22"/>
        </w:rPr>
        <w:t>If </w:t>
      </w:r>
      <w:r>
        <w:rPr>
          <w:rFonts w:ascii="Times New Roman"/>
          <w:i/>
          <w:sz w:val="22"/>
        </w:rPr>
        <w:t>upper-bound </w:t>
      </w:r>
      <w:r>
        <w:rPr>
          <w:sz w:val="22"/>
        </w:rPr>
        <w:t>is omitted:</w:t>
      </w:r>
    </w:p>
    <w:p>
      <w:pPr>
        <w:pStyle w:val="BodyText"/>
        <w:spacing w:before="4"/>
        <w:rPr>
          <w:sz w:val="10"/>
        </w:rPr>
      </w:pPr>
    </w:p>
    <w:p>
      <w:pPr>
        <w:spacing w:after="0"/>
        <w:rPr>
          <w:sz w:val="10"/>
        </w:rPr>
        <w:sectPr>
          <w:pgSz w:w="12240" w:h="15840"/>
          <w:pgMar w:header="763" w:footer="746" w:top="1340" w:bottom="940" w:left="860" w:right="700"/>
        </w:sectPr>
      </w:pPr>
    </w:p>
    <w:p>
      <w:pPr>
        <w:pStyle w:val="BodyText"/>
        <w:spacing w:before="6"/>
        <w:rPr>
          <w:sz w:val="16"/>
        </w:rPr>
      </w:pPr>
    </w:p>
    <w:p>
      <w:pPr>
        <w:pStyle w:val="BodyText"/>
        <w:spacing w:line="208" w:lineRule="exact"/>
        <w:ind w:left="1348"/>
        <w:rPr>
          <w:rFonts w:ascii="Cambria Math"/>
        </w:rPr>
      </w:pPr>
      <w:r>
        <w:rPr>
          <w:rFonts w:ascii="Cambria Math"/>
          <w:w w:val="100"/>
        </w:rPr>
        <w:t>2</w:t>
      </w:r>
    </w:p>
    <w:p>
      <w:pPr>
        <w:pStyle w:val="BodyText"/>
        <w:spacing w:line="175" w:lineRule="exact"/>
        <w:ind w:left="220"/>
        <w:rPr>
          <w:rFonts w:ascii="Cambria Math" w:eastAsia="Cambria Math"/>
        </w:rPr>
      </w:pPr>
      <w:r>
        <w:rPr/>
        <w:pict>
          <v:group style="position:absolute;margin-left:106.459999pt;margin-top:4.974182pt;width:14.05pt;height:3.6pt;mso-position-horizontal-relative:page;mso-position-vertical-relative:paragraph;z-index:251760640" coordorigin="2129,99" coordsize="281,72">
            <v:rect style="position:absolute;left:2273;top:157;width:135;height:15" filled="true" fillcolor="#000000" stroked="false">
              <v:fill type="solid"/>
            </v:rect>
            <v:line style="position:absolute" from="2129,107" to="2410,107" stroked="true" strokeweight=".71997pt" strokecolor="#000000">
              <v:stroke dashstyle="solid"/>
            </v:line>
            <w10:wrap type="none"/>
          </v:group>
        </w:pict>
      </w:r>
      <w:r>
        <w:rPr>
          <w:rFonts w:ascii="Cambria Math" w:eastAsia="Cambria Math"/>
        </w:rPr>
        <w:t>𝐸𝑅𝐹</w:t>
      </w:r>
      <w:r>
        <w:rPr>
          <w:rFonts w:ascii="Cambria Math" w:eastAsia="Cambria Math"/>
          <w:position w:val="1"/>
        </w:rPr>
        <w:t>(</w:t>
      </w:r>
      <w:r>
        <w:rPr>
          <w:rFonts w:ascii="Cambria Math" w:eastAsia="Cambria Math"/>
        </w:rPr>
        <w:t>𝑧</w:t>
      </w:r>
      <w:r>
        <w:rPr>
          <w:rFonts w:ascii="Cambria Math" w:eastAsia="Cambria Math"/>
          <w:position w:val="1"/>
        </w:rPr>
        <w:t>) </w:t>
      </w:r>
      <w:r>
        <w:rPr>
          <w:rFonts w:ascii="Cambria Math" w:eastAsia="Cambria Math"/>
        </w:rPr>
        <w:t>=</w:t>
      </w:r>
    </w:p>
    <w:p>
      <w:pPr>
        <w:pStyle w:val="BodyText"/>
        <w:spacing w:line="235" w:lineRule="exact"/>
        <w:ind w:left="1269"/>
        <w:rPr>
          <w:rFonts w:ascii="Cambria Math" w:hAnsi="Cambria Math" w:eastAsia="Cambria Math"/>
        </w:rPr>
      </w:pPr>
      <w:r>
        <w:rPr>
          <w:rFonts w:ascii="Cambria Math" w:hAnsi="Cambria Math" w:eastAsia="Cambria Math"/>
        </w:rPr>
        <w:t>√</w:t>
      </w:r>
      <w:r>
        <w:rPr>
          <w:rFonts w:ascii="Cambria Math" w:hAnsi="Cambria Math" w:eastAsia="Cambria Math"/>
          <w:position w:val="2"/>
        </w:rPr>
        <w:t>𝜋</w:t>
      </w:r>
    </w:p>
    <w:p>
      <w:pPr>
        <w:spacing w:before="73"/>
        <w:ind w:left="85" w:right="0" w:firstLine="0"/>
        <w:jc w:val="left"/>
        <w:rPr>
          <w:rFonts w:ascii="Cambria Math" w:eastAsia="Cambria Math"/>
          <w:sz w:val="16"/>
        </w:rPr>
      </w:pPr>
      <w:r>
        <w:rPr/>
        <w:br w:type="column"/>
      </w:r>
      <w:r>
        <w:rPr>
          <w:rFonts w:ascii="Cambria Math" w:eastAsia="Cambria Math"/>
          <w:w w:val="110"/>
          <w:sz w:val="16"/>
        </w:rPr>
        <w:t>𝑧</w:t>
      </w:r>
    </w:p>
    <w:p>
      <w:pPr>
        <w:pStyle w:val="BodyText"/>
        <w:spacing w:before="54"/>
        <w:ind w:left="1"/>
        <w:rPr>
          <w:rFonts w:ascii="Cambria Math" w:hAnsi="Cambria Math" w:eastAsia="Cambria Math"/>
        </w:rPr>
      </w:pPr>
      <w:r>
        <w:rPr>
          <w:rFonts w:ascii="Cambria Math" w:hAnsi="Cambria Math" w:eastAsia="Cambria Math"/>
          <w:w w:val="110"/>
        </w:rPr>
        <w:t>∫ 𝑒</w:t>
      </w:r>
      <w:r>
        <w:rPr>
          <w:rFonts w:ascii="Cambria Math" w:hAnsi="Cambria Math" w:eastAsia="Cambria Math"/>
          <w:w w:val="110"/>
          <w:vertAlign w:val="superscript"/>
        </w:rPr>
        <w:t>−𝑡</w:t>
      </w:r>
      <w:r>
        <w:rPr>
          <w:rFonts w:ascii="Cambria Math" w:hAnsi="Cambria Math" w:eastAsia="Cambria Math"/>
          <w:w w:val="110"/>
          <w:position w:val="14"/>
          <w:sz w:val="13"/>
          <w:vertAlign w:val="baseline"/>
        </w:rPr>
        <w:t>2 </w:t>
      </w:r>
      <w:r>
        <w:rPr>
          <w:rFonts w:ascii="Cambria Math" w:hAnsi="Cambria Math" w:eastAsia="Cambria Math"/>
          <w:w w:val="110"/>
          <w:vertAlign w:val="baseline"/>
        </w:rPr>
        <w:t>𝑑𝑡</w:t>
      </w:r>
    </w:p>
    <w:p>
      <w:pPr>
        <w:spacing w:before="109"/>
        <w:ind w:left="1" w:right="0" w:firstLine="0"/>
        <w:jc w:val="left"/>
        <w:rPr>
          <w:rFonts w:ascii="Cambria Math"/>
          <w:sz w:val="16"/>
        </w:rPr>
      </w:pPr>
      <w:r>
        <w:rPr>
          <w:rFonts w:ascii="Cambria Math"/>
          <w:w w:val="105"/>
          <w:sz w:val="16"/>
        </w:rPr>
        <w:t>0</w:t>
      </w:r>
    </w:p>
    <w:p>
      <w:pPr>
        <w:spacing w:after="0"/>
        <w:jc w:val="left"/>
        <w:rPr>
          <w:rFonts w:ascii="Cambria Math"/>
          <w:sz w:val="16"/>
        </w:rPr>
        <w:sectPr>
          <w:type w:val="continuous"/>
          <w:pgSz w:w="12240" w:h="15840"/>
          <w:pgMar w:top="1340" w:bottom="940" w:left="860" w:right="700"/>
          <w:cols w:num="2" w:equalWidth="0">
            <w:col w:w="1545" w:space="40"/>
            <w:col w:w="9095"/>
          </w:cols>
        </w:sectPr>
      </w:pPr>
    </w:p>
    <w:p>
      <w:pPr>
        <w:pStyle w:val="BodyText"/>
        <w:spacing w:before="93"/>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z </w:t>
      </w:r>
      <w:r>
        <w:rPr>
          <w:sz w:val="22"/>
        </w:rPr>
        <w:t>= argument</w:t>
      </w:r>
      <w:r>
        <w:rPr>
          <w:spacing w:val="-8"/>
          <w:sz w:val="22"/>
        </w:rPr>
        <w:t> </w:t>
      </w:r>
      <w:r>
        <w:rPr>
          <w:rFonts w:ascii="Times New Roman" w:hAnsi="Times New Roman"/>
          <w:i/>
          <w:sz w:val="22"/>
        </w:rPr>
        <w:t>lower-bound</w:t>
      </w:r>
    </w:p>
    <w:p>
      <w:pPr>
        <w:spacing w:before="243"/>
        <w:ind w:left="220" w:right="0" w:firstLine="0"/>
        <w:jc w:val="left"/>
        <w:rPr>
          <w:sz w:val="22"/>
        </w:rPr>
      </w:pPr>
      <w:r>
        <w:rPr>
          <w:sz w:val="22"/>
        </w:rPr>
        <w:t>If </w:t>
      </w:r>
      <w:r>
        <w:rPr>
          <w:rFonts w:ascii="Times New Roman"/>
          <w:i/>
          <w:sz w:val="22"/>
        </w:rPr>
        <w:t>upper-bound </w:t>
      </w:r>
      <w:r>
        <w:rPr>
          <w:sz w:val="22"/>
        </w:rPr>
        <w:t>is present:</w:t>
      </w:r>
    </w:p>
    <w:p>
      <w:pPr>
        <w:pStyle w:val="BodyText"/>
        <w:spacing w:before="6"/>
        <w:rPr>
          <w:sz w:val="12"/>
        </w:rPr>
      </w:pPr>
    </w:p>
    <w:p>
      <w:pPr>
        <w:spacing w:after="0"/>
        <w:rPr>
          <w:sz w:val="12"/>
        </w:rPr>
        <w:sectPr>
          <w:pgSz w:w="12240" w:h="15840"/>
          <w:pgMar w:header="761" w:footer="746" w:top="1340" w:bottom="940" w:left="860" w:right="700"/>
        </w:sectPr>
      </w:pPr>
    </w:p>
    <w:p>
      <w:pPr>
        <w:pStyle w:val="BodyText"/>
        <w:spacing w:before="8"/>
        <w:rPr>
          <w:sz w:val="16"/>
        </w:rPr>
      </w:pPr>
    </w:p>
    <w:p>
      <w:pPr>
        <w:pStyle w:val="BodyText"/>
        <w:spacing w:line="208" w:lineRule="exact"/>
        <w:ind w:left="1571"/>
        <w:rPr>
          <w:rFonts w:ascii="Cambria Math"/>
        </w:rPr>
      </w:pPr>
      <w:r>
        <w:rPr>
          <w:rFonts w:ascii="Cambria Math"/>
          <w:w w:val="100"/>
        </w:rPr>
        <w:t>2</w:t>
      </w:r>
    </w:p>
    <w:p>
      <w:pPr>
        <w:pStyle w:val="BodyText"/>
        <w:spacing w:line="175" w:lineRule="exact"/>
        <w:ind w:left="220"/>
        <w:rPr>
          <w:rFonts w:ascii="Cambria Math" w:eastAsia="Cambria Math"/>
        </w:rPr>
      </w:pPr>
      <w:r>
        <w:rPr/>
        <w:pict>
          <v:group style="position:absolute;margin-left:117.620003pt;margin-top:4.974154pt;width:14.05pt;height:3.6pt;mso-position-horizontal-relative:page;mso-position-vertical-relative:paragraph;z-index:251761664" coordorigin="2352,99" coordsize="281,72">
            <v:rect style="position:absolute;left:2496;top:157;width:135;height:15" filled="true" fillcolor="#000000" stroked="false">
              <v:fill type="solid"/>
            </v:rect>
            <v:line style="position:absolute" from="2352,107" to="2633,107" stroked="true" strokeweight=".72pt" strokecolor="#000000">
              <v:stroke dashstyle="solid"/>
            </v:line>
            <w10:wrap type="none"/>
          </v:group>
        </w:pict>
      </w:r>
      <w:r>
        <w:rPr>
          <w:rFonts w:ascii="Cambria Math" w:eastAsia="Cambria Math"/>
        </w:rPr>
        <w:t>𝐸𝑅𝐹</w:t>
      </w:r>
      <w:r>
        <w:rPr>
          <w:rFonts w:ascii="Cambria Math" w:eastAsia="Cambria Math"/>
          <w:position w:val="1"/>
        </w:rPr>
        <w:t>(</w:t>
      </w:r>
      <w:r>
        <w:rPr>
          <w:rFonts w:ascii="Cambria Math" w:eastAsia="Cambria Math"/>
        </w:rPr>
        <w:t>𝑎, 𝑏</w:t>
      </w:r>
      <w:r>
        <w:rPr>
          <w:rFonts w:ascii="Cambria Math" w:eastAsia="Cambria Math"/>
          <w:position w:val="1"/>
        </w:rPr>
        <w:t>) </w:t>
      </w:r>
      <w:r>
        <w:rPr>
          <w:rFonts w:ascii="Cambria Math" w:eastAsia="Cambria Math"/>
        </w:rPr>
        <w:t>=</w:t>
      </w:r>
    </w:p>
    <w:p>
      <w:pPr>
        <w:pStyle w:val="BodyText"/>
        <w:spacing w:line="235" w:lineRule="exact"/>
        <w:ind w:left="1492"/>
        <w:rPr>
          <w:rFonts w:ascii="Cambria Math" w:hAnsi="Cambria Math" w:eastAsia="Cambria Math"/>
        </w:rPr>
      </w:pPr>
      <w:r>
        <w:rPr>
          <w:rFonts w:ascii="Cambria Math" w:hAnsi="Cambria Math" w:eastAsia="Cambria Math"/>
        </w:rPr>
        <w:t>√</w:t>
      </w:r>
      <w:r>
        <w:rPr>
          <w:rFonts w:ascii="Cambria Math" w:hAnsi="Cambria Math" w:eastAsia="Cambria Math"/>
          <w:position w:val="2"/>
        </w:rPr>
        <w:t>𝜋</w:t>
      </w:r>
    </w:p>
    <w:p>
      <w:pPr>
        <w:spacing w:before="73"/>
        <w:ind w:left="83" w:right="0" w:firstLine="0"/>
        <w:jc w:val="left"/>
        <w:rPr>
          <w:rFonts w:ascii="Cambria Math" w:eastAsia="Cambria Math"/>
          <w:sz w:val="16"/>
        </w:rPr>
      </w:pPr>
      <w:r>
        <w:rPr/>
        <w:br w:type="column"/>
      </w:r>
      <w:r>
        <w:rPr>
          <w:rFonts w:ascii="Cambria Math" w:eastAsia="Cambria Math"/>
          <w:w w:val="110"/>
          <w:sz w:val="16"/>
        </w:rPr>
        <w:t>𝑏</w:t>
      </w:r>
    </w:p>
    <w:p>
      <w:pPr>
        <w:pStyle w:val="BodyText"/>
        <w:spacing w:before="56"/>
        <w:ind w:left="4"/>
        <w:rPr>
          <w:rFonts w:ascii="Cambria Math" w:hAnsi="Cambria Math" w:eastAsia="Cambria Math"/>
        </w:rPr>
      </w:pPr>
      <w:r>
        <w:rPr>
          <w:rFonts w:ascii="Cambria Math" w:hAnsi="Cambria Math" w:eastAsia="Cambria Math"/>
          <w:w w:val="110"/>
        </w:rPr>
        <w:t>∫ </w:t>
      </w:r>
      <w:r>
        <w:rPr>
          <w:rFonts w:ascii="Cambria Math" w:hAnsi="Cambria Math" w:eastAsia="Cambria Math"/>
          <w:w w:val="105"/>
        </w:rPr>
        <w:t>𝑒</w:t>
      </w:r>
      <w:r>
        <w:rPr>
          <w:rFonts w:ascii="Cambria Math" w:hAnsi="Cambria Math" w:eastAsia="Cambria Math"/>
          <w:w w:val="105"/>
          <w:vertAlign w:val="superscript"/>
        </w:rPr>
        <w:t>−𝑡</w:t>
      </w:r>
      <w:r>
        <w:rPr>
          <w:rFonts w:ascii="Cambria Math" w:hAnsi="Cambria Math" w:eastAsia="Cambria Math"/>
          <w:w w:val="105"/>
          <w:position w:val="14"/>
          <w:sz w:val="13"/>
          <w:vertAlign w:val="baseline"/>
        </w:rPr>
        <w:t>2 </w:t>
      </w:r>
      <w:r>
        <w:rPr>
          <w:rFonts w:ascii="Cambria Math" w:hAnsi="Cambria Math" w:eastAsia="Cambria Math"/>
          <w:w w:val="105"/>
          <w:vertAlign w:val="baseline"/>
        </w:rPr>
        <w:t>𝑑𝑡 = 𝐸𝑅𝐹</w:t>
      </w:r>
      <w:r>
        <w:rPr>
          <w:rFonts w:ascii="Cambria Math" w:hAnsi="Cambria Math" w:eastAsia="Cambria Math"/>
          <w:w w:val="105"/>
          <w:position w:val="1"/>
          <w:vertAlign w:val="baseline"/>
        </w:rPr>
        <w:t>(</w:t>
      </w:r>
      <w:r>
        <w:rPr>
          <w:rFonts w:ascii="Cambria Math" w:hAnsi="Cambria Math" w:eastAsia="Cambria Math"/>
          <w:w w:val="105"/>
          <w:vertAlign w:val="baseline"/>
        </w:rPr>
        <w:t>𝑏</w:t>
      </w:r>
      <w:r>
        <w:rPr>
          <w:rFonts w:ascii="Cambria Math" w:hAnsi="Cambria Math" w:eastAsia="Cambria Math"/>
          <w:w w:val="105"/>
          <w:position w:val="1"/>
          <w:vertAlign w:val="baseline"/>
        </w:rPr>
        <w:t>) </w:t>
      </w:r>
      <w:r>
        <w:rPr>
          <w:rFonts w:ascii="Cambria Math" w:hAnsi="Cambria Math" w:eastAsia="Cambria Math"/>
          <w:w w:val="105"/>
          <w:vertAlign w:val="baseline"/>
        </w:rPr>
        <w:t>− 𝐸𝑅𝐹</w:t>
      </w:r>
      <w:r>
        <w:rPr>
          <w:rFonts w:ascii="Cambria Math" w:hAnsi="Cambria Math" w:eastAsia="Cambria Math"/>
          <w:w w:val="105"/>
          <w:position w:val="1"/>
          <w:vertAlign w:val="baseline"/>
        </w:rPr>
        <w:t>(</w:t>
      </w:r>
      <w:r>
        <w:rPr>
          <w:rFonts w:ascii="Cambria Math" w:hAnsi="Cambria Math" w:eastAsia="Cambria Math"/>
          <w:w w:val="105"/>
          <w:vertAlign w:val="baseline"/>
        </w:rPr>
        <w:t>𝑎</w:t>
      </w:r>
      <w:r>
        <w:rPr>
          <w:rFonts w:ascii="Cambria Math" w:hAnsi="Cambria Math" w:eastAsia="Cambria Math"/>
          <w:w w:val="105"/>
          <w:position w:val="1"/>
          <w:vertAlign w:val="baseline"/>
        </w:rPr>
        <w:t>)</w:t>
      </w:r>
    </w:p>
    <w:p>
      <w:pPr>
        <w:spacing w:before="109"/>
        <w:ind w:left="1" w:right="0" w:firstLine="0"/>
        <w:jc w:val="left"/>
        <w:rPr>
          <w:rFonts w:ascii="Cambria Math" w:eastAsia="Cambria Math"/>
          <w:sz w:val="16"/>
        </w:rPr>
      </w:pPr>
      <w:r>
        <w:rPr>
          <w:rFonts w:ascii="Cambria Math" w:eastAsia="Cambria Math"/>
          <w:w w:val="115"/>
          <w:sz w:val="16"/>
        </w:rPr>
        <w:t>𝑎</w:t>
      </w:r>
    </w:p>
    <w:p>
      <w:pPr>
        <w:spacing w:after="0"/>
        <w:jc w:val="left"/>
        <w:rPr>
          <w:rFonts w:ascii="Cambria Math" w:eastAsia="Cambria Math"/>
          <w:sz w:val="16"/>
        </w:rPr>
        <w:sectPr>
          <w:type w:val="continuous"/>
          <w:pgSz w:w="12240" w:h="15840"/>
          <w:pgMar w:top="1340" w:bottom="940" w:left="860" w:right="700"/>
          <w:cols w:num="2" w:equalWidth="0">
            <w:col w:w="1768" w:space="40"/>
            <w:col w:w="8872"/>
          </w:cols>
        </w:sectPr>
      </w:pPr>
    </w:p>
    <w:p>
      <w:pPr>
        <w:pStyle w:val="BodyText"/>
        <w:spacing w:before="4"/>
        <w:rPr>
          <w:rFonts w:ascii="Cambria Math"/>
          <w:sz w:val="12"/>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b </w:t>
      </w:r>
      <w:r>
        <w:rPr>
          <w:sz w:val="22"/>
        </w:rPr>
        <w:t>= argument</w:t>
      </w:r>
      <w:r>
        <w:rPr>
          <w:spacing w:val="-5"/>
          <w:sz w:val="22"/>
        </w:rPr>
        <w:t> </w:t>
      </w:r>
      <w:r>
        <w:rPr>
          <w:rFonts w:ascii="Times New Roman" w:hAnsi="Times New Roman"/>
          <w:i/>
          <w:sz w:val="22"/>
        </w:rPr>
        <w:t>upper-bound</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a </w:t>
      </w:r>
      <w:r>
        <w:rPr>
          <w:sz w:val="22"/>
        </w:rPr>
        <w:t>= argument </w:t>
      </w:r>
      <w:r>
        <w:rPr>
          <w:rFonts w:ascii="Times New Roman" w:hAnsi="Times New Roman"/>
          <w:i/>
          <w:sz w:val="22"/>
        </w:rPr>
        <w:t>lower-bound</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13" w:right="109"/>
              <w:jc w:val="center"/>
              <w:rPr>
                <w:rFonts w:ascii="Times New Roman"/>
                <w:i/>
                <w:sz w:val="22"/>
              </w:rPr>
            </w:pPr>
            <w:r>
              <w:rPr>
                <w:rFonts w:ascii="Times New Roman"/>
                <w:i/>
                <w:sz w:val="22"/>
              </w:rPr>
              <w:t>lower-bound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lower bound for integrating </w:t>
            </w:r>
            <w:r>
              <w:rPr>
                <w:rFonts w:ascii="Consolas"/>
                <w:sz w:val="22"/>
              </w:rPr>
              <w:t>ERF</w:t>
            </w:r>
            <w:r>
              <w:rPr>
                <w:sz w:val="22"/>
              </w:rPr>
              <w:t>.</w:t>
            </w:r>
          </w:p>
        </w:tc>
      </w:tr>
      <w:tr>
        <w:trPr>
          <w:trHeight w:val="892" w:hRule="atLeast"/>
        </w:trPr>
        <w:tc>
          <w:tcPr>
            <w:tcW w:w="1466" w:type="dxa"/>
          </w:tcPr>
          <w:p>
            <w:pPr>
              <w:pStyle w:val="TableParagraph"/>
              <w:spacing w:before="37"/>
              <w:ind w:left="25" w:right="109"/>
              <w:jc w:val="center"/>
              <w:rPr>
                <w:rFonts w:ascii="Times New Roman"/>
                <w:i/>
                <w:sz w:val="22"/>
              </w:rPr>
            </w:pPr>
            <w:r>
              <w:rPr>
                <w:rFonts w:ascii="Times New Roman"/>
                <w:i/>
                <w:sz w:val="22"/>
              </w:rPr>
              <w:t>upper-bound</w:t>
            </w:r>
          </w:p>
        </w:tc>
        <w:tc>
          <w:tcPr>
            <w:tcW w:w="1800" w:type="dxa"/>
          </w:tcPr>
          <w:p>
            <w:pPr>
              <w:pStyle w:val="TableParagraph"/>
              <w:ind w:left="112"/>
              <w:rPr>
                <w:sz w:val="22"/>
              </w:rPr>
            </w:pPr>
            <w:r>
              <w:rPr>
                <w:sz w:val="22"/>
              </w:rPr>
              <w:t>number</w:t>
            </w:r>
          </w:p>
        </w:tc>
        <w:tc>
          <w:tcPr>
            <w:tcW w:w="5400" w:type="dxa"/>
          </w:tcPr>
          <w:p>
            <w:pPr>
              <w:pStyle w:val="TableParagraph"/>
              <w:ind w:left="113" w:right="274"/>
              <w:rPr>
                <w:sz w:val="22"/>
              </w:rPr>
            </w:pPr>
            <w:r>
              <w:rPr>
                <w:sz w:val="22"/>
              </w:rPr>
              <w:t>The upper bound for integrating </w:t>
            </w:r>
            <w:r>
              <w:rPr>
                <w:rFonts w:ascii="Consolas"/>
                <w:sz w:val="22"/>
              </w:rPr>
              <w:t>ERF</w:t>
            </w:r>
            <w:r>
              <w:rPr>
                <w:sz w:val="22"/>
              </w:rPr>
              <w:t>. If omitted, the value of the upper bound is </w:t>
            </w:r>
            <w:r>
              <w:rPr>
                <w:rFonts w:ascii="Times New Roman"/>
                <w:i/>
                <w:sz w:val="22"/>
              </w:rPr>
              <w:t>lower-bound</w:t>
            </w:r>
            <w:r>
              <w:rPr>
                <w:sz w:val="22"/>
              </w:rPr>
              <w:t>, and the lower bound becomes zero.</w:t>
            </w:r>
          </w:p>
        </w:tc>
      </w:tr>
    </w:tbl>
    <w:p>
      <w:pPr>
        <w:pStyle w:val="BodyText"/>
        <w:rPr>
          <w:b/>
        </w:rPr>
      </w:pPr>
    </w:p>
    <w:p>
      <w:pPr>
        <w:pStyle w:val="BodyText"/>
        <w:spacing w:before="7"/>
        <w:rPr>
          <w:b/>
          <w:sz w:val="19"/>
        </w:rPr>
      </w:pPr>
    </w:p>
    <w:p>
      <w:pPr>
        <w:spacing w:line="456" w:lineRule="auto" w:before="0"/>
        <w:ind w:left="220" w:right="503" w:firstLine="0"/>
        <w:jc w:val="left"/>
        <w:rPr>
          <w:sz w:val="22"/>
        </w:rPr>
      </w:pPr>
      <w:r>
        <w:rPr>
          <w:b/>
          <w:sz w:val="22"/>
        </w:rPr>
        <w:t>Return Type and Value: </w:t>
      </w:r>
      <w:r>
        <w:rPr>
          <w:sz w:val="22"/>
        </w:rPr>
        <w:t>number – The error function integrated between </w:t>
      </w:r>
      <w:r>
        <w:rPr>
          <w:rFonts w:ascii="Times New Roman" w:hAnsi="Times New Roman"/>
          <w:i/>
          <w:sz w:val="22"/>
        </w:rPr>
        <w:t>lower-bound </w:t>
      </w:r>
      <w:r>
        <w:rPr>
          <w:sz w:val="22"/>
        </w:rPr>
        <w:t>and</w:t>
      </w:r>
      <w:r>
        <w:rPr>
          <w:spacing w:val="-29"/>
          <w:sz w:val="22"/>
        </w:rPr>
        <w:t> </w:t>
      </w:r>
      <w:r>
        <w:rPr>
          <w:rFonts w:ascii="Times New Roman" w:hAnsi="Times New Roman"/>
          <w:i/>
          <w:sz w:val="22"/>
        </w:rPr>
        <w:t>upper-bound</w:t>
      </w:r>
      <w:r>
        <w:rPr>
          <w:sz w:val="22"/>
        </w:rPr>
        <w:t>.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lower-bound </w:t>
      </w:r>
      <w:r>
        <w:rPr>
          <w:sz w:val="22"/>
        </w:rPr>
        <w:t>is negative,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5800" w:firstLine="360"/>
        <w:jc w:val="left"/>
        <w:rPr>
          <w:sz w:val="22"/>
        </w:rPr>
      </w:pPr>
      <w:r>
        <w:rPr>
          <w:rFonts w:ascii="Times New Roman" w:hAnsi="Times New Roman"/>
          <w:i/>
          <w:sz w:val="22"/>
        </w:rPr>
        <w:t>upper-bound </w:t>
      </w:r>
      <w:r>
        <w:rPr>
          <w:sz w:val="22"/>
        </w:rPr>
        <w:t>is negative, </w:t>
      </w:r>
      <w:r>
        <w:rPr>
          <w:rFonts w:ascii="Consolas" w:hAnsi="Consolas"/>
          <w:sz w:val="22"/>
        </w:rPr>
        <w:t>#NUM!</w:t>
      </w:r>
      <w:r>
        <w:rPr>
          <w:rFonts w:ascii="Consolas" w:hAnsi="Consolas"/>
          <w:spacing w:val="-84"/>
          <w:sz w:val="22"/>
        </w:rPr>
        <w:t> </w:t>
      </w:r>
      <w:r>
        <w:rPr>
          <w:sz w:val="22"/>
        </w:rPr>
        <w:t>is returned. [</w:t>
      </w:r>
      <w:r>
        <w:rPr>
          <w:i/>
          <w:sz w:val="22"/>
        </w:rPr>
        <w:t>Example</w:t>
      </w:r>
      <w:r>
        <w:rPr>
          <w:sz w:val="22"/>
        </w:rPr>
        <w:t>:</w:t>
      </w:r>
    </w:p>
    <w:p>
      <w:pPr>
        <w:pStyle w:val="BodyText"/>
        <w:spacing w:line="276" w:lineRule="auto" w:before="126"/>
        <w:ind w:left="220" w:right="6189"/>
        <w:rPr>
          <w:rFonts w:ascii="Consolas"/>
        </w:rPr>
      </w:pPr>
      <w:r>
        <w:rPr>
          <w:rFonts w:ascii="Consolas"/>
        </w:rPr>
        <w:t>ERF(1.234,4.5432) </w:t>
      </w:r>
      <w:r>
        <w:rPr/>
        <w:t>results in </w:t>
      </w:r>
      <w:r>
        <w:rPr>
          <w:rFonts w:ascii="Consolas"/>
        </w:rPr>
        <w:t>0.08096060 ERF(0,1.345) </w:t>
      </w:r>
      <w:r>
        <w:rPr/>
        <w:t>results in </w:t>
      </w:r>
      <w:r>
        <w:rPr>
          <w:rFonts w:ascii="Consolas"/>
        </w:rPr>
        <w:t>0.94284416 ERF(0,1.345) </w:t>
      </w:r>
      <w:r>
        <w:rPr/>
        <w:t>results in </w:t>
      </w:r>
      <w:r>
        <w:rPr>
          <w:rFonts w:ascii="Consolas"/>
        </w:rPr>
        <w:t>0.94284416</w:t>
      </w:r>
    </w:p>
    <w:p>
      <w:pPr>
        <w:pStyle w:val="BodyText"/>
        <w:spacing w:before="7"/>
        <w:rPr>
          <w:rFonts w:ascii="Consolas"/>
          <w:sz w:val="25"/>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09 ERFC" w:id="1719"/>
      <w:bookmarkEnd w:id="1719"/>
      <w:r>
        <w:rPr/>
      </w:r>
      <w:bookmarkStart w:name="_bookmark572" w:id="1720"/>
      <w:bookmarkEnd w:id="1720"/>
      <w:r>
        <w:rPr/>
      </w:r>
      <w:bookmarkStart w:name="_bookmark572" w:id="1721"/>
      <w:bookmarkEnd w:id="1721"/>
      <w:r>
        <w:rPr>
          <w:color w:val="4F81BC"/>
        </w:rPr>
        <w:t>E</w:t>
      </w:r>
      <w:r>
        <w:rPr>
          <w:color w:val="4F81BC"/>
        </w:rPr>
        <w:t>RFC</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ERFC ( </w:t>
      </w:r>
      <w:r>
        <w:rPr>
          <w:i/>
          <w:sz w:val="22"/>
        </w:rPr>
        <w:t>lower-bound </w:t>
      </w:r>
      <w:r>
        <w:rPr>
          <w:rFonts w:ascii="Lucida Console"/>
          <w:sz w:val="20"/>
        </w:rPr>
        <w:t>)</w:t>
      </w:r>
    </w:p>
    <w:p>
      <w:pPr>
        <w:spacing w:before="108"/>
        <w:ind w:left="220" w:right="0" w:firstLine="0"/>
        <w:jc w:val="left"/>
        <w:rPr>
          <w:sz w:val="22"/>
        </w:rPr>
      </w:pPr>
      <w:r>
        <w:rPr>
          <w:b/>
          <w:sz w:val="22"/>
        </w:rPr>
        <w:t>Description: </w:t>
      </w:r>
      <w:r>
        <w:rPr>
          <w:sz w:val="22"/>
        </w:rPr>
        <w:t>Computes the complementary error function integrated between </w:t>
      </w:r>
      <w:r>
        <w:rPr>
          <w:rFonts w:ascii="Times New Roman" w:hAnsi="Times New Roman"/>
          <w:i/>
          <w:sz w:val="22"/>
        </w:rPr>
        <w:t>lower-bound </w:t>
      </w:r>
      <w:r>
        <w:rPr>
          <w:sz w:val="22"/>
        </w:rPr>
        <w:t>and ∞.</w:t>
      </w:r>
    </w:p>
    <w:p>
      <w:pPr>
        <w:pStyle w:val="BodyText"/>
        <w:spacing w:before="8"/>
        <w:rPr>
          <w:sz w:val="19"/>
        </w:rPr>
      </w:pPr>
    </w:p>
    <w:p>
      <w:pPr>
        <w:pStyle w:val="Heading4"/>
        <w:spacing w:before="1"/>
        <w:rPr>
          <w:b w:val="0"/>
        </w:rPr>
      </w:pPr>
      <w:r>
        <w:rPr/>
        <w:t>Mathematical Formula</w:t>
      </w:r>
      <w:r>
        <w:rPr>
          <w:b w:val="0"/>
        </w:rPr>
        <w:t>:</w:t>
      </w:r>
    </w:p>
    <w:p>
      <w:pPr>
        <w:spacing w:after="0"/>
        <w:sectPr>
          <w:type w:val="continuous"/>
          <w:pgSz w:w="12240" w:h="15840"/>
          <w:pgMar w:top="1340" w:bottom="940" w:left="860" w:right="700"/>
        </w:sectPr>
      </w:pPr>
    </w:p>
    <w:p>
      <w:pPr>
        <w:pStyle w:val="BodyText"/>
        <w:spacing w:before="5"/>
        <w:rPr>
          <w:sz w:val="19"/>
        </w:rPr>
      </w:pPr>
    </w:p>
    <w:p>
      <w:pPr>
        <w:pStyle w:val="BodyText"/>
        <w:spacing w:line="208" w:lineRule="exact" w:before="1"/>
        <w:ind w:left="1475"/>
        <w:rPr>
          <w:rFonts w:ascii="Cambria Math"/>
        </w:rPr>
      </w:pPr>
      <w:r>
        <w:rPr>
          <w:rFonts w:ascii="Cambria Math"/>
          <w:w w:val="100"/>
        </w:rPr>
        <w:t>2</w:t>
      </w:r>
    </w:p>
    <w:p>
      <w:pPr>
        <w:pStyle w:val="BodyText"/>
        <w:spacing w:line="175" w:lineRule="exact"/>
        <w:ind w:left="220"/>
        <w:rPr>
          <w:rFonts w:ascii="Cambria Math" w:eastAsia="Cambria Math"/>
        </w:rPr>
      </w:pPr>
      <w:r>
        <w:rPr/>
        <w:pict>
          <v:group style="position:absolute;margin-left:112.82pt;margin-top:4.974165pt;width:14.05pt;height:3.6pt;mso-position-horizontal-relative:page;mso-position-vertical-relative:paragraph;z-index:251762688" coordorigin="2256,99" coordsize="281,72">
            <v:rect style="position:absolute;left:2400;top:157;width:135;height:15" filled="true" fillcolor="#000000" stroked="false">
              <v:fill type="solid"/>
            </v:rect>
            <v:line style="position:absolute" from="2256,107" to="2537,107" stroked="true" strokeweight=".72pt" strokecolor="#000000">
              <v:stroke dashstyle="solid"/>
            </v:line>
            <w10:wrap type="none"/>
          </v:group>
        </w:pict>
      </w:r>
      <w:r>
        <w:rPr>
          <w:rFonts w:ascii="Cambria Math" w:eastAsia="Cambria Math"/>
        </w:rPr>
        <w:t>𝐸𝑅𝐹C</w:t>
      </w:r>
      <w:r>
        <w:rPr>
          <w:rFonts w:ascii="Cambria Math" w:eastAsia="Cambria Math"/>
          <w:position w:val="1"/>
        </w:rPr>
        <w:t>(</w:t>
      </w:r>
      <w:r>
        <w:rPr>
          <w:rFonts w:ascii="Cambria Math" w:eastAsia="Cambria Math"/>
        </w:rPr>
        <w:t>𝑥</w:t>
      </w:r>
      <w:r>
        <w:rPr>
          <w:rFonts w:ascii="Cambria Math" w:eastAsia="Cambria Math"/>
          <w:position w:val="1"/>
        </w:rPr>
        <w:t>) </w:t>
      </w:r>
      <w:r>
        <w:rPr>
          <w:rFonts w:ascii="Cambria Math" w:eastAsia="Cambria Math"/>
        </w:rPr>
        <w:t>=</w:t>
      </w:r>
    </w:p>
    <w:p>
      <w:pPr>
        <w:pStyle w:val="BodyText"/>
        <w:spacing w:line="235" w:lineRule="exact"/>
        <w:ind w:left="1396"/>
        <w:rPr>
          <w:rFonts w:ascii="Cambria Math" w:hAnsi="Cambria Math" w:eastAsia="Cambria Math"/>
        </w:rPr>
      </w:pPr>
      <w:r>
        <w:rPr>
          <w:rFonts w:ascii="Cambria Math" w:hAnsi="Cambria Math" w:eastAsia="Cambria Math"/>
        </w:rPr>
        <w:t>√</w:t>
      </w:r>
      <w:r>
        <w:rPr>
          <w:rFonts w:ascii="Cambria Math" w:hAnsi="Cambria Math" w:eastAsia="Cambria Math"/>
          <w:position w:val="2"/>
        </w:rPr>
        <w:t>𝜋</w:t>
      </w:r>
    </w:p>
    <w:p>
      <w:pPr>
        <w:spacing w:before="109"/>
        <w:ind w:left="57" w:right="0" w:firstLine="0"/>
        <w:jc w:val="left"/>
        <w:rPr>
          <w:rFonts w:ascii="Cambria Math" w:hAnsi="Cambria Math"/>
          <w:sz w:val="16"/>
        </w:rPr>
      </w:pPr>
      <w:r>
        <w:rPr/>
        <w:br w:type="column"/>
      </w:r>
      <w:r>
        <w:rPr>
          <w:rFonts w:ascii="Cambria Math" w:hAnsi="Cambria Math"/>
          <w:w w:val="110"/>
          <w:sz w:val="16"/>
        </w:rPr>
        <w:t>∞</w:t>
      </w:r>
    </w:p>
    <w:p>
      <w:pPr>
        <w:pStyle w:val="BodyText"/>
        <w:spacing w:before="54"/>
        <w:ind w:left="1"/>
        <w:rPr>
          <w:rFonts w:ascii="Cambria Math" w:hAnsi="Cambria Math" w:eastAsia="Cambria Math"/>
        </w:rPr>
      </w:pPr>
      <w:r>
        <w:rPr>
          <w:rFonts w:ascii="Cambria Math" w:hAnsi="Cambria Math" w:eastAsia="Cambria Math"/>
          <w:w w:val="110"/>
        </w:rPr>
        <w:t>∫ </w:t>
      </w:r>
      <w:r>
        <w:rPr>
          <w:rFonts w:ascii="Cambria Math" w:hAnsi="Cambria Math" w:eastAsia="Cambria Math"/>
          <w:w w:val="105"/>
        </w:rPr>
        <w:t>𝑒</w:t>
      </w:r>
      <w:r>
        <w:rPr>
          <w:rFonts w:ascii="Cambria Math" w:hAnsi="Cambria Math" w:eastAsia="Cambria Math"/>
          <w:w w:val="105"/>
          <w:vertAlign w:val="superscript"/>
        </w:rPr>
        <w:t>−𝑡</w:t>
      </w:r>
      <w:r>
        <w:rPr>
          <w:rFonts w:ascii="Cambria Math" w:hAnsi="Cambria Math" w:eastAsia="Cambria Math"/>
          <w:w w:val="105"/>
          <w:position w:val="14"/>
          <w:sz w:val="13"/>
          <w:vertAlign w:val="baseline"/>
        </w:rPr>
        <w:t>2 </w:t>
      </w:r>
      <w:r>
        <w:rPr>
          <w:rFonts w:ascii="Cambria Math" w:hAnsi="Cambria Math" w:eastAsia="Cambria Math"/>
          <w:w w:val="105"/>
          <w:vertAlign w:val="baseline"/>
        </w:rPr>
        <w:t>𝑑𝑡 = 1 − 𝐸𝑅𝐹</w:t>
      </w:r>
      <w:r>
        <w:rPr>
          <w:rFonts w:ascii="Cambria Math" w:hAnsi="Cambria Math" w:eastAsia="Cambria Math"/>
          <w:w w:val="105"/>
          <w:position w:val="1"/>
          <w:vertAlign w:val="baseline"/>
        </w:rPr>
        <w:t>(</w:t>
      </w:r>
      <w:r>
        <w:rPr>
          <w:rFonts w:ascii="Cambria Math" w:hAnsi="Cambria Math" w:eastAsia="Cambria Math"/>
          <w:w w:val="105"/>
          <w:vertAlign w:val="baseline"/>
        </w:rPr>
        <w:t>𝑥</w:t>
      </w:r>
      <w:r>
        <w:rPr>
          <w:rFonts w:ascii="Cambria Math" w:hAnsi="Cambria Math" w:eastAsia="Cambria Math"/>
          <w:w w:val="105"/>
          <w:position w:val="1"/>
          <w:vertAlign w:val="baseline"/>
        </w:rPr>
        <w:t>)</w:t>
      </w:r>
    </w:p>
    <w:p>
      <w:pPr>
        <w:spacing w:before="109"/>
        <w:ind w:left="1" w:right="0" w:firstLine="0"/>
        <w:jc w:val="left"/>
        <w:rPr>
          <w:rFonts w:ascii="Cambria Math" w:eastAsia="Cambria Math"/>
          <w:sz w:val="16"/>
        </w:rPr>
      </w:pPr>
      <w:r>
        <w:rPr>
          <w:rFonts w:ascii="Cambria Math" w:eastAsia="Cambria Math"/>
          <w:w w:val="110"/>
          <w:sz w:val="16"/>
        </w:rPr>
        <w:t>𝑥</w:t>
      </w:r>
    </w:p>
    <w:p>
      <w:pPr>
        <w:spacing w:after="0"/>
        <w:jc w:val="left"/>
        <w:rPr>
          <w:rFonts w:ascii="Cambria Math" w:eastAsia="Cambria Math"/>
          <w:sz w:val="16"/>
        </w:rPr>
        <w:sectPr>
          <w:pgSz w:w="12240" w:h="15840"/>
          <w:pgMar w:header="763" w:footer="746" w:top="1340" w:bottom="940" w:left="860" w:right="700"/>
          <w:cols w:num="2" w:equalWidth="0">
            <w:col w:w="1672" w:space="39"/>
            <w:col w:w="8969"/>
          </w:cols>
        </w:sectPr>
      </w:pPr>
    </w:p>
    <w:p>
      <w:pPr>
        <w:pStyle w:val="BodyText"/>
        <w:spacing w:before="4"/>
        <w:rPr>
          <w:rFonts w:ascii="Cambria Math"/>
          <w:sz w:val="12"/>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8"/>
          <w:sz w:val="22"/>
        </w:rPr>
        <w:t> </w:t>
      </w:r>
      <w:r>
        <w:rPr>
          <w:rFonts w:ascii="Times New Roman" w:hAnsi="Times New Roman"/>
          <w:i/>
          <w:sz w:val="22"/>
        </w:rPr>
        <w:t>lower-bound</w:t>
      </w:r>
    </w:p>
    <w:p>
      <w:pPr>
        <w:pStyle w:val="Heading4"/>
        <w:spacing w:before="243"/>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13" w:right="109"/>
              <w:jc w:val="center"/>
              <w:rPr>
                <w:rFonts w:ascii="Times New Roman"/>
                <w:i/>
                <w:sz w:val="22"/>
              </w:rPr>
            </w:pPr>
            <w:r>
              <w:rPr>
                <w:rFonts w:ascii="Times New Roman"/>
                <w:i/>
                <w:sz w:val="22"/>
              </w:rPr>
              <w:t>lower-bound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lower bound for integrating </w:t>
            </w:r>
            <w:r>
              <w:rPr>
                <w:rFonts w:ascii="Consolas"/>
                <w:sz w:val="22"/>
              </w:rPr>
              <w:t>ERFC</w:t>
            </w:r>
            <w:r>
              <w:rPr>
                <w:sz w:val="22"/>
              </w:rPr>
              <w:t>.</w:t>
            </w:r>
          </w:p>
        </w:tc>
      </w:tr>
    </w:tbl>
    <w:p>
      <w:pPr>
        <w:pStyle w:val="BodyText"/>
        <w:rPr>
          <w:b/>
        </w:rPr>
      </w:pPr>
    </w:p>
    <w:p>
      <w:pPr>
        <w:pStyle w:val="BodyText"/>
        <w:spacing w:before="8"/>
        <w:rPr>
          <w:b/>
          <w:sz w:val="19"/>
        </w:rPr>
      </w:pPr>
    </w:p>
    <w:p>
      <w:pPr>
        <w:spacing w:before="0"/>
        <w:ind w:left="220" w:right="0" w:firstLine="0"/>
        <w:jc w:val="left"/>
        <w:rPr>
          <w:sz w:val="22"/>
        </w:rPr>
      </w:pPr>
      <w:r>
        <w:rPr>
          <w:b/>
          <w:sz w:val="22"/>
        </w:rPr>
        <w:t>Return Type and Value: </w:t>
      </w:r>
      <w:r>
        <w:rPr>
          <w:sz w:val="22"/>
        </w:rPr>
        <w:t>number – The complementary error function integrated between </w:t>
      </w:r>
      <w:r>
        <w:rPr>
          <w:rFonts w:ascii="Times New Roman" w:hAnsi="Times New Roman"/>
          <w:i/>
          <w:sz w:val="22"/>
        </w:rPr>
        <w:t>lower-bound </w:t>
      </w:r>
      <w:r>
        <w:rPr>
          <w:sz w:val="22"/>
        </w:rPr>
        <w:t>and ∞.</w:t>
      </w:r>
    </w:p>
    <w:p>
      <w:pPr>
        <w:pStyle w:val="BodyText"/>
        <w:spacing w:before="8"/>
        <w:rPr>
          <w:sz w:val="19"/>
        </w:rPr>
      </w:pPr>
    </w:p>
    <w:p>
      <w:pPr>
        <w:spacing w:before="0"/>
        <w:ind w:left="220" w:right="0" w:firstLine="0"/>
        <w:jc w:val="left"/>
        <w:rPr>
          <w:sz w:val="22"/>
        </w:rPr>
      </w:pPr>
      <w:r>
        <w:rPr>
          <w:sz w:val="22"/>
        </w:rPr>
        <w:t>However, if </w:t>
      </w:r>
      <w:r>
        <w:rPr>
          <w:rFonts w:ascii="Times New Roman"/>
          <w:i/>
          <w:sz w:val="22"/>
        </w:rPr>
        <w:t>lower-bound </w:t>
      </w:r>
      <w:r>
        <w:rPr>
          <w:sz w:val="22"/>
        </w:rPr>
        <w:t>is negative</w:t>
      </w:r>
    </w:p>
    <w:p>
      <w:pPr>
        <w:pStyle w:val="BodyText"/>
        <w:spacing w:before="8"/>
        <w:rPr>
          <w:sz w:val="19"/>
        </w:rPr>
      </w:pPr>
    </w:p>
    <w:p>
      <w:pPr>
        <w:spacing w:line="453" w:lineRule="auto" w:before="1"/>
        <w:ind w:left="220" w:right="4547" w:firstLine="0"/>
        <w:jc w:val="left"/>
        <w:rPr>
          <w:sz w:val="22"/>
        </w:rPr>
      </w:pPr>
      <w:r>
        <w:rPr>
          <w:rFonts w:ascii="Times New Roman"/>
          <w:i/>
          <w:sz w:val="22"/>
        </w:rPr>
        <w:t>lower-bound </w:t>
      </w:r>
      <w:r>
        <w:rPr>
          <w:sz w:val="22"/>
        </w:rPr>
        <w:t>or </w:t>
      </w:r>
      <w:r>
        <w:rPr>
          <w:rFonts w:ascii="Times New Roman"/>
          <w:i/>
          <w:sz w:val="22"/>
        </w:rPr>
        <w:t>upper-bound </w:t>
      </w:r>
      <w:r>
        <w:rPr>
          <w:sz w:val="22"/>
        </w:rPr>
        <w:t>is negative, </w:t>
      </w:r>
      <w:r>
        <w:rPr>
          <w:rFonts w:ascii="Consolas"/>
          <w:sz w:val="22"/>
        </w:rPr>
        <w:t>#NUM!</w:t>
      </w:r>
      <w:r>
        <w:rPr>
          <w:rFonts w:ascii="Consolas"/>
          <w:spacing w:val="-98"/>
          <w:sz w:val="22"/>
        </w:rPr>
        <w:t> </w:t>
      </w:r>
      <w:r>
        <w:rPr>
          <w:sz w:val="22"/>
        </w:rPr>
        <w:t>is returned. [</w:t>
      </w:r>
      <w:r>
        <w:rPr>
          <w:i/>
          <w:sz w:val="22"/>
        </w:rPr>
        <w:t>Example</w:t>
      </w:r>
      <w:r>
        <w:rPr>
          <w:sz w:val="22"/>
        </w:rPr>
        <w:t>:</w:t>
      </w:r>
    </w:p>
    <w:p>
      <w:pPr>
        <w:pStyle w:val="BodyText"/>
        <w:spacing w:line="273" w:lineRule="auto" w:before="110"/>
        <w:ind w:left="220" w:right="6915"/>
        <w:rPr>
          <w:rFonts w:ascii="Consolas"/>
        </w:rPr>
      </w:pPr>
      <w:r>
        <w:rPr>
          <w:rFonts w:ascii="Consolas"/>
        </w:rPr>
        <w:t>ERFC(1.234) </w:t>
      </w:r>
      <w:r>
        <w:rPr/>
        <w:t>results in </w:t>
      </w:r>
      <w:r>
        <w:rPr>
          <w:rFonts w:ascii="Consolas"/>
        </w:rPr>
        <w:t>0.08096060 ERFC(0) </w:t>
      </w:r>
      <w:r>
        <w:rPr/>
        <w:t>results in </w:t>
      </w:r>
      <w:r>
        <w:rPr>
          <w:rFonts w:ascii="Consolas"/>
        </w:rPr>
        <w:t>1.00000000</w:t>
      </w:r>
    </w:p>
    <w:p>
      <w:pPr>
        <w:pStyle w:val="BodyText"/>
        <w:spacing w:before="9"/>
        <w:rPr>
          <w:rFonts w:ascii="Consolas"/>
          <w:sz w:val="25"/>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0 ERROR.TYPE" w:id="1722"/>
      <w:bookmarkEnd w:id="1722"/>
      <w:r>
        <w:rPr/>
      </w:r>
      <w:bookmarkStart w:name="_bookmark573" w:id="1723"/>
      <w:bookmarkEnd w:id="1723"/>
      <w:r>
        <w:rPr/>
      </w:r>
      <w:bookmarkStart w:name="_bookmark573" w:id="1724"/>
      <w:bookmarkEnd w:id="1724"/>
      <w:r>
        <w:rPr>
          <w:color w:val="4F81BC"/>
        </w:rPr>
        <w:t>E</w:t>
      </w:r>
      <w:r>
        <w:rPr>
          <w:color w:val="4F81BC"/>
        </w:rPr>
        <w:t>RROR.TYPE</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ERROR.TYPE ( </w:t>
      </w:r>
      <w:r>
        <w:rPr>
          <w:i/>
          <w:sz w:val="22"/>
        </w:rPr>
        <w:t>value </w:t>
      </w:r>
      <w:r>
        <w:rPr>
          <w:rFonts w:ascii="Lucida Console"/>
          <w:sz w:val="20"/>
        </w:rPr>
        <w:t>)</w:t>
      </w:r>
    </w:p>
    <w:p>
      <w:pPr>
        <w:spacing w:before="109"/>
        <w:ind w:left="220" w:right="0" w:firstLine="0"/>
        <w:jc w:val="left"/>
        <w:rPr>
          <w:sz w:val="22"/>
        </w:rPr>
      </w:pPr>
      <w:r>
        <w:rPr>
          <w:b/>
          <w:sz w:val="22"/>
        </w:rPr>
        <w:t>Description: </w:t>
      </w:r>
      <w:r>
        <w:rPr>
          <w:sz w:val="22"/>
        </w:rPr>
        <w:t>Determines the kind of the error value designated by </w:t>
      </w:r>
      <w:r>
        <w:rPr>
          <w:rFonts w:ascii="Times New Roman"/>
          <w:i/>
          <w:sz w:val="22"/>
        </w:rPr>
        <w:t>value</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Pr>
                <w:sz w:val="22"/>
              </w:rPr>
            </w:pPr>
            <w:r>
              <w:rPr>
                <w:sz w:val="22"/>
              </w:rPr>
              <w:t>A value whose type is to be determined. No conversion shall take place on the argument passed to this function.</w:t>
            </w:r>
          </w:p>
        </w:tc>
      </w:tr>
    </w:tbl>
    <w:p>
      <w:pPr>
        <w:pStyle w:val="BodyText"/>
        <w:rPr>
          <w:b/>
        </w:rPr>
      </w:pPr>
    </w:p>
    <w:p>
      <w:pPr>
        <w:pStyle w:val="BodyText"/>
        <w:spacing w:before="8"/>
        <w:rPr>
          <w:b/>
          <w:sz w:val="19"/>
        </w:rPr>
      </w:pPr>
    </w:p>
    <w:p>
      <w:pPr>
        <w:spacing w:before="0"/>
        <w:ind w:left="220" w:right="0" w:firstLine="0"/>
        <w:jc w:val="left"/>
        <w:rPr>
          <w:sz w:val="22"/>
        </w:rPr>
      </w:pPr>
      <w:r>
        <w:rPr>
          <w:b/>
          <w:sz w:val="22"/>
        </w:rPr>
        <w:t>Return Type and Value: </w:t>
      </w:r>
      <w:r>
        <w:rPr>
          <w:sz w:val="22"/>
        </w:rPr>
        <w:t>number – The kind of the error value designated by </w:t>
      </w:r>
      <w:r>
        <w:rPr>
          <w:rFonts w:ascii="Times New Roman" w:hAnsi="Times New Roman"/>
          <w:i/>
          <w:sz w:val="22"/>
        </w:rPr>
        <w:t>value</w:t>
      </w:r>
      <w:r>
        <w:rPr>
          <w:sz w:val="22"/>
        </w:rPr>
        <w:t>, as follows:</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6"/>
        <w:gridCol w:w="1416"/>
      </w:tblGrid>
      <w:tr>
        <w:trPr>
          <w:trHeight w:val="621" w:hRule="atLeast"/>
        </w:trPr>
        <w:tc>
          <w:tcPr>
            <w:tcW w:w="2006" w:type="dxa"/>
            <w:shd w:val="clear" w:color="auto" w:fill="C0C0C0"/>
          </w:tcPr>
          <w:p>
            <w:pPr>
              <w:pStyle w:val="TableParagraph"/>
              <w:spacing w:before="41"/>
              <w:ind w:left="739" w:right="728"/>
              <w:jc w:val="center"/>
              <w:rPr>
                <w:rFonts w:ascii="Times New Roman"/>
                <w:b/>
                <w:i/>
                <w:sz w:val="22"/>
              </w:rPr>
            </w:pPr>
            <w:r>
              <w:rPr>
                <w:rFonts w:ascii="Times New Roman"/>
                <w:b/>
                <w:i/>
                <w:sz w:val="22"/>
              </w:rPr>
              <w:t>value</w:t>
            </w:r>
          </w:p>
        </w:tc>
        <w:tc>
          <w:tcPr>
            <w:tcW w:w="1416" w:type="dxa"/>
            <w:shd w:val="clear" w:color="auto" w:fill="C0C0C0"/>
          </w:tcPr>
          <w:p>
            <w:pPr>
              <w:pStyle w:val="TableParagraph"/>
              <w:ind w:left="447" w:right="366" w:hanging="53"/>
              <w:rPr>
                <w:b/>
                <w:sz w:val="22"/>
              </w:rPr>
            </w:pPr>
            <w:r>
              <w:rPr>
                <w:b/>
                <w:sz w:val="22"/>
              </w:rPr>
              <w:t>Return Value</w:t>
            </w:r>
          </w:p>
        </w:tc>
      </w:tr>
      <w:tr>
        <w:trPr>
          <w:trHeight w:val="357" w:hRule="atLeast"/>
        </w:trPr>
        <w:tc>
          <w:tcPr>
            <w:tcW w:w="2006" w:type="dxa"/>
          </w:tcPr>
          <w:p>
            <w:pPr>
              <w:pStyle w:val="TableParagraph"/>
              <w:spacing w:before="44"/>
              <w:rPr>
                <w:rFonts w:ascii="Consolas"/>
                <w:sz w:val="22"/>
              </w:rPr>
            </w:pPr>
            <w:r>
              <w:rPr>
                <w:rFonts w:ascii="Consolas"/>
                <w:sz w:val="22"/>
              </w:rPr>
              <w:t>#NULL!</w:t>
            </w:r>
          </w:p>
        </w:tc>
        <w:tc>
          <w:tcPr>
            <w:tcW w:w="1416" w:type="dxa"/>
          </w:tcPr>
          <w:p>
            <w:pPr>
              <w:pStyle w:val="TableParagraph"/>
              <w:spacing w:before="42"/>
              <w:ind w:left="112"/>
              <w:rPr>
                <w:sz w:val="22"/>
              </w:rPr>
            </w:pPr>
            <w:r>
              <w:rPr>
                <w:w w:val="100"/>
                <w:sz w:val="22"/>
              </w:rPr>
              <w:t>1</w:t>
            </w:r>
          </w:p>
        </w:tc>
      </w:tr>
    </w:tbl>
    <w:p>
      <w:pPr>
        <w:spacing w:after="0"/>
        <w:rPr>
          <w:sz w:val="22"/>
        </w:rPr>
        <w:sectPr>
          <w:type w:val="continuous"/>
          <w:pgSz w:w="12240" w:h="15840"/>
          <w:pgMar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6"/>
        <w:gridCol w:w="1416"/>
      </w:tblGrid>
      <w:tr>
        <w:trPr>
          <w:trHeight w:val="623" w:hRule="atLeast"/>
        </w:trPr>
        <w:tc>
          <w:tcPr>
            <w:tcW w:w="2006" w:type="dxa"/>
            <w:shd w:val="clear" w:color="auto" w:fill="C0C0C0"/>
          </w:tcPr>
          <w:p>
            <w:pPr>
              <w:pStyle w:val="TableParagraph"/>
              <w:spacing w:before="41"/>
              <w:ind w:left="739" w:right="728"/>
              <w:jc w:val="center"/>
              <w:rPr>
                <w:rFonts w:ascii="Times New Roman"/>
                <w:b/>
                <w:i/>
                <w:sz w:val="22"/>
              </w:rPr>
            </w:pPr>
            <w:r>
              <w:rPr>
                <w:rFonts w:ascii="Times New Roman"/>
                <w:b/>
                <w:i/>
                <w:sz w:val="22"/>
              </w:rPr>
              <w:t>value</w:t>
            </w:r>
          </w:p>
        </w:tc>
        <w:tc>
          <w:tcPr>
            <w:tcW w:w="1416" w:type="dxa"/>
            <w:shd w:val="clear" w:color="auto" w:fill="C0C0C0"/>
          </w:tcPr>
          <w:p>
            <w:pPr>
              <w:pStyle w:val="TableParagraph"/>
              <w:ind w:left="447" w:right="366" w:hanging="53"/>
              <w:rPr>
                <w:b/>
                <w:sz w:val="22"/>
              </w:rPr>
            </w:pPr>
            <w:r>
              <w:rPr>
                <w:b/>
                <w:sz w:val="22"/>
              </w:rPr>
              <w:t>Return Value</w:t>
            </w:r>
          </w:p>
        </w:tc>
      </w:tr>
      <w:tr>
        <w:trPr>
          <w:trHeight w:val="354" w:hRule="atLeast"/>
        </w:trPr>
        <w:tc>
          <w:tcPr>
            <w:tcW w:w="2006" w:type="dxa"/>
          </w:tcPr>
          <w:p>
            <w:pPr>
              <w:pStyle w:val="TableParagraph"/>
              <w:spacing w:before="42"/>
              <w:rPr>
                <w:rFonts w:ascii="Consolas"/>
                <w:sz w:val="22"/>
              </w:rPr>
            </w:pPr>
            <w:r>
              <w:rPr>
                <w:rFonts w:ascii="Consolas"/>
                <w:sz w:val="22"/>
              </w:rPr>
              <w:t>#DIV/0!</w:t>
            </w:r>
          </w:p>
        </w:tc>
        <w:tc>
          <w:tcPr>
            <w:tcW w:w="1416" w:type="dxa"/>
          </w:tcPr>
          <w:p>
            <w:pPr>
              <w:pStyle w:val="TableParagraph"/>
              <w:ind w:left="112"/>
              <w:rPr>
                <w:sz w:val="22"/>
              </w:rPr>
            </w:pPr>
            <w:r>
              <w:rPr>
                <w:w w:val="100"/>
                <w:sz w:val="22"/>
              </w:rPr>
              <w:t>2</w:t>
            </w:r>
          </w:p>
        </w:tc>
      </w:tr>
      <w:tr>
        <w:trPr>
          <w:trHeight w:val="354" w:hRule="atLeast"/>
        </w:trPr>
        <w:tc>
          <w:tcPr>
            <w:tcW w:w="2006" w:type="dxa"/>
          </w:tcPr>
          <w:p>
            <w:pPr>
              <w:pStyle w:val="TableParagraph"/>
              <w:spacing w:before="42"/>
              <w:rPr>
                <w:rFonts w:ascii="Consolas"/>
                <w:sz w:val="22"/>
              </w:rPr>
            </w:pPr>
            <w:r>
              <w:rPr>
                <w:rFonts w:ascii="Consolas"/>
                <w:sz w:val="22"/>
              </w:rPr>
              <w:t>#VALUE!</w:t>
            </w:r>
          </w:p>
        </w:tc>
        <w:tc>
          <w:tcPr>
            <w:tcW w:w="1416" w:type="dxa"/>
          </w:tcPr>
          <w:p>
            <w:pPr>
              <w:pStyle w:val="TableParagraph"/>
              <w:ind w:left="112"/>
              <w:rPr>
                <w:sz w:val="22"/>
              </w:rPr>
            </w:pPr>
            <w:r>
              <w:rPr>
                <w:w w:val="100"/>
                <w:sz w:val="22"/>
              </w:rPr>
              <w:t>3</w:t>
            </w:r>
          </w:p>
        </w:tc>
      </w:tr>
      <w:tr>
        <w:trPr>
          <w:trHeight w:val="352" w:hRule="atLeast"/>
        </w:trPr>
        <w:tc>
          <w:tcPr>
            <w:tcW w:w="2006" w:type="dxa"/>
          </w:tcPr>
          <w:p>
            <w:pPr>
              <w:pStyle w:val="TableParagraph"/>
              <w:spacing w:before="42"/>
              <w:rPr>
                <w:rFonts w:ascii="Consolas"/>
                <w:sz w:val="22"/>
              </w:rPr>
            </w:pPr>
            <w:r>
              <w:rPr>
                <w:rFonts w:ascii="Consolas"/>
                <w:sz w:val="22"/>
              </w:rPr>
              <w:t>#REF!</w:t>
            </w:r>
          </w:p>
        </w:tc>
        <w:tc>
          <w:tcPr>
            <w:tcW w:w="1416" w:type="dxa"/>
          </w:tcPr>
          <w:p>
            <w:pPr>
              <w:pStyle w:val="TableParagraph"/>
              <w:ind w:left="112"/>
              <w:rPr>
                <w:sz w:val="22"/>
              </w:rPr>
            </w:pPr>
            <w:r>
              <w:rPr>
                <w:w w:val="100"/>
                <w:sz w:val="22"/>
              </w:rPr>
              <w:t>4</w:t>
            </w:r>
          </w:p>
        </w:tc>
      </w:tr>
      <w:tr>
        <w:trPr>
          <w:trHeight w:val="354" w:hRule="atLeast"/>
        </w:trPr>
        <w:tc>
          <w:tcPr>
            <w:tcW w:w="2006" w:type="dxa"/>
          </w:tcPr>
          <w:p>
            <w:pPr>
              <w:pStyle w:val="TableParagraph"/>
              <w:spacing w:before="44"/>
              <w:rPr>
                <w:rFonts w:ascii="Consolas"/>
                <w:sz w:val="22"/>
              </w:rPr>
            </w:pPr>
            <w:r>
              <w:rPr>
                <w:rFonts w:ascii="Consolas"/>
                <w:sz w:val="22"/>
              </w:rPr>
              <w:t>#NAME?</w:t>
            </w:r>
          </w:p>
        </w:tc>
        <w:tc>
          <w:tcPr>
            <w:tcW w:w="1416" w:type="dxa"/>
          </w:tcPr>
          <w:p>
            <w:pPr>
              <w:pStyle w:val="TableParagraph"/>
              <w:spacing w:before="42"/>
              <w:ind w:left="112"/>
              <w:rPr>
                <w:sz w:val="22"/>
              </w:rPr>
            </w:pPr>
            <w:r>
              <w:rPr>
                <w:w w:val="100"/>
                <w:sz w:val="22"/>
              </w:rPr>
              <w:t>5</w:t>
            </w:r>
          </w:p>
        </w:tc>
      </w:tr>
      <w:tr>
        <w:trPr>
          <w:trHeight w:val="354" w:hRule="atLeast"/>
        </w:trPr>
        <w:tc>
          <w:tcPr>
            <w:tcW w:w="2006" w:type="dxa"/>
          </w:tcPr>
          <w:p>
            <w:pPr>
              <w:pStyle w:val="TableParagraph"/>
              <w:spacing w:before="42"/>
              <w:rPr>
                <w:rFonts w:ascii="Consolas"/>
                <w:sz w:val="22"/>
              </w:rPr>
            </w:pPr>
            <w:r>
              <w:rPr>
                <w:rFonts w:ascii="Consolas"/>
                <w:sz w:val="22"/>
              </w:rPr>
              <w:t>#NUM!</w:t>
            </w:r>
          </w:p>
        </w:tc>
        <w:tc>
          <w:tcPr>
            <w:tcW w:w="1416" w:type="dxa"/>
          </w:tcPr>
          <w:p>
            <w:pPr>
              <w:pStyle w:val="TableParagraph"/>
              <w:ind w:left="112"/>
              <w:rPr>
                <w:sz w:val="22"/>
              </w:rPr>
            </w:pPr>
            <w:r>
              <w:rPr>
                <w:w w:val="100"/>
                <w:sz w:val="22"/>
              </w:rPr>
              <w:t>6</w:t>
            </w:r>
          </w:p>
        </w:tc>
      </w:tr>
      <w:tr>
        <w:trPr>
          <w:trHeight w:val="354" w:hRule="atLeast"/>
        </w:trPr>
        <w:tc>
          <w:tcPr>
            <w:tcW w:w="2006" w:type="dxa"/>
          </w:tcPr>
          <w:p>
            <w:pPr>
              <w:pStyle w:val="TableParagraph"/>
              <w:spacing w:before="42"/>
              <w:rPr>
                <w:rFonts w:ascii="Consolas"/>
                <w:sz w:val="22"/>
              </w:rPr>
            </w:pPr>
            <w:r>
              <w:rPr>
                <w:rFonts w:ascii="Consolas"/>
                <w:sz w:val="22"/>
              </w:rPr>
              <w:t>#N/A</w:t>
            </w:r>
          </w:p>
        </w:tc>
        <w:tc>
          <w:tcPr>
            <w:tcW w:w="1416" w:type="dxa"/>
          </w:tcPr>
          <w:p>
            <w:pPr>
              <w:pStyle w:val="TableParagraph"/>
              <w:ind w:left="112"/>
              <w:rPr>
                <w:sz w:val="22"/>
              </w:rPr>
            </w:pPr>
            <w:r>
              <w:rPr>
                <w:w w:val="100"/>
                <w:sz w:val="22"/>
              </w:rPr>
              <w:t>7</w:t>
            </w:r>
          </w:p>
        </w:tc>
      </w:tr>
      <w:tr>
        <w:trPr>
          <w:trHeight w:val="354" w:hRule="atLeast"/>
        </w:trPr>
        <w:tc>
          <w:tcPr>
            <w:tcW w:w="2006" w:type="dxa"/>
          </w:tcPr>
          <w:p>
            <w:pPr>
              <w:pStyle w:val="TableParagraph"/>
              <w:spacing w:before="42"/>
              <w:rPr>
                <w:rFonts w:ascii="Consolas"/>
                <w:sz w:val="22"/>
              </w:rPr>
            </w:pPr>
            <w:r>
              <w:rPr>
                <w:rFonts w:ascii="Consolas"/>
                <w:sz w:val="22"/>
              </w:rPr>
              <w:t>#GETTING_DATA</w:t>
            </w:r>
          </w:p>
        </w:tc>
        <w:tc>
          <w:tcPr>
            <w:tcW w:w="1416" w:type="dxa"/>
          </w:tcPr>
          <w:p>
            <w:pPr>
              <w:pStyle w:val="TableParagraph"/>
              <w:ind w:left="112"/>
              <w:rPr>
                <w:sz w:val="22"/>
              </w:rPr>
            </w:pPr>
            <w:r>
              <w:rPr>
                <w:w w:val="100"/>
                <w:sz w:val="22"/>
              </w:rPr>
              <w:t>8</w:t>
            </w:r>
          </w:p>
        </w:tc>
      </w:tr>
      <w:tr>
        <w:trPr>
          <w:trHeight w:val="354" w:hRule="atLeast"/>
        </w:trPr>
        <w:tc>
          <w:tcPr>
            <w:tcW w:w="2006" w:type="dxa"/>
          </w:tcPr>
          <w:p>
            <w:pPr>
              <w:pStyle w:val="TableParagraph"/>
              <w:rPr>
                <w:sz w:val="22"/>
              </w:rPr>
            </w:pPr>
            <w:r>
              <w:rPr>
                <w:sz w:val="22"/>
              </w:rPr>
              <w:t>Anything else</w:t>
            </w:r>
          </w:p>
        </w:tc>
        <w:tc>
          <w:tcPr>
            <w:tcW w:w="1416" w:type="dxa"/>
          </w:tcPr>
          <w:p>
            <w:pPr>
              <w:pStyle w:val="TableParagraph"/>
              <w:ind w:left="112"/>
              <w:rPr>
                <w:sz w:val="22"/>
              </w:rPr>
            </w:pPr>
            <w:r>
              <w:rPr>
                <w:sz w:val="22"/>
              </w:rPr>
              <w:t>#N/A</w:t>
            </w:r>
          </w:p>
        </w:tc>
      </w:tr>
    </w:tbl>
    <w:p>
      <w:pPr>
        <w:pStyle w:val="BodyText"/>
        <w:rPr>
          <w:sz w:val="20"/>
        </w:rPr>
      </w:pPr>
    </w:p>
    <w:p>
      <w:pPr>
        <w:pStyle w:val="BodyText"/>
        <w:spacing w:before="10"/>
        <w:rPr>
          <w:sz w:val="16"/>
        </w:rPr>
      </w:pPr>
    </w:p>
    <w:p>
      <w:pPr>
        <w:spacing w:before="57"/>
        <w:ind w:left="220" w:right="0" w:firstLine="0"/>
        <w:jc w:val="left"/>
        <w:rPr>
          <w:sz w:val="22"/>
        </w:rPr>
      </w:pPr>
      <w:r>
        <w:rPr>
          <w:sz w:val="22"/>
        </w:rPr>
        <w:t>[</w:t>
      </w:r>
      <w:r>
        <w:rPr>
          <w:i/>
          <w:sz w:val="22"/>
        </w:rPr>
        <w:t>Example</w:t>
      </w:r>
      <w:r>
        <w:rPr>
          <w:sz w:val="22"/>
        </w:rPr>
        <w:t>:</w:t>
      </w:r>
    </w:p>
    <w:p>
      <w:pPr>
        <w:pStyle w:val="BodyText"/>
        <w:spacing w:before="8"/>
        <w:rPr>
          <w:sz w:val="28"/>
        </w:rPr>
      </w:pPr>
    </w:p>
    <w:p>
      <w:pPr>
        <w:pStyle w:val="BodyText"/>
        <w:spacing w:line="276" w:lineRule="auto" w:before="1"/>
        <w:ind w:left="220" w:right="5229"/>
        <w:jc w:val="both"/>
        <w:rPr>
          <w:rFonts w:ascii="Consolas"/>
        </w:rPr>
      </w:pPr>
      <w:r>
        <w:rPr>
          <w:rFonts w:ascii="Consolas"/>
        </w:rPr>
        <w:t>ERROR.TYPE(A1)</w:t>
      </w:r>
      <w:r>
        <w:rPr>
          <w:rFonts w:ascii="Consolas"/>
          <w:spacing w:val="-72"/>
        </w:rPr>
        <w:t> </w:t>
      </w:r>
      <w:r>
        <w:rPr/>
        <w:t>results in </w:t>
      </w:r>
      <w:r>
        <w:rPr>
          <w:rFonts w:ascii="Consolas"/>
        </w:rPr>
        <w:t>2</w:t>
      </w:r>
      <w:r>
        <w:rPr>
          <w:rFonts w:ascii="Consolas"/>
          <w:spacing w:val="-71"/>
        </w:rPr>
        <w:t> </w:t>
      </w:r>
      <w:r>
        <w:rPr/>
        <w:t>if </w:t>
      </w:r>
      <w:r>
        <w:rPr>
          <w:rFonts w:ascii="Consolas"/>
        </w:rPr>
        <w:t>A1</w:t>
      </w:r>
      <w:r>
        <w:rPr>
          <w:rFonts w:ascii="Consolas"/>
          <w:spacing w:val="-74"/>
        </w:rPr>
        <w:t> </w:t>
      </w:r>
      <w:r>
        <w:rPr/>
        <w:t>evaluates to </w:t>
      </w:r>
      <w:r>
        <w:rPr>
          <w:rFonts w:ascii="Consolas"/>
        </w:rPr>
        <w:t>#DIV/0! ERROR.TYPE(A1)</w:t>
      </w:r>
      <w:r>
        <w:rPr>
          <w:rFonts w:ascii="Consolas"/>
          <w:spacing w:val="-72"/>
        </w:rPr>
        <w:t> </w:t>
      </w:r>
      <w:r>
        <w:rPr/>
        <w:t>results in </w:t>
      </w:r>
      <w:r>
        <w:rPr>
          <w:rFonts w:ascii="Consolas"/>
        </w:rPr>
        <w:t>4</w:t>
      </w:r>
      <w:r>
        <w:rPr>
          <w:rFonts w:ascii="Consolas"/>
          <w:spacing w:val="-71"/>
        </w:rPr>
        <w:t> </w:t>
      </w:r>
      <w:r>
        <w:rPr/>
        <w:t>if </w:t>
      </w:r>
      <w:r>
        <w:rPr>
          <w:rFonts w:ascii="Consolas"/>
        </w:rPr>
        <w:t>A1</w:t>
      </w:r>
      <w:r>
        <w:rPr>
          <w:rFonts w:ascii="Consolas"/>
          <w:spacing w:val="-74"/>
        </w:rPr>
        <w:t> </w:t>
      </w:r>
      <w:r>
        <w:rPr/>
        <w:t>evaluates to </w:t>
      </w:r>
      <w:r>
        <w:rPr>
          <w:rFonts w:ascii="Consolas"/>
        </w:rPr>
        <w:t>#REF/0! ERROR.TYPE(A1)</w:t>
      </w:r>
      <w:r>
        <w:rPr>
          <w:rFonts w:ascii="Consolas"/>
          <w:spacing w:val="-72"/>
        </w:rPr>
        <w:t> </w:t>
      </w:r>
      <w:r>
        <w:rPr/>
        <w:t>results in </w:t>
      </w:r>
      <w:r>
        <w:rPr>
          <w:rFonts w:ascii="Consolas"/>
        </w:rPr>
        <w:t>7 </w:t>
      </w:r>
      <w:r>
        <w:rPr/>
        <w:t>if </w:t>
      </w:r>
      <w:r>
        <w:rPr>
          <w:rFonts w:ascii="Consolas"/>
        </w:rPr>
        <w:t>A1</w:t>
      </w:r>
      <w:r>
        <w:rPr>
          <w:rFonts w:ascii="Consolas"/>
          <w:spacing w:val="-71"/>
        </w:rPr>
        <w:t> </w:t>
      </w:r>
      <w:r>
        <w:rPr/>
        <w:t>evaluates to </w:t>
      </w:r>
      <w:r>
        <w:rPr>
          <w:rFonts w:ascii="Consolas"/>
        </w:rPr>
        <w:t>#N/A</w:t>
      </w:r>
    </w:p>
    <w:p>
      <w:pPr>
        <w:pStyle w:val="BodyText"/>
        <w:ind w:left="220"/>
      </w:pPr>
      <w:r>
        <w:rPr>
          <w:rFonts w:ascii="Consolas"/>
        </w:rPr>
        <w:t>ERROR.TYPE(A1)</w:t>
      </w:r>
      <w:r>
        <w:rPr>
          <w:rFonts w:ascii="Consolas"/>
          <w:spacing w:val="-71"/>
        </w:rPr>
        <w:t> </w:t>
      </w:r>
      <w:r>
        <w:rPr/>
        <w:t>results in </w:t>
      </w:r>
      <w:r>
        <w:rPr>
          <w:rFonts w:ascii="Consolas"/>
        </w:rPr>
        <w:t>#N/A</w:t>
      </w:r>
      <w:r>
        <w:rPr>
          <w:rFonts w:ascii="Consolas"/>
          <w:spacing w:val="-71"/>
        </w:rPr>
        <w:t> </w:t>
      </w:r>
      <w:r>
        <w:rPr/>
        <w:t>if </w:t>
      </w:r>
      <w:r>
        <w:rPr>
          <w:rFonts w:ascii="Consolas"/>
        </w:rPr>
        <w:t>A1</w:t>
      </w:r>
      <w:r>
        <w:rPr>
          <w:rFonts w:ascii="Consolas"/>
          <w:spacing w:val="-73"/>
        </w:rPr>
        <w:t> </w:t>
      </w:r>
      <w:r>
        <w:rPr/>
        <w:t>evaluates to a non-error value, such as a number or text</w:t>
      </w:r>
    </w:p>
    <w:p>
      <w:pPr>
        <w:pStyle w:val="BodyText"/>
        <w:spacing w:before="8"/>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3" w:val="left" w:leader="none"/>
        </w:tabs>
        <w:spacing w:line="240" w:lineRule="auto" w:before="0" w:after="0"/>
        <w:ind w:left="1732" w:right="0" w:hanging="1513"/>
        <w:jc w:val="both"/>
      </w:pPr>
      <w:bookmarkStart w:name="18.17.7.111 EVEN" w:id="1725"/>
      <w:bookmarkEnd w:id="1725"/>
      <w:r>
        <w:rPr/>
      </w:r>
      <w:bookmarkStart w:name="_bookmark574" w:id="1726"/>
      <w:bookmarkEnd w:id="1726"/>
      <w:r>
        <w:rPr/>
      </w:r>
      <w:bookmarkStart w:name="_bookmark574" w:id="1727"/>
      <w:bookmarkEnd w:id="1727"/>
      <w:r>
        <w:rPr>
          <w:color w:val="4F81BC"/>
        </w:rPr>
        <w:t>E</w:t>
      </w:r>
      <w:r>
        <w:rPr>
          <w:color w:val="4F81BC"/>
        </w:rPr>
        <w:t>VEN</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EVEN ( </w:t>
      </w:r>
      <w:r>
        <w:rPr>
          <w:i/>
          <w:sz w:val="22"/>
        </w:rPr>
        <w:t>x </w:t>
      </w:r>
      <w:r>
        <w:rPr>
          <w:rFonts w:ascii="Lucida Console"/>
          <w:sz w:val="20"/>
        </w:rPr>
        <w:t>)</w:t>
      </w:r>
    </w:p>
    <w:p>
      <w:pPr>
        <w:pStyle w:val="BodyText"/>
        <w:spacing w:line="278" w:lineRule="auto" w:before="106"/>
        <w:ind w:left="220" w:right="503"/>
      </w:pPr>
      <w:r>
        <w:rPr>
          <w:b/>
        </w:rPr>
        <w:t>Description: </w:t>
      </w:r>
      <w:r>
        <w:rPr/>
        <w:t>Computes </w:t>
      </w:r>
      <w:r>
        <w:rPr>
          <w:rFonts w:ascii="Times New Roman"/>
          <w:i/>
        </w:rPr>
        <w:t>x </w:t>
      </w:r>
      <w:r>
        <w:rPr/>
        <w:t>rounded to the nearest even integer, away from zero. Regardless of the sign of </w:t>
      </w:r>
      <w:r>
        <w:rPr>
          <w:rFonts w:ascii="Times New Roman"/>
          <w:i/>
        </w:rPr>
        <w:t>x</w:t>
      </w:r>
      <w:r>
        <w:rPr/>
        <w:t>, a value is rounded up when adjusted away from zero.</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w:t>
            </w:r>
          </w:p>
        </w:tc>
      </w:tr>
    </w:tbl>
    <w:p>
      <w:pPr>
        <w:pStyle w:val="BodyText"/>
        <w:rPr>
          <w:b/>
        </w:rPr>
      </w:pPr>
    </w:p>
    <w:p>
      <w:pPr>
        <w:pStyle w:val="BodyText"/>
        <w:spacing w:before="8"/>
        <w:rPr>
          <w:b/>
          <w:sz w:val="19"/>
        </w:rPr>
      </w:pPr>
    </w:p>
    <w:p>
      <w:pPr>
        <w:spacing w:line="453" w:lineRule="auto" w:before="0"/>
        <w:ind w:left="220" w:right="2289" w:firstLine="0"/>
        <w:jc w:val="left"/>
        <w:rPr>
          <w:sz w:val="22"/>
        </w:rPr>
      </w:pPr>
      <w:r>
        <w:rPr>
          <w:b/>
          <w:sz w:val="22"/>
        </w:rPr>
        <w:t>Return Type and Value: </w:t>
      </w:r>
      <w:r>
        <w:rPr>
          <w:sz w:val="22"/>
        </w:rPr>
        <w:t>number – The rounded value of </w:t>
      </w:r>
      <w:r>
        <w:rPr>
          <w:rFonts w:ascii="Times New Roman" w:hAnsi="Times New Roman"/>
          <w:i/>
          <w:sz w:val="22"/>
        </w:rPr>
        <w:t>x</w:t>
      </w:r>
      <w:r>
        <w:rPr>
          <w:sz w:val="22"/>
        </w:rPr>
        <w:t>. If </w:t>
      </w:r>
      <w:r>
        <w:rPr>
          <w:rFonts w:ascii="Times New Roman" w:hAnsi="Times New Roman"/>
          <w:i/>
          <w:sz w:val="22"/>
        </w:rPr>
        <w:t>x </w:t>
      </w:r>
      <w:r>
        <w:rPr>
          <w:sz w:val="22"/>
        </w:rPr>
        <w:t>is zero, the result is zero. [</w:t>
      </w:r>
      <w:r>
        <w:rPr>
          <w:i/>
          <w:sz w:val="22"/>
        </w:rPr>
        <w:t>Example</w:t>
      </w:r>
      <w:r>
        <w:rPr>
          <w:sz w:val="22"/>
        </w:rPr>
        <w:t>:</w:t>
      </w:r>
    </w:p>
    <w:p>
      <w:pPr>
        <w:pStyle w:val="BodyText"/>
        <w:spacing w:line="276" w:lineRule="auto" w:before="108"/>
        <w:ind w:left="220" w:right="3786"/>
      </w:pPr>
      <w:r>
        <w:rPr>
          <w:rFonts w:ascii="Consolas"/>
        </w:rPr>
        <w:t>EVEN(1.5)</w:t>
      </w:r>
      <w:r>
        <w:rPr>
          <w:rFonts w:ascii="Consolas"/>
          <w:spacing w:val="-90"/>
        </w:rPr>
        <w:t> </w:t>
      </w:r>
      <w:r>
        <w:rPr/>
        <w:t>rounds 1.5 up to the nearest even integer; that is, to </w:t>
      </w:r>
      <w:r>
        <w:rPr>
          <w:rFonts w:ascii="Consolas"/>
        </w:rPr>
        <w:t>2</w:t>
      </w:r>
      <w:r>
        <w:rPr/>
        <w:t>. </w:t>
      </w:r>
      <w:r>
        <w:rPr>
          <w:rFonts w:ascii="Consolas"/>
        </w:rPr>
        <w:t>EVEN(3)</w:t>
      </w:r>
      <w:r>
        <w:rPr>
          <w:rFonts w:ascii="Consolas"/>
          <w:spacing w:val="-79"/>
        </w:rPr>
        <w:t> </w:t>
      </w:r>
      <w:r>
        <w:rPr/>
        <w:t>rounds 3 up to the nearest even integer; that is, to </w:t>
      </w:r>
      <w:r>
        <w:rPr>
          <w:rFonts w:ascii="Consolas"/>
        </w:rPr>
        <w:t>4</w:t>
      </w:r>
      <w:r>
        <w:rPr/>
        <w:t>.</w:t>
      </w:r>
    </w:p>
    <w:p>
      <w:pPr>
        <w:pStyle w:val="BodyText"/>
        <w:spacing w:line="273" w:lineRule="auto" w:before="1"/>
        <w:ind w:left="220" w:right="4511"/>
      </w:pPr>
      <w:r>
        <w:rPr>
          <w:rFonts w:ascii="Consolas"/>
        </w:rPr>
        <w:t>EVEN(2) </w:t>
      </w:r>
      <w:r>
        <w:rPr/>
        <w:t>rounds 2 up to the nearest even integer; that is, to </w:t>
      </w:r>
      <w:r>
        <w:rPr>
          <w:rFonts w:ascii="Consolas"/>
        </w:rPr>
        <w:t>2</w:t>
      </w:r>
      <w:r>
        <w:rPr/>
        <w:t>. </w:t>
      </w:r>
      <w:r>
        <w:rPr>
          <w:rFonts w:ascii="Consolas"/>
        </w:rPr>
        <w:t>EVEN(-1)</w:t>
      </w:r>
      <w:r>
        <w:rPr>
          <w:rFonts w:ascii="Consolas"/>
          <w:spacing w:val="-89"/>
        </w:rPr>
        <w:t> </w:t>
      </w:r>
      <w:r>
        <w:rPr/>
        <w:t>rounds -1 up to the nearest even integer; that is, to </w:t>
      </w:r>
      <w:r>
        <w:rPr>
          <w:rFonts w:ascii="Consolas"/>
        </w:rPr>
        <w:t>-2</w:t>
      </w:r>
      <w:r>
        <w:rPr/>
        <w:t>.</w:t>
      </w:r>
    </w:p>
    <w:p>
      <w:pPr>
        <w:spacing w:after="0" w:line="273" w:lineRule="auto"/>
        <w:sectPr>
          <w:footerReference w:type="even" r:id="rId232"/>
          <w:footerReference w:type="default" r:id="rId233"/>
          <w:pgSz w:w="12240" w:h="15840"/>
          <w:pgMar w:footer="746" w:header="761" w:top="1340" w:bottom="940" w:left="860" w:right="700"/>
          <w:pgNumType w:start="2200"/>
        </w:sectPr>
      </w:pPr>
    </w:p>
    <w:p>
      <w:pPr>
        <w:pStyle w:val="BodyText"/>
        <w:rPr>
          <w:sz w:val="20"/>
        </w:rPr>
      </w:pPr>
    </w:p>
    <w:p>
      <w:pPr>
        <w:pStyle w:val="BodyText"/>
        <w:spacing w:before="8"/>
        <w:rPr>
          <w:sz w:val="17"/>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2 EXACT" w:id="1728"/>
      <w:bookmarkEnd w:id="1728"/>
      <w:r>
        <w:rPr/>
      </w:r>
      <w:bookmarkStart w:name="_bookmark575" w:id="1729"/>
      <w:bookmarkEnd w:id="1729"/>
      <w:r>
        <w:rPr/>
      </w:r>
      <w:bookmarkStart w:name="_bookmark575" w:id="1730"/>
      <w:bookmarkEnd w:id="1730"/>
      <w:r>
        <w:rPr>
          <w:color w:val="4F81BC"/>
        </w:rPr>
        <w:t>E</w:t>
      </w:r>
      <w:r>
        <w:rPr>
          <w:color w:val="4F81BC"/>
        </w:rPr>
        <w:t>XACT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EXACT ( </w:t>
      </w:r>
      <w:r>
        <w:rPr>
          <w:i/>
          <w:sz w:val="22"/>
        </w:rPr>
        <w:t>string-1 </w:t>
      </w:r>
      <w:r>
        <w:rPr>
          <w:rFonts w:ascii="Lucida Console"/>
          <w:sz w:val="20"/>
        </w:rPr>
        <w:t>, </w:t>
      </w:r>
      <w:r>
        <w:rPr>
          <w:i/>
          <w:sz w:val="22"/>
        </w:rPr>
        <w:t>string-2 </w:t>
      </w:r>
      <w:r>
        <w:rPr>
          <w:rFonts w:ascii="Lucida Console"/>
          <w:sz w:val="20"/>
        </w:rPr>
        <w:t>)</w:t>
      </w:r>
    </w:p>
    <w:p>
      <w:pPr>
        <w:spacing w:before="108"/>
        <w:ind w:left="220" w:right="0" w:firstLine="0"/>
        <w:jc w:val="left"/>
        <w:rPr>
          <w:sz w:val="22"/>
        </w:rPr>
      </w:pPr>
      <w:r>
        <w:rPr>
          <w:b/>
          <w:sz w:val="22"/>
        </w:rPr>
        <w:t>Description: </w:t>
      </w:r>
      <w:r>
        <w:rPr>
          <w:sz w:val="22"/>
        </w:rPr>
        <w:t>Performs a case-sensitive, character-by-character, lexical comparison of </w:t>
      </w:r>
      <w:r>
        <w:rPr>
          <w:rFonts w:ascii="Times New Roman"/>
          <w:i/>
          <w:sz w:val="22"/>
        </w:rPr>
        <w:t>string-1 </w:t>
      </w:r>
      <w:r>
        <w:rPr>
          <w:sz w:val="22"/>
        </w:rPr>
        <w:t>and </w:t>
      </w:r>
      <w:r>
        <w:rPr>
          <w:rFonts w:ascii="Times New Roman"/>
          <w:i/>
          <w:sz w:val="22"/>
        </w:rPr>
        <w:t>string-2</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string-1</w:t>
            </w:r>
          </w:p>
        </w:tc>
        <w:tc>
          <w:tcPr>
            <w:tcW w:w="1800" w:type="dxa"/>
          </w:tcPr>
          <w:p>
            <w:pPr>
              <w:pStyle w:val="TableParagraph"/>
              <w:ind w:left="112"/>
              <w:rPr>
                <w:sz w:val="22"/>
              </w:rPr>
            </w:pPr>
            <w:r>
              <w:rPr>
                <w:sz w:val="22"/>
              </w:rPr>
              <w:t>text</w:t>
            </w:r>
          </w:p>
        </w:tc>
        <w:tc>
          <w:tcPr>
            <w:tcW w:w="5400" w:type="dxa"/>
            <w:vMerge w:val="restart"/>
          </w:tcPr>
          <w:p>
            <w:pPr>
              <w:pStyle w:val="TableParagraph"/>
              <w:ind w:left="113"/>
              <w:rPr>
                <w:sz w:val="22"/>
              </w:rPr>
            </w:pPr>
            <w:r>
              <w:rPr>
                <w:sz w:val="22"/>
              </w:rPr>
              <w:t>The two strings to be compared.</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string-2</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bl>
    <w:p>
      <w:pPr>
        <w:pStyle w:val="BodyText"/>
        <w:rPr>
          <w:b/>
        </w:rPr>
      </w:pPr>
    </w:p>
    <w:p>
      <w:pPr>
        <w:pStyle w:val="BodyText"/>
        <w:spacing w:before="5"/>
        <w:rPr>
          <w:b/>
          <w:sz w:val="19"/>
        </w:rPr>
      </w:pPr>
    </w:p>
    <w:p>
      <w:pPr>
        <w:spacing w:line="278" w:lineRule="auto" w:before="0"/>
        <w:ind w:left="220" w:right="503"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73"/>
          <w:sz w:val="22"/>
        </w:rPr>
        <w:t> </w:t>
      </w:r>
      <w:r>
        <w:rPr>
          <w:sz w:val="22"/>
        </w:rPr>
        <w:t>if </w:t>
      </w:r>
      <w:r>
        <w:rPr>
          <w:rFonts w:ascii="Times New Roman" w:hAnsi="Times New Roman"/>
          <w:i/>
          <w:sz w:val="22"/>
        </w:rPr>
        <w:t>string-1 </w:t>
      </w:r>
      <w:r>
        <w:rPr>
          <w:sz w:val="22"/>
        </w:rPr>
        <w:t>and </w:t>
      </w:r>
      <w:r>
        <w:rPr>
          <w:rFonts w:ascii="Times New Roman" w:hAnsi="Times New Roman"/>
          <w:i/>
          <w:sz w:val="22"/>
        </w:rPr>
        <w:t>string-2 </w:t>
      </w:r>
      <w:r>
        <w:rPr>
          <w:sz w:val="22"/>
        </w:rPr>
        <w:t>have the exact same length and contents; otherwise, </w:t>
      </w:r>
      <w:r>
        <w:rPr>
          <w:rFonts w:ascii="Consolas" w:hAnsi="Consolas"/>
          <w:sz w:val="22"/>
        </w:rPr>
        <w:t>FALSE</w:t>
      </w:r>
      <w:r>
        <w:rPr>
          <w:sz w:val="22"/>
        </w:rPr>
        <w:t>.</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6638"/>
        <w:rPr>
          <w:rFonts w:ascii="Consolas"/>
        </w:rPr>
      </w:pPr>
      <w:r>
        <w:rPr>
          <w:rFonts w:ascii="Consolas"/>
        </w:rPr>
        <w:t>EXACT("ABC","ABC") </w:t>
      </w:r>
      <w:r>
        <w:rPr/>
        <w:t>results in </w:t>
      </w:r>
      <w:r>
        <w:rPr>
          <w:rFonts w:ascii="Consolas"/>
        </w:rPr>
        <w:t>TRUE EXACT("ABC","ABCD")</w:t>
      </w:r>
      <w:r>
        <w:rPr>
          <w:rFonts w:ascii="Consolas"/>
          <w:spacing w:val="-86"/>
        </w:rPr>
        <w:t> </w:t>
      </w:r>
      <w:r>
        <w:rPr/>
        <w:t>results in </w:t>
      </w:r>
      <w:r>
        <w:rPr>
          <w:rFonts w:ascii="Consolas"/>
        </w:rPr>
        <w:t>FALSE</w:t>
      </w:r>
    </w:p>
    <w:p>
      <w:pPr>
        <w:pStyle w:val="BodyText"/>
        <w:spacing w:line="276" w:lineRule="auto"/>
        <w:ind w:left="220" w:right="6757"/>
        <w:rPr>
          <w:rFonts w:ascii="Consolas"/>
        </w:rPr>
      </w:pPr>
      <w:r>
        <w:rPr>
          <w:rFonts w:ascii="Consolas"/>
        </w:rPr>
        <w:t>EXACT("Abc","aBC")</w:t>
      </w:r>
      <w:r>
        <w:rPr>
          <w:rFonts w:ascii="Consolas"/>
          <w:spacing w:val="-84"/>
        </w:rPr>
        <w:t> </w:t>
      </w:r>
      <w:r>
        <w:rPr/>
        <w:t>results in </w:t>
      </w:r>
      <w:r>
        <w:rPr>
          <w:rFonts w:ascii="Consolas"/>
        </w:rPr>
        <w:t>FALSE EXACT("","")</w:t>
      </w:r>
      <w:r>
        <w:rPr>
          <w:rFonts w:ascii="Consolas"/>
          <w:spacing w:val="-77"/>
        </w:rPr>
        <w:t> </w:t>
      </w:r>
      <w:r>
        <w:rPr/>
        <w:t>results in </w:t>
      </w:r>
      <w:r>
        <w:rPr>
          <w:rFonts w:ascii="Consolas"/>
        </w:rPr>
        <w:t>TRUE</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3 EXP" w:id="1731"/>
      <w:bookmarkEnd w:id="1731"/>
      <w:r>
        <w:rPr/>
      </w:r>
      <w:bookmarkStart w:name="_bookmark576" w:id="1732"/>
      <w:bookmarkEnd w:id="1732"/>
      <w:r>
        <w:rPr/>
      </w:r>
      <w:bookmarkStart w:name="_bookmark576" w:id="1733"/>
      <w:bookmarkEnd w:id="1733"/>
      <w:r>
        <w:rPr>
          <w:color w:val="4F81BC"/>
        </w:rPr>
        <w:t>E</w:t>
      </w:r>
      <w:r>
        <w:rPr>
          <w:color w:val="4F81BC"/>
        </w:rPr>
        <w:t>XP</w:t>
      </w:r>
    </w:p>
    <w:p>
      <w:pPr>
        <w:pStyle w:val="Heading4"/>
        <w:spacing w:before="121"/>
        <w:rPr>
          <w:b w:val="0"/>
        </w:rPr>
      </w:pPr>
      <w:r>
        <w:rPr/>
        <w:t>Syntax</w:t>
      </w:r>
      <w:r>
        <w:rPr>
          <w:b w:val="0"/>
        </w:rPr>
        <w:t>:</w:t>
      </w:r>
    </w:p>
    <w:p>
      <w:pPr>
        <w:pStyle w:val="BodyText"/>
        <w:spacing w:before="3"/>
        <w:rPr>
          <w:sz w:val="19"/>
        </w:rPr>
      </w:pPr>
    </w:p>
    <w:p>
      <w:pPr>
        <w:spacing w:before="1"/>
        <w:ind w:left="940" w:right="0" w:firstLine="0"/>
        <w:jc w:val="left"/>
        <w:rPr>
          <w:rFonts w:ascii="Lucida Console"/>
          <w:sz w:val="20"/>
        </w:rPr>
      </w:pPr>
      <w:r>
        <w:rPr>
          <w:rFonts w:ascii="Lucida Console"/>
          <w:sz w:val="20"/>
        </w:rPr>
        <w:t>EXP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w:t>
      </w:r>
      <w:r>
        <w:rPr>
          <w:i/>
          <w:sz w:val="22"/>
        </w:rPr>
        <w:t>e</w:t>
      </w:r>
      <w:r>
        <w:rPr>
          <w:rFonts w:ascii="Times New Roman"/>
          <w:i/>
          <w:sz w:val="22"/>
          <w:vertAlign w:val="superscript"/>
        </w:rPr>
        <w:t>x</w:t>
      </w:r>
      <w:r>
        <w:rPr>
          <w:sz w:val="22"/>
          <w:vertAlign w:val="baseline"/>
        </w:rPr>
        <w:t>, where the constant </w:t>
      </w:r>
      <w:r>
        <w:rPr>
          <w:i/>
          <w:sz w:val="22"/>
          <w:vertAlign w:val="baseline"/>
        </w:rPr>
        <w:t>e </w:t>
      </w:r>
      <w:r>
        <w:rPr>
          <w:sz w:val="22"/>
          <w:vertAlign w:val="baseline"/>
        </w:rPr>
        <w:t>is the base of the natural logarithm.</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exponent to which </w:t>
            </w:r>
            <w:r>
              <w:rPr>
                <w:i/>
                <w:sz w:val="22"/>
              </w:rPr>
              <w:t>e </w:t>
            </w:r>
            <w:r>
              <w:rPr>
                <w:sz w:val="22"/>
              </w:rPr>
              <w:t>is to be raised.</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w:t>
      </w:r>
      <w:r>
        <w:rPr>
          <w:i/>
          <w:sz w:val="22"/>
        </w:rPr>
        <w:t>e</w:t>
      </w:r>
      <w:r>
        <w:rPr>
          <w:rFonts w:ascii="Times New Roman" w:hAnsi="Times New Roman"/>
          <w:i/>
          <w:sz w:val="22"/>
          <w:vertAlign w:val="superscript"/>
        </w:rPr>
        <w:t>x</w:t>
      </w:r>
      <w:r>
        <w:rPr>
          <w:sz w:val="22"/>
          <w:vertAlign w:val="baseline"/>
        </w:rPr>
        <w:t>.</w:t>
      </w:r>
    </w:p>
    <w:p>
      <w:pPr>
        <w:pStyle w:val="BodyText"/>
        <w:spacing w:before="8"/>
        <w:rPr>
          <w:sz w:val="19"/>
        </w:rPr>
      </w:pPr>
    </w:p>
    <w:p>
      <w:pPr>
        <w:pStyle w:val="BodyText"/>
        <w:spacing w:before="1"/>
        <w:ind w:left="220"/>
      </w:pPr>
      <w:r>
        <w:rPr/>
        <w:t>However, if </w:t>
      </w:r>
      <w:r>
        <w:rPr>
          <w:rFonts w:ascii="Times New Roman"/>
          <w:i/>
        </w:rPr>
        <w:t>x </w:t>
      </w:r>
      <w:r>
        <w:rPr/>
        <w:t>is too large for the result to be representable, </w:t>
      </w:r>
      <w:r>
        <w:rPr>
          <w:rFonts w:ascii="Consolas"/>
        </w:rPr>
        <w:t>#NUM!</w:t>
      </w:r>
      <w:r>
        <w:rPr>
          <w:rFonts w:ascii="Consolas"/>
          <w:spacing w:val="-82"/>
        </w:rPr>
        <w:t> </w:t>
      </w:r>
      <w:r>
        <w:rPr/>
        <w:t>is returned.</w:t>
      </w:r>
    </w:p>
    <w:p>
      <w:pPr>
        <w:spacing w:after="0"/>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7362"/>
        <w:rPr>
          <w:rFonts w:ascii="Consolas"/>
        </w:rPr>
      </w:pPr>
      <w:r>
        <w:rPr>
          <w:rFonts w:ascii="Consolas"/>
        </w:rPr>
        <w:t>EXP(-1)</w:t>
      </w:r>
      <w:r>
        <w:rPr>
          <w:rFonts w:ascii="Consolas"/>
          <w:spacing w:val="-84"/>
        </w:rPr>
        <w:t> </w:t>
      </w:r>
      <w:r>
        <w:rPr/>
        <w:t>results in </w:t>
      </w:r>
      <w:r>
        <w:rPr>
          <w:rFonts w:ascii="Consolas"/>
        </w:rPr>
        <w:t>0.367879441 EXP(0)</w:t>
      </w:r>
      <w:r>
        <w:rPr>
          <w:rFonts w:ascii="Consolas"/>
          <w:spacing w:val="-73"/>
        </w:rPr>
        <w:t> </w:t>
      </w:r>
      <w:r>
        <w:rPr/>
        <w:t>results in </w:t>
      </w:r>
      <w:r>
        <w:rPr>
          <w:rFonts w:ascii="Consolas"/>
        </w:rPr>
        <w:t>1</w:t>
      </w:r>
    </w:p>
    <w:p>
      <w:pPr>
        <w:pStyle w:val="BodyText"/>
        <w:spacing w:line="273" w:lineRule="auto" w:before="2"/>
        <w:ind w:left="220" w:right="7482"/>
        <w:rPr>
          <w:rFonts w:ascii="Consolas"/>
        </w:rPr>
      </w:pPr>
      <w:r>
        <w:rPr>
          <w:rFonts w:ascii="Consolas"/>
        </w:rPr>
        <w:t>EXP(1)</w:t>
      </w:r>
      <w:r>
        <w:rPr>
          <w:rFonts w:ascii="Consolas"/>
          <w:spacing w:val="-83"/>
        </w:rPr>
        <w:t> </w:t>
      </w:r>
      <w:r>
        <w:rPr/>
        <w:t>results in </w:t>
      </w:r>
      <w:r>
        <w:rPr>
          <w:rFonts w:ascii="Consolas"/>
        </w:rPr>
        <w:t>2.718281828 EXP(2)</w:t>
      </w:r>
      <w:r>
        <w:rPr>
          <w:rFonts w:ascii="Consolas"/>
          <w:spacing w:val="-83"/>
        </w:rPr>
        <w:t> </w:t>
      </w:r>
      <w:r>
        <w:rPr/>
        <w:t>results in </w:t>
      </w:r>
      <w:r>
        <w:rPr>
          <w:rFonts w:ascii="Consolas"/>
        </w:rPr>
        <w:t>7.389056099</w:t>
      </w:r>
    </w:p>
    <w:p>
      <w:pPr>
        <w:pStyle w:val="BodyText"/>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4 EXPONDIST" w:id="1734"/>
      <w:bookmarkEnd w:id="1734"/>
      <w:r>
        <w:rPr/>
      </w:r>
      <w:bookmarkStart w:name="_bookmark577" w:id="1735"/>
      <w:bookmarkEnd w:id="1735"/>
      <w:r>
        <w:rPr/>
      </w:r>
      <w:bookmarkStart w:name="_bookmark577" w:id="1736"/>
      <w:bookmarkEnd w:id="1736"/>
      <w:r>
        <w:rPr>
          <w:color w:val="4F81BC"/>
        </w:rPr>
        <w:t>E</w:t>
      </w:r>
      <w:r>
        <w:rPr>
          <w:color w:val="4F81BC"/>
        </w:rPr>
        <w:t>XPONDIST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EXPONDIST ( </w:t>
      </w:r>
      <w:r>
        <w:rPr>
          <w:i/>
          <w:sz w:val="22"/>
        </w:rPr>
        <w:t>x </w:t>
      </w:r>
      <w:r>
        <w:rPr>
          <w:rFonts w:ascii="Lucida Console"/>
          <w:sz w:val="20"/>
        </w:rPr>
        <w:t>, </w:t>
      </w:r>
      <w:r>
        <w:rPr>
          <w:i/>
          <w:sz w:val="22"/>
        </w:rPr>
        <w:t>lambda </w:t>
      </w:r>
      <w:r>
        <w:rPr>
          <w:rFonts w:ascii="Lucida Console"/>
          <w:sz w:val="20"/>
        </w:rPr>
        <w:t>,</w:t>
      </w:r>
      <w:r>
        <w:rPr>
          <w:rFonts w:ascii="Lucida Console"/>
          <w:spacing w:val="-80"/>
          <w:sz w:val="20"/>
        </w:rPr>
        <w:t> </w:t>
      </w:r>
      <w:r>
        <w:rPr>
          <w:i/>
          <w:sz w:val="22"/>
        </w:rPr>
        <w:t>cumulative-flag </w:t>
      </w:r>
      <w:r>
        <w:rPr>
          <w:rFonts w:ascii="Lucida Console"/>
          <w:sz w:val="20"/>
        </w:rPr>
        <w:t>)</w:t>
      </w:r>
    </w:p>
    <w:p>
      <w:pPr>
        <w:spacing w:before="109"/>
        <w:ind w:left="220" w:right="0" w:firstLine="0"/>
        <w:jc w:val="left"/>
        <w:rPr>
          <w:sz w:val="22"/>
        </w:rPr>
      </w:pPr>
      <w:r>
        <w:rPr>
          <w:b/>
          <w:sz w:val="22"/>
        </w:rPr>
        <w:t>Description: </w:t>
      </w:r>
      <w:r>
        <w:rPr>
          <w:sz w:val="22"/>
        </w:rPr>
        <w:t>Computes the exponential distribution.</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pStyle w:val="BodyText"/>
        <w:spacing w:before="1"/>
        <w:ind w:left="220"/>
      </w:pPr>
      <w:r>
        <w:rPr/>
        <w:t>The equation for the probability density function is:</w:t>
      </w:r>
    </w:p>
    <w:p>
      <w:pPr>
        <w:pStyle w:val="BodyText"/>
        <w:spacing w:before="3"/>
        <w:rPr>
          <w:sz w:val="20"/>
        </w:rPr>
      </w:pPr>
    </w:p>
    <w:p>
      <w:pPr>
        <w:pStyle w:val="BodyText"/>
        <w:ind w:left="220"/>
        <w:rPr>
          <w:rFonts w:ascii="Cambria Math" w:hAnsi="Cambria Math" w:eastAsia="Cambria Math"/>
        </w:rPr>
      </w:pPr>
      <w:r>
        <w:rPr>
          <w:rFonts w:ascii="Cambria Math" w:hAnsi="Cambria Math" w:eastAsia="Cambria Math"/>
        </w:rPr>
        <w:t>𝑓</w:t>
      </w:r>
      <w:r>
        <w:rPr>
          <w:rFonts w:ascii="Cambria Math" w:hAnsi="Cambria Math" w:eastAsia="Cambria Math"/>
          <w:position w:val="1"/>
        </w:rPr>
        <w:t>(</w:t>
      </w:r>
      <w:r>
        <w:rPr>
          <w:rFonts w:ascii="Cambria Math" w:hAnsi="Cambria Math" w:eastAsia="Cambria Math"/>
        </w:rPr>
        <w:t>𝑥, 𝜆</w:t>
      </w:r>
      <w:r>
        <w:rPr>
          <w:rFonts w:ascii="Cambria Math" w:hAnsi="Cambria Math" w:eastAsia="Cambria Math"/>
          <w:position w:val="1"/>
        </w:rPr>
        <w:t>) </w:t>
      </w:r>
      <w:r>
        <w:rPr>
          <w:rFonts w:ascii="Cambria Math" w:hAnsi="Cambria Math" w:eastAsia="Cambria Math"/>
        </w:rPr>
        <w:t>= 𝜆𝑒</w:t>
      </w:r>
      <w:r>
        <w:rPr>
          <w:rFonts w:ascii="Cambria Math" w:hAnsi="Cambria Math" w:eastAsia="Cambria Math"/>
          <w:vertAlign w:val="superscript"/>
        </w:rPr>
        <w:t>−𝜆𝑥</w:t>
      </w:r>
    </w:p>
    <w:p>
      <w:pPr>
        <w:pStyle w:val="BodyText"/>
        <w:spacing w:before="6"/>
        <w:rPr>
          <w:rFonts w:ascii="Cambria Math"/>
          <w:sz w:val="20"/>
        </w:rPr>
      </w:pPr>
    </w:p>
    <w:p>
      <w:pPr>
        <w:pStyle w:val="BodyText"/>
        <w:ind w:left="220"/>
      </w:pPr>
      <w:r>
        <w:rPr/>
        <w:t>The equation for the cumulative distribution function is:</w:t>
      </w:r>
    </w:p>
    <w:p>
      <w:pPr>
        <w:pStyle w:val="BodyText"/>
        <w:spacing w:before="6"/>
        <w:rPr>
          <w:sz w:val="20"/>
        </w:rPr>
      </w:pPr>
    </w:p>
    <w:p>
      <w:pPr>
        <w:pStyle w:val="BodyText"/>
        <w:ind w:left="220"/>
        <w:rPr>
          <w:rFonts w:ascii="Cambria Math" w:hAnsi="Cambria Math" w:eastAsia="Cambria Math"/>
        </w:rPr>
      </w:pPr>
      <w:r>
        <w:rPr>
          <w:rFonts w:ascii="Cambria Math" w:hAnsi="Cambria Math" w:eastAsia="Cambria Math"/>
        </w:rPr>
        <w:t>𝐹</w:t>
      </w:r>
      <w:r>
        <w:rPr>
          <w:rFonts w:ascii="Cambria Math" w:hAnsi="Cambria Math" w:eastAsia="Cambria Math"/>
          <w:position w:val="1"/>
        </w:rPr>
        <w:t>(</w:t>
      </w:r>
      <w:r>
        <w:rPr>
          <w:rFonts w:ascii="Cambria Math" w:hAnsi="Cambria Math" w:eastAsia="Cambria Math"/>
        </w:rPr>
        <w:t>𝑥, 𝜆</w:t>
      </w:r>
      <w:r>
        <w:rPr>
          <w:rFonts w:ascii="Cambria Math" w:hAnsi="Cambria Math" w:eastAsia="Cambria Math"/>
          <w:position w:val="1"/>
        </w:rPr>
        <w:t>) </w:t>
      </w:r>
      <w:r>
        <w:rPr>
          <w:rFonts w:ascii="Cambria Math" w:hAnsi="Cambria Math" w:eastAsia="Cambria Math"/>
        </w:rPr>
        <w:t>= 1 − 𝑒</w:t>
      </w:r>
      <w:r>
        <w:rPr>
          <w:rFonts w:ascii="Cambria Math" w:hAnsi="Cambria Math" w:eastAsia="Cambria Math"/>
          <w:vertAlign w:val="superscript"/>
        </w:rPr>
        <w:t>−𝜆𝑥</w:t>
      </w:r>
    </w:p>
    <w:p>
      <w:pPr>
        <w:pStyle w:val="BodyText"/>
        <w:spacing w:before="1"/>
        <w:rPr>
          <w:rFonts w:ascii="Cambria Math"/>
          <w:sz w:val="20"/>
        </w:rPr>
      </w:pPr>
    </w:p>
    <w:p>
      <w:pPr>
        <w:pStyle w:val="BodyText"/>
        <w:spacing w:before="1"/>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3"/>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λ = argument</w:t>
      </w:r>
      <w:r>
        <w:rPr>
          <w:spacing w:val="-2"/>
          <w:sz w:val="22"/>
        </w:rPr>
        <w:t> </w:t>
      </w:r>
      <w:r>
        <w:rPr>
          <w:rFonts w:ascii="Times New Roman" w:hAnsi="Times New Roman"/>
          <w:i/>
          <w:sz w:val="22"/>
        </w:rPr>
        <w:t>lambda</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w w:val="100"/>
                <w:sz w:val="22"/>
              </w:rPr>
              <w:t>x</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value at which the function is evaluated.</w:t>
            </w:r>
          </w:p>
        </w:tc>
      </w:tr>
      <w:tr>
        <w:trPr>
          <w:trHeight w:val="354" w:hRule="atLeast"/>
        </w:trPr>
        <w:tc>
          <w:tcPr>
            <w:tcW w:w="1466" w:type="dxa"/>
          </w:tcPr>
          <w:p>
            <w:pPr>
              <w:pStyle w:val="TableParagraph"/>
              <w:spacing w:before="37"/>
              <w:rPr>
                <w:rFonts w:ascii="Times New Roman"/>
                <w:i/>
                <w:sz w:val="22"/>
              </w:rPr>
            </w:pPr>
            <w:r>
              <w:rPr>
                <w:rFonts w:ascii="Times New Roman"/>
                <w:i/>
                <w:sz w:val="22"/>
              </w:rPr>
              <w:t>lambda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inverse of the mean.</w:t>
            </w:r>
          </w:p>
        </w:tc>
      </w:tr>
      <w:tr>
        <w:trPr>
          <w:trHeight w:val="1161" w:hRule="atLeast"/>
        </w:trPr>
        <w:tc>
          <w:tcPr>
            <w:tcW w:w="1466" w:type="dxa"/>
          </w:tcPr>
          <w:p>
            <w:pPr>
              <w:pStyle w:val="TableParagraph"/>
              <w:spacing w:before="37"/>
              <w:ind w:right="282"/>
              <w:rPr>
                <w:rFonts w:ascii="Times New Roman"/>
                <w:i/>
                <w:sz w:val="22"/>
              </w:rPr>
            </w:pPr>
            <w:r>
              <w:rPr>
                <w:rFonts w:ascii="Times New Roman"/>
                <w:i/>
                <w:sz w:val="22"/>
              </w:rPr>
              <w:t>cumulative- </w:t>
            </w:r>
            <w:r>
              <w:rPr>
                <w:rFonts w:ascii="Times New Roman"/>
                <w:i/>
                <w:sz w:val="22"/>
              </w:rPr>
              <w:t>flag</w:t>
            </w:r>
          </w:p>
        </w:tc>
        <w:tc>
          <w:tcPr>
            <w:tcW w:w="1800" w:type="dxa"/>
          </w:tcPr>
          <w:p>
            <w:pPr>
              <w:pStyle w:val="TableParagraph"/>
              <w:ind w:left="112"/>
              <w:rPr>
                <w:sz w:val="22"/>
              </w:rPr>
            </w:pPr>
            <w:r>
              <w:rPr>
                <w:sz w:val="22"/>
              </w:rPr>
              <w:t>logical</w:t>
            </w:r>
          </w:p>
        </w:tc>
        <w:tc>
          <w:tcPr>
            <w:tcW w:w="5400" w:type="dxa"/>
          </w:tcPr>
          <w:p>
            <w:pPr>
              <w:pStyle w:val="TableParagraph"/>
              <w:ind w:left="113" w:right="141"/>
              <w:rPr>
                <w:sz w:val="22"/>
              </w:rPr>
            </w:pPr>
            <w:r>
              <w:rPr>
                <w:sz w:val="22"/>
              </w:rPr>
              <w:t>Determines the form of the function. If </w:t>
            </w:r>
            <w:r>
              <w:rPr>
                <w:rFonts w:ascii="Consolas"/>
                <w:sz w:val="22"/>
              </w:rPr>
              <w:t>TRUE</w:t>
            </w:r>
            <w:r>
              <w:rPr>
                <w:sz w:val="22"/>
              </w:rPr>
              <w:t>, </w:t>
            </w:r>
            <w:r>
              <w:rPr>
                <w:rFonts w:ascii="Consolas"/>
                <w:sz w:val="22"/>
              </w:rPr>
              <w:t>EXPONDIST</w:t>
            </w:r>
            <w:r>
              <w:rPr>
                <w:rFonts w:ascii="Consolas"/>
                <w:spacing w:val="-86"/>
                <w:sz w:val="22"/>
              </w:rPr>
              <w:t> </w:t>
            </w:r>
            <w:r>
              <w:rPr>
                <w:sz w:val="22"/>
              </w:rPr>
              <w:t>returns the cumulative distribution function; if </w:t>
            </w:r>
            <w:r>
              <w:rPr>
                <w:rFonts w:ascii="Consolas"/>
                <w:sz w:val="22"/>
              </w:rPr>
              <w:t>FALSE</w:t>
            </w:r>
            <w:r>
              <w:rPr>
                <w:sz w:val="22"/>
              </w:rPr>
              <w:t>, </w:t>
            </w:r>
            <w:r>
              <w:rPr>
                <w:rFonts w:ascii="Consolas"/>
                <w:sz w:val="22"/>
              </w:rPr>
              <w:t>EXPONDIST </w:t>
            </w:r>
            <w:r>
              <w:rPr>
                <w:sz w:val="22"/>
              </w:rPr>
              <w:t>returns the probability density function.</w:t>
            </w:r>
          </w:p>
        </w:tc>
      </w:tr>
    </w:tbl>
    <w:p>
      <w:pPr>
        <w:pStyle w:val="BodyText"/>
        <w:rPr>
          <w:b/>
        </w:rPr>
      </w:pPr>
    </w:p>
    <w:p>
      <w:pPr>
        <w:pStyle w:val="BodyText"/>
        <w:spacing w:before="7"/>
        <w:rPr>
          <w:b/>
          <w:sz w:val="19"/>
        </w:rPr>
      </w:pPr>
    </w:p>
    <w:p>
      <w:pPr>
        <w:spacing w:line="453" w:lineRule="auto" w:before="0"/>
        <w:ind w:left="220" w:right="4745" w:firstLine="0"/>
        <w:jc w:val="left"/>
        <w:rPr>
          <w:sz w:val="22"/>
        </w:rPr>
      </w:pPr>
      <w:r>
        <w:rPr>
          <w:b/>
          <w:sz w:val="22"/>
        </w:rPr>
        <w:t>Return Type and Value: </w:t>
      </w:r>
      <w:r>
        <w:rPr>
          <w:sz w:val="22"/>
        </w:rPr>
        <w:t>number – The exponential distribution.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&lt; 0, </w:t>
      </w:r>
      <w:r>
        <w:rPr>
          <w:rFonts w:ascii="Consolas" w:hAnsi="Consolas"/>
          <w:sz w:val="22"/>
        </w:rPr>
        <w:t>#NUM!</w:t>
      </w:r>
      <w:r>
        <w:rPr>
          <w:rFonts w:ascii="Consolas" w:hAnsi="Consolas"/>
          <w:spacing w:val="-76"/>
          <w:sz w:val="22"/>
        </w:rPr>
        <w:t> </w:t>
      </w:r>
      <w:r>
        <w:rPr>
          <w:sz w:val="22"/>
        </w:rPr>
        <w:t>is returned.</w:t>
      </w:r>
    </w:p>
    <w:p>
      <w:pPr>
        <w:spacing w:after="0" w:line="240" w:lineRule="auto"/>
        <w:jc w:val="left"/>
        <w:rPr>
          <w:sz w:val="22"/>
        </w:rPr>
        <w:sectPr>
          <w:pgSz w:w="12240" w:h="15840"/>
          <w:pgMar w:header="761" w:footer="746" w:top="1340" w:bottom="940" w:left="860" w:right="700"/>
        </w:sectPr>
      </w:pPr>
    </w:p>
    <w:p>
      <w:pPr>
        <w:pStyle w:val="ListParagraph"/>
        <w:numPr>
          <w:ilvl w:val="4"/>
          <w:numId w:val="66"/>
        </w:numPr>
        <w:tabs>
          <w:tab w:pos="940" w:val="left" w:leader="none"/>
          <w:tab w:pos="941" w:val="left" w:leader="none"/>
        </w:tabs>
        <w:spacing w:line="446" w:lineRule="auto" w:before="148" w:after="0"/>
        <w:ind w:left="220" w:right="6956" w:firstLine="360"/>
        <w:jc w:val="left"/>
        <w:rPr>
          <w:sz w:val="22"/>
        </w:rPr>
      </w:pPr>
      <w:r>
        <w:rPr>
          <w:rFonts w:ascii="Times New Roman" w:hAnsi="Times New Roman"/>
          <w:i/>
          <w:sz w:val="22"/>
        </w:rPr>
        <w:t>lambda </w:t>
      </w:r>
      <w:r>
        <w:rPr>
          <w:sz w:val="22"/>
        </w:rPr>
        <w:t>≤ 0, </w:t>
      </w:r>
      <w:r>
        <w:rPr>
          <w:rFonts w:ascii="Consolas" w:hAnsi="Consolas"/>
          <w:sz w:val="22"/>
        </w:rPr>
        <w:t>#NUM!</w:t>
      </w:r>
      <w:r>
        <w:rPr>
          <w:rFonts w:ascii="Consolas" w:hAnsi="Consolas"/>
          <w:spacing w:val="-80"/>
          <w:sz w:val="22"/>
        </w:rPr>
        <w:t> </w:t>
      </w:r>
      <w:r>
        <w:rPr>
          <w:sz w:val="22"/>
        </w:rPr>
        <w:t>is returned. [</w:t>
      </w:r>
      <w:r>
        <w:rPr>
          <w:i/>
          <w:sz w:val="22"/>
        </w:rPr>
        <w:t>Example</w:t>
      </w:r>
      <w:r>
        <w:rPr>
          <w:sz w:val="22"/>
        </w:rPr>
        <w:t>:</w:t>
      </w:r>
    </w:p>
    <w:p>
      <w:pPr>
        <w:pStyle w:val="BodyText"/>
        <w:spacing w:line="276" w:lineRule="auto" w:before="126"/>
        <w:ind w:left="220" w:right="5295"/>
        <w:rPr>
          <w:rFonts w:ascii="Consolas"/>
        </w:rPr>
      </w:pPr>
      <w:r>
        <w:rPr>
          <w:rFonts w:ascii="Consolas"/>
        </w:rPr>
        <w:t>EXPONDIST(0.2,10,FALSE)</w:t>
      </w:r>
      <w:r>
        <w:rPr>
          <w:rFonts w:ascii="Consolas"/>
          <w:spacing w:val="-70"/>
        </w:rPr>
        <w:t> </w:t>
      </w:r>
      <w:r>
        <w:rPr/>
        <w:t>results in </w:t>
      </w:r>
      <w:r>
        <w:rPr>
          <w:rFonts w:ascii="Consolas"/>
        </w:rPr>
        <w:t>1.353352832 EXPONDIST(2.3,1.5,TRUE)</w:t>
      </w:r>
      <w:r>
        <w:rPr>
          <w:rFonts w:ascii="Consolas"/>
          <w:spacing w:val="-70"/>
        </w:rPr>
        <w:t> </w:t>
      </w:r>
      <w:r>
        <w:rPr/>
        <w:t>results in </w:t>
      </w:r>
      <w:r>
        <w:rPr>
          <w:rFonts w:ascii="Consolas"/>
        </w:rPr>
        <w:t>0.968254364</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5 FACT" w:id="1737"/>
      <w:bookmarkEnd w:id="1737"/>
      <w:r>
        <w:rPr/>
      </w:r>
      <w:bookmarkStart w:name="_bookmark578" w:id="1738"/>
      <w:bookmarkEnd w:id="1738"/>
      <w:r>
        <w:rPr/>
      </w:r>
      <w:bookmarkStart w:name="_bookmark578" w:id="1739"/>
      <w:bookmarkEnd w:id="1739"/>
      <w:r>
        <w:rPr>
          <w:color w:val="4F81BC"/>
        </w:rPr>
        <w:t>F</w:t>
      </w:r>
      <w:r>
        <w:rPr>
          <w:color w:val="4F81BC"/>
        </w:rPr>
        <w:t>ACT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FACT ( </w:t>
      </w:r>
      <w:r>
        <w:rPr>
          <w:i/>
          <w:sz w:val="22"/>
        </w:rPr>
        <w:t>x </w:t>
      </w:r>
      <w:r>
        <w:rPr>
          <w:rFonts w:ascii="Lucida Console"/>
          <w:sz w:val="20"/>
        </w:rPr>
        <w:t>)</w:t>
      </w:r>
    </w:p>
    <w:p>
      <w:pPr>
        <w:spacing w:before="111"/>
        <w:ind w:left="220" w:right="0" w:firstLine="0"/>
        <w:jc w:val="left"/>
        <w:rPr>
          <w:sz w:val="22"/>
        </w:rPr>
      </w:pPr>
      <w:r>
        <w:rPr>
          <w:b/>
          <w:sz w:val="22"/>
        </w:rPr>
        <w:t>Description: </w:t>
      </w:r>
      <w:r>
        <w:rPr>
          <w:sz w:val="22"/>
        </w:rPr>
        <w:t>Computes the factorial of </w:t>
      </w:r>
      <w:r>
        <w:rPr>
          <w:rFonts w:ascii="Times New Roman"/>
          <w:i/>
          <w:sz w:val="22"/>
        </w:rPr>
        <w:t>x</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1"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spacing w:line="237" w:lineRule="auto" w:before="42"/>
              <w:ind w:left="113" w:right="1040"/>
              <w:rPr>
                <w:sz w:val="22"/>
              </w:rPr>
            </w:pPr>
            <w:r>
              <w:rPr>
                <w:sz w:val="22"/>
              </w:rPr>
              <w:t>The non-negative value whose factorial is to be computed. </w:t>
            </w:r>
            <w:r>
              <w:rPr>
                <w:rFonts w:ascii="Times New Roman"/>
                <w:i/>
                <w:sz w:val="22"/>
              </w:rPr>
              <w:t>x </w:t>
            </w:r>
            <w:r>
              <w:rPr>
                <w:sz w:val="22"/>
              </w:rPr>
              <w:t>is truncated to an integer.</w:t>
            </w:r>
          </w:p>
        </w:tc>
      </w:tr>
    </w:tbl>
    <w:p>
      <w:pPr>
        <w:pStyle w:val="BodyText"/>
        <w:rPr>
          <w:b/>
        </w:rPr>
      </w:pPr>
    </w:p>
    <w:p>
      <w:pPr>
        <w:pStyle w:val="BodyText"/>
        <w:spacing w:before="7"/>
        <w:rPr>
          <w:b/>
          <w:sz w:val="19"/>
        </w:rPr>
      </w:pPr>
    </w:p>
    <w:p>
      <w:pPr>
        <w:spacing w:line="453" w:lineRule="auto" w:before="0"/>
        <w:ind w:left="220" w:right="5773" w:firstLine="0"/>
        <w:jc w:val="left"/>
        <w:rPr>
          <w:sz w:val="22"/>
        </w:rPr>
      </w:pPr>
      <w:r>
        <w:rPr>
          <w:b/>
          <w:sz w:val="22"/>
        </w:rPr>
        <w:t>Return Type and Value: </w:t>
      </w:r>
      <w:r>
        <w:rPr>
          <w:sz w:val="22"/>
        </w:rPr>
        <w:t>number – The factorial of </w:t>
      </w:r>
      <w:r>
        <w:rPr>
          <w:rFonts w:ascii="Times New Roman" w:hAnsi="Times New Roman"/>
          <w:i/>
          <w:sz w:val="22"/>
        </w:rPr>
        <w:t>x</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3" w:after="0"/>
        <w:ind w:left="940" w:right="0" w:hanging="361"/>
        <w:jc w:val="left"/>
        <w:rPr>
          <w:sz w:val="22"/>
        </w:rPr>
      </w:pPr>
      <w:r>
        <w:rPr>
          <w:rFonts w:ascii="Times New Roman" w:hAnsi="Times New Roman"/>
          <w:i/>
          <w:sz w:val="22"/>
        </w:rPr>
        <w:t>x </w:t>
      </w:r>
      <w:r>
        <w:rPr>
          <w:sz w:val="22"/>
        </w:rPr>
        <w:t>is negative,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766" w:firstLine="360"/>
        <w:jc w:val="left"/>
        <w:rPr>
          <w:sz w:val="22"/>
        </w:rPr>
      </w:pPr>
      <w:r>
        <w:rPr>
          <w:rFonts w:ascii="Times New Roman" w:hAnsi="Times New Roman"/>
          <w:i/>
          <w:sz w:val="22"/>
        </w:rPr>
        <w:t>x </w:t>
      </w:r>
      <w:r>
        <w:rPr>
          <w:sz w:val="22"/>
        </w:rPr>
        <w:t>is too large for the result to be representable, </w:t>
      </w:r>
      <w:r>
        <w:rPr>
          <w:rFonts w:ascii="Consolas" w:hAnsi="Consolas"/>
          <w:sz w:val="22"/>
        </w:rPr>
        <w:t>#NUM!</w:t>
      </w:r>
      <w:r>
        <w:rPr>
          <w:rFonts w:ascii="Consolas" w:hAnsi="Consolas"/>
          <w:spacing w:val="-92"/>
          <w:sz w:val="22"/>
        </w:rPr>
        <w:t> </w:t>
      </w:r>
      <w:r>
        <w:rPr>
          <w:sz w:val="22"/>
        </w:rPr>
        <w:t>is returned. [</w:t>
      </w:r>
      <w:r>
        <w:rPr>
          <w:i/>
          <w:sz w:val="22"/>
        </w:rPr>
        <w:t>Example</w:t>
      </w:r>
      <w:r>
        <w:rPr>
          <w:sz w:val="22"/>
        </w:rPr>
        <w:t>:</w:t>
      </w:r>
    </w:p>
    <w:p>
      <w:pPr>
        <w:pStyle w:val="BodyText"/>
        <w:spacing w:line="276" w:lineRule="auto" w:before="126"/>
        <w:ind w:left="220" w:right="8332"/>
        <w:jc w:val="both"/>
        <w:rPr>
          <w:rFonts w:ascii="Consolas"/>
        </w:rPr>
      </w:pPr>
      <w:r>
        <w:rPr>
          <w:rFonts w:ascii="Consolas"/>
        </w:rPr>
        <w:t>FACT(5)</w:t>
      </w:r>
      <w:r>
        <w:rPr>
          <w:rFonts w:ascii="Consolas"/>
          <w:spacing w:val="-72"/>
        </w:rPr>
        <w:t> </w:t>
      </w:r>
      <w:r>
        <w:rPr/>
        <w:t>results in </w:t>
      </w:r>
      <w:r>
        <w:rPr>
          <w:rFonts w:ascii="Consolas"/>
          <w:spacing w:val="-5"/>
        </w:rPr>
        <w:t>120 </w:t>
      </w:r>
      <w:r>
        <w:rPr>
          <w:rFonts w:ascii="Consolas"/>
        </w:rPr>
        <w:t>FACT(3.5)</w:t>
      </w:r>
      <w:r>
        <w:rPr>
          <w:rFonts w:ascii="Consolas"/>
          <w:spacing w:val="-76"/>
        </w:rPr>
        <w:t> </w:t>
      </w:r>
      <w:r>
        <w:rPr/>
        <w:t>results in </w:t>
      </w:r>
      <w:r>
        <w:rPr>
          <w:rFonts w:ascii="Consolas"/>
          <w:spacing w:val="-11"/>
        </w:rPr>
        <w:t>6 </w:t>
      </w:r>
      <w:r>
        <w:rPr>
          <w:rFonts w:ascii="Consolas"/>
        </w:rPr>
        <w:t>FACT(0)</w:t>
      </w:r>
      <w:r>
        <w:rPr>
          <w:rFonts w:ascii="Consolas"/>
          <w:spacing w:val="-73"/>
        </w:rPr>
        <w:t> </w:t>
      </w:r>
      <w:r>
        <w:rPr/>
        <w:t>results in </w:t>
      </w:r>
      <w:r>
        <w:rPr>
          <w:rFonts w:ascii="Consolas"/>
        </w:rPr>
        <w:t>1</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6 FACTDOUBLE" w:id="1740"/>
      <w:bookmarkEnd w:id="1740"/>
      <w:r>
        <w:rPr/>
      </w:r>
      <w:bookmarkStart w:name="_bookmark579" w:id="1741"/>
      <w:bookmarkEnd w:id="1741"/>
      <w:r>
        <w:rPr/>
      </w:r>
      <w:bookmarkStart w:name="_bookmark579" w:id="1742"/>
      <w:bookmarkEnd w:id="1742"/>
      <w:r>
        <w:rPr>
          <w:color w:val="4F81BC"/>
        </w:rPr>
        <w:t>F</w:t>
      </w:r>
      <w:r>
        <w:rPr>
          <w:color w:val="4F81BC"/>
        </w:rPr>
        <w:t>ACTDOUBLE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FACTDOUBLE ( </w:t>
      </w:r>
      <w:r>
        <w:rPr>
          <w:i/>
          <w:sz w:val="22"/>
        </w:rPr>
        <w:t>n </w:t>
      </w:r>
      <w:r>
        <w:rPr>
          <w:rFonts w:ascii="Lucida Console"/>
          <w:sz w:val="20"/>
        </w:rPr>
        <w:t>)</w:t>
      </w:r>
    </w:p>
    <w:p>
      <w:pPr>
        <w:spacing w:before="109"/>
        <w:ind w:left="220" w:right="0" w:firstLine="0"/>
        <w:jc w:val="left"/>
        <w:rPr>
          <w:sz w:val="22"/>
        </w:rPr>
      </w:pPr>
      <w:r>
        <w:rPr>
          <w:b/>
          <w:sz w:val="22"/>
        </w:rPr>
        <w:t>Description: </w:t>
      </w:r>
      <w:r>
        <w:rPr>
          <w:sz w:val="22"/>
        </w:rPr>
        <w:t>Computes the double factorial of </w:t>
      </w:r>
      <w:r>
        <w:rPr>
          <w:rFonts w:ascii="Times New Roman"/>
          <w:i/>
          <w:sz w:val="22"/>
        </w:rPr>
        <w:t>n</w:t>
      </w:r>
      <w:r>
        <w:rPr>
          <w:sz w:val="22"/>
        </w:rPr>
        <w:t>.</w:t>
      </w:r>
    </w:p>
    <w:p>
      <w:pPr>
        <w:pStyle w:val="BodyText"/>
        <w:spacing w:before="8"/>
        <w:rPr>
          <w:sz w:val="19"/>
        </w:rPr>
      </w:pPr>
    </w:p>
    <w:p>
      <w:pPr>
        <w:pStyle w:val="Heading4"/>
        <w:rPr>
          <w:b w:val="0"/>
        </w:rPr>
      </w:pPr>
      <w:r>
        <w:rPr/>
        <w:t>Mathematical Formula</w:t>
      </w:r>
      <w:r>
        <w:rPr>
          <w:b w:val="0"/>
        </w:rPr>
        <w:t>:</w:t>
      </w:r>
    </w:p>
    <w:p>
      <w:pPr>
        <w:spacing w:after="0"/>
        <w:sectPr>
          <w:pgSz w:w="12240" w:h="15840"/>
          <w:pgMar w:header="763" w:footer="746" w:top="1340" w:bottom="940" w:left="860" w:right="700"/>
        </w:sectPr>
      </w:pPr>
    </w:p>
    <w:p>
      <w:pPr>
        <w:pStyle w:val="BodyText"/>
        <w:spacing w:before="93"/>
        <w:ind w:left="220"/>
      </w:pPr>
      <w:r>
        <w:rPr/>
        <w:t>If </w:t>
      </w:r>
      <w:r>
        <w:rPr>
          <w:rFonts w:ascii="Times New Roman"/>
          <w:i/>
        </w:rPr>
        <w:t>n </w:t>
      </w:r>
      <w:r>
        <w:rPr/>
        <w:t>is even:</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𝑛!! = 𝑛</w:t>
      </w:r>
      <w:r>
        <w:rPr>
          <w:rFonts w:ascii="Cambria Math" w:hAnsi="Cambria Math" w:eastAsia="Cambria Math"/>
          <w:position w:val="1"/>
        </w:rPr>
        <w:t>(</w:t>
      </w:r>
      <w:r>
        <w:rPr>
          <w:rFonts w:ascii="Cambria Math" w:hAnsi="Cambria Math" w:eastAsia="Cambria Math"/>
        </w:rPr>
        <w:t>𝑛 − 2</w:t>
      </w:r>
      <w:r>
        <w:rPr>
          <w:rFonts w:ascii="Cambria Math" w:hAnsi="Cambria Math" w:eastAsia="Cambria Math"/>
          <w:position w:val="1"/>
        </w:rPr>
        <w:t>)(</w:t>
      </w:r>
      <w:r>
        <w:rPr>
          <w:rFonts w:ascii="Cambria Math" w:hAnsi="Cambria Math" w:eastAsia="Cambria Math"/>
        </w:rPr>
        <w:t>𝑛 − 4</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4</w:t>
      </w:r>
      <w:r>
        <w:rPr>
          <w:rFonts w:ascii="Cambria Math" w:hAnsi="Cambria Math" w:eastAsia="Cambria Math"/>
          <w:position w:val="1"/>
        </w:rPr>
        <w:t>)(</w:t>
      </w:r>
      <w:r>
        <w:rPr>
          <w:rFonts w:ascii="Cambria Math" w:hAnsi="Cambria Math" w:eastAsia="Cambria Math"/>
        </w:rPr>
        <w:t>2</w:t>
      </w:r>
      <w:r>
        <w:rPr>
          <w:rFonts w:ascii="Cambria Math" w:hAnsi="Cambria Math" w:eastAsia="Cambria Math"/>
          <w:position w:val="1"/>
        </w:rPr>
        <w:t>)</w:t>
      </w:r>
    </w:p>
    <w:p>
      <w:pPr>
        <w:pStyle w:val="BodyText"/>
        <w:spacing w:before="4"/>
        <w:rPr>
          <w:rFonts w:ascii="Cambria Math"/>
          <w:sz w:val="20"/>
        </w:rPr>
      </w:pPr>
    </w:p>
    <w:p>
      <w:pPr>
        <w:pStyle w:val="BodyText"/>
        <w:ind w:left="220"/>
      </w:pPr>
      <w:r>
        <w:rPr/>
        <w:t>If </w:t>
      </w:r>
      <w:r>
        <w:rPr>
          <w:rFonts w:ascii="Times New Roman"/>
          <w:i/>
        </w:rPr>
        <w:t>n </w:t>
      </w:r>
      <w:r>
        <w:rPr/>
        <w:t>is odd:</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𝑛!! = 𝑛</w:t>
      </w:r>
      <w:r>
        <w:rPr>
          <w:rFonts w:ascii="Cambria Math" w:hAnsi="Cambria Math" w:eastAsia="Cambria Math"/>
          <w:position w:val="1"/>
        </w:rPr>
        <w:t>(</w:t>
      </w:r>
      <w:r>
        <w:rPr>
          <w:rFonts w:ascii="Cambria Math" w:hAnsi="Cambria Math" w:eastAsia="Cambria Math"/>
        </w:rPr>
        <w:t>𝑛 − 2</w:t>
      </w:r>
      <w:r>
        <w:rPr>
          <w:rFonts w:ascii="Cambria Math" w:hAnsi="Cambria Math" w:eastAsia="Cambria Math"/>
          <w:position w:val="1"/>
        </w:rPr>
        <w:t>)(</w:t>
      </w:r>
      <w:r>
        <w:rPr>
          <w:rFonts w:ascii="Cambria Math" w:hAnsi="Cambria Math" w:eastAsia="Cambria Math"/>
        </w:rPr>
        <w:t>𝑛 − 4</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3</w:t>
      </w:r>
      <w:r>
        <w:rPr>
          <w:rFonts w:ascii="Cambria Math" w:hAnsi="Cambria Math" w:eastAsia="Cambria Math"/>
          <w:position w:val="1"/>
        </w:rPr>
        <w:t>)(</w:t>
      </w:r>
      <w:r>
        <w:rPr>
          <w:rFonts w:ascii="Cambria Math" w:hAnsi="Cambria Math" w:eastAsia="Cambria Math"/>
        </w:rPr>
        <w:t>1</w:t>
      </w:r>
      <w:r>
        <w:rPr>
          <w:rFonts w:ascii="Cambria Math" w:hAnsi="Cambria Math" w:eastAsia="Cambria Math"/>
          <w:position w:val="1"/>
        </w:rPr>
        <w:t>)</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n </w:t>
      </w:r>
      <w:r>
        <w:rPr>
          <w:sz w:val="22"/>
        </w:rPr>
        <w:t>= argument</w:t>
      </w:r>
      <w:r>
        <w:rPr>
          <w:spacing w:val="-8"/>
          <w:sz w:val="22"/>
        </w:rPr>
        <w:t> </w:t>
      </w:r>
      <w:r>
        <w:rPr>
          <w:rFonts w:ascii="Times New Roman" w:hAnsi="Times New Roman"/>
          <w:i/>
          <w:sz w:val="22"/>
        </w:rPr>
        <w:t>n</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n</w:t>
            </w:r>
          </w:p>
        </w:tc>
        <w:tc>
          <w:tcPr>
            <w:tcW w:w="1800" w:type="dxa"/>
          </w:tcPr>
          <w:p>
            <w:pPr>
              <w:pStyle w:val="TableParagraph"/>
              <w:ind w:left="112"/>
              <w:rPr>
                <w:sz w:val="22"/>
              </w:rPr>
            </w:pPr>
            <w:r>
              <w:rPr>
                <w:sz w:val="22"/>
              </w:rPr>
              <w:t>number</w:t>
            </w:r>
          </w:p>
        </w:tc>
        <w:tc>
          <w:tcPr>
            <w:tcW w:w="5400" w:type="dxa"/>
          </w:tcPr>
          <w:p>
            <w:pPr>
              <w:pStyle w:val="TableParagraph"/>
              <w:ind w:left="113" w:right="368"/>
              <w:rPr>
                <w:sz w:val="22"/>
              </w:rPr>
            </w:pPr>
            <w:r>
              <w:rPr>
                <w:sz w:val="22"/>
              </w:rPr>
              <w:t>The non-negative value whose double factorial is to be computed. </w:t>
            </w:r>
            <w:r>
              <w:rPr>
                <w:rFonts w:ascii="Times New Roman"/>
                <w:i/>
                <w:sz w:val="22"/>
              </w:rPr>
              <w:t>n </w:t>
            </w:r>
            <w:r>
              <w:rPr>
                <w:sz w:val="22"/>
              </w:rPr>
              <w:t>is truncated to an integer.</w:t>
            </w:r>
          </w:p>
        </w:tc>
      </w:tr>
    </w:tbl>
    <w:p>
      <w:pPr>
        <w:pStyle w:val="BodyText"/>
        <w:rPr>
          <w:b/>
        </w:rPr>
      </w:pPr>
    </w:p>
    <w:p>
      <w:pPr>
        <w:pStyle w:val="BodyText"/>
        <w:spacing w:before="7"/>
        <w:rPr>
          <w:b/>
          <w:sz w:val="19"/>
        </w:rPr>
      </w:pPr>
    </w:p>
    <w:p>
      <w:pPr>
        <w:spacing w:line="453" w:lineRule="auto" w:before="0"/>
        <w:ind w:left="220" w:right="5088" w:firstLine="0"/>
        <w:jc w:val="left"/>
        <w:rPr>
          <w:sz w:val="22"/>
        </w:rPr>
      </w:pPr>
      <w:r>
        <w:rPr>
          <w:b/>
          <w:sz w:val="22"/>
        </w:rPr>
        <w:t>Return Type and Value: </w:t>
      </w:r>
      <w:r>
        <w:rPr>
          <w:sz w:val="22"/>
        </w:rPr>
        <w:t>number – The double factorial of </w:t>
      </w:r>
      <w:r>
        <w:rPr>
          <w:rFonts w:ascii="Times New Roman" w:hAnsi="Times New Roman"/>
          <w:i/>
          <w:sz w:val="22"/>
        </w:rPr>
        <w:t>n</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 </w:t>
      </w:r>
      <w:r>
        <w:rPr>
          <w:sz w:val="22"/>
        </w:rPr>
        <w:t>is negative,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754" w:firstLine="360"/>
        <w:jc w:val="left"/>
        <w:rPr>
          <w:sz w:val="22"/>
        </w:rPr>
      </w:pPr>
      <w:r>
        <w:rPr>
          <w:rFonts w:ascii="Times New Roman" w:hAnsi="Times New Roman"/>
          <w:i/>
          <w:sz w:val="22"/>
        </w:rPr>
        <w:t>n </w:t>
      </w:r>
      <w:r>
        <w:rPr>
          <w:sz w:val="22"/>
        </w:rPr>
        <w:t>is too large for the result to be representable, </w:t>
      </w:r>
      <w:r>
        <w:rPr>
          <w:rFonts w:ascii="Consolas" w:hAnsi="Consolas"/>
          <w:sz w:val="22"/>
        </w:rPr>
        <w:t>#NUM!</w:t>
      </w:r>
      <w:r>
        <w:rPr>
          <w:rFonts w:ascii="Consolas" w:hAnsi="Consolas"/>
          <w:spacing w:val="-93"/>
          <w:sz w:val="22"/>
        </w:rPr>
        <w:t> </w:t>
      </w:r>
      <w:r>
        <w:rPr>
          <w:sz w:val="22"/>
        </w:rPr>
        <w:t>is returned. [</w:t>
      </w:r>
      <w:r>
        <w:rPr>
          <w:i/>
          <w:sz w:val="22"/>
        </w:rPr>
        <w:t>Example</w:t>
      </w:r>
      <w:r>
        <w:rPr>
          <w:sz w:val="22"/>
        </w:rPr>
        <w:t>:</w:t>
      </w:r>
    </w:p>
    <w:p>
      <w:pPr>
        <w:pStyle w:val="BodyText"/>
        <w:spacing w:line="273" w:lineRule="auto" w:before="128"/>
        <w:ind w:left="220" w:right="7477"/>
        <w:rPr>
          <w:rFonts w:ascii="Consolas"/>
        </w:rPr>
      </w:pPr>
      <w:r>
        <w:rPr>
          <w:rFonts w:ascii="Consolas"/>
        </w:rPr>
        <w:t>FACTDOUBLE(5) </w:t>
      </w:r>
      <w:r>
        <w:rPr/>
        <w:t>results in </w:t>
      </w:r>
      <w:r>
        <w:rPr>
          <w:rFonts w:ascii="Consolas"/>
        </w:rPr>
        <w:t>15 FACTDOUBLE (3.5)</w:t>
      </w:r>
      <w:r>
        <w:rPr>
          <w:rFonts w:ascii="Consolas"/>
          <w:spacing w:val="-78"/>
        </w:rPr>
        <w:t> </w:t>
      </w:r>
      <w:r>
        <w:rPr/>
        <w:t>results in </w:t>
      </w:r>
      <w:r>
        <w:rPr>
          <w:rFonts w:ascii="Consolas"/>
        </w:rPr>
        <w:t>3</w:t>
      </w:r>
    </w:p>
    <w:p>
      <w:pPr>
        <w:pStyle w:val="BodyText"/>
        <w:spacing w:before="5"/>
        <w:ind w:left="220"/>
        <w:rPr>
          <w:rFonts w:ascii="Consolas"/>
        </w:rPr>
      </w:pPr>
      <w:r>
        <w:rPr>
          <w:rFonts w:ascii="Consolas"/>
        </w:rPr>
        <w:t>FACTDOUBLE (0)</w:t>
      </w:r>
      <w:r>
        <w:rPr>
          <w:rFonts w:ascii="Consolas"/>
          <w:spacing w:val="-75"/>
        </w:rPr>
        <w:t> </w:t>
      </w:r>
      <w:r>
        <w:rPr/>
        <w:t>results in </w:t>
      </w:r>
      <w:r>
        <w:rPr>
          <w:rFonts w:ascii="Consolas"/>
        </w:rPr>
        <w:t>1</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7 FALSE" w:id="1743"/>
      <w:bookmarkEnd w:id="1743"/>
      <w:r>
        <w:rPr/>
      </w:r>
      <w:bookmarkStart w:name="_bookmark580" w:id="1744"/>
      <w:bookmarkEnd w:id="1744"/>
      <w:r>
        <w:rPr/>
      </w:r>
      <w:bookmarkStart w:name="_bookmark580" w:id="1745"/>
      <w:bookmarkEnd w:id="1745"/>
      <w:r>
        <w:rPr>
          <w:color w:val="4F81BC"/>
        </w:rPr>
        <w:t>F</w:t>
      </w:r>
      <w:r>
        <w:rPr>
          <w:color w:val="4F81BC"/>
        </w:rPr>
        <w:t>ALSE</w:t>
      </w:r>
    </w:p>
    <w:p>
      <w:pPr>
        <w:pStyle w:val="Heading4"/>
        <w:spacing w:before="121"/>
        <w:rPr>
          <w:b w:val="0"/>
        </w:rPr>
      </w:pPr>
      <w:r>
        <w:rPr/>
        <w:t>Syntax</w:t>
      </w:r>
      <w:r>
        <w:rPr>
          <w:b w:val="0"/>
        </w:rPr>
        <w:t>:</w:t>
      </w:r>
    </w:p>
    <w:p>
      <w:pPr>
        <w:pStyle w:val="BodyText"/>
        <w:spacing w:before="4"/>
        <w:rPr>
          <w:sz w:val="23"/>
        </w:rPr>
      </w:pPr>
    </w:p>
    <w:p>
      <w:pPr>
        <w:spacing w:before="0"/>
        <w:ind w:left="940" w:right="0" w:firstLine="0"/>
        <w:jc w:val="left"/>
        <w:rPr>
          <w:rFonts w:ascii="Lucida Console"/>
          <w:sz w:val="20"/>
        </w:rPr>
      </w:pPr>
      <w:r>
        <w:rPr>
          <w:rFonts w:ascii="Lucida Console"/>
          <w:sz w:val="20"/>
        </w:rPr>
        <w:t>FALSE (</w:t>
      </w:r>
      <w:r>
        <w:rPr>
          <w:rFonts w:ascii="Lucida Console"/>
          <w:spacing w:val="-92"/>
          <w:sz w:val="20"/>
        </w:rPr>
        <w:t> </w:t>
      </w:r>
      <w:r>
        <w:rPr>
          <w:rFonts w:ascii="Lucida Console"/>
          <w:sz w:val="20"/>
        </w:rPr>
        <w:t>)</w:t>
      </w:r>
    </w:p>
    <w:p>
      <w:pPr>
        <w:spacing w:before="126"/>
        <w:ind w:left="220" w:right="0" w:firstLine="0"/>
        <w:jc w:val="left"/>
        <w:rPr>
          <w:rFonts w:ascii="Times New Roman"/>
          <w:i/>
          <w:sz w:val="22"/>
        </w:rPr>
      </w:pPr>
      <w:r>
        <w:rPr>
          <w:b/>
          <w:sz w:val="22"/>
        </w:rPr>
        <w:t>Description: </w:t>
      </w:r>
      <w:r>
        <w:rPr>
          <w:sz w:val="22"/>
        </w:rPr>
        <w:t>Computes the value </w:t>
      </w:r>
      <w:r>
        <w:rPr>
          <w:rFonts w:ascii="Consolas"/>
          <w:sz w:val="22"/>
        </w:rPr>
        <w:t>FALSE</w:t>
      </w:r>
      <w:r>
        <w:rPr>
          <w:sz w:val="22"/>
        </w:rPr>
        <w:t>. (A call to function </w:t>
      </w:r>
      <w:r>
        <w:rPr>
          <w:rFonts w:ascii="Consolas"/>
          <w:sz w:val="22"/>
        </w:rPr>
        <w:t>FALSE</w:t>
      </w:r>
      <w:r>
        <w:rPr>
          <w:rFonts w:ascii="Consolas"/>
          <w:spacing w:val="-98"/>
          <w:sz w:val="22"/>
        </w:rPr>
        <w:t> </w:t>
      </w:r>
      <w:r>
        <w:rPr>
          <w:sz w:val="22"/>
        </w:rPr>
        <w:t>is equivalent to using the </w:t>
      </w:r>
      <w:r>
        <w:rPr>
          <w:rFonts w:ascii="Times New Roman"/>
          <w:i/>
          <w:sz w:val="22"/>
        </w:rPr>
        <w:t>logical-constant</w:t>
      </w:r>
    </w:p>
    <w:p>
      <w:pPr>
        <w:pStyle w:val="BodyText"/>
        <w:spacing w:before="41"/>
        <w:ind w:left="220"/>
      </w:pPr>
      <w:r>
        <w:rPr>
          <w:rFonts w:ascii="Consolas"/>
        </w:rPr>
        <w:t>FALSE</w:t>
      </w:r>
      <w:r>
        <w:rPr/>
        <w:t>.)</w:t>
      </w:r>
    </w:p>
    <w:p>
      <w:pPr>
        <w:pStyle w:val="BodyText"/>
        <w:spacing w:before="8"/>
        <w:rPr>
          <w:sz w:val="19"/>
        </w:rPr>
      </w:pPr>
    </w:p>
    <w:p>
      <w:pPr>
        <w:spacing w:before="0"/>
        <w:ind w:left="220" w:right="0" w:firstLine="0"/>
        <w:jc w:val="left"/>
        <w:rPr>
          <w:sz w:val="22"/>
        </w:rPr>
      </w:pPr>
      <w:r>
        <w:rPr>
          <w:b/>
          <w:sz w:val="22"/>
        </w:rPr>
        <w:t>Arguments: </w:t>
      </w:r>
      <w:r>
        <w:rPr>
          <w:sz w:val="22"/>
        </w:rPr>
        <w:t>None.</w:t>
      </w:r>
    </w:p>
    <w:p>
      <w:pPr>
        <w:pStyle w:val="BodyText"/>
        <w:spacing w:before="8"/>
        <w:rPr>
          <w:sz w:val="19"/>
        </w:rPr>
      </w:pPr>
    </w:p>
    <w:p>
      <w:pPr>
        <w:spacing w:before="0"/>
        <w:ind w:left="220" w:right="0" w:firstLine="0"/>
        <w:jc w:val="left"/>
        <w:rPr>
          <w:sz w:val="22"/>
        </w:rPr>
      </w:pPr>
      <w:r>
        <w:rPr>
          <w:b/>
          <w:sz w:val="22"/>
        </w:rPr>
        <w:t>Return Type and Value: </w:t>
      </w:r>
      <w:r>
        <w:rPr>
          <w:sz w:val="22"/>
        </w:rPr>
        <w:t>logical – The value </w:t>
      </w:r>
      <w:r>
        <w:rPr>
          <w:rFonts w:ascii="Consolas" w:hAnsi="Consolas"/>
          <w:sz w:val="22"/>
        </w:rPr>
        <w:t>FALSE</w:t>
      </w:r>
      <w:r>
        <w:rPr>
          <w:sz w:val="22"/>
        </w:rPr>
        <w:t>.</w:t>
      </w:r>
    </w:p>
    <w:p>
      <w:pPr>
        <w:spacing w:after="0"/>
        <w:jc w:val="left"/>
        <w:rPr>
          <w:sz w:val="22"/>
        </w:rPr>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before="1"/>
        <w:ind w:left="220"/>
        <w:rPr>
          <w:rFonts w:ascii="Consolas"/>
        </w:rPr>
      </w:pPr>
      <w:r>
        <w:rPr>
          <w:rFonts w:ascii="Consolas"/>
        </w:rPr>
        <w:t>FALSE()</w:t>
      </w:r>
      <w:r>
        <w:rPr>
          <w:rFonts w:ascii="Consolas"/>
          <w:spacing w:val="-74"/>
        </w:rPr>
        <w:t> </w:t>
      </w:r>
      <w:r>
        <w:rPr/>
        <w:t>results in </w:t>
      </w:r>
      <w:r>
        <w:rPr>
          <w:rFonts w:ascii="Consolas"/>
        </w:rPr>
        <w:t>FALSE</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8 FDIST" w:id="1746"/>
      <w:bookmarkEnd w:id="1746"/>
      <w:r>
        <w:rPr/>
      </w:r>
      <w:bookmarkStart w:name="_bookmark581" w:id="1747"/>
      <w:bookmarkEnd w:id="1747"/>
      <w:r>
        <w:rPr/>
      </w:r>
      <w:bookmarkStart w:name="_bookmark581" w:id="1748"/>
      <w:bookmarkEnd w:id="1748"/>
      <w:r>
        <w:rPr>
          <w:color w:val="4F81BC"/>
        </w:rPr>
        <w:t>FD</w:t>
      </w:r>
      <w:r>
        <w:rPr>
          <w:color w:val="4F81BC"/>
        </w:rPr>
        <w:t>IST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FDIST ( </w:t>
      </w:r>
      <w:r>
        <w:rPr>
          <w:i/>
          <w:sz w:val="22"/>
        </w:rPr>
        <w:t>x </w:t>
      </w:r>
      <w:r>
        <w:rPr>
          <w:rFonts w:ascii="Lucida Console"/>
          <w:sz w:val="20"/>
        </w:rPr>
        <w:t>, </w:t>
      </w:r>
      <w:r>
        <w:rPr>
          <w:i/>
          <w:sz w:val="22"/>
        </w:rPr>
        <w:t>degrees-freedom-1 </w:t>
      </w:r>
      <w:r>
        <w:rPr>
          <w:rFonts w:ascii="Lucida Console"/>
          <w:sz w:val="20"/>
        </w:rPr>
        <w:t>,</w:t>
      </w:r>
      <w:r>
        <w:rPr>
          <w:rFonts w:ascii="Lucida Console"/>
          <w:spacing w:val="-84"/>
          <w:sz w:val="20"/>
        </w:rPr>
        <w:t> </w:t>
      </w:r>
      <w:r>
        <w:rPr>
          <w:i/>
          <w:sz w:val="22"/>
        </w:rPr>
        <w:t>degrees-freedom-2 </w:t>
      </w:r>
      <w:r>
        <w:rPr>
          <w:rFonts w:ascii="Lucida Console"/>
          <w:sz w:val="20"/>
        </w:rPr>
        <w:t>)</w:t>
      </w:r>
    </w:p>
    <w:p>
      <w:pPr>
        <w:spacing w:before="108"/>
        <w:ind w:left="220" w:right="0" w:firstLine="0"/>
        <w:jc w:val="left"/>
        <w:rPr>
          <w:sz w:val="22"/>
        </w:rPr>
      </w:pPr>
      <w:r>
        <w:rPr>
          <w:b/>
          <w:sz w:val="22"/>
        </w:rPr>
        <w:t>Description: </w:t>
      </w:r>
      <w:r>
        <w:rPr>
          <w:sz w:val="22"/>
        </w:rPr>
        <w:t>Computes the F probability distribution.</w:t>
      </w:r>
    </w:p>
    <w:p>
      <w:pPr>
        <w:pStyle w:val="BodyText"/>
        <w:spacing w:before="9"/>
        <w:rPr>
          <w:sz w:val="19"/>
        </w:rPr>
      </w:pPr>
    </w:p>
    <w:p>
      <w:pPr>
        <w:pStyle w:val="Heading4"/>
        <w:rPr>
          <w:b w:val="0"/>
        </w:rPr>
      </w:pPr>
      <w:r>
        <w:rPr/>
        <w:t>Mathematical Formula</w:t>
      </w:r>
      <w:r>
        <w:rPr>
          <w:b w:val="0"/>
        </w:rPr>
        <w:t>:</w:t>
      </w:r>
    </w:p>
    <w:p>
      <w:pPr>
        <w:pStyle w:val="BodyText"/>
      </w:pPr>
    </w:p>
    <w:p>
      <w:pPr>
        <w:pStyle w:val="BodyText"/>
      </w:pPr>
    </w:p>
    <w:p>
      <w:pPr>
        <w:pStyle w:val="BodyText"/>
        <w:spacing w:before="190"/>
        <w:ind w:left="220"/>
        <w:rPr>
          <w:rFonts w:ascii="Cambria Math" w:eastAsia="Cambria Math"/>
        </w:rPr>
      </w:pPr>
      <w:r>
        <w:rPr>
          <w:rFonts w:ascii="Cambria Math" w:eastAsia="Cambria Math"/>
        </w:rPr>
        <w:t>𝐹𝐷𝐼𝑆𝑇 = 𝑃</w:t>
      </w:r>
      <w:r>
        <w:rPr>
          <w:rFonts w:ascii="Cambria Math" w:eastAsia="Cambria Math"/>
          <w:position w:val="1"/>
        </w:rPr>
        <w:t>(</w:t>
      </w:r>
      <w:r>
        <w:rPr>
          <w:rFonts w:ascii="Cambria Math" w:eastAsia="Cambria Math"/>
        </w:rPr>
        <w:t>𝐹 &gt; 𝑥</w:t>
      </w:r>
      <w:r>
        <w:rPr>
          <w:rFonts w:ascii="Cambria Math" w:eastAsia="Cambria Math"/>
          <w:position w:val="1"/>
        </w:rPr>
        <w:t>)</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F </w:t>
      </w:r>
      <w:r>
        <w:rPr>
          <w:sz w:val="22"/>
        </w:rPr>
        <w:t>is a random variable that has an F distribution with degrees of freedom </w:t>
      </w:r>
      <w:r>
        <w:rPr>
          <w:rFonts w:ascii="Times New Roman" w:hAnsi="Times New Roman"/>
          <w:i/>
          <w:sz w:val="22"/>
        </w:rPr>
        <w:t>degrees-freedom-1</w:t>
      </w:r>
      <w:r>
        <w:rPr>
          <w:rFonts w:ascii="Times New Roman" w:hAnsi="Times New Roman"/>
          <w:i/>
          <w:spacing w:val="-24"/>
          <w:sz w:val="22"/>
        </w:rPr>
        <w:t> </w:t>
      </w:r>
      <w:r>
        <w:rPr>
          <w:sz w:val="22"/>
        </w:rPr>
        <w:t>and</w:t>
      </w:r>
    </w:p>
    <w:p>
      <w:pPr>
        <w:spacing w:before="36"/>
        <w:ind w:left="940" w:right="0" w:firstLine="0"/>
        <w:jc w:val="left"/>
        <w:rPr>
          <w:rFonts w:ascii="Times New Roman"/>
          <w:i/>
          <w:sz w:val="22"/>
        </w:rPr>
      </w:pPr>
      <w:r>
        <w:rPr>
          <w:rFonts w:ascii="Times New Roman"/>
          <w:i/>
          <w:sz w:val="22"/>
        </w:rPr>
        <w:t>degrees-freedom-2</w:t>
      </w:r>
    </w:p>
    <w:p>
      <w:pPr>
        <w:pStyle w:val="ListParagraph"/>
        <w:numPr>
          <w:ilvl w:val="4"/>
          <w:numId w:val="66"/>
        </w:numPr>
        <w:tabs>
          <w:tab w:pos="940" w:val="left" w:leader="none"/>
          <w:tab w:pos="941" w:val="left" w:leader="none"/>
        </w:tabs>
        <w:spacing w:line="240" w:lineRule="auto" w:before="43" w:after="0"/>
        <w:ind w:left="940" w:right="0" w:hanging="361"/>
        <w:jc w:val="left"/>
        <w:rPr>
          <w:rFonts w:ascii="Times New Roman" w:hAnsi="Times New Roman"/>
          <w:i/>
          <w:sz w:val="22"/>
        </w:rPr>
      </w:pPr>
      <w:r>
        <w:rPr>
          <w:rFonts w:ascii="Times New Roman" w:hAnsi="Times New Roman"/>
          <w:i/>
          <w:sz w:val="22"/>
        </w:rPr>
        <w:t>x </w:t>
      </w:r>
      <w:r>
        <w:rPr>
          <w:sz w:val="22"/>
        </w:rPr>
        <w:t>is argument</w:t>
      </w:r>
      <w:r>
        <w:rPr>
          <w:spacing w:val="-8"/>
          <w:sz w:val="22"/>
        </w:rPr>
        <w:t> </w:t>
      </w:r>
      <w:r>
        <w:rPr>
          <w:rFonts w:ascii="Times New Roman" w:hAnsi="Times New Roman"/>
          <w:i/>
          <w:sz w:val="22"/>
        </w:rPr>
        <w:t>x</w:t>
      </w:r>
    </w:p>
    <w:p>
      <w:pPr>
        <w:pStyle w:val="Heading4"/>
        <w:spacing w:before="240"/>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the function is to be evaluated.</w:t>
            </w:r>
          </w:p>
        </w:tc>
      </w:tr>
      <w:tr>
        <w:trPr>
          <w:trHeight w:val="623" w:hRule="atLeast"/>
        </w:trPr>
        <w:tc>
          <w:tcPr>
            <w:tcW w:w="1466" w:type="dxa"/>
          </w:tcPr>
          <w:p>
            <w:pPr>
              <w:pStyle w:val="TableParagraph"/>
              <w:spacing w:before="37"/>
              <w:ind w:right="431"/>
              <w:rPr>
                <w:rFonts w:ascii="Times New Roman"/>
                <w:i/>
                <w:sz w:val="22"/>
              </w:rPr>
            </w:pPr>
            <w:r>
              <w:rPr>
                <w:rFonts w:ascii="Times New Roman"/>
                <w:i/>
                <w:sz w:val="22"/>
              </w:rPr>
              <w:t>degrees- </w:t>
            </w:r>
            <w:r>
              <w:rPr>
                <w:rFonts w:ascii="Times New Roman"/>
                <w:i/>
                <w:sz w:val="22"/>
              </w:rPr>
              <w:t>freedom-1</w:t>
            </w:r>
          </w:p>
        </w:tc>
        <w:tc>
          <w:tcPr>
            <w:tcW w:w="1800" w:type="dxa"/>
          </w:tcPr>
          <w:p>
            <w:pPr>
              <w:pStyle w:val="TableParagraph"/>
              <w:ind w:left="112"/>
              <w:rPr>
                <w:sz w:val="22"/>
              </w:rPr>
            </w:pPr>
            <w:r>
              <w:rPr>
                <w:sz w:val="22"/>
              </w:rPr>
              <w:t>number</w:t>
            </w:r>
          </w:p>
        </w:tc>
        <w:tc>
          <w:tcPr>
            <w:tcW w:w="5400" w:type="dxa"/>
          </w:tcPr>
          <w:p>
            <w:pPr>
              <w:pStyle w:val="TableParagraph"/>
              <w:ind w:left="113" w:right="393"/>
              <w:rPr>
                <w:sz w:val="22"/>
              </w:rPr>
            </w:pPr>
            <w:r>
              <w:rPr>
                <w:sz w:val="22"/>
              </w:rPr>
              <w:t>The number of degrees of freedom for the numerator, truncated to an integer.</w:t>
            </w:r>
          </w:p>
        </w:tc>
      </w:tr>
      <w:tr>
        <w:trPr>
          <w:trHeight w:val="623" w:hRule="atLeast"/>
        </w:trPr>
        <w:tc>
          <w:tcPr>
            <w:tcW w:w="1466" w:type="dxa"/>
          </w:tcPr>
          <w:p>
            <w:pPr>
              <w:pStyle w:val="TableParagraph"/>
              <w:spacing w:before="37"/>
              <w:ind w:right="431"/>
              <w:rPr>
                <w:rFonts w:ascii="Times New Roman"/>
                <w:i/>
                <w:sz w:val="22"/>
              </w:rPr>
            </w:pPr>
            <w:r>
              <w:rPr>
                <w:rFonts w:ascii="Times New Roman"/>
                <w:i/>
                <w:sz w:val="22"/>
              </w:rPr>
              <w:t>degrees- </w:t>
            </w:r>
            <w:r>
              <w:rPr>
                <w:rFonts w:ascii="Times New Roman"/>
                <w:i/>
                <w:sz w:val="22"/>
              </w:rPr>
              <w:t>freedom-2</w:t>
            </w:r>
          </w:p>
        </w:tc>
        <w:tc>
          <w:tcPr>
            <w:tcW w:w="1800" w:type="dxa"/>
          </w:tcPr>
          <w:p>
            <w:pPr>
              <w:pStyle w:val="TableParagraph"/>
              <w:ind w:left="112"/>
              <w:rPr>
                <w:sz w:val="22"/>
              </w:rPr>
            </w:pPr>
            <w:r>
              <w:rPr>
                <w:sz w:val="22"/>
              </w:rPr>
              <w:t>number</w:t>
            </w:r>
          </w:p>
        </w:tc>
        <w:tc>
          <w:tcPr>
            <w:tcW w:w="5400" w:type="dxa"/>
          </w:tcPr>
          <w:p>
            <w:pPr>
              <w:pStyle w:val="TableParagraph"/>
              <w:ind w:left="113" w:right="187"/>
              <w:rPr>
                <w:sz w:val="22"/>
              </w:rPr>
            </w:pPr>
            <w:r>
              <w:rPr>
                <w:sz w:val="22"/>
              </w:rPr>
              <w:t>The number of degrees of freedom for the denominator, truncated to an integer.</w:t>
            </w:r>
          </w:p>
        </w:tc>
      </w:tr>
    </w:tbl>
    <w:p>
      <w:pPr>
        <w:pStyle w:val="BodyText"/>
        <w:rPr>
          <w:b/>
        </w:rPr>
      </w:pPr>
    </w:p>
    <w:p>
      <w:pPr>
        <w:pStyle w:val="BodyText"/>
        <w:spacing w:before="7"/>
        <w:rPr>
          <w:b/>
          <w:sz w:val="19"/>
        </w:rPr>
      </w:pPr>
    </w:p>
    <w:p>
      <w:pPr>
        <w:spacing w:line="453" w:lineRule="auto" w:before="0"/>
        <w:ind w:left="220" w:right="4681" w:firstLine="0"/>
        <w:jc w:val="left"/>
        <w:rPr>
          <w:sz w:val="22"/>
        </w:rPr>
      </w:pPr>
      <w:r>
        <w:rPr>
          <w:b/>
          <w:sz w:val="22"/>
        </w:rPr>
        <w:t>Return Type and Value: </w:t>
      </w:r>
      <w:r>
        <w:rPr>
          <w:sz w:val="22"/>
        </w:rPr>
        <w:t>number – The F probability distribution.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is negative,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degrees-freedom-1 </w:t>
      </w:r>
      <w:r>
        <w:rPr>
          <w:sz w:val="22"/>
        </w:rPr>
        <w:t>&lt; 1 or </w:t>
      </w:r>
      <w:r>
        <w:rPr>
          <w:rFonts w:ascii="Times New Roman" w:hAnsi="Times New Roman"/>
          <w:i/>
          <w:sz w:val="22"/>
        </w:rPr>
        <w:t>degrees-freedom-1 </w:t>
      </w:r>
      <w:r>
        <w:rPr>
          <w:sz w:val="22"/>
        </w:rPr>
        <w:t>≥ 10</w:t>
      </w:r>
      <w:r>
        <w:rPr>
          <w:sz w:val="22"/>
          <w:vertAlign w:val="superscript"/>
        </w:rPr>
        <w:t>10</w:t>
      </w:r>
      <w:r>
        <w:rPr>
          <w:sz w:val="22"/>
          <w:vertAlign w:val="baseline"/>
        </w:rPr>
        <w:t>, </w:t>
      </w:r>
      <w:r>
        <w:rPr>
          <w:rFonts w:ascii="Consolas" w:hAnsi="Consolas"/>
          <w:sz w:val="22"/>
          <w:vertAlign w:val="baseline"/>
        </w:rPr>
        <w:t>#NUM!</w:t>
      </w:r>
      <w:r>
        <w:rPr>
          <w:rFonts w:ascii="Consolas" w:hAnsi="Consolas"/>
          <w:spacing w:val="-88"/>
          <w:sz w:val="22"/>
          <w:vertAlign w:val="baseline"/>
        </w:rPr>
        <w:t> </w:t>
      </w:r>
      <w:r>
        <w:rPr>
          <w:sz w:val="22"/>
          <w:vertAlign w:val="baseline"/>
        </w:rPr>
        <w:t>is returned.</w:t>
      </w:r>
    </w:p>
    <w:p>
      <w:pPr>
        <w:pStyle w:val="ListParagraph"/>
        <w:numPr>
          <w:ilvl w:val="4"/>
          <w:numId w:val="66"/>
        </w:numPr>
        <w:tabs>
          <w:tab w:pos="940" w:val="left" w:leader="none"/>
          <w:tab w:pos="941" w:val="left" w:leader="none"/>
        </w:tabs>
        <w:spacing w:line="446" w:lineRule="auto" w:before="39" w:after="0"/>
        <w:ind w:left="220" w:right="3427" w:firstLine="360"/>
        <w:jc w:val="left"/>
        <w:rPr>
          <w:sz w:val="22"/>
        </w:rPr>
      </w:pPr>
      <w:r>
        <w:rPr>
          <w:rFonts w:ascii="Times New Roman" w:hAnsi="Times New Roman"/>
          <w:i/>
          <w:sz w:val="22"/>
        </w:rPr>
        <w:t>degrees-freedom-2 </w:t>
      </w:r>
      <w:r>
        <w:rPr>
          <w:sz w:val="22"/>
        </w:rPr>
        <w:t>&lt; 1 or </w:t>
      </w:r>
      <w:r>
        <w:rPr>
          <w:rFonts w:ascii="Times New Roman" w:hAnsi="Times New Roman"/>
          <w:i/>
          <w:sz w:val="22"/>
        </w:rPr>
        <w:t>degrees-freedom-2 </w:t>
      </w:r>
      <w:r>
        <w:rPr>
          <w:sz w:val="22"/>
        </w:rPr>
        <w:t>≥ 10</w:t>
      </w:r>
      <w:r>
        <w:rPr>
          <w:sz w:val="22"/>
          <w:vertAlign w:val="superscript"/>
        </w:rPr>
        <w:t>10</w:t>
      </w:r>
      <w:r>
        <w:rPr>
          <w:sz w:val="22"/>
          <w:vertAlign w:val="baseline"/>
        </w:rPr>
        <w:t>, </w:t>
      </w:r>
      <w:r>
        <w:rPr>
          <w:rFonts w:ascii="Consolas" w:hAnsi="Consolas"/>
          <w:sz w:val="22"/>
          <w:vertAlign w:val="baseline"/>
        </w:rPr>
        <w:t>#NUM!</w:t>
      </w:r>
      <w:r>
        <w:rPr>
          <w:rFonts w:ascii="Consolas" w:hAnsi="Consolas"/>
          <w:spacing w:val="-90"/>
          <w:sz w:val="22"/>
          <w:vertAlign w:val="baseline"/>
        </w:rPr>
        <w:t> </w:t>
      </w:r>
      <w:r>
        <w:rPr>
          <w:sz w:val="22"/>
          <w:vertAlign w:val="baseline"/>
        </w:rPr>
        <w:t>is returned. [</w:t>
      </w:r>
      <w:r>
        <w:rPr>
          <w:i/>
          <w:sz w:val="22"/>
          <w:vertAlign w:val="baseline"/>
        </w:rPr>
        <w:t>Example</w:t>
      </w:r>
      <w:r>
        <w:rPr>
          <w:sz w:val="22"/>
          <w:vertAlign w:val="baseline"/>
        </w:rPr>
        <w:t>:</w:t>
      </w:r>
    </w:p>
    <w:p>
      <w:pPr>
        <w:pStyle w:val="BodyText"/>
        <w:spacing w:before="125"/>
        <w:ind w:left="220"/>
        <w:rPr>
          <w:rFonts w:ascii="Consolas"/>
        </w:rPr>
      </w:pPr>
      <w:r>
        <w:rPr>
          <w:rFonts w:ascii="Consolas"/>
        </w:rPr>
        <w:t>FDIST(12.345,3,4) </w:t>
      </w:r>
      <w:r>
        <w:rPr/>
        <w:t>results in </w:t>
      </w:r>
      <w:r>
        <w:rPr>
          <w:rFonts w:ascii="Consolas"/>
        </w:rPr>
        <w:t>0.017226183</w:t>
      </w:r>
    </w:p>
    <w:p>
      <w:pPr>
        <w:spacing w:after="0"/>
        <w:rPr>
          <w:rFonts w:ascii="Consolas"/>
        </w:rPr>
        <w:sectPr>
          <w:pgSz w:w="12240" w:h="15840"/>
          <w:pgMar w:header="763" w:footer="746" w:top="1340" w:bottom="940" w:left="860" w:right="700"/>
        </w:sectPr>
      </w:pPr>
    </w:p>
    <w:p>
      <w:pPr>
        <w:pStyle w:val="BodyText"/>
        <w:spacing w:before="7"/>
        <w:rPr>
          <w:rFonts w:ascii="Consolas"/>
          <w:sz w:val="29"/>
        </w:rPr>
      </w:pPr>
    </w:p>
    <w:p>
      <w:pPr>
        <w:spacing w:before="56"/>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19 FIND" w:id="1749"/>
      <w:bookmarkEnd w:id="1749"/>
      <w:r>
        <w:rPr/>
      </w:r>
      <w:bookmarkStart w:name="_bookmark582" w:id="1750"/>
      <w:bookmarkEnd w:id="1750"/>
      <w:r>
        <w:rPr/>
      </w:r>
      <w:bookmarkStart w:name="_bookmark582" w:id="1751"/>
      <w:bookmarkEnd w:id="1751"/>
      <w:r>
        <w:rPr>
          <w:color w:val="4F81BC"/>
        </w:rPr>
        <w:t>F</w:t>
      </w:r>
      <w:r>
        <w:rPr>
          <w:color w:val="4F81BC"/>
        </w:rPr>
        <w:t>IND</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FIND ( </w:t>
      </w:r>
      <w:r>
        <w:rPr>
          <w:i/>
          <w:sz w:val="22"/>
        </w:rPr>
        <w:t>string-1 </w:t>
      </w:r>
      <w:r>
        <w:rPr>
          <w:rFonts w:ascii="Lucida Console"/>
          <w:sz w:val="20"/>
        </w:rPr>
        <w:t>, </w:t>
      </w:r>
      <w:r>
        <w:rPr>
          <w:i/>
          <w:sz w:val="22"/>
        </w:rPr>
        <w:t>string-2 </w:t>
      </w:r>
      <w:r>
        <w:rPr>
          <w:sz w:val="22"/>
        </w:rPr>
        <w:t>[ </w:t>
      </w:r>
      <w:r>
        <w:rPr>
          <w:rFonts w:ascii="Lucida Console"/>
          <w:sz w:val="20"/>
        </w:rPr>
        <w:t>,</w:t>
      </w:r>
      <w:r>
        <w:rPr>
          <w:rFonts w:ascii="Lucida Console"/>
          <w:spacing w:val="-89"/>
          <w:sz w:val="20"/>
        </w:rPr>
        <w:t> </w:t>
      </w:r>
      <w:r>
        <w:rPr>
          <w:i/>
          <w:sz w:val="22"/>
        </w:rPr>
        <w:t>start-pos </w:t>
      </w:r>
      <w:r>
        <w:rPr>
          <w:sz w:val="22"/>
        </w:rPr>
        <w:t>] </w:t>
      </w:r>
      <w:r>
        <w:rPr>
          <w:rFonts w:ascii="Lucida Console"/>
          <w:sz w:val="20"/>
        </w:rPr>
        <w:t>)</w:t>
      </w:r>
    </w:p>
    <w:p>
      <w:pPr>
        <w:pStyle w:val="BodyText"/>
        <w:spacing w:line="276" w:lineRule="auto" w:before="106"/>
        <w:ind w:left="220" w:right="534"/>
      </w:pPr>
      <w:r>
        <w:rPr>
          <w:b/>
        </w:rPr>
        <w:t>Description: </w:t>
      </w:r>
      <w:r>
        <w:rPr/>
        <w:t>Performs a case-sensitive search using a lexical comparison for the first occurrence of </w:t>
      </w:r>
      <w:r>
        <w:rPr>
          <w:rFonts w:ascii="Times New Roman" w:hAnsi="Times New Roman"/>
          <w:i/>
        </w:rPr>
        <w:t>string-1 </w:t>
      </w:r>
      <w:r>
        <w:rPr/>
        <w:t>in </w:t>
      </w:r>
      <w:r>
        <w:rPr>
          <w:rFonts w:ascii="Times New Roman" w:hAnsi="Times New Roman"/>
          <w:i/>
        </w:rPr>
        <w:t>string-2</w:t>
      </w:r>
      <w:r>
        <w:rPr/>
        <w:t>, starting at character position </w:t>
      </w:r>
      <w:r>
        <w:rPr>
          <w:rFonts w:ascii="Times New Roman" w:hAnsi="Times New Roman"/>
          <w:i/>
        </w:rPr>
        <w:t>start-pos </w:t>
      </w:r>
      <w:r>
        <w:rPr/>
        <w:t>within </w:t>
      </w:r>
      <w:r>
        <w:rPr>
          <w:rFonts w:ascii="Times New Roman" w:hAnsi="Times New Roman"/>
          <w:i/>
        </w:rPr>
        <w:t>string-2</w:t>
      </w:r>
      <w:r>
        <w:rPr/>
        <w:t>. (</w:t>
      </w:r>
      <w:r>
        <w:rPr>
          <w:rFonts w:ascii="Consolas" w:hAnsi="Consolas"/>
        </w:rPr>
        <w:t>FIND </w:t>
      </w:r>
      <w:r>
        <w:rPr/>
        <w:t>is intended for use with languages that use the single-byte character set (SBCS), whereas </w:t>
      </w:r>
      <w:r>
        <w:rPr>
          <w:rFonts w:ascii="Consolas" w:hAnsi="Consolas"/>
        </w:rPr>
        <w:t>FINDB</w:t>
      </w:r>
      <w:r>
        <w:rPr>
          <w:rFonts w:ascii="Consolas" w:hAnsi="Consolas"/>
          <w:spacing w:val="-73"/>
        </w:rPr>
        <w:t> </w:t>
      </w:r>
      <w:r>
        <w:rPr/>
        <w:t>(§</w:t>
      </w:r>
      <w:hyperlink w:history="true" w:anchor="_bookmark583">
        <w:r>
          <w:rPr/>
          <w:t>18.17.7.120</w:t>
        </w:r>
      </w:hyperlink>
      <w:r>
        <w:rPr/>
        <w:t>) is intended for use with languages that use the double-byte character set (DBCS).)</w:t>
      </w:r>
    </w:p>
    <w:p>
      <w:pPr>
        <w:pStyle w:val="BodyText"/>
        <w:spacing w:before="7"/>
        <w:rPr>
          <w:sz w:val="16"/>
        </w:rPr>
      </w:pPr>
    </w:p>
    <w:p>
      <w:pPr>
        <w:pStyle w:val="Heading4"/>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string-1</w:t>
            </w:r>
          </w:p>
        </w:tc>
        <w:tc>
          <w:tcPr>
            <w:tcW w:w="1800" w:type="dxa"/>
          </w:tcPr>
          <w:p>
            <w:pPr>
              <w:pStyle w:val="TableParagraph"/>
              <w:ind w:left="112"/>
              <w:rPr>
                <w:sz w:val="22"/>
              </w:rPr>
            </w:pPr>
            <w:r>
              <w:rPr>
                <w:sz w:val="22"/>
              </w:rPr>
              <w:t>text</w:t>
            </w:r>
          </w:p>
        </w:tc>
        <w:tc>
          <w:tcPr>
            <w:tcW w:w="5400" w:type="dxa"/>
            <w:vMerge w:val="restart"/>
          </w:tcPr>
          <w:p>
            <w:pPr>
              <w:pStyle w:val="TableParagraph"/>
              <w:ind w:left="113" w:right="261"/>
              <w:rPr>
                <w:sz w:val="22"/>
              </w:rPr>
            </w:pPr>
            <w:r>
              <w:rPr>
                <w:sz w:val="22"/>
              </w:rPr>
              <w:t>Designate the string to be searched for within the string designated by </w:t>
            </w:r>
            <w:r>
              <w:rPr>
                <w:rFonts w:ascii="Times New Roman"/>
                <w:i/>
                <w:sz w:val="22"/>
              </w:rPr>
              <w:t>string-2</w:t>
            </w:r>
            <w:r>
              <w:rPr>
                <w:sz w:val="22"/>
              </w:rPr>
              <w:t>.</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string-2</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r>
        <w:trPr>
          <w:trHeight w:val="1161" w:hRule="atLeast"/>
        </w:trPr>
        <w:tc>
          <w:tcPr>
            <w:tcW w:w="1466" w:type="dxa"/>
          </w:tcPr>
          <w:p>
            <w:pPr>
              <w:pStyle w:val="TableParagraph"/>
              <w:spacing w:before="37"/>
              <w:rPr>
                <w:rFonts w:ascii="Times New Roman"/>
                <w:i/>
                <w:sz w:val="22"/>
              </w:rPr>
            </w:pPr>
            <w:r>
              <w:rPr>
                <w:rFonts w:ascii="Times New Roman"/>
                <w:i/>
                <w:sz w:val="22"/>
              </w:rPr>
              <w:t>start-pos</w:t>
            </w:r>
          </w:p>
        </w:tc>
        <w:tc>
          <w:tcPr>
            <w:tcW w:w="1800" w:type="dxa"/>
          </w:tcPr>
          <w:p>
            <w:pPr>
              <w:pStyle w:val="TableParagraph"/>
              <w:ind w:left="112"/>
              <w:rPr>
                <w:sz w:val="22"/>
              </w:rPr>
            </w:pPr>
            <w:r>
              <w:rPr>
                <w:sz w:val="22"/>
              </w:rPr>
              <w:t>number</w:t>
            </w:r>
          </w:p>
        </w:tc>
        <w:tc>
          <w:tcPr>
            <w:tcW w:w="5400" w:type="dxa"/>
          </w:tcPr>
          <w:p>
            <w:pPr>
              <w:pStyle w:val="TableParagraph"/>
              <w:ind w:left="113" w:right="109"/>
              <w:rPr>
                <w:sz w:val="22"/>
              </w:rPr>
            </w:pPr>
            <w:r>
              <w:rPr>
                <w:sz w:val="22"/>
              </w:rPr>
              <w:t>The number of the start position within </w:t>
            </w:r>
            <w:r>
              <w:rPr>
                <w:rFonts w:ascii="Times New Roman"/>
                <w:i/>
                <w:sz w:val="22"/>
              </w:rPr>
              <w:t>string-2 </w:t>
            </w:r>
            <w:r>
              <w:rPr>
                <w:sz w:val="22"/>
              </w:rPr>
              <w:t>for</w:t>
            </w:r>
            <w:r>
              <w:rPr>
                <w:spacing w:val="-25"/>
                <w:sz w:val="22"/>
              </w:rPr>
              <w:t> </w:t>
            </w:r>
            <w:r>
              <w:rPr>
                <w:sz w:val="22"/>
              </w:rPr>
              <w:t>which </w:t>
            </w:r>
            <w:r>
              <w:rPr>
                <w:rFonts w:ascii="Times New Roman"/>
                <w:i/>
                <w:sz w:val="22"/>
              </w:rPr>
              <w:t>string-1 </w:t>
            </w:r>
            <w:r>
              <w:rPr>
                <w:sz w:val="22"/>
              </w:rPr>
              <w:t>is to be searched. The start position of the first character is 1. If omitted, a position of 1 shall be assumed. </w:t>
            </w:r>
            <w:r>
              <w:rPr>
                <w:rFonts w:ascii="Times New Roman"/>
                <w:i/>
                <w:sz w:val="22"/>
              </w:rPr>
              <w:t>start-pos </w:t>
            </w:r>
            <w:r>
              <w:rPr>
                <w:sz w:val="22"/>
              </w:rPr>
              <w:t>shall be at least</w:t>
            </w:r>
            <w:r>
              <w:rPr>
                <w:spacing w:val="-15"/>
                <w:sz w:val="22"/>
              </w:rPr>
              <w:t> </w:t>
            </w:r>
            <w:r>
              <w:rPr>
                <w:sz w:val="22"/>
              </w:rPr>
              <w:t>1.</w:t>
            </w:r>
          </w:p>
        </w:tc>
      </w:tr>
    </w:tbl>
    <w:p>
      <w:pPr>
        <w:pStyle w:val="BodyText"/>
        <w:rPr>
          <w:b/>
        </w:rPr>
      </w:pPr>
    </w:p>
    <w:p>
      <w:pPr>
        <w:pStyle w:val="BodyText"/>
        <w:spacing w:before="5"/>
        <w:rPr>
          <w:b/>
          <w:sz w:val="19"/>
        </w:rPr>
      </w:pPr>
    </w:p>
    <w:p>
      <w:pPr>
        <w:spacing w:line="276" w:lineRule="auto" w:before="0"/>
        <w:ind w:left="220" w:right="412" w:firstLine="0"/>
        <w:jc w:val="left"/>
        <w:rPr>
          <w:sz w:val="22"/>
        </w:rPr>
      </w:pPr>
      <w:r>
        <w:rPr>
          <w:b/>
          <w:sz w:val="22"/>
        </w:rPr>
        <w:t>Return Type and Value: </w:t>
      </w:r>
      <w:r>
        <w:rPr>
          <w:sz w:val="22"/>
        </w:rPr>
        <w:t>number – The start position of the first occurrence of </w:t>
      </w:r>
      <w:r>
        <w:rPr>
          <w:rFonts w:ascii="Times New Roman" w:hAnsi="Times New Roman"/>
          <w:i/>
          <w:sz w:val="22"/>
        </w:rPr>
        <w:t>string-1 </w:t>
      </w:r>
      <w:r>
        <w:rPr>
          <w:sz w:val="22"/>
        </w:rPr>
        <w:t>in </w:t>
      </w:r>
      <w:r>
        <w:rPr>
          <w:rFonts w:ascii="Times New Roman" w:hAnsi="Times New Roman"/>
          <w:i/>
          <w:sz w:val="22"/>
        </w:rPr>
        <w:t>string-2</w:t>
      </w:r>
      <w:r>
        <w:rPr>
          <w:sz w:val="22"/>
        </w:rPr>
        <w:t>, starting at character position </w:t>
      </w:r>
      <w:r>
        <w:rPr>
          <w:rFonts w:ascii="Times New Roman" w:hAnsi="Times New Roman"/>
          <w:i/>
          <w:sz w:val="22"/>
        </w:rPr>
        <w:t>start-pos </w:t>
      </w:r>
      <w:r>
        <w:rPr>
          <w:sz w:val="22"/>
        </w:rPr>
        <w:t>within </w:t>
      </w:r>
      <w:r>
        <w:rPr>
          <w:rFonts w:ascii="Times New Roman" w:hAnsi="Times New Roman"/>
          <w:i/>
          <w:sz w:val="22"/>
        </w:rPr>
        <w:t>string-2</w:t>
      </w:r>
      <w:r>
        <w:rPr>
          <w:sz w:val="22"/>
        </w:rPr>
        <w:t>. If </w:t>
      </w:r>
      <w:r>
        <w:rPr>
          <w:rFonts w:ascii="Times New Roman" w:hAnsi="Times New Roman"/>
          <w:i/>
          <w:sz w:val="22"/>
        </w:rPr>
        <w:t>string-1 </w:t>
      </w:r>
      <w:r>
        <w:rPr>
          <w:sz w:val="22"/>
        </w:rPr>
        <w:t>is an empty string, it shall always be found in any </w:t>
      </w:r>
      <w:r>
        <w:rPr>
          <w:rFonts w:ascii="Times New Roman" w:hAnsi="Times New Roman"/>
          <w:i/>
          <w:sz w:val="22"/>
        </w:rPr>
        <w:t>string-2 </w:t>
      </w:r>
      <w:r>
        <w:rPr>
          <w:sz w:val="22"/>
        </w:rPr>
        <w:t>at position </w:t>
      </w:r>
      <w:r>
        <w:rPr>
          <w:rFonts w:ascii="Times New Roman" w:hAnsi="Times New Roman"/>
          <w:i/>
          <w:sz w:val="22"/>
        </w:rPr>
        <w:t>start-pos</w:t>
      </w:r>
      <w:r>
        <w:rPr>
          <w:sz w:val="22"/>
        </w:rPr>
        <w:t>, or at position 1 if </w:t>
      </w:r>
      <w:r>
        <w:rPr>
          <w:rFonts w:ascii="Times New Roman" w:hAnsi="Times New Roman"/>
          <w:i/>
          <w:sz w:val="22"/>
        </w:rPr>
        <w:t>start-pos </w:t>
      </w:r>
      <w:r>
        <w:rPr>
          <w:sz w:val="22"/>
        </w:rPr>
        <w:t>is omitted.</w:t>
      </w:r>
    </w:p>
    <w:p>
      <w:pPr>
        <w:pStyle w:val="BodyText"/>
        <w:spacing w:before="202"/>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string-1 </w:t>
      </w:r>
      <w:r>
        <w:rPr>
          <w:sz w:val="22"/>
        </w:rPr>
        <w:t>is not found within </w:t>
      </w:r>
      <w:r>
        <w:rPr>
          <w:rFonts w:ascii="Times New Roman" w:hAnsi="Times New Roman"/>
          <w:i/>
          <w:sz w:val="22"/>
        </w:rPr>
        <w:t>string-2</w:t>
      </w:r>
      <w:r>
        <w:rPr>
          <w:sz w:val="22"/>
        </w:rPr>
        <w:t>, </w:t>
      </w:r>
      <w:r>
        <w:rPr>
          <w:rFonts w:ascii="Consolas" w:hAnsi="Consolas"/>
          <w:sz w:val="22"/>
        </w:rPr>
        <w:t>#VALUE!</w:t>
      </w:r>
      <w:r>
        <w:rPr>
          <w:rFonts w:ascii="Consolas" w:hAnsi="Consolas"/>
          <w:spacing w:val="-80"/>
          <w:sz w:val="22"/>
        </w:rPr>
        <w:t> </w:t>
      </w:r>
      <w:r>
        <w:rPr>
          <w:sz w:val="22"/>
        </w:rPr>
        <w:t>is returned.</w:t>
      </w:r>
    </w:p>
    <w:p>
      <w:pPr>
        <w:pStyle w:val="ListParagraph"/>
        <w:numPr>
          <w:ilvl w:val="4"/>
          <w:numId w:val="66"/>
        </w:numPr>
        <w:tabs>
          <w:tab w:pos="940" w:val="left" w:leader="none"/>
          <w:tab w:pos="941" w:val="left" w:leader="none"/>
        </w:tabs>
        <w:spacing w:line="444" w:lineRule="auto" w:before="41" w:after="0"/>
        <w:ind w:left="220" w:right="3520" w:firstLine="360"/>
        <w:jc w:val="left"/>
        <w:rPr>
          <w:sz w:val="22"/>
        </w:rPr>
      </w:pPr>
      <w:r>
        <w:rPr>
          <w:rFonts w:ascii="Times New Roman" w:hAnsi="Times New Roman"/>
          <w:i/>
          <w:sz w:val="22"/>
        </w:rPr>
        <w:t>start-pos </w:t>
      </w:r>
      <w:r>
        <w:rPr>
          <w:sz w:val="22"/>
        </w:rPr>
        <w:t>designates a position outside </w:t>
      </w:r>
      <w:r>
        <w:rPr>
          <w:rFonts w:ascii="Times New Roman" w:hAnsi="Times New Roman"/>
          <w:i/>
          <w:sz w:val="22"/>
        </w:rPr>
        <w:t>string-2</w:t>
      </w:r>
      <w:r>
        <w:rPr>
          <w:sz w:val="22"/>
        </w:rPr>
        <w:t>, </w:t>
      </w:r>
      <w:r>
        <w:rPr>
          <w:rFonts w:ascii="Consolas" w:hAnsi="Consolas"/>
          <w:sz w:val="22"/>
        </w:rPr>
        <w:t>#VALUE!</w:t>
      </w:r>
      <w:r>
        <w:rPr>
          <w:rFonts w:ascii="Consolas" w:hAnsi="Consolas"/>
          <w:spacing w:val="-94"/>
          <w:sz w:val="22"/>
        </w:rPr>
        <w:t> </w:t>
      </w:r>
      <w:r>
        <w:rPr>
          <w:sz w:val="22"/>
        </w:rPr>
        <w:t>is returned. [</w:t>
      </w:r>
      <w:r>
        <w:rPr>
          <w:i/>
          <w:sz w:val="22"/>
        </w:rPr>
        <w:t>Example</w:t>
      </w:r>
      <w:r>
        <w:rPr>
          <w:sz w:val="22"/>
        </w:rPr>
        <w:t>:</w:t>
      </w:r>
    </w:p>
    <w:p>
      <w:pPr>
        <w:pStyle w:val="BodyText"/>
        <w:spacing w:before="131"/>
        <w:ind w:left="220"/>
        <w:rPr>
          <w:rFonts w:ascii="Consolas"/>
        </w:rPr>
      </w:pPr>
      <w:r>
        <w:rPr>
          <w:rFonts w:ascii="Consolas"/>
        </w:rPr>
        <w:t>FIND("de","abcdef")</w:t>
      </w:r>
      <w:r>
        <w:rPr>
          <w:rFonts w:ascii="Consolas"/>
          <w:spacing w:val="-74"/>
        </w:rPr>
        <w:t> </w:t>
      </w:r>
      <w:r>
        <w:rPr/>
        <w:t>results in </w:t>
      </w:r>
      <w:r>
        <w:rPr>
          <w:rFonts w:ascii="Consolas"/>
        </w:rPr>
        <w:t>4</w:t>
      </w:r>
    </w:p>
    <w:p>
      <w:pPr>
        <w:pStyle w:val="BodyText"/>
        <w:spacing w:before="39"/>
        <w:ind w:left="220"/>
        <w:rPr>
          <w:rFonts w:ascii="Consolas"/>
        </w:rPr>
      </w:pPr>
      <w:r>
        <w:rPr>
          <w:rFonts w:ascii="Consolas"/>
        </w:rPr>
        <w:t>FIND(A10,B10)</w:t>
      </w:r>
      <w:r>
        <w:rPr>
          <w:rFonts w:ascii="Consolas"/>
          <w:spacing w:val="-80"/>
        </w:rPr>
        <w:t> </w:t>
      </w:r>
      <w:r>
        <w:rPr/>
        <w:t>results in </w:t>
      </w:r>
      <w:r>
        <w:rPr>
          <w:rFonts w:ascii="Consolas"/>
        </w:rPr>
        <w:t>4</w:t>
      </w:r>
      <w:r>
        <w:rPr/>
        <w:t>, when A10 contains </w:t>
      </w:r>
      <w:r>
        <w:rPr>
          <w:rFonts w:ascii="Consolas"/>
        </w:rPr>
        <w:t>de</w:t>
      </w:r>
      <w:r>
        <w:rPr/>
        <w:t>, and B10 contains </w:t>
      </w:r>
      <w:r>
        <w:rPr>
          <w:rFonts w:ascii="Consolas"/>
        </w:rPr>
        <w:t>abcdef</w:t>
      </w:r>
    </w:p>
    <w:p>
      <w:pPr>
        <w:pStyle w:val="BodyText"/>
        <w:spacing w:before="2"/>
        <w:rPr>
          <w:rFonts w:ascii="Consolas"/>
          <w:sz w:val="3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0 FINDB" w:id="1752"/>
      <w:bookmarkEnd w:id="1752"/>
      <w:r>
        <w:rPr/>
      </w:r>
      <w:bookmarkStart w:name="_bookmark583" w:id="1753"/>
      <w:bookmarkEnd w:id="1753"/>
      <w:r>
        <w:rPr/>
      </w:r>
      <w:bookmarkStart w:name="_bookmark583" w:id="1754"/>
      <w:bookmarkEnd w:id="1754"/>
      <w:r>
        <w:rPr>
          <w:color w:val="4F81BC"/>
        </w:rPr>
        <w:t>F</w:t>
      </w:r>
      <w:r>
        <w:rPr>
          <w:color w:val="4F81BC"/>
        </w:rPr>
        <w:t>INDB</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FINDB ( </w:t>
      </w:r>
      <w:r>
        <w:rPr>
          <w:i/>
          <w:sz w:val="22"/>
        </w:rPr>
        <w:t>string-1 </w:t>
      </w:r>
      <w:r>
        <w:rPr>
          <w:rFonts w:ascii="Lucida Console"/>
          <w:sz w:val="20"/>
        </w:rPr>
        <w:t>, </w:t>
      </w:r>
      <w:r>
        <w:rPr>
          <w:i/>
          <w:sz w:val="22"/>
        </w:rPr>
        <w:t>string-2 </w:t>
      </w:r>
      <w:r>
        <w:rPr>
          <w:rFonts w:ascii="Lucida Console"/>
          <w:sz w:val="20"/>
        </w:rPr>
        <w:t>,</w:t>
      </w:r>
      <w:r>
        <w:rPr>
          <w:rFonts w:ascii="Lucida Console"/>
          <w:spacing w:val="-86"/>
          <w:sz w:val="20"/>
        </w:rPr>
        <w:t> </w:t>
      </w:r>
      <w:r>
        <w:rPr>
          <w:sz w:val="22"/>
        </w:rPr>
        <w:t>[ </w:t>
      </w:r>
      <w:r>
        <w:rPr>
          <w:i/>
          <w:sz w:val="22"/>
        </w:rPr>
        <w:t>start-pos </w:t>
      </w:r>
      <w:r>
        <w:rPr>
          <w:sz w:val="22"/>
        </w:rPr>
        <w:t>] </w:t>
      </w:r>
      <w:r>
        <w:rPr>
          <w:rFonts w:ascii="Lucida Console"/>
          <w:sz w:val="20"/>
        </w:rPr>
        <w:t>)</w:t>
      </w:r>
    </w:p>
    <w:p>
      <w:pPr>
        <w:spacing w:after="0"/>
        <w:jc w:val="left"/>
        <w:rPr>
          <w:rFonts w:ascii="Lucida Console"/>
          <w:sz w:val="20"/>
        </w:rPr>
        <w:sectPr>
          <w:pgSz w:w="12240" w:h="15840"/>
          <w:pgMar w:header="761" w:footer="746" w:top="1340" w:bottom="940" w:left="860" w:right="700"/>
        </w:sectPr>
      </w:pPr>
    </w:p>
    <w:p>
      <w:pPr>
        <w:pStyle w:val="BodyText"/>
        <w:spacing w:line="276" w:lineRule="auto" w:before="148"/>
        <w:ind w:left="220" w:right="513"/>
      </w:pPr>
      <w:r>
        <w:rPr>
          <w:b/>
        </w:rPr>
        <w:t>Description: </w:t>
      </w:r>
      <w:r>
        <w:rPr/>
        <w:t>Performs a case-sensitive search using a lexical comparison for the first occurrence of </w:t>
      </w:r>
      <w:r>
        <w:rPr>
          <w:rFonts w:ascii="Times New Roman" w:hAnsi="Times New Roman"/>
          <w:i/>
        </w:rPr>
        <w:t>string-1 </w:t>
      </w:r>
      <w:r>
        <w:rPr/>
        <w:t>in </w:t>
      </w:r>
      <w:r>
        <w:rPr>
          <w:rFonts w:ascii="Times New Roman" w:hAnsi="Times New Roman"/>
          <w:i/>
        </w:rPr>
        <w:t>string-2</w:t>
      </w:r>
      <w:r>
        <w:rPr/>
        <w:t>, starting at byte position </w:t>
      </w:r>
      <w:r>
        <w:rPr>
          <w:rFonts w:ascii="Times New Roman" w:hAnsi="Times New Roman"/>
          <w:i/>
        </w:rPr>
        <w:t>start-pos </w:t>
      </w:r>
      <w:r>
        <w:rPr/>
        <w:t>within </w:t>
      </w:r>
      <w:r>
        <w:rPr>
          <w:rFonts w:ascii="Times New Roman" w:hAnsi="Times New Roman"/>
          <w:i/>
        </w:rPr>
        <w:t>string-2</w:t>
      </w:r>
      <w:r>
        <w:rPr/>
        <w:t>. (</w:t>
      </w:r>
      <w:r>
        <w:rPr>
          <w:rFonts w:ascii="Consolas" w:hAnsi="Consolas"/>
        </w:rPr>
        <w:t>FINDB </w:t>
      </w:r>
      <w:r>
        <w:rPr/>
        <w:t>is intended for use with languages that use the double-byte character set (DBCS), whereas </w:t>
      </w:r>
      <w:r>
        <w:rPr>
          <w:rFonts w:ascii="Consolas" w:hAnsi="Consolas"/>
        </w:rPr>
        <w:t>FIND</w:t>
      </w:r>
      <w:r>
        <w:rPr>
          <w:rFonts w:ascii="Consolas" w:hAnsi="Consolas"/>
          <w:spacing w:val="-71"/>
        </w:rPr>
        <w:t> </w:t>
      </w:r>
      <w:r>
        <w:rPr/>
        <w:t>(</w:t>
      </w:r>
      <w:hyperlink w:history="true" w:anchor="_bookmark582">
        <w:r>
          <w:rPr/>
          <w:t>§18.17.7.119</w:t>
        </w:r>
      </w:hyperlink>
      <w:r>
        <w:rPr/>
        <w:t>) is intended for use with languages that use the single-byte character set (SBCS).)</w:t>
      </w:r>
    </w:p>
    <w:p>
      <w:pPr>
        <w:pStyle w:val="BodyText"/>
        <w:spacing w:before="7"/>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string-1</w:t>
            </w:r>
          </w:p>
        </w:tc>
        <w:tc>
          <w:tcPr>
            <w:tcW w:w="1800" w:type="dxa"/>
          </w:tcPr>
          <w:p>
            <w:pPr>
              <w:pStyle w:val="TableParagraph"/>
              <w:ind w:left="112"/>
              <w:rPr>
                <w:sz w:val="22"/>
              </w:rPr>
            </w:pPr>
            <w:r>
              <w:rPr>
                <w:sz w:val="22"/>
              </w:rPr>
              <w:t>text</w:t>
            </w:r>
          </w:p>
        </w:tc>
        <w:tc>
          <w:tcPr>
            <w:tcW w:w="5400" w:type="dxa"/>
            <w:vMerge w:val="restart"/>
          </w:tcPr>
          <w:p>
            <w:pPr>
              <w:pStyle w:val="TableParagraph"/>
              <w:ind w:left="113" w:right="261"/>
              <w:rPr>
                <w:sz w:val="22"/>
              </w:rPr>
            </w:pPr>
            <w:r>
              <w:rPr>
                <w:sz w:val="22"/>
              </w:rPr>
              <w:t>Designate the string to be searched for within the string designated by </w:t>
            </w:r>
            <w:r>
              <w:rPr>
                <w:rFonts w:ascii="Times New Roman"/>
                <w:i/>
                <w:sz w:val="22"/>
              </w:rPr>
              <w:t>string-2</w:t>
            </w:r>
            <w:r>
              <w:rPr>
                <w:sz w:val="22"/>
              </w:rPr>
              <w:t>.</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string-2</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r>
        <w:trPr>
          <w:trHeight w:val="1159" w:hRule="atLeast"/>
        </w:trPr>
        <w:tc>
          <w:tcPr>
            <w:tcW w:w="1466" w:type="dxa"/>
          </w:tcPr>
          <w:p>
            <w:pPr>
              <w:pStyle w:val="TableParagraph"/>
              <w:spacing w:before="37"/>
              <w:rPr>
                <w:rFonts w:ascii="Times New Roman"/>
                <w:i/>
                <w:sz w:val="22"/>
              </w:rPr>
            </w:pPr>
            <w:r>
              <w:rPr>
                <w:rFonts w:ascii="Times New Roman"/>
                <w:i/>
                <w:sz w:val="22"/>
              </w:rPr>
              <w:t>start-pos</w:t>
            </w:r>
          </w:p>
        </w:tc>
        <w:tc>
          <w:tcPr>
            <w:tcW w:w="1800" w:type="dxa"/>
          </w:tcPr>
          <w:p>
            <w:pPr>
              <w:pStyle w:val="TableParagraph"/>
              <w:ind w:left="112"/>
              <w:rPr>
                <w:sz w:val="22"/>
              </w:rPr>
            </w:pPr>
            <w:r>
              <w:rPr>
                <w:sz w:val="22"/>
              </w:rPr>
              <w:t>number</w:t>
            </w:r>
          </w:p>
        </w:tc>
        <w:tc>
          <w:tcPr>
            <w:tcW w:w="5400" w:type="dxa"/>
          </w:tcPr>
          <w:p>
            <w:pPr>
              <w:pStyle w:val="TableParagraph"/>
              <w:ind w:left="113" w:right="109"/>
              <w:rPr>
                <w:sz w:val="22"/>
              </w:rPr>
            </w:pPr>
            <w:r>
              <w:rPr>
                <w:sz w:val="22"/>
              </w:rPr>
              <w:t>The number of the start position within </w:t>
            </w:r>
            <w:r>
              <w:rPr>
                <w:rFonts w:ascii="Times New Roman"/>
                <w:i/>
                <w:sz w:val="22"/>
              </w:rPr>
              <w:t>string-2 </w:t>
            </w:r>
            <w:r>
              <w:rPr>
                <w:sz w:val="22"/>
              </w:rPr>
              <w:t>for which </w:t>
            </w:r>
            <w:r>
              <w:rPr>
                <w:rFonts w:ascii="Times New Roman"/>
                <w:i/>
                <w:sz w:val="22"/>
              </w:rPr>
              <w:t>string-1 </w:t>
            </w:r>
            <w:r>
              <w:rPr>
                <w:sz w:val="22"/>
              </w:rPr>
              <w:t>is to be searched. The start position of the first byte is 1. If omitted, a position of 1 shall be assumed. </w:t>
            </w:r>
            <w:r>
              <w:rPr>
                <w:rFonts w:ascii="Times New Roman"/>
                <w:i/>
                <w:sz w:val="22"/>
              </w:rPr>
              <w:t>start-pos </w:t>
            </w:r>
            <w:r>
              <w:rPr>
                <w:sz w:val="22"/>
              </w:rPr>
              <w:t>shall be at least 0.</w:t>
            </w:r>
          </w:p>
        </w:tc>
      </w:tr>
    </w:tbl>
    <w:p>
      <w:pPr>
        <w:pStyle w:val="BodyText"/>
        <w:rPr>
          <w:b/>
        </w:rPr>
      </w:pPr>
    </w:p>
    <w:p>
      <w:pPr>
        <w:pStyle w:val="BodyText"/>
        <w:spacing w:before="5"/>
        <w:rPr>
          <w:b/>
          <w:sz w:val="19"/>
        </w:rPr>
      </w:pPr>
    </w:p>
    <w:p>
      <w:pPr>
        <w:spacing w:line="278" w:lineRule="auto" w:before="0"/>
        <w:ind w:left="220" w:right="412" w:firstLine="0"/>
        <w:jc w:val="left"/>
        <w:rPr>
          <w:sz w:val="22"/>
        </w:rPr>
      </w:pPr>
      <w:r>
        <w:rPr>
          <w:b/>
          <w:sz w:val="22"/>
        </w:rPr>
        <w:t>Return Type and Value: </w:t>
      </w:r>
      <w:r>
        <w:rPr>
          <w:sz w:val="22"/>
        </w:rPr>
        <w:t>number – The start position of the first occurrence of </w:t>
      </w:r>
      <w:r>
        <w:rPr>
          <w:rFonts w:ascii="Times New Roman" w:hAnsi="Times New Roman"/>
          <w:i/>
          <w:sz w:val="22"/>
        </w:rPr>
        <w:t>string-1 </w:t>
      </w:r>
      <w:r>
        <w:rPr>
          <w:sz w:val="22"/>
        </w:rPr>
        <w:t>in </w:t>
      </w:r>
      <w:r>
        <w:rPr>
          <w:rFonts w:ascii="Times New Roman" w:hAnsi="Times New Roman"/>
          <w:i/>
          <w:sz w:val="22"/>
        </w:rPr>
        <w:t>string-2</w:t>
      </w:r>
      <w:r>
        <w:rPr>
          <w:sz w:val="22"/>
        </w:rPr>
        <w:t>, starting at character position </w:t>
      </w:r>
      <w:r>
        <w:rPr>
          <w:rFonts w:ascii="Times New Roman" w:hAnsi="Times New Roman"/>
          <w:i/>
          <w:sz w:val="22"/>
        </w:rPr>
        <w:t>start-pos </w:t>
      </w:r>
      <w:r>
        <w:rPr>
          <w:sz w:val="22"/>
        </w:rPr>
        <w:t>within </w:t>
      </w:r>
      <w:r>
        <w:rPr>
          <w:rFonts w:ascii="Times New Roman" w:hAnsi="Times New Roman"/>
          <w:i/>
          <w:sz w:val="22"/>
        </w:rPr>
        <w:t>string-2</w:t>
      </w:r>
      <w:r>
        <w:rPr>
          <w:sz w:val="22"/>
        </w:rPr>
        <w:t>. If </w:t>
      </w:r>
      <w:r>
        <w:rPr>
          <w:rFonts w:ascii="Times New Roman" w:hAnsi="Times New Roman"/>
          <w:i/>
          <w:sz w:val="22"/>
        </w:rPr>
        <w:t>string-1 </w:t>
      </w:r>
      <w:r>
        <w:rPr>
          <w:sz w:val="22"/>
        </w:rPr>
        <w:t>is an empty string, it shall always be found in any </w:t>
      </w:r>
      <w:r>
        <w:rPr>
          <w:rFonts w:ascii="Times New Roman" w:hAnsi="Times New Roman"/>
          <w:i/>
          <w:sz w:val="22"/>
        </w:rPr>
        <w:t>string-2 </w:t>
      </w:r>
      <w:r>
        <w:rPr>
          <w:sz w:val="22"/>
        </w:rPr>
        <w:t>at position </w:t>
      </w:r>
      <w:r>
        <w:rPr>
          <w:rFonts w:ascii="Times New Roman" w:hAnsi="Times New Roman"/>
          <w:i/>
          <w:sz w:val="22"/>
        </w:rPr>
        <w:t>start-pos</w:t>
      </w:r>
      <w:r>
        <w:rPr>
          <w:sz w:val="22"/>
        </w:rPr>
        <w:t>, or at position 1 if </w:t>
      </w:r>
      <w:r>
        <w:rPr>
          <w:rFonts w:ascii="Times New Roman" w:hAnsi="Times New Roman"/>
          <w:i/>
          <w:sz w:val="22"/>
        </w:rPr>
        <w:t>start-pos </w:t>
      </w:r>
      <w:r>
        <w:rPr>
          <w:sz w:val="22"/>
        </w:rPr>
        <w:t>is omitted.</w:t>
      </w:r>
    </w:p>
    <w:p>
      <w:pPr>
        <w:pStyle w:val="BodyText"/>
        <w:spacing w:before="196"/>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string-1 </w:t>
      </w:r>
      <w:r>
        <w:rPr>
          <w:sz w:val="22"/>
        </w:rPr>
        <w:t>is not found within </w:t>
      </w:r>
      <w:r>
        <w:rPr>
          <w:rFonts w:ascii="Times New Roman" w:hAnsi="Times New Roman"/>
          <w:i/>
          <w:sz w:val="22"/>
        </w:rPr>
        <w:t>string-2</w:t>
      </w:r>
      <w:r>
        <w:rPr>
          <w:sz w:val="22"/>
        </w:rPr>
        <w:t>, </w:t>
      </w:r>
      <w:r>
        <w:rPr>
          <w:rFonts w:ascii="Consolas" w:hAnsi="Consolas"/>
          <w:sz w:val="22"/>
        </w:rPr>
        <w:t>#VALUE!</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519" w:firstLine="360"/>
        <w:jc w:val="left"/>
        <w:rPr>
          <w:sz w:val="22"/>
        </w:rPr>
      </w:pPr>
      <w:r>
        <w:rPr>
          <w:rFonts w:ascii="Times New Roman" w:hAnsi="Times New Roman"/>
          <w:i/>
          <w:sz w:val="22"/>
        </w:rPr>
        <w:t>start-pos </w:t>
      </w:r>
      <w:r>
        <w:rPr>
          <w:sz w:val="22"/>
        </w:rPr>
        <w:t>designates a position outside </w:t>
      </w:r>
      <w:r>
        <w:rPr>
          <w:rFonts w:ascii="Times New Roman" w:hAnsi="Times New Roman"/>
          <w:i/>
          <w:sz w:val="22"/>
        </w:rPr>
        <w:t>string-2</w:t>
      </w:r>
      <w:r>
        <w:rPr>
          <w:sz w:val="22"/>
        </w:rPr>
        <w:t>, </w:t>
      </w:r>
      <w:r>
        <w:rPr>
          <w:rFonts w:ascii="Consolas" w:hAnsi="Consolas"/>
          <w:sz w:val="22"/>
        </w:rPr>
        <w:t>#VALUE!</w:t>
      </w:r>
      <w:r>
        <w:rPr>
          <w:rFonts w:ascii="Consolas" w:hAnsi="Consolas"/>
          <w:spacing w:val="-93"/>
          <w:sz w:val="22"/>
        </w:rPr>
        <w:t> </w:t>
      </w:r>
      <w:r>
        <w:rPr>
          <w:sz w:val="22"/>
        </w:rPr>
        <w:t>is returned. [</w:t>
      </w:r>
      <w:r>
        <w:rPr>
          <w:i/>
          <w:sz w:val="22"/>
        </w:rPr>
        <w:t>Example</w:t>
      </w:r>
      <w:r>
        <w:rPr>
          <w:sz w:val="22"/>
        </w:rPr>
        <w:t>: Assuming 1-byte</w:t>
      </w:r>
      <w:r>
        <w:rPr>
          <w:spacing w:val="-8"/>
          <w:sz w:val="22"/>
        </w:rPr>
        <w:t> </w:t>
      </w:r>
      <w:r>
        <w:rPr>
          <w:sz w:val="22"/>
        </w:rPr>
        <w:t>characters</w:t>
      </w:r>
    </w:p>
    <w:p>
      <w:pPr>
        <w:pStyle w:val="BodyText"/>
        <w:spacing w:before="128"/>
        <w:ind w:left="220"/>
        <w:rPr>
          <w:rFonts w:ascii="Consolas"/>
        </w:rPr>
      </w:pPr>
      <w:r>
        <w:rPr>
          <w:rFonts w:ascii="Consolas"/>
        </w:rPr>
        <w:t>FINDB("de","abcdef")</w:t>
      </w:r>
      <w:r>
        <w:rPr>
          <w:rFonts w:ascii="Consolas"/>
          <w:spacing w:val="-72"/>
        </w:rPr>
        <w:t> </w:t>
      </w:r>
      <w:r>
        <w:rPr/>
        <w:t>results in </w:t>
      </w:r>
      <w:r>
        <w:rPr>
          <w:rFonts w:ascii="Consolas"/>
        </w:rPr>
        <w:t>4</w:t>
      </w:r>
    </w:p>
    <w:p>
      <w:pPr>
        <w:pStyle w:val="BodyText"/>
        <w:spacing w:before="39"/>
        <w:ind w:left="220"/>
        <w:rPr>
          <w:rFonts w:ascii="Consolas"/>
        </w:rPr>
      </w:pPr>
      <w:r>
        <w:rPr>
          <w:rFonts w:ascii="Consolas"/>
        </w:rPr>
        <w:t>FINDB(A10,B10)</w:t>
      </w:r>
      <w:r>
        <w:rPr>
          <w:rFonts w:ascii="Consolas"/>
          <w:spacing w:val="-71"/>
        </w:rPr>
        <w:t> </w:t>
      </w:r>
      <w:r>
        <w:rPr/>
        <w:t>results in </w:t>
      </w:r>
      <w:r>
        <w:rPr>
          <w:rFonts w:ascii="Consolas"/>
        </w:rPr>
        <w:t>4</w:t>
      </w:r>
      <w:r>
        <w:rPr/>
        <w:t>, when </w:t>
      </w:r>
      <w:r>
        <w:rPr>
          <w:rFonts w:ascii="Consolas"/>
        </w:rPr>
        <w:t>A10</w:t>
      </w:r>
      <w:r>
        <w:rPr>
          <w:rFonts w:ascii="Consolas"/>
          <w:spacing w:val="-70"/>
        </w:rPr>
        <w:t> </w:t>
      </w:r>
      <w:r>
        <w:rPr/>
        <w:t>contains </w:t>
      </w:r>
      <w:r>
        <w:rPr>
          <w:rFonts w:ascii="Consolas"/>
        </w:rPr>
        <w:t>de</w:t>
      </w:r>
      <w:r>
        <w:rPr/>
        <w:t>, and </w:t>
      </w:r>
      <w:r>
        <w:rPr>
          <w:rFonts w:ascii="Consolas"/>
        </w:rPr>
        <w:t>B10</w:t>
      </w:r>
      <w:r>
        <w:rPr>
          <w:rFonts w:ascii="Consolas"/>
          <w:spacing w:val="-73"/>
        </w:rPr>
        <w:t> </w:t>
      </w:r>
      <w:r>
        <w:rPr/>
        <w:t>contains </w:t>
      </w:r>
      <w:r>
        <w:rPr>
          <w:rFonts w:ascii="Consolas"/>
        </w:rPr>
        <w:t>abcdef</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1 FINV" w:id="1755"/>
      <w:bookmarkEnd w:id="1755"/>
      <w:r>
        <w:rPr/>
      </w:r>
      <w:bookmarkStart w:name="_bookmark584" w:id="1756"/>
      <w:bookmarkEnd w:id="1756"/>
      <w:r>
        <w:rPr/>
      </w:r>
      <w:bookmarkStart w:name="_bookmark584" w:id="1757"/>
      <w:bookmarkEnd w:id="1757"/>
      <w:r>
        <w:rPr>
          <w:color w:val="4F81BC"/>
        </w:rPr>
        <w:t>F</w:t>
      </w:r>
      <w:r>
        <w:rPr>
          <w:color w:val="4F81BC"/>
        </w:rPr>
        <w:t>INV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both"/>
        <w:rPr>
          <w:rFonts w:ascii="Lucida Console"/>
          <w:sz w:val="20"/>
        </w:rPr>
      </w:pPr>
      <w:r>
        <w:rPr>
          <w:rFonts w:ascii="Lucida Console"/>
          <w:sz w:val="20"/>
        </w:rPr>
        <w:t>FINV (</w:t>
      </w:r>
      <w:r>
        <w:rPr>
          <w:rFonts w:ascii="Lucida Console"/>
          <w:spacing w:val="-71"/>
          <w:sz w:val="20"/>
        </w:rPr>
        <w:t> </w:t>
      </w:r>
      <w:r>
        <w:rPr>
          <w:i/>
          <w:sz w:val="22"/>
        </w:rPr>
        <w:t>probability </w:t>
      </w:r>
      <w:r>
        <w:rPr>
          <w:rFonts w:ascii="Lucida Console"/>
          <w:sz w:val="20"/>
        </w:rPr>
        <w:t>, </w:t>
      </w:r>
      <w:r>
        <w:rPr>
          <w:i/>
          <w:sz w:val="22"/>
        </w:rPr>
        <w:t>degrees-freedom-1 </w:t>
      </w:r>
      <w:r>
        <w:rPr>
          <w:rFonts w:ascii="Lucida Console"/>
          <w:sz w:val="20"/>
        </w:rPr>
        <w:t>, </w:t>
      </w:r>
      <w:r>
        <w:rPr>
          <w:i/>
          <w:sz w:val="22"/>
        </w:rPr>
        <w:t>degrees-freedom-2 </w:t>
      </w:r>
      <w:r>
        <w:rPr>
          <w:rFonts w:ascii="Lucida Console"/>
          <w:sz w:val="20"/>
        </w:rPr>
        <w:t>)</w:t>
      </w:r>
    </w:p>
    <w:p>
      <w:pPr>
        <w:spacing w:line="276" w:lineRule="auto" w:before="107"/>
        <w:ind w:left="220" w:right="684" w:firstLine="0"/>
        <w:jc w:val="both"/>
        <w:rPr>
          <w:sz w:val="22"/>
        </w:rPr>
      </w:pPr>
      <w:r>
        <w:rPr>
          <w:b/>
          <w:sz w:val="22"/>
        </w:rPr>
        <w:t>Description: </w:t>
      </w:r>
      <w:r>
        <w:rPr>
          <w:sz w:val="22"/>
        </w:rPr>
        <w:t>Computes the inverse of the F probability distribution. Given a value for </w:t>
      </w:r>
      <w:r>
        <w:rPr>
          <w:rFonts w:ascii="Times New Roman"/>
          <w:i/>
          <w:sz w:val="22"/>
        </w:rPr>
        <w:t>probability</w:t>
      </w:r>
      <w:r>
        <w:rPr>
          <w:sz w:val="22"/>
        </w:rPr>
        <w:t>, </w:t>
      </w:r>
      <w:r>
        <w:rPr>
          <w:rFonts w:ascii="Consolas"/>
          <w:sz w:val="22"/>
        </w:rPr>
        <w:t>FINV</w:t>
      </w:r>
      <w:r>
        <w:rPr>
          <w:rFonts w:ascii="Consolas"/>
          <w:spacing w:val="-73"/>
          <w:sz w:val="22"/>
        </w:rPr>
        <w:t> </w:t>
      </w:r>
      <w:r>
        <w:rPr>
          <w:sz w:val="22"/>
        </w:rPr>
        <w:t>seeks that value </w:t>
      </w:r>
      <w:r>
        <w:rPr>
          <w:rFonts w:ascii="Times New Roman"/>
          <w:i/>
          <w:sz w:val="22"/>
        </w:rPr>
        <w:t>x </w:t>
      </w:r>
      <w:r>
        <w:rPr>
          <w:sz w:val="22"/>
        </w:rPr>
        <w:t>such that </w:t>
      </w:r>
      <w:r>
        <w:rPr>
          <w:rFonts w:ascii="Consolas"/>
          <w:sz w:val="22"/>
        </w:rPr>
        <w:t>FDIST(</w:t>
      </w:r>
      <w:r>
        <w:rPr>
          <w:rFonts w:ascii="Times New Roman"/>
          <w:i/>
          <w:sz w:val="22"/>
        </w:rPr>
        <w:t>x</w:t>
      </w:r>
      <w:r>
        <w:rPr>
          <w:sz w:val="22"/>
        </w:rPr>
        <w:t>, </w:t>
      </w:r>
      <w:r>
        <w:rPr>
          <w:rFonts w:ascii="Times New Roman"/>
          <w:i/>
          <w:sz w:val="22"/>
        </w:rPr>
        <w:t>degrees-freedom1</w:t>
      </w:r>
      <w:r>
        <w:rPr>
          <w:rFonts w:ascii="Consolas"/>
          <w:sz w:val="22"/>
        </w:rPr>
        <w:t>,</w:t>
      </w:r>
      <w:r>
        <w:rPr>
          <w:rFonts w:ascii="Consolas"/>
          <w:spacing w:val="-74"/>
          <w:sz w:val="22"/>
        </w:rPr>
        <w:t> </w:t>
      </w:r>
      <w:r>
        <w:rPr>
          <w:rFonts w:ascii="Times New Roman"/>
          <w:i/>
          <w:sz w:val="22"/>
        </w:rPr>
        <w:t>degrees-freedom2</w:t>
      </w:r>
      <w:r>
        <w:rPr>
          <w:rFonts w:ascii="Consolas"/>
          <w:sz w:val="22"/>
        </w:rPr>
        <w:t>)</w:t>
      </w:r>
      <w:r>
        <w:rPr>
          <w:rFonts w:ascii="Consolas"/>
          <w:spacing w:val="-71"/>
          <w:sz w:val="22"/>
        </w:rPr>
        <w:t> </w:t>
      </w:r>
      <w:r>
        <w:rPr>
          <w:sz w:val="22"/>
        </w:rPr>
        <w:t>= </w:t>
      </w:r>
      <w:r>
        <w:rPr>
          <w:rFonts w:ascii="Times New Roman"/>
          <w:i/>
          <w:sz w:val="22"/>
        </w:rPr>
        <w:t>probability</w:t>
      </w:r>
      <w:r>
        <w:rPr>
          <w:sz w:val="22"/>
        </w:rPr>
        <w:t>. Thus, precision of </w:t>
      </w:r>
      <w:r>
        <w:rPr>
          <w:rFonts w:ascii="Consolas"/>
          <w:sz w:val="22"/>
        </w:rPr>
        <w:t>FINV </w:t>
      </w:r>
      <w:r>
        <w:rPr>
          <w:sz w:val="22"/>
        </w:rPr>
        <w:t>depends on precision of </w:t>
      </w:r>
      <w:r>
        <w:rPr>
          <w:rFonts w:ascii="Consolas"/>
          <w:sz w:val="22"/>
        </w:rPr>
        <w:t>FDIST</w:t>
      </w:r>
      <w:r>
        <w:rPr>
          <w:sz w:val="22"/>
        </w:rPr>
        <w:t>.</w:t>
      </w:r>
    </w:p>
    <w:p>
      <w:pPr>
        <w:pStyle w:val="BodyText"/>
        <w:spacing w:before="6"/>
        <w:rPr>
          <w:sz w:val="16"/>
        </w:rPr>
      </w:pPr>
    </w:p>
    <w:p>
      <w:pPr>
        <w:pStyle w:val="Heading4"/>
      </w:pPr>
      <w:r>
        <w:rPr/>
        <w:t>Arguments:</w:t>
      </w:r>
    </w:p>
    <w:p>
      <w:pPr>
        <w:spacing w:after="0"/>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5"/>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ight="1134"/>
              <w:rPr>
                <w:sz w:val="22"/>
              </w:rPr>
            </w:pPr>
            <w:r>
              <w:rPr>
                <w:sz w:val="22"/>
              </w:rPr>
              <w:t>A probability associated with the F cumulative distribution.</w:t>
            </w:r>
          </w:p>
        </w:tc>
      </w:tr>
      <w:tr>
        <w:trPr>
          <w:trHeight w:val="621" w:hRule="atLeast"/>
        </w:trPr>
        <w:tc>
          <w:tcPr>
            <w:tcW w:w="1466" w:type="dxa"/>
          </w:tcPr>
          <w:p>
            <w:pPr>
              <w:pStyle w:val="TableParagraph"/>
              <w:spacing w:before="37"/>
              <w:ind w:right="431"/>
              <w:rPr>
                <w:rFonts w:ascii="Times New Roman"/>
                <w:i/>
                <w:sz w:val="22"/>
              </w:rPr>
            </w:pPr>
            <w:r>
              <w:rPr>
                <w:rFonts w:ascii="Times New Roman"/>
                <w:i/>
                <w:sz w:val="22"/>
              </w:rPr>
              <w:t>degrees- </w:t>
            </w:r>
            <w:r>
              <w:rPr>
                <w:rFonts w:ascii="Times New Roman"/>
                <w:i/>
                <w:sz w:val="22"/>
              </w:rPr>
              <w:t>freedom-1</w:t>
            </w:r>
          </w:p>
        </w:tc>
        <w:tc>
          <w:tcPr>
            <w:tcW w:w="1800" w:type="dxa"/>
          </w:tcPr>
          <w:p>
            <w:pPr>
              <w:pStyle w:val="TableParagraph"/>
              <w:ind w:left="112"/>
              <w:rPr>
                <w:sz w:val="22"/>
              </w:rPr>
            </w:pPr>
            <w:r>
              <w:rPr>
                <w:sz w:val="22"/>
              </w:rPr>
              <w:t>number</w:t>
            </w:r>
          </w:p>
        </w:tc>
        <w:tc>
          <w:tcPr>
            <w:tcW w:w="5400" w:type="dxa"/>
          </w:tcPr>
          <w:p>
            <w:pPr>
              <w:pStyle w:val="TableParagraph"/>
              <w:ind w:left="113" w:right="393"/>
              <w:rPr>
                <w:sz w:val="22"/>
              </w:rPr>
            </w:pPr>
            <w:r>
              <w:rPr>
                <w:sz w:val="22"/>
              </w:rPr>
              <w:t>The number of degrees of freedom for the numerator, truncated to an integer.</w:t>
            </w:r>
          </w:p>
        </w:tc>
      </w:tr>
      <w:tr>
        <w:trPr>
          <w:trHeight w:val="623" w:hRule="atLeast"/>
        </w:trPr>
        <w:tc>
          <w:tcPr>
            <w:tcW w:w="1466" w:type="dxa"/>
          </w:tcPr>
          <w:p>
            <w:pPr>
              <w:pStyle w:val="TableParagraph"/>
              <w:spacing w:before="39"/>
              <w:ind w:right="431"/>
              <w:rPr>
                <w:rFonts w:ascii="Times New Roman"/>
                <w:i/>
                <w:sz w:val="22"/>
              </w:rPr>
            </w:pPr>
            <w:r>
              <w:rPr>
                <w:rFonts w:ascii="Times New Roman"/>
                <w:i/>
                <w:sz w:val="22"/>
              </w:rPr>
              <w:t>degrees- </w:t>
            </w:r>
            <w:r>
              <w:rPr>
                <w:rFonts w:ascii="Times New Roman"/>
                <w:i/>
                <w:sz w:val="22"/>
              </w:rPr>
              <w:t>freedom-2</w:t>
            </w:r>
          </w:p>
        </w:tc>
        <w:tc>
          <w:tcPr>
            <w:tcW w:w="1800" w:type="dxa"/>
          </w:tcPr>
          <w:p>
            <w:pPr>
              <w:pStyle w:val="TableParagraph"/>
              <w:spacing w:before="42"/>
              <w:ind w:left="112"/>
              <w:rPr>
                <w:sz w:val="22"/>
              </w:rPr>
            </w:pPr>
            <w:r>
              <w:rPr>
                <w:sz w:val="22"/>
              </w:rPr>
              <w:t>number</w:t>
            </w:r>
          </w:p>
        </w:tc>
        <w:tc>
          <w:tcPr>
            <w:tcW w:w="5400" w:type="dxa"/>
          </w:tcPr>
          <w:p>
            <w:pPr>
              <w:pStyle w:val="TableParagraph"/>
              <w:spacing w:line="237" w:lineRule="auto" w:before="44"/>
              <w:ind w:left="113" w:right="187"/>
              <w:rPr>
                <w:sz w:val="22"/>
              </w:rPr>
            </w:pPr>
            <w:r>
              <w:rPr>
                <w:sz w:val="22"/>
              </w:rPr>
              <w:t>The number of degrees of freedom for the denominator, truncated to an integer.</w:t>
            </w:r>
          </w:p>
        </w:tc>
      </w:tr>
    </w:tbl>
    <w:p>
      <w:pPr>
        <w:pStyle w:val="BodyText"/>
        <w:rPr>
          <w:b/>
          <w:sz w:val="20"/>
        </w:rPr>
      </w:pPr>
    </w:p>
    <w:p>
      <w:pPr>
        <w:pStyle w:val="BodyText"/>
        <w:rPr>
          <w:b/>
          <w:sz w:val="17"/>
        </w:rPr>
      </w:pPr>
    </w:p>
    <w:p>
      <w:pPr>
        <w:spacing w:line="453" w:lineRule="auto" w:before="56"/>
        <w:ind w:left="220" w:right="3403" w:firstLine="0"/>
        <w:jc w:val="left"/>
        <w:rPr>
          <w:sz w:val="22"/>
        </w:rPr>
      </w:pPr>
      <w:r>
        <w:rPr>
          <w:b/>
          <w:sz w:val="22"/>
        </w:rPr>
        <w:t>Return Type and Value: </w:t>
      </w:r>
      <w:r>
        <w:rPr>
          <w:sz w:val="22"/>
        </w:rPr>
        <w:t>number – The inverse of the F probability distribution.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probability </w:t>
      </w:r>
      <w:r>
        <w:rPr>
          <w:sz w:val="22"/>
        </w:rPr>
        <w:t>&lt; 0 or </w:t>
      </w:r>
      <w:r>
        <w:rPr>
          <w:rFonts w:ascii="Times New Roman" w:hAnsi="Times New Roman"/>
          <w:i/>
          <w:sz w:val="22"/>
        </w:rPr>
        <w:t>probability </w:t>
      </w:r>
      <w:r>
        <w:rPr>
          <w:sz w:val="22"/>
        </w:rPr>
        <w:t>&gt; 1,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degrees-freedom-1 </w:t>
      </w:r>
      <w:r>
        <w:rPr>
          <w:sz w:val="22"/>
        </w:rPr>
        <w:t>&lt; 1 or </w:t>
      </w:r>
      <w:r>
        <w:rPr>
          <w:rFonts w:ascii="Times New Roman" w:hAnsi="Times New Roman"/>
          <w:i/>
          <w:sz w:val="22"/>
        </w:rPr>
        <w:t>degrees-freedom-1 </w:t>
      </w:r>
      <w:r>
        <w:rPr>
          <w:sz w:val="22"/>
        </w:rPr>
        <w:t>≥ 10</w:t>
      </w:r>
      <w:r>
        <w:rPr>
          <w:sz w:val="22"/>
          <w:vertAlign w:val="superscript"/>
        </w:rPr>
        <w:t>10</w:t>
      </w:r>
      <w:r>
        <w:rPr>
          <w:sz w:val="22"/>
          <w:vertAlign w:val="baseline"/>
        </w:rPr>
        <w:t>, </w:t>
      </w:r>
      <w:r>
        <w:rPr>
          <w:rFonts w:ascii="Consolas" w:hAnsi="Consolas"/>
          <w:sz w:val="22"/>
          <w:vertAlign w:val="baseline"/>
        </w:rPr>
        <w:t>#NUM!</w:t>
      </w:r>
      <w:r>
        <w:rPr>
          <w:rFonts w:ascii="Consolas" w:hAnsi="Consolas"/>
          <w:spacing w:val="-90"/>
          <w:sz w:val="22"/>
          <w:vertAlign w:val="baseline"/>
        </w:rPr>
        <w:t> </w:t>
      </w:r>
      <w:r>
        <w:rPr>
          <w:sz w:val="22"/>
          <w:vertAlign w:val="baseline"/>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degrees-freedom-2 </w:t>
      </w:r>
      <w:r>
        <w:rPr>
          <w:sz w:val="22"/>
        </w:rPr>
        <w:t>&lt; 1 or </w:t>
      </w:r>
      <w:r>
        <w:rPr>
          <w:rFonts w:ascii="Times New Roman" w:hAnsi="Times New Roman"/>
          <w:i/>
          <w:sz w:val="22"/>
        </w:rPr>
        <w:t>degrees-freedom-2 </w:t>
      </w:r>
      <w:r>
        <w:rPr>
          <w:sz w:val="22"/>
        </w:rPr>
        <w:t>≥ 10</w:t>
      </w:r>
      <w:r>
        <w:rPr>
          <w:sz w:val="22"/>
          <w:vertAlign w:val="superscript"/>
        </w:rPr>
        <w:t>10</w:t>
      </w:r>
      <w:r>
        <w:rPr>
          <w:sz w:val="22"/>
          <w:vertAlign w:val="baseline"/>
        </w:rPr>
        <w:t>, </w:t>
      </w:r>
      <w:r>
        <w:rPr>
          <w:rFonts w:ascii="Consolas" w:hAnsi="Consolas"/>
          <w:sz w:val="22"/>
          <w:vertAlign w:val="baseline"/>
        </w:rPr>
        <w:t>#NUM!</w:t>
      </w:r>
      <w:r>
        <w:rPr>
          <w:rFonts w:ascii="Consolas" w:hAnsi="Consolas"/>
          <w:spacing w:val="-90"/>
          <w:sz w:val="22"/>
          <w:vertAlign w:val="baseline"/>
        </w:rPr>
        <w:t> </w:t>
      </w:r>
      <w:r>
        <w:rPr>
          <w:sz w:val="22"/>
          <w:vertAlign w:val="baseline"/>
        </w:rPr>
        <w:t>is returned.</w:t>
      </w:r>
    </w:p>
    <w:p>
      <w:pPr>
        <w:pStyle w:val="ListParagraph"/>
        <w:numPr>
          <w:ilvl w:val="4"/>
          <w:numId w:val="66"/>
        </w:numPr>
        <w:tabs>
          <w:tab w:pos="940" w:val="left" w:leader="none"/>
          <w:tab w:pos="941" w:val="left" w:leader="none"/>
        </w:tabs>
        <w:spacing w:line="446" w:lineRule="auto" w:before="39" w:after="0"/>
        <w:ind w:left="220" w:right="1629" w:firstLine="360"/>
        <w:jc w:val="left"/>
        <w:rPr>
          <w:sz w:val="22"/>
        </w:rPr>
      </w:pPr>
      <w:r>
        <w:rPr>
          <w:sz w:val="22"/>
        </w:rPr>
        <w:t>the implementation determines that a return value cannot be computed, </w:t>
      </w:r>
      <w:r>
        <w:rPr>
          <w:rFonts w:ascii="Consolas" w:hAnsi="Consolas"/>
          <w:sz w:val="22"/>
        </w:rPr>
        <w:t>#N/A</w:t>
      </w:r>
      <w:r>
        <w:rPr>
          <w:rFonts w:ascii="Consolas" w:hAnsi="Consolas"/>
          <w:spacing w:val="-90"/>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FINV(0.5,3,4) </w:t>
      </w:r>
      <w:r>
        <w:rPr/>
        <w:t>results in </w:t>
      </w:r>
      <w:r>
        <w:rPr>
          <w:rFonts w:ascii="Consolas"/>
        </w:rPr>
        <w:t>0.940534076</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2 FISHER" w:id="1758"/>
      <w:bookmarkEnd w:id="1758"/>
      <w:r>
        <w:rPr/>
      </w:r>
      <w:bookmarkStart w:name="_bookmark585" w:id="1759"/>
      <w:bookmarkEnd w:id="1759"/>
      <w:r>
        <w:rPr/>
      </w:r>
      <w:bookmarkStart w:name="_bookmark585" w:id="1760"/>
      <w:bookmarkEnd w:id="1760"/>
      <w:r>
        <w:rPr>
          <w:color w:val="4F81BC"/>
        </w:rPr>
        <w:t>F</w:t>
      </w:r>
      <w:r>
        <w:rPr>
          <w:color w:val="4F81BC"/>
        </w:rPr>
        <w:t>ISHER</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FISHER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Fisher transformation at </w:t>
      </w:r>
      <w:r>
        <w:rPr>
          <w:rFonts w:ascii="Times New Roman"/>
          <w:i/>
          <w:sz w:val="22"/>
        </w:rPr>
        <w:t>x</w:t>
      </w:r>
      <w:r>
        <w:rPr>
          <w:sz w:val="22"/>
        </w:rPr>
        <w:t>.</w:t>
      </w:r>
    </w:p>
    <w:p>
      <w:pPr>
        <w:pStyle w:val="BodyText"/>
        <w:spacing w:before="8"/>
        <w:rPr>
          <w:sz w:val="19"/>
        </w:rPr>
      </w:pPr>
    </w:p>
    <w:p>
      <w:pPr>
        <w:pStyle w:val="Heading4"/>
        <w:spacing w:before="1"/>
        <w:rPr>
          <w:b w:val="0"/>
        </w:rPr>
      </w:pPr>
      <w:r>
        <w:rPr/>
        <w:t>Mathematical Formula</w:t>
      </w:r>
      <w:r>
        <w:rPr>
          <w:b w:val="0"/>
        </w:rPr>
        <w:t>:</w:t>
      </w:r>
    </w:p>
    <w:p>
      <w:pPr>
        <w:pStyle w:val="BodyText"/>
        <w:spacing w:before="12"/>
        <w:rPr>
          <w:sz w:val="16"/>
        </w:rPr>
      </w:pPr>
    </w:p>
    <w:p>
      <w:pPr>
        <w:pStyle w:val="BodyText"/>
        <w:spacing w:line="356" w:lineRule="exact"/>
        <w:ind w:left="220"/>
        <w:rPr>
          <w:rFonts w:ascii="Cambria Math" w:hAnsi="Cambria Math" w:eastAsia="Cambria Math"/>
        </w:rPr>
      </w:pPr>
      <w:r>
        <w:rPr/>
        <w:pict>
          <v:rect style="position:absolute;margin-left:79.944pt;margin-top:15.47218pt;width:6.12pt;height:.71997pt;mso-position-horizontal-relative:page;mso-position-vertical-relative:paragraph;z-index:-335877120" filled="true" fillcolor="#000000" stroked="false">
            <v:fill type="solid"/>
            <w10:wrap type="none"/>
          </v:rect>
        </w:pict>
      </w:r>
      <w:r>
        <w:rPr/>
        <w:pict>
          <v:line style="position:absolute;mso-position-horizontal-relative:page;mso-position-vertical-relative:paragraph;z-index:251764736" from="104.300003pt,15.832166pt" to="129.740003pt,15.832166pt" stroked="true" strokeweight=".71997pt" strokecolor="#000000">
            <v:stroke dashstyle="solid"/>
            <w10:wrap type="none"/>
          </v:line>
        </w:pict>
      </w:r>
      <w:r>
        <w:rPr>
          <w:rFonts w:ascii="Cambria Math" w:hAnsi="Cambria Math" w:eastAsia="Cambria Math"/>
          <w:w w:val="105"/>
        </w:rPr>
        <w:t>𝑧</w:t>
      </w:r>
      <w:r>
        <w:rPr>
          <w:rFonts w:ascii="Cambria Math" w:hAnsi="Cambria Math" w:eastAsia="Cambria Math"/>
          <w:w w:val="105"/>
          <w:vertAlign w:val="superscript"/>
        </w:rPr>
        <w:t>′</w:t>
      </w:r>
      <w:r>
        <w:rPr>
          <w:rFonts w:ascii="Cambria Math" w:hAnsi="Cambria Math" w:eastAsia="Cambria Math"/>
          <w:w w:val="105"/>
          <w:vertAlign w:val="baseline"/>
        </w:rPr>
        <w:t> = </w:t>
      </w:r>
      <w:r>
        <w:rPr>
          <w:rFonts w:ascii="Cambria Math" w:hAnsi="Cambria Math" w:eastAsia="Cambria Math"/>
          <w:w w:val="105"/>
          <w:position w:val="17"/>
          <w:vertAlign w:val="baseline"/>
        </w:rPr>
        <w:t>1 </w:t>
      </w:r>
      <w:r>
        <w:rPr>
          <w:rFonts w:ascii="Cambria Math" w:hAnsi="Cambria Math" w:eastAsia="Cambria Math"/>
          <w:w w:val="105"/>
          <w:vertAlign w:val="baseline"/>
        </w:rPr>
        <w:t>ln (</w:t>
      </w:r>
      <w:r>
        <w:rPr>
          <w:rFonts w:ascii="Cambria Math" w:hAnsi="Cambria Math" w:eastAsia="Cambria Math"/>
          <w:w w:val="105"/>
          <w:position w:val="17"/>
          <w:vertAlign w:val="baseline"/>
        </w:rPr>
        <w:t>1 + 𝑥</w:t>
      </w:r>
      <w:r>
        <w:rPr>
          <w:rFonts w:ascii="Cambria Math" w:hAnsi="Cambria Math" w:eastAsia="Cambria Math"/>
          <w:w w:val="105"/>
          <w:vertAlign w:val="baseline"/>
        </w:rPr>
        <w:t>)</w:t>
      </w:r>
    </w:p>
    <w:p>
      <w:pPr>
        <w:pStyle w:val="BodyText"/>
        <w:tabs>
          <w:tab w:pos="1225" w:val="left" w:leader="none"/>
        </w:tabs>
        <w:spacing w:line="221" w:lineRule="exact"/>
        <w:ind w:left="738"/>
        <w:rPr>
          <w:rFonts w:ascii="Cambria Math" w:hAnsi="Cambria Math" w:eastAsia="Cambria Math"/>
        </w:rPr>
      </w:pPr>
      <w:r>
        <w:rPr>
          <w:rFonts w:ascii="Cambria Math" w:hAnsi="Cambria Math" w:eastAsia="Cambria Math"/>
        </w:rPr>
        <w:t>2</w:t>
        <w:tab/>
        <w:t>1 −</w:t>
      </w:r>
      <w:r>
        <w:rPr>
          <w:rFonts w:ascii="Cambria Math" w:hAnsi="Cambria Math" w:eastAsia="Cambria Math"/>
          <w:spacing w:val="-1"/>
        </w:rPr>
        <w:t> </w:t>
      </w:r>
      <w:r>
        <w:rPr>
          <w:rFonts w:ascii="Cambria Math" w:hAnsi="Cambria Math" w:eastAsia="Cambria Math"/>
        </w:rPr>
        <w:t>𝑥</w:t>
      </w:r>
    </w:p>
    <w:p>
      <w:pPr>
        <w:pStyle w:val="BodyText"/>
        <w:rPr>
          <w:rFonts w:ascii="Cambria Math"/>
          <w:sz w:val="12"/>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8"/>
          <w:sz w:val="22"/>
        </w:rPr>
        <w:t> </w:t>
      </w:r>
      <w:r>
        <w:rPr>
          <w:rFonts w:ascii="Times New Roman" w:hAnsi="Times New Roman"/>
          <w:i/>
          <w:sz w:val="22"/>
        </w:rPr>
        <w:t>x</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7" w:hRule="atLeast"/>
        </w:trPr>
        <w:tc>
          <w:tcPr>
            <w:tcW w:w="1466" w:type="dxa"/>
          </w:tcPr>
          <w:p>
            <w:pPr>
              <w:pStyle w:val="TableParagraph"/>
              <w:spacing w:before="39"/>
              <w:rPr>
                <w:rFonts w:ascii="Times New Roman"/>
                <w:i/>
                <w:sz w:val="22"/>
              </w:rPr>
            </w:pPr>
            <w:r>
              <w:rPr>
                <w:rFonts w:ascii="Times New Roman"/>
                <w:i/>
                <w:w w:val="100"/>
                <w:sz w:val="22"/>
              </w:rPr>
              <w:t>x</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number for which the transformation is wanted.</w:t>
            </w:r>
          </w:p>
        </w:tc>
      </w:tr>
    </w:tbl>
    <w:p>
      <w:pPr>
        <w:spacing w:after="0"/>
        <w:rPr>
          <w:sz w:val="22"/>
        </w:rPr>
        <w:sectPr>
          <w:pgSz w:w="12240" w:h="15840"/>
          <w:pgMar w:header="761" w:footer="746" w:top="1340" w:bottom="940" w:left="860" w:right="700"/>
        </w:sectPr>
      </w:pPr>
    </w:p>
    <w:p>
      <w:pPr>
        <w:spacing w:line="456" w:lineRule="auto" w:before="150"/>
        <w:ind w:left="220" w:right="4572" w:firstLine="0"/>
        <w:jc w:val="left"/>
        <w:rPr>
          <w:sz w:val="22"/>
        </w:rPr>
      </w:pPr>
      <w:r>
        <w:rPr>
          <w:b/>
          <w:sz w:val="22"/>
        </w:rPr>
        <w:t>Return Type and Value: </w:t>
      </w:r>
      <w:r>
        <w:rPr>
          <w:sz w:val="22"/>
        </w:rPr>
        <w:t>number – The Fisher transformation at </w:t>
      </w:r>
      <w:r>
        <w:rPr>
          <w:rFonts w:ascii="Times New Roman" w:hAnsi="Times New Roman"/>
          <w:i/>
          <w:sz w:val="22"/>
        </w:rPr>
        <w:t>x</w:t>
      </w:r>
      <w:r>
        <w:rPr>
          <w:sz w:val="22"/>
        </w:rPr>
        <w:t>.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x </w:t>
      </w:r>
      <w:r>
        <w:rPr>
          <w:sz w:val="22"/>
        </w:rPr>
        <w:t>≤ -1,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4" w:lineRule="auto" w:before="42" w:after="0"/>
        <w:ind w:left="220" w:right="7524" w:firstLine="360"/>
        <w:jc w:val="left"/>
        <w:rPr>
          <w:sz w:val="22"/>
        </w:rPr>
      </w:pPr>
      <w:r>
        <w:rPr>
          <w:rFonts w:ascii="Times New Roman" w:hAnsi="Times New Roman"/>
          <w:i/>
          <w:sz w:val="22"/>
        </w:rPr>
        <w:t>x </w:t>
      </w:r>
      <w:r>
        <w:rPr>
          <w:sz w:val="22"/>
        </w:rPr>
        <w:t>≥ 1, </w:t>
      </w:r>
      <w:r>
        <w:rPr>
          <w:rFonts w:ascii="Consolas" w:hAnsi="Consolas"/>
          <w:sz w:val="22"/>
        </w:rPr>
        <w:t>#NUM!</w:t>
      </w:r>
      <w:r>
        <w:rPr>
          <w:rFonts w:ascii="Consolas" w:hAnsi="Consolas"/>
          <w:spacing w:val="-83"/>
          <w:sz w:val="22"/>
        </w:rPr>
        <w:t> </w:t>
      </w:r>
      <w:r>
        <w:rPr>
          <w:sz w:val="22"/>
        </w:rPr>
        <w:t>is returned. [</w:t>
      </w:r>
      <w:r>
        <w:rPr>
          <w:i/>
          <w:sz w:val="22"/>
        </w:rPr>
        <w:t>Example</w:t>
      </w:r>
      <w:r>
        <w:rPr>
          <w:sz w:val="22"/>
        </w:rPr>
        <w:t>:</w:t>
      </w:r>
    </w:p>
    <w:p>
      <w:pPr>
        <w:pStyle w:val="BodyText"/>
        <w:spacing w:line="273" w:lineRule="auto" w:before="131"/>
        <w:ind w:left="220" w:right="6431"/>
        <w:rPr>
          <w:rFonts w:ascii="Consolas"/>
        </w:rPr>
      </w:pPr>
      <w:r>
        <w:rPr>
          <w:rFonts w:ascii="Consolas"/>
        </w:rPr>
        <w:t>FISHER(-0.43) </w:t>
      </w:r>
      <w:r>
        <w:rPr/>
        <w:t>results in </w:t>
      </w:r>
      <w:r>
        <w:rPr>
          <w:rFonts w:ascii="Consolas"/>
        </w:rPr>
        <w:t>-0.459896681 FISHER(0.578) </w:t>
      </w:r>
      <w:r>
        <w:rPr/>
        <w:t>results in </w:t>
      </w:r>
      <w:r>
        <w:rPr>
          <w:rFonts w:ascii="Consolas"/>
        </w:rPr>
        <w:t>0.659454094</w:t>
      </w:r>
    </w:p>
    <w:p>
      <w:pPr>
        <w:pStyle w:val="BodyText"/>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23 FISHERINV" w:id="1761"/>
      <w:bookmarkEnd w:id="1761"/>
      <w:r>
        <w:rPr/>
      </w:r>
      <w:bookmarkStart w:name="_bookmark586" w:id="1762"/>
      <w:bookmarkEnd w:id="1762"/>
      <w:r>
        <w:rPr/>
      </w:r>
      <w:bookmarkStart w:name="_bookmark586" w:id="1763"/>
      <w:bookmarkEnd w:id="1763"/>
      <w:r>
        <w:rPr>
          <w:color w:val="4F81BC"/>
        </w:rPr>
        <w:t>F</w:t>
      </w:r>
      <w:r>
        <w:rPr>
          <w:color w:val="4F81BC"/>
        </w:rPr>
        <w:t>ISHERINV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FISHERINV ( </w:t>
      </w:r>
      <w:r>
        <w:rPr>
          <w:i/>
          <w:sz w:val="22"/>
        </w:rPr>
        <w:t>y </w:t>
      </w:r>
      <w:r>
        <w:rPr>
          <w:rFonts w:ascii="Lucida Console"/>
          <w:sz w:val="20"/>
        </w:rPr>
        <w:t>)</w:t>
      </w:r>
    </w:p>
    <w:p>
      <w:pPr>
        <w:spacing w:before="108"/>
        <w:ind w:left="220" w:right="0" w:firstLine="0"/>
        <w:jc w:val="left"/>
        <w:rPr>
          <w:sz w:val="22"/>
        </w:rPr>
      </w:pPr>
      <w:r>
        <w:rPr>
          <w:b/>
          <w:sz w:val="22"/>
        </w:rPr>
        <w:t>Description: </w:t>
      </w:r>
      <w:r>
        <w:rPr>
          <w:sz w:val="22"/>
        </w:rPr>
        <w:t>Computes the inverse of the Fisher transformation.</w:t>
      </w:r>
    </w:p>
    <w:p>
      <w:pPr>
        <w:pStyle w:val="BodyText"/>
        <w:spacing w:before="8"/>
        <w:rPr>
          <w:sz w:val="19"/>
        </w:rPr>
      </w:pPr>
    </w:p>
    <w:p>
      <w:pPr>
        <w:pStyle w:val="Heading4"/>
        <w:rPr>
          <w:b w:val="0"/>
        </w:rPr>
      </w:pPr>
      <w:r>
        <w:rPr/>
        <w:t>Mathematical Formula</w:t>
      </w:r>
      <w:r>
        <w:rPr>
          <w:b w:val="0"/>
        </w:rPr>
        <w:t>:</w:t>
      </w:r>
    </w:p>
    <w:p>
      <w:pPr>
        <w:pStyle w:val="BodyText"/>
        <w:spacing w:before="11"/>
        <w:rPr>
          <w:sz w:val="19"/>
        </w:rPr>
      </w:pPr>
    </w:p>
    <w:p>
      <w:pPr>
        <w:pStyle w:val="BodyText"/>
        <w:spacing w:line="205" w:lineRule="exact" w:before="1"/>
        <w:ind w:left="678"/>
        <w:rPr>
          <w:rFonts w:ascii="Cambria Math" w:hAnsi="Cambria Math" w:eastAsia="Cambria Math"/>
        </w:rPr>
      </w:pPr>
      <w:r>
        <w:rPr>
          <w:rFonts w:ascii="Cambria Math" w:hAnsi="Cambria Math" w:eastAsia="Cambria Math"/>
        </w:rPr>
        <w:t>𝑒</w:t>
      </w:r>
      <w:r>
        <w:rPr>
          <w:rFonts w:ascii="Cambria Math" w:hAnsi="Cambria Math" w:eastAsia="Cambria Math"/>
          <w:vertAlign w:val="superscript"/>
        </w:rPr>
        <w:t>2𝑦</w:t>
      </w:r>
      <w:r>
        <w:rPr>
          <w:rFonts w:ascii="Cambria Math" w:hAnsi="Cambria Math" w:eastAsia="Cambria Math"/>
          <w:vertAlign w:val="baseline"/>
        </w:rPr>
        <w:t> − 1</w:t>
      </w:r>
    </w:p>
    <w:p>
      <w:pPr>
        <w:spacing w:after="0" w:line="205" w:lineRule="exact"/>
        <w:rPr>
          <w:rFonts w:ascii="Cambria Math" w:hAnsi="Cambria Math" w:eastAsia="Cambria Math"/>
        </w:rPr>
        <w:sectPr>
          <w:pgSz w:w="12240" w:h="15840"/>
          <w:pgMar w:header="763" w:footer="746" w:top="1340" w:bottom="940" w:left="860" w:right="700"/>
        </w:sectPr>
      </w:pPr>
    </w:p>
    <w:p>
      <w:pPr>
        <w:pStyle w:val="BodyText"/>
        <w:spacing w:line="221" w:lineRule="exact"/>
        <w:ind w:left="220"/>
        <w:rPr>
          <w:rFonts w:ascii="Cambria Math" w:eastAsia="Cambria Math"/>
        </w:rPr>
      </w:pPr>
      <w:r>
        <w:rPr>
          <w:rFonts w:ascii="Cambria Math" w:eastAsia="Cambria Math"/>
        </w:rPr>
        <w:t>𝑥 =</w:t>
      </w:r>
    </w:p>
    <w:p>
      <w:pPr>
        <w:pStyle w:val="BodyText"/>
        <w:spacing w:before="7"/>
        <w:rPr>
          <w:rFonts w:ascii="Cambria Math"/>
          <w:sz w:val="8"/>
        </w:rPr>
      </w:pPr>
      <w:r>
        <w:rPr/>
        <w:br w:type="column"/>
      </w:r>
      <w:r>
        <w:rPr>
          <w:rFonts w:ascii="Cambria Math"/>
          <w:sz w:val="8"/>
        </w:rPr>
      </w:r>
    </w:p>
    <w:p>
      <w:pPr>
        <w:pStyle w:val="BodyText"/>
        <w:spacing w:line="20" w:lineRule="exact"/>
        <w:ind w:left="61"/>
        <w:rPr>
          <w:rFonts w:ascii="Cambria Math"/>
          <w:sz w:val="2"/>
        </w:rPr>
      </w:pPr>
      <w:r>
        <w:rPr>
          <w:rFonts w:ascii="Cambria Math"/>
          <w:sz w:val="2"/>
        </w:rPr>
        <w:pict>
          <v:group style="width:35.65pt;height:.75pt;mso-position-horizontal-relative:char;mso-position-vertical-relative:line" coordorigin="0,0" coordsize="713,15">
            <v:line style="position:absolute" from="0,7" to="713,7" stroked="true" strokeweight=".71997pt" strokecolor="#000000">
              <v:stroke dashstyle="solid"/>
            </v:line>
          </v:group>
        </w:pict>
      </w:r>
      <w:r>
        <w:rPr>
          <w:rFonts w:ascii="Cambria Math"/>
          <w:sz w:val="2"/>
        </w:rPr>
      </w:r>
    </w:p>
    <w:p>
      <w:pPr>
        <w:spacing w:before="0"/>
        <w:ind w:left="69" w:right="0" w:firstLine="0"/>
        <w:jc w:val="left"/>
        <w:rPr>
          <w:rFonts w:ascii="Cambria Math" w:eastAsia="Cambria Math"/>
          <w:sz w:val="22"/>
        </w:rPr>
      </w:pPr>
      <w:r>
        <w:rPr>
          <w:rFonts w:ascii="Cambria Math" w:eastAsia="Cambria Math"/>
          <w:w w:val="105"/>
          <w:sz w:val="22"/>
        </w:rPr>
        <w:t>𝑒</w:t>
      </w:r>
      <w:r>
        <w:rPr>
          <w:rFonts w:ascii="Cambria Math" w:eastAsia="Cambria Math"/>
          <w:w w:val="105"/>
          <w:position w:val="7"/>
          <w:sz w:val="16"/>
        </w:rPr>
        <w:t>2𝑦 </w:t>
      </w:r>
      <w:r>
        <w:rPr>
          <w:rFonts w:ascii="Cambria Math" w:eastAsia="Cambria Math"/>
          <w:w w:val="105"/>
          <w:sz w:val="22"/>
        </w:rPr>
        <w:t>+ 1</w:t>
      </w:r>
    </w:p>
    <w:p>
      <w:pPr>
        <w:spacing w:after="0"/>
        <w:jc w:val="left"/>
        <w:rPr>
          <w:rFonts w:ascii="Cambria Math" w:eastAsia="Cambria Math"/>
          <w:sz w:val="22"/>
        </w:rPr>
        <w:sectPr>
          <w:type w:val="continuous"/>
          <w:pgSz w:w="12240" w:h="15840"/>
          <w:pgMar w:top="1340" w:bottom="940" w:left="860" w:right="700"/>
          <w:cols w:num="2" w:equalWidth="0">
            <w:col w:w="570" w:space="40"/>
            <w:col w:w="10070"/>
          </w:cols>
        </w:sectPr>
      </w:pPr>
    </w:p>
    <w:p>
      <w:pPr>
        <w:pStyle w:val="BodyText"/>
        <w:spacing w:before="10"/>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rFonts w:ascii="Times New Roman" w:hAnsi="Times New Roman"/>
          <w:i/>
          <w:sz w:val="22"/>
        </w:rPr>
      </w:pPr>
      <w:r>
        <w:rPr>
          <w:rFonts w:ascii="Times New Roman" w:hAnsi="Times New Roman"/>
          <w:i/>
          <w:sz w:val="22"/>
        </w:rPr>
        <w:t>y </w:t>
      </w:r>
      <w:r>
        <w:rPr>
          <w:sz w:val="22"/>
        </w:rPr>
        <w:t>= argument</w:t>
      </w:r>
      <w:r>
        <w:rPr>
          <w:spacing w:val="-8"/>
          <w:sz w:val="22"/>
        </w:rPr>
        <w:t> </w:t>
      </w:r>
      <w:r>
        <w:rPr>
          <w:rFonts w:ascii="Times New Roman" w:hAnsi="Times New Roman"/>
          <w:i/>
          <w:sz w:val="22"/>
        </w:rPr>
        <w:t>y</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y</w:t>
            </w:r>
          </w:p>
        </w:tc>
        <w:tc>
          <w:tcPr>
            <w:tcW w:w="1800" w:type="dxa"/>
          </w:tcPr>
          <w:p>
            <w:pPr>
              <w:pStyle w:val="TableParagraph"/>
              <w:ind w:left="112"/>
              <w:rPr>
                <w:sz w:val="22"/>
              </w:rPr>
            </w:pPr>
            <w:r>
              <w:rPr>
                <w:sz w:val="22"/>
              </w:rPr>
              <w:t>number</w:t>
            </w:r>
          </w:p>
        </w:tc>
        <w:tc>
          <w:tcPr>
            <w:tcW w:w="5400" w:type="dxa"/>
          </w:tcPr>
          <w:p>
            <w:pPr>
              <w:pStyle w:val="TableParagraph"/>
              <w:ind w:left="113" w:right="244"/>
              <w:rPr>
                <w:sz w:val="22"/>
              </w:rPr>
            </w:pPr>
            <w:r>
              <w:rPr>
                <w:sz w:val="22"/>
              </w:rPr>
              <w:t>The number for which the inverse of the transformation is wanted.</w:t>
            </w:r>
          </w:p>
        </w:tc>
      </w:tr>
    </w:tbl>
    <w:p>
      <w:pPr>
        <w:pStyle w:val="BodyText"/>
        <w:rPr>
          <w:b/>
        </w:rPr>
      </w:pPr>
    </w:p>
    <w:p>
      <w:pPr>
        <w:pStyle w:val="BodyText"/>
        <w:spacing w:before="7"/>
        <w:rPr>
          <w:b/>
          <w:sz w:val="19"/>
        </w:rPr>
      </w:pPr>
    </w:p>
    <w:p>
      <w:pPr>
        <w:spacing w:line="453" w:lineRule="auto" w:before="0"/>
        <w:ind w:left="220" w:right="3670" w:firstLine="0"/>
        <w:jc w:val="left"/>
        <w:rPr>
          <w:sz w:val="22"/>
        </w:rPr>
      </w:pPr>
      <w:r>
        <w:rPr>
          <w:b/>
          <w:sz w:val="22"/>
        </w:rPr>
        <w:t>Return Type and Value: </w:t>
      </w:r>
      <w:r>
        <w:rPr>
          <w:sz w:val="22"/>
        </w:rPr>
        <w:t>number – The inverse of the Fisher transformation. [</w:t>
      </w:r>
      <w:r>
        <w:rPr>
          <w:i/>
          <w:sz w:val="22"/>
        </w:rPr>
        <w:t>Example</w:t>
      </w:r>
      <w:r>
        <w:rPr>
          <w:sz w:val="22"/>
        </w:rPr>
        <w:t>:</w:t>
      </w:r>
    </w:p>
    <w:p>
      <w:pPr>
        <w:pStyle w:val="BodyText"/>
        <w:spacing w:line="276" w:lineRule="auto" w:before="109"/>
        <w:ind w:left="220" w:right="6274"/>
        <w:rPr>
          <w:rFonts w:ascii="Consolas"/>
        </w:rPr>
      </w:pPr>
      <w:r>
        <w:rPr>
          <w:rFonts w:ascii="Consolas"/>
        </w:rPr>
        <w:t>FISHERINV(-0.43)</w:t>
      </w:r>
      <w:r>
        <w:rPr>
          <w:rFonts w:ascii="Consolas"/>
          <w:spacing w:val="-81"/>
        </w:rPr>
        <w:t> </w:t>
      </w:r>
      <w:r>
        <w:rPr/>
        <w:t>results in </w:t>
      </w:r>
      <w:r>
        <w:rPr>
          <w:rFonts w:ascii="Consolas"/>
        </w:rPr>
        <w:t>0.40532130</w:t>
      </w:r>
      <w:r>
        <w:rPr/>
        <w:t>9 </w:t>
      </w:r>
      <w:r>
        <w:rPr>
          <w:rFonts w:ascii="Consolas"/>
        </w:rPr>
        <w:t>FISHERINV(0.578)</w:t>
      </w:r>
      <w:r>
        <w:rPr>
          <w:rFonts w:ascii="Consolas"/>
          <w:spacing w:val="-85"/>
        </w:rPr>
        <w:t> </w:t>
      </w:r>
      <w:r>
        <w:rPr/>
        <w:t>results in </w:t>
      </w:r>
      <w:r>
        <w:rPr>
          <w:rFonts w:ascii="Consolas"/>
        </w:rPr>
        <w:t>0.521210269</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type w:val="continuous"/>
          <w:pgSz w:w="12240" w:h="15840"/>
          <w:pgMar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124 FIXED" w:id="1764"/>
      <w:bookmarkEnd w:id="1764"/>
      <w:r>
        <w:rPr/>
      </w:r>
      <w:bookmarkStart w:name="_bookmark587" w:id="1765"/>
      <w:bookmarkEnd w:id="1765"/>
      <w:r>
        <w:rPr/>
      </w:r>
      <w:bookmarkStart w:name="_bookmark587" w:id="1766"/>
      <w:bookmarkEnd w:id="1766"/>
      <w:r>
        <w:rPr>
          <w:color w:val="4F81BC"/>
        </w:rPr>
        <w:t>F</w:t>
      </w:r>
      <w:r>
        <w:rPr>
          <w:color w:val="4F81BC"/>
        </w:rPr>
        <w:t>IXED</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FIXED ( </w:t>
      </w:r>
      <w:r>
        <w:rPr>
          <w:i/>
          <w:sz w:val="22"/>
        </w:rPr>
        <w:t>number </w:t>
      </w:r>
      <w:r>
        <w:rPr>
          <w:sz w:val="22"/>
        </w:rPr>
        <w:t>[ </w:t>
      </w:r>
      <w:r>
        <w:rPr>
          <w:rFonts w:ascii="Lucida Console"/>
          <w:sz w:val="20"/>
        </w:rPr>
        <w:t>, </w:t>
      </w:r>
      <w:r>
        <w:rPr>
          <w:sz w:val="22"/>
        </w:rPr>
        <w:t>[ </w:t>
      </w:r>
      <w:r>
        <w:rPr>
          <w:i/>
          <w:sz w:val="22"/>
        </w:rPr>
        <w:t>num-decimal </w:t>
      </w:r>
      <w:r>
        <w:rPr>
          <w:sz w:val="22"/>
        </w:rPr>
        <w:t>] [ </w:t>
      </w:r>
      <w:r>
        <w:rPr>
          <w:rFonts w:ascii="Lucida Console"/>
          <w:sz w:val="20"/>
        </w:rPr>
        <w:t>,</w:t>
      </w:r>
      <w:r>
        <w:rPr>
          <w:rFonts w:ascii="Lucida Console"/>
          <w:spacing w:val="-89"/>
          <w:sz w:val="20"/>
        </w:rPr>
        <w:t> </w:t>
      </w:r>
      <w:r>
        <w:rPr>
          <w:i/>
          <w:sz w:val="22"/>
        </w:rPr>
        <w:t>suppress-commas-flag </w:t>
      </w:r>
      <w:r>
        <w:rPr>
          <w:sz w:val="22"/>
        </w:rPr>
        <w:t>] ] </w:t>
      </w:r>
      <w:r>
        <w:rPr>
          <w:rFonts w:ascii="Lucida Console"/>
          <w:sz w:val="20"/>
        </w:rPr>
        <w:t>)</w:t>
      </w:r>
    </w:p>
    <w:p>
      <w:pPr>
        <w:spacing w:line="278" w:lineRule="auto" w:before="106"/>
        <w:ind w:left="220" w:right="851" w:firstLine="0"/>
        <w:jc w:val="left"/>
        <w:rPr>
          <w:sz w:val="22"/>
        </w:rPr>
      </w:pPr>
      <w:r>
        <w:rPr>
          <w:b/>
          <w:sz w:val="22"/>
        </w:rPr>
        <w:t>Description: </w:t>
      </w:r>
      <w:r>
        <w:rPr>
          <w:sz w:val="22"/>
        </w:rPr>
        <w:t>Produces a string containing </w:t>
      </w:r>
      <w:r>
        <w:rPr>
          <w:rFonts w:ascii="Times New Roman" w:hAnsi="Times New Roman"/>
          <w:i/>
          <w:sz w:val="22"/>
        </w:rPr>
        <w:t>number </w:t>
      </w:r>
      <w:r>
        <w:rPr>
          <w:sz w:val="22"/>
        </w:rPr>
        <w:t>rounded to </w:t>
      </w:r>
      <w:r>
        <w:rPr>
          <w:rFonts w:ascii="Times New Roman" w:hAnsi="Times New Roman"/>
          <w:i/>
          <w:sz w:val="22"/>
        </w:rPr>
        <w:t>num-decimal </w:t>
      </w:r>
      <w:r>
        <w:rPr>
          <w:sz w:val="22"/>
        </w:rPr>
        <w:t>decimal places, using the same rounding algorithm as ROUND (§</w:t>
      </w:r>
      <w:hyperlink w:history="true" w:anchor="_bookmark741">
        <w:r>
          <w:rPr>
            <w:sz w:val="22"/>
          </w:rPr>
          <w:t>18.17.7.278</w:t>
        </w:r>
      </w:hyperlink>
      <w:r>
        <w:rPr>
          <w:sz w:val="22"/>
        </w:rPr>
        <w:t>). Thousands separator commas are included as determined by </w:t>
      </w:r>
      <w:r>
        <w:rPr>
          <w:rFonts w:ascii="Times New Roman" w:hAnsi="Times New Roman"/>
          <w:i/>
          <w:sz w:val="22"/>
        </w:rPr>
        <w:t>suppress-commas-flag</w:t>
      </w:r>
      <w:r>
        <w:rPr>
          <w:sz w:val="22"/>
        </w:rPr>
        <w:t>.</w:t>
      </w:r>
    </w:p>
    <w:p>
      <w:pPr>
        <w:pStyle w:val="Heading4"/>
        <w:spacing w:before="196"/>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1"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196"/>
              <w:rPr>
                <w:sz w:val="22"/>
              </w:rPr>
            </w:pPr>
            <w:r>
              <w:rPr>
                <w:sz w:val="22"/>
              </w:rPr>
              <w:t>Designate the number that is to be formatted, truncated to integer.</w:t>
            </w:r>
          </w:p>
        </w:tc>
      </w:tr>
      <w:tr>
        <w:trPr>
          <w:trHeight w:val="1161" w:hRule="atLeast"/>
        </w:trPr>
        <w:tc>
          <w:tcPr>
            <w:tcW w:w="1466" w:type="dxa"/>
          </w:tcPr>
          <w:p>
            <w:pPr>
              <w:pStyle w:val="TableParagraph"/>
              <w:spacing w:before="39"/>
              <w:rPr>
                <w:rFonts w:ascii="Times New Roman"/>
                <w:i/>
                <w:sz w:val="22"/>
              </w:rPr>
            </w:pPr>
            <w:r>
              <w:rPr>
                <w:rFonts w:ascii="Times New Roman"/>
                <w:i/>
                <w:sz w:val="22"/>
              </w:rPr>
              <w:t>num-decimal</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ight="113"/>
              <w:rPr>
                <w:sz w:val="22"/>
              </w:rPr>
            </w:pPr>
            <w:r>
              <w:rPr>
                <w:sz w:val="22"/>
              </w:rPr>
              <w:t>Designate the number of decimal places to be used in the resulting string. If negative, </w:t>
            </w:r>
            <w:r>
              <w:rPr>
                <w:rFonts w:ascii="Times New Roman"/>
                <w:i/>
                <w:sz w:val="22"/>
              </w:rPr>
              <w:t>number </w:t>
            </w:r>
            <w:r>
              <w:rPr>
                <w:sz w:val="22"/>
              </w:rPr>
              <w:t>is rounded to the left of the decimal point. If omitted, a value of 2 shall be assumed.</w:t>
            </w:r>
          </w:p>
        </w:tc>
      </w:tr>
      <w:tr>
        <w:trPr>
          <w:trHeight w:val="623" w:hRule="atLeast"/>
        </w:trPr>
        <w:tc>
          <w:tcPr>
            <w:tcW w:w="1466" w:type="dxa"/>
          </w:tcPr>
          <w:p>
            <w:pPr>
              <w:pStyle w:val="TableParagraph"/>
              <w:spacing w:before="37"/>
              <w:ind w:right="199"/>
              <w:rPr>
                <w:rFonts w:ascii="Times New Roman"/>
                <w:i/>
                <w:sz w:val="22"/>
              </w:rPr>
            </w:pPr>
            <w:r>
              <w:rPr>
                <w:rFonts w:ascii="Times New Roman"/>
                <w:i/>
                <w:sz w:val="22"/>
              </w:rPr>
              <w:t>suppress- </w:t>
            </w:r>
            <w:r>
              <w:rPr>
                <w:rFonts w:ascii="Times New Roman"/>
                <w:i/>
                <w:sz w:val="22"/>
              </w:rPr>
              <w:t>commas-flag</w:t>
            </w:r>
          </w:p>
        </w:tc>
        <w:tc>
          <w:tcPr>
            <w:tcW w:w="1800" w:type="dxa"/>
          </w:tcPr>
          <w:p>
            <w:pPr>
              <w:pStyle w:val="TableParagraph"/>
              <w:ind w:left="112"/>
              <w:rPr>
                <w:sz w:val="22"/>
              </w:rPr>
            </w:pPr>
            <w:r>
              <w:rPr>
                <w:sz w:val="22"/>
              </w:rPr>
              <w:t>logical</w:t>
            </w:r>
          </w:p>
        </w:tc>
        <w:tc>
          <w:tcPr>
            <w:tcW w:w="5400" w:type="dxa"/>
          </w:tcPr>
          <w:p>
            <w:pPr>
              <w:pStyle w:val="TableParagraph"/>
              <w:ind w:left="113" w:right="307"/>
              <w:rPr>
                <w:sz w:val="22"/>
              </w:rPr>
            </w:pPr>
            <w:r>
              <w:rPr>
                <w:sz w:val="22"/>
              </w:rPr>
              <w:t>If </w:t>
            </w:r>
            <w:r>
              <w:rPr>
                <w:rFonts w:ascii="Consolas"/>
                <w:sz w:val="22"/>
              </w:rPr>
              <w:t>TRUE</w:t>
            </w:r>
            <w:r>
              <w:rPr>
                <w:sz w:val="22"/>
              </w:rPr>
              <w:t>, commas are not included; if </w:t>
            </w:r>
            <w:r>
              <w:rPr>
                <w:rFonts w:ascii="Consolas"/>
                <w:sz w:val="22"/>
              </w:rPr>
              <w:t>FALSE</w:t>
            </w:r>
            <w:r>
              <w:rPr>
                <w:rFonts w:ascii="Consolas"/>
                <w:spacing w:val="-89"/>
                <w:sz w:val="22"/>
              </w:rPr>
              <w:t> </w:t>
            </w:r>
            <w:r>
              <w:rPr>
                <w:sz w:val="22"/>
              </w:rPr>
              <w:t>or omitted, commas are included.</w:t>
            </w:r>
          </w:p>
        </w:tc>
      </w:tr>
    </w:tbl>
    <w:p>
      <w:pPr>
        <w:pStyle w:val="BodyText"/>
        <w:rPr>
          <w:b/>
        </w:rPr>
      </w:pPr>
    </w:p>
    <w:p>
      <w:pPr>
        <w:pStyle w:val="BodyText"/>
        <w:spacing w:before="7"/>
        <w:rPr>
          <w:b/>
          <w:sz w:val="19"/>
        </w:rPr>
      </w:pPr>
    </w:p>
    <w:p>
      <w:pPr>
        <w:spacing w:line="453" w:lineRule="auto" w:before="0"/>
        <w:ind w:left="220" w:right="718" w:firstLine="0"/>
        <w:jc w:val="left"/>
        <w:rPr>
          <w:sz w:val="22"/>
        </w:rPr>
      </w:pPr>
      <w:r>
        <w:rPr>
          <w:b/>
          <w:sz w:val="22"/>
        </w:rPr>
        <w:t>Return Type and Value: </w:t>
      </w:r>
      <w:r>
        <w:rPr>
          <w:sz w:val="22"/>
        </w:rPr>
        <w:t>text – The string containing </w:t>
      </w:r>
      <w:r>
        <w:rPr>
          <w:rFonts w:ascii="Times New Roman" w:hAnsi="Times New Roman"/>
          <w:i/>
          <w:sz w:val="22"/>
        </w:rPr>
        <w:t>number </w:t>
      </w:r>
      <w:r>
        <w:rPr>
          <w:sz w:val="22"/>
        </w:rPr>
        <w:t>rounded to </w:t>
      </w:r>
      <w:r>
        <w:rPr>
          <w:rFonts w:ascii="Times New Roman" w:hAnsi="Times New Roman"/>
          <w:i/>
          <w:sz w:val="22"/>
        </w:rPr>
        <w:t>num-decimal </w:t>
      </w:r>
      <w:r>
        <w:rPr>
          <w:sz w:val="22"/>
        </w:rPr>
        <w:t>decimal places. [</w:t>
      </w:r>
      <w:r>
        <w:rPr>
          <w:i/>
          <w:sz w:val="22"/>
        </w:rPr>
        <w:t>Example</w:t>
      </w:r>
      <w:r>
        <w:rPr>
          <w:sz w:val="22"/>
        </w:rPr>
        <w:t>:</w:t>
      </w:r>
    </w:p>
    <w:p>
      <w:pPr>
        <w:pStyle w:val="BodyText"/>
        <w:spacing w:line="276" w:lineRule="auto" w:before="109"/>
        <w:ind w:left="220" w:right="4707"/>
        <w:rPr>
          <w:rFonts w:ascii="Consolas"/>
        </w:rPr>
      </w:pPr>
      <w:r>
        <w:rPr>
          <w:rFonts w:ascii="Consolas"/>
        </w:rPr>
        <w:t>FIXED(1234567) </w:t>
      </w:r>
      <w:r>
        <w:rPr/>
        <w:t>results in </w:t>
      </w:r>
      <w:r>
        <w:rPr>
          <w:rFonts w:ascii="Consolas"/>
        </w:rPr>
        <w:t>1,234,567.00 FIXED(1234567.555555,4,TRUE)</w:t>
      </w:r>
      <w:r>
        <w:rPr>
          <w:rFonts w:ascii="Consolas"/>
          <w:spacing w:val="-94"/>
        </w:rPr>
        <w:t> </w:t>
      </w:r>
      <w:r>
        <w:rPr/>
        <w:t>results in </w:t>
      </w:r>
      <w:r>
        <w:rPr>
          <w:rFonts w:ascii="Consolas"/>
        </w:rPr>
        <w:t>1234567.5556 FIXED(.555555,10) </w:t>
      </w:r>
      <w:r>
        <w:rPr/>
        <w:t>results in </w:t>
      </w:r>
      <w:r>
        <w:rPr>
          <w:rFonts w:ascii="Consolas"/>
        </w:rPr>
        <w:t>0.5555550000 FIXED(1234567,-3)</w:t>
      </w:r>
      <w:r>
        <w:rPr>
          <w:rFonts w:ascii="Consolas"/>
          <w:spacing w:val="-73"/>
        </w:rPr>
        <w:t> </w:t>
      </w:r>
      <w:r>
        <w:rPr/>
        <w:t>results in </w:t>
      </w:r>
      <w:r>
        <w:rPr>
          <w:rFonts w:ascii="Consolas"/>
        </w:rPr>
        <w:t>1,235,000</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5 FLOOR" w:id="1767"/>
      <w:bookmarkEnd w:id="1767"/>
      <w:r>
        <w:rPr/>
      </w:r>
      <w:bookmarkStart w:name="_bookmark588" w:id="1768"/>
      <w:bookmarkEnd w:id="1768"/>
      <w:r>
        <w:rPr/>
      </w:r>
      <w:bookmarkStart w:name="_bookmark588" w:id="1769"/>
      <w:bookmarkEnd w:id="1769"/>
      <w:r>
        <w:rPr>
          <w:color w:val="4F81BC"/>
        </w:rPr>
        <w:t>FL</w:t>
      </w:r>
      <w:r>
        <w:rPr>
          <w:color w:val="4F81BC"/>
        </w:rPr>
        <w:t>OOR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FLOOR ( </w:t>
      </w:r>
      <w:r>
        <w:rPr>
          <w:i/>
          <w:sz w:val="22"/>
        </w:rPr>
        <w:t>x </w:t>
      </w:r>
      <w:r>
        <w:rPr>
          <w:rFonts w:ascii="Lucida Console"/>
          <w:sz w:val="20"/>
        </w:rPr>
        <w:t>, </w:t>
      </w:r>
      <w:r>
        <w:rPr>
          <w:i/>
          <w:sz w:val="22"/>
        </w:rPr>
        <w:t>significance </w:t>
      </w:r>
      <w:r>
        <w:rPr>
          <w:rFonts w:ascii="Lucida Console"/>
          <w:sz w:val="20"/>
        </w:rPr>
        <w:t>)</w:t>
      </w:r>
    </w:p>
    <w:p>
      <w:pPr>
        <w:pStyle w:val="BodyText"/>
        <w:spacing w:line="278" w:lineRule="auto" w:before="107"/>
        <w:ind w:left="220" w:right="510"/>
      </w:pPr>
      <w:r>
        <w:rPr>
          <w:b/>
        </w:rPr>
        <w:t>Description: </w:t>
      </w:r>
      <w:r>
        <w:rPr/>
        <w:t>Computes </w:t>
      </w:r>
      <w:r>
        <w:rPr>
          <w:rFonts w:ascii="Times New Roman"/>
          <w:i/>
        </w:rPr>
        <w:t>x </w:t>
      </w:r>
      <w:r>
        <w:rPr/>
        <w:t>rounded down, toward zero, to the nearest multiple of </w:t>
      </w:r>
      <w:r>
        <w:rPr>
          <w:rFonts w:ascii="Times New Roman"/>
          <w:i/>
        </w:rPr>
        <w:t>significance</w:t>
      </w:r>
      <w:r>
        <w:rPr/>
        <w:t>. Regardless of the sign of </w:t>
      </w:r>
      <w:r>
        <w:rPr>
          <w:rFonts w:ascii="Times New Roman"/>
          <w:i/>
        </w:rPr>
        <w:t>x</w:t>
      </w:r>
      <w:r>
        <w:rPr/>
        <w:t>, a value is rounded down when adjusted away from zero.</w:t>
      </w:r>
    </w:p>
    <w:p>
      <w:pPr>
        <w:pStyle w:val="Heading4"/>
        <w:spacing w:before="197"/>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w:t>
            </w:r>
          </w:p>
        </w:tc>
      </w:tr>
    </w:tbl>
    <w:p>
      <w:pPr>
        <w:spacing w:after="0"/>
        <w:rPr>
          <w:sz w:val="22"/>
        </w:rPr>
        <w:sectPr>
          <w:footerReference w:type="even" r:id="rId234"/>
          <w:footerReference w:type="default" r:id="rId235"/>
          <w:pgSz w:w="12240" w:h="15840"/>
          <w:pgMar w:footer="746" w:header="761" w:top="1340" w:bottom="940" w:left="860" w:right="700"/>
          <w:pgNumType w:start="221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significance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multiple to which </w:t>
            </w:r>
            <w:r>
              <w:rPr>
                <w:rFonts w:ascii="Times New Roman"/>
                <w:i/>
                <w:sz w:val="22"/>
              </w:rPr>
              <w:t>x </w:t>
            </w:r>
            <w:r>
              <w:rPr>
                <w:sz w:val="22"/>
              </w:rPr>
              <w:t>is to be rounded.</w:t>
            </w:r>
          </w:p>
        </w:tc>
      </w:tr>
    </w:tbl>
    <w:p>
      <w:pPr>
        <w:pStyle w:val="BodyText"/>
        <w:rPr>
          <w:b/>
          <w:sz w:val="20"/>
        </w:rPr>
      </w:pPr>
    </w:p>
    <w:p>
      <w:pPr>
        <w:pStyle w:val="BodyText"/>
        <w:spacing w:before="7"/>
        <w:rPr>
          <w:b/>
          <w:sz w:val="21"/>
        </w:rPr>
      </w:pPr>
    </w:p>
    <w:p>
      <w:pPr>
        <w:spacing w:line="453" w:lineRule="auto" w:before="0"/>
        <w:ind w:left="220" w:right="4041" w:firstLine="0"/>
        <w:jc w:val="left"/>
        <w:rPr>
          <w:sz w:val="22"/>
        </w:rPr>
      </w:pPr>
      <w:r>
        <w:rPr>
          <w:b/>
          <w:sz w:val="22"/>
        </w:rPr>
        <w:t>Return Type and Value: </w:t>
      </w:r>
      <w:r>
        <w:rPr>
          <w:sz w:val="22"/>
        </w:rPr>
        <w:t>number – The rounded-down value of </w:t>
      </w:r>
      <w:r>
        <w:rPr>
          <w:rFonts w:ascii="Times New Roman" w:hAnsi="Times New Roman"/>
          <w:i/>
          <w:sz w:val="22"/>
        </w:rPr>
        <w:t>x</w:t>
      </w:r>
      <w:r>
        <w:rPr>
          <w:sz w:val="22"/>
        </w:rPr>
        <w:t>. However, if </w:t>
      </w:r>
      <w:r>
        <w:rPr>
          <w:rFonts w:ascii="Times New Roman" w:hAnsi="Times New Roman"/>
          <w:i/>
          <w:sz w:val="22"/>
        </w:rPr>
        <w:t>x </w:t>
      </w:r>
      <w:r>
        <w:rPr>
          <w:sz w:val="22"/>
        </w:rPr>
        <w:t>and </w:t>
      </w:r>
      <w:r>
        <w:rPr>
          <w:rFonts w:ascii="Times New Roman" w:hAnsi="Times New Roman"/>
          <w:i/>
          <w:sz w:val="22"/>
        </w:rPr>
        <w:t>significance </w:t>
      </w:r>
      <w:r>
        <w:rPr>
          <w:sz w:val="22"/>
        </w:rPr>
        <w:t>have different signs, </w:t>
      </w:r>
      <w:r>
        <w:rPr>
          <w:rFonts w:ascii="Consolas" w:hAnsi="Consolas"/>
          <w:sz w:val="22"/>
        </w:rPr>
        <w:t>#NUM!</w:t>
      </w:r>
      <w:r>
        <w:rPr>
          <w:rFonts w:ascii="Consolas" w:hAnsi="Consolas"/>
          <w:spacing w:val="-99"/>
          <w:sz w:val="22"/>
        </w:rPr>
        <w:t> </w:t>
      </w:r>
      <w:r>
        <w:rPr>
          <w:sz w:val="22"/>
        </w:rPr>
        <w:t>is returned. [</w:t>
      </w:r>
      <w:r>
        <w:rPr>
          <w:i/>
          <w:sz w:val="22"/>
        </w:rPr>
        <w:t>Example</w:t>
      </w:r>
      <w:r>
        <w:rPr>
          <w:sz w:val="22"/>
        </w:rPr>
        <w:t>:</w:t>
      </w:r>
    </w:p>
    <w:p>
      <w:pPr>
        <w:pStyle w:val="BodyText"/>
        <w:spacing w:line="276" w:lineRule="auto" w:before="110"/>
        <w:ind w:left="220" w:right="3668"/>
        <w:rPr>
          <w:rFonts w:ascii="Consolas"/>
        </w:rPr>
      </w:pPr>
      <w:r>
        <w:rPr>
          <w:rFonts w:ascii="Consolas"/>
        </w:rPr>
        <w:t>FLOOR(2.5,1) </w:t>
      </w:r>
      <w:r>
        <w:rPr/>
        <w:t>rounds 2.5 down to nearest multiple of 1; that is, to </w:t>
      </w:r>
      <w:r>
        <w:rPr>
          <w:rFonts w:ascii="Consolas"/>
        </w:rPr>
        <w:t>2 FLOOR(-2.5,-2)</w:t>
      </w:r>
      <w:r>
        <w:rPr>
          <w:rFonts w:ascii="Consolas"/>
          <w:spacing w:val="-91"/>
        </w:rPr>
        <w:t> </w:t>
      </w:r>
      <w:r>
        <w:rPr/>
        <w:t>rounds -2.5 down to nearest multiple of -2; that is, to </w:t>
      </w:r>
      <w:r>
        <w:rPr>
          <w:rFonts w:ascii="Consolas"/>
        </w:rPr>
        <w:t>-2</w:t>
      </w:r>
    </w:p>
    <w:p>
      <w:pPr>
        <w:pStyle w:val="BodyText"/>
        <w:spacing w:line="276" w:lineRule="auto" w:before="1"/>
        <w:ind w:left="220" w:right="1305"/>
        <w:rPr>
          <w:rFonts w:ascii="Consolas"/>
        </w:rPr>
      </w:pPr>
      <w:r>
        <w:rPr>
          <w:rFonts w:ascii="Consolas"/>
        </w:rPr>
        <w:t>FLOOR(1.5,0.1) </w:t>
      </w:r>
      <w:r>
        <w:rPr/>
        <w:t>rounds 1.5 down to the nearest multiple of 0.1; that is, to </w:t>
      </w:r>
      <w:r>
        <w:rPr>
          <w:rFonts w:ascii="Consolas"/>
          <w:spacing w:val="-2"/>
        </w:rPr>
        <w:t>1.5 </w:t>
      </w:r>
      <w:r>
        <w:rPr>
          <w:rFonts w:ascii="Consolas"/>
        </w:rPr>
        <w:t>FLOOR(0.234,0.01)</w:t>
      </w:r>
      <w:r>
        <w:rPr>
          <w:rFonts w:ascii="Consolas"/>
          <w:spacing w:val="-98"/>
        </w:rPr>
        <w:t> </w:t>
      </w:r>
      <w:r>
        <w:rPr/>
        <w:t>rounds 0.234 down to the nearest multiple of 0.01; that is, to 0.</w:t>
      </w:r>
      <w:r>
        <w:rPr>
          <w:rFonts w:ascii="Consolas"/>
        </w:rPr>
        <w:t>23</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6 FORECAST" w:id="1770"/>
      <w:bookmarkEnd w:id="1770"/>
      <w:r>
        <w:rPr/>
      </w:r>
      <w:bookmarkStart w:name="_bookmark589" w:id="1771"/>
      <w:bookmarkEnd w:id="1771"/>
      <w:r>
        <w:rPr/>
      </w:r>
      <w:bookmarkStart w:name="_bookmark589" w:id="1772"/>
      <w:bookmarkEnd w:id="1772"/>
      <w:r>
        <w:rPr>
          <w:color w:val="4F81BC"/>
        </w:rPr>
        <w:t>F</w:t>
      </w:r>
      <w:r>
        <w:rPr>
          <w:color w:val="4F81BC"/>
        </w:rPr>
        <w:t>ORECAST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FORECAST (</w:t>
      </w:r>
      <w:r>
        <w:rPr>
          <w:rFonts w:ascii="Lucida Console"/>
          <w:spacing w:val="-71"/>
          <w:sz w:val="20"/>
        </w:rPr>
        <w:t> </w:t>
      </w:r>
      <w:r>
        <w:rPr>
          <w:i/>
          <w:sz w:val="22"/>
        </w:rPr>
        <w:t>x </w:t>
      </w:r>
      <w:r>
        <w:rPr>
          <w:rFonts w:ascii="Lucida Console"/>
          <w:sz w:val="20"/>
        </w:rPr>
        <w:t>, </w:t>
      </w:r>
      <w:r>
        <w:rPr>
          <w:i/>
          <w:sz w:val="22"/>
        </w:rPr>
        <w:t>known-ys </w:t>
      </w:r>
      <w:r>
        <w:rPr>
          <w:rFonts w:ascii="Lucida Console"/>
          <w:sz w:val="20"/>
        </w:rPr>
        <w:t>, </w:t>
      </w:r>
      <w:r>
        <w:rPr>
          <w:i/>
          <w:sz w:val="22"/>
        </w:rPr>
        <w:t>known-xs </w:t>
      </w:r>
      <w:r>
        <w:rPr>
          <w:rFonts w:ascii="Lucida Console"/>
          <w:sz w:val="20"/>
        </w:rPr>
        <w:t>)</w:t>
      </w:r>
    </w:p>
    <w:p>
      <w:pPr>
        <w:pStyle w:val="BodyText"/>
        <w:spacing w:line="276" w:lineRule="auto" w:before="106"/>
        <w:ind w:left="220" w:right="444"/>
      </w:pPr>
      <w:r>
        <w:rPr>
          <w:b/>
        </w:rPr>
        <w:t>Description: </w:t>
      </w:r>
      <w:r>
        <w:rPr/>
        <w:t>Calculates, or predicts, a future value by using existing values. The predicted value is a y-value for a given x-value. The known values are existing x-values and y-values, and the new value is predicted by using linear regression.</w:t>
      </w:r>
    </w:p>
    <w:p>
      <w:pPr>
        <w:pStyle w:val="BodyText"/>
        <w:spacing w:before="6"/>
        <w:rPr>
          <w:sz w:val="16"/>
        </w:rPr>
      </w:pPr>
    </w:p>
    <w:p>
      <w:pPr>
        <w:pStyle w:val="Heading4"/>
        <w:rPr>
          <w:b w:val="0"/>
        </w:rPr>
      </w:pPr>
      <w:r>
        <w:rPr/>
        <w:t>Mathematical Formula</w:t>
      </w:r>
      <w:r>
        <w:rPr>
          <w:b w:val="0"/>
        </w:rPr>
        <w:t>:</w:t>
      </w:r>
    </w:p>
    <w:p>
      <w:pPr>
        <w:pStyle w:val="BodyText"/>
        <w:spacing w:before="8"/>
        <w:rPr>
          <w:sz w:val="19"/>
        </w:rPr>
      </w:pPr>
    </w:p>
    <w:p>
      <w:pPr>
        <w:pStyle w:val="BodyText"/>
        <w:ind w:left="220"/>
      </w:pPr>
      <w:r>
        <w:rPr>
          <w:rFonts w:ascii="Consolas"/>
        </w:rPr>
        <w:t>FORECAST=a+bx</w:t>
      </w:r>
      <w:r>
        <w:rPr/>
        <w:t>, where:</w:t>
      </w:r>
    </w:p>
    <w:p>
      <w:pPr>
        <w:pStyle w:val="BodyText"/>
        <w:spacing w:before="9"/>
        <w:rPr>
          <w:sz w:val="19"/>
        </w:rPr>
      </w:pPr>
    </w:p>
    <w:p>
      <w:pPr>
        <w:pStyle w:val="BodyText"/>
        <w:ind w:left="220"/>
        <w:rPr>
          <w:rFonts w:ascii="Cambria Math" w:hAnsi="Cambria Math" w:eastAsia="Cambria Math"/>
        </w:rPr>
      </w:pPr>
      <w:r>
        <w:rPr>
          <w:rFonts w:ascii="Cambria Math" w:hAnsi="Cambria Math" w:eastAsia="Cambria Math"/>
        </w:rPr>
        <w:t>𝑎 = </w:t>
      </w:r>
      <w:r>
        <w:rPr>
          <w:rFonts w:ascii="Cambria Math" w:hAnsi="Cambria Math" w:eastAsia="Cambria Math"/>
          <w:spacing w:val="-49"/>
        </w:rPr>
        <w:t>𝑦̅</w:t>
      </w:r>
      <w:r>
        <w:rPr>
          <w:rFonts w:ascii="Cambria Math" w:hAnsi="Cambria Math" w:eastAsia="Cambria Math"/>
          <w:spacing w:val="4"/>
        </w:rPr>
        <w:t> </w:t>
      </w:r>
      <w:r>
        <w:rPr>
          <w:rFonts w:ascii="Cambria Math" w:hAnsi="Cambria Math" w:eastAsia="Cambria Math"/>
        </w:rPr>
        <w:t>− 𝑏𝑥̅</w:t>
      </w:r>
    </w:p>
    <w:p>
      <w:pPr>
        <w:pStyle w:val="BodyText"/>
        <w:spacing w:before="4"/>
        <w:rPr>
          <w:rFonts w:ascii="Cambria Math"/>
          <w:sz w:val="20"/>
        </w:rPr>
      </w:pPr>
    </w:p>
    <w:p>
      <w:pPr>
        <w:pStyle w:val="BodyText"/>
        <w:ind w:left="220"/>
      </w:pPr>
      <w:r>
        <w:rPr/>
        <w:t>and:</w:t>
      </w:r>
    </w:p>
    <w:p>
      <w:pPr>
        <w:pStyle w:val="BodyText"/>
        <w:spacing w:before="10"/>
        <w:rPr>
          <w:sz w:val="12"/>
        </w:rPr>
      </w:pPr>
    </w:p>
    <w:p>
      <w:pPr>
        <w:spacing w:after="0"/>
        <w:rPr>
          <w:sz w:val="12"/>
        </w:rPr>
        <w:sectPr>
          <w:pgSz w:w="12240" w:h="15840"/>
          <w:pgMar w:header="763" w:footer="746" w:top="1340" w:bottom="940" w:left="860" w:right="700"/>
        </w:sectPr>
      </w:pPr>
    </w:p>
    <w:p>
      <w:pPr>
        <w:pStyle w:val="BodyText"/>
        <w:spacing w:before="6"/>
        <w:rPr>
          <w:sz w:val="19"/>
        </w:rPr>
      </w:pPr>
    </w:p>
    <w:p>
      <w:pPr>
        <w:pStyle w:val="BodyText"/>
        <w:ind w:left="220"/>
        <w:rPr>
          <w:rFonts w:ascii="Cambria Math" w:eastAsia="Cambria Math"/>
        </w:rPr>
      </w:pPr>
      <w:r>
        <w:rPr>
          <w:rFonts w:ascii="Cambria Math" w:eastAsia="Cambria Math"/>
        </w:rPr>
        <w:t>𝑏 =</w:t>
      </w:r>
    </w:p>
    <w:p>
      <w:pPr>
        <w:pStyle w:val="BodyText"/>
        <w:spacing w:before="60"/>
        <w:ind w:left="101" w:right="8482"/>
        <w:jc w:val="center"/>
        <w:rPr>
          <w:rFonts w:ascii="Cambria Math" w:hAnsi="Cambria Math" w:eastAsia="Cambria Math"/>
        </w:rPr>
      </w:pPr>
      <w:r>
        <w:rPr/>
        <w:br w:type="column"/>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w w:val="100"/>
          <w:position w:val="1"/>
        </w:rPr>
        <w:t>)</w:t>
      </w:r>
    </w:p>
    <w:p>
      <w:pPr>
        <w:pStyle w:val="BodyText"/>
        <w:spacing w:before="2"/>
        <w:rPr>
          <w:rFonts w:ascii="Cambria Math"/>
          <w:sz w:val="4"/>
        </w:rPr>
      </w:pPr>
    </w:p>
    <w:p>
      <w:pPr>
        <w:pStyle w:val="BodyText"/>
        <w:spacing w:line="20" w:lineRule="exact"/>
        <w:ind w:left="61"/>
        <w:rPr>
          <w:rFonts w:ascii="Cambria Math"/>
          <w:sz w:val="2"/>
        </w:rPr>
      </w:pPr>
      <w:r>
        <w:rPr>
          <w:rFonts w:ascii="Cambria Math"/>
          <w:sz w:val="2"/>
        </w:rPr>
        <w:pict>
          <v:group style="width:77.3pt;height:.75pt;mso-position-horizontal-relative:char;mso-position-vertical-relative:line" coordorigin="0,0" coordsize="1546,15">
            <v:line style="position:absolute" from="0,7" to="1546,7" stroked="true" strokeweight=".71997pt" strokecolor="#000000">
              <v:stroke dashstyle="solid"/>
            </v:line>
          </v:group>
        </w:pict>
      </w:r>
      <w:r>
        <w:rPr>
          <w:rFonts w:ascii="Cambria Math"/>
          <w:sz w:val="2"/>
        </w:rPr>
      </w:r>
    </w:p>
    <w:p>
      <w:pPr>
        <w:pStyle w:val="BodyText"/>
        <w:ind w:left="90" w:right="8482"/>
        <w:jc w:val="center"/>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7"/>
          <w:sz w:val="16"/>
        </w:rPr>
        <w:t>2</w:t>
      </w:r>
    </w:p>
    <w:p>
      <w:pPr>
        <w:spacing w:after="0"/>
        <w:jc w:val="center"/>
        <w:rPr>
          <w:rFonts w:ascii="Cambria Math" w:hAnsi="Cambria Math" w:eastAsia="Cambria Math"/>
          <w:sz w:val="16"/>
        </w:rPr>
        <w:sectPr>
          <w:type w:val="continuous"/>
          <w:pgSz w:w="12240" w:h="15840"/>
          <w:pgMar w:top="1340" w:bottom="940" w:left="860" w:right="700"/>
          <w:cols w:num="2" w:equalWidth="0">
            <w:col w:w="570" w:space="40"/>
            <w:col w:w="10070"/>
          </w:cols>
        </w:sectPr>
      </w:pPr>
    </w:p>
    <w:p>
      <w:pPr>
        <w:pStyle w:val="BodyText"/>
        <w:spacing w:before="8"/>
        <w:rPr>
          <w:rFonts w:ascii="Cambria Math"/>
          <w:sz w:val="14"/>
        </w:rPr>
      </w:pPr>
    </w:p>
    <w:p>
      <w:pPr>
        <w:pStyle w:val="BodyText"/>
        <w:spacing w:before="56"/>
        <w:ind w:left="220"/>
      </w:pPr>
      <w:r>
        <w:rPr/>
        <w:t>where:</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 a sample</w:t>
      </w:r>
      <w:r>
        <w:rPr>
          <w:spacing w:val="-10"/>
          <w:sz w:val="22"/>
        </w:rPr>
        <w:t> </w:t>
      </w:r>
      <w:r>
        <w:rPr>
          <w:sz w:val="22"/>
        </w:rPr>
        <w:t>value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is the sample mean</w:t>
      </w:r>
      <w:r>
        <w:rPr>
          <w:spacing w:val="-6"/>
          <w:sz w:val="22"/>
        </w:rPr>
        <w:t> </w:t>
      </w:r>
      <w:r>
        <w:rPr>
          <w:rFonts w:ascii="Consolas" w:hAnsi="Consolas"/>
          <w:sz w:val="22"/>
        </w:rPr>
        <w:t>AVERAGE(known-xs)</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y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is the sample mean</w:t>
      </w:r>
      <w:r>
        <w:rPr>
          <w:spacing w:val="-6"/>
          <w:sz w:val="22"/>
        </w:rPr>
        <w:t> </w:t>
      </w:r>
      <w:r>
        <w:rPr>
          <w:rFonts w:ascii="Consolas" w:hAnsi="Consolas"/>
          <w:sz w:val="22"/>
        </w:rPr>
        <w:t>AVERAGE(known-ys)</w:t>
      </w:r>
    </w:p>
    <w:p>
      <w:pPr>
        <w:pStyle w:val="Heading4"/>
        <w:spacing w:before="240"/>
      </w:pPr>
      <w:r>
        <w:rPr/>
        <w:t>Arguments:</w:t>
      </w:r>
    </w:p>
    <w:p>
      <w:pPr>
        <w:spacing w:after="0"/>
        <w:sectPr>
          <w:type w:val="continuous"/>
          <w:pgSz w:w="12240" w:h="15840"/>
          <w:pgMar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data point for which a value is to be predicted.</w:t>
            </w:r>
          </w:p>
        </w:tc>
      </w:tr>
      <w:tr>
        <w:trPr>
          <w:trHeight w:val="354" w:hRule="atLeast"/>
        </w:trPr>
        <w:tc>
          <w:tcPr>
            <w:tcW w:w="1466" w:type="dxa"/>
          </w:tcPr>
          <w:p>
            <w:pPr>
              <w:pStyle w:val="TableParagraph"/>
              <w:spacing w:before="37"/>
              <w:rPr>
                <w:rFonts w:ascii="Times New Roman"/>
                <w:i/>
                <w:sz w:val="22"/>
              </w:rPr>
            </w:pPr>
            <w:r>
              <w:rPr>
                <w:rFonts w:ascii="Times New Roman"/>
                <w:i/>
                <w:sz w:val="22"/>
              </w:rPr>
              <w:t>known-xs</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The independent data.</w:t>
            </w:r>
          </w:p>
        </w:tc>
      </w:tr>
      <w:tr>
        <w:trPr>
          <w:trHeight w:val="354" w:hRule="atLeast"/>
        </w:trPr>
        <w:tc>
          <w:tcPr>
            <w:tcW w:w="1466" w:type="dxa"/>
          </w:tcPr>
          <w:p>
            <w:pPr>
              <w:pStyle w:val="TableParagraph"/>
              <w:spacing w:before="37"/>
              <w:rPr>
                <w:rFonts w:ascii="Times New Roman"/>
                <w:i/>
                <w:sz w:val="22"/>
              </w:rPr>
            </w:pPr>
            <w:r>
              <w:rPr>
                <w:rFonts w:ascii="Times New Roman"/>
                <w:i/>
                <w:sz w:val="22"/>
              </w:rPr>
              <w:t>known-ys</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The dependent data.</w:t>
            </w:r>
          </w:p>
        </w:tc>
      </w:tr>
    </w:tbl>
    <w:p>
      <w:pPr>
        <w:pStyle w:val="BodyText"/>
        <w:rPr>
          <w:b/>
          <w:sz w:val="20"/>
        </w:rPr>
      </w:pPr>
    </w:p>
    <w:p>
      <w:pPr>
        <w:pStyle w:val="BodyText"/>
        <w:rPr>
          <w:b/>
          <w:sz w:val="17"/>
        </w:rPr>
      </w:pPr>
    </w:p>
    <w:p>
      <w:pPr>
        <w:spacing w:line="453" w:lineRule="auto" w:before="56"/>
        <w:ind w:left="220" w:right="5803" w:firstLine="0"/>
        <w:jc w:val="left"/>
        <w:rPr>
          <w:sz w:val="22"/>
        </w:rPr>
      </w:pPr>
      <w:r>
        <w:rPr>
          <w:b/>
          <w:sz w:val="22"/>
        </w:rPr>
        <w:t>Return Type and Value: </w:t>
      </w:r>
      <w:r>
        <w:rPr>
          <w:sz w:val="22"/>
        </w:rPr>
        <w:t>number – The future value. However, if</w:t>
      </w:r>
    </w:p>
    <w:p>
      <w:pPr>
        <w:pStyle w:val="ListParagraph"/>
        <w:numPr>
          <w:ilvl w:val="4"/>
          <w:numId w:val="66"/>
        </w:numPr>
        <w:tabs>
          <w:tab w:pos="940" w:val="left" w:leader="none"/>
          <w:tab w:pos="941" w:val="left" w:leader="none"/>
        </w:tabs>
        <w:spacing w:line="273" w:lineRule="auto" w:before="1" w:after="0"/>
        <w:ind w:left="940" w:right="933" w:hanging="360"/>
        <w:jc w:val="left"/>
        <w:rPr>
          <w:sz w:val="22"/>
        </w:rPr>
      </w:pPr>
      <w:r>
        <w:rPr>
          <w:rFonts w:ascii="Times New Roman" w:hAnsi="Times New Roman"/>
          <w:i/>
          <w:sz w:val="22"/>
        </w:rPr>
        <w:t>known-xs </w:t>
      </w:r>
      <w:r>
        <w:rPr>
          <w:sz w:val="22"/>
        </w:rPr>
        <w:t>and </w:t>
      </w:r>
      <w:r>
        <w:rPr>
          <w:rFonts w:ascii="Times New Roman" w:hAnsi="Times New Roman"/>
          <w:i/>
          <w:sz w:val="22"/>
        </w:rPr>
        <w:t>known-ys </w:t>
      </w:r>
      <w:r>
        <w:rPr>
          <w:sz w:val="22"/>
        </w:rPr>
        <w:t>are empty or contain a different number of data points, the return value</w:t>
      </w:r>
      <w:r>
        <w:rPr>
          <w:spacing w:val="-32"/>
          <w:sz w:val="22"/>
        </w:rPr>
        <w:t> </w:t>
      </w:r>
      <w:r>
        <w:rPr>
          <w:sz w:val="22"/>
        </w:rPr>
        <w:t>is unspecified.</w:t>
      </w:r>
    </w:p>
    <w:p>
      <w:pPr>
        <w:pStyle w:val="ListParagraph"/>
        <w:numPr>
          <w:ilvl w:val="4"/>
          <w:numId w:val="66"/>
        </w:numPr>
        <w:tabs>
          <w:tab w:pos="940" w:val="left" w:leader="none"/>
          <w:tab w:pos="941" w:val="left" w:leader="none"/>
        </w:tabs>
        <w:spacing w:line="446" w:lineRule="auto" w:before="5" w:after="0"/>
        <w:ind w:left="220" w:right="3541" w:firstLine="360"/>
        <w:jc w:val="left"/>
        <w:rPr>
          <w:sz w:val="22"/>
        </w:rPr>
      </w:pPr>
      <w:r>
        <w:rPr>
          <w:sz w:val="22"/>
        </w:rPr>
        <w:t>The variance of </w:t>
      </w:r>
      <w:r>
        <w:rPr>
          <w:rFonts w:ascii="Times New Roman" w:hAnsi="Times New Roman"/>
          <w:i/>
          <w:sz w:val="22"/>
        </w:rPr>
        <w:t>known-xs </w:t>
      </w:r>
      <w:r>
        <w:rPr>
          <w:sz w:val="22"/>
        </w:rPr>
        <w:t>equals zero, the return value is</w:t>
      </w:r>
      <w:r>
        <w:rPr>
          <w:spacing w:val="-24"/>
          <w:sz w:val="22"/>
        </w:rPr>
        <w:t> </w:t>
      </w:r>
      <w:r>
        <w:rPr>
          <w:sz w:val="22"/>
        </w:rPr>
        <w:t>unspecified. [</w:t>
      </w:r>
      <w:r>
        <w:rPr>
          <w:i/>
          <w:sz w:val="22"/>
        </w:rPr>
        <w:t>Example</w:t>
      </w:r>
      <w:r>
        <w:rPr>
          <w:sz w:val="22"/>
        </w:rPr>
        <w:t>:</w:t>
      </w:r>
    </w:p>
    <w:p>
      <w:pPr>
        <w:pStyle w:val="BodyText"/>
        <w:spacing w:before="126"/>
        <w:ind w:left="220"/>
        <w:rPr>
          <w:rFonts w:ascii="Consolas"/>
        </w:rPr>
      </w:pPr>
      <w:r>
        <w:rPr>
          <w:rFonts w:ascii="Consolas"/>
        </w:rPr>
        <w:t>FORECAST(30,{6,7,9,15,21},{20,28,31,38,40})</w:t>
      </w:r>
      <w:r>
        <w:rPr>
          <w:rFonts w:ascii="Consolas"/>
          <w:spacing w:val="-67"/>
        </w:rPr>
        <w:t> </w:t>
      </w:r>
      <w:r>
        <w:rPr/>
        <w:t>results in </w:t>
      </w:r>
      <w:r>
        <w:rPr>
          <w:rFonts w:ascii="Consolas"/>
        </w:rPr>
        <w:t>10.60725309</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7 FREQUENCY" w:id="1773"/>
      <w:bookmarkEnd w:id="1773"/>
      <w:r>
        <w:rPr/>
      </w:r>
      <w:bookmarkStart w:name="_bookmark590" w:id="1774"/>
      <w:bookmarkEnd w:id="1774"/>
      <w:r>
        <w:rPr/>
      </w:r>
      <w:bookmarkStart w:name="_bookmark590" w:id="1775"/>
      <w:bookmarkEnd w:id="1775"/>
      <w:r>
        <w:rPr>
          <w:color w:val="4F81BC"/>
        </w:rPr>
        <w:t>F</w:t>
      </w:r>
      <w:r>
        <w:rPr>
          <w:color w:val="4F81BC"/>
        </w:rPr>
        <w:t>REQUENCY</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FREQUENCY ( </w:t>
      </w:r>
      <w:r>
        <w:rPr>
          <w:i/>
          <w:sz w:val="22"/>
        </w:rPr>
        <w:t>data-array </w:t>
      </w:r>
      <w:r>
        <w:rPr>
          <w:rFonts w:ascii="Lucida Console"/>
          <w:sz w:val="20"/>
        </w:rPr>
        <w:t>, </w:t>
      </w:r>
      <w:r>
        <w:rPr>
          <w:i/>
          <w:sz w:val="22"/>
        </w:rPr>
        <w:t>bins-array </w:t>
      </w:r>
      <w:r>
        <w:rPr>
          <w:rFonts w:ascii="Lucida Console"/>
          <w:sz w:val="20"/>
        </w:rPr>
        <w:t>)</w:t>
      </w:r>
    </w:p>
    <w:p>
      <w:pPr>
        <w:pStyle w:val="BodyText"/>
        <w:spacing w:line="278" w:lineRule="auto" w:before="106"/>
        <w:ind w:left="220"/>
      </w:pPr>
      <w:r>
        <w:rPr>
          <w:b/>
        </w:rPr>
        <w:t>Description: </w:t>
      </w:r>
      <w:r>
        <w:rPr/>
        <w:t>Calculates </w:t>
      </w:r>
      <w:r>
        <w:rPr>
          <w:spacing w:val="-2"/>
        </w:rPr>
        <w:t>how </w:t>
      </w:r>
      <w:r>
        <w:rPr/>
        <w:t>often values occur within a range of values. A call to </w:t>
      </w:r>
      <w:r>
        <w:rPr>
          <w:rFonts w:ascii="Consolas"/>
        </w:rPr>
        <w:t>FREQUENCY</w:t>
      </w:r>
      <w:r>
        <w:rPr>
          <w:rFonts w:ascii="Consolas"/>
          <w:spacing w:val="-101"/>
        </w:rPr>
        <w:t> </w:t>
      </w:r>
      <w:r>
        <w:rPr/>
        <w:t>shall be an array formula.</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58" w:hRule="atLeast"/>
        </w:trPr>
        <w:tc>
          <w:tcPr>
            <w:tcW w:w="1466" w:type="dxa"/>
          </w:tcPr>
          <w:p>
            <w:pPr>
              <w:pStyle w:val="TableParagraph"/>
              <w:spacing w:before="37"/>
              <w:ind w:left="0" w:right="384"/>
              <w:jc w:val="right"/>
              <w:rPr>
                <w:rFonts w:ascii="Times New Roman"/>
                <w:i/>
                <w:sz w:val="22"/>
              </w:rPr>
            </w:pPr>
            <w:r>
              <w:rPr>
                <w:rFonts w:ascii="Times New Roman"/>
                <w:i/>
                <w:sz w:val="22"/>
              </w:rPr>
              <w:t>data-array</w:t>
            </w:r>
          </w:p>
        </w:tc>
        <w:tc>
          <w:tcPr>
            <w:tcW w:w="1800" w:type="dxa"/>
          </w:tcPr>
          <w:p>
            <w:pPr>
              <w:pStyle w:val="TableParagraph"/>
              <w:ind w:left="112" w:right="222"/>
              <w:rPr>
                <w:sz w:val="22"/>
              </w:rPr>
            </w:pPr>
            <w:r>
              <w:rPr>
                <w:sz w:val="22"/>
              </w:rPr>
              <w:t>array, reference to number</w:t>
            </w:r>
          </w:p>
        </w:tc>
        <w:tc>
          <w:tcPr>
            <w:tcW w:w="5400" w:type="dxa"/>
          </w:tcPr>
          <w:p>
            <w:pPr>
              <w:pStyle w:val="TableParagraph"/>
              <w:ind w:left="113" w:right="158"/>
              <w:rPr>
                <w:sz w:val="22"/>
              </w:rPr>
            </w:pPr>
            <w:r>
              <w:rPr>
                <w:sz w:val="22"/>
              </w:rPr>
              <w:t>Set of values for which frequencies are to be computed. If </w:t>
            </w:r>
            <w:r>
              <w:rPr>
                <w:rFonts w:ascii="Times New Roman"/>
                <w:i/>
                <w:sz w:val="22"/>
              </w:rPr>
              <w:t>data-array </w:t>
            </w:r>
            <w:r>
              <w:rPr>
                <w:sz w:val="22"/>
              </w:rPr>
              <w:t>contains no values, </w:t>
            </w:r>
            <w:r>
              <w:rPr>
                <w:rFonts w:ascii="Consolas"/>
                <w:sz w:val="22"/>
              </w:rPr>
              <w:t>FREQUENCY </w:t>
            </w:r>
            <w:r>
              <w:rPr>
                <w:sz w:val="22"/>
              </w:rPr>
              <w:t>returns an array of zeros. Cells containing text or that are empty are ignored.</w:t>
            </w:r>
          </w:p>
        </w:tc>
      </w:tr>
      <w:tr>
        <w:trPr>
          <w:trHeight w:val="892" w:hRule="atLeast"/>
        </w:trPr>
        <w:tc>
          <w:tcPr>
            <w:tcW w:w="1466" w:type="dxa"/>
          </w:tcPr>
          <w:p>
            <w:pPr>
              <w:pStyle w:val="TableParagraph"/>
              <w:spacing w:before="37"/>
              <w:ind w:left="0" w:right="408"/>
              <w:jc w:val="right"/>
              <w:rPr>
                <w:rFonts w:ascii="Times New Roman"/>
                <w:i/>
                <w:sz w:val="22"/>
              </w:rPr>
            </w:pPr>
            <w:r>
              <w:rPr>
                <w:rFonts w:ascii="Times New Roman"/>
                <w:i/>
                <w:sz w:val="22"/>
              </w:rPr>
              <w:t>bins-array</w:t>
            </w:r>
          </w:p>
        </w:tc>
        <w:tc>
          <w:tcPr>
            <w:tcW w:w="1800" w:type="dxa"/>
          </w:tcPr>
          <w:p>
            <w:pPr>
              <w:pStyle w:val="TableParagraph"/>
              <w:ind w:left="112"/>
              <w:rPr>
                <w:sz w:val="22"/>
              </w:rPr>
            </w:pPr>
            <w:r>
              <w:rPr>
                <w:sz w:val="22"/>
              </w:rPr>
              <w:t>array, reference</w:t>
            </w:r>
          </w:p>
        </w:tc>
        <w:tc>
          <w:tcPr>
            <w:tcW w:w="5400" w:type="dxa"/>
          </w:tcPr>
          <w:p>
            <w:pPr>
              <w:pStyle w:val="TableParagraph"/>
              <w:ind w:left="113" w:right="145"/>
              <w:jc w:val="both"/>
              <w:rPr>
                <w:sz w:val="22"/>
              </w:rPr>
            </w:pPr>
            <w:r>
              <w:rPr>
                <w:sz w:val="22"/>
              </w:rPr>
              <w:t>Set of intervals into which the values in </w:t>
            </w:r>
            <w:r>
              <w:rPr>
                <w:rFonts w:ascii="Times New Roman"/>
                <w:i/>
                <w:sz w:val="22"/>
              </w:rPr>
              <w:t>data-array </w:t>
            </w:r>
            <w:r>
              <w:rPr>
                <w:sz w:val="22"/>
              </w:rPr>
              <w:t>are to be grouped. If </w:t>
            </w:r>
            <w:r>
              <w:rPr>
                <w:rFonts w:ascii="Times New Roman"/>
                <w:i/>
                <w:sz w:val="22"/>
              </w:rPr>
              <w:t>bins-array </w:t>
            </w:r>
            <w:r>
              <w:rPr>
                <w:sz w:val="22"/>
              </w:rPr>
              <w:t>contains no values,</w:t>
            </w:r>
            <w:r>
              <w:rPr>
                <w:spacing w:val="-20"/>
                <w:sz w:val="22"/>
              </w:rPr>
              <w:t> </w:t>
            </w:r>
            <w:r>
              <w:rPr>
                <w:rFonts w:ascii="Consolas"/>
                <w:sz w:val="22"/>
              </w:rPr>
              <w:t>FREQUENCY </w:t>
            </w:r>
            <w:r>
              <w:rPr>
                <w:sz w:val="22"/>
              </w:rPr>
              <w:t>returns the number of elements in</w:t>
            </w:r>
            <w:r>
              <w:rPr>
                <w:spacing w:val="-10"/>
                <w:sz w:val="22"/>
              </w:rPr>
              <w:t> </w:t>
            </w:r>
            <w:r>
              <w:rPr>
                <w:rFonts w:ascii="Times New Roman"/>
                <w:i/>
                <w:sz w:val="22"/>
              </w:rPr>
              <w:t>data-array</w:t>
            </w:r>
            <w:r>
              <w:rPr>
                <w:sz w:val="22"/>
              </w:rPr>
              <w:t>.</w:t>
            </w:r>
          </w:p>
        </w:tc>
      </w:tr>
    </w:tbl>
    <w:p>
      <w:pPr>
        <w:pStyle w:val="BodyText"/>
        <w:rPr>
          <w:b/>
        </w:rPr>
      </w:pPr>
    </w:p>
    <w:p>
      <w:pPr>
        <w:pStyle w:val="BodyText"/>
        <w:spacing w:before="5"/>
        <w:rPr>
          <w:b/>
          <w:sz w:val="19"/>
        </w:rPr>
      </w:pPr>
    </w:p>
    <w:p>
      <w:pPr>
        <w:pStyle w:val="BodyText"/>
        <w:spacing w:line="276" w:lineRule="auto"/>
        <w:ind w:left="220" w:right="610"/>
      </w:pPr>
      <w:r>
        <w:rPr>
          <w:b/>
        </w:rPr>
        <w:t>Return Type and Value: </w:t>
      </w:r>
      <w:r>
        <w:rPr/>
        <w:t>vertical array of numbers – The frequency at which values occur within a range of values. The number of elements in the returned array is one more than the number of elements in </w:t>
      </w:r>
      <w:r>
        <w:rPr>
          <w:rFonts w:ascii="Times New Roman" w:hAnsi="Times New Roman"/>
          <w:i/>
        </w:rPr>
        <w:t>bins-array</w:t>
      </w:r>
      <w:r>
        <w:rPr/>
        <w:t>. The extra element contains the count of any values above the highest interval.</w:t>
      </w:r>
    </w:p>
    <w:p>
      <w:pPr>
        <w:spacing w:after="0" w:line="276" w:lineRule="auto"/>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before="1"/>
        <w:ind w:left="220"/>
      </w:pPr>
      <w:r>
        <w:rPr/>
        <w:t>If the cells A2:A10 contain 79, 85, 78, 85, 50, 81, 95, 88, and 97, and the cells B2:B4 contain 70, 79, and 89,</w:t>
      </w:r>
    </w:p>
    <w:p>
      <w:pPr>
        <w:pStyle w:val="BodyText"/>
        <w:spacing w:before="41"/>
        <w:ind w:left="220"/>
      </w:pPr>
      <w:r>
        <w:rPr>
          <w:rFonts w:ascii="Consolas"/>
        </w:rPr>
        <w:t>FREQUENCY(A2:A10,B2:B4)</w:t>
      </w:r>
      <w:r>
        <w:rPr>
          <w:rFonts w:ascii="Consolas"/>
          <w:spacing w:val="-101"/>
        </w:rPr>
        <w:t> </w:t>
      </w:r>
      <w:r>
        <w:rPr/>
        <w:t>results in a vertical array containing 1 (50), 2 (79, 78), 4 (85, 85, 81, 88), and 2</w:t>
      </w:r>
    </w:p>
    <w:p>
      <w:pPr>
        <w:pStyle w:val="BodyText"/>
        <w:spacing w:before="41"/>
        <w:ind w:left="220"/>
      </w:pPr>
      <w:r>
        <w:rPr/>
        <w:t>(95, 97).</w:t>
      </w:r>
    </w:p>
    <w:p>
      <w:pPr>
        <w:pStyle w:val="BodyText"/>
        <w:spacing w:before="8"/>
        <w:rPr>
          <w:sz w:val="28"/>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28 FTEST" w:id="1776"/>
      <w:bookmarkEnd w:id="1776"/>
      <w:r>
        <w:rPr/>
      </w:r>
      <w:bookmarkStart w:name="_bookmark591" w:id="1777"/>
      <w:bookmarkEnd w:id="1777"/>
      <w:r>
        <w:rPr/>
      </w:r>
      <w:bookmarkStart w:name="_bookmark591" w:id="1778"/>
      <w:bookmarkEnd w:id="1778"/>
      <w:r>
        <w:rPr>
          <w:color w:val="4F81BC"/>
        </w:rPr>
        <w:t>FTE</w:t>
      </w:r>
      <w:r>
        <w:rPr>
          <w:color w:val="4F81BC"/>
        </w:rPr>
        <w:t>ST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FTEST ( </w:t>
      </w:r>
      <w:r>
        <w:rPr>
          <w:i/>
          <w:sz w:val="22"/>
        </w:rPr>
        <w:t>array-1 </w:t>
      </w:r>
      <w:r>
        <w:rPr>
          <w:rFonts w:ascii="Lucida Console"/>
          <w:sz w:val="20"/>
        </w:rPr>
        <w:t>, </w:t>
      </w:r>
      <w:r>
        <w:rPr>
          <w:i/>
          <w:sz w:val="22"/>
        </w:rPr>
        <w:t>array-2 </w:t>
      </w:r>
      <w:r>
        <w:rPr>
          <w:rFonts w:ascii="Lucida Console"/>
          <w:sz w:val="20"/>
        </w:rPr>
        <w:t>)</w:t>
      </w:r>
    </w:p>
    <w:p>
      <w:pPr>
        <w:spacing w:before="109"/>
        <w:ind w:left="220" w:right="0" w:firstLine="0"/>
        <w:jc w:val="left"/>
        <w:rPr>
          <w:sz w:val="22"/>
        </w:rPr>
      </w:pPr>
      <w:r>
        <w:rPr>
          <w:b/>
          <w:sz w:val="22"/>
        </w:rPr>
        <w:t>Description: </w:t>
      </w:r>
      <w:r>
        <w:rPr>
          <w:sz w:val="22"/>
        </w:rPr>
        <w:t>Computes the result of an F-test.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40"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vMerge w:val="restart"/>
          </w:tcPr>
          <w:p>
            <w:pPr>
              <w:pStyle w:val="TableParagraph"/>
              <w:ind w:left="112" w:right="237"/>
              <w:jc w:val="both"/>
              <w:rPr>
                <w:sz w:val="22"/>
              </w:rPr>
            </w:pPr>
            <w:r>
              <w:rPr>
                <w:sz w:val="22"/>
              </w:rPr>
              <w:t>number, name, array, reference to number</w:t>
            </w:r>
          </w:p>
        </w:tc>
        <w:tc>
          <w:tcPr>
            <w:tcW w:w="5400" w:type="dxa"/>
            <w:vMerge w:val="restart"/>
          </w:tcPr>
          <w:p>
            <w:pPr>
              <w:pStyle w:val="TableParagraph"/>
              <w:ind w:left="113" w:right="384"/>
              <w:rPr>
                <w:sz w:val="22"/>
              </w:rPr>
            </w:pPr>
            <w:r>
              <w:rPr>
                <w:sz w:val="22"/>
              </w:rPr>
              <w:t>If an array or reference argument contains text, logical values, or empty cells, those values are ignored; however, cells with the value 0 are included.</w:t>
            </w:r>
          </w:p>
        </w:tc>
      </w:tr>
      <w:tr>
        <w:trPr>
          <w:trHeight w:val="542" w:hRule="atLeast"/>
        </w:trPr>
        <w:tc>
          <w:tcPr>
            <w:tcW w:w="1466" w:type="dxa"/>
          </w:tcPr>
          <w:p>
            <w:pPr>
              <w:pStyle w:val="TableParagraph"/>
              <w:spacing w:before="37"/>
              <w:rPr>
                <w:rFonts w:ascii="Times New Roman"/>
                <w:i/>
                <w:sz w:val="22"/>
              </w:rPr>
            </w:pPr>
            <w:r>
              <w:rPr>
                <w:rFonts w:ascii="Times New Roman"/>
                <w:i/>
                <w:sz w:val="22"/>
              </w:rPr>
              <w:t>array-2</w:t>
            </w:r>
          </w:p>
        </w:tc>
        <w:tc>
          <w:tcPr>
            <w:tcW w:w="1800" w:type="dxa"/>
            <w:vMerge/>
            <w:tcBorders>
              <w:top w:val="nil"/>
            </w:tcBorders>
          </w:tcPr>
          <w:p>
            <w:pPr>
              <w:rPr>
                <w:sz w:val="2"/>
                <w:szCs w:val="2"/>
              </w:rPr>
            </w:pPr>
          </w:p>
        </w:tc>
        <w:tc>
          <w:tcPr>
            <w:tcW w:w="5400" w:type="dxa"/>
            <w:vMerge/>
            <w:tcBorders>
              <w:top w:val="nil"/>
            </w:tcBorders>
          </w:tcPr>
          <w:p>
            <w:pPr>
              <w:rPr>
                <w:sz w:val="2"/>
                <w:szCs w:val="2"/>
              </w:rPr>
            </w:pPr>
          </w:p>
        </w:tc>
      </w:tr>
    </w:tbl>
    <w:p>
      <w:pPr>
        <w:pStyle w:val="BodyText"/>
        <w:rPr>
          <w:b/>
        </w:rPr>
      </w:pPr>
    </w:p>
    <w:p>
      <w:pPr>
        <w:pStyle w:val="BodyText"/>
        <w:spacing w:before="5"/>
        <w:rPr>
          <w:b/>
          <w:sz w:val="19"/>
        </w:rPr>
      </w:pPr>
    </w:p>
    <w:p>
      <w:pPr>
        <w:spacing w:line="278" w:lineRule="auto" w:before="0"/>
        <w:ind w:left="220" w:right="0" w:firstLine="0"/>
        <w:jc w:val="left"/>
        <w:rPr>
          <w:sz w:val="22"/>
        </w:rPr>
      </w:pPr>
      <w:r>
        <w:rPr>
          <w:b/>
          <w:sz w:val="22"/>
        </w:rPr>
        <w:t>Return Type and Value: </w:t>
      </w:r>
      <w:r>
        <w:rPr>
          <w:sz w:val="22"/>
        </w:rPr>
        <w:t>number – The two-tailed probability that the variances in </w:t>
      </w:r>
      <w:r>
        <w:rPr>
          <w:rFonts w:ascii="Times New Roman" w:hAnsi="Times New Roman"/>
          <w:i/>
          <w:sz w:val="22"/>
        </w:rPr>
        <w:t>array-1 </w:t>
      </w:r>
      <w:r>
        <w:rPr>
          <w:sz w:val="22"/>
        </w:rPr>
        <w:t>and </w:t>
      </w:r>
      <w:r>
        <w:rPr>
          <w:rFonts w:ascii="Times New Roman" w:hAnsi="Times New Roman"/>
          <w:i/>
          <w:sz w:val="22"/>
        </w:rPr>
        <w:t>array-2 </w:t>
      </w:r>
      <w:r>
        <w:rPr>
          <w:sz w:val="22"/>
        </w:rPr>
        <w:t>are not significantly different.</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The number of data points in </w:t>
      </w:r>
      <w:r>
        <w:rPr>
          <w:rFonts w:ascii="Times New Roman" w:hAnsi="Times New Roman"/>
          <w:i/>
          <w:sz w:val="22"/>
        </w:rPr>
        <w:t>array-1 </w:t>
      </w:r>
      <w:r>
        <w:rPr>
          <w:sz w:val="22"/>
        </w:rPr>
        <w:t>or </w:t>
      </w:r>
      <w:r>
        <w:rPr>
          <w:rFonts w:ascii="Times New Roman" w:hAnsi="Times New Roman"/>
          <w:i/>
          <w:sz w:val="22"/>
        </w:rPr>
        <w:t>array-2 </w:t>
      </w:r>
      <w:r>
        <w:rPr>
          <w:sz w:val="22"/>
        </w:rPr>
        <w:t>is less than 2, the return value is</w:t>
      </w:r>
      <w:r>
        <w:rPr>
          <w:spacing w:val="-33"/>
          <w:sz w:val="22"/>
        </w:rPr>
        <w:t> </w:t>
      </w:r>
      <w:r>
        <w:rPr>
          <w:sz w:val="22"/>
        </w:rPr>
        <w:t>unspecified.</w:t>
      </w:r>
    </w:p>
    <w:p>
      <w:pPr>
        <w:pStyle w:val="ListParagraph"/>
        <w:numPr>
          <w:ilvl w:val="4"/>
          <w:numId w:val="66"/>
        </w:numPr>
        <w:tabs>
          <w:tab w:pos="940" w:val="left" w:leader="none"/>
          <w:tab w:pos="941" w:val="left" w:leader="none"/>
        </w:tabs>
        <w:spacing w:line="446" w:lineRule="auto" w:before="39" w:after="0"/>
        <w:ind w:left="220" w:right="3179" w:firstLine="360"/>
        <w:jc w:val="left"/>
        <w:rPr>
          <w:sz w:val="22"/>
        </w:rPr>
      </w:pPr>
      <w:r>
        <w:rPr>
          <w:sz w:val="22"/>
        </w:rPr>
        <w:t>The variance of </w:t>
      </w:r>
      <w:r>
        <w:rPr>
          <w:rFonts w:ascii="Times New Roman" w:hAnsi="Times New Roman"/>
          <w:i/>
          <w:sz w:val="22"/>
        </w:rPr>
        <w:t>array-1 </w:t>
      </w:r>
      <w:r>
        <w:rPr>
          <w:sz w:val="22"/>
        </w:rPr>
        <w:t>or </w:t>
      </w:r>
      <w:r>
        <w:rPr>
          <w:rFonts w:ascii="Times New Roman" w:hAnsi="Times New Roman"/>
          <w:i/>
          <w:sz w:val="22"/>
        </w:rPr>
        <w:t>array-2 </w:t>
      </w:r>
      <w:r>
        <w:rPr>
          <w:sz w:val="22"/>
        </w:rPr>
        <w:t>is zero, the return value is</w:t>
      </w:r>
      <w:r>
        <w:rPr>
          <w:spacing w:val="-31"/>
          <w:sz w:val="22"/>
        </w:rPr>
        <w:t> </w:t>
      </w:r>
      <w:r>
        <w:rPr>
          <w:sz w:val="22"/>
        </w:rPr>
        <w:t>unspecified. [</w:t>
      </w:r>
      <w:r>
        <w:rPr>
          <w:i/>
          <w:sz w:val="22"/>
        </w:rPr>
        <w:t>Example</w:t>
      </w:r>
      <w:r>
        <w:rPr>
          <w:sz w:val="22"/>
        </w:rPr>
        <w:t>:</w:t>
      </w:r>
    </w:p>
    <w:p>
      <w:pPr>
        <w:pStyle w:val="BodyText"/>
        <w:spacing w:before="128"/>
        <w:ind w:left="220"/>
      </w:pPr>
      <w:r>
        <w:rPr/>
        <w:t>If the cells D6:D10 contain 6, 7, 9, 15, and 21, and the cells E6:E10 contain 20, 28, 31, 38, and 40,</w:t>
      </w:r>
    </w:p>
    <w:p>
      <w:pPr>
        <w:pStyle w:val="BodyText"/>
        <w:spacing w:before="39"/>
        <w:ind w:left="220"/>
        <w:rPr>
          <w:rFonts w:ascii="Consolas"/>
        </w:rPr>
      </w:pPr>
      <w:r>
        <w:rPr>
          <w:rFonts w:ascii="Consolas"/>
        </w:rPr>
        <w:t>FTEST(D6:D10,E6:E10)</w:t>
      </w:r>
      <w:r>
        <w:rPr>
          <w:rFonts w:ascii="Consolas"/>
          <w:spacing w:val="-72"/>
        </w:rPr>
        <w:t> </w:t>
      </w:r>
      <w:r>
        <w:rPr/>
        <w:t>results in </w:t>
      </w:r>
      <w:r>
        <w:rPr>
          <w:rFonts w:ascii="Consolas"/>
        </w:rPr>
        <w:t>0.648317847</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29 FV" w:id="1779"/>
      <w:bookmarkEnd w:id="1779"/>
      <w:r>
        <w:rPr/>
      </w:r>
      <w:bookmarkStart w:name="_bookmark592" w:id="1780"/>
      <w:bookmarkEnd w:id="1780"/>
      <w:r>
        <w:rPr/>
      </w:r>
      <w:bookmarkStart w:name="_bookmark592" w:id="1781"/>
      <w:bookmarkEnd w:id="1781"/>
      <w:r>
        <w:rPr>
          <w:color w:val="4F81BC"/>
        </w:rPr>
        <w:t>FV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FV ( </w:t>
      </w:r>
      <w:r>
        <w:rPr>
          <w:i/>
          <w:sz w:val="22"/>
        </w:rPr>
        <w:t>rate </w:t>
      </w:r>
      <w:r>
        <w:rPr>
          <w:rFonts w:ascii="Lucida Console"/>
          <w:sz w:val="20"/>
        </w:rPr>
        <w:t>, </w:t>
      </w:r>
      <w:r>
        <w:rPr>
          <w:i/>
          <w:sz w:val="22"/>
        </w:rPr>
        <w:t>nper </w:t>
      </w:r>
      <w:r>
        <w:rPr>
          <w:rFonts w:ascii="Lucida Console"/>
          <w:sz w:val="20"/>
        </w:rPr>
        <w:t>, </w:t>
      </w:r>
      <w:r>
        <w:rPr>
          <w:i/>
          <w:sz w:val="22"/>
        </w:rPr>
        <w:t>pmt </w:t>
      </w:r>
      <w:r>
        <w:rPr>
          <w:sz w:val="22"/>
        </w:rPr>
        <w:t>[  </w:t>
      </w:r>
      <w:r>
        <w:rPr>
          <w:rFonts w:ascii="Lucida Console"/>
          <w:sz w:val="20"/>
        </w:rPr>
        <w:t>, </w:t>
      </w:r>
      <w:r>
        <w:rPr>
          <w:sz w:val="22"/>
        </w:rPr>
        <w:t>[  </w:t>
      </w:r>
      <w:r>
        <w:rPr>
          <w:i/>
          <w:sz w:val="22"/>
        </w:rPr>
        <w:t>pv </w:t>
      </w:r>
      <w:r>
        <w:rPr>
          <w:sz w:val="22"/>
        </w:rPr>
        <w:t>]  [ </w:t>
      </w:r>
      <w:r>
        <w:rPr>
          <w:rFonts w:ascii="Lucida Console"/>
          <w:sz w:val="20"/>
        </w:rPr>
        <w:t>, </w:t>
      </w:r>
      <w:r>
        <w:rPr>
          <w:sz w:val="22"/>
        </w:rPr>
        <w:t>[ </w:t>
      </w:r>
      <w:r>
        <w:rPr>
          <w:i/>
          <w:sz w:val="22"/>
        </w:rPr>
        <w:t>type  </w:t>
      </w:r>
      <w:r>
        <w:rPr>
          <w:sz w:val="22"/>
        </w:rPr>
        <w:t>] ] ] </w:t>
      </w:r>
      <w:r>
        <w:rPr>
          <w:rFonts w:ascii="Lucida Console"/>
          <w:sz w:val="20"/>
        </w:rPr>
        <w:t>)</w:t>
      </w:r>
    </w:p>
    <w:p>
      <w:pPr>
        <w:pStyle w:val="BodyText"/>
        <w:spacing w:line="278" w:lineRule="auto" w:before="106"/>
        <w:ind w:left="220" w:right="502"/>
      </w:pPr>
      <w:r>
        <w:rPr>
          <w:b/>
        </w:rPr>
        <w:t>Description</w:t>
      </w:r>
      <w:r>
        <w:rPr/>
        <w:t>: Computes the future value of an investment based on periodic, constant payments and a constant interest rate.</w:t>
      </w:r>
    </w:p>
    <w:p>
      <w:pPr>
        <w:spacing w:after="0" w:line="278" w:lineRule="auto"/>
        <w:sectPr>
          <w:pgSz w:w="12240" w:h="15840"/>
          <w:pgMar w:header="763" w:footer="746" w:top="1340" w:bottom="940" w:left="860" w:right="700"/>
        </w:sectPr>
      </w:pPr>
    </w:p>
    <w:p>
      <w:pPr>
        <w:pStyle w:val="Heading4"/>
        <w:spacing w:before="93"/>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interest rate.</w:t>
            </w:r>
          </w:p>
        </w:tc>
      </w:tr>
      <w:tr>
        <w:trPr>
          <w:trHeight w:val="623" w:hRule="atLeast"/>
        </w:trPr>
        <w:tc>
          <w:tcPr>
            <w:tcW w:w="1466" w:type="dxa"/>
          </w:tcPr>
          <w:p>
            <w:pPr>
              <w:pStyle w:val="TableParagraph"/>
              <w:spacing w:before="37"/>
              <w:rPr>
                <w:rFonts w:ascii="Times New Roman"/>
                <w:i/>
                <w:sz w:val="22"/>
              </w:rPr>
            </w:pPr>
            <w:r>
              <w:rPr>
                <w:rFonts w:ascii="Times New Roman"/>
                <w:i/>
                <w:sz w:val="22"/>
              </w:rPr>
              <w:t>nper</w:t>
            </w:r>
          </w:p>
        </w:tc>
        <w:tc>
          <w:tcPr>
            <w:tcW w:w="1800" w:type="dxa"/>
          </w:tcPr>
          <w:p>
            <w:pPr>
              <w:pStyle w:val="TableParagraph"/>
              <w:ind w:left="112"/>
              <w:rPr>
                <w:sz w:val="22"/>
              </w:rPr>
            </w:pPr>
            <w:r>
              <w:rPr>
                <w:sz w:val="22"/>
              </w:rPr>
              <w:t>number</w:t>
            </w:r>
          </w:p>
        </w:tc>
        <w:tc>
          <w:tcPr>
            <w:tcW w:w="5397" w:type="dxa"/>
            <w:gridSpan w:val="4"/>
          </w:tcPr>
          <w:p>
            <w:pPr>
              <w:pStyle w:val="TableParagraph"/>
              <w:ind w:left="113" w:right="674"/>
              <w:rPr>
                <w:sz w:val="22"/>
              </w:rPr>
            </w:pPr>
            <w:r>
              <w:rPr>
                <w:sz w:val="22"/>
              </w:rPr>
              <w:t>The total number of payment periods, truncated to integer.</w:t>
            </w:r>
          </w:p>
        </w:tc>
      </w:tr>
      <w:tr>
        <w:trPr>
          <w:trHeight w:val="1158" w:hRule="atLeast"/>
        </w:trPr>
        <w:tc>
          <w:tcPr>
            <w:tcW w:w="1466" w:type="dxa"/>
          </w:tcPr>
          <w:p>
            <w:pPr>
              <w:pStyle w:val="TableParagraph"/>
              <w:spacing w:before="37"/>
              <w:rPr>
                <w:rFonts w:ascii="Times New Roman"/>
                <w:i/>
                <w:sz w:val="22"/>
              </w:rPr>
            </w:pPr>
            <w:r>
              <w:rPr>
                <w:rFonts w:ascii="Times New Roman"/>
                <w:i/>
                <w:sz w:val="22"/>
              </w:rPr>
              <w:t>pmt</w:t>
            </w:r>
          </w:p>
        </w:tc>
        <w:tc>
          <w:tcPr>
            <w:tcW w:w="1800" w:type="dxa"/>
          </w:tcPr>
          <w:p>
            <w:pPr>
              <w:pStyle w:val="TableParagraph"/>
              <w:ind w:left="112"/>
              <w:rPr>
                <w:sz w:val="22"/>
              </w:rPr>
            </w:pPr>
            <w:r>
              <w:rPr>
                <w:sz w:val="22"/>
              </w:rPr>
              <w:t>number</w:t>
            </w:r>
          </w:p>
        </w:tc>
        <w:tc>
          <w:tcPr>
            <w:tcW w:w="5397" w:type="dxa"/>
            <w:gridSpan w:val="4"/>
          </w:tcPr>
          <w:p>
            <w:pPr>
              <w:pStyle w:val="TableParagraph"/>
              <w:ind w:left="113" w:right="368"/>
              <w:rPr>
                <w:sz w:val="22"/>
              </w:rPr>
            </w:pPr>
            <w:r>
              <w:rPr>
                <w:sz w:val="22"/>
              </w:rPr>
              <w:t>The payment made each period; it cannot change over the life of the annuity. [</w:t>
            </w:r>
            <w:r>
              <w:rPr>
                <w:i/>
                <w:sz w:val="22"/>
              </w:rPr>
              <w:t>Note</w:t>
            </w:r>
            <w:r>
              <w:rPr>
                <w:sz w:val="22"/>
              </w:rPr>
              <w:t>: Typically, </w:t>
            </w:r>
            <w:r>
              <w:rPr>
                <w:rFonts w:ascii="Times New Roman"/>
                <w:i/>
                <w:sz w:val="22"/>
              </w:rPr>
              <w:t>pmt </w:t>
            </w:r>
            <w:r>
              <w:rPr>
                <w:sz w:val="22"/>
              </w:rPr>
              <w:t>contains principal and interest, but no other fees or taxes. </w:t>
            </w:r>
            <w:r>
              <w:rPr>
                <w:i/>
                <w:sz w:val="22"/>
              </w:rPr>
              <w:t>end </w:t>
            </w:r>
            <w:r>
              <w:rPr>
                <w:i/>
                <w:sz w:val="22"/>
              </w:rPr>
              <w:t>note</w:t>
            </w:r>
            <w:r>
              <w:rPr>
                <w:sz w:val="22"/>
              </w:rPr>
              <w:t>] If omitted, </w:t>
            </w:r>
            <w:r>
              <w:rPr>
                <w:rFonts w:ascii="Times New Roman"/>
                <w:i/>
                <w:sz w:val="22"/>
              </w:rPr>
              <w:t>pv </w:t>
            </w:r>
            <w:r>
              <w:rPr>
                <w:sz w:val="22"/>
              </w:rPr>
              <w:t>shall be provided.</w:t>
            </w:r>
          </w:p>
        </w:tc>
      </w:tr>
      <w:tr>
        <w:trPr>
          <w:trHeight w:val="893"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397" w:type="dxa"/>
            <w:gridSpan w:val="4"/>
          </w:tcPr>
          <w:p>
            <w:pPr>
              <w:pStyle w:val="TableParagraph"/>
              <w:ind w:left="113" w:right="233"/>
              <w:rPr>
                <w:sz w:val="22"/>
              </w:rPr>
            </w:pPr>
            <w:r>
              <w:rPr>
                <w:sz w:val="22"/>
              </w:rPr>
              <w:t>The the present value, or the lump-sum amount that a series of future payments is worth right now. If omitted, it is assumed to be 0, and </w:t>
            </w:r>
            <w:r>
              <w:rPr>
                <w:rFonts w:ascii="Times New Roman"/>
                <w:i/>
                <w:sz w:val="22"/>
              </w:rPr>
              <w:t>pmt </w:t>
            </w:r>
            <w:r>
              <w:rPr>
                <w:sz w:val="22"/>
              </w:rPr>
              <w:t>shall be provided.</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ind w:left="113" w:right="668"/>
              <w:rPr>
                <w:sz w:val="22"/>
              </w:rPr>
            </w:pPr>
            <w:r>
              <w:rPr>
                <w:sz w:val="22"/>
              </w:rPr>
              <w:t>The timing of the payment, truncated to integer,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1</w:t>
            </w:r>
          </w:p>
        </w:tc>
        <w:tc>
          <w:tcPr>
            <w:tcW w:w="2985" w:type="dxa"/>
          </w:tcPr>
          <w:p>
            <w:pPr>
              <w:pStyle w:val="TableParagraph"/>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bl>
    <w:p>
      <w:pPr>
        <w:pStyle w:val="BodyText"/>
      </w:pPr>
    </w:p>
    <w:p>
      <w:pPr>
        <w:pStyle w:val="BodyText"/>
        <w:spacing w:before="5"/>
        <w:rPr>
          <w:sz w:val="19"/>
        </w:rPr>
      </w:pPr>
    </w:p>
    <w:p>
      <w:pPr>
        <w:pStyle w:val="BodyText"/>
        <w:spacing w:line="278" w:lineRule="auto"/>
        <w:ind w:left="220" w:right="485"/>
      </w:pPr>
      <w:r>
        <w:rPr/>
        <w:t>Arguments representing cash paid by investor shall be expressed as negative numbers; arguments representing cash received by the investor shall be expressed as positive numbers.</w:t>
      </w:r>
    </w:p>
    <w:p>
      <w:pPr>
        <w:pStyle w:val="BodyText"/>
        <w:spacing w:line="278" w:lineRule="auto" w:before="196"/>
        <w:ind w:left="220" w:right="457"/>
      </w:pPr>
      <w:r>
        <w:rPr>
          <w:b/>
        </w:rPr>
        <w:t>Return Type and Value</w:t>
      </w:r>
      <w:r>
        <w:rPr/>
        <w:t>: number – The future value of an investment based on periodic, constant payments and a constant interest rate.</w:t>
      </w:r>
    </w:p>
    <w:p>
      <w:pPr>
        <w:pStyle w:val="BodyText"/>
        <w:spacing w:line="453" w:lineRule="auto" w:before="197"/>
        <w:ind w:left="220" w:right="3786"/>
      </w:pPr>
      <w:r>
        <w:rPr/>
        <w:t>However, if </w:t>
      </w:r>
      <w:r>
        <w:rPr>
          <w:rFonts w:ascii="Times New Roman"/>
          <w:i/>
        </w:rPr>
        <w:t>type </w:t>
      </w:r>
      <w:r>
        <w:rPr/>
        <w:t>is any number other than 0 or 1, </w:t>
      </w:r>
      <w:r>
        <w:rPr>
          <w:rFonts w:ascii="Consolas"/>
        </w:rPr>
        <w:t>#NUM!</w:t>
      </w:r>
      <w:r>
        <w:rPr>
          <w:rFonts w:ascii="Consolas"/>
          <w:spacing w:val="-91"/>
        </w:rPr>
        <w:t> </w:t>
      </w:r>
      <w:r>
        <w:rPr/>
        <w:t>is returned. [</w:t>
      </w:r>
      <w:r>
        <w:rPr>
          <w:i/>
        </w:rPr>
        <w:t>Example</w:t>
      </w:r>
      <w:r>
        <w:rPr/>
        <w:t>:</w:t>
      </w:r>
    </w:p>
    <w:p>
      <w:pPr>
        <w:pStyle w:val="BodyText"/>
        <w:tabs>
          <w:tab w:pos="3820" w:val="left" w:leader="none"/>
        </w:tabs>
        <w:spacing w:line="276" w:lineRule="auto" w:before="111"/>
        <w:ind w:left="220" w:right="5311"/>
        <w:rPr>
          <w:rFonts w:ascii="Consolas"/>
        </w:rPr>
      </w:pPr>
      <w:r>
        <w:rPr>
          <w:rFonts w:ascii="Consolas"/>
        </w:rPr>
        <w:t>FV(0.06/12,10,-200,-500,1)</w:t>
        <w:tab/>
        <w:t>2,581.40 FV(0.12/12,12,-1000) </w:t>
      </w:r>
      <w:r>
        <w:rPr/>
        <w:t>results in </w:t>
      </w:r>
      <w:r>
        <w:rPr>
          <w:rFonts w:ascii="Consolas"/>
        </w:rPr>
        <w:t>12,682.50 FV(0.11/12,35,-2000,,1) </w:t>
      </w:r>
      <w:r>
        <w:rPr/>
        <w:t>results in </w:t>
      </w:r>
      <w:r>
        <w:rPr>
          <w:rFonts w:ascii="Consolas"/>
        </w:rPr>
        <w:t>82,846.25 FV(0.06/12,12,-100,-1000,1)</w:t>
      </w:r>
      <w:r>
        <w:rPr>
          <w:rFonts w:ascii="Consolas"/>
          <w:spacing w:val="-90"/>
        </w:rPr>
        <w:t> </w:t>
      </w:r>
      <w:r>
        <w:rPr/>
        <w:t>results in </w:t>
      </w:r>
      <w:r>
        <w:rPr>
          <w:rFonts w:ascii="Consolas"/>
        </w:rPr>
        <w:t>2,301.40</w:t>
      </w:r>
    </w:p>
    <w:p>
      <w:pPr>
        <w:pStyle w:val="BodyText"/>
        <w:spacing w:before="4"/>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0 FVSCHEDULE" w:id="1782"/>
      <w:bookmarkEnd w:id="1782"/>
      <w:r>
        <w:rPr/>
      </w:r>
      <w:bookmarkStart w:name="_bookmark593" w:id="1783"/>
      <w:bookmarkEnd w:id="1783"/>
      <w:r>
        <w:rPr/>
      </w:r>
      <w:bookmarkStart w:name="_bookmark593" w:id="1784"/>
      <w:bookmarkEnd w:id="1784"/>
      <w:r>
        <w:rPr>
          <w:color w:val="4F81BC"/>
        </w:rPr>
        <w:t>F</w:t>
      </w:r>
      <w:r>
        <w:rPr>
          <w:color w:val="4F81BC"/>
        </w:rPr>
        <w:t>VSCHEDULE</w:t>
      </w:r>
    </w:p>
    <w:p>
      <w:pPr>
        <w:pStyle w:val="BodyText"/>
        <w:spacing w:before="124"/>
        <w:ind w:left="220"/>
      </w:pPr>
      <w:r>
        <w:rPr>
          <w:rFonts w:ascii="Cambria"/>
        </w:rPr>
        <w:t>Syntax</w:t>
      </w:r>
      <w:r>
        <w:rPr/>
        <w:t>:</w:t>
      </w:r>
    </w:p>
    <w:p>
      <w:pPr>
        <w:spacing w:after="0"/>
        <w:sectPr>
          <w:pgSz w:w="12240" w:h="15840"/>
          <w:pgMar w:header="761" w:footer="746" w:top="1340" w:bottom="940" w:left="860" w:right="700"/>
        </w:sectPr>
      </w:pPr>
    </w:p>
    <w:p>
      <w:pPr>
        <w:spacing w:before="143"/>
        <w:ind w:left="940" w:right="0" w:firstLine="0"/>
        <w:jc w:val="left"/>
        <w:rPr>
          <w:rFonts w:ascii="Lucida Console"/>
          <w:sz w:val="20"/>
        </w:rPr>
      </w:pPr>
      <w:r>
        <w:rPr>
          <w:rFonts w:ascii="Lucida Console"/>
          <w:sz w:val="20"/>
        </w:rPr>
        <w:t>FVSCHEDULE ( </w:t>
      </w:r>
      <w:r>
        <w:rPr>
          <w:i/>
          <w:sz w:val="22"/>
        </w:rPr>
        <w:t>principal </w:t>
      </w:r>
      <w:r>
        <w:rPr>
          <w:rFonts w:ascii="Lucida Console"/>
          <w:sz w:val="20"/>
        </w:rPr>
        <w:t>, </w:t>
      </w:r>
      <w:r>
        <w:rPr>
          <w:i/>
          <w:sz w:val="22"/>
        </w:rPr>
        <w:t>schedule </w:t>
      </w:r>
      <w:r>
        <w:rPr>
          <w:rFonts w:ascii="Lucida Console"/>
          <w:sz w:val="20"/>
        </w:rPr>
        <w:t>)</w:t>
      </w:r>
    </w:p>
    <w:p>
      <w:pPr>
        <w:pStyle w:val="BodyText"/>
        <w:spacing w:line="276" w:lineRule="auto" w:before="106"/>
        <w:ind w:left="220" w:right="367"/>
      </w:pPr>
      <w:r>
        <w:rPr>
          <w:b/>
        </w:rPr>
        <w:t>Description</w:t>
      </w:r>
      <w:r>
        <w:rPr/>
        <w:t>: Computes the future value of an initial principal after applying a series of compound interest rates. [</w:t>
      </w:r>
      <w:r>
        <w:rPr>
          <w:i/>
        </w:rPr>
        <w:t>Note</w:t>
      </w:r>
      <w:r>
        <w:rPr/>
        <w:t>: This function can be used to calculate the future value of an investment with a variable or adjustable rate. </w:t>
      </w:r>
      <w:r>
        <w:rPr>
          <w:i/>
        </w:rPr>
        <w:t>end note</w:t>
      </w:r>
      <w:r>
        <w:rPr/>
        <w:t>]</w:t>
      </w:r>
    </w:p>
    <w:p>
      <w:pPr>
        <w:pStyle w:val="BodyText"/>
        <w:spacing w:before="6"/>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principal</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present value.</w:t>
            </w:r>
          </w:p>
        </w:tc>
      </w:tr>
      <w:tr>
        <w:trPr>
          <w:trHeight w:val="892" w:hRule="atLeast"/>
        </w:trPr>
        <w:tc>
          <w:tcPr>
            <w:tcW w:w="1466" w:type="dxa"/>
          </w:tcPr>
          <w:p>
            <w:pPr>
              <w:pStyle w:val="TableParagraph"/>
              <w:spacing w:before="37"/>
              <w:rPr>
                <w:rFonts w:ascii="Times New Roman"/>
                <w:i/>
                <w:sz w:val="22"/>
              </w:rPr>
            </w:pPr>
            <w:r>
              <w:rPr>
                <w:rFonts w:ascii="Times New Roman"/>
                <w:i/>
                <w:sz w:val="22"/>
              </w:rPr>
              <w:t>schedule</w:t>
            </w:r>
          </w:p>
        </w:tc>
        <w:tc>
          <w:tcPr>
            <w:tcW w:w="1800" w:type="dxa"/>
          </w:tcPr>
          <w:p>
            <w:pPr>
              <w:pStyle w:val="TableParagraph"/>
              <w:ind w:left="112"/>
              <w:rPr>
                <w:sz w:val="22"/>
              </w:rPr>
            </w:pPr>
            <w:r>
              <w:rPr>
                <w:sz w:val="22"/>
              </w:rPr>
              <w:t>array</w:t>
            </w:r>
          </w:p>
        </w:tc>
        <w:tc>
          <w:tcPr>
            <w:tcW w:w="5400" w:type="dxa"/>
          </w:tcPr>
          <w:p>
            <w:pPr>
              <w:pStyle w:val="TableParagraph"/>
              <w:ind w:left="113" w:right="196"/>
              <w:rPr>
                <w:sz w:val="22"/>
              </w:rPr>
            </w:pPr>
            <w:r>
              <w:rPr>
                <w:sz w:val="22"/>
              </w:rPr>
              <w:t>Set of interest rates to apply. The values in this array can be numbers or blank cells. Blank cells are taken as zeros (i.e., no interest).</w:t>
            </w:r>
          </w:p>
        </w:tc>
      </w:tr>
    </w:tbl>
    <w:p>
      <w:pPr>
        <w:pStyle w:val="BodyText"/>
      </w:pPr>
    </w:p>
    <w:p>
      <w:pPr>
        <w:pStyle w:val="BodyText"/>
        <w:spacing w:before="5"/>
        <w:rPr>
          <w:sz w:val="19"/>
        </w:rPr>
      </w:pPr>
    </w:p>
    <w:p>
      <w:pPr>
        <w:pStyle w:val="BodyText"/>
        <w:spacing w:line="278" w:lineRule="auto" w:before="1"/>
        <w:ind w:left="220" w:right="731"/>
      </w:pPr>
      <w:r>
        <w:rPr>
          <w:b/>
        </w:rPr>
        <w:t>Return Type and Value</w:t>
      </w:r>
      <w:r>
        <w:rPr/>
        <w:t>: number – The future value of an initial principal after applying a series of compound interest rates.</w:t>
      </w:r>
    </w:p>
    <w:p>
      <w:pPr>
        <w:pStyle w:val="BodyText"/>
        <w:spacing w:line="453" w:lineRule="auto" w:before="197"/>
        <w:ind w:left="220" w:right="1028"/>
      </w:pPr>
      <w:r>
        <w:rPr/>
        <w:t>However, if any element of the array </w:t>
      </w:r>
      <w:r>
        <w:rPr>
          <w:rFonts w:ascii="Times New Roman"/>
          <w:i/>
        </w:rPr>
        <w:t>schedule </w:t>
      </w:r>
      <w:r>
        <w:rPr/>
        <w:t>is not a number and not blank, </w:t>
      </w:r>
      <w:r>
        <w:rPr>
          <w:rFonts w:ascii="Consolas"/>
        </w:rPr>
        <w:t>#VALUE!</w:t>
      </w:r>
      <w:r>
        <w:rPr>
          <w:rFonts w:ascii="Consolas"/>
          <w:spacing w:val="-98"/>
        </w:rPr>
        <w:t> </w:t>
      </w:r>
      <w:r>
        <w:rPr/>
        <w:t>is returned. [</w:t>
      </w:r>
      <w:r>
        <w:rPr>
          <w:i/>
        </w:rPr>
        <w:t>Example</w:t>
      </w:r>
      <w:r>
        <w:rPr/>
        <w:t>:</w:t>
      </w:r>
    </w:p>
    <w:p>
      <w:pPr>
        <w:pStyle w:val="BodyText"/>
        <w:spacing w:before="108"/>
        <w:ind w:left="220"/>
        <w:rPr>
          <w:rFonts w:ascii="Consolas"/>
        </w:rPr>
      </w:pPr>
      <w:r>
        <w:rPr>
          <w:rFonts w:ascii="Consolas"/>
        </w:rPr>
        <w:t>FVSCHEDULE(1,{0.09,0.11,0.1})</w:t>
      </w:r>
      <w:r>
        <w:rPr>
          <w:rFonts w:ascii="Consolas"/>
          <w:spacing w:val="-70"/>
        </w:rPr>
        <w:t> </w:t>
      </w:r>
      <w:r>
        <w:rPr/>
        <w:t>results in </w:t>
      </w:r>
      <w:r>
        <w:rPr>
          <w:rFonts w:ascii="Consolas"/>
        </w:rPr>
        <w:t>1.33089</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1 GAMMADIST" w:id="1785"/>
      <w:bookmarkEnd w:id="1785"/>
      <w:r>
        <w:rPr/>
      </w:r>
      <w:bookmarkStart w:name="_bookmark594" w:id="1786"/>
      <w:bookmarkEnd w:id="1786"/>
      <w:r>
        <w:rPr/>
      </w:r>
      <w:bookmarkStart w:name="_bookmark594" w:id="1787"/>
      <w:bookmarkEnd w:id="1787"/>
      <w:r>
        <w:rPr>
          <w:color w:val="4F81BC"/>
        </w:rPr>
        <w:t>G</w:t>
      </w:r>
      <w:r>
        <w:rPr>
          <w:color w:val="4F81BC"/>
        </w:rPr>
        <w:t>AMMADIST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GAMMADIST ( </w:t>
      </w:r>
      <w:r>
        <w:rPr>
          <w:i/>
          <w:sz w:val="22"/>
        </w:rPr>
        <w:t>x </w:t>
      </w:r>
      <w:r>
        <w:rPr>
          <w:rFonts w:ascii="Lucida Console"/>
          <w:sz w:val="20"/>
        </w:rPr>
        <w:t>, </w:t>
      </w:r>
      <w:r>
        <w:rPr>
          <w:i/>
          <w:sz w:val="22"/>
        </w:rPr>
        <w:t>alpha </w:t>
      </w:r>
      <w:r>
        <w:rPr>
          <w:rFonts w:ascii="Lucida Console"/>
          <w:sz w:val="20"/>
        </w:rPr>
        <w:t>, </w:t>
      </w:r>
      <w:r>
        <w:rPr>
          <w:i/>
          <w:sz w:val="22"/>
        </w:rPr>
        <w:t>beta  </w:t>
      </w:r>
      <w:r>
        <w:rPr>
          <w:rFonts w:ascii="Lucida Console"/>
          <w:sz w:val="20"/>
        </w:rPr>
        <w:t>, </w:t>
      </w:r>
      <w:r>
        <w:rPr>
          <w:i/>
          <w:sz w:val="22"/>
        </w:rPr>
        <w:t>cumulative-flag </w:t>
      </w:r>
      <w:r>
        <w:rPr>
          <w:rFonts w:ascii="Lucida Console"/>
          <w:sz w:val="20"/>
        </w:rPr>
        <w:t>)</w:t>
      </w:r>
    </w:p>
    <w:p>
      <w:pPr>
        <w:spacing w:before="108"/>
        <w:ind w:left="220" w:right="0" w:firstLine="0"/>
        <w:jc w:val="left"/>
        <w:rPr>
          <w:sz w:val="22"/>
        </w:rPr>
      </w:pPr>
      <w:r>
        <w:rPr>
          <w:b/>
          <w:sz w:val="22"/>
        </w:rPr>
        <w:t>Description: </w:t>
      </w:r>
      <w:r>
        <w:rPr>
          <w:sz w:val="22"/>
        </w:rPr>
        <w:t>Computes the gamma distribution.</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pStyle w:val="BodyText"/>
        <w:spacing w:before="1"/>
        <w:ind w:left="220"/>
      </w:pPr>
      <w:r>
        <w:rPr/>
        <w:t>The equation for the gamma probability density function is:</w:t>
      </w:r>
    </w:p>
    <w:p>
      <w:pPr>
        <w:pStyle w:val="BodyText"/>
        <w:spacing w:before="3"/>
        <w:rPr>
          <w:sz w:val="10"/>
        </w:rPr>
      </w:pPr>
    </w:p>
    <w:p>
      <w:pPr>
        <w:spacing w:after="0"/>
        <w:rPr>
          <w:sz w:val="10"/>
        </w:rPr>
        <w:sectPr>
          <w:pgSz w:w="12240" w:h="15840"/>
          <w:pgMar w:header="763" w:footer="746" w:top="1340" w:bottom="940" w:left="860" w:right="700"/>
        </w:sectPr>
      </w:pPr>
    </w:p>
    <w:p>
      <w:pPr>
        <w:pStyle w:val="BodyText"/>
        <w:rPr>
          <w:sz w:val="20"/>
        </w:rPr>
      </w:pPr>
    </w:p>
    <w:p>
      <w:pPr>
        <w:pStyle w:val="BodyText"/>
        <w:ind w:left="220"/>
        <w:rPr>
          <w:rFonts w:ascii="Cambria Math" w:eastAsia="Cambria Math"/>
        </w:rPr>
      </w:pPr>
      <w:r>
        <w:rPr>
          <w:rFonts w:ascii="Cambria Math" w:eastAsia="Cambria Math"/>
        </w:rPr>
        <w:t>𝑓</w:t>
      </w:r>
      <w:r>
        <w:rPr>
          <w:rFonts w:ascii="Cambria Math" w:eastAsia="Cambria Math"/>
          <w:position w:val="1"/>
        </w:rPr>
        <w:t>(</w:t>
      </w:r>
      <w:r>
        <w:rPr>
          <w:rFonts w:ascii="Cambria Math" w:eastAsia="Cambria Math"/>
        </w:rPr>
        <w:t>𝑥, 𝛼, 𝛽</w:t>
      </w:r>
      <w:r>
        <w:rPr>
          <w:rFonts w:ascii="Cambria Math" w:eastAsia="Cambria Math"/>
          <w:position w:val="1"/>
        </w:rPr>
        <w:t>) </w:t>
      </w:r>
      <w:r>
        <w:rPr>
          <w:rFonts w:ascii="Cambria Math" w:eastAsia="Cambria Math"/>
        </w:rPr>
        <w:t>=</w:t>
      </w:r>
    </w:p>
    <w:p>
      <w:pPr>
        <w:pStyle w:val="BodyText"/>
        <w:spacing w:before="6"/>
        <w:rPr>
          <w:rFonts w:ascii="Cambria Math"/>
          <w:sz w:val="33"/>
        </w:rPr>
      </w:pPr>
      <w:r>
        <w:rPr/>
        <w:br w:type="column"/>
      </w:r>
      <w:r>
        <w:rPr>
          <w:rFonts w:ascii="Cambria Math"/>
          <w:sz w:val="33"/>
        </w:rPr>
      </w:r>
    </w:p>
    <w:p>
      <w:pPr>
        <w:spacing w:before="0"/>
        <w:ind w:left="71" w:right="0" w:firstLine="0"/>
        <w:jc w:val="left"/>
        <w:rPr>
          <w:rFonts w:ascii="Cambria Math" w:eastAsia="Cambria Math"/>
          <w:sz w:val="16"/>
        </w:rPr>
      </w:pPr>
      <w:r>
        <w:rPr>
          <w:rFonts w:ascii="Cambria Math" w:eastAsia="Cambria Math"/>
          <w:w w:val="105"/>
          <w:position w:val="-6"/>
          <w:sz w:val="22"/>
        </w:rPr>
        <w:t>𝛽</w:t>
      </w:r>
      <w:r>
        <w:rPr>
          <w:rFonts w:ascii="Cambria Math" w:eastAsia="Cambria Math"/>
          <w:w w:val="105"/>
          <w:sz w:val="16"/>
        </w:rPr>
        <w:t>𝛼</w:t>
      </w:r>
    </w:p>
    <w:p>
      <w:pPr>
        <w:spacing w:before="86"/>
        <w:ind w:left="-1" w:right="0" w:firstLine="0"/>
        <w:jc w:val="left"/>
        <w:rPr>
          <w:rFonts w:ascii="Cambria Math"/>
          <w:sz w:val="22"/>
        </w:rPr>
      </w:pPr>
      <w:r>
        <w:rPr/>
        <w:br w:type="column"/>
      </w:r>
      <w:r>
        <w:rPr>
          <w:rFonts w:ascii="Cambria Math"/>
          <w:sz w:val="22"/>
        </w:rPr>
        <w:t>1</w:t>
      </w:r>
    </w:p>
    <w:p>
      <w:pPr>
        <w:pStyle w:val="BodyText"/>
        <w:spacing w:before="49"/>
        <w:ind w:left="-28"/>
        <w:rPr>
          <w:rFonts w:ascii="Cambria Math" w:hAnsi="Cambria Math" w:eastAsia="Cambria Math"/>
        </w:rPr>
      </w:pPr>
      <w:r>
        <w:rPr/>
        <w:pict>
          <v:line style="position:absolute;mso-position-horizontal-relative:page;mso-position-vertical-relative:paragraph;z-index:-335872000" from="114.620003pt,2.842139pt" to="149.540003pt,2.842139pt" stroked="true" strokeweight=".72003pt" strokecolor="#000000">
            <v:stroke dashstyle="solid"/>
            <w10:wrap type="none"/>
          </v:line>
        </w:pict>
      </w:r>
      <w:r>
        <w:rPr>
          <w:rFonts w:ascii="Cambria Math" w:hAnsi="Cambria Math" w:eastAsia="Cambria Math"/>
        </w:rPr>
        <w:t>Γ</w:t>
      </w:r>
      <w:r>
        <w:rPr>
          <w:rFonts w:ascii="Cambria Math" w:hAnsi="Cambria Math" w:eastAsia="Cambria Math"/>
          <w:position w:val="1"/>
        </w:rPr>
        <w:t>(</w:t>
      </w:r>
      <w:r>
        <w:rPr>
          <w:rFonts w:ascii="Cambria Math" w:hAnsi="Cambria Math" w:eastAsia="Cambria Math"/>
        </w:rPr>
        <w:t>𝛼</w:t>
      </w:r>
    </w:p>
    <w:p>
      <w:pPr>
        <w:pStyle w:val="BodyText"/>
        <w:spacing w:before="254"/>
        <w:ind w:left="-34"/>
        <w:rPr>
          <w:rFonts w:ascii="Cambria Math" w:eastAsia="Cambria Math"/>
        </w:rPr>
      </w:pPr>
      <w:r>
        <w:rPr/>
        <w:br w:type="column"/>
      </w:r>
      <w:r>
        <w:rPr>
          <w:rFonts w:ascii="Cambria Math" w:eastAsia="Cambria Math"/>
          <w:position w:val="-13"/>
        </w:rPr>
        <w:t>) </w:t>
      </w:r>
      <w:r>
        <w:rPr>
          <w:rFonts w:ascii="Cambria Math" w:eastAsia="Cambria Math"/>
          <w:spacing w:val="-162"/>
        </w:rPr>
        <w:t>𝑥</w:t>
      </w:r>
    </w:p>
    <w:p>
      <w:pPr>
        <w:spacing w:before="230"/>
        <w:ind w:left="-28" w:right="0" w:firstLine="0"/>
        <w:jc w:val="left"/>
        <w:rPr>
          <w:rFonts w:ascii="Cambria Math" w:hAnsi="Cambria Math" w:eastAsia="Cambria Math"/>
          <w:sz w:val="22"/>
        </w:rPr>
      </w:pPr>
      <w:r>
        <w:rPr/>
        <w:br w:type="column"/>
      </w:r>
      <w:r>
        <w:rPr>
          <w:rFonts w:ascii="Cambria Math" w:hAnsi="Cambria Math" w:eastAsia="Cambria Math"/>
          <w:sz w:val="16"/>
        </w:rPr>
        <w:t>𝛼−1</w:t>
      </w:r>
      <w:r>
        <w:rPr>
          <w:rFonts w:ascii="Cambria Math" w:hAnsi="Cambria Math" w:eastAsia="Cambria Math"/>
          <w:position w:val="-7"/>
          <w:sz w:val="22"/>
        </w:rPr>
        <w:t>𝑒</w:t>
      </w:r>
    </w:p>
    <w:p>
      <w:pPr>
        <w:spacing w:line="144" w:lineRule="auto" w:before="99"/>
        <w:ind w:left="-28" w:right="0" w:firstLine="0"/>
        <w:jc w:val="left"/>
        <w:rPr>
          <w:rFonts w:ascii="Cambria Math" w:hAnsi="Cambria Math" w:eastAsia="Cambria Math"/>
          <w:sz w:val="16"/>
        </w:rPr>
      </w:pPr>
      <w:r>
        <w:rPr/>
        <w:br w:type="column"/>
      </w:r>
      <w:r>
        <w:rPr>
          <w:rFonts w:ascii="Cambria Math" w:hAnsi="Cambria Math" w:eastAsia="Cambria Math"/>
          <w:spacing w:val="2"/>
          <w:w w:val="105"/>
          <w:position w:val="-8"/>
          <w:sz w:val="16"/>
        </w:rPr>
        <w:t>−</w:t>
      </w:r>
      <w:r>
        <w:rPr>
          <w:rFonts w:ascii="Cambria Math" w:hAnsi="Cambria Math" w:eastAsia="Cambria Math"/>
          <w:spacing w:val="2"/>
          <w:w w:val="105"/>
          <w:sz w:val="16"/>
        </w:rPr>
        <w:t>𝑥</w:t>
      </w:r>
    </w:p>
    <w:p>
      <w:pPr>
        <w:spacing w:line="138" w:lineRule="exact" w:before="0"/>
        <w:ind w:left="88" w:right="0" w:firstLine="0"/>
        <w:jc w:val="left"/>
        <w:rPr>
          <w:rFonts w:ascii="Cambria Math" w:eastAsia="Cambria Math"/>
          <w:sz w:val="16"/>
        </w:rPr>
      </w:pPr>
      <w:r>
        <w:rPr/>
        <w:pict>
          <v:rect style="position:absolute;margin-left:186.259995pt;margin-top:-1.606449pt;width:5.76pt;height:.48004pt;mso-position-horizontal-relative:page;mso-position-vertical-relative:paragraph;z-index:251769856" filled="true" fillcolor="#000000" stroked="false">
            <v:fill type="solid"/>
            <w10:wrap type="none"/>
          </v:rect>
        </w:pict>
      </w:r>
      <w:r>
        <w:rPr>
          <w:rFonts w:ascii="Cambria Math" w:eastAsia="Cambria Math"/>
          <w:w w:val="115"/>
          <w:sz w:val="16"/>
        </w:rPr>
        <w:t>𝛽</w:t>
      </w:r>
    </w:p>
    <w:p>
      <w:pPr>
        <w:spacing w:after="0" w:line="138" w:lineRule="exact"/>
        <w:jc w:val="left"/>
        <w:rPr>
          <w:rFonts w:ascii="Cambria Math" w:eastAsia="Cambria Math"/>
          <w:sz w:val="16"/>
        </w:rPr>
        <w:sectPr>
          <w:type w:val="continuous"/>
          <w:pgSz w:w="12240" w:h="15840"/>
          <w:pgMar w:top="1340" w:bottom="940" w:left="860" w:right="700"/>
          <w:cols w:num="6" w:equalWidth="0">
            <w:col w:w="1322" w:space="40"/>
            <w:col w:w="320" w:space="39"/>
            <w:col w:w="315" w:space="40"/>
            <w:col w:w="210" w:space="39"/>
            <w:col w:w="413" w:space="39"/>
            <w:col w:w="7903"/>
          </w:cols>
        </w:sectPr>
      </w:pPr>
    </w:p>
    <w:p>
      <w:pPr>
        <w:pStyle w:val="BodyText"/>
        <w:spacing w:before="11"/>
        <w:rPr>
          <w:rFonts w:ascii="Cambria Math"/>
          <w:sz w:val="14"/>
        </w:rPr>
      </w:pPr>
    </w:p>
    <w:p>
      <w:pPr>
        <w:pStyle w:val="BodyText"/>
        <w:spacing w:before="57"/>
        <w:ind w:left="220"/>
      </w:pPr>
      <w:r>
        <w:rPr/>
        <w:t>The standard gamma probability density function is:</w:t>
      </w:r>
    </w:p>
    <w:p>
      <w:pPr>
        <w:pStyle w:val="BodyText"/>
        <w:spacing w:before="10"/>
        <w:rPr>
          <w:sz w:val="17"/>
        </w:rPr>
      </w:pPr>
    </w:p>
    <w:p>
      <w:pPr>
        <w:spacing w:line="222" w:lineRule="exact" w:before="0"/>
        <w:ind w:left="1209" w:right="0" w:firstLine="0"/>
        <w:jc w:val="left"/>
        <w:rPr>
          <w:rFonts w:ascii="Cambria Math" w:hAnsi="Cambria Math" w:eastAsia="Cambria Math"/>
          <w:sz w:val="16"/>
        </w:rPr>
      </w:pPr>
      <w:r>
        <w:rPr>
          <w:rFonts w:ascii="Cambria Math" w:hAnsi="Cambria Math" w:eastAsia="Cambria Math"/>
          <w:w w:val="105"/>
          <w:position w:val="-7"/>
          <w:sz w:val="22"/>
        </w:rPr>
        <w:t>𝑥</w:t>
      </w:r>
      <w:r>
        <w:rPr>
          <w:rFonts w:ascii="Cambria Math" w:hAnsi="Cambria Math" w:eastAsia="Cambria Math"/>
          <w:w w:val="105"/>
          <w:sz w:val="16"/>
        </w:rPr>
        <w:t>𝛼−1</w:t>
      </w:r>
      <w:r>
        <w:rPr>
          <w:rFonts w:ascii="Cambria Math" w:hAnsi="Cambria Math" w:eastAsia="Cambria Math"/>
          <w:w w:val="105"/>
          <w:position w:val="-7"/>
          <w:sz w:val="22"/>
        </w:rPr>
        <w:t>𝑒</w:t>
      </w:r>
      <w:r>
        <w:rPr>
          <w:rFonts w:ascii="Cambria Math" w:hAnsi="Cambria Math" w:eastAsia="Cambria Math"/>
          <w:w w:val="105"/>
          <w:sz w:val="16"/>
        </w:rPr>
        <w:t>−𝑥</w:t>
      </w:r>
    </w:p>
    <w:p>
      <w:pPr>
        <w:spacing w:after="0" w:line="222" w:lineRule="exact"/>
        <w:jc w:val="left"/>
        <w:rPr>
          <w:rFonts w:ascii="Cambria Math" w:hAnsi="Cambria Math" w:eastAsia="Cambria Math"/>
          <w:sz w:val="16"/>
        </w:rPr>
        <w:sectPr>
          <w:type w:val="continuous"/>
          <w:pgSz w:w="12240" w:h="15840"/>
          <w:pgMar w:top="1340" w:bottom="940" w:left="860" w:right="700"/>
        </w:sectPr>
      </w:pPr>
    </w:p>
    <w:p>
      <w:pPr>
        <w:pStyle w:val="BodyText"/>
        <w:spacing w:line="229" w:lineRule="exact"/>
        <w:ind w:left="220"/>
        <w:rPr>
          <w:rFonts w:ascii="Cambria Math" w:eastAsia="Cambria Math"/>
        </w:rPr>
      </w:pPr>
      <w:r>
        <w:rPr>
          <w:rFonts w:ascii="Cambria Math" w:eastAsia="Cambria Math"/>
        </w:rPr>
        <w:t>𝑓</w:t>
      </w:r>
      <w:r>
        <w:rPr>
          <w:rFonts w:ascii="Cambria Math" w:eastAsia="Cambria Math"/>
          <w:position w:val="1"/>
        </w:rPr>
        <w:t>(</w:t>
      </w:r>
      <w:r>
        <w:rPr>
          <w:rFonts w:ascii="Cambria Math" w:eastAsia="Cambria Math"/>
        </w:rPr>
        <w:t>𝑥, 𝛼</w:t>
      </w:r>
      <w:r>
        <w:rPr>
          <w:rFonts w:ascii="Cambria Math" w:eastAsia="Cambria Math"/>
          <w:position w:val="1"/>
        </w:rPr>
        <w:t>) </w:t>
      </w:r>
      <w:r>
        <w:rPr>
          <w:rFonts w:ascii="Cambria Math" w:eastAsia="Cambria Math"/>
        </w:rPr>
        <w:t>=</w:t>
      </w:r>
    </w:p>
    <w:p>
      <w:pPr>
        <w:pStyle w:val="BodyText"/>
        <w:spacing w:before="4"/>
        <w:rPr>
          <w:rFonts w:ascii="Cambria Math"/>
          <w:sz w:val="9"/>
        </w:rPr>
      </w:pPr>
      <w:r>
        <w:rPr/>
        <w:br w:type="column"/>
      </w:r>
      <w:r>
        <w:rPr>
          <w:rFonts w:ascii="Cambria Math"/>
          <w:sz w:val="9"/>
        </w:rPr>
      </w:r>
    </w:p>
    <w:p>
      <w:pPr>
        <w:pStyle w:val="BodyText"/>
        <w:spacing w:line="20" w:lineRule="exact"/>
        <w:ind w:left="29"/>
        <w:rPr>
          <w:rFonts w:ascii="Cambria Math"/>
          <w:sz w:val="2"/>
        </w:rPr>
      </w:pPr>
      <w:r>
        <w:rPr>
          <w:rFonts w:ascii="Cambria Math"/>
          <w:sz w:val="2"/>
        </w:rPr>
        <w:pict>
          <v:group style="width:40.2pt;height:.75pt;mso-position-horizontal-relative:char;mso-position-vertical-relative:line" coordorigin="0,0" coordsize="804,15">
            <v:line style="position:absolute" from="0,7" to="804,7" stroked="true" strokeweight=".71997pt" strokecolor="#000000">
              <v:stroke dashstyle="solid"/>
            </v:line>
          </v:group>
        </w:pict>
      </w:r>
      <w:r>
        <w:rPr>
          <w:rFonts w:ascii="Cambria Math"/>
          <w:sz w:val="2"/>
        </w:rPr>
      </w:r>
    </w:p>
    <w:p>
      <w:pPr>
        <w:pStyle w:val="BodyText"/>
        <w:ind w:left="220"/>
        <w:rPr>
          <w:rFonts w:ascii="Cambria Math" w:hAnsi="Cambria Math" w:eastAsia="Cambria Math"/>
        </w:rPr>
      </w:pPr>
      <w:r>
        <w:rPr>
          <w:rFonts w:ascii="Cambria Math" w:hAnsi="Cambria Math" w:eastAsia="Cambria Math"/>
        </w:rPr>
        <w:t>Γ</w:t>
      </w:r>
      <w:r>
        <w:rPr>
          <w:rFonts w:ascii="Cambria Math" w:hAnsi="Cambria Math" w:eastAsia="Cambria Math"/>
          <w:position w:val="1"/>
        </w:rPr>
        <w:t>(</w:t>
      </w:r>
      <w:r>
        <w:rPr>
          <w:rFonts w:ascii="Cambria Math" w:hAnsi="Cambria Math" w:eastAsia="Cambria Math"/>
        </w:rPr>
        <w:t>𝛼</w:t>
      </w:r>
      <w:r>
        <w:rPr>
          <w:rFonts w:ascii="Cambria Math" w:hAnsi="Cambria Math" w:eastAsia="Cambria Math"/>
          <w:position w:val="1"/>
        </w:rPr>
        <w:t>)</w:t>
      </w:r>
    </w:p>
    <w:p>
      <w:pPr>
        <w:spacing w:after="0"/>
        <w:rPr>
          <w:rFonts w:ascii="Cambria Math" w:hAnsi="Cambria Math" w:eastAsia="Cambria Math"/>
        </w:rPr>
        <w:sectPr>
          <w:type w:val="continuous"/>
          <w:pgSz w:w="12240" w:h="15840"/>
          <w:pgMar w:top="1340" w:bottom="940" w:left="860" w:right="700"/>
          <w:cols w:num="2" w:equalWidth="0">
            <w:col w:w="1101" w:space="70"/>
            <w:col w:w="9509"/>
          </w:cols>
        </w:sectPr>
      </w:pPr>
    </w:p>
    <w:p>
      <w:pPr>
        <w:pStyle w:val="BodyText"/>
        <w:rPr>
          <w:rFonts w:ascii="Cambria Math"/>
          <w:sz w:val="12"/>
        </w:rPr>
      </w:pPr>
    </w:p>
    <w:p>
      <w:pPr>
        <w:pStyle w:val="BodyText"/>
        <w:spacing w:before="88"/>
        <w:ind w:left="220"/>
      </w:pPr>
      <w:r>
        <w:rPr/>
        <w:t>When </w:t>
      </w:r>
      <w:r>
        <w:rPr>
          <w:rFonts w:ascii="Times New Roman"/>
          <w:i/>
        </w:rPr>
        <w:t>alpha </w:t>
      </w:r>
      <w:r>
        <w:rPr/>
        <w:t>= 1, </w:t>
      </w:r>
      <w:r>
        <w:rPr>
          <w:rFonts w:ascii="Consolas"/>
        </w:rPr>
        <w:t>GAMMADIST</w:t>
      </w:r>
      <w:r>
        <w:rPr>
          <w:rFonts w:ascii="Consolas"/>
          <w:spacing w:val="-85"/>
        </w:rPr>
        <w:t> </w:t>
      </w:r>
      <w:r>
        <w:rPr/>
        <w:t>returns the exponential distribution with:</w:t>
      </w:r>
    </w:p>
    <w:p>
      <w:pPr>
        <w:spacing w:after="0"/>
        <w:sectPr>
          <w:type w:val="continuous"/>
          <w:pgSz w:w="12240" w:h="15840"/>
          <w:pgMar w:top="1340" w:bottom="940" w:left="860" w:right="700"/>
        </w:sectPr>
      </w:pPr>
    </w:p>
    <w:p>
      <w:pPr>
        <w:pStyle w:val="BodyText"/>
        <w:spacing w:line="213" w:lineRule="exact" w:before="62"/>
        <w:ind w:left="681"/>
        <w:rPr>
          <w:rFonts w:ascii="Cambria Math"/>
        </w:rPr>
      </w:pPr>
      <w:r>
        <w:rPr>
          <w:rFonts w:ascii="Cambria Math"/>
          <w:w w:val="100"/>
        </w:rPr>
        <w:t>1</w:t>
      </w:r>
    </w:p>
    <w:p>
      <w:pPr>
        <w:pStyle w:val="BodyText"/>
        <w:spacing w:line="159" w:lineRule="exact"/>
        <w:ind w:left="220"/>
        <w:rPr>
          <w:rFonts w:ascii="Cambria Math" w:eastAsia="Cambria Math"/>
        </w:rPr>
      </w:pPr>
      <w:r>
        <w:rPr/>
        <w:pict>
          <v:line style="position:absolute;mso-position-horizontal-relative:page;mso-position-vertical-relative:paragraph;z-index:251770880" from="76.704002pt,5.074154pt" to="83.664002pt,5.074154pt" stroked="true" strokeweight=".72pt" strokecolor="#000000">
            <v:stroke dashstyle="solid"/>
            <w10:wrap type="none"/>
          </v:line>
        </w:pict>
      </w:r>
      <w:r>
        <w:rPr>
          <w:rFonts w:ascii="Cambria Math" w:eastAsia="Cambria Math"/>
        </w:rPr>
        <w:t>𝜆 =</w:t>
      </w:r>
    </w:p>
    <w:p>
      <w:pPr>
        <w:pStyle w:val="BodyText"/>
        <w:spacing w:line="203" w:lineRule="exact"/>
        <w:ind w:left="674"/>
        <w:rPr>
          <w:rFonts w:ascii="Cambria Math" w:eastAsia="Cambria Math"/>
        </w:rPr>
      </w:pPr>
      <w:r>
        <w:rPr>
          <w:rFonts w:ascii="Cambria Math" w:eastAsia="Cambria Math"/>
        </w:rPr>
        <w:t>𝛽</w:t>
      </w:r>
    </w:p>
    <w:p>
      <w:pPr>
        <w:pStyle w:val="BodyText"/>
        <w:spacing w:before="4"/>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sz w:val="22"/>
        </w:rPr>
        <w:t>α = argument </w:t>
      </w:r>
      <w:r>
        <w:rPr>
          <w:rFonts w:ascii="Times New Roman" w:hAnsi="Times New Roman"/>
          <w:i/>
          <w:sz w:val="22"/>
        </w:rPr>
        <w:t>alpha</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β = argument</w:t>
      </w:r>
      <w:r>
        <w:rPr>
          <w:spacing w:val="-3"/>
          <w:sz w:val="22"/>
        </w:rPr>
        <w:t> </w:t>
      </w:r>
      <w:r>
        <w:rPr>
          <w:rFonts w:ascii="Times New Roman" w:hAnsi="Times New Roman"/>
          <w:i/>
          <w:sz w:val="22"/>
        </w:rPr>
        <w:t>beta</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8"/>
          <w:sz w:val="22"/>
        </w:rPr>
        <w:t> </w:t>
      </w:r>
      <w:r>
        <w:rPr>
          <w:rFonts w:ascii="Times New Roman" w:hAnsi="Times New Roman"/>
          <w:i/>
          <w:sz w:val="22"/>
        </w:rPr>
        <w:t>x</w:t>
      </w:r>
    </w:p>
    <w:p>
      <w:pPr>
        <w:pStyle w:val="BodyText"/>
        <w:spacing w:line="276" w:lineRule="auto" w:before="240"/>
        <w:ind w:left="220" w:right="503"/>
      </w:pPr>
      <w:r>
        <w:rPr/>
        <w:t>For a positive integer n, when </w:t>
      </w:r>
      <w:r>
        <w:rPr>
          <w:rFonts w:ascii="Times New Roman"/>
          <w:i/>
        </w:rPr>
        <w:t>alpha </w:t>
      </w:r>
      <w:r>
        <w:rPr/>
        <w:t>= n/2, </w:t>
      </w:r>
      <w:r>
        <w:rPr>
          <w:rFonts w:ascii="Times New Roman"/>
          <w:i/>
        </w:rPr>
        <w:t>beta </w:t>
      </w:r>
      <w:r>
        <w:rPr/>
        <w:t>= 2, and cumulative = </w:t>
      </w:r>
      <w:r>
        <w:rPr>
          <w:rFonts w:ascii="Consolas"/>
        </w:rPr>
        <w:t>TRUE</w:t>
      </w:r>
      <w:r>
        <w:rPr/>
        <w:t>, </w:t>
      </w:r>
      <w:r>
        <w:rPr>
          <w:rFonts w:ascii="Consolas"/>
        </w:rPr>
        <w:t>GAMMADIST</w:t>
      </w:r>
      <w:r>
        <w:rPr>
          <w:rFonts w:ascii="Consolas"/>
          <w:spacing w:val="-70"/>
        </w:rPr>
        <w:t> </w:t>
      </w:r>
      <w:r>
        <w:rPr/>
        <w:t>returns </w:t>
      </w:r>
      <w:r>
        <w:rPr>
          <w:rFonts w:ascii="Consolas"/>
        </w:rPr>
        <w:t>(1- CHIDIST(x))</w:t>
      </w:r>
      <w:r>
        <w:rPr>
          <w:rFonts w:ascii="Consolas"/>
          <w:spacing w:val="-72"/>
        </w:rPr>
        <w:t> </w:t>
      </w:r>
      <w:r>
        <w:rPr/>
        <w:t>with n degrees of freedom.</w:t>
      </w:r>
    </w:p>
    <w:p>
      <w:pPr>
        <w:pStyle w:val="BodyText"/>
        <w:spacing w:before="5"/>
        <w:rPr>
          <w:sz w:val="16"/>
        </w:rPr>
      </w:pPr>
    </w:p>
    <w:p>
      <w:pPr>
        <w:pStyle w:val="BodyText"/>
        <w:ind w:left="220"/>
      </w:pPr>
      <w:r>
        <w:rPr/>
        <w:t>When </w:t>
      </w:r>
      <w:r>
        <w:rPr>
          <w:rFonts w:ascii="Times New Roman"/>
          <w:i/>
        </w:rPr>
        <w:t>alpha </w:t>
      </w:r>
      <w:r>
        <w:rPr/>
        <w:t>is a positive integer, </w:t>
      </w:r>
      <w:r>
        <w:rPr>
          <w:rFonts w:ascii="Consolas"/>
        </w:rPr>
        <w:t>GAMMADIST</w:t>
      </w:r>
      <w:r>
        <w:rPr>
          <w:rFonts w:ascii="Consolas"/>
          <w:spacing w:val="-89"/>
        </w:rPr>
        <w:t> </w:t>
      </w:r>
      <w:r>
        <w:rPr/>
        <w:t>is also known as the Erlang distribution.</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the distribution is to be evaluated.</w:t>
            </w:r>
          </w:p>
        </w:tc>
      </w:tr>
      <w:tr>
        <w:trPr>
          <w:trHeight w:val="354" w:hRule="atLeast"/>
        </w:trPr>
        <w:tc>
          <w:tcPr>
            <w:tcW w:w="1466" w:type="dxa"/>
          </w:tcPr>
          <w:p>
            <w:pPr>
              <w:pStyle w:val="TableParagraph"/>
              <w:spacing w:before="37"/>
              <w:rPr>
                <w:rFonts w:ascii="Times New Roman"/>
                <w:i/>
                <w:sz w:val="22"/>
              </w:rPr>
            </w:pPr>
            <w:r>
              <w:rPr>
                <w:rFonts w:ascii="Times New Roman"/>
                <w:i/>
                <w:sz w:val="22"/>
              </w:rPr>
              <w:t>alpha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parameter of the distribution.</w:t>
            </w:r>
          </w:p>
        </w:tc>
      </w:tr>
      <w:tr>
        <w:trPr>
          <w:trHeight w:val="623" w:hRule="atLeast"/>
        </w:trPr>
        <w:tc>
          <w:tcPr>
            <w:tcW w:w="1466" w:type="dxa"/>
          </w:tcPr>
          <w:p>
            <w:pPr>
              <w:pStyle w:val="TableParagraph"/>
              <w:spacing w:before="37"/>
              <w:rPr>
                <w:rFonts w:ascii="Times New Roman"/>
                <w:i/>
                <w:sz w:val="22"/>
              </w:rPr>
            </w:pPr>
            <w:r>
              <w:rPr>
                <w:rFonts w:ascii="Times New Roman"/>
                <w:i/>
                <w:sz w:val="22"/>
              </w:rPr>
              <w:t>beta</w:t>
            </w:r>
          </w:p>
        </w:tc>
        <w:tc>
          <w:tcPr>
            <w:tcW w:w="1800" w:type="dxa"/>
          </w:tcPr>
          <w:p>
            <w:pPr>
              <w:pStyle w:val="TableParagraph"/>
              <w:ind w:left="112"/>
              <w:rPr>
                <w:sz w:val="22"/>
              </w:rPr>
            </w:pPr>
            <w:r>
              <w:rPr>
                <w:sz w:val="22"/>
              </w:rPr>
              <w:t>number</w:t>
            </w:r>
          </w:p>
        </w:tc>
        <w:tc>
          <w:tcPr>
            <w:tcW w:w="5400" w:type="dxa"/>
          </w:tcPr>
          <w:p>
            <w:pPr>
              <w:pStyle w:val="TableParagraph"/>
              <w:ind w:left="113"/>
              <w:rPr>
                <w:rFonts w:ascii="Consolas"/>
                <w:sz w:val="22"/>
              </w:rPr>
            </w:pPr>
            <w:r>
              <w:rPr>
                <w:sz w:val="22"/>
              </w:rPr>
              <w:t>A parameter of the distribution. If </w:t>
            </w:r>
            <w:r>
              <w:rPr>
                <w:rFonts w:ascii="Times New Roman"/>
                <w:i/>
                <w:sz w:val="22"/>
              </w:rPr>
              <w:t>beta </w:t>
            </w:r>
            <w:r>
              <w:rPr>
                <w:sz w:val="22"/>
              </w:rPr>
              <w:t>= 1, </w:t>
            </w:r>
            <w:r>
              <w:rPr>
                <w:rFonts w:ascii="Consolas"/>
                <w:sz w:val="22"/>
              </w:rPr>
              <w:t>GAMMADIST</w:t>
            </w:r>
          </w:p>
          <w:p>
            <w:pPr>
              <w:pStyle w:val="TableParagraph"/>
              <w:spacing w:before="0"/>
              <w:ind w:left="113"/>
              <w:rPr>
                <w:sz w:val="22"/>
              </w:rPr>
            </w:pPr>
            <w:r>
              <w:rPr>
                <w:sz w:val="22"/>
              </w:rPr>
              <w:t>returns the standard gamma distribution.</w:t>
            </w:r>
          </w:p>
        </w:tc>
      </w:tr>
      <w:tr>
        <w:trPr>
          <w:trHeight w:val="892" w:hRule="atLeast"/>
        </w:trPr>
        <w:tc>
          <w:tcPr>
            <w:tcW w:w="1466" w:type="dxa"/>
          </w:tcPr>
          <w:p>
            <w:pPr>
              <w:pStyle w:val="TableParagraph"/>
              <w:spacing w:before="37"/>
              <w:ind w:right="282"/>
              <w:rPr>
                <w:rFonts w:ascii="Times New Roman"/>
                <w:i/>
                <w:sz w:val="22"/>
              </w:rPr>
            </w:pPr>
            <w:r>
              <w:rPr>
                <w:rFonts w:ascii="Times New Roman"/>
                <w:i/>
                <w:sz w:val="22"/>
              </w:rPr>
              <w:t>cumulative- </w:t>
            </w:r>
            <w:r>
              <w:rPr>
                <w:rFonts w:ascii="Times New Roman"/>
                <w:i/>
                <w:sz w:val="22"/>
              </w:rPr>
              <w:t>flag</w:t>
            </w:r>
          </w:p>
        </w:tc>
        <w:tc>
          <w:tcPr>
            <w:tcW w:w="1800" w:type="dxa"/>
          </w:tcPr>
          <w:p>
            <w:pPr>
              <w:pStyle w:val="TableParagraph"/>
              <w:ind w:left="112"/>
              <w:rPr>
                <w:sz w:val="22"/>
              </w:rPr>
            </w:pPr>
            <w:r>
              <w:rPr>
                <w:sz w:val="22"/>
              </w:rPr>
              <w:t>logical</w:t>
            </w:r>
          </w:p>
        </w:tc>
        <w:tc>
          <w:tcPr>
            <w:tcW w:w="5400" w:type="dxa"/>
          </w:tcPr>
          <w:p>
            <w:pPr>
              <w:pStyle w:val="TableParagraph"/>
              <w:ind w:left="113" w:right="141"/>
              <w:rPr>
                <w:sz w:val="22"/>
              </w:rPr>
            </w:pPr>
            <w:r>
              <w:rPr>
                <w:sz w:val="22"/>
              </w:rPr>
              <w:t>Determines the form of the function. If </w:t>
            </w:r>
            <w:r>
              <w:rPr>
                <w:rFonts w:ascii="Consolas"/>
                <w:sz w:val="22"/>
              </w:rPr>
              <w:t>TRUE</w:t>
            </w:r>
            <w:r>
              <w:rPr>
                <w:sz w:val="22"/>
              </w:rPr>
              <w:t>, </w:t>
            </w:r>
            <w:r>
              <w:rPr>
                <w:rFonts w:ascii="Consolas"/>
                <w:sz w:val="22"/>
              </w:rPr>
              <w:t>GAMMADIST</w:t>
            </w:r>
            <w:r>
              <w:rPr>
                <w:rFonts w:ascii="Consolas"/>
                <w:spacing w:val="-86"/>
                <w:sz w:val="22"/>
              </w:rPr>
              <w:t> </w:t>
            </w:r>
            <w:r>
              <w:rPr>
                <w:sz w:val="22"/>
              </w:rPr>
              <w:t>returns the cumulative distribution function; if </w:t>
            </w:r>
            <w:r>
              <w:rPr>
                <w:rFonts w:ascii="Consolas"/>
                <w:sz w:val="22"/>
              </w:rPr>
              <w:t>FALSE</w:t>
            </w:r>
            <w:r>
              <w:rPr>
                <w:sz w:val="22"/>
              </w:rPr>
              <w:t>, it returns the probability density function.</w:t>
            </w:r>
          </w:p>
        </w:tc>
      </w:tr>
    </w:tbl>
    <w:p>
      <w:pPr>
        <w:pStyle w:val="BodyText"/>
        <w:rPr>
          <w:b/>
        </w:rPr>
      </w:pPr>
    </w:p>
    <w:p>
      <w:pPr>
        <w:pStyle w:val="BodyText"/>
        <w:spacing w:before="8"/>
        <w:rPr>
          <w:b/>
          <w:sz w:val="19"/>
        </w:rPr>
      </w:pPr>
    </w:p>
    <w:p>
      <w:pPr>
        <w:spacing w:line="453" w:lineRule="auto" w:before="0"/>
        <w:ind w:left="220" w:right="5136" w:firstLine="0"/>
        <w:jc w:val="left"/>
        <w:rPr>
          <w:sz w:val="22"/>
        </w:rPr>
      </w:pPr>
      <w:r>
        <w:rPr>
          <w:b/>
          <w:sz w:val="22"/>
        </w:rPr>
        <w:t>Return Type and Value: </w:t>
      </w:r>
      <w:r>
        <w:rPr>
          <w:sz w:val="22"/>
        </w:rPr>
        <w:t>number – The gamma distribution.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&lt;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125" w:firstLine="360"/>
        <w:jc w:val="left"/>
        <w:rPr>
          <w:sz w:val="22"/>
        </w:rPr>
      </w:pPr>
      <w:r>
        <w:rPr>
          <w:rFonts w:ascii="Times New Roman" w:hAnsi="Times New Roman"/>
          <w:i/>
          <w:sz w:val="22"/>
        </w:rPr>
        <w:t>alpha </w:t>
      </w:r>
      <w:r>
        <w:rPr>
          <w:sz w:val="22"/>
        </w:rPr>
        <w:t>≤ 0 or </w:t>
      </w:r>
      <w:r>
        <w:rPr>
          <w:rFonts w:ascii="Times New Roman" w:hAnsi="Times New Roman"/>
          <w:i/>
          <w:sz w:val="22"/>
        </w:rPr>
        <w:t>beta </w:t>
      </w:r>
      <w:r>
        <w:rPr>
          <w:sz w:val="22"/>
        </w:rPr>
        <w:t>≤ 0, </w:t>
      </w:r>
      <w:r>
        <w:rPr>
          <w:rFonts w:ascii="Consolas" w:hAnsi="Consolas"/>
          <w:sz w:val="22"/>
        </w:rPr>
        <w:t>#NUM!</w:t>
      </w:r>
      <w:r>
        <w:rPr>
          <w:rFonts w:ascii="Consolas" w:hAnsi="Consolas"/>
          <w:spacing w:val="-88"/>
          <w:sz w:val="22"/>
        </w:rPr>
        <w:t> </w:t>
      </w:r>
      <w:r>
        <w:rPr>
          <w:sz w:val="22"/>
        </w:rPr>
        <w:t>is returned. [</w:t>
      </w:r>
      <w:r>
        <w:rPr>
          <w:i/>
          <w:sz w:val="22"/>
        </w:rPr>
        <w:t>Example</w:t>
      </w:r>
      <w:r>
        <w:rPr>
          <w:sz w:val="22"/>
        </w:rPr>
        <w:t>:</w:t>
      </w:r>
    </w:p>
    <w:p>
      <w:pPr>
        <w:pStyle w:val="BodyText"/>
        <w:spacing w:line="273" w:lineRule="auto" w:before="128"/>
        <w:ind w:left="220" w:right="5295"/>
        <w:rPr>
          <w:rFonts w:ascii="Consolas"/>
        </w:rPr>
      </w:pPr>
      <w:r>
        <w:rPr>
          <w:rFonts w:ascii="Consolas"/>
        </w:rPr>
        <w:t>GAMMADIST(10,9,2,FALSE)</w:t>
      </w:r>
      <w:r>
        <w:rPr>
          <w:rFonts w:ascii="Consolas"/>
          <w:spacing w:val="-70"/>
        </w:rPr>
        <w:t> </w:t>
      </w:r>
      <w:r>
        <w:rPr/>
        <w:t>results in </w:t>
      </w:r>
      <w:r>
        <w:rPr>
          <w:rFonts w:ascii="Consolas"/>
        </w:rPr>
        <w:t>0.03263902 GAMMADIST(10,9,2,TRUE)</w:t>
      </w:r>
      <w:r>
        <w:rPr>
          <w:rFonts w:ascii="Consolas"/>
          <w:spacing w:val="-68"/>
        </w:rPr>
        <w:t> </w:t>
      </w:r>
      <w:r>
        <w:rPr/>
        <w:t>results in </w:t>
      </w:r>
      <w:r>
        <w:rPr>
          <w:rFonts w:ascii="Consolas"/>
        </w:rPr>
        <w:t>0.068093631</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2 GAMMAINV" w:id="1788"/>
      <w:bookmarkEnd w:id="1788"/>
      <w:r>
        <w:rPr/>
      </w:r>
      <w:bookmarkStart w:name="_bookmark595" w:id="1789"/>
      <w:bookmarkEnd w:id="1789"/>
      <w:r>
        <w:rPr/>
      </w:r>
      <w:bookmarkStart w:name="_bookmark595" w:id="1790"/>
      <w:bookmarkEnd w:id="1790"/>
      <w:r>
        <w:rPr>
          <w:color w:val="4F81BC"/>
        </w:rPr>
        <w:t>G</w:t>
      </w:r>
      <w:r>
        <w:rPr>
          <w:color w:val="4F81BC"/>
        </w:rPr>
        <w:t>AMMAINV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GAMMAINV ( </w:t>
      </w:r>
      <w:r>
        <w:rPr>
          <w:i/>
          <w:sz w:val="22"/>
        </w:rPr>
        <w:t>probability </w:t>
      </w:r>
      <w:r>
        <w:rPr>
          <w:rFonts w:ascii="Lucida Console"/>
          <w:sz w:val="20"/>
        </w:rPr>
        <w:t>, </w:t>
      </w:r>
      <w:r>
        <w:rPr>
          <w:i/>
          <w:sz w:val="22"/>
        </w:rPr>
        <w:t>alpha </w:t>
      </w:r>
      <w:r>
        <w:rPr>
          <w:rFonts w:ascii="Lucida Console"/>
          <w:sz w:val="20"/>
        </w:rPr>
        <w:t>,</w:t>
      </w:r>
      <w:r>
        <w:rPr>
          <w:rFonts w:ascii="Lucida Console"/>
          <w:spacing w:val="-83"/>
          <w:sz w:val="20"/>
        </w:rPr>
        <w:t> </w:t>
      </w:r>
      <w:r>
        <w:rPr>
          <w:i/>
          <w:sz w:val="22"/>
        </w:rPr>
        <w:t>beta </w:t>
      </w:r>
      <w:r>
        <w:rPr>
          <w:rFonts w:ascii="Lucida Console"/>
          <w:sz w:val="20"/>
        </w:rPr>
        <w:t>)</w:t>
      </w:r>
    </w:p>
    <w:p>
      <w:pPr>
        <w:spacing w:after="0"/>
        <w:jc w:val="left"/>
        <w:rPr>
          <w:rFonts w:ascii="Lucida Console"/>
          <w:sz w:val="20"/>
        </w:rPr>
        <w:sectPr>
          <w:pgSz w:w="12240" w:h="15840"/>
          <w:pgMar w:header="761" w:footer="746" w:top="1340" w:bottom="940" w:left="860" w:right="700"/>
        </w:sectPr>
      </w:pPr>
    </w:p>
    <w:p>
      <w:pPr>
        <w:pStyle w:val="BodyText"/>
        <w:spacing w:line="276" w:lineRule="auto" w:before="148"/>
        <w:ind w:left="220" w:right="503"/>
      </w:pPr>
      <w:r>
        <w:rPr>
          <w:b/>
        </w:rPr>
        <w:t>Description: </w:t>
      </w:r>
      <w:r>
        <w:rPr/>
        <w:t>Computes the inverse of the gamma distribution. Given a value for </w:t>
      </w:r>
      <w:r>
        <w:rPr>
          <w:rFonts w:ascii="Times New Roman"/>
          <w:i/>
        </w:rPr>
        <w:t>probability</w:t>
      </w:r>
      <w:r>
        <w:rPr/>
        <w:t>, </w:t>
      </w:r>
      <w:r>
        <w:rPr>
          <w:rFonts w:ascii="Consolas"/>
        </w:rPr>
        <w:t>GAMMAINV</w:t>
      </w:r>
      <w:r>
        <w:rPr>
          <w:rFonts w:ascii="Consolas"/>
          <w:spacing w:val="-105"/>
        </w:rPr>
        <w:t> </w:t>
      </w:r>
      <w:r>
        <w:rPr/>
        <w:t>seeks that value </w:t>
      </w:r>
      <w:r>
        <w:rPr>
          <w:rFonts w:ascii="Times New Roman"/>
          <w:i/>
        </w:rPr>
        <w:t>x </w:t>
      </w:r>
      <w:r>
        <w:rPr/>
        <w:t>such that </w:t>
      </w:r>
      <w:r>
        <w:rPr>
          <w:rFonts w:ascii="Consolas"/>
        </w:rPr>
        <w:t>GAMMADIST(</w:t>
      </w:r>
      <w:r>
        <w:rPr>
          <w:rFonts w:ascii="Times New Roman"/>
          <w:i/>
        </w:rPr>
        <w:t>x</w:t>
      </w:r>
      <w:r>
        <w:rPr>
          <w:rFonts w:ascii="Consolas"/>
        </w:rPr>
        <w:t>,</w:t>
      </w:r>
      <w:r>
        <w:rPr>
          <w:rFonts w:ascii="Consolas"/>
          <w:spacing w:val="-73"/>
        </w:rPr>
        <w:t> </w:t>
      </w:r>
      <w:r>
        <w:rPr>
          <w:rFonts w:ascii="Times New Roman"/>
          <w:i/>
        </w:rPr>
        <w:t>alpha</w:t>
      </w:r>
      <w:r>
        <w:rPr>
          <w:rFonts w:ascii="Consolas"/>
        </w:rPr>
        <w:t>,</w:t>
      </w:r>
      <w:r>
        <w:rPr>
          <w:rFonts w:ascii="Consolas"/>
          <w:spacing w:val="-73"/>
        </w:rPr>
        <w:t> </w:t>
      </w:r>
      <w:r>
        <w:rPr>
          <w:rFonts w:ascii="Times New Roman"/>
          <w:i/>
        </w:rPr>
        <w:t>beta</w:t>
      </w:r>
      <w:r>
        <w:rPr>
          <w:rFonts w:ascii="Consolas"/>
        </w:rPr>
        <w:t>,</w:t>
      </w:r>
      <w:r>
        <w:rPr>
          <w:rFonts w:ascii="Consolas"/>
          <w:spacing w:val="-73"/>
        </w:rPr>
        <w:t> </w:t>
      </w:r>
      <w:r>
        <w:rPr>
          <w:rFonts w:ascii="Consolas"/>
        </w:rPr>
        <w:t>TRUE)</w:t>
      </w:r>
      <w:r>
        <w:rPr>
          <w:rFonts w:ascii="Consolas"/>
          <w:spacing w:val="-72"/>
        </w:rPr>
        <w:t> </w:t>
      </w:r>
      <w:r>
        <w:rPr/>
        <w:t>= </w:t>
      </w:r>
      <w:r>
        <w:rPr>
          <w:rFonts w:ascii="Times New Roman"/>
          <w:i/>
        </w:rPr>
        <w:t>probability</w:t>
      </w:r>
      <w:r>
        <w:rPr/>
        <w:t>. Thus, the precision of </w:t>
      </w:r>
      <w:r>
        <w:rPr>
          <w:rFonts w:ascii="Consolas"/>
        </w:rPr>
        <w:t>GAMMAINV </w:t>
      </w:r>
      <w:r>
        <w:rPr/>
        <w:t>depends on the precision of </w:t>
      </w:r>
      <w:r>
        <w:rPr>
          <w:rFonts w:ascii="Consolas"/>
        </w:rPr>
        <w:t>GAMMADIST</w:t>
      </w:r>
      <w:r>
        <w:rPr/>
        <w:t>.</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probability associated with the gamma distribution.</w:t>
            </w:r>
          </w:p>
        </w:tc>
      </w:tr>
      <w:tr>
        <w:trPr>
          <w:trHeight w:val="354" w:hRule="atLeast"/>
        </w:trPr>
        <w:tc>
          <w:tcPr>
            <w:tcW w:w="1466" w:type="dxa"/>
          </w:tcPr>
          <w:p>
            <w:pPr>
              <w:pStyle w:val="TableParagraph"/>
              <w:spacing w:before="37"/>
              <w:rPr>
                <w:rFonts w:ascii="Times New Roman"/>
                <w:i/>
                <w:sz w:val="22"/>
              </w:rPr>
            </w:pPr>
            <w:r>
              <w:rPr>
                <w:rFonts w:ascii="Times New Roman"/>
                <w:i/>
                <w:sz w:val="22"/>
              </w:rPr>
              <w:t>alpha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parameter of the distribution.</w:t>
            </w:r>
          </w:p>
        </w:tc>
      </w:tr>
      <w:tr>
        <w:trPr>
          <w:trHeight w:val="623" w:hRule="atLeast"/>
        </w:trPr>
        <w:tc>
          <w:tcPr>
            <w:tcW w:w="1466" w:type="dxa"/>
          </w:tcPr>
          <w:p>
            <w:pPr>
              <w:pStyle w:val="TableParagraph"/>
              <w:spacing w:before="37"/>
              <w:rPr>
                <w:rFonts w:ascii="Times New Roman"/>
                <w:i/>
                <w:sz w:val="22"/>
              </w:rPr>
            </w:pPr>
            <w:r>
              <w:rPr>
                <w:rFonts w:ascii="Times New Roman"/>
                <w:i/>
                <w:sz w:val="22"/>
              </w:rPr>
              <w:t>beta</w:t>
            </w:r>
          </w:p>
        </w:tc>
        <w:tc>
          <w:tcPr>
            <w:tcW w:w="1800" w:type="dxa"/>
          </w:tcPr>
          <w:p>
            <w:pPr>
              <w:pStyle w:val="TableParagraph"/>
              <w:ind w:left="112"/>
              <w:rPr>
                <w:sz w:val="22"/>
              </w:rPr>
            </w:pPr>
            <w:r>
              <w:rPr>
                <w:sz w:val="22"/>
              </w:rPr>
              <w:t>number</w:t>
            </w:r>
          </w:p>
        </w:tc>
        <w:tc>
          <w:tcPr>
            <w:tcW w:w="5400" w:type="dxa"/>
          </w:tcPr>
          <w:p>
            <w:pPr>
              <w:pStyle w:val="TableParagraph"/>
              <w:ind w:left="113"/>
              <w:rPr>
                <w:rFonts w:ascii="Consolas"/>
                <w:sz w:val="22"/>
              </w:rPr>
            </w:pPr>
            <w:r>
              <w:rPr>
                <w:sz w:val="22"/>
              </w:rPr>
              <w:t>A parameter of the distribution. If </w:t>
            </w:r>
            <w:r>
              <w:rPr>
                <w:rFonts w:ascii="Times New Roman"/>
                <w:i/>
                <w:sz w:val="22"/>
              </w:rPr>
              <w:t>beta </w:t>
            </w:r>
            <w:r>
              <w:rPr>
                <w:sz w:val="22"/>
              </w:rPr>
              <w:t>= 1, </w:t>
            </w:r>
            <w:r>
              <w:rPr>
                <w:rFonts w:ascii="Consolas"/>
                <w:sz w:val="22"/>
              </w:rPr>
              <w:t>GAMMAINV</w:t>
            </w:r>
          </w:p>
          <w:p>
            <w:pPr>
              <w:pStyle w:val="TableParagraph"/>
              <w:spacing w:before="0"/>
              <w:ind w:left="113"/>
              <w:rPr>
                <w:sz w:val="22"/>
              </w:rPr>
            </w:pPr>
            <w:r>
              <w:rPr>
                <w:sz w:val="22"/>
              </w:rPr>
              <w:t>returns the standard gamma distribution.</w:t>
            </w:r>
          </w:p>
        </w:tc>
      </w:tr>
    </w:tbl>
    <w:p>
      <w:pPr>
        <w:pStyle w:val="BodyText"/>
        <w:rPr>
          <w:b/>
        </w:rPr>
      </w:pPr>
    </w:p>
    <w:p>
      <w:pPr>
        <w:pStyle w:val="BodyText"/>
        <w:spacing w:before="8"/>
        <w:rPr>
          <w:b/>
          <w:sz w:val="19"/>
        </w:rPr>
      </w:pPr>
    </w:p>
    <w:p>
      <w:pPr>
        <w:spacing w:line="453" w:lineRule="auto" w:before="0"/>
        <w:ind w:left="220" w:right="3858" w:firstLine="0"/>
        <w:jc w:val="left"/>
        <w:rPr>
          <w:sz w:val="22"/>
        </w:rPr>
      </w:pPr>
      <w:r>
        <w:rPr>
          <w:b/>
          <w:sz w:val="22"/>
        </w:rPr>
        <w:t>Return Type and Value: </w:t>
      </w:r>
      <w:r>
        <w:rPr>
          <w:sz w:val="22"/>
        </w:rPr>
        <w:t>number – The inverse of the gamma distribution.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probability </w:t>
      </w:r>
      <w:r>
        <w:rPr>
          <w:sz w:val="22"/>
        </w:rPr>
        <w:t>&lt; 0 or </w:t>
      </w:r>
      <w:r>
        <w:rPr>
          <w:rFonts w:ascii="Times New Roman" w:hAnsi="Times New Roman"/>
          <w:i/>
          <w:sz w:val="22"/>
        </w:rPr>
        <w:t>probability </w:t>
      </w:r>
      <w:r>
        <w:rPr>
          <w:sz w:val="22"/>
        </w:rPr>
        <w:t>&gt; 1,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alpha </w:t>
      </w:r>
      <w:r>
        <w:rPr>
          <w:sz w:val="22"/>
        </w:rPr>
        <w:t>≤ 0 or </w:t>
      </w:r>
      <w:r>
        <w:rPr>
          <w:rFonts w:ascii="Times New Roman" w:hAnsi="Times New Roman"/>
          <w:i/>
          <w:sz w:val="22"/>
        </w:rPr>
        <w:t>beta </w:t>
      </w:r>
      <w:r>
        <w:rPr>
          <w:sz w:val="22"/>
        </w:rPr>
        <w:t>≤ 0,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1573" w:firstLine="360"/>
        <w:jc w:val="left"/>
        <w:rPr>
          <w:sz w:val="22"/>
        </w:rPr>
      </w:pPr>
      <w:r>
        <w:rPr>
          <w:sz w:val="22"/>
        </w:rPr>
        <w:t>the implementation determines that a return value cannot be computed, </w:t>
      </w:r>
      <w:r>
        <w:rPr>
          <w:rFonts w:ascii="Consolas" w:hAnsi="Consolas"/>
          <w:sz w:val="22"/>
        </w:rPr>
        <w:t>#N/A</w:t>
      </w:r>
      <w:r>
        <w:rPr>
          <w:rFonts w:ascii="Consolas" w:hAnsi="Consolas"/>
          <w:spacing w:val="-90"/>
          <w:sz w:val="22"/>
        </w:rPr>
        <w:t> </w:t>
      </w:r>
      <w:r>
        <w:rPr>
          <w:sz w:val="22"/>
        </w:rPr>
        <w:t>is returned. [</w:t>
      </w:r>
      <w:r>
        <w:rPr>
          <w:i/>
          <w:sz w:val="22"/>
        </w:rPr>
        <w:t>Example</w:t>
      </w:r>
      <w:r>
        <w:rPr>
          <w:sz w:val="22"/>
        </w:rPr>
        <w:t>:</w:t>
      </w:r>
    </w:p>
    <w:p>
      <w:pPr>
        <w:pStyle w:val="BodyText"/>
        <w:spacing w:before="125"/>
        <w:ind w:left="220"/>
        <w:rPr>
          <w:rFonts w:ascii="Consolas"/>
        </w:rPr>
      </w:pPr>
      <w:r>
        <w:rPr>
          <w:rFonts w:ascii="Consolas"/>
        </w:rPr>
        <w:t>GAMMAINV(0.068,9,2)</w:t>
      </w:r>
      <w:r>
        <w:rPr>
          <w:rFonts w:ascii="Consolas"/>
          <w:spacing w:val="-74"/>
        </w:rPr>
        <w:t> </w:t>
      </w:r>
      <w:r>
        <w:rPr/>
        <w:t>results in </w:t>
      </w:r>
      <w:r>
        <w:rPr>
          <w:rFonts w:ascii="Consolas"/>
        </w:rPr>
        <w:t>9.997130086</w:t>
      </w:r>
    </w:p>
    <w:p>
      <w:pPr>
        <w:pStyle w:val="BodyText"/>
        <w:spacing w:before="2"/>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3 GAMMALN" w:id="1791"/>
      <w:bookmarkEnd w:id="1791"/>
      <w:r>
        <w:rPr/>
      </w:r>
      <w:bookmarkStart w:name="_bookmark596" w:id="1792"/>
      <w:bookmarkEnd w:id="1792"/>
      <w:r>
        <w:rPr/>
      </w:r>
      <w:bookmarkStart w:name="_bookmark596" w:id="1793"/>
      <w:bookmarkEnd w:id="1793"/>
      <w:r>
        <w:rPr>
          <w:color w:val="4F81BC"/>
        </w:rPr>
        <w:t>G</w:t>
      </w:r>
      <w:r>
        <w:rPr>
          <w:color w:val="4F81BC"/>
        </w:rPr>
        <w:t>AMMALN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GAMMALN ( </w:t>
      </w:r>
      <w:r>
        <w:rPr>
          <w:i/>
          <w:sz w:val="22"/>
        </w:rPr>
        <w:t>x </w:t>
      </w:r>
      <w:r>
        <w:rPr>
          <w:rFonts w:ascii="Lucida Console"/>
          <w:sz w:val="20"/>
        </w:rPr>
        <w:t>)</w:t>
      </w:r>
    </w:p>
    <w:p>
      <w:pPr>
        <w:pStyle w:val="BodyText"/>
        <w:spacing w:before="109"/>
        <w:ind w:left="220"/>
      </w:pPr>
      <w:r>
        <w:rPr>
          <w:b/>
        </w:rPr>
        <w:t>Description: </w:t>
      </w:r>
      <w:r>
        <w:rPr/>
        <w:t>Computes the natural logarithm of the gamma function.</w:t>
      </w:r>
    </w:p>
    <w:p>
      <w:pPr>
        <w:pStyle w:val="BodyText"/>
        <w:spacing w:before="8"/>
        <w:rPr>
          <w:sz w:val="19"/>
        </w:rPr>
      </w:pPr>
    </w:p>
    <w:p>
      <w:pPr>
        <w:pStyle w:val="Heading4"/>
        <w:rPr>
          <w:b w:val="0"/>
        </w:rPr>
      </w:pPr>
      <w:r>
        <w:rPr/>
        <w:t>Mathematical Formula</w:t>
      </w:r>
      <w:r>
        <w:rPr>
          <w:b w:val="0"/>
        </w:rPr>
        <w:t>:</w:t>
      </w:r>
    </w:p>
    <w:p>
      <w:pPr>
        <w:pStyle w:val="BodyText"/>
        <w:spacing w:before="6"/>
        <w:rPr>
          <w:sz w:val="20"/>
        </w:rPr>
      </w:pPr>
    </w:p>
    <w:p>
      <w:pPr>
        <w:pStyle w:val="BodyText"/>
        <w:ind w:left="220"/>
        <w:rPr>
          <w:rFonts w:ascii="Cambria Math" w:hAnsi="Cambria Math" w:eastAsia="Cambria Math"/>
        </w:rPr>
      </w:pPr>
      <w:r>
        <w:rPr>
          <w:rFonts w:ascii="Cambria Math" w:hAnsi="Cambria Math" w:eastAsia="Cambria Math"/>
        </w:rPr>
        <w:t>𝐺𝐴𝑀𝑀𝐴𝐿𝑁 = 𝐿𝑁(Γ</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w:t>
      </w:r>
      <w:r>
        <w:rPr>
          <w:rFonts w:ascii="Cambria Math" w:hAnsi="Cambria Math" w:eastAsia="Cambria Math"/>
        </w:rPr>
        <w:t>)</w:t>
      </w:r>
    </w:p>
    <w:p>
      <w:pPr>
        <w:pStyle w:val="BodyText"/>
        <w:spacing w:before="2"/>
        <w:rPr>
          <w:rFonts w:ascii="Cambria Math"/>
        </w:rPr>
      </w:pPr>
    </w:p>
    <w:p>
      <w:pPr>
        <w:pStyle w:val="BodyText"/>
        <w:ind w:left="220"/>
      </w:pPr>
      <w:r>
        <w:rPr/>
        <w:t>where:</w:t>
      </w:r>
    </w:p>
    <w:p>
      <w:pPr>
        <w:pStyle w:val="BodyText"/>
        <w:spacing w:before="4"/>
        <w:rPr>
          <w:sz w:val="10"/>
        </w:rPr>
      </w:pPr>
    </w:p>
    <w:p>
      <w:pPr>
        <w:spacing w:line="185" w:lineRule="exact" w:before="74"/>
        <w:ind w:left="1156" w:right="0" w:firstLine="0"/>
        <w:jc w:val="left"/>
        <w:rPr>
          <w:rFonts w:ascii="Cambria Math" w:hAnsi="Cambria Math"/>
          <w:sz w:val="16"/>
        </w:rPr>
      </w:pPr>
      <w:r>
        <w:rPr>
          <w:rFonts w:ascii="Cambria Math" w:hAnsi="Cambria Math"/>
          <w:w w:val="109"/>
          <w:sz w:val="16"/>
        </w:rPr>
        <w:t>∞</w:t>
      </w:r>
    </w:p>
    <w:p>
      <w:pPr>
        <w:pStyle w:val="BodyText"/>
        <w:spacing w:line="265" w:lineRule="exact"/>
        <w:ind w:left="220"/>
        <w:rPr>
          <w:rFonts w:ascii="Cambria Math" w:hAnsi="Cambria Math" w:eastAsia="Cambria Math"/>
        </w:rPr>
      </w:pPr>
      <w:r>
        <w:rPr>
          <w:rFonts w:ascii="Cambria Math" w:hAnsi="Cambria Math" w:eastAsia="Cambria Math"/>
          <w:w w:val="105"/>
        </w:rPr>
        <w:t>Γ</w:t>
      </w:r>
      <w:r>
        <w:rPr>
          <w:rFonts w:ascii="Cambria Math" w:hAnsi="Cambria Math" w:eastAsia="Cambria Math"/>
          <w:w w:val="105"/>
          <w:position w:val="1"/>
        </w:rPr>
        <w:t>(</w:t>
      </w:r>
      <w:r>
        <w:rPr>
          <w:rFonts w:ascii="Cambria Math" w:hAnsi="Cambria Math" w:eastAsia="Cambria Math"/>
          <w:w w:val="105"/>
        </w:rPr>
        <w:t>𝑥</w:t>
      </w:r>
      <w:r>
        <w:rPr>
          <w:rFonts w:ascii="Cambria Math" w:hAnsi="Cambria Math" w:eastAsia="Cambria Math"/>
          <w:w w:val="105"/>
          <w:position w:val="1"/>
        </w:rPr>
        <w:t>) </w:t>
      </w:r>
      <w:r>
        <w:rPr>
          <w:rFonts w:ascii="Cambria Math" w:hAnsi="Cambria Math" w:eastAsia="Cambria Math"/>
          <w:w w:val="105"/>
        </w:rPr>
        <w:t>= </w:t>
      </w:r>
      <w:r>
        <w:rPr>
          <w:rFonts w:ascii="Cambria Math" w:hAnsi="Cambria Math" w:eastAsia="Cambria Math"/>
          <w:w w:val="110"/>
        </w:rPr>
        <w:t>∫ </w:t>
      </w:r>
      <w:r>
        <w:rPr>
          <w:rFonts w:ascii="Cambria Math" w:hAnsi="Cambria Math" w:eastAsia="Cambria Math"/>
          <w:w w:val="105"/>
        </w:rPr>
        <w:t>𝑒</w:t>
      </w:r>
      <w:r>
        <w:rPr>
          <w:rFonts w:ascii="Cambria Math" w:hAnsi="Cambria Math" w:eastAsia="Cambria Math"/>
          <w:w w:val="105"/>
          <w:vertAlign w:val="superscript"/>
        </w:rPr>
        <w:t>−𝑢</w:t>
      </w:r>
      <w:r>
        <w:rPr>
          <w:rFonts w:ascii="Cambria Math" w:hAnsi="Cambria Math" w:eastAsia="Cambria Math"/>
          <w:w w:val="105"/>
          <w:vertAlign w:val="baseline"/>
        </w:rPr>
        <w:t>𝑢</w:t>
      </w:r>
      <w:r>
        <w:rPr>
          <w:rFonts w:ascii="Cambria Math" w:hAnsi="Cambria Math" w:eastAsia="Cambria Math"/>
          <w:w w:val="105"/>
          <w:vertAlign w:val="superscript"/>
        </w:rPr>
        <w:t>𝑥−1</w:t>
      </w:r>
      <w:r>
        <w:rPr>
          <w:rFonts w:ascii="Cambria Math" w:hAnsi="Cambria Math" w:eastAsia="Cambria Math"/>
          <w:w w:val="105"/>
          <w:vertAlign w:val="baseline"/>
        </w:rPr>
        <w:t> 𝑑𝑢</w:t>
      </w:r>
    </w:p>
    <w:p>
      <w:pPr>
        <w:spacing w:before="8"/>
        <w:ind w:left="1074" w:right="0" w:firstLine="0"/>
        <w:jc w:val="left"/>
        <w:rPr>
          <w:rFonts w:ascii="Cambria Math"/>
          <w:sz w:val="16"/>
        </w:rPr>
      </w:pPr>
      <w:r>
        <w:rPr>
          <w:rFonts w:ascii="Cambria Math"/>
          <w:w w:val="105"/>
          <w:sz w:val="16"/>
        </w:rPr>
        <w:t>0</w:t>
      </w:r>
    </w:p>
    <w:p>
      <w:pPr>
        <w:pStyle w:val="BodyText"/>
        <w:spacing w:before="4"/>
        <w:rPr>
          <w:rFonts w:ascii="Cambria Math"/>
          <w:sz w:val="17"/>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8"/>
          <w:sz w:val="22"/>
        </w:rPr>
        <w:t> </w:t>
      </w:r>
      <w:r>
        <w:rPr>
          <w:rFonts w:ascii="Times New Roman" w:hAnsi="Times New Roman"/>
          <w:i/>
          <w:sz w:val="22"/>
        </w:rPr>
        <w:t>x</w:t>
      </w:r>
    </w:p>
    <w:p>
      <w:pPr>
        <w:spacing w:after="0" w:line="240" w:lineRule="auto"/>
        <w:jc w:val="left"/>
        <w:rPr>
          <w:rFonts w:ascii="Times New Roman" w:hAnsi="Times New Roman"/>
          <w:sz w:val="22"/>
        </w:rPr>
        <w:sectPr>
          <w:pgSz w:w="12240" w:h="15840"/>
          <w:pgMar w:header="763" w:footer="746" w:top="1340" w:bottom="940" w:left="860" w:right="700"/>
        </w:sectPr>
      </w:pPr>
    </w:p>
    <w:p>
      <w:pPr>
        <w:pStyle w:val="Heading4"/>
        <w:spacing w:before="9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942"/>
              <w:rPr>
                <w:sz w:val="22"/>
              </w:rPr>
            </w:pPr>
            <w:r>
              <w:rPr>
                <w:sz w:val="22"/>
              </w:rPr>
              <w:t>The value for which the gamma function is to be calculated.</w:t>
            </w:r>
          </w:p>
        </w:tc>
      </w:tr>
    </w:tbl>
    <w:p>
      <w:pPr>
        <w:pStyle w:val="BodyText"/>
        <w:rPr>
          <w:b/>
        </w:rPr>
      </w:pPr>
    </w:p>
    <w:p>
      <w:pPr>
        <w:pStyle w:val="BodyText"/>
        <w:spacing w:before="7"/>
        <w:rPr>
          <w:b/>
          <w:sz w:val="19"/>
        </w:rPr>
      </w:pPr>
    </w:p>
    <w:p>
      <w:pPr>
        <w:spacing w:line="453" w:lineRule="auto" w:before="0"/>
        <w:ind w:left="220" w:right="3237" w:firstLine="0"/>
        <w:jc w:val="left"/>
        <w:rPr>
          <w:sz w:val="22"/>
        </w:rPr>
      </w:pPr>
      <w:r>
        <w:rPr>
          <w:b/>
          <w:sz w:val="22"/>
        </w:rPr>
        <w:t>Return Type and Value: </w:t>
      </w:r>
      <w:r>
        <w:rPr>
          <w:sz w:val="22"/>
        </w:rPr>
        <w:t>number – The natural logarithm of the gamma function. However, if </w:t>
      </w:r>
      <w:r>
        <w:rPr>
          <w:rFonts w:ascii="Times New Roman" w:hAnsi="Times New Roman"/>
          <w:i/>
          <w:sz w:val="22"/>
        </w:rPr>
        <w:t>x </w:t>
      </w:r>
      <w:r>
        <w:rPr>
          <w:sz w:val="22"/>
        </w:rPr>
        <w:t>≤ 0, </w:t>
      </w:r>
      <w:r>
        <w:rPr>
          <w:rFonts w:ascii="Consolas" w:hAnsi="Consolas"/>
          <w:sz w:val="22"/>
        </w:rPr>
        <w:t>#NUM!</w:t>
      </w:r>
      <w:r>
        <w:rPr>
          <w:rFonts w:ascii="Consolas" w:hAnsi="Consolas"/>
          <w:spacing w:val="-81"/>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10"/>
        <w:rPr>
          <w:sz w:val="28"/>
        </w:rPr>
      </w:pPr>
    </w:p>
    <w:p>
      <w:pPr>
        <w:pStyle w:val="BodyText"/>
        <w:ind w:left="220"/>
        <w:rPr>
          <w:rFonts w:ascii="Consolas"/>
        </w:rPr>
      </w:pPr>
      <w:r>
        <w:rPr>
          <w:rFonts w:ascii="Consolas"/>
        </w:rPr>
        <w:t>GAMMALN(4.5)</w:t>
      </w:r>
      <w:r>
        <w:rPr>
          <w:rFonts w:ascii="Consolas"/>
          <w:spacing w:val="-76"/>
        </w:rPr>
        <w:t> </w:t>
      </w:r>
      <w:r>
        <w:rPr/>
        <w:t>results in </w:t>
      </w:r>
      <w:r>
        <w:rPr>
          <w:rFonts w:ascii="Consolas"/>
        </w:rPr>
        <w:t>2.453736571</w:t>
      </w:r>
    </w:p>
    <w:p>
      <w:pPr>
        <w:pStyle w:val="BodyText"/>
        <w:rPr>
          <w:rFonts w:ascii="Consolas"/>
        </w:rPr>
      </w:pPr>
    </w:p>
    <w:p>
      <w:pPr>
        <w:pStyle w:val="BodyText"/>
        <w:spacing w:before="11"/>
        <w:rPr>
          <w:rFonts w:ascii="Consolas"/>
          <w:sz w:val="23"/>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4 GCD" w:id="1794"/>
      <w:bookmarkEnd w:id="1794"/>
      <w:r>
        <w:rPr/>
      </w:r>
      <w:bookmarkStart w:name="_bookmark597" w:id="1795"/>
      <w:bookmarkEnd w:id="1795"/>
      <w:r>
        <w:rPr/>
      </w:r>
      <w:bookmarkStart w:name="_bookmark597" w:id="1796"/>
      <w:bookmarkEnd w:id="1796"/>
      <w:r>
        <w:rPr>
          <w:color w:val="4F81BC"/>
        </w:rPr>
        <w:t>G</w:t>
      </w:r>
      <w:r>
        <w:rPr>
          <w:color w:val="4F81BC"/>
        </w:rPr>
        <w:t>CD</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GCD ( </w:t>
      </w:r>
      <w:r>
        <w:rPr>
          <w:i/>
          <w:sz w:val="22"/>
        </w:rPr>
        <w:t>argument-list </w:t>
      </w:r>
      <w:r>
        <w:rPr>
          <w:rFonts w:ascii="Lucida Console"/>
          <w:sz w:val="20"/>
        </w:rPr>
        <w:t>)</w:t>
      </w:r>
    </w:p>
    <w:p>
      <w:pPr>
        <w:spacing w:before="106"/>
        <w:ind w:left="220" w:right="0" w:firstLine="0"/>
        <w:jc w:val="left"/>
        <w:rPr>
          <w:sz w:val="22"/>
        </w:rPr>
      </w:pPr>
      <w:r>
        <w:rPr>
          <w:b/>
          <w:sz w:val="22"/>
        </w:rPr>
        <w:t>Description: </w:t>
      </w:r>
      <w:r>
        <w:rPr>
          <w:sz w:val="22"/>
        </w:rPr>
        <w:t>Computes the greatest common divisor of the one or more numbers, designated by </w:t>
      </w:r>
      <w:r>
        <w:rPr>
          <w:rFonts w:ascii="Times New Roman"/>
          <w:i/>
          <w:sz w:val="22"/>
        </w:rPr>
        <w:t>argument</w:t>
      </w:r>
      <w:r>
        <w:rPr>
          <w:sz w:val="22"/>
        </w:rPr>
        <w:t>s in</w:t>
      </w:r>
    </w:p>
    <w:p>
      <w:pPr>
        <w:spacing w:before="43"/>
        <w:ind w:left="220" w:right="0" w:firstLine="0"/>
        <w:jc w:val="left"/>
        <w:rPr>
          <w:sz w:val="22"/>
        </w:rPr>
      </w:pPr>
      <w:r>
        <w:rPr>
          <w:rFonts w:ascii="Times New Roman"/>
          <w:i/>
          <w:sz w:val="22"/>
        </w:rPr>
        <w:t>argument-list</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numbers</w:t>
            </w:r>
          </w:p>
        </w:tc>
        <w:tc>
          <w:tcPr>
            <w:tcW w:w="5400" w:type="dxa"/>
          </w:tcPr>
          <w:p>
            <w:pPr>
              <w:pStyle w:val="TableParagraph"/>
              <w:ind w:left="113" w:right="248"/>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Each argument is truncated to an integer.</w:t>
            </w:r>
          </w:p>
        </w:tc>
      </w:tr>
    </w:tbl>
    <w:p>
      <w:pPr>
        <w:pStyle w:val="BodyText"/>
        <w:rPr>
          <w:b/>
        </w:rPr>
      </w:pPr>
    </w:p>
    <w:p>
      <w:pPr>
        <w:pStyle w:val="BodyText"/>
        <w:rPr>
          <w:b/>
          <w:sz w:val="18"/>
        </w:rPr>
      </w:pPr>
    </w:p>
    <w:p>
      <w:pPr>
        <w:spacing w:line="453" w:lineRule="auto" w:before="0"/>
        <w:ind w:left="220" w:right="2429" w:firstLine="0"/>
        <w:jc w:val="left"/>
        <w:rPr>
          <w:sz w:val="22"/>
        </w:rPr>
      </w:pPr>
      <w:r>
        <w:rPr>
          <w:b/>
          <w:sz w:val="22"/>
        </w:rPr>
        <w:t>Return Type and Value: </w:t>
      </w:r>
      <w:r>
        <w:rPr>
          <w:sz w:val="22"/>
        </w:rPr>
        <w:t>number – The greatest common divisor of one or more numbers. However, if any </w:t>
      </w:r>
      <w:r>
        <w:rPr>
          <w:rFonts w:ascii="Times New Roman" w:hAnsi="Times New Roman"/>
          <w:i/>
          <w:sz w:val="22"/>
        </w:rPr>
        <w:t>argument </w:t>
      </w:r>
      <w:r>
        <w:rPr>
          <w:sz w:val="22"/>
        </w:rPr>
        <w:t>is negative, </w:t>
      </w:r>
      <w:r>
        <w:rPr>
          <w:rFonts w:ascii="Consolas" w:hAnsi="Consolas"/>
          <w:sz w:val="22"/>
        </w:rPr>
        <w:t>#NUM!</w:t>
      </w:r>
      <w:r>
        <w:rPr>
          <w:rFonts w:ascii="Consolas" w:hAnsi="Consolas"/>
          <w:spacing w:val="-78"/>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10"/>
        <w:rPr>
          <w:sz w:val="28"/>
        </w:rPr>
      </w:pPr>
    </w:p>
    <w:p>
      <w:pPr>
        <w:pStyle w:val="BodyText"/>
        <w:spacing w:line="276" w:lineRule="auto"/>
        <w:ind w:left="220" w:right="7722"/>
        <w:rPr>
          <w:rFonts w:ascii="Consolas"/>
        </w:rPr>
      </w:pPr>
      <w:r>
        <w:rPr>
          <w:rFonts w:ascii="Consolas"/>
        </w:rPr>
        <w:t>GCD(5) </w:t>
      </w:r>
      <w:r>
        <w:rPr/>
        <w:t>results in </w:t>
      </w:r>
      <w:r>
        <w:rPr>
          <w:rFonts w:ascii="Consolas"/>
        </w:rPr>
        <w:t>5 GCD(5,2) </w:t>
      </w:r>
      <w:r>
        <w:rPr/>
        <w:t>results in </w:t>
      </w:r>
      <w:r>
        <w:rPr>
          <w:rFonts w:ascii="Consolas"/>
        </w:rPr>
        <w:t>1 GCD(100,50,28)</w:t>
      </w:r>
      <w:r>
        <w:rPr>
          <w:rFonts w:ascii="Consolas"/>
          <w:spacing w:val="-81"/>
        </w:rPr>
        <w:t> </w:t>
      </w:r>
      <w:r>
        <w:rPr/>
        <w:t>results in </w:t>
      </w:r>
      <w:r>
        <w:rPr>
          <w:rFonts w:ascii="Consolas"/>
        </w:rPr>
        <w:t>2</w:t>
      </w:r>
    </w:p>
    <w:p>
      <w:pPr>
        <w:pStyle w:val="BodyText"/>
        <w:spacing w:line="276" w:lineRule="auto"/>
        <w:ind w:left="220" w:right="7599"/>
        <w:rPr>
          <w:rFonts w:ascii="Consolas"/>
        </w:rPr>
      </w:pPr>
      <w:r>
        <w:rPr>
          <w:rFonts w:ascii="Consolas"/>
        </w:rPr>
        <w:t>GCD(24.5,36.3)</w:t>
      </w:r>
      <w:r>
        <w:rPr>
          <w:rFonts w:ascii="Consolas"/>
          <w:spacing w:val="-79"/>
        </w:rPr>
        <w:t> </w:t>
      </w:r>
      <w:r>
        <w:rPr/>
        <w:t>results in </w:t>
      </w:r>
      <w:r>
        <w:rPr>
          <w:rFonts w:ascii="Consolas"/>
        </w:rPr>
        <w:t>12 GCD(7,1) </w:t>
      </w:r>
      <w:r>
        <w:rPr/>
        <w:t>results in </w:t>
      </w:r>
      <w:r>
        <w:rPr>
          <w:rFonts w:ascii="Consolas"/>
        </w:rPr>
        <w:t>1 GCD(5,0)</w:t>
      </w:r>
      <w:r>
        <w:rPr>
          <w:rFonts w:ascii="Consolas"/>
          <w:spacing w:val="-72"/>
        </w:rPr>
        <w:t> </w:t>
      </w:r>
      <w:r>
        <w:rPr/>
        <w:t>results in </w:t>
      </w:r>
      <w:r>
        <w:rPr>
          <w:rFonts w:ascii="Consolas"/>
        </w:rPr>
        <w:t>5</w:t>
      </w:r>
    </w:p>
    <w:p>
      <w:pPr>
        <w:spacing w:after="0" w:line="276" w:lineRule="auto"/>
        <w:rPr>
          <w:rFonts w:ascii="Consolas"/>
        </w:rPr>
        <w:sectPr>
          <w:pgSz w:w="12240" w:h="15840"/>
          <w:pgMar w:header="761" w:footer="746" w:top="1340" w:bottom="940" w:left="860" w:right="700"/>
        </w:sectPr>
      </w:pPr>
    </w:p>
    <w:p>
      <w:pPr>
        <w:pStyle w:val="BodyText"/>
        <w:rPr>
          <w:rFonts w:ascii="Consolas"/>
          <w:sz w:val="20"/>
        </w:rPr>
      </w:pPr>
    </w:p>
    <w:p>
      <w:pPr>
        <w:pStyle w:val="BodyText"/>
        <w:spacing w:before="3"/>
        <w:rPr>
          <w:rFonts w:ascii="Consolas"/>
          <w:sz w:val="1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5 GEOMEAN" w:id="1797"/>
      <w:bookmarkEnd w:id="1797"/>
      <w:r>
        <w:rPr/>
      </w:r>
      <w:bookmarkStart w:name="_bookmark598" w:id="1798"/>
      <w:bookmarkEnd w:id="1798"/>
      <w:r>
        <w:rPr/>
      </w:r>
      <w:bookmarkStart w:name="_bookmark598" w:id="1799"/>
      <w:bookmarkEnd w:id="1799"/>
      <w:r>
        <w:rPr>
          <w:color w:val="4F81BC"/>
        </w:rPr>
        <w:t>GE</w:t>
      </w:r>
      <w:r>
        <w:rPr>
          <w:color w:val="4F81BC"/>
        </w:rPr>
        <w:t>OMEAN</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GEOMEAN ( </w:t>
      </w:r>
      <w:r>
        <w:rPr>
          <w:i/>
          <w:sz w:val="22"/>
        </w:rPr>
        <w:t>argument-list </w:t>
      </w:r>
      <w:r>
        <w:rPr>
          <w:rFonts w:ascii="Lucida Console"/>
          <w:sz w:val="20"/>
        </w:rPr>
        <w:t>)</w:t>
      </w:r>
    </w:p>
    <w:p>
      <w:pPr>
        <w:pStyle w:val="BodyText"/>
        <w:spacing w:before="108"/>
        <w:ind w:left="220"/>
      </w:pPr>
      <w:r>
        <w:rPr>
          <w:b/>
        </w:rPr>
        <w:t>Description: </w:t>
      </w:r>
      <w:r>
        <w:rPr/>
        <w:t>Computes the geometric mean of an array or range of positive data.</w:t>
      </w:r>
    </w:p>
    <w:p>
      <w:pPr>
        <w:pStyle w:val="BodyText"/>
        <w:spacing w:before="8"/>
        <w:rPr>
          <w:sz w:val="19"/>
        </w:rPr>
      </w:pPr>
    </w:p>
    <w:p>
      <w:pPr>
        <w:pStyle w:val="Heading4"/>
        <w:rPr>
          <w:b w:val="0"/>
        </w:rPr>
      </w:pPr>
      <w:r>
        <w:rPr/>
        <w:t>Mathematical Formula</w:t>
      </w:r>
      <w:r>
        <w:rPr>
          <w:b w:val="0"/>
        </w:rPr>
        <w:t>:</w:t>
      </w:r>
    </w:p>
    <w:p>
      <w:pPr>
        <w:pStyle w:val="BodyText"/>
        <w:spacing w:before="5"/>
        <w:rPr>
          <w:sz w:val="23"/>
        </w:rPr>
      </w:pPr>
    </w:p>
    <w:p>
      <w:pPr>
        <w:pStyle w:val="BodyText"/>
        <w:spacing w:line="20" w:lineRule="exact"/>
        <w:ind w:left="1174"/>
        <w:rPr>
          <w:sz w:val="2"/>
        </w:rPr>
      </w:pPr>
      <w:r>
        <w:rPr>
          <w:sz w:val="2"/>
        </w:rPr>
        <w:pict>
          <v:group style="width:55.45pt;height:.75pt;mso-position-horizontal-relative:char;mso-position-vertical-relative:line" coordorigin="0,0" coordsize="1109,15">
            <v:line style="position:absolute" from="0,7" to="1109,7" stroked="true" strokeweight=".72pt" strokecolor="#000000">
              <v:stroke dashstyle="solid"/>
            </v:line>
          </v:group>
        </w:pict>
      </w:r>
      <w:r>
        <w:rPr>
          <w:sz w:val="2"/>
        </w:rPr>
      </w:r>
    </w:p>
    <w:p>
      <w:pPr>
        <w:spacing w:after="0" w:line="20" w:lineRule="exact"/>
        <w:rPr>
          <w:sz w:val="2"/>
        </w:rPr>
        <w:sectPr>
          <w:pgSz w:w="12240" w:h="15840"/>
          <w:pgMar w:header="763" w:footer="746" w:top="1340" w:bottom="940" w:left="860" w:right="700"/>
        </w:sectPr>
      </w:pPr>
    </w:p>
    <w:p>
      <w:pPr>
        <w:spacing w:line="261" w:lineRule="exact" w:before="0"/>
        <w:ind w:left="220" w:right="0" w:firstLine="0"/>
        <w:jc w:val="left"/>
        <w:rPr>
          <w:rFonts w:ascii="Cambria Math" w:hAnsi="Cambria Math" w:eastAsia="Cambria Math"/>
          <w:sz w:val="22"/>
        </w:rPr>
      </w:pPr>
      <w:r>
        <w:rPr>
          <w:rFonts w:ascii="Cambria Math" w:hAnsi="Cambria Math" w:eastAsia="Cambria Math"/>
          <w:w w:val="100"/>
          <w:sz w:val="22"/>
        </w:rPr>
        <w:t>𝐺</w:t>
      </w:r>
      <w:r>
        <w:rPr>
          <w:rFonts w:ascii="Cambria Math" w:hAnsi="Cambria Math" w:eastAsia="Cambria Math"/>
          <w:spacing w:val="-13"/>
          <w:w w:val="100"/>
          <w:sz w:val="22"/>
        </w:rPr>
        <w:t>𝑀</w:t>
      </w:r>
      <w:r>
        <w:rPr>
          <w:rFonts w:ascii="Cambria Math" w:hAnsi="Cambria Math" w:eastAsia="Cambria Math"/>
          <w:spacing w:val="-76"/>
          <w:w w:val="113"/>
          <w:position w:val="-4"/>
          <w:sz w:val="16"/>
        </w:rPr>
        <w:t>𝑦</w:t>
      </w:r>
      <w:r>
        <w:rPr>
          <w:rFonts w:ascii="Cambria Math" w:hAnsi="Cambria Math" w:eastAsia="Cambria Math"/>
          <w:w w:val="100"/>
          <w:position w:val="-3"/>
          <w:sz w:val="16"/>
        </w:rPr>
        <w:t>̅</w:t>
      </w:r>
      <w:r>
        <w:rPr>
          <w:rFonts w:ascii="Cambria Math" w:hAnsi="Cambria Math" w:eastAsia="Cambria Math"/>
          <w:position w:val="-3"/>
          <w:sz w:val="16"/>
        </w:rPr>
        <w:t> </w:t>
      </w:r>
      <w:r>
        <w:rPr>
          <w:rFonts w:ascii="Cambria Math" w:hAnsi="Cambria Math" w:eastAsia="Cambria Math"/>
          <w:spacing w:val="6"/>
          <w:position w:val="-3"/>
          <w:sz w:val="16"/>
        </w:rPr>
        <w:t> </w:t>
      </w:r>
      <w:r>
        <w:rPr>
          <w:rFonts w:ascii="Cambria Math" w:hAnsi="Cambria Math" w:eastAsia="Cambria Math"/>
          <w:w w:val="100"/>
          <w:sz w:val="22"/>
        </w:rPr>
        <w:t>=</w:t>
      </w:r>
    </w:p>
    <w:p>
      <w:pPr>
        <w:pStyle w:val="BodyText"/>
        <w:spacing w:line="243" w:lineRule="exact"/>
        <w:ind w:left="85"/>
        <w:rPr>
          <w:rFonts w:ascii="Cambria Math" w:hAnsi="Cambria Math" w:eastAsia="Cambria Math"/>
        </w:rPr>
      </w:pPr>
      <w:r>
        <w:rPr/>
        <w:br w:type="column"/>
      </w:r>
      <w:r>
        <w:rPr>
          <w:rFonts w:ascii="Cambria Math" w:hAnsi="Cambria Math" w:eastAsia="Cambria Math"/>
          <w:spacing w:val="-70"/>
          <w:w w:val="122"/>
          <w:position w:val="12"/>
          <w:sz w:val="13"/>
        </w:rPr>
        <w:t>𝑛</w:t>
      </w:r>
      <w:r>
        <w:rPr>
          <w:rFonts w:ascii="Cambria Math" w:hAnsi="Cambria Math" w:eastAsia="Cambria Math"/>
          <w:spacing w:val="-1"/>
          <w:w w:val="113"/>
        </w:rPr>
        <w:t>√</w:t>
      </w:r>
      <w:r>
        <w:rPr>
          <w:rFonts w:ascii="Cambria Math" w:hAnsi="Cambria Math" w:eastAsia="Cambria Math"/>
          <w:spacing w:val="-14"/>
          <w:w w:val="100"/>
          <w:position w:val="2"/>
        </w:rPr>
        <w:t>𝑦</w:t>
      </w:r>
      <w:r>
        <w:rPr>
          <w:rFonts w:ascii="Cambria Math" w:hAnsi="Cambria Math" w:eastAsia="Cambria Math"/>
          <w:spacing w:val="10"/>
          <w:w w:val="93"/>
          <w:position w:val="2"/>
          <w:vertAlign w:val="subscript"/>
        </w:rPr>
        <w:t>1</w:t>
      </w:r>
      <w:r>
        <w:rPr>
          <w:rFonts w:ascii="Cambria Math" w:hAnsi="Cambria Math" w:eastAsia="Cambria Math"/>
          <w:spacing w:val="-9"/>
          <w:w w:val="100"/>
          <w:position w:val="2"/>
          <w:vertAlign w:val="baseline"/>
        </w:rPr>
        <w:t>𝑦</w:t>
      </w:r>
      <w:r>
        <w:rPr>
          <w:rFonts w:ascii="Cambria Math" w:hAnsi="Cambria Math" w:eastAsia="Cambria Math"/>
          <w:spacing w:val="10"/>
          <w:w w:val="93"/>
          <w:position w:val="2"/>
          <w:vertAlign w:val="subscript"/>
        </w:rPr>
        <w:t>2</w:t>
      </w:r>
      <w:r>
        <w:rPr>
          <w:rFonts w:ascii="Cambria Math" w:hAnsi="Cambria Math" w:eastAsia="Cambria Math"/>
          <w:spacing w:val="-9"/>
          <w:w w:val="100"/>
          <w:position w:val="2"/>
          <w:vertAlign w:val="baseline"/>
        </w:rPr>
        <w:t>𝑦</w:t>
      </w:r>
      <w:r>
        <w:rPr>
          <w:rFonts w:ascii="Cambria Math" w:hAnsi="Cambria Math" w:eastAsia="Cambria Math"/>
          <w:w w:val="93"/>
          <w:position w:val="2"/>
          <w:vertAlign w:val="subscript"/>
        </w:rPr>
        <w:t>3</w:t>
      </w:r>
      <w:r>
        <w:rPr>
          <w:rFonts w:ascii="Cambria Math" w:hAnsi="Cambria Math" w:eastAsia="Cambria Math"/>
          <w:spacing w:val="-3"/>
          <w:position w:val="2"/>
          <w:vertAlign w:val="baseline"/>
        </w:rPr>
        <w:t> </w:t>
      </w:r>
      <w:r>
        <w:rPr>
          <w:rFonts w:ascii="Cambria Math" w:hAnsi="Cambria Math" w:eastAsia="Cambria Math"/>
          <w:w w:val="100"/>
          <w:position w:val="2"/>
          <w:vertAlign w:val="baseline"/>
        </w:rPr>
        <w:t>…</w:t>
      </w:r>
      <w:r>
        <w:rPr>
          <w:rFonts w:ascii="Cambria Math" w:hAnsi="Cambria Math" w:eastAsia="Cambria Math"/>
          <w:spacing w:val="-13"/>
          <w:position w:val="2"/>
          <w:vertAlign w:val="baseline"/>
        </w:rPr>
        <w:t> </w:t>
      </w:r>
      <w:r>
        <w:rPr>
          <w:rFonts w:ascii="Cambria Math" w:hAnsi="Cambria Math" w:eastAsia="Cambria Math"/>
          <w:spacing w:val="-21"/>
          <w:w w:val="100"/>
          <w:position w:val="2"/>
          <w:vertAlign w:val="baseline"/>
        </w:rPr>
        <w:t>𝑦</w:t>
      </w:r>
      <w:r>
        <w:rPr>
          <w:rFonts w:ascii="Cambria Math" w:hAnsi="Cambria Math" w:eastAsia="Cambria Math"/>
          <w:w w:val="101"/>
          <w:position w:val="2"/>
          <w:vertAlign w:val="subscript"/>
        </w:rPr>
        <w:t>𝑛</w:t>
      </w:r>
    </w:p>
    <w:p>
      <w:pPr>
        <w:spacing w:after="0" w:line="243" w:lineRule="exact"/>
        <w:rPr>
          <w:rFonts w:ascii="Cambria Math" w:hAnsi="Cambria Math" w:eastAsia="Cambria Math"/>
        </w:rPr>
        <w:sectPr>
          <w:type w:val="continuous"/>
          <w:pgSz w:w="12240" w:h="15840"/>
          <w:pgMar w:top="1340" w:bottom="940" w:left="860" w:right="700"/>
          <w:cols w:num="2" w:equalWidth="0">
            <w:col w:w="873" w:space="40"/>
            <w:col w:w="9767"/>
          </w:cols>
        </w:sectPr>
      </w:pPr>
    </w:p>
    <w:p>
      <w:pPr>
        <w:pStyle w:val="BodyText"/>
        <w:spacing w:before="1"/>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Cambria Math" w:hAnsi="Cambria Math"/>
          <w:sz w:val="22"/>
        </w:rPr>
        <w:t>n </w:t>
      </w:r>
      <w:r>
        <w:rPr>
          <w:sz w:val="22"/>
        </w:rPr>
        <w:t>is the number of elements in</w:t>
      </w:r>
      <w:r>
        <w:rPr>
          <w:spacing w:val="-6"/>
          <w:sz w:val="22"/>
        </w:rPr>
        <w:t> </w:t>
      </w:r>
      <w:r>
        <w:rPr>
          <w:rFonts w:ascii="Times New Roman" w:hAnsi="Times New Roman"/>
          <w:i/>
          <w:sz w:val="22"/>
        </w:rPr>
        <w:t>argument-list</w:t>
      </w:r>
      <w:r>
        <w:rPr>
          <w:sz w:val="22"/>
        </w:rPr>
        <w: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Cambria Math" w:hAnsi="Cambria Math"/>
          <w:sz w:val="22"/>
        </w:rPr>
        <w:t>y</w:t>
      </w:r>
      <w:r>
        <w:rPr>
          <w:rFonts w:ascii="Cambria Math" w:hAnsi="Cambria Math"/>
          <w:position w:val="-4"/>
          <w:sz w:val="16"/>
        </w:rPr>
        <w:t>1</w:t>
      </w:r>
      <w:r>
        <w:rPr>
          <w:rFonts w:ascii="Cambria Math" w:hAnsi="Cambria Math"/>
          <w:sz w:val="22"/>
        </w:rPr>
        <w:t>,</w:t>
      </w:r>
      <w:r>
        <w:rPr>
          <w:rFonts w:ascii="Cambria Math" w:hAnsi="Cambria Math"/>
          <w:spacing w:val="-13"/>
          <w:sz w:val="22"/>
        </w:rPr>
        <w:t> </w:t>
      </w:r>
      <w:r>
        <w:rPr>
          <w:rFonts w:ascii="Cambria Math" w:hAnsi="Cambria Math"/>
          <w:spacing w:val="3"/>
          <w:sz w:val="22"/>
        </w:rPr>
        <w:t>y</w:t>
      </w:r>
      <w:r>
        <w:rPr>
          <w:rFonts w:ascii="Cambria Math" w:hAnsi="Cambria Math"/>
          <w:spacing w:val="3"/>
          <w:position w:val="-4"/>
          <w:sz w:val="16"/>
        </w:rPr>
        <w:t>2</w:t>
      </w:r>
      <w:r>
        <w:rPr>
          <w:rFonts w:ascii="Cambria Math" w:hAnsi="Cambria Math"/>
          <w:spacing w:val="3"/>
          <w:sz w:val="22"/>
        </w:rPr>
        <w:t>,</w:t>
      </w:r>
      <w:r>
        <w:rPr>
          <w:rFonts w:ascii="Cambria Math" w:hAnsi="Cambria Math"/>
          <w:spacing w:val="-15"/>
          <w:sz w:val="22"/>
        </w:rPr>
        <w:t> </w:t>
      </w:r>
      <w:r>
        <w:rPr>
          <w:rFonts w:ascii="Cambria Math" w:hAnsi="Cambria Math"/>
          <w:spacing w:val="3"/>
          <w:sz w:val="22"/>
        </w:rPr>
        <w:t>y</w:t>
      </w:r>
      <w:r>
        <w:rPr>
          <w:rFonts w:ascii="Cambria Math" w:hAnsi="Cambria Math"/>
          <w:spacing w:val="3"/>
          <w:position w:val="-4"/>
          <w:sz w:val="16"/>
        </w:rPr>
        <w:t>3</w:t>
      </w:r>
      <w:r>
        <w:rPr>
          <w:rFonts w:ascii="Cambria Math" w:hAnsi="Cambria Math"/>
          <w:spacing w:val="3"/>
          <w:sz w:val="22"/>
        </w:rPr>
        <w:t>,</w:t>
      </w:r>
      <w:r>
        <w:rPr>
          <w:rFonts w:ascii="Cambria Math" w:hAnsi="Cambria Math"/>
          <w:spacing w:val="-13"/>
          <w:sz w:val="22"/>
        </w:rPr>
        <w:t> </w:t>
      </w:r>
      <w:r>
        <w:rPr>
          <w:rFonts w:ascii="Cambria Math" w:hAnsi="Cambria Math"/>
          <w:sz w:val="22"/>
        </w:rPr>
        <w:t>⋯</w:t>
      </w:r>
      <w:r>
        <w:rPr>
          <w:rFonts w:ascii="Cambria Math" w:hAnsi="Cambria Math"/>
          <w:spacing w:val="-12"/>
          <w:sz w:val="22"/>
        </w:rPr>
        <w:t> </w:t>
      </w:r>
      <w:r>
        <w:rPr>
          <w:rFonts w:ascii="Cambria Math" w:hAnsi="Cambria Math"/>
          <w:sz w:val="22"/>
        </w:rPr>
        <w:t>,</w:t>
      </w:r>
      <w:r>
        <w:rPr>
          <w:rFonts w:ascii="Cambria Math" w:hAnsi="Cambria Math"/>
          <w:spacing w:val="-12"/>
          <w:sz w:val="22"/>
        </w:rPr>
        <w:t> </w:t>
      </w:r>
      <w:r>
        <w:rPr>
          <w:rFonts w:ascii="Cambria Math" w:hAnsi="Cambria Math"/>
          <w:sz w:val="22"/>
        </w:rPr>
        <w:t>y</w:t>
      </w:r>
      <w:r>
        <w:rPr>
          <w:rFonts w:ascii="Cambria Math" w:hAnsi="Cambria Math"/>
          <w:position w:val="-4"/>
          <w:sz w:val="16"/>
        </w:rPr>
        <w:t>n</w:t>
      </w:r>
      <w:r>
        <w:rPr>
          <w:rFonts w:ascii="Cambria Math" w:hAnsi="Cambria Math"/>
          <w:spacing w:val="24"/>
          <w:position w:val="-4"/>
          <w:sz w:val="16"/>
        </w:rPr>
        <w:t> </w:t>
      </w:r>
      <w:r>
        <w:rPr>
          <w:sz w:val="22"/>
        </w:rPr>
        <w:t>are</w:t>
      </w:r>
      <w:r>
        <w:rPr>
          <w:spacing w:val="1"/>
          <w:sz w:val="22"/>
        </w:rPr>
        <w:t> </w:t>
      </w:r>
      <w:r>
        <w:rPr>
          <w:sz w:val="22"/>
        </w:rPr>
        <w:t>the</w:t>
      </w:r>
      <w:r>
        <w:rPr>
          <w:spacing w:val="1"/>
          <w:sz w:val="22"/>
        </w:rPr>
        <w:t> </w:t>
      </w:r>
      <w:r>
        <w:rPr>
          <w:sz w:val="22"/>
        </w:rPr>
        <w:t>values</w:t>
      </w:r>
      <w:r>
        <w:rPr>
          <w:spacing w:val="-2"/>
          <w:sz w:val="22"/>
        </w:rPr>
        <w:t> </w:t>
      </w:r>
      <w:r>
        <w:rPr>
          <w:sz w:val="22"/>
        </w:rPr>
        <w:t>of the</w:t>
      </w:r>
      <w:r>
        <w:rPr>
          <w:spacing w:val="2"/>
          <w:sz w:val="22"/>
        </w:rPr>
        <w:t> </w:t>
      </w:r>
      <w:r>
        <w:rPr>
          <w:sz w:val="22"/>
        </w:rPr>
        <w:t>n-th</w:t>
      </w:r>
      <w:r>
        <w:rPr>
          <w:spacing w:val="-3"/>
          <w:sz w:val="22"/>
        </w:rPr>
        <w:t> </w:t>
      </w:r>
      <w:r>
        <w:rPr>
          <w:sz w:val="22"/>
        </w:rPr>
        <w:t>element in</w:t>
      </w:r>
      <w:r>
        <w:rPr>
          <w:spacing w:val="-2"/>
          <w:sz w:val="22"/>
        </w:rPr>
        <w:t> </w:t>
      </w:r>
      <w:r>
        <w:rPr>
          <w:rFonts w:ascii="Times New Roman" w:hAnsi="Times New Roman"/>
          <w:i/>
          <w:sz w:val="22"/>
        </w:rPr>
        <w:t>argument-list</w:t>
      </w:r>
      <w:r>
        <w:rPr>
          <w:sz w:val="22"/>
        </w:rPr>
        <w:t>.</w:t>
      </w:r>
    </w:p>
    <w:p>
      <w:pPr>
        <w:pStyle w:val="Heading4"/>
        <w:spacing w:before="216"/>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9"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array, or reference to number.</w:t>
            </w:r>
          </w:p>
        </w:tc>
        <w:tc>
          <w:tcPr>
            <w:tcW w:w="5400" w:type="dxa"/>
          </w:tcPr>
          <w:p>
            <w:pPr>
              <w:pStyle w:val="TableParagraph"/>
              <w:ind w:left="113" w:right="5"/>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to be averaged. Logical values and text representations of numbers that entered directly into the list of arguments are included. If an array or reference argument contains text, logical values, or empty cells, those values are ignored; however, cells with the value 0 are included.</w:t>
            </w:r>
          </w:p>
        </w:tc>
      </w:tr>
    </w:tbl>
    <w:p>
      <w:pPr>
        <w:pStyle w:val="BodyText"/>
        <w:rPr>
          <w:b/>
        </w:rPr>
      </w:pPr>
    </w:p>
    <w:p>
      <w:pPr>
        <w:pStyle w:val="BodyText"/>
        <w:rPr>
          <w:b/>
          <w:sz w:val="18"/>
        </w:rPr>
      </w:pPr>
    </w:p>
    <w:p>
      <w:pPr>
        <w:pStyle w:val="BodyText"/>
        <w:spacing w:line="453" w:lineRule="auto"/>
        <w:ind w:left="220" w:right="2174"/>
      </w:pPr>
      <w:r>
        <w:rPr>
          <w:b/>
        </w:rPr>
        <w:t>Return Type and Value: </w:t>
      </w:r>
      <w:r>
        <w:rPr/>
        <w:t>number – The geometric mean of an array or range of positive data. However, if the value of any data point ≤ 0, </w:t>
      </w:r>
      <w:r>
        <w:rPr>
          <w:rFonts w:ascii="Consolas" w:hAnsi="Consolas"/>
        </w:rPr>
        <w:t>#NUM!</w:t>
      </w:r>
      <w:r>
        <w:rPr>
          <w:rFonts w:ascii="Consolas" w:hAnsi="Consolas"/>
          <w:spacing w:val="-74"/>
        </w:rPr>
        <w:t> </w:t>
      </w:r>
      <w:r>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line="273" w:lineRule="auto"/>
        <w:ind w:left="220" w:right="2289"/>
        <w:rPr>
          <w:rFonts w:ascii="Consolas"/>
        </w:rPr>
      </w:pPr>
      <w:r>
        <w:rPr>
          <w:rFonts w:ascii="Consolas"/>
        </w:rPr>
        <w:t>GEOMEAN(10.5,5.3,2.9) </w:t>
      </w:r>
      <w:r>
        <w:rPr/>
        <w:t>results in </w:t>
      </w:r>
      <w:r>
        <w:rPr>
          <w:rFonts w:ascii="Consolas"/>
        </w:rPr>
        <w:t>5.444454702 GEOMEAN(10.5,{5.3,2.9},"12")</w:t>
      </w:r>
      <w:r>
        <w:rPr>
          <w:rFonts w:ascii="Consolas"/>
          <w:spacing w:val="-72"/>
        </w:rPr>
        <w:t> </w:t>
      </w:r>
      <w:r>
        <w:rPr/>
        <w:t>results in </w:t>
      </w:r>
      <w:r>
        <w:rPr>
          <w:rFonts w:ascii="Consolas"/>
        </w:rPr>
        <w:t>6.633780588</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6 GESTEP" w:id="1800"/>
      <w:bookmarkEnd w:id="1800"/>
      <w:r>
        <w:rPr/>
      </w:r>
      <w:bookmarkStart w:name="_bookmark599" w:id="1801"/>
      <w:bookmarkEnd w:id="1801"/>
      <w:r>
        <w:rPr/>
      </w:r>
      <w:bookmarkStart w:name="_bookmark599" w:id="1802"/>
      <w:bookmarkEnd w:id="1802"/>
      <w:r>
        <w:rPr>
          <w:color w:val="4F81BC"/>
        </w:rPr>
        <w:t>GESTEP</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GESTEP ( </w:t>
      </w:r>
      <w:r>
        <w:rPr>
          <w:i/>
          <w:sz w:val="22"/>
        </w:rPr>
        <w:t>number </w:t>
      </w:r>
      <w:r>
        <w:rPr>
          <w:sz w:val="22"/>
        </w:rPr>
        <w:t>[ </w:t>
      </w:r>
      <w:r>
        <w:rPr>
          <w:rFonts w:ascii="Lucida Console"/>
          <w:sz w:val="20"/>
        </w:rPr>
        <w:t>, </w:t>
      </w:r>
      <w:r>
        <w:rPr>
          <w:i/>
          <w:sz w:val="22"/>
        </w:rPr>
        <w:t>step </w:t>
      </w:r>
      <w:r>
        <w:rPr>
          <w:sz w:val="22"/>
        </w:rPr>
        <w:t>] </w:t>
      </w:r>
      <w:r>
        <w:rPr>
          <w:rFonts w:ascii="Lucida Console"/>
          <w:sz w:val="20"/>
        </w:rPr>
        <w:t>)</w:t>
      </w:r>
    </w:p>
    <w:p>
      <w:pPr>
        <w:spacing w:before="109"/>
        <w:ind w:left="220" w:right="0" w:firstLine="0"/>
        <w:jc w:val="left"/>
        <w:rPr>
          <w:sz w:val="22"/>
        </w:rPr>
      </w:pPr>
      <w:r>
        <w:rPr>
          <w:b/>
          <w:sz w:val="22"/>
        </w:rPr>
        <w:t>Description: </w:t>
      </w:r>
      <w:r>
        <w:rPr>
          <w:sz w:val="22"/>
        </w:rPr>
        <w:t>Tests if the value of </w:t>
      </w:r>
      <w:r>
        <w:rPr>
          <w:rFonts w:ascii="Times New Roman"/>
          <w:i/>
          <w:sz w:val="22"/>
        </w:rPr>
        <w:t>number </w:t>
      </w:r>
      <w:r>
        <w:rPr>
          <w:sz w:val="22"/>
        </w:rPr>
        <w:t>is greater than or equal to that of </w:t>
      </w:r>
      <w:r>
        <w:rPr>
          <w:i/>
          <w:sz w:val="22"/>
        </w:rPr>
        <w:t>step</w:t>
      </w:r>
      <w:r>
        <w:rPr>
          <w:sz w:val="22"/>
        </w:rPr>
        <w:t>.</w:t>
      </w:r>
    </w:p>
    <w:p>
      <w:pPr>
        <w:spacing w:after="0"/>
        <w:jc w:val="left"/>
        <w:rPr>
          <w:sz w:val="22"/>
        </w:rPr>
        <w:sectPr>
          <w:type w:val="continuous"/>
          <w:pgSz w:w="12240" w:h="15840"/>
          <w:pgMar w:top="1340" w:bottom="940" w:left="860" w:right="700"/>
        </w:sectPr>
      </w:pPr>
    </w:p>
    <w:p>
      <w:pPr>
        <w:pStyle w:val="Heading4"/>
        <w:spacing w:before="9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vMerge w:val="restart"/>
          </w:tcPr>
          <w:p>
            <w:pPr>
              <w:pStyle w:val="TableParagraph"/>
              <w:ind w:left="113"/>
              <w:rPr>
                <w:sz w:val="22"/>
              </w:rPr>
            </w:pPr>
            <w:r>
              <w:rPr>
                <w:rFonts w:ascii="Times New Roman"/>
                <w:i/>
                <w:sz w:val="22"/>
              </w:rPr>
              <w:t>number </w:t>
            </w:r>
            <w:r>
              <w:rPr>
                <w:sz w:val="22"/>
              </w:rPr>
              <w:t>is the value to test against </w:t>
            </w:r>
            <w:r>
              <w:rPr>
                <w:rFonts w:ascii="Times New Roman"/>
                <w:i/>
                <w:sz w:val="22"/>
              </w:rPr>
              <w:t>step</w:t>
            </w:r>
            <w:r>
              <w:rPr>
                <w:sz w:val="22"/>
              </w:rPr>
              <w:t>. If </w:t>
            </w:r>
            <w:r>
              <w:rPr>
                <w:rFonts w:ascii="Times New Roman"/>
                <w:i/>
                <w:sz w:val="22"/>
              </w:rPr>
              <w:t>step </w:t>
            </w:r>
            <w:r>
              <w:rPr>
                <w:sz w:val="22"/>
              </w:rPr>
              <w:t>is omitted, zero is used.</w:t>
            </w:r>
          </w:p>
        </w:tc>
      </w:tr>
      <w:tr>
        <w:trPr>
          <w:trHeight w:val="354" w:hRule="atLeast"/>
        </w:trPr>
        <w:tc>
          <w:tcPr>
            <w:tcW w:w="1466" w:type="dxa"/>
          </w:tcPr>
          <w:p>
            <w:pPr>
              <w:pStyle w:val="TableParagraph"/>
              <w:spacing w:before="37"/>
              <w:rPr>
                <w:rFonts w:ascii="Times New Roman"/>
                <w:i/>
                <w:sz w:val="22"/>
              </w:rPr>
            </w:pPr>
            <w:r>
              <w:rPr>
                <w:rFonts w:ascii="Times New Roman"/>
                <w:i/>
                <w:sz w:val="22"/>
              </w:rPr>
              <w:t>step</w:t>
            </w:r>
          </w:p>
        </w:tc>
        <w:tc>
          <w:tcPr>
            <w:tcW w:w="1800" w:type="dxa"/>
          </w:tcPr>
          <w:p>
            <w:pPr>
              <w:pStyle w:val="TableParagraph"/>
              <w:ind w:left="112"/>
              <w:rPr>
                <w:sz w:val="22"/>
              </w:rPr>
            </w:pPr>
            <w:r>
              <w:rPr>
                <w:sz w:val="22"/>
              </w:rPr>
              <w:t>number</w:t>
            </w:r>
          </w:p>
        </w:tc>
        <w:tc>
          <w:tcPr>
            <w:tcW w:w="5400" w:type="dxa"/>
            <w:vMerge/>
            <w:tcBorders>
              <w:top w:val="nil"/>
            </w:tcBorders>
          </w:tcPr>
          <w:p>
            <w:pPr>
              <w:rPr>
                <w:sz w:val="2"/>
                <w:szCs w:val="2"/>
              </w:rPr>
            </w:pPr>
          </w:p>
        </w:tc>
      </w:tr>
    </w:tbl>
    <w:p>
      <w:pPr>
        <w:pStyle w:val="BodyText"/>
        <w:rPr>
          <w:b/>
        </w:rPr>
      </w:pPr>
    </w:p>
    <w:p>
      <w:pPr>
        <w:pStyle w:val="BodyText"/>
        <w:rPr>
          <w:b/>
          <w:sz w:val="18"/>
        </w:rPr>
      </w:pPr>
    </w:p>
    <w:p>
      <w:pPr>
        <w:spacing w:line="453" w:lineRule="auto" w:before="0"/>
        <w:ind w:left="220" w:right="4484" w:firstLine="0"/>
        <w:jc w:val="left"/>
        <w:rPr>
          <w:sz w:val="22"/>
        </w:rPr>
      </w:pPr>
      <w:r>
        <w:rPr>
          <w:b/>
          <w:sz w:val="22"/>
        </w:rPr>
        <w:t>Return Type and Value: </w:t>
      </w:r>
      <w:r>
        <w:rPr>
          <w:sz w:val="22"/>
        </w:rPr>
        <w:t>number – 1 if </w:t>
      </w:r>
      <w:r>
        <w:rPr>
          <w:rFonts w:ascii="Times New Roman" w:hAnsi="Times New Roman"/>
          <w:i/>
          <w:sz w:val="22"/>
        </w:rPr>
        <w:t>number </w:t>
      </w:r>
      <w:r>
        <w:rPr>
          <w:sz w:val="22"/>
        </w:rPr>
        <w:t>≥ </w:t>
      </w:r>
      <w:r>
        <w:rPr>
          <w:rFonts w:ascii="Times New Roman" w:hAnsi="Times New Roman"/>
          <w:i/>
          <w:sz w:val="22"/>
        </w:rPr>
        <w:t>step</w:t>
      </w:r>
      <w:r>
        <w:rPr>
          <w:sz w:val="22"/>
        </w:rPr>
        <w:t>; otherwise, 0. [</w:t>
      </w:r>
      <w:r>
        <w:rPr>
          <w:i/>
          <w:sz w:val="22"/>
        </w:rPr>
        <w:t>Example</w:t>
      </w:r>
      <w:r>
        <w:rPr>
          <w:sz w:val="22"/>
        </w:rPr>
        <w:t>:</w:t>
      </w:r>
    </w:p>
    <w:p>
      <w:pPr>
        <w:pStyle w:val="BodyText"/>
        <w:spacing w:line="276" w:lineRule="auto" w:before="111"/>
        <w:ind w:left="220" w:right="7414"/>
        <w:rPr>
          <w:rFonts w:ascii="Consolas"/>
        </w:rPr>
      </w:pPr>
      <w:r>
        <w:rPr>
          <w:rFonts w:ascii="Consolas"/>
        </w:rPr>
        <w:t>GESTEP(5.6,-4.3) </w:t>
      </w:r>
      <w:r>
        <w:rPr/>
        <w:t>results in </w:t>
      </w:r>
      <w:r>
        <w:rPr>
          <w:rFonts w:ascii="Consolas"/>
        </w:rPr>
        <w:t>1 GESTEP(5.6,5.6) </w:t>
      </w:r>
      <w:r>
        <w:rPr/>
        <w:t>results in </w:t>
      </w:r>
      <w:r>
        <w:rPr>
          <w:rFonts w:ascii="Consolas"/>
        </w:rPr>
        <w:t>1 GESTEP(-5.6) </w:t>
      </w:r>
      <w:r>
        <w:rPr/>
        <w:t>results in </w:t>
      </w:r>
      <w:r>
        <w:rPr>
          <w:rFonts w:ascii="Consolas"/>
        </w:rPr>
        <w:t>0</w:t>
      </w:r>
    </w:p>
    <w:p>
      <w:pPr>
        <w:pStyle w:val="BodyText"/>
        <w:spacing w:before="5"/>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7 GETPIVOTDATA" w:id="1803"/>
      <w:bookmarkEnd w:id="1803"/>
      <w:r>
        <w:rPr/>
      </w:r>
      <w:bookmarkStart w:name="_bookmark600" w:id="1804"/>
      <w:bookmarkEnd w:id="1804"/>
      <w:r>
        <w:rPr/>
      </w:r>
      <w:bookmarkStart w:name="_bookmark600" w:id="1805"/>
      <w:bookmarkEnd w:id="1805"/>
      <w:r>
        <w:rPr>
          <w:color w:val="4F81BC"/>
        </w:rPr>
        <w:t>GETP</w:t>
      </w:r>
      <w:r>
        <w:rPr>
          <w:color w:val="4F81BC"/>
        </w:rPr>
        <w:t>IVOTDATA</w:t>
      </w:r>
    </w:p>
    <w:p>
      <w:pPr>
        <w:pStyle w:val="Heading4"/>
        <w:spacing w:before="121"/>
        <w:rPr>
          <w:b w:val="0"/>
        </w:rPr>
      </w:pPr>
      <w:r>
        <w:rPr/>
        <w:t>Syntax</w:t>
      </w:r>
      <w:r>
        <w:rPr>
          <w:b w:val="0"/>
        </w:rPr>
        <w:t>:</w:t>
      </w:r>
    </w:p>
    <w:p>
      <w:pPr>
        <w:pStyle w:val="BodyText"/>
        <w:spacing w:before="1"/>
        <w:rPr>
          <w:sz w:val="19"/>
        </w:rPr>
      </w:pPr>
    </w:p>
    <w:p>
      <w:pPr>
        <w:spacing w:line="260" w:lineRule="exact" w:before="0"/>
        <w:ind w:left="940" w:right="0" w:firstLine="0"/>
        <w:jc w:val="left"/>
        <w:rPr>
          <w:i/>
          <w:sz w:val="22"/>
        </w:rPr>
      </w:pPr>
      <w:r>
        <w:rPr>
          <w:rFonts w:ascii="Lucida Console"/>
          <w:sz w:val="20"/>
        </w:rPr>
        <w:t>GETPIVOTDATA ( </w:t>
      </w:r>
      <w:r>
        <w:rPr>
          <w:i/>
          <w:sz w:val="22"/>
        </w:rPr>
        <w:t>data-field </w:t>
      </w:r>
      <w:r>
        <w:rPr>
          <w:rFonts w:ascii="Lucida Console"/>
          <w:sz w:val="20"/>
        </w:rPr>
        <w:t>, </w:t>
      </w:r>
      <w:r>
        <w:rPr>
          <w:i/>
          <w:sz w:val="22"/>
        </w:rPr>
        <w:t>pivot-table </w:t>
      </w:r>
      <w:r>
        <w:rPr>
          <w:rFonts w:ascii="Lucida Console"/>
          <w:sz w:val="20"/>
        </w:rPr>
        <w:t>, </w:t>
      </w:r>
      <w:r>
        <w:rPr>
          <w:i/>
          <w:sz w:val="22"/>
        </w:rPr>
        <w:t>field-1  </w:t>
      </w:r>
      <w:r>
        <w:rPr>
          <w:rFonts w:ascii="Lucida Console"/>
          <w:sz w:val="20"/>
        </w:rPr>
        <w:t>, </w:t>
      </w:r>
      <w:r>
        <w:rPr>
          <w:i/>
          <w:sz w:val="22"/>
        </w:rPr>
        <w:t>item-1</w:t>
      </w:r>
    </w:p>
    <w:p>
      <w:pPr>
        <w:spacing w:line="260" w:lineRule="exact" w:before="0"/>
        <w:ind w:left="1300" w:right="0" w:firstLine="0"/>
        <w:jc w:val="left"/>
        <w:rPr>
          <w:rFonts w:ascii="Lucida Console" w:hAnsi="Lucida Console"/>
          <w:sz w:val="20"/>
        </w:rPr>
      </w:pPr>
      <w:r>
        <w:rPr>
          <w:sz w:val="22"/>
        </w:rPr>
        <w:t>[ </w:t>
      </w:r>
      <w:r>
        <w:rPr>
          <w:rFonts w:ascii="Lucida Console" w:hAnsi="Lucida Console"/>
          <w:sz w:val="20"/>
        </w:rPr>
        <w:t>, </w:t>
      </w:r>
      <w:r>
        <w:rPr>
          <w:i/>
          <w:sz w:val="22"/>
        </w:rPr>
        <w:t>field-2 </w:t>
      </w:r>
      <w:r>
        <w:rPr>
          <w:rFonts w:ascii="Lucida Console" w:hAnsi="Lucida Console"/>
          <w:sz w:val="20"/>
        </w:rPr>
        <w:t>, </w:t>
      </w:r>
      <w:r>
        <w:rPr>
          <w:i/>
          <w:sz w:val="22"/>
        </w:rPr>
        <w:t>item-2 </w:t>
      </w:r>
      <w:r>
        <w:rPr>
          <w:sz w:val="22"/>
        </w:rPr>
        <w:t>[ </w:t>
      </w:r>
      <w:r>
        <w:rPr>
          <w:rFonts w:ascii="Lucida Console" w:hAnsi="Lucida Console"/>
          <w:sz w:val="20"/>
        </w:rPr>
        <w:t>, </w:t>
      </w:r>
      <w:r>
        <w:rPr>
          <w:i/>
          <w:sz w:val="22"/>
        </w:rPr>
        <w:t>… </w:t>
      </w:r>
      <w:r>
        <w:rPr>
          <w:sz w:val="22"/>
        </w:rPr>
        <w:t>] ] </w:t>
      </w:r>
      <w:r>
        <w:rPr>
          <w:rFonts w:ascii="Lucida Console" w:hAnsi="Lucida Console"/>
          <w:sz w:val="20"/>
        </w:rPr>
        <w:t>)</w:t>
      </w:r>
    </w:p>
    <w:p>
      <w:pPr>
        <w:pStyle w:val="BodyText"/>
        <w:spacing w:line="276" w:lineRule="auto" w:before="106"/>
        <w:ind w:left="220" w:right="493"/>
      </w:pPr>
      <w:r>
        <w:rPr>
          <w:b/>
        </w:rPr>
        <w:t>Description</w:t>
      </w:r>
      <w:r>
        <w:rPr/>
        <w:t>: Retrieves data stored in a PivotTable report. Calculated fields or items and custom calculations are included in </w:t>
      </w:r>
      <w:r>
        <w:rPr>
          <w:rFonts w:ascii="Consolas"/>
        </w:rPr>
        <w:t>GETPIVOTDATA</w:t>
      </w:r>
      <w:r>
        <w:rPr>
          <w:rFonts w:ascii="Consolas"/>
          <w:spacing w:val="-70"/>
        </w:rPr>
        <w:t> </w:t>
      </w:r>
      <w:r>
        <w:rPr/>
        <w:t>calculations.</w:t>
      </w:r>
    </w:p>
    <w:p>
      <w:pPr>
        <w:pStyle w:val="BodyText"/>
        <w:spacing w:before="8"/>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data-field</w:t>
            </w:r>
          </w:p>
        </w:tc>
        <w:tc>
          <w:tcPr>
            <w:tcW w:w="1800" w:type="dxa"/>
          </w:tcPr>
          <w:p>
            <w:pPr>
              <w:pStyle w:val="TableParagraph"/>
              <w:ind w:left="112"/>
              <w:rPr>
                <w:sz w:val="22"/>
              </w:rPr>
            </w:pPr>
            <w:r>
              <w:rPr>
                <w:sz w:val="22"/>
              </w:rPr>
              <w:t>text</w:t>
            </w:r>
          </w:p>
        </w:tc>
        <w:tc>
          <w:tcPr>
            <w:tcW w:w="5400" w:type="dxa"/>
          </w:tcPr>
          <w:p>
            <w:pPr>
              <w:pStyle w:val="TableParagraph"/>
              <w:ind w:left="113" w:right="358"/>
              <w:rPr>
                <w:sz w:val="22"/>
              </w:rPr>
            </w:pPr>
            <w:r>
              <w:rPr>
                <w:sz w:val="22"/>
              </w:rPr>
              <w:t>The name of the data field that contains the data to be retrieved.</w:t>
            </w:r>
          </w:p>
        </w:tc>
      </w:tr>
      <w:tr>
        <w:trPr>
          <w:trHeight w:val="1429" w:hRule="atLeast"/>
        </w:trPr>
        <w:tc>
          <w:tcPr>
            <w:tcW w:w="1466" w:type="dxa"/>
          </w:tcPr>
          <w:p>
            <w:pPr>
              <w:pStyle w:val="TableParagraph"/>
              <w:spacing w:before="37"/>
              <w:rPr>
                <w:rFonts w:ascii="Times New Roman"/>
                <w:i/>
                <w:sz w:val="22"/>
              </w:rPr>
            </w:pPr>
            <w:r>
              <w:rPr>
                <w:rFonts w:ascii="Times New Roman"/>
                <w:i/>
                <w:sz w:val="22"/>
              </w:rPr>
              <w:t>pivot-table</w:t>
            </w:r>
          </w:p>
        </w:tc>
        <w:tc>
          <w:tcPr>
            <w:tcW w:w="1800" w:type="dxa"/>
          </w:tcPr>
          <w:p>
            <w:pPr>
              <w:pStyle w:val="TableParagraph"/>
              <w:ind w:left="112" w:right="98"/>
              <w:rPr>
                <w:sz w:val="22"/>
              </w:rPr>
            </w:pPr>
            <w:r>
              <w:rPr>
                <w:sz w:val="22"/>
              </w:rPr>
              <w:t>reference to any cell, range of cells, or named range of cells in a PivotTable report</w:t>
            </w:r>
          </w:p>
        </w:tc>
        <w:tc>
          <w:tcPr>
            <w:tcW w:w="5400" w:type="dxa"/>
          </w:tcPr>
          <w:p>
            <w:pPr>
              <w:pStyle w:val="TableParagraph"/>
              <w:ind w:left="113" w:right="122"/>
              <w:rPr>
                <w:sz w:val="22"/>
              </w:rPr>
            </w:pPr>
            <w:r>
              <w:rPr>
                <w:sz w:val="22"/>
              </w:rPr>
              <w:t>This information is used to determine which PivotTable report contains the data to be retrieved. If </w:t>
            </w:r>
            <w:r>
              <w:rPr>
                <w:rFonts w:ascii="Times New Roman"/>
                <w:i/>
                <w:sz w:val="22"/>
              </w:rPr>
              <w:t>pivot-table </w:t>
            </w:r>
            <w:r>
              <w:rPr>
                <w:sz w:val="22"/>
              </w:rPr>
              <w:t>is a range that includes two or more PivotTable reports, data shall be retrieved from whichever report was created most recently in the range.</w:t>
            </w:r>
          </w:p>
        </w:tc>
      </w:tr>
      <w:tr>
        <w:trPr>
          <w:trHeight w:val="859" w:hRule="atLeast"/>
        </w:trPr>
        <w:tc>
          <w:tcPr>
            <w:tcW w:w="1466" w:type="dxa"/>
          </w:tcPr>
          <w:p>
            <w:pPr>
              <w:pStyle w:val="TableParagraph"/>
              <w:spacing w:before="37"/>
              <w:ind w:right="90"/>
              <w:rPr>
                <w:rFonts w:ascii="Times New Roman"/>
                <w:i/>
                <w:sz w:val="22"/>
              </w:rPr>
            </w:pPr>
            <w:r>
              <w:rPr>
                <w:rFonts w:ascii="Times New Roman"/>
                <w:i/>
                <w:sz w:val="22"/>
              </w:rPr>
              <w:t>field-1 </w:t>
            </w:r>
            <w:r>
              <w:rPr>
                <w:sz w:val="22"/>
              </w:rPr>
              <w:t>through </w:t>
            </w:r>
            <w:r>
              <w:rPr>
                <w:rFonts w:ascii="Times New Roman"/>
                <w:i/>
                <w:sz w:val="22"/>
              </w:rPr>
              <w:t>field- </w:t>
            </w:r>
            <w:r>
              <w:rPr>
                <w:rFonts w:ascii="Times New Roman"/>
                <w:i/>
                <w:sz w:val="22"/>
              </w:rPr>
              <w:t>n</w:t>
            </w:r>
          </w:p>
        </w:tc>
        <w:tc>
          <w:tcPr>
            <w:tcW w:w="1800" w:type="dxa"/>
          </w:tcPr>
          <w:p>
            <w:pPr>
              <w:pStyle w:val="TableParagraph"/>
              <w:ind w:left="112"/>
              <w:rPr>
                <w:sz w:val="22"/>
              </w:rPr>
            </w:pPr>
            <w:r>
              <w:rPr>
                <w:sz w:val="22"/>
              </w:rPr>
              <w:t>text</w:t>
            </w:r>
          </w:p>
        </w:tc>
        <w:tc>
          <w:tcPr>
            <w:tcW w:w="5400" w:type="dxa"/>
            <w:vMerge w:val="restart"/>
          </w:tcPr>
          <w:p>
            <w:pPr>
              <w:pStyle w:val="TableParagraph"/>
              <w:ind w:left="113" w:right="276"/>
              <w:rPr>
                <w:sz w:val="22"/>
              </w:rPr>
            </w:pPr>
            <w:r>
              <w:rPr>
                <w:sz w:val="22"/>
              </w:rPr>
              <w:t>Argument pairs </w:t>
            </w:r>
            <w:r>
              <w:rPr>
                <w:rFonts w:ascii="Times New Roman"/>
                <w:i/>
                <w:sz w:val="22"/>
              </w:rPr>
              <w:t>field-1 </w:t>
            </w:r>
            <w:r>
              <w:rPr>
                <w:sz w:val="22"/>
              </w:rPr>
              <w:t>and </w:t>
            </w:r>
            <w:r>
              <w:rPr>
                <w:rFonts w:ascii="Times New Roman"/>
                <w:i/>
                <w:sz w:val="22"/>
              </w:rPr>
              <w:t>item-1</w:t>
            </w:r>
            <w:r>
              <w:rPr>
                <w:sz w:val="22"/>
              </w:rPr>
              <w:t>, </w:t>
            </w:r>
            <w:r>
              <w:rPr>
                <w:rFonts w:ascii="Times New Roman"/>
                <w:i/>
                <w:sz w:val="22"/>
              </w:rPr>
              <w:t>field-2 </w:t>
            </w:r>
            <w:r>
              <w:rPr>
                <w:sz w:val="22"/>
              </w:rPr>
              <w:t>and </w:t>
            </w:r>
            <w:r>
              <w:rPr>
                <w:rFonts w:ascii="Times New Roman"/>
                <w:i/>
                <w:sz w:val="22"/>
              </w:rPr>
              <w:t>item-2 </w:t>
            </w:r>
            <w:r>
              <w:rPr>
                <w:sz w:val="22"/>
              </w:rPr>
              <w:t>through </w:t>
            </w:r>
            <w:r>
              <w:rPr>
                <w:rFonts w:ascii="Times New Roman"/>
                <w:i/>
                <w:sz w:val="22"/>
              </w:rPr>
              <w:t>field-n </w:t>
            </w:r>
            <w:r>
              <w:rPr>
                <w:sz w:val="22"/>
              </w:rPr>
              <w:t>and </w:t>
            </w:r>
            <w:r>
              <w:rPr>
                <w:rFonts w:ascii="Times New Roman"/>
                <w:i/>
                <w:sz w:val="22"/>
              </w:rPr>
              <w:t>item-n </w:t>
            </w:r>
            <w:r>
              <w:rPr>
                <w:sz w:val="22"/>
              </w:rPr>
              <w:t>are field names and item names that describe the data to be retrieved. The pairs can be in any order. Field names and names for items other than dates/times (which shall be expressed as numbers) and numbers shall be enclosed in quotation marks. For OLAP PivotTable reports, items can contain the source name of the dimension as well as the source name of the item. [</w:t>
            </w:r>
            <w:r>
              <w:rPr>
                <w:i/>
                <w:sz w:val="22"/>
              </w:rPr>
              <w:t>Example</w:t>
            </w:r>
            <w:r>
              <w:rPr>
                <w:sz w:val="22"/>
              </w:rPr>
              <w:t>: A field and item pair for an</w:t>
            </w:r>
          </w:p>
        </w:tc>
      </w:tr>
      <w:tr>
        <w:trPr>
          <w:trHeight w:val="1633" w:hRule="atLeast"/>
        </w:trPr>
        <w:tc>
          <w:tcPr>
            <w:tcW w:w="1466" w:type="dxa"/>
          </w:tcPr>
          <w:p>
            <w:pPr>
              <w:pStyle w:val="TableParagraph"/>
              <w:spacing w:before="37"/>
              <w:ind w:right="102"/>
              <w:rPr>
                <w:rFonts w:ascii="Times New Roman"/>
                <w:i/>
                <w:sz w:val="22"/>
              </w:rPr>
            </w:pPr>
            <w:r>
              <w:rPr>
                <w:rFonts w:ascii="Times New Roman"/>
                <w:i/>
                <w:sz w:val="22"/>
              </w:rPr>
              <w:t>item-1 </w:t>
            </w:r>
            <w:r>
              <w:rPr>
                <w:sz w:val="22"/>
              </w:rPr>
              <w:t>through </w:t>
            </w:r>
            <w:r>
              <w:rPr>
                <w:rFonts w:ascii="Times New Roman"/>
                <w:i/>
                <w:sz w:val="22"/>
              </w:rPr>
              <w:t>item- </w:t>
            </w:r>
            <w:r>
              <w:rPr>
                <w:rFonts w:ascii="Times New Roman"/>
                <w:i/>
                <w:sz w:val="22"/>
              </w:rPr>
              <w:t>n</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bl>
    <w:p>
      <w:pPr>
        <w:spacing w:after="0"/>
        <w:rPr>
          <w:sz w:val="2"/>
          <w:szCs w:val="2"/>
        </w:rPr>
        <w:sectPr>
          <w:footerReference w:type="even" r:id="rId236"/>
          <w:footerReference w:type="default" r:id="rId237"/>
          <w:pgSz w:w="12240" w:h="15840"/>
          <w:pgMar w:footer="746" w:header="761" w:top="1340" w:bottom="940" w:left="860" w:right="700"/>
          <w:pgNumType w:start="222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7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401" w:hanging="288"/>
              <w:rPr>
                <w:rFonts w:ascii="Consolas"/>
                <w:sz w:val="22"/>
              </w:rPr>
            </w:pPr>
            <w:r>
              <w:rPr>
                <w:sz w:val="22"/>
              </w:rPr>
              <w:t>OLAP PivotTable might look like this: </w:t>
            </w:r>
            <w:r>
              <w:rPr>
                <w:rFonts w:ascii="Consolas"/>
                <w:sz w:val="22"/>
              </w:rPr>
              <w:t>"[Product]","[Product].[All Products].[Foods].[Baked Goods]"</w:t>
            </w:r>
          </w:p>
          <w:p>
            <w:pPr>
              <w:pStyle w:val="TableParagraph"/>
              <w:spacing w:before="0"/>
              <w:ind w:left="113" w:right="235"/>
              <w:jc w:val="both"/>
              <w:rPr>
                <w:sz w:val="22"/>
              </w:rPr>
            </w:pPr>
            <w:r>
              <w:rPr>
                <w:i/>
                <w:sz w:val="22"/>
              </w:rPr>
              <w:t>end example</w:t>
            </w:r>
            <w:r>
              <w:rPr>
                <w:sz w:val="22"/>
              </w:rPr>
              <w:t>] If the field and item arguments describe a single cell, the value of that cell is returned regardless of its value.</w:t>
            </w:r>
          </w:p>
        </w:tc>
      </w:tr>
    </w:tbl>
    <w:p>
      <w:pPr>
        <w:pStyle w:val="BodyText"/>
        <w:rPr>
          <w:sz w:val="20"/>
        </w:rPr>
      </w:pPr>
    </w:p>
    <w:p>
      <w:pPr>
        <w:pStyle w:val="BodyText"/>
        <w:spacing w:before="7"/>
        <w:rPr>
          <w:sz w:val="15"/>
        </w:rPr>
      </w:pPr>
    </w:p>
    <w:p>
      <w:pPr>
        <w:spacing w:line="453" w:lineRule="auto" w:before="57"/>
        <w:ind w:left="220" w:right="4274" w:firstLine="0"/>
        <w:jc w:val="left"/>
        <w:rPr>
          <w:sz w:val="22"/>
        </w:rPr>
      </w:pPr>
      <w:r>
        <w:rPr>
          <w:b/>
          <w:sz w:val="22"/>
        </w:rPr>
        <w:t>Return Type and Value</w:t>
      </w:r>
      <w:r>
        <w:rPr>
          <w:sz w:val="22"/>
        </w:rPr>
        <w:t>: any – The data stored in a PivotTable report.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pivot-table </w:t>
      </w:r>
      <w:r>
        <w:rPr>
          <w:sz w:val="22"/>
        </w:rPr>
        <w:t>is not a range in which a PivotTable report is found, the return value is</w:t>
      </w:r>
      <w:r>
        <w:rPr>
          <w:spacing w:val="-26"/>
          <w:sz w:val="22"/>
        </w:rPr>
        <w:t> </w:t>
      </w:r>
      <w:r>
        <w:rPr>
          <w:sz w:val="22"/>
        </w:rPr>
        <w:t>unspecified.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sz w:val="22"/>
        </w:rPr>
        <w:t>The arguments do not describe a visible field, the return value is</w:t>
      </w:r>
      <w:r>
        <w:rPr>
          <w:spacing w:val="-6"/>
          <w:sz w:val="22"/>
        </w:rPr>
        <w:t> </w:t>
      </w:r>
      <w:r>
        <w:rPr>
          <w:sz w:val="22"/>
        </w:rPr>
        <w:t>unspecified.</w:t>
      </w:r>
    </w:p>
    <w:p>
      <w:pPr>
        <w:pStyle w:val="ListParagraph"/>
        <w:numPr>
          <w:ilvl w:val="4"/>
          <w:numId w:val="66"/>
        </w:numPr>
        <w:tabs>
          <w:tab w:pos="940" w:val="left" w:leader="none"/>
          <w:tab w:pos="941" w:val="left" w:leader="none"/>
        </w:tabs>
        <w:spacing w:line="448" w:lineRule="auto" w:before="41" w:after="15"/>
        <w:ind w:left="220" w:right="1880" w:firstLine="360"/>
        <w:jc w:val="left"/>
        <w:rPr>
          <w:sz w:val="22"/>
        </w:rPr>
      </w:pPr>
      <w:r>
        <w:rPr>
          <w:sz w:val="22"/>
        </w:rPr>
        <w:t>The arguments include a page field that is not displayed, the return value is unspecified. [</w:t>
      </w:r>
      <w:r>
        <w:rPr>
          <w:i/>
          <w:sz w:val="22"/>
        </w:rPr>
        <w:t>Example</w:t>
      </w:r>
      <w:r>
        <w:rPr>
          <w:sz w:val="22"/>
        </w:rPr>
        <w:t>: Given the following</w:t>
      </w:r>
      <w:r>
        <w:rPr>
          <w:spacing w:val="-5"/>
          <w:sz w:val="22"/>
        </w:rPr>
        <w:t> </w:t>
      </w:r>
      <w:r>
        <w:rPr>
          <w:sz w:val="22"/>
        </w:rPr>
        <w:t>data:</w:t>
      </w:r>
    </w:p>
    <w:p>
      <w:pPr>
        <w:pStyle w:val="BodyText"/>
        <w:ind w:left="220"/>
        <w:rPr>
          <w:sz w:val="20"/>
        </w:rPr>
      </w:pPr>
      <w:r>
        <w:rPr>
          <w:sz w:val="20"/>
        </w:rPr>
        <w:drawing>
          <wp:inline distT="0" distB="0" distL="0" distR="0">
            <wp:extent cx="3391764" cy="1495425"/>
            <wp:effectExtent l="0" t="0" r="0" b="0"/>
            <wp:docPr id="139" name="image69.png"/>
            <wp:cNvGraphicFramePr>
              <a:graphicFrameLocks noChangeAspect="1"/>
            </wp:cNvGraphicFramePr>
            <a:graphic>
              <a:graphicData uri="http://schemas.openxmlformats.org/drawingml/2006/picture">
                <pic:pic>
                  <pic:nvPicPr>
                    <pic:cNvPr id="140" name="image69.png"/>
                    <pic:cNvPicPr/>
                  </pic:nvPicPr>
                  <pic:blipFill>
                    <a:blip r:embed="rId238" cstate="print"/>
                    <a:stretch>
                      <a:fillRect/>
                    </a:stretch>
                  </pic:blipFill>
                  <pic:spPr>
                    <a:xfrm>
                      <a:off x="0" y="0"/>
                      <a:ext cx="3391764" cy="1495425"/>
                    </a:xfrm>
                    <a:prstGeom prst="rect">
                      <a:avLst/>
                    </a:prstGeom>
                  </pic:spPr>
                </pic:pic>
              </a:graphicData>
            </a:graphic>
          </wp:inline>
        </w:drawing>
      </w:r>
      <w:r>
        <w:rPr>
          <w:sz w:val="20"/>
        </w:rPr>
      </w:r>
    </w:p>
    <w:p>
      <w:pPr>
        <w:pStyle w:val="BodyText"/>
        <w:spacing w:before="8"/>
        <w:rPr>
          <w:sz w:val="19"/>
        </w:rPr>
      </w:pPr>
    </w:p>
    <w:p>
      <w:pPr>
        <w:pStyle w:val="BodyText"/>
        <w:ind w:left="220"/>
      </w:pPr>
      <w:r>
        <w:rPr>
          <w:rFonts w:ascii="Consolas"/>
        </w:rPr>
        <w:t>GETPIVOTDATA("Sales",$A$4)</w:t>
      </w:r>
      <w:r>
        <w:rPr>
          <w:rFonts w:ascii="Consolas"/>
          <w:spacing w:val="-75"/>
        </w:rPr>
        <w:t> </w:t>
      </w:r>
      <w:r>
        <w:rPr/>
        <w:t>returns the grand total of the Sales field, </w:t>
      </w:r>
      <w:r>
        <w:rPr>
          <w:rFonts w:ascii="Consolas"/>
        </w:rPr>
        <w:t>$49,325</w:t>
      </w:r>
      <w:r>
        <w:rPr/>
        <w:t>.</w:t>
      </w:r>
    </w:p>
    <w:p>
      <w:pPr>
        <w:pStyle w:val="BodyText"/>
        <w:spacing w:before="6"/>
        <w:rPr>
          <w:sz w:val="19"/>
        </w:rPr>
      </w:pPr>
    </w:p>
    <w:p>
      <w:pPr>
        <w:pStyle w:val="BodyText"/>
        <w:spacing w:line="278" w:lineRule="auto"/>
        <w:ind w:left="220" w:right="484"/>
      </w:pPr>
      <w:r>
        <w:rPr>
          <w:rFonts w:ascii="Consolas"/>
        </w:rPr>
        <w:t>GETPIVOTDATA("Sum of Sales",$A$4) </w:t>
      </w:r>
      <w:r>
        <w:rPr/>
        <w:t>also returns the grand total of the Sales field, </w:t>
      </w:r>
      <w:r>
        <w:rPr>
          <w:rFonts w:ascii="Consolas"/>
        </w:rPr>
        <w:t>$49,325</w:t>
      </w:r>
      <w:r>
        <w:rPr/>
        <w:t>; the field name can be entered exactly as it looks on the sheet, or as its root (without "Sum of," "Count of," and so forth).</w:t>
      </w:r>
    </w:p>
    <w:p>
      <w:pPr>
        <w:pStyle w:val="BodyText"/>
        <w:spacing w:before="198"/>
        <w:ind w:left="220"/>
      </w:pPr>
      <w:r>
        <w:rPr>
          <w:rFonts w:ascii="Consolas"/>
        </w:rPr>
        <w:t>GETPIVOTDATA("Sales",$A$4,"Month","March")</w:t>
      </w:r>
      <w:r>
        <w:rPr>
          <w:rFonts w:ascii="Consolas"/>
          <w:spacing w:val="-80"/>
        </w:rPr>
        <w:t> </w:t>
      </w:r>
      <w:r>
        <w:rPr/>
        <w:t>returns the grand total for March, </w:t>
      </w:r>
      <w:r>
        <w:rPr>
          <w:rFonts w:ascii="Consolas"/>
        </w:rPr>
        <w:t>$30,337</w:t>
      </w:r>
      <w:r>
        <w:rPr/>
        <w:t>.</w:t>
      </w:r>
    </w:p>
    <w:p>
      <w:pPr>
        <w:pStyle w:val="BodyText"/>
        <w:spacing w:before="8"/>
        <w:rPr>
          <w:sz w:val="19"/>
        </w:rPr>
      </w:pPr>
    </w:p>
    <w:p>
      <w:pPr>
        <w:pStyle w:val="BodyText"/>
        <w:spacing w:line="276" w:lineRule="auto"/>
        <w:ind w:left="220" w:right="412"/>
      </w:pPr>
      <w:r>
        <w:rPr>
          <w:rFonts w:ascii="Consolas"/>
          <w:spacing w:val="-1"/>
        </w:rPr>
        <w:t>GETPIVOTDATA("Sales",$A$4,"Month","March","Product","Produce","Salesperson","Buchan </w:t>
      </w:r>
      <w:r>
        <w:rPr>
          <w:rFonts w:ascii="Consolas"/>
        </w:rPr>
        <w:t>an")</w:t>
      </w:r>
      <w:r>
        <w:rPr>
          <w:rFonts w:ascii="Consolas"/>
          <w:spacing w:val="-75"/>
        </w:rPr>
        <w:t> </w:t>
      </w:r>
      <w:r>
        <w:rPr/>
        <w:t>returns </w:t>
      </w:r>
      <w:r>
        <w:rPr>
          <w:rFonts w:ascii="Consolas"/>
        </w:rPr>
        <w:t>$10,201</w:t>
      </w:r>
      <w:r>
        <w:rPr/>
        <w:t>.</w:t>
      </w:r>
    </w:p>
    <w:p>
      <w:pPr>
        <w:pStyle w:val="BodyText"/>
        <w:spacing w:line="278" w:lineRule="auto" w:before="196"/>
        <w:ind w:left="220" w:right="653"/>
      </w:pPr>
      <w:r>
        <w:rPr>
          <w:rFonts w:ascii="Consolas"/>
        </w:rPr>
        <w:t>GETPIVOTDATA("Sales",$A$4,"Region","South")</w:t>
      </w:r>
      <w:r>
        <w:rPr>
          <w:rFonts w:ascii="Consolas"/>
          <w:spacing w:val="-67"/>
        </w:rPr>
        <w:t> </w:t>
      </w:r>
      <w:r>
        <w:rPr/>
        <w:t>is unspecified because the South region data is not visible.</w:t>
      </w:r>
    </w:p>
    <w:p>
      <w:pPr>
        <w:pStyle w:val="BodyText"/>
        <w:spacing w:line="276" w:lineRule="auto" w:before="196"/>
        <w:ind w:left="220"/>
      </w:pPr>
      <w:r>
        <w:rPr>
          <w:rFonts w:ascii="Consolas"/>
        </w:rPr>
        <w:t>GETPIVOTDATA("Sales",$A$4,"Product","Beverages","Salesperson","Davolio")</w:t>
      </w:r>
      <w:r>
        <w:rPr>
          <w:rFonts w:ascii="Consolas"/>
          <w:spacing w:val="-98"/>
        </w:rPr>
        <w:t> </w:t>
      </w:r>
      <w:r>
        <w:rPr/>
        <w:t>is unspecified because there is no total value of beverage sales for Davolio.</w:t>
      </w:r>
    </w:p>
    <w:p>
      <w:pPr>
        <w:pStyle w:val="BodyText"/>
        <w:spacing w:before="6"/>
        <w:rPr>
          <w:sz w:val="24"/>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138 GROWTH" w:id="1806"/>
      <w:bookmarkEnd w:id="1806"/>
      <w:r>
        <w:rPr/>
      </w:r>
      <w:bookmarkStart w:name="_bookmark601" w:id="1807"/>
      <w:bookmarkEnd w:id="1807"/>
      <w:r>
        <w:rPr/>
      </w:r>
      <w:bookmarkStart w:name="_bookmark601" w:id="1808"/>
      <w:bookmarkEnd w:id="1808"/>
      <w:r>
        <w:rPr>
          <w:color w:val="4F81BC"/>
        </w:rPr>
        <w:t>GR</w:t>
      </w:r>
      <w:r>
        <w:rPr>
          <w:color w:val="4F81BC"/>
        </w:rPr>
        <w:t>OWTH</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GROWTH ( </w:t>
      </w:r>
      <w:r>
        <w:rPr>
          <w:i/>
          <w:sz w:val="22"/>
        </w:rPr>
        <w:t>known-ys </w:t>
      </w:r>
      <w:r>
        <w:rPr>
          <w:sz w:val="22"/>
        </w:rPr>
        <w:t>[ </w:t>
      </w:r>
      <w:r>
        <w:rPr>
          <w:rFonts w:ascii="Lucida Console"/>
          <w:sz w:val="20"/>
        </w:rPr>
        <w:t>, </w:t>
      </w:r>
      <w:r>
        <w:rPr>
          <w:sz w:val="22"/>
        </w:rPr>
        <w:t>[ </w:t>
      </w:r>
      <w:r>
        <w:rPr>
          <w:i/>
          <w:sz w:val="22"/>
        </w:rPr>
        <w:t>known-xs </w:t>
      </w:r>
      <w:r>
        <w:rPr>
          <w:sz w:val="22"/>
        </w:rPr>
        <w:t>] [ </w:t>
      </w:r>
      <w:r>
        <w:rPr>
          <w:rFonts w:ascii="Lucida Console"/>
          <w:sz w:val="20"/>
        </w:rPr>
        <w:t>, </w:t>
      </w:r>
      <w:r>
        <w:rPr>
          <w:sz w:val="22"/>
        </w:rPr>
        <w:t>[ </w:t>
      </w:r>
      <w:r>
        <w:rPr>
          <w:i/>
          <w:sz w:val="22"/>
        </w:rPr>
        <w:t>new-xs </w:t>
      </w:r>
      <w:r>
        <w:rPr>
          <w:sz w:val="22"/>
        </w:rPr>
        <w:t>] [ </w:t>
      </w:r>
      <w:r>
        <w:rPr>
          <w:rFonts w:ascii="Lucida Console"/>
          <w:sz w:val="20"/>
        </w:rPr>
        <w:t>, </w:t>
      </w:r>
      <w:r>
        <w:rPr>
          <w:i/>
          <w:sz w:val="22"/>
        </w:rPr>
        <w:t>const-flag </w:t>
      </w:r>
      <w:r>
        <w:rPr>
          <w:sz w:val="22"/>
        </w:rPr>
        <w:t>] ] </w:t>
      </w:r>
      <w:r>
        <w:rPr>
          <w:rFonts w:ascii="Lucida Console"/>
          <w:sz w:val="20"/>
        </w:rPr>
        <w:t>)</w:t>
      </w:r>
    </w:p>
    <w:p>
      <w:pPr>
        <w:pStyle w:val="BodyText"/>
        <w:spacing w:line="278" w:lineRule="auto" w:before="106"/>
        <w:ind w:left="220" w:right="474"/>
      </w:pPr>
      <w:r>
        <w:rPr>
          <w:b/>
        </w:rPr>
        <w:t>Description: </w:t>
      </w:r>
      <w:r>
        <w:rPr/>
        <w:t>Computes predicted exponential growth by using existing data. </w:t>
      </w:r>
      <w:r>
        <w:rPr>
          <w:rFonts w:ascii="Consolas"/>
        </w:rPr>
        <w:t>GROWTH</w:t>
      </w:r>
      <w:r>
        <w:rPr>
          <w:rFonts w:ascii="Consolas"/>
          <w:spacing w:val="-71"/>
        </w:rPr>
        <w:t> </w:t>
      </w:r>
      <w:r>
        <w:rPr/>
        <w:t>can also fit an exponential curve to existing x-values and y-values.</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428" w:hRule="atLeast"/>
        </w:trPr>
        <w:tc>
          <w:tcPr>
            <w:tcW w:w="1466" w:type="dxa"/>
          </w:tcPr>
          <w:p>
            <w:pPr>
              <w:pStyle w:val="TableParagraph"/>
              <w:spacing w:before="37"/>
              <w:rPr>
                <w:rFonts w:ascii="Times New Roman"/>
                <w:i/>
                <w:sz w:val="22"/>
              </w:rPr>
            </w:pPr>
            <w:r>
              <w:rPr>
                <w:rFonts w:ascii="Times New Roman"/>
                <w:i/>
                <w:sz w:val="22"/>
              </w:rPr>
              <w:t>known-ys</w:t>
            </w:r>
          </w:p>
        </w:tc>
        <w:tc>
          <w:tcPr>
            <w:tcW w:w="1800" w:type="dxa"/>
          </w:tcPr>
          <w:p>
            <w:pPr>
              <w:pStyle w:val="TableParagraph"/>
              <w:ind w:left="112"/>
              <w:rPr>
                <w:sz w:val="22"/>
              </w:rPr>
            </w:pPr>
            <w:r>
              <w:rPr>
                <w:sz w:val="22"/>
              </w:rPr>
              <w:t>array</w:t>
            </w:r>
          </w:p>
        </w:tc>
        <w:tc>
          <w:tcPr>
            <w:tcW w:w="5400" w:type="dxa"/>
          </w:tcPr>
          <w:p>
            <w:pPr>
              <w:pStyle w:val="TableParagraph"/>
              <w:ind w:left="113" w:right="151"/>
              <w:rPr>
                <w:sz w:val="22"/>
              </w:rPr>
            </w:pPr>
            <w:r>
              <w:rPr>
                <w:sz w:val="22"/>
              </w:rPr>
              <w:t>Set of y-values already known in the relationship y=b*m</w:t>
            </w:r>
            <w:r>
              <w:rPr>
                <w:sz w:val="22"/>
                <w:vertAlign w:val="superscript"/>
              </w:rPr>
              <w:t>x</w:t>
            </w:r>
            <w:r>
              <w:rPr>
                <w:sz w:val="22"/>
                <w:vertAlign w:val="baseline"/>
              </w:rPr>
              <w:t>. If the array </w:t>
            </w:r>
            <w:r>
              <w:rPr>
                <w:rFonts w:ascii="Times New Roman"/>
                <w:i/>
                <w:sz w:val="22"/>
                <w:vertAlign w:val="baseline"/>
              </w:rPr>
              <w:t>known-ys </w:t>
            </w:r>
            <w:r>
              <w:rPr>
                <w:sz w:val="22"/>
                <w:vertAlign w:val="baseline"/>
              </w:rPr>
              <w:t>is a single column, then each column of </w:t>
            </w:r>
            <w:r>
              <w:rPr>
                <w:rFonts w:ascii="Times New Roman"/>
                <w:i/>
                <w:sz w:val="22"/>
                <w:vertAlign w:val="baseline"/>
              </w:rPr>
              <w:t>known-xs </w:t>
            </w:r>
            <w:r>
              <w:rPr>
                <w:sz w:val="22"/>
                <w:vertAlign w:val="baseline"/>
              </w:rPr>
              <w:t>is interpreted as a separate variable. If the array </w:t>
            </w:r>
            <w:r>
              <w:rPr>
                <w:rFonts w:ascii="Times New Roman"/>
                <w:i/>
                <w:sz w:val="22"/>
                <w:vertAlign w:val="baseline"/>
              </w:rPr>
              <w:t>known-ys </w:t>
            </w:r>
            <w:r>
              <w:rPr>
                <w:sz w:val="22"/>
                <w:vertAlign w:val="baseline"/>
              </w:rPr>
              <w:t>is a single row, then each row of </w:t>
            </w:r>
            <w:r>
              <w:rPr>
                <w:rFonts w:ascii="Times New Roman"/>
                <w:i/>
                <w:sz w:val="22"/>
                <w:vertAlign w:val="baseline"/>
              </w:rPr>
              <w:t>known-xs </w:t>
            </w:r>
            <w:r>
              <w:rPr>
                <w:sz w:val="22"/>
                <w:vertAlign w:val="baseline"/>
              </w:rPr>
              <w:t>is interpreted as a separate variable.</w:t>
            </w:r>
          </w:p>
        </w:tc>
      </w:tr>
      <w:tr>
        <w:trPr>
          <w:trHeight w:val="2505" w:hRule="atLeast"/>
        </w:trPr>
        <w:tc>
          <w:tcPr>
            <w:tcW w:w="1466" w:type="dxa"/>
          </w:tcPr>
          <w:p>
            <w:pPr>
              <w:pStyle w:val="TableParagraph"/>
              <w:spacing w:before="39"/>
              <w:rPr>
                <w:rFonts w:ascii="Times New Roman"/>
                <w:i/>
                <w:sz w:val="22"/>
              </w:rPr>
            </w:pPr>
            <w:r>
              <w:rPr>
                <w:rFonts w:ascii="Times New Roman"/>
                <w:i/>
                <w:sz w:val="22"/>
              </w:rPr>
              <w:t>known-xs</w:t>
            </w:r>
          </w:p>
        </w:tc>
        <w:tc>
          <w:tcPr>
            <w:tcW w:w="1800" w:type="dxa"/>
          </w:tcPr>
          <w:p>
            <w:pPr>
              <w:pStyle w:val="TableParagraph"/>
              <w:spacing w:before="42"/>
              <w:ind w:left="112"/>
              <w:rPr>
                <w:sz w:val="22"/>
              </w:rPr>
            </w:pPr>
            <w:r>
              <w:rPr>
                <w:sz w:val="22"/>
              </w:rPr>
              <w:t>array</w:t>
            </w:r>
          </w:p>
        </w:tc>
        <w:tc>
          <w:tcPr>
            <w:tcW w:w="5400" w:type="dxa"/>
          </w:tcPr>
          <w:p>
            <w:pPr>
              <w:pStyle w:val="TableParagraph"/>
              <w:spacing w:before="42"/>
              <w:ind w:left="113" w:right="159"/>
              <w:rPr>
                <w:sz w:val="22"/>
              </w:rPr>
            </w:pPr>
            <w:r>
              <w:rPr>
                <w:sz w:val="22"/>
              </w:rPr>
              <w:t>Set of x-values that might already be know in the relationship y=b*m</w:t>
            </w:r>
            <w:r>
              <w:rPr>
                <w:sz w:val="22"/>
                <w:vertAlign w:val="superscript"/>
              </w:rPr>
              <w:t>x</w:t>
            </w:r>
            <w:r>
              <w:rPr>
                <w:sz w:val="22"/>
                <w:vertAlign w:val="baseline"/>
              </w:rPr>
              <w:t>. The array </w:t>
            </w:r>
            <w:r>
              <w:rPr>
                <w:rFonts w:ascii="Times New Roman" w:hAnsi="Times New Roman"/>
                <w:i/>
                <w:sz w:val="22"/>
                <w:vertAlign w:val="baseline"/>
              </w:rPr>
              <w:t>known-xs </w:t>
            </w:r>
            <w:r>
              <w:rPr>
                <w:sz w:val="22"/>
                <w:vertAlign w:val="baseline"/>
              </w:rPr>
              <w:t>can include one or more sets of variables. If only one variable is used, </w:t>
            </w:r>
            <w:r>
              <w:rPr>
                <w:rFonts w:ascii="Times New Roman" w:hAnsi="Times New Roman"/>
                <w:i/>
                <w:sz w:val="22"/>
                <w:vertAlign w:val="baseline"/>
              </w:rPr>
              <w:t>known-ys </w:t>
            </w:r>
            <w:r>
              <w:rPr>
                <w:sz w:val="22"/>
                <w:vertAlign w:val="baseline"/>
              </w:rPr>
              <w:t>and </w:t>
            </w:r>
            <w:r>
              <w:rPr>
                <w:rFonts w:ascii="Times New Roman" w:hAnsi="Times New Roman"/>
                <w:i/>
                <w:sz w:val="22"/>
                <w:vertAlign w:val="baseline"/>
              </w:rPr>
              <w:t>known-xs </w:t>
            </w:r>
            <w:r>
              <w:rPr>
                <w:sz w:val="22"/>
                <w:vertAlign w:val="baseline"/>
              </w:rPr>
              <w:t>can be ranges of any shape, as long as they have equal dimensions. If more than one variable is used, </w:t>
            </w:r>
            <w:r>
              <w:rPr>
                <w:rFonts w:ascii="Times New Roman" w:hAnsi="Times New Roman"/>
                <w:i/>
                <w:sz w:val="22"/>
                <w:vertAlign w:val="baseline"/>
              </w:rPr>
              <w:t>known-ys </w:t>
            </w:r>
            <w:r>
              <w:rPr>
                <w:sz w:val="22"/>
                <w:vertAlign w:val="baseline"/>
              </w:rPr>
              <w:t>shall be a vector (that is, a </w:t>
            </w:r>
            <w:r>
              <w:rPr>
                <w:rFonts w:ascii="Times New Roman" w:hAnsi="Times New Roman"/>
                <w:i/>
                <w:sz w:val="22"/>
                <w:vertAlign w:val="baseline"/>
              </w:rPr>
              <w:t>known-ys </w:t>
            </w:r>
            <w:r>
              <w:rPr>
                <w:sz w:val="22"/>
                <w:vertAlign w:val="baseline"/>
              </w:rPr>
              <w:t>with a height of one row or a width of one column). If </w:t>
            </w:r>
            <w:r>
              <w:rPr>
                <w:rFonts w:ascii="Times New Roman" w:hAnsi="Times New Roman"/>
                <w:i/>
                <w:sz w:val="22"/>
                <w:vertAlign w:val="baseline"/>
              </w:rPr>
              <w:t>known-xs </w:t>
            </w:r>
            <w:r>
              <w:rPr>
                <w:sz w:val="22"/>
                <w:vertAlign w:val="baseline"/>
              </w:rPr>
              <w:t>is omitted, it is assumed to be the array {1,2,3,…} that is the same size as </w:t>
            </w:r>
            <w:r>
              <w:rPr>
                <w:rFonts w:ascii="Times New Roman" w:hAnsi="Times New Roman"/>
                <w:i/>
                <w:sz w:val="22"/>
                <w:vertAlign w:val="baseline"/>
              </w:rPr>
              <w:t>known-ys</w:t>
            </w:r>
            <w:r>
              <w:rPr>
                <w:sz w:val="22"/>
                <w:vertAlign w:val="baseline"/>
              </w:rPr>
              <w:t>.</w:t>
            </w:r>
          </w:p>
        </w:tc>
      </w:tr>
      <w:tr>
        <w:trPr>
          <w:trHeight w:val="2503" w:hRule="atLeast"/>
        </w:trPr>
        <w:tc>
          <w:tcPr>
            <w:tcW w:w="1466" w:type="dxa"/>
          </w:tcPr>
          <w:p>
            <w:pPr>
              <w:pStyle w:val="TableParagraph"/>
              <w:spacing w:before="37"/>
              <w:rPr>
                <w:rFonts w:ascii="Times New Roman"/>
                <w:i/>
                <w:sz w:val="22"/>
              </w:rPr>
            </w:pPr>
            <w:r>
              <w:rPr>
                <w:rFonts w:ascii="Times New Roman"/>
                <w:i/>
                <w:sz w:val="22"/>
              </w:rPr>
              <w:t>new-xs</w:t>
            </w:r>
          </w:p>
        </w:tc>
        <w:tc>
          <w:tcPr>
            <w:tcW w:w="1800" w:type="dxa"/>
          </w:tcPr>
          <w:p>
            <w:pPr>
              <w:pStyle w:val="TableParagraph"/>
              <w:ind w:left="112"/>
              <w:rPr>
                <w:sz w:val="22"/>
              </w:rPr>
            </w:pPr>
            <w:r>
              <w:rPr>
                <w:sz w:val="22"/>
              </w:rPr>
              <w:t>array</w:t>
            </w:r>
          </w:p>
        </w:tc>
        <w:tc>
          <w:tcPr>
            <w:tcW w:w="5400" w:type="dxa"/>
          </w:tcPr>
          <w:p>
            <w:pPr>
              <w:pStyle w:val="TableParagraph"/>
              <w:ind w:left="113" w:right="105"/>
              <w:rPr>
                <w:sz w:val="22"/>
              </w:rPr>
            </w:pPr>
            <w:r>
              <w:rPr>
                <w:sz w:val="22"/>
              </w:rPr>
              <w:t>A set of new x-values for which </w:t>
            </w:r>
            <w:r>
              <w:rPr>
                <w:rFonts w:ascii="Consolas"/>
                <w:sz w:val="22"/>
              </w:rPr>
              <w:t>GROWTH </w:t>
            </w:r>
            <w:r>
              <w:rPr>
                <w:sz w:val="22"/>
              </w:rPr>
              <w:t>is to return corresponding y-values. </w:t>
            </w:r>
            <w:r>
              <w:rPr>
                <w:rFonts w:ascii="Times New Roman"/>
                <w:i/>
                <w:sz w:val="22"/>
              </w:rPr>
              <w:t>new-xs </w:t>
            </w:r>
            <w:r>
              <w:rPr>
                <w:sz w:val="22"/>
              </w:rPr>
              <w:t>shall include a column (or row) for each independent variable, just as </w:t>
            </w:r>
            <w:r>
              <w:rPr>
                <w:rFonts w:ascii="Times New Roman"/>
                <w:i/>
                <w:sz w:val="22"/>
              </w:rPr>
              <w:t>known-xs </w:t>
            </w:r>
            <w:r>
              <w:rPr>
                <w:sz w:val="22"/>
              </w:rPr>
              <w:t>does. So, if </w:t>
            </w:r>
            <w:r>
              <w:rPr>
                <w:rFonts w:ascii="Times New Roman"/>
                <w:i/>
                <w:sz w:val="22"/>
              </w:rPr>
              <w:t>known-ys </w:t>
            </w:r>
            <w:r>
              <w:rPr>
                <w:sz w:val="22"/>
              </w:rPr>
              <w:t>is in a single column, </w:t>
            </w:r>
            <w:r>
              <w:rPr>
                <w:rFonts w:ascii="Times New Roman"/>
                <w:i/>
                <w:sz w:val="22"/>
              </w:rPr>
              <w:t>known-xs </w:t>
            </w:r>
            <w:r>
              <w:rPr>
                <w:sz w:val="22"/>
              </w:rPr>
              <w:t>and </w:t>
            </w:r>
            <w:r>
              <w:rPr>
                <w:rFonts w:ascii="Times New Roman"/>
                <w:i/>
                <w:sz w:val="22"/>
              </w:rPr>
              <w:t>new-xs </w:t>
            </w:r>
            <w:r>
              <w:rPr>
                <w:sz w:val="22"/>
              </w:rPr>
              <w:t>shall have the same number of columns. If </w:t>
            </w:r>
            <w:r>
              <w:rPr>
                <w:rFonts w:ascii="Times New Roman"/>
                <w:i/>
                <w:sz w:val="22"/>
              </w:rPr>
              <w:t>known- </w:t>
            </w:r>
            <w:r>
              <w:rPr>
                <w:rFonts w:ascii="Times New Roman"/>
                <w:i/>
                <w:sz w:val="22"/>
              </w:rPr>
              <w:t>ys </w:t>
            </w:r>
            <w:r>
              <w:rPr>
                <w:sz w:val="22"/>
              </w:rPr>
              <w:t>is in a single row, </w:t>
            </w:r>
            <w:r>
              <w:rPr>
                <w:rFonts w:ascii="Times New Roman"/>
                <w:i/>
                <w:sz w:val="22"/>
              </w:rPr>
              <w:t>known-xs </w:t>
            </w:r>
            <w:r>
              <w:rPr>
                <w:sz w:val="22"/>
              </w:rPr>
              <w:t>and </w:t>
            </w:r>
            <w:r>
              <w:rPr>
                <w:rFonts w:ascii="Times New Roman"/>
                <w:i/>
                <w:sz w:val="22"/>
              </w:rPr>
              <w:t>new-xs </w:t>
            </w:r>
            <w:r>
              <w:rPr>
                <w:sz w:val="22"/>
              </w:rPr>
              <w:t>shall have the same number of rows. If </w:t>
            </w:r>
            <w:r>
              <w:rPr>
                <w:rFonts w:ascii="Times New Roman"/>
                <w:i/>
                <w:sz w:val="22"/>
              </w:rPr>
              <w:t>new-xs </w:t>
            </w:r>
            <w:r>
              <w:rPr>
                <w:sz w:val="22"/>
              </w:rPr>
              <w:t>are omitted, it is</w:t>
            </w:r>
          </w:p>
          <w:p>
            <w:pPr>
              <w:pStyle w:val="TableParagraph"/>
              <w:spacing w:line="268" w:lineRule="exact" w:before="0"/>
              <w:ind w:left="113"/>
              <w:rPr>
                <w:sz w:val="22"/>
              </w:rPr>
            </w:pPr>
            <w:r>
              <w:rPr>
                <w:sz w:val="22"/>
              </w:rPr>
              <w:t>assumed to be the array {1,2,3,…} that is the same size as</w:t>
            </w:r>
          </w:p>
          <w:p>
            <w:pPr>
              <w:pStyle w:val="TableParagraph"/>
              <w:spacing w:before="0"/>
              <w:ind w:left="113"/>
              <w:rPr>
                <w:sz w:val="22"/>
              </w:rPr>
            </w:pPr>
            <w:r>
              <w:rPr>
                <w:rFonts w:ascii="Times New Roman"/>
                <w:i/>
                <w:sz w:val="22"/>
              </w:rPr>
              <w:t>known-ys</w:t>
            </w:r>
            <w:r>
              <w:rPr>
                <w:sz w:val="22"/>
              </w:rPr>
              <w:t>.</w:t>
            </w:r>
          </w:p>
        </w:tc>
      </w:tr>
      <w:tr>
        <w:trPr>
          <w:trHeight w:val="1158" w:hRule="atLeast"/>
        </w:trPr>
        <w:tc>
          <w:tcPr>
            <w:tcW w:w="1466" w:type="dxa"/>
          </w:tcPr>
          <w:p>
            <w:pPr>
              <w:pStyle w:val="TableParagraph"/>
              <w:spacing w:before="37"/>
              <w:rPr>
                <w:rFonts w:ascii="Times New Roman"/>
                <w:i/>
                <w:sz w:val="22"/>
              </w:rPr>
            </w:pPr>
            <w:r>
              <w:rPr>
                <w:rFonts w:ascii="Times New Roman"/>
                <w:i/>
                <w:sz w:val="22"/>
              </w:rPr>
              <w:t>const-flag</w:t>
            </w:r>
          </w:p>
        </w:tc>
        <w:tc>
          <w:tcPr>
            <w:tcW w:w="1800" w:type="dxa"/>
          </w:tcPr>
          <w:p>
            <w:pPr>
              <w:pStyle w:val="TableParagraph"/>
              <w:ind w:left="112"/>
              <w:rPr>
                <w:sz w:val="22"/>
              </w:rPr>
            </w:pPr>
            <w:r>
              <w:rPr>
                <w:sz w:val="22"/>
              </w:rPr>
              <w:t>logical</w:t>
            </w:r>
          </w:p>
        </w:tc>
        <w:tc>
          <w:tcPr>
            <w:tcW w:w="5400" w:type="dxa"/>
          </w:tcPr>
          <w:p>
            <w:pPr>
              <w:pStyle w:val="TableParagraph"/>
              <w:ind w:left="113" w:right="248"/>
              <w:rPr>
                <w:sz w:val="22"/>
              </w:rPr>
            </w:pPr>
            <w:r>
              <w:rPr>
                <w:sz w:val="22"/>
              </w:rPr>
              <w:t>Specifies whether to force the constant b to equal 1. If </w:t>
            </w:r>
            <w:r>
              <w:rPr>
                <w:rFonts w:ascii="Consolas"/>
                <w:sz w:val="22"/>
              </w:rPr>
              <w:t>TRUE</w:t>
            </w:r>
            <w:r>
              <w:rPr>
                <w:rFonts w:ascii="Consolas"/>
                <w:spacing w:val="-99"/>
                <w:sz w:val="22"/>
              </w:rPr>
              <w:t> </w:t>
            </w:r>
            <w:r>
              <w:rPr>
                <w:sz w:val="22"/>
              </w:rPr>
              <w:t>or omitted, </w:t>
            </w:r>
            <w:r>
              <w:rPr>
                <w:rFonts w:ascii="Times New Roman"/>
                <w:i/>
                <w:sz w:val="22"/>
              </w:rPr>
              <w:t>b </w:t>
            </w:r>
            <w:r>
              <w:rPr>
                <w:sz w:val="22"/>
              </w:rPr>
              <w:t>is calculated normally. If </w:t>
            </w:r>
            <w:r>
              <w:rPr>
                <w:rFonts w:ascii="Consolas"/>
                <w:sz w:val="22"/>
              </w:rPr>
              <w:t>FALSE</w:t>
            </w:r>
            <w:r>
              <w:rPr>
                <w:sz w:val="22"/>
              </w:rPr>
              <w:t>, </w:t>
            </w:r>
            <w:r>
              <w:rPr>
                <w:rFonts w:ascii="Times New Roman"/>
                <w:i/>
                <w:sz w:val="22"/>
              </w:rPr>
              <w:t>b </w:t>
            </w:r>
            <w:r>
              <w:rPr>
                <w:sz w:val="22"/>
              </w:rPr>
              <w:t>is set equal to 1 and the m-values are adjusted so that y= m</w:t>
            </w:r>
            <w:r>
              <w:rPr>
                <w:sz w:val="22"/>
                <w:vertAlign w:val="superscript"/>
              </w:rPr>
              <w:t>x</w:t>
            </w:r>
            <w:r>
              <w:rPr>
                <w:sz w:val="22"/>
                <w:vertAlign w:val="baseline"/>
              </w:rPr>
              <w:t>.</w:t>
            </w:r>
          </w:p>
        </w:tc>
      </w:tr>
    </w:tbl>
    <w:p>
      <w:pPr>
        <w:pStyle w:val="BodyText"/>
        <w:rPr>
          <w:b/>
        </w:rPr>
      </w:pPr>
    </w:p>
    <w:p>
      <w:pPr>
        <w:pStyle w:val="BodyText"/>
        <w:spacing w:before="8"/>
        <w:rPr>
          <w:b/>
          <w:sz w:val="19"/>
        </w:rPr>
      </w:pPr>
    </w:p>
    <w:p>
      <w:pPr>
        <w:spacing w:before="0"/>
        <w:ind w:left="220" w:right="0" w:firstLine="0"/>
        <w:jc w:val="left"/>
        <w:rPr>
          <w:sz w:val="22"/>
        </w:rPr>
      </w:pPr>
      <w:r>
        <w:rPr>
          <w:b/>
          <w:sz w:val="22"/>
        </w:rPr>
        <w:t>Return Type and Value: </w:t>
      </w:r>
      <w:r>
        <w:rPr>
          <w:sz w:val="22"/>
        </w:rPr>
        <w:t>array – The y-values for a series of new x-values.</w:t>
      </w:r>
    </w:p>
    <w:p>
      <w:pPr>
        <w:pStyle w:val="BodyText"/>
        <w:spacing w:before="8"/>
        <w:rPr>
          <w:sz w:val="19"/>
        </w:rPr>
      </w:pPr>
    </w:p>
    <w:p>
      <w:pPr>
        <w:pStyle w:val="BodyText"/>
        <w:spacing w:line="453" w:lineRule="auto"/>
        <w:ind w:left="220" w:right="2289"/>
      </w:pPr>
      <w:r>
        <w:rPr/>
        <w:t>However, if any of the numbers in </w:t>
      </w:r>
      <w:r>
        <w:rPr>
          <w:rFonts w:ascii="Times New Roman"/>
          <w:i/>
        </w:rPr>
        <w:t>known-ys </w:t>
      </w:r>
      <w:r>
        <w:rPr/>
        <w:t>are zero or negative, </w:t>
      </w:r>
      <w:r>
        <w:rPr>
          <w:rFonts w:ascii="Consolas"/>
        </w:rPr>
        <w:t>#NUM!</w:t>
      </w:r>
      <w:r>
        <w:rPr>
          <w:rFonts w:ascii="Consolas"/>
          <w:spacing w:val="-97"/>
        </w:rPr>
        <w:t> </w:t>
      </w:r>
      <w:r>
        <w:rPr/>
        <w:t>is returned. [</w:t>
      </w:r>
      <w:r>
        <w:rPr>
          <w:i/>
        </w:rPr>
        <w:t>Example</w:t>
      </w:r>
      <w:r>
        <w:rPr/>
        <w:t>: Given the following data:</w:t>
      </w:r>
    </w:p>
    <w:p>
      <w:pPr>
        <w:spacing w:after="0" w:line="453" w:lineRule="auto"/>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718"/>
        <w:gridCol w:w="2881"/>
        <w:gridCol w:w="3149"/>
      </w:tblGrid>
      <w:tr>
        <w:trPr>
          <w:trHeight w:val="355" w:hRule="atLeast"/>
        </w:trPr>
        <w:tc>
          <w:tcPr>
            <w:tcW w:w="468" w:type="dxa"/>
            <w:shd w:val="clear" w:color="auto" w:fill="C0C0C0"/>
          </w:tcPr>
          <w:p>
            <w:pPr>
              <w:pStyle w:val="TableParagraph"/>
              <w:spacing w:before="0"/>
              <w:ind w:left="0"/>
              <w:rPr>
                <w:rFonts w:ascii="Times New Roman"/>
                <w:sz w:val="22"/>
              </w:rPr>
            </w:pPr>
          </w:p>
        </w:tc>
        <w:tc>
          <w:tcPr>
            <w:tcW w:w="1718" w:type="dxa"/>
            <w:shd w:val="clear" w:color="auto" w:fill="C0C0C0"/>
          </w:tcPr>
          <w:p>
            <w:pPr>
              <w:pStyle w:val="TableParagraph"/>
              <w:ind w:left="9"/>
              <w:jc w:val="center"/>
              <w:rPr>
                <w:b/>
                <w:sz w:val="22"/>
              </w:rPr>
            </w:pPr>
            <w:r>
              <w:rPr>
                <w:b/>
                <w:w w:val="100"/>
                <w:sz w:val="22"/>
              </w:rPr>
              <w:t>A</w:t>
            </w:r>
          </w:p>
        </w:tc>
        <w:tc>
          <w:tcPr>
            <w:tcW w:w="2881" w:type="dxa"/>
            <w:shd w:val="clear" w:color="auto" w:fill="C0C0C0"/>
          </w:tcPr>
          <w:p>
            <w:pPr>
              <w:pStyle w:val="TableParagraph"/>
              <w:ind w:left="4"/>
              <w:jc w:val="center"/>
              <w:rPr>
                <w:b/>
                <w:sz w:val="22"/>
              </w:rPr>
            </w:pPr>
            <w:r>
              <w:rPr>
                <w:b/>
                <w:w w:val="100"/>
                <w:sz w:val="22"/>
              </w:rPr>
              <w:t>B</w:t>
            </w:r>
          </w:p>
        </w:tc>
        <w:tc>
          <w:tcPr>
            <w:tcW w:w="3149" w:type="dxa"/>
            <w:shd w:val="clear" w:color="auto" w:fill="C0C0C0"/>
          </w:tcPr>
          <w:p>
            <w:pPr>
              <w:pStyle w:val="TableParagraph"/>
              <w:ind w:left="6"/>
              <w:jc w:val="center"/>
              <w:rPr>
                <w:b/>
                <w:sz w:val="22"/>
              </w:rPr>
            </w:pPr>
            <w:r>
              <w:rPr>
                <w:b/>
                <w:w w:val="100"/>
                <w:sz w:val="22"/>
              </w:rPr>
              <w:t>C</w:t>
            </w:r>
          </w:p>
        </w:tc>
      </w:tr>
      <w:tr>
        <w:trPr>
          <w:trHeight w:val="354" w:hRule="atLeast"/>
        </w:trPr>
        <w:tc>
          <w:tcPr>
            <w:tcW w:w="468" w:type="dxa"/>
          </w:tcPr>
          <w:p>
            <w:pPr>
              <w:pStyle w:val="TableParagraph"/>
              <w:ind w:left="0" w:right="114"/>
              <w:jc w:val="center"/>
              <w:rPr>
                <w:sz w:val="22"/>
              </w:rPr>
            </w:pPr>
            <w:r>
              <w:rPr>
                <w:w w:val="100"/>
                <w:sz w:val="22"/>
              </w:rPr>
              <w:t>1</w:t>
            </w:r>
          </w:p>
        </w:tc>
        <w:tc>
          <w:tcPr>
            <w:tcW w:w="1718" w:type="dxa"/>
          </w:tcPr>
          <w:p>
            <w:pPr>
              <w:pStyle w:val="TableParagraph"/>
              <w:ind w:left="114"/>
              <w:rPr>
                <w:sz w:val="22"/>
              </w:rPr>
            </w:pPr>
            <w:r>
              <w:rPr>
                <w:sz w:val="22"/>
              </w:rPr>
              <w:t>Month</w:t>
            </w:r>
          </w:p>
        </w:tc>
        <w:tc>
          <w:tcPr>
            <w:tcW w:w="2881" w:type="dxa"/>
          </w:tcPr>
          <w:p>
            <w:pPr>
              <w:pStyle w:val="TableParagraph"/>
              <w:ind w:left="112"/>
              <w:rPr>
                <w:sz w:val="22"/>
              </w:rPr>
            </w:pPr>
            <w:r>
              <w:rPr>
                <w:sz w:val="22"/>
              </w:rPr>
              <w:t>Units</w:t>
            </w:r>
          </w:p>
        </w:tc>
        <w:tc>
          <w:tcPr>
            <w:tcW w:w="3149" w:type="dxa"/>
          </w:tcPr>
          <w:p>
            <w:pPr>
              <w:pStyle w:val="TableParagraph"/>
              <w:ind w:left="112"/>
              <w:rPr>
                <w:sz w:val="22"/>
              </w:rPr>
            </w:pPr>
            <w:r>
              <w:rPr>
                <w:sz w:val="22"/>
              </w:rPr>
              <w:t>Formula (corresponding units)</w:t>
            </w:r>
          </w:p>
        </w:tc>
      </w:tr>
      <w:tr>
        <w:trPr>
          <w:trHeight w:val="354" w:hRule="atLeast"/>
        </w:trPr>
        <w:tc>
          <w:tcPr>
            <w:tcW w:w="468" w:type="dxa"/>
          </w:tcPr>
          <w:p>
            <w:pPr>
              <w:pStyle w:val="TableParagraph"/>
              <w:ind w:left="0" w:right="114"/>
              <w:jc w:val="center"/>
              <w:rPr>
                <w:sz w:val="22"/>
              </w:rPr>
            </w:pPr>
            <w:r>
              <w:rPr>
                <w:w w:val="100"/>
                <w:sz w:val="22"/>
              </w:rPr>
              <w:t>2</w:t>
            </w:r>
          </w:p>
        </w:tc>
        <w:tc>
          <w:tcPr>
            <w:tcW w:w="1718" w:type="dxa"/>
          </w:tcPr>
          <w:p>
            <w:pPr>
              <w:pStyle w:val="TableParagraph"/>
              <w:ind w:left="114"/>
              <w:rPr>
                <w:sz w:val="22"/>
              </w:rPr>
            </w:pPr>
            <w:r>
              <w:rPr>
                <w:sz w:val="22"/>
              </w:rPr>
              <w:t>11</w:t>
            </w:r>
          </w:p>
        </w:tc>
        <w:tc>
          <w:tcPr>
            <w:tcW w:w="2881" w:type="dxa"/>
          </w:tcPr>
          <w:p>
            <w:pPr>
              <w:pStyle w:val="TableParagraph"/>
              <w:ind w:left="112"/>
              <w:rPr>
                <w:sz w:val="22"/>
              </w:rPr>
            </w:pPr>
            <w:r>
              <w:rPr>
                <w:sz w:val="22"/>
              </w:rPr>
              <w:t>33,100</w:t>
            </w:r>
          </w:p>
        </w:tc>
        <w:tc>
          <w:tcPr>
            <w:tcW w:w="3149" w:type="dxa"/>
          </w:tcPr>
          <w:p>
            <w:pPr>
              <w:pStyle w:val="TableParagraph"/>
              <w:ind w:left="112"/>
              <w:rPr>
                <w:sz w:val="22"/>
              </w:rPr>
            </w:pPr>
            <w:r>
              <w:rPr>
                <w:sz w:val="22"/>
              </w:rPr>
              <w:t>32618.20377</w:t>
            </w:r>
          </w:p>
        </w:tc>
      </w:tr>
      <w:tr>
        <w:trPr>
          <w:trHeight w:val="352" w:hRule="atLeast"/>
        </w:trPr>
        <w:tc>
          <w:tcPr>
            <w:tcW w:w="468" w:type="dxa"/>
          </w:tcPr>
          <w:p>
            <w:pPr>
              <w:pStyle w:val="TableParagraph"/>
              <w:ind w:left="0" w:right="114"/>
              <w:jc w:val="center"/>
              <w:rPr>
                <w:sz w:val="22"/>
              </w:rPr>
            </w:pPr>
            <w:r>
              <w:rPr>
                <w:w w:val="100"/>
                <w:sz w:val="22"/>
              </w:rPr>
              <w:t>3</w:t>
            </w:r>
          </w:p>
        </w:tc>
        <w:tc>
          <w:tcPr>
            <w:tcW w:w="1718" w:type="dxa"/>
          </w:tcPr>
          <w:p>
            <w:pPr>
              <w:pStyle w:val="TableParagraph"/>
              <w:ind w:left="114"/>
              <w:rPr>
                <w:sz w:val="22"/>
              </w:rPr>
            </w:pPr>
            <w:r>
              <w:rPr>
                <w:sz w:val="22"/>
              </w:rPr>
              <w:t>12</w:t>
            </w:r>
          </w:p>
        </w:tc>
        <w:tc>
          <w:tcPr>
            <w:tcW w:w="2881" w:type="dxa"/>
          </w:tcPr>
          <w:p>
            <w:pPr>
              <w:pStyle w:val="TableParagraph"/>
              <w:ind w:left="112"/>
              <w:rPr>
                <w:sz w:val="22"/>
              </w:rPr>
            </w:pPr>
            <w:r>
              <w:rPr>
                <w:sz w:val="22"/>
              </w:rPr>
              <w:t>47,300</w:t>
            </w:r>
          </w:p>
        </w:tc>
        <w:tc>
          <w:tcPr>
            <w:tcW w:w="3149" w:type="dxa"/>
          </w:tcPr>
          <w:p>
            <w:pPr>
              <w:pStyle w:val="TableParagraph"/>
              <w:ind w:left="112"/>
              <w:rPr>
                <w:sz w:val="22"/>
              </w:rPr>
            </w:pPr>
            <w:r>
              <w:rPr>
                <w:sz w:val="22"/>
              </w:rPr>
              <w:t>47729.42261</w:t>
            </w:r>
          </w:p>
        </w:tc>
      </w:tr>
      <w:tr>
        <w:trPr>
          <w:trHeight w:val="354" w:hRule="atLeast"/>
        </w:trPr>
        <w:tc>
          <w:tcPr>
            <w:tcW w:w="468" w:type="dxa"/>
          </w:tcPr>
          <w:p>
            <w:pPr>
              <w:pStyle w:val="TableParagraph"/>
              <w:spacing w:before="42"/>
              <w:ind w:left="0" w:right="114"/>
              <w:jc w:val="center"/>
              <w:rPr>
                <w:sz w:val="22"/>
              </w:rPr>
            </w:pPr>
            <w:r>
              <w:rPr>
                <w:w w:val="100"/>
                <w:sz w:val="22"/>
              </w:rPr>
              <w:t>4</w:t>
            </w:r>
          </w:p>
        </w:tc>
        <w:tc>
          <w:tcPr>
            <w:tcW w:w="1718" w:type="dxa"/>
          </w:tcPr>
          <w:p>
            <w:pPr>
              <w:pStyle w:val="TableParagraph"/>
              <w:spacing w:before="42"/>
              <w:ind w:left="114"/>
              <w:rPr>
                <w:sz w:val="22"/>
              </w:rPr>
            </w:pPr>
            <w:r>
              <w:rPr>
                <w:sz w:val="22"/>
              </w:rPr>
              <w:t>13</w:t>
            </w:r>
          </w:p>
        </w:tc>
        <w:tc>
          <w:tcPr>
            <w:tcW w:w="2881" w:type="dxa"/>
          </w:tcPr>
          <w:p>
            <w:pPr>
              <w:pStyle w:val="TableParagraph"/>
              <w:spacing w:before="42"/>
              <w:ind w:left="112"/>
              <w:rPr>
                <w:sz w:val="22"/>
              </w:rPr>
            </w:pPr>
            <w:r>
              <w:rPr>
                <w:sz w:val="22"/>
              </w:rPr>
              <w:t>69,000</w:t>
            </w:r>
          </w:p>
        </w:tc>
        <w:tc>
          <w:tcPr>
            <w:tcW w:w="3149" w:type="dxa"/>
          </w:tcPr>
          <w:p>
            <w:pPr>
              <w:pStyle w:val="TableParagraph"/>
              <w:spacing w:before="42"/>
              <w:ind w:left="112"/>
              <w:rPr>
                <w:sz w:val="22"/>
              </w:rPr>
            </w:pPr>
            <w:r>
              <w:rPr>
                <w:sz w:val="22"/>
              </w:rPr>
              <w:t>69841.30086</w:t>
            </w:r>
          </w:p>
        </w:tc>
      </w:tr>
      <w:tr>
        <w:trPr>
          <w:trHeight w:val="354" w:hRule="atLeast"/>
        </w:trPr>
        <w:tc>
          <w:tcPr>
            <w:tcW w:w="468" w:type="dxa"/>
          </w:tcPr>
          <w:p>
            <w:pPr>
              <w:pStyle w:val="TableParagraph"/>
              <w:ind w:left="0" w:right="114"/>
              <w:jc w:val="center"/>
              <w:rPr>
                <w:sz w:val="22"/>
              </w:rPr>
            </w:pPr>
            <w:r>
              <w:rPr>
                <w:w w:val="100"/>
                <w:sz w:val="22"/>
              </w:rPr>
              <w:t>5</w:t>
            </w:r>
          </w:p>
        </w:tc>
        <w:tc>
          <w:tcPr>
            <w:tcW w:w="1718" w:type="dxa"/>
          </w:tcPr>
          <w:p>
            <w:pPr>
              <w:pStyle w:val="TableParagraph"/>
              <w:ind w:left="114"/>
              <w:rPr>
                <w:sz w:val="22"/>
              </w:rPr>
            </w:pPr>
            <w:r>
              <w:rPr>
                <w:sz w:val="22"/>
              </w:rPr>
              <w:t>14</w:t>
            </w:r>
          </w:p>
        </w:tc>
        <w:tc>
          <w:tcPr>
            <w:tcW w:w="2881" w:type="dxa"/>
          </w:tcPr>
          <w:p>
            <w:pPr>
              <w:pStyle w:val="TableParagraph"/>
              <w:ind w:left="112"/>
              <w:rPr>
                <w:sz w:val="22"/>
              </w:rPr>
            </w:pPr>
            <w:r>
              <w:rPr>
                <w:sz w:val="22"/>
              </w:rPr>
              <w:t>102,000</w:t>
            </w:r>
          </w:p>
        </w:tc>
        <w:tc>
          <w:tcPr>
            <w:tcW w:w="3149" w:type="dxa"/>
          </w:tcPr>
          <w:p>
            <w:pPr>
              <w:pStyle w:val="TableParagraph"/>
              <w:ind w:left="112"/>
              <w:rPr>
                <w:sz w:val="22"/>
              </w:rPr>
            </w:pPr>
            <w:r>
              <w:rPr>
                <w:sz w:val="22"/>
              </w:rPr>
              <w:t>102197.0734</w:t>
            </w:r>
          </w:p>
        </w:tc>
      </w:tr>
      <w:tr>
        <w:trPr>
          <w:trHeight w:val="354" w:hRule="atLeast"/>
        </w:trPr>
        <w:tc>
          <w:tcPr>
            <w:tcW w:w="468" w:type="dxa"/>
          </w:tcPr>
          <w:p>
            <w:pPr>
              <w:pStyle w:val="TableParagraph"/>
              <w:ind w:left="0" w:right="114"/>
              <w:jc w:val="center"/>
              <w:rPr>
                <w:sz w:val="22"/>
              </w:rPr>
            </w:pPr>
            <w:r>
              <w:rPr>
                <w:w w:val="100"/>
                <w:sz w:val="22"/>
              </w:rPr>
              <w:t>6</w:t>
            </w:r>
          </w:p>
        </w:tc>
        <w:tc>
          <w:tcPr>
            <w:tcW w:w="1718" w:type="dxa"/>
          </w:tcPr>
          <w:p>
            <w:pPr>
              <w:pStyle w:val="TableParagraph"/>
              <w:ind w:left="114"/>
              <w:rPr>
                <w:sz w:val="22"/>
              </w:rPr>
            </w:pPr>
            <w:r>
              <w:rPr>
                <w:sz w:val="22"/>
              </w:rPr>
              <w:t>15</w:t>
            </w:r>
          </w:p>
        </w:tc>
        <w:tc>
          <w:tcPr>
            <w:tcW w:w="2881" w:type="dxa"/>
          </w:tcPr>
          <w:p>
            <w:pPr>
              <w:pStyle w:val="TableParagraph"/>
              <w:ind w:left="112"/>
              <w:rPr>
                <w:sz w:val="22"/>
              </w:rPr>
            </w:pPr>
            <w:r>
              <w:rPr>
                <w:sz w:val="22"/>
              </w:rPr>
              <w:t>150,000</w:t>
            </w:r>
          </w:p>
        </w:tc>
        <w:tc>
          <w:tcPr>
            <w:tcW w:w="3149" w:type="dxa"/>
          </w:tcPr>
          <w:p>
            <w:pPr>
              <w:pStyle w:val="TableParagraph"/>
              <w:ind w:left="112"/>
              <w:rPr>
                <w:sz w:val="22"/>
              </w:rPr>
            </w:pPr>
            <w:r>
              <w:rPr>
                <w:sz w:val="22"/>
              </w:rPr>
              <w:t>149542.4867</w:t>
            </w:r>
          </w:p>
        </w:tc>
      </w:tr>
      <w:tr>
        <w:trPr>
          <w:trHeight w:val="354" w:hRule="atLeast"/>
        </w:trPr>
        <w:tc>
          <w:tcPr>
            <w:tcW w:w="468" w:type="dxa"/>
          </w:tcPr>
          <w:p>
            <w:pPr>
              <w:pStyle w:val="TableParagraph"/>
              <w:ind w:left="0" w:right="114"/>
              <w:jc w:val="center"/>
              <w:rPr>
                <w:sz w:val="22"/>
              </w:rPr>
            </w:pPr>
            <w:r>
              <w:rPr>
                <w:w w:val="100"/>
                <w:sz w:val="22"/>
              </w:rPr>
              <w:t>7</w:t>
            </w:r>
          </w:p>
        </w:tc>
        <w:tc>
          <w:tcPr>
            <w:tcW w:w="1718" w:type="dxa"/>
          </w:tcPr>
          <w:p>
            <w:pPr>
              <w:pStyle w:val="TableParagraph"/>
              <w:ind w:left="114"/>
              <w:rPr>
                <w:sz w:val="22"/>
              </w:rPr>
            </w:pPr>
            <w:r>
              <w:rPr>
                <w:sz w:val="22"/>
              </w:rPr>
              <w:t>16</w:t>
            </w:r>
          </w:p>
        </w:tc>
        <w:tc>
          <w:tcPr>
            <w:tcW w:w="2881" w:type="dxa"/>
          </w:tcPr>
          <w:p>
            <w:pPr>
              <w:pStyle w:val="TableParagraph"/>
              <w:ind w:left="112"/>
              <w:rPr>
                <w:sz w:val="22"/>
              </w:rPr>
            </w:pPr>
            <w:r>
              <w:rPr>
                <w:sz w:val="22"/>
              </w:rPr>
              <w:t>220,000</w:t>
            </w:r>
          </w:p>
        </w:tc>
        <w:tc>
          <w:tcPr>
            <w:tcW w:w="3149" w:type="dxa"/>
          </w:tcPr>
          <w:p>
            <w:pPr>
              <w:pStyle w:val="TableParagraph"/>
              <w:ind w:left="112"/>
              <w:rPr>
                <w:sz w:val="22"/>
              </w:rPr>
            </w:pPr>
            <w:r>
              <w:rPr>
                <w:sz w:val="22"/>
              </w:rPr>
              <w:t>218821.8762</w:t>
            </w:r>
          </w:p>
        </w:tc>
      </w:tr>
      <w:tr>
        <w:trPr>
          <w:trHeight w:val="354" w:hRule="atLeast"/>
        </w:trPr>
        <w:tc>
          <w:tcPr>
            <w:tcW w:w="468" w:type="dxa"/>
          </w:tcPr>
          <w:p>
            <w:pPr>
              <w:pStyle w:val="TableParagraph"/>
              <w:ind w:left="0" w:right="114"/>
              <w:jc w:val="center"/>
              <w:rPr>
                <w:sz w:val="22"/>
              </w:rPr>
            </w:pPr>
            <w:r>
              <w:rPr>
                <w:w w:val="100"/>
                <w:sz w:val="22"/>
              </w:rPr>
              <w:t>8</w:t>
            </w:r>
          </w:p>
        </w:tc>
        <w:tc>
          <w:tcPr>
            <w:tcW w:w="1718" w:type="dxa"/>
          </w:tcPr>
          <w:p>
            <w:pPr>
              <w:pStyle w:val="TableParagraph"/>
              <w:ind w:left="114"/>
              <w:rPr>
                <w:sz w:val="22"/>
              </w:rPr>
            </w:pPr>
            <w:r>
              <w:rPr>
                <w:sz w:val="22"/>
              </w:rPr>
              <w:t>Month</w:t>
            </w:r>
          </w:p>
        </w:tc>
        <w:tc>
          <w:tcPr>
            <w:tcW w:w="2881" w:type="dxa"/>
          </w:tcPr>
          <w:p>
            <w:pPr>
              <w:pStyle w:val="TableParagraph"/>
              <w:ind w:left="112"/>
              <w:rPr>
                <w:sz w:val="22"/>
              </w:rPr>
            </w:pPr>
            <w:r>
              <w:rPr>
                <w:sz w:val="22"/>
              </w:rPr>
              <w:t>Formula (Predicted Units)</w:t>
            </w:r>
          </w:p>
        </w:tc>
        <w:tc>
          <w:tcPr>
            <w:tcW w:w="3149" w:type="dxa"/>
          </w:tcPr>
          <w:p>
            <w:pPr>
              <w:pStyle w:val="TableParagraph"/>
              <w:spacing w:before="0"/>
              <w:ind w:left="0"/>
              <w:rPr>
                <w:rFonts w:ascii="Times New Roman"/>
                <w:sz w:val="22"/>
              </w:rPr>
            </w:pPr>
          </w:p>
        </w:tc>
      </w:tr>
      <w:tr>
        <w:trPr>
          <w:trHeight w:val="354" w:hRule="atLeast"/>
        </w:trPr>
        <w:tc>
          <w:tcPr>
            <w:tcW w:w="468" w:type="dxa"/>
          </w:tcPr>
          <w:p>
            <w:pPr>
              <w:pStyle w:val="TableParagraph"/>
              <w:ind w:left="0" w:right="114"/>
              <w:jc w:val="center"/>
              <w:rPr>
                <w:sz w:val="22"/>
              </w:rPr>
            </w:pPr>
            <w:r>
              <w:rPr>
                <w:w w:val="100"/>
                <w:sz w:val="22"/>
              </w:rPr>
              <w:t>9</w:t>
            </w:r>
          </w:p>
        </w:tc>
        <w:tc>
          <w:tcPr>
            <w:tcW w:w="1718" w:type="dxa"/>
          </w:tcPr>
          <w:p>
            <w:pPr>
              <w:pStyle w:val="TableParagraph"/>
              <w:ind w:left="114"/>
              <w:rPr>
                <w:sz w:val="22"/>
              </w:rPr>
            </w:pPr>
            <w:r>
              <w:rPr>
                <w:sz w:val="22"/>
              </w:rPr>
              <w:t>17</w:t>
            </w:r>
          </w:p>
        </w:tc>
        <w:tc>
          <w:tcPr>
            <w:tcW w:w="2881" w:type="dxa"/>
          </w:tcPr>
          <w:p>
            <w:pPr>
              <w:pStyle w:val="TableParagraph"/>
              <w:ind w:left="112"/>
              <w:rPr>
                <w:sz w:val="22"/>
              </w:rPr>
            </w:pPr>
            <w:r>
              <w:rPr>
                <w:sz w:val="22"/>
              </w:rPr>
              <w:t>320,196.72</w:t>
            </w:r>
          </w:p>
        </w:tc>
        <w:tc>
          <w:tcPr>
            <w:tcW w:w="3149" w:type="dxa"/>
          </w:tcPr>
          <w:p>
            <w:pPr>
              <w:pStyle w:val="TableParagraph"/>
              <w:spacing w:before="0"/>
              <w:ind w:left="0"/>
              <w:rPr>
                <w:rFonts w:ascii="Times New Roman"/>
                <w:sz w:val="22"/>
              </w:rPr>
            </w:pPr>
          </w:p>
        </w:tc>
      </w:tr>
      <w:tr>
        <w:trPr>
          <w:trHeight w:val="355" w:hRule="atLeast"/>
        </w:trPr>
        <w:tc>
          <w:tcPr>
            <w:tcW w:w="468" w:type="dxa"/>
          </w:tcPr>
          <w:p>
            <w:pPr>
              <w:pStyle w:val="TableParagraph"/>
              <w:ind w:left="97" w:right="97"/>
              <w:jc w:val="center"/>
              <w:rPr>
                <w:sz w:val="22"/>
              </w:rPr>
            </w:pPr>
            <w:r>
              <w:rPr>
                <w:sz w:val="22"/>
              </w:rPr>
              <w:t>10</w:t>
            </w:r>
          </w:p>
        </w:tc>
        <w:tc>
          <w:tcPr>
            <w:tcW w:w="1718" w:type="dxa"/>
          </w:tcPr>
          <w:p>
            <w:pPr>
              <w:pStyle w:val="TableParagraph"/>
              <w:ind w:left="114"/>
              <w:rPr>
                <w:sz w:val="22"/>
              </w:rPr>
            </w:pPr>
            <w:r>
              <w:rPr>
                <w:sz w:val="22"/>
              </w:rPr>
              <w:t>18</w:t>
            </w:r>
          </w:p>
        </w:tc>
        <w:tc>
          <w:tcPr>
            <w:tcW w:w="2881" w:type="dxa"/>
          </w:tcPr>
          <w:p>
            <w:pPr>
              <w:pStyle w:val="TableParagraph"/>
              <w:ind w:left="112"/>
              <w:rPr>
                <w:sz w:val="22"/>
              </w:rPr>
            </w:pPr>
            <w:r>
              <w:rPr>
                <w:sz w:val="22"/>
              </w:rPr>
              <w:t>468,536.05</w:t>
            </w:r>
          </w:p>
        </w:tc>
        <w:tc>
          <w:tcPr>
            <w:tcW w:w="3149" w:type="dxa"/>
          </w:tcPr>
          <w:p>
            <w:pPr>
              <w:pStyle w:val="TableParagraph"/>
              <w:spacing w:before="0"/>
              <w:ind w:left="0"/>
              <w:rPr>
                <w:rFonts w:ascii="Times New Roman"/>
                <w:sz w:val="22"/>
              </w:rPr>
            </w:pPr>
          </w:p>
        </w:tc>
      </w:tr>
    </w:tbl>
    <w:p>
      <w:pPr>
        <w:pStyle w:val="BodyText"/>
        <w:spacing w:before="6"/>
        <w:rPr>
          <w:sz w:val="20"/>
        </w:rPr>
      </w:pPr>
    </w:p>
    <w:p>
      <w:pPr>
        <w:pStyle w:val="BodyText"/>
        <w:spacing w:line="276" w:lineRule="auto" w:before="56"/>
        <w:ind w:left="220" w:right="503"/>
      </w:pPr>
      <w:r>
        <w:rPr/>
        <w:t>When </w:t>
      </w:r>
      <w:r>
        <w:rPr>
          <w:rFonts w:ascii="Consolas"/>
        </w:rPr>
        <w:t>GROWTH(A2:B4,A6:B8)</w:t>
      </w:r>
      <w:r>
        <w:rPr>
          <w:rFonts w:ascii="Consolas"/>
          <w:spacing w:val="-101"/>
        </w:rPr>
        <w:t> </w:t>
      </w:r>
      <w:r>
        <w:rPr/>
        <w:t>is an array formula spanning cells C2:C7, those cells take on the results shown. When </w:t>
      </w:r>
      <w:r>
        <w:rPr>
          <w:rFonts w:ascii="Consolas"/>
        </w:rPr>
        <w:t>GROWTH(A2:B4,A6:B8,A9:A10) </w:t>
      </w:r>
      <w:r>
        <w:rPr/>
        <w:t>is an array formula spanning cells B9:B10, those cells take on the results shown.</w:t>
      </w:r>
    </w:p>
    <w:p>
      <w:pPr>
        <w:pStyle w:val="BodyText"/>
        <w:spacing w:before="4"/>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39 HARMEAN" w:id="1809"/>
      <w:bookmarkEnd w:id="1809"/>
      <w:r>
        <w:rPr/>
      </w:r>
      <w:bookmarkStart w:name="_bookmark602" w:id="1810"/>
      <w:bookmarkEnd w:id="1810"/>
      <w:r>
        <w:rPr/>
      </w:r>
      <w:bookmarkStart w:name="_bookmark602" w:id="1811"/>
      <w:bookmarkEnd w:id="1811"/>
      <w:r>
        <w:rPr>
          <w:color w:val="4F81BC"/>
        </w:rPr>
        <w:t>H</w:t>
      </w:r>
      <w:r>
        <w:rPr>
          <w:color w:val="4F81BC"/>
        </w:rPr>
        <w:t>ARMEAN</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HARMEAN (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Computes the harmonic mean of a data set.</w:t>
      </w:r>
    </w:p>
    <w:p>
      <w:pPr>
        <w:pStyle w:val="BodyText"/>
        <w:spacing w:before="8"/>
        <w:rPr>
          <w:sz w:val="19"/>
        </w:rPr>
      </w:pPr>
    </w:p>
    <w:p>
      <w:pPr>
        <w:pStyle w:val="Heading4"/>
        <w:rPr>
          <w:b w:val="0"/>
        </w:rPr>
      </w:pPr>
      <w:r>
        <w:rPr/>
        <w:t>Mathematical Formula</w:t>
      </w:r>
      <w:r>
        <w:rPr>
          <w:b w:val="0"/>
        </w:rPr>
        <w:t>:</w:t>
      </w:r>
    </w:p>
    <w:p>
      <w:pPr>
        <w:pStyle w:val="BodyText"/>
        <w:rPr>
          <w:sz w:val="12"/>
        </w:rPr>
      </w:pPr>
    </w:p>
    <w:p>
      <w:pPr>
        <w:spacing w:after="0"/>
        <w:rPr>
          <w:sz w:val="12"/>
        </w:rPr>
        <w:sectPr>
          <w:pgSz w:w="12240" w:h="15840"/>
          <w:pgMar w:header="763" w:footer="746" w:top="1340" w:bottom="940" w:left="860" w:right="700"/>
        </w:sectPr>
      </w:pPr>
    </w:p>
    <w:p>
      <w:pPr>
        <w:pStyle w:val="BodyText"/>
        <w:tabs>
          <w:tab w:pos="871" w:val="left" w:leader="none"/>
        </w:tabs>
        <w:spacing w:line="213" w:lineRule="exact" w:before="63"/>
        <w:ind w:left="313"/>
        <w:jc w:val="center"/>
        <w:rPr>
          <w:rFonts w:ascii="Cambria Math"/>
        </w:rPr>
      </w:pPr>
      <w:r>
        <w:rPr>
          <w:rFonts w:ascii="Cambria Math"/>
        </w:rPr>
        <w:t>1</w:t>
        <w:tab/>
      </w:r>
      <w:r>
        <w:rPr>
          <w:rFonts w:ascii="Cambria Math"/>
          <w:spacing w:val="-16"/>
        </w:rPr>
        <w:t>1</w:t>
      </w:r>
    </w:p>
    <w:p>
      <w:pPr>
        <w:pStyle w:val="BodyText"/>
        <w:spacing w:line="158" w:lineRule="exact"/>
        <w:ind w:left="361"/>
        <w:jc w:val="center"/>
        <w:rPr>
          <w:rFonts w:ascii="Cambria Math"/>
        </w:rPr>
      </w:pPr>
      <w:r>
        <w:rPr/>
        <w:pict>
          <v:line style="position:absolute;mso-position-horizontal-relative:page;mso-position-vertical-relative:paragraph;z-index:251772928" from="54pt,5.084144pt" to="69.864pt,5.084144pt" stroked="true" strokeweight=".72pt" strokecolor="#000000">
            <v:stroke dashstyle="solid"/>
            <w10:wrap type="none"/>
          </v:line>
        </w:pict>
      </w:r>
      <w:r>
        <w:rPr/>
        <w:pict>
          <v:rect style="position:absolute;margin-left:86.543999pt;margin-top:4.724144pt;width:6.48pt;height:.72pt;mso-position-horizontal-relative:page;mso-position-vertical-relative:paragraph;z-index:251773952" filled="true" fillcolor="#000000" stroked="false">
            <v:fill type="solid"/>
            <w10:wrap type="none"/>
          </v:rect>
        </w:pict>
      </w:r>
      <w:r>
        <w:rPr>
          <w:rFonts w:ascii="Cambria Math"/>
          <w:w w:val="100"/>
        </w:rPr>
        <w:t>=</w:t>
      </w:r>
    </w:p>
    <w:p>
      <w:pPr>
        <w:pStyle w:val="BodyText"/>
        <w:tabs>
          <w:tab w:pos="870" w:val="left" w:leader="none"/>
        </w:tabs>
        <w:spacing w:line="203" w:lineRule="exact"/>
        <w:ind w:left="219"/>
        <w:jc w:val="center"/>
        <w:rPr>
          <w:rFonts w:ascii="Cambria Math" w:eastAsia="Cambria Math"/>
        </w:rPr>
      </w:pPr>
      <w:r>
        <w:rPr>
          <w:rFonts w:ascii="Cambria Math" w:eastAsia="Cambria Math"/>
        </w:rPr>
        <w:t>𝐻</w:t>
        <w:tab/>
      </w:r>
      <w:r>
        <w:rPr>
          <w:rFonts w:ascii="Cambria Math" w:eastAsia="Cambria Math"/>
          <w:spacing w:val="-158"/>
        </w:rPr>
        <w:t>𝑛</w:t>
      </w:r>
    </w:p>
    <w:p>
      <w:pPr>
        <w:spacing w:line="213" w:lineRule="exact" w:before="63"/>
        <w:ind w:left="351" w:right="0" w:firstLine="0"/>
        <w:jc w:val="left"/>
        <w:rPr>
          <w:rFonts w:ascii="Cambria Math"/>
          <w:sz w:val="22"/>
        </w:rPr>
      </w:pPr>
      <w:r>
        <w:rPr/>
        <w:br w:type="column"/>
      </w:r>
      <w:r>
        <w:rPr>
          <w:rFonts w:ascii="Cambria Math"/>
          <w:sz w:val="22"/>
        </w:rPr>
        <w:t>1</w:t>
      </w:r>
    </w:p>
    <w:p>
      <w:pPr>
        <w:pStyle w:val="BodyText"/>
        <w:spacing w:line="158" w:lineRule="exact"/>
        <w:ind w:left="1"/>
        <w:rPr>
          <w:rFonts w:ascii="Cambria Math" w:hAnsi="Cambria Math"/>
        </w:rPr>
      </w:pPr>
      <w:r>
        <w:rPr/>
        <w:pict>
          <v:line style="position:absolute;mso-position-horizontal-relative:page;mso-position-vertical-relative:paragraph;z-index:251774976" from="111.379997pt,5.084144pt" to="119.779997pt,5.084144pt" stroked="true" strokeweight=".72pt" strokecolor="#000000">
            <v:stroke dashstyle="solid"/>
            <w10:wrap type="none"/>
          </v:line>
        </w:pict>
      </w:r>
      <w:r>
        <w:rPr>
          <w:rFonts w:ascii="Cambria Math" w:hAnsi="Cambria Math"/>
          <w:w w:val="187"/>
        </w:rPr>
        <w:t>∑</w:t>
      </w:r>
    </w:p>
    <w:p>
      <w:pPr>
        <w:spacing w:line="240" w:lineRule="exact" w:before="0"/>
        <w:ind w:left="330" w:right="0" w:firstLine="0"/>
        <w:jc w:val="left"/>
        <w:rPr>
          <w:rFonts w:ascii="Cambria Math" w:eastAsia="Cambria Math"/>
          <w:sz w:val="16"/>
        </w:rPr>
      </w:pPr>
      <w:r>
        <w:rPr>
          <w:rFonts w:ascii="Cambria Math" w:eastAsia="Cambria Math"/>
          <w:spacing w:val="-19"/>
          <w:w w:val="105"/>
          <w:sz w:val="22"/>
        </w:rPr>
        <w:t>𝑌</w:t>
      </w:r>
      <w:r>
        <w:rPr>
          <w:rFonts w:ascii="Cambria Math" w:eastAsia="Cambria Math"/>
          <w:spacing w:val="-19"/>
          <w:w w:val="105"/>
          <w:position w:val="-4"/>
          <w:sz w:val="16"/>
        </w:rPr>
        <w:t>𝑖</w:t>
      </w:r>
    </w:p>
    <w:p>
      <w:pPr>
        <w:spacing w:after="0" w:line="240" w:lineRule="exact"/>
        <w:jc w:val="left"/>
        <w:rPr>
          <w:rFonts w:ascii="Cambria Math" w:eastAsia="Cambria Math"/>
          <w:sz w:val="16"/>
        </w:rPr>
        <w:sectPr>
          <w:type w:val="continuous"/>
          <w:pgSz w:w="12240" w:h="15840"/>
          <w:pgMar w:top="1340" w:bottom="940" w:left="860" w:right="700"/>
          <w:cols w:num="2" w:equalWidth="0">
            <w:col w:w="998" w:space="40"/>
            <w:col w:w="9642"/>
          </w:cols>
        </w:sectPr>
      </w:pPr>
    </w:p>
    <w:p>
      <w:pPr>
        <w:pStyle w:val="BodyText"/>
        <w:rPr>
          <w:rFonts w:ascii="Cambria Math"/>
          <w:sz w:val="12"/>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rFonts w:ascii="Times New Roman" w:hAnsi="Times New Roman"/>
          <w:i/>
          <w:sz w:val="22"/>
        </w:rPr>
      </w:pPr>
      <w:r>
        <w:rPr>
          <w:rFonts w:ascii="Times New Roman" w:hAnsi="Times New Roman"/>
          <w:i/>
          <w:sz w:val="22"/>
        </w:rPr>
        <w:t>n </w:t>
      </w:r>
      <w:r>
        <w:rPr>
          <w:sz w:val="22"/>
        </w:rPr>
        <w:t>= number of elements in</w:t>
      </w:r>
      <w:r>
        <w:rPr>
          <w:spacing w:val="-11"/>
          <w:sz w:val="22"/>
        </w:rPr>
        <w:t> </w:t>
      </w:r>
      <w:r>
        <w:rPr>
          <w:rFonts w:ascii="Times New Roman" w:hAnsi="Times New Roman"/>
          <w:i/>
          <w:sz w:val="22"/>
        </w:rPr>
        <w:t>argument-list</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Cambria Math" w:hAnsi="Cambria Math"/>
          <w:spacing w:val="-9"/>
          <w:sz w:val="22"/>
        </w:rPr>
        <w:t>Y</w:t>
      </w:r>
      <w:r>
        <w:rPr>
          <w:rFonts w:ascii="Cambria Math" w:hAnsi="Cambria Math"/>
          <w:spacing w:val="-9"/>
          <w:position w:val="-4"/>
          <w:sz w:val="16"/>
        </w:rPr>
        <w:t>i </w:t>
      </w:r>
      <w:r>
        <w:rPr>
          <w:sz w:val="22"/>
        </w:rPr>
        <w:t>= each element in</w:t>
      </w:r>
      <w:r>
        <w:rPr>
          <w:spacing w:val="-20"/>
          <w:sz w:val="22"/>
        </w:rPr>
        <w:t> </w:t>
      </w:r>
      <w:r>
        <w:rPr>
          <w:rFonts w:ascii="Times New Roman" w:hAnsi="Times New Roman"/>
          <w:i/>
          <w:sz w:val="22"/>
        </w:rPr>
        <w:t>argument-list</w:t>
      </w:r>
    </w:p>
    <w:p>
      <w:pPr>
        <w:pStyle w:val="Heading4"/>
        <w:spacing w:before="217"/>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text,</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to be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 name,</w:t>
            </w:r>
          </w:p>
        </w:tc>
        <w:tc>
          <w:tcPr>
            <w:tcW w:w="5400" w:type="dxa"/>
            <w:tcBorders>
              <w:top w:val="nil"/>
              <w:bottom w:val="nil"/>
            </w:tcBorders>
          </w:tcPr>
          <w:p>
            <w:pPr>
              <w:pStyle w:val="TableParagraph"/>
              <w:spacing w:line="249" w:lineRule="exact" w:before="0"/>
              <w:ind w:left="113"/>
              <w:rPr>
                <w:sz w:val="22"/>
              </w:rPr>
            </w:pPr>
            <w:r>
              <w:rPr>
                <w:sz w:val="22"/>
              </w:rPr>
              <w:t>averaged. Argument values can be numbers, or names,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or</w:t>
            </w:r>
          </w:p>
        </w:tc>
        <w:tc>
          <w:tcPr>
            <w:tcW w:w="5400" w:type="dxa"/>
            <w:tcBorders>
              <w:top w:val="nil"/>
              <w:bottom w:val="nil"/>
            </w:tcBorders>
          </w:tcPr>
          <w:p>
            <w:pPr>
              <w:pStyle w:val="TableParagraph"/>
              <w:spacing w:line="249" w:lineRule="exact" w:before="0"/>
              <w:ind w:left="113"/>
              <w:rPr>
                <w:sz w:val="22"/>
              </w:rPr>
            </w:pPr>
            <w:r>
              <w:rPr>
                <w:sz w:val="22"/>
              </w:rPr>
              <w:t>arrays, or references that contain numbers. Logical values</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reference to</w:t>
            </w:r>
          </w:p>
        </w:tc>
        <w:tc>
          <w:tcPr>
            <w:tcW w:w="5400" w:type="dxa"/>
            <w:tcBorders>
              <w:top w:val="nil"/>
              <w:bottom w:val="nil"/>
            </w:tcBorders>
          </w:tcPr>
          <w:p>
            <w:pPr>
              <w:pStyle w:val="TableParagraph"/>
              <w:spacing w:line="248" w:lineRule="exact" w:before="0"/>
              <w:ind w:left="113"/>
              <w:rPr>
                <w:sz w:val="22"/>
              </w:rPr>
            </w:pPr>
            <w:r>
              <w:rPr>
                <w:sz w:val="22"/>
              </w:rPr>
              <w:t>and text representations of numbers entered directly into</w:t>
            </w:r>
          </w:p>
        </w:tc>
      </w:tr>
      <w:tr>
        <w:trPr>
          <w:trHeight w:val="293"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7" w:lineRule="exact" w:before="0"/>
              <w:ind w:left="112"/>
              <w:rPr>
                <w:sz w:val="22"/>
              </w:rPr>
            </w:pPr>
            <w:r>
              <w:rPr>
                <w:sz w:val="22"/>
              </w:rPr>
              <w:t>number.</w:t>
            </w:r>
          </w:p>
        </w:tc>
        <w:tc>
          <w:tcPr>
            <w:tcW w:w="5400" w:type="dxa"/>
            <w:tcBorders>
              <w:top w:val="nil"/>
            </w:tcBorders>
          </w:tcPr>
          <w:p>
            <w:pPr>
              <w:pStyle w:val="TableParagraph"/>
              <w:spacing w:line="247" w:lineRule="exact" w:before="0"/>
              <w:ind w:left="113"/>
              <w:rPr>
                <w:sz w:val="22"/>
              </w:rPr>
            </w:pPr>
            <w:r>
              <w:rPr>
                <w:sz w:val="22"/>
              </w:rPr>
              <w:t>the list of arguments are included. If an array or</w:t>
            </w:r>
          </w:p>
        </w:tc>
      </w:tr>
    </w:tbl>
    <w:p>
      <w:pPr>
        <w:spacing w:after="0" w:line="247" w:lineRule="exact"/>
        <w:rPr>
          <w:sz w:val="22"/>
        </w:rPr>
        <w:sectPr>
          <w:type w:val="continuous"/>
          <w:pgSz w:w="12240" w:h="15840"/>
          <w:pgMar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115"/>
              <w:rPr>
                <w:sz w:val="22"/>
              </w:rPr>
            </w:pPr>
            <w:r>
              <w:rPr>
                <w:sz w:val="22"/>
              </w:rPr>
              <w:t>reference argument contains text, logical values, or empty cells, those values are ignored; however, cells with the value 0 are included.</w:t>
            </w:r>
          </w:p>
        </w:tc>
      </w:tr>
    </w:tbl>
    <w:p>
      <w:pPr>
        <w:pStyle w:val="BodyText"/>
        <w:rPr>
          <w:b/>
          <w:sz w:val="20"/>
        </w:rPr>
      </w:pPr>
    </w:p>
    <w:p>
      <w:pPr>
        <w:pStyle w:val="BodyText"/>
        <w:spacing w:before="5"/>
        <w:rPr>
          <w:b/>
          <w:sz w:val="15"/>
        </w:rPr>
      </w:pPr>
    </w:p>
    <w:p>
      <w:pPr>
        <w:spacing w:line="453" w:lineRule="auto" w:before="57"/>
        <w:ind w:left="220" w:right="4330" w:firstLine="0"/>
        <w:jc w:val="left"/>
        <w:rPr>
          <w:sz w:val="22"/>
        </w:rPr>
      </w:pPr>
      <w:r>
        <w:rPr>
          <w:b/>
          <w:sz w:val="22"/>
        </w:rPr>
        <w:t>Return Type and Value: </w:t>
      </w:r>
      <w:r>
        <w:rPr>
          <w:sz w:val="22"/>
        </w:rPr>
        <w:t>number – The harmonic mean of a data set. However, if the value of any data point ≤ 0, </w:t>
      </w:r>
      <w:r>
        <w:rPr>
          <w:rFonts w:ascii="Consolas" w:hAnsi="Consolas"/>
          <w:sz w:val="22"/>
        </w:rPr>
        <w:t>#NUM! </w:t>
      </w:r>
      <w:r>
        <w:rPr>
          <w:sz w:val="22"/>
        </w:rPr>
        <w:t>is returned. [</w:t>
      </w:r>
      <w:r>
        <w:rPr>
          <w:i/>
          <w:sz w:val="22"/>
        </w:rPr>
        <w:t>Example</w:t>
      </w:r>
      <w:r>
        <w:rPr>
          <w:sz w:val="22"/>
        </w:rPr>
        <w:t>:</w:t>
      </w:r>
    </w:p>
    <w:p>
      <w:pPr>
        <w:pStyle w:val="BodyText"/>
        <w:spacing w:line="276" w:lineRule="auto" w:before="111"/>
        <w:ind w:left="220" w:right="4547"/>
        <w:rPr>
          <w:rFonts w:ascii="Consolas"/>
        </w:rPr>
      </w:pPr>
      <w:r>
        <w:rPr>
          <w:rFonts w:ascii="Consolas"/>
        </w:rPr>
        <w:t>HARMEAN(4.6,5.8,8.3,7) </w:t>
      </w:r>
      <w:r>
        <w:rPr/>
        <w:t>results in </w:t>
      </w:r>
      <w:r>
        <w:rPr>
          <w:rFonts w:ascii="Consolas"/>
        </w:rPr>
        <w:t>6.124222 HARMMEAN(10.5,{5.3,2.9},"12")</w:t>
      </w:r>
      <w:r>
        <w:rPr>
          <w:rFonts w:ascii="Consolas"/>
          <w:spacing w:val="-69"/>
        </w:rPr>
        <w:t> </w:t>
      </w:r>
      <w:r>
        <w:rPr/>
        <w:t>results in </w:t>
      </w:r>
      <w:r>
        <w:rPr>
          <w:rFonts w:ascii="Consolas"/>
        </w:rPr>
        <w:t>5.617360</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40 HEX2BIN" w:id="1812"/>
      <w:bookmarkEnd w:id="1812"/>
      <w:r>
        <w:rPr/>
      </w:r>
      <w:bookmarkStart w:name="_bookmark603" w:id="1813"/>
      <w:bookmarkEnd w:id="1813"/>
      <w:r>
        <w:rPr/>
      </w:r>
      <w:bookmarkStart w:name="_bookmark603" w:id="1814"/>
      <w:bookmarkEnd w:id="1814"/>
      <w:r>
        <w:rPr>
          <w:color w:val="4F81BC"/>
        </w:rPr>
        <w:t>HE</w:t>
      </w:r>
      <w:r>
        <w:rPr>
          <w:color w:val="4F81BC"/>
        </w:rPr>
        <w:t>X2BIN</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HEX2BIN ( </w:t>
      </w:r>
      <w:r>
        <w:rPr>
          <w:i/>
          <w:sz w:val="22"/>
        </w:rPr>
        <w:t>number </w:t>
      </w:r>
      <w:r>
        <w:rPr>
          <w:sz w:val="22"/>
        </w:rPr>
        <w:t>[ </w:t>
      </w:r>
      <w:r>
        <w:rPr>
          <w:rFonts w:ascii="Lucida Console"/>
          <w:sz w:val="20"/>
        </w:rPr>
        <w:t>, </w:t>
      </w:r>
      <w:r>
        <w:rPr>
          <w:i/>
          <w:sz w:val="22"/>
        </w:rPr>
        <w:t>num-bin-digits </w:t>
      </w:r>
      <w:r>
        <w:rPr>
          <w:sz w:val="22"/>
        </w:rPr>
        <w:t>] </w:t>
      </w:r>
      <w:r>
        <w:rPr>
          <w:rFonts w:ascii="Lucida Console"/>
          <w:sz w:val="20"/>
        </w:rPr>
        <w:t>)</w:t>
      </w:r>
    </w:p>
    <w:p>
      <w:pPr>
        <w:spacing w:before="108"/>
        <w:ind w:left="220" w:right="0" w:firstLine="0"/>
        <w:jc w:val="left"/>
        <w:rPr>
          <w:sz w:val="22"/>
        </w:rPr>
      </w:pPr>
      <w:r>
        <w:rPr>
          <w:b/>
          <w:sz w:val="22"/>
        </w:rPr>
        <w:t>Description: </w:t>
      </w:r>
      <w:r>
        <w:rPr>
          <w:sz w:val="22"/>
        </w:rPr>
        <w:t>Makes the binary equivalent of </w:t>
      </w:r>
      <w:r>
        <w:rPr>
          <w:rFonts w:ascii="Times New Roman"/>
          <w:i/>
          <w:sz w:val="22"/>
        </w:rPr>
        <w:t>number</w:t>
      </w:r>
      <w:r>
        <w:rPr>
          <w:sz w:val="22"/>
        </w:rPr>
        <w:t>, with the result having </w:t>
      </w:r>
      <w:r>
        <w:rPr>
          <w:rFonts w:ascii="Times New Roman"/>
          <w:i/>
          <w:sz w:val="22"/>
        </w:rPr>
        <w:t>num-bin-digits </w:t>
      </w:r>
      <w:r>
        <w:rPr>
          <w:sz w:val="22"/>
        </w:rPr>
        <w:t>digits.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32"/>
              <w:rPr>
                <w:sz w:val="22"/>
              </w:rPr>
            </w:pPr>
            <w:r>
              <w:rPr>
                <w:sz w:val="22"/>
              </w:rPr>
              <w:t>A 10-digit hexadecimal number in a string that is to be converted to a binary string. </w:t>
            </w:r>
            <w:r>
              <w:rPr>
                <w:rFonts w:ascii="Times New Roman"/>
                <w:i/>
                <w:sz w:val="22"/>
              </w:rPr>
              <w:t>number </w:t>
            </w:r>
            <w:r>
              <w:rPr>
                <w:sz w:val="22"/>
              </w:rPr>
              <w:t>is not case-sensitive. If </w:t>
            </w:r>
            <w:r>
              <w:rPr>
                <w:rFonts w:ascii="Times New Roman"/>
                <w:i/>
                <w:sz w:val="22"/>
              </w:rPr>
              <w:t>number </w:t>
            </w:r>
            <w:r>
              <w:rPr>
                <w:sz w:val="22"/>
              </w:rPr>
              <w:t>has less than 10 digits, leading zero digits are implied until it has exactly 10 digits. The 10 digits use twos-complement representation with the left-most bit (40th bit from the right) representing the sign bit.</w:t>
            </w:r>
          </w:p>
        </w:tc>
      </w:tr>
      <w:tr>
        <w:trPr>
          <w:trHeight w:val="1699" w:hRule="atLeast"/>
        </w:trPr>
        <w:tc>
          <w:tcPr>
            <w:tcW w:w="1466" w:type="dxa"/>
          </w:tcPr>
          <w:p>
            <w:pPr>
              <w:pStyle w:val="TableParagraph"/>
              <w:spacing w:before="37"/>
              <w:ind w:right="514"/>
              <w:rPr>
                <w:rFonts w:ascii="Times New Roman"/>
                <w:i/>
                <w:sz w:val="22"/>
              </w:rPr>
            </w:pPr>
            <w:r>
              <w:rPr>
                <w:rFonts w:ascii="Times New Roman"/>
                <w:i/>
                <w:sz w:val="22"/>
              </w:rPr>
              <w:t>num-bin-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123"/>
              <w:rPr>
                <w:sz w:val="22"/>
              </w:rPr>
            </w:pPr>
            <w:r>
              <w:rPr>
                <w:sz w:val="22"/>
              </w:rPr>
              <w:t>The number of digits in the result, with leading zeros added as necessary. However, if </w:t>
            </w:r>
            <w:r>
              <w:rPr>
                <w:rFonts w:ascii="Times New Roman"/>
                <w:i/>
                <w:sz w:val="22"/>
              </w:rPr>
              <w:t>number </w:t>
            </w:r>
            <w:r>
              <w:rPr>
                <w:sz w:val="22"/>
              </w:rPr>
              <w:t>is negative, </w:t>
            </w:r>
            <w:r>
              <w:rPr>
                <w:rFonts w:ascii="Times New Roman"/>
                <w:i/>
                <w:sz w:val="22"/>
              </w:rPr>
              <w:t>num- </w:t>
            </w:r>
            <w:r>
              <w:rPr>
                <w:rFonts w:ascii="Times New Roman"/>
                <w:i/>
                <w:sz w:val="22"/>
              </w:rPr>
              <w:t>bin-digits </w:t>
            </w:r>
            <w:r>
              <w:rPr>
                <w:sz w:val="22"/>
              </w:rPr>
              <w:t>is ignored and the result has 10 digits. If </w:t>
            </w:r>
            <w:r>
              <w:rPr>
                <w:rFonts w:ascii="Times New Roman"/>
                <w:i/>
                <w:sz w:val="22"/>
              </w:rPr>
              <w:t>num- </w:t>
            </w:r>
            <w:r>
              <w:rPr>
                <w:rFonts w:ascii="Times New Roman"/>
                <w:i/>
                <w:sz w:val="22"/>
              </w:rPr>
              <w:t>bin-digits </w:t>
            </w:r>
            <w:r>
              <w:rPr>
                <w:sz w:val="22"/>
              </w:rPr>
              <w:t>is omitted, the minimum number of digits is used in the result. </w:t>
            </w:r>
            <w:r>
              <w:rPr>
                <w:rFonts w:ascii="Times New Roman"/>
                <w:i/>
                <w:sz w:val="22"/>
              </w:rPr>
              <w:t>num-bin-digits </w:t>
            </w:r>
            <w:r>
              <w:rPr>
                <w:sz w:val="22"/>
              </w:rPr>
              <w:t>is truncated to an integer.</w:t>
            </w:r>
          </w:p>
        </w:tc>
      </w:tr>
    </w:tbl>
    <w:p>
      <w:pPr>
        <w:pStyle w:val="BodyText"/>
        <w:rPr>
          <w:b/>
        </w:rPr>
      </w:pPr>
    </w:p>
    <w:p>
      <w:pPr>
        <w:pStyle w:val="BodyText"/>
        <w:spacing w:before="7"/>
        <w:rPr>
          <w:b/>
          <w:sz w:val="19"/>
        </w:rPr>
      </w:pPr>
    </w:p>
    <w:p>
      <w:pPr>
        <w:spacing w:line="453" w:lineRule="auto" w:before="0"/>
        <w:ind w:left="220" w:right="4735" w:firstLine="0"/>
        <w:jc w:val="left"/>
        <w:rPr>
          <w:sz w:val="22"/>
        </w:rPr>
      </w:pPr>
      <w:r>
        <w:rPr>
          <w:b/>
          <w:sz w:val="22"/>
        </w:rPr>
        <w:t>Return Type and Value: </w:t>
      </w:r>
      <w:r>
        <w:rPr>
          <w:sz w:val="22"/>
        </w:rPr>
        <w:t>text – The binary equivalent of </w:t>
      </w:r>
      <w:r>
        <w:rPr>
          <w:rFonts w:ascii="Times New Roman" w:hAnsi="Times New Roman"/>
          <w:i/>
          <w:sz w:val="22"/>
        </w:rPr>
        <w:t>number</w:t>
      </w:r>
      <w:r>
        <w:rPr>
          <w:sz w:val="22"/>
        </w:rPr>
        <w:t>. However,</w:t>
      </w:r>
      <w:r>
        <w:rPr>
          <w:spacing w:val="-1"/>
          <w:sz w:val="22"/>
        </w:rPr>
        <w:t> </w:t>
      </w:r>
      <w:r>
        <w:rPr>
          <w:sz w:val="22"/>
        </w:rPr>
        <w:t>if</w:t>
      </w:r>
    </w:p>
    <w:p>
      <w:pPr>
        <w:spacing w:after="0" w:line="453" w:lineRule="auto"/>
        <w:jc w:val="left"/>
        <w:rPr>
          <w:sz w:val="22"/>
        </w:rPr>
        <w:sectPr>
          <w:pgSz w:w="12240" w:h="15840"/>
          <w:pgMar w:header="761" w:footer="746" w:top="1340" w:bottom="940" w:left="860" w:right="700"/>
        </w:sectPr>
      </w:pPr>
    </w:p>
    <w:p>
      <w:pPr>
        <w:pStyle w:val="ListParagraph"/>
        <w:numPr>
          <w:ilvl w:val="4"/>
          <w:numId w:val="66"/>
        </w:numPr>
        <w:tabs>
          <w:tab w:pos="940" w:val="left" w:leader="none"/>
          <w:tab w:pos="941" w:val="left" w:leader="none"/>
        </w:tabs>
        <w:spacing w:line="273" w:lineRule="auto" w:before="148" w:after="0"/>
        <w:ind w:left="940" w:right="387" w:hanging="360"/>
        <w:jc w:val="left"/>
        <w:rPr>
          <w:sz w:val="22"/>
        </w:rPr>
      </w:pPr>
      <w:r>
        <w:rPr>
          <w:rFonts w:ascii="Times New Roman" w:hAnsi="Times New Roman"/>
          <w:i/>
          <w:sz w:val="22"/>
        </w:rPr>
        <w:t>number</w:t>
      </w:r>
      <w:r>
        <w:rPr>
          <w:rFonts w:ascii="Times New Roman" w:hAnsi="Times New Roman"/>
          <w:i/>
          <w:spacing w:val="-9"/>
          <w:sz w:val="22"/>
        </w:rPr>
        <w:t> </w:t>
      </w:r>
      <w:r>
        <w:rPr>
          <w:sz w:val="22"/>
        </w:rPr>
        <w:t>is</w:t>
      </w:r>
      <w:r>
        <w:rPr>
          <w:spacing w:val="-7"/>
          <w:sz w:val="22"/>
        </w:rPr>
        <w:t> </w:t>
      </w:r>
      <w:r>
        <w:rPr>
          <w:sz w:val="22"/>
        </w:rPr>
        <w:t>outside</w:t>
      </w:r>
      <w:r>
        <w:rPr>
          <w:spacing w:val="-3"/>
          <w:sz w:val="22"/>
        </w:rPr>
        <w:t> </w:t>
      </w:r>
      <w:r>
        <w:rPr>
          <w:sz w:val="22"/>
        </w:rPr>
        <w:t>the</w:t>
      </w:r>
      <w:r>
        <w:rPr>
          <w:spacing w:val="-7"/>
          <w:sz w:val="22"/>
        </w:rPr>
        <w:t> </w:t>
      </w:r>
      <w:r>
        <w:rPr>
          <w:sz w:val="22"/>
        </w:rPr>
        <w:t>range</w:t>
      </w:r>
      <w:r>
        <w:rPr>
          <w:spacing w:val="-3"/>
          <w:sz w:val="22"/>
        </w:rPr>
        <w:t> </w:t>
      </w:r>
      <w:r>
        <w:rPr>
          <w:rFonts w:ascii="Consolas" w:hAnsi="Consolas"/>
          <w:sz w:val="22"/>
        </w:rPr>
        <w:t>"FFFFFFFE00"</w:t>
      </w:r>
      <w:r>
        <w:rPr>
          <w:rFonts w:ascii="Consolas" w:hAnsi="Consolas"/>
          <w:spacing w:val="-72"/>
          <w:sz w:val="22"/>
        </w:rPr>
        <w:t> </w:t>
      </w:r>
      <w:r>
        <w:rPr>
          <w:sz w:val="22"/>
        </w:rPr>
        <w:t>(1111111111111111111111111111111000000000</w:t>
      </w:r>
      <w:r>
        <w:rPr>
          <w:spacing w:val="-5"/>
          <w:sz w:val="22"/>
        </w:rPr>
        <w:t> </w:t>
      </w:r>
      <w:r>
        <w:rPr>
          <w:sz w:val="22"/>
        </w:rPr>
        <w:t>binary,</w:t>
      </w:r>
      <w:r>
        <w:rPr>
          <w:spacing w:val="-4"/>
          <w:sz w:val="22"/>
        </w:rPr>
        <w:t> </w:t>
      </w:r>
      <w:r>
        <w:rPr>
          <w:sz w:val="22"/>
        </w:rPr>
        <w:t>- 512 decimal) to </w:t>
      </w:r>
      <w:r>
        <w:rPr>
          <w:rFonts w:ascii="Consolas" w:hAnsi="Consolas"/>
          <w:sz w:val="22"/>
        </w:rPr>
        <w:t>"1FF"</w:t>
      </w:r>
      <w:r>
        <w:rPr>
          <w:rFonts w:ascii="Consolas" w:hAnsi="Consolas"/>
          <w:spacing w:val="-84"/>
          <w:sz w:val="22"/>
        </w:rPr>
        <w:t> </w:t>
      </w:r>
      <w:r>
        <w:rPr>
          <w:sz w:val="22"/>
        </w:rPr>
        <w:t>(0000000000000000000000000000000111111111 binary, 511 decimal),</w:t>
      </w:r>
    </w:p>
    <w:p>
      <w:pPr>
        <w:pStyle w:val="BodyText"/>
        <w:spacing w:before="5"/>
        <w:ind w:left="940"/>
      </w:pPr>
      <w:r>
        <w:rPr/>
        <w:t>inclusive, </w:t>
      </w:r>
      <w:r>
        <w:rPr>
          <w:rFonts w:ascii="Consolas"/>
        </w:rPr>
        <w:t>#NUM!</w:t>
      </w:r>
      <w:r>
        <w:rPr>
          <w:rFonts w:ascii="Consolas"/>
          <w:spacing w:val="-75"/>
        </w:rPr>
        <w:t> </w:t>
      </w:r>
      <w:r>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number </w:t>
      </w:r>
      <w:r>
        <w:rPr>
          <w:sz w:val="22"/>
        </w:rPr>
        <w:t>contains one or more non-hexadecimal digits,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number </w:t>
      </w:r>
      <w:r>
        <w:rPr>
          <w:sz w:val="22"/>
        </w:rPr>
        <w:t>contains more than 10 hexadecimal digits,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num-bin-digits</w:t>
      </w:r>
      <w:r>
        <w:rPr>
          <w:sz w:val="22"/>
        </w:rPr>
        <w:t>,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4" w:lineRule="auto" w:before="42" w:after="0"/>
        <w:ind w:left="220" w:right="4967" w:firstLine="360"/>
        <w:jc w:val="left"/>
        <w:rPr>
          <w:sz w:val="22"/>
        </w:rPr>
      </w:pPr>
      <w:r>
        <w:rPr>
          <w:rFonts w:ascii="Times New Roman" w:hAnsi="Times New Roman"/>
          <w:i/>
          <w:sz w:val="22"/>
        </w:rPr>
        <w:t>num-bin-digits </w:t>
      </w:r>
      <w:r>
        <w:rPr>
          <w:sz w:val="22"/>
        </w:rPr>
        <w:t>is negative or &gt; 10, </w:t>
      </w:r>
      <w:r>
        <w:rPr>
          <w:rFonts w:ascii="Consolas" w:hAnsi="Consolas"/>
          <w:sz w:val="22"/>
        </w:rPr>
        <w:t>#NUM!</w:t>
      </w:r>
      <w:r>
        <w:rPr>
          <w:rFonts w:ascii="Consolas" w:hAnsi="Consolas"/>
          <w:spacing w:val="-93"/>
          <w:sz w:val="22"/>
        </w:rPr>
        <w:t> </w:t>
      </w:r>
      <w:r>
        <w:rPr>
          <w:sz w:val="22"/>
        </w:rPr>
        <w:t>is returned. [</w:t>
      </w:r>
      <w:r>
        <w:rPr>
          <w:i/>
          <w:sz w:val="22"/>
        </w:rPr>
        <w:t>Example</w:t>
      </w:r>
      <w:r>
        <w:rPr>
          <w:sz w:val="22"/>
        </w:rPr>
        <w:t>:</w:t>
      </w:r>
    </w:p>
    <w:p>
      <w:pPr>
        <w:pStyle w:val="BodyText"/>
        <w:spacing w:line="273" w:lineRule="auto" w:before="131"/>
        <w:ind w:left="220" w:right="5705"/>
        <w:rPr>
          <w:rFonts w:ascii="Consolas"/>
        </w:rPr>
      </w:pPr>
      <w:r>
        <w:rPr>
          <w:rFonts w:ascii="Consolas"/>
        </w:rPr>
        <w:t>HEX2BIN("fE") </w:t>
      </w:r>
      <w:r>
        <w:rPr/>
        <w:t>results in </w:t>
      </w:r>
      <w:r>
        <w:rPr>
          <w:rFonts w:ascii="Consolas"/>
        </w:rPr>
        <w:t>11111110 HEX2BIN("FFFFFFFFFE") </w:t>
      </w:r>
      <w:r>
        <w:rPr/>
        <w:t>results in </w:t>
      </w:r>
      <w:r>
        <w:rPr>
          <w:rFonts w:ascii="Consolas"/>
        </w:rPr>
        <w:t>1111111110</w:t>
      </w:r>
    </w:p>
    <w:p>
      <w:pPr>
        <w:pStyle w:val="BodyText"/>
        <w:spacing w:line="276" w:lineRule="auto" w:before="5"/>
        <w:ind w:left="220" w:right="7036"/>
        <w:rPr>
          <w:rFonts w:ascii="Consolas"/>
        </w:rPr>
      </w:pPr>
      <w:r>
        <w:rPr>
          <w:rFonts w:ascii="Consolas"/>
        </w:rPr>
        <w:t>HEX2BIN("2") </w:t>
      </w:r>
      <w:r>
        <w:rPr/>
        <w:t>results in </w:t>
      </w:r>
      <w:r>
        <w:rPr>
          <w:rFonts w:ascii="Consolas"/>
        </w:rPr>
        <w:t>10 HEX2BIN("F",6) </w:t>
      </w:r>
      <w:r>
        <w:rPr/>
        <w:t>results in </w:t>
      </w:r>
      <w:r>
        <w:rPr>
          <w:rFonts w:ascii="Consolas"/>
        </w:rPr>
        <w:t>001111</w:t>
      </w:r>
    </w:p>
    <w:p>
      <w:pPr>
        <w:pStyle w:val="BodyText"/>
        <w:spacing w:before="6"/>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41 HEX2DEC" w:id="1815"/>
      <w:bookmarkEnd w:id="1815"/>
      <w:r>
        <w:rPr/>
      </w:r>
      <w:bookmarkStart w:name="_bookmark604" w:id="1816"/>
      <w:bookmarkEnd w:id="1816"/>
      <w:r>
        <w:rPr/>
      </w:r>
      <w:bookmarkStart w:name="_bookmark604" w:id="1817"/>
      <w:bookmarkEnd w:id="1817"/>
      <w:r>
        <w:rPr>
          <w:color w:val="4F81BC"/>
        </w:rPr>
        <w:t>HE</w:t>
      </w:r>
      <w:r>
        <w:rPr>
          <w:color w:val="4F81BC"/>
        </w:rPr>
        <w:t>X2DEC</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HEX2DEC ( </w:t>
      </w:r>
      <w:r>
        <w:rPr>
          <w:i/>
          <w:sz w:val="22"/>
        </w:rPr>
        <w:t>number </w:t>
      </w:r>
      <w:r>
        <w:rPr>
          <w:rFonts w:ascii="Lucida Console"/>
          <w:sz w:val="20"/>
        </w:rPr>
        <w:t>)</w:t>
      </w:r>
    </w:p>
    <w:p>
      <w:pPr>
        <w:spacing w:before="108"/>
        <w:ind w:left="220" w:right="0" w:firstLine="0"/>
        <w:jc w:val="left"/>
        <w:rPr>
          <w:sz w:val="22"/>
        </w:rPr>
      </w:pPr>
      <w:r>
        <w:rPr>
          <w:b/>
          <w:sz w:val="22"/>
        </w:rPr>
        <w:t>Description: </w:t>
      </w:r>
      <w:r>
        <w:rPr>
          <w:sz w:val="22"/>
        </w:rPr>
        <w:t>Makes the decimal equivalent of </w:t>
      </w:r>
      <w:r>
        <w:rPr>
          <w:rFonts w:ascii="Times New Roman"/>
          <w:i/>
          <w:sz w:val="22"/>
        </w:rPr>
        <w:t>number</w:t>
      </w:r>
      <w:r>
        <w:rPr>
          <w:sz w:val="22"/>
        </w:rPr>
        <w:t>.</w:t>
      </w:r>
    </w:p>
    <w:p>
      <w:pPr>
        <w:pStyle w:val="BodyText"/>
        <w:spacing w:before="8"/>
        <w:rPr>
          <w:sz w:val="19"/>
        </w:rPr>
      </w:pPr>
    </w:p>
    <w:p>
      <w:pPr>
        <w:pStyle w:val="Heading4"/>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7"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string</w:t>
            </w:r>
          </w:p>
        </w:tc>
        <w:tc>
          <w:tcPr>
            <w:tcW w:w="5400" w:type="dxa"/>
          </w:tcPr>
          <w:p>
            <w:pPr>
              <w:pStyle w:val="TableParagraph"/>
              <w:ind w:left="113"/>
              <w:rPr>
                <w:sz w:val="22"/>
              </w:rPr>
            </w:pPr>
            <w:r>
              <w:rPr>
                <w:sz w:val="22"/>
              </w:rPr>
              <w:t>A 10-digit hexadecimal number in a string that is to be converted to a decimal number. </w:t>
            </w:r>
            <w:r>
              <w:rPr>
                <w:rFonts w:ascii="Times New Roman"/>
                <w:i/>
                <w:sz w:val="22"/>
              </w:rPr>
              <w:t>number </w:t>
            </w:r>
            <w:r>
              <w:rPr>
                <w:sz w:val="22"/>
              </w:rPr>
              <w:t>is not case- sensitive. If </w:t>
            </w:r>
            <w:r>
              <w:rPr>
                <w:rFonts w:ascii="Times New Roman"/>
                <w:i/>
                <w:sz w:val="22"/>
              </w:rPr>
              <w:t>number </w:t>
            </w:r>
            <w:r>
              <w:rPr>
                <w:sz w:val="22"/>
              </w:rPr>
              <w:t>has less than 10 digits, leading zero digits are implied until it has exactly 10 digits. The</w:t>
            </w:r>
          </w:p>
          <w:p>
            <w:pPr>
              <w:pStyle w:val="TableParagraph"/>
              <w:spacing w:before="1"/>
              <w:ind w:left="113" w:right="297"/>
              <w:rPr>
                <w:sz w:val="22"/>
              </w:rPr>
            </w:pPr>
            <w:r>
              <w:rPr>
                <w:sz w:val="22"/>
              </w:rPr>
              <w:t>10 digits use twos-complement representation with the left-most bit (40th bit from the right) representing the sign bit.</w:t>
            </w:r>
          </w:p>
        </w:tc>
      </w:tr>
    </w:tbl>
    <w:p>
      <w:pPr>
        <w:pStyle w:val="BodyText"/>
        <w:rPr>
          <w:b/>
        </w:rPr>
      </w:pPr>
    </w:p>
    <w:p>
      <w:pPr>
        <w:pStyle w:val="BodyText"/>
        <w:spacing w:before="7"/>
        <w:rPr>
          <w:b/>
          <w:sz w:val="19"/>
        </w:rPr>
      </w:pPr>
    </w:p>
    <w:p>
      <w:pPr>
        <w:spacing w:line="456" w:lineRule="auto" w:before="0"/>
        <w:ind w:left="220" w:right="4241" w:firstLine="0"/>
        <w:jc w:val="left"/>
        <w:rPr>
          <w:sz w:val="22"/>
        </w:rPr>
      </w:pPr>
      <w:r>
        <w:rPr>
          <w:b/>
          <w:sz w:val="22"/>
        </w:rPr>
        <w:t>Return Type and Value: </w:t>
      </w:r>
      <w:r>
        <w:rPr>
          <w:sz w:val="22"/>
        </w:rPr>
        <w:t>number – The decimal equivalent of </w:t>
      </w:r>
      <w:r>
        <w:rPr>
          <w:rFonts w:ascii="Times New Roman" w:hAnsi="Times New Roman"/>
          <w:i/>
          <w:sz w:val="22"/>
        </w:rPr>
        <w:t>number</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number </w:t>
      </w:r>
      <w:r>
        <w:rPr>
          <w:sz w:val="22"/>
        </w:rPr>
        <w:t>contains one or more non-hexadecimal digits,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276" w:lineRule="auto" w:before="39" w:after="0"/>
        <w:ind w:left="940" w:right="539" w:hanging="360"/>
        <w:jc w:val="left"/>
        <w:rPr>
          <w:sz w:val="22"/>
        </w:rPr>
      </w:pPr>
      <w:r>
        <w:rPr>
          <w:rFonts w:ascii="Times New Roman" w:hAnsi="Times New Roman"/>
          <w:i/>
          <w:sz w:val="22"/>
        </w:rPr>
        <w:t>number </w:t>
      </w:r>
      <w:r>
        <w:rPr>
          <w:sz w:val="22"/>
        </w:rPr>
        <w:t>contains more than 10 hexadecimal digits; that is, </w:t>
      </w:r>
      <w:r>
        <w:rPr>
          <w:rFonts w:ascii="Times New Roman" w:hAnsi="Times New Roman"/>
          <w:i/>
          <w:sz w:val="22"/>
        </w:rPr>
        <w:t>number</w:t>
      </w:r>
      <w:r>
        <w:rPr>
          <w:rFonts w:ascii="Times New Roman" w:hAnsi="Times New Roman"/>
          <w:i/>
          <w:spacing w:val="-38"/>
          <w:sz w:val="22"/>
        </w:rPr>
        <w:t> </w:t>
      </w:r>
      <w:r>
        <w:rPr>
          <w:sz w:val="22"/>
        </w:rPr>
        <w:t>is outside the range </w:t>
      </w:r>
      <w:r>
        <w:rPr>
          <w:rFonts w:ascii="Consolas" w:hAnsi="Consolas"/>
          <w:sz w:val="22"/>
        </w:rPr>
        <w:t>"8000000000" </w:t>
      </w:r>
      <w:r>
        <w:rPr>
          <w:sz w:val="22"/>
        </w:rPr>
        <w:t>(-548,755,813,888 decimal) to </w:t>
      </w:r>
      <w:r>
        <w:rPr>
          <w:rFonts w:ascii="Consolas" w:hAnsi="Consolas"/>
          <w:sz w:val="22"/>
        </w:rPr>
        <w:t>"7FFFFFFFFF" </w:t>
      </w:r>
      <w:r>
        <w:rPr>
          <w:sz w:val="22"/>
        </w:rPr>
        <w:t>(548,755,813,887 decimal), inclusive, </w:t>
      </w:r>
      <w:r>
        <w:rPr>
          <w:rFonts w:ascii="Consolas" w:hAnsi="Consolas"/>
          <w:sz w:val="22"/>
        </w:rPr>
        <w:t>#NUM! </w:t>
      </w:r>
      <w:r>
        <w:rPr>
          <w:sz w:val="22"/>
        </w:rPr>
        <w:t>is returned.</w:t>
      </w:r>
    </w:p>
    <w:p>
      <w:pPr>
        <w:spacing w:after="0" w:line="276"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5295"/>
        <w:rPr>
          <w:rFonts w:ascii="Consolas"/>
        </w:rPr>
      </w:pPr>
      <w:r>
        <w:rPr>
          <w:rFonts w:ascii="Consolas"/>
        </w:rPr>
        <w:t>HEX2DEC("fE") </w:t>
      </w:r>
      <w:r>
        <w:rPr/>
        <w:t>results in </w:t>
      </w:r>
      <w:r>
        <w:rPr>
          <w:rFonts w:ascii="Consolas"/>
        </w:rPr>
        <w:t>254 HEX2DEC("FFFFFFFFFE") </w:t>
      </w:r>
      <w:r>
        <w:rPr/>
        <w:t>results in </w:t>
      </w:r>
      <w:r>
        <w:rPr>
          <w:rFonts w:ascii="Consolas"/>
        </w:rPr>
        <w:t>-2 HEX2DEC("F000000000")</w:t>
      </w:r>
      <w:r>
        <w:rPr>
          <w:rFonts w:ascii="Consolas"/>
          <w:spacing w:val="-69"/>
        </w:rPr>
        <w:t> </w:t>
      </w:r>
      <w:r>
        <w:rPr/>
        <w:t>results in </w:t>
      </w:r>
      <w:r>
        <w:rPr>
          <w:rFonts w:ascii="Consolas"/>
        </w:rPr>
        <w:t>-68719476736</w:t>
      </w:r>
    </w:p>
    <w:p>
      <w:pPr>
        <w:pStyle w:val="BodyText"/>
        <w:spacing w:before="7"/>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42 HEX2OCT" w:id="1818"/>
      <w:bookmarkEnd w:id="1818"/>
      <w:r>
        <w:rPr/>
      </w:r>
      <w:bookmarkStart w:name="_bookmark605" w:id="1819"/>
      <w:bookmarkEnd w:id="1819"/>
      <w:r>
        <w:rPr/>
      </w:r>
      <w:bookmarkStart w:name="_bookmark605" w:id="1820"/>
      <w:bookmarkEnd w:id="1820"/>
      <w:r>
        <w:rPr>
          <w:color w:val="4F81BC"/>
        </w:rPr>
        <w:t>HE</w:t>
      </w:r>
      <w:r>
        <w:rPr>
          <w:color w:val="4F81BC"/>
        </w:rPr>
        <w:t>X2OCT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HEX2OCT ( </w:t>
      </w:r>
      <w:r>
        <w:rPr>
          <w:i/>
          <w:sz w:val="22"/>
        </w:rPr>
        <w:t>number </w:t>
      </w:r>
      <w:r>
        <w:rPr>
          <w:sz w:val="22"/>
        </w:rPr>
        <w:t>[ </w:t>
      </w:r>
      <w:r>
        <w:rPr>
          <w:rFonts w:ascii="Lucida Console"/>
          <w:sz w:val="20"/>
        </w:rPr>
        <w:t>, </w:t>
      </w:r>
      <w:r>
        <w:rPr>
          <w:i/>
          <w:sz w:val="22"/>
        </w:rPr>
        <w:t>num-oct-digits </w:t>
      </w:r>
      <w:r>
        <w:rPr>
          <w:sz w:val="22"/>
        </w:rPr>
        <w:t>] </w:t>
      </w:r>
      <w:r>
        <w:rPr>
          <w:rFonts w:ascii="Lucida Console"/>
          <w:sz w:val="20"/>
        </w:rPr>
        <w:t>)</w:t>
      </w:r>
    </w:p>
    <w:p>
      <w:pPr>
        <w:spacing w:before="109"/>
        <w:ind w:left="220" w:right="0" w:firstLine="0"/>
        <w:jc w:val="left"/>
        <w:rPr>
          <w:sz w:val="22"/>
        </w:rPr>
      </w:pPr>
      <w:r>
        <w:rPr>
          <w:b/>
          <w:sz w:val="22"/>
        </w:rPr>
        <w:t>Description: </w:t>
      </w:r>
      <w:r>
        <w:rPr>
          <w:sz w:val="22"/>
        </w:rPr>
        <w:t>Makes the octal equivalent of </w:t>
      </w:r>
      <w:r>
        <w:rPr>
          <w:rFonts w:ascii="Times New Roman"/>
          <w:i/>
          <w:sz w:val="22"/>
        </w:rPr>
        <w:t>number</w:t>
      </w:r>
      <w:r>
        <w:rPr>
          <w:sz w:val="22"/>
        </w:rPr>
        <w:t>, with the result having </w:t>
      </w:r>
      <w:r>
        <w:rPr>
          <w:rFonts w:ascii="Times New Roman"/>
          <w:i/>
          <w:sz w:val="22"/>
        </w:rPr>
        <w:t>num-oct-digits </w:t>
      </w:r>
      <w:r>
        <w:rPr>
          <w:sz w:val="22"/>
        </w:rPr>
        <w:t>digits.</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8"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42"/>
              <w:rPr>
                <w:sz w:val="22"/>
              </w:rPr>
            </w:pPr>
            <w:r>
              <w:rPr>
                <w:sz w:val="22"/>
              </w:rPr>
              <w:t>A 10-digit hexadecimal number in a string that is to be converted to an octal string. </w:t>
            </w:r>
            <w:r>
              <w:rPr>
                <w:rFonts w:ascii="Times New Roman"/>
                <w:i/>
                <w:sz w:val="22"/>
              </w:rPr>
              <w:t>number </w:t>
            </w:r>
            <w:r>
              <w:rPr>
                <w:sz w:val="22"/>
              </w:rPr>
              <w:t>is not case-sensitive. If </w:t>
            </w:r>
            <w:r>
              <w:rPr>
                <w:rFonts w:ascii="Times New Roman"/>
                <w:i/>
                <w:sz w:val="22"/>
              </w:rPr>
              <w:t>number </w:t>
            </w:r>
            <w:r>
              <w:rPr>
                <w:sz w:val="22"/>
              </w:rPr>
              <w:t>has less than 10 digits, leading zero digits are implied until it has exactly 10 digits. The 10 digits use twos-complement representation with the left-most bit (40th bit from the right) representing the sign bit.</w:t>
            </w:r>
          </w:p>
        </w:tc>
      </w:tr>
      <w:tr>
        <w:trPr>
          <w:trHeight w:val="1696" w:hRule="atLeast"/>
        </w:trPr>
        <w:tc>
          <w:tcPr>
            <w:tcW w:w="1466" w:type="dxa"/>
          </w:tcPr>
          <w:p>
            <w:pPr>
              <w:pStyle w:val="TableParagraph"/>
              <w:spacing w:before="37"/>
              <w:ind w:right="526"/>
              <w:rPr>
                <w:rFonts w:ascii="Times New Roman"/>
                <w:i/>
                <w:sz w:val="22"/>
              </w:rPr>
            </w:pPr>
            <w:r>
              <w:rPr>
                <w:rFonts w:ascii="Times New Roman"/>
                <w:i/>
                <w:sz w:val="22"/>
              </w:rPr>
              <w:t>num-oct-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123"/>
              <w:rPr>
                <w:sz w:val="22"/>
              </w:rPr>
            </w:pPr>
            <w:r>
              <w:rPr>
                <w:sz w:val="22"/>
              </w:rPr>
              <w:t>The number of digits in the result, with leading zeros added as necessary. However, if </w:t>
            </w:r>
            <w:r>
              <w:rPr>
                <w:rFonts w:ascii="Times New Roman"/>
                <w:i/>
                <w:sz w:val="22"/>
              </w:rPr>
              <w:t>number </w:t>
            </w:r>
            <w:r>
              <w:rPr>
                <w:sz w:val="22"/>
              </w:rPr>
              <w:t>is negative, </w:t>
            </w:r>
            <w:r>
              <w:rPr>
                <w:rFonts w:ascii="Times New Roman"/>
                <w:i/>
                <w:sz w:val="22"/>
              </w:rPr>
              <w:t>num- </w:t>
            </w:r>
            <w:r>
              <w:rPr>
                <w:rFonts w:ascii="Times New Roman"/>
                <w:i/>
                <w:sz w:val="22"/>
              </w:rPr>
              <w:t>oct-digits </w:t>
            </w:r>
            <w:r>
              <w:rPr>
                <w:sz w:val="22"/>
              </w:rPr>
              <w:t>is ignored and the result has 10 digits. If </w:t>
            </w:r>
            <w:r>
              <w:rPr>
                <w:rFonts w:ascii="Times New Roman"/>
                <w:i/>
                <w:sz w:val="22"/>
              </w:rPr>
              <w:t>num- </w:t>
            </w:r>
            <w:r>
              <w:rPr>
                <w:rFonts w:ascii="Times New Roman"/>
                <w:i/>
                <w:sz w:val="22"/>
              </w:rPr>
              <w:t>oct-digits </w:t>
            </w:r>
            <w:r>
              <w:rPr>
                <w:sz w:val="22"/>
              </w:rPr>
              <w:t>is omitted, the minimum number of digits is used in the result. </w:t>
            </w:r>
            <w:r>
              <w:rPr>
                <w:rFonts w:ascii="Times New Roman"/>
                <w:i/>
                <w:sz w:val="22"/>
              </w:rPr>
              <w:t>num-oct-digits </w:t>
            </w:r>
            <w:r>
              <w:rPr>
                <w:sz w:val="22"/>
              </w:rPr>
              <w:t>is truncated to an integer.</w:t>
            </w:r>
          </w:p>
        </w:tc>
      </w:tr>
    </w:tbl>
    <w:p>
      <w:pPr>
        <w:pStyle w:val="BodyText"/>
        <w:rPr>
          <w:b/>
        </w:rPr>
      </w:pPr>
    </w:p>
    <w:p>
      <w:pPr>
        <w:pStyle w:val="BodyText"/>
        <w:spacing w:before="7"/>
        <w:rPr>
          <w:b/>
          <w:sz w:val="19"/>
        </w:rPr>
      </w:pPr>
    </w:p>
    <w:p>
      <w:pPr>
        <w:spacing w:line="453" w:lineRule="auto" w:before="0"/>
        <w:ind w:left="220" w:right="4860" w:firstLine="0"/>
        <w:jc w:val="left"/>
        <w:rPr>
          <w:sz w:val="22"/>
        </w:rPr>
      </w:pPr>
      <w:r>
        <w:rPr>
          <w:b/>
          <w:sz w:val="22"/>
        </w:rPr>
        <w:t>Return Type and Value: </w:t>
      </w:r>
      <w:r>
        <w:rPr>
          <w:sz w:val="22"/>
        </w:rPr>
        <w:t>text – The octal equivalent of </w:t>
      </w:r>
      <w:r>
        <w:rPr>
          <w:rFonts w:ascii="Times New Roman" w:hAnsi="Times New Roman"/>
          <w:i/>
          <w:sz w:val="22"/>
        </w:rPr>
        <w:t>number</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number </w:t>
      </w:r>
      <w:r>
        <w:rPr>
          <w:sz w:val="22"/>
        </w:rPr>
        <w:t>is outside the range </w:t>
      </w:r>
      <w:r>
        <w:rPr>
          <w:rFonts w:ascii="Consolas" w:hAnsi="Consolas"/>
          <w:sz w:val="22"/>
        </w:rPr>
        <w:t>"FFE0000000"</w:t>
      </w:r>
      <w:r>
        <w:rPr>
          <w:rFonts w:ascii="Consolas" w:hAnsi="Consolas"/>
          <w:spacing w:val="-87"/>
          <w:sz w:val="22"/>
        </w:rPr>
        <w:t> </w:t>
      </w:r>
      <w:r>
        <w:rPr>
          <w:sz w:val="22"/>
        </w:rPr>
        <w:t>(17774000000000 octal, -536,870,912 decimal) to</w:t>
      </w:r>
    </w:p>
    <w:p>
      <w:pPr>
        <w:pStyle w:val="BodyText"/>
        <w:spacing w:before="41"/>
        <w:ind w:left="940"/>
      </w:pPr>
      <w:r>
        <w:rPr>
          <w:rFonts w:ascii="Consolas"/>
        </w:rPr>
        <w:t>"1FFFFFFF" </w:t>
      </w:r>
      <w:r>
        <w:rPr/>
        <w:t>(00003777777777 octal, 536,870,911 decimal), inclusive, </w:t>
      </w:r>
      <w:r>
        <w:rPr>
          <w:rFonts w:ascii="Consolas"/>
        </w:rPr>
        <w:t>#NUM!</w:t>
      </w:r>
      <w:r>
        <w:rPr>
          <w:rFonts w:ascii="Consolas"/>
          <w:spacing w:val="-85"/>
        </w:rPr>
        <w:t> </w:t>
      </w:r>
      <w:r>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number </w:t>
      </w:r>
      <w:r>
        <w:rPr>
          <w:sz w:val="22"/>
        </w:rPr>
        <w:t>contains one or more non-hexadecimal digits,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number </w:t>
      </w:r>
      <w:r>
        <w:rPr>
          <w:sz w:val="22"/>
        </w:rPr>
        <w:t>contains more than 10 hexadecimal digits,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num-oct-digits</w:t>
      </w:r>
      <w:r>
        <w:rPr>
          <w:sz w:val="22"/>
        </w:rPr>
        <w:t>,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4979" w:firstLine="360"/>
        <w:jc w:val="left"/>
        <w:rPr>
          <w:sz w:val="22"/>
        </w:rPr>
      </w:pPr>
      <w:r>
        <w:rPr>
          <w:rFonts w:ascii="Times New Roman" w:hAnsi="Times New Roman"/>
          <w:i/>
          <w:sz w:val="22"/>
        </w:rPr>
        <w:t>num-oct-digits </w:t>
      </w:r>
      <w:r>
        <w:rPr>
          <w:sz w:val="22"/>
        </w:rPr>
        <w:t>is negative or &gt; 10, </w:t>
      </w:r>
      <w:r>
        <w:rPr>
          <w:rFonts w:ascii="Consolas" w:hAnsi="Consolas"/>
          <w:sz w:val="22"/>
        </w:rPr>
        <w:t>#NUM!</w:t>
      </w:r>
      <w:r>
        <w:rPr>
          <w:rFonts w:ascii="Consolas" w:hAnsi="Consolas"/>
          <w:spacing w:val="-92"/>
          <w:sz w:val="22"/>
        </w:rPr>
        <w:t> </w:t>
      </w:r>
      <w:r>
        <w:rPr>
          <w:sz w:val="22"/>
        </w:rPr>
        <w:t>is returned. [</w:t>
      </w:r>
      <w:r>
        <w:rPr>
          <w:i/>
          <w:sz w:val="22"/>
        </w:rPr>
        <w:t>Example</w:t>
      </w:r>
      <w:r>
        <w:rPr>
          <w:sz w:val="22"/>
        </w:rPr>
        <w:t>:</w:t>
      </w:r>
    </w:p>
    <w:p>
      <w:pPr>
        <w:spacing w:after="0" w:line="446" w:lineRule="auto"/>
        <w:jc w:val="left"/>
        <w:rPr>
          <w:sz w:val="22"/>
        </w:rPr>
        <w:sectPr>
          <w:pgSz w:w="12240" w:h="15840"/>
          <w:pgMar w:header="761" w:footer="746" w:top="1340" w:bottom="940" w:left="860" w:right="700"/>
        </w:sectPr>
      </w:pPr>
    </w:p>
    <w:p>
      <w:pPr>
        <w:pStyle w:val="BodyText"/>
        <w:spacing w:line="276" w:lineRule="auto" w:before="148"/>
        <w:ind w:left="220" w:right="5705"/>
        <w:rPr>
          <w:rFonts w:ascii="Consolas"/>
        </w:rPr>
      </w:pPr>
      <w:r>
        <w:rPr>
          <w:rFonts w:ascii="Consolas"/>
        </w:rPr>
        <w:t>HEX2OCT("fE") </w:t>
      </w:r>
      <w:r>
        <w:rPr/>
        <w:t>results in </w:t>
      </w:r>
      <w:r>
        <w:rPr>
          <w:rFonts w:ascii="Consolas"/>
        </w:rPr>
        <w:t>376 HEX2OCT("FFFFFFFFFE") </w:t>
      </w:r>
      <w:r>
        <w:rPr/>
        <w:t>results in </w:t>
      </w:r>
      <w:r>
        <w:rPr>
          <w:rFonts w:ascii="Consolas"/>
        </w:rPr>
        <w:t>7777777776</w:t>
      </w:r>
    </w:p>
    <w:p>
      <w:pPr>
        <w:pStyle w:val="BodyText"/>
        <w:spacing w:line="276" w:lineRule="auto"/>
        <w:ind w:left="220" w:right="7036"/>
        <w:rPr>
          <w:rFonts w:ascii="Consolas"/>
        </w:rPr>
      </w:pPr>
      <w:r>
        <w:rPr>
          <w:rFonts w:ascii="Consolas"/>
        </w:rPr>
        <w:t>HEX2OCT("2") </w:t>
      </w:r>
      <w:r>
        <w:rPr/>
        <w:t>results in </w:t>
      </w:r>
      <w:r>
        <w:rPr>
          <w:rFonts w:ascii="Consolas"/>
        </w:rPr>
        <w:t>2 HEX2OCT("F",6) </w:t>
      </w:r>
      <w:r>
        <w:rPr/>
        <w:t>results in </w:t>
      </w:r>
      <w:r>
        <w:rPr>
          <w:rFonts w:ascii="Consolas"/>
        </w:rPr>
        <w:t>000017</w:t>
      </w:r>
    </w:p>
    <w:p>
      <w:pPr>
        <w:pStyle w:val="BodyText"/>
        <w:spacing w:before="6"/>
        <w:rPr>
          <w:rFonts w:ascii="Consolas"/>
          <w:sz w:val="25"/>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43 HLOOKUP" w:id="1821"/>
      <w:bookmarkEnd w:id="1821"/>
      <w:r>
        <w:rPr/>
      </w:r>
      <w:bookmarkStart w:name="_bookmark606" w:id="1822"/>
      <w:bookmarkEnd w:id="1822"/>
      <w:r>
        <w:rPr/>
      </w:r>
      <w:bookmarkStart w:name="_bookmark606" w:id="1823"/>
      <w:bookmarkEnd w:id="1823"/>
      <w:r>
        <w:rPr>
          <w:color w:val="4F81BC"/>
        </w:rPr>
        <w:t>HL</w:t>
      </w:r>
      <w:r>
        <w:rPr>
          <w:color w:val="4F81BC"/>
        </w:rPr>
        <w:t>OOKUP</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HLOOKUP ( </w:t>
      </w:r>
      <w:r>
        <w:rPr>
          <w:i/>
          <w:sz w:val="22"/>
        </w:rPr>
        <w:t>lookup-value </w:t>
      </w:r>
      <w:r>
        <w:rPr>
          <w:rFonts w:ascii="Lucida Console"/>
          <w:sz w:val="20"/>
        </w:rPr>
        <w:t>, </w:t>
      </w:r>
      <w:r>
        <w:rPr>
          <w:i/>
          <w:sz w:val="22"/>
        </w:rPr>
        <w:t>table-array </w:t>
      </w:r>
      <w:r>
        <w:rPr>
          <w:rFonts w:ascii="Lucida Console"/>
          <w:sz w:val="20"/>
        </w:rPr>
        <w:t>, </w:t>
      </w:r>
      <w:r>
        <w:rPr>
          <w:i/>
          <w:sz w:val="22"/>
        </w:rPr>
        <w:t>row-index-num </w:t>
      </w:r>
      <w:r>
        <w:rPr>
          <w:sz w:val="22"/>
        </w:rPr>
        <w:t>[ </w:t>
      </w:r>
      <w:r>
        <w:rPr>
          <w:rFonts w:ascii="Lucida Console"/>
          <w:sz w:val="20"/>
        </w:rPr>
        <w:t>, </w:t>
      </w:r>
      <w:r>
        <w:rPr>
          <w:sz w:val="22"/>
        </w:rPr>
        <w:t>[ </w:t>
      </w:r>
      <w:r>
        <w:rPr>
          <w:i/>
          <w:sz w:val="22"/>
        </w:rPr>
        <w:t>range-lookup-flag </w:t>
      </w:r>
      <w:r>
        <w:rPr>
          <w:sz w:val="22"/>
        </w:rPr>
        <w:t>] ] </w:t>
      </w:r>
      <w:r>
        <w:rPr>
          <w:rFonts w:ascii="Lucida Console"/>
          <w:sz w:val="20"/>
        </w:rPr>
        <w:t>)</w:t>
      </w:r>
    </w:p>
    <w:p>
      <w:pPr>
        <w:pStyle w:val="BodyText"/>
        <w:spacing w:line="278" w:lineRule="auto" w:before="106"/>
        <w:ind w:left="220" w:right="523"/>
      </w:pPr>
      <w:r>
        <w:rPr>
          <w:b/>
        </w:rPr>
        <w:t>Description</w:t>
      </w:r>
      <w:r>
        <w:rPr/>
        <w:t>: Performs a horizontal search for a value in the top row of a table or an array, noting the column in which the matching value is found. From that column, the value from a given row is returned.</w:t>
      </w:r>
    </w:p>
    <w:p>
      <w:pPr>
        <w:pStyle w:val="BodyText"/>
        <w:spacing w:before="3"/>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rPr>
                <w:rFonts w:ascii="Times New Roman"/>
                <w:i/>
                <w:sz w:val="22"/>
              </w:rPr>
            </w:pPr>
            <w:r>
              <w:rPr>
                <w:rFonts w:ascii="Times New Roman"/>
                <w:i/>
                <w:sz w:val="22"/>
              </w:rPr>
              <w:t>lookup-value</w:t>
            </w:r>
          </w:p>
        </w:tc>
        <w:tc>
          <w:tcPr>
            <w:tcW w:w="1800" w:type="dxa"/>
          </w:tcPr>
          <w:p>
            <w:pPr>
              <w:pStyle w:val="TableParagraph"/>
              <w:ind w:left="112" w:right="735"/>
              <w:rPr>
                <w:sz w:val="22"/>
              </w:rPr>
            </w:pPr>
            <w:r>
              <w:rPr>
                <w:sz w:val="22"/>
              </w:rPr>
              <w:t>value or reference.</w:t>
            </w:r>
          </w:p>
        </w:tc>
        <w:tc>
          <w:tcPr>
            <w:tcW w:w="5400" w:type="dxa"/>
          </w:tcPr>
          <w:p>
            <w:pPr>
              <w:pStyle w:val="TableParagraph"/>
              <w:ind w:left="113" w:right="361"/>
              <w:rPr>
                <w:sz w:val="22"/>
              </w:rPr>
            </w:pPr>
            <w:r>
              <w:rPr>
                <w:sz w:val="22"/>
              </w:rPr>
              <w:t>The value to be located in the first row of the table. If </w:t>
            </w:r>
            <w:r>
              <w:rPr>
                <w:rFonts w:ascii="Times New Roman"/>
                <w:i/>
                <w:sz w:val="22"/>
              </w:rPr>
              <w:t>range-lookup </w:t>
            </w:r>
            <w:r>
              <w:rPr>
                <w:sz w:val="22"/>
              </w:rPr>
              <w:t>is </w:t>
            </w:r>
            <w:r>
              <w:rPr>
                <w:rFonts w:ascii="Consolas"/>
                <w:sz w:val="22"/>
              </w:rPr>
              <w:t>FALSE</w:t>
            </w:r>
            <w:r>
              <w:rPr>
                <w:rFonts w:ascii="Consolas"/>
                <w:spacing w:val="-95"/>
                <w:sz w:val="22"/>
              </w:rPr>
              <w:t> </w:t>
            </w:r>
            <w:r>
              <w:rPr>
                <w:sz w:val="22"/>
              </w:rPr>
              <w:t>and </w:t>
            </w:r>
            <w:r>
              <w:rPr>
                <w:rFonts w:ascii="Times New Roman"/>
                <w:i/>
                <w:sz w:val="22"/>
              </w:rPr>
              <w:t>lookup-value </w:t>
            </w:r>
            <w:r>
              <w:rPr>
                <w:sz w:val="22"/>
              </w:rPr>
              <w:t>is a string, the wildcard characters, question mark (?) and asterisk (*), can be included in </w:t>
            </w:r>
            <w:r>
              <w:rPr>
                <w:rFonts w:ascii="Times New Roman"/>
                <w:i/>
                <w:sz w:val="22"/>
              </w:rPr>
              <w:t>lookup-value</w:t>
            </w:r>
            <w:r>
              <w:rPr>
                <w:sz w:val="22"/>
              </w:rPr>
              <w:t>. A question mark matches any single character; an asterisk matches any sequence of characters. To find a question mark or asterisk, use a tilde (~) before the character.</w:t>
            </w:r>
          </w:p>
        </w:tc>
      </w:tr>
      <w:tr>
        <w:trPr>
          <w:trHeight w:val="2236" w:hRule="atLeast"/>
        </w:trPr>
        <w:tc>
          <w:tcPr>
            <w:tcW w:w="1466" w:type="dxa"/>
          </w:tcPr>
          <w:p>
            <w:pPr>
              <w:pStyle w:val="TableParagraph"/>
              <w:spacing w:before="37"/>
              <w:rPr>
                <w:rFonts w:ascii="Times New Roman"/>
                <w:i/>
                <w:sz w:val="22"/>
              </w:rPr>
            </w:pPr>
            <w:r>
              <w:rPr>
                <w:rFonts w:ascii="Times New Roman"/>
                <w:i/>
                <w:sz w:val="22"/>
              </w:rPr>
              <w:t>table-array</w:t>
            </w:r>
          </w:p>
        </w:tc>
        <w:tc>
          <w:tcPr>
            <w:tcW w:w="1800" w:type="dxa"/>
          </w:tcPr>
          <w:p>
            <w:pPr>
              <w:pStyle w:val="TableParagraph"/>
              <w:ind w:left="112" w:right="167"/>
              <w:rPr>
                <w:sz w:val="22"/>
              </w:rPr>
            </w:pPr>
            <w:r>
              <w:rPr>
                <w:sz w:val="22"/>
              </w:rPr>
              <w:t>array, reference, name</w:t>
            </w:r>
          </w:p>
        </w:tc>
        <w:tc>
          <w:tcPr>
            <w:tcW w:w="5400" w:type="dxa"/>
          </w:tcPr>
          <w:p>
            <w:pPr>
              <w:pStyle w:val="TableParagraph"/>
              <w:ind w:left="113" w:right="108"/>
              <w:rPr>
                <w:sz w:val="22"/>
              </w:rPr>
            </w:pPr>
            <w:r>
              <w:rPr>
                <w:sz w:val="22"/>
              </w:rPr>
              <w:t>Designates the table of information to be searched. The values in the first row of </w:t>
            </w:r>
            <w:r>
              <w:rPr>
                <w:rFonts w:ascii="Times New Roman" w:hAnsi="Times New Roman"/>
                <w:i/>
                <w:sz w:val="22"/>
              </w:rPr>
              <w:t>table-array </w:t>
            </w:r>
            <w:r>
              <w:rPr>
                <w:sz w:val="22"/>
              </w:rPr>
              <w:t>can be text, numbers, or logical values. If </w:t>
            </w:r>
            <w:r>
              <w:rPr>
                <w:rFonts w:ascii="Times New Roman" w:hAnsi="Times New Roman"/>
                <w:i/>
                <w:sz w:val="22"/>
              </w:rPr>
              <w:t>range-lookup-flag </w:t>
            </w:r>
            <w:r>
              <w:rPr>
                <w:sz w:val="22"/>
              </w:rPr>
              <w:t>is </w:t>
            </w:r>
            <w:r>
              <w:rPr>
                <w:rFonts w:ascii="Consolas" w:hAnsi="Consolas"/>
                <w:sz w:val="22"/>
              </w:rPr>
              <w:t>TRUE</w:t>
            </w:r>
            <w:r>
              <w:rPr>
                <w:sz w:val="22"/>
              </w:rPr>
              <w:t>, the values in the first row of </w:t>
            </w:r>
            <w:r>
              <w:rPr>
                <w:rFonts w:ascii="Times New Roman" w:hAnsi="Times New Roman"/>
                <w:i/>
                <w:sz w:val="22"/>
              </w:rPr>
              <w:t>table-array </w:t>
            </w:r>
            <w:r>
              <w:rPr>
                <w:sz w:val="22"/>
              </w:rPr>
              <w:t>shall be placed in "ascending order", as follows: …, -2, -1, 0, 1, 2, …, A–Z, </w:t>
            </w:r>
            <w:r>
              <w:rPr>
                <w:rFonts w:ascii="Consolas" w:hAnsi="Consolas"/>
                <w:sz w:val="22"/>
              </w:rPr>
              <w:t>FALSE</w:t>
            </w:r>
            <w:r>
              <w:rPr>
                <w:sz w:val="22"/>
              </w:rPr>
              <w:t>, </w:t>
            </w:r>
            <w:r>
              <w:rPr>
                <w:rFonts w:ascii="Consolas" w:hAnsi="Consolas"/>
                <w:sz w:val="22"/>
              </w:rPr>
              <w:t>TRUE</w:t>
            </w:r>
            <w:r>
              <w:rPr>
                <w:sz w:val="22"/>
              </w:rPr>
              <w:t>. If </w:t>
            </w:r>
            <w:r>
              <w:rPr>
                <w:rFonts w:ascii="Times New Roman" w:hAnsi="Times New Roman"/>
                <w:i/>
                <w:sz w:val="22"/>
              </w:rPr>
              <w:t>range-lookup-flag </w:t>
            </w:r>
            <w:r>
              <w:rPr>
                <w:sz w:val="22"/>
              </w:rPr>
              <w:t>is </w:t>
            </w:r>
            <w:r>
              <w:rPr>
                <w:rFonts w:ascii="Consolas" w:hAnsi="Consolas"/>
                <w:sz w:val="22"/>
              </w:rPr>
              <w:t>FALSE</w:t>
            </w:r>
            <w:r>
              <w:rPr>
                <w:sz w:val="22"/>
              </w:rPr>
              <w:t>, </w:t>
            </w:r>
            <w:r>
              <w:rPr>
                <w:rFonts w:ascii="Times New Roman" w:hAnsi="Times New Roman"/>
                <w:i/>
                <w:sz w:val="22"/>
              </w:rPr>
              <w:t>table-array</w:t>
            </w:r>
            <w:r>
              <w:rPr>
                <w:sz w:val="22"/>
              </w:rPr>
              <w:t>'s values need not be sorted. Uppercase and lowercase text is treated as equivalent.</w:t>
            </w:r>
          </w:p>
        </w:tc>
      </w:tr>
      <w:tr>
        <w:trPr>
          <w:trHeight w:val="1158" w:hRule="atLeast"/>
        </w:trPr>
        <w:tc>
          <w:tcPr>
            <w:tcW w:w="1466" w:type="dxa"/>
          </w:tcPr>
          <w:p>
            <w:pPr>
              <w:pStyle w:val="TableParagraph"/>
              <w:spacing w:before="37"/>
              <w:ind w:right="355"/>
              <w:rPr>
                <w:rFonts w:ascii="Times New Roman"/>
                <w:i/>
                <w:sz w:val="22"/>
              </w:rPr>
            </w:pPr>
            <w:r>
              <w:rPr>
                <w:rFonts w:ascii="Times New Roman"/>
                <w:i/>
                <w:sz w:val="22"/>
              </w:rPr>
              <w:t>row-index- </w:t>
            </w:r>
            <w:r>
              <w:rPr>
                <w:rFonts w:ascii="Times New Roman"/>
                <w:i/>
                <w:sz w:val="22"/>
              </w:rPr>
              <w:t>num</w:t>
            </w:r>
          </w:p>
        </w:tc>
        <w:tc>
          <w:tcPr>
            <w:tcW w:w="1800" w:type="dxa"/>
          </w:tcPr>
          <w:p>
            <w:pPr>
              <w:pStyle w:val="TableParagraph"/>
              <w:ind w:left="112"/>
              <w:rPr>
                <w:sz w:val="22"/>
              </w:rPr>
            </w:pPr>
            <w:r>
              <w:rPr>
                <w:sz w:val="22"/>
              </w:rPr>
              <w:t>number</w:t>
            </w:r>
          </w:p>
        </w:tc>
        <w:tc>
          <w:tcPr>
            <w:tcW w:w="5400" w:type="dxa"/>
          </w:tcPr>
          <w:p>
            <w:pPr>
              <w:pStyle w:val="TableParagraph"/>
              <w:ind w:left="113" w:right="88"/>
              <w:rPr>
                <w:sz w:val="22"/>
              </w:rPr>
            </w:pPr>
            <w:r>
              <w:rPr>
                <w:sz w:val="22"/>
              </w:rPr>
              <w:t>The row number in </w:t>
            </w:r>
            <w:r>
              <w:rPr>
                <w:rFonts w:ascii="Times New Roman"/>
                <w:i/>
                <w:sz w:val="22"/>
              </w:rPr>
              <w:t>table-array </w:t>
            </w:r>
            <w:r>
              <w:rPr>
                <w:sz w:val="22"/>
              </w:rPr>
              <w:t>from which the matching value is to be returned. (A </w:t>
            </w:r>
            <w:r>
              <w:rPr>
                <w:rFonts w:ascii="Times New Roman"/>
                <w:i/>
                <w:sz w:val="22"/>
              </w:rPr>
              <w:t>row-index-num </w:t>
            </w:r>
            <w:r>
              <w:rPr>
                <w:sz w:val="22"/>
              </w:rPr>
              <w:t>of 1 returns the first row value in </w:t>
            </w:r>
            <w:r>
              <w:rPr>
                <w:rFonts w:ascii="Times New Roman"/>
                <w:i/>
                <w:sz w:val="22"/>
              </w:rPr>
              <w:t>table-array</w:t>
            </w:r>
            <w:r>
              <w:rPr>
                <w:sz w:val="22"/>
              </w:rPr>
              <w:t>, a </w:t>
            </w:r>
            <w:r>
              <w:rPr>
                <w:rFonts w:ascii="Times New Roman"/>
                <w:i/>
                <w:sz w:val="22"/>
              </w:rPr>
              <w:t>row-index-num </w:t>
            </w:r>
            <w:r>
              <w:rPr>
                <w:sz w:val="22"/>
              </w:rPr>
              <w:t>of 2 returns the second row value in </w:t>
            </w:r>
            <w:r>
              <w:rPr>
                <w:rFonts w:ascii="Times New Roman"/>
                <w:i/>
                <w:sz w:val="22"/>
              </w:rPr>
              <w:t>table-array</w:t>
            </w:r>
            <w:r>
              <w:rPr>
                <w:sz w:val="22"/>
              </w:rPr>
              <w:t>, and so on.)</w:t>
            </w:r>
          </w:p>
        </w:tc>
      </w:tr>
      <w:tr>
        <w:trPr>
          <w:trHeight w:val="1430" w:hRule="atLeast"/>
        </w:trPr>
        <w:tc>
          <w:tcPr>
            <w:tcW w:w="1466" w:type="dxa"/>
          </w:tcPr>
          <w:p>
            <w:pPr>
              <w:pStyle w:val="TableParagraph"/>
              <w:spacing w:line="242" w:lineRule="auto" w:before="37"/>
              <w:ind w:right="321"/>
              <w:rPr>
                <w:rFonts w:ascii="Times New Roman"/>
                <w:i/>
                <w:sz w:val="22"/>
              </w:rPr>
            </w:pPr>
            <w:r>
              <w:rPr>
                <w:rFonts w:ascii="Times New Roman"/>
                <w:i/>
                <w:sz w:val="22"/>
              </w:rPr>
              <w:t>range- </w:t>
            </w:r>
            <w:r>
              <w:rPr>
                <w:rFonts w:ascii="Times New Roman"/>
                <w:i/>
                <w:sz w:val="22"/>
              </w:rPr>
              <w:t>lookup-flag</w:t>
            </w:r>
          </w:p>
        </w:tc>
        <w:tc>
          <w:tcPr>
            <w:tcW w:w="1800" w:type="dxa"/>
          </w:tcPr>
          <w:p>
            <w:pPr>
              <w:pStyle w:val="TableParagraph"/>
              <w:ind w:left="112"/>
              <w:rPr>
                <w:sz w:val="22"/>
              </w:rPr>
            </w:pPr>
            <w:r>
              <w:rPr>
                <w:sz w:val="22"/>
              </w:rPr>
              <w:t>logical</w:t>
            </w:r>
          </w:p>
        </w:tc>
        <w:tc>
          <w:tcPr>
            <w:tcW w:w="5400" w:type="dxa"/>
          </w:tcPr>
          <w:p>
            <w:pPr>
              <w:pStyle w:val="TableParagraph"/>
              <w:ind w:left="113" w:right="162"/>
              <w:rPr>
                <w:sz w:val="22"/>
              </w:rPr>
            </w:pPr>
            <w:r>
              <w:rPr>
                <w:sz w:val="22"/>
              </w:rPr>
              <w:t>Specifies whether </w:t>
            </w:r>
            <w:r>
              <w:rPr>
                <w:rFonts w:ascii="Consolas"/>
                <w:sz w:val="22"/>
              </w:rPr>
              <w:t>HLOOKUP </w:t>
            </w:r>
            <w:r>
              <w:rPr>
                <w:sz w:val="22"/>
              </w:rPr>
              <w:t>is to find an exact or approximate match. If </w:t>
            </w:r>
            <w:r>
              <w:rPr>
                <w:rFonts w:ascii="Consolas"/>
                <w:sz w:val="22"/>
              </w:rPr>
              <w:t>TRUE</w:t>
            </w:r>
            <w:r>
              <w:rPr>
                <w:rFonts w:ascii="Consolas"/>
                <w:spacing w:val="-84"/>
                <w:sz w:val="22"/>
              </w:rPr>
              <w:t> </w:t>
            </w:r>
            <w:r>
              <w:rPr>
                <w:sz w:val="22"/>
              </w:rPr>
              <w:t>or omitted, an approximate match is returned. That is, if an exact match is not found, the next largest value that is less than </w:t>
            </w:r>
            <w:r>
              <w:rPr>
                <w:rFonts w:ascii="Times New Roman"/>
                <w:i/>
                <w:sz w:val="22"/>
              </w:rPr>
              <w:t>lookup-value </w:t>
            </w:r>
            <w:r>
              <w:rPr>
                <w:sz w:val="22"/>
              </w:rPr>
              <w:t>is returned. If </w:t>
            </w:r>
            <w:r>
              <w:rPr>
                <w:rFonts w:ascii="Consolas"/>
                <w:sz w:val="22"/>
              </w:rPr>
              <w:t>FALSE</w:t>
            </w:r>
            <w:r>
              <w:rPr>
                <w:sz w:val="22"/>
              </w:rPr>
              <w:t>, an exact match is performed.</w:t>
            </w:r>
          </w:p>
        </w:tc>
      </w:tr>
    </w:tbl>
    <w:p>
      <w:pPr>
        <w:spacing w:after="0"/>
        <w:rPr>
          <w:sz w:val="22"/>
        </w:rPr>
        <w:sectPr>
          <w:pgSz w:w="12240" w:h="15840"/>
          <w:pgMar w:header="763" w:footer="746" w:top="1340" w:bottom="940" w:left="860" w:right="700"/>
        </w:sectPr>
      </w:pPr>
    </w:p>
    <w:p>
      <w:pPr>
        <w:pStyle w:val="BodyText"/>
        <w:spacing w:line="278" w:lineRule="auto" w:before="90"/>
        <w:ind w:left="220" w:right="448"/>
      </w:pPr>
      <w:r>
        <w:rPr>
          <w:b/>
        </w:rPr>
        <w:t>Return Type and Value</w:t>
      </w:r>
      <w:r>
        <w:rPr/>
        <w:t>: any – The value from a given row number, where the column is determined by a search of the top row looking for a match with a given value.</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An exact match is performed, but no match is found, </w:t>
      </w:r>
      <w:r>
        <w:rPr>
          <w:rFonts w:ascii="Consolas" w:hAnsi="Consolas"/>
          <w:sz w:val="22"/>
        </w:rPr>
        <w:t>#N/A</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row-index-num </w:t>
      </w:r>
      <w:r>
        <w:rPr>
          <w:sz w:val="22"/>
        </w:rPr>
        <w:t>is less than 1, </w:t>
      </w:r>
      <w:r>
        <w:rPr>
          <w:rFonts w:ascii="Consolas" w:hAnsi="Consolas"/>
          <w:sz w:val="22"/>
        </w:rPr>
        <w:t>#VALUE!</w:t>
      </w:r>
      <w:r>
        <w:rPr>
          <w:rFonts w:ascii="Consolas" w:hAnsi="Consolas"/>
          <w:spacing w:val="-87"/>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row-index-num </w:t>
      </w:r>
      <w:r>
        <w:rPr>
          <w:sz w:val="22"/>
        </w:rPr>
        <w:t>is greater than the number of rows in </w:t>
      </w:r>
      <w:r>
        <w:rPr>
          <w:rFonts w:ascii="Times New Roman" w:hAnsi="Times New Roman"/>
          <w:i/>
          <w:sz w:val="22"/>
        </w:rPr>
        <w:t>table-array</w:t>
      </w:r>
      <w:r>
        <w:rPr>
          <w:sz w:val="22"/>
        </w:rPr>
        <w:t>, </w:t>
      </w:r>
      <w:r>
        <w:rPr>
          <w:rFonts w:ascii="Consolas" w:hAnsi="Consolas"/>
          <w:sz w:val="22"/>
        </w:rPr>
        <w:t>#REF!</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448" w:lineRule="auto" w:before="38" w:after="16"/>
        <w:ind w:left="220" w:right="1244" w:firstLine="360"/>
        <w:jc w:val="left"/>
        <w:rPr>
          <w:sz w:val="22"/>
        </w:rPr>
      </w:pPr>
      <w:r>
        <w:rPr>
          <w:rFonts w:ascii="Times New Roman" w:hAnsi="Times New Roman"/>
          <w:i/>
          <w:sz w:val="22"/>
        </w:rPr>
        <w:t>lookup-value </w:t>
      </w:r>
      <w:r>
        <w:rPr>
          <w:sz w:val="22"/>
        </w:rPr>
        <w:t>is smaller than the smallest value in the first row of </w:t>
      </w:r>
      <w:r>
        <w:rPr>
          <w:rFonts w:ascii="Times New Roman" w:hAnsi="Times New Roman"/>
          <w:i/>
          <w:sz w:val="22"/>
        </w:rPr>
        <w:t>table-array</w:t>
      </w:r>
      <w:r>
        <w:rPr>
          <w:sz w:val="22"/>
        </w:rPr>
        <w:t>, </w:t>
      </w:r>
      <w:r>
        <w:rPr>
          <w:rFonts w:ascii="Consolas" w:hAnsi="Consolas"/>
          <w:sz w:val="22"/>
        </w:rPr>
        <w:t>#N/A</w:t>
      </w:r>
      <w:r>
        <w:rPr>
          <w:rFonts w:ascii="Consolas" w:hAnsi="Consolas"/>
          <w:spacing w:val="-104"/>
          <w:sz w:val="22"/>
        </w:rPr>
        <w:t> </w:t>
      </w:r>
      <w:r>
        <w:rPr>
          <w:sz w:val="22"/>
        </w:rPr>
        <w:t>is returned. [</w:t>
      </w:r>
      <w:r>
        <w:rPr>
          <w:i/>
          <w:sz w:val="22"/>
        </w:rPr>
        <w:t>Example</w:t>
      </w:r>
      <w:r>
        <w:rPr>
          <w:sz w:val="22"/>
        </w:rPr>
        <w:t>: Given the following</w:t>
      </w:r>
      <w:r>
        <w:rPr>
          <w:spacing w:val="-5"/>
          <w:sz w:val="22"/>
        </w:rPr>
        <w:t> </w:t>
      </w:r>
      <w:r>
        <w:rPr>
          <w:sz w:val="22"/>
        </w:rPr>
        <w:t>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991"/>
        <w:gridCol w:w="999"/>
        <w:gridCol w:w="809"/>
      </w:tblGrid>
      <w:tr>
        <w:trPr>
          <w:trHeight w:val="354" w:hRule="atLeast"/>
        </w:trPr>
        <w:tc>
          <w:tcPr>
            <w:tcW w:w="468" w:type="dxa"/>
            <w:shd w:val="clear" w:color="auto" w:fill="C0C0C0"/>
          </w:tcPr>
          <w:p>
            <w:pPr>
              <w:pStyle w:val="TableParagraph"/>
              <w:spacing w:before="0"/>
              <w:ind w:left="0"/>
              <w:rPr>
                <w:rFonts w:ascii="Times New Roman"/>
                <w:sz w:val="22"/>
              </w:rPr>
            </w:pPr>
          </w:p>
        </w:tc>
        <w:tc>
          <w:tcPr>
            <w:tcW w:w="991" w:type="dxa"/>
            <w:shd w:val="clear" w:color="auto" w:fill="C0C0C0"/>
          </w:tcPr>
          <w:p>
            <w:pPr>
              <w:pStyle w:val="TableParagraph"/>
              <w:ind w:left="6"/>
              <w:jc w:val="center"/>
              <w:rPr>
                <w:b/>
                <w:sz w:val="22"/>
              </w:rPr>
            </w:pPr>
            <w:r>
              <w:rPr>
                <w:b/>
                <w:w w:val="100"/>
                <w:sz w:val="22"/>
              </w:rPr>
              <w:t>A</w:t>
            </w:r>
          </w:p>
        </w:tc>
        <w:tc>
          <w:tcPr>
            <w:tcW w:w="999" w:type="dxa"/>
            <w:shd w:val="clear" w:color="auto" w:fill="C0C0C0"/>
          </w:tcPr>
          <w:p>
            <w:pPr>
              <w:pStyle w:val="TableParagraph"/>
              <w:ind w:left="3"/>
              <w:jc w:val="center"/>
              <w:rPr>
                <w:b/>
                <w:sz w:val="22"/>
              </w:rPr>
            </w:pPr>
            <w:r>
              <w:rPr>
                <w:b/>
                <w:w w:val="100"/>
                <w:sz w:val="22"/>
              </w:rPr>
              <w:t>B</w:t>
            </w:r>
          </w:p>
        </w:tc>
        <w:tc>
          <w:tcPr>
            <w:tcW w:w="809" w:type="dxa"/>
            <w:shd w:val="clear" w:color="auto" w:fill="C0C0C0"/>
          </w:tcPr>
          <w:p>
            <w:pPr>
              <w:pStyle w:val="TableParagraph"/>
              <w:ind w:left="8"/>
              <w:jc w:val="center"/>
              <w:rPr>
                <w:b/>
                <w:sz w:val="22"/>
              </w:rPr>
            </w:pPr>
            <w:r>
              <w:rPr>
                <w:b/>
                <w:w w:val="100"/>
                <w:sz w:val="22"/>
              </w:rPr>
              <w:t>C</w:t>
            </w:r>
          </w:p>
        </w:tc>
      </w:tr>
      <w:tr>
        <w:trPr>
          <w:trHeight w:val="355" w:hRule="atLeast"/>
        </w:trPr>
        <w:tc>
          <w:tcPr>
            <w:tcW w:w="468" w:type="dxa"/>
          </w:tcPr>
          <w:p>
            <w:pPr>
              <w:pStyle w:val="TableParagraph"/>
              <w:rPr>
                <w:sz w:val="22"/>
              </w:rPr>
            </w:pPr>
            <w:r>
              <w:rPr>
                <w:w w:val="100"/>
                <w:sz w:val="22"/>
              </w:rPr>
              <w:t>1</w:t>
            </w:r>
          </w:p>
        </w:tc>
        <w:tc>
          <w:tcPr>
            <w:tcW w:w="991" w:type="dxa"/>
          </w:tcPr>
          <w:p>
            <w:pPr>
              <w:pStyle w:val="TableParagraph"/>
              <w:ind w:left="114"/>
              <w:rPr>
                <w:sz w:val="22"/>
              </w:rPr>
            </w:pPr>
            <w:r>
              <w:rPr>
                <w:sz w:val="22"/>
              </w:rPr>
              <w:t>Axles</w:t>
            </w:r>
          </w:p>
        </w:tc>
        <w:tc>
          <w:tcPr>
            <w:tcW w:w="999" w:type="dxa"/>
          </w:tcPr>
          <w:p>
            <w:pPr>
              <w:pStyle w:val="TableParagraph"/>
              <w:ind w:left="112"/>
              <w:rPr>
                <w:sz w:val="22"/>
              </w:rPr>
            </w:pPr>
            <w:r>
              <w:rPr>
                <w:sz w:val="22"/>
              </w:rPr>
              <w:t>Bearings</w:t>
            </w:r>
          </w:p>
        </w:tc>
        <w:tc>
          <w:tcPr>
            <w:tcW w:w="809" w:type="dxa"/>
          </w:tcPr>
          <w:p>
            <w:pPr>
              <w:pStyle w:val="TableParagraph"/>
              <w:rPr>
                <w:sz w:val="22"/>
              </w:rPr>
            </w:pPr>
            <w:r>
              <w:rPr>
                <w:sz w:val="22"/>
              </w:rPr>
              <w:t>Bolts</w:t>
            </w:r>
          </w:p>
        </w:tc>
      </w:tr>
      <w:tr>
        <w:trPr>
          <w:trHeight w:val="354" w:hRule="atLeast"/>
        </w:trPr>
        <w:tc>
          <w:tcPr>
            <w:tcW w:w="468" w:type="dxa"/>
          </w:tcPr>
          <w:p>
            <w:pPr>
              <w:pStyle w:val="TableParagraph"/>
              <w:rPr>
                <w:sz w:val="22"/>
              </w:rPr>
            </w:pPr>
            <w:r>
              <w:rPr>
                <w:w w:val="100"/>
                <w:sz w:val="22"/>
              </w:rPr>
              <w:t>2</w:t>
            </w:r>
          </w:p>
        </w:tc>
        <w:tc>
          <w:tcPr>
            <w:tcW w:w="991" w:type="dxa"/>
          </w:tcPr>
          <w:p>
            <w:pPr>
              <w:pStyle w:val="TableParagraph"/>
              <w:ind w:left="114"/>
              <w:rPr>
                <w:sz w:val="22"/>
              </w:rPr>
            </w:pPr>
            <w:r>
              <w:rPr>
                <w:w w:val="100"/>
                <w:sz w:val="22"/>
              </w:rPr>
              <w:t>4</w:t>
            </w:r>
          </w:p>
        </w:tc>
        <w:tc>
          <w:tcPr>
            <w:tcW w:w="999" w:type="dxa"/>
          </w:tcPr>
          <w:p>
            <w:pPr>
              <w:pStyle w:val="TableParagraph"/>
              <w:ind w:left="112"/>
              <w:rPr>
                <w:sz w:val="22"/>
              </w:rPr>
            </w:pPr>
            <w:r>
              <w:rPr>
                <w:w w:val="100"/>
                <w:sz w:val="22"/>
              </w:rPr>
              <w:t>6</w:t>
            </w:r>
          </w:p>
        </w:tc>
        <w:tc>
          <w:tcPr>
            <w:tcW w:w="809" w:type="dxa"/>
          </w:tcPr>
          <w:p>
            <w:pPr>
              <w:pStyle w:val="TableParagraph"/>
              <w:rPr>
                <w:sz w:val="22"/>
              </w:rPr>
            </w:pPr>
            <w:r>
              <w:rPr>
                <w:w w:val="100"/>
                <w:sz w:val="22"/>
              </w:rPr>
              <w:t>9</w:t>
            </w:r>
          </w:p>
        </w:tc>
      </w:tr>
      <w:tr>
        <w:trPr>
          <w:trHeight w:val="354" w:hRule="atLeast"/>
        </w:trPr>
        <w:tc>
          <w:tcPr>
            <w:tcW w:w="468" w:type="dxa"/>
          </w:tcPr>
          <w:p>
            <w:pPr>
              <w:pStyle w:val="TableParagraph"/>
              <w:rPr>
                <w:sz w:val="22"/>
              </w:rPr>
            </w:pPr>
            <w:r>
              <w:rPr>
                <w:w w:val="100"/>
                <w:sz w:val="22"/>
              </w:rPr>
              <w:t>3</w:t>
            </w:r>
          </w:p>
        </w:tc>
        <w:tc>
          <w:tcPr>
            <w:tcW w:w="991" w:type="dxa"/>
          </w:tcPr>
          <w:p>
            <w:pPr>
              <w:pStyle w:val="TableParagraph"/>
              <w:ind w:left="114"/>
              <w:rPr>
                <w:sz w:val="22"/>
              </w:rPr>
            </w:pPr>
            <w:r>
              <w:rPr>
                <w:w w:val="100"/>
                <w:sz w:val="22"/>
              </w:rPr>
              <w:t>5</w:t>
            </w:r>
          </w:p>
        </w:tc>
        <w:tc>
          <w:tcPr>
            <w:tcW w:w="999" w:type="dxa"/>
          </w:tcPr>
          <w:p>
            <w:pPr>
              <w:pStyle w:val="TableParagraph"/>
              <w:ind w:left="112"/>
              <w:rPr>
                <w:sz w:val="22"/>
              </w:rPr>
            </w:pPr>
            <w:r>
              <w:rPr>
                <w:w w:val="100"/>
                <w:sz w:val="22"/>
              </w:rPr>
              <w:t>7</w:t>
            </w:r>
          </w:p>
        </w:tc>
        <w:tc>
          <w:tcPr>
            <w:tcW w:w="809" w:type="dxa"/>
          </w:tcPr>
          <w:p>
            <w:pPr>
              <w:pStyle w:val="TableParagraph"/>
              <w:rPr>
                <w:sz w:val="22"/>
              </w:rPr>
            </w:pPr>
            <w:r>
              <w:rPr>
                <w:sz w:val="22"/>
              </w:rPr>
              <w:t>10</w:t>
            </w:r>
          </w:p>
        </w:tc>
      </w:tr>
      <w:tr>
        <w:trPr>
          <w:trHeight w:val="354" w:hRule="atLeast"/>
        </w:trPr>
        <w:tc>
          <w:tcPr>
            <w:tcW w:w="468" w:type="dxa"/>
          </w:tcPr>
          <w:p>
            <w:pPr>
              <w:pStyle w:val="TableParagraph"/>
              <w:rPr>
                <w:sz w:val="22"/>
              </w:rPr>
            </w:pPr>
            <w:r>
              <w:rPr>
                <w:w w:val="100"/>
                <w:sz w:val="22"/>
              </w:rPr>
              <w:t>4</w:t>
            </w:r>
          </w:p>
        </w:tc>
        <w:tc>
          <w:tcPr>
            <w:tcW w:w="991" w:type="dxa"/>
          </w:tcPr>
          <w:p>
            <w:pPr>
              <w:pStyle w:val="TableParagraph"/>
              <w:ind w:left="114"/>
              <w:rPr>
                <w:sz w:val="22"/>
              </w:rPr>
            </w:pPr>
            <w:r>
              <w:rPr>
                <w:w w:val="100"/>
                <w:sz w:val="22"/>
              </w:rPr>
              <w:t>6</w:t>
            </w:r>
          </w:p>
        </w:tc>
        <w:tc>
          <w:tcPr>
            <w:tcW w:w="999" w:type="dxa"/>
          </w:tcPr>
          <w:p>
            <w:pPr>
              <w:pStyle w:val="TableParagraph"/>
              <w:ind w:left="112"/>
              <w:rPr>
                <w:sz w:val="22"/>
              </w:rPr>
            </w:pPr>
            <w:r>
              <w:rPr>
                <w:w w:val="100"/>
                <w:sz w:val="22"/>
              </w:rPr>
              <w:t>8</w:t>
            </w:r>
          </w:p>
        </w:tc>
        <w:tc>
          <w:tcPr>
            <w:tcW w:w="809" w:type="dxa"/>
          </w:tcPr>
          <w:p>
            <w:pPr>
              <w:pStyle w:val="TableParagraph"/>
              <w:rPr>
                <w:sz w:val="22"/>
              </w:rPr>
            </w:pPr>
            <w:r>
              <w:rPr>
                <w:sz w:val="22"/>
              </w:rPr>
              <w:t>11</w:t>
            </w:r>
          </w:p>
        </w:tc>
      </w:tr>
    </w:tbl>
    <w:p>
      <w:pPr>
        <w:pStyle w:val="BodyText"/>
      </w:pPr>
    </w:p>
    <w:p>
      <w:pPr>
        <w:pStyle w:val="BodyText"/>
        <w:spacing w:before="5"/>
        <w:rPr>
          <w:sz w:val="19"/>
        </w:rPr>
      </w:pPr>
    </w:p>
    <w:p>
      <w:pPr>
        <w:pStyle w:val="BodyText"/>
        <w:spacing w:line="276" w:lineRule="auto"/>
        <w:ind w:left="220" w:right="5295"/>
        <w:rPr>
          <w:rFonts w:ascii="Consolas"/>
        </w:rPr>
      </w:pPr>
      <w:r>
        <w:rPr>
          <w:rFonts w:ascii="Consolas"/>
        </w:rPr>
        <w:t>HLOOKUP("Axles",A1:C4,2,TRUE) </w:t>
      </w:r>
      <w:r>
        <w:rPr/>
        <w:t>results in </w:t>
      </w:r>
      <w:r>
        <w:rPr>
          <w:rFonts w:ascii="Consolas"/>
        </w:rPr>
        <w:t>4 HLOOKUP("Bearings",A1:C4,3,FALSE)</w:t>
      </w:r>
      <w:r>
        <w:rPr>
          <w:rFonts w:ascii="Consolas"/>
          <w:spacing w:val="-89"/>
        </w:rPr>
        <w:t> </w:t>
      </w:r>
      <w:r>
        <w:rPr/>
        <w:t>results in </w:t>
      </w:r>
      <w:r>
        <w:rPr>
          <w:rFonts w:ascii="Consolas"/>
        </w:rPr>
        <w:t>7 HLOOKUP("B",A1:C4,3,TRUE)</w:t>
      </w:r>
      <w:r>
        <w:rPr>
          <w:rFonts w:ascii="Consolas"/>
          <w:spacing w:val="-72"/>
        </w:rPr>
        <w:t> </w:t>
      </w:r>
      <w:r>
        <w:rPr/>
        <w:t>results in </w:t>
      </w:r>
      <w:r>
        <w:rPr>
          <w:rFonts w:ascii="Consolas"/>
        </w:rPr>
        <w:t>5</w:t>
      </w:r>
    </w:p>
    <w:p>
      <w:pPr>
        <w:pStyle w:val="BodyText"/>
        <w:spacing w:line="276" w:lineRule="auto"/>
        <w:ind w:left="220" w:right="503"/>
        <w:rPr>
          <w:rFonts w:ascii="Consolas"/>
        </w:rPr>
      </w:pPr>
      <w:r>
        <w:rPr>
          <w:rFonts w:ascii="Consolas"/>
        </w:rPr>
        <w:t>HLOOKUP("Bolts",A1:C4,4) </w:t>
      </w:r>
      <w:r>
        <w:rPr/>
        <w:t>results in </w:t>
      </w:r>
      <w:r>
        <w:rPr>
          <w:rFonts w:ascii="Consolas"/>
        </w:rPr>
        <w:t>11 HLOOKUP(3,{1,2,3;"a","b","c";"d","e","f"},2,TRUE)</w:t>
      </w:r>
      <w:r>
        <w:rPr>
          <w:rFonts w:ascii="Consolas"/>
          <w:spacing w:val="-92"/>
        </w:rPr>
        <w:t> </w:t>
      </w:r>
      <w:r>
        <w:rPr/>
        <w:t>results in </w:t>
      </w:r>
      <w:r>
        <w:rPr>
          <w:rFonts w:ascii="Consolas"/>
        </w:rPr>
        <w:t>c</w:t>
      </w:r>
    </w:p>
    <w:p>
      <w:pPr>
        <w:pStyle w:val="BodyText"/>
        <w:spacing w:before="6"/>
        <w:rPr>
          <w:rFonts w:ascii="Consolas"/>
          <w:sz w:val="25"/>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44 HOUR" w:id="1824"/>
      <w:bookmarkEnd w:id="1824"/>
      <w:r>
        <w:rPr/>
      </w:r>
      <w:bookmarkStart w:name="_bookmark607" w:id="1825"/>
      <w:bookmarkEnd w:id="1825"/>
      <w:r>
        <w:rPr/>
      </w:r>
      <w:bookmarkStart w:name="_bookmark607" w:id="1826"/>
      <w:bookmarkEnd w:id="1826"/>
      <w:r>
        <w:rPr>
          <w:color w:val="4F81BC"/>
        </w:rPr>
        <w:t>H</w:t>
      </w:r>
      <w:r>
        <w:rPr>
          <w:color w:val="4F81BC"/>
        </w:rPr>
        <w:t>OUR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HOUR ( </w:t>
      </w:r>
      <w:r>
        <w:rPr>
          <w:i/>
          <w:sz w:val="22"/>
        </w:rPr>
        <w:t>time-value </w:t>
      </w:r>
      <w:r>
        <w:rPr>
          <w:rFonts w:ascii="Lucida Console"/>
          <w:sz w:val="20"/>
        </w:rPr>
        <w:t>)</w:t>
      </w:r>
    </w:p>
    <w:p>
      <w:pPr>
        <w:spacing w:before="108"/>
        <w:ind w:left="220" w:right="0" w:firstLine="0"/>
        <w:jc w:val="left"/>
        <w:rPr>
          <w:sz w:val="22"/>
        </w:rPr>
      </w:pPr>
      <w:r>
        <w:rPr>
          <w:b/>
          <w:sz w:val="22"/>
        </w:rPr>
        <w:t>Description: </w:t>
      </w:r>
      <w:r>
        <w:rPr>
          <w:sz w:val="22"/>
        </w:rPr>
        <w:t>Computes the hour for the date and/or time having the given </w:t>
      </w:r>
      <w:r>
        <w:rPr>
          <w:rFonts w:ascii="Times New Roman"/>
          <w:i/>
          <w:sz w:val="22"/>
        </w:rPr>
        <w:t>time-value</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9" w:hRule="atLeast"/>
        </w:trPr>
        <w:tc>
          <w:tcPr>
            <w:tcW w:w="1466" w:type="dxa"/>
          </w:tcPr>
          <w:p>
            <w:pPr>
              <w:pStyle w:val="TableParagraph"/>
              <w:spacing w:before="37"/>
              <w:ind w:left="0" w:right="408"/>
              <w:jc w:val="right"/>
              <w:rPr>
                <w:rFonts w:ascii="Times New Roman"/>
                <w:i/>
                <w:sz w:val="22"/>
              </w:rPr>
            </w:pPr>
            <w:r>
              <w:rPr>
                <w:rFonts w:ascii="Times New Roman"/>
                <w:i/>
                <w:sz w:val="22"/>
              </w:rPr>
              <w:t>time-value</w:t>
            </w:r>
          </w:p>
        </w:tc>
        <w:tc>
          <w:tcPr>
            <w:tcW w:w="1800" w:type="dxa"/>
          </w:tcPr>
          <w:p>
            <w:pPr>
              <w:pStyle w:val="TableParagraph"/>
              <w:ind w:left="112"/>
              <w:rPr>
                <w:sz w:val="22"/>
              </w:rPr>
            </w:pPr>
            <w:r>
              <w:rPr>
                <w:sz w:val="22"/>
              </w:rPr>
              <w:t>number</w:t>
            </w:r>
          </w:p>
        </w:tc>
        <w:tc>
          <w:tcPr>
            <w:tcW w:w="5400" w:type="dxa"/>
          </w:tcPr>
          <w:p>
            <w:pPr>
              <w:pStyle w:val="TableParagraph"/>
              <w:ind w:left="113" w:right="152"/>
              <w:rPr>
                <w:sz w:val="22"/>
              </w:rPr>
            </w:pPr>
            <w:r>
              <w:rPr>
                <w:sz w:val="22"/>
              </w:rPr>
              <w:t>The date and/or time whose hour is to be computed. That date and/or time shall be expressed either as a serial date-time, in which case, its integer part is ignored, or as a </w:t>
            </w:r>
            <w:r>
              <w:rPr>
                <w:rFonts w:ascii="Times New Roman"/>
                <w:i/>
                <w:sz w:val="22"/>
              </w:rPr>
              <w:t>string-constant </w:t>
            </w:r>
            <w:r>
              <w:rPr>
                <w:sz w:val="22"/>
              </w:rPr>
              <w:t>having any date and/or time format, in which case, any date information shall be ignored.</w:t>
            </w:r>
          </w:p>
        </w:tc>
      </w:tr>
    </w:tbl>
    <w:p>
      <w:pPr>
        <w:spacing w:after="0"/>
        <w:rPr>
          <w:sz w:val="22"/>
        </w:rPr>
        <w:sectPr>
          <w:pgSz w:w="12240" w:h="15840"/>
          <w:pgMar w:header="761" w:footer="746" w:top="1340" w:bottom="940" w:left="860" w:right="700"/>
        </w:sectPr>
      </w:pPr>
    </w:p>
    <w:p>
      <w:pPr>
        <w:spacing w:line="278" w:lineRule="auto" w:before="148"/>
        <w:ind w:left="220" w:right="513" w:firstLine="0"/>
        <w:jc w:val="left"/>
        <w:rPr>
          <w:sz w:val="22"/>
        </w:rPr>
      </w:pPr>
      <w:r>
        <w:rPr>
          <w:b/>
          <w:sz w:val="22"/>
        </w:rPr>
        <w:t>Return Type and Value: </w:t>
      </w:r>
      <w:r>
        <w:rPr>
          <w:sz w:val="22"/>
        </w:rPr>
        <w:t>number – The hour for the date and/or time having the given </w:t>
      </w:r>
      <w:r>
        <w:rPr>
          <w:rFonts w:ascii="Times New Roman" w:hAnsi="Times New Roman"/>
          <w:i/>
          <w:sz w:val="22"/>
        </w:rPr>
        <w:t>time-value</w:t>
      </w:r>
      <w:r>
        <w:rPr>
          <w:sz w:val="22"/>
        </w:rPr>
        <w:t>. The returned value shall be in the range 0–23.</w:t>
      </w:r>
    </w:p>
    <w:p>
      <w:pPr>
        <w:pStyle w:val="BodyText"/>
        <w:spacing w:before="2"/>
        <w:rPr>
          <w:sz w:val="16"/>
        </w:rPr>
      </w:pPr>
    </w:p>
    <w:p>
      <w:pPr>
        <w:pStyle w:val="BodyText"/>
        <w:spacing w:line="453" w:lineRule="auto" w:before="1"/>
        <w:ind w:left="220" w:right="2289"/>
      </w:pPr>
      <w:r>
        <w:rPr/>
        <w:t>However, if </w:t>
      </w:r>
      <w:r>
        <w:rPr>
          <w:rFonts w:ascii="Times New Roman"/>
          <w:i/>
        </w:rPr>
        <w:t>time-value </w:t>
      </w:r>
      <w:r>
        <w:rPr/>
        <w:t>is out of range for the current date system, </w:t>
      </w:r>
      <w:r>
        <w:rPr>
          <w:rFonts w:ascii="Consolas"/>
        </w:rPr>
        <w:t>#NUM!</w:t>
      </w:r>
      <w:r>
        <w:rPr>
          <w:rFonts w:ascii="Consolas"/>
          <w:spacing w:val="-104"/>
        </w:rPr>
        <w:t> </w:t>
      </w:r>
      <w:r>
        <w:rPr/>
        <w:t>is returned. [</w:t>
      </w:r>
      <w:r>
        <w:rPr>
          <w:i/>
        </w:rPr>
        <w:t>Example</w:t>
      </w:r>
      <w:r>
        <w:rPr/>
        <w:t>:</w:t>
      </w:r>
    </w:p>
    <w:p>
      <w:pPr>
        <w:pStyle w:val="BodyText"/>
        <w:spacing w:line="276" w:lineRule="auto" w:before="108"/>
        <w:ind w:left="220" w:right="4547"/>
        <w:rPr>
          <w:rFonts w:ascii="Consolas"/>
        </w:rPr>
      </w:pPr>
      <w:r>
        <w:rPr>
          <w:rFonts w:ascii="Consolas"/>
        </w:rPr>
        <w:t>HOUR(DATE(2006,2,26)+TIME(2,10,20))</w:t>
      </w:r>
      <w:r>
        <w:rPr>
          <w:rFonts w:ascii="Consolas"/>
          <w:spacing w:val="-88"/>
        </w:rPr>
        <w:t> </w:t>
      </w:r>
      <w:r>
        <w:rPr/>
        <w:t>results in </w:t>
      </w:r>
      <w:r>
        <w:rPr>
          <w:rFonts w:ascii="Consolas"/>
        </w:rPr>
        <w:t>2 HOUR(TIME(22,56,34))</w:t>
      </w:r>
      <w:r>
        <w:rPr>
          <w:rFonts w:ascii="Consolas"/>
          <w:spacing w:val="-73"/>
        </w:rPr>
        <w:t> </w:t>
      </w:r>
      <w:r>
        <w:rPr/>
        <w:t>results in </w:t>
      </w:r>
      <w:r>
        <w:rPr>
          <w:rFonts w:ascii="Consolas"/>
        </w:rPr>
        <w:t>22</w:t>
      </w:r>
    </w:p>
    <w:p>
      <w:pPr>
        <w:pStyle w:val="BodyText"/>
        <w:spacing w:line="276" w:lineRule="auto"/>
        <w:ind w:left="220" w:right="3849"/>
        <w:rPr>
          <w:rFonts w:ascii="Consolas"/>
        </w:rPr>
      </w:pPr>
      <w:r>
        <w:rPr>
          <w:rFonts w:ascii="Consolas"/>
        </w:rPr>
        <w:t>HOUR(0) </w:t>
      </w:r>
      <w:r>
        <w:rPr/>
        <w:t>results in 0, since serial date-time 0 represents </w:t>
      </w:r>
      <w:r>
        <w:rPr>
          <w:rFonts w:ascii="Consolas"/>
        </w:rPr>
        <w:t>00:00:00 HOUR(10.5)</w:t>
      </w:r>
      <w:r>
        <w:rPr>
          <w:rFonts w:ascii="Consolas"/>
          <w:spacing w:val="-96"/>
        </w:rPr>
        <w:t> </w:t>
      </w:r>
      <w:r>
        <w:rPr/>
        <w:t>results in 12, since serial date-time .5 represents </w:t>
      </w:r>
      <w:r>
        <w:rPr>
          <w:rFonts w:ascii="Consolas"/>
        </w:rPr>
        <w:t>12:00:00 HOUR("22-Oct-2001 10:53:12")</w:t>
      </w:r>
      <w:r>
        <w:rPr>
          <w:rFonts w:ascii="Consolas"/>
          <w:spacing w:val="-72"/>
        </w:rPr>
        <w:t> </w:t>
      </w:r>
      <w:r>
        <w:rPr/>
        <w:t>results in </w:t>
      </w:r>
      <w:r>
        <w:rPr>
          <w:rFonts w:ascii="Consolas"/>
        </w:rPr>
        <w:t>10</w:t>
      </w:r>
    </w:p>
    <w:p>
      <w:pPr>
        <w:pStyle w:val="BodyText"/>
        <w:spacing w:line="278" w:lineRule="auto"/>
        <w:ind w:left="220" w:right="6997"/>
        <w:rPr>
          <w:rFonts w:ascii="Consolas"/>
        </w:rPr>
      </w:pPr>
      <w:r>
        <w:rPr>
          <w:rFonts w:ascii="Consolas"/>
        </w:rPr>
        <w:t>HOUR("10:53:12 pm")</w:t>
      </w:r>
      <w:r>
        <w:rPr>
          <w:rFonts w:ascii="Consolas"/>
          <w:spacing w:val="-82"/>
        </w:rPr>
        <w:t> </w:t>
      </w:r>
      <w:r>
        <w:rPr/>
        <w:t>results in </w:t>
      </w:r>
      <w:r>
        <w:rPr>
          <w:rFonts w:ascii="Consolas"/>
        </w:rPr>
        <w:t>22 HOUR("22:53:12")</w:t>
      </w:r>
      <w:r>
        <w:rPr>
          <w:rFonts w:ascii="Consolas"/>
          <w:spacing w:val="-72"/>
        </w:rPr>
        <w:t> </w:t>
      </w:r>
      <w:r>
        <w:rPr/>
        <w:t>results in </w:t>
      </w:r>
      <w:r>
        <w:rPr>
          <w:rFonts w:ascii="Consolas"/>
        </w:rPr>
        <w:t>22</w:t>
      </w:r>
    </w:p>
    <w:p>
      <w:pPr>
        <w:pStyle w:val="BodyText"/>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45 HYPERLINK" w:id="1827"/>
      <w:bookmarkEnd w:id="1827"/>
      <w:r>
        <w:rPr/>
      </w:r>
      <w:bookmarkStart w:name="_bookmark608" w:id="1828"/>
      <w:bookmarkEnd w:id="1828"/>
      <w:r>
        <w:rPr/>
      </w:r>
      <w:bookmarkStart w:name="_bookmark608" w:id="1829"/>
      <w:bookmarkEnd w:id="1829"/>
      <w:r>
        <w:rPr>
          <w:color w:val="4F81BC"/>
        </w:rPr>
        <w:t>H</w:t>
      </w:r>
      <w:r>
        <w:rPr>
          <w:color w:val="4F81BC"/>
        </w:rPr>
        <w:t>YPERLINK</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HYPERLINK ( </w:t>
      </w:r>
      <w:r>
        <w:rPr>
          <w:i/>
          <w:sz w:val="22"/>
        </w:rPr>
        <w:t>link-location </w:t>
      </w:r>
      <w:r>
        <w:rPr>
          <w:sz w:val="22"/>
        </w:rPr>
        <w:t>[ </w:t>
      </w:r>
      <w:r>
        <w:rPr>
          <w:rFonts w:ascii="Lucida Console"/>
          <w:sz w:val="20"/>
        </w:rPr>
        <w:t>, </w:t>
      </w:r>
      <w:r>
        <w:rPr>
          <w:sz w:val="22"/>
        </w:rPr>
        <w:t>[ </w:t>
      </w:r>
      <w:r>
        <w:rPr>
          <w:i/>
          <w:sz w:val="22"/>
        </w:rPr>
        <w:t>friendly-name </w:t>
      </w:r>
      <w:r>
        <w:rPr>
          <w:sz w:val="22"/>
        </w:rPr>
        <w:t>] ] </w:t>
      </w:r>
      <w:r>
        <w:rPr>
          <w:rFonts w:ascii="Lucida Console"/>
          <w:sz w:val="20"/>
        </w:rPr>
        <w:t>)</w:t>
      </w:r>
    </w:p>
    <w:p>
      <w:pPr>
        <w:pStyle w:val="BodyText"/>
        <w:spacing w:line="276" w:lineRule="auto" w:before="106"/>
        <w:ind w:left="220" w:right="475"/>
      </w:pPr>
      <w:r>
        <w:rPr>
          <w:b/>
        </w:rPr>
        <w:t>Description</w:t>
      </w:r>
      <w:r>
        <w:rPr/>
        <w:t>: Creates a shortcut that opens a document stored on a network server, an intranet, or the Internet. When the cell that contains the </w:t>
      </w:r>
      <w:r>
        <w:rPr>
          <w:rFonts w:ascii="Consolas"/>
        </w:rPr>
        <w:t>HYPERLINK</w:t>
      </w:r>
      <w:r>
        <w:rPr>
          <w:rFonts w:ascii="Consolas"/>
          <w:spacing w:val="-100"/>
        </w:rPr>
        <w:t> </w:t>
      </w:r>
      <w:r>
        <w:rPr/>
        <w:t>function call is clicked, the file stored at </w:t>
      </w:r>
      <w:r>
        <w:rPr>
          <w:rFonts w:ascii="Times New Roman"/>
          <w:i/>
        </w:rPr>
        <w:t>link-location </w:t>
      </w:r>
      <w:r>
        <w:rPr/>
        <w:t>is opened.</w:t>
      </w:r>
    </w:p>
    <w:p>
      <w:pPr>
        <w:pStyle w:val="Heading4"/>
        <w:spacing w:before="204"/>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78" w:hRule="atLeast"/>
        </w:trPr>
        <w:tc>
          <w:tcPr>
            <w:tcW w:w="1466" w:type="dxa"/>
          </w:tcPr>
          <w:p>
            <w:pPr>
              <w:pStyle w:val="TableParagraph"/>
              <w:spacing w:before="37"/>
              <w:rPr>
                <w:rFonts w:ascii="Times New Roman"/>
                <w:i/>
                <w:sz w:val="22"/>
              </w:rPr>
            </w:pPr>
            <w:r>
              <w:rPr>
                <w:rFonts w:ascii="Times New Roman"/>
                <w:i/>
                <w:sz w:val="22"/>
              </w:rPr>
              <w:t>link-location</w:t>
            </w:r>
          </w:p>
        </w:tc>
        <w:tc>
          <w:tcPr>
            <w:tcW w:w="1800" w:type="dxa"/>
          </w:tcPr>
          <w:p>
            <w:pPr>
              <w:pStyle w:val="TableParagraph"/>
              <w:ind w:left="112"/>
              <w:rPr>
                <w:sz w:val="22"/>
              </w:rPr>
            </w:pPr>
            <w:r>
              <w:rPr>
                <w:sz w:val="22"/>
              </w:rPr>
              <w:t>text</w:t>
            </w:r>
          </w:p>
        </w:tc>
        <w:tc>
          <w:tcPr>
            <w:tcW w:w="5400" w:type="dxa"/>
          </w:tcPr>
          <w:p>
            <w:pPr>
              <w:pStyle w:val="TableParagraph"/>
              <w:ind w:left="113" w:right="160"/>
              <w:rPr>
                <w:sz w:val="22"/>
              </w:rPr>
            </w:pPr>
            <w:r>
              <w:rPr>
                <w:sz w:val="22"/>
              </w:rPr>
              <w:t>The location to be opened as text. </w:t>
            </w:r>
            <w:r>
              <w:rPr>
                <w:rFonts w:ascii="Times New Roman" w:hAnsi="Times New Roman"/>
                <w:i/>
                <w:sz w:val="22"/>
              </w:rPr>
              <w:t>link-location </w:t>
            </w:r>
            <w:r>
              <w:rPr>
                <w:sz w:val="22"/>
              </w:rPr>
              <w:t>can refer to a place in a document—such as a specific cell or named range in a SpreadsheetML worksheet or workbook, or to a bookmark in a WordprocessingML document. The </w:t>
            </w:r>
            <w:r>
              <w:rPr>
                <w:rFonts w:ascii="Times New Roman" w:hAnsi="Times New Roman"/>
                <w:i/>
                <w:sz w:val="22"/>
              </w:rPr>
              <w:t>link-location </w:t>
            </w:r>
            <w:r>
              <w:rPr>
                <w:sz w:val="22"/>
              </w:rPr>
              <w:t>can be to a location on a local hard disk drive, the path to a location on a server or a Uniform Resource Locator (URL) to a location on the Internet or an intranet. [</w:t>
            </w:r>
            <w:r>
              <w:rPr>
                <w:i/>
                <w:sz w:val="22"/>
              </w:rPr>
              <w:t>Note</w:t>
            </w:r>
            <w:r>
              <w:rPr>
                <w:sz w:val="22"/>
              </w:rPr>
              <w:t>: Using a URL is the preferred way of specifying </w:t>
            </w:r>
            <w:r>
              <w:rPr>
                <w:rFonts w:ascii="Times New Roman" w:hAnsi="Times New Roman"/>
                <w:i/>
                <w:sz w:val="22"/>
              </w:rPr>
              <w:t>link-location</w:t>
            </w:r>
            <w:r>
              <w:rPr>
                <w:sz w:val="22"/>
              </w:rPr>
              <w:t>. </w:t>
            </w:r>
            <w:r>
              <w:rPr>
                <w:i/>
                <w:sz w:val="22"/>
              </w:rPr>
              <w:t>end note</w:t>
            </w:r>
            <w:r>
              <w:rPr>
                <w:sz w:val="22"/>
              </w:rPr>
              <w:t>]</w:t>
            </w:r>
          </w:p>
          <w:p>
            <w:pPr>
              <w:pStyle w:val="TableParagraph"/>
              <w:spacing w:before="2"/>
              <w:ind w:left="113"/>
              <w:rPr>
                <w:sz w:val="22"/>
              </w:rPr>
            </w:pPr>
            <w:r>
              <w:rPr>
                <w:sz w:val="22"/>
              </w:rPr>
              <w:t>If the location specified in </w:t>
            </w:r>
            <w:r>
              <w:rPr>
                <w:rFonts w:ascii="Times New Roman"/>
                <w:i/>
                <w:sz w:val="22"/>
              </w:rPr>
              <w:t>link-location </w:t>
            </w:r>
            <w:r>
              <w:rPr>
                <w:sz w:val="22"/>
              </w:rPr>
              <w:t>does not exist or cannot be navigated, an unspecified error is produced when the cell is clicked. </w:t>
            </w:r>
            <w:r>
              <w:rPr>
                <w:rFonts w:ascii="Times New Roman"/>
                <w:i/>
                <w:sz w:val="22"/>
              </w:rPr>
              <w:t>link-location </w:t>
            </w:r>
            <w:r>
              <w:rPr>
                <w:sz w:val="22"/>
              </w:rPr>
              <w:t>can be a string or a reference to a cell containing a string.</w:t>
            </w:r>
          </w:p>
        </w:tc>
      </w:tr>
      <w:tr>
        <w:trPr>
          <w:trHeight w:val="1161" w:hRule="atLeast"/>
        </w:trPr>
        <w:tc>
          <w:tcPr>
            <w:tcW w:w="1466" w:type="dxa"/>
          </w:tcPr>
          <w:p>
            <w:pPr>
              <w:pStyle w:val="TableParagraph"/>
              <w:spacing w:before="37"/>
              <w:rPr>
                <w:rFonts w:ascii="Times New Roman"/>
                <w:i/>
                <w:sz w:val="22"/>
              </w:rPr>
            </w:pPr>
            <w:r>
              <w:rPr>
                <w:rFonts w:ascii="Times New Roman"/>
                <w:i/>
                <w:sz w:val="22"/>
              </w:rPr>
              <w:t>friendly-name</w:t>
            </w:r>
          </w:p>
        </w:tc>
        <w:tc>
          <w:tcPr>
            <w:tcW w:w="1800" w:type="dxa"/>
          </w:tcPr>
          <w:p>
            <w:pPr>
              <w:pStyle w:val="TableParagraph"/>
              <w:ind w:left="112" w:right="437"/>
              <w:rPr>
                <w:sz w:val="22"/>
              </w:rPr>
            </w:pPr>
            <w:r>
              <w:rPr>
                <w:sz w:val="22"/>
              </w:rPr>
              <w:t>text, number, name</w:t>
            </w:r>
          </w:p>
        </w:tc>
        <w:tc>
          <w:tcPr>
            <w:tcW w:w="5400" w:type="dxa"/>
          </w:tcPr>
          <w:p>
            <w:pPr>
              <w:pStyle w:val="TableParagraph"/>
              <w:ind w:left="113" w:right="93"/>
              <w:rPr>
                <w:sz w:val="22"/>
              </w:rPr>
            </w:pPr>
            <w:r>
              <w:rPr>
                <w:sz w:val="22"/>
              </w:rPr>
              <w:t>The value that is displayed in the cell. If omitted, the cell displays </w:t>
            </w:r>
            <w:r>
              <w:rPr>
                <w:rFonts w:ascii="Times New Roman"/>
                <w:i/>
                <w:sz w:val="22"/>
              </w:rPr>
              <w:t>link-location</w:t>
            </w:r>
            <w:r>
              <w:rPr>
                <w:sz w:val="22"/>
              </w:rPr>
              <w:t>. </w:t>
            </w:r>
            <w:r>
              <w:rPr>
                <w:rFonts w:ascii="Times New Roman"/>
                <w:i/>
                <w:sz w:val="22"/>
              </w:rPr>
              <w:t>friendly-name </w:t>
            </w:r>
            <w:r>
              <w:rPr>
                <w:sz w:val="22"/>
              </w:rPr>
              <w:t>can be a value, a text string, a name, or a cell that contains the jump text or value. If the evaluation of </w:t>
            </w:r>
            <w:r>
              <w:rPr>
                <w:rFonts w:ascii="Times New Roman"/>
                <w:i/>
                <w:sz w:val="22"/>
              </w:rPr>
              <w:t>friendly-name </w:t>
            </w:r>
            <w:r>
              <w:rPr>
                <w:sz w:val="22"/>
              </w:rPr>
              <w:t>results in an</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235"/>
              <w:rPr>
                <w:sz w:val="22"/>
              </w:rPr>
            </w:pPr>
            <w:r>
              <w:rPr>
                <w:sz w:val="22"/>
              </w:rPr>
              <w:t>error value, the cell displays that error value rather than the jump text.</w:t>
            </w:r>
          </w:p>
        </w:tc>
      </w:tr>
    </w:tbl>
    <w:p>
      <w:pPr>
        <w:pStyle w:val="BodyText"/>
        <w:rPr>
          <w:sz w:val="20"/>
        </w:rPr>
      </w:pPr>
    </w:p>
    <w:p>
      <w:pPr>
        <w:pStyle w:val="BodyText"/>
        <w:spacing w:before="7"/>
        <w:rPr>
          <w:sz w:val="21"/>
        </w:rPr>
      </w:pPr>
    </w:p>
    <w:p>
      <w:pPr>
        <w:spacing w:line="453" w:lineRule="auto" w:before="0"/>
        <w:ind w:left="220" w:right="493" w:firstLine="0"/>
        <w:jc w:val="both"/>
        <w:rPr>
          <w:sz w:val="22"/>
        </w:rPr>
      </w:pPr>
      <w:r>
        <w:rPr>
          <w:b/>
          <w:sz w:val="22"/>
        </w:rPr>
        <w:t>Return Type and Value</w:t>
      </w:r>
      <w:r>
        <w:rPr>
          <w:sz w:val="22"/>
        </w:rPr>
        <w:t>: text – The value of </w:t>
      </w:r>
      <w:r>
        <w:rPr>
          <w:rFonts w:ascii="Times New Roman" w:hAnsi="Times New Roman"/>
          <w:i/>
          <w:sz w:val="22"/>
        </w:rPr>
        <w:t>friendly-name</w:t>
      </w:r>
      <w:r>
        <w:rPr>
          <w:sz w:val="22"/>
        </w:rPr>
        <w:t>, if it is specified; otherwise, the value of </w:t>
      </w:r>
      <w:r>
        <w:rPr>
          <w:rFonts w:ascii="Times New Roman" w:hAnsi="Times New Roman"/>
          <w:i/>
          <w:sz w:val="22"/>
        </w:rPr>
        <w:t>link-location</w:t>
      </w:r>
      <w:r>
        <w:rPr>
          <w:sz w:val="22"/>
        </w:rPr>
        <w:t>. [</w:t>
      </w:r>
      <w:r>
        <w:rPr>
          <w:i/>
          <w:sz w:val="22"/>
        </w:rPr>
        <w:t>Example</w:t>
      </w:r>
      <w:r>
        <w:rPr>
          <w:sz w:val="22"/>
        </w:rPr>
        <w:t>:</w:t>
      </w:r>
    </w:p>
    <w:p>
      <w:pPr>
        <w:pStyle w:val="BodyText"/>
        <w:spacing w:line="276" w:lineRule="auto" w:before="111"/>
        <w:ind w:left="220" w:right="665"/>
        <w:jc w:val="both"/>
      </w:pPr>
      <w:r>
        <w:rPr>
          <w:rFonts w:ascii="Consolas"/>
        </w:rPr>
        <w:t>HYPERLINK(</w:t>
      </w:r>
      <w:hyperlink r:id="rId241">
        <w:r>
          <w:rPr>
            <w:rFonts w:ascii="Consolas"/>
          </w:rPr>
          <w:t>"http://example.openxmlformats.org/report/budget </w:t>
        </w:r>
      </w:hyperlink>
      <w:r>
        <w:rPr>
          <w:rFonts w:ascii="Consolas"/>
        </w:rPr>
        <w:t>report.xls","Click</w:t>
      </w:r>
      <w:r>
        <w:rPr>
          <w:rFonts w:ascii="Consolas"/>
          <w:spacing w:val="-43"/>
        </w:rPr>
        <w:t> </w:t>
      </w:r>
      <w:r>
        <w:rPr>
          <w:rFonts w:ascii="Consolas"/>
        </w:rPr>
        <w:t>for report")</w:t>
      </w:r>
      <w:r>
        <w:rPr/>
        <w:t>, which opens a worksheet named "budget report.xls" that is stored on the Internet at the location example.openxmlformats.org/report, and displays the text "Click for</w:t>
      </w:r>
      <w:r>
        <w:rPr>
          <w:spacing w:val="-4"/>
        </w:rPr>
        <w:t> </w:t>
      </w:r>
      <w:r>
        <w:rPr/>
        <w:t>report".</w:t>
      </w:r>
    </w:p>
    <w:p>
      <w:pPr>
        <w:pStyle w:val="BodyText"/>
        <w:spacing w:before="2"/>
        <w:rPr>
          <w:sz w:val="16"/>
        </w:rPr>
      </w:pPr>
    </w:p>
    <w:p>
      <w:pPr>
        <w:pStyle w:val="BodyText"/>
        <w:spacing w:line="276" w:lineRule="auto" w:before="1"/>
        <w:ind w:left="220" w:right="617"/>
        <w:jc w:val="both"/>
      </w:pPr>
      <w:r>
        <w:rPr>
          <w:rFonts w:ascii="Consolas"/>
        </w:rPr>
        <w:t>HYPERLINK("D:\FINANCE\1stqtr.xls",H10)</w:t>
      </w:r>
      <w:r>
        <w:rPr/>
        <w:t>, which opens the file 1stqtr.xls that is stored in a directory named Finance on drive D, and displays the numeric value stored in cell</w:t>
      </w:r>
      <w:r>
        <w:rPr>
          <w:spacing w:val="-16"/>
        </w:rPr>
        <w:t> </w:t>
      </w:r>
      <w:r>
        <w:rPr>
          <w:rFonts w:ascii="Consolas"/>
        </w:rPr>
        <w:t>H10</w:t>
      </w:r>
      <w:r>
        <w:rPr/>
        <w:t>.</w:t>
      </w:r>
    </w:p>
    <w:p>
      <w:pPr>
        <w:pStyle w:val="BodyText"/>
        <w:spacing w:before="5"/>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46 HYPGEOMDIST" w:id="1830"/>
      <w:bookmarkEnd w:id="1830"/>
      <w:r>
        <w:rPr/>
      </w:r>
      <w:bookmarkStart w:name="_bookmark609" w:id="1831"/>
      <w:bookmarkEnd w:id="1831"/>
      <w:r>
        <w:rPr/>
      </w:r>
      <w:bookmarkStart w:name="_bookmark609" w:id="1832"/>
      <w:bookmarkEnd w:id="1832"/>
      <w:r>
        <w:rPr>
          <w:color w:val="4F81BC"/>
        </w:rPr>
        <w:t>H</w:t>
      </w:r>
      <w:r>
        <w:rPr>
          <w:color w:val="4F81BC"/>
        </w:rPr>
        <w:t>YPGEOMDIST</w:t>
      </w:r>
    </w:p>
    <w:p>
      <w:pPr>
        <w:pStyle w:val="Heading4"/>
        <w:spacing w:before="124"/>
        <w:rPr>
          <w:b w:val="0"/>
        </w:rPr>
      </w:pPr>
      <w:r>
        <w:rPr/>
        <w:t>Syntax</w:t>
      </w:r>
      <w:r>
        <w:rPr>
          <w:b w:val="0"/>
        </w:rPr>
        <w:t>:</w:t>
      </w:r>
    </w:p>
    <w:p>
      <w:pPr>
        <w:pStyle w:val="BodyText"/>
        <w:spacing w:before="1"/>
        <w:rPr>
          <w:sz w:val="19"/>
        </w:rPr>
      </w:pPr>
    </w:p>
    <w:p>
      <w:pPr>
        <w:spacing w:line="259" w:lineRule="exact" w:before="0"/>
        <w:ind w:left="940" w:right="0" w:firstLine="0"/>
        <w:jc w:val="left"/>
        <w:rPr>
          <w:rFonts w:ascii="Lucida Console"/>
          <w:sz w:val="20"/>
        </w:rPr>
      </w:pPr>
      <w:r>
        <w:rPr>
          <w:rFonts w:ascii="Lucida Console"/>
          <w:sz w:val="20"/>
        </w:rPr>
        <w:t>HYPGEOMDIST ( </w:t>
      </w:r>
      <w:r>
        <w:rPr>
          <w:i/>
          <w:sz w:val="22"/>
        </w:rPr>
        <w:t>sample-successes </w:t>
      </w:r>
      <w:r>
        <w:rPr>
          <w:rFonts w:ascii="Lucida Console"/>
          <w:sz w:val="20"/>
        </w:rPr>
        <w:t>, </w:t>
      </w:r>
      <w:r>
        <w:rPr>
          <w:i/>
          <w:sz w:val="22"/>
        </w:rPr>
        <w:t>number-sample </w:t>
      </w:r>
      <w:r>
        <w:rPr>
          <w:rFonts w:ascii="Lucida Console"/>
          <w:sz w:val="20"/>
        </w:rPr>
        <w:t>,</w:t>
      </w:r>
      <w:r>
        <w:rPr>
          <w:rFonts w:ascii="Lucida Console"/>
          <w:spacing w:val="-86"/>
          <w:sz w:val="20"/>
        </w:rPr>
        <w:t> </w:t>
      </w:r>
      <w:r>
        <w:rPr>
          <w:i/>
          <w:sz w:val="22"/>
        </w:rPr>
        <w:t>population-successes </w:t>
      </w:r>
      <w:r>
        <w:rPr>
          <w:rFonts w:ascii="Lucida Console"/>
          <w:sz w:val="20"/>
        </w:rPr>
        <w:t>,</w:t>
      </w:r>
    </w:p>
    <w:p>
      <w:pPr>
        <w:spacing w:line="259" w:lineRule="exact" w:before="0"/>
        <w:ind w:left="1300" w:right="0" w:firstLine="0"/>
        <w:jc w:val="left"/>
        <w:rPr>
          <w:rFonts w:ascii="Lucida Console"/>
          <w:sz w:val="20"/>
        </w:rPr>
      </w:pPr>
      <w:r>
        <w:rPr>
          <w:i/>
          <w:sz w:val="22"/>
        </w:rPr>
        <w:t>number-population </w:t>
      </w:r>
      <w:r>
        <w:rPr>
          <w:rFonts w:ascii="Lucida Console"/>
          <w:sz w:val="20"/>
        </w:rPr>
        <w:t>)</w:t>
      </w:r>
    </w:p>
    <w:p>
      <w:pPr>
        <w:pStyle w:val="BodyText"/>
        <w:spacing w:line="278" w:lineRule="auto" w:before="106"/>
        <w:ind w:left="220"/>
      </w:pPr>
      <w:r>
        <w:rPr>
          <w:b/>
        </w:rPr>
        <w:t>Description: </w:t>
      </w:r>
      <w:r>
        <w:rPr/>
        <w:t>Computes the hypergeometric distribution; that is, the probability of a given number of sample successes, given the sample size, population successes, and population size.</w:t>
      </w:r>
    </w:p>
    <w:p>
      <w:pPr>
        <w:pStyle w:val="BodyText"/>
        <w:spacing w:before="3"/>
        <w:rPr>
          <w:sz w:val="16"/>
        </w:rPr>
      </w:pPr>
    </w:p>
    <w:p>
      <w:pPr>
        <w:pStyle w:val="Heading4"/>
        <w:rPr>
          <w:b w:val="0"/>
        </w:rPr>
      </w:pPr>
      <w:r>
        <w:rPr/>
        <w:t>Mathematical Formula</w:t>
      </w:r>
      <w:r>
        <w:rPr>
          <w:b w:val="0"/>
        </w:rPr>
        <w:t>:</w:t>
      </w:r>
    </w:p>
    <w:p>
      <w:pPr>
        <w:pStyle w:val="BodyText"/>
        <w:rPr>
          <w:sz w:val="12"/>
        </w:rPr>
      </w:pPr>
    </w:p>
    <w:p>
      <w:pPr>
        <w:pStyle w:val="BodyText"/>
        <w:tabs>
          <w:tab w:pos="3444" w:val="left" w:leader="none"/>
        </w:tabs>
        <w:spacing w:line="157" w:lineRule="exact" w:before="63"/>
        <w:ind w:left="2999"/>
        <w:rPr>
          <w:rFonts w:ascii="Cambria Math" w:hAnsi="Cambria Math" w:eastAsia="Cambria Math"/>
        </w:rPr>
      </w:pPr>
      <w:r>
        <w:rPr>
          <w:rFonts w:ascii="Cambria Math" w:hAnsi="Cambria Math" w:eastAsia="Cambria Math"/>
        </w:rPr>
        <w:t>𝑀</w:t>
        <w:tab/>
        <w:t>𝑁 −</w:t>
      </w:r>
      <w:r>
        <w:rPr>
          <w:rFonts w:ascii="Cambria Math" w:hAnsi="Cambria Math" w:eastAsia="Cambria Math"/>
          <w:spacing w:val="5"/>
        </w:rPr>
        <w:t> </w:t>
      </w:r>
      <w:r>
        <w:rPr>
          <w:rFonts w:ascii="Cambria Math" w:hAnsi="Cambria Math" w:eastAsia="Cambria Math"/>
        </w:rPr>
        <w:t>𝑀</w:t>
      </w:r>
    </w:p>
    <w:p>
      <w:pPr>
        <w:spacing w:after="0" w:line="157" w:lineRule="exact"/>
        <w:rPr>
          <w:rFonts w:ascii="Cambria Math" w:hAnsi="Cambria Math" w:eastAsia="Cambria Math"/>
        </w:rPr>
        <w:sectPr>
          <w:footerReference w:type="even" r:id="rId239"/>
          <w:footerReference w:type="default" r:id="rId240"/>
          <w:pgSz w:w="12240" w:h="15840"/>
          <w:pgMar w:footer="746" w:header="761" w:top="1340" w:bottom="940" w:left="860" w:right="700"/>
          <w:pgNumType w:start="2230"/>
        </w:sectPr>
      </w:pPr>
    </w:p>
    <w:p>
      <w:pPr>
        <w:pStyle w:val="BodyText"/>
        <w:spacing w:before="190"/>
        <w:ind w:left="220"/>
        <w:rPr>
          <w:rFonts w:ascii="Cambria Math" w:hAnsi="Cambria Math" w:eastAsia="Cambria Math"/>
        </w:rPr>
      </w:pPr>
      <w:r>
        <w:rPr>
          <w:rFonts w:ascii="Cambria Math" w:hAnsi="Cambria Math" w:eastAsia="Cambria Math"/>
        </w:rPr>
        <w:t>𝑃</w:t>
      </w:r>
      <w:r>
        <w:rPr>
          <w:rFonts w:ascii="Cambria Math" w:hAnsi="Cambria Math" w:eastAsia="Cambria Math"/>
          <w:position w:val="1"/>
        </w:rPr>
        <w:t>(</w:t>
      </w:r>
      <w:r>
        <w:rPr>
          <w:rFonts w:ascii="Cambria Math" w:hAnsi="Cambria Math" w:eastAsia="Cambria Math"/>
        </w:rPr>
        <w:t>𝑋 = 𝑥</w:t>
      </w:r>
      <w:r>
        <w:rPr>
          <w:rFonts w:ascii="Cambria Math" w:hAnsi="Cambria Math" w:eastAsia="Cambria Math"/>
          <w:position w:val="1"/>
        </w:rPr>
        <w:t>) </w:t>
      </w:r>
      <w:r>
        <w:rPr>
          <w:rFonts w:ascii="Cambria Math" w:hAnsi="Cambria Math" w:eastAsia="Cambria Math"/>
        </w:rPr>
        <w:t>= ℎ</w:t>
      </w:r>
      <w:r>
        <w:rPr>
          <w:rFonts w:ascii="Cambria Math" w:hAnsi="Cambria Math" w:eastAsia="Cambria Math"/>
          <w:position w:val="1"/>
        </w:rPr>
        <w:t>(</w:t>
      </w:r>
      <w:r>
        <w:rPr>
          <w:rFonts w:ascii="Cambria Math" w:hAnsi="Cambria Math" w:eastAsia="Cambria Math"/>
        </w:rPr>
        <w:t>𝑥, 𝑛, 𝑀, 𝑁</w:t>
      </w:r>
      <w:r>
        <w:rPr>
          <w:rFonts w:ascii="Cambria Math" w:hAnsi="Cambria Math" w:eastAsia="Cambria Math"/>
          <w:position w:val="1"/>
        </w:rPr>
        <w:t>) </w:t>
      </w:r>
      <w:r>
        <w:rPr>
          <w:rFonts w:ascii="Cambria Math" w:hAnsi="Cambria Math" w:eastAsia="Cambria Math"/>
        </w:rPr>
        <w:t>=</w:t>
      </w:r>
    </w:p>
    <w:p>
      <w:pPr>
        <w:pStyle w:val="BodyText"/>
        <w:spacing w:line="196" w:lineRule="auto"/>
        <w:ind w:left="71"/>
        <w:rPr>
          <w:rFonts w:ascii="Cambria Math" w:hAnsi="Cambria Math" w:eastAsia="Cambria Math"/>
        </w:rPr>
      </w:pPr>
      <w:r>
        <w:rPr/>
        <w:br w:type="column"/>
      </w:r>
      <w:r>
        <w:rPr>
          <w:rFonts w:ascii="Cambria Math" w:hAnsi="Cambria Math" w:eastAsia="Cambria Math"/>
          <w:w w:val="110"/>
        </w:rPr>
        <w:t>( </w:t>
      </w:r>
      <w:r>
        <w:rPr>
          <w:rFonts w:ascii="Cambria Math" w:hAnsi="Cambria Math" w:eastAsia="Cambria Math"/>
          <w:w w:val="110"/>
          <w:position w:val="-13"/>
        </w:rPr>
        <w:t>𝑥 </w:t>
      </w:r>
      <w:r>
        <w:rPr>
          <w:rFonts w:ascii="Cambria Math" w:hAnsi="Cambria Math" w:eastAsia="Cambria Math"/>
          <w:w w:val="110"/>
        </w:rPr>
        <w:t>) ( </w:t>
      </w:r>
      <w:r>
        <w:rPr>
          <w:rFonts w:ascii="Cambria Math" w:hAnsi="Cambria Math" w:eastAsia="Cambria Math"/>
          <w:w w:val="110"/>
          <w:position w:val="-13"/>
        </w:rPr>
        <w:t>𝑛 − 𝑥 </w:t>
      </w:r>
      <w:r>
        <w:rPr>
          <w:rFonts w:ascii="Cambria Math" w:hAnsi="Cambria Math" w:eastAsia="Cambria Math"/>
          <w:w w:val="110"/>
        </w:rPr>
        <w:t>)</w:t>
      </w:r>
    </w:p>
    <w:p>
      <w:pPr>
        <w:pStyle w:val="BodyText"/>
        <w:spacing w:line="20" w:lineRule="exact"/>
        <w:ind w:left="63"/>
        <w:rPr>
          <w:rFonts w:ascii="Cambria Math"/>
          <w:sz w:val="2"/>
        </w:rPr>
      </w:pPr>
      <w:r>
        <w:rPr>
          <w:rFonts w:ascii="Cambria Math"/>
          <w:sz w:val="2"/>
        </w:rPr>
        <w:pict>
          <v:group style="width:64.1500pt;height:.75pt;mso-position-horizontal-relative:char;mso-position-vertical-relative:line" coordorigin="0,0" coordsize="1283,15">
            <v:line style="position:absolute" from="0,7" to="1282,7" stroked="true" strokeweight=".72pt" strokecolor="#000000">
              <v:stroke dashstyle="solid"/>
            </v:line>
          </v:group>
        </w:pict>
      </w:r>
      <w:r>
        <w:rPr>
          <w:rFonts w:ascii="Cambria Math"/>
          <w:sz w:val="2"/>
        </w:rPr>
      </w:r>
    </w:p>
    <w:p>
      <w:pPr>
        <w:pStyle w:val="BodyText"/>
        <w:spacing w:line="112" w:lineRule="auto" w:before="60"/>
        <w:ind w:left="520" w:right="6734" w:firstLine="108"/>
        <w:rPr>
          <w:rFonts w:ascii="Cambria Math" w:eastAsia="Cambria Math"/>
        </w:rPr>
      </w:pPr>
      <w:r>
        <w:rPr>
          <w:rFonts w:ascii="Cambria Math" w:eastAsia="Cambria Math"/>
          <w:w w:val="110"/>
        </w:rPr>
        <w:t>𝑁 (</w:t>
      </w:r>
      <w:r>
        <w:rPr>
          <w:rFonts w:ascii="Cambria Math" w:eastAsia="Cambria Math"/>
          <w:w w:val="110"/>
          <w:position w:val="-13"/>
        </w:rPr>
        <w:t>𝑛</w:t>
      </w:r>
      <w:r>
        <w:rPr>
          <w:rFonts w:ascii="Cambria Math" w:eastAsia="Cambria Math"/>
          <w:w w:val="110"/>
        </w:rPr>
        <w:t>)</w:t>
      </w:r>
    </w:p>
    <w:p>
      <w:pPr>
        <w:spacing w:after="0" w:line="112" w:lineRule="auto"/>
        <w:rPr>
          <w:rFonts w:ascii="Cambria Math" w:eastAsia="Cambria Math"/>
        </w:rPr>
        <w:sectPr>
          <w:type w:val="continuous"/>
          <w:pgSz w:w="12240" w:h="15840"/>
          <w:pgMar w:top="1340" w:bottom="940" w:left="860" w:right="700"/>
          <w:cols w:num="2" w:equalWidth="0">
            <w:col w:w="2781" w:space="40"/>
            <w:col w:w="7859"/>
          </w:cols>
        </w:sectPr>
      </w:pPr>
    </w:p>
    <w:p>
      <w:pPr>
        <w:pStyle w:val="BodyText"/>
        <w:spacing w:before="3"/>
        <w:rPr>
          <w:rFonts w:ascii="Cambria Math"/>
          <w:sz w:val="13"/>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M </w:t>
      </w:r>
      <w:r>
        <w:rPr>
          <w:sz w:val="22"/>
        </w:rPr>
        <w:t>= </w:t>
      </w:r>
      <w:r>
        <w:rPr>
          <w:rFonts w:ascii="Times New Roman" w:hAnsi="Times New Roman"/>
          <w:i/>
          <w:sz w:val="22"/>
        </w:rPr>
        <w:t>population-successes</w:t>
      </w:r>
      <w:r>
        <w:rPr>
          <w:rFonts w:ascii="Times New Roman" w:hAnsi="Times New Roman"/>
          <w:i/>
          <w:spacing w:val="-13"/>
          <w:sz w:val="22"/>
        </w:rPr>
        <w:t> </w:t>
      </w:r>
      <w:r>
        <w:rPr>
          <w:sz w:val="22"/>
        </w:rPr>
        <w:t>argument</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N </w:t>
      </w:r>
      <w:r>
        <w:rPr>
          <w:sz w:val="22"/>
        </w:rPr>
        <w:t>= </w:t>
      </w:r>
      <w:r>
        <w:rPr>
          <w:rFonts w:ascii="Times New Roman" w:hAnsi="Times New Roman"/>
          <w:i/>
          <w:sz w:val="22"/>
        </w:rPr>
        <w:t>number-population</w:t>
      </w:r>
      <w:r>
        <w:rPr>
          <w:rFonts w:ascii="Times New Roman" w:hAnsi="Times New Roman"/>
          <w:i/>
          <w:spacing w:val="-11"/>
          <w:sz w:val="22"/>
        </w:rPr>
        <w:t> </w:t>
      </w:r>
      <w:r>
        <w:rPr>
          <w:sz w:val="22"/>
        </w:rPr>
        <w:t>argument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x </w:t>
      </w:r>
      <w:r>
        <w:rPr>
          <w:sz w:val="22"/>
        </w:rPr>
        <w:t>= </w:t>
      </w:r>
      <w:r>
        <w:rPr>
          <w:rFonts w:ascii="Times New Roman" w:hAnsi="Times New Roman"/>
          <w:i/>
          <w:sz w:val="22"/>
        </w:rPr>
        <w:t>sample-successes</w:t>
      </w:r>
      <w:r>
        <w:rPr>
          <w:rFonts w:ascii="Times New Roman" w:hAnsi="Times New Roman"/>
          <w:i/>
          <w:spacing w:val="-12"/>
          <w:sz w:val="22"/>
        </w:rPr>
        <w:t> </w:t>
      </w:r>
      <w:r>
        <w:rPr>
          <w:sz w:val="22"/>
        </w:rPr>
        <w:t>argument</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n </w:t>
      </w:r>
      <w:r>
        <w:rPr>
          <w:sz w:val="22"/>
        </w:rPr>
        <w:t>= </w:t>
      </w:r>
      <w:r>
        <w:rPr>
          <w:rFonts w:ascii="Times New Roman" w:hAnsi="Times New Roman"/>
          <w:i/>
          <w:sz w:val="22"/>
        </w:rPr>
        <w:t>number-sample</w:t>
      </w:r>
      <w:r>
        <w:rPr>
          <w:rFonts w:ascii="Times New Roman" w:hAnsi="Times New Roman"/>
          <w:i/>
          <w:spacing w:val="-10"/>
          <w:sz w:val="22"/>
        </w:rPr>
        <w:t> </w:t>
      </w:r>
      <w:r>
        <w:rPr>
          <w:sz w:val="22"/>
        </w:rPr>
        <w:t>argument</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right="477"/>
              <w:rPr>
                <w:rFonts w:ascii="Times New Roman"/>
                <w:i/>
                <w:sz w:val="22"/>
              </w:rPr>
            </w:pPr>
            <w:r>
              <w:rPr>
                <w:rFonts w:ascii="Times New Roman"/>
                <w:i/>
                <w:sz w:val="22"/>
              </w:rPr>
              <w:t>sample- </w:t>
            </w:r>
            <w:r>
              <w:rPr>
                <w:rFonts w:ascii="Times New Roman"/>
                <w:i/>
                <w:sz w:val="22"/>
              </w:rPr>
              <w:t>successes</w:t>
            </w:r>
          </w:p>
        </w:tc>
        <w:tc>
          <w:tcPr>
            <w:tcW w:w="1800" w:type="dxa"/>
          </w:tcPr>
          <w:p>
            <w:pPr>
              <w:pStyle w:val="TableParagraph"/>
              <w:ind w:left="112"/>
              <w:rPr>
                <w:sz w:val="22"/>
              </w:rPr>
            </w:pPr>
            <w:r>
              <w:rPr>
                <w:sz w:val="22"/>
              </w:rPr>
              <w:t>number</w:t>
            </w:r>
          </w:p>
        </w:tc>
        <w:tc>
          <w:tcPr>
            <w:tcW w:w="5400" w:type="dxa"/>
          </w:tcPr>
          <w:p>
            <w:pPr>
              <w:pStyle w:val="TableParagraph"/>
              <w:ind w:left="113" w:right="539"/>
              <w:rPr>
                <w:sz w:val="22"/>
              </w:rPr>
            </w:pPr>
            <w:r>
              <w:rPr>
                <w:sz w:val="22"/>
              </w:rPr>
              <w:t>The number of successes in the sample, truncated to integer.</w:t>
            </w:r>
          </w:p>
        </w:tc>
      </w:tr>
    </w:tbl>
    <w:p>
      <w:pPr>
        <w:spacing w:after="0"/>
        <w:rPr>
          <w:sz w:val="22"/>
        </w:rPr>
        <w:sectPr>
          <w:type w:val="continuous"/>
          <w:pgSz w:w="12240" w:h="15840"/>
          <w:pgMar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2" w:hRule="atLeast"/>
        </w:trPr>
        <w:tc>
          <w:tcPr>
            <w:tcW w:w="1466" w:type="dxa"/>
          </w:tcPr>
          <w:p>
            <w:pPr>
              <w:pStyle w:val="TableParagraph"/>
              <w:spacing w:before="37"/>
              <w:ind w:right="575"/>
              <w:rPr>
                <w:rFonts w:ascii="Times New Roman"/>
                <w:i/>
                <w:sz w:val="22"/>
              </w:rPr>
            </w:pPr>
            <w:r>
              <w:rPr>
                <w:rFonts w:ascii="Times New Roman"/>
                <w:i/>
                <w:sz w:val="22"/>
              </w:rPr>
              <w:t>number- </w:t>
            </w:r>
            <w:r>
              <w:rPr>
                <w:rFonts w:ascii="Times New Roman"/>
                <w:i/>
                <w:sz w:val="22"/>
              </w:rPr>
              <w:t>sample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size of the sample, truncated to integer.</w:t>
            </w:r>
          </w:p>
        </w:tc>
      </w:tr>
      <w:tr>
        <w:trPr>
          <w:trHeight w:val="621" w:hRule="atLeast"/>
        </w:trPr>
        <w:tc>
          <w:tcPr>
            <w:tcW w:w="1466" w:type="dxa"/>
          </w:tcPr>
          <w:p>
            <w:pPr>
              <w:pStyle w:val="TableParagraph"/>
              <w:spacing w:before="37"/>
              <w:ind w:right="294"/>
              <w:rPr>
                <w:rFonts w:ascii="Times New Roman"/>
                <w:i/>
                <w:sz w:val="22"/>
              </w:rPr>
            </w:pPr>
            <w:r>
              <w:rPr>
                <w:rFonts w:ascii="Times New Roman"/>
                <w:i/>
                <w:sz w:val="22"/>
              </w:rPr>
              <w:t>population- </w:t>
            </w:r>
            <w:r>
              <w:rPr>
                <w:rFonts w:ascii="Times New Roman"/>
                <w:i/>
                <w:sz w:val="22"/>
              </w:rPr>
              <w:t>successes</w:t>
            </w:r>
          </w:p>
        </w:tc>
        <w:tc>
          <w:tcPr>
            <w:tcW w:w="1800" w:type="dxa"/>
          </w:tcPr>
          <w:p>
            <w:pPr>
              <w:pStyle w:val="TableParagraph"/>
              <w:ind w:left="112"/>
              <w:rPr>
                <w:sz w:val="22"/>
              </w:rPr>
            </w:pPr>
            <w:r>
              <w:rPr>
                <w:sz w:val="22"/>
              </w:rPr>
              <w:t>number</w:t>
            </w:r>
          </w:p>
        </w:tc>
        <w:tc>
          <w:tcPr>
            <w:tcW w:w="5400" w:type="dxa"/>
          </w:tcPr>
          <w:p>
            <w:pPr>
              <w:pStyle w:val="TableParagraph"/>
              <w:ind w:left="113" w:right="207"/>
              <w:rPr>
                <w:sz w:val="22"/>
              </w:rPr>
            </w:pPr>
            <w:r>
              <w:rPr>
                <w:sz w:val="22"/>
              </w:rPr>
              <w:t>The number of successes in the population, truncated to integer.</w:t>
            </w:r>
          </w:p>
        </w:tc>
      </w:tr>
      <w:tr>
        <w:trPr>
          <w:trHeight w:val="592" w:hRule="atLeast"/>
        </w:trPr>
        <w:tc>
          <w:tcPr>
            <w:tcW w:w="1466" w:type="dxa"/>
          </w:tcPr>
          <w:p>
            <w:pPr>
              <w:pStyle w:val="TableParagraph"/>
              <w:spacing w:before="39"/>
              <w:ind w:right="367"/>
              <w:rPr>
                <w:rFonts w:ascii="Times New Roman"/>
                <w:i/>
                <w:sz w:val="22"/>
              </w:rPr>
            </w:pPr>
            <w:r>
              <w:rPr>
                <w:rFonts w:ascii="Times New Roman"/>
                <w:i/>
                <w:sz w:val="22"/>
              </w:rPr>
              <w:t>number- </w:t>
            </w:r>
            <w:r>
              <w:rPr>
                <w:rFonts w:ascii="Times New Roman"/>
                <w:i/>
                <w:sz w:val="22"/>
              </w:rPr>
              <w:t>population</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population size, truncated to integer.</w:t>
            </w:r>
          </w:p>
        </w:tc>
      </w:tr>
    </w:tbl>
    <w:p>
      <w:pPr>
        <w:pStyle w:val="BodyText"/>
        <w:rPr>
          <w:b/>
          <w:sz w:val="20"/>
        </w:rPr>
      </w:pPr>
    </w:p>
    <w:p>
      <w:pPr>
        <w:pStyle w:val="BodyText"/>
        <w:rPr>
          <w:b/>
          <w:sz w:val="17"/>
        </w:rPr>
      </w:pPr>
    </w:p>
    <w:p>
      <w:pPr>
        <w:spacing w:line="453" w:lineRule="auto" w:before="56"/>
        <w:ind w:left="220" w:right="4377" w:firstLine="0"/>
        <w:jc w:val="left"/>
        <w:rPr>
          <w:sz w:val="22"/>
        </w:rPr>
      </w:pPr>
      <w:r>
        <w:rPr>
          <w:b/>
          <w:sz w:val="22"/>
        </w:rPr>
        <w:t>Return Type and Value: </w:t>
      </w:r>
      <w:r>
        <w:rPr>
          <w:sz w:val="22"/>
        </w:rPr>
        <w:t>number – The hypergeometric distribution. However, if</w:t>
      </w:r>
    </w:p>
    <w:p>
      <w:pPr>
        <w:pStyle w:val="ListParagraph"/>
        <w:numPr>
          <w:ilvl w:val="4"/>
          <w:numId w:val="66"/>
        </w:numPr>
        <w:tabs>
          <w:tab w:pos="940" w:val="left" w:leader="none"/>
          <w:tab w:pos="941" w:val="left" w:leader="none"/>
        </w:tabs>
        <w:spacing w:line="276" w:lineRule="auto" w:before="1" w:after="0"/>
        <w:ind w:left="940" w:right="660" w:hanging="360"/>
        <w:jc w:val="left"/>
        <w:rPr>
          <w:sz w:val="22"/>
        </w:rPr>
      </w:pPr>
      <w:r>
        <w:rPr>
          <w:rFonts w:ascii="Times New Roman" w:hAnsi="Times New Roman"/>
          <w:i/>
          <w:sz w:val="22"/>
        </w:rPr>
        <w:t>sample-successes </w:t>
      </w:r>
      <w:r>
        <w:rPr>
          <w:sz w:val="22"/>
        </w:rPr>
        <w:t>&lt; 0 or </w:t>
      </w:r>
      <w:r>
        <w:rPr>
          <w:rFonts w:ascii="Times New Roman" w:hAnsi="Times New Roman"/>
          <w:i/>
          <w:sz w:val="22"/>
        </w:rPr>
        <w:t>sample-successes </w:t>
      </w:r>
      <w:r>
        <w:rPr>
          <w:sz w:val="22"/>
        </w:rPr>
        <w:t>is greater than the lesser of </w:t>
      </w:r>
      <w:r>
        <w:rPr>
          <w:rFonts w:ascii="Times New Roman" w:hAnsi="Times New Roman"/>
          <w:i/>
          <w:sz w:val="22"/>
        </w:rPr>
        <w:t>number-sample</w:t>
      </w:r>
      <w:r>
        <w:rPr>
          <w:rFonts w:ascii="Times New Roman" w:hAnsi="Times New Roman"/>
          <w:i/>
          <w:spacing w:val="-38"/>
          <w:sz w:val="22"/>
        </w:rPr>
        <w:t> </w:t>
      </w:r>
      <w:r>
        <w:rPr>
          <w:sz w:val="22"/>
        </w:rPr>
        <w:t>and </w:t>
      </w:r>
      <w:r>
        <w:rPr>
          <w:rFonts w:ascii="Times New Roman" w:hAnsi="Times New Roman"/>
          <w:i/>
          <w:sz w:val="22"/>
        </w:rPr>
        <w:t>population- </w:t>
      </w:r>
      <w:r>
        <w:rPr>
          <w:rFonts w:ascii="Times New Roman" w:hAnsi="Times New Roman"/>
          <w:i/>
          <w:sz w:val="22"/>
        </w:rPr>
        <w:t>successes</w:t>
      </w:r>
      <w:r>
        <w:rPr>
          <w:sz w:val="22"/>
        </w:rPr>
        <w:t>, </w:t>
      </w:r>
      <w:r>
        <w:rPr>
          <w:rFonts w:ascii="Consolas" w:hAnsi="Consolas"/>
          <w:sz w:val="22"/>
        </w:rPr>
        <w:t>#NUM!</w:t>
      </w:r>
      <w:r>
        <w:rPr>
          <w:rFonts w:ascii="Consolas" w:hAnsi="Consolas"/>
          <w:spacing w:val="-75"/>
          <w:sz w:val="22"/>
        </w:rPr>
        <w:t> </w:t>
      </w:r>
      <w:r>
        <w:rPr>
          <w:sz w:val="22"/>
        </w:rPr>
        <w:t>is returned.</w:t>
      </w:r>
    </w:p>
    <w:p>
      <w:pPr>
        <w:pStyle w:val="ListParagraph"/>
        <w:numPr>
          <w:ilvl w:val="4"/>
          <w:numId w:val="66"/>
        </w:numPr>
        <w:tabs>
          <w:tab w:pos="940" w:val="left" w:leader="none"/>
          <w:tab w:pos="941" w:val="left" w:leader="none"/>
        </w:tabs>
        <w:spacing w:line="273" w:lineRule="auto" w:before="2" w:after="0"/>
        <w:ind w:left="940" w:right="955" w:hanging="360"/>
        <w:jc w:val="left"/>
        <w:rPr>
          <w:sz w:val="22"/>
        </w:rPr>
      </w:pPr>
      <w:r>
        <w:rPr>
          <w:rFonts w:ascii="Times New Roman" w:hAnsi="Times New Roman"/>
          <w:i/>
          <w:sz w:val="22"/>
        </w:rPr>
        <w:t>sample-successes</w:t>
      </w:r>
      <w:r>
        <w:rPr>
          <w:rFonts w:ascii="Times New Roman" w:hAnsi="Times New Roman"/>
          <w:i/>
          <w:spacing w:val="-8"/>
          <w:sz w:val="22"/>
        </w:rPr>
        <w:t> </w:t>
      </w:r>
      <w:r>
        <w:rPr>
          <w:sz w:val="22"/>
        </w:rPr>
        <w:t>is</w:t>
      </w:r>
      <w:r>
        <w:rPr>
          <w:spacing w:val="-1"/>
          <w:sz w:val="22"/>
        </w:rPr>
        <w:t> </w:t>
      </w:r>
      <w:r>
        <w:rPr>
          <w:sz w:val="22"/>
        </w:rPr>
        <w:t>less</w:t>
      </w:r>
      <w:r>
        <w:rPr>
          <w:spacing w:val="-1"/>
          <w:sz w:val="22"/>
        </w:rPr>
        <w:t> </w:t>
      </w:r>
      <w:r>
        <w:rPr>
          <w:sz w:val="22"/>
        </w:rPr>
        <w:t>than</w:t>
      </w:r>
      <w:r>
        <w:rPr>
          <w:spacing w:val="-2"/>
          <w:sz w:val="22"/>
        </w:rPr>
        <w:t> </w:t>
      </w:r>
      <w:r>
        <w:rPr>
          <w:sz w:val="22"/>
        </w:rPr>
        <w:t>the larger</w:t>
      </w:r>
      <w:r>
        <w:rPr>
          <w:spacing w:val="-3"/>
          <w:sz w:val="22"/>
        </w:rPr>
        <w:t> </w:t>
      </w:r>
      <w:r>
        <w:rPr>
          <w:sz w:val="22"/>
        </w:rPr>
        <w:t>of</w:t>
      </w:r>
      <w:r>
        <w:rPr>
          <w:spacing w:val="-3"/>
          <w:sz w:val="22"/>
        </w:rPr>
        <w:t> </w:t>
      </w:r>
      <w:r>
        <w:rPr>
          <w:sz w:val="22"/>
        </w:rPr>
        <w:t>0</w:t>
      </w:r>
      <w:r>
        <w:rPr>
          <w:spacing w:val="-3"/>
          <w:sz w:val="22"/>
        </w:rPr>
        <w:t> </w:t>
      </w:r>
      <w:r>
        <w:rPr>
          <w:sz w:val="22"/>
        </w:rPr>
        <w:t>or</w:t>
      </w:r>
      <w:r>
        <w:rPr>
          <w:spacing w:val="-1"/>
          <w:sz w:val="22"/>
        </w:rPr>
        <w:t> </w:t>
      </w:r>
      <w:r>
        <w:rPr>
          <w:sz w:val="22"/>
        </w:rPr>
        <w:t>(</w:t>
      </w:r>
      <w:r>
        <w:rPr>
          <w:rFonts w:ascii="Times New Roman" w:hAnsi="Times New Roman"/>
          <w:i/>
          <w:sz w:val="22"/>
        </w:rPr>
        <w:t>number-sample</w:t>
      </w:r>
      <w:r>
        <w:rPr>
          <w:rFonts w:ascii="Times New Roman" w:hAnsi="Times New Roman"/>
          <w:i/>
          <w:spacing w:val="-8"/>
          <w:sz w:val="22"/>
        </w:rPr>
        <w:t> </w:t>
      </w:r>
      <w:r>
        <w:rPr>
          <w:rFonts w:ascii="Consolas" w:hAnsi="Consolas"/>
          <w:sz w:val="22"/>
        </w:rPr>
        <w:t>-</w:t>
      </w:r>
      <w:r>
        <w:rPr>
          <w:rFonts w:ascii="Consolas" w:hAnsi="Consolas"/>
          <w:spacing w:val="-71"/>
          <w:sz w:val="22"/>
        </w:rPr>
        <w:t> </w:t>
      </w:r>
      <w:r>
        <w:rPr>
          <w:rFonts w:ascii="Times New Roman" w:hAnsi="Times New Roman"/>
          <w:i/>
          <w:sz w:val="22"/>
        </w:rPr>
        <w:t>number-population</w:t>
      </w:r>
      <w:r>
        <w:rPr>
          <w:rFonts w:ascii="Times New Roman" w:hAnsi="Times New Roman"/>
          <w:i/>
          <w:spacing w:val="-8"/>
          <w:sz w:val="22"/>
        </w:rPr>
        <w:t> </w:t>
      </w:r>
      <w:r>
        <w:rPr>
          <w:rFonts w:ascii="Consolas" w:hAnsi="Consolas"/>
          <w:sz w:val="22"/>
        </w:rPr>
        <w:t>+</w:t>
      </w:r>
      <w:r>
        <w:rPr>
          <w:rFonts w:ascii="Consolas" w:hAnsi="Consolas"/>
          <w:spacing w:val="-71"/>
          <w:sz w:val="22"/>
        </w:rPr>
        <w:t> </w:t>
      </w:r>
      <w:r>
        <w:rPr>
          <w:rFonts w:ascii="Times New Roman" w:hAnsi="Times New Roman"/>
          <w:i/>
          <w:sz w:val="22"/>
        </w:rPr>
        <w:t>population- </w:t>
      </w:r>
      <w:r>
        <w:rPr>
          <w:rFonts w:ascii="Times New Roman" w:hAnsi="Times New Roman"/>
          <w:i/>
          <w:sz w:val="22"/>
        </w:rPr>
        <w:t>successes</w:t>
      </w:r>
      <w:r>
        <w:rPr>
          <w:sz w:val="22"/>
        </w:rPr>
        <w:t>), </w:t>
      </w:r>
      <w:r>
        <w:rPr>
          <w:rFonts w:ascii="Consolas" w:hAnsi="Consolas"/>
          <w:sz w:val="22"/>
        </w:rPr>
        <w:t>#NUM!</w:t>
      </w:r>
      <w:r>
        <w:rPr>
          <w:rFonts w:ascii="Consolas" w:hAnsi="Consolas"/>
          <w:spacing w:val="-75"/>
          <w:sz w:val="22"/>
        </w:rPr>
        <w:t> </w:t>
      </w:r>
      <w:r>
        <w:rPr>
          <w:sz w:val="22"/>
        </w:rPr>
        <w:t>is returned.</w:t>
      </w:r>
    </w:p>
    <w:p>
      <w:pPr>
        <w:pStyle w:val="ListParagraph"/>
        <w:numPr>
          <w:ilvl w:val="4"/>
          <w:numId w:val="66"/>
        </w:numPr>
        <w:tabs>
          <w:tab w:pos="940" w:val="left" w:leader="none"/>
          <w:tab w:pos="941" w:val="left" w:leader="none"/>
        </w:tabs>
        <w:spacing w:line="240" w:lineRule="auto" w:before="4" w:after="0"/>
        <w:ind w:left="940" w:right="0" w:hanging="361"/>
        <w:jc w:val="left"/>
        <w:rPr>
          <w:sz w:val="22"/>
        </w:rPr>
      </w:pPr>
      <w:r>
        <w:rPr>
          <w:rFonts w:ascii="Times New Roman" w:hAnsi="Times New Roman"/>
          <w:i/>
          <w:sz w:val="22"/>
        </w:rPr>
        <w:t>number-sample </w:t>
      </w:r>
      <w:r>
        <w:rPr>
          <w:sz w:val="22"/>
        </w:rPr>
        <w:t>≤ 0 or </w:t>
      </w:r>
      <w:r>
        <w:rPr>
          <w:rFonts w:ascii="Times New Roman" w:hAnsi="Times New Roman"/>
          <w:i/>
          <w:sz w:val="22"/>
        </w:rPr>
        <w:t>number-sample </w:t>
      </w:r>
      <w:r>
        <w:rPr>
          <w:sz w:val="22"/>
        </w:rPr>
        <w:t>&gt; </w:t>
      </w:r>
      <w:r>
        <w:rPr>
          <w:rFonts w:ascii="Times New Roman" w:hAnsi="Times New Roman"/>
          <w:i/>
          <w:sz w:val="22"/>
        </w:rPr>
        <w:t>number-population</w:t>
      </w:r>
      <w:r>
        <w:rPr>
          <w:sz w:val="22"/>
        </w:rPr>
        <w:t>,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population-successes </w:t>
      </w:r>
      <w:r>
        <w:rPr>
          <w:sz w:val="22"/>
        </w:rPr>
        <w:t>≤ 0 or </w:t>
      </w:r>
      <w:r>
        <w:rPr>
          <w:rFonts w:ascii="Times New Roman" w:hAnsi="Times New Roman"/>
          <w:i/>
          <w:sz w:val="22"/>
        </w:rPr>
        <w:t>population-successes </w:t>
      </w:r>
      <w:r>
        <w:rPr>
          <w:sz w:val="22"/>
        </w:rPr>
        <w:t>&gt; </w:t>
      </w:r>
      <w:r>
        <w:rPr>
          <w:rFonts w:ascii="Times New Roman" w:hAnsi="Times New Roman"/>
          <w:i/>
          <w:sz w:val="22"/>
        </w:rPr>
        <w:t>number-population</w:t>
      </w:r>
      <w:r>
        <w:rPr>
          <w:sz w:val="22"/>
        </w:rPr>
        <w:t>, </w:t>
      </w:r>
      <w:r>
        <w:rPr>
          <w:rFonts w:ascii="Consolas" w:hAnsi="Consolas"/>
          <w:sz w:val="22"/>
        </w:rPr>
        <w:t>#NUM!</w:t>
      </w:r>
      <w:r>
        <w:rPr>
          <w:rFonts w:ascii="Consolas" w:hAnsi="Consolas"/>
          <w:spacing w:val="-90"/>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5919" w:firstLine="360"/>
        <w:jc w:val="left"/>
        <w:rPr>
          <w:sz w:val="22"/>
        </w:rPr>
      </w:pPr>
      <w:r>
        <w:rPr>
          <w:rFonts w:ascii="Times New Roman" w:hAnsi="Times New Roman"/>
          <w:i/>
          <w:sz w:val="22"/>
        </w:rPr>
        <w:t>number-population </w:t>
      </w:r>
      <w:r>
        <w:rPr>
          <w:sz w:val="22"/>
        </w:rPr>
        <w:t>≤ 0, </w:t>
      </w:r>
      <w:r>
        <w:rPr>
          <w:rFonts w:ascii="Consolas" w:hAnsi="Consolas"/>
          <w:sz w:val="22"/>
        </w:rPr>
        <w:t>#NUM!</w:t>
      </w:r>
      <w:r>
        <w:rPr>
          <w:rFonts w:ascii="Consolas" w:hAnsi="Consolas"/>
          <w:spacing w:val="-85"/>
          <w:sz w:val="22"/>
        </w:rPr>
        <w:t> </w:t>
      </w:r>
      <w:r>
        <w:rPr>
          <w:sz w:val="22"/>
        </w:rPr>
        <w:t>is returned. [</w:t>
      </w:r>
      <w:r>
        <w:rPr>
          <w:i/>
          <w:sz w:val="22"/>
        </w:rPr>
        <w:t>Example</w:t>
      </w:r>
      <w:r>
        <w:rPr>
          <w:sz w:val="22"/>
        </w:rPr>
        <w:t>:</w:t>
      </w:r>
    </w:p>
    <w:p>
      <w:pPr>
        <w:pStyle w:val="BodyText"/>
        <w:spacing w:before="125"/>
        <w:ind w:left="220"/>
        <w:rPr>
          <w:rFonts w:ascii="Consolas"/>
        </w:rPr>
      </w:pPr>
      <w:r>
        <w:rPr>
          <w:rFonts w:ascii="Consolas"/>
        </w:rPr>
        <w:t>HYPGEOMDIST(1,4,8,20) </w:t>
      </w:r>
      <w:r>
        <w:rPr/>
        <w:t>results in </w:t>
      </w:r>
      <w:r>
        <w:rPr>
          <w:rFonts w:ascii="Consolas"/>
        </w:rPr>
        <w:t>0.363261</w:t>
      </w:r>
    </w:p>
    <w:p>
      <w:pPr>
        <w:pStyle w:val="BodyText"/>
        <w:spacing w:before="2"/>
        <w:rPr>
          <w:rFonts w:ascii="Consolas"/>
          <w:sz w:val="3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47 IF" w:id="1833"/>
      <w:bookmarkEnd w:id="1833"/>
      <w:r>
        <w:rPr/>
      </w:r>
      <w:bookmarkStart w:name="_bookmark610" w:id="1834"/>
      <w:bookmarkEnd w:id="1834"/>
      <w:r>
        <w:rPr/>
      </w:r>
      <w:bookmarkStart w:name="_bookmark610" w:id="1835"/>
      <w:bookmarkEnd w:id="1835"/>
      <w:r>
        <w:rPr>
          <w:color w:val="4F81BC"/>
        </w:rPr>
        <w:t>IF</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IF ( </w:t>
      </w:r>
      <w:r>
        <w:rPr>
          <w:i/>
          <w:sz w:val="22"/>
        </w:rPr>
        <w:t>logical-value </w:t>
      </w:r>
      <w:r>
        <w:rPr>
          <w:rFonts w:ascii="Lucida Console"/>
          <w:sz w:val="20"/>
        </w:rPr>
        <w:t>, </w:t>
      </w:r>
      <w:r>
        <w:rPr>
          <w:sz w:val="22"/>
        </w:rPr>
        <w:t>[ </w:t>
      </w:r>
      <w:r>
        <w:rPr>
          <w:i/>
          <w:sz w:val="22"/>
        </w:rPr>
        <w:t>value-if-true </w:t>
      </w:r>
      <w:r>
        <w:rPr>
          <w:sz w:val="22"/>
        </w:rPr>
        <w:t>] [ </w:t>
      </w:r>
      <w:r>
        <w:rPr>
          <w:rFonts w:ascii="Lucida Console"/>
          <w:sz w:val="20"/>
        </w:rPr>
        <w:t>,</w:t>
      </w:r>
      <w:r>
        <w:rPr>
          <w:rFonts w:ascii="Lucida Console"/>
          <w:spacing w:val="-89"/>
          <w:sz w:val="20"/>
        </w:rPr>
        <w:t> </w:t>
      </w:r>
      <w:r>
        <w:rPr>
          <w:sz w:val="22"/>
        </w:rPr>
        <w:t>[ </w:t>
      </w:r>
      <w:r>
        <w:rPr>
          <w:i/>
          <w:sz w:val="22"/>
        </w:rPr>
        <w:t>value-if-false </w:t>
      </w:r>
      <w:r>
        <w:rPr>
          <w:sz w:val="22"/>
        </w:rPr>
        <w:t>] ] </w:t>
      </w:r>
      <w:r>
        <w:rPr>
          <w:rFonts w:ascii="Lucida Console"/>
          <w:sz w:val="20"/>
        </w:rPr>
        <w:t>)</w:t>
      </w:r>
    </w:p>
    <w:p>
      <w:pPr>
        <w:spacing w:line="278" w:lineRule="auto" w:before="106"/>
        <w:ind w:left="220" w:right="696" w:firstLine="0"/>
        <w:jc w:val="left"/>
        <w:rPr>
          <w:sz w:val="22"/>
        </w:rPr>
      </w:pPr>
      <w:r>
        <w:rPr>
          <w:b/>
          <w:sz w:val="22"/>
        </w:rPr>
        <w:t>Description: </w:t>
      </w:r>
      <w:r>
        <w:rPr>
          <w:sz w:val="22"/>
        </w:rPr>
        <w:t>Tests </w:t>
      </w:r>
      <w:r>
        <w:rPr>
          <w:rFonts w:ascii="Times New Roman"/>
          <w:i/>
          <w:sz w:val="22"/>
        </w:rPr>
        <w:t>logical-value</w:t>
      </w:r>
      <w:r>
        <w:rPr>
          <w:sz w:val="22"/>
        </w:rPr>
        <w:t>, and if it is </w:t>
      </w:r>
      <w:r>
        <w:rPr>
          <w:rFonts w:ascii="Consolas"/>
          <w:sz w:val="22"/>
        </w:rPr>
        <w:t>TRUE</w:t>
      </w:r>
      <w:r>
        <w:rPr>
          <w:sz w:val="22"/>
        </w:rPr>
        <w:t>, </w:t>
      </w:r>
      <w:r>
        <w:rPr>
          <w:rFonts w:ascii="Times New Roman"/>
          <w:i/>
          <w:sz w:val="22"/>
        </w:rPr>
        <w:t>value-if-true </w:t>
      </w:r>
      <w:r>
        <w:rPr>
          <w:sz w:val="22"/>
        </w:rPr>
        <w:t>is evaluated and returned; otherwise, </w:t>
      </w:r>
      <w:r>
        <w:rPr>
          <w:rFonts w:ascii="Times New Roman"/>
          <w:i/>
          <w:sz w:val="22"/>
        </w:rPr>
        <w:t>value-if- </w:t>
      </w:r>
      <w:r>
        <w:rPr>
          <w:rFonts w:ascii="Times New Roman"/>
          <w:i/>
          <w:sz w:val="22"/>
        </w:rPr>
        <w:t>false </w:t>
      </w:r>
      <w:r>
        <w:rPr>
          <w:sz w:val="22"/>
        </w:rPr>
        <w:t>is evaluated and returned.</w:t>
      </w:r>
    </w:p>
    <w:p>
      <w:pPr>
        <w:pStyle w:val="Heading4"/>
        <w:spacing w:before="197"/>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logical-value</w:t>
            </w:r>
          </w:p>
        </w:tc>
        <w:tc>
          <w:tcPr>
            <w:tcW w:w="1800" w:type="dxa"/>
          </w:tcPr>
          <w:p>
            <w:pPr>
              <w:pStyle w:val="TableParagraph"/>
              <w:ind w:left="112"/>
              <w:rPr>
                <w:sz w:val="22"/>
              </w:rPr>
            </w:pPr>
            <w:r>
              <w:rPr>
                <w:sz w:val="22"/>
              </w:rPr>
              <w:t>logical</w:t>
            </w:r>
          </w:p>
        </w:tc>
        <w:tc>
          <w:tcPr>
            <w:tcW w:w="5400" w:type="dxa"/>
          </w:tcPr>
          <w:p>
            <w:pPr>
              <w:pStyle w:val="TableParagraph"/>
              <w:ind w:left="113"/>
              <w:rPr>
                <w:sz w:val="22"/>
              </w:rPr>
            </w:pPr>
            <w:r>
              <w:rPr>
                <w:sz w:val="22"/>
              </w:rPr>
              <w:t>The value to be tested.</w:t>
            </w:r>
          </w:p>
        </w:tc>
      </w:tr>
      <w:tr>
        <w:trPr>
          <w:trHeight w:val="1427" w:hRule="atLeast"/>
        </w:trPr>
        <w:tc>
          <w:tcPr>
            <w:tcW w:w="1466" w:type="dxa"/>
          </w:tcPr>
          <w:p>
            <w:pPr>
              <w:pStyle w:val="TableParagraph"/>
              <w:spacing w:before="37"/>
              <w:rPr>
                <w:rFonts w:ascii="Times New Roman"/>
                <w:i/>
                <w:sz w:val="22"/>
              </w:rPr>
            </w:pPr>
            <w:r>
              <w:rPr>
                <w:rFonts w:ascii="Times New Roman"/>
                <w:i/>
                <w:sz w:val="22"/>
              </w:rPr>
              <w:t>value-if-true</w:t>
            </w:r>
          </w:p>
        </w:tc>
        <w:tc>
          <w:tcPr>
            <w:tcW w:w="1800" w:type="dxa"/>
          </w:tcPr>
          <w:p>
            <w:pPr>
              <w:pStyle w:val="TableParagraph"/>
              <w:ind w:left="112"/>
              <w:rPr>
                <w:sz w:val="22"/>
              </w:rPr>
            </w:pPr>
            <w:r>
              <w:rPr>
                <w:sz w:val="22"/>
              </w:rPr>
              <w:t>any</w:t>
            </w:r>
          </w:p>
        </w:tc>
        <w:tc>
          <w:tcPr>
            <w:tcW w:w="5400" w:type="dxa"/>
          </w:tcPr>
          <w:p>
            <w:pPr>
              <w:pStyle w:val="TableParagraph"/>
              <w:ind w:left="113" w:right="146"/>
              <w:rPr>
                <w:sz w:val="22"/>
              </w:rPr>
            </w:pPr>
            <w:r>
              <w:rPr>
                <w:sz w:val="22"/>
              </w:rPr>
              <w:t>The value returned if </w:t>
            </w:r>
            <w:r>
              <w:rPr>
                <w:rFonts w:ascii="Times New Roman"/>
                <w:i/>
                <w:sz w:val="22"/>
              </w:rPr>
              <w:t>logical-value </w:t>
            </w:r>
            <w:r>
              <w:rPr>
                <w:sz w:val="22"/>
              </w:rPr>
              <w:t>is </w:t>
            </w:r>
            <w:r>
              <w:rPr>
                <w:rFonts w:ascii="Consolas"/>
                <w:sz w:val="22"/>
              </w:rPr>
              <w:t>TRUE</w:t>
            </w:r>
            <w:r>
              <w:rPr>
                <w:sz w:val="22"/>
              </w:rPr>
              <w:t>. If </w:t>
            </w:r>
            <w:r>
              <w:rPr>
                <w:rFonts w:ascii="Times New Roman"/>
                <w:i/>
                <w:sz w:val="22"/>
              </w:rPr>
              <w:t>logical- </w:t>
            </w:r>
            <w:r>
              <w:rPr>
                <w:rFonts w:ascii="Times New Roman"/>
                <w:i/>
                <w:sz w:val="22"/>
              </w:rPr>
              <w:t>value </w:t>
            </w:r>
            <w:r>
              <w:rPr>
                <w:sz w:val="22"/>
              </w:rPr>
              <w:t>is </w:t>
            </w:r>
            <w:r>
              <w:rPr>
                <w:rFonts w:ascii="Consolas"/>
                <w:sz w:val="22"/>
              </w:rPr>
              <w:t>TRUE </w:t>
            </w:r>
            <w:r>
              <w:rPr>
                <w:sz w:val="22"/>
              </w:rPr>
              <w:t>and </w:t>
            </w:r>
            <w:r>
              <w:rPr>
                <w:rFonts w:ascii="Times New Roman"/>
                <w:i/>
                <w:sz w:val="22"/>
              </w:rPr>
              <w:t>value-if-true </w:t>
            </w:r>
            <w:r>
              <w:rPr>
                <w:sz w:val="22"/>
              </w:rPr>
              <w:t>is omitted, this argument evaluates to 0. </w:t>
            </w:r>
            <w:r>
              <w:rPr>
                <w:rFonts w:ascii="Times New Roman"/>
                <w:i/>
                <w:sz w:val="22"/>
              </w:rPr>
              <w:t>value-if-true </w:t>
            </w:r>
            <w:r>
              <w:rPr>
                <w:sz w:val="22"/>
              </w:rPr>
              <w:t>can contain up to seven levels of nested </w:t>
            </w:r>
            <w:r>
              <w:rPr>
                <w:rFonts w:ascii="Consolas"/>
                <w:sz w:val="22"/>
              </w:rPr>
              <w:t>IF</w:t>
            </w:r>
            <w:r>
              <w:rPr>
                <w:rFonts w:ascii="Consolas"/>
                <w:spacing w:val="-91"/>
                <w:sz w:val="22"/>
              </w:rPr>
              <w:t> </w:t>
            </w:r>
            <w:r>
              <w:rPr>
                <w:sz w:val="22"/>
              </w:rPr>
              <w:t>function calls. [</w:t>
            </w:r>
            <w:r>
              <w:rPr>
                <w:i/>
                <w:sz w:val="22"/>
              </w:rPr>
              <w:t>Note</w:t>
            </w:r>
            <w:r>
              <w:rPr>
                <w:sz w:val="22"/>
              </w:rPr>
              <w:t>: </w:t>
            </w:r>
            <w:r>
              <w:rPr>
                <w:rFonts w:ascii="Times New Roman"/>
                <w:i/>
                <w:sz w:val="22"/>
              </w:rPr>
              <w:t>value-if-true </w:t>
            </w:r>
            <w:r>
              <w:rPr>
                <w:sz w:val="22"/>
              </w:rPr>
              <w:t>and </w:t>
            </w:r>
            <w:r>
              <w:rPr>
                <w:rFonts w:ascii="Times New Roman"/>
                <w:i/>
                <w:sz w:val="22"/>
              </w:rPr>
              <w:t>value-if-false </w:t>
            </w:r>
            <w:r>
              <w:rPr>
                <w:sz w:val="22"/>
              </w:rPr>
              <w:t>need not evaluate to results of the same</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sz w:val="22"/>
              </w:rPr>
            </w:pPr>
            <w:r>
              <w:rPr>
                <w:sz w:val="22"/>
              </w:rPr>
              <w:t>type. </w:t>
            </w:r>
            <w:r>
              <w:rPr>
                <w:i/>
                <w:sz w:val="22"/>
              </w:rPr>
              <w:t>end note</w:t>
            </w:r>
            <w:r>
              <w:rPr>
                <w:sz w:val="22"/>
              </w:rPr>
              <w:t>]</w:t>
            </w:r>
          </w:p>
        </w:tc>
      </w:tr>
      <w:tr>
        <w:trPr>
          <w:trHeight w:val="2502" w:hRule="atLeast"/>
        </w:trPr>
        <w:tc>
          <w:tcPr>
            <w:tcW w:w="1466" w:type="dxa"/>
          </w:tcPr>
          <w:p>
            <w:pPr>
              <w:pStyle w:val="TableParagraph"/>
              <w:spacing w:before="37"/>
              <w:ind w:left="48" w:right="109"/>
              <w:jc w:val="center"/>
              <w:rPr>
                <w:rFonts w:ascii="Times New Roman"/>
                <w:i/>
                <w:sz w:val="22"/>
              </w:rPr>
            </w:pPr>
            <w:r>
              <w:rPr>
                <w:rFonts w:ascii="Times New Roman"/>
                <w:i/>
                <w:sz w:val="22"/>
              </w:rPr>
              <w:t>value-if-false</w:t>
            </w:r>
          </w:p>
        </w:tc>
        <w:tc>
          <w:tcPr>
            <w:tcW w:w="1800" w:type="dxa"/>
          </w:tcPr>
          <w:p>
            <w:pPr>
              <w:pStyle w:val="TableParagraph"/>
              <w:ind w:left="112"/>
              <w:rPr>
                <w:sz w:val="22"/>
              </w:rPr>
            </w:pPr>
            <w:r>
              <w:rPr>
                <w:sz w:val="22"/>
              </w:rPr>
              <w:t>any</w:t>
            </w:r>
          </w:p>
        </w:tc>
        <w:tc>
          <w:tcPr>
            <w:tcW w:w="5400" w:type="dxa"/>
          </w:tcPr>
          <w:p>
            <w:pPr>
              <w:pStyle w:val="TableParagraph"/>
              <w:ind w:left="113" w:right="138"/>
              <w:rPr>
                <w:sz w:val="22"/>
              </w:rPr>
            </w:pPr>
            <w:r>
              <w:rPr>
                <w:sz w:val="22"/>
              </w:rPr>
              <w:t>The value returned if </w:t>
            </w:r>
            <w:r>
              <w:rPr>
                <w:rFonts w:ascii="Times New Roman"/>
                <w:i/>
                <w:sz w:val="22"/>
              </w:rPr>
              <w:t>logical-value </w:t>
            </w:r>
            <w:r>
              <w:rPr>
                <w:sz w:val="22"/>
              </w:rPr>
              <w:t>is </w:t>
            </w:r>
            <w:r>
              <w:rPr>
                <w:rFonts w:ascii="Consolas"/>
                <w:sz w:val="22"/>
              </w:rPr>
              <w:t>FALSE</w:t>
            </w:r>
            <w:r>
              <w:rPr>
                <w:sz w:val="22"/>
              </w:rPr>
              <w:t>. If </w:t>
            </w:r>
            <w:r>
              <w:rPr>
                <w:rFonts w:ascii="Times New Roman"/>
                <w:i/>
                <w:sz w:val="22"/>
              </w:rPr>
              <w:t>logical- </w:t>
            </w:r>
            <w:r>
              <w:rPr>
                <w:rFonts w:ascii="Times New Roman"/>
                <w:i/>
                <w:sz w:val="22"/>
              </w:rPr>
              <w:t>value </w:t>
            </w:r>
            <w:r>
              <w:rPr>
                <w:sz w:val="22"/>
              </w:rPr>
              <w:t>is </w:t>
            </w:r>
            <w:r>
              <w:rPr>
                <w:rFonts w:ascii="Consolas"/>
                <w:sz w:val="22"/>
              </w:rPr>
              <w:t>FALSE </w:t>
            </w:r>
            <w:r>
              <w:rPr>
                <w:sz w:val="22"/>
              </w:rPr>
              <w:t>and </w:t>
            </w:r>
            <w:r>
              <w:rPr>
                <w:rFonts w:ascii="Times New Roman"/>
                <w:i/>
                <w:sz w:val="22"/>
              </w:rPr>
              <w:t>value-if-false </w:t>
            </w:r>
            <w:r>
              <w:rPr>
                <w:sz w:val="22"/>
              </w:rPr>
              <w:t>and its preceding comma is omitted, this argument evaluates to </w:t>
            </w:r>
            <w:r>
              <w:rPr>
                <w:rFonts w:ascii="Consolas"/>
                <w:sz w:val="22"/>
              </w:rPr>
              <w:t>FALSE</w:t>
            </w:r>
            <w:r>
              <w:rPr>
                <w:sz w:val="22"/>
              </w:rPr>
              <w:t>. If </w:t>
            </w:r>
            <w:r>
              <w:rPr>
                <w:rFonts w:ascii="Times New Roman"/>
                <w:i/>
                <w:sz w:val="22"/>
              </w:rPr>
              <w:t>logical-value </w:t>
            </w:r>
            <w:r>
              <w:rPr>
                <w:sz w:val="22"/>
              </w:rPr>
              <w:t>is </w:t>
            </w:r>
            <w:r>
              <w:rPr>
                <w:rFonts w:ascii="Consolas"/>
                <w:sz w:val="22"/>
              </w:rPr>
              <w:t>FALSE </w:t>
            </w:r>
            <w:r>
              <w:rPr>
                <w:sz w:val="22"/>
              </w:rPr>
              <w:t>and </w:t>
            </w:r>
            <w:r>
              <w:rPr>
                <w:rFonts w:ascii="Times New Roman"/>
                <w:i/>
                <w:sz w:val="22"/>
              </w:rPr>
              <w:t>value-if-false </w:t>
            </w:r>
            <w:r>
              <w:rPr>
                <w:sz w:val="22"/>
              </w:rPr>
              <w:t>is omitted, but its preceding comma is present, this argument evaluates to 0. </w:t>
            </w:r>
            <w:r>
              <w:rPr>
                <w:rFonts w:ascii="Times New Roman"/>
                <w:i/>
                <w:sz w:val="22"/>
              </w:rPr>
              <w:t>value-if-false </w:t>
            </w:r>
            <w:r>
              <w:rPr>
                <w:sz w:val="22"/>
              </w:rPr>
              <w:t>can contain at least seven levels of nested </w:t>
            </w:r>
            <w:r>
              <w:rPr>
                <w:rFonts w:ascii="Consolas"/>
                <w:sz w:val="22"/>
              </w:rPr>
              <w:t>IF</w:t>
            </w:r>
            <w:r>
              <w:rPr>
                <w:rFonts w:ascii="Consolas"/>
                <w:spacing w:val="-88"/>
                <w:sz w:val="22"/>
              </w:rPr>
              <w:t> </w:t>
            </w:r>
            <w:r>
              <w:rPr>
                <w:sz w:val="22"/>
              </w:rPr>
              <w:t>function calls. [</w:t>
            </w:r>
            <w:r>
              <w:rPr>
                <w:i/>
                <w:sz w:val="22"/>
              </w:rPr>
              <w:t>Note</w:t>
            </w:r>
            <w:r>
              <w:rPr>
                <w:sz w:val="22"/>
              </w:rPr>
              <w:t>: </w:t>
            </w:r>
            <w:r>
              <w:rPr>
                <w:rFonts w:ascii="Times New Roman"/>
                <w:i/>
                <w:sz w:val="22"/>
              </w:rPr>
              <w:t>value-if-true </w:t>
            </w:r>
            <w:r>
              <w:rPr>
                <w:sz w:val="22"/>
              </w:rPr>
              <w:t>and </w:t>
            </w:r>
            <w:r>
              <w:rPr>
                <w:rFonts w:ascii="Times New Roman"/>
                <w:i/>
                <w:sz w:val="22"/>
              </w:rPr>
              <w:t>value-if- </w:t>
            </w:r>
            <w:r>
              <w:rPr>
                <w:rFonts w:ascii="Times New Roman"/>
                <w:i/>
                <w:sz w:val="22"/>
              </w:rPr>
              <w:t>false </w:t>
            </w:r>
            <w:r>
              <w:rPr>
                <w:sz w:val="22"/>
              </w:rPr>
              <w:t>need not evaluate to results of the same type. </w:t>
            </w:r>
            <w:r>
              <w:rPr>
                <w:i/>
                <w:sz w:val="22"/>
              </w:rPr>
              <w:t>end </w:t>
            </w:r>
            <w:r>
              <w:rPr>
                <w:i/>
                <w:sz w:val="22"/>
              </w:rPr>
              <w:t>note</w:t>
            </w:r>
            <w:r>
              <w:rPr>
                <w:sz w:val="22"/>
              </w:rPr>
              <w:t>]</w:t>
            </w:r>
          </w:p>
        </w:tc>
      </w:tr>
    </w:tbl>
    <w:p>
      <w:pPr>
        <w:pStyle w:val="BodyText"/>
        <w:rPr>
          <w:b/>
          <w:sz w:val="20"/>
        </w:rPr>
      </w:pPr>
    </w:p>
    <w:p>
      <w:pPr>
        <w:pStyle w:val="BodyText"/>
        <w:spacing w:before="1"/>
        <w:rPr>
          <w:b/>
          <w:sz w:val="17"/>
        </w:rPr>
      </w:pPr>
    </w:p>
    <w:p>
      <w:pPr>
        <w:pStyle w:val="BodyText"/>
        <w:spacing w:before="56"/>
        <w:ind w:left="220"/>
      </w:pPr>
      <w:r>
        <w:rPr/>
        <w:t>If any argument is an array, every element of that array shall be evaluated when that argument is evaluated.</w:t>
      </w:r>
    </w:p>
    <w:p>
      <w:pPr>
        <w:pStyle w:val="BodyText"/>
        <w:spacing w:before="8"/>
        <w:rPr>
          <w:sz w:val="19"/>
        </w:rPr>
      </w:pPr>
    </w:p>
    <w:p>
      <w:pPr>
        <w:spacing w:line="453" w:lineRule="auto" w:before="0"/>
        <w:ind w:left="220" w:right="2135" w:firstLine="0"/>
        <w:jc w:val="left"/>
        <w:rPr>
          <w:sz w:val="22"/>
        </w:rPr>
      </w:pPr>
      <w:r>
        <w:rPr>
          <w:b/>
          <w:sz w:val="22"/>
        </w:rPr>
        <w:t>Return Type and Value: </w:t>
      </w:r>
      <w:r>
        <w:rPr>
          <w:sz w:val="22"/>
        </w:rPr>
        <w:t>any – </w:t>
      </w:r>
      <w:r>
        <w:rPr>
          <w:rFonts w:ascii="Times New Roman" w:hAnsi="Times New Roman"/>
          <w:i/>
          <w:sz w:val="22"/>
        </w:rPr>
        <w:t>value-if-true</w:t>
      </w:r>
      <w:r>
        <w:rPr>
          <w:sz w:val="22"/>
        </w:rPr>
        <w:t>, if </w:t>
      </w:r>
      <w:r>
        <w:rPr>
          <w:rFonts w:ascii="Times New Roman" w:hAnsi="Times New Roman"/>
          <w:i/>
          <w:sz w:val="22"/>
        </w:rPr>
        <w:t>logical-value </w:t>
      </w:r>
      <w:r>
        <w:rPr>
          <w:sz w:val="22"/>
        </w:rPr>
        <w:t>is </w:t>
      </w:r>
      <w:r>
        <w:rPr>
          <w:rFonts w:ascii="Consolas" w:hAnsi="Consolas"/>
          <w:sz w:val="22"/>
        </w:rPr>
        <w:t>TRUE</w:t>
      </w:r>
      <w:r>
        <w:rPr>
          <w:sz w:val="22"/>
        </w:rPr>
        <w:t>; otherwise, </w:t>
      </w:r>
      <w:r>
        <w:rPr>
          <w:rFonts w:ascii="Times New Roman" w:hAnsi="Times New Roman"/>
          <w:i/>
          <w:sz w:val="22"/>
        </w:rPr>
        <w:t>value-if-false</w:t>
      </w:r>
      <w:r>
        <w:rPr>
          <w:sz w:val="22"/>
        </w:rPr>
        <w:t>. [</w:t>
      </w:r>
      <w:r>
        <w:rPr>
          <w:i/>
          <w:sz w:val="22"/>
        </w:rPr>
        <w:t>Example</w:t>
      </w:r>
      <w:r>
        <w:rPr>
          <w:sz w:val="22"/>
        </w:rPr>
        <w:t>:</w:t>
      </w:r>
    </w:p>
    <w:p>
      <w:pPr>
        <w:pStyle w:val="BodyText"/>
        <w:spacing w:line="276" w:lineRule="auto" w:before="108"/>
        <w:ind w:left="220" w:right="6879"/>
        <w:rPr>
          <w:rFonts w:ascii="Consolas"/>
        </w:rPr>
      </w:pPr>
      <w:r>
        <w:rPr>
          <w:rFonts w:ascii="Consolas"/>
        </w:rPr>
        <w:t>IF(10&gt;5,"Yes","No")</w:t>
      </w:r>
      <w:r>
        <w:rPr>
          <w:rFonts w:ascii="Consolas"/>
          <w:spacing w:val="-85"/>
        </w:rPr>
        <w:t> </w:t>
      </w:r>
      <w:r>
        <w:rPr/>
        <w:t>results in </w:t>
      </w:r>
      <w:r>
        <w:rPr>
          <w:rFonts w:ascii="Consolas"/>
        </w:rPr>
        <w:t>Yes IF(10&gt;5,"Yes") </w:t>
      </w:r>
      <w:r>
        <w:rPr/>
        <w:t>results in </w:t>
      </w:r>
      <w:r>
        <w:rPr>
          <w:rFonts w:ascii="Consolas"/>
        </w:rPr>
        <w:t>Yes IF(10&gt;5,"Yes",) </w:t>
      </w:r>
      <w:r>
        <w:rPr/>
        <w:t>results in </w:t>
      </w:r>
      <w:r>
        <w:rPr>
          <w:rFonts w:ascii="Consolas"/>
        </w:rPr>
        <w:t>Yes IF(10&lt;5,"Yes") </w:t>
      </w:r>
      <w:r>
        <w:rPr/>
        <w:t>results in </w:t>
      </w:r>
      <w:r>
        <w:rPr>
          <w:rFonts w:ascii="Consolas"/>
        </w:rPr>
        <w:t>FALSE IF(10&lt;5,"Yes",)</w:t>
      </w:r>
      <w:r>
        <w:rPr>
          <w:rFonts w:ascii="Consolas"/>
          <w:spacing w:val="-71"/>
        </w:rPr>
        <w:t> </w:t>
      </w:r>
      <w:r>
        <w:rPr/>
        <w:t>results in </w:t>
      </w:r>
      <w:r>
        <w:rPr>
          <w:rFonts w:ascii="Consolas"/>
        </w:rPr>
        <w:t>0</w:t>
      </w:r>
    </w:p>
    <w:p>
      <w:pPr>
        <w:pStyle w:val="BodyText"/>
        <w:spacing w:before="2"/>
        <w:rPr>
          <w:rFonts w:ascii="Consolas"/>
          <w:sz w:val="17"/>
        </w:rPr>
      </w:pPr>
    </w:p>
    <w:p>
      <w:pPr>
        <w:pStyle w:val="BodyText"/>
        <w:spacing w:line="276" w:lineRule="auto"/>
        <w:ind w:left="220" w:right="7117"/>
        <w:rPr>
          <w:rFonts w:ascii="Consolas"/>
        </w:rPr>
      </w:pPr>
      <w:r>
        <w:rPr>
          <w:rFonts w:ascii="Consolas"/>
        </w:rPr>
        <w:t>IF(10&gt;5,,"No") </w:t>
      </w:r>
      <w:r>
        <w:rPr/>
        <w:t>results in </w:t>
      </w:r>
      <w:r>
        <w:rPr>
          <w:rFonts w:ascii="Consolas"/>
        </w:rPr>
        <w:t>0 IF(10&gt;5,,) </w:t>
      </w:r>
      <w:r>
        <w:rPr/>
        <w:t>results in </w:t>
      </w:r>
      <w:r>
        <w:rPr>
          <w:rFonts w:ascii="Consolas"/>
        </w:rPr>
        <w:t>0 IF(10&gt;5,"Yes",20)</w:t>
      </w:r>
      <w:r>
        <w:rPr>
          <w:rFonts w:ascii="Consolas"/>
          <w:spacing w:val="-81"/>
        </w:rPr>
        <w:t> </w:t>
      </w:r>
      <w:r>
        <w:rPr/>
        <w:t>results in </w:t>
      </w:r>
      <w:r>
        <w:rPr>
          <w:rFonts w:ascii="Consolas"/>
        </w:rPr>
        <w:t>Yes IF(10&lt;5,"Yes",20)</w:t>
      </w:r>
      <w:r>
        <w:rPr>
          <w:rFonts w:ascii="Consolas"/>
          <w:spacing w:val="-77"/>
        </w:rPr>
        <w:t> </w:t>
      </w:r>
      <w:r>
        <w:rPr/>
        <w:t>results in </w:t>
      </w:r>
      <w:r>
        <w:rPr>
          <w:rFonts w:ascii="Consolas"/>
        </w:rPr>
        <w:t>20</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48 IFERROR" w:id="1836"/>
      <w:bookmarkEnd w:id="1836"/>
      <w:r>
        <w:rPr/>
      </w:r>
      <w:bookmarkStart w:name="_bookmark611" w:id="1837"/>
      <w:bookmarkEnd w:id="1837"/>
      <w:r>
        <w:rPr/>
      </w:r>
      <w:bookmarkStart w:name="_bookmark611" w:id="1838"/>
      <w:bookmarkEnd w:id="1838"/>
      <w:r>
        <w:rPr>
          <w:color w:val="4F81BC"/>
        </w:rPr>
        <w:t>I</w:t>
      </w:r>
      <w:r>
        <w:rPr>
          <w:color w:val="4F81BC"/>
        </w:rPr>
        <w:t>FERROR</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IFERROR ( </w:t>
      </w:r>
      <w:r>
        <w:rPr>
          <w:i/>
          <w:sz w:val="22"/>
        </w:rPr>
        <w:t>value </w:t>
      </w:r>
      <w:r>
        <w:rPr>
          <w:rFonts w:ascii="Lucida Console"/>
          <w:sz w:val="20"/>
        </w:rPr>
        <w:t>, </w:t>
      </w:r>
      <w:r>
        <w:rPr>
          <w:i/>
          <w:sz w:val="22"/>
        </w:rPr>
        <w:t>value-if-error </w:t>
      </w:r>
      <w:r>
        <w:rPr>
          <w:rFonts w:ascii="Lucida Console"/>
          <w:sz w:val="20"/>
        </w:rPr>
        <w:t>)</w:t>
      </w:r>
    </w:p>
    <w:p>
      <w:pPr>
        <w:pStyle w:val="BodyText"/>
        <w:spacing w:line="278" w:lineRule="auto" w:before="106"/>
        <w:ind w:left="220" w:right="473"/>
      </w:pPr>
      <w:r>
        <w:rPr>
          <w:b/>
        </w:rPr>
        <w:t>Description</w:t>
      </w:r>
      <w:r>
        <w:rPr/>
        <w:t>: Provides a simpler and more efficient way of trapping and handling errors. It allows the generation of user-defined error text for a function call that can result in an error.</w:t>
      </w:r>
    </w:p>
    <w:p>
      <w:pPr>
        <w:pStyle w:val="BodyText"/>
        <w:spacing w:before="2"/>
        <w:rPr>
          <w:sz w:val="16"/>
        </w:rPr>
      </w:pPr>
    </w:p>
    <w:p>
      <w:pPr>
        <w:pStyle w:val="Heading4"/>
        <w:spacing w:before="1"/>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4" w:right="86"/>
              <w:jc w:val="center"/>
              <w:rPr>
                <w:b/>
                <w:sz w:val="22"/>
              </w:rPr>
            </w:pPr>
            <w:r>
              <w:rPr>
                <w:b/>
                <w:sz w:val="22"/>
              </w:rPr>
              <w:t>Description</w:t>
            </w:r>
          </w:p>
        </w:tc>
      </w:tr>
      <w:tr>
        <w:trPr>
          <w:trHeight w:val="623" w:hRule="atLeast"/>
        </w:trPr>
        <w:tc>
          <w:tcPr>
            <w:tcW w:w="1466" w:type="dxa"/>
          </w:tcPr>
          <w:p>
            <w:pPr>
              <w:pStyle w:val="TableParagraph"/>
              <w:spacing w:before="36"/>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461"/>
              <w:rPr>
                <w:sz w:val="22"/>
              </w:rPr>
            </w:pPr>
            <w:r>
              <w:rPr>
                <w:sz w:val="22"/>
              </w:rPr>
              <w:t>The value that is checked for an error (i.e., any of the following: </w:t>
            </w:r>
            <w:r>
              <w:rPr>
                <w:rFonts w:ascii="Consolas"/>
                <w:sz w:val="22"/>
              </w:rPr>
              <w:t>#N/A</w:t>
            </w:r>
            <w:r>
              <w:rPr>
                <w:sz w:val="22"/>
              </w:rPr>
              <w:t>, </w:t>
            </w:r>
            <w:r>
              <w:rPr>
                <w:rFonts w:ascii="Consolas"/>
                <w:sz w:val="22"/>
              </w:rPr>
              <w:t>#VALUE!</w:t>
            </w:r>
            <w:r>
              <w:rPr>
                <w:sz w:val="22"/>
              </w:rPr>
              <w:t>, </w:t>
            </w:r>
            <w:r>
              <w:rPr>
                <w:rFonts w:ascii="Consolas"/>
                <w:sz w:val="22"/>
              </w:rPr>
              <w:t>#REF!</w:t>
            </w:r>
            <w:r>
              <w:rPr>
                <w:sz w:val="22"/>
              </w:rPr>
              <w:t>, </w:t>
            </w:r>
            <w:r>
              <w:rPr>
                <w:rFonts w:ascii="Consolas"/>
                <w:sz w:val="22"/>
              </w:rPr>
              <w:t>#DIV/0!</w:t>
            </w:r>
            <w:r>
              <w:rPr>
                <w:sz w:val="22"/>
              </w:rPr>
              <w:t>, </w:t>
            </w:r>
            <w:r>
              <w:rPr>
                <w:rFonts w:ascii="Consolas"/>
                <w:sz w:val="22"/>
              </w:rPr>
              <w:t>#NUM!</w:t>
            </w:r>
            <w:r>
              <w:rPr>
                <w:sz w:val="22"/>
              </w:rPr>
              <w:t>,</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4"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783"/>
              <w:rPr>
                <w:sz w:val="22"/>
              </w:rPr>
            </w:pPr>
            <w:r>
              <w:rPr>
                <w:rFonts w:ascii="Consolas"/>
                <w:sz w:val="22"/>
              </w:rPr>
              <w:t>#NAME?</w:t>
            </w:r>
            <w:r>
              <w:rPr>
                <w:sz w:val="22"/>
              </w:rPr>
              <w:t>, or </w:t>
            </w:r>
            <w:r>
              <w:rPr>
                <w:rFonts w:ascii="Consolas"/>
                <w:sz w:val="22"/>
              </w:rPr>
              <w:t>#NULL!</w:t>
            </w:r>
            <w:r>
              <w:rPr>
                <w:sz w:val="22"/>
              </w:rPr>
              <w:t>). If </w:t>
            </w:r>
            <w:r>
              <w:rPr>
                <w:rFonts w:ascii="Times New Roman"/>
                <w:i/>
                <w:sz w:val="22"/>
              </w:rPr>
              <w:t>value </w:t>
            </w:r>
            <w:r>
              <w:rPr>
                <w:sz w:val="22"/>
              </w:rPr>
              <w:t>is an empty cell, it is treated as an empty string.</w:t>
            </w:r>
          </w:p>
        </w:tc>
      </w:tr>
      <w:tr>
        <w:trPr>
          <w:trHeight w:val="623" w:hRule="atLeast"/>
        </w:trPr>
        <w:tc>
          <w:tcPr>
            <w:tcW w:w="1466" w:type="dxa"/>
          </w:tcPr>
          <w:p>
            <w:pPr>
              <w:pStyle w:val="TableParagraph"/>
              <w:spacing w:before="37"/>
              <w:ind w:left="96" w:right="108"/>
              <w:jc w:val="center"/>
              <w:rPr>
                <w:rFonts w:ascii="Times New Roman"/>
                <w:i/>
                <w:sz w:val="22"/>
              </w:rPr>
            </w:pPr>
            <w:r>
              <w:rPr>
                <w:rFonts w:ascii="Times New Roman"/>
                <w:i/>
                <w:sz w:val="22"/>
              </w:rPr>
              <w:t>value-if-error</w:t>
            </w:r>
          </w:p>
        </w:tc>
        <w:tc>
          <w:tcPr>
            <w:tcW w:w="1800" w:type="dxa"/>
          </w:tcPr>
          <w:p>
            <w:pPr>
              <w:pStyle w:val="TableParagraph"/>
              <w:ind w:left="112"/>
              <w:rPr>
                <w:sz w:val="22"/>
              </w:rPr>
            </w:pPr>
            <w:r>
              <w:rPr>
                <w:sz w:val="22"/>
              </w:rPr>
              <w:t>any</w:t>
            </w:r>
          </w:p>
        </w:tc>
        <w:tc>
          <w:tcPr>
            <w:tcW w:w="5400" w:type="dxa"/>
          </w:tcPr>
          <w:p>
            <w:pPr>
              <w:pStyle w:val="TableParagraph"/>
              <w:ind w:left="113" w:right="111"/>
              <w:rPr>
                <w:sz w:val="22"/>
              </w:rPr>
            </w:pPr>
            <w:r>
              <w:rPr>
                <w:sz w:val="22"/>
              </w:rPr>
              <w:t>The value to return if </w:t>
            </w:r>
            <w:r>
              <w:rPr>
                <w:rFonts w:ascii="Times New Roman"/>
                <w:i/>
                <w:sz w:val="22"/>
              </w:rPr>
              <w:t>value </w:t>
            </w:r>
            <w:r>
              <w:rPr>
                <w:sz w:val="22"/>
              </w:rPr>
              <w:t>evaluates to an error. If </w:t>
            </w:r>
            <w:r>
              <w:rPr>
                <w:rFonts w:ascii="Times New Roman"/>
                <w:i/>
                <w:sz w:val="22"/>
              </w:rPr>
              <w:t>value- </w:t>
            </w:r>
            <w:r>
              <w:rPr>
                <w:rFonts w:ascii="Times New Roman"/>
                <w:i/>
                <w:sz w:val="22"/>
              </w:rPr>
              <w:t>if-error </w:t>
            </w:r>
            <w:r>
              <w:rPr>
                <w:sz w:val="22"/>
              </w:rPr>
              <w:t>is an empty cell, it is treated as an empty string.</w:t>
            </w:r>
          </w:p>
        </w:tc>
      </w:tr>
    </w:tbl>
    <w:p>
      <w:pPr>
        <w:pStyle w:val="BodyText"/>
        <w:rPr>
          <w:sz w:val="20"/>
        </w:rPr>
      </w:pPr>
    </w:p>
    <w:p>
      <w:pPr>
        <w:pStyle w:val="BodyText"/>
        <w:spacing w:before="5"/>
        <w:rPr>
          <w:sz w:val="21"/>
        </w:rPr>
      </w:pPr>
    </w:p>
    <w:p>
      <w:pPr>
        <w:spacing w:line="276" w:lineRule="auto" w:before="0"/>
        <w:ind w:left="220" w:right="503" w:firstLine="0"/>
        <w:jc w:val="left"/>
        <w:rPr>
          <w:sz w:val="22"/>
        </w:rPr>
      </w:pPr>
      <w:r>
        <w:rPr>
          <w:b/>
          <w:sz w:val="22"/>
        </w:rPr>
        <w:t>Return Type and Value</w:t>
      </w:r>
      <w:r>
        <w:rPr>
          <w:sz w:val="22"/>
        </w:rPr>
        <w:t>: any – </w:t>
      </w:r>
      <w:r>
        <w:rPr>
          <w:rFonts w:ascii="Times New Roman" w:hAnsi="Times New Roman"/>
          <w:i/>
          <w:sz w:val="22"/>
        </w:rPr>
        <w:t>value</w:t>
      </w:r>
      <w:r>
        <w:rPr>
          <w:sz w:val="22"/>
        </w:rPr>
        <w:t>, if </w:t>
      </w:r>
      <w:r>
        <w:rPr>
          <w:rFonts w:ascii="Times New Roman" w:hAnsi="Times New Roman"/>
          <w:i/>
          <w:sz w:val="22"/>
        </w:rPr>
        <w:t>value </w:t>
      </w:r>
      <w:r>
        <w:rPr>
          <w:sz w:val="22"/>
        </w:rPr>
        <w:t>is not an error; otherwise, </w:t>
      </w:r>
      <w:r>
        <w:rPr>
          <w:rFonts w:ascii="Times New Roman" w:hAnsi="Times New Roman"/>
          <w:i/>
          <w:sz w:val="22"/>
        </w:rPr>
        <w:t>value-if-error</w:t>
      </w:r>
      <w:r>
        <w:rPr>
          <w:sz w:val="22"/>
        </w:rPr>
        <w:t>. If </w:t>
      </w:r>
      <w:r>
        <w:rPr>
          <w:rFonts w:ascii="Times New Roman" w:hAnsi="Times New Roman"/>
          <w:i/>
          <w:sz w:val="22"/>
        </w:rPr>
        <w:t>value </w:t>
      </w:r>
      <w:r>
        <w:rPr>
          <w:sz w:val="22"/>
        </w:rPr>
        <w:t>is an array formula, an array of results for each cell in the range specified in value, is returned.</w:t>
      </w:r>
    </w:p>
    <w:p>
      <w:pPr>
        <w:pStyle w:val="BodyText"/>
        <w:spacing w:before="3"/>
        <w:rPr>
          <w:sz w:val="16"/>
        </w:rPr>
      </w:pPr>
    </w:p>
    <w:p>
      <w:pPr>
        <w:pStyle w:val="BodyText"/>
        <w:ind w:left="220"/>
      </w:pPr>
      <w:r>
        <w:rPr/>
        <w:t>[</w:t>
      </w:r>
      <w:r>
        <w:rPr>
          <w:i/>
        </w:rPr>
        <w:t>Example</w:t>
      </w:r>
      <w:r>
        <w:rPr/>
        <w:t>: Consider the case in which </w:t>
      </w:r>
      <w:r>
        <w:rPr>
          <w:rFonts w:ascii="Consolas"/>
        </w:rPr>
        <w:t>A3</w:t>
      </w:r>
      <w:r>
        <w:rPr>
          <w:rFonts w:ascii="Consolas"/>
          <w:spacing w:val="-70"/>
        </w:rPr>
        <w:t> </w:t>
      </w:r>
      <w:r>
        <w:rPr/>
        <w:t>contains 55, and </w:t>
      </w:r>
      <w:r>
        <w:rPr>
          <w:rFonts w:ascii="Consolas"/>
        </w:rPr>
        <w:t>B3</w:t>
      </w:r>
      <w:r>
        <w:rPr>
          <w:rFonts w:ascii="Consolas"/>
          <w:spacing w:val="-72"/>
        </w:rPr>
        <w:t> </w:t>
      </w:r>
      <w:r>
        <w:rPr/>
        <w:t>contains 0:</w:t>
      </w:r>
    </w:p>
    <w:p>
      <w:pPr>
        <w:pStyle w:val="BodyText"/>
        <w:spacing w:before="12"/>
        <w:rPr>
          <w:sz w:val="28"/>
        </w:rPr>
      </w:pPr>
    </w:p>
    <w:p>
      <w:pPr>
        <w:pStyle w:val="BodyText"/>
        <w:ind w:left="220"/>
        <w:rPr>
          <w:rFonts w:ascii="Consolas"/>
        </w:rPr>
      </w:pPr>
      <w:r>
        <w:rPr>
          <w:rFonts w:ascii="Consolas"/>
        </w:rPr>
        <w:t>A3/B3</w:t>
      </w:r>
      <w:r>
        <w:rPr>
          <w:rFonts w:ascii="Consolas"/>
          <w:spacing w:val="-74"/>
        </w:rPr>
        <w:t> </w:t>
      </w:r>
      <w:r>
        <w:rPr/>
        <w:t>results in </w:t>
      </w:r>
      <w:r>
        <w:rPr>
          <w:rFonts w:ascii="Consolas"/>
        </w:rPr>
        <w:t>#DIV/0</w:t>
      </w:r>
    </w:p>
    <w:p>
      <w:pPr>
        <w:pStyle w:val="BodyText"/>
        <w:spacing w:before="3"/>
        <w:rPr>
          <w:rFonts w:ascii="Consolas"/>
          <w:sz w:val="20"/>
        </w:rPr>
      </w:pPr>
    </w:p>
    <w:p>
      <w:pPr>
        <w:pStyle w:val="BodyText"/>
        <w:ind w:left="220"/>
        <w:rPr>
          <w:rFonts w:ascii="Consolas"/>
        </w:rPr>
      </w:pPr>
      <w:r>
        <w:rPr>
          <w:rFonts w:ascii="Consolas"/>
        </w:rPr>
        <w:t>IFERROR(A3/B3,"Error in calculation") </w:t>
      </w:r>
      <w:r>
        <w:rPr/>
        <w:t>results in </w:t>
      </w:r>
      <w:r>
        <w:rPr>
          <w:rFonts w:ascii="Consolas"/>
        </w:rPr>
        <w:t>Error in</w:t>
      </w:r>
      <w:r>
        <w:rPr>
          <w:rFonts w:ascii="Consolas"/>
          <w:spacing w:val="-76"/>
        </w:rPr>
        <w:t> </w:t>
      </w:r>
      <w:r>
        <w:rPr>
          <w:rFonts w:ascii="Consolas"/>
        </w:rPr>
        <w:t>calculation</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49 IMABS" w:id="1839"/>
      <w:bookmarkEnd w:id="1839"/>
      <w:r>
        <w:rPr/>
      </w:r>
      <w:bookmarkStart w:name="_bookmark612" w:id="1840"/>
      <w:bookmarkEnd w:id="1840"/>
      <w:r>
        <w:rPr/>
      </w:r>
      <w:bookmarkStart w:name="_bookmark612" w:id="1841"/>
      <w:bookmarkEnd w:id="1841"/>
      <w:r>
        <w:rPr>
          <w:color w:val="4F81BC"/>
        </w:rPr>
        <w:t>I</w:t>
      </w:r>
      <w:r>
        <w:rPr>
          <w:color w:val="4F81BC"/>
        </w:rPr>
        <w:t>MABS</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IMABS ( </w:t>
      </w:r>
      <w:r>
        <w:rPr>
          <w:i/>
          <w:sz w:val="22"/>
        </w:rPr>
        <w:t>complex-number </w:t>
      </w:r>
      <w:r>
        <w:rPr>
          <w:rFonts w:ascii="Lucida Console"/>
          <w:sz w:val="20"/>
        </w:rPr>
        <w:t>)</w:t>
      </w:r>
    </w:p>
    <w:p>
      <w:pPr>
        <w:spacing w:before="108"/>
        <w:ind w:left="220" w:right="0" w:firstLine="0"/>
        <w:jc w:val="left"/>
        <w:rPr>
          <w:sz w:val="22"/>
        </w:rPr>
      </w:pPr>
      <w:r>
        <w:rPr>
          <w:b/>
          <w:sz w:val="22"/>
        </w:rPr>
        <w:t>Description: </w:t>
      </w:r>
      <w:r>
        <w:rPr>
          <w:sz w:val="22"/>
        </w:rPr>
        <w:t>Computes the absolute value of </w:t>
      </w:r>
      <w:r>
        <w:rPr>
          <w:rFonts w:ascii="Times New Roman"/>
          <w:i/>
          <w:sz w:val="22"/>
        </w:rPr>
        <w:t>complex-number</w:t>
      </w:r>
      <w:r>
        <w:rPr>
          <w:sz w:val="22"/>
        </w:rPr>
        <w:t>.</w:t>
      </w:r>
    </w:p>
    <w:p>
      <w:pPr>
        <w:pStyle w:val="BodyText"/>
        <w:spacing w:before="9"/>
        <w:rPr>
          <w:sz w:val="19"/>
        </w:rPr>
      </w:pPr>
    </w:p>
    <w:p>
      <w:pPr>
        <w:pStyle w:val="Heading4"/>
        <w:rPr>
          <w:b w:val="0"/>
        </w:rPr>
      </w:pPr>
      <w:r>
        <w:rPr/>
        <w:t>Mathematical Formula</w:t>
      </w:r>
      <w:r>
        <w:rPr>
          <w:b w:val="0"/>
        </w:rPr>
        <w:t>:</w:t>
      </w:r>
    </w:p>
    <w:p>
      <w:pPr>
        <w:pStyle w:val="BodyText"/>
        <w:spacing w:before="2"/>
        <w:rPr>
          <w:sz w:val="20"/>
        </w:rPr>
      </w:pPr>
      <w:r>
        <w:rPr/>
        <w:pict>
          <v:line style="position:absolute;mso-position-horizontal-relative:page;mso-position-vertical-relative:paragraph;z-index:-251539456;mso-wrap-distance-left:0;mso-wrap-distance-right:0" from="156.5pt,14.703594pt" to="192.98pt,14.703594pt" stroked="true" strokeweight=".72pt" strokecolor="#000000">
            <v:stroke dashstyle="solid"/>
            <w10:wrap type="topAndBottom"/>
          </v:line>
        </w:pict>
      </w:r>
    </w:p>
    <w:p>
      <w:pPr>
        <w:pStyle w:val="BodyText"/>
        <w:ind w:left="220"/>
        <w:rPr>
          <w:rFonts w:ascii="Cambria Math" w:hAnsi="Cambria Math" w:eastAsia="Cambria Math"/>
          <w:sz w:val="16"/>
        </w:rPr>
      </w:pPr>
      <w:r>
        <w:rPr>
          <w:rFonts w:ascii="Cambria Math" w:hAnsi="Cambria Math" w:eastAsia="Cambria Math"/>
        </w:rPr>
        <w:t>𝐼𝑀𝐴𝐵𝑆</w:t>
      </w:r>
      <w:r>
        <w:rPr>
          <w:rFonts w:ascii="Cambria Math" w:hAnsi="Cambria Math" w:eastAsia="Cambria Math"/>
          <w:position w:val="1"/>
        </w:rPr>
        <w:t>(</w:t>
      </w:r>
      <w:r>
        <w:rPr>
          <w:rFonts w:ascii="Cambria Math" w:hAnsi="Cambria Math" w:eastAsia="Cambria Math"/>
        </w:rPr>
        <w:t>𝑧</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𝑧</w:t>
      </w:r>
      <w:r>
        <w:rPr>
          <w:rFonts w:ascii="Cambria Math" w:hAnsi="Cambria Math" w:eastAsia="Cambria Math"/>
          <w:position w:val="1"/>
        </w:rPr>
        <w:t>| </w:t>
      </w:r>
      <w:r>
        <w:rPr>
          <w:rFonts w:ascii="Cambria Math" w:hAnsi="Cambria Math" w:eastAsia="Cambria Math"/>
        </w:rPr>
        <w:t>= √𝑥</w:t>
      </w:r>
      <w:r>
        <w:rPr>
          <w:rFonts w:ascii="Cambria Math" w:hAnsi="Cambria Math" w:eastAsia="Cambria Math"/>
          <w:position w:val="7"/>
          <w:sz w:val="16"/>
        </w:rPr>
        <w:t>2 </w:t>
      </w:r>
      <w:r>
        <w:rPr>
          <w:rFonts w:ascii="Cambria Math" w:hAnsi="Cambria Math" w:eastAsia="Cambria Math"/>
        </w:rPr>
        <w:t>+ 𝑦</w:t>
      </w:r>
      <w:r>
        <w:rPr>
          <w:rFonts w:ascii="Cambria Math" w:hAnsi="Cambria Math" w:eastAsia="Cambria Math"/>
          <w:position w:val="7"/>
          <w:sz w:val="16"/>
        </w:rPr>
        <w:t>2</w:t>
      </w:r>
    </w:p>
    <w:p>
      <w:pPr>
        <w:pStyle w:val="BodyText"/>
        <w:spacing w:before="1"/>
        <w:rPr>
          <w:rFonts w:ascii="Cambria Math"/>
          <w:sz w:val="16"/>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z = argument </w:t>
      </w:r>
      <w:r>
        <w:rPr>
          <w:rFonts w:ascii="Times New Roman" w:hAnsi="Times New Roman"/>
          <w:i/>
          <w:sz w:val="22"/>
        </w:rPr>
        <w:t>complex-number</w:t>
      </w:r>
      <w:r>
        <w:rPr>
          <w:sz w:val="22"/>
        </w:rPr>
        <w:t>, expressed in the form x +</w:t>
      </w:r>
      <w:r>
        <w:rPr>
          <w:spacing w:val="-9"/>
          <w:sz w:val="22"/>
        </w:rPr>
        <w:t> </w:t>
      </w:r>
      <w:r>
        <w:rPr>
          <w:sz w:val="22"/>
        </w:rPr>
        <w:t>yi</w:t>
      </w:r>
    </w:p>
    <w:p>
      <w:pPr>
        <w:pStyle w:val="Heading4"/>
        <w:spacing w:before="243"/>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3"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515"/>
              <w:rPr>
                <w:sz w:val="22"/>
              </w:rPr>
            </w:pPr>
            <w:r>
              <w:rPr>
                <w:sz w:val="22"/>
              </w:rPr>
              <w:t>The complex number for which the absolute value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7"/>
        <w:rPr>
          <w:b/>
          <w:sz w:val="19"/>
        </w:rPr>
      </w:pPr>
    </w:p>
    <w:p>
      <w:pPr>
        <w:spacing w:line="453" w:lineRule="auto" w:before="0"/>
        <w:ind w:left="220" w:right="3828" w:firstLine="0"/>
        <w:jc w:val="left"/>
        <w:rPr>
          <w:sz w:val="22"/>
        </w:rPr>
      </w:pPr>
      <w:r>
        <w:rPr>
          <w:b/>
          <w:sz w:val="22"/>
        </w:rPr>
        <w:t>Return Type and Value: </w:t>
      </w:r>
      <w:r>
        <w:rPr>
          <w:sz w:val="22"/>
        </w:rPr>
        <w:t>number – The absolute value of </w:t>
      </w:r>
      <w:r>
        <w:rPr>
          <w:rFonts w:ascii="Times New Roman" w:hAnsi="Times New Roman"/>
          <w:i/>
          <w:sz w:val="22"/>
        </w:rPr>
        <w:t>complex-number</w:t>
      </w:r>
      <w:r>
        <w:rPr>
          <w:sz w:val="22"/>
        </w:rPr>
        <w:t>. However, if </w:t>
      </w:r>
      <w:r>
        <w:rPr>
          <w:rFonts w:ascii="Times New Roman" w:hAnsi="Times New Roman"/>
          <w:i/>
          <w:sz w:val="22"/>
        </w:rPr>
        <w:t>complex-number </w:t>
      </w:r>
      <w:r>
        <w:rPr>
          <w:sz w:val="22"/>
        </w:rPr>
        <w:t>is ill-formed, </w:t>
      </w:r>
      <w:r>
        <w:rPr>
          <w:rFonts w:ascii="Consolas" w:hAnsi="Consolas"/>
          <w:sz w:val="22"/>
        </w:rPr>
        <w:t>#NUM!</w:t>
      </w:r>
      <w:r>
        <w:rPr>
          <w:rFonts w:ascii="Consolas" w:hAnsi="Consolas"/>
          <w:spacing w:val="-79"/>
          <w:sz w:val="22"/>
        </w:rPr>
        <w:t> </w:t>
      </w:r>
      <w:r>
        <w:rPr>
          <w:sz w:val="22"/>
        </w:rPr>
        <w:t>is returned.</w:t>
      </w:r>
    </w:p>
    <w:p>
      <w:pPr>
        <w:spacing w:after="0" w:line="453"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IMABS("3+4i")</w:t>
      </w:r>
      <w:r>
        <w:rPr>
          <w:rFonts w:ascii="Consolas"/>
          <w:spacing w:val="-70"/>
        </w:rPr>
        <w:t> </w:t>
      </w:r>
      <w:r>
        <w:rPr/>
        <w:t>results in </w:t>
      </w:r>
      <w:r>
        <w:rPr>
          <w:rFonts w:ascii="Consolas"/>
        </w:rPr>
        <w:t>5</w:t>
      </w:r>
    </w:p>
    <w:p>
      <w:pPr>
        <w:pStyle w:val="BodyText"/>
        <w:spacing w:before="41"/>
        <w:ind w:left="220"/>
        <w:rPr>
          <w:rFonts w:ascii="Consolas"/>
        </w:rPr>
      </w:pPr>
      <w:r>
        <w:rPr>
          <w:rFonts w:ascii="Consolas"/>
        </w:rPr>
        <w:t>IMABS("-2.5-34.6j")</w:t>
      </w:r>
      <w:r>
        <w:rPr>
          <w:rFonts w:ascii="Consolas"/>
          <w:spacing w:val="-76"/>
        </w:rPr>
        <w:t> </w:t>
      </w:r>
      <w:r>
        <w:rPr/>
        <w:t>results in </w:t>
      </w:r>
      <w:r>
        <w:rPr>
          <w:rFonts w:ascii="Consolas"/>
        </w:rPr>
        <w:t>34.69020035</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0 IMAGINARY" w:id="1842"/>
      <w:bookmarkEnd w:id="1842"/>
      <w:r>
        <w:rPr/>
      </w:r>
      <w:bookmarkStart w:name="_bookmark613" w:id="1843"/>
      <w:bookmarkEnd w:id="1843"/>
      <w:r>
        <w:rPr/>
      </w:r>
      <w:bookmarkStart w:name="_bookmark613" w:id="1844"/>
      <w:bookmarkEnd w:id="1844"/>
      <w:r>
        <w:rPr>
          <w:color w:val="4F81BC"/>
        </w:rPr>
        <w:t>I</w:t>
      </w:r>
      <w:r>
        <w:rPr>
          <w:color w:val="4F81BC"/>
        </w:rPr>
        <w:t>MAGINARY</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IMAGINARY ( </w:t>
      </w:r>
      <w:r>
        <w:rPr>
          <w:i/>
          <w:sz w:val="22"/>
        </w:rPr>
        <w:t>complex-number </w:t>
      </w:r>
      <w:r>
        <w:rPr>
          <w:rFonts w:ascii="Lucida Console"/>
          <w:sz w:val="20"/>
        </w:rPr>
        <w:t>)</w:t>
      </w:r>
    </w:p>
    <w:p>
      <w:pPr>
        <w:spacing w:before="108"/>
        <w:ind w:left="220" w:right="0" w:firstLine="0"/>
        <w:jc w:val="left"/>
        <w:rPr>
          <w:sz w:val="22"/>
        </w:rPr>
      </w:pPr>
      <w:r>
        <w:rPr>
          <w:b/>
          <w:sz w:val="22"/>
        </w:rPr>
        <w:t>Description: </w:t>
      </w:r>
      <w:r>
        <w:rPr>
          <w:sz w:val="22"/>
        </w:rPr>
        <w:t>Computes the imaginary coefficient of </w:t>
      </w:r>
      <w:r>
        <w:rPr>
          <w:rFonts w:ascii="Times New Roman"/>
          <w:i/>
          <w:sz w:val="22"/>
        </w:rPr>
        <w:t>complex-number</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209"/>
              <w:rPr>
                <w:sz w:val="22"/>
              </w:rPr>
            </w:pPr>
            <w:r>
              <w:rPr>
                <w:sz w:val="22"/>
              </w:rPr>
              <w:t>The complex number for which the imaginary coefficient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w:t>
            </w:r>
            <w:r>
              <w:rPr>
                <w:spacing w:val="-1"/>
                <w:sz w:val="22"/>
              </w:rPr>
              <w:t> </w:t>
            </w:r>
            <w:r>
              <w:rPr>
                <w:sz w:val="22"/>
              </w:rPr>
              <w:t>format.</w:t>
            </w:r>
          </w:p>
        </w:tc>
      </w:tr>
    </w:tbl>
    <w:p>
      <w:pPr>
        <w:pStyle w:val="BodyText"/>
        <w:rPr>
          <w:b/>
        </w:rPr>
      </w:pPr>
    </w:p>
    <w:p>
      <w:pPr>
        <w:pStyle w:val="BodyText"/>
        <w:spacing w:before="7"/>
        <w:rPr>
          <w:b/>
          <w:sz w:val="19"/>
        </w:rPr>
      </w:pPr>
    </w:p>
    <w:p>
      <w:pPr>
        <w:spacing w:line="453" w:lineRule="auto" w:before="0"/>
        <w:ind w:left="220" w:right="3252" w:firstLine="0"/>
        <w:jc w:val="left"/>
        <w:rPr>
          <w:sz w:val="22"/>
        </w:rPr>
      </w:pPr>
      <w:r>
        <w:rPr>
          <w:b/>
          <w:sz w:val="22"/>
        </w:rPr>
        <w:t>Return Type and Value: </w:t>
      </w:r>
      <w:r>
        <w:rPr>
          <w:sz w:val="22"/>
        </w:rPr>
        <w:t>number – The imaginary coefficient of </w:t>
      </w:r>
      <w:r>
        <w:rPr>
          <w:rFonts w:ascii="Times New Roman" w:hAnsi="Times New Roman"/>
          <w:i/>
          <w:sz w:val="22"/>
        </w:rPr>
        <w:t>complex-number</w:t>
      </w:r>
      <w:r>
        <w:rPr>
          <w:sz w:val="22"/>
        </w:rPr>
        <w:t>. However, if </w:t>
      </w:r>
      <w:r>
        <w:rPr>
          <w:rFonts w:ascii="Times New Roman" w:hAnsi="Times New Roman"/>
          <w:i/>
          <w:sz w:val="22"/>
        </w:rPr>
        <w:t>complex-number </w:t>
      </w:r>
      <w:r>
        <w:rPr>
          <w:sz w:val="22"/>
        </w:rPr>
        <w:t>is ill-formed, </w:t>
      </w:r>
      <w:r>
        <w:rPr>
          <w:rFonts w:ascii="Consolas" w:hAnsi="Consolas"/>
          <w:sz w:val="22"/>
        </w:rPr>
        <w:t>#NUM!</w:t>
      </w:r>
      <w:r>
        <w:rPr>
          <w:rFonts w:ascii="Consolas" w:hAnsi="Consolas"/>
          <w:spacing w:val="-78"/>
          <w:sz w:val="22"/>
        </w:rPr>
        <w:t> </w:t>
      </w:r>
      <w:r>
        <w:rPr>
          <w:sz w:val="22"/>
        </w:rPr>
        <w:t>is returned.</w:t>
      </w:r>
    </w:p>
    <w:p>
      <w:pPr>
        <w:spacing w:before="1"/>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6277"/>
        <w:rPr>
          <w:rFonts w:ascii="Consolas"/>
        </w:rPr>
      </w:pPr>
      <w:r>
        <w:rPr>
          <w:rFonts w:ascii="Consolas"/>
        </w:rPr>
        <w:t>IMAGINARY("3+4i") </w:t>
      </w:r>
      <w:r>
        <w:rPr/>
        <w:t>results in </w:t>
      </w:r>
      <w:r>
        <w:rPr>
          <w:rFonts w:ascii="Consolas"/>
        </w:rPr>
        <w:t>4 IMAGINARY("-2.5-34.6j")</w:t>
      </w:r>
      <w:r>
        <w:rPr>
          <w:rFonts w:ascii="Consolas"/>
          <w:spacing w:val="-87"/>
        </w:rPr>
        <w:t> </w:t>
      </w:r>
      <w:r>
        <w:rPr/>
        <w:t>results in </w:t>
      </w:r>
      <w:r>
        <w:rPr>
          <w:rFonts w:ascii="Consolas"/>
        </w:rPr>
        <w:t>34.6</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1 IMARGUMENT" w:id="1845"/>
      <w:bookmarkEnd w:id="1845"/>
      <w:r>
        <w:rPr/>
      </w:r>
      <w:bookmarkStart w:name="_bookmark614" w:id="1846"/>
      <w:bookmarkEnd w:id="1846"/>
      <w:r>
        <w:rPr/>
      </w:r>
      <w:bookmarkStart w:name="_bookmark614" w:id="1847"/>
      <w:bookmarkEnd w:id="1847"/>
      <w:r>
        <w:rPr>
          <w:color w:val="4F81BC"/>
        </w:rPr>
        <w:t>I</w:t>
      </w:r>
      <w:r>
        <w:rPr>
          <w:color w:val="4F81BC"/>
        </w:rPr>
        <w:t>MARGUMENT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IMARGUMENT ( </w:t>
      </w:r>
      <w:r>
        <w:rPr>
          <w:i/>
          <w:sz w:val="22"/>
        </w:rPr>
        <w:t>complex-number </w:t>
      </w:r>
      <w:r>
        <w:rPr>
          <w:rFonts w:ascii="Lucida Console"/>
          <w:sz w:val="20"/>
        </w:rPr>
        <w:t>)</w:t>
      </w:r>
    </w:p>
    <w:p>
      <w:pPr>
        <w:spacing w:line="278" w:lineRule="auto" w:before="106"/>
        <w:ind w:left="220" w:right="382" w:firstLine="0"/>
        <w:jc w:val="left"/>
        <w:rPr>
          <w:sz w:val="22"/>
        </w:rPr>
      </w:pPr>
      <w:r>
        <w:rPr>
          <w:b/>
          <w:sz w:val="22"/>
        </w:rPr>
        <w:t>Description: </w:t>
      </w:r>
      <w:r>
        <w:rPr>
          <w:sz w:val="22"/>
        </w:rPr>
        <w:t>Computes the argument θ, an angle expressed in radians, such that for a complex number </w:t>
      </w:r>
      <w:r>
        <w:rPr>
          <w:rFonts w:ascii="Times New Roman" w:hAnsi="Times New Roman"/>
          <w:i/>
          <w:sz w:val="22"/>
        </w:rPr>
        <w:t>complex- </w:t>
      </w:r>
      <w:r>
        <w:rPr>
          <w:rFonts w:ascii="Times New Roman" w:hAnsi="Times New Roman"/>
          <w:i/>
          <w:sz w:val="22"/>
        </w:rPr>
        <w:t>number </w:t>
      </w:r>
      <w:r>
        <w:rPr>
          <w:sz w:val="22"/>
        </w:rPr>
        <w:t>having the form </w:t>
      </w:r>
      <w:r>
        <w:rPr>
          <w:i/>
          <w:sz w:val="22"/>
        </w:rPr>
        <w:t>x+yi</w:t>
      </w:r>
      <w:r>
        <w:rPr>
          <w:sz w:val="22"/>
        </w:rPr>
        <w:t>:</w:t>
      </w:r>
    </w:p>
    <w:p>
      <w:pPr>
        <w:pStyle w:val="BodyText"/>
        <w:spacing w:before="11"/>
        <w:rPr>
          <w:sz w:val="12"/>
        </w:rPr>
      </w:pPr>
      <w:r>
        <w:rPr/>
        <w:drawing>
          <wp:anchor distT="0" distB="0" distL="0" distR="0" allowOverlap="1" layoutInCell="1" locked="0" behindDoc="0" simplePos="0" relativeHeight="117">
            <wp:simplePos x="0" y="0"/>
            <wp:positionH relativeFrom="page">
              <wp:posOffset>685800</wp:posOffset>
            </wp:positionH>
            <wp:positionV relativeFrom="paragraph">
              <wp:posOffset>125329</wp:posOffset>
            </wp:positionV>
            <wp:extent cx="2569960" cy="174879"/>
            <wp:effectExtent l="0" t="0" r="0" b="0"/>
            <wp:wrapTopAndBottom/>
            <wp:docPr id="141" name="image70.png"/>
            <wp:cNvGraphicFramePr>
              <a:graphicFrameLocks noChangeAspect="1"/>
            </wp:cNvGraphicFramePr>
            <a:graphic>
              <a:graphicData uri="http://schemas.openxmlformats.org/drawingml/2006/picture">
                <pic:pic>
                  <pic:nvPicPr>
                    <pic:cNvPr id="142" name="image70.png"/>
                    <pic:cNvPicPr/>
                  </pic:nvPicPr>
                  <pic:blipFill>
                    <a:blip r:embed="rId242" cstate="print"/>
                    <a:stretch>
                      <a:fillRect/>
                    </a:stretch>
                  </pic:blipFill>
                  <pic:spPr>
                    <a:xfrm>
                      <a:off x="0" y="0"/>
                      <a:ext cx="2569960" cy="174879"/>
                    </a:xfrm>
                    <a:prstGeom prst="rect">
                      <a:avLst/>
                    </a:prstGeom>
                  </pic:spPr>
                </pic:pic>
              </a:graphicData>
            </a:graphic>
          </wp:anchor>
        </w:drawing>
      </w:r>
    </w:p>
    <w:p>
      <w:pPr>
        <w:pStyle w:val="BodyText"/>
        <w:spacing w:before="10"/>
        <w:rPr>
          <w:sz w:val="12"/>
        </w:rPr>
      </w:pPr>
    </w:p>
    <w:p>
      <w:pPr>
        <w:spacing w:after="0"/>
        <w:rPr>
          <w:sz w:val="12"/>
        </w:rPr>
        <w:sectPr>
          <w:pgSz w:w="12240" w:h="15840"/>
          <w:pgMar w:header="761" w:footer="746" w:top="1340" w:bottom="940" w:left="860" w:right="700"/>
        </w:sectPr>
      </w:pPr>
    </w:p>
    <w:p>
      <w:pPr>
        <w:pStyle w:val="Heading4"/>
        <w:spacing w:before="56"/>
        <w:rPr>
          <w:b w:val="0"/>
        </w:rPr>
      </w:pPr>
      <w:r>
        <w:rPr/>
        <w:t>Mathematical Formula</w:t>
      </w:r>
      <w:r>
        <w:rPr>
          <w:b w:val="0"/>
        </w:rPr>
        <w:t>:</w:t>
      </w:r>
    </w:p>
    <w:p>
      <w:pPr>
        <w:pStyle w:val="BodyText"/>
        <w:spacing w:before="4"/>
        <w:rPr>
          <w:sz w:val="26"/>
        </w:rPr>
      </w:pPr>
    </w:p>
    <w:p>
      <w:pPr>
        <w:pStyle w:val="BodyText"/>
        <w:spacing w:before="1"/>
        <w:ind w:left="220"/>
        <w:rPr>
          <w:rFonts w:ascii="Cambria Math" w:hAnsi="Cambria Math" w:eastAsia="Cambria Math"/>
        </w:rPr>
      </w:pPr>
      <w:r>
        <w:rPr>
          <w:rFonts w:ascii="Cambria Math" w:hAnsi="Cambria Math" w:eastAsia="Cambria Math"/>
        </w:rPr>
        <w:t>𝐼𝑀𝐴𝑅𝐺𝑈𝑀𝐸𝑁𝑇</w:t>
      </w:r>
      <w:r>
        <w:rPr>
          <w:rFonts w:ascii="Cambria Math" w:hAnsi="Cambria Math" w:eastAsia="Cambria Math"/>
          <w:position w:val="1"/>
        </w:rPr>
        <w:t>(</w:t>
      </w:r>
      <w:r>
        <w:rPr>
          <w:rFonts w:ascii="Cambria Math" w:hAnsi="Cambria Math" w:eastAsia="Cambria Math"/>
        </w:rPr>
        <w:t>𝑧</w:t>
      </w:r>
      <w:r>
        <w:rPr>
          <w:rFonts w:ascii="Cambria Math" w:hAnsi="Cambria Math" w:eastAsia="Cambria Math"/>
          <w:position w:val="1"/>
        </w:rPr>
        <w:t>) </w:t>
      </w:r>
      <w:r>
        <w:rPr>
          <w:rFonts w:ascii="Cambria Math" w:hAnsi="Cambria Math" w:eastAsia="Cambria Math"/>
        </w:rPr>
        <w:t>= tan</w:t>
      </w:r>
      <w:r>
        <w:rPr>
          <w:rFonts w:ascii="Cambria Math" w:hAnsi="Cambria Math" w:eastAsia="Cambria Math"/>
          <w:vertAlign w:val="superscript"/>
        </w:rPr>
        <w:t>−1</w:t>
      </w:r>
    </w:p>
    <w:p>
      <w:pPr>
        <w:pStyle w:val="BodyText"/>
        <w:rPr>
          <w:rFonts w:ascii="Cambria Math"/>
        </w:rPr>
      </w:pPr>
      <w:r>
        <w:rPr/>
        <w:br w:type="column"/>
      </w:r>
      <w:r>
        <w:rPr>
          <w:rFonts w:ascii="Cambria Math"/>
        </w:rPr>
      </w:r>
    </w:p>
    <w:p>
      <w:pPr>
        <w:pStyle w:val="BodyText"/>
        <w:spacing w:before="8"/>
        <w:rPr>
          <w:rFonts w:ascii="Cambria Math"/>
          <w:sz w:val="19"/>
        </w:rPr>
      </w:pPr>
    </w:p>
    <w:p>
      <w:pPr>
        <w:pStyle w:val="BodyText"/>
        <w:spacing w:line="213" w:lineRule="exact"/>
        <w:ind w:left="111"/>
        <w:rPr>
          <w:rFonts w:ascii="Cambria Math" w:eastAsia="Cambria Math"/>
        </w:rPr>
      </w:pPr>
      <w:r>
        <w:rPr>
          <w:rFonts w:ascii="Cambria Math" w:eastAsia="Cambria Math"/>
        </w:rPr>
        <w:t>𝑦</w:t>
      </w:r>
    </w:p>
    <w:p>
      <w:pPr>
        <w:pStyle w:val="BodyText"/>
        <w:spacing w:line="158" w:lineRule="exact"/>
        <w:ind w:left="3"/>
        <w:rPr>
          <w:rFonts w:ascii="Cambria Math" w:eastAsia="Cambria Math"/>
        </w:rPr>
      </w:pPr>
      <w:r>
        <w:rPr/>
        <w:pict>
          <v:rect style="position:absolute;margin-left:191.899994pt;margin-top:4.724180pt;width:6.36pt;height:.71997pt;mso-position-horizontal-relative:page;mso-position-vertical-relative:paragraph;z-index:-335861760" filled="true" fillcolor="#000000" stroked="false">
            <v:fill type="solid"/>
            <w10:wrap type="none"/>
          </v:rect>
        </w:pict>
      </w:r>
      <w:r>
        <w:rPr>
          <w:rFonts w:ascii="Cambria Math" w:eastAsia="Cambria Math"/>
          <w:w w:val="110"/>
        </w:rPr>
        <w:t>( ) = 𝜃</w:t>
      </w:r>
    </w:p>
    <w:p>
      <w:pPr>
        <w:pStyle w:val="BodyText"/>
        <w:spacing w:line="203" w:lineRule="exact"/>
        <w:ind w:left="111"/>
        <w:rPr>
          <w:rFonts w:ascii="Cambria Math" w:eastAsia="Cambria Math"/>
        </w:rPr>
      </w:pPr>
      <w:r>
        <w:rPr>
          <w:rFonts w:ascii="Cambria Math" w:eastAsia="Cambria Math"/>
        </w:rPr>
        <w:t>𝑥</w:t>
      </w:r>
    </w:p>
    <w:p>
      <w:pPr>
        <w:spacing w:after="0" w:line="203" w:lineRule="exact"/>
        <w:rPr>
          <w:rFonts w:ascii="Cambria Math" w:eastAsia="Cambria Math"/>
        </w:rPr>
        <w:sectPr>
          <w:type w:val="continuous"/>
          <w:pgSz w:w="12240" w:h="15840"/>
          <w:pgMar w:top="1340" w:bottom="940" w:left="860" w:right="700"/>
          <w:cols w:num="2" w:equalWidth="0">
            <w:col w:w="2827" w:space="40"/>
            <w:col w:w="7813"/>
          </w:cols>
        </w:sectPr>
      </w:pPr>
    </w:p>
    <w:p>
      <w:pPr>
        <w:pStyle w:val="BodyText"/>
        <w:spacing w:before="150"/>
        <w:ind w:left="220"/>
      </w:pPr>
      <w:r>
        <w:rPr/>
        <w:t>where:</w:t>
      </w:r>
    </w:p>
    <w:p>
      <w:pPr>
        <w:pStyle w:val="BodyText"/>
        <w:spacing w:before="9"/>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Cambria Math" w:hAnsi="Cambria Math" w:eastAsia="Cambria Math"/>
          <w:sz w:val="22"/>
        </w:rPr>
      </w:pPr>
      <w:r>
        <w:rPr>
          <w:rFonts w:ascii="Cambria Math" w:hAnsi="Cambria Math" w:eastAsia="Cambria Math"/>
          <w:sz w:val="22"/>
        </w:rPr>
        <w:t>𝜃 ∈ </w:t>
      </w:r>
      <w:r>
        <w:rPr>
          <w:rFonts w:ascii="Cambria Math" w:hAnsi="Cambria Math" w:eastAsia="Cambria Math"/>
          <w:position w:val="1"/>
          <w:sz w:val="22"/>
        </w:rPr>
        <w:t>(</w:t>
      </w:r>
      <w:r>
        <w:rPr>
          <w:rFonts w:ascii="Cambria Math" w:hAnsi="Cambria Math" w:eastAsia="Cambria Math"/>
          <w:sz w:val="22"/>
        </w:rPr>
        <w:t>−𝜋;</w:t>
      </w:r>
      <w:r>
        <w:rPr>
          <w:rFonts w:ascii="Cambria Math" w:hAnsi="Cambria Math" w:eastAsia="Cambria Math"/>
          <w:spacing w:val="-34"/>
          <w:sz w:val="22"/>
        </w:rPr>
        <w:t> </w:t>
      </w:r>
      <w:r>
        <w:rPr>
          <w:rFonts w:ascii="Cambria Math" w:hAnsi="Cambria Math" w:eastAsia="Cambria Math"/>
          <w:spacing w:val="2"/>
          <w:sz w:val="22"/>
        </w:rPr>
        <w:t>𝜋</w:t>
      </w:r>
      <w:r>
        <w:rPr>
          <w:rFonts w:ascii="Cambria Math" w:hAnsi="Cambria Math" w:eastAsia="Cambria Math"/>
          <w:spacing w:val="2"/>
          <w:position w:val="1"/>
          <w:sz w:val="22"/>
        </w:rPr>
        <w:t>]</w:t>
      </w:r>
    </w:p>
    <w:p>
      <w:pPr>
        <w:pStyle w:val="ListParagraph"/>
        <w:numPr>
          <w:ilvl w:val="4"/>
          <w:numId w:val="66"/>
        </w:numPr>
        <w:tabs>
          <w:tab w:pos="940" w:val="left" w:leader="none"/>
          <w:tab w:pos="941" w:val="left" w:leader="none"/>
        </w:tabs>
        <w:spacing w:line="240" w:lineRule="auto" w:before="37" w:after="0"/>
        <w:ind w:left="940" w:right="0" w:hanging="361"/>
        <w:jc w:val="left"/>
        <w:rPr>
          <w:sz w:val="22"/>
        </w:rPr>
      </w:pPr>
      <w:r>
        <w:rPr>
          <w:sz w:val="22"/>
        </w:rPr>
        <w:t>z = argument </w:t>
      </w:r>
      <w:r>
        <w:rPr>
          <w:rFonts w:ascii="Times New Roman" w:hAnsi="Times New Roman"/>
          <w:i/>
          <w:sz w:val="22"/>
        </w:rPr>
        <w:t>complex-number</w:t>
      </w:r>
      <w:r>
        <w:rPr>
          <w:sz w:val="22"/>
        </w:rPr>
        <w:t>, expressed in the form x +</w:t>
      </w:r>
      <w:r>
        <w:rPr>
          <w:spacing w:val="-9"/>
          <w:sz w:val="22"/>
        </w:rPr>
        <w:t> </w:t>
      </w:r>
      <w:r>
        <w:rPr>
          <w:sz w:val="22"/>
        </w:rPr>
        <w:t>yi</w:t>
      </w:r>
    </w:p>
    <w:p>
      <w:pPr>
        <w:pStyle w:val="Heading4"/>
        <w:spacing w:before="24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5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The complex number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7"/>
        <w:rPr>
          <w:b/>
          <w:sz w:val="19"/>
        </w:rPr>
      </w:pPr>
    </w:p>
    <w:p>
      <w:pPr>
        <w:spacing w:line="453" w:lineRule="auto" w:before="0"/>
        <w:ind w:left="220" w:right="4311" w:firstLine="0"/>
        <w:jc w:val="left"/>
        <w:rPr>
          <w:sz w:val="22"/>
        </w:rPr>
      </w:pPr>
      <w:r>
        <w:rPr>
          <w:b/>
          <w:sz w:val="22"/>
        </w:rPr>
        <w:t>Return Type and Value: </w:t>
      </w:r>
      <w:r>
        <w:rPr>
          <w:sz w:val="22"/>
        </w:rPr>
        <w:t>number – The angle θ, expressed in radians. However, if </w:t>
      </w:r>
      <w:r>
        <w:rPr>
          <w:rFonts w:ascii="Times New Roman" w:hAnsi="Times New Roman"/>
          <w:i/>
          <w:sz w:val="22"/>
        </w:rPr>
        <w:t>complex-number </w:t>
      </w:r>
      <w:r>
        <w:rPr>
          <w:sz w:val="22"/>
        </w:rPr>
        <w:t>is ill-formed, </w:t>
      </w:r>
      <w:r>
        <w:rPr>
          <w:rFonts w:ascii="Consolas" w:hAnsi="Consolas"/>
          <w:sz w:val="22"/>
        </w:rPr>
        <w:t>#NUM! </w:t>
      </w:r>
      <w:r>
        <w:rPr>
          <w:sz w:val="22"/>
        </w:rPr>
        <w:t>is returned. [</w:t>
      </w:r>
      <w:r>
        <w:rPr>
          <w:i/>
          <w:sz w:val="22"/>
        </w:rPr>
        <w:t>Example</w:t>
      </w:r>
      <w:r>
        <w:rPr>
          <w:sz w:val="22"/>
        </w:rPr>
        <w:t>:</w:t>
      </w:r>
    </w:p>
    <w:p>
      <w:pPr>
        <w:pStyle w:val="BodyText"/>
        <w:spacing w:line="273" w:lineRule="auto" w:before="113"/>
        <w:ind w:left="220" w:right="5482"/>
        <w:rPr>
          <w:rFonts w:ascii="Consolas"/>
        </w:rPr>
      </w:pPr>
      <w:r>
        <w:rPr>
          <w:rFonts w:ascii="Consolas"/>
        </w:rPr>
        <w:t>IMARGUMENT("13+4i") </w:t>
      </w:r>
      <w:r>
        <w:rPr/>
        <w:t>results in </w:t>
      </w:r>
      <w:r>
        <w:rPr>
          <w:rFonts w:ascii="Consolas"/>
        </w:rPr>
        <w:t>0.298498932 IMARGUMENT("-2.5-5j")</w:t>
      </w:r>
      <w:r>
        <w:rPr>
          <w:rFonts w:ascii="Consolas"/>
          <w:spacing w:val="-68"/>
        </w:rPr>
        <w:t> </w:t>
      </w:r>
      <w:r>
        <w:rPr/>
        <w:t>results in </w:t>
      </w:r>
      <w:r>
        <w:rPr>
          <w:rFonts w:ascii="Consolas"/>
        </w:rPr>
        <w:t>-2.034443936</w:t>
      </w:r>
    </w:p>
    <w:p>
      <w:pPr>
        <w:pStyle w:val="BodyText"/>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2 IMCONJUGATE" w:id="1848"/>
      <w:bookmarkEnd w:id="1848"/>
      <w:r>
        <w:rPr/>
      </w:r>
      <w:bookmarkStart w:name="_bookmark615" w:id="1849"/>
      <w:bookmarkEnd w:id="1849"/>
      <w:r>
        <w:rPr/>
      </w:r>
      <w:bookmarkStart w:name="_bookmark615" w:id="1850"/>
      <w:bookmarkEnd w:id="1850"/>
      <w:r>
        <w:rPr>
          <w:color w:val="4F81BC"/>
        </w:rPr>
        <w:t>I</w:t>
      </w:r>
      <w:r>
        <w:rPr>
          <w:color w:val="4F81BC"/>
        </w:rPr>
        <w:t>MCONJUGATE</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IMCONJUGATE ( </w:t>
      </w:r>
      <w:r>
        <w:rPr>
          <w:i/>
          <w:sz w:val="22"/>
        </w:rPr>
        <w:t>complex-number </w:t>
      </w:r>
      <w:r>
        <w:rPr>
          <w:rFonts w:ascii="Lucida Console"/>
          <w:sz w:val="20"/>
        </w:rPr>
        <w:t>)</w:t>
      </w:r>
    </w:p>
    <w:p>
      <w:pPr>
        <w:spacing w:before="108"/>
        <w:ind w:left="220" w:right="0" w:firstLine="0"/>
        <w:jc w:val="left"/>
        <w:rPr>
          <w:rFonts w:ascii="Times New Roman"/>
          <w:i/>
          <w:sz w:val="22"/>
        </w:rPr>
      </w:pPr>
      <w:r>
        <w:rPr>
          <w:b/>
          <w:sz w:val="22"/>
        </w:rPr>
        <w:t>Description: </w:t>
      </w:r>
      <w:r>
        <w:rPr>
          <w:sz w:val="22"/>
        </w:rPr>
        <w:t>Computes the complex conjugate of the complex number </w:t>
      </w:r>
      <w:r>
        <w:rPr>
          <w:rFonts w:ascii="Times New Roman"/>
          <w:i/>
          <w:sz w:val="22"/>
        </w:rPr>
        <w:t>complex-number.</w:t>
      </w:r>
    </w:p>
    <w:p>
      <w:pPr>
        <w:pStyle w:val="BodyText"/>
        <w:spacing w:before="10"/>
        <w:rPr>
          <w:rFonts w:ascii="Times New Roman"/>
          <w:i/>
          <w:sz w:val="20"/>
        </w:rPr>
      </w:pPr>
    </w:p>
    <w:p>
      <w:pPr>
        <w:pStyle w:val="Heading4"/>
        <w:rPr>
          <w:b w:val="0"/>
        </w:rPr>
      </w:pPr>
      <w:r>
        <w:rPr/>
        <w:t>Mathematical Formula</w:t>
      </w:r>
      <w:r>
        <w:rPr>
          <w:b w:val="0"/>
        </w:rPr>
        <w:t>:</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𝐼𝐶𝑂𝑁𝐽𝑈𝐺𝐴𝑇𝐸</w:t>
      </w:r>
      <w:r>
        <w:rPr>
          <w:rFonts w:ascii="Cambria Math" w:hAnsi="Cambria Math" w:eastAsia="Cambria Math"/>
          <w:position w:val="1"/>
        </w:rPr>
        <w:t>(</w:t>
      </w:r>
      <w:r>
        <w:rPr>
          <w:rFonts w:ascii="Cambria Math" w:hAnsi="Cambria Math" w:eastAsia="Cambria Math"/>
        </w:rPr>
        <w:t>𝑥 + 𝑦𝑖</w:t>
      </w:r>
      <w:r>
        <w:rPr>
          <w:rFonts w:ascii="Cambria Math" w:hAnsi="Cambria Math" w:eastAsia="Cambria Math"/>
          <w:position w:val="1"/>
        </w:rPr>
        <w:t>) </w:t>
      </w:r>
      <w:r>
        <w:rPr>
          <w:rFonts w:ascii="Cambria Math" w:hAnsi="Cambria Math" w:eastAsia="Cambria Math"/>
        </w:rPr>
        <w:t>= 𝑧̅ = </w:t>
      </w:r>
      <w:r>
        <w:rPr>
          <w:rFonts w:ascii="Cambria Math" w:hAnsi="Cambria Math" w:eastAsia="Cambria Math"/>
          <w:position w:val="1"/>
        </w:rPr>
        <w:t>(</w:t>
      </w:r>
      <w:r>
        <w:rPr>
          <w:rFonts w:ascii="Cambria Math" w:hAnsi="Cambria Math" w:eastAsia="Cambria Math"/>
        </w:rPr>
        <w:t>𝑥 − 𝑦𝑖</w:t>
      </w:r>
      <w:r>
        <w:rPr>
          <w:rFonts w:ascii="Cambria Math" w:hAnsi="Cambria Math" w:eastAsia="Cambria Math"/>
          <w:position w:val="1"/>
        </w:rPr>
        <w:t>)</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Cambria Math" w:hAnsi="Cambria Math"/>
          <w:spacing w:val="-49"/>
          <w:sz w:val="22"/>
        </w:rPr>
        <w:t>z̅</w:t>
      </w:r>
      <w:r>
        <w:rPr>
          <w:rFonts w:ascii="Cambria Math" w:hAnsi="Cambria Math"/>
          <w:spacing w:val="4"/>
          <w:sz w:val="22"/>
        </w:rPr>
        <w:t> </w:t>
      </w:r>
      <w:r>
        <w:rPr>
          <w:sz w:val="22"/>
        </w:rPr>
        <w:t>= conjugate of the argument </w:t>
      </w:r>
      <w:r>
        <w:rPr>
          <w:rFonts w:ascii="Times New Roman" w:hAnsi="Times New Roman"/>
          <w:i/>
          <w:sz w:val="22"/>
        </w:rPr>
        <w:t>complex-number</w:t>
      </w:r>
      <w:r>
        <w:rPr>
          <w:sz w:val="22"/>
        </w:rPr>
        <w:t>, expressed in the form x +</w:t>
      </w:r>
      <w:r>
        <w:rPr>
          <w:spacing w:val="-7"/>
          <w:sz w:val="22"/>
        </w:rPr>
        <w:t> </w:t>
      </w:r>
      <w:r>
        <w:rPr>
          <w:sz w:val="22"/>
        </w:rPr>
        <w:t>yi</w:t>
      </w:r>
    </w:p>
    <w:p>
      <w:pPr>
        <w:pStyle w:val="Heading4"/>
        <w:spacing w:before="243"/>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94"/>
              <w:rPr>
                <w:sz w:val="22"/>
              </w:rPr>
            </w:pPr>
            <w:r>
              <w:rPr>
                <w:sz w:val="22"/>
              </w:rPr>
              <w:t>The complex number for which the complex conjugate is being computed. </w:t>
            </w:r>
            <w:r>
              <w:rPr>
                <w:rFonts w:ascii="Times New Roman"/>
                <w:i/>
                <w:sz w:val="22"/>
              </w:rPr>
              <w:t>complex-number </w:t>
            </w:r>
            <w:r>
              <w:rPr>
                <w:sz w:val="22"/>
              </w:rPr>
              <w:t>shall be in </w:t>
            </w:r>
            <w:r>
              <w:rPr>
                <w:i/>
                <w:sz w:val="22"/>
              </w:rPr>
              <w:t>x + yi </w:t>
            </w:r>
            <w:r>
              <w:rPr>
                <w:sz w:val="22"/>
              </w:rPr>
              <w:t>or</w:t>
            </w:r>
          </w:p>
          <w:p>
            <w:pPr>
              <w:pStyle w:val="TableParagraph"/>
              <w:spacing w:before="0"/>
              <w:ind w:left="113"/>
              <w:rPr>
                <w:sz w:val="22"/>
              </w:rPr>
            </w:pPr>
            <w:r>
              <w:rPr>
                <w:i/>
                <w:sz w:val="22"/>
              </w:rPr>
              <w:t>x + yj </w:t>
            </w:r>
            <w:r>
              <w:rPr>
                <w:sz w:val="22"/>
              </w:rPr>
              <w:t>text format.</w:t>
            </w:r>
          </w:p>
        </w:tc>
      </w:tr>
    </w:tbl>
    <w:p>
      <w:pPr>
        <w:spacing w:after="0"/>
        <w:rPr>
          <w:sz w:val="22"/>
        </w:rPr>
        <w:sectPr>
          <w:pgSz w:w="12240" w:h="15840"/>
          <w:pgMar w:header="763" w:footer="746" w:top="1340" w:bottom="940" w:left="860" w:right="700"/>
        </w:sectPr>
      </w:pPr>
    </w:p>
    <w:p>
      <w:pPr>
        <w:spacing w:line="278" w:lineRule="auto" w:before="90"/>
        <w:ind w:left="220" w:right="440" w:firstLine="0"/>
        <w:jc w:val="left"/>
        <w:rPr>
          <w:sz w:val="22"/>
        </w:rPr>
      </w:pPr>
      <w:r>
        <w:rPr>
          <w:b/>
          <w:sz w:val="22"/>
        </w:rPr>
        <w:t>Return Type and Value: </w:t>
      </w:r>
      <w:r>
        <w:rPr>
          <w:sz w:val="22"/>
        </w:rPr>
        <w:t>text – A string containing the complex conjugate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w:t>
      </w:r>
    </w:p>
    <w:p>
      <w:pPr>
        <w:pStyle w:val="BodyText"/>
        <w:spacing w:before="3"/>
        <w:rPr>
          <w:sz w:val="16"/>
        </w:rPr>
      </w:pPr>
    </w:p>
    <w:p>
      <w:pPr>
        <w:spacing w:line="453" w:lineRule="auto" w:before="0"/>
        <w:ind w:left="220" w:right="4547" w:firstLine="0"/>
        <w:jc w:val="left"/>
        <w:rPr>
          <w:sz w:val="22"/>
        </w:rPr>
      </w:pPr>
      <w:r>
        <w:rPr>
          <w:sz w:val="22"/>
        </w:rPr>
        <w:t>However, if </w:t>
      </w:r>
      <w:r>
        <w:rPr>
          <w:rFonts w:ascii="Times New Roman"/>
          <w:i/>
          <w:sz w:val="22"/>
        </w:rPr>
        <w:t>complex-number </w:t>
      </w:r>
      <w:r>
        <w:rPr>
          <w:sz w:val="22"/>
        </w:rPr>
        <w:t>is ill-formed, </w:t>
      </w:r>
      <w:r>
        <w:rPr>
          <w:rFonts w:ascii="Consolas"/>
          <w:sz w:val="22"/>
        </w:rPr>
        <w:t>#NUM!</w:t>
      </w:r>
      <w:r>
        <w:rPr>
          <w:rFonts w:ascii="Consolas"/>
          <w:spacing w:val="-90"/>
          <w:sz w:val="22"/>
        </w:rPr>
        <w:t> </w:t>
      </w:r>
      <w:r>
        <w:rPr>
          <w:sz w:val="22"/>
        </w:rPr>
        <w:t>is returned. [</w:t>
      </w:r>
      <w:r>
        <w:rPr>
          <w:i/>
          <w:sz w:val="22"/>
        </w:rPr>
        <w:t>Example</w:t>
      </w:r>
      <w:r>
        <w:rPr>
          <w:sz w:val="22"/>
        </w:rPr>
        <w:t>:</w:t>
      </w:r>
    </w:p>
    <w:p>
      <w:pPr>
        <w:pStyle w:val="BodyText"/>
        <w:spacing w:before="108"/>
        <w:ind w:left="220"/>
        <w:rPr>
          <w:rFonts w:ascii="Consolas"/>
        </w:rPr>
      </w:pPr>
      <w:r>
        <w:rPr>
          <w:rFonts w:ascii="Consolas"/>
        </w:rPr>
        <w:t>IMCONJUGATE("2.3+4.5i") </w:t>
      </w:r>
      <w:r>
        <w:rPr/>
        <w:t>results in </w:t>
      </w:r>
      <w:r>
        <w:rPr>
          <w:rFonts w:ascii="Consolas"/>
        </w:rPr>
        <w:t>2.3-4.5i</w:t>
      </w:r>
    </w:p>
    <w:p>
      <w:pPr>
        <w:pStyle w:val="BodyText"/>
        <w:spacing w:before="41"/>
        <w:ind w:left="220"/>
        <w:rPr>
          <w:rFonts w:ascii="Consolas"/>
        </w:rPr>
      </w:pPr>
      <w:r>
        <w:rPr>
          <w:rFonts w:ascii="Consolas"/>
        </w:rPr>
        <w:t>IMCONJUGATE("-1-4j") </w:t>
      </w:r>
      <w:r>
        <w:rPr/>
        <w:t>results in </w:t>
      </w:r>
      <w:r>
        <w:rPr>
          <w:rFonts w:ascii="Consolas"/>
        </w:rPr>
        <w:t>-1+4j</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3 IMCOS" w:id="1851"/>
      <w:bookmarkEnd w:id="1851"/>
      <w:r>
        <w:rPr/>
      </w:r>
      <w:bookmarkStart w:name="_bookmark616" w:id="1852"/>
      <w:bookmarkEnd w:id="1852"/>
      <w:r>
        <w:rPr/>
      </w:r>
      <w:bookmarkStart w:name="_bookmark616" w:id="1853"/>
      <w:bookmarkEnd w:id="1853"/>
      <w:r>
        <w:rPr>
          <w:color w:val="4F81BC"/>
        </w:rPr>
        <w:t>I</w:t>
      </w:r>
      <w:r>
        <w:rPr>
          <w:color w:val="4F81BC"/>
        </w:rPr>
        <w:t>MCOS</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IMCOS ( </w:t>
      </w:r>
      <w:r>
        <w:rPr>
          <w:i/>
          <w:sz w:val="22"/>
        </w:rPr>
        <w:t>complex-number </w:t>
      </w:r>
      <w:r>
        <w:rPr>
          <w:rFonts w:ascii="Lucida Console"/>
          <w:sz w:val="20"/>
        </w:rPr>
        <w:t>)</w:t>
      </w:r>
    </w:p>
    <w:p>
      <w:pPr>
        <w:spacing w:before="108"/>
        <w:ind w:left="220" w:right="0" w:firstLine="0"/>
        <w:jc w:val="left"/>
        <w:rPr>
          <w:rFonts w:ascii="Times New Roman"/>
          <w:i/>
          <w:sz w:val="22"/>
        </w:rPr>
      </w:pPr>
      <w:r>
        <w:rPr>
          <w:b/>
          <w:sz w:val="22"/>
        </w:rPr>
        <w:t>Description: </w:t>
      </w:r>
      <w:r>
        <w:rPr>
          <w:sz w:val="22"/>
        </w:rPr>
        <w:t>Computes the cosine of the complex number </w:t>
      </w:r>
      <w:r>
        <w:rPr>
          <w:rFonts w:ascii="Times New Roman"/>
          <w:i/>
          <w:sz w:val="22"/>
        </w:rPr>
        <w:t>complex-number.</w:t>
      </w:r>
    </w:p>
    <w:p>
      <w:pPr>
        <w:pStyle w:val="BodyText"/>
        <w:spacing w:before="10"/>
        <w:rPr>
          <w:rFonts w:ascii="Times New Roman"/>
          <w:i/>
          <w:sz w:val="20"/>
        </w:rPr>
      </w:pPr>
    </w:p>
    <w:p>
      <w:pPr>
        <w:pStyle w:val="Heading4"/>
        <w:spacing w:before="1"/>
        <w:rPr>
          <w:b w:val="0"/>
        </w:rPr>
      </w:pPr>
      <w:r>
        <w:rPr/>
        <w:t>Mathematical Formula</w:t>
      </w:r>
      <w:r>
        <w:rPr>
          <w:b w:val="0"/>
        </w:rPr>
        <w:t>:</w:t>
      </w:r>
    </w:p>
    <w:p>
      <w:pPr>
        <w:pStyle w:val="BodyText"/>
        <w:spacing w:before="1"/>
        <w:rPr>
          <w:sz w:val="19"/>
        </w:rPr>
      </w:pPr>
    </w:p>
    <w:p>
      <w:pPr>
        <w:pStyle w:val="BodyText"/>
        <w:ind w:left="220"/>
        <w:rPr>
          <w:rFonts w:ascii="Cambria Math" w:hAnsi="Cambria Math" w:eastAsia="Cambria Math"/>
        </w:rPr>
      </w:pPr>
      <w:r>
        <w:rPr>
          <w:rFonts w:ascii="Cambria Math" w:hAnsi="Cambria Math" w:eastAsia="Cambria Math"/>
        </w:rPr>
        <w:t>cos</w:t>
      </w:r>
      <w:r>
        <w:rPr>
          <w:rFonts w:ascii="Cambria Math" w:hAnsi="Cambria Math" w:eastAsia="Cambria Math"/>
          <w:position w:val="1"/>
        </w:rPr>
        <w:t>(</w:t>
      </w:r>
      <w:r>
        <w:rPr>
          <w:rFonts w:ascii="Cambria Math" w:hAnsi="Cambria Math" w:eastAsia="Cambria Math"/>
        </w:rPr>
        <w:t>𝑥 + 𝑦𝑖</w:t>
      </w:r>
      <w:r>
        <w:rPr>
          <w:rFonts w:ascii="Cambria Math" w:hAnsi="Cambria Math" w:eastAsia="Cambria Math"/>
          <w:position w:val="1"/>
        </w:rPr>
        <w:t>) </w:t>
      </w:r>
      <w:r>
        <w:rPr>
          <w:rFonts w:ascii="Cambria Math" w:hAnsi="Cambria Math" w:eastAsia="Cambria Math"/>
        </w:rPr>
        <w:t>= cos</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 </w:t>
      </w:r>
      <w:r>
        <w:rPr>
          <w:rFonts w:ascii="Cambria Math" w:hAnsi="Cambria Math" w:eastAsia="Cambria Math"/>
        </w:rPr>
        <w:t>cosh</w:t>
      </w:r>
      <w:r>
        <w:rPr>
          <w:rFonts w:ascii="Cambria Math" w:hAnsi="Cambria Math" w:eastAsia="Cambria Math"/>
          <w:position w:val="1"/>
        </w:rPr>
        <w:t>(</w:t>
      </w:r>
      <w:r>
        <w:rPr>
          <w:rFonts w:ascii="Cambria Math" w:hAnsi="Cambria Math" w:eastAsia="Cambria Math"/>
        </w:rPr>
        <w:t>𝑦</w:t>
      </w:r>
      <w:r>
        <w:rPr>
          <w:rFonts w:ascii="Cambria Math" w:hAnsi="Cambria Math" w:eastAsia="Cambria Math"/>
          <w:position w:val="1"/>
        </w:rPr>
        <w:t>) </w:t>
      </w:r>
      <w:r>
        <w:rPr>
          <w:rFonts w:ascii="Cambria Math" w:hAnsi="Cambria Math" w:eastAsia="Cambria Math"/>
        </w:rPr>
        <w:t>− sin</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 </w:t>
      </w:r>
      <w:r>
        <w:rPr>
          <w:rFonts w:ascii="Cambria Math" w:hAnsi="Cambria Math" w:eastAsia="Cambria Math"/>
        </w:rPr>
        <w:t>sinh</w:t>
      </w:r>
      <w:r>
        <w:rPr>
          <w:rFonts w:ascii="Cambria Math" w:hAnsi="Cambria Math" w:eastAsia="Cambria Math"/>
          <w:position w:val="1"/>
        </w:rPr>
        <w:t>(</w:t>
      </w:r>
      <w:r>
        <w:rPr>
          <w:rFonts w:ascii="Cambria Math" w:hAnsi="Cambria Math" w:eastAsia="Cambria Math"/>
        </w:rPr>
        <w:t>𝑦</w:t>
      </w:r>
      <w:r>
        <w:rPr>
          <w:rFonts w:ascii="Cambria Math" w:hAnsi="Cambria Math" w:eastAsia="Cambria Math"/>
          <w:position w:val="1"/>
        </w:rPr>
        <w:t>)</w:t>
      </w:r>
      <w:r>
        <w:rPr>
          <w:rFonts w:ascii="Cambria Math" w:hAnsi="Cambria Math" w:eastAsia="Cambria Math"/>
        </w:rPr>
        <w:t>𝑖</w:t>
      </w:r>
    </w:p>
    <w:p>
      <w:pPr>
        <w:pStyle w:val="BodyText"/>
        <w:spacing w:before="1"/>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the argument </w:t>
      </w:r>
      <w:r>
        <w:rPr>
          <w:rFonts w:ascii="Times New Roman" w:hAnsi="Times New Roman"/>
          <w:i/>
          <w:sz w:val="22"/>
        </w:rPr>
        <w:t>complex-number is </w:t>
      </w:r>
      <w:r>
        <w:rPr>
          <w:sz w:val="22"/>
        </w:rPr>
        <w:t>expressed in the form x +</w:t>
      </w:r>
      <w:r>
        <w:rPr>
          <w:spacing w:val="-13"/>
          <w:sz w:val="22"/>
        </w:rPr>
        <w:t> </w:t>
      </w:r>
      <w:r>
        <w:rPr>
          <w:sz w:val="22"/>
        </w:rPr>
        <w:t>yi</w:t>
      </w:r>
    </w:p>
    <w:p>
      <w:pPr>
        <w:pStyle w:val="Heading4"/>
        <w:spacing w:before="243"/>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52"/>
              <w:rPr>
                <w:sz w:val="22"/>
              </w:rPr>
            </w:pPr>
            <w:r>
              <w:rPr>
                <w:sz w:val="22"/>
              </w:rPr>
              <w:t>The complex number for which the cosine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7"/>
        <w:rPr>
          <w:b/>
          <w:sz w:val="19"/>
        </w:rPr>
      </w:pPr>
    </w:p>
    <w:p>
      <w:pPr>
        <w:spacing w:line="453" w:lineRule="auto" w:before="0"/>
        <w:ind w:left="220" w:right="839" w:firstLine="0"/>
        <w:jc w:val="left"/>
        <w:rPr>
          <w:sz w:val="22"/>
        </w:rPr>
      </w:pPr>
      <w:r>
        <w:rPr>
          <w:b/>
          <w:sz w:val="22"/>
        </w:rPr>
        <w:t>Return Type and Value: </w:t>
      </w:r>
      <w:r>
        <w:rPr>
          <w:sz w:val="22"/>
        </w:rPr>
        <w:t>text – A string containing the cosine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 However, if </w:t>
      </w:r>
      <w:r>
        <w:rPr>
          <w:rFonts w:ascii="Times New Roman" w:hAnsi="Times New Roman"/>
          <w:i/>
          <w:sz w:val="22"/>
        </w:rPr>
        <w:t>complex-number </w:t>
      </w:r>
      <w:r>
        <w:rPr>
          <w:sz w:val="22"/>
        </w:rPr>
        <w:t>is ill-formed, </w:t>
      </w:r>
      <w:r>
        <w:rPr>
          <w:rFonts w:ascii="Consolas" w:hAnsi="Consolas"/>
          <w:sz w:val="22"/>
        </w:rPr>
        <w:t>#NUM!</w:t>
      </w:r>
      <w:r>
        <w:rPr>
          <w:rFonts w:ascii="Consolas" w:hAnsi="Consolas"/>
          <w:spacing w:val="-77"/>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10"/>
        <w:rPr>
          <w:sz w:val="28"/>
        </w:rPr>
      </w:pPr>
    </w:p>
    <w:p>
      <w:pPr>
        <w:pStyle w:val="BodyText"/>
        <w:spacing w:line="273" w:lineRule="auto"/>
        <w:ind w:left="220" w:right="3184"/>
        <w:rPr>
          <w:rFonts w:ascii="Consolas"/>
        </w:rPr>
      </w:pPr>
      <w:r>
        <w:rPr>
          <w:rFonts w:ascii="Consolas"/>
        </w:rPr>
        <w:t>IMCOS("2.3+4.5i")</w:t>
      </w:r>
      <w:r>
        <w:rPr>
          <w:rFonts w:ascii="Consolas"/>
          <w:spacing w:val="-78"/>
        </w:rPr>
        <w:t> </w:t>
      </w:r>
      <w:r>
        <w:rPr/>
        <w:t>results in </w:t>
      </w:r>
      <w:r>
        <w:rPr>
          <w:rFonts w:ascii="Consolas"/>
        </w:rPr>
        <w:t>-29.9918288739746-33.5589799796873i IMCOS("-1-4j") </w:t>
      </w:r>
      <w:r>
        <w:rPr/>
        <w:t>results in </w:t>
      </w:r>
      <w:r>
        <w:rPr>
          <w:rFonts w:ascii="Consolas"/>
        </w:rPr>
        <w:t>14.7547011704838-22.963673499193j</w:t>
      </w:r>
    </w:p>
    <w:p>
      <w:pPr>
        <w:pStyle w:val="BodyText"/>
        <w:rPr>
          <w:rFonts w:ascii="Consolas"/>
          <w:sz w:val="27"/>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154 IMDIV" w:id="1854"/>
      <w:bookmarkEnd w:id="1854"/>
      <w:r>
        <w:rPr/>
      </w:r>
      <w:bookmarkStart w:name="_bookmark617" w:id="1855"/>
      <w:bookmarkEnd w:id="1855"/>
      <w:r>
        <w:rPr/>
      </w:r>
      <w:bookmarkStart w:name="_bookmark617" w:id="1856"/>
      <w:bookmarkEnd w:id="1856"/>
      <w:r>
        <w:rPr>
          <w:color w:val="4F81BC"/>
        </w:rPr>
        <w:t>I</w:t>
      </w:r>
      <w:r>
        <w:rPr>
          <w:color w:val="4F81BC"/>
        </w:rPr>
        <w:t>MDIV</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IMDIV ( </w:t>
      </w:r>
      <w:r>
        <w:rPr>
          <w:i/>
          <w:sz w:val="22"/>
        </w:rPr>
        <w:t>complex-number-1 </w:t>
      </w:r>
      <w:r>
        <w:rPr>
          <w:rFonts w:ascii="Lucida Console"/>
          <w:sz w:val="20"/>
        </w:rPr>
        <w:t>, </w:t>
      </w:r>
      <w:r>
        <w:rPr>
          <w:i/>
          <w:sz w:val="22"/>
        </w:rPr>
        <w:t>complex-number-2 </w:t>
      </w:r>
      <w:r>
        <w:rPr>
          <w:rFonts w:ascii="Lucida Console"/>
          <w:sz w:val="20"/>
        </w:rPr>
        <w:t>)</w:t>
      </w:r>
    </w:p>
    <w:p>
      <w:pPr>
        <w:pStyle w:val="BodyText"/>
        <w:spacing w:before="108"/>
        <w:ind w:left="220"/>
      </w:pPr>
      <w:r>
        <w:rPr>
          <w:b/>
        </w:rPr>
        <w:t>Description: </w:t>
      </w:r>
      <w:r>
        <w:rPr/>
        <w:t>Computes the quotient from dividing two complex numbers.</w:t>
      </w:r>
    </w:p>
    <w:p>
      <w:pPr>
        <w:pStyle w:val="BodyText"/>
        <w:spacing w:before="8"/>
        <w:rPr>
          <w:sz w:val="19"/>
        </w:rPr>
      </w:pPr>
    </w:p>
    <w:p>
      <w:pPr>
        <w:pStyle w:val="Heading4"/>
        <w:rPr>
          <w:b w:val="0"/>
        </w:rPr>
      </w:pPr>
      <w:r>
        <w:rPr/>
        <w:t>Mathematical Formula</w:t>
      </w:r>
      <w:r>
        <w:rPr>
          <w:b w:val="0"/>
        </w:rPr>
        <w:t>:</w:t>
      </w:r>
    </w:p>
    <w:p>
      <w:pPr>
        <w:pStyle w:val="BodyText"/>
        <w:spacing w:before="10"/>
        <w:rPr>
          <w:sz w:val="12"/>
        </w:rPr>
      </w:pPr>
    </w:p>
    <w:p>
      <w:pPr>
        <w:spacing w:after="0"/>
        <w:rPr>
          <w:sz w:val="12"/>
        </w:rPr>
        <w:sectPr>
          <w:pgSz w:w="12240" w:h="15840"/>
          <w:pgMar w:header="763" w:footer="746" w:top="1340" w:bottom="940" w:left="860" w:right="700"/>
        </w:sectPr>
      </w:pPr>
    </w:p>
    <w:p>
      <w:pPr>
        <w:pStyle w:val="BodyText"/>
        <w:spacing w:before="228"/>
        <w:ind w:left="220"/>
        <w:rPr>
          <w:rFonts w:ascii="Cambria Math" w:eastAsia="Cambria Math"/>
        </w:rPr>
      </w:pPr>
      <w:r>
        <w:rPr/>
        <w:pict>
          <v:line style="position:absolute;mso-position-horizontal-relative:page;mso-position-vertical-relative:paragraph;z-index:-335859712" from="136.580002pt,19.232168pt" to="174.980002pt,19.232168pt" stroked="true" strokeweight=".72pt" strokecolor="#000000">
            <v:stroke dashstyle="solid"/>
            <w10:wrap type="none"/>
          </v:line>
        </w:pict>
      </w:r>
      <w:r>
        <w:rPr>
          <w:rFonts w:ascii="Cambria Math" w:eastAsia="Cambria Math"/>
        </w:rPr>
        <w:t>𝐼𝑀𝐷𝐼𝑉</w:t>
      </w:r>
      <w:r>
        <w:rPr>
          <w:rFonts w:ascii="Cambria Math" w:eastAsia="Cambria Math"/>
          <w:position w:val="1"/>
        </w:rPr>
        <w:t>(</w:t>
      </w:r>
      <w:r>
        <w:rPr>
          <w:rFonts w:ascii="Cambria Math" w:eastAsia="Cambria Math"/>
        </w:rPr>
        <w:t>𝑧</w:t>
      </w:r>
      <w:r>
        <w:rPr>
          <w:rFonts w:ascii="Cambria Math" w:eastAsia="Cambria Math"/>
          <w:position w:val="-4"/>
          <w:sz w:val="16"/>
        </w:rPr>
        <w:t>1</w:t>
      </w:r>
      <w:r>
        <w:rPr>
          <w:rFonts w:ascii="Cambria Math" w:eastAsia="Cambria Math"/>
        </w:rPr>
        <w:t>, 𝑧</w:t>
      </w:r>
      <w:r>
        <w:rPr>
          <w:rFonts w:ascii="Cambria Math" w:eastAsia="Cambria Math"/>
          <w:position w:val="-4"/>
          <w:sz w:val="16"/>
        </w:rPr>
        <w:t>2</w:t>
      </w:r>
      <w:r>
        <w:rPr>
          <w:rFonts w:ascii="Cambria Math" w:eastAsia="Cambria Math"/>
          <w:position w:val="1"/>
        </w:rPr>
        <w:t>) </w:t>
      </w:r>
      <w:r>
        <w:rPr>
          <w:rFonts w:ascii="Cambria Math" w:eastAsia="Cambria Math"/>
        </w:rPr>
        <w:t>=</w:t>
      </w:r>
    </w:p>
    <w:p>
      <w:pPr>
        <w:pStyle w:val="BodyText"/>
        <w:spacing w:line="187" w:lineRule="auto" w:before="106"/>
        <w:ind w:left="73" w:hanging="5"/>
        <w:rPr>
          <w:rFonts w:ascii="Cambria Math" w:eastAsia="Cambria Math"/>
        </w:rPr>
      </w:pPr>
      <w:r>
        <w:rPr/>
        <w:br w:type="column"/>
      </w:r>
      <w:r>
        <w:rPr>
          <w:rFonts w:ascii="Cambria Math" w:eastAsia="Cambria Math"/>
          <w:position w:val="1"/>
        </w:rPr>
        <w:t>(</w:t>
      </w:r>
      <w:r>
        <w:rPr>
          <w:rFonts w:ascii="Cambria Math" w:eastAsia="Cambria Math"/>
        </w:rPr>
        <w:t>𝑎 + 𝑏𝑖</w:t>
      </w:r>
      <w:r>
        <w:rPr>
          <w:rFonts w:ascii="Cambria Math" w:eastAsia="Cambria Math"/>
          <w:position w:val="1"/>
        </w:rPr>
        <w:t>) (</w:t>
      </w:r>
      <w:r>
        <w:rPr>
          <w:rFonts w:ascii="Cambria Math" w:eastAsia="Cambria Math"/>
        </w:rPr>
        <w:t>𝑐 + 𝑑𝑖</w:t>
      </w:r>
      <w:r>
        <w:rPr>
          <w:rFonts w:ascii="Cambria Math" w:eastAsia="Cambria Math"/>
          <w:position w:val="1"/>
        </w:rPr>
        <w:t>)</w:t>
      </w:r>
      <w:r>
        <w:rPr>
          <w:rFonts w:ascii="Cambria Math" w:eastAsia="Cambria Math"/>
          <w:spacing w:val="31"/>
          <w:position w:val="1"/>
        </w:rPr>
        <w:t> </w:t>
      </w:r>
      <w:r>
        <w:rPr>
          <w:rFonts w:ascii="Cambria Math" w:eastAsia="Cambria Math"/>
          <w:spacing w:val="-19"/>
          <w:position w:val="15"/>
        </w:rPr>
        <w:t>=</w:t>
      </w:r>
    </w:p>
    <w:p>
      <w:pPr>
        <w:pStyle w:val="BodyText"/>
        <w:spacing w:before="60"/>
        <w:ind w:left="65" w:right="5511"/>
        <w:jc w:val="center"/>
        <w:rPr>
          <w:rFonts w:ascii="Cambria Math" w:hAnsi="Cambria Math" w:eastAsia="Cambria Math"/>
        </w:rPr>
      </w:pPr>
      <w:r>
        <w:rPr/>
        <w:br w:type="column"/>
      </w:r>
      <w:r>
        <w:rPr>
          <w:rFonts w:ascii="Cambria Math" w:hAnsi="Cambria Math" w:eastAsia="Cambria Math"/>
          <w:position w:val="1"/>
        </w:rPr>
        <w:t>(</w:t>
      </w:r>
      <w:r>
        <w:rPr>
          <w:rFonts w:ascii="Cambria Math" w:hAnsi="Cambria Math" w:eastAsia="Cambria Math"/>
        </w:rPr>
        <w:t>𝑎𝑐 + 𝑏𝑑</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𝑏𝑐 − 𝑎𝑑</w:t>
      </w:r>
      <w:r>
        <w:rPr>
          <w:rFonts w:ascii="Cambria Math" w:hAnsi="Cambria Math" w:eastAsia="Cambria Math"/>
          <w:position w:val="1"/>
        </w:rPr>
        <w:t>)</w:t>
      </w:r>
      <w:r>
        <w:rPr>
          <w:rFonts w:ascii="Cambria Math" w:hAnsi="Cambria Math" w:eastAsia="Cambria Math"/>
        </w:rPr>
        <w:t>𝑖</w:t>
      </w:r>
    </w:p>
    <w:p>
      <w:pPr>
        <w:pStyle w:val="BodyText"/>
        <w:spacing w:before="2"/>
        <w:rPr>
          <w:rFonts w:ascii="Cambria Math"/>
          <w:sz w:val="4"/>
        </w:rPr>
      </w:pPr>
    </w:p>
    <w:p>
      <w:pPr>
        <w:pStyle w:val="BodyText"/>
        <w:spacing w:line="20" w:lineRule="exact"/>
        <w:ind w:left="60"/>
        <w:rPr>
          <w:rFonts w:ascii="Cambria Math"/>
          <w:sz w:val="2"/>
        </w:rPr>
      </w:pPr>
      <w:r>
        <w:rPr>
          <w:rFonts w:ascii="Cambria Math"/>
          <w:sz w:val="2"/>
        </w:rPr>
        <w:pict>
          <v:group style="width:109.85pt;height:.75pt;mso-position-horizontal-relative:char;mso-position-vertical-relative:line" coordorigin="0,0" coordsize="2197,15">
            <v:line style="position:absolute" from="0,7" to="2196,7" stroked="true" strokeweight=".72pt" strokecolor="#000000">
              <v:stroke dashstyle="solid"/>
            </v:line>
          </v:group>
        </w:pict>
      </w:r>
      <w:r>
        <w:rPr>
          <w:rFonts w:ascii="Cambria Math"/>
          <w:sz w:val="2"/>
        </w:rPr>
      </w:r>
    </w:p>
    <w:p>
      <w:pPr>
        <w:spacing w:before="0"/>
        <w:ind w:left="65" w:right="5509" w:firstLine="0"/>
        <w:jc w:val="center"/>
        <w:rPr>
          <w:rFonts w:ascii="Cambria Math" w:eastAsia="Cambria Math"/>
          <w:sz w:val="16"/>
        </w:rPr>
      </w:pPr>
      <w:r>
        <w:rPr>
          <w:rFonts w:ascii="Cambria Math" w:eastAsia="Cambria Math"/>
          <w:sz w:val="22"/>
        </w:rPr>
        <w:t>𝑐</w:t>
      </w:r>
      <w:r>
        <w:rPr>
          <w:rFonts w:ascii="Cambria Math" w:eastAsia="Cambria Math"/>
          <w:position w:val="7"/>
          <w:sz w:val="16"/>
        </w:rPr>
        <w:t>2  </w:t>
      </w:r>
      <w:r>
        <w:rPr>
          <w:rFonts w:ascii="Cambria Math" w:eastAsia="Cambria Math"/>
          <w:sz w:val="22"/>
        </w:rPr>
        <w:t>+ 𝑑</w:t>
      </w:r>
      <w:r>
        <w:rPr>
          <w:rFonts w:ascii="Cambria Math" w:eastAsia="Cambria Math"/>
          <w:position w:val="7"/>
          <w:sz w:val="16"/>
        </w:rPr>
        <w:t>2</w:t>
      </w:r>
    </w:p>
    <w:p>
      <w:pPr>
        <w:spacing w:after="0"/>
        <w:jc w:val="center"/>
        <w:rPr>
          <w:rFonts w:ascii="Cambria Math" w:eastAsia="Cambria Math"/>
          <w:sz w:val="16"/>
        </w:rPr>
        <w:sectPr>
          <w:type w:val="continuous"/>
          <w:pgSz w:w="12240" w:h="15840"/>
          <w:pgMar w:top="1340" w:bottom="940" w:left="860" w:right="700"/>
          <w:cols w:num="3" w:equalWidth="0">
            <w:col w:w="1763" w:space="40"/>
            <w:col w:w="1062" w:space="39"/>
            <w:col w:w="7776"/>
          </w:cols>
        </w:sectPr>
      </w:pPr>
    </w:p>
    <w:p>
      <w:pPr>
        <w:pStyle w:val="BodyText"/>
        <w:spacing w:before="8"/>
        <w:rPr>
          <w:rFonts w:ascii="Cambria Math"/>
          <w:sz w:val="12"/>
        </w:rPr>
      </w:pPr>
    </w:p>
    <w:p>
      <w:pPr>
        <w:pStyle w:val="BodyText"/>
        <w:spacing w:before="56"/>
        <w:ind w:left="220"/>
      </w:pPr>
      <w:r>
        <w:rPr/>
        <w:t>where:</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Cambria Math" w:hAnsi="Cambria Math"/>
          <w:spacing w:val="-3"/>
          <w:sz w:val="22"/>
        </w:rPr>
        <w:t>z</w:t>
      </w:r>
      <w:r>
        <w:rPr>
          <w:rFonts w:ascii="Cambria Math" w:hAnsi="Cambria Math"/>
          <w:spacing w:val="-3"/>
          <w:position w:val="-4"/>
          <w:sz w:val="16"/>
        </w:rPr>
        <w:t>1  </w:t>
      </w:r>
      <w:r>
        <w:rPr>
          <w:sz w:val="22"/>
        </w:rPr>
        <w:t>= argument </w:t>
      </w:r>
      <w:r>
        <w:rPr>
          <w:rFonts w:ascii="Times New Roman" w:hAnsi="Times New Roman"/>
          <w:i/>
          <w:sz w:val="22"/>
        </w:rPr>
        <w:t>complex-number-1 </w:t>
      </w:r>
      <w:r>
        <w:rPr>
          <w:sz w:val="22"/>
        </w:rPr>
        <w:t>expressed in the form of a +</w:t>
      </w:r>
      <w:r>
        <w:rPr>
          <w:spacing w:val="-25"/>
          <w:sz w:val="22"/>
        </w:rPr>
        <w:t> </w:t>
      </w:r>
      <w:r>
        <w:rPr>
          <w:sz w:val="22"/>
        </w:rPr>
        <w:t>bi</w:t>
      </w:r>
    </w:p>
    <w:p>
      <w:pPr>
        <w:pStyle w:val="ListParagraph"/>
        <w:numPr>
          <w:ilvl w:val="4"/>
          <w:numId w:val="66"/>
        </w:numPr>
        <w:tabs>
          <w:tab w:pos="940" w:val="left" w:leader="none"/>
          <w:tab w:pos="941" w:val="left" w:leader="none"/>
        </w:tabs>
        <w:spacing w:line="240" w:lineRule="auto" w:before="13" w:after="0"/>
        <w:ind w:left="940" w:right="0" w:hanging="361"/>
        <w:jc w:val="left"/>
        <w:rPr>
          <w:sz w:val="22"/>
        </w:rPr>
      </w:pPr>
      <w:r>
        <w:rPr>
          <w:rFonts w:ascii="Cambria Math" w:hAnsi="Cambria Math"/>
          <w:sz w:val="22"/>
        </w:rPr>
        <w:t>z</w:t>
      </w:r>
      <w:r>
        <w:rPr>
          <w:rFonts w:ascii="Cambria Math" w:hAnsi="Cambria Math"/>
          <w:position w:val="-4"/>
          <w:sz w:val="16"/>
        </w:rPr>
        <w:t>2  </w:t>
      </w:r>
      <w:r>
        <w:rPr>
          <w:sz w:val="22"/>
        </w:rPr>
        <w:t>= argument </w:t>
      </w:r>
      <w:r>
        <w:rPr>
          <w:rFonts w:ascii="Times New Roman" w:hAnsi="Times New Roman"/>
          <w:i/>
          <w:sz w:val="22"/>
        </w:rPr>
        <w:t>complex-number-2 </w:t>
      </w:r>
      <w:r>
        <w:rPr>
          <w:sz w:val="22"/>
        </w:rPr>
        <w:t>expressed in the form of c +</w:t>
      </w:r>
      <w:r>
        <w:rPr>
          <w:spacing w:val="-32"/>
          <w:sz w:val="22"/>
        </w:rPr>
        <w:t> </w:t>
      </w:r>
      <w:r>
        <w:rPr>
          <w:sz w:val="22"/>
        </w:rPr>
        <w:t>di</w:t>
      </w:r>
    </w:p>
    <w:p>
      <w:pPr>
        <w:pStyle w:val="Heading4"/>
        <w:spacing w:before="216"/>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2" w:hRule="atLeast"/>
        </w:trPr>
        <w:tc>
          <w:tcPr>
            <w:tcW w:w="1466" w:type="dxa"/>
          </w:tcPr>
          <w:p>
            <w:pPr>
              <w:pStyle w:val="TableParagraph"/>
              <w:spacing w:before="37"/>
              <w:ind w:right="482"/>
              <w:rPr>
                <w:rFonts w:ascii="Times New Roman"/>
                <w:i/>
                <w:sz w:val="22"/>
              </w:rPr>
            </w:pPr>
            <w:r>
              <w:rPr>
                <w:rFonts w:ascii="Times New Roman"/>
                <w:i/>
                <w:sz w:val="22"/>
              </w:rPr>
              <w:t>complex- </w:t>
            </w:r>
            <w:r>
              <w:rPr>
                <w:rFonts w:ascii="Times New Roman"/>
                <w:i/>
                <w:sz w:val="22"/>
              </w:rPr>
              <w:t>number-1</w:t>
            </w:r>
          </w:p>
        </w:tc>
        <w:tc>
          <w:tcPr>
            <w:tcW w:w="1800" w:type="dxa"/>
          </w:tcPr>
          <w:p>
            <w:pPr>
              <w:pStyle w:val="TableParagraph"/>
              <w:ind w:left="112"/>
              <w:rPr>
                <w:sz w:val="22"/>
              </w:rPr>
            </w:pPr>
            <w:r>
              <w:rPr>
                <w:sz w:val="22"/>
              </w:rPr>
              <w:t>text</w:t>
            </w:r>
          </w:p>
        </w:tc>
        <w:tc>
          <w:tcPr>
            <w:tcW w:w="5400" w:type="dxa"/>
            <w:vMerge w:val="restart"/>
          </w:tcPr>
          <w:p>
            <w:pPr>
              <w:pStyle w:val="TableParagraph"/>
              <w:ind w:left="113" w:right="593"/>
              <w:rPr>
                <w:sz w:val="22"/>
              </w:rPr>
            </w:pPr>
            <w:r>
              <w:rPr>
                <w:sz w:val="22"/>
              </w:rPr>
              <w:t>Complex numbers in </w:t>
            </w:r>
            <w:r>
              <w:rPr>
                <w:i/>
                <w:sz w:val="22"/>
              </w:rPr>
              <w:t>x + yi </w:t>
            </w:r>
            <w:r>
              <w:rPr>
                <w:sz w:val="22"/>
              </w:rPr>
              <w:t>or </w:t>
            </w:r>
            <w:r>
              <w:rPr>
                <w:i/>
                <w:sz w:val="22"/>
              </w:rPr>
              <w:t>x + yj </w:t>
            </w:r>
            <w:r>
              <w:rPr>
                <w:sz w:val="22"/>
              </w:rPr>
              <w:t>text format; they designate the dividend and divisor, respectively.</w:t>
            </w:r>
          </w:p>
        </w:tc>
      </w:tr>
      <w:tr>
        <w:trPr>
          <w:trHeight w:val="592" w:hRule="atLeast"/>
        </w:trPr>
        <w:tc>
          <w:tcPr>
            <w:tcW w:w="1466" w:type="dxa"/>
          </w:tcPr>
          <w:p>
            <w:pPr>
              <w:pStyle w:val="TableParagraph"/>
              <w:spacing w:before="37"/>
              <w:ind w:right="482"/>
              <w:rPr>
                <w:rFonts w:ascii="Times New Roman"/>
                <w:i/>
                <w:sz w:val="22"/>
              </w:rPr>
            </w:pPr>
            <w:r>
              <w:rPr>
                <w:rFonts w:ascii="Times New Roman"/>
                <w:i/>
                <w:sz w:val="22"/>
              </w:rPr>
              <w:t>complex- </w:t>
            </w:r>
            <w:r>
              <w:rPr>
                <w:rFonts w:ascii="Times New Roman"/>
                <w:i/>
                <w:sz w:val="22"/>
              </w:rPr>
              <w:t>number-2</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bl>
    <w:p>
      <w:pPr>
        <w:pStyle w:val="BodyText"/>
        <w:rPr>
          <w:b/>
        </w:rPr>
      </w:pPr>
    </w:p>
    <w:p>
      <w:pPr>
        <w:pStyle w:val="BodyText"/>
        <w:spacing w:before="5"/>
        <w:rPr>
          <w:b/>
          <w:sz w:val="19"/>
        </w:rPr>
      </w:pPr>
    </w:p>
    <w:p>
      <w:pPr>
        <w:spacing w:before="0"/>
        <w:ind w:left="220" w:right="0" w:firstLine="0"/>
        <w:jc w:val="left"/>
        <w:rPr>
          <w:sz w:val="22"/>
        </w:rPr>
      </w:pPr>
      <w:r>
        <w:rPr>
          <w:b/>
          <w:sz w:val="22"/>
        </w:rPr>
        <w:t>Return Type and Value: </w:t>
      </w:r>
      <w:r>
        <w:rPr>
          <w:sz w:val="22"/>
        </w:rPr>
        <w:t>text – A string containing the quotient from </w:t>
      </w:r>
      <w:r>
        <w:rPr>
          <w:rFonts w:ascii="Times New Roman" w:hAnsi="Times New Roman"/>
          <w:i/>
          <w:sz w:val="22"/>
        </w:rPr>
        <w:t>complex-number-1 </w:t>
      </w:r>
      <w:r>
        <w:rPr>
          <w:rFonts w:ascii="Consolas" w:hAnsi="Consolas"/>
          <w:sz w:val="22"/>
        </w:rPr>
        <w:t>/</w:t>
      </w:r>
      <w:r>
        <w:rPr>
          <w:rFonts w:ascii="Consolas" w:hAnsi="Consolas"/>
          <w:spacing w:val="-96"/>
          <w:sz w:val="22"/>
        </w:rPr>
        <w:t> </w:t>
      </w:r>
      <w:r>
        <w:rPr>
          <w:rFonts w:ascii="Times New Roman" w:hAnsi="Times New Roman"/>
          <w:i/>
          <w:sz w:val="22"/>
        </w:rPr>
        <w:t>complex-number-2</w:t>
      </w:r>
      <w:r>
        <w:rPr>
          <w:sz w:val="22"/>
        </w:rPr>
        <w:t>, in</w:t>
      </w:r>
    </w:p>
    <w:p>
      <w:pPr>
        <w:spacing w:before="44"/>
        <w:ind w:left="220" w:right="8331" w:firstLine="0"/>
        <w:jc w:val="left"/>
        <w:rPr>
          <w:sz w:val="22"/>
        </w:rPr>
      </w:pPr>
      <w:r>
        <w:rPr>
          <w:i/>
          <w:sz w:val="22"/>
        </w:rPr>
        <w:t>x+yi </w:t>
      </w:r>
      <w:r>
        <w:rPr>
          <w:sz w:val="22"/>
        </w:rPr>
        <w:t>or </w:t>
      </w:r>
      <w:r>
        <w:rPr>
          <w:i/>
          <w:sz w:val="22"/>
        </w:rPr>
        <w:t>x+yj </w:t>
      </w:r>
      <w:r>
        <w:rPr>
          <w:sz w:val="22"/>
        </w:rPr>
        <w:t>text format.</w:t>
      </w:r>
    </w:p>
    <w:p>
      <w:pPr>
        <w:pStyle w:val="BodyText"/>
        <w:spacing w:before="8"/>
        <w:rPr>
          <w:sz w:val="19"/>
        </w:rPr>
      </w:pPr>
    </w:p>
    <w:p>
      <w:pPr>
        <w:pStyle w:val="BodyText"/>
        <w:ind w:left="220" w:right="8331"/>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complex-number-2 </w:t>
      </w:r>
      <w:r>
        <w:rPr>
          <w:sz w:val="22"/>
        </w:rPr>
        <w:t>is zero,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161" w:firstLine="360"/>
        <w:jc w:val="left"/>
        <w:rPr>
          <w:sz w:val="22"/>
        </w:rPr>
      </w:pPr>
      <w:r>
        <w:rPr>
          <w:rFonts w:ascii="Times New Roman" w:hAnsi="Times New Roman"/>
          <w:i/>
          <w:sz w:val="22"/>
        </w:rPr>
        <w:t>complex-number-1 </w:t>
      </w:r>
      <w:r>
        <w:rPr>
          <w:sz w:val="22"/>
        </w:rPr>
        <w:t>or </w:t>
      </w:r>
      <w:r>
        <w:rPr>
          <w:rFonts w:ascii="Times New Roman" w:hAnsi="Times New Roman"/>
          <w:i/>
          <w:sz w:val="22"/>
        </w:rPr>
        <w:t>complex-number-2 </w:t>
      </w:r>
      <w:r>
        <w:rPr>
          <w:sz w:val="22"/>
        </w:rPr>
        <w:t>is ill-formed, #NUM! is</w:t>
      </w:r>
      <w:r>
        <w:rPr>
          <w:spacing w:val="-28"/>
          <w:sz w:val="22"/>
        </w:rPr>
        <w:t> </w:t>
      </w:r>
      <w:r>
        <w:rPr>
          <w:sz w:val="22"/>
        </w:rPr>
        <w:t>returned. [</w:t>
      </w:r>
      <w:r>
        <w:rPr>
          <w:i/>
          <w:sz w:val="22"/>
        </w:rPr>
        <w:t>Example</w:t>
      </w:r>
      <w:r>
        <w:rPr>
          <w:sz w:val="22"/>
        </w:rPr>
        <w:t>:</w:t>
      </w:r>
    </w:p>
    <w:p>
      <w:pPr>
        <w:pStyle w:val="BodyText"/>
        <w:spacing w:line="273" w:lineRule="auto" w:before="128"/>
        <w:ind w:left="220" w:right="2699"/>
        <w:rPr>
          <w:rFonts w:ascii="Consolas"/>
        </w:rPr>
      </w:pPr>
      <w:r>
        <w:rPr>
          <w:rFonts w:ascii="Consolas"/>
        </w:rPr>
        <w:t>IMDIV("13+4i","5+3i")</w:t>
      </w:r>
      <w:r>
        <w:rPr>
          <w:rFonts w:ascii="Consolas"/>
          <w:spacing w:val="-78"/>
        </w:rPr>
        <w:t> </w:t>
      </w:r>
      <w:r>
        <w:rPr/>
        <w:t>results in </w:t>
      </w:r>
      <w:r>
        <w:rPr>
          <w:rFonts w:ascii="Consolas"/>
        </w:rPr>
        <w:t>2.26470588235294-0.558823529411765i IMDIV("-3-3.5i","5+3i") </w:t>
      </w:r>
      <w:r>
        <w:rPr/>
        <w:t>results in </w:t>
      </w:r>
      <w:r>
        <w:rPr>
          <w:rFonts w:ascii="Consolas"/>
        </w:rPr>
        <w:t>-0.75-0.25i</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5 IMEXP" w:id="1857"/>
      <w:bookmarkEnd w:id="1857"/>
      <w:r>
        <w:rPr/>
      </w:r>
      <w:bookmarkStart w:name="_bookmark618" w:id="1858"/>
      <w:bookmarkEnd w:id="1858"/>
      <w:r>
        <w:rPr/>
      </w:r>
      <w:bookmarkStart w:name="_bookmark618" w:id="1859"/>
      <w:bookmarkEnd w:id="1859"/>
      <w:r>
        <w:rPr>
          <w:color w:val="4F81BC"/>
        </w:rPr>
        <w:t>I</w:t>
      </w:r>
      <w:r>
        <w:rPr>
          <w:color w:val="4F81BC"/>
        </w:rPr>
        <w:t>MEXP</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IMEXP ( </w:t>
      </w:r>
      <w:r>
        <w:rPr>
          <w:i/>
          <w:sz w:val="22"/>
        </w:rPr>
        <w:t>complex-number </w:t>
      </w:r>
      <w:r>
        <w:rPr>
          <w:rFonts w:ascii="Lucida Console"/>
          <w:sz w:val="20"/>
        </w:rPr>
        <w:t>)</w:t>
      </w:r>
    </w:p>
    <w:p>
      <w:pPr>
        <w:spacing w:before="108"/>
        <w:ind w:left="220" w:right="0" w:firstLine="0"/>
        <w:jc w:val="left"/>
        <w:rPr>
          <w:rFonts w:ascii="Times New Roman"/>
          <w:i/>
          <w:sz w:val="22"/>
        </w:rPr>
      </w:pPr>
      <w:r>
        <w:rPr>
          <w:b/>
          <w:sz w:val="22"/>
        </w:rPr>
        <w:t>Description: </w:t>
      </w:r>
      <w:r>
        <w:rPr>
          <w:sz w:val="22"/>
        </w:rPr>
        <w:t>Computes the exponential of the complex number </w:t>
      </w:r>
      <w:r>
        <w:rPr>
          <w:rFonts w:ascii="Times New Roman"/>
          <w:i/>
          <w:sz w:val="22"/>
        </w:rPr>
        <w:t>complex-number.</w:t>
      </w:r>
    </w:p>
    <w:p>
      <w:pPr>
        <w:spacing w:after="0"/>
        <w:jc w:val="left"/>
        <w:rPr>
          <w:rFonts w:ascii="Times New Roman"/>
          <w:sz w:val="22"/>
        </w:rPr>
        <w:sectPr>
          <w:type w:val="continuous"/>
          <w:pgSz w:w="12240" w:h="15840"/>
          <w:pgMar w:top="1340" w:bottom="940" w:left="860" w:right="700"/>
        </w:sectPr>
      </w:pPr>
    </w:p>
    <w:p>
      <w:pPr>
        <w:pStyle w:val="Heading4"/>
        <w:spacing w:before="93"/>
        <w:rPr>
          <w:b w:val="0"/>
        </w:rPr>
      </w:pPr>
      <w:r>
        <w:rPr/>
        <w:t>Mathematical Formula</w:t>
      </w:r>
      <w:r>
        <w:rPr>
          <w:b w:val="0"/>
        </w:rPr>
        <w:t>:</w:t>
      </w:r>
    </w:p>
    <w:p>
      <w:pPr>
        <w:pStyle w:val="BodyText"/>
        <w:spacing w:before="10"/>
        <w:rPr>
          <w:sz w:val="20"/>
        </w:rPr>
      </w:pPr>
    </w:p>
    <w:p>
      <w:pPr>
        <w:pStyle w:val="BodyText"/>
        <w:tabs>
          <w:tab w:pos="1206" w:val="left" w:leader="none"/>
        </w:tabs>
        <w:spacing w:before="1"/>
        <w:ind w:left="220"/>
        <w:rPr>
          <w:rFonts w:ascii="Cambria Math" w:eastAsia="Cambria Math"/>
        </w:rPr>
      </w:pPr>
      <w:r>
        <w:rPr>
          <w:rFonts w:ascii="Cambria Math" w:eastAsia="Cambria Math"/>
        </w:rPr>
        <w:t>𝐼𝑀𝐸𝑋𝑃</w:t>
      </w:r>
      <w:r>
        <w:rPr>
          <w:rFonts w:ascii="Cambria Math" w:eastAsia="Cambria Math"/>
          <w:position w:val="1"/>
        </w:rPr>
        <w:t>(</w:t>
        <w:tab/>
        <w:t>) </w:t>
      </w:r>
      <w:r>
        <w:rPr>
          <w:rFonts w:ascii="Cambria Math" w:eastAsia="Cambria Math"/>
        </w:rPr>
        <w:t>= </w:t>
      </w:r>
      <w:r>
        <w:rPr>
          <w:rFonts w:ascii="Cambria Math" w:eastAsia="Cambria Math"/>
          <w:spacing w:val="2"/>
        </w:rPr>
        <w:t>𝑒</w:t>
      </w:r>
      <w:r>
        <w:rPr>
          <w:rFonts w:ascii="Cambria Math" w:eastAsia="Cambria Math"/>
          <w:spacing w:val="2"/>
          <w:vertAlign w:val="superscript"/>
        </w:rPr>
        <w:t>(𝑥+𝑦𝑖)</w:t>
      </w:r>
      <w:r>
        <w:rPr>
          <w:rFonts w:ascii="Cambria Math" w:eastAsia="Cambria Math"/>
          <w:spacing w:val="2"/>
          <w:vertAlign w:val="baseline"/>
        </w:rPr>
        <w:t> </w:t>
      </w:r>
      <w:r>
        <w:rPr>
          <w:rFonts w:ascii="Cambria Math" w:eastAsia="Cambria Math"/>
          <w:vertAlign w:val="baseline"/>
        </w:rPr>
        <w:t>= </w:t>
      </w:r>
      <w:r>
        <w:rPr>
          <w:rFonts w:ascii="Cambria Math" w:eastAsia="Cambria Math"/>
          <w:spacing w:val="8"/>
          <w:vertAlign w:val="baseline"/>
        </w:rPr>
        <w:t>𝑒</w:t>
      </w:r>
      <w:r>
        <w:rPr>
          <w:rFonts w:ascii="Cambria Math" w:eastAsia="Cambria Math"/>
          <w:spacing w:val="8"/>
          <w:vertAlign w:val="superscript"/>
        </w:rPr>
        <w:t>𝑥</w:t>
      </w:r>
      <w:r>
        <w:rPr>
          <w:rFonts w:ascii="Cambria Math" w:eastAsia="Cambria Math"/>
          <w:spacing w:val="8"/>
          <w:vertAlign w:val="baseline"/>
        </w:rPr>
        <w:t>𝑒</w:t>
      </w:r>
      <w:r>
        <w:rPr>
          <w:rFonts w:ascii="Cambria Math" w:eastAsia="Cambria Math"/>
          <w:spacing w:val="8"/>
          <w:vertAlign w:val="superscript"/>
        </w:rPr>
        <w:t>𝑦𝑖</w:t>
      </w:r>
      <w:r>
        <w:rPr>
          <w:rFonts w:ascii="Cambria Math" w:eastAsia="Cambria Math"/>
          <w:spacing w:val="8"/>
          <w:vertAlign w:val="baseline"/>
        </w:rPr>
        <w:t> </w:t>
      </w:r>
      <w:r>
        <w:rPr>
          <w:rFonts w:ascii="Cambria Math" w:eastAsia="Cambria Math"/>
          <w:vertAlign w:val="baseline"/>
        </w:rPr>
        <w:t>= </w:t>
      </w:r>
      <w:r>
        <w:rPr>
          <w:rFonts w:ascii="Cambria Math" w:eastAsia="Cambria Math"/>
          <w:spacing w:val="4"/>
          <w:vertAlign w:val="baseline"/>
        </w:rPr>
        <w:t>𝑒</w:t>
      </w:r>
      <w:r>
        <w:rPr>
          <w:rFonts w:ascii="Cambria Math" w:eastAsia="Cambria Math"/>
          <w:spacing w:val="4"/>
          <w:vertAlign w:val="superscript"/>
        </w:rPr>
        <w:t>𝑥</w:t>
      </w:r>
      <w:r>
        <w:rPr>
          <w:rFonts w:ascii="Cambria Math" w:eastAsia="Cambria Math"/>
          <w:spacing w:val="4"/>
          <w:position w:val="1"/>
          <w:vertAlign w:val="baseline"/>
        </w:rPr>
        <w:t>(</w:t>
      </w:r>
      <w:r>
        <w:rPr>
          <w:rFonts w:ascii="Cambria Math" w:eastAsia="Cambria Math"/>
          <w:spacing w:val="4"/>
          <w:vertAlign w:val="baseline"/>
        </w:rPr>
        <w:t>cos </w:t>
      </w:r>
      <w:r>
        <w:rPr>
          <w:rFonts w:ascii="Cambria Math" w:eastAsia="Cambria Math"/>
          <w:vertAlign w:val="baseline"/>
        </w:rPr>
        <w:t>𝑦 + 𝑖 sin</w:t>
      </w:r>
      <w:r>
        <w:rPr>
          <w:rFonts w:ascii="Cambria Math" w:eastAsia="Cambria Math"/>
          <w:spacing w:val="-4"/>
          <w:vertAlign w:val="baseline"/>
        </w:rPr>
        <w:t> </w:t>
      </w:r>
      <w:r>
        <w:rPr>
          <w:rFonts w:ascii="Cambria Math" w:eastAsia="Cambria Math"/>
          <w:vertAlign w:val="baseline"/>
        </w:rPr>
        <w:t>𝑦</w:t>
      </w:r>
      <w:r>
        <w:rPr>
          <w:rFonts w:ascii="Cambria Math" w:eastAsia="Cambria Math"/>
          <w:position w:val="1"/>
          <w:vertAlign w:val="baseline"/>
        </w:rPr>
        <w:t>)</w:t>
      </w:r>
    </w:p>
    <w:p>
      <w:pPr>
        <w:pStyle w:val="BodyText"/>
        <w:spacing w:before="3"/>
        <w:rPr>
          <w:rFonts w:ascii="Cambria Math"/>
          <w:sz w:val="20"/>
        </w:rPr>
      </w:pPr>
    </w:p>
    <w:p>
      <w:pPr>
        <w:pStyle w:val="BodyText"/>
        <w:spacing w:before="1"/>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z = the argument </w:t>
      </w:r>
      <w:r>
        <w:rPr>
          <w:rFonts w:ascii="Times New Roman" w:hAnsi="Times New Roman"/>
          <w:i/>
          <w:sz w:val="22"/>
        </w:rPr>
        <w:t>complex-number</w:t>
      </w:r>
      <w:r>
        <w:rPr>
          <w:sz w:val="22"/>
        </w:rPr>
        <w:t>, expressed in the form x +</w:t>
      </w:r>
      <w:r>
        <w:rPr>
          <w:spacing w:val="-6"/>
          <w:sz w:val="22"/>
        </w:rPr>
        <w:t> </w:t>
      </w:r>
      <w:r>
        <w:rPr>
          <w:sz w:val="22"/>
        </w:rPr>
        <w:t>yi</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0"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52"/>
              <w:rPr>
                <w:sz w:val="22"/>
              </w:rPr>
            </w:pPr>
            <w:r>
              <w:rPr>
                <w:sz w:val="22"/>
              </w:rPr>
              <w:t>The complex number for which the exponential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5"/>
        <w:rPr>
          <w:b/>
          <w:sz w:val="19"/>
        </w:rPr>
      </w:pPr>
    </w:p>
    <w:p>
      <w:pPr>
        <w:spacing w:line="278" w:lineRule="auto" w:before="0"/>
        <w:ind w:left="220" w:right="1073" w:firstLine="0"/>
        <w:jc w:val="left"/>
        <w:rPr>
          <w:sz w:val="22"/>
        </w:rPr>
      </w:pPr>
      <w:r>
        <w:rPr>
          <w:b/>
          <w:sz w:val="22"/>
        </w:rPr>
        <w:t>Return Type and Value: </w:t>
      </w:r>
      <w:r>
        <w:rPr>
          <w:sz w:val="22"/>
        </w:rPr>
        <w:t>text – A string containing the exponential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w:t>
      </w:r>
    </w:p>
    <w:p>
      <w:pPr>
        <w:spacing w:line="453" w:lineRule="auto" w:before="198"/>
        <w:ind w:left="220" w:right="4547" w:firstLine="0"/>
        <w:jc w:val="left"/>
        <w:rPr>
          <w:sz w:val="22"/>
        </w:rPr>
      </w:pPr>
      <w:r>
        <w:rPr>
          <w:sz w:val="22"/>
        </w:rPr>
        <w:t>However, if </w:t>
      </w:r>
      <w:r>
        <w:rPr>
          <w:rFonts w:ascii="Times New Roman"/>
          <w:i/>
          <w:sz w:val="22"/>
        </w:rPr>
        <w:t>complex-number </w:t>
      </w:r>
      <w:r>
        <w:rPr>
          <w:sz w:val="22"/>
        </w:rPr>
        <w:t>is ill-formed, </w:t>
      </w:r>
      <w:r>
        <w:rPr>
          <w:rFonts w:ascii="Consolas"/>
          <w:sz w:val="22"/>
        </w:rPr>
        <w:t>#NUM!</w:t>
      </w:r>
      <w:r>
        <w:rPr>
          <w:rFonts w:ascii="Consolas"/>
          <w:spacing w:val="-90"/>
          <w:sz w:val="22"/>
        </w:rPr>
        <w:t> </w:t>
      </w:r>
      <w:r>
        <w:rPr>
          <w:sz w:val="22"/>
        </w:rPr>
        <w:t>is returned. [</w:t>
      </w:r>
      <w:r>
        <w:rPr>
          <w:i/>
          <w:sz w:val="22"/>
        </w:rPr>
        <w:t>Example</w:t>
      </w:r>
      <w:r>
        <w:rPr>
          <w:sz w:val="22"/>
        </w:rPr>
        <w:t>:</w:t>
      </w:r>
    </w:p>
    <w:p>
      <w:pPr>
        <w:pStyle w:val="BodyText"/>
        <w:spacing w:line="273" w:lineRule="auto" w:before="110"/>
        <w:ind w:left="220" w:right="3184"/>
        <w:rPr>
          <w:rFonts w:ascii="Consolas"/>
        </w:rPr>
      </w:pPr>
      <w:r>
        <w:rPr>
          <w:rFonts w:ascii="Consolas"/>
        </w:rPr>
        <w:t>IMEXP("2.3+4.5i")</w:t>
      </w:r>
      <w:r>
        <w:rPr>
          <w:rFonts w:ascii="Consolas"/>
          <w:spacing w:val="-78"/>
        </w:rPr>
        <w:t> </w:t>
      </w:r>
      <w:r>
        <w:rPr/>
        <w:t>results in </w:t>
      </w:r>
      <w:r>
        <w:rPr>
          <w:rFonts w:ascii="Consolas"/>
        </w:rPr>
        <w:t>-2.10251576423113-9.75006374866818i IMEXP("-1-4j")</w:t>
      </w:r>
      <w:r>
        <w:rPr>
          <w:rFonts w:ascii="Consolas"/>
          <w:spacing w:val="-72"/>
        </w:rPr>
        <w:t> </w:t>
      </w:r>
      <w:r>
        <w:rPr/>
        <w:t>results in </w:t>
      </w:r>
      <w:r>
        <w:rPr>
          <w:rFonts w:ascii="Consolas"/>
        </w:rPr>
        <w:t>-0.240462049968584+0.278412079051034j</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6 IMLN" w:id="1860"/>
      <w:bookmarkEnd w:id="1860"/>
      <w:r>
        <w:rPr/>
      </w:r>
      <w:bookmarkStart w:name="_bookmark619" w:id="1861"/>
      <w:bookmarkEnd w:id="1861"/>
      <w:r>
        <w:rPr/>
      </w:r>
      <w:bookmarkStart w:name="_bookmark619" w:id="1862"/>
      <w:bookmarkEnd w:id="1862"/>
      <w:r>
        <w:rPr>
          <w:color w:val="4F81BC"/>
        </w:rPr>
        <w:t>I</w:t>
      </w:r>
      <w:r>
        <w:rPr>
          <w:color w:val="4F81BC"/>
        </w:rPr>
        <w:t>MLN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IMLN ( </w:t>
      </w:r>
      <w:r>
        <w:rPr>
          <w:i/>
          <w:sz w:val="22"/>
        </w:rPr>
        <w:t>complex-number </w:t>
      </w:r>
      <w:r>
        <w:rPr>
          <w:rFonts w:ascii="Lucida Console"/>
          <w:sz w:val="20"/>
        </w:rPr>
        <w:t>)</w:t>
      </w:r>
    </w:p>
    <w:p>
      <w:pPr>
        <w:spacing w:before="108"/>
        <w:ind w:left="220" w:right="0" w:firstLine="0"/>
        <w:jc w:val="left"/>
        <w:rPr>
          <w:sz w:val="22"/>
        </w:rPr>
      </w:pPr>
      <w:r>
        <w:rPr>
          <w:b/>
          <w:sz w:val="22"/>
        </w:rPr>
        <w:t>Description: </w:t>
      </w:r>
      <w:r>
        <w:rPr>
          <w:sz w:val="22"/>
        </w:rPr>
        <w:t>Computes the natural logarithm of </w:t>
      </w:r>
      <w:r>
        <w:rPr>
          <w:rFonts w:ascii="Times New Roman"/>
          <w:i/>
          <w:sz w:val="22"/>
        </w:rPr>
        <w:t>complex-number</w:t>
      </w:r>
      <w:r>
        <w:rPr>
          <w:sz w:val="22"/>
        </w:rPr>
        <w:t>.</w:t>
      </w:r>
    </w:p>
    <w:p>
      <w:pPr>
        <w:pStyle w:val="BodyText"/>
        <w:spacing w:before="1"/>
        <w:rPr>
          <w:sz w:val="15"/>
        </w:rPr>
      </w:pPr>
    </w:p>
    <w:p>
      <w:pPr>
        <w:pStyle w:val="Heading4"/>
        <w:spacing w:before="57"/>
        <w:rPr>
          <w:b w:val="0"/>
        </w:rPr>
      </w:pPr>
      <w:r>
        <w:rPr/>
        <w:t>Mathematical Formula</w:t>
      </w:r>
      <w:r>
        <w:rPr>
          <w:b w:val="0"/>
        </w:rPr>
        <w:t>:</w:t>
      </w:r>
    </w:p>
    <w:p>
      <w:pPr>
        <w:pStyle w:val="BodyText"/>
        <w:spacing w:line="373" w:lineRule="exact" w:before="161"/>
        <w:ind w:left="220"/>
        <w:rPr>
          <w:rFonts w:ascii="Cambria Math" w:hAnsi="Cambria Math" w:eastAsia="Cambria Math"/>
        </w:rPr>
      </w:pPr>
      <w:r>
        <w:rPr/>
        <w:pict>
          <v:line style="position:absolute;mso-position-horizontal-relative:page;mso-position-vertical-relative:paragraph;z-index:-335858688" from="137.419998pt,16.442165pt" to="173.899998pt,16.442165pt" stroked="true" strokeweight=".71997pt" strokecolor="#000000">
            <v:stroke dashstyle="solid"/>
            <w10:wrap type="none"/>
          </v:line>
        </w:pict>
      </w:r>
      <w:r>
        <w:rPr/>
        <w:pict>
          <v:rect style="position:absolute;margin-left:226.009995pt;margin-top:23.522181pt;width:6.36pt;height:.71997pt;mso-position-horizontal-relative:page;mso-position-vertical-relative:paragraph;z-index:-335857664" filled="true" fillcolor="#000000" stroked="false">
            <v:fill type="solid"/>
            <w10:wrap type="none"/>
          </v:rect>
        </w:pict>
      </w:r>
      <w:r>
        <w:rPr/>
        <w:pict>
          <v:shape style="position:absolute;margin-left:220.610001pt;margin-top:18.404104pt;width:5.45pt;height:11.1pt;mso-position-horizontal-relative:page;mso-position-vertical-relative:paragraph;z-index:-335856640" type="#_x0000_t202" filled="false" stroked="false">
            <v:textbox inset="0,0,0,0">
              <w:txbxContent>
                <w:p>
                  <w:pPr>
                    <w:pStyle w:val="BodyText"/>
                    <w:spacing w:line="221" w:lineRule="exact"/>
                    <w:rPr>
                      <w:rFonts w:ascii="Cambria Math"/>
                    </w:rPr>
                  </w:pPr>
                  <w:r>
                    <w:rPr>
                      <w:rFonts w:ascii="Cambria Math"/>
                      <w:w w:val="118"/>
                    </w:rPr>
                    <w:t>(</w:t>
                  </w:r>
                </w:p>
              </w:txbxContent>
            </v:textbox>
            <w10:wrap type="none"/>
          </v:shape>
        </w:pict>
      </w:r>
      <w:r>
        <w:rPr>
          <w:rFonts w:ascii="Cambria Math" w:hAnsi="Cambria Math" w:eastAsia="Cambria Math"/>
        </w:rPr>
        <w:t>ln</w:t>
      </w:r>
      <w:r>
        <w:rPr>
          <w:rFonts w:ascii="Cambria Math" w:hAnsi="Cambria Math" w:eastAsia="Cambria Math"/>
          <w:position w:val="1"/>
        </w:rPr>
        <w:t>(</w:t>
      </w:r>
      <w:r>
        <w:rPr>
          <w:rFonts w:ascii="Cambria Math" w:hAnsi="Cambria Math" w:eastAsia="Cambria Math"/>
        </w:rPr>
        <w:t>𝑥 + 𝑦𝑖</w:t>
      </w:r>
      <w:r>
        <w:rPr>
          <w:rFonts w:ascii="Cambria Math" w:hAnsi="Cambria Math" w:eastAsia="Cambria Math"/>
          <w:position w:val="1"/>
        </w:rPr>
        <w:t>) </w:t>
      </w:r>
      <w:r>
        <w:rPr>
          <w:rFonts w:ascii="Cambria Math" w:hAnsi="Cambria Math" w:eastAsia="Cambria Math"/>
        </w:rPr>
        <w:t>= ln √𝑥</w:t>
      </w:r>
      <w:r>
        <w:rPr>
          <w:rFonts w:ascii="Cambria Math" w:hAnsi="Cambria Math" w:eastAsia="Cambria Math"/>
          <w:position w:val="7"/>
          <w:sz w:val="16"/>
        </w:rPr>
        <w:t>2 </w:t>
      </w:r>
      <w:r>
        <w:rPr>
          <w:rFonts w:ascii="Cambria Math" w:hAnsi="Cambria Math" w:eastAsia="Cambria Math"/>
        </w:rPr>
        <w:t>+ 𝑦</w:t>
      </w:r>
      <w:r>
        <w:rPr>
          <w:rFonts w:ascii="Cambria Math" w:hAnsi="Cambria Math" w:eastAsia="Cambria Math"/>
          <w:position w:val="7"/>
          <w:sz w:val="16"/>
        </w:rPr>
        <w:t>2 </w:t>
      </w:r>
      <w:r>
        <w:rPr>
          <w:rFonts w:ascii="Cambria Math" w:hAnsi="Cambria Math" w:eastAsia="Cambria Math"/>
        </w:rPr>
        <w:t>+ 𝑖 tan</w:t>
      </w:r>
      <w:r>
        <w:rPr>
          <w:rFonts w:ascii="Cambria Math" w:hAnsi="Cambria Math" w:eastAsia="Cambria Math"/>
          <w:vertAlign w:val="superscript"/>
        </w:rPr>
        <w:t>−1</w:t>
      </w:r>
      <w:r>
        <w:rPr>
          <w:rFonts w:ascii="Cambria Math" w:hAnsi="Cambria Math" w:eastAsia="Cambria Math"/>
          <w:vertAlign w:val="baseline"/>
        </w:rPr>
        <w:t> </w:t>
      </w:r>
      <w:r>
        <w:rPr>
          <w:rFonts w:ascii="Cambria Math" w:hAnsi="Cambria Math" w:eastAsia="Cambria Math"/>
          <w:position w:val="17"/>
          <w:vertAlign w:val="baseline"/>
        </w:rPr>
        <w:t>𝑦</w:t>
      </w:r>
      <w:r>
        <w:rPr>
          <w:rFonts w:ascii="Cambria Math" w:hAnsi="Cambria Math" w:eastAsia="Cambria Math"/>
          <w:vertAlign w:val="baseline"/>
        </w:rPr>
        <w:t>)</w:t>
      </w:r>
    </w:p>
    <w:p>
      <w:pPr>
        <w:pStyle w:val="BodyText"/>
        <w:spacing w:line="203" w:lineRule="exact"/>
        <w:ind w:left="165" w:right="3405"/>
        <w:jc w:val="center"/>
        <w:rPr>
          <w:rFonts w:ascii="Cambria Math" w:eastAsia="Cambria Math"/>
        </w:rPr>
      </w:pPr>
      <w:r>
        <w:rPr>
          <w:rFonts w:ascii="Cambria Math" w:eastAsia="Cambria Math"/>
        </w:rPr>
        <w:t>𝑥</w:t>
      </w:r>
    </w:p>
    <w:p>
      <w:pPr>
        <w:pStyle w:val="BodyText"/>
        <w:spacing w:before="9"/>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the argument </w:t>
      </w:r>
      <w:r>
        <w:rPr>
          <w:rFonts w:ascii="Times New Roman" w:hAnsi="Times New Roman"/>
          <w:i/>
          <w:sz w:val="22"/>
        </w:rPr>
        <w:t>complex-number </w:t>
      </w:r>
      <w:r>
        <w:rPr>
          <w:sz w:val="22"/>
        </w:rPr>
        <w:t>is expressed in the form x +</w:t>
      </w:r>
      <w:r>
        <w:rPr>
          <w:spacing w:val="-10"/>
          <w:sz w:val="22"/>
        </w:rPr>
        <w:t> </w:t>
      </w:r>
      <w:r>
        <w:rPr>
          <w:sz w:val="22"/>
        </w:rPr>
        <w:t>yi</w:t>
      </w:r>
    </w:p>
    <w:p>
      <w:pPr>
        <w:pStyle w:val="Heading4"/>
        <w:spacing w:before="243"/>
      </w:pPr>
      <w:r>
        <w:rPr/>
        <w:t>Arguments:</w:t>
      </w:r>
    </w:p>
    <w:p>
      <w:pPr>
        <w:spacing w:after="0"/>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325"/>
              <w:rPr>
                <w:sz w:val="22"/>
              </w:rPr>
            </w:pPr>
            <w:r>
              <w:rPr>
                <w:sz w:val="22"/>
              </w:rPr>
              <w:t>The complex number for which the natural logarithm is being computed. </w:t>
            </w:r>
            <w:r>
              <w:rPr>
                <w:rFonts w:ascii="Times New Roman"/>
                <w:i/>
                <w:sz w:val="22"/>
              </w:rPr>
              <w:t>complex-number </w:t>
            </w:r>
            <w:r>
              <w:rPr>
                <w:sz w:val="22"/>
              </w:rPr>
              <w:t>shall be in </w:t>
            </w:r>
            <w:r>
              <w:rPr>
                <w:i/>
                <w:sz w:val="22"/>
              </w:rPr>
              <w:t>x + yi </w:t>
            </w:r>
            <w:r>
              <w:rPr>
                <w:sz w:val="22"/>
              </w:rPr>
              <w:t>or</w:t>
            </w:r>
          </w:p>
          <w:p>
            <w:pPr>
              <w:pStyle w:val="TableParagraph"/>
              <w:spacing w:before="0"/>
              <w:ind w:left="113"/>
              <w:rPr>
                <w:sz w:val="22"/>
              </w:rPr>
            </w:pPr>
            <w:r>
              <w:rPr>
                <w:i/>
                <w:sz w:val="22"/>
              </w:rPr>
              <w:t>x + yj </w:t>
            </w:r>
            <w:r>
              <w:rPr>
                <w:sz w:val="22"/>
              </w:rPr>
              <w:t>text format.</w:t>
            </w:r>
          </w:p>
        </w:tc>
      </w:tr>
    </w:tbl>
    <w:p>
      <w:pPr>
        <w:pStyle w:val="BodyText"/>
        <w:rPr>
          <w:b/>
          <w:sz w:val="20"/>
        </w:rPr>
      </w:pPr>
    </w:p>
    <w:p>
      <w:pPr>
        <w:pStyle w:val="BodyText"/>
        <w:spacing w:before="7"/>
        <w:rPr>
          <w:b/>
          <w:sz w:val="21"/>
        </w:rPr>
      </w:pPr>
    </w:p>
    <w:p>
      <w:pPr>
        <w:spacing w:line="453" w:lineRule="auto" w:before="0"/>
        <w:ind w:left="220" w:right="1538" w:firstLine="0"/>
        <w:jc w:val="left"/>
        <w:rPr>
          <w:sz w:val="22"/>
        </w:rPr>
      </w:pPr>
      <w:r>
        <w:rPr>
          <w:b/>
          <w:sz w:val="22"/>
        </w:rPr>
        <w:t>Return Type and Value: </w:t>
      </w:r>
      <w:r>
        <w:rPr>
          <w:sz w:val="22"/>
        </w:rPr>
        <w:t>text – The natural logarithm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 However, if </w:t>
      </w:r>
      <w:r>
        <w:rPr>
          <w:rFonts w:ascii="Times New Roman" w:hAnsi="Times New Roman"/>
          <w:i/>
          <w:sz w:val="22"/>
        </w:rPr>
        <w:t>complex-number </w:t>
      </w:r>
      <w:r>
        <w:rPr>
          <w:sz w:val="22"/>
        </w:rPr>
        <w:t>is ill-formed or zero, </w:t>
      </w:r>
      <w:r>
        <w:rPr>
          <w:rFonts w:ascii="Consolas" w:hAnsi="Consolas"/>
          <w:sz w:val="22"/>
        </w:rPr>
        <w:t>#NUM!</w:t>
      </w:r>
      <w:r>
        <w:rPr>
          <w:rFonts w:ascii="Consolas" w:hAnsi="Consolas"/>
          <w:spacing w:val="-79"/>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8" w:lineRule="auto"/>
        <w:ind w:left="220" w:right="3253"/>
        <w:rPr>
          <w:rFonts w:ascii="Consolas"/>
        </w:rPr>
      </w:pPr>
      <w:r>
        <w:rPr>
          <w:rFonts w:ascii="Consolas"/>
        </w:rPr>
        <w:t>IMLN("3+4i") </w:t>
      </w:r>
      <w:r>
        <w:rPr/>
        <w:t>results in </w:t>
      </w:r>
      <w:r>
        <w:rPr>
          <w:rFonts w:ascii="Consolas"/>
        </w:rPr>
        <w:t>1.6094379124341+0.927295218001612i IMLN("-2.5-34.6j")</w:t>
      </w:r>
      <w:r>
        <w:rPr>
          <w:rFonts w:ascii="Consolas"/>
          <w:spacing w:val="-97"/>
        </w:rPr>
        <w:t> </w:t>
      </w:r>
      <w:r>
        <w:rPr/>
        <w:t>results in </w:t>
      </w:r>
      <w:r>
        <w:rPr>
          <w:rFonts w:ascii="Consolas"/>
        </w:rPr>
        <w:t>3.54645723627033-1.64292531532225j</w:t>
      </w:r>
    </w:p>
    <w:p>
      <w:pPr>
        <w:pStyle w:val="BodyText"/>
        <w:spacing w:before="2"/>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7 IMLOG10" w:id="1863"/>
      <w:bookmarkEnd w:id="1863"/>
      <w:r>
        <w:rPr/>
      </w:r>
      <w:bookmarkStart w:name="_bookmark620" w:id="1864"/>
      <w:bookmarkEnd w:id="1864"/>
      <w:r>
        <w:rPr/>
      </w:r>
      <w:bookmarkStart w:name="_bookmark620" w:id="1865"/>
      <w:bookmarkEnd w:id="1865"/>
      <w:r>
        <w:rPr>
          <w:color w:val="4F81BC"/>
        </w:rPr>
        <w:t>I</w:t>
      </w:r>
      <w:r>
        <w:rPr>
          <w:color w:val="4F81BC"/>
        </w:rPr>
        <w:t>MLOG10</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IMLOG10 ( </w:t>
      </w:r>
      <w:r>
        <w:rPr>
          <w:i/>
          <w:sz w:val="22"/>
        </w:rPr>
        <w:t>complex-number </w:t>
      </w:r>
      <w:r>
        <w:rPr>
          <w:rFonts w:ascii="Lucida Console"/>
          <w:sz w:val="20"/>
        </w:rPr>
        <w:t>)</w:t>
      </w:r>
    </w:p>
    <w:p>
      <w:pPr>
        <w:spacing w:before="108"/>
        <w:ind w:left="220" w:right="0" w:firstLine="0"/>
        <w:jc w:val="left"/>
        <w:rPr>
          <w:sz w:val="22"/>
        </w:rPr>
      </w:pPr>
      <w:r>
        <w:rPr>
          <w:b/>
          <w:sz w:val="22"/>
        </w:rPr>
        <w:t>Description: </w:t>
      </w:r>
      <w:r>
        <w:rPr>
          <w:sz w:val="22"/>
        </w:rPr>
        <w:t>Computes the base-10 logarithm of </w:t>
      </w:r>
      <w:r>
        <w:rPr>
          <w:rFonts w:ascii="Times New Roman"/>
          <w:i/>
          <w:sz w:val="22"/>
        </w:rPr>
        <w:t>complex-number</w:t>
      </w:r>
      <w:r>
        <w:rPr>
          <w:sz w:val="22"/>
        </w:rPr>
        <w:t>.</w:t>
      </w:r>
    </w:p>
    <w:p>
      <w:pPr>
        <w:pStyle w:val="BodyText"/>
        <w:spacing w:before="8"/>
        <w:rPr>
          <w:sz w:val="19"/>
        </w:rPr>
      </w:pPr>
    </w:p>
    <w:p>
      <w:pPr>
        <w:pStyle w:val="Heading4"/>
        <w:spacing w:before="1"/>
        <w:rPr>
          <w:b w:val="0"/>
        </w:rPr>
      </w:pPr>
      <w:r>
        <w:rPr/>
        <w:t>Mathematical Formula</w:t>
      </w:r>
      <w:r>
        <w:rPr>
          <w:b w:val="0"/>
        </w:rPr>
        <w:t>:</w:t>
      </w:r>
    </w:p>
    <w:p>
      <w:pPr>
        <w:pStyle w:val="BodyText"/>
        <w:spacing w:before="11"/>
        <w:rPr>
          <w:sz w:val="19"/>
        </w:rPr>
      </w:pPr>
    </w:p>
    <w:p>
      <w:pPr>
        <w:pStyle w:val="BodyText"/>
        <w:ind w:left="220"/>
      </w:pPr>
      <w:r>
        <w:rPr/>
        <w:t>The common logarithm of a complex number can be calculated from the natural logarithm as follows:</w:t>
      </w:r>
    </w:p>
    <w:p>
      <w:pPr>
        <w:pStyle w:val="BodyText"/>
        <w:spacing w:before="8"/>
        <w:rPr>
          <w:sz w:val="18"/>
        </w:rPr>
      </w:pPr>
    </w:p>
    <w:p>
      <w:pPr>
        <w:pStyle w:val="BodyText"/>
        <w:ind w:left="220"/>
        <w:rPr>
          <w:rFonts w:ascii="Cambria Math" w:eastAsia="Cambria Math"/>
        </w:rPr>
      </w:pPr>
      <w:r>
        <w:rPr>
          <w:rFonts w:ascii="Cambria Math" w:eastAsia="Cambria Math"/>
        </w:rPr>
        <w:t>log</w:t>
      </w:r>
      <w:r>
        <w:rPr>
          <w:rFonts w:ascii="Cambria Math" w:eastAsia="Cambria Math"/>
          <w:position w:val="-4"/>
          <w:sz w:val="16"/>
        </w:rPr>
        <w:t>10</w:t>
      </w:r>
      <w:r>
        <w:rPr>
          <w:rFonts w:ascii="Cambria Math" w:eastAsia="Cambria Math"/>
          <w:position w:val="1"/>
        </w:rPr>
        <w:t>(</w:t>
      </w:r>
      <w:r>
        <w:rPr>
          <w:rFonts w:ascii="Cambria Math" w:eastAsia="Cambria Math"/>
        </w:rPr>
        <w:t>𝑥 + 𝑦𝑖</w:t>
      </w:r>
      <w:r>
        <w:rPr>
          <w:rFonts w:ascii="Cambria Math" w:eastAsia="Cambria Math"/>
          <w:position w:val="1"/>
        </w:rPr>
        <w:t>) </w:t>
      </w:r>
      <w:r>
        <w:rPr>
          <w:rFonts w:ascii="Cambria Math" w:eastAsia="Cambria Math"/>
        </w:rPr>
        <w:t>= </w:t>
      </w:r>
      <w:r>
        <w:rPr>
          <w:rFonts w:ascii="Cambria Math" w:eastAsia="Cambria Math"/>
          <w:position w:val="1"/>
        </w:rPr>
        <w:t>(</w:t>
      </w:r>
      <w:r>
        <w:rPr>
          <w:rFonts w:ascii="Cambria Math" w:eastAsia="Cambria Math"/>
        </w:rPr>
        <w:t>log</w:t>
      </w:r>
      <w:r>
        <w:rPr>
          <w:rFonts w:ascii="Cambria Math" w:eastAsia="Cambria Math"/>
          <w:position w:val="-4"/>
          <w:sz w:val="16"/>
        </w:rPr>
        <w:t>10 </w:t>
      </w:r>
      <w:r>
        <w:rPr>
          <w:rFonts w:ascii="Cambria Math" w:eastAsia="Cambria Math"/>
        </w:rPr>
        <w:t>𝑒</w:t>
      </w:r>
      <w:r>
        <w:rPr>
          <w:rFonts w:ascii="Cambria Math" w:eastAsia="Cambria Math"/>
          <w:position w:val="1"/>
        </w:rPr>
        <w:t>) </w:t>
      </w:r>
      <w:r>
        <w:rPr>
          <w:rFonts w:ascii="Cambria Math" w:eastAsia="Cambria Math"/>
        </w:rPr>
        <w:t>ln</w:t>
      </w:r>
      <w:r>
        <w:rPr>
          <w:rFonts w:ascii="Cambria Math" w:eastAsia="Cambria Math"/>
          <w:position w:val="1"/>
        </w:rPr>
        <w:t>(</w:t>
      </w:r>
      <w:r>
        <w:rPr>
          <w:rFonts w:ascii="Cambria Math" w:eastAsia="Cambria Math"/>
        </w:rPr>
        <w:t>𝑥 + 𝑦𝑖</w:t>
      </w:r>
      <w:r>
        <w:rPr>
          <w:rFonts w:ascii="Cambria Math" w:eastAsia="Cambria Math"/>
          <w:position w:val="1"/>
        </w:rPr>
        <w:t>)</w:t>
      </w:r>
    </w:p>
    <w:p>
      <w:pPr>
        <w:pStyle w:val="BodyText"/>
        <w:spacing w:before="202"/>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the argument </w:t>
      </w:r>
      <w:r>
        <w:rPr>
          <w:rFonts w:ascii="Times New Roman" w:hAnsi="Times New Roman"/>
          <w:i/>
          <w:sz w:val="22"/>
        </w:rPr>
        <w:t>complex-number </w:t>
      </w:r>
      <w:r>
        <w:rPr>
          <w:sz w:val="22"/>
        </w:rPr>
        <w:t>is expressed in the form x +</w:t>
      </w:r>
      <w:r>
        <w:rPr>
          <w:spacing w:val="-10"/>
          <w:sz w:val="22"/>
        </w:rPr>
        <w:t> </w:t>
      </w:r>
      <w:r>
        <w:rPr>
          <w:sz w:val="22"/>
        </w:rPr>
        <w:t>yi</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261"/>
              <w:rPr>
                <w:sz w:val="22"/>
              </w:rPr>
            </w:pPr>
            <w:r>
              <w:rPr>
                <w:sz w:val="22"/>
              </w:rPr>
              <w:t>The complex number for which the base-10 logarithm is being computed. </w:t>
            </w:r>
            <w:r>
              <w:rPr>
                <w:rFonts w:ascii="Times New Roman"/>
                <w:i/>
                <w:sz w:val="22"/>
              </w:rPr>
              <w:t>complex-number </w:t>
            </w:r>
            <w:r>
              <w:rPr>
                <w:sz w:val="22"/>
              </w:rPr>
              <w:t>shall be in </w:t>
            </w:r>
            <w:r>
              <w:rPr>
                <w:i/>
                <w:sz w:val="22"/>
              </w:rPr>
              <w:t>x + yi </w:t>
            </w:r>
            <w:r>
              <w:rPr>
                <w:sz w:val="22"/>
              </w:rPr>
              <w:t>or</w:t>
            </w:r>
          </w:p>
          <w:p>
            <w:pPr>
              <w:pStyle w:val="TableParagraph"/>
              <w:spacing w:before="1"/>
              <w:ind w:left="113"/>
              <w:rPr>
                <w:sz w:val="22"/>
              </w:rPr>
            </w:pPr>
            <w:r>
              <w:rPr>
                <w:i/>
                <w:sz w:val="22"/>
              </w:rPr>
              <w:t>x + yj </w:t>
            </w:r>
            <w:r>
              <w:rPr>
                <w:sz w:val="22"/>
              </w:rPr>
              <w:t>text format.</w:t>
            </w:r>
          </w:p>
        </w:tc>
      </w:tr>
    </w:tbl>
    <w:p>
      <w:pPr>
        <w:pStyle w:val="BodyText"/>
        <w:rPr>
          <w:b/>
        </w:rPr>
      </w:pPr>
    </w:p>
    <w:p>
      <w:pPr>
        <w:pStyle w:val="BodyText"/>
        <w:spacing w:before="7"/>
        <w:rPr>
          <w:b/>
          <w:sz w:val="19"/>
        </w:rPr>
      </w:pPr>
    </w:p>
    <w:p>
      <w:pPr>
        <w:spacing w:line="453" w:lineRule="auto" w:before="0"/>
        <w:ind w:left="220" w:right="1474" w:firstLine="0"/>
        <w:jc w:val="left"/>
        <w:rPr>
          <w:sz w:val="22"/>
        </w:rPr>
      </w:pPr>
      <w:r>
        <w:rPr>
          <w:b/>
          <w:sz w:val="22"/>
        </w:rPr>
        <w:t>Return Type and Value: </w:t>
      </w:r>
      <w:r>
        <w:rPr>
          <w:sz w:val="22"/>
        </w:rPr>
        <w:t>text – The base-10 logarithm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 However, if </w:t>
      </w:r>
      <w:r>
        <w:rPr>
          <w:rFonts w:ascii="Times New Roman" w:hAnsi="Times New Roman"/>
          <w:i/>
          <w:sz w:val="22"/>
        </w:rPr>
        <w:t>complex-number </w:t>
      </w:r>
      <w:r>
        <w:rPr>
          <w:sz w:val="22"/>
        </w:rPr>
        <w:t>is ill-formed or zero, </w:t>
      </w:r>
      <w:r>
        <w:rPr>
          <w:rFonts w:ascii="Consolas" w:hAnsi="Consolas"/>
          <w:sz w:val="22"/>
        </w:rPr>
        <w:t>#NUM!</w:t>
      </w:r>
      <w:r>
        <w:rPr>
          <w:rFonts w:ascii="Consolas" w:hAnsi="Consolas"/>
          <w:spacing w:val="-79"/>
          <w:sz w:val="22"/>
        </w:rPr>
        <w:t> </w:t>
      </w:r>
      <w:r>
        <w:rPr>
          <w:sz w:val="22"/>
        </w:rPr>
        <w:t>is returned.</w:t>
      </w:r>
    </w:p>
    <w:p>
      <w:pPr>
        <w:spacing w:after="0" w:line="453"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2651"/>
        <w:rPr>
          <w:rFonts w:ascii="Consolas"/>
        </w:rPr>
      </w:pPr>
      <w:r>
        <w:rPr>
          <w:rFonts w:ascii="Consolas"/>
        </w:rPr>
        <w:t>IMLOG10("3+4i") </w:t>
      </w:r>
      <w:r>
        <w:rPr/>
        <w:t>results in </w:t>
      </w:r>
      <w:r>
        <w:rPr>
          <w:rFonts w:ascii="Consolas"/>
        </w:rPr>
        <w:t>10.698970004336019+0.402719196273373i IMLOG10("-2.5-34.6j")</w:t>
      </w:r>
      <w:r>
        <w:rPr>
          <w:rFonts w:ascii="Consolas"/>
          <w:spacing w:val="-100"/>
        </w:rPr>
        <w:t> </w:t>
      </w:r>
      <w:r>
        <w:rPr/>
        <w:t>results in </w:t>
      </w:r>
      <w:r>
        <w:rPr>
          <w:rFonts w:ascii="Consolas"/>
        </w:rPr>
        <w:t>11.54020680801806-0.713513398623614j</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8 IMLOG2" w:id="1866"/>
      <w:bookmarkEnd w:id="1866"/>
      <w:r>
        <w:rPr/>
      </w:r>
      <w:bookmarkStart w:name="_bookmark621" w:id="1867"/>
      <w:bookmarkEnd w:id="1867"/>
      <w:r>
        <w:rPr/>
      </w:r>
      <w:bookmarkStart w:name="_bookmark621" w:id="1868"/>
      <w:bookmarkEnd w:id="1868"/>
      <w:r>
        <w:rPr>
          <w:color w:val="4F81BC"/>
        </w:rPr>
        <w:t>I</w:t>
      </w:r>
      <w:r>
        <w:rPr>
          <w:color w:val="4F81BC"/>
        </w:rPr>
        <w:t>MLOG2</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IMLOG2 ( </w:t>
      </w:r>
      <w:r>
        <w:rPr>
          <w:i/>
          <w:sz w:val="22"/>
        </w:rPr>
        <w:t>complex-number </w:t>
      </w:r>
      <w:r>
        <w:rPr>
          <w:rFonts w:ascii="Lucida Console"/>
          <w:sz w:val="20"/>
        </w:rPr>
        <w:t>)</w:t>
      </w:r>
    </w:p>
    <w:p>
      <w:pPr>
        <w:spacing w:before="109"/>
        <w:ind w:left="220" w:right="0" w:firstLine="0"/>
        <w:jc w:val="left"/>
        <w:rPr>
          <w:sz w:val="22"/>
        </w:rPr>
      </w:pPr>
      <w:r>
        <w:rPr>
          <w:b/>
          <w:sz w:val="22"/>
        </w:rPr>
        <w:t>Description: </w:t>
      </w:r>
      <w:r>
        <w:rPr>
          <w:sz w:val="22"/>
        </w:rPr>
        <w:t>Computes the base-2 logarithm of </w:t>
      </w:r>
      <w:r>
        <w:rPr>
          <w:rFonts w:ascii="Times New Roman"/>
          <w:i/>
          <w:sz w:val="22"/>
        </w:rPr>
        <w:t>complex-number</w:t>
      </w:r>
      <w:r>
        <w:rPr>
          <w:sz w:val="22"/>
        </w:rPr>
        <w:t>.</w:t>
      </w:r>
    </w:p>
    <w:p>
      <w:pPr>
        <w:pStyle w:val="BodyText"/>
        <w:spacing w:before="8"/>
        <w:rPr>
          <w:sz w:val="19"/>
        </w:rPr>
      </w:pPr>
    </w:p>
    <w:p>
      <w:pPr>
        <w:pStyle w:val="Heading4"/>
        <w:spacing w:before="1"/>
        <w:rPr>
          <w:b w:val="0"/>
        </w:rPr>
      </w:pPr>
      <w:r>
        <w:rPr/>
        <w:t>Mathematical Formula</w:t>
      </w:r>
      <w:r>
        <w:rPr>
          <w:b w:val="0"/>
        </w:rPr>
        <w:t>:</w:t>
      </w:r>
    </w:p>
    <w:p>
      <w:pPr>
        <w:pStyle w:val="BodyText"/>
        <w:spacing w:before="8"/>
        <w:rPr>
          <w:sz w:val="19"/>
        </w:rPr>
      </w:pPr>
    </w:p>
    <w:p>
      <w:pPr>
        <w:pStyle w:val="BodyText"/>
        <w:ind w:left="220"/>
      </w:pPr>
      <w:r>
        <w:rPr/>
        <w:t>The base-2 logarithm of a complex number can be calculated from the natural logarithm as follows:</w:t>
      </w:r>
    </w:p>
    <w:p>
      <w:pPr>
        <w:pStyle w:val="BodyText"/>
        <w:spacing w:before="8"/>
        <w:rPr>
          <w:sz w:val="18"/>
        </w:rPr>
      </w:pPr>
    </w:p>
    <w:p>
      <w:pPr>
        <w:pStyle w:val="BodyText"/>
        <w:ind w:left="220"/>
        <w:rPr>
          <w:rFonts w:ascii="Cambria Math" w:eastAsia="Cambria Math"/>
        </w:rPr>
      </w:pPr>
      <w:r>
        <w:rPr>
          <w:rFonts w:ascii="Cambria Math" w:eastAsia="Cambria Math"/>
        </w:rPr>
        <w:t>log</w:t>
      </w:r>
      <w:r>
        <w:rPr>
          <w:rFonts w:ascii="Cambria Math" w:eastAsia="Cambria Math"/>
          <w:position w:val="-4"/>
          <w:sz w:val="16"/>
        </w:rPr>
        <w:t>2</w:t>
      </w:r>
      <w:r>
        <w:rPr>
          <w:rFonts w:ascii="Cambria Math" w:eastAsia="Cambria Math"/>
          <w:position w:val="1"/>
        </w:rPr>
        <w:t>(</w:t>
      </w:r>
      <w:r>
        <w:rPr>
          <w:rFonts w:ascii="Cambria Math" w:eastAsia="Cambria Math"/>
        </w:rPr>
        <w:t>𝑥 + 𝑦𝑖</w:t>
      </w:r>
      <w:r>
        <w:rPr>
          <w:rFonts w:ascii="Cambria Math" w:eastAsia="Cambria Math"/>
          <w:position w:val="1"/>
        </w:rPr>
        <w:t>) </w:t>
      </w:r>
      <w:r>
        <w:rPr>
          <w:rFonts w:ascii="Cambria Math" w:eastAsia="Cambria Math"/>
        </w:rPr>
        <w:t>= </w:t>
      </w:r>
      <w:r>
        <w:rPr>
          <w:rFonts w:ascii="Cambria Math" w:eastAsia="Cambria Math"/>
          <w:position w:val="1"/>
        </w:rPr>
        <w:t>(</w:t>
      </w:r>
      <w:r>
        <w:rPr>
          <w:rFonts w:ascii="Cambria Math" w:eastAsia="Cambria Math"/>
        </w:rPr>
        <w:t>log</w:t>
      </w:r>
      <w:r>
        <w:rPr>
          <w:rFonts w:ascii="Cambria Math" w:eastAsia="Cambria Math"/>
          <w:position w:val="-4"/>
          <w:sz w:val="16"/>
        </w:rPr>
        <w:t>2 </w:t>
      </w:r>
      <w:r>
        <w:rPr>
          <w:rFonts w:ascii="Cambria Math" w:eastAsia="Cambria Math"/>
        </w:rPr>
        <w:t>𝑒</w:t>
      </w:r>
      <w:r>
        <w:rPr>
          <w:rFonts w:ascii="Cambria Math" w:eastAsia="Cambria Math"/>
          <w:position w:val="1"/>
        </w:rPr>
        <w:t>) </w:t>
      </w:r>
      <w:r>
        <w:rPr>
          <w:rFonts w:ascii="Cambria Math" w:eastAsia="Cambria Math"/>
        </w:rPr>
        <w:t>ln</w:t>
      </w:r>
      <w:r>
        <w:rPr>
          <w:rFonts w:ascii="Cambria Math" w:eastAsia="Cambria Math"/>
          <w:position w:val="1"/>
        </w:rPr>
        <w:t>(</w:t>
      </w:r>
      <w:r>
        <w:rPr>
          <w:rFonts w:ascii="Cambria Math" w:eastAsia="Cambria Math"/>
        </w:rPr>
        <w:t>𝑥 + 𝑦𝑖</w:t>
      </w:r>
      <w:r>
        <w:rPr>
          <w:rFonts w:ascii="Cambria Math" w:eastAsia="Cambria Math"/>
          <w:position w:val="1"/>
        </w:rPr>
        <w:t>)</w:t>
      </w:r>
    </w:p>
    <w:p>
      <w:pPr>
        <w:pStyle w:val="BodyText"/>
        <w:spacing w:before="205"/>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the argument </w:t>
      </w:r>
      <w:r>
        <w:rPr>
          <w:rFonts w:ascii="Times New Roman" w:hAnsi="Times New Roman"/>
          <w:i/>
          <w:sz w:val="22"/>
        </w:rPr>
        <w:t>complex-number </w:t>
      </w:r>
      <w:r>
        <w:rPr>
          <w:sz w:val="22"/>
        </w:rPr>
        <w:t>is expressed in the form x +</w:t>
      </w:r>
      <w:r>
        <w:rPr>
          <w:spacing w:val="-10"/>
          <w:sz w:val="22"/>
        </w:rPr>
        <w:t> </w:t>
      </w:r>
      <w:r>
        <w:rPr>
          <w:sz w:val="22"/>
        </w:rPr>
        <w:t>yi</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tcBorders>
              <w:bottom w:val="single" w:sz="6" w:space="0" w:color="000000"/>
            </w:tcBorders>
            <w:shd w:val="clear" w:color="auto" w:fill="C0C0C0"/>
          </w:tcPr>
          <w:p>
            <w:pPr>
              <w:pStyle w:val="TableParagraph"/>
              <w:ind w:left="460"/>
              <w:rPr>
                <w:b/>
                <w:sz w:val="22"/>
              </w:rPr>
            </w:pPr>
            <w:r>
              <w:rPr>
                <w:b/>
                <w:sz w:val="22"/>
              </w:rPr>
              <w:t>Name</w:t>
            </w:r>
          </w:p>
        </w:tc>
        <w:tc>
          <w:tcPr>
            <w:tcW w:w="1800" w:type="dxa"/>
            <w:tcBorders>
              <w:bottom w:val="single" w:sz="6" w:space="0" w:color="000000"/>
            </w:tcBorders>
            <w:shd w:val="clear" w:color="auto" w:fill="C0C0C0"/>
          </w:tcPr>
          <w:p>
            <w:pPr>
              <w:pStyle w:val="TableParagraph"/>
              <w:ind w:left="94" w:right="86"/>
              <w:jc w:val="center"/>
              <w:rPr>
                <w:b/>
                <w:sz w:val="22"/>
              </w:rPr>
            </w:pPr>
            <w:r>
              <w:rPr>
                <w:b/>
                <w:sz w:val="22"/>
              </w:rPr>
              <w:t>Type</w:t>
            </w:r>
          </w:p>
        </w:tc>
        <w:tc>
          <w:tcPr>
            <w:tcW w:w="5400" w:type="dxa"/>
            <w:tcBorders>
              <w:bottom w:val="single" w:sz="6" w:space="0" w:color="000000"/>
            </w:tcBorders>
            <w:shd w:val="clear" w:color="auto" w:fill="C0C0C0"/>
          </w:tcPr>
          <w:p>
            <w:pPr>
              <w:pStyle w:val="TableParagraph"/>
              <w:ind w:left="93" w:right="86"/>
              <w:jc w:val="center"/>
              <w:rPr>
                <w:b/>
                <w:sz w:val="22"/>
              </w:rPr>
            </w:pPr>
            <w:r>
              <w:rPr>
                <w:b/>
                <w:sz w:val="22"/>
              </w:rPr>
              <w:t>Description</w:t>
            </w:r>
          </w:p>
        </w:tc>
      </w:tr>
      <w:tr>
        <w:trPr>
          <w:trHeight w:val="887" w:hRule="atLeast"/>
        </w:trPr>
        <w:tc>
          <w:tcPr>
            <w:tcW w:w="1466" w:type="dxa"/>
            <w:tcBorders>
              <w:top w:val="single" w:sz="6" w:space="0" w:color="000000"/>
            </w:tcBorders>
          </w:tcPr>
          <w:p>
            <w:pPr>
              <w:pStyle w:val="TableParagraph"/>
              <w:spacing w:before="34"/>
              <w:ind w:right="514"/>
              <w:rPr>
                <w:rFonts w:ascii="Times New Roman"/>
                <w:i/>
                <w:sz w:val="22"/>
              </w:rPr>
            </w:pPr>
            <w:r>
              <w:rPr>
                <w:rFonts w:ascii="Times New Roman"/>
                <w:i/>
                <w:sz w:val="22"/>
              </w:rPr>
              <w:t>complex- </w:t>
            </w:r>
            <w:r>
              <w:rPr>
                <w:rFonts w:ascii="Times New Roman"/>
                <w:i/>
                <w:sz w:val="22"/>
              </w:rPr>
              <w:t>number</w:t>
            </w:r>
          </w:p>
        </w:tc>
        <w:tc>
          <w:tcPr>
            <w:tcW w:w="1800" w:type="dxa"/>
            <w:tcBorders>
              <w:top w:val="single" w:sz="6" w:space="0" w:color="000000"/>
            </w:tcBorders>
          </w:tcPr>
          <w:p>
            <w:pPr>
              <w:pStyle w:val="TableParagraph"/>
              <w:spacing w:before="37"/>
              <w:ind w:left="112"/>
              <w:rPr>
                <w:sz w:val="22"/>
              </w:rPr>
            </w:pPr>
            <w:r>
              <w:rPr>
                <w:sz w:val="22"/>
              </w:rPr>
              <w:t>text</w:t>
            </w:r>
          </w:p>
        </w:tc>
        <w:tc>
          <w:tcPr>
            <w:tcW w:w="5400" w:type="dxa"/>
            <w:tcBorders>
              <w:top w:val="single" w:sz="6" w:space="0" w:color="000000"/>
            </w:tcBorders>
          </w:tcPr>
          <w:p>
            <w:pPr>
              <w:pStyle w:val="TableParagraph"/>
              <w:spacing w:before="37"/>
              <w:ind w:left="113" w:right="389"/>
              <w:rPr>
                <w:sz w:val="22"/>
              </w:rPr>
            </w:pPr>
            <w:r>
              <w:rPr>
                <w:sz w:val="22"/>
              </w:rPr>
              <w:t>The complex number for which the base-2 logarithm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w:t>
            </w:r>
            <w:r>
              <w:rPr>
                <w:spacing w:val="-1"/>
                <w:sz w:val="22"/>
              </w:rPr>
              <w:t> </w:t>
            </w:r>
            <w:r>
              <w:rPr>
                <w:sz w:val="22"/>
              </w:rPr>
              <w:t>format.</w:t>
            </w:r>
          </w:p>
        </w:tc>
      </w:tr>
    </w:tbl>
    <w:p>
      <w:pPr>
        <w:pStyle w:val="BodyText"/>
        <w:rPr>
          <w:b/>
        </w:rPr>
      </w:pPr>
    </w:p>
    <w:p>
      <w:pPr>
        <w:pStyle w:val="BodyText"/>
        <w:spacing w:before="7"/>
        <w:rPr>
          <w:b/>
          <w:sz w:val="19"/>
        </w:rPr>
      </w:pPr>
    </w:p>
    <w:p>
      <w:pPr>
        <w:spacing w:line="453" w:lineRule="auto" w:before="0"/>
        <w:ind w:left="220" w:right="1586" w:firstLine="0"/>
        <w:jc w:val="left"/>
        <w:rPr>
          <w:sz w:val="22"/>
        </w:rPr>
      </w:pPr>
      <w:r>
        <w:rPr>
          <w:b/>
          <w:sz w:val="22"/>
        </w:rPr>
        <w:t>Return Type and Value: </w:t>
      </w:r>
      <w:r>
        <w:rPr>
          <w:sz w:val="22"/>
        </w:rPr>
        <w:t>text – The base-2 logarithm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 However, if </w:t>
      </w:r>
      <w:r>
        <w:rPr>
          <w:rFonts w:ascii="Times New Roman" w:hAnsi="Times New Roman"/>
          <w:i/>
          <w:sz w:val="22"/>
        </w:rPr>
        <w:t>complex-number </w:t>
      </w:r>
      <w:r>
        <w:rPr>
          <w:sz w:val="22"/>
        </w:rPr>
        <w:t>is ill-formed or zero, </w:t>
      </w:r>
      <w:r>
        <w:rPr>
          <w:rFonts w:ascii="Consolas" w:hAnsi="Consolas"/>
          <w:sz w:val="22"/>
        </w:rPr>
        <w:t>#NUM!</w:t>
      </w:r>
      <w:r>
        <w:rPr>
          <w:rFonts w:ascii="Consolas" w:hAnsi="Consolas"/>
          <w:spacing w:val="-80"/>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t>IMLOG2("3+4i") results in </w:t>
      </w:r>
      <w:r>
        <w:rPr>
          <w:rFonts w:ascii="Consolas"/>
        </w:rPr>
        <w:t>2.32192809506607+1.33780421255394i</w:t>
      </w:r>
    </w:p>
    <w:p>
      <w:pPr>
        <w:pStyle w:val="BodyText"/>
        <w:spacing w:before="42"/>
        <w:ind w:left="220"/>
        <w:rPr>
          <w:rFonts w:ascii="Consolas"/>
        </w:rPr>
      </w:pPr>
      <w:r>
        <w:rPr/>
        <w:t>IMLOG2("-2.5-34.6j") results in </w:t>
      </w:r>
      <w:r>
        <w:rPr>
          <w:rFonts w:ascii="Consolas"/>
        </w:rPr>
        <w:t>5.11645626788577-2.37024020514877j</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59 IMPOWER" w:id="1869"/>
      <w:bookmarkEnd w:id="1869"/>
      <w:r>
        <w:rPr/>
      </w:r>
      <w:bookmarkStart w:name="_bookmark622" w:id="1870"/>
      <w:bookmarkEnd w:id="1870"/>
      <w:r>
        <w:rPr/>
      </w:r>
      <w:bookmarkStart w:name="_bookmark622" w:id="1871"/>
      <w:bookmarkEnd w:id="1871"/>
      <w:r>
        <w:rPr>
          <w:color w:val="4F81BC"/>
        </w:rPr>
        <w:t>I</w:t>
      </w:r>
      <w:r>
        <w:rPr>
          <w:color w:val="4F81BC"/>
        </w:rPr>
        <w:t>MPOWER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IMPOWER ( </w:t>
      </w:r>
      <w:r>
        <w:rPr>
          <w:i/>
          <w:sz w:val="22"/>
        </w:rPr>
        <w:t>complex-number </w:t>
      </w:r>
      <w:r>
        <w:rPr>
          <w:rFonts w:ascii="Lucida Console"/>
          <w:sz w:val="20"/>
        </w:rPr>
        <w:t>, </w:t>
      </w:r>
      <w:r>
        <w:rPr>
          <w:i/>
          <w:sz w:val="22"/>
        </w:rPr>
        <w:t>y </w:t>
      </w:r>
      <w:r>
        <w:rPr>
          <w:rFonts w:ascii="Lucida Console"/>
          <w:sz w:val="20"/>
        </w:rPr>
        <w:t>)</w:t>
      </w:r>
    </w:p>
    <w:p>
      <w:pPr>
        <w:spacing w:after="0"/>
        <w:jc w:val="left"/>
        <w:rPr>
          <w:rFonts w:ascii="Lucida Console"/>
          <w:sz w:val="20"/>
        </w:rPr>
        <w:sectPr>
          <w:footerReference w:type="even" r:id="rId243"/>
          <w:footerReference w:type="default" r:id="rId244"/>
          <w:pgSz w:w="12240" w:h="15840"/>
          <w:pgMar w:footer="746" w:header="761" w:top="1340" w:bottom="940" w:left="860" w:right="700"/>
          <w:pgNumType w:start="2240"/>
        </w:sectPr>
      </w:pPr>
    </w:p>
    <w:p>
      <w:pPr>
        <w:spacing w:before="150"/>
        <w:ind w:left="220" w:right="0" w:firstLine="0"/>
        <w:jc w:val="left"/>
        <w:rPr>
          <w:sz w:val="22"/>
        </w:rPr>
      </w:pPr>
      <w:r>
        <w:rPr>
          <w:b/>
          <w:sz w:val="22"/>
        </w:rPr>
        <w:t>Description: </w:t>
      </w:r>
      <w:r>
        <w:rPr>
          <w:sz w:val="22"/>
        </w:rPr>
        <w:t>Computes the complex number </w:t>
      </w:r>
      <w:r>
        <w:rPr>
          <w:rFonts w:ascii="Times New Roman"/>
          <w:i/>
          <w:sz w:val="22"/>
        </w:rPr>
        <w:t>complex-number </w:t>
      </w:r>
      <w:r>
        <w:rPr>
          <w:sz w:val="22"/>
        </w:rPr>
        <w:t>raised to the power </w:t>
      </w:r>
      <w:r>
        <w:rPr>
          <w:rFonts w:ascii="Times New Roman"/>
          <w:i/>
          <w:sz w:val="22"/>
        </w:rPr>
        <w:t>y</w:t>
      </w:r>
      <w:r>
        <w:rPr>
          <w:sz w:val="22"/>
        </w:rPr>
        <w:t>.</w:t>
      </w:r>
    </w:p>
    <w:p>
      <w:pPr>
        <w:pStyle w:val="BodyText"/>
        <w:spacing w:before="9"/>
        <w:rPr>
          <w:sz w:val="19"/>
        </w:rPr>
      </w:pPr>
    </w:p>
    <w:p>
      <w:pPr>
        <w:pStyle w:val="Heading4"/>
        <w:rPr>
          <w:b w:val="0"/>
        </w:rPr>
      </w:pPr>
      <w:r>
        <w:rPr/>
        <w:t>Mathematical Formula</w:t>
      </w:r>
      <w:r>
        <w:rPr>
          <w:b w:val="0"/>
        </w:rPr>
        <w:t>:</w:t>
      </w:r>
    </w:p>
    <w:p>
      <w:pPr>
        <w:pStyle w:val="BodyText"/>
        <w:spacing w:before="5"/>
        <w:rPr>
          <w:sz w:val="20"/>
        </w:rPr>
      </w:pPr>
    </w:p>
    <w:p>
      <w:pPr>
        <w:pStyle w:val="BodyText"/>
        <w:spacing w:before="1"/>
        <w:ind w:left="220"/>
        <w:rPr>
          <w:rFonts w:ascii="Cambria Math" w:eastAsia="Cambria Math"/>
        </w:rPr>
      </w:pPr>
      <w:r>
        <w:rPr>
          <w:rFonts w:ascii="Cambria Math" w:eastAsia="Cambria Math"/>
          <w:position w:val="1"/>
        </w:rPr>
        <w:t>(</w:t>
      </w:r>
      <w:r>
        <w:rPr>
          <w:rFonts w:ascii="Cambria Math" w:eastAsia="Cambria Math"/>
        </w:rPr>
        <w:t>𝑥 + 𝑦𝑖</w:t>
      </w:r>
      <w:r>
        <w:rPr>
          <w:rFonts w:ascii="Cambria Math" w:eastAsia="Cambria Math"/>
          <w:position w:val="1"/>
        </w:rPr>
        <w:t>)</w:t>
      </w:r>
      <w:r>
        <w:rPr>
          <w:rFonts w:ascii="Cambria Math" w:eastAsia="Cambria Math"/>
          <w:position w:val="1"/>
          <w:vertAlign w:val="superscript"/>
        </w:rPr>
        <w:t>𝑛</w:t>
      </w:r>
      <w:r>
        <w:rPr>
          <w:rFonts w:ascii="Cambria Math" w:eastAsia="Cambria Math"/>
          <w:position w:val="1"/>
          <w:vertAlign w:val="baseline"/>
        </w:rPr>
        <w:t> </w:t>
      </w:r>
      <w:r>
        <w:rPr>
          <w:rFonts w:ascii="Cambria Math" w:eastAsia="Cambria Math"/>
          <w:vertAlign w:val="baseline"/>
        </w:rPr>
        <w:t>= 𝑟</w:t>
      </w:r>
      <w:r>
        <w:rPr>
          <w:rFonts w:ascii="Cambria Math" w:eastAsia="Cambria Math"/>
          <w:vertAlign w:val="superscript"/>
        </w:rPr>
        <w:t>𝑛</w:t>
      </w:r>
      <w:r>
        <w:rPr>
          <w:rFonts w:ascii="Cambria Math" w:eastAsia="Cambria Math"/>
          <w:vertAlign w:val="baseline"/>
        </w:rPr>
        <w:t>𝑒</w:t>
      </w:r>
      <w:r>
        <w:rPr>
          <w:rFonts w:ascii="Cambria Math" w:eastAsia="Cambria Math"/>
          <w:vertAlign w:val="superscript"/>
        </w:rPr>
        <w:t>𝑖𝑛𝜃</w:t>
      </w:r>
      <w:r>
        <w:rPr>
          <w:rFonts w:ascii="Cambria Math" w:eastAsia="Cambria Math"/>
          <w:vertAlign w:val="baseline"/>
        </w:rPr>
        <w:t> = 𝑟</w:t>
      </w:r>
      <w:r>
        <w:rPr>
          <w:rFonts w:ascii="Cambria Math" w:eastAsia="Cambria Math"/>
          <w:vertAlign w:val="superscript"/>
        </w:rPr>
        <w:t>𝑛</w:t>
      </w:r>
      <w:r>
        <w:rPr>
          <w:rFonts w:ascii="Cambria Math" w:eastAsia="Cambria Math"/>
          <w:vertAlign w:val="baseline"/>
        </w:rPr>
        <w:t> cos 𝜃 + 𝑖𝑟</w:t>
      </w:r>
      <w:r>
        <w:rPr>
          <w:rFonts w:ascii="Cambria Math" w:eastAsia="Cambria Math"/>
          <w:vertAlign w:val="superscript"/>
        </w:rPr>
        <w:t>𝑛</w:t>
      </w:r>
      <w:r>
        <w:rPr>
          <w:rFonts w:ascii="Cambria Math" w:eastAsia="Cambria Math"/>
          <w:vertAlign w:val="baseline"/>
        </w:rPr>
        <w:t> sin 𝑛</w:t>
      </w:r>
    </w:p>
    <w:p>
      <w:pPr>
        <w:pStyle w:val="BodyText"/>
        <w:spacing w:before="1"/>
        <w:rPr>
          <w:rFonts w:ascii="Cambria Math"/>
          <w:sz w:val="20"/>
        </w:rPr>
      </w:pPr>
    </w:p>
    <w:p>
      <w:pPr>
        <w:pStyle w:val="BodyText"/>
        <w:ind w:left="220"/>
      </w:pPr>
      <w:r>
        <w:rPr/>
        <w:t>where:</w:t>
      </w:r>
    </w:p>
    <w:p>
      <w:pPr>
        <w:pStyle w:val="BodyText"/>
        <w:spacing w:before="3"/>
        <w:rPr>
          <w:sz w:val="20"/>
        </w:rPr>
      </w:pPr>
      <w:r>
        <w:rPr/>
        <w:pict>
          <v:line style="position:absolute;mso-position-horizontal-relative:page;mso-position-vertical-relative:paragraph;z-index:-251531264;mso-wrap-distance-left:0;mso-wrap-distance-right:0" from="84.384003pt,14.712754pt" to="120.864003pt,14.712754pt" stroked="true" strokeweight=".72pt" strokecolor="#000000">
            <v:stroke dashstyle="solid"/>
            <w10:wrap type="topAndBottom"/>
          </v:line>
        </w:pict>
      </w:r>
    </w:p>
    <w:p>
      <w:pPr>
        <w:pStyle w:val="BodyText"/>
        <w:ind w:left="220"/>
        <w:rPr>
          <w:rFonts w:ascii="Cambria Math" w:hAnsi="Cambria Math" w:eastAsia="Cambria Math"/>
          <w:sz w:val="16"/>
        </w:rPr>
      </w:pPr>
      <w:r>
        <w:rPr>
          <w:rFonts w:ascii="Cambria Math" w:hAnsi="Cambria Math" w:eastAsia="Cambria Math"/>
          <w:w w:val="105"/>
        </w:rPr>
        <w:t>𝑟 = √𝑥</w:t>
      </w:r>
      <w:r>
        <w:rPr>
          <w:rFonts w:ascii="Cambria Math" w:hAnsi="Cambria Math" w:eastAsia="Cambria Math"/>
          <w:w w:val="105"/>
          <w:position w:val="7"/>
          <w:sz w:val="16"/>
        </w:rPr>
        <w:t>2 </w:t>
      </w:r>
      <w:r>
        <w:rPr>
          <w:rFonts w:ascii="Cambria Math" w:hAnsi="Cambria Math" w:eastAsia="Cambria Math"/>
          <w:w w:val="105"/>
        </w:rPr>
        <w:t>+ 𝑦</w:t>
      </w:r>
      <w:r>
        <w:rPr>
          <w:rFonts w:ascii="Cambria Math" w:hAnsi="Cambria Math" w:eastAsia="Cambria Math"/>
          <w:w w:val="105"/>
          <w:position w:val="7"/>
          <w:sz w:val="16"/>
        </w:rPr>
        <w:t>2</w:t>
      </w:r>
    </w:p>
    <w:p>
      <w:pPr>
        <w:pStyle w:val="BodyText"/>
        <w:spacing w:before="1"/>
        <w:rPr>
          <w:rFonts w:ascii="Cambria Math"/>
          <w:sz w:val="16"/>
        </w:rPr>
      </w:pPr>
    </w:p>
    <w:p>
      <w:pPr>
        <w:pStyle w:val="BodyText"/>
        <w:spacing w:before="57"/>
        <w:ind w:left="220"/>
      </w:pPr>
      <w:r>
        <w:rPr/>
        <w:t>and:</w:t>
      </w:r>
    </w:p>
    <w:p>
      <w:pPr>
        <w:pStyle w:val="BodyText"/>
        <w:spacing w:line="373" w:lineRule="exact" w:before="162"/>
        <w:ind w:left="220"/>
        <w:rPr>
          <w:rFonts w:ascii="Cambria Math" w:hAnsi="Cambria Math" w:eastAsia="Cambria Math"/>
        </w:rPr>
      </w:pPr>
      <w:r>
        <w:rPr/>
        <w:pict>
          <v:rect style="position:absolute;margin-left:101.059998pt;margin-top:23.572161pt;width:6.36pt;height:.72pt;mso-position-horizontal-relative:page;mso-position-vertical-relative:paragraph;z-index:-335854592" filled="true" fillcolor="#000000" stroked="false">
            <v:fill type="solid"/>
            <w10:wrap type="none"/>
          </v:rect>
        </w:pict>
      </w:r>
      <w:r>
        <w:rPr/>
        <w:pict>
          <v:shape style="position:absolute;margin-left:95.664001pt;margin-top:18.454113pt;width:5.45pt;height:11.1pt;mso-position-horizontal-relative:page;mso-position-vertical-relative:paragraph;z-index:-335853568" type="#_x0000_t202" filled="false" stroked="false">
            <v:textbox inset="0,0,0,0">
              <w:txbxContent>
                <w:p>
                  <w:pPr>
                    <w:pStyle w:val="BodyText"/>
                    <w:spacing w:line="221" w:lineRule="exact"/>
                    <w:rPr>
                      <w:rFonts w:ascii="Cambria Math"/>
                    </w:rPr>
                  </w:pPr>
                  <w:r>
                    <w:rPr>
                      <w:rFonts w:ascii="Cambria Math"/>
                      <w:w w:val="118"/>
                    </w:rPr>
                    <w:t>(</w:t>
                  </w:r>
                </w:p>
              </w:txbxContent>
            </v:textbox>
            <w10:wrap type="none"/>
          </v:shape>
        </w:pict>
      </w:r>
      <w:r>
        <w:rPr>
          <w:rFonts w:ascii="Cambria Math" w:hAnsi="Cambria Math" w:eastAsia="Cambria Math"/>
        </w:rPr>
        <w:t>= tan</w:t>
      </w:r>
      <w:r>
        <w:rPr>
          <w:rFonts w:ascii="Cambria Math" w:hAnsi="Cambria Math" w:eastAsia="Cambria Math"/>
          <w:vertAlign w:val="superscript"/>
        </w:rPr>
        <w:t>−1</w:t>
      </w:r>
      <w:r>
        <w:rPr>
          <w:rFonts w:ascii="Cambria Math" w:hAnsi="Cambria Math" w:eastAsia="Cambria Math"/>
          <w:vertAlign w:val="baseline"/>
        </w:rPr>
        <w:t> </w:t>
      </w:r>
      <w:r>
        <w:rPr>
          <w:rFonts w:ascii="Cambria Math" w:hAnsi="Cambria Math" w:eastAsia="Cambria Math"/>
          <w:position w:val="17"/>
          <w:vertAlign w:val="baseline"/>
        </w:rPr>
        <w:t>𝑦</w:t>
      </w:r>
      <w:r>
        <w:rPr>
          <w:rFonts w:ascii="Cambria Math" w:hAnsi="Cambria Math" w:eastAsia="Cambria Math"/>
          <w:vertAlign w:val="baseline"/>
        </w:rPr>
        <w:t>)</w:t>
      </w:r>
    </w:p>
    <w:p>
      <w:pPr>
        <w:pStyle w:val="BodyText"/>
        <w:spacing w:line="203" w:lineRule="exact"/>
        <w:ind w:left="1161"/>
        <w:rPr>
          <w:rFonts w:ascii="Cambria Math" w:eastAsia="Cambria Math"/>
        </w:rPr>
      </w:pPr>
      <w:r>
        <w:rPr>
          <w:rFonts w:ascii="Cambria Math" w:eastAsia="Cambria Math"/>
        </w:rPr>
        <w:t>𝑥</w:t>
      </w:r>
    </w:p>
    <w:p>
      <w:pPr>
        <w:pStyle w:val="BodyText"/>
        <w:spacing w:before="8"/>
        <w:rPr>
          <w:rFonts w:ascii="Cambria Math"/>
          <w:sz w:val="11"/>
        </w:rPr>
      </w:pPr>
    </w:p>
    <w:p>
      <w:pPr>
        <w:pStyle w:val="BodyText"/>
        <w:spacing w:before="56"/>
        <w:ind w:left="220"/>
      </w:pPr>
      <w:r>
        <w:rPr/>
        <w:t>and:</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𝜃 ∈ </w:t>
      </w:r>
      <w:r>
        <w:rPr>
          <w:rFonts w:ascii="Cambria Math" w:hAnsi="Cambria Math" w:eastAsia="Cambria Math"/>
          <w:position w:val="1"/>
        </w:rPr>
        <w:t>(</w:t>
      </w:r>
      <w:r>
        <w:rPr>
          <w:rFonts w:ascii="Cambria Math" w:hAnsi="Cambria Math" w:eastAsia="Cambria Math"/>
        </w:rPr>
        <w:t>−𝜋; 𝜋</w:t>
      </w:r>
      <w:r>
        <w:rPr>
          <w:rFonts w:ascii="Cambria Math" w:hAnsi="Cambria Math" w:eastAsia="Cambria Math"/>
          <w:position w:val="1"/>
        </w:rPr>
        <w:t>]</w:t>
      </w:r>
    </w:p>
    <w:p>
      <w:pPr>
        <w:pStyle w:val="BodyText"/>
        <w:spacing w:before="1"/>
        <w:rPr>
          <w:rFonts w:ascii="Cambria Math"/>
          <w:sz w:val="20"/>
        </w:rPr>
      </w:pPr>
    </w:p>
    <w:p>
      <w:pPr>
        <w:pStyle w:val="BodyText"/>
        <w:spacing w:before="1"/>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argument </w:t>
      </w:r>
      <w:r>
        <w:rPr>
          <w:rFonts w:ascii="Times New Roman" w:hAnsi="Times New Roman"/>
          <w:i/>
          <w:sz w:val="22"/>
        </w:rPr>
        <w:t>complex-number </w:t>
      </w:r>
      <w:r>
        <w:rPr>
          <w:sz w:val="22"/>
        </w:rPr>
        <w:t>is expressed in the form x +</w:t>
      </w:r>
      <w:r>
        <w:rPr>
          <w:spacing w:val="-17"/>
          <w:sz w:val="22"/>
        </w:rPr>
        <w:t> </w:t>
      </w:r>
      <w:r>
        <w:rPr>
          <w:sz w:val="22"/>
        </w:rPr>
        <w:t>yi</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n </w:t>
      </w:r>
      <w:r>
        <w:rPr>
          <w:sz w:val="22"/>
        </w:rPr>
        <w:t>= argument</w:t>
      </w:r>
      <w:r>
        <w:rPr>
          <w:spacing w:val="-8"/>
          <w:sz w:val="22"/>
        </w:rPr>
        <w:t> </w:t>
      </w:r>
      <w:r>
        <w:rPr>
          <w:rFonts w:ascii="Times New Roman" w:hAnsi="Times New Roman"/>
          <w:i/>
          <w:sz w:val="22"/>
        </w:rPr>
        <w:t>y</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The complex number in </w:t>
            </w:r>
            <w:r>
              <w:rPr>
                <w:i/>
                <w:sz w:val="22"/>
              </w:rPr>
              <w:t>x + yi </w:t>
            </w:r>
            <w:r>
              <w:rPr>
                <w:sz w:val="22"/>
              </w:rPr>
              <w:t>or </w:t>
            </w:r>
            <w:r>
              <w:rPr>
                <w:i/>
                <w:sz w:val="22"/>
              </w:rPr>
              <w:t>x + yj </w:t>
            </w:r>
            <w:r>
              <w:rPr>
                <w:sz w:val="22"/>
              </w:rPr>
              <w:t>text format.</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exponent to which </w:t>
            </w:r>
            <w:r>
              <w:rPr>
                <w:rFonts w:ascii="Times New Roman"/>
                <w:i/>
                <w:sz w:val="22"/>
              </w:rPr>
              <w:t>complex-number </w:t>
            </w:r>
            <w:r>
              <w:rPr>
                <w:sz w:val="22"/>
              </w:rPr>
              <w:t>is to be raised.</w:t>
            </w:r>
          </w:p>
        </w:tc>
      </w:tr>
    </w:tbl>
    <w:p>
      <w:pPr>
        <w:pStyle w:val="BodyText"/>
        <w:rPr>
          <w:b/>
        </w:rPr>
      </w:pPr>
    </w:p>
    <w:p>
      <w:pPr>
        <w:pStyle w:val="BodyText"/>
        <w:spacing w:before="7"/>
        <w:rPr>
          <w:b/>
          <w:sz w:val="19"/>
        </w:rPr>
      </w:pPr>
    </w:p>
    <w:p>
      <w:pPr>
        <w:spacing w:line="453" w:lineRule="auto" w:before="0"/>
        <w:ind w:left="220" w:right="1974" w:firstLine="0"/>
        <w:jc w:val="left"/>
        <w:rPr>
          <w:sz w:val="22"/>
        </w:rPr>
      </w:pPr>
      <w:r>
        <w:rPr>
          <w:b/>
          <w:sz w:val="22"/>
        </w:rPr>
        <w:t>Return Type and Value: </w:t>
      </w:r>
      <w:r>
        <w:rPr>
          <w:sz w:val="22"/>
        </w:rPr>
        <w:t>text – A string containing </w:t>
      </w:r>
      <w:r>
        <w:rPr>
          <w:rFonts w:ascii="Times New Roman" w:hAnsi="Times New Roman"/>
          <w:i/>
          <w:sz w:val="22"/>
        </w:rPr>
        <w:t>complex-number</w:t>
      </w:r>
      <w:r>
        <w:rPr>
          <w:rFonts w:ascii="Times New Roman" w:hAnsi="Times New Roman"/>
          <w:i/>
          <w:sz w:val="22"/>
          <w:vertAlign w:val="superscript"/>
        </w:rPr>
        <w:t>y</w:t>
      </w:r>
      <w:r>
        <w:rPr>
          <w:sz w:val="22"/>
          <w:vertAlign w:val="baseline"/>
        </w:rPr>
        <w:t>, in </w:t>
      </w:r>
      <w:r>
        <w:rPr>
          <w:i/>
          <w:sz w:val="22"/>
          <w:vertAlign w:val="baseline"/>
        </w:rPr>
        <w:t>x+yi </w:t>
      </w:r>
      <w:r>
        <w:rPr>
          <w:sz w:val="22"/>
          <w:vertAlign w:val="baseline"/>
        </w:rPr>
        <w:t>or </w:t>
      </w:r>
      <w:r>
        <w:rPr>
          <w:i/>
          <w:sz w:val="22"/>
          <w:vertAlign w:val="baseline"/>
        </w:rPr>
        <w:t>x+yj </w:t>
      </w:r>
      <w:r>
        <w:rPr>
          <w:sz w:val="22"/>
          <w:vertAlign w:val="baseline"/>
        </w:rPr>
        <w:t>text format. However, if </w:t>
      </w:r>
      <w:r>
        <w:rPr>
          <w:rFonts w:ascii="Times New Roman" w:hAnsi="Times New Roman"/>
          <w:i/>
          <w:sz w:val="22"/>
          <w:vertAlign w:val="baseline"/>
        </w:rPr>
        <w:t>complex-number </w:t>
      </w:r>
      <w:r>
        <w:rPr>
          <w:sz w:val="22"/>
          <w:vertAlign w:val="baseline"/>
        </w:rPr>
        <w:t>is ill-formed or zero, </w:t>
      </w:r>
      <w:r>
        <w:rPr>
          <w:rFonts w:ascii="Consolas" w:hAnsi="Consolas"/>
          <w:sz w:val="22"/>
          <w:vertAlign w:val="baseline"/>
        </w:rPr>
        <w:t>#NUM!</w:t>
      </w:r>
      <w:r>
        <w:rPr>
          <w:rFonts w:ascii="Consolas" w:hAnsi="Consolas"/>
          <w:spacing w:val="-80"/>
          <w:sz w:val="22"/>
          <w:vertAlign w:val="baseline"/>
        </w:rPr>
        <w:t> </w:t>
      </w:r>
      <w:r>
        <w:rPr>
          <w:sz w:val="22"/>
          <w:vertAlign w:val="baseline"/>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1486"/>
        <w:rPr>
          <w:rFonts w:ascii="Consolas"/>
        </w:rPr>
      </w:pPr>
      <w:r>
        <w:rPr>
          <w:rFonts w:ascii="Consolas"/>
        </w:rPr>
        <w:t>IMPOWER("2.3+4.5i",2.5) </w:t>
      </w:r>
      <w:r>
        <w:rPr/>
        <w:t>results in </w:t>
      </w:r>
      <w:r>
        <w:rPr>
          <w:rFonts w:ascii="Consolas"/>
        </w:rPr>
        <w:t>-52.9752689709953+22.138528463954i IMPOWER("-1-4j",-3.56)</w:t>
      </w:r>
      <w:r>
        <w:rPr>
          <w:rFonts w:ascii="Consolas"/>
          <w:spacing w:val="-80"/>
        </w:rPr>
        <w:t> </w:t>
      </w:r>
      <w:r>
        <w:rPr/>
        <w:t>results in </w:t>
      </w:r>
      <w:r>
        <w:rPr>
          <w:rFonts w:ascii="Consolas"/>
        </w:rPr>
        <w:t>6.34818926783845E-003+1.16156377299512E-003j</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60 IMPRODUCT" w:id="1872"/>
      <w:bookmarkEnd w:id="1872"/>
      <w:r>
        <w:rPr/>
      </w:r>
      <w:bookmarkStart w:name="_bookmark623" w:id="1873"/>
      <w:bookmarkEnd w:id="1873"/>
      <w:r>
        <w:rPr/>
      </w:r>
      <w:bookmarkStart w:name="_bookmark623" w:id="1874"/>
      <w:bookmarkEnd w:id="1874"/>
      <w:r>
        <w:rPr>
          <w:color w:val="4F81BC"/>
        </w:rPr>
        <w:t>I</w:t>
      </w:r>
      <w:r>
        <w:rPr>
          <w:color w:val="4F81BC"/>
        </w:rPr>
        <w:t>MPRODUCT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IMPRODUCT ( </w:t>
      </w:r>
      <w:r>
        <w:rPr>
          <w:i/>
          <w:sz w:val="22"/>
        </w:rPr>
        <w:t>argument-list </w:t>
      </w:r>
      <w:r>
        <w:rPr>
          <w:rFonts w:ascii="Lucida Console"/>
          <w:sz w:val="20"/>
        </w:rPr>
        <w:t>)</w:t>
      </w:r>
    </w:p>
    <w:p>
      <w:pPr>
        <w:spacing w:after="0"/>
        <w:jc w:val="left"/>
        <w:rPr>
          <w:rFonts w:ascii="Lucida Console"/>
          <w:sz w:val="20"/>
        </w:rPr>
        <w:sectPr>
          <w:pgSz w:w="12240" w:h="15840"/>
          <w:pgMar w:header="763" w:footer="746" w:top="1340" w:bottom="940" w:left="860" w:right="700"/>
        </w:sectPr>
      </w:pPr>
    </w:p>
    <w:p>
      <w:pPr>
        <w:pStyle w:val="BodyText"/>
        <w:spacing w:before="93"/>
        <w:ind w:left="220"/>
      </w:pPr>
      <w:r>
        <w:rPr>
          <w:b/>
        </w:rPr>
        <w:t>Description: </w:t>
      </w:r>
      <w:r>
        <w:rPr/>
        <w:t>Multiplies the values of its complex number arguments.</w:t>
      </w:r>
    </w:p>
    <w:p>
      <w:pPr>
        <w:pStyle w:val="BodyText"/>
        <w:spacing w:before="8"/>
        <w:rPr>
          <w:sz w:val="19"/>
        </w:rPr>
      </w:pPr>
    </w:p>
    <w:p>
      <w:pPr>
        <w:pStyle w:val="Heading4"/>
        <w:rPr>
          <w:b w:val="0"/>
        </w:rPr>
      </w:pPr>
      <w:r>
        <w:rPr/>
        <w:t>Mathematical Formula</w:t>
      </w:r>
      <w:r>
        <w:rPr>
          <w:b w:val="0"/>
        </w:rPr>
        <w:t>:</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position w:val="1"/>
        </w:rPr>
        <w:t>(</w:t>
      </w:r>
      <w:r>
        <w:rPr>
          <w:rFonts w:ascii="Cambria Math" w:hAnsi="Cambria Math" w:eastAsia="Cambria Math"/>
        </w:rPr>
        <w:t>𝑎 + 𝑏𝑖</w:t>
      </w:r>
      <w:r>
        <w:rPr>
          <w:rFonts w:ascii="Cambria Math" w:hAnsi="Cambria Math" w:eastAsia="Cambria Math"/>
          <w:position w:val="1"/>
        </w:rPr>
        <w:t>)(</w:t>
      </w:r>
      <w:r>
        <w:rPr>
          <w:rFonts w:ascii="Cambria Math" w:hAnsi="Cambria Math" w:eastAsia="Cambria Math"/>
        </w:rPr>
        <w:t>𝑐 + 𝑑𝑖</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𝑎𝑐 − 𝑏𝑑</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𝑎𝑑 + 𝑏𝑐</w:t>
      </w:r>
      <w:r>
        <w:rPr>
          <w:rFonts w:ascii="Cambria Math" w:hAnsi="Cambria Math" w:eastAsia="Cambria Math"/>
          <w:position w:val="1"/>
        </w:rPr>
        <w:t>)</w:t>
      </w:r>
      <w:r>
        <w:rPr>
          <w:rFonts w:ascii="Cambria Math" w:hAnsi="Cambria Math" w:eastAsia="Cambria Math"/>
        </w:rPr>
        <w:t>𝑖</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Each element of </w:t>
      </w:r>
      <w:r>
        <w:rPr>
          <w:rFonts w:ascii="Times New Roman" w:hAnsi="Times New Roman"/>
          <w:i/>
          <w:sz w:val="22"/>
        </w:rPr>
        <w:t>argument-list </w:t>
      </w:r>
      <w:r>
        <w:rPr>
          <w:sz w:val="22"/>
        </w:rPr>
        <w:t>is a complex number expressed in the form x +</w:t>
      </w:r>
      <w:r>
        <w:rPr>
          <w:spacing w:val="-17"/>
          <w:sz w:val="22"/>
        </w:rPr>
        <w:t> </w:t>
      </w:r>
      <w:r>
        <w:rPr>
          <w:sz w:val="22"/>
        </w:rPr>
        <w:t>yi</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4"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text</w:t>
            </w:r>
          </w:p>
        </w:tc>
        <w:tc>
          <w:tcPr>
            <w:tcW w:w="5400" w:type="dxa"/>
          </w:tcPr>
          <w:p>
            <w:pPr>
              <w:pStyle w:val="TableParagraph"/>
              <w:ind w:left="113" w:right="248"/>
              <w:rPr>
                <w:sz w:val="22"/>
              </w:rPr>
            </w:pPr>
            <w:r>
              <w:rPr>
                <w:sz w:val="22"/>
              </w:rPr>
              <w:t>Each </w:t>
            </w:r>
            <w:r>
              <w:rPr>
                <w:rFonts w:ascii="Times New Roman"/>
                <w:i/>
                <w:sz w:val="22"/>
              </w:rPr>
              <w:t>argument </w:t>
            </w:r>
            <w:r>
              <w:rPr>
                <w:sz w:val="22"/>
              </w:rPr>
              <w:t>in </w:t>
            </w:r>
            <w:r>
              <w:rPr>
                <w:rFonts w:ascii="Times New Roman"/>
                <w:i/>
                <w:sz w:val="22"/>
              </w:rPr>
              <w:t>argument-list </w:t>
            </w:r>
            <w:r>
              <w:rPr>
                <w:sz w:val="22"/>
              </w:rPr>
              <w:t>is a complex number string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5"/>
        <w:rPr>
          <w:b/>
          <w:sz w:val="19"/>
        </w:rPr>
      </w:pPr>
    </w:p>
    <w:p>
      <w:pPr>
        <w:spacing w:line="276" w:lineRule="auto" w:before="0"/>
        <w:ind w:left="220" w:right="483" w:firstLine="0"/>
        <w:jc w:val="left"/>
        <w:rPr>
          <w:sz w:val="22"/>
        </w:rPr>
      </w:pPr>
      <w:r>
        <w:rPr>
          <w:b/>
          <w:sz w:val="22"/>
        </w:rPr>
        <w:t>Return Type and Value: </w:t>
      </w:r>
      <w:r>
        <w:rPr>
          <w:sz w:val="22"/>
        </w:rPr>
        <w:t>text – A string containing the product of the values of its arguments, in </w:t>
      </w:r>
      <w:r>
        <w:rPr>
          <w:i/>
          <w:sz w:val="22"/>
        </w:rPr>
        <w:t>x+yi </w:t>
      </w:r>
      <w:r>
        <w:rPr>
          <w:sz w:val="22"/>
        </w:rPr>
        <w:t>or </w:t>
      </w:r>
      <w:r>
        <w:rPr>
          <w:i/>
          <w:sz w:val="22"/>
        </w:rPr>
        <w:t>x+yj </w:t>
      </w:r>
      <w:r>
        <w:rPr>
          <w:sz w:val="22"/>
        </w:rPr>
        <w:t>text format.</w:t>
      </w:r>
    </w:p>
    <w:p>
      <w:pPr>
        <w:pStyle w:val="BodyText"/>
        <w:spacing w:before="5"/>
        <w:rPr>
          <w:sz w:val="16"/>
        </w:rPr>
      </w:pPr>
    </w:p>
    <w:p>
      <w:pPr>
        <w:spacing w:line="453" w:lineRule="auto" w:before="0"/>
        <w:ind w:left="220" w:right="3786" w:firstLine="0"/>
        <w:jc w:val="left"/>
        <w:rPr>
          <w:sz w:val="22"/>
        </w:rPr>
      </w:pPr>
      <w:r>
        <w:rPr>
          <w:sz w:val="22"/>
        </w:rPr>
        <w:t>However, if any </w:t>
      </w:r>
      <w:r>
        <w:rPr>
          <w:rFonts w:ascii="Times New Roman"/>
          <w:i/>
          <w:sz w:val="22"/>
        </w:rPr>
        <w:t>argument </w:t>
      </w:r>
      <w:r>
        <w:rPr>
          <w:sz w:val="22"/>
        </w:rPr>
        <w:t>in </w:t>
      </w:r>
      <w:r>
        <w:rPr>
          <w:rFonts w:ascii="Times New Roman"/>
          <w:i/>
          <w:sz w:val="22"/>
        </w:rPr>
        <w:t>argument-list </w:t>
      </w:r>
      <w:r>
        <w:rPr>
          <w:sz w:val="22"/>
        </w:rPr>
        <w:t>is ill-formed, </w:t>
      </w:r>
      <w:r>
        <w:rPr>
          <w:rFonts w:ascii="Consolas"/>
          <w:sz w:val="22"/>
        </w:rPr>
        <w:t>#NUM!</w:t>
      </w:r>
      <w:r>
        <w:rPr>
          <w:rFonts w:ascii="Consolas"/>
          <w:spacing w:val="-98"/>
          <w:sz w:val="22"/>
        </w:rPr>
        <w:t> </w:t>
      </w:r>
      <w:r>
        <w:rPr>
          <w:sz w:val="22"/>
        </w:rPr>
        <w:t>is returned. [</w:t>
      </w:r>
      <w:r>
        <w:rPr>
          <w:i/>
          <w:sz w:val="22"/>
        </w:rPr>
        <w:t>Example</w:t>
      </w:r>
      <w:r>
        <w:rPr>
          <w:sz w:val="22"/>
        </w:rPr>
        <w:t>:</w:t>
      </w:r>
    </w:p>
    <w:p>
      <w:pPr>
        <w:pStyle w:val="BodyText"/>
        <w:spacing w:before="111"/>
        <w:ind w:left="220"/>
        <w:rPr>
          <w:rFonts w:ascii="Consolas"/>
        </w:rPr>
      </w:pPr>
      <w:r>
        <w:rPr>
          <w:rFonts w:ascii="Consolas"/>
        </w:rPr>
        <w:t>IMPRODUCT("13+4i") </w:t>
      </w:r>
      <w:r>
        <w:rPr/>
        <w:t>results in </w:t>
      </w:r>
      <w:r>
        <w:rPr>
          <w:rFonts w:ascii="Consolas"/>
        </w:rPr>
        <w:t>13+4i</w:t>
      </w:r>
    </w:p>
    <w:p>
      <w:pPr>
        <w:pStyle w:val="BodyText"/>
        <w:spacing w:line="276" w:lineRule="auto" w:before="41"/>
        <w:ind w:left="220" w:right="3303"/>
        <w:rPr>
          <w:rFonts w:ascii="Consolas"/>
        </w:rPr>
      </w:pPr>
      <w:r>
        <w:rPr>
          <w:rFonts w:ascii="Consolas"/>
        </w:rPr>
        <w:t>IMPRODUCT("-3-3.5i","5+3i") </w:t>
      </w:r>
      <w:r>
        <w:rPr/>
        <w:t>results in </w:t>
      </w:r>
      <w:r>
        <w:rPr>
          <w:rFonts w:ascii="Consolas"/>
        </w:rPr>
        <w:t>-4.5-26.5i IMPRODUCT("1.3-2j","-3.4+3j","2.3-6j")</w:t>
      </w:r>
      <w:r>
        <w:rPr>
          <w:rFonts w:ascii="Consolas"/>
          <w:spacing w:val="-78"/>
        </w:rPr>
        <w:t> </w:t>
      </w:r>
      <w:r>
        <w:rPr/>
        <w:t>results in </w:t>
      </w:r>
      <w:r>
        <w:rPr>
          <w:rFonts w:ascii="Consolas"/>
        </w:rPr>
        <w:t>67.834+15.13j</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61 IMREAL" w:id="1875"/>
      <w:bookmarkEnd w:id="1875"/>
      <w:r>
        <w:rPr/>
      </w:r>
      <w:bookmarkStart w:name="_bookmark624" w:id="1876"/>
      <w:bookmarkEnd w:id="1876"/>
      <w:r>
        <w:rPr/>
      </w:r>
      <w:bookmarkStart w:name="_bookmark624" w:id="1877"/>
      <w:bookmarkEnd w:id="1877"/>
      <w:r>
        <w:rPr>
          <w:color w:val="4F81BC"/>
        </w:rPr>
        <w:t>I</w:t>
      </w:r>
      <w:r>
        <w:rPr>
          <w:color w:val="4F81BC"/>
        </w:rPr>
        <w:t>MREAL</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IMREAL ( </w:t>
      </w:r>
      <w:r>
        <w:rPr>
          <w:i/>
          <w:sz w:val="22"/>
        </w:rPr>
        <w:t>complex-number </w:t>
      </w:r>
      <w:r>
        <w:rPr>
          <w:rFonts w:ascii="Lucida Console"/>
          <w:sz w:val="20"/>
        </w:rPr>
        <w:t>)</w:t>
      </w:r>
    </w:p>
    <w:p>
      <w:pPr>
        <w:spacing w:line="453" w:lineRule="auto" w:before="108"/>
        <w:ind w:left="220" w:right="4821" w:firstLine="0"/>
        <w:jc w:val="left"/>
        <w:rPr>
          <w:sz w:val="22"/>
        </w:rPr>
      </w:pPr>
      <w:r>
        <w:rPr>
          <w:b/>
          <w:sz w:val="22"/>
        </w:rPr>
        <w:t>Description: </w:t>
      </w:r>
      <w:r>
        <w:rPr>
          <w:sz w:val="22"/>
        </w:rPr>
        <w:t>Computes the real coefficient of </w:t>
      </w:r>
      <w:r>
        <w:rPr>
          <w:rFonts w:ascii="Times New Roman"/>
          <w:i/>
          <w:sz w:val="22"/>
        </w:rPr>
        <w:t>complex-number</w:t>
      </w:r>
      <w:r>
        <w:rPr>
          <w:sz w:val="22"/>
        </w:rPr>
        <w:t>. where:</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argument </w:t>
      </w:r>
      <w:r>
        <w:rPr>
          <w:rFonts w:ascii="Times New Roman" w:hAnsi="Times New Roman"/>
          <w:i/>
          <w:sz w:val="22"/>
        </w:rPr>
        <w:t>complex-number </w:t>
      </w:r>
      <w:r>
        <w:rPr>
          <w:sz w:val="22"/>
        </w:rPr>
        <w:t>is expressed in the form x +</w:t>
      </w:r>
      <w:r>
        <w:rPr>
          <w:spacing w:val="-17"/>
          <w:sz w:val="22"/>
        </w:rPr>
        <w:t> </w:t>
      </w:r>
      <w:r>
        <w:rPr>
          <w:sz w:val="22"/>
        </w:rPr>
        <w:t>yi</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528"/>
              <w:jc w:val="both"/>
              <w:rPr>
                <w:sz w:val="22"/>
              </w:rPr>
            </w:pPr>
            <w:r>
              <w:rPr>
                <w:sz w:val="22"/>
              </w:rPr>
              <w:t>The complex number for which the real coefficient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 format.</w:t>
            </w:r>
          </w:p>
        </w:tc>
      </w:tr>
    </w:tbl>
    <w:p>
      <w:pPr>
        <w:spacing w:after="0"/>
        <w:jc w:val="both"/>
        <w:rPr>
          <w:sz w:val="22"/>
        </w:rPr>
        <w:sectPr>
          <w:pgSz w:w="12240" w:h="15840"/>
          <w:pgMar w:header="761" w:footer="746" w:top="1340" w:bottom="940" w:left="860" w:right="700"/>
        </w:sectPr>
      </w:pPr>
    </w:p>
    <w:p>
      <w:pPr>
        <w:pStyle w:val="BodyText"/>
        <w:rPr>
          <w:b/>
          <w:sz w:val="20"/>
        </w:rPr>
      </w:pPr>
    </w:p>
    <w:p>
      <w:pPr>
        <w:pStyle w:val="BodyText"/>
        <w:spacing w:before="10"/>
        <w:rPr>
          <w:b/>
          <w:sz w:val="26"/>
        </w:rPr>
      </w:pPr>
    </w:p>
    <w:p>
      <w:pPr>
        <w:spacing w:line="453" w:lineRule="auto" w:before="88"/>
        <w:ind w:left="220" w:right="3793" w:firstLine="0"/>
        <w:jc w:val="left"/>
        <w:rPr>
          <w:sz w:val="22"/>
        </w:rPr>
      </w:pPr>
      <w:r>
        <w:rPr>
          <w:b/>
          <w:sz w:val="22"/>
        </w:rPr>
        <w:t>Return Type and Value: </w:t>
      </w:r>
      <w:r>
        <w:rPr>
          <w:sz w:val="22"/>
        </w:rPr>
        <w:t>number – The real coefficient of </w:t>
      </w:r>
      <w:r>
        <w:rPr>
          <w:rFonts w:ascii="Times New Roman" w:hAnsi="Times New Roman"/>
          <w:i/>
          <w:sz w:val="22"/>
        </w:rPr>
        <w:t>complex-number</w:t>
      </w:r>
      <w:r>
        <w:rPr>
          <w:sz w:val="22"/>
        </w:rPr>
        <w:t>. However, if </w:t>
      </w:r>
      <w:r>
        <w:rPr>
          <w:rFonts w:ascii="Times New Roman" w:hAnsi="Times New Roman"/>
          <w:i/>
          <w:sz w:val="22"/>
        </w:rPr>
        <w:t>complex-number </w:t>
      </w:r>
      <w:r>
        <w:rPr>
          <w:sz w:val="22"/>
        </w:rPr>
        <w:t>is ill-formed, </w:t>
      </w:r>
      <w:r>
        <w:rPr>
          <w:rFonts w:ascii="Consolas" w:hAnsi="Consolas"/>
          <w:sz w:val="22"/>
        </w:rPr>
        <w:t>#NUM!</w:t>
      </w:r>
      <w:r>
        <w:rPr>
          <w:rFonts w:ascii="Consolas" w:hAnsi="Consolas"/>
          <w:spacing w:val="-79"/>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6640"/>
        <w:rPr>
          <w:rFonts w:ascii="Consolas"/>
        </w:rPr>
      </w:pPr>
      <w:r>
        <w:rPr>
          <w:rFonts w:ascii="Consolas"/>
        </w:rPr>
        <w:t>IMREAL("3+4i") </w:t>
      </w:r>
      <w:r>
        <w:rPr/>
        <w:t>results in </w:t>
      </w:r>
      <w:r>
        <w:rPr>
          <w:rFonts w:ascii="Consolas"/>
        </w:rPr>
        <w:t>3 IMREAL("-2.5-34.6j")</w:t>
      </w:r>
      <w:r>
        <w:rPr>
          <w:rFonts w:ascii="Consolas"/>
          <w:spacing w:val="-82"/>
        </w:rPr>
        <w:t> </w:t>
      </w:r>
      <w:r>
        <w:rPr/>
        <w:t>results in </w:t>
      </w:r>
      <w:r>
        <w:rPr>
          <w:rFonts w:ascii="Consolas"/>
        </w:rPr>
        <w:t>-2.5</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62 IMSIN" w:id="1878"/>
      <w:bookmarkEnd w:id="1878"/>
      <w:r>
        <w:rPr/>
      </w:r>
      <w:bookmarkStart w:name="_bookmark625" w:id="1879"/>
      <w:bookmarkEnd w:id="1879"/>
      <w:r>
        <w:rPr/>
      </w:r>
      <w:bookmarkStart w:name="_bookmark625" w:id="1880"/>
      <w:bookmarkEnd w:id="1880"/>
      <w:r>
        <w:rPr>
          <w:color w:val="4F81BC"/>
        </w:rPr>
        <w:t>I</w:t>
      </w:r>
      <w:r>
        <w:rPr>
          <w:color w:val="4F81BC"/>
        </w:rPr>
        <w:t>MSIN</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IMSIN ( </w:t>
      </w:r>
      <w:r>
        <w:rPr>
          <w:i/>
          <w:sz w:val="22"/>
        </w:rPr>
        <w:t>complex-number </w:t>
      </w:r>
      <w:r>
        <w:rPr>
          <w:rFonts w:ascii="Lucida Console"/>
          <w:sz w:val="20"/>
        </w:rPr>
        <w:t>)</w:t>
      </w:r>
    </w:p>
    <w:p>
      <w:pPr>
        <w:spacing w:before="109"/>
        <w:ind w:left="220" w:right="0" w:firstLine="0"/>
        <w:jc w:val="left"/>
        <w:rPr>
          <w:rFonts w:ascii="Times New Roman"/>
          <w:i/>
          <w:sz w:val="22"/>
        </w:rPr>
      </w:pPr>
      <w:r>
        <w:rPr>
          <w:b/>
          <w:sz w:val="22"/>
        </w:rPr>
        <w:t>Description: </w:t>
      </w:r>
      <w:r>
        <w:rPr>
          <w:sz w:val="22"/>
        </w:rPr>
        <w:t>Computes the sine of the complex number </w:t>
      </w:r>
      <w:r>
        <w:rPr>
          <w:rFonts w:ascii="Times New Roman"/>
          <w:i/>
          <w:sz w:val="22"/>
        </w:rPr>
        <w:t>complex-number.</w:t>
      </w:r>
    </w:p>
    <w:p>
      <w:pPr>
        <w:pStyle w:val="BodyText"/>
        <w:spacing w:before="10"/>
        <w:rPr>
          <w:rFonts w:ascii="Times New Roman"/>
          <w:i/>
          <w:sz w:val="20"/>
        </w:rPr>
      </w:pPr>
    </w:p>
    <w:p>
      <w:pPr>
        <w:pStyle w:val="Heading4"/>
        <w:rPr>
          <w:b w:val="0"/>
        </w:rPr>
      </w:pPr>
      <w:r>
        <w:rPr/>
        <w:t>Mathematical Formula</w:t>
      </w:r>
      <w:r>
        <w:rPr>
          <w:b w:val="0"/>
        </w:rPr>
        <w:t>:</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sin</w:t>
      </w:r>
      <w:r>
        <w:rPr>
          <w:rFonts w:ascii="Cambria Math" w:hAnsi="Cambria Math" w:eastAsia="Cambria Math"/>
          <w:position w:val="1"/>
        </w:rPr>
        <w:t>(</w:t>
      </w:r>
      <w:r>
        <w:rPr>
          <w:rFonts w:ascii="Cambria Math" w:hAnsi="Cambria Math" w:eastAsia="Cambria Math"/>
        </w:rPr>
        <w:t>𝑥 + 𝑦𝑖</w:t>
      </w:r>
      <w:r>
        <w:rPr>
          <w:rFonts w:ascii="Cambria Math" w:hAnsi="Cambria Math" w:eastAsia="Cambria Math"/>
          <w:position w:val="1"/>
        </w:rPr>
        <w:t>) </w:t>
      </w:r>
      <w:r>
        <w:rPr>
          <w:rFonts w:ascii="Cambria Math" w:hAnsi="Cambria Math" w:eastAsia="Cambria Math"/>
        </w:rPr>
        <w:t>= sin</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 </w:t>
      </w:r>
      <w:r>
        <w:rPr>
          <w:rFonts w:ascii="Cambria Math" w:hAnsi="Cambria Math" w:eastAsia="Cambria Math"/>
        </w:rPr>
        <w:t>cosh</w:t>
      </w:r>
      <w:r>
        <w:rPr>
          <w:rFonts w:ascii="Cambria Math" w:hAnsi="Cambria Math" w:eastAsia="Cambria Math"/>
          <w:position w:val="1"/>
        </w:rPr>
        <w:t>(</w:t>
      </w:r>
      <w:r>
        <w:rPr>
          <w:rFonts w:ascii="Cambria Math" w:hAnsi="Cambria Math" w:eastAsia="Cambria Math"/>
        </w:rPr>
        <w:t>𝑦</w:t>
      </w:r>
      <w:r>
        <w:rPr>
          <w:rFonts w:ascii="Cambria Math" w:hAnsi="Cambria Math" w:eastAsia="Cambria Math"/>
          <w:position w:val="1"/>
        </w:rPr>
        <w:t>) </w:t>
      </w:r>
      <w:r>
        <w:rPr>
          <w:rFonts w:ascii="Cambria Math" w:hAnsi="Cambria Math" w:eastAsia="Cambria Math"/>
        </w:rPr>
        <w:t>− cos</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 </w:t>
      </w:r>
      <w:r>
        <w:rPr>
          <w:rFonts w:ascii="Cambria Math" w:hAnsi="Cambria Math" w:eastAsia="Cambria Math"/>
        </w:rPr>
        <w:t>sinh</w:t>
      </w:r>
      <w:r>
        <w:rPr>
          <w:rFonts w:ascii="Cambria Math" w:hAnsi="Cambria Math" w:eastAsia="Cambria Math"/>
          <w:position w:val="1"/>
        </w:rPr>
        <w:t>(</w:t>
      </w:r>
      <w:r>
        <w:rPr>
          <w:rFonts w:ascii="Cambria Math" w:hAnsi="Cambria Math" w:eastAsia="Cambria Math"/>
        </w:rPr>
        <w:t>𝑦</w:t>
      </w:r>
      <w:r>
        <w:rPr>
          <w:rFonts w:ascii="Cambria Math" w:hAnsi="Cambria Math" w:eastAsia="Cambria Math"/>
          <w:position w:val="1"/>
        </w:rPr>
        <w:t>)</w:t>
      </w:r>
      <w:r>
        <w:rPr>
          <w:rFonts w:ascii="Cambria Math" w:hAnsi="Cambria Math" w:eastAsia="Cambria Math"/>
        </w:rPr>
        <w:t>𝑖</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argument </w:t>
      </w:r>
      <w:r>
        <w:rPr>
          <w:rFonts w:ascii="Times New Roman" w:hAnsi="Times New Roman"/>
          <w:i/>
          <w:sz w:val="22"/>
        </w:rPr>
        <w:t>complex-number </w:t>
      </w:r>
      <w:r>
        <w:rPr>
          <w:sz w:val="22"/>
        </w:rPr>
        <w:t>is expressed in the form x +</w:t>
      </w:r>
      <w:r>
        <w:rPr>
          <w:spacing w:val="-17"/>
          <w:sz w:val="22"/>
        </w:rPr>
        <w:t> </w:t>
      </w:r>
      <w:r>
        <w:rPr>
          <w:sz w:val="22"/>
        </w:rPr>
        <w:t>yi</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0"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52"/>
              <w:rPr>
                <w:sz w:val="22"/>
              </w:rPr>
            </w:pPr>
            <w:r>
              <w:rPr>
                <w:sz w:val="22"/>
              </w:rPr>
              <w:t>The complex number for which the sine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7"/>
        <w:rPr>
          <w:b/>
          <w:sz w:val="19"/>
        </w:rPr>
      </w:pPr>
    </w:p>
    <w:p>
      <w:pPr>
        <w:spacing w:line="453" w:lineRule="auto" w:before="0"/>
        <w:ind w:left="220" w:right="1048" w:firstLine="0"/>
        <w:jc w:val="left"/>
        <w:rPr>
          <w:sz w:val="22"/>
        </w:rPr>
      </w:pPr>
      <w:r>
        <w:rPr>
          <w:b/>
          <w:sz w:val="22"/>
        </w:rPr>
        <w:t>Return Type and Value: </w:t>
      </w:r>
      <w:r>
        <w:rPr>
          <w:sz w:val="22"/>
        </w:rPr>
        <w:t>text – A string containing the sine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 However, if </w:t>
      </w:r>
      <w:r>
        <w:rPr>
          <w:rFonts w:ascii="Times New Roman" w:hAnsi="Times New Roman"/>
          <w:i/>
          <w:sz w:val="22"/>
        </w:rPr>
        <w:t>complex-number </w:t>
      </w:r>
      <w:r>
        <w:rPr>
          <w:sz w:val="22"/>
        </w:rPr>
        <w:t>is ill-formed, </w:t>
      </w:r>
      <w:r>
        <w:rPr>
          <w:rFonts w:ascii="Consolas" w:hAnsi="Consolas"/>
          <w:sz w:val="22"/>
        </w:rPr>
        <w:t>#NUM!</w:t>
      </w:r>
      <w:r>
        <w:rPr>
          <w:rFonts w:ascii="Consolas" w:hAnsi="Consolas"/>
          <w:spacing w:val="-77"/>
          <w:sz w:val="22"/>
        </w:rPr>
        <w:t> </w:t>
      </w:r>
      <w:r>
        <w:rPr>
          <w:sz w:val="22"/>
        </w:rPr>
        <w:t>is returned.</w:t>
      </w:r>
    </w:p>
    <w:p>
      <w:pPr>
        <w:spacing w:before="1"/>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line="273" w:lineRule="auto"/>
        <w:ind w:left="220" w:right="3424"/>
        <w:rPr>
          <w:rFonts w:ascii="Consolas"/>
        </w:rPr>
      </w:pPr>
      <w:r>
        <w:rPr>
          <w:rFonts w:ascii="Consolas"/>
        </w:rPr>
        <w:t>IMSIN("2.3+4.5i")</w:t>
      </w:r>
      <w:r>
        <w:rPr>
          <w:rFonts w:ascii="Consolas"/>
          <w:spacing w:val="-76"/>
        </w:rPr>
        <w:t> </w:t>
      </w:r>
      <w:r>
        <w:rPr/>
        <w:t>results in </w:t>
      </w:r>
      <w:r>
        <w:rPr>
          <w:rFonts w:ascii="Consolas"/>
        </w:rPr>
        <w:t>33.567264016308-29.9844272159606i IMSIN("-1-4j")</w:t>
      </w:r>
      <w:r>
        <w:rPr>
          <w:rFonts w:ascii="Consolas"/>
          <w:spacing w:val="-70"/>
        </w:rPr>
        <w:t> </w:t>
      </w:r>
      <w:r>
        <w:rPr/>
        <w:t>results in </w:t>
      </w:r>
      <w:r>
        <w:rPr>
          <w:rFonts w:ascii="Consolas"/>
        </w:rPr>
        <w:t>-22.9790855778861-14.7448051885587j</w:t>
      </w:r>
    </w:p>
    <w:p>
      <w:pPr>
        <w:pStyle w:val="BodyText"/>
        <w:rPr>
          <w:rFonts w:ascii="Consolas"/>
          <w:sz w:val="27"/>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163 IMSQRT" w:id="1881"/>
      <w:bookmarkEnd w:id="1881"/>
      <w:r>
        <w:rPr/>
      </w:r>
      <w:bookmarkStart w:name="_bookmark626" w:id="1882"/>
      <w:bookmarkEnd w:id="1882"/>
      <w:r>
        <w:rPr/>
      </w:r>
      <w:bookmarkStart w:name="_bookmark626" w:id="1883"/>
      <w:bookmarkEnd w:id="1883"/>
      <w:r>
        <w:rPr>
          <w:color w:val="4F81BC"/>
        </w:rPr>
        <w:t>I</w:t>
      </w:r>
      <w:r>
        <w:rPr>
          <w:color w:val="4F81BC"/>
        </w:rPr>
        <w:t>MSQRT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IMSQRT ( </w:t>
      </w:r>
      <w:r>
        <w:rPr>
          <w:i/>
          <w:sz w:val="22"/>
        </w:rPr>
        <w:t>complex-number </w:t>
      </w:r>
      <w:r>
        <w:rPr>
          <w:rFonts w:ascii="Lucida Console"/>
          <w:sz w:val="20"/>
        </w:rPr>
        <w:t>)</w:t>
      </w:r>
    </w:p>
    <w:p>
      <w:pPr>
        <w:spacing w:before="108"/>
        <w:ind w:left="220" w:right="0" w:firstLine="0"/>
        <w:jc w:val="left"/>
        <w:rPr>
          <w:rFonts w:ascii="Times New Roman"/>
          <w:i/>
          <w:sz w:val="22"/>
        </w:rPr>
      </w:pPr>
      <w:r>
        <w:rPr>
          <w:b/>
          <w:sz w:val="22"/>
        </w:rPr>
        <w:t>Description: </w:t>
      </w:r>
      <w:r>
        <w:rPr>
          <w:sz w:val="22"/>
        </w:rPr>
        <w:t>Computes the square root of the complex number </w:t>
      </w:r>
      <w:r>
        <w:rPr>
          <w:rFonts w:ascii="Times New Roman"/>
          <w:i/>
          <w:sz w:val="22"/>
        </w:rPr>
        <w:t>complex-number.</w:t>
      </w:r>
    </w:p>
    <w:p>
      <w:pPr>
        <w:pStyle w:val="BodyText"/>
        <w:spacing w:before="10"/>
        <w:rPr>
          <w:rFonts w:ascii="Times New Roman"/>
          <w:i/>
          <w:sz w:val="20"/>
        </w:rPr>
      </w:pPr>
    </w:p>
    <w:p>
      <w:pPr>
        <w:pStyle w:val="Heading4"/>
        <w:rPr>
          <w:b w:val="0"/>
        </w:rPr>
      </w:pPr>
      <w:r>
        <w:rPr/>
        <w:t>Mathematical Formula</w:t>
      </w:r>
      <w:r>
        <w:rPr>
          <w:b w:val="0"/>
        </w:rPr>
        <w:t>:</w:t>
      </w:r>
    </w:p>
    <w:p>
      <w:pPr>
        <w:pStyle w:val="BodyText"/>
        <w:spacing w:before="2"/>
        <w:rPr>
          <w:sz w:val="10"/>
        </w:rPr>
      </w:pPr>
    </w:p>
    <w:p>
      <w:pPr>
        <w:pStyle w:val="BodyText"/>
        <w:tabs>
          <w:tab w:pos="2049" w:val="left" w:leader="none"/>
          <w:tab w:pos="2771" w:val="left" w:leader="none"/>
          <w:tab w:pos="3340" w:val="left" w:leader="none"/>
        </w:tabs>
        <w:spacing w:line="205" w:lineRule="exact" w:before="88"/>
        <w:ind w:left="1449"/>
        <w:rPr>
          <w:rFonts w:ascii="Cambria Math" w:eastAsia="Cambria Math"/>
        </w:rPr>
      </w:pPr>
      <w:r>
        <w:rPr/>
        <w:pict>
          <v:line style="position:absolute;mso-position-horizontal-relative:page;mso-position-vertical-relative:paragraph;z-index:251789312" from="62.16pt,13.652168pt" to="91.464pt,13.652168pt" stroked="true" strokeweight=".72pt" strokecolor="#000000">
            <v:stroke dashstyle="solid"/>
            <w10:wrap type="none"/>
          </v:line>
        </w:pict>
      </w:r>
      <w:r>
        <w:rPr>
          <w:rFonts w:ascii="Times New Roman" w:eastAsia="Times New Roman"/>
          <w:w w:val="100"/>
          <w:u w:val="single"/>
        </w:rPr>
        <w:t> </w:t>
      </w:r>
      <w:r>
        <w:rPr>
          <w:rFonts w:ascii="Times New Roman" w:eastAsia="Times New Roman"/>
          <w:u w:val="single"/>
        </w:rPr>
        <w:t> </w:t>
      </w:r>
      <w:r>
        <w:rPr>
          <w:rFonts w:ascii="Times New Roman" w:eastAsia="Times New Roman"/>
          <w:spacing w:val="-5"/>
          <w:u w:val="single"/>
        </w:rPr>
        <w:t> </w:t>
      </w:r>
      <w:r>
        <w:rPr>
          <w:rFonts w:ascii="Times New Roman" w:eastAsia="Times New Roman"/>
        </w:rPr>
        <w:tab/>
      </w:r>
      <w:r>
        <w:rPr>
          <w:rFonts w:ascii="Cambria Math" w:eastAsia="Cambria Math"/>
        </w:rPr>
        <w:t>𝜃</w:t>
        <w:tab/>
      </w:r>
      <w:r>
        <w:rPr>
          <w:rFonts w:ascii="Cambria Math" w:eastAsia="Cambria Math"/>
          <w:u w:val="single"/>
        </w:rPr>
        <w:t> </w:t>
      </w:r>
      <w:r>
        <w:rPr>
          <w:rFonts w:ascii="Cambria Math" w:eastAsia="Cambria Math"/>
        </w:rPr>
        <w:tab/>
        <w:t>𝜃</w:t>
      </w:r>
    </w:p>
    <w:p>
      <w:pPr>
        <w:pStyle w:val="BodyText"/>
        <w:spacing w:line="216" w:lineRule="auto"/>
        <w:ind w:left="220"/>
        <w:rPr>
          <w:rFonts w:ascii="Cambria Math" w:hAnsi="Cambria Math" w:eastAsia="Cambria Math"/>
        </w:rPr>
      </w:pPr>
      <w:r>
        <w:rPr/>
        <w:pict>
          <v:rect style="position:absolute;margin-left:145.460007pt;margin-top:6.776484pt;width:6.48pt;height:.72pt;mso-position-horizontal-relative:page;mso-position-vertical-relative:paragraph;z-index:-335850496" filled="true" fillcolor="#000000" stroked="false">
            <v:fill type="solid"/>
            <w10:wrap type="none"/>
          </v:rect>
        </w:pict>
      </w:r>
      <w:r>
        <w:rPr/>
        <w:pict>
          <v:rect style="position:absolute;margin-left:210.050003pt;margin-top:6.776484pt;width:6.48pt;height:.72pt;mso-position-horizontal-relative:page;mso-position-vertical-relative:paragraph;z-index:-335849472" filled="true" fillcolor="#000000" stroked="false">
            <v:fill type="solid"/>
            <w10:wrap type="none"/>
          </v:rect>
        </w:pict>
      </w:r>
      <w:r>
        <w:rPr>
          <w:rFonts w:ascii="Cambria Math" w:hAnsi="Cambria Math" w:eastAsia="Cambria Math"/>
          <w:w w:val="105"/>
        </w:rPr>
        <w:t>√</w:t>
      </w:r>
      <w:r>
        <w:rPr>
          <w:rFonts w:ascii="Cambria Math" w:hAnsi="Cambria Math" w:eastAsia="Cambria Math"/>
          <w:w w:val="105"/>
          <w:position w:val="2"/>
        </w:rPr>
        <w:t>𝑥 + 𝑦𝑖 = </w:t>
      </w:r>
      <w:r>
        <w:rPr>
          <w:rFonts w:ascii="Cambria Math" w:hAnsi="Cambria Math" w:eastAsia="Cambria Math"/>
          <w:w w:val="105"/>
        </w:rPr>
        <w:t>√</w:t>
      </w:r>
      <w:r>
        <w:rPr>
          <w:rFonts w:ascii="Cambria Math" w:hAnsi="Cambria Math" w:eastAsia="Cambria Math"/>
          <w:w w:val="105"/>
          <w:position w:val="2"/>
        </w:rPr>
        <w:t>𝑟 cos (</w:t>
      </w:r>
      <w:r>
        <w:rPr>
          <w:rFonts w:ascii="Cambria Math" w:hAnsi="Cambria Math" w:eastAsia="Cambria Math"/>
          <w:w w:val="105"/>
          <w:position w:val="-12"/>
        </w:rPr>
        <w:t>2</w:t>
      </w:r>
      <w:r>
        <w:rPr>
          <w:rFonts w:ascii="Cambria Math" w:hAnsi="Cambria Math" w:eastAsia="Cambria Math"/>
          <w:w w:val="105"/>
          <w:position w:val="2"/>
        </w:rPr>
        <w:t>) + 𝑖</w:t>
      </w:r>
      <w:r>
        <w:rPr>
          <w:rFonts w:ascii="Cambria Math" w:hAnsi="Cambria Math" w:eastAsia="Cambria Math"/>
          <w:w w:val="105"/>
        </w:rPr>
        <w:t>√</w:t>
      </w:r>
      <w:r>
        <w:rPr>
          <w:rFonts w:ascii="Cambria Math" w:hAnsi="Cambria Math" w:eastAsia="Cambria Math"/>
          <w:w w:val="105"/>
          <w:position w:val="2"/>
        </w:rPr>
        <w:t>𝑟 sin (</w:t>
      </w:r>
      <w:r>
        <w:rPr>
          <w:rFonts w:ascii="Cambria Math" w:hAnsi="Cambria Math" w:eastAsia="Cambria Math"/>
          <w:w w:val="105"/>
          <w:position w:val="-12"/>
        </w:rPr>
        <w:t>2</w:t>
      </w:r>
      <w:r>
        <w:rPr>
          <w:rFonts w:ascii="Cambria Math" w:hAnsi="Cambria Math" w:eastAsia="Cambria Math"/>
          <w:w w:val="105"/>
          <w:position w:val="2"/>
        </w:rPr>
        <w:t>)</w:t>
      </w:r>
    </w:p>
    <w:p>
      <w:pPr>
        <w:pStyle w:val="BodyText"/>
        <w:spacing w:before="183"/>
        <w:ind w:left="220"/>
      </w:pPr>
      <w:r>
        <w:rPr/>
        <w:t>where:</w:t>
      </w:r>
    </w:p>
    <w:p>
      <w:pPr>
        <w:pStyle w:val="BodyText"/>
        <w:spacing w:before="2"/>
        <w:rPr>
          <w:sz w:val="20"/>
        </w:rPr>
      </w:pPr>
      <w:r>
        <w:rPr/>
        <w:pict>
          <v:line style="position:absolute;mso-position-horizontal-relative:page;mso-position-vertical-relative:paragraph;z-index:-251528192;mso-wrap-distance-left:0;mso-wrap-distance-right:0" from="84.384003pt,14.693569pt" to="120.864003pt,14.693569pt" stroked="true" strokeweight=".72pt" strokecolor="#000000">
            <v:stroke dashstyle="solid"/>
            <w10:wrap type="topAndBottom"/>
          </v:line>
        </w:pict>
      </w:r>
    </w:p>
    <w:p>
      <w:pPr>
        <w:pStyle w:val="BodyText"/>
        <w:ind w:left="220"/>
        <w:rPr>
          <w:rFonts w:ascii="Cambria Math" w:hAnsi="Cambria Math" w:eastAsia="Cambria Math"/>
          <w:sz w:val="16"/>
        </w:rPr>
      </w:pPr>
      <w:r>
        <w:rPr>
          <w:rFonts w:ascii="Cambria Math" w:hAnsi="Cambria Math" w:eastAsia="Cambria Math"/>
          <w:w w:val="105"/>
        </w:rPr>
        <w:t>𝑟 = √𝑥</w:t>
      </w:r>
      <w:r>
        <w:rPr>
          <w:rFonts w:ascii="Cambria Math" w:hAnsi="Cambria Math" w:eastAsia="Cambria Math"/>
          <w:w w:val="105"/>
          <w:position w:val="7"/>
          <w:sz w:val="16"/>
        </w:rPr>
        <w:t>2 </w:t>
      </w:r>
      <w:r>
        <w:rPr>
          <w:rFonts w:ascii="Cambria Math" w:hAnsi="Cambria Math" w:eastAsia="Cambria Math"/>
          <w:w w:val="105"/>
        </w:rPr>
        <w:t>+ 𝑦</w:t>
      </w:r>
      <w:r>
        <w:rPr>
          <w:rFonts w:ascii="Cambria Math" w:hAnsi="Cambria Math" w:eastAsia="Cambria Math"/>
          <w:w w:val="105"/>
          <w:position w:val="7"/>
          <w:sz w:val="16"/>
        </w:rPr>
        <w:t>2</w:t>
      </w:r>
    </w:p>
    <w:p>
      <w:pPr>
        <w:pStyle w:val="BodyText"/>
        <w:spacing w:before="11"/>
        <w:rPr>
          <w:rFonts w:ascii="Cambria Math"/>
          <w:sz w:val="15"/>
        </w:rPr>
      </w:pPr>
    </w:p>
    <w:p>
      <w:pPr>
        <w:pStyle w:val="BodyText"/>
        <w:spacing w:before="56"/>
        <w:ind w:left="220"/>
      </w:pPr>
      <w:r>
        <w:rPr/>
        <w:t>and:</w:t>
      </w:r>
    </w:p>
    <w:p>
      <w:pPr>
        <w:pStyle w:val="BodyText"/>
        <w:spacing w:line="373" w:lineRule="exact" w:before="162"/>
        <w:ind w:left="220"/>
        <w:rPr>
          <w:rFonts w:ascii="Cambria Math" w:hAnsi="Cambria Math" w:eastAsia="Cambria Math"/>
        </w:rPr>
      </w:pPr>
      <w:r>
        <w:rPr/>
        <w:pict>
          <v:rect style="position:absolute;margin-left:110.660004pt;margin-top:23.572155pt;width:6.36pt;height:.72pt;mso-position-horizontal-relative:page;mso-position-vertical-relative:paragraph;z-index:-335848448" filled="true" fillcolor="#000000" stroked="false">
            <v:fill type="solid"/>
            <w10:wrap type="none"/>
          </v:rect>
        </w:pict>
      </w:r>
      <w:r>
        <w:rPr/>
        <w:pict>
          <v:shape style="position:absolute;margin-left:105.260002pt;margin-top:18.454109pt;width:5.45pt;height:11.1pt;mso-position-horizontal-relative:page;mso-position-vertical-relative:paragraph;z-index:-335847424" type="#_x0000_t202" filled="false" stroked="false">
            <v:textbox inset="0,0,0,0">
              <w:txbxContent>
                <w:p>
                  <w:pPr>
                    <w:pStyle w:val="BodyText"/>
                    <w:spacing w:line="221" w:lineRule="exact"/>
                    <w:rPr>
                      <w:rFonts w:ascii="Cambria Math"/>
                    </w:rPr>
                  </w:pPr>
                  <w:r>
                    <w:rPr>
                      <w:rFonts w:ascii="Cambria Math"/>
                      <w:w w:val="118"/>
                    </w:rPr>
                    <w:t>(</w:t>
                  </w:r>
                </w:p>
              </w:txbxContent>
            </v:textbox>
            <w10:wrap type="none"/>
          </v:shape>
        </w:pict>
      </w:r>
      <w:r>
        <w:rPr>
          <w:rFonts w:ascii="Cambria Math" w:hAnsi="Cambria Math" w:eastAsia="Cambria Math"/>
        </w:rPr>
        <w:t>𝜃 = tan</w:t>
      </w:r>
      <w:r>
        <w:rPr>
          <w:rFonts w:ascii="Cambria Math" w:hAnsi="Cambria Math" w:eastAsia="Cambria Math"/>
          <w:vertAlign w:val="superscript"/>
        </w:rPr>
        <w:t>−1</w:t>
      </w:r>
      <w:r>
        <w:rPr>
          <w:rFonts w:ascii="Cambria Math" w:hAnsi="Cambria Math" w:eastAsia="Cambria Math"/>
          <w:vertAlign w:val="baseline"/>
        </w:rPr>
        <w:t> </w:t>
      </w:r>
      <w:r>
        <w:rPr>
          <w:rFonts w:ascii="Cambria Math" w:hAnsi="Cambria Math" w:eastAsia="Cambria Math"/>
          <w:position w:val="17"/>
          <w:vertAlign w:val="baseline"/>
        </w:rPr>
        <w:t>𝑦</w:t>
      </w:r>
      <w:r>
        <w:rPr>
          <w:rFonts w:ascii="Cambria Math" w:hAnsi="Cambria Math" w:eastAsia="Cambria Math"/>
          <w:vertAlign w:val="baseline"/>
        </w:rPr>
        <w:t>)</w:t>
      </w:r>
    </w:p>
    <w:p>
      <w:pPr>
        <w:pStyle w:val="BodyText"/>
        <w:spacing w:line="203" w:lineRule="exact"/>
        <w:ind w:left="1353"/>
        <w:rPr>
          <w:rFonts w:ascii="Cambria Math" w:eastAsia="Cambria Math"/>
        </w:rPr>
      </w:pPr>
      <w:r>
        <w:rPr>
          <w:rFonts w:ascii="Cambria Math" w:eastAsia="Cambria Math"/>
        </w:rPr>
        <w:t>𝑥</w:t>
      </w:r>
    </w:p>
    <w:p>
      <w:pPr>
        <w:pStyle w:val="BodyText"/>
        <w:spacing w:before="8"/>
        <w:rPr>
          <w:rFonts w:ascii="Cambria Math"/>
          <w:sz w:val="11"/>
        </w:rPr>
      </w:pPr>
    </w:p>
    <w:p>
      <w:pPr>
        <w:pStyle w:val="BodyText"/>
        <w:spacing w:before="56"/>
        <w:ind w:left="220"/>
      </w:pPr>
      <w:r>
        <w:rPr/>
        <w:t>and:</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𝜃 ∈ </w:t>
      </w:r>
      <w:r>
        <w:rPr>
          <w:rFonts w:ascii="Cambria Math" w:hAnsi="Cambria Math" w:eastAsia="Cambria Math"/>
          <w:position w:val="1"/>
        </w:rPr>
        <w:t>(</w:t>
      </w:r>
      <w:r>
        <w:rPr>
          <w:rFonts w:ascii="Cambria Math" w:hAnsi="Cambria Math" w:eastAsia="Cambria Math"/>
        </w:rPr>
        <w:t>−𝜋; 𝜋</w:t>
      </w:r>
      <w:r>
        <w:rPr>
          <w:rFonts w:ascii="Cambria Math" w:hAnsi="Cambria Math" w:eastAsia="Cambria Math"/>
          <w:position w:val="1"/>
        </w:rPr>
        <w:t>]</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argument </w:t>
      </w:r>
      <w:r>
        <w:rPr>
          <w:rFonts w:ascii="Times New Roman" w:hAnsi="Times New Roman"/>
          <w:i/>
          <w:sz w:val="22"/>
        </w:rPr>
        <w:t>complex-number </w:t>
      </w:r>
      <w:r>
        <w:rPr>
          <w:sz w:val="22"/>
        </w:rPr>
        <w:t>is expressed in the form x +</w:t>
      </w:r>
      <w:r>
        <w:rPr>
          <w:spacing w:val="-17"/>
          <w:sz w:val="22"/>
        </w:rPr>
        <w:t> </w:t>
      </w:r>
      <w:r>
        <w:rPr>
          <w:sz w:val="22"/>
        </w:rPr>
        <w:t>yi</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right="514"/>
              <w:rPr>
                <w:rFonts w:ascii="Times New Roman"/>
                <w:i/>
                <w:sz w:val="22"/>
              </w:rPr>
            </w:pPr>
            <w:r>
              <w:rPr>
                <w:rFonts w:ascii="Times New Roman"/>
                <w:i/>
                <w:sz w:val="22"/>
              </w:rPr>
              <w:t>complex- </w:t>
            </w: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52"/>
              <w:rPr>
                <w:sz w:val="22"/>
              </w:rPr>
            </w:pPr>
            <w:r>
              <w:rPr>
                <w:sz w:val="22"/>
              </w:rPr>
              <w:t>The complex number for which the square root is being computed. </w:t>
            </w:r>
            <w:r>
              <w:rPr>
                <w:rFonts w:ascii="Times New Roman"/>
                <w:i/>
                <w:sz w:val="22"/>
              </w:rPr>
              <w:t>complex-number </w:t>
            </w:r>
            <w:r>
              <w:rPr>
                <w:sz w:val="22"/>
              </w:rPr>
              <w:t>shall be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7"/>
        <w:rPr>
          <w:b/>
          <w:sz w:val="19"/>
        </w:rPr>
      </w:pPr>
    </w:p>
    <w:p>
      <w:pPr>
        <w:spacing w:line="453" w:lineRule="auto" w:before="0"/>
        <w:ind w:left="220" w:right="369" w:firstLine="0"/>
        <w:jc w:val="left"/>
        <w:rPr>
          <w:sz w:val="22"/>
        </w:rPr>
      </w:pPr>
      <w:r>
        <w:rPr>
          <w:b/>
          <w:sz w:val="22"/>
        </w:rPr>
        <w:t>Return Type and Value: </w:t>
      </w:r>
      <w:r>
        <w:rPr>
          <w:sz w:val="22"/>
        </w:rPr>
        <w:t>text – A string containing the square root of </w:t>
      </w:r>
      <w:r>
        <w:rPr>
          <w:rFonts w:ascii="Times New Roman" w:hAnsi="Times New Roman"/>
          <w:i/>
          <w:sz w:val="22"/>
        </w:rPr>
        <w:t>complex-number</w:t>
      </w:r>
      <w:r>
        <w:rPr>
          <w:sz w:val="22"/>
        </w:rPr>
        <w:t>, in </w:t>
      </w:r>
      <w:r>
        <w:rPr>
          <w:i/>
          <w:sz w:val="22"/>
        </w:rPr>
        <w:t>x+yi </w:t>
      </w:r>
      <w:r>
        <w:rPr>
          <w:sz w:val="22"/>
        </w:rPr>
        <w:t>or </w:t>
      </w:r>
      <w:r>
        <w:rPr>
          <w:i/>
          <w:sz w:val="22"/>
        </w:rPr>
        <w:t>x+yj </w:t>
      </w:r>
      <w:r>
        <w:rPr>
          <w:sz w:val="22"/>
        </w:rPr>
        <w:t>text format. However, if </w:t>
      </w:r>
      <w:r>
        <w:rPr>
          <w:rFonts w:ascii="Times New Roman" w:hAnsi="Times New Roman"/>
          <w:i/>
          <w:sz w:val="22"/>
        </w:rPr>
        <w:t>complex-number </w:t>
      </w:r>
      <w:r>
        <w:rPr>
          <w:sz w:val="22"/>
        </w:rPr>
        <w:t>is ill-formed, </w:t>
      </w:r>
      <w:r>
        <w:rPr>
          <w:rFonts w:ascii="Consolas" w:hAnsi="Consolas"/>
          <w:sz w:val="22"/>
        </w:rPr>
        <w:t>#NUM!</w:t>
      </w:r>
      <w:r>
        <w:rPr>
          <w:rFonts w:ascii="Consolas" w:hAnsi="Consolas"/>
          <w:spacing w:val="-77"/>
          <w:sz w:val="22"/>
        </w:rPr>
        <w:t> </w:t>
      </w:r>
      <w:r>
        <w:rPr>
          <w:sz w:val="22"/>
        </w:rPr>
        <w:t>is returned.</w:t>
      </w:r>
    </w:p>
    <w:p>
      <w:pPr>
        <w:spacing w:before="1"/>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3184"/>
        <w:rPr>
          <w:rFonts w:ascii="Consolas"/>
        </w:rPr>
      </w:pPr>
      <w:r>
        <w:rPr>
          <w:rFonts w:ascii="Consolas"/>
        </w:rPr>
        <w:t>IMSQRT("2.3+4.5i")</w:t>
      </w:r>
      <w:r>
        <w:rPr>
          <w:rFonts w:ascii="Consolas"/>
          <w:spacing w:val="-80"/>
        </w:rPr>
        <w:t> </w:t>
      </w:r>
      <w:r>
        <w:rPr/>
        <w:t>results in </w:t>
      </w:r>
      <w:r>
        <w:rPr>
          <w:rFonts w:ascii="Consolas"/>
        </w:rPr>
        <w:t>1.91751290835255+1.17339496918073i IMSQRT("-1-4j") </w:t>
      </w:r>
      <w:r>
        <w:rPr/>
        <w:t>results in </w:t>
      </w:r>
      <w:r>
        <w:rPr>
          <w:rFonts w:ascii="Consolas"/>
        </w:rPr>
        <w:t>1.24962106768765-1.60048518044024j</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164 IMSUB" w:id="1884"/>
      <w:bookmarkEnd w:id="1884"/>
      <w:r>
        <w:rPr/>
      </w:r>
      <w:bookmarkStart w:name="_bookmark627" w:id="1885"/>
      <w:bookmarkEnd w:id="1885"/>
      <w:r>
        <w:rPr/>
      </w:r>
      <w:bookmarkStart w:name="_bookmark627" w:id="1886"/>
      <w:bookmarkEnd w:id="1886"/>
      <w:r>
        <w:rPr>
          <w:color w:val="4F81BC"/>
        </w:rPr>
        <w:t>I</w:t>
      </w:r>
      <w:r>
        <w:rPr>
          <w:color w:val="4F81BC"/>
        </w:rPr>
        <w:t>MSUB</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IMSUB ( </w:t>
      </w:r>
      <w:r>
        <w:rPr>
          <w:i/>
          <w:sz w:val="22"/>
        </w:rPr>
        <w:t>complex-number-1 </w:t>
      </w:r>
      <w:r>
        <w:rPr>
          <w:rFonts w:ascii="Lucida Console"/>
          <w:sz w:val="20"/>
        </w:rPr>
        <w:t>, </w:t>
      </w:r>
      <w:r>
        <w:rPr>
          <w:i/>
          <w:sz w:val="22"/>
        </w:rPr>
        <w:t>complex-number-2 </w:t>
      </w:r>
      <w:r>
        <w:rPr>
          <w:rFonts w:ascii="Lucida Console"/>
          <w:sz w:val="20"/>
        </w:rPr>
        <w:t>)</w:t>
      </w:r>
    </w:p>
    <w:p>
      <w:pPr>
        <w:spacing w:before="108"/>
        <w:ind w:left="220" w:right="0" w:firstLine="0"/>
        <w:jc w:val="left"/>
        <w:rPr>
          <w:sz w:val="22"/>
        </w:rPr>
      </w:pPr>
      <w:r>
        <w:rPr>
          <w:b/>
          <w:sz w:val="22"/>
        </w:rPr>
        <w:t>Description: </w:t>
      </w:r>
      <w:r>
        <w:rPr>
          <w:sz w:val="22"/>
        </w:rPr>
        <w:t>Computes the difference of two complex numbers.</w:t>
      </w:r>
    </w:p>
    <w:p>
      <w:pPr>
        <w:pStyle w:val="BodyText"/>
        <w:spacing w:before="8"/>
        <w:rPr>
          <w:sz w:val="19"/>
        </w:rPr>
      </w:pPr>
    </w:p>
    <w:p>
      <w:pPr>
        <w:pStyle w:val="Heading4"/>
        <w:rPr>
          <w:b w:val="0"/>
        </w:rPr>
      </w:pPr>
      <w:r>
        <w:rPr/>
        <w:t>Mathematical Formula</w:t>
      </w:r>
      <w:r>
        <w:rPr>
          <w:b w:val="0"/>
        </w:rPr>
        <w:t>:</w:t>
      </w: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position w:val="1"/>
        </w:rPr>
        <w:t>(</w:t>
      </w:r>
      <w:r>
        <w:rPr>
          <w:rFonts w:ascii="Cambria Math" w:hAnsi="Cambria Math" w:eastAsia="Cambria Math"/>
        </w:rPr>
        <w:t>𝑎 + 𝑏𝑖</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𝑐 + 𝑑𝑖</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𝑎 − 𝑐</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𝑏 − 𝑑</w:t>
      </w:r>
      <w:r>
        <w:rPr>
          <w:rFonts w:ascii="Cambria Math" w:hAnsi="Cambria Math" w:eastAsia="Cambria Math"/>
          <w:position w:val="1"/>
        </w:rPr>
        <w:t>)</w:t>
      </w:r>
      <w:r>
        <w:rPr>
          <w:rFonts w:ascii="Cambria Math" w:hAnsi="Cambria Math" w:eastAsia="Cambria Math"/>
        </w:rPr>
        <w:t>𝑖</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argument </w:t>
      </w:r>
      <w:r>
        <w:rPr>
          <w:rFonts w:ascii="Times New Roman" w:hAnsi="Times New Roman"/>
          <w:i/>
          <w:sz w:val="22"/>
        </w:rPr>
        <w:t>complex-number-1 </w:t>
      </w:r>
      <w:r>
        <w:rPr>
          <w:sz w:val="22"/>
        </w:rPr>
        <w:t>is expressed in the form a +</w:t>
      </w:r>
      <w:r>
        <w:rPr>
          <w:spacing w:val="-20"/>
          <w:sz w:val="22"/>
        </w:rPr>
        <w:t> </w:t>
      </w:r>
      <w:r>
        <w:rPr>
          <w:sz w:val="22"/>
        </w:rPr>
        <w:t>bi</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sz w:val="22"/>
        </w:rPr>
        <w:t>argument </w:t>
      </w:r>
      <w:r>
        <w:rPr>
          <w:rFonts w:ascii="Times New Roman" w:hAnsi="Times New Roman"/>
          <w:i/>
          <w:sz w:val="22"/>
        </w:rPr>
        <w:t>complex-number-2 </w:t>
      </w:r>
      <w:r>
        <w:rPr>
          <w:sz w:val="22"/>
        </w:rPr>
        <w:t>is expressed in the form c +</w:t>
      </w:r>
      <w:r>
        <w:rPr>
          <w:spacing w:val="-19"/>
          <w:sz w:val="22"/>
        </w:rPr>
        <w:t> </w:t>
      </w:r>
      <w:r>
        <w:rPr>
          <w:sz w:val="22"/>
        </w:rPr>
        <w:t>di</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0" w:hRule="atLeast"/>
        </w:trPr>
        <w:tc>
          <w:tcPr>
            <w:tcW w:w="1466" w:type="dxa"/>
          </w:tcPr>
          <w:p>
            <w:pPr>
              <w:pStyle w:val="TableParagraph"/>
              <w:spacing w:before="37"/>
              <w:ind w:right="482"/>
              <w:rPr>
                <w:rFonts w:ascii="Times New Roman"/>
                <w:i/>
                <w:sz w:val="22"/>
              </w:rPr>
            </w:pPr>
            <w:r>
              <w:rPr>
                <w:rFonts w:ascii="Times New Roman"/>
                <w:i/>
                <w:sz w:val="22"/>
              </w:rPr>
              <w:t>complex- </w:t>
            </w:r>
            <w:r>
              <w:rPr>
                <w:rFonts w:ascii="Times New Roman"/>
                <w:i/>
                <w:sz w:val="22"/>
              </w:rPr>
              <w:t>number-1</w:t>
            </w:r>
          </w:p>
        </w:tc>
        <w:tc>
          <w:tcPr>
            <w:tcW w:w="1800" w:type="dxa"/>
          </w:tcPr>
          <w:p>
            <w:pPr>
              <w:pStyle w:val="TableParagraph"/>
              <w:ind w:left="112"/>
              <w:rPr>
                <w:sz w:val="22"/>
              </w:rPr>
            </w:pPr>
            <w:r>
              <w:rPr>
                <w:sz w:val="22"/>
              </w:rPr>
              <w:t>text</w:t>
            </w:r>
          </w:p>
        </w:tc>
        <w:tc>
          <w:tcPr>
            <w:tcW w:w="5400" w:type="dxa"/>
            <w:vMerge w:val="restart"/>
          </w:tcPr>
          <w:p>
            <w:pPr>
              <w:pStyle w:val="TableParagraph"/>
              <w:ind w:left="113" w:right="492"/>
              <w:rPr>
                <w:sz w:val="22"/>
              </w:rPr>
            </w:pPr>
            <w:r>
              <w:rPr>
                <w:sz w:val="22"/>
              </w:rPr>
              <w:t>Complex numbers in </w:t>
            </w:r>
            <w:r>
              <w:rPr>
                <w:i/>
                <w:sz w:val="22"/>
              </w:rPr>
              <w:t>x + yi </w:t>
            </w:r>
            <w:r>
              <w:rPr>
                <w:sz w:val="22"/>
              </w:rPr>
              <w:t>or </w:t>
            </w:r>
            <w:r>
              <w:rPr>
                <w:i/>
                <w:sz w:val="22"/>
              </w:rPr>
              <w:t>x + yj </w:t>
            </w:r>
            <w:r>
              <w:rPr>
                <w:sz w:val="22"/>
              </w:rPr>
              <w:t>text format; they designate the minuend and subtrahend, respectively.</w:t>
            </w:r>
          </w:p>
        </w:tc>
      </w:tr>
      <w:tr>
        <w:trPr>
          <w:trHeight w:val="592" w:hRule="atLeast"/>
        </w:trPr>
        <w:tc>
          <w:tcPr>
            <w:tcW w:w="1466" w:type="dxa"/>
          </w:tcPr>
          <w:p>
            <w:pPr>
              <w:pStyle w:val="TableParagraph"/>
              <w:spacing w:before="37"/>
              <w:ind w:right="482"/>
              <w:rPr>
                <w:rFonts w:ascii="Times New Roman"/>
                <w:i/>
                <w:sz w:val="22"/>
              </w:rPr>
            </w:pPr>
            <w:r>
              <w:rPr>
                <w:rFonts w:ascii="Times New Roman"/>
                <w:i/>
                <w:sz w:val="22"/>
              </w:rPr>
              <w:t>complex- </w:t>
            </w:r>
            <w:r>
              <w:rPr>
                <w:rFonts w:ascii="Times New Roman"/>
                <w:i/>
                <w:sz w:val="22"/>
              </w:rPr>
              <w:t>number-2</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bl>
    <w:p>
      <w:pPr>
        <w:pStyle w:val="BodyText"/>
        <w:rPr>
          <w:b/>
        </w:rPr>
      </w:pPr>
    </w:p>
    <w:p>
      <w:pPr>
        <w:pStyle w:val="BodyText"/>
        <w:spacing w:before="7"/>
        <w:rPr>
          <w:b/>
          <w:sz w:val="19"/>
        </w:rPr>
      </w:pPr>
    </w:p>
    <w:p>
      <w:pPr>
        <w:spacing w:line="456" w:lineRule="auto" w:before="0"/>
        <w:ind w:left="220" w:right="1028" w:firstLine="0"/>
        <w:jc w:val="left"/>
        <w:rPr>
          <w:sz w:val="22"/>
        </w:rPr>
      </w:pPr>
      <w:r>
        <w:rPr>
          <w:b/>
          <w:sz w:val="22"/>
        </w:rPr>
        <w:t>Return Type and Value: </w:t>
      </w:r>
      <w:r>
        <w:rPr>
          <w:sz w:val="22"/>
        </w:rPr>
        <w:t>text – A string containing </w:t>
      </w:r>
      <w:r>
        <w:rPr>
          <w:rFonts w:ascii="Times New Roman" w:hAnsi="Times New Roman"/>
          <w:i/>
          <w:sz w:val="22"/>
        </w:rPr>
        <w:t>number-1 </w:t>
      </w:r>
      <w:r>
        <w:rPr>
          <w:rFonts w:ascii="Consolas" w:hAnsi="Consolas"/>
          <w:sz w:val="22"/>
        </w:rPr>
        <w:t>-</w:t>
      </w:r>
      <w:r>
        <w:rPr>
          <w:rFonts w:ascii="Consolas" w:hAnsi="Consolas"/>
          <w:spacing w:val="-102"/>
          <w:sz w:val="22"/>
        </w:rPr>
        <w:t> </w:t>
      </w:r>
      <w:r>
        <w:rPr>
          <w:rFonts w:ascii="Times New Roman" w:hAnsi="Times New Roman"/>
          <w:i/>
          <w:sz w:val="22"/>
        </w:rPr>
        <w:t>number-2</w:t>
      </w:r>
      <w:r>
        <w:rPr>
          <w:sz w:val="22"/>
        </w:rPr>
        <w:t>, in </w:t>
      </w:r>
      <w:r>
        <w:rPr>
          <w:i/>
          <w:sz w:val="22"/>
        </w:rPr>
        <w:t>x+yi </w:t>
      </w:r>
      <w:r>
        <w:rPr>
          <w:sz w:val="22"/>
        </w:rPr>
        <w:t>or </w:t>
      </w:r>
      <w:r>
        <w:rPr>
          <w:i/>
          <w:sz w:val="22"/>
        </w:rPr>
        <w:t>x+yj </w:t>
      </w:r>
      <w:r>
        <w:rPr>
          <w:sz w:val="22"/>
        </w:rPr>
        <w:t>text format. However, if </w:t>
      </w:r>
      <w:r>
        <w:rPr>
          <w:rFonts w:ascii="Times New Roman" w:hAnsi="Times New Roman"/>
          <w:i/>
          <w:sz w:val="22"/>
        </w:rPr>
        <w:t>complex-number-1 </w:t>
      </w:r>
      <w:r>
        <w:rPr>
          <w:sz w:val="22"/>
        </w:rPr>
        <w:t>or </w:t>
      </w:r>
      <w:r>
        <w:rPr>
          <w:rFonts w:ascii="Times New Roman" w:hAnsi="Times New Roman"/>
          <w:i/>
          <w:sz w:val="22"/>
        </w:rPr>
        <w:t>complex-number-2 </w:t>
      </w:r>
      <w:r>
        <w:rPr>
          <w:sz w:val="22"/>
        </w:rPr>
        <w:t>is ill-formed, </w:t>
      </w:r>
      <w:r>
        <w:rPr>
          <w:rFonts w:ascii="Consolas" w:hAnsi="Consolas"/>
          <w:sz w:val="22"/>
        </w:rPr>
        <w:t>#NUM!</w:t>
      </w:r>
      <w:r>
        <w:rPr>
          <w:rFonts w:ascii="Consolas" w:hAnsi="Consolas"/>
          <w:spacing w:val="-92"/>
          <w:sz w:val="22"/>
        </w:rPr>
        <w:t> </w:t>
      </w:r>
      <w:r>
        <w:rPr>
          <w:sz w:val="22"/>
        </w:rPr>
        <w:t>is returned.</w:t>
      </w:r>
    </w:p>
    <w:p>
      <w:pPr>
        <w:spacing w:line="264" w:lineRule="exact"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line="273" w:lineRule="auto"/>
        <w:ind w:left="220" w:right="5843"/>
        <w:rPr>
          <w:rFonts w:ascii="Consolas"/>
        </w:rPr>
      </w:pPr>
      <w:r>
        <w:rPr>
          <w:rFonts w:ascii="Consolas"/>
        </w:rPr>
        <w:t>IMSUB("13+4i","5+3i") </w:t>
      </w:r>
      <w:r>
        <w:rPr/>
        <w:t>results in </w:t>
      </w:r>
      <w:r>
        <w:rPr>
          <w:rFonts w:ascii="Consolas"/>
        </w:rPr>
        <w:t>8+i IMSUB("-3-3.5i","5+3i")</w:t>
      </w:r>
      <w:r>
        <w:rPr>
          <w:rFonts w:ascii="Consolas"/>
          <w:spacing w:val="-67"/>
        </w:rPr>
        <w:t> </w:t>
      </w:r>
      <w:r>
        <w:rPr/>
        <w:t>results in </w:t>
      </w:r>
      <w:r>
        <w:rPr>
          <w:rFonts w:ascii="Consolas"/>
        </w:rPr>
        <w:t>-8-6.5i</w:t>
      </w:r>
    </w:p>
    <w:p>
      <w:pPr>
        <w:pStyle w:val="BodyText"/>
        <w:rPr>
          <w:rFonts w:ascii="Consolas"/>
          <w:sz w:val="27"/>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65 IMSUM" w:id="1887"/>
      <w:bookmarkEnd w:id="1887"/>
      <w:r>
        <w:rPr/>
      </w:r>
      <w:bookmarkStart w:name="_bookmark628" w:id="1888"/>
      <w:bookmarkEnd w:id="1888"/>
      <w:r>
        <w:rPr/>
      </w:r>
      <w:bookmarkStart w:name="_bookmark628" w:id="1889"/>
      <w:bookmarkEnd w:id="1889"/>
      <w:r>
        <w:rPr>
          <w:color w:val="4F81BC"/>
        </w:rPr>
        <w:t>I</w:t>
      </w:r>
      <w:r>
        <w:rPr>
          <w:color w:val="4F81BC"/>
        </w:rPr>
        <w:t>MSUM</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IMSUM (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Adds the values of its arguments.</w:t>
      </w:r>
    </w:p>
    <w:p>
      <w:pPr>
        <w:pStyle w:val="BodyText"/>
        <w:spacing w:before="8"/>
        <w:rPr>
          <w:sz w:val="19"/>
        </w:rPr>
      </w:pPr>
    </w:p>
    <w:p>
      <w:pPr>
        <w:pStyle w:val="Heading4"/>
        <w:rPr>
          <w:b w:val="0"/>
        </w:rPr>
      </w:pPr>
      <w:r>
        <w:rPr/>
        <w:t>Mathematical Formula</w:t>
      </w:r>
      <w:r>
        <w:rPr>
          <w:b w:val="0"/>
        </w:rPr>
        <w:t>:</w:t>
      </w:r>
    </w:p>
    <w:p>
      <w:pPr>
        <w:pStyle w:val="BodyText"/>
        <w:spacing w:before="11"/>
        <w:rPr>
          <w:sz w:val="18"/>
        </w:rPr>
      </w:pPr>
    </w:p>
    <w:p>
      <w:pPr>
        <w:pStyle w:val="BodyText"/>
        <w:ind w:left="220"/>
        <w:rPr>
          <w:rFonts w:ascii="Cambria Math" w:eastAsia="Cambria Math"/>
        </w:rPr>
      </w:pPr>
      <w:r>
        <w:rPr>
          <w:rFonts w:ascii="Cambria Math" w:eastAsia="Cambria Math"/>
          <w:position w:val="1"/>
        </w:rPr>
        <w:t>(</w:t>
      </w:r>
      <w:r>
        <w:rPr>
          <w:rFonts w:ascii="Cambria Math" w:eastAsia="Cambria Math"/>
        </w:rPr>
        <w:t>𝑎 + 𝑏𝑖</w:t>
      </w:r>
      <w:r>
        <w:rPr>
          <w:rFonts w:ascii="Cambria Math" w:eastAsia="Cambria Math"/>
          <w:position w:val="1"/>
        </w:rPr>
        <w:t>) </w:t>
      </w:r>
      <w:r>
        <w:rPr>
          <w:rFonts w:ascii="Cambria Math" w:eastAsia="Cambria Math"/>
        </w:rPr>
        <w:t>+ </w:t>
      </w:r>
      <w:r>
        <w:rPr>
          <w:rFonts w:ascii="Cambria Math" w:eastAsia="Cambria Math"/>
          <w:position w:val="1"/>
        </w:rPr>
        <w:t>(</w:t>
      </w:r>
      <w:r>
        <w:rPr>
          <w:rFonts w:ascii="Cambria Math" w:eastAsia="Cambria Math"/>
        </w:rPr>
        <w:t>𝑐 + 𝑑𝑖</w:t>
      </w:r>
      <w:r>
        <w:rPr>
          <w:rFonts w:ascii="Cambria Math" w:eastAsia="Cambria Math"/>
          <w:position w:val="1"/>
        </w:rPr>
        <w:t>) </w:t>
      </w:r>
      <w:r>
        <w:rPr>
          <w:rFonts w:ascii="Cambria Math" w:eastAsia="Cambria Math"/>
        </w:rPr>
        <w:t>= </w:t>
      </w:r>
      <w:r>
        <w:rPr>
          <w:rFonts w:ascii="Cambria Math" w:eastAsia="Cambria Math"/>
          <w:position w:val="1"/>
        </w:rPr>
        <w:t>(</w:t>
      </w:r>
      <w:r>
        <w:rPr>
          <w:rFonts w:ascii="Cambria Math" w:eastAsia="Cambria Math"/>
        </w:rPr>
        <w:t>𝑎 + 𝑐</w:t>
      </w:r>
      <w:r>
        <w:rPr>
          <w:rFonts w:ascii="Cambria Math" w:eastAsia="Cambria Math"/>
          <w:position w:val="1"/>
        </w:rPr>
        <w:t>) </w:t>
      </w:r>
      <w:r>
        <w:rPr>
          <w:rFonts w:ascii="Cambria Math" w:eastAsia="Cambria Math"/>
        </w:rPr>
        <w:t>+ </w:t>
      </w:r>
      <w:r>
        <w:rPr>
          <w:rFonts w:ascii="Cambria Math" w:eastAsia="Cambria Math"/>
          <w:position w:val="1"/>
        </w:rPr>
        <w:t>(</w:t>
      </w:r>
      <w:r>
        <w:rPr>
          <w:rFonts w:ascii="Cambria Math" w:eastAsia="Cambria Math"/>
        </w:rPr>
        <w:t>𝑏 + 𝑑</w:t>
      </w:r>
      <w:r>
        <w:rPr>
          <w:rFonts w:ascii="Cambria Math" w:eastAsia="Cambria Math"/>
          <w:position w:val="1"/>
        </w:rPr>
        <w:t>)</w:t>
      </w:r>
      <w:r>
        <w:rPr>
          <w:rFonts w:ascii="Cambria Math" w:eastAsia="Cambria Math"/>
        </w:rPr>
        <w:t>𝑖</w:t>
      </w:r>
    </w:p>
    <w:p>
      <w:pPr>
        <w:pStyle w:val="BodyText"/>
        <w:spacing w:before="4"/>
        <w:rPr>
          <w:rFonts w:ascii="Cambria Math"/>
          <w:sz w:val="20"/>
        </w:rPr>
      </w:pPr>
    </w:p>
    <w:p>
      <w:pPr>
        <w:pStyle w:val="BodyText"/>
        <w:ind w:left="220"/>
      </w:pPr>
      <w:r>
        <w:rPr/>
        <w:t>where:</w:t>
      </w:r>
    </w:p>
    <w:p>
      <w:pPr>
        <w:spacing w:after="0"/>
        <w:sectPr>
          <w:pgSz w:w="12240" w:h="15840"/>
          <w:pgMar w:header="763" w:footer="746" w:top="1340" w:bottom="940" w:left="860" w:right="700"/>
        </w:sectPr>
      </w:pPr>
    </w:p>
    <w:p>
      <w:pPr>
        <w:pStyle w:val="ListParagraph"/>
        <w:numPr>
          <w:ilvl w:val="4"/>
          <w:numId w:val="66"/>
        </w:numPr>
        <w:tabs>
          <w:tab w:pos="940" w:val="left" w:leader="none"/>
          <w:tab w:pos="941" w:val="left" w:leader="none"/>
        </w:tabs>
        <w:spacing w:line="240" w:lineRule="auto" w:before="91" w:after="0"/>
        <w:ind w:left="940" w:right="0" w:hanging="361"/>
        <w:jc w:val="left"/>
        <w:rPr>
          <w:sz w:val="22"/>
        </w:rPr>
      </w:pPr>
      <w:r>
        <w:rPr>
          <w:sz w:val="22"/>
        </w:rPr>
        <w:t>Each element of </w:t>
      </w:r>
      <w:r>
        <w:rPr>
          <w:rFonts w:ascii="Times New Roman" w:hAnsi="Times New Roman"/>
          <w:i/>
          <w:sz w:val="22"/>
        </w:rPr>
        <w:t>argument-list </w:t>
      </w:r>
      <w:r>
        <w:rPr>
          <w:sz w:val="22"/>
        </w:rPr>
        <w:t>is a complex number expressed in the form x +</w:t>
      </w:r>
      <w:r>
        <w:rPr>
          <w:spacing w:val="-17"/>
          <w:sz w:val="22"/>
        </w:rPr>
        <w:t> </w:t>
      </w:r>
      <w:r>
        <w:rPr>
          <w:sz w:val="22"/>
        </w:rPr>
        <w:t>yi</w:t>
      </w:r>
    </w:p>
    <w:p>
      <w:pPr>
        <w:pStyle w:val="Heading4"/>
        <w:spacing w:before="243"/>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text</w:t>
            </w:r>
          </w:p>
        </w:tc>
        <w:tc>
          <w:tcPr>
            <w:tcW w:w="5400" w:type="dxa"/>
          </w:tcPr>
          <w:p>
            <w:pPr>
              <w:pStyle w:val="TableParagraph"/>
              <w:ind w:left="113" w:right="248"/>
              <w:rPr>
                <w:sz w:val="22"/>
              </w:rPr>
            </w:pPr>
            <w:r>
              <w:rPr>
                <w:sz w:val="22"/>
              </w:rPr>
              <w:t>Each </w:t>
            </w:r>
            <w:r>
              <w:rPr>
                <w:rFonts w:ascii="Times New Roman"/>
                <w:i/>
                <w:sz w:val="22"/>
              </w:rPr>
              <w:t>argument </w:t>
            </w:r>
            <w:r>
              <w:rPr>
                <w:sz w:val="22"/>
              </w:rPr>
              <w:t>in </w:t>
            </w:r>
            <w:r>
              <w:rPr>
                <w:rFonts w:ascii="Times New Roman"/>
                <w:i/>
                <w:sz w:val="22"/>
              </w:rPr>
              <w:t>argument-list </w:t>
            </w:r>
            <w:r>
              <w:rPr>
                <w:sz w:val="22"/>
              </w:rPr>
              <w:t>is a complex number string in </w:t>
            </w:r>
            <w:r>
              <w:rPr>
                <w:i/>
                <w:sz w:val="22"/>
              </w:rPr>
              <w:t>x + yi </w:t>
            </w:r>
            <w:r>
              <w:rPr>
                <w:sz w:val="22"/>
              </w:rPr>
              <w:t>or </w:t>
            </w:r>
            <w:r>
              <w:rPr>
                <w:i/>
                <w:sz w:val="22"/>
              </w:rPr>
              <w:t>x + yj </w:t>
            </w:r>
            <w:r>
              <w:rPr>
                <w:sz w:val="22"/>
              </w:rPr>
              <w:t>text format.</w:t>
            </w:r>
          </w:p>
        </w:tc>
      </w:tr>
    </w:tbl>
    <w:p>
      <w:pPr>
        <w:pStyle w:val="BodyText"/>
        <w:rPr>
          <w:b/>
        </w:rPr>
      </w:pPr>
    </w:p>
    <w:p>
      <w:pPr>
        <w:pStyle w:val="BodyText"/>
        <w:spacing w:before="7"/>
        <w:rPr>
          <w:b/>
          <w:sz w:val="19"/>
        </w:rPr>
      </w:pPr>
    </w:p>
    <w:p>
      <w:pPr>
        <w:spacing w:line="453" w:lineRule="auto" w:before="0"/>
        <w:ind w:left="220" w:right="1780" w:firstLine="0"/>
        <w:jc w:val="left"/>
        <w:rPr>
          <w:sz w:val="22"/>
        </w:rPr>
      </w:pPr>
      <w:r>
        <w:rPr>
          <w:b/>
          <w:sz w:val="22"/>
        </w:rPr>
        <w:t>Return Type and Value: </w:t>
      </w:r>
      <w:r>
        <w:rPr>
          <w:sz w:val="22"/>
        </w:rPr>
        <w:t>text – The sum of the values of its arguments, in </w:t>
      </w:r>
      <w:r>
        <w:rPr>
          <w:i/>
          <w:sz w:val="22"/>
        </w:rPr>
        <w:t>x+yi </w:t>
      </w:r>
      <w:r>
        <w:rPr>
          <w:sz w:val="22"/>
        </w:rPr>
        <w:t>or </w:t>
      </w:r>
      <w:r>
        <w:rPr>
          <w:i/>
          <w:sz w:val="22"/>
        </w:rPr>
        <w:t>x+yj </w:t>
      </w:r>
      <w:r>
        <w:rPr>
          <w:sz w:val="22"/>
        </w:rPr>
        <w:t>text format. However, if any </w:t>
      </w:r>
      <w:r>
        <w:rPr>
          <w:rFonts w:ascii="Times New Roman" w:hAnsi="Times New Roman"/>
          <w:i/>
          <w:sz w:val="22"/>
        </w:rPr>
        <w:t>argument </w:t>
      </w:r>
      <w:r>
        <w:rPr>
          <w:sz w:val="22"/>
        </w:rPr>
        <w:t>in </w:t>
      </w:r>
      <w:r>
        <w:rPr>
          <w:rFonts w:ascii="Times New Roman" w:hAnsi="Times New Roman"/>
          <w:i/>
          <w:sz w:val="22"/>
        </w:rPr>
        <w:t>argument-list </w:t>
      </w:r>
      <w:r>
        <w:rPr>
          <w:sz w:val="22"/>
        </w:rPr>
        <w:t>is ill-formed, </w:t>
      </w:r>
      <w:r>
        <w:rPr>
          <w:rFonts w:ascii="Consolas" w:hAnsi="Consolas"/>
          <w:sz w:val="22"/>
        </w:rPr>
        <w:t>#NUM!</w:t>
      </w:r>
      <w:r>
        <w:rPr>
          <w:rFonts w:ascii="Consolas" w:hAnsi="Consolas"/>
          <w:spacing w:val="-84"/>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6760"/>
        <w:rPr>
          <w:rFonts w:ascii="Consolas"/>
        </w:rPr>
      </w:pPr>
      <w:r>
        <w:rPr>
          <w:rFonts w:ascii="Consolas"/>
        </w:rPr>
        <w:t>IMSUM("3+4i") </w:t>
      </w:r>
      <w:r>
        <w:rPr/>
        <w:t>results in </w:t>
      </w:r>
      <w:r>
        <w:rPr>
          <w:rFonts w:ascii="Consolas"/>
        </w:rPr>
        <w:t>3+4i IMSUM("3+4i","5-3i")</w:t>
      </w:r>
      <w:r>
        <w:rPr>
          <w:rFonts w:ascii="Consolas"/>
          <w:spacing w:val="-82"/>
        </w:rPr>
        <w:t> </w:t>
      </w:r>
      <w:r>
        <w:rPr/>
        <w:t>results in </w:t>
      </w:r>
      <w:r>
        <w:rPr>
          <w:rFonts w:ascii="Consolas"/>
        </w:rPr>
        <w:t>8+i</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66 INDEX" w:id="1890"/>
      <w:bookmarkEnd w:id="1890"/>
      <w:r>
        <w:rPr/>
      </w:r>
      <w:bookmarkStart w:name="_bookmark629" w:id="1891"/>
      <w:bookmarkEnd w:id="1891"/>
      <w:r>
        <w:rPr/>
      </w:r>
      <w:bookmarkStart w:name="_bookmark629" w:id="1892"/>
      <w:bookmarkEnd w:id="1892"/>
      <w:r>
        <w:rPr>
          <w:color w:val="4F81BC"/>
        </w:rPr>
        <w:t>I</w:t>
      </w:r>
      <w:r>
        <w:rPr>
          <w:color w:val="4F81BC"/>
        </w:rPr>
        <w:t>NDEX</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sz w:val="22"/>
        </w:rPr>
        <w:t>array form: </w:t>
      </w:r>
      <w:r>
        <w:rPr>
          <w:rFonts w:ascii="Lucida Console"/>
          <w:sz w:val="20"/>
        </w:rPr>
        <w:t>INDEX ( </w:t>
      </w:r>
      <w:r>
        <w:rPr>
          <w:i/>
          <w:sz w:val="22"/>
        </w:rPr>
        <w:t>array </w:t>
      </w:r>
      <w:r>
        <w:rPr>
          <w:rFonts w:ascii="Lucida Console"/>
          <w:sz w:val="20"/>
        </w:rPr>
        <w:t>, </w:t>
      </w:r>
      <w:r>
        <w:rPr>
          <w:sz w:val="22"/>
        </w:rPr>
        <w:t>[ </w:t>
      </w:r>
      <w:r>
        <w:rPr>
          <w:i/>
          <w:sz w:val="22"/>
        </w:rPr>
        <w:t>row-number </w:t>
      </w:r>
      <w:r>
        <w:rPr>
          <w:sz w:val="22"/>
        </w:rPr>
        <w:t>] [ </w:t>
      </w:r>
      <w:r>
        <w:rPr>
          <w:rFonts w:ascii="Lucida Console"/>
          <w:sz w:val="20"/>
        </w:rPr>
        <w:t>,</w:t>
      </w:r>
      <w:r>
        <w:rPr>
          <w:rFonts w:ascii="Lucida Console"/>
          <w:spacing w:val="-91"/>
          <w:sz w:val="20"/>
        </w:rPr>
        <w:t> </w:t>
      </w:r>
      <w:r>
        <w:rPr>
          <w:sz w:val="22"/>
        </w:rPr>
        <w:t>[ </w:t>
      </w:r>
      <w:r>
        <w:rPr>
          <w:i/>
          <w:sz w:val="22"/>
        </w:rPr>
        <w:t>column-number </w:t>
      </w:r>
      <w:r>
        <w:rPr>
          <w:sz w:val="22"/>
        </w:rPr>
        <w:t>] ] </w:t>
      </w:r>
      <w:r>
        <w:rPr>
          <w:rFonts w:ascii="Lucida Console"/>
          <w:sz w:val="20"/>
        </w:rPr>
        <w:t>)</w:t>
      </w:r>
    </w:p>
    <w:p>
      <w:pPr>
        <w:spacing w:line="223" w:lineRule="auto" w:before="119"/>
        <w:ind w:left="1300" w:right="2416" w:hanging="360"/>
        <w:jc w:val="left"/>
        <w:rPr>
          <w:rFonts w:ascii="Lucida Console"/>
          <w:sz w:val="20"/>
        </w:rPr>
      </w:pPr>
      <w:r>
        <w:rPr>
          <w:sz w:val="22"/>
        </w:rPr>
        <w:t>reference form: </w:t>
      </w:r>
      <w:r>
        <w:rPr>
          <w:rFonts w:ascii="Lucida Console"/>
          <w:sz w:val="20"/>
        </w:rPr>
        <w:t>INDEX ( </w:t>
      </w:r>
      <w:r>
        <w:rPr>
          <w:i/>
          <w:sz w:val="22"/>
        </w:rPr>
        <w:t>reference  </w:t>
      </w:r>
      <w:r>
        <w:rPr>
          <w:sz w:val="22"/>
        </w:rPr>
        <w:t>[ </w:t>
      </w:r>
      <w:r>
        <w:rPr>
          <w:rFonts w:ascii="Lucida Console"/>
          <w:sz w:val="20"/>
        </w:rPr>
        <w:t>, </w:t>
      </w:r>
      <w:r>
        <w:rPr>
          <w:sz w:val="22"/>
        </w:rPr>
        <w:t>[ </w:t>
      </w:r>
      <w:r>
        <w:rPr>
          <w:i/>
          <w:sz w:val="22"/>
        </w:rPr>
        <w:t>row-number  </w:t>
      </w:r>
      <w:r>
        <w:rPr>
          <w:sz w:val="22"/>
        </w:rPr>
        <w:t>] [  </w:t>
      </w:r>
      <w:r>
        <w:rPr>
          <w:rFonts w:ascii="Lucida Console"/>
          <w:sz w:val="20"/>
        </w:rPr>
        <w:t>, </w:t>
      </w:r>
      <w:r>
        <w:rPr>
          <w:sz w:val="22"/>
        </w:rPr>
        <w:t>[ </w:t>
      </w:r>
      <w:r>
        <w:rPr>
          <w:i/>
          <w:sz w:val="22"/>
        </w:rPr>
        <w:t>column-number  </w:t>
      </w:r>
      <w:r>
        <w:rPr>
          <w:sz w:val="22"/>
        </w:rPr>
        <w:t>] [ </w:t>
      </w:r>
      <w:r>
        <w:rPr>
          <w:rFonts w:ascii="Lucida Console"/>
          <w:sz w:val="20"/>
        </w:rPr>
        <w:t>, </w:t>
      </w:r>
      <w:r>
        <w:rPr>
          <w:sz w:val="22"/>
        </w:rPr>
        <w:t>[ </w:t>
      </w:r>
      <w:r>
        <w:rPr>
          <w:i/>
          <w:sz w:val="22"/>
        </w:rPr>
        <w:t>area-number </w:t>
      </w:r>
      <w:r>
        <w:rPr>
          <w:sz w:val="22"/>
        </w:rPr>
        <w:t>] ] ] ]</w:t>
      </w:r>
      <w:r>
        <w:rPr>
          <w:spacing w:val="25"/>
          <w:sz w:val="22"/>
        </w:rPr>
        <w:t> </w:t>
      </w:r>
      <w:r>
        <w:rPr>
          <w:rFonts w:ascii="Lucida Console"/>
          <w:sz w:val="20"/>
        </w:rPr>
        <w:t>)</w:t>
      </w:r>
    </w:p>
    <w:p>
      <w:pPr>
        <w:pStyle w:val="BodyText"/>
        <w:spacing w:before="110"/>
        <w:ind w:left="220"/>
      </w:pPr>
      <w:r>
        <w:rPr>
          <w:b/>
        </w:rPr>
        <w:t>Description</w:t>
      </w:r>
      <w:r>
        <w:rPr/>
        <w:t>: Locates a value or the reference to a value from within a table or range. There are two forms of the</w:t>
      </w:r>
    </w:p>
    <w:p>
      <w:pPr>
        <w:pStyle w:val="BodyText"/>
        <w:spacing w:before="43"/>
        <w:ind w:left="220"/>
      </w:pPr>
      <w:r>
        <w:rPr>
          <w:rFonts w:ascii="Consolas"/>
        </w:rPr>
        <w:t>INDEX</w:t>
      </w:r>
      <w:r>
        <w:rPr>
          <w:rFonts w:ascii="Consolas"/>
          <w:spacing w:val="-83"/>
        </w:rPr>
        <w:t> </w:t>
      </w:r>
      <w:r>
        <w:rPr/>
        <w:t>function: the array form and the reference form.</w:t>
      </w:r>
    </w:p>
    <w:p>
      <w:pPr>
        <w:pStyle w:val="BodyText"/>
        <w:spacing w:before="8"/>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58"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113" w:right="159"/>
              <w:rPr>
                <w:sz w:val="22"/>
              </w:rPr>
            </w:pPr>
            <w:r>
              <w:rPr>
                <w:sz w:val="22"/>
              </w:rPr>
              <w:t>Table or range to be searched. If </w:t>
            </w:r>
            <w:r>
              <w:rPr>
                <w:rFonts w:ascii="Times New Roman"/>
                <w:i/>
                <w:sz w:val="22"/>
              </w:rPr>
              <w:t>array </w:t>
            </w:r>
            <w:r>
              <w:rPr>
                <w:sz w:val="22"/>
              </w:rPr>
              <w:t>contains only one row, the corresponding </w:t>
            </w:r>
            <w:r>
              <w:rPr>
                <w:rFonts w:ascii="Times New Roman"/>
                <w:i/>
                <w:sz w:val="22"/>
              </w:rPr>
              <w:t>row-number </w:t>
            </w:r>
            <w:r>
              <w:rPr>
                <w:sz w:val="22"/>
              </w:rPr>
              <w:t>argument is optional. If </w:t>
            </w:r>
            <w:r>
              <w:rPr>
                <w:rFonts w:ascii="Times New Roman"/>
                <w:i/>
                <w:sz w:val="22"/>
              </w:rPr>
              <w:t>array </w:t>
            </w:r>
            <w:r>
              <w:rPr>
                <w:sz w:val="22"/>
              </w:rPr>
              <w:t>contains only one column, the corresponding </w:t>
            </w:r>
            <w:r>
              <w:rPr>
                <w:rFonts w:ascii="Times New Roman"/>
                <w:i/>
                <w:sz w:val="22"/>
              </w:rPr>
              <w:t>column-number </w:t>
            </w:r>
            <w:r>
              <w:rPr>
                <w:sz w:val="22"/>
              </w:rPr>
              <w:t>argument is optional.</w:t>
            </w:r>
          </w:p>
        </w:tc>
      </w:tr>
      <w:tr>
        <w:trPr>
          <w:trHeight w:val="1161" w:hRule="atLeast"/>
        </w:trPr>
        <w:tc>
          <w:tcPr>
            <w:tcW w:w="1466" w:type="dxa"/>
          </w:tcPr>
          <w:p>
            <w:pPr>
              <w:pStyle w:val="TableParagraph"/>
              <w:spacing w:before="37"/>
              <w:rPr>
                <w:rFonts w:ascii="Times New Roman"/>
                <w:i/>
                <w:sz w:val="22"/>
              </w:rPr>
            </w:pPr>
            <w:r>
              <w:rPr>
                <w:rFonts w:ascii="Times New Roman"/>
                <w:i/>
                <w:sz w:val="22"/>
              </w:rPr>
              <w:t>reference</w:t>
            </w:r>
          </w:p>
        </w:tc>
        <w:tc>
          <w:tcPr>
            <w:tcW w:w="1800" w:type="dxa"/>
          </w:tcPr>
          <w:p>
            <w:pPr>
              <w:pStyle w:val="TableParagraph"/>
              <w:ind w:left="112"/>
              <w:rPr>
                <w:sz w:val="22"/>
              </w:rPr>
            </w:pPr>
            <w:r>
              <w:rPr>
                <w:sz w:val="22"/>
              </w:rPr>
              <w:t>reference</w:t>
            </w:r>
          </w:p>
        </w:tc>
        <w:tc>
          <w:tcPr>
            <w:tcW w:w="5400" w:type="dxa"/>
          </w:tcPr>
          <w:p>
            <w:pPr>
              <w:pStyle w:val="TableParagraph"/>
              <w:ind w:left="113" w:right="529"/>
              <w:rPr>
                <w:sz w:val="22"/>
              </w:rPr>
            </w:pPr>
            <w:r>
              <w:rPr>
                <w:sz w:val="22"/>
              </w:rPr>
              <w:t>A reference to one or more cell ranges. If each area </w:t>
            </w:r>
            <w:hyperlink w:history="true" w:anchor="_bookmark437">
              <w:r>
                <w:rPr>
                  <w:sz w:val="22"/>
                </w:rPr>
                <w:t>(§18.17.2.3</w:t>
              </w:r>
            </w:hyperlink>
            <w:r>
              <w:rPr>
                <w:sz w:val="22"/>
              </w:rPr>
              <w:t>) in </w:t>
            </w:r>
            <w:r>
              <w:rPr>
                <w:rFonts w:ascii="Times New Roman" w:hAnsi="Times New Roman"/>
                <w:i/>
                <w:sz w:val="22"/>
              </w:rPr>
              <w:t>reference </w:t>
            </w:r>
            <w:r>
              <w:rPr>
                <w:sz w:val="22"/>
              </w:rPr>
              <w:t>contains only one row, </w:t>
            </w:r>
            <w:r>
              <w:rPr>
                <w:rFonts w:ascii="Times New Roman" w:hAnsi="Times New Roman"/>
                <w:i/>
                <w:sz w:val="22"/>
              </w:rPr>
              <w:t>row- </w:t>
            </w:r>
            <w:r>
              <w:rPr>
                <w:rFonts w:ascii="Times New Roman" w:hAnsi="Times New Roman"/>
                <w:i/>
                <w:sz w:val="22"/>
              </w:rPr>
              <w:t>number </w:t>
            </w:r>
            <w:r>
              <w:rPr>
                <w:sz w:val="22"/>
              </w:rPr>
              <w:t>is optional. If each area contains only one column, </w:t>
            </w:r>
            <w:r>
              <w:rPr>
                <w:rFonts w:ascii="Times New Roman" w:hAnsi="Times New Roman"/>
                <w:i/>
                <w:sz w:val="22"/>
              </w:rPr>
              <w:t>column-number </w:t>
            </w:r>
            <w:r>
              <w:rPr>
                <w:sz w:val="22"/>
              </w:rPr>
              <w:t>is optional.</w:t>
            </w:r>
          </w:p>
        </w:tc>
      </w:tr>
      <w:tr>
        <w:trPr>
          <w:trHeight w:val="354" w:hRule="atLeast"/>
        </w:trPr>
        <w:tc>
          <w:tcPr>
            <w:tcW w:w="1466" w:type="dxa"/>
          </w:tcPr>
          <w:p>
            <w:pPr>
              <w:pStyle w:val="TableParagraph"/>
              <w:spacing w:before="37"/>
              <w:rPr>
                <w:rFonts w:ascii="Times New Roman"/>
                <w:i/>
                <w:sz w:val="22"/>
              </w:rPr>
            </w:pPr>
            <w:r>
              <w:rPr>
                <w:rFonts w:ascii="Times New Roman"/>
                <w:i/>
                <w:sz w:val="22"/>
              </w:rPr>
              <w:t>row-number</w:t>
            </w:r>
          </w:p>
        </w:tc>
        <w:tc>
          <w:tcPr>
            <w:tcW w:w="1800" w:type="dxa"/>
          </w:tcPr>
          <w:p>
            <w:pPr>
              <w:pStyle w:val="TableParagraph"/>
              <w:ind w:left="112"/>
              <w:rPr>
                <w:sz w:val="22"/>
              </w:rPr>
            </w:pPr>
            <w:r>
              <w:rPr>
                <w:sz w:val="22"/>
              </w:rPr>
              <w:t>number</w:t>
            </w:r>
          </w:p>
        </w:tc>
        <w:tc>
          <w:tcPr>
            <w:tcW w:w="5400" w:type="dxa"/>
            <w:vMerge w:val="restart"/>
          </w:tcPr>
          <w:p>
            <w:pPr>
              <w:pStyle w:val="TableParagraph"/>
              <w:ind w:left="113" w:right="532"/>
              <w:rPr>
                <w:sz w:val="22"/>
              </w:rPr>
            </w:pPr>
            <w:r>
              <w:rPr>
                <w:rFonts w:ascii="Times New Roman"/>
                <w:i/>
                <w:sz w:val="22"/>
              </w:rPr>
              <w:t>row-number </w:t>
            </w:r>
            <w:r>
              <w:rPr>
                <w:sz w:val="22"/>
              </w:rPr>
              <w:t>indicates the row in </w:t>
            </w:r>
            <w:r>
              <w:rPr>
                <w:rFonts w:ascii="Times New Roman"/>
                <w:i/>
                <w:sz w:val="22"/>
              </w:rPr>
              <w:t>array </w:t>
            </w:r>
            <w:r>
              <w:rPr>
                <w:sz w:val="22"/>
              </w:rPr>
              <w:t>(or </w:t>
            </w:r>
            <w:r>
              <w:rPr>
                <w:rFonts w:ascii="Times New Roman"/>
                <w:i/>
                <w:sz w:val="22"/>
              </w:rPr>
              <w:t>reference</w:t>
            </w:r>
            <w:r>
              <w:rPr>
                <w:sz w:val="22"/>
              </w:rPr>
              <w:t>) from which to return a value (or reference). If </w:t>
            </w:r>
            <w:r>
              <w:rPr>
                <w:rFonts w:ascii="Times New Roman"/>
                <w:i/>
                <w:sz w:val="22"/>
              </w:rPr>
              <w:t>row- </w:t>
            </w:r>
            <w:r>
              <w:rPr>
                <w:rFonts w:ascii="Times New Roman"/>
                <w:i/>
                <w:sz w:val="22"/>
              </w:rPr>
              <w:t>number </w:t>
            </w:r>
            <w:r>
              <w:rPr>
                <w:sz w:val="22"/>
              </w:rPr>
              <w:t>is omitted, </w:t>
            </w:r>
            <w:r>
              <w:rPr>
                <w:rFonts w:ascii="Times New Roman"/>
                <w:i/>
                <w:sz w:val="22"/>
              </w:rPr>
              <w:t>column-number </w:t>
            </w:r>
            <w:r>
              <w:rPr>
                <w:sz w:val="22"/>
              </w:rPr>
              <w:t>shall be present. </w:t>
            </w:r>
            <w:r>
              <w:rPr>
                <w:rFonts w:ascii="Times New Roman"/>
                <w:i/>
                <w:sz w:val="22"/>
              </w:rPr>
              <w:t>column-number </w:t>
            </w:r>
            <w:r>
              <w:rPr>
                <w:sz w:val="22"/>
              </w:rPr>
              <w:t>indicates the column in </w:t>
            </w:r>
            <w:r>
              <w:rPr>
                <w:rFonts w:ascii="Times New Roman"/>
                <w:i/>
                <w:sz w:val="22"/>
              </w:rPr>
              <w:t>array </w:t>
            </w:r>
            <w:r>
              <w:rPr>
                <w:sz w:val="22"/>
              </w:rPr>
              <w:t>(or</w:t>
            </w:r>
          </w:p>
        </w:tc>
      </w:tr>
      <w:tr>
        <w:trPr>
          <w:trHeight w:val="793" w:hRule="atLeast"/>
        </w:trPr>
        <w:tc>
          <w:tcPr>
            <w:tcW w:w="1466" w:type="dxa"/>
          </w:tcPr>
          <w:p>
            <w:pPr>
              <w:pStyle w:val="TableParagraph"/>
              <w:spacing w:before="37"/>
              <w:ind w:right="600"/>
              <w:rPr>
                <w:rFonts w:ascii="Times New Roman"/>
                <w:i/>
                <w:sz w:val="22"/>
              </w:rPr>
            </w:pPr>
            <w:r>
              <w:rPr>
                <w:rFonts w:ascii="Times New Roman"/>
                <w:i/>
                <w:sz w:val="22"/>
              </w:rPr>
              <w:t>column- </w:t>
            </w:r>
            <w:r>
              <w:rPr>
                <w:rFonts w:ascii="Times New Roman"/>
                <w:i/>
                <w:sz w:val="22"/>
              </w:rPr>
              <w:t>number</w:t>
            </w:r>
          </w:p>
        </w:tc>
        <w:tc>
          <w:tcPr>
            <w:tcW w:w="1800" w:type="dxa"/>
          </w:tcPr>
          <w:p>
            <w:pPr>
              <w:pStyle w:val="TableParagraph"/>
              <w:ind w:left="112"/>
              <w:rPr>
                <w:sz w:val="22"/>
              </w:rPr>
            </w:pPr>
            <w:r>
              <w:rPr>
                <w:sz w:val="22"/>
              </w:rPr>
              <w:t>number</w:t>
            </w:r>
          </w:p>
        </w:tc>
        <w:tc>
          <w:tcPr>
            <w:tcW w:w="5400"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84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124"/>
              <w:rPr>
                <w:sz w:val="22"/>
              </w:rPr>
            </w:pPr>
            <w:r>
              <w:rPr>
                <w:rFonts w:ascii="Times New Roman"/>
                <w:i/>
                <w:sz w:val="22"/>
              </w:rPr>
              <w:t>reference</w:t>
            </w:r>
            <w:r>
              <w:rPr>
                <w:sz w:val="22"/>
              </w:rPr>
              <w:t>) from which to return a value (or </w:t>
            </w:r>
            <w:r>
              <w:rPr>
                <w:rFonts w:ascii="Times New Roman"/>
                <w:i/>
                <w:sz w:val="22"/>
              </w:rPr>
              <w:t>reference</w:t>
            </w:r>
            <w:r>
              <w:rPr>
                <w:sz w:val="22"/>
              </w:rPr>
              <w:t>). If </w:t>
            </w:r>
            <w:r>
              <w:rPr>
                <w:rFonts w:ascii="Times New Roman"/>
                <w:i/>
                <w:sz w:val="22"/>
              </w:rPr>
              <w:t>column-number </w:t>
            </w:r>
            <w:r>
              <w:rPr>
                <w:sz w:val="22"/>
              </w:rPr>
              <w:t>is omitted, </w:t>
            </w:r>
            <w:r>
              <w:rPr>
                <w:rFonts w:ascii="Times New Roman"/>
                <w:i/>
                <w:sz w:val="22"/>
              </w:rPr>
              <w:t>row-number </w:t>
            </w:r>
            <w:r>
              <w:rPr>
                <w:sz w:val="22"/>
              </w:rPr>
              <w:t>shall be present. If both the </w:t>
            </w:r>
            <w:r>
              <w:rPr>
                <w:rFonts w:ascii="Times New Roman"/>
                <w:i/>
                <w:sz w:val="22"/>
              </w:rPr>
              <w:t>row-number </w:t>
            </w:r>
            <w:r>
              <w:rPr>
                <w:sz w:val="22"/>
              </w:rPr>
              <w:t>and </w:t>
            </w:r>
            <w:r>
              <w:rPr>
                <w:rFonts w:ascii="Times New Roman"/>
                <w:i/>
                <w:sz w:val="22"/>
              </w:rPr>
              <w:t>column-number </w:t>
            </w:r>
            <w:r>
              <w:rPr>
                <w:sz w:val="22"/>
              </w:rPr>
              <w:t>arguments are used, </w:t>
            </w:r>
            <w:r>
              <w:rPr>
                <w:rFonts w:ascii="Consolas"/>
                <w:sz w:val="22"/>
              </w:rPr>
              <w:t>INDEX </w:t>
            </w:r>
            <w:r>
              <w:rPr>
                <w:sz w:val="22"/>
              </w:rPr>
              <w:t>returns the value (or </w:t>
            </w:r>
            <w:r>
              <w:rPr>
                <w:rFonts w:ascii="Times New Roman"/>
                <w:i/>
                <w:sz w:val="22"/>
              </w:rPr>
              <w:t>reference</w:t>
            </w:r>
            <w:r>
              <w:rPr>
                <w:sz w:val="22"/>
              </w:rPr>
              <w:t>) in the cell at the intersection of </w:t>
            </w:r>
            <w:r>
              <w:rPr>
                <w:rFonts w:ascii="Times New Roman"/>
                <w:i/>
                <w:sz w:val="22"/>
              </w:rPr>
              <w:t>row-number </w:t>
            </w:r>
            <w:r>
              <w:rPr>
                <w:sz w:val="22"/>
              </w:rPr>
              <w:t>and </w:t>
            </w:r>
            <w:r>
              <w:rPr>
                <w:rFonts w:ascii="Times New Roman"/>
                <w:i/>
                <w:sz w:val="22"/>
              </w:rPr>
              <w:t>column- </w:t>
            </w:r>
            <w:r>
              <w:rPr>
                <w:rFonts w:ascii="Times New Roman"/>
                <w:i/>
                <w:sz w:val="22"/>
              </w:rPr>
              <w:t>number</w:t>
            </w:r>
            <w:r>
              <w:rPr>
                <w:sz w:val="22"/>
              </w:rPr>
              <w:t>. If </w:t>
            </w:r>
            <w:r>
              <w:rPr>
                <w:rFonts w:ascii="Times New Roman"/>
                <w:i/>
                <w:sz w:val="22"/>
              </w:rPr>
              <w:t>array </w:t>
            </w:r>
            <w:r>
              <w:rPr>
                <w:sz w:val="22"/>
              </w:rPr>
              <w:t>has more than one row and more than one column, and only </w:t>
            </w:r>
            <w:r>
              <w:rPr>
                <w:rFonts w:ascii="Times New Roman"/>
                <w:i/>
                <w:sz w:val="22"/>
              </w:rPr>
              <w:t>row-number </w:t>
            </w:r>
            <w:r>
              <w:rPr>
                <w:sz w:val="22"/>
              </w:rPr>
              <w:t>or </w:t>
            </w:r>
            <w:r>
              <w:rPr>
                <w:rFonts w:ascii="Times New Roman"/>
                <w:i/>
                <w:sz w:val="22"/>
              </w:rPr>
              <w:t>column-number </w:t>
            </w:r>
            <w:r>
              <w:rPr>
                <w:sz w:val="22"/>
              </w:rPr>
              <w:t>is used, </w:t>
            </w:r>
            <w:r>
              <w:rPr>
                <w:rFonts w:ascii="Consolas"/>
                <w:sz w:val="22"/>
              </w:rPr>
              <w:t>INDEX</w:t>
            </w:r>
            <w:r>
              <w:rPr>
                <w:rFonts w:ascii="Consolas"/>
                <w:spacing w:val="-85"/>
                <w:sz w:val="22"/>
              </w:rPr>
              <w:t> </w:t>
            </w:r>
            <w:r>
              <w:rPr>
                <w:sz w:val="22"/>
              </w:rPr>
              <w:t>returns an array of the entire row or column in array. If </w:t>
            </w:r>
            <w:r>
              <w:rPr>
                <w:rFonts w:ascii="Times New Roman"/>
                <w:i/>
                <w:sz w:val="22"/>
              </w:rPr>
              <w:t>row-number </w:t>
            </w:r>
            <w:r>
              <w:rPr>
                <w:sz w:val="22"/>
              </w:rPr>
              <w:t>or </w:t>
            </w:r>
            <w:r>
              <w:rPr>
                <w:rFonts w:ascii="Times New Roman"/>
                <w:i/>
                <w:sz w:val="22"/>
              </w:rPr>
              <w:t>column-number</w:t>
            </w:r>
            <w:r>
              <w:rPr>
                <w:sz w:val="22"/>
              </w:rPr>
              <w:t>, but not both, is 0, </w:t>
            </w:r>
            <w:r>
              <w:rPr>
                <w:rFonts w:ascii="Consolas"/>
                <w:sz w:val="22"/>
              </w:rPr>
              <w:t>INDEX </w:t>
            </w:r>
            <w:r>
              <w:rPr>
                <w:sz w:val="22"/>
              </w:rPr>
              <w:t>returns the array of values for the entire column or row, respectively. In the reference form, if</w:t>
            </w:r>
          </w:p>
          <w:p>
            <w:pPr>
              <w:pStyle w:val="TableParagraph"/>
              <w:spacing w:before="0"/>
              <w:ind w:left="113" w:right="395"/>
              <w:rPr>
                <w:sz w:val="22"/>
              </w:rPr>
            </w:pPr>
            <w:r>
              <w:rPr>
                <w:rFonts w:ascii="Times New Roman"/>
                <w:i/>
                <w:sz w:val="22"/>
              </w:rPr>
              <w:t>row-number </w:t>
            </w:r>
            <w:r>
              <w:rPr>
                <w:sz w:val="22"/>
              </w:rPr>
              <w:t>and </w:t>
            </w:r>
            <w:r>
              <w:rPr>
                <w:rFonts w:ascii="Times New Roman"/>
                <w:i/>
                <w:sz w:val="22"/>
              </w:rPr>
              <w:t>column-number </w:t>
            </w:r>
            <w:r>
              <w:rPr>
                <w:sz w:val="22"/>
              </w:rPr>
              <w:t>are both omitted, </w:t>
            </w:r>
            <w:r>
              <w:rPr>
                <w:rFonts w:ascii="Consolas"/>
                <w:sz w:val="22"/>
              </w:rPr>
              <w:t>INDEX</w:t>
            </w:r>
            <w:r>
              <w:rPr>
                <w:rFonts w:ascii="Consolas"/>
                <w:spacing w:val="-84"/>
                <w:sz w:val="22"/>
              </w:rPr>
              <w:t> </w:t>
            </w:r>
            <w:r>
              <w:rPr>
                <w:sz w:val="22"/>
              </w:rPr>
              <w:t>returns the area in reference specified by </w:t>
            </w:r>
            <w:r>
              <w:rPr>
                <w:rFonts w:ascii="Times New Roman"/>
                <w:i/>
                <w:sz w:val="22"/>
              </w:rPr>
              <w:t>area- </w:t>
            </w:r>
            <w:r>
              <w:rPr>
                <w:rFonts w:ascii="Times New Roman"/>
                <w:i/>
                <w:sz w:val="22"/>
              </w:rPr>
              <w:t>number</w:t>
            </w:r>
            <w:r>
              <w:rPr>
                <w:sz w:val="22"/>
              </w:rPr>
              <w:t>.</w:t>
            </w:r>
          </w:p>
        </w:tc>
      </w:tr>
      <w:tr>
        <w:trPr>
          <w:trHeight w:val="2236" w:hRule="atLeast"/>
        </w:trPr>
        <w:tc>
          <w:tcPr>
            <w:tcW w:w="1466" w:type="dxa"/>
          </w:tcPr>
          <w:p>
            <w:pPr>
              <w:pStyle w:val="TableParagraph"/>
              <w:spacing w:before="37"/>
              <w:ind w:left="36" w:right="109"/>
              <w:jc w:val="center"/>
              <w:rPr>
                <w:rFonts w:ascii="Times New Roman"/>
                <w:i/>
                <w:sz w:val="22"/>
              </w:rPr>
            </w:pPr>
            <w:r>
              <w:rPr>
                <w:rFonts w:ascii="Times New Roman"/>
                <w:i/>
                <w:sz w:val="22"/>
              </w:rPr>
              <w:t>area-number</w:t>
            </w:r>
          </w:p>
        </w:tc>
        <w:tc>
          <w:tcPr>
            <w:tcW w:w="1800" w:type="dxa"/>
          </w:tcPr>
          <w:p>
            <w:pPr>
              <w:pStyle w:val="TableParagraph"/>
              <w:ind w:left="112"/>
              <w:rPr>
                <w:sz w:val="22"/>
              </w:rPr>
            </w:pPr>
            <w:r>
              <w:rPr>
                <w:sz w:val="22"/>
              </w:rPr>
              <w:t>number</w:t>
            </w:r>
          </w:p>
        </w:tc>
        <w:tc>
          <w:tcPr>
            <w:tcW w:w="5400" w:type="dxa"/>
          </w:tcPr>
          <w:p>
            <w:pPr>
              <w:pStyle w:val="TableParagraph"/>
              <w:ind w:left="113" w:right="128"/>
              <w:rPr>
                <w:sz w:val="22"/>
              </w:rPr>
            </w:pPr>
            <w:r>
              <w:rPr>
                <w:sz w:val="22"/>
              </w:rPr>
              <w:t>Indicates a range in </w:t>
            </w:r>
            <w:r>
              <w:rPr>
                <w:rFonts w:ascii="Times New Roman"/>
                <w:i/>
                <w:sz w:val="22"/>
              </w:rPr>
              <w:t>reference </w:t>
            </w:r>
            <w:r>
              <w:rPr>
                <w:sz w:val="22"/>
              </w:rPr>
              <w:t>from which to return the intersection of </w:t>
            </w:r>
            <w:r>
              <w:rPr>
                <w:rFonts w:ascii="Times New Roman"/>
                <w:i/>
                <w:sz w:val="22"/>
              </w:rPr>
              <w:t>row-number </w:t>
            </w:r>
            <w:r>
              <w:rPr>
                <w:sz w:val="22"/>
              </w:rPr>
              <w:t>and </w:t>
            </w:r>
            <w:r>
              <w:rPr>
                <w:rFonts w:ascii="Times New Roman"/>
                <w:i/>
                <w:sz w:val="22"/>
              </w:rPr>
              <w:t>column-number</w:t>
            </w:r>
            <w:r>
              <w:rPr>
                <w:sz w:val="22"/>
              </w:rPr>
              <w:t>. The first area selected or entered is numbered 1, the second 2, and so on. If </w:t>
            </w:r>
            <w:r>
              <w:rPr>
                <w:rFonts w:ascii="Times New Roman"/>
                <w:i/>
                <w:sz w:val="22"/>
              </w:rPr>
              <w:t>area-number </w:t>
            </w:r>
            <w:r>
              <w:rPr>
                <w:sz w:val="22"/>
              </w:rPr>
              <w:t>is omitted, 1 is assumed. [</w:t>
            </w:r>
            <w:r>
              <w:rPr>
                <w:i/>
                <w:sz w:val="22"/>
              </w:rPr>
              <w:t>Example</w:t>
            </w:r>
            <w:r>
              <w:rPr>
                <w:sz w:val="22"/>
              </w:rPr>
              <w:t>: If </w:t>
            </w:r>
            <w:r>
              <w:rPr>
                <w:rFonts w:ascii="Times New Roman"/>
                <w:i/>
                <w:sz w:val="22"/>
              </w:rPr>
              <w:t>reference </w:t>
            </w:r>
            <w:r>
              <w:rPr>
                <w:sz w:val="22"/>
              </w:rPr>
              <w:t>describes the cells </w:t>
            </w:r>
            <w:r>
              <w:rPr>
                <w:rFonts w:ascii="Consolas"/>
                <w:sz w:val="22"/>
              </w:rPr>
              <w:t>(A1:B4, D1:E4, G1:H4)</w:t>
            </w:r>
            <w:r>
              <w:rPr>
                <w:sz w:val="22"/>
              </w:rPr>
              <w:t>, then area-number 1 is the range </w:t>
            </w:r>
            <w:r>
              <w:rPr>
                <w:rFonts w:ascii="Consolas"/>
                <w:sz w:val="22"/>
              </w:rPr>
              <w:t>A1:B4</w:t>
            </w:r>
            <w:r>
              <w:rPr>
                <w:sz w:val="22"/>
              </w:rPr>
              <w:t>, </w:t>
            </w:r>
            <w:r>
              <w:rPr>
                <w:rFonts w:ascii="Times New Roman"/>
                <w:i/>
                <w:sz w:val="22"/>
              </w:rPr>
              <w:t>area-number </w:t>
            </w:r>
            <w:r>
              <w:rPr>
                <w:sz w:val="22"/>
              </w:rPr>
              <w:t>2 is the range </w:t>
            </w:r>
            <w:r>
              <w:rPr>
                <w:rFonts w:ascii="Consolas"/>
                <w:sz w:val="22"/>
              </w:rPr>
              <w:t>D1:E4</w:t>
            </w:r>
            <w:r>
              <w:rPr>
                <w:sz w:val="22"/>
              </w:rPr>
              <w:t>, and </w:t>
            </w:r>
            <w:r>
              <w:rPr>
                <w:rFonts w:ascii="Times New Roman"/>
                <w:i/>
                <w:sz w:val="22"/>
              </w:rPr>
              <w:t>area- </w:t>
            </w:r>
            <w:r>
              <w:rPr>
                <w:rFonts w:ascii="Times New Roman"/>
                <w:i/>
                <w:sz w:val="22"/>
              </w:rPr>
              <w:t>number </w:t>
            </w:r>
            <w:r>
              <w:rPr>
                <w:sz w:val="22"/>
              </w:rPr>
              <w:t>3 is the range </w:t>
            </w:r>
            <w:r>
              <w:rPr>
                <w:rFonts w:ascii="Consolas"/>
                <w:sz w:val="22"/>
              </w:rPr>
              <w:t>G1:H4</w:t>
            </w:r>
            <w:r>
              <w:rPr>
                <w:sz w:val="22"/>
              </w:rPr>
              <w:t>. </w:t>
            </w:r>
            <w:r>
              <w:rPr>
                <w:i/>
                <w:sz w:val="22"/>
              </w:rPr>
              <w:t>end example</w:t>
            </w:r>
            <w:r>
              <w:rPr>
                <w:sz w:val="22"/>
              </w:rPr>
              <w:t>]</w:t>
            </w:r>
          </w:p>
        </w:tc>
      </w:tr>
    </w:tbl>
    <w:p>
      <w:pPr>
        <w:pStyle w:val="BodyText"/>
        <w:rPr>
          <w:sz w:val="20"/>
        </w:rPr>
      </w:pPr>
    </w:p>
    <w:p>
      <w:pPr>
        <w:pStyle w:val="BodyText"/>
        <w:spacing w:before="10"/>
        <w:rPr>
          <w:sz w:val="16"/>
        </w:rPr>
      </w:pPr>
    </w:p>
    <w:p>
      <w:pPr>
        <w:pStyle w:val="BodyText"/>
        <w:spacing w:line="276" w:lineRule="auto" w:before="56"/>
        <w:ind w:left="220" w:right="764"/>
      </w:pPr>
      <w:r>
        <w:rPr>
          <w:b/>
        </w:rPr>
        <w:t>Return Type and Value</w:t>
      </w:r>
      <w:r>
        <w:rPr/>
        <w:t>: various – For the array form, returns a single value, a whole row, or a whole column from a table or an array, depending on the presence and values of the row and column number indexes.</w:t>
      </w:r>
    </w:p>
    <w:p>
      <w:pPr>
        <w:pStyle w:val="BodyText"/>
        <w:spacing w:before="3"/>
        <w:rPr>
          <w:sz w:val="16"/>
        </w:rPr>
      </w:pPr>
    </w:p>
    <w:p>
      <w:pPr>
        <w:pStyle w:val="BodyText"/>
        <w:spacing w:line="278" w:lineRule="auto"/>
        <w:ind w:left="220" w:right="387"/>
      </w:pPr>
      <w:r>
        <w:rPr/>
        <w:t>For the reference form, returns a single reference, a whole row, or a whole column from a reference, depending on the presence and values of the row and column number indexes, and the area number.</w:t>
      </w:r>
    </w:p>
    <w:p>
      <w:pPr>
        <w:pStyle w:val="BodyText"/>
        <w:spacing w:before="3"/>
        <w:rPr>
          <w:sz w:val="16"/>
        </w:rPr>
      </w:pPr>
    </w:p>
    <w:p>
      <w:pPr>
        <w:pStyle w:val="BodyText"/>
        <w:ind w:left="220"/>
      </w:pPr>
      <w:r>
        <w:rPr/>
        <w:t>However, for the array form</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row-number </w:t>
      </w:r>
      <w:r>
        <w:rPr>
          <w:sz w:val="22"/>
        </w:rPr>
        <w:t>is outside the bounds of </w:t>
      </w:r>
      <w:r>
        <w:rPr>
          <w:rFonts w:ascii="Times New Roman" w:hAnsi="Times New Roman"/>
          <w:i/>
          <w:sz w:val="22"/>
        </w:rPr>
        <w:t>array</w:t>
      </w:r>
      <w:r>
        <w:rPr>
          <w:sz w:val="22"/>
        </w:rPr>
        <w:t>, </w:t>
      </w:r>
      <w:r>
        <w:rPr>
          <w:rFonts w:ascii="Consolas" w:hAnsi="Consolas"/>
          <w:sz w:val="22"/>
        </w:rPr>
        <w:t>#REF!</w:t>
      </w:r>
      <w:r>
        <w:rPr>
          <w:rFonts w:ascii="Consolas" w:hAnsi="Consolas"/>
          <w:spacing w:val="-90"/>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column-number </w:t>
      </w:r>
      <w:r>
        <w:rPr>
          <w:sz w:val="22"/>
        </w:rPr>
        <w:t>is outside the bounds of </w:t>
      </w:r>
      <w:r>
        <w:rPr>
          <w:rFonts w:ascii="Times New Roman" w:hAnsi="Times New Roman"/>
          <w:i/>
          <w:sz w:val="22"/>
        </w:rPr>
        <w:t>array</w:t>
      </w:r>
      <w:r>
        <w:rPr>
          <w:sz w:val="22"/>
        </w:rPr>
        <w:t>, </w:t>
      </w:r>
      <w:r>
        <w:rPr>
          <w:rFonts w:ascii="Consolas" w:hAnsi="Consolas"/>
          <w:sz w:val="22"/>
        </w:rPr>
        <w:t>#REF!</w:t>
      </w:r>
      <w:r>
        <w:rPr>
          <w:rFonts w:ascii="Consolas" w:hAnsi="Consolas"/>
          <w:spacing w:val="-84"/>
          <w:sz w:val="22"/>
        </w:rPr>
        <w:t> </w:t>
      </w:r>
      <w:r>
        <w:rPr>
          <w:sz w:val="22"/>
        </w:rPr>
        <w:t>is returned.</w:t>
      </w:r>
    </w:p>
    <w:p>
      <w:pPr>
        <w:pStyle w:val="BodyText"/>
        <w:spacing w:before="243"/>
        <w:ind w:left="220"/>
      </w:pPr>
      <w:r>
        <w:rPr/>
        <w:t>For the reference form</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row-number </w:t>
      </w:r>
      <w:r>
        <w:rPr>
          <w:sz w:val="22"/>
        </w:rPr>
        <w:t>is outside the bounds of </w:t>
      </w:r>
      <w:r>
        <w:rPr>
          <w:rFonts w:ascii="Times New Roman" w:hAnsi="Times New Roman"/>
          <w:i/>
          <w:sz w:val="22"/>
        </w:rPr>
        <w:t>reference</w:t>
      </w:r>
      <w:r>
        <w:rPr>
          <w:sz w:val="22"/>
        </w:rPr>
        <w:t>, </w:t>
      </w:r>
      <w:r>
        <w:rPr>
          <w:rFonts w:ascii="Consolas" w:hAnsi="Consolas"/>
          <w:sz w:val="22"/>
        </w:rPr>
        <w:t>#REF!</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0" w:after="0"/>
        <w:ind w:left="940" w:right="0" w:hanging="361"/>
        <w:jc w:val="left"/>
        <w:rPr>
          <w:sz w:val="22"/>
        </w:rPr>
      </w:pPr>
      <w:r>
        <w:rPr>
          <w:rFonts w:ascii="Times New Roman" w:hAnsi="Times New Roman"/>
          <w:i/>
          <w:sz w:val="22"/>
        </w:rPr>
        <w:t>column-number </w:t>
      </w:r>
      <w:r>
        <w:rPr>
          <w:sz w:val="22"/>
        </w:rPr>
        <w:t>is outside the bounds of </w:t>
      </w:r>
      <w:r>
        <w:rPr>
          <w:rFonts w:ascii="Times New Roman" w:hAnsi="Times New Roman"/>
          <w:i/>
          <w:sz w:val="22"/>
        </w:rPr>
        <w:t>reference</w:t>
      </w:r>
      <w:r>
        <w:rPr>
          <w:sz w:val="22"/>
        </w:rPr>
        <w:t>, </w:t>
      </w:r>
      <w:r>
        <w:rPr>
          <w:rFonts w:ascii="Consolas" w:hAnsi="Consolas"/>
          <w:sz w:val="22"/>
        </w:rPr>
        <w:t>#REF!</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3710" w:firstLine="360"/>
        <w:jc w:val="left"/>
        <w:rPr>
          <w:sz w:val="22"/>
        </w:rPr>
      </w:pPr>
      <w:r>
        <w:rPr>
          <w:rFonts w:ascii="Times New Roman" w:hAnsi="Times New Roman"/>
          <w:i/>
          <w:sz w:val="22"/>
        </w:rPr>
        <w:t>area-number </w:t>
      </w:r>
      <w:r>
        <w:rPr>
          <w:sz w:val="22"/>
        </w:rPr>
        <w:t>is outside the bounds of </w:t>
      </w:r>
      <w:r>
        <w:rPr>
          <w:rFonts w:ascii="Times New Roman" w:hAnsi="Times New Roman"/>
          <w:i/>
          <w:sz w:val="22"/>
        </w:rPr>
        <w:t>reference</w:t>
      </w:r>
      <w:r>
        <w:rPr>
          <w:sz w:val="22"/>
        </w:rPr>
        <w:t>, </w:t>
      </w:r>
      <w:r>
        <w:rPr>
          <w:rFonts w:ascii="Consolas" w:hAnsi="Consolas"/>
          <w:sz w:val="22"/>
        </w:rPr>
        <w:t>#REF!</w:t>
      </w:r>
      <w:r>
        <w:rPr>
          <w:rFonts w:ascii="Consolas" w:hAnsi="Consolas"/>
          <w:spacing w:val="-85"/>
          <w:sz w:val="22"/>
        </w:rPr>
        <w:t> </w:t>
      </w:r>
      <w:r>
        <w:rPr>
          <w:sz w:val="22"/>
        </w:rPr>
        <w:t>is returned. [</w:t>
      </w:r>
      <w:r>
        <w:rPr>
          <w:i/>
          <w:sz w:val="22"/>
        </w:rPr>
        <w:t>Example</w:t>
      </w:r>
      <w:r>
        <w:rPr>
          <w:sz w:val="22"/>
        </w:rPr>
        <w:t>:</w:t>
      </w:r>
    </w:p>
    <w:p>
      <w:pPr>
        <w:pStyle w:val="BodyText"/>
        <w:spacing w:line="276" w:lineRule="auto" w:before="126"/>
        <w:ind w:left="220"/>
        <w:rPr>
          <w:rFonts w:ascii="Consolas"/>
        </w:rPr>
      </w:pPr>
      <w:r>
        <w:rPr>
          <w:rFonts w:ascii="Consolas"/>
        </w:rPr>
        <w:t>INDEX({"Apples","Lemons";"Bananas","Pears"},2,2) </w:t>
      </w:r>
      <w:r>
        <w:rPr/>
        <w:t>results in </w:t>
      </w:r>
      <w:r>
        <w:rPr>
          <w:rFonts w:ascii="Consolas"/>
        </w:rPr>
        <w:t>Pears INDEX({"Apples","Lemons";"Bananas","Pears"},2,1)</w:t>
      </w:r>
      <w:r>
        <w:rPr>
          <w:rFonts w:ascii="Consolas"/>
          <w:spacing w:val="-98"/>
        </w:rPr>
        <w:t> </w:t>
      </w:r>
      <w:r>
        <w:rPr/>
        <w:t>results in </w:t>
      </w:r>
      <w:r>
        <w:rPr>
          <w:rFonts w:ascii="Consolas"/>
        </w:rPr>
        <w:t>Bananas</w:t>
      </w:r>
    </w:p>
    <w:p>
      <w:pPr>
        <w:spacing w:after="0" w:line="276" w:lineRule="auto"/>
        <w:rPr>
          <w:rFonts w:ascii="Consolas"/>
        </w:rPr>
        <w:sectPr>
          <w:pgSz w:w="12240" w:h="15840"/>
          <w:pgMar w:header="763" w:footer="746" w:top="1340" w:bottom="940" w:left="860" w:right="700"/>
        </w:sectPr>
      </w:pPr>
    </w:p>
    <w:p>
      <w:pPr>
        <w:pStyle w:val="BodyText"/>
        <w:spacing w:line="278" w:lineRule="auto" w:before="90"/>
        <w:ind w:left="220" w:right="2289"/>
        <w:rPr>
          <w:rFonts w:ascii="Consolas"/>
        </w:rPr>
      </w:pPr>
      <w:r>
        <w:rPr>
          <w:rFonts w:ascii="Consolas"/>
        </w:rPr>
        <w:t>INDEX({"Apples","Lemons"},,2)</w:t>
      </w:r>
      <w:r>
        <w:rPr>
          <w:rFonts w:ascii="Consolas"/>
          <w:spacing w:val="-89"/>
        </w:rPr>
        <w:t> </w:t>
      </w:r>
      <w:r>
        <w:rPr/>
        <w:t>results in </w:t>
      </w:r>
      <w:r>
        <w:rPr>
          <w:rFonts w:ascii="Consolas"/>
        </w:rPr>
        <w:t>Lemons INDEX({"Apples";"Bananas"},1)</w:t>
      </w:r>
      <w:r>
        <w:rPr>
          <w:rFonts w:ascii="Consolas"/>
          <w:spacing w:val="-89"/>
        </w:rPr>
        <w:t> </w:t>
      </w:r>
      <w:r>
        <w:rPr/>
        <w:t>results in </w:t>
      </w:r>
      <w:r>
        <w:rPr>
          <w:rFonts w:ascii="Consolas"/>
        </w:rPr>
        <w:t>Apples</w:t>
      </w:r>
    </w:p>
    <w:p>
      <w:pPr>
        <w:pStyle w:val="BodyText"/>
        <w:spacing w:before="11"/>
        <w:rPr>
          <w:rFonts w:ascii="Consolas"/>
          <w:sz w:val="16"/>
        </w:rPr>
      </w:pPr>
    </w:p>
    <w:p>
      <w:pPr>
        <w:pStyle w:val="BodyText"/>
        <w:ind w:left="220"/>
      </w:pPr>
      <w:r>
        <w:rPr/>
        <w:t>Given the following data:</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018"/>
        <w:gridCol w:w="999"/>
        <w:gridCol w:w="811"/>
      </w:tblGrid>
      <w:tr>
        <w:trPr>
          <w:trHeight w:val="354" w:hRule="atLeast"/>
        </w:trPr>
        <w:tc>
          <w:tcPr>
            <w:tcW w:w="468" w:type="dxa"/>
            <w:shd w:val="clear" w:color="auto" w:fill="C0C0C0"/>
          </w:tcPr>
          <w:p>
            <w:pPr>
              <w:pStyle w:val="TableParagraph"/>
              <w:spacing w:before="0"/>
              <w:ind w:left="0"/>
              <w:rPr>
                <w:rFonts w:ascii="Times New Roman"/>
                <w:sz w:val="22"/>
              </w:rPr>
            </w:pPr>
          </w:p>
        </w:tc>
        <w:tc>
          <w:tcPr>
            <w:tcW w:w="1018" w:type="dxa"/>
            <w:shd w:val="clear" w:color="auto" w:fill="C0C0C0"/>
          </w:tcPr>
          <w:p>
            <w:pPr>
              <w:pStyle w:val="TableParagraph"/>
              <w:ind w:left="8"/>
              <w:jc w:val="center"/>
              <w:rPr>
                <w:b/>
                <w:sz w:val="22"/>
              </w:rPr>
            </w:pPr>
            <w:r>
              <w:rPr>
                <w:b/>
                <w:w w:val="100"/>
                <w:sz w:val="22"/>
              </w:rPr>
              <w:t>A</w:t>
            </w:r>
          </w:p>
        </w:tc>
        <w:tc>
          <w:tcPr>
            <w:tcW w:w="999" w:type="dxa"/>
            <w:shd w:val="clear" w:color="auto" w:fill="C0C0C0"/>
          </w:tcPr>
          <w:p>
            <w:pPr>
              <w:pStyle w:val="TableParagraph"/>
              <w:ind w:left="7"/>
              <w:jc w:val="center"/>
              <w:rPr>
                <w:b/>
                <w:sz w:val="22"/>
              </w:rPr>
            </w:pPr>
            <w:r>
              <w:rPr>
                <w:b/>
                <w:w w:val="100"/>
                <w:sz w:val="22"/>
              </w:rPr>
              <w:t>B</w:t>
            </w:r>
          </w:p>
        </w:tc>
        <w:tc>
          <w:tcPr>
            <w:tcW w:w="811" w:type="dxa"/>
            <w:shd w:val="clear" w:color="auto" w:fill="C0C0C0"/>
          </w:tcPr>
          <w:p>
            <w:pPr>
              <w:pStyle w:val="TableParagraph"/>
              <w:ind w:left="5"/>
              <w:jc w:val="center"/>
              <w:rPr>
                <w:b/>
                <w:sz w:val="22"/>
              </w:rPr>
            </w:pPr>
            <w:r>
              <w:rPr>
                <w:b/>
                <w:w w:val="100"/>
                <w:sz w:val="22"/>
              </w:rPr>
              <w:t>C</w:t>
            </w:r>
          </w:p>
        </w:tc>
      </w:tr>
      <w:tr>
        <w:trPr>
          <w:trHeight w:val="354" w:hRule="atLeast"/>
        </w:trPr>
        <w:tc>
          <w:tcPr>
            <w:tcW w:w="468" w:type="dxa"/>
          </w:tcPr>
          <w:p>
            <w:pPr>
              <w:pStyle w:val="TableParagraph"/>
              <w:rPr>
                <w:sz w:val="22"/>
              </w:rPr>
            </w:pPr>
            <w:r>
              <w:rPr>
                <w:w w:val="100"/>
                <w:sz w:val="22"/>
              </w:rPr>
              <w:t>1</w:t>
            </w:r>
          </w:p>
        </w:tc>
        <w:tc>
          <w:tcPr>
            <w:tcW w:w="1018" w:type="dxa"/>
          </w:tcPr>
          <w:p>
            <w:pPr>
              <w:pStyle w:val="TableParagraph"/>
              <w:ind w:left="114"/>
              <w:rPr>
                <w:sz w:val="22"/>
              </w:rPr>
            </w:pPr>
            <w:r>
              <w:rPr>
                <w:sz w:val="22"/>
              </w:rPr>
              <w:t>Fruit</w:t>
            </w:r>
          </w:p>
        </w:tc>
        <w:tc>
          <w:tcPr>
            <w:tcW w:w="999" w:type="dxa"/>
          </w:tcPr>
          <w:p>
            <w:pPr>
              <w:pStyle w:val="TableParagraph"/>
              <w:ind w:left="114"/>
              <w:rPr>
                <w:sz w:val="22"/>
              </w:rPr>
            </w:pPr>
            <w:r>
              <w:rPr>
                <w:sz w:val="22"/>
              </w:rPr>
              <w:t>Price</w:t>
            </w:r>
          </w:p>
        </w:tc>
        <w:tc>
          <w:tcPr>
            <w:tcW w:w="811" w:type="dxa"/>
          </w:tcPr>
          <w:p>
            <w:pPr>
              <w:pStyle w:val="TableParagraph"/>
              <w:ind w:left="114"/>
              <w:rPr>
                <w:sz w:val="22"/>
              </w:rPr>
            </w:pPr>
            <w:r>
              <w:rPr>
                <w:sz w:val="22"/>
              </w:rPr>
              <w:t>Count</w:t>
            </w:r>
          </w:p>
        </w:tc>
      </w:tr>
      <w:tr>
        <w:trPr>
          <w:trHeight w:val="352" w:hRule="atLeast"/>
        </w:trPr>
        <w:tc>
          <w:tcPr>
            <w:tcW w:w="468" w:type="dxa"/>
          </w:tcPr>
          <w:p>
            <w:pPr>
              <w:pStyle w:val="TableParagraph"/>
              <w:rPr>
                <w:sz w:val="22"/>
              </w:rPr>
            </w:pPr>
            <w:r>
              <w:rPr>
                <w:w w:val="100"/>
                <w:sz w:val="22"/>
              </w:rPr>
              <w:t>2</w:t>
            </w:r>
          </w:p>
        </w:tc>
        <w:tc>
          <w:tcPr>
            <w:tcW w:w="1018" w:type="dxa"/>
          </w:tcPr>
          <w:p>
            <w:pPr>
              <w:pStyle w:val="TableParagraph"/>
              <w:ind w:left="114"/>
              <w:rPr>
                <w:sz w:val="22"/>
              </w:rPr>
            </w:pPr>
            <w:r>
              <w:rPr>
                <w:sz w:val="22"/>
              </w:rPr>
              <w:t>Apples</w:t>
            </w:r>
          </w:p>
        </w:tc>
        <w:tc>
          <w:tcPr>
            <w:tcW w:w="999" w:type="dxa"/>
          </w:tcPr>
          <w:p>
            <w:pPr>
              <w:pStyle w:val="TableParagraph"/>
              <w:ind w:left="114"/>
              <w:rPr>
                <w:sz w:val="22"/>
              </w:rPr>
            </w:pPr>
            <w:r>
              <w:rPr>
                <w:sz w:val="22"/>
              </w:rPr>
              <w:t>0.69</w:t>
            </w:r>
          </w:p>
        </w:tc>
        <w:tc>
          <w:tcPr>
            <w:tcW w:w="811" w:type="dxa"/>
          </w:tcPr>
          <w:p>
            <w:pPr>
              <w:pStyle w:val="TableParagraph"/>
              <w:ind w:left="114"/>
              <w:rPr>
                <w:sz w:val="22"/>
              </w:rPr>
            </w:pPr>
            <w:r>
              <w:rPr>
                <w:sz w:val="22"/>
              </w:rPr>
              <w:t>40</w:t>
            </w:r>
          </w:p>
        </w:tc>
      </w:tr>
      <w:tr>
        <w:trPr>
          <w:trHeight w:val="354" w:hRule="atLeast"/>
        </w:trPr>
        <w:tc>
          <w:tcPr>
            <w:tcW w:w="468" w:type="dxa"/>
          </w:tcPr>
          <w:p>
            <w:pPr>
              <w:pStyle w:val="TableParagraph"/>
              <w:rPr>
                <w:sz w:val="22"/>
              </w:rPr>
            </w:pPr>
            <w:r>
              <w:rPr>
                <w:w w:val="100"/>
                <w:sz w:val="22"/>
              </w:rPr>
              <w:t>3</w:t>
            </w:r>
          </w:p>
        </w:tc>
        <w:tc>
          <w:tcPr>
            <w:tcW w:w="1018" w:type="dxa"/>
          </w:tcPr>
          <w:p>
            <w:pPr>
              <w:pStyle w:val="TableParagraph"/>
              <w:ind w:left="114"/>
              <w:rPr>
                <w:sz w:val="22"/>
              </w:rPr>
            </w:pPr>
            <w:r>
              <w:rPr>
                <w:sz w:val="22"/>
              </w:rPr>
              <w:t>Bananas</w:t>
            </w:r>
          </w:p>
        </w:tc>
        <w:tc>
          <w:tcPr>
            <w:tcW w:w="999" w:type="dxa"/>
          </w:tcPr>
          <w:p>
            <w:pPr>
              <w:pStyle w:val="TableParagraph"/>
              <w:ind w:left="114"/>
              <w:rPr>
                <w:sz w:val="22"/>
              </w:rPr>
            </w:pPr>
            <w:r>
              <w:rPr>
                <w:sz w:val="22"/>
              </w:rPr>
              <w:t>0.34</w:t>
            </w:r>
          </w:p>
        </w:tc>
        <w:tc>
          <w:tcPr>
            <w:tcW w:w="811" w:type="dxa"/>
          </w:tcPr>
          <w:p>
            <w:pPr>
              <w:pStyle w:val="TableParagraph"/>
              <w:ind w:left="114"/>
              <w:rPr>
                <w:sz w:val="22"/>
              </w:rPr>
            </w:pPr>
            <w:r>
              <w:rPr>
                <w:sz w:val="22"/>
              </w:rPr>
              <w:t>38</w:t>
            </w:r>
          </w:p>
        </w:tc>
      </w:tr>
      <w:tr>
        <w:trPr>
          <w:trHeight w:val="354" w:hRule="atLeast"/>
        </w:trPr>
        <w:tc>
          <w:tcPr>
            <w:tcW w:w="468" w:type="dxa"/>
          </w:tcPr>
          <w:p>
            <w:pPr>
              <w:pStyle w:val="TableParagraph"/>
              <w:rPr>
                <w:sz w:val="22"/>
              </w:rPr>
            </w:pPr>
            <w:r>
              <w:rPr>
                <w:w w:val="100"/>
                <w:sz w:val="22"/>
              </w:rPr>
              <w:t>4</w:t>
            </w:r>
          </w:p>
        </w:tc>
        <w:tc>
          <w:tcPr>
            <w:tcW w:w="1018" w:type="dxa"/>
          </w:tcPr>
          <w:p>
            <w:pPr>
              <w:pStyle w:val="TableParagraph"/>
              <w:ind w:left="114"/>
              <w:rPr>
                <w:sz w:val="22"/>
              </w:rPr>
            </w:pPr>
            <w:r>
              <w:rPr>
                <w:sz w:val="22"/>
              </w:rPr>
              <w:t>Lemons</w:t>
            </w:r>
          </w:p>
        </w:tc>
        <w:tc>
          <w:tcPr>
            <w:tcW w:w="999" w:type="dxa"/>
          </w:tcPr>
          <w:p>
            <w:pPr>
              <w:pStyle w:val="TableParagraph"/>
              <w:ind w:left="114"/>
              <w:rPr>
                <w:sz w:val="22"/>
              </w:rPr>
            </w:pPr>
            <w:r>
              <w:rPr>
                <w:sz w:val="22"/>
              </w:rPr>
              <w:t>0.55</w:t>
            </w:r>
          </w:p>
        </w:tc>
        <w:tc>
          <w:tcPr>
            <w:tcW w:w="811" w:type="dxa"/>
          </w:tcPr>
          <w:p>
            <w:pPr>
              <w:pStyle w:val="TableParagraph"/>
              <w:ind w:left="114"/>
              <w:rPr>
                <w:sz w:val="22"/>
              </w:rPr>
            </w:pPr>
            <w:r>
              <w:rPr>
                <w:sz w:val="22"/>
              </w:rPr>
              <w:t>15</w:t>
            </w:r>
          </w:p>
        </w:tc>
      </w:tr>
      <w:tr>
        <w:trPr>
          <w:trHeight w:val="354" w:hRule="atLeast"/>
        </w:trPr>
        <w:tc>
          <w:tcPr>
            <w:tcW w:w="468" w:type="dxa"/>
          </w:tcPr>
          <w:p>
            <w:pPr>
              <w:pStyle w:val="TableParagraph"/>
              <w:rPr>
                <w:sz w:val="22"/>
              </w:rPr>
            </w:pPr>
            <w:r>
              <w:rPr>
                <w:w w:val="100"/>
                <w:sz w:val="22"/>
              </w:rPr>
              <w:t>5</w:t>
            </w:r>
          </w:p>
        </w:tc>
        <w:tc>
          <w:tcPr>
            <w:tcW w:w="1018" w:type="dxa"/>
          </w:tcPr>
          <w:p>
            <w:pPr>
              <w:pStyle w:val="TableParagraph"/>
              <w:ind w:left="114"/>
              <w:rPr>
                <w:sz w:val="22"/>
              </w:rPr>
            </w:pPr>
            <w:r>
              <w:rPr>
                <w:sz w:val="22"/>
              </w:rPr>
              <w:t>Oranges</w:t>
            </w:r>
          </w:p>
        </w:tc>
        <w:tc>
          <w:tcPr>
            <w:tcW w:w="999" w:type="dxa"/>
          </w:tcPr>
          <w:p>
            <w:pPr>
              <w:pStyle w:val="TableParagraph"/>
              <w:ind w:left="114"/>
              <w:rPr>
                <w:sz w:val="22"/>
              </w:rPr>
            </w:pPr>
            <w:r>
              <w:rPr>
                <w:sz w:val="22"/>
              </w:rPr>
              <w:t>0.25</w:t>
            </w:r>
          </w:p>
        </w:tc>
        <w:tc>
          <w:tcPr>
            <w:tcW w:w="811" w:type="dxa"/>
          </w:tcPr>
          <w:p>
            <w:pPr>
              <w:pStyle w:val="TableParagraph"/>
              <w:ind w:left="114"/>
              <w:rPr>
                <w:sz w:val="22"/>
              </w:rPr>
            </w:pPr>
            <w:r>
              <w:rPr>
                <w:sz w:val="22"/>
              </w:rPr>
              <w:t>25</w:t>
            </w:r>
          </w:p>
        </w:tc>
      </w:tr>
      <w:tr>
        <w:trPr>
          <w:trHeight w:val="355" w:hRule="atLeast"/>
        </w:trPr>
        <w:tc>
          <w:tcPr>
            <w:tcW w:w="468" w:type="dxa"/>
          </w:tcPr>
          <w:p>
            <w:pPr>
              <w:pStyle w:val="TableParagraph"/>
              <w:rPr>
                <w:sz w:val="22"/>
              </w:rPr>
            </w:pPr>
            <w:r>
              <w:rPr>
                <w:w w:val="100"/>
                <w:sz w:val="22"/>
              </w:rPr>
              <w:t>6</w:t>
            </w:r>
          </w:p>
        </w:tc>
        <w:tc>
          <w:tcPr>
            <w:tcW w:w="1018" w:type="dxa"/>
          </w:tcPr>
          <w:p>
            <w:pPr>
              <w:pStyle w:val="TableParagraph"/>
              <w:ind w:left="114"/>
              <w:rPr>
                <w:sz w:val="22"/>
              </w:rPr>
            </w:pPr>
            <w:r>
              <w:rPr>
                <w:sz w:val="22"/>
              </w:rPr>
              <w:t>Pears</w:t>
            </w:r>
          </w:p>
        </w:tc>
        <w:tc>
          <w:tcPr>
            <w:tcW w:w="999" w:type="dxa"/>
          </w:tcPr>
          <w:p>
            <w:pPr>
              <w:pStyle w:val="TableParagraph"/>
              <w:ind w:left="114"/>
              <w:rPr>
                <w:sz w:val="22"/>
              </w:rPr>
            </w:pPr>
            <w:r>
              <w:rPr>
                <w:sz w:val="22"/>
              </w:rPr>
              <w:t>0.59</w:t>
            </w:r>
          </w:p>
        </w:tc>
        <w:tc>
          <w:tcPr>
            <w:tcW w:w="811" w:type="dxa"/>
          </w:tcPr>
          <w:p>
            <w:pPr>
              <w:pStyle w:val="TableParagraph"/>
              <w:ind w:left="114"/>
              <w:rPr>
                <w:sz w:val="22"/>
              </w:rPr>
            </w:pPr>
            <w:r>
              <w:rPr>
                <w:sz w:val="22"/>
              </w:rPr>
              <w:t>40</w:t>
            </w:r>
          </w:p>
        </w:tc>
      </w:tr>
      <w:tr>
        <w:trPr>
          <w:trHeight w:val="354" w:hRule="atLeast"/>
        </w:trPr>
        <w:tc>
          <w:tcPr>
            <w:tcW w:w="468" w:type="dxa"/>
          </w:tcPr>
          <w:p>
            <w:pPr>
              <w:pStyle w:val="TableParagraph"/>
              <w:rPr>
                <w:sz w:val="22"/>
              </w:rPr>
            </w:pPr>
            <w:r>
              <w:rPr>
                <w:w w:val="100"/>
                <w:sz w:val="22"/>
              </w:rPr>
              <w:t>7</w:t>
            </w:r>
          </w:p>
        </w:tc>
        <w:tc>
          <w:tcPr>
            <w:tcW w:w="1018" w:type="dxa"/>
          </w:tcPr>
          <w:p>
            <w:pPr>
              <w:pStyle w:val="TableParagraph"/>
              <w:ind w:left="114"/>
              <w:rPr>
                <w:sz w:val="22"/>
              </w:rPr>
            </w:pPr>
            <w:r>
              <w:rPr>
                <w:sz w:val="22"/>
              </w:rPr>
              <w:t>Almonds</w:t>
            </w:r>
          </w:p>
        </w:tc>
        <w:tc>
          <w:tcPr>
            <w:tcW w:w="999" w:type="dxa"/>
          </w:tcPr>
          <w:p>
            <w:pPr>
              <w:pStyle w:val="TableParagraph"/>
              <w:ind w:left="114"/>
              <w:rPr>
                <w:sz w:val="22"/>
              </w:rPr>
            </w:pPr>
            <w:r>
              <w:rPr>
                <w:sz w:val="22"/>
              </w:rPr>
              <w:t>2.8</w:t>
            </w:r>
          </w:p>
        </w:tc>
        <w:tc>
          <w:tcPr>
            <w:tcW w:w="811" w:type="dxa"/>
          </w:tcPr>
          <w:p>
            <w:pPr>
              <w:pStyle w:val="TableParagraph"/>
              <w:ind w:left="114"/>
              <w:rPr>
                <w:sz w:val="22"/>
              </w:rPr>
            </w:pPr>
            <w:r>
              <w:rPr>
                <w:sz w:val="22"/>
              </w:rPr>
              <w:t>10</w:t>
            </w:r>
          </w:p>
        </w:tc>
      </w:tr>
    </w:tbl>
    <w:p>
      <w:pPr>
        <w:pStyle w:val="BodyText"/>
      </w:pPr>
    </w:p>
    <w:p>
      <w:pPr>
        <w:pStyle w:val="BodyText"/>
        <w:spacing w:before="5"/>
        <w:rPr>
          <w:sz w:val="19"/>
        </w:rPr>
      </w:pPr>
    </w:p>
    <w:p>
      <w:pPr>
        <w:pStyle w:val="BodyText"/>
        <w:spacing w:line="276" w:lineRule="auto"/>
        <w:ind w:left="220" w:right="5911"/>
        <w:rPr>
          <w:rFonts w:ascii="Consolas"/>
        </w:rPr>
      </w:pPr>
      <w:r>
        <w:rPr>
          <w:rFonts w:ascii="Consolas"/>
        </w:rPr>
        <w:t>INDEX(A2:C7,2,3) </w:t>
      </w:r>
      <w:r>
        <w:rPr/>
        <w:t>results in </w:t>
      </w:r>
      <w:r>
        <w:rPr>
          <w:rFonts w:ascii="Consolas"/>
        </w:rPr>
        <w:t>38 INDEX((A2:C4,A6:C7),2,2,2) </w:t>
      </w:r>
      <w:r>
        <w:rPr/>
        <w:t>results in </w:t>
      </w:r>
      <w:r>
        <w:rPr>
          <w:rFonts w:ascii="Consolas"/>
        </w:rPr>
        <w:t>2.8 INDEX((A2:C4,A6:C7),2,2,1)</w:t>
      </w:r>
      <w:r>
        <w:rPr>
          <w:rFonts w:ascii="Consolas"/>
          <w:spacing w:val="-85"/>
        </w:rPr>
        <w:t> </w:t>
      </w:r>
      <w:r>
        <w:rPr/>
        <w:t>results in </w:t>
      </w:r>
      <w:r>
        <w:rPr>
          <w:rFonts w:ascii="Consolas"/>
        </w:rPr>
        <w:t>0.34</w:t>
      </w:r>
    </w:p>
    <w:p>
      <w:pPr>
        <w:pStyle w:val="BodyText"/>
        <w:spacing w:before="7"/>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67 INDIRECT" w:id="1893"/>
      <w:bookmarkEnd w:id="1893"/>
      <w:r>
        <w:rPr/>
      </w:r>
      <w:bookmarkStart w:name="_bookmark630" w:id="1894"/>
      <w:bookmarkEnd w:id="1894"/>
      <w:r>
        <w:rPr/>
      </w:r>
      <w:bookmarkStart w:name="_bookmark630" w:id="1895"/>
      <w:bookmarkEnd w:id="1895"/>
      <w:r>
        <w:rPr>
          <w:color w:val="4F81BC"/>
        </w:rPr>
        <w:t>I</w:t>
      </w:r>
      <w:r>
        <w:rPr>
          <w:color w:val="4F81BC"/>
        </w:rPr>
        <w:t>NDIRECT</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INDIRECT ( </w:t>
      </w:r>
      <w:r>
        <w:rPr>
          <w:i/>
          <w:sz w:val="22"/>
        </w:rPr>
        <w:t>ref-text </w:t>
      </w:r>
      <w:r>
        <w:rPr>
          <w:sz w:val="22"/>
        </w:rPr>
        <w:t>[ </w:t>
      </w:r>
      <w:r>
        <w:rPr>
          <w:rFonts w:ascii="Lucida Console"/>
          <w:sz w:val="20"/>
        </w:rPr>
        <w:t>, </w:t>
      </w:r>
      <w:r>
        <w:rPr>
          <w:sz w:val="22"/>
        </w:rPr>
        <w:t>[ </w:t>
      </w:r>
      <w:r>
        <w:rPr>
          <w:i/>
          <w:sz w:val="22"/>
        </w:rPr>
        <w:t>A1-ref-style-flag </w:t>
      </w:r>
      <w:r>
        <w:rPr>
          <w:sz w:val="22"/>
        </w:rPr>
        <w:t>] ] </w:t>
      </w:r>
      <w:r>
        <w:rPr>
          <w:rFonts w:ascii="Lucida Console"/>
          <w:sz w:val="20"/>
        </w:rPr>
        <w:t>)</w:t>
      </w:r>
    </w:p>
    <w:p>
      <w:pPr>
        <w:pStyle w:val="BodyText"/>
        <w:spacing w:line="276" w:lineRule="auto" w:before="106"/>
        <w:ind w:left="220" w:right="838"/>
      </w:pPr>
      <w:r>
        <w:rPr>
          <w:b/>
        </w:rPr>
        <w:t>Description</w:t>
      </w:r>
      <w:r>
        <w:rPr/>
        <w:t>: Locates the reference specified by </w:t>
      </w:r>
      <w:r>
        <w:rPr>
          <w:rFonts w:ascii="Times New Roman"/>
          <w:i/>
        </w:rPr>
        <w:t>ref-text </w:t>
      </w:r>
      <w:r>
        <w:rPr/>
        <w:t>and evaluates that reference to get to its underlying value. [</w:t>
      </w:r>
      <w:r>
        <w:rPr>
          <w:i/>
        </w:rPr>
        <w:t>Note</w:t>
      </w:r>
      <w:r>
        <w:rPr/>
        <w:t>: This function should be used when the reference to a cell within a formula is to be changed without changing the formula itself. </w:t>
      </w:r>
      <w:r>
        <w:rPr>
          <w:i/>
        </w:rPr>
        <w:t>end note</w:t>
      </w:r>
      <w:r>
        <w:rPr/>
        <w:t>]</w:t>
      </w:r>
    </w:p>
    <w:p>
      <w:pPr>
        <w:pStyle w:val="BodyText"/>
        <w:spacing w:before="6"/>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234" w:hRule="atLeast"/>
        </w:trPr>
        <w:tc>
          <w:tcPr>
            <w:tcW w:w="1466" w:type="dxa"/>
          </w:tcPr>
          <w:p>
            <w:pPr>
              <w:pStyle w:val="TableParagraph"/>
              <w:spacing w:before="37"/>
              <w:rPr>
                <w:rFonts w:ascii="Times New Roman"/>
                <w:i/>
                <w:sz w:val="22"/>
              </w:rPr>
            </w:pPr>
            <w:r>
              <w:rPr>
                <w:rFonts w:ascii="Times New Roman"/>
                <w:i/>
                <w:sz w:val="22"/>
              </w:rPr>
              <w:t>ref-text</w:t>
            </w:r>
          </w:p>
        </w:tc>
        <w:tc>
          <w:tcPr>
            <w:tcW w:w="1800" w:type="dxa"/>
          </w:tcPr>
          <w:p>
            <w:pPr>
              <w:pStyle w:val="TableParagraph"/>
              <w:ind w:left="112" w:right="191"/>
              <w:rPr>
                <w:sz w:val="22"/>
              </w:rPr>
            </w:pPr>
            <w:r>
              <w:rPr>
                <w:sz w:val="22"/>
              </w:rPr>
              <w:t>An A1-style reference, an R1C1-style reference, a name defined as a reference, or a reference to a cell as a string.</w:t>
            </w:r>
          </w:p>
        </w:tc>
        <w:tc>
          <w:tcPr>
            <w:tcW w:w="5400" w:type="dxa"/>
          </w:tcPr>
          <w:p>
            <w:pPr>
              <w:pStyle w:val="TableParagraph"/>
              <w:ind w:left="113"/>
              <w:rPr>
                <w:sz w:val="22"/>
              </w:rPr>
            </w:pPr>
            <w:r>
              <w:rPr>
                <w:sz w:val="22"/>
              </w:rPr>
              <w:t>If </w:t>
            </w:r>
            <w:r>
              <w:rPr>
                <w:rFonts w:ascii="Times New Roman"/>
                <w:i/>
                <w:sz w:val="22"/>
              </w:rPr>
              <w:t>ref-text </w:t>
            </w:r>
            <w:r>
              <w:rPr>
                <w:sz w:val="22"/>
              </w:rPr>
              <w:t>refers to another workbook (i.e., it's an external reference), that other workbook shall be open.</w:t>
            </w:r>
          </w:p>
        </w:tc>
      </w:tr>
      <w:tr>
        <w:trPr>
          <w:trHeight w:val="892" w:hRule="atLeast"/>
        </w:trPr>
        <w:tc>
          <w:tcPr>
            <w:tcW w:w="1466" w:type="dxa"/>
          </w:tcPr>
          <w:p>
            <w:pPr>
              <w:pStyle w:val="TableParagraph"/>
              <w:spacing w:before="37"/>
              <w:ind w:right="209"/>
              <w:rPr>
                <w:rFonts w:ascii="Times New Roman"/>
                <w:i/>
                <w:sz w:val="22"/>
              </w:rPr>
            </w:pPr>
            <w:r>
              <w:rPr>
                <w:rFonts w:ascii="Times New Roman"/>
                <w:i/>
                <w:sz w:val="22"/>
              </w:rPr>
              <w:t>A1-ref-style- </w:t>
            </w:r>
            <w:r>
              <w:rPr>
                <w:rFonts w:ascii="Times New Roman"/>
                <w:i/>
                <w:sz w:val="22"/>
              </w:rPr>
              <w:t>flag</w:t>
            </w:r>
          </w:p>
        </w:tc>
        <w:tc>
          <w:tcPr>
            <w:tcW w:w="1800" w:type="dxa"/>
          </w:tcPr>
          <w:p>
            <w:pPr>
              <w:pStyle w:val="TableParagraph"/>
              <w:ind w:left="112"/>
              <w:rPr>
                <w:sz w:val="22"/>
              </w:rPr>
            </w:pPr>
            <w:r>
              <w:rPr>
                <w:sz w:val="22"/>
              </w:rPr>
              <w:t>logical</w:t>
            </w:r>
          </w:p>
        </w:tc>
        <w:tc>
          <w:tcPr>
            <w:tcW w:w="5400" w:type="dxa"/>
          </w:tcPr>
          <w:p>
            <w:pPr>
              <w:pStyle w:val="TableParagraph"/>
              <w:ind w:left="113" w:right="132"/>
              <w:rPr>
                <w:sz w:val="22"/>
              </w:rPr>
            </w:pPr>
            <w:r>
              <w:rPr>
                <w:sz w:val="22"/>
              </w:rPr>
              <w:t>Specifies the kind of reference that is contained in the cell </w:t>
            </w:r>
            <w:r>
              <w:rPr>
                <w:rFonts w:ascii="Times New Roman" w:hAnsi="Times New Roman"/>
                <w:i/>
                <w:sz w:val="22"/>
              </w:rPr>
              <w:t>ref-text</w:t>
            </w:r>
            <w:r>
              <w:rPr>
                <w:sz w:val="22"/>
              </w:rPr>
              <w:t>. If </w:t>
            </w:r>
            <w:r>
              <w:rPr>
                <w:rFonts w:ascii="Consolas" w:hAnsi="Consolas"/>
                <w:sz w:val="22"/>
              </w:rPr>
              <w:t>TRUE </w:t>
            </w:r>
            <w:r>
              <w:rPr>
                <w:sz w:val="22"/>
              </w:rPr>
              <w:t>or omitted, </w:t>
            </w:r>
            <w:r>
              <w:rPr>
                <w:rFonts w:ascii="Times New Roman" w:hAnsi="Times New Roman"/>
                <w:i/>
                <w:sz w:val="22"/>
              </w:rPr>
              <w:t>ref-text </w:t>
            </w:r>
            <w:r>
              <w:rPr>
                <w:sz w:val="22"/>
              </w:rPr>
              <w:t>is interpreted as an A1-style reference (</w:t>
            </w:r>
            <w:hyperlink w:history="true" w:anchor="_bookmark438">
              <w:r>
                <w:rPr>
                  <w:sz w:val="22"/>
                </w:rPr>
                <w:t>§18.17.2.3.1</w:t>
              </w:r>
            </w:hyperlink>
            <w:r>
              <w:rPr>
                <w:sz w:val="22"/>
              </w:rPr>
              <w:t>); otherwise, </w:t>
            </w:r>
            <w:r>
              <w:rPr>
                <w:rFonts w:ascii="Times New Roman" w:hAnsi="Times New Roman"/>
                <w:i/>
                <w:sz w:val="22"/>
              </w:rPr>
              <w:t>ref-text</w:t>
            </w:r>
            <w:r>
              <w:rPr>
                <w:rFonts w:ascii="Times New Roman" w:hAnsi="Times New Roman"/>
                <w:i/>
                <w:spacing w:val="-22"/>
                <w:sz w:val="22"/>
              </w:rPr>
              <w:t> </w:t>
            </w:r>
            <w:r>
              <w:rPr>
                <w:sz w:val="22"/>
              </w:rPr>
              <w:t>is</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sz w:val="22"/>
              </w:rPr>
            </w:pPr>
            <w:r>
              <w:rPr>
                <w:sz w:val="22"/>
              </w:rPr>
              <w:t>interpreted as an R1C1-style reference (§</w:t>
            </w:r>
            <w:hyperlink w:history="true" w:anchor="_bookmark439">
              <w:r>
                <w:rPr>
                  <w:sz w:val="22"/>
                </w:rPr>
                <w:t>18.17.2.3.2</w:t>
              </w:r>
            </w:hyperlink>
            <w:r>
              <w:rPr>
                <w:sz w:val="22"/>
              </w:rPr>
              <w:t>).</w:t>
            </w:r>
          </w:p>
        </w:tc>
      </w:tr>
    </w:tbl>
    <w:p>
      <w:pPr>
        <w:pStyle w:val="BodyText"/>
        <w:rPr>
          <w:sz w:val="20"/>
        </w:rPr>
      </w:pPr>
    </w:p>
    <w:p>
      <w:pPr>
        <w:pStyle w:val="BodyText"/>
        <w:spacing w:before="7"/>
        <w:rPr>
          <w:sz w:val="21"/>
        </w:rPr>
      </w:pPr>
    </w:p>
    <w:p>
      <w:pPr>
        <w:spacing w:line="453" w:lineRule="auto" w:before="0"/>
        <w:ind w:left="220" w:right="2467" w:firstLine="0"/>
        <w:jc w:val="left"/>
        <w:rPr>
          <w:sz w:val="22"/>
        </w:rPr>
      </w:pPr>
      <w:r>
        <w:rPr>
          <w:b/>
          <w:sz w:val="22"/>
        </w:rPr>
        <w:t>Return Type and Value</w:t>
      </w:r>
      <w:r>
        <w:rPr>
          <w:sz w:val="22"/>
        </w:rPr>
        <w:t>: any – The underlying value of the location referred to by </w:t>
      </w:r>
      <w:r>
        <w:rPr>
          <w:rFonts w:ascii="Times New Roman" w:hAnsi="Times New Roman"/>
          <w:i/>
          <w:sz w:val="22"/>
        </w:rPr>
        <w:t>ref-text</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ref-text </w:t>
      </w:r>
      <w:r>
        <w:rPr>
          <w:sz w:val="22"/>
        </w:rPr>
        <w:t>is not a cell reference, </w:t>
      </w:r>
      <w:r>
        <w:rPr>
          <w:rFonts w:ascii="Consolas" w:hAnsi="Consolas"/>
          <w:sz w:val="22"/>
        </w:rPr>
        <w:t>#REF!</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76" w:lineRule="auto" w:before="39" w:after="0"/>
        <w:ind w:left="940" w:right="689" w:hanging="360"/>
        <w:jc w:val="left"/>
        <w:rPr>
          <w:sz w:val="22"/>
        </w:rPr>
      </w:pPr>
      <w:r>
        <w:rPr>
          <w:rFonts w:ascii="Times New Roman" w:hAnsi="Times New Roman"/>
          <w:i/>
          <w:sz w:val="22"/>
        </w:rPr>
        <w:t>ref-text </w:t>
      </w:r>
      <w:r>
        <w:rPr>
          <w:sz w:val="22"/>
        </w:rPr>
        <w:t>refers to another workbook yet that other workbook is not currently open, the return value</w:t>
      </w:r>
      <w:r>
        <w:rPr>
          <w:spacing w:val="-26"/>
          <w:sz w:val="22"/>
        </w:rPr>
        <w:t> </w:t>
      </w:r>
      <w:r>
        <w:rPr>
          <w:sz w:val="22"/>
        </w:rPr>
        <w:t>is unspecified.</w:t>
      </w:r>
    </w:p>
    <w:p>
      <w:pPr>
        <w:pStyle w:val="ListParagraph"/>
        <w:numPr>
          <w:ilvl w:val="4"/>
          <w:numId w:val="66"/>
        </w:numPr>
        <w:tabs>
          <w:tab w:pos="940" w:val="left" w:leader="none"/>
          <w:tab w:pos="941" w:val="left" w:leader="none"/>
        </w:tabs>
        <w:spacing w:line="276" w:lineRule="auto" w:before="1" w:after="0"/>
        <w:ind w:left="940" w:right="1239" w:hanging="360"/>
        <w:jc w:val="left"/>
        <w:rPr>
          <w:sz w:val="22"/>
        </w:rPr>
      </w:pPr>
      <w:r>
        <w:rPr>
          <w:rFonts w:ascii="Times New Roman" w:hAnsi="Times New Roman"/>
          <w:i/>
          <w:sz w:val="22"/>
        </w:rPr>
        <w:t>ref-text </w:t>
      </w:r>
      <w:r>
        <w:rPr>
          <w:sz w:val="22"/>
        </w:rPr>
        <w:t>is a name, then the content of the named expression can have implementation-defined constraints.</w:t>
      </w:r>
    </w:p>
    <w:p>
      <w:pPr>
        <w:pStyle w:val="BodyText"/>
        <w:spacing w:before="4"/>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11"/>
        <w:rPr>
          <w:sz w:val="28"/>
        </w:rPr>
      </w:pPr>
    </w:p>
    <w:p>
      <w:pPr>
        <w:pStyle w:val="BodyText"/>
        <w:ind w:left="220"/>
      </w:pPr>
      <w:r>
        <w:rPr/>
        <w:t>Given the following data:</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022"/>
        <w:gridCol w:w="1001"/>
      </w:tblGrid>
      <w:tr>
        <w:trPr>
          <w:trHeight w:val="354" w:hRule="atLeast"/>
        </w:trPr>
        <w:tc>
          <w:tcPr>
            <w:tcW w:w="468" w:type="dxa"/>
            <w:shd w:val="clear" w:color="auto" w:fill="C0C0C0"/>
          </w:tcPr>
          <w:p>
            <w:pPr>
              <w:pStyle w:val="TableParagraph"/>
              <w:spacing w:before="0"/>
              <w:ind w:left="0"/>
              <w:rPr>
                <w:rFonts w:ascii="Times New Roman"/>
                <w:sz w:val="22"/>
              </w:rPr>
            </w:pPr>
          </w:p>
        </w:tc>
        <w:tc>
          <w:tcPr>
            <w:tcW w:w="1022" w:type="dxa"/>
            <w:shd w:val="clear" w:color="auto" w:fill="C0C0C0"/>
          </w:tcPr>
          <w:p>
            <w:pPr>
              <w:pStyle w:val="TableParagraph"/>
              <w:ind w:left="9"/>
              <w:jc w:val="center"/>
              <w:rPr>
                <w:b/>
                <w:sz w:val="22"/>
              </w:rPr>
            </w:pPr>
            <w:r>
              <w:rPr>
                <w:b/>
                <w:w w:val="100"/>
                <w:sz w:val="22"/>
              </w:rPr>
              <w:t>A</w:t>
            </w:r>
          </w:p>
        </w:tc>
        <w:tc>
          <w:tcPr>
            <w:tcW w:w="1001" w:type="dxa"/>
            <w:shd w:val="clear" w:color="auto" w:fill="C0C0C0"/>
          </w:tcPr>
          <w:p>
            <w:pPr>
              <w:pStyle w:val="TableParagraph"/>
              <w:ind w:left="6"/>
              <w:jc w:val="center"/>
              <w:rPr>
                <w:b/>
                <w:sz w:val="22"/>
              </w:rPr>
            </w:pPr>
            <w:r>
              <w:rPr>
                <w:b/>
                <w:w w:val="100"/>
                <w:sz w:val="22"/>
              </w:rPr>
              <w:t>B</w:t>
            </w:r>
          </w:p>
        </w:tc>
      </w:tr>
      <w:tr>
        <w:trPr>
          <w:trHeight w:val="352" w:hRule="atLeast"/>
        </w:trPr>
        <w:tc>
          <w:tcPr>
            <w:tcW w:w="468" w:type="dxa"/>
          </w:tcPr>
          <w:p>
            <w:pPr>
              <w:pStyle w:val="TableParagraph"/>
              <w:rPr>
                <w:sz w:val="22"/>
              </w:rPr>
            </w:pPr>
            <w:r>
              <w:rPr>
                <w:w w:val="100"/>
                <w:sz w:val="22"/>
              </w:rPr>
              <w:t>1</w:t>
            </w:r>
          </w:p>
        </w:tc>
        <w:tc>
          <w:tcPr>
            <w:tcW w:w="1022" w:type="dxa"/>
          </w:tcPr>
          <w:p>
            <w:pPr>
              <w:pStyle w:val="TableParagraph"/>
              <w:ind w:left="114"/>
              <w:rPr>
                <w:sz w:val="22"/>
              </w:rPr>
            </w:pPr>
            <w:r>
              <w:rPr>
                <w:sz w:val="22"/>
              </w:rPr>
              <w:t>Data</w:t>
            </w:r>
          </w:p>
        </w:tc>
        <w:tc>
          <w:tcPr>
            <w:tcW w:w="1001" w:type="dxa"/>
          </w:tcPr>
          <w:p>
            <w:pPr>
              <w:pStyle w:val="TableParagraph"/>
              <w:rPr>
                <w:sz w:val="22"/>
              </w:rPr>
            </w:pPr>
            <w:r>
              <w:rPr>
                <w:sz w:val="22"/>
              </w:rPr>
              <w:t>Data</w:t>
            </w:r>
          </w:p>
        </w:tc>
      </w:tr>
      <w:tr>
        <w:trPr>
          <w:trHeight w:val="354" w:hRule="atLeast"/>
        </w:trPr>
        <w:tc>
          <w:tcPr>
            <w:tcW w:w="468" w:type="dxa"/>
          </w:tcPr>
          <w:p>
            <w:pPr>
              <w:pStyle w:val="TableParagraph"/>
              <w:spacing w:before="42"/>
              <w:rPr>
                <w:sz w:val="22"/>
              </w:rPr>
            </w:pPr>
            <w:r>
              <w:rPr>
                <w:w w:val="100"/>
                <w:sz w:val="22"/>
              </w:rPr>
              <w:t>2</w:t>
            </w:r>
          </w:p>
        </w:tc>
        <w:tc>
          <w:tcPr>
            <w:tcW w:w="1022" w:type="dxa"/>
          </w:tcPr>
          <w:p>
            <w:pPr>
              <w:pStyle w:val="TableParagraph"/>
              <w:spacing w:before="42"/>
              <w:ind w:left="114"/>
              <w:rPr>
                <w:sz w:val="22"/>
              </w:rPr>
            </w:pPr>
            <w:r>
              <w:rPr>
                <w:sz w:val="22"/>
              </w:rPr>
              <w:t>B2</w:t>
            </w:r>
          </w:p>
        </w:tc>
        <w:tc>
          <w:tcPr>
            <w:tcW w:w="1001" w:type="dxa"/>
          </w:tcPr>
          <w:p>
            <w:pPr>
              <w:pStyle w:val="TableParagraph"/>
              <w:spacing w:before="42"/>
              <w:rPr>
                <w:sz w:val="22"/>
              </w:rPr>
            </w:pPr>
            <w:r>
              <w:rPr>
                <w:sz w:val="22"/>
              </w:rPr>
              <w:t>1.333</w:t>
            </w:r>
          </w:p>
        </w:tc>
      </w:tr>
      <w:tr>
        <w:trPr>
          <w:trHeight w:val="354" w:hRule="atLeast"/>
        </w:trPr>
        <w:tc>
          <w:tcPr>
            <w:tcW w:w="468" w:type="dxa"/>
          </w:tcPr>
          <w:p>
            <w:pPr>
              <w:pStyle w:val="TableParagraph"/>
              <w:rPr>
                <w:sz w:val="22"/>
              </w:rPr>
            </w:pPr>
            <w:r>
              <w:rPr>
                <w:w w:val="100"/>
                <w:sz w:val="22"/>
              </w:rPr>
              <w:t>3</w:t>
            </w:r>
          </w:p>
        </w:tc>
        <w:tc>
          <w:tcPr>
            <w:tcW w:w="1022" w:type="dxa"/>
          </w:tcPr>
          <w:p>
            <w:pPr>
              <w:pStyle w:val="TableParagraph"/>
              <w:ind w:left="114"/>
              <w:rPr>
                <w:sz w:val="22"/>
              </w:rPr>
            </w:pPr>
            <w:r>
              <w:rPr>
                <w:sz w:val="22"/>
              </w:rPr>
              <w:t>B3</w:t>
            </w:r>
          </w:p>
        </w:tc>
        <w:tc>
          <w:tcPr>
            <w:tcW w:w="1001" w:type="dxa"/>
          </w:tcPr>
          <w:p>
            <w:pPr>
              <w:pStyle w:val="TableParagraph"/>
              <w:rPr>
                <w:sz w:val="22"/>
              </w:rPr>
            </w:pPr>
            <w:r>
              <w:rPr>
                <w:sz w:val="22"/>
              </w:rPr>
              <w:t>45</w:t>
            </w:r>
          </w:p>
        </w:tc>
      </w:tr>
      <w:tr>
        <w:trPr>
          <w:trHeight w:val="354" w:hRule="atLeast"/>
        </w:trPr>
        <w:tc>
          <w:tcPr>
            <w:tcW w:w="468" w:type="dxa"/>
          </w:tcPr>
          <w:p>
            <w:pPr>
              <w:pStyle w:val="TableParagraph"/>
              <w:rPr>
                <w:sz w:val="22"/>
              </w:rPr>
            </w:pPr>
            <w:r>
              <w:rPr>
                <w:w w:val="100"/>
                <w:sz w:val="22"/>
              </w:rPr>
              <w:t>4</w:t>
            </w:r>
          </w:p>
        </w:tc>
        <w:tc>
          <w:tcPr>
            <w:tcW w:w="1022" w:type="dxa"/>
          </w:tcPr>
          <w:p>
            <w:pPr>
              <w:pStyle w:val="TableParagraph"/>
              <w:ind w:left="114"/>
              <w:rPr>
                <w:sz w:val="22"/>
              </w:rPr>
            </w:pPr>
            <w:r>
              <w:rPr>
                <w:sz w:val="22"/>
              </w:rPr>
              <w:t>George</w:t>
            </w:r>
          </w:p>
        </w:tc>
        <w:tc>
          <w:tcPr>
            <w:tcW w:w="1001" w:type="dxa"/>
          </w:tcPr>
          <w:p>
            <w:pPr>
              <w:pStyle w:val="TableParagraph"/>
              <w:rPr>
                <w:sz w:val="22"/>
              </w:rPr>
            </w:pPr>
            <w:r>
              <w:rPr>
                <w:sz w:val="22"/>
              </w:rPr>
              <w:t>10</w:t>
            </w:r>
          </w:p>
        </w:tc>
      </w:tr>
      <w:tr>
        <w:trPr>
          <w:trHeight w:val="355" w:hRule="atLeast"/>
        </w:trPr>
        <w:tc>
          <w:tcPr>
            <w:tcW w:w="468" w:type="dxa"/>
          </w:tcPr>
          <w:p>
            <w:pPr>
              <w:pStyle w:val="TableParagraph"/>
              <w:rPr>
                <w:sz w:val="22"/>
              </w:rPr>
            </w:pPr>
            <w:r>
              <w:rPr>
                <w:w w:val="100"/>
                <w:sz w:val="22"/>
              </w:rPr>
              <w:t>5</w:t>
            </w:r>
          </w:p>
        </w:tc>
        <w:tc>
          <w:tcPr>
            <w:tcW w:w="1022" w:type="dxa"/>
          </w:tcPr>
          <w:p>
            <w:pPr>
              <w:pStyle w:val="TableParagraph"/>
              <w:ind w:left="114"/>
              <w:rPr>
                <w:sz w:val="22"/>
              </w:rPr>
            </w:pPr>
            <w:r>
              <w:rPr>
                <w:w w:val="100"/>
                <w:sz w:val="22"/>
              </w:rPr>
              <w:t>5</w:t>
            </w:r>
          </w:p>
        </w:tc>
        <w:tc>
          <w:tcPr>
            <w:tcW w:w="1001" w:type="dxa"/>
          </w:tcPr>
          <w:p>
            <w:pPr>
              <w:pStyle w:val="TableParagraph"/>
              <w:rPr>
                <w:sz w:val="22"/>
              </w:rPr>
            </w:pPr>
            <w:r>
              <w:rPr>
                <w:sz w:val="22"/>
              </w:rPr>
              <w:t>62</w:t>
            </w:r>
          </w:p>
        </w:tc>
      </w:tr>
    </w:tbl>
    <w:p>
      <w:pPr>
        <w:pStyle w:val="BodyText"/>
      </w:pPr>
    </w:p>
    <w:p>
      <w:pPr>
        <w:pStyle w:val="BodyText"/>
        <w:spacing w:before="5"/>
        <w:rPr>
          <w:sz w:val="19"/>
        </w:rPr>
      </w:pPr>
    </w:p>
    <w:p>
      <w:pPr>
        <w:pStyle w:val="BodyText"/>
        <w:spacing w:line="278" w:lineRule="auto"/>
        <w:ind w:left="220" w:right="535"/>
      </w:pPr>
      <w:r>
        <w:rPr/>
        <w:t>where A2 contains a reference to B2, A3 contains a reference to B3, A4 contains the defined name George that refers to B4, and A5 contains the row number of B5:</w:t>
      </w:r>
    </w:p>
    <w:p>
      <w:pPr>
        <w:pStyle w:val="BodyText"/>
        <w:spacing w:line="276" w:lineRule="auto" w:before="195"/>
        <w:ind w:left="220" w:right="7120"/>
        <w:rPr>
          <w:rFonts w:ascii="Consolas"/>
        </w:rPr>
      </w:pPr>
      <w:r>
        <w:rPr>
          <w:rFonts w:ascii="Consolas"/>
        </w:rPr>
        <w:t>INDIRECT($A$2) </w:t>
      </w:r>
      <w:r>
        <w:rPr/>
        <w:t>results in </w:t>
      </w:r>
      <w:r>
        <w:rPr>
          <w:rFonts w:ascii="Consolas"/>
        </w:rPr>
        <w:t>1.333 INDIRECT($A$3) </w:t>
      </w:r>
      <w:r>
        <w:rPr/>
        <w:t>results in </w:t>
      </w:r>
      <w:r>
        <w:rPr>
          <w:rFonts w:ascii="Consolas"/>
        </w:rPr>
        <w:t>45 INDIRECT($A$4) </w:t>
      </w:r>
      <w:r>
        <w:rPr/>
        <w:t>results in </w:t>
      </w:r>
      <w:r>
        <w:rPr>
          <w:rFonts w:ascii="Consolas"/>
        </w:rPr>
        <w:t>10 INDIRECT("B"&amp;$A$5)</w:t>
      </w:r>
      <w:r>
        <w:rPr>
          <w:rFonts w:ascii="Consolas"/>
          <w:spacing w:val="-84"/>
        </w:rPr>
        <w:t> </w:t>
      </w:r>
      <w:r>
        <w:rPr/>
        <w:t>results in </w:t>
      </w:r>
      <w:r>
        <w:rPr>
          <w:rFonts w:ascii="Consolas"/>
        </w:rPr>
        <w:t>62</w:t>
      </w:r>
    </w:p>
    <w:p>
      <w:pPr>
        <w:pStyle w:val="BodyText"/>
        <w:spacing w:before="1"/>
        <w:rPr>
          <w:rFonts w:ascii="Consolas"/>
          <w:sz w:val="17"/>
        </w:rPr>
      </w:pPr>
    </w:p>
    <w:p>
      <w:pPr>
        <w:pStyle w:val="BodyText"/>
        <w:ind w:left="220"/>
      </w:pPr>
      <w:r>
        <w:rPr>
          <w:rFonts w:ascii="Consolas"/>
        </w:rPr>
        <w:t>INDIRECT("R[-1]C",FALSE)</w:t>
      </w:r>
      <w:r>
        <w:rPr>
          <w:rFonts w:ascii="Consolas"/>
          <w:spacing w:val="-79"/>
        </w:rPr>
        <w:t> </w:t>
      </w:r>
      <w:r>
        <w:rPr/>
        <w:t>uses the cell in the previous row and current column.</w:t>
      </w:r>
    </w:p>
    <w:p>
      <w:pPr>
        <w:spacing w:before="44"/>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68 INFO" w:id="1896"/>
      <w:bookmarkEnd w:id="1896"/>
      <w:r>
        <w:rPr/>
      </w:r>
      <w:bookmarkStart w:name="_bookmark631" w:id="1897"/>
      <w:bookmarkEnd w:id="1897"/>
      <w:r>
        <w:rPr/>
      </w:r>
      <w:bookmarkStart w:name="_bookmark631" w:id="1898"/>
      <w:bookmarkEnd w:id="1898"/>
      <w:r>
        <w:rPr>
          <w:color w:val="4F81BC"/>
        </w:rPr>
        <w:t>I</w:t>
      </w:r>
      <w:r>
        <w:rPr>
          <w:color w:val="4F81BC"/>
        </w:rPr>
        <w:t>NFO</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INFO ( </w:t>
      </w:r>
      <w:r>
        <w:rPr>
          <w:i/>
          <w:sz w:val="22"/>
        </w:rPr>
        <w:t>category </w:t>
      </w:r>
      <w:r>
        <w:rPr>
          <w:rFonts w:ascii="Lucida Console"/>
          <w:sz w:val="20"/>
        </w:rPr>
        <w:t>)</w:t>
      </w:r>
    </w:p>
    <w:p>
      <w:pPr>
        <w:spacing w:before="109"/>
        <w:ind w:left="220" w:right="0" w:firstLine="0"/>
        <w:jc w:val="left"/>
        <w:rPr>
          <w:sz w:val="22"/>
        </w:rPr>
      </w:pPr>
      <w:r>
        <w:rPr>
          <w:b/>
          <w:sz w:val="22"/>
        </w:rPr>
        <w:t>Description: </w:t>
      </w:r>
      <w:r>
        <w:rPr>
          <w:sz w:val="22"/>
        </w:rPr>
        <w:t>Retrieves the operating environment value that corresponds to </w:t>
      </w:r>
      <w:r>
        <w:rPr>
          <w:rFonts w:ascii="Times New Roman"/>
          <w:i/>
          <w:sz w:val="22"/>
        </w:rPr>
        <w:t>category</w:t>
      </w:r>
      <w:r>
        <w:rPr>
          <w:sz w:val="22"/>
        </w:rPr>
        <w:t>.</w:t>
      </w:r>
    </w:p>
    <w:p>
      <w:pPr>
        <w:spacing w:after="0"/>
        <w:jc w:val="left"/>
        <w:rPr>
          <w:sz w:val="22"/>
        </w:rPr>
        <w:sectPr>
          <w:pgSz w:w="12240" w:h="15840"/>
          <w:pgMar w:header="763" w:footer="746" w:top="1340" w:bottom="940" w:left="860" w:right="700"/>
        </w:sectPr>
      </w:pPr>
    </w:p>
    <w:p>
      <w:pPr>
        <w:pStyle w:val="Heading4"/>
        <w:spacing w:before="9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category</w:t>
            </w:r>
          </w:p>
        </w:tc>
        <w:tc>
          <w:tcPr>
            <w:tcW w:w="1800" w:type="dxa"/>
          </w:tcPr>
          <w:p>
            <w:pPr>
              <w:pStyle w:val="TableParagraph"/>
              <w:ind w:left="112"/>
              <w:rPr>
                <w:sz w:val="22"/>
              </w:rPr>
            </w:pPr>
            <w:r>
              <w:rPr>
                <w:sz w:val="22"/>
              </w:rPr>
              <w:t>text</w:t>
            </w:r>
          </w:p>
        </w:tc>
        <w:tc>
          <w:tcPr>
            <w:tcW w:w="5400" w:type="dxa"/>
          </w:tcPr>
          <w:p>
            <w:pPr>
              <w:pStyle w:val="TableParagraph"/>
              <w:ind w:left="113" w:right="356"/>
              <w:rPr>
                <w:sz w:val="22"/>
              </w:rPr>
            </w:pPr>
            <w:r>
              <w:rPr>
                <w:sz w:val="22"/>
              </w:rPr>
              <w:t>The string designated by </w:t>
            </w:r>
            <w:r>
              <w:rPr>
                <w:rFonts w:ascii="Times New Roman"/>
                <w:i/>
                <w:sz w:val="22"/>
              </w:rPr>
              <w:t>category </w:t>
            </w:r>
            <w:r>
              <w:rPr>
                <w:sz w:val="22"/>
              </w:rPr>
              <w:t>is not case-sensitive. The permitted strings are shown in the table below.</w:t>
            </w:r>
          </w:p>
        </w:tc>
      </w:tr>
    </w:tbl>
    <w:p>
      <w:pPr>
        <w:pStyle w:val="BodyText"/>
        <w:rPr>
          <w:b/>
          <w:sz w:val="20"/>
        </w:rPr>
      </w:pPr>
    </w:p>
    <w:p>
      <w:pPr>
        <w:pStyle w:val="BodyText"/>
        <w:spacing w:before="8"/>
        <w:rPr>
          <w:b/>
          <w:sz w:val="21"/>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0"/>
        <w:gridCol w:w="6002"/>
        <w:gridCol w:w="1599"/>
      </w:tblGrid>
      <w:tr>
        <w:trPr>
          <w:trHeight w:val="354" w:hRule="atLeast"/>
        </w:trPr>
        <w:tc>
          <w:tcPr>
            <w:tcW w:w="1690" w:type="dxa"/>
            <w:shd w:val="clear" w:color="auto" w:fill="C0C0C0"/>
          </w:tcPr>
          <w:p>
            <w:pPr>
              <w:pStyle w:val="TableParagraph"/>
              <w:spacing w:before="41"/>
              <w:ind w:left="458"/>
              <w:rPr>
                <w:rFonts w:ascii="Times New Roman"/>
                <w:b/>
                <w:i/>
                <w:sz w:val="22"/>
              </w:rPr>
            </w:pPr>
            <w:r>
              <w:rPr>
                <w:rFonts w:ascii="Times New Roman"/>
                <w:b/>
                <w:i/>
                <w:sz w:val="22"/>
              </w:rPr>
              <w:t>category</w:t>
            </w:r>
          </w:p>
        </w:tc>
        <w:tc>
          <w:tcPr>
            <w:tcW w:w="6002" w:type="dxa"/>
            <w:shd w:val="clear" w:color="auto" w:fill="C0C0C0"/>
          </w:tcPr>
          <w:p>
            <w:pPr>
              <w:pStyle w:val="TableParagraph"/>
              <w:ind w:left="2575" w:right="2569"/>
              <w:jc w:val="center"/>
              <w:rPr>
                <w:b/>
                <w:sz w:val="22"/>
              </w:rPr>
            </w:pPr>
            <w:r>
              <w:rPr>
                <w:b/>
                <w:sz w:val="22"/>
              </w:rPr>
              <w:t>Meaning</w:t>
            </w:r>
          </w:p>
        </w:tc>
        <w:tc>
          <w:tcPr>
            <w:tcW w:w="1599" w:type="dxa"/>
            <w:shd w:val="clear" w:color="auto" w:fill="C0C0C0"/>
          </w:tcPr>
          <w:p>
            <w:pPr>
              <w:pStyle w:val="TableParagraph"/>
              <w:ind w:left="265"/>
              <w:rPr>
                <w:b/>
                <w:sz w:val="22"/>
              </w:rPr>
            </w:pPr>
            <w:r>
              <w:rPr>
                <w:b/>
                <w:sz w:val="22"/>
              </w:rPr>
              <w:t>Result Type</w:t>
            </w:r>
          </w:p>
        </w:tc>
      </w:tr>
      <w:tr>
        <w:trPr>
          <w:trHeight w:val="354" w:hRule="atLeast"/>
        </w:trPr>
        <w:tc>
          <w:tcPr>
            <w:tcW w:w="1690" w:type="dxa"/>
          </w:tcPr>
          <w:p>
            <w:pPr>
              <w:pStyle w:val="TableParagraph"/>
              <w:spacing w:before="42"/>
              <w:rPr>
                <w:rFonts w:ascii="Consolas"/>
                <w:sz w:val="22"/>
              </w:rPr>
            </w:pPr>
            <w:r>
              <w:rPr>
                <w:rFonts w:ascii="Consolas"/>
                <w:sz w:val="22"/>
              </w:rPr>
              <w:t>"directory"</w:t>
            </w:r>
          </w:p>
        </w:tc>
        <w:tc>
          <w:tcPr>
            <w:tcW w:w="6002" w:type="dxa"/>
          </w:tcPr>
          <w:p>
            <w:pPr>
              <w:pStyle w:val="TableParagraph"/>
              <w:ind w:left="114"/>
              <w:rPr>
                <w:sz w:val="22"/>
              </w:rPr>
            </w:pPr>
            <w:r>
              <w:rPr>
                <w:sz w:val="22"/>
              </w:rPr>
              <w:t>Path of the current directory or folder.</w:t>
            </w:r>
          </w:p>
        </w:tc>
        <w:tc>
          <w:tcPr>
            <w:tcW w:w="1599" w:type="dxa"/>
          </w:tcPr>
          <w:p>
            <w:pPr>
              <w:pStyle w:val="TableParagraph"/>
              <w:ind w:left="114"/>
              <w:rPr>
                <w:sz w:val="22"/>
              </w:rPr>
            </w:pPr>
            <w:r>
              <w:rPr>
                <w:sz w:val="22"/>
              </w:rPr>
              <w:t>text</w:t>
            </w:r>
          </w:p>
        </w:tc>
      </w:tr>
      <w:tr>
        <w:trPr>
          <w:trHeight w:val="354" w:hRule="atLeast"/>
        </w:trPr>
        <w:tc>
          <w:tcPr>
            <w:tcW w:w="1690" w:type="dxa"/>
          </w:tcPr>
          <w:p>
            <w:pPr>
              <w:pStyle w:val="TableParagraph"/>
              <w:spacing w:before="42"/>
              <w:rPr>
                <w:rFonts w:ascii="Consolas"/>
                <w:sz w:val="22"/>
              </w:rPr>
            </w:pPr>
            <w:r>
              <w:rPr>
                <w:rFonts w:ascii="Consolas"/>
                <w:sz w:val="22"/>
              </w:rPr>
              <w:t>"memavail"</w:t>
            </w:r>
          </w:p>
        </w:tc>
        <w:tc>
          <w:tcPr>
            <w:tcW w:w="6002" w:type="dxa"/>
          </w:tcPr>
          <w:p>
            <w:pPr>
              <w:pStyle w:val="TableParagraph"/>
              <w:ind w:left="114"/>
              <w:rPr>
                <w:sz w:val="22"/>
              </w:rPr>
            </w:pPr>
            <w:r>
              <w:rPr>
                <w:sz w:val="22"/>
              </w:rPr>
              <w:t>Amount of memory available, in bytes.</w:t>
            </w:r>
          </w:p>
        </w:tc>
        <w:tc>
          <w:tcPr>
            <w:tcW w:w="1599" w:type="dxa"/>
          </w:tcPr>
          <w:p>
            <w:pPr>
              <w:pStyle w:val="TableParagraph"/>
              <w:ind w:left="114"/>
              <w:rPr>
                <w:sz w:val="22"/>
              </w:rPr>
            </w:pPr>
            <w:r>
              <w:rPr>
                <w:sz w:val="22"/>
              </w:rPr>
              <w:t>number</w:t>
            </w:r>
          </w:p>
        </w:tc>
      </w:tr>
      <w:tr>
        <w:trPr>
          <w:trHeight w:val="352" w:hRule="atLeast"/>
        </w:trPr>
        <w:tc>
          <w:tcPr>
            <w:tcW w:w="1690" w:type="dxa"/>
          </w:tcPr>
          <w:p>
            <w:pPr>
              <w:pStyle w:val="TableParagraph"/>
              <w:spacing w:before="42"/>
              <w:rPr>
                <w:rFonts w:ascii="Consolas"/>
                <w:sz w:val="22"/>
              </w:rPr>
            </w:pPr>
            <w:r>
              <w:rPr>
                <w:rFonts w:ascii="Consolas"/>
                <w:sz w:val="22"/>
              </w:rPr>
              <w:t>"memused"</w:t>
            </w:r>
          </w:p>
        </w:tc>
        <w:tc>
          <w:tcPr>
            <w:tcW w:w="6002" w:type="dxa"/>
          </w:tcPr>
          <w:p>
            <w:pPr>
              <w:pStyle w:val="TableParagraph"/>
              <w:ind w:left="114"/>
              <w:rPr>
                <w:sz w:val="22"/>
              </w:rPr>
            </w:pPr>
            <w:r>
              <w:rPr>
                <w:sz w:val="22"/>
              </w:rPr>
              <w:t>Amount of memory being used for data.</w:t>
            </w:r>
          </w:p>
        </w:tc>
        <w:tc>
          <w:tcPr>
            <w:tcW w:w="1599" w:type="dxa"/>
          </w:tcPr>
          <w:p>
            <w:pPr>
              <w:pStyle w:val="TableParagraph"/>
              <w:ind w:left="114"/>
              <w:rPr>
                <w:sz w:val="22"/>
              </w:rPr>
            </w:pPr>
            <w:r>
              <w:rPr>
                <w:sz w:val="22"/>
              </w:rPr>
              <w:t>number</w:t>
            </w:r>
          </w:p>
        </w:tc>
      </w:tr>
      <w:tr>
        <w:trPr>
          <w:trHeight w:val="355" w:hRule="atLeast"/>
        </w:trPr>
        <w:tc>
          <w:tcPr>
            <w:tcW w:w="1690" w:type="dxa"/>
          </w:tcPr>
          <w:p>
            <w:pPr>
              <w:pStyle w:val="TableParagraph"/>
              <w:spacing w:before="44"/>
              <w:rPr>
                <w:rFonts w:ascii="Consolas"/>
                <w:sz w:val="22"/>
              </w:rPr>
            </w:pPr>
            <w:r>
              <w:rPr>
                <w:rFonts w:ascii="Consolas"/>
                <w:sz w:val="22"/>
              </w:rPr>
              <w:t>"numfile"</w:t>
            </w:r>
          </w:p>
        </w:tc>
        <w:tc>
          <w:tcPr>
            <w:tcW w:w="6002" w:type="dxa"/>
          </w:tcPr>
          <w:p>
            <w:pPr>
              <w:pStyle w:val="TableParagraph"/>
              <w:spacing w:before="42"/>
              <w:ind w:left="114"/>
              <w:rPr>
                <w:sz w:val="22"/>
              </w:rPr>
            </w:pPr>
            <w:r>
              <w:rPr>
                <w:sz w:val="22"/>
              </w:rPr>
              <w:t>Number of active worksheets in the open workbooks.</w:t>
            </w:r>
          </w:p>
        </w:tc>
        <w:tc>
          <w:tcPr>
            <w:tcW w:w="1599" w:type="dxa"/>
          </w:tcPr>
          <w:p>
            <w:pPr>
              <w:pStyle w:val="TableParagraph"/>
              <w:spacing w:before="42"/>
              <w:ind w:left="114"/>
              <w:rPr>
                <w:sz w:val="22"/>
              </w:rPr>
            </w:pPr>
            <w:r>
              <w:rPr>
                <w:sz w:val="22"/>
              </w:rPr>
              <w:t>number</w:t>
            </w:r>
          </w:p>
        </w:tc>
      </w:tr>
      <w:tr>
        <w:trPr>
          <w:trHeight w:val="1161" w:hRule="atLeast"/>
        </w:trPr>
        <w:tc>
          <w:tcPr>
            <w:tcW w:w="1690" w:type="dxa"/>
          </w:tcPr>
          <w:p>
            <w:pPr>
              <w:pStyle w:val="TableParagraph"/>
              <w:spacing w:before="42"/>
              <w:rPr>
                <w:rFonts w:ascii="Consolas"/>
                <w:sz w:val="22"/>
              </w:rPr>
            </w:pPr>
            <w:r>
              <w:rPr>
                <w:rFonts w:ascii="Consolas"/>
                <w:sz w:val="22"/>
              </w:rPr>
              <w:t>"origin"</w:t>
            </w:r>
          </w:p>
        </w:tc>
        <w:tc>
          <w:tcPr>
            <w:tcW w:w="6002" w:type="dxa"/>
          </w:tcPr>
          <w:p>
            <w:pPr>
              <w:pStyle w:val="TableParagraph"/>
              <w:ind w:left="114" w:right="128"/>
              <w:rPr>
                <w:sz w:val="22"/>
              </w:rPr>
            </w:pPr>
            <w:r>
              <w:rPr>
                <w:sz w:val="22"/>
              </w:rPr>
              <w:t>The absolute cell reference of the top and leftmost cell visible in the window, based on the current scrolling position, prefixed with </w:t>
            </w:r>
            <w:r>
              <w:rPr>
                <w:rFonts w:ascii="Consolas"/>
                <w:sz w:val="22"/>
              </w:rPr>
              <w:t>"$A:"</w:t>
            </w:r>
            <w:r>
              <w:rPr>
                <w:sz w:val="22"/>
              </w:rPr>
              <w:t>. [</w:t>
            </w:r>
            <w:r>
              <w:rPr>
                <w:i/>
                <w:sz w:val="22"/>
              </w:rPr>
              <w:t>Example</w:t>
            </w:r>
            <w:r>
              <w:rPr>
                <w:sz w:val="22"/>
              </w:rPr>
              <w:t>: Using cell D9 as an example, the return value would be $A:$D$9. </w:t>
            </w:r>
            <w:r>
              <w:rPr>
                <w:i/>
                <w:sz w:val="22"/>
              </w:rPr>
              <w:t>end example</w:t>
            </w:r>
            <w:r>
              <w:rPr>
                <w:sz w:val="22"/>
              </w:rPr>
              <w:t>]</w:t>
            </w:r>
          </w:p>
        </w:tc>
        <w:tc>
          <w:tcPr>
            <w:tcW w:w="1599" w:type="dxa"/>
          </w:tcPr>
          <w:p>
            <w:pPr>
              <w:pStyle w:val="TableParagraph"/>
              <w:ind w:left="114"/>
              <w:rPr>
                <w:sz w:val="22"/>
              </w:rPr>
            </w:pPr>
            <w:r>
              <w:rPr>
                <w:sz w:val="22"/>
              </w:rPr>
              <w:t>text</w:t>
            </w:r>
          </w:p>
        </w:tc>
      </w:tr>
      <w:tr>
        <w:trPr>
          <w:trHeight w:val="354" w:hRule="atLeast"/>
        </w:trPr>
        <w:tc>
          <w:tcPr>
            <w:tcW w:w="1690" w:type="dxa"/>
          </w:tcPr>
          <w:p>
            <w:pPr>
              <w:pStyle w:val="TableParagraph"/>
              <w:spacing w:before="42"/>
              <w:rPr>
                <w:rFonts w:ascii="Consolas"/>
                <w:sz w:val="22"/>
              </w:rPr>
            </w:pPr>
            <w:r>
              <w:rPr>
                <w:rFonts w:ascii="Consolas"/>
                <w:sz w:val="22"/>
              </w:rPr>
              <w:t>"osversion"</w:t>
            </w:r>
          </w:p>
        </w:tc>
        <w:tc>
          <w:tcPr>
            <w:tcW w:w="6002" w:type="dxa"/>
          </w:tcPr>
          <w:p>
            <w:pPr>
              <w:pStyle w:val="TableParagraph"/>
              <w:ind w:left="114"/>
              <w:rPr>
                <w:sz w:val="22"/>
              </w:rPr>
            </w:pPr>
            <w:r>
              <w:rPr>
                <w:sz w:val="22"/>
              </w:rPr>
              <w:t>Current operating system version.</w:t>
            </w:r>
          </w:p>
        </w:tc>
        <w:tc>
          <w:tcPr>
            <w:tcW w:w="1599" w:type="dxa"/>
          </w:tcPr>
          <w:p>
            <w:pPr>
              <w:pStyle w:val="TableParagraph"/>
              <w:ind w:left="114"/>
              <w:rPr>
                <w:sz w:val="22"/>
              </w:rPr>
            </w:pPr>
            <w:r>
              <w:rPr>
                <w:sz w:val="22"/>
              </w:rPr>
              <w:t>text</w:t>
            </w:r>
          </w:p>
        </w:tc>
      </w:tr>
      <w:tr>
        <w:trPr>
          <w:trHeight w:val="354" w:hRule="atLeast"/>
        </w:trPr>
        <w:tc>
          <w:tcPr>
            <w:tcW w:w="1690" w:type="dxa"/>
          </w:tcPr>
          <w:p>
            <w:pPr>
              <w:pStyle w:val="TableParagraph"/>
              <w:spacing w:before="42"/>
              <w:rPr>
                <w:rFonts w:ascii="Consolas"/>
                <w:sz w:val="22"/>
              </w:rPr>
            </w:pPr>
            <w:r>
              <w:rPr>
                <w:rFonts w:ascii="Consolas"/>
                <w:sz w:val="22"/>
              </w:rPr>
              <w:t>"recalc"</w:t>
            </w:r>
          </w:p>
        </w:tc>
        <w:tc>
          <w:tcPr>
            <w:tcW w:w="6002" w:type="dxa"/>
          </w:tcPr>
          <w:p>
            <w:pPr>
              <w:pStyle w:val="TableParagraph"/>
              <w:ind w:left="114"/>
              <w:rPr>
                <w:rFonts w:ascii="Consolas"/>
                <w:sz w:val="22"/>
              </w:rPr>
            </w:pPr>
            <w:r>
              <w:rPr>
                <w:sz w:val="22"/>
              </w:rPr>
              <w:t>Current recalculation mode: </w:t>
            </w:r>
            <w:r>
              <w:rPr>
                <w:rFonts w:ascii="Consolas"/>
                <w:sz w:val="22"/>
              </w:rPr>
              <w:t>"Automatic"</w:t>
            </w:r>
            <w:r>
              <w:rPr>
                <w:rFonts w:ascii="Consolas"/>
                <w:spacing w:val="-77"/>
                <w:sz w:val="22"/>
              </w:rPr>
              <w:t> </w:t>
            </w:r>
            <w:r>
              <w:rPr>
                <w:sz w:val="22"/>
              </w:rPr>
              <w:t>or </w:t>
            </w:r>
            <w:r>
              <w:rPr>
                <w:rFonts w:ascii="Consolas"/>
                <w:sz w:val="22"/>
              </w:rPr>
              <w:t>"Manual"</w:t>
            </w:r>
          </w:p>
        </w:tc>
        <w:tc>
          <w:tcPr>
            <w:tcW w:w="1599" w:type="dxa"/>
          </w:tcPr>
          <w:p>
            <w:pPr>
              <w:pStyle w:val="TableParagraph"/>
              <w:ind w:left="114"/>
              <w:rPr>
                <w:sz w:val="22"/>
              </w:rPr>
            </w:pPr>
            <w:r>
              <w:rPr>
                <w:sz w:val="22"/>
              </w:rPr>
              <w:t>text</w:t>
            </w:r>
          </w:p>
        </w:tc>
      </w:tr>
      <w:tr>
        <w:trPr>
          <w:trHeight w:val="354" w:hRule="atLeast"/>
        </w:trPr>
        <w:tc>
          <w:tcPr>
            <w:tcW w:w="1690" w:type="dxa"/>
          </w:tcPr>
          <w:p>
            <w:pPr>
              <w:pStyle w:val="TableParagraph"/>
              <w:spacing w:before="42"/>
              <w:rPr>
                <w:rFonts w:ascii="Consolas"/>
                <w:sz w:val="22"/>
              </w:rPr>
            </w:pPr>
            <w:r>
              <w:rPr>
                <w:rFonts w:ascii="Consolas"/>
                <w:sz w:val="22"/>
              </w:rPr>
              <w:t>"release"</w:t>
            </w:r>
          </w:p>
        </w:tc>
        <w:tc>
          <w:tcPr>
            <w:tcW w:w="6002" w:type="dxa"/>
          </w:tcPr>
          <w:p>
            <w:pPr>
              <w:pStyle w:val="TableParagraph"/>
              <w:ind w:left="114"/>
              <w:rPr>
                <w:sz w:val="22"/>
              </w:rPr>
            </w:pPr>
            <w:r>
              <w:rPr>
                <w:sz w:val="22"/>
              </w:rPr>
              <w:t>Version of the implementation.</w:t>
            </w:r>
          </w:p>
        </w:tc>
        <w:tc>
          <w:tcPr>
            <w:tcW w:w="1599" w:type="dxa"/>
          </w:tcPr>
          <w:p>
            <w:pPr>
              <w:pStyle w:val="TableParagraph"/>
              <w:ind w:left="114"/>
              <w:rPr>
                <w:sz w:val="22"/>
              </w:rPr>
            </w:pPr>
            <w:r>
              <w:rPr>
                <w:sz w:val="22"/>
              </w:rPr>
              <w:t>text</w:t>
            </w:r>
          </w:p>
        </w:tc>
      </w:tr>
      <w:tr>
        <w:trPr>
          <w:trHeight w:val="354" w:hRule="atLeast"/>
        </w:trPr>
        <w:tc>
          <w:tcPr>
            <w:tcW w:w="1690" w:type="dxa"/>
          </w:tcPr>
          <w:p>
            <w:pPr>
              <w:pStyle w:val="TableParagraph"/>
              <w:spacing w:before="42"/>
              <w:rPr>
                <w:rFonts w:ascii="Consolas"/>
                <w:sz w:val="22"/>
              </w:rPr>
            </w:pPr>
            <w:r>
              <w:rPr>
                <w:rFonts w:ascii="Consolas"/>
                <w:sz w:val="22"/>
              </w:rPr>
              <w:t>"system"</w:t>
            </w:r>
          </w:p>
        </w:tc>
        <w:tc>
          <w:tcPr>
            <w:tcW w:w="6002" w:type="dxa"/>
          </w:tcPr>
          <w:p>
            <w:pPr>
              <w:pStyle w:val="TableParagraph"/>
              <w:ind w:left="114"/>
              <w:rPr>
                <w:sz w:val="22"/>
              </w:rPr>
            </w:pPr>
            <w:r>
              <w:rPr>
                <w:sz w:val="22"/>
              </w:rPr>
              <w:t>Name of the operating environment.</w:t>
            </w:r>
          </w:p>
        </w:tc>
        <w:tc>
          <w:tcPr>
            <w:tcW w:w="1599" w:type="dxa"/>
          </w:tcPr>
          <w:p>
            <w:pPr>
              <w:pStyle w:val="TableParagraph"/>
              <w:ind w:left="114"/>
              <w:rPr>
                <w:sz w:val="22"/>
              </w:rPr>
            </w:pPr>
            <w:r>
              <w:rPr>
                <w:sz w:val="22"/>
              </w:rPr>
              <w:t>text</w:t>
            </w:r>
          </w:p>
        </w:tc>
      </w:tr>
      <w:tr>
        <w:trPr>
          <w:trHeight w:val="623" w:hRule="atLeast"/>
        </w:trPr>
        <w:tc>
          <w:tcPr>
            <w:tcW w:w="1690" w:type="dxa"/>
          </w:tcPr>
          <w:p>
            <w:pPr>
              <w:pStyle w:val="TableParagraph"/>
              <w:spacing w:before="42"/>
              <w:rPr>
                <w:rFonts w:ascii="Consolas"/>
                <w:sz w:val="22"/>
              </w:rPr>
            </w:pPr>
            <w:r>
              <w:rPr>
                <w:rFonts w:ascii="Consolas"/>
                <w:sz w:val="22"/>
              </w:rPr>
              <w:t>"totmem"</w:t>
            </w:r>
          </w:p>
        </w:tc>
        <w:tc>
          <w:tcPr>
            <w:tcW w:w="6002" w:type="dxa"/>
          </w:tcPr>
          <w:p>
            <w:pPr>
              <w:pStyle w:val="TableParagraph"/>
              <w:ind w:left="114" w:right="482"/>
              <w:rPr>
                <w:sz w:val="22"/>
              </w:rPr>
            </w:pPr>
            <w:r>
              <w:rPr>
                <w:sz w:val="22"/>
              </w:rPr>
              <w:t>Total memory available, including memory already in use, in bytes.</w:t>
            </w:r>
          </w:p>
        </w:tc>
        <w:tc>
          <w:tcPr>
            <w:tcW w:w="1599" w:type="dxa"/>
          </w:tcPr>
          <w:p>
            <w:pPr>
              <w:pStyle w:val="TableParagraph"/>
              <w:ind w:left="114"/>
              <w:rPr>
                <w:sz w:val="22"/>
              </w:rPr>
            </w:pPr>
            <w:r>
              <w:rPr>
                <w:sz w:val="22"/>
              </w:rPr>
              <w:t>number</w:t>
            </w:r>
          </w:p>
        </w:tc>
      </w:tr>
    </w:tbl>
    <w:p>
      <w:pPr>
        <w:pStyle w:val="BodyText"/>
        <w:rPr>
          <w:b/>
        </w:rPr>
      </w:pPr>
    </w:p>
    <w:p>
      <w:pPr>
        <w:pStyle w:val="BodyText"/>
        <w:spacing w:before="8"/>
        <w:rPr>
          <w:b/>
          <w:sz w:val="19"/>
        </w:rPr>
      </w:pPr>
    </w:p>
    <w:p>
      <w:pPr>
        <w:spacing w:line="453" w:lineRule="auto" w:before="0"/>
        <w:ind w:left="220" w:right="2010" w:firstLine="0"/>
        <w:jc w:val="left"/>
        <w:rPr>
          <w:sz w:val="22"/>
        </w:rPr>
      </w:pPr>
      <w:r>
        <w:rPr>
          <w:b/>
          <w:sz w:val="22"/>
        </w:rPr>
        <w:t>Return Type and Value: </w:t>
      </w:r>
      <w:r>
        <w:rPr>
          <w:sz w:val="22"/>
        </w:rPr>
        <w:t>text – The operating environment value that corresponds to </w:t>
      </w:r>
      <w:r>
        <w:rPr>
          <w:rFonts w:ascii="Times New Roman" w:hAnsi="Times New Roman"/>
          <w:i/>
          <w:sz w:val="22"/>
        </w:rPr>
        <w:t>category</w:t>
      </w:r>
      <w:r>
        <w:rPr>
          <w:sz w:val="22"/>
        </w:rPr>
        <w:t>. However, if </w:t>
      </w:r>
      <w:r>
        <w:rPr>
          <w:rFonts w:ascii="Times New Roman" w:hAnsi="Times New Roman"/>
          <w:i/>
          <w:sz w:val="22"/>
        </w:rPr>
        <w:t>category </w:t>
      </w:r>
      <w:r>
        <w:rPr>
          <w:sz w:val="22"/>
        </w:rPr>
        <w:t>is not one of the values defined above, </w:t>
      </w:r>
      <w:r>
        <w:rPr>
          <w:rFonts w:ascii="Consolas" w:hAnsi="Consolas"/>
          <w:sz w:val="22"/>
        </w:rPr>
        <w:t>#VALUE!</w:t>
      </w:r>
      <w:r>
        <w:rPr>
          <w:rFonts w:ascii="Consolas" w:hAnsi="Consolas"/>
          <w:spacing w:val="-88"/>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ind w:left="220"/>
        <w:rPr>
          <w:rFonts w:ascii="Consolas"/>
        </w:rPr>
      </w:pPr>
      <w:r>
        <w:rPr>
          <w:rFonts w:ascii="Consolas"/>
        </w:rPr>
        <w:t>INFO("directory") </w:t>
      </w:r>
      <w:r>
        <w:rPr/>
        <w:t>might result in </w:t>
      </w:r>
      <w:r>
        <w:rPr>
          <w:rFonts w:ascii="Consolas"/>
        </w:rPr>
        <w:t>e:\My</w:t>
      </w:r>
      <w:r>
        <w:rPr>
          <w:rFonts w:ascii="Consolas"/>
          <w:spacing w:val="-75"/>
        </w:rPr>
        <w:t> </w:t>
      </w:r>
      <w:r>
        <w:rPr>
          <w:rFonts w:ascii="Consolas"/>
        </w:rPr>
        <w:t>Documents\</w:t>
      </w:r>
    </w:p>
    <w:p>
      <w:pPr>
        <w:pStyle w:val="BodyText"/>
        <w:spacing w:line="276" w:lineRule="auto" w:before="41"/>
        <w:ind w:left="220" w:right="1305"/>
        <w:rPr>
          <w:rFonts w:ascii="Consolas"/>
        </w:rPr>
      </w:pPr>
      <w:r>
        <w:rPr>
          <w:rFonts w:ascii="Consolas"/>
        </w:rPr>
        <w:t>INFO(A10)</w:t>
      </w:r>
      <w:r>
        <w:rPr>
          <w:rFonts w:ascii="Consolas"/>
          <w:spacing w:val="-96"/>
        </w:rPr>
        <w:t> </w:t>
      </w:r>
      <w:r>
        <w:rPr/>
        <w:t>might result in </w:t>
      </w:r>
      <w:r>
        <w:rPr>
          <w:rFonts w:ascii="Consolas"/>
        </w:rPr>
        <w:t>e:\My Documents\</w:t>
      </w:r>
      <w:r>
        <w:rPr/>
        <w:t>, where A10 contains </w:t>
      </w:r>
      <w:r>
        <w:rPr>
          <w:rFonts w:ascii="Consolas"/>
        </w:rPr>
        <w:t>directory INFO("memavail")</w:t>
      </w:r>
      <w:r>
        <w:rPr>
          <w:rFonts w:ascii="Consolas"/>
          <w:spacing w:val="-72"/>
        </w:rPr>
        <w:t> </w:t>
      </w:r>
      <w:r>
        <w:rPr/>
        <w:t>might result in </w:t>
      </w:r>
      <w:r>
        <w:rPr>
          <w:rFonts w:ascii="Consolas"/>
        </w:rPr>
        <w:t>1048576</w:t>
      </w:r>
    </w:p>
    <w:p>
      <w:pPr>
        <w:pStyle w:val="BodyText"/>
        <w:spacing w:before="11"/>
        <w:rPr>
          <w:rFonts w:ascii="Consolas"/>
          <w:sz w:val="16"/>
        </w:rPr>
      </w:pPr>
    </w:p>
    <w:p>
      <w:pPr>
        <w:pStyle w:val="BodyText"/>
        <w:spacing w:line="278" w:lineRule="auto"/>
        <w:ind w:left="220" w:right="5764"/>
        <w:rPr>
          <w:rFonts w:ascii="Consolas"/>
        </w:rPr>
      </w:pPr>
      <w:r>
        <w:rPr>
          <w:rFonts w:ascii="Consolas"/>
        </w:rPr>
        <w:t>INFO("memused") </w:t>
      </w:r>
      <w:r>
        <w:rPr/>
        <w:t>might result in </w:t>
      </w:r>
      <w:r>
        <w:rPr>
          <w:rFonts w:ascii="Consolas"/>
        </w:rPr>
        <w:t>1474464 INFO("numfile") </w:t>
      </w:r>
      <w:r>
        <w:rPr/>
        <w:t>might result in </w:t>
      </w:r>
      <w:r>
        <w:rPr>
          <w:rFonts w:ascii="Consolas"/>
        </w:rPr>
        <w:t>5 INFO("origin")</w:t>
      </w:r>
      <w:r>
        <w:rPr>
          <w:rFonts w:ascii="Consolas"/>
          <w:spacing w:val="-88"/>
        </w:rPr>
        <w:t> </w:t>
      </w:r>
      <w:r>
        <w:rPr/>
        <w:t>might result in </w:t>
      </w:r>
      <w:r>
        <w:rPr>
          <w:rFonts w:ascii="Consolas"/>
        </w:rPr>
        <w:t>$A:$C$536</w:t>
      </w:r>
    </w:p>
    <w:p>
      <w:pPr>
        <w:pStyle w:val="BodyText"/>
        <w:spacing w:line="273" w:lineRule="auto" w:before="194"/>
        <w:ind w:left="220" w:right="3786"/>
        <w:rPr>
          <w:rFonts w:ascii="Consolas"/>
        </w:rPr>
      </w:pPr>
      <w:r>
        <w:rPr>
          <w:rFonts w:ascii="Consolas"/>
        </w:rPr>
        <w:t>INFO("osversion")</w:t>
      </w:r>
      <w:r>
        <w:rPr>
          <w:rFonts w:ascii="Consolas"/>
          <w:spacing w:val="-95"/>
        </w:rPr>
        <w:t> </w:t>
      </w:r>
      <w:r>
        <w:rPr/>
        <w:t>might result in </w:t>
      </w:r>
      <w:r>
        <w:rPr>
          <w:rFonts w:ascii="Consolas"/>
        </w:rPr>
        <w:t>Windows (32-bit) NT 5.01 INFO("recalc")</w:t>
      </w:r>
      <w:r>
        <w:rPr>
          <w:rFonts w:ascii="Consolas"/>
          <w:spacing w:val="-77"/>
        </w:rPr>
        <w:t> </w:t>
      </w:r>
      <w:r>
        <w:rPr/>
        <w:t>might result in </w:t>
      </w:r>
      <w:r>
        <w:rPr>
          <w:rFonts w:ascii="Consolas"/>
        </w:rPr>
        <w:t>Automatic</w:t>
      </w:r>
    </w:p>
    <w:p>
      <w:pPr>
        <w:pStyle w:val="BodyText"/>
        <w:spacing w:before="7"/>
        <w:ind w:left="220"/>
        <w:rPr>
          <w:rFonts w:ascii="Consolas"/>
        </w:rPr>
      </w:pPr>
      <w:r>
        <w:rPr>
          <w:rFonts w:ascii="Consolas"/>
        </w:rPr>
        <w:t>INFO("release")</w:t>
      </w:r>
      <w:r>
        <w:rPr>
          <w:rFonts w:ascii="Consolas"/>
          <w:spacing w:val="-75"/>
        </w:rPr>
        <w:t> </w:t>
      </w:r>
      <w:r>
        <w:rPr/>
        <w:t>might result in </w:t>
      </w:r>
      <w:r>
        <w:rPr>
          <w:rFonts w:ascii="Consolas"/>
        </w:rPr>
        <w:t>11.0</w:t>
      </w:r>
    </w:p>
    <w:p>
      <w:pPr>
        <w:spacing w:after="0"/>
        <w:rPr>
          <w:rFonts w:ascii="Consolas"/>
        </w:rPr>
        <w:sectPr>
          <w:footerReference w:type="even" r:id="rId245"/>
          <w:footerReference w:type="default" r:id="rId246"/>
          <w:pgSz w:w="12240" w:h="15840"/>
          <w:pgMar w:footer="746" w:header="761" w:top="1340" w:bottom="940" w:left="860" w:right="700"/>
          <w:pgNumType w:start="2250"/>
        </w:sectPr>
      </w:pPr>
    </w:p>
    <w:p>
      <w:pPr>
        <w:pStyle w:val="BodyText"/>
        <w:spacing w:line="276" w:lineRule="auto" w:before="148"/>
        <w:ind w:left="220" w:right="6518"/>
        <w:rPr>
          <w:rFonts w:ascii="Consolas"/>
        </w:rPr>
      </w:pPr>
      <w:r>
        <w:rPr>
          <w:rFonts w:ascii="Consolas"/>
        </w:rPr>
        <w:t>INFO("system") </w:t>
      </w:r>
      <w:r>
        <w:rPr/>
        <w:t>might result in </w:t>
      </w:r>
      <w:r>
        <w:rPr>
          <w:rFonts w:ascii="Consolas"/>
        </w:rPr>
        <w:t>pcdos INFO("totmem")</w:t>
      </w:r>
      <w:r>
        <w:rPr>
          <w:rFonts w:ascii="Consolas"/>
          <w:spacing w:val="-86"/>
        </w:rPr>
        <w:t> </w:t>
      </w:r>
      <w:r>
        <w:rPr/>
        <w:t>might result in </w:t>
      </w:r>
      <w:r>
        <w:rPr>
          <w:rFonts w:ascii="Consolas"/>
        </w:rPr>
        <w:t>2523040</w:t>
      </w:r>
    </w:p>
    <w:p>
      <w:pPr>
        <w:pStyle w:val="BodyText"/>
        <w:spacing w:before="6"/>
        <w:rPr>
          <w:rFonts w:ascii="Consolas"/>
          <w:sz w:val="25"/>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69 INT" w:id="1899"/>
      <w:bookmarkEnd w:id="1899"/>
      <w:r>
        <w:rPr/>
      </w:r>
      <w:bookmarkStart w:name="_bookmark632" w:id="1900"/>
      <w:bookmarkEnd w:id="1900"/>
      <w:r>
        <w:rPr/>
      </w:r>
      <w:bookmarkStart w:name="_bookmark632" w:id="1901"/>
      <w:bookmarkEnd w:id="1901"/>
      <w:r>
        <w:rPr>
          <w:color w:val="4F81BC"/>
        </w:rPr>
        <w:t>I</w:t>
      </w:r>
      <w:r>
        <w:rPr>
          <w:color w:val="4F81BC"/>
        </w:rPr>
        <w:t>NT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INT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w:t>
      </w:r>
      <w:r>
        <w:rPr>
          <w:rFonts w:ascii="Times New Roman"/>
          <w:i/>
          <w:sz w:val="22"/>
        </w:rPr>
        <w:t>x </w:t>
      </w:r>
      <w:r>
        <w:rPr>
          <w:sz w:val="22"/>
        </w:rPr>
        <w:t>rounded down to an integer.</w:t>
      </w:r>
    </w:p>
    <w:p>
      <w:pPr>
        <w:pStyle w:val="BodyText"/>
        <w:spacing w:before="8"/>
        <w:rPr>
          <w:sz w:val="19"/>
        </w:rPr>
      </w:pPr>
    </w:p>
    <w:p>
      <w:pPr>
        <w:pStyle w:val="Heading4"/>
      </w:pPr>
      <w:r>
        <w:rPr/>
        <w:t>Arguments:</w:t>
      </w:r>
    </w:p>
    <w:p>
      <w:pPr>
        <w:pStyle w:val="BodyText"/>
        <w:spacing w:before="9" w:after="1"/>
        <w:rPr>
          <w:b/>
          <w:sz w:val="19"/>
        </w:rPr>
      </w:pPr>
    </w:p>
    <w:tbl>
      <w:tblPr>
        <w:tblW w:w="0" w:type="auto"/>
        <w:jc w:val="left"/>
        <w:tblInd w:w="8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tcBorders>
              <w:left w:val="single" w:sz="4" w:space="0" w:color="000000"/>
              <w:bottom w:val="single" w:sz="4" w:space="0" w:color="000000"/>
              <w:right w:val="single" w:sz="4" w:space="0" w:color="000000"/>
            </w:tcBorders>
            <w:shd w:val="clear" w:color="auto" w:fill="C0C0C0"/>
          </w:tcPr>
          <w:p>
            <w:pPr>
              <w:pStyle w:val="TableParagraph"/>
              <w:spacing w:before="37"/>
              <w:ind w:left="460"/>
              <w:rPr>
                <w:b/>
                <w:sz w:val="22"/>
              </w:rPr>
            </w:pPr>
            <w:r>
              <w:rPr>
                <w:b/>
                <w:sz w:val="22"/>
              </w:rPr>
              <w:t>Name</w:t>
            </w:r>
          </w:p>
        </w:tc>
        <w:tc>
          <w:tcPr>
            <w:tcW w:w="1800" w:type="dxa"/>
            <w:tcBorders>
              <w:left w:val="single" w:sz="4" w:space="0" w:color="000000"/>
              <w:bottom w:val="single" w:sz="4" w:space="0" w:color="000000"/>
              <w:right w:val="single" w:sz="4" w:space="0" w:color="000000"/>
            </w:tcBorders>
            <w:shd w:val="clear" w:color="auto" w:fill="C0C0C0"/>
          </w:tcPr>
          <w:p>
            <w:pPr>
              <w:pStyle w:val="TableParagraph"/>
              <w:spacing w:before="37"/>
              <w:ind w:left="94" w:right="86"/>
              <w:jc w:val="center"/>
              <w:rPr>
                <w:b/>
                <w:sz w:val="22"/>
              </w:rPr>
            </w:pPr>
            <w:r>
              <w:rPr>
                <w:b/>
                <w:sz w:val="22"/>
              </w:rPr>
              <w:t>Type</w:t>
            </w:r>
          </w:p>
        </w:tc>
        <w:tc>
          <w:tcPr>
            <w:tcW w:w="5400" w:type="dxa"/>
            <w:tcBorders>
              <w:left w:val="single" w:sz="4" w:space="0" w:color="000000"/>
              <w:bottom w:val="single" w:sz="4" w:space="0" w:color="000000"/>
              <w:right w:val="single" w:sz="4" w:space="0" w:color="000000"/>
            </w:tcBorders>
            <w:shd w:val="clear" w:color="auto" w:fill="C0C0C0"/>
          </w:tcPr>
          <w:p>
            <w:pPr>
              <w:pStyle w:val="TableParagraph"/>
              <w:spacing w:before="37"/>
              <w:ind w:left="93" w:right="86"/>
              <w:jc w:val="center"/>
              <w:rPr>
                <w:b/>
                <w:sz w:val="22"/>
              </w:rPr>
            </w:pPr>
            <w:r>
              <w:rPr>
                <w:b/>
                <w:sz w:val="22"/>
              </w:rPr>
              <w:t>Description</w:t>
            </w:r>
          </w:p>
        </w:tc>
      </w:tr>
      <w:tr>
        <w:trPr>
          <w:trHeight w:val="354" w:hRule="atLeast"/>
        </w:trPr>
        <w:tc>
          <w:tcPr>
            <w:tcW w:w="1466" w:type="dxa"/>
            <w:tcBorders>
              <w:top w:val="single" w:sz="4" w:space="0" w:color="000000"/>
              <w:left w:val="single" w:sz="4" w:space="0" w:color="000000"/>
              <w:bottom w:val="single" w:sz="4" w:space="0" w:color="000000"/>
              <w:right w:val="single" w:sz="4" w:space="0" w:color="000000"/>
            </w:tcBorders>
          </w:tcPr>
          <w:p>
            <w:pPr>
              <w:pStyle w:val="TableParagraph"/>
              <w:spacing w:before="37"/>
              <w:rPr>
                <w:rFonts w:ascii="Times New Roman"/>
                <w:i/>
                <w:sz w:val="22"/>
              </w:rPr>
            </w:pPr>
            <w:r>
              <w:rPr>
                <w:rFonts w:ascii="Times New Roman"/>
                <w:i/>
                <w:w w:val="100"/>
                <w:sz w:val="22"/>
              </w:rPr>
              <w:t>x</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ind w:left="112"/>
              <w:rPr>
                <w:sz w:val="22"/>
              </w:rPr>
            </w:pPr>
            <w:r>
              <w:rPr>
                <w:sz w:val="22"/>
              </w:rPr>
              <w:t>number</w:t>
            </w:r>
          </w:p>
        </w:tc>
        <w:tc>
          <w:tcPr>
            <w:tcW w:w="5400" w:type="dxa"/>
            <w:tcBorders>
              <w:top w:val="single" w:sz="4" w:space="0" w:color="000000"/>
              <w:left w:val="single" w:sz="4" w:space="0" w:color="000000"/>
              <w:bottom w:val="single" w:sz="4" w:space="0" w:color="000000"/>
              <w:right w:val="single" w:sz="4" w:space="0" w:color="000000"/>
            </w:tcBorders>
          </w:tcPr>
          <w:p>
            <w:pPr>
              <w:pStyle w:val="TableParagraph"/>
              <w:ind w:left="113"/>
              <w:rPr>
                <w:sz w:val="22"/>
              </w:rPr>
            </w:pPr>
            <w:r>
              <w:rPr>
                <w:sz w:val="22"/>
              </w:rPr>
              <w:t>The value to be rounded down.</w:t>
            </w:r>
          </w:p>
        </w:tc>
      </w:tr>
    </w:tbl>
    <w:p>
      <w:pPr>
        <w:pStyle w:val="BodyText"/>
        <w:rPr>
          <w:b/>
        </w:rPr>
      </w:pPr>
    </w:p>
    <w:p>
      <w:pPr>
        <w:pStyle w:val="BodyText"/>
        <w:spacing w:before="7"/>
        <w:rPr>
          <w:b/>
          <w:sz w:val="19"/>
        </w:rPr>
      </w:pPr>
    </w:p>
    <w:p>
      <w:pPr>
        <w:spacing w:line="453" w:lineRule="auto" w:before="0"/>
        <w:ind w:left="220" w:right="4645" w:firstLine="0"/>
        <w:jc w:val="left"/>
        <w:rPr>
          <w:sz w:val="22"/>
        </w:rPr>
      </w:pPr>
      <w:r>
        <w:rPr>
          <w:b/>
          <w:sz w:val="22"/>
        </w:rPr>
        <w:t>Return Type and Value: </w:t>
      </w:r>
      <w:r>
        <w:rPr>
          <w:sz w:val="22"/>
        </w:rPr>
        <w:t>number – The rounded-down value of </w:t>
      </w:r>
      <w:r>
        <w:rPr>
          <w:rFonts w:ascii="Times New Roman" w:hAnsi="Times New Roman"/>
          <w:i/>
          <w:sz w:val="22"/>
        </w:rPr>
        <w:t>x</w:t>
      </w:r>
      <w:r>
        <w:rPr>
          <w:sz w:val="22"/>
        </w:rPr>
        <w:t>. [</w:t>
      </w:r>
      <w:r>
        <w:rPr>
          <w:i/>
          <w:sz w:val="22"/>
        </w:rPr>
        <w:t>Example</w:t>
      </w:r>
      <w:r>
        <w:rPr>
          <w:sz w:val="22"/>
        </w:rPr>
        <w:t>:</w:t>
      </w:r>
    </w:p>
    <w:p>
      <w:pPr>
        <w:pStyle w:val="BodyText"/>
        <w:spacing w:line="276" w:lineRule="auto" w:before="108"/>
        <w:ind w:left="220" w:right="8212"/>
        <w:rPr>
          <w:rFonts w:ascii="Consolas"/>
        </w:rPr>
      </w:pPr>
      <w:r>
        <w:rPr>
          <w:rFonts w:ascii="Consolas"/>
        </w:rPr>
        <w:t>INT(8.9) </w:t>
      </w:r>
      <w:r>
        <w:rPr/>
        <w:t>results in </w:t>
      </w:r>
      <w:r>
        <w:rPr>
          <w:rFonts w:ascii="Consolas"/>
        </w:rPr>
        <w:t>8 INT(-8.9)</w:t>
      </w:r>
      <w:r>
        <w:rPr>
          <w:rFonts w:ascii="Consolas"/>
          <w:spacing w:val="-78"/>
        </w:rPr>
        <w:t> </w:t>
      </w:r>
      <w:r>
        <w:rPr/>
        <w:t>results in </w:t>
      </w:r>
      <w:r>
        <w:rPr>
          <w:rFonts w:ascii="Consolas"/>
        </w:rPr>
        <w:t>-9</w:t>
      </w:r>
    </w:p>
    <w:p>
      <w:pPr>
        <w:pStyle w:val="BodyText"/>
        <w:spacing w:before="7"/>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0 INTERCEPT" w:id="1902"/>
      <w:bookmarkEnd w:id="1902"/>
      <w:r>
        <w:rPr/>
      </w:r>
      <w:bookmarkStart w:name="_bookmark633" w:id="1903"/>
      <w:bookmarkEnd w:id="1903"/>
      <w:r>
        <w:rPr/>
      </w:r>
      <w:bookmarkStart w:name="_bookmark633" w:id="1904"/>
      <w:bookmarkEnd w:id="1904"/>
      <w:r>
        <w:rPr>
          <w:color w:val="4F81BC"/>
        </w:rPr>
        <w:t>I</w:t>
      </w:r>
      <w:r>
        <w:rPr>
          <w:color w:val="4F81BC"/>
        </w:rPr>
        <w:t>NTERCEPT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INTERCEPT ( </w:t>
      </w:r>
      <w:r>
        <w:rPr>
          <w:i/>
          <w:sz w:val="22"/>
        </w:rPr>
        <w:t>known-ys </w:t>
      </w:r>
      <w:r>
        <w:rPr>
          <w:rFonts w:ascii="Lucida Console"/>
          <w:sz w:val="20"/>
        </w:rPr>
        <w:t>, </w:t>
      </w:r>
      <w:r>
        <w:rPr>
          <w:i/>
          <w:sz w:val="22"/>
        </w:rPr>
        <w:t>known-xs </w:t>
      </w:r>
      <w:r>
        <w:rPr>
          <w:rFonts w:ascii="Lucida Console"/>
          <w:sz w:val="20"/>
        </w:rPr>
        <w:t>)</w:t>
      </w:r>
    </w:p>
    <w:p>
      <w:pPr>
        <w:pStyle w:val="BodyText"/>
        <w:spacing w:line="276" w:lineRule="auto" w:before="109"/>
        <w:ind w:left="220" w:right="430"/>
      </w:pPr>
      <w:r>
        <w:rPr>
          <w:b/>
        </w:rPr>
        <w:t>Description: </w:t>
      </w:r>
      <w:r>
        <w:rPr/>
        <w:t>Computes the point at which a line intersects the y-axis by using existing x-values and y-values. The intercept point is based on a best-fit regression line plotted through the known x-values and known y-values.</w:t>
      </w:r>
    </w:p>
    <w:p>
      <w:pPr>
        <w:pStyle w:val="BodyText"/>
        <w:spacing w:before="5"/>
        <w:rPr>
          <w:sz w:val="16"/>
        </w:rPr>
      </w:pPr>
    </w:p>
    <w:p>
      <w:pPr>
        <w:pStyle w:val="Heading4"/>
        <w:rPr>
          <w:b w:val="0"/>
        </w:rPr>
      </w:pPr>
      <w:r>
        <w:rPr/>
        <w:t>Mathematical Formula</w:t>
      </w:r>
      <w:r>
        <w:rPr>
          <w:b w:val="0"/>
        </w:rPr>
        <w:t>:</w:t>
      </w:r>
    </w:p>
    <w:p>
      <w:pPr>
        <w:pStyle w:val="BodyText"/>
        <w:spacing w:before="8"/>
        <w:rPr>
          <w:sz w:val="19"/>
        </w:rPr>
      </w:pPr>
    </w:p>
    <w:p>
      <w:pPr>
        <w:pStyle w:val="BodyText"/>
        <w:ind w:left="220"/>
      </w:pPr>
      <w:r>
        <w:rPr/>
        <w:t>The equation for the intercept of the regression line, a, is:</w:t>
      </w:r>
    </w:p>
    <w:p>
      <w:pPr>
        <w:pStyle w:val="BodyText"/>
        <w:spacing w:before="10"/>
        <w:rPr>
          <w:sz w:val="19"/>
        </w:rPr>
      </w:pPr>
    </w:p>
    <w:p>
      <w:pPr>
        <w:pStyle w:val="BodyText"/>
        <w:ind w:left="220"/>
        <w:rPr>
          <w:rFonts w:ascii="Cambria Math" w:hAnsi="Cambria Math" w:eastAsia="Cambria Math"/>
        </w:rPr>
      </w:pPr>
      <w:r>
        <w:rPr>
          <w:rFonts w:ascii="Cambria Math" w:hAnsi="Cambria Math" w:eastAsia="Cambria Math"/>
        </w:rPr>
        <w:t>𝑎 = </w:t>
      </w:r>
      <w:r>
        <w:rPr>
          <w:rFonts w:ascii="Cambria Math" w:hAnsi="Cambria Math" w:eastAsia="Cambria Math"/>
          <w:spacing w:val="-49"/>
        </w:rPr>
        <w:t>𝑦̅</w:t>
      </w:r>
      <w:r>
        <w:rPr>
          <w:rFonts w:ascii="Cambria Math" w:hAnsi="Cambria Math" w:eastAsia="Cambria Math"/>
          <w:spacing w:val="4"/>
        </w:rPr>
        <w:t> </w:t>
      </w:r>
      <w:r>
        <w:rPr>
          <w:rFonts w:ascii="Cambria Math" w:hAnsi="Cambria Math" w:eastAsia="Cambria Math"/>
        </w:rPr>
        <w:t>− 𝑏𝑥̅</w:t>
      </w:r>
    </w:p>
    <w:p>
      <w:pPr>
        <w:pStyle w:val="BodyText"/>
        <w:spacing w:before="4"/>
        <w:rPr>
          <w:rFonts w:ascii="Cambria Math"/>
          <w:sz w:val="20"/>
        </w:rPr>
      </w:pPr>
    </w:p>
    <w:p>
      <w:pPr>
        <w:pStyle w:val="BodyText"/>
        <w:ind w:left="220"/>
      </w:pPr>
      <w:r>
        <w:rPr/>
        <w:t>where the slope, b, is calculated as:</w:t>
      </w:r>
    </w:p>
    <w:p>
      <w:pPr>
        <w:pStyle w:val="BodyText"/>
        <w:spacing w:before="9"/>
        <w:rPr>
          <w:sz w:val="12"/>
        </w:rPr>
      </w:pPr>
    </w:p>
    <w:p>
      <w:pPr>
        <w:spacing w:after="0"/>
        <w:rPr>
          <w:sz w:val="12"/>
        </w:rPr>
        <w:sectPr>
          <w:pgSz w:w="12240" w:h="15840"/>
          <w:pgMar w:header="763" w:footer="746" w:top="1340" w:bottom="940" w:left="860" w:right="700"/>
        </w:sectPr>
      </w:pPr>
    </w:p>
    <w:p>
      <w:pPr>
        <w:pStyle w:val="BodyText"/>
        <w:spacing w:before="6"/>
        <w:rPr>
          <w:sz w:val="19"/>
        </w:rPr>
      </w:pPr>
    </w:p>
    <w:p>
      <w:pPr>
        <w:pStyle w:val="BodyText"/>
        <w:spacing w:before="1"/>
        <w:ind w:left="220"/>
        <w:rPr>
          <w:rFonts w:ascii="Cambria Math" w:eastAsia="Cambria Math"/>
        </w:rPr>
      </w:pPr>
      <w:r>
        <w:rPr>
          <w:rFonts w:ascii="Cambria Math" w:eastAsia="Cambria Math"/>
        </w:rPr>
        <w:t>𝑏 =</w:t>
      </w:r>
    </w:p>
    <w:p>
      <w:pPr>
        <w:pStyle w:val="BodyText"/>
        <w:spacing w:before="61"/>
        <w:ind w:left="101" w:right="8482"/>
        <w:jc w:val="center"/>
        <w:rPr>
          <w:rFonts w:ascii="Cambria Math" w:hAnsi="Cambria Math" w:eastAsia="Cambria Math"/>
        </w:rPr>
      </w:pPr>
      <w:r>
        <w:rPr/>
        <w:br w:type="column"/>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w w:val="100"/>
          <w:position w:val="1"/>
        </w:rPr>
        <w:t>)</w:t>
      </w:r>
    </w:p>
    <w:p>
      <w:pPr>
        <w:pStyle w:val="BodyText"/>
        <w:spacing w:before="1"/>
        <w:rPr>
          <w:rFonts w:ascii="Cambria Math"/>
          <w:sz w:val="4"/>
        </w:rPr>
      </w:pPr>
    </w:p>
    <w:p>
      <w:pPr>
        <w:pStyle w:val="BodyText"/>
        <w:spacing w:line="20" w:lineRule="exact"/>
        <w:ind w:left="61"/>
        <w:rPr>
          <w:rFonts w:ascii="Cambria Math"/>
          <w:sz w:val="2"/>
        </w:rPr>
      </w:pPr>
      <w:r>
        <w:rPr>
          <w:rFonts w:ascii="Cambria Math"/>
          <w:sz w:val="2"/>
        </w:rPr>
        <w:pict>
          <v:group style="width:77.3pt;height:.75pt;mso-position-horizontal-relative:char;mso-position-vertical-relative:line" coordorigin="0,0" coordsize="1546,15">
            <v:line style="position:absolute" from="0,7" to="1546,7" stroked="true" strokeweight=".71997pt" strokecolor="#000000">
              <v:stroke dashstyle="solid"/>
            </v:line>
          </v:group>
        </w:pict>
      </w:r>
      <w:r>
        <w:rPr>
          <w:rFonts w:ascii="Cambria Math"/>
          <w:sz w:val="2"/>
        </w:rPr>
      </w:r>
    </w:p>
    <w:p>
      <w:pPr>
        <w:pStyle w:val="BodyText"/>
        <w:ind w:left="90" w:right="8482"/>
        <w:jc w:val="center"/>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7"/>
          <w:sz w:val="16"/>
        </w:rPr>
        <w:t>2</w:t>
      </w:r>
    </w:p>
    <w:p>
      <w:pPr>
        <w:spacing w:after="0"/>
        <w:jc w:val="center"/>
        <w:rPr>
          <w:rFonts w:ascii="Cambria Math" w:hAnsi="Cambria Math" w:eastAsia="Cambria Math"/>
          <w:sz w:val="16"/>
        </w:rPr>
        <w:sectPr>
          <w:type w:val="continuous"/>
          <w:pgSz w:w="12240" w:h="15840"/>
          <w:pgMar w:top="1340" w:bottom="940" w:left="860" w:right="700"/>
          <w:cols w:num="2" w:equalWidth="0">
            <w:col w:w="570" w:space="40"/>
            <w:col w:w="10070"/>
          </w:cols>
        </w:sectPr>
      </w:pPr>
    </w:p>
    <w:p>
      <w:pPr>
        <w:pStyle w:val="BodyText"/>
        <w:spacing w:before="8"/>
        <w:rPr>
          <w:rFonts w:ascii="Cambria Math"/>
          <w:sz w:val="14"/>
        </w:rPr>
      </w:pPr>
    </w:p>
    <w:p>
      <w:pPr>
        <w:pStyle w:val="BodyText"/>
        <w:spacing w:before="56"/>
        <w:ind w:left="220"/>
      </w:pPr>
      <w:r>
        <w:rPr/>
        <w:t>where:</w:t>
      </w:r>
    </w:p>
    <w:p>
      <w:pPr>
        <w:spacing w:after="0"/>
        <w:sectPr>
          <w:type w:val="continuous"/>
          <w:pgSz w:w="12240" w:h="15840"/>
          <w:pgMar w:top="1340" w:bottom="940" w:left="860" w:right="700"/>
        </w:sectPr>
      </w:pPr>
    </w:p>
    <w:p>
      <w:pPr>
        <w:pStyle w:val="ListParagraph"/>
        <w:numPr>
          <w:ilvl w:val="4"/>
          <w:numId w:val="66"/>
        </w:numPr>
        <w:tabs>
          <w:tab w:pos="940" w:val="left" w:leader="none"/>
          <w:tab w:pos="941" w:val="left" w:leader="none"/>
        </w:tabs>
        <w:spacing w:line="240" w:lineRule="auto" w:before="91"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1"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known-xs</w:t>
      </w:r>
      <w:r>
        <w:rPr>
          <w:rFonts w:ascii="Consolas" w:hAnsi="Consolas"/>
          <w:sz w:val="22"/>
        </w:rPr>
        <w: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y </w:t>
      </w:r>
      <w:r>
        <w:rPr>
          <w:sz w:val="22"/>
        </w:rPr>
        <w:t>= a sample</w:t>
      </w:r>
      <w:r>
        <w:rPr>
          <w:spacing w:val="-2"/>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known-ys</w:t>
      </w:r>
      <w:r>
        <w:rPr>
          <w:rFonts w:ascii="Consolas" w:hAnsi="Consolas"/>
          <w:sz w:val="22"/>
        </w:rPr>
        <w:t>)</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61" w:hRule="atLeast"/>
        </w:trPr>
        <w:tc>
          <w:tcPr>
            <w:tcW w:w="1466" w:type="dxa"/>
          </w:tcPr>
          <w:p>
            <w:pPr>
              <w:pStyle w:val="TableParagraph"/>
              <w:spacing w:before="39"/>
              <w:rPr>
                <w:rFonts w:ascii="Times New Roman"/>
                <w:i/>
                <w:sz w:val="22"/>
              </w:rPr>
            </w:pPr>
            <w:r>
              <w:rPr>
                <w:rFonts w:ascii="Times New Roman"/>
                <w:i/>
                <w:sz w:val="22"/>
              </w:rPr>
              <w:t>known-ys</w:t>
            </w:r>
          </w:p>
        </w:tc>
        <w:tc>
          <w:tcPr>
            <w:tcW w:w="1800" w:type="dxa"/>
          </w:tcPr>
          <w:p>
            <w:pPr>
              <w:pStyle w:val="TableParagraph"/>
              <w:spacing w:before="42"/>
              <w:ind w:left="112" w:right="238"/>
              <w:jc w:val="both"/>
              <w:rPr>
                <w:sz w:val="22"/>
              </w:rPr>
            </w:pPr>
            <w:r>
              <w:rPr>
                <w:sz w:val="22"/>
              </w:rPr>
              <w:t>number, name, array, reference to number</w:t>
            </w:r>
          </w:p>
        </w:tc>
        <w:tc>
          <w:tcPr>
            <w:tcW w:w="5400" w:type="dxa"/>
          </w:tcPr>
          <w:p>
            <w:pPr>
              <w:pStyle w:val="TableParagraph"/>
              <w:spacing w:before="42"/>
              <w:ind w:left="113" w:right="115"/>
              <w:rPr>
                <w:sz w:val="22"/>
              </w:rPr>
            </w:pPr>
            <w:r>
              <w:rPr>
                <w:sz w:val="22"/>
              </w:rPr>
              <w:t>The dependent set of observations or data. If an array or reference argument contains text, logical values, or empty cells, those values are ignored; however, cells with the value 0 are included.</w:t>
            </w:r>
          </w:p>
        </w:tc>
      </w:tr>
      <w:tr>
        <w:trPr>
          <w:trHeight w:val="1161" w:hRule="atLeast"/>
        </w:trPr>
        <w:tc>
          <w:tcPr>
            <w:tcW w:w="1466" w:type="dxa"/>
          </w:tcPr>
          <w:p>
            <w:pPr>
              <w:pStyle w:val="TableParagraph"/>
              <w:spacing w:before="37"/>
              <w:rPr>
                <w:rFonts w:ascii="Times New Roman"/>
                <w:i/>
                <w:sz w:val="22"/>
              </w:rPr>
            </w:pPr>
            <w:r>
              <w:rPr>
                <w:rFonts w:ascii="Times New Roman"/>
                <w:i/>
                <w:sz w:val="22"/>
              </w:rPr>
              <w:t>known-xs</w:t>
            </w:r>
          </w:p>
        </w:tc>
        <w:tc>
          <w:tcPr>
            <w:tcW w:w="1800" w:type="dxa"/>
          </w:tcPr>
          <w:p>
            <w:pPr>
              <w:pStyle w:val="TableParagraph"/>
              <w:ind w:left="112" w:right="238"/>
              <w:jc w:val="both"/>
              <w:rPr>
                <w:sz w:val="22"/>
              </w:rPr>
            </w:pPr>
            <w:r>
              <w:rPr>
                <w:sz w:val="22"/>
              </w:rPr>
              <w:t>number, name, array, reference to number</w:t>
            </w:r>
          </w:p>
        </w:tc>
        <w:tc>
          <w:tcPr>
            <w:tcW w:w="5400" w:type="dxa"/>
          </w:tcPr>
          <w:p>
            <w:pPr>
              <w:pStyle w:val="TableParagraph"/>
              <w:ind w:left="113" w:right="110"/>
              <w:rPr>
                <w:sz w:val="22"/>
              </w:rPr>
            </w:pPr>
            <w:r>
              <w:rPr>
                <w:sz w:val="22"/>
              </w:rPr>
              <w:t>The independent set of observations or data. If an array or reference argument contains text, logical values, or empty cells, those values are ignored; however, cells with the value 0 are included.</w:t>
            </w:r>
          </w:p>
        </w:tc>
      </w:tr>
    </w:tbl>
    <w:p>
      <w:pPr>
        <w:pStyle w:val="BodyText"/>
        <w:rPr>
          <w:b/>
        </w:rPr>
      </w:pPr>
    </w:p>
    <w:p>
      <w:pPr>
        <w:pStyle w:val="BodyText"/>
        <w:spacing w:before="5"/>
        <w:rPr>
          <w:b/>
          <w:sz w:val="19"/>
        </w:rPr>
      </w:pPr>
    </w:p>
    <w:p>
      <w:pPr>
        <w:pStyle w:val="BodyText"/>
        <w:spacing w:line="278" w:lineRule="auto"/>
        <w:ind w:left="220" w:right="406"/>
      </w:pPr>
      <w:r>
        <w:rPr>
          <w:b/>
        </w:rPr>
        <w:t>Return Type and Value: </w:t>
      </w:r>
      <w:r>
        <w:rPr/>
        <w:t>number – The point at which a line intersects the y-axis by using existing x-values and y- values.</w:t>
      </w:r>
    </w:p>
    <w:p>
      <w:pPr>
        <w:pStyle w:val="BodyText"/>
        <w:spacing w:before="198"/>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known-ys </w:t>
      </w:r>
      <w:r>
        <w:rPr>
          <w:sz w:val="22"/>
        </w:rPr>
        <w:t>and </w:t>
      </w:r>
      <w:r>
        <w:rPr>
          <w:rFonts w:ascii="Times New Roman" w:hAnsi="Times New Roman"/>
          <w:i/>
          <w:sz w:val="22"/>
        </w:rPr>
        <w:t>known-xs </w:t>
      </w:r>
      <w:r>
        <w:rPr>
          <w:sz w:val="22"/>
        </w:rPr>
        <w:t>contain a different number of data points, the return value is</w:t>
      </w:r>
      <w:r>
        <w:rPr>
          <w:spacing w:val="-30"/>
          <w:sz w:val="22"/>
        </w:rPr>
        <w:t> </w:t>
      </w:r>
      <w:r>
        <w:rPr>
          <w:sz w:val="22"/>
        </w:rPr>
        <w:t>unspecified.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known-ys </w:t>
      </w:r>
      <w:r>
        <w:rPr>
          <w:sz w:val="22"/>
        </w:rPr>
        <w:t>or </w:t>
      </w:r>
      <w:r>
        <w:rPr>
          <w:rFonts w:ascii="Times New Roman" w:hAnsi="Times New Roman"/>
          <w:i/>
          <w:sz w:val="22"/>
        </w:rPr>
        <w:t>known-xs </w:t>
      </w:r>
      <w:r>
        <w:rPr>
          <w:sz w:val="22"/>
        </w:rPr>
        <w:t>contain no data points, the return value is</w:t>
      </w:r>
      <w:r>
        <w:rPr>
          <w:spacing w:val="-24"/>
          <w:sz w:val="22"/>
        </w:rPr>
        <w:t> </w:t>
      </w:r>
      <w:r>
        <w:rPr>
          <w:sz w:val="22"/>
        </w:rPr>
        <w:t>unspecified.</w:t>
      </w:r>
    </w:p>
    <w:p>
      <w:pPr>
        <w:pStyle w:val="ListParagraph"/>
        <w:numPr>
          <w:ilvl w:val="4"/>
          <w:numId w:val="66"/>
        </w:numPr>
        <w:tabs>
          <w:tab w:pos="940" w:val="left" w:leader="none"/>
          <w:tab w:pos="941" w:val="left" w:leader="none"/>
        </w:tabs>
        <w:spacing w:line="446" w:lineRule="auto" w:before="42" w:after="0"/>
        <w:ind w:left="220" w:right="4599" w:firstLine="360"/>
        <w:jc w:val="left"/>
        <w:rPr>
          <w:sz w:val="22"/>
        </w:rPr>
      </w:pPr>
      <w:r>
        <w:rPr>
          <w:sz w:val="22"/>
        </w:rPr>
        <w:t>the line does not intersect the y-axis, #DIV/0! Is returned. [</w:t>
      </w:r>
      <w:r>
        <w:rPr>
          <w:i/>
          <w:sz w:val="22"/>
        </w:rPr>
        <w:t>Example</w:t>
      </w:r>
      <w:r>
        <w:rPr>
          <w:sz w:val="22"/>
        </w:rPr>
        <w:t>:</w:t>
      </w:r>
    </w:p>
    <w:p>
      <w:pPr>
        <w:pStyle w:val="BodyText"/>
        <w:spacing w:before="125"/>
        <w:ind w:left="220"/>
        <w:rPr>
          <w:rFonts w:ascii="Consolas"/>
        </w:rPr>
      </w:pPr>
      <w:r>
        <w:rPr>
          <w:rFonts w:ascii="Consolas"/>
        </w:rPr>
        <w:t>INTERCEPT({2,3,9,1,8},{6,5,11,7,5})</w:t>
      </w:r>
      <w:r>
        <w:rPr>
          <w:rFonts w:ascii="Consolas"/>
          <w:spacing w:val="-66"/>
        </w:rPr>
        <w:t> </w:t>
      </w:r>
      <w:r>
        <w:rPr/>
        <w:t>results in </w:t>
      </w:r>
      <w:r>
        <w:rPr>
          <w:rFonts w:ascii="Consolas"/>
        </w:rPr>
        <w:t>0.048387097</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1 INTRATE" w:id="1905"/>
      <w:bookmarkEnd w:id="1905"/>
      <w:r>
        <w:rPr/>
      </w:r>
      <w:bookmarkStart w:name="_bookmark634" w:id="1906"/>
      <w:bookmarkEnd w:id="1906"/>
      <w:r>
        <w:rPr/>
      </w:r>
      <w:bookmarkStart w:name="_bookmark634" w:id="1907"/>
      <w:bookmarkEnd w:id="1907"/>
      <w:r>
        <w:rPr>
          <w:color w:val="4F81BC"/>
        </w:rPr>
        <w:t>I</w:t>
      </w:r>
      <w:r>
        <w:rPr>
          <w:color w:val="4F81BC"/>
        </w:rPr>
        <w:t>NTRATE</w:t>
      </w:r>
    </w:p>
    <w:p>
      <w:pPr>
        <w:pStyle w:val="Heading4"/>
        <w:spacing w:before="122"/>
      </w:pPr>
      <w:r>
        <w:rPr/>
        <w:t>Syntax:</w:t>
      </w:r>
    </w:p>
    <w:p>
      <w:pPr>
        <w:pStyle w:val="BodyText"/>
        <w:rPr>
          <w:b/>
          <w:sz w:val="19"/>
        </w:rPr>
      </w:pPr>
    </w:p>
    <w:p>
      <w:pPr>
        <w:spacing w:before="1"/>
        <w:ind w:left="940" w:right="0" w:firstLine="0"/>
        <w:jc w:val="left"/>
        <w:rPr>
          <w:rFonts w:ascii="Lucida Console"/>
          <w:sz w:val="20"/>
        </w:rPr>
      </w:pPr>
      <w:r>
        <w:rPr>
          <w:rFonts w:ascii="Lucida Console"/>
          <w:sz w:val="20"/>
        </w:rPr>
        <w:t>INTRATE ( </w:t>
      </w:r>
      <w:r>
        <w:rPr>
          <w:i/>
          <w:sz w:val="22"/>
        </w:rPr>
        <w:t>settlement </w:t>
      </w:r>
      <w:r>
        <w:rPr>
          <w:rFonts w:ascii="Lucida Console"/>
          <w:sz w:val="20"/>
        </w:rPr>
        <w:t>, </w:t>
      </w:r>
      <w:r>
        <w:rPr>
          <w:i/>
          <w:sz w:val="22"/>
        </w:rPr>
        <w:t>maturity </w:t>
      </w:r>
      <w:r>
        <w:rPr>
          <w:rFonts w:ascii="Lucida Console"/>
          <w:sz w:val="20"/>
        </w:rPr>
        <w:t>, </w:t>
      </w:r>
      <w:r>
        <w:rPr>
          <w:i/>
          <w:sz w:val="22"/>
        </w:rPr>
        <w:t>investment , redemption  </w:t>
      </w:r>
      <w:r>
        <w:rPr>
          <w:sz w:val="22"/>
        </w:rPr>
        <w:t>[ </w:t>
      </w:r>
      <w:r>
        <w:rPr>
          <w:rFonts w:ascii="Lucida Console"/>
          <w:sz w:val="20"/>
        </w:rPr>
        <w:t>,</w:t>
      </w:r>
      <w:r>
        <w:rPr>
          <w:rFonts w:ascii="Lucida Console"/>
          <w:spacing w:val="-71"/>
          <w:sz w:val="20"/>
        </w:rPr>
        <w:t> </w:t>
      </w:r>
      <w:r>
        <w:rPr>
          <w:sz w:val="22"/>
        </w:rPr>
        <w:t>[  </w:t>
      </w:r>
      <w:r>
        <w:rPr>
          <w:i/>
          <w:sz w:val="22"/>
        </w:rPr>
        <w:t>basis </w:t>
      </w:r>
      <w:r>
        <w:rPr>
          <w:sz w:val="22"/>
        </w:rPr>
        <w:t>] ] </w:t>
      </w:r>
      <w:r>
        <w:rPr>
          <w:rFonts w:ascii="Lucida Console"/>
          <w:sz w:val="20"/>
        </w:rPr>
        <w:t>)</w:t>
      </w:r>
    </w:p>
    <w:p>
      <w:pPr>
        <w:pStyle w:val="BodyText"/>
        <w:spacing w:before="111"/>
        <w:ind w:left="220"/>
      </w:pPr>
      <w:r>
        <w:rPr>
          <w:b/>
        </w:rPr>
        <w:t>Description: </w:t>
      </w:r>
      <w:r>
        <w:rPr/>
        <w:t>Computes the interest rate for a fully invested security.</w:t>
      </w:r>
    </w:p>
    <w:p>
      <w:pPr>
        <w:pStyle w:val="BodyText"/>
        <w:spacing w:before="8"/>
        <w:rPr>
          <w:sz w:val="19"/>
        </w:rPr>
      </w:pPr>
    </w:p>
    <w:p>
      <w:pPr>
        <w:pStyle w:val="Heading4"/>
        <w:rPr>
          <w:b w:val="0"/>
        </w:rPr>
      </w:pPr>
      <w:r>
        <w:rPr/>
        <w:t>Mathematical Formula</w:t>
      </w:r>
      <w:r>
        <w:rPr>
          <w:b w:val="0"/>
        </w:rPr>
        <w:t>:</w:t>
      </w:r>
    </w:p>
    <w:p>
      <w:pPr>
        <w:pStyle w:val="BodyText"/>
        <w:spacing w:before="5"/>
        <w:rPr>
          <w:sz w:val="12"/>
        </w:rPr>
      </w:pPr>
    </w:p>
    <w:p>
      <w:pPr>
        <w:spacing w:after="0"/>
        <w:rPr>
          <w:sz w:val="12"/>
        </w:rPr>
        <w:sectPr>
          <w:pgSz w:w="12240" w:h="15840"/>
          <w:pgMar w:header="761" w:footer="746" w:top="1340" w:bottom="940" w:left="860" w:right="700"/>
        </w:sectPr>
      </w:pPr>
    </w:p>
    <w:p>
      <w:pPr>
        <w:pStyle w:val="BodyText"/>
        <w:spacing w:before="11"/>
        <w:rPr>
          <w:sz w:val="18"/>
        </w:rPr>
      </w:pPr>
    </w:p>
    <w:p>
      <w:pPr>
        <w:pStyle w:val="BodyText"/>
        <w:ind w:left="220"/>
        <w:rPr>
          <w:rFonts w:ascii="Cambria Math" w:eastAsia="Cambria Math"/>
        </w:rPr>
      </w:pPr>
      <w:r>
        <w:rPr>
          <w:rFonts w:ascii="Cambria Math" w:eastAsia="Cambria Math"/>
        </w:rPr>
        <w:t>𝐼𝑁𝑇𝑅𝐴𝑇𝐸 =</w:t>
      </w:r>
    </w:p>
    <w:p>
      <w:pPr>
        <w:pStyle w:val="BodyText"/>
        <w:spacing w:before="63"/>
        <w:ind w:left="146" w:right="78"/>
        <w:jc w:val="center"/>
        <w:rPr>
          <w:rFonts w:ascii="Cambria Math" w:hAnsi="Cambria Math" w:eastAsia="Cambria Math"/>
        </w:rPr>
      </w:pPr>
      <w:r>
        <w:rPr/>
        <w:br w:type="column"/>
      </w:r>
      <w:r>
        <w:rPr>
          <w:rFonts w:ascii="Cambria Math" w:hAnsi="Cambria Math" w:eastAsia="Cambria Math"/>
        </w:rPr>
        <w:t>𝑟𝑒𝑑𝑒𝑚𝑝𝑡𝑖𝑜𝑛 − </w:t>
      </w:r>
      <w:r>
        <w:rPr>
          <w:rFonts w:ascii="Cambria Math" w:hAnsi="Cambria Math" w:eastAsia="Cambria Math"/>
          <w:spacing w:val="-21"/>
        </w:rPr>
        <w:t>𝑛𝑣𝑒𝑠𝑡𝑚𝑒𝑛𝑡</w:t>
      </w:r>
    </w:p>
    <w:p>
      <w:pPr>
        <w:pStyle w:val="BodyText"/>
        <w:spacing w:before="2"/>
        <w:rPr>
          <w:rFonts w:ascii="Cambria Math"/>
          <w:sz w:val="4"/>
        </w:rPr>
      </w:pPr>
    </w:p>
    <w:p>
      <w:pPr>
        <w:pStyle w:val="BodyText"/>
        <w:spacing w:line="20" w:lineRule="exact"/>
        <w:ind w:left="60" w:right="-72"/>
        <w:rPr>
          <w:rFonts w:ascii="Cambria Math"/>
          <w:sz w:val="2"/>
        </w:rPr>
      </w:pPr>
      <w:r>
        <w:rPr>
          <w:rFonts w:ascii="Cambria Math"/>
          <w:sz w:val="2"/>
        </w:rPr>
        <w:pict>
          <v:group style="width:124pt;height:.75pt;mso-position-horizontal-relative:char;mso-position-vertical-relative:line" coordorigin="0,0" coordsize="2480,15">
            <v:line style="position:absolute" from="0,7" to="2480,7" stroked="true" strokeweight=".71997pt" strokecolor="#000000">
              <v:stroke dashstyle="solid"/>
            </v:line>
          </v:group>
        </w:pict>
      </w:r>
      <w:r>
        <w:rPr>
          <w:rFonts w:ascii="Cambria Math"/>
          <w:sz w:val="2"/>
        </w:rPr>
      </w:r>
    </w:p>
    <w:p>
      <w:pPr>
        <w:pStyle w:val="BodyText"/>
        <w:ind w:left="146" w:right="78"/>
        <w:jc w:val="center"/>
        <w:rPr>
          <w:rFonts w:ascii="Cambria Math" w:eastAsia="Cambria Math"/>
        </w:rPr>
      </w:pPr>
      <w:r>
        <w:rPr>
          <w:rFonts w:ascii="Cambria Math" w:eastAsia="Cambria Math"/>
        </w:rPr>
        <w:t>𝑖𝑛𝑣𝑒𝑠𝑡𝑚𝑒𝑛𝑡</w:t>
      </w:r>
    </w:p>
    <w:p>
      <w:pPr>
        <w:spacing w:line="213" w:lineRule="exact" w:before="63"/>
        <w:ind w:left="356" w:right="0" w:firstLine="0"/>
        <w:jc w:val="left"/>
        <w:rPr>
          <w:rFonts w:ascii="Cambria Math" w:eastAsia="Cambria Math"/>
          <w:sz w:val="22"/>
        </w:rPr>
      </w:pPr>
      <w:r>
        <w:rPr/>
        <w:br w:type="column"/>
      </w:r>
      <w:r>
        <w:rPr>
          <w:rFonts w:ascii="Cambria Math" w:eastAsia="Cambria Math"/>
          <w:sz w:val="22"/>
        </w:rPr>
        <w:t>𝐵</w:t>
      </w:r>
    </w:p>
    <w:p>
      <w:pPr>
        <w:pStyle w:val="BodyText"/>
        <w:spacing w:line="158" w:lineRule="exact"/>
        <w:ind w:left="12"/>
        <w:rPr>
          <w:rFonts w:ascii="Cambria Math" w:hAnsi="Cambria Math"/>
        </w:rPr>
      </w:pPr>
      <w:r>
        <w:rPr/>
        <w:pict>
          <v:line style="position:absolute;mso-position-horizontal-relative:page;mso-position-vertical-relative:paragraph;z-index:251796480" from="254.089996pt,5.084166pt" to="275.449996pt,5.084166pt" stroked="true" strokeweight=".71997pt" strokecolor="#000000">
            <v:stroke dashstyle="solid"/>
            <w10:wrap type="none"/>
          </v:line>
        </w:pict>
      </w:r>
      <w:r>
        <w:rPr>
          <w:rFonts w:ascii="Cambria Math" w:hAnsi="Cambria Math"/>
          <w:w w:val="100"/>
        </w:rPr>
        <w:t>×</w:t>
      </w:r>
    </w:p>
    <w:p>
      <w:pPr>
        <w:pStyle w:val="BodyText"/>
        <w:spacing w:line="203" w:lineRule="exact"/>
        <w:ind w:left="219"/>
        <w:rPr>
          <w:rFonts w:ascii="Cambria Math" w:eastAsia="Cambria Math"/>
        </w:rPr>
      </w:pPr>
      <w:r>
        <w:rPr>
          <w:rFonts w:ascii="Cambria Math" w:eastAsia="Cambria Math"/>
        </w:rPr>
        <w:t>𝐷𝐼𝑀</w:t>
      </w:r>
    </w:p>
    <w:p>
      <w:pPr>
        <w:spacing w:after="0" w:line="203" w:lineRule="exact"/>
        <w:rPr>
          <w:rFonts w:ascii="Cambria Math" w:eastAsia="Cambria Math"/>
        </w:rPr>
        <w:sectPr>
          <w:type w:val="continuous"/>
          <w:pgSz w:w="12240" w:h="15840"/>
          <w:pgMar w:top="1340" w:bottom="940" w:left="860" w:right="700"/>
          <w:cols w:num="3" w:equalWidth="0">
            <w:col w:w="1379" w:space="40"/>
            <w:col w:w="2544" w:space="39"/>
            <w:col w:w="6678"/>
          </w:cols>
        </w:sectPr>
      </w:pPr>
    </w:p>
    <w:p>
      <w:pPr>
        <w:pStyle w:val="BodyText"/>
        <w:spacing w:before="5"/>
        <w:rPr>
          <w:rFonts w:ascii="Cambria Math"/>
          <w:sz w:val="11"/>
        </w:rPr>
      </w:pPr>
    </w:p>
    <w:p>
      <w:pPr>
        <w:pStyle w:val="BodyText"/>
        <w:spacing w:before="56"/>
        <w:ind w:left="220"/>
      </w:pPr>
      <w:r>
        <w:rPr/>
        <w:t>where:</w:t>
      </w:r>
    </w:p>
    <w:p>
      <w:pPr>
        <w:spacing w:after="0"/>
        <w:sectPr>
          <w:type w:val="continuous"/>
          <w:pgSz w:w="12240" w:h="15840"/>
          <w:pgMar w:top="1340" w:bottom="940" w:left="860" w:right="700"/>
        </w:sectPr>
      </w:pPr>
    </w:p>
    <w:p>
      <w:pPr>
        <w:pStyle w:val="ListParagraph"/>
        <w:numPr>
          <w:ilvl w:val="4"/>
          <w:numId w:val="66"/>
        </w:numPr>
        <w:tabs>
          <w:tab w:pos="940" w:val="left" w:leader="none"/>
          <w:tab w:pos="941" w:val="left" w:leader="none"/>
        </w:tabs>
        <w:spacing w:line="240" w:lineRule="auto" w:before="148" w:after="0"/>
        <w:ind w:left="940" w:right="0" w:hanging="361"/>
        <w:jc w:val="left"/>
        <w:rPr>
          <w:sz w:val="22"/>
        </w:rPr>
      </w:pPr>
      <w:r>
        <w:rPr>
          <w:rFonts w:ascii="Times New Roman" w:hAnsi="Times New Roman"/>
          <w:i/>
          <w:sz w:val="22"/>
        </w:rPr>
        <w:t>B </w:t>
      </w:r>
      <w:r>
        <w:rPr>
          <w:sz w:val="22"/>
        </w:rPr>
        <w:t>= number of days in a year, depending on the year</w:t>
      </w:r>
      <w:r>
        <w:rPr>
          <w:spacing w:val="-21"/>
          <w:sz w:val="22"/>
        </w:rPr>
        <w:t> </w:t>
      </w:r>
      <w:r>
        <w:rPr>
          <w:sz w:val="22"/>
        </w:rPr>
        <w:t>basis</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DIM </w:t>
      </w:r>
      <w:r>
        <w:rPr>
          <w:sz w:val="22"/>
        </w:rPr>
        <w:t>= number of days from settlement to</w:t>
      </w:r>
      <w:r>
        <w:rPr>
          <w:spacing w:val="-14"/>
          <w:sz w:val="22"/>
        </w:rPr>
        <w:t> </w:t>
      </w:r>
      <w:r>
        <w:rPr>
          <w:sz w:val="22"/>
        </w:rPr>
        <w:t>maturity.</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investment </w:t>
      </w:r>
      <w:r>
        <w:rPr>
          <w:sz w:val="22"/>
        </w:rPr>
        <w:t>= argument</w:t>
      </w:r>
      <w:r>
        <w:rPr>
          <w:spacing w:val="-4"/>
          <w:sz w:val="22"/>
        </w:rPr>
        <w:t> </w:t>
      </w:r>
      <w:r>
        <w:rPr>
          <w:rFonts w:ascii="Times New Roman" w:hAnsi="Times New Roman"/>
          <w:i/>
          <w:sz w:val="22"/>
        </w:rPr>
        <w:t>investment</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5"/>
          <w:sz w:val="22"/>
        </w:rPr>
        <w:t> </w:t>
      </w:r>
      <w:r>
        <w:rPr>
          <w:rFonts w:ascii="Times New Roman" w:hAnsi="Times New Roman"/>
          <w:i/>
          <w:sz w:val="22"/>
        </w:rPr>
        <w:t>redemption</w:t>
      </w:r>
    </w:p>
    <w:p>
      <w:pPr>
        <w:pStyle w:val="Heading4"/>
        <w:spacing w:before="240"/>
      </w:pPr>
      <w:r>
        <w:rPr/>
        <w:t>Arguments:</w:t>
      </w:r>
    </w:p>
    <w:p>
      <w:pPr>
        <w:pStyle w:val="BodyText"/>
        <w:spacing w:before="12"/>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investment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amount invested in the security.</w:t>
            </w:r>
          </w:p>
        </w:tc>
      </w:tr>
      <w:tr>
        <w:trPr>
          <w:trHeight w:val="355"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amount to be received at maturity.</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63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01"/>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01"/>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407"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16" w:right="774"/>
              <w:jc w:val="center"/>
              <w:rPr>
                <w:sz w:val="22"/>
              </w:rPr>
            </w:pPr>
            <w:r>
              <w:rPr>
                <w:sz w:val="22"/>
              </w:rPr>
              <w:t>change.</w:t>
            </w:r>
          </w:p>
        </w:tc>
        <w:tc>
          <w:tcPr>
            <w:tcW w:w="403" w:type="dxa"/>
            <w:vMerge w:val="restart"/>
          </w:tcPr>
          <w:p>
            <w:pPr>
              <w:pStyle w:val="TableParagraph"/>
              <w:spacing w:before="0"/>
              <w:ind w:left="0"/>
              <w:rPr>
                <w:rFonts w:ascii="Times New Roman"/>
                <w:sz w:val="22"/>
              </w:rPr>
            </w:pPr>
          </w:p>
        </w:tc>
      </w:tr>
      <w:tr>
        <w:trPr>
          <w:trHeight w:val="250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763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02"/>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02"/>
              </w:numPr>
              <w:tabs>
                <w:tab w:pos="1197" w:val="left" w:leader="none"/>
                <w:tab w:pos="1198" w:val="left" w:leader="none"/>
              </w:tabs>
              <w:spacing w:line="240" w:lineRule="auto" w:before="2"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729"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spacing w:line="453" w:lineRule="auto" w:before="1"/>
        <w:ind w:left="220" w:right="3320" w:firstLine="0"/>
        <w:jc w:val="left"/>
        <w:rPr>
          <w:sz w:val="22"/>
        </w:rPr>
      </w:pPr>
      <w:r>
        <w:rPr>
          <w:b/>
          <w:sz w:val="22"/>
        </w:rPr>
        <w:t>Return Type and Value: </w:t>
      </w:r>
      <w:r>
        <w:rPr>
          <w:sz w:val="22"/>
        </w:rPr>
        <w:t>number – The interest rate for a fully invested security.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40" w:after="0"/>
        <w:ind w:left="940" w:right="0" w:hanging="361"/>
        <w:jc w:val="left"/>
        <w:rPr>
          <w:sz w:val="22"/>
        </w:rPr>
      </w:pPr>
      <w:r>
        <w:rPr>
          <w:rFonts w:ascii="Times New Roman" w:hAnsi="Times New Roman"/>
          <w:i/>
          <w:sz w:val="22"/>
        </w:rPr>
        <w:t>investment </w:t>
      </w:r>
      <w:r>
        <w:rPr>
          <w:sz w:val="22"/>
        </w:rPr>
        <w:t>or </w:t>
      </w:r>
      <w:r>
        <w:rPr>
          <w:rFonts w:ascii="Times New Roman" w:hAnsi="Times New Roman"/>
          <w:i/>
          <w:sz w:val="22"/>
        </w:rPr>
        <w:t>redemption </w:t>
      </w:r>
      <w:r>
        <w:rPr>
          <w:sz w:val="22"/>
        </w:rPr>
        <w: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INTRATE(DATE(2008,2,15),DATE(2008,5,15),1000000,1014420,2) </w:t>
      </w:r>
      <w:r>
        <w:rPr/>
        <w:t>results in </w:t>
      </w:r>
      <w:r>
        <w:rPr>
          <w:rFonts w:ascii="Consolas"/>
        </w:rPr>
        <w:t>5.7680%</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2 IPMT" w:id="1908"/>
      <w:bookmarkEnd w:id="1908"/>
      <w:r>
        <w:rPr/>
      </w:r>
      <w:bookmarkStart w:name="_bookmark635" w:id="1909"/>
      <w:bookmarkEnd w:id="1909"/>
      <w:r>
        <w:rPr/>
      </w:r>
      <w:bookmarkStart w:name="_bookmark635" w:id="1910"/>
      <w:bookmarkEnd w:id="1910"/>
      <w:r>
        <w:rPr>
          <w:color w:val="4F81BC"/>
        </w:rPr>
        <w:t>I</w:t>
      </w:r>
      <w:r>
        <w:rPr>
          <w:color w:val="4F81BC"/>
        </w:rPr>
        <w:t>PMT</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IPMT ( </w:t>
      </w:r>
      <w:r>
        <w:rPr>
          <w:i/>
          <w:sz w:val="22"/>
        </w:rPr>
        <w:t>rate </w:t>
      </w:r>
      <w:r>
        <w:rPr>
          <w:rFonts w:ascii="Lucida Console"/>
          <w:sz w:val="20"/>
        </w:rPr>
        <w:t>, </w:t>
      </w:r>
      <w:r>
        <w:rPr>
          <w:i/>
          <w:sz w:val="22"/>
        </w:rPr>
        <w:t>per</w:t>
      </w:r>
      <w:r>
        <w:rPr>
          <w:rFonts w:ascii="Lucida Console"/>
          <w:sz w:val="20"/>
        </w:rPr>
        <w:t>, </w:t>
      </w:r>
      <w:r>
        <w:rPr>
          <w:i/>
          <w:sz w:val="22"/>
        </w:rPr>
        <w:t>nper </w:t>
      </w:r>
      <w:r>
        <w:rPr>
          <w:rFonts w:ascii="Lucida Console"/>
          <w:sz w:val="20"/>
        </w:rPr>
        <w:t>, </w:t>
      </w:r>
      <w:r>
        <w:rPr>
          <w:i/>
          <w:sz w:val="22"/>
        </w:rPr>
        <w:t>pv </w:t>
      </w:r>
      <w:r>
        <w:rPr>
          <w:rFonts w:ascii="Lucida Console"/>
          <w:sz w:val="20"/>
        </w:rPr>
        <w:t>, </w:t>
      </w:r>
      <w:r>
        <w:rPr>
          <w:sz w:val="22"/>
        </w:rPr>
        <w:t>[  </w:t>
      </w:r>
      <w:r>
        <w:rPr>
          <w:i/>
          <w:sz w:val="22"/>
        </w:rPr>
        <w:t>fv </w:t>
      </w:r>
      <w:r>
        <w:rPr>
          <w:sz w:val="22"/>
        </w:rPr>
        <w:t>]  [ </w:t>
      </w:r>
      <w:r>
        <w:rPr>
          <w:rFonts w:ascii="Lucida Console"/>
          <w:sz w:val="20"/>
        </w:rPr>
        <w:t>, </w:t>
      </w:r>
      <w:r>
        <w:rPr>
          <w:sz w:val="22"/>
        </w:rPr>
        <w:t>[ </w:t>
      </w:r>
      <w:r>
        <w:rPr>
          <w:i/>
          <w:sz w:val="22"/>
        </w:rPr>
        <w:t>type </w:t>
      </w:r>
      <w:r>
        <w:rPr>
          <w:sz w:val="22"/>
        </w:rPr>
        <w:t>] ]  </w:t>
      </w:r>
      <w:r>
        <w:rPr>
          <w:rFonts w:ascii="Lucida Console"/>
          <w:sz w:val="20"/>
        </w:rPr>
        <w:t>)</w:t>
      </w:r>
    </w:p>
    <w:p>
      <w:pPr>
        <w:pStyle w:val="BodyText"/>
        <w:spacing w:line="276" w:lineRule="auto" w:before="108"/>
        <w:ind w:left="220" w:right="648"/>
      </w:pPr>
      <w:r>
        <w:rPr>
          <w:b/>
        </w:rPr>
        <w:t>Description</w:t>
      </w:r>
      <w:r>
        <w:rPr/>
        <w:t>: Computes the interest payment for a given period for an investment based on periodic, constant payments and a constant interest rate.</w:t>
      </w:r>
    </w:p>
    <w:p>
      <w:pPr>
        <w:pStyle w:val="BodyText"/>
        <w:spacing w:before="5"/>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interest rate.</w:t>
            </w:r>
          </w:p>
        </w:tc>
      </w:tr>
      <w:tr>
        <w:trPr>
          <w:trHeight w:val="623" w:hRule="atLeast"/>
        </w:trPr>
        <w:tc>
          <w:tcPr>
            <w:tcW w:w="1466" w:type="dxa"/>
          </w:tcPr>
          <w:p>
            <w:pPr>
              <w:pStyle w:val="TableParagraph"/>
              <w:spacing w:before="37"/>
              <w:rPr>
                <w:rFonts w:ascii="Times New Roman"/>
                <w:i/>
                <w:sz w:val="22"/>
              </w:rPr>
            </w:pPr>
            <w:r>
              <w:rPr>
                <w:rFonts w:ascii="Times New Roman"/>
                <w:i/>
                <w:sz w:val="22"/>
              </w:rPr>
              <w:t>per</w:t>
            </w:r>
          </w:p>
        </w:tc>
        <w:tc>
          <w:tcPr>
            <w:tcW w:w="1800" w:type="dxa"/>
          </w:tcPr>
          <w:p>
            <w:pPr>
              <w:pStyle w:val="TableParagraph"/>
              <w:ind w:left="112"/>
              <w:rPr>
                <w:sz w:val="22"/>
              </w:rPr>
            </w:pPr>
            <w:r>
              <w:rPr>
                <w:sz w:val="22"/>
              </w:rPr>
              <w:t>number</w:t>
            </w:r>
          </w:p>
        </w:tc>
        <w:tc>
          <w:tcPr>
            <w:tcW w:w="5400" w:type="dxa"/>
          </w:tcPr>
          <w:p>
            <w:pPr>
              <w:pStyle w:val="TableParagraph"/>
              <w:ind w:left="113" w:right="127"/>
              <w:rPr>
                <w:sz w:val="22"/>
              </w:rPr>
            </w:pPr>
            <w:r>
              <w:rPr>
                <w:sz w:val="22"/>
              </w:rPr>
              <w:t>The period for which the interest is to be found, and shall be in the range 1–</w:t>
            </w:r>
            <w:r>
              <w:rPr>
                <w:rFonts w:ascii="Times New Roman" w:hAnsi="Times New Roman"/>
                <w:i/>
                <w:sz w:val="22"/>
              </w:rPr>
              <w:t>nper</w:t>
            </w:r>
            <w:r>
              <w:rPr>
                <w:sz w:val="22"/>
              </w:rPr>
              <w:t>.</w:t>
            </w:r>
          </w:p>
        </w:tc>
      </w:tr>
      <w:tr>
        <w:trPr>
          <w:trHeight w:val="355" w:hRule="atLeast"/>
        </w:trPr>
        <w:tc>
          <w:tcPr>
            <w:tcW w:w="1466" w:type="dxa"/>
          </w:tcPr>
          <w:p>
            <w:pPr>
              <w:pStyle w:val="TableParagraph"/>
              <w:spacing w:before="37"/>
              <w:rPr>
                <w:rFonts w:ascii="Times New Roman"/>
                <w:i/>
                <w:sz w:val="22"/>
              </w:rPr>
            </w:pPr>
            <w:r>
              <w:rPr>
                <w:rFonts w:ascii="Times New Roman"/>
                <w:i/>
                <w:sz w:val="22"/>
              </w:rPr>
              <w:t>nper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total number of payment periods in an annuity.</w:t>
            </w:r>
          </w:p>
        </w:tc>
      </w:tr>
      <w:tr>
        <w:trPr>
          <w:trHeight w:val="623"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400" w:type="dxa"/>
          </w:tcPr>
          <w:p>
            <w:pPr>
              <w:pStyle w:val="TableParagraph"/>
              <w:ind w:left="113" w:right="167"/>
              <w:rPr>
                <w:sz w:val="22"/>
              </w:rPr>
            </w:pPr>
            <w:r>
              <w:rPr>
                <w:sz w:val="22"/>
              </w:rPr>
              <w:t>The present value, or the lump-sum amount that a series of future payments is worth right now.</w:t>
            </w:r>
          </w:p>
        </w:tc>
      </w:tr>
      <w:tr>
        <w:trPr>
          <w:trHeight w:val="890" w:hRule="atLeast"/>
        </w:trPr>
        <w:tc>
          <w:tcPr>
            <w:tcW w:w="1466" w:type="dxa"/>
          </w:tcPr>
          <w:p>
            <w:pPr>
              <w:pStyle w:val="TableParagraph"/>
              <w:spacing w:before="37"/>
              <w:rPr>
                <w:rFonts w:ascii="Times New Roman"/>
                <w:i/>
                <w:sz w:val="22"/>
              </w:rPr>
            </w:pPr>
            <w:r>
              <w:rPr>
                <w:rFonts w:ascii="Times New Roman"/>
                <w:i/>
                <w:sz w:val="22"/>
              </w:rPr>
              <w:t>fv</w:t>
            </w:r>
          </w:p>
        </w:tc>
        <w:tc>
          <w:tcPr>
            <w:tcW w:w="1800" w:type="dxa"/>
          </w:tcPr>
          <w:p>
            <w:pPr>
              <w:pStyle w:val="TableParagraph"/>
              <w:ind w:left="112"/>
              <w:rPr>
                <w:sz w:val="22"/>
              </w:rPr>
            </w:pPr>
            <w:r>
              <w:rPr>
                <w:sz w:val="22"/>
              </w:rPr>
              <w:t>number</w:t>
            </w:r>
          </w:p>
        </w:tc>
        <w:tc>
          <w:tcPr>
            <w:tcW w:w="5400" w:type="dxa"/>
          </w:tcPr>
          <w:p>
            <w:pPr>
              <w:pStyle w:val="TableParagraph"/>
              <w:ind w:left="113" w:right="344"/>
              <w:rPr>
                <w:sz w:val="22"/>
              </w:rPr>
            </w:pPr>
            <w:r>
              <w:rPr>
                <w:sz w:val="22"/>
              </w:rPr>
              <w:t>The future value, or a cash balance to be attained after the last payment is made. If omitted, it is assumed to be 0 (i.e., the future value of a loan, for example, is 0).</w:t>
            </w:r>
          </w:p>
        </w:tc>
      </w:tr>
      <w:tr>
        <w:trPr>
          <w:trHeight w:val="623" w:hRule="atLeast"/>
        </w:trPr>
        <w:tc>
          <w:tcPr>
            <w:tcW w:w="1466" w:type="dxa"/>
          </w:tcPr>
          <w:p>
            <w:pPr>
              <w:pStyle w:val="TableParagraph"/>
              <w:spacing w:before="36"/>
              <w:rPr>
                <w:rFonts w:ascii="Times New Roman"/>
                <w:i/>
                <w:sz w:val="22"/>
              </w:rPr>
            </w:pPr>
            <w:r>
              <w:rPr>
                <w:rFonts w:ascii="Times New Roman"/>
                <w:i/>
                <w:sz w:val="22"/>
              </w:rPr>
              <w:t>type</w:t>
            </w:r>
          </w:p>
        </w:tc>
        <w:tc>
          <w:tcPr>
            <w:tcW w:w="1800" w:type="dxa"/>
          </w:tcPr>
          <w:p>
            <w:pPr>
              <w:pStyle w:val="TableParagraph"/>
              <w:ind w:left="112"/>
              <w:rPr>
                <w:sz w:val="22"/>
              </w:rPr>
            </w:pPr>
            <w:r>
              <w:rPr>
                <w:sz w:val="22"/>
              </w:rPr>
              <w:t>number</w:t>
            </w:r>
          </w:p>
        </w:tc>
        <w:tc>
          <w:tcPr>
            <w:tcW w:w="5400" w:type="dxa"/>
          </w:tcPr>
          <w:p>
            <w:pPr>
              <w:pStyle w:val="TableParagraph"/>
              <w:ind w:left="113" w:right="671"/>
              <w:rPr>
                <w:sz w:val="22"/>
              </w:rPr>
            </w:pPr>
            <w:r>
              <w:rPr>
                <w:sz w:val="22"/>
              </w:rPr>
              <w:t>The timing of the payment, truncated to integer, as follows:</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311"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5397" w:type="dxa"/>
            <w:gridSpan w:val="4"/>
            <w:tcBorders>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1</w:t>
            </w:r>
          </w:p>
        </w:tc>
        <w:tc>
          <w:tcPr>
            <w:tcW w:w="2985" w:type="dxa"/>
          </w:tcPr>
          <w:p>
            <w:pPr>
              <w:pStyle w:val="TableParagraph"/>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6" w:lineRule="auto" w:before="56"/>
        <w:ind w:left="220" w:right="485"/>
      </w:pPr>
      <w:r>
        <w:rPr/>
        <w:t>Arguments representing cash paid by investor shall be expressed as negative numbers; arguments representing cash received by the investor shall be expressed as positive numbers.</w:t>
      </w:r>
    </w:p>
    <w:p>
      <w:pPr>
        <w:pStyle w:val="BodyText"/>
        <w:spacing w:before="4"/>
        <w:rPr>
          <w:sz w:val="16"/>
        </w:rPr>
      </w:pPr>
    </w:p>
    <w:p>
      <w:pPr>
        <w:pStyle w:val="BodyText"/>
        <w:spacing w:line="278" w:lineRule="auto"/>
        <w:ind w:left="220" w:right="448"/>
      </w:pPr>
      <w:r>
        <w:rPr>
          <w:b/>
        </w:rPr>
        <w:t>Return Type and Value</w:t>
      </w:r>
      <w:r>
        <w:rPr/>
        <w:t>: number – The interest payment for a given period for an investment based on periodic, constant payments and a constant interest rate.</w:t>
      </w:r>
    </w:p>
    <w:p>
      <w:pPr>
        <w:pStyle w:val="BodyText"/>
        <w:spacing w:line="453" w:lineRule="auto" w:before="197"/>
        <w:ind w:left="220" w:right="3786"/>
      </w:pPr>
      <w:r>
        <w:rPr/>
        <w:t>However, if </w:t>
      </w:r>
      <w:r>
        <w:rPr>
          <w:rFonts w:ascii="Times New Roman"/>
          <w:i/>
        </w:rPr>
        <w:t>type </w:t>
      </w:r>
      <w:r>
        <w:rPr/>
        <w:t>is any number other than 0 or 1, </w:t>
      </w:r>
      <w:r>
        <w:rPr>
          <w:rFonts w:ascii="Consolas"/>
        </w:rPr>
        <w:t>#NUM!</w:t>
      </w:r>
      <w:r>
        <w:rPr>
          <w:rFonts w:ascii="Consolas"/>
          <w:spacing w:val="-90"/>
        </w:rPr>
        <w:t> </w:t>
      </w:r>
      <w:r>
        <w:rPr/>
        <w:t>is returned. [</w:t>
      </w:r>
      <w:r>
        <w:rPr>
          <w:i/>
        </w:rPr>
        <w:t>Example</w:t>
      </w:r>
      <w:r>
        <w:rPr/>
        <w:t>:</w:t>
      </w:r>
    </w:p>
    <w:p>
      <w:pPr>
        <w:pStyle w:val="BodyText"/>
        <w:spacing w:line="276" w:lineRule="auto" w:before="109"/>
        <w:ind w:left="220" w:right="5947"/>
        <w:rPr>
          <w:rFonts w:ascii="Consolas"/>
        </w:rPr>
      </w:pPr>
      <w:r>
        <w:rPr>
          <w:rFonts w:ascii="Consolas"/>
        </w:rPr>
        <w:t>IPMT(0.1/12,1*3,3,8000) </w:t>
      </w:r>
      <w:r>
        <w:rPr/>
        <w:t>results in </w:t>
      </w:r>
      <w:r>
        <w:rPr>
          <w:rFonts w:ascii="Consolas"/>
        </w:rPr>
        <w:t>-22.41 IPMT(0.1,3,3,8000) </w:t>
      </w:r>
      <w:r>
        <w:rPr/>
        <w:t>results in </w:t>
      </w:r>
      <w:r>
        <w:rPr>
          <w:rFonts w:ascii="Consolas"/>
        </w:rPr>
        <w:t>-292.45</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73 IRR" w:id="1911"/>
      <w:bookmarkEnd w:id="1911"/>
      <w:r>
        <w:rPr/>
      </w:r>
      <w:bookmarkStart w:name="_bookmark636" w:id="1912"/>
      <w:bookmarkEnd w:id="1912"/>
      <w:r>
        <w:rPr/>
      </w:r>
      <w:bookmarkStart w:name="_bookmark636" w:id="1913"/>
      <w:bookmarkEnd w:id="1913"/>
      <w:r>
        <w:rPr>
          <w:color w:val="4F81BC"/>
        </w:rPr>
        <w:t>I</w:t>
      </w:r>
      <w:r>
        <w:rPr>
          <w:color w:val="4F81BC"/>
        </w:rPr>
        <w:t>RR</w:t>
      </w:r>
    </w:p>
    <w:p>
      <w:pPr>
        <w:spacing w:before="116"/>
        <w:ind w:left="940" w:right="0" w:firstLine="0"/>
        <w:jc w:val="left"/>
        <w:rPr>
          <w:rFonts w:ascii="Lucida Console"/>
          <w:sz w:val="20"/>
        </w:rPr>
      </w:pPr>
      <w:r>
        <w:rPr>
          <w:rFonts w:ascii="Lucida Console"/>
          <w:sz w:val="20"/>
        </w:rPr>
        <w:t>IRR ( </w:t>
      </w:r>
      <w:r>
        <w:rPr>
          <w:i/>
          <w:sz w:val="22"/>
        </w:rPr>
        <w:t>values </w:t>
      </w:r>
      <w:r>
        <w:rPr>
          <w:sz w:val="22"/>
        </w:rPr>
        <w:t>[ </w:t>
      </w:r>
      <w:r>
        <w:rPr>
          <w:rFonts w:ascii="Lucida Console"/>
          <w:sz w:val="20"/>
        </w:rPr>
        <w:t>,</w:t>
      </w:r>
      <w:r>
        <w:rPr>
          <w:rFonts w:ascii="Lucida Console"/>
          <w:spacing w:val="-71"/>
          <w:sz w:val="20"/>
        </w:rPr>
        <w:t> </w:t>
      </w:r>
      <w:r>
        <w:rPr>
          <w:sz w:val="22"/>
        </w:rPr>
        <w:t>[  </w:t>
      </w:r>
      <w:r>
        <w:rPr>
          <w:i/>
          <w:sz w:val="22"/>
        </w:rPr>
        <w:t>guess </w:t>
      </w:r>
      <w:r>
        <w:rPr>
          <w:sz w:val="22"/>
        </w:rPr>
        <w:t>] ]  </w:t>
      </w:r>
      <w:r>
        <w:rPr>
          <w:rFonts w:ascii="Lucida Console"/>
          <w:sz w:val="20"/>
        </w:rPr>
        <w:t>)</w:t>
      </w:r>
    </w:p>
    <w:p>
      <w:pPr>
        <w:pStyle w:val="BodyText"/>
        <w:spacing w:line="276" w:lineRule="auto" w:before="106"/>
        <w:ind w:left="220" w:right="411"/>
      </w:pPr>
      <w:r>
        <w:rPr/>
        <w:t>Description: Computes the internal rate of return for a series of cash flows represented by the numbers in </w:t>
      </w:r>
      <w:r>
        <w:rPr>
          <w:rFonts w:ascii="Times New Roman"/>
          <w:i/>
        </w:rPr>
        <w:t>values</w:t>
      </w:r>
      <w:r>
        <w:rPr/>
        <w:t>. (These cash flows do not have to be even, as they would be for an annuity. However, the cash flows shall occur at regular intervals, such as monthly or annually. The internal rate of return is the interest rate received for an investment consisting of payments (negative values) and income (positive values) that occur at regular periods.)</w:t>
      </w:r>
    </w:p>
    <w:p>
      <w:pPr>
        <w:pStyle w:val="BodyText"/>
        <w:spacing w:before="7"/>
        <w:rPr>
          <w:sz w:val="16"/>
        </w:rPr>
      </w:pPr>
    </w:p>
    <w:p>
      <w:pPr>
        <w:pStyle w:val="BodyText"/>
        <w:spacing w:before="1"/>
        <w:ind w:left="220"/>
      </w:pPr>
      <w:r>
        <w:rPr/>
        <w:t>Arguments:</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236" w:hRule="atLeast"/>
        </w:trPr>
        <w:tc>
          <w:tcPr>
            <w:tcW w:w="1466" w:type="dxa"/>
          </w:tcPr>
          <w:p>
            <w:pPr>
              <w:pStyle w:val="TableParagraph"/>
              <w:spacing w:before="39"/>
              <w:rPr>
                <w:rFonts w:ascii="Times New Roman"/>
                <w:i/>
                <w:sz w:val="22"/>
              </w:rPr>
            </w:pPr>
            <w:r>
              <w:rPr>
                <w:rFonts w:ascii="Times New Roman"/>
                <w:i/>
                <w:sz w:val="22"/>
              </w:rPr>
              <w:t>values</w:t>
            </w:r>
          </w:p>
        </w:tc>
        <w:tc>
          <w:tcPr>
            <w:tcW w:w="1800" w:type="dxa"/>
          </w:tcPr>
          <w:p>
            <w:pPr>
              <w:pStyle w:val="TableParagraph"/>
              <w:spacing w:before="42"/>
              <w:ind w:left="112" w:right="167"/>
              <w:rPr>
                <w:sz w:val="22"/>
              </w:rPr>
            </w:pPr>
            <w:r>
              <w:rPr>
                <w:sz w:val="22"/>
              </w:rPr>
              <w:t>array, reference, text, logical</w:t>
            </w:r>
          </w:p>
        </w:tc>
        <w:tc>
          <w:tcPr>
            <w:tcW w:w="5400" w:type="dxa"/>
          </w:tcPr>
          <w:p>
            <w:pPr>
              <w:pStyle w:val="TableParagraph"/>
              <w:spacing w:before="42"/>
              <w:ind w:left="113" w:right="104"/>
              <w:rPr>
                <w:sz w:val="22"/>
              </w:rPr>
            </w:pPr>
            <w:r>
              <w:rPr>
                <w:sz w:val="22"/>
              </w:rPr>
              <w:t>The set of numbers for which the internal rate of return is to be calculated. </w:t>
            </w:r>
            <w:r>
              <w:rPr>
                <w:rFonts w:ascii="Times New Roman"/>
                <w:i/>
                <w:sz w:val="22"/>
              </w:rPr>
              <w:t>values </w:t>
            </w:r>
            <w:r>
              <w:rPr>
                <w:sz w:val="22"/>
              </w:rPr>
              <w:t>shall contain at least one positive value and one negative value to calculate the internal rate of return. The order of numbers in </w:t>
            </w:r>
            <w:r>
              <w:rPr>
                <w:rFonts w:ascii="Times New Roman"/>
                <w:i/>
                <w:sz w:val="22"/>
              </w:rPr>
              <w:t>values </w:t>
            </w:r>
            <w:r>
              <w:rPr>
                <w:sz w:val="22"/>
              </w:rPr>
              <w:t>is significant, so be sure payment and income numbers are in the desired sequence. If </w:t>
            </w:r>
            <w:r>
              <w:rPr>
                <w:rFonts w:ascii="Times New Roman"/>
                <w:i/>
                <w:sz w:val="22"/>
              </w:rPr>
              <w:t>values </w:t>
            </w:r>
            <w:r>
              <w:rPr>
                <w:sz w:val="22"/>
              </w:rPr>
              <w:t>contains elements that are text, logical values, or empty cells, those elements  are ignored.</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guess</w:t>
            </w:r>
          </w:p>
        </w:tc>
        <w:tc>
          <w:tcPr>
            <w:tcW w:w="1800" w:type="dxa"/>
          </w:tcPr>
          <w:p>
            <w:pPr>
              <w:pStyle w:val="TableParagraph"/>
              <w:ind w:left="112"/>
              <w:rPr>
                <w:sz w:val="22"/>
              </w:rPr>
            </w:pPr>
            <w:r>
              <w:rPr>
                <w:sz w:val="22"/>
              </w:rPr>
              <w:t>number</w:t>
            </w:r>
          </w:p>
        </w:tc>
        <w:tc>
          <w:tcPr>
            <w:tcW w:w="5400" w:type="dxa"/>
          </w:tcPr>
          <w:p>
            <w:pPr>
              <w:pStyle w:val="TableParagraph"/>
              <w:ind w:left="113" w:right="140"/>
              <w:rPr>
                <w:sz w:val="22"/>
              </w:rPr>
            </w:pPr>
            <w:r>
              <w:rPr>
                <w:sz w:val="22"/>
              </w:rPr>
              <w:t>An estimate of the result of </w:t>
            </w:r>
            <w:r>
              <w:rPr>
                <w:rFonts w:ascii="Consolas"/>
                <w:sz w:val="22"/>
              </w:rPr>
              <w:t>IRR</w:t>
            </w:r>
            <w:r>
              <w:rPr>
                <w:sz w:val="22"/>
              </w:rPr>
              <w:t>. If omitted, it is assumed to be 0.1 (i.e., 10 percent).</w:t>
            </w:r>
          </w:p>
        </w:tc>
      </w:tr>
    </w:tbl>
    <w:p>
      <w:pPr>
        <w:pStyle w:val="BodyText"/>
        <w:rPr>
          <w:sz w:val="20"/>
        </w:rPr>
      </w:pPr>
    </w:p>
    <w:p>
      <w:pPr>
        <w:pStyle w:val="BodyText"/>
        <w:rPr>
          <w:sz w:val="17"/>
        </w:rPr>
      </w:pPr>
    </w:p>
    <w:p>
      <w:pPr>
        <w:pStyle w:val="BodyText"/>
        <w:spacing w:before="56"/>
        <w:ind w:left="220"/>
      </w:pPr>
      <w:r>
        <w:rPr/>
        <w:t>Return Type and Value: number – The internal rate of return for a series of cash flows.</w:t>
      </w:r>
    </w:p>
    <w:p>
      <w:pPr>
        <w:pStyle w:val="BodyText"/>
        <w:spacing w:before="8"/>
        <w:rPr>
          <w:sz w:val="19"/>
        </w:rPr>
      </w:pPr>
    </w:p>
    <w:p>
      <w:pPr>
        <w:pStyle w:val="BodyText"/>
        <w:spacing w:line="453" w:lineRule="auto"/>
        <w:ind w:left="220" w:right="503"/>
      </w:pPr>
      <w:r>
        <w:rPr/>
        <w:t>However, if the implementation determines that a return value cannot be computed, </w:t>
      </w:r>
      <w:r>
        <w:rPr>
          <w:rFonts w:ascii="Consolas"/>
        </w:rPr>
        <w:t>#NUM!</w:t>
      </w:r>
      <w:r>
        <w:rPr>
          <w:rFonts w:ascii="Consolas"/>
          <w:spacing w:val="-93"/>
        </w:rPr>
        <w:t> </w:t>
      </w:r>
      <w:r>
        <w:rPr/>
        <w:t>is returned. [</w:t>
      </w:r>
      <w:r>
        <w:rPr>
          <w:i/>
        </w:rPr>
        <w:t>Example</w:t>
      </w:r>
      <w:r>
        <w:rPr/>
        <w:t>:</w:t>
      </w:r>
    </w:p>
    <w:p>
      <w:pPr>
        <w:pStyle w:val="BodyText"/>
        <w:spacing w:line="276" w:lineRule="auto" w:before="109"/>
        <w:ind w:left="220" w:right="3424"/>
        <w:rPr>
          <w:rFonts w:ascii="Consolas"/>
        </w:rPr>
      </w:pPr>
      <w:r>
        <w:rPr>
          <w:rFonts w:ascii="Consolas"/>
        </w:rPr>
        <w:t>IRR({-70000,12000,15000,18000,21000}) </w:t>
      </w:r>
      <w:r>
        <w:rPr/>
        <w:t>results in </w:t>
      </w:r>
      <w:r>
        <w:rPr>
          <w:rFonts w:ascii="Consolas"/>
        </w:rPr>
        <w:t>-2.1245% IRR({-70000,12000,15000,18000,21000,26000})</w:t>
      </w:r>
      <w:r>
        <w:rPr>
          <w:rFonts w:ascii="Consolas"/>
          <w:spacing w:val="-77"/>
        </w:rPr>
        <w:t> </w:t>
      </w:r>
      <w:r>
        <w:rPr/>
        <w:t>results in </w:t>
      </w:r>
      <w:r>
        <w:rPr>
          <w:rFonts w:ascii="Consolas"/>
        </w:rPr>
        <w:t>8.6631% IRR({-70000,12000,15000},-0.1) </w:t>
      </w:r>
      <w:r>
        <w:rPr/>
        <w:t>results in </w:t>
      </w:r>
      <w:r>
        <w:rPr>
          <w:rFonts w:ascii="Consolas"/>
        </w:rPr>
        <w:t>-44.3507%</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74 ISBLANK" w:id="1914"/>
      <w:bookmarkEnd w:id="1914"/>
      <w:r>
        <w:rPr/>
      </w:r>
      <w:bookmarkStart w:name="_bookmark637" w:id="1915"/>
      <w:bookmarkEnd w:id="1915"/>
      <w:r>
        <w:rPr/>
      </w:r>
      <w:bookmarkStart w:name="_bookmark637" w:id="1916"/>
      <w:bookmarkEnd w:id="1916"/>
      <w:r>
        <w:rPr>
          <w:color w:val="4F81BC"/>
        </w:rPr>
        <w:t>I</w:t>
      </w:r>
      <w:r>
        <w:rPr>
          <w:color w:val="4F81BC"/>
        </w:rPr>
        <w:t>SBLANK</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ISBLANK ( </w:t>
      </w:r>
      <w:r>
        <w:rPr>
          <w:i/>
          <w:sz w:val="22"/>
        </w:rPr>
        <w:t>value </w:t>
      </w:r>
      <w:r>
        <w:rPr>
          <w:rFonts w:ascii="Lucida Console"/>
          <w:sz w:val="20"/>
        </w:rPr>
        <w:t>)</w:t>
      </w:r>
    </w:p>
    <w:p>
      <w:pPr>
        <w:spacing w:before="108"/>
        <w:ind w:left="220" w:right="0" w:firstLine="0"/>
        <w:jc w:val="left"/>
        <w:rPr>
          <w:sz w:val="22"/>
        </w:rPr>
      </w:pPr>
      <w:r>
        <w:rPr>
          <w:b/>
          <w:sz w:val="22"/>
        </w:rPr>
        <w:t>Description: </w:t>
      </w:r>
      <w:r>
        <w:rPr>
          <w:sz w:val="22"/>
        </w:rPr>
        <w:t>Determines if </w:t>
      </w:r>
      <w:r>
        <w:rPr>
          <w:rFonts w:ascii="Times New Roman"/>
          <w:i/>
          <w:sz w:val="22"/>
        </w:rPr>
        <w:t>value </w:t>
      </w:r>
      <w:r>
        <w:rPr>
          <w:sz w:val="22"/>
        </w:rPr>
        <w:t>refers to an empty cell.</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7"/>
        <w:rPr>
          <w:b/>
          <w:sz w:val="19"/>
        </w:rPr>
      </w:pPr>
    </w:p>
    <w:p>
      <w:pPr>
        <w:spacing w:line="453" w:lineRule="auto" w:before="0"/>
        <w:ind w:left="220" w:right="2289"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99"/>
          <w:sz w:val="22"/>
        </w:rPr>
        <w:t> </w:t>
      </w:r>
      <w:r>
        <w:rPr>
          <w:sz w:val="22"/>
        </w:rPr>
        <w:t>if </w:t>
      </w:r>
      <w:r>
        <w:rPr>
          <w:rFonts w:ascii="Times New Roman" w:hAnsi="Times New Roman"/>
          <w:i/>
          <w:sz w:val="22"/>
        </w:rPr>
        <w:t>value </w:t>
      </w:r>
      <w:r>
        <w:rPr>
          <w:sz w:val="22"/>
        </w:rPr>
        <w:t>refers to an empty cell; otherwise, </w:t>
      </w:r>
      <w:r>
        <w:rPr>
          <w:rFonts w:ascii="Consolas" w:hAnsi="Consolas"/>
          <w:sz w:val="22"/>
        </w:rPr>
        <w:t>FALSE</w:t>
      </w:r>
      <w:r>
        <w:rPr>
          <w:sz w:val="22"/>
        </w:rPr>
        <w:t>. [</w:t>
      </w:r>
      <w:r>
        <w:rPr>
          <w:i/>
          <w:sz w:val="22"/>
        </w:rPr>
        <w:t>Example</w:t>
      </w:r>
      <w:r>
        <w:rPr>
          <w:sz w:val="22"/>
        </w:rPr>
        <w:t>:</w:t>
      </w:r>
    </w:p>
    <w:p>
      <w:pPr>
        <w:pStyle w:val="BodyText"/>
        <w:spacing w:before="111"/>
        <w:ind w:left="220"/>
      </w:pPr>
      <w:r>
        <w:rPr>
          <w:rFonts w:ascii="Consolas"/>
        </w:rPr>
        <w:t>ISBLANK(A10)</w:t>
      </w:r>
      <w:r>
        <w:rPr>
          <w:rFonts w:ascii="Consolas"/>
          <w:spacing w:val="-81"/>
        </w:rPr>
        <w:t> </w:t>
      </w:r>
      <w:r>
        <w:rPr/>
        <w:t>results in </w:t>
      </w:r>
      <w:r>
        <w:rPr>
          <w:rFonts w:ascii="Consolas"/>
        </w:rPr>
        <w:t>TRUE</w:t>
      </w:r>
      <w:r>
        <w:rPr/>
        <w:t>, when A10 is empty</w:t>
      </w:r>
    </w:p>
    <w:p>
      <w:pPr>
        <w:pStyle w:val="BodyText"/>
        <w:spacing w:before="38"/>
        <w:ind w:left="220"/>
      </w:pPr>
      <w:r>
        <w:rPr>
          <w:rFonts w:ascii="Consolas"/>
        </w:rPr>
        <w:t>ISBLANK(A10)</w:t>
      </w:r>
      <w:r>
        <w:rPr>
          <w:rFonts w:ascii="Consolas"/>
          <w:spacing w:val="-83"/>
        </w:rPr>
        <w:t> </w:t>
      </w:r>
      <w:r>
        <w:rPr/>
        <w:t>results in </w:t>
      </w:r>
      <w:r>
        <w:rPr>
          <w:rFonts w:ascii="Consolas"/>
        </w:rPr>
        <w:t>FALSE</w:t>
      </w:r>
      <w:r>
        <w:rPr/>
        <w:t>, when A10 contains 123</w:t>
      </w:r>
    </w:p>
    <w:p>
      <w:pPr>
        <w:pStyle w:val="BodyText"/>
        <w:rPr>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5 ISERR" w:id="1917"/>
      <w:bookmarkEnd w:id="1917"/>
      <w:r>
        <w:rPr/>
      </w:r>
      <w:bookmarkStart w:name="_bookmark638" w:id="1918"/>
      <w:bookmarkEnd w:id="1918"/>
      <w:r>
        <w:rPr/>
      </w:r>
      <w:bookmarkStart w:name="_bookmark638" w:id="1919"/>
      <w:bookmarkEnd w:id="1919"/>
      <w:r>
        <w:rPr>
          <w:color w:val="4F81BC"/>
        </w:rPr>
        <w:t>I</w:t>
      </w:r>
      <w:r>
        <w:rPr>
          <w:color w:val="4F81BC"/>
        </w:rPr>
        <w:t>SERR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ISERR ( </w:t>
      </w:r>
      <w:r>
        <w:rPr>
          <w:i/>
          <w:sz w:val="22"/>
        </w:rPr>
        <w:t>value </w:t>
      </w:r>
      <w:r>
        <w:rPr>
          <w:rFonts w:ascii="Lucida Console"/>
          <w:sz w:val="20"/>
        </w:rPr>
        <w:t>)</w:t>
      </w:r>
    </w:p>
    <w:p>
      <w:pPr>
        <w:spacing w:before="109"/>
        <w:ind w:left="220" w:right="0" w:firstLine="0"/>
        <w:jc w:val="left"/>
        <w:rPr>
          <w:sz w:val="22"/>
        </w:rPr>
      </w:pPr>
      <w:r>
        <w:rPr>
          <w:b/>
          <w:sz w:val="22"/>
        </w:rPr>
        <w:t>Description: </w:t>
      </w:r>
      <w:r>
        <w:rPr>
          <w:sz w:val="22"/>
        </w:rPr>
        <w:t>Determines if </w:t>
      </w:r>
      <w:r>
        <w:rPr>
          <w:rFonts w:ascii="Times New Roman"/>
          <w:i/>
          <w:sz w:val="22"/>
        </w:rPr>
        <w:t>value </w:t>
      </w:r>
      <w:r>
        <w:rPr>
          <w:sz w:val="22"/>
        </w:rPr>
        <w:t>is any of the error values other than </w:t>
      </w:r>
      <w:r>
        <w:rPr>
          <w:rFonts w:ascii="Consolas"/>
          <w:sz w:val="22"/>
        </w:rPr>
        <w:t>#N/A</w:t>
      </w:r>
      <w:r>
        <w:rPr>
          <w:sz w:val="22"/>
        </w:rPr>
        <w:t>.</w:t>
      </w:r>
    </w:p>
    <w:p>
      <w:pPr>
        <w:spacing w:after="0"/>
        <w:jc w:val="left"/>
        <w:rPr>
          <w:sz w:val="22"/>
        </w:rPr>
        <w:sectPr>
          <w:pgSz w:w="12240" w:h="15840"/>
          <w:pgMar w:header="763" w:footer="746" w:top="1340" w:bottom="940" w:left="860" w:right="700"/>
        </w:sectPr>
      </w:pPr>
    </w:p>
    <w:p>
      <w:pPr>
        <w:pStyle w:val="Heading4"/>
        <w:spacing w:before="9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7"/>
        <w:rPr>
          <w:b/>
          <w:sz w:val="19"/>
        </w:rPr>
      </w:pPr>
    </w:p>
    <w:p>
      <w:pPr>
        <w:spacing w:line="453" w:lineRule="auto" w:before="0"/>
        <w:ind w:left="220" w:right="0"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102"/>
          <w:sz w:val="22"/>
        </w:rPr>
        <w:t> </w:t>
      </w:r>
      <w:r>
        <w:rPr>
          <w:sz w:val="22"/>
        </w:rPr>
        <w:t>if </w:t>
      </w:r>
      <w:r>
        <w:rPr>
          <w:rFonts w:ascii="Times New Roman" w:hAnsi="Times New Roman"/>
          <w:i/>
          <w:sz w:val="22"/>
        </w:rPr>
        <w:t>value </w:t>
      </w:r>
      <w:r>
        <w:rPr>
          <w:sz w:val="22"/>
        </w:rPr>
        <w:t>is one of the error values, excluding </w:t>
      </w:r>
      <w:r>
        <w:rPr>
          <w:rFonts w:ascii="Consolas" w:hAnsi="Consolas"/>
          <w:sz w:val="22"/>
        </w:rPr>
        <w:t>#N/A</w:t>
      </w:r>
      <w:r>
        <w:rPr>
          <w:sz w:val="22"/>
        </w:rPr>
        <w:t>; otherwise, </w:t>
      </w:r>
      <w:r>
        <w:rPr>
          <w:rFonts w:ascii="Consolas" w:hAnsi="Consolas"/>
          <w:sz w:val="22"/>
        </w:rPr>
        <w:t>FALSE</w:t>
      </w:r>
      <w:r>
        <w:rPr>
          <w:sz w:val="22"/>
        </w:rPr>
        <w:t>. [</w:t>
      </w:r>
      <w:r>
        <w:rPr>
          <w:i/>
          <w:sz w:val="22"/>
        </w:rPr>
        <w:t>Example</w:t>
      </w:r>
      <w:r>
        <w:rPr>
          <w:sz w:val="22"/>
        </w:rPr>
        <w:t>:</w:t>
      </w:r>
    </w:p>
    <w:p>
      <w:pPr>
        <w:pStyle w:val="BodyText"/>
        <w:spacing w:before="108"/>
        <w:ind w:left="220"/>
      </w:pPr>
      <w:r>
        <w:rPr>
          <w:rFonts w:ascii="Consolas"/>
        </w:rPr>
        <w:t>ISERR(A1)</w:t>
      </w:r>
      <w:r>
        <w:rPr>
          <w:rFonts w:ascii="Consolas"/>
          <w:spacing w:val="-71"/>
        </w:rPr>
        <w:t> </w:t>
      </w:r>
      <w:r>
        <w:rPr/>
        <w:t>results in </w:t>
      </w:r>
      <w:r>
        <w:rPr>
          <w:rFonts w:ascii="Consolas"/>
        </w:rPr>
        <w:t>TRUE</w:t>
      </w:r>
      <w:r>
        <w:rPr>
          <w:rFonts w:ascii="Consolas"/>
          <w:spacing w:val="-70"/>
        </w:rPr>
        <w:t> </w:t>
      </w:r>
      <w:r>
        <w:rPr/>
        <w:t>if A1 evaluates to </w:t>
      </w:r>
      <w:r>
        <w:rPr>
          <w:rFonts w:ascii="Consolas"/>
        </w:rPr>
        <w:t>#DIV/0!</w:t>
      </w:r>
      <w:r>
        <w:rPr/>
        <w:t>, for example</w:t>
      </w:r>
    </w:p>
    <w:p>
      <w:pPr>
        <w:pStyle w:val="BodyText"/>
        <w:spacing w:before="41"/>
        <w:ind w:left="220"/>
        <w:rPr>
          <w:rFonts w:ascii="Consolas"/>
        </w:rPr>
      </w:pPr>
      <w:r>
        <w:rPr>
          <w:rFonts w:ascii="Consolas"/>
        </w:rPr>
        <w:t>ISERR(B1)</w:t>
      </w:r>
      <w:r>
        <w:rPr>
          <w:rFonts w:ascii="Consolas"/>
          <w:spacing w:val="-71"/>
        </w:rPr>
        <w:t> </w:t>
      </w:r>
      <w:r>
        <w:rPr/>
        <w:t>results in </w:t>
      </w:r>
      <w:r>
        <w:rPr>
          <w:rFonts w:ascii="Consolas"/>
        </w:rPr>
        <w:t>FALSE</w:t>
      </w:r>
      <w:r>
        <w:rPr>
          <w:rFonts w:ascii="Consolas"/>
          <w:spacing w:val="-69"/>
        </w:rPr>
        <w:t> </w:t>
      </w:r>
      <w:r>
        <w:rPr/>
        <w:t>if B1 evaluates to </w:t>
      </w:r>
      <w:r>
        <w:rPr>
          <w:rFonts w:ascii="Consolas"/>
        </w:rPr>
        <w:t>#N/A</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6 ISERROR" w:id="1920"/>
      <w:bookmarkEnd w:id="1920"/>
      <w:r>
        <w:rPr/>
      </w:r>
      <w:bookmarkStart w:name="_bookmark639" w:id="1921"/>
      <w:bookmarkEnd w:id="1921"/>
      <w:r>
        <w:rPr/>
      </w:r>
      <w:bookmarkStart w:name="_bookmark639" w:id="1922"/>
      <w:bookmarkEnd w:id="1922"/>
      <w:r>
        <w:rPr>
          <w:color w:val="4F81BC"/>
        </w:rPr>
        <w:t>I</w:t>
      </w:r>
      <w:r>
        <w:rPr>
          <w:color w:val="4F81BC"/>
        </w:rPr>
        <w:t>SERROR</w:t>
      </w:r>
    </w:p>
    <w:p>
      <w:pPr>
        <w:pStyle w:val="Heading4"/>
        <w:spacing w:before="122"/>
        <w:rPr>
          <w:b w:val="0"/>
        </w:rPr>
      </w:pPr>
      <w:r>
        <w:rPr/>
        <w:t>Syntax</w:t>
      </w:r>
      <w:r>
        <w:rPr>
          <w:b w:val="0"/>
        </w:rPr>
        <w:t>:</w:t>
      </w:r>
    </w:p>
    <w:p>
      <w:pPr>
        <w:pStyle w:val="BodyText"/>
        <w:spacing w:before="3"/>
        <w:rPr>
          <w:sz w:val="19"/>
        </w:rPr>
      </w:pPr>
    </w:p>
    <w:p>
      <w:pPr>
        <w:spacing w:before="0"/>
        <w:ind w:left="940" w:right="0" w:firstLine="0"/>
        <w:jc w:val="left"/>
        <w:rPr>
          <w:rFonts w:ascii="Lucida Console"/>
          <w:sz w:val="20"/>
        </w:rPr>
      </w:pPr>
      <w:r>
        <w:rPr>
          <w:rFonts w:ascii="Lucida Console"/>
          <w:sz w:val="20"/>
        </w:rPr>
        <w:t>ISERROR ( </w:t>
      </w:r>
      <w:r>
        <w:rPr>
          <w:i/>
          <w:sz w:val="22"/>
        </w:rPr>
        <w:t>value </w:t>
      </w:r>
      <w:r>
        <w:rPr>
          <w:rFonts w:ascii="Lucida Console"/>
          <w:sz w:val="20"/>
        </w:rPr>
        <w:t>)</w:t>
      </w:r>
    </w:p>
    <w:p>
      <w:pPr>
        <w:spacing w:before="108"/>
        <w:ind w:left="220" w:right="0" w:firstLine="0"/>
        <w:jc w:val="left"/>
        <w:rPr>
          <w:sz w:val="22"/>
        </w:rPr>
      </w:pPr>
      <w:r>
        <w:rPr>
          <w:b/>
          <w:sz w:val="22"/>
        </w:rPr>
        <w:t>Description: </w:t>
      </w:r>
      <w:r>
        <w:rPr>
          <w:sz w:val="22"/>
        </w:rPr>
        <w:t>Determines if </w:t>
      </w:r>
      <w:r>
        <w:rPr>
          <w:rFonts w:ascii="Times New Roman"/>
          <w:i/>
          <w:sz w:val="22"/>
        </w:rPr>
        <w:t>value </w:t>
      </w:r>
      <w:r>
        <w:rPr>
          <w:sz w:val="22"/>
        </w:rPr>
        <w:t>is any of the error values.</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7"/>
        <w:rPr>
          <w:b/>
          <w:sz w:val="19"/>
        </w:rPr>
      </w:pPr>
    </w:p>
    <w:p>
      <w:pPr>
        <w:spacing w:line="453" w:lineRule="auto" w:before="0"/>
        <w:ind w:left="220" w:right="1564"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99"/>
          <w:sz w:val="22"/>
        </w:rPr>
        <w:t> </w:t>
      </w:r>
      <w:r>
        <w:rPr>
          <w:sz w:val="22"/>
        </w:rPr>
        <w:t>if </w:t>
      </w:r>
      <w:r>
        <w:rPr>
          <w:rFonts w:ascii="Times New Roman" w:hAnsi="Times New Roman"/>
          <w:i/>
          <w:sz w:val="22"/>
        </w:rPr>
        <w:t>value </w:t>
      </w:r>
      <w:r>
        <w:rPr>
          <w:sz w:val="22"/>
        </w:rPr>
        <w:t>is one of the error values; otherwise, </w:t>
      </w:r>
      <w:r>
        <w:rPr>
          <w:rFonts w:ascii="Consolas" w:hAnsi="Consolas"/>
          <w:sz w:val="22"/>
        </w:rPr>
        <w:t>FALSE</w:t>
      </w:r>
      <w:r>
        <w:rPr>
          <w:sz w:val="22"/>
        </w:rPr>
        <w:t>. [</w:t>
      </w:r>
      <w:r>
        <w:rPr>
          <w:i/>
          <w:sz w:val="22"/>
        </w:rPr>
        <w:t>Example</w:t>
      </w:r>
      <w:r>
        <w:rPr>
          <w:sz w:val="22"/>
        </w:rPr>
        <w:t>:</w:t>
      </w:r>
    </w:p>
    <w:p>
      <w:pPr>
        <w:pStyle w:val="BodyText"/>
        <w:spacing w:before="108"/>
        <w:ind w:left="220"/>
      </w:pPr>
      <w:r>
        <w:rPr>
          <w:rFonts w:ascii="Consolas"/>
        </w:rPr>
        <w:t>ISERROR(A1)</w:t>
      </w:r>
      <w:r>
        <w:rPr>
          <w:rFonts w:ascii="Consolas"/>
          <w:spacing w:val="-69"/>
        </w:rPr>
        <w:t> </w:t>
      </w:r>
      <w:r>
        <w:rPr/>
        <w:t>results in </w:t>
      </w:r>
      <w:r>
        <w:rPr>
          <w:rFonts w:ascii="Consolas"/>
        </w:rPr>
        <w:t>TRUE</w:t>
      </w:r>
      <w:r>
        <w:rPr>
          <w:rFonts w:ascii="Consolas"/>
          <w:spacing w:val="-71"/>
        </w:rPr>
        <w:t> </w:t>
      </w:r>
      <w:r>
        <w:rPr/>
        <w:t>if A1 evaluates to </w:t>
      </w:r>
      <w:r>
        <w:rPr>
          <w:rFonts w:ascii="Consolas"/>
        </w:rPr>
        <w:t>#DIV/0!</w:t>
      </w:r>
      <w:r>
        <w:rPr/>
        <w:t>, for example</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7 ISEVEN" w:id="1923"/>
      <w:bookmarkEnd w:id="1923"/>
      <w:r>
        <w:rPr/>
      </w:r>
      <w:bookmarkStart w:name="_bookmark640" w:id="1924"/>
      <w:bookmarkEnd w:id="1924"/>
      <w:r>
        <w:rPr/>
      </w:r>
      <w:bookmarkStart w:name="_bookmark640" w:id="1925"/>
      <w:bookmarkEnd w:id="1925"/>
      <w:r>
        <w:rPr>
          <w:color w:val="4F81BC"/>
        </w:rPr>
        <w:t>I</w:t>
      </w:r>
      <w:r>
        <w:rPr>
          <w:color w:val="4F81BC"/>
        </w:rPr>
        <w:t>SEVEN</w:t>
      </w:r>
    </w:p>
    <w:p>
      <w:pPr>
        <w:pStyle w:val="Heading4"/>
        <w:spacing w:before="121"/>
        <w:rPr>
          <w:b w:val="0"/>
        </w:rPr>
      </w:pPr>
      <w:r>
        <w:rPr/>
        <w:t>Syntax</w:t>
      </w:r>
      <w:r>
        <w:rPr>
          <w:b w:val="0"/>
        </w:rPr>
        <w:t>:</w:t>
      </w:r>
    </w:p>
    <w:p>
      <w:pPr>
        <w:pStyle w:val="BodyText"/>
        <w:spacing w:before="3"/>
        <w:rPr>
          <w:sz w:val="19"/>
        </w:rPr>
      </w:pPr>
    </w:p>
    <w:p>
      <w:pPr>
        <w:spacing w:before="1"/>
        <w:ind w:left="940" w:right="0" w:firstLine="0"/>
        <w:jc w:val="left"/>
        <w:rPr>
          <w:rFonts w:ascii="Lucida Console"/>
          <w:sz w:val="20"/>
        </w:rPr>
      </w:pPr>
      <w:r>
        <w:rPr>
          <w:rFonts w:ascii="Lucida Console"/>
          <w:sz w:val="20"/>
        </w:rPr>
        <w:t>ISEVEN ( </w:t>
      </w:r>
      <w:r>
        <w:rPr>
          <w:i/>
          <w:sz w:val="22"/>
        </w:rPr>
        <w:t>value </w:t>
      </w:r>
      <w:r>
        <w:rPr>
          <w:rFonts w:ascii="Lucida Console"/>
          <w:sz w:val="20"/>
        </w:rPr>
        <w:t>)</w:t>
      </w:r>
    </w:p>
    <w:p>
      <w:pPr>
        <w:pStyle w:val="BodyText"/>
        <w:spacing w:before="108"/>
        <w:ind w:left="220"/>
      </w:pPr>
      <w:r>
        <w:rPr>
          <w:b/>
        </w:rPr>
        <w:t>Description: </w:t>
      </w:r>
      <w:r>
        <w:rPr/>
        <w:t>Determines if </w:t>
      </w:r>
      <w:r>
        <w:rPr>
          <w:rFonts w:ascii="Times New Roman"/>
          <w:i/>
        </w:rPr>
        <w:t>value </w:t>
      </w:r>
      <w:r>
        <w:rPr/>
        <w:t>is an even number or refers to a cell containing an even number.</w:t>
      </w:r>
    </w:p>
    <w:p>
      <w:pPr>
        <w:pStyle w:val="BodyText"/>
        <w:spacing w:before="8"/>
        <w:rPr>
          <w:sz w:val="19"/>
        </w:rPr>
      </w:pPr>
    </w:p>
    <w:p>
      <w:pPr>
        <w:pStyle w:val="Heading4"/>
      </w:pPr>
      <w:r>
        <w:rPr/>
        <w:t>Arguments:</w:t>
      </w:r>
    </w:p>
    <w:p>
      <w:pPr>
        <w:spacing w:after="0"/>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tested. It is truncated to an integer.</w:t>
            </w:r>
          </w:p>
        </w:tc>
      </w:tr>
    </w:tbl>
    <w:p>
      <w:pPr>
        <w:pStyle w:val="BodyText"/>
        <w:rPr>
          <w:b/>
          <w:sz w:val="20"/>
        </w:rPr>
      </w:pPr>
    </w:p>
    <w:p>
      <w:pPr>
        <w:pStyle w:val="BodyText"/>
        <w:spacing w:before="5"/>
        <w:rPr>
          <w:b/>
          <w:sz w:val="21"/>
        </w:rPr>
      </w:pPr>
    </w:p>
    <w:p>
      <w:pPr>
        <w:spacing w:line="278" w:lineRule="auto" w:before="0"/>
        <w:ind w:left="220" w:right="0"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107"/>
          <w:sz w:val="22"/>
        </w:rPr>
        <w:t> </w:t>
      </w:r>
      <w:r>
        <w:rPr>
          <w:sz w:val="22"/>
        </w:rPr>
        <w:t>if </w:t>
      </w:r>
      <w:r>
        <w:rPr>
          <w:rFonts w:ascii="Times New Roman" w:hAnsi="Times New Roman"/>
          <w:i/>
          <w:sz w:val="22"/>
        </w:rPr>
        <w:t>value </w:t>
      </w:r>
      <w:r>
        <w:rPr>
          <w:sz w:val="22"/>
        </w:rPr>
        <w:t>is an even number or refers to a cell containing an even number; otherwise, </w:t>
      </w:r>
      <w:r>
        <w:rPr>
          <w:rFonts w:ascii="Consolas" w:hAnsi="Consolas"/>
          <w:sz w:val="22"/>
        </w:rPr>
        <w:t>FALSE</w:t>
      </w:r>
      <w:r>
        <w:rPr>
          <w:sz w:val="22"/>
        </w:rPr>
        <w:t>.</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ISEVEN(12.456)</w:t>
      </w:r>
      <w:r>
        <w:rPr>
          <w:rFonts w:ascii="Consolas"/>
          <w:spacing w:val="-74"/>
        </w:rPr>
        <w:t> </w:t>
      </w:r>
      <w:r>
        <w:rPr/>
        <w:t>results in </w:t>
      </w:r>
      <w:r>
        <w:rPr>
          <w:rFonts w:ascii="Consolas"/>
        </w:rPr>
        <w:t>TRUE</w:t>
      </w:r>
    </w:p>
    <w:p>
      <w:pPr>
        <w:pStyle w:val="BodyText"/>
        <w:spacing w:before="41"/>
        <w:ind w:left="220"/>
      </w:pPr>
      <w:r>
        <w:rPr>
          <w:rFonts w:ascii="Consolas"/>
        </w:rPr>
        <w:t>ISEVEN(A10)</w:t>
      </w:r>
      <w:r>
        <w:rPr>
          <w:rFonts w:ascii="Consolas"/>
          <w:spacing w:val="-74"/>
        </w:rPr>
        <w:t> </w:t>
      </w:r>
      <w:r>
        <w:rPr/>
        <w:t>results in </w:t>
      </w:r>
      <w:r>
        <w:rPr>
          <w:rFonts w:ascii="Consolas"/>
        </w:rPr>
        <w:t>FALSE</w:t>
      </w:r>
      <w:r>
        <w:rPr/>
        <w:t>, when A10 contains -15</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8 ISLOGICAL" w:id="1926"/>
      <w:bookmarkEnd w:id="1926"/>
      <w:r>
        <w:rPr/>
      </w:r>
      <w:bookmarkStart w:name="_bookmark641" w:id="1927"/>
      <w:bookmarkEnd w:id="1927"/>
      <w:r>
        <w:rPr/>
      </w:r>
      <w:bookmarkStart w:name="_bookmark641" w:id="1928"/>
      <w:bookmarkEnd w:id="1928"/>
      <w:r>
        <w:rPr>
          <w:color w:val="4F81BC"/>
        </w:rPr>
        <w:t>I</w:t>
      </w:r>
      <w:r>
        <w:rPr>
          <w:color w:val="4F81BC"/>
        </w:rPr>
        <w:t>SLOGICAL</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ISLOGICAL ( </w:t>
      </w:r>
      <w:r>
        <w:rPr>
          <w:i/>
          <w:sz w:val="22"/>
        </w:rPr>
        <w:t>value </w:t>
      </w:r>
      <w:r>
        <w:rPr>
          <w:rFonts w:ascii="Lucida Console"/>
          <w:sz w:val="20"/>
        </w:rPr>
        <w:t>)</w:t>
      </w:r>
    </w:p>
    <w:p>
      <w:pPr>
        <w:pStyle w:val="BodyText"/>
        <w:spacing w:before="109"/>
        <w:ind w:left="220"/>
      </w:pPr>
      <w:r>
        <w:rPr>
          <w:b/>
        </w:rPr>
        <w:t>Description: </w:t>
      </w:r>
      <w:r>
        <w:rPr/>
        <w:t>Determines if </w:t>
      </w:r>
      <w:r>
        <w:rPr>
          <w:rFonts w:ascii="Times New Roman"/>
          <w:i/>
        </w:rPr>
        <w:t>value </w:t>
      </w:r>
      <w:r>
        <w:rPr/>
        <w:t>contains a logical value or refers to a cell containing a logical value.</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4"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5"/>
        <w:rPr>
          <w:b/>
          <w:sz w:val="19"/>
        </w:rPr>
      </w:pPr>
    </w:p>
    <w:p>
      <w:pPr>
        <w:spacing w:line="278" w:lineRule="auto" w:before="0"/>
        <w:ind w:left="220" w:right="503"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101"/>
          <w:sz w:val="22"/>
        </w:rPr>
        <w:t> </w:t>
      </w:r>
      <w:r>
        <w:rPr>
          <w:sz w:val="22"/>
        </w:rPr>
        <w:t>if </w:t>
      </w:r>
      <w:r>
        <w:rPr>
          <w:rFonts w:ascii="Times New Roman" w:hAnsi="Times New Roman"/>
          <w:i/>
          <w:sz w:val="22"/>
        </w:rPr>
        <w:t>value </w:t>
      </w:r>
      <w:r>
        <w:rPr>
          <w:sz w:val="22"/>
        </w:rPr>
        <w:t>contains a logical value or refers to a cell containing a logical value; otherwise, </w:t>
      </w:r>
      <w:r>
        <w:rPr>
          <w:rFonts w:ascii="Consolas" w:hAnsi="Consolas"/>
          <w:sz w:val="22"/>
        </w:rPr>
        <w:t>FALSE</w:t>
      </w:r>
      <w:r>
        <w:rPr>
          <w:sz w:val="22"/>
        </w:rPr>
        <w:t>.</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ISLOGICAL(TRUE)</w:t>
      </w:r>
      <w:r>
        <w:rPr>
          <w:rFonts w:ascii="Consolas"/>
          <w:spacing w:val="-69"/>
        </w:rPr>
        <w:t> </w:t>
      </w:r>
      <w:r>
        <w:rPr/>
        <w:t>results in </w:t>
      </w:r>
      <w:r>
        <w:rPr>
          <w:rFonts w:ascii="Consolas"/>
        </w:rPr>
        <w:t>TRUE</w:t>
      </w:r>
    </w:p>
    <w:p>
      <w:pPr>
        <w:pStyle w:val="BodyText"/>
        <w:spacing w:line="276" w:lineRule="auto" w:before="41"/>
        <w:ind w:left="220" w:right="4547"/>
        <w:rPr>
          <w:rFonts w:ascii="Consolas"/>
        </w:rPr>
      </w:pPr>
      <w:r>
        <w:rPr>
          <w:rFonts w:ascii="Consolas"/>
        </w:rPr>
        <w:t>ISLOGICAL(A10)</w:t>
      </w:r>
      <w:r>
        <w:rPr>
          <w:rFonts w:ascii="Consolas"/>
          <w:spacing w:val="-89"/>
        </w:rPr>
        <w:t> </w:t>
      </w:r>
      <w:r>
        <w:rPr/>
        <w:t>results in </w:t>
      </w:r>
      <w:r>
        <w:rPr>
          <w:rFonts w:ascii="Consolas"/>
        </w:rPr>
        <w:t>FALSE</w:t>
      </w:r>
      <w:r>
        <w:rPr/>
        <w:t>, when A10 contains 123 </w:t>
      </w:r>
      <w:r>
        <w:rPr>
          <w:rFonts w:ascii="Consolas"/>
        </w:rPr>
        <w:t>ISLOGICAL({TRUE,2}) </w:t>
      </w:r>
      <w:r>
        <w:rPr/>
        <w:t>results in </w:t>
      </w:r>
      <w:r>
        <w:rPr>
          <w:rFonts w:ascii="Consolas"/>
        </w:rPr>
        <w:t>TRUE ISLOGICAL({2,TRUE})</w:t>
      </w:r>
      <w:r>
        <w:rPr>
          <w:rFonts w:ascii="Consolas"/>
          <w:spacing w:val="-75"/>
        </w:rPr>
        <w:t> </w:t>
      </w:r>
      <w:r>
        <w:rPr/>
        <w:t>results in </w:t>
      </w:r>
      <w:r>
        <w:rPr>
          <w:rFonts w:ascii="Consolas"/>
        </w:rPr>
        <w:t>FALSE</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79 ISNA" w:id="1929"/>
      <w:bookmarkEnd w:id="1929"/>
      <w:r>
        <w:rPr/>
      </w:r>
      <w:bookmarkStart w:name="_bookmark642" w:id="1930"/>
      <w:bookmarkEnd w:id="1930"/>
      <w:r>
        <w:rPr/>
      </w:r>
      <w:bookmarkStart w:name="_bookmark642" w:id="1931"/>
      <w:bookmarkEnd w:id="1931"/>
      <w:r>
        <w:rPr>
          <w:color w:val="4F81BC"/>
        </w:rPr>
        <w:t>I</w:t>
      </w:r>
      <w:r>
        <w:rPr>
          <w:color w:val="4F81BC"/>
        </w:rPr>
        <w:t>SNA</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ISNA ( </w:t>
      </w:r>
      <w:r>
        <w:rPr>
          <w:i/>
          <w:sz w:val="22"/>
        </w:rPr>
        <w:t>value </w:t>
      </w:r>
      <w:r>
        <w:rPr>
          <w:rFonts w:ascii="Lucida Console"/>
          <w:sz w:val="20"/>
        </w:rPr>
        <w:t>)</w:t>
      </w:r>
    </w:p>
    <w:p>
      <w:pPr>
        <w:spacing w:after="0"/>
        <w:jc w:val="left"/>
        <w:rPr>
          <w:rFonts w:ascii="Lucida Console"/>
          <w:sz w:val="20"/>
        </w:rPr>
        <w:sectPr>
          <w:pgSz w:w="12240" w:h="15840"/>
          <w:pgMar w:header="763" w:footer="746" w:top="1340" w:bottom="940" w:left="860" w:right="700"/>
        </w:sectPr>
      </w:pPr>
    </w:p>
    <w:p>
      <w:pPr>
        <w:spacing w:before="93"/>
        <w:ind w:left="220" w:right="0" w:firstLine="0"/>
        <w:jc w:val="left"/>
        <w:rPr>
          <w:sz w:val="22"/>
        </w:rPr>
      </w:pPr>
      <w:r>
        <w:rPr>
          <w:b/>
          <w:sz w:val="22"/>
        </w:rPr>
        <w:t>Description: </w:t>
      </w:r>
      <w:r>
        <w:rPr>
          <w:sz w:val="22"/>
        </w:rPr>
        <w:t>Determines if </w:t>
      </w:r>
      <w:r>
        <w:rPr>
          <w:rFonts w:ascii="Times New Roman"/>
          <w:i/>
          <w:sz w:val="22"/>
        </w:rPr>
        <w:t>value </w:t>
      </w:r>
      <w:r>
        <w:rPr>
          <w:sz w:val="22"/>
        </w:rPr>
        <w:t>is the error value </w:t>
      </w:r>
      <w:r>
        <w:rPr>
          <w:rFonts w:ascii="Consolas"/>
          <w:sz w:val="22"/>
        </w:rPr>
        <w:t>#N/A</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7"/>
        <w:rPr>
          <w:b/>
          <w:sz w:val="19"/>
        </w:rPr>
      </w:pPr>
    </w:p>
    <w:p>
      <w:pPr>
        <w:spacing w:line="453" w:lineRule="auto" w:before="0"/>
        <w:ind w:left="220" w:right="3786"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97"/>
          <w:sz w:val="22"/>
        </w:rPr>
        <w:t> </w:t>
      </w:r>
      <w:r>
        <w:rPr>
          <w:sz w:val="22"/>
        </w:rPr>
        <w:t>if </w:t>
      </w:r>
      <w:r>
        <w:rPr>
          <w:rFonts w:ascii="Times New Roman" w:hAnsi="Times New Roman"/>
          <w:i/>
          <w:sz w:val="22"/>
        </w:rPr>
        <w:t>value </w:t>
      </w:r>
      <w:r>
        <w:rPr>
          <w:sz w:val="22"/>
        </w:rPr>
        <w:t>is </w:t>
      </w:r>
      <w:r>
        <w:rPr>
          <w:rFonts w:ascii="Consolas" w:hAnsi="Consolas"/>
          <w:sz w:val="22"/>
        </w:rPr>
        <w:t>#N/A</w:t>
      </w:r>
      <w:r>
        <w:rPr>
          <w:sz w:val="22"/>
        </w:rPr>
        <w:t>; otherwise, </w:t>
      </w:r>
      <w:r>
        <w:rPr>
          <w:rFonts w:ascii="Consolas" w:hAnsi="Consolas"/>
          <w:sz w:val="22"/>
        </w:rPr>
        <w:t>FALSE</w:t>
      </w:r>
      <w:r>
        <w:rPr>
          <w:sz w:val="22"/>
        </w:rPr>
        <w:t>. [</w:t>
      </w:r>
      <w:r>
        <w:rPr>
          <w:i/>
          <w:sz w:val="22"/>
        </w:rPr>
        <w:t>Example</w:t>
      </w:r>
      <w:r>
        <w:rPr>
          <w:sz w:val="22"/>
        </w:rPr>
        <w:t>:</w:t>
      </w:r>
    </w:p>
    <w:p>
      <w:pPr>
        <w:pStyle w:val="BodyText"/>
        <w:spacing w:before="109"/>
        <w:ind w:left="220"/>
        <w:rPr>
          <w:rFonts w:ascii="Consolas"/>
        </w:rPr>
      </w:pPr>
      <w:r>
        <w:rPr>
          <w:rFonts w:ascii="Consolas"/>
        </w:rPr>
        <w:t>ISERR(A1)</w:t>
      </w:r>
      <w:r>
        <w:rPr>
          <w:rFonts w:ascii="Consolas"/>
          <w:spacing w:val="-71"/>
        </w:rPr>
        <w:t> </w:t>
      </w:r>
      <w:r>
        <w:rPr/>
        <w:t>results in </w:t>
      </w:r>
      <w:r>
        <w:rPr>
          <w:rFonts w:ascii="Consolas"/>
        </w:rPr>
        <w:t>TRUE</w:t>
      </w:r>
      <w:r>
        <w:rPr>
          <w:rFonts w:ascii="Consolas"/>
          <w:spacing w:val="-70"/>
        </w:rPr>
        <w:t> </w:t>
      </w:r>
      <w:r>
        <w:rPr/>
        <w:t>if A1 evaluates to </w:t>
      </w:r>
      <w:r>
        <w:rPr>
          <w:rFonts w:ascii="Consolas"/>
        </w:rPr>
        <w:t>#N/A</w:t>
      </w:r>
    </w:p>
    <w:p>
      <w:pPr>
        <w:pStyle w:val="BodyText"/>
        <w:spacing w:before="41"/>
        <w:ind w:left="220"/>
      </w:pPr>
      <w:r>
        <w:rPr>
          <w:rFonts w:ascii="Consolas"/>
        </w:rPr>
        <w:t>ISERR(B1)</w:t>
      </w:r>
      <w:r>
        <w:rPr>
          <w:rFonts w:ascii="Consolas"/>
          <w:spacing w:val="-71"/>
        </w:rPr>
        <w:t> </w:t>
      </w:r>
      <w:r>
        <w:rPr/>
        <w:t>results in </w:t>
      </w:r>
      <w:r>
        <w:rPr>
          <w:rFonts w:ascii="Consolas"/>
        </w:rPr>
        <w:t>TRUE</w:t>
      </w:r>
      <w:r>
        <w:rPr>
          <w:rFonts w:ascii="Consolas"/>
          <w:spacing w:val="-70"/>
        </w:rPr>
        <w:t> </w:t>
      </w:r>
      <w:r>
        <w:rPr/>
        <w:t>if B1 evaluates to </w:t>
      </w:r>
      <w:r>
        <w:rPr>
          <w:rFonts w:ascii="Consolas"/>
        </w:rPr>
        <w:t>#DIV/0!</w:t>
      </w:r>
      <w:r>
        <w:rPr/>
        <w:t>, for example</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0 ISNONTEXT" w:id="1932"/>
      <w:bookmarkEnd w:id="1932"/>
      <w:r>
        <w:rPr/>
      </w:r>
      <w:bookmarkStart w:name="_bookmark643" w:id="1933"/>
      <w:bookmarkEnd w:id="1933"/>
      <w:r>
        <w:rPr/>
      </w:r>
      <w:bookmarkStart w:name="_bookmark643" w:id="1934"/>
      <w:bookmarkEnd w:id="1934"/>
      <w:r>
        <w:rPr>
          <w:color w:val="4F81BC"/>
        </w:rPr>
        <w:t>I</w:t>
      </w:r>
      <w:r>
        <w:rPr>
          <w:color w:val="4F81BC"/>
        </w:rPr>
        <w:t>SNONTEXT</w:t>
      </w:r>
    </w:p>
    <w:p>
      <w:pPr>
        <w:pStyle w:val="Heading4"/>
        <w:spacing w:before="123"/>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ISNONTEXT ( </w:t>
      </w:r>
      <w:r>
        <w:rPr>
          <w:i/>
          <w:sz w:val="22"/>
        </w:rPr>
        <w:t>value </w:t>
      </w:r>
      <w:r>
        <w:rPr>
          <w:rFonts w:ascii="Lucida Console"/>
          <w:sz w:val="20"/>
        </w:rPr>
        <w:t>)</w:t>
      </w:r>
    </w:p>
    <w:p>
      <w:pPr>
        <w:pStyle w:val="BodyText"/>
        <w:spacing w:line="276" w:lineRule="auto" w:before="105"/>
        <w:ind w:left="220" w:right="375"/>
      </w:pPr>
      <w:r>
        <w:rPr>
          <w:b/>
        </w:rPr>
        <w:t>Description: </w:t>
      </w:r>
      <w:r>
        <w:rPr/>
        <w:t>Determines if </w:t>
      </w:r>
      <w:r>
        <w:rPr>
          <w:rFonts w:ascii="Times New Roman"/>
          <w:i/>
        </w:rPr>
        <w:t>value </w:t>
      </w:r>
      <w:r>
        <w:rPr/>
        <w:t>does not contain text or does not refer to a cell containing text. An empty cell is not text.</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5"/>
        <w:rPr>
          <w:b/>
          <w:sz w:val="19"/>
        </w:rPr>
      </w:pPr>
    </w:p>
    <w:p>
      <w:pPr>
        <w:spacing w:line="278" w:lineRule="auto" w:before="0"/>
        <w:ind w:left="220" w:right="572"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72"/>
          <w:sz w:val="22"/>
        </w:rPr>
        <w:t> </w:t>
      </w:r>
      <w:r>
        <w:rPr>
          <w:sz w:val="22"/>
        </w:rPr>
        <w:t>if </w:t>
      </w:r>
      <w:r>
        <w:rPr>
          <w:rFonts w:ascii="Times New Roman" w:hAnsi="Times New Roman"/>
          <w:i/>
          <w:sz w:val="22"/>
        </w:rPr>
        <w:t>value </w:t>
      </w:r>
      <w:r>
        <w:rPr>
          <w:sz w:val="22"/>
        </w:rPr>
        <w:t>does not contain text or does not refer to a cell containing text; otherwise, </w:t>
      </w:r>
      <w:r>
        <w:rPr>
          <w:rFonts w:ascii="Consolas" w:hAnsi="Consolas"/>
          <w:sz w:val="22"/>
        </w:rPr>
        <w:t>FALSE</w:t>
      </w:r>
      <w:r>
        <w:rPr>
          <w:sz w:val="22"/>
        </w:rPr>
        <w:t>.</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ISNONTEXT("ABC")</w:t>
      </w:r>
      <w:r>
        <w:rPr>
          <w:rFonts w:ascii="Consolas"/>
          <w:spacing w:val="-68"/>
        </w:rPr>
        <w:t> </w:t>
      </w:r>
      <w:r>
        <w:rPr/>
        <w:t>results in </w:t>
      </w:r>
      <w:r>
        <w:rPr>
          <w:rFonts w:ascii="Consolas"/>
        </w:rPr>
        <w:t>FALSE</w:t>
      </w:r>
    </w:p>
    <w:p>
      <w:pPr>
        <w:pStyle w:val="BodyText"/>
        <w:spacing w:line="276" w:lineRule="auto" w:before="41"/>
        <w:ind w:left="220" w:right="4547"/>
        <w:rPr>
          <w:rFonts w:ascii="Consolas"/>
        </w:rPr>
      </w:pPr>
      <w:r>
        <w:rPr>
          <w:rFonts w:ascii="Consolas"/>
        </w:rPr>
        <w:t>ISNONTEXT(A10)</w:t>
      </w:r>
      <w:r>
        <w:rPr>
          <w:rFonts w:ascii="Consolas"/>
          <w:spacing w:val="-89"/>
        </w:rPr>
        <w:t> </w:t>
      </w:r>
      <w:r>
        <w:rPr/>
        <w:t>results in </w:t>
      </w:r>
      <w:r>
        <w:rPr>
          <w:rFonts w:ascii="Consolas"/>
        </w:rPr>
        <w:t>TRUE</w:t>
      </w:r>
      <w:r>
        <w:rPr/>
        <w:t>, when A10 contains 123 </w:t>
      </w:r>
      <w:r>
        <w:rPr>
          <w:rFonts w:ascii="Consolas"/>
        </w:rPr>
        <w:t>ISNONTEXT({1,"ABC"}) </w:t>
      </w:r>
      <w:r>
        <w:rPr/>
        <w:t>results in </w:t>
      </w:r>
      <w:r>
        <w:rPr>
          <w:rFonts w:ascii="Consolas"/>
        </w:rPr>
        <w:t>TRUE ISNONTEXT({"ABC",1})</w:t>
      </w:r>
      <w:r>
        <w:rPr>
          <w:rFonts w:ascii="Consolas"/>
          <w:spacing w:val="-73"/>
        </w:rPr>
        <w:t> </w:t>
      </w:r>
      <w:r>
        <w:rPr/>
        <w:t>results in </w:t>
      </w:r>
      <w:r>
        <w:rPr>
          <w:rFonts w:ascii="Consolas"/>
        </w:rPr>
        <w:t>FALSE</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footerReference w:type="even" r:id="rId247"/>
          <w:footerReference w:type="default" r:id="rId248"/>
          <w:pgSz w:w="12240" w:h="15840"/>
          <w:pgMar w:footer="746" w:header="761" w:top="1340" w:bottom="940" w:left="860" w:right="700"/>
          <w:pgNumType w:start="226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181 ISNUMBER" w:id="1935"/>
      <w:bookmarkEnd w:id="1935"/>
      <w:r>
        <w:rPr/>
      </w:r>
      <w:bookmarkStart w:name="_bookmark644" w:id="1936"/>
      <w:bookmarkEnd w:id="1936"/>
      <w:r>
        <w:rPr/>
      </w:r>
      <w:bookmarkStart w:name="_bookmark644" w:id="1937"/>
      <w:bookmarkEnd w:id="1937"/>
      <w:r>
        <w:rPr>
          <w:color w:val="4F81BC"/>
        </w:rPr>
        <w:t>I</w:t>
      </w:r>
      <w:r>
        <w:rPr>
          <w:color w:val="4F81BC"/>
        </w:rPr>
        <w:t>SNUMBER</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ISNUMBER ( </w:t>
      </w:r>
      <w:r>
        <w:rPr>
          <w:i/>
          <w:sz w:val="22"/>
        </w:rPr>
        <w:t>value </w:t>
      </w:r>
      <w:r>
        <w:rPr>
          <w:rFonts w:ascii="Lucida Console"/>
          <w:sz w:val="20"/>
        </w:rPr>
        <w:t>)</w:t>
      </w:r>
    </w:p>
    <w:p>
      <w:pPr>
        <w:spacing w:before="108"/>
        <w:ind w:left="220" w:right="0" w:firstLine="0"/>
        <w:jc w:val="left"/>
        <w:rPr>
          <w:sz w:val="22"/>
        </w:rPr>
      </w:pPr>
      <w:r>
        <w:rPr>
          <w:b/>
          <w:sz w:val="22"/>
        </w:rPr>
        <w:t>Description: </w:t>
      </w:r>
      <w:r>
        <w:rPr>
          <w:sz w:val="22"/>
        </w:rPr>
        <w:t>Determines if </w:t>
      </w:r>
      <w:r>
        <w:rPr>
          <w:rFonts w:ascii="Times New Roman"/>
          <w:i/>
          <w:sz w:val="22"/>
        </w:rPr>
        <w:t>value </w:t>
      </w:r>
      <w:r>
        <w:rPr>
          <w:sz w:val="22"/>
        </w:rPr>
        <w:t>contains a number or refers to a cell that contains a number.</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5"/>
        <w:rPr>
          <w:b/>
          <w:sz w:val="19"/>
        </w:rPr>
      </w:pPr>
    </w:p>
    <w:p>
      <w:pPr>
        <w:spacing w:line="278" w:lineRule="auto" w:before="1"/>
        <w:ind w:left="220" w:right="0"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73"/>
          <w:sz w:val="22"/>
        </w:rPr>
        <w:t> </w:t>
      </w:r>
      <w:r>
        <w:rPr>
          <w:sz w:val="22"/>
        </w:rPr>
        <w:t>if </w:t>
      </w:r>
      <w:r>
        <w:rPr>
          <w:rFonts w:ascii="Times New Roman" w:hAnsi="Times New Roman"/>
          <w:i/>
          <w:sz w:val="22"/>
        </w:rPr>
        <w:t>value </w:t>
      </w:r>
      <w:r>
        <w:rPr>
          <w:sz w:val="22"/>
        </w:rPr>
        <w:t>contains a number or refers to a cell that contains a number; otherwise, </w:t>
      </w:r>
      <w:r>
        <w:rPr>
          <w:rFonts w:ascii="Consolas" w:hAnsi="Consolas"/>
          <w:sz w:val="22"/>
        </w:rPr>
        <w:t>FALSE</w:t>
      </w:r>
      <w:r>
        <w:rPr>
          <w:sz w:val="22"/>
        </w:rPr>
        <w:t>.</w:t>
      </w:r>
    </w:p>
    <w:p>
      <w:pPr>
        <w:spacing w:before="195"/>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ind w:left="220"/>
        <w:rPr>
          <w:rFonts w:ascii="Consolas"/>
        </w:rPr>
      </w:pPr>
      <w:r>
        <w:rPr>
          <w:rFonts w:ascii="Consolas"/>
        </w:rPr>
        <w:t>ISNUMBER(10.56)</w:t>
      </w:r>
      <w:r>
        <w:rPr>
          <w:rFonts w:ascii="Consolas"/>
          <w:spacing w:val="-69"/>
        </w:rPr>
        <w:t> </w:t>
      </w:r>
      <w:r>
        <w:rPr/>
        <w:t>results in </w:t>
      </w:r>
      <w:r>
        <w:rPr>
          <w:rFonts w:ascii="Consolas"/>
        </w:rPr>
        <w:t>TRUE</w:t>
      </w:r>
    </w:p>
    <w:p>
      <w:pPr>
        <w:pStyle w:val="BodyText"/>
        <w:spacing w:line="276" w:lineRule="auto" w:before="41"/>
        <w:ind w:left="220" w:right="4547"/>
        <w:rPr>
          <w:rFonts w:ascii="Consolas"/>
        </w:rPr>
      </w:pPr>
      <w:r>
        <w:rPr>
          <w:rFonts w:ascii="Consolas"/>
        </w:rPr>
        <w:t>ISNUMBER(A10)</w:t>
      </w:r>
      <w:r>
        <w:rPr>
          <w:rFonts w:ascii="Consolas"/>
          <w:spacing w:val="-89"/>
        </w:rPr>
        <w:t> </w:t>
      </w:r>
      <w:r>
        <w:rPr/>
        <w:t>results in </w:t>
      </w:r>
      <w:r>
        <w:rPr>
          <w:rFonts w:ascii="Consolas"/>
        </w:rPr>
        <w:t>FALSE</w:t>
      </w:r>
      <w:r>
        <w:rPr/>
        <w:t>, when A10 contains ABC </w:t>
      </w:r>
      <w:r>
        <w:rPr>
          <w:rFonts w:ascii="Consolas"/>
        </w:rPr>
        <w:t>ISNUMBER({1,"ABC"}) </w:t>
      </w:r>
      <w:r>
        <w:rPr/>
        <w:t>results in </w:t>
      </w:r>
      <w:r>
        <w:rPr>
          <w:rFonts w:ascii="Consolas"/>
        </w:rPr>
        <w:t>TRUE ISNUMBER({"ABC",1})</w:t>
      </w:r>
      <w:r>
        <w:rPr>
          <w:rFonts w:ascii="Consolas"/>
          <w:spacing w:val="-75"/>
        </w:rPr>
        <w:t> </w:t>
      </w:r>
      <w:r>
        <w:rPr/>
        <w:t>results in </w:t>
      </w:r>
      <w:r>
        <w:rPr>
          <w:rFonts w:ascii="Consolas"/>
        </w:rPr>
        <w:t>FALSE</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2 ISO.CEILING" w:id="1938"/>
      <w:bookmarkEnd w:id="1938"/>
      <w:r>
        <w:rPr/>
      </w:r>
      <w:bookmarkStart w:name="_bookmark645" w:id="1939"/>
      <w:bookmarkEnd w:id="1939"/>
      <w:r>
        <w:rPr/>
      </w:r>
      <w:bookmarkStart w:name="_bookmark645" w:id="1940"/>
      <w:bookmarkEnd w:id="1940"/>
      <w:r>
        <w:rPr>
          <w:color w:val="4F81BC"/>
        </w:rPr>
        <w:t>I</w:t>
      </w:r>
      <w:r>
        <w:rPr>
          <w:color w:val="4F81BC"/>
        </w:rPr>
        <w:t>SO.CEILING</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ISO.CEILING ( </w:t>
      </w:r>
      <w:r>
        <w:rPr>
          <w:i/>
          <w:sz w:val="22"/>
        </w:rPr>
        <w:t>x </w:t>
      </w:r>
      <w:r>
        <w:rPr>
          <w:rFonts w:ascii="Lucida Console"/>
          <w:sz w:val="20"/>
        </w:rPr>
        <w:t>, </w:t>
      </w:r>
      <w:r>
        <w:rPr>
          <w:sz w:val="22"/>
        </w:rPr>
        <w:t>[ </w:t>
      </w:r>
      <w:r>
        <w:rPr>
          <w:i/>
          <w:sz w:val="22"/>
        </w:rPr>
        <w:t>significance </w:t>
      </w:r>
      <w:r>
        <w:rPr>
          <w:sz w:val="22"/>
        </w:rPr>
        <w:t>] </w:t>
      </w:r>
      <w:r>
        <w:rPr>
          <w:rFonts w:ascii="Lucida Console"/>
          <w:sz w:val="20"/>
        </w:rPr>
        <w:t>)</w:t>
      </w:r>
    </w:p>
    <w:p>
      <w:pPr>
        <w:pStyle w:val="BodyText"/>
        <w:spacing w:line="278" w:lineRule="auto" w:before="106"/>
        <w:ind w:left="220" w:right="664"/>
      </w:pPr>
      <w:r>
        <w:rPr>
          <w:b/>
        </w:rPr>
        <w:t>Description: </w:t>
      </w:r>
      <w:r>
        <w:rPr/>
        <w:t>Computes a value that is </w:t>
      </w:r>
      <w:r>
        <w:rPr>
          <w:rFonts w:ascii="Times New Roman"/>
          <w:i/>
        </w:rPr>
        <w:t>x </w:t>
      </w:r>
      <w:r>
        <w:rPr/>
        <w:t>rounded-up, to the nearest multiple of </w:t>
      </w:r>
      <w:r>
        <w:rPr>
          <w:rFonts w:ascii="Times New Roman"/>
          <w:i/>
        </w:rPr>
        <w:t>significance</w:t>
      </w:r>
      <w:r>
        <w:rPr/>
        <w:t>. Regardless of the sign of </w:t>
      </w:r>
      <w:r>
        <w:rPr>
          <w:rFonts w:ascii="Times New Roman"/>
          <w:i/>
        </w:rPr>
        <w:t>x</w:t>
      </w:r>
      <w:r>
        <w:rPr/>
        <w:t>, a value is rounded up.</w:t>
      </w:r>
    </w:p>
    <w:p>
      <w:pPr>
        <w:pStyle w:val="Heading4"/>
        <w:spacing w:before="198"/>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2"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w:t>
            </w:r>
          </w:p>
        </w:tc>
      </w:tr>
      <w:tr>
        <w:trPr>
          <w:trHeight w:val="1968" w:hRule="atLeast"/>
        </w:trPr>
        <w:tc>
          <w:tcPr>
            <w:tcW w:w="1466" w:type="dxa"/>
          </w:tcPr>
          <w:p>
            <w:pPr>
              <w:pStyle w:val="TableParagraph"/>
              <w:rPr>
                <w:rFonts w:ascii="Times New Roman"/>
                <w:i/>
                <w:sz w:val="22"/>
              </w:rPr>
            </w:pPr>
            <w:r>
              <w:rPr>
                <w:rFonts w:ascii="Times New Roman"/>
                <w:i/>
                <w:sz w:val="22"/>
              </w:rPr>
              <w:t>significance</w:t>
            </w:r>
          </w:p>
        </w:tc>
        <w:tc>
          <w:tcPr>
            <w:tcW w:w="1800" w:type="dxa"/>
          </w:tcPr>
          <w:p>
            <w:pPr>
              <w:pStyle w:val="TableParagraph"/>
              <w:spacing w:before="43"/>
              <w:ind w:left="112"/>
              <w:rPr>
                <w:sz w:val="22"/>
              </w:rPr>
            </w:pPr>
            <w:r>
              <w:rPr>
                <w:sz w:val="22"/>
              </w:rPr>
              <w:t>number</w:t>
            </w:r>
          </w:p>
        </w:tc>
        <w:tc>
          <w:tcPr>
            <w:tcW w:w="5400" w:type="dxa"/>
          </w:tcPr>
          <w:p>
            <w:pPr>
              <w:pStyle w:val="TableParagraph"/>
              <w:spacing w:line="477" w:lineRule="auto" w:before="43"/>
              <w:ind w:left="113" w:right="796"/>
              <w:rPr>
                <w:sz w:val="22"/>
              </w:rPr>
            </w:pPr>
            <w:r>
              <w:rPr>
                <w:sz w:val="22"/>
              </w:rPr>
              <w:t>The optional multiple to which </w:t>
            </w:r>
            <w:r>
              <w:rPr>
                <w:rFonts w:ascii="Times New Roman"/>
                <w:i/>
                <w:sz w:val="22"/>
              </w:rPr>
              <w:t>x </w:t>
            </w:r>
            <w:r>
              <w:rPr>
                <w:sz w:val="22"/>
              </w:rPr>
              <w:t>is to be rounded. If </w:t>
            </w:r>
            <w:r>
              <w:rPr>
                <w:rFonts w:ascii="Times New Roman"/>
                <w:i/>
                <w:sz w:val="22"/>
              </w:rPr>
              <w:t>significance </w:t>
            </w:r>
            <w:r>
              <w:rPr>
                <w:sz w:val="22"/>
              </w:rPr>
              <w:t>is omitted, its default value is 1.</w:t>
            </w:r>
          </w:p>
          <w:p>
            <w:pPr>
              <w:pStyle w:val="TableParagraph"/>
              <w:spacing w:before="4"/>
              <w:ind w:left="113" w:right="272"/>
              <w:rPr>
                <w:sz w:val="22"/>
              </w:rPr>
            </w:pPr>
            <w:r>
              <w:rPr>
                <w:sz w:val="22"/>
              </w:rPr>
              <w:t>[</w:t>
            </w:r>
            <w:r>
              <w:rPr>
                <w:i/>
                <w:sz w:val="22"/>
              </w:rPr>
              <w:t>Note</w:t>
            </w:r>
            <w:r>
              <w:rPr>
                <w:sz w:val="22"/>
              </w:rPr>
              <w:t>: The absolute value of the multiple is used, so the CEILING function will return the mathematical ceiling irrespective of the signs of </w:t>
            </w:r>
            <w:r>
              <w:rPr>
                <w:rFonts w:ascii="Times New Roman"/>
                <w:i/>
                <w:sz w:val="22"/>
              </w:rPr>
              <w:t>x </w:t>
            </w:r>
            <w:r>
              <w:rPr>
                <w:sz w:val="22"/>
              </w:rPr>
              <w:t>and </w:t>
            </w:r>
            <w:r>
              <w:rPr>
                <w:rFonts w:ascii="Times New Roman"/>
                <w:i/>
                <w:sz w:val="22"/>
              </w:rPr>
              <w:t>significance</w:t>
            </w:r>
            <w:r>
              <w:rPr>
                <w:sz w:val="22"/>
              </w:rPr>
              <w:t>. </w:t>
            </w:r>
            <w:r>
              <w:rPr>
                <w:i/>
                <w:sz w:val="22"/>
              </w:rPr>
              <w:t>end note</w:t>
            </w:r>
            <w:r>
              <w:rPr>
                <w:sz w:val="22"/>
              </w:rPr>
              <w:t>]</w:t>
            </w:r>
          </w:p>
        </w:tc>
      </w:tr>
    </w:tbl>
    <w:p>
      <w:pPr>
        <w:spacing w:after="0"/>
        <w:rPr>
          <w:sz w:val="22"/>
        </w:rPr>
        <w:sectPr>
          <w:pgSz w:w="12240" w:h="15840"/>
          <w:pgMar w:header="763" w:footer="746" w:top="1340" w:bottom="940" w:left="860" w:right="700"/>
        </w:sectPr>
      </w:pPr>
    </w:p>
    <w:p>
      <w:pPr>
        <w:spacing w:line="453" w:lineRule="auto" w:before="93"/>
        <w:ind w:left="220" w:right="4918" w:firstLine="0"/>
        <w:jc w:val="left"/>
        <w:rPr>
          <w:sz w:val="22"/>
        </w:rPr>
      </w:pPr>
      <w:r>
        <w:rPr>
          <w:b/>
          <w:sz w:val="22"/>
        </w:rPr>
        <w:t>Return Type and Value: </w:t>
      </w:r>
      <w:r>
        <w:rPr>
          <w:sz w:val="22"/>
        </w:rPr>
        <w:t>number – The rounded-up value of </w:t>
      </w:r>
      <w:r>
        <w:rPr>
          <w:rFonts w:ascii="Times New Roman" w:hAnsi="Times New Roman"/>
          <w:i/>
          <w:sz w:val="22"/>
        </w:rPr>
        <w:t>x</w:t>
      </w:r>
      <w:r>
        <w:rPr>
          <w:sz w:val="22"/>
        </w:rPr>
        <w:t>. However, if </w:t>
      </w:r>
      <w:r>
        <w:rPr>
          <w:rFonts w:ascii="Times New Roman" w:hAnsi="Times New Roman"/>
          <w:i/>
          <w:sz w:val="22"/>
        </w:rPr>
        <w:t>x </w:t>
      </w:r>
      <w:r>
        <w:rPr>
          <w:sz w:val="22"/>
        </w:rPr>
        <w:t>and/or </w:t>
      </w:r>
      <w:r>
        <w:rPr>
          <w:rFonts w:ascii="Times New Roman" w:hAnsi="Times New Roman"/>
          <w:i/>
          <w:sz w:val="22"/>
        </w:rPr>
        <w:t>significance </w:t>
      </w:r>
      <w:r>
        <w:rPr>
          <w:sz w:val="22"/>
        </w:rPr>
        <w:t>is zero, zero is returned. [</w:t>
      </w:r>
      <w:r>
        <w:rPr>
          <w:i/>
          <w:sz w:val="22"/>
        </w:rPr>
        <w:t>Example</w:t>
      </w:r>
      <w:r>
        <w:rPr>
          <w:sz w:val="22"/>
        </w:rPr>
        <w:t>:</w:t>
      </w:r>
    </w:p>
    <w:p>
      <w:pPr>
        <w:pStyle w:val="BodyText"/>
        <w:spacing w:line="276" w:lineRule="auto" w:before="109"/>
        <w:ind w:left="220" w:right="2928"/>
      </w:pPr>
      <w:r>
        <w:rPr>
          <w:rFonts w:ascii="Consolas"/>
        </w:rPr>
        <w:t>ISO.CEILING(4.3) </w:t>
      </w:r>
      <w:r>
        <w:rPr/>
        <w:t>rounds 4.3 up to nearest multiple of 1; that is, to 5 </w:t>
      </w:r>
      <w:r>
        <w:rPr>
          <w:rFonts w:ascii="Consolas"/>
        </w:rPr>
        <w:t>ISO.CEILING(-4.3) </w:t>
      </w:r>
      <w:r>
        <w:rPr/>
        <w:t>rounds -4.3 up to nearest multiple of 1; that is, to </w:t>
      </w:r>
      <w:r>
        <w:rPr>
          <w:rFonts w:ascii="Consolas"/>
        </w:rPr>
        <w:t>-4 ISO.CEILING(4.3, 2) </w:t>
      </w:r>
      <w:r>
        <w:rPr/>
        <w:t>rounds 4.3 up to the nearest multiple of 2; that is, to 6 </w:t>
      </w:r>
      <w:r>
        <w:rPr>
          <w:rFonts w:ascii="Consolas"/>
        </w:rPr>
        <w:t>ISO.CEILING(4.3,-2) </w:t>
      </w:r>
      <w:r>
        <w:rPr/>
        <w:t>rounds 4.3 up to the nearest multiple of -2; that is, to 6 </w:t>
      </w:r>
      <w:r>
        <w:rPr>
          <w:rFonts w:ascii="Consolas"/>
        </w:rPr>
        <w:t>ISO.CEILING(-4.3,2) </w:t>
      </w:r>
      <w:r>
        <w:rPr/>
        <w:t>rounds -4.3 up to the nearest multiple of 2; that is, to -4 </w:t>
      </w:r>
      <w:r>
        <w:rPr>
          <w:rFonts w:ascii="Consolas"/>
        </w:rPr>
        <w:t>ISO.CEILING(-4.3,-2)</w:t>
      </w:r>
      <w:r>
        <w:rPr>
          <w:rFonts w:ascii="Consolas"/>
          <w:spacing w:val="-93"/>
        </w:rPr>
        <w:t> </w:t>
      </w:r>
      <w:r>
        <w:rPr/>
        <w:t>rounds -4.3 up to the nearest multiple of -2; that is, to -4</w:t>
      </w:r>
    </w:p>
    <w:p>
      <w:pPr>
        <w:pStyle w:val="BodyText"/>
        <w:spacing w:before="7"/>
        <w:rPr>
          <w:sz w:val="25"/>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3 ISODD" w:id="1941"/>
      <w:bookmarkEnd w:id="1941"/>
      <w:r>
        <w:rPr/>
      </w:r>
      <w:bookmarkStart w:name="_bookmark646" w:id="1942"/>
      <w:bookmarkEnd w:id="1942"/>
      <w:r>
        <w:rPr/>
      </w:r>
      <w:bookmarkStart w:name="_bookmark646" w:id="1943"/>
      <w:bookmarkEnd w:id="1943"/>
      <w:r>
        <w:rPr>
          <w:color w:val="4F81BC"/>
        </w:rPr>
        <w:t>I</w:t>
      </w:r>
      <w:r>
        <w:rPr>
          <w:color w:val="4F81BC"/>
        </w:rPr>
        <w:t>SODD</w:t>
      </w:r>
    </w:p>
    <w:p>
      <w:pPr>
        <w:pStyle w:val="Heading4"/>
        <w:spacing w:before="122"/>
        <w:rPr>
          <w:b w:val="0"/>
        </w:rPr>
      </w:pPr>
      <w:r>
        <w:rPr/>
        <w:t>Syntax</w:t>
      </w:r>
      <w:r>
        <w:rPr>
          <w:b w:val="0"/>
        </w:rPr>
        <w:t>:</w:t>
      </w:r>
    </w:p>
    <w:p>
      <w:pPr>
        <w:pStyle w:val="BodyText"/>
        <w:spacing w:before="1"/>
        <w:rPr>
          <w:sz w:val="19"/>
        </w:rPr>
      </w:pPr>
    </w:p>
    <w:p>
      <w:pPr>
        <w:spacing w:before="0"/>
        <w:ind w:left="165" w:right="7339" w:firstLine="0"/>
        <w:jc w:val="center"/>
        <w:rPr>
          <w:rFonts w:ascii="Lucida Console"/>
          <w:sz w:val="20"/>
        </w:rPr>
      </w:pPr>
      <w:r>
        <w:rPr>
          <w:rFonts w:ascii="Lucida Console"/>
          <w:sz w:val="20"/>
        </w:rPr>
        <w:t>ISODD ( </w:t>
      </w:r>
      <w:r>
        <w:rPr>
          <w:i/>
          <w:sz w:val="22"/>
        </w:rPr>
        <w:t>value </w:t>
      </w:r>
      <w:r>
        <w:rPr>
          <w:rFonts w:ascii="Lucida Console"/>
          <w:sz w:val="20"/>
        </w:rPr>
        <w:t>)</w:t>
      </w:r>
    </w:p>
    <w:p>
      <w:pPr>
        <w:pStyle w:val="BodyText"/>
        <w:spacing w:before="110"/>
        <w:ind w:left="220"/>
      </w:pPr>
      <w:r>
        <w:rPr>
          <w:b/>
        </w:rPr>
        <w:t>Description: </w:t>
      </w:r>
      <w:r>
        <w:rPr/>
        <w:t>Determines if </w:t>
      </w:r>
      <w:r>
        <w:rPr>
          <w:rFonts w:ascii="Times New Roman"/>
          <w:i/>
        </w:rPr>
        <w:t>value </w:t>
      </w:r>
      <w:r>
        <w:rPr/>
        <w:t>is an odd number or refers to a cell containing an odd number.</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7" w:hRule="atLeast"/>
        </w:trPr>
        <w:tc>
          <w:tcPr>
            <w:tcW w:w="1466" w:type="dxa"/>
          </w:tcPr>
          <w:p>
            <w:pPr>
              <w:pStyle w:val="TableParagraph"/>
              <w:spacing w:before="39"/>
              <w:rPr>
                <w:rFonts w:ascii="Times New Roman"/>
                <w:i/>
                <w:sz w:val="22"/>
              </w:rPr>
            </w:pPr>
            <w:r>
              <w:rPr>
                <w:rFonts w:ascii="Times New Roman"/>
                <w:i/>
                <w:sz w:val="22"/>
              </w:rPr>
              <w:t>value</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value to be tested. It is truncated to an integer.</w:t>
            </w:r>
          </w:p>
        </w:tc>
      </w:tr>
    </w:tbl>
    <w:p>
      <w:pPr>
        <w:pStyle w:val="BodyText"/>
        <w:rPr>
          <w:b/>
        </w:rPr>
      </w:pPr>
    </w:p>
    <w:p>
      <w:pPr>
        <w:pStyle w:val="BodyText"/>
        <w:spacing w:before="5"/>
        <w:rPr>
          <w:b/>
          <w:sz w:val="19"/>
        </w:rPr>
      </w:pPr>
    </w:p>
    <w:p>
      <w:pPr>
        <w:spacing w:line="276" w:lineRule="auto" w:before="0"/>
        <w:ind w:left="220" w:right="0"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102"/>
          <w:sz w:val="22"/>
        </w:rPr>
        <w:t> </w:t>
      </w:r>
      <w:r>
        <w:rPr>
          <w:sz w:val="22"/>
        </w:rPr>
        <w:t>if </w:t>
      </w:r>
      <w:r>
        <w:rPr>
          <w:rFonts w:ascii="Times New Roman" w:hAnsi="Times New Roman"/>
          <w:i/>
          <w:sz w:val="22"/>
        </w:rPr>
        <w:t>value </w:t>
      </w:r>
      <w:r>
        <w:rPr>
          <w:sz w:val="22"/>
        </w:rPr>
        <w:t>is an odd number or refers to a cell containing an odd number; otherwise, </w:t>
      </w:r>
      <w:r>
        <w:rPr>
          <w:rFonts w:ascii="Consolas" w:hAnsi="Consolas"/>
          <w:sz w:val="22"/>
        </w:rPr>
        <w:t>FALSE</w:t>
      </w:r>
      <w:r>
        <w:rPr>
          <w:sz w:val="22"/>
        </w:rPr>
        <w:t>.</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165" w:right="7310"/>
        <w:jc w:val="center"/>
        <w:rPr>
          <w:rFonts w:ascii="Consolas"/>
        </w:rPr>
      </w:pPr>
      <w:r>
        <w:rPr>
          <w:rFonts w:ascii="Consolas"/>
        </w:rPr>
        <w:t>ISODD(12.456)</w:t>
      </w:r>
      <w:r>
        <w:rPr>
          <w:rFonts w:ascii="Consolas"/>
          <w:spacing w:val="-75"/>
        </w:rPr>
        <w:t> </w:t>
      </w:r>
      <w:r>
        <w:rPr/>
        <w:t>results in </w:t>
      </w:r>
      <w:r>
        <w:rPr>
          <w:rFonts w:ascii="Consolas"/>
        </w:rPr>
        <w:t>FALSE</w:t>
      </w:r>
    </w:p>
    <w:p>
      <w:pPr>
        <w:pStyle w:val="BodyText"/>
        <w:spacing w:before="38"/>
        <w:ind w:left="220"/>
        <w:rPr>
          <w:rFonts w:ascii="Consolas"/>
        </w:rPr>
      </w:pPr>
      <w:r>
        <w:rPr>
          <w:rFonts w:ascii="Consolas"/>
        </w:rPr>
        <w:t>ISODD(A10)</w:t>
      </w:r>
      <w:r>
        <w:rPr>
          <w:rFonts w:ascii="Consolas"/>
          <w:spacing w:val="-79"/>
        </w:rPr>
        <w:t> </w:t>
      </w:r>
      <w:r>
        <w:rPr/>
        <w:t>results in </w:t>
      </w:r>
      <w:r>
        <w:rPr>
          <w:rFonts w:ascii="Consolas"/>
        </w:rPr>
        <w:t>TRUE</w:t>
      </w:r>
      <w:r>
        <w:rPr/>
        <w:t>, when A10 contains </w:t>
      </w:r>
      <w:r>
        <w:rPr>
          <w:rFonts w:ascii="Consolas"/>
        </w:rPr>
        <w:t>-15</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4 ISPMT" w:id="1944"/>
      <w:bookmarkEnd w:id="1944"/>
      <w:r>
        <w:rPr/>
      </w:r>
      <w:bookmarkStart w:name="_bookmark647" w:id="1945"/>
      <w:bookmarkEnd w:id="1945"/>
      <w:r>
        <w:rPr/>
      </w:r>
      <w:bookmarkStart w:name="_bookmark647" w:id="1946"/>
      <w:bookmarkEnd w:id="1946"/>
      <w:r>
        <w:rPr>
          <w:color w:val="4F81BC"/>
        </w:rPr>
        <w:t>I</w:t>
      </w:r>
      <w:r>
        <w:rPr>
          <w:color w:val="4F81BC"/>
        </w:rPr>
        <w:t>SPMT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ISPMT ( </w:t>
      </w:r>
      <w:r>
        <w:rPr>
          <w:i/>
          <w:sz w:val="22"/>
        </w:rPr>
        <w:t>rate </w:t>
      </w:r>
      <w:r>
        <w:rPr>
          <w:rFonts w:ascii="Lucida Console"/>
          <w:sz w:val="20"/>
        </w:rPr>
        <w:t>, </w:t>
      </w:r>
      <w:r>
        <w:rPr>
          <w:i/>
          <w:sz w:val="22"/>
        </w:rPr>
        <w:t>per</w:t>
      </w:r>
      <w:r>
        <w:rPr>
          <w:rFonts w:ascii="Lucida Console"/>
          <w:sz w:val="20"/>
        </w:rPr>
        <w:t>, </w:t>
      </w:r>
      <w:r>
        <w:rPr>
          <w:i/>
          <w:sz w:val="22"/>
        </w:rPr>
        <w:t>nper </w:t>
      </w:r>
      <w:r>
        <w:rPr>
          <w:rFonts w:ascii="Lucida Console"/>
          <w:sz w:val="20"/>
        </w:rPr>
        <w:t>, </w:t>
      </w:r>
      <w:r>
        <w:rPr>
          <w:i/>
          <w:sz w:val="22"/>
        </w:rPr>
        <w:t>pv </w:t>
      </w:r>
      <w:r>
        <w:rPr>
          <w:rFonts w:ascii="Lucida Console"/>
          <w:sz w:val="20"/>
        </w:rPr>
        <w:t>)</w:t>
      </w:r>
    </w:p>
    <w:p>
      <w:pPr>
        <w:pStyle w:val="BodyText"/>
        <w:spacing w:before="108"/>
        <w:ind w:left="220"/>
      </w:pPr>
      <w:r>
        <w:rPr>
          <w:b/>
        </w:rPr>
        <w:t>Description</w:t>
      </w:r>
      <w:r>
        <w:rPr/>
        <w:t>: Computes the interest paid during a specific period of an investment.</w:t>
      </w:r>
    </w:p>
    <w:p>
      <w:pPr>
        <w:pStyle w:val="BodyText"/>
        <w:spacing w:before="8"/>
        <w:rPr>
          <w:sz w:val="19"/>
        </w:rPr>
      </w:pPr>
    </w:p>
    <w:p>
      <w:pPr>
        <w:pStyle w:val="Heading4"/>
        <w:spacing w:before="1"/>
        <w:rPr>
          <w:b w:val="0"/>
        </w:rPr>
      </w:pPr>
      <w:r>
        <w:rPr/>
        <w:t>Arguments</w:t>
      </w:r>
      <w:r>
        <w:rPr>
          <w:b w:val="0"/>
        </w:rPr>
        <w:t>:</w:t>
      </w:r>
    </w:p>
    <w:p>
      <w:pPr>
        <w:spacing w:after="0"/>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interest rate for the investment.</w:t>
            </w:r>
          </w:p>
        </w:tc>
      </w:tr>
      <w:tr>
        <w:trPr>
          <w:trHeight w:val="621" w:hRule="atLeast"/>
        </w:trPr>
        <w:tc>
          <w:tcPr>
            <w:tcW w:w="1466" w:type="dxa"/>
          </w:tcPr>
          <w:p>
            <w:pPr>
              <w:pStyle w:val="TableParagraph"/>
              <w:spacing w:before="37"/>
              <w:rPr>
                <w:rFonts w:ascii="Times New Roman"/>
                <w:i/>
                <w:sz w:val="22"/>
              </w:rPr>
            </w:pPr>
            <w:r>
              <w:rPr>
                <w:rFonts w:ascii="Times New Roman"/>
                <w:i/>
                <w:sz w:val="22"/>
              </w:rPr>
              <w:t>per</w:t>
            </w:r>
          </w:p>
        </w:tc>
        <w:tc>
          <w:tcPr>
            <w:tcW w:w="1800" w:type="dxa"/>
          </w:tcPr>
          <w:p>
            <w:pPr>
              <w:pStyle w:val="TableParagraph"/>
              <w:ind w:left="112"/>
              <w:rPr>
                <w:sz w:val="22"/>
              </w:rPr>
            </w:pPr>
            <w:r>
              <w:rPr>
                <w:sz w:val="22"/>
              </w:rPr>
              <w:t>number</w:t>
            </w:r>
          </w:p>
        </w:tc>
        <w:tc>
          <w:tcPr>
            <w:tcW w:w="5400" w:type="dxa"/>
          </w:tcPr>
          <w:p>
            <w:pPr>
              <w:pStyle w:val="TableParagraph"/>
              <w:ind w:left="113" w:right="127"/>
              <w:rPr>
                <w:sz w:val="22"/>
              </w:rPr>
            </w:pPr>
            <w:r>
              <w:rPr>
                <w:sz w:val="22"/>
              </w:rPr>
              <w:t>The period for which the interest is to be found, and shall be in the range 1–</w:t>
            </w:r>
            <w:r>
              <w:rPr>
                <w:rFonts w:ascii="Times New Roman" w:hAnsi="Times New Roman"/>
                <w:i/>
                <w:sz w:val="22"/>
              </w:rPr>
              <w:t>nper</w:t>
            </w:r>
            <w:r>
              <w:rPr>
                <w:sz w:val="22"/>
              </w:rPr>
              <w:t>.</w:t>
            </w:r>
          </w:p>
        </w:tc>
      </w:tr>
      <w:tr>
        <w:trPr>
          <w:trHeight w:val="354" w:hRule="atLeast"/>
        </w:trPr>
        <w:tc>
          <w:tcPr>
            <w:tcW w:w="1466" w:type="dxa"/>
          </w:tcPr>
          <w:p>
            <w:pPr>
              <w:pStyle w:val="TableParagraph"/>
              <w:spacing w:before="39"/>
              <w:rPr>
                <w:rFonts w:ascii="Times New Roman"/>
                <w:i/>
                <w:sz w:val="22"/>
              </w:rPr>
            </w:pPr>
            <w:r>
              <w:rPr>
                <w:rFonts w:ascii="Times New Roman"/>
                <w:i/>
                <w:sz w:val="22"/>
              </w:rPr>
              <w:t>nper</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total number of payment periods for the investment.</w:t>
            </w:r>
          </w:p>
        </w:tc>
      </w:tr>
      <w:tr>
        <w:trPr>
          <w:trHeight w:val="354"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present value the investment.</w:t>
            </w:r>
          </w:p>
        </w:tc>
      </w:tr>
    </w:tbl>
    <w:p>
      <w:pPr>
        <w:pStyle w:val="BodyText"/>
        <w:rPr>
          <w:sz w:val="20"/>
        </w:rPr>
      </w:pPr>
    </w:p>
    <w:p>
      <w:pPr>
        <w:pStyle w:val="BodyText"/>
        <w:spacing w:before="10"/>
        <w:rPr>
          <w:sz w:val="16"/>
        </w:rPr>
      </w:pPr>
    </w:p>
    <w:p>
      <w:pPr>
        <w:pStyle w:val="BodyText"/>
        <w:spacing w:line="278" w:lineRule="auto" w:before="56"/>
        <w:ind w:left="220" w:right="485"/>
      </w:pPr>
      <w:r>
        <w:rPr/>
        <w:t>Arguments representing cash paid by investor shall be expressed as negative numbers; arguments representing cash received by the investor shall be expressed as positive numbers.</w:t>
      </w:r>
    </w:p>
    <w:p>
      <w:pPr>
        <w:pStyle w:val="BodyText"/>
        <w:spacing w:before="2"/>
        <w:rPr>
          <w:sz w:val="16"/>
        </w:rPr>
      </w:pPr>
    </w:p>
    <w:p>
      <w:pPr>
        <w:spacing w:line="453" w:lineRule="auto" w:before="0"/>
        <w:ind w:left="220" w:right="2068" w:firstLine="0"/>
        <w:jc w:val="left"/>
        <w:rPr>
          <w:sz w:val="22"/>
        </w:rPr>
      </w:pPr>
      <w:r>
        <w:rPr>
          <w:b/>
          <w:sz w:val="22"/>
        </w:rPr>
        <w:t>Return Type and Value</w:t>
      </w:r>
      <w:r>
        <w:rPr>
          <w:sz w:val="22"/>
        </w:rPr>
        <w:t>: number – The interest paid during a specific period of an investment. [</w:t>
      </w:r>
      <w:r>
        <w:rPr>
          <w:i/>
          <w:sz w:val="22"/>
        </w:rPr>
        <w:t>Example</w:t>
      </w:r>
      <w:r>
        <w:rPr>
          <w:sz w:val="22"/>
        </w:rPr>
        <w:t>:</w:t>
      </w:r>
    </w:p>
    <w:p>
      <w:pPr>
        <w:pStyle w:val="BodyText"/>
        <w:spacing w:line="273" w:lineRule="auto" w:before="111"/>
        <w:ind w:left="220" w:right="4547"/>
        <w:rPr>
          <w:rFonts w:ascii="Consolas"/>
        </w:rPr>
      </w:pPr>
      <w:r>
        <w:rPr>
          <w:rFonts w:ascii="Consolas"/>
        </w:rPr>
        <w:t>ISPMT(0.1/12,1,3*12,8000000)</w:t>
      </w:r>
      <w:r>
        <w:rPr>
          <w:rFonts w:ascii="Consolas"/>
          <w:spacing w:val="-71"/>
        </w:rPr>
        <w:t> </w:t>
      </w:r>
      <w:r>
        <w:rPr/>
        <w:t>results in </w:t>
      </w:r>
      <w:r>
        <w:rPr>
          <w:rFonts w:ascii="Consolas"/>
        </w:rPr>
        <w:t>-64814.81 ISPMT(0.1,1,3,8000000) </w:t>
      </w:r>
      <w:r>
        <w:rPr/>
        <w:t>results in </w:t>
      </w:r>
      <w:r>
        <w:rPr>
          <w:rFonts w:ascii="Consolas"/>
        </w:rPr>
        <w:t>-533333.33</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5 ISREF" w:id="1947"/>
      <w:bookmarkEnd w:id="1947"/>
      <w:r>
        <w:rPr/>
      </w:r>
      <w:bookmarkStart w:name="_bookmark648" w:id="1948"/>
      <w:bookmarkEnd w:id="1948"/>
      <w:r>
        <w:rPr/>
      </w:r>
      <w:bookmarkStart w:name="_bookmark648" w:id="1949"/>
      <w:bookmarkEnd w:id="1949"/>
      <w:r>
        <w:rPr>
          <w:color w:val="4F81BC"/>
        </w:rPr>
        <w:t>I</w:t>
      </w:r>
      <w:r>
        <w:rPr>
          <w:color w:val="4F81BC"/>
        </w:rPr>
        <w:t>SREF</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ISREF ( </w:t>
      </w:r>
      <w:r>
        <w:rPr>
          <w:i/>
          <w:sz w:val="22"/>
        </w:rPr>
        <w:t>value </w:t>
      </w:r>
      <w:r>
        <w:rPr>
          <w:rFonts w:ascii="Lucida Console"/>
          <w:sz w:val="20"/>
        </w:rPr>
        <w:t>)</w:t>
      </w:r>
    </w:p>
    <w:p>
      <w:pPr>
        <w:spacing w:before="109"/>
        <w:ind w:left="220" w:right="0" w:firstLine="0"/>
        <w:jc w:val="left"/>
        <w:rPr>
          <w:sz w:val="22"/>
        </w:rPr>
      </w:pPr>
      <w:r>
        <w:rPr>
          <w:b/>
          <w:sz w:val="22"/>
        </w:rPr>
        <w:t>Description: </w:t>
      </w:r>
      <w:r>
        <w:rPr>
          <w:sz w:val="22"/>
        </w:rPr>
        <w:t>Determines if </w:t>
      </w:r>
      <w:r>
        <w:rPr>
          <w:rFonts w:ascii="Times New Roman"/>
          <w:i/>
          <w:sz w:val="22"/>
        </w:rPr>
        <w:t>value </w:t>
      </w:r>
      <w:r>
        <w:rPr>
          <w:sz w:val="22"/>
        </w:rPr>
        <w:t>is a cell reference.</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7"/>
        <w:rPr>
          <w:b/>
          <w:sz w:val="19"/>
        </w:rPr>
      </w:pPr>
    </w:p>
    <w:p>
      <w:pPr>
        <w:spacing w:line="453" w:lineRule="auto" w:before="0"/>
        <w:ind w:left="220" w:right="2289"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95"/>
          <w:sz w:val="22"/>
        </w:rPr>
        <w:t> </w:t>
      </w:r>
      <w:r>
        <w:rPr>
          <w:sz w:val="22"/>
        </w:rPr>
        <w:t>if </w:t>
      </w:r>
      <w:r>
        <w:rPr>
          <w:rFonts w:ascii="Times New Roman" w:hAnsi="Times New Roman"/>
          <w:i/>
          <w:sz w:val="22"/>
        </w:rPr>
        <w:t>value </w:t>
      </w:r>
      <w:r>
        <w:rPr>
          <w:sz w:val="22"/>
        </w:rPr>
        <w:t>is a cell reference; otherwise, </w:t>
      </w:r>
      <w:r>
        <w:rPr>
          <w:rFonts w:ascii="Consolas" w:hAnsi="Consolas"/>
          <w:sz w:val="22"/>
        </w:rPr>
        <w:t>FALSE</w:t>
      </w:r>
      <w:r>
        <w:rPr>
          <w:sz w:val="22"/>
        </w:rPr>
        <w:t>. [</w:t>
      </w:r>
      <w:r>
        <w:rPr>
          <w:i/>
          <w:sz w:val="22"/>
        </w:rPr>
        <w:t>Example</w:t>
      </w:r>
      <w:r>
        <w:rPr>
          <w:sz w:val="22"/>
        </w:rPr>
        <w:t>:</w:t>
      </w:r>
    </w:p>
    <w:p>
      <w:pPr>
        <w:pStyle w:val="BodyText"/>
        <w:spacing w:line="276" w:lineRule="auto" w:before="109"/>
        <w:ind w:left="220" w:right="7482"/>
        <w:rPr>
          <w:rFonts w:ascii="Consolas"/>
        </w:rPr>
      </w:pPr>
      <w:r>
        <w:rPr>
          <w:rFonts w:ascii="Consolas"/>
        </w:rPr>
        <w:t>ISREF("ABC")</w:t>
      </w:r>
      <w:r>
        <w:rPr>
          <w:rFonts w:ascii="Consolas"/>
          <w:spacing w:val="-83"/>
        </w:rPr>
        <w:t> </w:t>
      </w:r>
      <w:r>
        <w:rPr/>
        <w:t>results in </w:t>
      </w:r>
      <w:r>
        <w:rPr>
          <w:rFonts w:ascii="Consolas"/>
        </w:rPr>
        <w:t>FALSE ISREF(A10)</w:t>
      </w:r>
      <w:r>
        <w:rPr>
          <w:rFonts w:ascii="Consolas"/>
          <w:spacing w:val="-75"/>
        </w:rPr>
        <w:t> </w:t>
      </w:r>
      <w:r>
        <w:rPr/>
        <w:t>results in </w:t>
      </w:r>
      <w:r>
        <w:rPr>
          <w:rFonts w:ascii="Consolas"/>
        </w:rPr>
        <w:t>TRUE</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186 ISTEXT" w:id="1950"/>
      <w:bookmarkEnd w:id="1950"/>
      <w:r>
        <w:rPr/>
      </w:r>
      <w:bookmarkStart w:name="_bookmark649" w:id="1951"/>
      <w:bookmarkEnd w:id="1951"/>
      <w:r>
        <w:rPr/>
      </w:r>
      <w:bookmarkStart w:name="_bookmark649" w:id="1952"/>
      <w:bookmarkEnd w:id="1952"/>
      <w:r>
        <w:rPr>
          <w:color w:val="4F81BC"/>
        </w:rPr>
        <w:t>I</w:t>
      </w:r>
      <w:r>
        <w:rPr>
          <w:color w:val="4F81BC"/>
        </w:rPr>
        <w:t>STEXT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ISTEXT ( </w:t>
      </w:r>
      <w:r>
        <w:rPr>
          <w:i/>
          <w:sz w:val="22"/>
        </w:rPr>
        <w:t>value </w:t>
      </w:r>
      <w:r>
        <w:rPr>
          <w:rFonts w:ascii="Lucida Console"/>
          <w:sz w:val="20"/>
        </w:rPr>
        <w:t>)</w:t>
      </w:r>
    </w:p>
    <w:p>
      <w:pPr>
        <w:spacing w:before="108"/>
        <w:ind w:left="220" w:right="0" w:firstLine="0"/>
        <w:jc w:val="left"/>
        <w:rPr>
          <w:sz w:val="22"/>
        </w:rPr>
      </w:pPr>
      <w:r>
        <w:rPr>
          <w:b/>
          <w:sz w:val="22"/>
        </w:rPr>
        <w:t>Description: </w:t>
      </w:r>
      <w:r>
        <w:rPr>
          <w:sz w:val="22"/>
        </w:rPr>
        <w:t>Determines if </w:t>
      </w:r>
      <w:r>
        <w:rPr>
          <w:rFonts w:ascii="Times New Roman"/>
          <w:i/>
          <w:sz w:val="22"/>
        </w:rPr>
        <w:t>value </w:t>
      </w:r>
      <w:r>
        <w:rPr>
          <w:sz w:val="22"/>
        </w:rPr>
        <w:t>contains text or refers to a cell containing text.</w:t>
      </w:r>
    </w:p>
    <w:p>
      <w:pPr>
        <w:pStyle w:val="BodyText"/>
        <w:spacing w:before="8"/>
        <w:rPr>
          <w:sz w:val="19"/>
        </w:rPr>
      </w:pPr>
    </w:p>
    <w:p>
      <w:pPr>
        <w:pStyle w:val="Heading4"/>
        <w:spacing w:before="1"/>
      </w:pPr>
      <w:r>
        <w:rPr/>
        <w:t>Arguments:</w:t>
      </w:r>
    </w:p>
    <w:p>
      <w:pPr>
        <w:pStyle w:val="BodyText"/>
        <w:spacing w:before="8"/>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70"/>
              <w:rPr>
                <w:sz w:val="22"/>
              </w:rPr>
            </w:pPr>
            <w:r>
              <w:rPr>
                <w:sz w:val="22"/>
              </w:rPr>
              <w:t>The value to be tested. No conversion shall take place on an argument passed to this function.</w:t>
            </w:r>
          </w:p>
        </w:tc>
      </w:tr>
    </w:tbl>
    <w:p>
      <w:pPr>
        <w:pStyle w:val="BodyText"/>
        <w:rPr>
          <w:b/>
        </w:rPr>
      </w:pPr>
    </w:p>
    <w:p>
      <w:pPr>
        <w:pStyle w:val="BodyText"/>
        <w:spacing w:before="5"/>
        <w:rPr>
          <w:b/>
          <w:sz w:val="19"/>
        </w:rPr>
      </w:pPr>
    </w:p>
    <w:p>
      <w:pPr>
        <w:spacing w:before="1"/>
        <w:ind w:left="220" w:right="0"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98"/>
          <w:sz w:val="22"/>
        </w:rPr>
        <w:t> </w:t>
      </w:r>
      <w:r>
        <w:rPr>
          <w:sz w:val="22"/>
        </w:rPr>
        <w:t>if </w:t>
      </w:r>
      <w:r>
        <w:rPr>
          <w:rFonts w:ascii="Times New Roman" w:hAnsi="Times New Roman"/>
          <w:i/>
          <w:sz w:val="22"/>
        </w:rPr>
        <w:t>value </w:t>
      </w:r>
      <w:r>
        <w:rPr>
          <w:sz w:val="22"/>
        </w:rPr>
        <w:t>contains text or refers to a cell containing text; otherwise,</w:t>
      </w:r>
    </w:p>
    <w:p>
      <w:pPr>
        <w:pStyle w:val="BodyText"/>
        <w:spacing w:before="43"/>
        <w:ind w:left="220"/>
      </w:pPr>
      <w:r>
        <w:rPr>
          <w:rFonts w:ascii="Consolas"/>
        </w:rPr>
        <w:t>FALSE</w:t>
      </w:r>
      <w:r>
        <w:rPr/>
        <w:t>.</w:t>
      </w:r>
    </w:p>
    <w:p>
      <w:pPr>
        <w:pStyle w:val="BodyText"/>
        <w:spacing w:before="6"/>
        <w:rPr>
          <w:sz w:val="19"/>
        </w:rPr>
      </w:pPr>
    </w:p>
    <w:p>
      <w:pPr>
        <w:spacing w:before="0"/>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ind w:left="220"/>
        <w:rPr>
          <w:rFonts w:ascii="Consolas"/>
        </w:rPr>
      </w:pPr>
      <w:r>
        <w:rPr>
          <w:rFonts w:ascii="Consolas"/>
        </w:rPr>
        <w:t>ISTEXT("ABC")</w:t>
      </w:r>
      <w:r>
        <w:rPr>
          <w:rFonts w:ascii="Consolas"/>
          <w:spacing w:val="-70"/>
        </w:rPr>
        <w:t> </w:t>
      </w:r>
      <w:r>
        <w:rPr/>
        <w:t>results in </w:t>
      </w:r>
      <w:r>
        <w:rPr>
          <w:rFonts w:ascii="Consolas"/>
        </w:rPr>
        <w:t>TRUE</w:t>
      </w:r>
    </w:p>
    <w:p>
      <w:pPr>
        <w:pStyle w:val="BodyText"/>
        <w:spacing w:line="276" w:lineRule="auto" w:before="41"/>
        <w:ind w:left="220" w:right="5415"/>
        <w:rPr>
          <w:rFonts w:ascii="Consolas"/>
        </w:rPr>
      </w:pPr>
      <w:r>
        <w:rPr>
          <w:rFonts w:ascii="Consolas"/>
        </w:rPr>
        <w:t>ISTEXT(A10)</w:t>
      </w:r>
      <w:r>
        <w:rPr>
          <w:rFonts w:ascii="Consolas"/>
          <w:spacing w:val="-88"/>
        </w:rPr>
        <w:t> </w:t>
      </w:r>
      <w:r>
        <w:rPr/>
        <w:t>results in </w:t>
      </w:r>
      <w:r>
        <w:rPr>
          <w:rFonts w:ascii="Consolas"/>
        </w:rPr>
        <w:t>FALSE</w:t>
      </w:r>
      <w:r>
        <w:rPr/>
        <w:t>, when A10 contains 123 </w:t>
      </w:r>
      <w:r>
        <w:rPr>
          <w:rFonts w:ascii="Consolas"/>
        </w:rPr>
        <w:t>ISTEXT({1,"ABC"}) </w:t>
      </w:r>
      <w:r>
        <w:rPr/>
        <w:t>results in </w:t>
      </w:r>
      <w:r>
        <w:rPr>
          <w:rFonts w:ascii="Consolas"/>
        </w:rPr>
        <w:t>FALSE ISTEXT({"ABC",1})</w:t>
      </w:r>
      <w:r>
        <w:rPr>
          <w:rFonts w:ascii="Consolas"/>
          <w:spacing w:val="-70"/>
        </w:rPr>
        <w:t> </w:t>
      </w:r>
      <w:r>
        <w:rPr/>
        <w:t>results in </w:t>
      </w:r>
      <w:r>
        <w:rPr>
          <w:rFonts w:ascii="Consolas"/>
        </w:rPr>
        <w:t>TRUE</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7 JIS" w:id="1953"/>
      <w:bookmarkEnd w:id="1953"/>
      <w:r>
        <w:rPr/>
      </w:r>
      <w:bookmarkStart w:name="_bookmark650" w:id="1954"/>
      <w:bookmarkEnd w:id="1954"/>
      <w:r>
        <w:rPr/>
      </w:r>
      <w:bookmarkStart w:name="_bookmark650" w:id="1955"/>
      <w:bookmarkEnd w:id="1955"/>
      <w:r>
        <w:rPr>
          <w:color w:val="4F81BC"/>
        </w:rPr>
        <w:t>JIS</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JIS ( </w:t>
      </w:r>
      <w:r>
        <w:rPr>
          <w:i/>
          <w:sz w:val="22"/>
        </w:rPr>
        <w:t>string </w:t>
      </w:r>
      <w:r>
        <w:rPr>
          <w:rFonts w:ascii="Lucida Console"/>
          <w:sz w:val="20"/>
        </w:rPr>
        <w:t>)</w:t>
      </w:r>
    </w:p>
    <w:p>
      <w:pPr>
        <w:pStyle w:val="BodyText"/>
        <w:spacing w:line="278" w:lineRule="auto" w:before="106"/>
        <w:ind w:left="220" w:right="603"/>
      </w:pPr>
      <w:r>
        <w:rPr>
          <w:b/>
        </w:rPr>
        <w:t>Description: </w:t>
      </w:r>
      <w:r>
        <w:rPr/>
        <w:t>Creates a string that is the conversion of half-width (single-byte) letters within </w:t>
      </w:r>
      <w:r>
        <w:rPr>
          <w:rFonts w:ascii="Times New Roman"/>
          <w:i/>
        </w:rPr>
        <w:t>string </w:t>
      </w:r>
      <w:r>
        <w:rPr/>
        <w:t>to full-width (double-byte) characters.</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3"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276"/>
              <w:rPr>
                <w:sz w:val="22"/>
              </w:rPr>
            </w:pPr>
            <w:r>
              <w:rPr>
                <w:sz w:val="22"/>
              </w:rPr>
              <w:t>Designates the string to be converted. If </w:t>
            </w:r>
            <w:r>
              <w:rPr>
                <w:rFonts w:ascii="Times New Roman"/>
                <w:i/>
                <w:sz w:val="22"/>
              </w:rPr>
              <w:t>string </w:t>
            </w:r>
            <w:r>
              <w:rPr>
                <w:sz w:val="22"/>
              </w:rPr>
              <w:t>does not contain any half-width English letters or katakana, nothing in </w:t>
            </w:r>
            <w:r>
              <w:rPr>
                <w:rFonts w:ascii="Times New Roman"/>
                <w:i/>
                <w:sz w:val="22"/>
              </w:rPr>
              <w:t>string </w:t>
            </w:r>
            <w:r>
              <w:rPr>
                <w:sz w:val="22"/>
              </w:rPr>
              <w:t>is converted.</w:t>
            </w:r>
          </w:p>
        </w:tc>
      </w:tr>
    </w:tbl>
    <w:p>
      <w:pPr>
        <w:pStyle w:val="BodyText"/>
        <w:rPr>
          <w:b/>
        </w:rPr>
      </w:pPr>
    </w:p>
    <w:p>
      <w:pPr>
        <w:pStyle w:val="BodyText"/>
        <w:spacing w:before="7"/>
        <w:rPr>
          <w:b/>
          <w:sz w:val="19"/>
        </w:rPr>
      </w:pPr>
    </w:p>
    <w:p>
      <w:pPr>
        <w:spacing w:line="453" w:lineRule="auto" w:before="0"/>
        <w:ind w:left="220" w:right="4049" w:firstLine="0"/>
        <w:jc w:val="left"/>
        <w:rPr>
          <w:sz w:val="22"/>
        </w:rPr>
      </w:pPr>
      <w:r>
        <w:rPr>
          <w:b/>
          <w:sz w:val="22"/>
        </w:rPr>
        <w:t>Return Type and Value: </w:t>
      </w:r>
      <w:r>
        <w:rPr>
          <w:sz w:val="22"/>
        </w:rPr>
        <w:t>text – The string resulting from the conversion. [</w:t>
      </w:r>
      <w:r>
        <w:rPr>
          <w:i/>
          <w:sz w:val="22"/>
        </w:rPr>
        <w:t>Example</w:t>
      </w:r>
      <w:r>
        <w:rPr>
          <w:sz w:val="22"/>
        </w:rPr>
        <w:t>:</w:t>
      </w:r>
    </w:p>
    <w:p>
      <w:pPr>
        <w:spacing w:after="0" w:line="453" w:lineRule="auto"/>
        <w:jc w:val="left"/>
        <w:rPr>
          <w:sz w:val="22"/>
        </w:rPr>
        <w:sectPr>
          <w:pgSz w:w="12240" w:h="15840"/>
          <w:pgMar w:header="761" w:footer="746" w:top="1340" w:bottom="940" w:left="860" w:right="700"/>
        </w:sectPr>
      </w:pPr>
    </w:p>
    <w:p>
      <w:pPr>
        <w:pStyle w:val="BodyText"/>
        <w:tabs>
          <w:tab w:pos="1257" w:val="left" w:leader="none"/>
        </w:tabs>
        <w:spacing w:line="278" w:lineRule="auto" w:before="148"/>
        <w:ind w:left="220" w:right="7378"/>
      </w:pPr>
      <w:r>
        <w:rPr/>
        <w:drawing>
          <wp:anchor distT="0" distB="0" distL="0" distR="0" allowOverlap="1" layoutInCell="1" locked="0" behindDoc="1" simplePos="0" relativeHeight="167476224">
            <wp:simplePos x="0" y="0"/>
            <wp:positionH relativeFrom="page">
              <wp:posOffset>1069847</wp:posOffset>
            </wp:positionH>
            <wp:positionV relativeFrom="paragraph">
              <wp:posOffset>318434</wp:posOffset>
            </wp:positionV>
            <wp:extent cx="277368" cy="120396"/>
            <wp:effectExtent l="0" t="0" r="0" b="0"/>
            <wp:wrapNone/>
            <wp:docPr id="143" name="image71.png"/>
            <wp:cNvGraphicFramePr>
              <a:graphicFrameLocks noChangeAspect="1"/>
            </wp:cNvGraphicFramePr>
            <a:graphic>
              <a:graphicData uri="http://schemas.openxmlformats.org/drawingml/2006/picture">
                <pic:pic>
                  <pic:nvPicPr>
                    <pic:cNvPr id="144" name="image71.png"/>
                    <pic:cNvPicPr/>
                  </pic:nvPicPr>
                  <pic:blipFill>
                    <a:blip r:embed="rId249" cstate="print"/>
                    <a:stretch>
                      <a:fillRect/>
                    </a:stretch>
                  </pic:blipFill>
                  <pic:spPr>
                    <a:xfrm>
                      <a:off x="0" y="0"/>
                      <a:ext cx="277368" cy="120396"/>
                    </a:xfrm>
                    <a:prstGeom prst="rect">
                      <a:avLst/>
                    </a:prstGeom>
                  </pic:spPr>
                </pic:pic>
              </a:graphicData>
            </a:graphic>
          </wp:anchor>
        </w:drawing>
      </w:r>
      <w:r>
        <w:rPr>
          <w:rFonts w:ascii="Consolas"/>
        </w:rPr>
        <w:t>JIS("ABC") </w:t>
      </w:r>
      <w:r>
        <w:rPr/>
        <w:t>results in </w:t>
      </w:r>
      <w:r>
        <w:rPr>
          <w:rFonts w:ascii="Consolas"/>
          <w:spacing w:val="-2"/>
        </w:rPr>
        <w:t>ABC </w:t>
      </w:r>
      <w:r>
        <w:rPr>
          <w:rFonts w:ascii="Consolas"/>
        </w:rPr>
        <w:t>JIS("</w:t>
        <w:tab/>
        <w:t>")</w:t>
      </w:r>
      <w:r>
        <w:rPr>
          <w:rFonts w:ascii="Consolas"/>
          <w:spacing w:val="-72"/>
        </w:rPr>
        <w:t> </w:t>
      </w:r>
      <w:r>
        <w:rPr/>
        <w:t>results in </w:t>
      </w:r>
      <w:r>
        <w:rPr>
          <w:spacing w:val="-14"/>
        </w:rPr>
        <w:drawing>
          <wp:inline distT="0" distB="0" distL="0" distR="0">
            <wp:extent cx="560832" cy="146303"/>
            <wp:effectExtent l="0" t="0" r="0" b="0"/>
            <wp:docPr id="145" name="image68.png"/>
            <wp:cNvGraphicFramePr>
              <a:graphicFrameLocks noChangeAspect="1"/>
            </wp:cNvGraphicFramePr>
            <a:graphic>
              <a:graphicData uri="http://schemas.openxmlformats.org/drawingml/2006/picture">
                <pic:pic>
                  <pic:nvPicPr>
                    <pic:cNvPr id="146" name="image68.png"/>
                    <pic:cNvPicPr/>
                  </pic:nvPicPr>
                  <pic:blipFill>
                    <a:blip r:embed="rId208" cstate="print"/>
                    <a:stretch>
                      <a:fillRect/>
                    </a:stretch>
                  </pic:blipFill>
                  <pic:spPr>
                    <a:xfrm>
                      <a:off x="0" y="0"/>
                      <a:ext cx="560832" cy="146303"/>
                    </a:xfrm>
                    <a:prstGeom prst="rect">
                      <a:avLst/>
                    </a:prstGeom>
                  </pic:spPr>
                </pic:pic>
              </a:graphicData>
            </a:graphic>
          </wp:inline>
        </w:drawing>
      </w:r>
      <w:r>
        <w:rPr>
          <w:spacing w:val="-14"/>
        </w:rPr>
      </w:r>
    </w:p>
    <w:p>
      <w:pPr>
        <w:pStyle w:val="BodyText"/>
        <w:spacing w:before="1"/>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8 KURT" w:id="1956"/>
      <w:bookmarkEnd w:id="1956"/>
      <w:r>
        <w:rPr/>
      </w:r>
      <w:bookmarkStart w:name="_bookmark651" w:id="1957"/>
      <w:bookmarkEnd w:id="1957"/>
      <w:r>
        <w:rPr/>
      </w:r>
      <w:bookmarkStart w:name="_bookmark651" w:id="1958"/>
      <w:bookmarkEnd w:id="1958"/>
      <w:r>
        <w:rPr>
          <w:color w:val="4F81BC"/>
        </w:rPr>
        <w:t>K</w:t>
      </w:r>
      <w:r>
        <w:rPr>
          <w:color w:val="4F81BC"/>
        </w:rPr>
        <w:t>URT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KURT ( </w:t>
      </w:r>
      <w:r>
        <w:rPr>
          <w:i/>
          <w:sz w:val="22"/>
        </w:rPr>
        <w:t>argument-list </w:t>
      </w:r>
      <w:r>
        <w:rPr>
          <w:rFonts w:ascii="Lucida Console"/>
          <w:sz w:val="20"/>
        </w:rPr>
        <w:t>)</w:t>
      </w:r>
    </w:p>
    <w:p>
      <w:pPr>
        <w:pStyle w:val="BodyText"/>
        <w:spacing w:line="278" w:lineRule="auto" w:before="106"/>
        <w:ind w:left="220" w:right="509"/>
      </w:pPr>
      <w:r>
        <w:rPr>
          <w:b/>
        </w:rPr>
        <w:t>Description: </w:t>
      </w:r>
      <w:r>
        <w:rPr/>
        <w:t>Computes the kurtosis of a data set. Kurtosis characterizes the relative peakedness or flatness of a distribution compared with the normal distribution. Positive kurtosis indicates a relatively peaked distribution. Negative kurtosis indicates a relatively flat distribution.</w:t>
      </w:r>
    </w:p>
    <w:p>
      <w:pPr>
        <w:pStyle w:val="Heading4"/>
        <w:spacing w:before="196"/>
        <w:rPr>
          <w:b w:val="0"/>
        </w:rPr>
      </w:pPr>
      <w:r>
        <w:rPr/>
        <w:t>Mathematical Formula</w:t>
      </w:r>
      <w:r>
        <w:rPr>
          <w:b w:val="0"/>
        </w:rPr>
        <w:t>:</w:t>
      </w:r>
    </w:p>
    <w:p>
      <w:pPr>
        <w:pStyle w:val="BodyText"/>
        <w:spacing w:before="1"/>
        <w:rPr>
          <w:sz w:val="15"/>
        </w:rPr>
      </w:pPr>
    </w:p>
    <w:p>
      <w:pPr>
        <w:spacing w:after="0"/>
        <w:rPr>
          <w:sz w:val="15"/>
        </w:rPr>
        <w:sectPr>
          <w:pgSz w:w="12240" w:h="15840"/>
          <w:pgMar w:header="763" w:footer="746" w:top="1340" w:bottom="940" w:left="860" w:right="700"/>
        </w:sectPr>
      </w:pPr>
    </w:p>
    <w:p>
      <w:pPr>
        <w:pStyle w:val="BodyText"/>
        <w:spacing w:before="56"/>
        <w:ind w:left="220"/>
      </w:pPr>
      <w:r>
        <w:rPr/>
        <w:t>Kurtosis is defined as:</w:t>
      </w:r>
    </w:p>
    <w:p>
      <w:pPr>
        <w:pStyle w:val="BodyText"/>
        <w:spacing w:before="11"/>
        <w:rPr>
          <w:sz w:val="19"/>
        </w:rPr>
      </w:pPr>
    </w:p>
    <w:p>
      <w:pPr>
        <w:pStyle w:val="BodyText"/>
        <w:spacing w:line="215" w:lineRule="exact"/>
        <w:ind w:left="962"/>
        <w:rPr>
          <w:rFonts w:ascii="Cambria Math" w:eastAsia="Cambria Math"/>
        </w:rPr>
      </w:pPr>
      <w:r>
        <w:rPr>
          <w:rFonts w:ascii="Cambria Math" w:eastAsia="Cambria Math"/>
        </w:rPr>
        <w:t>𝑛</w:t>
      </w:r>
      <w:r>
        <w:rPr>
          <w:rFonts w:ascii="Cambria Math" w:eastAsia="Cambria Math"/>
          <w:position w:val="1"/>
        </w:rPr>
        <w:t>(</w:t>
      </w:r>
      <w:r>
        <w:rPr>
          <w:rFonts w:ascii="Cambria Math" w:eastAsia="Cambria Math"/>
        </w:rPr>
        <w:t>𝑛 + 1</w:t>
      </w:r>
      <w:r>
        <w:rPr>
          <w:rFonts w:ascii="Cambria Math" w:eastAsia="Cambria Math"/>
          <w:position w:val="1"/>
        </w:rPr>
        <w:t>)</w:t>
      </w:r>
    </w:p>
    <w:p>
      <w:pPr>
        <w:pStyle w:val="BodyText"/>
        <w:rPr>
          <w:rFonts w:ascii="Cambria Math"/>
          <w:sz w:val="30"/>
        </w:rPr>
      </w:pPr>
      <w:r>
        <w:rPr/>
        <w:br w:type="column"/>
      </w:r>
      <w:r>
        <w:rPr>
          <w:rFonts w:ascii="Cambria Math"/>
          <w:sz w:val="30"/>
        </w:rPr>
      </w:r>
    </w:p>
    <w:p>
      <w:pPr>
        <w:spacing w:line="205" w:lineRule="exact" w:before="226"/>
        <w:ind w:left="220" w:right="0" w:firstLine="0"/>
        <w:jc w:val="left"/>
        <w:rPr>
          <w:rFonts w:ascii="Cambria Math" w:hAnsi="Cambria Math" w:eastAsia="Cambria Math"/>
          <w:sz w:val="22"/>
        </w:rPr>
      </w:pPr>
      <w:r>
        <w:rPr>
          <w:rFonts w:ascii="Cambria Math" w:hAnsi="Cambria Math" w:eastAsia="Cambria Math"/>
          <w:sz w:val="22"/>
        </w:rPr>
        <w:t>𝑥</w:t>
      </w:r>
      <w:r>
        <w:rPr>
          <w:rFonts w:ascii="Cambria Math" w:hAnsi="Cambria Math" w:eastAsia="Cambria Math"/>
          <w:position w:val="-4"/>
          <w:sz w:val="16"/>
        </w:rPr>
        <w:t>𝑖 </w:t>
      </w:r>
      <w:r>
        <w:rPr>
          <w:rFonts w:ascii="Cambria Math" w:hAnsi="Cambria Math" w:eastAsia="Cambria Math"/>
          <w:sz w:val="22"/>
        </w:rPr>
        <w:t>− 𝑥 </w:t>
      </w:r>
      <w:r>
        <w:rPr>
          <w:rFonts w:ascii="Cambria Math" w:hAnsi="Cambria Math" w:eastAsia="Cambria Math"/>
          <w:sz w:val="22"/>
          <w:vertAlign w:val="superscript"/>
        </w:rPr>
        <w:t>4</w:t>
      </w:r>
    </w:p>
    <w:p>
      <w:pPr>
        <w:pStyle w:val="BodyText"/>
        <w:rPr>
          <w:rFonts w:ascii="Cambria Math"/>
          <w:sz w:val="26"/>
        </w:rPr>
      </w:pPr>
      <w:r>
        <w:rPr/>
        <w:br w:type="column"/>
      </w:r>
      <w:r>
        <w:rPr>
          <w:rFonts w:ascii="Cambria Math"/>
          <w:sz w:val="26"/>
        </w:rPr>
      </w:r>
    </w:p>
    <w:p>
      <w:pPr>
        <w:pStyle w:val="BodyText"/>
        <w:spacing w:before="4"/>
        <w:rPr>
          <w:rFonts w:ascii="Cambria Math"/>
        </w:rPr>
      </w:pPr>
    </w:p>
    <w:p>
      <w:pPr>
        <w:pStyle w:val="BodyText"/>
        <w:spacing w:line="215" w:lineRule="exact" w:before="1"/>
        <w:ind w:left="220"/>
        <w:rPr>
          <w:rFonts w:ascii="Cambria Math" w:hAnsi="Cambria Math" w:eastAsia="Cambria Math"/>
        </w:rPr>
      </w:pPr>
      <w:r>
        <w:rPr>
          <w:rFonts w:ascii="Cambria Math" w:hAnsi="Cambria Math" w:eastAsia="Cambria Math"/>
        </w:rPr>
        <w:t>3</w:t>
      </w:r>
      <w:r>
        <w:rPr>
          <w:rFonts w:ascii="Cambria Math" w:hAnsi="Cambria Math" w:eastAsia="Cambria Math"/>
          <w:position w:val="1"/>
        </w:rPr>
        <w:t>(</w:t>
      </w:r>
      <w:r>
        <w:rPr>
          <w:rFonts w:ascii="Cambria Math" w:hAnsi="Cambria Math" w:eastAsia="Cambria Math"/>
        </w:rPr>
        <w:t>𝑛 − 1</w:t>
      </w:r>
      <w:r>
        <w:rPr>
          <w:rFonts w:ascii="Cambria Math" w:hAnsi="Cambria Math" w:eastAsia="Cambria Math"/>
          <w:position w:val="1"/>
        </w:rPr>
        <w:t>)</w:t>
      </w:r>
      <w:r>
        <w:rPr>
          <w:rFonts w:ascii="Cambria Math" w:hAnsi="Cambria Math" w:eastAsia="Cambria Math"/>
          <w:position w:val="1"/>
          <w:vertAlign w:val="superscript"/>
        </w:rPr>
        <w:t>2</w:t>
      </w:r>
    </w:p>
    <w:p>
      <w:pPr>
        <w:spacing w:after="0" w:line="215" w:lineRule="exact"/>
        <w:rPr>
          <w:rFonts w:ascii="Cambria Math" w:hAnsi="Cambria Math" w:eastAsia="Cambria Math"/>
        </w:rPr>
        <w:sectPr>
          <w:type w:val="continuous"/>
          <w:pgSz w:w="12240" w:h="15840"/>
          <w:pgMar w:top="1340" w:bottom="940" w:left="860" w:right="700"/>
          <w:cols w:num="3" w:equalWidth="0">
            <w:col w:w="2202" w:space="472"/>
            <w:col w:w="1033" w:space="354"/>
            <w:col w:w="6619"/>
          </w:cols>
        </w:sectPr>
      </w:pPr>
    </w:p>
    <w:p>
      <w:pPr>
        <w:pStyle w:val="BodyText"/>
        <w:tabs>
          <w:tab w:pos="3127" w:val="left" w:leader="none"/>
          <w:tab w:pos="3465" w:val="left" w:leader="none"/>
        </w:tabs>
        <w:spacing w:line="370" w:lineRule="exact"/>
        <w:ind w:left="220"/>
        <w:rPr>
          <w:rFonts w:ascii="Cambria Math" w:hAnsi="Cambria Math" w:eastAsia="Cambria Math"/>
        </w:rPr>
      </w:pPr>
      <w:r>
        <w:rPr/>
        <w:pict>
          <v:line style="position:absolute;mso-position-horizontal-relative:page;mso-position-vertical-relative:paragraph;z-index:-335843328" from="59.52pt,5.474545pt" to="164.06pt,5.474545pt" stroked="true" strokeweight=".72pt" strokecolor="#000000">
            <v:stroke dashstyle="solid"/>
            <w10:wrap type="none"/>
          </v:line>
        </w:pict>
      </w:r>
      <w:r>
        <w:rPr/>
        <w:pict>
          <v:line style="position:absolute;mso-position-horizontal-relative:page;mso-position-vertical-relative:paragraph;z-index:-335842304" from="187.699997pt,5.474545pt" to="216.283997pt,5.474545pt" stroked="true" strokeweight=".72pt" strokecolor="#000000">
            <v:stroke dashstyle="solid"/>
            <w10:wrap type="none"/>
          </v:line>
        </w:pict>
      </w:r>
      <w:r>
        <w:rPr/>
        <w:pict>
          <v:line style="position:absolute;mso-position-horizontal-relative:page;mso-position-vertical-relative:paragraph;z-index:-335841280" from="245.330002pt,5.474545pt" to="314.930002pt,5.474545pt" stroked="true" strokeweight=".72pt" strokecolor="#000000">
            <v:stroke dashstyle="solid"/>
            <w10:wrap type="none"/>
          </v:line>
        </w:pict>
      </w:r>
      <w:r>
        <w:rPr>
          <w:rFonts w:ascii="Cambria Math" w:hAnsi="Cambria Math" w:eastAsia="Cambria Math"/>
          <w:w w:val="110"/>
          <w:position w:val="15"/>
        </w:rPr>
        <w:t>{</w:t>
      </w:r>
      <w:r>
        <w:rPr>
          <w:rFonts w:ascii="Cambria Math" w:hAnsi="Cambria Math" w:eastAsia="Cambria Math"/>
          <w:w w:val="110"/>
          <w:position w:val="1"/>
        </w:rPr>
        <w:t>(</w:t>
      </w:r>
      <w:r>
        <w:rPr>
          <w:rFonts w:ascii="Cambria Math" w:hAnsi="Cambria Math" w:eastAsia="Cambria Math"/>
          <w:w w:val="110"/>
        </w:rPr>
        <w:t>𝑛</w:t>
      </w:r>
      <w:r>
        <w:rPr>
          <w:rFonts w:ascii="Cambria Math" w:hAnsi="Cambria Math" w:eastAsia="Cambria Math"/>
          <w:spacing w:val="-14"/>
          <w:w w:val="110"/>
        </w:rPr>
        <w:t> </w:t>
      </w:r>
      <w:r>
        <w:rPr>
          <w:rFonts w:ascii="Cambria Math" w:hAnsi="Cambria Math" w:eastAsia="Cambria Math"/>
          <w:w w:val="110"/>
        </w:rPr>
        <w:t>−</w:t>
      </w:r>
      <w:r>
        <w:rPr>
          <w:rFonts w:ascii="Cambria Math" w:hAnsi="Cambria Math" w:eastAsia="Cambria Math"/>
          <w:spacing w:val="-14"/>
          <w:w w:val="110"/>
        </w:rPr>
        <w:t> </w:t>
      </w:r>
      <w:r>
        <w:rPr>
          <w:rFonts w:ascii="Cambria Math" w:hAnsi="Cambria Math" w:eastAsia="Cambria Math"/>
          <w:w w:val="110"/>
        </w:rPr>
        <w:t>1</w:t>
      </w:r>
      <w:r>
        <w:rPr>
          <w:rFonts w:ascii="Cambria Math" w:hAnsi="Cambria Math" w:eastAsia="Cambria Math"/>
          <w:w w:val="110"/>
          <w:position w:val="1"/>
        </w:rPr>
        <w:t>)(</w:t>
      </w:r>
      <w:r>
        <w:rPr>
          <w:rFonts w:ascii="Cambria Math" w:hAnsi="Cambria Math" w:eastAsia="Cambria Math"/>
          <w:w w:val="110"/>
        </w:rPr>
        <w:t>𝑛</w:t>
      </w:r>
      <w:r>
        <w:rPr>
          <w:rFonts w:ascii="Cambria Math" w:hAnsi="Cambria Math" w:eastAsia="Cambria Math"/>
          <w:spacing w:val="-13"/>
          <w:w w:val="110"/>
        </w:rPr>
        <w:t> </w:t>
      </w:r>
      <w:r>
        <w:rPr>
          <w:rFonts w:ascii="Cambria Math" w:hAnsi="Cambria Math" w:eastAsia="Cambria Math"/>
          <w:w w:val="110"/>
        </w:rPr>
        <w:t>−</w:t>
      </w:r>
      <w:r>
        <w:rPr>
          <w:rFonts w:ascii="Cambria Math" w:hAnsi="Cambria Math" w:eastAsia="Cambria Math"/>
          <w:spacing w:val="-15"/>
          <w:w w:val="110"/>
        </w:rPr>
        <w:t> </w:t>
      </w:r>
      <w:r>
        <w:rPr>
          <w:rFonts w:ascii="Cambria Math" w:hAnsi="Cambria Math" w:eastAsia="Cambria Math"/>
          <w:w w:val="110"/>
        </w:rPr>
        <w:t>2</w:t>
      </w:r>
      <w:r>
        <w:rPr>
          <w:rFonts w:ascii="Cambria Math" w:hAnsi="Cambria Math" w:eastAsia="Cambria Math"/>
          <w:w w:val="110"/>
          <w:position w:val="1"/>
        </w:rPr>
        <w:t>)(</w:t>
      </w:r>
      <w:r>
        <w:rPr>
          <w:rFonts w:ascii="Cambria Math" w:hAnsi="Cambria Math" w:eastAsia="Cambria Math"/>
          <w:w w:val="110"/>
        </w:rPr>
        <w:t>𝑛</w:t>
      </w:r>
      <w:r>
        <w:rPr>
          <w:rFonts w:ascii="Cambria Math" w:hAnsi="Cambria Math" w:eastAsia="Cambria Math"/>
          <w:spacing w:val="-12"/>
          <w:w w:val="110"/>
        </w:rPr>
        <w:t> </w:t>
      </w:r>
      <w:r>
        <w:rPr>
          <w:rFonts w:ascii="Cambria Math" w:hAnsi="Cambria Math" w:eastAsia="Cambria Math"/>
          <w:w w:val="110"/>
        </w:rPr>
        <w:t>−</w:t>
      </w:r>
      <w:r>
        <w:rPr>
          <w:rFonts w:ascii="Cambria Math" w:hAnsi="Cambria Math" w:eastAsia="Cambria Math"/>
          <w:spacing w:val="-14"/>
          <w:w w:val="110"/>
        </w:rPr>
        <w:t> </w:t>
      </w:r>
      <w:r>
        <w:rPr>
          <w:rFonts w:ascii="Cambria Math" w:hAnsi="Cambria Math" w:eastAsia="Cambria Math"/>
          <w:w w:val="110"/>
        </w:rPr>
        <w:t>3</w:t>
      </w:r>
      <w:r>
        <w:rPr>
          <w:rFonts w:ascii="Cambria Math" w:hAnsi="Cambria Math" w:eastAsia="Cambria Math"/>
          <w:w w:val="110"/>
          <w:position w:val="1"/>
        </w:rPr>
        <w:t>)</w:t>
      </w:r>
      <w:r>
        <w:rPr>
          <w:rFonts w:ascii="Cambria Math" w:hAnsi="Cambria Math" w:eastAsia="Cambria Math"/>
          <w:spacing w:val="-26"/>
          <w:w w:val="110"/>
          <w:position w:val="1"/>
        </w:rPr>
        <w:t> </w:t>
      </w:r>
      <w:r>
        <w:rPr>
          <w:rFonts w:ascii="Cambria Math" w:hAnsi="Cambria Math" w:eastAsia="Cambria Math"/>
          <w:w w:val="165"/>
          <w:position w:val="15"/>
        </w:rPr>
        <w:t>∑</w:t>
      </w:r>
      <w:r>
        <w:rPr>
          <w:rFonts w:ascii="Cambria Math" w:hAnsi="Cambria Math" w:eastAsia="Cambria Math"/>
          <w:spacing w:val="-53"/>
          <w:w w:val="165"/>
          <w:position w:val="15"/>
        </w:rPr>
        <w:t> </w:t>
      </w:r>
      <w:r>
        <w:rPr>
          <w:rFonts w:ascii="Cambria Math" w:hAnsi="Cambria Math" w:eastAsia="Cambria Math"/>
          <w:w w:val="110"/>
          <w:position w:val="15"/>
        </w:rPr>
        <w:t>(</w:t>
        <w:tab/>
      </w:r>
      <w:r>
        <w:rPr>
          <w:rFonts w:ascii="Cambria Math" w:hAnsi="Cambria Math" w:eastAsia="Cambria Math"/>
          <w:w w:val="110"/>
        </w:rPr>
        <w:t>𝑠</w:t>
        <w:tab/>
      </w:r>
      <w:r>
        <w:rPr>
          <w:rFonts w:ascii="Cambria Math" w:hAnsi="Cambria Math" w:eastAsia="Cambria Math"/>
          <w:w w:val="110"/>
          <w:position w:val="15"/>
        </w:rPr>
        <w:t>) } − </w:t>
      </w:r>
      <w:r>
        <w:rPr>
          <w:rFonts w:ascii="Cambria Math" w:hAnsi="Cambria Math" w:eastAsia="Cambria Math"/>
          <w:w w:val="110"/>
          <w:position w:val="1"/>
        </w:rPr>
        <w:t>(</w:t>
      </w:r>
      <w:r>
        <w:rPr>
          <w:rFonts w:ascii="Cambria Math" w:hAnsi="Cambria Math" w:eastAsia="Cambria Math"/>
          <w:w w:val="110"/>
        </w:rPr>
        <w:t>𝑛 − 2</w:t>
      </w:r>
      <w:r>
        <w:rPr>
          <w:rFonts w:ascii="Cambria Math" w:hAnsi="Cambria Math" w:eastAsia="Cambria Math"/>
          <w:w w:val="110"/>
          <w:position w:val="1"/>
        </w:rPr>
        <w:t>)(</w:t>
      </w:r>
      <w:r>
        <w:rPr>
          <w:rFonts w:ascii="Cambria Math" w:hAnsi="Cambria Math" w:eastAsia="Cambria Math"/>
          <w:w w:val="110"/>
        </w:rPr>
        <w:t>𝑛 −</w:t>
      </w:r>
      <w:r>
        <w:rPr>
          <w:rFonts w:ascii="Cambria Math" w:hAnsi="Cambria Math" w:eastAsia="Cambria Math"/>
          <w:spacing w:val="14"/>
          <w:w w:val="110"/>
        </w:rPr>
        <w:t> </w:t>
      </w:r>
      <w:r>
        <w:rPr>
          <w:rFonts w:ascii="Cambria Math" w:hAnsi="Cambria Math" w:eastAsia="Cambria Math"/>
          <w:w w:val="110"/>
        </w:rPr>
        <w:t>3</w:t>
      </w:r>
      <w:r>
        <w:rPr>
          <w:rFonts w:ascii="Cambria Math" w:hAnsi="Cambria Math" w:eastAsia="Cambria Math"/>
          <w:w w:val="110"/>
          <w:position w:val="1"/>
        </w:rPr>
        <w:t>)</w:t>
      </w:r>
    </w:p>
    <w:p>
      <w:pPr>
        <w:pStyle w:val="BodyText"/>
        <w:spacing w:before="11"/>
        <w:rPr>
          <w:rFonts w:ascii="Cambria Math"/>
          <w:sz w:val="16"/>
        </w:rPr>
      </w:pPr>
    </w:p>
    <w:p>
      <w:pPr>
        <w:pStyle w:val="BodyText"/>
        <w:spacing w:before="56"/>
        <w:ind w:left="220"/>
      </w:pPr>
      <w:r>
        <w:rPr/>
        <w:t>where:</w:t>
      </w:r>
    </w:p>
    <w:p>
      <w:pPr>
        <w:pStyle w:val="BodyText"/>
        <w:spacing w:before="4"/>
        <w:rPr>
          <w:sz w:val="12"/>
        </w:rPr>
      </w:pPr>
    </w:p>
    <w:p>
      <w:pPr>
        <w:spacing w:before="88"/>
        <w:ind w:left="940" w:right="0" w:firstLine="0"/>
        <w:jc w:val="left"/>
        <w:rPr>
          <w:sz w:val="22"/>
        </w:rPr>
      </w:pPr>
      <w:r>
        <w:rPr>
          <w:sz w:val="22"/>
        </w:rPr>
        <w:t>n is the number of elements in </w:t>
      </w:r>
      <w:r>
        <w:rPr>
          <w:rFonts w:ascii="Times New Roman"/>
          <w:i/>
          <w:sz w:val="22"/>
        </w:rPr>
        <w:t>argument-list</w:t>
      </w:r>
      <w:r>
        <w:rPr>
          <w:sz w:val="22"/>
        </w:rPr>
        <w:t>.</w:t>
      </w:r>
    </w:p>
    <w:p>
      <w:pPr>
        <w:spacing w:before="41"/>
        <w:ind w:left="940" w:right="0" w:firstLine="0"/>
        <w:jc w:val="left"/>
        <w:rPr>
          <w:sz w:val="22"/>
        </w:rPr>
      </w:pPr>
      <w:r>
        <w:rPr>
          <w:sz w:val="22"/>
        </w:rPr>
        <w:t>xj is the value of the j-th element in </w:t>
      </w:r>
      <w:r>
        <w:rPr>
          <w:rFonts w:ascii="Times New Roman"/>
          <w:i/>
          <w:sz w:val="22"/>
        </w:rPr>
        <w:t>argument-list</w:t>
      </w:r>
      <w:r>
        <w:rPr>
          <w:sz w:val="22"/>
        </w:rPr>
        <w:t>.</w:t>
      </w:r>
    </w:p>
    <w:p>
      <w:pPr>
        <w:spacing w:before="41"/>
        <w:ind w:left="940" w:right="0" w:firstLine="0"/>
        <w:jc w:val="left"/>
        <w:rPr>
          <w:sz w:val="22"/>
        </w:rPr>
      </w:pPr>
      <w:r>
        <w:rPr>
          <w:rFonts w:ascii="Cambria Math" w:hAnsi="Cambria Math" w:eastAsia="Cambria Math"/>
          <w:sz w:val="22"/>
        </w:rPr>
        <w:t>𝑥̅ </w:t>
      </w:r>
      <w:r>
        <w:rPr>
          <w:sz w:val="22"/>
        </w:rPr>
        <w:t>is the mean of the values in </w:t>
      </w:r>
      <w:r>
        <w:rPr>
          <w:rFonts w:ascii="Times New Roman" w:hAnsi="Times New Roman" w:eastAsia="Times New Roman"/>
          <w:i/>
          <w:sz w:val="22"/>
        </w:rPr>
        <w:t>argument-list</w:t>
      </w:r>
      <w:r>
        <w:rPr>
          <w:sz w:val="22"/>
        </w:rPr>
        <w:t>.</w:t>
      </w:r>
    </w:p>
    <w:p>
      <w:pPr>
        <w:spacing w:before="41"/>
        <w:ind w:left="940" w:right="0" w:firstLine="0"/>
        <w:jc w:val="left"/>
        <w:rPr>
          <w:sz w:val="22"/>
        </w:rPr>
      </w:pPr>
      <w:r>
        <w:rPr>
          <w:sz w:val="22"/>
        </w:rPr>
        <w:t>s is the standard deviation of the values in </w:t>
      </w:r>
      <w:r>
        <w:rPr>
          <w:rFonts w:ascii="Times New Roman"/>
          <w:i/>
          <w:sz w:val="22"/>
        </w:rPr>
        <w:t>argument-list</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7"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ight="277"/>
              <w:rPr>
                <w:sz w:val="22"/>
              </w:rPr>
            </w:pPr>
            <w:r>
              <w:rPr>
                <w:sz w:val="22"/>
              </w:rPr>
              <w:t>array reference to an array,</w:t>
            </w:r>
          </w:p>
        </w:tc>
        <w:tc>
          <w:tcPr>
            <w:tcW w:w="5400" w:type="dxa"/>
            <w:tcBorders>
              <w:bottom w:val="nil"/>
            </w:tcBorders>
          </w:tcPr>
          <w:p>
            <w:pPr>
              <w:pStyle w:val="TableParagraph"/>
              <w:ind w:left="113" w:right="93"/>
              <w:rPr>
                <w:rFonts w:ascii="Times New Roman"/>
                <w:i/>
                <w:sz w:val="22"/>
              </w:rPr>
            </w:pPr>
            <w:r>
              <w:rPr>
                <w:sz w:val="22"/>
              </w:rPr>
              <w:t>The </w:t>
            </w:r>
            <w:r>
              <w:rPr>
                <w:rFonts w:ascii="Times New Roman"/>
                <w:i/>
                <w:sz w:val="22"/>
              </w:rPr>
              <w:t>argument</w:t>
            </w:r>
            <w:r>
              <w:rPr>
                <w:sz w:val="22"/>
              </w:rPr>
              <w:t>s in </w:t>
            </w:r>
            <w:r>
              <w:rPr>
                <w:rFonts w:ascii="Times New Roman"/>
                <w:i/>
                <w:sz w:val="22"/>
              </w:rPr>
              <w:t>argument-list </w:t>
            </w:r>
            <w:r>
              <w:rPr>
                <w:sz w:val="22"/>
              </w:rPr>
              <w:t>are the values for which kurtosis is to be calculated. Any </w:t>
            </w:r>
            <w:r>
              <w:rPr>
                <w:rFonts w:ascii="Times New Roman"/>
                <w:i/>
                <w:sz w:val="22"/>
              </w:rPr>
              <w:t>argument </w:t>
            </w:r>
            <w:r>
              <w:rPr>
                <w:sz w:val="22"/>
              </w:rPr>
              <w:t>in </w:t>
            </w:r>
            <w:r>
              <w:rPr>
                <w:rFonts w:ascii="Times New Roman"/>
                <w:i/>
                <w:sz w:val="22"/>
              </w:rPr>
              <w:t>argument-list</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 name,</w:t>
            </w:r>
          </w:p>
        </w:tc>
        <w:tc>
          <w:tcPr>
            <w:tcW w:w="5400" w:type="dxa"/>
            <w:tcBorders>
              <w:top w:val="nil"/>
              <w:bottom w:val="nil"/>
            </w:tcBorders>
          </w:tcPr>
          <w:p>
            <w:pPr>
              <w:pStyle w:val="TableParagraph"/>
              <w:spacing w:line="249" w:lineRule="exact" w:before="0"/>
              <w:ind w:left="113"/>
              <w:rPr>
                <w:sz w:val="22"/>
              </w:rPr>
            </w:pPr>
            <w:r>
              <w:rPr>
                <w:sz w:val="22"/>
              </w:rPr>
              <w:t>can be an array or a reference to an array. Logical values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or reference to</w:t>
            </w:r>
          </w:p>
        </w:tc>
        <w:tc>
          <w:tcPr>
            <w:tcW w:w="5400" w:type="dxa"/>
            <w:tcBorders>
              <w:top w:val="nil"/>
              <w:bottom w:val="nil"/>
            </w:tcBorders>
          </w:tcPr>
          <w:p>
            <w:pPr>
              <w:pStyle w:val="TableParagraph"/>
              <w:spacing w:line="249" w:lineRule="exact" w:before="0"/>
              <w:ind w:left="113"/>
              <w:rPr>
                <w:sz w:val="22"/>
              </w:rPr>
            </w:pPr>
            <w:r>
              <w:rPr>
                <w:sz w:val="22"/>
              </w:rPr>
              <w:t>and text representations of numbers that are directly</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w:t>
            </w:r>
          </w:p>
        </w:tc>
        <w:tc>
          <w:tcPr>
            <w:tcW w:w="5400" w:type="dxa"/>
            <w:tcBorders>
              <w:top w:val="nil"/>
              <w:bottom w:val="nil"/>
            </w:tcBorders>
          </w:tcPr>
          <w:p>
            <w:pPr>
              <w:pStyle w:val="TableParagraph"/>
              <w:spacing w:line="249" w:lineRule="exact" w:before="0"/>
              <w:ind w:left="113"/>
              <w:rPr>
                <w:sz w:val="22"/>
              </w:rPr>
            </w:pPr>
            <w:r>
              <w:rPr>
                <w:sz w:val="22"/>
              </w:rPr>
              <w:t>entered into the list of arguments are included. If an</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before="0"/>
              <w:ind w:left="0"/>
              <w:rPr>
                <w:rFonts w:ascii="Times New Roman"/>
                <w:sz w:val="18"/>
              </w:rPr>
            </w:pPr>
          </w:p>
        </w:tc>
        <w:tc>
          <w:tcPr>
            <w:tcW w:w="5400" w:type="dxa"/>
            <w:tcBorders>
              <w:top w:val="nil"/>
              <w:bottom w:val="nil"/>
            </w:tcBorders>
          </w:tcPr>
          <w:p>
            <w:pPr>
              <w:pStyle w:val="TableParagraph"/>
              <w:spacing w:line="249" w:lineRule="exact" w:before="0"/>
              <w:ind w:left="113"/>
              <w:rPr>
                <w:sz w:val="22"/>
              </w:rPr>
            </w:pPr>
            <w:r>
              <w:rPr>
                <w:sz w:val="22"/>
              </w:rPr>
              <w:t>array or reference argument contains text, logical values,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before="0"/>
              <w:ind w:left="0"/>
              <w:rPr>
                <w:rFonts w:ascii="Times New Roman"/>
                <w:sz w:val="18"/>
              </w:rPr>
            </w:pPr>
          </w:p>
        </w:tc>
        <w:tc>
          <w:tcPr>
            <w:tcW w:w="5400" w:type="dxa"/>
            <w:tcBorders>
              <w:top w:val="nil"/>
              <w:bottom w:val="nil"/>
            </w:tcBorders>
          </w:tcPr>
          <w:p>
            <w:pPr>
              <w:pStyle w:val="TableParagraph"/>
              <w:spacing w:line="249" w:lineRule="exact" w:before="0"/>
              <w:ind w:left="113"/>
              <w:rPr>
                <w:sz w:val="22"/>
              </w:rPr>
            </w:pPr>
            <w:r>
              <w:rPr>
                <w:sz w:val="22"/>
              </w:rPr>
              <w:t>or empty cells, those values are ignored; however, cells</w:t>
            </w: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9" w:lineRule="exact" w:before="0"/>
              <w:ind w:left="113"/>
              <w:rPr>
                <w:sz w:val="22"/>
              </w:rPr>
            </w:pPr>
            <w:r>
              <w:rPr>
                <w:sz w:val="22"/>
              </w:rPr>
              <w:t>with the value 0 are included.</w:t>
            </w:r>
          </w:p>
        </w:tc>
      </w:tr>
    </w:tbl>
    <w:p>
      <w:pPr>
        <w:pStyle w:val="BodyText"/>
        <w:rPr>
          <w:b/>
        </w:rPr>
      </w:pPr>
    </w:p>
    <w:p>
      <w:pPr>
        <w:pStyle w:val="BodyText"/>
        <w:spacing w:before="7"/>
        <w:rPr>
          <w:b/>
          <w:sz w:val="19"/>
        </w:rPr>
      </w:pPr>
    </w:p>
    <w:p>
      <w:pPr>
        <w:spacing w:line="453" w:lineRule="auto" w:before="0"/>
        <w:ind w:left="220" w:right="5030" w:firstLine="0"/>
        <w:jc w:val="left"/>
        <w:rPr>
          <w:sz w:val="22"/>
        </w:rPr>
      </w:pPr>
      <w:r>
        <w:rPr>
          <w:b/>
          <w:sz w:val="22"/>
        </w:rPr>
        <w:t>Return Type and Value: </w:t>
      </w:r>
      <w:r>
        <w:rPr>
          <w:sz w:val="22"/>
        </w:rPr>
        <w:t>number – The kurtosis of a data set.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There are fewer than four data points, the return value is</w:t>
      </w:r>
      <w:r>
        <w:rPr>
          <w:spacing w:val="-14"/>
          <w:sz w:val="22"/>
        </w:rPr>
        <w:t> </w:t>
      </w:r>
      <w:r>
        <w:rPr>
          <w:sz w:val="22"/>
        </w:rPr>
        <w:t>unspecified.</w:t>
      </w:r>
    </w:p>
    <w:p>
      <w:pPr>
        <w:spacing w:after="0" w:line="240" w:lineRule="auto"/>
        <w:jc w:val="left"/>
        <w:rPr>
          <w:sz w:val="22"/>
        </w:rPr>
        <w:sectPr>
          <w:type w:val="continuous"/>
          <w:pgSz w:w="12240" w:h="15840"/>
          <w:pgMar w:top="1340" w:bottom="940" w:left="860" w:right="700"/>
        </w:sectPr>
      </w:pPr>
    </w:p>
    <w:p>
      <w:pPr>
        <w:pStyle w:val="ListParagraph"/>
        <w:numPr>
          <w:ilvl w:val="4"/>
          <w:numId w:val="66"/>
        </w:numPr>
        <w:tabs>
          <w:tab w:pos="940" w:val="left" w:leader="none"/>
          <w:tab w:pos="941" w:val="left" w:leader="none"/>
        </w:tabs>
        <w:spacing w:line="446" w:lineRule="auto" w:before="91" w:after="0"/>
        <w:ind w:left="220" w:right="2458" w:firstLine="360"/>
        <w:jc w:val="left"/>
        <w:rPr>
          <w:sz w:val="22"/>
        </w:rPr>
      </w:pPr>
      <w:r>
        <w:rPr>
          <w:sz w:val="22"/>
        </w:rPr>
        <w:t>The standard deviation of the sample equals zero, the return value is unspecified. [</w:t>
      </w:r>
      <w:r>
        <w:rPr>
          <w:i/>
          <w:sz w:val="22"/>
        </w:rPr>
        <w:t>Example</w:t>
      </w:r>
      <w:r>
        <w:rPr>
          <w:sz w:val="22"/>
        </w:rPr>
        <w:t>:</w:t>
      </w:r>
    </w:p>
    <w:p>
      <w:pPr>
        <w:pStyle w:val="BodyText"/>
        <w:spacing w:line="276" w:lineRule="auto" w:before="126"/>
        <w:ind w:left="220" w:right="2289"/>
        <w:rPr>
          <w:rFonts w:ascii="Consolas"/>
        </w:rPr>
      </w:pPr>
      <w:r>
        <w:rPr>
          <w:rFonts w:ascii="Consolas"/>
        </w:rPr>
        <w:t>KURT(10.5,12.4,19.4,23.2) </w:t>
      </w:r>
      <w:r>
        <w:rPr/>
        <w:t>results in </w:t>
      </w:r>
      <w:r>
        <w:rPr>
          <w:rFonts w:ascii="Consolas"/>
        </w:rPr>
        <w:t>-3.644621343 KURT(10.5,{12.4,19.4},23.2)</w:t>
      </w:r>
      <w:r>
        <w:rPr>
          <w:rFonts w:ascii="Consolas"/>
          <w:spacing w:val="-70"/>
        </w:rPr>
        <w:t> </w:t>
      </w:r>
      <w:r>
        <w:rPr/>
        <w:t>results in </w:t>
      </w:r>
      <w:r>
        <w:rPr>
          <w:rFonts w:ascii="Consolas"/>
        </w:rPr>
        <w:t>-3.644621343</w:t>
      </w:r>
    </w:p>
    <w:p>
      <w:pPr>
        <w:pStyle w:val="BodyText"/>
        <w:spacing w:before="6"/>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89 LARGE" w:id="1959"/>
      <w:bookmarkEnd w:id="1959"/>
      <w:r>
        <w:rPr/>
      </w:r>
      <w:bookmarkStart w:name="_bookmark652" w:id="1960"/>
      <w:bookmarkEnd w:id="1960"/>
      <w:r>
        <w:rPr/>
      </w:r>
      <w:bookmarkStart w:name="_bookmark652" w:id="1961"/>
      <w:bookmarkEnd w:id="1961"/>
      <w:r>
        <w:rPr>
          <w:color w:val="4F81BC"/>
        </w:rPr>
        <w:t>L</w:t>
      </w:r>
      <w:r>
        <w:rPr>
          <w:color w:val="4F81BC"/>
        </w:rPr>
        <w:t>ARGE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LARGE ( </w:t>
      </w:r>
      <w:r>
        <w:rPr>
          <w:i/>
          <w:sz w:val="22"/>
        </w:rPr>
        <w:t>array </w:t>
      </w:r>
      <w:r>
        <w:rPr>
          <w:rFonts w:ascii="Lucida Console"/>
          <w:sz w:val="20"/>
        </w:rPr>
        <w:t>, </w:t>
      </w:r>
      <w:r>
        <w:rPr>
          <w:i/>
          <w:sz w:val="22"/>
        </w:rPr>
        <w:t>k </w:t>
      </w:r>
      <w:r>
        <w:rPr>
          <w:rFonts w:ascii="Lucida Console"/>
          <w:sz w:val="20"/>
        </w:rPr>
        <w:t>)</w:t>
      </w:r>
    </w:p>
    <w:p>
      <w:pPr>
        <w:spacing w:before="105"/>
        <w:ind w:left="220" w:right="0" w:firstLine="0"/>
        <w:jc w:val="left"/>
        <w:rPr>
          <w:sz w:val="22"/>
        </w:rPr>
      </w:pPr>
      <w:r>
        <w:rPr>
          <w:b/>
          <w:sz w:val="22"/>
        </w:rPr>
        <w:t>Description: </w:t>
      </w:r>
      <w:r>
        <w:rPr>
          <w:sz w:val="22"/>
        </w:rPr>
        <w:t>Computes the </w:t>
      </w:r>
      <w:r>
        <w:rPr>
          <w:rFonts w:ascii="Times New Roman"/>
          <w:i/>
          <w:sz w:val="22"/>
        </w:rPr>
        <w:t>k</w:t>
      </w:r>
      <w:r>
        <w:rPr>
          <w:position w:val="8"/>
          <w:sz w:val="14"/>
        </w:rPr>
        <w:t>th </w:t>
      </w:r>
      <w:r>
        <w:rPr>
          <w:sz w:val="22"/>
        </w:rPr>
        <w:t>largest value in a data set.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spacing w:before="36"/>
              <w:ind w:left="113" w:right="216"/>
              <w:rPr>
                <w:sz w:val="22"/>
              </w:rPr>
            </w:pPr>
            <w:r>
              <w:rPr>
                <w:sz w:val="22"/>
              </w:rPr>
              <w:t>The set of numbers from which the </w:t>
            </w:r>
            <w:r>
              <w:rPr>
                <w:rFonts w:ascii="Times New Roman"/>
                <w:i/>
                <w:sz w:val="22"/>
              </w:rPr>
              <w:t>k</w:t>
            </w:r>
            <w:r>
              <w:rPr>
                <w:position w:val="8"/>
                <w:sz w:val="14"/>
              </w:rPr>
              <w:t>th</w:t>
            </w:r>
            <w:r>
              <w:rPr>
                <w:sz w:val="22"/>
              </w:rPr>
              <w:t>-largest value is to be determined.</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k</w:t>
            </w:r>
          </w:p>
        </w:tc>
        <w:tc>
          <w:tcPr>
            <w:tcW w:w="1800" w:type="dxa"/>
          </w:tcPr>
          <w:p>
            <w:pPr>
              <w:pStyle w:val="TableParagraph"/>
              <w:ind w:left="112"/>
              <w:rPr>
                <w:sz w:val="22"/>
              </w:rPr>
            </w:pPr>
            <w:r>
              <w:rPr>
                <w:sz w:val="22"/>
              </w:rPr>
              <w:t>number</w:t>
            </w:r>
          </w:p>
        </w:tc>
        <w:tc>
          <w:tcPr>
            <w:tcW w:w="5400" w:type="dxa"/>
          </w:tcPr>
          <w:p>
            <w:pPr>
              <w:pStyle w:val="TableParagraph"/>
              <w:ind w:left="113" w:right="294"/>
              <w:rPr>
                <w:sz w:val="22"/>
              </w:rPr>
            </w:pPr>
            <w:r>
              <w:rPr>
                <w:sz w:val="22"/>
              </w:rPr>
              <w:t>The position (from the largest) in the array or cell range of data to return.</w:t>
            </w:r>
          </w:p>
        </w:tc>
      </w:tr>
    </w:tbl>
    <w:p>
      <w:pPr>
        <w:pStyle w:val="BodyText"/>
        <w:rPr>
          <w:b/>
        </w:rPr>
      </w:pPr>
    </w:p>
    <w:p>
      <w:pPr>
        <w:pStyle w:val="BodyText"/>
        <w:spacing w:before="3"/>
        <w:rPr>
          <w:b/>
          <w:sz w:val="19"/>
        </w:rPr>
      </w:pPr>
    </w:p>
    <w:p>
      <w:pPr>
        <w:spacing w:line="456" w:lineRule="auto" w:before="1"/>
        <w:ind w:left="220" w:right="4367" w:firstLine="0"/>
        <w:jc w:val="left"/>
        <w:rPr>
          <w:sz w:val="22"/>
        </w:rPr>
      </w:pPr>
      <w:r>
        <w:rPr>
          <w:b/>
          <w:sz w:val="22"/>
        </w:rPr>
        <w:t>Return Type and Value: </w:t>
      </w:r>
      <w:r>
        <w:rPr>
          <w:sz w:val="22"/>
        </w:rPr>
        <w:t>number – The </w:t>
      </w:r>
      <w:r>
        <w:rPr>
          <w:rFonts w:ascii="Times New Roman" w:hAnsi="Times New Roman"/>
          <w:i/>
          <w:sz w:val="22"/>
        </w:rPr>
        <w:t>k</w:t>
      </w:r>
      <w:r>
        <w:rPr>
          <w:position w:val="8"/>
          <w:sz w:val="14"/>
        </w:rPr>
        <w:t>th </w:t>
      </w:r>
      <w:r>
        <w:rPr>
          <w:sz w:val="22"/>
        </w:rPr>
        <w:t>largest value in a data set. However,</w:t>
      </w:r>
      <w:r>
        <w:rPr>
          <w:spacing w:val="-1"/>
          <w:sz w:val="22"/>
        </w:rPr>
        <w:t> </w:t>
      </w:r>
      <w:r>
        <w:rPr>
          <w:sz w:val="22"/>
        </w:rPr>
        <w:t>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array </w:t>
      </w:r>
      <w:r>
        <w:rPr>
          <w:sz w:val="22"/>
        </w:rPr>
        <w:t>is empty,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k </w:t>
      </w:r>
      <w:r>
        <w:rPr>
          <w:sz w:val="22"/>
        </w:rPr>
        <w: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4095" w:firstLine="360"/>
        <w:jc w:val="left"/>
        <w:rPr>
          <w:sz w:val="22"/>
        </w:rPr>
      </w:pPr>
      <w:r>
        <w:rPr>
          <w:rFonts w:ascii="Times New Roman" w:hAnsi="Times New Roman"/>
          <w:i/>
          <w:sz w:val="22"/>
        </w:rPr>
        <w:t>k </w:t>
      </w:r>
      <w:r>
        <w:rPr>
          <w:sz w:val="22"/>
        </w:rPr>
        <w:t>is greater than the number of data points, </w:t>
      </w:r>
      <w:r>
        <w:rPr>
          <w:rFonts w:ascii="Consolas" w:hAnsi="Consolas"/>
          <w:sz w:val="22"/>
        </w:rPr>
        <w:t>#NUM!</w:t>
      </w:r>
      <w:r>
        <w:rPr>
          <w:rFonts w:ascii="Consolas" w:hAnsi="Consolas"/>
          <w:spacing w:val="-92"/>
          <w:sz w:val="22"/>
        </w:rPr>
        <w:t> </w:t>
      </w:r>
      <w:r>
        <w:rPr>
          <w:sz w:val="22"/>
        </w:rPr>
        <w:t>is returned. [</w:t>
      </w:r>
      <w:r>
        <w:rPr>
          <w:i/>
          <w:sz w:val="22"/>
        </w:rPr>
        <w:t>Example</w:t>
      </w:r>
      <w:r>
        <w:rPr>
          <w:sz w:val="22"/>
        </w:rPr>
        <w:t>:</w:t>
      </w:r>
    </w:p>
    <w:p>
      <w:pPr>
        <w:pStyle w:val="BodyText"/>
        <w:spacing w:before="128"/>
        <w:ind w:left="220"/>
        <w:rPr>
          <w:rFonts w:ascii="Consolas"/>
        </w:rPr>
      </w:pPr>
      <w:r>
        <w:rPr>
          <w:rFonts w:ascii="Consolas"/>
        </w:rPr>
        <w:t>LARGE({3,5,3,5,4;4,2,4,6,7},3) </w:t>
      </w:r>
      <w:r>
        <w:rPr/>
        <w:t>results in</w:t>
      </w:r>
      <w:r>
        <w:rPr>
          <w:spacing w:val="-17"/>
        </w:rPr>
        <w:t> </w:t>
      </w:r>
      <w:r>
        <w:rPr>
          <w:rFonts w:ascii="Consolas"/>
        </w:rPr>
        <w:t>5</w:t>
      </w:r>
    </w:p>
    <w:p>
      <w:pPr>
        <w:pStyle w:val="BodyText"/>
        <w:spacing w:before="39"/>
        <w:ind w:left="220"/>
        <w:rPr>
          <w:rFonts w:ascii="Consolas"/>
        </w:rPr>
      </w:pPr>
      <w:r>
        <w:rPr>
          <w:rFonts w:ascii="Consolas"/>
        </w:rPr>
        <w:t>LARGE({3,5,3,5,4;4,2,4,6,7},7) </w:t>
      </w:r>
      <w:r>
        <w:rPr/>
        <w:t>results in</w:t>
      </w:r>
      <w:r>
        <w:rPr>
          <w:spacing w:val="-17"/>
        </w:rPr>
        <w:t> </w:t>
      </w:r>
      <w:r>
        <w:rPr>
          <w:rFonts w:ascii="Consolas"/>
        </w:rPr>
        <w:t>4</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0 LCM" w:id="1962"/>
      <w:bookmarkEnd w:id="1962"/>
      <w:r>
        <w:rPr/>
      </w:r>
      <w:bookmarkStart w:name="_bookmark653" w:id="1963"/>
      <w:bookmarkEnd w:id="1963"/>
      <w:r>
        <w:rPr/>
      </w:r>
      <w:bookmarkStart w:name="_bookmark653" w:id="1964"/>
      <w:bookmarkEnd w:id="1964"/>
      <w:r>
        <w:rPr>
          <w:color w:val="4F81BC"/>
        </w:rPr>
        <w:t>L</w:t>
      </w:r>
      <w:r>
        <w:rPr>
          <w:color w:val="4F81BC"/>
        </w:rPr>
        <w:t>CM</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LCM ( </w:t>
      </w:r>
      <w:r>
        <w:rPr>
          <w:i/>
          <w:sz w:val="22"/>
        </w:rPr>
        <w:t>argument-list </w:t>
      </w:r>
      <w:r>
        <w:rPr>
          <w:rFonts w:ascii="Lucida Console"/>
          <w:sz w:val="20"/>
        </w:rPr>
        <w:t>)</w:t>
      </w:r>
    </w:p>
    <w:p>
      <w:pPr>
        <w:spacing w:before="108"/>
        <w:ind w:left="220" w:right="0" w:firstLine="0"/>
        <w:jc w:val="left"/>
        <w:rPr>
          <w:sz w:val="22"/>
        </w:rPr>
      </w:pPr>
      <w:r>
        <w:rPr>
          <w:b/>
          <w:sz w:val="22"/>
        </w:rPr>
        <w:t>Description: </w:t>
      </w:r>
      <w:r>
        <w:rPr>
          <w:sz w:val="22"/>
        </w:rPr>
        <w:t>Computes the least common multiple of the one or more </w:t>
      </w:r>
      <w:r>
        <w:rPr>
          <w:rFonts w:ascii="Times New Roman"/>
          <w:i/>
          <w:sz w:val="22"/>
        </w:rPr>
        <w:t>argument</w:t>
      </w:r>
      <w:r>
        <w:rPr>
          <w:sz w:val="22"/>
        </w:rPr>
        <w:t>s in </w:t>
      </w:r>
      <w:r>
        <w:rPr>
          <w:rFonts w:ascii="Times New Roman"/>
          <w:i/>
          <w:sz w:val="22"/>
        </w:rPr>
        <w:t>argument-list</w:t>
      </w:r>
      <w:r>
        <w:rPr>
          <w:sz w:val="22"/>
        </w:rPr>
        <w:t>.</w:t>
      </w:r>
    </w:p>
    <w:p>
      <w:pPr>
        <w:spacing w:after="0"/>
        <w:jc w:val="left"/>
        <w:rPr>
          <w:sz w:val="22"/>
        </w:rPr>
        <w:sectPr>
          <w:pgSz w:w="12240" w:h="15840"/>
          <w:pgMar w:header="761" w:footer="746" w:top="1340" w:bottom="940" w:left="860" w:right="700"/>
        </w:sectPr>
      </w:pPr>
    </w:p>
    <w:p>
      <w:pPr>
        <w:pStyle w:val="Heading4"/>
        <w:spacing w:before="150"/>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number</w:t>
            </w:r>
          </w:p>
        </w:tc>
        <w:tc>
          <w:tcPr>
            <w:tcW w:w="5400" w:type="dxa"/>
          </w:tcPr>
          <w:p>
            <w:pPr>
              <w:pStyle w:val="TableParagraph"/>
              <w:ind w:left="113" w:right="282"/>
              <w:rPr>
                <w:sz w:val="22"/>
              </w:rPr>
            </w:pPr>
            <w:r>
              <w:rPr>
                <w:rFonts w:ascii="Times New Roman"/>
                <w:i/>
                <w:sz w:val="22"/>
              </w:rPr>
              <w:t>argument-list </w:t>
            </w:r>
            <w:r>
              <w:rPr>
                <w:sz w:val="22"/>
              </w:rPr>
              <w:t>specifies the </w:t>
            </w:r>
            <w:r>
              <w:rPr>
                <w:rFonts w:ascii="Times New Roman"/>
                <w:i/>
                <w:sz w:val="22"/>
              </w:rPr>
              <w:t>argument</w:t>
            </w:r>
            <w:r>
              <w:rPr>
                <w:sz w:val="22"/>
              </w:rPr>
              <w:t>s. Each argument is truncated to an integer.</w:t>
            </w:r>
          </w:p>
        </w:tc>
      </w:tr>
    </w:tbl>
    <w:p>
      <w:pPr>
        <w:pStyle w:val="BodyText"/>
        <w:rPr>
          <w:b/>
        </w:rPr>
      </w:pPr>
    </w:p>
    <w:p>
      <w:pPr>
        <w:pStyle w:val="BodyText"/>
        <w:spacing w:before="7"/>
        <w:rPr>
          <w:b/>
          <w:sz w:val="19"/>
        </w:rPr>
      </w:pPr>
    </w:p>
    <w:p>
      <w:pPr>
        <w:spacing w:line="453" w:lineRule="auto" w:before="0"/>
        <w:ind w:left="220" w:right="2595" w:firstLine="0"/>
        <w:jc w:val="left"/>
        <w:rPr>
          <w:sz w:val="22"/>
        </w:rPr>
      </w:pPr>
      <w:r>
        <w:rPr>
          <w:b/>
          <w:sz w:val="22"/>
        </w:rPr>
        <w:t>Return Type and Value: </w:t>
      </w:r>
      <w:r>
        <w:rPr>
          <w:sz w:val="22"/>
        </w:rPr>
        <w:t>number – The least common multiple of one or more numbers. However, if any </w:t>
      </w:r>
      <w:r>
        <w:rPr>
          <w:rFonts w:ascii="Times New Roman" w:hAnsi="Times New Roman"/>
          <w:i/>
          <w:sz w:val="22"/>
        </w:rPr>
        <w:t>argument </w:t>
      </w:r>
      <w:r>
        <w:rPr>
          <w:sz w:val="22"/>
        </w:rPr>
        <w:t>is negative, </w:t>
      </w:r>
      <w:r>
        <w:rPr>
          <w:rFonts w:ascii="Consolas" w:hAnsi="Consolas"/>
          <w:sz w:val="22"/>
        </w:rPr>
        <w:t>#NUM!</w:t>
      </w:r>
      <w:r>
        <w:rPr>
          <w:rFonts w:ascii="Consolas" w:hAnsi="Consolas"/>
          <w:spacing w:val="-78"/>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8321"/>
        <w:rPr>
          <w:rFonts w:ascii="Consolas"/>
        </w:rPr>
      </w:pPr>
      <w:r>
        <w:rPr>
          <w:rFonts w:ascii="Consolas"/>
        </w:rPr>
        <w:t>LCM(5) </w:t>
      </w:r>
      <w:r>
        <w:rPr/>
        <w:t>results in </w:t>
      </w:r>
      <w:r>
        <w:rPr>
          <w:rFonts w:ascii="Consolas"/>
        </w:rPr>
        <w:t>5 LCM(5,2)</w:t>
      </w:r>
      <w:r>
        <w:rPr>
          <w:rFonts w:ascii="Consolas"/>
          <w:spacing w:val="-76"/>
        </w:rPr>
        <w:t> </w:t>
      </w:r>
      <w:r>
        <w:rPr/>
        <w:t>results in </w:t>
      </w:r>
      <w:r>
        <w:rPr>
          <w:rFonts w:ascii="Consolas"/>
        </w:rPr>
        <w:t>10</w:t>
      </w:r>
    </w:p>
    <w:p>
      <w:pPr>
        <w:pStyle w:val="BodyText"/>
        <w:spacing w:line="273" w:lineRule="auto" w:before="2"/>
        <w:ind w:left="220" w:right="7359"/>
        <w:rPr>
          <w:rFonts w:ascii="Consolas"/>
        </w:rPr>
      </w:pPr>
      <w:r>
        <w:rPr>
          <w:rFonts w:ascii="Consolas"/>
        </w:rPr>
        <w:t>LCM(24.99,36.45)</w:t>
      </w:r>
      <w:r>
        <w:rPr>
          <w:rFonts w:ascii="Consolas"/>
          <w:spacing w:val="-81"/>
        </w:rPr>
        <w:t> </w:t>
      </w:r>
      <w:r>
        <w:rPr/>
        <w:t>results in </w:t>
      </w:r>
      <w:r>
        <w:rPr>
          <w:rFonts w:ascii="Consolas"/>
        </w:rPr>
        <w:t>72 LCM(24,36,15)</w:t>
      </w:r>
      <w:r>
        <w:rPr>
          <w:rFonts w:ascii="Consolas"/>
          <w:spacing w:val="-74"/>
        </w:rPr>
        <w:t> </w:t>
      </w:r>
      <w:r>
        <w:rPr/>
        <w:t>results in </w:t>
      </w:r>
      <w:r>
        <w:rPr>
          <w:rFonts w:ascii="Consolas"/>
        </w:rPr>
        <w:t>360</w:t>
      </w:r>
    </w:p>
    <w:p>
      <w:pPr>
        <w:pStyle w:val="BodyText"/>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1 LEFT" w:id="1965"/>
      <w:bookmarkEnd w:id="1965"/>
      <w:r>
        <w:rPr/>
      </w:r>
      <w:bookmarkStart w:name="_bookmark654" w:id="1966"/>
      <w:bookmarkEnd w:id="1966"/>
      <w:r>
        <w:rPr/>
      </w:r>
      <w:bookmarkStart w:name="_bookmark654" w:id="1967"/>
      <w:bookmarkEnd w:id="1967"/>
      <w:r>
        <w:rPr>
          <w:color w:val="4F81BC"/>
        </w:rPr>
        <w:t>LEFT</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LEFT ( </w:t>
      </w:r>
      <w:r>
        <w:rPr>
          <w:i/>
          <w:sz w:val="22"/>
        </w:rPr>
        <w:t>string </w:t>
      </w:r>
      <w:r>
        <w:rPr>
          <w:sz w:val="22"/>
        </w:rPr>
        <w:t>[ </w:t>
      </w:r>
      <w:r>
        <w:rPr>
          <w:rFonts w:ascii="Lucida Console"/>
          <w:sz w:val="20"/>
        </w:rPr>
        <w:t>, </w:t>
      </w:r>
      <w:r>
        <w:rPr>
          <w:i/>
          <w:sz w:val="22"/>
        </w:rPr>
        <w:t>number-chars </w:t>
      </w:r>
      <w:r>
        <w:rPr>
          <w:sz w:val="22"/>
        </w:rPr>
        <w:t>] </w:t>
      </w:r>
      <w:r>
        <w:rPr>
          <w:rFonts w:ascii="Lucida Console"/>
          <w:sz w:val="20"/>
        </w:rPr>
        <w:t>)</w:t>
      </w:r>
    </w:p>
    <w:p>
      <w:pPr>
        <w:pStyle w:val="BodyText"/>
        <w:spacing w:line="276" w:lineRule="auto" w:before="105"/>
        <w:ind w:left="220" w:right="503"/>
      </w:pPr>
      <w:r>
        <w:rPr>
          <w:b/>
        </w:rPr>
        <w:t>Description: </w:t>
      </w:r>
      <w:r>
        <w:rPr/>
        <w:t>Extracts the left-most </w:t>
      </w:r>
      <w:r>
        <w:rPr>
          <w:rFonts w:ascii="Times New Roman" w:hAnsi="Times New Roman"/>
          <w:i/>
        </w:rPr>
        <w:t>number-chars </w:t>
      </w:r>
      <w:r>
        <w:rPr/>
        <w:t>characters from </w:t>
      </w:r>
      <w:r>
        <w:rPr>
          <w:rFonts w:ascii="Times New Roman" w:hAnsi="Times New Roman"/>
          <w:i/>
        </w:rPr>
        <w:t>string</w:t>
      </w:r>
      <w:r>
        <w:rPr/>
        <w:t>. (</w:t>
      </w:r>
      <w:r>
        <w:rPr>
          <w:rFonts w:ascii="Consolas" w:hAnsi="Consolas"/>
        </w:rPr>
        <w:t>LEFT </w:t>
      </w:r>
      <w:r>
        <w:rPr/>
        <w:t>is intended for use with languages that use the single-byte character set (SBCS), whereas </w:t>
      </w:r>
      <w:r>
        <w:rPr>
          <w:rFonts w:ascii="Consolas" w:hAnsi="Consolas"/>
        </w:rPr>
        <w:t>LEFTB</w:t>
      </w:r>
      <w:r>
        <w:rPr>
          <w:rFonts w:ascii="Consolas" w:hAnsi="Consolas"/>
          <w:spacing w:val="-99"/>
        </w:rPr>
        <w:t> </w:t>
      </w:r>
      <w:r>
        <w:rPr/>
        <w:t>(§</w:t>
      </w:r>
      <w:hyperlink w:history="true" w:anchor="_bookmark655">
        <w:r>
          <w:rPr>
            <w:rFonts w:ascii="Times New Roman" w:hAnsi="Times New Roman"/>
          </w:rPr>
          <w:t>18.17.7.192</w:t>
        </w:r>
      </w:hyperlink>
      <w:r>
        <w:rPr/>
        <w:t>) is intended for use with languages that use the double-byte character set (DBCS).)</w:t>
      </w:r>
    </w:p>
    <w:p>
      <w:pPr>
        <w:pStyle w:val="BodyText"/>
        <w:spacing w:before="7"/>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668"/>
              <w:rPr>
                <w:sz w:val="22"/>
              </w:rPr>
            </w:pPr>
            <w:r>
              <w:rPr>
                <w:sz w:val="22"/>
              </w:rPr>
              <w:t>Designate the string from which a substring is to be extracted.</w:t>
            </w:r>
          </w:p>
        </w:tc>
      </w:tr>
      <w:tr>
        <w:trPr>
          <w:trHeight w:val="1161" w:hRule="atLeast"/>
        </w:trPr>
        <w:tc>
          <w:tcPr>
            <w:tcW w:w="1466" w:type="dxa"/>
          </w:tcPr>
          <w:p>
            <w:pPr>
              <w:pStyle w:val="TableParagraph"/>
              <w:spacing w:before="37"/>
              <w:rPr>
                <w:rFonts w:ascii="Times New Roman"/>
                <w:i/>
                <w:sz w:val="22"/>
              </w:rPr>
            </w:pPr>
            <w:r>
              <w:rPr>
                <w:rFonts w:ascii="Times New Roman"/>
                <w:i/>
                <w:sz w:val="22"/>
              </w:rPr>
              <w:t>number-chars</w:t>
            </w:r>
          </w:p>
        </w:tc>
        <w:tc>
          <w:tcPr>
            <w:tcW w:w="1800" w:type="dxa"/>
          </w:tcPr>
          <w:p>
            <w:pPr>
              <w:pStyle w:val="TableParagraph"/>
              <w:ind w:left="112"/>
              <w:rPr>
                <w:sz w:val="22"/>
              </w:rPr>
            </w:pPr>
            <w:r>
              <w:rPr>
                <w:sz w:val="22"/>
              </w:rPr>
              <w:t>number</w:t>
            </w:r>
          </w:p>
        </w:tc>
        <w:tc>
          <w:tcPr>
            <w:tcW w:w="5400" w:type="dxa"/>
          </w:tcPr>
          <w:p>
            <w:pPr>
              <w:pStyle w:val="TableParagraph"/>
              <w:ind w:left="113" w:right="175"/>
              <w:rPr>
                <w:sz w:val="22"/>
              </w:rPr>
            </w:pPr>
            <w:r>
              <w:rPr>
                <w:sz w:val="22"/>
              </w:rPr>
              <w:t>The number of characters to be extracted. If omitted, a count of 1 shall be assumed. </w:t>
            </w:r>
            <w:r>
              <w:rPr>
                <w:rFonts w:ascii="Times New Roman"/>
                <w:i/>
                <w:sz w:val="22"/>
              </w:rPr>
              <w:t>number-chars </w:t>
            </w:r>
            <w:r>
              <w:rPr>
                <w:sz w:val="22"/>
              </w:rPr>
              <w:t>shall be at least 0. If </w:t>
            </w:r>
            <w:r>
              <w:rPr>
                <w:rFonts w:ascii="Times New Roman"/>
                <w:i/>
                <w:sz w:val="22"/>
              </w:rPr>
              <w:t>number-chars </w:t>
            </w:r>
            <w:r>
              <w:rPr>
                <w:sz w:val="22"/>
              </w:rPr>
              <w:t>exceeds the length of </w:t>
            </w:r>
            <w:r>
              <w:rPr>
                <w:rFonts w:ascii="Times New Roman"/>
                <w:i/>
                <w:sz w:val="22"/>
              </w:rPr>
              <w:t>string</w:t>
            </w:r>
            <w:r>
              <w:rPr>
                <w:sz w:val="22"/>
              </w:rPr>
              <w:t>, the whole of </w:t>
            </w:r>
            <w:r>
              <w:rPr>
                <w:rFonts w:ascii="Times New Roman"/>
                <w:i/>
                <w:sz w:val="22"/>
              </w:rPr>
              <w:t>string </w:t>
            </w:r>
            <w:r>
              <w:rPr>
                <w:sz w:val="22"/>
              </w:rPr>
              <w:t>shall be extracted.</w:t>
            </w:r>
          </w:p>
        </w:tc>
      </w:tr>
    </w:tbl>
    <w:p>
      <w:pPr>
        <w:pStyle w:val="BodyText"/>
        <w:rPr>
          <w:b/>
        </w:rPr>
      </w:pPr>
    </w:p>
    <w:p>
      <w:pPr>
        <w:pStyle w:val="BodyText"/>
        <w:spacing w:before="7"/>
        <w:rPr>
          <w:b/>
          <w:sz w:val="19"/>
        </w:rPr>
      </w:pPr>
    </w:p>
    <w:p>
      <w:pPr>
        <w:spacing w:line="453" w:lineRule="auto" w:before="0"/>
        <w:ind w:left="220" w:right="1417" w:firstLine="0"/>
        <w:jc w:val="left"/>
        <w:rPr>
          <w:sz w:val="22"/>
        </w:rPr>
      </w:pPr>
      <w:r>
        <w:rPr>
          <w:b/>
          <w:sz w:val="22"/>
        </w:rPr>
        <w:t>Return Type and Value: </w:t>
      </w:r>
      <w:r>
        <w:rPr>
          <w:sz w:val="22"/>
        </w:rPr>
        <w:t>text – A string containing the left-most </w:t>
      </w:r>
      <w:r>
        <w:rPr>
          <w:rFonts w:ascii="Times New Roman" w:hAnsi="Times New Roman"/>
          <w:i/>
          <w:sz w:val="22"/>
        </w:rPr>
        <w:t>number-chars </w:t>
      </w:r>
      <w:r>
        <w:rPr>
          <w:sz w:val="22"/>
        </w:rPr>
        <w:t>characters from </w:t>
      </w:r>
      <w:r>
        <w:rPr>
          <w:rFonts w:ascii="Times New Roman" w:hAnsi="Times New Roman"/>
          <w:i/>
          <w:sz w:val="22"/>
        </w:rPr>
        <w:t>string</w:t>
      </w:r>
      <w:r>
        <w:rPr>
          <w:sz w:val="22"/>
        </w:rPr>
        <w:t>. However, if </w:t>
      </w:r>
      <w:r>
        <w:rPr>
          <w:rFonts w:ascii="Times New Roman" w:hAnsi="Times New Roman"/>
          <w:i/>
          <w:sz w:val="22"/>
        </w:rPr>
        <w:t>number-chars </w:t>
      </w:r>
      <w:r>
        <w:rPr>
          <w:sz w:val="22"/>
        </w:rPr>
        <w:t>is negative, </w:t>
      </w:r>
      <w:r>
        <w:rPr>
          <w:rFonts w:ascii="Consolas" w:hAnsi="Consolas"/>
          <w:sz w:val="22"/>
        </w:rPr>
        <w:t>#VALUE!</w:t>
      </w:r>
      <w:r>
        <w:rPr>
          <w:rFonts w:ascii="Consolas" w:hAnsi="Consolas"/>
          <w:spacing w:val="-81"/>
          <w:sz w:val="22"/>
        </w:rPr>
        <w:t> </w:t>
      </w:r>
      <w:r>
        <w:rPr>
          <w:sz w:val="22"/>
        </w:rPr>
        <w:t>is returned.</w:t>
      </w:r>
    </w:p>
    <w:p>
      <w:pPr>
        <w:spacing w:after="0" w:line="453"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LEFT("abcdef",2)</w:t>
      </w:r>
      <w:r>
        <w:rPr>
          <w:rFonts w:ascii="Consolas"/>
          <w:spacing w:val="-68"/>
        </w:rPr>
        <w:t> </w:t>
      </w:r>
      <w:r>
        <w:rPr/>
        <w:t>results in </w:t>
      </w:r>
      <w:r>
        <w:rPr>
          <w:rFonts w:ascii="Consolas"/>
        </w:rPr>
        <w:t>ab</w:t>
      </w:r>
    </w:p>
    <w:p>
      <w:pPr>
        <w:pStyle w:val="BodyText"/>
        <w:spacing w:before="41"/>
        <w:ind w:left="220"/>
        <w:rPr>
          <w:rFonts w:ascii="Consolas"/>
        </w:rPr>
      </w:pPr>
      <w:r>
        <w:rPr>
          <w:rFonts w:ascii="Consolas"/>
        </w:rPr>
        <w:t>LEFT(A10,4)</w:t>
      </w:r>
      <w:r>
        <w:rPr>
          <w:rFonts w:ascii="Consolas"/>
          <w:spacing w:val="-78"/>
        </w:rPr>
        <w:t> </w:t>
      </w:r>
      <w:r>
        <w:rPr/>
        <w:t>results in </w:t>
      </w:r>
      <w:r>
        <w:rPr>
          <w:rFonts w:ascii="Consolas"/>
        </w:rPr>
        <w:t>xyz1</w:t>
      </w:r>
      <w:r>
        <w:rPr/>
        <w:t>, when A10 contains </w:t>
      </w:r>
      <w:r>
        <w:rPr>
          <w:rFonts w:ascii="Consolas"/>
        </w:rPr>
        <w:t>xyz123</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2 LEFTB" w:id="1968"/>
      <w:bookmarkEnd w:id="1968"/>
      <w:r>
        <w:rPr/>
      </w:r>
      <w:bookmarkStart w:name="_bookmark655" w:id="1969"/>
      <w:bookmarkEnd w:id="1969"/>
      <w:r>
        <w:rPr/>
      </w:r>
      <w:bookmarkStart w:name="_bookmark655" w:id="1970"/>
      <w:bookmarkEnd w:id="1970"/>
      <w:r>
        <w:rPr>
          <w:color w:val="4F81BC"/>
        </w:rPr>
        <w:t>LEFTB</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LEFTB ( </w:t>
      </w:r>
      <w:r>
        <w:rPr>
          <w:i/>
          <w:sz w:val="22"/>
        </w:rPr>
        <w:t>string </w:t>
      </w:r>
      <w:r>
        <w:rPr>
          <w:sz w:val="22"/>
        </w:rPr>
        <w:t>[ </w:t>
      </w:r>
      <w:r>
        <w:rPr>
          <w:rFonts w:ascii="Lucida Console"/>
          <w:sz w:val="20"/>
        </w:rPr>
        <w:t>, </w:t>
      </w:r>
      <w:r>
        <w:rPr>
          <w:i/>
          <w:sz w:val="22"/>
        </w:rPr>
        <w:t>number-bytes </w:t>
      </w:r>
      <w:r>
        <w:rPr>
          <w:sz w:val="22"/>
        </w:rPr>
        <w:t>] </w:t>
      </w:r>
      <w:r>
        <w:rPr>
          <w:rFonts w:ascii="Lucida Console"/>
          <w:sz w:val="20"/>
        </w:rPr>
        <w:t>)</w:t>
      </w:r>
    </w:p>
    <w:p>
      <w:pPr>
        <w:pStyle w:val="BodyText"/>
        <w:spacing w:line="276" w:lineRule="auto" w:before="106"/>
        <w:ind w:left="220" w:right="503"/>
      </w:pPr>
      <w:r>
        <w:rPr>
          <w:b/>
        </w:rPr>
        <w:t>Description: </w:t>
      </w:r>
      <w:r>
        <w:rPr/>
        <w:t>Extracts the left-most </w:t>
      </w:r>
      <w:r>
        <w:rPr>
          <w:rFonts w:ascii="Times New Roman" w:hAnsi="Times New Roman"/>
          <w:i/>
        </w:rPr>
        <w:t>number-bytes</w:t>
      </w:r>
      <w:r>
        <w:rPr/>
        <w:t>-worth of characters from </w:t>
      </w:r>
      <w:r>
        <w:rPr>
          <w:rFonts w:ascii="Times New Roman" w:hAnsi="Times New Roman"/>
          <w:i/>
        </w:rPr>
        <w:t>string</w:t>
      </w:r>
      <w:r>
        <w:rPr/>
        <w:t>. (</w:t>
      </w:r>
      <w:r>
        <w:rPr>
          <w:rFonts w:ascii="Consolas" w:hAnsi="Consolas"/>
        </w:rPr>
        <w:t>LEFTB </w:t>
      </w:r>
      <w:r>
        <w:rPr/>
        <w:t>is intended for use with languages that use the double-byte character set (DBCS), whereas </w:t>
      </w:r>
      <w:r>
        <w:rPr>
          <w:rFonts w:ascii="Consolas" w:hAnsi="Consolas"/>
        </w:rPr>
        <w:t>LEFT</w:t>
      </w:r>
      <w:r>
        <w:rPr>
          <w:rFonts w:ascii="Consolas" w:hAnsi="Consolas"/>
          <w:spacing w:val="-102"/>
        </w:rPr>
        <w:t> </w:t>
      </w:r>
      <w:r>
        <w:rPr/>
        <w:t>(§</w:t>
      </w:r>
      <w:hyperlink w:history="true" w:anchor="_bookmark655">
        <w:r>
          <w:rPr/>
          <w:t>18.17.7.192</w:t>
        </w:r>
      </w:hyperlink>
      <w:r>
        <w:rPr/>
        <w:t>) is intended for use with languages that use the single-byte character set (SBCS).)</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668"/>
              <w:rPr>
                <w:sz w:val="22"/>
              </w:rPr>
            </w:pPr>
            <w:r>
              <w:rPr>
                <w:sz w:val="22"/>
              </w:rPr>
              <w:t>Designate the string from which a substring is to be extracted.</w:t>
            </w:r>
          </w:p>
        </w:tc>
      </w:tr>
      <w:tr>
        <w:trPr>
          <w:trHeight w:val="1161" w:hRule="atLeast"/>
        </w:trPr>
        <w:tc>
          <w:tcPr>
            <w:tcW w:w="1466" w:type="dxa"/>
          </w:tcPr>
          <w:p>
            <w:pPr>
              <w:pStyle w:val="TableParagraph"/>
              <w:spacing w:before="37"/>
              <w:rPr>
                <w:rFonts w:ascii="Times New Roman"/>
                <w:i/>
                <w:sz w:val="22"/>
              </w:rPr>
            </w:pPr>
            <w:r>
              <w:rPr>
                <w:rFonts w:ascii="Times New Roman"/>
                <w:i/>
                <w:sz w:val="22"/>
              </w:rPr>
              <w:t>number-bytes</w:t>
            </w:r>
          </w:p>
        </w:tc>
        <w:tc>
          <w:tcPr>
            <w:tcW w:w="1800" w:type="dxa"/>
          </w:tcPr>
          <w:p>
            <w:pPr>
              <w:pStyle w:val="TableParagraph"/>
              <w:ind w:left="112"/>
              <w:rPr>
                <w:sz w:val="22"/>
              </w:rPr>
            </w:pPr>
            <w:r>
              <w:rPr>
                <w:sz w:val="22"/>
              </w:rPr>
              <w:t>number</w:t>
            </w:r>
          </w:p>
        </w:tc>
        <w:tc>
          <w:tcPr>
            <w:tcW w:w="5400" w:type="dxa"/>
          </w:tcPr>
          <w:p>
            <w:pPr>
              <w:pStyle w:val="TableParagraph"/>
              <w:ind w:left="113" w:right="223"/>
              <w:rPr>
                <w:sz w:val="22"/>
              </w:rPr>
            </w:pPr>
            <w:r>
              <w:rPr>
                <w:sz w:val="22"/>
              </w:rPr>
              <w:t>The number of bytes to be extracted. If omitted, a count of 1 shall be assumed. </w:t>
            </w:r>
            <w:r>
              <w:rPr>
                <w:rFonts w:ascii="Times New Roman"/>
                <w:i/>
                <w:sz w:val="22"/>
              </w:rPr>
              <w:t>number-bytes </w:t>
            </w:r>
            <w:r>
              <w:rPr>
                <w:sz w:val="22"/>
              </w:rPr>
              <w:t>shall be at least 0. If </w:t>
            </w:r>
            <w:r>
              <w:rPr>
                <w:rFonts w:ascii="Times New Roman"/>
                <w:i/>
                <w:sz w:val="22"/>
              </w:rPr>
              <w:t>number-bytes </w:t>
            </w:r>
            <w:r>
              <w:rPr>
                <w:sz w:val="22"/>
              </w:rPr>
              <w:t>exceeds the length of </w:t>
            </w:r>
            <w:r>
              <w:rPr>
                <w:rFonts w:ascii="Times New Roman"/>
                <w:i/>
                <w:sz w:val="22"/>
              </w:rPr>
              <w:t>string</w:t>
            </w:r>
            <w:r>
              <w:rPr>
                <w:sz w:val="22"/>
              </w:rPr>
              <w:t>, the whole of </w:t>
            </w:r>
            <w:r>
              <w:rPr>
                <w:rFonts w:ascii="Times New Roman"/>
                <w:i/>
                <w:sz w:val="22"/>
              </w:rPr>
              <w:t>string </w:t>
            </w:r>
            <w:r>
              <w:rPr>
                <w:sz w:val="22"/>
              </w:rPr>
              <w:t>shall be extracted.</w:t>
            </w:r>
          </w:p>
        </w:tc>
      </w:tr>
    </w:tbl>
    <w:p>
      <w:pPr>
        <w:pStyle w:val="BodyText"/>
        <w:rPr>
          <w:b/>
        </w:rPr>
      </w:pPr>
    </w:p>
    <w:p>
      <w:pPr>
        <w:pStyle w:val="BodyText"/>
        <w:spacing w:before="8"/>
        <w:rPr>
          <w:b/>
          <w:sz w:val="19"/>
        </w:rPr>
      </w:pPr>
    </w:p>
    <w:p>
      <w:pPr>
        <w:spacing w:line="453" w:lineRule="auto" w:before="0"/>
        <w:ind w:left="220" w:right="620" w:firstLine="0"/>
        <w:jc w:val="left"/>
        <w:rPr>
          <w:sz w:val="22"/>
        </w:rPr>
      </w:pPr>
      <w:r>
        <w:rPr>
          <w:b/>
          <w:sz w:val="22"/>
        </w:rPr>
        <w:t>Return Type and Value: </w:t>
      </w:r>
      <w:r>
        <w:rPr>
          <w:sz w:val="22"/>
        </w:rPr>
        <w:t>text – A string containing the left-most </w:t>
      </w:r>
      <w:r>
        <w:rPr>
          <w:rFonts w:ascii="Times New Roman" w:hAnsi="Times New Roman"/>
          <w:i/>
          <w:sz w:val="22"/>
        </w:rPr>
        <w:t>number-bytes</w:t>
      </w:r>
      <w:r>
        <w:rPr>
          <w:sz w:val="22"/>
        </w:rPr>
        <w:t>-worth of characters from </w:t>
      </w:r>
      <w:r>
        <w:rPr>
          <w:rFonts w:ascii="Times New Roman" w:hAnsi="Times New Roman"/>
          <w:i/>
          <w:sz w:val="22"/>
        </w:rPr>
        <w:t>string</w:t>
      </w:r>
      <w:r>
        <w:rPr>
          <w:sz w:val="22"/>
        </w:rPr>
        <w:t>. However, if </w:t>
      </w:r>
      <w:r>
        <w:rPr>
          <w:rFonts w:ascii="Times New Roman" w:hAnsi="Times New Roman"/>
          <w:i/>
          <w:sz w:val="22"/>
        </w:rPr>
        <w:t>number-bytes </w:t>
      </w:r>
      <w:r>
        <w:rPr>
          <w:sz w:val="22"/>
        </w:rPr>
        <w:t>is negative, </w:t>
      </w:r>
      <w:r>
        <w:rPr>
          <w:rFonts w:ascii="Consolas" w:hAnsi="Consolas"/>
          <w:sz w:val="22"/>
        </w:rPr>
        <w:t>#VALUE!</w:t>
      </w:r>
      <w:r>
        <w:rPr>
          <w:rFonts w:ascii="Consolas" w:hAnsi="Consolas"/>
          <w:spacing w:val="-78"/>
          <w:sz w:val="22"/>
        </w:rPr>
        <w:t> </w:t>
      </w:r>
      <w:r>
        <w:rPr>
          <w:sz w:val="22"/>
        </w:rPr>
        <w:t>is returned.</w:t>
      </w:r>
    </w:p>
    <w:p>
      <w:pPr>
        <w:pStyle w:val="BodyText"/>
        <w:ind w:left="220"/>
      </w:pPr>
      <w:r>
        <w:rPr/>
        <w:t>[</w:t>
      </w:r>
      <w:r>
        <w:rPr>
          <w:i/>
        </w:rPr>
        <w:t>Example</w:t>
      </w:r>
      <w:r>
        <w:rPr/>
        <w:t>: Assuming 1-byte characters:</w:t>
      </w:r>
    </w:p>
    <w:p>
      <w:pPr>
        <w:pStyle w:val="BodyText"/>
        <w:spacing w:before="6"/>
        <w:rPr>
          <w:sz w:val="28"/>
        </w:rPr>
      </w:pPr>
    </w:p>
    <w:p>
      <w:pPr>
        <w:pStyle w:val="BodyText"/>
        <w:ind w:left="220"/>
        <w:rPr>
          <w:rFonts w:ascii="Consolas"/>
        </w:rPr>
      </w:pPr>
      <w:r>
        <w:rPr>
          <w:rFonts w:ascii="Consolas"/>
        </w:rPr>
        <w:t>LEFTB("abcdef",2)</w:t>
      </w:r>
      <w:r>
        <w:rPr>
          <w:rFonts w:ascii="Consolas"/>
          <w:spacing w:val="-69"/>
        </w:rPr>
        <w:t> </w:t>
      </w:r>
      <w:r>
        <w:rPr/>
        <w:t>results in </w:t>
      </w:r>
      <w:r>
        <w:rPr>
          <w:rFonts w:ascii="Consolas"/>
        </w:rPr>
        <w:t>ab</w:t>
      </w:r>
    </w:p>
    <w:p>
      <w:pPr>
        <w:pStyle w:val="BodyText"/>
        <w:spacing w:before="41"/>
        <w:ind w:left="220"/>
        <w:rPr>
          <w:rFonts w:ascii="Consolas"/>
        </w:rPr>
      </w:pPr>
      <w:r>
        <w:rPr>
          <w:rFonts w:ascii="Consolas"/>
        </w:rPr>
        <w:t>LEFTB(A10,4)</w:t>
      </w:r>
      <w:r>
        <w:rPr>
          <w:rFonts w:ascii="Consolas"/>
          <w:spacing w:val="-80"/>
        </w:rPr>
        <w:t> </w:t>
      </w:r>
      <w:r>
        <w:rPr/>
        <w:t>results in </w:t>
      </w:r>
      <w:r>
        <w:rPr>
          <w:rFonts w:ascii="Consolas"/>
        </w:rPr>
        <w:t>xyz1</w:t>
      </w:r>
      <w:r>
        <w:rPr/>
        <w:t>, when A10 contains </w:t>
      </w:r>
      <w:r>
        <w:rPr>
          <w:rFonts w:ascii="Consolas"/>
        </w:rPr>
        <w:t>xyz123</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3 LEN" w:id="1971"/>
      <w:bookmarkEnd w:id="1971"/>
      <w:r>
        <w:rPr/>
      </w:r>
      <w:bookmarkStart w:name="_bookmark656" w:id="1972"/>
      <w:bookmarkEnd w:id="1972"/>
      <w:r>
        <w:rPr/>
      </w:r>
      <w:bookmarkStart w:name="_bookmark656" w:id="1973"/>
      <w:bookmarkEnd w:id="1973"/>
      <w:r>
        <w:rPr>
          <w:color w:val="4F81BC"/>
        </w:rPr>
        <w:t>LEN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LEN ( </w:t>
      </w:r>
      <w:r>
        <w:rPr>
          <w:i/>
          <w:sz w:val="22"/>
        </w:rPr>
        <w:t>string </w:t>
      </w:r>
      <w:r>
        <w:rPr>
          <w:rFonts w:ascii="Lucida Console"/>
          <w:sz w:val="20"/>
        </w:rPr>
        <w:t>)</w:t>
      </w:r>
    </w:p>
    <w:p>
      <w:pPr>
        <w:pStyle w:val="BodyText"/>
        <w:spacing w:line="278" w:lineRule="auto" w:before="106"/>
        <w:ind w:left="220" w:right="385"/>
      </w:pPr>
      <w:r>
        <w:rPr>
          <w:b/>
        </w:rPr>
        <w:t>Description: </w:t>
      </w:r>
      <w:r>
        <w:rPr/>
        <w:t>Determines the number of characters in </w:t>
      </w:r>
      <w:r>
        <w:rPr>
          <w:rFonts w:ascii="Times New Roman" w:hAnsi="Times New Roman"/>
          <w:i/>
        </w:rPr>
        <w:t>string</w:t>
      </w:r>
      <w:r>
        <w:rPr/>
        <w:t>. (</w:t>
      </w:r>
      <w:r>
        <w:rPr>
          <w:rFonts w:ascii="Consolas" w:hAnsi="Consolas"/>
        </w:rPr>
        <w:t>LEN</w:t>
      </w:r>
      <w:r>
        <w:rPr>
          <w:rFonts w:ascii="Consolas" w:hAnsi="Consolas"/>
          <w:spacing w:val="-96"/>
        </w:rPr>
        <w:t> </w:t>
      </w:r>
      <w:r>
        <w:rPr/>
        <w:t>is intended for use with languages that use the single-byte character set (SBCS), whereas </w:t>
      </w:r>
      <w:r>
        <w:rPr>
          <w:rFonts w:ascii="Consolas" w:hAnsi="Consolas"/>
        </w:rPr>
        <w:t>LENB </w:t>
      </w:r>
      <w:r>
        <w:rPr/>
        <w:t>(</w:t>
      </w:r>
      <w:hyperlink w:history="true" w:anchor="_bookmark657">
        <w:r>
          <w:rPr/>
          <w:t>§18.17.7.194</w:t>
        </w:r>
      </w:hyperlink>
      <w:r>
        <w:rPr/>
        <w:t>) is intended for use with languages that use the double-byte character set (DBCS).)</w:t>
      </w:r>
    </w:p>
    <w:p>
      <w:pPr>
        <w:spacing w:after="0" w:line="278" w:lineRule="auto"/>
        <w:sectPr>
          <w:pgSz w:w="12240" w:h="15840"/>
          <w:pgMar w:header="761" w:footer="746" w:top="1340" w:bottom="940" w:left="860" w:right="700"/>
        </w:sectPr>
      </w:pPr>
    </w:p>
    <w:p>
      <w:pPr>
        <w:pStyle w:val="Heading4"/>
        <w:spacing w:before="150"/>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the string whose length is to be found.</w:t>
            </w:r>
          </w:p>
        </w:tc>
      </w:tr>
    </w:tbl>
    <w:p>
      <w:pPr>
        <w:pStyle w:val="BodyText"/>
        <w:rPr>
          <w:b/>
        </w:rPr>
      </w:pPr>
    </w:p>
    <w:p>
      <w:pPr>
        <w:pStyle w:val="BodyText"/>
        <w:spacing w:before="7"/>
        <w:rPr>
          <w:b/>
          <w:sz w:val="19"/>
        </w:rPr>
      </w:pPr>
    </w:p>
    <w:p>
      <w:pPr>
        <w:spacing w:line="453" w:lineRule="auto" w:before="0"/>
        <w:ind w:left="220" w:right="4186" w:firstLine="0"/>
        <w:jc w:val="left"/>
        <w:rPr>
          <w:sz w:val="22"/>
        </w:rPr>
      </w:pPr>
      <w:r>
        <w:rPr>
          <w:b/>
          <w:sz w:val="22"/>
        </w:rPr>
        <w:t>Return Type and Value: </w:t>
      </w:r>
      <w:r>
        <w:rPr>
          <w:sz w:val="22"/>
        </w:rPr>
        <w:t>number – The number of characters in </w:t>
      </w:r>
      <w:r>
        <w:rPr>
          <w:rFonts w:ascii="Times New Roman" w:hAnsi="Times New Roman"/>
          <w:i/>
          <w:sz w:val="22"/>
        </w:rPr>
        <w:t>string</w:t>
      </w:r>
      <w:r>
        <w:rPr>
          <w:sz w:val="22"/>
        </w:rPr>
        <w:t>. [</w:t>
      </w:r>
      <w:r>
        <w:rPr>
          <w:i/>
          <w:sz w:val="22"/>
        </w:rPr>
        <w:t>Example</w:t>
      </w:r>
      <w:r>
        <w:rPr>
          <w:sz w:val="22"/>
        </w:rPr>
        <w:t>:</w:t>
      </w:r>
    </w:p>
    <w:p>
      <w:pPr>
        <w:pStyle w:val="BodyText"/>
        <w:spacing w:before="108"/>
        <w:ind w:left="220"/>
        <w:rPr>
          <w:rFonts w:ascii="Consolas"/>
        </w:rPr>
      </w:pPr>
      <w:r>
        <w:rPr>
          <w:rFonts w:ascii="Consolas"/>
        </w:rPr>
        <w:t>LEN("abc")</w:t>
      </w:r>
      <w:r>
        <w:rPr>
          <w:rFonts w:ascii="Consolas"/>
          <w:spacing w:val="-73"/>
        </w:rPr>
        <w:t> </w:t>
      </w:r>
      <w:r>
        <w:rPr/>
        <w:t>results in </w:t>
      </w:r>
      <w:r>
        <w:rPr>
          <w:rFonts w:ascii="Consolas"/>
        </w:rPr>
        <w:t>3</w:t>
      </w:r>
    </w:p>
    <w:p>
      <w:pPr>
        <w:pStyle w:val="BodyText"/>
        <w:spacing w:before="41"/>
        <w:ind w:left="220"/>
        <w:rPr>
          <w:rFonts w:ascii="Consolas"/>
        </w:rPr>
      </w:pPr>
      <w:r>
        <w:rPr>
          <w:rFonts w:ascii="Consolas"/>
        </w:rPr>
        <w:t>LEN(A10)</w:t>
      </w:r>
      <w:r>
        <w:rPr>
          <w:rFonts w:ascii="Consolas"/>
          <w:spacing w:val="-77"/>
        </w:rPr>
        <w:t> </w:t>
      </w:r>
      <w:r>
        <w:rPr/>
        <w:t>results in </w:t>
      </w:r>
      <w:r>
        <w:rPr>
          <w:rFonts w:ascii="Consolas"/>
        </w:rPr>
        <w:t>3</w:t>
      </w:r>
      <w:r>
        <w:rPr/>
        <w:t>, when A1 contains </w:t>
      </w:r>
      <w:r>
        <w:rPr>
          <w:rFonts w:ascii="Consolas"/>
        </w:rPr>
        <w:t>abc</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4 LENB" w:id="1974"/>
      <w:bookmarkEnd w:id="1974"/>
      <w:r>
        <w:rPr/>
      </w:r>
      <w:bookmarkStart w:name="_bookmark657" w:id="1975"/>
      <w:bookmarkEnd w:id="1975"/>
      <w:r>
        <w:rPr/>
      </w:r>
      <w:bookmarkStart w:name="_bookmark657" w:id="1976"/>
      <w:bookmarkEnd w:id="1976"/>
      <w:r>
        <w:rPr>
          <w:color w:val="4F81BC"/>
        </w:rPr>
        <w:t>LENB</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LENB ( </w:t>
      </w:r>
      <w:r>
        <w:rPr>
          <w:i/>
          <w:sz w:val="22"/>
        </w:rPr>
        <w:t>string </w:t>
      </w:r>
      <w:r>
        <w:rPr>
          <w:rFonts w:ascii="Lucida Console"/>
          <w:sz w:val="20"/>
        </w:rPr>
        <w:t>)</w:t>
      </w:r>
    </w:p>
    <w:p>
      <w:pPr>
        <w:pStyle w:val="BodyText"/>
        <w:spacing w:line="276" w:lineRule="auto" w:before="106"/>
        <w:ind w:left="220" w:right="632"/>
      </w:pPr>
      <w:r>
        <w:rPr>
          <w:b/>
        </w:rPr>
        <w:t>Description: </w:t>
      </w:r>
      <w:r>
        <w:rPr/>
        <w:t>Determines the number of bytes in </w:t>
      </w:r>
      <w:r>
        <w:rPr>
          <w:rFonts w:ascii="Times New Roman" w:hAnsi="Times New Roman"/>
          <w:i/>
        </w:rPr>
        <w:t>string</w:t>
      </w:r>
      <w:r>
        <w:rPr/>
        <w:t>. (</w:t>
      </w:r>
      <w:r>
        <w:rPr>
          <w:rFonts w:ascii="Consolas" w:hAnsi="Consolas"/>
        </w:rPr>
        <w:t>LENB </w:t>
      </w:r>
      <w:r>
        <w:rPr/>
        <w:t>is intended for use with languages that use the double-byte character set (DBCS), whereas </w:t>
      </w:r>
      <w:r>
        <w:rPr>
          <w:rFonts w:ascii="Consolas" w:hAnsi="Consolas"/>
        </w:rPr>
        <w:t>LEN</w:t>
      </w:r>
      <w:r>
        <w:rPr>
          <w:rFonts w:ascii="Consolas" w:hAnsi="Consolas"/>
          <w:spacing w:val="-101"/>
        </w:rPr>
        <w:t> </w:t>
      </w:r>
      <w:r>
        <w:rPr/>
        <w:t>(</w:t>
      </w:r>
      <w:hyperlink w:history="true" w:anchor="_bookmark656">
        <w:r>
          <w:rPr/>
          <w:t>§18.17.7.193</w:t>
        </w:r>
      </w:hyperlink>
      <w:r>
        <w:rPr/>
        <w:t>) is intended for use with languages that use the single-byte character set (SBCS).)</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the string whose length is to be found.</w:t>
            </w:r>
          </w:p>
        </w:tc>
      </w:tr>
    </w:tbl>
    <w:p>
      <w:pPr>
        <w:pStyle w:val="BodyText"/>
        <w:rPr>
          <w:b/>
        </w:rPr>
      </w:pPr>
    </w:p>
    <w:p>
      <w:pPr>
        <w:pStyle w:val="BodyText"/>
        <w:spacing w:before="7"/>
        <w:rPr>
          <w:b/>
          <w:sz w:val="19"/>
        </w:rPr>
      </w:pPr>
    </w:p>
    <w:p>
      <w:pPr>
        <w:spacing w:line="453" w:lineRule="auto" w:before="0"/>
        <w:ind w:left="220" w:right="4637" w:firstLine="0"/>
        <w:jc w:val="left"/>
        <w:rPr>
          <w:sz w:val="22"/>
        </w:rPr>
      </w:pPr>
      <w:r>
        <w:rPr>
          <w:b/>
          <w:sz w:val="22"/>
        </w:rPr>
        <w:t>Return Type and Value: </w:t>
      </w:r>
      <w:r>
        <w:rPr>
          <w:sz w:val="22"/>
        </w:rPr>
        <w:t>number – The number of bytes in </w:t>
      </w:r>
      <w:r>
        <w:rPr>
          <w:rFonts w:ascii="Times New Roman" w:hAnsi="Times New Roman"/>
          <w:i/>
          <w:sz w:val="22"/>
        </w:rPr>
        <w:t>string</w:t>
      </w:r>
      <w:r>
        <w:rPr>
          <w:sz w:val="22"/>
        </w:rPr>
        <w:t>. [</w:t>
      </w:r>
      <w:r>
        <w:rPr>
          <w:i/>
          <w:sz w:val="22"/>
        </w:rPr>
        <w:t>Example</w:t>
      </w:r>
      <w:r>
        <w:rPr>
          <w:sz w:val="22"/>
        </w:rPr>
        <w:t>: Assuming 1-byte characters:</w:t>
      </w:r>
    </w:p>
    <w:p>
      <w:pPr>
        <w:pStyle w:val="BodyText"/>
        <w:spacing w:before="108"/>
        <w:ind w:left="220"/>
        <w:rPr>
          <w:rFonts w:ascii="Consolas"/>
        </w:rPr>
      </w:pPr>
      <w:r>
        <w:rPr>
          <w:rFonts w:ascii="Consolas"/>
        </w:rPr>
        <w:t>LENB("abc")</w:t>
      </w:r>
      <w:r>
        <w:rPr>
          <w:rFonts w:ascii="Consolas"/>
          <w:spacing w:val="-72"/>
        </w:rPr>
        <w:t> </w:t>
      </w:r>
      <w:r>
        <w:rPr/>
        <w:t>results in </w:t>
      </w:r>
      <w:r>
        <w:rPr>
          <w:rFonts w:ascii="Consolas"/>
        </w:rPr>
        <w:t>3</w:t>
      </w:r>
    </w:p>
    <w:p>
      <w:pPr>
        <w:pStyle w:val="BodyText"/>
        <w:spacing w:before="41"/>
        <w:ind w:left="220"/>
        <w:rPr>
          <w:rFonts w:ascii="Consolas"/>
        </w:rPr>
      </w:pPr>
      <w:r>
        <w:rPr>
          <w:rFonts w:ascii="Consolas"/>
        </w:rPr>
        <w:t>LENB(A10)</w:t>
      </w:r>
      <w:r>
        <w:rPr>
          <w:rFonts w:ascii="Consolas"/>
          <w:spacing w:val="-75"/>
        </w:rPr>
        <w:t> </w:t>
      </w:r>
      <w:r>
        <w:rPr/>
        <w:t>results in </w:t>
      </w:r>
      <w:r>
        <w:rPr>
          <w:rFonts w:ascii="Consolas"/>
        </w:rPr>
        <w:t>3</w:t>
      </w:r>
      <w:r>
        <w:rPr/>
        <w:t>, when A1 contains </w:t>
      </w:r>
      <w:r>
        <w:rPr>
          <w:rFonts w:ascii="Consolas"/>
        </w:rPr>
        <w:t>abc</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12"/>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5 LINEST" w:id="1977"/>
      <w:bookmarkEnd w:id="1977"/>
      <w:r>
        <w:rPr/>
      </w:r>
      <w:bookmarkStart w:name="_bookmark658" w:id="1978"/>
      <w:bookmarkEnd w:id="1978"/>
      <w:r>
        <w:rPr/>
      </w:r>
      <w:bookmarkStart w:name="_bookmark658" w:id="1979"/>
      <w:bookmarkEnd w:id="1979"/>
      <w:r>
        <w:rPr>
          <w:color w:val="4F81BC"/>
        </w:rPr>
        <w:t>L</w:t>
      </w:r>
      <w:r>
        <w:rPr>
          <w:color w:val="4F81BC"/>
        </w:rPr>
        <w:t>INEST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LINEST ( </w:t>
      </w:r>
      <w:r>
        <w:rPr>
          <w:i/>
          <w:sz w:val="22"/>
        </w:rPr>
        <w:t>known-ys </w:t>
      </w:r>
      <w:r>
        <w:rPr>
          <w:sz w:val="22"/>
        </w:rPr>
        <w:t>[  </w:t>
      </w:r>
      <w:r>
        <w:rPr>
          <w:rFonts w:ascii="Lucida Console"/>
          <w:sz w:val="20"/>
        </w:rPr>
        <w:t>, </w:t>
      </w:r>
      <w:r>
        <w:rPr>
          <w:sz w:val="22"/>
        </w:rPr>
        <w:t>[ </w:t>
      </w:r>
      <w:r>
        <w:rPr>
          <w:i/>
          <w:sz w:val="22"/>
        </w:rPr>
        <w:t>known-xs </w:t>
      </w:r>
      <w:r>
        <w:rPr>
          <w:sz w:val="22"/>
        </w:rPr>
        <w:t>] [  </w:t>
      </w:r>
      <w:r>
        <w:rPr>
          <w:rFonts w:ascii="Lucida Console"/>
          <w:sz w:val="20"/>
        </w:rPr>
        <w:t>, </w:t>
      </w:r>
      <w:r>
        <w:rPr>
          <w:sz w:val="22"/>
        </w:rPr>
        <w:t>[ </w:t>
      </w:r>
      <w:r>
        <w:rPr>
          <w:i/>
          <w:sz w:val="22"/>
        </w:rPr>
        <w:t>const-flag </w:t>
      </w:r>
      <w:r>
        <w:rPr>
          <w:sz w:val="22"/>
        </w:rPr>
        <w:t>] [ </w:t>
      </w:r>
      <w:r>
        <w:rPr>
          <w:rFonts w:ascii="Lucida Console"/>
          <w:sz w:val="20"/>
        </w:rPr>
        <w:t>, </w:t>
      </w:r>
      <w:r>
        <w:rPr>
          <w:i/>
          <w:sz w:val="22"/>
        </w:rPr>
        <w:t>stats-flag </w:t>
      </w:r>
      <w:r>
        <w:rPr>
          <w:sz w:val="22"/>
        </w:rPr>
        <w:t>] ]  </w:t>
      </w:r>
      <w:r>
        <w:rPr>
          <w:rFonts w:ascii="Lucida Console"/>
          <w:sz w:val="20"/>
        </w:rPr>
        <w:t>)</w:t>
      </w:r>
    </w:p>
    <w:p>
      <w:pPr>
        <w:spacing w:after="0"/>
        <w:jc w:val="left"/>
        <w:rPr>
          <w:rFonts w:ascii="Lucida Console"/>
          <w:sz w:val="20"/>
        </w:rPr>
        <w:sectPr>
          <w:pgSz w:w="12240" w:h="15840"/>
          <w:pgMar w:header="763" w:footer="746" w:top="1340" w:bottom="940" w:left="860" w:right="700"/>
        </w:sectPr>
      </w:pPr>
    </w:p>
    <w:p>
      <w:pPr>
        <w:pStyle w:val="BodyText"/>
        <w:spacing w:line="278" w:lineRule="auto" w:before="90"/>
        <w:ind w:left="220" w:right="721"/>
      </w:pPr>
      <w:r>
        <w:rPr>
          <w:b/>
        </w:rPr>
        <w:t>Description: </w:t>
      </w:r>
      <w:r>
        <w:rPr/>
        <w:t>Calculates the statistics for a line by using the "least squares" method to calculate a straight line that best fits the data, and returns an array that describes the line.</w:t>
      </w:r>
    </w:p>
    <w:p>
      <w:pPr>
        <w:pStyle w:val="BodyText"/>
        <w:spacing w:before="3"/>
        <w:rPr>
          <w:sz w:val="16"/>
        </w:rPr>
      </w:pPr>
    </w:p>
    <w:p>
      <w:pPr>
        <w:pStyle w:val="Heading4"/>
        <w:rPr>
          <w:b w:val="0"/>
        </w:rPr>
      </w:pPr>
      <w:r>
        <w:rPr/>
        <w:t>Mathematical Formula</w:t>
      </w:r>
      <w:r>
        <w:rPr>
          <w:b w:val="0"/>
        </w:rPr>
        <w:t>:</w:t>
      </w:r>
    </w:p>
    <w:p>
      <w:pPr>
        <w:pStyle w:val="BodyText"/>
        <w:spacing w:before="8"/>
        <w:rPr>
          <w:sz w:val="19"/>
        </w:rPr>
      </w:pPr>
    </w:p>
    <w:p>
      <w:pPr>
        <w:pStyle w:val="BodyText"/>
        <w:ind w:left="220"/>
      </w:pPr>
      <w:r>
        <w:rPr/>
        <w:t>The equation for the line is:</w:t>
      </w:r>
    </w:p>
    <w:p>
      <w:pPr>
        <w:pStyle w:val="BodyText"/>
      </w:pPr>
    </w:p>
    <w:p>
      <w:pPr>
        <w:pStyle w:val="BodyText"/>
      </w:pPr>
    </w:p>
    <w:p>
      <w:pPr>
        <w:pStyle w:val="BodyText"/>
        <w:spacing w:before="5"/>
        <w:rPr>
          <w:sz w:val="17"/>
        </w:rPr>
      </w:pPr>
    </w:p>
    <w:p>
      <w:pPr>
        <w:pStyle w:val="BodyText"/>
        <w:ind w:left="580"/>
        <w:rPr>
          <w:rFonts w:ascii="Cambria Math" w:eastAsia="Cambria Math"/>
        </w:rPr>
      </w:pPr>
      <w:r>
        <w:rPr>
          <w:rFonts w:ascii="Cambria Math" w:eastAsia="Cambria Math"/>
        </w:rPr>
        <w:t>𝑦 = 𝑚𝑥 + 𝑏</w:t>
      </w:r>
    </w:p>
    <w:p>
      <w:pPr>
        <w:pStyle w:val="BodyText"/>
        <w:spacing w:before="4"/>
        <w:rPr>
          <w:rFonts w:ascii="Cambria Math"/>
          <w:sz w:val="20"/>
        </w:rPr>
      </w:pPr>
    </w:p>
    <w:p>
      <w:pPr>
        <w:pStyle w:val="BodyText"/>
        <w:ind w:left="220"/>
      </w:pPr>
      <w:r>
        <w:rPr/>
        <w:t>or</w:t>
      </w:r>
    </w:p>
    <w:p>
      <w:pPr>
        <w:pStyle w:val="BodyText"/>
        <w:spacing w:before="8"/>
        <w:rPr>
          <w:sz w:val="19"/>
        </w:rPr>
      </w:pPr>
    </w:p>
    <w:p>
      <w:pPr>
        <w:pStyle w:val="BodyText"/>
        <w:spacing w:before="1"/>
        <w:ind w:left="580"/>
      </w:pPr>
      <w:r>
        <w:rPr>
          <w:w w:val="100"/>
        </w:rPr>
        <w:t>…</w:t>
      </w:r>
    </w:p>
    <w:p>
      <w:pPr>
        <w:pStyle w:val="BodyText"/>
        <w:spacing w:before="8"/>
        <w:rPr>
          <w:sz w:val="19"/>
        </w:rPr>
      </w:pPr>
    </w:p>
    <w:p>
      <w:pPr>
        <w:pStyle w:val="BodyText"/>
        <w:ind w:left="580"/>
      </w:pPr>
      <w:r>
        <w:rPr>
          <w:rFonts w:ascii="Cambria Math" w:hAnsi="Cambria Math" w:eastAsia="Cambria Math"/>
        </w:rPr>
        <w:t>𝑦 = 𝑚</w:t>
      </w:r>
      <w:r>
        <w:rPr>
          <w:rFonts w:ascii="Cambria Math" w:hAnsi="Cambria Math" w:eastAsia="Cambria Math"/>
          <w:position w:val="-4"/>
          <w:sz w:val="16"/>
        </w:rPr>
        <w:t>1</w:t>
      </w:r>
      <w:r>
        <w:rPr>
          <w:rFonts w:ascii="Cambria Math" w:hAnsi="Cambria Math" w:eastAsia="Cambria Math"/>
        </w:rPr>
        <w:t>𝑥</w:t>
      </w:r>
      <w:r>
        <w:rPr>
          <w:rFonts w:ascii="Cambria Math" w:hAnsi="Cambria Math" w:eastAsia="Cambria Math"/>
          <w:position w:val="-4"/>
          <w:sz w:val="16"/>
        </w:rPr>
        <w:t>1 </w:t>
      </w:r>
      <w:r>
        <w:rPr>
          <w:rFonts w:ascii="Cambria Math" w:hAnsi="Cambria Math" w:eastAsia="Cambria Math"/>
        </w:rPr>
        <w:t>+ 𝑚</w:t>
      </w:r>
      <w:r>
        <w:rPr>
          <w:rFonts w:ascii="Cambria Math" w:hAnsi="Cambria Math" w:eastAsia="Cambria Math"/>
          <w:position w:val="-4"/>
          <w:sz w:val="16"/>
        </w:rPr>
        <w:t>2</w:t>
      </w:r>
      <w:r>
        <w:rPr>
          <w:rFonts w:ascii="Cambria Math" w:hAnsi="Cambria Math" w:eastAsia="Cambria Math"/>
        </w:rPr>
        <w:t>𝑥</w:t>
      </w:r>
      <w:r>
        <w:rPr>
          <w:rFonts w:ascii="Cambria Math" w:hAnsi="Cambria Math" w:eastAsia="Cambria Math"/>
          <w:position w:val="-4"/>
          <w:sz w:val="16"/>
        </w:rPr>
        <w:t>2 </w:t>
      </w:r>
      <w:r>
        <w:rPr>
          <w:rFonts w:ascii="Cambria Math" w:hAnsi="Cambria Math" w:eastAsia="Cambria Math"/>
        </w:rPr>
        <w:t>+ … + 𝑏 </w:t>
      </w:r>
      <w:r>
        <w:rPr/>
        <w:t>(if there are multiple ranges of x-values)</w:t>
      </w:r>
    </w:p>
    <w:p>
      <w:pPr>
        <w:pStyle w:val="BodyText"/>
        <w:spacing w:line="276" w:lineRule="auto" w:before="212"/>
        <w:ind w:left="220" w:right="1382"/>
      </w:pPr>
      <w:r>
        <w:rPr/>
        <w:t>where the dependent y-value is a function of the independent x-values. The m-values are coefficients corresponding to each x-value, and b is a constant value. y, x, and m can be vectors.</w:t>
      </w:r>
    </w:p>
    <w:p>
      <w:pPr>
        <w:pStyle w:val="BodyText"/>
        <w:spacing w:before="3"/>
        <w:rPr>
          <w:sz w:val="16"/>
        </w:rPr>
      </w:pPr>
    </w:p>
    <w:p>
      <w:pPr>
        <w:pStyle w:val="BodyText"/>
        <w:spacing w:line="278" w:lineRule="auto"/>
        <w:ind w:left="220" w:right="798"/>
      </w:pPr>
      <w:r>
        <w:rPr/>
        <w:t>When there is only one independent x-variable, the slope and y-intercept values can be obtained directly by using the following formulas:</w:t>
      </w:r>
    </w:p>
    <w:p>
      <w:pPr>
        <w:spacing w:before="198"/>
        <w:ind w:left="220" w:right="0" w:firstLine="0"/>
        <w:jc w:val="left"/>
        <w:rPr>
          <w:rFonts w:ascii="Consolas"/>
          <w:sz w:val="22"/>
        </w:rPr>
      </w:pPr>
      <w:r>
        <w:rPr>
          <w:sz w:val="22"/>
        </w:rPr>
        <w:t>Slope: </w:t>
      </w:r>
      <w:r>
        <w:rPr>
          <w:rFonts w:ascii="Consolas"/>
          <w:sz w:val="22"/>
        </w:rPr>
        <w:t>INDEX(LINEST(</w:t>
      </w:r>
      <w:r>
        <w:rPr>
          <w:rFonts w:ascii="Times New Roman"/>
          <w:i/>
          <w:sz w:val="22"/>
        </w:rPr>
        <w:t>known-ys</w:t>
      </w:r>
      <w:r>
        <w:rPr>
          <w:rFonts w:ascii="Consolas"/>
          <w:sz w:val="22"/>
        </w:rPr>
        <w:t>,</w:t>
      </w:r>
      <w:r>
        <w:rPr>
          <w:rFonts w:ascii="Times New Roman"/>
          <w:i/>
          <w:sz w:val="22"/>
        </w:rPr>
        <w:t>known-xs</w:t>
      </w:r>
      <w:r>
        <w:rPr>
          <w:rFonts w:ascii="Consolas"/>
          <w:sz w:val="22"/>
        </w:rPr>
        <w:t>),1)</w:t>
      </w:r>
    </w:p>
    <w:p>
      <w:pPr>
        <w:pStyle w:val="BodyText"/>
        <w:spacing w:before="5"/>
        <w:rPr>
          <w:rFonts w:ascii="Consolas"/>
          <w:sz w:val="20"/>
        </w:rPr>
      </w:pPr>
    </w:p>
    <w:p>
      <w:pPr>
        <w:spacing w:before="1"/>
        <w:ind w:left="220" w:right="0" w:firstLine="0"/>
        <w:jc w:val="left"/>
        <w:rPr>
          <w:rFonts w:ascii="Consolas"/>
          <w:sz w:val="22"/>
        </w:rPr>
      </w:pPr>
      <w:r>
        <w:rPr>
          <w:sz w:val="22"/>
        </w:rPr>
        <w:t>Y-intercept: </w:t>
      </w:r>
      <w:r>
        <w:rPr>
          <w:rFonts w:ascii="Consolas"/>
          <w:sz w:val="22"/>
        </w:rPr>
        <w:t>INDEX(LINEST(</w:t>
      </w:r>
      <w:r>
        <w:rPr>
          <w:rFonts w:ascii="Times New Roman"/>
          <w:i/>
          <w:sz w:val="22"/>
        </w:rPr>
        <w:t>known-ys</w:t>
      </w:r>
      <w:r>
        <w:rPr>
          <w:rFonts w:ascii="Consolas"/>
          <w:sz w:val="22"/>
        </w:rPr>
        <w:t>,</w:t>
      </w:r>
      <w:r>
        <w:rPr>
          <w:rFonts w:ascii="Times New Roman"/>
          <w:i/>
          <w:sz w:val="22"/>
        </w:rPr>
        <w:t>known-xs</w:t>
      </w:r>
      <w:r>
        <w:rPr>
          <w:rFonts w:ascii="Consolas"/>
          <w:sz w:val="22"/>
        </w:rPr>
        <w:t>),2)</w:t>
      </w:r>
    </w:p>
    <w:p>
      <w:pPr>
        <w:pStyle w:val="BodyText"/>
        <w:spacing w:before="3"/>
        <w:rPr>
          <w:rFonts w:ascii="Consolas"/>
          <w:sz w:val="20"/>
        </w:rPr>
      </w:pPr>
    </w:p>
    <w:p>
      <w:pPr>
        <w:pStyle w:val="BodyText"/>
        <w:spacing w:line="276" w:lineRule="auto"/>
        <w:ind w:left="220" w:right="412"/>
      </w:pPr>
      <w:r>
        <w:rPr/>
        <w:t>The accuracy of the line calculated by </w:t>
      </w:r>
      <w:r>
        <w:rPr>
          <w:rFonts w:ascii="Consolas"/>
        </w:rPr>
        <w:t>LINEST</w:t>
      </w:r>
      <w:r>
        <w:rPr>
          <w:rFonts w:ascii="Consolas"/>
          <w:spacing w:val="-100"/>
        </w:rPr>
        <w:t> </w:t>
      </w:r>
      <w:r>
        <w:rPr/>
        <w:t>depends on the degree of scatter in the data. The more linear the data, the more accurate the </w:t>
      </w:r>
      <w:r>
        <w:rPr>
          <w:rFonts w:ascii="Consolas"/>
        </w:rPr>
        <w:t>LINEST</w:t>
      </w:r>
      <w:r>
        <w:rPr>
          <w:rFonts w:ascii="Consolas"/>
          <w:spacing w:val="-72"/>
        </w:rPr>
        <w:t> </w:t>
      </w:r>
      <w:r>
        <w:rPr/>
        <w:t>model. </w:t>
      </w:r>
      <w:r>
        <w:rPr>
          <w:rFonts w:ascii="Consolas"/>
        </w:rPr>
        <w:t>LINEST</w:t>
      </w:r>
      <w:r>
        <w:rPr>
          <w:rFonts w:ascii="Consolas"/>
          <w:spacing w:val="-72"/>
        </w:rPr>
        <w:t> </w:t>
      </w:r>
      <w:r>
        <w:rPr/>
        <w:t>uses the method of least squares for determining the best fit for the data. When there is only one independent x-variable, the calculations for m and b are based on the following formulas:</w:t>
      </w:r>
    </w:p>
    <w:p>
      <w:pPr>
        <w:pStyle w:val="BodyText"/>
        <w:rPr>
          <w:sz w:val="20"/>
        </w:rPr>
      </w:pPr>
    </w:p>
    <w:p>
      <w:pPr>
        <w:pStyle w:val="BodyText"/>
        <w:rPr>
          <w:sz w:val="20"/>
        </w:rPr>
      </w:pPr>
    </w:p>
    <w:p>
      <w:pPr>
        <w:spacing w:after="0"/>
        <w:rPr>
          <w:sz w:val="20"/>
        </w:rPr>
        <w:sectPr>
          <w:footerReference w:type="even" r:id="rId250"/>
          <w:footerReference w:type="default" r:id="rId251"/>
          <w:pgSz w:w="12240" w:h="15840"/>
          <w:pgMar w:footer="746" w:header="761" w:top="1340" w:bottom="940" w:left="860" w:right="700"/>
          <w:pgNumType w:start="2270"/>
        </w:sectPr>
      </w:pPr>
    </w:p>
    <w:p>
      <w:pPr>
        <w:pStyle w:val="BodyText"/>
        <w:spacing w:before="11"/>
        <w:rPr>
          <w:sz w:val="30"/>
        </w:rPr>
      </w:pPr>
    </w:p>
    <w:p>
      <w:pPr>
        <w:pStyle w:val="BodyText"/>
        <w:ind w:left="220"/>
        <w:rPr>
          <w:rFonts w:ascii="Cambria Math" w:eastAsia="Cambria Math"/>
        </w:rPr>
      </w:pPr>
      <w:r>
        <w:rPr>
          <w:rFonts w:ascii="Cambria Math" w:eastAsia="Cambria Math"/>
        </w:rPr>
        <w:t>𝑚 =</w:t>
      </w:r>
    </w:p>
    <w:p>
      <w:pPr>
        <w:pStyle w:val="BodyText"/>
        <w:rPr>
          <w:rFonts w:ascii="Cambria Math"/>
          <w:sz w:val="17"/>
        </w:rPr>
      </w:pPr>
      <w:r>
        <w:rPr/>
        <w:br w:type="column"/>
      </w:r>
      <w:r>
        <w:rPr>
          <w:rFonts w:ascii="Cambria Math"/>
          <w:sz w:val="17"/>
        </w:rPr>
      </w:r>
    </w:p>
    <w:p>
      <w:pPr>
        <w:pStyle w:val="BodyText"/>
        <w:ind w:left="82" w:right="8351"/>
        <w:jc w:val="center"/>
        <w:rPr>
          <w:rFonts w:ascii="Cambria Math" w:hAnsi="Cambria Math" w:eastAsia="Cambria Math"/>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rPr>
        <w:t>(𝑦 − </w:t>
      </w:r>
      <w:r>
        <w:rPr>
          <w:rFonts w:ascii="Cambria Math" w:hAnsi="Cambria Math" w:eastAsia="Cambria Math"/>
          <w:spacing w:val="-49"/>
        </w:rPr>
        <w:t>𝑦̅</w:t>
      </w:r>
      <w:r>
        <w:rPr>
          <w:rFonts w:ascii="Cambria Math" w:hAnsi="Cambria Math" w:eastAsia="Cambria Math"/>
          <w:spacing w:val="6"/>
        </w:rPr>
        <w:t> </w:t>
      </w:r>
      <w:r>
        <w:rPr>
          <w:rFonts w:ascii="Cambria Math" w:hAnsi="Cambria Math" w:eastAsia="Cambria Math"/>
        </w:rPr>
        <w:t>)</w:t>
      </w:r>
    </w:p>
    <w:p>
      <w:pPr>
        <w:pStyle w:val="BodyText"/>
        <w:spacing w:before="2"/>
        <w:rPr>
          <w:rFonts w:ascii="Cambria Math"/>
          <w:sz w:val="4"/>
        </w:rPr>
      </w:pPr>
    </w:p>
    <w:p>
      <w:pPr>
        <w:pStyle w:val="BodyText"/>
        <w:spacing w:line="20" w:lineRule="exact"/>
        <w:ind w:left="12"/>
        <w:rPr>
          <w:rFonts w:ascii="Cambria Math"/>
          <w:sz w:val="2"/>
        </w:rPr>
      </w:pPr>
      <w:r>
        <w:rPr>
          <w:rFonts w:ascii="Cambria Math"/>
          <w:sz w:val="2"/>
        </w:rPr>
        <w:pict>
          <v:group style="width:89.4pt;height:.75pt;mso-position-horizontal-relative:char;mso-position-vertical-relative:line" coordorigin="0,0" coordsize="1788,15">
            <v:line style="position:absolute" from="0,7" to="1788,7" stroked="true" strokeweight=".72003pt" strokecolor="#000000">
              <v:stroke dashstyle="solid"/>
            </v:line>
          </v:group>
        </w:pict>
      </w:r>
      <w:r>
        <w:rPr>
          <w:rFonts w:ascii="Cambria Math"/>
          <w:sz w:val="2"/>
        </w:rPr>
      </w:r>
    </w:p>
    <w:p>
      <w:pPr>
        <w:pStyle w:val="BodyText"/>
        <w:ind w:left="82" w:right="8265"/>
        <w:jc w:val="center"/>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 )</w:t>
      </w:r>
      <w:r>
        <w:rPr>
          <w:rFonts w:ascii="Cambria Math" w:hAnsi="Cambria Math" w:eastAsia="Cambria Math"/>
          <w:position w:val="7"/>
          <w:sz w:val="16"/>
        </w:rPr>
        <w:t>2</w:t>
      </w:r>
    </w:p>
    <w:p>
      <w:pPr>
        <w:spacing w:after="0"/>
        <w:jc w:val="center"/>
        <w:rPr>
          <w:rFonts w:ascii="Cambria Math" w:hAnsi="Cambria Math" w:eastAsia="Cambria Math"/>
          <w:sz w:val="16"/>
        </w:rPr>
        <w:sectPr>
          <w:type w:val="continuous"/>
          <w:pgSz w:w="12240" w:h="15840"/>
          <w:pgMar w:top="1340" w:bottom="940" w:left="860" w:right="700"/>
          <w:cols w:num="2" w:equalWidth="0">
            <w:col w:w="636" w:space="40"/>
            <w:col w:w="10004"/>
          </w:cols>
        </w:sectPr>
      </w:pPr>
    </w:p>
    <w:p>
      <w:pPr>
        <w:pStyle w:val="BodyText"/>
        <w:rPr>
          <w:rFonts w:ascii="Cambria Math"/>
          <w:sz w:val="15"/>
        </w:rPr>
      </w:pPr>
    </w:p>
    <w:p>
      <w:pPr>
        <w:pStyle w:val="BodyText"/>
        <w:spacing w:before="63"/>
        <w:ind w:left="220"/>
        <w:rPr>
          <w:rFonts w:ascii="Cambria Math" w:hAnsi="Cambria Math" w:eastAsia="Cambria Math"/>
        </w:rPr>
      </w:pPr>
      <w:r>
        <w:rPr>
          <w:rFonts w:ascii="Cambria Math" w:hAnsi="Cambria Math" w:eastAsia="Cambria Math"/>
        </w:rPr>
        <w:t>𝑏 = </w:t>
      </w:r>
      <w:r>
        <w:rPr>
          <w:rFonts w:ascii="Cambria Math" w:hAnsi="Cambria Math" w:eastAsia="Cambria Math"/>
          <w:spacing w:val="-49"/>
        </w:rPr>
        <w:t>𝑦̅</w:t>
      </w:r>
      <w:r>
        <w:rPr>
          <w:rFonts w:ascii="Cambria Math" w:hAnsi="Cambria Math" w:eastAsia="Cambria Math"/>
          <w:spacing w:val="5"/>
        </w:rPr>
        <w:t> </w:t>
      </w:r>
      <w:r>
        <w:rPr>
          <w:rFonts w:ascii="Cambria Math" w:hAnsi="Cambria Math" w:eastAsia="Cambria Math"/>
        </w:rPr>
        <w:t>− 𝑚𝑥̅</w:t>
      </w:r>
    </w:p>
    <w:p>
      <w:pPr>
        <w:pStyle w:val="BodyText"/>
        <w:spacing w:before="4"/>
        <w:rPr>
          <w:rFonts w:ascii="Cambria Math"/>
          <w:sz w:val="20"/>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38"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known-xs</w:t>
      </w:r>
      <w:r>
        <w:rPr>
          <w:rFonts w:ascii="Consolas" w:hAnsi="Consolas"/>
          <w:sz w:val="22"/>
        </w:rPr>
        <w:t>)</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y </w:t>
      </w:r>
      <w:r>
        <w:rPr>
          <w:sz w:val="22"/>
        </w:rPr>
        <w:t>= a sample</w:t>
      </w:r>
      <w:r>
        <w:rPr>
          <w:spacing w:val="-2"/>
          <w:sz w:val="22"/>
        </w:rPr>
        <w:t> </w:t>
      </w:r>
      <w:r>
        <w:rPr>
          <w:sz w:val="22"/>
        </w:rPr>
        <w:t>value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known-ys</w:t>
      </w:r>
      <w:r>
        <w:rPr>
          <w:rFonts w:ascii="Consolas" w:hAnsi="Consolas"/>
          <w:sz w:val="22"/>
        </w:rPr>
        <w:t>)</w:t>
      </w:r>
    </w:p>
    <w:p>
      <w:pPr>
        <w:pStyle w:val="Heading4"/>
        <w:spacing w:before="242"/>
      </w:pPr>
      <w:r>
        <w:rPr/>
        <w:t>Arguments:</w:t>
      </w:r>
    </w:p>
    <w:p>
      <w:pPr>
        <w:spacing w:after="0"/>
        <w:sectPr>
          <w:type w:val="continuous"/>
          <w:pgSz w:w="12240" w:h="15840"/>
          <w:pgMar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427" w:hRule="atLeast"/>
        </w:trPr>
        <w:tc>
          <w:tcPr>
            <w:tcW w:w="1466" w:type="dxa"/>
          </w:tcPr>
          <w:p>
            <w:pPr>
              <w:pStyle w:val="TableParagraph"/>
              <w:spacing w:before="37"/>
              <w:rPr>
                <w:rFonts w:ascii="Times New Roman"/>
                <w:i/>
                <w:sz w:val="22"/>
              </w:rPr>
            </w:pPr>
            <w:r>
              <w:rPr>
                <w:rFonts w:ascii="Times New Roman"/>
                <w:i/>
                <w:sz w:val="22"/>
              </w:rPr>
              <w:t>known-ys</w:t>
            </w:r>
          </w:p>
        </w:tc>
        <w:tc>
          <w:tcPr>
            <w:tcW w:w="1800" w:type="dxa"/>
          </w:tcPr>
          <w:p>
            <w:pPr>
              <w:pStyle w:val="TableParagraph"/>
              <w:ind w:left="112"/>
              <w:rPr>
                <w:sz w:val="22"/>
              </w:rPr>
            </w:pPr>
            <w:r>
              <w:rPr>
                <w:sz w:val="22"/>
              </w:rPr>
              <w:t>array</w:t>
            </w:r>
          </w:p>
        </w:tc>
        <w:tc>
          <w:tcPr>
            <w:tcW w:w="5400" w:type="dxa"/>
          </w:tcPr>
          <w:p>
            <w:pPr>
              <w:pStyle w:val="TableParagraph"/>
              <w:ind w:left="113" w:right="248"/>
              <w:rPr>
                <w:sz w:val="22"/>
              </w:rPr>
            </w:pPr>
            <w:r>
              <w:rPr>
                <w:sz w:val="22"/>
              </w:rPr>
              <w:t>The set of y-values already known in the relationship y=mx+b. If the array </w:t>
            </w:r>
            <w:r>
              <w:rPr>
                <w:rFonts w:ascii="Times New Roman"/>
                <w:i/>
                <w:sz w:val="22"/>
              </w:rPr>
              <w:t>known-ys </w:t>
            </w:r>
            <w:r>
              <w:rPr>
                <w:sz w:val="22"/>
              </w:rPr>
              <w:t>is a single column, then each column of </w:t>
            </w:r>
            <w:r>
              <w:rPr>
                <w:rFonts w:ascii="Times New Roman"/>
                <w:i/>
                <w:sz w:val="22"/>
              </w:rPr>
              <w:t>known-xs </w:t>
            </w:r>
            <w:r>
              <w:rPr>
                <w:sz w:val="22"/>
              </w:rPr>
              <w:t>is interpreted as a separate variable. If the array </w:t>
            </w:r>
            <w:r>
              <w:rPr>
                <w:rFonts w:ascii="Times New Roman"/>
                <w:i/>
                <w:sz w:val="22"/>
              </w:rPr>
              <w:t>known-ys </w:t>
            </w:r>
            <w:r>
              <w:rPr>
                <w:sz w:val="22"/>
              </w:rPr>
              <w:t>is a single row, then each row of </w:t>
            </w:r>
            <w:r>
              <w:rPr>
                <w:rFonts w:ascii="Times New Roman"/>
                <w:i/>
                <w:sz w:val="22"/>
              </w:rPr>
              <w:t>known-xs </w:t>
            </w:r>
            <w:r>
              <w:rPr>
                <w:sz w:val="22"/>
              </w:rPr>
              <w:t>is interpreted as a separate variable.</w:t>
            </w:r>
          </w:p>
        </w:tc>
      </w:tr>
      <w:tr>
        <w:trPr>
          <w:trHeight w:val="2503" w:hRule="atLeast"/>
        </w:trPr>
        <w:tc>
          <w:tcPr>
            <w:tcW w:w="1466" w:type="dxa"/>
          </w:tcPr>
          <w:p>
            <w:pPr>
              <w:pStyle w:val="TableParagraph"/>
              <w:spacing w:before="37"/>
              <w:rPr>
                <w:rFonts w:ascii="Times New Roman"/>
                <w:i/>
                <w:sz w:val="22"/>
              </w:rPr>
            </w:pPr>
            <w:r>
              <w:rPr>
                <w:rFonts w:ascii="Times New Roman"/>
                <w:i/>
                <w:sz w:val="22"/>
              </w:rPr>
              <w:t>known-xs</w:t>
            </w:r>
          </w:p>
        </w:tc>
        <w:tc>
          <w:tcPr>
            <w:tcW w:w="1800" w:type="dxa"/>
          </w:tcPr>
          <w:p>
            <w:pPr>
              <w:pStyle w:val="TableParagraph"/>
              <w:ind w:left="112"/>
              <w:rPr>
                <w:sz w:val="22"/>
              </w:rPr>
            </w:pPr>
            <w:r>
              <w:rPr>
                <w:sz w:val="22"/>
              </w:rPr>
              <w:t>array</w:t>
            </w:r>
          </w:p>
        </w:tc>
        <w:tc>
          <w:tcPr>
            <w:tcW w:w="5400" w:type="dxa"/>
          </w:tcPr>
          <w:p>
            <w:pPr>
              <w:pStyle w:val="TableParagraph"/>
              <w:ind w:left="113" w:right="116"/>
              <w:rPr>
                <w:sz w:val="22"/>
              </w:rPr>
            </w:pPr>
            <w:r>
              <w:rPr>
                <w:sz w:val="22"/>
              </w:rPr>
              <w:t>An optional set of x-values that might already be known in the relationship y=mx+b. The array </w:t>
            </w:r>
            <w:r>
              <w:rPr>
                <w:rFonts w:ascii="Times New Roman" w:hAnsi="Times New Roman"/>
                <w:i/>
                <w:sz w:val="22"/>
              </w:rPr>
              <w:t>known-xs </w:t>
            </w:r>
            <w:r>
              <w:rPr>
                <w:sz w:val="22"/>
              </w:rPr>
              <w:t>can include one or more sets of variables. If only one variable is used, </w:t>
            </w:r>
            <w:r>
              <w:rPr>
                <w:rFonts w:ascii="Times New Roman" w:hAnsi="Times New Roman"/>
                <w:i/>
                <w:sz w:val="22"/>
              </w:rPr>
              <w:t>known-ys </w:t>
            </w:r>
            <w:r>
              <w:rPr>
                <w:sz w:val="22"/>
              </w:rPr>
              <w:t>and </w:t>
            </w:r>
            <w:r>
              <w:rPr>
                <w:rFonts w:ascii="Times New Roman" w:hAnsi="Times New Roman"/>
                <w:i/>
                <w:sz w:val="22"/>
              </w:rPr>
              <w:t>known-xs </w:t>
            </w:r>
            <w:r>
              <w:rPr>
                <w:sz w:val="22"/>
              </w:rPr>
              <w:t>can be ranges of any shape, as long as they have equal dimensions. If more than one variable is used, </w:t>
            </w:r>
            <w:r>
              <w:rPr>
                <w:rFonts w:ascii="Times New Roman" w:hAnsi="Times New Roman"/>
                <w:i/>
                <w:sz w:val="22"/>
              </w:rPr>
              <w:t>known-ys </w:t>
            </w:r>
            <w:r>
              <w:rPr>
                <w:sz w:val="22"/>
              </w:rPr>
              <w:t>shall be a vector (that is, a range with a height of one row or a width of one column). If </w:t>
            </w:r>
            <w:r>
              <w:rPr>
                <w:rFonts w:ascii="Times New Roman" w:hAnsi="Times New Roman"/>
                <w:i/>
                <w:sz w:val="22"/>
              </w:rPr>
              <w:t>known-xs </w:t>
            </w:r>
            <w:r>
              <w:rPr>
                <w:sz w:val="22"/>
              </w:rPr>
              <w:t>is omitted, it is assumed to be the array {1,2,3,…} that is the same size as </w:t>
            </w:r>
            <w:r>
              <w:rPr>
                <w:rFonts w:ascii="Times New Roman" w:hAnsi="Times New Roman"/>
                <w:i/>
                <w:sz w:val="22"/>
              </w:rPr>
              <w:t>known-ys</w:t>
            </w:r>
            <w:r>
              <w:rPr>
                <w:sz w:val="22"/>
              </w:rPr>
              <w:t>.</w:t>
            </w:r>
          </w:p>
        </w:tc>
      </w:tr>
      <w:tr>
        <w:trPr>
          <w:trHeight w:val="892" w:hRule="atLeast"/>
        </w:trPr>
        <w:tc>
          <w:tcPr>
            <w:tcW w:w="1466" w:type="dxa"/>
          </w:tcPr>
          <w:p>
            <w:pPr>
              <w:pStyle w:val="TableParagraph"/>
              <w:spacing w:before="37"/>
              <w:rPr>
                <w:rFonts w:ascii="Times New Roman"/>
                <w:i/>
                <w:sz w:val="22"/>
              </w:rPr>
            </w:pPr>
            <w:r>
              <w:rPr>
                <w:rFonts w:ascii="Times New Roman"/>
                <w:i/>
                <w:sz w:val="22"/>
              </w:rPr>
              <w:t>const-flag</w:t>
            </w:r>
          </w:p>
        </w:tc>
        <w:tc>
          <w:tcPr>
            <w:tcW w:w="1800" w:type="dxa"/>
          </w:tcPr>
          <w:p>
            <w:pPr>
              <w:pStyle w:val="TableParagraph"/>
              <w:ind w:left="112"/>
              <w:rPr>
                <w:sz w:val="22"/>
              </w:rPr>
            </w:pPr>
            <w:r>
              <w:rPr>
                <w:sz w:val="22"/>
              </w:rPr>
              <w:t>logical</w:t>
            </w:r>
          </w:p>
        </w:tc>
        <w:tc>
          <w:tcPr>
            <w:tcW w:w="5400" w:type="dxa"/>
          </w:tcPr>
          <w:p>
            <w:pPr>
              <w:pStyle w:val="TableParagraph"/>
              <w:ind w:left="113" w:right="248"/>
              <w:rPr>
                <w:sz w:val="22"/>
              </w:rPr>
            </w:pPr>
            <w:r>
              <w:rPr>
                <w:sz w:val="22"/>
              </w:rPr>
              <w:t>Specifies whether to force the constant </w:t>
            </w:r>
            <w:r>
              <w:rPr>
                <w:rFonts w:ascii="Times New Roman"/>
                <w:i/>
                <w:sz w:val="22"/>
              </w:rPr>
              <w:t>b </w:t>
            </w:r>
            <w:r>
              <w:rPr>
                <w:sz w:val="22"/>
              </w:rPr>
              <w:t>to be zero. If </w:t>
            </w:r>
            <w:r>
              <w:rPr>
                <w:rFonts w:ascii="Consolas"/>
                <w:sz w:val="22"/>
              </w:rPr>
              <w:t>TRUE</w:t>
            </w:r>
            <w:r>
              <w:rPr>
                <w:rFonts w:ascii="Consolas"/>
                <w:spacing w:val="-99"/>
                <w:sz w:val="22"/>
              </w:rPr>
              <w:t> </w:t>
            </w:r>
            <w:r>
              <w:rPr>
                <w:sz w:val="22"/>
              </w:rPr>
              <w:t>or omitted, </w:t>
            </w:r>
            <w:r>
              <w:rPr>
                <w:rFonts w:ascii="Times New Roman"/>
                <w:i/>
                <w:sz w:val="22"/>
              </w:rPr>
              <w:t>b </w:t>
            </w:r>
            <w:r>
              <w:rPr>
                <w:sz w:val="22"/>
              </w:rPr>
              <w:t>is calculated normally. If </w:t>
            </w:r>
            <w:r>
              <w:rPr>
                <w:rFonts w:ascii="Consolas"/>
                <w:sz w:val="22"/>
              </w:rPr>
              <w:t>FALSE</w:t>
            </w:r>
            <w:r>
              <w:rPr>
                <w:sz w:val="22"/>
              </w:rPr>
              <w:t>, </w:t>
            </w:r>
            <w:r>
              <w:rPr>
                <w:rFonts w:ascii="Times New Roman"/>
                <w:i/>
                <w:sz w:val="22"/>
              </w:rPr>
              <w:t>b </w:t>
            </w:r>
            <w:r>
              <w:rPr>
                <w:sz w:val="22"/>
              </w:rPr>
              <w:t>is set to zero, and the m-values are adjusted to fit y=mx.</w:t>
            </w:r>
          </w:p>
        </w:tc>
      </w:tr>
      <w:tr>
        <w:trPr>
          <w:trHeight w:val="1698" w:hRule="atLeast"/>
        </w:trPr>
        <w:tc>
          <w:tcPr>
            <w:tcW w:w="1466" w:type="dxa"/>
          </w:tcPr>
          <w:p>
            <w:pPr>
              <w:pStyle w:val="TableParagraph"/>
              <w:spacing w:before="37"/>
              <w:rPr>
                <w:rFonts w:ascii="Times New Roman"/>
                <w:i/>
                <w:sz w:val="22"/>
              </w:rPr>
            </w:pPr>
            <w:r>
              <w:rPr>
                <w:rFonts w:ascii="Times New Roman"/>
                <w:i/>
                <w:sz w:val="22"/>
              </w:rPr>
              <w:t>stats-flag</w:t>
            </w:r>
          </w:p>
        </w:tc>
        <w:tc>
          <w:tcPr>
            <w:tcW w:w="1800" w:type="dxa"/>
          </w:tcPr>
          <w:p>
            <w:pPr>
              <w:pStyle w:val="TableParagraph"/>
              <w:ind w:left="112"/>
              <w:rPr>
                <w:sz w:val="22"/>
              </w:rPr>
            </w:pPr>
            <w:r>
              <w:rPr>
                <w:sz w:val="22"/>
              </w:rPr>
              <w:t>logical</w:t>
            </w:r>
          </w:p>
        </w:tc>
        <w:tc>
          <w:tcPr>
            <w:tcW w:w="5400" w:type="dxa"/>
          </w:tcPr>
          <w:p>
            <w:pPr>
              <w:pStyle w:val="TableParagraph"/>
              <w:ind w:left="113" w:right="303"/>
              <w:rPr>
                <w:sz w:val="22"/>
              </w:rPr>
            </w:pPr>
            <w:r>
              <w:rPr>
                <w:sz w:val="22"/>
              </w:rPr>
              <w:t>Specifies whether to return additional regression statistics. If </w:t>
            </w:r>
            <w:r>
              <w:rPr>
                <w:rFonts w:ascii="Consolas" w:hAnsi="Consolas"/>
                <w:sz w:val="22"/>
              </w:rPr>
              <w:t>TRUE</w:t>
            </w:r>
            <w:r>
              <w:rPr>
                <w:sz w:val="22"/>
              </w:rPr>
              <w:t>, </w:t>
            </w:r>
            <w:r>
              <w:rPr>
                <w:rFonts w:ascii="Consolas" w:hAnsi="Consolas"/>
                <w:sz w:val="22"/>
              </w:rPr>
              <w:t>LINEST </w:t>
            </w:r>
            <w:r>
              <w:rPr>
                <w:sz w:val="22"/>
              </w:rPr>
              <w:t>returns the additional regression statistics (see table below), so the returned array is {mn, mn-1, …, m1, b; sen, sen-1, …, se1, seb; r2, sey; F, df; ssreg, ssresid}. If </w:t>
            </w:r>
            <w:r>
              <w:rPr>
                <w:rFonts w:ascii="Consolas" w:hAnsi="Consolas"/>
                <w:sz w:val="22"/>
              </w:rPr>
              <w:t>FALSE </w:t>
            </w:r>
            <w:r>
              <w:rPr>
                <w:sz w:val="22"/>
              </w:rPr>
              <w:t>or omitted, </w:t>
            </w:r>
            <w:r>
              <w:rPr>
                <w:rFonts w:ascii="Consolas" w:hAnsi="Consolas"/>
                <w:sz w:val="22"/>
              </w:rPr>
              <w:t>LINEST </w:t>
            </w:r>
            <w:r>
              <w:rPr>
                <w:sz w:val="22"/>
              </w:rPr>
              <w:t>returns only the m-coefficients and the constant b.</w:t>
            </w:r>
          </w:p>
        </w:tc>
      </w:tr>
    </w:tbl>
    <w:p>
      <w:pPr>
        <w:pStyle w:val="BodyText"/>
        <w:rPr>
          <w:b/>
          <w:sz w:val="20"/>
        </w:rPr>
      </w:pPr>
    </w:p>
    <w:p>
      <w:pPr>
        <w:pStyle w:val="BodyText"/>
        <w:rPr>
          <w:b/>
          <w:sz w:val="17"/>
        </w:rPr>
      </w:pPr>
    </w:p>
    <w:p>
      <w:pPr>
        <w:pStyle w:val="BodyText"/>
        <w:spacing w:before="57"/>
        <w:ind w:left="220"/>
      </w:pPr>
      <w:r>
        <w:rPr/>
        <w:t>The additional regression statistics are as follows:</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8"/>
        <w:gridCol w:w="6122"/>
      </w:tblGrid>
      <w:tr>
        <w:trPr>
          <w:trHeight w:val="354" w:hRule="atLeast"/>
        </w:trPr>
        <w:tc>
          <w:tcPr>
            <w:tcW w:w="1908" w:type="dxa"/>
            <w:shd w:val="clear" w:color="auto" w:fill="C0C0C0"/>
          </w:tcPr>
          <w:p>
            <w:pPr>
              <w:pStyle w:val="TableParagraph"/>
              <w:ind w:left="587"/>
              <w:rPr>
                <w:b/>
                <w:sz w:val="22"/>
              </w:rPr>
            </w:pPr>
            <w:r>
              <w:rPr>
                <w:b/>
                <w:sz w:val="22"/>
              </w:rPr>
              <w:t>Statistic</w:t>
            </w:r>
          </w:p>
        </w:tc>
        <w:tc>
          <w:tcPr>
            <w:tcW w:w="6122" w:type="dxa"/>
            <w:shd w:val="clear" w:color="auto" w:fill="C0C0C0"/>
          </w:tcPr>
          <w:p>
            <w:pPr>
              <w:pStyle w:val="TableParagraph"/>
              <w:ind w:left="2517" w:right="2508"/>
              <w:jc w:val="center"/>
              <w:rPr>
                <w:b/>
                <w:sz w:val="22"/>
              </w:rPr>
            </w:pPr>
            <w:r>
              <w:rPr>
                <w:b/>
                <w:sz w:val="22"/>
              </w:rPr>
              <w:t>Description</w:t>
            </w:r>
          </w:p>
        </w:tc>
      </w:tr>
      <w:tr>
        <w:trPr>
          <w:trHeight w:val="352" w:hRule="atLeast"/>
        </w:trPr>
        <w:tc>
          <w:tcPr>
            <w:tcW w:w="1908" w:type="dxa"/>
          </w:tcPr>
          <w:p>
            <w:pPr>
              <w:pStyle w:val="TableParagraph"/>
              <w:rPr>
                <w:i/>
                <w:sz w:val="22"/>
              </w:rPr>
            </w:pPr>
            <w:r>
              <w:rPr>
                <w:sz w:val="22"/>
              </w:rPr>
              <w:t>se1, se2, …, se</w:t>
            </w:r>
            <w:r>
              <w:rPr>
                <w:i/>
                <w:sz w:val="22"/>
              </w:rPr>
              <w:t>n</w:t>
            </w:r>
          </w:p>
        </w:tc>
        <w:tc>
          <w:tcPr>
            <w:tcW w:w="6122" w:type="dxa"/>
          </w:tcPr>
          <w:p>
            <w:pPr>
              <w:pStyle w:val="TableParagraph"/>
              <w:ind w:left="114"/>
              <w:rPr>
                <w:sz w:val="22"/>
              </w:rPr>
            </w:pPr>
            <w:r>
              <w:rPr>
                <w:sz w:val="22"/>
              </w:rPr>
              <w:t>The standard error values for the coefficients m1, m2, …, m</w:t>
            </w:r>
            <w:r>
              <w:rPr>
                <w:i/>
                <w:sz w:val="22"/>
              </w:rPr>
              <w:t>n</w:t>
            </w:r>
            <w:r>
              <w:rPr>
                <w:sz w:val="22"/>
              </w:rPr>
              <w:t>.</w:t>
            </w:r>
          </w:p>
        </w:tc>
      </w:tr>
      <w:tr>
        <w:trPr>
          <w:trHeight w:val="354" w:hRule="atLeast"/>
        </w:trPr>
        <w:tc>
          <w:tcPr>
            <w:tcW w:w="1908" w:type="dxa"/>
          </w:tcPr>
          <w:p>
            <w:pPr>
              <w:pStyle w:val="TableParagraph"/>
              <w:spacing w:before="42"/>
              <w:rPr>
                <w:sz w:val="22"/>
              </w:rPr>
            </w:pPr>
            <w:r>
              <w:rPr>
                <w:sz w:val="22"/>
              </w:rPr>
              <w:t>seb</w:t>
            </w:r>
          </w:p>
        </w:tc>
        <w:tc>
          <w:tcPr>
            <w:tcW w:w="6122" w:type="dxa"/>
          </w:tcPr>
          <w:p>
            <w:pPr>
              <w:pStyle w:val="TableParagraph"/>
              <w:spacing w:before="42"/>
              <w:ind w:left="114"/>
              <w:rPr>
                <w:sz w:val="22"/>
              </w:rPr>
            </w:pPr>
            <w:r>
              <w:rPr>
                <w:sz w:val="22"/>
              </w:rPr>
              <w:t>The standard error value for the constant b.</w:t>
            </w:r>
          </w:p>
        </w:tc>
      </w:tr>
      <w:tr>
        <w:trPr>
          <w:trHeight w:val="354" w:hRule="atLeast"/>
        </w:trPr>
        <w:tc>
          <w:tcPr>
            <w:tcW w:w="1908" w:type="dxa"/>
          </w:tcPr>
          <w:p>
            <w:pPr>
              <w:pStyle w:val="TableParagraph"/>
              <w:rPr>
                <w:sz w:val="22"/>
              </w:rPr>
            </w:pPr>
            <w:r>
              <w:rPr>
                <w:sz w:val="22"/>
              </w:rPr>
              <w:t>r2</w:t>
            </w:r>
          </w:p>
        </w:tc>
        <w:tc>
          <w:tcPr>
            <w:tcW w:w="6122" w:type="dxa"/>
          </w:tcPr>
          <w:p>
            <w:pPr>
              <w:pStyle w:val="TableParagraph"/>
              <w:ind w:left="114"/>
              <w:rPr>
                <w:sz w:val="22"/>
              </w:rPr>
            </w:pPr>
            <w:r>
              <w:rPr>
                <w:sz w:val="22"/>
              </w:rPr>
              <w:t>The coefficient of determination.</w:t>
            </w:r>
          </w:p>
        </w:tc>
      </w:tr>
      <w:tr>
        <w:trPr>
          <w:trHeight w:val="354" w:hRule="atLeast"/>
        </w:trPr>
        <w:tc>
          <w:tcPr>
            <w:tcW w:w="1908" w:type="dxa"/>
          </w:tcPr>
          <w:p>
            <w:pPr>
              <w:pStyle w:val="TableParagraph"/>
              <w:rPr>
                <w:sz w:val="22"/>
              </w:rPr>
            </w:pPr>
            <w:r>
              <w:rPr>
                <w:sz w:val="22"/>
              </w:rPr>
              <w:t>sey</w:t>
            </w:r>
          </w:p>
        </w:tc>
        <w:tc>
          <w:tcPr>
            <w:tcW w:w="6122" w:type="dxa"/>
          </w:tcPr>
          <w:p>
            <w:pPr>
              <w:pStyle w:val="TableParagraph"/>
              <w:ind w:left="114"/>
              <w:rPr>
                <w:sz w:val="22"/>
              </w:rPr>
            </w:pPr>
            <w:r>
              <w:rPr>
                <w:sz w:val="22"/>
              </w:rPr>
              <w:t>The standard error for the y estimate.</w:t>
            </w:r>
          </w:p>
        </w:tc>
      </w:tr>
      <w:tr>
        <w:trPr>
          <w:trHeight w:val="354" w:hRule="atLeast"/>
        </w:trPr>
        <w:tc>
          <w:tcPr>
            <w:tcW w:w="1908" w:type="dxa"/>
          </w:tcPr>
          <w:p>
            <w:pPr>
              <w:pStyle w:val="TableParagraph"/>
              <w:rPr>
                <w:sz w:val="22"/>
              </w:rPr>
            </w:pPr>
            <w:r>
              <w:rPr>
                <w:w w:val="100"/>
                <w:sz w:val="22"/>
              </w:rPr>
              <w:t>F</w:t>
            </w:r>
          </w:p>
        </w:tc>
        <w:tc>
          <w:tcPr>
            <w:tcW w:w="6122" w:type="dxa"/>
          </w:tcPr>
          <w:p>
            <w:pPr>
              <w:pStyle w:val="TableParagraph"/>
              <w:ind w:left="114"/>
              <w:rPr>
                <w:sz w:val="22"/>
              </w:rPr>
            </w:pPr>
            <w:r>
              <w:rPr>
                <w:sz w:val="22"/>
              </w:rPr>
              <w:t>The F statistic, or the F-observed value.</w:t>
            </w:r>
          </w:p>
        </w:tc>
      </w:tr>
      <w:tr>
        <w:trPr>
          <w:trHeight w:val="354" w:hRule="atLeast"/>
        </w:trPr>
        <w:tc>
          <w:tcPr>
            <w:tcW w:w="1908" w:type="dxa"/>
          </w:tcPr>
          <w:p>
            <w:pPr>
              <w:pStyle w:val="TableParagraph"/>
              <w:rPr>
                <w:sz w:val="22"/>
              </w:rPr>
            </w:pPr>
            <w:r>
              <w:rPr>
                <w:sz w:val="22"/>
              </w:rPr>
              <w:t>df</w:t>
            </w:r>
          </w:p>
        </w:tc>
        <w:tc>
          <w:tcPr>
            <w:tcW w:w="6122" w:type="dxa"/>
          </w:tcPr>
          <w:p>
            <w:pPr>
              <w:pStyle w:val="TableParagraph"/>
              <w:ind w:left="114"/>
              <w:rPr>
                <w:sz w:val="22"/>
              </w:rPr>
            </w:pPr>
            <w:r>
              <w:rPr>
                <w:sz w:val="22"/>
              </w:rPr>
              <w:t>The degrees of freedom.</w:t>
            </w:r>
          </w:p>
        </w:tc>
      </w:tr>
      <w:tr>
        <w:trPr>
          <w:trHeight w:val="355" w:hRule="atLeast"/>
        </w:trPr>
        <w:tc>
          <w:tcPr>
            <w:tcW w:w="1908" w:type="dxa"/>
          </w:tcPr>
          <w:p>
            <w:pPr>
              <w:pStyle w:val="TableParagraph"/>
              <w:rPr>
                <w:sz w:val="22"/>
              </w:rPr>
            </w:pPr>
            <w:r>
              <w:rPr>
                <w:sz w:val="22"/>
              </w:rPr>
              <w:t>ssreg</w:t>
            </w:r>
          </w:p>
        </w:tc>
        <w:tc>
          <w:tcPr>
            <w:tcW w:w="6122" w:type="dxa"/>
          </w:tcPr>
          <w:p>
            <w:pPr>
              <w:pStyle w:val="TableParagraph"/>
              <w:ind w:left="114"/>
              <w:rPr>
                <w:sz w:val="22"/>
              </w:rPr>
            </w:pPr>
            <w:r>
              <w:rPr>
                <w:sz w:val="22"/>
              </w:rPr>
              <w:t>The regression sum of squares.</w:t>
            </w:r>
          </w:p>
        </w:tc>
      </w:tr>
      <w:tr>
        <w:trPr>
          <w:trHeight w:val="354" w:hRule="atLeast"/>
        </w:trPr>
        <w:tc>
          <w:tcPr>
            <w:tcW w:w="1908" w:type="dxa"/>
          </w:tcPr>
          <w:p>
            <w:pPr>
              <w:pStyle w:val="TableParagraph"/>
              <w:rPr>
                <w:sz w:val="22"/>
              </w:rPr>
            </w:pPr>
            <w:r>
              <w:rPr>
                <w:sz w:val="22"/>
              </w:rPr>
              <w:t>ssresid</w:t>
            </w:r>
          </w:p>
        </w:tc>
        <w:tc>
          <w:tcPr>
            <w:tcW w:w="6122" w:type="dxa"/>
          </w:tcPr>
          <w:p>
            <w:pPr>
              <w:pStyle w:val="TableParagraph"/>
              <w:ind w:left="114"/>
              <w:rPr>
                <w:sz w:val="22"/>
              </w:rPr>
            </w:pPr>
            <w:r>
              <w:rPr>
                <w:sz w:val="22"/>
              </w:rPr>
              <w:t>The residual sum of squares.</w:t>
            </w:r>
          </w:p>
        </w:tc>
      </w:tr>
    </w:tbl>
    <w:p>
      <w:pPr>
        <w:pStyle w:val="BodyText"/>
      </w:pPr>
    </w:p>
    <w:p>
      <w:pPr>
        <w:pStyle w:val="BodyText"/>
        <w:spacing w:before="5"/>
        <w:rPr>
          <w:sz w:val="19"/>
        </w:rPr>
      </w:pPr>
    </w:p>
    <w:p>
      <w:pPr>
        <w:spacing w:before="0"/>
        <w:ind w:left="220" w:right="0" w:firstLine="0"/>
        <w:jc w:val="left"/>
        <w:rPr>
          <w:sz w:val="22"/>
        </w:rPr>
      </w:pPr>
      <w:r>
        <w:rPr>
          <w:b/>
          <w:sz w:val="22"/>
        </w:rPr>
        <w:t>Return Type and Value: </w:t>
      </w:r>
      <w:r>
        <w:rPr>
          <w:sz w:val="22"/>
        </w:rPr>
        <w:t>array – The array that describes the line, in the form {mn, mn-1, …, m1, b}. The</w:t>
      </w:r>
    </w:p>
    <w:p>
      <w:pPr>
        <w:pStyle w:val="BodyText"/>
        <w:spacing w:before="43"/>
        <w:ind w:left="220"/>
      </w:pPr>
      <w:r>
        <w:rPr/>
        <w:t>following illustration shows the order in which the additional regression statistics are returned.</w:t>
      </w:r>
    </w:p>
    <w:p>
      <w:pPr>
        <w:spacing w:after="0"/>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pPr>
      <w:r>
        <w:rPr>
          <w:rFonts w:ascii="Consolas"/>
        </w:rPr>
        <w:t>LINEST({1,9,5,7},{0,4,2,3},,FALSE)</w:t>
      </w:r>
      <w:r>
        <w:rPr>
          <w:rFonts w:ascii="Consolas"/>
          <w:spacing w:val="-84"/>
        </w:rPr>
        <w:t> </w:t>
      </w:r>
      <w:r>
        <w:rPr/>
        <w:t>results in a slope of 2 and a y-intercept of 1</w:t>
      </w:r>
    </w:p>
    <w:p>
      <w:pPr>
        <w:pStyle w:val="BodyText"/>
        <w:spacing w:before="9"/>
        <w:rPr>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6 LN" w:id="1980"/>
      <w:bookmarkEnd w:id="1980"/>
      <w:r>
        <w:rPr/>
      </w:r>
      <w:bookmarkStart w:name="_bookmark659" w:id="1981"/>
      <w:bookmarkEnd w:id="1981"/>
      <w:r>
        <w:rPr/>
      </w:r>
      <w:bookmarkStart w:name="_bookmark659" w:id="1982"/>
      <w:bookmarkEnd w:id="1982"/>
      <w:r>
        <w:rPr>
          <w:color w:val="4F81BC"/>
        </w:rPr>
        <w:t>LN</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LN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natural logarithm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10"/>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174"/>
              <w:rPr>
                <w:sz w:val="22"/>
              </w:rPr>
            </w:pPr>
            <w:r>
              <w:rPr>
                <w:sz w:val="22"/>
              </w:rPr>
              <w:t>The positive real number for which the natural logarithm is being computed.</w:t>
            </w:r>
          </w:p>
        </w:tc>
      </w:tr>
    </w:tbl>
    <w:p>
      <w:pPr>
        <w:pStyle w:val="BodyText"/>
        <w:rPr>
          <w:b/>
        </w:rPr>
      </w:pPr>
    </w:p>
    <w:p>
      <w:pPr>
        <w:pStyle w:val="BodyText"/>
        <w:spacing w:before="7"/>
        <w:rPr>
          <w:b/>
          <w:sz w:val="19"/>
        </w:rPr>
      </w:pPr>
    </w:p>
    <w:p>
      <w:pPr>
        <w:spacing w:line="453" w:lineRule="auto" w:before="0"/>
        <w:ind w:left="220" w:right="4951" w:firstLine="0"/>
        <w:jc w:val="left"/>
        <w:rPr>
          <w:sz w:val="22"/>
        </w:rPr>
      </w:pPr>
      <w:r>
        <w:rPr>
          <w:b/>
          <w:sz w:val="22"/>
        </w:rPr>
        <w:t>Return Type and Value: </w:t>
      </w:r>
      <w:r>
        <w:rPr>
          <w:sz w:val="22"/>
        </w:rPr>
        <w:t>number – The natural logarithm of </w:t>
      </w:r>
      <w:r>
        <w:rPr>
          <w:rFonts w:ascii="Times New Roman" w:hAnsi="Times New Roman"/>
          <w:i/>
          <w:sz w:val="22"/>
        </w:rPr>
        <w:t>x</w:t>
      </w:r>
      <w:r>
        <w:rPr>
          <w:sz w:val="22"/>
        </w:rPr>
        <w:t>. However, if </w:t>
      </w:r>
      <w:r>
        <w:rPr>
          <w:rFonts w:ascii="Times New Roman" w:hAnsi="Times New Roman"/>
          <w:i/>
          <w:sz w:val="22"/>
        </w:rPr>
        <w:t>x </w:t>
      </w:r>
      <w:r>
        <w:rPr>
          <w:sz w:val="22"/>
        </w:rPr>
        <w:t>is zero or negative, </w:t>
      </w:r>
      <w:r>
        <w:rPr>
          <w:rFonts w:ascii="Consolas" w:hAnsi="Consolas"/>
          <w:sz w:val="22"/>
        </w:rPr>
        <w:t>#NUM! </w:t>
      </w:r>
      <w:r>
        <w:rPr>
          <w:sz w:val="22"/>
        </w:rPr>
        <w:t>is returned. [</w:t>
      </w:r>
      <w:r>
        <w:rPr>
          <w:i/>
          <w:sz w:val="22"/>
        </w:rPr>
        <w:t>Example</w:t>
      </w:r>
      <w:r>
        <w:rPr>
          <w:sz w:val="22"/>
        </w:rPr>
        <w:t>:</w:t>
      </w:r>
    </w:p>
    <w:p>
      <w:pPr>
        <w:pStyle w:val="BodyText"/>
        <w:spacing w:line="276" w:lineRule="auto" w:before="110"/>
        <w:ind w:left="220" w:right="6759"/>
        <w:rPr>
          <w:rFonts w:ascii="Consolas"/>
        </w:rPr>
      </w:pPr>
      <w:r>
        <w:rPr>
          <w:rFonts w:ascii="Consolas"/>
        </w:rPr>
        <w:t>LN(86) </w:t>
      </w:r>
      <w:r>
        <w:rPr/>
        <w:t>results in </w:t>
      </w:r>
      <w:r>
        <w:rPr>
          <w:rFonts w:ascii="Consolas"/>
        </w:rPr>
        <w:t>4.454347296 LN(2.7182818)</w:t>
      </w:r>
      <w:r>
        <w:rPr>
          <w:rFonts w:ascii="Consolas"/>
          <w:spacing w:val="-86"/>
        </w:rPr>
        <w:t> </w:t>
      </w:r>
      <w:r>
        <w:rPr/>
        <w:t>results in </w:t>
      </w:r>
      <w:r>
        <w:rPr>
          <w:rFonts w:ascii="Consolas"/>
        </w:rPr>
        <w:t>0.99999999</w:t>
      </w:r>
    </w:p>
    <w:p>
      <w:pPr>
        <w:pStyle w:val="BodyText"/>
        <w:spacing w:line="268" w:lineRule="exact"/>
        <w:ind w:left="220"/>
        <w:rPr>
          <w:rFonts w:ascii="Consolas"/>
        </w:rPr>
      </w:pPr>
      <w:r>
        <w:rPr>
          <w:rFonts w:ascii="Consolas"/>
        </w:rPr>
        <w:t>LN(EXP(3))</w:t>
      </w:r>
      <w:r>
        <w:rPr>
          <w:rFonts w:ascii="Consolas"/>
          <w:spacing w:val="-73"/>
        </w:rPr>
        <w:t> </w:t>
      </w:r>
      <w:r>
        <w:rPr/>
        <w:t>results in </w:t>
      </w:r>
      <w:r>
        <w:rPr>
          <w:rFonts w:ascii="Consolas"/>
        </w:rPr>
        <w:t>3</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7 LOG" w:id="1983"/>
      <w:bookmarkEnd w:id="1983"/>
      <w:r>
        <w:rPr/>
      </w:r>
      <w:bookmarkStart w:name="_bookmark660" w:id="1984"/>
      <w:bookmarkEnd w:id="1984"/>
      <w:r>
        <w:rPr/>
      </w:r>
      <w:bookmarkStart w:name="_bookmark660" w:id="1985"/>
      <w:bookmarkEnd w:id="1985"/>
      <w:r>
        <w:rPr>
          <w:color w:val="4F81BC"/>
        </w:rPr>
        <w:t>L</w:t>
      </w:r>
      <w:r>
        <w:rPr>
          <w:color w:val="4F81BC"/>
        </w:rPr>
        <w:t>OG</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LOG ( </w:t>
      </w:r>
      <w:r>
        <w:rPr>
          <w:i/>
          <w:sz w:val="22"/>
        </w:rPr>
        <w:t>x </w:t>
      </w:r>
      <w:r>
        <w:rPr>
          <w:sz w:val="22"/>
        </w:rPr>
        <w:t>[ </w:t>
      </w:r>
      <w:r>
        <w:rPr>
          <w:rFonts w:ascii="Lucida Console"/>
          <w:sz w:val="20"/>
        </w:rPr>
        <w:t>, </w:t>
      </w:r>
      <w:r>
        <w:rPr>
          <w:i/>
          <w:sz w:val="22"/>
        </w:rPr>
        <w:t>base </w:t>
      </w:r>
      <w:r>
        <w:rPr>
          <w:sz w:val="22"/>
        </w:rPr>
        <w:t>] </w:t>
      </w:r>
      <w:r>
        <w:rPr>
          <w:rFonts w:ascii="Lucida Console"/>
          <w:sz w:val="20"/>
        </w:rPr>
        <w:t>)</w:t>
      </w:r>
    </w:p>
    <w:p>
      <w:pPr>
        <w:spacing w:before="108"/>
        <w:ind w:left="220" w:right="0" w:firstLine="0"/>
        <w:jc w:val="left"/>
        <w:rPr>
          <w:sz w:val="22"/>
        </w:rPr>
      </w:pPr>
      <w:r>
        <w:rPr>
          <w:b/>
          <w:sz w:val="22"/>
        </w:rPr>
        <w:t>Description: </w:t>
      </w:r>
      <w:r>
        <w:rPr>
          <w:sz w:val="22"/>
        </w:rPr>
        <w:t>Computes the logarithm of </w:t>
      </w:r>
      <w:r>
        <w:rPr>
          <w:rFonts w:ascii="Times New Roman"/>
          <w:i/>
          <w:sz w:val="22"/>
        </w:rPr>
        <w:t>x </w:t>
      </w:r>
      <w:r>
        <w:rPr>
          <w:sz w:val="22"/>
        </w:rPr>
        <w:t>to the base </w:t>
      </w:r>
      <w:r>
        <w:rPr>
          <w:rFonts w:ascii="Times New Roman"/>
          <w:i/>
          <w:sz w:val="22"/>
        </w:rPr>
        <w:t>base</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135"/>
              <w:rPr>
                <w:sz w:val="22"/>
              </w:rPr>
            </w:pPr>
            <w:r>
              <w:rPr>
                <w:sz w:val="22"/>
              </w:rPr>
              <w:t>The positive real number for which the logarithm is being computed.</w:t>
            </w:r>
          </w:p>
        </w:tc>
      </w:tr>
      <w:tr>
        <w:trPr>
          <w:trHeight w:val="354" w:hRule="atLeast"/>
        </w:trPr>
        <w:tc>
          <w:tcPr>
            <w:tcW w:w="1466" w:type="dxa"/>
          </w:tcPr>
          <w:p>
            <w:pPr>
              <w:pStyle w:val="TableParagraph"/>
              <w:spacing w:before="36"/>
              <w:rPr>
                <w:rFonts w:ascii="Times New Roman"/>
                <w:i/>
                <w:sz w:val="22"/>
              </w:rPr>
            </w:pPr>
            <w:r>
              <w:rPr>
                <w:rFonts w:ascii="Times New Roman"/>
                <w:i/>
                <w:sz w:val="22"/>
              </w:rPr>
              <w:t>base</w:t>
            </w:r>
          </w:p>
        </w:tc>
        <w:tc>
          <w:tcPr>
            <w:tcW w:w="1800" w:type="dxa"/>
          </w:tcPr>
          <w:p>
            <w:pPr>
              <w:pStyle w:val="TableParagraph"/>
              <w:ind w:left="112"/>
              <w:rPr>
                <w:sz w:val="22"/>
              </w:rPr>
            </w:pPr>
            <w:r>
              <w:rPr>
                <w:sz w:val="22"/>
              </w:rPr>
              <w:t>number</w:t>
            </w:r>
          </w:p>
        </w:tc>
        <w:tc>
          <w:tcPr>
            <w:tcW w:w="5400" w:type="dxa"/>
          </w:tcPr>
          <w:p>
            <w:pPr>
              <w:pStyle w:val="TableParagraph"/>
              <w:ind w:left="94" w:right="85"/>
              <w:jc w:val="center"/>
              <w:rPr>
                <w:sz w:val="22"/>
              </w:rPr>
            </w:pPr>
            <w:r>
              <w:rPr>
                <w:sz w:val="22"/>
              </w:rPr>
              <w:t>The base of the logarithm. If omitted, base 10 is assumed.</w:t>
            </w:r>
          </w:p>
        </w:tc>
      </w:tr>
    </w:tbl>
    <w:p>
      <w:pPr>
        <w:spacing w:after="0"/>
        <w:jc w:val="center"/>
        <w:rPr>
          <w:sz w:val="22"/>
        </w:rPr>
        <w:sectPr>
          <w:pgSz w:w="12240" w:h="15840"/>
          <w:pgMar w:header="761" w:footer="746" w:top="1340" w:bottom="940" w:left="860" w:right="700"/>
        </w:sectPr>
      </w:pPr>
    </w:p>
    <w:p>
      <w:pPr>
        <w:spacing w:line="456" w:lineRule="auto" w:before="150"/>
        <w:ind w:left="220" w:right="5643" w:firstLine="0"/>
        <w:jc w:val="left"/>
        <w:rPr>
          <w:sz w:val="22"/>
        </w:rPr>
      </w:pPr>
      <w:r>
        <w:rPr>
          <w:b/>
          <w:sz w:val="22"/>
        </w:rPr>
        <w:t>Return Type and Value: </w:t>
      </w:r>
      <w:r>
        <w:rPr>
          <w:sz w:val="22"/>
        </w:rPr>
        <w:t>number – The logarithm of </w:t>
      </w:r>
      <w:r>
        <w:rPr>
          <w:rFonts w:ascii="Times New Roman" w:hAnsi="Times New Roman"/>
          <w:i/>
          <w:sz w:val="22"/>
        </w:rPr>
        <w:t>x</w:t>
      </w:r>
      <w:r>
        <w:rPr>
          <w:sz w:val="22"/>
        </w:rPr>
        <w:t>.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x </w:t>
      </w:r>
      <w:r>
        <w:rPr>
          <w:sz w:val="22"/>
        </w:rPr>
        <w:t>is zero or negative, </w:t>
      </w:r>
      <w:r>
        <w:rPr>
          <w:rFonts w:ascii="Consolas" w:hAnsi="Consolas"/>
          <w:sz w:val="22"/>
        </w:rPr>
        <w:t>#NUM!</w:t>
      </w:r>
      <w:r>
        <w:rPr>
          <w:rFonts w:ascii="Consolas" w:hAnsi="Consolas"/>
          <w:spacing w:val="-75"/>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base </w:t>
      </w:r>
      <w:r>
        <w:rPr>
          <w:sz w:val="22"/>
        </w:rPr>
        <w:t>is zero or negative,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446" w:lineRule="auto" w:before="38" w:after="0"/>
        <w:ind w:left="220" w:right="6949" w:firstLine="360"/>
        <w:jc w:val="left"/>
        <w:rPr>
          <w:sz w:val="22"/>
        </w:rPr>
      </w:pPr>
      <w:r>
        <w:rPr>
          <w:rFonts w:ascii="Times New Roman" w:hAnsi="Times New Roman"/>
          <w:i/>
          <w:sz w:val="22"/>
        </w:rPr>
        <w:t>base </w:t>
      </w:r>
      <w:r>
        <w:rPr>
          <w:sz w:val="22"/>
        </w:rPr>
        <w:t>is 1, </w:t>
      </w:r>
      <w:r>
        <w:rPr>
          <w:rFonts w:ascii="Consolas" w:hAnsi="Consolas"/>
          <w:sz w:val="22"/>
        </w:rPr>
        <w:t>#DIV/0!</w:t>
      </w:r>
      <w:r>
        <w:rPr>
          <w:rFonts w:ascii="Consolas" w:hAnsi="Consolas"/>
          <w:spacing w:val="-84"/>
          <w:sz w:val="22"/>
        </w:rPr>
        <w:t> </w:t>
      </w:r>
      <w:r>
        <w:rPr>
          <w:sz w:val="22"/>
        </w:rPr>
        <w:t>is returned. [</w:t>
      </w:r>
      <w:r>
        <w:rPr>
          <w:i/>
          <w:sz w:val="22"/>
        </w:rPr>
        <w:t>Example</w:t>
      </w:r>
      <w:r>
        <w:rPr>
          <w:sz w:val="22"/>
        </w:rPr>
        <w:t>:</w:t>
      </w:r>
    </w:p>
    <w:p>
      <w:pPr>
        <w:pStyle w:val="BodyText"/>
        <w:spacing w:line="276" w:lineRule="auto" w:before="126"/>
        <w:ind w:left="220" w:right="8444"/>
        <w:rPr>
          <w:rFonts w:ascii="Consolas"/>
        </w:rPr>
      </w:pPr>
      <w:r>
        <w:rPr>
          <w:rFonts w:ascii="Consolas"/>
        </w:rPr>
        <w:t>LOG(10) </w:t>
      </w:r>
      <w:r>
        <w:rPr/>
        <w:t>results in </w:t>
      </w:r>
      <w:r>
        <w:rPr>
          <w:rFonts w:ascii="Consolas"/>
        </w:rPr>
        <w:t>1 LOG(8,2)</w:t>
      </w:r>
      <w:r>
        <w:rPr>
          <w:rFonts w:ascii="Consolas"/>
          <w:spacing w:val="-78"/>
        </w:rPr>
        <w:t> </w:t>
      </w:r>
      <w:r>
        <w:rPr/>
        <w:t>results in </w:t>
      </w:r>
      <w:r>
        <w:rPr>
          <w:rFonts w:ascii="Consolas"/>
        </w:rPr>
        <w:t>3</w:t>
      </w:r>
    </w:p>
    <w:p>
      <w:pPr>
        <w:pStyle w:val="BodyText"/>
        <w:spacing w:before="2"/>
        <w:ind w:left="220"/>
        <w:rPr>
          <w:rFonts w:ascii="Consolas"/>
        </w:rPr>
      </w:pPr>
      <w:r>
        <w:rPr>
          <w:rFonts w:ascii="Consolas"/>
        </w:rPr>
        <w:t>LOG(86,2.7182818)</w:t>
      </w:r>
      <w:r>
        <w:rPr>
          <w:rFonts w:ascii="Consolas"/>
          <w:spacing w:val="-69"/>
        </w:rPr>
        <w:t> </w:t>
      </w:r>
      <w:r>
        <w:rPr/>
        <w:t>results in </w:t>
      </w:r>
      <w:r>
        <w:rPr>
          <w:rFonts w:ascii="Consolas"/>
        </w:rPr>
        <w:t>4.454347343</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198 LOG10" w:id="1986"/>
      <w:bookmarkEnd w:id="1986"/>
      <w:r>
        <w:rPr/>
      </w:r>
      <w:bookmarkStart w:name="_bookmark661" w:id="1987"/>
      <w:bookmarkEnd w:id="1987"/>
      <w:r>
        <w:rPr/>
      </w:r>
      <w:bookmarkStart w:name="_bookmark661" w:id="1988"/>
      <w:bookmarkEnd w:id="1988"/>
      <w:r>
        <w:rPr>
          <w:color w:val="4F81BC"/>
        </w:rPr>
        <w:t>L</w:t>
      </w:r>
      <w:r>
        <w:rPr>
          <w:color w:val="4F81BC"/>
        </w:rPr>
        <w:t>OG10</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LOG10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base-10 logarithm of </w:t>
      </w:r>
      <w:r>
        <w:rPr>
          <w:rFonts w:ascii="Times New Roman"/>
          <w:i/>
          <w:sz w:val="22"/>
        </w:rPr>
        <w:t>x</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tcBorders>
              <w:bottom w:val="single" w:sz="6" w:space="0" w:color="000000"/>
            </w:tcBorders>
            <w:shd w:val="clear" w:color="auto" w:fill="C0C0C0"/>
          </w:tcPr>
          <w:p>
            <w:pPr>
              <w:pStyle w:val="TableParagraph"/>
              <w:spacing w:before="42"/>
              <w:ind w:left="460"/>
              <w:rPr>
                <w:b/>
                <w:sz w:val="22"/>
              </w:rPr>
            </w:pPr>
            <w:r>
              <w:rPr>
                <w:b/>
                <w:sz w:val="22"/>
              </w:rPr>
              <w:t>Name</w:t>
            </w:r>
          </w:p>
        </w:tc>
        <w:tc>
          <w:tcPr>
            <w:tcW w:w="1800" w:type="dxa"/>
            <w:tcBorders>
              <w:bottom w:val="single" w:sz="6" w:space="0" w:color="000000"/>
            </w:tcBorders>
            <w:shd w:val="clear" w:color="auto" w:fill="C0C0C0"/>
          </w:tcPr>
          <w:p>
            <w:pPr>
              <w:pStyle w:val="TableParagraph"/>
              <w:spacing w:before="42"/>
              <w:ind w:left="94" w:right="86"/>
              <w:jc w:val="center"/>
              <w:rPr>
                <w:b/>
                <w:sz w:val="22"/>
              </w:rPr>
            </w:pPr>
            <w:r>
              <w:rPr>
                <w:b/>
                <w:sz w:val="22"/>
              </w:rPr>
              <w:t>Type</w:t>
            </w:r>
          </w:p>
        </w:tc>
        <w:tc>
          <w:tcPr>
            <w:tcW w:w="5400" w:type="dxa"/>
            <w:tcBorders>
              <w:bottom w:val="single" w:sz="6" w:space="0" w:color="000000"/>
            </w:tcBorders>
            <w:shd w:val="clear" w:color="auto" w:fill="C0C0C0"/>
          </w:tcPr>
          <w:p>
            <w:pPr>
              <w:pStyle w:val="TableParagraph"/>
              <w:spacing w:before="42"/>
              <w:ind w:left="93" w:right="86"/>
              <w:jc w:val="center"/>
              <w:rPr>
                <w:b/>
                <w:sz w:val="22"/>
              </w:rPr>
            </w:pPr>
            <w:r>
              <w:rPr>
                <w:b/>
                <w:sz w:val="22"/>
              </w:rPr>
              <w:t>Description</w:t>
            </w:r>
          </w:p>
        </w:tc>
      </w:tr>
      <w:tr>
        <w:trPr>
          <w:trHeight w:val="621" w:hRule="atLeast"/>
        </w:trPr>
        <w:tc>
          <w:tcPr>
            <w:tcW w:w="1466" w:type="dxa"/>
            <w:tcBorders>
              <w:top w:val="single" w:sz="6" w:space="0" w:color="000000"/>
            </w:tcBorders>
          </w:tcPr>
          <w:p>
            <w:pPr>
              <w:pStyle w:val="TableParagraph"/>
              <w:spacing w:before="34"/>
              <w:rPr>
                <w:rFonts w:ascii="Times New Roman"/>
                <w:i/>
                <w:sz w:val="22"/>
              </w:rPr>
            </w:pPr>
            <w:r>
              <w:rPr>
                <w:rFonts w:ascii="Times New Roman"/>
                <w:i/>
                <w:w w:val="100"/>
                <w:sz w:val="22"/>
              </w:rPr>
              <w:t>x</w:t>
            </w:r>
          </w:p>
        </w:tc>
        <w:tc>
          <w:tcPr>
            <w:tcW w:w="1800" w:type="dxa"/>
            <w:tcBorders>
              <w:top w:val="single" w:sz="6" w:space="0" w:color="000000"/>
            </w:tcBorders>
          </w:tcPr>
          <w:p>
            <w:pPr>
              <w:pStyle w:val="TableParagraph"/>
              <w:spacing w:before="37"/>
              <w:ind w:left="112"/>
              <w:rPr>
                <w:sz w:val="22"/>
              </w:rPr>
            </w:pPr>
            <w:r>
              <w:rPr>
                <w:sz w:val="22"/>
              </w:rPr>
              <w:t>number</w:t>
            </w:r>
          </w:p>
        </w:tc>
        <w:tc>
          <w:tcPr>
            <w:tcW w:w="5400" w:type="dxa"/>
            <w:tcBorders>
              <w:top w:val="single" w:sz="6" w:space="0" w:color="000000"/>
            </w:tcBorders>
          </w:tcPr>
          <w:p>
            <w:pPr>
              <w:pStyle w:val="TableParagraph"/>
              <w:spacing w:before="37"/>
              <w:ind w:left="113" w:right="135"/>
              <w:rPr>
                <w:sz w:val="22"/>
              </w:rPr>
            </w:pPr>
            <w:r>
              <w:rPr>
                <w:sz w:val="22"/>
              </w:rPr>
              <w:t>The positive real number for which the logarithm is being computed.</w:t>
            </w:r>
          </w:p>
        </w:tc>
      </w:tr>
    </w:tbl>
    <w:p>
      <w:pPr>
        <w:pStyle w:val="BodyText"/>
        <w:rPr>
          <w:b/>
        </w:rPr>
      </w:pPr>
    </w:p>
    <w:p>
      <w:pPr>
        <w:pStyle w:val="BodyText"/>
        <w:spacing w:before="7"/>
        <w:rPr>
          <w:b/>
          <w:sz w:val="19"/>
        </w:rPr>
      </w:pPr>
    </w:p>
    <w:p>
      <w:pPr>
        <w:spacing w:line="453" w:lineRule="auto" w:before="0"/>
        <w:ind w:left="220" w:right="4887" w:firstLine="0"/>
        <w:jc w:val="left"/>
        <w:rPr>
          <w:sz w:val="22"/>
        </w:rPr>
      </w:pPr>
      <w:r>
        <w:rPr>
          <w:b/>
          <w:sz w:val="22"/>
        </w:rPr>
        <w:t>Return Type and Value: </w:t>
      </w:r>
      <w:r>
        <w:rPr>
          <w:sz w:val="22"/>
        </w:rPr>
        <w:t>number – The base-10 logarithm of </w:t>
      </w:r>
      <w:r>
        <w:rPr>
          <w:rFonts w:ascii="Times New Roman" w:hAnsi="Times New Roman"/>
          <w:i/>
          <w:sz w:val="22"/>
        </w:rPr>
        <w:t>x</w:t>
      </w:r>
      <w:r>
        <w:rPr>
          <w:sz w:val="22"/>
        </w:rPr>
        <w:t>. However, if </w:t>
      </w:r>
      <w:r>
        <w:rPr>
          <w:rFonts w:ascii="Times New Roman" w:hAnsi="Times New Roman"/>
          <w:i/>
          <w:sz w:val="22"/>
        </w:rPr>
        <w:t>x </w:t>
      </w:r>
      <w:r>
        <w:rPr>
          <w:sz w:val="22"/>
        </w:rPr>
        <w:t>is zero or negative, </w:t>
      </w:r>
      <w:r>
        <w:rPr>
          <w:rFonts w:ascii="Consolas" w:hAnsi="Consolas"/>
          <w:sz w:val="22"/>
        </w:rPr>
        <w:t>#NUM! </w:t>
      </w:r>
      <w:r>
        <w:rPr>
          <w:sz w:val="22"/>
        </w:rPr>
        <w:t>is returned. [</w:t>
      </w:r>
      <w:r>
        <w:rPr>
          <w:i/>
          <w:sz w:val="22"/>
        </w:rPr>
        <w:t>Example</w:t>
      </w:r>
      <w:r>
        <w:rPr>
          <w:sz w:val="22"/>
        </w:rPr>
        <w:t>:</w:t>
      </w:r>
    </w:p>
    <w:p>
      <w:pPr>
        <w:pStyle w:val="BodyText"/>
        <w:spacing w:line="276" w:lineRule="auto" w:before="112"/>
        <w:ind w:left="220" w:right="7120"/>
        <w:rPr>
          <w:rFonts w:ascii="Consolas"/>
        </w:rPr>
      </w:pPr>
      <w:r>
        <w:rPr>
          <w:rFonts w:ascii="Consolas"/>
        </w:rPr>
        <w:t>LOG10(86)</w:t>
      </w:r>
      <w:r>
        <w:rPr>
          <w:rFonts w:ascii="Consolas"/>
          <w:spacing w:val="-84"/>
        </w:rPr>
        <w:t> </w:t>
      </w:r>
      <w:r>
        <w:rPr/>
        <w:t>results in </w:t>
      </w:r>
      <w:r>
        <w:rPr>
          <w:rFonts w:ascii="Consolas"/>
        </w:rPr>
        <w:t>1.934498451 LOG10(10) </w:t>
      </w:r>
      <w:r>
        <w:rPr/>
        <w:t>results in </w:t>
      </w:r>
      <w:r>
        <w:rPr>
          <w:rFonts w:ascii="Consolas"/>
        </w:rPr>
        <w:t>1 LOG10(1E5) </w:t>
      </w:r>
      <w:r>
        <w:rPr/>
        <w:t>results in </w:t>
      </w:r>
      <w:r>
        <w:rPr>
          <w:rFonts w:ascii="Consolas"/>
        </w:rPr>
        <w:t>5 LOG10(10^5)</w:t>
      </w:r>
      <w:r>
        <w:rPr>
          <w:rFonts w:ascii="Consolas"/>
          <w:spacing w:val="-73"/>
        </w:rPr>
        <w:t> </w:t>
      </w:r>
      <w:r>
        <w:rPr/>
        <w:t>results in </w:t>
      </w:r>
      <w:r>
        <w:rPr>
          <w:rFonts w:ascii="Consolas"/>
        </w:rPr>
        <w:t>5</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199 LOGEST" w:id="1989"/>
      <w:bookmarkEnd w:id="1989"/>
      <w:r>
        <w:rPr/>
      </w:r>
      <w:bookmarkStart w:name="_bookmark662" w:id="1990"/>
      <w:bookmarkEnd w:id="1990"/>
      <w:r>
        <w:rPr/>
      </w:r>
      <w:bookmarkStart w:name="_bookmark662" w:id="1991"/>
      <w:bookmarkEnd w:id="1991"/>
      <w:r>
        <w:rPr>
          <w:color w:val="4F81BC"/>
        </w:rPr>
        <w:t>L</w:t>
      </w:r>
      <w:r>
        <w:rPr>
          <w:color w:val="4F81BC"/>
        </w:rPr>
        <w:t>OGEST</w:t>
      </w:r>
    </w:p>
    <w:p>
      <w:pPr>
        <w:pStyle w:val="Heading4"/>
        <w:spacing w:before="122"/>
        <w:rPr>
          <w:b w:val="0"/>
        </w:rPr>
      </w:pPr>
      <w:r>
        <w:rPr/>
        <w:t>Syntax</w:t>
      </w:r>
      <w:r>
        <w:rPr>
          <w:b w:val="0"/>
        </w:rPr>
        <w:t>:</w:t>
      </w:r>
    </w:p>
    <w:p>
      <w:pPr>
        <w:spacing w:after="0"/>
        <w:sectPr>
          <w:pgSz w:w="12240" w:h="15840"/>
          <w:pgMar w:header="763" w:footer="746" w:top="1340" w:bottom="940" w:left="860" w:right="700"/>
        </w:sectPr>
      </w:pPr>
    </w:p>
    <w:p>
      <w:pPr>
        <w:spacing w:before="85"/>
        <w:ind w:left="940" w:right="0" w:firstLine="0"/>
        <w:jc w:val="left"/>
        <w:rPr>
          <w:rFonts w:ascii="Lucida Console"/>
          <w:sz w:val="20"/>
        </w:rPr>
      </w:pPr>
      <w:r>
        <w:rPr>
          <w:rFonts w:ascii="Lucida Console"/>
          <w:sz w:val="20"/>
        </w:rPr>
        <w:t>LOGEST ( </w:t>
      </w:r>
      <w:r>
        <w:rPr>
          <w:i/>
          <w:sz w:val="22"/>
        </w:rPr>
        <w:t>known-ys </w:t>
      </w:r>
      <w:r>
        <w:rPr>
          <w:sz w:val="22"/>
        </w:rPr>
        <w:t>[  </w:t>
      </w:r>
      <w:r>
        <w:rPr>
          <w:rFonts w:ascii="Lucida Console"/>
          <w:sz w:val="20"/>
        </w:rPr>
        <w:t>, </w:t>
      </w:r>
      <w:r>
        <w:rPr>
          <w:sz w:val="22"/>
        </w:rPr>
        <w:t>[ </w:t>
      </w:r>
      <w:r>
        <w:rPr>
          <w:i/>
          <w:sz w:val="22"/>
        </w:rPr>
        <w:t>known-xs </w:t>
      </w:r>
      <w:r>
        <w:rPr>
          <w:sz w:val="22"/>
        </w:rPr>
        <w:t>] [  </w:t>
      </w:r>
      <w:r>
        <w:rPr>
          <w:rFonts w:ascii="Lucida Console"/>
          <w:sz w:val="20"/>
        </w:rPr>
        <w:t>, </w:t>
      </w:r>
      <w:r>
        <w:rPr>
          <w:sz w:val="22"/>
        </w:rPr>
        <w:t>[ </w:t>
      </w:r>
      <w:r>
        <w:rPr>
          <w:i/>
          <w:sz w:val="22"/>
        </w:rPr>
        <w:t>const-flag </w:t>
      </w:r>
      <w:r>
        <w:rPr>
          <w:sz w:val="22"/>
        </w:rPr>
        <w:t>] [ </w:t>
      </w:r>
      <w:r>
        <w:rPr>
          <w:rFonts w:ascii="Lucida Console"/>
          <w:sz w:val="20"/>
        </w:rPr>
        <w:t>, </w:t>
      </w:r>
      <w:r>
        <w:rPr>
          <w:i/>
          <w:sz w:val="22"/>
        </w:rPr>
        <w:t>stats-flag </w:t>
      </w:r>
      <w:r>
        <w:rPr>
          <w:sz w:val="22"/>
        </w:rPr>
        <w:t>] ]  </w:t>
      </w:r>
      <w:r>
        <w:rPr>
          <w:rFonts w:ascii="Lucida Console"/>
          <w:sz w:val="20"/>
        </w:rPr>
        <w:t>)</w:t>
      </w:r>
    </w:p>
    <w:p>
      <w:pPr>
        <w:pStyle w:val="BodyText"/>
        <w:spacing w:line="278" w:lineRule="auto" w:before="107"/>
        <w:ind w:left="220" w:right="475"/>
      </w:pPr>
      <w:r>
        <w:rPr>
          <w:b/>
        </w:rPr>
        <w:t>Description: </w:t>
      </w:r>
      <w:r>
        <w:rPr/>
        <w:t>Calculates an exponential curve that fits the data, and returns an array of values that describes the curve.</w:t>
      </w:r>
    </w:p>
    <w:p>
      <w:pPr>
        <w:pStyle w:val="Heading4"/>
        <w:spacing w:before="197"/>
        <w:rPr>
          <w:b w:val="0"/>
        </w:rPr>
      </w:pPr>
      <w:r>
        <w:rPr/>
        <w:t>Mathematical Formula</w:t>
      </w:r>
      <w:r>
        <w:rPr>
          <w:b w:val="0"/>
        </w:rPr>
        <w:t>:</w:t>
      </w:r>
    </w:p>
    <w:p>
      <w:pPr>
        <w:pStyle w:val="BodyText"/>
        <w:spacing w:before="9"/>
        <w:rPr>
          <w:sz w:val="19"/>
        </w:rPr>
      </w:pPr>
    </w:p>
    <w:p>
      <w:pPr>
        <w:pStyle w:val="BodyText"/>
        <w:ind w:left="220"/>
      </w:pPr>
      <w:r>
        <w:rPr/>
        <w:t>The equation for the curve is:</w:t>
      </w:r>
    </w:p>
    <w:p>
      <w:pPr>
        <w:pStyle w:val="BodyText"/>
      </w:pPr>
    </w:p>
    <w:p>
      <w:pPr>
        <w:pStyle w:val="BodyText"/>
      </w:pPr>
    </w:p>
    <w:p>
      <w:pPr>
        <w:pStyle w:val="BodyText"/>
        <w:spacing w:before="4"/>
        <w:rPr>
          <w:sz w:val="17"/>
        </w:rPr>
      </w:pPr>
    </w:p>
    <w:p>
      <w:pPr>
        <w:pStyle w:val="BodyText"/>
        <w:spacing w:before="1"/>
        <w:ind w:left="580"/>
        <w:rPr>
          <w:rFonts w:ascii="Cambria Math" w:hAnsi="Cambria Math" w:eastAsia="Cambria Math"/>
        </w:rPr>
      </w:pPr>
      <w:r>
        <w:rPr>
          <w:rFonts w:ascii="Cambria Math" w:hAnsi="Cambria Math" w:eastAsia="Cambria Math"/>
        </w:rPr>
        <w:t>𝑦 = 𝑏 × 𝑚</w:t>
      </w:r>
      <w:r>
        <w:rPr>
          <w:rFonts w:ascii="Cambria Math" w:hAnsi="Cambria Math" w:eastAsia="Cambria Math"/>
          <w:vertAlign w:val="superscript"/>
        </w:rPr>
        <w:t>𝑥</w:t>
      </w:r>
    </w:p>
    <w:p>
      <w:pPr>
        <w:pStyle w:val="BodyText"/>
        <w:spacing w:before="3"/>
        <w:rPr>
          <w:rFonts w:ascii="Cambria Math"/>
          <w:sz w:val="20"/>
        </w:rPr>
      </w:pPr>
    </w:p>
    <w:p>
      <w:pPr>
        <w:pStyle w:val="BodyText"/>
        <w:spacing w:before="1"/>
        <w:ind w:left="220"/>
      </w:pPr>
      <w:r>
        <w:rPr/>
        <w:t>or</w:t>
      </w:r>
    </w:p>
    <w:p>
      <w:pPr>
        <w:pStyle w:val="BodyText"/>
      </w:pPr>
    </w:p>
    <w:p>
      <w:pPr>
        <w:pStyle w:val="BodyText"/>
      </w:pPr>
    </w:p>
    <w:p>
      <w:pPr>
        <w:pStyle w:val="BodyText"/>
        <w:spacing w:before="190"/>
        <w:ind w:left="580"/>
      </w:pPr>
      <w:r>
        <w:rPr>
          <w:rFonts w:ascii="Cambria Math" w:hAnsi="Cambria Math" w:eastAsia="Cambria Math"/>
        </w:rPr>
        <w:t>𝑦 = 𝑏 × 𝑚</w:t>
      </w:r>
      <w:r>
        <w:rPr>
          <w:rFonts w:ascii="Cambria Math" w:hAnsi="Cambria Math" w:eastAsia="Cambria Math"/>
          <w:position w:val="-4"/>
          <w:sz w:val="16"/>
        </w:rPr>
        <w:t>1 </w:t>
      </w:r>
      <w:r>
        <w:rPr>
          <w:rFonts w:ascii="Cambria Math" w:hAnsi="Cambria Math" w:eastAsia="Cambria Math"/>
          <w:position w:val="8"/>
          <w:sz w:val="16"/>
        </w:rPr>
        <w:t>𝑥</w:t>
      </w:r>
      <w:r>
        <w:rPr>
          <w:rFonts w:ascii="Cambria Math" w:hAnsi="Cambria Math" w:eastAsia="Cambria Math"/>
          <w:position w:val="5"/>
          <w:sz w:val="13"/>
        </w:rPr>
        <w:t>1 </w:t>
      </w:r>
      <w:r>
        <w:rPr>
          <w:rFonts w:ascii="Cambria Math" w:hAnsi="Cambria Math" w:eastAsia="Cambria Math"/>
        </w:rPr>
        <w:t>× 𝑚</w:t>
      </w:r>
      <w:r>
        <w:rPr>
          <w:rFonts w:ascii="Cambria Math" w:hAnsi="Cambria Math" w:eastAsia="Cambria Math"/>
          <w:position w:val="-4"/>
          <w:sz w:val="16"/>
        </w:rPr>
        <w:t>2 </w:t>
      </w:r>
      <w:r>
        <w:rPr>
          <w:rFonts w:ascii="Cambria Math" w:hAnsi="Cambria Math" w:eastAsia="Cambria Math"/>
          <w:position w:val="8"/>
          <w:sz w:val="16"/>
        </w:rPr>
        <w:t>𝑥</w:t>
      </w:r>
      <w:r>
        <w:rPr>
          <w:rFonts w:ascii="Cambria Math" w:hAnsi="Cambria Math" w:eastAsia="Cambria Math"/>
          <w:position w:val="5"/>
          <w:sz w:val="13"/>
        </w:rPr>
        <w:t>2 </w:t>
      </w:r>
      <w:r>
        <w:rPr>
          <w:rFonts w:ascii="Cambria Math" w:hAnsi="Cambria Math" w:eastAsia="Cambria Math"/>
        </w:rPr>
        <w:t>… </w:t>
      </w:r>
      <w:r>
        <w:rPr/>
        <w:t>(if there are multiple x-values)</w:t>
      </w:r>
    </w:p>
    <w:p>
      <w:pPr>
        <w:pStyle w:val="BodyText"/>
        <w:spacing w:line="278" w:lineRule="auto" w:before="211"/>
        <w:ind w:left="220" w:right="571"/>
      </w:pPr>
      <w:r>
        <w:rPr/>
        <w:t>where the dependent y-value is a function of the independent x-values. The m-values are bases corresponding to each exponent x-value, and b is a constant value. [</w:t>
      </w:r>
      <w:r>
        <w:rPr>
          <w:i/>
        </w:rPr>
        <w:t>Note</w:t>
      </w:r>
      <w:r>
        <w:rPr/>
        <w:t>: y, x, and m can be vectors. </w:t>
      </w:r>
      <w:r>
        <w:rPr>
          <w:i/>
        </w:rPr>
        <w:t>end note</w:t>
      </w:r>
      <w:r>
        <w:rPr/>
        <w:t>]</w:t>
      </w:r>
    </w:p>
    <w:p>
      <w:pPr>
        <w:pStyle w:val="BodyText"/>
        <w:spacing w:line="276" w:lineRule="auto" w:before="195"/>
        <w:ind w:left="220" w:right="543"/>
      </w:pPr>
      <w:r>
        <w:rPr/>
        <w:t>When there is only one independent x-variable, the y-intercept (b) values can be obtained directly by using the following formula:</w:t>
      </w:r>
    </w:p>
    <w:p>
      <w:pPr>
        <w:pStyle w:val="BodyText"/>
        <w:spacing w:before="5"/>
        <w:rPr>
          <w:sz w:val="16"/>
        </w:rPr>
      </w:pPr>
    </w:p>
    <w:p>
      <w:pPr>
        <w:spacing w:before="1"/>
        <w:ind w:left="220" w:right="0" w:firstLine="0"/>
        <w:jc w:val="left"/>
        <w:rPr>
          <w:rFonts w:ascii="Consolas"/>
          <w:sz w:val="22"/>
        </w:rPr>
      </w:pPr>
      <w:r>
        <w:rPr>
          <w:sz w:val="22"/>
        </w:rPr>
        <w:t>Y-intercept (b): </w:t>
      </w:r>
      <w:r>
        <w:rPr>
          <w:rFonts w:ascii="Consolas"/>
          <w:sz w:val="22"/>
        </w:rPr>
        <w:t>INDEX(LOGEST(</w:t>
      </w:r>
      <w:r>
        <w:rPr>
          <w:rFonts w:ascii="Times New Roman"/>
          <w:i/>
          <w:sz w:val="22"/>
        </w:rPr>
        <w:t>known-ys</w:t>
      </w:r>
      <w:r>
        <w:rPr>
          <w:rFonts w:ascii="Consolas"/>
          <w:sz w:val="22"/>
        </w:rPr>
        <w:t>,</w:t>
      </w:r>
      <w:r>
        <w:rPr>
          <w:rFonts w:ascii="Times New Roman"/>
          <w:i/>
          <w:sz w:val="22"/>
        </w:rPr>
        <w:t>known-xs</w:t>
      </w:r>
      <w:r>
        <w:rPr>
          <w:rFonts w:ascii="Consolas"/>
          <w:sz w:val="22"/>
        </w:rPr>
        <w:t>),2)</w:t>
      </w:r>
    </w:p>
    <w:p>
      <w:pPr>
        <w:pStyle w:val="BodyText"/>
        <w:spacing w:before="6"/>
        <w:rPr>
          <w:rFonts w:ascii="Consolas"/>
          <w:sz w:val="20"/>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8" w:hRule="atLeast"/>
        </w:trPr>
        <w:tc>
          <w:tcPr>
            <w:tcW w:w="1466" w:type="dxa"/>
          </w:tcPr>
          <w:p>
            <w:pPr>
              <w:pStyle w:val="TableParagraph"/>
              <w:spacing w:before="37"/>
              <w:rPr>
                <w:rFonts w:ascii="Times New Roman"/>
                <w:i/>
                <w:sz w:val="22"/>
              </w:rPr>
            </w:pPr>
            <w:r>
              <w:rPr>
                <w:rFonts w:ascii="Times New Roman"/>
                <w:i/>
                <w:sz w:val="22"/>
              </w:rPr>
              <w:t>known-ys</w:t>
            </w:r>
          </w:p>
        </w:tc>
        <w:tc>
          <w:tcPr>
            <w:tcW w:w="1800" w:type="dxa"/>
          </w:tcPr>
          <w:p>
            <w:pPr>
              <w:pStyle w:val="TableParagraph"/>
              <w:ind w:left="112"/>
              <w:rPr>
                <w:sz w:val="22"/>
              </w:rPr>
            </w:pPr>
            <w:r>
              <w:rPr>
                <w:sz w:val="22"/>
              </w:rPr>
              <w:t>array</w:t>
            </w:r>
          </w:p>
        </w:tc>
        <w:tc>
          <w:tcPr>
            <w:tcW w:w="5400" w:type="dxa"/>
          </w:tcPr>
          <w:p>
            <w:pPr>
              <w:pStyle w:val="TableParagraph"/>
              <w:ind w:left="113" w:right="248"/>
              <w:rPr>
                <w:sz w:val="22"/>
              </w:rPr>
            </w:pPr>
            <w:r>
              <w:rPr>
                <w:sz w:val="22"/>
              </w:rPr>
              <w:t>The set of y-values already known in the relationship y=b*m</w:t>
            </w:r>
            <w:r>
              <w:rPr>
                <w:sz w:val="22"/>
                <w:vertAlign w:val="superscript"/>
              </w:rPr>
              <w:t>x</w:t>
            </w:r>
            <w:r>
              <w:rPr>
                <w:sz w:val="22"/>
                <w:vertAlign w:val="baseline"/>
              </w:rPr>
              <w:t>. If the array </w:t>
            </w:r>
            <w:r>
              <w:rPr>
                <w:rFonts w:ascii="Times New Roman"/>
                <w:i/>
                <w:sz w:val="22"/>
                <w:vertAlign w:val="baseline"/>
              </w:rPr>
              <w:t>known-ys </w:t>
            </w:r>
            <w:r>
              <w:rPr>
                <w:sz w:val="22"/>
                <w:vertAlign w:val="baseline"/>
              </w:rPr>
              <w:t>is a single column, then each column of </w:t>
            </w:r>
            <w:r>
              <w:rPr>
                <w:rFonts w:ascii="Times New Roman"/>
                <w:i/>
                <w:sz w:val="22"/>
                <w:vertAlign w:val="baseline"/>
              </w:rPr>
              <w:t>known-xs </w:t>
            </w:r>
            <w:r>
              <w:rPr>
                <w:sz w:val="22"/>
                <w:vertAlign w:val="baseline"/>
              </w:rPr>
              <w:t>is interpreted as a separate variable. If the array </w:t>
            </w:r>
            <w:r>
              <w:rPr>
                <w:rFonts w:ascii="Times New Roman"/>
                <w:i/>
                <w:sz w:val="22"/>
                <w:vertAlign w:val="baseline"/>
              </w:rPr>
              <w:t>known-ys </w:t>
            </w:r>
            <w:r>
              <w:rPr>
                <w:sz w:val="22"/>
                <w:vertAlign w:val="baseline"/>
              </w:rPr>
              <w:t>is a single row, then each row of </w:t>
            </w:r>
            <w:r>
              <w:rPr>
                <w:rFonts w:ascii="Times New Roman"/>
                <w:i/>
                <w:sz w:val="22"/>
                <w:vertAlign w:val="baseline"/>
              </w:rPr>
              <w:t>known-xs </w:t>
            </w:r>
            <w:r>
              <w:rPr>
                <w:sz w:val="22"/>
                <w:vertAlign w:val="baseline"/>
              </w:rPr>
              <w:t>is interpreted as a separate variable.</w:t>
            </w:r>
          </w:p>
        </w:tc>
      </w:tr>
      <w:tr>
        <w:trPr>
          <w:trHeight w:val="2503" w:hRule="atLeast"/>
        </w:trPr>
        <w:tc>
          <w:tcPr>
            <w:tcW w:w="1466" w:type="dxa"/>
          </w:tcPr>
          <w:p>
            <w:pPr>
              <w:pStyle w:val="TableParagraph"/>
              <w:spacing w:before="37"/>
              <w:rPr>
                <w:rFonts w:ascii="Times New Roman"/>
                <w:i/>
                <w:sz w:val="22"/>
              </w:rPr>
            </w:pPr>
            <w:r>
              <w:rPr>
                <w:rFonts w:ascii="Times New Roman"/>
                <w:i/>
                <w:sz w:val="22"/>
              </w:rPr>
              <w:t>known-xs</w:t>
            </w:r>
          </w:p>
        </w:tc>
        <w:tc>
          <w:tcPr>
            <w:tcW w:w="1800" w:type="dxa"/>
          </w:tcPr>
          <w:p>
            <w:pPr>
              <w:pStyle w:val="TableParagraph"/>
              <w:ind w:left="112"/>
              <w:rPr>
                <w:sz w:val="22"/>
              </w:rPr>
            </w:pPr>
            <w:r>
              <w:rPr>
                <w:sz w:val="22"/>
              </w:rPr>
              <w:t>array</w:t>
            </w:r>
          </w:p>
        </w:tc>
        <w:tc>
          <w:tcPr>
            <w:tcW w:w="5400" w:type="dxa"/>
          </w:tcPr>
          <w:p>
            <w:pPr>
              <w:pStyle w:val="TableParagraph"/>
              <w:ind w:left="113" w:right="116"/>
              <w:rPr>
                <w:sz w:val="22"/>
              </w:rPr>
            </w:pPr>
            <w:r>
              <w:rPr>
                <w:sz w:val="22"/>
              </w:rPr>
              <w:t>An optional set of x-values that might already be known in the relationship y=b*m</w:t>
            </w:r>
            <w:r>
              <w:rPr>
                <w:sz w:val="22"/>
                <w:vertAlign w:val="superscript"/>
              </w:rPr>
              <w:t>x</w:t>
            </w:r>
            <w:r>
              <w:rPr>
                <w:sz w:val="22"/>
                <w:vertAlign w:val="baseline"/>
              </w:rPr>
              <w:t>. The array </w:t>
            </w:r>
            <w:r>
              <w:rPr>
                <w:rFonts w:ascii="Times New Roman" w:hAnsi="Times New Roman"/>
                <w:i/>
                <w:sz w:val="22"/>
                <w:vertAlign w:val="baseline"/>
              </w:rPr>
              <w:t>known-xs </w:t>
            </w:r>
            <w:r>
              <w:rPr>
                <w:sz w:val="22"/>
                <w:vertAlign w:val="baseline"/>
              </w:rPr>
              <w:t>can include one or more sets of variables. If only one variable is used, </w:t>
            </w:r>
            <w:r>
              <w:rPr>
                <w:rFonts w:ascii="Times New Roman" w:hAnsi="Times New Roman"/>
                <w:i/>
                <w:sz w:val="22"/>
                <w:vertAlign w:val="baseline"/>
              </w:rPr>
              <w:t>known-ys </w:t>
            </w:r>
            <w:r>
              <w:rPr>
                <w:sz w:val="22"/>
                <w:vertAlign w:val="baseline"/>
              </w:rPr>
              <w:t>and </w:t>
            </w:r>
            <w:r>
              <w:rPr>
                <w:rFonts w:ascii="Times New Roman" w:hAnsi="Times New Roman"/>
                <w:i/>
                <w:sz w:val="22"/>
                <w:vertAlign w:val="baseline"/>
              </w:rPr>
              <w:t>known-xs </w:t>
            </w:r>
            <w:r>
              <w:rPr>
                <w:sz w:val="22"/>
                <w:vertAlign w:val="baseline"/>
              </w:rPr>
              <w:t>can be ranges of any shape, as long as they have equal dimensions. If more than one variable is used, </w:t>
            </w:r>
            <w:r>
              <w:rPr>
                <w:rFonts w:ascii="Times New Roman" w:hAnsi="Times New Roman"/>
                <w:i/>
                <w:sz w:val="22"/>
                <w:vertAlign w:val="baseline"/>
              </w:rPr>
              <w:t>known-ys </w:t>
            </w:r>
            <w:r>
              <w:rPr>
                <w:sz w:val="22"/>
                <w:vertAlign w:val="baseline"/>
              </w:rPr>
              <w:t>shall be a vector (that is, a range with a height of one row or a width of one column). If </w:t>
            </w:r>
            <w:r>
              <w:rPr>
                <w:rFonts w:ascii="Times New Roman" w:hAnsi="Times New Roman"/>
                <w:i/>
                <w:sz w:val="22"/>
                <w:vertAlign w:val="baseline"/>
              </w:rPr>
              <w:t>known-xs </w:t>
            </w:r>
            <w:r>
              <w:rPr>
                <w:sz w:val="22"/>
                <w:vertAlign w:val="baseline"/>
              </w:rPr>
              <w:t>is omitted, it is assumed to be the array {1,2,3,…} that is the same size as </w:t>
            </w:r>
            <w:r>
              <w:rPr>
                <w:rFonts w:ascii="Times New Roman" w:hAnsi="Times New Roman"/>
                <w:i/>
                <w:sz w:val="22"/>
                <w:vertAlign w:val="baseline"/>
              </w:rPr>
              <w:t>known-ys</w:t>
            </w:r>
            <w:r>
              <w:rPr>
                <w:sz w:val="22"/>
                <w:vertAlign w:val="baseline"/>
              </w:rPr>
              <w:t>.</w:t>
            </w:r>
          </w:p>
        </w:tc>
      </w:tr>
      <w:tr>
        <w:trPr>
          <w:trHeight w:val="892" w:hRule="atLeast"/>
        </w:trPr>
        <w:tc>
          <w:tcPr>
            <w:tcW w:w="1466" w:type="dxa"/>
          </w:tcPr>
          <w:p>
            <w:pPr>
              <w:pStyle w:val="TableParagraph"/>
              <w:spacing w:before="37"/>
              <w:rPr>
                <w:rFonts w:ascii="Times New Roman"/>
                <w:i/>
                <w:sz w:val="22"/>
              </w:rPr>
            </w:pPr>
            <w:r>
              <w:rPr>
                <w:rFonts w:ascii="Times New Roman"/>
                <w:i/>
                <w:sz w:val="22"/>
              </w:rPr>
              <w:t>const-flag</w:t>
            </w:r>
          </w:p>
        </w:tc>
        <w:tc>
          <w:tcPr>
            <w:tcW w:w="1800" w:type="dxa"/>
          </w:tcPr>
          <w:p>
            <w:pPr>
              <w:pStyle w:val="TableParagraph"/>
              <w:ind w:left="112"/>
              <w:rPr>
                <w:sz w:val="22"/>
              </w:rPr>
            </w:pPr>
            <w:r>
              <w:rPr>
                <w:sz w:val="22"/>
              </w:rPr>
              <w:t>logical</w:t>
            </w:r>
          </w:p>
        </w:tc>
        <w:tc>
          <w:tcPr>
            <w:tcW w:w="5400" w:type="dxa"/>
          </w:tcPr>
          <w:p>
            <w:pPr>
              <w:pStyle w:val="TableParagraph"/>
              <w:ind w:left="113"/>
              <w:rPr>
                <w:rFonts w:ascii="Consolas"/>
                <w:sz w:val="22"/>
              </w:rPr>
            </w:pPr>
            <w:r>
              <w:rPr>
                <w:sz w:val="22"/>
              </w:rPr>
              <w:t>Specifies whether to force the constant </w:t>
            </w:r>
            <w:r>
              <w:rPr>
                <w:rFonts w:ascii="Times New Roman"/>
                <w:i/>
                <w:sz w:val="22"/>
              </w:rPr>
              <w:t>b </w:t>
            </w:r>
            <w:r>
              <w:rPr>
                <w:sz w:val="22"/>
              </w:rPr>
              <w:t>to be 1. If </w:t>
            </w:r>
            <w:r>
              <w:rPr>
                <w:rFonts w:ascii="Consolas"/>
                <w:sz w:val="22"/>
              </w:rPr>
              <w:t>TRUE</w:t>
            </w:r>
          </w:p>
          <w:p>
            <w:pPr>
              <w:pStyle w:val="TableParagraph"/>
              <w:spacing w:before="0"/>
              <w:ind w:left="113" w:right="409"/>
              <w:rPr>
                <w:sz w:val="22"/>
              </w:rPr>
            </w:pPr>
            <w:r>
              <w:rPr>
                <w:sz w:val="22"/>
              </w:rPr>
              <w:t>or omitted, </w:t>
            </w:r>
            <w:r>
              <w:rPr>
                <w:rFonts w:ascii="Times New Roman"/>
                <w:i/>
                <w:sz w:val="22"/>
              </w:rPr>
              <w:t>b </w:t>
            </w:r>
            <w:r>
              <w:rPr>
                <w:sz w:val="22"/>
              </w:rPr>
              <w:t>is calculated normally. If </w:t>
            </w:r>
            <w:r>
              <w:rPr>
                <w:rFonts w:ascii="Consolas"/>
                <w:sz w:val="22"/>
              </w:rPr>
              <w:t>FALSE</w:t>
            </w:r>
            <w:r>
              <w:rPr>
                <w:sz w:val="22"/>
              </w:rPr>
              <w:t>, </w:t>
            </w:r>
            <w:r>
              <w:rPr>
                <w:rFonts w:ascii="Times New Roman"/>
                <w:i/>
                <w:sz w:val="22"/>
              </w:rPr>
              <w:t>b </w:t>
            </w:r>
            <w:r>
              <w:rPr>
                <w:sz w:val="22"/>
              </w:rPr>
              <w:t>is set to 1, and the m-values are adjusted to fit y=m</w:t>
            </w:r>
            <w:r>
              <w:rPr>
                <w:sz w:val="22"/>
                <w:vertAlign w:val="superscript"/>
              </w:rPr>
              <w:t>x</w:t>
            </w:r>
            <w:r>
              <w:rPr>
                <w:sz w:val="22"/>
                <w:vertAlign w:val="baseline"/>
              </w:rPr>
              <w:t>.</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6" w:hRule="atLeast"/>
        </w:trPr>
        <w:tc>
          <w:tcPr>
            <w:tcW w:w="1466" w:type="dxa"/>
          </w:tcPr>
          <w:p>
            <w:pPr>
              <w:pStyle w:val="TableParagraph"/>
              <w:spacing w:before="37"/>
              <w:rPr>
                <w:rFonts w:ascii="Times New Roman"/>
                <w:i/>
                <w:sz w:val="22"/>
              </w:rPr>
            </w:pPr>
            <w:r>
              <w:rPr>
                <w:rFonts w:ascii="Times New Roman"/>
                <w:i/>
                <w:sz w:val="22"/>
              </w:rPr>
              <w:t>stats-flag</w:t>
            </w:r>
          </w:p>
        </w:tc>
        <w:tc>
          <w:tcPr>
            <w:tcW w:w="1800" w:type="dxa"/>
          </w:tcPr>
          <w:p>
            <w:pPr>
              <w:pStyle w:val="TableParagraph"/>
              <w:ind w:left="112"/>
              <w:rPr>
                <w:sz w:val="22"/>
              </w:rPr>
            </w:pPr>
            <w:r>
              <w:rPr>
                <w:sz w:val="22"/>
              </w:rPr>
              <w:t>logical</w:t>
            </w:r>
          </w:p>
        </w:tc>
        <w:tc>
          <w:tcPr>
            <w:tcW w:w="5400" w:type="dxa"/>
          </w:tcPr>
          <w:p>
            <w:pPr>
              <w:pStyle w:val="TableParagraph"/>
              <w:ind w:left="113" w:right="261"/>
              <w:rPr>
                <w:sz w:val="22"/>
              </w:rPr>
            </w:pPr>
            <w:r>
              <w:rPr>
                <w:sz w:val="22"/>
              </w:rPr>
              <w:t>Specifies whether to return additional regression statistics. If </w:t>
            </w:r>
            <w:r>
              <w:rPr>
                <w:rFonts w:ascii="Consolas"/>
                <w:sz w:val="22"/>
              </w:rPr>
              <w:t>TRUE</w:t>
            </w:r>
            <w:r>
              <w:rPr>
                <w:sz w:val="22"/>
              </w:rPr>
              <w:t>, </w:t>
            </w:r>
            <w:r>
              <w:rPr>
                <w:rFonts w:ascii="Consolas"/>
                <w:sz w:val="22"/>
              </w:rPr>
              <w:t>LOGEST </w:t>
            </w:r>
            <w:r>
              <w:rPr>
                <w:sz w:val="22"/>
              </w:rPr>
              <w:t>returns the additional regression statistics, so the returned array is {mn, mn-1,</w:t>
            </w:r>
          </w:p>
          <w:p>
            <w:pPr>
              <w:pStyle w:val="TableParagraph"/>
              <w:spacing w:before="0"/>
              <w:ind w:left="113" w:right="390"/>
              <w:rPr>
                <w:sz w:val="22"/>
              </w:rPr>
            </w:pPr>
            <w:r>
              <w:rPr>
                <w:sz w:val="22"/>
              </w:rPr>
              <w:t>…, m1, b; sen, sen-1, …, se1, seb; r2, sey; F, df; ssreg, ssresid}. If </w:t>
            </w:r>
            <w:r>
              <w:rPr>
                <w:rFonts w:ascii="Consolas" w:hAnsi="Consolas"/>
                <w:sz w:val="22"/>
              </w:rPr>
              <w:t>FALSE</w:t>
            </w:r>
            <w:r>
              <w:rPr>
                <w:rFonts w:ascii="Consolas" w:hAnsi="Consolas"/>
                <w:spacing w:val="-73"/>
                <w:sz w:val="22"/>
              </w:rPr>
              <w:t> </w:t>
            </w:r>
            <w:r>
              <w:rPr>
                <w:sz w:val="22"/>
              </w:rPr>
              <w:t>or omitted, </w:t>
            </w:r>
            <w:r>
              <w:rPr>
                <w:rFonts w:ascii="Consolas" w:hAnsi="Consolas"/>
                <w:sz w:val="22"/>
              </w:rPr>
              <w:t>LOGEST</w:t>
            </w:r>
            <w:r>
              <w:rPr>
                <w:rFonts w:ascii="Consolas" w:hAnsi="Consolas"/>
                <w:spacing w:val="-71"/>
                <w:sz w:val="22"/>
              </w:rPr>
              <w:t> </w:t>
            </w:r>
            <w:r>
              <w:rPr>
                <w:sz w:val="22"/>
              </w:rPr>
              <w:t>returns only the m-coefficients and the constant b.</w:t>
            </w:r>
          </w:p>
        </w:tc>
      </w:tr>
    </w:tbl>
    <w:p>
      <w:pPr>
        <w:pStyle w:val="BodyText"/>
        <w:rPr>
          <w:b/>
          <w:sz w:val="20"/>
        </w:rPr>
      </w:pPr>
    </w:p>
    <w:p>
      <w:pPr>
        <w:pStyle w:val="BodyText"/>
        <w:rPr>
          <w:b/>
          <w:sz w:val="17"/>
        </w:rPr>
      </w:pPr>
    </w:p>
    <w:p>
      <w:pPr>
        <w:pStyle w:val="BodyText"/>
        <w:spacing w:before="56"/>
        <w:ind w:left="220"/>
      </w:pPr>
      <w:r>
        <w:rPr/>
        <w:t>The additional regression statistics are described in §</w:t>
      </w:r>
      <w:hyperlink w:history="true" w:anchor="_bookmark658">
        <w:r>
          <w:rPr/>
          <w:t>18.17.7.195</w:t>
        </w:r>
      </w:hyperlink>
      <w:r>
        <w:rPr/>
        <w:t>.</w:t>
      </w:r>
    </w:p>
    <w:p>
      <w:pPr>
        <w:pStyle w:val="BodyText"/>
        <w:spacing w:before="6"/>
        <w:rPr>
          <w:sz w:val="19"/>
        </w:rPr>
      </w:pPr>
    </w:p>
    <w:p>
      <w:pPr>
        <w:spacing w:before="0"/>
        <w:ind w:left="220" w:right="0" w:firstLine="0"/>
        <w:jc w:val="left"/>
        <w:rPr>
          <w:sz w:val="22"/>
        </w:rPr>
      </w:pPr>
      <w:r>
        <w:rPr>
          <w:b/>
          <w:sz w:val="22"/>
        </w:rPr>
        <w:t>Return Type and Value: </w:t>
      </w:r>
      <w:r>
        <w:rPr>
          <w:sz w:val="22"/>
        </w:rPr>
        <w:t>array – The array that describes the line, in the form {mn, mn-1, …, m1, b}. The order in</w:t>
      </w:r>
    </w:p>
    <w:p>
      <w:pPr>
        <w:pStyle w:val="BodyText"/>
        <w:spacing w:line="456" w:lineRule="auto" w:before="44"/>
        <w:ind w:left="220" w:right="3021"/>
      </w:pPr>
      <w:r>
        <w:rPr/>
        <w:t>which the additional regression statistics are returned is described in §</w:t>
      </w:r>
      <w:hyperlink w:history="true" w:anchor="_bookmark658">
        <w:r>
          <w:rPr/>
          <w:t>18.17.7.195</w:t>
        </w:r>
      </w:hyperlink>
      <w:r>
        <w:rPr/>
        <w:t>. [</w:t>
      </w:r>
      <w:r>
        <w:rPr>
          <w:i/>
        </w:rPr>
        <w:t>Example</w:t>
      </w:r>
      <w:r>
        <w:rPr/>
        <w:t>: Given the following 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718"/>
        <w:gridCol w:w="2881"/>
      </w:tblGrid>
      <w:tr>
        <w:trPr>
          <w:trHeight w:val="354" w:hRule="atLeast"/>
        </w:trPr>
        <w:tc>
          <w:tcPr>
            <w:tcW w:w="468" w:type="dxa"/>
            <w:shd w:val="clear" w:color="auto" w:fill="C0C0C0"/>
          </w:tcPr>
          <w:p>
            <w:pPr>
              <w:pStyle w:val="TableParagraph"/>
              <w:spacing w:before="0"/>
              <w:ind w:left="0"/>
              <w:rPr>
                <w:rFonts w:ascii="Times New Roman"/>
                <w:sz w:val="20"/>
              </w:rPr>
            </w:pPr>
          </w:p>
        </w:tc>
        <w:tc>
          <w:tcPr>
            <w:tcW w:w="1718" w:type="dxa"/>
            <w:shd w:val="clear" w:color="auto" w:fill="C0C0C0"/>
          </w:tcPr>
          <w:p>
            <w:pPr>
              <w:pStyle w:val="TableParagraph"/>
              <w:ind w:left="9"/>
              <w:jc w:val="center"/>
              <w:rPr>
                <w:b/>
                <w:sz w:val="22"/>
              </w:rPr>
            </w:pPr>
            <w:r>
              <w:rPr>
                <w:b/>
                <w:w w:val="100"/>
                <w:sz w:val="22"/>
              </w:rPr>
              <w:t>A</w:t>
            </w:r>
          </w:p>
        </w:tc>
        <w:tc>
          <w:tcPr>
            <w:tcW w:w="2881" w:type="dxa"/>
            <w:shd w:val="clear" w:color="auto" w:fill="C0C0C0"/>
          </w:tcPr>
          <w:p>
            <w:pPr>
              <w:pStyle w:val="TableParagraph"/>
              <w:ind w:left="4"/>
              <w:jc w:val="center"/>
              <w:rPr>
                <w:b/>
                <w:sz w:val="22"/>
              </w:rPr>
            </w:pPr>
            <w:r>
              <w:rPr>
                <w:b/>
                <w:w w:val="100"/>
                <w:sz w:val="22"/>
              </w:rPr>
              <w:t>B</w:t>
            </w:r>
          </w:p>
        </w:tc>
      </w:tr>
      <w:tr>
        <w:trPr>
          <w:trHeight w:val="354" w:hRule="atLeast"/>
        </w:trPr>
        <w:tc>
          <w:tcPr>
            <w:tcW w:w="468" w:type="dxa"/>
          </w:tcPr>
          <w:p>
            <w:pPr>
              <w:pStyle w:val="TableParagraph"/>
              <w:rPr>
                <w:sz w:val="22"/>
              </w:rPr>
            </w:pPr>
            <w:r>
              <w:rPr>
                <w:w w:val="100"/>
                <w:sz w:val="22"/>
              </w:rPr>
              <w:t>1</w:t>
            </w:r>
          </w:p>
        </w:tc>
        <w:tc>
          <w:tcPr>
            <w:tcW w:w="1718" w:type="dxa"/>
          </w:tcPr>
          <w:p>
            <w:pPr>
              <w:pStyle w:val="TableParagraph"/>
              <w:ind w:left="114"/>
              <w:rPr>
                <w:sz w:val="22"/>
              </w:rPr>
            </w:pPr>
            <w:r>
              <w:rPr>
                <w:sz w:val="22"/>
              </w:rPr>
              <w:t>Month</w:t>
            </w:r>
          </w:p>
        </w:tc>
        <w:tc>
          <w:tcPr>
            <w:tcW w:w="2881" w:type="dxa"/>
          </w:tcPr>
          <w:p>
            <w:pPr>
              <w:pStyle w:val="TableParagraph"/>
              <w:ind w:left="112"/>
              <w:rPr>
                <w:sz w:val="22"/>
              </w:rPr>
            </w:pPr>
            <w:r>
              <w:rPr>
                <w:sz w:val="22"/>
              </w:rPr>
              <w:t>Units</w:t>
            </w:r>
          </w:p>
        </w:tc>
      </w:tr>
      <w:tr>
        <w:trPr>
          <w:trHeight w:val="354" w:hRule="atLeast"/>
        </w:trPr>
        <w:tc>
          <w:tcPr>
            <w:tcW w:w="468" w:type="dxa"/>
          </w:tcPr>
          <w:p>
            <w:pPr>
              <w:pStyle w:val="TableParagraph"/>
              <w:rPr>
                <w:sz w:val="22"/>
              </w:rPr>
            </w:pPr>
            <w:r>
              <w:rPr>
                <w:w w:val="100"/>
                <w:sz w:val="22"/>
              </w:rPr>
              <w:t>2</w:t>
            </w:r>
          </w:p>
        </w:tc>
        <w:tc>
          <w:tcPr>
            <w:tcW w:w="1718" w:type="dxa"/>
          </w:tcPr>
          <w:p>
            <w:pPr>
              <w:pStyle w:val="TableParagraph"/>
              <w:ind w:left="114"/>
              <w:rPr>
                <w:sz w:val="22"/>
              </w:rPr>
            </w:pPr>
            <w:r>
              <w:rPr>
                <w:sz w:val="22"/>
              </w:rPr>
              <w:t>11</w:t>
            </w:r>
          </w:p>
        </w:tc>
        <w:tc>
          <w:tcPr>
            <w:tcW w:w="2881" w:type="dxa"/>
          </w:tcPr>
          <w:p>
            <w:pPr>
              <w:pStyle w:val="TableParagraph"/>
              <w:ind w:left="112"/>
              <w:rPr>
                <w:sz w:val="22"/>
              </w:rPr>
            </w:pPr>
            <w:r>
              <w:rPr>
                <w:sz w:val="22"/>
              </w:rPr>
              <w:t>33,100</w:t>
            </w:r>
          </w:p>
        </w:tc>
      </w:tr>
      <w:tr>
        <w:trPr>
          <w:trHeight w:val="354" w:hRule="atLeast"/>
        </w:trPr>
        <w:tc>
          <w:tcPr>
            <w:tcW w:w="468" w:type="dxa"/>
          </w:tcPr>
          <w:p>
            <w:pPr>
              <w:pStyle w:val="TableParagraph"/>
              <w:rPr>
                <w:sz w:val="22"/>
              </w:rPr>
            </w:pPr>
            <w:r>
              <w:rPr>
                <w:w w:val="100"/>
                <w:sz w:val="22"/>
              </w:rPr>
              <w:t>3</w:t>
            </w:r>
          </w:p>
        </w:tc>
        <w:tc>
          <w:tcPr>
            <w:tcW w:w="1718" w:type="dxa"/>
          </w:tcPr>
          <w:p>
            <w:pPr>
              <w:pStyle w:val="TableParagraph"/>
              <w:ind w:left="114"/>
              <w:rPr>
                <w:sz w:val="22"/>
              </w:rPr>
            </w:pPr>
            <w:r>
              <w:rPr>
                <w:sz w:val="22"/>
              </w:rPr>
              <w:t>12</w:t>
            </w:r>
          </w:p>
        </w:tc>
        <w:tc>
          <w:tcPr>
            <w:tcW w:w="2881" w:type="dxa"/>
          </w:tcPr>
          <w:p>
            <w:pPr>
              <w:pStyle w:val="TableParagraph"/>
              <w:ind w:left="112"/>
              <w:rPr>
                <w:sz w:val="22"/>
              </w:rPr>
            </w:pPr>
            <w:r>
              <w:rPr>
                <w:sz w:val="22"/>
              </w:rPr>
              <w:t>47,300</w:t>
            </w:r>
          </w:p>
        </w:tc>
      </w:tr>
      <w:tr>
        <w:trPr>
          <w:trHeight w:val="354" w:hRule="atLeast"/>
        </w:trPr>
        <w:tc>
          <w:tcPr>
            <w:tcW w:w="468" w:type="dxa"/>
          </w:tcPr>
          <w:p>
            <w:pPr>
              <w:pStyle w:val="TableParagraph"/>
              <w:rPr>
                <w:sz w:val="22"/>
              </w:rPr>
            </w:pPr>
            <w:r>
              <w:rPr>
                <w:w w:val="100"/>
                <w:sz w:val="22"/>
              </w:rPr>
              <w:t>4</w:t>
            </w:r>
          </w:p>
        </w:tc>
        <w:tc>
          <w:tcPr>
            <w:tcW w:w="1718" w:type="dxa"/>
          </w:tcPr>
          <w:p>
            <w:pPr>
              <w:pStyle w:val="TableParagraph"/>
              <w:ind w:left="114"/>
              <w:rPr>
                <w:sz w:val="22"/>
              </w:rPr>
            </w:pPr>
            <w:r>
              <w:rPr>
                <w:sz w:val="22"/>
              </w:rPr>
              <w:t>13</w:t>
            </w:r>
          </w:p>
        </w:tc>
        <w:tc>
          <w:tcPr>
            <w:tcW w:w="2881" w:type="dxa"/>
          </w:tcPr>
          <w:p>
            <w:pPr>
              <w:pStyle w:val="TableParagraph"/>
              <w:ind w:left="112"/>
              <w:rPr>
                <w:sz w:val="22"/>
              </w:rPr>
            </w:pPr>
            <w:r>
              <w:rPr>
                <w:sz w:val="22"/>
              </w:rPr>
              <w:t>69,000</w:t>
            </w:r>
          </w:p>
        </w:tc>
      </w:tr>
      <w:tr>
        <w:trPr>
          <w:trHeight w:val="352" w:hRule="atLeast"/>
        </w:trPr>
        <w:tc>
          <w:tcPr>
            <w:tcW w:w="468" w:type="dxa"/>
          </w:tcPr>
          <w:p>
            <w:pPr>
              <w:pStyle w:val="TableParagraph"/>
              <w:rPr>
                <w:sz w:val="22"/>
              </w:rPr>
            </w:pPr>
            <w:r>
              <w:rPr>
                <w:w w:val="100"/>
                <w:sz w:val="22"/>
              </w:rPr>
              <w:t>5</w:t>
            </w:r>
          </w:p>
        </w:tc>
        <w:tc>
          <w:tcPr>
            <w:tcW w:w="1718" w:type="dxa"/>
          </w:tcPr>
          <w:p>
            <w:pPr>
              <w:pStyle w:val="TableParagraph"/>
              <w:ind w:left="114"/>
              <w:rPr>
                <w:sz w:val="22"/>
              </w:rPr>
            </w:pPr>
            <w:r>
              <w:rPr>
                <w:sz w:val="22"/>
              </w:rPr>
              <w:t>14</w:t>
            </w:r>
          </w:p>
        </w:tc>
        <w:tc>
          <w:tcPr>
            <w:tcW w:w="2881" w:type="dxa"/>
          </w:tcPr>
          <w:p>
            <w:pPr>
              <w:pStyle w:val="TableParagraph"/>
              <w:ind w:left="112"/>
              <w:rPr>
                <w:sz w:val="22"/>
              </w:rPr>
            </w:pPr>
            <w:r>
              <w:rPr>
                <w:sz w:val="22"/>
              </w:rPr>
              <w:t>102,000</w:t>
            </w:r>
          </w:p>
        </w:tc>
      </w:tr>
      <w:tr>
        <w:trPr>
          <w:trHeight w:val="354" w:hRule="atLeast"/>
        </w:trPr>
        <w:tc>
          <w:tcPr>
            <w:tcW w:w="468" w:type="dxa"/>
          </w:tcPr>
          <w:p>
            <w:pPr>
              <w:pStyle w:val="TableParagraph"/>
              <w:spacing w:before="42"/>
              <w:rPr>
                <w:sz w:val="22"/>
              </w:rPr>
            </w:pPr>
            <w:r>
              <w:rPr>
                <w:w w:val="100"/>
                <w:sz w:val="22"/>
              </w:rPr>
              <w:t>6</w:t>
            </w:r>
          </w:p>
        </w:tc>
        <w:tc>
          <w:tcPr>
            <w:tcW w:w="1718" w:type="dxa"/>
          </w:tcPr>
          <w:p>
            <w:pPr>
              <w:pStyle w:val="TableParagraph"/>
              <w:spacing w:before="42"/>
              <w:ind w:left="114"/>
              <w:rPr>
                <w:sz w:val="22"/>
              </w:rPr>
            </w:pPr>
            <w:r>
              <w:rPr>
                <w:sz w:val="22"/>
              </w:rPr>
              <w:t>15</w:t>
            </w:r>
          </w:p>
        </w:tc>
        <w:tc>
          <w:tcPr>
            <w:tcW w:w="2881" w:type="dxa"/>
          </w:tcPr>
          <w:p>
            <w:pPr>
              <w:pStyle w:val="TableParagraph"/>
              <w:spacing w:before="42"/>
              <w:ind w:left="112"/>
              <w:rPr>
                <w:sz w:val="22"/>
              </w:rPr>
            </w:pPr>
            <w:r>
              <w:rPr>
                <w:sz w:val="22"/>
              </w:rPr>
              <w:t>150,000</w:t>
            </w:r>
          </w:p>
        </w:tc>
      </w:tr>
      <w:tr>
        <w:trPr>
          <w:trHeight w:val="355" w:hRule="atLeast"/>
        </w:trPr>
        <w:tc>
          <w:tcPr>
            <w:tcW w:w="468" w:type="dxa"/>
          </w:tcPr>
          <w:p>
            <w:pPr>
              <w:pStyle w:val="TableParagraph"/>
              <w:rPr>
                <w:sz w:val="22"/>
              </w:rPr>
            </w:pPr>
            <w:r>
              <w:rPr>
                <w:w w:val="100"/>
                <w:sz w:val="22"/>
              </w:rPr>
              <w:t>7</w:t>
            </w:r>
          </w:p>
        </w:tc>
        <w:tc>
          <w:tcPr>
            <w:tcW w:w="1718" w:type="dxa"/>
          </w:tcPr>
          <w:p>
            <w:pPr>
              <w:pStyle w:val="TableParagraph"/>
              <w:ind w:left="114"/>
              <w:rPr>
                <w:sz w:val="22"/>
              </w:rPr>
            </w:pPr>
            <w:r>
              <w:rPr>
                <w:sz w:val="22"/>
              </w:rPr>
              <w:t>16</w:t>
            </w:r>
          </w:p>
        </w:tc>
        <w:tc>
          <w:tcPr>
            <w:tcW w:w="2881" w:type="dxa"/>
          </w:tcPr>
          <w:p>
            <w:pPr>
              <w:pStyle w:val="TableParagraph"/>
              <w:ind w:left="112"/>
              <w:rPr>
                <w:sz w:val="22"/>
              </w:rPr>
            </w:pPr>
            <w:r>
              <w:rPr>
                <w:sz w:val="22"/>
              </w:rPr>
              <w:t>220,000</w:t>
            </w:r>
          </w:p>
        </w:tc>
      </w:tr>
      <w:tr>
        <w:trPr>
          <w:trHeight w:val="354" w:hRule="atLeast"/>
        </w:trPr>
        <w:tc>
          <w:tcPr>
            <w:tcW w:w="468" w:type="dxa"/>
          </w:tcPr>
          <w:p>
            <w:pPr>
              <w:pStyle w:val="TableParagraph"/>
              <w:rPr>
                <w:sz w:val="22"/>
              </w:rPr>
            </w:pPr>
            <w:r>
              <w:rPr>
                <w:w w:val="100"/>
                <w:sz w:val="22"/>
              </w:rPr>
              <w:t>8</w:t>
            </w:r>
          </w:p>
        </w:tc>
        <w:tc>
          <w:tcPr>
            <w:tcW w:w="1718" w:type="dxa"/>
          </w:tcPr>
          <w:p>
            <w:pPr>
              <w:pStyle w:val="TableParagraph"/>
              <w:ind w:left="114"/>
              <w:rPr>
                <w:sz w:val="22"/>
              </w:rPr>
            </w:pPr>
            <w:r>
              <w:rPr>
                <w:sz w:val="22"/>
              </w:rPr>
              <w:t>Formula</w:t>
            </w:r>
          </w:p>
        </w:tc>
        <w:tc>
          <w:tcPr>
            <w:tcW w:w="2881" w:type="dxa"/>
          </w:tcPr>
          <w:p>
            <w:pPr>
              <w:pStyle w:val="TableParagraph"/>
              <w:spacing w:before="0"/>
              <w:ind w:left="0"/>
              <w:rPr>
                <w:rFonts w:ascii="Times New Roman"/>
                <w:sz w:val="20"/>
              </w:rPr>
            </w:pPr>
          </w:p>
        </w:tc>
      </w:tr>
      <w:tr>
        <w:trPr>
          <w:trHeight w:val="354" w:hRule="atLeast"/>
        </w:trPr>
        <w:tc>
          <w:tcPr>
            <w:tcW w:w="468" w:type="dxa"/>
          </w:tcPr>
          <w:p>
            <w:pPr>
              <w:pStyle w:val="TableParagraph"/>
              <w:rPr>
                <w:sz w:val="22"/>
              </w:rPr>
            </w:pPr>
            <w:r>
              <w:rPr>
                <w:w w:val="100"/>
                <w:sz w:val="22"/>
              </w:rPr>
              <w:t>9</w:t>
            </w:r>
          </w:p>
        </w:tc>
        <w:tc>
          <w:tcPr>
            <w:tcW w:w="1718" w:type="dxa"/>
          </w:tcPr>
          <w:p>
            <w:pPr>
              <w:pStyle w:val="TableParagraph"/>
              <w:ind w:left="114"/>
              <w:rPr>
                <w:sz w:val="22"/>
              </w:rPr>
            </w:pPr>
            <w:r>
              <w:rPr>
                <w:sz w:val="22"/>
              </w:rPr>
              <w:t>1.463275628</w:t>
            </w:r>
          </w:p>
        </w:tc>
        <w:tc>
          <w:tcPr>
            <w:tcW w:w="2881" w:type="dxa"/>
          </w:tcPr>
          <w:p>
            <w:pPr>
              <w:pStyle w:val="TableParagraph"/>
              <w:ind w:left="112"/>
              <w:rPr>
                <w:sz w:val="22"/>
              </w:rPr>
            </w:pPr>
            <w:r>
              <w:rPr>
                <w:sz w:val="22"/>
              </w:rPr>
              <w:t>495.3047702</w:t>
            </w:r>
          </w:p>
        </w:tc>
      </w:tr>
    </w:tbl>
    <w:p>
      <w:pPr>
        <w:pStyle w:val="BodyText"/>
        <w:spacing w:before="11"/>
        <w:rPr>
          <w:sz w:val="24"/>
        </w:rPr>
      </w:pPr>
    </w:p>
    <w:p>
      <w:pPr>
        <w:pStyle w:val="BodyText"/>
        <w:spacing w:line="276" w:lineRule="auto"/>
        <w:ind w:left="220"/>
      </w:pPr>
      <w:r>
        <w:rPr/>
        <w:t>When </w:t>
      </w:r>
      <w:r>
        <w:rPr>
          <w:rFonts w:ascii="Consolas"/>
        </w:rPr>
        <w:t>LOGEST(B2:B7,A2:A7,TRUE,FALSE)</w:t>
      </w:r>
      <w:r>
        <w:rPr>
          <w:rFonts w:ascii="Consolas"/>
          <w:spacing w:val="-105"/>
        </w:rPr>
        <w:t> </w:t>
      </w:r>
      <w:r>
        <w:rPr/>
        <w:t>is an array formula spanning cells A9:B9, those cells take on the results shown.</w:t>
      </w:r>
    </w:p>
    <w:p>
      <w:pPr>
        <w:pStyle w:val="BodyText"/>
        <w:spacing w:before="6"/>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0 LOGINV" w:id="1992"/>
      <w:bookmarkEnd w:id="1992"/>
      <w:r>
        <w:rPr/>
      </w:r>
      <w:bookmarkStart w:name="_bookmark663" w:id="1993"/>
      <w:bookmarkEnd w:id="1993"/>
      <w:r>
        <w:rPr/>
      </w:r>
      <w:bookmarkStart w:name="_bookmark663" w:id="1994"/>
      <w:bookmarkEnd w:id="1994"/>
      <w:r>
        <w:rPr>
          <w:color w:val="4F81BC"/>
        </w:rPr>
        <w:t>L</w:t>
      </w:r>
      <w:r>
        <w:rPr>
          <w:color w:val="4F81BC"/>
        </w:rPr>
        <w:t>OGINV</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LOGINV ( </w:t>
      </w:r>
      <w:r>
        <w:rPr>
          <w:i/>
          <w:sz w:val="22"/>
        </w:rPr>
        <w:t>probability </w:t>
      </w:r>
      <w:r>
        <w:rPr>
          <w:rFonts w:ascii="Lucida Console"/>
          <w:sz w:val="20"/>
        </w:rPr>
        <w:t>, </w:t>
      </w:r>
      <w:r>
        <w:rPr>
          <w:i/>
          <w:sz w:val="22"/>
        </w:rPr>
        <w:t>mean </w:t>
      </w:r>
      <w:r>
        <w:rPr>
          <w:rFonts w:ascii="Lucida Console"/>
          <w:sz w:val="20"/>
        </w:rPr>
        <w:t>,</w:t>
      </w:r>
      <w:r>
        <w:rPr>
          <w:rFonts w:ascii="Lucida Console"/>
          <w:spacing w:val="-89"/>
          <w:sz w:val="20"/>
        </w:rPr>
        <w:t> </w:t>
      </w:r>
      <w:r>
        <w:rPr>
          <w:i/>
          <w:sz w:val="22"/>
        </w:rPr>
        <w:t>standard-dev </w:t>
      </w:r>
      <w:r>
        <w:rPr>
          <w:rFonts w:ascii="Lucida Console"/>
          <w:sz w:val="20"/>
        </w:rPr>
        <w:t>)</w:t>
      </w:r>
    </w:p>
    <w:p>
      <w:pPr>
        <w:pStyle w:val="BodyText"/>
        <w:spacing w:line="278" w:lineRule="auto" w:before="106"/>
        <w:ind w:left="220" w:right="1183"/>
      </w:pPr>
      <w:r>
        <w:rPr>
          <w:b/>
        </w:rPr>
        <w:t>Description: </w:t>
      </w:r>
      <w:r>
        <w:rPr/>
        <w:t>Calculates the inverse of the lognormal cumulative distribution function of x, where ln(x) is normally distributed with parameters </w:t>
      </w:r>
      <w:r>
        <w:rPr>
          <w:rFonts w:ascii="Times New Roman"/>
          <w:i/>
        </w:rPr>
        <w:t>mean </w:t>
      </w:r>
      <w:r>
        <w:rPr/>
        <w:t>and </w:t>
      </w:r>
      <w:r>
        <w:rPr>
          <w:rFonts w:ascii="Times New Roman"/>
          <w:i/>
        </w:rPr>
        <w:t>standard-dev</w:t>
      </w:r>
      <w:r>
        <w:rPr/>
        <w:t>.</w:t>
      </w:r>
    </w:p>
    <w:p>
      <w:pPr>
        <w:pStyle w:val="Heading4"/>
        <w:spacing w:before="198"/>
        <w:rPr>
          <w:b w:val="0"/>
        </w:rPr>
      </w:pPr>
      <w:r>
        <w:rPr/>
        <w:t>Mathematical Formula</w:t>
      </w:r>
      <w:r>
        <w:rPr>
          <w:b w:val="0"/>
        </w:rPr>
        <w:t>:</w:t>
      </w:r>
    </w:p>
    <w:p>
      <w:pPr>
        <w:pStyle w:val="BodyText"/>
        <w:rPr>
          <w:sz w:val="21"/>
        </w:rPr>
      </w:pPr>
    </w:p>
    <w:p>
      <w:pPr>
        <w:spacing w:before="0"/>
        <w:ind w:left="220" w:right="0" w:firstLine="0"/>
        <w:jc w:val="left"/>
        <w:rPr>
          <w:rFonts w:ascii="Cambria Math" w:hAnsi="Cambria Math" w:eastAsia="Cambria Math"/>
          <w:sz w:val="16"/>
        </w:rPr>
      </w:pPr>
      <w:r>
        <w:rPr>
          <w:rFonts w:ascii="Cambria Math" w:hAnsi="Cambria Math" w:eastAsia="Cambria Math"/>
          <w:position w:val="-7"/>
          <w:sz w:val="22"/>
        </w:rPr>
        <w:t>𝐿𝑂𝐺𝐼𝑁𝑉</w:t>
      </w:r>
      <w:r>
        <w:rPr>
          <w:rFonts w:ascii="Cambria Math" w:hAnsi="Cambria Math" w:eastAsia="Cambria Math"/>
          <w:position w:val="-6"/>
          <w:sz w:val="22"/>
        </w:rPr>
        <w:t>(</w:t>
      </w:r>
      <w:r>
        <w:rPr>
          <w:rFonts w:ascii="Cambria Math" w:hAnsi="Cambria Math" w:eastAsia="Cambria Math"/>
          <w:position w:val="-7"/>
          <w:sz w:val="22"/>
        </w:rPr>
        <w:t>𝑝, 𝜇, 𝜎</w:t>
      </w:r>
      <w:r>
        <w:rPr>
          <w:rFonts w:ascii="Cambria Math" w:hAnsi="Cambria Math" w:eastAsia="Cambria Math"/>
          <w:position w:val="-6"/>
          <w:sz w:val="22"/>
        </w:rPr>
        <w:t>) </w:t>
      </w:r>
      <w:r>
        <w:rPr>
          <w:rFonts w:ascii="Cambria Math" w:hAnsi="Cambria Math" w:eastAsia="Cambria Math"/>
          <w:position w:val="-7"/>
          <w:sz w:val="22"/>
        </w:rPr>
        <w:t>= 𝑒</w:t>
      </w:r>
      <w:r>
        <w:rPr>
          <w:rFonts w:ascii="Cambria Math" w:hAnsi="Cambria Math" w:eastAsia="Cambria Math"/>
          <w:sz w:val="16"/>
        </w:rPr>
        <w:t>[𝜇+𝜎×(𝑁𝑂𝑅𝑀𝑆𝐼𝑁𝑉</w:t>
      </w:r>
      <w:r>
        <w:rPr>
          <w:rFonts w:ascii="Cambria Math" w:hAnsi="Cambria Math" w:eastAsia="Cambria Math"/>
          <w:position w:val="1"/>
          <w:sz w:val="16"/>
        </w:rPr>
        <w:t>(</w:t>
      </w:r>
      <w:r>
        <w:rPr>
          <w:rFonts w:ascii="Cambria Math" w:hAnsi="Cambria Math" w:eastAsia="Cambria Math"/>
          <w:sz w:val="16"/>
        </w:rPr>
        <w:t>𝑝</w:t>
      </w:r>
      <w:r>
        <w:rPr>
          <w:rFonts w:ascii="Cambria Math" w:hAnsi="Cambria Math" w:eastAsia="Cambria Math"/>
          <w:position w:val="1"/>
          <w:sz w:val="16"/>
        </w:rPr>
        <w:t>)</w:t>
      </w:r>
      <w:r>
        <w:rPr>
          <w:rFonts w:ascii="Cambria Math" w:hAnsi="Cambria Math" w:eastAsia="Cambria Math"/>
          <w:sz w:val="16"/>
        </w:rPr>
        <w:t>)]</w:t>
      </w:r>
    </w:p>
    <w:p>
      <w:pPr>
        <w:spacing w:after="0"/>
        <w:jc w:val="left"/>
        <w:rPr>
          <w:rFonts w:ascii="Cambria Math" w:hAnsi="Cambria Math" w:eastAsia="Cambria Math"/>
          <w:sz w:val="16"/>
        </w:rPr>
        <w:sectPr>
          <w:pgSz w:w="12240" w:h="15840"/>
          <w:pgMar w:header="763" w:footer="746" w:top="1340" w:bottom="940" w:left="860" w:right="700"/>
        </w:sectPr>
      </w:pPr>
    </w:p>
    <w:p>
      <w:pPr>
        <w:pStyle w:val="BodyText"/>
        <w:spacing w:before="93"/>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p </w:t>
      </w:r>
      <w:r>
        <w:rPr>
          <w:sz w:val="22"/>
        </w:rPr>
        <w:t>= argument </w:t>
      </w:r>
      <w:r>
        <w:rPr>
          <w:rFonts w:ascii="Times New Roman" w:hAnsi="Times New Roman"/>
          <w:i/>
          <w:sz w:val="22"/>
        </w:rPr>
        <w:t>probability</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µ = argument</w:t>
      </w:r>
      <w:r>
        <w:rPr>
          <w:spacing w:val="4"/>
          <w:sz w:val="22"/>
        </w:rPr>
        <w:t> </w:t>
      </w:r>
      <w:r>
        <w:rPr>
          <w:rFonts w:ascii="Times New Roman" w:hAnsi="Times New Roman"/>
          <w:i/>
          <w:sz w:val="22"/>
        </w:rPr>
        <w:t>mean</w:t>
      </w:r>
    </w:p>
    <w:p>
      <w:pPr>
        <w:pStyle w:val="ListParagraph"/>
        <w:numPr>
          <w:ilvl w:val="4"/>
          <w:numId w:val="66"/>
        </w:numPr>
        <w:tabs>
          <w:tab w:pos="940" w:val="left" w:leader="none"/>
          <w:tab w:pos="941" w:val="left" w:leader="none"/>
        </w:tabs>
        <w:spacing w:line="240" w:lineRule="auto" w:before="38" w:after="0"/>
        <w:ind w:left="940" w:right="0" w:hanging="361"/>
        <w:jc w:val="left"/>
        <w:rPr>
          <w:rFonts w:ascii="Times New Roman" w:hAnsi="Times New Roman"/>
          <w:i/>
          <w:sz w:val="22"/>
        </w:rPr>
      </w:pPr>
      <w:r>
        <w:rPr>
          <w:sz w:val="22"/>
        </w:rPr>
        <w:t>σ = argument</w:t>
      </w:r>
      <w:r>
        <w:rPr>
          <w:spacing w:val="3"/>
          <w:sz w:val="22"/>
        </w:rPr>
        <w:t> </w:t>
      </w:r>
      <w:r>
        <w:rPr>
          <w:rFonts w:ascii="Times New Roman" w:hAnsi="Times New Roman"/>
          <w:i/>
          <w:sz w:val="22"/>
        </w:rPr>
        <w:t>standard-dev</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probability associated with the lognormal distribution.</w:t>
            </w:r>
          </w:p>
        </w:tc>
      </w:tr>
      <w:tr>
        <w:trPr>
          <w:trHeight w:val="354" w:hRule="atLeast"/>
        </w:trPr>
        <w:tc>
          <w:tcPr>
            <w:tcW w:w="1466" w:type="dxa"/>
          </w:tcPr>
          <w:p>
            <w:pPr>
              <w:pStyle w:val="TableParagraph"/>
              <w:spacing w:before="37"/>
              <w:rPr>
                <w:rFonts w:ascii="Times New Roman"/>
                <w:i/>
                <w:sz w:val="22"/>
              </w:rPr>
            </w:pPr>
            <w:r>
              <w:rPr>
                <w:rFonts w:ascii="Times New Roman"/>
                <w:i/>
                <w:sz w:val="22"/>
              </w:rPr>
              <w:t>mean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mean of ln(x).</w:t>
            </w:r>
          </w:p>
        </w:tc>
      </w:tr>
      <w:tr>
        <w:trPr>
          <w:trHeight w:val="354" w:hRule="atLeast"/>
        </w:trPr>
        <w:tc>
          <w:tcPr>
            <w:tcW w:w="1466" w:type="dxa"/>
          </w:tcPr>
          <w:p>
            <w:pPr>
              <w:pStyle w:val="TableParagraph"/>
              <w:spacing w:before="37"/>
              <w:rPr>
                <w:rFonts w:ascii="Times New Roman"/>
                <w:i/>
                <w:sz w:val="22"/>
              </w:rPr>
            </w:pPr>
            <w:r>
              <w:rPr>
                <w:rFonts w:ascii="Times New Roman"/>
                <w:i/>
                <w:sz w:val="22"/>
              </w:rPr>
              <w:t>standard-dev</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standard deviation of ln(x).</w:t>
            </w:r>
          </w:p>
        </w:tc>
      </w:tr>
    </w:tbl>
    <w:p>
      <w:pPr>
        <w:pStyle w:val="BodyText"/>
        <w:rPr>
          <w:b/>
        </w:rPr>
      </w:pPr>
    </w:p>
    <w:p>
      <w:pPr>
        <w:pStyle w:val="BodyText"/>
        <w:spacing w:before="8"/>
        <w:rPr>
          <w:b/>
          <w:sz w:val="19"/>
        </w:rPr>
      </w:pPr>
    </w:p>
    <w:p>
      <w:pPr>
        <w:spacing w:line="453" w:lineRule="auto" w:before="0"/>
        <w:ind w:left="220" w:right="1400" w:firstLine="0"/>
        <w:jc w:val="left"/>
        <w:rPr>
          <w:sz w:val="22"/>
        </w:rPr>
      </w:pPr>
      <w:r>
        <w:rPr>
          <w:b/>
          <w:sz w:val="22"/>
        </w:rPr>
        <w:t>Return Type and Value: </w:t>
      </w:r>
      <w:r>
        <w:rPr>
          <w:sz w:val="22"/>
        </w:rPr>
        <w:t>number – The inverse of the lognormal cumulative distribution function of x.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probability </w:t>
      </w:r>
      <w:r>
        <w:rPr>
          <w:sz w:val="22"/>
        </w:rPr>
        <w:t>≤ 0 or </w:t>
      </w:r>
      <w:r>
        <w:rPr>
          <w:rFonts w:ascii="Times New Roman" w:hAnsi="Times New Roman"/>
          <w:i/>
          <w:sz w:val="22"/>
        </w:rPr>
        <w:t>probability </w:t>
      </w:r>
      <w:r>
        <w:rPr>
          <w:sz w:val="22"/>
        </w:rPr>
        <w:t>≥ 1,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459" w:firstLine="360"/>
        <w:jc w:val="left"/>
        <w:rPr>
          <w:sz w:val="22"/>
        </w:rPr>
      </w:pPr>
      <w:r>
        <w:rPr>
          <w:rFonts w:ascii="Times New Roman" w:hAnsi="Times New Roman"/>
          <w:i/>
          <w:sz w:val="22"/>
        </w:rPr>
        <w:t>standard-dev </w:t>
      </w:r>
      <w:r>
        <w:rPr>
          <w:sz w:val="22"/>
        </w:rPr>
        <w:t>≤ 0, </w:t>
      </w:r>
      <w:r>
        <w:rPr>
          <w:rFonts w:ascii="Consolas" w:hAnsi="Consolas"/>
          <w:sz w:val="22"/>
        </w:rPr>
        <w:t>#NUM!</w:t>
      </w:r>
      <w:r>
        <w:rPr>
          <w:rFonts w:ascii="Consolas" w:hAnsi="Consolas"/>
          <w:spacing w:val="-85"/>
          <w:sz w:val="22"/>
        </w:rPr>
        <w:t> </w:t>
      </w:r>
      <w:r>
        <w:rPr>
          <w:sz w:val="22"/>
        </w:rPr>
        <w:t>is returned. [</w:t>
      </w:r>
      <w:r>
        <w:rPr>
          <w:i/>
          <w:sz w:val="22"/>
        </w:rPr>
        <w:t>Example</w:t>
      </w:r>
      <w:r>
        <w:rPr>
          <w:sz w:val="22"/>
        </w:rPr>
        <w:t>:</w:t>
      </w:r>
    </w:p>
    <w:p>
      <w:pPr>
        <w:pStyle w:val="BodyText"/>
        <w:spacing w:before="128"/>
        <w:ind w:left="220"/>
        <w:rPr>
          <w:rFonts w:ascii="Consolas"/>
        </w:rPr>
      </w:pPr>
      <w:r>
        <w:rPr>
          <w:rFonts w:ascii="Consolas"/>
        </w:rPr>
        <w:t>LOGINV(0.039084,3.5,1.2)</w:t>
      </w:r>
      <w:r>
        <w:rPr>
          <w:rFonts w:ascii="Consolas"/>
          <w:spacing w:val="-71"/>
        </w:rPr>
        <w:t> </w:t>
      </w:r>
      <w:r>
        <w:rPr/>
        <w:t>results in </w:t>
      </w:r>
      <w:r>
        <w:rPr>
          <w:rFonts w:ascii="Consolas"/>
        </w:rPr>
        <w:t>4.000025219</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1 LOGNORMDIST" w:id="1995"/>
      <w:bookmarkEnd w:id="1995"/>
      <w:r>
        <w:rPr/>
      </w:r>
      <w:bookmarkStart w:name="_bookmark664" w:id="1996"/>
      <w:bookmarkEnd w:id="1996"/>
      <w:r>
        <w:rPr/>
      </w:r>
      <w:bookmarkStart w:name="_bookmark664" w:id="1997"/>
      <w:bookmarkEnd w:id="1997"/>
      <w:r>
        <w:rPr>
          <w:color w:val="4F81BC"/>
        </w:rPr>
        <w:t>L</w:t>
      </w:r>
      <w:r>
        <w:rPr>
          <w:color w:val="4F81BC"/>
        </w:rPr>
        <w:t>OGNORMDIST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LOGNORMDIST ( </w:t>
      </w:r>
      <w:r>
        <w:rPr>
          <w:i/>
          <w:sz w:val="22"/>
        </w:rPr>
        <w:t>x </w:t>
      </w:r>
      <w:r>
        <w:rPr>
          <w:rFonts w:ascii="Lucida Console"/>
          <w:sz w:val="20"/>
        </w:rPr>
        <w:t>, </w:t>
      </w:r>
      <w:r>
        <w:rPr>
          <w:i/>
          <w:sz w:val="22"/>
        </w:rPr>
        <w:t>mean </w:t>
      </w:r>
      <w:r>
        <w:rPr>
          <w:rFonts w:ascii="Lucida Console"/>
          <w:sz w:val="20"/>
        </w:rPr>
        <w:t>,</w:t>
      </w:r>
      <w:r>
        <w:rPr>
          <w:rFonts w:ascii="Lucida Console"/>
          <w:spacing w:val="-83"/>
          <w:sz w:val="20"/>
        </w:rPr>
        <w:t> </w:t>
      </w:r>
      <w:r>
        <w:rPr>
          <w:i/>
          <w:sz w:val="22"/>
        </w:rPr>
        <w:t>standard-dev </w:t>
      </w:r>
      <w:r>
        <w:rPr>
          <w:rFonts w:ascii="Lucida Console"/>
          <w:sz w:val="20"/>
        </w:rPr>
        <w:t>)</w:t>
      </w:r>
    </w:p>
    <w:p>
      <w:pPr>
        <w:spacing w:line="278" w:lineRule="auto" w:before="106"/>
        <w:ind w:left="220" w:right="939" w:firstLine="0"/>
        <w:jc w:val="left"/>
        <w:rPr>
          <w:sz w:val="22"/>
        </w:rPr>
      </w:pPr>
      <w:r>
        <w:rPr>
          <w:b/>
          <w:sz w:val="22"/>
        </w:rPr>
        <w:t>Description: </w:t>
      </w:r>
      <w:r>
        <w:rPr>
          <w:sz w:val="22"/>
        </w:rPr>
        <w:t>Calculates the cumulative lognormal distribution of x, where ln(x) is normally distributed with parameters </w:t>
      </w:r>
      <w:r>
        <w:rPr>
          <w:rFonts w:ascii="Times New Roman"/>
          <w:i/>
          <w:sz w:val="22"/>
        </w:rPr>
        <w:t>mean </w:t>
      </w:r>
      <w:r>
        <w:rPr>
          <w:sz w:val="22"/>
        </w:rPr>
        <w:t>and </w:t>
      </w:r>
      <w:r>
        <w:rPr>
          <w:rFonts w:ascii="Times New Roman"/>
          <w:i/>
          <w:sz w:val="22"/>
        </w:rPr>
        <w:t>standard-dev</w:t>
      </w:r>
      <w:r>
        <w:rPr>
          <w:sz w:val="22"/>
        </w:rPr>
        <w:t>.</w:t>
      </w:r>
    </w:p>
    <w:p>
      <w:pPr>
        <w:pStyle w:val="Heading4"/>
        <w:spacing w:before="198"/>
        <w:rPr>
          <w:b w:val="0"/>
        </w:rPr>
      </w:pPr>
      <w:r>
        <w:rPr/>
        <w:t>Mathematical Formula</w:t>
      </w:r>
      <w:r>
        <w:rPr>
          <w:b w:val="0"/>
        </w:rPr>
        <w:t>:</w:t>
      </w:r>
    </w:p>
    <w:p>
      <w:pPr>
        <w:pStyle w:val="BodyText"/>
        <w:spacing w:before="9"/>
        <w:rPr>
          <w:sz w:val="13"/>
        </w:rPr>
      </w:pPr>
    </w:p>
    <w:p>
      <w:pPr>
        <w:spacing w:after="0"/>
        <w:rPr>
          <w:sz w:val="13"/>
        </w:rPr>
        <w:sectPr>
          <w:pgSz w:w="12240" w:h="15840"/>
          <w:pgMar w:header="761" w:footer="746" w:top="1340" w:bottom="940" w:left="860" w:right="700"/>
        </w:sectPr>
      </w:pPr>
    </w:p>
    <w:p>
      <w:pPr>
        <w:pStyle w:val="BodyText"/>
        <w:spacing w:before="11"/>
        <w:rPr>
          <w:sz w:val="18"/>
        </w:rPr>
      </w:pPr>
    </w:p>
    <w:p>
      <w:pPr>
        <w:pStyle w:val="BodyText"/>
        <w:ind w:left="220"/>
        <w:rPr>
          <w:rFonts w:ascii="Cambria Math" w:eastAsia="Cambria Math"/>
        </w:rPr>
      </w:pPr>
      <w:r>
        <w:rPr>
          <w:rFonts w:ascii="Cambria Math" w:eastAsia="Cambria Math"/>
          <w:w w:val="105"/>
        </w:rPr>
        <w:t>𝐿𝑂𝐺𝑁𝑂𝑅𝑀𝐷𝐼𝑆𝑇</w:t>
      </w:r>
      <w:r>
        <w:rPr>
          <w:rFonts w:ascii="Cambria Math" w:eastAsia="Cambria Math"/>
          <w:w w:val="105"/>
          <w:position w:val="1"/>
        </w:rPr>
        <w:t>(</w:t>
      </w:r>
      <w:r>
        <w:rPr>
          <w:rFonts w:ascii="Cambria Math" w:eastAsia="Cambria Math"/>
          <w:w w:val="105"/>
        </w:rPr>
        <w:t>𝑥,</w:t>
      </w:r>
      <w:r>
        <w:rPr>
          <w:rFonts w:ascii="Cambria Math" w:eastAsia="Cambria Math"/>
          <w:spacing w:val="-36"/>
          <w:w w:val="105"/>
        </w:rPr>
        <w:t> </w:t>
      </w:r>
      <w:r>
        <w:rPr>
          <w:rFonts w:ascii="Cambria Math" w:eastAsia="Cambria Math"/>
          <w:spacing w:val="3"/>
          <w:w w:val="105"/>
        </w:rPr>
        <w:t>𝜇,</w:t>
      </w:r>
      <w:r>
        <w:rPr>
          <w:rFonts w:ascii="Cambria Math" w:eastAsia="Cambria Math"/>
          <w:spacing w:val="-36"/>
          <w:w w:val="105"/>
        </w:rPr>
        <w:t> </w:t>
      </w:r>
      <w:r>
        <w:rPr>
          <w:rFonts w:ascii="Cambria Math" w:eastAsia="Cambria Math"/>
          <w:spacing w:val="2"/>
          <w:w w:val="105"/>
        </w:rPr>
        <w:t>𝜎</w:t>
      </w:r>
      <w:r>
        <w:rPr>
          <w:rFonts w:ascii="Cambria Math" w:eastAsia="Cambria Math"/>
          <w:spacing w:val="2"/>
          <w:w w:val="105"/>
          <w:position w:val="1"/>
        </w:rPr>
        <w:t>)</w:t>
      </w:r>
      <w:r>
        <w:rPr>
          <w:rFonts w:ascii="Cambria Math" w:eastAsia="Cambria Math"/>
          <w:spacing w:val="-25"/>
          <w:w w:val="105"/>
          <w:position w:val="1"/>
        </w:rPr>
        <w:t> </w:t>
      </w:r>
      <w:r>
        <w:rPr>
          <w:rFonts w:ascii="Cambria Math" w:eastAsia="Cambria Math"/>
          <w:w w:val="105"/>
        </w:rPr>
        <w:t>=</w:t>
      </w:r>
      <w:r>
        <w:rPr>
          <w:rFonts w:ascii="Cambria Math" w:eastAsia="Cambria Math"/>
          <w:spacing w:val="-26"/>
          <w:w w:val="105"/>
        </w:rPr>
        <w:t> </w:t>
      </w:r>
      <w:r>
        <w:rPr>
          <w:rFonts w:ascii="Cambria Math" w:eastAsia="Cambria Math"/>
          <w:w w:val="105"/>
        </w:rPr>
        <w:t>𝑁𝑂𝑅𝑀𝑆𝐷𝐼𝑆𝑇</w:t>
      </w:r>
      <w:r>
        <w:rPr>
          <w:rFonts w:ascii="Cambria Math" w:eastAsia="Cambria Math"/>
          <w:spacing w:val="-34"/>
          <w:w w:val="105"/>
        </w:rPr>
        <w:t> </w:t>
      </w:r>
      <w:r>
        <w:rPr>
          <w:rFonts w:ascii="Cambria Math" w:eastAsia="Cambria Math"/>
          <w:w w:val="105"/>
        </w:rPr>
        <w:t>(</w:t>
      </w:r>
    </w:p>
    <w:p>
      <w:pPr>
        <w:pStyle w:val="BodyText"/>
        <w:spacing w:line="224" w:lineRule="exact" w:before="61"/>
        <w:ind w:left="-40"/>
        <w:rPr>
          <w:rFonts w:ascii="Cambria Math" w:hAnsi="Cambria Math" w:eastAsia="Cambria Math"/>
        </w:rPr>
      </w:pPr>
      <w:r>
        <w:rPr/>
        <w:br w:type="column"/>
      </w:r>
      <w:r>
        <w:rPr>
          <w:rFonts w:ascii="Cambria Math" w:hAnsi="Cambria Math" w:eastAsia="Cambria Math"/>
        </w:rPr>
        <w:t>ln</w: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 </w:t>
      </w:r>
      <w:r>
        <w:rPr>
          <w:rFonts w:ascii="Cambria Math" w:hAnsi="Cambria Math" w:eastAsia="Cambria Math"/>
        </w:rPr>
        <w:t>− 𝜇</w:t>
      </w:r>
    </w:p>
    <w:p>
      <w:pPr>
        <w:pStyle w:val="BodyText"/>
        <w:tabs>
          <w:tab w:pos="838" w:val="left" w:leader="none"/>
        </w:tabs>
        <w:spacing w:line="189" w:lineRule="auto"/>
        <w:ind w:left="332"/>
        <w:rPr>
          <w:rFonts w:ascii="Cambria Math" w:eastAsia="Cambria Math"/>
        </w:rPr>
      </w:pPr>
      <w:r>
        <w:rPr/>
        <w:pict>
          <v:line style="position:absolute;mso-position-horizontal-relative:page;mso-position-vertical-relative:paragraph;z-index:-335838208" from="251.690002pt,6.592185pt" to="295.610002pt,6.592185pt" stroked="true" strokeweight=".72003pt" strokecolor="#000000">
            <v:stroke dashstyle="solid"/>
            <w10:wrap type="none"/>
          </v:line>
        </w:pict>
      </w:r>
      <w:r>
        <w:rPr>
          <w:rFonts w:ascii="Cambria Math" w:eastAsia="Cambria Math"/>
          <w:w w:val="120"/>
          <w:position w:val="-14"/>
        </w:rPr>
        <w:t>𝜎</w:t>
        <w:tab/>
      </w:r>
      <w:r>
        <w:rPr>
          <w:rFonts w:ascii="Cambria Math" w:eastAsia="Cambria Math"/>
          <w:w w:val="120"/>
        </w:rPr>
        <w:t>)</w:t>
      </w:r>
    </w:p>
    <w:p>
      <w:pPr>
        <w:spacing w:after="0" w:line="189" w:lineRule="auto"/>
        <w:rPr>
          <w:rFonts w:ascii="Cambria Math" w:eastAsia="Cambria Math"/>
        </w:rPr>
        <w:sectPr>
          <w:type w:val="continuous"/>
          <w:pgSz w:w="12240" w:h="15840"/>
          <w:pgMar w:top="1340" w:bottom="940" w:left="860" w:right="700"/>
          <w:cols w:num="2" w:equalWidth="0">
            <w:col w:w="4174" w:space="40"/>
            <w:col w:w="6466"/>
          </w:cols>
        </w:sectPr>
      </w:pPr>
    </w:p>
    <w:p>
      <w:pPr>
        <w:pStyle w:val="BodyText"/>
        <w:rPr>
          <w:rFonts w:ascii="Cambria Math"/>
          <w:sz w:val="18"/>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3"/>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µ = argument</w:t>
      </w:r>
      <w:r>
        <w:rPr>
          <w:spacing w:val="4"/>
          <w:sz w:val="22"/>
        </w:rPr>
        <w:t> </w:t>
      </w:r>
      <w:r>
        <w:rPr>
          <w:rFonts w:ascii="Times New Roman" w:hAnsi="Times New Roman"/>
          <w:i/>
          <w:sz w:val="22"/>
        </w:rPr>
        <w:t>mean</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sz w:val="22"/>
        </w:rPr>
        <w:t>σ = argument</w:t>
      </w:r>
      <w:r>
        <w:rPr>
          <w:spacing w:val="3"/>
          <w:sz w:val="22"/>
        </w:rPr>
        <w:t> </w:t>
      </w:r>
      <w:r>
        <w:rPr>
          <w:rFonts w:ascii="Times New Roman" w:hAnsi="Times New Roman"/>
          <w:i/>
          <w:sz w:val="22"/>
        </w:rPr>
        <w:t>standard-dev</w:t>
      </w:r>
    </w:p>
    <w:p>
      <w:pPr>
        <w:spacing w:after="0" w:line="240" w:lineRule="auto"/>
        <w:jc w:val="left"/>
        <w:rPr>
          <w:rFonts w:ascii="Times New Roman" w:hAnsi="Times New Roman"/>
          <w:sz w:val="22"/>
        </w:rPr>
        <w:sectPr>
          <w:type w:val="continuous"/>
          <w:pgSz w:w="12240" w:h="15840"/>
          <w:pgMar w:top="1340" w:bottom="940" w:left="860" w:right="700"/>
        </w:sectPr>
      </w:pPr>
    </w:p>
    <w:p>
      <w:pPr>
        <w:pStyle w:val="Heading4"/>
        <w:spacing w:before="150"/>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to evaluate the function.</w:t>
            </w:r>
          </w:p>
        </w:tc>
      </w:tr>
      <w:tr>
        <w:trPr>
          <w:trHeight w:val="354" w:hRule="atLeast"/>
        </w:trPr>
        <w:tc>
          <w:tcPr>
            <w:tcW w:w="1466" w:type="dxa"/>
          </w:tcPr>
          <w:p>
            <w:pPr>
              <w:pStyle w:val="TableParagraph"/>
              <w:spacing w:before="37"/>
              <w:rPr>
                <w:rFonts w:ascii="Times New Roman"/>
                <w:i/>
                <w:sz w:val="22"/>
              </w:rPr>
            </w:pPr>
            <w:r>
              <w:rPr>
                <w:rFonts w:ascii="Times New Roman"/>
                <w:i/>
                <w:sz w:val="22"/>
              </w:rPr>
              <w:t>mean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mean of ln(x).</w:t>
            </w:r>
          </w:p>
        </w:tc>
      </w:tr>
      <w:tr>
        <w:trPr>
          <w:trHeight w:val="354" w:hRule="atLeast"/>
        </w:trPr>
        <w:tc>
          <w:tcPr>
            <w:tcW w:w="1466" w:type="dxa"/>
          </w:tcPr>
          <w:p>
            <w:pPr>
              <w:pStyle w:val="TableParagraph"/>
              <w:spacing w:before="37"/>
              <w:rPr>
                <w:rFonts w:ascii="Times New Roman"/>
                <w:i/>
                <w:sz w:val="22"/>
              </w:rPr>
            </w:pPr>
            <w:r>
              <w:rPr>
                <w:rFonts w:ascii="Times New Roman"/>
                <w:i/>
                <w:sz w:val="22"/>
              </w:rPr>
              <w:t>standard-dev</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standard deviation of ln(x).</w:t>
            </w:r>
          </w:p>
        </w:tc>
      </w:tr>
    </w:tbl>
    <w:p>
      <w:pPr>
        <w:pStyle w:val="BodyText"/>
        <w:rPr>
          <w:b/>
        </w:rPr>
      </w:pPr>
    </w:p>
    <w:p>
      <w:pPr>
        <w:pStyle w:val="BodyText"/>
        <w:spacing w:before="7"/>
        <w:rPr>
          <w:b/>
          <w:sz w:val="19"/>
        </w:rPr>
      </w:pPr>
    </w:p>
    <w:p>
      <w:pPr>
        <w:spacing w:line="453" w:lineRule="auto" w:before="0"/>
        <w:ind w:left="220" w:right="1400" w:firstLine="0"/>
        <w:jc w:val="left"/>
        <w:rPr>
          <w:sz w:val="22"/>
        </w:rPr>
      </w:pPr>
      <w:r>
        <w:rPr>
          <w:b/>
          <w:sz w:val="22"/>
        </w:rPr>
        <w:t>Return Type and Value: </w:t>
      </w:r>
      <w:r>
        <w:rPr>
          <w:sz w:val="22"/>
        </w:rPr>
        <w:t>number – The inverse of the lognormal cumulative distribution function of x.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 0, </w:t>
      </w:r>
      <w:r>
        <w:rPr>
          <w:rFonts w:ascii="Consolas" w:hAnsi="Consolas"/>
          <w:sz w:val="22"/>
        </w:rPr>
        <w:t>#NUM!</w:t>
      </w:r>
      <w:r>
        <w:rPr>
          <w:rFonts w:ascii="Consolas" w:hAnsi="Consolas"/>
          <w:spacing w:val="-7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455" w:firstLine="360"/>
        <w:jc w:val="left"/>
        <w:rPr>
          <w:sz w:val="22"/>
        </w:rPr>
      </w:pPr>
      <w:r>
        <w:rPr>
          <w:rFonts w:ascii="Times New Roman" w:hAnsi="Times New Roman"/>
          <w:i/>
          <w:sz w:val="22"/>
        </w:rPr>
        <w:t>standard-dev </w:t>
      </w:r>
      <w:r>
        <w:rPr>
          <w:sz w:val="22"/>
        </w:rPr>
        <w:t>≤ 0, </w:t>
      </w:r>
      <w:r>
        <w:rPr>
          <w:rFonts w:ascii="Consolas" w:hAnsi="Consolas"/>
          <w:sz w:val="22"/>
        </w:rPr>
        <w:t>#NUM!</w:t>
      </w:r>
      <w:r>
        <w:rPr>
          <w:rFonts w:ascii="Consolas" w:hAnsi="Consolas"/>
          <w:spacing w:val="-79"/>
          <w:sz w:val="22"/>
        </w:rPr>
        <w:t> </w:t>
      </w:r>
      <w:r>
        <w:rPr>
          <w:sz w:val="22"/>
        </w:rPr>
        <w:t>is returned. [</w:t>
      </w:r>
      <w:r>
        <w:rPr>
          <w:i/>
          <w:sz w:val="22"/>
        </w:rPr>
        <w:t>Example</w:t>
      </w:r>
      <w:r>
        <w:rPr>
          <w:sz w:val="22"/>
        </w:rPr>
        <w:t>:</w:t>
      </w:r>
    </w:p>
    <w:p>
      <w:pPr>
        <w:pStyle w:val="BodyText"/>
        <w:spacing w:before="128"/>
        <w:ind w:left="220"/>
        <w:rPr>
          <w:rFonts w:ascii="Consolas"/>
        </w:rPr>
      </w:pPr>
      <w:r>
        <w:rPr>
          <w:rFonts w:ascii="Consolas"/>
        </w:rPr>
        <w:t>LOGNORMDIST(4,3.5,1.2)</w:t>
      </w:r>
      <w:r>
        <w:rPr>
          <w:rFonts w:ascii="Consolas"/>
          <w:spacing w:val="-71"/>
        </w:rPr>
        <w:t> </w:t>
      </w:r>
      <w:r>
        <w:rPr/>
        <w:t>results in </w:t>
      </w:r>
      <w:r>
        <w:rPr>
          <w:rFonts w:ascii="Consolas"/>
        </w:rPr>
        <w:t>0.039083556</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02 LOOKUP" w:id="1998"/>
      <w:bookmarkEnd w:id="1998"/>
      <w:r>
        <w:rPr/>
      </w:r>
      <w:bookmarkStart w:name="_bookmark665" w:id="1999"/>
      <w:bookmarkEnd w:id="1999"/>
      <w:r>
        <w:rPr/>
      </w:r>
      <w:bookmarkStart w:name="_bookmark665" w:id="2000"/>
      <w:bookmarkEnd w:id="2000"/>
      <w:r>
        <w:rPr>
          <w:color w:val="4F81BC"/>
        </w:rPr>
        <w:t>L</w:t>
      </w:r>
      <w:r>
        <w:rPr>
          <w:color w:val="4F81BC"/>
        </w:rPr>
        <w:t>OOKUP</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sz w:val="22"/>
        </w:rPr>
        <w:t>vector form: </w:t>
      </w:r>
      <w:r>
        <w:rPr>
          <w:rFonts w:ascii="Lucida Console"/>
          <w:sz w:val="20"/>
        </w:rPr>
        <w:t>LOOKUP ( </w:t>
      </w:r>
      <w:r>
        <w:rPr>
          <w:i/>
          <w:sz w:val="22"/>
        </w:rPr>
        <w:t>lookup-value </w:t>
      </w:r>
      <w:r>
        <w:rPr>
          <w:rFonts w:ascii="Lucida Console"/>
          <w:sz w:val="20"/>
        </w:rPr>
        <w:t>, </w:t>
      </w:r>
      <w:r>
        <w:rPr>
          <w:i/>
          <w:sz w:val="22"/>
        </w:rPr>
        <w:t>lookup-vector </w:t>
      </w:r>
      <w:r>
        <w:rPr>
          <w:rFonts w:ascii="Lucida Console"/>
          <w:sz w:val="20"/>
        </w:rPr>
        <w:t>,</w:t>
      </w:r>
      <w:r>
        <w:rPr>
          <w:rFonts w:ascii="Lucida Console"/>
          <w:spacing w:val="-87"/>
          <w:sz w:val="20"/>
        </w:rPr>
        <w:t> </w:t>
      </w:r>
      <w:r>
        <w:rPr>
          <w:i/>
          <w:sz w:val="22"/>
        </w:rPr>
        <w:t>result-vector </w:t>
      </w:r>
      <w:r>
        <w:rPr>
          <w:rFonts w:ascii="Lucida Console"/>
          <w:sz w:val="20"/>
        </w:rPr>
        <w:t>)</w:t>
      </w:r>
    </w:p>
    <w:p>
      <w:pPr>
        <w:spacing w:before="101"/>
        <w:ind w:left="940" w:right="0" w:firstLine="0"/>
        <w:jc w:val="left"/>
        <w:rPr>
          <w:rFonts w:ascii="Lucida Console"/>
          <w:sz w:val="20"/>
        </w:rPr>
      </w:pPr>
      <w:r>
        <w:rPr>
          <w:sz w:val="22"/>
        </w:rPr>
        <w:t>array form: </w:t>
      </w:r>
      <w:r>
        <w:rPr>
          <w:rFonts w:ascii="Lucida Console"/>
          <w:sz w:val="20"/>
        </w:rPr>
        <w:t>LOOKUP ( </w:t>
      </w:r>
      <w:r>
        <w:rPr>
          <w:i/>
          <w:sz w:val="22"/>
        </w:rPr>
        <w:t>lookup-value </w:t>
      </w:r>
      <w:r>
        <w:rPr>
          <w:rFonts w:ascii="Lucida Console"/>
          <w:sz w:val="20"/>
        </w:rPr>
        <w:t>, </w:t>
      </w:r>
      <w:r>
        <w:rPr>
          <w:i/>
          <w:sz w:val="22"/>
        </w:rPr>
        <w:t>array </w:t>
      </w:r>
      <w:r>
        <w:rPr>
          <w:rFonts w:ascii="Lucida Console"/>
          <w:sz w:val="20"/>
        </w:rPr>
        <w:t>)</w:t>
      </w:r>
    </w:p>
    <w:p>
      <w:pPr>
        <w:pStyle w:val="BodyText"/>
        <w:spacing w:line="278" w:lineRule="auto" w:before="106"/>
        <w:ind w:left="220" w:right="608"/>
      </w:pPr>
      <w:r>
        <w:rPr>
          <w:b/>
        </w:rPr>
        <w:t>Description</w:t>
      </w:r>
      <w:r>
        <w:rPr/>
        <w:t>: The vector form looks in a vector for a value, and returns a value from the same position in a second vector. The array form looks in the first row or column of an array for the specified value and returns a value from the same position in the last row or column of that array.</w:t>
      </w:r>
    </w:p>
    <w:p>
      <w:pPr>
        <w:pStyle w:val="Heading4"/>
        <w:spacing w:before="196"/>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0" w:hRule="atLeast"/>
        </w:trPr>
        <w:tc>
          <w:tcPr>
            <w:tcW w:w="1466" w:type="dxa"/>
          </w:tcPr>
          <w:p>
            <w:pPr>
              <w:pStyle w:val="TableParagraph"/>
              <w:spacing w:before="37"/>
              <w:rPr>
                <w:rFonts w:ascii="Times New Roman"/>
                <w:i/>
                <w:sz w:val="22"/>
              </w:rPr>
            </w:pPr>
            <w:r>
              <w:rPr>
                <w:rFonts w:ascii="Times New Roman"/>
                <w:i/>
                <w:sz w:val="22"/>
              </w:rPr>
              <w:t>lookup-value</w:t>
            </w:r>
          </w:p>
        </w:tc>
        <w:tc>
          <w:tcPr>
            <w:tcW w:w="1800" w:type="dxa"/>
          </w:tcPr>
          <w:p>
            <w:pPr>
              <w:pStyle w:val="TableParagraph"/>
              <w:ind w:left="112" w:right="283"/>
              <w:rPr>
                <w:sz w:val="22"/>
              </w:rPr>
            </w:pPr>
            <w:r>
              <w:rPr>
                <w:sz w:val="22"/>
              </w:rPr>
              <w:t>number, string, logical, name, reference</w:t>
            </w:r>
          </w:p>
        </w:tc>
        <w:tc>
          <w:tcPr>
            <w:tcW w:w="5400" w:type="dxa"/>
          </w:tcPr>
          <w:p>
            <w:pPr>
              <w:pStyle w:val="TableParagraph"/>
              <w:ind w:left="113"/>
              <w:rPr>
                <w:sz w:val="22"/>
              </w:rPr>
            </w:pPr>
            <w:r>
              <w:rPr>
                <w:sz w:val="22"/>
              </w:rPr>
              <w:t>The value to search for in </w:t>
            </w:r>
            <w:r>
              <w:rPr>
                <w:rFonts w:ascii="Times New Roman"/>
                <w:i/>
                <w:sz w:val="22"/>
              </w:rPr>
              <w:t>lookup-vector </w:t>
            </w:r>
            <w:r>
              <w:rPr>
                <w:sz w:val="22"/>
              </w:rPr>
              <w:t>(or </w:t>
            </w:r>
            <w:r>
              <w:rPr>
                <w:rFonts w:ascii="Times New Roman"/>
                <w:i/>
                <w:sz w:val="22"/>
              </w:rPr>
              <w:t>array</w:t>
            </w:r>
            <w:r>
              <w:rPr>
                <w:sz w:val="22"/>
              </w:rPr>
              <w:t>).</w:t>
            </w:r>
          </w:p>
        </w:tc>
      </w:tr>
      <w:tr>
        <w:trPr>
          <w:trHeight w:val="2236" w:hRule="atLeast"/>
        </w:trPr>
        <w:tc>
          <w:tcPr>
            <w:tcW w:w="1466" w:type="dxa"/>
          </w:tcPr>
          <w:p>
            <w:pPr>
              <w:pStyle w:val="TableParagraph"/>
              <w:rPr>
                <w:rFonts w:ascii="Times New Roman"/>
                <w:i/>
                <w:sz w:val="22"/>
              </w:rPr>
            </w:pPr>
            <w:r>
              <w:rPr>
                <w:rFonts w:ascii="Times New Roman"/>
                <w:i/>
                <w:sz w:val="22"/>
              </w:rPr>
              <w:t>lookup-vector</w:t>
            </w:r>
          </w:p>
        </w:tc>
        <w:tc>
          <w:tcPr>
            <w:tcW w:w="1800" w:type="dxa"/>
          </w:tcPr>
          <w:p>
            <w:pPr>
              <w:pStyle w:val="TableParagraph"/>
              <w:spacing w:before="43"/>
              <w:ind w:left="112"/>
              <w:rPr>
                <w:sz w:val="22"/>
              </w:rPr>
            </w:pPr>
            <w:r>
              <w:rPr>
                <w:sz w:val="22"/>
              </w:rPr>
              <w:t>reference</w:t>
            </w:r>
          </w:p>
        </w:tc>
        <w:tc>
          <w:tcPr>
            <w:tcW w:w="5400" w:type="dxa"/>
          </w:tcPr>
          <w:p>
            <w:pPr>
              <w:pStyle w:val="TableParagraph"/>
              <w:spacing w:before="43"/>
              <w:ind w:left="113"/>
              <w:rPr>
                <w:rFonts w:ascii="Consolas" w:hAnsi="Consolas"/>
                <w:sz w:val="22"/>
              </w:rPr>
            </w:pPr>
            <w:r>
              <w:rPr>
                <w:sz w:val="22"/>
              </w:rPr>
              <w:t>A range that contains only one row or one column. The values in </w:t>
            </w:r>
            <w:r>
              <w:rPr>
                <w:rFonts w:ascii="Times New Roman" w:hAnsi="Times New Roman"/>
                <w:i/>
                <w:sz w:val="22"/>
              </w:rPr>
              <w:t>lookup-vector </w:t>
            </w:r>
            <w:r>
              <w:rPr>
                <w:sz w:val="22"/>
              </w:rPr>
              <w:t>can be strings, numbers, or logical values. These values shall be placed in "ascending" order, as follows: …, -2, -1, 0, 1, 2, …, A–Z, </w:t>
            </w:r>
            <w:r>
              <w:rPr>
                <w:rFonts w:ascii="Consolas" w:hAnsi="Consolas"/>
                <w:sz w:val="22"/>
              </w:rPr>
              <w:t>FALSE</w:t>
            </w:r>
            <w:r>
              <w:rPr>
                <w:sz w:val="22"/>
              </w:rPr>
              <w:t>, </w:t>
            </w:r>
            <w:r>
              <w:rPr>
                <w:rFonts w:ascii="Consolas" w:hAnsi="Consolas"/>
                <w:sz w:val="22"/>
              </w:rPr>
              <w:t>TRUE.</w:t>
            </w:r>
          </w:p>
          <w:p>
            <w:pPr>
              <w:pStyle w:val="TableParagraph"/>
              <w:spacing w:before="0"/>
              <w:ind w:left="113" w:right="103"/>
              <w:rPr>
                <w:sz w:val="22"/>
              </w:rPr>
            </w:pPr>
            <w:r>
              <w:rPr>
                <w:sz w:val="22"/>
              </w:rPr>
              <w:t>Upper- and lowercase strings are equivalent. If </w:t>
            </w:r>
            <w:r>
              <w:rPr>
                <w:rFonts w:ascii="Consolas"/>
                <w:sz w:val="22"/>
              </w:rPr>
              <w:t>LOOKUP </w:t>
            </w:r>
            <w:r>
              <w:rPr>
                <w:sz w:val="22"/>
              </w:rPr>
              <w:t>can't find the </w:t>
            </w:r>
            <w:r>
              <w:rPr>
                <w:rFonts w:ascii="Times New Roman"/>
                <w:i/>
                <w:sz w:val="22"/>
              </w:rPr>
              <w:t>lookup-value</w:t>
            </w:r>
            <w:r>
              <w:rPr>
                <w:sz w:val="22"/>
              </w:rPr>
              <w:t>, it matches the largest value in </w:t>
            </w:r>
            <w:r>
              <w:rPr>
                <w:rFonts w:ascii="Times New Roman"/>
                <w:i/>
                <w:sz w:val="22"/>
              </w:rPr>
              <w:t>lookup-vector </w:t>
            </w:r>
            <w:r>
              <w:rPr>
                <w:sz w:val="22"/>
              </w:rPr>
              <w:t>(or </w:t>
            </w:r>
            <w:r>
              <w:rPr>
                <w:rFonts w:ascii="Times New Roman"/>
                <w:i/>
                <w:sz w:val="22"/>
              </w:rPr>
              <w:t>array</w:t>
            </w:r>
            <w:r>
              <w:rPr>
                <w:sz w:val="22"/>
              </w:rPr>
              <w:t>) that is less than or equal to </w:t>
            </w:r>
            <w:r>
              <w:rPr>
                <w:rFonts w:ascii="Times New Roman"/>
                <w:i/>
                <w:sz w:val="22"/>
              </w:rPr>
              <w:t>lookup-value</w:t>
            </w:r>
            <w:r>
              <w:rPr>
                <w:sz w:val="22"/>
              </w:rPr>
              <w:t>.</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result-vector</w:t>
            </w:r>
          </w:p>
        </w:tc>
        <w:tc>
          <w:tcPr>
            <w:tcW w:w="1800" w:type="dxa"/>
          </w:tcPr>
          <w:p>
            <w:pPr>
              <w:pStyle w:val="TableParagraph"/>
              <w:ind w:left="112"/>
              <w:rPr>
                <w:sz w:val="22"/>
              </w:rPr>
            </w:pPr>
            <w:r>
              <w:rPr>
                <w:sz w:val="22"/>
              </w:rPr>
              <w:t>reference</w:t>
            </w:r>
          </w:p>
        </w:tc>
        <w:tc>
          <w:tcPr>
            <w:tcW w:w="5400" w:type="dxa"/>
          </w:tcPr>
          <w:p>
            <w:pPr>
              <w:pStyle w:val="TableParagraph"/>
              <w:ind w:left="113" w:right="198"/>
              <w:rPr>
                <w:sz w:val="22"/>
              </w:rPr>
            </w:pPr>
            <w:r>
              <w:rPr>
                <w:sz w:val="22"/>
              </w:rPr>
              <w:t>A range that contains only one row or column. It shall be the same size as </w:t>
            </w:r>
            <w:r>
              <w:rPr>
                <w:rFonts w:ascii="Times New Roman"/>
                <w:i/>
                <w:sz w:val="22"/>
              </w:rPr>
              <w:t>lookup-vector</w:t>
            </w:r>
            <w:r>
              <w:rPr>
                <w:sz w:val="22"/>
              </w:rPr>
              <w:t>.</w:t>
            </w:r>
          </w:p>
        </w:tc>
      </w:tr>
      <w:tr>
        <w:trPr>
          <w:trHeight w:val="2233"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ight="437"/>
              <w:rPr>
                <w:sz w:val="22"/>
              </w:rPr>
            </w:pPr>
            <w:r>
              <w:rPr>
                <w:sz w:val="22"/>
              </w:rPr>
              <w:t>text, number, logical</w:t>
            </w:r>
          </w:p>
        </w:tc>
        <w:tc>
          <w:tcPr>
            <w:tcW w:w="5400" w:type="dxa"/>
          </w:tcPr>
          <w:p>
            <w:pPr>
              <w:pStyle w:val="TableParagraph"/>
              <w:ind w:left="113" w:right="147"/>
              <w:rPr>
                <w:sz w:val="22"/>
              </w:rPr>
            </w:pPr>
            <w:r>
              <w:rPr>
                <w:sz w:val="22"/>
              </w:rPr>
              <w:t>A range of cells whose values are to be compared with </w:t>
            </w:r>
            <w:r>
              <w:rPr>
                <w:rFonts w:ascii="Times New Roman" w:hAnsi="Times New Roman"/>
                <w:i/>
                <w:sz w:val="22"/>
              </w:rPr>
              <w:t>lookup-value</w:t>
            </w:r>
            <w:r>
              <w:rPr>
                <w:sz w:val="22"/>
              </w:rPr>
              <w:t>. These values shall be placed in "ascending" order, as follows: …, -2, -1, 0, 1, 2, …, A–Z, </w:t>
            </w:r>
            <w:r>
              <w:rPr>
                <w:rFonts w:ascii="Consolas" w:hAnsi="Consolas"/>
                <w:sz w:val="22"/>
              </w:rPr>
              <w:t>FALSE</w:t>
            </w:r>
            <w:r>
              <w:rPr>
                <w:sz w:val="22"/>
              </w:rPr>
              <w:t>, </w:t>
            </w:r>
            <w:r>
              <w:rPr>
                <w:rFonts w:ascii="Consolas" w:hAnsi="Consolas"/>
                <w:sz w:val="22"/>
              </w:rPr>
              <w:t>TRUE. </w:t>
            </w:r>
            <w:r>
              <w:rPr>
                <w:sz w:val="22"/>
              </w:rPr>
              <w:t>Upper- and lowercase strings are equivalent. If </w:t>
            </w:r>
            <w:r>
              <w:rPr>
                <w:rFonts w:ascii="Times New Roman" w:hAnsi="Times New Roman"/>
                <w:i/>
                <w:sz w:val="22"/>
              </w:rPr>
              <w:t>array </w:t>
            </w:r>
            <w:r>
              <w:rPr>
                <w:sz w:val="22"/>
              </w:rPr>
              <w:t>covers an area that has more columns than rows, </w:t>
            </w:r>
            <w:r>
              <w:rPr>
                <w:rFonts w:ascii="Times New Roman" w:hAnsi="Times New Roman"/>
                <w:i/>
                <w:sz w:val="22"/>
              </w:rPr>
              <w:t>lookup- </w:t>
            </w:r>
            <w:r>
              <w:rPr>
                <w:rFonts w:ascii="Times New Roman" w:hAnsi="Times New Roman"/>
                <w:i/>
                <w:sz w:val="22"/>
              </w:rPr>
              <w:t>value </w:t>
            </w:r>
            <w:r>
              <w:rPr>
                <w:sz w:val="22"/>
              </w:rPr>
              <w:t>is searched for in the first row. If </w:t>
            </w:r>
            <w:r>
              <w:rPr>
                <w:rFonts w:ascii="Times New Roman" w:hAnsi="Times New Roman"/>
                <w:i/>
                <w:sz w:val="22"/>
              </w:rPr>
              <w:t>array </w:t>
            </w:r>
            <w:r>
              <w:rPr>
                <w:sz w:val="22"/>
              </w:rPr>
              <w:t>is square or has more rows than columns, </w:t>
            </w:r>
            <w:r>
              <w:rPr>
                <w:rFonts w:ascii="Times New Roman" w:hAnsi="Times New Roman"/>
                <w:i/>
                <w:sz w:val="22"/>
              </w:rPr>
              <w:t>lookup-value </w:t>
            </w:r>
            <w:r>
              <w:rPr>
                <w:sz w:val="22"/>
              </w:rPr>
              <w:t>is searched for in the first column.</w:t>
            </w:r>
          </w:p>
        </w:tc>
      </w:tr>
    </w:tbl>
    <w:p>
      <w:pPr>
        <w:pStyle w:val="BodyText"/>
        <w:rPr>
          <w:sz w:val="20"/>
        </w:rPr>
      </w:pPr>
    </w:p>
    <w:p>
      <w:pPr>
        <w:pStyle w:val="BodyText"/>
        <w:spacing w:before="10"/>
        <w:rPr>
          <w:sz w:val="16"/>
        </w:rPr>
      </w:pPr>
    </w:p>
    <w:p>
      <w:pPr>
        <w:pStyle w:val="BodyText"/>
        <w:spacing w:line="276" w:lineRule="auto" w:before="57"/>
        <w:ind w:left="220" w:right="591"/>
      </w:pPr>
      <w:r>
        <w:rPr>
          <w:b/>
        </w:rPr>
        <w:t>Return Type and Value</w:t>
      </w:r>
      <w:r>
        <w:rPr/>
        <w:t>: any – The vector form looks in a vector for a value, and returns a value from the same position in a second vector. The array form looks in the first row or column of an array for the specified value and returns a value from the same position in the last row or column of that array.</w:t>
      </w:r>
    </w:p>
    <w:p>
      <w:pPr>
        <w:pStyle w:val="BodyText"/>
        <w:spacing w:before="6"/>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76" w:lineRule="auto" w:before="0" w:after="0"/>
        <w:ind w:left="940" w:right="414" w:hanging="360"/>
        <w:jc w:val="left"/>
        <w:rPr>
          <w:sz w:val="22"/>
        </w:rPr>
      </w:pPr>
      <w:r>
        <w:rPr>
          <w:rFonts w:ascii="Times New Roman" w:hAnsi="Times New Roman"/>
          <w:i/>
          <w:sz w:val="22"/>
        </w:rPr>
        <w:t>lookup-value </w:t>
      </w:r>
      <w:r>
        <w:rPr>
          <w:sz w:val="22"/>
        </w:rPr>
        <w:t>is smaller than the smallest value in </w:t>
      </w:r>
      <w:r>
        <w:rPr>
          <w:rFonts w:ascii="Times New Roman" w:hAnsi="Times New Roman"/>
          <w:i/>
          <w:sz w:val="22"/>
        </w:rPr>
        <w:t>lookup-vector </w:t>
      </w:r>
      <w:r>
        <w:rPr>
          <w:sz w:val="22"/>
        </w:rPr>
        <w:t>(or the first row or column of </w:t>
      </w:r>
      <w:r>
        <w:rPr>
          <w:rFonts w:ascii="Times New Roman" w:hAnsi="Times New Roman"/>
          <w:i/>
          <w:sz w:val="22"/>
        </w:rPr>
        <w:t>array</w:t>
      </w:r>
      <w:r>
        <w:rPr>
          <w:sz w:val="22"/>
        </w:rPr>
        <w:t>), the return value is</w:t>
      </w:r>
      <w:r>
        <w:rPr>
          <w:spacing w:val="-1"/>
          <w:sz w:val="22"/>
        </w:rPr>
        <w:t> </w:t>
      </w:r>
      <w:r>
        <w:rPr>
          <w:sz w:val="22"/>
        </w:rPr>
        <w:t>unspecified.</w:t>
      </w:r>
    </w:p>
    <w:p>
      <w:pPr>
        <w:pStyle w:val="ListParagraph"/>
        <w:numPr>
          <w:ilvl w:val="4"/>
          <w:numId w:val="66"/>
        </w:numPr>
        <w:tabs>
          <w:tab w:pos="940" w:val="left" w:leader="none"/>
          <w:tab w:pos="941" w:val="left" w:leader="none"/>
        </w:tabs>
        <w:spacing w:line="273" w:lineRule="auto" w:before="2" w:after="0"/>
        <w:ind w:left="940" w:right="729" w:hanging="360"/>
        <w:jc w:val="left"/>
        <w:rPr>
          <w:sz w:val="22"/>
        </w:rPr>
      </w:pPr>
      <w:r>
        <w:rPr>
          <w:sz w:val="22"/>
        </w:rPr>
        <w:t>The</w:t>
      </w:r>
      <w:r>
        <w:rPr>
          <w:spacing w:val="-2"/>
          <w:sz w:val="22"/>
        </w:rPr>
        <w:t> </w:t>
      </w:r>
      <w:r>
        <w:rPr>
          <w:sz w:val="22"/>
        </w:rPr>
        <w:t>size</w:t>
      </w:r>
      <w:r>
        <w:rPr>
          <w:spacing w:val="-4"/>
          <w:sz w:val="22"/>
        </w:rPr>
        <w:t> </w:t>
      </w:r>
      <w:r>
        <w:rPr>
          <w:sz w:val="22"/>
        </w:rPr>
        <w:t>of</w:t>
      </w:r>
      <w:r>
        <w:rPr>
          <w:spacing w:val="-4"/>
          <w:sz w:val="22"/>
        </w:rPr>
        <w:t> </w:t>
      </w:r>
      <w:r>
        <w:rPr>
          <w:sz w:val="22"/>
        </w:rPr>
        <w:t>the</w:t>
      </w:r>
      <w:r>
        <w:rPr>
          <w:spacing w:val="-1"/>
          <w:sz w:val="22"/>
        </w:rPr>
        <w:t> </w:t>
      </w:r>
      <w:r>
        <w:rPr>
          <w:sz w:val="22"/>
        </w:rPr>
        <w:t>range</w:t>
      </w:r>
      <w:r>
        <w:rPr>
          <w:spacing w:val="-4"/>
          <w:sz w:val="22"/>
        </w:rPr>
        <w:t> </w:t>
      </w:r>
      <w:r>
        <w:rPr>
          <w:sz w:val="22"/>
        </w:rPr>
        <w:t>specified</w:t>
      </w:r>
      <w:r>
        <w:rPr>
          <w:spacing w:val="-3"/>
          <w:sz w:val="22"/>
        </w:rPr>
        <w:t> </w:t>
      </w:r>
      <w:r>
        <w:rPr>
          <w:sz w:val="22"/>
        </w:rPr>
        <w:t>by</w:t>
      </w:r>
      <w:r>
        <w:rPr>
          <w:spacing w:val="1"/>
          <w:sz w:val="22"/>
        </w:rPr>
        <w:t> </w:t>
      </w:r>
      <w:r>
        <w:rPr>
          <w:rFonts w:ascii="Times New Roman" w:hAnsi="Times New Roman"/>
          <w:i/>
          <w:sz w:val="22"/>
        </w:rPr>
        <w:t>result-vector</w:t>
      </w:r>
      <w:r>
        <w:rPr>
          <w:rFonts w:ascii="Times New Roman" w:hAnsi="Times New Roman"/>
          <w:i/>
          <w:spacing w:val="-6"/>
          <w:sz w:val="22"/>
        </w:rPr>
        <w:t> </w:t>
      </w:r>
      <w:r>
        <w:rPr>
          <w:sz w:val="22"/>
        </w:rPr>
        <w:t>is</w:t>
      </w:r>
      <w:r>
        <w:rPr>
          <w:spacing w:val="-2"/>
          <w:sz w:val="22"/>
        </w:rPr>
        <w:t> </w:t>
      </w:r>
      <w:r>
        <w:rPr>
          <w:sz w:val="22"/>
        </w:rPr>
        <w:t>not</w:t>
      </w:r>
      <w:r>
        <w:rPr>
          <w:spacing w:val="-3"/>
          <w:sz w:val="22"/>
        </w:rPr>
        <w:t> </w:t>
      </w:r>
      <w:r>
        <w:rPr>
          <w:sz w:val="22"/>
        </w:rPr>
        <w:t>the</w:t>
      </w:r>
      <w:r>
        <w:rPr>
          <w:spacing w:val="-1"/>
          <w:sz w:val="22"/>
        </w:rPr>
        <w:t> </w:t>
      </w:r>
      <w:r>
        <w:rPr>
          <w:sz w:val="22"/>
        </w:rPr>
        <w:t>same</w:t>
      </w:r>
      <w:r>
        <w:rPr>
          <w:spacing w:val="-1"/>
          <w:sz w:val="22"/>
        </w:rPr>
        <w:t> </w:t>
      </w:r>
      <w:r>
        <w:rPr>
          <w:sz w:val="22"/>
        </w:rPr>
        <w:t>as</w:t>
      </w:r>
      <w:r>
        <w:rPr>
          <w:spacing w:val="-5"/>
          <w:sz w:val="22"/>
        </w:rPr>
        <w:t> </w:t>
      </w:r>
      <w:r>
        <w:rPr>
          <w:sz w:val="22"/>
        </w:rPr>
        <w:t>that</w:t>
      </w:r>
      <w:r>
        <w:rPr>
          <w:spacing w:val="-3"/>
          <w:sz w:val="22"/>
        </w:rPr>
        <w:t> </w:t>
      </w:r>
      <w:r>
        <w:rPr>
          <w:sz w:val="22"/>
        </w:rPr>
        <w:t>specified</w:t>
      </w:r>
      <w:r>
        <w:rPr>
          <w:spacing w:val="-1"/>
          <w:sz w:val="22"/>
        </w:rPr>
        <w:t> </w:t>
      </w:r>
      <w:r>
        <w:rPr>
          <w:sz w:val="22"/>
        </w:rPr>
        <w:t>by</w:t>
      </w:r>
      <w:r>
        <w:rPr>
          <w:spacing w:val="-1"/>
          <w:sz w:val="22"/>
        </w:rPr>
        <w:t> </w:t>
      </w:r>
      <w:r>
        <w:rPr>
          <w:rFonts w:ascii="Times New Roman" w:hAnsi="Times New Roman"/>
          <w:i/>
          <w:sz w:val="22"/>
        </w:rPr>
        <w:t>lookup-vector</w:t>
      </w:r>
      <w:r>
        <w:rPr>
          <w:sz w:val="22"/>
        </w:rPr>
        <w:t>,</w:t>
      </w:r>
      <w:r>
        <w:rPr>
          <w:spacing w:val="-1"/>
          <w:sz w:val="22"/>
        </w:rPr>
        <w:t> </w:t>
      </w:r>
      <w:r>
        <w:rPr>
          <w:sz w:val="22"/>
        </w:rPr>
        <w:t>the return value is</w:t>
      </w:r>
      <w:r>
        <w:rPr>
          <w:spacing w:val="-1"/>
          <w:sz w:val="22"/>
        </w:rPr>
        <w:t> </w:t>
      </w:r>
      <w:r>
        <w:rPr>
          <w:sz w:val="22"/>
        </w:rPr>
        <w:t>unspecified.</w:t>
      </w:r>
    </w:p>
    <w:p>
      <w:pPr>
        <w:pStyle w:val="ListParagraph"/>
        <w:numPr>
          <w:ilvl w:val="4"/>
          <w:numId w:val="66"/>
        </w:numPr>
        <w:tabs>
          <w:tab w:pos="940" w:val="left" w:leader="none"/>
          <w:tab w:pos="941" w:val="left" w:leader="none"/>
        </w:tabs>
        <w:spacing w:line="448" w:lineRule="auto" w:before="4" w:after="17"/>
        <w:ind w:left="220" w:right="932" w:firstLine="360"/>
        <w:jc w:val="left"/>
        <w:rPr>
          <w:sz w:val="22"/>
        </w:rPr>
      </w:pPr>
      <w:r>
        <w:rPr>
          <w:sz w:val="22"/>
        </w:rPr>
        <w:t>The values in </w:t>
      </w:r>
      <w:r>
        <w:rPr>
          <w:rFonts w:ascii="Times New Roman" w:hAnsi="Times New Roman"/>
          <w:i/>
          <w:sz w:val="22"/>
        </w:rPr>
        <w:t>lookup-vector </w:t>
      </w:r>
      <w:r>
        <w:rPr>
          <w:sz w:val="22"/>
        </w:rPr>
        <w:t>(or </w:t>
      </w:r>
      <w:r>
        <w:rPr>
          <w:rFonts w:ascii="Times New Roman" w:hAnsi="Times New Roman"/>
          <w:i/>
          <w:sz w:val="22"/>
        </w:rPr>
        <w:t>array</w:t>
      </w:r>
      <w:r>
        <w:rPr>
          <w:sz w:val="22"/>
        </w:rPr>
        <w:t>) are not in "ascending" order, the return value is unspecified. [</w:t>
      </w:r>
      <w:r>
        <w:rPr>
          <w:i/>
          <w:sz w:val="22"/>
        </w:rPr>
        <w:t>Example</w:t>
      </w:r>
      <w:r>
        <w:rPr>
          <w:sz w:val="22"/>
        </w:rPr>
        <w:t>: Given the following</w:t>
      </w:r>
      <w:r>
        <w:rPr>
          <w:spacing w:val="-5"/>
          <w:sz w:val="22"/>
        </w:rPr>
        <w:t> </w:t>
      </w:r>
      <w:r>
        <w:rPr>
          <w:sz w:val="22"/>
        </w:rPr>
        <w:t>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267"/>
        <w:gridCol w:w="891"/>
      </w:tblGrid>
      <w:tr>
        <w:trPr>
          <w:trHeight w:val="354" w:hRule="atLeast"/>
        </w:trPr>
        <w:tc>
          <w:tcPr>
            <w:tcW w:w="468" w:type="dxa"/>
            <w:shd w:val="clear" w:color="auto" w:fill="C0C0C0"/>
          </w:tcPr>
          <w:p>
            <w:pPr>
              <w:pStyle w:val="TableParagraph"/>
              <w:spacing w:before="0"/>
              <w:ind w:left="0"/>
              <w:rPr>
                <w:rFonts w:ascii="Times New Roman"/>
                <w:sz w:val="22"/>
              </w:rPr>
            </w:pPr>
          </w:p>
        </w:tc>
        <w:tc>
          <w:tcPr>
            <w:tcW w:w="1267" w:type="dxa"/>
            <w:shd w:val="clear" w:color="auto" w:fill="C0C0C0"/>
          </w:tcPr>
          <w:p>
            <w:pPr>
              <w:pStyle w:val="TableParagraph"/>
              <w:ind w:left="9"/>
              <w:jc w:val="center"/>
              <w:rPr>
                <w:b/>
                <w:sz w:val="22"/>
              </w:rPr>
            </w:pPr>
            <w:r>
              <w:rPr>
                <w:b/>
                <w:w w:val="100"/>
                <w:sz w:val="22"/>
              </w:rPr>
              <w:t>A</w:t>
            </w:r>
          </w:p>
        </w:tc>
        <w:tc>
          <w:tcPr>
            <w:tcW w:w="891" w:type="dxa"/>
            <w:shd w:val="clear" w:color="auto" w:fill="C0C0C0"/>
          </w:tcPr>
          <w:p>
            <w:pPr>
              <w:pStyle w:val="TableParagraph"/>
              <w:ind w:left="10"/>
              <w:jc w:val="center"/>
              <w:rPr>
                <w:b/>
                <w:sz w:val="22"/>
              </w:rPr>
            </w:pPr>
            <w:r>
              <w:rPr>
                <w:b/>
                <w:w w:val="100"/>
                <w:sz w:val="22"/>
              </w:rPr>
              <w:t>B</w:t>
            </w:r>
          </w:p>
        </w:tc>
      </w:tr>
      <w:tr>
        <w:trPr>
          <w:trHeight w:val="354" w:hRule="atLeast"/>
        </w:trPr>
        <w:tc>
          <w:tcPr>
            <w:tcW w:w="468" w:type="dxa"/>
          </w:tcPr>
          <w:p>
            <w:pPr>
              <w:pStyle w:val="TableParagraph"/>
              <w:rPr>
                <w:sz w:val="22"/>
              </w:rPr>
            </w:pPr>
            <w:r>
              <w:rPr>
                <w:w w:val="100"/>
                <w:sz w:val="22"/>
              </w:rPr>
              <w:t>1</w:t>
            </w:r>
          </w:p>
        </w:tc>
        <w:tc>
          <w:tcPr>
            <w:tcW w:w="1267" w:type="dxa"/>
          </w:tcPr>
          <w:p>
            <w:pPr>
              <w:pStyle w:val="TableParagraph"/>
              <w:ind w:left="114"/>
              <w:rPr>
                <w:sz w:val="22"/>
              </w:rPr>
            </w:pPr>
            <w:r>
              <w:rPr>
                <w:sz w:val="22"/>
              </w:rPr>
              <w:t>Frequency</w:t>
            </w:r>
          </w:p>
        </w:tc>
        <w:tc>
          <w:tcPr>
            <w:tcW w:w="891" w:type="dxa"/>
          </w:tcPr>
          <w:p>
            <w:pPr>
              <w:pStyle w:val="TableParagraph"/>
              <w:rPr>
                <w:sz w:val="22"/>
              </w:rPr>
            </w:pPr>
            <w:r>
              <w:rPr>
                <w:sz w:val="22"/>
              </w:rPr>
              <w:t>Color</w:t>
            </w:r>
          </w:p>
        </w:tc>
      </w:tr>
      <w:tr>
        <w:trPr>
          <w:trHeight w:val="354" w:hRule="atLeast"/>
        </w:trPr>
        <w:tc>
          <w:tcPr>
            <w:tcW w:w="468" w:type="dxa"/>
          </w:tcPr>
          <w:p>
            <w:pPr>
              <w:pStyle w:val="TableParagraph"/>
              <w:rPr>
                <w:sz w:val="22"/>
              </w:rPr>
            </w:pPr>
            <w:r>
              <w:rPr>
                <w:w w:val="100"/>
                <w:sz w:val="22"/>
              </w:rPr>
              <w:t>2</w:t>
            </w:r>
          </w:p>
        </w:tc>
        <w:tc>
          <w:tcPr>
            <w:tcW w:w="1267" w:type="dxa"/>
          </w:tcPr>
          <w:p>
            <w:pPr>
              <w:pStyle w:val="TableParagraph"/>
              <w:ind w:left="114"/>
              <w:rPr>
                <w:sz w:val="22"/>
              </w:rPr>
            </w:pPr>
            <w:r>
              <w:rPr>
                <w:sz w:val="22"/>
              </w:rPr>
              <w:t>4.14</w:t>
            </w:r>
          </w:p>
        </w:tc>
        <w:tc>
          <w:tcPr>
            <w:tcW w:w="891" w:type="dxa"/>
          </w:tcPr>
          <w:p>
            <w:pPr>
              <w:pStyle w:val="TableParagraph"/>
              <w:rPr>
                <w:sz w:val="22"/>
              </w:rPr>
            </w:pPr>
            <w:r>
              <w:rPr>
                <w:sz w:val="22"/>
              </w:rPr>
              <w:t>red</w:t>
            </w:r>
          </w:p>
        </w:tc>
      </w:tr>
      <w:tr>
        <w:trPr>
          <w:trHeight w:val="352" w:hRule="atLeast"/>
        </w:trPr>
        <w:tc>
          <w:tcPr>
            <w:tcW w:w="468" w:type="dxa"/>
          </w:tcPr>
          <w:p>
            <w:pPr>
              <w:pStyle w:val="TableParagraph"/>
              <w:rPr>
                <w:sz w:val="22"/>
              </w:rPr>
            </w:pPr>
            <w:r>
              <w:rPr>
                <w:w w:val="100"/>
                <w:sz w:val="22"/>
              </w:rPr>
              <w:t>3</w:t>
            </w:r>
          </w:p>
        </w:tc>
        <w:tc>
          <w:tcPr>
            <w:tcW w:w="1267" w:type="dxa"/>
          </w:tcPr>
          <w:p>
            <w:pPr>
              <w:pStyle w:val="TableParagraph"/>
              <w:ind w:left="114"/>
              <w:rPr>
                <w:sz w:val="22"/>
              </w:rPr>
            </w:pPr>
            <w:r>
              <w:rPr>
                <w:sz w:val="22"/>
              </w:rPr>
              <w:t>4.19</w:t>
            </w:r>
          </w:p>
        </w:tc>
        <w:tc>
          <w:tcPr>
            <w:tcW w:w="891" w:type="dxa"/>
          </w:tcPr>
          <w:p>
            <w:pPr>
              <w:pStyle w:val="TableParagraph"/>
              <w:rPr>
                <w:sz w:val="22"/>
              </w:rPr>
            </w:pPr>
            <w:r>
              <w:rPr>
                <w:sz w:val="22"/>
              </w:rPr>
              <w:t>orange</w:t>
            </w:r>
          </w:p>
        </w:tc>
      </w:tr>
      <w:tr>
        <w:trPr>
          <w:trHeight w:val="354" w:hRule="atLeast"/>
        </w:trPr>
        <w:tc>
          <w:tcPr>
            <w:tcW w:w="468" w:type="dxa"/>
          </w:tcPr>
          <w:p>
            <w:pPr>
              <w:pStyle w:val="TableParagraph"/>
              <w:spacing w:before="42"/>
              <w:rPr>
                <w:sz w:val="22"/>
              </w:rPr>
            </w:pPr>
            <w:r>
              <w:rPr>
                <w:w w:val="100"/>
                <w:sz w:val="22"/>
              </w:rPr>
              <w:t>4</w:t>
            </w:r>
          </w:p>
        </w:tc>
        <w:tc>
          <w:tcPr>
            <w:tcW w:w="1267" w:type="dxa"/>
          </w:tcPr>
          <w:p>
            <w:pPr>
              <w:pStyle w:val="TableParagraph"/>
              <w:spacing w:before="42"/>
              <w:ind w:left="114"/>
              <w:rPr>
                <w:sz w:val="22"/>
              </w:rPr>
            </w:pPr>
            <w:r>
              <w:rPr>
                <w:sz w:val="22"/>
              </w:rPr>
              <w:t>5.17</w:t>
            </w:r>
          </w:p>
        </w:tc>
        <w:tc>
          <w:tcPr>
            <w:tcW w:w="891" w:type="dxa"/>
          </w:tcPr>
          <w:p>
            <w:pPr>
              <w:pStyle w:val="TableParagraph"/>
              <w:spacing w:before="42"/>
              <w:rPr>
                <w:sz w:val="22"/>
              </w:rPr>
            </w:pPr>
            <w:r>
              <w:rPr>
                <w:sz w:val="22"/>
              </w:rPr>
              <w:t>yellow</w:t>
            </w:r>
          </w:p>
        </w:tc>
      </w:tr>
      <w:tr>
        <w:trPr>
          <w:trHeight w:val="354" w:hRule="atLeast"/>
        </w:trPr>
        <w:tc>
          <w:tcPr>
            <w:tcW w:w="468" w:type="dxa"/>
          </w:tcPr>
          <w:p>
            <w:pPr>
              <w:pStyle w:val="TableParagraph"/>
              <w:rPr>
                <w:sz w:val="22"/>
              </w:rPr>
            </w:pPr>
            <w:r>
              <w:rPr>
                <w:w w:val="100"/>
                <w:sz w:val="22"/>
              </w:rPr>
              <w:t>5</w:t>
            </w:r>
          </w:p>
        </w:tc>
        <w:tc>
          <w:tcPr>
            <w:tcW w:w="1267" w:type="dxa"/>
          </w:tcPr>
          <w:p>
            <w:pPr>
              <w:pStyle w:val="TableParagraph"/>
              <w:ind w:left="114"/>
              <w:rPr>
                <w:sz w:val="22"/>
              </w:rPr>
            </w:pPr>
            <w:r>
              <w:rPr>
                <w:sz w:val="22"/>
              </w:rPr>
              <w:t>5.77</w:t>
            </w:r>
          </w:p>
        </w:tc>
        <w:tc>
          <w:tcPr>
            <w:tcW w:w="891" w:type="dxa"/>
          </w:tcPr>
          <w:p>
            <w:pPr>
              <w:pStyle w:val="TableParagraph"/>
              <w:rPr>
                <w:sz w:val="22"/>
              </w:rPr>
            </w:pPr>
            <w:r>
              <w:rPr>
                <w:sz w:val="22"/>
              </w:rPr>
              <w:t>green</w:t>
            </w:r>
          </w:p>
        </w:tc>
      </w:tr>
      <w:tr>
        <w:trPr>
          <w:trHeight w:val="354" w:hRule="atLeast"/>
        </w:trPr>
        <w:tc>
          <w:tcPr>
            <w:tcW w:w="468" w:type="dxa"/>
          </w:tcPr>
          <w:p>
            <w:pPr>
              <w:pStyle w:val="TableParagraph"/>
              <w:rPr>
                <w:sz w:val="22"/>
              </w:rPr>
            </w:pPr>
            <w:r>
              <w:rPr>
                <w:w w:val="100"/>
                <w:sz w:val="22"/>
              </w:rPr>
              <w:t>6</w:t>
            </w:r>
          </w:p>
        </w:tc>
        <w:tc>
          <w:tcPr>
            <w:tcW w:w="1267" w:type="dxa"/>
          </w:tcPr>
          <w:p>
            <w:pPr>
              <w:pStyle w:val="TableParagraph"/>
              <w:ind w:left="114"/>
              <w:rPr>
                <w:sz w:val="22"/>
              </w:rPr>
            </w:pPr>
            <w:r>
              <w:rPr>
                <w:sz w:val="22"/>
              </w:rPr>
              <w:t>6.39</w:t>
            </w:r>
          </w:p>
        </w:tc>
        <w:tc>
          <w:tcPr>
            <w:tcW w:w="891" w:type="dxa"/>
          </w:tcPr>
          <w:p>
            <w:pPr>
              <w:pStyle w:val="TableParagraph"/>
              <w:rPr>
                <w:sz w:val="22"/>
              </w:rPr>
            </w:pPr>
            <w:r>
              <w:rPr>
                <w:sz w:val="22"/>
              </w:rPr>
              <w:t>blue</w:t>
            </w:r>
          </w:p>
        </w:tc>
      </w:tr>
    </w:tbl>
    <w:p>
      <w:pPr>
        <w:pStyle w:val="BodyText"/>
      </w:pPr>
    </w:p>
    <w:p>
      <w:pPr>
        <w:pStyle w:val="BodyText"/>
        <w:spacing w:before="5"/>
        <w:rPr>
          <w:sz w:val="19"/>
        </w:rPr>
      </w:pPr>
    </w:p>
    <w:p>
      <w:pPr>
        <w:pStyle w:val="BodyText"/>
        <w:spacing w:line="278" w:lineRule="auto" w:before="1"/>
        <w:ind w:left="220" w:right="5911"/>
        <w:rPr>
          <w:rFonts w:ascii="Consolas"/>
        </w:rPr>
      </w:pPr>
      <w:r>
        <w:rPr>
          <w:rFonts w:ascii="Consolas"/>
        </w:rPr>
        <w:t>LOOKUP(4.19,A2:A6,B2:B6)</w:t>
      </w:r>
      <w:r>
        <w:rPr>
          <w:rFonts w:ascii="Consolas"/>
          <w:spacing w:val="-85"/>
        </w:rPr>
        <w:t> </w:t>
      </w:r>
      <w:r>
        <w:rPr/>
        <w:t>results in </w:t>
      </w:r>
      <w:r>
        <w:rPr>
          <w:rFonts w:ascii="Consolas"/>
        </w:rPr>
        <w:t>orange LOOKUP(5,A2:A6,B2:B6) </w:t>
      </w:r>
      <w:r>
        <w:rPr/>
        <w:t>results in </w:t>
      </w:r>
      <w:r>
        <w:rPr>
          <w:rFonts w:ascii="Consolas"/>
        </w:rPr>
        <w:t>orange LOOKUP(7.66,A2:A6,B2:B6)</w:t>
      </w:r>
      <w:r>
        <w:rPr>
          <w:rFonts w:ascii="Consolas"/>
          <w:spacing w:val="-76"/>
        </w:rPr>
        <w:t> </w:t>
      </w:r>
      <w:r>
        <w:rPr/>
        <w:t>results in </w:t>
      </w:r>
      <w:r>
        <w:rPr>
          <w:rFonts w:ascii="Consolas"/>
        </w:rPr>
        <w:t>blue</w:t>
      </w:r>
    </w:p>
    <w:p>
      <w:pPr>
        <w:pStyle w:val="BodyText"/>
        <w:rPr>
          <w:rFonts w:ascii="Consolas"/>
        </w:rPr>
      </w:pPr>
    </w:p>
    <w:p>
      <w:pPr>
        <w:pStyle w:val="BodyText"/>
        <w:rPr>
          <w:rFonts w:ascii="Consolas"/>
        </w:rPr>
      </w:pPr>
    </w:p>
    <w:p>
      <w:pPr>
        <w:pStyle w:val="BodyText"/>
        <w:spacing w:before="172"/>
        <w:ind w:left="220"/>
        <w:rPr>
          <w:rFonts w:ascii="Consolas"/>
        </w:rPr>
      </w:pPr>
      <w:r>
        <w:rPr>
          <w:rFonts w:ascii="Consolas"/>
        </w:rPr>
        <w:t>LOOKUP("C",{"a","b","c","d";1,2,3,4})</w:t>
      </w:r>
      <w:r>
        <w:rPr>
          <w:rFonts w:ascii="Consolas"/>
          <w:spacing w:val="-64"/>
        </w:rPr>
        <w:t> </w:t>
      </w:r>
      <w:r>
        <w:rPr/>
        <w:t>results in </w:t>
      </w:r>
      <w:r>
        <w:rPr>
          <w:rFonts w:ascii="Consolas"/>
        </w:rPr>
        <w:t>3</w:t>
      </w:r>
    </w:p>
    <w:p>
      <w:pPr>
        <w:pStyle w:val="BodyText"/>
        <w:spacing w:before="41"/>
        <w:ind w:left="220"/>
        <w:rPr>
          <w:rFonts w:ascii="Consolas"/>
        </w:rPr>
      </w:pPr>
      <w:r>
        <w:rPr>
          <w:rFonts w:ascii="Consolas"/>
        </w:rPr>
        <w:t>LOOKUP("bump",{"a",1;"b",2;"c",3})</w:t>
      </w:r>
      <w:r>
        <w:rPr>
          <w:rFonts w:ascii="Consolas"/>
          <w:spacing w:val="-69"/>
        </w:rPr>
        <w:t> </w:t>
      </w:r>
      <w:r>
        <w:rPr/>
        <w:t>results in </w:t>
      </w:r>
      <w:r>
        <w:rPr>
          <w:rFonts w:ascii="Consolas"/>
        </w:rPr>
        <w:t>2</w:t>
      </w:r>
    </w:p>
    <w:p>
      <w:pPr>
        <w:spacing w:after="0"/>
        <w:rPr>
          <w:rFonts w:ascii="Consolas"/>
        </w:rPr>
        <w:sectPr>
          <w:pgSz w:w="12240" w:h="15840"/>
          <w:pgMar w:header="761" w:footer="746" w:top="1340" w:bottom="940" w:left="860" w:right="700"/>
        </w:sectPr>
      </w:pPr>
    </w:p>
    <w:p>
      <w:pPr>
        <w:pStyle w:val="BodyText"/>
        <w:rPr>
          <w:rFonts w:ascii="Consolas"/>
          <w:sz w:val="20"/>
        </w:rPr>
      </w:pPr>
    </w:p>
    <w:p>
      <w:pPr>
        <w:pStyle w:val="BodyText"/>
        <w:spacing w:before="1"/>
        <w:rPr>
          <w:rFonts w:ascii="Consolas"/>
          <w:sz w:val="1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3 LOWER" w:id="2001"/>
      <w:bookmarkEnd w:id="2001"/>
      <w:r>
        <w:rPr/>
      </w:r>
      <w:bookmarkStart w:name="_bookmark666" w:id="2002"/>
      <w:bookmarkEnd w:id="2002"/>
      <w:r>
        <w:rPr/>
      </w:r>
      <w:bookmarkStart w:name="_bookmark666" w:id="2003"/>
      <w:bookmarkEnd w:id="2003"/>
      <w:r>
        <w:rPr>
          <w:color w:val="4F81BC"/>
        </w:rPr>
        <w:t>L</w:t>
      </w:r>
      <w:r>
        <w:rPr>
          <w:color w:val="4F81BC"/>
        </w:rPr>
        <w:t>OWER</w:t>
      </w:r>
    </w:p>
    <w:p>
      <w:pPr>
        <w:pStyle w:val="Heading4"/>
        <w:spacing w:before="123"/>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LOWER ( </w:t>
      </w:r>
      <w:r>
        <w:rPr>
          <w:i/>
          <w:sz w:val="22"/>
        </w:rPr>
        <w:t>string </w:t>
      </w:r>
      <w:r>
        <w:rPr>
          <w:rFonts w:ascii="Lucida Console"/>
          <w:sz w:val="20"/>
        </w:rPr>
        <w:t>)</w:t>
      </w:r>
    </w:p>
    <w:p>
      <w:pPr>
        <w:pStyle w:val="BodyText"/>
        <w:spacing w:line="276" w:lineRule="auto" w:before="105"/>
        <w:ind w:left="220" w:right="503"/>
      </w:pPr>
      <w:r>
        <w:rPr>
          <w:b/>
        </w:rPr>
        <w:t>Description: </w:t>
      </w:r>
      <w:r>
        <w:rPr/>
        <w:t>Makes a lowercase version of </w:t>
      </w:r>
      <w:r>
        <w:rPr>
          <w:rFonts w:ascii="Times New Roman"/>
          <w:i/>
        </w:rPr>
        <w:t>string </w:t>
      </w:r>
      <w:r>
        <w:rPr/>
        <w:t>by doing a character-by-character conversion of </w:t>
      </w:r>
      <w:r>
        <w:rPr>
          <w:rFonts w:ascii="Times New Roman"/>
          <w:i/>
        </w:rPr>
        <w:t>string </w:t>
      </w:r>
      <w:r>
        <w:rPr/>
        <w:t>to lowercase, except as noted below. [</w:t>
      </w:r>
      <w:r>
        <w:rPr>
          <w:i/>
        </w:rPr>
        <w:t>Note</w:t>
      </w:r>
      <w:r>
        <w:rPr/>
        <w:t>: The conversion of characters in </w:t>
      </w:r>
      <w:r>
        <w:rPr>
          <w:rFonts w:ascii="Times New Roman"/>
          <w:i/>
        </w:rPr>
        <w:t>string </w:t>
      </w:r>
      <w:r>
        <w:rPr/>
        <w:t>is not dependent on position/context of the character within the string, except as noted below. </w:t>
      </w:r>
      <w:r>
        <w:rPr>
          <w:i/>
        </w:rPr>
        <w:t>end note</w:t>
      </w:r>
      <w:r>
        <w:rPr/>
        <w:t>]</w:t>
      </w:r>
    </w:p>
    <w:p>
      <w:pPr>
        <w:pStyle w:val="BodyText"/>
        <w:spacing w:before="6"/>
        <w:rPr>
          <w:sz w:val="16"/>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tcBorders>
              <w:left w:val="single" w:sz="4" w:space="0" w:color="000000"/>
              <w:bottom w:val="single" w:sz="4" w:space="0" w:color="000000"/>
              <w:right w:val="single" w:sz="4" w:space="0" w:color="000000"/>
            </w:tcBorders>
            <w:shd w:val="clear" w:color="auto" w:fill="C0C0C0"/>
          </w:tcPr>
          <w:p>
            <w:pPr>
              <w:pStyle w:val="TableParagraph"/>
              <w:spacing w:before="37"/>
              <w:ind w:left="460"/>
              <w:rPr>
                <w:b/>
                <w:sz w:val="22"/>
              </w:rPr>
            </w:pPr>
            <w:r>
              <w:rPr>
                <w:b/>
                <w:sz w:val="22"/>
              </w:rPr>
              <w:t>Name</w:t>
            </w:r>
          </w:p>
        </w:tc>
        <w:tc>
          <w:tcPr>
            <w:tcW w:w="1800" w:type="dxa"/>
            <w:tcBorders>
              <w:left w:val="single" w:sz="4" w:space="0" w:color="000000"/>
              <w:bottom w:val="single" w:sz="4" w:space="0" w:color="000000"/>
              <w:right w:val="single" w:sz="4" w:space="0" w:color="000000"/>
            </w:tcBorders>
            <w:shd w:val="clear" w:color="auto" w:fill="C0C0C0"/>
          </w:tcPr>
          <w:p>
            <w:pPr>
              <w:pStyle w:val="TableParagraph"/>
              <w:spacing w:before="37"/>
              <w:ind w:left="94" w:right="86"/>
              <w:jc w:val="center"/>
              <w:rPr>
                <w:b/>
                <w:sz w:val="22"/>
              </w:rPr>
            </w:pPr>
            <w:r>
              <w:rPr>
                <w:b/>
                <w:sz w:val="22"/>
              </w:rPr>
              <w:t>Type</w:t>
            </w:r>
          </w:p>
        </w:tc>
        <w:tc>
          <w:tcPr>
            <w:tcW w:w="5400" w:type="dxa"/>
            <w:tcBorders>
              <w:left w:val="single" w:sz="4" w:space="0" w:color="000000"/>
              <w:bottom w:val="single" w:sz="4" w:space="0" w:color="000000"/>
              <w:right w:val="single" w:sz="4" w:space="0" w:color="000000"/>
            </w:tcBorders>
            <w:shd w:val="clear" w:color="auto" w:fill="C0C0C0"/>
          </w:tcPr>
          <w:p>
            <w:pPr>
              <w:pStyle w:val="TableParagraph"/>
              <w:spacing w:before="37"/>
              <w:ind w:left="93" w:right="86"/>
              <w:jc w:val="center"/>
              <w:rPr>
                <w:b/>
                <w:sz w:val="22"/>
              </w:rPr>
            </w:pPr>
            <w:r>
              <w:rPr>
                <w:b/>
                <w:sz w:val="22"/>
              </w:rPr>
              <w:t>Description</w:t>
            </w:r>
          </w:p>
        </w:tc>
      </w:tr>
      <w:tr>
        <w:trPr>
          <w:trHeight w:val="354" w:hRule="atLeast"/>
        </w:trPr>
        <w:tc>
          <w:tcPr>
            <w:tcW w:w="1466" w:type="dxa"/>
            <w:tcBorders>
              <w:top w:val="single" w:sz="4" w:space="0" w:color="000000"/>
              <w:left w:val="single" w:sz="4" w:space="0" w:color="000000"/>
              <w:bottom w:val="single" w:sz="4" w:space="0" w:color="000000"/>
              <w:right w:val="single" w:sz="4" w:space="0" w:color="000000"/>
            </w:tcBorders>
          </w:tcPr>
          <w:p>
            <w:pPr>
              <w:pStyle w:val="TableParagraph"/>
              <w:spacing w:before="37"/>
              <w:rPr>
                <w:rFonts w:ascii="Times New Roman"/>
                <w:i/>
                <w:sz w:val="22"/>
              </w:rPr>
            </w:pPr>
            <w:r>
              <w:rPr>
                <w:rFonts w:ascii="Times New Roman"/>
                <w:i/>
                <w:sz w:val="22"/>
              </w:rPr>
              <w:t>string</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ind w:left="112"/>
              <w:rPr>
                <w:sz w:val="22"/>
              </w:rPr>
            </w:pPr>
            <w:r>
              <w:rPr>
                <w:sz w:val="22"/>
              </w:rPr>
              <w:t>text</w:t>
            </w:r>
          </w:p>
        </w:tc>
        <w:tc>
          <w:tcPr>
            <w:tcW w:w="5400" w:type="dxa"/>
            <w:tcBorders>
              <w:top w:val="single" w:sz="4" w:space="0" w:color="000000"/>
              <w:left w:val="single" w:sz="4" w:space="0" w:color="000000"/>
              <w:bottom w:val="single" w:sz="4" w:space="0" w:color="000000"/>
              <w:right w:val="single" w:sz="4" w:space="0" w:color="000000"/>
            </w:tcBorders>
          </w:tcPr>
          <w:p>
            <w:pPr>
              <w:pStyle w:val="TableParagraph"/>
              <w:ind w:left="113"/>
              <w:rPr>
                <w:sz w:val="22"/>
              </w:rPr>
            </w:pPr>
            <w:r>
              <w:rPr>
                <w:sz w:val="22"/>
              </w:rPr>
              <w:t>Designates the string to be converted.</w:t>
            </w:r>
          </w:p>
        </w:tc>
      </w:tr>
    </w:tbl>
    <w:p>
      <w:pPr>
        <w:pStyle w:val="BodyText"/>
        <w:rPr>
          <w:b/>
        </w:rPr>
      </w:pPr>
    </w:p>
    <w:p>
      <w:pPr>
        <w:pStyle w:val="BodyText"/>
        <w:spacing w:before="5"/>
        <w:rPr>
          <w:b/>
          <w:sz w:val="19"/>
        </w:rPr>
      </w:pPr>
    </w:p>
    <w:p>
      <w:pPr>
        <w:pStyle w:val="BodyText"/>
        <w:spacing w:line="276" w:lineRule="auto"/>
        <w:ind w:left="220" w:right="397"/>
      </w:pPr>
      <w:r>
        <w:rPr>
          <w:b/>
        </w:rPr>
        <w:t>Return Type and Value: </w:t>
      </w:r>
      <w:r>
        <w:rPr/>
        <w:t>text – The lowercase version of </w:t>
      </w:r>
      <w:r>
        <w:rPr>
          <w:rFonts w:ascii="Times New Roman" w:hAnsi="Times New Roman"/>
          <w:i/>
        </w:rPr>
        <w:t>string </w:t>
      </w:r>
      <w:r>
        <w:rPr/>
        <w:t>after doing a character-by-character conversion to lowercase. However, there is one exception; when Σ (U+03A3) is found in a word-final position, it is converted to ς (U+03C2) instead of σ</w:t>
      </w:r>
      <w:r>
        <w:rPr>
          <w:spacing w:val="-7"/>
        </w:rPr>
        <w:t> </w:t>
      </w:r>
      <w:r>
        <w:rPr/>
        <w:t>(U+03C3).</w:t>
      </w:r>
    </w:p>
    <w:p>
      <w:pPr>
        <w:pStyle w:val="BodyText"/>
        <w:spacing w:before="4"/>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8"/>
        <w:rPr>
          <w:sz w:val="28"/>
        </w:rPr>
      </w:pPr>
    </w:p>
    <w:p>
      <w:pPr>
        <w:pStyle w:val="BodyText"/>
        <w:spacing w:before="1"/>
        <w:ind w:left="220"/>
        <w:rPr>
          <w:rFonts w:ascii="Consolas"/>
        </w:rPr>
      </w:pPr>
      <w:r>
        <w:rPr>
          <w:rFonts w:ascii="Consolas"/>
        </w:rPr>
        <w:t>LOWER("AbCd123#$%^")</w:t>
      </w:r>
      <w:r>
        <w:rPr>
          <w:rFonts w:ascii="Consolas"/>
          <w:spacing w:val="-72"/>
        </w:rPr>
        <w:t> </w:t>
      </w:r>
      <w:r>
        <w:rPr/>
        <w:t>results in </w:t>
      </w:r>
      <w:r>
        <w:rPr>
          <w:rFonts w:ascii="Consolas"/>
        </w:rPr>
        <w:t>abcd123#$%^</w:t>
      </w:r>
    </w:p>
    <w:p>
      <w:pPr>
        <w:pStyle w:val="BodyText"/>
        <w:spacing w:before="39"/>
        <w:ind w:left="220"/>
        <w:rPr>
          <w:rFonts w:ascii="Consolas"/>
        </w:rPr>
      </w:pPr>
      <w:r>
        <w:rPr>
          <w:rFonts w:ascii="Consolas"/>
        </w:rPr>
        <w:t>LOWER(A10)</w:t>
      </w:r>
      <w:r>
        <w:rPr>
          <w:rFonts w:ascii="Consolas"/>
          <w:spacing w:val="-80"/>
        </w:rPr>
        <w:t> </w:t>
      </w:r>
      <w:r>
        <w:rPr/>
        <w:t>results in </w:t>
      </w:r>
      <w:r>
        <w:rPr>
          <w:rFonts w:ascii="Consolas"/>
        </w:rPr>
        <w:t>234frtqwc$#%</w:t>
      </w:r>
      <w:r>
        <w:rPr/>
        <w:t>, when A10 contains </w:t>
      </w:r>
      <w:r>
        <w:rPr>
          <w:rFonts w:ascii="Consolas"/>
        </w:rPr>
        <w:t>234FRTqwc$#%</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4 MATCH" w:id="2004"/>
      <w:bookmarkEnd w:id="2004"/>
      <w:r>
        <w:rPr/>
      </w:r>
      <w:bookmarkStart w:name="_bookmark667" w:id="2005"/>
      <w:bookmarkEnd w:id="2005"/>
      <w:r>
        <w:rPr/>
      </w:r>
      <w:bookmarkStart w:name="_bookmark667" w:id="2006"/>
      <w:bookmarkEnd w:id="2006"/>
      <w:r>
        <w:rPr>
          <w:color w:val="4F81BC"/>
        </w:rPr>
        <w:t>M</w:t>
      </w:r>
      <w:r>
        <w:rPr>
          <w:color w:val="4F81BC"/>
        </w:rPr>
        <w:t>ATCH</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MATCH ( </w:t>
      </w:r>
      <w:r>
        <w:rPr>
          <w:i/>
          <w:sz w:val="22"/>
        </w:rPr>
        <w:t>lookup-value </w:t>
      </w:r>
      <w:r>
        <w:rPr>
          <w:rFonts w:ascii="Lucida Console"/>
          <w:sz w:val="20"/>
        </w:rPr>
        <w:t>, </w:t>
      </w:r>
      <w:r>
        <w:rPr>
          <w:i/>
          <w:sz w:val="22"/>
        </w:rPr>
        <w:t>lookup-array </w:t>
      </w:r>
      <w:r>
        <w:rPr>
          <w:sz w:val="22"/>
        </w:rPr>
        <w:t>[ </w:t>
      </w:r>
      <w:r>
        <w:rPr>
          <w:rFonts w:ascii="Lucida Console"/>
          <w:sz w:val="20"/>
        </w:rPr>
        <w:t>,</w:t>
      </w:r>
      <w:r>
        <w:rPr>
          <w:rFonts w:ascii="Lucida Console"/>
          <w:spacing w:val="-86"/>
          <w:sz w:val="20"/>
        </w:rPr>
        <w:t> </w:t>
      </w:r>
      <w:r>
        <w:rPr>
          <w:sz w:val="22"/>
        </w:rPr>
        <w:t>[ </w:t>
      </w:r>
      <w:r>
        <w:rPr>
          <w:i/>
          <w:sz w:val="22"/>
        </w:rPr>
        <w:t>match-type </w:t>
      </w:r>
      <w:r>
        <w:rPr>
          <w:sz w:val="22"/>
        </w:rPr>
        <w:t>] ] </w:t>
      </w:r>
      <w:r>
        <w:rPr>
          <w:rFonts w:ascii="Lucida Console"/>
          <w:sz w:val="20"/>
        </w:rPr>
        <w:t>)</w:t>
      </w:r>
    </w:p>
    <w:p>
      <w:pPr>
        <w:pStyle w:val="BodyText"/>
        <w:spacing w:before="105"/>
        <w:ind w:left="220"/>
      </w:pPr>
      <w:r>
        <w:rPr>
          <w:b/>
        </w:rPr>
        <w:t>Description</w:t>
      </w:r>
      <w:r>
        <w:rPr/>
        <w:t>: Locates the relative position of an array item that matches a specified value in a specified order.</w:t>
      </w:r>
    </w:p>
    <w:p>
      <w:pPr>
        <w:pStyle w:val="BodyText"/>
        <w:spacing w:before="44"/>
        <w:ind w:left="220"/>
      </w:pPr>
      <w:r>
        <w:rPr>
          <w:rFonts w:ascii="Consolas"/>
        </w:rPr>
        <w:t>MATCH</w:t>
      </w:r>
      <w:r>
        <w:rPr>
          <w:rFonts w:ascii="Consolas"/>
          <w:spacing w:val="-85"/>
        </w:rPr>
        <w:t> </w:t>
      </w:r>
      <w:r>
        <w:rPr/>
        <w:t>shall not distinguish between uppercase and lowercase letters when matching strings.</w:t>
      </w:r>
    </w:p>
    <w:p>
      <w:pPr>
        <w:pStyle w:val="BodyText"/>
        <w:spacing w:before="8"/>
        <w:rPr>
          <w:sz w:val="19"/>
        </w:rPr>
      </w:pPr>
    </w:p>
    <w:p>
      <w:pPr>
        <w:pStyle w:val="Heading4"/>
        <w:rPr>
          <w:b w:val="0"/>
        </w:rPr>
      </w:pPr>
      <w:r>
        <w:rPr/>
        <w:t>Arguments</w:t>
      </w:r>
      <w:r>
        <w:rPr>
          <w:b w:val="0"/>
        </w:rPr>
        <w:t>:</w:t>
      </w:r>
    </w:p>
    <w:p>
      <w:pPr>
        <w:pStyle w:val="BodyText"/>
        <w:spacing w:before="10"/>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4" w:right="86"/>
              <w:jc w:val="center"/>
              <w:rPr>
                <w:b/>
                <w:sz w:val="22"/>
              </w:rPr>
            </w:pPr>
            <w:r>
              <w:rPr>
                <w:b/>
                <w:sz w:val="22"/>
              </w:rPr>
              <w:t>Description</w:t>
            </w:r>
          </w:p>
        </w:tc>
      </w:tr>
      <w:tr>
        <w:trPr>
          <w:trHeight w:val="1696" w:hRule="atLeast"/>
        </w:trPr>
        <w:tc>
          <w:tcPr>
            <w:tcW w:w="1466" w:type="dxa"/>
          </w:tcPr>
          <w:p>
            <w:pPr>
              <w:pStyle w:val="TableParagraph"/>
              <w:spacing w:before="37"/>
              <w:ind w:left="37" w:right="109"/>
              <w:jc w:val="center"/>
              <w:rPr>
                <w:rFonts w:ascii="Times New Roman"/>
                <w:i/>
                <w:sz w:val="22"/>
              </w:rPr>
            </w:pPr>
            <w:r>
              <w:rPr>
                <w:rFonts w:ascii="Times New Roman"/>
                <w:i/>
                <w:sz w:val="22"/>
              </w:rPr>
              <w:t>lookup-value</w:t>
            </w:r>
          </w:p>
        </w:tc>
        <w:tc>
          <w:tcPr>
            <w:tcW w:w="1800" w:type="dxa"/>
          </w:tcPr>
          <w:p>
            <w:pPr>
              <w:pStyle w:val="TableParagraph"/>
              <w:ind w:left="112" w:right="283"/>
              <w:rPr>
                <w:sz w:val="22"/>
              </w:rPr>
            </w:pPr>
            <w:r>
              <w:rPr>
                <w:sz w:val="22"/>
              </w:rPr>
              <w:t>number, string, logical, name, reference</w:t>
            </w:r>
          </w:p>
        </w:tc>
        <w:tc>
          <w:tcPr>
            <w:tcW w:w="5400" w:type="dxa"/>
          </w:tcPr>
          <w:p>
            <w:pPr>
              <w:pStyle w:val="TableParagraph"/>
              <w:ind w:left="113" w:right="127"/>
              <w:rPr>
                <w:sz w:val="22"/>
              </w:rPr>
            </w:pPr>
            <w:r>
              <w:rPr>
                <w:sz w:val="22"/>
              </w:rPr>
              <w:t>The value to search for in </w:t>
            </w:r>
            <w:r>
              <w:rPr>
                <w:rFonts w:ascii="Times New Roman"/>
                <w:i/>
                <w:sz w:val="22"/>
              </w:rPr>
              <w:t>lookup-array</w:t>
            </w:r>
            <w:r>
              <w:rPr>
                <w:sz w:val="22"/>
              </w:rPr>
              <w:t>. If </w:t>
            </w:r>
            <w:r>
              <w:rPr>
                <w:rFonts w:ascii="Times New Roman"/>
                <w:i/>
                <w:sz w:val="22"/>
              </w:rPr>
              <w:t>match-type </w:t>
            </w:r>
            <w:r>
              <w:rPr>
                <w:sz w:val="22"/>
              </w:rPr>
              <w:t>is 0 and </w:t>
            </w:r>
            <w:r>
              <w:rPr>
                <w:rFonts w:ascii="Times New Roman"/>
                <w:i/>
                <w:sz w:val="22"/>
              </w:rPr>
              <w:t>lookup-value </w:t>
            </w:r>
            <w:r>
              <w:rPr>
                <w:sz w:val="22"/>
              </w:rPr>
              <w:t>is a string, the wildcard characters, question mark (</w:t>
            </w:r>
            <w:r>
              <w:rPr>
                <w:rFonts w:ascii="Consolas"/>
                <w:sz w:val="22"/>
              </w:rPr>
              <w:t>?</w:t>
            </w:r>
            <w:r>
              <w:rPr>
                <w:sz w:val="22"/>
              </w:rPr>
              <w:t>) and asterisk (</w:t>
            </w:r>
            <w:r>
              <w:rPr>
                <w:rFonts w:ascii="Consolas"/>
                <w:sz w:val="22"/>
              </w:rPr>
              <w:t>*</w:t>
            </w:r>
            <w:r>
              <w:rPr>
                <w:sz w:val="22"/>
              </w:rPr>
              <w:t>), can be used in </w:t>
            </w:r>
            <w:r>
              <w:rPr>
                <w:rFonts w:ascii="Times New Roman"/>
                <w:i/>
                <w:sz w:val="22"/>
              </w:rPr>
              <w:t>lookup- </w:t>
            </w:r>
            <w:r>
              <w:rPr>
                <w:rFonts w:ascii="Times New Roman"/>
                <w:i/>
                <w:sz w:val="22"/>
              </w:rPr>
              <w:t>value</w:t>
            </w:r>
            <w:r>
              <w:rPr>
                <w:sz w:val="22"/>
              </w:rPr>
              <w:t>. A question mark matches any single character; an asterisk matches any sequence of characters. To locate a question mark or asterisk, precede that character with a</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286"/>
        <w:gridCol w:w="3153"/>
        <w:gridCol w:w="121"/>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5" w:right="2144"/>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397" w:type="dxa"/>
            <w:gridSpan w:val="4"/>
          </w:tcPr>
          <w:p>
            <w:pPr>
              <w:pStyle w:val="TableParagraph"/>
              <w:ind w:left="113"/>
              <w:rPr>
                <w:sz w:val="22"/>
              </w:rPr>
            </w:pPr>
            <w:r>
              <w:rPr>
                <w:sz w:val="22"/>
              </w:rPr>
              <w:t>tilde (</w:t>
            </w:r>
            <w:r>
              <w:rPr>
                <w:rFonts w:ascii="Consolas"/>
                <w:sz w:val="22"/>
              </w:rPr>
              <w:t>~</w:t>
            </w:r>
            <w:r>
              <w:rPr>
                <w:sz w:val="22"/>
              </w:rPr>
              <w:t>).</w:t>
            </w:r>
          </w:p>
        </w:tc>
      </w:tr>
      <w:tr>
        <w:trPr>
          <w:trHeight w:val="623" w:hRule="atLeast"/>
        </w:trPr>
        <w:tc>
          <w:tcPr>
            <w:tcW w:w="1466" w:type="dxa"/>
          </w:tcPr>
          <w:p>
            <w:pPr>
              <w:pStyle w:val="TableParagraph"/>
              <w:spacing w:before="37"/>
              <w:ind w:left="48" w:right="109"/>
              <w:jc w:val="center"/>
              <w:rPr>
                <w:rFonts w:ascii="Times New Roman"/>
                <w:i/>
                <w:sz w:val="22"/>
              </w:rPr>
            </w:pPr>
            <w:r>
              <w:rPr>
                <w:rFonts w:ascii="Times New Roman"/>
                <w:i/>
                <w:sz w:val="22"/>
              </w:rPr>
              <w:t>lookup-array</w:t>
            </w:r>
          </w:p>
        </w:tc>
        <w:tc>
          <w:tcPr>
            <w:tcW w:w="1800" w:type="dxa"/>
          </w:tcPr>
          <w:p>
            <w:pPr>
              <w:pStyle w:val="TableParagraph"/>
              <w:ind w:left="112"/>
              <w:rPr>
                <w:sz w:val="22"/>
              </w:rPr>
            </w:pPr>
            <w:r>
              <w:rPr>
                <w:sz w:val="22"/>
              </w:rPr>
              <w:t>array, reference</w:t>
            </w:r>
          </w:p>
        </w:tc>
        <w:tc>
          <w:tcPr>
            <w:tcW w:w="5397" w:type="dxa"/>
            <w:gridSpan w:val="4"/>
          </w:tcPr>
          <w:p>
            <w:pPr>
              <w:pStyle w:val="TableParagraph"/>
              <w:ind w:left="113" w:right="426"/>
              <w:rPr>
                <w:sz w:val="22"/>
              </w:rPr>
            </w:pPr>
            <w:r>
              <w:rPr>
                <w:sz w:val="22"/>
              </w:rPr>
              <w:t>A contiguous range of cells containing possible lookup values.</w:t>
            </w:r>
          </w:p>
        </w:tc>
      </w:tr>
      <w:tr>
        <w:trPr>
          <w:trHeight w:val="846" w:hRule="atLeast"/>
        </w:trPr>
        <w:tc>
          <w:tcPr>
            <w:tcW w:w="1466" w:type="dxa"/>
            <w:vMerge w:val="restart"/>
          </w:tcPr>
          <w:p>
            <w:pPr>
              <w:pStyle w:val="TableParagraph"/>
              <w:spacing w:before="37"/>
              <w:rPr>
                <w:rFonts w:ascii="Times New Roman"/>
                <w:i/>
                <w:sz w:val="22"/>
              </w:rPr>
            </w:pPr>
            <w:r>
              <w:rPr>
                <w:rFonts w:ascii="Times New Roman"/>
                <w:i/>
                <w:sz w:val="22"/>
              </w:rPr>
              <w:t>match-type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ind w:left="113"/>
              <w:rPr>
                <w:sz w:val="22"/>
              </w:rPr>
            </w:pPr>
            <w:r>
              <w:rPr>
                <w:sz w:val="22"/>
              </w:rPr>
              <w:t>Specifies how </w:t>
            </w:r>
            <w:r>
              <w:rPr>
                <w:rFonts w:ascii="Times New Roman"/>
                <w:i/>
                <w:sz w:val="22"/>
              </w:rPr>
              <w:t>lookup-value </w:t>
            </w:r>
            <w:r>
              <w:rPr>
                <w:sz w:val="22"/>
              </w:rPr>
              <w:t>is matched with values in</w:t>
            </w:r>
          </w:p>
          <w:p>
            <w:pPr>
              <w:pStyle w:val="TableParagraph"/>
              <w:spacing w:before="0"/>
              <w:ind w:left="113"/>
              <w:rPr>
                <w:sz w:val="22"/>
              </w:rPr>
            </w:pPr>
            <w:r>
              <w:rPr>
                <w:rFonts w:ascii="Times New Roman"/>
                <w:i/>
                <w:sz w:val="22"/>
              </w:rPr>
              <w:t>lookup-array</w:t>
            </w:r>
            <w:r>
              <w:rPr>
                <w:sz w:val="22"/>
              </w:rPr>
              <w:t>,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286" w:type="dxa"/>
            <w:shd w:val="clear" w:color="auto" w:fill="C0C0C0"/>
          </w:tcPr>
          <w:p>
            <w:pPr>
              <w:pStyle w:val="TableParagraph"/>
              <w:ind w:left="382"/>
              <w:rPr>
                <w:b/>
                <w:sz w:val="22"/>
              </w:rPr>
            </w:pPr>
            <w:r>
              <w:rPr>
                <w:b/>
                <w:sz w:val="22"/>
              </w:rPr>
              <w:t>Value</w:t>
            </w:r>
          </w:p>
        </w:tc>
        <w:tc>
          <w:tcPr>
            <w:tcW w:w="3153" w:type="dxa"/>
            <w:shd w:val="clear" w:color="auto" w:fill="C0C0C0"/>
          </w:tcPr>
          <w:p>
            <w:pPr>
              <w:pStyle w:val="TableParagraph"/>
              <w:ind w:left="1154" w:right="1141"/>
              <w:jc w:val="center"/>
              <w:rPr>
                <w:b/>
                <w:sz w:val="22"/>
              </w:rPr>
            </w:pPr>
            <w:r>
              <w:rPr>
                <w:b/>
                <w:sz w:val="22"/>
              </w:rPr>
              <w:t>Meaning</w:t>
            </w:r>
          </w:p>
        </w:tc>
        <w:tc>
          <w:tcPr>
            <w:tcW w:w="121" w:type="dxa"/>
            <w:tcBorders>
              <w:top w:val="nil"/>
              <w:bottom w:val="nil"/>
            </w:tcBorders>
          </w:tcPr>
          <w:p>
            <w:pPr>
              <w:pStyle w:val="TableParagraph"/>
              <w:spacing w:before="0"/>
              <w:ind w:left="0"/>
              <w:rPr>
                <w:rFonts w:ascii="Times New Roman"/>
                <w:sz w:val="22"/>
              </w:rPr>
            </w:pPr>
          </w:p>
        </w:tc>
      </w:tr>
      <w:tr>
        <w:trPr>
          <w:trHeight w:val="169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286" w:type="dxa"/>
          </w:tcPr>
          <w:p>
            <w:pPr>
              <w:pStyle w:val="TableParagraph"/>
              <w:ind w:left="116"/>
              <w:rPr>
                <w:sz w:val="22"/>
              </w:rPr>
            </w:pPr>
            <w:r>
              <w:rPr>
                <w:sz w:val="22"/>
              </w:rPr>
              <w:t>-1</w:t>
            </w:r>
          </w:p>
        </w:tc>
        <w:tc>
          <w:tcPr>
            <w:tcW w:w="3153" w:type="dxa"/>
          </w:tcPr>
          <w:p>
            <w:pPr>
              <w:pStyle w:val="TableParagraph"/>
              <w:ind w:left="117" w:right="141"/>
              <w:rPr>
                <w:sz w:val="22"/>
              </w:rPr>
            </w:pPr>
            <w:r>
              <w:rPr>
                <w:sz w:val="22"/>
              </w:rPr>
              <w:t>Finds the smallest value that is greater than or equal to </w:t>
            </w:r>
            <w:r>
              <w:rPr>
                <w:rFonts w:ascii="Times New Roman" w:hAnsi="Times New Roman"/>
                <w:i/>
                <w:sz w:val="22"/>
              </w:rPr>
              <w:t>lookup- </w:t>
            </w:r>
            <w:r>
              <w:rPr>
                <w:rFonts w:ascii="Times New Roman" w:hAnsi="Times New Roman"/>
                <w:i/>
                <w:sz w:val="22"/>
              </w:rPr>
              <w:t>value</w:t>
            </w:r>
            <w:r>
              <w:rPr>
                <w:sz w:val="22"/>
              </w:rPr>
              <w:t>. The values in </w:t>
            </w:r>
            <w:r>
              <w:rPr>
                <w:rFonts w:ascii="Times New Roman" w:hAnsi="Times New Roman"/>
                <w:i/>
                <w:sz w:val="22"/>
              </w:rPr>
              <w:t>lookup- </w:t>
            </w:r>
            <w:r>
              <w:rPr>
                <w:rFonts w:ascii="Times New Roman" w:hAnsi="Times New Roman"/>
                <w:i/>
                <w:sz w:val="22"/>
              </w:rPr>
              <w:t>array </w:t>
            </w:r>
            <w:r>
              <w:rPr>
                <w:sz w:val="22"/>
              </w:rPr>
              <w:t>shall be placed in "descending" order: </w:t>
            </w:r>
            <w:r>
              <w:rPr>
                <w:rFonts w:ascii="Consolas" w:hAnsi="Consolas"/>
                <w:sz w:val="22"/>
              </w:rPr>
              <w:t>TRUE</w:t>
            </w:r>
            <w:r>
              <w:rPr>
                <w:sz w:val="22"/>
              </w:rPr>
              <w:t>, </w:t>
            </w:r>
            <w:r>
              <w:rPr>
                <w:rFonts w:ascii="Consolas" w:hAnsi="Consolas"/>
                <w:sz w:val="22"/>
              </w:rPr>
              <w:t>FALSE</w:t>
            </w:r>
            <w:r>
              <w:rPr>
                <w:sz w:val="22"/>
              </w:rPr>
              <w:t>, Z–A, …, 2, 1, 0, -1, -2, …</w:t>
            </w:r>
          </w:p>
        </w:tc>
        <w:tc>
          <w:tcPr>
            <w:tcW w:w="121" w:type="dxa"/>
            <w:tcBorders>
              <w:top w:val="nil"/>
              <w:bottom w:val="nil"/>
            </w:tcBorders>
          </w:tcPr>
          <w:p>
            <w:pPr>
              <w:pStyle w:val="TableParagraph"/>
              <w:spacing w:before="0"/>
              <w:ind w:left="0"/>
              <w:rPr>
                <w:rFonts w:ascii="Times New Roman"/>
                <w:sz w:val="22"/>
              </w:rPr>
            </w:pPr>
          </w:p>
        </w:tc>
      </w:tr>
      <w:tr>
        <w:trPr>
          <w:trHeight w:val="1158"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286" w:type="dxa"/>
          </w:tcPr>
          <w:p>
            <w:pPr>
              <w:pStyle w:val="TableParagraph"/>
              <w:ind w:left="116"/>
              <w:rPr>
                <w:sz w:val="22"/>
              </w:rPr>
            </w:pPr>
            <w:r>
              <w:rPr>
                <w:w w:val="100"/>
                <w:sz w:val="22"/>
              </w:rPr>
              <w:t>0</w:t>
            </w:r>
          </w:p>
        </w:tc>
        <w:tc>
          <w:tcPr>
            <w:tcW w:w="3153" w:type="dxa"/>
          </w:tcPr>
          <w:p>
            <w:pPr>
              <w:pStyle w:val="TableParagraph"/>
              <w:ind w:left="117" w:right="141"/>
              <w:rPr>
                <w:sz w:val="22"/>
              </w:rPr>
            </w:pPr>
            <w:r>
              <w:rPr>
                <w:sz w:val="22"/>
              </w:rPr>
              <w:t>Finds the first value that is exactly equal to </w:t>
            </w:r>
            <w:r>
              <w:rPr>
                <w:rFonts w:ascii="Times New Roman"/>
                <w:i/>
                <w:sz w:val="22"/>
              </w:rPr>
              <w:t>lookup-value</w:t>
            </w:r>
            <w:r>
              <w:rPr>
                <w:sz w:val="22"/>
              </w:rPr>
              <w:t>. The values in </w:t>
            </w:r>
            <w:r>
              <w:rPr>
                <w:rFonts w:ascii="Times New Roman"/>
                <w:i/>
                <w:sz w:val="22"/>
              </w:rPr>
              <w:t>lookup-array </w:t>
            </w:r>
            <w:r>
              <w:rPr>
                <w:sz w:val="22"/>
              </w:rPr>
              <w:t>can be in any order.</w:t>
            </w:r>
          </w:p>
        </w:tc>
        <w:tc>
          <w:tcPr>
            <w:tcW w:w="121" w:type="dxa"/>
            <w:tcBorders>
              <w:top w:val="nil"/>
              <w:bottom w:val="nil"/>
            </w:tcBorders>
          </w:tcPr>
          <w:p>
            <w:pPr>
              <w:pStyle w:val="TableParagraph"/>
              <w:spacing w:before="0"/>
              <w:ind w:left="0"/>
              <w:rPr>
                <w:rFonts w:ascii="Times New Roman"/>
                <w:sz w:val="22"/>
              </w:rPr>
            </w:pPr>
          </w:p>
        </w:tc>
      </w:tr>
      <w:tr>
        <w:trPr>
          <w:trHeight w:val="175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286" w:type="dxa"/>
          </w:tcPr>
          <w:p>
            <w:pPr>
              <w:pStyle w:val="TableParagraph"/>
              <w:ind w:left="116" w:right="425"/>
              <w:rPr>
                <w:sz w:val="22"/>
              </w:rPr>
            </w:pPr>
            <w:r>
              <w:rPr>
                <w:sz w:val="22"/>
              </w:rPr>
              <w:t>1 or omitted</w:t>
            </w:r>
          </w:p>
        </w:tc>
        <w:tc>
          <w:tcPr>
            <w:tcW w:w="3153" w:type="dxa"/>
          </w:tcPr>
          <w:p>
            <w:pPr>
              <w:pStyle w:val="TableParagraph"/>
              <w:ind w:left="117" w:right="292"/>
              <w:rPr>
                <w:sz w:val="22"/>
              </w:rPr>
            </w:pPr>
            <w:r>
              <w:rPr>
                <w:sz w:val="22"/>
              </w:rPr>
              <w:t>Finds the largest value that is less than or equal to </w:t>
            </w:r>
            <w:r>
              <w:rPr>
                <w:rFonts w:ascii="Times New Roman" w:hAnsi="Times New Roman"/>
                <w:i/>
                <w:sz w:val="22"/>
              </w:rPr>
              <w:t>lookup- </w:t>
            </w:r>
            <w:r>
              <w:rPr>
                <w:rFonts w:ascii="Times New Roman" w:hAnsi="Times New Roman"/>
                <w:i/>
                <w:sz w:val="22"/>
              </w:rPr>
              <w:t>value</w:t>
            </w:r>
            <w:r>
              <w:rPr>
                <w:sz w:val="22"/>
              </w:rPr>
              <w:t>. The values in </w:t>
            </w:r>
            <w:r>
              <w:rPr>
                <w:rFonts w:ascii="Times New Roman" w:hAnsi="Times New Roman"/>
                <w:i/>
                <w:sz w:val="22"/>
              </w:rPr>
              <w:t>lookup- </w:t>
            </w:r>
            <w:r>
              <w:rPr>
                <w:rFonts w:ascii="Times New Roman" w:hAnsi="Times New Roman"/>
                <w:i/>
                <w:sz w:val="22"/>
              </w:rPr>
              <w:t>array </w:t>
            </w:r>
            <w:r>
              <w:rPr>
                <w:sz w:val="22"/>
              </w:rPr>
              <w:t>shall be placed in "ascending" order: …, -2, -1, 0,</w:t>
            </w:r>
          </w:p>
          <w:p>
            <w:pPr>
              <w:pStyle w:val="TableParagraph"/>
              <w:spacing w:before="1"/>
              <w:ind w:left="117"/>
              <w:rPr>
                <w:sz w:val="22"/>
              </w:rPr>
            </w:pPr>
            <w:r>
              <w:rPr>
                <w:sz w:val="22"/>
              </w:rPr>
              <w:t>1, 2, …, A–Z, </w:t>
            </w:r>
            <w:r>
              <w:rPr>
                <w:rFonts w:ascii="Consolas" w:hAnsi="Consolas"/>
                <w:sz w:val="22"/>
              </w:rPr>
              <w:t>FALSE</w:t>
            </w:r>
            <w:r>
              <w:rPr>
                <w:sz w:val="22"/>
              </w:rPr>
              <w:t>, </w:t>
            </w:r>
            <w:r>
              <w:rPr>
                <w:rFonts w:ascii="Consolas" w:hAnsi="Consolas"/>
                <w:sz w:val="22"/>
              </w:rPr>
              <w:t>TRUE</w:t>
            </w:r>
            <w:r>
              <w:rPr>
                <w:sz w:val="22"/>
              </w:rPr>
              <w:t>.</w:t>
            </w:r>
          </w:p>
        </w:tc>
        <w:tc>
          <w:tcPr>
            <w:tcW w:w="121" w:type="dxa"/>
            <w:tcBorders>
              <w:top w:val="nil"/>
            </w:tcBorders>
          </w:tcPr>
          <w:p>
            <w:pPr>
              <w:pStyle w:val="TableParagraph"/>
              <w:spacing w:before="0"/>
              <w:ind w:left="0"/>
              <w:rPr>
                <w:rFonts w:ascii="Times New Roman"/>
                <w:sz w:val="22"/>
              </w:rPr>
            </w:pPr>
          </w:p>
        </w:tc>
      </w:tr>
    </w:tbl>
    <w:p>
      <w:pPr>
        <w:pStyle w:val="BodyText"/>
        <w:rPr>
          <w:sz w:val="20"/>
        </w:rPr>
      </w:pPr>
    </w:p>
    <w:p>
      <w:pPr>
        <w:pStyle w:val="BodyText"/>
        <w:spacing w:before="10"/>
        <w:rPr>
          <w:sz w:val="16"/>
        </w:rPr>
      </w:pPr>
    </w:p>
    <w:p>
      <w:pPr>
        <w:pStyle w:val="BodyText"/>
        <w:spacing w:line="278" w:lineRule="auto" w:before="57"/>
        <w:ind w:left="220" w:right="894"/>
      </w:pPr>
      <w:r>
        <w:rPr>
          <w:b/>
        </w:rPr>
        <w:t>Return Type and Value</w:t>
      </w:r>
      <w:r>
        <w:rPr/>
        <w:t>: number – The relative position of an array item that matches a specified value in a specified order.</w:t>
      </w:r>
    </w:p>
    <w:p>
      <w:pPr>
        <w:pStyle w:val="BodyText"/>
        <w:spacing w:before="197"/>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No match is found, #N/A is</w:t>
      </w:r>
      <w:r>
        <w:rPr>
          <w:spacing w:val="-10"/>
          <w:sz w:val="22"/>
        </w:rPr>
        <w:t> </w:t>
      </w:r>
      <w:r>
        <w:rPr>
          <w:sz w:val="22"/>
        </w:rPr>
        <w:t>returned.</w:t>
      </w:r>
    </w:p>
    <w:p>
      <w:pPr>
        <w:pStyle w:val="ListParagraph"/>
        <w:numPr>
          <w:ilvl w:val="4"/>
          <w:numId w:val="66"/>
        </w:numPr>
        <w:tabs>
          <w:tab w:pos="940" w:val="left" w:leader="none"/>
          <w:tab w:pos="941" w:val="left" w:leader="none"/>
        </w:tabs>
        <w:spacing w:line="446" w:lineRule="auto" w:before="39" w:after="0"/>
        <w:ind w:left="220" w:right="4777" w:firstLine="360"/>
        <w:jc w:val="left"/>
        <w:rPr>
          <w:sz w:val="22"/>
        </w:rPr>
      </w:pPr>
      <w:r>
        <w:rPr>
          <w:rFonts w:ascii="Times New Roman" w:hAnsi="Times New Roman"/>
          <w:i/>
          <w:sz w:val="22"/>
        </w:rPr>
        <w:t>match-type</w:t>
      </w:r>
      <w:r>
        <w:rPr>
          <w:sz w:val="22"/>
        </w:rPr>
        <w:t>'s value is out-of-bounds, </w:t>
      </w:r>
      <w:r>
        <w:rPr>
          <w:rFonts w:ascii="Consolas" w:hAnsi="Consolas"/>
          <w:sz w:val="22"/>
        </w:rPr>
        <w:t>#NUM!</w:t>
      </w:r>
      <w:r>
        <w:rPr>
          <w:rFonts w:ascii="Consolas" w:hAnsi="Consolas"/>
          <w:spacing w:val="-88"/>
          <w:sz w:val="22"/>
        </w:rPr>
        <w:t> </w:t>
      </w:r>
      <w:r>
        <w:rPr>
          <w:sz w:val="22"/>
        </w:rPr>
        <w:t>is returned. [</w:t>
      </w:r>
      <w:r>
        <w:rPr>
          <w:i/>
          <w:sz w:val="22"/>
        </w:rPr>
        <w:t>Example</w:t>
      </w:r>
      <w:r>
        <w:rPr>
          <w:sz w:val="22"/>
        </w:rPr>
        <w:t>:</w:t>
      </w:r>
    </w:p>
    <w:p>
      <w:pPr>
        <w:pStyle w:val="BodyText"/>
        <w:spacing w:line="278" w:lineRule="auto" w:before="126"/>
        <w:ind w:left="220" w:right="6394"/>
        <w:rPr>
          <w:rFonts w:ascii="Consolas"/>
        </w:rPr>
      </w:pPr>
      <w:r>
        <w:rPr>
          <w:rFonts w:ascii="Consolas"/>
        </w:rPr>
        <w:t>MATCH(39,{25,38,40,41},1)</w:t>
      </w:r>
      <w:r>
        <w:rPr>
          <w:rFonts w:ascii="Consolas"/>
          <w:spacing w:val="-84"/>
        </w:rPr>
        <w:t> </w:t>
      </w:r>
      <w:r>
        <w:rPr/>
        <w:t>results in </w:t>
      </w:r>
      <w:r>
        <w:rPr>
          <w:rFonts w:ascii="Consolas"/>
        </w:rPr>
        <w:t>2 MATCH(41,{25,38,40,41},0)</w:t>
      </w:r>
      <w:r>
        <w:rPr>
          <w:rFonts w:ascii="Consolas"/>
          <w:spacing w:val="-84"/>
        </w:rPr>
        <w:t> </w:t>
      </w:r>
      <w:r>
        <w:rPr/>
        <w:t>results in </w:t>
      </w:r>
      <w:r>
        <w:rPr>
          <w:rFonts w:ascii="Consolas"/>
        </w:rPr>
        <w:t>4</w:t>
      </w:r>
    </w:p>
    <w:p>
      <w:pPr>
        <w:pStyle w:val="BodyText"/>
        <w:spacing w:before="2"/>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5 MAX" w:id="2007"/>
      <w:bookmarkEnd w:id="2007"/>
      <w:r>
        <w:rPr/>
      </w:r>
      <w:bookmarkStart w:name="_bookmark668" w:id="2008"/>
      <w:bookmarkEnd w:id="2008"/>
      <w:r>
        <w:rPr/>
      </w:r>
      <w:bookmarkStart w:name="_bookmark668" w:id="2009"/>
      <w:bookmarkEnd w:id="2009"/>
      <w:r>
        <w:rPr>
          <w:color w:val="4F81BC"/>
        </w:rPr>
        <w:t>M</w:t>
      </w:r>
      <w:r>
        <w:rPr>
          <w:color w:val="4F81BC"/>
        </w:rPr>
        <w:t>AX</w:t>
      </w:r>
    </w:p>
    <w:p>
      <w:pPr>
        <w:pStyle w:val="Heading4"/>
        <w:spacing w:before="121"/>
        <w:rPr>
          <w:b w:val="0"/>
        </w:rPr>
      </w:pPr>
      <w:r>
        <w:rPr/>
        <w:t>Syntax</w:t>
      </w:r>
      <w:r>
        <w:rPr>
          <w:b w:val="0"/>
        </w:rPr>
        <w:t>:</w:t>
      </w:r>
    </w:p>
    <w:p>
      <w:pPr>
        <w:spacing w:after="0"/>
        <w:sectPr>
          <w:footerReference w:type="even" r:id="rId252"/>
          <w:footerReference w:type="default" r:id="rId253"/>
          <w:pgSz w:w="12240" w:h="15840"/>
          <w:pgMar w:footer="746" w:header="761" w:top="1340" w:bottom="940" w:left="860" w:right="700"/>
          <w:pgNumType w:start="2280"/>
        </w:sectPr>
      </w:pPr>
    </w:p>
    <w:p>
      <w:pPr>
        <w:spacing w:before="143"/>
        <w:ind w:left="940" w:right="0" w:firstLine="0"/>
        <w:jc w:val="left"/>
        <w:rPr>
          <w:rFonts w:ascii="Lucida Console"/>
          <w:sz w:val="20"/>
        </w:rPr>
      </w:pPr>
      <w:r>
        <w:rPr>
          <w:rFonts w:ascii="Lucida Console"/>
          <w:sz w:val="20"/>
        </w:rPr>
        <w:t>MAX (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Computes the largest of a set of numbers.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for</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arrays,</w:t>
            </w:r>
          </w:p>
        </w:tc>
        <w:tc>
          <w:tcPr>
            <w:tcW w:w="5400" w:type="dxa"/>
            <w:tcBorders>
              <w:top w:val="nil"/>
              <w:bottom w:val="nil"/>
            </w:tcBorders>
          </w:tcPr>
          <w:p>
            <w:pPr>
              <w:pStyle w:val="TableParagraph"/>
              <w:spacing w:line="249" w:lineRule="exact" w:before="0"/>
              <w:ind w:left="113"/>
              <w:rPr>
                <w:sz w:val="22"/>
              </w:rPr>
            </w:pPr>
            <w:r>
              <w:rPr>
                <w:sz w:val="22"/>
              </w:rPr>
              <w:t>which the largest value is to be computed. Logical values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and text representations of numbers occurring directly in</w:t>
            </w:r>
          </w:p>
        </w:tc>
      </w:tr>
      <w:tr>
        <w:trPr>
          <w:trHeight w:val="537" w:hRule="atLeast"/>
        </w:trPr>
        <w:tc>
          <w:tcPr>
            <w:tcW w:w="1466" w:type="dxa"/>
            <w:tcBorders>
              <w:top w:val="nil"/>
              <w:bottom w:val="nil"/>
            </w:tcBorders>
          </w:tcPr>
          <w:p>
            <w:pPr>
              <w:pStyle w:val="TableParagraph"/>
              <w:spacing w:before="0"/>
              <w:ind w:left="0"/>
              <w:rPr>
                <w:rFonts w:ascii="Times New Roman"/>
                <w:sz w:val="22"/>
              </w:rPr>
            </w:pPr>
          </w:p>
        </w:tc>
        <w:tc>
          <w:tcPr>
            <w:tcW w:w="1800" w:type="dxa"/>
            <w:tcBorders>
              <w:top w:val="nil"/>
              <w:bottom w:val="nil"/>
            </w:tcBorders>
          </w:tcPr>
          <w:p>
            <w:pPr>
              <w:pStyle w:val="TableParagraph"/>
              <w:spacing w:line="249" w:lineRule="exact" w:before="0"/>
              <w:ind w:left="112"/>
              <w:rPr>
                <w:sz w:val="22"/>
              </w:rPr>
            </w:pPr>
            <w:r>
              <w:rPr>
                <w:sz w:val="22"/>
              </w:rPr>
              <w:t>number. Any</w:t>
            </w:r>
          </w:p>
          <w:p>
            <w:pPr>
              <w:pStyle w:val="TableParagraph"/>
              <w:spacing w:before="0"/>
              <w:ind w:left="112"/>
              <w:rPr>
                <w:sz w:val="22"/>
              </w:rPr>
            </w:pPr>
            <w:r>
              <w:rPr>
                <w:rFonts w:ascii="Times New Roman"/>
                <w:i/>
                <w:sz w:val="22"/>
              </w:rPr>
              <w:t>argument </w:t>
            </w:r>
            <w:r>
              <w:rPr>
                <w:sz w:val="22"/>
              </w:rPr>
              <w:t>can be</w:t>
            </w:r>
          </w:p>
        </w:tc>
        <w:tc>
          <w:tcPr>
            <w:tcW w:w="5400" w:type="dxa"/>
            <w:tcBorders>
              <w:top w:val="nil"/>
              <w:bottom w:val="nil"/>
            </w:tcBorders>
          </w:tcPr>
          <w:p>
            <w:pPr>
              <w:pStyle w:val="TableParagraph"/>
              <w:spacing w:line="249" w:lineRule="exact" w:before="0"/>
              <w:ind w:left="113"/>
              <w:rPr>
                <w:sz w:val="22"/>
              </w:rPr>
            </w:pPr>
            <w:r>
              <w:rPr>
                <w:sz w:val="22"/>
              </w:rPr>
              <w:t>the list of arguments are included. However, logical</w:t>
            </w:r>
          </w:p>
          <w:p>
            <w:pPr>
              <w:pStyle w:val="TableParagraph"/>
              <w:spacing w:before="0"/>
              <w:ind w:left="113"/>
              <w:rPr>
                <w:sz w:val="22"/>
              </w:rPr>
            </w:pPr>
            <w:r>
              <w:rPr>
                <w:sz w:val="22"/>
              </w:rPr>
              <w:t>values and numbers in strings and are ignored inside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an array or a</w:t>
            </w:r>
          </w:p>
        </w:tc>
        <w:tc>
          <w:tcPr>
            <w:tcW w:w="5400" w:type="dxa"/>
            <w:tcBorders>
              <w:top w:val="nil"/>
              <w:bottom w:val="nil"/>
            </w:tcBorders>
          </w:tcPr>
          <w:p>
            <w:pPr>
              <w:pStyle w:val="TableParagraph"/>
              <w:spacing w:line="248" w:lineRule="exact" w:before="0"/>
              <w:ind w:left="113"/>
              <w:rPr>
                <w:rFonts w:ascii="Consolas"/>
                <w:sz w:val="22"/>
              </w:rPr>
            </w:pPr>
            <w:r>
              <w:rPr>
                <w:sz w:val="22"/>
              </w:rPr>
              <w:t>references. [</w:t>
            </w:r>
            <w:r>
              <w:rPr>
                <w:i/>
                <w:sz w:val="22"/>
              </w:rPr>
              <w:t>Note</w:t>
            </w:r>
            <w:r>
              <w:rPr>
                <w:sz w:val="22"/>
              </w:rPr>
              <w:t>: To include these, use </w:t>
            </w:r>
            <w:r>
              <w:rPr>
                <w:rFonts w:ascii="Consolas"/>
                <w:sz w:val="22"/>
              </w:rPr>
              <w:t>MAXA</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reference to an</w:t>
            </w:r>
          </w:p>
        </w:tc>
        <w:tc>
          <w:tcPr>
            <w:tcW w:w="5400" w:type="dxa"/>
            <w:tcBorders>
              <w:top w:val="nil"/>
              <w:bottom w:val="nil"/>
            </w:tcBorders>
          </w:tcPr>
          <w:p>
            <w:pPr>
              <w:pStyle w:val="TableParagraph"/>
              <w:spacing w:line="247" w:lineRule="exact" w:before="0"/>
              <w:ind w:left="113"/>
              <w:rPr>
                <w:sz w:val="22"/>
              </w:rPr>
            </w:pPr>
            <w:hyperlink w:history="true" w:anchor="_bookmark669">
              <w:r>
                <w:rPr>
                  <w:sz w:val="22"/>
                </w:rPr>
                <w:t>(§18.17.7.206</w:t>
              </w:r>
            </w:hyperlink>
            <w:r>
              <w:rPr>
                <w:sz w:val="22"/>
              </w:rPr>
              <w:t>). </w:t>
            </w:r>
            <w:r>
              <w:rPr>
                <w:i/>
                <w:sz w:val="22"/>
              </w:rPr>
              <w:t>end note</w:t>
            </w:r>
            <w:r>
              <w:rPr>
                <w:sz w:val="22"/>
              </w:rPr>
              <w:t>] If an array or reference</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w:t>
            </w:r>
          </w:p>
        </w:tc>
        <w:tc>
          <w:tcPr>
            <w:tcW w:w="5400" w:type="dxa"/>
            <w:tcBorders>
              <w:top w:val="nil"/>
              <w:bottom w:val="nil"/>
            </w:tcBorders>
          </w:tcPr>
          <w:p>
            <w:pPr>
              <w:pStyle w:val="TableParagraph"/>
              <w:spacing w:line="249" w:lineRule="exact" w:before="0"/>
              <w:ind w:left="113"/>
              <w:rPr>
                <w:sz w:val="22"/>
              </w:rPr>
            </w:pPr>
            <w:r>
              <w:rPr>
                <w:sz w:val="22"/>
              </w:rPr>
              <w:t>argument contains text, logical values, or empty cells,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before="0"/>
              <w:ind w:left="0"/>
              <w:rPr>
                <w:rFonts w:ascii="Times New Roman"/>
                <w:sz w:val="18"/>
              </w:rPr>
            </w:pPr>
          </w:p>
        </w:tc>
        <w:tc>
          <w:tcPr>
            <w:tcW w:w="5400" w:type="dxa"/>
            <w:tcBorders>
              <w:top w:val="nil"/>
              <w:bottom w:val="nil"/>
            </w:tcBorders>
          </w:tcPr>
          <w:p>
            <w:pPr>
              <w:pStyle w:val="TableParagraph"/>
              <w:spacing w:line="249" w:lineRule="exact" w:before="0"/>
              <w:ind w:left="113"/>
              <w:rPr>
                <w:sz w:val="22"/>
              </w:rPr>
            </w:pPr>
            <w:r>
              <w:rPr>
                <w:sz w:val="22"/>
              </w:rPr>
              <w:t>those values are ignored; however, cells with the value 0</w:t>
            </w:r>
          </w:p>
        </w:tc>
      </w:tr>
      <w:tr>
        <w:trPr>
          <w:trHeight w:val="294"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9" w:lineRule="exact" w:before="0"/>
              <w:ind w:left="113"/>
              <w:rPr>
                <w:sz w:val="22"/>
              </w:rPr>
            </w:pPr>
            <w:r>
              <w:rPr>
                <w:sz w:val="22"/>
              </w:rPr>
              <w:t>are included.</w:t>
            </w:r>
          </w:p>
        </w:tc>
      </w:tr>
    </w:tbl>
    <w:p>
      <w:pPr>
        <w:pStyle w:val="BodyText"/>
        <w:rPr>
          <w:b/>
        </w:rPr>
      </w:pPr>
    </w:p>
    <w:p>
      <w:pPr>
        <w:pStyle w:val="BodyText"/>
        <w:spacing w:before="5"/>
        <w:rPr>
          <w:b/>
          <w:sz w:val="19"/>
        </w:rPr>
      </w:pPr>
    </w:p>
    <w:p>
      <w:pPr>
        <w:pStyle w:val="BodyText"/>
        <w:spacing w:line="278" w:lineRule="auto"/>
        <w:ind w:left="220" w:right="1082"/>
      </w:pPr>
      <w:r>
        <w:rPr>
          <w:b/>
        </w:rPr>
        <w:t>Return Type and Value: </w:t>
      </w:r>
      <w:r>
        <w:rPr/>
        <w:t>number – The largest of a set of numbers; however, if the arguments contain no numbers, zero is returned.</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6448"/>
        <w:rPr>
          <w:rFonts w:ascii="Consolas"/>
        </w:rPr>
      </w:pPr>
      <w:r>
        <w:rPr>
          <w:rFonts w:ascii="Consolas"/>
        </w:rPr>
        <w:t>MAX(10.4,-3.5,12.6) </w:t>
      </w:r>
      <w:r>
        <w:rPr/>
        <w:t>results in </w:t>
      </w:r>
      <w:r>
        <w:rPr>
          <w:rFonts w:ascii="Consolas"/>
        </w:rPr>
        <w:t>12.6 MAX(10.4,{-3.5,12.6}) </w:t>
      </w:r>
      <w:r>
        <w:rPr/>
        <w:t>results in </w:t>
      </w:r>
      <w:r>
        <w:rPr>
          <w:rFonts w:ascii="Consolas"/>
        </w:rPr>
        <w:t>12.6</w:t>
      </w:r>
    </w:p>
    <w:p>
      <w:pPr>
        <w:pStyle w:val="BodyText"/>
        <w:spacing w:before="4"/>
        <w:ind w:left="220"/>
        <w:rPr>
          <w:rFonts w:ascii="Consolas"/>
        </w:rPr>
      </w:pPr>
      <w:r>
        <w:rPr>
          <w:rFonts w:ascii="Consolas"/>
        </w:rPr>
        <w:t>MAX({"ABC",TRUE}) </w:t>
      </w:r>
      <w:r>
        <w:rPr/>
        <w:t>results in </w:t>
      </w:r>
      <w:r>
        <w:rPr>
          <w:rFonts w:ascii="Consolas"/>
        </w:rPr>
        <w:t>0</w:t>
      </w:r>
    </w:p>
    <w:p>
      <w:pPr>
        <w:pStyle w:val="BodyText"/>
        <w:spacing w:before="4"/>
        <w:rPr>
          <w:rFonts w:ascii="Consolas"/>
          <w:sz w:val="20"/>
        </w:rPr>
      </w:pPr>
    </w:p>
    <w:p>
      <w:pPr>
        <w:pStyle w:val="BodyText"/>
        <w:spacing w:line="276" w:lineRule="auto"/>
        <w:ind w:left="220" w:right="6399"/>
        <w:rPr>
          <w:rFonts w:ascii="Consolas"/>
        </w:rPr>
      </w:pPr>
      <w:r>
        <w:rPr/>
        <w:t>Consider the case in which cell </w:t>
      </w:r>
      <w:r>
        <w:rPr>
          <w:rFonts w:ascii="Consolas"/>
        </w:rPr>
        <w:t>B3</w:t>
      </w:r>
      <w:r>
        <w:rPr>
          <w:rFonts w:ascii="Consolas"/>
          <w:spacing w:val="-82"/>
        </w:rPr>
        <w:t> </w:t>
      </w:r>
      <w:r>
        <w:rPr/>
        <w:t>contains </w:t>
      </w:r>
      <w:r>
        <w:rPr>
          <w:rFonts w:ascii="Consolas"/>
        </w:rPr>
        <w:t>0</w:t>
      </w:r>
      <w:r>
        <w:rPr/>
        <w:t>: </w:t>
      </w:r>
      <w:r>
        <w:rPr>
          <w:rFonts w:ascii="Consolas"/>
        </w:rPr>
        <w:t>MAX(-10,-12,-15,B3) </w:t>
      </w:r>
      <w:r>
        <w:rPr/>
        <w:t>results in </w:t>
      </w:r>
      <w:r>
        <w:rPr>
          <w:rFonts w:ascii="Consolas"/>
        </w:rPr>
        <w:t>-10 MAXA(-10,-12,-15,B3)</w:t>
      </w:r>
      <w:r>
        <w:rPr>
          <w:rFonts w:ascii="Consolas"/>
          <w:spacing w:val="-76"/>
        </w:rPr>
        <w:t> </w:t>
      </w:r>
      <w:r>
        <w:rPr/>
        <w:t>results in </w:t>
      </w:r>
      <w:r>
        <w:rPr>
          <w:rFonts w:ascii="Consolas"/>
        </w:rPr>
        <w:t>0</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6 MAXA" w:id="2010"/>
      <w:bookmarkEnd w:id="2010"/>
      <w:r>
        <w:rPr/>
      </w:r>
      <w:bookmarkStart w:name="_bookmark669" w:id="2011"/>
      <w:bookmarkEnd w:id="2011"/>
      <w:r>
        <w:rPr/>
      </w:r>
      <w:bookmarkStart w:name="_bookmark669" w:id="2012"/>
      <w:bookmarkEnd w:id="2012"/>
      <w:r>
        <w:rPr>
          <w:color w:val="4F81BC"/>
        </w:rPr>
        <w:t>M</w:t>
      </w:r>
      <w:r>
        <w:rPr>
          <w:color w:val="4F81BC"/>
        </w:rPr>
        <w:t>AXA</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MAXA (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Computes the largest of a set of numbers.</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arrays,</w:t>
            </w:r>
          </w:p>
        </w:tc>
        <w:tc>
          <w:tcPr>
            <w:tcW w:w="5400" w:type="dxa"/>
          </w:tcPr>
          <w:p>
            <w:pPr>
              <w:pStyle w:val="TableParagraph"/>
              <w:ind w:left="113" w:right="19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for which the largest value is to be computed. Logical values</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3" w:hRule="atLeast"/>
        </w:trPr>
        <w:tc>
          <w:tcPr>
            <w:tcW w:w="1466" w:type="dxa"/>
            <w:vMerge w:val="restart"/>
          </w:tcPr>
          <w:p>
            <w:pPr>
              <w:pStyle w:val="TableParagraph"/>
              <w:spacing w:before="0"/>
              <w:ind w:left="0"/>
              <w:rPr>
                <w:rFonts w:ascii="Times New Roman"/>
                <w:sz w:val="22"/>
              </w:rPr>
            </w:pPr>
          </w:p>
        </w:tc>
        <w:tc>
          <w:tcPr>
            <w:tcW w:w="1800" w:type="dxa"/>
            <w:tcBorders>
              <w:bottom w:val="nil"/>
            </w:tcBorders>
          </w:tcPr>
          <w:p>
            <w:pPr>
              <w:pStyle w:val="TableParagraph"/>
              <w:spacing w:line="264" w:lineRule="exact"/>
              <w:ind w:left="112"/>
              <w:rPr>
                <w:sz w:val="22"/>
              </w:rPr>
            </w:pPr>
            <w:r>
              <w:rPr>
                <w:sz w:val="22"/>
              </w:rPr>
              <w:t>reference to</w:t>
            </w:r>
          </w:p>
        </w:tc>
        <w:tc>
          <w:tcPr>
            <w:tcW w:w="5400" w:type="dxa"/>
            <w:tcBorders>
              <w:bottom w:val="nil"/>
            </w:tcBorders>
          </w:tcPr>
          <w:p>
            <w:pPr>
              <w:pStyle w:val="TableParagraph"/>
              <w:spacing w:line="264" w:lineRule="exact"/>
              <w:ind w:left="113"/>
              <w:rPr>
                <w:sz w:val="22"/>
              </w:rPr>
            </w:pPr>
            <w:r>
              <w:rPr>
                <w:sz w:val="22"/>
              </w:rPr>
              <w:t>and text representations of numbers occurring directly in</w:t>
            </w:r>
          </w:p>
        </w:tc>
      </w:tr>
      <w:tr>
        <w:trPr>
          <w:trHeight w:val="527" w:hRule="atLeast"/>
        </w:trPr>
        <w:tc>
          <w:tcPr>
            <w:tcW w:w="1466" w:type="dxa"/>
            <w:vMerge/>
            <w:tcBorders>
              <w:top w:val="nil"/>
            </w:tcBorders>
          </w:tcPr>
          <w:p>
            <w:pPr>
              <w:rPr>
                <w:sz w:val="2"/>
                <w:szCs w:val="2"/>
              </w:rPr>
            </w:pPr>
          </w:p>
        </w:tc>
        <w:tc>
          <w:tcPr>
            <w:tcW w:w="1800" w:type="dxa"/>
            <w:tcBorders>
              <w:top w:val="nil"/>
              <w:bottom w:val="nil"/>
            </w:tcBorders>
          </w:tcPr>
          <w:p>
            <w:pPr>
              <w:pStyle w:val="TableParagraph"/>
              <w:spacing w:line="244" w:lineRule="exact" w:before="0"/>
              <w:ind w:left="112"/>
              <w:rPr>
                <w:sz w:val="22"/>
              </w:rPr>
            </w:pPr>
            <w:r>
              <w:rPr>
                <w:sz w:val="22"/>
              </w:rPr>
              <w:t>number. Any</w:t>
            </w:r>
          </w:p>
          <w:p>
            <w:pPr>
              <w:pStyle w:val="TableParagraph"/>
              <w:spacing w:line="264" w:lineRule="exact" w:before="0"/>
              <w:ind w:left="112"/>
              <w:rPr>
                <w:sz w:val="22"/>
              </w:rPr>
            </w:pPr>
            <w:r>
              <w:rPr>
                <w:rFonts w:ascii="Times New Roman"/>
                <w:i/>
                <w:sz w:val="22"/>
              </w:rPr>
              <w:t>argument </w:t>
            </w:r>
            <w:r>
              <w:rPr>
                <w:sz w:val="22"/>
              </w:rPr>
              <w:t>can be</w:t>
            </w:r>
          </w:p>
        </w:tc>
        <w:tc>
          <w:tcPr>
            <w:tcW w:w="5400" w:type="dxa"/>
            <w:tcBorders>
              <w:top w:val="nil"/>
              <w:bottom w:val="nil"/>
            </w:tcBorders>
          </w:tcPr>
          <w:p>
            <w:pPr>
              <w:pStyle w:val="TableParagraph"/>
              <w:spacing w:line="244" w:lineRule="exact" w:before="0"/>
              <w:ind w:left="113"/>
              <w:rPr>
                <w:sz w:val="22"/>
              </w:rPr>
            </w:pPr>
            <w:r>
              <w:rPr>
                <w:sz w:val="22"/>
              </w:rPr>
              <w:t>the list of arguments are included. Logical values and</w:t>
            </w:r>
          </w:p>
          <w:p>
            <w:pPr>
              <w:pStyle w:val="TableParagraph"/>
              <w:spacing w:line="264" w:lineRule="exact" w:before="0"/>
              <w:ind w:left="113"/>
              <w:rPr>
                <w:sz w:val="22"/>
              </w:rPr>
            </w:pPr>
            <w:r>
              <w:rPr>
                <w:sz w:val="22"/>
              </w:rPr>
              <w:t>numbers in strings inside references are also included.</w:t>
            </w:r>
          </w:p>
        </w:tc>
      </w:tr>
      <w:tr>
        <w:trPr>
          <w:trHeight w:val="259" w:hRule="atLeast"/>
        </w:trPr>
        <w:tc>
          <w:tcPr>
            <w:tcW w:w="1466" w:type="dxa"/>
            <w:vMerge/>
            <w:tcBorders>
              <w:top w:val="nil"/>
            </w:tcBorders>
          </w:tcPr>
          <w:p>
            <w:pPr>
              <w:rPr>
                <w:sz w:val="2"/>
                <w:szCs w:val="2"/>
              </w:rPr>
            </w:pPr>
          </w:p>
        </w:tc>
        <w:tc>
          <w:tcPr>
            <w:tcW w:w="1800" w:type="dxa"/>
            <w:tcBorders>
              <w:top w:val="nil"/>
              <w:bottom w:val="nil"/>
            </w:tcBorders>
          </w:tcPr>
          <w:p>
            <w:pPr>
              <w:pStyle w:val="TableParagraph"/>
              <w:spacing w:line="240" w:lineRule="exact" w:before="0"/>
              <w:ind w:left="112"/>
              <w:rPr>
                <w:sz w:val="22"/>
              </w:rPr>
            </w:pPr>
            <w:r>
              <w:rPr>
                <w:sz w:val="22"/>
              </w:rPr>
              <w:t>an array or a</w:t>
            </w:r>
          </w:p>
        </w:tc>
        <w:tc>
          <w:tcPr>
            <w:tcW w:w="5400" w:type="dxa"/>
            <w:tcBorders>
              <w:top w:val="nil"/>
              <w:bottom w:val="nil"/>
            </w:tcBorders>
          </w:tcPr>
          <w:p>
            <w:pPr>
              <w:pStyle w:val="TableParagraph"/>
              <w:spacing w:line="240" w:lineRule="exact" w:before="0"/>
              <w:ind w:left="113"/>
              <w:rPr>
                <w:sz w:val="22"/>
              </w:rPr>
            </w:pPr>
            <w:r>
              <w:rPr>
                <w:sz w:val="22"/>
              </w:rPr>
              <w:t>[</w:t>
            </w:r>
            <w:r>
              <w:rPr>
                <w:i/>
                <w:sz w:val="22"/>
              </w:rPr>
              <w:t>Note</w:t>
            </w:r>
            <w:r>
              <w:rPr>
                <w:sz w:val="22"/>
              </w:rPr>
              <w:t>: To ignore these, use </w:t>
            </w:r>
            <w:r>
              <w:rPr>
                <w:rFonts w:ascii="Consolas" w:hAnsi="Consolas"/>
                <w:sz w:val="22"/>
              </w:rPr>
              <w:t>MAX</w:t>
            </w:r>
            <w:r>
              <w:rPr>
                <w:rFonts w:ascii="Consolas" w:hAnsi="Consolas"/>
                <w:spacing w:val="-89"/>
                <w:sz w:val="22"/>
              </w:rPr>
              <w:t> </w:t>
            </w:r>
            <w:hyperlink w:history="true" w:anchor="_bookmark668">
              <w:r>
                <w:rPr>
                  <w:sz w:val="22"/>
                </w:rPr>
                <w:t>(§18.17.7.205</w:t>
              </w:r>
            </w:hyperlink>
            <w:r>
              <w:rPr>
                <w:sz w:val="22"/>
              </w:rPr>
              <w:t>). </w:t>
            </w:r>
            <w:r>
              <w:rPr>
                <w:i/>
                <w:sz w:val="22"/>
              </w:rPr>
              <w:t>end note</w:t>
            </w:r>
            <w:r>
              <w:rPr>
                <w:sz w:val="22"/>
              </w:rPr>
              <w:t>]</w:t>
            </w:r>
          </w:p>
        </w:tc>
      </w:tr>
      <w:tr>
        <w:trPr>
          <w:trHeight w:val="256" w:hRule="atLeast"/>
        </w:trPr>
        <w:tc>
          <w:tcPr>
            <w:tcW w:w="1466" w:type="dxa"/>
            <w:vMerge/>
            <w:tcBorders>
              <w:top w:val="nil"/>
            </w:tcBorders>
          </w:tcPr>
          <w:p>
            <w:pPr>
              <w:rPr>
                <w:sz w:val="2"/>
                <w:szCs w:val="2"/>
              </w:rPr>
            </w:pPr>
          </w:p>
        </w:tc>
        <w:tc>
          <w:tcPr>
            <w:tcW w:w="1800" w:type="dxa"/>
            <w:tcBorders>
              <w:top w:val="nil"/>
              <w:bottom w:val="nil"/>
            </w:tcBorders>
          </w:tcPr>
          <w:p>
            <w:pPr>
              <w:pStyle w:val="TableParagraph"/>
              <w:spacing w:line="237" w:lineRule="exact" w:before="0"/>
              <w:ind w:left="112"/>
              <w:rPr>
                <w:sz w:val="22"/>
              </w:rPr>
            </w:pPr>
            <w:r>
              <w:rPr>
                <w:sz w:val="22"/>
              </w:rPr>
              <w:t>reference to an</w:t>
            </w:r>
          </w:p>
        </w:tc>
        <w:tc>
          <w:tcPr>
            <w:tcW w:w="5400" w:type="dxa"/>
            <w:tcBorders>
              <w:top w:val="nil"/>
              <w:bottom w:val="nil"/>
            </w:tcBorders>
          </w:tcPr>
          <w:p>
            <w:pPr>
              <w:pStyle w:val="TableParagraph"/>
              <w:spacing w:line="237" w:lineRule="exact" w:before="0"/>
              <w:ind w:left="113"/>
              <w:rPr>
                <w:sz w:val="22"/>
              </w:rPr>
            </w:pPr>
            <w:r>
              <w:rPr>
                <w:sz w:val="22"/>
              </w:rPr>
              <w:t>If an array or reference argument contains non-numeric</w:t>
            </w:r>
          </w:p>
        </w:tc>
      </w:tr>
      <w:tr>
        <w:trPr>
          <w:trHeight w:val="257" w:hRule="atLeast"/>
        </w:trPr>
        <w:tc>
          <w:tcPr>
            <w:tcW w:w="1466" w:type="dxa"/>
            <w:vMerge/>
            <w:tcBorders>
              <w:top w:val="nil"/>
            </w:tcBorders>
          </w:tcPr>
          <w:p>
            <w:pPr>
              <w:rPr>
                <w:sz w:val="2"/>
                <w:szCs w:val="2"/>
              </w:rPr>
            </w:pPr>
          </w:p>
        </w:tc>
        <w:tc>
          <w:tcPr>
            <w:tcW w:w="1800" w:type="dxa"/>
            <w:tcBorders>
              <w:top w:val="nil"/>
              <w:bottom w:val="nil"/>
            </w:tcBorders>
          </w:tcPr>
          <w:p>
            <w:pPr>
              <w:pStyle w:val="TableParagraph"/>
              <w:spacing w:line="238" w:lineRule="exact" w:before="0"/>
              <w:ind w:left="112"/>
              <w:rPr>
                <w:sz w:val="22"/>
              </w:rPr>
            </w:pPr>
            <w:r>
              <w:rPr>
                <w:sz w:val="22"/>
              </w:rPr>
              <w:t>array.</w:t>
            </w:r>
          </w:p>
        </w:tc>
        <w:tc>
          <w:tcPr>
            <w:tcW w:w="5400" w:type="dxa"/>
            <w:tcBorders>
              <w:top w:val="nil"/>
              <w:bottom w:val="nil"/>
            </w:tcBorders>
          </w:tcPr>
          <w:p>
            <w:pPr>
              <w:pStyle w:val="TableParagraph"/>
              <w:spacing w:line="238" w:lineRule="exact" w:before="0"/>
              <w:ind w:left="113"/>
              <w:rPr>
                <w:sz w:val="22"/>
              </w:rPr>
            </w:pPr>
            <w:r>
              <w:rPr>
                <w:sz w:val="22"/>
              </w:rPr>
              <w:t>text or empty cells, those values are ignored; however,</w:t>
            </w:r>
          </w:p>
        </w:tc>
      </w:tr>
      <w:tr>
        <w:trPr>
          <w:trHeight w:val="290" w:hRule="atLeast"/>
        </w:trPr>
        <w:tc>
          <w:tcPr>
            <w:tcW w:w="1466" w:type="dxa"/>
            <w:vMerge/>
            <w:tcBorders>
              <w:top w:val="nil"/>
            </w:tcBorders>
          </w:tcPr>
          <w:p>
            <w:pPr>
              <w:rPr>
                <w:sz w:val="2"/>
                <w:szCs w:val="2"/>
              </w:rPr>
            </w:pPr>
          </w:p>
        </w:tc>
        <w:tc>
          <w:tcPr>
            <w:tcW w:w="1800" w:type="dxa"/>
            <w:tcBorders>
              <w:top w:val="nil"/>
            </w:tcBorders>
          </w:tcPr>
          <w:p>
            <w:pPr>
              <w:pStyle w:val="TableParagraph"/>
              <w:spacing w:before="0"/>
              <w:ind w:left="0"/>
              <w:rPr>
                <w:rFonts w:ascii="Times New Roman"/>
                <w:sz w:val="20"/>
              </w:rPr>
            </w:pPr>
          </w:p>
        </w:tc>
        <w:tc>
          <w:tcPr>
            <w:tcW w:w="5400" w:type="dxa"/>
            <w:tcBorders>
              <w:top w:val="nil"/>
            </w:tcBorders>
          </w:tcPr>
          <w:p>
            <w:pPr>
              <w:pStyle w:val="TableParagraph"/>
              <w:spacing w:line="244" w:lineRule="exact" w:before="0"/>
              <w:ind w:left="113"/>
              <w:rPr>
                <w:sz w:val="22"/>
              </w:rPr>
            </w:pPr>
            <w:r>
              <w:rPr>
                <w:sz w:val="22"/>
              </w:rPr>
              <w:t>cells with the value 0 are included.</w:t>
            </w:r>
          </w:p>
        </w:tc>
      </w:tr>
    </w:tbl>
    <w:p>
      <w:pPr>
        <w:pStyle w:val="BodyText"/>
        <w:rPr>
          <w:b/>
          <w:sz w:val="20"/>
        </w:rPr>
      </w:pPr>
    </w:p>
    <w:p>
      <w:pPr>
        <w:pStyle w:val="BodyText"/>
        <w:spacing w:before="10"/>
        <w:rPr>
          <w:b/>
          <w:sz w:val="16"/>
        </w:rPr>
      </w:pPr>
    </w:p>
    <w:p>
      <w:pPr>
        <w:pStyle w:val="BodyText"/>
        <w:spacing w:line="278" w:lineRule="auto" w:before="56"/>
        <w:ind w:left="220" w:right="1082"/>
      </w:pPr>
      <w:r>
        <w:rPr>
          <w:b/>
        </w:rPr>
        <w:t>Return Type and Value: </w:t>
      </w:r>
      <w:r>
        <w:rPr/>
        <w:t>number – The largest of a set of numbers; however, if the arguments contain no numbers, zero is returned.</w:t>
      </w:r>
    </w:p>
    <w:p>
      <w:pPr>
        <w:spacing w:before="196"/>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before="1"/>
        <w:ind w:left="220" w:right="6325"/>
        <w:rPr>
          <w:rFonts w:ascii="Consolas"/>
        </w:rPr>
      </w:pPr>
      <w:r>
        <w:rPr>
          <w:rFonts w:ascii="Consolas"/>
        </w:rPr>
        <w:t>MAXA(10.4,-3.5,12.6) </w:t>
      </w:r>
      <w:r>
        <w:rPr/>
        <w:t>results in </w:t>
      </w:r>
      <w:r>
        <w:rPr>
          <w:rFonts w:ascii="Consolas"/>
        </w:rPr>
        <w:t>12.6 MAXA(10.4,{-3.5,12.6}) </w:t>
      </w:r>
      <w:r>
        <w:rPr/>
        <w:t>results in </w:t>
      </w:r>
      <w:r>
        <w:rPr>
          <w:rFonts w:ascii="Consolas"/>
        </w:rPr>
        <w:t>12.6</w:t>
      </w:r>
    </w:p>
    <w:p>
      <w:pPr>
        <w:pStyle w:val="BodyText"/>
        <w:spacing w:before="3"/>
        <w:ind w:left="220"/>
        <w:rPr>
          <w:rFonts w:ascii="Consolas"/>
        </w:rPr>
      </w:pPr>
      <w:r>
        <w:rPr>
          <w:rFonts w:ascii="Consolas"/>
        </w:rPr>
        <w:t>MAXA({"ABC",TRUE}) </w:t>
      </w:r>
      <w:r>
        <w:rPr/>
        <w:t>results in </w:t>
      </w:r>
      <w:r>
        <w:rPr>
          <w:rFonts w:ascii="Consolas"/>
        </w:rPr>
        <w:t>0</w:t>
      </w:r>
    </w:p>
    <w:p>
      <w:pPr>
        <w:pStyle w:val="BodyText"/>
        <w:spacing w:before="4"/>
        <w:rPr>
          <w:rFonts w:ascii="Consolas"/>
          <w:sz w:val="20"/>
        </w:rPr>
      </w:pPr>
    </w:p>
    <w:p>
      <w:pPr>
        <w:pStyle w:val="BodyText"/>
        <w:ind w:left="220"/>
      </w:pPr>
      <w:r>
        <w:rPr/>
        <w:t>Consider the case in which cell </w:t>
      </w:r>
      <w:r>
        <w:rPr>
          <w:rFonts w:ascii="Consolas"/>
        </w:rPr>
        <w:t>B3</w:t>
      </w:r>
      <w:r>
        <w:rPr>
          <w:rFonts w:ascii="Consolas"/>
          <w:spacing w:val="-81"/>
        </w:rPr>
        <w:t> </w:t>
      </w:r>
      <w:r>
        <w:rPr/>
        <w:t>contains </w:t>
      </w:r>
      <w:r>
        <w:rPr>
          <w:rFonts w:ascii="Consolas"/>
        </w:rPr>
        <w:t>0</w:t>
      </w:r>
      <w:r>
        <w:rPr/>
        <w:t>:</w:t>
      </w:r>
    </w:p>
    <w:p>
      <w:pPr>
        <w:pStyle w:val="BodyText"/>
        <w:spacing w:line="276" w:lineRule="auto" w:before="39"/>
        <w:ind w:left="220" w:right="6883"/>
        <w:rPr>
          <w:rFonts w:ascii="Consolas"/>
        </w:rPr>
      </w:pPr>
      <w:r>
        <w:rPr>
          <w:rFonts w:ascii="Consolas"/>
        </w:rPr>
        <w:t>MAX(-10,-12,-15,B3)</w:t>
      </w:r>
      <w:r>
        <w:rPr>
          <w:rFonts w:ascii="Consolas"/>
          <w:spacing w:val="-85"/>
        </w:rPr>
        <w:t> </w:t>
      </w:r>
      <w:r>
        <w:rPr/>
        <w:t>results in </w:t>
      </w:r>
      <w:r>
        <w:rPr>
          <w:rFonts w:ascii="Consolas"/>
        </w:rPr>
        <w:t>-10 MAXA(-10,-12,-15,B3)</w:t>
      </w:r>
      <w:r>
        <w:rPr>
          <w:rFonts w:ascii="Consolas"/>
          <w:spacing w:val="-79"/>
        </w:rPr>
        <w:t> </w:t>
      </w:r>
      <w:r>
        <w:rPr/>
        <w:t>results in </w:t>
      </w:r>
      <w:r>
        <w:rPr>
          <w:rFonts w:ascii="Consolas"/>
        </w:rPr>
        <w:t>0</w:t>
      </w:r>
    </w:p>
    <w:p>
      <w:pPr>
        <w:pStyle w:val="BodyText"/>
        <w:spacing w:before="9"/>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7 MDETERM" w:id="2013"/>
      <w:bookmarkEnd w:id="2013"/>
      <w:r>
        <w:rPr/>
      </w:r>
      <w:bookmarkStart w:name="_bookmark670" w:id="2014"/>
      <w:bookmarkEnd w:id="2014"/>
      <w:r>
        <w:rPr/>
      </w:r>
      <w:bookmarkStart w:name="_bookmark670" w:id="2015"/>
      <w:bookmarkEnd w:id="2015"/>
      <w:r>
        <w:rPr>
          <w:color w:val="4F81BC"/>
        </w:rPr>
        <w:t>MDETERM</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MDETERM ( </w:t>
      </w:r>
      <w:r>
        <w:rPr>
          <w:i/>
          <w:sz w:val="22"/>
        </w:rPr>
        <w:t>array </w:t>
      </w:r>
      <w:r>
        <w:rPr>
          <w:rFonts w:ascii="Lucida Console"/>
          <w:sz w:val="20"/>
        </w:rPr>
        <w:t>)</w:t>
      </w:r>
    </w:p>
    <w:p>
      <w:pPr>
        <w:pStyle w:val="BodyText"/>
        <w:spacing w:line="276" w:lineRule="auto" w:before="106"/>
        <w:ind w:left="220" w:right="477"/>
        <w:jc w:val="both"/>
      </w:pPr>
      <w:r>
        <w:rPr>
          <w:b/>
        </w:rPr>
        <w:t>Description: </w:t>
      </w:r>
      <w:r>
        <w:rPr/>
        <w:t>Computes the determinant of the square matrix of numbers designated by </w:t>
      </w:r>
      <w:r>
        <w:rPr>
          <w:rFonts w:ascii="Times New Roman"/>
          <w:i/>
        </w:rPr>
        <w:t>array</w:t>
      </w:r>
      <w:r>
        <w:rPr/>
        <w:t>. The determinant is calculated with an accuracy of at least 15 digits, which can lead to a small numeric error when the calculation is not complete. [</w:t>
      </w:r>
      <w:r>
        <w:rPr>
          <w:i/>
        </w:rPr>
        <w:t>Example</w:t>
      </w:r>
      <w:r>
        <w:rPr/>
        <w:t>: The determinant of a singular matrix can differ from zero by 1E-16. </w:t>
      </w:r>
      <w:r>
        <w:rPr>
          <w:i/>
        </w:rPr>
        <w:t>end example</w:t>
      </w:r>
      <w:r>
        <w:rPr/>
        <w:t>]</w:t>
      </w:r>
    </w:p>
    <w:p>
      <w:pPr>
        <w:pStyle w:val="BodyText"/>
        <w:spacing w:before="6"/>
        <w:rPr>
          <w:sz w:val="16"/>
        </w:rPr>
      </w:pPr>
    </w:p>
    <w:p>
      <w:pPr>
        <w:pStyle w:val="Heading4"/>
        <w:spacing w:before="1"/>
      </w:pPr>
      <w:r>
        <w:rPr/>
        <w:t>Arguments:</w:t>
      </w:r>
    </w:p>
    <w:p>
      <w:pPr>
        <w:pStyle w:val="BodyText"/>
        <w:spacing w:before="8"/>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Designate a square matrix of numbers.</w:t>
            </w:r>
          </w:p>
        </w:tc>
      </w:tr>
    </w:tbl>
    <w:p>
      <w:pPr>
        <w:pStyle w:val="BodyText"/>
        <w:rPr>
          <w:b/>
        </w:rPr>
      </w:pPr>
    </w:p>
    <w:p>
      <w:pPr>
        <w:pStyle w:val="BodyText"/>
        <w:spacing w:before="5"/>
        <w:rPr>
          <w:b/>
          <w:sz w:val="19"/>
        </w:rPr>
      </w:pPr>
    </w:p>
    <w:p>
      <w:pPr>
        <w:pStyle w:val="BodyText"/>
        <w:spacing w:line="278" w:lineRule="auto"/>
        <w:ind w:left="220" w:right="786"/>
      </w:pPr>
      <w:r>
        <w:rPr>
          <w:b/>
        </w:rPr>
        <w:t>Return Type and Value: </w:t>
      </w:r>
      <w:r>
        <w:rPr/>
        <w:t>number – The determinant of </w:t>
      </w:r>
      <w:r>
        <w:rPr>
          <w:rFonts w:ascii="Times New Roman" w:hAnsi="Times New Roman"/>
          <w:i/>
        </w:rPr>
        <w:t>array</w:t>
      </w:r>
      <w:r>
        <w:rPr/>
        <w:t>. Some square matrices cannot be inverted. The determinant of a non-invertible matrix is 0.</w:t>
      </w:r>
    </w:p>
    <w:p>
      <w:pPr>
        <w:pStyle w:val="BodyText"/>
        <w:spacing w:before="198"/>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Any cells in </w:t>
      </w:r>
      <w:r>
        <w:rPr>
          <w:rFonts w:ascii="Times New Roman" w:hAnsi="Times New Roman"/>
          <w:i/>
          <w:sz w:val="22"/>
        </w:rPr>
        <w:t>array </w:t>
      </w:r>
      <w:r>
        <w:rPr>
          <w:sz w:val="22"/>
        </w:rPr>
        <w:t>are empty or contain text, the return value is</w:t>
      </w:r>
      <w:r>
        <w:rPr>
          <w:spacing w:val="-18"/>
          <w:sz w:val="22"/>
        </w:rPr>
        <w:t> </w:t>
      </w:r>
      <w:r>
        <w:rPr>
          <w:sz w:val="22"/>
        </w:rPr>
        <w:t>unspecified.</w:t>
      </w:r>
    </w:p>
    <w:p>
      <w:pPr>
        <w:spacing w:after="0" w:line="240" w:lineRule="auto"/>
        <w:jc w:val="left"/>
        <w:rPr>
          <w:sz w:val="22"/>
        </w:rPr>
        <w:sectPr>
          <w:pgSz w:w="12240" w:h="15840"/>
          <w:pgMar w:header="761" w:footer="746" w:top="1340" w:bottom="940" w:left="860" w:right="700"/>
        </w:sectPr>
      </w:pPr>
    </w:p>
    <w:p>
      <w:pPr>
        <w:pStyle w:val="ListParagraph"/>
        <w:numPr>
          <w:ilvl w:val="4"/>
          <w:numId w:val="66"/>
        </w:numPr>
        <w:tabs>
          <w:tab w:pos="940" w:val="left" w:leader="none"/>
          <w:tab w:pos="941" w:val="left" w:leader="none"/>
        </w:tabs>
        <w:spacing w:line="446" w:lineRule="auto" w:before="148" w:after="0"/>
        <w:ind w:left="220" w:right="3698" w:firstLine="360"/>
        <w:jc w:val="left"/>
        <w:rPr>
          <w:sz w:val="22"/>
        </w:rPr>
      </w:pPr>
      <w:r>
        <w:rPr>
          <w:sz w:val="22"/>
        </w:rPr>
        <w:t>The matrix designated by </w:t>
      </w:r>
      <w:r>
        <w:rPr>
          <w:rFonts w:ascii="Times New Roman" w:hAnsi="Times New Roman"/>
          <w:i/>
          <w:sz w:val="22"/>
        </w:rPr>
        <w:t>array </w:t>
      </w:r>
      <w:r>
        <w:rPr>
          <w:sz w:val="22"/>
        </w:rPr>
        <w:t>is not square, </w:t>
      </w:r>
      <w:r>
        <w:rPr>
          <w:rFonts w:ascii="Consolas" w:hAnsi="Consolas"/>
          <w:sz w:val="22"/>
        </w:rPr>
        <w:t>#VALUE!</w:t>
      </w:r>
      <w:r>
        <w:rPr>
          <w:rFonts w:ascii="Consolas" w:hAnsi="Consolas"/>
          <w:spacing w:val="-96"/>
          <w:sz w:val="22"/>
        </w:rPr>
        <w:t> </w:t>
      </w:r>
      <w:r>
        <w:rPr>
          <w:sz w:val="22"/>
        </w:rPr>
        <w:t>is returned. [</w:t>
      </w:r>
      <w:r>
        <w:rPr>
          <w:i/>
          <w:sz w:val="22"/>
        </w:rPr>
        <w:t>Example</w:t>
      </w:r>
      <w:r>
        <w:rPr>
          <w:sz w:val="22"/>
        </w:rPr>
        <w:t>:</w:t>
      </w:r>
    </w:p>
    <w:p>
      <w:pPr>
        <w:pStyle w:val="BodyText"/>
        <w:spacing w:before="126"/>
        <w:ind w:left="220"/>
      </w:pPr>
      <w:r>
        <w:rPr>
          <w:rFonts w:ascii="Consolas"/>
        </w:rPr>
        <w:t>MDETERM(A2:D5)</w:t>
      </w:r>
      <w:r>
        <w:rPr>
          <w:rFonts w:ascii="Consolas"/>
          <w:spacing w:val="-84"/>
        </w:rPr>
        <w:t> </w:t>
      </w:r>
      <w:r>
        <w:rPr/>
        <w:t>results in the determinant of the 4x4 array designated by the cell range</w:t>
      </w:r>
    </w:p>
    <w:p>
      <w:pPr>
        <w:pStyle w:val="BodyText"/>
        <w:spacing w:before="41"/>
        <w:ind w:left="220"/>
        <w:rPr>
          <w:rFonts w:ascii="Consolas"/>
        </w:rPr>
      </w:pPr>
      <w:r>
        <w:rPr>
          <w:rFonts w:ascii="Consolas"/>
        </w:rPr>
        <w:t>MDETERM({3,6,1;1,1,0;3,10,2})</w:t>
      </w:r>
      <w:r>
        <w:rPr>
          <w:rFonts w:ascii="Consolas"/>
          <w:spacing w:val="-70"/>
        </w:rPr>
        <w:t> </w:t>
      </w:r>
      <w:r>
        <w:rPr/>
        <w:t>results in </w:t>
      </w:r>
      <w:r>
        <w:rPr>
          <w:rFonts w:ascii="Consolas"/>
        </w:rPr>
        <w:t>1</w:t>
      </w:r>
    </w:p>
    <w:p>
      <w:pPr>
        <w:pStyle w:val="BodyText"/>
        <w:spacing w:before="41"/>
        <w:ind w:left="220"/>
        <w:rPr>
          <w:rFonts w:ascii="Consolas"/>
        </w:rPr>
      </w:pPr>
      <w:r>
        <w:rPr>
          <w:rFonts w:ascii="Consolas"/>
        </w:rPr>
        <w:t>MDETERM({3,6;1,1})</w:t>
      </w:r>
      <w:r>
        <w:rPr>
          <w:rFonts w:ascii="Consolas"/>
          <w:spacing w:val="-67"/>
        </w:rPr>
        <w:t> </w:t>
      </w:r>
      <w:r>
        <w:rPr/>
        <w:t>results in </w:t>
      </w:r>
      <w:r>
        <w:rPr>
          <w:rFonts w:ascii="Consolas"/>
        </w:rPr>
        <w:t>-3</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08 MDURATION" w:id="2016"/>
      <w:bookmarkEnd w:id="2016"/>
      <w:r>
        <w:rPr/>
      </w:r>
      <w:bookmarkStart w:name="_bookmark671" w:id="2017"/>
      <w:bookmarkEnd w:id="2017"/>
      <w:r>
        <w:rPr/>
      </w:r>
      <w:bookmarkStart w:name="_bookmark671" w:id="2018"/>
      <w:bookmarkEnd w:id="2018"/>
      <w:r>
        <w:rPr>
          <w:color w:val="4F81BC"/>
        </w:rPr>
        <w:t>MDUR</w:t>
      </w:r>
      <w:r>
        <w:rPr>
          <w:color w:val="4F81BC"/>
        </w:rPr>
        <w:t>ATION</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MDURATION ( </w:t>
      </w:r>
      <w:r>
        <w:rPr>
          <w:i/>
          <w:sz w:val="22"/>
        </w:rPr>
        <w:t>settlement  </w:t>
      </w:r>
      <w:r>
        <w:rPr>
          <w:rFonts w:ascii="Lucida Console"/>
          <w:sz w:val="20"/>
        </w:rPr>
        <w:t>, </w:t>
      </w:r>
      <w:r>
        <w:rPr>
          <w:i/>
          <w:sz w:val="22"/>
        </w:rPr>
        <w:t>maturity  </w:t>
      </w:r>
      <w:r>
        <w:rPr>
          <w:rFonts w:ascii="Lucida Console"/>
          <w:sz w:val="20"/>
        </w:rPr>
        <w:t>, </w:t>
      </w:r>
      <w:r>
        <w:rPr>
          <w:i/>
          <w:sz w:val="22"/>
        </w:rPr>
        <w:t>coupon  </w:t>
      </w:r>
      <w:r>
        <w:rPr>
          <w:rFonts w:ascii="Lucida Console"/>
          <w:sz w:val="20"/>
        </w:rPr>
        <w:t>, </w:t>
      </w:r>
      <w:r>
        <w:rPr>
          <w:i/>
          <w:sz w:val="22"/>
        </w:rPr>
        <w:t>yld  </w:t>
      </w:r>
      <w:r>
        <w:rPr>
          <w:rFonts w:ascii="Lucida Console"/>
          <w:sz w:val="20"/>
        </w:rPr>
        <w:t>, </w:t>
      </w:r>
      <w:r>
        <w:rPr>
          <w:i/>
          <w:sz w:val="22"/>
        </w:rPr>
        <w:t>frequency  </w:t>
      </w:r>
      <w:r>
        <w:rPr>
          <w:sz w:val="22"/>
        </w:rPr>
        <w:t>[ </w:t>
      </w:r>
      <w:r>
        <w:rPr>
          <w:rFonts w:ascii="Lucida Console"/>
          <w:sz w:val="20"/>
        </w:rPr>
        <w:t>,</w:t>
      </w:r>
      <w:r>
        <w:rPr>
          <w:rFonts w:ascii="Lucida Console"/>
          <w:spacing w:val="-71"/>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modified Macaulay duration for a security with an assumed par value of 100.</w:t>
      </w:r>
    </w:p>
    <w:p>
      <w:pPr>
        <w:pStyle w:val="BodyText"/>
        <w:spacing w:before="8"/>
        <w:rPr>
          <w:sz w:val="19"/>
        </w:rPr>
      </w:pPr>
    </w:p>
    <w:p>
      <w:pPr>
        <w:pStyle w:val="Heading4"/>
        <w:rPr>
          <w:b w:val="0"/>
        </w:rPr>
      </w:pPr>
      <w:r>
        <w:rPr/>
        <w:t>Mathematical Formula</w:t>
      </w:r>
      <w:r>
        <w:rPr>
          <w:b w:val="0"/>
        </w:rPr>
        <w:t>:</w:t>
      </w:r>
    </w:p>
    <w:p>
      <w:pPr>
        <w:pStyle w:val="BodyText"/>
        <w:rPr>
          <w:sz w:val="12"/>
        </w:rPr>
      </w:pPr>
    </w:p>
    <w:p>
      <w:pPr>
        <w:spacing w:after="0"/>
        <w:rPr>
          <w:sz w:val="12"/>
        </w:rPr>
        <w:sectPr>
          <w:pgSz w:w="12240" w:h="15840"/>
          <w:pgMar w:header="763" w:footer="746" w:top="1340" w:bottom="940" w:left="860" w:right="700"/>
        </w:sectPr>
      </w:pPr>
    </w:p>
    <w:p>
      <w:pPr>
        <w:pStyle w:val="BodyText"/>
        <w:spacing w:before="11"/>
        <w:rPr>
          <w:sz w:val="18"/>
        </w:rPr>
      </w:pPr>
    </w:p>
    <w:p>
      <w:pPr>
        <w:pStyle w:val="BodyText"/>
        <w:ind w:left="220"/>
        <w:rPr>
          <w:rFonts w:ascii="Cambria Math" w:eastAsia="Cambria Math"/>
        </w:rPr>
      </w:pPr>
      <w:r>
        <w:rPr>
          <w:rFonts w:ascii="Cambria Math" w:eastAsia="Cambria Math"/>
        </w:rPr>
        <w:t>𝑀𝐷𝑈𝑅𝐴𝑇𝐼𝑂𝑁 =</w:t>
      </w:r>
    </w:p>
    <w:p>
      <w:pPr>
        <w:pStyle w:val="BodyText"/>
        <w:spacing w:before="63"/>
        <w:ind w:left="755"/>
        <w:rPr>
          <w:rFonts w:ascii="Cambria Math" w:eastAsia="Cambria Math"/>
        </w:rPr>
      </w:pPr>
      <w:r>
        <w:rPr/>
        <w:br w:type="column"/>
      </w:r>
      <w:r>
        <w:rPr>
          <w:rFonts w:ascii="Cambria Math" w:eastAsia="Cambria Math"/>
        </w:rPr>
        <w:t>𝐷𝑈𝑅𝐴𝑇𝐼𝑂𝑁</w:t>
      </w:r>
    </w:p>
    <w:p>
      <w:pPr>
        <w:pStyle w:val="BodyText"/>
        <w:tabs>
          <w:tab w:pos="860" w:val="left" w:leader="none"/>
          <w:tab w:pos="2793" w:val="left" w:leader="none"/>
        </w:tabs>
        <w:spacing w:line="250" w:lineRule="exact" w:before="37"/>
        <w:ind w:left="220"/>
        <w:rPr>
          <w:rFonts w:ascii="Cambria Math" w:eastAsia="Cambria Math"/>
        </w:rPr>
      </w:pPr>
      <w:r>
        <w:rPr/>
        <w:pict>
          <v:line style="position:absolute;mso-position-horizontal-relative:page;mso-position-vertical-relative:paragraph;z-index:251803648" from="135.740005pt,2.822155pt" to="294.400005pt,2.822155pt" stroked="true" strokeweight=".72pt" strokecolor="#000000">
            <v:stroke dashstyle="solid"/>
            <w10:wrap type="none"/>
          </v:line>
        </w:pict>
      </w:r>
      <w:r>
        <w:rPr/>
        <w:pict>
          <v:shape style="position:absolute;margin-left:135.740005pt;margin-top:10.304108pt;width:158.85pt;height:11.1pt;mso-position-horizontal-relative:page;mso-position-vertical-relative:paragraph;z-index:-335836160" type="#_x0000_t202" filled="false" stroked="false">
            <v:textbox inset="0,0,0,0">
              <w:txbxContent>
                <w:p>
                  <w:pPr>
                    <w:pStyle w:val="BodyText"/>
                    <w:tabs>
                      <w:tab w:pos="3067" w:val="left" w:leader="none"/>
                    </w:tabs>
                    <w:spacing w:line="221" w:lineRule="exact"/>
                    <w:rPr>
                      <w:rFonts w:ascii="Cambria Math"/>
                    </w:rPr>
                  </w:pPr>
                  <w:r>
                    <w:rPr>
                      <w:rFonts w:ascii="Cambria Math"/>
                      <w:w w:val="110"/>
                    </w:rPr>
                    <w:t>1</w:t>
                  </w:r>
                  <w:r>
                    <w:rPr>
                      <w:rFonts w:ascii="Cambria Math"/>
                      <w:spacing w:val="-10"/>
                      <w:w w:val="110"/>
                    </w:rPr>
                    <w:t> </w:t>
                  </w:r>
                  <w:r>
                    <w:rPr>
                      <w:rFonts w:ascii="Cambria Math"/>
                      <w:w w:val="110"/>
                    </w:rPr>
                    <w:t>+</w:t>
                  </w:r>
                  <w:r>
                    <w:rPr>
                      <w:rFonts w:ascii="Cambria Math"/>
                      <w:spacing w:val="-9"/>
                      <w:w w:val="110"/>
                    </w:rPr>
                    <w:t> </w:t>
                  </w:r>
                  <w:r>
                    <w:rPr>
                      <w:rFonts w:ascii="Cambria Math"/>
                      <w:w w:val="110"/>
                    </w:rPr>
                    <w:t>(</w:t>
                    <w:tab/>
                  </w:r>
                  <w:r>
                    <w:rPr>
                      <w:rFonts w:ascii="Cambria Math"/>
                      <w:spacing w:val="-20"/>
                      <w:w w:val="110"/>
                    </w:rPr>
                    <w:t>)</w:t>
                  </w:r>
                </w:p>
              </w:txbxContent>
            </v:textbox>
            <w10:wrap type="none"/>
          </v:shape>
        </w:pict>
      </w:r>
      <w:r>
        <w:rPr>
          <w:rFonts w:ascii="Times New Roman" w:eastAsia="Times New Roman"/>
          <w:w w:val="100"/>
          <w:u w:val="single"/>
        </w:rPr>
        <w:t> </w:t>
      </w:r>
      <w:r>
        <w:rPr>
          <w:rFonts w:ascii="Times New Roman" w:eastAsia="Times New Roman"/>
          <w:u w:val="single"/>
        </w:rPr>
        <w:tab/>
      </w:r>
      <w:r>
        <w:rPr>
          <w:rFonts w:ascii="Cambria Math" w:eastAsia="Cambria Math"/>
          <w:u w:val="single"/>
        </w:rPr>
        <w:t>𝑀𝑎𝑟𝑘𝑒𝑡 𝑦𝑖𝑒𝑙𝑑</w:t>
        <w:tab/>
      </w:r>
    </w:p>
    <w:p>
      <w:pPr>
        <w:pStyle w:val="BodyText"/>
        <w:spacing w:line="250" w:lineRule="exact"/>
        <w:ind w:left="220"/>
        <w:rPr>
          <w:rFonts w:ascii="Cambria Math" w:eastAsia="Cambria Math"/>
        </w:rPr>
      </w:pPr>
      <w:r>
        <w:rPr>
          <w:rFonts w:ascii="Cambria Math" w:eastAsia="Cambria Math"/>
        </w:rPr>
        <w:t>𝐶𝑜𝑢𝑝𝑜𝑛 𝑝𝑎𝑦𝑚𝑒𝑛𝑡𝑠 𝑝𝑒𝑟</w:t>
      </w:r>
      <w:r>
        <w:rPr>
          <w:rFonts w:ascii="Cambria Math" w:eastAsia="Cambria Math"/>
          <w:spacing w:val="3"/>
        </w:rPr>
        <w:t> </w:t>
      </w:r>
      <w:r>
        <w:rPr>
          <w:rFonts w:ascii="Cambria Math" w:eastAsia="Cambria Math"/>
        </w:rPr>
        <w:t>𝑦𝑒𝑎</w:t>
      </w:r>
    </w:p>
    <w:p>
      <w:pPr>
        <w:spacing w:after="0" w:line="250" w:lineRule="exact"/>
        <w:rPr>
          <w:rFonts w:ascii="Cambria Math" w:eastAsia="Cambria Math"/>
        </w:rPr>
        <w:sectPr>
          <w:type w:val="continuous"/>
          <w:pgSz w:w="12240" w:h="15840"/>
          <w:pgMar w:top="1340" w:bottom="940" w:left="860" w:right="700"/>
          <w:cols w:num="2" w:equalWidth="0">
            <w:col w:w="1787" w:space="343"/>
            <w:col w:w="8550"/>
          </w:cols>
        </w:sectPr>
      </w:pPr>
    </w:p>
    <w:p>
      <w:pPr>
        <w:pStyle w:val="BodyText"/>
        <w:spacing w:before="4"/>
        <w:rPr>
          <w:rFonts w:ascii="Cambria Math"/>
          <w:sz w:val="15"/>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Coupon payments per year </w:t>
      </w:r>
      <w:r>
        <w:rPr>
          <w:sz w:val="22"/>
        </w:rPr>
        <w:t>= argument</w:t>
      </w:r>
      <w:r>
        <w:rPr>
          <w:spacing w:val="-11"/>
          <w:sz w:val="22"/>
        </w:rPr>
        <w:t> </w:t>
      </w:r>
      <w:r>
        <w:rPr>
          <w:rFonts w:ascii="Times New Roman" w:hAnsi="Times New Roman"/>
          <w:i/>
          <w:sz w:val="22"/>
        </w:rPr>
        <w:t>frequency</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Times New Roman" w:hAnsi="Times New Roman"/>
          <w:i/>
          <w:sz w:val="22"/>
        </w:rPr>
        <w:t>DURATION </w:t>
      </w:r>
      <w:r>
        <w:rPr>
          <w:sz w:val="22"/>
        </w:rPr>
        <w:t>= </w:t>
      </w:r>
      <w:r>
        <w:rPr>
          <w:rFonts w:ascii="Consolas" w:hAnsi="Consolas"/>
          <w:sz w:val="22"/>
        </w:rPr>
        <w:t>DURATION(settlement, maturity, coupon, yld, frequency,</w:t>
      </w:r>
      <w:r>
        <w:rPr>
          <w:rFonts w:ascii="Consolas" w:hAnsi="Consolas"/>
          <w:spacing w:val="-31"/>
          <w:sz w:val="22"/>
        </w:rPr>
        <w:t> </w:t>
      </w:r>
      <w:r>
        <w:rPr>
          <w:rFonts w:ascii="Consolas" w:hAnsi="Consolas"/>
          <w:sz w:val="22"/>
        </w:rPr>
        <w:t>[basis])</w:t>
      </w:r>
    </w:p>
    <w:p>
      <w:pPr>
        <w:pStyle w:val="ListParagraph"/>
        <w:numPr>
          <w:ilvl w:val="4"/>
          <w:numId w:val="66"/>
        </w:numPr>
        <w:tabs>
          <w:tab w:pos="940" w:val="left" w:leader="none"/>
          <w:tab w:pos="941" w:val="left" w:leader="none"/>
        </w:tabs>
        <w:spacing w:line="240" w:lineRule="auto" w:before="38" w:after="0"/>
        <w:ind w:left="940" w:right="0" w:hanging="361"/>
        <w:jc w:val="left"/>
        <w:rPr>
          <w:rFonts w:ascii="Times New Roman" w:hAnsi="Times New Roman"/>
          <w:i/>
          <w:sz w:val="22"/>
        </w:rPr>
      </w:pPr>
      <w:r>
        <w:rPr>
          <w:rFonts w:ascii="Times New Roman" w:hAnsi="Times New Roman"/>
          <w:i/>
          <w:sz w:val="22"/>
        </w:rPr>
        <w:t>Market yield </w:t>
      </w:r>
      <w:r>
        <w:rPr>
          <w:sz w:val="22"/>
        </w:rPr>
        <w:t>= argument</w:t>
      </w:r>
      <w:r>
        <w:rPr>
          <w:spacing w:val="-6"/>
          <w:sz w:val="22"/>
        </w:rPr>
        <w:t> </w:t>
      </w:r>
      <w:r>
        <w:rPr>
          <w:rFonts w:ascii="Times New Roman" w:hAnsi="Times New Roman"/>
          <w:i/>
          <w:sz w:val="22"/>
        </w:rPr>
        <w:t>yld</w:t>
      </w:r>
    </w:p>
    <w:p>
      <w:pPr>
        <w:pStyle w:val="Heading4"/>
        <w:spacing w:before="243"/>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coupon</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annual coupon rate.</w:t>
            </w:r>
          </w:p>
        </w:tc>
      </w:tr>
      <w:tr>
        <w:trPr>
          <w:trHeight w:val="354" w:hRule="atLeast"/>
        </w:trPr>
        <w:tc>
          <w:tcPr>
            <w:tcW w:w="1466" w:type="dxa"/>
          </w:tcPr>
          <w:p>
            <w:pPr>
              <w:pStyle w:val="TableParagraph"/>
              <w:spacing w:before="37"/>
              <w:rPr>
                <w:rFonts w:ascii="Times New Roman"/>
                <w:i/>
                <w:sz w:val="22"/>
              </w:rPr>
            </w:pPr>
            <w:r>
              <w:rPr>
                <w:rFonts w:ascii="Times New Roman"/>
                <w:i/>
                <w:sz w:val="22"/>
              </w:rPr>
              <w:t>yld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annual yield.</w:t>
            </w:r>
          </w:p>
        </w:tc>
      </w:tr>
      <w:tr>
        <w:trPr>
          <w:trHeight w:val="1159"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397"/>
              <w:rPr>
                <w:sz w:val="22"/>
              </w:rPr>
            </w:pPr>
            <w:r>
              <w:rPr>
                <w:sz w:val="22"/>
              </w:rPr>
              <w:t>the number of coupon payments per year. (For annual payments, </w:t>
            </w:r>
            <w:r>
              <w:rPr>
                <w:rFonts w:ascii="Times New Roman"/>
                <w:i/>
                <w:sz w:val="22"/>
              </w:rPr>
              <w:t>frequency </w:t>
            </w:r>
            <w:r>
              <w:rPr>
                <w:sz w:val="22"/>
              </w:rPr>
              <w:t>is 1; for semiannual payments, </w:t>
            </w:r>
            <w:r>
              <w:rPr>
                <w:rFonts w:ascii="Times New Roman"/>
                <w:i/>
                <w:sz w:val="22"/>
              </w:rPr>
              <w:t>frequency </w:t>
            </w:r>
            <w:r>
              <w:rPr>
                <w:sz w:val="22"/>
              </w:rPr>
              <w:t>is 2; for quarterly payments, </w:t>
            </w:r>
            <w:r>
              <w:rPr>
                <w:rFonts w:ascii="Times New Roman"/>
                <w:i/>
                <w:sz w:val="22"/>
              </w:rPr>
              <w:t>frequency </w:t>
            </w:r>
            <w:r>
              <w:rPr>
                <w:sz w:val="22"/>
              </w:rPr>
              <w:t>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40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tcBorders>
              <w:top w:val="nil"/>
            </w:tcBorders>
          </w:tcPr>
          <w:p>
            <w:pPr>
              <w:pStyle w:val="TableParagraph"/>
              <w:spacing w:before="0"/>
              <w:ind w:left="0"/>
              <w:rPr>
                <w:rFonts w:ascii="Times New Roman"/>
                <w:sz w:val="22"/>
              </w:rPr>
            </w:pPr>
          </w:p>
        </w:tc>
      </w:tr>
    </w:tbl>
    <w:p>
      <w:pPr>
        <w:spacing w:after="0"/>
        <w:rPr>
          <w:rFonts w:ascii="Times New Roman"/>
          <w:sz w:val="22"/>
        </w:rPr>
        <w:sectPr>
          <w:type w:val="continuous"/>
          <w:pgSz w:w="12240" w:h="15840"/>
          <w:pgMar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7951"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92"/>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spacing w:before="92"/>
              <w:ind w:left="117"/>
              <w:rPr>
                <w:sz w:val="22"/>
              </w:rPr>
            </w:pPr>
            <w:r>
              <w:rPr>
                <w:sz w:val="22"/>
              </w:rPr>
              <w:t>US (NASD) 30/360.</w:t>
            </w:r>
          </w:p>
          <w:p>
            <w:pPr>
              <w:pStyle w:val="TableParagraph"/>
              <w:spacing w:before="1"/>
              <w:ind w:left="117" w:right="124"/>
              <w:rPr>
                <w:sz w:val="22"/>
              </w:rPr>
            </w:pPr>
            <w:r>
              <w:rPr>
                <w:sz w:val="22"/>
              </w:rPr>
              <w:t>Assumes that each month has 30 days and the total number of days in the year is 360 by making the following adjustments:</w:t>
            </w:r>
          </w:p>
          <w:p>
            <w:pPr>
              <w:pStyle w:val="TableParagraph"/>
              <w:numPr>
                <w:ilvl w:val="0"/>
                <w:numId w:val="103"/>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03"/>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94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827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95"/>
              <w:ind w:left="116"/>
              <w:rPr>
                <w:rFonts w:ascii="Consolas"/>
                <w:sz w:val="22"/>
              </w:rPr>
            </w:pPr>
            <w:r>
              <w:rPr>
                <w:rFonts w:ascii="Consolas"/>
                <w:w w:val="100"/>
                <w:sz w:val="22"/>
              </w:rPr>
              <w:t>4</w:t>
            </w:r>
          </w:p>
        </w:tc>
        <w:tc>
          <w:tcPr>
            <w:tcW w:w="2340" w:type="dxa"/>
          </w:tcPr>
          <w:p>
            <w:pPr>
              <w:pStyle w:val="TableParagraph"/>
              <w:spacing w:before="92"/>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04"/>
              </w:numPr>
              <w:tabs>
                <w:tab w:pos="1197" w:val="left" w:leader="none"/>
                <w:tab w:pos="1198" w:val="left" w:leader="none"/>
              </w:tabs>
              <w:spacing w:line="240" w:lineRule="auto" w:before="1"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04"/>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1"/>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pStyle w:val="BodyText"/>
        <w:spacing w:before="6"/>
        <w:rPr>
          <w:sz w:val="19"/>
        </w:rPr>
      </w:pPr>
    </w:p>
    <w:p>
      <w:pPr>
        <w:pStyle w:val="BodyText"/>
        <w:spacing w:line="278" w:lineRule="auto"/>
        <w:ind w:left="220" w:right="526"/>
      </w:pPr>
      <w:r>
        <w:rPr>
          <w:b/>
        </w:rPr>
        <w:t>Return Type and Value</w:t>
      </w:r>
      <w:r>
        <w:rPr/>
        <w:t>: number – The modified Macaulay duration for a security with an assumed par value of 100.</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coupon </w:t>
      </w:r>
      <w:r>
        <w:rPr>
          <w:sz w:val="22"/>
        </w:rPr>
        <w:t>or </w:t>
      </w:r>
      <w:r>
        <w:rPr>
          <w:rFonts w:ascii="Times New Roman" w:hAnsi="Times New Roman"/>
          <w:i/>
          <w:sz w:val="22"/>
        </w:rPr>
        <w:t>yld </w:t>
      </w:r>
      <w:r>
        <w:rPr>
          <w:sz w:val="22"/>
        </w:rPr>
        <w:t>&lt; 0, </w:t>
      </w:r>
      <w:r>
        <w:rPr>
          <w:rFonts w:ascii="Consolas" w:hAnsi="Consolas"/>
          <w:sz w:val="22"/>
        </w:rPr>
        <w:t>#NUM!</w:t>
      </w:r>
      <w:r>
        <w:rPr>
          <w:rFonts w:ascii="Consolas" w:hAnsi="Consolas"/>
          <w:spacing w:val="-76"/>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0"/>
          <w:sz w:val="22"/>
        </w:rPr>
        <w:t> </w:t>
      </w:r>
      <w:r>
        <w:rPr>
          <w:sz w:val="22"/>
        </w:rPr>
        <w:t>is returned.</w:t>
      </w:r>
    </w:p>
    <w:p>
      <w:pPr>
        <w:spacing w:after="0" w:line="240"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MDURATION(DATE(2008,1,1),DATE(2016,1,1),0.08,0.09,2,1) </w:t>
      </w:r>
      <w:r>
        <w:rPr/>
        <w:t>results in </w:t>
      </w:r>
      <w:r>
        <w:rPr>
          <w:rFonts w:ascii="Consolas"/>
        </w:rPr>
        <w:t>5.7357</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09 MEDIAN" w:id="2019"/>
      <w:bookmarkEnd w:id="2019"/>
      <w:r>
        <w:rPr/>
      </w:r>
      <w:bookmarkStart w:name="_bookmark672" w:id="2020"/>
      <w:bookmarkEnd w:id="2020"/>
      <w:r>
        <w:rPr/>
      </w:r>
      <w:bookmarkStart w:name="_bookmark672" w:id="2021"/>
      <w:bookmarkEnd w:id="2021"/>
      <w:r>
        <w:rPr>
          <w:color w:val="4F81BC"/>
        </w:rPr>
        <w:t>MED</w:t>
      </w:r>
      <w:r>
        <w:rPr>
          <w:color w:val="4F81BC"/>
        </w:rPr>
        <w:t>IAN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MEDIAN ( </w:t>
      </w:r>
      <w:r>
        <w:rPr>
          <w:i/>
          <w:sz w:val="22"/>
        </w:rPr>
        <w:t>argument-list </w:t>
      </w:r>
      <w:r>
        <w:rPr>
          <w:rFonts w:ascii="Lucida Console"/>
          <w:sz w:val="20"/>
        </w:rPr>
        <w:t>)</w:t>
      </w:r>
    </w:p>
    <w:p>
      <w:pPr>
        <w:pStyle w:val="BodyText"/>
        <w:spacing w:line="276" w:lineRule="auto" w:before="106"/>
        <w:ind w:left="220" w:right="387"/>
      </w:pPr>
      <w:r>
        <w:rPr>
          <w:b/>
        </w:rPr>
        <w:t>Description: </w:t>
      </w:r>
      <w:r>
        <w:rPr/>
        <w:t>Computes the median of the numeric values of its arguments. The median of a set of values is the value for which half the numbers in the set are greater, and half the values are less.  For sets with an odd number of values, the median is calculated by finding the value whose rank in the ordered set of all values is equal to half the number of items (n) in the set plus one half (i.e., n/2 + 1/2). If the number of values in the set is even, then the median is defined to be the average of the values of rank n/2 and n/2 +</w:t>
      </w:r>
      <w:r>
        <w:rPr>
          <w:spacing w:val="-22"/>
        </w:rPr>
        <w:t> </w:t>
      </w:r>
      <w:r>
        <w:rPr/>
        <w:t>1.</w:t>
      </w:r>
    </w:p>
    <w:p>
      <w:pPr>
        <w:pStyle w:val="BodyText"/>
        <w:spacing w:before="8"/>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arrays, reference to number.</w:t>
            </w:r>
          </w:p>
        </w:tc>
        <w:tc>
          <w:tcPr>
            <w:tcW w:w="5400" w:type="dxa"/>
          </w:tcPr>
          <w:p>
            <w:pPr>
              <w:pStyle w:val="TableParagraph"/>
              <w:ind w:left="113" w:right="164"/>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whose median is to be computed. Logical values and text representations of numbers entered directly into the list of arguments are included. If an array or reference argument contains text, logical values, or empty cells, those values are ignored; however, cells with the value 0 are included.</w:t>
            </w:r>
          </w:p>
        </w:tc>
      </w:tr>
    </w:tbl>
    <w:p>
      <w:pPr>
        <w:pStyle w:val="BodyText"/>
        <w:rPr>
          <w:b/>
        </w:rPr>
      </w:pPr>
    </w:p>
    <w:p>
      <w:pPr>
        <w:pStyle w:val="BodyText"/>
        <w:spacing w:before="7"/>
        <w:rPr>
          <w:b/>
          <w:sz w:val="19"/>
        </w:rPr>
      </w:pPr>
    </w:p>
    <w:p>
      <w:pPr>
        <w:spacing w:line="453" w:lineRule="auto" w:before="0"/>
        <w:ind w:left="220" w:right="3517" w:firstLine="0"/>
        <w:jc w:val="left"/>
        <w:rPr>
          <w:sz w:val="22"/>
        </w:rPr>
      </w:pPr>
      <w:r>
        <w:rPr>
          <w:b/>
          <w:sz w:val="22"/>
        </w:rPr>
        <w:t>Return Type and Value: </w:t>
      </w:r>
      <w:r>
        <w:rPr>
          <w:sz w:val="22"/>
        </w:rPr>
        <w:t>number – The median of the values of its arguments. [</w:t>
      </w:r>
      <w:r>
        <w:rPr>
          <w:i/>
          <w:sz w:val="22"/>
        </w:rPr>
        <w:t>Example</w:t>
      </w:r>
      <w:r>
        <w:rPr>
          <w:sz w:val="22"/>
        </w:rPr>
        <w:t>:</w:t>
      </w:r>
    </w:p>
    <w:p>
      <w:pPr>
        <w:pStyle w:val="BodyText"/>
        <w:spacing w:before="111"/>
        <w:ind w:left="220"/>
        <w:rPr>
          <w:rFonts w:ascii="Consolas"/>
        </w:rPr>
      </w:pPr>
      <w:r>
        <w:rPr>
          <w:rFonts w:ascii="Consolas"/>
        </w:rPr>
        <w:t>MEDIAN(10,20) </w:t>
      </w:r>
      <w:r>
        <w:rPr/>
        <w:t>results in </w:t>
      </w:r>
      <w:r>
        <w:rPr>
          <w:rFonts w:ascii="Consolas"/>
        </w:rPr>
        <w:t>15</w:t>
      </w:r>
    </w:p>
    <w:p>
      <w:pPr>
        <w:pStyle w:val="BodyText"/>
        <w:spacing w:before="38"/>
        <w:ind w:left="220"/>
        <w:rPr>
          <w:rFonts w:ascii="Consolas"/>
        </w:rPr>
      </w:pPr>
      <w:r>
        <w:rPr>
          <w:rFonts w:ascii="Consolas"/>
        </w:rPr>
        <w:t>MEDIAN(-3.5,1.4,6.9,-4.5) </w:t>
      </w:r>
      <w:r>
        <w:rPr/>
        <w:t>results in </w:t>
      </w:r>
      <w:r>
        <w:rPr>
          <w:rFonts w:ascii="Consolas"/>
        </w:rPr>
        <w:t>-1.05</w:t>
      </w:r>
    </w:p>
    <w:p>
      <w:pPr>
        <w:pStyle w:val="BodyText"/>
        <w:spacing w:before="41"/>
        <w:ind w:left="220"/>
        <w:rPr>
          <w:rFonts w:ascii="Consolas"/>
        </w:rPr>
      </w:pPr>
      <w:r>
        <w:rPr>
          <w:rFonts w:ascii="Consolas"/>
        </w:rPr>
        <w:t>MEDIAN({-3.5,1.4,6.9},-4.5) </w:t>
      </w:r>
      <w:r>
        <w:rPr/>
        <w:t>results in </w:t>
      </w:r>
      <w:r>
        <w:rPr>
          <w:rFonts w:ascii="Consolas"/>
        </w:rPr>
        <w:t>-1.05</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0 MID" w:id="2022"/>
      <w:bookmarkEnd w:id="2022"/>
      <w:r>
        <w:rPr/>
      </w:r>
      <w:bookmarkStart w:name="_bookmark673" w:id="2023"/>
      <w:bookmarkEnd w:id="2023"/>
      <w:r>
        <w:rPr/>
      </w:r>
      <w:bookmarkStart w:name="_bookmark673" w:id="2024"/>
      <w:bookmarkEnd w:id="2024"/>
      <w:r>
        <w:rPr>
          <w:color w:val="4F81BC"/>
        </w:rPr>
        <w:t>M</w:t>
      </w:r>
      <w:r>
        <w:rPr>
          <w:color w:val="4F81BC"/>
        </w:rPr>
        <w:t>ID</w:t>
      </w:r>
    </w:p>
    <w:p>
      <w:pPr>
        <w:pStyle w:val="Heading4"/>
        <w:spacing w:before="122"/>
        <w:rPr>
          <w:b w:val="0"/>
        </w:rPr>
      </w:pPr>
      <w:r>
        <w:rPr/>
        <w:t>Syntax</w:t>
      </w:r>
      <w:r>
        <w:rPr>
          <w:b w:val="0"/>
        </w:rPr>
        <w:t>:</w:t>
      </w:r>
    </w:p>
    <w:p>
      <w:pPr>
        <w:pStyle w:val="BodyText"/>
        <w:spacing w:before="3"/>
        <w:rPr>
          <w:sz w:val="19"/>
        </w:rPr>
      </w:pPr>
    </w:p>
    <w:p>
      <w:pPr>
        <w:spacing w:before="0"/>
        <w:ind w:left="940" w:right="0" w:firstLine="0"/>
        <w:jc w:val="left"/>
        <w:rPr>
          <w:rFonts w:ascii="Lucida Console"/>
          <w:sz w:val="20"/>
        </w:rPr>
      </w:pPr>
      <w:r>
        <w:rPr>
          <w:rFonts w:ascii="Lucida Console"/>
          <w:sz w:val="20"/>
        </w:rPr>
        <w:t>MID ( </w:t>
      </w:r>
      <w:r>
        <w:rPr>
          <w:i/>
          <w:sz w:val="22"/>
        </w:rPr>
        <w:t>string </w:t>
      </w:r>
      <w:r>
        <w:rPr>
          <w:rFonts w:ascii="Lucida Console"/>
          <w:sz w:val="20"/>
        </w:rPr>
        <w:t>, </w:t>
      </w:r>
      <w:r>
        <w:rPr>
          <w:i/>
          <w:sz w:val="22"/>
        </w:rPr>
        <w:t>start-pos , number-chars </w:t>
      </w:r>
      <w:r>
        <w:rPr>
          <w:rFonts w:ascii="Lucida Console"/>
          <w:sz w:val="20"/>
        </w:rPr>
        <w:t>)</w:t>
      </w:r>
    </w:p>
    <w:p>
      <w:pPr>
        <w:spacing w:after="0"/>
        <w:jc w:val="left"/>
        <w:rPr>
          <w:rFonts w:ascii="Lucida Console"/>
          <w:sz w:val="20"/>
        </w:rPr>
        <w:sectPr>
          <w:pgSz w:w="12240" w:h="15840"/>
          <w:pgMar w:header="761" w:footer="746" w:top="1340" w:bottom="940" w:left="860" w:right="700"/>
        </w:sectPr>
      </w:pPr>
    </w:p>
    <w:p>
      <w:pPr>
        <w:pStyle w:val="BodyText"/>
        <w:spacing w:line="276" w:lineRule="auto" w:before="148"/>
        <w:ind w:left="220" w:right="503"/>
      </w:pPr>
      <w:r>
        <w:rPr>
          <w:b/>
        </w:rPr>
        <w:t>Description: </w:t>
      </w:r>
      <w:r>
        <w:rPr/>
        <w:t>Extracts </w:t>
      </w:r>
      <w:r>
        <w:rPr>
          <w:rFonts w:ascii="Times New Roman" w:hAnsi="Times New Roman"/>
          <w:i/>
        </w:rPr>
        <w:t>number-chars </w:t>
      </w:r>
      <w:r>
        <w:rPr/>
        <w:t>characters from </w:t>
      </w:r>
      <w:r>
        <w:rPr>
          <w:rFonts w:ascii="Times New Roman" w:hAnsi="Times New Roman"/>
          <w:i/>
        </w:rPr>
        <w:t>string</w:t>
      </w:r>
      <w:r>
        <w:rPr/>
        <w:t>, starting at character position </w:t>
      </w:r>
      <w:r>
        <w:rPr>
          <w:rFonts w:ascii="Times New Roman" w:hAnsi="Times New Roman"/>
          <w:i/>
        </w:rPr>
        <w:t>start-pos</w:t>
      </w:r>
      <w:r>
        <w:rPr/>
        <w:t>. (</w:t>
      </w:r>
      <w:r>
        <w:rPr>
          <w:rFonts w:ascii="Consolas" w:hAnsi="Consolas"/>
        </w:rPr>
        <w:t>MID </w:t>
      </w:r>
      <w:r>
        <w:rPr/>
        <w:t>is intended for use with languages that use the single-byte character set (SBCS), whereas </w:t>
      </w:r>
      <w:r>
        <w:rPr>
          <w:rFonts w:ascii="Consolas" w:hAnsi="Consolas"/>
        </w:rPr>
        <w:t>MIDB</w:t>
      </w:r>
      <w:r>
        <w:rPr>
          <w:rFonts w:ascii="Consolas" w:hAnsi="Consolas"/>
          <w:spacing w:val="-104"/>
        </w:rPr>
        <w:t> </w:t>
      </w:r>
      <w:r>
        <w:rPr/>
        <w:t>(§</w:t>
      </w:r>
      <w:hyperlink w:history="true" w:anchor="_bookmark674">
        <w:r>
          <w:rPr/>
          <w:t>18.17.7.211</w:t>
        </w:r>
      </w:hyperlink>
      <w:r>
        <w:rPr/>
        <w:t>) is intended for use with languages that use the double-byte character set (DBCS).)</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668"/>
              <w:rPr>
                <w:sz w:val="22"/>
              </w:rPr>
            </w:pPr>
            <w:r>
              <w:rPr>
                <w:sz w:val="22"/>
              </w:rPr>
              <w:t>Designate the string from which a substring is to be extracted.</w:t>
            </w:r>
          </w:p>
        </w:tc>
      </w:tr>
      <w:tr>
        <w:trPr>
          <w:trHeight w:val="623" w:hRule="atLeast"/>
        </w:trPr>
        <w:tc>
          <w:tcPr>
            <w:tcW w:w="1466" w:type="dxa"/>
          </w:tcPr>
          <w:p>
            <w:pPr>
              <w:pStyle w:val="TableParagraph"/>
              <w:spacing w:before="37"/>
              <w:rPr>
                <w:rFonts w:ascii="Times New Roman"/>
                <w:i/>
                <w:sz w:val="22"/>
              </w:rPr>
            </w:pPr>
            <w:r>
              <w:rPr>
                <w:rFonts w:ascii="Times New Roman"/>
                <w:i/>
                <w:sz w:val="22"/>
              </w:rPr>
              <w:t>number-chars</w:t>
            </w:r>
          </w:p>
        </w:tc>
        <w:tc>
          <w:tcPr>
            <w:tcW w:w="1800" w:type="dxa"/>
          </w:tcPr>
          <w:p>
            <w:pPr>
              <w:pStyle w:val="TableParagraph"/>
              <w:ind w:left="112"/>
              <w:rPr>
                <w:sz w:val="22"/>
              </w:rPr>
            </w:pPr>
            <w:r>
              <w:rPr>
                <w:sz w:val="22"/>
              </w:rPr>
              <w:t>number</w:t>
            </w:r>
          </w:p>
        </w:tc>
        <w:tc>
          <w:tcPr>
            <w:tcW w:w="5400" w:type="dxa"/>
          </w:tcPr>
          <w:p>
            <w:pPr>
              <w:pStyle w:val="TableParagraph"/>
              <w:ind w:left="113"/>
              <w:rPr>
                <w:rFonts w:ascii="Times New Roman"/>
                <w:i/>
                <w:sz w:val="22"/>
              </w:rPr>
            </w:pPr>
            <w:r>
              <w:rPr>
                <w:sz w:val="22"/>
              </w:rPr>
              <w:t>The number of characters to be extracted. </w:t>
            </w:r>
            <w:r>
              <w:rPr>
                <w:rFonts w:ascii="Times New Roman"/>
                <w:i/>
                <w:sz w:val="22"/>
              </w:rPr>
              <w:t>number-chars</w:t>
            </w:r>
          </w:p>
          <w:p>
            <w:pPr>
              <w:pStyle w:val="TableParagraph"/>
              <w:spacing w:before="0"/>
              <w:ind w:left="113"/>
              <w:rPr>
                <w:sz w:val="22"/>
              </w:rPr>
            </w:pPr>
            <w:r>
              <w:rPr>
                <w:sz w:val="22"/>
              </w:rPr>
              <w:t>shall be at least 0.</w:t>
            </w:r>
          </w:p>
        </w:tc>
      </w:tr>
      <w:tr>
        <w:trPr>
          <w:trHeight w:val="1428" w:hRule="atLeast"/>
        </w:trPr>
        <w:tc>
          <w:tcPr>
            <w:tcW w:w="1466" w:type="dxa"/>
          </w:tcPr>
          <w:p>
            <w:pPr>
              <w:pStyle w:val="TableParagraph"/>
              <w:spacing w:before="37"/>
              <w:rPr>
                <w:rFonts w:ascii="Times New Roman"/>
                <w:i/>
                <w:sz w:val="22"/>
              </w:rPr>
            </w:pPr>
            <w:r>
              <w:rPr>
                <w:rFonts w:ascii="Times New Roman"/>
                <w:i/>
                <w:sz w:val="22"/>
              </w:rPr>
              <w:t>start-pos</w:t>
            </w:r>
          </w:p>
        </w:tc>
        <w:tc>
          <w:tcPr>
            <w:tcW w:w="1800" w:type="dxa"/>
          </w:tcPr>
          <w:p>
            <w:pPr>
              <w:pStyle w:val="TableParagraph"/>
              <w:ind w:left="112"/>
              <w:rPr>
                <w:sz w:val="22"/>
              </w:rPr>
            </w:pPr>
            <w:r>
              <w:rPr>
                <w:sz w:val="22"/>
              </w:rPr>
              <w:t>number</w:t>
            </w:r>
          </w:p>
        </w:tc>
        <w:tc>
          <w:tcPr>
            <w:tcW w:w="5400" w:type="dxa"/>
          </w:tcPr>
          <w:p>
            <w:pPr>
              <w:pStyle w:val="TableParagraph"/>
              <w:ind w:left="113" w:right="522"/>
              <w:rPr>
                <w:sz w:val="22"/>
              </w:rPr>
            </w:pPr>
            <w:r>
              <w:rPr>
                <w:sz w:val="22"/>
              </w:rPr>
              <w:t>The starting position within </w:t>
            </w:r>
            <w:r>
              <w:rPr>
                <w:rFonts w:ascii="Times New Roman"/>
                <w:i/>
                <w:sz w:val="22"/>
              </w:rPr>
              <w:t>string</w:t>
            </w:r>
            <w:r>
              <w:rPr>
                <w:sz w:val="22"/>
              </w:rPr>
              <w:t>, where the first character is position 1. If </w:t>
            </w:r>
            <w:r>
              <w:rPr>
                <w:rFonts w:ascii="Times New Roman"/>
                <w:i/>
                <w:sz w:val="22"/>
              </w:rPr>
              <w:t>start-pos </w:t>
            </w:r>
            <w:r>
              <w:rPr>
                <w:sz w:val="22"/>
              </w:rPr>
              <w:t>is greater than the length of </w:t>
            </w:r>
            <w:r>
              <w:rPr>
                <w:rFonts w:ascii="Times New Roman"/>
                <w:i/>
                <w:sz w:val="22"/>
              </w:rPr>
              <w:t>string</w:t>
            </w:r>
            <w:r>
              <w:rPr>
                <w:sz w:val="22"/>
              </w:rPr>
              <w:t>, or if </w:t>
            </w:r>
            <w:r>
              <w:rPr>
                <w:rFonts w:ascii="Times New Roman"/>
                <w:i/>
                <w:sz w:val="22"/>
              </w:rPr>
              <w:t>start-pos </w:t>
            </w:r>
            <w:r>
              <w:rPr>
                <w:sz w:val="22"/>
              </w:rPr>
              <w:t>and </w:t>
            </w:r>
            <w:r>
              <w:rPr>
                <w:rFonts w:ascii="Times New Roman"/>
                <w:i/>
                <w:sz w:val="22"/>
              </w:rPr>
              <w:t>number-chars </w:t>
            </w:r>
            <w:r>
              <w:rPr>
                <w:sz w:val="22"/>
              </w:rPr>
              <w:t>combined exceeds the length of </w:t>
            </w:r>
            <w:r>
              <w:rPr>
                <w:rFonts w:ascii="Times New Roman"/>
                <w:i/>
                <w:sz w:val="22"/>
              </w:rPr>
              <w:t>string</w:t>
            </w:r>
            <w:r>
              <w:rPr>
                <w:sz w:val="22"/>
              </w:rPr>
              <w:t>, the whole of </w:t>
            </w:r>
            <w:r>
              <w:rPr>
                <w:rFonts w:ascii="Times New Roman"/>
                <w:i/>
                <w:sz w:val="22"/>
              </w:rPr>
              <w:t>string </w:t>
            </w:r>
            <w:r>
              <w:rPr>
                <w:sz w:val="22"/>
              </w:rPr>
              <w:t>shall be extracted.</w:t>
            </w:r>
          </w:p>
        </w:tc>
      </w:tr>
    </w:tbl>
    <w:p>
      <w:pPr>
        <w:pStyle w:val="BodyText"/>
        <w:rPr>
          <w:b/>
        </w:rPr>
      </w:pPr>
    </w:p>
    <w:p>
      <w:pPr>
        <w:pStyle w:val="BodyText"/>
        <w:spacing w:before="5"/>
        <w:rPr>
          <w:b/>
          <w:sz w:val="19"/>
        </w:rPr>
      </w:pPr>
    </w:p>
    <w:p>
      <w:pPr>
        <w:spacing w:line="278" w:lineRule="auto" w:before="0"/>
        <w:ind w:left="220" w:right="773" w:firstLine="0"/>
        <w:jc w:val="left"/>
        <w:rPr>
          <w:sz w:val="22"/>
        </w:rPr>
      </w:pPr>
      <w:r>
        <w:rPr>
          <w:b/>
          <w:sz w:val="22"/>
        </w:rPr>
        <w:t>Return Type and Value: </w:t>
      </w:r>
      <w:r>
        <w:rPr>
          <w:sz w:val="22"/>
        </w:rPr>
        <w:t>text – A string containing </w:t>
      </w:r>
      <w:r>
        <w:rPr>
          <w:rFonts w:ascii="Times New Roman" w:hAnsi="Times New Roman"/>
          <w:i/>
          <w:sz w:val="22"/>
        </w:rPr>
        <w:t>number-chars </w:t>
      </w:r>
      <w:r>
        <w:rPr>
          <w:sz w:val="22"/>
        </w:rPr>
        <w:t>characters from </w:t>
      </w:r>
      <w:r>
        <w:rPr>
          <w:rFonts w:ascii="Times New Roman" w:hAnsi="Times New Roman"/>
          <w:i/>
          <w:sz w:val="22"/>
        </w:rPr>
        <w:t>string</w:t>
      </w:r>
      <w:r>
        <w:rPr>
          <w:sz w:val="22"/>
        </w:rPr>
        <w:t>, starting at character position </w:t>
      </w:r>
      <w:r>
        <w:rPr>
          <w:rFonts w:ascii="Times New Roman" w:hAnsi="Times New Roman"/>
          <w:i/>
          <w:sz w:val="22"/>
        </w:rPr>
        <w:t>start-pos</w:t>
      </w:r>
      <w:r>
        <w:rPr>
          <w:sz w:val="22"/>
        </w:rPr>
        <w:t>.</w:t>
      </w:r>
    </w:p>
    <w:p>
      <w:pPr>
        <w:pStyle w:val="BodyText"/>
        <w:spacing w:before="198"/>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start-pos </w:t>
      </w:r>
      <w:r>
        <w:rPr>
          <w:sz w:val="22"/>
        </w:rPr>
        <w:t>&lt; 1, </w:t>
      </w:r>
      <w:r>
        <w:rPr>
          <w:rFonts w:ascii="Consolas" w:hAnsi="Consolas"/>
          <w:sz w:val="22"/>
        </w:rPr>
        <w:t>#VALUE!</w:t>
      </w:r>
      <w:r>
        <w:rPr>
          <w:rFonts w:ascii="Consolas" w:hAnsi="Consolas"/>
          <w:spacing w:val="-80"/>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142" w:firstLine="360"/>
        <w:jc w:val="left"/>
        <w:rPr>
          <w:sz w:val="22"/>
        </w:rPr>
      </w:pPr>
      <w:r>
        <w:rPr>
          <w:rFonts w:ascii="Times New Roman" w:hAnsi="Times New Roman"/>
          <w:i/>
          <w:sz w:val="22"/>
        </w:rPr>
        <w:t>number-chars </w:t>
      </w:r>
      <w:r>
        <w:rPr>
          <w:sz w:val="22"/>
        </w:rPr>
        <w:t>&lt; 0, </w:t>
      </w:r>
      <w:r>
        <w:rPr>
          <w:rFonts w:ascii="Consolas" w:hAnsi="Consolas"/>
          <w:sz w:val="22"/>
        </w:rPr>
        <w:t>#VALUE!</w:t>
      </w:r>
      <w:r>
        <w:rPr>
          <w:rFonts w:ascii="Consolas" w:hAnsi="Consolas"/>
          <w:spacing w:val="-83"/>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MID("abcdef",3,2)</w:t>
      </w:r>
      <w:r>
        <w:rPr>
          <w:rFonts w:ascii="Consolas"/>
          <w:spacing w:val="-69"/>
        </w:rPr>
        <w:t> </w:t>
      </w:r>
      <w:r>
        <w:rPr/>
        <w:t>results in </w:t>
      </w:r>
      <w:r>
        <w:rPr>
          <w:rFonts w:ascii="Consolas"/>
        </w:rPr>
        <w:t>cd</w:t>
      </w:r>
    </w:p>
    <w:p>
      <w:pPr>
        <w:pStyle w:val="BodyText"/>
        <w:spacing w:line="273" w:lineRule="auto" w:before="41"/>
        <w:ind w:left="220" w:right="5295"/>
        <w:rPr>
          <w:rFonts w:ascii="Consolas"/>
        </w:rPr>
      </w:pPr>
      <w:r>
        <w:rPr>
          <w:rFonts w:ascii="Consolas"/>
        </w:rPr>
        <w:t>MID(A10,4,1)</w:t>
      </w:r>
      <w:r>
        <w:rPr>
          <w:rFonts w:ascii="Consolas"/>
          <w:spacing w:val="-88"/>
        </w:rPr>
        <w:t> </w:t>
      </w:r>
      <w:r>
        <w:rPr/>
        <w:t>results in </w:t>
      </w:r>
      <w:r>
        <w:rPr>
          <w:rFonts w:ascii="Consolas"/>
        </w:rPr>
        <w:t>1</w:t>
      </w:r>
      <w:r>
        <w:rPr/>
        <w:t>, when A10 contains </w:t>
      </w:r>
      <w:r>
        <w:rPr>
          <w:rFonts w:ascii="Consolas"/>
        </w:rPr>
        <w:t>xyz123 MID("abcdef",4,5)</w:t>
      </w:r>
      <w:r>
        <w:rPr>
          <w:rFonts w:ascii="Consolas"/>
          <w:spacing w:val="-70"/>
        </w:rPr>
        <w:t> </w:t>
      </w:r>
      <w:r>
        <w:rPr/>
        <w:t>results in </w:t>
      </w:r>
      <w:r>
        <w:rPr>
          <w:rFonts w:ascii="Consolas"/>
        </w:rPr>
        <w:t>def</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1 MIDB" w:id="2025"/>
      <w:bookmarkEnd w:id="2025"/>
      <w:r>
        <w:rPr/>
      </w:r>
      <w:bookmarkStart w:name="_bookmark674" w:id="2026"/>
      <w:bookmarkEnd w:id="2026"/>
      <w:r>
        <w:rPr/>
      </w:r>
      <w:bookmarkStart w:name="_bookmark674" w:id="2027"/>
      <w:bookmarkEnd w:id="2027"/>
      <w:r>
        <w:rPr>
          <w:color w:val="4F81BC"/>
        </w:rPr>
        <w:t>M</w:t>
      </w:r>
      <w:r>
        <w:rPr>
          <w:color w:val="4F81BC"/>
        </w:rPr>
        <w:t>IDB</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MIDB ( </w:t>
      </w:r>
      <w:r>
        <w:rPr>
          <w:i/>
          <w:sz w:val="22"/>
        </w:rPr>
        <w:t>string </w:t>
      </w:r>
      <w:r>
        <w:rPr>
          <w:rFonts w:ascii="Lucida Console"/>
          <w:sz w:val="20"/>
        </w:rPr>
        <w:t>, </w:t>
      </w:r>
      <w:r>
        <w:rPr>
          <w:i/>
          <w:sz w:val="22"/>
        </w:rPr>
        <w:t>start-pos , number-bytes </w:t>
      </w:r>
      <w:r>
        <w:rPr>
          <w:rFonts w:ascii="Lucida Console"/>
          <w:sz w:val="20"/>
        </w:rPr>
        <w:t>)</w:t>
      </w:r>
    </w:p>
    <w:p>
      <w:pPr>
        <w:pStyle w:val="BodyText"/>
        <w:spacing w:line="276" w:lineRule="auto" w:before="105"/>
        <w:ind w:left="220" w:right="873"/>
      </w:pPr>
      <w:r>
        <w:rPr>
          <w:b/>
        </w:rPr>
        <w:t>Description: </w:t>
      </w:r>
      <w:r>
        <w:rPr/>
        <w:t>Extracts </w:t>
      </w:r>
      <w:r>
        <w:rPr>
          <w:rFonts w:ascii="Times New Roman" w:hAnsi="Times New Roman"/>
          <w:i/>
        </w:rPr>
        <w:t>number-bytes</w:t>
      </w:r>
      <w:r>
        <w:rPr/>
        <w:t>-worth of characters from </w:t>
      </w:r>
      <w:r>
        <w:rPr>
          <w:rFonts w:ascii="Times New Roman" w:hAnsi="Times New Roman"/>
          <w:i/>
        </w:rPr>
        <w:t>string</w:t>
      </w:r>
      <w:r>
        <w:rPr/>
        <w:t>, starting at character position </w:t>
      </w:r>
      <w:r>
        <w:rPr>
          <w:rFonts w:ascii="Times New Roman" w:hAnsi="Times New Roman"/>
          <w:i/>
        </w:rPr>
        <w:t>start-pos</w:t>
      </w:r>
      <w:r>
        <w:rPr/>
        <w:t>. (</w:t>
      </w:r>
      <w:r>
        <w:rPr>
          <w:rFonts w:ascii="Consolas" w:hAnsi="Consolas"/>
        </w:rPr>
        <w:t>MIDB </w:t>
      </w:r>
      <w:r>
        <w:rPr/>
        <w:t>is intended for use with languages that use the double-byte character set (DBCS), whereas </w:t>
      </w:r>
      <w:r>
        <w:rPr>
          <w:rFonts w:ascii="Consolas" w:hAnsi="Consolas"/>
        </w:rPr>
        <w:t>MID </w:t>
      </w:r>
      <w:hyperlink w:history="true" w:anchor="_bookmark673">
        <w:r>
          <w:rPr/>
          <w:t>(§18.17.7.210</w:t>
        </w:r>
      </w:hyperlink>
      <w:r>
        <w:rPr/>
        <w:t>) is intended for use with languages that use the single-byte character set (SBCS).)</w:t>
      </w:r>
    </w:p>
    <w:p>
      <w:pPr>
        <w:pStyle w:val="BodyText"/>
        <w:spacing w:before="6"/>
        <w:rPr>
          <w:sz w:val="16"/>
        </w:rPr>
      </w:pPr>
    </w:p>
    <w:p>
      <w:pPr>
        <w:pStyle w:val="Heading4"/>
        <w:spacing w:before="1"/>
      </w:pPr>
      <w:r>
        <w:rPr/>
        <w:t>Arguments:</w:t>
      </w:r>
    </w:p>
    <w:p>
      <w:pPr>
        <w:spacing w:after="0"/>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668"/>
              <w:rPr>
                <w:sz w:val="22"/>
              </w:rPr>
            </w:pPr>
            <w:r>
              <w:rPr>
                <w:sz w:val="22"/>
              </w:rPr>
              <w:t>Designate the string from which a substring is to be extracted.</w:t>
            </w:r>
          </w:p>
        </w:tc>
      </w:tr>
      <w:tr>
        <w:trPr>
          <w:trHeight w:val="621" w:hRule="atLeast"/>
        </w:trPr>
        <w:tc>
          <w:tcPr>
            <w:tcW w:w="1466" w:type="dxa"/>
          </w:tcPr>
          <w:p>
            <w:pPr>
              <w:pStyle w:val="TableParagraph"/>
              <w:spacing w:before="37"/>
              <w:rPr>
                <w:rFonts w:ascii="Times New Roman"/>
                <w:i/>
                <w:sz w:val="22"/>
              </w:rPr>
            </w:pPr>
            <w:r>
              <w:rPr>
                <w:rFonts w:ascii="Times New Roman"/>
                <w:i/>
                <w:sz w:val="22"/>
              </w:rPr>
              <w:t>number-bytes</w:t>
            </w:r>
          </w:p>
        </w:tc>
        <w:tc>
          <w:tcPr>
            <w:tcW w:w="1800" w:type="dxa"/>
          </w:tcPr>
          <w:p>
            <w:pPr>
              <w:pStyle w:val="TableParagraph"/>
              <w:ind w:left="112"/>
              <w:rPr>
                <w:sz w:val="22"/>
              </w:rPr>
            </w:pPr>
            <w:r>
              <w:rPr>
                <w:sz w:val="22"/>
              </w:rPr>
              <w:t>number</w:t>
            </w:r>
          </w:p>
        </w:tc>
        <w:tc>
          <w:tcPr>
            <w:tcW w:w="5400" w:type="dxa"/>
          </w:tcPr>
          <w:p>
            <w:pPr>
              <w:pStyle w:val="TableParagraph"/>
              <w:ind w:left="113"/>
              <w:rPr>
                <w:rFonts w:ascii="Times New Roman"/>
                <w:i/>
                <w:sz w:val="22"/>
              </w:rPr>
            </w:pPr>
            <w:r>
              <w:rPr>
                <w:sz w:val="22"/>
              </w:rPr>
              <w:t>The number of characters to be extracted. </w:t>
            </w:r>
            <w:r>
              <w:rPr>
                <w:rFonts w:ascii="Times New Roman"/>
                <w:i/>
                <w:sz w:val="22"/>
              </w:rPr>
              <w:t>number- bytes</w:t>
            </w:r>
          </w:p>
          <w:p>
            <w:pPr>
              <w:pStyle w:val="TableParagraph"/>
              <w:spacing w:before="0"/>
              <w:ind w:left="113"/>
              <w:rPr>
                <w:sz w:val="22"/>
              </w:rPr>
            </w:pPr>
            <w:r>
              <w:rPr>
                <w:sz w:val="22"/>
              </w:rPr>
              <w:t>shall be at least 0.</w:t>
            </w:r>
          </w:p>
        </w:tc>
      </w:tr>
      <w:tr>
        <w:trPr>
          <w:trHeight w:val="1161" w:hRule="atLeast"/>
        </w:trPr>
        <w:tc>
          <w:tcPr>
            <w:tcW w:w="1466" w:type="dxa"/>
          </w:tcPr>
          <w:p>
            <w:pPr>
              <w:pStyle w:val="TableParagraph"/>
              <w:spacing w:before="39"/>
              <w:rPr>
                <w:rFonts w:ascii="Times New Roman"/>
                <w:i/>
                <w:sz w:val="22"/>
              </w:rPr>
            </w:pPr>
            <w:r>
              <w:rPr>
                <w:rFonts w:ascii="Times New Roman"/>
                <w:i/>
                <w:sz w:val="22"/>
              </w:rPr>
              <w:t>start-pos</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ight="138"/>
              <w:rPr>
                <w:sz w:val="22"/>
              </w:rPr>
            </w:pPr>
            <w:r>
              <w:rPr>
                <w:sz w:val="22"/>
              </w:rPr>
              <w:t>The starting position within </w:t>
            </w:r>
            <w:r>
              <w:rPr>
                <w:rFonts w:ascii="Times New Roman"/>
                <w:i/>
                <w:sz w:val="22"/>
              </w:rPr>
              <w:t>string</w:t>
            </w:r>
            <w:r>
              <w:rPr>
                <w:sz w:val="22"/>
              </w:rPr>
              <w:t>, where the first byte is position 1. If </w:t>
            </w:r>
            <w:r>
              <w:rPr>
                <w:rFonts w:ascii="Times New Roman"/>
                <w:i/>
                <w:sz w:val="22"/>
              </w:rPr>
              <w:t>start-pos </w:t>
            </w:r>
            <w:r>
              <w:rPr>
                <w:sz w:val="22"/>
              </w:rPr>
              <w:t>is greater than the length of </w:t>
            </w:r>
            <w:r>
              <w:rPr>
                <w:rFonts w:ascii="Times New Roman"/>
                <w:i/>
                <w:sz w:val="22"/>
              </w:rPr>
              <w:t>string</w:t>
            </w:r>
            <w:r>
              <w:rPr>
                <w:sz w:val="22"/>
              </w:rPr>
              <w:t>, or if </w:t>
            </w:r>
            <w:r>
              <w:rPr>
                <w:rFonts w:ascii="Times New Roman"/>
                <w:i/>
                <w:sz w:val="22"/>
              </w:rPr>
              <w:t>start-pos </w:t>
            </w:r>
            <w:r>
              <w:rPr>
                <w:sz w:val="22"/>
              </w:rPr>
              <w:t>and </w:t>
            </w:r>
            <w:r>
              <w:rPr>
                <w:rFonts w:ascii="Times New Roman"/>
                <w:i/>
                <w:sz w:val="22"/>
              </w:rPr>
              <w:t>number- bytes </w:t>
            </w:r>
            <w:r>
              <w:rPr>
                <w:sz w:val="22"/>
              </w:rPr>
              <w:t>combined exceeds the length of </w:t>
            </w:r>
            <w:r>
              <w:rPr>
                <w:rFonts w:ascii="Times New Roman"/>
                <w:i/>
                <w:sz w:val="22"/>
              </w:rPr>
              <w:t>string</w:t>
            </w:r>
            <w:r>
              <w:rPr>
                <w:sz w:val="22"/>
              </w:rPr>
              <w:t>, the whole of </w:t>
            </w:r>
            <w:r>
              <w:rPr>
                <w:rFonts w:ascii="Times New Roman"/>
                <w:i/>
                <w:sz w:val="22"/>
              </w:rPr>
              <w:t>string </w:t>
            </w:r>
            <w:r>
              <w:rPr>
                <w:sz w:val="22"/>
              </w:rPr>
              <w:t>shall be extracted.</w:t>
            </w:r>
          </w:p>
        </w:tc>
      </w:tr>
    </w:tbl>
    <w:p>
      <w:pPr>
        <w:pStyle w:val="BodyText"/>
        <w:rPr>
          <w:b/>
          <w:sz w:val="20"/>
        </w:rPr>
      </w:pPr>
    </w:p>
    <w:p>
      <w:pPr>
        <w:pStyle w:val="BodyText"/>
        <w:spacing w:before="5"/>
        <w:rPr>
          <w:b/>
          <w:sz w:val="21"/>
        </w:rPr>
      </w:pPr>
    </w:p>
    <w:p>
      <w:pPr>
        <w:spacing w:line="278" w:lineRule="auto" w:before="0"/>
        <w:ind w:left="220" w:right="875" w:firstLine="0"/>
        <w:jc w:val="left"/>
        <w:rPr>
          <w:sz w:val="22"/>
        </w:rPr>
      </w:pPr>
      <w:r>
        <w:rPr>
          <w:b/>
          <w:sz w:val="22"/>
        </w:rPr>
        <w:t>Return Type and Value: </w:t>
      </w:r>
      <w:r>
        <w:rPr>
          <w:sz w:val="22"/>
        </w:rPr>
        <w:t>text – A string containing </w:t>
      </w:r>
      <w:r>
        <w:rPr>
          <w:rFonts w:ascii="Times New Roman" w:hAnsi="Times New Roman"/>
          <w:i/>
          <w:sz w:val="22"/>
        </w:rPr>
        <w:t>number-bytes</w:t>
      </w:r>
      <w:r>
        <w:rPr>
          <w:sz w:val="22"/>
        </w:rPr>
        <w:t>-worth of characters from </w:t>
      </w:r>
      <w:r>
        <w:rPr>
          <w:rFonts w:ascii="Times New Roman" w:hAnsi="Times New Roman"/>
          <w:i/>
          <w:sz w:val="22"/>
        </w:rPr>
        <w:t>string</w:t>
      </w:r>
      <w:r>
        <w:rPr>
          <w:sz w:val="22"/>
        </w:rPr>
        <w:t>, starting at character position </w:t>
      </w:r>
      <w:r>
        <w:rPr>
          <w:rFonts w:ascii="Times New Roman" w:hAnsi="Times New Roman"/>
          <w:i/>
          <w:sz w:val="22"/>
        </w:rPr>
        <w:t>start-pos</w:t>
      </w:r>
      <w:r>
        <w:rPr>
          <w:sz w:val="22"/>
        </w:rPr>
        <w:t>.</w:t>
      </w:r>
    </w:p>
    <w:p>
      <w:pPr>
        <w:pStyle w:val="BodyText"/>
        <w:spacing w:before="198"/>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start-pos </w:t>
      </w:r>
      <w:r>
        <w:rPr>
          <w:sz w:val="22"/>
        </w:rPr>
        <w:t>&lt; 0, </w:t>
      </w:r>
      <w:r>
        <w:rPr>
          <w:rFonts w:ascii="Consolas" w:hAnsi="Consolas"/>
          <w:sz w:val="22"/>
        </w:rPr>
        <w:t>#VALUE!</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4" w:lineRule="auto" w:before="41" w:after="0"/>
        <w:ind w:left="220" w:right="6178" w:firstLine="360"/>
        <w:jc w:val="left"/>
        <w:rPr>
          <w:sz w:val="22"/>
        </w:rPr>
      </w:pPr>
      <w:r>
        <w:rPr>
          <w:rFonts w:ascii="Times New Roman" w:hAnsi="Times New Roman"/>
          <w:i/>
          <w:sz w:val="22"/>
        </w:rPr>
        <w:t>number-bytes </w:t>
      </w:r>
      <w:r>
        <w:rPr>
          <w:sz w:val="22"/>
        </w:rPr>
        <w:t>&lt; 0, </w:t>
      </w:r>
      <w:r>
        <w:rPr>
          <w:rFonts w:ascii="Consolas" w:hAnsi="Consolas"/>
          <w:sz w:val="22"/>
        </w:rPr>
        <w:t>#VALUE!</w:t>
      </w:r>
      <w:r>
        <w:rPr>
          <w:rFonts w:ascii="Consolas" w:hAnsi="Consolas"/>
          <w:spacing w:val="-82"/>
          <w:sz w:val="22"/>
        </w:rPr>
        <w:t> </w:t>
      </w:r>
      <w:r>
        <w:rPr>
          <w:sz w:val="22"/>
        </w:rPr>
        <w:t>is returned. [</w:t>
      </w:r>
      <w:r>
        <w:rPr>
          <w:i/>
          <w:sz w:val="22"/>
        </w:rPr>
        <w:t>Example</w:t>
      </w:r>
      <w:r>
        <w:rPr>
          <w:sz w:val="22"/>
        </w:rPr>
        <w:t>: Assuming 1-byte</w:t>
      </w:r>
      <w:r>
        <w:rPr>
          <w:spacing w:val="-8"/>
          <w:sz w:val="22"/>
        </w:rPr>
        <w:t> </w:t>
      </w:r>
      <w:r>
        <w:rPr>
          <w:sz w:val="22"/>
        </w:rPr>
        <w:t>characters:</w:t>
      </w:r>
    </w:p>
    <w:p>
      <w:pPr>
        <w:pStyle w:val="BodyText"/>
        <w:spacing w:before="131"/>
        <w:ind w:left="220"/>
        <w:rPr>
          <w:rFonts w:ascii="Consolas"/>
        </w:rPr>
      </w:pPr>
      <w:r>
        <w:rPr>
          <w:rFonts w:ascii="Consolas"/>
        </w:rPr>
        <w:t>MIDB("abcdef",3,2)</w:t>
      </w:r>
      <w:r>
        <w:rPr>
          <w:rFonts w:ascii="Consolas"/>
          <w:spacing w:val="-67"/>
        </w:rPr>
        <w:t> </w:t>
      </w:r>
      <w:r>
        <w:rPr/>
        <w:t>results in </w:t>
      </w:r>
      <w:r>
        <w:rPr>
          <w:rFonts w:ascii="Consolas"/>
        </w:rPr>
        <w:t>cd</w:t>
      </w:r>
    </w:p>
    <w:p>
      <w:pPr>
        <w:pStyle w:val="BodyText"/>
        <w:spacing w:line="276" w:lineRule="auto" w:before="39"/>
        <w:ind w:left="220" w:right="5264"/>
        <w:rPr>
          <w:rFonts w:ascii="Consolas"/>
        </w:rPr>
      </w:pPr>
      <w:r>
        <w:rPr>
          <w:rFonts w:ascii="Consolas"/>
        </w:rPr>
        <w:t>MIDB(A10,4,1)</w:t>
      </w:r>
      <w:r>
        <w:rPr>
          <w:rFonts w:ascii="Consolas"/>
          <w:spacing w:val="-86"/>
        </w:rPr>
        <w:t> </w:t>
      </w:r>
      <w:r>
        <w:rPr/>
        <w:t>results in </w:t>
      </w:r>
      <w:r>
        <w:rPr>
          <w:rFonts w:ascii="Consolas"/>
        </w:rPr>
        <w:t>1</w:t>
      </w:r>
      <w:r>
        <w:rPr/>
        <w:t>, when A10 contains </w:t>
      </w:r>
      <w:r>
        <w:rPr>
          <w:rFonts w:ascii="Consolas"/>
        </w:rPr>
        <w:t>xyz123 MIDB("abcdef",4,5)</w:t>
      </w:r>
      <w:r>
        <w:rPr>
          <w:rFonts w:ascii="Consolas"/>
          <w:spacing w:val="-68"/>
        </w:rPr>
        <w:t> </w:t>
      </w:r>
      <w:r>
        <w:rPr/>
        <w:t>results in </w:t>
      </w:r>
      <w:r>
        <w:rPr>
          <w:rFonts w:ascii="Consolas"/>
          <w:spacing w:val="-2"/>
        </w:rPr>
        <w:t>def</w:t>
      </w:r>
    </w:p>
    <w:p>
      <w:pPr>
        <w:pStyle w:val="BodyText"/>
        <w:spacing w:before="9"/>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2 MIN" w:id="2028"/>
      <w:bookmarkEnd w:id="2028"/>
      <w:r>
        <w:rPr/>
      </w:r>
      <w:bookmarkStart w:name="_bookmark675" w:id="2029"/>
      <w:bookmarkEnd w:id="2029"/>
      <w:r>
        <w:rPr/>
      </w:r>
      <w:bookmarkStart w:name="_bookmark675" w:id="2030"/>
      <w:bookmarkEnd w:id="2030"/>
      <w:r>
        <w:rPr>
          <w:color w:val="4F81BC"/>
        </w:rPr>
        <w:t>M</w:t>
      </w:r>
      <w:r>
        <w:rPr>
          <w:color w:val="4F81BC"/>
        </w:rPr>
        <w:t>IN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MIN (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Computes the smallest of a set of numbers.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9"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for</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arrays,</w:t>
            </w:r>
          </w:p>
        </w:tc>
        <w:tc>
          <w:tcPr>
            <w:tcW w:w="5400" w:type="dxa"/>
            <w:tcBorders>
              <w:top w:val="nil"/>
              <w:bottom w:val="nil"/>
            </w:tcBorders>
          </w:tcPr>
          <w:p>
            <w:pPr>
              <w:pStyle w:val="TableParagraph"/>
              <w:spacing w:line="249" w:lineRule="exact" w:before="0"/>
              <w:ind w:left="113"/>
              <w:rPr>
                <w:sz w:val="22"/>
              </w:rPr>
            </w:pPr>
            <w:r>
              <w:rPr>
                <w:sz w:val="22"/>
              </w:rPr>
              <w:t>which the smallest value is to be computed. Logical</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values and text representations of numbers occurring</w:t>
            </w:r>
          </w:p>
        </w:tc>
      </w:tr>
      <w:tr>
        <w:trPr>
          <w:trHeight w:val="535" w:hRule="atLeast"/>
        </w:trPr>
        <w:tc>
          <w:tcPr>
            <w:tcW w:w="1466" w:type="dxa"/>
            <w:tcBorders>
              <w:top w:val="nil"/>
              <w:bottom w:val="nil"/>
            </w:tcBorders>
          </w:tcPr>
          <w:p>
            <w:pPr>
              <w:pStyle w:val="TableParagraph"/>
              <w:spacing w:before="0"/>
              <w:ind w:left="0"/>
              <w:rPr>
                <w:rFonts w:ascii="Times New Roman"/>
                <w:sz w:val="22"/>
              </w:rPr>
            </w:pPr>
          </w:p>
        </w:tc>
        <w:tc>
          <w:tcPr>
            <w:tcW w:w="1800" w:type="dxa"/>
            <w:tcBorders>
              <w:top w:val="nil"/>
              <w:bottom w:val="nil"/>
            </w:tcBorders>
          </w:tcPr>
          <w:p>
            <w:pPr>
              <w:pStyle w:val="TableParagraph"/>
              <w:spacing w:line="248" w:lineRule="exact" w:before="0"/>
              <w:ind w:left="112"/>
              <w:rPr>
                <w:sz w:val="22"/>
              </w:rPr>
            </w:pPr>
            <w:r>
              <w:rPr>
                <w:sz w:val="22"/>
              </w:rPr>
              <w:t>number. Any</w:t>
            </w:r>
          </w:p>
          <w:p>
            <w:pPr>
              <w:pStyle w:val="TableParagraph"/>
              <w:spacing w:line="267" w:lineRule="exact" w:before="0"/>
              <w:ind w:left="112"/>
              <w:rPr>
                <w:sz w:val="22"/>
              </w:rPr>
            </w:pPr>
            <w:r>
              <w:rPr>
                <w:rFonts w:ascii="Times New Roman"/>
                <w:i/>
                <w:sz w:val="22"/>
              </w:rPr>
              <w:t>argument </w:t>
            </w:r>
            <w:r>
              <w:rPr>
                <w:sz w:val="22"/>
              </w:rPr>
              <w:t>can be</w:t>
            </w:r>
          </w:p>
        </w:tc>
        <w:tc>
          <w:tcPr>
            <w:tcW w:w="5400" w:type="dxa"/>
            <w:tcBorders>
              <w:top w:val="nil"/>
              <w:bottom w:val="nil"/>
            </w:tcBorders>
          </w:tcPr>
          <w:p>
            <w:pPr>
              <w:pStyle w:val="TableParagraph"/>
              <w:spacing w:line="248" w:lineRule="exact" w:before="0"/>
              <w:ind w:left="113"/>
              <w:rPr>
                <w:sz w:val="22"/>
              </w:rPr>
            </w:pPr>
            <w:r>
              <w:rPr>
                <w:sz w:val="22"/>
              </w:rPr>
              <w:t>directly in the list of arguments are included. However,</w:t>
            </w:r>
          </w:p>
          <w:p>
            <w:pPr>
              <w:pStyle w:val="TableParagraph"/>
              <w:spacing w:line="267" w:lineRule="exact" w:before="0"/>
              <w:ind w:left="113"/>
              <w:rPr>
                <w:sz w:val="22"/>
              </w:rPr>
            </w:pPr>
            <w:r>
              <w:rPr>
                <w:sz w:val="22"/>
              </w:rPr>
              <w:t>logical values and numbers in strings and are ignored</w:t>
            </w:r>
          </w:p>
        </w:tc>
      </w:tr>
      <w:tr>
        <w:trPr>
          <w:trHeight w:val="537" w:hRule="atLeast"/>
        </w:trPr>
        <w:tc>
          <w:tcPr>
            <w:tcW w:w="1466" w:type="dxa"/>
            <w:tcBorders>
              <w:top w:val="nil"/>
              <w:bottom w:val="nil"/>
            </w:tcBorders>
          </w:tcPr>
          <w:p>
            <w:pPr>
              <w:pStyle w:val="TableParagraph"/>
              <w:spacing w:before="0"/>
              <w:ind w:left="0"/>
              <w:rPr>
                <w:rFonts w:ascii="Times New Roman"/>
                <w:sz w:val="22"/>
              </w:rPr>
            </w:pPr>
          </w:p>
        </w:tc>
        <w:tc>
          <w:tcPr>
            <w:tcW w:w="1800" w:type="dxa"/>
            <w:tcBorders>
              <w:top w:val="nil"/>
              <w:bottom w:val="nil"/>
            </w:tcBorders>
          </w:tcPr>
          <w:p>
            <w:pPr>
              <w:pStyle w:val="TableParagraph"/>
              <w:spacing w:line="249" w:lineRule="exact" w:before="0"/>
              <w:ind w:left="112"/>
              <w:rPr>
                <w:sz w:val="22"/>
              </w:rPr>
            </w:pPr>
            <w:r>
              <w:rPr>
                <w:sz w:val="22"/>
              </w:rPr>
              <w:t>an array or a</w:t>
            </w:r>
          </w:p>
          <w:p>
            <w:pPr>
              <w:pStyle w:val="TableParagraph"/>
              <w:spacing w:before="0"/>
              <w:ind w:left="112"/>
              <w:rPr>
                <w:sz w:val="22"/>
              </w:rPr>
            </w:pPr>
            <w:r>
              <w:rPr>
                <w:sz w:val="22"/>
              </w:rPr>
              <w:t>reference to an</w:t>
            </w:r>
          </w:p>
        </w:tc>
        <w:tc>
          <w:tcPr>
            <w:tcW w:w="5400" w:type="dxa"/>
            <w:tcBorders>
              <w:top w:val="nil"/>
              <w:bottom w:val="nil"/>
            </w:tcBorders>
          </w:tcPr>
          <w:p>
            <w:pPr>
              <w:pStyle w:val="TableParagraph"/>
              <w:spacing w:line="249" w:lineRule="exact" w:before="0"/>
              <w:ind w:left="113"/>
              <w:rPr>
                <w:rFonts w:ascii="Consolas"/>
                <w:sz w:val="22"/>
              </w:rPr>
            </w:pPr>
            <w:r>
              <w:rPr>
                <w:sz w:val="22"/>
              </w:rPr>
              <w:t>inside references. [</w:t>
            </w:r>
            <w:r>
              <w:rPr>
                <w:i/>
                <w:sz w:val="22"/>
              </w:rPr>
              <w:t>Note</w:t>
            </w:r>
            <w:r>
              <w:rPr>
                <w:sz w:val="22"/>
              </w:rPr>
              <w:t>: To include these, use </w:t>
            </w:r>
            <w:r>
              <w:rPr>
                <w:rFonts w:ascii="Consolas"/>
                <w:sz w:val="22"/>
              </w:rPr>
              <w:t>MINA</w:t>
            </w:r>
          </w:p>
          <w:p>
            <w:pPr>
              <w:pStyle w:val="TableParagraph"/>
              <w:spacing w:before="0"/>
              <w:ind w:left="113"/>
              <w:rPr>
                <w:sz w:val="22"/>
              </w:rPr>
            </w:pPr>
            <w:r>
              <w:rPr>
                <w:sz w:val="22"/>
              </w:rPr>
              <w:t>(§</w:t>
            </w:r>
            <w:hyperlink w:history="true" w:anchor="_bookmark676">
              <w:r>
                <w:rPr>
                  <w:rFonts w:ascii="Times New Roman" w:hAnsi="Times New Roman"/>
                  <w:sz w:val="22"/>
                </w:rPr>
                <w:t>18.17.7.213</w:t>
              </w:r>
            </w:hyperlink>
            <w:r>
              <w:rPr>
                <w:sz w:val="22"/>
              </w:rPr>
              <w:t>). </w:t>
            </w:r>
            <w:r>
              <w:rPr>
                <w:i/>
                <w:sz w:val="22"/>
              </w:rPr>
              <w:t>end note</w:t>
            </w:r>
            <w:r>
              <w:rPr>
                <w:sz w:val="22"/>
              </w:rPr>
              <w:t>] If an array or reference</w:t>
            </w:r>
          </w:p>
        </w:tc>
      </w:tr>
      <w:tr>
        <w:trPr>
          <w:trHeight w:val="294"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9" w:lineRule="exact" w:before="0"/>
              <w:ind w:left="112"/>
              <w:rPr>
                <w:sz w:val="22"/>
              </w:rPr>
            </w:pPr>
            <w:r>
              <w:rPr>
                <w:sz w:val="22"/>
              </w:rPr>
              <w:t>array.</w:t>
            </w:r>
          </w:p>
        </w:tc>
        <w:tc>
          <w:tcPr>
            <w:tcW w:w="5400" w:type="dxa"/>
            <w:tcBorders>
              <w:top w:val="nil"/>
            </w:tcBorders>
          </w:tcPr>
          <w:p>
            <w:pPr>
              <w:pStyle w:val="TableParagraph"/>
              <w:spacing w:line="249" w:lineRule="exact" w:before="0"/>
              <w:ind w:left="113"/>
              <w:rPr>
                <w:sz w:val="22"/>
              </w:rPr>
            </w:pPr>
            <w:r>
              <w:rPr>
                <w:sz w:val="22"/>
              </w:rPr>
              <w:t>argument contains text, logical values, or empty cells,</w:t>
            </w:r>
          </w:p>
        </w:tc>
      </w:tr>
    </w:tbl>
    <w:p>
      <w:pPr>
        <w:spacing w:after="0" w:line="249" w:lineRule="exact"/>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188"/>
              <w:rPr>
                <w:sz w:val="22"/>
              </w:rPr>
            </w:pPr>
            <w:r>
              <w:rPr>
                <w:sz w:val="22"/>
              </w:rPr>
              <w:t>those values are ignored; however, cells with the value 0 are included.</w:t>
            </w:r>
          </w:p>
        </w:tc>
      </w:tr>
    </w:tbl>
    <w:p>
      <w:pPr>
        <w:pStyle w:val="BodyText"/>
        <w:rPr>
          <w:b/>
          <w:sz w:val="20"/>
        </w:rPr>
      </w:pPr>
    </w:p>
    <w:p>
      <w:pPr>
        <w:pStyle w:val="BodyText"/>
        <w:spacing w:before="5"/>
        <w:rPr>
          <w:b/>
          <w:sz w:val="21"/>
        </w:rPr>
      </w:pPr>
    </w:p>
    <w:p>
      <w:pPr>
        <w:spacing w:line="276" w:lineRule="auto" w:before="0"/>
        <w:ind w:left="220" w:right="982" w:firstLine="0"/>
        <w:jc w:val="left"/>
        <w:rPr>
          <w:sz w:val="22"/>
        </w:rPr>
      </w:pPr>
      <w:r>
        <w:rPr>
          <w:b/>
          <w:sz w:val="22"/>
        </w:rPr>
        <w:t>Return Type and Value: </w:t>
      </w:r>
      <w:r>
        <w:rPr>
          <w:sz w:val="22"/>
        </w:rPr>
        <w:t>number – The smallest of a set of numbers; however, if the </w:t>
      </w:r>
      <w:r>
        <w:rPr>
          <w:rFonts w:ascii="Times New Roman" w:hAnsi="Times New Roman"/>
          <w:i/>
          <w:sz w:val="22"/>
        </w:rPr>
        <w:t>argument</w:t>
      </w:r>
      <w:r>
        <w:rPr>
          <w:sz w:val="22"/>
        </w:rPr>
        <w:t>s contain no numbers, zero is returned.</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rFonts w:ascii="Consolas"/>
        </w:rPr>
        <w:t>MIN(10.4,-3.5,12.6) </w:t>
      </w:r>
      <w:r>
        <w:rPr/>
        <w:t>results in </w:t>
      </w:r>
      <w:r>
        <w:rPr>
          <w:rFonts w:ascii="Consolas"/>
        </w:rPr>
        <w:t>-3.5</w:t>
      </w:r>
    </w:p>
    <w:p>
      <w:pPr>
        <w:pStyle w:val="BodyText"/>
        <w:spacing w:before="41"/>
        <w:ind w:left="220"/>
        <w:rPr>
          <w:rFonts w:ascii="Consolas"/>
        </w:rPr>
      </w:pPr>
      <w:r>
        <w:rPr>
          <w:rFonts w:ascii="Consolas"/>
        </w:rPr>
        <w:t>MIN(10.4,{-3.5,12.6}) </w:t>
      </w:r>
      <w:r>
        <w:rPr/>
        <w:t>results in </w:t>
      </w:r>
      <w:r>
        <w:rPr>
          <w:rFonts w:ascii="Consolas"/>
        </w:rPr>
        <w:t>-3.5</w:t>
      </w:r>
    </w:p>
    <w:p>
      <w:pPr>
        <w:pStyle w:val="BodyText"/>
        <w:spacing w:before="41"/>
        <w:ind w:left="220"/>
        <w:rPr>
          <w:rFonts w:ascii="Consolas"/>
        </w:rPr>
      </w:pPr>
      <w:r>
        <w:rPr>
          <w:rFonts w:ascii="Consolas"/>
        </w:rPr>
        <w:t>MIN({"ABC",TRUE}) </w:t>
      </w:r>
      <w:r>
        <w:rPr/>
        <w:t>results in </w:t>
      </w:r>
      <w:r>
        <w:rPr>
          <w:rFonts w:ascii="Consolas"/>
        </w:rPr>
        <w:t>0</w:t>
      </w:r>
    </w:p>
    <w:p>
      <w:pPr>
        <w:pStyle w:val="BodyText"/>
        <w:spacing w:before="4"/>
        <w:rPr>
          <w:rFonts w:ascii="Consolas"/>
          <w:sz w:val="20"/>
        </w:rPr>
      </w:pPr>
    </w:p>
    <w:p>
      <w:pPr>
        <w:pStyle w:val="BodyText"/>
        <w:ind w:left="220"/>
      </w:pPr>
      <w:r>
        <w:rPr/>
        <w:t>Consider the case in which cell </w:t>
      </w:r>
      <w:r>
        <w:rPr>
          <w:rFonts w:ascii="Consolas"/>
        </w:rPr>
        <w:t>B3</w:t>
      </w:r>
      <w:r>
        <w:rPr>
          <w:rFonts w:ascii="Consolas"/>
          <w:spacing w:val="-81"/>
        </w:rPr>
        <w:t> </w:t>
      </w:r>
      <w:r>
        <w:rPr/>
        <w:t>contains </w:t>
      </w:r>
      <w:r>
        <w:rPr>
          <w:rFonts w:ascii="Consolas"/>
        </w:rPr>
        <w:t>0</w:t>
      </w:r>
      <w:r>
        <w:rPr/>
        <w:t>:</w:t>
      </w:r>
    </w:p>
    <w:p>
      <w:pPr>
        <w:pStyle w:val="BodyText"/>
        <w:spacing w:line="276" w:lineRule="auto" w:before="41"/>
        <w:ind w:left="220" w:right="7358"/>
        <w:rPr>
          <w:rFonts w:ascii="Consolas"/>
        </w:rPr>
      </w:pPr>
      <w:r>
        <w:rPr>
          <w:rFonts w:ascii="Consolas"/>
        </w:rPr>
        <w:t>MIN(10,12,15,B3)</w:t>
      </w:r>
      <w:r>
        <w:rPr>
          <w:rFonts w:ascii="Consolas"/>
          <w:spacing w:val="-81"/>
        </w:rPr>
        <w:t> </w:t>
      </w:r>
      <w:r>
        <w:rPr/>
        <w:t>results in </w:t>
      </w:r>
      <w:r>
        <w:rPr>
          <w:rFonts w:ascii="Consolas"/>
        </w:rPr>
        <w:t>10 MINA(10,12,15,B3)</w:t>
      </w:r>
      <w:r>
        <w:rPr>
          <w:rFonts w:ascii="Consolas"/>
          <w:spacing w:val="-80"/>
        </w:rPr>
        <w:t> </w:t>
      </w:r>
      <w:r>
        <w:rPr/>
        <w:t>results in </w:t>
      </w:r>
      <w:r>
        <w:rPr>
          <w:rFonts w:ascii="Consolas"/>
        </w:rPr>
        <w:t>0</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3 MINA" w:id="2031"/>
      <w:bookmarkEnd w:id="2031"/>
      <w:r>
        <w:rPr/>
      </w:r>
      <w:bookmarkStart w:name="_bookmark676" w:id="2032"/>
      <w:bookmarkEnd w:id="2032"/>
      <w:r>
        <w:rPr/>
      </w:r>
      <w:bookmarkStart w:name="_bookmark676" w:id="2033"/>
      <w:bookmarkEnd w:id="2033"/>
      <w:r>
        <w:rPr>
          <w:color w:val="4F81BC"/>
        </w:rPr>
        <w:t>M</w:t>
      </w:r>
      <w:r>
        <w:rPr>
          <w:color w:val="4F81BC"/>
        </w:rPr>
        <w:t>INA</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MINA (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Computes the smallest of a set of numbers.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for</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arrays,</w:t>
            </w:r>
          </w:p>
        </w:tc>
        <w:tc>
          <w:tcPr>
            <w:tcW w:w="5400" w:type="dxa"/>
            <w:tcBorders>
              <w:top w:val="nil"/>
              <w:bottom w:val="nil"/>
            </w:tcBorders>
          </w:tcPr>
          <w:p>
            <w:pPr>
              <w:pStyle w:val="TableParagraph"/>
              <w:spacing w:line="249" w:lineRule="exact" w:before="0"/>
              <w:ind w:left="113"/>
              <w:rPr>
                <w:sz w:val="22"/>
              </w:rPr>
            </w:pPr>
            <w:r>
              <w:rPr>
                <w:sz w:val="22"/>
              </w:rPr>
              <w:t>which the smallest value is to be computed. Logical</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values and text representations of numbers occurring</w:t>
            </w:r>
          </w:p>
        </w:tc>
      </w:tr>
      <w:tr>
        <w:trPr>
          <w:trHeight w:val="537" w:hRule="atLeast"/>
        </w:trPr>
        <w:tc>
          <w:tcPr>
            <w:tcW w:w="1466" w:type="dxa"/>
            <w:tcBorders>
              <w:top w:val="nil"/>
              <w:bottom w:val="nil"/>
            </w:tcBorders>
          </w:tcPr>
          <w:p>
            <w:pPr>
              <w:pStyle w:val="TableParagraph"/>
              <w:spacing w:before="0"/>
              <w:ind w:left="0"/>
              <w:rPr>
                <w:rFonts w:ascii="Times New Roman"/>
                <w:sz w:val="22"/>
              </w:rPr>
            </w:pPr>
          </w:p>
        </w:tc>
        <w:tc>
          <w:tcPr>
            <w:tcW w:w="1800" w:type="dxa"/>
            <w:tcBorders>
              <w:top w:val="nil"/>
              <w:bottom w:val="nil"/>
            </w:tcBorders>
          </w:tcPr>
          <w:p>
            <w:pPr>
              <w:pStyle w:val="TableParagraph"/>
              <w:spacing w:line="249" w:lineRule="exact" w:before="0"/>
              <w:ind w:left="112"/>
              <w:rPr>
                <w:sz w:val="22"/>
              </w:rPr>
            </w:pPr>
            <w:r>
              <w:rPr>
                <w:sz w:val="22"/>
              </w:rPr>
              <w:t>number. Any</w:t>
            </w:r>
          </w:p>
          <w:p>
            <w:pPr>
              <w:pStyle w:val="TableParagraph"/>
              <w:spacing w:before="0"/>
              <w:ind w:left="112"/>
              <w:rPr>
                <w:sz w:val="22"/>
              </w:rPr>
            </w:pPr>
            <w:r>
              <w:rPr>
                <w:rFonts w:ascii="Times New Roman"/>
                <w:i/>
                <w:sz w:val="22"/>
              </w:rPr>
              <w:t>argument </w:t>
            </w:r>
            <w:r>
              <w:rPr>
                <w:sz w:val="22"/>
              </w:rPr>
              <w:t>can be</w:t>
            </w:r>
          </w:p>
        </w:tc>
        <w:tc>
          <w:tcPr>
            <w:tcW w:w="5400" w:type="dxa"/>
            <w:tcBorders>
              <w:top w:val="nil"/>
              <w:bottom w:val="nil"/>
            </w:tcBorders>
          </w:tcPr>
          <w:p>
            <w:pPr>
              <w:pStyle w:val="TableParagraph"/>
              <w:spacing w:line="249" w:lineRule="exact" w:before="0"/>
              <w:ind w:left="113"/>
              <w:rPr>
                <w:sz w:val="22"/>
              </w:rPr>
            </w:pPr>
            <w:r>
              <w:rPr>
                <w:sz w:val="22"/>
              </w:rPr>
              <w:t>directly in the list of arguments are included. Logical</w:t>
            </w:r>
          </w:p>
          <w:p>
            <w:pPr>
              <w:pStyle w:val="TableParagraph"/>
              <w:spacing w:before="0"/>
              <w:ind w:left="113"/>
              <w:rPr>
                <w:sz w:val="22"/>
              </w:rPr>
            </w:pPr>
            <w:r>
              <w:rPr>
                <w:sz w:val="22"/>
              </w:rPr>
              <w:t>values and numbers in strings inside references are also</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an array or a</w:t>
            </w:r>
          </w:p>
        </w:tc>
        <w:tc>
          <w:tcPr>
            <w:tcW w:w="5400" w:type="dxa"/>
            <w:tcBorders>
              <w:top w:val="nil"/>
              <w:bottom w:val="nil"/>
            </w:tcBorders>
          </w:tcPr>
          <w:p>
            <w:pPr>
              <w:pStyle w:val="TableParagraph"/>
              <w:spacing w:line="249" w:lineRule="exact" w:before="0"/>
              <w:ind w:left="113"/>
              <w:rPr>
                <w:sz w:val="22"/>
              </w:rPr>
            </w:pPr>
            <w:r>
              <w:rPr>
                <w:sz w:val="22"/>
              </w:rPr>
              <w:t>included. [</w:t>
            </w:r>
            <w:r>
              <w:rPr>
                <w:i/>
                <w:sz w:val="22"/>
              </w:rPr>
              <w:t>Note</w:t>
            </w:r>
            <w:r>
              <w:rPr>
                <w:sz w:val="22"/>
              </w:rPr>
              <w:t>: To ignore these, use </w:t>
            </w:r>
            <w:r>
              <w:rPr>
                <w:rFonts w:ascii="Consolas" w:hAnsi="Consolas"/>
                <w:sz w:val="22"/>
              </w:rPr>
              <w:t>MIN</w:t>
            </w:r>
            <w:r>
              <w:rPr>
                <w:rFonts w:ascii="Consolas" w:hAnsi="Consolas"/>
                <w:spacing w:val="-83"/>
                <w:sz w:val="22"/>
              </w:rPr>
              <w:t> </w:t>
            </w:r>
            <w:r>
              <w:rPr>
                <w:sz w:val="22"/>
              </w:rPr>
              <w:t>(§</w:t>
            </w:r>
            <w:hyperlink w:history="true" w:anchor="_bookmark675">
              <w:r>
                <w:rPr>
                  <w:sz w:val="22"/>
                </w:rPr>
                <w:t>18.17.7.212</w:t>
              </w:r>
            </w:hyperlink>
            <w:r>
              <w:rPr>
                <w:sz w:val="22"/>
              </w:rPr>
              <w:t>).</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reference to an</w:t>
            </w:r>
          </w:p>
        </w:tc>
        <w:tc>
          <w:tcPr>
            <w:tcW w:w="5400" w:type="dxa"/>
            <w:tcBorders>
              <w:top w:val="nil"/>
              <w:bottom w:val="nil"/>
            </w:tcBorders>
          </w:tcPr>
          <w:p>
            <w:pPr>
              <w:pStyle w:val="TableParagraph"/>
              <w:spacing w:line="248" w:lineRule="exact" w:before="0"/>
              <w:ind w:left="113"/>
              <w:rPr>
                <w:sz w:val="22"/>
              </w:rPr>
            </w:pPr>
            <w:r>
              <w:rPr>
                <w:i/>
                <w:sz w:val="22"/>
              </w:rPr>
              <w:t>end note</w:t>
            </w:r>
            <w:r>
              <w:rPr>
                <w:sz w:val="22"/>
              </w:rPr>
              <w:t>] If an array or reference argument contains non-</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w:t>
            </w:r>
          </w:p>
        </w:tc>
        <w:tc>
          <w:tcPr>
            <w:tcW w:w="5400" w:type="dxa"/>
            <w:tcBorders>
              <w:top w:val="nil"/>
              <w:bottom w:val="nil"/>
            </w:tcBorders>
          </w:tcPr>
          <w:p>
            <w:pPr>
              <w:pStyle w:val="TableParagraph"/>
              <w:spacing w:line="249" w:lineRule="exact" w:before="0"/>
              <w:ind w:left="113"/>
              <w:rPr>
                <w:sz w:val="22"/>
              </w:rPr>
            </w:pPr>
            <w:r>
              <w:rPr>
                <w:sz w:val="22"/>
              </w:rPr>
              <w:t>numeric text or empty cells, those values are ignored;</w:t>
            </w:r>
          </w:p>
        </w:tc>
      </w:tr>
      <w:tr>
        <w:trPr>
          <w:trHeight w:val="292"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9" w:lineRule="exact" w:before="0"/>
              <w:ind w:left="113"/>
              <w:rPr>
                <w:sz w:val="22"/>
              </w:rPr>
            </w:pPr>
            <w:r>
              <w:rPr>
                <w:sz w:val="22"/>
              </w:rPr>
              <w:t>however, cells with the value 0 are included.</w:t>
            </w:r>
          </w:p>
        </w:tc>
      </w:tr>
    </w:tbl>
    <w:p>
      <w:pPr>
        <w:pStyle w:val="BodyText"/>
        <w:rPr>
          <w:b/>
        </w:rPr>
      </w:pPr>
    </w:p>
    <w:p>
      <w:pPr>
        <w:pStyle w:val="BodyText"/>
        <w:spacing w:before="10"/>
        <w:rPr>
          <w:b/>
          <w:sz w:val="19"/>
        </w:rPr>
      </w:pPr>
    </w:p>
    <w:p>
      <w:pPr>
        <w:spacing w:before="0"/>
        <w:ind w:left="220" w:right="0" w:firstLine="0"/>
        <w:jc w:val="left"/>
        <w:rPr>
          <w:sz w:val="22"/>
        </w:rPr>
      </w:pPr>
      <w:r>
        <w:rPr>
          <w:sz w:val="22"/>
        </w:rPr>
        <w:t>Any </w:t>
      </w:r>
      <w:r>
        <w:rPr>
          <w:rFonts w:ascii="Times New Roman"/>
          <w:i/>
          <w:sz w:val="22"/>
        </w:rPr>
        <w:t>argument </w:t>
      </w:r>
      <w:r>
        <w:rPr>
          <w:sz w:val="22"/>
        </w:rPr>
        <w:t>in </w:t>
      </w:r>
      <w:r>
        <w:rPr>
          <w:rFonts w:ascii="Times New Roman"/>
          <w:i/>
          <w:sz w:val="22"/>
        </w:rPr>
        <w:t>argument-list </w:t>
      </w:r>
      <w:r>
        <w:rPr>
          <w:sz w:val="22"/>
        </w:rPr>
        <w:t>can be an array or a reference to an array.</w:t>
      </w:r>
    </w:p>
    <w:p>
      <w:pPr>
        <w:pStyle w:val="BodyText"/>
        <w:spacing w:before="5"/>
        <w:rPr>
          <w:sz w:val="19"/>
        </w:rPr>
      </w:pPr>
    </w:p>
    <w:p>
      <w:pPr>
        <w:spacing w:line="276" w:lineRule="auto" w:before="1"/>
        <w:ind w:left="220" w:right="982" w:firstLine="0"/>
        <w:jc w:val="left"/>
        <w:rPr>
          <w:sz w:val="22"/>
        </w:rPr>
      </w:pPr>
      <w:r>
        <w:rPr>
          <w:b/>
          <w:sz w:val="22"/>
        </w:rPr>
        <w:t>Return Type and Value: </w:t>
      </w:r>
      <w:r>
        <w:rPr>
          <w:sz w:val="22"/>
        </w:rPr>
        <w:t>number – The smallest of a set of numbers; however, if the </w:t>
      </w:r>
      <w:r>
        <w:rPr>
          <w:rFonts w:ascii="Times New Roman" w:hAnsi="Times New Roman"/>
          <w:i/>
          <w:sz w:val="22"/>
        </w:rPr>
        <w:t>argument</w:t>
      </w:r>
      <w:r>
        <w:rPr>
          <w:sz w:val="22"/>
        </w:rPr>
        <w:t>s contain no numbers, zero is returned.</w:t>
      </w:r>
    </w:p>
    <w:p>
      <w:pPr>
        <w:spacing w:after="0" w:line="276"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MINA(10.4,-3.5,12.6) </w:t>
      </w:r>
      <w:r>
        <w:rPr/>
        <w:t>results in </w:t>
      </w:r>
      <w:r>
        <w:rPr>
          <w:rFonts w:ascii="Consolas"/>
        </w:rPr>
        <w:t>-3.5</w:t>
      </w:r>
    </w:p>
    <w:p>
      <w:pPr>
        <w:pStyle w:val="BodyText"/>
        <w:spacing w:before="41"/>
        <w:ind w:left="220"/>
        <w:rPr>
          <w:rFonts w:ascii="Consolas"/>
        </w:rPr>
      </w:pPr>
      <w:r>
        <w:rPr>
          <w:rFonts w:ascii="Consolas"/>
        </w:rPr>
        <w:t>MINA(10.4,{-3.5,12.6}) </w:t>
      </w:r>
      <w:r>
        <w:rPr/>
        <w:t>results in </w:t>
      </w:r>
      <w:r>
        <w:rPr>
          <w:rFonts w:ascii="Consolas"/>
        </w:rPr>
        <w:t>-3.5</w:t>
      </w:r>
    </w:p>
    <w:p>
      <w:pPr>
        <w:pStyle w:val="BodyText"/>
        <w:spacing w:before="44"/>
        <w:ind w:left="220"/>
        <w:rPr>
          <w:rFonts w:ascii="Consolas"/>
        </w:rPr>
      </w:pPr>
      <w:r>
        <w:rPr>
          <w:rFonts w:ascii="Consolas"/>
        </w:rPr>
        <w:t>MINA({"ABC",TRUE}) </w:t>
      </w:r>
      <w:r>
        <w:rPr/>
        <w:t>results in </w:t>
      </w:r>
      <w:r>
        <w:rPr>
          <w:rFonts w:ascii="Consolas"/>
        </w:rPr>
        <w:t>0</w:t>
      </w:r>
    </w:p>
    <w:p>
      <w:pPr>
        <w:pStyle w:val="BodyText"/>
        <w:spacing w:before="3"/>
        <w:rPr>
          <w:rFonts w:ascii="Consolas"/>
          <w:sz w:val="20"/>
        </w:rPr>
      </w:pPr>
    </w:p>
    <w:p>
      <w:pPr>
        <w:pStyle w:val="BodyText"/>
        <w:ind w:left="220"/>
      </w:pPr>
      <w:r>
        <w:rPr/>
        <w:t>Consider the case in which cell </w:t>
      </w:r>
      <w:r>
        <w:rPr>
          <w:rFonts w:ascii="Consolas"/>
        </w:rPr>
        <w:t>B3</w:t>
      </w:r>
      <w:r>
        <w:rPr>
          <w:rFonts w:ascii="Consolas"/>
          <w:spacing w:val="-81"/>
        </w:rPr>
        <w:t> </w:t>
      </w:r>
      <w:r>
        <w:rPr/>
        <w:t>contains </w:t>
      </w:r>
      <w:r>
        <w:rPr>
          <w:rFonts w:ascii="Consolas"/>
        </w:rPr>
        <w:t>0</w:t>
      </w:r>
      <w:r>
        <w:rPr/>
        <w:t>:</w:t>
      </w:r>
    </w:p>
    <w:p>
      <w:pPr>
        <w:pStyle w:val="BodyText"/>
        <w:spacing w:line="276" w:lineRule="auto" w:before="39"/>
        <w:ind w:left="220" w:right="7358"/>
        <w:rPr>
          <w:rFonts w:ascii="Consolas"/>
        </w:rPr>
      </w:pPr>
      <w:r>
        <w:rPr>
          <w:rFonts w:ascii="Consolas"/>
        </w:rPr>
        <w:t>MIN(10,12,15,B3)</w:t>
      </w:r>
      <w:r>
        <w:rPr>
          <w:rFonts w:ascii="Consolas"/>
          <w:spacing w:val="-81"/>
        </w:rPr>
        <w:t> </w:t>
      </w:r>
      <w:r>
        <w:rPr/>
        <w:t>results in </w:t>
      </w:r>
      <w:r>
        <w:rPr>
          <w:rFonts w:ascii="Consolas"/>
        </w:rPr>
        <w:t>10 MINA(10,12,15,B3)</w:t>
      </w:r>
      <w:r>
        <w:rPr>
          <w:rFonts w:ascii="Consolas"/>
          <w:spacing w:val="-80"/>
        </w:rPr>
        <w:t> </w:t>
      </w:r>
      <w:r>
        <w:rPr/>
        <w:t>results in </w:t>
      </w:r>
      <w:r>
        <w:rPr>
          <w:rFonts w:ascii="Consolas"/>
        </w:rPr>
        <w:t>0</w:t>
      </w:r>
    </w:p>
    <w:p>
      <w:pPr>
        <w:pStyle w:val="BodyText"/>
        <w:spacing w:before="6"/>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4 MINUTE" w:id="2034"/>
      <w:bookmarkEnd w:id="2034"/>
      <w:r>
        <w:rPr/>
      </w:r>
      <w:bookmarkStart w:name="_bookmark677" w:id="2035"/>
      <w:bookmarkEnd w:id="2035"/>
      <w:r>
        <w:rPr/>
      </w:r>
      <w:bookmarkStart w:name="_bookmark677" w:id="2036"/>
      <w:bookmarkEnd w:id="2036"/>
      <w:r>
        <w:rPr>
          <w:color w:val="4F81BC"/>
        </w:rPr>
        <w:t>M</w:t>
      </w:r>
      <w:r>
        <w:rPr>
          <w:color w:val="4F81BC"/>
        </w:rPr>
        <w:t>INUTE</w:t>
      </w:r>
    </w:p>
    <w:p>
      <w:pPr>
        <w:pStyle w:val="Heading4"/>
        <w:spacing w:before="125"/>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MINUTE ( </w:t>
      </w:r>
      <w:r>
        <w:rPr>
          <w:i/>
          <w:sz w:val="22"/>
        </w:rPr>
        <w:t>time-value </w:t>
      </w:r>
      <w:r>
        <w:rPr>
          <w:rFonts w:ascii="Lucida Console"/>
          <w:sz w:val="20"/>
        </w:rPr>
        <w:t>)</w:t>
      </w:r>
    </w:p>
    <w:p>
      <w:pPr>
        <w:spacing w:before="108"/>
        <w:ind w:left="220" w:right="0" w:firstLine="0"/>
        <w:jc w:val="left"/>
        <w:rPr>
          <w:sz w:val="22"/>
        </w:rPr>
      </w:pPr>
      <w:r>
        <w:rPr>
          <w:b/>
          <w:sz w:val="22"/>
        </w:rPr>
        <w:t>Description: </w:t>
      </w:r>
      <w:r>
        <w:rPr>
          <w:sz w:val="22"/>
        </w:rPr>
        <w:t>Computes the minute for the date and/or time having the given </w:t>
      </w:r>
      <w:r>
        <w:rPr>
          <w:rFonts w:ascii="Times New Roman"/>
          <w:i/>
          <w:sz w:val="22"/>
        </w:rPr>
        <w:t>time-value</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6" w:hRule="atLeast"/>
        </w:trPr>
        <w:tc>
          <w:tcPr>
            <w:tcW w:w="1466" w:type="dxa"/>
          </w:tcPr>
          <w:p>
            <w:pPr>
              <w:pStyle w:val="TableParagraph"/>
              <w:spacing w:before="37"/>
              <w:ind w:left="0" w:right="408"/>
              <w:jc w:val="right"/>
              <w:rPr>
                <w:rFonts w:ascii="Times New Roman"/>
                <w:i/>
                <w:sz w:val="22"/>
              </w:rPr>
            </w:pPr>
            <w:r>
              <w:rPr>
                <w:rFonts w:ascii="Times New Roman"/>
                <w:i/>
                <w:sz w:val="22"/>
              </w:rPr>
              <w:t>time-value</w:t>
            </w:r>
          </w:p>
        </w:tc>
        <w:tc>
          <w:tcPr>
            <w:tcW w:w="1800" w:type="dxa"/>
          </w:tcPr>
          <w:p>
            <w:pPr>
              <w:pStyle w:val="TableParagraph"/>
              <w:ind w:left="112"/>
              <w:rPr>
                <w:sz w:val="22"/>
              </w:rPr>
            </w:pPr>
            <w:r>
              <w:rPr>
                <w:sz w:val="22"/>
              </w:rPr>
              <w:t>number</w:t>
            </w:r>
          </w:p>
        </w:tc>
        <w:tc>
          <w:tcPr>
            <w:tcW w:w="5400" w:type="dxa"/>
          </w:tcPr>
          <w:p>
            <w:pPr>
              <w:pStyle w:val="TableParagraph"/>
              <w:ind w:left="113" w:right="152"/>
              <w:rPr>
                <w:sz w:val="22"/>
              </w:rPr>
            </w:pPr>
            <w:r>
              <w:rPr>
                <w:sz w:val="22"/>
              </w:rPr>
              <w:t>The date and/or time whose minute is to be computed. That date and/or time shall be expressed either as a serial date-time, in which case, its integer part is ignored, or as a </w:t>
            </w:r>
            <w:r>
              <w:rPr>
                <w:rFonts w:ascii="Times New Roman"/>
                <w:i/>
                <w:sz w:val="22"/>
              </w:rPr>
              <w:t>string-constant </w:t>
            </w:r>
            <w:r>
              <w:rPr>
                <w:sz w:val="22"/>
              </w:rPr>
              <w:t>having any date and/or time format, in which case, any date information shall be ignored.</w:t>
            </w:r>
          </w:p>
        </w:tc>
      </w:tr>
    </w:tbl>
    <w:p>
      <w:pPr>
        <w:pStyle w:val="BodyText"/>
        <w:rPr>
          <w:b/>
        </w:rPr>
      </w:pPr>
    </w:p>
    <w:p>
      <w:pPr>
        <w:pStyle w:val="BodyText"/>
        <w:spacing w:before="5"/>
        <w:rPr>
          <w:b/>
          <w:sz w:val="19"/>
        </w:rPr>
      </w:pPr>
    </w:p>
    <w:p>
      <w:pPr>
        <w:spacing w:line="278" w:lineRule="auto" w:before="0"/>
        <w:ind w:left="220" w:right="1139" w:firstLine="0"/>
        <w:jc w:val="left"/>
        <w:rPr>
          <w:sz w:val="22"/>
        </w:rPr>
      </w:pPr>
      <w:r>
        <w:rPr>
          <w:b/>
          <w:sz w:val="22"/>
        </w:rPr>
        <w:t>Return Type and Value: </w:t>
      </w:r>
      <w:r>
        <w:rPr>
          <w:sz w:val="22"/>
        </w:rPr>
        <w:t>number – The minute for the date and/or time having the given </w:t>
      </w:r>
      <w:r>
        <w:rPr>
          <w:rFonts w:ascii="Times New Roman" w:hAnsi="Times New Roman"/>
          <w:i/>
          <w:sz w:val="22"/>
        </w:rPr>
        <w:t>time-value</w:t>
      </w:r>
      <w:r>
        <w:rPr>
          <w:sz w:val="22"/>
        </w:rPr>
        <w:t>. The returned value shall be in the range 0–59.</w:t>
      </w:r>
    </w:p>
    <w:p>
      <w:pPr>
        <w:pStyle w:val="BodyText"/>
        <w:spacing w:line="453" w:lineRule="auto" w:before="198"/>
        <w:ind w:left="220" w:right="2289"/>
      </w:pPr>
      <w:r>
        <w:rPr/>
        <w:t>However, if </w:t>
      </w:r>
      <w:r>
        <w:rPr>
          <w:rFonts w:ascii="Times New Roman"/>
          <w:i/>
        </w:rPr>
        <w:t>time-value </w:t>
      </w:r>
      <w:r>
        <w:rPr/>
        <w:t>is out of range for the current date system, </w:t>
      </w:r>
      <w:r>
        <w:rPr>
          <w:rFonts w:ascii="Consolas"/>
        </w:rPr>
        <w:t>#NUM!</w:t>
      </w:r>
      <w:r>
        <w:rPr>
          <w:rFonts w:ascii="Consolas"/>
          <w:spacing w:val="-104"/>
        </w:rPr>
        <w:t> </w:t>
      </w:r>
      <w:r>
        <w:rPr/>
        <w:t>is returned. [</w:t>
      </w:r>
      <w:r>
        <w:rPr>
          <w:i/>
        </w:rPr>
        <w:t>Example</w:t>
      </w:r>
      <w:r>
        <w:rPr/>
        <w:t>:</w:t>
      </w:r>
    </w:p>
    <w:p>
      <w:pPr>
        <w:pStyle w:val="BodyText"/>
        <w:spacing w:line="278" w:lineRule="auto" w:before="108"/>
        <w:ind w:left="220" w:right="2289"/>
        <w:rPr>
          <w:rFonts w:ascii="Consolas"/>
        </w:rPr>
      </w:pPr>
      <w:r>
        <w:rPr>
          <w:rFonts w:ascii="Consolas"/>
        </w:rPr>
        <w:t>MINUTE(DATE(2006,2,26)+TIME(2,10,20))</w:t>
      </w:r>
      <w:r>
        <w:rPr>
          <w:rFonts w:ascii="Consolas"/>
          <w:spacing w:val="-91"/>
        </w:rPr>
        <w:t> </w:t>
      </w:r>
      <w:r>
        <w:rPr/>
        <w:t>results in </w:t>
      </w:r>
      <w:r>
        <w:rPr>
          <w:rFonts w:ascii="Consolas"/>
        </w:rPr>
        <w:t>10 MINUTE(TIME(22,56,34))</w:t>
      </w:r>
      <w:r>
        <w:rPr>
          <w:rFonts w:ascii="Consolas"/>
          <w:spacing w:val="-72"/>
        </w:rPr>
        <w:t> </w:t>
      </w:r>
      <w:r>
        <w:rPr/>
        <w:t>results in </w:t>
      </w:r>
      <w:r>
        <w:rPr>
          <w:rFonts w:ascii="Consolas"/>
        </w:rPr>
        <w:t>56</w:t>
      </w:r>
    </w:p>
    <w:p>
      <w:pPr>
        <w:pStyle w:val="BodyText"/>
        <w:spacing w:line="276" w:lineRule="auto"/>
        <w:ind w:left="220" w:right="3721"/>
        <w:rPr>
          <w:rFonts w:ascii="Consolas"/>
        </w:rPr>
      </w:pPr>
      <w:r>
        <w:rPr>
          <w:rFonts w:ascii="Consolas"/>
        </w:rPr>
        <w:t>MINUTE(0) </w:t>
      </w:r>
      <w:r>
        <w:rPr/>
        <w:t>results in 0, since serial date-time 0 represents </w:t>
      </w:r>
      <w:r>
        <w:rPr>
          <w:rFonts w:ascii="Consolas"/>
        </w:rPr>
        <w:t>00:00:00 MINUTE(10.5)</w:t>
      </w:r>
      <w:r>
        <w:rPr>
          <w:rFonts w:ascii="Consolas"/>
          <w:spacing w:val="-100"/>
        </w:rPr>
        <w:t> </w:t>
      </w:r>
      <w:r>
        <w:rPr/>
        <w:t>results in 0, since serial date-time .5 represents </w:t>
      </w:r>
      <w:r>
        <w:rPr>
          <w:rFonts w:ascii="Consolas"/>
        </w:rPr>
        <w:t>12:00:00 MINUTE("22-Oct-2001 10:53:12")</w:t>
      </w:r>
      <w:r>
        <w:rPr>
          <w:rFonts w:ascii="Consolas"/>
          <w:spacing w:val="-76"/>
        </w:rPr>
        <w:t> </w:t>
      </w:r>
      <w:r>
        <w:rPr/>
        <w:t>results in </w:t>
      </w:r>
      <w:r>
        <w:rPr>
          <w:rFonts w:ascii="Consolas"/>
        </w:rPr>
        <w:t>53</w:t>
      </w:r>
    </w:p>
    <w:p>
      <w:pPr>
        <w:pStyle w:val="BodyText"/>
        <w:spacing w:line="273" w:lineRule="auto"/>
        <w:ind w:left="220" w:right="6753"/>
        <w:rPr>
          <w:rFonts w:ascii="Consolas"/>
        </w:rPr>
      </w:pPr>
      <w:r>
        <w:rPr>
          <w:rFonts w:ascii="Consolas"/>
        </w:rPr>
        <w:t>MINUTE("10:53:12 pm")</w:t>
      </w:r>
      <w:r>
        <w:rPr>
          <w:rFonts w:ascii="Consolas"/>
          <w:spacing w:val="-80"/>
        </w:rPr>
        <w:t> </w:t>
      </w:r>
      <w:r>
        <w:rPr/>
        <w:t>results in </w:t>
      </w:r>
      <w:r>
        <w:rPr>
          <w:rFonts w:ascii="Consolas"/>
        </w:rPr>
        <w:t>53 MINUTE("22:53:12")</w:t>
      </w:r>
      <w:r>
        <w:rPr>
          <w:rFonts w:ascii="Consolas"/>
          <w:spacing w:val="-72"/>
        </w:rPr>
        <w:t> </w:t>
      </w:r>
      <w:r>
        <w:rPr/>
        <w:t>results in </w:t>
      </w:r>
      <w:r>
        <w:rPr>
          <w:rFonts w:ascii="Consolas"/>
        </w:rPr>
        <w:t>53</w:t>
      </w:r>
    </w:p>
    <w:p>
      <w:pPr>
        <w:spacing w:after="0" w:line="273" w:lineRule="auto"/>
        <w:rPr>
          <w:rFonts w:ascii="Consolas"/>
        </w:rPr>
        <w:sectPr>
          <w:footerReference w:type="even" r:id="rId254"/>
          <w:footerReference w:type="default" r:id="rId255"/>
          <w:pgSz w:w="12240" w:h="15840"/>
          <w:pgMar w:footer="746" w:header="761" w:top="1340" w:bottom="940" w:left="860" w:right="700"/>
          <w:pgNumType w:start="2290"/>
        </w:sectPr>
      </w:pPr>
    </w:p>
    <w:p>
      <w:pPr>
        <w:pStyle w:val="BodyText"/>
        <w:rPr>
          <w:rFonts w:ascii="Consolas"/>
          <w:sz w:val="20"/>
        </w:rPr>
      </w:pPr>
    </w:p>
    <w:p>
      <w:pPr>
        <w:pStyle w:val="BodyText"/>
        <w:spacing w:before="3"/>
        <w:rPr>
          <w:rFonts w:ascii="Consolas"/>
          <w:sz w:val="1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5 MINVERSE" w:id="2037"/>
      <w:bookmarkEnd w:id="2037"/>
      <w:r>
        <w:rPr/>
      </w:r>
      <w:bookmarkStart w:name="_bookmark678" w:id="2038"/>
      <w:bookmarkEnd w:id="2038"/>
      <w:r>
        <w:rPr/>
      </w:r>
      <w:bookmarkStart w:name="_bookmark678" w:id="2039"/>
      <w:bookmarkEnd w:id="2039"/>
      <w:r>
        <w:rPr>
          <w:color w:val="4F81BC"/>
        </w:rPr>
        <w:t>M</w:t>
      </w:r>
      <w:r>
        <w:rPr>
          <w:color w:val="4F81BC"/>
        </w:rPr>
        <w:t>INVERSE</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MINVERSE ( </w:t>
      </w:r>
      <w:r>
        <w:rPr>
          <w:i/>
          <w:sz w:val="22"/>
        </w:rPr>
        <w:t>array </w:t>
      </w:r>
      <w:r>
        <w:rPr>
          <w:rFonts w:ascii="Lucida Console"/>
          <w:sz w:val="20"/>
        </w:rPr>
        <w:t>)</w:t>
      </w:r>
    </w:p>
    <w:p>
      <w:pPr>
        <w:pStyle w:val="BodyText"/>
        <w:spacing w:line="276" w:lineRule="auto" w:before="106"/>
        <w:ind w:left="220" w:right="394"/>
      </w:pPr>
      <w:r>
        <w:rPr>
          <w:b/>
        </w:rPr>
        <w:t>Description: </w:t>
      </w:r>
      <w:r>
        <w:rPr/>
        <w:t>Computes the inverse of the square matrix of numbers designated by </w:t>
      </w:r>
      <w:r>
        <w:rPr>
          <w:rFonts w:ascii="Times New Roman"/>
          <w:i/>
        </w:rPr>
        <w:t>array</w:t>
      </w:r>
      <w:r>
        <w:rPr/>
        <w:t>. The inverse matrix is calculated with an accuracy of at least 15 digits, which can lead to a small numeric error when the cancellation is not complete.</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Designate a square matrix of numbers.</w:t>
            </w:r>
          </w:p>
        </w:tc>
      </w:tr>
    </w:tbl>
    <w:p>
      <w:pPr>
        <w:pStyle w:val="BodyText"/>
        <w:rPr>
          <w:b/>
        </w:rPr>
      </w:pPr>
    </w:p>
    <w:p>
      <w:pPr>
        <w:pStyle w:val="BodyText"/>
        <w:spacing w:before="7"/>
        <w:rPr>
          <w:b/>
          <w:sz w:val="19"/>
        </w:rPr>
      </w:pPr>
    </w:p>
    <w:p>
      <w:pPr>
        <w:spacing w:line="453" w:lineRule="auto" w:before="0"/>
        <w:ind w:left="220" w:right="2539" w:firstLine="0"/>
        <w:jc w:val="left"/>
        <w:rPr>
          <w:sz w:val="22"/>
        </w:rPr>
      </w:pPr>
      <w:r>
        <w:rPr>
          <w:b/>
          <w:sz w:val="22"/>
        </w:rPr>
        <w:t>Return Type and Value: </w:t>
      </w:r>
      <w:r>
        <w:rPr>
          <w:sz w:val="22"/>
        </w:rPr>
        <w:t>number – The inverse of the square matrix designated by </w:t>
      </w:r>
      <w:r>
        <w:rPr>
          <w:rFonts w:ascii="Times New Roman" w:hAnsi="Times New Roman"/>
          <w:i/>
          <w:sz w:val="22"/>
        </w:rPr>
        <w:t>array</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Any cells in </w:t>
      </w:r>
      <w:r>
        <w:rPr>
          <w:rFonts w:ascii="Times New Roman" w:hAnsi="Times New Roman"/>
          <w:i/>
          <w:sz w:val="22"/>
        </w:rPr>
        <w:t>array </w:t>
      </w:r>
      <w:r>
        <w:rPr>
          <w:sz w:val="22"/>
        </w:rPr>
        <w:t>are empty or contain text, the return value is</w:t>
      </w:r>
      <w:r>
        <w:rPr>
          <w:spacing w:val="-18"/>
          <w:sz w:val="22"/>
        </w:rPr>
        <w:t> </w:t>
      </w:r>
      <w:r>
        <w:rPr>
          <w:sz w:val="22"/>
        </w:rPr>
        <w:t>unspecified.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sz w:val="22"/>
        </w:rPr>
        <w:t>The matrix designated by </w:t>
      </w:r>
      <w:r>
        <w:rPr>
          <w:rFonts w:ascii="Times New Roman" w:hAnsi="Times New Roman"/>
          <w:i/>
          <w:sz w:val="22"/>
        </w:rPr>
        <w:t>array </w:t>
      </w:r>
      <w:r>
        <w:rPr>
          <w:sz w:val="22"/>
        </w:rPr>
        <w:t>is not square, </w:t>
      </w:r>
      <w:r>
        <w:rPr>
          <w:rFonts w:ascii="Consolas" w:hAnsi="Consolas"/>
          <w:sz w:val="22"/>
        </w:rPr>
        <w:t>#VALUE!</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4160" w:firstLine="360"/>
        <w:jc w:val="left"/>
        <w:rPr>
          <w:sz w:val="22"/>
        </w:rPr>
      </w:pPr>
      <w:r>
        <w:rPr>
          <w:sz w:val="22"/>
        </w:rPr>
        <w:t>The matrix cannot be inverted, the return value is unspecified. [</w:t>
      </w:r>
      <w:r>
        <w:rPr>
          <w:i/>
          <w:sz w:val="22"/>
        </w:rPr>
        <w:t>Example</w:t>
      </w:r>
      <w:r>
        <w:rPr>
          <w:sz w:val="22"/>
        </w:rPr>
        <w:t>:</w:t>
      </w:r>
    </w:p>
    <w:p>
      <w:pPr>
        <w:pStyle w:val="BodyText"/>
        <w:spacing w:line="276" w:lineRule="auto" w:before="129"/>
        <w:ind w:left="220" w:right="5791"/>
        <w:rPr>
          <w:rFonts w:ascii="Consolas"/>
        </w:rPr>
      </w:pPr>
      <w:r>
        <w:rPr>
          <w:rFonts w:ascii="Consolas"/>
        </w:rPr>
        <w:t>MINVERSE({3,6,1;1,1,0;3,10,2})</w:t>
      </w:r>
      <w:r>
        <w:rPr>
          <w:rFonts w:ascii="Consolas"/>
          <w:spacing w:val="-86"/>
        </w:rPr>
        <w:t> </w:t>
      </w:r>
      <w:r>
        <w:rPr/>
        <w:t>results in </w:t>
      </w:r>
      <w:r>
        <w:rPr>
          <w:rFonts w:ascii="Consolas"/>
        </w:rPr>
        <w:t>2 MINVERSE({3,6;1,1})</w:t>
      </w:r>
      <w:r>
        <w:rPr>
          <w:rFonts w:ascii="Consolas"/>
          <w:spacing w:val="-89"/>
        </w:rPr>
        <w:t> </w:t>
      </w:r>
      <w:r>
        <w:rPr/>
        <w:t>results in </w:t>
      </w:r>
      <w:r>
        <w:rPr>
          <w:rFonts w:ascii="Consolas"/>
        </w:rPr>
        <w:t>-0.333333333</w:t>
      </w:r>
    </w:p>
    <w:p>
      <w:pPr>
        <w:pStyle w:val="BodyText"/>
        <w:rPr>
          <w:rFonts w:ascii="Consolas"/>
        </w:rPr>
      </w:pPr>
    </w:p>
    <w:p>
      <w:pPr>
        <w:pStyle w:val="BodyText"/>
        <w:spacing w:before="6"/>
        <w:rPr>
          <w:rFonts w:ascii="Consolas"/>
          <w:sz w:val="21"/>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6 MIRR" w:id="2040"/>
      <w:bookmarkEnd w:id="2040"/>
      <w:r>
        <w:rPr/>
      </w:r>
      <w:bookmarkStart w:name="_bookmark679" w:id="2041"/>
      <w:bookmarkEnd w:id="2041"/>
      <w:r>
        <w:rPr/>
      </w:r>
      <w:bookmarkStart w:name="_bookmark679" w:id="2042"/>
      <w:bookmarkEnd w:id="2042"/>
      <w:r>
        <w:rPr>
          <w:color w:val="4F81BC"/>
        </w:rPr>
        <w:t>M</w:t>
      </w:r>
      <w:r>
        <w:rPr>
          <w:color w:val="4F81BC"/>
        </w:rPr>
        <w:t>IRR</w:t>
      </w:r>
    </w:p>
    <w:p>
      <w:pPr>
        <w:spacing w:before="114"/>
        <w:ind w:left="940" w:right="0" w:firstLine="0"/>
        <w:jc w:val="left"/>
        <w:rPr>
          <w:rFonts w:ascii="Lucida Console"/>
          <w:sz w:val="20"/>
        </w:rPr>
      </w:pPr>
      <w:r>
        <w:rPr>
          <w:rFonts w:ascii="Lucida Console"/>
          <w:sz w:val="20"/>
        </w:rPr>
        <w:t>MIRR ( </w:t>
      </w:r>
      <w:r>
        <w:rPr>
          <w:i/>
          <w:sz w:val="22"/>
        </w:rPr>
        <w:t>values </w:t>
      </w:r>
      <w:r>
        <w:rPr>
          <w:sz w:val="22"/>
        </w:rPr>
        <w:t>, </w:t>
      </w:r>
      <w:r>
        <w:rPr>
          <w:i/>
          <w:sz w:val="22"/>
        </w:rPr>
        <w:t>finance-rate </w:t>
      </w:r>
      <w:r>
        <w:rPr>
          <w:sz w:val="22"/>
        </w:rPr>
        <w:t>, </w:t>
      </w:r>
      <w:r>
        <w:rPr>
          <w:i/>
          <w:sz w:val="22"/>
        </w:rPr>
        <w:t>reinvest-rate </w:t>
      </w:r>
      <w:r>
        <w:rPr>
          <w:rFonts w:ascii="Lucida Console"/>
          <w:sz w:val="20"/>
        </w:rPr>
        <w:t>)</w:t>
      </w:r>
    </w:p>
    <w:p>
      <w:pPr>
        <w:pStyle w:val="BodyText"/>
        <w:spacing w:line="278" w:lineRule="auto" w:before="106"/>
        <w:ind w:left="220" w:right="572"/>
      </w:pPr>
      <w:r>
        <w:rPr/>
        <w:t>Description: Computes the modified internal rate of return for a series of periodic cash flows. (Both the cost of the investment and the interest received on reinvestment of cash are considered.)</w:t>
      </w:r>
    </w:p>
    <w:p>
      <w:pPr>
        <w:pStyle w:val="BodyText"/>
        <w:spacing w:before="3"/>
        <w:rPr>
          <w:sz w:val="16"/>
        </w:rPr>
      </w:pPr>
    </w:p>
    <w:p>
      <w:pPr>
        <w:spacing w:line="453" w:lineRule="auto" w:before="0"/>
        <w:ind w:left="220" w:right="8185" w:firstLine="0"/>
        <w:jc w:val="left"/>
        <w:rPr>
          <w:sz w:val="22"/>
        </w:rPr>
      </w:pPr>
      <w:r>
        <w:rPr>
          <w:b/>
          <w:sz w:val="22"/>
        </w:rPr>
        <w:t>Mathematical Formula</w:t>
      </w:r>
      <w:r>
        <w:rPr>
          <w:sz w:val="22"/>
        </w:rPr>
        <w:t>: The formula for </w:t>
      </w:r>
      <w:r>
        <w:rPr>
          <w:rFonts w:ascii="Consolas"/>
          <w:sz w:val="22"/>
        </w:rPr>
        <w:t>MIRR</w:t>
      </w:r>
      <w:r>
        <w:rPr>
          <w:rFonts w:ascii="Consolas"/>
          <w:spacing w:val="-73"/>
          <w:sz w:val="22"/>
        </w:rPr>
        <w:t> </w:t>
      </w:r>
      <w:r>
        <w:rPr>
          <w:spacing w:val="-5"/>
          <w:sz w:val="22"/>
        </w:rPr>
        <w:t>is:</w:t>
      </w:r>
    </w:p>
    <w:p>
      <w:pPr>
        <w:spacing w:after="0" w:line="453" w:lineRule="auto"/>
        <w:jc w:val="left"/>
        <w:rPr>
          <w:sz w:val="22"/>
        </w:rPr>
        <w:sectPr>
          <w:pgSz w:w="12240" w:h="15840"/>
          <w:pgMar w:header="763" w:footer="746" w:top="1340" w:bottom="940" w:left="860" w:right="700"/>
        </w:sectPr>
      </w:pPr>
    </w:p>
    <w:p>
      <w:pPr>
        <w:pStyle w:val="BodyText"/>
        <w:spacing w:line="215" w:lineRule="exact" w:before="137"/>
        <w:ind w:left="347"/>
        <w:rPr>
          <w:rFonts w:ascii="Cambria Math" w:hAnsi="Cambria Math" w:eastAsia="Cambria Math"/>
        </w:rPr>
      </w:pPr>
      <w:r>
        <w:rPr>
          <w:rFonts w:ascii="Cambria Math" w:hAnsi="Cambria Math" w:eastAsia="Cambria Math"/>
        </w:rPr>
        <w:t>−𝑁𝑃𝑉</w:t>
      </w:r>
      <w:r>
        <w:rPr>
          <w:rFonts w:ascii="Cambria Math" w:hAnsi="Cambria Math" w:eastAsia="Cambria Math"/>
          <w:position w:val="1"/>
        </w:rPr>
        <w:t>(</w:t>
      </w:r>
      <w:r>
        <w:rPr>
          <w:rFonts w:ascii="Cambria Math" w:hAnsi="Cambria Math" w:eastAsia="Cambria Math"/>
        </w:rPr>
        <w:t>𝑟𝑟𝑎𝑡𝑒, 𝑣𝑎𝑙𝑢𝑒𝑠</w:t>
      </w:r>
      <w:r>
        <w:rPr>
          <w:rFonts w:ascii="Cambria Math" w:hAnsi="Cambria Math" w:eastAsia="Cambria Math"/>
          <w:position w:val="1"/>
        </w:rPr>
        <w:t>[</w:t>
      </w:r>
      <w:r>
        <w:rPr>
          <w:rFonts w:ascii="Cambria Math" w:hAnsi="Cambria Math" w:eastAsia="Cambria Math"/>
        </w:rPr>
        <w:t>𝑝𝑜𝑠𝑖𝑡𝑖𝑣𝑒</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1 + 𝑟𝑟𝑎𝑡𝑒</w:t>
      </w:r>
      <w:r>
        <w:rPr>
          <w:rFonts w:ascii="Cambria Math" w:hAnsi="Cambria Math" w:eastAsia="Cambria Math"/>
          <w:position w:val="1"/>
        </w:rPr>
        <w:t>)</w:t>
      </w:r>
      <w:r>
        <w:rPr>
          <w:rFonts w:ascii="Cambria Math" w:hAnsi="Cambria Math" w:eastAsia="Cambria Math"/>
          <w:position w:val="1"/>
          <w:vertAlign w:val="superscript"/>
        </w:rPr>
        <w:t>𝑛</w:t>
      </w:r>
    </w:p>
    <w:p>
      <w:pPr>
        <w:spacing w:line="167" w:lineRule="exact" w:before="0"/>
        <w:ind w:left="95" w:right="0" w:firstLine="0"/>
        <w:jc w:val="left"/>
        <w:rPr>
          <w:rFonts w:ascii="Cambria Math"/>
          <w:sz w:val="16"/>
        </w:rPr>
      </w:pPr>
      <w:r>
        <w:rPr/>
        <w:br w:type="column"/>
      </w:r>
      <w:r>
        <w:rPr>
          <w:rFonts w:ascii="Times New Roman"/>
          <w:w w:val="100"/>
          <w:sz w:val="16"/>
          <w:u w:val="single"/>
        </w:rPr>
        <w:t> </w:t>
      </w:r>
      <w:r>
        <w:rPr>
          <w:rFonts w:ascii="Times New Roman"/>
          <w:sz w:val="16"/>
          <w:u w:val="single"/>
        </w:rPr>
        <w:t>  </w:t>
      </w:r>
      <w:r>
        <w:rPr>
          <w:rFonts w:ascii="Cambria Math"/>
          <w:w w:val="105"/>
          <w:sz w:val="16"/>
          <w:u w:val="single"/>
        </w:rPr>
        <w:t>1</w:t>
      </w:r>
      <w:r>
        <w:rPr>
          <w:rFonts w:ascii="Cambria Math"/>
          <w:sz w:val="16"/>
          <w:u w:val="single"/>
        </w:rPr>
        <w:t> </w:t>
      </w:r>
    </w:p>
    <w:p>
      <w:pPr>
        <w:spacing w:line="181" w:lineRule="exact" w:before="0"/>
        <w:ind w:left="95" w:right="0" w:firstLine="0"/>
        <w:jc w:val="left"/>
        <w:rPr>
          <w:rFonts w:ascii="Cambria Math" w:hAnsi="Cambria Math" w:eastAsia="Cambria Math"/>
          <w:sz w:val="16"/>
        </w:rPr>
      </w:pPr>
      <w:r>
        <w:rPr>
          <w:rFonts w:ascii="Cambria Math" w:hAnsi="Cambria Math" w:eastAsia="Cambria Math"/>
          <w:w w:val="105"/>
          <w:sz w:val="16"/>
        </w:rPr>
        <w:t>𝑛−1</w:t>
      </w:r>
    </w:p>
    <w:p>
      <w:pPr>
        <w:spacing w:after="0" w:line="181" w:lineRule="exact"/>
        <w:jc w:val="left"/>
        <w:rPr>
          <w:rFonts w:ascii="Cambria Math" w:hAnsi="Cambria Math" w:eastAsia="Cambria Math"/>
          <w:sz w:val="16"/>
        </w:rPr>
        <w:sectPr>
          <w:type w:val="continuous"/>
          <w:pgSz w:w="12240" w:h="15840"/>
          <w:pgMar w:top="1340" w:bottom="940" w:left="860" w:right="700"/>
          <w:cols w:num="2" w:equalWidth="0">
            <w:col w:w="4771" w:space="40"/>
            <w:col w:w="5869"/>
          </w:cols>
        </w:sectPr>
      </w:pPr>
    </w:p>
    <w:p>
      <w:pPr>
        <w:pStyle w:val="BodyText"/>
        <w:tabs>
          <w:tab w:pos="5277" w:val="left" w:leader="none"/>
        </w:tabs>
        <w:spacing w:line="370" w:lineRule="exact"/>
        <w:ind w:left="220"/>
        <w:rPr>
          <w:rFonts w:ascii="Cambria Math" w:hAnsi="Cambria Math" w:eastAsia="Cambria Math"/>
        </w:rPr>
      </w:pPr>
      <w:r>
        <w:rPr/>
        <w:pict>
          <v:line style="position:absolute;mso-position-horizontal-relative:page;mso-position-vertical-relative:paragraph;z-index:-335835136" from="60.360001pt,5.492687pt" to="281.930001pt,5.492687pt" stroked="true" strokeweight=".71997pt" strokecolor="#000000">
            <v:stroke dashstyle="solid"/>
            <w10:wrap type="none"/>
          </v:line>
        </w:pict>
      </w:r>
      <w:r>
        <w:rPr>
          <w:rFonts w:ascii="Cambria Math" w:hAnsi="Cambria Math" w:eastAsia="Cambria Math"/>
          <w:w w:val="110"/>
          <w:position w:val="15"/>
        </w:rPr>
        <w:t>(</w:t>
      </w:r>
      <w:r>
        <w:rPr>
          <w:rFonts w:ascii="Cambria Math" w:hAnsi="Cambria Math" w:eastAsia="Cambria Math"/>
          <w:spacing w:val="-17"/>
          <w:w w:val="110"/>
          <w:position w:val="15"/>
        </w:rPr>
        <w:t> </w:t>
      </w:r>
      <w:r>
        <w:rPr>
          <w:rFonts w:ascii="Cambria Math" w:hAnsi="Cambria Math" w:eastAsia="Cambria Math"/>
          <w:w w:val="110"/>
        </w:rPr>
        <w:t>𝑁𝑃𝑉</w:t>
      </w:r>
      <w:r>
        <w:rPr>
          <w:rFonts w:ascii="Cambria Math" w:hAnsi="Cambria Math" w:eastAsia="Cambria Math"/>
          <w:w w:val="110"/>
          <w:position w:val="1"/>
        </w:rPr>
        <w:t>(</w:t>
      </w:r>
      <w:r>
        <w:rPr>
          <w:rFonts w:ascii="Cambria Math" w:hAnsi="Cambria Math" w:eastAsia="Cambria Math"/>
          <w:w w:val="110"/>
        </w:rPr>
        <w:t>𝑓𝑟𝑎𝑡𝑒,</w:t>
      </w:r>
      <w:r>
        <w:rPr>
          <w:rFonts w:ascii="Cambria Math" w:hAnsi="Cambria Math" w:eastAsia="Cambria Math"/>
          <w:spacing w:val="-37"/>
          <w:w w:val="110"/>
        </w:rPr>
        <w:t> </w:t>
      </w:r>
      <w:r>
        <w:rPr>
          <w:rFonts w:ascii="Cambria Math" w:hAnsi="Cambria Math" w:eastAsia="Cambria Math"/>
          <w:w w:val="110"/>
        </w:rPr>
        <w:t>𝑣𝑎𝑙𝑢𝑒𝑠</w:t>
      </w:r>
      <w:r>
        <w:rPr>
          <w:rFonts w:ascii="Cambria Math" w:hAnsi="Cambria Math" w:eastAsia="Cambria Math"/>
          <w:w w:val="110"/>
          <w:position w:val="1"/>
        </w:rPr>
        <w:t>[</w:t>
      </w:r>
      <w:r>
        <w:rPr>
          <w:rFonts w:ascii="Cambria Math" w:hAnsi="Cambria Math" w:eastAsia="Cambria Math"/>
          <w:w w:val="110"/>
        </w:rPr>
        <w:t>𝑛𝑒𝑔𝑎𝑡𝑖𝑣𝑒</w:t>
      </w:r>
      <w:r>
        <w:rPr>
          <w:rFonts w:ascii="Cambria Math" w:hAnsi="Cambria Math" w:eastAsia="Cambria Math"/>
          <w:w w:val="110"/>
          <w:position w:val="1"/>
        </w:rPr>
        <w:t>])</w:t>
      </w:r>
      <w:r>
        <w:rPr>
          <w:rFonts w:ascii="Cambria Math" w:hAnsi="Cambria Math" w:eastAsia="Cambria Math"/>
          <w:spacing w:val="-32"/>
          <w:w w:val="110"/>
          <w:position w:val="1"/>
        </w:rPr>
        <w:t> </w:t>
      </w:r>
      <w:r>
        <w:rPr>
          <w:rFonts w:ascii="Cambria Math" w:hAnsi="Cambria Math" w:eastAsia="Cambria Math"/>
          <w:w w:val="110"/>
        </w:rPr>
        <w:t>∗</w:t>
      </w:r>
      <w:r>
        <w:rPr>
          <w:rFonts w:ascii="Cambria Math" w:hAnsi="Cambria Math" w:eastAsia="Cambria Math"/>
          <w:spacing w:val="-32"/>
          <w:w w:val="110"/>
        </w:rPr>
        <w:t> </w:t>
      </w:r>
      <w:r>
        <w:rPr>
          <w:rFonts w:ascii="Cambria Math" w:hAnsi="Cambria Math" w:eastAsia="Cambria Math"/>
          <w:w w:val="110"/>
          <w:position w:val="1"/>
        </w:rPr>
        <w:t>(</w:t>
      </w:r>
      <w:r>
        <w:rPr>
          <w:rFonts w:ascii="Cambria Math" w:hAnsi="Cambria Math" w:eastAsia="Cambria Math"/>
          <w:w w:val="110"/>
        </w:rPr>
        <w:t>1</w:t>
      </w:r>
      <w:r>
        <w:rPr>
          <w:rFonts w:ascii="Cambria Math" w:hAnsi="Cambria Math" w:eastAsia="Cambria Math"/>
          <w:spacing w:val="-31"/>
          <w:w w:val="110"/>
        </w:rPr>
        <w:t> </w:t>
      </w:r>
      <w:r>
        <w:rPr>
          <w:rFonts w:ascii="Cambria Math" w:hAnsi="Cambria Math" w:eastAsia="Cambria Math"/>
          <w:w w:val="110"/>
        </w:rPr>
        <w:t>+</w:t>
      </w:r>
      <w:r>
        <w:rPr>
          <w:rFonts w:ascii="Cambria Math" w:hAnsi="Cambria Math" w:eastAsia="Cambria Math"/>
          <w:spacing w:val="-32"/>
          <w:w w:val="110"/>
        </w:rPr>
        <w:t> </w:t>
      </w:r>
      <w:r>
        <w:rPr>
          <w:rFonts w:ascii="Cambria Math" w:hAnsi="Cambria Math" w:eastAsia="Cambria Math"/>
          <w:w w:val="110"/>
        </w:rPr>
        <w:t>𝑓𝑟𝑎𝑡𝑒</w:t>
      </w:r>
      <w:r>
        <w:rPr>
          <w:rFonts w:ascii="Cambria Math" w:hAnsi="Cambria Math" w:eastAsia="Cambria Math"/>
          <w:w w:val="110"/>
          <w:position w:val="1"/>
        </w:rPr>
        <w:t>)</w:t>
      </w:r>
      <w:r>
        <w:rPr>
          <w:rFonts w:ascii="Cambria Math" w:hAnsi="Cambria Math" w:eastAsia="Cambria Math"/>
          <w:spacing w:val="-16"/>
          <w:w w:val="110"/>
          <w:position w:val="1"/>
        </w:rPr>
        <w:t> </w:t>
      </w:r>
      <w:r>
        <w:rPr>
          <w:rFonts w:ascii="Cambria Math" w:hAnsi="Cambria Math" w:eastAsia="Cambria Math"/>
          <w:w w:val="110"/>
          <w:position w:val="15"/>
        </w:rPr>
        <w:t>)</w:t>
        <w:tab/>
        <w:t>−</w:t>
      </w:r>
      <w:r>
        <w:rPr>
          <w:rFonts w:ascii="Cambria Math" w:hAnsi="Cambria Math" w:eastAsia="Cambria Math"/>
          <w:spacing w:val="-5"/>
          <w:w w:val="110"/>
          <w:position w:val="15"/>
        </w:rPr>
        <w:t> </w:t>
      </w:r>
      <w:r>
        <w:rPr>
          <w:rFonts w:ascii="Cambria Math" w:hAnsi="Cambria Math" w:eastAsia="Cambria Math"/>
          <w:w w:val="110"/>
          <w:position w:val="15"/>
        </w:rPr>
        <w:t>1</w:t>
      </w:r>
    </w:p>
    <w:p>
      <w:pPr>
        <w:spacing w:after="0" w:line="370" w:lineRule="exact"/>
        <w:rPr>
          <w:rFonts w:ascii="Cambria Math" w:hAnsi="Cambria Math" w:eastAsia="Cambria Math"/>
        </w:rPr>
        <w:sectPr>
          <w:type w:val="continuous"/>
          <w:pgSz w:w="12240" w:h="15840"/>
          <w:pgMar w:top="1340" w:bottom="940" w:left="860" w:right="700"/>
        </w:sectPr>
      </w:pPr>
    </w:p>
    <w:p>
      <w:pPr>
        <w:pStyle w:val="BodyText"/>
        <w:spacing w:before="93"/>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frate </w:t>
      </w:r>
      <w:r>
        <w:rPr>
          <w:sz w:val="22"/>
        </w:rPr>
        <w:t>= argument</w:t>
      </w:r>
      <w:r>
        <w:rPr>
          <w:spacing w:val="-9"/>
          <w:sz w:val="22"/>
        </w:rPr>
        <w:t> </w:t>
      </w:r>
      <w:r>
        <w:rPr>
          <w:rFonts w:ascii="Times New Roman" w:hAnsi="Times New Roman"/>
          <w:i/>
          <w:sz w:val="22"/>
        </w:rPr>
        <w:t>finance-rate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n </w:t>
      </w:r>
      <w:r>
        <w:rPr>
          <w:sz w:val="22"/>
        </w:rPr>
        <w:t>= number of cash flows in argument</w:t>
      </w:r>
      <w:r>
        <w:rPr>
          <w:spacing w:val="-14"/>
          <w:sz w:val="22"/>
        </w:rPr>
        <w:t> </w:t>
      </w:r>
      <w:r>
        <w:rPr>
          <w:rFonts w:ascii="Times New Roman" w:hAnsi="Times New Roman"/>
          <w:i/>
          <w:sz w:val="22"/>
        </w:rPr>
        <w:t>values</w:t>
      </w:r>
    </w:p>
    <w:p>
      <w:pPr>
        <w:pStyle w:val="ListParagraph"/>
        <w:numPr>
          <w:ilvl w:val="4"/>
          <w:numId w:val="66"/>
        </w:numPr>
        <w:tabs>
          <w:tab w:pos="940" w:val="left" w:leader="none"/>
          <w:tab w:pos="941" w:val="left" w:leader="none"/>
        </w:tabs>
        <w:spacing w:line="240" w:lineRule="auto" w:before="38" w:after="0"/>
        <w:ind w:left="940" w:right="0" w:hanging="361"/>
        <w:jc w:val="left"/>
        <w:rPr>
          <w:rFonts w:ascii="Times New Roman" w:hAnsi="Times New Roman"/>
          <w:i/>
          <w:sz w:val="22"/>
        </w:rPr>
      </w:pPr>
      <w:r>
        <w:rPr>
          <w:rFonts w:ascii="Times New Roman" w:hAnsi="Times New Roman"/>
          <w:i/>
          <w:sz w:val="22"/>
        </w:rPr>
        <w:t>rrate </w:t>
      </w:r>
      <w:r>
        <w:rPr>
          <w:sz w:val="22"/>
        </w:rPr>
        <w:t>= argument</w:t>
      </w:r>
      <w:r>
        <w:rPr>
          <w:spacing w:val="-8"/>
          <w:sz w:val="22"/>
        </w:rPr>
        <w:t> </w:t>
      </w:r>
      <w:r>
        <w:rPr>
          <w:rFonts w:ascii="Times New Roman" w:hAnsi="Times New Roman"/>
          <w:i/>
          <w:sz w:val="22"/>
        </w:rPr>
        <w:t>reinvest-rate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values </w:t>
      </w:r>
      <w:r>
        <w:rPr>
          <w:sz w:val="22"/>
        </w:rPr>
        <w:t>= argument</w:t>
      </w:r>
      <w:r>
        <w:rPr>
          <w:spacing w:val="-7"/>
          <w:sz w:val="22"/>
        </w:rPr>
        <w:t> </w:t>
      </w:r>
      <w:r>
        <w:rPr>
          <w:rFonts w:ascii="Times New Roman" w:hAnsi="Times New Roman"/>
          <w:i/>
          <w:sz w:val="22"/>
        </w:rPr>
        <w:t>values</w:t>
      </w:r>
    </w:p>
    <w:p>
      <w:pPr>
        <w:pStyle w:val="BodyText"/>
        <w:spacing w:before="242"/>
        <w:ind w:left="220"/>
      </w:pPr>
      <w:r>
        <w:rPr/>
        <w:t>Arguments:</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234" w:hRule="atLeast"/>
        </w:trPr>
        <w:tc>
          <w:tcPr>
            <w:tcW w:w="1466" w:type="dxa"/>
          </w:tcPr>
          <w:p>
            <w:pPr>
              <w:pStyle w:val="TableParagraph"/>
              <w:spacing w:before="37"/>
              <w:rPr>
                <w:rFonts w:ascii="Times New Roman"/>
                <w:i/>
                <w:sz w:val="22"/>
              </w:rPr>
            </w:pPr>
            <w:r>
              <w:rPr>
                <w:rFonts w:ascii="Times New Roman"/>
                <w:i/>
                <w:sz w:val="22"/>
              </w:rPr>
              <w:t>values</w:t>
            </w:r>
          </w:p>
        </w:tc>
        <w:tc>
          <w:tcPr>
            <w:tcW w:w="1800" w:type="dxa"/>
          </w:tcPr>
          <w:p>
            <w:pPr>
              <w:pStyle w:val="TableParagraph"/>
              <w:ind w:left="112"/>
              <w:rPr>
                <w:sz w:val="22"/>
              </w:rPr>
            </w:pPr>
            <w:r>
              <w:rPr>
                <w:sz w:val="22"/>
              </w:rPr>
              <w:t>array, reference</w:t>
            </w:r>
          </w:p>
        </w:tc>
        <w:tc>
          <w:tcPr>
            <w:tcW w:w="5400" w:type="dxa"/>
          </w:tcPr>
          <w:p>
            <w:pPr>
              <w:pStyle w:val="TableParagraph"/>
              <w:ind w:left="113" w:right="176"/>
              <w:rPr>
                <w:sz w:val="22"/>
              </w:rPr>
            </w:pPr>
            <w:r>
              <w:rPr>
                <w:sz w:val="22"/>
              </w:rPr>
              <w:t>Designates a set of numbers for which the rate of return is to be calculated. </w:t>
            </w:r>
            <w:r>
              <w:rPr>
                <w:rFonts w:ascii="Times New Roman"/>
                <w:i/>
                <w:sz w:val="22"/>
              </w:rPr>
              <w:t>values </w:t>
            </w:r>
            <w:r>
              <w:rPr>
                <w:sz w:val="22"/>
              </w:rPr>
              <w:t>shall contain at least one positive value and one negative value to calculate the internal rate of return. The order of numbers in </w:t>
            </w:r>
            <w:r>
              <w:rPr>
                <w:rFonts w:ascii="Times New Roman"/>
                <w:i/>
                <w:sz w:val="22"/>
              </w:rPr>
              <w:t>values </w:t>
            </w:r>
            <w:r>
              <w:rPr>
                <w:sz w:val="22"/>
              </w:rPr>
              <w:t>is significant, so be sure payment and income numbers are in the desired sequence. If </w:t>
            </w:r>
            <w:r>
              <w:rPr>
                <w:rFonts w:ascii="Times New Roman"/>
                <w:i/>
                <w:sz w:val="22"/>
              </w:rPr>
              <w:t>values </w:t>
            </w:r>
            <w:r>
              <w:rPr>
                <w:sz w:val="22"/>
              </w:rPr>
              <w:t>contains elements that are text, logical values, or empty cells, those elements are ignored.</w:t>
            </w:r>
          </w:p>
        </w:tc>
      </w:tr>
      <w:tr>
        <w:trPr>
          <w:trHeight w:val="621" w:hRule="atLeast"/>
        </w:trPr>
        <w:tc>
          <w:tcPr>
            <w:tcW w:w="1466" w:type="dxa"/>
          </w:tcPr>
          <w:p>
            <w:pPr>
              <w:pStyle w:val="TableParagraph"/>
              <w:spacing w:before="37"/>
              <w:rPr>
                <w:rFonts w:ascii="Times New Roman"/>
                <w:i/>
                <w:sz w:val="22"/>
              </w:rPr>
            </w:pPr>
            <w:r>
              <w:rPr>
                <w:rFonts w:ascii="Times New Roman"/>
                <w:i/>
                <w:sz w:val="22"/>
              </w:rPr>
              <w:t>finance-rate</w:t>
            </w:r>
          </w:p>
        </w:tc>
        <w:tc>
          <w:tcPr>
            <w:tcW w:w="1800" w:type="dxa"/>
          </w:tcPr>
          <w:p>
            <w:pPr>
              <w:pStyle w:val="TableParagraph"/>
              <w:ind w:left="112"/>
              <w:rPr>
                <w:sz w:val="22"/>
              </w:rPr>
            </w:pPr>
            <w:r>
              <w:rPr>
                <w:sz w:val="22"/>
              </w:rPr>
              <w:t>number</w:t>
            </w:r>
          </w:p>
        </w:tc>
        <w:tc>
          <w:tcPr>
            <w:tcW w:w="5400" w:type="dxa"/>
          </w:tcPr>
          <w:p>
            <w:pPr>
              <w:pStyle w:val="TableParagraph"/>
              <w:ind w:left="113" w:right="171"/>
              <w:rPr>
                <w:sz w:val="22"/>
              </w:rPr>
            </w:pPr>
            <w:r>
              <w:rPr>
                <w:sz w:val="22"/>
              </w:rPr>
              <w:t>The interest rate paid pay on the money used in the cash flows.</w:t>
            </w:r>
          </w:p>
        </w:tc>
      </w:tr>
      <w:tr>
        <w:trPr>
          <w:trHeight w:val="623" w:hRule="atLeast"/>
        </w:trPr>
        <w:tc>
          <w:tcPr>
            <w:tcW w:w="1466" w:type="dxa"/>
          </w:tcPr>
          <w:p>
            <w:pPr>
              <w:pStyle w:val="TableParagraph"/>
              <w:spacing w:before="39"/>
              <w:rPr>
                <w:rFonts w:ascii="Times New Roman"/>
                <w:i/>
                <w:sz w:val="22"/>
              </w:rPr>
            </w:pPr>
            <w:r>
              <w:rPr>
                <w:rFonts w:ascii="Times New Roman"/>
                <w:i/>
                <w:sz w:val="22"/>
              </w:rPr>
              <w:t>reinvest-rate</w:t>
            </w:r>
          </w:p>
        </w:tc>
        <w:tc>
          <w:tcPr>
            <w:tcW w:w="1800" w:type="dxa"/>
          </w:tcPr>
          <w:p>
            <w:pPr>
              <w:pStyle w:val="TableParagraph"/>
              <w:spacing w:before="42"/>
              <w:ind w:left="112"/>
              <w:rPr>
                <w:sz w:val="22"/>
              </w:rPr>
            </w:pPr>
            <w:r>
              <w:rPr>
                <w:sz w:val="22"/>
              </w:rPr>
              <w:t>number</w:t>
            </w:r>
          </w:p>
        </w:tc>
        <w:tc>
          <w:tcPr>
            <w:tcW w:w="5400" w:type="dxa"/>
          </w:tcPr>
          <w:p>
            <w:pPr>
              <w:pStyle w:val="TableParagraph"/>
              <w:spacing w:line="237" w:lineRule="auto" w:before="44"/>
              <w:ind w:left="113" w:right="314"/>
              <w:rPr>
                <w:sz w:val="22"/>
              </w:rPr>
            </w:pPr>
            <w:r>
              <w:rPr>
                <w:sz w:val="22"/>
              </w:rPr>
              <w:t>The interest rate received on the cash flows as they are reinvested.</w:t>
            </w:r>
          </w:p>
        </w:tc>
      </w:tr>
    </w:tbl>
    <w:p>
      <w:pPr>
        <w:pStyle w:val="BodyText"/>
      </w:pPr>
    </w:p>
    <w:p>
      <w:pPr>
        <w:pStyle w:val="BodyText"/>
        <w:spacing w:before="7"/>
        <w:rPr>
          <w:sz w:val="19"/>
        </w:rPr>
      </w:pPr>
    </w:p>
    <w:p>
      <w:pPr>
        <w:pStyle w:val="BodyText"/>
        <w:spacing w:line="453" w:lineRule="auto"/>
        <w:ind w:left="220" w:right="503"/>
      </w:pPr>
      <w:r>
        <w:rPr/>
        <w:t>Return Type and Value: number – The modified internal rate of return for a series of periodic cash flows. However, if </w:t>
      </w:r>
      <w:r>
        <w:rPr>
          <w:rFonts w:ascii="Times New Roman" w:hAnsi="Times New Roman"/>
          <w:i/>
        </w:rPr>
        <w:t>values </w:t>
      </w:r>
      <w:r>
        <w:rPr/>
        <w:t>does </w:t>
      </w:r>
      <w:r>
        <w:rPr>
          <w:spacing w:val="-2"/>
        </w:rPr>
        <w:t>not </w:t>
      </w:r>
      <w:r>
        <w:rPr/>
        <w:t>contain at least one positive value and one negative value, </w:t>
      </w:r>
      <w:r>
        <w:rPr>
          <w:rFonts w:ascii="Consolas" w:hAnsi="Consolas"/>
        </w:rPr>
        <w:t>#DIV/0!</w:t>
      </w:r>
      <w:r>
        <w:rPr>
          <w:rFonts w:ascii="Consolas" w:hAnsi="Consolas"/>
          <w:spacing w:val="-103"/>
        </w:rPr>
        <w:t> </w:t>
      </w:r>
      <w:r>
        <w:rPr/>
        <w:t>is returned. [</w:t>
      </w:r>
      <w:r>
        <w:rPr>
          <w:i/>
        </w:rPr>
        <w:t>Example</w:t>
      </w:r>
      <w:r>
        <w:rPr/>
        <w:t>:</w:t>
      </w:r>
    </w:p>
    <w:p>
      <w:pPr>
        <w:pStyle w:val="BodyText"/>
        <w:spacing w:line="276" w:lineRule="auto" w:before="112"/>
        <w:ind w:left="220" w:right="1972"/>
        <w:rPr>
          <w:rFonts w:ascii="Consolas"/>
        </w:rPr>
      </w:pPr>
      <w:r>
        <w:rPr>
          <w:rFonts w:ascii="Consolas"/>
        </w:rPr>
        <w:t>MIRR({-120000,39000,30000,21000,37000,46000},0.1,0.12)</w:t>
      </w:r>
      <w:r>
        <w:rPr>
          <w:rFonts w:ascii="Consolas"/>
          <w:spacing w:val="-80"/>
        </w:rPr>
        <w:t> </w:t>
      </w:r>
      <w:r>
        <w:rPr/>
        <w:t>results in </w:t>
      </w:r>
      <w:r>
        <w:rPr>
          <w:rFonts w:ascii="Consolas"/>
        </w:rPr>
        <w:t>12.6094% MIRR({-120000,39000,30000,21000},0.1,0.12) </w:t>
      </w:r>
      <w:r>
        <w:rPr/>
        <w:t>results in </w:t>
      </w:r>
      <w:r>
        <w:rPr>
          <w:rFonts w:ascii="Consolas"/>
        </w:rPr>
        <w:t>-4.8045%</w:t>
      </w:r>
    </w:p>
    <w:p>
      <w:pPr>
        <w:pStyle w:val="BodyText"/>
        <w:spacing w:line="268" w:lineRule="exact"/>
        <w:ind w:left="220"/>
        <w:rPr>
          <w:rFonts w:ascii="Consolas"/>
        </w:rPr>
      </w:pPr>
      <w:r>
        <w:rPr>
          <w:rFonts w:ascii="Consolas"/>
        </w:rPr>
        <w:t>MIRR({-120000,39000,30000,21000,37000,46000},0.1,0.14) </w:t>
      </w:r>
      <w:r>
        <w:rPr/>
        <w:t>results in </w:t>
      </w:r>
      <w:r>
        <w:rPr>
          <w:rFonts w:ascii="Consolas"/>
        </w:rPr>
        <w:t>13.4759%</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7 MMULT" w:id="2043"/>
      <w:bookmarkEnd w:id="2043"/>
      <w:r>
        <w:rPr/>
      </w:r>
      <w:bookmarkStart w:name="_bookmark680" w:id="2044"/>
      <w:bookmarkEnd w:id="2044"/>
      <w:r>
        <w:rPr/>
      </w:r>
      <w:bookmarkStart w:name="_bookmark680" w:id="2045"/>
      <w:bookmarkEnd w:id="2045"/>
      <w:r>
        <w:rPr>
          <w:color w:val="4F81BC"/>
        </w:rPr>
        <w:t>MMULT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MMULT ( </w:t>
      </w:r>
      <w:r>
        <w:rPr>
          <w:i/>
          <w:sz w:val="22"/>
        </w:rPr>
        <w:t>array-1 </w:t>
      </w:r>
      <w:r>
        <w:rPr>
          <w:rFonts w:ascii="Lucida Console"/>
          <w:sz w:val="20"/>
        </w:rPr>
        <w:t>, </w:t>
      </w:r>
      <w:r>
        <w:rPr>
          <w:i/>
          <w:sz w:val="22"/>
        </w:rPr>
        <w:t>array-2 </w:t>
      </w:r>
      <w:r>
        <w:rPr>
          <w:rFonts w:ascii="Lucida Console"/>
          <w:sz w:val="20"/>
        </w:rPr>
        <w:t>)</w:t>
      </w:r>
    </w:p>
    <w:p>
      <w:pPr>
        <w:spacing w:before="108"/>
        <w:ind w:left="220" w:right="0" w:firstLine="0"/>
        <w:jc w:val="left"/>
        <w:rPr>
          <w:sz w:val="22"/>
        </w:rPr>
      </w:pPr>
      <w:r>
        <w:rPr>
          <w:b/>
          <w:sz w:val="22"/>
        </w:rPr>
        <w:t>Description: </w:t>
      </w:r>
      <w:r>
        <w:rPr>
          <w:sz w:val="22"/>
        </w:rPr>
        <w:t>Computes the product of the matrices of numbers designated by </w:t>
      </w:r>
      <w:r>
        <w:rPr>
          <w:rFonts w:ascii="Times New Roman"/>
          <w:i/>
          <w:sz w:val="22"/>
        </w:rPr>
        <w:t>array-1 </w:t>
      </w:r>
      <w:r>
        <w:rPr>
          <w:sz w:val="22"/>
        </w:rPr>
        <w:t>and </w:t>
      </w:r>
      <w:r>
        <w:rPr>
          <w:rFonts w:ascii="Times New Roman"/>
          <w:i/>
          <w:sz w:val="22"/>
        </w:rPr>
        <w:t>array-2</w:t>
      </w:r>
      <w:r>
        <w:rPr>
          <w:sz w:val="22"/>
        </w:rPr>
        <w:t>.</w:t>
      </w:r>
    </w:p>
    <w:p>
      <w:pPr>
        <w:pStyle w:val="BodyText"/>
        <w:spacing w:before="8"/>
        <w:rPr>
          <w:sz w:val="19"/>
        </w:rPr>
      </w:pPr>
    </w:p>
    <w:p>
      <w:pPr>
        <w:pStyle w:val="Heading4"/>
        <w:spacing w:before="1"/>
        <w:rPr>
          <w:b w:val="0"/>
        </w:rPr>
      </w:pPr>
      <w:r>
        <w:rPr/>
        <w:t>Mathematical Formula</w:t>
      </w:r>
      <w:r>
        <w:rPr>
          <w:b w:val="0"/>
        </w:rPr>
        <w:t>:</w:t>
      </w:r>
    </w:p>
    <w:p>
      <w:pPr>
        <w:pStyle w:val="BodyText"/>
        <w:spacing w:before="8"/>
        <w:rPr>
          <w:sz w:val="19"/>
        </w:rPr>
      </w:pPr>
    </w:p>
    <w:p>
      <w:pPr>
        <w:pStyle w:val="BodyText"/>
        <w:ind w:left="220"/>
      </w:pPr>
      <w:r>
        <w:rPr/>
        <w:t>The matrix product array </w:t>
      </w:r>
      <w:r>
        <w:rPr>
          <w:rFonts w:ascii="Times New Roman"/>
          <w:i/>
        </w:rPr>
        <w:t>a </w:t>
      </w:r>
      <w:r>
        <w:rPr/>
        <w:t>of two arrays </w:t>
      </w:r>
      <w:r>
        <w:rPr>
          <w:rFonts w:ascii="Times New Roman"/>
          <w:i/>
        </w:rPr>
        <w:t>b </w:t>
      </w:r>
      <w:r>
        <w:rPr/>
        <w:t>and </w:t>
      </w:r>
      <w:r>
        <w:rPr>
          <w:rFonts w:ascii="Times New Roman"/>
          <w:i/>
        </w:rPr>
        <w:t>c </w:t>
      </w:r>
      <w:r>
        <w:rPr/>
        <w:t>is:</w:t>
      </w:r>
    </w:p>
    <w:p>
      <w:pPr>
        <w:spacing w:after="0"/>
        <w:sectPr>
          <w:pgSz w:w="12240" w:h="15840"/>
          <w:pgMar w:header="761" w:footer="746" w:top="1340" w:bottom="940" w:left="860" w:right="700"/>
        </w:sectPr>
      </w:pPr>
    </w:p>
    <w:p>
      <w:pPr>
        <w:spacing w:before="109"/>
        <w:ind w:left="165" w:right="8987" w:firstLine="0"/>
        <w:jc w:val="center"/>
        <w:rPr>
          <w:rFonts w:ascii="Cambria Math" w:eastAsia="Cambria Math"/>
          <w:sz w:val="16"/>
        </w:rPr>
      </w:pPr>
      <w:r>
        <w:rPr>
          <w:rFonts w:ascii="Cambria Math" w:eastAsia="Cambria Math"/>
          <w:w w:val="115"/>
          <w:sz w:val="16"/>
        </w:rPr>
        <w:t>𝑛</w:t>
      </w:r>
    </w:p>
    <w:p>
      <w:pPr>
        <w:spacing w:before="80"/>
        <w:ind w:left="165" w:right="8914" w:firstLine="0"/>
        <w:jc w:val="center"/>
        <w:rPr>
          <w:rFonts w:ascii="Cambria Math" w:hAnsi="Cambria Math" w:eastAsia="Cambria Math"/>
          <w:sz w:val="16"/>
        </w:rPr>
      </w:pPr>
      <w:r>
        <w:rPr>
          <w:rFonts w:ascii="Cambria Math" w:hAnsi="Cambria Math" w:eastAsia="Cambria Math"/>
          <w:w w:val="120"/>
          <w:position w:val="5"/>
          <w:sz w:val="22"/>
        </w:rPr>
        <w:t>𝑎</w:t>
      </w:r>
      <w:r>
        <w:rPr>
          <w:rFonts w:ascii="Cambria Math" w:hAnsi="Cambria Math" w:eastAsia="Cambria Math"/>
          <w:w w:val="120"/>
          <w:sz w:val="16"/>
        </w:rPr>
        <w:t>𝑖𝑗 </w:t>
      </w:r>
      <w:r>
        <w:rPr>
          <w:rFonts w:ascii="Cambria Math" w:hAnsi="Cambria Math" w:eastAsia="Cambria Math"/>
          <w:w w:val="120"/>
          <w:position w:val="5"/>
          <w:sz w:val="22"/>
        </w:rPr>
        <w:t>= </w:t>
      </w:r>
      <w:r>
        <w:rPr>
          <w:rFonts w:ascii="Cambria Math" w:hAnsi="Cambria Math" w:eastAsia="Cambria Math"/>
          <w:w w:val="165"/>
          <w:position w:val="5"/>
          <w:sz w:val="22"/>
        </w:rPr>
        <w:t>∑ </w:t>
      </w:r>
      <w:r>
        <w:rPr>
          <w:rFonts w:ascii="Cambria Math" w:hAnsi="Cambria Math" w:eastAsia="Cambria Math"/>
          <w:w w:val="120"/>
          <w:position w:val="5"/>
          <w:sz w:val="22"/>
        </w:rPr>
        <w:t>𝑏</w:t>
      </w:r>
      <w:r>
        <w:rPr>
          <w:rFonts w:ascii="Cambria Math" w:hAnsi="Cambria Math" w:eastAsia="Cambria Math"/>
          <w:w w:val="120"/>
          <w:sz w:val="16"/>
        </w:rPr>
        <w:t>𝑖𝑘 </w:t>
      </w:r>
      <w:r>
        <w:rPr>
          <w:rFonts w:ascii="Cambria Math" w:hAnsi="Cambria Math" w:eastAsia="Cambria Math"/>
          <w:w w:val="120"/>
          <w:position w:val="5"/>
          <w:sz w:val="22"/>
        </w:rPr>
        <w:t>𝑐</w:t>
      </w:r>
      <w:r>
        <w:rPr>
          <w:rFonts w:ascii="Cambria Math" w:hAnsi="Cambria Math" w:eastAsia="Cambria Math"/>
          <w:w w:val="120"/>
          <w:sz w:val="16"/>
        </w:rPr>
        <w:t>𝑘𝑗</w:t>
      </w:r>
    </w:p>
    <w:p>
      <w:pPr>
        <w:spacing w:before="50"/>
        <w:ind w:left="165" w:right="8979" w:firstLine="0"/>
        <w:jc w:val="center"/>
        <w:rPr>
          <w:rFonts w:ascii="Cambria Math" w:eastAsia="Cambria Math"/>
          <w:sz w:val="16"/>
        </w:rPr>
      </w:pPr>
      <w:r>
        <w:rPr>
          <w:rFonts w:ascii="Cambria Math" w:eastAsia="Cambria Math"/>
          <w:w w:val="105"/>
          <w:sz w:val="16"/>
        </w:rPr>
        <w:t>𝑘=1</w:t>
      </w:r>
    </w:p>
    <w:p>
      <w:pPr>
        <w:pStyle w:val="BodyText"/>
        <w:spacing w:before="5"/>
        <w:rPr>
          <w:rFonts w:ascii="Cambria Math"/>
          <w:sz w:val="12"/>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Cambria Math" w:hAnsi="Cambria Math"/>
          <w:sz w:val="22"/>
        </w:rPr>
        <w:t>b</w:t>
      </w:r>
      <w:r>
        <w:rPr>
          <w:rFonts w:ascii="Cambria Math" w:hAnsi="Cambria Math"/>
          <w:position w:val="-4"/>
          <w:sz w:val="16"/>
        </w:rPr>
        <w:t>ik  </w:t>
      </w:r>
      <w:r>
        <w:rPr>
          <w:sz w:val="22"/>
        </w:rPr>
        <w:t>= the element in the i-th row and k-th column in argument</w:t>
      </w:r>
      <w:r>
        <w:rPr>
          <w:spacing w:val="-8"/>
          <w:sz w:val="22"/>
        </w:rPr>
        <w:t> </w:t>
      </w:r>
      <w:r>
        <w:rPr>
          <w:rFonts w:ascii="Times New Roman" w:hAnsi="Times New Roman"/>
          <w:i/>
          <w:sz w:val="22"/>
        </w:rPr>
        <w:t>array-1</w:t>
      </w:r>
    </w:p>
    <w:p>
      <w:pPr>
        <w:pStyle w:val="ListParagraph"/>
        <w:numPr>
          <w:ilvl w:val="4"/>
          <w:numId w:val="66"/>
        </w:numPr>
        <w:tabs>
          <w:tab w:pos="940" w:val="left" w:leader="none"/>
          <w:tab w:pos="941" w:val="left" w:leader="none"/>
        </w:tabs>
        <w:spacing w:line="240" w:lineRule="auto" w:before="13" w:after="0"/>
        <w:ind w:left="940" w:right="0" w:hanging="361"/>
        <w:jc w:val="left"/>
        <w:rPr>
          <w:rFonts w:ascii="Times New Roman" w:hAnsi="Times New Roman"/>
          <w:i/>
          <w:sz w:val="22"/>
        </w:rPr>
      </w:pPr>
      <w:r>
        <w:rPr>
          <w:rFonts w:ascii="Cambria Math" w:hAnsi="Cambria Math"/>
          <w:sz w:val="22"/>
        </w:rPr>
        <w:t>c</w:t>
      </w:r>
      <w:r>
        <w:rPr>
          <w:rFonts w:ascii="Cambria Math" w:hAnsi="Cambria Math"/>
          <w:position w:val="-4"/>
          <w:sz w:val="16"/>
        </w:rPr>
        <w:t>kj  </w:t>
      </w:r>
      <w:r>
        <w:rPr>
          <w:sz w:val="22"/>
        </w:rPr>
        <w:t>= the element in the k-th row and j-th column in argument</w:t>
      </w:r>
      <w:r>
        <w:rPr>
          <w:spacing w:val="-9"/>
          <w:sz w:val="22"/>
        </w:rPr>
        <w:t> </w:t>
      </w:r>
      <w:r>
        <w:rPr>
          <w:rFonts w:ascii="Times New Roman" w:hAnsi="Times New Roman"/>
          <w:i/>
          <w:sz w:val="22"/>
        </w:rPr>
        <w:t>array-2</w:t>
      </w:r>
    </w:p>
    <w:p>
      <w:pPr>
        <w:pStyle w:val="ListParagraph"/>
        <w:numPr>
          <w:ilvl w:val="4"/>
          <w:numId w:val="66"/>
        </w:numPr>
        <w:tabs>
          <w:tab w:pos="940" w:val="left" w:leader="none"/>
          <w:tab w:pos="941" w:val="left" w:leader="none"/>
        </w:tabs>
        <w:spacing w:line="240" w:lineRule="auto" w:before="36" w:after="0"/>
        <w:ind w:left="940" w:right="0" w:hanging="361"/>
        <w:jc w:val="left"/>
        <w:rPr>
          <w:sz w:val="22"/>
        </w:rPr>
      </w:pPr>
      <w:r>
        <w:rPr>
          <w:rFonts w:ascii="Times New Roman" w:hAnsi="Times New Roman"/>
          <w:i/>
          <w:sz w:val="22"/>
        </w:rPr>
        <w:t>i </w:t>
      </w:r>
      <w:r>
        <w:rPr>
          <w:sz w:val="22"/>
        </w:rPr>
        <w:t>= the row</w:t>
      </w:r>
      <w:r>
        <w:rPr>
          <w:spacing w:val="-8"/>
          <w:sz w:val="22"/>
        </w:rPr>
        <w:t> </w:t>
      </w:r>
      <w:r>
        <w:rPr>
          <w:sz w:val="22"/>
        </w:rPr>
        <w:t>number</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j </w:t>
      </w:r>
      <w:r>
        <w:rPr>
          <w:sz w:val="22"/>
        </w:rPr>
        <w:t>= the column</w:t>
      </w:r>
      <w:r>
        <w:rPr>
          <w:spacing w:val="-7"/>
          <w:sz w:val="22"/>
        </w:rPr>
        <w:t> </w:t>
      </w:r>
      <w:r>
        <w:rPr>
          <w:sz w:val="22"/>
        </w:rPr>
        <w:t>number</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38"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vMerge w:val="restart"/>
          </w:tcPr>
          <w:p>
            <w:pPr>
              <w:pStyle w:val="TableParagraph"/>
              <w:ind w:left="112" w:right="167"/>
              <w:rPr>
                <w:sz w:val="22"/>
              </w:rPr>
            </w:pPr>
            <w:r>
              <w:rPr>
                <w:sz w:val="22"/>
              </w:rPr>
              <w:t>array, reference, name</w:t>
            </w:r>
          </w:p>
        </w:tc>
        <w:tc>
          <w:tcPr>
            <w:tcW w:w="5400" w:type="dxa"/>
            <w:vMerge w:val="restart"/>
          </w:tcPr>
          <w:p>
            <w:pPr>
              <w:pStyle w:val="TableParagraph"/>
              <w:ind w:left="113"/>
              <w:rPr>
                <w:sz w:val="22"/>
              </w:rPr>
            </w:pPr>
            <w:r>
              <w:rPr>
                <w:sz w:val="22"/>
              </w:rPr>
              <w:t>Designate the matrices of numbers to be multiplied.</w:t>
            </w:r>
          </w:p>
        </w:tc>
      </w:tr>
      <w:tr>
        <w:trPr>
          <w:trHeight w:val="340" w:hRule="atLeast"/>
        </w:trPr>
        <w:tc>
          <w:tcPr>
            <w:tcW w:w="1466" w:type="dxa"/>
          </w:tcPr>
          <w:p>
            <w:pPr>
              <w:pStyle w:val="TableParagraph"/>
              <w:spacing w:before="37"/>
              <w:rPr>
                <w:rFonts w:ascii="Times New Roman"/>
                <w:i/>
                <w:sz w:val="22"/>
              </w:rPr>
            </w:pPr>
            <w:r>
              <w:rPr>
                <w:rFonts w:ascii="Times New Roman"/>
                <w:i/>
                <w:sz w:val="22"/>
              </w:rPr>
              <w:t>array-2</w:t>
            </w:r>
          </w:p>
        </w:tc>
        <w:tc>
          <w:tcPr>
            <w:tcW w:w="1800" w:type="dxa"/>
            <w:vMerge/>
            <w:tcBorders>
              <w:top w:val="nil"/>
            </w:tcBorders>
          </w:tcPr>
          <w:p>
            <w:pPr>
              <w:rPr>
                <w:sz w:val="2"/>
                <w:szCs w:val="2"/>
              </w:rPr>
            </w:pPr>
          </w:p>
        </w:tc>
        <w:tc>
          <w:tcPr>
            <w:tcW w:w="5400" w:type="dxa"/>
            <w:vMerge/>
            <w:tcBorders>
              <w:top w:val="nil"/>
            </w:tcBorders>
          </w:tcPr>
          <w:p>
            <w:pPr>
              <w:rPr>
                <w:sz w:val="2"/>
                <w:szCs w:val="2"/>
              </w:rPr>
            </w:pPr>
          </w:p>
        </w:tc>
      </w:tr>
    </w:tbl>
    <w:p>
      <w:pPr>
        <w:pStyle w:val="BodyText"/>
        <w:rPr>
          <w:b/>
        </w:rPr>
      </w:pPr>
    </w:p>
    <w:p>
      <w:pPr>
        <w:pStyle w:val="BodyText"/>
        <w:spacing w:before="7"/>
        <w:rPr>
          <w:b/>
          <w:sz w:val="19"/>
        </w:rPr>
      </w:pPr>
    </w:p>
    <w:p>
      <w:pPr>
        <w:spacing w:line="453" w:lineRule="auto" w:before="0"/>
        <w:ind w:left="220" w:right="571" w:firstLine="0"/>
        <w:jc w:val="left"/>
        <w:rPr>
          <w:sz w:val="22"/>
        </w:rPr>
      </w:pPr>
      <w:r>
        <w:rPr>
          <w:b/>
          <w:sz w:val="22"/>
        </w:rPr>
        <w:t>Return Type and Value: </w:t>
      </w:r>
      <w:r>
        <w:rPr>
          <w:sz w:val="22"/>
        </w:rPr>
        <w:t>number – The product of the matrices of numbers designated by </w:t>
      </w:r>
      <w:r>
        <w:rPr>
          <w:rFonts w:ascii="Times New Roman" w:hAnsi="Times New Roman"/>
          <w:i/>
          <w:sz w:val="22"/>
        </w:rPr>
        <w:t>array-1 </w:t>
      </w:r>
      <w:r>
        <w:rPr>
          <w:sz w:val="22"/>
        </w:rPr>
        <w:t>and </w:t>
      </w:r>
      <w:r>
        <w:rPr>
          <w:rFonts w:ascii="Times New Roman" w:hAnsi="Times New Roman"/>
          <w:i/>
          <w:sz w:val="22"/>
        </w:rPr>
        <w:t>array-2</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Any cells in </w:t>
      </w:r>
      <w:r>
        <w:rPr>
          <w:rFonts w:ascii="Times New Roman" w:hAnsi="Times New Roman"/>
          <w:i/>
          <w:sz w:val="22"/>
        </w:rPr>
        <w:t>array-1 </w:t>
      </w:r>
      <w:r>
        <w:rPr>
          <w:sz w:val="22"/>
        </w:rPr>
        <w:t>or </w:t>
      </w:r>
      <w:r>
        <w:rPr>
          <w:rFonts w:ascii="Times New Roman" w:hAnsi="Times New Roman"/>
          <w:i/>
          <w:sz w:val="22"/>
        </w:rPr>
        <w:t>array-2 </w:t>
      </w:r>
      <w:r>
        <w:rPr>
          <w:sz w:val="22"/>
        </w:rPr>
        <w:t>are empty or contain text, the return value is</w:t>
      </w:r>
      <w:r>
        <w:rPr>
          <w:spacing w:val="-25"/>
          <w:sz w:val="22"/>
        </w:rPr>
        <w:t> </w:t>
      </w:r>
      <w:r>
        <w:rPr>
          <w:sz w:val="22"/>
        </w:rPr>
        <w:t>unspecified.</w:t>
      </w:r>
    </w:p>
    <w:p>
      <w:pPr>
        <w:pStyle w:val="ListParagraph"/>
        <w:numPr>
          <w:ilvl w:val="4"/>
          <w:numId w:val="66"/>
        </w:numPr>
        <w:tabs>
          <w:tab w:pos="940" w:val="left" w:leader="none"/>
          <w:tab w:pos="941" w:val="left" w:leader="none"/>
        </w:tabs>
        <w:spacing w:line="276" w:lineRule="auto" w:before="41" w:after="0"/>
        <w:ind w:left="940" w:right="1263" w:hanging="360"/>
        <w:jc w:val="left"/>
        <w:rPr>
          <w:sz w:val="22"/>
        </w:rPr>
      </w:pPr>
      <w:r>
        <w:rPr>
          <w:sz w:val="22"/>
        </w:rPr>
        <w:t>The number of columns in </w:t>
      </w:r>
      <w:r>
        <w:rPr>
          <w:rFonts w:ascii="Times New Roman" w:hAnsi="Times New Roman"/>
          <w:i/>
          <w:sz w:val="22"/>
        </w:rPr>
        <w:t>array-1 </w:t>
      </w:r>
      <w:r>
        <w:rPr>
          <w:sz w:val="22"/>
        </w:rPr>
        <w:t>is different from the number of rows in </w:t>
      </w:r>
      <w:r>
        <w:rPr>
          <w:rFonts w:ascii="Times New Roman" w:hAnsi="Times New Roman"/>
          <w:i/>
          <w:sz w:val="22"/>
        </w:rPr>
        <w:t>array-2</w:t>
      </w:r>
      <w:r>
        <w:rPr>
          <w:sz w:val="22"/>
        </w:rPr>
        <w:t>, </w:t>
      </w:r>
      <w:r>
        <w:rPr>
          <w:rFonts w:ascii="Consolas" w:hAnsi="Consolas"/>
          <w:sz w:val="22"/>
        </w:rPr>
        <w:t>#VALUE!</w:t>
      </w:r>
      <w:r>
        <w:rPr>
          <w:rFonts w:ascii="Consolas" w:hAnsi="Consolas"/>
          <w:spacing w:val="-106"/>
          <w:sz w:val="22"/>
        </w:rPr>
        <w:t> </w:t>
      </w:r>
      <w:r>
        <w:rPr>
          <w:sz w:val="22"/>
        </w:rPr>
        <w:t>is returned.</w:t>
      </w:r>
    </w:p>
    <w:p>
      <w:pPr>
        <w:pStyle w:val="BodyText"/>
        <w:spacing w:before="3"/>
        <w:rPr>
          <w:sz w:val="16"/>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rFonts w:ascii="Consolas"/>
        </w:rPr>
        <w:t>MMULT({3,6,1;1,1,0},{5,7;4,6;2,5})</w:t>
      </w:r>
      <w:r>
        <w:rPr>
          <w:rFonts w:ascii="Consolas"/>
          <w:spacing w:val="-69"/>
        </w:rPr>
        <w:t> </w:t>
      </w:r>
      <w:r>
        <w:rPr/>
        <w:t>results in </w:t>
      </w:r>
      <w:r>
        <w:rPr>
          <w:rFonts w:ascii="Consolas"/>
        </w:rPr>
        <w:t>41</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8 MOD" w:id="2046"/>
      <w:bookmarkEnd w:id="2046"/>
      <w:r>
        <w:rPr/>
      </w:r>
      <w:bookmarkStart w:name="_bookmark681" w:id="2047"/>
      <w:bookmarkEnd w:id="2047"/>
      <w:r>
        <w:rPr/>
      </w:r>
      <w:bookmarkStart w:name="_bookmark681" w:id="2048"/>
      <w:bookmarkEnd w:id="2048"/>
      <w:r>
        <w:rPr>
          <w:color w:val="4F81BC"/>
        </w:rPr>
        <w:t>M</w:t>
      </w:r>
      <w:r>
        <w:rPr>
          <w:color w:val="4F81BC"/>
        </w:rPr>
        <w:t>OD</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MOD ( </w:t>
      </w:r>
      <w:r>
        <w:rPr>
          <w:i/>
          <w:sz w:val="22"/>
        </w:rPr>
        <w:t>x </w:t>
      </w:r>
      <w:r>
        <w:rPr>
          <w:rFonts w:ascii="Lucida Console"/>
          <w:sz w:val="20"/>
        </w:rPr>
        <w:t>, </w:t>
      </w:r>
      <w:r>
        <w:rPr>
          <w:i/>
          <w:sz w:val="22"/>
        </w:rPr>
        <w:t>y </w:t>
      </w:r>
      <w:r>
        <w:rPr>
          <w:rFonts w:ascii="Lucida Console"/>
          <w:sz w:val="20"/>
        </w:rPr>
        <w:t>)</w:t>
      </w:r>
    </w:p>
    <w:p>
      <w:pPr>
        <w:pStyle w:val="BodyText"/>
        <w:spacing w:before="109"/>
        <w:ind w:left="220"/>
        <w:rPr>
          <w:rFonts w:ascii="Times New Roman"/>
          <w:i/>
        </w:rPr>
      </w:pPr>
      <w:r>
        <w:rPr>
          <w:b/>
        </w:rPr>
        <w:t>Description: </w:t>
      </w:r>
      <w:r>
        <w:rPr/>
        <w:t>Computes the remainder when </w:t>
      </w:r>
      <w:r>
        <w:rPr>
          <w:rFonts w:ascii="Times New Roman"/>
          <w:i/>
        </w:rPr>
        <w:t>x </w:t>
      </w:r>
      <w:r>
        <w:rPr/>
        <w:t>is divided by </w:t>
      </w:r>
      <w:r>
        <w:rPr>
          <w:rFonts w:ascii="Times New Roman"/>
          <w:i/>
        </w:rPr>
        <w:t>y</w:t>
      </w:r>
      <w:r>
        <w:rPr/>
        <w:t>. The result has the same sign as </w:t>
      </w:r>
      <w:r>
        <w:rPr>
          <w:rFonts w:ascii="Times New Roman"/>
          <w:i/>
        </w:rPr>
        <w:t>y.</w:t>
      </w:r>
    </w:p>
    <w:p>
      <w:pPr>
        <w:pStyle w:val="BodyText"/>
        <w:spacing w:before="10"/>
        <w:rPr>
          <w:rFonts w:ascii="Times New Roman"/>
          <w:i/>
          <w:sz w:val="20"/>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for which the remainder is being sought.</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by which </w:t>
            </w:r>
            <w:r>
              <w:rPr>
                <w:rFonts w:ascii="Times New Roman"/>
                <w:i/>
                <w:sz w:val="22"/>
              </w:rPr>
              <w:t>x </w:t>
            </w:r>
            <w:r>
              <w:rPr>
                <w:sz w:val="22"/>
              </w:rPr>
              <w:t>is to be divided.</w:t>
            </w:r>
          </w:p>
        </w:tc>
      </w:tr>
    </w:tbl>
    <w:p>
      <w:pPr>
        <w:spacing w:after="0"/>
        <w:rPr>
          <w:sz w:val="22"/>
        </w:rPr>
        <w:sectPr>
          <w:pgSz w:w="12240" w:h="15840"/>
          <w:pgMar w:header="763" w:footer="746" w:top="1340" w:bottom="940" w:left="860" w:right="700"/>
        </w:sectPr>
      </w:pPr>
    </w:p>
    <w:p>
      <w:pPr>
        <w:spacing w:before="90"/>
        <w:ind w:left="220" w:right="0" w:firstLine="0"/>
        <w:jc w:val="left"/>
        <w:rPr>
          <w:rFonts w:ascii="Times New Roman" w:hAnsi="Times New Roman"/>
          <w:i/>
          <w:sz w:val="22"/>
        </w:rPr>
      </w:pPr>
      <w:r>
        <w:rPr>
          <w:b/>
          <w:sz w:val="22"/>
        </w:rPr>
        <w:t>Return Type and Value: </w:t>
      </w:r>
      <w:r>
        <w:rPr>
          <w:sz w:val="22"/>
        </w:rPr>
        <w:t>number – The remainder when </w:t>
      </w:r>
      <w:r>
        <w:rPr>
          <w:rFonts w:ascii="Times New Roman" w:hAnsi="Times New Roman"/>
          <w:i/>
          <w:sz w:val="22"/>
        </w:rPr>
        <w:t>x </w:t>
      </w:r>
      <w:r>
        <w:rPr>
          <w:sz w:val="22"/>
        </w:rPr>
        <w:t>is divided by </w:t>
      </w:r>
      <w:r>
        <w:rPr>
          <w:rFonts w:ascii="Times New Roman" w:hAnsi="Times New Roman"/>
          <w:i/>
          <w:sz w:val="22"/>
        </w:rPr>
        <w:t>y</w:t>
      </w:r>
      <w:r>
        <w:rPr>
          <w:sz w:val="22"/>
        </w:rPr>
        <w:t>. The result has the same sign as </w:t>
      </w:r>
      <w:r>
        <w:rPr>
          <w:rFonts w:ascii="Times New Roman" w:hAnsi="Times New Roman"/>
          <w:i/>
          <w:sz w:val="22"/>
        </w:rPr>
        <w:t>y</w:t>
      </w:r>
      <w:r>
        <w:rPr>
          <w:sz w:val="22"/>
        </w:rPr>
        <w:t>. If </w:t>
      </w:r>
      <w:r>
        <w:rPr>
          <w:rFonts w:ascii="Times New Roman" w:hAnsi="Times New Roman"/>
          <w:i/>
          <w:sz w:val="22"/>
        </w:rPr>
        <w:t>y</w:t>
      </w:r>
    </w:p>
    <w:p>
      <w:pPr>
        <w:pStyle w:val="BodyText"/>
        <w:spacing w:line="453" w:lineRule="auto" w:before="44"/>
        <w:ind w:left="220" w:right="7271"/>
      </w:pPr>
      <w:r>
        <w:rPr/>
        <w:t>is 0, the return value is unspecified. [</w:t>
      </w:r>
      <w:r>
        <w:rPr>
          <w:i/>
        </w:rPr>
        <w:t>Example</w:t>
      </w:r>
      <w:r>
        <w:rPr/>
        <w:t>:</w:t>
      </w:r>
    </w:p>
    <w:p>
      <w:pPr>
        <w:pStyle w:val="BodyText"/>
        <w:spacing w:line="276" w:lineRule="auto" w:before="108"/>
        <w:ind w:left="220" w:right="8092"/>
        <w:rPr>
          <w:rFonts w:ascii="Consolas"/>
        </w:rPr>
      </w:pPr>
      <w:r>
        <w:rPr>
          <w:rFonts w:ascii="Consolas"/>
        </w:rPr>
        <w:t>MOD(3,2) </w:t>
      </w:r>
      <w:r>
        <w:rPr/>
        <w:t>results in </w:t>
      </w:r>
      <w:r>
        <w:rPr>
          <w:rFonts w:ascii="Consolas"/>
        </w:rPr>
        <w:t>1 MOD(-3,2) </w:t>
      </w:r>
      <w:r>
        <w:rPr/>
        <w:t>results in </w:t>
      </w:r>
      <w:r>
        <w:rPr>
          <w:rFonts w:ascii="Consolas"/>
        </w:rPr>
        <w:t>1 MOD(3,-2) </w:t>
      </w:r>
      <w:r>
        <w:rPr/>
        <w:t>results in </w:t>
      </w:r>
      <w:r>
        <w:rPr>
          <w:rFonts w:ascii="Consolas"/>
        </w:rPr>
        <w:t>-1 MOD(-3,-2)</w:t>
      </w:r>
      <w:r>
        <w:rPr>
          <w:rFonts w:ascii="Consolas"/>
          <w:spacing w:val="-79"/>
        </w:rPr>
        <w:t> </w:t>
      </w:r>
      <w:r>
        <w:rPr/>
        <w:t>results in </w:t>
      </w:r>
      <w:r>
        <w:rPr>
          <w:rFonts w:ascii="Consolas"/>
        </w:rPr>
        <w:t>-1</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19 MODE" w:id="2049"/>
      <w:bookmarkEnd w:id="2049"/>
      <w:r>
        <w:rPr/>
      </w:r>
      <w:bookmarkStart w:name="_bookmark682" w:id="2050"/>
      <w:bookmarkEnd w:id="2050"/>
      <w:r>
        <w:rPr/>
      </w:r>
      <w:bookmarkStart w:name="_bookmark682" w:id="2051"/>
      <w:bookmarkEnd w:id="2051"/>
      <w:r>
        <w:rPr>
          <w:color w:val="4F81BC"/>
        </w:rPr>
        <w:t>M</w:t>
      </w:r>
      <w:r>
        <w:rPr>
          <w:color w:val="4F81BC"/>
        </w:rPr>
        <w:t>ODE</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MODE ( </w:t>
      </w:r>
      <w:r>
        <w:rPr>
          <w:i/>
          <w:sz w:val="22"/>
        </w:rPr>
        <w:t>argument-list </w:t>
      </w:r>
      <w:r>
        <w:rPr>
          <w:rFonts w:ascii="Lucida Console"/>
          <w:sz w:val="20"/>
        </w:rPr>
        <w:t>)</w:t>
      </w:r>
    </w:p>
    <w:p>
      <w:pPr>
        <w:pStyle w:val="BodyText"/>
        <w:spacing w:line="276" w:lineRule="auto" w:before="106"/>
        <w:ind w:left="220" w:right="418"/>
      </w:pPr>
      <w:r>
        <w:rPr>
          <w:b/>
        </w:rPr>
        <w:t>Description: </w:t>
      </w:r>
      <w:r>
        <w:rPr/>
        <w:t>Computes the most frequently occurring of the numeric values of its arguments. If the set of values contains more than one most-frequent value, the first occurrence of any most-frequent value in the list is used as the result.</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4"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arrays,</w:t>
            </w:r>
          </w:p>
        </w:tc>
        <w:tc>
          <w:tcPr>
            <w:tcW w:w="5400" w:type="dxa"/>
            <w:tcBorders>
              <w:top w:val="nil"/>
              <w:bottom w:val="nil"/>
            </w:tcBorders>
          </w:tcPr>
          <w:p>
            <w:pPr>
              <w:pStyle w:val="TableParagraph"/>
              <w:spacing w:line="249" w:lineRule="exact" w:before="0"/>
              <w:ind w:left="113"/>
              <w:rPr>
                <w:sz w:val="22"/>
              </w:rPr>
            </w:pPr>
            <w:r>
              <w:rPr>
                <w:sz w:val="22"/>
              </w:rPr>
              <w:t>whose mode is to be computed. If an array or reference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argument contains text, logical values, or empty cells,</w:t>
            </w:r>
          </w:p>
        </w:tc>
      </w:tr>
      <w:tr>
        <w:trPr>
          <w:trHeight w:val="537" w:hRule="atLeast"/>
        </w:trPr>
        <w:tc>
          <w:tcPr>
            <w:tcW w:w="1466" w:type="dxa"/>
            <w:tcBorders>
              <w:top w:val="nil"/>
              <w:bottom w:val="nil"/>
            </w:tcBorders>
          </w:tcPr>
          <w:p>
            <w:pPr>
              <w:pStyle w:val="TableParagraph"/>
              <w:spacing w:before="0"/>
              <w:ind w:left="0"/>
              <w:rPr>
                <w:rFonts w:ascii="Times New Roman"/>
                <w:sz w:val="22"/>
              </w:rPr>
            </w:pPr>
          </w:p>
        </w:tc>
        <w:tc>
          <w:tcPr>
            <w:tcW w:w="1800" w:type="dxa"/>
            <w:tcBorders>
              <w:top w:val="nil"/>
              <w:bottom w:val="nil"/>
            </w:tcBorders>
          </w:tcPr>
          <w:p>
            <w:pPr>
              <w:pStyle w:val="TableParagraph"/>
              <w:spacing w:line="249" w:lineRule="exact" w:before="0"/>
              <w:ind w:left="112"/>
              <w:rPr>
                <w:sz w:val="22"/>
              </w:rPr>
            </w:pPr>
            <w:r>
              <w:rPr>
                <w:sz w:val="22"/>
              </w:rPr>
              <w:t>number. Any</w:t>
            </w:r>
          </w:p>
          <w:p>
            <w:pPr>
              <w:pStyle w:val="TableParagraph"/>
              <w:spacing w:before="0"/>
              <w:ind w:left="112"/>
              <w:rPr>
                <w:sz w:val="22"/>
              </w:rPr>
            </w:pPr>
            <w:r>
              <w:rPr>
                <w:rFonts w:ascii="Times New Roman"/>
                <w:i/>
                <w:sz w:val="22"/>
              </w:rPr>
              <w:t>argument </w:t>
            </w:r>
            <w:r>
              <w:rPr>
                <w:sz w:val="22"/>
              </w:rPr>
              <w:t>can be</w:t>
            </w:r>
          </w:p>
        </w:tc>
        <w:tc>
          <w:tcPr>
            <w:tcW w:w="5400" w:type="dxa"/>
            <w:tcBorders>
              <w:top w:val="nil"/>
              <w:bottom w:val="nil"/>
            </w:tcBorders>
          </w:tcPr>
          <w:p>
            <w:pPr>
              <w:pStyle w:val="TableParagraph"/>
              <w:spacing w:line="249" w:lineRule="exact" w:before="0"/>
              <w:ind w:left="113"/>
              <w:rPr>
                <w:sz w:val="22"/>
              </w:rPr>
            </w:pPr>
            <w:r>
              <w:rPr>
                <w:sz w:val="22"/>
              </w:rPr>
              <w:t>those values are ignored; however, cells with the value 0</w:t>
            </w:r>
          </w:p>
          <w:p>
            <w:pPr>
              <w:pStyle w:val="TableParagraph"/>
              <w:spacing w:before="0"/>
              <w:ind w:left="113"/>
              <w:rPr>
                <w:sz w:val="22"/>
              </w:rPr>
            </w:pPr>
            <w:r>
              <w:rPr>
                <w:sz w:val="22"/>
              </w:rPr>
              <w:t>are included.</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an array or a</w:t>
            </w:r>
          </w:p>
        </w:tc>
        <w:tc>
          <w:tcPr>
            <w:tcW w:w="5400" w:type="dxa"/>
            <w:tcBorders>
              <w:top w:val="nil"/>
              <w:bottom w:val="nil"/>
            </w:tcBorders>
          </w:tcPr>
          <w:p>
            <w:pPr>
              <w:pStyle w:val="TableParagraph"/>
              <w:spacing w:before="0"/>
              <w:ind w:left="0"/>
              <w:rPr>
                <w:rFonts w:ascii="Times New Roman"/>
                <w:sz w:val="18"/>
              </w:rPr>
            </w:pP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reference to an</w:t>
            </w:r>
          </w:p>
        </w:tc>
        <w:tc>
          <w:tcPr>
            <w:tcW w:w="5400" w:type="dxa"/>
            <w:tcBorders>
              <w:top w:val="nil"/>
              <w:bottom w:val="nil"/>
            </w:tcBorders>
          </w:tcPr>
          <w:p>
            <w:pPr>
              <w:pStyle w:val="TableParagraph"/>
              <w:spacing w:before="0"/>
              <w:ind w:left="0"/>
              <w:rPr>
                <w:rFonts w:ascii="Times New Roman"/>
                <w:sz w:val="18"/>
              </w:rPr>
            </w:pPr>
          </w:p>
        </w:tc>
      </w:tr>
      <w:tr>
        <w:trPr>
          <w:trHeight w:val="293"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7" w:lineRule="exact" w:before="0"/>
              <w:ind w:left="112"/>
              <w:rPr>
                <w:sz w:val="22"/>
              </w:rPr>
            </w:pPr>
            <w:r>
              <w:rPr>
                <w:sz w:val="22"/>
              </w:rPr>
              <w:t>array.</w:t>
            </w:r>
          </w:p>
        </w:tc>
        <w:tc>
          <w:tcPr>
            <w:tcW w:w="5400" w:type="dxa"/>
            <w:tcBorders>
              <w:top w:val="nil"/>
            </w:tcBorders>
          </w:tcPr>
          <w:p>
            <w:pPr>
              <w:pStyle w:val="TableParagraph"/>
              <w:spacing w:before="0"/>
              <w:ind w:left="0"/>
              <w:rPr>
                <w:rFonts w:ascii="Times New Roman"/>
                <w:sz w:val="22"/>
              </w:rPr>
            </w:pPr>
          </w:p>
        </w:tc>
      </w:tr>
    </w:tbl>
    <w:p>
      <w:pPr>
        <w:pStyle w:val="BodyText"/>
        <w:rPr>
          <w:b/>
        </w:rPr>
      </w:pPr>
    </w:p>
    <w:p>
      <w:pPr>
        <w:pStyle w:val="BodyText"/>
        <w:spacing w:before="7"/>
        <w:rPr>
          <w:b/>
          <w:sz w:val="19"/>
        </w:rPr>
      </w:pPr>
    </w:p>
    <w:p>
      <w:pPr>
        <w:pStyle w:val="BodyText"/>
        <w:spacing w:line="456" w:lineRule="auto"/>
        <w:ind w:left="220" w:right="1865"/>
      </w:pPr>
      <w:r>
        <w:rPr>
          <w:b/>
        </w:rPr>
        <w:t>Return Type and Value: </w:t>
      </w:r>
      <w:r>
        <w:rPr/>
        <w:t>number – The most frequently occurring of the values of its arguments. However, if the data set contains no duplicate data points, </w:t>
      </w:r>
      <w:r>
        <w:rPr>
          <w:rFonts w:ascii="Consolas" w:hAnsi="Consolas"/>
        </w:rPr>
        <w:t>#N/A</w:t>
      </w:r>
      <w:r>
        <w:rPr>
          <w:rFonts w:ascii="Consolas" w:hAnsi="Consolas"/>
          <w:spacing w:val="-78"/>
        </w:rPr>
        <w:t> </w:t>
      </w:r>
      <w:r>
        <w:rPr/>
        <w:t>is returned.</w:t>
      </w:r>
    </w:p>
    <w:p>
      <w:pPr>
        <w:spacing w:line="266" w:lineRule="exact"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6810"/>
        <w:jc w:val="both"/>
        <w:rPr>
          <w:rFonts w:ascii="Consolas"/>
        </w:rPr>
      </w:pPr>
      <w:r>
        <w:rPr>
          <w:rFonts w:ascii="Consolas"/>
        </w:rPr>
        <w:t>MODE(9,1,5,1,9,5,6,6) </w:t>
      </w:r>
      <w:r>
        <w:rPr/>
        <w:t>results in </w:t>
      </w:r>
      <w:r>
        <w:rPr>
          <w:rFonts w:ascii="Consolas"/>
        </w:rPr>
        <w:t>9 MODE(1,9,5,1,9,5,6,6) </w:t>
      </w:r>
      <w:r>
        <w:rPr/>
        <w:t>results in </w:t>
      </w:r>
      <w:r>
        <w:rPr>
          <w:rFonts w:ascii="Consolas"/>
        </w:rPr>
        <w:t>1 MODE(5,1,9,5,1,9,6,6) </w:t>
      </w:r>
      <w:r>
        <w:rPr/>
        <w:t>results in </w:t>
      </w:r>
      <w:r>
        <w:rPr>
          <w:rFonts w:ascii="Consolas"/>
        </w:rPr>
        <w:t>5</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220 MONTH" w:id="2052"/>
      <w:bookmarkEnd w:id="2052"/>
      <w:r>
        <w:rPr/>
      </w:r>
      <w:bookmarkStart w:name="_bookmark683" w:id="2053"/>
      <w:bookmarkEnd w:id="2053"/>
      <w:r>
        <w:rPr/>
      </w:r>
      <w:bookmarkStart w:name="_bookmark683" w:id="2054"/>
      <w:bookmarkEnd w:id="2054"/>
      <w:r>
        <w:rPr>
          <w:color w:val="4F81BC"/>
        </w:rPr>
        <w:t>M</w:t>
      </w:r>
      <w:r>
        <w:rPr>
          <w:color w:val="4F81BC"/>
        </w:rPr>
        <w:t>ONTH</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MONTH ( </w:t>
      </w:r>
      <w:r>
        <w:rPr>
          <w:i/>
          <w:sz w:val="22"/>
        </w:rPr>
        <w:t>date-value </w:t>
      </w:r>
      <w:r>
        <w:rPr>
          <w:rFonts w:ascii="Lucida Console"/>
          <w:sz w:val="20"/>
        </w:rPr>
        <w:t>)</w:t>
      </w:r>
    </w:p>
    <w:p>
      <w:pPr>
        <w:pStyle w:val="BodyText"/>
        <w:spacing w:line="276" w:lineRule="auto" w:before="105"/>
        <w:ind w:left="220" w:right="442"/>
      </w:pPr>
      <w:r>
        <w:rPr>
          <w:b/>
        </w:rPr>
        <w:t>Description: </w:t>
      </w:r>
      <w:r>
        <w:rPr/>
        <w:t>Computes the numeric month in the Gregorian calendar [ISO 8601 §3.2.1] for the date and/or time having the given </w:t>
      </w:r>
      <w:r>
        <w:rPr>
          <w:rFonts w:ascii="Times New Roman" w:hAnsi="Times New Roman"/>
          <w:i/>
        </w:rPr>
        <w:t>date-value</w:t>
      </w:r>
      <w:r>
        <w:rPr/>
        <w:t>, taking into account the current date system. That date and/or time shall be expressed either as a serial date-time, in which case, its fractional part is ignored, or as a </w:t>
      </w:r>
      <w:r>
        <w:rPr>
          <w:rFonts w:ascii="Times New Roman" w:hAnsi="Times New Roman"/>
          <w:i/>
        </w:rPr>
        <w:t>string-constant </w:t>
      </w:r>
      <w:r>
        <w:rPr/>
        <w:t>having any date and/or time format, in which case, any time information shall be ignored.</w:t>
      </w:r>
    </w:p>
    <w:p>
      <w:pPr>
        <w:pStyle w:val="BodyText"/>
        <w:spacing w:before="7"/>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9" w:hRule="atLeast"/>
        </w:trPr>
        <w:tc>
          <w:tcPr>
            <w:tcW w:w="1466" w:type="dxa"/>
          </w:tcPr>
          <w:p>
            <w:pPr>
              <w:pStyle w:val="TableParagraph"/>
              <w:spacing w:before="37"/>
              <w:ind w:left="0" w:right="408"/>
              <w:jc w:val="right"/>
              <w:rPr>
                <w:rFonts w:ascii="Times New Roman"/>
                <w:i/>
                <w:sz w:val="22"/>
              </w:rPr>
            </w:pPr>
            <w:r>
              <w:rPr>
                <w:rFonts w:ascii="Times New Roman"/>
                <w:i/>
                <w:sz w:val="22"/>
              </w:rPr>
              <w:t>date-value</w:t>
            </w:r>
          </w:p>
        </w:tc>
        <w:tc>
          <w:tcPr>
            <w:tcW w:w="1800" w:type="dxa"/>
          </w:tcPr>
          <w:p>
            <w:pPr>
              <w:pStyle w:val="TableParagraph"/>
              <w:ind w:left="112"/>
              <w:rPr>
                <w:sz w:val="22"/>
              </w:rPr>
            </w:pPr>
            <w:r>
              <w:rPr>
                <w:sz w:val="22"/>
              </w:rPr>
              <w:t>number, text</w:t>
            </w:r>
          </w:p>
        </w:tc>
        <w:tc>
          <w:tcPr>
            <w:tcW w:w="5400" w:type="dxa"/>
          </w:tcPr>
          <w:p>
            <w:pPr>
              <w:pStyle w:val="TableParagraph"/>
              <w:ind w:left="113" w:right="157"/>
              <w:rPr>
                <w:sz w:val="22"/>
              </w:rPr>
            </w:pPr>
            <w:r>
              <w:rPr>
                <w:sz w:val="22"/>
              </w:rPr>
              <w:t>The date and/or time whose month is to be computed. That date and/or time shall be expressed either as a serial date-time, in which case, its fractional part is ignored, or as a </w:t>
            </w:r>
            <w:r>
              <w:rPr>
                <w:rFonts w:ascii="Times New Roman"/>
                <w:i/>
                <w:sz w:val="22"/>
              </w:rPr>
              <w:t>string-constant </w:t>
            </w:r>
            <w:r>
              <w:rPr>
                <w:sz w:val="22"/>
              </w:rPr>
              <w:t>having any date and/or time format, in which case, any time information shall be ignored.</w:t>
            </w:r>
          </w:p>
        </w:tc>
      </w:tr>
    </w:tbl>
    <w:p>
      <w:pPr>
        <w:pStyle w:val="BodyText"/>
        <w:rPr>
          <w:b/>
        </w:rPr>
      </w:pPr>
    </w:p>
    <w:p>
      <w:pPr>
        <w:pStyle w:val="BodyText"/>
        <w:spacing w:before="5"/>
        <w:rPr>
          <w:b/>
          <w:sz w:val="19"/>
        </w:rPr>
      </w:pPr>
    </w:p>
    <w:p>
      <w:pPr>
        <w:spacing w:line="276" w:lineRule="auto" w:before="0"/>
        <w:ind w:left="220" w:right="659" w:firstLine="0"/>
        <w:jc w:val="left"/>
        <w:rPr>
          <w:sz w:val="22"/>
        </w:rPr>
      </w:pPr>
      <w:r>
        <w:rPr>
          <w:b/>
          <w:sz w:val="22"/>
        </w:rPr>
        <w:t>Return Type and Value: </w:t>
      </w:r>
      <w:r>
        <w:rPr>
          <w:sz w:val="22"/>
        </w:rPr>
        <w:t>number – The month in the Gregorian calendar [ISO 8601 §3.2.1] for the date and/or time having the given </w:t>
      </w:r>
      <w:r>
        <w:rPr>
          <w:rFonts w:ascii="Times New Roman" w:hAnsi="Times New Roman"/>
          <w:i/>
          <w:sz w:val="22"/>
        </w:rPr>
        <w:t>date-value</w:t>
      </w:r>
      <w:r>
        <w:rPr>
          <w:sz w:val="22"/>
        </w:rPr>
        <w:t>, in the range 1–12.</w:t>
      </w:r>
    </w:p>
    <w:p>
      <w:pPr>
        <w:pStyle w:val="BodyText"/>
        <w:spacing w:line="456" w:lineRule="auto" w:before="201"/>
        <w:ind w:left="220" w:right="2289"/>
      </w:pPr>
      <w:r>
        <w:rPr/>
        <w:t>However, if </w:t>
      </w:r>
      <w:r>
        <w:rPr>
          <w:rFonts w:ascii="Times New Roman"/>
          <w:i/>
        </w:rPr>
        <w:t>date-value </w:t>
      </w:r>
      <w:r>
        <w:rPr/>
        <w:t>is out of range for the current date system, </w:t>
      </w:r>
      <w:r>
        <w:rPr>
          <w:rFonts w:ascii="Consolas"/>
        </w:rPr>
        <w:t>#NUM!</w:t>
      </w:r>
      <w:r>
        <w:rPr>
          <w:rFonts w:ascii="Consolas"/>
          <w:spacing w:val="-102"/>
        </w:rPr>
        <w:t> </w:t>
      </w:r>
      <w:r>
        <w:rPr/>
        <w:t>is returned. [</w:t>
      </w:r>
      <w:r>
        <w:rPr>
          <w:i/>
        </w:rPr>
        <w:t>Example</w:t>
      </w:r>
      <w:r>
        <w:rPr/>
        <w:t>:</w:t>
      </w:r>
    </w:p>
    <w:p>
      <w:pPr>
        <w:pStyle w:val="BodyText"/>
        <w:spacing w:line="276" w:lineRule="auto" w:before="105"/>
        <w:ind w:left="220" w:right="6753"/>
        <w:rPr>
          <w:rFonts w:ascii="Consolas"/>
        </w:rPr>
      </w:pPr>
      <w:r>
        <w:rPr>
          <w:rFonts w:ascii="Consolas"/>
        </w:rPr>
        <w:t>MONTH(DATE(2006,1,2)) </w:t>
      </w:r>
      <w:r>
        <w:rPr/>
        <w:t>results in </w:t>
      </w:r>
      <w:r>
        <w:rPr>
          <w:rFonts w:ascii="Consolas"/>
        </w:rPr>
        <w:t>1 MONTH(DATE(2006,0,2))</w:t>
      </w:r>
      <w:r>
        <w:rPr>
          <w:rFonts w:ascii="Consolas"/>
          <w:spacing w:val="-80"/>
        </w:rPr>
        <w:t> </w:t>
      </w:r>
      <w:r>
        <w:rPr/>
        <w:t>results in </w:t>
      </w:r>
      <w:r>
        <w:rPr>
          <w:rFonts w:ascii="Consolas"/>
        </w:rPr>
        <w:t>12</w:t>
      </w:r>
    </w:p>
    <w:p>
      <w:pPr>
        <w:pStyle w:val="BodyText"/>
        <w:spacing w:line="268" w:lineRule="exact"/>
        <w:ind w:left="220"/>
        <w:rPr>
          <w:rFonts w:ascii="Consolas"/>
        </w:rPr>
      </w:pPr>
      <w:r>
        <w:rPr>
          <w:rFonts w:ascii="Consolas"/>
        </w:rPr>
        <w:t>MONTH("2006/1/2 10:45 AM")</w:t>
      </w:r>
      <w:r>
        <w:rPr>
          <w:rFonts w:ascii="Consolas"/>
          <w:spacing w:val="-70"/>
        </w:rPr>
        <w:t> </w:t>
      </w:r>
      <w:r>
        <w:rPr/>
        <w:t>results in </w:t>
      </w:r>
      <w:r>
        <w:rPr>
          <w:rFonts w:ascii="Consolas"/>
        </w:rPr>
        <w:t>1</w:t>
      </w:r>
    </w:p>
    <w:p>
      <w:pPr>
        <w:pStyle w:val="BodyText"/>
        <w:spacing w:before="41"/>
        <w:ind w:left="220"/>
      </w:pPr>
      <w:r>
        <w:rPr>
          <w:rFonts w:ascii="Consolas"/>
        </w:rPr>
        <w:t>MONTH(30000)</w:t>
      </w:r>
      <w:r>
        <w:rPr>
          <w:rFonts w:ascii="Consolas"/>
          <w:spacing w:val="-69"/>
        </w:rPr>
        <w:t> </w:t>
      </w:r>
      <w:r>
        <w:rPr/>
        <w:t>results in </w:t>
      </w:r>
      <w:r>
        <w:rPr>
          <w:rFonts w:ascii="Consolas"/>
        </w:rPr>
        <w:t>2</w:t>
      </w:r>
      <w:r>
        <w:rPr>
          <w:rFonts w:ascii="Consolas"/>
          <w:spacing w:val="-70"/>
        </w:rPr>
        <w:t> </w:t>
      </w:r>
      <w:r>
        <w:rPr/>
        <w:t>for both the 1900 and 1904 date systems</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1 MROUND" w:id="2055"/>
      <w:bookmarkEnd w:id="2055"/>
      <w:r>
        <w:rPr/>
      </w:r>
      <w:bookmarkStart w:name="_bookmark684" w:id="2056"/>
      <w:bookmarkEnd w:id="2056"/>
      <w:r>
        <w:rPr/>
      </w:r>
      <w:bookmarkStart w:name="_bookmark684" w:id="2057"/>
      <w:bookmarkEnd w:id="2057"/>
      <w:r>
        <w:rPr>
          <w:color w:val="4F81BC"/>
        </w:rPr>
        <w:t>M</w:t>
      </w:r>
      <w:r>
        <w:rPr>
          <w:color w:val="4F81BC"/>
        </w:rPr>
        <w:t>ROUND</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MROUND ( </w:t>
      </w:r>
      <w:r>
        <w:rPr>
          <w:i/>
          <w:sz w:val="22"/>
        </w:rPr>
        <w:t>x , multiple</w:t>
      </w:r>
      <w:r>
        <w:rPr>
          <w:rFonts w:ascii="Lucida Console"/>
          <w:sz w:val="20"/>
        </w:rPr>
        <w:t>)</w:t>
      </w:r>
    </w:p>
    <w:p>
      <w:pPr>
        <w:spacing w:before="108"/>
        <w:ind w:left="220" w:right="0" w:firstLine="0"/>
        <w:jc w:val="left"/>
        <w:rPr>
          <w:sz w:val="22"/>
        </w:rPr>
      </w:pPr>
      <w:r>
        <w:rPr>
          <w:b/>
          <w:sz w:val="22"/>
        </w:rPr>
        <w:t>Description: </w:t>
      </w:r>
      <w:r>
        <w:rPr>
          <w:sz w:val="22"/>
        </w:rPr>
        <w:t>Computes </w:t>
      </w:r>
      <w:r>
        <w:rPr>
          <w:rFonts w:ascii="Times New Roman"/>
          <w:i/>
          <w:sz w:val="22"/>
        </w:rPr>
        <w:t>x </w:t>
      </w:r>
      <w:r>
        <w:rPr>
          <w:sz w:val="22"/>
        </w:rPr>
        <w:t>rounded to </w:t>
      </w:r>
      <w:r>
        <w:rPr>
          <w:rFonts w:ascii="Times New Roman"/>
          <w:i/>
          <w:sz w:val="22"/>
        </w:rPr>
        <w:t>multiple</w:t>
      </w:r>
      <w:r>
        <w:rPr>
          <w:sz w:val="22"/>
        </w:rPr>
        <w:t>, away from zero. It rounds up if the remainder of dividing </w:t>
      </w:r>
      <w:r>
        <w:rPr>
          <w:rFonts w:ascii="Times New Roman"/>
          <w:i/>
          <w:sz w:val="22"/>
        </w:rPr>
        <w:t>x </w:t>
      </w:r>
      <w:r>
        <w:rPr>
          <w:sz w:val="22"/>
        </w:rPr>
        <w:t>by</w:t>
      </w:r>
    </w:p>
    <w:p>
      <w:pPr>
        <w:pStyle w:val="BodyText"/>
        <w:spacing w:before="41"/>
        <w:ind w:left="220"/>
      </w:pPr>
      <w:r>
        <w:rPr>
          <w:rFonts w:ascii="Times New Roman"/>
          <w:i/>
        </w:rPr>
        <w:t>multiple </w:t>
      </w:r>
      <w:r>
        <w:rPr/>
        <w:t>is greater than or equal to half the value of </w:t>
      </w:r>
      <w:r>
        <w:rPr>
          <w:rFonts w:ascii="Times New Roman"/>
          <w:i/>
        </w:rPr>
        <w:t>multiple</w:t>
      </w:r>
      <w:r>
        <w:rPr/>
        <w:t>; otherwise, it rounds down.</w:t>
      </w:r>
    </w:p>
    <w:p>
      <w:pPr>
        <w:pStyle w:val="BodyText"/>
        <w:spacing w:before="8"/>
        <w:rPr>
          <w:sz w:val="19"/>
        </w:rPr>
      </w:pPr>
    </w:p>
    <w:p>
      <w:pPr>
        <w:pStyle w:val="Heading4"/>
        <w:spacing w:before="1"/>
      </w:pPr>
      <w:r>
        <w:rPr/>
        <w:t>Arguments:</w:t>
      </w:r>
    </w:p>
    <w:p>
      <w:pPr>
        <w:spacing w:after="0"/>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round.</w:t>
            </w:r>
          </w:p>
        </w:tc>
      </w:tr>
      <w:tr>
        <w:trPr>
          <w:trHeight w:val="354" w:hRule="atLeast"/>
        </w:trPr>
        <w:tc>
          <w:tcPr>
            <w:tcW w:w="1466" w:type="dxa"/>
          </w:tcPr>
          <w:p>
            <w:pPr>
              <w:pStyle w:val="TableParagraph"/>
              <w:spacing w:before="37"/>
              <w:rPr>
                <w:rFonts w:ascii="Times New Roman"/>
                <w:i/>
                <w:sz w:val="22"/>
              </w:rPr>
            </w:pPr>
            <w:r>
              <w:rPr>
                <w:rFonts w:ascii="Times New Roman"/>
                <w:i/>
                <w:sz w:val="22"/>
              </w:rPr>
              <w:t>multiple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multiple to which </w:t>
            </w:r>
            <w:r>
              <w:rPr>
                <w:rFonts w:ascii="Times New Roman"/>
                <w:i/>
                <w:sz w:val="22"/>
              </w:rPr>
              <w:t>x </w:t>
            </w:r>
            <w:r>
              <w:rPr>
                <w:sz w:val="22"/>
              </w:rPr>
              <w:t>is to be rounded.</w:t>
            </w:r>
          </w:p>
        </w:tc>
      </w:tr>
    </w:tbl>
    <w:p>
      <w:pPr>
        <w:pStyle w:val="BodyText"/>
        <w:rPr>
          <w:b/>
          <w:sz w:val="20"/>
        </w:rPr>
      </w:pPr>
    </w:p>
    <w:p>
      <w:pPr>
        <w:pStyle w:val="BodyText"/>
        <w:spacing w:before="7"/>
        <w:rPr>
          <w:b/>
          <w:sz w:val="21"/>
        </w:rPr>
      </w:pPr>
    </w:p>
    <w:p>
      <w:pPr>
        <w:spacing w:line="453" w:lineRule="auto" w:before="0"/>
        <w:ind w:left="220" w:right="4523" w:firstLine="0"/>
        <w:jc w:val="left"/>
        <w:rPr>
          <w:sz w:val="22"/>
        </w:rPr>
      </w:pPr>
      <w:r>
        <w:rPr>
          <w:b/>
          <w:sz w:val="22"/>
        </w:rPr>
        <w:t>Return Type and Value: </w:t>
      </w:r>
      <w:r>
        <w:rPr>
          <w:sz w:val="22"/>
        </w:rPr>
        <w:t>number – </w:t>
      </w:r>
      <w:r>
        <w:rPr>
          <w:rFonts w:ascii="Times New Roman" w:hAnsi="Times New Roman"/>
          <w:i/>
          <w:sz w:val="22"/>
        </w:rPr>
        <w:t>x </w:t>
      </w:r>
      <w:r>
        <w:rPr>
          <w:sz w:val="22"/>
        </w:rPr>
        <w:t>rounded to </w:t>
      </w:r>
      <w:r>
        <w:rPr>
          <w:rFonts w:ascii="Times New Roman" w:hAnsi="Times New Roman"/>
          <w:i/>
          <w:sz w:val="22"/>
        </w:rPr>
        <w:t>multiple</w:t>
      </w:r>
      <w:r>
        <w:rPr>
          <w:sz w:val="22"/>
        </w:rPr>
        <w:t>. However, if </w:t>
      </w:r>
      <w:r>
        <w:rPr>
          <w:rFonts w:ascii="Times New Roman" w:hAnsi="Times New Roman"/>
          <w:i/>
          <w:sz w:val="22"/>
        </w:rPr>
        <w:t>x </w:t>
      </w:r>
      <w:r>
        <w:rPr>
          <w:sz w:val="22"/>
        </w:rPr>
        <w:t>and </w:t>
      </w:r>
      <w:r>
        <w:rPr>
          <w:rFonts w:ascii="Times New Roman" w:hAnsi="Times New Roman"/>
          <w:i/>
          <w:sz w:val="22"/>
        </w:rPr>
        <w:t>multiple </w:t>
      </w:r>
      <w:r>
        <w:rPr>
          <w:sz w:val="22"/>
        </w:rPr>
        <w:t>have different signs, </w:t>
      </w:r>
      <w:r>
        <w:rPr>
          <w:rFonts w:ascii="Consolas" w:hAnsi="Consolas"/>
          <w:sz w:val="22"/>
        </w:rPr>
        <w:t>#NUM!</w:t>
      </w:r>
      <w:r>
        <w:rPr>
          <w:rFonts w:ascii="Consolas" w:hAnsi="Consolas"/>
          <w:spacing w:val="-100"/>
          <w:sz w:val="22"/>
        </w:rPr>
        <w:t> </w:t>
      </w:r>
      <w:r>
        <w:rPr>
          <w:sz w:val="22"/>
        </w:rPr>
        <w:t>is returned. [</w:t>
      </w:r>
      <w:r>
        <w:rPr>
          <w:i/>
          <w:sz w:val="22"/>
        </w:rPr>
        <w:t>Example</w:t>
      </w:r>
      <w:r>
        <w:rPr>
          <w:sz w:val="22"/>
        </w:rPr>
        <w:t>:</w:t>
      </w:r>
    </w:p>
    <w:p>
      <w:pPr>
        <w:pStyle w:val="BodyText"/>
        <w:spacing w:line="276" w:lineRule="auto" w:before="110"/>
        <w:ind w:left="220" w:right="3793"/>
        <w:rPr>
          <w:rFonts w:ascii="Consolas"/>
        </w:rPr>
      </w:pPr>
      <w:r>
        <w:rPr>
          <w:rFonts w:ascii="Consolas"/>
        </w:rPr>
        <w:t>MROUND(10,3) </w:t>
      </w:r>
      <w:r>
        <w:rPr/>
        <w:t>rounds 10 to a nearest multiple of 3; that is, to </w:t>
      </w:r>
      <w:r>
        <w:rPr>
          <w:rFonts w:ascii="Consolas"/>
        </w:rPr>
        <w:t>9 MROUND(-10,-3) </w:t>
      </w:r>
      <w:r>
        <w:rPr/>
        <w:t>rounds -10 to a nearest multiple of -3; that is, to </w:t>
      </w:r>
      <w:r>
        <w:rPr>
          <w:rFonts w:ascii="Consolas"/>
        </w:rPr>
        <w:t>-9 MROUND(1.3,0.2)</w:t>
      </w:r>
      <w:r>
        <w:rPr>
          <w:rFonts w:ascii="Consolas"/>
          <w:spacing w:val="-90"/>
        </w:rPr>
        <w:t> </w:t>
      </w:r>
      <w:r>
        <w:rPr/>
        <w:t>rounds 1.3 to a nearest multiple of 0.2; that is, to </w:t>
      </w:r>
      <w:r>
        <w:rPr>
          <w:rFonts w:ascii="Consolas"/>
        </w:rPr>
        <w:t>1.4</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2 MULTINOMIAL" w:id="2058"/>
      <w:bookmarkEnd w:id="2058"/>
      <w:r>
        <w:rPr/>
      </w:r>
      <w:bookmarkStart w:name="_bookmark685" w:id="2059"/>
      <w:bookmarkEnd w:id="2059"/>
      <w:r>
        <w:rPr/>
      </w:r>
      <w:bookmarkStart w:name="_bookmark685" w:id="2060"/>
      <w:bookmarkEnd w:id="2060"/>
      <w:r>
        <w:rPr>
          <w:color w:val="4F81BC"/>
        </w:rPr>
        <w:t>MULT</w:t>
      </w:r>
      <w:r>
        <w:rPr>
          <w:color w:val="4F81BC"/>
        </w:rPr>
        <w:t>INOMIAL</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MULTINOMIAL ( </w:t>
      </w:r>
      <w:r>
        <w:rPr>
          <w:i/>
          <w:sz w:val="22"/>
        </w:rPr>
        <w:t>argument-list </w:t>
      </w:r>
      <w:r>
        <w:rPr>
          <w:rFonts w:ascii="Lucida Console"/>
          <w:sz w:val="20"/>
        </w:rPr>
        <w:t>)</w:t>
      </w:r>
    </w:p>
    <w:p>
      <w:pPr>
        <w:spacing w:line="278" w:lineRule="auto" w:before="106"/>
        <w:ind w:left="220" w:right="596" w:firstLine="0"/>
        <w:jc w:val="left"/>
        <w:rPr>
          <w:sz w:val="22"/>
        </w:rPr>
      </w:pPr>
      <w:r>
        <w:rPr>
          <w:b/>
          <w:sz w:val="22"/>
        </w:rPr>
        <w:t>Description: </w:t>
      </w:r>
      <w:r>
        <w:rPr>
          <w:sz w:val="22"/>
        </w:rPr>
        <w:t>Computes the ratio of the factorial of the sum of the values in </w:t>
      </w:r>
      <w:r>
        <w:rPr>
          <w:rFonts w:ascii="Times New Roman"/>
          <w:i/>
          <w:sz w:val="22"/>
        </w:rPr>
        <w:t>argument-list </w:t>
      </w:r>
      <w:r>
        <w:rPr>
          <w:sz w:val="22"/>
        </w:rPr>
        <w:t>to the product of the factorials.</w:t>
      </w:r>
    </w:p>
    <w:p>
      <w:pPr>
        <w:pStyle w:val="BodyText"/>
        <w:spacing w:before="3"/>
        <w:rPr>
          <w:sz w:val="16"/>
        </w:rPr>
      </w:pPr>
    </w:p>
    <w:p>
      <w:pPr>
        <w:spacing w:line="453" w:lineRule="auto" w:before="0"/>
        <w:ind w:left="220" w:right="8295" w:firstLine="0"/>
        <w:jc w:val="left"/>
        <w:rPr>
          <w:sz w:val="22"/>
        </w:rPr>
      </w:pPr>
      <w:r>
        <w:rPr>
          <w:b/>
          <w:sz w:val="22"/>
        </w:rPr>
        <w:t>Mathematical Formula</w:t>
      </w:r>
      <w:r>
        <w:rPr>
          <w:sz w:val="22"/>
        </w:rPr>
        <w:t>: The multinomial is:</w:t>
      </w:r>
    </w:p>
    <w:p>
      <w:pPr>
        <w:spacing w:after="0" w:line="453" w:lineRule="auto"/>
        <w:jc w:val="left"/>
        <w:rPr>
          <w:sz w:val="22"/>
        </w:rPr>
        <w:sectPr>
          <w:pgSz w:w="12240" w:h="15840"/>
          <w:pgMar w:header="761" w:footer="746" w:top="1340" w:bottom="940" w:left="860" w:right="700"/>
        </w:sectPr>
      </w:pPr>
    </w:p>
    <w:p>
      <w:pPr>
        <w:pStyle w:val="BodyText"/>
        <w:spacing w:before="144"/>
        <w:ind w:left="220"/>
        <w:rPr>
          <w:rFonts w:ascii="Cambria Math" w:eastAsia="Cambria Math"/>
        </w:rPr>
      </w:pPr>
      <w:r>
        <w:rPr>
          <w:rFonts w:ascii="Cambria Math" w:eastAsia="Cambria Math"/>
        </w:rPr>
        <w:t>𝑀𝑈𝐿𝑇𝐼𝑁𝑂𝑀𝐼𝐴𝐿</w:t>
      </w:r>
      <w:r>
        <w:rPr>
          <w:rFonts w:ascii="Cambria Math" w:eastAsia="Cambria Math"/>
          <w:position w:val="1"/>
        </w:rPr>
        <w:t>(</w:t>
      </w:r>
      <w:r>
        <w:rPr>
          <w:rFonts w:ascii="Cambria Math" w:eastAsia="Cambria Math"/>
        </w:rPr>
        <w:t>𝑎, 𝑏, 𝑐</w:t>
      </w:r>
      <w:r>
        <w:rPr>
          <w:rFonts w:ascii="Cambria Math" w:eastAsia="Cambria Math"/>
          <w:position w:val="1"/>
        </w:rPr>
        <w:t>) </w:t>
      </w:r>
      <w:r>
        <w:rPr>
          <w:rFonts w:ascii="Cambria Math" w:eastAsia="Cambria Math"/>
        </w:rPr>
        <w:t>=</w:t>
      </w:r>
    </w:p>
    <w:p>
      <w:pPr>
        <w:pStyle w:val="BodyText"/>
        <w:spacing w:line="244" w:lineRule="exact"/>
        <w:ind w:left="60" w:right="6766"/>
        <w:jc w:val="center"/>
        <w:rPr>
          <w:rFonts w:ascii="Cambria Math" w:eastAsia="Cambria Math"/>
        </w:rPr>
      </w:pPr>
      <w:r>
        <w:rPr/>
        <w:br w:type="column"/>
      </w:r>
      <w:r>
        <w:rPr>
          <w:rFonts w:ascii="Cambria Math" w:eastAsia="Cambria Math"/>
          <w:position w:val="1"/>
        </w:rPr>
        <w:t>(</w:t>
      </w:r>
      <w:r>
        <w:rPr>
          <w:rFonts w:ascii="Cambria Math" w:eastAsia="Cambria Math"/>
        </w:rPr>
        <w:t>𝑎 + 𝑏 + 𝑐</w:t>
      </w:r>
      <w:r>
        <w:rPr>
          <w:rFonts w:ascii="Cambria Math" w:eastAsia="Cambria Math"/>
          <w:position w:val="1"/>
        </w:rPr>
        <w:t>)</w:t>
      </w:r>
      <w:r>
        <w:rPr>
          <w:rFonts w:ascii="Cambria Math" w:eastAsia="Cambria Math"/>
        </w:rPr>
        <w:t>!</w:t>
      </w:r>
    </w:p>
    <w:p>
      <w:pPr>
        <w:pStyle w:val="BodyText"/>
        <w:spacing w:before="1"/>
        <w:rPr>
          <w:rFonts w:ascii="Cambria Math"/>
          <w:sz w:val="4"/>
        </w:rPr>
      </w:pPr>
    </w:p>
    <w:p>
      <w:pPr>
        <w:pStyle w:val="BodyText"/>
        <w:spacing w:line="20" w:lineRule="exact"/>
        <w:ind w:left="60"/>
        <w:rPr>
          <w:rFonts w:ascii="Cambria Math"/>
          <w:sz w:val="2"/>
        </w:rPr>
      </w:pPr>
      <w:r>
        <w:rPr>
          <w:rFonts w:ascii="Cambria Math"/>
          <w:sz w:val="2"/>
        </w:rPr>
        <w:pict>
          <v:group style="width:56.55pt;height:.75pt;mso-position-horizontal-relative:char;mso-position-vertical-relative:line" coordorigin="0,0" coordsize="1131,15">
            <v:line style="position:absolute" from="0,7" to="1131,7" stroked="true" strokeweight=".72pt" strokecolor="#000000">
              <v:stroke dashstyle="solid"/>
            </v:line>
          </v:group>
        </w:pict>
      </w:r>
      <w:r>
        <w:rPr>
          <w:rFonts w:ascii="Cambria Math"/>
          <w:sz w:val="2"/>
        </w:rPr>
      </w:r>
    </w:p>
    <w:p>
      <w:pPr>
        <w:pStyle w:val="BodyText"/>
        <w:ind w:left="60" w:right="6766"/>
        <w:jc w:val="center"/>
        <w:rPr>
          <w:rFonts w:ascii="Cambria Math" w:eastAsia="Cambria Math"/>
        </w:rPr>
      </w:pPr>
      <w:r>
        <w:rPr>
          <w:rFonts w:ascii="Cambria Math" w:eastAsia="Cambria Math"/>
        </w:rPr>
        <w:t>𝑎! 𝑏! 𝑐!</w:t>
      </w:r>
    </w:p>
    <w:p>
      <w:pPr>
        <w:spacing w:after="0"/>
        <w:jc w:val="center"/>
        <w:rPr>
          <w:rFonts w:ascii="Cambria Math" w:eastAsia="Cambria Math"/>
        </w:rPr>
        <w:sectPr>
          <w:type w:val="continuous"/>
          <w:pgSz w:w="12240" w:h="15840"/>
          <w:pgMar w:top="1340" w:bottom="940" w:left="860" w:right="700"/>
          <w:cols w:num="2" w:equalWidth="0">
            <w:col w:w="2663" w:space="40"/>
            <w:col w:w="7977"/>
          </w:cols>
        </w:sectPr>
      </w:pPr>
    </w:p>
    <w:p>
      <w:pPr>
        <w:pStyle w:val="BodyText"/>
        <w:spacing w:before="7"/>
        <w:rPr>
          <w:rFonts w:ascii="Cambria Math"/>
          <w:sz w:val="11"/>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sz w:val="22"/>
        </w:rPr>
        <w:t>a, b, c, … = the elements in</w:t>
      </w:r>
      <w:r>
        <w:rPr>
          <w:spacing w:val="-9"/>
          <w:sz w:val="22"/>
        </w:rPr>
        <w:t> </w:t>
      </w:r>
      <w:r>
        <w:rPr>
          <w:rFonts w:ascii="Times New Roman" w:hAnsi="Times New Roman"/>
          <w:i/>
          <w:sz w:val="22"/>
        </w:rPr>
        <w:t>argument-list</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numerical values for which the multinomial is desired.</w:t>
            </w:r>
          </w:p>
        </w:tc>
      </w:tr>
    </w:tbl>
    <w:p>
      <w:pPr>
        <w:pStyle w:val="BodyText"/>
        <w:rPr>
          <w:b/>
        </w:rPr>
      </w:pPr>
    </w:p>
    <w:p>
      <w:pPr>
        <w:pStyle w:val="BodyText"/>
        <w:spacing w:before="5"/>
        <w:rPr>
          <w:b/>
          <w:sz w:val="19"/>
        </w:rPr>
      </w:pPr>
    </w:p>
    <w:p>
      <w:pPr>
        <w:spacing w:line="278" w:lineRule="auto" w:before="0"/>
        <w:ind w:left="220" w:right="905" w:firstLine="0"/>
        <w:jc w:val="left"/>
        <w:rPr>
          <w:sz w:val="22"/>
        </w:rPr>
      </w:pPr>
      <w:r>
        <w:rPr>
          <w:b/>
          <w:sz w:val="22"/>
        </w:rPr>
        <w:t>Return Type and Value: </w:t>
      </w:r>
      <w:r>
        <w:rPr>
          <w:sz w:val="22"/>
        </w:rPr>
        <w:t>number – The ratio of the factorial of the sum of the values in </w:t>
      </w:r>
      <w:r>
        <w:rPr>
          <w:rFonts w:ascii="Times New Roman" w:hAnsi="Times New Roman"/>
          <w:i/>
          <w:sz w:val="22"/>
        </w:rPr>
        <w:t>argument-list </w:t>
      </w:r>
      <w:r>
        <w:rPr>
          <w:sz w:val="22"/>
        </w:rPr>
        <w:t>to the product of the factorials.</w:t>
      </w:r>
    </w:p>
    <w:p>
      <w:pPr>
        <w:spacing w:after="0" w:line="278" w:lineRule="auto"/>
        <w:jc w:val="left"/>
        <w:rPr>
          <w:sz w:val="22"/>
        </w:rPr>
        <w:sectPr>
          <w:type w:val="continuous"/>
          <w:pgSz w:w="12240" w:h="15840"/>
          <w:pgMar w:top="1340" w:bottom="940" w:left="860" w:right="700"/>
        </w:sectPr>
      </w:pPr>
    </w:p>
    <w:p>
      <w:pPr>
        <w:spacing w:line="453" w:lineRule="auto" w:before="150"/>
        <w:ind w:left="220" w:right="4902" w:firstLine="0"/>
        <w:jc w:val="left"/>
        <w:rPr>
          <w:sz w:val="22"/>
        </w:rPr>
      </w:pPr>
      <w:r>
        <w:rPr>
          <w:sz w:val="22"/>
        </w:rPr>
        <w:t>However, if any </w:t>
      </w:r>
      <w:r>
        <w:rPr>
          <w:rFonts w:ascii="Times New Roman"/>
          <w:i/>
          <w:sz w:val="22"/>
        </w:rPr>
        <w:t>argument </w:t>
      </w:r>
      <w:r>
        <w:rPr>
          <w:sz w:val="22"/>
        </w:rPr>
        <w:t>is less than zero, </w:t>
      </w:r>
      <w:r>
        <w:rPr>
          <w:rFonts w:ascii="Consolas"/>
          <w:sz w:val="22"/>
        </w:rPr>
        <w:t>#NUM!</w:t>
      </w:r>
      <w:r>
        <w:rPr>
          <w:rFonts w:ascii="Consolas"/>
          <w:spacing w:val="-90"/>
          <w:sz w:val="22"/>
        </w:rPr>
        <w:t> </w:t>
      </w:r>
      <w:r>
        <w:rPr>
          <w:sz w:val="22"/>
        </w:rPr>
        <w:t>is returned. [</w:t>
      </w:r>
      <w:r>
        <w:rPr>
          <w:i/>
          <w:sz w:val="22"/>
        </w:rPr>
        <w:t>Example</w:t>
      </w:r>
      <w:r>
        <w:rPr>
          <w:sz w:val="22"/>
        </w:rPr>
        <w:t>:</w:t>
      </w:r>
    </w:p>
    <w:p>
      <w:pPr>
        <w:pStyle w:val="BodyText"/>
        <w:spacing w:line="276" w:lineRule="auto" w:before="109"/>
        <w:ind w:left="220" w:right="6877"/>
        <w:rPr>
          <w:rFonts w:ascii="Consolas"/>
        </w:rPr>
      </w:pPr>
      <w:r>
        <w:rPr>
          <w:rFonts w:ascii="Consolas"/>
        </w:rPr>
        <w:t>MULTINOMIAL(2) </w:t>
      </w:r>
      <w:r>
        <w:rPr/>
        <w:t>results in </w:t>
      </w:r>
      <w:r>
        <w:rPr>
          <w:rFonts w:ascii="Consolas"/>
        </w:rPr>
        <w:t>1 MULTINOMIAL(2,3) </w:t>
      </w:r>
      <w:r>
        <w:rPr/>
        <w:t>results in </w:t>
      </w:r>
      <w:r>
        <w:rPr>
          <w:rFonts w:ascii="Consolas"/>
        </w:rPr>
        <w:t>10 MULTINOMIAL(2,3,4)</w:t>
      </w:r>
      <w:r>
        <w:rPr>
          <w:rFonts w:ascii="Consolas"/>
          <w:spacing w:val="-83"/>
        </w:rPr>
        <w:t> </w:t>
      </w:r>
      <w:r>
        <w:rPr/>
        <w:t>results in </w:t>
      </w:r>
      <w:r>
        <w:rPr>
          <w:rFonts w:ascii="Consolas"/>
        </w:rPr>
        <w:t>1260</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3 N" w:id="2061"/>
      <w:bookmarkEnd w:id="2061"/>
      <w:r>
        <w:rPr/>
      </w:r>
      <w:bookmarkStart w:name="_bookmark686" w:id="2062"/>
      <w:bookmarkEnd w:id="2062"/>
      <w:r>
        <w:rPr/>
      </w:r>
      <w:bookmarkStart w:name="_bookmark686" w:id="2063"/>
      <w:bookmarkEnd w:id="2063"/>
      <w:r>
        <w:rPr>
          <w:color w:val="4F81BC"/>
        </w:rPr>
        <w:t>N</w:t>
      </w:r>
      <w:r>
        <w:rPr/>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N ( </w:t>
      </w:r>
      <w:r>
        <w:rPr>
          <w:i/>
          <w:sz w:val="22"/>
        </w:rPr>
        <w:t>value </w:t>
      </w:r>
      <w:r>
        <w:rPr>
          <w:rFonts w:ascii="Lucida Console"/>
          <w:sz w:val="20"/>
        </w:rPr>
        <w:t>)</w:t>
      </w:r>
    </w:p>
    <w:p>
      <w:pPr>
        <w:pStyle w:val="BodyText"/>
        <w:spacing w:line="278" w:lineRule="auto" w:before="106"/>
        <w:ind w:left="220" w:right="412"/>
      </w:pPr>
      <w:r>
        <w:rPr>
          <w:b/>
        </w:rPr>
        <w:t>Description: </w:t>
      </w:r>
      <w:r>
        <w:rPr/>
        <w:t>Converts </w:t>
      </w:r>
      <w:r>
        <w:rPr>
          <w:rFonts w:ascii="Times New Roman"/>
          <w:i/>
        </w:rPr>
        <w:t>value </w:t>
      </w:r>
      <w:r>
        <w:rPr/>
        <w:t>to a number or, if </w:t>
      </w:r>
      <w:r>
        <w:rPr>
          <w:rFonts w:ascii="Times New Roman"/>
          <w:i/>
        </w:rPr>
        <w:t>value </w:t>
      </w:r>
      <w:r>
        <w:rPr/>
        <w:t>is a reference to a single cell, converts the value of that cell to a number.</w:t>
      </w:r>
    </w:p>
    <w:p>
      <w:pPr>
        <w:pStyle w:val="Heading4"/>
        <w:spacing w:before="198"/>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Pr>
                <w:sz w:val="22"/>
              </w:rPr>
            </w:pPr>
            <w:r>
              <w:rPr>
                <w:sz w:val="22"/>
              </w:rPr>
              <w:t>Value to be converted.</w:t>
            </w:r>
          </w:p>
        </w:tc>
      </w:tr>
    </w:tbl>
    <w:p>
      <w:pPr>
        <w:pStyle w:val="BodyText"/>
        <w:rPr>
          <w:b/>
        </w:rPr>
      </w:pPr>
    </w:p>
    <w:p>
      <w:pPr>
        <w:pStyle w:val="BodyText"/>
        <w:spacing w:before="5"/>
        <w:rPr>
          <w:b/>
          <w:sz w:val="19"/>
        </w:rPr>
      </w:pPr>
    </w:p>
    <w:p>
      <w:pPr>
        <w:pStyle w:val="BodyText"/>
        <w:spacing w:line="278" w:lineRule="auto"/>
        <w:ind w:left="220" w:right="1057"/>
      </w:pPr>
      <w:r>
        <w:rPr>
          <w:b/>
        </w:rPr>
        <w:t>Return Type and Value: </w:t>
      </w:r>
      <w:r>
        <w:rPr/>
        <w:t>number or error – An integer that is the converted value of </w:t>
      </w:r>
      <w:r>
        <w:rPr>
          <w:rFonts w:ascii="Times New Roman" w:hAnsi="Times New Roman"/>
          <w:i/>
        </w:rPr>
        <w:t>value</w:t>
      </w:r>
      <w:r>
        <w:rPr/>
        <w:t>, or, if </w:t>
      </w:r>
      <w:r>
        <w:rPr>
          <w:rFonts w:ascii="Times New Roman" w:hAnsi="Times New Roman"/>
          <w:i/>
        </w:rPr>
        <w:t>value </w:t>
      </w:r>
      <w:r>
        <w:rPr/>
        <w:t>is a reference to a single cell, the converted value of that cell, as follows:</w:t>
      </w:r>
    </w:p>
    <w:p>
      <w:pPr>
        <w:pStyle w:val="BodyText"/>
        <w:spacing w:before="3"/>
        <w:rPr>
          <w:sz w:val="16"/>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2062"/>
      </w:tblGrid>
      <w:tr>
        <w:trPr>
          <w:trHeight w:val="354" w:hRule="atLeast"/>
        </w:trPr>
        <w:tc>
          <w:tcPr>
            <w:tcW w:w="2547" w:type="dxa"/>
            <w:shd w:val="clear" w:color="auto" w:fill="C0C0C0"/>
          </w:tcPr>
          <w:p>
            <w:pPr>
              <w:pStyle w:val="TableParagraph"/>
              <w:spacing w:before="41"/>
              <w:ind w:left="1008" w:right="1000"/>
              <w:jc w:val="center"/>
              <w:rPr>
                <w:rFonts w:ascii="Times New Roman"/>
                <w:b/>
                <w:i/>
                <w:sz w:val="22"/>
              </w:rPr>
            </w:pPr>
            <w:r>
              <w:rPr>
                <w:rFonts w:ascii="Times New Roman"/>
                <w:b/>
                <w:i/>
                <w:sz w:val="22"/>
              </w:rPr>
              <w:t>value</w:t>
            </w:r>
          </w:p>
        </w:tc>
        <w:tc>
          <w:tcPr>
            <w:tcW w:w="2062" w:type="dxa"/>
            <w:shd w:val="clear" w:color="auto" w:fill="C0C0C0"/>
          </w:tcPr>
          <w:p>
            <w:pPr>
              <w:pStyle w:val="TableParagraph"/>
              <w:ind w:left="316"/>
              <w:rPr>
                <w:b/>
                <w:sz w:val="22"/>
              </w:rPr>
            </w:pPr>
            <w:r>
              <w:rPr>
                <w:b/>
                <w:sz w:val="22"/>
              </w:rPr>
              <w:t>Value Returned</w:t>
            </w:r>
          </w:p>
        </w:tc>
      </w:tr>
      <w:tr>
        <w:trPr>
          <w:trHeight w:val="354" w:hRule="atLeast"/>
        </w:trPr>
        <w:tc>
          <w:tcPr>
            <w:tcW w:w="2547" w:type="dxa"/>
          </w:tcPr>
          <w:p>
            <w:pPr>
              <w:pStyle w:val="TableParagraph"/>
              <w:rPr>
                <w:sz w:val="22"/>
              </w:rPr>
            </w:pPr>
            <w:r>
              <w:rPr>
                <w:sz w:val="22"/>
              </w:rPr>
              <w:t>number</w:t>
            </w:r>
          </w:p>
        </w:tc>
        <w:tc>
          <w:tcPr>
            <w:tcW w:w="2062" w:type="dxa"/>
          </w:tcPr>
          <w:p>
            <w:pPr>
              <w:pStyle w:val="TableParagraph"/>
              <w:ind w:left="112"/>
              <w:rPr>
                <w:sz w:val="22"/>
              </w:rPr>
            </w:pPr>
            <w:r>
              <w:rPr>
                <w:sz w:val="22"/>
              </w:rPr>
              <w:t>That number</w:t>
            </w:r>
          </w:p>
        </w:tc>
      </w:tr>
      <w:tr>
        <w:trPr>
          <w:trHeight w:val="352" w:hRule="atLeast"/>
        </w:trPr>
        <w:tc>
          <w:tcPr>
            <w:tcW w:w="2547" w:type="dxa"/>
          </w:tcPr>
          <w:p>
            <w:pPr>
              <w:pStyle w:val="TableParagraph"/>
              <w:spacing w:before="42"/>
              <w:rPr>
                <w:rFonts w:ascii="Consolas"/>
                <w:sz w:val="22"/>
              </w:rPr>
            </w:pPr>
            <w:r>
              <w:rPr>
                <w:rFonts w:ascii="Consolas"/>
                <w:sz w:val="22"/>
              </w:rPr>
              <w:t>TRUE</w:t>
            </w:r>
          </w:p>
        </w:tc>
        <w:tc>
          <w:tcPr>
            <w:tcW w:w="2062" w:type="dxa"/>
          </w:tcPr>
          <w:p>
            <w:pPr>
              <w:pStyle w:val="TableParagraph"/>
              <w:ind w:left="112"/>
              <w:rPr>
                <w:sz w:val="22"/>
              </w:rPr>
            </w:pPr>
            <w:r>
              <w:rPr>
                <w:w w:val="100"/>
                <w:sz w:val="22"/>
              </w:rPr>
              <w:t>1</w:t>
            </w:r>
          </w:p>
        </w:tc>
      </w:tr>
      <w:tr>
        <w:trPr>
          <w:trHeight w:val="354" w:hRule="atLeast"/>
        </w:trPr>
        <w:tc>
          <w:tcPr>
            <w:tcW w:w="2547" w:type="dxa"/>
          </w:tcPr>
          <w:p>
            <w:pPr>
              <w:pStyle w:val="TableParagraph"/>
              <w:spacing w:before="44"/>
              <w:rPr>
                <w:rFonts w:ascii="Consolas"/>
                <w:sz w:val="22"/>
              </w:rPr>
            </w:pPr>
            <w:r>
              <w:rPr>
                <w:rFonts w:ascii="Consolas"/>
                <w:sz w:val="22"/>
              </w:rPr>
              <w:t>FALSE</w:t>
            </w:r>
          </w:p>
        </w:tc>
        <w:tc>
          <w:tcPr>
            <w:tcW w:w="2062" w:type="dxa"/>
          </w:tcPr>
          <w:p>
            <w:pPr>
              <w:pStyle w:val="TableParagraph"/>
              <w:spacing w:before="42"/>
              <w:ind w:left="112"/>
              <w:rPr>
                <w:sz w:val="22"/>
              </w:rPr>
            </w:pPr>
            <w:r>
              <w:rPr>
                <w:w w:val="100"/>
                <w:sz w:val="22"/>
              </w:rPr>
              <w:t>0</w:t>
            </w:r>
          </w:p>
        </w:tc>
      </w:tr>
      <w:tr>
        <w:trPr>
          <w:trHeight w:val="354" w:hRule="atLeast"/>
        </w:trPr>
        <w:tc>
          <w:tcPr>
            <w:tcW w:w="2547" w:type="dxa"/>
          </w:tcPr>
          <w:p>
            <w:pPr>
              <w:pStyle w:val="TableParagraph"/>
              <w:rPr>
                <w:sz w:val="22"/>
              </w:rPr>
            </w:pPr>
            <w:r>
              <w:rPr>
                <w:sz w:val="22"/>
              </w:rPr>
              <w:t>error value</w:t>
            </w:r>
          </w:p>
        </w:tc>
        <w:tc>
          <w:tcPr>
            <w:tcW w:w="2062" w:type="dxa"/>
          </w:tcPr>
          <w:p>
            <w:pPr>
              <w:pStyle w:val="TableParagraph"/>
              <w:ind w:left="112"/>
              <w:rPr>
                <w:sz w:val="22"/>
              </w:rPr>
            </w:pPr>
            <w:r>
              <w:rPr>
                <w:sz w:val="22"/>
              </w:rPr>
              <w:t>That error value</w:t>
            </w:r>
          </w:p>
        </w:tc>
      </w:tr>
      <w:tr>
        <w:trPr>
          <w:trHeight w:val="623" w:hRule="atLeast"/>
        </w:trPr>
        <w:tc>
          <w:tcPr>
            <w:tcW w:w="2547" w:type="dxa"/>
          </w:tcPr>
          <w:p>
            <w:pPr>
              <w:pStyle w:val="TableParagraph"/>
              <w:ind w:right="268"/>
              <w:rPr>
                <w:sz w:val="22"/>
              </w:rPr>
            </w:pPr>
            <w:r>
              <w:rPr>
                <w:sz w:val="22"/>
              </w:rPr>
              <w:t>Anything else (including array and text)</w:t>
            </w:r>
          </w:p>
        </w:tc>
        <w:tc>
          <w:tcPr>
            <w:tcW w:w="2062" w:type="dxa"/>
          </w:tcPr>
          <w:p>
            <w:pPr>
              <w:pStyle w:val="TableParagraph"/>
              <w:ind w:left="112"/>
              <w:rPr>
                <w:sz w:val="22"/>
              </w:rPr>
            </w:pPr>
            <w:r>
              <w:rPr>
                <w:w w:val="100"/>
                <w:sz w:val="22"/>
              </w:rPr>
              <w:t>0</w:t>
            </w:r>
          </w:p>
        </w:tc>
      </w:tr>
    </w:tbl>
    <w:p>
      <w:pPr>
        <w:pStyle w:val="BodyText"/>
      </w:pPr>
    </w:p>
    <w:p>
      <w:pPr>
        <w:pStyle w:val="BodyText"/>
        <w:spacing w:before="5"/>
        <w:rPr>
          <w:sz w:val="19"/>
        </w:rPr>
      </w:pPr>
    </w:p>
    <w:p>
      <w:pPr>
        <w:spacing w:before="1"/>
        <w:ind w:left="220" w:right="0" w:firstLine="0"/>
        <w:jc w:val="left"/>
        <w:rPr>
          <w:sz w:val="22"/>
        </w:rPr>
      </w:pPr>
      <w:r>
        <w:rPr>
          <w:sz w:val="22"/>
        </w:rPr>
        <w:t>[</w:t>
      </w:r>
      <w:r>
        <w:rPr>
          <w:i/>
          <w:sz w:val="22"/>
        </w:rPr>
        <w:t>Example</w:t>
      </w:r>
      <w:r>
        <w:rPr>
          <w:sz w:val="22"/>
        </w:rPr>
        <w:t>:</w:t>
      </w:r>
    </w:p>
    <w:p>
      <w:pPr>
        <w:pStyle w:val="BodyText"/>
        <w:spacing w:before="8"/>
        <w:rPr>
          <w:sz w:val="28"/>
        </w:rPr>
      </w:pPr>
    </w:p>
    <w:p>
      <w:pPr>
        <w:pStyle w:val="BodyText"/>
        <w:ind w:left="220"/>
        <w:rPr>
          <w:rFonts w:ascii="Consolas"/>
        </w:rPr>
      </w:pPr>
      <w:r>
        <w:rPr>
          <w:rFonts w:ascii="Consolas"/>
        </w:rPr>
        <w:t>N(10.5)</w:t>
      </w:r>
      <w:r>
        <w:rPr>
          <w:rFonts w:ascii="Consolas"/>
          <w:spacing w:val="-73"/>
        </w:rPr>
        <w:t> </w:t>
      </w:r>
      <w:r>
        <w:rPr/>
        <w:t>results in </w:t>
      </w:r>
      <w:r>
        <w:rPr>
          <w:rFonts w:ascii="Consolas"/>
        </w:rPr>
        <w:t>10.5</w:t>
      </w:r>
    </w:p>
    <w:p>
      <w:pPr>
        <w:pStyle w:val="BodyText"/>
        <w:spacing w:line="276" w:lineRule="auto" w:before="39"/>
        <w:ind w:left="220" w:right="4547"/>
        <w:rPr>
          <w:rFonts w:ascii="Consolas"/>
        </w:rPr>
      </w:pPr>
      <w:r>
        <w:rPr>
          <w:rFonts w:ascii="Consolas"/>
        </w:rPr>
        <w:t>N(A10)</w:t>
      </w:r>
      <w:r>
        <w:rPr>
          <w:rFonts w:ascii="Consolas"/>
          <w:spacing w:val="-85"/>
        </w:rPr>
        <w:t> </w:t>
      </w:r>
      <w:r>
        <w:rPr/>
        <w:t>results in </w:t>
      </w:r>
      <w:r>
        <w:rPr>
          <w:rFonts w:ascii="Consolas"/>
        </w:rPr>
        <w:t>-1234</w:t>
      </w:r>
      <w:r>
        <w:rPr/>
        <w:t>, when A10 contains the number </w:t>
      </w:r>
      <w:r>
        <w:rPr>
          <w:rFonts w:ascii="Consolas"/>
        </w:rPr>
        <w:t>-1234 N("ABC")</w:t>
      </w:r>
      <w:r>
        <w:rPr>
          <w:rFonts w:ascii="Consolas"/>
          <w:spacing w:val="-71"/>
        </w:rPr>
        <w:t> </w:t>
      </w:r>
      <w:r>
        <w:rPr/>
        <w:t>results in </w:t>
      </w:r>
      <w:r>
        <w:rPr>
          <w:rFonts w:ascii="Consolas"/>
        </w:rPr>
        <w:t>0</w:t>
      </w:r>
    </w:p>
    <w:p>
      <w:pPr>
        <w:pStyle w:val="BodyText"/>
        <w:spacing w:line="273" w:lineRule="auto" w:before="2"/>
        <w:ind w:left="220" w:right="5573"/>
        <w:rPr>
          <w:rFonts w:ascii="Consolas"/>
        </w:rPr>
      </w:pPr>
      <w:r>
        <w:rPr>
          <w:rFonts w:ascii="Consolas"/>
        </w:rPr>
        <w:t>N(A10)</w:t>
      </w:r>
      <w:r>
        <w:rPr>
          <w:rFonts w:ascii="Consolas"/>
          <w:spacing w:val="-84"/>
        </w:rPr>
        <w:t> </w:t>
      </w:r>
      <w:r>
        <w:rPr/>
        <w:t>results in </w:t>
      </w:r>
      <w:r>
        <w:rPr>
          <w:rFonts w:ascii="Consolas"/>
        </w:rPr>
        <w:t>0</w:t>
      </w:r>
      <w:r>
        <w:rPr/>
        <w:t>, when A10 contains the string </w:t>
      </w:r>
      <w:r>
        <w:rPr>
          <w:rFonts w:ascii="Consolas"/>
          <w:spacing w:val="-2"/>
        </w:rPr>
        <w:t>ABC </w:t>
      </w:r>
      <w:r>
        <w:rPr>
          <w:rFonts w:ascii="Consolas"/>
        </w:rPr>
        <w:t>N(TRUE)</w:t>
      </w:r>
      <w:r>
        <w:rPr>
          <w:rFonts w:ascii="Consolas"/>
          <w:spacing w:val="-73"/>
        </w:rPr>
        <w:t> </w:t>
      </w:r>
      <w:r>
        <w:rPr/>
        <w:t>results in </w:t>
      </w:r>
      <w:r>
        <w:rPr>
          <w:rFonts w:ascii="Consolas"/>
        </w:rPr>
        <w:t>1</w:t>
      </w:r>
    </w:p>
    <w:p>
      <w:pPr>
        <w:spacing w:after="0" w:line="273" w:lineRule="auto"/>
        <w:rPr>
          <w:rFonts w:ascii="Consolas"/>
        </w:rPr>
        <w:sectPr>
          <w:pgSz w:w="12240" w:h="15840"/>
          <w:pgMar w:header="763" w:footer="746" w:top="1340" w:bottom="940" w:left="860" w:right="700"/>
        </w:sectPr>
      </w:pPr>
    </w:p>
    <w:p>
      <w:pPr>
        <w:pStyle w:val="BodyText"/>
        <w:spacing w:line="276" w:lineRule="auto" w:before="90"/>
        <w:ind w:left="220" w:right="5985"/>
        <w:rPr>
          <w:rFonts w:ascii="Consolas"/>
        </w:rPr>
      </w:pPr>
      <w:r>
        <w:rPr>
          <w:rFonts w:ascii="Consolas"/>
        </w:rPr>
        <w:t>N(A10) </w:t>
      </w:r>
      <w:r>
        <w:rPr/>
        <w:t>results in </w:t>
      </w:r>
      <w:r>
        <w:rPr>
          <w:rFonts w:ascii="Consolas"/>
        </w:rPr>
        <w:t>0</w:t>
      </w:r>
      <w:r>
        <w:rPr/>
        <w:t>, when A10 contains </w:t>
      </w:r>
      <w:r>
        <w:rPr>
          <w:rFonts w:ascii="Consolas"/>
        </w:rPr>
        <w:t>FALSE N(A10)</w:t>
      </w:r>
      <w:r>
        <w:rPr>
          <w:rFonts w:ascii="Consolas"/>
          <w:spacing w:val="-81"/>
        </w:rPr>
        <w:t> </w:t>
      </w:r>
      <w:r>
        <w:rPr/>
        <w:t>results in </w:t>
      </w:r>
      <w:r>
        <w:rPr>
          <w:rFonts w:ascii="Consolas"/>
        </w:rPr>
        <w:t>#N/A</w:t>
      </w:r>
      <w:r>
        <w:rPr/>
        <w:t>, when A10 contains </w:t>
      </w:r>
      <w:r>
        <w:rPr>
          <w:rFonts w:ascii="Consolas"/>
        </w:rPr>
        <w:t>#N/A N({12.5,13.6,56.9}</w:t>
      </w:r>
      <w:r>
        <w:rPr>
          <w:rFonts w:ascii="Consolas"/>
          <w:spacing w:val="-70"/>
        </w:rPr>
        <w:t> </w:t>
      </w:r>
      <w:r>
        <w:rPr/>
        <w:t>results in </w:t>
      </w:r>
      <w:r>
        <w:rPr>
          <w:rFonts w:ascii="Consolas"/>
        </w:rPr>
        <w:t>12.50</w:t>
      </w:r>
    </w:p>
    <w:p>
      <w:pPr>
        <w:pStyle w:val="BodyText"/>
        <w:ind w:left="220"/>
      </w:pPr>
      <w:r>
        <w:rPr>
          <w:rFonts w:ascii="Consolas"/>
        </w:rPr>
        <w:t>N(A10:A11)</w:t>
      </w:r>
      <w:r>
        <w:rPr>
          <w:rFonts w:ascii="Consolas"/>
          <w:spacing w:val="-83"/>
        </w:rPr>
        <w:t> </w:t>
      </w:r>
      <w:r>
        <w:rPr/>
        <w:t>results in </w:t>
      </w:r>
      <w:r>
        <w:rPr>
          <w:rFonts w:ascii="Consolas"/>
        </w:rPr>
        <w:t>0</w:t>
      </w:r>
      <w:r>
        <w:rPr/>
        <w:t>, when A10 contains </w:t>
      </w:r>
      <w:r>
        <w:rPr>
          <w:rFonts w:ascii="Consolas"/>
        </w:rPr>
        <w:t>FALSE</w:t>
      </w:r>
      <w:r>
        <w:rPr/>
        <w:t>, and A11 contains 321</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4 NA" w:id="2064"/>
      <w:bookmarkEnd w:id="2064"/>
      <w:r>
        <w:rPr/>
      </w:r>
      <w:bookmarkStart w:name="_bookmark687" w:id="2065"/>
      <w:bookmarkEnd w:id="2065"/>
      <w:r>
        <w:rPr/>
      </w:r>
      <w:bookmarkStart w:name="_bookmark687" w:id="2066"/>
      <w:bookmarkEnd w:id="2066"/>
      <w:r>
        <w:rPr>
          <w:color w:val="4F81BC"/>
        </w:rPr>
        <w:t>NA</w:t>
      </w:r>
    </w:p>
    <w:p>
      <w:pPr>
        <w:pStyle w:val="Heading4"/>
        <w:spacing w:before="124"/>
        <w:rPr>
          <w:b w:val="0"/>
        </w:rPr>
      </w:pPr>
      <w:r>
        <w:rPr/>
        <w:t>Syntax</w:t>
      </w:r>
      <w:r>
        <w:rPr>
          <w:b w:val="0"/>
        </w:rPr>
        <w:t>:</w:t>
      </w:r>
    </w:p>
    <w:p>
      <w:pPr>
        <w:pStyle w:val="BodyText"/>
        <w:spacing w:before="4"/>
        <w:rPr>
          <w:sz w:val="23"/>
        </w:rPr>
      </w:pPr>
    </w:p>
    <w:p>
      <w:pPr>
        <w:spacing w:before="0"/>
        <w:ind w:left="940" w:right="0" w:firstLine="0"/>
        <w:jc w:val="left"/>
        <w:rPr>
          <w:rFonts w:ascii="Lucida Console"/>
          <w:sz w:val="20"/>
        </w:rPr>
      </w:pPr>
      <w:r>
        <w:rPr>
          <w:rFonts w:ascii="Lucida Console"/>
          <w:sz w:val="20"/>
        </w:rPr>
        <w:t>NA (</w:t>
      </w:r>
      <w:r>
        <w:rPr>
          <w:rFonts w:ascii="Lucida Console"/>
          <w:spacing w:val="-92"/>
          <w:sz w:val="20"/>
        </w:rPr>
        <w:t> </w:t>
      </w:r>
      <w:r>
        <w:rPr>
          <w:rFonts w:ascii="Lucida Console"/>
          <w:sz w:val="20"/>
        </w:rPr>
        <w:t>)</w:t>
      </w:r>
    </w:p>
    <w:p>
      <w:pPr>
        <w:pStyle w:val="BodyText"/>
        <w:spacing w:line="278" w:lineRule="auto" w:before="123"/>
        <w:ind w:left="220" w:right="503"/>
      </w:pPr>
      <w:r>
        <w:rPr>
          <w:b/>
        </w:rPr>
        <w:t>Description: </w:t>
      </w:r>
      <w:r>
        <w:rPr/>
        <w:t>Gets the error value </w:t>
      </w:r>
      <w:r>
        <w:rPr>
          <w:rFonts w:ascii="Consolas"/>
        </w:rPr>
        <w:t>#N/A</w:t>
      </w:r>
      <w:r>
        <w:rPr/>
        <w:t>. (The error value </w:t>
      </w:r>
      <w:r>
        <w:rPr>
          <w:rFonts w:ascii="Consolas"/>
        </w:rPr>
        <w:t>#N/A</w:t>
      </w:r>
      <w:r>
        <w:rPr>
          <w:rFonts w:ascii="Consolas"/>
          <w:spacing w:val="-104"/>
        </w:rPr>
        <w:t> </w:t>
      </w:r>
      <w:r>
        <w:rPr/>
        <w:t>can be used instead of a call to this function; the result is the same.)</w:t>
      </w:r>
    </w:p>
    <w:p>
      <w:pPr>
        <w:spacing w:before="196"/>
        <w:ind w:left="220" w:right="0" w:firstLine="0"/>
        <w:jc w:val="left"/>
        <w:rPr>
          <w:sz w:val="22"/>
        </w:rPr>
      </w:pPr>
      <w:r>
        <w:rPr>
          <w:b/>
          <w:sz w:val="22"/>
        </w:rPr>
        <w:t>Arguments: </w:t>
      </w:r>
      <w:r>
        <w:rPr>
          <w:sz w:val="22"/>
        </w:rPr>
        <w:t>None.</w:t>
      </w:r>
    </w:p>
    <w:p>
      <w:pPr>
        <w:pStyle w:val="BodyText"/>
        <w:spacing w:before="8"/>
        <w:rPr>
          <w:sz w:val="19"/>
        </w:rPr>
      </w:pPr>
    </w:p>
    <w:p>
      <w:pPr>
        <w:spacing w:line="453" w:lineRule="auto" w:before="0"/>
        <w:ind w:left="220" w:right="5625" w:firstLine="0"/>
        <w:jc w:val="left"/>
        <w:rPr>
          <w:sz w:val="22"/>
        </w:rPr>
      </w:pPr>
      <w:r>
        <w:rPr>
          <w:b/>
          <w:sz w:val="22"/>
        </w:rPr>
        <w:t>Return Type and Value: </w:t>
      </w:r>
      <w:r>
        <w:rPr>
          <w:sz w:val="22"/>
        </w:rPr>
        <w:t>error – The error value </w:t>
      </w:r>
      <w:r>
        <w:rPr>
          <w:rFonts w:ascii="Consolas" w:hAnsi="Consolas"/>
          <w:sz w:val="22"/>
        </w:rPr>
        <w:t>#N/A</w:t>
      </w:r>
      <w:r>
        <w:rPr>
          <w:sz w:val="22"/>
        </w:rPr>
        <w:t>. [</w:t>
      </w:r>
      <w:r>
        <w:rPr>
          <w:i/>
          <w:sz w:val="22"/>
        </w:rPr>
        <w:t>Example</w:t>
      </w:r>
      <w:r>
        <w:rPr>
          <w:sz w:val="22"/>
        </w:rPr>
        <w:t>:</w:t>
      </w:r>
    </w:p>
    <w:p>
      <w:pPr>
        <w:pStyle w:val="BodyText"/>
        <w:spacing w:line="276" w:lineRule="auto" w:before="110"/>
        <w:ind w:left="220" w:right="6754"/>
        <w:rPr>
          <w:rFonts w:ascii="Consolas"/>
        </w:rPr>
      </w:pPr>
      <w:r>
        <w:rPr>
          <w:rFonts w:ascii="Consolas"/>
        </w:rPr>
        <w:t>NA() </w:t>
      </w:r>
      <w:r>
        <w:rPr/>
        <w:t>results in </w:t>
      </w:r>
      <w:r>
        <w:rPr>
          <w:rFonts w:ascii="Consolas"/>
        </w:rPr>
        <w:t>#N/A IF(ISNA(NA()),"T","F")</w:t>
      </w:r>
      <w:r>
        <w:rPr>
          <w:rFonts w:ascii="Consolas"/>
          <w:spacing w:val="-81"/>
        </w:rPr>
        <w:t> </w:t>
      </w:r>
      <w:r>
        <w:rPr/>
        <w:t>results in </w:t>
      </w:r>
      <w:r>
        <w:rPr>
          <w:rFonts w:ascii="Consolas"/>
        </w:rPr>
        <w:t>T</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5 NEGBINOMDIST" w:id="2067"/>
      <w:bookmarkEnd w:id="2067"/>
      <w:r>
        <w:rPr/>
      </w:r>
      <w:bookmarkStart w:name="_bookmark688" w:id="2068"/>
      <w:bookmarkEnd w:id="2068"/>
      <w:r>
        <w:rPr/>
      </w:r>
      <w:bookmarkStart w:name="_bookmark688" w:id="2069"/>
      <w:bookmarkEnd w:id="2069"/>
      <w:r>
        <w:rPr>
          <w:color w:val="4F81BC"/>
        </w:rPr>
        <w:t>NEGB</w:t>
      </w:r>
      <w:r>
        <w:rPr>
          <w:color w:val="4F81BC"/>
        </w:rPr>
        <w:t>INOMDIST</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NEGBINOMDIST ( </w:t>
      </w:r>
      <w:r>
        <w:rPr>
          <w:i/>
          <w:sz w:val="22"/>
        </w:rPr>
        <w:t>number-failures </w:t>
      </w:r>
      <w:r>
        <w:rPr>
          <w:rFonts w:ascii="Lucida Console"/>
          <w:sz w:val="20"/>
        </w:rPr>
        <w:t>, </w:t>
      </w:r>
      <w:r>
        <w:rPr>
          <w:i/>
          <w:sz w:val="22"/>
        </w:rPr>
        <w:t>number-successes </w:t>
      </w:r>
      <w:r>
        <w:rPr>
          <w:rFonts w:ascii="Lucida Console"/>
          <w:sz w:val="20"/>
        </w:rPr>
        <w:t>,</w:t>
      </w:r>
      <w:r>
        <w:rPr>
          <w:rFonts w:ascii="Lucida Console"/>
          <w:spacing w:val="-89"/>
          <w:sz w:val="20"/>
        </w:rPr>
        <w:t> </w:t>
      </w:r>
      <w:r>
        <w:rPr>
          <w:i/>
          <w:sz w:val="22"/>
        </w:rPr>
        <w:t>success-probability </w:t>
      </w:r>
      <w:r>
        <w:rPr>
          <w:rFonts w:ascii="Lucida Console"/>
          <w:sz w:val="20"/>
        </w:rPr>
        <w:t>)</w:t>
      </w:r>
    </w:p>
    <w:p>
      <w:pPr>
        <w:spacing w:line="278" w:lineRule="auto" w:before="105"/>
        <w:ind w:left="220" w:right="381" w:firstLine="0"/>
        <w:jc w:val="left"/>
        <w:rPr>
          <w:sz w:val="22"/>
        </w:rPr>
      </w:pPr>
      <w:r>
        <w:rPr>
          <w:b/>
          <w:sz w:val="22"/>
        </w:rPr>
        <w:t>Description: </w:t>
      </w:r>
      <w:r>
        <w:rPr>
          <w:sz w:val="22"/>
        </w:rPr>
        <w:t>Computes the negative binomial distribution. </w:t>
      </w:r>
      <w:r>
        <w:rPr>
          <w:rFonts w:ascii="Consolas"/>
          <w:sz w:val="22"/>
        </w:rPr>
        <w:t>NEGBINOMDIST</w:t>
      </w:r>
      <w:r>
        <w:rPr>
          <w:rFonts w:ascii="Consolas"/>
          <w:spacing w:val="-104"/>
          <w:sz w:val="22"/>
        </w:rPr>
        <w:t> </w:t>
      </w:r>
      <w:r>
        <w:rPr>
          <w:sz w:val="22"/>
        </w:rPr>
        <w:t>returns the probability that there are </w:t>
      </w:r>
      <w:r>
        <w:rPr>
          <w:rFonts w:ascii="Times New Roman"/>
          <w:i/>
          <w:sz w:val="22"/>
        </w:rPr>
        <w:t>number-failures </w:t>
      </w:r>
      <w:r>
        <w:rPr>
          <w:sz w:val="22"/>
        </w:rPr>
        <w:t>failures before the </w:t>
      </w:r>
      <w:r>
        <w:rPr>
          <w:rFonts w:ascii="Times New Roman"/>
          <w:i/>
          <w:sz w:val="22"/>
        </w:rPr>
        <w:t>number-successes</w:t>
      </w:r>
      <w:r>
        <w:rPr>
          <w:sz w:val="22"/>
        </w:rPr>
        <w:t>th success, when the constant probability of a success is </w:t>
      </w:r>
      <w:r>
        <w:rPr>
          <w:rFonts w:ascii="Times New Roman"/>
          <w:i/>
          <w:sz w:val="22"/>
        </w:rPr>
        <w:t>success-probability</w:t>
      </w:r>
      <w:r>
        <w:rPr>
          <w:sz w:val="22"/>
        </w:rPr>
        <w:t>.</w:t>
      </w:r>
    </w:p>
    <w:p>
      <w:pPr>
        <w:pStyle w:val="Heading4"/>
        <w:spacing w:before="196"/>
        <w:rPr>
          <w:b w:val="0"/>
        </w:rPr>
      </w:pPr>
      <w:r>
        <w:rPr/>
        <w:t>Mathematical Formula</w:t>
      </w:r>
      <w:r>
        <w:rPr>
          <w:b w:val="0"/>
        </w:rPr>
        <w:t>:</w:t>
      </w:r>
    </w:p>
    <w:p>
      <w:pPr>
        <w:pStyle w:val="BodyText"/>
        <w:spacing w:before="2"/>
        <w:rPr>
          <w:sz w:val="17"/>
        </w:rPr>
      </w:pPr>
    </w:p>
    <w:p>
      <w:pPr>
        <w:pStyle w:val="BodyText"/>
        <w:spacing w:line="319" w:lineRule="exact"/>
        <w:ind w:left="220"/>
        <w:rPr>
          <w:rFonts w:ascii="Cambria Math" w:hAnsi="Cambria Math" w:eastAsia="Cambria Math"/>
        </w:rPr>
      </w:pPr>
      <w:r>
        <w:rPr>
          <w:rFonts w:ascii="Cambria Math" w:hAnsi="Cambria Math" w:eastAsia="Cambria Math"/>
        </w:rPr>
        <w:t>𝑛𝑏</w:t>
      </w:r>
      <w:r>
        <w:rPr>
          <w:rFonts w:ascii="Cambria Math" w:hAnsi="Cambria Math" w:eastAsia="Cambria Math"/>
          <w:position w:val="1"/>
        </w:rPr>
        <w:t>(</w:t>
      </w:r>
      <w:r>
        <w:rPr>
          <w:rFonts w:ascii="Cambria Math" w:hAnsi="Cambria Math" w:eastAsia="Cambria Math"/>
        </w:rPr>
        <w:t>𝑥, 𝑟, 𝑝</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2"/>
        </w:rPr>
        <w:t>𝑥 + 𝑟 − 1</w:t>
      </w:r>
      <w:r>
        <w:rPr>
          <w:rFonts w:ascii="Cambria Math" w:hAnsi="Cambria Math" w:eastAsia="Cambria Math"/>
        </w:rPr>
        <w:t>) 𝑝</w:t>
      </w:r>
      <w:r>
        <w:rPr>
          <w:rFonts w:ascii="Cambria Math" w:hAnsi="Cambria Math" w:eastAsia="Cambria Math"/>
          <w:vertAlign w:val="superscript"/>
        </w:rPr>
        <w:t>𝑟</w:t>
      </w:r>
      <w:r>
        <w:rPr>
          <w:rFonts w:ascii="Cambria Math" w:hAnsi="Cambria Math" w:eastAsia="Cambria Math"/>
          <w:position w:val="1"/>
          <w:vertAlign w:val="baseline"/>
        </w:rPr>
        <w:t>(</w:t>
      </w:r>
      <w:r>
        <w:rPr>
          <w:rFonts w:ascii="Cambria Math" w:hAnsi="Cambria Math" w:eastAsia="Cambria Math"/>
          <w:vertAlign w:val="baseline"/>
        </w:rPr>
        <w:t>1 − 𝑝</w:t>
      </w:r>
      <w:r>
        <w:rPr>
          <w:rFonts w:ascii="Cambria Math" w:hAnsi="Cambria Math" w:eastAsia="Cambria Math"/>
          <w:position w:val="1"/>
          <w:vertAlign w:val="baseline"/>
        </w:rPr>
        <w:t>)</w:t>
      </w:r>
      <w:r>
        <w:rPr>
          <w:rFonts w:ascii="Cambria Math" w:hAnsi="Cambria Math" w:eastAsia="Cambria Math"/>
          <w:position w:val="1"/>
          <w:vertAlign w:val="superscript"/>
        </w:rPr>
        <w:t>𝑥</w:t>
      </w:r>
    </w:p>
    <w:p>
      <w:pPr>
        <w:pStyle w:val="BodyText"/>
        <w:spacing w:line="199" w:lineRule="exact"/>
        <w:ind w:left="1811"/>
        <w:rPr>
          <w:rFonts w:ascii="Cambria Math" w:hAnsi="Cambria Math" w:eastAsia="Cambria Math"/>
        </w:rPr>
      </w:pPr>
      <w:r>
        <w:rPr>
          <w:rFonts w:ascii="Cambria Math" w:hAnsi="Cambria Math" w:eastAsia="Cambria Math"/>
        </w:rPr>
        <w:t>𝑟 − 1</w:t>
      </w:r>
    </w:p>
    <w:p>
      <w:pPr>
        <w:pStyle w:val="BodyText"/>
        <w:spacing w:before="6"/>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p </w:t>
      </w:r>
      <w:r>
        <w:rPr>
          <w:sz w:val="22"/>
        </w:rPr>
        <w:t>= the argument</w:t>
      </w:r>
      <w:r>
        <w:rPr>
          <w:spacing w:val="-7"/>
          <w:sz w:val="22"/>
        </w:rPr>
        <w:t> </w:t>
      </w:r>
      <w:r>
        <w:rPr>
          <w:rFonts w:ascii="Times New Roman" w:hAnsi="Times New Roman"/>
          <w:i/>
          <w:sz w:val="22"/>
        </w:rPr>
        <w:t>success-probability</w:t>
      </w:r>
      <w:r>
        <w:rPr>
          <w:sz w:val="22"/>
        </w:rPr>
        <w:t>.</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r </w:t>
      </w:r>
      <w:r>
        <w:rPr>
          <w:sz w:val="22"/>
        </w:rPr>
        <w:t>= the argument</w:t>
      </w:r>
      <w:r>
        <w:rPr>
          <w:spacing w:val="-10"/>
          <w:sz w:val="22"/>
        </w:rPr>
        <w:t> </w:t>
      </w:r>
      <w:r>
        <w:rPr>
          <w:rFonts w:ascii="Times New Roman" w:hAnsi="Times New Roman"/>
          <w:i/>
          <w:sz w:val="22"/>
        </w:rPr>
        <w:t>number-successes</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x </w:t>
      </w:r>
      <w:r>
        <w:rPr>
          <w:sz w:val="22"/>
        </w:rPr>
        <w:t>= the argument</w:t>
      </w:r>
      <w:r>
        <w:rPr>
          <w:spacing w:val="-6"/>
          <w:sz w:val="22"/>
        </w:rPr>
        <w:t> </w:t>
      </w:r>
      <w:r>
        <w:rPr>
          <w:rFonts w:ascii="Times New Roman" w:hAnsi="Times New Roman"/>
          <w:i/>
          <w:sz w:val="22"/>
        </w:rPr>
        <w:t>number-failures</w:t>
      </w:r>
    </w:p>
    <w:p>
      <w:pPr>
        <w:pStyle w:val="Heading4"/>
        <w:spacing w:before="242"/>
      </w:pPr>
      <w:r>
        <w:rPr/>
        <w:t>Arguments:</w:t>
      </w:r>
    </w:p>
    <w:p>
      <w:pPr>
        <w:spacing w:after="0"/>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592" w:hRule="atLeast"/>
        </w:trPr>
        <w:tc>
          <w:tcPr>
            <w:tcW w:w="1466" w:type="dxa"/>
          </w:tcPr>
          <w:p>
            <w:pPr>
              <w:pStyle w:val="TableParagraph"/>
              <w:spacing w:before="37"/>
              <w:ind w:right="575"/>
              <w:rPr>
                <w:rFonts w:ascii="Times New Roman"/>
                <w:i/>
                <w:sz w:val="22"/>
              </w:rPr>
            </w:pPr>
            <w:r>
              <w:rPr>
                <w:rFonts w:ascii="Times New Roman"/>
                <w:i/>
                <w:sz w:val="22"/>
              </w:rPr>
              <w:t>number- </w:t>
            </w:r>
            <w:r>
              <w:rPr>
                <w:rFonts w:ascii="Times New Roman"/>
                <w:i/>
                <w:sz w:val="22"/>
              </w:rPr>
              <w:t>failures</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failures, truncated to integer.</w:t>
            </w:r>
          </w:p>
        </w:tc>
      </w:tr>
      <w:tr>
        <w:trPr>
          <w:trHeight w:val="590" w:hRule="atLeast"/>
        </w:trPr>
        <w:tc>
          <w:tcPr>
            <w:tcW w:w="1466" w:type="dxa"/>
          </w:tcPr>
          <w:p>
            <w:pPr>
              <w:pStyle w:val="TableParagraph"/>
              <w:spacing w:before="37"/>
              <w:ind w:right="477"/>
              <w:rPr>
                <w:rFonts w:ascii="Times New Roman"/>
                <w:i/>
                <w:sz w:val="22"/>
              </w:rPr>
            </w:pPr>
            <w:r>
              <w:rPr>
                <w:rFonts w:ascii="Times New Roman"/>
                <w:i/>
                <w:sz w:val="22"/>
              </w:rPr>
              <w:t>number- </w:t>
            </w:r>
            <w:r>
              <w:rPr>
                <w:rFonts w:ascii="Times New Roman"/>
                <w:i/>
                <w:sz w:val="22"/>
              </w:rPr>
              <w:t>successes</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threshold number of successes, truncated to integer.</w:t>
            </w:r>
          </w:p>
        </w:tc>
      </w:tr>
      <w:tr>
        <w:trPr>
          <w:trHeight w:val="592" w:hRule="atLeast"/>
        </w:trPr>
        <w:tc>
          <w:tcPr>
            <w:tcW w:w="1466" w:type="dxa"/>
          </w:tcPr>
          <w:p>
            <w:pPr>
              <w:pStyle w:val="TableParagraph"/>
              <w:spacing w:before="39"/>
              <w:ind w:right="343"/>
              <w:rPr>
                <w:rFonts w:ascii="Times New Roman"/>
                <w:i/>
                <w:sz w:val="22"/>
              </w:rPr>
            </w:pPr>
            <w:r>
              <w:rPr>
                <w:rFonts w:ascii="Times New Roman"/>
                <w:i/>
                <w:sz w:val="22"/>
              </w:rPr>
              <w:t>success- </w:t>
            </w:r>
            <w:r>
              <w:rPr>
                <w:rFonts w:ascii="Times New Roman"/>
                <w:i/>
                <w:sz w:val="22"/>
              </w:rPr>
              <w:t>probability</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probability of a success.</w:t>
            </w:r>
          </w:p>
        </w:tc>
      </w:tr>
    </w:tbl>
    <w:p>
      <w:pPr>
        <w:pStyle w:val="BodyText"/>
        <w:rPr>
          <w:b/>
          <w:sz w:val="20"/>
        </w:rPr>
      </w:pPr>
    </w:p>
    <w:p>
      <w:pPr>
        <w:pStyle w:val="BodyText"/>
        <w:rPr>
          <w:b/>
          <w:sz w:val="17"/>
        </w:rPr>
      </w:pPr>
    </w:p>
    <w:p>
      <w:pPr>
        <w:spacing w:line="453" w:lineRule="auto" w:before="56"/>
        <w:ind w:left="220" w:right="4205" w:firstLine="0"/>
        <w:jc w:val="left"/>
        <w:rPr>
          <w:sz w:val="22"/>
        </w:rPr>
      </w:pPr>
      <w:r>
        <w:rPr>
          <w:b/>
          <w:sz w:val="22"/>
        </w:rPr>
        <w:t>Return Type and Value: </w:t>
      </w:r>
      <w:r>
        <w:rPr>
          <w:sz w:val="22"/>
        </w:rPr>
        <w:t>number – The negative binomial distribution.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number-failures </w:t>
      </w:r>
      <w:r>
        <w:rPr>
          <w:sz w:val="22"/>
        </w:rPr>
        <w:t>&lt; 0 or </w:t>
      </w:r>
      <w:r>
        <w:rPr>
          <w:rFonts w:ascii="Times New Roman" w:hAnsi="Times New Roman"/>
          <w:i/>
          <w:sz w:val="22"/>
        </w:rPr>
        <w:t>number-successes &lt; </w:t>
      </w:r>
      <w:r>
        <w:rPr>
          <w:sz w:val="22"/>
        </w:rPr>
        <w:t>1,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3574" w:firstLine="360"/>
        <w:jc w:val="left"/>
        <w:rPr>
          <w:sz w:val="22"/>
        </w:rPr>
      </w:pPr>
      <w:r>
        <w:rPr>
          <w:rFonts w:ascii="Times New Roman" w:hAnsi="Times New Roman"/>
          <w:i/>
          <w:sz w:val="22"/>
        </w:rPr>
        <w:t>success-probability </w:t>
      </w:r>
      <w:r>
        <w:rPr>
          <w:sz w:val="22"/>
        </w:rPr>
        <w:t>≤ 0 or </w:t>
      </w:r>
      <w:r>
        <w:rPr>
          <w:rFonts w:ascii="Times New Roman" w:hAnsi="Times New Roman"/>
          <w:i/>
          <w:sz w:val="22"/>
        </w:rPr>
        <w:t>success-probability </w:t>
      </w:r>
      <w:r>
        <w:rPr>
          <w:sz w:val="22"/>
        </w:rPr>
        <w:t>≥ 1, </w:t>
      </w:r>
      <w:r>
        <w:rPr>
          <w:rFonts w:ascii="Consolas" w:hAnsi="Consolas"/>
          <w:sz w:val="22"/>
        </w:rPr>
        <w:t>#NUM!</w:t>
      </w:r>
      <w:r>
        <w:rPr>
          <w:rFonts w:ascii="Consolas" w:hAnsi="Consolas"/>
          <w:spacing w:val="-90"/>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NEGBINOMDIST(6,10,0.5)</w:t>
      </w:r>
      <w:r>
        <w:rPr>
          <w:rFonts w:ascii="Consolas"/>
          <w:spacing w:val="-71"/>
        </w:rPr>
        <w:t> </w:t>
      </w:r>
      <w:r>
        <w:rPr/>
        <w:t>results in </w:t>
      </w:r>
      <w:r>
        <w:rPr>
          <w:rFonts w:ascii="Consolas"/>
        </w:rPr>
        <w:t>0.076370239</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6 NETWORKDAYS" w:id="2070"/>
      <w:bookmarkEnd w:id="2070"/>
      <w:r>
        <w:rPr/>
      </w:r>
      <w:bookmarkStart w:name="_bookmark689" w:id="2071"/>
      <w:bookmarkEnd w:id="2071"/>
      <w:r>
        <w:rPr/>
      </w:r>
      <w:bookmarkStart w:name="_bookmark689" w:id="2072"/>
      <w:bookmarkEnd w:id="2072"/>
      <w:r>
        <w:rPr>
          <w:color w:val="4F81BC"/>
        </w:rPr>
        <w:t>NET</w:t>
      </w:r>
      <w:r>
        <w:rPr>
          <w:color w:val="4F81BC"/>
        </w:rPr>
        <w:t>WORKDAYS</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NETWORKDAYS ( </w:t>
      </w:r>
      <w:r>
        <w:rPr>
          <w:i/>
          <w:sz w:val="22"/>
        </w:rPr>
        <w:t>start-date </w:t>
      </w:r>
      <w:r>
        <w:rPr>
          <w:rFonts w:ascii="Lucida Console"/>
          <w:sz w:val="20"/>
        </w:rPr>
        <w:t>, </w:t>
      </w:r>
      <w:r>
        <w:rPr>
          <w:i/>
          <w:sz w:val="22"/>
        </w:rPr>
        <w:t>end-date </w:t>
      </w:r>
      <w:r>
        <w:rPr>
          <w:sz w:val="22"/>
        </w:rPr>
        <w:t>[ </w:t>
      </w:r>
      <w:r>
        <w:rPr>
          <w:rFonts w:ascii="Lucida Console"/>
          <w:sz w:val="20"/>
        </w:rPr>
        <w:t>,</w:t>
      </w:r>
      <w:r>
        <w:rPr>
          <w:rFonts w:ascii="Lucida Console"/>
          <w:spacing w:val="-85"/>
          <w:sz w:val="20"/>
        </w:rPr>
        <w:t> </w:t>
      </w:r>
      <w:r>
        <w:rPr>
          <w:i/>
          <w:sz w:val="22"/>
        </w:rPr>
        <w:t>holidays </w:t>
      </w:r>
      <w:r>
        <w:rPr>
          <w:sz w:val="22"/>
        </w:rPr>
        <w:t>] </w:t>
      </w:r>
      <w:r>
        <w:rPr>
          <w:rFonts w:ascii="Lucida Console"/>
          <w:sz w:val="20"/>
        </w:rPr>
        <w:t>)</w:t>
      </w:r>
    </w:p>
    <w:p>
      <w:pPr>
        <w:spacing w:line="278" w:lineRule="auto" w:before="105"/>
        <w:ind w:left="220" w:right="836" w:firstLine="0"/>
        <w:jc w:val="left"/>
        <w:rPr>
          <w:sz w:val="22"/>
        </w:rPr>
      </w:pPr>
      <w:r>
        <w:rPr>
          <w:b/>
          <w:sz w:val="22"/>
        </w:rPr>
        <w:t>Description: </w:t>
      </w:r>
      <w:r>
        <w:rPr>
          <w:sz w:val="22"/>
        </w:rPr>
        <w:t>Computes the number of whole working days between </w:t>
      </w:r>
      <w:r>
        <w:rPr>
          <w:rFonts w:ascii="Times New Roman"/>
          <w:i/>
          <w:sz w:val="22"/>
        </w:rPr>
        <w:t>start-date </w:t>
      </w:r>
      <w:r>
        <w:rPr>
          <w:sz w:val="22"/>
        </w:rPr>
        <w:t>and </w:t>
      </w:r>
      <w:r>
        <w:rPr>
          <w:rFonts w:ascii="Times New Roman"/>
          <w:i/>
          <w:sz w:val="22"/>
        </w:rPr>
        <w:t>end-date</w:t>
      </w:r>
      <w:r>
        <w:rPr>
          <w:sz w:val="22"/>
        </w:rPr>
        <w:t>. Weekend days (Saturday, Sunday) and any holidays specified by </w:t>
      </w:r>
      <w:r>
        <w:rPr>
          <w:rFonts w:ascii="Times New Roman"/>
          <w:i/>
          <w:sz w:val="22"/>
        </w:rPr>
        <w:t>holidays </w:t>
      </w:r>
      <w:r>
        <w:rPr>
          <w:sz w:val="22"/>
        </w:rPr>
        <w:t>are not considered as working days.</w:t>
      </w:r>
    </w:p>
    <w:p>
      <w:pPr>
        <w:pStyle w:val="Heading4"/>
        <w:spacing w:before="198"/>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400" w:type="dxa"/>
            <w:vMerge w:val="restart"/>
          </w:tcPr>
          <w:p>
            <w:pPr>
              <w:pStyle w:val="TableParagraph"/>
              <w:ind w:left="113" w:right="257"/>
              <w:rPr>
                <w:sz w:val="22"/>
              </w:rPr>
            </w:pPr>
            <w:r>
              <w:rPr>
                <w:sz w:val="22"/>
              </w:rPr>
              <w:t>The dates for which the difference is to be computed. </w:t>
            </w:r>
            <w:r>
              <w:rPr>
                <w:rFonts w:ascii="Times New Roman"/>
                <w:i/>
                <w:sz w:val="22"/>
              </w:rPr>
              <w:t>start-date </w:t>
            </w:r>
            <w:r>
              <w:rPr>
                <w:sz w:val="22"/>
              </w:rPr>
              <w:t>can be earlier than, the same as, or later than </w:t>
            </w:r>
            <w:r>
              <w:rPr>
                <w:rFonts w:ascii="Times New Roman"/>
                <w:i/>
                <w:sz w:val="22"/>
              </w:rPr>
              <w:t>end-date</w:t>
            </w:r>
            <w:r>
              <w:rPr>
                <w:sz w:val="22"/>
              </w:rPr>
              <w:t>.</w:t>
            </w:r>
          </w:p>
        </w:tc>
      </w:tr>
      <w:tr>
        <w:trPr>
          <w:trHeight w:val="525" w:hRule="atLeast"/>
        </w:trPr>
        <w:tc>
          <w:tcPr>
            <w:tcW w:w="1466" w:type="dxa"/>
          </w:tcPr>
          <w:p>
            <w:pPr>
              <w:pStyle w:val="TableParagraph"/>
              <w:spacing w:before="37"/>
              <w:rPr>
                <w:rFonts w:ascii="Times New Roman"/>
                <w:i/>
                <w:sz w:val="22"/>
              </w:rPr>
            </w:pPr>
            <w:r>
              <w:rPr>
                <w:rFonts w:ascii="Times New Roman"/>
                <w:i/>
                <w:sz w:val="22"/>
              </w:rPr>
              <w:t>end-date</w:t>
            </w:r>
          </w:p>
        </w:tc>
        <w:tc>
          <w:tcPr>
            <w:tcW w:w="1800" w:type="dxa"/>
          </w:tcPr>
          <w:p>
            <w:pPr>
              <w:pStyle w:val="TableParagraph"/>
              <w:ind w:left="112"/>
              <w:rPr>
                <w:sz w:val="22"/>
              </w:rPr>
            </w:pPr>
            <w:r>
              <w:rPr>
                <w:sz w:val="22"/>
              </w:rPr>
              <w:t>number</w:t>
            </w:r>
          </w:p>
        </w:tc>
        <w:tc>
          <w:tcPr>
            <w:tcW w:w="5400" w:type="dxa"/>
            <w:vMerge/>
            <w:tcBorders>
              <w:top w:val="nil"/>
            </w:tcBorders>
          </w:tcPr>
          <w:p>
            <w:pPr>
              <w:rPr>
                <w:sz w:val="2"/>
                <w:szCs w:val="2"/>
              </w:rPr>
            </w:pPr>
          </w:p>
        </w:tc>
      </w:tr>
      <w:tr>
        <w:trPr>
          <w:trHeight w:val="1699" w:hRule="atLeast"/>
        </w:trPr>
        <w:tc>
          <w:tcPr>
            <w:tcW w:w="1466" w:type="dxa"/>
          </w:tcPr>
          <w:p>
            <w:pPr>
              <w:pStyle w:val="TableParagraph"/>
              <w:spacing w:before="37"/>
              <w:rPr>
                <w:rFonts w:ascii="Times New Roman"/>
                <w:i/>
                <w:sz w:val="22"/>
              </w:rPr>
            </w:pPr>
            <w:r>
              <w:rPr>
                <w:rFonts w:ascii="Times New Roman"/>
                <w:i/>
                <w:sz w:val="22"/>
              </w:rPr>
              <w:t>holidays</w:t>
            </w:r>
          </w:p>
        </w:tc>
        <w:tc>
          <w:tcPr>
            <w:tcW w:w="1800" w:type="dxa"/>
          </w:tcPr>
          <w:p>
            <w:pPr>
              <w:pStyle w:val="TableParagraph"/>
              <w:ind w:left="112"/>
              <w:rPr>
                <w:sz w:val="22"/>
              </w:rPr>
            </w:pPr>
            <w:r>
              <w:rPr>
                <w:sz w:val="22"/>
              </w:rPr>
              <w:t>reference, array</w:t>
            </w:r>
          </w:p>
        </w:tc>
        <w:tc>
          <w:tcPr>
            <w:tcW w:w="5400" w:type="dxa"/>
          </w:tcPr>
          <w:p>
            <w:pPr>
              <w:pStyle w:val="TableParagraph"/>
              <w:ind w:left="113" w:right="248"/>
              <w:rPr>
                <w:sz w:val="22"/>
              </w:rPr>
            </w:pPr>
            <w:r>
              <w:rPr>
                <w:sz w:val="22"/>
              </w:rPr>
              <w:t>An optional set of one or more dates that are to be excluded from the working day calendar. </w:t>
            </w:r>
            <w:r>
              <w:rPr>
                <w:rFonts w:ascii="Times New Roman"/>
                <w:i/>
                <w:sz w:val="22"/>
              </w:rPr>
              <w:t>holidays </w:t>
            </w:r>
            <w:r>
              <w:rPr>
                <w:sz w:val="22"/>
              </w:rPr>
              <w:t>shall be a range of cells that contain the dates, or an array constant of the serial date-times that represent those dates. The ordering of dates or serial date-times in </w:t>
            </w:r>
            <w:r>
              <w:rPr>
                <w:rFonts w:ascii="Times New Roman"/>
                <w:i/>
                <w:sz w:val="22"/>
              </w:rPr>
              <w:t>holidays </w:t>
            </w:r>
            <w:r>
              <w:rPr>
                <w:sz w:val="22"/>
              </w:rPr>
              <w:t>can be arbitrary.</w:t>
            </w:r>
          </w:p>
        </w:tc>
      </w:tr>
    </w:tbl>
    <w:p>
      <w:pPr>
        <w:spacing w:after="0"/>
        <w:rPr>
          <w:sz w:val="22"/>
        </w:rPr>
        <w:sectPr>
          <w:pgSz w:w="12240" w:h="15840"/>
          <w:pgMar w:header="763" w:footer="746" w:top="1340" w:bottom="940" w:left="860" w:right="700"/>
        </w:sectPr>
      </w:pPr>
    </w:p>
    <w:p>
      <w:pPr>
        <w:spacing w:line="276" w:lineRule="auto" w:before="90"/>
        <w:ind w:left="220" w:right="503" w:firstLine="0"/>
        <w:jc w:val="left"/>
        <w:rPr>
          <w:sz w:val="22"/>
        </w:rPr>
      </w:pPr>
      <w:r>
        <w:rPr>
          <w:b/>
          <w:sz w:val="22"/>
        </w:rPr>
        <w:t>Return Type and Value: </w:t>
      </w:r>
      <w:r>
        <w:rPr>
          <w:sz w:val="22"/>
        </w:rPr>
        <w:t>number – The number of whole working days between </w:t>
      </w:r>
      <w:r>
        <w:rPr>
          <w:rFonts w:ascii="Times New Roman" w:hAnsi="Times New Roman"/>
          <w:i/>
          <w:sz w:val="22"/>
        </w:rPr>
        <w:t>start-date </w:t>
      </w:r>
      <w:r>
        <w:rPr>
          <w:sz w:val="22"/>
        </w:rPr>
        <w:t>and </w:t>
      </w:r>
      <w:r>
        <w:rPr>
          <w:rFonts w:ascii="Times New Roman" w:hAnsi="Times New Roman"/>
          <w:i/>
          <w:sz w:val="22"/>
        </w:rPr>
        <w:t>end-date</w:t>
      </w:r>
      <w:r>
        <w:rPr>
          <w:sz w:val="22"/>
        </w:rPr>
        <w:t>, excluding the specified holidays. If </w:t>
      </w:r>
      <w:r>
        <w:rPr>
          <w:rFonts w:ascii="Times New Roman" w:hAnsi="Times New Roman"/>
          <w:i/>
          <w:sz w:val="22"/>
        </w:rPr>
        <w:t>start-date </w:t>
      </w:r>
      <w:r>
        <w:rPr>
          <w:sz w:val="22"/>
        </w:rPr>
        <w:t>is later than </w:t>
      </w:r>
      <w:r>
        <w:rPr>
          <w:rFonts w:ascii="Times New Roman" w:hAnsi="Times New Roman"/>
          <w:i/>
          <w:sz w:val="22"/>
        </w:rPr>
        <w:t>end-date</w:t>
      </w:r>
      <w:r>
        <w:rPr>
          <w:sz w:val="22"/>
        </w:rPr>
        <w:t>, the return value shall be negative, and the magnitude shall be the number of whole working days.</w:t>
      </w:r>
    </w:p>
    <w:p>
      <w:pPr>
        <w:pStyle w:val="BodyText"/>
        <w:spacing w:before="7"/>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start-date </w:t>
      </w:r>
      <w:r>
        <w:rPr>
          <w:sz w:val="22"/>
        </w:rPr>
        <w:t>is out of range for the current date system,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3332" w:firstLine="360"/>
        <w:jc w:val="left"/>
        <w:rPr>
          <w:sz w:val="22"/>
        </w:rPr>
      </w:pPr>
      <w:r>
        <w:rPr>
          <w:rFonts w:ascii="Times New Roman" w:hAnsi="Times New Roman"/>
          <w:i/>
          <w:sz w:val="22"/>
        </w:rPr>
        <w:t>end-date </w:t>
      </w:r>
      <w:r>
        <w:rPr>
          <w:sz w:val="22"/>
        </w:rPr>
        <w:t>is out of range for the current date system, </w:t>
      </w:r>
      <w:r>
        <w:rPr>
          <w:rFonts w:ascii="Consolas" w:hAnsi="Consolas"/>
          <w:sz w:val="22"/>
        </w:rPr>
        <w:t>#NUM!</w:t>
      </w:r>
      <w:r>
        <w:rPr>
          <w:rFonts w:ascii="Consolas" w:hAnsi="Consolas"/>
          <w:spacing w:val="-93"/>
          <w:sz w:val="22"/>
        </w:rPr>
        <w:t> </w:t>
      </w:r>
      <w:r>
        <w:rPr>
          <w:sz w:val="22"/>
        </w:rPr>
        <w:t>is returned. [</w:t>
      </w:r>
      <w:r>
        <w:rPr>
          <w:i/>
          <w:sz w:val="22"/>
        </w:rPr>
        <w:t>Example</w:t>
      </w:r>
      <w:r>
        <w:rPr>
          <w:sz w:val="22"/>
        </w:rPr>
        <w:t>:</w:t>
      </w:r>
    </w:p>
    <w:p>
      <w:pPr>
        <w:pStyle w:val="BodyText"/>
        <w:spacing w:line="276" w:lineRule="auto" w:before="126"/>
        <w:ind w:left="220"/>
        <w:rPr>
          <w:rFonts w:ascii="Consolas"/>
        </w:rPr>
      </w:pPr>
      <w:r>
        <w:rPr>
          <w:rFonts w:ascii="Consolas"/>
        </w:rPr>
        <w:t>NETWORKDAYS(DATE(2006,1,1),DATE(2006,1,31)) </w:t>
      </w:r>
      <w:r>
        <w:rPr/>
        <w:t>results in 23 </w:t>
      </w:r>
      <w:r>
        <w:rPr>
          <w:rFonts w:ascii="Consolas"/>
        </w:rPr>
        <w:t>NETWORKDAYS(DATE(2006,1,31),DATE(2006,1,1)) </w:t>
      </w:r>
      <w:r>
        <w:rPr/>
        <w:t>results in </w:t>
      </w:r>
      <w:r>
        <w:rPr>
          <w:rFonts w:ascii="Consolas"/>
        </w:rPr>
        <w:t>-23 NETWORKDAYS(DATE(2006,1,1),DATE(2006,2,1),{"2006/1/2","2006/1/16"})</w:t>
      </w:r>
      <w:r>
        <w:rPr>
          <w:rFonts w:ascii="Consolas"/>
          <w:spacing w:val="-101"/>
        </w:rPr>
        <w:t> </w:t>
      </w:r>
      <w:r>
        <w:rPr/>
        <w:t>results in </w:t>
      </w:r>
      <w:r>
        <w:rPr>
          <w:rFonts w:ascii="Consolas"/>
        </w:rPr>
        <w:t>21</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7 NETWORKDAYS.INTL" w:id="2073"/>
      <w:bookmarkEnd w:id="2073"/>
      <w:r>
        <w:rPr/>
      </w:r>
      <w:bookmarkStart w:name="_bookmark690" w:id="2074"/>
      <w:bookmarkEnd w:id="2074"/>
      <w:r>
        <w:rPr/>
      </w:r>
      <w:bookmarkStart w:name="_bookmark690" w:id="2075"/>
      <w:bookmarkEnd w:id="2075"/>
      <w:r>
        <w:rPr>
          <w:color w:val="4F81BC"/>
        </w:rPr>
        <w:t>NET</w:t>
      </w:r>
      <w:r>
        <w:rPr>
          <w:color w:val="4F81BC"/>
        </w:rPr>
        <w:t>WORKDAYS.INTL</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i/>
          <w:sz w:val="22"/>
        </w:rPr>
        <w:t>Number form: </w:t>
      </w:r>
      <w:r>
        <w:rPr>
          <w:rFonts w:ascii="Lucida Console"/>
          <w:sz w:val="20"/>
        </w:rPr>
        <w:t>NETWORKDAYS.INTL ( </w:t>
      </w:r>
      <w:r>
        <w:rPr>
          <w:i/>
          <w:sz w:val="22"/>
        </w:rPr>
        <w:t>start-date </w:t>
      </w:r>
      <w:r>
        <w:rPr>
          <w:rFonts w:ascii="Lucida Console"/>
          <w:sz w:val="20"/>
        </w:rPr>
        <w:t>, </w:t>
      </w:r>
      <w:r>
        <w:rPr>
          <w:i/>
          <w:sz w:val="22"/>
        </w:rPr>
        <w:t>end-date </w:t>
      </w:r>
      <w:r>
        <w:rPr>
          <w:sz w:val="22"/>
        </w:rPr>
        <w:t>[ , [ </w:t>
      </w:r>
      <w:r>
        <w:rPr>
          <w:i/>
          <w:sz w:val="22"/>
        </w:rPr>
        <w:t>weekend-number </w:t>
      </w:r>
      <w:r>
        <w:rPr>
          <w:sz w:val="22"/>
        </w:rPr>
        <w:t>][ </w:t>
      </w:r>
      <w:r>
        <w:rPr>
          <w:rFonts w:ascii="Lucida Console"/>
          <w:sz w:val="20"/>
        </w:rPr>
        <w:t>, </w:t>
      </w:r>
      <w:r>
        <w:rPr>
          <w:i/>
          <w:sz w:val="22"/>
        </w:rPr>
        <w:t>holidays </w:t>
      </w:r>
      <w:r>
        <w:rPr>
          <w:sz w:val="22"/>
        </w:rPr>
        <w:t>]] </w:t>
      </w:r>
      <w:r>
        <w:rPr>
          <w:rFonts w:ascii="Lucida Console"/>
          <w:sz w:val="20"/>
        </w:rPr>
        <w:t>)</w:t>
      </w:r>
    </w:p>
    <w:p>
      <w:pPr>
        <w:spacing w:before="101"/>
        <w:ind w:left="940" w:right="0" w:firstLine="0"/>
        <w:jc w:val="left"/>
        <w:rPr>
          <w:rFonts w:ascii="Lucida Console"/>
          <w:sz w:val="20"/>
        </w:rPr>
      </w:pPr>
      <w:r>
        <w:rPr>
          <w:i/>
          <w:sz w:val="22"/>
        </w:rPr>
        <w:t>String form: </w:t>
      </w:r>
      <w:r>
        <w:rPr>
          <w:rFonts w:ascii="Lucida Console"/>
          <w:sz w:val="20"/>
        </w:rPr>
        <w:t>NETWORKDAYS.INTL</w:t>
      </w:r>
      <w:r>
        <w:rPr>
          <w:rFonts w:ascii="Lucida Console"/>
          <w:spacing w:val="-71"/>
          <w:sz w:val="20"/>
        </w:rPr>
        <w:t> </w:t>
      </w:r>
      <w:r>
        <w:rPr>
          <w:rFonts w:ascii="Lucida Console"/>
          <w:sz w:val="20"/>
        </w:rPr>
        <w:t>( </w:t>
      </w:r>
      <w:r>
        <w:rPr>
          <w:i/>
          <w:sz w:val="22"/>
        </w:rPr>
        <w:t>start-date </w:t>
      </w:r>
      <w:r>
        <w:rPr>
          <w:rFonts w:ascii="Lucida Console"/>
          <w:sz w:val="20"/>
        </w:rPr>
        <w:t>, </w:t>
      </w:r>
      <w:r>
        <w:rPr>
          <w:i/>
          <w:sz w:val="22"/>
        </w:rPr>
        <w:t>end-date </w:t>
      </w:r>
      <w:r>
        <w:rPr>
          <w:sz w:val="22"/>
        </w:rPr>
        <w:t>[ , [ </w:t>
      </w:r>
      <w:r>
        <w:rPr>
          <w:i/>
          <w:sz w:val="22"/>
        </w:rPr>
        <w:t>weekend-string </w:t>
      </w:r>
      <w:r>
        <w:rPr>
          <w:sz w:val="22"/>
        </w:rPr>
        <w:t>][ </w:t>
      </w:r>
      <w:r>
        <w:rPr>
          <w:rFonts w:ascii="Lucida Console"/>
          <w:sz w:val="20"/>
        </w:rPr>
        <w:t>, </w:t>
      </w:r>
      <w:r>
        <w:rPr>
          <w:i/>
          <w:sz w:val="22"/>
        </w:rPr>
        <w:t>holidays </w:t>
      </w:r>
      <w:r>
        <w:rPr>
          <w:sz w:val="22"/>
        </w:rPr>
        <w:t>]] </w:t>
      </w:r>
      <w:r>
        <w:rPr>
          <w:rFonts w:ascii="Lucida Console"/>
          <w:sz w:val="20"/>
        </w:rPr>
        <w:t>)</w:t>
      </w:r>
    </w:p>
    <w:p>
      <w:pPr>
        <w:spacing w:line="278" w:lineRule="auto" w:before="106"/>
        <w:ind w:left="220" w:right="450" w:firstLine="0"/>
        <w:jc w:val="left"/>
        <w:rPr>
          <w:sz w:val="22"/>
        </w:rPr>
      </w:pPr>
      <w:r>
        <w:rPr>
          <w:b/>
          <w:sz w:val="22"/>
        </w:rPr>
        <w:t>Description: </w:t>
      </w:r>
      <w:r>
        <w:rPr>
          <w:sz w:val="22"/>
        </w:rPr>
        <w:t>Computes the number of whole working days between </w:t>
      </w:r>
      <w:r>
        <w:rPr>
          <w:rFonts w:ascii="Times New Roman"/>
          <w:i/>
          <w:sz w:val="22"/>
        </w:rPr>
        <w:t>start-date </w:t>
      </w:r>
      <w:r>
        <w:rPr>
          <w:sz w:val="22"/>
        </w:rPr>
        <w:t>and </w:t>
      </w:r>
      <w:r>
        <w:rPr>
          <w:rFonts w:ascii="Times New Roman"/>
          <w:i/>
          <w:sz w:val="22"/>
        </w:rPr>
        <w:t>end-date</w:t>
      </w:r>
      <w:r>
        <w:rPr>
          <w:sz w:val="22"/>
        </w:rPr>
        <w:t>. Weekend days and any holidays specified by </w:t>
      </w:r>
      <w:r>
        <w:rPr>
          <w:rFonts w:ascii="Times New Roman"/>
          <w:i/>
          <w:sz w:val="22"/>
        </w:rPr>
        <w:t>holidays </w:t>
      </w:r>
      <w:r>
        <w:rPr>
          <w:sz w:val="22"/>
        </w:rPr>
        <w:t>are not considered as working days.</w:t>
      </w:r>
    </w:p>
    <w:p>
      <w:pPr>
        <w:pStyle w:val="Heading4"/>
        <w:spacing w:before="198"/>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400" w:type="dxa"/>
            <w:vMerge w:val="restart"/>
          </w:tcPr>
          <w:p>
            <w:pPr>
              <w:pStyle w:val="TableParagraph"/>
              <w:ind w:left="113" w:right="257"/>
              <w:rPr>
                <w:sz w:val="22"/>
              </w:rPr>
            </w:pPr>
            <w:r>
              <w:rPr>
                <w:sz w:val="22"/>
              </w:rPr>
              <w:t>The dates for which the difference is to be computed. </w:t>
            </w:r>
            <w:r>
              <w:rPr>
                <w:rFonts w:ascii="Times New Roman"/>
                <w:i/>
                <w:sz w:val="22"/>
              </w:rPr>
              <w:t>start-date </w:t>
            </w:r>
            <w:r>
              <w:rPr>
                <w:sz w:val="22"/>
              </w:rPr>
              <w:t>can be earlier than, the same as, or later than </w:t>
            </w:r>
            <w:r>
              <w:rPr>
                <w:rFonts w:ascii="Times New Roman"/>
                <w:i/>
                <w:sz w:val="22"/>
              </w:rPr>
              <w:t>end-date</w:t>
            </w:r>
            <w:r>
              <w:rPr>
                <w:sz w:val="22"/>
              </w:rPr>
              <w:t>.</w:t>
            </w:r>
          </w:p>
        </w:tc>
      </w:tr>
      <w:tr>
        <w:trPr>
          <w:trHeight w:val="527" w:hRule="atLeast"/>
        </w:trPr>
        <w:tc>
          <w:tcPr>
            <w:tcW w:w="1466" w:type="dxa"/>
          </w:tcPr>
          <w:p>
            <w:pPr>
              <w:pStyle w:val="TableParagraph"/>
              <w:spacing w:before="37"/>
              <w:rPr>
                <w:rFonts w:ascii="Times New Roman"/>
                <w:i/>
                <w:sz w:val="22"/>
              </w:rPr>
            </w:pPr>
            <w:r>
              <w:rPr>
                <w:rFonts w:ascii="Times New Roman"/>
                <w:i/>
                <w:sz w:val="22"/>
              </w:rPr>
              <w:t>end-date</w:t>
            </w:r>
          </w:p>
        </w:tc>
        <w:tc>
          <w:tcPr>
            <w:tcW w:w="1800" w:type="dxa"/>
          </w:tcPr>
          <w:p>
            <w:pPr>
              <w:pStyle w:val="TableParagraph"/>
              <w:ind w:left="112"/>
              <w:rPr>
                <w:sz w:val="22"/>
              </w:rPr>
            </w:pPr>
            <w:r>
              <w:rPr>
                <w:sz w:val="22"/>
              </w:rPr>
              <w:t>Number</w:t>
            </w:r>
          </w:p>
        </w:tc>
        <w:tc>
          <w:tcPr>
            <w:tcW w:w="5400" w:type="dxa"/>
            <w:vMerge/>
            <w:tcBorders>
              <w:top w:val="nil"/>
            </w:tcBorders>
          </w:tcPr>
          <w:p>
            <w:pPr>
              <w:rPr>
                <w:sz w:val="2"/>
                <w:szCs w:val="2"/>
              </w:rPr>
            </w:pPr>
          </w:p>
        </w:tc>
      </w:tr>
      <w:tr>
        <w:trPr>
          <w:trHeight w:val="1158" w:hRule="atLeast"/>
        </w:trPr>
        <w:tc>
          <w:tcPr>
            <w:tcW w:w="1466" w:type="dxa"/>
          </w:tcPr>
          <w:p>
            <w:pPr>
              <w:pStyle w:val="TableParagraph"/>
              <w:spacing w:before="37"/>
              <w:ind w:right="490"/>
              <w:rPr>
                <w:rFonts w:ascii="Times New Roman"/>
                <w:i/>
                <w:sz w:val="22"/>
              </w:rPr>
            </w:pPr>
            <w:r>
              <w:rPr>
                <w:rFonts w:ascii="Times New Roman"/>
                <w:i/>
                <w:sz w:val="22"/>
              </w:rPr>
              <w:t>weekend- </w:t>
            </w: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175"/>
              <w:rPr>
                <w:sz w:val="22"/>
              </w:rPr>
            </w:pPr>
            <w:r>
              <w:rPr>
                <w:sz w:val="22"/>
              </w:rPr>
              <w:t>Indicates the days of the week that are weekend days and are not included in the number of whole working days between </w:t>
            </w:r>
            <w:r>
              <w:rPr>
                <w:rFonts w:ascii="Times New Roman"/>
                <w:i/>
                <w:sz w:val="22"/>
              </w:rPr>
              <w:t>start-date </w:t>
            </w:r>
            <w:r>
              <w:rPr>
                <w:sz w:val="22"/>
              </w:rPr>
              <w:t>and </w:t>
            </w:r>
            <w:r>
              <w:rPr>
                <w:rFonts w:ascii="Times New Roman"/>
                <w:i/>
                <w:sz w:val="22"/>
              </w:rPr>
              <w:t>end-date</w:t>
            </w:r>
            <w:r>
              <w:rPr>
                <w:sz w:val="22"/>
              </w:rPr>
              <w:t>. Values are shown in the table below.</w:t>
            </w:r>
          </w:p>
        </w:tc>
      </w:tr>
      <w:tr>
        <w:trPr>
          <w:trHeight w:val="2505" w:hRule="atLeast"/>
        </w:trPr>
        <w:tc>
          <w:tcPr>
            <w:tcW w:w="1466" w:type="dxa"/>
          </w:tcPr>
          <w:p>
            <w:pPr>
              <w:pStyle w:val="TableParagraph"/>
              <w:spacing w:line="242" w:lineRule="auto" w:before="37"/>
              <w:ind w:right="490"/>
              <w:rPr>
                <w:rFonts w:ascii="Times New Roman"/>
                <w:i/>
                <w:sz w:val="22"/>
              </w:rPr>
            </w:pPr>
            <w:r>
              <w:rPr>
                <w:rFonts w:ascii="Times New Roman"/>
                <w:i/>
                <w:sz w:val="22"/>
              </w:rPr>
              <w:t>weekend- </w:t>
            </w:r>
            <w:r>
              <w:rPr>
                <w:rFonts w:ascii="Times New Roman"/>
                <w:i/>
                <w:sz w:val="22"/>
              </w:rPr>
              <w:t>string</w:t>
            </w:r>
          </w:p>
        </w:tc>
        <w:tc>
          <w:tcPr>
            <w:tcW w:w="1800" w:type="dxa"/>
          </w:tcPr>
          <w:p>
            <w:pPr>
              <w:pStyle w:val="TableParagraph"/>
              <w:ind w:left="112"/>
              <w:rPr>
                <w:sz w:val="22"/>
              </w:rPr>
            </w:pPr>
            <w:r>
              <w:rPr>
                <w:sz w:val="22"/>
              </w:rPr>
              <w:t>String</w:t>
            </w:r>
          </w:p>
        </w:tc>
        <w:tc>
          <w:tcPr>
            <w:tcW w:w="5400" w:type="dxa"/>
          </w:tcPr>
          <w:p>
            <w:pPr>
              <w:pStyle w:val="TableParagraph"/>
              <w:ind w:left="113" w:right="472"/>
              <w:jc w:val="both"/>
              <w:rPr>
                <w:sz w:val="22"/>
              </w:rPr>
            </w:pPr>
            <w:r>
              <w:rPr>
                <w:sz w:val="22"/>
              </w:rPr>
              <w:t>Indicates the days of the week that are weekend days and are not included in the number of whole working days between </w:t>
            </w:r>
            <w:r>
              <w:rPr>
                <w:rFonts w:ascii="Times New Roman"/>
                <w:i/>
                <w:sz w:val="22"/>
              </w:rPr>
              <w:t>start-date </w:t>
            </w:r>
            <w:r>
              <w:rPr>
                <w:sz w:val="22"/>
              </w:rPr>
              <w:t>and </w:t>
            </w:r>
            <w:r>
              <w:rPr>
                <w:rFonts w:ascii="Times New Roman"/>
                <w:i/>
                <w:sz w:val="22"/>
              </w:rPr>
              <w:t>end-date</w:t>
            </w:r>
            <w:r>
              <w:rPr>
                <w:sz w:val="22"/>
              </w:rPr>
              <w:t>.</w:t>
            </w:r>
          </w:p>
          <w:p>
            <w:pPr>
              <w:pStyle w:val="TableParagraph"/>
              <w:spacing w:before="1"/>
              <w:ind w:left="0"/>
              <w:rPr>
                <w:b/>
                <w:sz w:val="22"/>
              </w:rPr>
            </w:pPr>
          </w:p>
          <w:p>
            <w:pPr>
              <w:pStyle w:val="TableParagraph"/>
              <w:spacing w:before="0"/>
              <w:ind w:left="113" w:right="118"/>
              <w:rPr>
                <w:sz w:val="22"/>
              </w:rPr>
            </w:pPr>
            <w:r>
              <w:rPr>
                <w:sz w:val="22"/>
              </w:rPr>
              <w:t>Values of </w:t>
            </w:r>
            <w:r>
              <w:rPr>
                <w:rFonts w:ascii="Times New Roman" w:hAnsi="Times New Roman"/>
                <w:i/>
                <w:sz w:val="22"/>
              </w:rPr>
              <w:t>weekend-string </w:t>
            </w:r>
            <w:r>
              <w:rPr>
                <w:sz w:val="22"/>
              </w:rPr>
              <w:t>are seven characters long and each character in the string represents a day of the week, beginning with Monday. [</w:t>
            </w:r>
            <w:r>
              <w:rPr>
                <w:i/>
                <w:sz w:val="22"/>
              </w:rPr>
              <w:t>Example</w:t>
            </w:r>
            <w:r>
              <w:rPr>
                <w:sz w:val="22"/>
              </w:rPr>
              <w:t>: “0000011” would result in a weekend that is Saturday and Sunday. </w:t>
            </w:r>
            <w:r>
              <w:rPr>
                <w:i/>
                <w:sz w:val="22"/>
              </w:rPr>
              <w:t>end </w:t>
            </w:r>
            <w:r>
              <w:rPr>
                <w:i/>
                <w:sz w:val="22"/>
              </w:rPr>
              <w:t>example</w:t>
            </w:r>
            <w:r>
              <w:rPr>
                <w:sz w:val="22"/>
              </w:rPr>
              <w:t>]</w:t>
            </w:r>
          </w:p>
        </w:tc>
      </w:tr>
    </w:tbl>
    <w:p>
      <w:pPr>
        <w:spacing w:after="0"/>
        <w:rPr>
          <w:sz w:val="22"/>
        </w:rPr>
        <w:sectPr>
          <w:footerReference w:type="even" r:id="rId256"/>
          <w:footerReference w:type="default" r:id="rId257"/>
          <w:pgSz w:w="12240" w:h="15840"/>
          <w:pgMar w:footer="746" w:header="761" w:top="1340" w:bottom="940" w:left="860" w:right="700"/>
          <w:pgNumType w:start="23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6" w:hRule="atLeast"/>
        </w:trPr>
        <w:tc>
          <w:tcPr>
            <w:tcW w:w="1466" w:type="dxa"/>
          </w:tcPr>
          <w:p>
            <w:pPr>
              <w:pStyle w:val="TableParagraph"/>
              <w:spacing w:before="37"/>
              <w:rPr>
                <w:rFonts w:ascii="Times New Roman"/>
                <w:i/>
                <w:sz w:val="22"/>
              </w:rPr>
            </w:pPr>
            <w:r>
              <w:rPr>
                <w:rFonts w:ascii="Times New Roman"/>
                <w:i/>
                <w:sz w:val="22"/>
              </w:rPr>
              <w:t>holidays</w:t>
            </w:r>
          </w:p>
        </w:tc>
        <w:tc>
          <w:tcPr>
            <w:tcW w:w="1800" w:type="dxa"/>
          </w:tcPr>
          <w:p>
            <w:pPr>
              <w:pStyle w:val="TableParagraph"/>
              <w:ind w:left="112"/>
              <w:rPr>
                <w:sz w:val="22"/>
              </w:rPr>
            </w:pPr>
            <w:r>
              <w:rPr>
                <w:sz w:val="22"/>
              </w:rPr>
              <w:t>reference, array</w:t>
            </w:r>
          </w:p>
        </w:tc>
        <w:tc>
          <w:tcPr>
            <w:tcW w:w="5400" w:type="dxa"/>
          </w:tcPr>
          <w:p>
            <w:pPr>
              <w:pStyle w:val="TableParagraph"/>
              <w:ind w:left="113" w:right="248"/>
              <w:rPr>
                <w:sz w:val="22"/>
              </w:rPr>
            </w:pPr>
            <w:r>
              <w:rPr>
                <w:sz w:val="22"/>
              </w:rPr>
              <w:t>An optional set of one or more dates that are to be excluded from the working day calendar. </w:t>
            </w:r>
            <w:r>
              <w:rPr>
                <w:rFonts w:ascii="Times New Roman"/>
                <w:i/>
                <w:sz w:val="22"/>
              </w:rPr>
              <w:t>holidays </w:t>
            </w:r>
            <w:r>
              <w:rPr>
                <w:sz w:val="22"/>
              </w:rPr>
              <w:t>shall be a range of cells that contain the dates, or an array constant of the serial date-times that represent those dates. The ordering of dates or serial date-times in </w:t>
            </w:r>
            <w:r>
              <w:rPr>
                <w:rFonts w:ascii="Times New Roman"/>
                <w:i/>
                <w:sz w:val="22"/>
              </w:rPr>
              <w:t>holidays </w:t>
            </w:r>
            <w:r>
              <w:rPr>
                <w:sz w:val="22"/>
              </w:rPr>
              <w:t>can be arbitrary.</w:t>
            </w:r>
          </w:p>
        </w:tc>
      </w:tr>
    </w:tbl>
    <w:p>
      <w:pPr>
        <w:pStyle w:val="BodyText"/>
        <w:rPr>
          <w:b/>
          <w:sz w:val="20"/>
        </w:rPr>
      </w:pPr>
    </w:p>
    <w:p>
      <w:pPr>
        <w:pStyle w:val="BodyText"/>
        <w:spacing w:before="8"/>
        <w:rPr>
          <w:b/>
          <w:sz w:val="21"/>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5"/>
        <w:gridCol w:w="2700"/>
      </w:tblGrid>
      <w:tr>
        <w:trPr>
          <w:trHeight w:val="354" w:hRule="atLeast"/>
        </w:trPr>
        <w:tc>
          <w:tcPr>
            <w:tcW w:w="2095" w:type="dxa"/>
            <w:shd w:val="clear" w:color="auto" w:fill="C0C0C0"/>
          </w:tcPr>
          <w:p>
            <w:pPr>
              <w:pStyle w:val="TableParagraph"/>
              <w:spacing w:before="41"/>
              <w:ind w:left="263"/>
              <w:rPr>
                <w:rFonts w:ascii="Times New Roman"/>
                <w:b/>
                <w:i/>
                <w:sz w:val="22"/>
              </w:rPr>
            </w:pPr>
            <w:r>
              <w:rPr>
                <w:rFonts w:ascii="Times New Roman"/>
                <w:b/>
                <w:i/>
                <w:sz w:val="22"/>
              </w:rPr>
              <w:t>weekend-number</w:t>
            </w:r>
          </w:p>
        </w:tc>
        <w:tc>
          <w:tcPr>
            <w:tcW w:w="2700" w:type="dxa"/>
            <w:shd w:val="clear" w:color="auto" w:fill="C0C0C0"/>
          </w:tcPr>
          <w:p>
            <w:pPr>
              <w:pStyle w:val="TableParagraph"/>
              <w:ind w:left="679"/>
              <w:rPr>
                <w:b/>
                <w:sz w:val="22"/>
              </w:rPr>
            </w:pPr>
            <w:r>
              <w:rPr>
                <w:b/>
                <w:sz w:val="22"/>
              </w:rPr>
              <w:t>Weekend days</w:t>
            </w:r>
          </w:p>
        </w:tc>
      </w:tr>
      <w:tr>
        <w:trPr>
          <w:trHeight w:val="354" w:hRule="atLeast"/>
        </w:trPr>
        <w:tc>
          <w:tcPr>
            <w:tcW w:w="2095" w:type="dxa"/>
          </w:tcPr>
          <w:p>
            <w:pPr>
              <w:pStyle w:val="TableParagraph"/>
              <w:rPr>
                <w:sz w:val="22"/>
              </w:rPr>
            </w:pPr>
            <w:r>
              <w:rPr>
                <w:sz w:val="22"/>
              </w:rPr>
              <w:t>1 or omitted</w:t>
            </w:r>
          </w:p>
        </w:tc>
        <w:tc>
          <w:tcPr>
            <w:tcW w:w="2700" w:type="dxa"/>
          </w:tcPr>
          <w:p>
            <w:pPr>
              <w:pStyle w:val="TableParagraph"/>
              <w:rPr>
                <w:sz w:val="22"/>
              </w:rPr>
            </w:pPr>
            <w:r>
              <w:rPr>
                <w:sz w:val="22"/>
              </w:rPr>
              <w:t>Saturday, Sunday</w:t>
            </w:r>
          </w:p>
        </w:tc>
      </w:tr>
      <w:tr>
        <w:trPr>
          <w:trHeight w:val="354" w:hRule="atLeast"/>
        </w:trPr>
        <w:tc>
          <w:tcPr>
            <w:tcW w:w="2095" w:type="dxa"/>
          </w:tcPr>
          <w:p>
            <w:pPr>
              <w:pStyle w:val="TableParagraph"/>
              <w:rPr>
                <w:sz w:val="22"/>
              </w:rPr>
            </w:pPr>
            <w:r>
              <w:rPr>
                <w:w w:val="100"/>
                <w:sz w:val="22"/>
              </w:rPr>
              <w:t>2</w:t>
            </w:r>
          </w:p>
        </w:tc>
        <w:tc>
          <w:tcPr>
            <w:tcW w:w="2700" w:type="dxa"/>
          </w:tcPr>
          <w:p>
            <w:pPr>
              <w:pStyle w:val="TableParagraph"/>
              <w:rPr>
                <w:sz w:val="22"/>
              </w:rPr>
            </w:pPr>
            <w:r>
              <w:rPr>
                <w:sz w:val="22"/>
              </w:rPr>
              <w:t>Sunday, Monday</w:t>
            </w:r>
          </w:p>
        </w:tc>
      </w:tr>
      <w:tr>
        <w:trPr>
          <w:trHeight w:val="355" w:hRule="atLeast"/>
        </w:trPr>
        <w:tc>
          <w:tcPr>
            <w:tcW w:w="2095" w:type="dxa"/>
          </w:tcPr>
          <w:p>
            <w:pPr>
              <w:pStyle w:val="TableParagraph"/>
              <w:rPr>
                <w:sz w:val="22"/>
              </w:rPr>
            </w:pPr>
            <w:r>
              <w:rPr>
                <w:w w:val="100"/>
                <w:sz w:val="22"/>
              </w:rPr>
              <w:t>3</w:t>
            </w:r>
          </w:p>
        </w:tc>
        <w:tc>
          <w:tcPr>
            <w:tcW w:w="2700" w:type="dxa"/>
          </w:tcPr>
          <w:p>
            <w:pPr>
              <w:pStyle w:val="TableParagraph"/>
              <w:rPr>
                <w:sz w:val="22"/>
              </w:rPr>
            </w:pPr>
            <w:r>
              <w:rPr>
                <w:sz w:val="22"/>
              </w:rPr>
              <w:t>Monday, Tuesday</w:t>
            </w:r>
          </w:p>
        </w:tc>
      </w:tr>
      <w:tr>
        <w:trPr>
          <w:trHeight w:val="354" w:hRule="atLeast"/>
        </w:trPr>
        <w:tc>
          <w:tcPr>
            <w:tcW w:w="2095" w:type="dxa"/>
          </w:tcPr>
          <w:p>
            <w:pPr>
              <w:pStyle w:val="TableParagraph"/>
              <w:rPr>
                <w:sz w:val="22"/>
              </w:rPr>
            </w:pPr>
            <w:r>
              <w:rPr>
                <w:w w:val="100"/>
                <w:sz w:val="22"/>
              </w:rPr>
              <w:t>4</w:t>
            </w:r>
          </w:p>
        </w:tc>
        <w:tc>
          <w:tcPr>
            <w:tcW w:w="2700" w:type="dxa"/>
          </w:tcPr>
          <w:p>
            <w:pPr>
              <w:pStyle w:val="TableParagraph"/>
              <w:rPr>
                <w:sz w:val="22"/>
              </w:rPr>
            </w:pPr>
            <w:r>
              <w:rPr>
                <w:sz w:val="22"/>
              </w:rPr>
              <w:t>Tuesday, Wednesday</w:t>
            </w:r>
          </w:p>
        </w:tc>
      </w:tr>
      <w:tr>
        <w:trPr>
          <w:trHeight w:val="354" w:hRule="atLeast"/>
        </w:trPr>
        <w:tc>
          <w:tcPr>
            <w:tcW w:w="2095" w:type="dxa"/>
          </w:tcPr>
          <w:p>
            <w:pPr>
              <w:pStyle w:val="TableParagraph"/>
              <w:rPr>
                <w:sz w:val="22"/>
              </w:rPr>
            </w:pPr>
            <w:r>
              <w:rPr>
                <w:w w:val="100"/>
                <w:sz w:val="22"/>
              </w:rPr>
              <w:t>5</w:t>
            </w:r>
          </w:p>
        </w:tc>
        <w:tc>
          <w:tcPr>
            <w:tcW w:w="2700" w:type="dxa"/>
          </w:tcPr>
          <w:p>
            <w:pPr>
              <w:pStyle w:val="TableParagraph"/>
              <w:rPr>
                <w:sz w:val="22"/>
              </w:rPr>
            </w:pPr>
            <w:r>
              <w:rPr>
                <w:sz w:val="22"/>
              </w:rPr>
              <w:t>Wednesday, Thursday</w:t>
            </w:r>
          </w:p>
        </w:tc>
      </w:tr>
      <w:tr>
        <w:trPr>
          <w:trHeight w:val="354" w:hRule="atLeast"/>
        </w:trPr>
        <w:tc>
          <w:tcPr>
            <w:tcW w:w="2095" w:type="dxa"/>
          </w:tcPr>
          <w:p>
            <w:pPr>
              <w:pStyle w:val="TableParagraph"/>
              <w:rPr>
                <w:sz w:val="22"/>
              </w:rPr>
            </w:pPr>
            <w:r>
              <w:rPr>
                <w:w w:val="100"/>
                <w:sz w:val="22"/>
              </w:rPr>
              <w:t>6</w:t>
            </w:r>
          </w:p>
        </w:tc>
        <w:tc>
          <w:tcPr>
            <w:tcW w:w="2700" w:type="dxa"/>
          </w:tcPr>
          <w:p>
            <w:pPr>
              <w:pStyle w:val="TableParagraph"/>
              <w:rPr>
                <w:sz w:val="22"/>
              </w:rPr>
            </w:pPr>
            <w:r>
              <w:rPr>
                <w:sz w:val="22"/>
              </w:rPr>
              <w:t>Thursday, Friday</w:t>
            </w:r>
          </w:p>
        </w:tc>
      </w:tr>
      <w:tr>
        <w:trPr>
          <w:trHeight w:val="354" w:hRule="atLeast"/>
        </w:trPr>
        <w:tc>
          <w:tcPr>
            <w:tcW w:w="2095" w:type="dxa"/>
          </w:tcPr>
          <w:p>
            <w:pPr>
              <w:pStyle w:val="TableParagraph"/>
              <w:rPr>
                <w:sz w:val="22"/>
              </w:rPr>
            </w:pPr>
            <w:r>
              <w:rPr>
                <w:w w:val="100"/>
                <w:sz w:val="22"/>
              </w:rPr>
              <w:t>7</w:t>
            </w:r>
          </w:p>
        </w:tc>
        <w:tc>
          <w:tcPr>
            <w:tcW w:w="2700" w:type="dxa"/>
          </w:tcPr>
          <w:p>
            <w:pPr>
              <w:pStyle w:val="TableParagraph"/>
              <w:rPr>
                <w:sz w:val="22"/>
              </w:rPr>
            </w:pPr>
            <w:r>
              <w:rPr>
                <w:sz w:val="22"/>
              </w:rPr>
              <w:t>Friday, Saturday</w:t>
            </w:r>
          </w:p>
        </w:tc>
      </w:tr>
      <w:tr>
        <w:trPr>
          <w:trHeight w:val="352" w:hRule="atLeast"/>
        </w:trPr>
        <w:tc>
          <w:tcPr>
            <w:tcW w:w="2095" w:type="dxa"/>
          </w:tcPr>
          <w:p>
            <w:pPr>
              <w:pStyle w:val="TableParagraph"/>
              <w:rPr>
                <w:sz w:val="22"/>
              </w:rPr>
            </w:pPr>
            <w:r>
              <w:rPr>
                <w:sz w:val="22"/>
              </w:rPr>
              <w:t>11</w:t>
            </w:r>
          </w:p>
        </w:tc>
        <w:tc>
          <w:tcPr>
            <w:tcW w:w="2700" w:type="dxa"/>
          </w:tcPr>
          <w:p>
            <w:pPr>
              <w:pStyle w:val="TableParagraph"/>
              <w:rPr>
                <w:sz w:val="22"/>
              </w:rPr>
            </w:pPr>
            <w:r>
              <w:rPr>
                <w:sz w:val="22"/>
              </w:rPr>
              <w:t>Sunday only</w:t>
            </w:r>
          </w:p>
        </w:tc>
      </w:tr>
      <w:tr>
        <w:trPr>
          <w:trHeight w:val="354" w:hRule="atLeast"/>
        </w:trPr>
        <w:tc>
          <w:tcPr>
            <w:tcW w:w="2095" w:type="dxa"/>
          </w:tcPr>
          <w:p>
            <w:pPr>
              <w:pStyle w:val="TableParagraph"/>
              <w:spacing w:before="42"/>
              <w:rPr>
                <w:sz w:val="22"/>
              </w:rPr>
            </w:pPr>
            <w:r>
              <w:rPr>
                <w:sz w:val="22"/>
              </w:rPr>
              <w:t>12</w:t>
            </w:r>
          </w:p>
        </w:tc>
        <w:tc>
          <w:tcPr>
            <w:tcW w:w="2700" w:type="dxa"/>
          </w:tcPr>
          <w:p>
            <w:pPr>
              <w:pStyle w:val="TableParagraph"/>
              <w:spacing w:before="42"/>
              <w:rPr>
                <w:sz w:val="22"/>
              </w:rPr>
            </w:pPr>
            <w:r>
              <w:rPr>
                <w:sz w:val="22"/>
              </w:rPr>
              <w:t>Monday only</w:t>
            </w:r>
          </w:p>
        </w:tc>
      </w:tr>
      <w:tr>
        <w:trPr>
          <w:trHeight w:val="354" w:hRule="atLeast"/>
        </w:trPr>
        <w:tc>
          <w:tcPr>
            <w:tcW w:w="2095" w:type="dxa"/>
          </w:tcPr>
          <w:p>
            <w:pPr>
              <w:pStyle w:val="TableParagraph"/>
              <w:rPr>
                <w:sz w:val="22"/>
              </w:rPr>
            </w:pPr>
            <w:r>
              <w:rPr>
                <w:sz w:val="22"/>
              </w:rPr>
              <w:t>13</w:t>
            </w:r>
          </w:p>
        </w:tc>
        <w:tc>
          <w:tcPr>
            <w:tcW w:w="2700" w:type="dxa"/>
          </w:tcPr>
          <w:p>
            <w:pPr>
              <w:pStyle w:val="TableParagraph"/>
              <w:rPr>
                <w:sz w:val="22"/>
              </w:rPr>
            </w:pPr>
            <w:r>
              <w:rPr>
                <w:sz w:val="22"/>
              </w:rPr>
              <w:t>Tuesday only</w:t>
            </w:r>
          </w:p>
        </w:tc>
      </w:tr>
      <w:tr>
        <w:trPr>
          <w:trHeight w:val="354" w:hRule="atLeast"/>
        </w:trPr>
        <w:tc>
          <w:tcPr>
            <w:tcW w:w="2095" w:type="dxa"/>
          </w:tcPr>
          <w:p>
            <w:pPr>
              <w:pStyle w:val="TableParagraph"/>
              <w:rPr>
                <w:sz w:val="22"/>
              </w:rPr>
            </w:pPr>
            <w:r>
              <w:rPr>
                <w:sz w:val="22"/>
              </w:rPr>
              <w:t>14</w:t>
            </w:r>
          </w:p>
        </w:tc>
        <w:tc>
          <w:tcPr>
            <w:tcW w:w="2700" w:type="dxa"/>
          </w:tcPr>
          <w:p>
            <w:pPr>
              <w:pStyle w:val="TableParagraph"/>
              <w:rPr>
                <w:sz w:val="22"/>
              </w:rPr>
            </w:pPr>
            <w:r>
              <w:rPr>
                <w:sz w:val="22"/>
              </w:rPr>
              <w:t>Wednesday only</w:t>
            </w:r>
          </w:p>
        </w:tc>
      </w:tr>
      <w:tr>
        <w:trPr>
          <w:trHeight w:val="355" w:hRule="atLeast"/>
        </w:trPr>
        <w:tc>
          <w:tcPr>
            <w:tcW w:w="2095" w:type="dxa"/>
          </w:tcPr>
          <w:p>
            <w:pPr>
              <w:pStyle w:val="TableParagraph"/>
              <w:rPr>
                <w:sz w:val="22"/>
              </w:rPr>
            </w:pPr>
            <w:r>
              <w:rPr>
                <w:sz w:val="22"/>
              </w:rPr>
              <w:t>15</w:t>
            </w:r>
          </w:p>
        </w:tc>
        <w:tc>
          <w:tcPr>
            <w:tcW w:w="2700" w:type="dxa"/>
          </w:tcPr>
          <w:p>
            <w:pPr>
              <w:pStyle w:val="TableParagraph"/>
              <w:rPr>
                <w:sz w:val="22"/>
              </w:rPr>
            </w:pPr>
            <w:r>
              <w:rPr>
                <w:sz w:val="22"/>
              </w:rPr>
              <w:t>Thursday only</w:t>
            </w:r>
          </w:p>
        </w:tc>
      </w:tr>
      <w:tr>
        <w:trPr>
          <w:trHeight w:val="354" w:hRule="atLeast"/>
        </w:trPr>
        <w:tc>
          <w:tcPr>
            <w:tcW w:w="2095" w:type="dxa"/>
          </w:tcPr>
          <w:p>
            <w:pPr>
              <w:pStyle w:val="TableParagraph"/>
              <w:rPr>
                <w:sz w:val="22"/>
              </w:rPr>
            </w:pPr>
            <w:r>
              <w:rPr>
                <w:sz w:val="22"/>
              </w:rPr>
              <w:t>16</w:t>
            </w:r>
          </w:p>
        </w:tc>
        <w:tc>
          <w:tcPr>
            <w:tcW w:w="2700" w:type="dxa"/>
          </w:tcPr>
          <w:p>
            <w:pPr>
              <w:pStyle w:val="TableParagraph"/>
              <w:rPr>
                <w:sz w:val="22"/>
              </w:rPr>
            </w:pPr>
            <w:r>
              <w:rPr>
                <w:sz w:val="22"/>
              </w:rPr>
              <w:t>Friday only</w:t>
            </w:r>
          </w:p>
        </w:tc>
      </w:tr>
      <w:tr>
        <w:trPr>
          <w:trHeight w:val="354" w:hRule="atLeast"/>
        </w:trPr>
        <w:tc>
          <w:tcPr>
            <w:tcW w:w="2095" w:type="dxa"/>
          </w:tcPr>
          <w:p>
            <w:pPr>
              <w:pStyle w:val="TableParagraph"/>
              <w:rPr>
                <w:sz w:val="22"/>
              </w:rPr>
            </w:pPr>
            <w:r>
              <w:rPr>
                <w:sz w:val="22"/>
              </w:rPr>
              <w:t>17</w:t>
            </w:r>
          </w:p>
        </w:tc>
        <w:tc>
          <w:tcPr>
            <w:tcW w:w="2700" w:type="dxa"/>
          </w:tcPr>
          <w:p>
            <w:pPr>
              <w:pStyle w:val="TableParagraph"/>
              <w:rPr>
                <w:sz w:val="22"/>
              </w:rPr>
            </w:pPr>
            <w:r>
              <w:rPr>
                <w:sz w:val="22"/>
              </w:rPr>
              <w:t>Saturday only</w:t>
            </w:r>
          </w:p>
        </w:tc>
      </w:tr>
    </w:tbl>
    <w:p>
      <w:pPr>
        <w:pStyle w:val="BodyText"/>
        <w:rPr>
          <w:b/>
          <w:sz w:val="20"/>
        </w:rPr>
      </w:pPr>
    </w:p>
    <w:p>
      <w:pPr>
        <w:pStyle w:val="BodyText"/>
        <w:spacing w:before="5"/>
        <w:rPr>
          <w:b/>
          <w:sz w:val="21"/>
        </w:rPr>
      </w:pPr>
    </w:p>
    <w:p>
      <w:pPr>
        <w:spacing w:line="276" w:lineRule="auto" w:before="0"/>
        <w:ind w:left="220" w:right="544" w:firstLine="0"/>
        <w:jc w:val="left"/>
        <w:rPr>
          <w:sz w:val="22"/>
        </w:rPr>
      </w:pPr>
      <w:r>
        <w:rPr>
          <w:b/>
          <w:sz w:val="22"/>
        </w:rPr>
        <w:t>Return Type and Value: </w:t>
      </w:r>
      <w:r>
        <w:rPr>
          <w:sz w:val="22"/>
        </w:rPr>
        <w:t>number – The number of whole working days between </w:t>
      </w:r>
      <w:r>
        <w:rPr>
          <w:rFonts w:ascii="Times New Roman" w:hAnsi="Times New Roman"/>
          <w:i/>
          <w:sz w:val="22"/>
        </w:rPr>
        <w:t>start-date </w:t>
      </w:r>
      <w:r>
        <w:rPr>
          <w:sz w:val="22"/>
        </w:rPr>
        <w:t>and </w:t>
      </w:r>
      <w:r>
        <w:rPr>
          <w:rFonts w:ascii="Times New Roman" w:hAnsi="Times New Roman"/>
          <w:i/>
          <w:sz w:val="22"/>
        </w:rPr>
        <w:t>end-date</w:t>
      </w:r>
      <w:r>
        <w:rPr>
          <w:sz w:val="22"/>
        </w:rPr>
        <w:t>, excluding the specified weekend days and holidays. If </w:t>
      </w:r>
      <w:r>
        <w:rPr>
          <w:rFonts w:ascii="Times New Roman" w:hAnsi="Times New Roman"/>
          <w:i/>
          <w:sz w:val="22"/>
        </w:rPr>
        <w:t>start-date </w:t>
      </w:r>
      <w:r>
        <w:rPr>
          <w:sz w:val="22"/>
        </w:rPr>
        <w:t>is later than </w:t>
      </w:r>
      <w:r>
        <w:rPr>
          <w:rFonts w:ascii="Times New Roman" w:hAnsi="Times New Roman"/>
          <w:i/>
          <w:sz w:val="22"/>
        </w:rPr>
        <w:t>end-date</w:t>
      </w:r>
      <w:r>
        <w:rPr>
          <w:sz w:val="22"/>
        </w:rPr>
        <w:t>, the return value shall be negative, and the magnitude shall be the number of whole working days.</w:t>
      </w:r>
    </w:p>
    <w:p>
      <w:pPr>
        <w:pStyle w:val="BodyText"/>
        <w:spacing w:before="6"/>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start-date </w:t>
      </w:r>
      <w:r>
        <w:rPr>
          <w:sz w:val="22"/>
        </w:rPr>
        <w:t>is out of range for the current date system,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3331" w:firstLine="360"/>
        <w:jc w:val="left"/>
        <w:rPr>
          <w:sz w:val="22"/>
        </w:rPr>
      </w:pPr>
      <w:r>
        <w:rPr>
          <w:rFonts w:ascii="Times New Roman" w:hAnsi="Times New Roman"/>
          <w:i/>
          <w:sz w:val="22"/>
        </w:rPr>
        <w:t>end-date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 [</w:t>
      </w:r>
      <w:r>
        <w:rPr>
          <w:i/>
          <w:sz w:val="22"/>
        </w:rPr>
        <w:t>Example</w:t>
      </w:r>
      <w:r>
        <w:rPr>
          <w:sz w:val="22"/>
        </w:rPr>
        <w:t>:</w:t>
      </w:r>
    </w:p>
    <w:p>
      <w:pPr>
        <w:pStyle w:val="BodyText"/>
        <w:spacing w:line="276" w:lineRule="auto" w:before="126"/>
        <w:ind w:left="220" w:right="503"/>
        <w:rPr>
          <w:rFonts w:ascii="Consolas"/>
        </w:rPr>
      </w:pPr>
      <w:r>
        <w:rPr>
          <w:rFonts w:ascii="Consolas"/>
        </w:rPr>
        <w:t>NETWORKDAYS.INTL(DATE(2006,1,1),DATE(2006,1,31)) </w:t>
      </w:r>
      <w:r>
        <w:rPr/>
        <w:t>results in 23 </w:t>
      </w:r>
      <w:r>
        <w:rPr>
          <w:rFonts w:ascii="Consolas"/>
        </w:rPr>
        <w:t>NETWORKDAYS.INTL(DATE(2006,1,31),DATE(2006,1,1)) </w:t>
      </w:r>
      <w:r>
        <w:rPr/>
        <w:t>results in </w:t>
      </w:r>
      <w:r>
        <w:rPr>
          <w:rFonts w:ascii="Consolas"/>
        </w:rPr>
        <w:t>-23 NETWORKDAYS.INTL(DATE(2006,1,1),DATE(2006,2,1),7,{"2006/1/2","2006/1/16"})</w:t>
      </w:r>
      <w:r>
        <w:rPr>
          <w:rFonts w:ascii="Consolas"/>
          <w:spacing w:val="-98"/>
        </w:rPr>
        <w:t> </w:t>
      </w:r>
      <w:r>
        <w:rPr/>
        <w:t>results in </w:t>
      </w:r>
      <w:r>
        <w:rPr>
          <w:rFonts w:ascii="Consolas"/>
        </w:rPr>
        <w:t>21</w:t>
      </w:r>
    </w:p>
    <w:p>
      <w:pPr>
        <w:spacing w:after="0" w:line="276" w:lineRule="auto"/>
        <w:rPr>
          <w:rFonts w:ascii="Consolas"/>
        </w:rPr>
        <w:sectPr>
          <w:pgSz w:w="12240" w:h="15840"/>
          <w:pgMar w:header="763" w:footer="746" w:top="1340" w:bottom="940" w:left="860" w:right="700"/>
        </w:sectPr>
      </w:pPr>
    </w:p>
    <w:p>
      <w:pPr>
        <w:pStyle w:val="BodyText"/>
        <w:spacing w:before="93"/>
        <w:ind w:left="220"/>
        <w:rPr>
          <w:rFonts w:ascii="Consolas"/>
        </w:rPr>
      </w:pPr>
      <w:r>
        <w:rPr>
          <w:rFonts w:ascii="Consolas"/>
        </w:rPr>
        <w:t>NETWORKDAYS.INTL(DATE(2006,1,1),DATE(2006,2,1),"0000110",{"2006/1/2","2006/1/16"})</w:t>
      </w:r>
    </w:p>
    <w:p>
      <w:pPr>
        <w:pStyle w:val="BodyText"/>
        <w:spacing w:before="35"/>
        <w:ind w:left="220"/>
        <w:rPr>
          <w:rFonts w:ascii="Consolas"/>
        </w:rPr>
      </w:pPr>
      <w:r>
        <w:rPr/>
        <w:t>results in </w:t>
      </w:r>
      <w:r>
        <w:rPr>
          <w:rFonts w:ascii="Consolas"/>
        </w:rPr>
        <w:t>21</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28 NOMINAL" w:id="2076"/>
      <w:bookmarkEnd w:id="2076"/>
      <w:r>
        <w:rPr/>
      </w:r>
      <w:bookmarkStart w:name="_bookmark691" w:id="2077"/>
      <w:bookmarkEnd w:id="2077"/>
      <w:r>
        <w:rPr/>
      </w:r>
      <w:bookmarkStart w:name="_bookmark691" w:id="2078"/>
      <w:bookmarkEnd w:id="2078"/>
      <w:r>
        <w:rPr>
          <w:color w:val="4F81BC"/>
        </w:rPr>
        <w:t>N</w:t>
      </w:r>
      <w:r>
        <w:rPr>
          <w:color w:val="4F81BC"/>
        </w:rPr>
        <w:t>OMINAL</w:t>
      </w:r>
    </w:p>
    <w:p>
      <w:pPr>
        <w:spacing w:before="114"/>
        <w:ind w:left="940" w:right="0" w:firstLine="0"/>
        <w:jc w:val="left"/>
        <w:rPr>
          <w:rFonts w:ascii="Lucida Console"/>
          <w:sz w:val="20"/>
        </w:rPr>
      </w:pPr>
      <w:r>
        <w:rPr>
          <w:rFonts w:ascii="Lucida Console"/>
          <w:sz w:val="20"/>
        </w:rPr>
        <w:t>NOMINAL ( </w:t>
      </w:r>
      <w:r>
        <w:rPr>
          <w:i/>
          <w:sz w:val="22"/>
        </w:rPr>
        <w:t>effect-rate </w:t>
      </w:r>
      <w:r>
        <w:rPr>
          <w:sz w:val="22"/>
        </w:rPr>
        <w:t>, </w:t>
      </w:r>
      <w:r>
        <w:rPr>
          <w:i/>
          <w:sz w:val="22"/>
        </w:rPr>
        <w:t>npery </w:t>
      </w:r>
      <w:r>
        <w:rPr>
          <w:rFonts w:ascii="Lucida Console"/>
          <w:sz w:val="20"/>
        </w:rPr>
        <w:t>)</w:t>
      </w:r>
    </w:p>
    <w:p>
      <w:pPr>
        <w:pStyle w:val="BodyText"/>
        <w:spacing w:line="278" w:lineRule="auto" w:before="106"/>
        <w:ind w:left="220" w:right="1552"/>
      </w:pPr>
      <w:r>
        <w:rPr/>
        <w:t>Description: Computes the nominal annual interest rate, given the effective rate and the number of compounding periods per year.</w:t>
      </w:r>
    </w:p>
    <w:p>
      <w:pPr>
        <w:pStyle w:val="Heading4"/>
        <w:spacing w:before="198"/>
        <w:rPr>
          <w:b w:val="0"/>
        </w:rPr>
      </w:pPr>
      <w:r>
        <w:rPr/>
        <w:t>Mathematical Formula</w:t>
      </w:r>
      <w:r>
        <w:rPr>
          <w:b w:val="0"/>
        </w:rPr>
        <w:t>:</w:t>
      </w:r>
    </w:p>
    <w:p>
      <w:pPr>
        <w:pStyle w:val="BodyText"/>
        <w:rPr>
          <w:sz w:val="15"/>
        </w:rPr>
      </w:pPr>
    </w:p>
    <w:p>
      <w:pPr>
        <w:spacing w:after="0"/>
        <w:rPr>
          <w:sz w:val="15"/>
        </w:rPr>
        <w:sectPr>
          <w:pgSz w:w="12240" w:h="15840"/>
          <w:pgMar w:header="761" w:footer="746" w:top="1340" w:bottom="940" w:left="860" w:right="700"/>
        </w:sectPr>
      </w:pPr>
    </w:p>
    <w:p>
      <w:pPr>
        <w:pStyle w:val="BodyText"/>
        <w:spacing w:before="57"/>
        <w:ind w:left="220"/>
      </w:pPr>
      <w:r>
        <w:rPr/>
        <w:t>NOMINAL is related to EFFECT:</w:t>
      </w:r>
    </w:p>
    <w:p>
      <w:pPr>
        <w:pStyle w:val="BodyText"/>
        <w:spacing w:before="11"/>
        <w:rPr>
          <w:sz w:val="21"/>
        </w:rPr>
      </w:pPr>
    </w:p>
    <w:p>
      <w:pPr>
        <w:pStyle w:val="BodyText"/>
        <w:spacing w:line="213" w:lineRule="exact"/>
        <w:ind w:left="1859"/>
        <w:rPr>
          <w:rFonts w:ascii="Cambria Math" w:eastAsia="Cambria Math"/>
        </w:rPr>
      </w:pPr>
      <w:r>
        <w:rPr>
          <w:rFonts w:ascii="Cambria Math" w:eastAsia="Cambria Math"/>
        </w:rPr>
        <w:t>𝑁𝑜𝑚𝑖𝑛𝑎𝑙_𝑟𝑎𝑡𝑒</w:t>
      </w:r>
    </w:p>
    <w:p>
      <w:pPr>
        <w:pStyle w:val="BodyText"/>
        <w:spacing w:line="158" w:lineRule="exact"/>
        <w:ind w:left="220"/>
        <w:rPr>
          <w:rFonts w:ascii="Cambria Math" w:eastAsia="Cambria Math"/>
        </w:rPr>
      </w:pPr>
      <w:r>
        <w:rPr/>
        <w:pict>
          <v:line style="position:absolute;mso-position-horizontal-relative:page;mso-position-vertical-relative:paragraph;z-index:251807744" from="135.979996pt,5.08415pt" to="204.403996pt,5.08415pt" stroked="true" strokeweight=".72pt" strokecolor="#000000">
            <v:stroke dashstyle="solid"/>
            <w10:wrap type="none"/>
          </v:line>
        </w:pict>
      </w:r>
      <w:r>
        <w:rPr>
          <w:rFonts w:ascii="Cambria Math" w:eastAsia="Cambria Math"/>
        </w:rPr>
        <w:t>𝐸𝐹𝐹𝐸𝐶𝑇 = (1 +</w:t>
      </w:r>
    </w:p>
    <w:p>
      <w:pPr>
        <w:pStyle w:val="BodyText"/>
        <w:spacing w:line="203" w:lineRule="exact"/>
        <w:ind w:left="2231"/>
        <w:rPr>
          <w:rFonts w:ascii="Cambria Math" w:eastAsia="Cambria Math"/>
        </w:rPr>
      </w:pPr>
      <w:r>
        <w:rPr>
          <w:rFonts w:ascii="Cambria Math" w:eastAsia="Cambria Math"/>
        </w:rPr>
        <w:t>𝑁𝑝𝑒𝑟𝑦</w:t>
      </w:r>
    </w:p>
    <w:p>
      <w:pPr>
        <w:pStyle w:val="BodyText"/>
        <w:rPr>
          <w:rFonts w:ascii="Cambria Math"/>
          <w:sz w:val="16"/>
        </w:rPr>
      </w:pPr>
      <w:r>
        <w:rPr/>
        <w:br w:type="column"/>
      </w:r>
      <w:r>
        <w:rPr>
          <w:rFonts w:ascii="Cambria Math"/>
          <w:sz w:val="16"/>
        </w:rPr>
      </w:r>
    </w:p>
    <w:p>
      <w:pPr>
        <w:pStyle w:val="BodyText"/>
        <w:rPr>
          <w:rFonts w:ascii="Cambria Math"/>
          <w:sz w:val="16"/>
        </w:rPr>
      </w:pPr>
    </w:p>
    <w:p>
      <w:pPr>
        <w:pStyle w:val="BodyText"/>
        <w:spacing w:before="7"/>
        <w:rPr>
          <w:rFonts w:ascii="Cambria Math"/>
          <w:sz w:val="14"/>
        </w:rPr>
      </w:pPr>
    </w:p>
    <w:p>
      <w:pPr>
        <w:spacing w:before="0"/>
        <w:ind w:left="74" w:right="0" w:firstLine="0"/>
        <w:jc w:val="left"/>
        <w:rPr>
          <w:rFonts w:ascii="Cambria Math" w:eastAsia="Cambria Math"/>
          <w:sz w:val="16"/>
        </w:rPr>
      </w:pPr>
      <w:r>
        <w:rPr>
          <w:rFonts w:ascii="Cambria Math" w:eastAsia="Cambria Math"/>
          <w:w w:val="110"/>
          <w:sz w:val="16"/>
        </w:rPr>
        <w:t>𝑁𝑝𝑒𝑟𝑦</w:t>
      </w:r>
    </w:p>
    <w:p>
      <w:pPr>
        <w:pStyle w:val="BodyText"/>
        <w:tabs>
          <w:tab w:pos="628" w:val="left" w:leader="none"/>
        </w:tabs>
        <w:spacing w:before="27"/>
        <w:ind w:left="-34"/>
        <w:rPr>
          <w:rFonts w:ascii="Cambria Math" w:hAnsi="Cambria Math"/>
        </w:rPr>
      </w:pPr>
      <w:r>
        <w:rPr>
          <w:rFonts w:ascii="Cambria Math" w:hAnsi="Cambria Math"/>
          <w:w w:val="105"/>
        </w:rPr>
        <w:t>)</w:t>
        <w:tab/>
        <w:t>−</w:t>
      </w:r>
      <w:r>
        <w:rPr>
          <w:rFonts w:ascii="Cambria Math" w:hAnsi="Cambria Math"/>
          <w:spacing w:val="-3"/>
          <w:w w:val="105"/>
        </w:rPr>
        <w:t> </w:t>
      </w:r>
      <w:r>
        <w:rPr>
          <w:rFonts w:ascii="Cambria Math" w:hAnsi="Cambria Math"/>
          <w:w w:val="105"/>
        </w:rPr>
        <w:t>1</w:t>
      </w:r>
    </w:p>
    <w:p>
      <w:pPr>
        <w:spacing w:after="0"/>
        <w:rPr>
          <w:rFonts w:ascii="Cambria Math" w:hAnsi="Cambria Math"/>
        </w:rPr>
        <w:sectPr>
          <w:type w:val="continuous"/>
          <w:pgSz w:w="12240" w:h="15840"/>
          <w:pgMar w:top="1340" w:bottom="940" w:left="860" w:right="700"/>
          <w:cols w:num="2" w:equalWidth="0">
            <w:col w:w="3223" w:space="40"/>
            <w:col w:w="7417"/>
          </w:cols>
        </w:sectPr>
      </w:pPr>
    </w:p>
    <w:p>
      <w:pPr>
        <w:pStyle w:val="BodyText"/>
        <w:spacing w:before="4"/>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Nominal_rate </w:t>
      </w:r>
      <w:r>
        <w:rPr>
          <w:sz w:val="22"/>
        </w:rPr>
        <w:t>= argument</w:t>
      </w:r>
      <w:r>
        <w:rPr>
          <w:spacing w:val="-6"/>
          <w:sz w:val="22"/>
        </w:rPr>
        <w:t> </w:t>
      </w:r>
      <w:r>
        <w:rPr>
          <w:rFonts w:ascii="Times New Roman" w:hAnsi="Times New Roman"/>
          <w:i/>
          <w:sz w:val="22"/>
        </w:rPr>
        <w:t>effect-rate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Npery </w:t>
      </w:r>
      <w:r>
        <w:rPr>
          <w:sz w:val="22"/>
        </w:rPr>
        <w:t>= argument</w:t>
      </w:r>
      <w:r>
        <w:rPr>
          <w:spacing w:val="-2"/>
          <w:sz w:val="22"/>
        </w:rPr>
        <w:t> </w:t>
      </w:r>
      <w:r>
        <w:rPr>
          <w:rFonts w:ascii="Times New Roman" w:hAnsi="Times New Roman"/>
          <w:i/>
          <w:sz w:val="22"/>
        </w:rPr>
        <w:t>npery</w:t>
      </w:r>
    </w:p>
    <w:p>
      <w:pPr>
        <w:pStyle w:val="Heading4"/>
        <w:spacing w:before="243"/>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effect-rate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effective interest rate.</w:t>
            </w:r>
          </w:p>
        </w:tc>
      </w:tr>
      <w:tr>
        <w:trPr>
          <w:trHeight w:val="623" w:hRule="atLeast"/>
        </w:trPr>
        <w:tc>
          <w:tcPr>
            <w:tcW w:w="1466" w:type="dxa"/>
          </w:tcPr>
          <w:p>
            <w:pPr>
              <w:pStyle w:val="TableParagraph"/>
              <w:spacing w:before="37"/>
              <w:rPr>
                <w:rFonts w:ascii="Times New Roman"/>
                <w:i/>
                <w:sz w:val="22"/>
              </w:rPr>
            </w:pPr>
            <w:r>
              <w:rPr>
                <w:rFonts w:ascii="Times New Roman"/>
                <w:i/>
                <w:sz w:val="22"/>
              </w:rPr>
              <w:t>npery</w:t>
            </w:r>
          </w:p>
        </w:tc>
        <w:tc>
          <w:tcPr>
            <w:tcW w:w="1800" w:type="dxa"/>
          </w:tcPr>
          <w:p>
            <w:pPr>
              <w:pStyle w:val="TableParagraph"/>
              <w:ind w:left="112"/>
              <w:rPr>
                <w:sz w:val="22"/>
              </w:rPr>
            </w:pPr>
            <w:r>
              <w:rPr>
                <w:sz w:val="22"/>
              </w:rPr>
              <w:t>number</w:t>
            </w:r>
          </w:p>
        </w:tc>
        <w:tc>
          <w:tcPr>
            <w:tcW w:w="5400" w:type="dxa"/>
          </w:tcPr>
          <w:p>
            <w:pPr>
              <w:pStyle w:val="TableParagraph"/>
              <w:ind w:left="113" w:right="155"/>
              <w:rPr>
                <w:sz w:val="22"/>
              </w:rPr>
            </w:pPr>
            <w:r>
              <w:rPr>
                <w:sz w:val="22"/>
              </w:rPr>
              <w:t>The number of compounding periods per year, truncated to integer.</w:t>
            </w:r>
          </w:p>
        </w:tc>
      </w:tr>
    </w:tbl>
    <w:p>
      <w:pPr>
        <w:pStyle w:val="BodyText"/>
      </w:pPr>
    </w:p>
    <w:p>
      <w:pPr>
        <w:pStyle w:val="BodyText"/>
        <w:spacing w:before="7"/>
        <w:rPr>
          <w:sz w:val="19"/>
        </w:rPr>
      </w:pPr>
    </w:p>
    <w:p>
      <w:pPr>
        <w:spacing w:line="453" w:lineRule="auto" w:before="0"/>
        <w:ind w:left="220" w:right="4331" w:firstLine="0"/>
        <w:jc w:val="left"/>
        <w:rPr>
          <w:sz w:val="22"/>
        </w:rPr>
      </w:pPr>
      <w:r>
        <w:rPr>
          <w:b/>
          <w:sz w:val="22"/>
        </w:rPr>
        <w:t>Return Type and Value: number </w:t>
      </w:r>
      <w:r>
        <w:rPr>
          <w:sz w:val="22"/>
        </w:rPr>
        <w:t>– The nominal annual interest rate.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effect-rate </w:t>
      </w:r>
      <w:r>
        <w:rPr>
          <w:sz w:val="22"/>
        </w:rPr>
        <w: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7116" w:firstLine="360"/>
        <w:jc w:val="left"/>
        <w:rPr>
          <w:sz w:val="22"/>
        </w:rPr>
      </w:pPr>
      <w:r>
        <w:rPr>
          <w:rFonts w:ascii="Times New Roman" w:hAnsi="Times New Roman"/>
          <w:i/>
          <w:sz w:val="22"/>
        </w:rPr>
        <w:t>npery </w:t>
      </w:r>
      <w:r>
        <w:rPr>
          <w:sz w:val="22"/>
        </w:rPr>
        <w:t>&lt; 1, </w:t>
      </w:r>
      <w:r>
        <w:rPr>
          <w:rFonts w:ascii="Consolas" w:hAnsi="Consolas"/>
          <w:sz w:val="22"/>
        </w:rPr>
        <w:t>#NUM!</w:t>
      </w:r>
      <w:r>
        <w:rPr>
          <w:rFonts w:ascii="Consolas" w:hAnsi="Consolas"/>
          <w:spacing w:val="-79"/>
          <w:sz w:val="22"/>
        </w:rPr>
        <w:t> </w:t>
      </w:r>
      <w:r>
        <w:rPr>
          <w:sz w:val="22"/>
        </w:rPr>
        <w:t>is returned. [</w:t>
      </w:r>
      <w:r>
        <w:rPr>
          <w:i/>
          <w:sz w:val="22"/>
        </w:rPr>
        <w:t>Example</w:t>
      </w:r>
      <w:r>
        <w:rPr>
          <w:sz w:val="22"/>
        </w:rPr>
        <w:t>:</w:t>
      </w:r>
    </w:p>
    <w:p>
      <w:pPr>
        <w:pStyle w:val="BodyText"/>
        <w:spacing w:before="128"/>
        <w:ind w:left="220"/>
        <w:rPr>
          <w:rFonts w:ascii="Consolas"/>
        </w:rPr>
      </w:pPr>
      <w:r>
        <w:rPr>
          <w:rFonts w:ascii="Consolas"/>
        </w:rPr>
        <w:t>NOMINAL(0.053543,4) </w:t>
      </w:r>
      <w:r>
        <w:rPr/>
        <w:t>results in </w:t>
      </w:r>
      <w:r>
        <w:rPr>
          <w:rFonts w:ascii="Consolas"/>
        </w:rPr>
        <w:t>5.2500%</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29 NORMDIST" w:id="2079"/>
      <w:bookmarkEnd w:id="2079"/>
      <w:r>
        <w:rPr/>
      </w:r>
      <w:bookmarkStart w:name="_bookmark692" w:id="2080"/>
      <w:bookmarkEnd w:id="2080"/>
      <w:r>
        <w:rPr/>
      </w:r>
      <w:bookmarkStart w:name="_bookmark692" w:id="2081"/>
      <w:bookmarkEnd w:id="2081"/>
      <w:r>
        <w:rPr>
          <w:color w:val="4F81BC"/>
        </w:rPr>
        <w:t>N</w:t>
      </w:r>
      <w:r>
        <w:rPr>
          <w:color w:val="4F81BC"/>
        </w:rPr>
        <w:t>ORMDIST</w:t>
      </w:r>
    </w:p>
    <w:p>
      <w:pPr>
        <w:pStyle w:val="Heading4"/>
        <w:spacing w:before="121"/>
        <w:rPr>
          <w:b w:val="0"/>
        </w:rPr>
      </w:pPr>
      <w:r>
        <w:rPr/>
        <w:t>Syntax</w:t>
      </w:r>
      <w:r>
        <w:rPr>
          <w:b w:val="0"/>
        </w:rPr>
        <w:t>:</w:t>
      </w:r>
    </w:p>
    <w:p>
      <w:pPr>
        <w:spacing w:after="0"/>
        <w:sectPr>
          <w:type w:val="continuous"/>
          <w:pgSz w:w="12240" w:h="15840"/>
          <w:pgMar w:top="1340" w:bottom="940" w:left="860" w:right="700"/>
        </w:sectPr>
      </w:pPr>
    </w:p>
    <w:p>
      <w:pPr>
        <w:spacing w:before="143"/>
        <w:ind w:left="940" w:right="0" w:firstLine="0"/>
        <w:jc w:val="left"/>
        <w:rPr>
          <w:rFonts w:ascii="Lucida Console"/>
          <w:sz w:val="20"/>
        </w:rPr>
      </w:pPr>
      <w:r>
        <w:rPr>
          <w:rFonts w:ascii="Lucida Console"/>
          <w:sz w:val="20"/>
        </w:rPr>
        <w:t>NORMDIST ( </w:t>
      </w:r>
      <w:r>
        <w:rPr>
          <w:i/>
          <w:sz w:val="22"/>
        </w:rPr>
        <w:t>x </w:t>
      </w:r>
      <w:r>
        <w:rPr>
          <w:rFonts w:ascii="Lucida Console"/>
          <w:sz w:val="20"/>
        </w:rPr>
        <w:t>, </w:t>
      </w:r>
      <w:r>
        <w:rPr>
          <w:i/>
          <w:sz w:val="22"/>
        </w:rPr>
        <w:t>mean </w:t>
      </w:r>
      <w:r>
        <w:rPr>
          <w:rFonts w:ascii="Lucida Console"/>
          <w:sz w:val="20"/>
        </w:rPr>
        <w:t>, </w:t>
      </w:r>
      <w:r>
        <w:rPr>
          <w:i/>
          <w:sz w:val="22"/>
        </w:rPr>
        <w:t>standard-deviation </w:t>
      </w:r>
      <w:r>
        <w:rPr>
          <w:rFonts w:ascii="Lucida Console"/>
          <w:sz w:val="20"/>
        </w:rPr>
        <w:t>, </w:t>
      </w:r>
      <w:r>
        <w:rPr>
          <w:i/>
          <w:sz w:val="22"/>
        </w:rPr>
        <w:t>cumulative-flag  </w:t>
      </w:r>
      <w:r>
        <w:rPr>
          <w:rFonts w:ascii="Lucida Console"/>
          <w:sz w:val="20"/>
        </w:rPr>
        <w:t>)</w:t>
      </w:r>
    </w:p>
    <w:p>
      <w:pPr>
        <w:pStyle w:val="BodyText"/>
        <w:spacing w:before="109"/>
        <w:ind w:left="220"/>
      </w:pPr>
      <w:r>
        <w:rPr>
          <w:b/>
        </w:rPr>
        <w:t>Description: </w:t>
      </w:r>
      <w:r>
        <w:rPr/>
        <w:t>Computes the normal distribution for the specified mean and standard deviation.</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spacing w:before="0"/>
        <w:ind w:left="220" w:right="0" w:firstLine="0"/>
        <w:jc w:val="left"/>
        <w:rPr>
          <w:sz w:val="22"/>
        </w:rPr>
      </w:pPr>
      <w:r>
        <w:rPr>
          <w:sz w:val="22"/>
        </w:rPr>
        <w:t>The equation for the normal density function (</w:t>
      </w:r>
      <w:r>
        <w:rPr>
          <w:rFonts w:ascii="Times New Roman"/>
          <w:i/>
          <w:sz w:val="22"/>
        </w:rPr>
        <w:t>cumulative-flag </w:t>
      </w:r>
      <w:r>
        <w:rPr>
          <w:sz w:val="22"/>
        </w:rPr>
        <w:t>= </w:t>
      </w:r>
      <w:r>
        <w:rPr>
          <w:rFonts w:ascii="Consolas"/>
          <w:sz w:val="22"/>
        </w:rPr>
        <w:t>FALSE</w:t>
      </w:r>
      <w:r>
        <w:rPr>
          <w:sz w:val="22"/>
        </w:rPr>
        <w:t>) is:</w:t>
      </w:r>
    </w:p>
    <w:p>
      <w:pPr>
        <w:pStyle w:val="BodyText"/>
        <w:spacing w:before="2"/>
        <w:rPr>
          <w:sz w:val="12"/>
        </w:rPr>
      </w:pPr>
    </w:p>
    <w:p>
      <w:pPr>
        <w:tabs>
          <w:tab w:pos="2303" w:val="left" w:leader="none"/>
        </w:tabs>
        <w:spacing w:line="152" w:lineRule="exact" w:before="77"/>
        <w:ind w:left="1619" w:right="0" w:firstLine="0"/>
        <w:jc w:val="left"/>
        <w:rPr>
          <w:rFonts w:ascii="Cambria Math" w:hAnsi="Cambria Math" w:eastAsia="Cambria Math"/>
          <w:sz w:val="13"/>
        </w:rPr>
      </w:pPr>
      <w:r>
        <w:rPr/>
        <w:pict>
          <v:line style="position:absolute;mso-position-horizontal-relative:page;mso-position-vertical-relative:paragraph;z-index:-251507712;mso-wrap-distance-left:0;mso-wrap-distance-right:0" from="158.179993pt,15.426294pt" to="185.179993pt,15.426294pt" stroked="true" strokeweight=".48pt" strokecolor="#000000">
            <v:stroke dashstyle="solid"/>
            <w10:wrap type="topAndBottom"/>
          </v:line>
        </w:pict>
      </w:r>
      <w:r>
        <w:rPr>
          <w:rFonts w:ascii="Cambria Math" w:hAnsi="Cambria Math" w:eastAsia="Cambria Math"/>
          <w:w w:val="105"/>
          <w:position w:val="-5"/>
          <w:sz w:val="22"/>
        </w:rPr>
        <w:t>1</w:t>
        <w:tab/>
      </w:r>
      <w:r>
        <w:rPr>
          <w:rFonts w:ascii="Cambria Math" w:hAnsi="Cambria Math" w:eastAsia="Cambria Math"/>
          <w:w w:val="105"/>
          <w:position w:val="1"/>
          <w:sz w:val="16"/>
        </w:rPr>
        <w:t>(</w:t>
      </w:r>
      <w:r>
        <w:rPr>
          <w:rFonts w:ascii="Cambria Math" w:hAnsi="Cambria Math" w:eastAsia="Cambria Math"/>
          <w:w w:val="105"/>
          <w:sz w:val="16"/>
        </w:rPr>
        <w:t>𝑥−𝜇</w:t>
      </w:r>
      <w:r>
        <w:rPr>
          <w:rFonts w:ascii="Cambria Math" w:hAnsi="Cambria Math" w:eastAsia="Cambria Math"/>
          <w:w w:val="105"/>
          <w:position w:val="1"/>
          <w:sz w:val="16"/>
        </w:rPr>
        <w:t>)</w:t>
      </w:r>
      <w:r>
        <w:rPr>
          <w:rFonts w:ascii="Cambria Math" w:hAnsi="Cambria Math" w:eastAsia="Cambria Math"/>
          <w:w w:val="105"/>
          <w:position w:val="6"/>
          <w:sz w:val="13"/>
        </w:rPr>
        <w:t>2</w:t>
      </w:r>
    </w:p>
    <w:p>
      <w:pPr>
        <w:spacing w:after="0" w:line="152" w:lineRule="exact"/>
        <w:jc w:val="left"/>
        <w:rPr>
          <w:rFonts w:ascii="Cambria Math" w:hAnsi="Cambria Math" w:eastAsia="Cambria Math"/>
          <w:sz w:val="13"/>
        </w:rPr>
        <w:sectPr>
          <w:pgSz w:w="12240" w:h="15840"/>
          <w:pgMar w:header="763" w:footer="746" w:top="1340" w:bottom="940" w:left="860" w:right="700"/>
        </w:sectPr>
      </w:pPr>
    </w:p>
    <w:p>
      <w:pPr>
        <w:pStyle w:val="BodyText"/>
        <w:tabs>
          <w:tab w:pos="1557" w:val="left" w:leader="none"/>
          <w:tab w:pos="1864" w:val="left" w:leader="none"/>
        </w:tabs>
        <w:spacing w:line="162" w:lineRule="exact"/>
        <w:ind w:left="220"/>
        <w:rPr>
          <w:rFonts w:ascii="Cambria Math" w:hAnsi="Cambria Math" w:eastAsia="Cambria Math"/>
          <w:sz w:val="16"/>
        </w:rPr>
      </w:pPr>
      <w:r>
        <w:rPr>
          <w:rFonts w:ascii="Cambria Math" w:hAnsi="Cambria Math" w:eastAsia="Cambria Math"/>
          <w:spacing w:val="2"/>
        </w:rPr>
        <w:t>𝑓</w:t>
      </w:r>
      <w:r>
        <w:rPr>
          <w:rFonts w:ascii="Cambria Math" w:hAnsi="Cambria Math" w:eastAsia="Cambria Math"/>
          <w:spacing w:val="2"/>
          <w:position w:val="1"/>
        </w:rPr>
        <w:t>(</w:t>
      </w:r>
      <w:r>
        <w:rPr>
          <w:rFonts w:ascii="Cambria Math" w:hAnsi="Cambria Math" w:eastAsia="Cambria Math"/>
          <w:spacing w:val="2"/>
        </w:rPr>
        <w:t>𝑥, </w:t>
      </w:r>
      <w:r>
        <w:rPr>
          <w:rFonts w:ascii="Cambria Math" w:hAnsi="Cambria Math" w:eastAsia="Cambria Math"/>
        </w:rPr>
        <w:t>𝜇,</w:t>
      </w:r>
      <w:r>
        <w:rPr>
          <w:rFonts w:ascii="Cambria Math" w:hAnsi="Cambria Math" w:eastAsia="Cambria Math"/>
          <w:spacing w:val="-23"/>
        </w:rPr>
        <w:t> </w:t>
      </w:r>
      <w:r>
        <w:rPr>
          <w:rFonts w:ascii="Cambria Math" w:hAnsi="Cambria Math" w:eastAsia="Cambria Math"/>
          <w:spacing w:val="2"/>
        </w:rPr>
        <w:t>𝜎</w:t>
      </w:r>
      <w:r>
        <w:rPr>
          <w:rFonts w:ascii="Cambria Math" w:hAnsi="Cambria Math" w:eastAsia="Cambria Math"/>
          <w:spacing w:val="2"/>
          <w:position w:val="1"/>
        </w:rPr>
        <w:t>)</w:t>
      </w:r>
      <w:r>
        <w:rPr>
          <w:rFonts w:ascii="Cambria Math" w:hAnsi="Cambria Math" w:eastAsia="Cambria Math"/>
          <w:spacing w:val="13"/>
          <w:position w:val="1"/>
        </w:rPr>
        <w:t> </w:t>
      </w:r>
      <w:r>
        <w:rPr>
          <w:rFonts w:ascii="Cambria Math" w:hAnsi="Cambria Math" w:eastAsia="Cambria Math"/>
        </w:rPr>
        <w:t>=</w:t>
        <w:tab/>
      </w:r>
      <w:r>
        <w:rPr>
          <w:rFonts w:ascii="Cambria Math" w:hAnsi="Cambria Math" w:eastAsia="Cambria Math"/>
          <w:u w:val="single"/>
        </w:rPr>
        <w:t> </w:t>
        <w:tab/>
      </w:r>
      <w:r>
        <w:rPr>
          <w:rFonts w:ascii="Cambria Math" w:hAnsi="Cambria Math" w:eastAsia="Cambria Math"/>
        </w:rPr>
        <w:t>𝑒</w:t>
      </w:r>
      <w:r>
        <w:rPr>
          <w:rFonts w:ascii="Cambria Math" w:hAnsi="Cambria Math" w:eastAsia="Cambria Math"/>
          <w:position w:val="14"/>
          <w:sz w:val="16"/>
        </w:rPr>
        <w:t>−(</w:t>
      </w:r>
    </w:p>
    <w:p>
      <w:pPr>
        <w:pStyle w:val="BodyText"/>
        <w:spacing w:line="230" w:lineRule="exact"/>
        <w:ind w:left="1413"/>
        <w:rPr>
          <w:rFonts w:ascii="Cambria Math" w:hAnsi="Cambria Math" w:eastAsia="Cambria Math"/>
        </w:rPr>
      </w:pPr>
      <w:r>
        <w:rPr/>
        <w:pict>
          <v:line style="position:absolute;mso-position-horizontal-relative:page;mso-position-vertical-relative:paragraph;z-index:-335831040" from="113.660004pt,-3.665858pt" to="140.420004pt,-3.665858pt" stroked="true" strokeweight=".72pt" strokecolor="#000000">
            <v:stroke dashstyle="solid"/>
            <w10:wrap type="none"/>
          </v:line>
        </w:pict>
      </w:r>
      <w:r>
        <w:rPr>
          <w:rFonts w:ascii="Cambria Math" w:hAnsi="Cambria Math" w:eastAsia="Cambria Math"/>
        </w:rPr>
        <w:t>√</w:t>
      </w:r>
      <w:r>
        <w:rPr>
          <w:rFonts w:ascii="Cambria Math" w:hAnsi="Cambria Math" w:eastAsia="Cambria Math"/>
          <w:position w:val="1"/>
        </w:rPr>
        <w:t>2𝜋𝜎</w:t>
      </w:r>
    </w:p>
    <w:p>
      <w:pPr>
        <w:spacing w:line="168" w:lineRule="auto" w:before="0"/>
        <w:ind w:left="86" w:right="0" w:firstLine="0"/>
        <w:jc w:val="left"/>
        <w:rPr>
          <w:rFonts w:ascii="Cambria Math" w:eastAsia="Cambria Math"/>
          <w:sz w:val="16"/>
        </w:rPr>
      </w:pPr>
      <w:r>
        <w:rPr/>
        <w:br w:type="column"/>
      </w:r>
      <w:r>
        <w:rPr>
          <w:rFonts w:ascii="Cambria Math" w:eastAsia="Cambria Math"/>
          <w:w w:val="115"/>
          <w:sz w:val="16"/>
        </w:rPr>
        <w:t>2𝜎</w:t>
      </w:r>
      <w:r>
        <w:rPr>
          <w:rFonts w:ascii="Cambria Math" w:eastAsia="Cambria Math"/>
          <w:w w:val="115"/>
          <w:position w:val="5"/>
          <w:sz w:val="13"/>
        </w:rPr>
        <w:t>2 </w:t>
      </w:r>
      <w:r>
        <w:rPr>
          <w:rFonts w:ascii="Cambria Math" w:eastAsia="Cambria Math"/>
          <w:w w:val="115"/>
          <w:position w:val="10"/>
          <w:sz w:val="16"/>
        </w:rPr>
        <w:t>)</w:t>
      </w:r>
    </w:p>
    <w:p>
      <w:pPr>
        <w:spacing w:after="0" w:line="168" w:lineRule="auto"/>
        <w:jc w:val="left"/>
        <w:rPr>
          <w:rFonts w:ascii="Cambria Math" w:eastAsia="Cambria Math"/>
          <w:sz w:val="16"/>
        </w:rPr>
        <w:sectPr>
          <w:type w:val="continuous"/>
          <w:pgSz w:w="12240" w:h="15840"/>
          <w:pgMar w:top="1340" w:bottom="940" w:left="860" w:right="700"/>
          <w:cols w:num="2" w:equalWidth="0">
            <w:col w:w="2304" w:space="40"/>
            <w:col w:w="8336"/>
          </w:cols>
        </w:sectPr>
      </w:pPr>
    </w:p>
    <w:p>
      <w:pPr>
        <w:pStyle w:val="BodyText"/>
        <w:spacing w:before="2"/>
        <w:rPr>
          <w:rFonts w:ascii="Cambria Math"/>
          <w:sz w:val="9"/>
        </w:rPr>
      </w:pPr>
    </w:p>
    <w:p>
      <w:pPr>
        <w:pStyle w:val="BodyText"/>
        <w:spacing w:line="453" w:lineRule="auto" w:before="87"/>
        <w:ind w:left="220" w:right="503"/>
      </w:pPr>
      <w:r>
        <w:rPr/>
        <w:t>When </w:t>
      </w:r>
      <w:r>
        <w:rPr>
          <w:rFonts w:ascii="Times New Roman"/>
          <w:i/>
        </w:rPr>
        <w:t>cumulative-flag </w:t>
      </w:r>
      <w:r>
        <w:rPr/>
        <w:t>= </w:t>
      </w:r>
      <w:r>
        <w:rPr>
          <w:rFonts w:ascii="Consolas"/>
        </w:rPr>
        <w:t>TRUE</w:t>
      </w:r>
      <w:r>
        <w:rPr/>
        <w:t>, the formula is the integral from negative infinity to x of the given formula. where:</w:t>
      </w:r>
    </w:p>
    <w:p>
      <w:pPr>
        <w:pStyle w:val="ListParagraph"/>
        <w:numPr>
          <w:ilvl w:val="4"/>
          <w:numId w:val="66"/>
        </w:numPr>
        <w:tabs>
          <w:tab w:pos="940" w:val="left" w:leader="none"/>
          <w:tab w:pos="941" w:val="left" w:leader="none"/>
        </w:tabs>
        <w:spacing w:line="240" w:lineRule="auto" w:before="1"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3"/>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µ = argument</w:t>
      </w:r>
      <w:r>
        <w:rPr>
          <w:spacing w:val="4"/>
          <w:sz w:val="22"/>
        </w:rPr>
        <w:t> </w:t>
      </w:r>
      <w:r>
        <w:rPr>
          <w:rFonts w:ascii="Times New Roman" w:hAnsi="Times New Roman"/>
          <w:i/>
          <w:sz w:val="22"/>
        </w:rPr>
        <w:t>mean</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σ = argument</w:t>
      </w:r>
      <w:r>
        <w:rPr>
          <w:spacing w:val="3"/>
          <w:sz w:val="22"/>
        </w:rPr>
        <w:t> </w:t>
      </w:r>
      <w:r>
        <w:rPr>
          <w:rFonts w:ascii="Times New Roman" w:hAnsi="Times New Roman"/>
          <w:i/>
          <w:sz w:val="22"/>
        </w:rPr>
        <w:t>standard-dev</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for which the distribution is to be computed.</w:t>
            </w:r>
          </w:p>
        </w:tc>
      </w:tr>
      <w:tr>
        <w:trPr>
          <w:trHeight w:val="354" w:hRule="atLeast"/>
        </w:trPr>
        <w:tc>
          <w:tcPr>
            <w:tcW w:w="1466" w:type="dxa"/>
          </w:tcPr>
          <w:p>
            <w:pPr>
              <w:pStyle w:val="TableParagraph"/>
              <w:spacing w:before="37"/>
              <w:rPr>
                <w:rFonts w:ascii="Times New Roman"/>
                <w:i/>
                <w:sz w:val="22"/>
              </w:rPr>
            </w:pPr>
            <w:r>
              <w:rPr>
                <w:rFonts w:ascii="Times New Roman"/>
                <w:i/>
                <w:sz w:val="22"/>
              </w:rPr>
              <w:t>mean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arithmetic mean of the distribution.</w:t>
            </w:r>
          </w:p>
        </w:tc>
      </w:tr>
      <w:tr>
        <w:trPr>
          <w:trHeight w:val="592" w:hRule="atLeast"/>
        </w:trPr>
        <w:tc>
          <w:tcPr>
            <w:tcW w:w="1466" w:type="dxa"/>
          </w:tcPr>
          <w:p>
            <w:pPr>
              <w:pStyle w:val="TableParagraph"/>
              <w:spacing w:before="37"/>
              <w:ind w:right="465"/>
              <w:rPr>
                <w:rFonts w:ascii="Times New Roman"/>
                <w:i/>
                <w:sz w:val="22"/>
              </w:rPr>
            </w:pPr>
            <w:r>
              <w:rPr>
                <w:rFonts w:ascii="Times New Roman"/>
                <w:i/>
                <w:sz w:val="22"/>
              </w:rPr>
              <w:t>standard- </w:t>
            </w:r>
            <w:r>
              <w:rPr>
                <w:rFonts w:ascii="Times New Roman"/>
                <w:i/>
                <w:sz w:val="22"/>
              </w:rPr>
              <w:t>deviation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standard deviation of the distribution.</w:t>
            </w:r>
          </w:p>
        </w:tc>
      </w:tr>
      <w:tr>
        <w:trPr>
          <w:trHeight w:val="892" w:hRule="atLeast"/>
        </w:trPr>
        <w:tc>
          <w:tcPr>
            <w:tcW w:w="1466" w:type="dxa"/>
          </w:tcPr>
          <w:p>
            <w:pPr>
              <w:pStyle w:val="TableParagraph"/>
              <w:spacing w:before="37"/>
              <w:ind w:right="282"/>
              <w:rPr>
                <w:rFonts w:ascii="Times New Roman"/>
                <w:i/>
                <w:sz w:val="22"/>
              </w:rPr>
            </w:pPr>
            <w:r>
              <w:rPr>
                <w:rFonts w:ascii="Times New Roman"/>
                <w:i/>
                <w:sz w:val="22"/>
              </w:rPr>
              <w:t>cumulative- </w:t>
            </w:r>
            <w:r>
              <w:rPr>
                <w:rFonts w:ascii="Times New Roman"/>
                <w:i/>
                <w:sz w:val="22"/>
              </w:rPr>
              <w:t>flag</w:t>
            </w:r>
          </w:p>
        </w:tc>
        <w:tc>
          <w:tcPr>
            <w:tcW w:w="1800" w:type="dxa"/>
          </w:tcPr>
          <w:p>
            <w:pPr>
              <w:pStyle w:val="TableParagraph"/>
              <w:ind w:left="112"/>
              <w:rPr>
                <w:sz w:val="22"/>
              </w:rPr>
            </w:pPr>
            <w:r>
              <w:rPr>
                <w:sz w:val="22"/>
              </w:rPr>
              <w:t>logical</w:t>
            </w:r>
          </w:p>
        </w:tc>
        <w:tc>
          <w:tcPr>
            <w:tcW w:w="5400" w:type="dxa"/>
          </w:tcPr>
          <w:p>
            <w:pPr>
              <w:pStyle w:val="TableParagraph"/>
              <w:ind w:left="113" w:right="390"/>
              <w:jc w:val="both"/>
              <w:rPr>
                <w:sz w:val="22"/>
              </w:rPr>
            </w:pPr>
            <w:r>
              <w:rPr>
                <w:sz w:val="22"/>
              </w:rPr>
              <w:t>Determines the form of the function. If </w:t>
            </w:r>
            <w:r>
              <w:rPr>
                <w:rFonts w:ascii="Consolas"/>
                <w:sz w:val="22"/>
              </w:rPr>
              <w:t>TRUE</w:t>
            </w:r>
            <w:r>
              <w:rPr>
                <w:sz w:val="22"/>
              </w:rPr>
              <w:t>, then the cumulative distribution function is returned; if </w:t>
            </w:r>
            <w:r>
              <w:rPr>
                <w:rFonts w:ascii="Consolas"/>
                <w:sz w:val="22"/>
              </w:rPr>
              <w:t>FALSE</w:t>
            </w:r>
            <w:r>
              <w:rPr>
                <w:sz w:val="22"/>
              </w:rPr>
              <w:t>, the probability mass function is returned.</w:t>
            </w:r>
          </w:p>
        </w:tc>
      </w:tr>
    </w:tbl>
    <w:p>
      <w:pPr>
        <w:pStyle w:val="BodyText"/>
        <w:rPr>
          <w:b/>
        </w:rPr>
      </w:pPr>
    </w:p>
    <w:p>
      <w:pPr>
        <w:pStyle w:val="BodyText"/>
        <w:spacing w:before="7"/>
        <w:rPr>
          <w:b/>
          <w:sz w:val="19"/>
        </w:rPr>
      </w:pPr>
    </w:p>
    <w:p>
      <w:pPr>
        <w:spacing w:line="453" w:lineRule="auto" w:before="0"/>
        <w:ind w:left="220" w:right="985" w:firstLine="0"/>
        <w:jc w:val="left"/>
        <w:rPr>
          <w:sz w:val="22"/>
        </w:rPr>
      </w:pPr>
      <w:r>
        <w:rPr>
          <w:b/>
          <w:sz w:val="22"/>
        </w:rPr>
        <w:t>Return Type and Value: </w:t>
      </w:r>
      <w:r>
        <w:rPr>
          <w:sz w:val="22"/>
        </w:rPr>
        <w:t>number – The normal distribution for the specified mean and standard deviation. However, if </w:t>
      </w:r>
      <w:r>
        <w:rPr>
          <w:rFonts w:ascii="Times New Roman" w:hAnsi="Times New Roman"/>
          <w:i/>
          <w:sz w:val="22"/>
        </w:rPr>
        <w:t>standard-deviation </w:t>
      </w:r>
      <w:r>
        <w:rPr>
          <w:sz w:val="22"/>
        </w:rPr>
        <w:t>≤ 0, </w:t>
      </w:r>
      <w:r>
        <w:rPr>
          <w:rFonts w:ascii="Consolas" w:hAnsi="Consolas"/>
          <w:sz w:val="22"/>
        </w:rPr>
        <w:t>#NUM!</w:t>
      </w:r>
      <w:r>
        <w:rPr>
          <w:rFonts w:ascii="Consolas" w:hAnsi="Consolas"/>
          <w:spacing w:val="-78"/>
          <w:sz w:val="22"/>
        </w:rPr>
        <w:t>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4547"/>
        <w:rPr>
          <w:rFonts w:ascii="Consolas"/>
        </w:rPr>
      </w:pPr>
      <w:r>
        <w:rPr>
          <w:rFonts w:ascii="Consolas"/>
        </w:rPr>
        <w:t>NORMDIST(42,40,1.5,TRUE) </w:t>
      </w:r>
      <w:r>
        <w:rPr/>
        <w:t>results in </w:t>
      </w:r>
      <w:r>
        <w:rPr>
          <w:rFonts w:ascii="Consolas"/>
        </w:rPr>
        <w:t>0.90878878 NORMDIST(42,40,1.5,FALSE)</w:t>
      </w:r>
      <w:r>
        <w:rPr>
          <w:rFonts w:ascii="Consolas"/>
          <w:spacing w:val="-70"/>
        </w:rPr>
        <w:t> </w:t>
      </w:r>
      <w:r>
        <w:rPr/>
        <w:t>results in </w:t>
      </w:r>
      <w:r>
        <w:rPr>
          <w:rFonts w:ascii="Consolas"/>
        </w:rPr>
        <w:t>0.10934005</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0 NORMINV" w:id="2082"/>
      <w:bookmarkEnd w:id="2082"/>
      <w:r>
        <w:rPr/>
      </w:r>
      <w:bookmarkStart w:name="_bookmark693" w:id="2083"/>
      <w:bookmarkEnd w:id="2083"/>
      <w:r>
        <w:rPr/>
      </w:r>
      <w:bookmarkStart w:name="_bookmark693" w:id="2084"/>
      <w:bookmarkEnd w:id="2084"/>
      <w:r>
        <w:rPr>
          <w:color w:val="4F81BC"/>
        </w:rPr>
        <w:t>N</w:t>
      </w:r>
      <w:r>
        <w:rPr>
          <w:color w:val="4F81BC"/>
        </w:rPr>
        <w:t>ORMINV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NORMINV ( </w:t>
      </w:r>
      <w:r>
        <w:rPr>
          <w:i/>
          <w:sz w:val="22"/>
        </w:rPr>
        <w:t>probability </w:t>
      </w:r>
      <w:r>
        <w:rPr>
          <w:rFonts w:ascii="Lucida Console"/>
          <w:sz w:val="20"/>
        </w:rPr>
        <w:t>, </w:t>
      </w:r>
      <w:r>
        <w:rPr>
          <w:i/>
          <w:sz w:val="22"/>
        </w:rPr>
        <w:t>mean </w:t>
      </w:r>
      <w:r>
        <w:rPr>
          <w:rFonts w:ascii="Lucida Console"/>
          <w:sz w:val="20"/>
        </w:rPr>
        <w:t>,</w:t>
      </w:r>
      <w:r>
        <w:rPr>
          <w:rFonts w:ascii="Lucida Console"/>
          <w:spacing w:val="-87"/>
          <w:sz w:val="20"/>
        </w:rPr>
        <w:t> </w:t>
      </w:r>
      <w:r>
        <w:rPr>
          <w:i/>
          <w:sz w:val="22"/>
        </w:rPr>
        <w:t>standard-deviation </w:t>
      </w:r>
      <w:r>
        <w:rPr>
          <w:rFonts w:ascii="Lucida Console"/>
          <w:sz w:val="20"/>
        </w:rPr>
        <w:t>)</w:t>
      </w:r>
    </w:p>
    <w:p>
      <w:pPr>
        <w:spacing w:after="0"/>
        <w:jc w:val="left"/>
        <w:rPr>
          <w:rFonts w:ascii="Lucida Console"/>
          <w:sz w:val="20"/>
        </w:rPr>
        <w:sectPr>
          <w:type w:val="continuous"/>
          <w:pgSz w:w="12240" w:h="15840"/>
          <w:pgMar w:top="1340" w:bottom="940" w:left="860" w:right="700"/>
        </w:sectPr>
      </w:pPr>
    </w:p>
    <w:p>
      <w:pPr>
        <w:pStyle w:val="BodyText"/>
        <w:spacing w:line="278" w:lineRule="auto" w:before="90"/>
        <w:ind w:left="220" w:right="1676"/>
        <w:rPr>
          <w:b/>
        </w:rPr>
      </w:pPr>
      <w:r>
        <w:rPr>
          <w:b/>
        </w:rPr>
        <w:t>Description: </w:t>
      </w:r>
      <w:r>
        <w:rPr/>
        <w:t>Computes the inverse of the normal distribution for the specified mean and standard deviation.</w:t>
      </w:r>
      <w:r>
        <w:rPr>
          <w:b/>
        </w:rPr>
        <w:t>Arguments:</w:t>
      </w:r>
    </w:p>
    <w:p>
      <w:pPr>
        <w:pStyle w:val="BodyText"/>
        <w:spacing w:before="4"/>
        <w:rPr>
          <w:b/>
          <w:sz w:val="16"/>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2"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probability corresponding to the normal distribution.</w:t>
            </w:r>
          </w:p>
        </w:tc>
      </w:tr>
      <w:tr>
        <w:trPr>
          <w:trHeight w:val="354" w:hRule="atLeast"/>
        </w:trPr>
        <w:tc>
          <w:tcPr>
            <w:tcW w:w="1466" w:type="dxa"/>
          </w:tcPr>
          <w:p>
            <w:pPr>
              <w:pStyle w:val="TableParagraph"/>
              <w:spacing w:before="39"/>
              <w:rPr>
                <w:rFonts w:ascii="Times New Roman"/>
                <w:i/>
                <w:sz w:val="22"/>
              </w:rPr>
            </w:pPr>
            <w:r>
              <w:rPr>
                <w:rFonts w:ascii="Times New Roman"/>
                <w:i/>
                <w:sz w:val="22"/>
              </w:rPr>
              <w:t>mean</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arithmetic mean of the distribution.</w:t>
            </w:r>
          </w:p>
        </w:tc>
      </w:tr>
      <w:tr>
        <w:trPr>
          <w:trHeight w:val="592" w:hRule="atLeast"/>
        </w:trPr>
        <w:tc>
          <w:tcPr>
            <w:tcW w:w="1466" w:type="dxa"/>
          </w:tcPr>
          <w:p>
            <w:pPr>
              <w:pStyle w:val="TableParagraph"/>
              <w:spacing w:before="37"/>
              <w:ind w:right="465"/>
              <w:rPr>
                <w:rFonts w:ascii="Times New Roman"/>
                <w:i/>
                <w:sz w:val="22"/>
              </w:rPr>
            </w:pPr>
            <w:r>
              <w:rPr>
                <w:rFonts w:ascii="Times New Roman"/>
                <w:i/>
                <w:sz w:val="22"/>
              </w:rPr>
              <w:t>standard- </w:t>
            </w:r>
            <w:r>
              <w:rPr>
                <w:rFonts w:ascii="Times New Roman"/>
                <w:i/>
                <w:sz w:val="22"/>
              </w:rPr>
              <w:t>deviation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standard deviation of the distribution.</w:t>
            </w:r>
          </w:p>
        </w:tc>
      </w:tr>
    </w:tbl>
    <w:p>
      <w:pPr>
        <w:pStyle w:val="BodyText"/>
        <w:rPr>
          <w:b/>
        </w:rPr>
      </w:pPr>
    </w:p>
    <w:p>
      <w:pPr>
        <w:pStyle w:val="BodyText"/>
        <w:spacing w:before="5"/>
        <w:rPr>
          <w:b/>
          <w:sz w:val="19"/>
        </w:rPr>
      </w:pPr>
    </w:p>
    <w:p>
      <w:pPr>
        <w:pStyle w:val="BodyText"/>
        <w:spacing w:line="278" w:lineRule="auto"/>
        <w:ind w:left="220" w:right="648"/>
      </w:pPr>
      <w:r>
        <w:rPr>
          <w:b/>
        </w:rPr>
        <w:t>Return Type and Value: </w:t>
      </w:r>
      <w:r>
        <w:rPr/>
        <w:t>number – The inverse of the normal distribution for the specified mean and standard deviation.</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probability </w:t>
      </w:r>
      <w:r>
        <w:rPr>
          <w:color w:val="0000FF"/>
          <w:sz w:val="22"/>
        </w:rPr>
        <w:t>≤ </w:t>
      </w:r>
      <w:r>
        <w:rPr>
          <w:sz w:val="22"/>
        </w:rPr>
        <w:t>0 or if </w:t>
      </w:r>
      <w:r>
        <w:rPr>
          <w:rFonts w:ascii="Times New Roman" w:hAnsi="Times New Roman"/>
          <w:i/>
          <w:sz w:val="22"/>
        </w:rPr>
        <w:t>probability </w:t>
      </w:r>
      <w:r>
        <w:rPr>
          <w:color w:val="0000FF"/>
          <w:sz w:val="22"/>
        </w:rPr>
        <w:t>≥ </w:t>
      </w:r>
      <w:r>
        <w:rPr>
          <w:sz w:val="22"/>
        </w:rPr>
        <w:t>1,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standard-deviation </w:t>
      </w:r>
      <w:r>
        <w:rPr>
          <w:sz w:val="22"/>
        </w:rPr>
        <w:t>≤ 0, </w:t>
      </w:r>
      <w:r>
        <w:rPr>
          <w:rFonts w:ascii="Consolas" w:hAnsi="Consolas"/>
          <w:sz w:val="22"/>
        </w:rPr>
        <w:t>#NUM!</w:t>
      </w:r>
      <w:r>
        <w:rPr>
          <w:rFonts w:ascii="Consolas" w:hAnsi="Consolas"/>
          <w:spacing w:val="-76"/>
          <w:sz w:val="22"/>
        </w:rPr>
        <w:t> </w:t>
      </w:r>
      <w:r>
        <w:rPr>
          <w:sz w:val="22"/>
        </w:rPr>
        <w:t>is returned.</w:t>
      </w:r>
    </w:p>
    <w:p>
      <w:pPr>
        <w:pStyle w:val="ListParagraph"/>
        <w:numPr>
          <w:ilvl w:val="4"/>
          <w:numId w:val="66"/>
        </w:numPr>
        <w:tabs>
          <w:tab w:pos="940" w:val="left" w:leader="none"/>
          <w:tab w:pos="941" w:val="left" w:leader="none"/>
        </w:tabs>
        <w:spacing w:line="446" w:lineRule="auto" w:before="38" w:after="0"/>
        <w:ind w:left="220" w:right="1573" w:firstLine="360"/>
        <w:jc w:val="left"/>
        <w:rPr>
          <w:sz w:val="22"/>
        </w:rPr>
      </w:pPr>
      <w:r>
        <w:rPr>
          <w:sz w:val="22"/>
        </w:rPr>
        <w:t>the implementation determines that a return value cannot be computed, </w:t>
      </w:r>
      <w:r>
        <w:rPr>
          <w:rFonts w:ascii="Consolas" w:hAnsi="Consolas"/>
          <w:sz w:val="22"/>
        </w:rPr>
        <w:t>#N/A</w:t>
      </w:r>
      <w:r>
        <w:rPr>
          <w:rFonts w:ascii="Consolas" w:hAnsi="Consolas"/>
          <w:spacing w:val="-90"/>
          <w:sz w:val="22"/>
        </w:rPr>
        <w:t> </w:t>
      </w:r>
      <w:r>
        <w:rPr>
          <w:sz w:val="22"/>
        </w:rPr>
        <w:t>is returned. [</w:t>
      </w:r>
      <w:r>
        <w:rPr>
          <w:i/>
          <w:sz w:val="22"/>
        </w:rPr>
        <w:t>Example</w:t>
      </w:r>
      <w:r>
        <w:rPr>
          <w:sz w:val="22"/>
        </w:rPr>
        <w:t>:</w:t>
      </w:r>
    </w:p>
    <w:p>
      <w:pPr>
        <w:pStyle w:val="BodyText"/>
        <w:spacing w:before="129"/>
        <w:ind w:left="220"/>
        <w:rPr>
          <w:rFonts w:ascii="Consolas"/>
        </w:rPr>
      </w:pPr>
      <w:r>
        <w:rPr>
          <w:rFonts w:ascii="Consolas"/>
        </w:rPr>
        <w:t>NORMINV(0.908789,40,1.5)</w:t>
      </w:r>
      <w:r>
        <w:rPr>
          <w:rFonts w:ascii="Consolas"/>
          <w:spacing w:val="-71"/>
        </w:rPr>
        <w:t> </w:t>
      </w:r>
      <w:r>
        <w:rPr/>
        <w:t>results in </w:t>
      </w:r>
      <w:r>
        <w:rPr>
          <w:rFonts w:ascii="Consolas"/>
        </w:rPr>
        <w:t>42.00000201</w:t>
      </w:r>
    </w:p>
    <w:p>
      <w:pPr>
        <w:pStyle w:val="BodyText"/>
        <w:rPr>
          <w:rFonts w:ascii="Consolas"/>
        </w:rPr>
      </w:pPr>
    </w:p>
    <w:p>
      <w:pPr>
        <w:pStyle w:val="BodyText"/>
        <w:spacing w:before="11"/>
        <w:rPr>
          <w:rFonts w:ascii="Consolas"/>
          <w:sz w:val="24"/>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1 NORMSDIST" w:id="2085"/>
      <w:bookmarkEnd w:id="2085"/>
      <w:r>
        <w:rPr/>
      </w:r>
      <w:bookmarkStart w:name="_bookmark694" w:id="2086"/>
      <w:bookmarkEnd w:id="2086"/>
      <w:r>
        <w:rPr/>
      </w:r>
      <w:bookmarkStart w:name="_bookmark694" w:id="2087"/>
      <w:bookmarkEnd w:id="2087"/>
      <w:r>
        <w:rPr>
          <w:color w:val="4F81BC"/>
        </w:rPr>
        <w:t>N</w:t>
      </w:r>
      <w:r>
        <w:rPr>
          <w:color w:val="4F81BC"/>
        </w:rPr>
        <w:t>ORMSDIST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NORMSDIST ( </w:t>
      </w:r>
      <w:r>
        <w:rPr>
          <w:i/>
          <w:sz w:val="22"/>
        </w:rPr>
        <w:t>z </w:t>
      </w:r>
      <w:r>
        <w:rPr>
          <w:rFonts w:ascii="Lucida Console"/>
          <w:sz w:val="20"/>
        </w:rPr>
        <w:t>)</w:t>
      </w:r>
    </w:p>
    <w:p>
      <w:pPr>
        <w:pStyle w:val="BodyText"/>
        <w:spacing w:before="111"/>
        <w:ind w:left="220"/>
      </w:pPr>
      <w:r>
        <w:rPr>
          <w:b/>
        </w:rPr>
        <w:t>Description: </w:t>
      </w:r>
      <w:r>
        <w:rPr/>
        <w:t>Computes the standard normal distribution for the specified mean and standard deviation.</w:t>
      </w:r>
    </w:p>
    <w:p>
      <w:pPr>
        <w:pStyle w:val="BodyText"/>
        <w:spacing w:before="8"/>
        <w:rPr>
          <w:sz w:val="19"/>
        </w:rPr>
      </w:pPr>
    </w:p>
    <w:p>
      <w:pPr>
        <w:pStyle w:val="Heading4"/>
        <w:rPr>
          <w:b w:val="0"/>
        </w:rPr>
      </w:pPr>
      <w:r>
        <w:rPr/>
        <w:t>Mathematical Formula</w:t>
      </w:r>
      <w:r>
        <w:rPr>
          <w:b w:val="0"/>
        </w:rPr>
        <w:t>:</w:t>
      </w:r>
    </w:p>
    <w:p>
      <w:pPr>
        <w:pStyle w:val="BodyText"/>
        <w:spacing w:before="12"/>
        <w:rPr>
          <w:sz w:val="11"/>
        </w:rPr>
      </w:pPr>
    </w:p>
    <w:p>
      <w:pPr>
        <w:spacing w:after="0"/>
        <w:rPr>
          <w:sz w:val="11"/>
        </w:rPr>
        <w:sectPr>
          <w:pgSz w:w="12240" w:h="15840"/>
          <w:pgMar w:header="761" w:footer="746" w:top="1340" w:bottom="940" w:left="860" w:right="700"/>
        </w:sectPr>
      </w:pPr>
    </w:p>
    <w:p>
      <w:pPr>
        <w:pStyle w:val="BodyText"/>
        <w:spacing w:line="208" w:lineRule="exact" w:before="85"/>
        <w:ind w:left="1115"/>
        <w:rPr>
          <w:rFonts w:ascii="Cambria Math"/>
        </w:rPr>
      </w:pPr>
      <w:r>
        <w:rPr>
          <w:rFonts w:ascii="Cambria Math"/>
          <w:w w:val="100"/>
        </w:rPr>
        <w:t>1</w:t>
      </w:r>
    </w:p>
    <w:p>
      <w:pPr>
        <w:pStyle w:val="BodyText"/>
        <w:tabs>
          <w:tab w:pos="1120" w:val="left" w:leader="none"/>
          <w:tab w:pos="1413" w:val="left" w:leader="none"/>
        </w:tabs>
        <w:spacing w:line="180" w:lineRule="exact"/>
        <w:ind w:left="220"/>
        <w:rPr>
          <w:rFonts w:ascii="Cambria Math" w:eastAsia="Cambria Math"/>
        </w:rPr>
      </w:pPr>
      <w:r>
        <w:rPr/>
        <w:pict>
          <v:line style="position:absolute;mso-position-horizontal-relative:page;mso-position-vertical-relative:paragraph;z-index:-335830016" from="91.823997pt,5.334133pt" to="111.863997pt,5.334133pt" stroked="true" strokeweight=".72003pt" strokecolor="#000000">
            <v:stroke dashstyle="solid"/>
            <w10:wrap type="none"/>
          </v:line>
        </w:pict>
      </w:r>
      <w:r>
        <w:rPr/>
        <w:pict>
          <v:line style="position:absolute;mso-position-horizontal-relative:page;mso-position-vertical-relative:paragraph;z-index:-335828992" from="125.660004pt,.774128pt" to="134.540004pt,.774128pt" stroked="true" strokeweight=".48004pt" strokecolor="#000000">
            <v:stroke dashstyle="solid"/>
            <w10:wrap type="none"/>
          </v:line>
        </w:pict>
      </w:r>
      <w:r>
        <w:rPr>
          <w:rFonts w:ascii="Cambria Math" w:eastAsia="Cambria Math"/>
        </w:rPr>
        <w:t>𝑓</w:t>
      </w:r>
      <w:r>
        <w:rPr>
          <w:rFonts w:ascii="Cambria Math" w:eastAsia="Cambria Math"/>
          <w:position w:val="1"/>
        </w:rPr>
        <w:t>(</w:t>
      </w:r>
      <w:r>
        <w:rPr>
          <w:rFonts w:ascii="Cambria Math" w:eastAsia="Cambria Math"/>
        </w:rPr>
        <w:t>𝑧</w:t>
      </w:r>
      <w:r>
        <w:rPr>
          <w:rFonts w:ascii="Cambria Math" w:eastAsia="Cambria Math"/>
          <w:position w:val="1"/>
        </w:rPr>
        <w:t>)</w:t>
      </w:r>
      <w:r>
        <w:rPr>
          <w:rFonts w:ascii="Cambria Math" w:eastAsia="Cambria Math"/>
          <w:spacing w:val="15"/>
          <w:position w:val="1"/>
        </w:rPr>
        <w:t> </w:t>
      </w:r>
      <w:r>
        <w:rPr>
          <w:rFonts w:ascii="Cambria Math" w:eastAsia="Cambria Math"/>
        </w:rPr>
        <w:t>=</w:t>
        <w:tab/>
      </w:r>
      <w:r>
        <w:rPr>
          <w:rFonts w:ascii="Cambria Math" w:eastAsia="Cambria Math"/>
          <w:u w:val="single"/>
        </w:rPr>
        <w:t> </w:t>
        <w:tab/>
      </w:r>
      <w:r>
        <w:rPr>
          <w:rFonts w:ascii="Cambria Math" w:eastAsia="Cambria Math"/>
          <w:spacing w:val="-167"/>
        </w:rPr>
        <w:t>𝑒</w:t>
      </w:r>
    </w:p>
    <w:p>
      <w:pPr>
        <w:pStyle w:val="BodyText"/>
        <w:spacing w:line="230" w:lineRule="exact"/>
        <w:ind w:left="976"/>
        <w:rPr>
          <w:rFonts w:ascii="Cambria Math" w:hAnsi="Cambria Math" w:eastAsia="Cambria Math"/>
        </w:rPr>
      </w:pPr>
      <w:r>
        <w:rPr>
          <w:rFonts w:ascii="Cambria Math" w:hAnsi="Cambria Math" w:eastAsia="Cambria Math"/>
        </w:rPr>
        <w:t>√</w:t>
      </w:r>
      <w:r>
        <w:rPr>
          <w:rFonts w:ascii="Cambria Math" w:hAnsi="Cambria Math" w:eastAsia="Cambria Math"/>
          <w:position w:val="1"/>
        </w:rPr>
        <w:t>2𝜋</w:t>
      </w:r>
    </w:p>
    <w:p>
      <w:pPr>
        <w:spacing w:line="168" w:lineRule="auto" w:before="78"/>
        <w:ind w:left="131" w:right="8842" w:hanging="159"/>
        <w:jc w:val="left"/>
        <w:rPr>
          <w:rFonts w:ascii="Cambria Math" w:hAnsi="Cambria Math" w:eastAsia="Cambria Math"/>
          <w:sz w:val="16"/>
        </w:rPr>
      </w:pPr>
      <w:r>
        <w:rPr/>
        <w:br w:type="column"/>
      </w:r>
      <w:r>
        <w:rPr>
          <w:rFonts w:ascii="Cambria Math" w:hAnsi="Cambria Math" w:eastAsia="Cambria Math"/>
          <w:w w:val="105"/>
          <w:position w:val="-14"/>
          <w:sz w:val="16"/>
        </w:rPr>
        <w:t>−</w:t>
      </w:r>
      <w:r>
        <w:rPr>
          <w:rFonts w:ascii="Cambria Math" w:hAnsi="Cambria Math" w:eastAsia="Cambria Math"/>
          <w:w w:val="105"/>
          <w:position w:val="-5"/>
          <w:sz w:val="16"/>
        </w:rPr>
        <w:t>𝑧</w:t>
      </w:r>
      <w:r>
        <w:rPr>
          <w:rFonts w:ascii="Cambria Math" w:hAnsi="Cambria Math" w:eastAsia="Cambria Math"/>
          <w:w w:val="105"/>
          <w:sz w:val="13"/>
        </w:rPr>
        <w:t>2 </w:t>
      </w:r>
      <w:r>
        <w:rPr>
          <w:rFonts w:ascii="Cambria Math" w:hAnsi="Cambria Math" w:eastAsia="Cambria Math"/>
          <w:w w:val="105"/>
          <w:sz w:val="16"/>
        </w:rPr>
        <w:t>2</w:t>
      </w:r>
    </w:p>
    <w:p>
      <w:pPr>
        <w:spacing w:after="0" w:line="168" w:lineRule="auto"/>
        <w:jc w:val="left"/>
        <w:rPr>
          <w:rFonts w:ascii="Cambria Math" w:hAnsi="Cambria Math" w:eastAsia="Cambria Math"/>
          <w:sz w:val="16"/>
        </w:rPr>
        <w:sectPr>
          <w:type w:val="continuous"/>
          <w:pgSz w:w="12240" w:h="15840"/>
          <w:pgMar w:top="1340" w:bottom="940" w:left="860" w:right="700"/>
          <w:cols w:num="2" w:equalWidth="0">
            <w:col w:w="1523" w:space="40"/>
            <w:col w:w="9117"/>
          </w:cols>
        </w:sectPr>
      </w:pPr>
    </w:p>
    <w:p>
      <w:pPr>
        <w:pStyle w:val="BodyText"/>
        <w:spacing w:before="11"/>
        <w:rPr>
          <w:rFonts w:ascii="Cambria Math"/>
          <w:sz w:val="11"/>
        </w:rPr>
      </w:pPr>
    </w:p>
    <w:p>
      <w:pPr>
        <w:pStyle w:val="BodyText"/>
        <w:spacing w:before="56"/>
        <w:ind w:left="220"/>
      </w:pPr>
      <w:r>
        <w:rPr/>
        <w:t>where:</w:t>
      </w:r>
    </w:p>
    <w:p>
      <w:pPr>
        <w:pStyle w:val="BodyText"/>
        <w:spacing w:before="9"/>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z </w:t>
      </w:r>
      <w:r>
        <w:rPr>
          <w:sz w:val="22"/>
        </w:rPr>
        <w:t>= argument</w:t>
      </w:r>
      <w:r>
        <w:rPr>
          <w:spacing w:val="-3"/>
          <w:sz w:val="22"/>
        </w:rPr>
        <w:t> </w:t>
      </w:r>
      <w:r>
        <w:rPr>
          <w:rFonts w:ascii="Times New Roman" w:hAnsi="Times New Roman"/>
          <w:i/>
          <w:sz w:val="22"/>
        </w:rPr>
        <w:t>z</w:t>
      </w:r>
    </w:p>
    <w:p>
      <w:pPr>
        <w:pStyle w:val="Heading4"/>
        <w:spacing w:before="240"/>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z</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for which the distribution is to be computed.</w:t>
            </w:r>
          </w:p>
        </w:tc>
      </w:tr>
    </w:tbl>
    <w:p>
      <w:pPr>
        <w:spacing w:after="0"/>
        <w:rPr>
          <w:sz w:val="22"/>
        </w:rPr>
        <w:sectPr>
          <w:type w:val="continuous"/>
          <w:pgSz w:w="12240" w:h="15840"/>
          <w:pgMar w:top="1340" w:bottom="940" w:left="860" w:right="700"/>
        </w:sectPr>
      </w:pPr>
    </w:p>
    <w:p>
      <w:pPr>
        <w:pStyle w:val="BodyText"/>
        <w:rPr>
          <w:b/>
          <w:sz w:val="20"/>
        </w:rPr>
      </w:pPr>
    </w:p>
    <w:p>
      <w:pPr>
        <w:pStyle w:val="BodyText"/>
        <w:spacing w:before="3"/>
        <w:rPr>
          <w:b/>
          <w:sz w:val="29"/>
        </w:rPr>
      </w:pPr>
    </w:p>
    <w:p>
      <w:pPr>
        <w:spacing w:line="278" w:lineRule="auto" w:before="56"/>
        <w:ind w:left="220" w:right="1083" w:firstLine="0"/>
        <w:jc w:val="left"/>
        <w:rPr>
          <w:sz w:val="22"/>
        </w:rPr>
      </w:pPr>
      <w:r>
        <w:rPr>
          <w:b/>
          <w:sz w:val="22"/>
        </w:rPr>
        <w:t>Return Type and Value: </w:t>
      </w:r>
      <w:r>
        <w:rPr>
          <w:sz w:val="22"/>
        </w:rPr>
        <w:t>number – The standard normal distribution for the specified mean and standard deviation.</w:t>
      </w:r>
    </w:p>
    <w:p>
      <w:pPr>
        <w:spacing w:before="195"/>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before="1"/>
        <w:ind w:left="220" w:right="5964"/>
        <w:rPr>
          <w:rFonts w:ascii="Consolas"/>
        </w:rPr>
      </w:pPr>
      <w:r>
        <w:rPr>
          <w:rFonts w:ascii="Consolas"/>
        </w:rPr>
        <w:t>NORMSDIST(1.333333) </w:t>
      </w:r>
      <w:r>
        <w:rPr/>
        <w:t>results in </w:t>
      </w:r>
      <w:r>
        <w:rPr>
          <w:rFonts w:ascii="Consolas"/>
        </w:rPr>
        <w:t>0.90878873 NORMSDIST(-1.5) </w:t>
      </w:r>
      <w:r>
        <w:rPr/>
        <w:t>results in </w:t>
      </w:r>
      <w:r>
        <w:rPr>
          <w:rFonts w:ascii="Consolas"/>
        </w:rPr>
        <w:t>0.06680720</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2 NORMSINV" w:id="2088"/>
      <w:bookmarkEnd w:id="2088"/>
      <w:r>
        <w:rPr/>
      </w:r>
      <w:bookmarkStart w:name="_bookmark695" w:id="2089"/>
      <w:bookmarkEnd w:id="2089"/>
      <w:r>
        <w:rPr/>
      </w:r>
      <w:bookmarkStart w:name="_bookmark695" w:id="2090"/>
      <w:bookmarkEnd w:id="2090"/>
      <w:r>
        <w:rPr>
          <w:color w:val="4F81BC"/>
        </w:rPr>
        <w:t>N</w:t>
      </w:r>
      <w:r>
        <w:rPr>
          <w:color w:val="4F81BC"/>
        </w:rPr>
        <w:t>ORMSINV</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NORMSINV ( </w:t>
      </w:r>
      <w:r>
        <w:rPr>
          <w:i/>
          <w:sz w:val="22"/>
        </w:rPr>
        <w:t>probability </w:t>
      </w:r>
      <w:r>
        <w:rPr>
          <w:rFonts w:ascii="Lucida Console"/>
          <w:sz w:val="20"/>
        </w:rPr>
        <w:t>)</w:t>
      </w:r>
    </w:p>
    <w:p>
      <w:pPr>
        <w:pStyle w:val="BodyText"/>
        <w:spacing w:line="278" w:lineRule="auto" w:before="106"/>
        <w:ind w:left="220" w:right="471"/>
      </w:pPr>
      <w:r>
        <w:rPr>
          <w:b/>
        </w:rPr>
        <w:t>Description: </w:t>
      </w:r>
      <w:r>
        <w:rPr/>
        <w:t>Computes the inverse of the standard normal distribution. The distribution has a mean of zero and a standard deviation of 1.</w:t>
      </w:r>
    </w:p>
    <w:p>
      <w:pPr>
        <w:pStyle w:val="BodyText"/>
        <w:spacing w:before="2"/>
        <w:rPr>
          <w:sz w:val="16"/>
        </w:rPr>
      </w:pPr>
    </w:p>
    <w:p>
      <w:pPr>
        <w:pStyle w:val="Heading4"/>
        <w:spacing w:before="1"/>
      </w:pPr>
      <w:r>
        <w:rPr/>
        <w:t>Arguments:</w:t>
      </w:r>
    </w:p>
    <w:p>
      <w:pPr>
        <w:pStyle w:val="BodyText"/>
        <w:spacing w:before="8"/>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39" w:right="86"/>
              <w:jc w:val="center"/>
              <w:rPr>
                <w:sz w:val="22"/>
              </w:rPr>
            </w:pPr>
            <w:r>
              <w:rPr>
                <w:sz w:val="22"/>
              </w:rPr>
              <w:t>The probability corresponding to the normal distribution.</w:t>
            </w:r>
          </w:p>
        </w:tc>
      </w:tr>
    </w:tbl>
    <w:p>
      <w:pPr>
        <w:pStyle w:val="BodyText"/>
        <w:rPr>
          <w:b/>
        </w:rPr>
      </w:pPr>
    </w:p>
    <w:p>
      <w:pPr>
        <w:pStyle w:val="BodyText"/>
        <w:spacing w:before="8"/>
        <w:rPr>
          <w:b/>
          <w:sz w:val="19"/>
        </w:rPr>
      </w:pPr>
    </w:p>
    <w:p>
      <w:pPr>
        <w:spacing w:line="453" w:lineRule="auto" w:before="0"/>
        <w:ind w:left="220" w:right="3040" w:firstLine="0"/>
        <w:jc w:val="left"/>
        <w:rPr>
          <w:sz w:val="22"/>
        </w:rPr>
      </w:pPr>
      <w:r>
        <w:rPr>
          <w:b/>
          <w:sz w:val="22"/>
        </w:rPr>
        <w:t>Return Type and Value: </w:t>
      </w:r>
      <w:r>
        <w:rPr>
          <w:sz w:val="22"/>
        </w:rPr>
        <w:t>number – The inverse of the standard normal distribution.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probability </w:t>
      </w:r>
      <w:r>
        <w:rPr>
          <w:sz w:val="22"/>
        </w:rPr>
        <w:t>≤ 0 or if </w:t>
      </w:r>
      <w:r>
        <w:rPr>
          <w:rFonts w:ascii="Times New Roman" w:hAnsi="Times New Roman"/>
          <w:i/>
          <w:sz w:val="22"/>
        </w:rPr>
        <w:t>probability </w:t>
      </w:r>
      <w:r>
        <w:rPr>
          <w:sz w:val="22"/>
        </w:rPr>
        <w:t>≥ 1,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1573" w:firstLine="360"/>
        <w:jc w:val="left"/>
        <w:rPr>
          <w:sz w:val="22"/>
        </w:rPr>
      </w:pPr>
      <w:r>
        <w:rPr>
          <w:sz w:val="22"/>
        </w:rPr>
        <w:t>the implementation determines that a return value cannot be computed, </w:t>
      </w:r>
      <w:r>
        <w:rPr>
          <w:rFonts w:ascii="Consolas" w:hAnsi="Consolas"/>
          <w:sz w:val="22"/>
        </w:rPr>
        <w:t>#N/A</w:t>
      </w:r>
      <w:r>
        <w:rPr>
          <w:rFonts w:ascii="Consolas" w:hAnsi="Consolas"/>
          <w:spacing w:val="-91"/>
          <w:sz w:val="22"/>
        </w:rPr>
        <w:t> </w:t>
      </w:r>
      <w:r>
        <w:rPr>
          <w:sz w:val="22"/>
        </w:rPr>
        <w:t>is returned. [</w:t>
      </w:r>
      <w:r>
        <w:rPr>
          <w:i/>
          <w:sz w:val="22"/>
        </w:rPr>
        <w:t>Example</w:t>
      </w:r>
      <w:r>
        <w:rPr>
          <w:sz w:val="22"/>
        </w:rPr>
        <w:t>:</w:t>
      </w:r>
    </w:p>
    <w:p>
      <w:pPr>
        <w:pStyle w:val="BodyText"/>
        <w:tabs>
          <w:tab w:pos="3100" w:val="left" w:leader="none"/>
        </w:tabs>
        <w:spacing w:line="276" w:lineRule="auto" w:before="126"/>
        <w:ind w:left="220" w:right="6368"/>
        <w:rPr>
          <w:rFonts w:ascii="Consolas"/>
        </w:rPr>
      </w:pPr>
      <w:r>
        <w:rPr>
          <w:rFonts w:ascii="Consolas"/>
        </w:rPr>
        <w:t>NORMSINV(0.945)</w:t>
      </w:r>
      <w:r>
        <w:rPr>
          <w:rFonts w:ascii="Consolas"/>
          <w:spacing w:val="-70"/>
        </w:rPr>
        <w:t> </w:t>
      </w:r>
      <w:r>
        <w:rPr/>
        <w:t>results</w:t>
      </w:r>
      <w:r>
        <w:rPr>
          <w:spacing w:val="-3"/>
        </w:rPr>
        <w:t> </w:t>
      </w:r>
      <w:r>
        <w:rPr/>
        <w:t>in</w:t>
        <w:tab/>
      </w:r>
      <w:r>
        <w:rPr>
          <w:rFonts w:ascii="Consolas"/>
          <w:spacing w:val="-3"/>
        </w:rPr>
        <w:t>1.59819314 </w:t>
      </w:r>
      <w:r>
        <w:rPr>
          <w:rFonts w:ascii="Consolas"/>
        </w:rPr>
        <w:t>NORMSINV(0.13) </w:t>
      </w:r>
      <w:r>
        <w:rPr/>
        <w:t>results in</w:t>
      </w:r>
      <w:r>
        <w:rPr>
          <w:spacing w:val="-13"/>
        </w:rPr>
        <w:t> </w:t>
      </w:r>
      <w:r>
        <w:rPr>
          <w:rFonts w:ascii="Consolas"/>
        </w:rPr>
        <w:t>-1.12639113</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3 NOT" w:id="2091"/>
      <w:bookmarkEnd w:id="2091"/>
      <w:r>
        <w:rPr/>
      </w:r>
      <w:bookmarkStart w:name="_bookmark696" w:id="2092"/>
      <w:bookmarkEnd w:id="2092"/>
      <w:r>
        <w:rPr/>
      </w:r>
      <w:bookmarkStart w:name="_bookmark696" w:id="2093"/>
      <w:bookmarkEnd w:id="2093"/>
      <w:r>
        <w:rPr>
          <w:color w:val="4F81BC"/>
        </w:rPr>
        <w:t>N</w:t>
      </w:r>
      <w:r>
        <w:rPr>
          <w:color w:val="4F81BC"/>
        </w:rPr>
        <w:t>OT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NOT ( </w:t>
      </w:r>
      <w:r>
        <w:rPr>
          <w:i/>
          <w:sz w:val="22"/>
        </w:rPr>
        <w:t>logical-value </w:t>
      </w:r>
      <w:r>
        <w:rPr>
          <w:rFonts w:ascii="Lucida Console"/>
          <w:sz w:val="20"/>
        </w:rPr>
        <w:t>)</w:t>
      </w:r>
    </w:p>
    <w:p>
      <w:pPr>
        <w:spacing w:before="108"/>
        <w:ind w:left="220" w:right="0" w:firstLine="0"/>
        <w:jc w:val="left"/>
        <w:rPr>
          <w:sz w:val="22"/>
        </w:rPr>
      </w:pPr>
      <w:r>
        <w:rPr>
          <w:b/>
          <w:sz w:val="22"/>
        </w:rPr>
        <w:t>Description: </w:t>
      </w:r>
      <w:r>
        <w:rPr>
          <w:sz w:val="22"/>
        </w:rPr>
        <w:t>Computes the logical negation of </w:t>
      </w:r>
      <w:r>
        <w:rPr>
          <w:rFonts w:ascii="Times New Roman"/>
          <w:i/>
          <w:sz w:val="22"/>
        </w:rPr>
        <w:t>logical-value</w:t>
      </w:r>
      <w:r>
        <w:rPr>
          <w:sz w:val="22"/>
        </w:rPr>
        <w:t>.</w:t>
      </w:r>
    </w:p>
    <w:p>
      <w:pPr>
        <w:spacing w:after="0"/>
        <w:jc w:val="left"/>
        <w:rPr>
          <w:sz w:val="22"/>
        </w:rPr>
        <w:sectPr>
          <w:pgSz w:w="12240" w:h="15840"/>
          <w:pgMar w:header="763" w:footer="746" w:top="1340" w:bottom="940" w:left="860" w:right="700"/>
        </w:sectPr>
      </w:pPr>
    </w:p>
    <w:p>
      <w:pPr>
        <w:pStyle w:val="Heading4"/>
        <w:spacing w:before="9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49" w:right="109"/>
              <w:jc w:val="center"/>
              <w:rPr>
                <w:rFonts w:ascii="Times New Roman"/>
                <w:i/>
                <w:sz w:val="22"/>
              </w:rPr>
            </w:pPr>
            <w:r>
              <w:rPr>
                <w:rFonts w:ascii="Times New Roman"/>
                <w:i/>
                <w:sz w:val="22"/>
              </w:rPr>
              <w:t>logical-value</w:t>
            </w:r>
          </w:p>
        </w:tc>
        <w:tc>
          <w:tcPr>
            <w:tcW w:w="1800" w:type="dxa"/>
          </w:tcPr>
          <w:p>
            <w:pPr>
              <w:pStyle w:val="TableParagraph"/>
              <w:ind w:left="112"/>
              <w:rPr>
                <w:sz w:val="22"/>
              </w:rPr>
            </w:pPr>
            <w:r>
              <w:rPr>
                <w:sz w:val="22"/>
              </w:rPr>
              <w:t>logical</w:t>
            </w:r>
          </w:p>
        </w:tc>
        <w:tc>
          <w:tcPr>
            <w:tcW w:w="5400" w:type="dxa"/>
          </w:tcPr>
          <w:p>
            <w:pPr>
              <w:pStyle w:val="TableParagraph"/>
              <w:ind w:left="113"/>
              <w:rPr>
                <w:sz w:val="22"/>
              </w:rPr>
            </w:pPr>
            <w:r>
              <w:rPr>
                <w:sz w:val="22"/>
              </w:rPr>
              <w:t>The value to be negated.</w:t>
            </w:r>
          </w:p>
        </w:tc>
      </w:tr>
    </w:tbl>
    <w:p>
      <w:pPr>
        <w:pStyle w:val="BodyText"/>
        <w:rPr>
          <w:b/>
        </w:rPr>
      </w:pPr>
    </w:p>
    <w:p>
      <w:pPr>
        <w:pStyle w:val="BodyText"/>
        <w:spacing w:before="5"/>
        <w:rPr>
          <w:b/>
          <w:sz w:val="19"/>
        </w:rPr>
      </w:pPr>
    </w:p>
    <w:p>
      <w:pPr>
        <w:spacing w:before="0"/>
        <w:ind w:left="220" w:right="0" w:firstLine="0"/>
        <w:jc w:val="left"/>
        <w:rPr>
          <w:sz w:val="22"/>
        </w:rPr>
      </w:pPr>
      <w:r>
        <w:rPr>
          <w:b/>
          <w:sz w:val="22"/>
        </w:rPr>
        <w:t>Return Type and Value: </w:t>
      </w:r>
      <w:r>
        <w:rPr>
          <w:sz w:val="22"/>
        </w:rPr>
        <w:t>logical – The logical negation of </w:t>
      </w:r>
      <w:r>
        <w:rPr>
          <w:rFonts w:ascii="Times New Roman" w:hAnsi="Times New Roman"/>
          <w:i/>
          <w:sz w:val="22"/>
        </w:rPr>
        <w:t>logical-value</w:t>
      </w:r>
      <w:r>
        <w:rPr>
          <w:sz w:val="22"/>
        </w:rPr>
        <w:t>; that is, it returns </w:t>
      </w:r>
      <w:r>
        <w:rPr>
          <w:rFonts w:ascii="Consolas" w:hAnsi="Consolas"/>
          <w:sz w:val="22"/>
        </w:rPr>
        <w:t>TRUE</w:t>
      </w:r>
      <w:r>
        <w:rPr>
          <w:rFonts w:ascii="Consolas" w:hAnsi="Consolas"/>
          <w:spacing w:val="-98"/>
          <w:sz w:val="22"/>
        </w:rPr>
        <w:t> </w:t>
      </w:r>
      <w:r>
        <w:rPr>
          <w:sz w:val="22"/>
        </w:rPr>
        <w:t>if </w:t>
      </w:r>
      <w:r>
        <w:rPr>
          <w:rFonts w:ascii="Times New Roman" w:hAnsi="Times New Roman"/>
          <w:i/>
          <w:sz w:val="22"/>
        </w:rPr>
        <w:t>logical-value </w:t>
      </w:r>
      <w:r>
        <w:rPr>
          <w:sz w:val="22"/>
        </w:rPr>
        <w:t>is</w:t>
      </w:r>
    </w:p>
    <w:p>
      <w:pPr>
        <w:spacing w:line="453" w:lineRule="auto" w:before="43"/>
        <w:ind w:left="220" w:right="6600" w:firstLine="0"/>
        <w:jc w:val="left"/>
        <w:rPr>
          <w:sz w:val="22"/>
        </w:rPr>
      </w:pPr>
      <w:r>
        <w:rPr>
          <w:rFonts w:ascii="Consolas"/>
          <w:sz w:val="22"/>
        </w:rPr>
        <w:t>FALSE</w:t>
      </w:r>
      <w:r>
        <w:rPr>
          <w:sz w:val="22"/>
        </w:rPr>
        <w:t>, and </w:t>
      </w:r>
      <w:r>
        <w:rPr>
          <w:rFonts w:ascii="Consolas"/>
          <w:sz w:val="22"/>
        </w:rPr>
        <w:t>FALSE</w:t>
      </w:r>
      <w:r>
        <w:rPr>
          <w:rFonts w:ascii="Consolas"/>
          <w:spacing w:val="-91"/>
          <w:sz w:val="22"/>
        </w:rPr>
        <w:t> </w:t>
      </w:r>
      <w:r>
        <w:rPr>
          <w:sz w:val="22"/>
        </w:rPr>
        <w:t>if </w:t>
      </w:r>
      <w:r>
        <w:rPr>
          <w:rFonts w:ascii="Times New Roman"/>
          <w:i/>
          <w:sz w:val="22"/>
        </w:rPr>
        <w:t>logical-value </w:t>
      </w:r>
      <w:r>
        <w:rPr>
          <w:sz w:val="22"/>
        </w:rPr>
        <w:t>is </w:t>
      </w:r>
      <w:r>
        <w:rPr>
          <w:rFonts w:ascii="Consolas"/>
          <w:sz w:val="22"/>
        </w:rPr>
        <w:t>TRUE</w:t>
      </w:r>
      <w:r>
        <w:rPr>
          <w:sz w:val="22"/>
        </w:rPr>
        <w:t>. [</w:t>
      </w:r>
      <w:r>
        <w:rPr>
          <w:i/>
          <w:sz w:val="22"/>
        </w:rPr>
        <w:t>Example</w:t>
      </w:r>
      <w:r>
        <w:rPr>
          <w:sz w:val="22"/>
        </w:rPr>
        <w:t>:</w:t>
      </w:r>
    </w:p>
    <w:p>
      <w:pPr>
        <w:pStyle w:val="BodyText"/>
        <w:spacing w:line="276" w:lineRule="auto" w:before="108"/>
        <w:ind w:left="220" w:right="7601"/>
        <w:rPr>
          <w:rFonts w:ascii="Consolas"/>
        </w:rPr>
      </w:pPr>
      <w:r>
        <w:rPr>
          <w:rFonts w:ascii="Consolas"/>
        </w:rPr>
        <w:t>NOT(TRUE) </w:t>
      </w:r>
      <w:r>
        <w:rPr/>
        <w:t>results in </w:t>
      </w:r>
      <w:r>
        <w:rPr>
          <w:rFonts w:ascii="Consolas"/>
        </w:rPr>
        <w:t>FALSE NOT(FALSE) </w:t>
      </w:r>
      <w:r>
        <w:rPr/>
        <w:t>results in </w:t>
      </w:r>
      <w:r>
        <w:rPr>
          <w:rFonts w:ascii="Consolas"/>
        </w:rPr>
        <w:t>TRUE NOT(10&gt;5) </w:t>
      </w:r>
      <w:r>
        <w:rPr/>
        <w:t>results in </w:t>
      </w:r>
      <w:r>
        <w:rPr>
          <w:rFonts w:ascii="Consolas"/>
        </w:rPr>
        <w:t>FALSE NOT(16.567)</w:t>
      </w:r>
      <w:r>
        <w:rPr>
          <w:rFonts w:ascii="Consolas"/>
          <w:spacing w:val="-81"/>
        </w:rPr>
        <w:t> </w:t>
      </w:r>
      <w:r>
        <w:rPr/>
        <w:t>results in </w:t>
      </w:r>
      <w:r>
        <w:rPr>
          <w:rFonts w:ascii="Consolas"/>
        </w:rPr>
        <w:t>FALSE</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4 NOW" w:id="2094"/>
      <w:bookmarkEnd w:id="2094"/>
      <w:r>
        <w:rPr/>
      </w:r>
      <w:bookmarkStart w:name="_bookmark697" w:id="2095"/>
      <w:bookmarkEnd w:id="2095"/>
      <w:r>
        <w:rPr/>
      </w:r>
      <w:bookmarkStart w:name="_bookmark697" w:id="2096"/>
      <w:bookmarkEnd w:id="2096"/>
      <w:r>
        <w:rPr>
          <w:color w:val="4F81BC"/>
        </w:rPr>
        <w:t>N</w:t>
      </w:r>
      <w:r>
        <w:rPr>
          <w:color w:val="4F81BC"/>
        </w:rPr>
        <w:t>OW</w:t>
      </w:r>
    </w:p>
    <w:p>
      <w:pPr>
        <w:pStyle w:val="Heading4"/>
        <w:spacing w:before="123"/>
        <w:rPr>
          <w:b w:val="0"/>
        </w:rPr>
      </w:pPr>
      <w:r>
        <w:rPr/>
        <w:t>Syntax</w:t>
      </w:r>
      <w:r>
        <w:rPr>
          <w:b w:val="0"/>
        </w:rPr>
        <w:t>:</w:t>
      </w:r>
    </w:p>
    <w:p>
      <w:pPr>
        <w:pStyle w:val="BodyText"/>
        <w:spacing w:before="4"/>
        <w:rPr>
          <w:sz w:val="23"/>
        </w:rPr>
      </w:pPr>
    </w:p>
    <w:p>
      <w:pPr>
        <w:spacing w:before="0"/>
        <w:ind w:left="940" w:right="0" w:firstLine="0"/>
        <w:jc w:val="left"/>
        <w:rPr>
          <w:rFonts w:ascii="Lucida Console"/>
          <w:sz w:val="20"/>
        </w:rPr>
      </w:pPr>
      <w:r>
        <w:rPr>
          <w:rFonts w:ascii="Lucida Console"/>
          <w:sz w:val="20"/>
        </w:rPr>
        <w:t>NOW ( )</w:t>
      </w:r>
    </w:p>
    <w:p>
      <w:pPr>
        <w:pStyle w:val="BodyText"/>
        <w:spacing w:line="278" w:lineRule="auto" w:before="123"/>
        <w:ind w:left="220" w:right="641"/>
      </w:pPr>
      <w:r>
        <w:rPr>
          <w:b/>
        </w:rPr>
        <w:t>Description: </w:t>
      </w:r>
      <w:r>
        <w:rPr/>
        <w:t>Computes the serial date-time of the current date and time, taking into account the current date system.</w:t>
      </w:r>
    </w:p>
    <w:p>
      <w:pPr>
        <w:pStyle w:val="BodyText"/>
        <w:spacing w:before="3"/>
        <w:rPr>
          <w:sz w:val="16"/>
        </w:rPr>
      </w:pPr>
    </w:p>
    <w:p>
      <w:pPr>
        <w:spacing w:before="0"/>
        <w:ind w:left="220" w:right="0" w:firstLine="0"/>
        <w:jc w:val="left"/>
        <w:rPr>
          <w:sz w:val="22"/>
        </w:rPr>
      </w:pPr>
      <w:r>
        <w:rPr>
          <w:b/>
          <w:sz w:val="22"/>
        </w:rPr>
        <w:t>Arguments: </w:t>
      </w:r>
      <w:r>
        <w:rPr>
          <w:sz w:val="22"/>
        </w:rPr>
        <w:t>None.</w:t>
      </w:r>
    </w:p>
    <w:p>
      <w:pPr>
        <w:pStyle w:val="BodyText"/>
        <w:spacing w:before="8"/>
        <w:rPr>
          <w:sz w:val="19"/>
        </w:rPr>
      </w:pPr>
    </w:p>
    <w:p>
      <w:pPr>
        <w:spacing w:before="0"/>
        <w:ind w:left="220" w:right="0" w:firstLine="0"/>
        <w:jc w:val="left"/>
        <w:rPr>
          <w:sz w:val="22"/>
        </w:rPr>
      </w:pPr>
      <w:r>
        <w:rPr>
          <w:b/>
          <w:sz w:val="22"/>
        </w:rPr>
        <w:t>Return Type and Value: </w:t>
      </w:r>
      <w:r>
        <w:rPr>
          <w:sz w:val="22"/>
        </w:rPr>
        <w:t>number – The serial date-time of the current date and time.</w:t>
      </w:r>
    </w:p>
    <w:p>
      <w:pPr>
        <w:pStyle w:val="BodyText"/>
        <w:spacing w:before="6"/>
        <w:rPr>
          <w:sz w:val="19"/>
        </w:rPr>
      </w:pPr>
    </w:p>
    <w:p>
      <w:pPr>
        <w:pStyle w:val="BodyText"/>
        <w:ind w:left="220"/>
      </w:pPr>
      <w:r>
        <w:rPr/>
        <w:t>[</w:t>
      </w:r>
      <w:r>
        <w:rPr>
          <w:i/>
        </w:rPr>
        <w:t>Example</w:t>
      </w:r>
      <w:r>
        <w:rPr/>
        <w:t>: On February 26, 2006, between 23:01 and 23:02, </w:t>
      </w:r>
      <w:r>
        <w:rPr>
          <w:rFonts w:ascii="Consolas"/>
        </w:rPr>
        <w:t>NOW()</w:t>
      </w:r>
      <w:r>
        <w:rPr>
          <w:rFonts w:ascii="Consolas"/>
          <w:spacing w:val="-72"/>
        </w:rPr>
        <w:t> </w:t>
      </w:r>
      <w:r>
        <w:rPr/>
        <w:t>resulted in </w:t>
      </w:r>
      <w:r>
        <w:rPr>
          <w:rFonts w:ascii="Consolas"/>
        </w:rPr>
        <w:t>38774.95958611110</w:t>
      </w:r>
      <w:r>
        <w:rPr>
          <w:rFonts w:ascii="Consolas"/>
          <w:spacing w:val="-67"/>
        </w:rPr>
        <w:t> </w:t>
      </w:r>
      <w:r>
        <w:rPr/>
        <w:t>for the</w:t>
      </w:r>
    </w:p>
    <w:p>
      <w:pPr>
        <w:pStyle w:val="BodyText"/>
        <w:spacing w:before="39"/>
        <w:ind w:left="220"/>
        <w:rPr>
          <w:rFonts w:ascii="Consolas"/>
        </w:rPr>
      </w:pPr>
      <w:r>
        <w:rPr/>
        <w:t>1900 date system. On February 26, 2006, between 23:02 and 23:03, </w:t>
      </w:r>
      <w:r>
        <w:rPr>
          <w:rFonts w:ascii="Consolas"/>
        </w:rPr>
        <w:t>NOW()</w:t>
      </w:r>
      <w:r>
        <w:rPr>
          <w:rFonts w:ascii="Consolas"/>
          <w:spacing w:val="-97"/>
        </w:rPr>
        <w:t> </w:t>
      </w:r>
      <w:r>
        <w:rPr/>
        <w:t>resulted in </w:t>
      </w:r>
      <w:r>
        <w:rPr>
          <w:rFonts w:ascii="Consolas"/>
        </w:rPr>
        <w:t>37312.95982569440</w:t>
      </w:r>
    </w:p>
    <w:p>
      <w:pPr>
        <w:spacing w:before="43"/>
        <w:ind w:left="220" w:right="0" w:firstLine="0"/>
        <w:jc w:val="left"/>
        <w:rPr>
          <w:sz w:val="22"/>
        </w:rPr>
      </w:pPr>
      <w:r>
        <w:rPr>
          <w:sz w:val="22"/>
        </w:rPr>
        <w:t>for the 1904 date system. </w:t>
      </w: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5 NPER" w:id="2097"/>
      <w:bookmarkEnd w:id="2097"/>
      <w:r>
        <w:rPr/>
      </w:r>
      <w:bookmarkStart w:name="_bookmark698" w:id="2098"/>
      <w:bookmarkEnd w:id="2098"/>
      <w:r>
        <w:rPr/>
      </w:r>
      <w:bookmarkStart w:name="_bookmark698" w:id="2099"/>
      <w:bookmarkEnd w:id="2099"/>
      <w:r>
        <w:rPr>
          <w:color w:val="4F81BC"/>
        </w:rPr>
        <w:t>NP</w:t>
      </w:r>
      <w:r>
        <w:rPr>
          <w:color w:val="4F81BC"/>
        </w:rPr>
        <w:t>ER</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NPER ( </w:t>
      </w:r>
      <w:r>
        <w:rPr>
          <w:i/>
          <w:sz w:val="22"/>
        </w:rPr>
        <w:t>rate </w:t>
      </w:r>
      <w:r>
        <w:rPr>
          <w:rFonts w:ascii="Lucida Console"/>
          <w:sz w:val="20"/>
        </w:rPr>
        <w:t>, </w:t>
      </w:r>
      <w:r>
        <w:rPr>
          <w:i/>
          <w:sz w:val="22"/>
        </w:rPr>
        <w:t>pmt </w:t>
      </w:r>
      <w:r>
        <w:rPr>
          <w:rFonts w:ascii="Lucida Console"/>
          <w:sz w:val="20"/>
        </w:rPr>
        <w:t>, </w:t>
      </w:r>
      <w:r>
        <w:rPr>
          <w:i/>
          <w:sz w:val="22"/>
        </w:rPr>
        <w:t>pv </w:t>
      </w:r>
      <w:r>
        <w:rPr>
          <w:sz w:val="22"/>
        </w:rPr>
        <w:t>[  </w:t>
      </w:r>
      <w:r>
        <w:rPr>
          <w:rFonts w:ascii="Lucida Console"/>
          <w:sz w:val="20"/>
        </w:rPr>
        <w:t>, </w:t>
      </w:r>
      <w:r>
        <w:rPr>
          <w:sz w:val="22"/>
        </w:rPr>
        <w:t>[ </w:t>
      </w:r>
      <w:r>
        <w:rPr>
          <w:i/>
          <w:sz w:val="22"/>
        </w:rPr>
        <w:t>fv </w:t>
      </w:r>
      <w:r>
        <w:rPr>
          <w:sz w:val="22"/>
        </w:rPr>
        <w:t>] [  </w:t>
      </w:r>
      <w:r>
        <w:rPr>
          <w:rFonts w:ascii="Lucida Console"/>
          <w:sz w:val="20"/>
        </w:rPr>
        <w:t>,</w:t>
      </w:r>
      <w:r>
        <w:rPr>
          <w:rFonts w:ascii="Lucida Console"/>
          <w:spacing w:val="-71"/>
          <w:sz w:val="20"/>
        </w:rPr>
        <w:t> </w:t>
      </w:r>
      <w:r>
        <w:rPr>
          <w:sz w:val="22"/>
        </w:rPr>
        <w:t>[ </w:t>
      </w:r>
      <w:r>
        <w:rPr>
          <w:i/>
          <w:sz w:val="22"/>
        </w:rPr>
        <w:t>type  </w:t>
      </w:r>
      <w:r>
        <w:rPr>
          <w:sz w:val="22"/>
        </w:rPr>
        <w:t>] ] ] </w:t>
      </w:r>
      <w:r>
        <w:rPr>
          <w:rFonts w:ascii="Lucida Console"/>
          <w:sz w:val="20"/>
        </w:rPr>
        <w:t>)</w:t>
      </w:r>
    </w:p>
    <w:p>
      <w:pPr>
        <w:pStyle w:val="BodyText"/>
        <w:spacing w:line="278" w:lineRule="auto" w:before="106"/>
        <w:ind w:left="220" w:right="681"/>
      </w:pPr>
      <w:r>
        <w:rPr>
          <w:b/>
        </w:rPr>
        <w:t>Description</w:t>
      </w:r>
      <w:r>
        <w:rPr/>
        <w:t>: Computes the number of periods for an investment based on periodic, constant payments and a constant interest rate.</w:t>
      </w:r>
    </w:p>
    <w:p>
      <w:pPr>
        <w:pStyle w:val="BodyText"/>
        <w:spacing w:before="2"/>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interest rate per period.</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892" w:hRule="atLeast"/>
        </w:trPr>
        <w:tc>
          <w:tcPr>
            <w:tcW w:w="1466" w:type="dxa"/>
          </w:tcPr>
          <w:p>
            <w:pPr>
              <w:pStyle w:val="TableParagraph"/>
              <w:spacing w:before="37"/>
              <w:rPr>
                <w:rFonts w:ascii="Times New Roman"/>
                <w:i/>
                <w:sz w:val="22"/>
              </w:rPr>
            </w:pPr>
            <w:r>
              <w:rPr>
                <w:rFonts w:ascii="Times New Roman"/>
                <w:i/>
                <w:sz w:val="22"/>
              </w:rPr>
              <w:t>pmt</w:t>
            </w:r>
          </w:p>
        </w:tc>
        <w:tc>
          <w:tcPr>
            <w:tcW w:w="1800" w:type="dxa"/>
          </w:tcPr>
          <w:p>
            <w:pPr>
              <w:pStyle w:val="TableParagraph"/>
              <w:ind w:left="112"/>
              <w:rPr>
                <w:sz w:val="22"/>
              </w:rPr>
            </w:pPr>
            <w:r>
              <w:rPr>
                <w:sz w:val="22"/>
              </w:rPr>
              <w:t>number</w:t>
            </w:r>
          </w:p>
        </w:tc>
        <w:tc>
          <w:tcPr>
            <w:tcW w:w="5397" w:type="dxa"/>
            <w:gridSpan w:val="4"/>
          </w:tcPr>
          <w:p>
            <w:pPr>
              <w:pStyle w:val="TableParagraph"/>
              <w:ind w:left="113" w:right="386"/>
              <w:jc w:val="both"/>
              <w:rPr>
                <w:sz w:val="22"/>
              </w:rPr>
            </w:pPr>
            <w:r>
              <w:rPr>
                <w:sz w:val="22"/>
              </w:rPr>
              <w:t>The payment made each period; it cannot change over the life of the annuity. Typically, </w:t>
            </w:r>
            <w:r>
              <w:rPr>
                <w:rFonts w:ascii="Times New Roman"/>
                <w:i/>
                <w:sz w:val="22"/>
              </w:rPr>
              <w:t>pmt </w:t>
            </w:r>
            <w:r>
              <w:rPr>
                <w:sz w:val="22"/>
              </w:rPr>
              <w:t>contains principal and interest but no other fees or taxes.</w:t>
            </w:r>
          </w:p>
        </w:tc>
      </w:tr>
      <w:tr>
        <w:trPr>
          <w:trHeight w:val="621"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397" w:type="dxa"/>
            <w:gridSpan w:val="4"/>
          </w:tcPr>
          <w:p>
            <w:pPr>
              <w:pStyle w:val="TableParagraph"/>
              <w:spacing w:line="237" w:lineRule="auto" w:before="42"/>
              <w:ind w:left="113" w:right="164"/>
              <w:rPr>
                <w:sz w:val="22"/>
              </w:rPr>
            </w:pPr>
            <w:r>
              <w:rPr>
                <w:sz w:val="22"/>
              </w:rPr>
              <w:t>The present value, or the lump-sum amount that a series of future payments is worth right now.</w:t>
            </w:r>
          </w:p>
        </w:tc>
      </w:tr>
      <w:tr>
        <w:trPr>
          <w:trHeight w:val="892" w:hRule="atLeast"/>
        </w:trPr>
        <w:tc>
          <w:tcPr>
            <w:tcW w:w="1466" w:type="dxa"/>
          </w:tcPr>
          <w:p>
            <w:pPr>
              <w:pStyle w:val="TableParagraph"/>
              <w:spacing w:before="37"/>
              <w:rPr>
                <w:rFonts w:ascii="Times New Roman"/>
                <w:i/>
                <w:sz w:val="22"/>
              </w:rPr>
            </w:pPr>
            <w:r>
              <w:rPr>
                <w:rFonts w:ascii="Times New Roman"/>
                <w:i/>
                <w:sz w:val="22"/>
              </w:rPr>
              <w:t>fv</w:t>
            </w:r>
          </w:p>
        </w:tc>
        <w:tc>
          <w:tcPr>
            <w:tcW w:w="1800" w:type="dxa"/>
          </w:tcPr>
          <w:p>
            <w:pPr>
              <w:pStyle w:val="TableParagraph"/>
              <w:ind w:left="112"/>
              <w:rPr>
                <w:sz w:val="22"/>
              </w:rPr>
            </w:pPr>
            <w:r>
              <w:rPr>
                <w:sz w:val="22"/>
              </w:rPr>
              <w:t>number</w:t>
            </w:r>
          </w:p>
        </w:tc>
        <w:tc>
          <w:tcPr>
            <w:tcW w:w="5397" w:type="dxa"/>
            <w:gridSpan w:val="4"/>
          </w:tcPr>
          <w:p>
            <w:pPr>
              <w:pStyle w:val="TableParagraph"/>
              <w:ind w:left="113" w:right="82"/>
              <w:rPr>
                <w:sz w:val="22"/>
              </w:rPr>
            </w:pPr>
            <w:r>
              <w:rPr>
                <w:sz w:val="22"/>
              </w:rPr>
              <w:t>The future value, or a cash balance to be attained after the last payment is made. If </w:t>
            </w:r>
            <w:r>
              <w:rPr>
                <w:rFonts w:ascii="Times New Roman"/>
                <w:i/>
                <w:sz w:val="22"/>
              </w:rPr>
              <w:t>fv </w:t>
            </w:r>
            <w:r>
              <w:rPr>
                <w:sz w:val="22"/>
              </w:rPr>
              <w:t>is omitted, it is assumed to be 0 (i.e., the future value of a loan, for example, is 0).</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ind w:left="113" w:right="668"/>
              <w:rPr>
                <w:sz w:val="22"/>
              </w:rPr>
            </w:pPr>
            <w:r>
              <w:rPr>
                <w:sz w:val="22"/>
              </w:rPr>
              <w:t>The timing of the payment, truncated to integer, as follows:</w:t>
            </w:r>
          </w:p>
        </w:tc>
      </w:tr>
      <w:tr>
        <w:trPr>
          <w:trHeight w:val="355"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4"/>
              <w:ind w:left="116"/>
              <w:rPr>
                <w:rFonts w:ascii="Consolas"/>
                <w:sz w:val="22"/>
              </w:rPr>
            </w:pPr>
            <w:r>
              <w:rPr>
                <w:rFonts w:ascii="Consolas"/>
                <w:w w:val="100"/>
                <w:sz w:val="22"/>
              </w:rPr>
              <w:t>1</w:t>
            </w:r>
          </w:p>
        </w:tc>
        <w:tc>
          <w:tcPr>
            <w:tcW w:w="2985" w:type="dxa"/>
          </w:tcPr>
          <w:p>
            <w:pPr>
              <w:pStyle w:val="TableParagraph"/>
              <w:spacing w:line="237" w:lineRule="auto" w:before="44"/>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bl>
    <w:p>
      <w:pPr>
        <w:pStyle w:val="BodyText"/>
        <w:rPr>
          <w:sz w:val="20"/>
        </w:rPr>
      </w:pPr>
    </w:p>
    <w:p>
      <w:pPr>
        <w:pStyle w:val="BodyText"/>
        <w:rPr>
          <w:sz w:val="17"/>
        </w:rPr>
      </w:pPr>
    </w:p>
    <w:p>
      <w:pPr>
        <w:pStyle w:val="BodyText"/>
        <w:spacing w:line="276" w:lineRule="auto" w:before="56"/>
        <w:ind w:left="220" w:right="1124"/>
      </w:pPr>
      <w:r>
        <w:rPr>
          <w:b/>
        </w:rPr>
        <w:t>Return Type and Value</w:t>
      </w:r>
      <w:r>
        <w:rPr/>
        <w:t>: number – The number of periods for an investment based on periodic, constant payments and a constant interest rate.</w:t>
      </w:r>
    </w:p>
    <w:p>
      <w:pPr>
        <w:pStyle w:val="BodyText"/>
        <w:spacing w:before="5"/>
        <w:rPr>
          <w:sz w:val="16"/>
        </w:rPr>
      </w:pPr>
    </w:p>
    <w:p>
      <w:pPr>
        <w:pStyle w:val="BodyText"/>
        <w:spacing w:line="453" w:lineRule="auto" w:before="1"/>
        <w:ind w:left="220" w:right="3786"/>
      </w:pPr>
      <w:r>
        <w:rPr/>
        <w:t>However, if </w:t>
      </w:r>
      <w:r>
        <w:rPr>
          <w:rFonts w:ascii="Times New Roman"/>
          <w:i/>
        </w:rPr>
        <w:t>type </w:t>
      </w:r>
      <w:r>
        <w:rPr/>
        <w:t>is any number other than 0 or 1, </w:t>
      </w:r>
      <w:r>
        <w:rPr>
          <w:rFonts w:ascii="Consolas"/>
        </w:rPr>
        <w:t>#NUM!</w:t>
      </w:r>
      <w:r>
        <w:rPr>
          <w:rFonts w:ascii="Consolas"/>
          <w:spacing w:val="-91"/>
        </w:rPr>
        <w:t> </w:t>
      </w:r>
      <w:r>
        <w:rPr/>
        <w:t>is returned. [</w:t>
      </w:r>
      <w:r>
        <w:rPr>
          <w:i/>
        </w:rPr>
        <w:t>Example</w:t>
      </w:r>
      <w:r>
        <w:rPr/>
        <w:t>:</w:t>
      </w:r>
    </w:p>
    <w:p>
      <w:pPr>
        <w:pStyle w:val="BodyText"/>
        <w:spacing w:line="273" w:lineRule="auto" w:before="110"/>
        <w:ind w:left="220" w:right="4996"/>
        <w:rPr>
          <w:rFonts w:ascii="Consolas"/>
        </w:rPr>
      </w:pPr>
      <w:r>
        <w:rPr>
          <w:rFonts w:ascii="Consolas"/>
        </w:rPr>
        <w:t>NPER(0.12/12,-100,-1000,10000,1)</w:t>
      </w:r>
      <w:r>
        <w:rPr>
          <w:rFonts w:ascii="Consolas"/>
          <w:spacing w:val="-69"/>
        </w:rPr>
        <w:t> </w:t>
      </w:r>
      <w:r>
        <w:rPr/>
        <w:t>results in </w:t>
      </w:r>
      <w:r>
        <w:rPr>
          <w:rFonts w:ascii="Consolas"/>
        </w:rPr>
        <w:t>59.67 NPER(0.12/12,-100,-1000) </w:t>
      </w:r>
      <w:r>
        <w:rPr/>
        <w:t>results in </w:t>
      </w:r>
      <w:r>
        <w:rPr>
          <w:rFonts w:ascii="Consolas"/>
        </w:rPr>
        <w:t>-9.58</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6 NPV" w:id="2100"/>
      <w:bookmarkEnd w:id="2100"/>
      <w:r>
        <w:rPr/>
      </w:r>
      <w:bookmarkStart w:name="_bookmark699" w:id="2101"/>
      <w:bookmarkEnd w:id="2101"/>
      <w:r>
        <w:rPr/>
      </w:r>
      <w:bookmarkStart w:name="_bookmark699" w:id="2102"/>
      <w:bookmarkEnd w:id="2102"/>
      <w:r>
        <w:rPr>
          <w:color w:val="4F81BC"/>
        </w:rPr>
        <w:t>NPV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NPV ( </w:t>
      </w:r>
      <w:r>
        <w:rPr>
          <w:i/>
          <w:sz w:val="22"/>
        </w:rPr>
        <w:t>rate </w:t>
      </w:r>
      <w:r>
        <w:rPr>
          <w:sz w:val="22"/>
        </w:rPr>
        <w:t>, </w:t>
      </w:r>
      <w:r>
        <w:rPr>
          <w:i/>
          <w:sz w:val="22"/>
        </w:rPr>
        <w:t>argument-list </w:t>
      </w:r>
      <w:r>
        <w:rPr>
          <w:rFonts w:ascii="Lucida Console"/>
          <w:sz w:val="20"/>
        </w:rPr>
        <w:t>)</w:t>
      </w:r>
    </w:p>
    <w:p>
      <w:pPr>
        <w:pStyle w:val="BodyText"/>
        <w:spacing w:line="278" w:lineRule="auto" w:before="106"/>
        <w:ind w:left="220" w:right="730"/>
      </w:pPr>
      <w:r>
        <w:rPr>
          <w:b/>
        </w:rPr>
        <w:t>Description</w:t>
      </w:r>
      <w:r>
        <w:rPr/>
        <w:t>: Calculates the net present value of an investment by using a discount rate and a series of future payments and income.</w:t>
      </w:r>
    </w:p>
    <w:p>
      <w:pPr>
        <w:pStyle w:val="BodyText"/>
        <w:spacing w:line="276" w:lineRule="auto" w:before="196"/>
        <w:ind w:left="220" w:right="393"/>
      </w:pPr>
      <w:r>
        <w:rPr/>
        <w:t>The </w:t>
      </w:r>
      <w:r>
        <w:rPr>
          <w:rFonts w:ascii="Consolas"/>
        </w:rPr>
        <w:t>NPV </w:t>
      </w:r>
      <w:r>
        <w:rPr/>
        <w:t>investment begins one period before the date of the first </w:t>
      </w:r>
      <w:r>
        <w:rPr>
          <w:rFonts w:ascii="Times New Roman"/>
          <w:i/>
        </w:rPr>
        <w:t>argument </w:t>
      </w:r>
      <w:r>
        <w:rPr/>
        <w:t>cash flow and ends with the last cash flow in the list. The calculation is based on future cash flows. If the first cash flow occurs at the beginning of the first period, the first value shall be added to the </w:t>
      </w:r>
      <w:r>
        <w:rPr>
          <w:rFonts w:ascii="Consolas"/>
        </w:rPr>
        <w:t>NPV</w:t>
      </w:r>
      <w:r>
        <w:rPr>
          <w:rFonts w:ascii="Consolas"/>
          <w:spacing w:val="-88"/>
        </w:rPr>
        <w:t> </w:t>
      </w:r>
      <w:r>
        <w:rPr/>
        <w:t>result, not included in </w:t>
      </w:r>
      <w:r>
        <w:rPr>
          <w:rFonts w:ascii="Times New Roman"/>
          <w:i/>
        </w:rPr>
        <w:t>argument-list</w:t>
      </w:r>
      <w:r>
        <w:rPr/>
        <w:t>.</w:t>
      </w:r>
    </w:p>
    <w:p>
      <w:pPr>
        <w:pStyle w:val="Heading4"/>
        <w:spacing w:before="201"/>
        <w:rPr>
          <w:b w:val="0"/>
        </w:rPr>
      </w:pPr>
      <w:r>
        <w:rPr/>
        <w:t>Mathematical Formula</w:t>
      </w:r>
      <w:r>
        <w:rPr>
          <w:b w:val="0"/>
        </w:rPr>
        <w:t>:</w:t>
      </w:r>
    </w:p>
    <w:p>
      <w:pPr>
        <w:spacing w:after="0"/>
        <w:sectPr>
          <w:pgSz w:w="12240" w:h="15840"/>
          <w:pgMar w:header="763" w:footer="746" w:top="1340" w:bottom="940" w:left="860" w:right="700"/>
        </w:sectPr>
      </w:pPr>
    </w:p>
    <w:p>
      <w:pPr>
        <w:pStyle w:val="BodyText"/>
        <w:spacing w:before="93"/>
        <w:ind w:left="220"/>
      </w:pPr>
      <w:r>
        <w:rPr/>
        <w:t>If n is the number of cash flows in the list of values:</w:t>
      </w:r>
    </w:p>
    <w:p>
      <w:pPr>
        <w:pStyle w:val="BodyText"/>
        <w:spacing w:before="4"/>
        <w:rPr>
          <w:sz w:val="10"/>
        </w:rPr>
      </w:pPr>
    </w:p>
    <w:p>
      <w:pPr>
        <w:spacing w:line="146" w:lineRule="exact" w:before="73"/>
        <w:ind w:left="1091" w:right="0" w:firstLine="0"/>
        <w:jc w:val="left"/>
        <w:rPr>
          <w:rFonts w:ascii="Cambria Math" w:eastAsia="Cambria Math"/>
          <w:sz w:val="16"/>
        </w:rPr>
      </w:pPr>
      <w:r>
        <w:rPr>
          <w:rFonts w:ascii="Cambria Math" w:eastAsia="Cambria Math"/>
          <w:w w:val="115"/>
          <w:sz w:val="16"/>
        </w:rPr>
        <w:t>𝑛</w:t>
      </w:r>
    </w:p>
    <w:p>
      <w:pPr>
        <w:pStyle w:val="BodyText"/>
        <w:tabs>
          <w:tab w:pos="1501" w:val="left" w:leader="none"/>
        </w:tabs>
        <w:spacing w:line="172" w:lineRule="auto"/>
        <w:ind w:left="220"/>
        <w:rPr>
          <w:rFonts w:ascii="Cambria Math" w:hAnsi="Cambria Math" w:eastAsia="Cambria Math"/>
          <w:sz w:val="16"/>
        </w:rPr>
      </w:pPr>
      <w:r>
        <w:rPr/>
        <w:pict>
          <v:line style="position:absolute;mso-position-horizontal-relative:page;mso-position-vertical-relative:paragraph;z-index:-335827968" from="109.339996pt,15.185528pt" to="162.619996pt,15.185528pt" stroked="true" strokeweight=".72pt" strokecolor="#000000">
            <v:stroke dashstyle="solid"/>
            <w10:wrap type="none"/>
          </v:line>
        </w:pict>
      </w:r>
      <w:r>
        <w:rPr>
          <w:rFonts w:ascii="Cambria Math" w:hAnsi="Cambria Math" w:eastAsia="Cambria Math"/>
          <w:w w:val="115"/>
          <w:position w:val="-16"/>
        </w:rPr>
        <w:t>𝑁𝑃𝑉</w:t>
      </w:r>
      <w:r>
        <w:rPr>
          <w:rFonts w:ascii="Cambria Math" w:hAnsi="Cambria Math" w:eastAsia="Cambria Math"/>
          <w:spacing w:val="4"/>
          <w:w w:val="115"/>
          <w:position w:val="-16"/>
        </w:rPr>
        <w:t> </w:t>
      </w:r>
      <w:r>
        <w:rPr>
          <w:rFonts w:ascii="Cambria Math" w:hAnsi="Cambria Math" w:eastAsia="Cambria Math"/>
          <w:w w:val="115"/>
          <w:position w:val="-16"/>
        </w:rPr>
        <w:t>=</w:t>
      </w:r>
      <w:r>
        <w:rPr>
          <w:rFonts w:ascii="Cambria Math" w:hAnsi="Cambria Math" w:eastAsia="Cambria Math"/>
          <w:spacing w:val="39"/>
          <w:w w:val="115"/>
          <w:position w:val="-16"/>
        </w:rPr>
        <w:t> </w:t>
      </w:r>
      <w:r>
        <w:rPr>
          <w:rFonts w:ascii="Cambria Math" w:hAnsi="Cambria Math" w:eastAsia="Cambria Math"/>
          <w:w w:val="160"/>
          <w:position w:val="-16"/>
        </w:rPr>
        <w:t>∑</w:t>
        <w:tab/>
      </w:r>
      <w:r>
        <w:rPr>
          <w:rFonts w:ascii="Cambria Math" w:hAnsi="Cambria Math" w:eastAsia="Cambria Math"/>
          <w:w w:val="115"/>
        </w:rPr>
        <w:t>𝑣𝑎𝑙𝑢𝑒𝑠</w:t>
      </w:r>
      <w:r>
        <w:rPr>
          <w:rFonts w:ascii="Cambria Math" w:hAnsi="Cambria Math" w:eastAsia="Cambria Math"/>
          <w:w w:val="115"/>
          <w:position w:val="-4"/>
          <w:sz w:val="16"/>
        </w:rPr>
        <w:t>𝑖</w:t>
      </w:r>
    </w:p>
    <w:p>
      <w:pPr>
        <w:pStyle w:val="BodyText"/>
        <w:spacing w:line="168" w:lineRule="exact"/>
        <w:ind w:left="1326"/>
        <w:rPr>
          <w:rFonts w:ascii="Cambria Math" w:eastAsia="Cambria Math"/>
          <w:sz w:val="16"/>
        </w:rPr>
      </w:pPr>
      <w:r>
        <w:rPr>
          <w:rFonts w:ascii="Cambria Math" w:eastAsia="Cambria Math"/>
          <w:position w:val="1"/>
        </w:rPr>
        <w:t>(</w:t>
      </w:r>
      <w:r>
        <w:rPr>
          <w:rFonts w:ascii="Cambria Math" w:eastAsia="Cambria Math"/>
        </w:rPr>
        <w:t>1 + 𝑟𝑎𝑡𝑒</w:t>
      </w:r>
      <w:r>
        <w:rPr>
          <w:rFonts w:ascii="Cambria Math" w:eastAsia="Cambria Math"/>
          <w:position w:val="1"/>
        </w:rPr>
        <w:t>)</w:t>
      </w:r>
      <w:r>
        <w:rPr>
          <w:rFonts w:ascii="Cambria Math" w:eastAsia="Cambria Math"/>
          <w:position w:val="7"/>
          <w:sz w:val="16"/>
        </w:rPr>
        <w:t>𝑖</w:t>
      </w:r>
    </w:p>
    <w:p>
      <w:pPr>
        <w:spacing w:line="130" w:lineRule="exact" w:before="0"/>
        <w:ind w:left="1007" w:right="0" w:firstLine="0"/>
        <w:jc w:val="left"/>
        <w:rPr>
          <w:rFonts w:ascii="Cambria Math" w:eastAsia="Cambria Math"/>
          <w:sz w:val="16"/>
        </w:rPr>
      </w:pPr>
      <w:r>
        <w:rPr>
          <w:rFonts w:ascii="Cambria Math" w:eastAsia="Cambria Math"/>
          <w:w w:val="105"/>
          <w:sz w:val="16"/>
        </w:rPr>
        <w:t>𝑖=1</w:t>
      </w:r>
    </w:p>
    <w:p>
      <w:pPr>
        <w:pStyle w:val="BodyText"/>
        <w:spacing w:before="4"/>
        <w:rPr>
          <w:rFonts w:ascii="Cambria Math"/>
          <w:sz w:val="12"/>
        </w:rPr>
      </w:pPr>
    </w:p>
    <w:p>
      <w:pPr>
        <w:pStyle w:val="BodyText"/>
        <w:spacing w:before="56"/>
        <w:ind w:left="220"/>
      </w:pPr>
      <w:r>
        <w:rPr/>
        <w:t>where:</w:t>
      </w:r>
    </w:p>
    <w:p>
      <w:pPr>
        <w:pStyle w:val="BodyText"/>
        <w:spacing w:before="4"/>
        <w:rPr>
          <w:sz w:val="12"/>
        </w:rPr>
      </w:pPr>
    </w:p>
    <w:p>
      <w:pPr>
        <w:spacing w:before="88"/>
        <w:ind w:left="940" w:right="0" w:firstLine="0"/>
        <w:jc w:val="left"/>
        <w:rPr>
          <w:sz w:val="22"/>
        </w:rPr>
      </w:pPr>
      <w:r>
        <w:rPr>
          <w:sz w:val="22"/>
        </w:rPr>
        <w:t>n is the number of elements in </w:t>
      </w:r>
      <w:r>
        <w:rPr>
          <w:rFonts w:ascii="Times New Roman"/>
          <w:i/>
          <w:sz w:val="22"/>
        </w:rPr>
        <w:t>argument-list</w:t>
      </w:r>
      <w:r>
        <w:rPr>
          <w:sz w:val="22"/>
        </w:rPr>
        <w:t>.</w:t>
      </w:r>
    </w:p>
    <w:p>
      <w:pPr>
        <w:spacing w:line="254" w:lineRule="auto" w:before="41"/>
        <w:ind w:left="940" w:right="4041" w:firstLine="0"/>
        <w:jc w:val="left"/>
        <w:rPr>
          <w:sz w:val="22"/>
        </w:rPr>
      </w:pPr>
      <w:r>
        <w:rPr>
          <w:rFonts w:ascii="Cambria Math"/>
          <w:sz w:val="22"/>
        </w:rPr>
        <w:t>values</w:t>
      </w:r>
      <w:r>
        <w:rPr>
          <w:rFonts w:ascii="Cambria Math"/>
          <w:position w:val="-4"/>
          <w:sz w:val="16"/>
        </w:rPr>
        <w:t>i</w:t>
      </w:r>
      <w:r>
        <w:rPr>
          <w:sz w:val="22"/>
        </w:rPr>
        <w:t>valuesj is the value of the i-th element in </w:t>
      </w:r>
      <w:r>
        <w:rPr>
          <w:rFonts w:ascii="Times New Roman"/>
          <w:i/>
          <w:sz w:val="22"/>
        </w:rPr>
        <w:t>argument-list</w:t>
      </w:r>
      <w:r>
        <w:rPr>
          <w:sz w:val="22"/>
        </w:rPr>
        <w:t>. rate is the </w:t>
      </w:r>
      <w:r>
        <w:rPr>
          <w:rFonts w:ascii="Times New Roman"/>
          <w:i/>
          <w:sz w:val="22"/>
        </w:rPr>
        <w:t>rate </w:t>
      </w:r>
      <w:r>
        <w:rPr>
          <w:sz w:val="22"/>
        </w:rPr>
        <w:t>argument.</w:t>
      </w:r>
    </w:p>
    <w:p>
      <w:pPr>
        <w:pStyle w:val="BodyText"/>
        <w:spacing w:before="5"/>
        <w:rPr>
          <w:sz w:val="18"/>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1"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rate of discount over the length of one period.</w:t>
            </w:r>
          </w:p>
        </w:tc>
      </w:tr>
      <w:tr>
        <w:trPr>
          <w:trHeight w:val="3309" w:hRule="atLeast"/>
        </w:trPr>
        <w:tc>
          <w:tcPr>
            <w:tcW w:w="1466" w:type="dxa"/>
          </w:tcPr>
          <w:p>
            <w:pPr>
              <w:pStyle w:val="TableParagraph"/>
              <w:spacing w:before="37"/>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number</w:t>
            </w:r>
          </w:p>
        </w:tc>
        <w:tc>
          <w:tcPr>
            <w:tcW w:w="5400" w:type="dxa"/>
          </w:tcPr>
          <w:p>
            <w:pPr>
              <w:pStyle w:val="TableParagraph"/>
              <w:ind w:left="113" w:right="236"/>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series of future payments (negative values) and income (positive values). </w:t>
            </w:r>
            <w:r>
              <w:rPr>
                <w:rFonts w:ascii="Times New Roman"/>
                <w:i/>
                <w:sz w:val="22"/>
              </w:rPr>
              <w:t>argument</w:t>
            </w:r>
            <w:r>
              <w:rPr>
                <w:sz w:val="22"/>
              </w:rPr>
              <w:t>s shall be equally spaced in time and occur at the end of each period. The order of </w:t>
            </w:r>
            <w:r>
              <w:rPr>
                <w:rFonts w:ascii="Times New Roman"/>
                <w:i/>
                <w:sz w:val="22"/>
              </w:rPr>
              <w:t>argument</w:t>
            </w:r>
            <w:r>
              <w:rPr>
                <w:sz w:val="22"/>
              </w:rPr>
              <w:t>s is significant. </w:t>
            </w:r>
            <w:r>
              <w:rPr>
                <w:rFonts w:ascii="Times New Roman"/>
                <w:i/>
                <w:sz w:val="22"/>
              </w:rPr>
              <w:t>argument</w:t>
            </w:r>
            <w:r>
              <w:rPr>
                <w:sz w:val="22"/>
              </w:rPr>
              <w:t>s that are numbers, empty cells, logical values, or text representations of numbers are included; </w:t>
            </w:r>
            <w:r>
              <w:rPr>
                <w:rFonts w:ascii="Times New Roman"/>
                <w:i/>
                <w:sz w:val="22"/>
              </w:rPr>
              <w:t>argument</w:t>
            </w:r>
            <w:r>
              <w:rPr>
                <w:sz w:val="22"/>
              </w:rPr>
              <w:t>s that are error values or text that cannot be translated into numbers are ignored. If an </w:t>
            </w:r>
            <w:r>
              <w:rPr>
                <w:rFonts w:ascii="Times New Roman"/>
                <w:i/>
                <w:sz w:val="22"/>
              </w:rPr>
              <w:t>argument </w:t>
            </w:r>
            <w:r>
              <w:rPr>
                <w:sz w:val="22"/>
              </w:rPr>
              <w:t>is an array or reference, only numbers in that array or reference are included. Empty cells, logical values, text, or error values in the array or reference are ignored.</w:t>
            </w:r>
          </w:p>
        </w:tc>
      </w:tr>
    </w:tbl>
    <w:p>
      <w:pPr>
        <w:pStyle w:val="BodyText"/>
      </w:pPr>
    </w:p>
    <w:p>
      <w:pPr>
        <w:pStyle w:val="BodyText"/>
        <w:spacing w:before="5"/>
        <w:rPr>
          <w:sz w:val="19"/>
        </w:rPr>
      </w:pPr>
    </w:p>
    <w:p>
      <w:pPr>
        <w:pStyle w:val="BodyText"/>
        <w:spacing w:line="278" w:lineRule="auto"/>
        <w:ind w:left="220" w:right="663"/>
      </w:pPr>
      <w:r>
        <w:rPr>
          <w:b/>
        </w:rPr>
        <w:t>Return Type and Value</w:t>
      </w:r>
      <w:r>
        <w:rPr/>
        <w:t>: number – Net present value of an investment by using a discount rate and a series of future payments and income.</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NPV(0.1,-10000,3000,4200,6800)</w:t>
      </w:r>
      <w:r>
        <w:rPr>
          <w:rFonts w:ascii="Consolas"/>
          <w:spacing w:val="-71"/>
        </w:rPr>
        <w:t> </w:t>
      </w:r>
      <w:r>
        <w:rPr/>
        <w:t>results in </w:t>
      </w:r>
      <w:r>
        <w:rPr>
          <w:rFonts w:ascii="Consolas"/>
        </w:rPr>
        <w:t>1188.44</w:t>
      </w:r>
    </w:p>
    <w:p>
      <w:pPr>
        <w:pStyle w:val="BodyText"/>
        <w:spacing w:before="1"/>
        <w:rPr>
          <w:rFonts w:ascii="Consolas"/>
          <w:sz w:val="30"/>
        </w:rPr>
      </w:pPr>
    </w:p>
    <w:p>
      <w:pPr>
        <w:spacing w:before="1"/>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7 OCT2BIN" w:id="2103"/>
      <w:bookmarkEnd w:id="2103"/>
      <w:r>
        <w:rPr/>
      </w:r>
      <w:bookmarkStart w:name="_bookmark700" w:id="2104"/>
      <w:bookmarkEnd w:id="2104"/>
      <w:r>
        <w:rPr/>
      </w:r>
      <w:bookmarkStart w:name="_bookmark700" w:id="2105"/>
      <w:bookmarkEnd w:id="2105"/>
      <w:r>
        <w:rPr>
          <w:color w:val="4F81BC"/>
        </w:rPr>
        <w:t>O</w:t>
      </w:r>
      <w:r>
        <w:rPr>
          <w:color w:val="4F81BC"/>
        </w:rPr>
        <w:t>CT2BIN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OCT2BIN ( </w:t>
      </w:r>
      <w:r>
        <w:rPr>
          <w:i/>
          <w:sz w:val="22"/>
        </w:rPr>
        <w:t>number </w:t>
      </w:r>
      <w:r>
        <w:rPr>
          <w:sz w:val="22"/>
        </w:rPr>
        <w:t>[ </w:t>
      </w:r>
      <w:r>
        <w:rPr>
          <w:rFonts w:ascii="Lucida Console"/>
          <w:sz w:val="20"/>
        </w:rPr>
        <w:t>, </w:t>
      </w:r>
      <w:r>
        <w:rPr>
          <w:i/>
          <w:sz w:val="22"/>
        </w:rPr>
        <w:t>num-bin-digits </w:t>
      </w:r>
      <w:r>
        <w:rPr>
          <w:sz w:val="22"/>
        </w:rPr>
        <w:t>] </w:t>
      </w:r>
      <w:r>
        <w:rPr>
          <w:rFonts w:ascii="Lucida Console"/>
          <w:sz w:val="20"/>
        </w:rPr>
        <w:t>)</w:t>
      </w:r>
    </w:p>
    <w:p>
      <w:pPr>
        <w:spacing w:before="109"/>
        <w:ind w:left="220" w:right="0" w:firstLine="0"/>
        <w:jc w:val="left"/>
        <w:rPr>
          <w:sz w:val="22"/>
        </w:rPr>
      </w:pPr>
      <w:r>
        <w:rPr>
          <w:b/>
          <w:sz w:val="22"/>
        </w:rPr>
        <w:t>Description: </w:t>
      </w:r>
      <w:r>
        <w:rPr>
          <w:sz w:val="22"/>
        </w:rPr>
        <w:t>Makes the binary equivalent of </w:t>
      </w:r>
      <w:r>
        <w:rPr>
          <w:rFonts w:ascii="Times New Roman"/>
          <w:i/>
          <w:sz w:val="22"/>
        </w:rPr>
        <w:t>number</w:t>
      </w:r>
      <w:r>
        <w:rPr>
          <w:sz w:val="22"/>
        </w:rPr>
        <w:t>, with the result having </w:t>
      </w:r>
      <w:r>
        <w:rPr>
          <w:rFonts w:ascii="Times New Roman"/>
          <w:i/>
          <w:sz w:val="22"/>
        </w:rPr>
        <w:t>num-bin-digits </w:t>
      </w:r>
      <w:r>
        <w:rPr>
          <w:sz w:val="22"/>
        </w:rPr>
        <w:t>digits.</w:t>
      </w:r>
    </w:p>
    <w:p>
      <w:pPr>
        <w:spacing w:after="0"/>
        <w:jc w:val="left"/>
        <w:rPr>
          <w:sz w:val="22"/>
        </w:rPr>
        <w:sectPr>
          <w:pgSz w:w="12240" w:h="15840"/>
          <w:pgMar w:header="761" w:footer="746" w:top="1340" w:bottom="940" w:left="860" w:right="700"/>
        </w:sectPr>
      </w:pPr>
    </w:p>
    <w:p>
      <w:pPr>
        <w:pStyle w:val="Heading4"/>
        <w:spacing w:before="150"/>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6"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45"/>
              <w:rPr>
                <w:sz w:val="22"/>
              </w:rPr>
            </w:pPr>
            <w:r>
              <w:rPr>
                <w:sz w:val="22"/>
              </w:rPr>
              <w:t>A 10-digit octal number in a string that is to be converted to a binary string. If </w:t>
            </w:r>
            <w:r>
              <w:rPr>
                <w:rFonts w:ascii="Times New Roman"/>
                <w:i/>
                <w:sz w:val="22"/>
              </w:rPr>
              <w:t>number </w:t>
            </w:r>
            <w:r>
              <w:rPr>
                <w:sz w:val="22"/>
              </w:rPr>
              <w:t>has less than 10 digits, leading zero digits are implied until it has exactly</w:t>
            </w:r>
          </w:p>
          <w:p>
            <w:pPr>
              <w:pStyle w:val="TableParagraph"/>
              <w:spacing w:before="0"/>
              <w:ind w:left="113" w:right="317"/>
              <w:rPr>
                <w:sz w:val="22"/>
              </w:rPr>
            </w:pPr>
            <w:r>
              <w:rPr>
                <w:sz w:val="22"/>
              </w:rPr>
              <w:t>10 digits. The 10 digits use twos-complement representation with the left-most bit (30th bit from the right) representing the sign bit.</w:t>
            </w:r>
          </w:p>
        </w:tc>
      </w:tr>
      <w:tr>
        <w:trPr>
          <w:trHeight w:val="1699" w:hRule="atLeast"/>
        </w:trPr>
        <w:tc>
          <w:tcPr>
            <w:tcW w:w="1466" w:type="dxa"/>
          </w:tcPr>
          <w:p>
            <w:pPr>
              <w:pStyle w:val="TableParagraph"/>
              <w:spacing w:before="37"/>
              <w:ind w:right="459"/>
              <w:rPr>
                <w:rFonts w:ascii="Times New Roman"/>
                <w:i/>
                <w:sz w:val="22"/>
              </w:rPr>
            </w:pPr>
            <w:r>
              <w:rPr>
                <w:rFonts w:ascii="Times New Roman"/>
                <w:i/>
                <w:sz w:val="22"/>
              </w:rPr>
              <w:t>num-bin -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123"/>
              <w:rPr>
                <w:sz w:val="22"/>
              </w:rPr>
            </w:pPr>
            <w:r>
              <w:rPr>
                <w:sz w:val="22"/>
              </w:rPr>
              <w:t>The number of digits in the result, with leading zeros added as necessary. However, if </w:t>
            </w:r>
            <w:r>
              <w:rPr>
                <w:rFonts w:ascii="Times New Roman"/>
                <w:i/>
                <w:sz w:val="22"/>
              </w:rPr>
              <w:t>number </w:t>
            </w:r>
            <w:r>
              <w:rPr>
                <w:sz w:val="22"/>
              </w:rPr>
              <w:t>is negative, </w:t>
            </w:r>
            <w:r>
              <w:rPr>
                <w:rFonts w:ascii="Times New Roman"/>
                <w:i/>
                <w:sz w:val="22"/>
              </w:rPr>
              <w:t>num- </w:t>
            </w:r>
            <w:r>
              <w:rPr>
                <w:rFonts w:ascii="Times New Roman"/>
                <w:i/>
                <w:sz w:val="22"/>
              </w:rPr>
              <w:t>bin-digits </w:t>
            </w:r>
            <w:r>
              <w:rPr>
                <w:sz w:val="22"/>
              </w:rPr>
              <w:t>is ignored and the result has 10 digits. If </w:t>
            </w:r>
            <w:r>
              <w:rPr>
                <w:rFonts w:ascii="Times New Roman"/>
                <w:i/>
                <w:sz w:val="22"/>
              </w:rPr>
              <w:t>num- </w:t>
            </w:r>
            <w:r>
              <w:rPr>
                <w:rFonts w:ascii="Times New Roman"/>
                <w:i/>
                <w:sz w:val="22"/>
              </w:rPr>
              <w:t>bin-digits </w:t>
            </w:r>
            <w:r>
              <w:rPr>
                <w:sz w:val="22"/>
              </w:rPr>
              <w:t>is omitted, the minimum number of digits is used in the result. </w:t>
            </w:r>
            <w:r>
              <w:rPr>
                <w:rFonts w:ascii="Times New Roman"/>
                <w:i/>
                <w:sz w:val="22"/>
              </w:rPr>
              <w:t>num-bin-digits </w:t>
            </w:r>
            <w:r>
              <w:rPr>
                <w:sz w:val="22"/>
              </w:rPr>
              <w:t>is truncated to an integer.</w:t>
            </w:r>
          </w:p>
        </w:tc>
      </w:tr>
    </w:tbl>
    <w:p>
      <w:pPr>
        <w:pStyle w:val="BodyText"/>
        <w:rPr>
          <w:b/>
        </w:rPr>
      </w:pPr>
    </w:p>
    <w:p>
      <w:pPr>
        <w:pStyle w:val="BodyText"/>
        <w:spacing w:before="7"/>
        <w:rPr>
          <w:b/>
          <w:sz w:val="19"/>
        </w:rPr>
      </w:pPr>
    </w:p>
    <w:p>
      <w:pPr>
        <w:spacing w:line="453" w:lineRule="auto" w:before="0"/>
        <w:ind w:left="220" w:right="4735" w:firstLine="0"/>
        <w:jc w:val="left"/>
        <w:rPr>
          <w:sz w:val="22"/>
        </w:rPr>
      </w:pPr>
      <w:r>
        <w:rPr>
          <w:b/>
          <w:sz w:val="22"/>
        </w:rPr>
        <w:t>Return Type and Value: </w:t>
      </w:r>
      <w:r>
        <w:rPr>
          <w:sz w:val="22"/>
        </w:rPr>
        <w:t>text – The binary equivalent of </w:t>
      </w:r>
      <w:r>
        <w:rPr>
          <w:rFonts w:ascii="Times New Roman" w:hAnsi="Times New Roman"/>
          <w:i/>
          <w:sz w:val="22"/>
        </w:rPr>
        <w:t>number</w:t>
      </w:r>
      <w:r>
        <w:rPr>
          <w:sz w:val="22"/>
        </w:rPr>
        <w:t>. However,</w:t>
      </w:r>
      <w:r>
        <w:rPr>
          <w:spacing w:val="-1"/>
          <w:sz w:val="22"/>
        </w:rPr>
        <w:t> </w:t>
      </w:r>
      <w:r>
        <w:rPr>
          <w:sz w:val="22"/>
        </w:rPr>
        <w:t>if</w:t>
      </w:r>
    </w:p>
    <w:p>
      <w:pPr>
        <w:pStyle w:val="ListParagraph"/>
        <w:numPr>
          <w:ilvl w:val="4"/>
          <w:numId w:val="66"/>
        </w:numPr>
        <w:tabs>
          <w:tab w:pos="940" w:val="left" w:leader="none"/>
          <w:tab w:pos="941" w:val="left" w:leader="none"/>
        </w:tabs>
        <w:spacing w:line="276" w:lineRule="auto" w:before="1" w:after="0"/>
        <w:ind w:left="940" w:right="972" w:hanging="360"/>
        <w:jc w:val="left"/>
        <w:rPr>
          <w:sz w:val="22"/>
        </w:rPr>
      </w:pPr>
      <w:r>
        <w:rPr>
          <w:rFonts w:ascii="Times New Roman" w:hAnsi="Times New Roman"/>
          <w:i/>
          <w:sz w:val="22"/>
        </w:rPr>
        <w:t>number </w:t>
      </w:r>
      <w:r>
        <w:rPr>
          <w:sz w:val="22"/>
        </w:rPr>
        <w:t>is outside the range </w:t>
      </w:r>
      <w:r>
        <w:rPr>
          <w:rFonts w:ascii="Consolas" w:hAnsi="Consolas"/>
          <w:sz w:val="22"/>
        </w:rPr>
        <w:t>"7777777000" </w:t>
      </w:r>
      <w:r>
        <w:rPr>
          <w:sz w:val="22"/>
        </w:rPr>
        <w:t>(111111111111111111111000000000 binary, -512 decimal)</w:t>
      </w:r>
      <w:r>
        <w:rPr>
          <w:spacing w:val="-6"/>
          <w:sz w:val="22"/>
        </w:rPr>
        <w:t> </w:t>
      </w:r>
      <w:r>
        <w:rPr>
          <w:sz w:val="22"/>
        </w:rPr>
        <w:t>to</w:t>
      </w:r>
      <w:r>
        <w:rPr>
          <w:spacing w:val="-4"/>
          <w:sz w:val="22"/>
        </w:rPr>
        <w:t> </w:t>
      </w:r>
      <w:r>
        <w:rPr>
          <w:rFonts w:ascii="Consolas" w:hAnsi="Consolas"/>
          <w:sz w:val="22"/>
        </w:rPr>
        <w:t>"777"</w:t>
      </w:r>
      <w:r>
        <w:rPr>
          <w:rFonts w:ascii="Consolas" w:hAnsi="Consolas"/>
          <w:spacing w:val="-73"/>
          <w:sz w:val="22"/>
        </w:rPr>
        <w:t> </w:t>
      </w:r>
      <w:r>
        <w:rPr>
          <w:sz w:val="22"/>
        </w:rPr>
        <w:t>(000000000000000000000111111111</w:t>
      </w:r>
      <w:r>
        <w:rPr>
          <w:spacing w:val="-3"/>
          <w:sz w:val="22"/>
        </w:rPr>
        <w:t> </w:t>
      </w:r>
      <w:r>
        <w:rPr>
          <w:sz w:val="22"/>
        </w:rPr>
        <w:t>binary,</w:t>
      </w:r>
      <w:r>
        <w:rPr>
          <w:spacing w:val="-5"/>
          <w:sz w:val="22"/>
        </w:rPr>
        <w:t> </w:t>
      </w:r>
      <w:r>
        <w:rPr>
          <w:sz w:val="22"/>
        </w:rPr>
        <w:t>511</w:t>
      </w:r>
      <w:r>
        <w:rPr>
          <w:spacing w:val="-3"/>
          <w:sz w:val="22"/>
        </w:rPr>
        <w:t> </w:t>
      </w:r>
      <w:r>
        <w:rPr>
          <w:sz w:val="22"/>
        </w:rPr>
        <w:t>decimal),</w:t>
      </w:r>
      <w:r>
        <w:rPr>
          <w:spacing w:val="-5"/>
          <w:sz w:val="22"/>
        </w:rPr>
        <w:t> </w:t>
      </w:r>
      <w:r>
        <w:rPr>
          <w:sz w:val="22"/>
        </w:rPr>
        <w:t>inclusive,</w:t>
      </w:r>
      <w:r>
        <w:rPr>
          <w:spacing w:val="-5"/>
          <w:sz w:val="22"/>
        </w:rPr>
        <w:t> </w:t>
      </w:r>
      <w:r>
        <w:rPr>
          <w:rFonts w:ascii="Consolas" w:hAnsi="Consolas"/>
          <w:sz w:val="22"/>
        </w:rPr>
        <w:t>#NUM!</w:t>
      </w:r>
      <w:r>
        <w:rPr>
          <w:rFonts w:ascii="Consolas" w:hAnsi="Consolas"/>
          <w:spacing w:val="-75"/>
          <w:sz w:val="22"/>
        </w:rPr>
        <w:t> </w:t>
      </w:r>
      <w:r>
        <w:rPr>
          <w:sz w:val="22"/>
        </w:rPr>
        <w:t>is returned.</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number </w:t>
      </w:r>
      <w:r>
        <w:rPr>
          <w:sz w:val="22"/>
        </w:rPr>
        <w:t>contains one or more non-octal digits, </w:t>
      </w:r>
      <w:r>
        <w:rPr>
          <w:rFonts w:ascii="Consolas" w:hAnsi="Consolas"/>
          <w:sz w:val="22"/>
        </w:rPr>
        <w:t>#NUM!</w:t>
      </w:r>
      <w:r>
        <w:rPr>
          <w:rFonts w:ascii="Consolas" w:hAnsi="Consolas"/>
          <w:spacing w:val="-84"/>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number </w:t>
      </w:r>
      <w:r>
        <w:rPr>
          <w:sz w:val="22"/>
        </w:rPr>
        <w:t>contains more than 10 octal digits,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number </w:t>
      </w:r>
      <w:r>
        <w:rPr>
          <w:sz w:val="22"/>
        </w:rPr>
        <w:t>needs more digits that </w:t>
      </w:r>
      <w:r>
        <w:rPr>
          <w:rFonts w:ascii="Times New Roman" w:hAnsi="Times New Roman"/>
          <w:i/>
          <w:sz w:val="22"/>
        </w:rPr>
        <w:t>num-bin-digits</w:t>
      </w:r>
      <w:r>
        <w:rPr>
          <w:sz w:val="22"/>
        </w:rPr>
        <w:t>,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5644" w:firstLine="360"/>
        <w:jc w:val="left"/>
        <w:rPr>
          <w:sz w:val="22"/>
        </w:rPr>
      </w:pPr>
      <w:r>
        <w:rPr>
          <w:rFonts w:ascii="Times New Roman" w:hAnsi="Times New Roman"/>
          <w:i/>
          <w:sz w:val="22"/>
        </w:rPr>
        <w:t>num-bin-digits </w:t>
      </w:r>
      <w:r>
        <w:rPr>
          <w:sz w:val="22"/>
        </w:rPr>
        <w:t>≤ 0 or &gt; 10, </w:t>
      </w:r>
      <w:r>
        <w:rPr>
          <w:rFonts w:ascii="Consolas" w:hAnsi="Consolas"/>
          <w:sz w:val="22"/>
        </w:rPr>
        <w:t>#NUM!</w:t>
      </w:r>
      <w:r>
        <w:rPr>
          <w:rFonts w:ascii="Consolas" w:hAnsi="Consolas"/>
          <w:spacing w:val="-85"/>
          <w:sz w:val="22"/>
        </w:rPr>
        <w:t> </w:t>
      </w:r>
      <w:r>
        <w:rPr>
          <w:sz w:val="22"/>
        </w:rPr>
        <w:t>is returned. [</w:t>
      </w:r>
      <w:r>
        <w:rPr>
          <w:i/>
          <w:sz w:val="22"/>
        </w:rPr>
        <w:t>Example</w:t>
      </w:r>
      <w:r>
        <w:rPr>
          <w:sz w:val="22"/>
        </w:rPr>
        <w:t>:</w:t>
      </w:r>
    </w:p>
    <w:p>
      <w:pPr>
        <w:pStyle w:val="BodyText"/>
        <w:spacing w:line="273" w:lineRule="auto" w:before="128"/>
        <w:ind w:left="220" w:right="5705"/>
        <w:rPr>
          <w:rFonts w:ascii="Consolas"/>
        </w:rPr>
      </w:pPr>
      <w:r>
        <w:rPr>
          <w:rFonts w:ascii="Consolas"/>
        </w:rPr>
        <w:t>OCT2BIN("67") </w:t>
      </w:r>
      <w:r>
        <w:rPr/>
        <w:t>results in </w:t>
      </w:r>
      <w:r>
        <w:rPr>
          <w:rFonts w:ascii="Consolas"/>
        </w:rPr>
        <w:t>110111 OCT2BIN("7777777776") </w:t>
      </w:r>
      <w:r>
        <w:rPr/>
        <w:t>results in </w:t>
      </w:r>
      <w:r>
        <w:rPr>
          <w:rFonts w:ascii="Consolas"/>
        </w:rPr>
        <w:t>1111111110</w:t>
      </w:r>
    </w:p>
    <w:p>
      <w:pPr>
        <w:pStyle w:val="BodyText"/>
        <w:spacing w:before="5"/>
        <w:ind w:left="220"/>
        <w:rPr>
          <w:rFonts w:ascii="Consolas"/>
        </w:rPr>
      </w:pPr>
      <w:r>
        <w:rPr>
          <w:rFonts w:ascii="Consolas"/>
        </w:rPr>
        <w:t>OCT2BIN("7",5) </w:t>
      </w:r>
      <w:r>
        <w:rPr/>
        <w:t>results in </w:t>
      </w:r>
      <w:r>
        <w:rPr>
          <w:rFonts w:ascii="Consolas"/>
        </w:rPr>
        <w:t>00111</w:t>
      </w:r>
    </w:p>
    <w:p>
      <w:pPr>
        <w:pStyle w:val="BodyText"/>
        <w:spacing w:before="11"/>
        <w:rPr>
          <w:rFonts w:ascii="Consolas"/>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38 OCT2DEC" w:id="2106"/>
      <w:bookmarkEnd w:id="2106"/>
      <w:r>
        <w:rPr/>
      </w:r>
      <w:bookmarkStart w:name="_bookmark701" w:id="2107"/>
      <w:bookmarkEnd w:id="2107"/>
      <w:r>
        <w:rPr/>
      </w:r>
      <w:bookmarkStart w:name="_bookmark701" w:id="2108"/>
      <w:bookmarkEnd w:id="2108"/>
      <w:r>
        <w:rPr>
          <w:color w:val="4F81BC"/>
        </w:rPr>
        <w:t>O</w:t>
      </w:r>
      <w:r>
        <w:rPr>
          <w:color w:val="4F81BC"/>
        </w:rPr>
        <w:t>CT2DEC</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OCT2DEC ( </w:t>
      </w:r>
      <w:r>
        <w:rPr>
          <w:i/>
          <w:sz w:val="22"/>
        </w:rPr>
        <w:t>number </w:t>
      </w:r>
      <w:r>
        <w:rPr>
          <w:rFonts w:ascii="Lucida Console"/>
          <w:sz w:val="20"/>
        </w:rPr>
        <w:t>)</w:t>
      </w:r>
    </w:p>
    <w:p>
      <w:pPr>
        <w:spacing w:before="110"/>
        <w:ind w:left="220" w:right="0" w:firstLine="0"/>
        <w:jc w:val="left"/>
        <w:rPr>
          <w:sz w:val="22"/>
        </w:rPr>
      </w:pPr>
      <w:r>
        <w:rPr>
          <w:b/>
          <w:sz w:val="22"/>
        </w:rPr>
        <w:t>Description: </w:t>
      </w:r>
      <w:r>
        <w:rPr>
          <w:sz w:val="22"/>
        </w:rPr>
        <w:t>Makes the decimal equivalent of </w:t>
      </w:r>
      <w:r>
        <w:rPr>
          <w:rFonts w:ascii="Times New Roman"/>
          <w:i/>
          <w:sz w:val="22"/>
        </w:rPr>
        <w:t>number</w:t>
      </w:r>
      <w:r>
        <w:rPr>
          <w:sz w:val="22"/>
        </w:rPr>
        <w:t>.</w:t>
      </w:r>
    </w:p>
    <w:p>
      <w:pPr>
        <w:pStyle w:val="BodyText"/>
        <w:spacing w:before="8"/>
        <w:rPr>
          <w:sz w:val="19"/>
        </w:rPr>
      </w:pPr>
    </w:p>
    <w:p>
      <w:pPr>
        <w:pStyle w:val="Heading4"/>
        <w:spacing w:before="1"/>
      </w:pPr>
      <w:r>
        <w:rPr/>
        <w:t>Arguments:</w:t>
      </w:r>
    </w:p>
    <w:p>
      <w:pPr>
        <w:spacing w:after="0"/>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6"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45"/>
              <w:rPr>
                <w:sz w:val="22"/>
              </w:rPr>
            </w:pPr>
            <w:r>
              <w:rPr>
                <w:sz w:val="22"/>
              </w:rPr>
              <w:t>A 10-digit octal number in a string that is to be converted to a decimal number. If </w:t>
            </w:r>
            <w:r>
              <w:rPr>
                <w:rFonts w:ascii="Times New Roman"/>
                <w:i/>
                <w:sz w:val="22"/>
              </w:rPr>
              <w:t>number </w:t>
            </w:r>
            <w:r>
              <w:rPr>
                <w:sz w:val="22"/>
              </w:rPr>
              <w:t>has less than 10 digits, leading zero digits are implied until it has exactly</w:t>
            </w:r>
          </w:p>
          <w:p>
            <w:pPr>
              <w:pStyle w:val="TableParagraph"/>
              <w:spacing w:before="0"/>
              <w:ind w:left="113" w:right="317"/>
              <w:rPr>
                <w:sz w:val="22"/>
              </w:rPr>
            </w:pPr>
            <w:r>
              <w:rPr>
                <w:sz w:val="22"/>
              </w:rPr>
              <w:t>10 digits. The 10 digits use twos-complement representation with the left-most bit (30th bit from the right) representing the sign bit.</w:t>
            </w:r>
          </w:p>
        </w:tc>
      </w:tr>
    </w:tbl>
    <w:p>
      <w:pPr>
        <w:pStyle w:val="BodyText"/>
        <w:rPr>
          <w:b/>
          <w:sz w:val="20"/>
        </w:rPr>
      </w:pPr>
    </w:p>
    <w:p>
      <w:pPr>
        <w:pStyle w:val="BodyText"/>
        <w:spacing w:before="7"/>
        <w:rPr>
          <w:b/>
          <w:sz w:val="21"/>
        </w:rPr>
      </w:pPr>
    </w:p>
    <w:p>
      <w:pPr>
        <w:spacing w:line="453" w:lineRule="auto" w:before="0"/>
        <w:ind w:left="220" w:right="4241" w:firstLine="0"/>
        <w:jc w:val="left"/>
        <w:rPr>
          <w:sz w:val="22"/>
        </w:rPr>
      </w:pPr>
      <w:r>
        <w:rPr>
          <w:b/>
          <w:sz w:val="22"/>
        </w:rPr>
        <w:t>Return Type and Value: </w:t>
      </w:r>
      <w:r>
        <w:rPr>
          <w:sz w:val="22"/>
        </w:rPr>
        <w:t>number – The decimal equivalent of </w:t>
      </w:r>
      <w:r>
        <w:rPr>
          <w:rFonts w:ascii="Times New Roman" w:hAnsi="Times New Roman"/>
          <w:i/>
          <w:sz w:val="22"/>
        </w:rPr>
        <w:t>number</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number </w:t>
      </w:r>
      <w:r>
        <w:rPr>
          <w:sz w:val="22"/>
        </w:rPr>
        <w:t>contains one or more non-octal digits, </w:t>
      </w:r>
      <w:r>
        <w:rPr>
          <w:rFonts w:ascii="Consolas" w:hAnsi="Consolas"/>
          <w:sz w:val="22"/>
        </w:rPr>
        <w:t>#NUM!</w:t>
      </w:r>
      <w:r>
        <w:rPr>
          <w:rFonts w:ascii="Consolas" w:hAnsi="Consolas"/>
          <w:spacing w:val="-84"/>
          <w:sz w:val="22"/>
        </w:rPr>
        <w:t> </w:t>
      </w:r>
      <w:r>
        <w:rPr>
          <w:sz w:val="22"/>
        </w:rPr>
        <w:t>is returned.</w:t>
      </w:r>
    </w:p>
    <w:p>
      <w:pPr>
        <w:pStyle w:val="ListParagraph"/>
        <w:numPr>
          <w:ilvl w:val="4"/>
          <w:numId w:val="66"/>
        </w:numPr>
        <w:tabs>
          <w:tab w:pos="940" w:val="left" w:leader="none"/>
          <w:tab w:pos="941" w:val="left" w:leader="none"/>
        </w:tabs>
        <w:spacing w:line="278" w:lineRule="auto" w:before="42" w:after="0"/>
        <w:ind w:left="940" w:right="1040" w:hanging="360"/>
        <w:jc w:val="left"/>
        <w:rPr>
          <w:sz w:val="22"/>
        </w:rPr>
      </w:pPr>
      <w:r>
        <w:rPr>
          <w:rFonts w:ascii="Times New Roman" w:hAnsi="Times New Roman"/>
          <w:i/>
          <w:sz w:val="22"/>
        </w:rPr>
        <w:t>number </w:t>
      </w:r>
      <w:r>
        <w:rPr>
          <w:sz w:val="22"/>
        </w:rPr>
        <w:t>contains more than 10 octal digits; that is, </w:t>
      </w:r>
      <w:r>
        <w:rPr>
          <w:rFonts w:ascii="Times New Roman" w:hAnsi="Times New Roman"/>
          <w:i/>
          <w:sz w:val="22"/>
        </w:rPr>
        <w:t>number </w:t>
      </w:r>
      <w:r>
        <w:rPr>
          <w:sz w:val="22"/>
        </w:rPr>
        <w:t>is outside the range </w:t>
      </w:r>
      <w:r>
        <w:rPr>
          <w:rFonts w:ascii="Consolas" w:hAnsi="Consolas"/>
          <w:sz w:val="22"/>
        </w:rPr>
        <w:t>"4000000000"</w:t>
      </w:r>
      <w:r>
        <w:rPr>
          <w:rFonts w:ascii="Consolas" w:hAnsi="Consolas"/>
          <w:spacing w:val="-102"/>
          <w:sz w:val="22"/>
        </w:rPr>
        <w:t> </w:t>
      </w:r>
      <w:r>
        <w:rPr>
          <w:sz w:val="22"/>
        </w:rPr>
        <w:t>(- 536,870,912</w:t>
      </w:r>
      <w:r>
        <w:rPr>
          <w:spacing w:val="-1"/>
          <w:sz w:val="22"/>
        </w:rPr>
        <w:t> </w:t>
      </w:r>
      <w:r>
        <w:rPr>
          <w:sz w:val="22"/>
        </w:rPr>
        <w:t>decimal)</w:t>
      </w:r>
      <w:r>
        <w:rPr>
          <w:spacing w:val="-2"/>
          <w:sz w:val="22"/>
        </w:rPr>
        <w:t> </w:t>
      </w:r>
      <w:r>
        <w:rPr>
          <w:sz w:val="22"/>
        </w:rPr>
        <w:t>to</w:t>
      </w:r>
      <w:r>
        <w:rPr>
          <w:spacing w:val="-2"/>
          <w:sz w:val="22"/>
        </w:rPr>
        <w:t> </w:t>
      </w:r>
      <w:r>
        <w:rPr>
          <w:rFonts w:ascii="Consolas" w:hAnsi="Consolas"/>
          <w:sz w:val="22"/>
        </w:rPr>
        <w:t>"3777777777"</w:t>
      </w:r>
      <w:r>
        <w:rPr>
          <w:rFonts w:ascii="Consolas" w:hAnsi="Consolas"/>
          <w:spacing w:val="-73"/>
          <w:sz w:val="22"/>
        </w:rPr>
        <w:t> </w:t>
      </w:r>
      <w:r>
        <w:rPr>
          <w:sz w:val="22"/>
        </w:rPr>
        <w:t>(536,870,911 decimal),</w:t>
      </w:r>
      <w:r>
        <w:rPr>
          <w:spacing w:val="-5"/>
          <w:sz w:val="22"/>
        </w:rPr>
        <w:t> </w:t>
      </w:r>
      <w:r>
        <w:rPr>
          <w:sz w:val="22"/>
        </w:rPr>
        <w:t>inclusive,</w:t>
      </w:r>
      <w:r>
        <w:rPr>
          <w:spacing w:val="-4"/>
          <w:sz w:val="22"/>
        </w:rPr>
        <w:t> </w:t>
      </w:r>
      <w:r>
        <w:rPr>
          <w:rFonts w:ascii="Consolas" w:hAnsi="Consolas"/>
          <w:sz w:val="22"/>
        </w:rPr>
        <w:t>#NUM!</w:t>
      </w:r>
      <w:r>
        <w:rPr>
          <w:rFonts w:ascii="Consolas" w:hAnsi="Consolas"/>
          <w:spacing w:val="-72"/>
          <w:sz w:val="22"/>
        </w:rPr>
        <w:t> </w:t>
      </w:r>
      <w:r>
        <w:rPr>
          <w:sz w:val="22"/>
        </w:rPr>
        <w:t>is</w:t>
      </w:r>
      <w:r>
        <w:rPr>
          <w:spacing w:val="-2"/>
          <w:sz w:val="22"/>
        </w:rPr>
        <w:t> </w:t>
      </w:r>
      <w:r>
        <w:rPr>
          <w:sz w:val="22"/>
        </w:rPr>
        <w:t>returned.</w:t>
      </w:r>
    </w:p>
    <w:p>
      <w:pPr>
        <w:spacing w:before="195"/>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5705"/>
        <w:rPr>
          <w:rFonts w:ascii="Consolas"/>
        </w:rPr>
      </w:pPr>
      <w:r>
        <w:rPr>
          <w:rFonts w:ascii="Consolas"/>
        </w:rPr>
        <w:t>OCT2DEC("67") </w:t>
      </w:r>
      <w:r>
        <w:rPr/>
        <w:t>results in </w:t>
      </w:r>
      <w:r>
        <w:rPr>
          <w:rFonts w:ascii="Consolas"/>
        </w:rPr>
        <w:t>55 OCT2DEC("7777777776") </w:t>
      </w:r>
      <w:r>
        <w:rPr/>
        <w:t>results in </w:t>
      </w:r>
      <w:r>
        <w:rPr>
          <w:rFonts w:ascii="Consolas"/>
        </w:rPr>
        <w:t>-2 OCT2DEC("7000000000") </w:t>
      </w:r>
      <w:r>
        <w:rPr/>
        <w:t>results in </w:t>
      </w:r>
      <w:r>
        <w:rPr>
          <w:rFonts w:ascii="Consolas"/>
        </w:rPr>
        <w:t>-134217728</w:t>
      </w:r>
    </w:p>
    <w:p>
      <w:pPr>
        <w:pStyle w:val="BodyText"/>
        <w:spacing w:before="5"/>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39 OCT2HEX" w:id="2109"/>
      <w:bookmarkEnd w:id="2109"/>
      <w:r>
        <w:rPr/>
      </w:r>
      <w:bookmarkStart w:name="_bookmark702" w:id="2110"/>
      <w:bookmarkEnd w:id="2110"/>
      <w:r>
        <w:rPr/>
      </w:r>
      <w:bookmarkStart w:name="_bookmark702" w:id="2111"/>
      <w:bookmarkEnd w:id="2111"/>
      <w:r>
        <w:rPr>
          <w:color w:val="4F81BC"/>
        </w:rPr>
        <w:t>O</w:t>
      </w:r>
      <w:r>
        <w:rPr>
          <w:color w:val="4F81BC"/>
        </w:rPr>
        <w:t>CT2HEX</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OCT2HEX ( </w:t>
      </w:r>
      <w:r>
        <w:rPr>
          <w:i/>
          <w:sz w:val="22"/>
        </w:rPr>
        <w:t>number </w:t>
      </w:r>
      <w:r>
        <w:rPr>
          <w:sz w:val="22"/>
        </w:rPr>
        <w:t>[ </w:t>
      </w:r>
      <w:r>
        <w:rPr>
          <w:rFonts w:ascii="Lucida Console"/>
          <w:sz w:val="20"/>
        </w:rPr>
        <w:t>, </w:t>
      </w:r>
      <w:r>
        <w:rPr>
          <w:i/>
          <w:sz w:val="22"/>
        </w:rPr>
        <w:t>num-hex-digits </w:t>
      </w:r>
      <w:r>
        <w:rPr>
          <w:sz w:val="22"/>
        </w:rPr>
        <w:t>] </w:t>
      </w:r>
      <w:r>
        <w:rPr>
          <w:rFonts w:ascii="Lucida Console"/>
          <w:sz w:val="20"/>
        </w:rPr>
        <w:t>)</w:t>
      </w:r>
    </w:p>
    <w:p>
      <w:pPr>
        <w:spacing w:before="108"/>
        <w:ind w:left="220" w:right="0" w:firstLine="0"/>
        <w:jc w:val="left"/>
        <w:rPr>
          <w:sz w:val="22"/>
        </w:rPr>
      </w:pPr>
      <w:r>
        <w:rPr>
          <w:b/>
          <w:sz w:val="22"/>
        </w:rPr>
        <w:t>Description: </w:t>
      </w:r>
      <w:r>
        <w:rPr>
          <w:sz w:val="22"/>
        </w:rPr>
        <w:t>Makes the hexadecimal equivalent of </w:t>
      </w:r>
      <w:r>
        <w:rPr>
          <w:rFonts w:ascii="Times New Roman"/>
          <w:i/>
          <w:sz w:val="22"/>
        </w:rPr>
        <w:t>number</w:t>
      </w:r>
      <w:r>
        <w:rPr>
          <w:sz w:val="22"/>
        </w:rPr>
        <w:t>, with the result having </w:t>
      </w:r>
      <w:r>
        <w:rPr>
          <w:rFonts w:ascii="Times New Roman"/>
          <w:i/>
          <w:sz w:val="22"/>
        </w:rPr>
        <w:t>num-hex-digits </w:t>
      </w:r>
      <w:r>
        <w:rPr>
          <w:sz w:val="22"/>
        </w:rPr>
        <w:t>digits.</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7"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text</w:t>
            </w:r>
          </w:p>
        </w:tc>
        <w:tc>
          <w:tcPr>
            <w:tcW w:w="5400" w:type="dxa"/>
          </w:tcPr>
          <w:p>
            <w:pPr>
              <w:pStyle w:val="TableParagraph"/>
              <w:ind w:left="113" w:right="160"/>
              <w:jc w:val="both"/>
              <w:rPr>
                <w:sz w:val="22"/>
              </w:rPr>
            </w:pPr>
            <w:r>
              <w:rPr>
                <w:sz w:val="22"/>
              </w:rPr>
              <w:t>A 10-digit octal number in a string that is to be converted to a hexadecimal string. If </w:t>
            </w:r>
            <w:r>
              <w:rPr>
                <w:rFonts w:ascii="Times New Roman"/>
                <w:i/>
                <w:sz w:val="22"/>
              </w:rPr>
              <w:t>number </w:t>
            </w:r>
            <w:r>
              <w:rPr>
                <w:sz w:val="22"/>
              </w:rPr>
              <w:t>has less than 10 digits, leading zero digits are implied until it has exactly</w:t>
            </w:r>
          </w:p>
          <w:p>
            <w:pPr>
              <w:pStyle w:val="TableParagraph"/>
              <w:spacing w:before="1"/>
              <w:ind w:left="113" w:right="317"/>
              <w:rPr>
                <w:sz w:val="22"/>
              </w:rPr>
            </w:pPr>
            <w:r>
              <w:rPr>
                <w:sz w:val="22"/>
              </w:rPr>
              <w:t>10 digits. The 10 digits use twos-complement representation with the left-most bit (30th bit from the right) representing the sign bit.</w:t>
            </w:r>
          </w:p>
        </w:tc>
      </w:tr>
      <w:tr>
        <w:trPr>
          <w:trHeight w:val="1429" w:hRule="atLeast"/>
        </w:trPr>
        <w:tc>
          <w:tcPr>
            <w:tcW w:w="1466" w:type="dxa"/>
          </w:tcPr>
          <w:p>
            <w:pPr>
              <w:pStyle w:val="TableParagraph"/>
              <w:spacing w:before="37"/>
              <w:ind w:right="490"/>
              <w:rPr>
                <w:rFonts w:ascii="Times New Roman"/>
                <w:i/>
                <w:sz w:val="22"/>
              </w:rPr>
            </w:pPr>
            <w:r>
              <w:rPr>
                <w:rFonts w:ascii="Times New Roman"/>
                <w:i/>
                <w:sz w:val="22"/>
              </w:rPr>
              <w:t>num-hex- </w:t>
            </w:r>
            <w:r>
              <w:rPr>
                <w:rFonts w:ascii="Times New Roman"/>
                <w:i/>
                <w:sz w:val="22"/>
              </w:rPr>
              <w:t>digits</w:t>
            </w:r>
          </w:p>
        </w:tc>
        <w:tc>
          <w:tcPr>
            <w:tcW w:w="1800" w:type="dxa"/>
          </w:tcPr>
          <w:p>
            <w:pPr>
              <w:pStyle w:val="TableParagraph"/>
              <w:ind w:left="112"/>
              <w:rPr>
                <w:sz w:val="22"/>
              </w:rPr>
            </w:pPr>
            <w:r>
              <w:rPr>
                <w:sz w:val="22"/>
              </w:rPr>
              <w:t>number</w:t>
            </w:r>
          </w:p>
        </w:tc>
        <w:tc>
          <w:tcPr>
            <w:tcW w:w="5400" w:type="dxa"/>
          </w:tcPr>
          <w:p>
            <w:pPr>
              <w:pStyle w:val="TableParagraph"/>
              <w:ind w:left="113" w:right="269"/>
              <w:rPr>
                <w:sz w:val="22"/>
              </w:rPr>
            </w:pPr>
            <w:r>
              <w:rPr>
                <w:rFonts w:ascii="Times New Roman"/>
                <w:i/>
                <w:sz w:val="22"/>
              </w:rPr>
              <w:t>num-hex-digits </w:t>
            </w:r>
            <w:r>
              <w:rPr>
                <w:sz w:val="22"/>
              </w:rPr>
              <w:t>is the number of digits in the result,</w:t>
            </w:r>
            <w:r>
              <w:rPr>
                <w:spacing w:val="-23"/>
                <w:sz w:val="22"/>
              </w:rPr>
              <w:t> </w:t>
            </w:r>
            <w:r>
              <w:rPr>
                <w:sz w:val="22"/>
              </w:rPr>
              <w:t>with leading zeros added as necessary. However, if </w:t>
            </w:r>
            <w:r>
              <w:rPr>
                <w:rFonts w:ascii="Times New Roman"/>
                <w:i/>
                <w:sz w:val="22"/>
              </w:rPr>
              <w:t>number </w:t>
            </w:r>
            <w:r>
              <w:rPr>
                <w:sz w:val="22"/>
              </w:rPr>
              <w:t>is negative, </w:t>
            </w:r>
            <w:r>
              <w:rPr>
                <w:rFonts w:ascii="Times New Roman"/>
                <w:i/>
                <w:sz w:val="22"/>
              </w:rPr>
              <w:t>num-hex-digits </w:t>
            </w:r>
            <w:r>
              <w:rPr>
                <w:sz w:val="22"/>
              </w:rPr>
              <w:t>is ignored and the result has 10 digits. If </w:t>
            </w:r>
            <w:r>
              <w:rPr>
                <w:rFonts w:ascii="Times New Roman"/>
                <w:i/>
                <w:sz w:val="22"/>
              </w:rPr>
              <w:t>num-hex-digits </w:t>
            </w:r>
            <w:r>
              <w:rPr>
                <w:sz w:val="22"/>
              </w:rPr>
              <w:t>is omitted, the minimum number of digits is used in the result. </w:t>
            </w:r>
            <w:r>
              <w:rPr>
                <w:rFonts w:ascii="Times New Roman"/>
                <w:i/>
                <w:sz w:val="22"/>
              </w:rPr>
              <w:t>num-hex-digits</w:t>
            </w:r>
            <w:r>
              <w:rPr>
                <w:rFonts w:ascii="Times New Roman"/>
                <w:i/>
                <w:spacing w:val="-21"/>
                <w:sz w:val="22"/>
              </w:rPr>
              <w:t> </w:t>
            </w:r>
            <w:r>
              <w:rPr>
                <w:sz w:val="22"/>
              </w:rPr>
              <w:t>is</w:t>
            </w:r>
          </w:p>
        </w:tc>
      </w:tr>
    </w:tbl>
    <w:p>
      <w:pPr>
        <w:spacing w:after="0"/>
        <w:rPr>
          <w:sz w:val="22"/>
        </w:rPr>
        <w:sectPr>
          <w:footerReference w:type="even" r:id="rId258"/>
          <w:footerReference w:type="default" r:id="rId259"/>
          <w:pgSz w:w="12240" w:h="15840"/>
          <w:pgMar w:footer="746" w:header="761" w:top="1340" w:bottom="940" w:left="860" w:right="700"/>
          <w:pgNumType w:start="231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sz w:val="22"/>
              </w:rPr>
            </w:pPr>
            <w:r>
              <w:rPr>
                <w:sz w:val="22"/>
              </w:rPr>
              <w:t>truncated to an integer.</w:t>
            </w:r>
          </w:p>
        </w:tc>
      </w:tr>
    </w:tbl>
    <w:p>
      <w:pPr>
        <w:pStyle w:val="BodyText"/>
        <w:rPr>
          <w:b/>
          <w:sz w:val="20"/>
        </w:rPr>
      </w:pPr>
    </w:p>
    <w:p>
      <w:pPr>
        <w:pStyle w:val="BodyText"/>
        <w:spacing w:before="7"/>
        <w:rPr>
          <w:b/>
          <w:sz w:val="21"/>
        </w:rPr>
      </w:pPr>
    </w:p>
    <w:p>
      <w:pPr>
        <w:spacing w:line="453" w:lineRule="auto" w:before="0"/>
        <w:ind w:left="220" w:right="4187" w:firstLine="0"/>
        <w:jc w:val="both"/>
        <w:rPr>
          <w:sz w:val="22"/>
        </w:rPr>
      </w:pPr>
      <w:r>
        <w:rPr>
          <w:b/>
          <w:sz w:val="22"/>
        </w:rPr>
        <w:t>Return Type and Value: </w:t>
      </w:r>
      <w:r>
        <w:rPr>
          <w:sz w:val="22"/>
        </w:rPr>
        <w:t>text – The hexadecimal equivalent of </w:t>
      </w:r>
      <w:r>
        <w:rPr>
          <w:rFonts w:ascii="Times New Roman" w:hAnsi="Times New Roman"/>
          <w:i/>
          <w:sz w:val="22"/>
        </w:rPr>
        <w:t>number</w:t>
      </w:r>
      <w:r>
        <w:rPr>
          <w:sz w:val="22"/>
        </w:rPr>
        <w:t>. However, if</w:t>
      </w:r>
    </w:p>
    <w:p>
      <w:pPr>
        <w:pStyle w:val="ListParagraph"/>
        <w:numPr>
          <w:ilvl w:val="4"/>
          <w:numId w:val="66"/>
        </w:numPr>
        <w:tabs>
          <w:tab w:pos="941" w:val="left" w:leader="none"/>
        </w:tabs>
        <w:spacing w:line="240" w:lineRule="auto" w:before="1" w:after="0"/>
        <w:ind w:left="940" w:right="0" w:hanging="361"/>
        <w:jc w:val="both"/>
        <w:rPr>
          <w:sz w:val="22"/>
        </w:rPr>
      </w:pPr>
      <w:r>
        <w:rPr>
          <w:rFonts w:ascii="Times New Roman" w:hAnsi="Times New Roman"/>
          <w:i/>
          <w:sz w:val="22"/>
        </w:rPr>
        <w:t>number </w:t>
      </w:r>
      <w:r>
        <w:rPr>
          <w:sz w:val="22"/>
        </w:rPr>
        <w:t>contains one or more non-octal digits, </w:t>
      </w:r>
      <w:r>
        <w:rPr>
          <w:rFonts w:ascii="Consolas" w:hAnsi="Consolas"/>
          <w:sz w:val="22"/>
        </w:rPr>
        <w:t>#NUM!</w:t>
      </w:r>
      <w:r>
        <w:rPr>
          <w:rFonts w:ascii="Consolas" w:hAnsi="Consolas"/>
          <w:spacing w:val="-84"/>
          <w:sz w:val="22"/>
        </w:rPr>
        <w:t> </w:t>
      </w:r>
      <w:r>
        <w:rPr>
          <w:sz w:val="22"/>
        </w:rPr>
        <w:t>is returned.</w:t>
      </w:r>
    </w:p>
    <w:p>
      <w:pPr>
        <w:pStyle w:val="ListParagraph"/>
        <w:numPr>
          <w:ilvl w:val="4"/>
          <w:numId w:val="66"/>
        </w:numPr>
        <w:tabs>
          <w:tab w:pos="941" w:val="left" w:leader="none"/>
        </w:tabs>
        <w:spacing w:line="276" w:lineRule="auto" w:before="39" w:after="0"/>
        <w:ind w:left="940" w:right="1170" w:hanging="360"/>
        <w:jc w:val="both"/>
        <w:rPr>
          <w:sz w:val="22"/>
        </w:rPr>
      </w:pPr>
      <w:r>
        <w:rPr>
          <w:rFonts w:ascii="Times New Roman" w:hAnsi="Times New Roman"/>
          <w:i/>
          <w:sz w:val="22"/>
        </w:rPr>
        <w:t>number </w:t>
      </w:r>
      <w:r>
        <w:rPr>
          <w:sz w:val="22"/>
        </w:rPr>
        <w:t>contains more than 10 octal digits; that is, </w:t>
      </w:r>
      <w:r>
        <w:rPr>
          <w:rFonts w:ascii="Times New Roman" w:hAnsi="Times New Roman"/>
          <w:i/>
          <w:sz w:val="22"/>
        </w:rPr>
        <w:t>number </w:t>
      </w:r>
      <w:r>
        <w:rPr>
          <w:sz w:val="22"/>
        </w:rPr>
        <w:t>is outside the range </w:t>
      </w:r>
      <w:r>
        <w:rPr>
          <w:rFonts w:ascii="Consolas" w:hAnsi="Consolas"/>
          <w:sz w:val="22"/>
        </w:rPr>
        <w:t>"4000000000" </w:t>
      </w:r>
      <w:r>
        <w:rPr>
          <w:sz w:val="22"/>
        </w:rPr>
        <w:t>(20000000</w:t>
      </w:r>
      <w:r>
        <w:rPr>
          <w:spacing w:val="-7"/>
          <w:sz w:val="22"/>
        </w:rPr>
        <w:t> </w:t>
      </w:r>
      <w:r>
        <w:rPr>
          <w:sz w:val="22"/>
        </w:rPr>
        <w:t>hex,</w:t>
      </w:r>
      <w:r>
        <w:rPr>
          <w:spacing w:val="-5"/>
          <w:sz w:val="22"/>
        </w:rPr>
        <w:t> </w:t>
      </w:r>
      <w:r>
        <w:rPr>
          <w:sz w:val="22"/>
        </w:rPr>
        <w:t>-536,870,912</w:t>
      </w:r>
      <w:r>
        <w:rPr>
          <w:spacing w:val="-4"/>
          <w:sz w:val="22"/>
        </w:rPr>
        <w:t> </w:t>
      </w:r>
      <w:r>
        <w:rPr>
          <w:sz w:val="22"/>
        </w:rPr>
        <w:t>decimal)</w:t>
      </w:r>
      <w:r>
        <w:rPr>
          <w:spacing w:val="-4"/>
          <w:sz w:val="22"/>
        </w:rPr>
        <w:t> </w:t>
      </w:r>
      <w:r>
        <w:rPr>
          <w:sz w:val="22"/>
        </w:rPr>
        <w:t>to</w:t>
      </w:r>
      <w:r>
        <w:rPr>
          <w:spacing w:val="-3"/>
          <w:sz w:val="22"/>
        </w:rPr>
        <w:t> </w:t>
      </w:r>
      <w:r>
        <w:rPr>
          <w:rFonts w:ascii="Consolas" w:hAnsi="Consolas"/>
          <w:sz w:val="22"/>
        </w:rPr>
        <w:t>"3777777777"</w:t>
      </w:r>
      <w:r>
        <w:rPr>
          <w:rFonts w:ascii="Consolas" w:hAnsi="Consolas"/>
          <w:spacing w:val="-73"/>
          <w:sz w:val="22"/>
        </w:rPr>
        <w:t> </w:t>
      </w:r>
      <w:r>
        <w:rPr>
          <w:sz w:val="22"/>
        </w:rPr>
        <w:t>(1FFFFFFF</w:t>
      </w:r>
      <w:r>
        <w:rPr>
          <w:spacing w:val="-5"/>
          <w:sz w:val="22"/>
        </w:rPr>
        <w:t> </w:t>
      </w:r>
      <w:r>
        <w:rPr>
          <w:sz w:val="22"/>
        </w:rPr>
        <w:t>hex,</w:t>
      </w:r>
      <w:r>
        <w:rPr>
          <w:spacing w:val="-6"/>
          <w:sz w:val="22"/>
        </w:rPr>
        <w:t> </w:t>
      </w:r>
      <w:r>
        <w:rPr>
          <w:sz w:val="22"/>
        </w:rPr>
        <w:t>536,870,911</w:t>
      </w:r>
      <w:r>
        <w:rPr>
          <w:spacing w:val="-6"/>
          <w:sz w:val="22"/>
        </w:rPr>
        <w:t> </w:t>
      </w:r>
      <w:r>
        <w:rPr>
          <w:sz w:val="22"/>
        </w:rPr>
        <w:t>decimal), inclusive, </w:t>
      </w:r>
      <w:r>
        <w:rPr>
          <w:rFonts w:ascii="Consolas" w:hAnsi="Consolas"/>
          <w:sz w:val="22"/>
        </w:rPr>
        <w:t>#NUM!</w:t>
      </w:r>
      <w:r>
        <w:rPr>
          <w:rFonts w:ascii="Consolas" w:hAnsi="Consolas"/>
          <w:spacing w:val="-75"/>
          <w:sz w:val="22"/>
        </w:rPr>
        <w:t> </w:t>
      </w:r>
      <w:r>
        <w:rPr>
          <w:sz w:val="22"/>
        </w:rPr>
        <w:t>is returned.</w:t>
      </w:r>
    </w:p>
    <w:p>
      <w:pPr>
        <w:pStyle w:val="ListParagraph"/>
        <w:numPr>
          <w:ilvl w:val="4"/>
          <w:numId w:val="66"/>
        </w:numPr>
        <w:tabs>
          <w:tab w:pos="941" w:val="left" w:leader="none"/>
        </w:tabs>
        <w:spacing w:line="240" w:lineRule="auto" w:before="0" w:after="0"/>
        <w:ind w:left="940" w:right="0" w:hanging="361"/>
        <w:jc w:val="both"/>
        <w:rPr>
          <w:sz w:val="22"/>
        </w:rPr>
      </w:pPr>
      <w:r>
        <w:rPr>
          <w:rFonts w:ascii="Times New Roman" w:hAnsi="Times New Roman"/>
          <w:i/>
          <w:sz w:val="22"/>
        </w:rPr>
        <w:t>number </w:t>
      </w:r>
      <w:r>
        <w:rPr>
          <w:sz w:val="22"/>
        </w:rPr>
        <w:t>needs more digits that </w:t>
      </w:r>
      <w:r>
        <w:rPr>
          <w:rFonts w:ascii="Times New Roman" w:hAnsi="Times New Roman"/>
          <w:i/>
          <w:sz w:val="22"/>
        </w:rPr>
        <w:t>num-hex-digits</w:t>
      </w:r>
      <w:r>
        <w:rPr>
          <w:sz w:val="22"/>
        </w:rPr>
        <w:t>,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1" w:val="left" w:leader="none"/>
        </w:tabs>
        <w:spacing w:line="446" w:lineRule="auto" w:before="42" w:after="0"/>
        <w:ind w:left="220" w:right="5668" w:firstLine="360"/>
        <w:jc w:val="both"/>
        <w:rPr>
          <w:sz w:val="22"/>
        </w:rPr>
      </w:pPr>
      <w:r>
        <w:rPr>
          <w:rFonts w:ascii="Times New Roman" w:hAnsi="Times New Roman"/>
          <w:i/>
          <w:sz w:val="22"/>
        </w:rPr>
        <w:t>num-hex-digits </w:t>
      </w:r>
      <w:r>
        <w:rPr>
          <w:sz w:val="22"/>
        </w:rPr>
        <w:t>≤ 0or &gt; 10,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5"/>
        <w:ind w:left="220" w:right="5705"/>
        <w:rPr>
          <w:rFonts w:ascii="Consolas"/>
        </w:rPr>
      </w:pPr>
      <w:r>
        <w:rPr>
          <w:rFonts w:ascii="Consolas"/>
        </w:rPr>
        <w:t>OCT2HEX("777") </w:t>
      </w:r>
      <w:r>
        <w:rPr/>
        <w:t>results in </w:t>
      </w:r>
      <w:r>
        <w:rPr>
          <w:rFonts w:ascii="Consolas"/>
        </w:rPr>
        <w:t>1FF OCT2HEX("7777777776") </w:t>
      </w:r>
      <w:r>
        <w:rPr/>
        <w:t>results in </w:t>
      </w:r>
      <w:r>
        <w:rPr>
          <w:rFonts w:ascii="Consolas"/>
        </w:rPr>
        <w:t>FFFFFFFFFE</w:t>
      </w:r>
    </w:p>
    <w:p>
      <w:pPr>
        <w:pStyle w:val="BodyText"/>
        <w:spacing w:before="2"/>
        <w:ind w:left="220"/>
        <w:rPr>
          <w:rFonts w:ascii="Consolas"/>
        </w:rPr>
      </w:pPr>
      <w:r>
        <w:rPr>
          <w:rFonts w:ascii="Consolas"/>
        </w:rPr>
        <w:t>OCT2HEX("7",5) </w:t>
      </w:r>
      <w:r>
        <w:rPr/>
        <w:t>results in </w:t>
      </w:r>
      <w:r>
        <w:rPr>
          <w:rFonts w:ascii="Consolas"/>
        </w:rPr>
        <w:t>00007</w:t>
      </w:r>
    </w:p>
    <w:p>
      <w:pPr>
        <w:pStyle w:val="BodyText"/>
        <w:spacing w:before="10"/>
        <w:rPr>
          <w:rFonts w:ascii="Consolas"/>
          <w:sz w:val="28"/>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40 ODD" w:id="2112"/>
      <w:bookmarkEnd w:id="2112"/>
      <w:r>
        <w:rPr/>
      </w:r>
      <w:bookmarkStart w:name="_bookmark703" w:id="2113"/>
      <w:bookmarkEnd w:id="2113"/>
      <w:r>
        <w:rPr/>
      </w:r>
      <w:bookmarkStart w:name="_bookmark703" w:id="2114"/>
      <w:bookmarkEnd w:id="2114"/>
      <w:r>
        <w:rPr>
          <w:color w:val="4F81BC"/>
        </w:rPr>
        <w:t>O</w:t>
      </w:r>
      <w:r>
        <w:rPr>
          <w:color w:val="4F81BC"/>
        </w:rPr>
        <w:t>DD</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ODD ( </w:t>
      </w:r>
      <w:r>
        <w:rPr>
          <w:i/>
          <w:sz w:val="22"/>
        </w:rPr>
        <w:t>x </w:t>
      </w:r>
      <w:r>
        <w:rPr>
          <w:rFonts w:ascii="Lucida Console"/>
          <w:sz w:val="20"/>
        </w:rPr>
        <w:t>)</w:t>
      </w:r>
    </w:p>
    <w:p>
      <w:pPr>
        <w:pStyle w:val="BodyText"/>
        <w:spacing w:line="278" w:lineRule="auto" w:before="106"/>
        <w:ind w:left="220" w:right="866"/>
      </w:pPr>
      <w:r>
        <w:rPr>
          <w:b/>
        </w:rPr>
        <w:t>Description: </w:t>
      </w:r>
      <w:r>
        <w:rPr/>
        <w:t>Computes </w:t>
      </w:r>
      <w:r>
        <w:rPr>
          <w:rFonts w:ascii="Times New Roman"/>
          <w:i/>
        </w:rPr>
        <w:t>x </w:t>
      </w:r>
      <w:r>
        <w:rPr/>
        <w:t>rounded to the nearest odd integer, away from zero. Regardless of the sign of </w:t>
      </w:r>
      <w:r>
        <w:rPr>
          <w:rFonts w:ascii="Times New Roman"/>
          <w:i/>
        </w:rPr>
        <w:t>x</w:t>
      </w:r>
      <w:r>
        <w:rPr/>
        <w:t>, a value is rounded up when adjusted away from zero.</w:t>
      </w:r>
    </w:p>
    <w:p>
      <w:pPr>
        <w:pStyle w:val="BodyText"/>
        <w:spacing w:before="2"/>
        <w:rPr>
          <w:sz w:val="16"/>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w:t>
            </w:r>
          </w:p>
        </w:tc>
      </w:tr>
    </w:tbl>
    <w:p>
      <w:pPr>
        <w:pStyle w:val="BodyText"/>
        <w:rPr>
          <w:b/>
        </w:rPr>
      </w:pPr>
    </w:p>
    <w:p>
      <w:pPr>
        <w:pStyle w:val="BodyText"/>
        <w:spacing w:before="8"/>
        <w:rPr>
          <w:b/>
          <w:sz w:val="19"/>
        </w:rPr>
      </w:pPr>
    </w:p>
    <w:p>
      <w:pPr>
        <w:spacing w:line="453" w:lineRule="auto" w:before="0"/>
        <w:ind w:left="220" w:right="5216" w:firstLine="0"/>
        <w:jc w:val="left"/>
        <w:rPr>
          <w:sz w:val="22"/>
        </w:rPr>
      </w:pPr>
      <w:r>
        <w:rPr>
          <w:b/>
          <w:sz w:val="22"/>
        </w:rPr>
        <w:t>Return Type and Value: </w:t>
      </w:r>
      <w:r>
        <w:rPr>
          <w:sz w:val="22"/>
        </w:rPr>
        <w:t>number – The rounded value of </w:t>
      </w:r>
      <w:r>
        <w:rPr>
          <w:rFonts w:ascii="Times New Roman" w:hAnsi="Times New Roman"/>
          <w:i/>
          <w:sz w:val="22"/>
        </w:rPr>
        <w:t>x</w:t>
      </w:r>
      <w:r>
        <w:rPr>
          <w:sz w:val="22"/>
        </w:rPr>
        <w:t>. [</w:t>
      </w:r>
      <w:r>
        <w:rPr>
          <w:i/>
          <w:sz w:val="22"/>
        </w:rPr>
        <w:t>Example</w:t>
      </w:r>
      <w:r>
        <w:rPr>
          <w:sz w:val="22"/>
        </w:rPr>
        <w:t>:</w:t>
      </w:r>
    </w:p>
    <w:p>
      <w:pPr>
        <w:pStyle w:val="BodyText"/>
        <w:spacing w:line="276" w:lineRule="auto" w:before="108"/>
        <w:ind w:left="220" w:right="4673"/>
        <w:rPr>
          <w:rFonts w:ascii="Consolas"/>
        </w:rPr>
      </w:pPr>
      <w:r>
        <w:rPr>
          <w:rFonts w:ascii="Consolas"/>
        </w:rPr>
        <w:t>ODD(1.5)</w:t>
      </w:r>
      <w:r>
        <w:rPr>
          <w:rFonts w:ascii="Consolas"/>
          <w:spacing w:val="-86"/>
        </w:rPr>
        <w:t> </w:t>
      </w:r>
      <w:r>
        <w:rPr/>
        <w:t>rounds 1.5 up to the nearest odd integer; that is, to </w:t>
      </w:r>
      <w:r>
        <w:rPr>
          <w:rFonts w:ascii="Consolas"/>
        </w:rPr>
        <w:t>3 ODD(3) </w:t>
      </w:r>
      <w:r>
        <w:rPr/>
        <w:t>rounds 3 up to the nearest odd integer; that is, to 3 </w:t>
      </w:r>
      <w:r>
        <w:rPr>
          <w:rFonts w:ascii="Consolas"/>
        </w:rPr>
        <w:t>ODD(2) </w:t>
      </w:r>
      <w:r>
        <w:rPr/>
        <w:t>rounds 2 up to the nearest odd integer; that is, to </w:t>
      </w:r>
      <w:r>
        <w:rPr>
          <w:rFonts w:ascii="Consolas"/>
        </w:rPr>
        <w:t>3 ODD(-1)</w:t>
      </w:r>
      <w:r>
        <w:rPr>
          <w:rFonts w:ascii="Consolas"/>
          <w:spacing w:val="-82"/>
        </w:rPr>
        <w:t> </w:t>
      </w:r>
      <w:r>
        <w:rPr/>
        <w:t>rounds -1 up to the nearest odd integer; that is, to </w:t>
      </w:r>
      <w:r>
        <w:rPr>
          <w:rFonts w:ascii="Consolas"/>
        </w:rPr>
        <w:t>-1</w:t>
      </w:r>
    </w:p>
    <w:p>
      <w:pPr>
        <w:spacing w:after="0" w:line="276" w:lineRule="auto"/>
        <w:rPr>
          <w:rFonts w:ascii="Consolas"/>
        </w:rPr>
        <w:sectPr>
          <w:pgSz w:w="12240" w:h="15840"/>
          <w:pgMar w:header="763" w:footer="746" w:top="1340" w:bottom="940" w:left="860" w:right="700"/>
        </w:sectPr>
      </w:pPr>
    </w:p>
    <w:p>
      <w:pPr>
        <w:pStyle w:val="BodyText"/>
        <w:spacing w:before="90"/>
        <w:ind w:left="220"/>
        <w:rPr>
          <w:rFonts w:ascii="Consolas"/>
        </w:rPr>
      </w:pPr>
      <w:r>
        <w:rPr>
          <w:rFonts w:ascii="Consolas"/>
        </w:rPr>
        <w:t>ODD(-2)</w:t>
      </w:r>
      <w:r>
        <w:rPr>
          <w:rFonts w:ascii="Consolas"/>
          <w:spacing w:val="-75"/>
        </w:rPr>
        <w:t> </w:t>
      </w:r>
      <w:r>
        <w:rPr/>
        <w:t>rounds -2 up to the nearest odd integer; that is, to </w:t>
      </w:r>
      <w:r>
        <w:rPr>
          <w:rFonts w:ascii="Consolas"/>
        </w:rPr>
        <w:t>-3</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41 ODDFPRICE" w:id="2115"/>
      <w:bookmarkEnd w:id="2115"/>
      <w:r>
        <w:rPr/>
      </w:r>
      <w:bookmarkStart w:name="_bookmark704" w:id="2116"/>
      <w:bookmarkEnd w:id="2116"/>
      <w:r>
        <w:rPr/>
      </w:r>
      <w:bookmarkStart w:name="_bookmark704" w:id="2117"/>
      <w:bookmarkEnd w:id="2117"/>
      <w:r>
        <w:rPr>
          <w:color w:val="4F81BC"/>
        </w:rPr>
        <w:t>O</w:t>
      </w:r>
      <w:r>
        <w:rPr>
          <w:color w:val="4F81BC"/>
        </w:rPr>
        <w:t>DDFPRICE</w:t>
      </w:r>
    </w:p>
    <w:p>
      <w:pPr>
        <w:pStyle w:val="Heading4"/>
        <w:spacing w:before="124"/>
        <w:rPr>
          <w:b w:val="0"/>
        </w:rPr>
      </w:pPr>
      <w:r>
        <w:rPr/>
        <w:t>Syntax</w:t>
      </w:r>
      <w:r>
        <w:rPr>
          <w:b w:val="0"/>
        </w:rPr>
        <w:t>:</w:t>
      </w:r>
    </w:p>
    <w:p>
      <w:pPr>
        <w:pStyle w:val="BodyText"/>
        <w:rPr>
          <w:sz w:val="19"/>
        </w:rPr>
      </w:pPr>
    </w:p>
    <w:p>
      <w:pPr>
        <w:spacing w:line="259" w:lineRule="exact" w:before="1"/>
        <w:ind w:left="940" w:right="0" w:firstLine="0"/>
        <w:jc w:val="left"/>
        <w:rPr>
          <w:rFonts w:ascii="Lucida Console"/>
          <w:sz w:val="20"/>
        </w:rPr>
      </w:pPr>
      <w:r>
        <w:rPr>
          <w:rFonts w:ascii="Lucida Console"/>
          <w:sz w:val="20"/>
        </w:rPr>
        <w:t>ODDFPRICE ( </w:t>
      </w:r>
      <w:r>
        <w:rPr>
          <w:i/>
          <w:sz w:val="22"/>
        </w:rPr>
        <w:t>settlement  </w:t>
      </w:r>
      <w:r>
        <w:rPr>
          <w:rFonts w:ascii="Lucida Console"/>
          <w:sz w:val="20"/>
        </w:rPr>
        <w:t>, </w:t>
      </w:r>
      <w:r>
        <w:rPr>
          <w:i/>
          <w:sz w:val="22"/>
        </w:rPr>
        <w:t>maturity </w:t>
      </w:r>
      <w:r>
        <w:rPr>
          <w:rFonts w:ascii="Lucida Console"/>
          <w:sz w:val="20"/>
        </w:rPr>
        <w:t>, </w:t>
      </w:r>
      <w:r>
        <w:rPr>
          <w:i/>
          <w:sz w:val="22"/>
        </w:rPr>
        <w:t>issue </w:t>
      </w:r>
      <w:r>
        <w:rPr>
          <w:rFonts w:ascii="Lucida Console"/>
          <w:sz w:val="20"/>
        </w:rPr>
        <w:t>, </w:t>
      </w:r>
      <w:r>
        <w:rPr>
          <w:i/>
          <w:sz w:val="22"/>
        </w:rPr>
        <w:t>first-coupon </w:t>
      </w:r>
      <w:r>
        <w:rPr>
          <w:rFonts w:ascii="Lucida Console"/>
          <w:sz w:val="20"/>
        </w:rPr>
        <w:t>, </w:t>
      </w:r>
      <w:r>
        <w:rPr>
          <w:i/>
          <w:sz w:val="22"/>
        </w:rPr>
        <w:t>rate </w:t>
      </w:r>
      <w:r>
        <w:rPr>
          <w:rFonts w:ascii="Lucida Console"/>
          <w:sz w:val="20"/>
        </w:rPr>
        <w:t>, </w:t>
      </w:r>
      <w:r>
        <w:rPr>
          <w:i/>
          <w:sz w:val="22"/>
        </w:rPr>
        <w:t>yld </w:t>
      </w:r>
      <w:r>
        <w:rPr>
          <w:rFonts w:ascii="Lucida Console"/>
          <w:sz w:val="20"/>
        </w:rPr>
        <w:t>, </w:t>
      </w:r>
      <w:r>
        <w:rPr>
          <w:i/>
          <w:sz w:val="22"/>
        </w:rPr>
        <w:t>redemption  </w:t>
      </w:r>
      <w:r>
        <w:rPr>
          <w:rFonts w:ascii="Lucida Console"/>
          <w:sz w:val="20"/>
        </w:rPr>
        <w:t>,</w:t>
      </w:r>
    </w:p>
    <w:p>
      <w:pPr>
        <w:spacing w:line="259" w:lineRule="exact" w:before="0"/>
        <w:ind w:left="1300" w:right="0" w:firstLine="0"/>
        <w:jc w:val="left"/>
        <w:rPr>
          <w:rFonts w:ascii="Lucida Console"/>
          <w:sz w:val="20"/>
        </w:rPr>
      </w:pPr>
      <w:r>
        <w:rPr>
          <w:i/>
          <w:sz w:val="22"/>
        </w:rPr>
        <w:t>frequency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pStyle w:val="BodyText"/>
        <w:spacing w:line="278" w:lineRule="auto" w:before="105"/>
        <w:ind w:left="220" w:right="742"/>
      </w:pPr>
      <w:r>
        <w:rPr>
          <w:b/>
        </w:rPr>
        <w:t>Description</w:t>
      </w:r>
      <w:r>
        <w:rPr/>
        <w:t>: Computes the price per 100 currency units face value of a security having an odd (short or long) first period.</w:t>
      </w:r>
    </w:p>
    <w:p>
      <w:pPr>
        <w:pStyle w:val="BodyText"/>
        <w:spacing w:before="3"/>
        <w:rPr>
          <w:sz w:val="16"/>
        </w:rPr>
      </w:pPr>
    </w:p>
    <w:p>
      <w:pPr>
        <w:spacing w:line="456" w:lineRule="auto" w:before="0"/>
        <w:ind w:left="220" w:right="8295" w:firstLine="0"/>
        <w:jc w:val="left"/>
        <w:rPr>
          <w:sz w:val="22"/>
        </w:rPr>
      </w:pPr>
      <w:r>
        <w:rPr>
          <w:b/>
          <w:sz w:val="22"/>
        </w:rPr>
        <w:t>Mathematical Formula</w:t>
      </w:r>
      <w:r>
        <w:rPr>
          <w:sz w:val="22"/>
        </w:rPr>
        <w:t>: Odd short first coupon:</w:t>
      </w:r>
    </w:p>
    <w:p>
      <w:pPr>
        <w:pStyle w:val="BodyText"/>
        <w:tabs>
          <w:tab w:pos="5769" w:val="left" w:leader="none"/>
          <w:tab w:pos="6506" w:val="left" w:leader="none"/>
          <w:tab w:pos="6758" w:val="left" w:leader="none"/>
        </w:tabs>
        <w:spacing w:line="165" w:lineRule="exact" w:before="77"/>
        <w:ind w:left="5462"/>
        <w:rPr>
          <w:rFonts w:ascii="Cambria Math" w:eastAsia="Cambria Math"/>
        </w:rPr>
      </w:pPr>
      <w:r>
        <w:rPr>
          <w:rFonts w:ascii="Times New Roman" w:eastAsia="Times New Roman"/>
          <w:w w:val="100"/>
          <w:position w:val="1"/>
          <w:u w:val="single"/>
        </w:rPr>
        <w:t> </w:t>
      </w:r>
      <w:r>
        <w:rPr>
          <w:rFonts w:ascii="Times New Roman" w:eastAsia="Times New Roman"/>
          <w:position w:val="1"/>
          <w:u w:val="single"/>
        </w:rPr>
        <w:tab/>
      </w:r>
      <w:r>
        <w:rPr>
          <w:rFonts w:ascii="Cambria Math" w:eastAsia="Cambria Math"/>
          <w:position w:val="1"/>
          <w:u w:val="single"/>
        </w:rPr>
        <w:t>𝑟𝑎𝑡𝑒</w:t>
        <w:tab/>
      </w:r>
      <w:r>
        <w:rPr>
          <w:rFonts w:ascii="Cambria Math" w:eastAsia="Cambria Math"/>
          <w:position w:val="1"/>
        </w:rPr>
        <w:tab/>
      </w:r>
      <w:r>
        <w:rPr>
          <w:rFonts w:ascii="Cambria Math" w:eastAsia="Cambria Math"/>
          <w:position w:val="1"/>
          <w:u w:val="single"/>
        </w:rPr>
        <w:t> </w:t>
      </w:r>
      <w:r>
        <w:rPr>
          <w:rFonts w:ascii="Cambria Math" w:eastAsia="Cambria Math"/>
          <w:spacing w:val="3"/>
          <w:position w:val="1"/>
          <w:u w:val="single"/>
        </w:rPr>
        <w:t>𝐷𝐹𝐶</w:t>
      </w:r>
      <w:r>
        <w:rPr>
          <w:rFonts w:ascii="Cambria Math" w:eastAsia="Cambria Math"/>
          <w:w w:val="159"/>
        </w:rPr>
        <w:t> </w:t>
      </w:r>
    </w:p>
    <w:p>
      <w:pPr>
        <w:spacing w:after="0" w:line="165" w:lineRule="exact"/>
        <w:rPr>
          <w:rFonts w:ascii="Cambria Math" w:eastAsia="Cambria Math"/>
        </w:rPr>
        <w:sectPr>
          <w:pgSz w:w="12240" w:h="15840"/>
          <w:pgMar w:header="761" w:footer="746" w:top="1340" w:bottom="940" w:left="860" w:right="700"/>
        </w:sectPr>
      </w:pPr>
    </w:p>
    <w:p>
      <w:pPr>
        <w:pStyle w:val="BodyText"/>
        <w:spacing w:line="39" w:lineRule="exact" w:before="54"/>
        <w:jc w:val="right"/>
        <w:rPr>
          <w:rFonts w:ascii="Cambria Math" w:eastAsia="Cambria Math"/>
        </w:rPr>
      </w:pPr>
      <w:r>
        <w:rPr>
          <w:rFonts w:ascii="Cambria Math" w:eastAsia="Cambria Math"/>
        </w:rPr>
        <w:t>𝑟𝑒𝑑𝑒𝑚𝑝𝑡𝑖𝑜𝑛</w:t>
      </w:r>
    </w:p>
    <w:p>
      <w:pPr>
        <w:pStyle w:val="BodyText"/>
        <w:spacing w:line="93" w:lineRule="exact"/>
        <w:ind w:left="1079"/>
        <w:rPr>
          <w:rFonts w:ascii="Cambria Math" w:hAnsi="Cambria Math" w:eastAsia="Cambria Math"/>
        </w:rPr>
      </w:pPr>
      <w:r>
        <w:rPr/>
        <w:br w:type="column"/>
      </w:r>
      <w:r>
        <w:rPr>
          <w:rFonts w:ascii="Cambria Math" w:hAnsi="Cambria Math" w:eastAsia="Cambria Math"/>
          <w:position w:val="11"/>
        </w:rPr>
        <w:t>100 × </w:t>
      </w:r>
      <w:r>
        <w:rPr>
          <w:rFonts w:ascii="Cambria Math" w:hAnsi="Cambria Math" w:eastAsia="Cambria Math"/>
        </w:rPr>
        <w:t>𝑓𝑟𝑒𝑞𝑢𝑒𝑛𝑐𝑦 </w:t>
      </w:r>
      <w:r>
        <w:rPr>
          <w:rFonts w:ascii="Cambria Math" w:hAnsi="Cambria Math" w:eastAsia="Cambria Math"/>
          <w:position w:val="11"/>
        </w:rPr>
        <w:t>× </w:t>
      </w:r>
      <w:r>
        <w:rPr>
          <w:rFonts w:ascii="Cambria Math" w:hAnsi="Cambria Math" w:eastAsia="Cambria Math"/>
        </w:rPr>
        <w:t>𝐸</w:t>
      </w:r>
    </w:p>
    <w:p>
      <w:pPr>
        <w:spacing w:after="0" w:line="93" w:lineRule="exact"/>
        <w:rPr>
          <w:rFonts w:ascii="Cambria Math" w:hAnsi="Cambria Math" w:eastAsia="Cambria Math"/>
        </w:rPr>
        <w:sectPr>
          <w:type w:val="continuous"/>
          <w:pgSz w:w="12240" w:h="15840"/>
          <w:pgMar w:top="1340" w:bottom="940" w:left="860" w:right="700"/>
          <w:cols w:num="2" w:equalWidth="0">
            <w:col w:w="3722" w:space="40"/>
            <w:col w:w="6918"/>
          </w:cols>
        </w:sectPr>
      </w:pPr>
    </w:p>
    <w:p>
      <w:pPr>
        <w:pStyle w:val="BodyText"/>
        <w:spacing w:line="143" w:lineRule="exact" w:before="129"/>
        <w:ind w:left="220"/>
        <w:rPr>
          <w:rFonts w:ascii="Cambria Math" w:eastAsia="Cambria Math"/>
        </w:rPr>
      </w:pPr>
      <w:r>
        <w:rPr>
          <w:rFonts w:ascii="Cambria Math" w:eastAsia="Cambria Math"/>
        </w:rPr>
        <w:t>𝑂𝐷𝐷𝐹𝑃𝑅𝐼𝐶𝐸 =</w:t>
      </w:r>
    </w:p>
    <w:p>
      <w:pPr>
        <w:tabs>
          <w:tab w:pos="2424" w:val="left" w:leader="none"/>
        </w:tabs>
        <w:spacing w:line="188" w:lineRule="exact" w:before="0"/>
        <w:ind w:left="0" w:right="436" w:firstLine="0"/>
        <w:jc w:val="center"/>
        <w:rPr>
          <w:rFonts w:ascii="Times New Roman"/>
          <w:sz w:val="22"/>
        </w:rPr>
      </w:pPr>
      <w:r>
        <w:rPr/>
        <w:br w:type="column"/>
      </w:r>
      <w:r>
        <w:rPr>
          <w:rFonts w:ascii="Cambria Math"/>
          <w:spacing w:val="-1"/>
          <w:w w:val="159"/>
          <w:sz w:val="22"/>
        </w:rPr>
        <w:t> </w:t>
      </w:r>
      <w:r>
        <w:rPr>
          <w:rFonts w:ascii="Times New Roman"/>
          <w:w w:val="100"/>
          <w:sz w:val="22"/>
          <w:u w:val="single"/>
        </w:rPr>
        <w:t> </w:t>
      </w:r>
      <w:r>
        <w:rPr>
          <w:rFonts w:ascii="Times New Roman"/>
          <w:sz w:val="22"/>
          <w:u w:val="single"/>
        </w:rPr>
        <w:tab/>
      </w:r>
    </w:p>
    <w:p>
      <w:pPr>
        <w:pStyle w:val="BodyText"/>
        <w:tabs>
          <w:tab w:pos="2320" w:val="left" w:leader="none"/>
          <w:tab w:pos="2677" w:val="left" w:leader="none"/>
          <w:tab w:pos="5476" w:val="left" w:leader="none"/>
        </w:tabs>
        <w:spacing w:line="84" w:lineRule="exact"/>
        <w:ind w:left="68"/>
        <w:rPr>
          <w:rFonts w:ascii="Cambria Math"/>
        </w:rPr>
      </w:pPr>
      <w:r>
        <w:rPr>
          <w:rFonts w:ascii="Cambria Math"/>
          <w:w w:val="159"/>
        </w:rPr>
        <w:t> </w:t>
      </w:r>
      <w:r>
        <w:rPr>
          <w:rFonts w:ascii="Cambria Math"/>
        </w:rPr>
        <w:tab/>
      </w:r>
      <w:r>
        <w:rPr>
          <w:rFonts w:ascii="Times New Roman"/>
          <w:w w:val="100"/>
          <w:u w:val="single"/>
        </w:rPr>
        <w:t> </w:t>
      </w:r>
      <w:r>
        <w:rPr>
          <w:rFonts w:ascii="Times New Roman"/>
          <w:u w:val="single"/>
        </w:rPr>
        <w:tab/>
      </w:r>
      <w:r>
        <w:rPr>
          <w:rFonts w:ascii="Times New Roman"/>
          <w:spacing w:val="-17"/>
        </w:rPr>
        <w:t> </w:t>
      </w:r>
      <w:r>
        <w:rPr>
          <w:rFonts w:ascii="Cambria Math"/>
          <w:w w:val="159"/>
        </w:rPr>
        <w:t> </w:t>
      </w:r>
      <w:r>
        <w:rPr>
          <w:rFonts w:ascii="Cambria Math"/>
          <w:spacing w:val="-4"/>
        </w:rPr>
        <w:t> </w:t>
      </w:r>
      <w:r>
        <w:rPr>
          <w:rFonts w:ascii="Cambria Math"/>
          <w:position w:val="7"/>
        </w:rPr>
        <w:t>+</w:t>
        <w:tab/>
      </w:r>
      <w:r>
        <w:rPr>
          <w:rFonts w:ascii="Cambria Math"/>
          <w:w w:val="159"/>
        </w:rPr>
        <w:t> </w:t>
      </w:r>
    </w:p>
    <w:p>
      <w:pPr>
        <w:pStyle w:val="BodyText"/>
        <w:spacing w:line="20" w:lineRule="exact"/>
        <w:ind w:left="137"/>
        <w:rPr>
          <w:rFonts w:ascii="Cambria Math"/>
          <w:sz w:val="2"/>
        </w:rPr>
      </w:pPr>
      <w:r>
        <w:rPr>
          <w:rFonts w:ascii="Cambria Math"/>
          <w:sz w:val="2"/>
        </w:rPr>
        <w:pict>
          <v:group style="width:128.4500pt;height:.75pt;mso-position-horizontal-relative:char;mso-position-vertical-relative:line" coordorigin="0,0" coordsize="2569,15">
            <v:line style="position:absolute" from="0,7" to="2568,7" stroked="true" strokeweight=".72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2" w:equalWidth="0">
            <w:col w:w="1672" w:space="40"/>
            <w:col w:w="8968"/>
          </w:cols>
        </w:sectPr>
      </w:pPr>
    </w:p>
    <w:p>
      <w:pPr>
        <w:pStyle w:val="BodyText"/>
        <w:tabs>
          <w:tab w:pos="357" w:val="left" w:leader="none"/>
          <w:tab w:pos="1044" w:val="left" w:leader="none"/>
        </w:tabs>
        <w:spacing w:line="169" w:lineRule="exact" w:before="111"/>
        <w:jc w:val="right"/>
        <w:rPr>
          <w:rFonts w:ascii="Cambria Math" w:eastAsia="Cambria Math"/>
        </w:rPr>
      </w:pPr>
      <w:r>
        <w:rPr>
          <w:rFonts w:ascii="Times New Roman" w:eastAsia="Times New Roman"/>
          <w:w w:val="100"/>
          <w:u w:val="single"/>
        </w:rPr>
        <w:t> </w:t>
      </w:r>
      <w:r>
        <w:rPr>
          <w:rFonts w:ascii="Times New Roman" w:eastAsia="Times New Roman"/>
          <w:u w:val="single"/>
        </w:rPr>
        <w:tab/>
      </w:r>
      <w:r>
        <w:rPr>
          <w:rFonts w:ascii="Cambria Math" w:eastAsia="Cambria Math"/>
          <w:u w:val="single"/>
        </w:rPr>
        <w:t>𝑦𝑙𝑑</w:t>
        <w:tab/>
      </w:r>
    </w:p>
    <w:p>
      <w:pPr>
        <w:spacing w:line="120" w:lineRule="auto" w:before="47"/>
        <w:ind w:left="70" w:right="0" w:firstLine="528"/>
        <w:jc w:val="left"/>
        <w:rPr>
          <w:rFonts w:ascii="Cambria Math" w:hAnsi="Cambria Math" w:eastAsia="Cambria Math"/>
          <w:sz w:val="22"/>
        </w:rPr>
      </w:pPr>
      <w:r>
        <w:rPr/>
        <w:br w:type="column"/>
      </w:r>
      <w:r>
        <w:rPr>
          <w:rFonts w:ascii="Cambria Math" w:hAnsi="Cambria Math" w:eastAsia="Cambria Math"/>
          <w:w w:val="105"/>
          <w:sz w:val="16"/>
        </w:rPr>
        <w:t>𝐷𝑆𝐶 (𝑁−1+ </w:t>
      </w:r>
      <w:r>
        <w:rPr>
          <w:rFonts w:ascii="Cambria Math" w:hAnsi="Cambria Math" w:eastAsia="Cambria Math"/>
          <w:w w:val="105"/>
          <w:position w:val="-7"/>
          <w:sz w:val="16"/>
        </w:rPr>
        <w:t>𝐸 </w:t>
      </w:r>
      <w:r>
        <w:rPr>
          <w:rFonts w:ascii="Cambria Math" w:hAnsi="Cambria Math" w:eastAsia="Cambria Math"/>
          <w:w w:val="105"/>
          <w:sz w:val="16"/>
        </w:rPr>
        <w:t>)</w:t>
      </w:r>
      <w:r>
        <w:rPr>
          <w:rFonts w:ascii="Cambria Math" w:hAnsi="Cambria Math" w:eastAsia="Cambria Math"/>
          <w:w w:val="159"/>
          <w:position w:val="-11"/>
          <w:sz w:val="22"/>
        </w:rPr>
        <w:t> </w:t>
      </w:r>
    </w:p>
    <w:p>
      <w:pPr>
        <w:pStyle w:val="BodyText"/>
        <w:tabs>
          <w:tab w:pos="1339" w:val="left" w:leader="none"/>
          <w:tab w:pos="2026" w:val="left" w:leader="none"/>
        </w:tabs>
        <w:spacing w:line="169" w:lineRule="exact" w:before="111"/>
        <w:ind w:left="981"/>
        <w:rPr>
          <w:rFonts w:ascii="Cambria Math" w:eastAsia="Cambria Math"/>
        </w:rPr>
      </w:pPr>
      <w:r>
        <w:rPr/>
        <w:br w:type="column"/>
      </w:r>
      <w:r>
        <w:rPr>
          <w:rFonts w:ascii="Times New Roman" w:eastAsia="Times New Roman"/>
          <w:w w:val="100"/>
          <w:u w:val="single"/>
        </w:rPr>
        <w:t> </w:t>
      </w:r>
      <w:r>
        <w:rPr>
          <w:rFonts w:ascii="Times New Roman" w:eastAsia="Times New Roman"/>
          <w:u w:val="single"/>
        </w:rPr>
        <w:tab/>
      </w:r>
      <w:r>
        <w:rPr>
          <w:rFonts w:ascii="Cambria Math" w:eastAsia="Cambria Math"/>
          <w:u w:val="single"/>
        </w:rPr>
        <w:t>𝑦𝑙𝑑</w:t>
        <w:tab/>
      </w:r>
    </w:p>
    <w:p>
      <w:pPr>
        <w:spacing w:line="153" w:lineRule="exact" w:before="0"/>
        <w:ind w:left="67" w:right="0" w:firstLine="0"/>
        <w:jc w:val="left"/>
        <w:rPr>
          <w:rFonts w:ascii="Cambria Math" w:eastAsia="Cambria Math"/>
          <w:sz w:val="16"/>
        </w:rPr>
      </w:pPr>
      <w:r>
        <w:rPr/>
        <w:br w:type="column"/>
      </w:r>
      <w:r>
        <w:rPr>
          <w:rFonts w:ascii="Times New Roman" w:eastAsia="Times New Roman"/>
          <w:w w:val="100"/>
          <w:sz w:val="16"/>
          <w:u w:val="single"/>
        </w:rPr>
        <w:t> </w:t>
      </w:r>
      <w:r>
        <w:rPr>
          <w:rFonts w:ascii="Cambria Math" w:eastAsia="Cambria Math"/>
          <w:w w:val="105"/>
          <w:sz w:val="16"/>
          <w:u w:val="single"/>
        </w:rPr>
        <w:t>𝐷𝑆𝐶</w:t>
      </w:r>
    </w:p>
    <w:p>
      <w:pPr>
        <w:spacing w:line="127" w:lineRule="exact" w:before="0"/>
        <w:ind w:left="166" w:right="0" w:firstLine="0"/>
        <w:jc w:val="left"/>
        <w:rPr>
          <w:rFonts w:ascii="Cambria Math" w:eastAsia="Cambria Math"/>
          <w:sz w:val="16"/>
        </w:rPr>
      </w:pPr>
      <w:r>
        <w:rPr>
          <w:rFonts w:ascii="Cambria Math" w:eastAsia="Cambria Math"/>
          <w:w w:val="105"/>
          <w:sz w:val="16"/>
        </w:rPr>
        <w:t>𝐸</w:t>
      </w:r>
    </w:p>
    <w:p>
      <w:pPr>
        <w:spacing w:after="0" w:line="127" w:lineRule="exact"/>
        <w:jc w:val="left"/>
        <w:rPr>
          <w:rFonts w:ascii="Cambria Math" w:eastAsia="Cambria Math"/>
          <w:sz w:val="16"/>
        </w:rPr>
        <w:sectPr>
          <w:type w:val="continuous"/>
          <w:pgSz w:w="12240" w:h="15840"/>
          <w:pgMar w:top="1340" w:bottom="940" w:left="860" w:right="700"/>
          <w:cols w:num="4" w:equalWidth="0">
            <w:col w:w="3394" w:space="40"/>
            <w:col w:w="1072" w:space="39"/>
            <w:col w:w="2027" w:space="40"/>
            <w:col w:w="4068"/>
          </w:cols>
        </w:sectPr>
      </w:pPr>
    </w:p>
    <w:p>
      <w:pPr>
        <w:pStyle w:val="BodyText"/>
        <w:tabs>
          <w:tab w:pos="4428" w:val="left" w:leader="none"/>
          <w:tab w:pos="4764" w:val="left" w:leader="none"/>
          <w:tab w:pos="7188" w:val="left" w:leader="none"/>
        </w:tabs>
        <w:spacing w:line="302" w:lineRule="exact"/>
        <w:ind w:left="1857"/>
        <w:rPr>
          <w:rFonts w:ascii="Cambria Math" w:eastAsia="Cambria Math"/>
        </w:rPr>
      </w:pPr>
      <w:r>
        <w:rPr/>
        <w:pict>
          <v:shape style="position:absolute;margin-left:132.020004pt;margin-top:4.037598pt;width:3.9pt;height:11.1pt;mso-position-horizontal-relative:page;mso-position-vertical-relative:paragraph;z-index:251817984" type="#_x0000_t202" filled="false" stroked="false">
            <v:textbox inset="0,0,0,0">
              <w:txbxContent>
                <w:p>
                  <w:pPr>
                    <w:pStyle w:val="BodyText"/>
                    <w:spacing w:line="221" w:lineRule="exact"/>
                    <w:rPr>
                      <w:rFonts w:ascii="Cambria Math"/>
                    </w:rPr>
                  </w:pPr>
                  <w:r>
                    <w:rPr>
                      <w:rFonts w:ascii="Cambria Math"/>
                      <w:w w:val="100"/>
                    </w:rPr>
                    <w:t>[</w:t>
                  </w:r>
                </w:p>
              </w:txbxContent>
            </v:textbox>
            <w10:wrap type="none"/>
          </v:shape>
        </w:pict>
      </w:r>
      <w:r>
        <w:rPr>
          <w:rFonts w:ascii="Cambria Math" w:eastAsia="Cambria Math"/>
          <w:w w:val="105"/>
          <w:position w:val="12"/>
        </w:rPr>
        <w:t>(1</w:t>
      </w:r>
      <w:r>
        <w:rPr>
          <w:rFonts w:ascii="Cambria Math" w:eastAsia="Cambria Math"/>
          <w:spacing w:val="-7"/>
          <w:w w:val="105"/>
          <w:position w:val="12"/>
        </w:rPr>
        <w:t> </w:t>
      </w:r>
      <w:r>
        <w:rPr>
          <w:rFonts w:ascii="Cambria Math" w:eastAsia="Cambria Math"/>
          <w:w w:val="105"/>
          <w:position w:val="12"/>
        </w:rPr>
        <w:t>+</w:t>
      </w:r>
      <w:r>
        <w:rPr>
          <w:rFonts w:ascii="Cambria Math" w:eastAsia="Cambria Math"/>
          <w:spacing w:val="-11"/>
          <w:w w:val="105"/>
          <w:position w:val="12"/>
        </w:rPr>
        <w:t> </w:t>
      </w:r>
      <w:r>
        <w:rPr>
          <w:rFonts w:ascii="Cambria Math" w:eastAsia="Cambria Math"/>
          <w:w w:val="105"/>
        </w:rPr>
        <w:t>𝑓𝑟𝑒𝑞𝑢𝑒𝑛𝑐𝑦</w:t>
      </w:r>
      <w:r>
        <w:rPr>
          <w:rFonts w:ascii="Cambria Math" w:eastAsia="Cambria Math"/>
          <w:w w:val="105"/>
          <w:position w:val="12"/>
        </w:rPr>
        <w:t>)</w:t>
        <w:tab/>
      </w:r>
      <w:r>
        <w:rPr>
          <w:rFonts w:ascii="Cambria Math" w:eastAsia="Cambria Math"/>
          <w:w w:val="105"/>
        </w:rPr>
        <w:t>]</w:t>
        <w:tab/>
        <w:t>[    </w:t>
      </w:r>
      <w:r>
        <w:rPr>
          <w:rFonts w:ascii="Cambria Math" w:eastAsia="Cambria Math"/>
          <w:w w:val="105"/>
          <w:position w:val="12"/>
        </w:rPr>
        <w:t>(1</w:t>
      </w:r>
      <w:r>
        <w:rPr>
          <w:rFonts w:ascii="Cambria Math" w:eastAsia="Cambria Math"/>
          <w:spacing w:val="-36"/>
          <w:w w:val="105"/>
          <w:position w:val="12"/>
        </w:rPr>
        <w:t> </w:t>
      </w:r>
      <w:r>
        <w:rPr>
          <w:rFonts w:ascii="Cambria Math" w:eastAsia="Cambria Math"/>
          <w:w w:val="105"/>
          <w:position w:val="12"/>
        </w:rPr>
        <w:t>+</w:t>
      </w:r>
      <w:r>
        <w:rPr>
          <w:rFonts w:ascii="Cambria Math" w:eastAsia="Cambria Math"/>
          <w:spacing w:val="-6"/>
          <w:w w:val="105"/>
          <w:position w:val="12"/>
        </w:rPr>
        <w:t> </w:t>
      </w:r>
      <w:r>
        <w:rPr>
          <w:rFonts w:ascii="Cambria Math" w:eastAsia="Cambria Math"/>
          <w:w w:val="105"/>
        </w:rPr>
        <w:t>𝑓𝑟𝑒𝑞𝑢𝑒𝑛𝑐𝑦</w:t>
      </w:r>
      <w:r>
        <w:rPr>
          <w:rFonts w:ascii="Cambria Math" w:eastAsia="Cambria Math"/>
          <w:w w:val="105"/>
          <w:position w:val="12"/>
        </w:rPr>
        <w:t>)</w:t>
        <w:tab/>
      </w:r>
      <w:r>
        <w:rPr>
          <w:rFonts w:ascii="Cambria Math" w:eastAsia="Cambria Math"/>
          <w:w w:val="105"/>
        </w:rPr>
        <w:t>]</w:t>
      </w:r>
    </w:p>
    <w:p>
      <w:pPr>
        <w:spacing w:after="0" w:line="302" w:lineRule="exact"/>
        <w:rPr>
          <w:rFonts w:ascii="Cambria Math" w:eastAsia="Cambria Math"/>
        </w:rPr>
        <w:sectPr>
          <w:type w:val="continuous"/>
          <w:pgSz w:w="12240" w:h="15840"/>
          <w:pgMar w:top="1340" w:bottom="940" w:left="860" w:right="700"/>
        </w:sectPr>
      </w:pPr>
    </w:p>
    <w:p>
      <w:pPr>
        <w:pStyle w:val="BodyText"/>
        <w:tabs>
          <w:tab w:pos="3667" w:val="left" w:leader="none"/>
          <w:tab w:pos="4404" w:val="left" w:leader="none"/>
        </w:tabs>
        <w:spacing w:line="141" w:lineRule="auto" w:before="144"/>
        <w:ind w:left="2738"/>
        <w:rPr>
          <w:rFonts w:ascii="Cambria Math" w:hAnsi="Cambria Math" w:eastAsia="Cambria Math"/>
        </w:rPr>
      </w:pPr>
      <w:r>
        <w:rPr>
          <w:rFonts w:ascii="Cambria Math" w:hAnsi="Cambria Math" w:eastAsia="Cambria Math"/>
          <w:position w:val="-12"/>
        </w:rPr>
        <w:t>100 ×</w:t>
      </w:r>
      <w:r>
        <w:rPr>
          <w:rFonts w:ascii="Cambria Math" w:hAnsi="Cambria Math" w:eastAsia="Cambria Math"/>
          <w:u w:val="single"/>
        </w:rPr>
        <w:t> </w:t>
        <w:tab/>
        <w:t>𝑟𝑎𝑡𝑒</w:t>
        <w:tab/>
      </w:r>
    </w:p>
    <w:p>
      <w:pPr>
        <w:pStyle w:val="BodyText"/>
        <w:spacing w:line="111" w:lineRule="exact"/>
        <w:ind w:right="1"/>
        <w:jc w:val="right"/>
        <w:rPr>
          <w:rFonts w:ascii="Cambria Math" w:eastAsia="Cambria Math"/>
        </w:rPr>
      </w:pPr>
      <w:r>
        <w:rPr/>
        <w:pict>
          <v:line style="position:absolute;mso-position-horizontal-relative:page;mso-position-vertical-relative:paragraph;z-index:-335825920" from="157.940002pt,11.043142pt" to="285.160002pt,11.043142pt" stroked="true" strokeweight=".72pt" strokecolor="#000000">
            <v:stroke dashstyle="solid"/>
            <w10:wrap type="none"/>
          </v:line>
        </w:pict>
      </w:r>
      <w:r>
        <w:rPr/>
        <w:pict>
          <v:line style="position:absolute;mso-position-horizontal-relative:page;mso-position-vertical-relative:paragraph;z-index:-335824896" from="337.269989pt,11.043142pt" to="389.469989pt,11.043142pt" stroked="true" strokeweight=".72pt" strokecolor="#000000">
            <v:stroke dashstyle="solid"/>
            <w10:wrap type="none"/>
          </v:line>
        </w:pict>
      </w:r>
      <w:r>
        <w:rPr/>
        <w:pict>
          <v:line style="position:absolute;mso-position-horizontal-relative:page;mso-position-vertical-relative:paragraph;z-index:-335823872" from="402.190002pt,11.043142pt" to="409.510002pt,11.043142pt" stroked="true" strokeweight=".72pt" strokecolor="#000000">
            <v:stroke dashstyle="solid"/>
            <w10:wrap type="none"/>
          </v:line>
        </w:pict>
      </w:r>
      <w:r>
        <w:rPr>
          <w:rFonts w:ascii="Cambria Math" w:eastAsia="Cambria Math"/>
          <w:spacing w:val="-1"/>
        </w:rPr>
        <w:t>𝑓𝑟𝑒𝑞𝑢𝑒𝑛𝑐𝑦</w:t>
      </w:r>
    </w:p>
    <w:p>
      <w:pPr>
        <w:pStyle w:val="BodyText"/>
        <w:spacing w:before="4"/>
        <w:rPr>
          <w:rFonts w:ascii="Cambria Math"/>
          <w:sz w:val="28"/>
        </w:rPr>
      </w:pPr>
      <w:r>
        <w:rPr/>
        <w:br w:type="column"/>
      </w:r>
      <w:r>
        <w:rPr>
          <w:rFonts w:ascii="Cambria Math"/>
          <w:sz w:val="28"/>
        </w:rPr>
      </w:r>
    </w:p>
    <w:p>
      <w:pPr>
        <w:pStyle w:val="BodyText"/>
        <w:tabs>
          <w:tab w:pos="2741" w:val="left" w:leader="none"/>
        </w:tabs>
        <w:spacing w:line="205" w:lineRule="exact"/>
        <w:ind w:left="1748"/>
        <w:rPr>
          <w:rFonts w:ascii="Cambria Math" w:eastAsia="Cambria Math"/>
        </w:rPr>
      </w:pPr>
      <w:r>
        <w:rPr>
          <w:rFonts w:ascii="Cambria Math" w:eastAsia="Cambria Math"/>
        </w:rPr>
        <w:t>𝑟𝑎𝑡𝑒</w:t>
        <w:tab/>
        <w:t>𝐴</w:t>
      </w:r>
    </w:p>
    <w:p>
      <w:pPr>
        <w:spacing w:after="0" w:line="205" w:lineRule="exact"/>
        <w:rPr>
          <w:rFonts w:ascii="Cambria Math" w:eastAsia="Cambria Math"/>
        </w:rPr>
        <w:sectPr>
          <w:type w:val="continuous"/>
          <w:pgSz w:w="12240" w:h="15840"/>
          <w:pgMar w:top="1340" w:bottom="940" w:left="860" w:right="700"/>
          <w:cols w:num="2" w:equalWidth="0">
            <w:col w:w="4405" w:space="40"/>
            <w:col w:w="6235"/>
          </w:cols>
        </w:sectPr>
      </w:pPr>
    </w:p>
    <w:p>
      <w:pPr>
        <w:pStyle w:val="BodyText"/>
        <w:spacing w:line="221" w:lineRule="exact"/>
        <w:ind w:right="9"/>
        <w:jc w:val="right"/>
        <w:rPr>
          <w:rFonts w:ascii="Cambria Math" w:hAnsi="Cambria Math"/>
        </w:rPr>
      </w:pPr>
      <w:r>
        <w:rPr>
          <w:rFonts w:ascii="Cambria Math" w:hAnsi="Cambria Math"/>
          <w:w w:val="120"/>
        </w:rPr>
        <w:t>+ </w:t>
      </w:r>
      <w:r>
        <w:rPr>
          <w:rFonts w:ascii="Cambria Math" w:hAnsi="Cambria Math"/>
          <w:spacing w:val="10"/>
          <w:w w:val="120"/>
          <w:position w:val="-6"/>
        </w:rPr>
        <w:t> </w:t>
      </w:r>
      <w:r>
        <w:rPr>
          <w:rFonts w:ascii="Cambria Math" w:hAnsi="Cambria Math"/>
          <w:w w:val="170"/>
        </w:rPr>
        <w:t>∑</w:t>
      </w:r>
    </w:p>
    <w:p>
      <w:pPr>
        <w:spacing w:line="98" w:lineRule="exact" w:before="87"/>
        <w:ind w:left="0" w:right="0" w:firstLine="0"/>
        <w:jc w:val="right"/>
        <w:rPr>
          <w:rFonts w:ascii="Cambria Math" w:eastAsia="Cambria Math"/>
          <w:sz w:val="16"/>
        </w:rPr>
      </w:pPr>
      <w:r>
        <w:rPr>
          <w:rFonts w:ascii="Cambria Math" w:eastAsia="Cambria Math"/>
          <w:spacing w:val="-1"/>
          <w:w w:val="159"/>
          <w:sz w:val="22"/>
        </w:rPr>
        <w:t> </w:t>
      </w:r>
      <w:r>
        <w:rPr>
          <w:rFonts w:ascii="Cambria Math" w:eastAsia="Cambria Math"/>
          <w:sz w:val="16"/>
        </w:rPr>
        <w:t>𝑘=2</w:t>
      </w:r>
    </w:p>
    <w:p>
      <w:pPr>
        <w:pStyle w:val="BodyText"/>
        <w:spacing w:before="2"/>
        <w:rPr>
          <w:rFonts w:ascii="Cambria Math"/>
          <w:sz w:val="20"/>
        </w:rPr>
      </w:pPr>
      <w:r>
        <w:rPr/>
        <w:br w:type="column"/>
      </w:r>
      <w:r>
        <w:rPr>
          <w:rFonts w:ascii="Cambria Math"/>
          <w:sz w:val="20"/>
        </w:rPr>
      </w:r>
    </w:p>
    <w:p>
      <w:pPr>
        <w:pStyle w:val="BodyText"/>
        <w:tabs>
          <w:tab w:pos="846" w:val="left" w:leader="none"/>
          <w:tab w:pos="1532" w:val="left" w:leader="none"/>
        </w:tabs>
        <w:spacing w:line="169" w:lineRule="exact"/>
        <w:ind w:left="488"/>
        <w:rPr>
          <w:rFonts w:ascii="Cambria Math" w:eastAsia="Cambria Math"/>
        </w:rPr>
      </w:pPr>
      <w:r>
        <w:rPr>
          <w:rFonts w:ascii="Times New Roman" w:eastAsia="Times New Roman"/>
          <w:w w:val="100"/>
          <w:u w:val="single"/>
        </w:rPr>
        <w:t> </w:t>
      </w:r>
      <w:r>
        <w:rPr>
          <w:rFonts w:ascii="Times New Roman" w:eastAsia="Times New Roman"/>
          <w:u w:val="single"/>
        </w:rPr>
        <w:tab/>
      </w:r>
      <w:r>
        <w:rPr>
          <w:rFonts w:ascii="Cambria Math" w:eastAsia="Cambria Math"/>
          <w:u w:val="single"/>
        </w:rPr>
        <w:t>𝑦𝑙𝑑</w:t>
        <w:tab/>
      </w:r>
    </w:p>
    <w:p>
      <w:pPr>
        <w:spacing w:line="321" w:lineRule="exact" w:before="0"/>
        <w:ind w:left="574" w:right="0" w:firstLine="0"/>
        <w:jc w:val="left"/>
        <w:rPr>
          <w:rFonts w:ascii="Cambria Math" w:hAnsi="Cambria Math" w:eastAsia="Cambria Math"/>
          <w:sz w:val="22"/>
        </w:rPr>
      </w:pPr>
      <w:r>
        <w:rPr/>
        <w:br w:type="column"/>
      </w:r>
      <w:r>
        <w:rPr>
          <w:rFonts w:ascii="Times New Roman" w:hAnsi="Times New Roman" w:eastAsia="Times New Roman"/>
          <w:w w:val="100"/>
          <w:position w:val="7"/>
          <w:sz w:val="16"/>
          <w:u w:val="single"/>
        </w:rPr>
        <w:t> </w:t>
      </w:r>
      <w:r>
        <w:rPr>
          <w:rFonts w:ascii="Cambria Math" w:hAnsi="Cambria Math" w:eastAsia="Cambria Math"/>
          <w:position w:val="7"/>
          <w:sz w:val="16"/>
          <w:u w:val="single"/>
        </w:rPr>
        <w:t>𝐷𝑆𝐶</w:t>
      </w:r>
      <w:r>
        <w:rPr>
          <w:rFonts w:ascii="Cambria Math" w:hAnsi="Cambria Math" w:eastAsia="Cambria Math"/>
          <w:position w:val="8"/>
          <w:sz w:val="16"/>
        </w:rPr>
        <w:t> </w:t>
      </w:r>
      <w:r>
        <w:rPr>
          <w:rFonts w:ascii="Cambria Math" w:hAnsi="Cambria Math" w:eastAsia="Cambria Math"/>
          <w:position w:val="15"/>
          <w:sz w:val="22"/>
        </w:rPr>
        <w:t>− [100 × </w:t>
      </w:r>
      <w:r>
        <w:rPr>
          <w:rFonts w:ascii="Cambria Math" w:hAnsi="Cambria Math" w:eastAsia="Cambria Math"/>
          <w:sz w:val="22"/>
        </w:rPr>
        <w:t>𝑓𝑟𝑒𝑞𝑢𝑒𝑛𝑐𝑦 </w:t>
      </w:r>
      <w:r>
        <w:rPr>
          <w:rFonts w:ascii="Cambria Math" w:hAnsi="Cambria Math" w:eastAsia="Cambria Math"/>
          <w:position w:val="15"/>
          <w:sz w:val="22"/>
        </w:rPr>
        <w:t>× </w:t>
      </w:r>
      <w:r>
        <w:rPr>
          <w:rFonts w:ascii="Cambria Math" w:hAnsi="Cambria Math" w:eastAsia="Cambria Math"/>
          <w:sz w:val="22"/>
        </w:rPr>
        <w:t>𝐸</w:t>
      </w:r>
      <w:r>
        <w:rPr>
          <w:rFonts w:ascii="Cambria Math" w:hAnsi="Cambria Math" w:eastAsia="Cambria Math"/>
          <w:position w:val="15"/>
          <w:sz w:val="22"/>
        </w:rPr>
        <w:t>]</w:t>
      </w:r>
    </w:p>
    <w:p>
      <w:pPr>
        <w:spacing w:line="85" w:lineRule="exact" w:before="0"/>
        <w:ind w:left="672" w:right="0" w:firstLine="0"/>
        <w:jc w:val="left"/>
        <w:rPr>
          <w:rFonts w:ascii="Cambria Math" w:eastAsia="Cambria Math"/>
          <w:sz w:val="22"/>
        </w:rPr>
      </w:pPr>
      <w:r>
        <w:rPr/>
        <w:pict>
          <v:shape style="position:absolute;margin-left:240.169998pt;margin-top:-5.182758pt;width:44.65pt;height:8.0500pt;mso-position-horizontal-relative:page;mso-position-vertical-relative:paragraph;z-index:-335821824" type="#_x0000_t202" filled="false" stroked="false">
            <v:textbox inset="0,0,0,0">
              <w:txbxContent>
                <w:p>
                  <w:pPr>
                    <w:tabs>
                      <w:tab w:pos="813" w:val="left" w:leader="none"/>
                    </w:tabs>
                    <w:spacing w:line="161" w:lineRule="exact" w:before="0"/>
                    <w:ind w:left="0" w:right="0" w:firstLine="0"/>
                    <w:jc w:val="left"/>
                    <w:rPr>
                      <w:rFonts w:ascii="Cambria Math" w:hAnsi="Cambria Math" w:eastAsia="Cambria Math"/>
                      <w:sz w:val="16"/>
                    </w:rPr>
                  </w:pPr>
                  <w:r>
                    <w:rPr>
                      <w:rFonts w:ascii="Cambria Math" w:hAnsi="Cambria Math" w:eastAsia="Cambria Math"/>
                      <w:w w:val="110"/>
                      <w:sz w:val="16"/>
                    </w:rPr>
                    <w:t>(𝑘−1+</w:t>
                    <w:tab/>
                  </w:r>
                  <w:r>
                    <w:rPr>
                      <w:rFonts w:ascii="Cambria Math" w:hAnsi="Cambria Math" w:eastAsia="Cambria Math"/>
                      <w:spacing w:val="-20"/>
                      <w:w w:val="110"/>
                      <w:sz w:val="16"/>
                    </w:rPr>
                    <w:t>)</w:t>
                  </w:r>
                </w:p>
              </w:txbxContent>
            </v:textbox>
            <w10:wrap type="none"/>
          </v:shape>
        </w:pict>
      </w:r>
      <w:r>
        <w:rPr>
          <w:rFonts w:ascii="Cambria Math" w:eastAsia="Cambria Math"/>
          <w:w w:val="105"/>
          <w:sz w:val="16"/>
        </w:rPr>
        <w:t>𝐸</w:t>
      </w:r>
      <w:r>
        <w:rPr>
          <w:rFonts w:ascii="Cambria Math" w:eastAsia="Cambria Math"/>
          <w:sz w:val="16"/>
        </w:rPr>
        <w:t>      </w:t>
      </w:r>
      <w:r>
        <w:rPr>
          <w:rFonts w:ascii="Cambria Math" w:eastAsia="Cambria Math"/>
          <w:w w:val="159"/>
          <w:position w:val="-3"/>
          <w:sz w:val="22"/>
        </w:rPr>
        <w:t> </w:t>
      </w:r>
    </w:p>
    <w:p>
      <w:pPr>
        <w:spacing w:after="0" w:line="85" w:lineRule="exact"/>
        <w:jc w:val="left"/>
        <w:rPr>
          <w:rFonts w:ascii="Cambria Math" w:eastAsia="Cambria Math"/>
          <w:sz w:val="22"/>
        </w:rPr>
        <w:sectPr>
          <w:type w:val="continuous"/>
          <w:pgSz w:w="12240" w:h="15840"/>
          <w:pgMar w:top="1340" w:bottom="940" w:left="860" w:right="700"/>
          <w:cols w:num="3" w:equalWidth="0">
            <w:col w:w="2263" w:space="40"/>
            <w:col w:w="1534" w:space="39"/>
            <w:col w:w="6804"/>
          </w:cols>
        </w:sectPr>
      </w:pPr>
    </w:p>
    <w:p>
      <w:pPr>
        <w:pStyle w:val="BodyText"/>
        <w:tabs>
          <w:tab w:pos="2298" w:val="left" w:leader="none"/>
          <w:tab w:pos="4845" w:val="left" w:leader="none"/>
        </w:tabs>
        <w:spacing w:line="336" w:lineRule="exact"/>
        <w:ind w:left="1873"/>
        <w:rPr>
          <w:rFonts w:ascii="Cambria Math" w:eastAsia="Cambria Math"/>
        </w:rPr>
      </w:pPr>
      <w:r>
        <w:rPr>
          <w:rFonts w:ascii="Cambria Math" w:eastAsia="Cambria Math"/>
        </w:rPr>
        <w:t>[</w:t>
        <w:tab/>
      </w:r>
      <w:r>
        <w:rPr>
          <w:rFonts w:ascii="Cambria Math" w:eastAsia="Cambria Math"/>
          <w:position w:val="12"/>
        </w:rPr>
        <w:t>(1</w:t>
      </w:r>
      <w:r>
        <w:rPr>
          <w:rFonts w:ascii="Cambria Math" w:eastAsia="Cambria Math"/>
          <w:spacing w:val="5"/>
          <w:position w:val="12"/>
        </w:rPr>
        <w:t> </w:t>
      </w:r>
      <w:r>
        <w:rPr>
          <w:rFonts w:ascii="Cambria Math" w:eastAsia="Cambria Math"/>
          <w:position w:val="12"/>
        </w:rPr>
        <w:t>+</w:t>
      </w:r>
      <w:r>
        <w:rPr>
          <w:rFonts w:ascii="Cambria Math" w:eastAsia="Cambria Math"/>
          <w:spacing w:val="6"/>
          <w:position w:val="12"/>
        </w:rPr>
        <w:t> </w:t>
      </w:r>
      <w:r>
        <w:rPr>
          <w:rFonts w:ascii="Cambria Math" w:eastAsia="Cambria Math"/>
        </w:rPr>
        <w:t>𝑓𝑟𝑒𝑞𝑢𝑒𝑛𝑐𝑦</w:t>
      </w:r>
      <w:r>
        <w:rPr>
          <w:rFonts w:ascii="Cambria Math" w:eastAsia="Cambria Math"/>
          <w:position w:val="12"/>
        </w:rPr>
        <w:t>)</w:t>
        <w:tab/>
      </w:r>
      <w:r>
        <w:rPr>
          <w:rFonts w:ascii="Cambria Math" w:eastAsia="Cambria Math"/>
        </w:rPr>
        <w:t>]</w:t>
      </w:r>
    </w:p>
    <w:p>
      <w:pPr>
        <w:pStyle w:val="BodyText"/>
        <w:spacing w:before="4"/>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 </w:t>
      </w:r>
      <w:r>
        <w:rPr>
          <w:sz w:val="22"/>
        </w:rPr>
        <w:t>= number of days from the beginning of the coupon period to the settlement date (accrued</w:t>
      </w:r>
      <w:r>
        <w:rPr>
          <w:spacing w:val="-26"/>
          <w:sz w:val="22"/>
        </w:rPr>
        <w:t> </w:t>
      </w:r>
      <w:r>
        <w:rPr>
          <w:sz w:val="22"/>
        </w:rPr>
        <w:t>days).</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DFC </w:t>
      </w:r>
      <w:r>
        <w:rPr>
          <w:sz w:val="22"/>
        </w:rPr>
        <w:t>= number of days from the beginning of the odd first coupon to the first coupon</w:t>
      </w:r>
      <w:r>
        <w:rPr>
          <w:spacing w:val="-26"/>
          <w:sz w:val="22"/>
        </w:rPr>
        <w:t> </w:t>
      </w:r>
      <w:r>
        <w:rPr>
          <w:sz w:val="22"/>
        </w:rPr>
        <w:t>date.</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DSC </w:t>
      </w:r>
      <w:r>
        <w:rPr>
          <w:sz w:val="22"/>
        </w:rPr>
        <w:t>= number of days from the settlement to the next coupon</w:t>
      </w:r>
      <w:r>
        <w:rPr>
          <w:spacing w:val="-14"/>
          <w:sz w:val="22"/>
        </w:rPr>
        <w:t> </w:t>
      </w:r>
      <w:r>
        <w:rPr>
          <w:sz w:val="22"/>
        </w:rPr>
        <w:t>date.</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E </w:t>
      </w:r>
      <w:r>
        <w:rPr>
          <w:sz w:val="22"/>
        </w:rPr>
        <w:t>= number of days in the coupon</w:t>
      </w:r>
      <w:r>
        <w:rPr>
          <w:spacing w:val="-15"/>
          <w:sz w:val="22"/>
        </w:rPr>
        <w:t> </w:t>
      </w:r>
      <w:r>
        <w:rPr>
          <w:sz w:val="22"/>
        </w:rPr>
        <w:t>period.</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frequency </w:t>
      </w:r>
      <w:r>
        <w:rPr>
          <w:sz w:val="22"/>
        </w:rPr>
        <w:t>= argument</w:t>
      </w:r>
      <w:r>
        <w:rPr>
          <w:spacing w:val="-1"/>
          <w:sz w:val="22"/>
        </w:rPr>
        <w:t> </w:t>
      </w:r>
      <w:r>
        <w:rPr>
          <w:rFonts w:ascii="Times New Roman" w:hAnsi="Times New Roman"/>
          <w:i/>
          <w:sz w:val="22"/>
        </w:rPr>
        <w:t>frequency</w:t>
      </w:r>
    </w:p>
    <w:p>
      <w:pPr>
        <w:pStyle w:val="ListParagraph"/>
        <w:numPr>
          <w:ilvl w:val="4"/>
          <w:numId w:val="66"/>
        </w:numPr>
        <w:tabs>
          <w:tab w:pos="940" w:val="left" w:leader="none"/>
          <w:tab w:pos="941" w:val="left" w:leader="none"/>
        </w:tabs>
        <w:spacing w:line="276" w:lineRule="auto" w:before="41" w:after="0"/>
        <w:ind w:left="940" w:right="485" w:hanging="360"/>
        <w:jc w:val="left"/>
        <w:rPr>
          <w:sz w:val="22"/>
        </w:rPr>
      </w:pPr>
      <w:r>
        <w:rPr>
          <w:rFonts w:ascii="Times New Roman" w:hAnsi="Times New Roman"/>
          <w:i/>
          <w:sz w:val="22"/>
        </w:rPr>
        <w:t>N </w:t>
      </w:r>
      <w:r>
        <w:rPr>
          <w:sz w:val="22"/>
        </w:rPr>
        <w:t>= number of coupons payable between the settlement date and the redemption date.</w:t>
      </w:r>
      <w:r>
        <w:rPr>
          <w:spacing w:val="-36"/>
          <w:sz w:val="22"/>
        </w:rPr>
        <w:t> </w:t>
      </w:r>
      <w:r>
        <w:rPr>
          <w:sz w:val="22"/>
        </w:rPr>
        <w:t>(If this number contains a fraction, it is raised to the next whole</w:t>
      </w:r>
      <w:r>
        <w:rPr>
          <w:spacing w:val="-10"/>
          <w:sz w:val="22"/>
        </w:rPr>
        <w:t> </w:t>
      </w:r>
      <w:r>
        <w:rPr>
          <w:sz w:val="22"/>
        </w:rPr>
        <w:t>number.)</w:t>
      </w:r>
    </w:p>
    <w:p>
      <w:pPr>
        <w:pStyle w:val="ListParagraph"/>
        <w:numPr>
          <w:ilvl w:val="4"/>
          <w:numId w:val="66"/>
        </w:numPr>
        <w:tabs>
          <w:tab w:pos="940" w:val="left" w:leader="none"/>
          <w:tab w:pos="941" w:val="left" w:leader="none"/>
        </w:tabs>
        <w:spacing w:line="280" w:lineRule="exact" w:before="0"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4"/>
          <w:sz w:val="22"/>
        </w:rPr>
        <w:t> </w:t>
      </w:r>
      <w:r>
        <w:rPr>
          <w:rFonts w:ascii="Times New Roman" w:hAnsi="Times New Roman"/>
          <w:i/>
          <w:sz w:val="22"/>
        </w:rPr>
        <w:t>rate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5"/>
          <w:sz w:val="22"/>
        </w:rPr>
        <w:t> </w:t>
      </w:r>
      <w:r>
        <w:rPr>
          <w:rFonts w:ascii="Times New Roman" w:hAnsi="Times New Roman"/>
          <w:i/>
          <w:sz w:val="22"/>
        </w:rPr>
        <w:t>redemption</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yld </w:t>
      </w:r>
      <w:r>
        <w:rPr>
          <w:sz w:val="22"/>
        </w:rPr>
        <w:t>= argument</w:t>
      </w:r>
      <w:r>
        <w:rPr>
          <w:spacing w:val="-1"/>
          <w:sz w:val="22"/>
        </w:rPr>
        <w:t> </w:t>
      </w:r>
      <w:r>
        <w:rPr>
          <w:rFonts w:ascii="Times New Roman" w:hAnsi="Times New Roman"/>
          <w:i/>
          <w:sz w:val="22"/>
        </w:rPr>
        <w:t>yld</w:t>
      </w:r>
    </w:p>
    <w:p>
      <w:pPr>
        <w:pStyle w:val="BodyText"/>
        <w:spacing w:before="243"/>
        <w:ind w:left="220"/>
      </w:pPr>
      <w:r>
        <w:rPr/>
        <w:t>Odd long first coupon:</w:t>
      </w:r>
    </w:p>
    <w:p>
      <w:pPr>
        <w:spacing w:after="0"/>
        <w:sectPr>
          <w:type w:val="continuous"/>
          <w:pgSz w:w="12240" w:h="15840"/>
          <w:pgMar w:top="1340" w:bottom="940" w:left="860" w:right="700"/>
        </w:sectPr>
      </w:pPr>
    </w:p>
    <w:p>
      <w:pPr>
        <w:pStyle w:val="BodyText"/>
        <w:spacing w:before="10"/>
        <w:rPr>
          <w:sz w:val="11"/>
        </w:rPr>
      </w:pPr>
    </w:p>
    <w:p>
      <w:pPr>
        <w:spacing w:after="0"/>
        <w:rPr>
          <w:sz w:val="11"/>
        </w:rPr>
        <w:sectPr>
          <w:pgSz w:w="12240" w:h="15840"/>
          <w:pgMar w:header="763" w:footer="746" w:top="1340" w:bottom="940" w:left="860" w:right="700"/>
        </w:sectPr>
      </w:pPr>
    </w:p>
    <w:p>
      <w:pPr>
        <w:pStyle w:val="BodyText"/>
        <w:tabs>
          <w:tab w:pos="283" w:val="left" w:leader="none"/>
          <w:tab w:pos="945" w:val="left" w:leader="none"/>
        </w:tabs>
        <w:spacing w:line="167" w:lineRule="exact" w:before="88"/>
        <w:jc w:val="right"/>
        <w:rPr>
          <w:rFonts w:ascii="Cambria Math"/>
        </w:rPr>
      </w:pPr>
      <w:r>
        <w:rPr/>
        <w:pict>
          <v:shape style="position:absolute;margin-left:339.190002pt;margin-top:18.494118pt;width:3.9pt;height:11.1pt;mso-position-horizontal-relative:page;mso-position-vertical-relative:paragraph;z-index:251826176" type="#_x0000_t202" filled="false" stroked="false">
            <v:textbox inset="0,0,0,0">
              <w:txbxContent>
                <w:p>
                  <w:pPr>
                    <w:pStyle w:val="BodyText"/>
                    <w:spacing w:line="221" w:lineRule="exact"/>
                    <w:rPr>
                      <w:rFonts w:ascii="Cambria Math"/>
                    </w:rPr>
                  </w:pPr>
                  <w:r>
                    <w:rPr>
                      <w:rFonts w:ascii="Cambria Math"/>
                      <w:w w:val="159"/>
                    </w:rPr>
                    <w:t> </w:t>
                  </w:r>
                </w:p>
              </w:txbxContent>
            </v:textbox>
            <w10:wrap type="none"/>
          </v:shape>
        </w:pict>
      </w:r>
      <w:r>
        <w:rPr>
          <w:rFonts w:ascii="Times New Roman"/>
          <w:w w:val="100"/>
          <w:u w:val="single"/>
        </w:rPr>
        <w:t> </w:t>
      </w:r>
      <w:r>
        <w:rPr>
          <w:rFonts w:ascii="Times New Roman"/>
          <w:u w:val="single"/>
        </w:rPr>
        <w:tab/>
      </w:r>
      <w:r>
        <w:rPr>
          <w:rFonts w:ascii="Cambria Math"/>
          <w:u w:val="single"/>
        </w:rPr>
        <w:t>rate</w:t>
        <w:tab/>
      </w:r>
    </w:p>
    <w:p>
      <w:pPr>
        <w:spacing w:line="169" w:lineRule="exact" w:before="86"/>
        <w:ind w:left="295" w:right="0" w:firstLine="0"/>
        <w:jc w:val="left"/>
        <w:rPr>
          <w:rFonts w:ascii="Cambria Math" w:hAnsi="Cambria Math"/>
          <w:sz w:val="22"/>
        </w:rPr>
      </w:pPr>
      <w:r>
        <w:rPr/>
        <w:br w:type="column"/>
      </w:r>
      <w:r>
        <w:rPr>
          <w:rFonts w:ascii="Cambria Math" w:hAnsi="Cambria Math"/>
          <w:w w:val="105"/>
          <w:position w:val="-11"/>
          <w:sz w:val="22"/>
        </w:rPr>
        <w:t>∑</w:t>
      </w:r>
      <w:r>
        <w:rPr>
          <w:rFonts w:ascii="Cambria Math" w:hAnsi="Cambria Math"/>
          <w:w w:val="105"/>
          <w:position w:val="-2"/>
          <w:sz w:val="16"/>
        </w:rPr>
        <w:t>NC </w:t>
      </w:r>
      <w:r>
        <w:rPr>
          <w:rFonts w:ascii="Cambria Math" w:hAnsi="Cambria Math"/>
          <w:w w:val="105"/>
          <w:position w:val="1"/>
          <w:sz w:val="22"/>
        </w:rPr>
        <w:t>DC</w:t>
      </w:r>
      <w:r>
        <w:rPr>
          <w:rFonts w:ascii="Cambria Math" w:hAnsi="Cambria Math"/>
          <w:w w:val="105"/>
          <w:position w:val="1"/>
          <w:sz w:val="22"/>
          <w:vertAlign w:val="subscript"/>
        </w:rPr>
        <w:t>i</w:t>
      </w:r>
      <w:r>
        <w:rPr>
          <w:rFonts w:ascii="Cambria Math" w:hAnsi="Cambria Math"/>
          <w:position w:val="1"/>
          <w:sz w:val="22"/>
          <w:vertAlign w:val="baseline"/>
        </w:rPr>
        <w:t>  </w:t>
      </w:r>
      <w:r>
        <w:rPr>
          <w:rFonts w:ascii="Cambria Math" w:hAnsi="Cambria Math"/>
          <w:w w:val="159"/>
          <w:sz w:val="22"/>
          <w:vertAlign w:val="baseline"/>
        </w:rPr>
        <w:t> </w:t>
      </w:r>
    </w:p>
    <w:p>
      <w:pPr>
        <w:pStyle w:val="BodyText"/>
        <w:spacing w:before="7"/>
        <w:rPr>
          <w:rFonts w:ascii="Cambria Math"/>
          <w:sz w:val="8"/>
        </w:rPr>
      </w:pPr>
    </w:p>
    <w:p>
      <w:pPr>
        <w:pStyle w:val="BodyText"/>
        <w:spacing w:line="20" w:lineRule="exact"/>
        <w:ind w:left="741"/>
        <w:rPr>
          <w:rFonts w:ascii="Cambria Math"/>
          <w:sz w:val="2"/>
        </w:rPr>
      </w:pPr>
      <w:r>
        <w:rPr>
          <w:rFonts w:ascii="Cambria Math"/>
          <w:sz w:val="2"/>
        </w:rPr>
        <w:pict>
          <v:group style="width:16.6pt;height:.75pt;mso-position-horizontal-relative:char;mso-position-vertical-relative:line" coordorigin="0,0" coordsize="332,15">
            <v:line style="position:absolute" from="0,7" to="332,7" stroked="true" strokeweight=".71999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2" w:equalWidth="0">
            <w:col w:w="7566" w:space="40"/>
            <w:col w:w="3074"/>
          </w:cols>
        </w:sectPr>
      </w:pPr>
    </w:p>
    <w:p>
      <w:pPr>
        <w:pStyle w:val="BodyText"/>
        <w:spacing w:line="138" w:lineRule="exact"/>
        <w:jc w:val="right"/>
        <w:rPr>
          <w:rFonts w:ascii="Cambria Math"/>
        </w:rPr>
      </w:pPr>
      <w:r>
        <w:rPr/>
        <w:pict>
          <v:line style="position:absolute;mso-position-horizontal-relative:page;mso-position-vertical-relative:paragraph;z-index:-335819776" from="192.740005pt,12.391904pt" to="322.240005pt,12.391904pt" stroked="true" strokeweight=".72pt" strokecolor="#000000">
            <v:stroke dashstyle="solid"/>
            <w10:wrap type="none"/>
          </v:line>
        </w:pict>
      </w:r>
      <w:r>
        <w:rPr/>
        <w:pict>
          <v:line style="position:absolute;mso-position-horizontal-relative:page;mso-position-vertical-relative:paragraph;z-index:251822080" from="343.029999pt,12.391904pt" to="481.289999pt,12.391904pt" stroked="true" strokeweight=".72pt" strokecolor="#000000">
            <v:stroke dashstyle="solid"/>
            <w10:wrap type="none"/>
          </v:line>
        </w:pict>
      </w:r>
      <w:r>
        <w:rPr>
          <w:rFonts w:ascii="Cambria Math"/>
        </w:rPr>
        <w:t>redemption</w:t>
      </w:r>
    </w:p>
    <w:p>
      <w:pPr>
        <w:pStyle w:val="BodyText"/>
        <w:spacing w:line="138" w:lineRule="exact"/>
        <w:ind w:left="1114"/>
        <w:rPr>
          <w:rFonts w:ascii="Cambria Math" w:hAnsi="Cambria Math"/>
        </w:rPr>
      </w:pPr>
      <w:r>
        <w:rPr/>
        <w:br w:type="column"/>
      </w:r>
      <w:r>
        <w:rPr>
          <w:rFonts w:ascii="Cambria Math" w:hAnsi="Cambria Math"/>
          <w:position w:val="11"/>
        </w:rPr>
        <w:t>100 × </w:t>
      </w:r>
      <w:r>
        <w:rPr>
          <w:rFonts w:ascii="Cambria Math" w:hAnsi="Cambria Math"/>
        </w:rPr>
        <w:t>frequency </w:t>
      </w:r>
      <w:r>
        <w:rPr>
          <w:rFonts w:ascii="Cambria Math" w:hAnsi="Cambria Math"/>
          <w:position w:val="11"/>
        </w:rPr>
        <w:t>× [</w:t>
      </w:r>
    </w:p>
    <w:p>
      <w:pPr>
        <w:spacing w:line="55" w:lineRule="auto" w:before="0"/>
        <w:ind w:left="116" w:right="0" w:firstLine="0"/>
        <w:jc w:val="left"/>
        <w:rPr>
          <w:rFonts w:ascii="Cambria Math"/>
          <w:sz w:val="22"/>
        </w:rPr>
      </w:pPr>
      <w:r>
        <w:rPr/>
        <w:br w:type="column"/>
      </w:r>
      <w:r>
        <w:rPr>
          <w:rFonts w:ascii="Cambria Math"/>
          <w:w w:val="105"/>
          <w:sz w:val="16"/>
        </w:rPr>
        <w:t>i=1 </w:t>
      </w:r>
      <w:r>
        <w:rPr>
          <w:rFonts w:ascii="Cambria Math"/>
          <w:w w:val="105"/>
          <w:position w:val="-5"/>
          <w:sz w:val="22"/>
        </w:rPr>
        <w:t>NL</w:t>
      </w:r>
      <w:r>
        <w:rPr>
          <w:rFonts w:ascii="Cambria Math"/>
          <w:w w:val="105"/>
          <w:position w:val="-9"/>
          <w:sz w:val="16"/>
        </w:rPr>
        <w:t>i</w:t>
      </w:r>
      <w:r>
        <w:rPr>
          <w:rFonts w:ascii="Cambria Math"/>
          <w:w w:val="105"/>
          <w:position w:val="5"/>
          <w:sz w:val="22"/>
        </w:rPr>
        <w:t>]</w:t>
      </w:r>
      <w:r>
        <w:rPr>
          <w:rFonts w:ascii="Cambria Math"/>
          <w:w w:val="159"/>
          <w:position w:val="-5"/>
          <w:sz w:val="22"/>
        </w:rPr>
        <w:t> </w:t>
      </w:r>
    </w:p>
    <w:p>
      <w:pPr>
        <w:spacing w:after="0" w:line="55" w:lineRule="auto"/>
        <w:jc w:val="left"/>
        <w:rPr>
          <w:rFonts w:ascii="Cambria Math"/>
          <w:sz w:val="22"/>
        </w:rPr>
        <w:sectPr>
          <w:type w:val="continuous"/>
          <w:pgSz w:w="12240" w:h="15840"/>
          <w:pgMar w:top="1340" w:bottom="940" w:left="860" w:right="700"/>
          <w:cols w:num="3" w:equalWidth="0">
            <w:col w:w="4847" w:space="40"/>
            <w:col w:w="3015" w:space="39"/>
            <w:col w:w="2739"/>
          </w:cols>
        </w:sectPr>
      </w:pPr>
    </w:p>
    <w:p>
      <w:pPr>
        <w:pStyle w:val="BodyText"/>
        <w:spacing w:line="161" w:lineRule="exact"/>
        <w:ind w:left="1446"/>
        <w:rPr>
          <w:rFonts w:ascii="Cambria Math"/>
        </w:rPr>
      </w:pPr>
      <w:r>
        <w:rPr>
          <w:rFonts w:ascii="Cambria Math"/>
        </w:rPr>
        <w:t>ODDFPRICE =</w:t>
      </w:r>
    </w:p>
    <w:p>
      <w:pPr>
        <w:spacing w:line="162" w:lineRule="exact" w:before="0"/>
        <w:ind w:left="1446" w:right="0" w:firstLine="0"/>
        <w:jc w:val="left"/>
        <w:rPr>
          <w:rFonts w:ascii="Cambria Math"/>
          <w:sz w:val="22"/>
        </w:rPr>
      </w:pPr>
      <w:r>
        <w:rPr/>
        <w:br w:type="column"/>
      </w:r>
      <w:r>
        <w:rPr>
          <w:rFonts w:ascii="Times New Roman"/>
          <w:w w:val="100"/>
          <w:sz w:val="16"/>
          <w:u w:val="single"/>
        </w:rPr>
        <w:t> </w:t>
      </w:r>
      <w:r>
        <w:rPr>
          <w:rFonts w:ascii="Cambria Math"/>
          <w:w w:val="110"/>
          <w:sz w:val="16"/>
          <w:u w:val="single"/>
        </w:rPr>
        <w:t>DSC</w:t>
      </w:r>
      <w:r>
        <w:rPr>
          <w:rFonts w:ascii="Cambria Math"/>
          <w:w w:val="110"/>
          <w:position w:val="1"/>
          <w:sz w:val="16"/>
        </w:rPr>
        <w:t> </w:t>
      </w:r>
      <w:r>
        <w:rPr>
          <w:rFonts w:ascii="Cambria Math"/>
          <w:w w:val="110"/>
          <w:position w:val="8"/>
          <w:sz w:val="22"/>
        </w:rPr>
        <w:t>+</w:t>
      </w:r>
      <w:r>
        <w:rPr>
          <w:rFonts w:ascii="Cambria Math"/>
          <w:position w:val="8"/>
          <w:sz w:val="22"/>
        </w:rPr>
        <w:t> </w:t>
      </w:r>
      <w:r>
        <w:rPr>
          <w:rFonts w:ascii="Cambria Math"/>
          <w:w w:val="159"/>
          <w:position w:val="1"/>
          <w:sz w:val="22"/>
        </w:rPr>
        <w:t> </w:t>
      </w:r>
    </w:p>
    <w:p>
      <w:pPr>
        <w:spacing w:line="120" w:lineRule="exact" w:before="41"/>
        <w:ind w:left="1403" w:right="2161" w:firstLine="0"/>
        <w:jc w:val="center"/>
        <w:rPr>
          <w:rFonts w:ascii="Cambria Math"/>
          <w:sz w:val="16"/>
        </w:rPr>
      </w:pPr>
      <w:r>
        <w:rPr/>
        <w:br w:type="column"/>
      </w:r>
      <w:r>
        <w:rPr>
          <w:rFonts w:ascii="Times New Roman"/>
          <w:w w:val="100"/>
          <w:sz w:val="16"/>
          <w:u w:val="single"/>
        </w:rPr>
        <w:t> </w:t>
      </w:r>
      <w:r>
        <w:rPr>
          <w:rFonts w:ascii="Cambria Math"/>
          <w:w w:val="115"/>
          <w:sz w:val="16"/>
          <w:u w:val="single"/>
        </w:rPr>
        <w:t>DSC</w:t>
      </w:r>
    </w:p>
    <w:p>
      <w:pPr>
        <w:spacing w:after="0" w:line="120" w:lineRule="exact"/>
        <w:jc w:val="center"/>
        <w:rPr>
          <w:rFonts w:ascii="Cambria Math"/>
          <w:sz w:val="16"/>
        </w:rPr>
        <w:sectPr>
          <w:type w:val="continuous"/>
          <w:pgSz w:w="12240" w:h="15840"/>
          <w:pgMar w:top="1340" w:bottom="940" w:left="860" w:right="700"/>
          <w:cols w:num="3" w:equalWidth="0">
            <w:col w:w="2850" w:space="895"/>
            <w:col w:w="2297" w:space="677"/>
            <w:col w:w="3961"/>
          </w:cols>
        </w:sectPr>
      </w:pPr>
    </w:p>
    <w:p>
      <w:pPr>
        <w:pStyle w:val="BodyText"/>
        <w:tabs>
          <w:tab w:pos="326" w:val="left" w:leader="none"/>
          <w:tab w:pos="945" w:val="left" w:leader="none"/>
        </w:tabs>
        <w:spacing w:line="169" w:lineRule="exact" w:before="19"/>
        <w:jc w:val="right"/>
        <w:rPr>
          <w:rFonts w:ascii="Cambria Math"/>
        </w:rPr>
      </w:pPr>
      <w:r>
        <w:rPr>
          <w:rFonts w:ascii="Times New Roman"/>
          <w:w w:val="100"/>
          <w:u w:val="single"/>
        </w:rPr>
        <w:t> </w:t>
      </w:r>
      <w:r>
        <w:rPr>
          <w:rFonts w:ascii="Times New Roman"/>
          <w:u w:val="single"/>
        </w:rPr>
        <w:tab/>
      </w:r>
      <w:r>
        <w:rPr>
          <w:rFonts w:ascii="Cambria Math"/>
          <w:u w:val="single"/>
        </w:rPr>
        <w:t>yld</w:t>
        <w:tab/>
      </w:r>
    </w:p>
    <w:p>
      <w:pPr>
        <w:spacing w:line="184" w:lineRule="exact" w:before="0"/>
        <w:ind w:left="70" w:right="0" w:firstLine="0"/>
        <w:jc w:val="left"/>
        <w:rPr>
          <w:rFonts w:ascii="Cambria Math"/>
          <w:sz w:val="16"/>
        </w:rPr>
      </w:pPr>
      <w:r>
        <w:rPr/>
        <w:br w:type="column"/>
      </w:r>
      <w:r>
        <w:rPr>
          <w:rFonts w:ascii="Cambria Math"/>
          <w:spacing w:val="-2"/>
          <w:w w:val="110"/>
          <w:sz w:val="16"/>
        </w:rPr>
        <w:t>(N+N</w:t>
      </w:r>
      <w:r>
        <w:rPr>
          <w:rFonts w:ascii="Cambria Math"/>
          <w:spacing w:val="-2"/>
          <w:w w:val="110"/>
          <w:position w:val="-2"/>
          <w:sz w:val="13"/>
        </w:rPr>
        <w:t>q</w:t>
      </w:r>
      <w:r>
        <w:rPr>
          <w:rFonts w:ascii="Cambria Math"/>
          <w:spacing w:val="-2"/>
          <w:w w:val="110"/>
          <w:sz w:val="16"/>
        </w:rPr>
        <w:t>+</w:t>
      </w:r>
    </w:p>
    <w:p>
      <w:pPr>
        <w:spacing w:line="129" w:lineRule="auto" w:before="5"/>
        <w:ind w:left="61" w:right="0" w:firstLine="0"/>
        <w:jc w:val="left"/>
        <w:rPr>
          <w:rFonts w:ascii="Cambria Math"/>
          <w:sz w:val="22"/>
        </w:rPr>
      </w:pPr>
      <w:r>
        <w:rPr/>
        <w:br w:type="column"/>
      </w:r>
      <w:r>
        <w:rPr>
          <w:rFonts w:ascii="Cambria Math"/>
          <w:w w:val="115"/>
          <w:position w:val="-7"/>
          <w:sz w:val="16"/>
        </w:rPr>
        <w:t>E </w:t>
      </w:r>
      <w:r>
        <w:rPr>
          <w:rFonts w:ascii="Cambria Math"/>
          <w:w w:val="115"/>
          <w:sz w:val="16"/>
        </w:rPr>
        <w:t>)</w:t>
      </w:r>
      <w:r>
        <w:rPr>
          <w:rFonts w:ascii="Cambria Math"/>
          <w:w w:val="159"/>
          <w:position w:val="-11"/>
          <w:sz w:val="22"/>
        </w:rPr>
        <w:t> </w:t>
      </w:r>
    </w:p>
    <w:p>
      <w:pPr>
        <w:pStyle w:val="BodyText"/>
        <w:tabs>
          <w:tab w:pos="1399" w:val="left" w:leader="none"/>
          <w:tab w:pos="2019" w:val="left" w:leader="none"/>
        </w:tabs>
        <w:spacing w:line="169" w:lineRule="exact" w:before="19"/>
        <w:ind w:left="1073"/>
        <w:rPr>
          <w:rFonts w:ascii="Cambria Math"/>
        </w:rPr>
      </w:pPr>
      <w:r>
        <w:rPr/>
        <w:br w:type="column"/>
      </w:r>
      <w:r>
        <w:rPr>
          <w:rFonts w:ascii="Times New Roman"/>
          <w:w w:val="100"/>
          <w:u w:val="single"/>
        </w:rPr>
        <w:t> </w:t>
      </w:r>
      <w:r>
        <w:rPr>
          <w:rFonts w:ascii="Times New Roman"/>
          <w:u w:val="single"/>
        </w:rPr>
        <w:tab/>
      </w:r>
      <w:r>
        <w:rPr>
          <w:rFonts w:ascii="Cambria Math"/>
          <w:u w:val="single"/>
        </w:rPr>
        <w:t>yld</w:t>
        <w:tab/>
      </w:r>
    </w:p>
    <w:p>
      <w:pPr>
        <w:spacing w:line="129" w:lineRule="auto" w:before="5"/>
        <w:ind w:left="67" w:right="0" w:firstLine="0"/>
        <w:jc w:val="left"/>
        <w:rPr>
          <w:rFonts w:ascii="Cambria Math"/>
          <w:sz w:val="16"/>
        </w:rPr>
      </w:pPr>
      <w:r>
        <w:rPr/>
        <w:br w:type="column"/>
      </w:r>
      <w:r>
        <w:rPr>
          <w:rFonts w:ascii="Cambria Math"/>
          <w:w w:val="110"/>
          <w:sz w:val="16"/>
        </w:rPr>
        <w:t>N</w:t>
      </w:r>
      <w:r>
        <w:rPr>
          <w:rFonts w:ascii="Cambria Math"/>
          <w:w w:val="110"/>
          <w:position w:val="-2"/>
          <w:sz w:val="13"/>
        </w:rPr>
        <w:t>q</w:t>
      </w:r>
      <w:r>
        <w:rPr>
          <w:rFonts w:ascii="Cambria Math"/>
          <w:w w:val="110"/>
          <w:sz w:val="16"/>
        </w:rPr>
        <w:t>+ </w:t>
      </w:r>
      <w:r>
        <w:rPr>
          <w:rFonts w:ascii="Cambria Math"/>
          <w:w w:val="110"/>
          <w:position w:val="-7"/>
          <w:sz w:val="16"/>
        </w:rPr>
        <w:t>E</w:t>
      </w:r>
    </w:p>
    <w:p>
      <w:pPr>
        <w:spacing w:after="0" w:line="129" w:lineRule="auto"/>
        <w:jc w:val="left"/>
        <w:rPr>
          <w:rFonts w:ascii="Cambria Math"/>
          <w:sz w:val="16"/>
        </w:rPr>
        <w:sectPr>
          <w:type w:val="continuous"/>
          <w:pgSz w:w="12240" w:h="15840"/>
          <w:pgMar w:top="1340" w:bottom="940" w:left="860" w:right="700"/>
          <w:cols w:num="5" w:equalWidth="0">
            <w:col w:w="4433" w:space="40"/>
            <w:col w:w="718" w:space="40"/>
            <w:col w:w="434" w:space="39"/>
            <w:col w:w="2020" w:space="40"/>
            <w:col w:w="2916"/>
          </w:cols>
        </w:sectPr>
      </w:pPr>
    </w:p>
    <w:p>
      <w:pPr>
        <w:pStyle w:val="BodyText"/>
        <w:spacing w:line="150" w:lineRule="exact"/>
        <w:ind w:left="2994"/>
        <w:rPr>
          <w:rFonts w:ascii="Cambria Math"/>
        </w:rPr>
      </w:pPr>
      <w:r>
        <w:rPr>
          <w:rFonts w:ascii="Cambria Math"/>
          <w:w w:val="105"/>
        </w:rPr>
        <w:t>(1</w:t>
      </w:r>
      <w:r>
        <w:rPr>
          <w:rFonts w:ascii="Cambria Math"/>
          <w:spacing w:val="-4"/>
          <w:w w:val="105"/>
        </w:rPr>
        <w:t> </w:t>
      </w:r>
      <w:r>
        <w:rPr>
          <w:rFonts w:ascii="Cambria Math"/>
          <w:spacing w:val="-19"/>
          <w:w w:val="105"/>
        </w:rPr>
        <w:t>+</w:t>
      </w:r>
    </w:p>
    <w:p>
      <w:pPr>
        <w:pStyle w:val="BodyText"/>
        <w:spacing w:line="187" w:lineRule="exact"/>
        <w:ind w:left="2918"/>
        <w:rPr>
          <w:rFonts w:ascii="Cambria Math"/>
        </w:rPr>
      </w:pPr>
      <w:r>
        <w:rPr>
          <w:rFonts w:ascii="Cambria Math"/>
          <w:w w:val="100"/>
        </w:rPr>
        <w:t>[</w:t>
      </w:r>
    </w:p>
    <w:p>
      <w:pPr>
        <w:pStyle w:val="BodyText"/>
        <w:spacing w:before="6"/>
        <w:rPr>
          <w:rFonts w:ascii="Cambria Math"/>
          <w:sz w:val="20"/>
        </w:rPr>
      </w:pPr>
    </w:p>
    <w:p>
      <w:pPr>
        <w:spacing w:line="154" w:lineRule="exact" w:before="0"/>
        <w:ind w:left="3100" w:right="0" w:firstLine="0"/>
        <w:jc w:val="left"/>
        <w:rPr>
          <w:rFonts w:ascii="Cambria Math"/>
          <w:sz w:val="16"/>
        </w:rPr>
      </w:pPr>
      <w:r>
        <w:rPr>
          <w:rFonts w:ascii="Cambria Math"/>
          <w:w w:val="159"/>
          <w:sz w:val="22"/>
        </w:rPr>
        <w:t> </w:t>
      </w:r>
      <w:r>
        <w:rPr>
          <w:rFonts w:ascii="Cambria Math"/>
          <w:sz w:val="22"/>
        </w:rPr>
        <w:t> </w:t>
      </w:r>
      <w:r>
        <w:rPr>
          <w:rFonts w:ascii="Cambria Math"/>
          <w:spacing w:val="-6"/>
          <w:sz w:val="22"/>
        </w:rPr>
        <w:t> </w:t>
      </w:r>
      <w:r>
        <w:rPr>
          <w:rFonts w:ascii="Cambria Math"/>
          <w:w w:val="110"/>
          <w:position w:val="-5"/>
          <w:sz w:val="16"/>
        </w:rPr>
        <w:t>N</w:t>
      </w:r>
    </w:p>
    <w:p>
      <w:pPr>
        <w:pStyle w:val="BodyText"/>
        <w:spacing w:line="148" w:lineRule="exact"/>
        <w:ind w:left="3100"/>
        <w:rPr>
          <w:rFonts w:ascii="Cambria Math"/>
        </w:rPr>
      </w:pPr>
      <w:r>
        <w:rPr>
          <w:rFonts w:ascii="Cambria Math"/>
          <w:w w:val="159"/>
        </w:rPr>
        <w:t> </w:t>
      </w:r>
    </w:p>
    <w:p>
      <w:pPr>
        <w:spacing w:line="150" w:lineRule="exact" w:before="0"/>
        <w:ind w:left="8" w:right="505" w:firstLine="0"/>
        <w:jc w:val="center"/>
        <w:rPr>
          <w:rFonts w:ascii="Cambria Math"/>
          <w:sz w:val="22"/>
        </w:rPr>
      </w:pPr>
      <w:r>
        <w:rPr/>
        <w:br w:type="column"/>
      </w:r>
      <w:r>
        <w:rPr>
          <w:rFonts w:ascii="Cambria Math"/>
          <w:w w:val="120"/>
          <w:sz w:val="22"/>
        </w:rPr>
        <w:t>)</w:t>
      </w:r>
    </w:p>
    <w:p>
      <w:pPr>
        <w:pStyle w:val="BodyText"/>
        <w:tabs>
          <w:tab w:pos="2108" w:val="left" w:leader="none"/>
          <w:tab w:pos="2444" w:val="left" w:leader="none"/>
        </w:tabs>
        <w:spacing w:line="187" w:lineRule="exact"/>
        <w:ind w:left="8"/>
        <w:jc w:val="center"/>
        <w:rPr>
          <w:rFonts w:ascii="Cambria Math"/>
        </w:rPr>
      </w:pPr>
      <w:r>
        <w:rPr>
          <w:rFonts w:ascii="Cambria Math"/>
        </w:rPr>
        <w:t>frequency</w:t>
        <w:tab/>
        <w:t>]</w:t>
        <w:tab/>
      </w:r>
      <w:r>
        <w:rPr>
          <w:rFonts w:ascii="Cambria Math"/>
          <w:spacing w:val="-19"/>
        </w:rPr>
        <w:t>[</w:t>
      </w:r>
    </w:p>
    <w:p>
      <w:pPr>
        <w:pStyle w:val="BodyText"/>
        <w:tabs>
          <w:tab w:pos="1441" w:val="left" w:leader="none"/>
          <w:tab w:pos="2103" w:val="left" w:leader="none"/>
        </w:tabs>
        <w:spacing w:line="141" w:lineRule="auto" w:before="149"/>
        <w:ind w:left="534"/>
        <w:rPr>
          <w:rFonts w:ascii="Cambria Math" w:hAnsi="Cambria Math"/>
        </w:rPr>
      </w:pPr>
      <w:r>
        <w:rPr>
          <w:rFonts w:ascii="Cambria Math" w:hAnsi="Cambria Math"/>
          <w:position w:val="-12"/>
        </w:rPr>
        <w:t>100</w:t>
      </w:r>
      <w:r>
        <w:rPr>
          <w:rFonts w:ascii="Cambria Math" w:hAnsi="Cambria Math"/>
          <w:spacing w:val="2"/>
          <w:position w:val="-12"/>
        </w:rPr>
        <w:t> </w:t>
      </w:r>
      <w:r>
        <w:rPr>
          <w:rFonts w:ascii="Cambria Math" w:hAnsi="Cambria Math"/>
          <w:position w:val="-12"/>
        </w:rPr>
        <w:t>×</w:t>
      </w:r>
      <w:r>
        <w:rPr>
          <w:rFonts w:ascii="Cambria Math" w:hAnsi="Cambria Math"/>
          <w:u w:val="single"/>
        </w:rPr>
        <w:t> </w:t>
        <w:tab/>
        <w:t>rate</w:t>
        <w:tab/>
      </w:r>
    </w:p>
    <w:p>
      <w:pPr>
        <w:pStyle w:val="BodyText"/>
        <w:spacing w:line="111" w:lineRule="exact"/>
        <w:ind w:left="1158"/>
        <w:rPr>
          <w:rFonts w:ascii="Cambria Math"/>
        </w:rPr>
      </w:pPr>
      <w:r>
        <w:rPr/>
        <w:pict>
          <v:line style="position:absolute;mso-position-horizontal-relative:page;mso-position-vertical-relative:paragraph;z-index:-335817728" from="218.809998pt,11.043144pt" to="346.869998pt,11.043144pt" stroked="true" strokeweight=".72pt" strokecolor="#000000">
            <v:stroke dashstyle="solid"/>
            <w10:wrap type="none"/>
          </v:line>
        </w:pict>
      </w:r>
      <w:r>
        <w:rPr/>
        <w:pict>
          <v:line style="position:absolute;mso-position-horizontal-relative:page;mso-position-vertical-relative:paragraph;z-index:-335816704" from="399.429993pt,11.043144pt" to="446.709993pt,11.043144pt" stroked="true" strokeweight=".72pt" strokecolor="#000000">
            <v:stroke dashstyle="solid"/>
            <w10:wrap type="none"/>
          </v:line>
        </w:pict>
      </w:r>
      <w:r>
        <w:rPr/>
        <w:pict>
          <v:line style="position:absolute;mso-position-horizontal-relative:page;mso-position-vertical-relative:paragraph;z-index:-335815680" from="475.899994pt,11.043144pt" to="492.339994pt,11.043144pt" stroked="true" strokeweight=".72pt" strokecolor="#000000">
            <v:stroke dashstyle="solid"/>
            <w10:wrap type="none"/>
          </v:line>
        </w:pict>
      </w:r>
      <w:r>
        <w:rPr>
          <w:rFonts w:ascii="Cambria Math"/>
        </w:rPr>
        <w:t>frequency</w:t>
      </w:r>
    </w:p>
    <w:p>
      <w:pPr>
        <w:pStyle w:val="BodyText"/>
        <w:spacing w:line="221" w:lineRule="exact"/>
        <w:ind w:left="245"/>
        <w:rPr>
          <w:rFonts w:ascii="Cambria Math"/>
        </w:rPr>
      </w:pPr>
      <w:r>
        <w:rPr/>
        <w:br w:type="column"/>
      </w:r>
      <w:r>
        <w:rPr>
          <w:rFonts w:ascii="Cambria Math"/>
          <w:w w:val="105"/>
        </w:rPr>
        <w:t>(1 </w:t>
      </w:r>
      <w:r>
        <w:rPr>
          <w:rFonts w:ascii="Cambria Math"/>
          <w:spacing w:val="-19"/>
          <w:w w:val="105"/>
        </w:rPr>
        <w:t>+</w:t>
      </w:r>
    </w:p>
    <w:p>
      <w:pPr>
        <w:spacing w:line="150" w:lineRule="exact" w:before="0"/>
        <w:ind w:left="0" w:right="1890" w:firstLine="0"/>
        <w:jc w:val="center"/>
        <w:rPr>
          <w:rFonts w:ascii="Cambria Math"/>
          <w:sz w:val="22"/>
        </w:rPr>
      </w:pPr>
      <w:r>
        <w:rPr/>
        <w:br w:type="column"/>
      </w:r>
      <w:r>
        <w:rPr>
          <w:rFonts w:ascii="Cambria Math"/>
          <w:w w:val="120"/>
          <w:sz w:val="22"/>
        </w:rPr>
        <w:t>)</w:t>
      </w:r>
    </w:p>
    <w:p>
      <w:pPr>
        <w:pStyle w:val="BodyText"/>
        <w:tabs>
          <w:tab w:pos="1990" w:val="left" w:leader="none"/>
        </w:tabs>
        <w:spacing w:line="187" w:lineRule="exact"/>
        <w:ind w:right="1823"/>
        <w:jc w:val="center"/>
        <w:rPr>
          <w:rFonts w:ascii="Cambria Math"/>
        </w:rPr>
      </w:pPr>
      <w:r>
        <w:rPr>
          <w:rFonts w:ascii="Cambria Math"/>
        </w:rPr>
        <w:t>frequency</w:t>
        <w:tab/>
        <w:t>]</w:t>
      </w:r>
    </w:p>
    <w:p>
      <w:pPr>
        <w:pStyle w:val="BodyText"/>
        <w:spacing w:before="10"/>
        <w:rPr>
          <w:rFonts w:ascii="Cambria Math"/>
          <w:sz w:val="19"/>
        </w:rPr>
      </w:pPr>
    </w:p>
    <w:p>
      <w:pPr>
        <w:spacing w:line="146" w:lineRule="exact" w:before="0"/>
        <w:ind w:left="0" w:right="493" w:firstLine="0"/>
        <w:jc w:val="center"/>
        <w:rPr>
          <w:rFonts w:ascii="Cambria Math"/>
          <w:sz w:val="16"/>
        </w:rPr>
      </w:pPr>
      <w:r>
        <w:rPr>
          <w:rFonts w:ascii="Cambria Math"/>
          <w:w w:val="110"/>
          <w:sz w:val="16"/>
        </w:rPr>
        <w:t>NC</w:t>
      </w:r>
    </w:p>
    <w:p>
      <w:pPr>
        <w:pStyle w:val="BodyText"/>
        <w:tabs>
          <w:tab w:pos="1950" w:val="left" w:leader="none"/>
        </w:tabs>
        <w:spacing w:line="163" w:lineRule="exact"/>
        <w:ind w:left="642"/>
        <w:rPr>
          <w:rFonts w:ascii="Cambria Math"/>
          <w:sz w:val="16"/>
        </w:rPr>
      </w:pPr>
      <w:r>
        <w:rPr>
          <w:rFonts w:ascii="Cambria Math"/>
          <w:w w:val="105"/>
        </w:rPr>
        <w:t>rate</w:t>
        <w:tab/>
        <w:t>A</w:t>
      </w:r>
      <w:r>
        <w:rPr>
          <w:rFonts w:ascii="Cambria Math"/>
          <w:w w:val="105"/>
          <w:position w:val="-4"/>
          <w:sz w:val="16"/>
        </w:rPr>
        <w:t>i</w:t>
      </w:r>
    </w:p>
    <w:p>
      <w:pPr>
        <w:spacing w:after="0" w:line="163" w:lineRule="exact"/>
        <w:rPr>
          <w:rFonts w:ascii="Cambria Math"/>
          <w:sz w:val="16"/>
        </w:rPr>
        <w:sectPr>
          <w:type w:val="continuous"/>
          <w:pgSz w:w="12240" w:h="15840"/>
          <w:pgMar w:top="1340" w:bottom="940" w:left="860" w:right="700"/>
          <w:cols w:num="4" w:equalWidth="0">
            <w:col w:w="3439" w:space="40"/>
            <w:col w:w="2523" w:space="39"/>
            <w:col w:w="689" w:space="40"/>
            <w:col w:w="3910"/>
          </w:cols>
        </w:sectPr>
      </w:pPr>
    </w:p>
    <w:p>
      <w:pPr>
        <w:pStyle w:val="BodyText"/>
        <w:spacing w:line="221" w:lineRule="exact"/>
        <w:jc w:val="right"/>
        <w:rPr>
          <w:rFonts w:ascii="Cambria Math" w:hAnsi="Cambria Math"/>
        </w:rPr>
      </w:pPr>
      <w:r>
        <w:rPr>
          <w:rFonts w:ascii="Cambria Math" w:hAnsi="Cambria Math"/>
          <w:w w:val="120"/>
        </w:rPr>
        <w:t>+</w:t>
      </w:r>
      <w:r>
        <w:rPr>
          <w:rFonts w:ascii="Cambria Math" w:hAnsi="Cambria Math"/>
          <w:w w:val="120"/>
          <w:position w:val="-6"/>
        </w:rPr>
        <w:t> </w:t>
      </w:r>
      <w:r>
        <w:rPr>
          <w:rFonts w:ascii="Cambria Math" w:hAnsi="Cambria Math"/>
          <w:w w:val="170"/>
        </w:rPr>
        <w:t>∑</w:t>
      </w:r>
    </w:p>
    <w:p>
      <w:pPr>
        <w:pStyle w:val="BodyText"/>
        <w:spacing w:line="222" w:lineRule="exact"/>
        <w:ind w:left="2116" w:right="1547"/>
        <w:jc w:val="center"/>
        <w:rPr>
          <w:rFonts w:ascii="Cambria Math" w:hAnsi="Cambria Math"/>
        </w:rPr>
      </w:pPr>
      <w:r>
        <w:rPr/>
        <w:br w:type="column"/>
      </w:r>
      <w:r>
        <w:rPr>
          <w:rFonts w:ascii="Times New Roman" w:hAnsi="Times New Roman"/>
          <w:w w:val="100"/>
          <w:position w:val="7"/>
          <w:sz w:val="16"/>
          <w:u w:val="single"/>
        </w:rPr>
        <w:t> </w:t>
      </w:r>
      <w:r>
        <w:rPr>
          <w:rFonts w:ascii="Cambria Math" w:hAnsi="Cambria Math"/>
          <w:w w:val="110"/>
          <w:position w:val="7"/>
          <w:sz w:val="16"/>
          <w:u w:val="single"/>
        </w:rPr>
        <w:t>DSC</w:t>
      </w:r>
      <w:r>
        <w:rPr>
          <w:rFonts w:ascii="Cambria Math" w:hAnsi="Cambria Math"/>
          <w:w w:val="110"/>
          <w:position w:val="7"/>
          <w:sz w:val="16"/>
        </w:rPr>
        <w:t> </w:t>
      </w:r>
      <w:r>
        <w:rPr>
          <w:rFonts w:ascii="Cambria Math" w:hAnsi="Cambria Math"/>
          <w:w w:val="110"/>
          <w:position w:val="15"/>
        </w:rPr>
        <w:t>− [100 × </w:t>
      </w:r>
      <w:r>
        <w:rPr>
          <w:rFonts w:ascii="Cambria Math" w:hAnsi="Cambria Math"/>
          <w:w w:val="110"/>
        </w:rPr>
        <w:t>frequency </w:t>
      </w:r>
      <w:r>
        <w:rPr>
          <w:rFonts w:ascii="Cambria Math" w:hAnsi="Cambria Math"/>
          <w:w w:val="110"/>
          <w:position w:val="15"/>
        </w:rPr>
        <w:t>× </w:t>
      </w:r>
      <w:r>
        <w:rPr>
          <w:rFonts w:ascii="Cambria Math" w:hAnsi="Cambria Math"/>
          <w:w w:val="160"/>
          <w:position w:val="15"/>
        </w:rPr>
        <w:t>∑ </w:t>
      </w:r>
      <w:r>
        <w:rPr>
          <w:rFonts w:ascii="Cambria Math" w:hAnsi="Cambria Math"/>
          <w:w w:val="110"/>
        </w:rPr>
        <w:t>NL </w:t>
      </w:r>
      <w:r>
        <w:rPr>
          <w:rFonts w:ascii="Cambria Math" w:hAnsi="Cambria Math"/>
          <w:w w:val="110"/>
          <w:position w:val="15"/>
        </w:rPr>
        <w:t>]</w:t>
      </w:r>
    </w:p>
    <w:p>
      <w:pPr>
        <w:spacing w:after="0" w:line="222" w:lineRule="exact"/>
        <w:jc w:val="center"/>
        <w:rPr>
          <w:rFonts w:ascii="Cambria Math" w:hAnsi="Cambria Math"/>
        </w:rPr>
        <w:sectPr>
          <w:type w:val="continuous"/>
          <w:pgSz w:w="12240" w:h="15840"/>
          <w:pgMar w:top="1340" w:bottom="940" w:left="860" w:right="700"/>
          <w:cols w:num="2" w:equalWidth="0">
            <w:col w:w="3476" w:space="40"/>
            <w:col w:w="7164"/>
          </w:cols>
        </w:sectPr>
      </w:pPr>
    </w:p>
    <w:p>
      <w:pPr>
        <w:spacing w:line="110" w:lineRule="exact" w:before="78"/>
        <w:ind w:left="0" w:right="0" w:firstLine="0"/>
        <w:jc w:val="right"/>
        <w:rPr>
          <w:rFonts w:ascii="Cambria Math"/>
          <w:sz w:val="16"/>
        </w:rPr>
      </w:pPr>
      <w:r>
        <w:rPr>
          <w:rFonts w:ascii="Cambria Math"/>
          <w:w w:val="159"/>
          <w:sz w:val="22"/>
        </w:rPr>
        <w:t> </w:t>
      </w:r>
      <w:r>
        <w:rPr>
          <w:rFonts w:ascii="Cambria Math"/>
          <w:w w:val="105"/>
          <w:position w:val="1"/>
          <w:sz w:val="16"/>
        </w:rPr>
        <w:t>k=1</w:t>
      </w:r>
    </w:p>
    <w:p>
      <w:pPr>
        <w:pStyle w:val="BodyText"/>
        <w:tabs>
          <w:tab w:pos="814" w:val="left" w:leader="none"/>
          <w:tab w:pos="1434" w:val="left" w:leader="none"/>
        </w:tabs>
        <w:spacing w:line="169" w:lineRule="exact" w:before="19"/>
        <w:ind w:left="488"/>
        <w:rPr>
          <w:rFonts w:ascii="Cambria Math"/>
        </w:rPr>
      </w:pPr>
      <w:r>
        <w:rPr/>
        <w:br w:type="column"/>
      </w:r>
      <w:r>
        <w:rPr>
          <w:rFonts w:ascii="Times New Roman"/>
          <w:w w:val="100"/>
          <w:u w:val="single"/>
        </w:rPr>
        <w:t> </w:t>
      </w:r>
      <w:r>
        <w:rPr>
          <w:rFonts w:ascii="Times New Roman"/>
          <w:u w:val="single"/>
        </w:rPr>
        <w:tab/>
      </w:r>
      <w:r>
        <w:rPr>
          <w:rFonts w:ascii="Cambria Math"/>
          <w:u w:val="single"/>
        </w:rPr>
        <w:t>yld</w:t>
        <w:tab/>
      </w:r>
    </w:p>
    <w:p>
      <w:pPr>
        <w:spacing w:line="184" w:lineRule="exact" w:before="0"/>
        <w:ind w:left="67" w:right="0" w:firstLine="0"/>
        <w:jc w:val="left"/>
        <w:rPr>
          <w:rFonts w:ascii="Cambria Math" w:hAnsi="Cambria Math"/>
          <w:sz w:val="16"/>
        </w:rPr>
      </w:pPr>
      <w:r>
        <w:rPr/>
        <w:br w:type="column"/>
      </w:r>
      <w:r>
        <w:rPr>
          <w:rFonts w:ascii="Cambria Math" w:hAnsi="Cambria Math"/>
          <w:spacing w:val="-2"/>
          <w:w w:val="110"/>
          <w:sz w:val="16"/>
        </w:rPr>
        <w:t>(k−N</w:t>
      </w:r>
      <w:r>
        <w:rPr>
          <w:rFonts w:ascii="Cambria Math" w:hAnsi="Cambria Math"/>
          <w:spacing w:val="-2"/>
          <w:w w:val="110"/>
          <w:position w:val="-2"/>
          <w:sz w:val="13"/>
        </w:rPr>
        <w:t>q</w:t>
      </w:r>
      <w:r>
        <w:rPr>
          <w:rFonts w:ascii="Cambria Math" w:hAnsi="Cambria Math"/>
          <w:spacing w:val="-2"/>
          <w:w w:val="110"/>
          <w:sz w:val="16"/>
        </w:rPr>
        <w:t>+</w:t>
      </w:r>
    </w:p>
    <w:p>
      <w:pPr>
        <w:spacing w:line="129" w:lineRule="auto" w:before="5"/>
        <w:ind w:left="61" w:right="0" w:firstLine="0"/>
        <w:jc w:val="left"/>
        <w:rPr>
          <w:rFonts w:ascii="Cambria Math"/>
          <w:sz w:val="22"/>
        </w:rPr>
      </w:pPr>
      <w:r>
        <w:rPr/>
        <w:br w:type="column"/>
      </w:r>
      <w:r>
        <w:rPr>
          <w:rFonts w:ascii="Cambria Math"/>
          <w:w w:val="115"/>
          <w:position w:val="-7"/>
          <w:sz w:val="16"/>
        </w:rPr>
        <w:t>E </w:t>
      </w:r>
      <w:r>
        <w:rPr>
          <w:rFonts w:ascii="Cambria Math"/>
          <w:w w:val="115"/>
          <w:sz w:val="16"/>
        </w:rPr>
        <w:t>)</w:t>
      </w:r>
      <w:r>
        <w:rPr>
          <w:rFonts w:ascii="Cambria Math"/>
          <w:w w:val="159"/>
          <w:position w:val="-11"/>
          <w:sz w:val="22"/>
        </w:rPr>
        <w:t> </w:t>
      </w:r>
    </w:p>
    <w:p>
      <w:pPr>
        <w:tabs>
          <w:tab w:pos="1026" w:val="left" w:leader="none"/>
        </w:tabs>
        <w:spacing w:line="188" w:lineRule="exact" w:before="0"/>
        <w:ind w:left="442" w:right="0" w:firstLine="0"/>
        <w:jc w:val="center"/>
        <w:rPr>
          <w:rFonts w:ascii="Cambria Math"/>
          <w:sz w:val="16"/>
        </w:rPr>
      </w:pPr>
      <w:r>
        <w:rPr/>
        <w:br w:type="column"/>
      </w:r>
      <w:r>
        <w:rPr>
          <w:rFonts w:ascii="Cambria Math"/>
          <w:w w:val="110"/>
          <w:sz w:val="16"/>
        </w:rPr>
        <w:t>i=1</w:t>
        <w:tab/>
      </w:r>
      <w:r>
        <w:rPr>
          <w:rFonts w:ascii="Cambria Math"/>
          <w:w w:val="110"/>
          <w:position w:val="9"/>
          <w:sz w:val="16"/>
        </w:rPr>
        <w:t>i</w:t>
      </w:r>
    </w:p>
    <w:p>
      <w:pPr>
        <w:spacing w:after="0" w:line="188" w:lineRule="exact"/>
        <w:jc w:val="center"/>
        <w:rPr>
          <w:rFonts w:ascii="Cambria Math"/>
          <w:sz w:val="16"/>
        </w:rPr>
        <w:sectPr>
          <w:type w:val="continuous"/>
          <w:pgSz w:w="12240" w:h="15840"/>
          <w:pgMar w:top="1340" w:bottom="940" w:left="860" w:right="700"/>
          <w:cols w:num="5" w:equalWidth="0">
            <w:col w:w="3483" w:space="40"/>
            <w:col w:w="1435" w:space="39"/>
            <w:col w:w="689" w:space="39"/>
            <w:col w:w="435" w:space="40"/>
            <w:col w:w="4480"/>
          </w:cols>
        </w:sectPr>
      </w:pPr>
    </w:p>
    <w:p>
      <w:pPr>
        <w:pStyle w:val="BodyText"/>
        <w:tabs>
          <w:tab w:pos="415" w:val="left" w:leader="none"/>
        </w:tabs>
        <w:spacing w:line="196" w:lineRule="auto"/>
        <w:jc w:val="right"/>
        <w:rPr>
          <w:rFonts w:ascii="Cambria Math"/>
        </w:rPr>
      </w:pPr>
      <w:r>
        <w:rPr>
          <w:rFonts w:ascii="Cambria Math"/>
          <w:w w:val="105"/>
          <w:position w:val="-11"/>
        </w:rPr>
        <w:t>[</w:t>
        <w:tab/>
      </w:r>
      <w:r>
        <w:rPr>
          <w:rFonts w:ascii="Cambria Math"/>
          <w:w w:val="105"/>
        </w:rPr>
        <w:t>(1</w:t>
      </w:r>
      <w:r>
        <w:rPr>
          <w:rFonts w:ascii="Cambria Math"/>
          <w:spacing w:val="-3"/>
          <w:w w:val="105"/>
        </w:rPr>
        <w:t> </w:t>
      </w:r>
      <w:r>
        <w:rPr>
          <w:rFonts w:ascii="Cambria Math"/>
          <w:w w:val="105"/>
        </w:rPr>
        <w:t>+</w:t>
      </w:r>
    </w:p>
    <w:p>
      <w:pPr>
        <w:spacing w:line="149" w:lineRule="exact" w:before="0"/>
        <w:ind w:left="954" w:right="0" w:firstLine="0"/>
        <w:jc w:val="left"/>
        <w:rPr>
          <w:rFonts w:ascii="Cambria Math"/>
          <w:sz w:val="22"/>
        </w:rPr>
      </w:pPr>
      <w:r>
        <w:rPr/>
        <w:br w:type="column"/>
      </w:r>
      <w:r>
        <w:rPr>
          <w:rFonts w:ascii="Cambria Math"/>
          <w:w w:val="120"/>
          <w:sz w:val="22"/>
        </w:rPr>
        <w:t>)</w:t>
      </w:r>
    </w:p>
    <w:p>
      <w:pPr>
        <w:pStyle w:val="BodyText"/>
        <w:tabs>
          <w:tab w:pos="2080" w:val="left" w:leader="none"/>
        </w:tabs>
        <w:spacing w:line="187" w:lineRule="exact"/>
        <w:ind w:left="8"/>
        <w:rPr>
          <w:rFonts w:ascii="Cambria Math"/>
        </w:rPr>
      </w:pPr>
      <w:r>
        <w:rPr>
          <w:rFonts w:ascii="Cambria Math"/>
        </w:rPr>
        <w:t>frequency</w:t>
        <w:tab/>
        <w:t>]</w:t>
      </w:r>
    </w:p>
    <w:p>
      <w:pPr>
        <w:spacing w:after="0" w:line="187" w:lineRule="exact"/>
        <w:rPr>
          <w:rFonts w:ascii="Cambria Math"/>
        </w:rPr>
        <w:sectPr>
          <w:type w:val="continuous"/>
          <w:pgSz w:w="12240" w:h="15840"/>
          <w:pgMar w:top="1340" w:bottom="940" w:left="860" w:right="700"/>
          <w:cols w:num="2" w:equalWidth="0">
            <w:col w:w="3962" w:space="40"/>
            <w:col w:w="6678"/>
          </w:cols>
        </w:sectPr>
      </w:pPr>
    </w:p>
    <w:p>
      <w:pPr>
        <w:pStyle w:val="BodyText"/>
        <w:rPr>
          <w:rFonts w:ascii="Cambria Math"/>
          <w:sz w:val="20"/>
        </w:rPr>
      </w:pPr>
    </w:p>
    <w:p>
      <w:pPr>
        <w:pStyle w:val="BodyText"/>
        <w:rPr>
          <w:rFonts w:ascii="Cambria Math"/>
          <w:sz w:val="20"/>
        </w:rPr>
      </w:pPr>
    </w:p>
    <w:p>
      <w:pPr>
        <w:pStyle w:val="BodyText"/>
        <w:spacing w:before="8"/>
        <w:rPr>
          <w:rFonts w:ascii="Cambria Math"/>
          <w:sz w:val="18"/>
        </w:rPr>
      </w:pPr>
    </w:p>
    <w:p>
      <w:pPr>
        <w:pStyle w:val="BodyText"/>
        <w:spacing w:before="57"/>
        <w:ind w:left="220"/>
      </w:pPr>
      <w:r>
        <w:rPr/>
        <w:t>where:</w:t>
      </w:r>
    </w:p>
    <w:p>
      <w:pPr>
        <w:pStyle w:val="BodyText"/>
        <w:spacing w:before="6"/>
        <w:rPr>
          <w:sz w:val="19"/>
        </w:rPr>
      </w:pPr>
    </w:p>
    <w:p>
      <w:pPr>
        <w:pStyle w:val="ListParagraph"/>
        <w:numPr>
          <w:ilvl w:val="0"/>
          <w:numId w:val="105"/>
        </w:numPr>
        <w:tabs>
          <w:tab w:pos="940" w:val="left" w:leader="none"/>
          <w:tab w:pos="941" w:val="left" w:leader="none"/>
        </w:tabs>
        <w:spacing w:line="240" w:lineRule="auto" w:before="0" w:after="0"/>
        <w:ind w:left="940" w:right="0" w:hanging="361"/>
        <w:jc w:val="left"/>
        <w:rPr>
          <w:sz w:val="22"/>
        </w:rPr>
      </w:pPr>
      <w:r>
        <w:rPr>
          <w:rFonts w:ascii="Cambria Math" w:hAnsi="Cambria Math"/>
          <w:sz w:val="22"/>
        </w:rPr>
        <w:t>A</w:t>
      </w:r>
      <w:r>
        <w:rPr>
          <w:rFonts w:ascii="Cambria Math" w:hAnsi="Cambria Math"/>
          <w:position w:val="-4"/>
          <w:sz w:val="16"/>
        </w:rPr>
        <w:t>i </w:t>
      </w:r>
      <w:r>
        <w:rPr>
          <w:sz w:val="22"/>
        </w:rPr>
        <w:t>= number of days from the beginning of the ith, or last, quasi-coupon period within odd</w:t>
      </w:r>
      <w:r>
        <w:rPr>
          <w:spacing w:val="-31"/>
          <w:sz w:val="22"/>
        </w:rPr>
        <w:t> </w:t>
      </w:r>
      <w:r>
        <w:rPr>
          <w:sz w:val="22"/>
        </w:rPr>
        <w:t>period.</w:t>
      </w:r>
    </w:p>
    <w:p>
      <w:pPr>
        <w:pStyle w:val="ListParagraph"/>
        <w:numPr>
          <w:ilvl w:val="0"/>
          <w:numId w:val="105"/>
        </w:numPr>
        <w:tabs>
          <w:tab w:pos="940" w:val="left" w:leader="none"/>
          <w:tab w:pos="941" w:val="left" w:leader="none"/>
        </w:tabs>
        <w:spacing w:line="252" w:lineRule="auto" w:before="15" w:after="0"/>
        <w:ind w:left="940" w:right="597" w:hanging="360"/>
        <w:jc w:val="left"/>
        <w:rPr>
          <w:sz w:val="22"/>
        </w:rPr>
      </w:pPr>
      <w:r>
        <w:rPr>
          <w:rFonts w:ascii="Cambria Math" w:hAnsi="Cambria Math"/>
          <w:sz w:val="22"/>
        </w:rPr>
        <w:t>DC</w:t>
      </w:r>
      <w:r>
        <w:rPr>
          <w:rFonts w:ascii="Cambria Math" w:hAnsi="Cambria Math"/>
          <w:position w:val="-4"/>
          <w:sz w:val="16"/>
        </w:rPr>
        <w:t>i </w:t>
      </w:r>
      <w:r>
        <w:rPr>
          <w:sz w:val="22"/>
        </w:rPr>
        <w:t>= number of days from dated date (or issue date) to first quasi-coupon (i = 1) or number of days in quasi-coupon (i = 2,…, i =</w:t>
      </w:r>
      <w:r>
        <w:rPr>
          <w:spacing w:val="-9"/>
          <w:sz w:val="22"/>
        </w:rPr>
        <w:t> </w:t>
      </w:r>
      <w:r>
        <w:rPr>
          <w:sz w:val="22"/>
        </w:rPr>
        <w:t>NC).</w:t>
      </w:r>
    </w:p>
    <w:p>
      <w:pPr>
        <w:pStyle w:val="ListParagraph"/>
        <w:numPr>
          <w:ilvl w:val="0"/>
          <w:numId w:val="105"/>
        </w:numPr>
        <w:tabs>
          <w:tab w:pos="940" w:val="left" w:leader="none"/>
          <w:tab w:pos="941" w:val="left" w:leader="none"/>
        </w:tabs>
        <w:spacing w:line="240" w:lineRule="auto" w:before="27" w:after="0"/>
        <w:ind w:left="940" w:right="0" w:hanging="361"/>
        <w:jc w:val="left"/>
        <w:rPr>
          <w:sz w:val="22"/>
        </w:rPr>
      </w:pPr>
      <w:r>
        <w:rPr>
          <w:rFonts w:ascii="Times New Roman" w:hAnsi="Times New Roman"/>
          <w:i/>
          <w:sz w:val="22"/>
        </w:rPr>
        <w:t>DSC </w:t>
      </w:r>
      <w:r>
        <w:rPr>
          <w:sz w:val="22"/>
        </w:rPr>
        <w:t>= number of days from settlement to next coupon</w:t>
      </w:r>
      <w:r>
        <w:rPr>
          <w:spacing w:val="-16"/>
          <w:sz w:val="22"/>
        </w:rPr>
        <w:t> </w:t>
      </w:r>
      <w:r>
        <w:rPr>
          <w:sz w:val="22"/>
        </w:rPr>
        <w:t>date.</w:t>
      </w:r>
    </w:p>
    <w:p>
      <w:pPr>
        <w:pStyle w:val="ListParagraph"/>
        <w:numPr>
          <w:ilvl w:val="0"/>
          <w:numId w:val="105"/>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E </w:t>
      </w:r>
      <w:r>
        <w:rPr>
          <w:sz w:val="22"/>
        </w:rPr>
        <w:t>= number of days in coupon</w:t>
      </w:r>
      <w:r>
        <w:rPr>
          <w:spacing w:val="-12"/>
          <w:sz w:val="22"/>
        </w:rPr>
        <w:t> </w:t>
      </w:r>
      <w:r>
        <w:rPr>
          <w:sz w:val="22"/>
        </w:rPr>
        <w:t>period.</w:t>
      </w:r>
    </w:p>
    <w:p>
      <w:pPr>
        <w:pStyle w:val="ListParagraph"/>
        <w:numPr>
          <w:ilvl w:val="0"/>
          <w:numId w:val="105"/>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frequency </w:t>
      </w:r>
      <w:r>
        <w:rPr>
          <w:sz w:val="22"/>
        </w:rPr>
        <w:t>= argument</w:t>
      </w:r>
      <w:r>
        <w:rPr>
          <w:spacing w:val="-1"/>
          <w:sz w:val="22"/>
        </w:rPr>
        <w:t> </w:t>
      </w:r>
      <w:r>
        <w:rPr>
          <w:rFonts w:ascii="Times New Roman" w:hAnsi="Times New Roman"/>
          <w:i/>
          <w:sz w:val="22"/>
        </w:rPr>
        <w:t>frequency</w:t>
      </w:r>
    </w:p>
    <w:p>
      <w:pPr>
        <w:pStyle w:val="ListParagraph"/>
        <w:numPr>
          <w:ilvl w:val="0"/>
          <w:numId w:val="105"/>
        </w:numPr>
        <w:tabs>
          <w:tab w:pos="940" w:val="left" w:leader="none"/>
          <w:tab w:pos="941" w:val="left" w:leader="none"/>
        </w:tabs>
        <w:spacing w:line="273" w:lineRule="auto" w:before="41" w:after="0"/>
        <w:ind w:left="940" w:right="1102" w:hanging="360"/>
        <w:jc w:val="left"/>
        <w:rPr>
          <w:sz w:val="22"/>
        </w:rPr>
      </w:pPr>
      <w:r>
        <w:rPr>
          <w:rFonts w:ascii="Times New Roman" w:hAnsi="Times New Roman"/>
          <w:i/>
          <w:sz w:val="22"/>
        </w:rPr>
        <w:t>N </w:t>
      </w:r>
      <w:r>
        <w:rPr>
          <w:sz w:val="22"/>
        </w:rPr>
        <w:t>= number of coupons payable between the first real coupon</w:t>
      </w:r>
      <w:r>
        <w:rPr>
          <w:spacing w:val="-36"/>
          <w:sz w:val="22"/>
        </w:rPr>
        <w:t> </w:t>
      </w:r>
      <w:r>
        <w:rPr>
          <w:sz w:val="22"/>
        </w:rPr>
        <w:t>date and redemption date. (If this number contains a fraction, it is raised to the next whole</w:t>
      </w:r>
      <w:r>
        <w:rPr>
          <w:spacing w:val="-7"/>
          <w:sz w:val="22"/>
        </w:rPr>
        <w:t> </w:t>
      </w:r>
      <w:r>
        <w:rPr>
          <w:sz w:val="22"/>
        </w:rPr>
        <w:t>number.)</w:t>
      </w:r>
    </w:p>
    <w:p>
      <w:pPr>
        <w:pStyle w:val="ListParagraph"/>
        <w:numPr>
          <w:ilvl w:val="0"/>
          <w:numId w:val="105"/>
        </w:numPr>
        <w:tabs>
          <w:tab w:pos="940" w:val="left" w:leader="none"/>
          <w:tab w:pos="941" w:val="left" w:leader="none"/>
        </w:tabs>
        <w:spacing w:line="276" w:lineRule="auto" w:before="5" w:after="0"/>
        <w:ind w:left="940" w:right="852" w:hanging="360"/>
        <w:jc w:val="left"/>
        <w:rPr>
          <w:sz w:val="22"/>
        </w:rPr>
      </w:pPr>
      <w:r>
        <w:rPr>
          <w:rFonts w:ascii="Times New Roman" w:hAnsi="Times New Roman"/>
          <w:i/>
          <w:sz w:val="22"/>
        </w:rPr>
        <w:t>NC</w:t>
      </w:r>
      <w:r>
        <w:rPr>
          <w:rFonts w:ascii="Times New Roman" w:hAnsi="Times New Roman"/>
          <w:i/>
          <w:spacing w:val="-38"/>
          <w:sz w:val="22"/>
        </w:rPr>
        <w:t> </w:t>
      </w:r>
      <w:r>
        <w:rPr>
          <w:sz w:val="22"/>
        </w:rPr>
        <w:t>= number of quasi-coupon periods that fit in odd period. (If this number contains a fraction, it is raised to the next whole</w:t>
      </w:r>
      <w:r>
        <w:rPr>
          <w:spacing w:val="-2"/>
          <w:sz w:val="22"/>
        </w:rPr>
        <w:t> </w:t>
      </w:r>
      <w:r>
        <w:rPr>
          <w:sz w:val="22"/>
        </w:rPr>
        <w:t>number.)</w:t>
      </w:r>
    </w:p>
    <w:p>
      <w:pPr>
        <w:pStyle w:val="ListParagraph"/>
        <w:numPr>
          <w:ilvl w:val="0"/>
          <w:numId w:val="105"/>
        </w:numPr>
        <w:tabs>
          <w:tab w:pos="940" w:val="left" w:leader="none"/>
          <w:tab w:pos="941" w:val="left" w:leader="none"/>
        </w:tabs>
        <w:spacing w:line="306" w:lineRule="exact" w:before="0" w:after="0"/>
        <w:ind w:left="940" w:right="0" w:hanging="361"/>
        <w:jc w:val="left"/>
        <w:rPr>
          <w:sz w:val="22"/>
        </w:rPr>
      </w:pPr>
      <w:r>
        <w:rPr>
          <w:rFonts w:ascii="Cambria Math" w:hAnsi="Cambria Math"/>
          <w:sz w:val="22"/>
        </w:rPr>
        <w:t>NL</w:t>
      </w:r>
      <w:r>
        <w:rPr>
          <w:rFonts w:ascii="Cambria Math" w:hAnsi="Cambria Math"/>
          <w:position w:val="-4"/>
          <w:sz w:val="16"/>
        </w:rPr>
        <w:t>i </w:t>
      </w:r>
      <w:r>
        <w:rPr>
          <w:sz w:val="22"/>
        </w:rPr>
        <w:t>= normal length in days of the full ith, or last, quasi-coupon period within odd</w:t>
      </w:r>
      <w:r>
        <w:rPr>
          <w:spacing w:val="-32"/>
          <w:sz w:val="22"/>
        </w:rPr>
        <w:t> </w:t>
      </w:r>
      <w:r>
        <w:rPr>
          <w:sz w:val="22"/>
        </w:rPr>
        <w:t>period.</w:t>
      </w:r>
    </w:p>
    <w:p>
      <w:pPr>
        <w:pStyle w:val="ListParagraph"/>
        <w:numPr>
          <w:ilvl w:val="0"/>
          <w:numId w:val="105"/>
        </w:numPr>
        <w:tabs>
          <w:tab w:pos="940" w:val="left" w:leader="none"/>
          <w:tab w:pos="941" w:val="left" w:leader="none"/>
        </w:tabs>
        <w:spacing w:line="240" w:lineRule="auto" w:before="15" w:after="0"/>
        <w:ind w:left="940" w:right="0" w:hanging="361"/>
        <w:jc w:val="left"/>
        <w:rPr>
          <w:sz w:val="22"/>
        </w:rPr>
      </w:pPr>
      <w:r>
        <w:rPr>
          <w:rFonts w:ascii="Cambria Math" w:hAnsi="Cambria Math"/>
          <w:sz w:val="22"/>
        </w:rPr>
        <w:t>N</w:t>
      </w:r>
      <w:r>
        <w:rPr>
          <w:rFonts w:ascii="Cambria Math" w:hAnsi="Cambria Math"/>
          <w:position w:val="-4"/>
          <w:sz w:val="16"/>
        </w:rPr>
        <w:t>q </w:t>
      </w:r>
      <w:r>
        <w:rPr>
          <w:sz w:val="22"/>
        </w:rPr>
        <w:t>= number of whole quasi-coupon periods between settlement date and first</w:t>
      </w:r>
      <w:r>
        <w:rPr>
          <w:spacing w:val="-21"/>
          <w:sz w:val="22"/>
        </w:rPr>
        <w:t> </w:t>
      </w:r>
      <w:r>
        <w:rPr>
          <w:sz w:val="22"/>
        </w:rPr>
        <w:t>coupon.</w:t>
      </w:r>
    </w:p>
    <w:p>
      <w:pPr>
        <w:pStyle w:val="ListParagraph"/>
        <w:numPr>
          <w:ilvl w:val="0"/>
          <w:numId w:val="105"/>
        </w:numPr>
        <w:tabs>
          <w:tab w:pos="940" w:val="left" w:leader="none"/>
          <w:tab w:pos="941" w:val="left" w:leader="none"/>
        </w:tabs>
        <w:spacing w:line="240" w:lineRule="auto" w:before="34"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4"/>
          <w:sz w:val="22"/>
        </w:rPr>
        <w:t> </w:t>
      </w:r>
      <w:r>
        <w:rPr>
          <w:rFonts w:ascii="Times New Roman" w:hAnsi="Times New Roman"/>
          <w:i/>
          <w:sz w:val="22"/>
        </w:rPr>
        <w:t>rate</w:t>
      </w:r>
    </w:p>
    <w:p>
      <w:pPr>
        <w:pStyle w:val="ListParagraph"/>
        <w:numPr>
          <w:ilvl w:val="0"/>
          <w:numId w:val="105"/>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5"/>
          <w:sz w:val="22"/>
        </w:rPr>
        <w:t> </w:t>
      </w:r>
      <w:r>
        <w:rPr>
          <w:rFonts w:ascii="Times New Roman" w:hAnsi="Times New Roman"/>
          <w:i/>
          <w:sz w:val="22"/>
        </w:rPr>
        <w:t>redemption</w:t>
      </w:r>
    </w:p>
    <w:p>
      <w:pPr>
        <w:pStyle w:val="ListParagraph"/>
        <w:numPr>
          <w:ilvl w:val="0"/>
          <w:numId w:val="105"/>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yld </w:t>
      </w:r>
      <w:r>
        <w:rPr>
          <w:sz w:val="22"/>
        </w:rPr>
        <w:t>= argument</w:t>
      </w:r>
      <w:r>
        <w:rPr>
          <w:spacing w:val="-1"/>
          <w:sz w:val="22"/>
        </w:rPr>
        <w:t> </w:t>
      </w:r>
      <w:r>
        <w:rPr>
          <w:rFonts w:ascii="Times New Roman" w:hAnsi="Times New Roman"/>
          <w:i/>
          <w:sz w:val="22"/>
        </w:rPr>
        <w:t>yld</w:t>
      </w:r>
    </w:p>
    <w:p>
      <w:pPr>
        <w:pStyle w:val="Heading4"/>
        <w:spacing w:before="242"/>
        <w:rPr>
          <w:b w:val="0"/>
        </w:rPr>
      </w:pPr>
      <w:r>
        <w:rPr>
          <w:b w:val="0"/>
        </w:rPr>
        <w:t>…</w:t>
      </w: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sz w:val="22"/>
              </w:rPr>
              <w:t>settlement</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maturity date.</w:t>
            </w:r>
          </w:p>
        </w:tc>
      </w:tr>
      <w:tr>
        <w:trPr>
          <w:trHeight w:val="355" w:hRule="atLeast"/>
        </w:trPr>
        <w:tc>
          <w:tcPr>
            <w:tcW w:w="1466" w:type="dxa"/>
          </w:tcPr>
          <w:p>
            <w:pPr>
              <w:pStyle w:val="TableParagraph"/>
              <w:spacing w:before="37"/>
              <w:rPr>
                <w:rFonts w:ascii="Times New Roman"/>
                <w:i/>
                <w:sz w:val="22"/>
              </w:rPr>
            </w:pPr>
            <w:r>
              <w:rPr>
                <w:rFonts w:ascii="Times New Roman"/>
                <w:i/>
                <w:sz w:val="22"/>
              </w:rPr>
              <w:t>issue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issue date.</w:t>
            </w:r>
          </w:p>
        </w:tc>
      </w:tr>
      <w:tr>
        <w:trPr>
          <w:trHeight w:val="354" w:hRule="atLeast"/>
        </w:trPr>
        <w:tc>
          <w:tcPr>
            <w:tcW w:w="1466" w:type="dxa"/>
          </w:tcPr>
          <w:p>
            <w:pPr>
              <w:pStyle w:val="TableParagraph"/>
              <w:spacing w:before="37"/>
              <w:rPr>
                <w:rFonts w:ascii="Times New Roman"/>
                <w:i/>
                <w:sz w:val="22"/>
              </w:rPr>
            </w:pPr>
            <w:r>
              <w:rPr>
                <w:rFonts w:ascii="Times New Roman"/>
                <w:i/>
                <w:sz w:val="22"/>
              </w:rPr>
              <w:t>first-coupon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first coupon date.</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interest rate.</w:t>
            </w:r>
          </w:p>
        </w:tc>
      </w:tr>
      <w:tr>
        <w:trPr>
          <w:trHeight w:val="354" w:hRule="atLeast"/>
        </w:trPr>
        <w:tc>
          <w:tcPr>
            <w:tcW w:w="1466" w:type="dxa"/>
          </w:tcPr>
          <w:p>
            <w:pPr>
              <w:pStyle w:val="TableParagraph"/>
              <w:spacing w:before="37"/>
              <w:rPr>
                <w:rFonts w:ascii="Times New Roman"/>
                <w:i/>
                <w:sz w:val="22"/>
              </w:rPr>
            </w:pPr>
            <w:r>
              <w:rPr>
                <w:rFonts w:ascii="Times New Roman"/>
                <w:i/>
                <w:sz w:val="22"/>
              </w:rPr>
              <w:t>yld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annual yield.</w:t>
            </w:r>
          </w:p>
        </w:tc>
      </w:tr>
      <w:tr>
        <w:trPr>
          <w:trHeight w:val="623"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400" w:type="dxa"/>
          </w:tcPr>
          <w:p>
            <w:pPr>
              <w:pStyle w:val="TableParagraph"/>
              <w:ind w:left="113" w:right="341"/>
              <w:rPr>
                <w:sz w:val="22"/>
              </w:rPr>
            </w:pPr>
            <w:r>
              <w:rPr>
                <w:sz w:val="22"/>
              </w:rPr>
              <w:t>The security's redemption value per 100 currency units face value.</w:t>
            </w:r>
          </w:p>
        </w:tc>
      </w:tr>
      <w:tr>
        <w:trPr>
          <w:trHeight w:val="354"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coupon payments per year. (For annual</w:t>
            </w:r>
          </w:p>
        </w:tc>
      </w:tr>
    </w:tbl>
    <w:p>
      <w:pPr>
        <w:spacing w:after="0"/>
        <w:rPr>
          <w:sz w:val="22"/>
        </w:rPr>
        <w:sectPr>
          <w:type w:val="continuous"/>
          <w:pgSz w:w="12240" w:h="15840"/>
          <w:pgMar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399" w:type="dxa"/>
            <w:gridSpan w:val="4"/>
          </w:tcPr>
          <w:p>
            <w:pPr>
              <w:pStyle w:val="TableParagraph"/>
              <w:ind w:left="113"/>
              <w:rPr>
                <w:sz w:val="22"/>
              </w:rPr>
            </w:pPr>
            <w:r>
              <w:rPr>
                <w:sz w:val="22"/>
              </w:rPr>
              <w:t>payments, </w:t>
            </w:r>
            <w:r>
              <w:rPr>
                <w:rFonts w:ascii="Times New Roman"/>
                <w:i/>
                <w:sz w:val="22"/>
              </w:rPr>
              <w:t>frequency </w:t>
            </w:r>
            <w:r>
              <w:rPr>
                <w:sz w:val="22"/>
              </w:rPr>
              <w:t>is 1; for semiannual payments,</w:t>
            </w:r>
          </w:p>
          <w:p>
            <w:pPr>
              <w:pStyle w:val="TableParagraph"/>
              <w:spacing w:before="0"/>
              <w:ind w:left="113"/>
              <w:rPr>
                <w:sz w:val="22"/>
              </w:rPr>
            </w:pPr>
            <w:r>
              <w:rPr>
                <w:rFonts w:ascii="Times New Roman"/>
                <w:i/>
                <w:sz w:val="22"/>
              </w:rPr>
              <w:t>frequency </w:t>
            </w:r>
            <w:r>
              <w:rPr>
                <w:sz w:val="22"/>
              </w:rPr>
              <w:t>is 2; for quarterly payments, </w:t>
            </w:r>
            <w:r>
              <w:rPr>
                <w:rFonts w:ascii="Times New Roman"/>
                <w:i/>
                <w:sz w:val="22"/>
              </w:rPr>
              <w:t>frequency </w:t>
            </w:r>
            <w:r>
              <w:rPr>
                <w:sz w:val="22"/>
              </w:rPr>
              <w:t>is 4.)</w:t>
            </w:r>
          </w:p>
        </w:tc>
      </w:tr>
      <w:tr>
        <w:trPr>
          <w:trHeight w:val="846"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spacing w:before="42"/>
              <w:ind w:left="629" w:right="618"/>
              <w:jc w:val="center"/>
              <w:rPr>
                <w:b/>
                <w:sz w:val="22"/>
              </w:rPr>
            </w:pPr>
            <w:r>
              <w:rPr>
                <w:b/>
                <w:sz w:val="22"/>
              </w:rPr>
              <w:t>Value</w:t>
            </w:r>
          </w:p>
        </w:tc>
        <w:tc>
          <w:tcPr>
            <w:tcW w:w="2340" w:type="dxa"/>
            <w:shd w:val="clear" w:color="auto" w:fill="C0C0C0"/>
          </w:tcPr>
          <w:p>
            <w:pPr>
              <w:pStyle w:val="TableParagraph"/>
              <w:spacing w:before="42"/>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8"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06"/>
              </w:numPr>
              <w:tabs>
                <w:tab w:pos="838" w:val="left" w:leader="none"/>
              </w:tabs>
              <w:spacing w:line="240" w:lineRule="auto" w:before="2"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06"/>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255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945"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95"/>
              <w:ind w:left="116"/>
              <w:rPr>
                <w:rFonts w:ascii="Consolas"/>
                <w:sz w:val="22"/>
              </w:rPr>
            </w:pPr>
            <w:r>
              <w:rPr>
                <w:rFonts w:ascii="Consolas"/>
                <w:w w:val="100"/>
                <w:sz w:val="22"/>
              </w:rPr>
              <w:t>2</w:t>
            </w:r>
          </w:p>
        </w:tc>
        <w:tc>
          <w:tcPr>
            <w:tcW w:w="2340" w:type="dxa"/>
          </w:tcPr>
          <w:p>
            <w:pPr>
              <w:pStyle w:val="TableParagraph"/>
              <w:spacing w:before="92"/>
              <w:ind w:left="117" w:right="252"/>
              <w:rPr>
                <w:sz w:val="22"/>
              </w:rPr>
            </w:pPr>
            <w:r>
              <w:rPr>
                <w:sz w:val="22"/>
              </w:rPr>
              <w:t>Actual/360. Similar to Basis 1, but only has 360 days per year.</w:t>
            </w:r>
          </w:p>
        </w:tc>
        <w:tc>
          <w:tcPr>
            <w:tcW w:w="403" w:type="dxa"/>
            <w:vMerge w:val="restart"/>
          </w:tcPr>
          <w:p>
            <w:pPr>
              <w:pStyle w:val="TableParagraph"/>
              <w:spacing w:before="0"/>
              <w:ind w:left="0"/>
              <w:rPr>
                <w:rFonts w:ascii="Times New Roman"/>
                <w:sz w:val="2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07"/>
              </w:numPr>
              <w:tabs>
                <w:tab w:pos="1197" w:val="left" w:leader="none"/>
                <w:tab w:pos="1198" w:val="left" w:leader="none"/>
              </w:tabs>
              <w:spacing w:line="240" w:lineRule="auto" w:before="0" w:after="0"/>
              <w:ind w:left="1197" w:right="98"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07"/>
              </w:numPr>
              <w:tabs>
                <w:tab w:pos="1197" w:val="left" w:leader="none"/>
                <w:tab w:pos="1198" w:val="left" w:leader="none"/>
              </w:tabs>
              <w:spacing w:line="237" w:lineRule="auto" w:before="4" w:after="0"/>
              <w:ind w:left="1197" w:right="101" w:hanging="360"/>
              <w:jc w:val="left"/>
              <w:rPr>
                <w:sz w:val="22"/>
              </w:rPr>
            </w:pPr>
            <w:r>
              <w:rPr>
                <w:sz w:val="22"/>
              </w:rPr>
              <w:t>For </w:t>
            </w:r>
            <w:r>
              <w:rPr>
                <w:spacing w:val="-3"/>
                <w:sz w:val="22"/>
              </w:rPr>
              <w:t>months </w:t>
            </w:r>
            <w:r>
              <w:rPr>
                <w:sz w:val="22"/>
              </w:rPr>
              <w:t>with</w:t>
            </w:r>
          </w:p>
          <w:p>
            <w:pPr>
              <w:pStyle w:val="TableParagraph"/>
              <w:spacing w:before="2"/>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6"/>
        <w:rPr>
          <w:sz w:val="19"/>
        </w:rPr>
      </w:pPr>
    </w:p>
    <w:p>
      <w:pPr>
        <w:pStyle w:val="BodyText"/>
        <w:spacing w:line="278" w:lineRule="auto"/>
        <w:ind w:left="220" w:right="458"/>
      </w:pPr>
      <w:r>
        <w:rPr>
          <w:b/>
        </w:rPr>
        <w:t>Return Type and Value</w:t>
      </w:r>
      <w:r>
        <w:rPr/>
        <w:t>: number – The price per 100 currency units face value of a security having an odd (short or long) first period.</w:t>
      </w:r>
    </w:p>
    <w:p>
      <w:pPr>
        <w:pStyle w:val="BodyText"/>
        <w:spacing w:before="198"/>
        <w:ind w:left="220"/>
      </w:pPr>
      <w:r>
        <w:rPr/>
        <w:t>However, if</w:t>
      </w:r>
    </w:p>
    <w:p>
      <w:pPr>
        <w:spacing w:after="0"/>
        <w:sectPr>
          <w:pgSz w:w="12240" w:h="15840"/>
          <w:pgMar w:header="763" w:footer="746" w:top="1340" w:bottom="940" w:left="860" w:right="700"/>
        </w:sectPr>
      </w:pPr>
    </w:p>
    <w:p>
      <w:pPr>
        <w:pStyle w:val="ListParagraph"/>
        <w:numPr>
          <w:ilvl w:val="0"/>
          <w:numId w:val="105"/>
        </w:numPr>
        <w:tabs>
          <w:tab w:pos="940" w:val="left" w:leader="none"/>
          <w:tab w:pos="941" w:val="left" w:leader="none"/>
        </w:tabs>
        <w:spacing w:line="240" w:lineRule="auto" w:before="91" w:after="0"/>
        <w:ind w:left="940" w:right="0" w:hanging="361"/>
        <w:jc w:val="left"/>
        <w:rPr>
          <w:sz w:val="22"/>
        </w:rPr>
      </w:pPr>
      <w:r>
        <w:rPr>
          <w:rFonts w:ascii="Times New Roman" w:hAnsi="Times New Roman"/>
          <w:i/>
          <w:sz w:val="22"/>
        </w:rPr>
        <w:t>settlement</w:t>
      </w:r>
      <w:r>
        <w:rPr>
          <w:sz w:val="22"/>
        </w:rPr>
        <w:t>, </w:t>
      </w:r>
      <w:r>
        <w:rPr>
          <w:rFonts w:ascii="Times New Roman" w:hAnsi="Times New Roman"/>
          <w:i/>
          <w:sz w:val="22"/>
        </w:rPr>
        <w:t>maturity</w:t>
      </w:r>
      <w:r>
        <w:rPr>
          <w:sz w:val="22"/>
        </w:rPr>
        <w:t>, </w:t>
      </w:r>
      <w:r>
        <w:rPr>
          <w:rFonts w:ascii="Times New Roman" w:hAnsi="Times New Roman"/>
          <w:i/>
          <w:sz w:val="22"/>
        </w:rPr>
        <w:t>issue</w:t>
      </w:r>
      <w:r>
        <w:rPr>
          <w:sz w:val="22"/>
        </w:rPr>
        <w:t>, or </w:t>
      </w:r>
      <w:r>
        <w:rPr>
          <w:rFonts w:ascii="Times New Roman" w:hAnsi="Times New Roman"/>
          <w:i/>
          <w:sz w:val="22"/>
        </w:rPr>
        <w:t>first-coupon </w:t>
      </w:r>
      <w:r>
        <w:rPr>
          <w:sz w:val="22"/>
        </w:rPr>
        <w:t>is out of range for the current date system, </w:t>
      </w:r>
      <w:r>
        <w:rPr>
          <w:rFonts w:ascii="Consolas" w:hAnsi="Consolas"/>
          <w:sz w:val="22"/>
        </w:rPr>
        <w:t>#NUM!</w:t>
      </w:r>
      <w:r>
        <w:rPr>
          <w:rFonts w:ascii="Consolas" w:hAnsi="Consolas"/>
          <w:spacing w:val="-102"/>
          <w:sz w:val="22"/>
        </w:rPr>
        <w:t> </w:t>
      </w:r>
      <w:r>
        <w:rPr>
          <w:sz w:val="22"/>
        </w:rPr>
        <w:t>is returned.</w:t>
      </w:r>
    </w:p>
    <w:p>
      <w:pPr>
        <w:pStyle w:val="ListParagraph"/>
        <w:numPr>
          <w:ilvl w:val="0"/>
          <w:numId w:val="105"/>
        </w:numPr>
        <w:tabs>
          <w:tab w:pos="940" w:val="left" w:leader="none"/>
          <w:tab w:pos="941" w:val="left" w:leader="none"/>
        </w:tabs>
        <w:spacing w:line="273" w:lineRule="auto" w:before="41" w:after="0"/>
        <w:ind w:left="940" w:right="488" w:hanging="360"/>
        <w:jc w:val="left"/>
        <w:rPr>
          <w:sz w:val="22"/>
        </w:rPr>
      </w:pPr>
      <w:r>
        <w:rPr>
          <w:sz w:val="22"/>
        </w:rPr>
        <w:t>The following is not true: </w:t>
      </w:r>
      <w:r>
        <w:rPr>
          <w:rFonts w:ascii="Times New Roman" w:hAnsi="Times New Roman"/>
          <w:i/>
          <w:sz w:val="22"/>
        </w:rPr>
        <w:t>maturity </w:t>
      </w:r>
      <w:r>
        <w:rPr>
          <w:sz w:val="22"/>
        </w:rPr>
        <w:t>is later than </w:t>
      </w:r>
      <w:r>
        <w:rPr>
          <w:rFonts w:ascii="Times New Roman" w:hAnsi="Times New Roman"/>
          <w:i/>
          <w:sz w:val="22"/>
        </w:rPr>
        <w:t>first-coupon</w:t>
      </w:r>
      <w:r>
        <w:rPr>
          <w:sz w:val="22"/>
        </w:rPr>
        <w:t>, which is later than </w:t>
      </w:r>
      <w:r>
        <w:rPr>
          <w:rFonts w:ascii="Times New Roman" w:hAnsi="Times New Roman"/>
          <w:i/>
          <w:sz w:val="22"/>
        </w:rPr>
        <w:t>settlement</w:t>
      </w:r>
      <w:r>
        <w:rPr>
          <w:sz w:val="22"/>
        </w:rPr>
        <w:t>, which is</w:t>
      </w:r>
      <w:r>
        <w:rPr>
          <w:spacing w:val="-29"/>
          <w:sz w:val="22"/>
        </w:rPr>
        <w:t> </w:t>
      </w:r>
      <w:r>
        <w:rPr>
          <w:sz w:val="22"/>
        </w:rPr>
        <w:t>later than </w:t>
      </w:r>
      <w:r>
        <w:rPr>
          <w:rFonts w:ascii="Times New Roman" w:hAnsi="Times New Roman"/>
          <w:i/>
          <w:sz w:val="22"/>
        </w:rPr>
        <w:t>issue</w:t>
      </w:r>
      <w:r>
        <w:rPr>
          <w:sz w:val="22"/>
        </w:rPr>
        <w:t>, so </w:t>
      </w:r>
      <w:r>
        <w:rPr>
          <w:rFonts w:ascii="Consolas" w:hAnsi="Consolas"/>
          <w:sz w:val="22"/>
        </w:rPr>
        <w:t>#NUM!</w:t>
      </w:r>
      <w:r>
        <w:rPr>
          <w:rFonts w:ascii="Consolas" w:hAnsi="Consolas"/>
          <w:spacing w:val="-77"/>
          <w:sz w:val="22"/>
        </w:rPr>
        <w:t> </w:t>
      </w:r>
      <w:r>
        <w:rPr>
          <w:sz w:val="22"/>
        </w:rPr>
        <w:t>is returned.</w:t>
      </w:r>
    </w:p>
    <w:p>
      <w:pPr>
        <w:pStyle w:val="ListParagraph"/>
        <w:numPr>
          <w:ilvl w:val="0"/>
          <w:numId w:val="105"/>
        </w:numPr>
        <w:tabs>
          <w:tab w:pos="940" w:val="left" w:leader="none"/>
          <w:tab w:pos="941" w:val="left" w:leader="none"/>
        </w:tabs>
        <w:spacing w:line="240" w:lineRule="auto" w:before="5" w:after="0"/>
        <w:ind w:left="940" w:right="0" w:hanging="361"/>
        <w:jc w:val="left"/>
        <w:rPr>
          <w:sz w:val="22"/>
        </w:rPr>
      </w:pPr>
      <w:r>
        <w:rPr>
          <w:rFonts w:ascii="Times New Roman" w:hAnsi="Times New Roman"/>
          <w:i/>
          <w:sz w:val="22"/>
        </w:rPr>
        <w:t>rate </w:t>
      </w:r>
      <w:r>
        <w:rPr>
          <w:sz w:val="22"/>
        </w:rPr>
        <w:t>or </w:t>
      </w:r>
      <w:r>
        <w:rPr>
          <w:rFonts w:ascii="Times New Roman" w:hAnsi="Times New Roman"/>
          <w:i/>
          <w:sz w:val="22"/>
        </w:rPr>
        <w:t>yld </w:t>
      </w:r>
      <w:r>
        <w:rPr>
          <w:sz w:val="22"/>
        </w:rPr>
        <w:t>&lt; 0, </w:t>
      </w:r>
      <w:r>
        <w:rPr>
          <w:rFonts w:ascii="Consolas" w:hAnsi="Consolas"/>
          <w:sz w:val="22"/>
        </w:rPr>
        <w:t>#NUM!</w:t>
      </w:r>
      <w:r>
        <w:rPr>
          <w:rFonts w:ascii="Consolas" w:hAnsi="Consolas"/>
          <w:spacing w:val="-83"/>
          <w:sz w:val="22"/>
        </w:rPr>
        <w:t> </w:t>
      </w:r>
      <w:r>
        <w:rPr>
          <w:sz w:val="22"/>
        </w:rPr>
        <w:t>is returned.</w:t>
      </w:r>
    </w:p>
    <w:p>
      <w:pPr>
        <w:pStyle w:val="ListParagraph"/>
        <w:numPr>
          <w:ilvl w:val="0"/>
          <w:numId w:val="105"/>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redemption </w:t>
      </w:r>
      <w:r>
        <w:rPr>
          <w:sz w:val="22"/>
        </w:rPr>
        <w:t>≤ 0, </w:t>
      </w:r>
      <w:r>
        <w:rPr>
          <w:rFonts w:ascii="Consolas" w:hAnsi="Consolas"/>
          <w:sz w:val="22"/>
        </w:rPr>
        <w:t>#NUM!</w:t>
      </w:r>
      <w:r>
        <w:rPr>
          <w:rFonts w:ascii="Consolas" w:hAnsi="Consolas"/>
          <w:spacing w:val="-70"/>
          <w:sz w:val="22"/>
        </w:rPr>
        <w:t> </w:t>
      </w:r>
      <w:r>
        <w:rPr>
          <w:sz w:val="22"/>
        </w:rPr>
        <w:t>is returned.</w:t>
      </w:r>
    </w:p>
    <w:p>
      <w:pPr>
        <w:pStyle w:val="ListParagraph"/>
        <w:numPr>
          <w:ilvl w:val="0"/>
          <w:numId w:val="105"/>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0"/>
          <w:numId w:val="105"/>
        </w:numPr>
        <w:tabs>
          <w:tab w:pos="940" w:val="left" w:leader="none"/>
          <w:tab w:pos="941" w:val="left" w:leader="none"/>
        </w:tabs>
        <w:spacing w:line="446" w:lineRule="auto" w:before="39"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3" w:lineRule="auto" w:before="131"/>
        <w:ind w:left="462" w:hanging="243"/>
        <w:rPr>
          <w:rFonts w:ascii="Consolas"/>
        </w:rPr>
      </w:pPr>
      <w:r>
        <w:rPr>
          <w:rFonts w:ascii="Consolas"/>
          <w:spacing w:val="-1"/>
        </w:rPr>
        <w:t>ODDFPRICE(DATE(2008,11,11),DATE(2021,3,1),DATE(2008,10,15),DATE(2009,3,1), </w:t>
      </w:r>
      <w:r>
        <w:rPr>
          <w:rFonts w:ascii="Consolas"/>
        </w:rPr>
        <w:t>0.0785,0.0625,100,2,1)</w:t>
      </w:r>
      <w:r>
        <w:rPr>
          <w:rFonts w:ascii="Consolas"/>
          <w:spacing w:val="-71"/>
        </w:rPr>
        <w:t> </w:t>
      </w:r>
      <w:r>
        <w:rPr/>
        <w:t>results in </w:t>
      </w:r>
      <w:r>
        <w:rPr>
          <w:rFonts w:ascii="Consolas"/>
        </w:rPr>
        <w:t>113.5977</w:t>
      </w:r>
    </w:p>
    <w:p>
      <w:pPr>
        <w:pStyle w:val="BodyText"/>
        <w:spacing w:before="10"/>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42 ODDFYIELD" w:id="2118"/>
      <w:bookmarkEnd w:id="2118"/>
      <w:r>
        <w:rPr/>
      </w:r>
      <w:bookmarkStart w:name="_bookmark705" w:id="2119"/>
      <w:bookmarkEnd w:id="2119"/>
      <w:r>
        <w:rPr/>
      </w:r>
      <w:bookmarkStart w:name="_bookmark705" w:id="2120"/>
      <w:bookmarkEnd w:id="2120"/>
      <w:r>
        <w:rPr>
          <w:color w:val="4F81BC"/>
        </w:rPr>
        <w:t>O</w:t>
      </w:r>
      <w:r>
        <w:rPr>
          <w:color w:val="4F81BC"/>
        </w:rPr>
        <w:t>DDFYIELD</w:t>
      </w:r>
    </w:p>
    <w:p>
      <w:pPr>
        <w:pStyle w:val="Heading4"/>
        <w:spacing w:before="122"/>
        <w:rPr>
          <w:b w:val="0"/>
        </w:rPr>
      </w:pPr>
      <w:r>
        <w:rPr/>
        <w:t>Syntax</w:t>
      </w:r>
      <w:r>
        <w:rPr>
          <w:b w:val="0"/>
        </w:rPr>
        <w:t>:</w:t>
      </w:r>
    </w:p>
    <w:p>
      <w:pPr>
        <w:pStyle w:val="BodyText"/>
        <w:rPr>
          <w:sz w:val="19"/>
        </w:rPr>
      </w:pPr>
    </w:p>
    <w:p>
      <w:pPr>
        <w:spacing w:line="259" w:lineRule="exact" w:before="1"/>
        <w:ind w:left="940" w:right="0" w:firstLine="0"/>
        <w:jc w:val="left"/>
        <w:rPr>
          <w:rFonts w:ascii="Lucida Console"/>
          <w:sz w:val="20"/>
        </w:rPr>
      </w:pPr>
      <w:r>
        <w:rPr>
          <w:rFonts w:ascii="Lucida Console"/>
          <w:sz w:val="20"/>
        </w:rPr>
        <w:t>ODDFYIELD ( </w:t>
      </w:r>
      <w:r>
        <w:rPr>
          <w:i/>
          <w:sz w:val="22"/>
        </w:rPr>
        <w:t>settlement </w:t>
      </w:r>
      <w:r>
        <w:rPr>
          <w:rFonts w:ascii="Lucida Console"/>
          <w:sz w:val="20"/>
        </w:rPr>
        <w:t>, </w:t>
      </w:r>
      <w:r>
        <w:rPr>
          <w:i/>
          <w:sz w:val="22"/>
        </w:rPr>
        <w:t>maturity  </w:t>
      </w:r>
      <w:r>
        <w:rPr>
          <w:rFonts w:ascii="Lucida Console"/>
          <w:sz w:val="20"/>
        </w:rPr>
        <w:t>, </w:t>
      </w:r>
      <w:r>
        <w:rPr>
          <w:i/>
          <w:sz w:val="22"/>
        </w:rPr>
        <w:t>issue </w:t>
      </w:r>
      <w:r>
        <w:rPr>
          <w:rFonts w:ascii="Lucida Console"/>
          <w:sz w:val="20"/>
        </w:rPr>
        <w:t>, </w:t>
      </w:r>
      <w:r>
        <w:rPr>
          <w:i/>
          <w:sz w:val="22"/>
        </w:rPr>
        <w:t>first-coupon </w:t>
      </w:r>
      <w:r>
        <w:rPr>
          <w:rFonts w:ascii="Lucida Console"/>
          <w:sz w:val="20"/>
        </w:rPr>
        <w:t>, </w:t>
      </w:r>
      <w:r>
        <w:rPr>
          <w:i/>
          <w:sz w:val="22"/>
        </w:rPr>
        <w:t>rate </w:t>
      </w:r>
      <w:r>
        <w:rPr>
          <w:rFonts w:ascii="Lucida Console"/>
          <w:sz w:val="20"/>
        </w:rPr>
        <w:t>, </w:t>
      </w:r>
      <w:r>
        <w:rPr>
          <w:i/>
          <w:sz w:val="22"/>
        </w:rPr>
        <w:t>pr </w:t>
      </w:r>
      <w:r>
        <w:rPr>
          <w:rFonts w:ascii="Lucida Console"/>
          <w:sz w:val="20"/>
        </w:rPr>
        <w:t>, </w:t>
      </w:r>
      <w:r>
        <w:rPr>
          <w:i/>
          <w:sz w:val="22"/>
        </w:rPr>
        <w:t>redemption </w:t>
      </w:r>
      <w:r>
        <w:rPr>
          <w:rFonts w:ascii="Lucida Console"/>
          <w:sz w:val="20"/>
        </w:rPr>
        <w:t>,</w:t>
      </w:r>
    </w:p>
    <w:p>
      <w:pPr>
        <w:spacing w:line="259" w:lineRule="exact" w:before="0"/>
        <w:ind w:left="1300" w:right="0" w:firstLine="0"/>
        <w:jc w:val="left"/>
        <w:rPr>
          <w:rFonts w:ascii="Lucida Console"/>
          <w:sz w:val="20"/>
        </w:rPr>
      </w:pPr>
      <w:r>
        <w:rPr>
          <w:i/>
          <w:sz w:val="22"/>
        </w:rPr>
        <w:t>frequency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yield of a security that has an odd (short or long) first period.</w:t>
      </w:r>
    </w:p>
    <w:p>
      <w:pPr>
        <w:pStyle w:val="BodyText"/>
        <w:spacing w:before="8"/>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issue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issue date.</w:t>
            </w:r>
          </w:p>
        </w:tc>
      </w:tr>
      <w:tr>
        <w:trPr>
          <w:trHeight w:val="354" w:hRule="atLeast"/>
        </w:trPr>
        <w:tc>
          <w:tcPr>
            <w:tcW w:w="1466" w:type="dxa"/>
          </w:tcPr>
          <w:p>
            <w:pPr>
              <w:pStyle w:val="TableParagraph"/>
              <w:spacing w:before="37"/>
              <w:rPr>
                <w:rFonts w:ascii="Times New Roman"/>
                <w:i/>
                <w:sz w:val="22"/>
              </w:rPr>
            </w:pPr>
            <w:r>
              <w:rPr>
                <w:rFonts w:ascii="Times New Roman"/>
                <w:i/>
                <w:sz w:val="22"/>
              </w:rPr>
              <w:t>first-coupon</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first coupon date.</w:t>
            </w:r>
          </w:p>
        </w:tc>
      </w:tr>
      <w:tr>
        <w:trPr>
          <w:trHeight w:val="352"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interest rate.</w:t>
            </w:r>
          </w:p>
        </w:tc>
      </w:tr>
      <w:tr>
        <w:trPr>
          <w:trHeight w:val="354" w:hRule="atLeast"/>
        </w:trPr>
        <w:tc>
          <w:tcPr>
            <w:tcW w:w="1466" w:type="dxa"/>
          </w:tcPr>
          <w:p>
            <w:pPr>
              <w:pStyle w:val="TableParagraph"/>
              <w:spacing w:before="39"/>
              <w:rPr>
                <w:rFonts w:ascii="Times New Roman"/>
                <w:i/>
                <w:sz w:val="22"/>
              </w:rPr>
            </w:pPr>
            <w:r>
              <w:rPr>
                <w:rFonts w:ascii="Times New Roman"/>
                <w:i/>
                <w:sz w:val="22"/>
              </w:rPr>
              <w:t>pr</w:t>
            </w:r>
          </w:p>
        </w:tc>
        <w:tc>
          <w:tcPr>
            <w:tcW w:w="1800" w:type="dxa"/>
          </w:tcPr>
          <w:p>
            <w:pPr>
              <w:pStyle w:val="TableParagraph"/>
              <w:spacing w:before="42"/>
              <w:ind w:left="112"/>
              <w:rPr>
                <w:sz w:val="22"/>
              </w:rPr>
            </w:pPr>
            <w:r>
              <w:rPr>
                <w:sz w:val="22"/>
              </w:rPr>
              <w:t>number</w:t>
            </w:r>
          </w:p>
        </w:tc>
        <w:tc>
          <w:tcPr>
            <w:tcW w:w="5399" w:type="dxa"/>
            <w:gridSpan w:val="4"/>
          </w:tcPr>
          <w:p>
            <w:pPr>
              <w:pStyle w:val="TableParagraph"/>
              <w:spacing w:before="42"/>
              <w:ind w:left="113"/>
              <w:rPr>
                <w:sz w:val="22"/>
              </w:rPr>
            </w:pPr>
            <w:r>
              <w:rPr>
                <w:sz w:val="22"/>
              </w:rPr>
              <w:t>The security's price.</w:t>
            </w:r>
          </w:p>
        </w:tc>
      </w:tr>
      <w:tr>
        <w:trPr>
          <w:trHeight w:val="623"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399" w:type="dxa"/>
            <w:gridSpan w:val="4"/>
          </w:tcPr>
          <w:p>
            <w:pPr>
              <w:pStyle w:val="TableParagraph"/>
              <w:ind w:left="113" w:right="340"/>
              <w:rPr>
                <w:sz w:val="22"/>
              </w:rPr>
            </w:pPr>
            <w:r>
              <w:rPr>
                <w:sz w:val="22"/>
              </w:rPr>
              <w:t>The security's redemption value per 100 currency units face value.</w:t>
            </w:r>
          </w:p>
        </w:tc>
      </w:tr>
      <w:tr>
        <w:trPr>
          <w:trHeight w:val="892"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397"/>
              <w:rPr>
                <w:sz w:val="22"/>
              </w:rPr>
            </w:pPr>
            <w:r>
              <w:rPr>
                <w:sz w:val="22"/>
              </w:rPr>
              <w:t>the number of coupon payments per year. (For annual payments, </w:t>
            </w:r>
            <w:r>
              <w:rPr>
                <w:rFonts w:ascii="Times New Roman"/>
                <w:i/>
                <w:sz w:val="22"/>
              </w:rPr>
              <w:t>frequency </w:t>
            </w:r>
            <w:r>
              <w:rPr>
                <w:sz w:val="22"/>
              </w:rPr>
              <w:t>is 1; for semiannual payments, </w:t>
            </w:r>
            <w:r>
              <w:rPr>
                <w:rFonts w:ascii="Times New Roman"/>
                <w:i/>
                <w:sz w:val="22"/>
              </w:rPr>
              <w:t>frequency </w:t>
            </w:r>
            <w:r>
              <w:rPr>
                <w:sz w:val="22"/>
              </w:rPr>
              <w:t>is 2; for quarterly payments, </w:t>
            </w:r>
            <w:r>
              <w:rPr>
                <w:rFonts w:ascii="Times New Roman"/>
                <w:i/>
                <w:sz w:val="22"/>
              </w:rPr>
              <w:t>frequency </w:t>
            </w:r>
            <w:r>
              <w:rPr>
                <w:sz w:val="22"/>
              </w:rPr>
              <w:t>is 4.)</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7682"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24"/>
              <w:rPr>
                <w:sz w:val="22"/>
              </w:rPr>
            </w:pPr>
            <w:r>
              <w:rPr>
                <w:sz w:val="22"/>
              </w:rPr>
              <w:t>Assumes that each month has 30 days and the total number of days in the year is 360 by making the following adjustments:</w:t>
            </w:r>
          </w:p>
          <w:p>
            <w:pPr>
              <w:pStyle w:val="TableParagraph"/>
              <w:numPr>
                <w:ilvl w:val="0"/>
                <w:numId w:val="108"/>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08"/>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3"/>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8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Pr>
                <w:sz w:val="22"/>
              </w:rPr>
            </w:pPr>
            <w:r>
              <w:rPr>
                <w:sz w:val="22"/>
              </w:rPr>
              <w:t>European 30/360. The</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800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24"/>
              <w:rPr>
                <w:sz w:val="22"/>
              </w:rPr>
            </w:pPr>
            <w:r>
              <w:rPr>
                <w:sz w:val="22"/>
              </w:rPr>
              <w:t>European method for adjusting day counts. Assumes that each month has 30 days and the total number of days in the year is 360 by making the following adjustments:</w:t>
            </w:r>
          </w:p>
          <w:p>
            <w:pPr>
              <w:pStyle w:val="TableParagraph"/>
              <w:numPr>
                <w:ilvl w:val="0"/>
                <w:numId w:val="109"/>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09"/>
              </w:numPr>
              <w:tabs>
                <w:tab w:pos="1197" w:val="left" w:leader="none"/>
                <w:tab w:pos="1198" w:val="left" w:leader="none"/>
              </w:tabs>
              <w:spacing w:line="237" w:lineRule="auto" w:before="5"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453" w:lineRule="auto"/>
        <w:ind w:left="220" w:right="1516"/>
      </w:pPr>
      <w:r>
        <w:rPr>
          <w:b/>
        </w:rPr>
        <w:t>Return Type and Value</w:t>
      </w:r>
      <w:r>
        <w:rPr/>
        <w:t>: number – The yield of a security that has an odd (short or long) first period.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settlement</w:t>
      </w:r>
      <w:r>
        <w:rPr>
          <w:sz w:val="22"/>
        </w:rPr>
        <w:t>, </w:t>
      </w:r>
      <w:r>
        <w:rPr>
          <w:rFonts w:ascii="Times New Roman" w:hAnsi="Times New Roman"/>
          <w:i/>
          <w:sz w:val="22"/>
        </w:rPr>
        <w:t>maturity</w:t>
      </w:r>
      <w:r>
        <w:rPr>
          <w:sz w:val="22"/>
        </w:rPr>
        <w:t>, </w:t>
      </w:r>
      <w:r>
        <w:rPr>
          <w:rFonts w:ascii="Times New Roman" w:hAnsi="Times New Roman"/>
          <w:i/>
          <w:sz w:val="22"/>
        </w:rPr>
        <w:t>issue</w:t>
      </w:r>
      <w:r>
        <w:rPr>
          <w:sz w:val="22"/>
        </w:rPr>
        <w:t>, or </w:t>
      </w:r>
      <w:r>
        <w:rPr>
          <w:rFonts w:ascii="Times New Roman" w:hAnsi="Times New Roman"/>
          <w:i/>
          <w:sz w:val="22"/>
        </w:rPr>
        <w:t>first-coupon </w:t>
      </w:r>
      <w:r>
        <w:rPr>
          <w:sz w:val="22"/>
        </w:rPr>
        <w:t>is out of range for the current date system, </w:t>
      </w:r>
      <w:r>
        <w:rPr>
          <w:rFonts w:ascii="Consolas" w:hAnsi="Consolas"/>
          <w:sz w:val="22"/>
        </w:rPr>
        <w:t>#NUM!</w:t>
      </w:r>
      <w:r>
        <w:rPr>
          <w:rFonts w:ascii="Consolas" w:hAnsi="Consolas"/>
          <w:spacing w:val="-102"/>
          <w:sz w:val="22"/>
        </w:rPr>
        <w:t> </w:t>
      </w:r>
      <w:r>
        <w:rPr>
          <w:sz w:val="22"/>
        </w:rPr>
        <w:t>is returned.</w:t>
      </w:r>
    </w:p>
    <w:p>
      <w:pPr>
        <w:pStyle w:val="ListParagraph"/>
        <w:numPr>
          <w:ilvl w:val="4"/>
          <w:numId w:val="66"/>
        </w:numPr>
        <w:tabs>
          <w:tab w:pos="940" w:val="left" w:leader="none"/>
          <w:tab w:pos="941" w:val="left" w:leader="none"/>
        </w:tabs>
        <w:spacing w:line="273" w:lineRule="auto" w:before="42" w:after="0"/>
        <w:ind w:left="940" w:right="488" w:hanging="360"/>
        <w:jc w:val="left"/>
        <w:rPr>
          <w:sz w:val="22"/>
        </w:rPr>
      </w:pPr>
      <w:r>
        <w:rPr>
          <w:sz w:val="22"/>
        </w:rPr>
        <w:t>The following is not true: </w:t>
      </w:r>
      <w:r>
        <w:rPr>
          <w:rFonts w:ascii="Times New Roman" w:hAnsi="Times New Roman"/>
          <w:i/>
          <w:sz w:val="22"/>
        </w:rPr>
        <w:t>maturity </w:t>
      </w:r>
      <w:r>
        <w:rPr>
          <w:sz w:val="22"/>
        </w:rPr>
        <w:t>is later than </w:t>
      </w:r>
      <w:r>
        <w:rPr>
          <w:rFonts w:ascii="Times New Roman" w:hAnsi="Times New Roman"/>
          <w:i/>
          <w:sz w:val="22"/>
        </w:rPr>
        <w:t>first-coupon</w:t>
      </w:r>
      <w:r>
        <w:rPr>
          <w:sz w:val="22"/>
        </w:rPr>
        <w:t>, which is later than </w:t>
      </w:r>
      <w:r>
        <w:rPr>
          <w:rFonts w:ascii="Times New Roman" w:hAnsi="Times New Roman"/>
          <w:i/>
          <w:sz w:val="22"/>
        </w:rPr>
        <w:t>settlement</w:t>
      </w:r>
      <w:r>
        <w:rPr>
          <w:sz w:val="22"/>
        </w:rPr>
        <w:t>, which is</w:t>
      </w:r>
      <w:r>
        <w:rPr>
          <w:spacing w:val="-30"/>
          <w:sz w:val="22"/>
        </w:rPr>
        <w:t> </w:t>
      </w:r>
      <w:r>
        <w:rPr>
          <w:sz w:val="22"/>
        </w:rPr>
        <w:t>later than </w:t>
      </w:r>
      <w:r>
        <w:rPr>
          <w:rFonts w:ascii="Times New Roman" w:hAnsi="Times New Roman"/>
          <w:i/>
          <w:sz w:val="22"/>
        </w:rPr>
        <w:t>issue</w:t>
      </w:r>
      <w:r>
        <w:rPr>
          <w:sz w:val="22"/>
        </w:rPr>
        <w:t>, so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4" w:after="0"/>
        <w:ind w:left="940" w:right="0" w:hanging="361"/>
        <w:jc w:val="left"/>
        <w:rPr>
          <w:sz w:val="22"/>
        </w:rPr>
      </w:pPr>
      <w:r>
        <w:rPr>
          <w:rFonts w:ascii="Times New Roman" w:hAnsi="Times New Roman"/>
          <w:i/>
          <w:sz w:val="22"/>
        </w:rPr>
        <w:t>rate </w:t>
      </w:r>
      <w:r>
        <w:rPr>
          <w:sz w:val="22"/>
        </w:rPr>
        <w:t>or </w:t>
      </w:r>
      <w:r>
        <w:rPr>
          <w:rFonts w:ascii="Times New Roman" w:hAnsi="Times New Roman"/>
          <w:i/>
          <w:sz w:val="22"/>
        </w:rPr>
        <w:t>pr </w:t>
      </w:r>
      <w:r>
        <w:rPr>
          <w:sz w:val="22"/>
        </w:rPr>
        <w:t>&lt; 0,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0"/>
          <w:sz w:val="22"/>
        </w:rPr>
        <w:t> </w:t>
      </w:r>
      <w:r>
        <w:rPr>
          <w:sz w:val="22"/>
        </w:rPr>
        <w:t>is returned.</w:t>
      </w:r>
    </w:p>
    <w:p>
      <w:pPr>
        <w:spacing w:after="0" w:line="240" w:lineRule="auto"/>
        <w:jc w:val="left"/>
        <w:rPr>
          <w:sz w:val="22"/>
        </w:rPr>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line="276" w:lineRule="auto"/>
        <w:ind w:left="462" w:hanging="243"/>
        <w:rPr>
          <w:rFonts w:ascii="Consolas"/>
        </w:rPr>
      </w:pPr>
      <w:r>
        <w:rPr>
          <w:rFonts w:ascii="Consolas"/>
        </w:rPr>
        <w:t>ODDFYIELD(DATE(2008,11,11),DATE(2021,3,1),DATE(2008,10,15),DATE(2009,3,1), 0.0575,84.5,100,2,0) </w:t>
      </w:r>
      <w:r>
        <w:rPr/>
        <w:t>results in </w:t>
      </w:r>
      <w:r>
        <w:rPr>
          <w:rFonts w:ascii="Consolas"/>
        </w:rPr>
        <w:t>7.7246%</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43 ODDLPRICE" w:id="2121"/>
      <w:bookmarkEnd w:id="2121"/>
      <w:r>
        <w:rPr/>
      </w:r>
      <w:bookmarkStart w:name="_bookmark706" w:id="2122"/>
      <w:bookmarkEnd w:id="2122"/>
      <w:r>
        <w:rPr/>
      </w:r>
      <w:bookmarkStart w:name="_bookmark706" w:id="2123"/>
      <w:bookmarkEnd w:id="2123"/>
      <w:r>
        <w:rPr>
          <w:color w:val="4F81BC"/>
        </w:rPr>
        <w:t>O</w:t>
      </w:r>
      <w:r>
        <w:rPr>
          <w:color w:val="4F81BC"/>
        </w:rPr>
        <w:t>DDLPRICE</w:t>
      </w:r>
    </w:p>
    <w:p>
      <w:pPr>
        <w:pStyle w:val="Heading4"/>
        <w:spacing w:before="121"/>
        <w:rPr>
          <w:b w:val="0"/>
        </w:rPr>
      </w:pPr>
      <w:r>
        <w:rPr/>
        <w:t>Syntax</w:t>
      </w:r>
      <w:r>
        <w:rPr>
          <w:b w:val="0"/>
        </w:rPr>
        <w:t>:</w:t>
      </w:r>
    </w:p>
    <w:p>
      <w:pPr>
        <w:pStyle w:val="BodyText"/>
        <w:spacing w:before="1"/>
        <w:rPr>
          <w:sz w:val="19"/>
        </w:rPr>
      </w:pPr>
    </w:p>
    <w:p>
      <w:pPr>
        <w:spacing w:line="259" w:lineRule="exact" w:before="0"/>
        <w:ind w:left="940" w:right="0" w:firstLine="0"/>
        <w:jc w:val="left"/>
        <w:rPr>
          <w:rFonts w:ascii="Lucida Console"/>
          <w:sz w:val="20"/>
        </w:rPr>
      </w:pPr>
      <w:r>
        <w:rPr>
          <w:rFonts w:ascii="Lucida Console"/>
          <w:sz w:val="20"/>
        </w:rPr>
        <w:t>ODDLPRICE ( </w:t>
      </w:r>
      <w:r>
        <w:rPr>
          <w:i/>
          <w:sz w:val="22"/>
        </w:rPr>
        <w:t>settlement  </w:t>
      </w:r>
      <w:r>
        <w:rPr>
          <w:rFonts w:ascii="Lucida Console"/>
          <w:sz w:val="20"/>
        </w:rPr>
        <w:t>, </w:t>
      </w:r>
      <w:r>
        <w:rPr>
          <w:i/>
          <w:sz w:val="22"/>
        </w:rPr>
        <w:t>maturity </w:t>
      </w:r>
      <w:r>
        <w:rPr>
          <w:rFonts w:ascii="Lucida Console"/>
          <w:sz w:val="20"/>
        </w:rPr>
        <w:t>, </w:t>
      </w:r>
      <w:r>
        <w:rPr>
          <w:i/>
          <w:sz w:val="22"/>
        </w:rPr>
        <w:t>last-interest  </w:t>
      </w:r>
      <w:r>
        <w:rPr>
          <w:rFonts w:ascii="Lucida Console"/>
          <w:sz w:val="20"/>
        </w:rPr>
        <w:t>, </w:t>
      </w:r>
      <w:r>
        <w:rPr>
          <w:i/>
          <w:sz w:val="22"/>
        </w:rPr>
        <w:t>rate </w:t>
      </w:r>
      <w:r>
        <w:rPr>
          <w:rFonts w:ascii="Lucida Console"/>
          <w:sz w:val="20"/>
        </w:rPr>
        <w:t>, </w:t>
      </w:r>
      <w:r>
        <w:rPr>
          <w:i/>
          <w:sz w:val="22"/>
        </w:rPr>
        <w:t>yld </w:t>
      </w:r>
      <w:r>
        <w:rPr>
          <w:rFonts w:ascii="Lucida Console"/>
          <w:sz w:val="20"/>
        </w:rPr>
        <w:t>, </w:t>
      </w:r>
      <w:r>
        <w:rPr>
          <w:i/>
          <w:sz w:val="22"/>
        </w:rPr>
        <w:t>redemption  </w:t>
      </w:r>
      <w:r>
        <w:rPr>
          <w:rFonts w:ascii="Lucida Console"/>
          <w:sz w:val="20"/>
        </w:rPr>
        <w:t>,</w:t>
      </w:r>
    </w:p>
    <w:p>
      <w:pPr>
        <w:spacing w:line="259" w:lineRule="exact" w:before="0"/>
        <w:ind w:left="1300" w:right="0" w:firstLine="0"/>
        <w:jc w:val="left"/>
        <w:rPr>
          <w:rFonts w:ascii="Lucida Console"/>
          <w:sz w:val="20"/>
        </w:rPr>
      </w:pPr>
      <w:r>
        <w:rPr>
          <w:i/>
          <w:sz w:val="22"/>
        </w:rPr>
        <w:t>frequency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pStyle w:val="BodyText"/>
        <w:spacing w:line="276" w:lineRule="auto" w:before="109"/>
        <w:ind w:left="220" w:right="377"/>
      </w:pPr>
      <w:r>
        <w:rPr>
          <w:b/>
        </w:rPr>
        <w:t>Description</w:t>
      </w:r>
      <w:r>
        <w:rPr/>
        <w:t>: Computes the price per 100 currency units face value of a security having an odd (short or long) last coupon period.</w:t>
      </w:r>
    </w:p>
    <w:p>
      <w:pPr>
        <w:pStyle w:val="BodyText"/>
        <w:spacing w:before="5"/>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last-interest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last coupon date.</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interest rate.</w:t>
            </w:r>
          </w:p>
        </w:tc>
      </w:tr>
      <w:tr>
        <w:trPr>
          <w:trHeight w:val="354" w:hRule="atLeast"/>
        </w:trPr>
        <w:tc>
          <w:tcPr>
            <w:tcW w:w="1466" w:type="dxa"/>
          </w:tcPr>
          <w:p>
            <w:pPr>
              <w:pStyle w:val="TableParagraph"/>
              <w:spacing w:before="37"/>
              <w:rPr>
                <w:rFonts w:ascii="Times New Roman"/>
                <w:i/>
                <w:sz w:val="22"/>
              </w:rPr>
            </w:pPr>
            <w:r>
              <w:rPr>
                <w:rFonts w:ascii="Times New Roman"/>
                <w:i/>
                <w:sz w:val="22"/>
              </w:rPr>
              <w:t>yld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annual yield.</w:t>
            </w:r>
          </w:p>
        </w:tc>
      </w:tr>
      <w:tr>
        <w:trPr>
          <w:trHeight w:val="621"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399" w:type="dxa"/>
            <w:gridSpan w:val="4"/>
          </w:tcPr>
          <w:p>
            <w:pPr>
              <w:pStyle w:val="TableParagraph"/>
              <w:ind w:left="113" w:right="340"/>
              <w:rPr>
                <w:sz w:val="22"/>
              </w:rPr>
            </w:pPr>
            <w:r>
              <w:rPr>
                <w:sz w:val="22"/>
              </w:rPr>
              <w:t>The security's redemption value per 100 currency units face value.</w:t>
            </w:r>
          </w:p>
        </w:tc>
      </w:tr>
      <w:tr>
        <w:trPr>
          <w:trHeight w:val="892" w:hRule="atLeast"/>
        </w:trPr>
        <w:tc>
          <w:tcPr>
            <w:tcW w:w="1466" w:type="dxa"/>
          </w:tcPr>
          <w:p>
            <w:pPr>
              <w:pStyle w:val="TableParagraph"/>
              <w:spacing w:before="39"/>
              <w:rPr>
                <w:rFonts w:ascii="Times New Roman"/>
                <w:i/>
                <w:sz w:val="22"/>
              </w:rPr>
            </w:pPr>
            <w:r>
              <w:rPr>
                <w:rFonts w:ascii="Times New Roman"/>
                <w:i/>
                <w:sz w:val="22"/>
              </w:rPr>
              <w:t>frequency</w:t>
            </w:r>
          </w:p>
        </w:tc>
        <w:tc>
          <w:tcPr>
            <w:tcW w:w="1800" w:type="dxa"/>
          </w:tcPr>
          <w:p>
            <w:pPr>
              <w:pStyle w:val="TableParagraph"/>
              <w:spacing w:before="42"/>
              <w:ind w:left="112"/>
              <w:rPr>
                <w:sz w:val="22"/>
              </w:rPr>
            </w:pPr>
            <w:r>
              <w:rPr>
                <w:sz w:val="22"/>
              </w:rPr>
              <w:t>number</w:t>
            </w:r>
          </w:p>
        </w:tc>
        <w:tc>
          <w:tcPr>
            <w:tcW w:w="5399" w:type="dxa"/>
            <w:gridSpan w:val="4"/>
          </w:tcPr>
          <w:p>
            <w:pPr>
              <w:pStyle w:val="TableParagraph"/>
              <w:spacing w:before="42"/>
              <w:ind w:left="113" w:right="397"/>
              <w:rPr>
                <w:sz w:val="22"/>
              </w:rPr>
            </w:pPr>
            <w:r>
              <w:rPr>
                <w:sz w:val="22"/>
              </w:rPr>
              <w:t>the number of coupon payments per year. (For annual payments, </w:t>
            </w:r>
            <w:r>
              <w:rPr>
                <w:rFonts w:ascii="Times New Roman"/>
                <w:i/>
                <w:sz w:val="22"/>
              </w:rPr>
              <w:t>frequency </w:t>
            </w:r>
            <w:r>
              <w:rPr>
                <w:sz w:val="22"/>
              </w:rPr>
              <w:t>is 1; for semiannual payments, </w:t>
            </w:r>
            <w:r>
              <w:rPr>
                <w:rFonts w:ascii="Times New Roman"/>
                <w:i/>
                <w:sz w:val="22"/>
              </w:rPr>
              <w:t>frequency </w:t>
            </w:r>
            <w:r>
              <w:rPr>
                <w:sz w:val="22"/>
              </w:rPr>
              <w:t>is 2; for quarterly payments, </w:t>
            </w:r>
            <w:r>
              <w:rPr>
                <w:rFonts w:ascii="Times New Roman"/>
                <w:i/>
                <w:sz w:val="22"/>
              </w:rPr>
              <w:t>frequency </w:t>
            </w:r>
            <w:r>
              <w:rPr>
                <w:sz w:val="22"/>
              </w:rPr>
              <w:t>is 4.)</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278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10"/>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w:t>
            </w:r>
            <w:r>
              <w:rPr>
                <w:spacing w:val="-4"/>
                <w:sz w:val="22"/>
              </w:rPr>
              <w:t> </w:t>
            </w:r>
            <w:r>
              <w:rPr>
                <w:sz w:val="22"/>
              </w:rPr>
              <w:t>to</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253"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Pr>
                <w:sz w:val="22"/>
              </w:rPr>
            </w:pPr>
            <w:r>
              <w:rPr>
                <w:sz w:val="22"/>
              </w:rPr>
              <w:t>30 February.</w:t>
            </w:r>
          </w:p>
          <w:p>
            <w:pPr>
              <w:pStyle w:val="TableParagraph"/>
              <w:numPr>
                <w:ilvl w:val="0"/>
                <w:numId w:val="111"/>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278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36"/>
              <w:rPr>
                <w:sz w:val="22"/>
              </w:rPr>
            </w:pPr>
            <w:r>
              <w:rPr>
                <w:sz w:val="22"/>
              </w:rPr>
              <w:t>European 30/360. The European method for adjusting day counts. Assumes that each month has 30 days </w:t>
            </w:r>
            <w:r>
              <w:rPr>
                <w:spacing w:val="-4"/>
                <w:sz w:val="22"/>
              </w:rPr>
              <w:t>and </w:t>
            </w:r>
            <w:r>
              <w:rPr>
                <w:sz w:val="22"/>
              </w:rPr>
              <w:t>the total number of days in the year is 360 by making the following</w:t>
            </w:r>
            <w:r>
              <w:rPr>
                <w:spacing w:val="-8"/>
                <w:sz w:val="22"/>
              </w:rPr>
              <w:t> </w:t>
            </w:r>
            <w:r>
              <w:rPr>
                <w:sz w:val="22"/>
              </w:rPr>
              <w:t>adjustments:</w:t>
            </w:r>
          </w:p>
          <w:p>
            <w:pPr>
              <w:pStyle w:val="TableParagraph"/>
              <w:numPr>
                <w:ilvl w:val="0"/>
                <w:numId w:val="112"/>
              </w:numPr>
              <w:tabs>
                <w:tab w:pos="1197" w:val="left" w:leader="none"/>
                <w:tab w:pos="1198" w:val="left" w:leader="none"/>
              </w:tabs>
              <w:spacing w:line="240" w:lineRule="auto" w:before="3" w:after="0"/>
              <w:ind w:left="1197" w:right="0" w:hanging="361"/>
              <w:jc w:val="left"/>
              <w:rPr>
                <w:sz w:val="22"/>
              </w:rPr>
            </w:pPr>
            <w:r>
              <w:rPr>
                <w:sz w:val="22"/>
              </w:rPr>
              <w:t>If the</w:t>
            </w:r>
            <w:r>
              <w:rPr>
                <w:spacing w:val="-2"/>
                <w:sz w:val="22"/>
              </w:rPr>
              <w:t> </w:t>
            </w:r>
            <w:r>
              <w:rPr>
                <w:sz w:val="22"/>
              </w:rPr>
              <w:t>date</w:t>
            </w:r>
          </w:p>
        </w:tc>
        <w:tc>
          <w:tcPr>
            <w:tcW w:w="403" w:type="dxa"/>
            <w:vMerge/>
            <w:tcBorders>
              <w:top w:val="nil"/>
            </w:tcBorders>
          </w:tcPr>
          <w:p>
            <w:pPr>
              <w:rPr>
                <w:sz w:val="2"/>
                <w:szCs w:val="2"/>
              </w:rPr>
            </w:pPr>
          </w:p>
        </w:tc>
      </w:tr>
    </w:tbl>
    <w:p>
      <w:pPr>
        <w:spacing w:after="0"/>
        <w:rPr>
          <w:sz w:val="2"/>
          <w:szCs w:val="2"/>
        </w:rPr>
        <w:sectPr>
          <w:footerReference w:type="even" r:id="rId260"/>
          <w:footerReference w:type="default" r:id="rId261"/>
          <w:pgSz w:w="12240" w:h="15840"/>
          <w:pgMar w:footer="746" w:header="761" w:top="1340" w:bottom="940" w:left="860" w:right="700"/>
          <w:pgNumType w:start="232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575"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84"/>
              <w:rPr>
                <w:sz w:val="22"/>
              </w:rPr>
            </w:pPr>
            <w:r>
              <w:rPr>
                <w:sz w:val="22"/>
              </w:rPr>
              <w:t>is 28 or 29 February, it is adjusted to 30 February.</w:t>
            </w:r>
          </w:p>
          <w:p>
            <w:pPr>
              <w:pStyle w:val="TableParagraph"/>
              <w:numPr>
                <w:ilvl w:val="0"/>
                <w:numId w:val="113"/>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pStyle w:val="BodyText"/>
        <w:spacing w:before="6"/>
        <w:rPr>
          <w:sz w:val="19"/>
        </w:rPr>
      </w:pPr>
    </w:p>
    <w:p>
      <w:pPr>
        <w:pStyle w:val="BodyText"/>
        <w:spacing w:line="278" w:lineRule="auto"/>
        <w:ind w:left="220" w:right="458"/>
      </w:pPr>
      <w:r>
        <w:rPr>
          <w:b/>
        </w:rPr>
        <w:t>Return Type and Value</w:t>
      </w:r>
      <w:r>
        <w:rPr/>
        <w:t>: number – The price per 100 currency units face value of a security having an odd (short or long) last coupon period.</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w:t>
      </w:r>
      <w:r>
        <w:rPr>
          <w:sz w:val="22"/>
        </w:rPr>
        <w:t>, </w:t>
      </w:r>
      <w:r>
        <w:rPr>
          <w:rFonts w:ascii="Times New Roman" w:hAnsi="Times New Roman"/>
          <w:i/>
          <w:sz w:val="22"/>
        </w:rPr>
        <w:t>maturity</w:t>
      </w:r>
      <w:r>
        <w:rPr>
          <w:sz w:val="22"/>
        </w:rPr>
        <w:t>, or </w:t>
      </w:r>
      <w:r>
        <w:rPr>
          <w:rFonts w:ascii="Times New Roman" w:hAnsi="Times New Roman"/>
          <w:i/>
          <w:sz w:val="22"/>
        </w:rPr>
        <w:t>last-interest </w:t>
      </w:r>
      <w:r>
        <w:rPr>
          <w:sz w:val="22"/>
        </w:rPr>
        <w:t>is out of range for the current date system, </w:t>
      </w:r>
      <w:r>
        <w:rPr>
          <w:rFonts w:ascii="Consolas" w:hAnsi="Consolas"/>
          <w:sz w:val="22"/>
        </w:rPr>
        <w:t>#NUM!</w:t>
      </w:r>
      <w:r>
        <w:rPr>
          <w:rFonts w:ascii="Consolas" w:hAnsi="Consolas"/>
          <w:spacing w:val="-102"/>
          <w:sz w:val="22"/>
        </w:rPr>
        <w:t> </w:t>
      </w:r>
      <w:r>
        <w:rPr>
          <w:sz w:val="22"/>
        </w:rPr>
        <w:t>is returned.</w:t>
      </w:r>
    </w:p>
    <w:p>
      <w:pPr>
        <w:pStyle w:val="ListParagraph"/>
        <w:numPr>
          <w:ilvl w:val="4"/>
          <w:numId w:val="66"/>
        </w:numPr>
        <w:tabs>
          <w:tab w:pos="940" w:val="left" w:leader="none"/>
          <w:tab w:pos="941" w:val="left" w:leader="none"/>
        </w:tabs>
        <w:spacing w:line="276" w:lineRule="auto" w:before="39" w:after="0"/>
        <w:ind w:left="940" w:right="651" w:hanging="360"/>
        <w:jc w:val="left"/>
        <w:rPr>
          <w:sz w:val="22"/>
        </w:rPr>
      </w:pPr>
      <w:r>
        <w:rPr>
          <w:sz w:val="22"/>
        </w:rPr>
        <w:t>The following is not true: </w:t>
      </w:r>
      <w:r>
        <w:rPr>
          <w:rFonts w:ascii="Times New Roman" w:hAnsi="Times New Roman"/>
          <w:i/>
          <w:sz w:val="22"/>
        </w:rPr>
        <w:t>maturity </w:t>
      </w:r>
      <w:r>
        <w:rPr>
          <w:sz w:val="22"/>
        </w:rPr>
        <w:t>is later than </w:t>
      </w:r>
      <w:r>
        <w:rPr>
          <w:rFonts w:ascii="Times New Roman" w:hAnsi="Times New Roman"/>
          <w:i/>
          <w:sz w:val="22"/>
        </w:rPr>
        <w:t>settlement</w:t>
      </w:r>
      <w:r>
        <w:rPr>
          <w:sz w:val="22"/>
        </w:rPr>
        <w:t>, which is later than </w:t>
      </w:r>
      <w:r>
        <w:rPr>
          <w:rFonts w:ascii="Times New Roman" w:hAnsi="Times New Roman"/>
          <w:i/>
          <w:sz w:val="22"/>
        </w:rPr>
        <w:t>last-interest</w:t>
      </w:r>
      <w:r>
        <w:rPr>
          <w:sz w:val="22"/>
        </w:rPr>
        <w:t>, so </w:t>
      </w:r>
      <w:r>
        <w:rPr>
          <w:rFonts w:ascii="Consolas" w:hAnsi="Consolas"/>
          <w:sz w:val="22"/>
        </w:rPr>
        <w:t>#NUM!</w:t>
      </w:r>
      <w:r>
        <w:rPr>
          <w:rFonts w:ascii="Consolas" w:hAnsi="Consolas"/>
          <w:spacing w:val="-103"/>
          <w:sz w:val="22"/>
        </w:rPr>
        <w:t> </w:t>
      </w:r>
      <w:r>
        <w:rPr>
          <w:sz w:val="22"/>
        </w:rPr>
        <w:t>is returned.</w:t>
      </w:r>
    </w:p>
    <w:p>
      <w:pPr>
        <w:pStyle w:val="ListParagraph"/>
        <w:numPr>
          <w:ilvl w:val="4"/>
          <w:numId w:val="66"/>
        </w:numPr>
        <w:tabs>
          <w:tab w:pos="940" w:val="left" w:leader="none"/>
          <w:tab w:pos="941" w:val="left" w:leader="none"/>
        </w:tabs>
        <w:spacing w:line="240" w:lineRule="auto" w:before="2" w:after="0"/>
        <w:ind w:left="940" w:right="0" w:hanging="361"/>
        <w:jc w:val="left"/>
        <w:rPr>
          <w:sz w:val="22"/>
        </w:rPr>
      </w:pPr>
      <w:r>
        <w:rPr>
          <w:rFonts w:ascii="Times New Roman" w:hAnsi="Times New Roman"/>
          <w:i/>
          <w:sz w:val="22"/>
        </w:rPr>
        <w:t>rate </w:t>
      </w:r>
      <w:r>
        <w:rPr>
          <w:sz w:val="22"/>
        </w:rPr>
        <w:t>or </w:t>
      </w:r>
      <w:r>
        <w:rPr>
          <w:rFonts w:ascii="Times New Roman" w:hAnsi="Times New Roman"/>
          <w:i/>
          <w:sz w:val="22"/>
        </w:rPr>
        <w:t>yld </w:t>
      </w:r>
      <w:r>
        <w:rPr>
          <w:sz w:val="22"/>
        </w:rPr>
        <w:t>&lt; 0,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redemption </w:t>
      </w:r>
      <w:r>
        <w:rPr>
          <w:sz w:val="22"/>
        </w:rPr>
        <w:t>≤ 0, </w:t>
      </w:r>
      <w:r>
        <w:rPr>
          <w:rFonts w:ascii="Consolas" w:hAnsi="Consolas"/>
          <w:sz w:val="22"/>
        </w:rPr>
        <w:t>#NUM!</w:t>
      </w:r>
      <w:r>
        <w:rPr>
          <w:rFonts w:ascii="Consolas" w:hAnsi="Consolas"/>
          <w:spacing w:val="-70"/>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9"/>
        <w:ind w:left="462" w:right="718" w:hanging="243"/>
        <w:rPr>
          <w:rFonts w:ascii="Consolas"/>
        </w:rPr>
      </w:pPr>
      <w:r>
        <w:rPr>
          <w:rFonts w:ascii="Consolas"/>
        </w:rPr>
        <w:t>ODDLPRICE(DATE(2008,11,11),DATE(2021,3,1),DATE(2008,10,15), 0.0785,0.0625,100,2,1) </w:t>
      </w:r>
      <w:r>
        <w:rPr/>
        <w:t>results in </w:t>
      </w:r>
      <w:r>
        <w:rPr>
          <w:rFonts w:ascii="Consolas"/>
        </w:rPr>
        <w:t>99.8783</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244 ODDLYIELD" w:id="2124"/>
      <w:bookmarkEnd w:id="2124"/>
      <w:r>
        <w:rPr/>
      </w:r>
      <w:bookmarkStart w:name="_bookmark707" w:id="2125"/>
      <w:bookmarkEnd w:id="2125"/>
      <w:r>
        <w:rPr/>
      </w:r>
      <w:bookmarkStart w:name="_bookmark707" w:id="2126"/>
      <w:bookmarkEnd w:id="2126"/>
      <w:r>
        <w:rPr>
          <w:color w:val="4F81BC"/>
        </w:rPr>
        <w:t>O</w:t>
      </w:r>
      <w:r>
        <w:rPr>
          <w:color w:val="4F81BC"/>
        </w:rPr>
        <w:t>DDLYIELD</w:t>
      </w:r>
    </w:p>
    <w:p>
      <w:pPr>
        <w:pStyle w:val="Heading4"/>
        <w:spacing w:before="122"/>
        <w:rPr>
          <w:b w:val="0"/>
        </w:rPr>
      </w:pPr>
      <w:r>
        <w:rPr/>
        <w:t>Syntax</w:t>
      </w:r>
      <w:r>
        <w:rPr>
          <w:b w:val="0"/>
        </w:rPr>
        <w:t>:</w:t>
      </w:r>
    </w:p>
    <w:p>
      <w:pPr>
        <w:pStyle w:val="BodyText"/>
        <w:spacing w:before="1"/>
        <w:rPr>
          <w:sz w:val="19"/>
        </w:rPr>
      </w:pPr>
    </w:p>
    <w:p>
      <w:pPr>
        <w:spacing w:line="259" w:lineRule="exact" w:before="0"/>
        <w:ind w:left="940" w:right="0" w:firstLine="0"/>
        <w:jc w:val="left"/>
        <w:rPr>
          <w:rFonts w:ascii="Lucida Console"/>
          <w:sz w:val="20"/>
        </w:rPr>
      </w:pPr>
      <w:r>
        <w:rPr>
          <w:rFonts w:ascii="Lucida Console"/>
          <w:sz w:val="20"/>
        </w:rPr>
        <w:t>ODDLYIELD ( </w:t>
      </w:r>
      <w:r>
        <w:rPr>
          <w:i/>
          <w:sz w:val="22"/>
        </w:rPr>
        <w:t>settlement </w:t>
      </w:r>
      <w:r>
        <w:rPr>
          <w:rFonts w:ascii="Lucida Console"/>
          <w:sz w:val="20"/>
        </w:rPr>
        <w:t>, </w:t>
      </w:r>
      <w:r>
        <w:rPr>
          <w:i/>
          <w:sz w:val="22"/>
        </w:rPr>
        <w:t>maturity  </w:t>
      </w:r>
      <w:r>
        <w:rPr>
          <w:rFonts w:ascii="Lucida Console"/>
          <w:sz w:val="20"/>
        </w:rPr>
        <w:t>, </w:t>
      </w:r>
      <w:r>
        <w:rPr>
          <w:i/>
          <w:sz w:val="22"/>
        </w:rPr>
        <w:t>last-interest  </w:t>
      </w:r>
      <w:r>
        <w:rPr>
          <w:rFonts w:ascii="Lucida Console"/>
          <w:sz w:val="20"/>
        </w:rPr>
        <w:t>, </w:t>
      </w:r>
      <w:r>
        <w:rPr>
          <w:i/>
          <w:sz w:val="22"/>
        </w:rPr>
        <w:t>rate </w:t>
      </w:r>
      <w:r>
        <w:rPr>
          <w:rFonts w:ascii="Lucida Console"/>
          <w:sz w:val="20"/>
        </w:rPr>
        <w:t>, </w:t>
      </w:r>
      <w:r>
        <w:rPr>
          <w:i/>
          <w:sz w:val="22"/>
        </w:rPr>
        <w:t>pr  </w:t>
      </w:r>
      <w:r>
        <w:rPr>
          <w:rFonts w:ascii="Lucida Console"/>
          <w:sz w:val="20"/>
        </w:rPr>
        <w:t>, </w:t>
      </w:r>
      <w:r>
        <w:rPr>
          <w:i/>
          <w:sz w:val="22"/>
        </w:rPr>
        <w:t>redemption  </w:t>
      </w:r>
      <w:r>
        <w:rPr>
          <w:rFonts w:ascii="Lucida Console"/>
          <w:sz w:val="20"/>
        </w:rPr>
        <w:t>,</w:t>
      </w:r>
    </w:p>
    <w:p>
      <w:pPr>
        <w:spacing w:line="259" w:lineRule="exact" w:before="0"/>
        <w:ind w:left="1300" w:right="0" w:firstLine="0"/>
        <w:jc w:val="left"/>
        <w:rPr>
          <w:rFonts w:ascii="Lucida Console"/>
          <w:sz w:val="20"/>
        </w:rPr>
      </w:pPr>
      <w:r>
        <w:rPr>
          <w:i/>
          <w:sz w:val="22"/>
        </w:rPr>
        <w:t>frequency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pStyle w:val="BodyText"/>
        <w:spacing w:before="111"/>
        <w:ind w:left="220"/>
      </w:pPr>
      <w:r>
        <w:rPr>
          <w:b/>
        </w:rPr>
        <w:t>Description</w:t>
      </w:r>
      <w:r>
        <w:rPr/>
        <w:t>: Computes the yield of a security that has an odd (short or long) last period.</w:t>
      </w:r>
    </w:p>
    <w:p>
      <w:pPr>
        <w:pStyle w:val="BodyText"/>
        <w:spacing w:before="8"/>
        <w:rPr>
          <w:sz w:val="19"/>
        </w:rPr>
      </w:pPr>
    </w:p>
    <w:p>
      <w:pPr>
        <w:pStyle w:val="Heading4"/>
        <w:rPr>
          <w:b w:val="0"/>
        </w:rPr>
      </w:pPr>
      <w:r>
        <w:rPr/>
        <w:t>Mathematical Formula</w:t>
      </w:r>
      <w:r>
        <w:rPr>
          <w:b w:val="0"/>
        </w:rPr>
        <w:t>:</w:t>
      </w:r>
    </w:p>
    <w:p>
      <w:pPr>
        <w:pStyle w:val="BodyText"/>
        <w:rPr>
          <w:sz w:val="19"/>
        </w:rPr>
      </w:pPr>
    </w:p>
    <w:p>
      <w:pPr>
        <w:spacing w:after="0"/>
        <w:rPr>
          <w:sz w:val="19"/>
        </w:rPr>
        <w:sectPr>
          <w:pgSz w:w="12240" w:h="15840"/>
          <w:pgMar w:header="761" w:footer="746" w:top="1340" w:bottom="940" w:left="860" w:right="700"/>
        </w:sectPr>
      </w:pPr>
    </w:p>
    <w:p>
      <w:pPr>
        <w:pStyle w:val="BodyText"/>
        <w:spacing w:line="267" w:lineRule="exact" w:before="90"/>
        <w:ind w:left="1753"/>
        <w:rPr>
          <w:rFonts w:ascii="Cambria Math" w:hAnsi="Cambria Math" w:eastAsia="Cambria Math"/>
        </w:rPr>
      </w:pPr>
      <w:r>
        <w:rPr>
          <w:rFonts w:ascii="Cambria Math" w:hAnsi="Cambria Math" w:eastAsia="Cambria Math"/>
          <w:w w:val="159"/>
          <w:position w:val="8"/>
        </w:rPr>
        <w:t> </w:t>
      </w:r>
      <w:r>
        <w:rPr>
          <w:rFonts w:ascii="Cambria Math" w:hAnsi="Cambria Math" w:eastAsia="Cambria Math"/>
          <w:w w:val="105"/>
        </w:rPr>
        <w:t>(𝑟𝑒𝑑𝑒𝑚𝑝𝑡𝑖𝑜𝑛 + ((</w:t>
      </w:r>
      <w:r>
        <w:rPr>
          <w:rFonts w:ascii="Cambria Math" w:hAnsi="Cambria Math" w:eastAsia="Cambria Math"/>
          <w:w w:val="105"/>
          <w:position w:val="1"/>
        </w:rPr>
        <w:t>∑</w:t>
      </w:r>
      <w:r>
        <w:rPr>
          <w:rFonts w:ascii="Cambria Math" w:hAnsi="Cambria Math" w:eastAsia="Cambria Math"/>
          <w:w w:val="105"/>
          <w:position w:val="1"/>
          <w:vertAlign w:val="superscript"/>
        </w:rPr>
        <w:t>𝑁𝐶</w:t>
      </w:r>
      <w:r>
        <w:rPr>
          <w:rFonts w:ascii="Cambria Math" w:hAnsi="Cambria Math" w:eastAsia="Cambria Math"/>
          <w:w w:val="105"/>
          <w:position w:val="1"/>
          <w:vertAlign w:val="baseline"/>
        </w:rPr>
        <w:t> </w:t>
      </w:r>
      <w:r>
        <w:rPr>
          <w:rFonts w:ascii="Cambria Math" w:hAnsi="Cambria Math" w:eastAsia="Cambria Math"/>
          <w:w w:val="105"/>
          <w:position w:val="13"/>
          <w:vertAlign w:val="baseline"/>
        </w:rPr>
        <w:t>𝐷𝐶</w:t>
      </w:r>
      <w:r>
        <w:rPr>
          <w:rFonts w:ascii="Cambria Math" w:hAnsi="Cambria Math" w:eastAsia="Cambria Math"/>
          <w:w w:val="105"/>
          <w:position w:val="9"/>
          <w:sz w:val="16"/>
          <w:vertAlign w:val="baseline"/>
        </w:rPr>
        <w:t>𝑖</w:t>
      </w:r>
      <w:r>
        <w:rPr>
          <w:rFonts w:ascii="Cambria Math" w:hAnsi="Cambria Math" w:eastAsia="Cambria Math"/>
          <w:w w:val="105"/>
          <w:vertAlign w:val="baseline"/>
        </w:rPr>
        <w:t>) ×</w:t>
      </w:r>
      <w:r>
        <w:rPr>
          <w:rFonts w:ascii="Cambria Math" w:hAnsi="Cambria Math" w:eastAsia="Cambria Math"/>
          <w:w w:val="105"/>
          <w:position w:val="13"/>
          <w:u w:val="single"/>
          <w:vertAlign w:val="baseline"/>
        </w:rPr>
        <w:t> 100 × 𝑟𝑎𝑡𝑒</w:t>
      </w:r>
      <w:r>
        <w:rPr>
          <w:rFonts w:ascii="Cambria Math" w:hAnsi="Cambria Math" w:eastAsia="Cambria Math"/>
          <w:w w:val="105"/>
          <w:vertAlign w:val="baseline"/>
        </w:rPr>
        <w:t>)) − (𝑝𝑎𝑟 + ((</w:t>
      </w:r>
      <w:r>
        <w:rPr>
          <w:rFonts w:ascii="Cambria Math" w:hAnsi="Cambria Math" w:eastAsia="Cambria Math"/>
          <w:w w:val="105"/>
          <w:position w:val="1"/>
          <w:vertAlign w:val="baseline"/>
        </w:rPr>
        <w:t>∑</w:t>
      </w:r>
      <w:r>
        <w:rPr>
          <w:rFonts w:ascii="Cambria Math" w:hAnsi="Cambria Math" w:eastAsia="Cambria Math"/>
          <w:w w:val="105"/>
          <w:position w:val="1"/>
          <w:vertAlign w:val="superscript"/>
        </w:rPr>
        <w:t>𝑁𝐶</w:t>
      </w:r>
    </w:p>
    <w:p>
      <w:pPr>
        <w:pStyle w:val="BodyText"/>
        <w:spacing w:line="20" w:lineRule="exact"/>
        <w:ind w:left="4079"/>
        <w:rPr>
          <w:rFonts w:ascii="Cambria Math"/>
          <w:sz w:val="2"/>
        </w:rPr>
      </w:pPr>
      <w:r>
        <w:rPr>
          <w:rFonts w:ascii="Cambria Math"/>
          <w:sz w:val="2"/>
        </w:rPr>
        <w:pict>
          <v:group style="width:17.4pt;height:.75pt;mso-position-horizontal-relative:char;mso-position-vertical-relative:line" coordorigin="0,0" coordsize="348,15">
            <v:line style="position:absolute" from="0,7" to="348,7" stroked="true" strokeweight=".71999pt" strokecolor="#000000">
              <v:stroke dashstyle="solid"/>
            </v:line>
          </v:group>
        </w:pict>
      </w:r>
      <w:r>
        <w:rPr>
          <w:rFonts w:ascii="Cambria Math"/>
          <w:sz w:val="2"/>
        </w:rPr>
      </w:r>
    </w:p>
    <w:p>
      <w:pPr>
        <w:pStyle w:val="BodyText"/>
        <w:spacing w:line="79" w:lineRule="auto" w:before="141"/>
        <w:ind w:left="113"/>
        <w:rPr>
          <w:rFonts w:ascii="Cambria Math" w:hAnsi="Cambria Math" w:eastAsia="Cambria Math"/>
        </w:rPr>
      </w:pPr>
      <w:r>
        <w:rPr/>
        <w:br w:type="column"/>
      </w:r>
      <w:r>
        <w:rPr>
          <w:rFonts w:ascii="Cambria Math" w:hAnsi="Cambria Math" w:eastAsia="Cambria Math"/>
          <w:w w:val="105"/>
        </w:rPr>
        <w:t>𝐴</w:t>
      </w:r>
      <w:r>
        <w:rPr>
          <w:rFonts w:ascii="Cambria Math" w:hAnsi="Cambria Math" w:eastAsia="Cambria Math"/>
          <w:w w:val="105"/>
          <w:position w:val="-4"/>
          <w:sz w:val="16"/>
        </w:rPr>
        <w:t>𝑖 </w:t>
      </w:r>
      <w:r>
        <w:rPr>
          <w:rFonts w:ascii="Cambria Math" w:hAnsi="Cambria Math" w:eastAsia="Cambria Math"/>
          <w:w w:val="105"/>
          <w:position w:val="-12"/>
        </w:rPr>
        <w:t>) ×</w:t>
      </w:r>
      <w:r>
        <w:rPr>
          <w:rFonts w:ascii="Cambria Math" w:hAnsi="Cambria Math" w:eastAsia="Cambria Math"/>
          <w:w w:val="105"/>
          <w:u w:val="single"/>
        </w:rPr>
        <w:t> 100 × 𝑟𝑎𝑡𝑒</w:t>
      </w:r>
      <w:r>
        <w:rPr>
          <w:rFonts w:ascii="Cambria Math" w:hAnsi="Cambria Math" w:eastAsia="Cambria Math"/>
          <w:w w:val="105"/>
          <w:position w:val="-12"/>
        </w:rPr>
        <w:t>))</w:t>
      </w:r>
      <w:r>
        <w:rPr>
          <w:rFonts w:ascii="Cambria Math" w:hAnsi="Cambria Math" w:eastAsia="Cambria Math"/>
          <w:w w:val="159"/>
          <w:position w:val="-5"/>
        </w:rPr>
        <w:t> </w:t>
      </w:r>
    </w:p>
    <w:p>
      <w:pPr>
        <w:pStyle w:val="BodyText"/>
        <w:spacing w:line="20" w:lineRule="exact"/>
        <w:ind w:left="36"/>
        <w:rPr>
          <w:rFonts w:ascii="Cambria Math"/>
          <w:sz w:val="2"/>
        </w:rPr>
      </w:pPr>
      <w:r>
        <w:rPr>
          <w:rFonts w:ascii="Cambria Math"/>
          <w:sz w:val="2"/>
        </w:rPr>
        <w:pict>
          <v:group style="width:17.4pt;height:.75pt;mso-position-horizontal-relative:char;mso-position-vertical-relative:line" coordorigin="0,0" coordsize="348,15">
            <v:line style="position:absolute" from="0,7" to="348,7" stroked="true" strokeweight=".71999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2" w:equalWidth="0">
            <w:col w:w="7734" w:space="40"/>
            <w:col w:w="2906"/>
          </w:cols>
        </w:sectPr>
      </w:pPr>
    </w:p>
    <w:p>
      <w:pPr>
        <w:pStyle w:val="BodyText"/>
        <w:spacing w:before="1"/>
        <w:rPr>
          <w:rFonts w:ascii="Cambria Math"/>
          <w:sz w:val="17"/>
        </w:rPr>
      </w:pPr>
    </w:p>
    <w:p>
      <w:pPr>
        <w:pStyle w:val="BodyText"/>
        <w:spacing w:line="199" w:lineRule="exact" w:before="1"/>
        <w:ind w:left="220"/>
        <w:rPr>
          <w:rFonts w:ascii="Cambria Math" w:eastAsia="Cambria Math"/>
        </w:rPr>
      </w:pPr>
      <w:r>
        <w:rPr/>
        <w:pict>
          <v:line style="position:absolute;mso-position-horizontal-relative:page;mso-position-vertical-relative:paragraph;z-index:251831296" from="134.539993pt,7.382132pt" to="534.929993pt,7.382132pt" stroked="true" strokeweight=".71999pt" strokecolor="#000000">
            <v:stroke dashstyle="solid"/>
            <w10:wrap type="none"/>
          </v:line>
        </w:pict>
      </w:r>
      <w:r>
        <w:rPr>
          <w:rFonts w:ascii="Cambria Math" w:eastAsia="Cambria Math"/>
        </w:rPr>
        <w:t>𝑂𝐷𝐷𝐿𝑌𝐼𝐸𝐿𝐷 =</w:t>
      </w:r>
    </w:p>
    <w:p>
      <w:pPr>
        <w:spacing w:line="120" w:lineRule="auto" w:before="14"/>
        <w:ind w:left="220" w:right="0" w:firstLine="0"/>
        <w:jc w:val="left"/>
        <w:rPr>
          <w:rFonts w:ascii="Cambria Math" w:eastAsia="Cambria Math"/>
          <w:sz w:val="16"/>
        </w:rPr>
      </w:pPr>
      <w:r>
        <w:rPr/>
        <w:br w:type="column"/>
      </w:r>
      <w:r>
        <w:rPr>
          <w:rFonts w:ascii="Cambria Math" w:eastAsia="Cambria Math"/>
          <w:w w:val="105"/>
          <w:sz w:val="16"/>
        </w:rPr>
        <w:t>𝑖=1 </w:t>
      </w:r>
      <w:r>
        <w:rPr>
          <w:rFonts w:ascii="Cambria Math" w:eastAsia="Cambria Math"/>
          <w:w w:val="105"/>
          <w:position w:val="-5"/>
          <w:sz w:val="22"/>
        </w:rPr>
        <w:t>𝑁𝐿</w:t>
      </w:r>
      <w:r>
        <w:rPr>
          <w:rFonts w:ascii="Cambria Math" w:eastAsia="Cambria Math"/>
          <w:w w:val="105"/>
          <w:position w:val="-9"/>
          <w:sz w:val="16"/>
        </w:rPr>
        <w:t>𝑖</w:t>
      </w:r>
    </w:p>
    <w:p>
      <w:pPr>
        <w:pStyle w:val="BodyText"/>
        <w:spacing w:line="212" w:lineRule="exact"/>
        <w:ind w:left="220"/>
        <w:rPr>
          <w:rFonts w:ascii="Cambria Math" w:eastAsia="Cambria Math"/>
        </w:rPr>
      </w:pPr>
      <w:r>
        <w:rPr/>
        <w:br w:type="column"/>
      </w:r>
      <w:r>
        <w:rPr>
          <w:rFonts w:ascii="Cambria Math" w:eastAsia="Cambria Math"/>
        </w:rPr>
        <w:t>𝑓𝑟𝑒𝑞𝑢𝑒𝑛𝑐𝑦</w:t>
      </w:r>
    </w:p>
    <w:p>
      <w:pPr>
        <w:spacing w:line="120" w:lineRule="auto" w:before="14"/>
        <w:ind w:left="220" w:right="0" w:firstLine="0"/>
        <w:jc w:val="left"/>
        <w:rPr>
          <w:rFonts w:ascii="Cambria Math" w:eastAsia="Cambria Math"/>
          <w:sz w:val="16"/>
        </w:rPr>
      </w:pPr>
      <w:r>
        <w:rPr/>
        <w:br w:type="column"/>
      </w:r>
      <w:r>
        <w:rPr>
          <w:rFonts w:ascii="Cambria Math" w:eastAsia="Cambria Math"/>
          <w:w w:val="105"/>
          <w:sz w:val="16"/>
        </w:rPr>
        <w:t>𝑖=1 </w:t>
      </w:r>
      <w:r>
        <w:rPr>
          <w:rFonts w:ascii="Cambria Math" w:eastAsia="Cambria Math"/>
          <w:w w:val="105"/>
          <w:position w:val="-5"/>
          <w:sz w:val="22"/>
        </w:rPr>
        <w:t>𝑁𝐿</w:t>
      </w:r>
      <w:r>
        <w:rPr>
          <w:rFonts w:ascii="Cambria Math" w:eastAsia="Cambria Math"/>
          <w:w w:val="105"/>
          <w:position w:val="-9"/>
          <w:sz w:val="16"/>
        </w:rPr>
        <w:t>𝑖</w:t>
      </w:r>
    </w:p>
    <w:p>
      <w:pPr>
        <w:pStyle w:val="BodyText"/>
        <w:spacing w:line="212" w:lineRule="exact"/>
        <w:ind w:left="220"/>
        <w:rPr>
          <w:rFonts w:ascii="Cambria Math" w:eastAsia="Cambria Math"/>
        </w:rPr>
      </w:pPr>
      <w:r>
        <w:rPr/>
        <w:br w:type="column"/>
      </w:r>
      <w:r>
        <w:rPr>
          <w:rFonts w:ascii="Cambria Math" w:eastAsia="Cambria Math"/>
        </w:rPr>
        <w:t>𝑓𝑟𝑒𝑞𝑢𝑒𝑛𝑐𝑦</w:t>
      </w:r>
    </w:p>
    <w:p>
      <w:pPr>
        <w:spacing w:after="0" w:line="212" w:lineRule="exact"/>
        <w:rPr>
          <w:rFonts w:ascii="Cambria Math" w:eastAsia="Cambria Math"/>
        </w:rPr>
        <w:sectPr>
          <w:type w:val="continuous"/>
          <w:pgSz w:w="12240" w:h="15840"/>
          <w:pgMar w:top="1340" w:bottom="940" w:left="860" w:right="700"/>
          <w:cols w:num="5" w:equalWidth="0">
            <w:col w:w="1686" w:space="1874"/>
            <w:col w:w="902" w:space="118"/>
            <w:col w:w="1303" w:space="1409"/>
            <w:col w:w="900" w:space="121"/>
            <w:col w:w="2367"/>
          </w:cols>
        </w:sectPr>
      </w:pPr>
    </w:p>
    <w:p>
      <w:pPr>
        <w:pStyle w:val="BodyText"/>
        <w:spacing w:line="154" w:lineRule="exact" w:before="109"/>
        <w:jc w:val="right"/>
        <w:rPr>
          <w:rFonts w:ascii="Cambria Math" w:hAnsi="Cambria Math" w:eastAsia="Cambria Math"/>
        </w:rPr>
      </w:pPr>
      <w:r>
        <w:rPr>
          <w:rFonts w:ascii="Cambria Math" w:hAnsi="Cambria Math" w:eastAsia="Cambria Math"/>
          <w:w w:val="105"/>
        </w:rPr>
        <w:t>𝑝𝑟 + ((</w:t>
      </w:r>
      <w:r>
        <w:rPr>
          <w:rFonts w:ascii="Cambria Math" w:hAnsi="Cambria Math" w:eastAsia="Cambria Math"/>
          <w:w w:val="105"/>
          <w:position w:val="1"/>
        </w:rPr>
        <w:t>∑</w:t>
      </w:r>
      <w:r>
        <w:rPr>
          <w:rFonts w:ascii="Cambria Math" w:hAnsi="Cambria Math" w:eastAsia="Cambria Math"/>
          <w:w w:val="105"/>
          <w:position w:val="1"/>
          <w:vertAlign w:val="superscript"/>
        </w:rPr>
        <w:t>𝑁𝐶</w:t>
      </w:r>
    </w:p>
    <w:p>
      <w:pPr>
        <w:pStyle w:val="BodyText"/>
        <w:spacing w:line="88" w:lineRule="auto" w:before="37"/>
        <w:ind w:left="113"/>
        <w:rPr>
          <w:rFonts w:ascii="Cambria Math" w:hAnsi="Cambria Math" w:eastAsia="Cambria Math"/>
        </w:rPr>
      </w:pPr>
      <w:r>
        <w:rPr/>
        <w:br w:type="column"/>
      </w:r>
      <w:r>
        <w:rPr>
          <w:rFonts w:ascii="Cambria Math" w:hAnsi="Cambria Math" w:eastAsia="Cambria Math"/>
          <w:w w:val="105"/>
        </w:rPr>
        <w:t>𝐴</w:t>
      </w:r>
      <w:r>
        <w:rPr>
          <w:rFonts w:ascii="Cambria Math" w:hAnsi="Cambria Math" w:eastAsia="Cambria Math"/>
          <w:w w:val="105"/>
          <w:position w:val="-4"/>
          <w:sz w:val="16"/>
        </w:rPr>
        <w:t>𝑖 </w:t>
      </w:r>
      <w:r>
        <w:rPr>
          <w:rFonts w:ascii="Cambria Math" w:hAnsi="Cambria Math" w:eastAsia="Cambria Math"/>
          <w:w w:val="105"/>
          <w:position w:val="-12"/>
        </w:rPr>
        <w:t>) ×</w:t>
      </w:r>
      <w:r>
        <w:rPr>
          <w:rFonts w:ascii="Cambria Math" w:hAnsi="Cambria Math" w:eastAsia="Cambria Math"/>
          <w:w w:val="105"/>
          <w:u w:val="single"/>
        </w:rPr>
        <w:t> 100 × 𝑟𝑎𝑡𝑒</w:t>
      </w:r>
      <w:r>
        <w:rPr>
          <w:rFonts w:ascii="Cambria Math" w:hAnsi="Cambria Math" w:eastAsia="Cambria Math"/>
          <w:w w:val="105"/>
          <w:position w:val="-12"/>
        </w:rPr>
        <w:t>)</w:t>
      </w:r>
    </w:p>
    <w:p>
      <w:pPr>
        <w:pStyle w:val="BodyText"/>
        <w:spacing w:line="20" w:lineRule="exact"/>
        <w:ind w:left="36"/>
        <w:rPr>
          <w:rFonts w:ascii="Cambria Math"/>
          <w:sz w:val="2"/>
        </w:rPr>
      </w:pPr>
      <w:r>
        <w:rPr>
          <w:rFonts w:ascii="Cambria Math"/>
          <w:sz w:val="2"/>
        </w:rPr>
        <w:pict>
          <v:group style="width:17.45pt;height:.75pt;mso-position-horizontal-relative:char;mso-position-vertical-relative:line" coordorigin="0,0" coordsize="349,15">
            <v:line style="position:absolute" from="0,7" to="348,7" stroked="true" strokeweight=".72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2" w:equalWidth="0">
            <w:col w:w="5403" w:space="40"/>
            <w:col w:w="5237"/>
          </w:cols>
        </w:sectPr>
      </w:pPr>
    </w:p>
    <w:p>
      <w:pPr>
        <w:pStyle w:val="BodyText"/>
        <w:spacing w:before="97"/>
        <w:ind w:left="1753"/>
        <w:rPr>
          <w:rFonts w:ascii="Cambria Math"/>
        </w:rPr>
      </w:pPr>
      <w:r>
        <w:rPr>
          <w:rFonts w:ascii="Cambria Math"/>
          <w:w w:val="100"/>
        </w:rPr>
        <w:t>[</w:t>
      </w:r>
    </w:p>
    <w:p>
      <w:pPr>
        <w:pStyle w:val="BodyText"/>
        <w:spacing w:line="214" w:lineRule="exact" w:before="176"/>
        <w:ind w:left="2006"/>
        <w:rPr>
          <w:rFonts w:ascii="Cambria Math" w:eastAsia="Cambria Math"/>
        </w:rPr>
      </w:pPr>
      <w:r>
        <w:rPr>
          <w:rFonts w:ascii="Cambria Math" w:eastAsia="Cambria Math"/>
        </w:rPr>
        <w:t>𝑓𝑟𝑒𝑞𝑢𝑒𝑛𝑐𝑦</w:t>
      </w:r>
    </w:p>
    <w:p>
      <w:pPr>
        <w:tabs>
          <w:tab w:pos="2224" w:val="left" w:leader="none"/>
        </w:tabs>
        <w:spacing w:line="236" w:lineRule="exact" w:before="0"/>
        <w:ind w:left="1660" w:right="0" w:firstLine="0"/>
        <w:jc w:val="left"/>
        <w:rPr>
          <w:rFonts w:ascii="Cambria Math" w:hAnsi="Cambria Math" w:eastAsia="Cambria Math"/>
          <w:sz w:val="22"/>
        </w:rPr>
      </w:pPr>
      <w:r>
        <w:rPr/>
        <w:pict>
          <v:line style="position:absolute;mso-position-horizontal-relative:page;mso-position-vertical-relative:paragraph;z-index:-335808512" from="141.020004pt,5.024151pt" to="197.900004pt,5.024151pt" stroked="true" strokeweight=".72pt" strokecolor="#000000">
            <v:stroke dashstyle="solid"/>
            <w10:wrap type="none"/>
          </v:line>
        </w:pict>
      </w:r>
      <w:r>
        <w:rPr>
          <w:rFonts w:ascii="Cambria Math" w:hAnsi="Cambria Math" w:eastAsia="Cambria Math"/>
          <w:w w:val="105"/>
          <w:position w:val="12"/>
          <w:sz w:val="22"/>
        </w:rPr>
        <w:t>×</w:t>
      </w:r>
      <w:r>
        <w:rPr>
          <w:rFonts w:ascii="Cambria Math" w:hAnsi="Cambria Math" w:eastAsia="Cambria Math"/>
          <w:spacing w:val="-2"/>
          <w:w w:val="105"/>
          <w:position w:val="12"/>
          <w:sz w:val="22"/>
        </w:rPr>
        <w:t> </w:t>
      </w:r>
      <w:r>
        <w:rPr>
          <w:rFonts w:ascii="Cambria Math" w:hAnsi="Cambria Math" w:eastAsia="Cambria Math"/>
          <w:w w:val="105"/>
          <w:position w:val="12"/>
          <w:sz w:val="22"/>
        </w:rPr>
        <w:t>[</w:t>
        <w:tab/>
      </w:r>
      <w:r>
        <w:rPr>
          <w:rFonts w:ascii="Cambria Math" w:hAnsi="Cambria Math" w:eastAsia="Cambria Math"/>
          <w:w w:val="105"/>
          <w:position w:val="-4"/>
          <w:sz w:val="16"/>
        </w:rPr>
        <w:t>𝑁𝐶 </w:t>
      </w:r>
      <w:r>
        <w:rPr>
          <w:rFonts w:ascii="Cambria Math" w:hAnsi="Cambria Math" w:eastAsia="Cambria Math"/>
          <w:spacing w:val="-4"/>
          <w:w w:val="105"/>
          <w:sz w:val="22"/>
        </w:rPr>
        <w:t>𝐷𝑆𝐶</w:t>
      </w:r>
      <w:r>
        <w:rPr>
          <w:rFonts w:ascii="Cambria Math" w:hAnsi="Cambria Math" w:eastAsia="Cambria Math"/>
          <w:spacing w:val="-4"/>
          <w:w w:val="105"/>
          <w:position w:val="-4"/>
          <w:sz w:val="16"/>
        </w:rPr>
        <w:t>𝑖</w:t>
      </w:r>
      <w:r>
        <w:rPr>
          <w:rFonts w:ascii="Cambria Math" w:hAnsi="Cambria Math" w:eastAsia="Cambria Math"/>
          <w:spacing w:val="24"/>
          <w:w w:val="105"/>
          <w:position w:val="-4"/>
          <w:sz w:val="16"/>
        </w:rPr>
        <w:t> </w:t>
      </w:r>
      <w:r>
        <w:rPr>
          <w:rFonts w:ascii="Cambria Math" w:hAnsi="Cambria Math" w:eastAsia="Cambria Math"/>
          <w:w w:val="105"/>
          <w:position w:val="12"/>
          <w:sz w:val="22"/>
        </w:rPr>
        <w:t>]</w:t>
      </w:r>
    </w:p>
    <w:p>
      <w:pPr>
        <w:pStyle w:val="BodyText"/>
        <w:spacing w:before="3"/>
        <w:rPr>
          <w:rFonts w:ascii="Cambria Math"/>
          <w:sz w:val="9"/>
        </w:rPr>
      </w:pPr>
    </w:p>
    <w:p>
      <w:pPr>
        <w:pStyle w:val="BodyText"/>
        <w:spacing w:line="20" w:lineRule="exact"/>
        <w:ind w:left="2521"/>
        <w:rPr>
          <w:rFonts w:ascii="Cambria Math"/>
          <w:sz w:val="2"/>
        </w:rPr>
      </w:pPr>
      <w:r>
        <w:rPr>
          <w:rFonts w:ascii="Cambria Math"/>
          <w:sz w:val="2"/>
        </w:rPr>
        <w:pict>
          <v:group style="width:22.95pt;height:.75pt;mso-position-horizontal-relative:char;mso-position-vertical-relative:line" coordorigin="0,0" coordsize="459,15">
            <v:line style="position:absolute" from="0,7" to="458,7" stroked="true" strokeweight=".72pt" strokecolor="#000000">
              <v:stroke dashstyle="solid"/>
            </v:line>
          </v:group>
        </w:pict>
      </w:r>
      <w:r>
        <w:rPr>
          <w:rFonts w:ascii="Cambria Math"/>
          <w:sz w:val="2"/>
        </w:rPr>
      </w:r>
    </w:p>
    <w:p>
      <w:pPr>
        <w:spacing w:line="120" w:lineRule="auto" w:before="12"/>
        <w:ind w:left="0" w:right="0" w:firstLine="0"/>
        <w:jc w:val="right"/>
        <w:rPr>
          <w:rFonts w:ascii="Cambria Math" w:eastAsia="Cambria Math"/>
          <w:sz w:val="16"/>
        </w:rPr>
      </w:pPr>
      <w:r>
        <w:rPr/>
        <w:br w:type="column"/>
      </w:r>
      <w:r>
        <w:rPr>
          <w:rFonts w:ascii="Cambria Math" w:eastAsia="Cambria Math"/>
          <w:w w:val="105"/>
          <w:sz w:val="16"/>
        </w:rPr>
        <w:t>𝑖=1 </w:t>
      </w:r>
      <w:r>
        <w:rPr>
          <w:rFonts w:ascii="Cambria Math" w:eastAsia="Cambria Math"/>
          <w:w w:val="105"/>
          <w:position w:val="-4"/>
          <w:sz w:val="22"/>
        </w:rPr>
        <w:t>𝑁𝐿</w:t>
      </w:r>
      <w:r>
        <w:rPr>
          <w:rFonts w:ascii="Cambria Math" w:eastAsia="Cambria Math"/>
          <w:w w:val="105"/>
          <w:position w:val="-8"/>
          <w:sz w:val="16"/>
        </w:rPr>
        <w:t>𝑖</w:t>
      </w:r>
    </w:p>
    <w:p>
      <w:pPr>
        <w:pStyle w:val="BodyText"/>
        <w:spacing w:line="151" w:lineRule="exact"/>
        <w:ind w:left="340"/>
        <w:rPr>
          <w:rFonts w:ascii="Cambria Math" w:eastAsia="Cambria Math"/>
        </w:rPr>
      </w:pPr>
      <w:r>
        <w:rPr/>
        <w:br w:type="column"/>
      </w:r>
      <w:r>
        <w:rPr>
          <w:rFonts w:ascii="Cambria Math" w:eastAsia="Cambria Math"/>
        </w:rPr>
        <w:t>𝑓𝑟𝑒𝑞𝑢𝑒𝑛𝑐𝑦</w:t>
      </w:r>
    </w:p>
    <w:p>
      <w:pPr>
        <w:pStyle w:val="BodyText"/>
        <w:spacing w:line="204" w:lineRule="exact"/>
        <w:ind w:left="3979"/>
        <w:rPr>
          <w:rFonts w:ascii="Cambria Math"/>
        </w:rPr>
      </w:pPr>
      <w:r>
        <w:rPr>
          <w:rFonts w:ascii="Cambria Math"/>
          <w:w w:val="100"/>
        </w:rPr>
        <w:t>]</w:t>
      </w:r>
    </w:p>
    <w:p>
      <w:pPr>
        <w:spacing w:after="0" w:line="204" w:lineRule="exact"/>
        <w:rPr>
          <w:rFonts w:ascii="Cambria Math"/>
        </w:rPr>
        <w:sectPr>
          <w:type w:val="continuous"/>
          <w:pgSz w:w="12240" w:h="15840"/>
          <w:pgMar w:top="1340" w:bottom="940" w:left="860" w:right="700"/>
          <w:cols w:num="3" w:equalWidth="0">
            <w:col w:w="3232" w:space="290"/>
            <w:col w:w="2300" w:space="39"/>
            <w:col w:w="4819"/>
          </w:cols>
        </w:sectPr>
      </w:pPr>
    </w:p>
    <w:p>
      <w:pPr>
        <w:spacing w:line="129" w:lineRule="auto" w:before="0"/>
        <w:ind w:left="1960" w:right="0" w:firstLine="0"/>
        <w:jc w:val="left"/>
        <w:rPr>
          <w:rFonts w:ascii="Cambria Math" w:hAnsi="Cambria Math" w:eastAsia="Cambria Math"/>
          <w:sz w:val="22"/>
        </w:rPr>
      </w:pPr>
      <w:r>
        <w:rPr>
          <w:rFonts w:ascii="Cambria Math" w:hAnsi="Cambria Math" w:eastAsia="Cambria Math"/>
          <w:w w:val="110"/>
          <w:position w:val="6"/>
          <w:sz w:val="22"/>
        </w:rPr>
        <w:t>(</w:t>
      </w:r>
      <w:r>
        <w:rPr>
          <w:rFonts w:ascii="Cambria Math" w:hAnsi="Cambria Math" w:eastAsia="Cambria Math"/>
          <w:w w:val="110"/>
          <w:position w:val="7"/>
          <w:sz w:val="22"/>
        </w:rPr>
        <w:t>∑</w:t>
      </w:r>
      <w:r>
        <w:rPr>
          <w:rFonts w:ascii="Cambria Math" w:hAnsi="Cambria Math" w:eastAsia="Cambria Math"/>
          <w:w w:val="110"/>
          <w:sz w:val="16"/>
        </w:rPr>
        <w:t>𝑖=1 </w:t>
      </w:r>
      <w:r>
        <w:rPr>
          <w:rFonts w:ascii="Cambria Math" w:hAnsi="Cambria Math" w:eastAsia="Cambria Math"/>
          <w:w w:val="110"/>
          <w:position w:val="-4"/>
          <w:sz w:val="22"/>
        </w:rPr>
        <w:t>𝑁𝐿</w:t>
      </w:r>
      <w:r>
        <w:rPr>
          <w:rFonts w:ascii="Cambria Math" w:hAnsi="Cambria Math" w:eastAsia="Cambria Math"/>
          <w:w w:val="110"/>
          <w:position w:val="-8"/>
          <w:sz w:val="16"/>
        </w:rPr>
        <w:t>𝑖 </w:t>
      </w:r>
      <w:r>
        <w:rPr>
          <w:rFonts w:ascii="Cambria Math" w:hAnsi="Cambria Math" w:eastAsia="Cambria Math"/>
          <w:w w:val="110"/>
          <w:position w:val="6"/>
          <w:sz w:val="22"/>
        </w:rPr>
        <w:t>)</w:t>
      </w:r>
    </w:p>
    <w:p>
      <w:pPr>
        <w:pStyle w:val="BodyText"/>
        <w:spacing w:before="10"/>
        <w:rPr>
          <w:rFonts w:ascii="Cambria Math"/>
          <w:sz w:val="8"/>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52" w:lineRule="auto" w:before="1" w:after="0"/>
        <w:ind w:left="940" w:right="435" w:hanging="360"/>
        <w:jc w:val="left"/>
        <w:rPr>
          <w:sz w:val="22"/>
        </w:rPr>
      </w:pPr>
      <w:r>
        <w:rPr>
          <w:rFonts w:ascii="Cambria Math" w:hAnsi="Cambria Math"/>
          <w:sz w:val="22"/>
        </w:rPr>
        <w:t>A</w:t>
      </w:r>
      <w:r>
        <w:rPr>
          <w:rFonts w:ascii="Cambria Math" w:hAnsi="Cambria Math"/>
          <w:position w:val="-4"/>
          <w:sz w:val="16"/>
        </w:rPr>
        <w:t>i </w:t>
      </w:r>
      <w:r>
        <w:rPr>
          <w:sz w:val="22"/>
        </w:rPr>
        <w:t>= number of accrued days for the i</w:t>
      </w:r>
      <w:r>
        <w:rPr>
          <w:sz w:val="22"/>
          <w:vertAlign w:val="superscript"/>
        </w:rPr>
        <w:t>th</w:t>
      </w:r>
      <w:r>
        <w:rPr>
          <w:sz w:val="22"/>
          <w:vertAlign w:val="baseline"/>
        </w:rPr>
        <w:t>, or last, quasi-coupon period within odd period counting forward from last interest date before</w:t>
      </w:r>
      <w:r>
        <w:rPr>
          <w:spacing w:val="-3"/>
          <w:sz w:val="22"/>
          <w:vertAlign w:val="baseline"/>
        </w:rPr>
        <w:t> </w:t>
      </w:r>
      <w:r>
        <w:rPr>
          <w:sz w:val="22"/>
          <w:vertAlign w:val="baseline"/>
        </w:rPr>
        <w:t>redemption.</w:t>
      </w:r>
    </w:p>
    <w:p>
      <w:pPr>
        <w:pStyle w:val="ListParagraph"/>
        <w:numPr>
          <w:ilvl w:val="4"/>
          <w:numId w:val="66"/>
        </w:numPr>
        <w:tabs>
          <w:tab w:pos="940" w:val="left" w:leader="none"/>
          <w:tab w:pos="941" w:val="left" w:leader="none"/>
        </w:tabs>
        <w:spacing w:line="252" w:lineRule="auto" w:before="26" w:after="0"/>
        <w:ind w:left="940" w:right="655" w:hanging="360"/>
        <w:jc w:val="left"/>
        <w:rPr>
          <w:sz w:val="22"/>
        </w:rPr>
      </w:pPr>
      <w:r>
        <w:rPr>
          <w:rFonts w:ascii="Cambria Math" w:hAnsi="Cambria Math"/>
          <w:sz w:val="22"/>
        </w:rPr>
        <w:t>DC</w:t>
      </w:r>
      <w:r>
        <w:rPr>
          <w:rFonts w:ascii="Cambria Math" w:hAnsi="Cambria Math"/>
          <w:position w:val="-4"/>
          <w:sz w:val="16"/>
        </w:rPr>
        <w:t>i </w:t>
      </w:r>
      <w:r>
        <w:rPr>
          <w:sz w:val="22"/>
        </w:rPr>
        <w:t>= number of days counted in the i</w:t>
      </w:r>
      <w:r>
        <w:rPr>
          <w:sz w:val="22"/>
          <w:vertAlign w:val="superscript"/>
        </w:rPr>
        <w:t>th</w:t>
      </w:r>
      <w:r>
        <w:rPr>
          <w:sz w:val="22"/>
          <w:vertAlign w:val="baseline"/>
        </w:rPr>
        <w:t>, or last, quasi-coupon period as delimited by the length of the actual coupon</w:t>
      </w:r>
      <w:r>
        <w:rPr>
          <w:spacing w:val="-3"/>
          <w:sz w:val="22"/>
          <w:vertAlign w:val="baseline"/>
        </w:rPr>
        <w:t> </w:t>
      </w:r>
      <w:r>
        <w:rPr>
          <w:sz w:val="22"/>
          <w:vertAlign w:val="baseline"/>
        </w:rPr>
        <w:t>period.</w:t>
      </w:r>
    </w:p>
    <w:p>
      <w:pPr>
        <w:pStyle w:val="ListParagraph"/>
        <w:numPr>
          <w:ilvl w:val="4"/>
          <w:numId w:val="66"/>
        </w:numPr>
        <w:tabs>
          <w:tab w:pos="940" w:val="left" w:leader="none"/>
          <w:tab w:pos="941" w:val="left" w:leader="none"/>
        </w:tabs>
        <w:spacing w:line="240" w:lineRule="auto" w:before="27" w:after="0"/>
        <w:ind w:left="940" w:right="0" w:hanging="361"/>
        <w:jc w:val="left"/>
        <w:rPr>
          <w:rFonts w:ascii="Times New Roman" w:hAnsi="Times New Roman"/>
          <w:i/>
          <w:sz w:val="22"/>
        </w:rPr>
      </w:pPr>
      <w:r>
        <w:rPr>
          <w:rFonts w:ascii="Times New Roman" w:hAnsi="Times New Roman"/>
          <w:i/>
          <w:sz w:val="22"/>
        </w:rPr>
        <w:t>frequency </w:t>
      </w:r>
      <w:r>
        <w:rPr>
          <w:sz w:val="22"/>
        </w:rPr>
        <w:t>= argument</w:t>
      </w:r>
      <w:r>
        <w:rPr>
          <w:spacing w:val="-1"/>
          <w:sz w:val="22"/>
        </w:rPr>
        <w:t> </w:t>
      </w:r>
      <w:r>
        <w:rPr>
          <w:rFonts w:ascii="Times New Roman" w:hAnsi="Times New Roman"/>
          <w:i/>
          <w:sz w:val="22"/>
        </w:rPr>
        <w:t>frequency</w:t>
      </w:r>
    </w:p>
    <w:p>
      <w:pPr>
        <w:pStyle w:val="ListParagraph"/>
        <w:numPr>
          <w:ilvl w:val="4"/>
          <w:numId w:val="66"/>
        </w:numPr>
        <w:tabs>
          <w:tab w:pos="940" w:val="left" w:leader="none"/>
          <w:tab w:pos="941" w:val="left" w:leader="none"/>
        </w:tabs>
        <w:spacing w:line="276" w:lineRule="auto" w:before="42" w:after="0"/>
        <w:ind w:left="940" w:right="380" w:hanging="360"/>
        <w:jc w:val="left"/>
        <w:rPr>
          <w:sz w:val="22"/>
        </w:rPr>
      </w:pPr>
      <w:r>
        <w:rPr>
          <w:rFonts w:ascii="Times New Roman" w:hAnsi="Times New Roman"/>
          <w:i/>
          <w:sz w:val="22"/>
        </w:rPr>
        <w:t>NC</w:t>
      </w:r>
      <w:r>
        <w:rPr>
          <w:rFonts w:ascii="Times New Roman" w:hAnsi="Times New Roman"/>
          <w:i/>
          <w:spacing w:val="-40"/>
          <w:sz w:val="22"/>
        </w:rPr>
        <w:t> </w:t>
      </w:r>
      <w:r>
        <w:rPr>
          <w:sz w:val="22"/>
        </w:rPr>
        <w:t>= number of quasi-coupon periods that fit in odd period; if this number contains a fraction it is raised to the next whole</w:t>
      </w:r>
      <w:r>
        <w:rPr>
          <w:spacing w:val="-6"/>
          <w:sz w:val="22"/>
        </w:rPr>
        <w:t> </w:t>
      </w:r>
      <w:r>
        <w:rPr>
          <w:sz w:val="22"/>
        </w:rPr>
        <w:t>number.</w:t>
      </w:r>
    </w:p>
    <w:p>
      <w:pPr>
        <w:pStyle w:val="ListParagraph"/>
        <w:numPr>
          <w:ilvl w:val="4"/>
          <w:numId w:val="66"/>
        </w:numPr>
        <w:tabs>
          <w:tab w:pos="940" w:val="left" w:leader="none"/>
          <w:tab w:pos="941" w:val="left" w:leader="none"/>
        </w:tabs>
        <w:spacing w:line="306" w:lineRule="exact" w:before="0" w:after="0"/>
        <w:ind w:left="940" w:right="0" w:hanging="361"/>
        <w:jc w:val="left"/>
        <w:rPr>
          <w:sz w:val="22"/>
        </w:rPr>
      </w:pPr>
      <w:r>
        <w:rPr>
          <w:rFonts w:ascii="Cambria Math" w:hAnsi="Cambria Math"/>
          <w:sz w:val="22"/>
        </w:rPr>
        <w:t>NL</w:t>
      </w:r>
      <w:r>
        <w:rPr>
          <w:rFonts w:ascii="Cambria Math" w:hAnsi="Cambria Math"/>
          <w:position w:val="-4"/>
          <w:sz w:val="16"/>
        </w:rPr>
        <w:t>i </w:t>
      </w:r>
      <w:r>
        <w:rPr>
          <w:sz w:val="22"/>
        </w:rPr>
        <w:t>= normal length in days of the i</w:t>
      </w:r>
      <w:r>
        <w:rPr>
          <w:sz w:val="22"/>
          <w:vertAlign w:val="superscript"/>
        </w:rPr>
        <w:t>th</w:t>
      </w:r>
      <w:r>
        <w:rPr>
          <w:sz w:val="22"/>
          <w:vertAlign w:val="baseline"/>
        </w:rPr>
        <w:t>, or last, quasi-coupon period within odd coupon</w:t>
      </w:r>
      <w:r>
        <w:rPr>
          <w:spacing w:val="-32"/>
          <w:sz w:val="22"/>
          <w:vertAlign w:val="baseline"/>
        </w:rPr>
        <w:t> </w:t>
      </w:r>
      <w:r>
        <w:rPr>
          <w:sz w:val="22"/>
          <w:vertAlign w:val="baseline"/>
        </w:rPr>
        <w:t>period.</w:t>
      </w:r>
    </w:p>
    <w:p>
      <w:pPr>
        <w:pStyle w:val="ListParagraph"/>
        <w:numPr>
          <w:ilvl w:val="4"/>
          <w:numId w:val="66"/>
        </w:numPr>
        <w:tabs>
          <w:tab w:pos="940" w:val="left" w:leader="none"/>
          <w:tab w:pos="941" w:val="left" w:leader="none"/>
        </w:tabs>
        <w:spacing w:line="240" w:lineRule="auto" w:before="14" w:after="0"/>
        <w:ind w:left="940" w:right="0" w:hanging="361"/>
        <w:jc w:val="left"/>
        <w:rPr>
          <w:rFonts w:ascii="Times New Roman" w:hAnsi="Times New Roman"/>
          <w:i/>
          <w:sz w:val="22"/>
        </w:rPr>
      </w:pPr>
      <w:r>
        <w:rPr>
          <w:rFonts w:ascii="Times New Roman" w:hAnsi="Times New Roman"/>
          <w:i/>
          <w:sz w:val="22"/>
        </w:rPr>
        <w:t>par </w:t>
      </w:r>
      <w:r>
        <w:rPr>
          <w:sz w:val="22"/>
        </w:rPr>
        <w:t>= argument</w:t>
      </w:r>
      <w:r>
        <w:rPr>
          <w:spacing w:val="-2"/>
          <w:sz w:val="22"/>
        </w:rPr>
        <w:t> </w:t>
      </w:r>
      <w:r>
        <w:rPr>
          <w:rFonts w:ascii="Times New Roman" w:hAnsi="Times New Roman"/>
          <w:i/>
          <w:sz w:val="22"/>
        </w:rPr>
        <w:t>par</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4"/>
          <w:sz w:val="22"/>
        </w:rPr>
        <w:t> </w:t>
      </w:r>
      <w:r>
        <w:rPr>
          <w:rFonts w:ascii="Times New Roman" w:hAnsi="Times New Roman"/>
          <w:i/>
          <w:sz w:val="22"/>
        </w:rPr>
        <w:t>rate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5"/>
          <w:sz w:val="22"/>
        </w:rPr>
        <w:t> </w:t>
      </w:r>
      <w:r>
        <w:rPr>
          <w:rFonts w:ascii="Times New Roman" w:hAnsi="Times New Roman"/>
          <w:i/>
          <w:sz w:val="22"/>
        </w:rPr>
        <w:t>redemption</w:t>
      </w:r>
    </w:p>
    <w:p>
      <w:pPr>
        <w:pStyle w:val="BodyText"/>
        <w:spacing w:before="41"/>
        <w:ind w:left="220"/>
        <w:rPr>
          <w:rFonts w:ascii="Symbol" w:hAnsi="Symbol"/>
        </w:rPr>
      </w:pPr>
      <w:r>
        <w:rPr>
          <w:rFonts w:ascii="Symbol" w:hAnsi="Symbol"/>
          <w:w w:val="100"/>
        </w:rPr>
        <w:t></w:t>
      </w:r>
    </w:p>
    <w:p>
      <w:pPr>
        <w:pStyle w:val="BodyText"/>
        <w:spacing w:before="8"/>
        <w:rPr>
          <w:rFonts w:ascii="Symbol" w:hAnsi="Symbol"/>
          <w:sz w:val="20"/>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last-interest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last coupon date.</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interest rate.</w:t>
            </w:r>
          </w:p>
        </w:tc>
      </w:tr>
      <w:tr>
        <w:trPr>
          <w:trHeight w:val="354" w:hRule="atLeast"/>
        </w:trPr>
        <w:tc>
          <w:tcPr>
            <w:tcW w:w="1466" w:type="dxa"/>
          </w:tcPr>
          <w:p>
            <w:pPr>
              <w:pStyle w:val="TableParagraph"/>
              <w:spacing w:before="37"/>
              <w:rPr>
                <w:rFonts w:ascii="Times New Roman"/>
                <w:i/>
                <w:sz w:val="22"/>
              </w:rPr>
            </w:pPr>
            <w:r>
              <w:rPr>
                <w:rFonts w:ascii="Times New Roman"/>
                <w:i/>
                <w:sz w:val="22"/>
              </w:rPr>
              <w:t>pr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price.</w:t>
            </w:r>
          </w:p>
        </w:tc>
      </w:tr>
      <w:tr>
        <w:trPr>
          <w:trHeight w:val="354" w:hRule="atLeast"/>
        </w:trPr>
        <w:tc>
          <w:tcPr>
            <w:tcW w:w="1466" w:type="dxa"/>
          </w:tcPr>
          <w:p>
            <w:pPr>
              <w:pStyle w:val="TableParagraph"/>
              <w:spacing w:before="36"/>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redemption value per 100 currency units</w:t>
            </w:r>
          </w:p>
        </w:tc>
      </w:tr>
    </w:tbl>
    <w:p>
      <w:pPr>
        <w:spacing w:after="0"/>
        <w:rPr>
          <w:sz w:val="22"/>
        </w:rPr>
        <w:sectPr>
          <w:type w:val="continuous"/>
          <w:pgSz w:w="12240" w:h="15840"/>
          <w:pgMar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399" w:type="dxa"/>
            <w:gridSpan w:val="4"/>
          </w:tcPr>
          <w:p>
            <w:pPr>
              <w:pStyle w:val="TableParagraph"/>
              <w:ind w:left="113"/>
              <w:rPr>
                <w:sz w:val="22"/>
              </w:rPr>
            </w:pPr>
            <w:r>
              <w:rPr>
                <w:sz w:val="22"/>
              </w:rPr>
              <w:t>face value.</w:t>
            </w:r>
          </w:p>
        </w:tc>
      </w:tr>
      <w:tr>
        <w:trPr>
          <w:trHeight w:val="890" w:hRule="atLeast"/>
        </w:trPr>
        <w:tc>
          <w:tcPr>
            <w:tcW w:w="1466" w:type="dxa"/>
          </w:tcPr>
          <w:p>
            <w:pPr>
              <w:pStyle w:val="TableParagraph"/>
              <w:spacing w:before="37"/>
              <w:ind w:left="0" w:right="471"/>
              <w:jc w:val="right"/>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397"/>
              <w:rPr>
                <w:sz w:val="22"/>
              </w:rPr>
            </w:pPr>
            <w:r>
              <w:rPr>
                <w:sz w:val="22"/>
              </w:rPr>
              <w:t>the number of coupon payments per year. (For annual payments, </w:t>
            </w:r>
            <w:r>
              <w:rPr>
                <w:rFonts w:ascii="Times New Roman"/>
                <w:i/>
                <w:sz w:val="22"/>
              </w:rPr>
              <w:t>frequency </w:t>
            </w:r>
            <w:r>
              <w:rPr>
                <w:sz w:val="22"/>
              </w:rPr>
              <w:t>is 1; for semiannual payments, </w:t>
            </w:r>
            <w:r>
              <w:rPr>
                <w:rFonts w:ascii="Times New Roman"/>
                <w:i/>
                <w:sz w:val="22"/>
              </w:rPr>
              <w:t>frequency </w:t>
            </w:r>
            <w:r>
              <w:rPr>
                <w:sz w:val="22"/>
              </w:rPr>
              <w:t>is 2; for quarterly payments, </w:t>
            </w:r>
            <w:r>
              <w:rPr>
                <w:rFonts w:ascii="Times New Roman"/>
                <w:i/>
                <w:sz w:val="22"/>
              </w:rPr>
              <w:t>frequency </w:t>
            </w:r>
            <w:r>
              <w:rPr>
                <w:sz w:val="22"/>
              </w:rPr>
              <w:t>is 4.)</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9"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14"/>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14"/>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1965"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w:t>
            </w:r>
            <w:r>
              <w:rPr>
                <w:spacing w:val="-5"/>
                <w:sz w:val="22"/>
              </w:rPr>
              <w:t> </w:t>
            </w:r>
            <w:r>
              <w:rPr>
                <w:sz w:val="22"/>
              </w:rPr>
              <w:t>days;</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76"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553"/>
              <w:rPr>
                <w:sz w:val="22"/>
              </w:rPr>
            </w:pPr>
            <w:r>
              <w:rPr>
                <w:sz w:val="22"/>
              </w:rPr>
              <w:t>otherwise it is 365 days.</w:t>
            </w:r>
          </w:p>
        </w:tc>
        <w:tc>
          <w:tcPr>
            <w:tcW w:w="403" w:type="dxa"/>
            <w:vMerge w:val="restart"/>
          </w:tcPr>
          <w:p>
            <w:pPr>
              <w:pStyle w:val="TableParagraph"/>
              <w:spacing w:before="0"/>
              <w:ind w:left="0"/>
              <w:rPr>
                <w:rFonts w:ascii="Times New Roman"/>
                <w:sz w:val="2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4"/>
              <w:ind w:left="116"/>
              <w:rPr>
                <w:rFonts w:ascii="Consolas"/>
                <w:sz w:val="22"/>
              </w:rPr>
            </w:pPr>
            <w:r>
              <w:rPr>
                <w:rFonts w:ascii="Consolas"/>
                <w:w w:val="100"/>
                <w:sz w:val="22"/>
              </w:rPr>
              <w:t>3</w:t>
            </w:r>
          </w:p>
        </w:tc>
        <w:tc>
          <w:tcPr>
            <w:tcW w:w="2340" w:type="dxa"/>
          </w:tcPr>
          <w:p>
            <w:pPr>
              <w:pStyle w:val="TableParagraph"/>
              <w:spacing w:before="42"/>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15"/>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15"/>
              </w:numPr>
              <w:tabs>
                <w:tab w:pos="1197" w:val="left" w:leader="none"/>
                <w:tab w:pos="1198" w:val="left" w:leader="none"/>
              </w:tabs>
              <w:spacing w:line="240" w:lineRule="auto" w:before="2"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453" w:lineRule="auto"/>
        <w:ind w:left="220" w:right="1555"/>
      </w:pPr>
      <w:r>
        <w:rPr>
          <w:b/>
        </w:rPr>
        <w:t>Return Type and Value</w:t>
      </w:r>
      <w:r>
        <w:rPr/>
        <w:t>: number – The yield of a security that has an odd (short or long) last period. However, if</w:t>
      </w:r>
    </w:p>
    <w:p>
      <w:pPr>
        <w:spacing w:after="0" w:line="453" w:lineRule="auto"/>
        <w:sectPr>
          <w:pgSz w:w="12240" w:h="15840"/>
          <w:pgMar w:header="761" w:footer="746" w:top="1340" w:bottom="940" w:left="860" w:right="700"/>
        </w:sectPr>
      </w:pPr>
    </w:p>
    <w:p>
      <w:pPr>
        <w:pStyle w:val="ListParagraph"/>
        <w:numPr>
          <w:ilvl w:val="4"/>
          <w:numId w:val="66"/>
        </w:numPr>
        <w:tabs>
          <w:tab w:pos="940" w:val="left" w:leader="none"/>
          <w:tab w:pos="941" w:val="left" w:leader="none"/>
        </w:tabs>
        <w:spacing w:line="240" w:lineRule="auto" w:before="148" w:after="0"/>
        <w:ind w:left="940" w:right="0" w:hanging="361"/>
        <w:jc w:val="left"/>
        <w:rPr>
          <w:sz w:val="22"/>
        </w:rPr>
      </w:pPr>
      <w:r>
        <w:rPr>
          <w:rFonts w:ascii="Times New Roman" w:hAnsi="Times New Roman"/>
          <w:i/>
          <w:sz w:val="22"/>
        </w:rPr>
        <w:t>settlement</w:t>
      </w:r>
      <w:r>
        <w:rPr>
          <w:sz w:val="22"/>
        </w:rPr>
        <w:t>, </w:t>
      </w:r>
      <w:r>
        <w:rPr>
          <w:rFonts w:ascii="Times New Roman" w:hAnsi="Times New Roman"/>
          <w:i/>
          <w:sz w:val="22"/>
        </w:rPr>
        <w:t>maturity</w:t>
      </w:r>
      <w:r>
        <w:rPr>
          <w:sz w:val="22"/>
        </w:rPr>
        <w:t>, or </w:t>
      </w:r>
      <w:r>
        <w:rPr>
          <w:rFonts w:ascii="Times New Roman" w:hAnsi="Times New Roman"/>
          <w:i/>
          <w:sz w:val="22"/>
        </w:rPr>
        <w:t>last-interest </w:t>
      </w:r>
      <w:r>
        <w:rPr>
          <w:sz w:val="22"/>
        </w:rPr>
        <w:t>is out of range for the current date system, </w:t>
      </w:r>
      <w:r>
        <w:rPr>
          <w:rFonts w:ascii="Consolas" w:hAnsi="Consolas"/>
          <w:sz w:val="22"/>
        </w:rPr>
        <w:t>#NUM!</w:t>
      </w:r>
      <w:r>
        <w:rPr>
          <w:rFonts w:ascii="Consolas" w:hAnsi="Consolas"/>
          <w:spacing w:val="-102"/>
          <w:sz w:val="22"/>
        </w:rPr>
        <w:t> </w:t>
      </w:r>
      <w:r>
        <w:rPr>
          <w:sz w:val="22"/>
        </w:rPr>
        <w:t>is returned.</w:t>
      </w:r>
    </w:p>
    <w:p>
      <w:pPr>
        <w:pStyle w:val="ListParagraph"/>
        <w:numPr>
          <w:ilvl w:val="4"/>
          <w:numId w:val="66"/>
        </w:numPr>
        <w:tabs>
          <w:tab w:pos="940" w:val="left" w:leader="none"/>
          <w:tab w:pos="941" w:val="left" w:leader="none"/>
        </w:tabs>
        <w:spacing w:line="276" w:lineRule="auto" w:before="39" w:after="0"/>
        <w:ind w:left="940" w:right="651" w:hanging="360"/>
        <w:jc w:val="left"/>
        <w:rPr>
          <w:sz w:val="22"/>
        </w:rPr>
      </w:pPr>
      <w:r>
        <w:rPr>
          <w:sz w:val="22"/>
        </w:rPr>
        <w:t>The following is not true: </w:t>
      </w:r>
      <w:r>
        <w:rPr>
          <w:rFonts w:ascii="Times New Roman" w:hAnsi="Times New Roman"/>
          <w:i/>
          <w:sz w:val="22"/>
        </w:rPr>
        <w:t>maturity </w:t>
      </w:r>
      <w:r>
        <w:rPr>
          <w:sz w:val="22"/>
        </w:rPr>
        <w:t>is later than </w:t>
      </w:r>
      <w:r>
        <w:rPr>
          <w:rFonts w:ascii="Times New Roman" w:hAnsi="Times New Roman"/>
          <w:i/>
          <w:sz w:val="22"/>
        </w:rPr>
        <w:t>settlement</w:t>
      </w:r>
      <w:r>
        <w:rPr>
          <w:sz w:val="22"/>
        </w:rPr>
        <w:t>, which is later than </w:t>
      </w:r>
      <w:r>
        <w:rPr>
          <w:rFonts w:ascii="Times New Roman" w:hAnsi="Times New Roman"/>
          <w:i/>
          <w:sz w:val="22"/>
        </w:rPr>
        <w:t>last-interest</w:t>
      </w:r>
      <w:r>
        <w:rPr>
          <w:sz w:val="22"/>
        </w:rPr>
        <w:t>, so </w:t>
      </w:r>
      <w:r>
        <w:rPr>
          <w:rFonts w:ascii="Consolas" w:hAnsi="Consolas"/>
          <w:sz w:val="22"/>
        </w:rPr>
        <w:t>#NUM!</w:t>
      </w:r>
      <w:r>
        <w:rPr>
          <w:rFonts w:ascii="Consolas" w:hAnsi="Consolas"/>
          <w:spacing w:val="-103"/>
          <w:sz w:val="22"/>
        </w:rPr>
        <w:t> </w:t>
      </w:r>
      <w:r>
        <w:rPr>
          <w:sz w:val="22"/>
        </w:rPr>
        <w:t>is returned.</w:t>
      </w:r>
    </w:p>
    <w:p>
      <w:pPr>
        <w:pStyle w:val="ListParagraph"/>
        <w:numPr>
          <w:ilvl w:val="4"/>
          <w:numId w:val="66"/>
        </w:numPr>
        <w:tabs>
          <w:tab w:pos="940" w:val="left" w:leader="none"/>
          <w:tab w:pos="941" w:val="left" w:leader="none"/>
        </w:tabs>
        <w:spacing w:line="240" w:lineRule="auto" w:before="2" w:after="0"/>
        <w:ind w:left="940" w:right="0" w:hanging="361"/>
        <w:jc w:val="left"/>
        <w:rPr>
          <w:sz w:val="22"/>
        </w:rPr>
      </w:pPr>
      <w:r>
        <w:rPr>
          <w:rFonts w:ascii="Times New Roman" w:hAnsi="Times New Roman"/>
          <w:i/>
          <w:sz w:val="22"/>
        </w:rPr>
        <w:t>rate </w:t>
      </w:r>
      <w:r>
        <w:rPr>
          <w:sz w:val="22"/>
        </w:rPr>
        <w:t>&lt; 0,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pr </w:t>
      </w:r>
      <w:r>
        <w:rPr>
          <w:sz w:val="22"/>
        </w:rPr>
        <w:t>≤ 0,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3" w:lineRule="auto" w:before="131"/>
        <w:ind w:left="462" w:right="1028" w:hanging="243"/>
        <w:rPr>
          <w:rFonts w:ascii="Consolas"/>
        </w:rPr>
      </w:pPr>
      <w:r>
        <w:rPr>
          <w:rFonts w:ascii="Consolas"/>
        </w:rPr>
        <w:t>ODDLYIELD(DATE(2008,11,11),DATE(2021,3,1),DATE(2008,10,15), 0.0575,84.5,100,2,0) </w:t>
      </w:r>
      <w:r>
        <w:rPr/>
        <w:t>results in </w:t>
      </w:r>
      <w:r>
        <w:rPr>
          <w:rFonts w:ascii="Consolas"/>
        </w:rPr>
        <w:t>4.5192%</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45 OFFSET" w:id="2127"/>
      <w:bookmarkEnd w:id="2127"/>
      <w:r>
        <w:rPr/>
      </w:r>
      <w:bookmarkStart w:name="_bookmark708" w:id="2128"/>
      <w:bookmarkEnd w:id="2128"/>
      <w:r>
        <w:rPr/>
      </w:r>
      <w:bookmarkStart w:name="_bookmark708" w:id="2129"/>
      <w:bookmarkEnd w:id="2129"/>
      <w:r>
        <w:rPr>
          <w:color w:val="4F81BC"/>
        </w:rPr>
        <w:t>OF</w:t>
      </w:r>
      <w:r>
        <w:rPr>
          <w:color w:val="4F81BC"/>
        </w:rPr>
        <w:t>FSET</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both"/>
        <w:rPr>
          <w:rFonts w:ascii="Lucida Console"/>
          <w:sz w:val="20"/>
        </w:rPr>
      </w:pPr>
      <w:r>
        <w:rPr>
          <w:rFonts w:ascii="Lucida Console"/>
          <w:sz w:val="20"/>
        </w:rPr>
        <w:t>OFFSET ( </w:t>
      </w:r>
      <w:r>
        <w:rPr>
          <w:i/>
          <w:sz w:val="22"/>
        </w:rPr>
        <w:t>reference </w:t>
      </w:r>
      <w:r>
        <w:rPr>
          <w:rFonts w:ascii="Lucida Console"/>
          <w:sz w:val="20"/>
        </w:rPr>
        <w:t>, </w:t>
      </w:r>
      <w:r>
        <w:rPr>
          <w:i/>
          <w:sz w:val="22"/>
        </w:rPr>
        <w:t>rows </w:t>
      </w:r>
      <w:r>
        <w:rPr>
          <w:rFonts w:ascii="Lucida Console"/>
          <w:sz w:val="20"/>
        </w:rPr>
        <w:t>, </w:t>
      </w:r>
      <w:r>
        <w:rPr>
          <w:i/>
          <w:sz w:val="22"/>
        </w:rPr>
        <w:t>cols </w:t>
      </w:r>
      <w:r>
        <w:rPr>
          <w:sz w:val="22"/>
        </w:rPr>
        <w:t>[ </w:t>
      </w:r>
      <w:r>
        <w:rPr>
          <w:rFonts w:ascii="Lucida Console"/>
          <w:sz w:val="20"/>
        </w:rPr>
        <w:t>, </w:t>
      </w:r>
      <w:r>
        <w:rPr>
          <w:sz w:val="22"/>
        </w:rPr>
        <w:t>[ </w:t>
      </w:r>
      <w:r>
        <w:rPr>
          <w:i/>
          <w:sz w:val="22"/>
        </w:rPr>
        <w:t>height </w:t>
      </w:r>
      <w:r>
        <w:rPr>
          <w:sz w:val="22"/>
        </w:rPr>
        <w:t>]  [ </w:t>
      </w:r>
      <w:r>
        <w:rPr>
          <w:rFonts w:ascii="Lucida Console"/>
          <w:sz w:val="20"/>
        </w:rPr>
        <w:t>, </w:t>
      </w:r>
      <w:r>
        <w:rPr>
          <w:sz w:val="22"/>
        </w:rPr>
        <w:t>[ </w:t>
      </w:r>
      <w:r>
        <w:rPr>
          <w:i/>
          <w:sz w:val="22"/>
        </w:rPr>
        <w:t>width </w:t>
      </w:r>
      <w:r>
        <w:rPr>
          <w:sz w:val="22"/>
        </w:rPr>
        <w:t>] ] ]  </w:t>
      </w:r>
      <w:r>
        <w:rPr>
          <w:rFonts w:ascii="Lucida Console"/>
          <w:sz w:val="20"/>
        </w:rPr>
        <w:t>)</w:t>
      </w:r>
    </w:p>
    <w:p>
      <w:pPr>
        <w:pStyle w:val="BodyText"/>
        <w:spacing w:line="276" w:lineRule="auto" w:before="106"/>
        <w:ind w:left="220" w:right="566"/>
        <w:jc w:val="both"/>
      </w:pPr>
      <w:r>
        <w:rPr>
          <w:b/>
        </w:rPr>
        <w:t>Description</w:t>
      </w:r>
      <w:r>
        <w:rPr/>
        <w:t>: Gets a reference to a range that is a specified number of rows and columns from a cell or range of cells. The reference that is returned can be a single cell or a range of cells. You can specify the number of rows and the number of columns to be returned.</w:t>
      </w:r>
    </w:p>
    <w:p>
      <w:pPr>
        <w:pStyle w:val="BodyText"/>
        <w:spacing w:before="6"/>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reference</w:t>
            </w:r>
          </w:p>
        </w:tc>
        <w:tc>
          <w:tcPr>
            <w:tcW w:w="1800" w:type="dxa"/>
          </w:tcPr>
          <w:p>
            <w:pPr>
              <w:pStyle w:val="TableParagraph"/>
              <w:ind w:left="112"/>
              <w:rPr>
                <w:sz w:val="22"/>
              </w:rPr>
            </w:pPr>
            <w:r>
              <w:rPr>
                <w:sz w:val="22"/>
              </w:rPr>
              <w:t>reference</w:t>
            </w:r>
          </w:p>
        </w:tc>
        <w:tc>
          <w:tcPr>
            <w:tcW w:w="5400" w:type="dxa"/>
          </w:tcPr>
          <w:p>
            <w:pPr>
              <w:pStyle w:val="TableParagraph"/>
              <w:ind w:left="113" w:right="588"/>
              <w:rPr>
                <w:sz w:val="22"/>
              </w:rPr>
            </w:pPr>
            <w:r>
              <w:rPr>
                <w:sz w:val="22"/>
              </w:rPr>
              <w:t>Designates the base. </w:t>
            </w:r>
            <w:r>
              <w:rPr>
                <w:rFonts w:ascii="Times New Roman"/>
                <w:i/>
                <w:sz w:val="22"/>
              </w:rPr>
              <w:t>reference </w:t>
            </w:r>
            <w:r>
              <w:rPr>
                <w:sz w:val="22"/>
              </w:rPr>
              <w:t>shall refer to a cell or range of adjacent cells.</w:t>
            </w:r>
          </w:p>
        </w:tc>
      </w:tr>
      <w:tr>
        <w:trPr>
          <w:trHeight w:val="1158" w:hRule="atLeast"/>
        </w:trPr>
        <w:tc>
          <w:tcPr>
            <w:tcW w:w="1466" w:type="dxa"/>
          </w:tcPr>
          <w:p>
            <w:pPr>
              <w:pStyle w:val="TableParagraph"/>
              <w:spacing w:before="37"/>
              <w:rPr>
                <w:rFonts w:ascii="Times New Roman"/>
                <w:i/>
                <w:sz w:val="22"/>
              </w:rPr>
            </w:pPr>
            <w:r>
              <w:rPr>
                <w:rFonts w:ascii="Times New Roman"/>
                <w:i/>
                <w:sz w:val="22"/>
              </w:rPr>
              <w:t>rows</w:t>
            </w:r>
          </w:p>
        </w:tc>
        <w:tc>
          <w:tcPr>
            <w:tcW w:w="1800" w:type="dxa"/>
          </w:tcPr>
          <w:p>
            <w:pPr>
              <w:pStyle w:val="TableParagraph"/>
              <w:ind w:left="112"/>
              <w:rPr>
                <w:sz w:val="22"/>
              </w:rPr>
            </w:pPr>
            <w:r>
              <w:rPr>
                <w:sz w:val="22"/>
              </w:rPr>
              <w:t>number</w:t>
            </w:r>
          </w:p>
        </w:tc>
        <w:tc>
          <w:tcPr>
            <w:tcW w:w="5400" w:type="dxa"/>
          </w:tcPr>
          <w:p>
            <w:pPr>
              <w:pStyle w:val="TableParagraph"/>
              <w:ind w:left="113" w:right="393"/>
              <w:rPr>
                <w:sz w:val="22"/>
              </w:rPr>
            </w:pPr>
            <w:r>
              <w:rPr>
                <w:sz w:val="22"/>
              </w:rPr>
              <w:t>The number of rows, up or down, that indicates the upper-left cell of the result to refer to. A positive value means below the starting reference; a negative value means above the starting reference.</w:t>
            </w:r>
          </w:p>
        </w:tc>
      </w:tr>
      <w:tr>
        <w:trPr>
          <w:trHeight w:val="1161" w:hRule="atLeast"/>
        </w:trPr>
        <w:tc>
          <w:tcPr>
            <w:tcW w:w="1466" w:type="dxa"/>
          </w:tcPr>
          <w:p>
            <w:pPr>
              <w:pStyle w:val="TableParagraph"/>
              <w:spacing w:before="39"/>
              <w:rPr>
                <w:rFonts w:ascii="Times New Roman"/>
                <w:i/>
                <w:sz w:val="22"/>
              </w:rPr>
            </w:pPr>
            <w:r>
              <w:rPr>
                <w:rFonts w:ascii="Times New Roman"/>
                <w:i/>
                <w:sz w:val="22"/>
              </w:rPr>
              <w:t>cols</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ight="360"/>
              <w:rPr>
                <w:sz w:val="22"/>
              </w:rPr>
            </w:pPr>
            <w:r>
              <w:rPr>
                <w:sz w:val="22"/>
              </w:rPr>
              <w:t>The number of columns, to the left or right, that the upper-left cell of the result to refer to. A positive value means to the right of the starting reference; a negative value means to the left of the starting reference.</w:t>
            </w:r>
          </w:p>
        </w:tc>
      </w:tr>
      <w:tr>
        <w:trPr>
          <w:trHeight w:val="892" w:hRule="atLeast"/>
        </w:trPr>
        <w:tc>
          <w:tcPr>
            <w:tcW w:w="1466" w:type="dxa"/>
          </w:tcPr>
          <w:p>
            <w:pPr>
              <w:pStyle w:val="TableParagraph"/>
              <w:spacing w:before="37"/>
              <w:rPr>
                <w:rFonts w:ascii="Times New Roman"/>
                <w:i/>
                <w:sz w:val="22"/>
              </w:rPr>
            </w:pPr>
            <w:r>
              <w:rPr>
                <w:rFonts w:ascii="Times New Roman"/>
                <w:i/>
                <w:sz w:val="22"/>
              </w:rPr>
              <w:t>height</w:t>
            </w:r>
          </w:p>
        </w:tc>
        <w:tc>
          <w:tcPr>
            <w:tcW w:w="1800" w:type="dxa"/>
          </w:tcPr>
          <w:p>
            <w:pPr>
              <w:pStyle w:val="TableParagraph"/>
              <w:ind w:left="112"/>
              <w:rPr>
                <w:sz w:val="22"/>
              </w:rPr>
            </w:pPr>
            <w:r>
              <w:rPr>
                <w:sz w:val="22"/>
              </w:rPr>
              <w:t>number</w:t>
            </w:r>
          </w:p>
        </w:tc>
        <w:tc>
          <w:tcPr>
            <w:tcW w:w="5400" w:type="dxa"/>
          </w:tcPr>
          <w:p>
            <w:pPr>
              <w:pStyle w:val="TableParagraph"/>
              <w:ind w:left="113" w:right="279"/>
              <w:rPr>
                <w:sz w:val="22"/>
              </w:rPr>
            </w:pPr>
            <w:r>
              <w:rPr>
                <w:sz w:val="22"/>
              </w:rPr>
              <w:t>The height, in rows, of the set of cells referred to by the resulting reference. This height shall be positive. If omitted, it is the same as the height of </w:t>
            </w:r>
            <w:r>
              <w:rPr>
                <w:rFonts w:ascii="Times New Roman"/>
                <w:i/>
                <w:sz w:val="22"/>
              </w:rPr>
              <w:t>reference</w:t>
            </w:r>
            <w:r>
              <w:rPr>
                <w:sz w:val="22"/>
              </w:rPr>
              <w:t>.</w:t>
            </w:r>
          </w:p>
        </w:tc>
      </w:tr>
      <w:tr>
        <w:trPr>
          <w:trHeight w:val="892" w:hRule="atLeast"/>
        </w:trPr>
        <w:tc>
          <w:tcPr>
            <w:tcW w:w="1466" w:type="dxa"/>
          </w:tcPr>
          <w:p>
            <w:pPr>
              <w:pStyle w:val="TableParagraph"/>
              <w:spacing w:before="37"/>
              <w:rPr>
                <w:rFonts w:ascii="Times New Roman"/>
                <w:i/>
                <w:sz w:val="22"/>
              </w:rPr>
            </w:pPr>
            <w:r>
              <w:rPr>
                <w:rFonts w:ascii="Times New Roman"/>
                <w:i/>
                <w:sz w:val="22"/>
              </w:rPr>
              <w:t>width</w:t>
            </w:r>
          </w:p>
        </w:tc>
        <w:tc>
          <w:tcPr>
            <w:tcW w:w="1800" w:type="dxa"/>
          </w:tcPr>
          <w:p>
            <w:pPr>
              <w:pStyle w:val="TableParagraph"/>
              <w:ind w:left="112"/>
              <w:rPr>
                <w:sz w:val="22"/>
              </w:rPr>
            </w:pPr>
            <w:r>
              <w:rPr>
                <w:sz w:val="22"/>
              </w:rPr>
              <w:t>number</w:t>
            </w:r>
          </w:p>
        </w:tc>
        <w:tc>
          <w:tcPr>
            <w:tcW w:w="5400" w:type="dxa"/>
          </w:tcPr>
          <w:p>
            <w:pPr>
              <w:pStyle w:val="TableParagraph"/>
              <w:ind w:left="113" w:right="366"/>
              <w:rPr>
                <w:sz w:val="22"/>
              </w:rPr>
            </w:pPr>
            <w:r>
              <w:rPr>
                <w:sz w:val="22"/>
              </w:rPr>
              <w:t>The width, in columns, of the set of cells referred to by the resulting reference. The width shall be positive. If omitted, it is the same as the width of </w:t>
            </w:r>
            <w:r>
              <w:rPr>
                <w:rFonts w:ascii="Times New Roman"/>
                <w:i/>
                <w:sz w:val="22"/>
              </w:rPr>
              <w:t>reference</w:t>
            </w:r>
            <w:r>
              <w:rPr>
                <w:sz w:val="22"/>
              </w:rPr>
              <w:t>.</w:t>
            </w:r>
          </w:p>
        </w:tc>
      </w:tr>
    </w:tbl>
    <w:p>
      <w:pPr>
        <w:spacing w:after="0"/>
        <w:rPr>
          <w:sz w:val="22"/>
        </w:rPr>
        <w:sectPr>
          <w:pgSz w:w="12240" w:h="15840"/>
          <w:pgMar w:header="763" w:footer="746" w:top="1340" w:bottom="940" w:left="860" w:right="700"/>
        </w:sectPr>
      </w:pPr>
    </w:p>
    <w:p>
      <w:pPr>
        <w:pStyle w:val="BodyText"/>
        <w:spacing w:line="278" w:lineRule="auto" w:before="90"/>
        <w:ind w:left="220" w:right="935"/>
      </w:pPr>
      <w:r>
        <w:rPr>
          <w:b/>
        </w:rPr>
        <w:t>Return Type and Value</w:t>
      </w:r>
      <w:r>
        <w:rPr/>
        <w:t>: reference – A reference to a range that is a specified size and number of rows and columns from a cell or range of cells.</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reference </w:t>
      </w:r>
      <w:r>
        <w:rPr>
          <w:sz w:val="22"/>
        </w:rPr>
        <w:t>does not refer to a cell or range of adjacent cells, </w:t>
      </w:r>
      <w:r>
        <w:rPr>
          <w:rFonts w:ascii="Consolas" w:hAnsi="Consolas"/>
          <w:sz w:val="22"/>
        </w:rPr>
        <w:t>#VALUE!</w:t>
      </w:r>
      <w:r>
        <w:rPr>
          <w:rFonts w:ascii="Consolas" w:hAnsi="Consolas"/>
          <w:spacing w:val="-9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2223" w:firstLine="360"/>
        <w:jc w:val="left"/>
        <w:rPr>
          <w:sz w:val="22"/>
        </w:rPr>
      </w:pPr>
      <w:r>
        <w:rPr>
          <w:sz w:val="22"/>
        </w:rPr>
        <w:t>The combination of </w:t>
      </w:r>
      <w:r>
        <w:rPr>
          <w:rFonts w:ascii="Times New Roman" w:hAnsi="Times New Roman"/>
          <w:i/>
          <w:sz w:val="22"/>
        </w:rPr>
        <w:t>rows </w:t>
      </w:r>
      <w:r>
        <w:rPr>
          <w:sz w:val="22"/>
        </w:rPr>
        <w:t>and </w:t>
      </w:r>
      <w:r>
        <w:rPr>
          <w:rFonts w:ascii="Times New Roman" w:hAnsi="Times New Roman"/>
          <w:i/>
          <w:sz w:val="22"/>
        </w:rPr>
        <w:t>cols </w:t>
      </w:r>
      <w:r>
        <w:rPr>
          <w:sz w:val="22"/>
        </w:rPr>
        <w:t>results outside the worksheet, </w:t>
      </w:r>
      <w:r>
        <w:rPr>
          <w:rFonts w:ascii="Consolas" w:hAnsi="Consolas"/>
          <w:sz w:val="22"/>
        </w:rPr>
        <w:t>#REF!</w:t>
      </w:r>
      <w:r>
        <w:rPr>
          <w:rFonts w:ascii="Consolas" w:hAnsi="Consolas"/>
          <w:spacing w:val="-102"/>
          <w:sz w:val="22"/>
        </w:rPr>
        <w:t> </w:t>
      </w:r>
      <w:r>
        <w:rPr>
          <w:sz w:val="22"/>
        </w:rPr>
        <w:t>is returned. [</w:t>
      </w:r>
      <w:r>
        <w:rPr>
          <w:i/>
          <w:sz w:val="22"/>
        </w:rPr>
        <w:t>Example</w:t>
      </w:r>
      <w:r>
        <w:rPr>
          <w:sz w:val="22"/>
        </w:rPr>
        <w:t>:</w:t>
      </w:r>
    </w:p>
    <w:p>
      <w:pPr>
        <w:pStyle w:val="BodyText"/>
        <w:spacing w:line="273" w:lineRule="auto" w:before="128"/>
        <w:ind w:left="220" w:right="3752"/>
        <w:rPr>
          <w:rFonts w:ascii="Consolas"/>
        </w:rPr>
      </w:pPr>
      <w:r>
        <w:rPr>
          <w:rFonts w:ascii="Consolas"/>
        </w:rPr>
        <w:t>OFFSET(C3,2,3,1,1) </w:t>
      </w:r>
      <w:r>
        <w:rPr/>
        <w:t>results in the value in cell </w:t>
      </w:r>
      <w:r>
        <w:rPr>
          <w:rFonts w:ascii="Consolas"/>
        </w:rPr>
        <w:t>F5 SUM(OFFSET(C3:E5,-1,0,3,3))</w:t>
      </w:r>
      <w:r>
        <w:rPr>
          <w:rFonts w:ascii="Consolas"/>
          <w:spacing w:val="-92"/>
        </w:rPr>
        <w:t> </w:t>
      </w:r>
      <w:r>
        <w:rPr/>
        <w:t>results in the sum of the range </w:t>
      </w:r>
      <w:r>
        <w:rPr>
          <w:rFonts w:ascii="Consolas"/>
        </w:rPr>
        <w:t>C2:E4</w:t>
      </w:r>
    </w:p>
    <w:p>
      <w:pPr>
        <w:pStyle w:val="BodyText"/>
        <w:spacing w:before="10"/>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46 OR" w:id="2130"/>
      <w:bookmarkEnd w:id="2130"/>
      <w:r>
        <w:rPr/>
      </w:r>
      <w:bookmarkStart w:name="_bookmark709" w:id="2131"/>
      <w:bookmarkEnd w:id="2131"/>
      <w:r>
        <w:rPr/>
      </w:r>
      <w:bookmarkStart w:name="_bookmark709" w:id="2132"/>
      <w:bookmarkEnd w:id="2132"/>
      <w:r>
        <w:rPr>
          <w:color w:val="4F81BC"/>
        </w:rPr>
        <w:t>OR</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OR ( </w:t>
      </w:r>
      <w:r>
        <w:rPr>
          <w:i/>
          <w:sz w:val="22"/>
        </w:rPr>
        <w:t>argument-list </w:t>
      </w:r>
      <w:r>
        <w:rPr>
          <w:rFonts w:ascii="Lucida Console"/>
          <w:sz w:val="20"/>
        </w:rPr>
        <w:t>)</w:t>
      </w:r>
    </w:p>
    <w:p>
      <w:pPr>
        <w:spacing w:line="276" w:lineRule="auto" w:before="106"/>
        <w:ind w:left="220" w:right="376" w:firstLine="0"/>
        <w:jc w:val="left"/>
        <w:rPr>
          <w:sz w:val="22"/>
        </w:rPr>
      </w:pPr>
      <w:r>
        <w:rPr>
          <w:b/>
          <w:sz w:val="22"/>
        </w:rPr>
        <w:t>Description: </w:t>
      </w:r>
      <w:r>
        <w:rPr>
          <w:sz w:val="22"/>
        </w:rPr>
        <w:t>Tests if any one or more </w:t>
      </w:r>
      <w:r>
        <w:rPr>
          <w:rFonts w:ascii="Times New Roman"/>
          <w:i/>
          <w:sz w:val="22"/>
        </w:rPr>
        <w:t>argument</w:t>
      </w:r>
      <w:r>
        <w:rPr>
          <w:sz w:val="22"/>
        </w:rPr>
        <w:t>s in </w:t>
      </w:r>
      <w:r>
        <w:rPr>
          <w:rFonts w:ascii="Times New Roman"/>
          <w:i/>
          <w:sz w:val="22"/>
        </w:rPr>
        <w:t>argument-list </w:t>
      </w:r>
      <w:r>
        <w:rPr>
          <w:sz w:val="22"/>
        </w:rPr>
        <w:t>are </w:t>
      </w:r>
      <w:r>
        <w:rPr>
          <w:rFonts w:ascii="Consolas"/>
          <w:sz w:val="22"/>
        </w:rPr>
        <w:t>TRUE</w:t>
      </w:r>
      <w:r>
        <w:rPr>
          <w:sz w:val="22"/>
        </w:rPr>
        <w:t>. The function evaluates all arguments prior to returning a value.</w:t>
      </w:r>
    </w:p>
    <w:p>
      <w:pPr>
        <w:pStyle w:val="BodyText"/>
        <w:spacing w:before="5"/>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465"/>
              <w:rPr>
                <w:sz w:val="22"/>
              </w:rPr>
            </w:pPr>
            <w:r>
              <w:rPr>
                <w:sz w:val="22"/>
              </w:rPr>
              <w:t>logical, array, reference.</w:t>
            </w:r>
          </w:p>
        </w:tc>
        <w:tc>
          <w:tcPr>
            <w:tcW w:w="5400" w:type="dxa"/>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to be tested. For an array or cell reference, a cell that contains text or is empty shall be ignored.</w:t>
            </w:r>
          </w:p>
        </w:tc>
      </w:tr>
    </w:tbl>
    <w:p>
      <w:pPr>
        <w:pStyle w:val="BodyText"/>
        <w:rPr>
          <w:b/>
        </w:rPr>
      </w:pPr>
    </w:p>
    <w:p>
      <w:pPr>
        <w:pStyle w:val="BodyText"/>
        <w:spacing w:before="5"/>
        <w:rPr>
          <w:b/>
          <w:sz w:val="19"/>
        </w:rPr>
      </w:pPr>
    </w:p>
    <w:p>
      <w:pPr>
        <w:spacing w:before="0"/>
        <w:ind w:left="220" w:right="0" w:firstLine="0"/>
        <w:jc w:val="left"/>
        <w:rPr>
          <w:sz w:val="22"/>
        </w:rPr>
      </w:pPr>
      <w:r>
        <w:rPr>
          <w:b/>
          <w:sz w:val="22"/>
        </w:rPr>
        <w:t>Return Type and Value: </w:t>
      </w:r>
      <w:r>
        <w:rPr>
          <w:sz w:val="22"/>
        </w:rPr>
        <w:t>logical – </w:t>
      </w:r>
      <w:r>
        <w:rPr>
          <w:rFonts w:ascii="Consolas" w:hAnsi="Consolas"/>
          <w:sz w:val="22"/>
        </w:rPr>
        <w:t>TRUE</w:t>
      </w:r>
      <w:r>
        <w:rPr>
          <w:rFonts w:ascii="Consolas" w:hAnsi="Consolas"/>
          <w:spacing w:val="-97"/>
          <w:sz w:val="22"/>
        </w:rPr>
        <w:t> </w:t>
      </w:r>
      <w:r>
        <w:rPr>
          <w:sz w:val="22"/>
        </w:rPr>
        <w:t>if any one or more </w:t>
      </w:r>
      <w:r>
        <w:rPr>
          <w:rFonts w:ascii="Times New Roman" w:hAnsi="Times New Roman"/>
          <w:i/>
          <w:sz w:val="22"/>
        </w:rPr>
        <w:t>argument</w:t>
      </w:r>
      <w:r>
        <w:rPr>
          <w:sz w:val="22"/>
        </w:rPr>
        <w:t>s in </w:t>
      </w:r>
      <w:r>
        <w:rPr>
          <w:rFonts w:ascii="Times New Roman" w:hAnsi="Times New Roman"/>
          <w:i/>
          <w:sz w:val="22"/>
        </w:rPr>
        <w:t>argument-list </w:t>
      </w:r>
      <w:r>
        <w:rPr>
          <w:sz w:val="22"/>
        </w:rPr>
        <w:t>are </w:t>
      </w:r>
      <w:r>
        <w:rPr>
          <w:rFonts w:ascii="Consolas" w:hAnsi="Consolas"/>
          <w:sz w:val="22"/>
        </w:rPr>
        <w:t>TRUE</w:t>
      </w:r>
      <w:r>
        <w:rPr>
          <w:sz w:val="22"/>
        </w:rPr>
        <w:t>; otherwise,</w:t>
      </w:r>
    </w:p>
    <w:p>
      <w:pPr>
        <w:pStyle w:val="BodyText"/>
        <w:spacing w:before="43"/>
        <w:ind w:left="220"/>
      </w:pPr>
      <w:r>
        <w:rPr>
          <w:rFonts w:ascii="Consolas"/>
        </w:rPr>
        <w:t>FALSE</w:t>
      </w:r>
      <w:r>
        <w:rPr/>
        <w:t>.</w:t>
      </w:r>
    </w:p>
    <w:p>
      <w:pPr>
        <w:pStyle w:val="BodyText"/>
        <w:spacing w:before="9"/>
        <w:rPr>
          <w:sz w:val="19"/>
        </w:rPr>
      </w:pPr>
    </w:p>
    <w:p>
      <w:pPr>
        <w:pStyle w:val="BodyText"/>
        <w:spacing w:line="453" w:lineRule="auto"/>
        <w:ind w:left="220" w:right="4104"/>
      </w:pPr>
      <w:r>
        <w:rPr/>
        <w:t>However, if no logical values are found, the return value is unspecified. [</w:t>
      </w:r>
      <w:r>
        <w:rPr>
          <w:i/>
        </w:rPr>
        <w:t>Example</w:t>
      </w:r>
      <w:r>
        <w:rPr/>
        <w:t>:</w:t>
      </w:r>
    </w:p>
    <w:p>
      <w:pPr>
        <w:pStyle w:val="BodyText"/>
        <w:spacing w:line="276" w:lineRule="auto" w:before="108"/>
        <w:ind w:left="220" w:right="7117"/>
        <w:rPr>
          <w:rFonts w:ascii="Consolas"/>
        </w:rPr>
      </w:pPr>
      <w:r>
        <w:rPr>
          <w:rFonts w:ascii="Consolas"/>
        </w:rPr>
        <w:t>OR(TRUE) </w:t>
      </w:r>
      <w:r>
        <w:rPr/>
        <w:t>results in </w:t>
      </w:r>
      <w:r>
        <w:rPr>
          <w:rFonts w:ascii="Consolas"/>
        </w:rPr>
        <w:t>TRUE OR(FALSE,FALSE)</w:t>
      </w:r>
      <w:r>
        <w:rPr>
          <w:rFonts w:ascii="Consolas"/>
          <w:spacing w:val="-82"/>
        </w:rPr>
        <w:t> </w:t>
      </w:r>
      <w:r>
        <w:rPr/>
        <w:t>results in </w:t>
      </w:r>
      <w:r>
        <w:rPr>
          <w:rFonts w:ascii="Consolas"/>
        </w:rPr>
        <w:t>FALSE OR(10=5,3=1+2,0)</w:t>
      </w:r>
      <w:r>
        <w:rPr>
          <w:rFonts w:ascii="Consolas"/>
          <w:spacing w:val="-81"/>
        </w:rPr>
        <w:t> </w:t>
      </w:r>
      <w:r>
        <w:rPr/>
        <w:t>results in </w:t>
      </w:r>
      <w:r>
        <w:rPr>
          <w:rFonts w:ascii="Consolas"/>
        </w:rPr>
        <w:t>TRUE</w:t>
      </w:r>
    </w:p>
    <w:p>
      <w:pPr>
        <w:pStyle w:val="BodyText"/>
        <w:ind w:left="220"/>
      </w:pPr>
      <w:r>
        <w:rPr>
          <w:rFonts w:ascii="Consolas"/>
        </w:rPr>
        <w:t>OR({10,5,6,7},TRUE,E6:F6)</w:t>
      </w:r>
      <w:r>
        <w:rPr>
          <w:rFonts w:ascii="Consolas"/>
          <w:spacing w:val="-66"/>
        </w:rPr>
        <w:t> </w:t>
      </w:r>
      <w:r>
        <w:rPr/>
        <w:t>results in </w:t>
      </w:r>
      <w:r>
        <w:rPr>
          <w:rFonts w:ascii="Consolas"/>
        </w:rPr>
        <w:t>TRUE</w:t>
      </w:r>
      <w:r>
        <w:rPr/>
        <w:t>, when E6 contains </w:t>
      </w:r>
      <w:r>
        <w:rPr>
          <w:rFonts w:ascii="Consolas"/>
        </w:rPr>
        <w:t>FALSE</w:t>
      </w:r>
      <w:r>
        <w:rPr>
          <w:rFonts w:ascii="Consolas"/>
          <w:spacing w:val="-69"/>
        </w:rPr>
        <w:t> </w:t>
      </w:r>
      <w:r>
        <w:rPr/>
        <w:t>and F6 contains 0</w:t>
      </w:r>
    </w:p>
    <w:p>
      <w:pPr>
        <w:pStyle w:val="BodyText"/>
        <w:spacing w:before="11"/>
        <w:rPr>
          <w:sz w:val="28"/>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1" w:footer="746" w:top="1340" w:bottom="940" w:left="860" w:right="70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247 PEARSON" w:id="2133"/>
      <w:bookmarkEnd w:id="2133"/>
      <w:r>
        <w:rPr/>
      </w:r>
      <w:bookmarkStart w:name="_bookmark710" w:id="2134"/>
      <w:bookmarkEnd w:id="2134"/>
      <w:r>
        <w:rPr/>
      </w:r>
      <w:bookmarkStart w:name="_bookmark710" w:id="2135"/>
      <w:bookmarkEnd w:id="2135"/>
      <w:r>
        <w:rPr>
          <w:color w:val="4F81BC"/>
        </w:rPr>
        <w:t>P</w:t>
      </w:r>
      <w:r>
        <w:rPr>
          <w:color w:val="4F81BC"/>
        </w:rPr>
        <w:t>EARSON</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PEARSON ( </w:t>
      </w:r>
      <w:r>
        <w:rPr>
          <w:i/>
          <w:sz w:val="22"/>
        </w:rPr>
        <w:t>array-1 </w:t>
      </w:r>
      <w:r>
        <w:rPr>
          <w:sz w:val="22"/>
        </w:rPr>
        <w:t>, </w:t>
      </w:r>
      <w:r>
        <w:rPr>
          <w:i/>
          <w:sz w:val="22"/>
        </w:rPr>
        <w:t>array-2 </w:t>
      </w:r>
      <w:r>
        <w:rPr>
          <w:rFonts w:ascii="Lucida Console"/>
          <w:sz w:val="20"/>
        </w:rPr>
        <w:t>)</w:t>
      </w:r>
    </w:p>
    <w:p>
      <w:pPr>
        <w:pStyle w:val="BodyText"/>
        <w:spacing w:line="278" w:lineRule="auto" w:before="105"/>
        <w:ind w:left="220" w:right="524"/>
      </w:pPr>
      <w:r>
        <w:rPr>
          <w:b/>
        </w:rPr>
        <w:t>Description: </w:t>
      </w:r>
      <w:r>
        <w:rPr/>
        <w:t>Computes the Pearson product moment correlation coefficient, a dimensionless index that ranges from -1.0 to 1.0, inclusive, and reflects the extent of a linear relationship between two data sets.</w:t>
      </w:r>
    </w:p>
    <w:p>
      <w:pPr>
        <w:pStyle w:val="BodyText"/>
        <w:spacing w:before="3"/>
        <w:rPr>
          <w:sz w:val="16"/>
        </w:rPr>
      </w:pPr>
    </w:p>
    <w:p>
      <w:pPr>
        <w:pStyle w:val="Heading4"/>
        <w:rPr>
          <w:b w:val="0"/>
        </w:rPr>
      </w:pPr>
      <w:r>
        <w:rPr/>
        <w:t>Mathematical Formula</w:t>
      </w:r>
      <w:r>
        <w:rPr>
          <w:b w:val="0"/>
        </w:rPr>
        <w:t>:</w:t>
      </w:r>
    </w:p>
    <w:p>
      <w:pPr>
        <w:pStyle w:val="BodyText"/>
        <w:spacing w:before="8"/>
        <w:rPr>
          <w:sz w:val="19"/>
        </w:rPr>
      </w:pPr>
    </w:p>
    <w:p>
      <w:pPr>
        <w:pStyle w:val="BodyText"/>
        <w:ind w:left="220"/>
      </w:pPr>
      <w:r>
        <w:rPr/>
        <w:t>The formula for the Pearson product moment correlation coefficient, r, is:</w:t>
      </w:r>
    </w:p>
    <w:p>
      <w:pPr>
        <w:pStyle w:val="BodyText"/>
        <w:spacing w:before="10"/>
        <w:rPr>
          <w:sz w:val="12"/>
        </w:rPr>
      </w:pPr>
    </w:p>
    <w:p>
      <w:pPr>
        <w:pStyle w:val="BodyText"/>
        <w:spacing w:line="223" w:lineRule="exact" w:before="60"/>
        <w:ind w:left="897"/>
        <w:rPr>
          <w:rFonts w:ascii="Cambria Math" w:hAnsi="Cambria Math" w:eastAsia="Cambria Math"/>
        </w:rPr>
      </w:pPr>
      <w:r>
        <w:rPr>
          <w:rFonts w:ascii="Cambria Math" w:hAnsi="Cambria Math" w:eastAsia="Cambria Math"/>
          <w:spacing w:val="-3"/>
          <w:w w:val="100"/>
          <w:position w:val="1"/>
        </w:rPr>
        <w:t>∑</w:t>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w w:val="100"/>
          <w:position w:val="1"/>
        </w:rPr>
        <w:t>)</w:t>
      </w:r>
    </w:p>
    <w:p>
      <w:pPr>
        <w:pStyle w:val="BodyText"/>
        <w:tabs>
          <w:tab w:pos="559" w:val="left" w:leader="none"/>
          <w:tab w:pos="2551" w:val="left" w:leader="none"/>
        </w:tabs>
        <w:spacing w:line="178" w:lineRule="exact"/>
        <w:ind w:right="7906"/>
        <w:jc w:val="right"/>
        <w:rPr>
          <w:rFonts w:ascii="Times New Roman" w:eastAsia="Times New Roman"/>
        </w:rPr>
      </w:pPr>
      <w:r>
        <w:rPr/>
        <w:pict>
          <v:line style="position:absolute;mso-position-horizontal-relative:page;mso-position-vertical-relative:paragraph;z-index:-335807488" from="73.823997pt,5.084138pt" to="179.063997pt,5.084138pt" stroked="true" strokeweight=".72pt" strokecolor="#000000">
            <v:stroke dashstyle="solid"/>
            <w10:wrap type="none"/>
          </v:line>
        </w:pict>
      </w:r>
      <w:r>
        <w:rPr>
          <w:rFonts w:ascii="Cambria Math" w:eastAsia="Cambria Math"/>
        </w:rPr>
        <w:t>𝑟</w:t>
      </w:r>
      <w:r>
        <w:rPr>
          <w:rFonts w:ascii="Cambria Math" w:eastAsia="Cambria Math"/>
          <w:spacing w:val="16"/>
        </w:rPr>
        <w:t> </w:t>
      </w:r>
      <w:r>
        <w:rPr>
          <w:rFonts w:ascii="Cambria Math" w:eastAsia="Cambria Math"/>
        </w:rPr>
        <w:t>=</w:t>
        <w:tab/>
      </w:r>
      <w:r>
        <w:rPr>
          <w:rFonts w:ascii="Times New Roman" w:eastAsia="Times New Roman"/>
          <w:w w:val="100"/>
          <w:u w:val="single"/>
        </w:rPr>
        <w:t> </w:t>
      </w:r>
      <w:r>
        <w:rPr>
          <w:rFonts w:ascii="Times New Roman" w:eastAsia="Times New Roman"/>
          <w:u w:val="single"/>
        </w:rPr>
        <w:tab/>
      </w:r>
    </w:p>
    <w:p>
      <w:pPr>
        <w:pStyle w:val="BodyText"/>
        <w:spacing w:line="236" w:lineRule="exact"/>
        <w:ind w:right="7964"/>
        <w:jc w:val="right"/>
        <w:rPr>
          <w:rFonts w:ascii="Cambria Math" w:hAnsi="Cambria Math" w:eastAsia="Cambria Math"/>
          <w:sz w:val="16"/>
        </w:rPr>
      </w:pPr>
      <w:r>
        <w:rPr>
          <w:rFonts w:ascii="Cambria Math" w:hAnsi="Cambria Math" w:eastAsia="Cambria Math"/>
          <w:spacing w:val="-1"/>
          <w:w w:val="113"/>
        </w:rPr>
        <w:t>√</w:t>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r>
        <w:rPr>
          <w:rFonts w:ascii="Cambria Math" w:hAnsi="Cambria Math" w:eastAsia="Cambria Math"/>
          <w:spacing w:val="8"/>
          <w:position w:val="7"/>
          <w:sz w:val="16"/>
        </w:rPr>
        <w:t> </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p>
    <w:p>
      <w:pPr>
        <w:pStyle w:val="BodyText"/>
        <w:spacing w:before="5"/>
        <w:rPr>
          <w:rFonts w:ascii="Cambria Math"/>
          <w:sz w:val="16"/>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array-1</w:t>
      </w:r>
      <w:r>
        <w:rPr>
          <w:rFonts w:ascii="Consolas" w:hAnsi="Consolas"/>
          <w:sz w:val="22"/>
        </w:rPr>
        <w:t>)</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rFonts w:ascii="Times New Roman" w:hAnsi="Times New Roman"/>
          <w:i/>
          <w:sz w:val="22"/>
        </w:rPr>
        <w:t>y </w:t>
      </w:r>
      <w:r>
        <w:rPr>
          <w:sz w:val="22"/>
        </w:rPr>
        <w:t>= a sample</w:t>
      </w:r>
      <w:r>
        <w:rPr>
          <w:spacing w:val="-2"/>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array-2</w:t>
      </w:r>
      <w:r>
        <w:rPr>
          <w:rFonts w:ascii="Consolas" w:hAnsi="Consolas"/>
          <w:sz w:val="22"/>
        </w:rPr>
        <w:t>)</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59"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tcPr>
          <w:p>
            <w:pPr>
              <w:pStyle w:val="TableParagraph"/>
              <w:ind w:left="112" w:right="238"/>
              <w:jc w:val="both"/>
              <w:rPr>
                <w:sz w:val="22"/>
              </w:rPr>
            </w:pPr>
            <w:r>
              <w:rPr>
                <w:sz w:val="22"/>
              </w:rPr>
              <w:t>number, name, array, reference to number</w:t>
            </w:r>
          </w:p>
        </w:tc>
        <w:tc>
          <w:tcPr>
            <w:tcW w:w="5400" w:type="dxa"/>
          </w:tcPr>
          <w:p>
            <w:pPr>
              <w:pStyle w:val="TableParagraph"/>
              <w:ind w:left="113" w:right="115"/>
              <w:rPr>
                <w:sz w:val="22"/>
              </w:rPr>
            </w:pPr>
            <w:r>
              <w:rPr>
                <w:sz w:val="22"/>
              </w:rPr>
              <w:t>The set of independent numerical values. If an array or reference argument contains text, logical values, or empty cells, those values are ignored; however, cells with the value 0 are included.</w:t>
            </w:r>
          </w:p>
        </w:tc>
      </w:tr>
      <w:tr>
        <w:trPr>
          <w:trHeight w:val="1161" w:hRule="atLeast"/>
        </w:trPr>
        <w:tc>
          <w:tcPr>
            <w:tcW w:w="1466" w:type="dxa"/>
          </w:tcPr>
          <w:p>
            <w:pPr>
              <w:pStyle w:val="TableParagraph"/>
              <w:spacing w:before="37"/>
              <w:rPr>
                <w:rFonts w:ascii="Times New Roman"/>
                <w:i/>
                <w:sz w:val="22"/>
              </w:rPr>
            </w:pPr>
            <w:r>
              <w:rPr>
                <w:rFonts w:ascii="Times New Roman"/>
                <w:i/>
                <w:sz w:val="22"/>
              </w:rPr>
              <w:t>array-2</w:t>
            </w:r>
          </w:p>
        </w:tc>
        <w:tc>
          <w:tcPr>
            <w:tcW w:w="1800" w:type="dxa"/>
          </w:tcPr>
          <w:p>
            <w:pPr>
              <w:pStyle w:val="TableParagraph"/>
              <w:ind w:left="112" w:right="238"/>
              <w:jc w:val="both"/>
              <w:rPr>
                <w:sz w:val="22"/>
              </w:rPr>
            </w:pPr>
            <w:r>
              <w:rPr>
                <w:sz w:val="22"/>
              </w:rPr>
              <w:t>number, name, array, reference to number</w:t>
            </w:r>
          </w:p>
        </w:tc>
        <w:tc>
          <w:tcPr>
            <w:tcW w:w="5400" w:type="dxa"/>
          </w:tcPr>
          <w:p>
            <w:pPr>
              <w:pStyle w:val="TableParagraph"/>
              <w:ind w:left="113" w:right="115"/>
              <w:rPr>
                <w:sz w:val="22"/>
              </w:rPr>
            </w:pPr>
            <w:r>
              <w:rPr>
                <w:sz w:val="22"/>
              </w:rPr>
              <w:t>The set of dependent numerical values. If an array or reference argument contains text, logical values, or empty cells, those values are ignored; however, cells with the value 0 are included.</w:t>
            </w:r>
          </w:p>
        </w:tc>
      </w:tr>
    </w:tbl>
    <w:p>
      <w:pPr>
        <w:pStyle w:val="BodyText"/>
        <w:rPr>
          <w:b/>
        </w:rPr>
      </w:pPr>
    </w:p>
    <w:p>
      <w:pPr>
        <w:pStyle w:val="BodyText"/>
        <w:spacing w:before="7"/>
        <w:rPr>
          <w:b/>
          <w:sz w:val="19"/>
        </w:rPr>
      </w:pPr>
    </w:p>
    <w:p>
      <w:pPr>
        <w:spacing w:line="453" w:lineRule="auto" w:before="0"/>
        <w:ind w:left="220" w:right="2568" w:firstLine="0"/>
        <w:jc w:val="left"/>
        <w:rPr>
          <w:sz w:val="22"/>
        </w:rPr>
      </w:pPr>
      <w:r>
        <w:rPr>
          <w:b/>
          <w:sz w:val="22"/>
        </w:rPr>
        <w:t>Return Type and Value: </w:t>
      </w:r>
      <w:r>
        <w:rPr>
          <w:sz w:val="22"/>
        </w:rPr>
        <w:t>number – The Pearson product moment correlation coefficient.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array-1 </w:t>
      </w:r>
      <w:r>
        <w:rPr>
          <w:sz w:val="22"/>
        </w:rPr>
        <w:t>and </w:t>
      </w:r>
      <w:r>
        <w:rPr>
          <w:rFonts w:ascii="Times New Roman" w:hAnsi="Times New Roman"/>
          <w:i/>
          <w:sz w:val="22"/>
        </w:rPr>
        <w:t>array-2 </w:t>
      </w:r>
      <w:r>
        <w:rPr>
          <w:sz w:val="22"/>
        </w:rPr>
        <w:t>have a different number of data points, the return value is</w:t>
      </w:r>
      <w:r>
        <w:rPr>
          <w:spacing w:val="-27"/>
          <w:sz w:val="22"/>
        </w:rPr>
        <w:t> </w:t>
      </w:r>
      <w:r>
        <w:rPr>
          <w:sz w:val="22"/>
        </w:rPr>
        <w:t>unspecified.</w:t>
      </w:r>
    </w:p>
    <w:p>
      <w:pPr>
        <w:pStyle w:val="ListParagraph"/>
        <w:numPr>
          <w:ilvl w:val="4"/>
          <w:numId w:val="66"/>
        </w:numPr>
        <w:tabs>
          <w:tab w:pos="940" w:val="left" w:leader="none"/>
          <w:tab w:pos="941" w:val="left" w:leader="none"/>
        </w:tabs>
        <w:spacing w:line="444" w:lineRule="auto" w:before="42" w:after="0"/>
        <w:ind w:left="220" w:right="4420" w:firstLine="360"/>
        <w:jc w:val="left"/>
        <w:rPr>
          <w:sz w:val="22"/>
        </w:rPr>
      </w:pPr>
      <w:r>
        <w:rPr>
          <w:rFonts w:ascii="Times New Roman" w:hAnsi="Times New Roman"/>
          <w:i/>
          <w:sz w:val="22"/>
        </w:rPr>
        <w:t>array-1 </w:t>
      </w:r>
      <w:r>
        <w:rPr>
          <w:sz w:val="22"/>
        </w:rPr>
        <w:t>or </w:t>
      </w:r>
      <w:r>
        <w:rPr>
          <w:rFonts w:ascii="Times New Roman" w:hAnsi="Times New Roman"/>
          <w:i/>
          <w:sz w:val="22"/>
        </w:rPr>
        <w:t>array-2 </w:t>
      </w:r>
      <w:r>
        <w:rPr>
          <w:sz w:val="22"/>
        </w:rPr>
        <w:t>is empty, the return value is</w:t>
      </w:r>
      <w:r>
        <w:rPr>
          <w:spacing w:val="-29"/>
          <w:sz w:val="22"/>
        </w:rPr>
        <w:t> </w:t>
      </w:r>
      <w:r>
        <w:rPr>
          <w:sz w:val="22"/>
        </w:rPr>
        <w:t>unspecified. [</w:t>
      </w:r>
      <w:r>
        <w:rPr>
          <w:i/>
          <w:sz w:val="22"/>
        </w:rPr>
        <w:t>Example</w:t>
      </w:r>
      <w:r>
        <w:rPr>
          <w:sz w:val="22"/>
        </w:rPr>
        <w:t>:</w:t>
      </w:r>
    </w:p>
    <w:p>
      <w:pPr>
        <w:pStyle w:val="BodyText"/>
        <w:spacing w:before="133"/>
        <w:ind w:left="220"/>
        <w:rPr>
          <w:rFonts w:ascii="Consolas"/>
        </w:rPr>
      </w:pPr>
      <w:r>
        <w:rPr>
          <w:rFonts w:ascii="Consolas"/>
        </w:rPr>
        <w:t>PEARSON({9,7,5,3,1},{10,6,1,5,3})</w:t>
      </w:r>
      <w:r>
        <w:rPr>
          <w:rFonts w:ascii="Consolas"/>
          <w:spacing w:val="-67"/>
        </w:rPr>
        <w:t> </w:t>
      </w:r>
      <w:r>
        <w:rPr/>
        <w:t>results in </w:t>
      </w:r>
      <w:r>
        <w:rPr>
          <w:rFonts w:ascii="Consolas"/>
        </w:rPr>
        <w:t>0.699378606</w:t>
      </w:r>
    </w:p>
    <w:p>
      <w:pPr>
        <w:spacing w:after="0"/>
        <w:rPr>
          <w:rFonts w:ascii="Consolas"/>
        </w:rPr>
        <w:sectPr>
          <w:pgSz w:w="12240" w:h="15840"/>
          <w:pgMar w:header="763" w:footer="746" w:top="1340" w:bottom="940" w:left="860" w:right="700"/>
        </w:sectPr>
      </w:pPr>
    </w:p>
    <w:p>
      <w:pPr>
        <w:pStyle w:val="BodyText"/>
        <w:spacing w:before="7"/>
        <w:rPr>
          <w:rFonts w:ascii="Consolas"/>
          <w:sz w:val="29"/>
        </w:rPr>
      </w:pPr>
    </w:p>
    <w:p>
      <w:pPr>
        <w:spacing w:before="56"/>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48 PERCENTILE" w:id="2136"/>
      <w:bookmarkEnd w:id="2136"/>
      <w:r>
        <w:rPr/>
      </w:r>
      <w:bookmarkStart w:name="_bookmark711" w:id="2137"/>
      <w:bookmarkEnd w:id="2137"/>
      <w:r>
        <w:rPr/>
      </w:r>
      <w:bookmarkStart w:name="_bookmark711" w:id="2138"/>
      <w:bookmarkEnd w:id="2138"/>
      <w:r>
        <w:rPr>
          <w:color w:val="4F81BC"/>
        </w:rPr>
        <w:t>P</w:t>
      </w:r>
      <w:r>
        <w:rPr>
          <w:color w:val="4F81BC"/>
        </w:rPr>
        <w:t>ERCENTILE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PERCENTILE ( </w:t>
      </w:r>
      <w:r>
        <w:rPr>
          <w:i/>
          <w:sz w:val="22"/>
        </w:rPr>
        <w:t>array </w:t>
      </w:r>
      <w:r>
        <w:rPr>
          <w:sz w:val="22"/>
        </w:rPr>
        <w:t>, </w:t>
      </w:r>
      <w:r>
        <w:rPr>
          <w:i/>
          <w:sz w:val="22"/>
        </w:rPr>
        <w:t>k </w:t>
      </w:r>
      <w:r>
        <w:rPr>
          <w:rFonts w:ascii="Lucida Console"/>
          <w:sz w:val="20"/>
        </w:rPr>
        <w:t>)</w:t>
      </w:r>
    </w:p>
    <w:p>
      <w:pPr>
        <w:spacing w:before="105"/>
        <w:ind w:left="220" w:right="0" w:firstLine="0"/>
        <w:jc w:val="left"/>
        <w:rPr>
          <w:sz w:val="22"/>
        </w:rPr>
      </w:pPr>
      <w:r>
        <w:rPr>
          <w:b/>
          <w:sz w:val="22"/>
        </w:rPr>
        <w:t>Description: </w:t>
      </w:r>
      <w:r>
        <w:rPr>
          <w:sz w:val="22"/>
        </w:rPr>
        <w:t>Computes the </w:t>
      </w:r>
      <w:r>
        <w:rPr>
          <w:rFonts w:ascii="Times New Roman"/>
          <w:i/>
          <w:sz w:val="22"/>
        </w:rPr>
        <w:t>k</w:t>
      </w:r>
      <w:r>
        <w:rPr>
          <w:position w:val="8"/>
          <w:sz w:val="14"/>
        </w:rPr>
        <w:t>th </w:t>
      </w:r>
      <w:r>
        <w:rPr>
          <w:sz w:val="22"/>
        </w:rPr>
        <w:t>percentile of a set of values in a range.</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The set of numerical data that defines relative standing.</w:t>
            </w:r>
          </w:p>
        </w:tc>
      </w:tr>
      <w:tr>
        <w:trPr>
          <w:trHeight w:val="892" w:hRule="atLeast"/>
        </w:trPr>
        <w:tc>
          <w:tcPr>
            <w:tcW w:w="1466" w:type="dxa"/>
          </w:tcPr>
          <w:p>
            <w:pPr>
              <w:pStyle w:val="TableParagraph"/>
              <w:spacing w:before="37"/>
              <w:rPr>
                <w:rFonts w:ascii="Times New Roman"/>
                <w:i/>
                <w:sz w:val="22"/>
              </w:rPr>
            </w:pPr>
            <w:r>
              <w:rPr>
                <w:rFonts w:ascii="Times New Roman"/>
                <w:i/>
                <w:w w:val="100"/>
                <w:sz w:val="22"/>
              </w:rPr>
              <w:t>k</w:t>
            </w:r>
          </w:p>
        </w:tc>
        <w:tc>
          <w:tcPr>
            <w:tcW w:w="1800" w:type="dxa"/>
          </w:tcPr>
          <w:p>
            <w:pPr>
              <w:pStyle w:val="TableParagraph"/>
              <w:ind w:left="112"/>
              <w:rPr>
                <w:sz w:val="22"/>
              </w:rPr>
            </w:pPr>
            <w:r>
              <w:rPr>
                <w:sz w:val="22"/>
              </w:rPr>
              <w:t>number</w:t>
            </w:r>
          </w:p>
        </w:tc>
        <w:tc>
          <w:tcPr>
            <w:tcW w:w="5400" w:type="dxa"/>
          </w:tcPr>
          <w:p>
            <w:pPr>
              <w:pStyle w:val="TableParagraph"/>
              <w:spacing w:line="237" w:lineRule="auto" w:before="42"/>
              <w:ind w:left="113" w:right="137"/>
              <w:rPr>
                <w:sz w:val="22"/>
              </w:rPr>
            </w:pPr>
            <w:r>
              <w:rPr>
                <w:sz w:val="22"/>
              </w:rPr>
              <w:t>The percentile value in the range 0–1, inclusive. If </w:t>
            </w:r>
            <w:r>
              <w:rPr>
                <w:rFonts w:ascii="Times New Roman" w:hAnsi="Times New Roman"/>
                <w:i/>
                <w:sz w:val="22"/>
              </w:rPr>
              <w:t>k </w:t>
            </w:r>
            <w:r>
              <w:rPr>
                <w:sz w:val="22"/>
              </w:rPr>
              <w:t>is not a multiple of 1/(n - 1), </w:t>
            </w:r>
            <w:r>
              <w:rPr>
                <w:rFonts w:ascii="Consolas" w:hAnsi="Consolas"/>
                <w:sz w:val="22"/>
              </w:rPr>
              <w:t>PERCENTILE </w:t>
            </w:r>
            <w:r>
              <w:rPr>
                <w:sz w:val="22"/>
              </w:rPr>
              <w:t>interpolates to determine the value at the </w:t>
            </w:r>
            <w:r>
              <w:rPr>
                <w:rFonts w:ascii="Times New Roman" w:hAnsi="Times New Roman"/>
                <w:i/>
                <w:sz w:val="22"/>
              </w:rPr>
              <w:t>k</w:t>
            </w:r>
            <w:r>
              <w:rPr>
                <w:position w:val="8"/>
                <w:sz w:val="14"/>
              </w:rPr>
              <w:t>th </w:t>
            </w:r>
            <w:r>
              <w:rPr>
                <w:sz w:val="22"/>
              </w:rPr>
              <w:t>percentile.</w:t>
            </w:r>
          </w:p>
        </w:tc>
      </w:tr>
    </w:tbl>
    <w:p>
      <w:pPr>
        <w:pStyle w:val="BodyText"/>
        <w:rPr>
          <w:b/>
        </w:rPr>
      </w:pPr>
    </w:p>
    <w:p>
      <w:pPr>
        <w:pStyle w:val="BodyText"/>
        <w:spacing w:before="3"/>
        <w:rPr>
          <w:b/>
          <w:sz w:val="19"/>
        </w:rPr>
      </w:pPr>
    </w:p>
    <w:p>
      <w:pPr>
        <w:spacing w:line="453" w:lineRule="auto" w:before="1"/>
        <w:ind w:left="220" w:right="2474" w:firstLine="0"/>
        <w:jc w:val="left"/>
        <w:rPr>
          <w:sz w:val="22"/>
        </w:rPr>
      </w:pPr>
      <w:r>
        <w:rPr>
          <w:b/>
          <w:sz w:val="22"/>
        </w:rPr>
        <w:t>Return Type and Value: </w:t>
      </w:r>
      <w:r>
        <w:rPr>
          <w:sz w:val="22"/>
        </w:rPr>
        <w:t>number – The </w:t>
      </w:r>
      <w:r>
        <w:rPr>
          <w:rFonts w:ascii="Times New Roman" w:hAnsi="Times New Roman"/>
          <w:i/>
          <w:sz w:val="22"/>
        </w:rPr>
        <w:t>k</w:t>
      </w:r>
      <w:r>
        <w:rPr>
          <w:position w:val="8"/>
          <w:sz w:val="14"/>
        </w:rPr>
        <w:t>th </w:t>
      </w:r>
      <w:r>
        <w:rPr>
          <w:sz w:val="22"/>
        </w:rPr>
        <w:t>percentile of a set of values in a range.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array </w:t>
      </w:r>
      <w:r>
        <w:rPr>
          <w:sz w:val="22"/>
        </w:rPr>
        <w:t>is empty,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446" w:lineRule="auto" w:before="39" w:after="0"/>
        <w:ind w:left="220" w:right="6620" w:firstLine="360"/>
        <w:jc w:val="left"/>
        <w:rPr>
          <w:sz w:val="22"/>
        </w:rPr>
      </w:pPr>
      <w:r>
        <w:rPr>
          <w:rFonts w:ascii="Times New Roman" w:hAnsi="Times New Roman"/>
          <w:i/>
          <w:sz w:val="22"/>
        </w:rPr>
        <w:t>k </w:t>
      </w:r>
      <w:r>
        <w:rPr>
          <w:sz w:val="22"/>
        </w:rPr>
        <w:t>is &lt; 0 or </w:t>
      </w:r>
      <w:r>
        <w:rPr>
          <w:rFonts w:ascii="Times New Roman" w:hAnsi="Times New Roman"/>
          <w:i/>
          <w:sz w:val="22"/>
        </w:rPr>
        <w:t>k </w:t>
      </w:r>
      <w:r>
        <w:rPr>
          <w:sz w:val="22"/>
        </w:rPr>
        <w:t>&gt; 1, </w:t>
      </w:r>
      <w:r>
        <w:rPr>
          <w:rFonts w:ascii="Consolas" w:hAnsi="Consolas"/>
          <w:sz w:val="22"/>
        </w:rPr>
        <w:t>#NUM!</w:t>
      </w:r>
      <w:r>
        <w:rPr>
          <w:rFonts w:ascii="Consolas" w:hAnsi="Consolas"/>
          <w:spacing w:val="-86"/>
          <w:sz w:val="22"/>
        </w:rPr>
        <w:t> </w:t>
      </w:r>
      <w:r>
        <w:rPr>
          <w:sz w:val="22"/>
        </w:rPr>
        <w:t>is returned. [</w:t>
      </w:r>
      <w:r>
        <w:rPr>
          <w:i/>
          <w:sz w:val="22"/>
        </w:rPr>
        <w:t>Example</w:t>
      </w:r>
      <w:r>
        <w:rPr>
          <w:sz w:val="22"/>
        </w:rPr>
        <w:t>:</w:t>
      </w:r>
    </w:p>
    <w:p>
      <w:pPr>
        <w:pStyle w:val="BodyText"/>
        <w:spacing w:line="273" w:lineRule="auto" w:before="128"/>
        <w:ind w:left="220" w:right="5826"/>
        <w:rPr>
          <w:rFonts w:ascii="Consolas"/>
        </w:rPr>
      </w:pPr>
      <w:r>
        <w:rPr>
          <w:rFonts w:ascii="Consolas"/>
        </w:rPr>
        <w:t>PERCENTILE({1,3,2,4},0.3) </w:t>
      </w:r>
      <w:r>
        <w:rPr/>
        <w:t>results in </w:t>
      </w:r>
      <w:r>
        <w:rPr>
          <w:rFonts w:ascii="Consolas"/>
        </w:rPr>
        <w:t>1.9 PERCENTILE({1,3,2,4},0.75) </w:t>
      </w:r>
      <w:r>
        <w:rPr/>
        <w:t>results in </w:t>
      </w:r>
      <w:r>
        <w:rPr>
          <w:rFonts w:ascii="Consolas"/>
        </w:rPr>
        <w:t>3.25</w:t>
      </w:r>
    </w:p>
    <w:p>
      <w:pPr>
        <w:pStyle w:val="BodyText"/>
        <w:spacing w:before="1"/>
        <w:rPr>
          <w:rFonts w:ascii="Consolas"/>
          <w:sz w:val="27"/>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49 PERCENTRANK" w:id="2139"/>
      <w:bookmarkEnd w:id="2139"/>
      <w:r>
        <w:rPr/>
      </w:r>
      <w:bookmarkStart w:name="_bookmark712" w:id="2140"/>
      <w:bookmarkEnd w:id="2140"/>
      <w:r>
        <w:rPr/>
      </w:r>
      <w:bookmarkStart w:name="_bookmark712" w:id="2141"/>
      <w:bookmarkEnd w:id="2141"/>
      <w:r>
        <w:rPr>
          <w:color w:val="4F81BC"/>
        </w:rPr>
        <w:t>P</w:t>
      </w:r>
      <w:r>
        <w:rPr>
          <w:color w:val="4F81BC"/>
        </w:rPr>
        <w:t>ERCENTRANK</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PERCENTRANK ( </w:t>
      </w:r>
      <w:r>
        <w:rPr>
          <w:i/>
          <w:sz w:val="22"/>
        </w:rPr>
        <w:t>array </w:t>
      </w:r>
      <w:r>
        <w:rPr>
          <w:sz w:val="22"/>
        </w:rPr>
        <w:t>, </w:t>
      </w:r>
      <w:r>
        <w:rPr>
          <w:i/>
          <w:sz w:val="22"/>
        </w:rPr>
        <w:t>x </w:t>
      </w:r>
      <w:r>
        <w:rPr>
          <w:sz w:val="22"/>
        </w:rPr>
        <w:t>[ , </w:t>
      </w:r>
      <w:r>
        <w:rPr>
          <w:i/>
          <w:sz w:val="22"/>
        </w:rPr>
        <w:t>significance </w:t>
      </w:r>
      <w:r>
        <w:rPr>
          <w:sz w:val="22"/>
        </w:rPr>
        <w:t>] </w:t>
      </w:r>
      <w:r>
        <w:rPr>
          <w:rFonts w:ascii="Lucida Console"/>
          <w:sz w:val="20"/>
        </w:rPr>
        <w:t>)</w:t>
      </w:r>
    </w:p>
    <w:p>
      <w:pPr>
        <w:pStyle w:val="BodyText"/>
        <w:spacing w:before="108"/>
        <w:ind w:left="220"/>
      </w:pPr>
      <w:r>
        <w:rPr>
          <w:b/>
        </w:rPr>
        <w:t>Description: </w:t>
      </w:r>
      <w:r>
        <w:rPr/>
        <w:t>Computes the rank of a value in a data set as a percentage of the data set.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rFonts w:ascii="Times New Roman"/>
                <w:i/>
                <w:sz w:val="22"/>
              </w:rPr>
              <w:t>array </w:t>
            </w:r>
            <w:r>
              <w:rPr>
                <w:sz w:val="22"/>
              </w:rPr>
              <w:t>is the set of numerical data that defines relative standing.</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for which the rank is to be computed. If </w:t>
            </w:r>
            <w:r>
              <w:rPr>
                <w:rFonts w:ascii="Times New Roman"/>
                <w:i/>
                <w:sz w:val="22"/>
              </w:rPr>
              <w:t>x </w:t>
            </w:r>
            <w:r>
              <w:rPr>
                <w:sz w:val="22"/>
              </w:rPr>
              <w:t>does</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rFonts w:ascii="Consolas"/>
                <w:sz w:val="22"/>
              </w:rPr>
            </w:pPr>
            <w:r>
              <w:rPr>
                <w:sz w:val="22"/>
              </w:rPr>
              <w:t>not match one of the values in </w:t>
            </w:r>
            <w:r>
              <w:rPr>
                <w:rFonts w:ascii="Times New Roman"/>
                <w:i/>
                <w:sz w:val="22"/>
              </w:rPr>
              <w:t>array</w:t>
            </w:r>
            <w:r>
              <w:rPr>
                <w:sz w:val="22"/>
              </w:rPr>
              <w:t>, </w:t>
            </w:r>
            <w:r>
              <w:rPr>
                <w:rFonts w:ascii="Consolas"/>
                <w:sz w:val="22"/>
              </w:rPr>
              <w:t>PERCENTRANK</w:t>
            </w:r>
          </w:p>
          <w:p>
            <w:pPr>
              <w:pStyle w:val="TableParagraph"/>
              <w:spacing w:before="0"/>
              <w:ind w:left="113"/>
              <w:rPr>
                <w:sz w:val="22"/>
              </w:rPr>
            </w:pPr>
            <w:r>
              <w:rPr>
                <w:sz w:val="22"/>
              </w:rPr>
              <w:t>interpolates to return the correct percentage rank.</w:t>
            </w:r>
          </w:p>
        </w:tc>
      </w:tr>
      <w:tr>
        <w:trPr>
          <w:trHeight w:val="623" w:hRule="atLeast"/>
        </w:trPr>
        <w:tc>
          <w:tcPr>
            <w:tcW w:w="1466" w:type="dxa"/>
          </w:tcPr>
          <w:p>
            <w:pPr>
              <w:pStyle w:val="TableParagraph"/>
              <w:spacing w:before="37"/>
              <w:rPr>
                <w:rFonts w:ascii="Times New Roman"/>
                <w:i/>
                <w:sz w:val="22"/>
              </w:rPr>
            </w:pPr>
            <w:r>
              <w:rPr>
                <w:rFonts w:ascii="Times New Roman"/>
                <w:i/>
                <w:sz w:val="22"/>
              </w:rPr>
              <w:t>significance</w:t>
            </w:r>
          </w:p>
        </w:tc>
        <w:tc>
          <w:tcPr>
            <w:tcW w:w="1800" w:type="dxa"/>
          </w:tcPr>
          <w:p>
            <w:pPr>
              <w:pStyle w:val="TableParagraph"/>
              <w:ind w:left="112"/>
              <w:rPr>
                <w:sz w:val="22"/>
              </w:rPr>
            </w:pPr>
            <w:r>
              <w:rPr>
                <w:sz w:val="22"/>
              </w:rPr>
              <w:t>number</w:t>
            </w:r>
          </w:p>
        </w:tc>
        <w:tc>
          <w:tcPr>
            <w:tcW w:w="5400" w:type="dxa"/>
          </w:tcPr>
          <w:p>
            <w:pPr>
              <w:pStyle w:val="TableParagraph"/>
              <w:ind w:left="113" w:right="870"/>
              <w:rPr>
                <w:sz w:val="22"/>
              </w:rPr>
            </w:pPr>
            <w:r>
              <w:rPr>
                <w:sz w:val="22"/>
              </w:rPr>
              <w:t>The number of significant digits for the returned percentage value. If omitted, a value of 3 is used.</w:t>
            </w:r>
          </w:p>
        </w:tc>
      </w:tr>
    </w:tbl>
    <w:p>
      <w:pPr>
        <w:pStyle w:val="BodyText"/>
        <w:rPr>
          <w:b/>
          <w:sz w:val="20"/>
        </w:rPr>
      </w:pPr>
    </w:p>
    <w:p>
      <w:pPr>
        <w:pStyle w:val="BodyText"/>
        <w:rPr>
          <w:b/>
          <w:sz w:val="17"/>
        </w:rPr>
      </w:pPr>
    </w:p>
    <w:p>
      <w:pPr>
        <w:spacing w:line="453" w:lineRule="auto" w:before="56"/>
        <w:ind w:left="220" w:right="1628" w:firstLine="0"/>
        <w:jc w:val="left"/>
        <w:rPr>
          <w:sz w:val="22"/>
        </w:rPr>
      </w:pPr>
      <w:r>
        <w:rPr>
          <w:b/>
          <w:sz w:val="22"/>
        </w:rPr>
        <w:t>Return Type and Value: </w:t>
      </w:r>
      <w:r>
        <w:rPr>
          <w:sz w:val="22"/>
        </w:rPr>
        <w:t>number – The rank of a value in a data set as a percentage of the data set.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array </w:t>
      </w:r>
      <w:r>
        <w:rPr>
          <w:sz w:val="22"/>
        </w:rPr>
        <w:t>is empty, the return value is</w:t>
      </w:r>
      <w:r>
        <w:rPr>
          <w:spacing w:val="-12"/>
          <w:sz w:val="22"/>
        </w:rPr>
        <w:t> </w:t>
      </w:r>
      <w:r>
        <w:rPr>
          <w:sz w:val="22"/>
        </w:rPr>
        <w:t>unspecified.</w:t>
      </w:r>
    </w:p>
    <w:p>
      <w:pPr>
        <w:pStyle w:val="ListParagraph"/>
        <w:numPr>
          <w:ilvl w:val="4"/>
          <w:numId w:val="66"/>
        </w:numPr>
        <w:tabs>
          <w:tab w:pos="940" w:val="left" w:leader="none"/>
          <w:tab w:pos="941" w:val="left" w:leader="none"/>
        </w:tabs>
        <w:spacing w:line="446" w:lineRule="auto" w:before="38" w:after="0"/>
        <w:ind w:left="220" w:right="6551" w:firstLine="360"/>
        <w:jc w:val="left"/>
        <w:rPr>
          <w:sz w:val="22"/>
        </w:rPr>
      </w:pPr>
      <w:r>
        <w:rPr>
          <w:rFonts w:ascii="Times New Roman" w:hAnsi="Times New Roman"/>
          <w:i/>
          <w:sz w:val="22"/>
        </w:rPr>
        <w:t>significance </w:t>
      </w:r>
      <w:r>
        <w:rPr>
          <w:sz w:val="22"/>
        </w:rPr>
        <w:t>&lt; 1, </w:t>
      </w:r>
      <w:r>
        <w:rPr>
          <w:rFonts w:ascii="Consolas" w:hAnsi="Consolas"/>
          <w:sz w:val="22"/>
        </w:rPr>
        <w:t>#NUM!</w:t>
      </w:r>
      <w:r>
        <w:rPr>
          <w:rFonts w:ascii="Consolas" w:hAnsi="Consolas"/>
          <w:spacing w:val="-79"/>
          <w:sz w:val="22"/>
        </w:rPr>
        <w:t> </w:t>
      </w:r>
      <w:r>
        <w:rPr>
          <w:sz w:val="22"/>
        </w:rPr>
        <w:t>is returned. [</w:t>
      </w:r>
      <w:r>
        <w:rPr>
          <w:i/>
          <w:sz w:val="22"/>
        </w:rPr>
        <w:t>Example</w:t>
      </w:r>
      <w:r>
        <w:rPr>
          <w:sz w:val="22"/>
        </w:rPr>
        <w:t>:</w:t>
      </w:r>
    </w:p>
    <w:p>
      <w:pPr>
        <w:pStyle w:val="BodyText"/>
        <w:spacing w:line="276" w:lineRule="auto" w:before="127"/>
        <w:ind w:left="220" w:right="2289"/>
        <w:rPr>
          <w:rFonts w:ascii="Consolas"/>
        </w:rPr>
      </w:pPr>
      <w:r>
        <w:rPr>
          <w:rFonts w:ascii="Consolas"/>
        </w:rPr>
        <w:t>PERCENTRANK({12,6,7,9,3,8},4)</w:t>
      </w:r>
      <w:r>
        <w:rPr>
          <w:rFonts w:ascii="Consolas"/>
          <w:spacing w:val="-88"/>
        </w:rPr>
        <w:t> </w:t>
      </w:r>
      <w:r>
        <w:rPr/>
        <w:t>results in </w:t>
      </w:r>
      <w:r>
        <w:rPr>
          <w:rFonts w:ascii="Consolas"/>
        </w:rPr>
        <w:t>0.066 PERCENTRANK({12,6,7,9,3,8},5)</w:t>
      </w:r>
      <w:r>
        <w:rPr>
          <w:rFonts w:ascii="Consolas"/>
          <w:spacing w:val="-88"/>
        </w:rPr>
        <w:t> </w:t>
      </w:r>
      <w:r>
        <w:rPr/>
        <w:t>results in </w:t>
      </w:r>
      <w:r>
        <w:rPr>
          <w:rFonts w:ascii="Consolas"/>
        </w:rPr>
        <w:t>0.133</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0 PERMUT" w:id="2142"/>
      <w:bookmarkEnd w:id="2142"/>
      <w:r>
        <w:rPr/>
      </w:r>
      <w:bookmarkStart w:name="_bookmark713" w:id="2143"/>
      <w:bookmarkEnd w:id="2143"/>
      <w:r>
        <w:rPr/>
      </w:r>
      <w:bookmarkStart w:name="_bookmark713" w:id="2144"/>
      <w:bookmarkEnd w:id="2144"/>
      <w:r>
        <w:rPr>
          <w:color w:val="4F81BC"/>
        </w:rPr>
        <w:t>P</w:t>
      </w:r>
      <w:r>
        <w:rPr>
          <w:color w:val="4F81BC"/>
        </w:rPr>
        <w:t>ERMUT</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PERMUT ( </w:t>
      </w:r>
      <w:r>
        <w:rPr>
          <w:i/>
          <w:sz w:val="22"/>
        </w:rPr>
        <w:t>number  </w:t>
      </w:r>
      <w:r>
        <w:rPr>
          <w:rFonts w:ascii="Lucida Console"/>
          <w:sz w:val="20"/>
        </w:rPr>
        <w:t>,</w:t>
      </w:r>
      <w:r>
        <w:rPr>
          <w:rFonts w:ascii="Lucida Console"/>
          <w:spacing w:val="-75"/>
          <w:sz w:val="20"/>
        </w:rPr>
        <w:t> </w:t>
      </w:r>
      <w:r>
        <w:rPr>
          <w:i/>
          <w:sz w:val="22"/>
        </w:rPr>
        <w:t>number-chosen  </w:t>
      </w:r>
      <w:r>
        <w:rPr>
          <w:rFonts w:ascii="Lucida Console"/>
          <w:sz w:val="20"/>
        </w:rPr>
        <w:t>)</w:t>
      </w:r>
    </w:p>
    <w:p>
      <w:pPr>
        <w:pStyle w:val="BodyText"/>
        <w:spacing w:line="276" w:lineRule="auto" w:before="106"/>
        <w:ind w:left="220" w:right="384"/>
      </w:pPr>
      <w:r>
        <w:rPr>
          <w:b/>
        </w:rPr>
        <w:t>Description: </w:t>
      </w:r>
      <w:r>
        <w:rPr/>
        <w:t>Computes the number of permutations for </w:t>
      </w:r>
      <w:r>
        <w:rPr>
          <w:rFonts w:ascii="Times New Roman"/>
          <w:i/>
        </w:rPr>
        <w:t>number-chosen </w:t>
      </w:r>
      <w:r>
        <w:rPr/>
        <w:t>objects that can be selected from </w:t>
      </w:r>
      <w:r>
        <w:rPr>
          <w:rFonts w:ascii="Times New Roman"/>
          <w:i/>
        </w:rPr>
        <w:t>number</w:t>
      </w:r>
      <w:r>
        <w:rPr>
          <w:rFonts w:ascii="Times New Roman"/>
          <w:i/>
          <w:spacing w:val="-40"/>
        </w:rPr>
        <w:t> </w:t>
      </w:r>
      <w:r>
        <w:rPr/>
        <w:t>objects. [</w:t>
      </w:r>
      <w:r>
        <w:rPr>
          <w:i/>
        </w:rPr>
        <w:t>Note</w:t>
      </w:r>
      <w:r>
        <w:rPr/>
        <w:t>: A permutation is any set or subset of objects or events where internal order is significant. Permutations are different from combinations, for which the internal order is not significant. Use this function for lottery-style probability calculations. </w:t>
      </w:r>
      <w:r>
        <w:rPr>
          <w:i/>
        </w:rPr>
        <w:t>end</w:t>
      </w:r>
      <w:r>
        <w:rPr>
          <w:i/>
          <w:spacing w:val="-7"/>
        </w:rPr>
        <w:t> </w:t>
      </w:r>
      <w:r>
        <w:rPr>
          <w:i/>
        </w:rPr>
        <w:t>note</w:t>
      </w:r>
      <w:r>
        <w:rPr/>
        <w:t>]</w:t>
      </w:r>
    </w:p>
    <w:p>
      <w:pPr>
        <w:pStyle w:val="BodyText"/>
        <w:spacing w:before="7"/>
        <w:rPr>
          <w:sz w:val="16"/>
        </w:rPr>
      </w:pPr>
    </w:p>
    <w:p>
      <w:pPr>
        <w:pStyle w:val="Heading4"/>
        <w:rPr>
          <w:b w:val="0"/>
        </w:rPr>
      </w:pPr>
      <w:r>
        <w:rPr/>
        <w:t>Mathematical Formula</w:t>
      </w:r>
      <w:r>
        <w:rPr>
          <w:b w:val="0"/>
        </w:rPr>
        <w:t>:</w:t>
      </w:r>
    </w:p>
    <w:p>
      <w:pPr>
        <w:pStyle w:val="BodyText"/>
        <w:spacing w:before="10"/>
        <w:rPr>
          <w:sz w:val="11"/>
        </w:rPr>
      </w:pPr>
    </w:p>
    <w:p>
      <w:pPr>
        <w:spacing w:after="0"/>
        <w:rPr>
          <w:sz w:val="11"/>
        </w:rPr>
        <w:sectPr>
          <w:pgSz w:w="12240" w:h="15840"/>
          <w:pgMar w:header="763" w:footer="746" w:top="1340" w:bottom="940" w:left="860" w:right="700"/>
        </w:sectPr>
      </w:pPr>
    </w:p>
    <w:p>
      <w:pPr>
        <w:pStyle w:val="BodyText"/>
        <w:spacing w:before="7"/>
        <w:rPr>
          <w:sz w:val="18"/>
        </w:rPr>
      </w:pPr>
    </w:p>
    <w:p>
      <w:pPr>
        <w:spacing w:before="0"/>
        <w:ind w:left="220" w:right="0" w:firstLine="0"/>
        <w:jc w:val="left"/>
        <w:rPr>
          <w:rFonts w:ascii="Cambria Math" w:eastAsia="Cambria Math"/>
          <w:sz w:val="22"/>
        </w:rPr>
      </w:pPr>
      <w:r>
        <w:rPr>
          <w:rFonts w:ascii="Cambria Math" w:eastAsia="Cambria Math"/>
          <w:spacing w:val="-6"/>
          <w:w w:val="105"/>
          <w:position w:val="5"/>
          <w:sz w:val="22"/>
        </w:rPr>
        <w:t>𝑃</w:t>
      </w:r>
      <w:r>
        <w:rPr>
          <w:rFonts w:ascii="Cambria Math" w:eastAsia="Cambria Math"/>
          <w:spacing w:val="-6"/>
          <w:w w:val="105"/>
          <w:sz w:val="16"/>
        </w:rPr>
        <w:t>𝑘,𝑛 </w:t>
      </w:r>
      <w:r>
        <w:rPr>
          <w:rFonts w:ascii="Cambria Math" w:eastAsia="Cambria Math"/>
          <w:spacing w:val="-18"/>
          <w:w w:val="105"/>
          <w:position w:val="5"/>
          <w:sz w:val="22"/>
        </w:rPr>
        <w:t>=</w:t>
      </w:r>
    </w:p>
    <w:p>
      <w:pPr>
        <w:spacing w:before="63"/>
        <w:ind w:left="53" w:right="8979" w:firstLine="0"/>
        <w:jc w:val="center"/>
        <w:rPr>
          <w:rFonts w:ascii="Cambria Math" w:eastAsia="Cambria Math"/>
          <w:sz w:val="22"/>
        </w:rPr>
      </w:pPr>
      <w:r>
        <w:rPr/>
        <w:br w:type="column"/>
      </w:r>
      <w:r>
        <w:rPr>
          <w:rFonts w:ascii="Cambria Math" w:eastAsia="Cambria Math"/>
          <w:sz w:val="22"/>
        </w:rPr>
        <w:t>𝑛!</w:t>
      </w:r>
    </w:p>
    <w:p>
      <w:pPr>
        <w:pStyle w:val="BodyText"/>
        <w:spacing w:before="2"/>
        <w:rPr>
          <w:rFonts w:ascii="Cambria Math"/>
          <w:sz w:val="4"/>
        </w:rPr>
      </w:pPr>
    </w:p>
    <w:p>
      <w:pPr>
        <w:pStyle w:val="BodyText"/>
        <w:spacing w:line="20" w:lineRule="exact"/>
        <w:ind w:left="60"/>
        <w:rPr>
          <w:rFonts w:ascii="Cambria Math"/>
          <w:sz w:val="2"/>
        </w:rPr>
      </w:pPr>
      <w:r>
        <w:rPr>
          <w:rFonts w:ascii="Cambria Math"/>
          <w:sz w:val="2"/>
        </w:rPr>
        <w:pict>
          <v:group style="width:38.3pt;height:.75pt;mso-position-horizontal-relative:char;mso-position-vertical-relative:line" coordorigin="0,0" coordsize="766,15">
            <v:line style="position:absolute" from="0,7" to="766,7" stroked="true" strokeweight=".72003pt" strokecolor="#000000">
              <v:stroke dashstyle="solid"/>
            </v:line>
          </v:group>
        </w:pict>
      </w:r>
      <w:r>
        <w:rPr>
          <w:rFonts w:ascii="Cambria Math"/>
          <w:sz w:val="2"/>
        </w:rPr>
      </w:r>
    </w:p>
    <w:p>
      <w:pPr>
        <w:pStyle w:val="BodyText"/>
        <w:ind w:left="55" w:right="8979"/>
        <w:jc w:val="center"/>
        <w:rPr>
          <w:rFonts w:ascii="Cambria Math" w:hAnsi="Cambria Math" w:eastAsia="Cambria Math"/>
        </w:rPr>
      </w:pPr>
      <w:r>
        <w:rPr>
          <w:rFonts w:ascii="Cambria Math" w:hAnsi="Cambria Math" w:eastAsia="Cambria Math"/>
          <w:position w:val="1"/>
        </w:rPr>
        <w:t>(</w:t>
      </w:r>
      <w:r>
        <w:rPr>
          <w:rFonts w:ascii="Cambria Math" w:hAnsi="Cambria Math" w:eastAsia="Cambria Math"/>
        </w:rPr>
        <w:t>𝑛 − 𝑘</w:t>
      </w:r>
      <w:r>
        <w:rPr>
          <w:rFonts w:ascii="Cambria Math" w:hAnsi="Cambria Math" w:eastAsia="Cambria Math"/>
          <w:position w:val="1"/>
        </w:rPr>
        <w:t>)</w:t>
      </w:r>
      <w:r>
        <w:rPr>
          <w:rFonts w:ascii="Cambria Math" w:hAnsi="Cambria Math" w:eastAsia="Cambria Math"/>
        </w:rPr>
        <w:t>!</w:t>
      </w:r>
    </w:p>
    <w:p>
      <w:pPr>
        <w:spacing w:after="0"/>
        <w:jc w:val="center"/>
        <w:rPr>
          <w:rFonts w:ascii="Cambria Math" w:hAnsi="Cambria Math" w:eastAsia="Cambria Math"/>
        </w:rPr>
        <w:sectPr>
          <w:type w:val="continuous"/>
          <w:pgSz w:w="12240" w:h="15840"/>
          <w:pgMar w:top="1340" w:bottom="940" w:left="860" w:right="700"/>
          <w:cols w:num="2" w:equalWidth="0">
            <w:col w:w="811" w:space="40"/>
            <w:col w:w="9829"/>
          </w:cols>
        </w:sectPr>
      </w:pPr>
    </w:p>
    <w:p>
      <w:pPr>
        <w:pStyle w:val="BodyText"/>
        <w:spacing w:before="8"/>
        <w:rPr>
          <w:rFonts w:ascii="Cambria Math"/>
          <w:sz w:val="14"/>
        </w:rPr>
      </w:pPr>
    </w:p>
    <w:p>
      <w:pPr>
        <w:pStyle w:val="BodyText"/>
        <w:spacing w:before="56"/>
        <w:ind w:left="220"/>
      </w:pPr>
      <w:r>
        <w:rPr/>
        <w:t>where:</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k </w:t>
      </w:r>
      <w:r>
        <w:rPr>
          <w:sz w:val="22"/>
        </w:rPr>
        <w:t>= argument</w:t>
      </w:r>
      <w:r>
        <w:rPr>
          <w:spacing w:val="-3"/>
          <w:sz w:val="22"/>
        </w:rPr>
        <w:t> </w:t>
      </w:r>
      <w:r>
        <w:rPr>
          <w:rFonts w:ascii="Times New Roman" w:hAnsi="Times New Roman"/>
          <w:i/>
          <w:sz w:val="22"/>
        </w:rPr>
        <w:t>number-chosen</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n </w:t>
      </w:r>
      <w:r>
        <w:rPr>
          <w:sz w:val="22"/>
        </w:rPr>
        <w:t>= argument </w:t>
      </w:r>
      <w:r>
        <w:rPr>
          <w:rFonts w:ascii="Times New Roman" w:hAnsi="Times New Roman"/>
          <w:i/>
          <w:sz w:val="22"/>
        </w:rPr>
        <w:t>number</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6"/>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75" w:right="86"/>
              <w:jc w:val="center"/>
              <w:rPr>
                <w:sz w:val="22"/>
              </w:rPr>
            </w:pPr>
            <w:r>
              <w:rPr>
                <w:sz w:val="22"/>
              </w:rPr>
              <w:t>The total number of items available, truncated to integer.</w:t>
            </w:r>
          </w:p>
        </w:tc>
      </w:tr>
    </w:tbl>
    <w:p>
      <w:pPr>
        <w:spacing w:after="0"/>
        <w:jc w:val="center"/>
        <w:rPr>
          <w:sz w:val="22"/>
        </w:rPr>
        <w:sectPr>
          <w:type w:val="continuous"/>
          <w:pgSz w:w="12240" w:h="15840"/>
          <w:pgMar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right="575"/>
              <w:rPr>
                <w:rFonts w:ascii="Times New Roman"/>
                <w:i/>
                <w:sz w:val="22"/>
              </w:rPr>
            </w:pPr>
            <w:r>
              <w:rPr>
                <w:rFonts w:ascii="Times New Roman"/>
                <w:i/>
                <w:sz w:val="22"/>
              </w:rPr>
              <w:t>number- </w:t>
            </w:r>
            <w:r>
              <w:rPr>
                <w:rFonts w:ascii="Times New Roman"/>
                <w:i/>
                <w:sz w:val="22"/>
              </w:rPr>
              <w:t>chosen</w:t>
            </w:r>
          </w:p>
        </w:tc>
        <w:tc>
          <w:tcPr>
            <w:tcW w:w="1800" w:type="dxa"/>
          </w:tcPr>
          <w:p>
            <w:pPr>
              <w:pStyle w:val="TableParagraph"/>
              <w:ind w:left="112"/>
              <w:rPr>
                <w:sz w:val="22"/>
              </w:rPr>
            </w:pPr>
            <w:r>
              <w:rPr>
                <w:sz w:val="22"/>
              </w:rPr>
              <w:t>number</w:t>
            </w:r>
          </w:p>
        </w:tc>
        <w:tc>
          <w:tcPr>
            <w:tcW w:w="5400" w:type="dxa"/>
          </w:tcPr>
          <w:p>
            <w:pPr>
              <w:pStyle w:val="TableParagraph"/>
              <w:ind w:left="113" w:right="298"/>
              <w:rPr>
                <w:sz w:val="22"/>
              </w:rPr>
            </w:pPr>
            <w:r>
              <w:rPr>
                <w:sz w:val="22"/>
              </w:rPr>
              <w:t>The number of items in each permutation, truncated to integer.</w:t>
            </w:r>
          </w:p>
        </w:tc>
      </w:tr>
    </w:tbl>
    <w:p>
      <w:pPr>
        <w:pStyle w:val="BodyText"/>
        <w:rPr>
          <w:b/>
          <w:sz w:val="20"/>
        </w:rPr>
      </w:pPr>
    </w:p>
    <w:p>
      <w:pPr>
        <w:pStyle w:val="BodyText"/>
        <w:spacing w:before="7"/>
        <w:rPr>
          <w:b/>
          <w:sz w:val="21"/>
        </w:rPr>
      </w:pPr>
    </w:p>
    <w:p>
      <w:pPr>
        <w:spacing w:line="453" w:lineRule="auto" w:before="0"/>
        <w:ind w:left="220" w:right="1269" w:firstLine="0"/>
        <w:jc w:val="left"/>
        <w:rPr>
          <w:sz w:val="22"/>
        </w:rPr>
      </w:pPr>
      <w:r>
        <w:rPr>
          <w:b/>
          <w:sz w:val="22"/>
        </w:rPr>
        <w:t>Return Type and Value: </w:t>
      </w:r>
      <w:r>
        <w:rPr>
          <w:sz w:val="22"/>
        </w:rPr>
        <w:t>number – The number of different permutations of </w:t>
      </w:r>
      <w:r>
        <w:rPr>
          <w:rFonts w:ascii="Times New Roman" w:hAnsi="Times New Roman"/>
          <w:i/>
          <w:sz w:val="22"/>
        </w:rPr>
        <w:t>number-chosen </w:t>
      </w:r>
      <w:r>
        <w:rPr>
          <w:sz w:val="22"/>
        </w:rPr>
        <w:t>in </w:t>
      </w:r>
      <w:r>
        <w:rPr>
          <w:rFonts w:ascii="Times New Roman" w:hAnsi="Times New Roman"/>
          <w:i/>
          <w:sz w:val="22"/>
        </w:rPr>
        <w:t>number</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number </w:t>
      </w:r>
      <w:r>
        <w:rPr>
          <w:sz w:val="22"/>
        </w:rPr>
        <w:t>&lt; 0, </w:t>
      </w:r>
      <w:r>
        <w:rPr>
          <w:rFonts w:ascii="Consolas" w:hAnsi="Consolas"/>
          <w:sz w:val="22"/>
        </w:rPr>
        <w:t>#NUM!</w:t>
      </w:r>
      <w:r>
        <w:rPr>
          <w:rFonts w:ascii="Consolas" w:hAnsi="Consolas"/>
          <w:spacing w:val="-78"/>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number-chosen </w:t>
      </w:r>
      <w:r>
        <w:rPr>
          <w:sz w:val="22"/>
        </w:rPr>
        <w:t>&lt; 0,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5702" w:firstLine="360"/>
        <w:jc w:val="left"/>
        <w:rPr>
          <w:sz w:val="22"/>
        </w:rPr>
      </w:pPr>
      <w:r>
        <w:rPr>
          <w:rFonts w:ascii="Times New Roman" w:hAnsi="Times New Roman"/>
          <w:i/>
          <w:sz w:val="22"/>
        </w:rPr>
        <w:t>number </w:t>
      </w:r>
      <w:r>
        <w:rPr>
          <w:sz w:val="22"/>
        </w:rPr>
        <w:t>&lt; </w:t>
      </w:r>
      <w:r>
        <w:rPr>
          <w:rFonts w:ascii="Times New Roman" w:hAnsi="Times New Roman"/>
          <w:i/>
          <w:sz w:val="22"/>
        </w:rPr>
        <w:t>number-chosen</w:t>
      </w:r>
      <w:r>
        <w:rPr>
          <w:sz w:val="22"/>
        </w:rPr>
        <w:t>, </w:t>
      </w:r>
      <w:r>
        <w:rPr>
          <w:rFonts w:ascii="Consolas" w:hAnsi="Consolas"/>
          <w:sz w:val="22"/>
        </w:rPr>
        <w:t>#NUM!</w:t>
      </w:r>
      <w:r>
        <w:rPr>
          <w:rFonts w:ascii="Consolas" w:hAnsi="Consolas"/>
          <w:spacing w:val="-84"/>
          <w:sz w:val="22"/>
        </w:rPr>
        <w:t> </w:t>
      </w:r>
      <w:r>
        <w:rPr>
          <w:sz w:val="22"/>
        </w:rPr>
        <w:t>is returned. [</w:t>
      </w:r>
      <w:r>
        <w:rPr>
          <w:i/>
          <w:sz w:val="22"/>
        </w:rPr>
        <w:t>Example</w:t>
      </w:r>
      <w:r>
        <w:rPr>
          <w:sz w:val="22"/>
        </w:rPr>
        <w:t>:</w:t>
      </w:r>
    </w:p>
    <w:p>
      <w:pPr>
        <w:pStyle w:val="BodyText"/>
        <w:spacing w:line="276" w:lineRule="auto" w:before="126"/>
        <w:ind w:left="220" w:right="7602"/>
        <w:rPr>
          <w:rFonts w:ascii="Consolas"/>
        </w:rPr>
      </w:pPr>
      <w:r>
        <w:rPr>
          <w:rFonts w:ascii="Consolas"/>
        </w:rPr>
        <w:t>PERMUT(8,2) </w:t>
      </w:r>
      <w:r>
        <w:rPr/>
        <w:t>results in </w:t>
      </w:r>
      <w:r>
        <w:rPr>
          <w:rFonts w:ascii="Consolas"/>
        </w:rPr>
        <w:t>56 PERMUT(10,4)</w:t>
      </w:r>
      <w:r>
        <w:rPr>
          <w:rFonts w:ascii="Consolas"/>
          <w:spacing w:val="-82"/>
        </w:rPr>
        <w:t> </w:t>
      </w:r>
      <w:r>
        <w:rPr/>
        <w:t>results in </w:t>
      </w:r>
      <w:r>
        <w:rPr>
          <w:rFonts w:ascii="Consolas"/>
        </w:rPr>
        <w:t>5040 PERMUT(6,5)</w:t>
      </w:r>
      <w:r>
        <w:rPr>
          <w:rFonts w:ascii="Consolas"/>
          <w:spacing w:val="-75"/>
        </w:rPr>
        <w:t> </w:t>
      </w:r>
      <w:r>
        <w:rPr/>
        <w:t>results in </w:t>
      </w:r>
      <w:r>
        <w:rPr>
          <w:rFonts w:ascii="Consolas"/>
        </w:rPr>
        <w:t>720</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1 PHONETIC" w:id="2145"/>
      <w:bookmarkEnd w:id="2145"/>
      <w:r>
        <w:rPr/>
      </w:r>
      <w:bookmarkStart w:name="_bookmark714" w:id="2146"/>
      <w:bookmarkEnd w:id="2146"/>
      <w:r>
        <w:rPr/>
      </w:r>
      <w:bookmarkStart w:name="_bookmark714" w:id="2147"/>
      <w:bookmarkEnd w:id="2147"/>
      <w:r>
        <w:rPr>
          <w:color w:val="4F81BC"/>
        </w:rPr>
        <w:t>P</w:t>
      </w:r>
      <w:r>
        <w:rPr>
          <w:color w:val="4F81BC"/>
        </w:rPr>
        <w:t>HONETIC</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PHONETIC ( </w:t>
      </w:r>
      <w:r>
        <w:rPr>
          <w:i/>
          <w:sz w:val="22"/>
        </w:rPr>
        <w:t>string </w:t>
      </w:r>
      <w:r>
        <w:rPr>
          <w:rFonts w:ascii="Lucida Console"/>
          <w:sz w:val="20"/>
        </w:rPr>
        <w:t>)</w:t>
      </w:r>
    </w:p>
    <w:p>
      <w:pPr>
        <w:pStyle w:val="BodyText"/>
        <w:spacing w:line="278" w:lineRule="auto" w:before="106"/>
        <w:ind w:left="220" w:right="711"/>
      </w:pPr>
      <w:r>
        <w:rPr>
          <w:b/>
        </w:rPr>
        <w:t>Description: </w:t>
      </w:r>
      <w:r>
        <w:rPr/>
        <w:t>Extracts the phonetic (furigana) characters from </w:t>
      </w:r>
      <w:r>
        <w:rPr>
          <w:rFonts w:ascii="Times New Roman"/>
          <w:i/>
        </w:rPr>
        <w:t>string</w:t>
      </w:r>
      <w:r>
        <w:rPr/>
        <w:t>. [</w:t>
      </w:r>
      <w:r>
        <w:rPr>
          <w:i/>
        </w:rPr>
        <w:t>Note</w:t>
      </w:r>
      <w:r>
        <w:rPr/>
        <w:t>: Furigana are aids used to indicate correct pronunciation of Japanese text. </w:t>
      </w:r>
      <w:r>
        <w:rPr>
          <w:i/>
        </w:rPr>
        <w:t>end note</w:t>
      </w:r>
      <w:r>
        <w:rPr/>
        <w:t>]</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 reference</w:t>
            </w:r>
          </w:p>
        </w:tc>
        <w:tc>
          <w:tcPr>
            <w:tcW w:w="5400" w:type="dxa"/>
          </w:tcPr>
          <w:p>
            <w:pPr>
              <w:pStyle w:val="TableParagraph"/>
              <w:ind w:left="113" w:right="244"/>
              <w:rPr>
                <w:sz w:val="22"/>
              </w:rPr>
            </w:pPr>
            <w:r>
              <w:rPr>
                <w:sz w:val="22"/>
              </w:rPr>
              <w:t>Designates a furigana string. If </w:t>
            </w:r>
            <w:r>
              <w:rPr>
                <w:rFonts w:ascii="Times New Roman"/>
                <w:i/>
                <w:sz w:val="22"/>
              </w:rPr>
              <w:t>string </w:t>
            </w:r>
            <w:r>
              <w:rPr>
                <w:sz w:val="22"/>
              </w:rPr>
              <w:t>is a cell range, the furigana string in the upper-left corner cell of that range is returned.</w:t>
            </w:r>
          </w:p>
        </w:tc>
      </w:tr>
    </w:tbl>
    <w:p>
      <w:pPr>
        <w:pStyle w:val="BodyText"/>
        <w:rPr>
          <w:b/>
        </w:rPr>
      </w:pPr>
    </w:p>
    <w:p>
      <w:pPr>
        <w:pStyle w:val="BodyText"/>
        <w:spacing w:before="7"/>
        <w:rPr>
          <w:b/>
          <w:sz w:val="19"/>
        </w:rPr>
      </w:pPr>
    </w:p>
    <w:p>
      <w:pPr>
        <w:spacing w:line="456" w:lineRule="auto" w:before="0"/>
        <w:ind w:left="220" w:right="3502" w:firstLine="0"/>
        <w:jc w:val="left"/>
        <w:rPr>
          <w:sz w:val="22"/>
        </w:rPr>
      </w:pPr>
      <w:r>
        <w:rPr>
          <w:b/>
          <w:sz w:val="22"/>
        </w:rPr>
        <w:t>Return Type and Value: </w:t>
      </w:r>
      <w:r>
        <w:rPr>
          <w:sz w:val="22"/>
        </w:rPr>
        <w:t>text – The phonetic (furigana) characters from </w:t>
      </w:r>
      <w:r>
        <w:rPr>
          <w:rFonts w:ascii="Times New Roman" w:hAnsi="Times New Roman"/>
          <w:i/>
          <w:sz w:val="22"/>
        </w:rPr>
        <w:t>string</w:t>
      </w:r>
      <w:r>
        <w:rPr>
          <w:sz w:val="22"/>
        </w:rPr>
        <w:t>. However, if </w:t>
      </w:r>
      <w:r>
        <w:rPr>
          <w:rFonts w:ascii="Times New Roman" w:hAnsi="Times New Roman"/>
          <w:i/>
          <w:sz w:val="22"/>
        </w:rPr>
        <w:t>string </w:t>
      </w:r>
      <w:r>
        <w:rPr>
          <w:sz w:val="22"/>
        </w:rPr>
        <w:t>is a range of non-contiguous cells, </w:t>
      </w:r>
      <w:r>
        <w:rPr>
          <w:rFonts w:ascii="Consolas" w:hAnsi="Consolas"/>
          <w:sz w:val="22"/>
        </w:rPr>
        <w:t>#N/A</w:t>
      </w:r>
      <w:r>
        <w:rPr>
          <w:rFonts w:ascii="Consolas" w:hAnsi="Consolas"/>
          <w:spacing w:val="-92"/>
          <w:sz w:val="22"/>
        </w:rPr>
        <w:t> </w:t>
      </w:r>
      <w:r>
        <w:rPr>
          <w:sz w:val="22"/>
        </w:rPr>
        <w:t>is returned.</w:t>
      </w:r>
    </w:p>
    <w:p>
      <w:pPr>
        <w:pStyle w:val="Heading3"/>
        <w:numPr>
          <w:ilvl w:val="3"/>
          <w:numId w:val="66"/>
        </w:numPr>
        <w:tabs>
          <w:tab w:pos="1732" w:val="left" w:leader="none"/>
          <w:tab w:pos="1733" w:val="left" w:leader="none"/>
        </w:tabs>
        <w:spacing w:line="280" w:lineRule="exact" w:before="0" w:after="0"/>
        <w:ind w:left="1732" w:right="0" w:hanging="1513"/>
        <w:jc w:val="left"/>
      </w:pPr>
      <w:bookmarkStart w:name="18.17.7.252 PI" w:id="2148"/>
      <w:bookmarkEnd w:id="2148"/>
      <w:r>
        <w:rPr/>
      </w:r>
      <w:bookmarkStart w:name="_bookmark715" w:id="2149"/>
      <w:bookmarkEnd w:id="2149"/>
      <w:r>
        <w:rPr/>
      </w:r>
      <w:bookmarkStart w:name="_bookmark715" w:id="2150"/>
      <w:bookmarkEnd w:id="2150"/>
      <w:r>
        <w:rPr>
          <w:color w:val="4F81BC"/>
        </w:rPr>
        <w:t>PI</w:t>
      </w:r>
    </w:p>
    <w:p>
      <w:pPr>
        <w:pStyle w:val="Heading4"/>
        <w:spacing w:before="122"/>
        <w:rPr>
          <w:b w:val="0"/>
        </w:rPr>
      </w:pPr>
      <w:r>
        <w:rPr/>
        <w:t>Syntax</w:t>
      </w:r>
      <w:r>
        <w:rPr>
          <w:b w:val="0"/>
        </w:rPr>
        <w:t>:</w:t>
      </w:r>
    </w:p>
    <w:p>
      <w:pPr>
        <w:pStyle w:val="BodyText"/>
        <w:spacing w:before="3"/>
        <w:rPr>
          <w:sz w:val="23"/>
        </w:rPr>
      </w:pPr>
    </w:p>
    <w:p>
      <w:pPr>
        <w:spacing w:before="0"/>
        <w:ind w:left="940" w:right="0" w:firstLine="0"/>
        <w:jc w:val="left"/>
        <w:rPr>
          <w:rFonts w:ascii="Lucida Console"/>
          <w:sz w:val="20"/>
        </w:rPr>
      </w:pPr>
      <w:r>
        <w:rPr>
          <w:rFonts w:ascii="Lucida Console"/>
          <w:sz w:val="20"/>
        </w:rPr>
        <w:t>PI (</w:t>
      </w:r>
      <w:r>
        <w:rPr>
          <w:rFonts w:ascii="Lucida Console"/>
          <w:spacing w:val="-92"/>
          <w:sz w:val="20"/>
        </w:rPr>
        <w:t> </w:t>
      </w:r>
      <w:r>
        <w:rPr>
          <w:rFonts w:ascii="Lucida Console"/>
          <w:sz w:val="20"/>
        </w:rPr>
        <w:t>)</w:t>
      </w:r>
    </w:p>
    <w:p>
      <w:pPr>
        <w:spacing w:after="0"/>
        <w:jc w:val="left"/>
        <w:rPr>
          <w:rFonts w:ascii="Lucida Console"/>
          <w:sz w:val="20"/>
        </w:rPr>
        <w:sectPr>
          <w:footerReference w:type="even" r:id="rId262"/>
          <w:footerReference w:type="default" r:id="rId263"/>
          <w:pgSz w:w="12240" w:h="15840"/>
          <w:pgMar w:footer="746" w:header="761" w:top="1340" w:bottom="940" w:left="860" w:right="700"/>
          <w:pgNumType w:start="2330"/>
        </w:sectPr>
      </w:pPr>
    </w:p>
    <w:p>
      <w:pPr>
        <w:spacing w:before="150"/>
        <w:ind w:left="220" w:right="0" w:firstLine="0"/>
        <w:jc w:val="left"/>
        <w:rPr>
          <w:sz w:val="22"/>
        </w:rPr>
      </w:pPr>
      <w:r>
        <w:rPr>
          <w:b/>
          <w:sz w:val="22"/>
        </w:rPr>
        <w:t>Description: </w:t>
      </w:r>
      <w:r>
        <w:rPr>
          <w:sz w:val="22"/>
        </w:rPr>
        <w:t>Computes the value π.</w:t>
      </w:r>
    </w:p>
    <w:p>
      <w:pPr>
        <w:pStyle w:val="BodyText"/>
        <w:spacing w:before="9"/>
        <w:rPr>
          <w:sz w:val="19"/>
        </w:rPr>
      </w:pPr>
    </w:p>
    <w:p>
      <w:pPr>
        <w:spacing w:before="0"/>
        <w:ind w:left="220" w:right="0" w:firstLine="0"/>
        <w:jc w:val="left"/>
        <w:rPr>
          <w:sz w:val="22"/>
        </w:rPr>
      </w:pPr>
      <w:r>
        <w:rPr>
          <w:b/>
          <w:sz w:val="22"/>
        </w:rPr>
        <w:t>Arguments: </w:t>
      </w:r>
      <w:r>
        <w:rPr>
          <w:sz w:val="22"/>
        </w:rPr>
        <w:t>None.</w:t>
      </w:r>
    </w:p>
    <w:p>
      <w:pPr>
        <w:pStyle w:val="BodyText"/>
        <w:spacing w:before="8"/>
        <w:rPr>
          <w:sz w:val="19"/>
        </w:rPr>
      </w:pPr>
    </w:p>
    <w:p>
      <w:pPr>
        <w:spacing w:before="0"/>
        <w:ind w:left="220" w:right="0" w:firstLine="0"/>
        <w:jc w:val="left"/>
        <w:rPr>
          <w:sz w:val="22"/>
        </w:rPr>
      </w:pPr>
      <w:r>
        <w:rPr>
          <w:b/>
          <w:sz w:val="22"/>
        </w:rPr>
        <w:t>Return Type and Value: </w:t>
      </w:r>
      <w:r>
        <w:rPr>
          <w:sz w:val="22"/>
        </w:rPr>
        <w:t>number – The value π.</w:t>
      </w:r>
    </w:p>
    <w:p>
      <w:pPr>
        <w:pStyle w:val="BodyText"/>
        <w:spacing w:before="6"/>
        <w:rPr>
          <w:sz w:val="19"/>
        </w:rPr>
      </w:pPr>
    </w:p>
    <w:p>
      <w:pPr>
        <w:pStyle w:val="BodyText"/>
        <w:ind w:left="220"/>
      </w:pPr>
      <w:r>
        <w:rPr/>
        <w:t>[</w:t>
      </w:r>
      <w:r>
        <w:rPr>
          <w:i/>
        </w:rPr>
        <w:t>Example</w:t>
      </w:r>
      <w:r>
        <w:rPr/>
        <w:t>: The following results are displayed using 10 significant digits</w:t>
      </w:r>
    </w:p>
    <w:p>
      <w:pPr>
        <w:pStyle w:val="BodyText"/>
        <w:spacing w:before="6"/>
        <w:rPr>
          <w:sz w:val="28"/>
        </w:rPr>
      </w:pPr>
    </w:p>
    <w:p>
      <w:pPr>
        <w:pStyle w:val="BodyText"/>
        <w:spacing w:line="276" w:lineRule="auto" w:before="1"/>
        <w:ind w:left="220" w:right="7482"/>
        <w:rPr>
          <w:rFonts w:ascii="Consolas"/>
        </w:rPr>
      </w:pPr>
      <w:r>
        <w:rPr>
          <w:rFonts w:ascii="Consolas"/>
        </w:rPr>
        <w:t>PI() </w:t>
      </w:r>
      <w:r>
        <w:rPr/>
        <w:t>results in </w:t>
      </w:r>
      <w:r>
        <w:rPr>
          <w:rFonts w:ascii="Consolas"/>
        </w:rPr>
        <w:t>3.141592654 PI()/2</w:t>
      </w:r>
      <w:r>
        <w:rPr>
          <w:rFonts w:ascii="Consolas"/>
          <w:spacing w:val="-83"/>
        </w:rPr>
        <w:t> </w:t>
      </w:r>
      <w:r>
        <w:rPr/>
        <w:t>results in </w:t>
      </w:r>
      <w:r>
        <w:rPr>
          <w:rFonts w:ascii="Consolas"/>
        </w:rPr>
        <w:t>1.570796327</w:t>
      </w:r>
    </w:p>
    <w:p>
      <w:pPr>
        <w:pStyle w:val="BodyText"/>
        <w:spacing w:before="1"/>
        <w:ind w:left="220"/>
        <w:rPr>
          <w:rFonts w:ascii="Consolas"/>
        </w:rPr>
      </w:pPr>
      <w:r>
        <w:rPr>
          <w:rFonts w:ascii="Consolas"/>
        </w:rPr>
        <w:t>PI()*(2.5^2)</w:t>
      </w:r>
      <w:r>
        <w:rPr>
          <w:rFonts w:ascii="Consolas"/>
          <w:spacing w:val="-76"/>
        </w:rPr>
        <w:t> </w:t>
      </w:r>
      <w:r>
        <w:rPr/>
        <w:t>results in </w:t>
      </w:r>
      <w:r>
        <w:rPr>
          <w:rFonts w:ascii="Consolas"/>
        </w:rPr>
        <w:t>19.63495408</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3 PMT" w:id="2151"/>
      <w:bookmarkEnd w:id="2151"/>
      <w:r>
        <w:rPr/>
      </w:r>
      <w:bookmarkStart w:name="_bookmark716" w:id="2152"/>
      <w:bookmarkEnd w:id="2152"/>
      <w:r>
        <w:rPr/>
      </w:r>
      <w:bookmarkStart w:name="_bookmark716" w:id="2153"/>
      <w:bookmarkEnd w:id="2153"/>
      <w:r>
        <w:rPr>
          <w:color w:val="4F81BC"/>
        </w:rPr>
        <w:t>P</w:t>
      </w:r>
      <w:r>
        <w:rPr>
          <w:color w:val="4F81BC"/>
        </w:rPr>
        <w:t>MT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PMT ( </w:t>
      </w:r>
      <w:r>
        <w:rPr>
          <w:i/>
          <w:sz w:val="22"/>
        </w:rPr>
        <w:t>rate </w:t>
      </w:r>
      <w:r>
        <w:rPr>
          <w:rFonts w:ascii="Lucida Console"/>
          <w:sz w:val="20"/>
        </w:rPr>
        <w:t>, </w:t>
      </w:r>
      <w:r>
        <w:rPr>
          <w:i/>
          <w:sz w:val="22"/>
        </w:rPr>
        <w:t>nper </w:t>
      </w:r>
      <w:r>
        <w:rPr>
          <w:rFonts w:ascii="Lucida Console"/>
          <w:sz w:val="20"/>
        </w:rPr>
        <w:t>, </w:t>
      </w:r>
      <w:r>
        <w:rPr>
          <w:i/>
          <w:sz w:val="22"/>
        </w:rPr>
        <w:t>pv </w:t>
      </w:r>
      <w:r>
        <w:rPr>
          <w:sz w:val="22"/>
        </w:rPr>
        <w:t>[  </w:t>
      </w:r>
      <w:r>
        <w:rPr>
          <w:rFonts w:ascii="Lucida Console"/>
          <w:sz w:val="20"/>
        </w:rPr>
        <w:t>, </w:t>
      </w:r>
      <w:r>
        <w:rPr>
          <w:sz w:val="22"/>
        </w:rPr>
        <w:t>[  </w:t>
      </w:r>
      <w:r>
        <w:rPr>
          <w:i/>
          <w:sz w:val="22"/>
        </w:rPr>
        <w:t>fv </w:t>
      </w:r>
      <w:r>
        <w:rPr>
          <w:sz w:val="22"/>
        </w:rPr>
        <w:t>] [ </w:t>
      </w:r>
      <w:r>
        <w:rPr>
          <w:rFonts w:ascii="Lucida Console"/>
          <w:sz w:val="20"/>
        </w:rPr>
        <w:t>,</w:t>
      </w:r>
      <w:r>
        <w:rPr>
          <w:rFonts w:ascii="Lucida Console"/>
          <w:spacing w:val="-71"/>
          <w:sz w:val="20"/>
        </w:rPr>
        <w:t> </w:t>
      </w:r>
      <w:r>
        <w:rPr>
          <w:sz w:val="22"/>
        </w:rPr>
        <w:t>[ </w:t>
      </w:r>
      <w:r>
        <w:rPr>
          <w:i/>
          <w:sz w:val="22"/>
        </w:rPr>
        <w:t>type  </w:t>
      </w:r>
      <w:r>
        <w:rPr>
          <w:sz w:val="22"/>
        </w:rPr>
        <w:t>] ] ] </w:t>
      </w:r>
      <w:r>
        <w:rPr>
          <w:rFonts w:ascii="Lucida Console"/>
          <w:sz w:val="20"/>
        </w:rPr>
        <w:t>)</w:t>
      </w:r>
    </w:p>
    <w:p>
      <w:pPr>
        <w:pStyle w:val="BodyText"/>
        <w:spacing w:before="108"/>
        <w:ind w:left="220"/>
      </w:pPr>
      <w:r>
        <w:rPr>
          <w:b/>
        </w:rPr>
        <w:t>Description</w:t>
      </w:r>
      <w:r>
        <w:rPr/>
        <w:t>: Computes the payment for a loan based on constant payments and a constant interest rate.</w:t>
      </w:r>
    </w:p>
    <w:p>
      <w:pPr>
        <w:pStyle w:val="BodyText"/>
        <w:spacing w:before="8"/>
        <w:rPr>
          <w:sz w:val="19"/>
        </w:rPr>
      </w:pPr>
    </w:p>
    <w:p>
      <w:pPr>
        <w:pStyle w:val="Heading4"/>
        <w:spacing w:before="1"/>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397" w:type="dxa"/>
            <w:gridSpan w:val="4"/>
            <w:shd w:val="clear" w:color="auto" w:fill="C0C0C0"/>
          </w:tcPr>
          <w:p>
            <w:pPr>
              <w:pStyle w:val="TableParagraph"/>
              <w:spacing w:before="42"/>
              <w:ind w:left="2154" w:right="2144"/>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interest rate for the loan.</w:t>
            </w:r>
          </w:p>
        </w:tc>
      </w:tr>
      <w:tr>
        <w:trPr>
          <w:trHeight w:val="355" w:hRule="atLeast"/>
        </w:trPr>
        <w:tc>
          <w:tcPr>
            <w:tcW w:w="1466" w:type="dxa"/>
          </w:tcPr>
          <w:p>
            <w:pPr>
              <w:pStyle w:val="TableParagraph"/>
              <w:spacing w:before="37"/>
              <w:rPr>
                <w:rFonts w:ascii="Times New Roman"/>
                <w:i/>
                <w:sz w:val="22"/>
              </w:rPr>
            </w:pPr>
            <w:r>
              <w:rPr>
                <w:rFonts w:ascii="Times New Roman"/>
                <w:i/>
                <w:sz w:val="22"/>
              </w:rPr>
              <w:t>nper</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total number of payment for the loan.</w:t>
            </w:r>
          </w:p>
        </w:tc>
      </w:tr>
      <w:tr>
        <w:trPr>
          <w:trHeight w:val="892"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397" w:type="dxa"/>
            <w:gridSpan w:val="4"/>
          </w:tcPr>
          <w:p>
            <w:pPr>
              <w:pStyle w:val="TableParagraph"/>
              <w:ind w:left="113" w:right="414"/>
              <w:rPr>
                <w:sz w:val="22"/>
              </w:rPr>
            </w:pPr>
            <w:r>
              <w:rPr>
                <w:sz w:val="22"/>
              </w:rPr>
              <w:t>The present value, or the total amount that a series of future payments is worth now; also known as the principal.</w:t>
            </w:r>
          </w:p>
        </w:tc>
      </w:tr>
      <w:tr>
        <w:trPr>
          <w:trHeight w:val="892" w:hRule="atLeast"/>
        </w:trPr>
        <w:tc>
          <w:tcPr>
            <w:tcW w:w="1466" w:type="dxa"/>
          </w:tcPr>
          <w:p>
            <w:pPr>
              <w:pStyle w:val="TableParagraph"/>
              <w:spacing w:before="37"/>
              <w:rPr>
                <w:rFonts w:ascii="Times New Roman"/>
                <w:i/>
                <w:sz w:val="22"/>
              </w:rPr>
            </w:pPr>
            <w:r>
              <w:rPr>
                <w:rFonts w:ascii="Times New Roman"/>
                <w:i/>
                <w:sz w:val="22"/>
              </w:rPr>
              <w:t>fv</w:t>
            </w:r>
          </w:p>
        </w:tc>
        <w:tc>
          <w:tcPr>
            <w:tcW w:w="1800" w:type="dxa"/>
          </w:tcPr>
          <w:p>
            <w:pPr>
              <w:pStyle w:val="TableParagraph"/>
              <w:ind w:left="112"/>
              <w:rPr>
                <w:sz w:val="22"/>
              </w:rPr>
            </w:pPr>
            <w:r>
              <w:rPr>
                <w:sz w:val="22"/>
              </w:rPr>
              <w:t>number</w:t>
            </w:r>
          </w:p>
        </w:tc>
        <w:tc>
          <w:tcPr>
            <w:tcW w:w="5397" w:type="dxa"/>
            <w:gridSpan w:val="4"/>
          </w:tcPr>
          <w:p>
            <w:pPr>
              <w:pStyle w:val="TableParagraph"/>
              <w:ind w:left="113" w:right="341"/>
              <w:rPr>
                <w:sz w:val="22"/>
              </w:rPr>
            </w:pPr>
            <w:r>
              <w:rPr>
                <w:sz w:val="22"/>
              </w:rPr>
              <w:t>The future value, or a cash balance to be attained after the last payment is made. If omitted, it is assumed to be 0 (i.e., the future value of a loan, for example, is 0).</w:t>
            </w:r>
          </w:p>
        </w:tc>
      </w:tr>
      <w:tr>
        <w:trPr>
          <w:trHeight w:val="846" w:hRule="atLeast"/>
        </w:trPr>
        <w:tc>
          <w:tcPr>
            <w:tcW w:w="1466" w:type="dxa"/>
            <w:vMerge w:val="restart"/>
          </w:tcPr>
          <w:p>
            <w:pPr>
              <w:pStyle w:val="TableParagraph"/>
              <w:spacing w:before="37"/>
              <w:rPr>
                <w:rFonts w:ascii="Times New Roman"/>
                <w:i/>
                <w:sz w:val="22"/>
              </w:rPr>
            </w:pPr>
            <w:r>
              <w:rPr>
                <w:rFonts w:ascii="Times New Roman"/>
                <w:i/>
                <w:sz w:val="22"/>
              </w:rPr>
              <w:t>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spacing w:line="237" w:lineRule="auto" w:before="42"/>
              <w:ind w:left="113" w:right="668"/>
              <w:rPr>
                <w:sz w:val="22"/>
              </w:rPr>
            </w:pPr>
            <w:r>
              <w:rPr>
                <w:sz w:val="22"/>
              </w:rPr>
              <w:t>The timing of the payment, truncated to integer,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1</w:t>
            </w:r>
          </w:p>
        </w:tc>
        <w:tc>
          <w:tcPr>
            <w:tcW w:w="2985" w:type="dxa"/>
          </w:tcPr>
          <w:p>
            <w:pPr>
              <w:pStyle w:val="TableParagraph"/>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3" w:footer="746" w:top="1340" w:bottom="940" w:left="860" w:right="700"/>
        </w:sectPr>
      </w:pPr>
    </w:p>
    <w:p>
      <w:pPr>
        <w:pStyle w:val="BodyText"/>
        <w:spacing w:line="276" w:lineRule="auto" w:before="90"/>
        <w:ind w:left="220" w:right="514"/>
      </w:pPr>
      <w:r>
        <w:rPr>
          <w:b/>
        </w:rPr>
        <w:t>Return Type and Value</w:t>
      </w:r>
      <w:r>
        <w:rPr/>
        <w:t>: number – The payment for a loan based on constant payments and a constant interest rate. (The payment returned by </w:t>
      </w:r>
      <w:r>
        <w:rPr>
          <w:rFonts w:ascii="Consolas" w:hAnsi="Consolas"/>
        </w:rPr>
        <w:t>PMT </w:t>
      </w:r>
      <w:r>
        <w:rPr/>
        <w:t>includes principal and interest but no taxes, reserve payments, or fees sometimes associated with loans.)</w:t>
      </w:r>
    </w:p>
    <w:p>
      <w:pPr>
        <w:pStyle w:val="BodyText"/>
        <w:spacing w:before="7"/>
        <w:rPr>
          <w:sz w:val="16"/>
        </w:rPr>
      </w:pPr>
    </w:p>
    <w:p>
      <w:pPr>
        <w:pStyle w:val="BodyText"/>
        <w:spacing w:line="453" w:lineRule="auto"/>
        <w:ind w:left="220" w:right="3786"/>
      </w:pPr>
      <w:r>
        <w:rPr/>
        <w:t>Howver, if </w:t>
      </w:r>
      <w:r>
        <w:rPr>
          <w:rFonts w:ascii="Times New Roman"/>
          <w:i/>
        </w:rPr>
        <w:t>type </w:t>
      </w:r>
      <w:r>
        <w:rPr/>
        <w:t>is any number other than 0 or 1, </w:t>
      </w:r>
      <w:r>
        <w:rPr>
          <w:rFonts w:ascii="Consolas"/>
        </w:rPr>
        <w:t>#NUM!</w:t>
      </w:r>
      <w:r>
        <w:rPr>
          <w:rFonts w:ascii="Consolas"/>
          <w:spacing w:val="-92"/>
        </w:rPr>
        <w:t> </w:t>
      </w:r>
      <w:r>
        <w:rPr/>
        <w:t>is returned. [</w:t>
      </w:r>
      <w:r>
        <w:rPr>
          <w:i/>
        </w:rPr>
        <w:t>Example</w:t>
      </w:r>
      <w:r>
        <w:rPr/>
        <w:t>:</w:t>
      </w:r>
    </w:p>
    <w:p>
      <w:pPr>
        <w:pStyle w:val="BodyText"/>
        <w:spacing w:line="273" w:lineRule="auto" w:before="110"/>
        <w:ind w:left="220" w:right="5295"/>
        <w:rPr>
          <w:rFonts w:ascii="Consolas"/>
        </w:rPr>
      </w:pPr>
      <w:r>
        <w:rPr>
          <w:rFonts w:ascii="Consolas"/>
        </w:rPr>
        <w:t>PMT(0.08/12,10,10000) </w:t>
      </w:r>
      <w:r>
        <w:rPr/>
        <w:t>results in </w:t>
      </w:r>
      <w:r>
        <w:rPr>
          <w:rFonts w:ascii="Consolas"/>
        </w:rPr>
        <w:t>-1,037.03 PMT(0.08/12,10,10000,0,1)</w:t>
      </w:r>
      <w:r>
        <w:rPr>
          <w:rFonts w:ascii="Consolas"/>
          <w:spacing w:val="-68"/>
        </w:rPr>
        <w:t> </w:t>
      </w:r>
      <w:r>
        <w:rPr/>
        <w:t>results in </w:t>
      </w:r>
      <w:r>
        <w:rPr>
          <w:rFonts w:ascii="Consolas"/>
        </w:rPr>
        <w:t>-1,030.16</w:t>
      </w:r>
    </w:p>
    <w:p>
      <w:pPr>
        <w:pStyle w:val="BodyText"/>
        <w:rPr>
          <w:rFonts w:ascii="Consolas"/>
          <w:sz w:val="27"/>
        </w:rPr>
      </w:pPr>
    </w:p>
    <w:p>
      <w:pPr>
        <w:spacing w:before="1"/>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4 POISSON" w:id="2154"/>
      <w:bookmarkEnd w:id="2154"/>
      <w:r>
        <w:rPr/>
      </w:r>
      <w:bookmarkStart w:name="_bookmark717" w:id="2155"/>
      <w:bookmarkEnd w:id="2155"/>
      <w:r>
        <w:rPr/>
      </w:r>
      <w:bookmarkStart w:name="_bookmark717" w:id="2156"/>
      <w:bookmarkEnd w:id="2156"/>
      <w:r>
        <w:rPr>
          <w:color w:val="4F81BC"/>
        </w:rPr>
        <w:t>PO</w:t>
      </w:r>
      <w:r>
        <w:rPr>
          <w:color w:val="4F81BC"/>
        </w:rPr>
        <w:t>ISSON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POISSON ( </w:t>
      </w:r>
      <w:r>
        <w:rPr>
          <w:i/>
          <w:sz w:val="22"/>
        </w:rPr>
        <w:t>x </w:t>
      </w:r>
      <w:r>
        <w:rPr>
          <w:rFonts w:ascii="Lucida Console"/>
          <w:sz w:val="20"/>
        </w:rPr>
        <w:t>, </w:t>
      </w:r>
      <w:r>
        <w:rPr>
          <w:i/>
          <w:sz w:val="22"/>
        </w:rPr>
        <w:t>mean </w:t>
      </w:r>
      <w:r>
        <w:rPr>
          <w:rFonts w:ascii="Lucida Console"/>
          <w:sz w:val="20"/>
        </w:rPr>
        <w:t>,</w:t>
      </w:r>
      <w:r>
        <w:rPr>
          <w:rFonts w:ascii="Lucida Console"/>
          <w:spacing w:val="-87"/>
          <w:sz w:val="20"/>
        </w:rPr>
        <w:t> </w:t>
      </w:r>
      <w:r>
        <w:rPr>
          <w:i/>
          <w:sz w:val="22"/>
        </w:rPr>
        <w:t>cumulative-flag </w:t>
      </w:r>
      <w:r>
        <w:rPr>
          <w:rFonts w:ascii="Lucida Console"/>
          <w:sz w:val="20"/>
        </w:rPr>
        <w:t>)</w:t>
      </w:r>
    </w:p>
    <w:p>
      <w:pPr>
        <w:spacing w:before="109"/>
        <w:ind w:left="220" w:right="0" w:firstLine="0"/>
        <w:jc w:val="left"/>
        <w:rPr>
          <w:sz w:val="22"/>
        </w:rPr>
      </w:pPr>
      <w:r>
        <w:rPr>
          <w:b/>
          <w:sz w:val="22"/>
        </w:rPr>
        <w:t>Description: </w:t>
      </w:r>
      <w:r>
        <w:rPr>
          <w:sz w:val="22"/>
        </w:rPr>
        <w:t>Computes the Poisson distribution.</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spacing w:before="0"/>
        <w:ind w:left="220" w:right="0" w:firstLine="0"/>
        <w:jc w:val="left"/>
        <w:rPr>
          <w:sz w:val="22"/>
        </w:rPr>
      </w:pPr>
      <w:r>
        <w:rPr>
          <w:sz w:val="22"/>
        </w:rPr>
        <w:t>For </w:t>
      </w:r>
      <w:r>
        <w:rPr>
          <w:rFonts w:ascii="Times New Roman"/>
          <w:i/>
          <w:sz w:val="22"/>
        </w:rPr>
        <w:t>cumulative-flag </w:t>
      </w:r>
      <w:r>
        <w:rPr>
          <w:sz w:val="22"/>
        </w:rPr>
        <w:t>= </w:t>
      </w:r>
      <w:r>
        <w:rPr>
          <w:rFonts w:ascii="Consolas"/>
          <w:sz w:val="22"/>
        </w:rPr>
        <w:t>FALSE</w:t>
      </w:r>
      <w:r>
        <w:rPr>
          <w:sz w:val="22"/>
        </w:rPr>
        <w:t>:</w:t>
      </w:r>
    </w:p>
    <w:p>
      <w:pPr>
        <w:pStyle w:val="BodyText"/>
        <w:spacing w:before="11"/>
        <w:rPr>
          <w:sz w:val="12"/>
        </w:rPr>
      </w:pPr>
    </w:p>
    <w:p>
      <w:pPr>
        <w:spacing w:after="0"/>
        <w:rPr>
          <w:sz w:val="12"/>
        </w:rPr>
        <w:sectPr>
          <w:pgSz w:w="12240" w:h="15840"/>
          <w:pgMar w:header="761" w:footer="746" w:top="1340" w:bottom="940" w:left="860" w:right="700"/>
        </w:sectPr>
      </w:pPr>
    </w:p>
    <w:p>
      <w:pPr>
        <w:pStyle w:val="BodyText"/>
        <w:spacing w:before="9"/>
        <w:rPr>
          <w:sz w:val="21"/>
        </w:rPr>
      </w:pPr>
    </w:p>
    <w:p>
      <w:pPr>
        <w:pStyle w:val="BodyText"/>
        <w:spacing w:before="1"/>
        <w:ind w:left="220"/>
        <w:rPr>
          <w:rFonts w:ascii="Cambria Math" w:eastAsia="Cambria Math"/>
        </w:rPr>
      </w:pPr>
      <w:r>
        <w:rPr>
          <w:rFonts w:ascii="Cambria Math" w:eastAsia="Cambria Math"/>
        </w:rPr>
        <w:t>𝑃𝑂𝐼𝑆𝑆𝑂𝑁 =</w:t>
      </w:r>
    </w:p>
    <w:p>
      <w:pPr>
        <w:spacing w:before="73"/>
        <w:ind w:left="60" w:right="8640" w:firstLine="0"/>
        <w:jc w:val="center"/>
        <w:rPr>
          <w:rFonts w:ascii="Cambria Math" w:hAnsi="Cambria Math" w:eastAsia="Cambria Math"/>
          <w:sz w:val="16"/>
        </w:rPr>
      </w:pPr>
      <w:r>
        <w:rPr/>
        <w:br w:type="column"/>
      </w:r>
      <w:r>
        <w:rPr>
          <w:rFonts w:ascii="Cambria Math" w:hAnsi="Cambria Math" w:eastAsia="Cambria Math"/>
          <w:w w:val="105"/>
          <w:position w:val="-7"/>
          <w:sz w:val="22"/>
        </w:rPr>
        <w:t>𝑒</w:t>
      </w:r>
      <w:r>
        <w:rPr>
          <w:rFonts w:ascii="Cambria Math" w:hAnsi="Cambria Math" w:eastAsia="Cambria Math"/>
          <w:w w:val="105"/>
          <w:sz w:val="16"/>
        </w:rPr>
        <w:t>−𝜆</w:t>
      </w:r>
      <w:r>
        <w:rPr>
          <w:rFonts w:ascii="Cambria Math" w:hAnsi="Cambria Math" w:eastAsia="Cambria Math"/>
          <w:w w:val="105"/>
          <w:position w:val="-7"/>
          <w:sz w:val="22"/>
        </w:rPr>
        <w:t>𝜆</w:t>
      </w:r>
      <w:r>
        <w:rPr>
          <w:rFonts w:ascii="Cambria Math" w:hAnsi="Cambria Math" w:eastAsia="Cambria Math"/>
          <w:w w:val="105"/>
          <w:sz w:val="16"/>
        </w:rPr>
        <w:t>𝑥</w:t>
      </w:r>
    </w:p>
    <w:p>
      <w:pPr>
        <w:pStyle w:val="BodyText"/>
        <w:spacing w:before="4"/>
        <w:rPr>
          <w:rFonts w:ascii="Cambria Math"/>
          <w:sz w:val="4"/>
        </w:rPr>
      </w:pPr>
    </w:p>
    <w:p>
      <w:pPr>
        <w:pStyle w:val="BodyText"/>
        <w:spacing w:line="20" w:lineRule="exact"/>
        <w:ind w:left="63"/>
        <w:rPr>
          <w:rFonts w:ascii="Cambria Math"/>
          <w:sz w:val="2"/>
        </w:rPr>
      </w:pPr>
      <w:r>
        <w:rPr>
          <w:rFonts w:ascii="Cambria Math"/>
          <w:sz w:val="2"/>
        </w:rPr>
        <w:pict>
          <v:group style="width:28.35pt;height:.75pt;mso-position-horizontal-relative:char;mso-position-vertical-relative:line" coordorigin="0,0" coordsize="567,15">
            <v:line style="position:absolute" from="0,7" to="566,7" stroked="true" strokeweight=".72pt" strokecolor="#000000">
              <v:stroke dashstyle="solid"/>
            </v:line>
          </v:group>
        </w:pict>
      </w:r>
      <w:r>
        <w:rPr>
          <w:rFonts w:ascii="Cambria Math"/>
          <w:sz w:val="2"/>
        </w:rPr>
      </w:r>
    </w:p>
    <w:p>
      <w:pPr>
        <w:pStyle w:val="BodyText"/>
        <w:ind w:left="60" w:right="8629"/>
        <w:jc w:val="center"/>
        <w:rPr>
          <w:rFonts w:ascii="Cambria Math" w:eastAsia="Cambria Math"/>
        </w:rPr>
      </w:pPr>
      <w:r>
        <w:rPr>
          <w:rFonts w:ascii="Cambria Math" w:eastAsia="Cambria Math"/>
        </w:rPr>
        <w:t>𝑥!</w:t>
      </w:r>
    </w:p>
    <w:p>
      <w:pPr>
        <w:spacing w:after="0"/>
        <w:jc w:val="center"/>
        <w:rPr>
          <w:rFonts w:ascii="Cambria Math" w:eastAsia="Cambria Math"/>
        </w:rPr>
        <w:sectPr>
          <w:type w:val="continuous"/>
          <w:pgSz w:w="12240" w:h="15840"/>
          <w:pgMar w:top="1340" w:bottom="940" w:left="860" w:right="700"/>
          <w:cols w:num="2" w:equalWidth="0">
            <w:col w:w="1363" w:space="40"/>
            <w:col w:w="9277"/>
          </w:cols>
        </w:sectPr>
      </w:pPr>
    </w:p>
    <w:p>
      <w:pPr>
        <w:pStyle w:val="BodyText"/>
        <w:rPr>
          <w:rFonts w:ascii="Cambria Math"/>
          <w:sz w:val="9"/>
        </w:rPr>
      </w:pPr>
    </w:p>
    <w:p>
      <w:pPr>
        <w:spacing w:before="87"/>
        <w:ind w:left="220" w:right="0" w:firstLine="0"/>
        <w:jc w:val="left"/>
        <w:rPr>
          <w:sz w:val="22"/>
        </w:rPr>
      </w:pPr>
      <w:r>
        <w:rPr>
          <w:sz w:val="22"/>
        </w:rPr>
        <w:t>For </w:t>
      </w:r>
      <w:r>
        <w:rPr>
          <w:rFonts w:ascii="Times New Roman"/>
          <w:i/>
          <w:sz w:val="22"/>
        </w:rPr>
        <w:t>cumulative-flag </w:t>
      </w:r>
      <w:r>
        <w:rPr>
          <w:sz w:val="22"/>
        </w:rPr>
        <w:t>= </w:t>
      </w:r>
      <w:r>
        <w:rPr>
          <w:rFonts w:ascii="Consolas"/>
          <w:sz w:val="22"/>
        </w:rPr>
        <w:t>TRUE</w:t>
      </w:r>
      <w:r>
        <w:rPr>
          <w:sz w:val="22"/>
        </w:rPr>
        <w:t>:</w:t>
      </w:r>
    </w:p>
    <w:p>
      <w:pPr>
        <w:pStyle w:val="BodyText"/>
        <w:spacing w:before="4"/>
        <w:rPr>
          <w:sz w:val="10"/>
        </w:rPr>
      </w:pPr>
    </w:p>
    <w:p>
      <w:pPr>
        <w:spacing w:after="0"/>
        <w:rPr>
          <w:sz w:val="10"/>
        </w:rPr>
        <w:sectPr>
          <w:type w:val="continuous"/>
          <w:pgSz w:w="12240" w:h="15840"/>
          <w:pgMar w:top="1340" w:bottom="940" w:left="860" w:right="700"/>
        </w:sectPr>
      </w:pPr>
    </w:p>
    <w:p>
      <w:pPr>
        <w:spacing w:before="74"/>
        <w:ind w:left="1933" w:right="0" w:firstLine="0"/>
        <w:jc w:val="center"/>
        <w:rPr>
          <w:rFonts w:ascii="Cambria Math" w:eastAsia="Cambria Math"/>
          <w:sz w:val="16"/>
        </w:rPr>
      </w:pPr>
      <w:r>
        <w:rPr>
          <w:rFonts w:ascii="Cambria Math" w:eastAsia="Cambria Math"/>
          <w:w w:val="110"/>
          <w:sz w:val="16"/>
        </w:rPr>
        <w:t>𝑥</w:t>
      </w:r>
    </w:p>
    <w:p>
      <w:pPr>
        <w:pStyle w:val="BodyText"/>
        <w:spacing w:before="84"/>
        <w:ind w:left="220"/>
        <w:rPr>
          <w:rFonts w:ascii="Cambria Math" w:hAnsi="Cambria Math" w:eastAsia="Cambria Math"/>
        </w:rPr>
      </w:pPr>
      <w:r>
        <w:rPr>
          <w:rFonts w:ascii="Cambria Math" w:hAnsi="Cambria Math" w:eastAsia="Cambria Math"/>
          <w:w w:val="110"/>
        </w:rPr>
        <w:t>𝐶𝑈𝑀𝑃𝑂𝐼𝑆𝑆𝑂𝑁</w:t>
      </w:r>
      <w:r>
        <w:rPr>
          <w:rFonts w:ascii="Cambria Math" w:hAnsi="Cambria Math" w:eastAsia="Cambria Math"/>
          <w:spacing w:val="-43"/>
          <w:w w:val="110"/>
        </w:rPr>
        <w:t> </w:t>
      </w:r>
      <w:r>
        <w:rPr>
          <w:rFonts w:ascii="Cambria Math" w:hAnsi="Cambria Math" w:eastAsia="Cambria Math"/>
          <w:w w:val="110"/>
        </w:rPr>
        <w:t>= </w:t>
      </w:r>
      <w:r>
        <w:rPr>
          <w:rFonts w:ascii="Cambria Math" w:hAnsi="Cambria Math" w:eastAsia="Cambria Math"/>
          <w:w w:val="160"/>
        </w:rPr>
        <w:t>∑</w:t>
      </w:r>
    </w:p>
    <w:p>
      <w:pPr>
        <w:spacing w:before="82"/>
        <w:ind w:left="1941" w:right="0" w:firstLine="0"/>
        <w:jc w:val="center"/>
        <w:rPr>
          <w:rFonts w:ascii="Cambria Math" w:eastAsia="Cambria Math"/>
          <w:sz w:val="16"/>
        </w:rPr>
      </w:pPr>
      <w:r>
        <w:rPr>
          <w:rFonts w:ascii="Cambria Math" w:eastAsia="Cambria Math"/>
          <w:w w:val="105"/>
          <w:sz w:val="16"/>
        </w:rPr>
        <w:t>𝑘=0</w:t>
      </w:r>
    </w:p>
    <w:p>
      <w:pPr>
        <w:spacing w:before="153"/>
        <w:ind w:left="-6" w:right="7835" w:firstLine="0"/>
        <w:jc w:val="center"/>
        <w:rPr>
          <w:rFonts w:ascii="Cambria Math" w:hAnsi="Cambria Math" w:eastAsia="Cambria Math"/>
          <w:sz w:val="16"/>
        </w:rPr>
      </w:pPr>
      <w:r>
        <w:rPr/>
        <w:br w:type="column"/>
      </w:r>
      <w:r>
        <w:rPr>
          <w:rFonts w:ascii="Cambria Math" w:hAnsi="Cambria Math" w:eastAsia="Cambria Math"/>
          <w:spacing w:val="3"/>
          <w:position w:val="-7"/>
          <w:sz w:val="22"/>
        </w:rPr>
        <w:t>𝑒</w:t>
      </w:r>
      <w:r>
        <w:rPr>
          <w:rFonts w:ascii="Cambria Math" w:hAnsi="Cambria Math" w:eastAsia="Cambria Math"/>
          <w:spacing w:val="3"/>
          <w:sz w:val="16"/>
        </w:rPr>
        <w:t>−𝜆</w:t>
      </w:r>
      <w:r>
        <w:rPr>
          <w:rFonts w:ascii="Cambria Math" w:hAnsi="Cambria Math" w:eastAsia="Cambria Math"/>
          <w:spacing w:val="3"/>
          <w:position w:val="-7"/>
          <w:sz w:val="22"/>
        </w:rPr>
        <w:t>𝜆</w:t>
      </w:r>
      <w:r>
        <w:rPr>
          <w:rFonts w:ascii="Cambria Math" w:hAnsi="Cambria Math" w:eastAsia="Cambria Math"/>
          <w:spacing w:val="3"/>
          <w:sz w:val="16"/>
        </w:rPr>
        <w:t>𝑘</w:t>
      </w:r>
    </w:p>
    <w:p>
      <w:pPr>
        <w:pStyle w:val="BodyText"/>
        <w:spacing w:before="3"/>
        <w:rPr>
          <w:rFonts w:ascii="Cambria Math"/>
          <w:sz w:val="4"/>
        </w:rPr>
      </w:pPr>
    </w:p>
    <w:p>
      <w:pPr>
        <w:pStyle w:val="BodyText"/>
        <w:spacing w:line="20" w:lineRule="exact"/>
        <w:ind w:left="-14"/>
        <w:rPr>
          <w:rFonts w:ascii="Cambria Math"/>
          <w:sz w:val="2"/>
        </w:rPr>
      </w:pPr>
      <w:r>
        <w:rPr>
          <w:rFonts w:ascii="Cambria Math"/>
          <w:sz w:val="2"/>
        </w:rPr>
        <w:pict>
          <v:group style="width:28.2pt;height:.75pt;mso-position-horizontal-relative:char;mso-position-vertical-relative:line" coordorigin="0,0" coordsize="564,15">
            <v:line style="position:absolute" from="0,7" to="564,7" stroked="true" strokeweight=".72pt" strokecolor="#000000">
              <v:stroke dashstyle="solid"/>
            </v:line>
          </v:group>
        </w:pict>
      </w:r>
      <w:r>
        <w:rPr>
          <w:rFonts w:ascii="Cambria Math"/>
          <w:sz w:val="2"/>
        </w:rPr>
      </w:r>
    </w:p>
    <w:p>
      <w:pPr>
        <w:pStyle w:val="BodyText"/>
        <w:ind w:left="6" w:right="7835"/>
        <w:jc w:val="center"/>
        <w:rPr>
          <w:rFonts w:ascii="Cambria Math" w:eastAsia="Cambria Math"/>
        </w:rPr>
      </w:pPr>
      <w:r>
        <w:rPr>
          <w:rFonts w:ascii="Cambria Math" w:eastAsia="Cambria Math"/>
        </w:rPr>
        <w:t>𝑘!</w:t>
      </w:r>
    </w:p>
    <w:p>
      <w:pPr>
        <w:spacing w:after="0"/>
        <w:jc w:val="center"/>
        <w:rPr>
          <w:rFonts w:ascii="Cambria Math" w:eastAsia="Cambria Math"/>
        </w:rPr>
        <w:sectPr>
          <w:type w:val="continuous"/>
          <w:pgSz w:w="12240" w:h="15840"/>
          <w:pgMar w:top="1340" w:bottom="940" w:left="860" w:right="700"/>
          <w:cols w:num="2" w:equalWidth="0">
            <w:col w:w="2256" w:space="40"/>
            <w:col w:w="8384"/>
          </w:cols>
        </w:sectPr>
      </w:pPr>
    </w:p>
    <w:p>
      <w:pPr>
        <w:pStyle w:val="BodyText"/>
        <w:spacing w:before="5"/>
        <w:rPr>
          <w:rFonts w:ascii="Cambria Math"/>
          <w:sz w:val="12"/>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3"/>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sz w:val="22"/>
        </w:rPr>
        <w:t>λ = argument</w:t>
      </w:r>
      <w:r>
        <w:rPr>
          <w:spacing w:val="-2"/>
          <w:sz w:val="22"/>
        </w:rPr>
        <w:t> </w:t>
      </w:r>
      <w:r>
        <w:rPr>
          <w:rFonts w:ascii="Times New Roman" w:hAnsi="Times New Roman"/>
          <w:i/>
          <w:sz w:val="22"/>
        </w:rPr>
        <w:t>mean</w:t>
      </w:r>
    </w:p>
    <w:p>
      <w:pPr>
        <w:pStyle w:val="Heading4"/>
        <w:spacing w:before="24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spacing w:before="43"/>
              <w:ind w:left="460"/>
              <w:rPr>
                <w:b/>
                <w:sz w:val="22"/>
              </w:rPr>
            </w:pPr>
            <w:r>
              <w:rPr>
                <w:b/>
                <w:sz w:val="22"/>
              </w:rPr>
              <w:t>Name</w:t>
            </w:r>
          </w:p>
        </w:tc>
        <w:tc>
          <w:tcPr>
            <w:tcW w:w="1800" w:type="dxa"/>
            <w:shd w:val="clear" w:color="auto" w:fill="C0C0C0"/>
          </w:tcPr>
          <w:p>
            <w:pPr>
              <w:pStyle w:val="TableParagraph"/>
              <w:spacing w:before="43"/>
              <w:ind w:left="94" w:right="86"/>
              <w:jc w:val="center"/>
              <w:rPr>
                <w:b/>
                <w:sz w:val="22"/>
              </w:rPr>
            </w:pPr>
            <w:r>
              <w:rPr>
                <w:b/>
                <w:sz w:val="22"/>
              </w:rPr>
              <w:t>Type</w:t>
            </w:r>
          </w:p>
        </w:tc>
        <w:tc>
          <w:tcPr>
            <w:tcW w:w="5400" w:type="dxa"/>
            <w:shd w:val="clear" w:color="auto" w:fill="C0C0C0"/>
          </w:tcPr>
          <w:p>
            <w:pPr>
              <w:pStyle w:val="TableParagraph"/>
              <w:spacing w:before="43"/>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events, truncated to an integer.</w:t>
            </w:r>
          </w:p>
        </w:tc>
      </w:tr>
      <w:tr>
        <w:trPr>
          <w:trHeight w:val="354" w:hRule="atLeast"/>
        </w:trPr>
        <w:tc>
          <w:tcPr>
            <w:tcW w:w="1466" w:type="dxa"/>
          </w:tcPr>
          <w:p>
            <w:pPr>
              <w:pStyle w:val="TableParagraph"/>
              <w:spacing w:before="37"/>
              <w:rPr>
                <w:rFonts w:ascii="Times New Roman"/>
                <w:i/>
                <w:sz w:val="22"/>
              </w:rPr>
            </w:pPr>
            <w:r>
              <w:rPr>
                <w:rFonts w:ascii="Times New Roman"/>
                <w:i/>
                <w:sz w:val="22"/>
              </w:rPr>
              <w:t>mean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expected numeric value.</w:t>
            </w:r>
          </w:p>
        </w:tc>
      </w:tr>
      <w:tr>
        <w:trPr>
          <w:trHeight w:val="1161" w:hRule="atLeast"/>
        </w:trPr>
        <w:tc>
          <w:tcPr>
            <w:tcW w:w="1466" w:type="dxa"/>
          </w:tcPr>
          <w:p>
            <w:pPr>
              <w:pStyle w:val="TableParagraph"/>
              <w:spacing w:before="37"/>
              <w:ind w:right="282"/>
              <w:rPr>
                <w:rFonts w:ascii="Times New Roman"/>
                <w:i/>
                <w:sz w:val="22"/>
              </w:rPr>
            </w:pPr>
            <w:r>
              <w:rPr>
                <w:rFonts w:ascii="Times New Roman"/>
                <w:i/>
                <w:sz w:val="22"/>
              </w:rPr>
              <w:t>cumulative- </w:t>
            </w:r>
            <w:r>
              <w:rPr>
                <w:rFonts w:ascii="Times New Roman"/>
                <w:i/>
                <w:sz w:val="22"/>
              </w:rPr>
              <w:t>flag</w:t>
            </w:r>
          </w:p>
        </w:tc>
        <w:tc>
          <w:tcPr>
            <w:tcW w:w="1800" w:type="dxa"/>
          </w:tcPr>
          <w:p>
            <w:pPr>
              <w:pStyle w:val="TableParagraph"/>
              <w:ind w:left="112"/>
              <w:rPr>
                <w:sz w:val="22"/>
              </w:rPr>
            </w:pPr>
            <w:r>
              <w:rPr>
                <w:sz w:val="22"/>
              </w:rPr>
              <w:t>logical</w:t>
            </w:r>
          </w:p>
        </w:tc>
        <w:tc>
          <w:tcPr>
            <w:tcW w:w="5400" w:type="dxa"/>
          </w:tcPr>
          <w:p>
            <w:pPr>
              <w:pStyle w:val="TableParagraph"/>
              <w:ind w:left="113" w:right="290"/>
              <w:rPr>
                <w:sz w:val="22"/>
              </w:rPr>
            </w:pPr>
            <w:r>
              <w:rPr>
                <w:sz w:val="22"/>
              </w:rPr>
              <w:t>Determines the form of the function. If </w:t>
            </w:r>
            <w:r>
              <w:rPr>
                <w:rFonts w:ascii="Consolas"/>
                <w:sz w:val="22"/>
              </w:rPr>
              <w:t>TRUE</w:t>
            </w:r>
            <w:r>
              <w:rPr>
                <w:sz w:val="22"/>
              </w:rPr>
              <w:t>, </w:t>
            </w:r>
            <w:r>
              <w:rPr>
                <w:rFonts w:ascii="Consolas"/>
                <w:sz w:val="22"/>
              </w:rPr>
              <w:t>POISSON </w:t>
            </w:r>
            <w:r>
              <w:rPr>
                <w:sz w:val="22"/>
              </w:rPr>
              <w:t>returns the cumulative Poisson probability that the number of random events occurring are between zero and </w:t>
            </w:r>
            <w:r>
              <w:rPr>
                <w:rFonts w:ascii="Times New Roman"/>
                <w:i/>
                <w:sz w:val="22"/>
              </w:rPr>
              <w:t>x</w:t>
            </w:r>
            <w:r>
              <w:rPr>
                <w:sz w:val="22"/>
              </w:rPr>
              <w:t>, inclusive; if </w:t>
            </w:r>
            <w:r>
              <w:rPr>
                <w:rFonts w:ascii="Consolas"/>
                <w:sz w:val="22"/>
              </w:rPr>
              <w:t>FALSE</w:t>
            </w:r>
            <w:r>
              <w:rPr>
                <w:sz w:val="22"/>
              </w:rPr>
              <w:t>, it returns the Poisson</w:t>
            </w:r>
          </w:p>
        </w:tc>
      </w:tr>
    </w:tbl>
    <w:p>
      <w:pPr>
        <w:spacing w:after="0"/>
        <w:rPr>
          <w:sz w:val="22"/>
        </w:rPr>
        <w:sectPr>
          <w:type w:val="continuous"/>
          <w:pgSz w:w="12240" w:h="15840"/>
          <w:pgMar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586"/>
              <w:rPr>
                <w:sz w:val="22"/>
              </w:rPr>
            </w:pPr>
            <w:r>
              <w:rPr>
                <w:sz w:val="22"/>
              </w:rPr>
              <w:t>probability mass function that the number of events occurring is exactly </w:t>
            </w:r>
            <w:r>
              <w:rPr>
                <w:rFonts w:ascii="Times New Roman"/>
                <w:i/>
                <w:sz w:val="22"/>
              </w:rPr>
              <w:t>x</w:t>
            </w:r>
            <w:r>
              <w:rPr>
                <w:sz w:val="22"/>
              </w:rPr>
              <w:t>.</w:t>
            </w:r>
          </w:p>
        </w:tc>
      </w:tr>
    </w:tbl>
    <w:p>
      <w:pPr>
        <w:pStyle w:val="BodyText"/>
        <w:rPr>
          <w:b/>
          <w:sz w:val="20"/>
        </w:rPr>
      </w:pPr>
    </w:p>
    <w:p>
      <w:pPr>
        <w:pStyle w:val="BodyText"/>
        <w:rPr>
          <w:b/>
          <w:sz w:val="17"/>
        </w:rPr>
      </w:pPr>
    </w:p>
    <w:p>
      <w:pPr>
        <w:spacing w:line="453" w:lineRule="auto" w:before="56"/>
        <w:ind w:left="220" w:right="5118" w:firstLine="0"/>
        <w:jc w:val="left"/>
        <w:rPr>
          <w:sz w:val="22"/>
        </w:rPr>
      </w:pPr>
      <w:r>
        <w:rPr>
          <w:b/>
          <w:sz w:val="22"/>
        </w:rPr>
        <w:t>Return Type and Value: </w:t>
      </w:r>
      <w:r>
        <w:rPr>
          <w:sz w:val="22"/>
        </w:rPr>
        <w:t>number – The Poisson distribution.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x </w:t>
      </w:r>
      <w:r>
        <w:rPr>
          <w:sz w:val="22"/>
        </w:rPr>
        <w:t>&lt; 0, </w:t>
      </w:r>
      <w:r>
        <w:rPr>
          <w:rFonts w:ascii="Consolas" w:hAnsi="Consolas"/>
          <w:sz w:val="22"/>
        </w:rPr>
        <w:t>#NUM!</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8" w:after="0"/>
        <w:ind w:left="220" w:right="7146" w:firstLine="360"/>
        <w:jc w:val="left"/>
        <w:rPr>
          <w:sz w:val="22"/>
        </w:rPr>
      </w:pPr>
      <w:r>
        <w:rPr>
          <w:rFonts w:ascii="Times New Roman" w:hAnsi="Times New Roman"/>
          <w:i/>
          <w:sz w:val="22"/>
        </w:rPr>
        <w:t>mean </w:t>
      </w:r>
      <w:r>
        <w:rPr>
          <w:sz w:val="22"/>
        </w:rPr>
        <w:t>≤ 0, </w:t>
      </w:r>
      <w:r>
        <w:rPr>
          <w:rFonts w:ascii="Consolas" w:hAnsi="Consolas"/>
          <w:sz w:val="22"/>
        </w:rPr>
        <w:t>#NUM!</w:t>
      </w:r>
      <w:r>
        <w:rPr>
          <w:rFonts w:ascii="Consolas" w:hAnsi="Consolas"/>
          <w:spacing w:val="-86"/>
          <w:sz w:val="22"/>
        </w:rPr>
        <w:t> </w:t>
      </w:r>
      <w:r>
        <w:rPr>
          <w:sz w:val="22"/>
        </w:rPr>
        <w:t>is returned. [</w:t>
      </w:r>
      <w:r>
        <w:rPr>
          <w:i/>
          <w:sz w:val="22"/>
        </w:rPr>
        <w:t>Example</w:t>
      </w:r>
      <w:r>
        <w:rPr>
          <w:sz w:val="22"/>
        </w:rPr>
        <w:t>:</w:t>
      </w:r>
    </w:p>
    <w:p>
      <w:pPr>
        <w:pStyle w:val="BodyText"/>
        <w:spacing w:line="273" w:lineRule="auto" w:before="129"/>
        <w:ind w:left="220" w:right="5295"/>
        <w:rPr>
          <w:rFonts w:ascii="Consolas"/>
        </w:rPr>
      </w:pPr>
      <w:r>
        <w:rPr>
          <w:rFonts w:ascii="Consolas"/>
        </w:rPr>
        <w:t>POISSON(2,5,TRUE) </w:t>
      </w:r>
      <w:r>
        <w:rPr/>
        <w:t>results in </w:t>
      </w:r>
      <w:r>
        <w:rPr>
          <w:rFonts w:ascii="Consolas"/>
        </w:rPr>
        <w:t>0.124652019 POISSON(2,5,FALSE)</w:t>
      </w:r>
      <w:r>
        <w:rPr>
          <w:rFonts w:ascii="Consolas"/>
          <w:spacing w:val="-87"/>
        </w:rPr>
        <w:t> </w:t>
      </w:r>
      <w:r>
        <w:rPr/>
        <w:t>results in </w:t>
      </w:r>
      <w:r>
        <w:rPr>
          <w:rFonts w:ascii="Consolas"/>
        </w:rPr>
        <w:t>0.084224337</w:t>
      </w:r>
    </w:p>
    <w:p>
      <w:pPr>
        <w:pStyle w:val="BodyText"/>
        <w:rPr>
          <w:rFonts w:ascii="Consolas"/>
          <w:sz w:val="27"/>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5 POWER" w:id="2157"/>
      <w:bookmarkEnd w:id="2157"/>
      <w:r>
        <w:rPr/>
      </w:r>
      <w:bookmarkStart w:name="_bookmark718" w:id="2158"/>
      <w:bookmarkEnd w:id="2158"/>
      <w:r>
        <w:rPr/>
      </w:r>
      <w:bookmarkStart w:name="_bookmark718" w:id="2159"/>
      <w:bookmarkEnd w:id="2159"/>
      <w:r>
        <w:rPr>
          <w:color w:val="4F81BC"/>
        </w:rPr>
        <w:t>POWER</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POWER ( </w:t>
      </w:r>
      <w:r>
        <w:rPr>
          <w:i/>
          <w:sz w:val="22"/>
        </w:rPr>
        <w:t>x </w:t>
      </w:r>
      <w:r>
        <w:rPr>
          <w:rFonts w:ascii="Lucida Console"/>
          <w:sz w:val="20"/>
        </w:rPr>
        <w:t>, </w:t>
      </w:r>
      <w:r>
        <w:rPr>
          <w:i/>
          <w:sz w:val="22"/>
        </w:rPr>
        <w:t>y </w:t>
      </w:r>
      <w:r>
        <w:rPr>
          <w:rFonts w:ascii="Lucida Console"/>
          <w:sz w:val="20"/>
        </w:rPr>
        <w:t>)</w:t>
      </w:r>
    </w:p>
    <w:p>
      <w:pPr>
        <w:spacing w:before="108"/>
        <w:ind w:left="220" w:right="0" w:firstLine="0"/>
        <w:jc w:val="left"/>
        <w:rPr>
          <w:sz w:val="22"/>
        </w:rPr>
      </w:pPr>
      <w:r>
        <w:rPr>
          <w:b/>
          <w:sz w:val="22"/>
        </w:rPr>
        <w:t>Description: </w:t>
      </w:r>
      <w:r>
        <w:rPr>
          <w:sz w:val="22"/>
        </w:rPr>
        <w:t>Computes </w:t>
      </w:r>
      <w:r>
        <w:rPr>
          <w:rFonts w:ascii="Times New Roman"/>
          <w:i/>
          <w:sz w:val="22"/>
        </w:rPr>
        <w:t>x </w:t>
      </w:r>
      <w:r>
        <w:rPr>
          <w:sz w:val="22"/>
        </w:rPr>
        <w:t>raised to the power </w:t>
      </w:r>
      <w:r>
        <w:rPr>
          <w:rFonts w:ascii="Times New Roman"/>
          <w:i/>
          <w:sz w:val="22"/>
        </w:rPr>
        <w:t>y</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base and the number </w:t>
            </w:r>
            <w:r>
              <w:rPr>
                <w:rFonts w:ascii="Times New Roman"/>
                <w:i/>
                <w:sz w:val="22"/>
              </w:rPr>
              <w:t>y </w:t>
            </w:r>
            <w:r>
              <w:rPr>
                <w:sz w:val="22"/>
              </w:rPr>
              <w:t>is the exponent to which that base is raised.</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exponent to which the base is raised.</w:t>
            </w:r>
          </w:p>
        </w:tc>
      </w:tr>
    </w:tbl>
    <w:p>
      <w:pPr>
        <w:pStyle w:val="BodyText"/>
        <w:rPr>
          <w:b/>
        </w:rPr>
      </w:pPr>
    </w:p>
    <w:p>
      <w:pPr>
        <w:pStyle w:val="BodyText"/>
        <w:spacing w:before="7"/>
        <w:rPr>
          <w:b/>
          <w:sz w:val="19"/>
        </w:rPr>
      </w:pPr>
    </w:p>
    <w:p>
      <w:pPr>
        <w:spacing w:line="453" w:lineRule="auto" w:before="0"/>
        <w:ind w:left="220" w:right="6730" w:firstLine="0"/>
        <w:jc w:val="left"/>
        <w:rPr>
          <w:sz w:val="22"/>
        </w:rPr>
      </w:pPr>
      <w:r>
        <w:rPr>
          <w:b/>
          <w:sz w:val="22"/>
        </w:rPr>
        <w:t>Return Type and Value: </w:t>
      </w:r>
      <w:r>
        <w:rPr>
          <w:sz w:val="22"/>
        </w:rPr>
        <w:t>number – </w:t>
      </w:r>
      <w:r>
        <w:rPr>
          <w:rFonts w:ascii="Times New Roman" w:hAnsi="Times New Roman"/>
          <w:i/>
          <w:sz w:val="22"/>
        </w:rPr>
        <w:t>x</w:t>
      </w:r>
      <w:r>
        <w:rPr>
          <w:rFonts w:ascii="Times New Roman" w:hAnsi="Times New Roman"/>
          <w:i/>
          <w:spacing w:val="-23"/>
          <w:sz w:val="22"/>
        </w:rPr>
        <w:t> </w:t>
      </w:r>
      <w:r>
        <w:rPr>
          <w:rFonts w:ascii="Times New Roman" w:hAnsi="Times New Roman"/>
          <w:i/>
          <w:spacing w:val="-10"/>
          <w:sz w:val="22"/>
          <w:vertAlign w:val="superscript"/>
        </w:rPr>
        <w:t>y</w:t>
      </w:r>
      <w:r>
        <w:rPr>
          <w:spacing w:val="-10"/>
          <w:sz w:val="22"/>
          <w:vertAlign w:val="baseline"/>
        </w:rPr>
        <w:t>. </w:t>
      </w:r>
      <w:r>
        <w:rPr>
          <w:sz w:val="22"/>
          <w:vertAlign w:val="baseline"/>
        </w:rPr>
        <w:t>However,</w:t>
      </w:r>
      <w:r>
        <w:rPr>
          <w:spacing w:val="-1"/>
          <w:sz w:val="22"/>
          <w:vertAlign w:val="baseline"/>
        </w:rPr>
        <w:t> </w:t>
      </w:r>
      <w:r>
        <w:rPr>
          <w:sz w:val="22"/>
          <w:vertAlign w:val="baseline"/>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The value of </w:t>
      </w:r>
      <w:r>
        <w:rPr>
          <w:rFonts w:ascii="Times New Roman" w:hAnsi="Times New Roman"/>
          <w:i/>
          <w:sz w:val="22"/>
        </w:rPr>
        <w:t>x </w:t>
      </w:r>
      <w:r>
        <w:rPr>
          <w:sz w:val="22"/>
        </w:rPr>
        <w:t>is negative and </w:t>
      </w:r>
      <w:r>
        <w:rPr>
          <w:rFonts w:ascii="Times New Roman" w:hAnsi="Times New Roman"/>
          <w:i/>
          <w:sz w:val="22"/>
        </w:rPr>
        <w:t>y </w:t>
      </w:r>
      <w:r>
        <w:rPr>
          <w:sz w:val="22"/>
        </w:rPr>
        <w:t>is not a whole number, </w:t>
      </w:r>
      <w:r>
        <w:rPr>
          <w:rFonts w:ascii="Consolas" w:hAnsi="Consolas"/>
          <w:sz w:val="22"/>
        </w:rPr>
        <w:t>#NUM!</w:t>
      </w:r>
      <w:r>
        <w:rPr>
          <w:rFonts w:ascii="Consolas" w:hAnsi="Consolas"/>
          <w:spacing w:val="-90"/>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x </w:t>
      </w:r>
      <w:r>
        <w:rPr>
          <w:sz w:val="22"/>
        </w:rPr>
        <w:t>is zero and </w:t>
      </w:r>
      <w:r>
        <w:rPr>
          <w:rFonts w:ascii="Times New Roman" w:hAnsi="Times New Roman"/>
          <w:i/>
          <w:sz w:val="22"/>
        </w:rPr>
        <w:t>y </w:t>
      </w:r>
      <w:r>
        <w:rPr>
          <w:sz w:val="22"/>
        </w:rPr>
        <w:t>is less than or equal to zero, </w:t>
      </w:r>
      <w:r>
        <w:rPr>
          <w:rFonts w:ascii="Consolas" w:hAnsi="Consolas"/>
          <w:sz w:val="22"/>
        </w:rPr>
        <w:t>#DIV/0!</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3800" w:firstLine="360"/>
        <w:jc w:val="left"/>
        <w:rPr>
          <w:sz w:val="22"/>
        </w:rPr>
      </w:pPr>
      <w:r>
        <w:rPr>
          <w:sz w:val="22"/>
        </w:rPr>
        <w:t>The result cannot be represented as a number, </w:t>
      </w:r>
      <w:r>
        <w:rPr>
          <w:rFonts w:ascii="Consolas" w:hAnsi="Consolas"/>
          <w:sz w:val="22"/>
        </w:rPr>
        <w:t>#NUM!</w:t>
      </w:r>
      <w:r>
        <w:rPr>
          <w:rFonts w:ascii="Consolas" w:hAnsi="Consolas"/>
          <w:spacing w:val="-89"/>
          <w:sz w:val="22"/>
        </w:rPr>
        <w:t> </w:t>
      </w:r>
      <w:r>
        <w:rPr>
          <w:sz w:val="22"/>
        </w:rPr>
        <w:t>is returned. [</w:t>
      </w:r>
      <w:r>
        <w:rPr>
          <w:i/>
          <w:sz w:val="22"/>
        </w:rPr>
        <w:t>Example</w:t>
      </w:r>
      <w:r>
        <w:rPr>
          <w:sz w:val="22"/>
        </w:rPr>
        <w:t>:</w:t>
      </w:r>
    </w:p>
    <w:p>
      <w:pPr>
        <w:pStyle w:val="BodyText"/>
        <w:spacing w:before="125"/>
        <w:ind w:left="220"/>
        <w:rPr>
          <w:rFonts w:ascii="Consolas"/>
        </w:rPr>
      </w:pPr>
      <w:r>
        <w:rPr>
          <w:rFonts w:ascii="Consolas"/>
        </w:rPr>
        <w:t>POWER(2,3)</w:t>
      </w:r>
      <w:r>
        <w:rPr>
          <w:rFonts w:ascii="Consolas"/>
          <w:spacing w:val="-73"/>
        </w:rPr>
        <w:t> </w:t>
      </w:r>
      <w:r>
        <w:rPr/>
        <w:t>results in </w:t>
      </w:r>
      <w:r>
        <w:rPr>
          <w:rFonts w:ascii="Consolas"/>
        </w:rPr>
        <w:t>8</w:t>
      </w:r>
    </w:p>
    <w:p>
      <w:pPr>
        <w:spacing w:after="0"/>
        <w:rPr>
          <w:rFonts w:ascii="Consolas"/>
        </w:rPr>
        <w:sectPr>
          <w:pgSz w:w="12240" w:h="15840"/>
          <w:pgMar w:header="763" w:footer="746" w:top="1340" w:bottom="940" w:left="860" w:right="700"/>
        </w:sectPr>
      </w:pPr>
    </w:p>
    <w:p>
      <w:pPr>
        <w:pStyle w:val="BodyText"/>
        <w:spacing w:line="276" w:lineRule="auto" w:before="90"/>
        <w:ind w:left="220" w:right="6036"/>
        <w:rPr>
          <w:rFonts w:ascii="Consolas"/>
        </w:rPr>
      </w:pPr>
      <w:r>
        <w:rPr>
          <w:rFonts w:ascii="Consolas"/>
        </w:rPr>
        <w:t>POWER(2,0.5) </w:t>
      </w:r>
      <w:r>
        <w:rPr/>
        <w:t>results in </w:t>
      </w:r>
      <w:r>
        <w:rPr>
          <w:rFonts w:ascii="Consolas"/>
        </w:rPr>
        <w:t>1.414213562 POWER(-1.234,5.0)</w:t>
      </w:r>
      <w:r>
        <w:rPr>
          <w:rFonts w:ascii="Consolas"/>
          <w:spacing w:val="-87"/>
        </w:rPr>
        <w:t> </w:t>
      </w:r>
      <w:r>
        <w:rPr/>
        <w:t>results in </w:t>
      </w:r>
      <w:r>
        <w:rPr>
          <w:rFonts w:ascii="Consolas"/>
        </w:rPr>
        <w:t>-2.861381721 POWER(1.234,5.1)</w:t>
      </w:r>
      <w:r>
        <w:rPr>
          <w:rFonts w:ascii="Consolas"/>
          <w:spacing w:val="-75"/>
        </w:rPr>
        <w:t> </w:t>
      </w:r>
      <w:r>
        <w:rPr/>
        <w:t>results in </w:t>
      </w:r>
      <w:r>
        <w:rPr>
          <w:rFonts w:ascii="Consolas"/>
        </w:rPr>
        <w:t>2.922182358</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6 PPMT" w:id="2160"/>
      <w:bookmarkEnd w:id="2160"/>
      <w:r>
        <w:rPr/>
      </w:r>
      <w:bookmarkStart w:name="_bookmark719" w:id="2161"/>
      <w:bookmarkEnd w:id="2161"/>
      <w:r>
        <w:rPr/>
      </w:r>
      <w:bookmarkStart w:name="_bookmark719" w:id="2162"/>
      <w:bookmarkEnd w:id="2162"/>
      <w:r>
        <w:rPr>
          <w:color w:val="4F81BC"/>
        </w:rPr>
        <w:t>PPMT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PPMT ( </w:t>
      </w:r>
      <w:r>
        <w:rPr>
          <w:i/>
          <w:sz w:val="22"/>
        </w:rPr>
        <w:t>rate </w:t>
      </w:r>
      <w:r>
        <w:rPr>
          <w:rFonts w:ascii="Lucida Console"/>
          <w:sz w:val="20"/>
        </w:rPr>
        <w:t>, </w:t>
      </w:r>
      <w:r>
        <w:rPr>
          <w:i/>
          <w:sz w:val="22"/>
        </w:rPr>
        <w:t>per </w:t>
      </w:r>
      <w:r>
        <w:rPr>
          <w:sz w:val="22"/>
        </w:rPr>
        <w:t>, </w:t>
      </w:r>
      <w:r>
        <w:rPr>
          <w:i/>
          <w:sz w:val="22"/>
        </w:rPr>
        <w:t>nper  </w:t>
      </w:r>
      <w:r>
        <w:rPr>
          <w:rFonts w:ascii="Lucida Console"/>
          <w:sz w:val="20"/>
        </w:rPr>
        <w:t>, </w:t>
      </w:r>
      <w:r>
        <w:rPr>
          <w:i/>
          <w:sz w:val="22"/>
        </w:rPr>
        <w:t>pv </w:t>
      </w:r>
      <w:r>
        <w:rPr>
          <w:sz w:val="22"/>
        </w:rPr>
        <w:t>[ </w:t>
      </w:r>
      <w:r>
        <w:rPr>
          <w:rFonts w:ascii="Lucida Console"/>
          <w:sz w:val="20"/>
        </w:rPr>
        <w:t>, </w:t>
      </w:r>
      <w:r>
        <w:rPr>
          <w:sz w:val="22"/>
        </w:rPr>
        <w:t>[ </w:t>
      </w:r>
      <w:r>
        <w:rPr>
          <w:i/>
          <w:sz w:val="22"/>
        </w:rPr>
        <w:t>fv </w:t>
      </w:r>
      <w:r>
        <w:rPr>
          <w:sz w:val="22"/>
        </w:rPr>
        <w:t>] [  </w:t>
      </w:r>
      <w:r>
        <w:rPr>
          <w:rFonts w:ascii="Lucida Console"/>
          <w:sz w:val="20"/>
        </w:rPr>
        <w:t>,</w:t>
      </w:r>
      <w:r>
        <w:rPr>
          <w:rFonts w:ascii="Lucida Console"/>
          <w:spacing w:val="-71"/>
          <w:sz w:val="20"/>
        </w:rPr>
        <w:t> </w:t>
      </w:r>
      <w:r>
        <w:rPr>
          <w:sz w:val="22"/>
        </w:rPr>
        <w:t>[ </w:t>
      </w:r>
      <w:r>
        <w:rPr>
          <w:i/>
          <w:sz w:val="22"/>
        </w:rPr>
        <w:t>type </w:t>
      </w:r>
      <w:r>
        <w:rPr>
          <w:sz w:val="22"/>
        </w:rPr>
        <w:t>] ] ] </w:t>
      </w:r>
      <w:r>
        <w:rPr>
          <w:rFonts w:ascii="Lucida Console"/>
          <w:sz w:val="20"/>
        </w:rPr>
        <w:t>)</w:t>
      </w:r>
    </w:p>
    <w:p>
      <w:pPr>
        <w:pStyle w:val="BodyText"/>
        <w:spacing w:line="278" w:lineRule="auto" w:before="106"/>
        <w:ind w:left="220" w:right="768"/>
      </w:pPr>
      <w:r>
        <w:rPr>
          <w:b/>
        </w:rPr>
        <w:t>Description</w:t>
      </w:r>
      <w:r>
        <w:rPr/>
        <w:t>: Computes the payment on the principal for a given period for an investment based on periodic, constant payments and a constant interest rate.</w:t>
      </w:r>
    </w:p>
    <w:p>
      <w:pPr>
        <w:pStyle w:val="BodyText"/>
        <w:spacing w:before="3"/>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interest rate per period.</w:t>
            </w:r>
          </w:p>
        </w:tc>
      </w:tr>
      <w:tr>
        <w:trPr>
          <w:trHeight w:val="352" w:hRule="atLeast"/>
        </w:trPr>
        <w:tc>
          <w:tcPr>
            <w:tcW w:w="1466" w:type="dxa"/>
          </w:tcPr>
          <w:p>
            <w:pPr>
              <w:pStyle w:val="TableParagraph"/>
              <w:spacing w:before="37"/>
              <w:rPr>
                <w:rFonts w:ascii="Times New Roman"/>
                <w:i/>
                <w:sz w:val="22"/>
              </w:rPr>
            </w:pPr>
            <w:r>
              <w:rPr>
                <w:rFonts w:ascii="Times New Roman"/>
                <w:i/>
                <w:sz w:val="22"/>
              </w:rPr>
              <w:t>per</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the period and shall be in the range 1–</w:t>
            </w:r>
            <w:r>
              <w:rPr>
                <w:rFonts w:ascii="Times New Roman" w:hAnsi="Times New Roman"/>
                <w:i/>
                <w:sz w:val="22"/>
              </w:rPr>
              <w:t>nper</w:t>
            </w:r>
            <w:r>
              <w:rPr>
                <w:sz w:val="22"/>
              </w:rPr>
              <w:t>.</w:t>
            </w:r>
          </w:p>
        </w:tc>
      </w:tr>
      <w:tr>
        <w:trPr>
          <w:trHeight w:val="354" w:hRule="atLeast"/>
        </w:trPr>
        <w:tc>
          <w:tcPr>
            <w:tcW w:w="1466" w:type="dxa"/>
          </w:tcPr>
          <w:p>
            <w:pPr>
              <w:pStyle w:val="TableParagraph"/>
              <w:spacing w:before="39"/>
              <w:rPr>
                <w:rFonts w:ascii="Times New Roman"/>
                <w:i/>
                <w:sz w:val="22"/>
              </w:rPr>
            </w:pPr>
            <w:r>
              <w:rPr>
                <w:rFonts w:ascii="Times New Roman"/>
                <w:i/>
                <w:sz w:val="22"/>
              </w:rPr>
              <w:t>nper</w:t>
            </w:r>
          </w:p>
        </w:tc>
        <w:tc>
          <w:tcPr>
            <w:tcW w:w="1800" w:type="dxa"/>
          </w:tcPr>
          <w:p>
            <w:pPr>
              <w:pStyle w:val="TableParagraph"/>
              <w:spacing w:before="42"/>
              <w:ind w:left="112"/>
              <w:rPr>
                <w:sz w:val="22"/>
              </w:rPr>
            </w:pPr>
            <w:r>
              <w:rPr>
                <w:sz w:val="22"/>
              </w:rPr>
              <w:t>number</w:t>
            </w:r>
          </w:p>
        </w:tc>
        <w:tc>
          <w:tcPr>
            <w:tcW w:w="5397" w:type="dxa"/>
            <w:gridSpan w:val="4"/>
          </w:tcPr>
          <w:p>
            <w:pPr>
              <w:pStyle w:val="TableParagraph"/>
              <w:spacing w:before="42"/>
              <w:ind w:left="113"/>
              <w:rPr>
                <w:sz w:val="22"/>
              </w:rPr>
            </w:pPr>
            <w:r>
              <w:rPr>
                <w:sz w:val="22"/>
              </w:rPr>
              <w:t>The total number of payment in an annuity.</w:t>
            </w:r>
          </w:p>
        </w:tc>
      </w:tr>
      <w:tr>
        <w:trPr>
          <w:trHeight w:val="623"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397" w:type="dxa"/>
            <w:gridSpan w:val="4"/>
          </w:tcPr>
          <w:p>
            <w:pPr>
              <w:pStyle w:val="TableParagraph"/>
              <w:ind w:left="113" w:right="414"/>
              <w:rPr>
                <w:sz w:val="22"/>
              </w:rPr>
            </w:pPr>
            <w:r>
              <w:rPr>
                <w:sz w:val="22"/>
              </w:rPr>
              <w:t>The present value, or the total amount that a series of future payments is worth now.</w:t>
            </w:r>
          </w:p>
        </w:tc>
      </w:tr>
      <w:tr>
        <w:trPr>
          <w:trHeight w:val="892" w:hRule="atLeast"/>
        </w:trPr>
        <w:tc>
          <w:tcPr>
            <w:tcW w:w="1466" w:type="dxa"/>
          </w:tcPr>
          <w:p>
            <w:pPr>
              <w:pStyle w:val="TableParagraph"/>
              <w:spacing w:before="37"/>
              <w:rPr>
                <w:rFonts w:ascii="Times New Roman"/>
                <w:i/>
                <w:sz w:val="22"/>
              </w:rPr>
            </w:pPr>
            <w:r>
              <w:rPr>
                <w:rFonts w:ascii="Times New Roman"/>
                <w:i/>
                <w:sz w:val="22"/>
              </w:rPr>
              <w:t>fv</w:t>
            </w:r>
          </w:p>
        </w:tc>
        <w:tc>
          <w:tcPr>
            <w:tcW w:w="1800" w:type="dxa"/>
          </w:tcPr>
          <w:p>
            <w:pPr>
              <w:pStyle w:val="TableParagraph"/>
              <w:ind w:left="112"/>
              <w:rPr>
                <w:sz w:val="22"/>
              </w:rPr>
            </w:pPr>
            <w:r>
              <w:rPr>
                <w:sz w:val="22"/>
              </w:rPr>
              <w:t>number</w:t>
            </w:r>
          </w:p>
        </w:tc>
        <w:tc>
          <w:tcPr>
            <w:tcW w:w="5397" w:type="dxa"/>
            <w:gridSpan w:val="4"/>
          </w:tcPr>
          <w:p>
            <w:pPr>
              <w:pStyle w:val="TableParagraph"/>
              <w:ind w:left="113" w:right="341"/>
              <w:rPr>
                <w:sz w:val="22"/>
              </w:rPr>
            </w:pPr>
            <w:r>
              <w:rPr>
                <w:sz w:val="22"/>
              </w:rPr>
              <w:t>The future value, or a cash balance to be attained after the last payment is made. If omitted, it is assumed to be 0 (i.e., the future value of a loan, for example, is 0).</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ind w:left="113" w:right="668"/>
              <w:rPr>
                <w:sz w:val="22"/>
              </w:rPr>
            </w:pPr>
            <w:r>
              <w:rPr>
                <w:sz w:val="22"/>
              </w:rPr>
              <w:t>The timing of the payment, truncated to integer,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1</w:t>
            </w:r>
          </w:p>
        </w:tc>
        <w:tc>
          <w:tcPr>
            <w:tcW w:w="2985" w:type="dxa"/>
          </w:tcPr>
          <w:p>
            <w:pPr>
              <w:pStyle w:val="TableParagraph"/>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bl>
    <w:p>
      <w:pPr>
        <w:pStyle w:val="BodyText"/>
      </w:pPr>
    </w:p>
    <w:p>
      <w:pPr>
        <w:pStyle w:val="BodyText"/>
        <w:spacing w:before="5"/>
        <w:rPr>
          <w:sz w:val="19"/>
        </w:rPr>
      </w:pPr>
    </w:p>
    <w:p>
      <w:pPr>
        <w:pStyle w:val="BodyText"/>
        <w:spacing w:line="278" w:lineRule="auto"/>
        <w:ind w:left="220" w:right="572"/>
      </w:pPr>
      <w:r>
        <w:rPr>
          <w:b/>
        </w:rPr>
        <w:t>Return Type and Value</w:t>
      </w:r>
      <w:r>
        <w:rPr/>
        <w:t>: number – The payment on the principal for a given period for an investment based on periodic, constant payments and a constant interest rate.</w:t>
      </w:r>
    </w:p>
    <w:p>
      <w:pPr>
        <w:pStyle w:val="BodyText"/>
        <w:spacing w:before="3"/>
        <w:rPr>
          <w:sz w:val="16"/>
        </w:rPr>
      </w:pPr>
    </w:p>
    <w:p>
      <w:pPr>
        <w:pStyle w:val="BodyText"/>
        <w:spacing w:line="453" w:lineRule="auto"/>
        <w:ind w:left="220" w:right="3786"/>
      </w:pPr>
      <w:r>
        <w:rPr/>
        <w:t>However, if </w:t>
      </w:r>
      <w:r>
        <w:rPr>
          <w:rFonts w:ascii="Times New Roman"/>
          <w:i/>
        </w:rPr>
        <w:t>type </w:t>
      </w:r>
      <w:r>
        <w:rPr/>
        <w:t>is any number other than 0 or 1, </w:t>
      </w:r>
      <w:r>
        <w:rPr>
          <w:rFonts w:ascii="Consolas"/>
        </w:rPr>
        <w:t>#NUM!</w:t>
      </w:r>
      <w:r>
        <w:rPr>
          <w:rFonts w:ascii="Consolas"/>
          <w:spacing w:val="-91"/>
        </w:rPr>
        <w:t> </w:t>
      </w:r>
      <w:r>
        <w:rPr/>
        <w:t>is returned. [</w:t>
      </w:r>
      <w:r>
        <w:rPr>
          <w:i/>
        </w:rPr>
        <w:t>Example</w:t>
      </w:r>
      <w:r>
        <w:rPr/>
        <w:t>:</w:t>
      </w:r>
    </w:p>
    <w:p>
      <w:pPr>
        <w:pStyle w:val="BodyText"/>
        <w:spacing w:line="276" w:lineRule="auto" w:before="108"/>
        <w:ind w:left="220" w:right="5295"/>
        <w:rPr>
          <w:rFonts w:ascii="Consolas"/>
        </w:rPr>
      </w:pPr>
      <w:r>
        <w:rPr>
          <w:rFonts w:ascii="Consolas"/>
        </w:rPr>
        <w:t>PPMT(0.1/12,1,2*12,2000) </w:t>
      </w:r>
      <w:r>
        <w:rPr/>
        <w:t>results in </w:t>
      </w:r>
      <w:r>
        <w:rPr>
          <w:rFonts w:ascii="Consolas"/>
        </w:rPr>
        <w:t>-75.62 PPMT(0.08,10,10,200000)</w:t>
      </w:r>
      <w:r>
        <w:rPr>
          <w:rFonts w:ascii="Consolas"/>
          <w:spacing w:val="-70"/>
        </w:rPr>
        <w:t> </w:t>
      </w:r>
      <w:r>
        <w:rPr/>
        <w:t>results in </w:t>
      </w:r>
      <w:r>
        <w:rPr>
          <w:rFonts w:ascii="Consolas"/>
        </w:rPr>
        <w:t>-27,598.05</w:t>
      </w:r>
    </w:p>
    <w:p>
      <w:pPr>
        <w:spacing w:after="0" w:line="276" w:lineRule="auto"/>
        <w:rPr>
          <w:rFonts w:ascii="Consolas"/>
        </w:rPr>
        <w:sectPr>
          <w:pgSz w:w="12240" w:h="15840"/>
          <w:pgMar w:header="761" w:footer="746" w:top="1340" w:bottom="940" w:left="860" w:right="700"/>
        </w:sectPr>
      </w:pPr>
    </w:p>
    <w:p>
      <w:pPr>
        <w:pStyle w:val="BodyText"/>
        <w:rPr>
          <w:rFonts w:ascii="Consolas"/>
          <w:sz w:val="20"/>
        </w:rPr>
      </w:pPr>
    </w:p>
    <w:p>
      <w:pPr>
        <w:pStyle w:val="BodyText"/>
        <w:spacing w:before="3"/>
        <w:rPr>
          <w:rFonts w:ascii="Consolas"/>
          <w:sz w:val="1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57 PRICE" w:id="2163"/>
      <w:bookmarkEnd w:id="2163"/>
      <w:r>
        <w:rPr/>
      </w:r>
      <w:bookmarkStart w:name="_bookmark720" w:id="2164"/>
      <w:bookmarkEnd w:id="2164"/>
      <w:r>
        <w:rPr/>
      </w:r>
      <w:bookmarkStart w:name="_bookmark720" w:id="2165"/>
      <w:bookmarkEnd w:id="2165"/>
      <w:r>
        <w:rPr>
          <w:color w:val="4F81BC"/>
        </w:rPr>
        <w:t>PRI</w:t>
      </w:r>
      <w:r>
        <w:rPr>
          <w:color w:val="4F81BC"/>
        </w:rPr>
        <w:t>CE</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PRICE ( </w:t>
      </w:r>
      <w:r>
        <w:rPr>
          <w:i/>
          <w:sz w:val="22"/>
        </w:rPr>
        <w:t>settlement </w:t>
      </w:r>
      <w:r>
        <w:rPr>
          <w:rFonts w:ascii="Lucida Console"/>
          <w:sz w:val="20"/>
        </w:rPr>
        <w:t>, </w:t>
      </w:r>
      <w:r>
        <w:rPr>
          <w:i/>
          <w:sz w:val="22"/>
        </w:rPr>
        <w:t>maturity </w:t>
      </w:r>
      <w:r>
        <w:rPr>
          <w:rFonts w:ascii="Lucida Console"/>
          <w:sz w:val="20"/>
        </w:rPr>
        <w:t>, </w:t>
      </w:r>
      <w:r>
        <w:rPr>
          <w:i/>
          <w:sz w:val="22"/>
        </w:rPr>
        <w:t>rate </w:t>
      </w:r>
      <w:r>
        <w:rPr>
          <w:rFonts w:ascii="Lucida Console"/>
          <w:sz w:val="20"/>
        </w:rPr>
        <w:t>, </w:t>
      </w:r>
      <w:r>
        <w:rPr>
          <w:i/>
          <w:sz w:val="22"/>
        </w:rPr>
        <w:t>yld </w:t>
      </w:r>
      <w:r>
        <w:rPr>
          <w:rFonts w:ascii="Lucida Console"/>
          <w:sz w:val="20"/>
        </w:rPr>
        <w:t>, </w:t>
      </w:r>
      <w:r>
        <w:rPr>
          <w:i/>
          <w:sz w:val="22"/>
        </w:rPr>
        <w:t>redemption  </w:t>
      </w:r>
      <w:r>
        <w:rPr>
          <w:rFonts w:ascii="Lucida Console"/>
          <w:sz w:val="20"/>
        </w:rPr>
        <w:t>, </w:t>
      </w:r>
      <w:r>
        <w:rPr>
          <w:i/>
          <w:sz w:val="22"/>
        </w:rPr>
        <w:t>frequency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price per 100 currency units face value of a security that pays periodic interest.</w:t>
      </w:r>
    </w:p>
    <w:p>
      <w:pPr>
        <w:pStyle w:val="BodyText"/>
        <w:spacing w:before="1"/>
        <w:rPr>
          <w:sz w:val="15"/>
        </w:rPr>
      </w:pPr>
    </w:p>
    <w:p>
      <w:pPr>
        <w:spacing w:after="0"/>
        <w:rPr>
          <w:sz w:val="15"/>
        </w:rPr>
        <w:sectPr>
          <w:pgSz w:w="12240" w:h="15840"/>
          <w:pgMar w:header="763" w:footer="746" w:top="1340" w:bottom="940" w:left="860" w:right="700"/>
        </w:sectPr>
      </w:pPr>
    </w:p>
    <w:p>
      <w:pPr>
        <w:pStyle w:val="Heading4"/>
        <w:spacing w:before="56"/>
        <w:rPr>
          <w:b w:val="0"/>
        </w:rPr>
      </w:pPr>
      <w:r>
        <w:rPr/>
        <w:t>Mathematical Formula</w:t>
      </w:r>
      <w:r>
        <w:rPr>
          <w:b w:val="0"/>
        </w:rPr>
        <w:t>:</w:t>
      </w:r>
    </w:p>
    <w:p>
      <w:pPr>
        <w:pStyle w:val="BodyText"/>
        <w:rPr>
          <w:sz w:val="27"/>
        </w:rPr>
      </w:pPr>
    </w:p>
    <w:p>
      <w:pPr>
        <w:pStyle w:val="BodyText"/>
        <w:spacing w:line="233" w:lineRule="exact"/>
        <w:ind w:right="644"/>
        <w:jc w:val="center"/>
        <w:rPr>
          <w:rFonts w:ascii="Cambria Math"/>
        </w:rPr>
      </w:pPr>
      <w:r>
        <w:rPr>
          <w:rFonts w:ascii="Cambria Math"/>
          <w:w w:val="159"/>
        </w:rPr>
        <w:t> </w:t>
      </w:r>
    </w:p>
    <w:p>
      <w:pPr>
        <w:pStyle w:val="BodyText"/>
        <w:spacing w:line="34" w:lineRule="exact"/>
        <w:ind w:left="2034"/>
        <w:rPr>
          <w:rFonts w:ascii="Cambria Math" w:eastAsia="Cambria Math"/>
        </w:rPr>
      </w:pPr>
      <w:r>
        <w:rPr>
          <w:rFonts w:ascii="Cambria Math" w:eastAsia="Cambria Math"/>
        </w:rPr>
        <w:t>𝑟𝑒𝑒𝑚𝑝𝑡𝑖𝑜𝑛</w:t>
      </w:r>
    </w:p>
    <w:p>
      <w:pPr>
        <w:pStyle w:val="BodyText"/>
        <w:rPr>
          <w:rFonts w:ascii="Cambria Math"/>
          <w:sz w:val="26"/>
        </w:rPr>
      </w:pPr>
      <w:r>
        <w:rPr/>
        <w:br w:type="column"/>
      </w:r>
      <w:r>
        <w:rPr>
          <w:rFonts w:ascii="Cambria Math"/>
          <w:sz w:val="26"/>
        </w:rPr>
      </w:r>
    </w:p>
    <w:p>
      <w:pPr>
        <w:pStyle w:val="BodyText"/>
        <w:spacing w:before="11"/>
        <w:rPr>
          <w:rFonts w:ascii="Cambria Math"/>
          <w:sz w:val="38"/>
        </w:rPr>
      </w:pPr>
    </w:p>
    <w:p>
      <w:pPr>
        <w:spacing w:line="160" w:lineRule="exact" w:before="0"/>
        <w:ind w:left="220" w:right="0" w:firstLine="0"/>
        <w:jc w:val="left"/>
        <w:rPr>
          <w:rFonts w:ascii="Cambria Math" w:eastAsia="Cambria Math"/>
          <w:sz w:val="16"/>
        </w:rPr>
      </w:pPr>
      <w:r>
        <w:rPr>
          <w:rFonts w:ascii="Cambria Math" w:eastAsia="Cambria Math"/>
          <w:w w:val="159"/>
          <w:sz w:val="22"/>
        </w:rPr>
        <w:t> </w:t>
      </w:r>
      <w:r>
        <w:rPr>
          <w:rFonts w:ascii="Cambria Math" w:eastAsia="Cambria Math"/>
          <w:sz w:val="22"/>
        </w:rPr>
        <w:t>  </w:t>
      </w:r>
      <w:r>
        <w:rPr>
          <w:rFonts w:ascii="Cambria Math" w:eastAsia="Cambria Math"/>
          <w:w w:val="105"/>
          <w:position w:val="-4"/>
          <w:sz w:val="16"/>
        </w:rPr>
        <w:t>𝑁</w:t>
      </w:r>
    </w:p>
    <w:p>
      <w:pPr>
        <w:pStyle w:val="BodyText"/>
        <w:rPr>
          <w:rFonts w:ascii="Cambria Math"/>
          <w:sz w:val="38"/>
        </w:rPr>
      </w:pPr>
      <w:r>
        <w:rPr/>
        <w:br w:type="column"/>
      </w:r>
      <w:r>
        <w:rPr>
          <w:rFonts w:ascii="Cambria Math"/>
          <w:sz w:val="38"/>
        </w:rPr>
      </w:r>
    </w:p>
    <w:p>
      <w:pPr>
        <w:pStyle w:val="BodyText"/>
        <w:tabs>
          <w:tab w:pos="1149" w:val="left" w:leader="none"/>
          <w:tab w:pos="1885" w:val="left" w:leader="none"/>
        </w:tabs>
        <w:spacing w:line="93" w:lineRule="auto" w:before="245"/>
        <w:ind w:left="220"/>
        <w:rPr>
          <w:rFonts w:ascii="Cambria Math" w:hAnsi="Cambria Math" w:eastAsia="Cambria Math"/>
        </w:rPr>
      </w:pPr>
      <w:r>
        <w:rPr>
          <w:rFonts w:ascii="Cambria Math" w:hAnsi="Cambria Math" w:eastAsia="Cambria Math"/>
          <w:position w:val="-12"/>
        </w:rPr>
        <w:t>100</w:t>
      </w:r>
      <w:r>
        <w:rPr>
          <w:rFonts w:ascii="Cambria Math" w:hAnsi="Cambria Math" w:eastAsia="Cambria Math"/>
          <w:spacing w:val="-1"/>
          <w:position w:val="-12"/>
        </w:rPr>
        <w:t> </w:t>
      </w:r>
      <w:r>
        <w:rPr>
          <w:rFonts w:ascii="Cambria Math" w:hAnsi="Cambria Math" w:eastAsia="Cambria Math"/>
          <w:position w:val="-12"/>
        </w:rPr>
        <w:t>×</w:t>
      </w:r>
      <w:r>
        <w:rPr>
          <w:rFonts w:ascii="Cambria Math" w:hAnsi="Cambria Math" w:eastAsia="Cambria Math"/>
          <w:u w:val="single"/>
        </w:rPr>
        <w:t> </w:t>
        <w:tab/>
        <w:t>𝑟𝑎𝑡𝑒</w:t>
        <w:tab/>
      </w:r>
    </w:p>
    <w:p>
      <w:pPr>
        <w:pStyle w:val="BodyText"/>
        <w:rPr>
          <w:rFonts w:ascii="Cambria Math"/>
        </w:rPr>
      </w:pPr>
      <w:r>
        <w:rPr/>
        <w:br w:type="column"/>
      </w:r>
      <w:r>
        <w:rPr>
          <w:rFonts w:ascii="Cambria Math"/>
        </w:rPr>
      </w:r>
    </w:p>
    <w:p>
      <w:pPr>
        <w:pStyle w:val="BodyText"/>
        <w:rPr>
          <w:rFonts w:ascii="Cambria Math"/>
        </w:rPr>
      </w:pPr>
    </w:p>
    <w:p>
      <w:pPr>
        <w:pStyle w:val="BodyText"/>
        <w:spacing w:before="7"/>
        <w:rPr>
          <w:rFonts w:ascii="Cambria Math"/>
          <w:sz w:val="29"/>
        </w:rPr>
      </w:pPr>
    </w:p>
    <w:p>
      <w:pPr>
        <w:pStyle w:val="BodyText"/>
        <w:tabs>
          <w:tab w:pos="1213" w:val="left" w:leader="none"/>
        </w:tabs>
        <w:spacing w:line="59" w:lineRule="exact"/>
        <w:ind w:left="220"/>
        <w:rPr>
          <w:rFonts w:ascii="Cambria Math" w:eastAsia="Cambria Math"/>
        </w:rPr>
      </w:pPr>
      <w:r>
        <w:rPr>
          <w:rFonts w:ascii="Cambria Math" w:eastAsia="Cambria Math"/>
        </w:rPr>
        <w:t>𝑟𝑎𝑡𝑒</w:t>
        <w:tab/>
        <w:t>𝐴</w:t>
      </w:r>
    </w:p>
    <w:p>
      <w:pPr>
        <w:spacing w:after="0" w:line="59" w:lineRule="exact"/>
        <w:rPr>
          <w:rFonts w:ascii="Cambria Math" w:eastAsia="Cambria Math"/>
        </w:rPr>
        <w:sectPr>
          <w:type w:val="continuous"/>
          <w:pgSz w:w="12240" w:h="15840"/>
          <w:pgMar w:top="1340" w:bottom="940" w:left="860" w:right="700"/>
          <w:cols w:num="4" w:equalWidth="0">
            <w:col w:w="3109" w:space="847"/>
            <w:col w:w="550" w:space="314"/>
            <w:col w:w="1927" w:space="1555"/>
            <w:col w:w="2378"/>
          </w:cols>
        </w:sectPr>
      </w:pPr>
    </w:p>
    <w:p>
      <w:pPr>
        <w:pStyle w:val="BodyText"/>
        <w:spacing w:line="37" w:lineRule="exact" w:before="110"/>
        <w:ind w:left="220"/>
        <w:rPr>
          <w:rFonts w:ascii="Cambria Math" w:eastAsia="Cambria Math"/>
        </w:rPr>
      </w:pPr>
      <w:r>
        <w:rPr>
          <w:rFonts w:ascii="Cambria Math" w:eastAsia="Cambria Math"/>
        </w:rPr>
        <w:t>𝑃𝑅𝐼𝐶𝐸 =</w:t>
      </w:r>
    </w:p>
    <w:p>
      <w:pPr>
        <w:pStyle w:val="BodyText"/>
        <w:spacing w:line="147" w:lineRule="exact"/>
        <w:ind w:left="220"/>
        <w:rPr>
          <w:rFonts w:ascii="Cambria Math" w:eastAsia="Cambria Math"/>
        </w:rPr>
      </w:pPr>
      <w:r>
        <w:rPr/>
        <w:br w:type="column"/>
      </w:r>
      <w:r>
        <w:rPr>
          <w:rFonts w:ascii="Cambria Math" w:eastAsia="Cambria Math"/>
        </w:rPr>
        <w:t>𝑓𝑟𝑒𝑞𝑢𝑒𝑛𝑐𝑦</w:t>
      </w:r>
    </w:p>
    <w:p>
      <w:pPr>
        <w:pStyle w:val="BodyText"/>
        <w:spacing w:before="7"/>
        <w:rPr>
          <w:rFonts w:ascii="Cambria Math"/>
          <w:sz w:val="8"/>
        </w:rPr>
      </w:pPr>
    </w:p>
    <w:p>
      <w:pPr>
        <w:tabs>
          <w:tab w:pos="2763" w:val="left" w:leader="none"/>
          <w:tab w:pos="4062" w:val="left" w:leader="none"/>
        </w:tabs>
        <w:spacing w:line="20" w:lineRule="exact"/>
        <w:ind w:left="-849" w:right="0" w:firstLine="0"/>
        <w:rPr>
          <w:rFonts w:ascii="Cambria Math"/>
          <w:sz w:val="2"/>
        </w:rPr>
      </w:pPr>
      <w:r>
        <w:rPr>
          <w:rFonts w:ascii="Cambria Math"/>
          <w:sz w:val="2"/>
        </w:rPr>
        <w:pict>
          <v:group style="width:127.25pt;height:.75pt;mso-position-horizontal-relative:char;mso-position-vertical-relative:line" coordorigin="0,0" coordsize="2545,15">
            <v:line style="position:absolute" from="0,7" to="2544,7" stroked="true" strokeweight=".74399pt" strokecolor="#000000">
              <v:stroke dashstyle="solid"/>
            </v:line>
          </v:group>
        </w:pict>
      </w:r>
      <w:r>
        <w:rPr>
          <w:rFonts w:ascii="Cambria Math"/>
          <w:sz w:val="2"/>
        </w:rPr>
      </w:r>
      <w:r>
        <w:rPr>
          <w:rFonts w:ascii="Cambria Math"/>
          <w:sz w:val="2"/>
        </w:rPr>
        <w:tab/>
      </w:r>
      <w:r>
        <w:rPr>
          <w:rFonts w:ascii="Cambria Math"/>
          <w:sz w:val="2"/>
        </w:rPr>
        <w:pict>
          <v:group style="width:52.25pt;height:.75pt;mso-position-horizontal-relative:char;mso-position-vertical-relative:line" coordorigin="0,0" coordsize="1045,15">
            <v:line style="position:absolute" from="0,7" to="1044,7" stroked="true" strokeweight=".74399pt" strokecolor="#000000">
              <v:stroke dashstyle="solid"/>
            </v:line>
          </v:group>
        </w:pict>
      </w:r>
      <w:r>
        <w:rPr>
          <w:rFonts w:ascii="Cambria Math"/>
          <w:sz w:val="2"/>
        </w:rPr>
      </w:r>
      <w:r>
        <w:rPr>
          <w:rFonts w:ascii="Cambria Math"/>
          <w:sz w:val="2"/>
        </w:rPr>
        <w:tab/>
      </w:r>
      <w:r>
        <w:rPr>
          <w:rFonts w:ascii="Cambria Math"/>
          <w:sz w:val="2"/>
        </w:rPr>
        <w:pict>
          <v:group style="width:7.35pt;height:.75pt;mso-position-horizontal-relative:char;mso-position-vertical-relative:line" coordorigin="0,0" coordsize="147,15">
            <v:line style="position:absolute" from="0,7" to="146,7" stroked="true" strokeweight=".74399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2" w:equalWidth="0">
            <w:col w:w="1124" w:space="4317"/>
            <w:col w:w="5239"/>
          </w:cols>
        </w:sectPr>
      </w:pPr>
    </w:p>
    <w:p>
      <w:pPr>
        <w:spacing w:line="116" w:lineRule="exact" w:before="0"/>
        <w:ind w:left="0" w:right="0" w:firstLine="0"/>
        <w:jc w:val="right"/>
        <w:rPr>
          <w:rFonts w:ascii="Cambria Math" w:hAnsi="Cambria Math" w:eastAsia="Cambria Math"/>
          <w:sz w:val="22"/>
        </w:rPr>
      </w:pPr>
      <w:r>
        <w:rPr/>
        <w:pict>
          <v:line style="position:absolute;mso-position-horizontal-relative:page;mso-position-vertical-relative:paragraph;z-index:251842560" from="106.459999pt,-.6pt" to="234.879999pt,-.6pt" stroked="true" strokeweight=".74399pt" strokecolor="#000000">
            <v:stroke dashstyle="solid"/>
            <w10:wrap type="none"/>
          </v:line>
        </w:pict>
      </w:r>
      <w:r>
        <w:rPr>
          <w:rFonts w:ascii="Times New Roman" w:hAnsi="Times New Roman" w:eastAsia="Times New Roman"/>
          <w:w w:val="100"/>
          <w:sz w:val="16"/>
          <w:u w:val="single"/>
        </w:rPr>
        <w:t> </w:t>
      </w:r>
      <w:r>
        <w:rPr>
          <w:rFonts w:ascii="Cambria Math" w:hAnsi="Cambria Math" w:eastAsia="Cambria Math"/>
          <w:w w:val="115"/>
          <w:sz w:val="16"/>
          <w:u w:val="single"/>
        </w:rPr>
        <w:t>𝐷𝑆𝐶</w:t>
      </w:r>
      <w:r>
        <w:rPr>
          <w:rFonts w:ascii="Cambria Math" w:hAnsi="Cambria Math" w:eastAsia="Cambria Math"/>
          <w:w w:val="115"/>
          <w:sz w:val="16"/>
        </w:rPr>
        <w:t> </w:t>
      </w:r>
      <w:r>
        <w:rPr>
          <w:rFonts w:ascii="Cambria Math" w:hAnsi="Cambria Math" w:eastAsia="Cambria Math"/>
          <w:w w:val="115"/>
          <w:position w:val="8"/>
          <w:sz w:val="22"/>
        </w:rPr>
        <w:t>+</w:t>
      </w:r>
      <w:r>
        <w:rPr>
          <w:rFonts w:ascii="Cambria Math" w:hAnsi="Cambria Math" w:eastAsia="Cambria Math"/>
          <w:w w:val="115"/>
          <w:sz w:val="22"/>
        </w:rPr>
        <w:t> </w:t>
      </w:r>
      <w:r>
        <w:rPr>
          <w:rFonts w:ascii="Cambria Math" w:hAnsi="Cambria Math" w:eastAsia="Cambria Math"/>
          <w:w w:val="165"/>
          <w:position w:val="8"/>
          <w:sz w:val="22"/>
        </w:rPr>
        <w:t>∑</w:t>
      </w:r>
    </w:p>
    <w:p>
      <w:pPr>
        <w:tabs>
          <w:tab w:pos="3751" w:val="left" w:leader="none"/>
        </w:tabs>
        <w:spacing w:line="36" w:lineRule="exact" w:before="0"/>
        <w:ind w:left="2915" w:right="0" w:firstLine="0"/>
        <w:jc w:val="left"/>
        <w:rPr>
          <w:rFonts w:ascii="Cambria Math" w:hAnsi="Cambria Math" w:eastAsia="Cambria Math"/>
          <w:sz w:val="16"/>
        </w:rPr>
      </w:pPr>
      <w:r>
        <w:rPr>
          <w:rFonts w:ascii="Cambria Math" w:hAnsi="Cambria Math" w:eastAsia="Cambria Math"/>
          <w:w w:val="110"/>
          <w:sz w:val="16"/>
        </w:rPr>
        <w:t>(𝑁−1+</w:t>
        <w:tab/>
        <w:t>)</w:t>
      </w:r>
    </w:p>
    <w:p>
      <w:pPr>
        <w:spacing w:line="152" w:lineRule="exact" w:before="0"/>
        <w:ind w:left="1654" w:right="0" w:firstLine="0"/>
        <w:jc w:val="left"/>
        <w:rPr>
          <w:rFonts w:ascii="Cambria Math" w:hAnsi="Cambria Math" w:eastAsia="Cambria Math"/>
          <w:sz w:val="22"/>
        </w:rPr>
      </w:pPr>
      <w:r>
        <w:rPr/>
        <w:br w:type="column"/>
      </w:r>
      <w:r>
        <w:rPr>
          <w:rFonts w:ascii="Cambria Math" w:hAnsi="Cambria Math" w:eastAsia="Cambria Math"/>
          <w:position w:val="-1"/>
          <w:sz w:val="16"/>
        </w:rPr>
        <w:t>(𝑘−1+</w:t>
      </w:r>
      <w:r>
        <w:rPr>
          <w:rFonts w:ascii="Cambria Math" w:hAnsi="Cambria Math" w:eastAsia="Cambria Math"/>
          <w:position w:val="7"/>
          <w:sz w:val="16"/>
          <w:u w:val="single"/>
        </w:rPr>
        <w:t> 𝐷𝑆𝐶</w:t>
      </w:r>
      <w:r>
        <w:rPr>
          <w:rFonts w:ascii="Cambria Math" w:hAnsi="Cambria Math" w:eastAsia="Cambria Math"/>
          <w:position w:val="8"/>
          <w:sz w:val="16"/>
        </w:rPr>
        <w:t> </w:t>
      </w:r>
      <w:r>
        <w:rPr>
          <w:rFonts w:ascii="Cambria Math" w:hAnsi="Cambria Math" w:eastAsia="Cambria Math"/>
          <w:position w:val="15"/>
          <w:sz w:val="22"/>
        </w:rPr>
        <w:t>− (100 × </w:t>
      </w:r>
      <w:r>
        <w:rPr>
          <w:rFonts w:ascii="Cambria Math" w:hAnsi="Cambria Math" w:eastAsia="Cambria Math"/>
          <w:sz w:val="22"/>
        </w:rPr>
        <w:t>𝑓𝑟𝑒𝑞𝑢𝑒𝑛𝑐𝑦 </w:t>
      </w:r>
      <w:r>
        <w:rPr>
          <w:rFonts w:ascii="Cambria Math" w:hAnsi="Cambria Math" w:eastAsia="Cambria Math"/>
          <w:position w:val="15"/>
          <w:sz w:val="22"/>
        </w:rPr>
        <w:t>× </w:t>
      </w:r>
      <w:r>
        <w:rPr>
          <w:rFonts w:ascii="Cambria Math" w:hAnsi="Cambria Math" w:eastAsia="Cambria Math"/>
          <w:sz w:val="22"/>
        </w:rPr>
        <w:t>𝐸</w:t>
      </w:r>
      <w:r>
        <w:rPr>
          <w:rFonts w:ascii="Cambria Math" w:hAnsi="Cambria Math" w:eastAsia="Cambria Math"/>
          <w:position w:val="15"/>
          <w:sz w:val="22"/>
        </w:rPr>
        <w:t>)</w:t>
      </w:r>
    </w:p>
    <w:p>
      <w:pPr>
        <w:spacing w:after="0" w:line="152" w:lineRule="exact"/>
        <w:jc w:val="left"/>
        <w:rPr>
          <w:rFonts w:ascii="Cambria Math" w:hAnsi="Cambria Math" w:eastAsia="Cambria Math"/>
          <w:sz w:val="22"/>
        </w:rPr>
        <w:sectPr>
          <w:type w:val="continuous"/>
          <w:pgSz w:w="12240" w:h="15840"/>
          <w:pgMar w:top="1340" w:bottom="940" w:left="860" w:right="700"/>
          <w:cols w:num="2" w:equalWidth="0">
            <w:col w:w="4553" w:space="40"/>
            <w:col w:w="6087"/>
          </w:cols>
        </w:sectPr>
      </w:pPr>
    </w:p>
    <w:p>
      <w:pPr>
        <w:pStyle w:val="BodyText"/>
        <w:spacing w:line="132" w:lineRule="exact"/>
        <w:jc w:val="right"/>
        <w:rPr>
          <w:rFonts w:ascii="Cambria Math" w:eastAsia="Cambria Math"/>
        </w:rPr>
      </w:pPr>
      <w:r>
        <w:rPr/>
        <w:pict>
          <v:shape style="position:absolute;margin-left:396.070007pt;margin-top:-2.823574pt;width:3.95pt;height:8.0500pt;mso-position-horizontal-relative:page;mso-position-vertical-relative:paragraph;z-index:-335797248" type="#_x0000_t202" filled="false" stroked="false">
            <v:textbox inset="0,0,0,0">
              <w:txbxContent>
                <w:p>
                  <w:pPr>
                    <w:spacing w:line="161" w:lineRule="exact" w:before="0"/>
                    <w:ind w:left="0" w:right="0" w:firstLine="0"/>
                    <w:jc w:val="left"/>
                    <w:rPr>
                      <w:rFonts w:ascii="Cambria Math"/>
                      <w:sz w:val="16"/>
                    </w:rPr>
                  </w:pPr>
                  <w:r>
                    <w:rPr>
                      <w:rFonts w:ascii="Cambria Math"/>
                      <w:w w:val="118"/>
                      <w:sz w:val="16"/>
                    </w:rPr>
                    <w:t>)</w:t>
                  </w:r>
                </w:p>
              </w:txbxContent>
            </v:textbox>
            <w10:wrap type="none"/>
          </v:shape>
        </w:pict>
      </w:r>
      <w:r>
        <w:rPr/>
        <w:pict>
          <v:shape style="position:absolute;margin-left:102.620003pt;margin-top:12.36pt;width:3.9pt;height:11.1pt;mso-position-horizontal-relative:page;mso-position-vertical-relative:paragraph;z-index:251844608" type="#_x0000_t202" filled="false" stroked="false">
            <v:textbox inset="0,0,0,0">
              <w:txbxContent>
                <w:p>
                  <w:pPr>
                    <w:pStyle w:val="BodyText"/>
                    <w:spacing w:line="221" w:lineRule="exact"/>
                    <w:rPr>
                      <w:rFonts w:ascii="Cambria Math"/>
                    </w:rPr>
                  </w:pPr>
                  <w:r>
                    <w:rPr>
                      <w:rFonts w:ascii="Cambria Math"/>
                      <w:w w:val="100"/>
                    </w:rPr>
                    <w:t>[</w:t>
                  </w:r>
                </w:p>
              </w:txbxContent>
            </v:textbox>
            <w10:wrap type="none"/>
          </v:shape>
        </w:pict>
      </w:r>
      <w:r>
        <w:rPr>
          <w:rFonts w:ascii="Cambria Math" w:eastAsia="Cambria Math"/>
        </w:rPr>
        <w:t>𝑦𝑙𝑑</w:t>
      </w:r>
    </w:p>
    <w:p>
      <w:pPr>
        <w:tabs>
          <w:tab w:pos="1697" w:val="left" w:leader="none"/>
        </w:tabs>
        <w:spacing w:line="132" w:lineRule="exact" w:before="0"/>
        <w:ind w:left="1066" w:right="0" w:firstLine="0"/>
        <w:jc w:val="left"/>
        <w:rPr>
          <w:rFonts w:ascii="Cambria Math" w:eastAsia="Cambria Math"/>
          <w:sz w:val="16"/>
        </w:rPr>
      </w:pPr>
      <w:r>
        <w:rPr/>
        <w:br w:type="column"/>
      </w:r>
      <w:r>
        <w:rPr>
          <w:rFonts w:ascii="Cambria Math" w:eastAsia="Cambria Math"/>
          <w:w w:val="105"/>
          <w:position w:val="4"/>
          <w:sz w:val="16"/>
        </w:rPr>
        <w:t>𝐸</w:t>
        <w:tab/>
      </w:r>
      <w:r>
        <w:rPr>
          <w:rFonts w:ascii="Cambria Math" w:eastAsia="Cambria Math"/>
          <w:spacing w:val="-4"/>
          <w:w w:val="105"/>
          <w:sz w:val="16"/>
        </w:rPr>
        <w:t>𝑘=1</w:t>
      </w:r>
    </w:p>
    <w:p>
      <w:pPr>
        <w:tabs>
          <w:tab w:pos="2245" w:val="left" w:leader="none"/>
        </w:tabs>
        <w:spacing w:line="132" w:lineRule="exact" w:before="0"/>
        <w:ind w:left="843" w:right="0" w:firstLine="0"/>
        <w:jc w:val="left"/>
        <w:rPr>
          <w:rFonts w:ascii="Cambria Math" w:eastAsia="Cambria Math"/>
          <w:sz w:val="16"/>
        </w:rPr>
      </w:pPr>
      <w:r>
        <w:rPr/>
        <w:br w:type="column"/>
      </w:r>
      <w:r>
        <w:rPr>
          <w:rFonts w:ascii="Cambria Math" w:eastAsia="Cambria Math"/>
          <w:sz w:val="22"/>
        </w:rPr>
        <w:t>𝑦𝑙𝑑</w:t>
        <w:tab/>
      </w:r>
      <w:r>
        <w:rPr>
          <w:rFonts w:ascii="Cambria Math" w:eastAsia="Cambria Math"/>
          <w:position w:val="2"/>
          <w:sz w:val="16"/>
        </w:rPr>
        <w:t>𝐸</w:t>
      </w:r>
    </w:p>
    <w:p>
      <w:pPr>
        <w:pStyle w:val="BodyText"/>
        <w:spacing w:before="7"/>
        <w:rPr>
          <w:rFonts w:ascii="Cambria Math"/>
          <w:sz w:val="8"/>
        </w:rPr>
      </w:pPr>
    </w:p>
    <w:p>
      <w:pPr>
        <w:pStyle w:val="BodyText"/>
        <w:spacing w:line="20" w:lineRule="exact"/>
        <w:ind w:left="478"/>
        <w:rPr>
          <w:rFonts w:ascii="Cambria Math"/>
          <w:sz w:val="2"/>
        </w:rPr>
      </w:pPr>
      <w:r>
        <w:rPr>
          <w:rFonts w:ascii="Cambria Math"/>
          <w:sz w:val="2"/>
        </w:rPr>
        <w:pict>
          <v:group style="width:52.25pt;height:.75pt;mso-position-horizontal-relative:char;mso-position-vertical-relative:line" coordorigin="0,0" coordsize="1045,15">
            <v:line style="position:absolute" from="0,7" to="1044,7" stroked="true" strokeweight=".72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3" w:equalWidth="0">
            <w:col w:w="2439" w:space="40"/>
            <w:col w:w="2088" w:space="39"/>
            <w:col w:w="6074"/>
          </w:cols>
        </w:sectPr>
      </w:pPr>
    </w:p>
    <w:p>
      <w:pPr>
        <w:pStyle w:val="BodyText"/>
        <w:tabs>
          <w:tab w:pos="3840" w:val="left" w:leader="none"/>
          <w:tab w:pos="4176" w:val="left" w:leader="none"/>
          <w:tab w:pos="4600" w:val="left" w:leader="none"/>
          <w:tab w:pos="7147" w:val="left" w:leader="none"/>
        </w:tabs>
        <w:spacing w:line="189" w:lineRule="auto"/>
        <w:ind w:left="1269"/>
        <w:rPr>
          <w:rFonts w:ascii="Cambria Math" w:eastAsia="Cambria Math"/>
        </w:rPr>
      </w:pPr>
      <w:r>
        <w:rPr/>
        <w:pict>
          <v:line style="position:absolute;mso-position-horizontal-relative:page;mso-position-vertical-relative:paragraph;z-index:-335799296" from="131.059998pt,5.481711pt" to="183.259998pt,5.481711pt" stroked="true" strokeweight=".72pt" strokecolor="#000000">
            <v:stroke dashstyle="solid"/>
            <w10:wrap type="none"/>
          </v:line>
        </w:pict>
      </w:r>
      <w:r>
        <w:rPr>
          <w:rFonts w:ascii="Cambria Math" w:eastAsia="Cambria Math"/>
          <w:w w:val="105"/>
          <w:position w:val="12"/>
        </w:rPr>
        <w:t>(1</w:t>
      </w:r>
      <w:r>
        <w:rPr>
          <w:rFonts w:ascii="Cambria Math" w:eastAsia="Cambria Math"/>
          <w:spacing w:val="-7"/>
          <w:w w:val="105"/>
          <w:position w:val="12"/>
        </w:rPr>
        <w:t> </w:t>
      </w:r>
      <w:r>
        <w:rPr>
          <w:rFonts w:ascii="Cambria Math" w:eastAsia="Cambria Math"/>
          <w:w w:val="105"/>
          <w:position w:val="12"/>
        </w:rPr>
        <w:t>+</w:t>
      </w:r>
      <w:r>
        <w:rPr>
          <w:rFonts w:ascii="Cambria Math" w:eastAsia="Cambria Math"/>
          <w:spacing w:val="-12"/>
          <w:w w:val="105"/>
          <w:position w:val="12"/>
        </w:rPr>
        <w:t> </w:t>
      </w:r>
      <w:r>
        <w:rPr>
          <w:rFonts w:ascii="Cambria Math" w:eastAsia="Cambria Math"/>
          <w:w w:val="105"/>
        </w:rPr>
        <w:t>𝑓𝑟𝑒𝑞𝑢𝑒𝑛𝑐𝑦</w:t>
      </w:r>
      <w:r>
        <w:rPr>
          <w:rFonts w:ascii="Cambria Math" w:eastAsia="Cambria Math"/>
          <w:w w:val="105"/>
          <w:position w:val="12"/>
        </w:rPr>
        <w:t>)</w:t>
        <w:tab/>
      </w:r>
      <w:r>
        <w:rPr>
          <w:rFonts w:ascii="Cambria Math" w:eastAsia="Cambria Math"/>
          <w:w w:val="105"/>
        </w:rPr>
        <w:t>]</w:t>
        <w:tab/>
        <w:t>[</w:t>
        <w:tab/>
      </w:r>
      <w:r>
        <w:rPr>
          <w:rFonts w:ascii="Cambria Math" w:eastAsia="Cambria Math"/>
          <w:w w:val="105"/>
          <w:position w:val="12"/>
        </w:rPr>
        <w:t>(1</w:t>
      </w:r>
      <w:r>
        <w:rPr>
          <w:rFonts w:ascii="Cambria Math" w:eastAsia="Cambria Math"/>
          <w:spacing w:val="-9"/>
          <w:w w:val="105"/>
          <w:position w:val="12"/>
        </w:rPr>
        <w:t> </w:t>
      </w:r>
      <w:r>
        <w:rPr>
          <w:rFonts w:ascii="Cambria Math" w:eastAsia="Cambria Math"/>
          <w:w w:val="105"/>
          <w:position w:val="12"/>
        </w:rPr>
        <w:t>+</w:t>
      </w:r>
      <w:r>
        <w:rPr>
          <w:rFonts w:ascii="Cambria Math" w:eastAsia="Cambria Math"/>
          <w:spacing w:val="-9"/>
          <w:w w:val="105"/>
          <w:position w:val="12"/>
        </w:rPr>
        <w:t> </w:t>
      </w:r>
      <w:r>
        <w:rPr>
          <w:rFonts w:ascii="Cambria Math" w:eastAsia="Cambria Math"/>
          <w:w w:val="105"/>
        </w:rPr>
        <w:t>𝑓𝑟𝑒𝑞𝑢𝑒𝑛𝑐𝑦</w:t>
      </w:r>
      <w:r>
        <w:rPr>
          <w:rFonts w:ascii="Cambria Math" w:eastAsia="Cambria Math"/>
          <w:w w:val="105"/>
          <w:position w:val="12"/>
        </w:rPr>
        <w:t>)</w:t>
        <w:tab/>
      </w:r>
      <w:r>
        <w:rPr>
          <w:rFonts w:ascii="Cambria Math" w:eastAsia="Cambria Math"/>
          <w:w w:val="105"/>
        </w:rPr>
        <w:t>]</w:t>
      </w:r>
    </w:p>
    <w:p>
      <w:pPr>
        <w:pStyle w:val="BodyText"/>
        <w:spacing w:before="125"/>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 </w:t>
      </w:r>
      <w:r>
        <w:rPr>
          <w:sz w:val="22"/>
        </w:rPr>
        <w:t>= number of days from beginning of coupon period to settlement</w:t>
      </w:r>
      <w:r>
        <w:rPr>
          <w:spacing w:val="-16"/>
          <w:sz w:val="22"/>
        </w:rPr>
        <w:t> </w:t>
      </w:r>
      <w:r>
        <w:rPr>
          <w:sz w:val="22"/>
        </w:rPr>
        <w:t>date.</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DSC </w:t>
      </w:r>
      <w:r>
        <w:rPr>
          <w:sz w:val="22"/>
        </w:rPr>
        <w:t>= number of days from settlement to next coupon</w:t>
      </w:r>
      <w:r>
        <w:rPr>
          <w:spacing w:val="-16"/>
          <w:sz w:val="22"/>
        </w:rPr>
        <w:t> </w:t>
      </w:r>
      <w:r>
        <w:rPr>
          <w:sz w:val="22"/>
        </w:rPr>
        <w:t>date.</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E </w:t>
      </w:r>
      <w:r>
        <w:rPr>
          <w:sz w:val="22"/>
        </w:rPr>
        <w:t>= number of days in coupon period in which the settlement date</w:t>
      </w:r>
      <w:r>
        <w:rPr>
          <w:spacing w:val="-16"/>
          <w:sz w:val="22"/>
        </w:rPr>
        <w:t> </w:t>
      </w:r>
      <w:r>
        <w:rPr>
          <w:sz w:val="22"/>
        </w:rPr>
        <w:t>falls.</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frequency </w:t>
      </w:r>
      <w:r>
        <w:rPr>
          <w:sz w:val="22"/>
        </w:rPr>
        <w:t>= argument</w:t>
      </w:r>
      <w:r>
        <w:rPr>
          <w:spacing w:val="-7"/>
          <w:sz w:val="22"/>
        </w:rPr>
        <w:t> </w:t>
      </w:r>
      <w:r>
        <w:rPr>
          <w:rFonts w:ascii="Times New Roman" w:hAnsi="Times New Roman"/>
          <w:i/>
          <w:sz w:val="22"/>
        </w:rPr>
        <w:t>frequency</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 </w:t>
      </w:r>
      <w:r>
        <w:rPr>
          <w:sz w:val="22"/>
        </w:rPr>
        <w:t>= number of coupons payable between settlement date and redemption</w:t>
      </w:r>
      <w:r>
        <w:rPr>
          <w:spacing w:val="-18"/>
          <w:sz w:val="22"/>
        </w:rPr>
        <w:t> </w:t>
      </w:r>
      <w:r>
        <w:rPr>
          <w:sz w:val="22"/>
        </w:rPr>
        <w:t>date.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4"/>
          <w:sz w:val="22"/>
        </w:rPr>
        <w:t> </w:t>
      </w:r>
      <w:r>
        <w:rPr>
          <w:rFonts w:ascii="Times New Roman" w:hAnsi="Times New Roman"/>
          <w:i/>
          <w:sz w:val="22"/>
        </w:rPr>
        <w:t>rate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5"/>
          <w:sz w:val="22"/>
        </w:rPr>
        <w:t> </w:t>
      </w:r>
      <w:r>
        <w:rPr>
          <w:rFonts w:ascii="Times New Roman" w:hAnsi="Times New Roman"/>
          <w:i/>
          <w:sz w:val="22"/>
        </w:rPr>
        <w:t>redemption</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yld </w:t>
      </w:r>
      <w:r>
        <w:rPr>
          <w:sz w:val="22"/>
        </w:rPr>
        <w:t>= argument</w:t>
      </w:r>
      <w:r>
        <w:rPr>
          <w:spacing w:val="-8"/>
          <w:sz w:val="22"/>
        </w:rPr>
        <w:t> </w:t>
      </w:r>
      <w:r>
        <w:rPr>
          <w:rFonts w:ascii="Times New Roman" w:hAnsi="Times New Roman"/>
          <w:i/>
          <w:sz w:val="22"/>
        </w:rPr>
        <w:t>yld</w:t>
      </w:r>
    </w:p>
    <w:p>
      <w:pPr>
        <w:pStyle w:val="Heading4"/>
        <w:spacing w:before="243"/>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settlement date.</w:t>
            </w:r>
          </w:p>
        </w:tc>
      </w:tr>
      <w:tr>
        <w:trPr>
          <w:trHeight w:val="352"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9"/>
              <w:rPr>
                <w:rFonts w:ascii="Times New Roman"/>
                <w:i/>
                <w:sz w:val="22"/>
              </w:rPr>
            </w:pPr>
            <w:r>
              <w:rPr>
                <w:rFonts w:ascii="Times New Roman"/>
                <w:i/>
                <w:sz w:val="22"/>
              </w:rPr>
              <w:t>rate</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security's interest rate.</w:t>
            </w:r>
          </w:p>
        </w:tc>
      </w:tr>
      <w:tr>
        <w:trPr>
          <w:trHeight w:val="354" w:hRule="atLeast"/>
        </w:trPr>
        <w:tc>
          <w:tcPr>
            <w:tcW w:w="1466" w:type="dxa"/>
          </w:tcPr>
          <w:p>
            <w:pPr>
              <w:pStyle w:val="TableParagraph"/>
              <w:spacing w:before="37"/>
              <w:rPr>
                <w:rFonts w:ascii="Times New Roman"/>
                <w:i/>
                <w:sz w:val="22"/>
              </w:rPr>
            </w:pPr>
            <w:r>
              <w:rPr>
                <w:rFonts w:ascii="Times New Roman"/>
                <w:i/>
                <w:sz w:val="22"/>
              </w:rPr>
              <w:t>yield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annual yield.</w:t>
            </w:r>
          </w:p>
        </w:tc>
      </w:tr>
      <w:tr>
        <w:trPr>
          <w:trHeight w:val="624"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400" w:type="dxa"/>
          </w:tcPr>
          <w:p>
            <w:pPr>
              <w:pStyle w:val="TableParagraph"/>
              <w:ind w:left="113" w:right="341"/>
              <w:rPr>
                <w:sz w:val="22"/>
              </w:rPr>
            </w:pPr>
            <w:r>
              <w:rPr>
                <w:sz w:val="22"/>
              </w:rPr>
              <w:t>The security's redemption value per 100 currency units face value.</w:t>
            </w:r>
          </w:p>
        </w:tc>
      </w:tr>
      <w:tr>
        <w:trPr>
          <w:trHeight w:val="1161"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400" w:type="dxa"/>
          </w:tcPr>
          <w:p>
            <w:pPr>
              <w:pStyle w:val="TableParagraph"/>
              <w:ind w:left="113" w:right="398"/>
              <w:rPr>
                <w:sz w:val="22"/>
              </w:rPr>
            </w:pPr>
            <w:r>
              <w:rPr>
                <w:sz w:val="22"/>
              </w:rPr>
              <w:t>the number of coupon payments per year. (For annual payments, </w:t>
            </w:r>
            <w:r>
              <w:rPr>
                <w:rFonts w:ascii="Times New Roman"/>
                <w:i/>
                <w:sz w:val="22"/>
              </w:rPr>
              <w:t>frequency </w:t>
            </w:r>
            <w:r>
              <w:rPr>
                <w:sz w:val="22"/>
              </w:rPr>
              <w:t>is 1; for semiannual payments, </w:t>
            </w:r>
            <w:r>
              <w:rPr>
                <w:rFonts w:ascii="Times New Roman"/>
                <w:i/>
                <w:sz w:val="22"/>
              </w:rPr>
              <w:t>frequency </w:t>
            </w:r>
            <w:r>
              <w:rPr>
                <w:sz w:val="22"/>
              </w:rPr>
              <w:t>is 2; for quarterly payments, </w:t>
            </w:r>
            <w:r>
              <w:rPr>
                <w:rFonts w:ascii="Times New Roman"/>
                <w:i/>
                <w:sz w:val="22"/>
              </w:rPr>
              <w:t>frequency </w:t>
            </w:r>
            <w:r>
              <w:rPr>
                <w:sz w:val="22"/>
              </w:rPr>
              <w:t>is 4.) </w:t>
            </w:r>
            <w:r>
              <w:rPr>
                <w:rFonts w:ascii="Times New Roman"/>
                <w:i/>
                <w:sz w:val="22"/>
              </w:rPr>
              <w:t>frequency </w:t>
            </w:r>
            <w:r>
              <w:rPr>
                <w:sz w:val="22"/>
              </w:rPr>
              <w:t>is truncated to an integer.</w:t>
            </w:r>
          </w:p>
        </w:tc>
      </w:tr>
      <w:tr>
        <w:trPr>
          <w:trHeight w:val="623" w:hRule="atLeast"/>
        </w:trPr>
        <w:tc>
          <w:tcPr>
            <w:tcW w:w="1466" w:type="dxa"/>
          </w:tcPr>
          <w:p>
            <w:pPr>
              <w:pStyle w:val="TableParagraph"/>
              <w:spacing w:before="37"/>
              <w:rPr>
                <w:rFonts w:ascii="Times New Roman"/>
                <w:i/>
                <w:sz w:val="22"/>
              </w:rPr>
            </w:pPr>
            <w:r>
              <w:rPr>
                <w:rFonts w:ascii="Times New Roman"/>
                <w:i/>
                <w:sz w:val="22"/>
              </w:rPr>
              <w:t>basis</w:t>
            </w:r>
          </w:p>
        </w:tc>
        <w:tc>
          <w:tcPr>
            <w:tcW w:w="1800" w:type="dxa"/>
          </w:tcPr>
          <w:p>
            <w:pPr>
              <w:pStyle w:val="TableParagraph"/>
              <w:ind w:left="112"/>
              <w:rPr>
                <w:sz w:val="22"/>
              </w:rPr>
            </w:pPr>
            <w:r>
              <w:rPr>
                <w:sz w:val="22"/>
              </w:rPr>
              <w:t>number</w:t>
            </w:r>
          </w:p>
        </w:tc>
        <w:tc>
          <w:tcPr>
            <w:tcW w:w="5400" w:type="dxa"/>
          </w:tcPr>
          <w:p>
            <w:pPr>
              <w:pStyle w:val="TableParagraph"/>
              <w:ind w:left="113" w:right="303"/>
              <w:rPr>
                <w:sz w:val="22"/>
              </w:rPr>
            </w:pPr>
            <w:r>
              <w:rPr>
                <w:sz w:val="22"/>
              </w:rPr>
              <w:t>The truncated integer type of day count basis to use, as follows:</w:t>
            </w:r>
          </w:p>
        </w:tc>
      </w:tr>
    </w:tbl>
    <w:p>
      <w:pPr>
        <w:spacing w:after="0"/>
        <w:rPr>
          <w:sz w:val="22"/>
        </w:rPr>
        <w:sectPr>
          <w:type w:val="continuous"/>
          <w:pgSz w:w="12240" w:h="15840"/>
          <w:pgMar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11"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5399" w:type="dxa"/>
            <w:gridSpan w:val="4"/>
            <w:tcBorders>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8"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16"/>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16"/>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Pr>
                <w:sz w:val="22"/>
              </w:rPr>
            </w:pPr>
            <w:r>
              <w:rPr>
                <w:sz w:val="22"/>
              </w:rPr>
              <w:t>Actual/365. Similar to</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76"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64"/>
              <w:rPr>
                <w:sz w:val="22"/>
              </w:rPr>
            </w:pPr>
            <w:r>
              <w:rPr>
                <w:sz w:val="22"/>
              </w:rPr>
              <w:t>Basis 1, but always has 365 days per year.</w:t>
            </w:r>
          </w:p>
        </w:tc>
        <w:tc>
          <w:tcPr>
            <w:tcW w:w="403" w:type="dxa"/>
            <w:vMerge w:val="restart"/>
          </w:tcPr>
          <w:p>
            <w:pPr>
              <w:pStyle w:val="TableParagraph"/>
              <w:spacing w:before="0"/>
              <w:ind w:left="0"/>
              <w:rPr>
                <w:rFonts w:ascii="Times New Roman"/>
                <w:sz w:val="22"/>
              </w:rPr>
            </w:pPr>
          </w:p>
        </w:tc>
      </w:tr>
      <w:tr>
        <w:trPr>
          <w:trHeight w:val="822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17"/>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17"/>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pStyle w:val="BodyText"/>
        <w:spacing w:before="6"/>
        <w:rPr>
          <w:sz w:val="19"/>
        </w:rPr>
      </w:pPr>
    </w:p>
    <w:p>
      <w:pPr>
        <w:pStyle w:val="BodyText"/>
        <w:spacing w:line="278" w:lineRule="auto"/>
        <w:ind w:left="220" w:right="698"/>
      </w:pPr>
      <w:r>
        <w:rPr>
          <w:b/>
        </w:rPr>
        <w:t>Return Type and Value</w:t>
      </w:r>
      <w:r>
        <w:rPr/>
        <w:t>: number – The price per 100 currency units face value of a security that pays periodic interest.</w:t>
      </w:r>
    </w:p>
    <w:p>
      <w:pPr>
        <w:pStyle w:val="BodyText"/>
        <w:spacing w:before="196"/>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rate </w:t>
      </w:r>
      <w:r>
        <w:rPr>
          <w:sz w:val="22"/>
        </w:rPr>
        <w:t>or </w:t>
      </w:r>
      <w:r>
        <w:rPr>
          <w:rFonts w:ascii="Times New Roman" w:hAnsi="Times New Roman"/>
          <w:i/>
          <w:sz w:val="22"/>
        </w:rPr>
        <w:t>yld </w:t>
      </w:r>
      <w:r>
        <w:rPr>
          <w:sz w:val="22"/>
        </w:rPr>
        <w:t>&lt; 0,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redemption </w:t>
      </w:r>
      <w:r>
        <w:rPr>
          <w:sz w:val="22"/>
        </w:rPr>
        <w:t>≤ 0, </w:t>
      </w:r>
      <w:r>
        <w:rPr>
          <w:rFonts w:ascii="Consolas" w:hAnsi="Consolas"/>
          <w:sz w:val="22"/>
        </w:rPr>
        <w:t>#NUM!</w:t>
      </w:r>
      <w:r>
        <w:rPr>
          <w:rFonts w:ascii="Consolas" w:hAnsi="Consolas"/>
          <w:spacing w:val="-84"/>
          <w:sz w:val="22"/>
        </w:rPr>
        <w:t> </w:t>
      </w:r>
      <w:r>
        <w:rPr>
          <w:sz w:val="22"/>
        </w:rPr>
        <w:t>is returned.</w:t>
      </w:r>
    </w:p>
    <w:p>
      <w:pPr>
        <w:spacing w:after="0" w:line="240" w:lineRule="auto"/>
        <w:jc w:val="left"/>
        <w:rPr>
          <w:sz w:val="22"/>
        </w:rPr>
        <w:sectPr>
          <w:pgSz w:w="12240" w:h="15840"/>
          <w:pgMar w:header="763" w:footer="746" w:top="1340" w:bottom="940" w:left="860" w:right="700"/>
        </w:sectPr>
      </w:pPr>
    </w:p>
    <w:p>
      <w:pPr>
        <w:pStyle w:val="ListParagraph"/>
        <w:numPr>
          <w:ilvl w:val="4"/>
          <w:numId w:val="66"/>
        </w:numPr>
        <w:tabs>
          <w:tab w:pos="940" w:val="left" w:leader="none"/>
          <w:tab w:pos="941" w:val="left" w:leader="none"/>
        </w:tabs>
        <w:spacing w:line="240" w:lineRule="auto" w:before="91"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4"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31"/>
        <w:ind w:left="220"/>
        <w:rPr>
          <w:rFonts w:ascii="Consolas"/>
        </w:rPr>
      </w:pPr>
      <w:r>
        <w:rPr>
          <w:rFonts w:ascii="Consolas"/>
        </w:rPr>
        <w:t>PRICE(DATE(2008,2,15),DATE(2017,11,15),0.0575,0.065,100,2,0)</w:t>
      </w:r>
      <w:r>
        <w:rPr>
          <w:rFonts w:ascii="Consolas"/>
          <w:spacing w:val="-68"/>
        </w:rPr>
        <w:t> </w:t>
      </w:r>
      <w:r>
        <w:rPr/>
        <w:t>results in </w:t>
      </w:r>
      <w:r>
        <w:rPr>
          <w:rFonts w:ascii="Consolas"/>
        </w:rPr>
        <w:t>94.6344</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58 PRICEDISC" w:id="2166"/>
      <w:bookmarkEnd w:id="2166"/>
      <w:r>
        <w:rPr/>
      </w:r>
      <w:bookmarkStart w:name="_bookmark721" w:id="2167"/>
      <w:bookmarkEnd w:id="2167"/>
      <w:r>
        <w:rPr/>
      </w:r>
      <w:bookmarkStart w:name="_bookmark721" w:id="2168"/>
      <w:bookmarkEnd w:id="2168"/>
      <w:r>
        <w:rPr>
          <w:color w:val="4F81BC"/>
        </w:rPr>
        <w:t>PRI</w:t>
      </w:r>
      <w:r>
        <w:rPr>
          <w:color w:val="4F81BC"/>
        </w:rPr>
        <w:t>CEDISC</w:t>
      </w:r>
    </w:p>
    <w:p>
      <w:pPr>
        <w:pStyle w:val="Heading4"/>
        <w:spacing w:before="121"/>
        <w:rPr>
          <w:b w:val="0"/>
        </w:rPr>
      </w:pPr>
      <w:r>
        <w:rPr/>
        <w:t>Syntax</w:t>
      </w:r>
      <w:r>
        <w:rPr>
          <w:b w:val="0"/>
        </w:rPr>
        <w:t>:</w:t>
      </w:r>
    </w:p>
    <w:p>
      <w:pPr>
        <w:pStyle w:val="BodyText"/>
        <w:spacing w:before="1"/>
        <w:rPr>
          <w:sz w:val="19"/>
        </w:rPr>
      </w:pPr>
    </w:p>
    <w:p>
      <w:pPr>
        <w:spacing w:before="0"/>
        <w:ind w:left="0" w:right="2296" w:firstLine="0"/>
        <w:jc w:val="right"/>
        <w:rPr>
          <w:rFonts w:ascii="Lucida Console"/>
          <w:sz w:val="20"/>
        </w:rPr>
      </w:pPr>
      <w:r>
        <w:rPr>
          <w:rFonts w:ascii="Lucida Console"/>
          <w:sz w:val="20"/>
        </w:rPr>
        <w:t>PRICEDISC</w:t>
      </w:r>
      <w:r>
        <w:rPr>
          <w:rFonts w:ascii="Lucida Console"/>
          <w:spacing w:val="-21"/>
          <w:sz w:val="20"/>
        </w:rPr>
        <w:t> </w:t>
      </w:r>
      <w:r>
        <w:rPr>
          <w:rFonts w:ascii="Lucida Console"/>
          <w:sz w:val="20"/>
        </w:rPr>
        <w:t>(</w:t>
      </w:r>
      <w:r>
        <w:rPr>
          <w:rFonts w:ascii="Lucida Console"/>
          <w:spacing w:val="-21"/>
          <w:sz w:val="20"/>
        </w:rPr>
        <w:t> </w:t>
      </w:r>
      <w:r>
        <w:rPr>
          <w:i/>
          <w:sz w:val="22"/>
        </w:rPr>
        <w:t>settlement</w:t>
      </w:r>
      <w:r>
        <w:rPr>
          <w:i/>
          <w:spacing w:val="49"/>
          <w:sz w:val="22"/>
        </w:rPr>
        <w:t> </w:t>
      </w:r>
      <w:r>
        <w:rPr>
          <w:rFonts w:ascii="Lucida Console"/>
          <w:sz w:val="20"/>
        </w:rPr>
        <w:t>,</w:t>
      </w:r>
      <w:r>
        <w:rPr>
          <w:rFonts w:ascii="Lucida Console"/>
          <w:spacing w:val="-21"/>
          <w:sz w:val="20"/>
        </w:rPr>
        <w:t> </w:t>
      </w:r>
      <w:r>
        <w:rPr>
          <w:i/>
          <w:sz w:val="22"/>
        </w:rPr>
        <w:t>maturity  </w:t>
      </w:r>
      <w:r>
        <w:rPr>
          <w:rFonts w:ascii="Lucida Console"/>
          <w:sz w:val="20"/>
        </w:rPr>
        <w:t>,</w:t>
      </w:r>
      <w:r>
        <w:rPr>
          <w:rFonts w:ascii="Lucida Console"/>
          <w:spacing w:val="-24"/>
          <w:sz w:val="20"/>
        </w:rPr>
        <w:t> </w:t>
      </w:r>
      <w:r>
        <w:rPr>
          <w:i/>
          <w:sz w:val="22"/>
        </w:rPr>
        <w:t>discount  </w:t>
      </w:r>
      <w:r>
        <w:rPr>
          <w:rFonts w:ascii="Lucida Console"/>
          <w:sz w:val="20"/>
        </w:rPr>
        <w:t>,</w:t>
      </w:r>
      <w:r>
        <w:rPr>
          <w:rFonts w:ascii="Lucida Console"/>
          <w:spacing w:val="-25"/>
          <w:sz w:val="20"/>
        </w:rPr>
        <w:t> </w:t>
      </w:r>
      <w:r>
        <w:rPr>
          <w:i/>
          <w:sz w:val="22"/>
        </w:rPr>
        <w:t>redemption</w:t>
      </w:r>
      <w:r>
        <w:rPr>
          <w:i/>
          <w:spacing w:val="49"/>
          <w:sz w:val="22"/>
        </w:rPr>
        <w:t> </w:t>
      </w:r>
      <w:r>
        <w:rPr>
          <w:sz w:val="22"/>
        </w:rPr>
        <w:t>[</w:t>
      </w:r>
      <w:r>
        <w:rPr>
          <w:spacing w:val="49"/>
          <w:sz w:val="22"/>
        </w:rPr>
        <w:t> </w:t>
      </w:r>
      <w:r>
        <w:rPr>
          <w:rFonts w:ascii="Lucida Console"/>
          <w:sz w:val="20"/>
        </w:rPr>
        <w:t>,</w:t>
      </w:r>
      <w:r>
        <w:rPr>
          <w:rFonts w:ascii="Lucida Console"/>
          <w:spacing w:val="-72"/>
          <w:sz w:val="20"/>
        </w:rPr>
        <w:t> </w:t>
      </w:r>
      <w:r>
        <w:rPr>
          <w:sz w:val="22"/>
        </w:rPr>
        <w:t>[</w:t>
      </w:r>
      <w:r>
        <w:rPr>
          <w:spacing w:val="47"/>
          <w:sz w:val="22"/>
        </w:rPr>
        <w:t> </w:t>
      </w:r>
      <w:r>
        <w:rPr>
          <w:i/>
          <w:sz w:val="22"/>
        </w:rPr>
        <w:t>basis</w:t>
      </w:r>
      <w:r>
        <w:rPr>
          <w:i/>
          <w:spacing w:val="48"/>
          <w:sz w:val="22"/>
        </w:rPr>
        <w:t> </w:t>
      </w:r>
      <w:r>
        <w:rPr>
          <w:sz w:val="22"/>
        </w:rPr>
        <w:t>] ]</w:t>
      </w:r>
      <w:r>
        <w:rPr>
          <w:spacing w:val="47"/>
          <w:sz w:val="22"/>
        </w:rPr>
        <w:t> </w:t>
      </w:r>
      <w:r>
        <w:rPr>
          <w:rFonts w:ascii="Lucida Console"/>
          <w:sz w:val="20"/>
        </w:rPr>
        <w:t>)</w:t>
      </w:r>
    </w:p>
    <w:p>
      <w:pPr>
        <w:pStyle w:val="BodyText"/>
        <w:spacing w:before="111"/>
        <w:ind w:right="2297"/>
        <w:jc w:val="right"/>
      </w:pPr>
      <w:r>
        <w:rPr>
          <w:b/>
        </w:rPr>
        <w:t>Description</w:t>
      </w:r>
      <w:r>
        <w:rPr/>
        <w:t>: Computes the price per 100 currency units face value of a discounted</w:t>
      </w:r>
      <w:r>
        <w:rPr>
          <w:spacing w:val="-29"/>
        </w:rPr>
        <w:t> </w:t>
      </w:r>
      <w:r>
        <w:rPr/>
        <w:t>security.</w:t>
      </w:r>
    </w:p>
    <w:p>
      <w:pPr>
        <w:pStyle w:val="BodyText"/>
        <w:spacing w:before="8"/>
        <w:rPr>
          <w:sz w:val="19"/>
        </w:rPr>
      </w:pPr>
    </w:p>
    <w:p>
      <w:pPr>
        <w:pStyle w:val="Heading4"/>
        <w:spacing w:before="1"/>
        <w:rPr>
          <w:b w:val="0"/>
        </w:rPr>
      </w:pPr>
      <w:r>
        <w:rPr/>
        <w:t>Mathematical Formula</w:t>
      </w:r>
      <w:r>
        <w:rPr>
          <w:b w:val="0"/>
        </w:rPr>
        <w:t>:</w:t>
      </w:r>
    </w:p>
    <w:p>
      <w:pPr>
        <w:pStyle w:val="BodyText"/>
        <w:spacing w:before="12"/>
        <w:rPr>
          <w:sz w:val="11"/>
        </w:rPr>
      </w:pPr>
    </w:p>
    <w:p>
      <w:pPr>
        <w:spacing w:after="0"/>
        <w:rPr>
          <w:sz w:val="11"/>
        </w:rPr>
        <w:sectPr>
          <w:pgSz w:w="12240" w:h="15840"/>
          <w:pgMar w:header="761" w:footer="746" w:top="1340" w:bottom="940" w:left="860" w:right="700"/>
        </w:sectPr>
      </w:pPr>
    </w:p>
    <w:p>
      <w:pPr>
        <w:pStyle w:val="BodyText"/>
        <w:spacing w:before="11"/>
        <w:rPr>
          <w:sz w:val="18"/>
        </w:rPr>
      </w:pPr>
    </w:p>
    <w:p>
      <w:pPr>
        <w:pStyle w:val="BodyText"/>
        <w:ind w:left="220"/>
        <w:rPr>
          <w:rFonts w:ascii="Cambria Math" w:hAnsi="Cambria Math" w:eastAsia="Cambria Math"/>
        </w:rPr>
      </w:pPr>
      <w:r>
        <w:rPr>
          <w:rFonts w:ascii="Cambria Math" w:hAnsi="Cambria Math" w:eastAsia="Cambria Math"/>
        </w:rPr>
        <w:t>𝑃𝑅𝐼𝐶𝐸𝐷𝐼𝑆𝐶 = 𝑟𝑒𝑑𝑒𝑚𝑝𝑡𝑖𝑜𝑛 − 𝑑𝑖𝑠𝑐𝑜𝑢𝑛𝑡 × 𝑟𝑒𝑑𝑒𝑚𝑝𝑡𝑖𝑜𝑛 ×</w:t>
      </w:r>
    </w:p>
    <w:p>
      <w:pPr>
        <w:pStyle w:val="BodyText"/>
        <w:spacing w:before="63"/>
        <w:ind w:right="4624"/>
        <w:jc w:val="center"/>
        <w:rPr>
          <w:rFonts w:ascii="Cambria Math" w:eastAsia="Cambria Math"/>
        </w:rPr>
      </w:pPr>
      <w:r>
        <w:rPr/>
        <w:br w:type="column"/>
      </w:r>
      <w:r>
        <w:rPr>
          <w:rFonts w:ascii="Cambria Math" w:eastAsia="Cambria Math"/>
        </w:rPr>
        <w:t>𝐷𝑆𝑀</w:t>
      </w:r>
    </w:p>
    <w:p>
      <w:pPr>
        <w:pStyle w:val="BodyText"/>
        <w:spacing w:before="1"/>
        <w:rPr>
          <w:rFonts w:ascii="Cambria Math"/>
          <w:sz w:val="4"/>
        </w:rPr>
      </w:pPr>
    </w:p>
    <w:p>
      <w:pPr>
        <w:pStyle w:val="BodyText"/>
        <w:spacing w:line="20" w:lineRule="exact"/>
        <w:rPr>
          <w:rFonts w:ascii="Cambria Math"/>
          <w:sz w:val="2"/>
        </w:rPr>
      </w:pPr>
      <w:r>
        <w:rPr>
          <w:rFonts w:ascii="Cambria Math"/>
          <w:sz w:val="2"/>
        </w:rPr>
        <w:pict>
          <v:group style="width:23.1pt;height:.75pt;mso-position-horizontal-relative:char;mso-position-vertical-relative:line" coordorigin="0,0" coordsize="462,15">
            <v:line style="position:absolute" from="0,7" to="461,7" stroked="true" strokeweight=".72pt" strokecolor="#000000">
              <v:stroke dashstyle="solid"/>
            </v:line>
          </v:group>
        </w:pict>
      </w:r>
      <w:r>
        <w:rPr>
          <w:rFonts w:ascii="Cambria Math"/>
          <w:sz w:val="2"/>
        </w:rPr>
      </w:r>
    </w:p>
    <w:p>
      <w:pPr>
        <w:pStyle w:val="BodyText"/>
        <w:ind w:right="4632"/>
        <w:jc w:val="center"/>
        <w:rPr>
          <w:rFonts w:ascii="Cambria Math" w:eastAsia="Cambria Math"/>
        </w:rPr>
      </w:pPr>
      <w:r>
        <w:rPr>
          <w:rFonts w:ascii="Cambria Math" w:eastAsia="Cambria Math"/>
        </w:rPr>
        <w:t>𝐵</w:t>
      </w:r>
    </w:p>
    <w:p>
      <w:pPr>
        <w:spacing w:after="0"/>
        <w:jc w:val="center"/>
        <w:rPr>
          <w:rFonts w:ascii="Cambria Math" w:eastAsia="Cambria Math"/>
        </w:rPr>
        <w:sectPr>
          <w:type w:val="continuous"/>
          <w:pgSz w:w="12240" w:h="15840"/>
          <w:pgMar w:top="1340" w:bottom="940" w:left="860" w:right="700"/>
          <w:cols w:num="2" w:equalWidth="0">
            <w:col w:w="5537" w:space="40"/>
            <w:col w:w="5103"/>
          </w:cols>
        </w:sectPr>
      </w:pPr>
    </w:p>
    <w:p>
      <w:pPr>
        <w:pStyle w:val="BodyText"/>
        <w:spacing w:before="2"/>
        <w:rPr>
          <w:rFonts w:ascii="Cambria Math"/>
          <w:sz w:val="11"/>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B </w:t>
      </w:r>
      <w:r>
        <w:rPr>
          <w:sz w:val="22"/>
        </w:rPr>
        <w:t>= number of days in year, depending on year</w:t>
      </w:r>
      <w:r>
        <w:rPr>
          <w:spacing w:val="-27"/>
          <w:sz w:val="22"/>
        </w:rPr>
        <w:t> </w:t>
      </w:r>
      <w:r>
        <w:rPr>
          <w:sz w:val="22"/>
        </w:rPr>
        <w:t>basis.</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DSM </w:t>
      </w:r>
      <w:r>
        <w:rPr>
          <w:sz w:val="22"/>
        </w:rPr>
        <w:t>= number of days from settlement to</w:t>
      </w:r>
      <w:r>
        <w:rPr>
          <w:spacing w:val="-20"/>
          <w:sz w:val="22"/>
        </w:rPr>
        <w:t> </w:t>
      </w:r>
      <w:r>
        <w:rPr>
          <w:sz w:val="22"/>
        </w:rPr>
        <w:t>maturity.</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discount </w:t>
      </w:r>
      <w:r>
        <w:rPr>
          <w:sz w:val="22"/>
        </w:rPr>
        <w:t>= argument</w:t>
      </w:r>
      <w:r>
        <w:rPr>
          <w:spacing w:val="-4"/>
          <w:sz w:val="22"/>
        </w:rPr>
        <w:t> </w:t>
      </w:r>
      <w:r>
        <w:rPr>
          <w:rFonts w:ascii="Times New Roman" w:hAnsi="Times New Roman"/>
          <w:i/>
          <w:sz w:val="22"/>
        </w:rPr>
        <w:t>discount</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5"/>
          <w:sz w:val="22"/>
        </w:rPr>
        <w:t> </w:t>
      </w:r>
      <w:r>
        <w:rPr>
          <w:rFonts w:ascii="Times New Roman" w:hAnsi="Times New Roman"/>
          <w:i/>
          <w:sz w:val="22"/>
        </w:rPr>
        <w:t>redemption</w:t>
      </w:r>
    </w:p>
    <w:p>
      <w:pPr>
        <w:pStyle w:val="Heading4"/>
        <w:spacing w:before="243"/>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sz w:val="22"/>
              </w:rPr>
              <w:t>settlement</w:t>
            </w:r>
          </w:p>
        </w:tc>
        <w:tc>
          <w:tcPr>
            <w:tcW w:w="1800" w:type="dxa"/>
          </w:tcPr>
          <w:p>
            <w:pPr>
              <w:pStyle w:val="TableParagraph"/>
              <w:spacing w:before="42"/>
              <w:ind w:left="112"/>
              <w:rPr>
                <w:sz w:val="22"/>
              </w:rPr>
            </w:pPr>
            <w:r>
              <w:rPr>
                <w:sz w:val="22"/>
              </w:rPr>
              <w:t>number</w:t>
            </w:r>
          </w:p>
        </w:tc>
        <w:tc>
          <w:tcPr>
            <w:tcW w:w="5399" w:type="dxa"/>
            <w:gridSpan w:val="4"/>
          </w:tcPr>
          <w:p>
            <w:pPr>
              <w:pStyle w:val="TableParagraph"/>
              <w:spacing w:before="42"/>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discount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discount rate.</w:t>
            </w:r>
          </w:p>
        </w:tc>
      </w:tr>
      <w:tr>
        <w:trPr>
          <w:trHeight w:val="623"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399" w:type="dxa"/>
            <w:gridSpan w:val="4"/>
          </w:tcPr>
          <w:p>
            <w:pPr>
              <w:pStyle w:val="TableParagraph"/>
              <w:ind w:left="113" w:right="340"/>
              <w:rPr>
                <w:sz w:val="22"/>
              </w:rPr>
            </w:pPr>
            <w:r>
              <w:rPr>
                <w:sz w:val="22"/>
              </w:rPr>
              <w:t>The security's redemption value per 100 currency units face value.</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142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w:t>
            </w:r>
          </w:p>
        </w:tc>
        <w:tc>
          <w:tcPr>
            <w:tcW w:w="403" w:type="dxa"/>
            <w:vMerge/>
            <w:tcBorders>
              <w:top w:val="nil"/>
            </w:tcBorders>
          </w:tcPr>
          <w:p>
            <w:pPr>
              <w:rPr>
                <w:sz w:val="2"/>
                <w:szCs w:val="2"/>
              </w:rPr>
            </w:pPr>
          </w:p>
        </w:tc>
      </w:tr>
    </w:tbl>
    <w:p>
      <w:pPr>
        <w:spacing w:after="0"/>
        <w:rPr>
          <w:sz w:val="2"/>
          <w:szCs w:val="2"/>
        </w:rPr>
        <w:sectPr>
          <w:type w:val="continuous"/>
          <w:pgSz w:w="12240" w:h="15840"/>
          <w:pgMar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607"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64"/>
              <w:jc w:val="both"/>
              <w:rPr>
                <w:sz w:val="22"/>
              </w:rPr>
            </w:pPr>
            <w:r>
              <w:rPr>
                <w:sz w:val="22"/>
              </w:rPr>
              <w:t>by making the following adjustments:</w:t>
            </w:r>
          </w:p>
          <w:p>
            <w:pPr>
              <w:pStyle w:val="TableParagraph"/>
              <w:numPr>
                <w:ilvl w:val="0"/>
                <w:numId w:val="118"/>
              </w:numPr>
              <w:tabs>
                <w:tab w:pos="838" w:val="left" w:leader="none"/>
              </w:tabs>
              <w:spacing w:line="240" w:lineRule="auto" w:before="1"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18"/>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142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929"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47"/>
              <w:rPr>
                <w:sz w:val="22"/>
              </w:rPr>
            </w:pPr>
            <w:r>
              <w:rPr>
                <w:sz w:val="22"/>
              </w:rPr>
              <w:t>the total number of days in the year is 360 by making the following adjustments:</w:t>
            </w:r>
          </w:p>
          <w:p>
            <w:pPr>
              <w:pStyle w:val="TableParagraph"/>
              <w:numPr>
                <w:ilvl w:val="0"/>
                <w:numId w:val="119"/>
              </w:numPr>
              <w:tabs>
                <w:tab w:pos="1197" w:val="left" w:leader="none"/>
                <w:tab w:pos="1198" w:val="left" w:leader="none"/>
              </w:tabs>
              <w:spacing w:line="240" w:lineRule="auto" w:before="2"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19"/>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line="267" w:lineRule="exact"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453" w:lineRule="auto"/>
        <w:ind w:left="220" w:right="1254"/>
      </w:pPr>
      <w:r>
        <w:rPr>
          <w:b/>
        </w:rPr>
        <w:t>Return Type and Value</w:t>
      </w:r>
      <w:r>
        <w:rPr/>
        <w:t>: number – The price per 100 currency units face value of a discounted security.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discount </w:t>
      </w:r>
      <w:r>
        <w:rPr>
          <w:sz w:val="22"/>
        </w:rPr>
        <w:t>or </w:t>
      </w:r>
      <w:r>
        <w:rPr>
          <w:rFonts w:ascii="Times New Roman" w:hAnsi="Times New Roman"/>
          <w:i/>
          <w:sz w:val="22"/>
        </w:rPr>
        <w:t>redemption </w:t>
      </w:r>
      <w:r>
        <w:rPr>
          <w:sz w:val="22"/>
        </w:rPr>
        <w:t>≤ 0,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7"/>
        <w:ind w:left="220"/>
        <w:rPr>
          <w:rFonts w:ascii="Consolas"/>
        </w:rPr>
      </w:pPr>
      <w:r>
        <w:rPr>
          <w:rFonts w:ascii="Consolas"/>
        </w:rPr>
        <w:t>PRICEDISC(DATE(2008,2,16),DATE(2008,3,1),0.0525,100,2)</w:t>
      </w:r>
      <w:r>
        <w:rPr>
          <w:rFonts w:ascii="Consolas"/>
          <w:spacing w:val="-67"/>
        </w:rPr>
        <w:t> </w:t>
      </w:r>
      <w:r>
        <w:rPr/>
        <w:t>results in </w:t>
      </w:r>
      <w:r>
        <w:rPr>
          <w:rFonts w:ascii="Consolas"/>
        </w:rPr>
        <w:t>99.7958</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spacing w:after="0"/>
        <w:jc w:val="left"/>
        <w:rPr>
          <w:sz w:val="22"/>
        </w:rPr>
        <w:sectPr>
          <w:footerReference w:type="even" r:id="rId264"/>
          <w:footerReference w:type="default" r:id="rId265"/>
          <w:pgSz w:w="12240" w:h="15840"/>
          <w:pgMar w:footer="746" w:header="761" w:top="1340" w:bottom="940" w:left="860" w:right="700"/>
          <w:pgNumType w:start="234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259 PRICEMAT" w:id="2169"/>
      <w:bookmarkEnd w:id="2169"/>
      <w:r>
        <w:rPr/>
      </w:r>
      <w:bookmarkStart w:name="_bookmark722" w:id="2170"/>
      <w:bookmarkEnd w:id="2170"/>
      <w:r>
        <w:rPr/>
      </w:r>
      <w:bookmarkStart w:name="_bookmark722" w:id="2171"/>
      <w:bookmarkEnd w:id="2171"/>
      <w:r>
        <w:rPr>
          <w:color w:val="4F81BC"/>
        </w:rPr>
        <w:t>PRI</w:t>
      </w:r>
      <w:r>
        <w:rPr>
          <w:color w:val="4F81BC"/>
        </w:rPr>
        <w:t>CEMAT</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PRICEMAT ( </w:t>
      </w:r>
      <w:r>
        <w:rPr>
          <w:i/>
          <w:sz w:val="22"/>
        </w:rPr>
        <w:t>settlement </w:t>
      </w:r>
      <w:r>
        <w:rPr>
          <w:rFonts w:ascii="Lucida Console"/>
          <w:sz w:val="20"/>
        </w:rPr>
        <w:t>, </w:t>
      </w:r>
      <w:r>
        <w:rPr>
          <w:i/>
          <w:sz w:val="22"/>
        </w:rPr>
        <w:t>maturity </w:t>
      </w:r>
      <w:r>
        <w:rPr>
          <w:rFonts w:ascii="Lucida Console"/>
          <w:sz w:val="20"/>
        </w:rPr>
        <w:t>, </w:t>
      </w:r>
      <w:r>
        <w:rPr>
          <w:i/>
          <w:sz w:val="22"/>
        </w:rPr>
        <w:t>issue </w:t>
      </w:r>
      <w:r>
        <w:rPr>
          <w:rFonts w:ascii="Lucida Console"/>
          <w:sz w:val="20"/>
        </w:rPr>
        <w:t>, </w:t>
      </w:r>
      <w:r>
        <w:rPr>
          <w:i/>
          <w:sz w:val="22"/>
        </w:rPr>
        <w:t>rate  </w:t>
      </w:r>
      <w:r>
        <w:rPr>
          <w:rFonts w:ascii="Lucida Console"/>
          <w:sz w:val="20"/>
        </w:rPr>
        <w:t>, </w:t>
      </w:r>
      <w:r>
        <w:rPr>
          <w:i/>
          <w:sz w:val="22"/>
        </w:rPr>
        <w:t>yld </w:t>
      </w:r>
      <w:r>
        <w:rPr>
          <w:sz w:val="22"/>
        </w:rPr>
        <w:t>[ </w:t>
      </w:r>
      <w:r>
        <w:rPr>
          <w:rFonts w:ascii="Lucida Console"/>
          <w:sz w:val="20"/>
        </w:rPr>
        <w:t>,</w:t>
      </w:r>
      <w:r>
        <w:rPr>
          <w:rFonts w:ascii="Lucida Console"/>
          <w:spacing w:val="-71"/>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price per 100 currency units face value of a security that pays interest at maturity.</w:t>
      </w:r>
    </w:p>
    <w:p>
      <w:pPr>
        <w:pStyle w:val="BodyText"/>
        <w:spacing w:before="8"/>
        <w:rPr>
          <w:sz w:val="19"/>
        </w:rPr>
      </w:pPr>
    </w:p>
    <w:p>
      <w:pPr>
        <w:pStyle w:val="Heading4"/>
        <w:rPr>
          <w:b w:val="0"/>
        </w:rPr>
      </w:pPr>
      <w:r>
        <w:rPr/>
        <w:t>Mathematical Formula</w:t>
      </w:r>
      <w:r>
        <w:rPr>
          <w:b w:val="0"/>
        </w:rPr>
        <w:t>:</w:t>
      </w:r>
    </w:p>
    <w:p>
      <w:pPr>
        <w:pStyle w:val="BodyText"/>
        <w:rPr>
          <w:sz w:val="12"/>
        </w:rPr>
      </w:pPr>
    </w:p>
    <w:p>
      <w:pPr>
        <w:spacing w:after="0"/>
        <w:rPr>
          <w:sz w:val="12"/>
        </w:rPr>
        <w:sectPr>
          <w:pgSz w:w="12240" w:h="15840"/>
          <w:pgMar w:header="763" w:footer="746" w:top="1340" w:bottom="940" w:left="860" w:right="700"/>
        </w:sectPr>
      </w:pPr>
    </w:p>
    <w:p>
      <w:pPr>
        <w:pStyle w:val="BodyText"/>
        <w:spacing w:line="194" w:lineRule="exact" w:before="63"/>
        <w:ind w:left="2030" w:right="1577"/>
        <w:jc w:val="center"/>
        <w:rPr>
          <w:rFonts w:ascii="Cambria Math" w:eastAsia="Cambria Math"/>
        </w:rPr>
      </w:pPr>
      <w:r>
        <w:rPr>
          <w:rFonts w:ascii="Cambria Math" w:eastAsia="Cambria Math"/>
        </w:rPr>
        <w:t>𝐼𝑀</w:t>
      </w:r>
    </w:p>
    <w:p>
      <w:pPr>
        <w:pStyle w:val="BodyText"/>
        <w:spacing w:line="165" w:lineRule="auto"/>
        <w:ind w:left="220"/>
        <w:rPr>
          <w:rFonts w:ascii="Cambria Math" w:hAnsi="Cambria Math" w:eastAsia="Cambria Math"/>
        </w:rPr>
      </w:pPr>
      <w:r>
        <w:rPr/>
        <w:pict>
          <v:line style="position:absolute;mso-position-horizontal-relative:page;mso-position-vertical-relative:paragraph;z-index:-335794176" from="162.139999pt,7.502012pt" to="175.939999pt,7.502012pt" stroked="true" strokeweight=".72pt" strokecolor="#000000">
            <v:stroke dashstyle="solid"/>
            <w10:wrap type="none"/>
          </v:line>
        </w:pict>
      </w:r>
      <w:r>
        <w:rPr/>
        <w:pict>
          <v:line style="position:absolute;mso-position-horizontal-relative:page;mso-position-vertical-relative:paragraph;z-index:251847680" from="125.300003pt,18.302011pt" to="246.400003pt,18.302011pt" stroked="true" strokeweight=".72pt" strokecolor="#000000">
            <v:stroke dashstyle="solid"/>
            <w10:wrap type="none"/>
          </v:line>
        </w:pict>
      </w:r>
      <w:r>
        <w:rPr/>
        <w:pict>
          <v:line style="position:absolute;mso-position-horizontal-relative:page;mso-position-vertical-relative:paragraph;z-index:251848704" from="265.010010pt,18.302011pt" to="272.570010pt,18.302011pt" stroked="true" strokeweight=".72pt" strokecolor="#000000">
            <v:stroke dashstyle="solid"/>
            <w10:wrap type="none"/>
          </v:line>
        </w:pict>
      </w:r>
      <w:r>
        <w:rPr/>
        <w:pict>
          <v:shape style="position:absolute;margin-left:169.460007pt;margin-top:17.704121pt;width:.1pt;height:12.25pt;mso-position-horizontal-relative:page;mso-position-vertical-relative:paragraph;z-index:-335791104" type="#_x0000_t202" filled="false" stroked="false">
            <v:textbox inset="0,0,0,0">
              <w:txbxContent>
                <w:p>
                  <w:pPr>
                    <w:pStyle w:val="BodyText"/>
                    <w:spacing w:line="244" w:lineRule="exact"/>
                    <w:rPr>
                      <w:rFonts w:ascii="Times New Roman"/>
                    </w:rPr>
                  </w:pPr>
                  <w:r>
                    <w:rPr>
                      <w:rFonts w:ascii="Times New Roman"/>
                      <w:spacing w:val="-56"/>
                      <w:w w:val="100"/>
                      <w:u w:val="single"/>
                    </w:rPr>
                    <w:t> </w:t>
                  </w:r>
                </w:p>
              </w:txbxContent>
            </v:textbox>
            <w10:wrap type="none"/>
          </v:shape>
        </w:pict>
      </w:r>
      <w:r>
        <w:rPr>
          <w:rFonts w:ascii="Cambria Math" w:hAnsi="Cambria Math" w:eastAsia="Cambria Math"/>
          <w:position w:val="-21"/>
        </w:rPr>
        <w:t>𝑃𝑅𝐼𝐶𝐸𝑀𝐴𝑇 = </w:t>
      </w:r>
      <w:r>
        <w:rPr>
          <w:rFonts w:ascii="Cambria Math" w:hAnsi="Cambria Math" w:eastAsia="Cambria Math"/>
        </w:rPr>
        <w:t>100 + ( </w:t>
      </w:r>
      <w:r>
        <w:rPr>
          <w:rFonts w:ascii="Cambria Math" w:hAnsi="Cambria Math" w:eastAsia="Cambria Math"/>
          <w:position w:val="-10"/>
        </w:rPr>
        <w:t>𝐵 </w:t>
      </w:r>
      <w:r>
        <w:rPr>
          <w:rFonts w:ascii="Cambria Math" w:hAnsi="Cambria Math" w:eastAsia="Cambria Math"/>
        </w:rPr>
        <w:t>× 𝑟𝑎𝑡𝑒 × 100) </w:t>
      </w:r>
      <w:r>
        <w:rPr>
          <w:rFonts w:ascii="Cambria Math" w:hAnsi="Cambria Math" w:eastAsia="Cambria Math"/>
          <w:position w:val="-21"/>
        </w:rPr>
        <w:t>− (</w:t>
      </w:r>
      <w:r>
        <w:rPr>
          <w:rFonts w:ascii="Cambria Math" w:hAnsi="Cambria Math" w:eastAsia="Cambria Math"/>
          <w:position w:val="-4"/>
        </w:rPr>
        <w:t>𝐴</w:t>
      </w:r>
    </w:p>
    <w:p>
      <w:pPr>
        <w:pStyle w:val="BodyText"/>
        <w:spacing w:line="7" w:lineRule="exact"/>
        <w:ind w:left="2363" w:right="1429"/>
        <w:jc w:val="center"/>
        <w:rPr>
          <w:rFonts w:ascii="Cambria Math" w:eastAsia="Cambria Math"/>
        </w:rPr>
      </w:pPr>
      <w:r>
        <w:rPr>
          <w:rFonts w:ascii="Cambria Math" w:eastAsia="Cambria Math"/>
          <w:u w:val="single"/>
        </w:rPr>
        <w:t>𝐷𝑆𝑀</w:t>
      </w:r>
    </w:p>
    <w:p>
      <w:pPr>
        <w:pStyle w:val="BodyText"/>
        <w:rPr>
          <w:rFonts w:ascii="Cambria Math"/>
        </w:rPr>
      </w:pPr>
      <w:r>
        <w:rPr/>
        <w:br w:type="column"/>
      </w:r>
      <w:r>
        <w:rPr>
          <w:rFonts w:ascii="Cambria Math"/>
        </w:rPr>
      </w:r>
    </w:p>
    <w:p>
      <w:pPr>
        <w:pStyle w:val="BodyText"/>
        <w:spacing w:line="186" w:lineRule="exact" w:before="151"/>
        <w:ind w:left="14"/>
        <w:rPr>
          <w:rFonts w:ascii="Cambria Math" w:hAnsi="Cambria Math" w:eastAsia="Cambria Math"/>
        </w:rPr>
      </w:pPr>
      <w:r>
        <w:rPr>
          <w:rFonts w:ascii="Cambria Math" w:hAnsi="Cambria Math" w:eastAsia="Cambria Math"/>
        </w:rPr>
        <w:t>× 𝑟𝑎𝑡𝑒 × 100)</w:t>
      </w:r>
    </w:p>
    <w:p>
      <w:pPr>
        <w:spacing w:after="0" w:line="186" w:lineRule="exact"/>
        <w:rPr>
          <w:rFonts w:ascii="Cambria Math" w:hAnsi="Cambria Math" w:eastAsia="Cambria Math"/>
        </w:rPr>
        <w:sectPr>
          <w:type w:val="continuous"/>
          <w:pgSz w:w="12240" w:h="15840"/>
          <w:pgMar w:top="1340" w:bottom="940" w:left="860" w:right="700"/>
          <w:cols w:num="2" w:equalWidth="0">
            <w:col w:w="4585" w:space="40"/>
            <w:col w:w="6055"/>
          </w:cols>
        </w:sectPr>
      </w:pPr>
    </w:p>
    <w:p>
      <w:pPr>
        <w:pStyle w:val="BodyText"/>
        <w:tabs>
          <w:tab w:pos="3037" w:val="left" w:leader="none"/>
          <w:tab w:pos="4440" w:val="left" w:leader="none"/>
        </w:tabs>
        <w:ind w:left="2034"/>
        <w:rPr>
          <w:rFonts w:ascii="Cambria Math" w:hAnsi="Cambria Math" w:eastAsia="Cambria Math"/>
        </w:rPr>
      </w:pPr>
      <w:r>
        <w:rPr>
          <w:rFonts w:ascii="Cambria Math" w:hAnsi="Cambria Math" w:eastAsia="Cambria Math"/>
          <w:w w:val="105"/>
        </w:rPr>
        <w:t>1 +</w:t>
      </w:r>
      <w:r>
        <w:rPr>
          <w:rFonts w:ascii="Cambria Math" w:hAnsi="Cambria Math" w:eastAsia="Cambria Math"/>
          <w:spacing w:val="-5"/>
          <w:w w:val="105"/>
        </w:rPr>
        <w:t> </w:t>
      </w:r>
      <w:r>
        <w:rPr>
          <w:rFonts w:ascii="Cambria Math" w:hAnsi="Cambria Math" w:eastAsia="Cambria Math"/>
          <w:w w:val="105"/>
        </w:rPr>
        <w:t>( </w:t>
      </w:r>
      <w:r>
        <w:rPr>
          <w:rFonts w:ascii="Cambria Math" w:hAnsi="Cambria Math" w:eastAsia="Cambria Math"/>
          <w:spacing w:val="49"/>
          <w:w w:val="105"/>
        </w:rPr>
        <w:t> </w:t>
      </w:r>
      <w:r>
        <w:rPr>
          <w:rFonts w:ascii="Cambria Math" w:hAnsi="Cambria Math" w:eastAsia="Cambria Math"/>
          <w:w w:val="105"/>
          <w:position w:val="-10"/>
        </w:rPr>
        <w:t>𝐵</w:t>
        <w:tab/>
      </w:r>
      <w:r>
        <w:rPr>
          <w:rFonts w:ascii="Cambria Math" w:hAnsi="Cambria Math" w:eastAsia="Cambria Math"/>
          <w:w w:val="105"/>
        </w:rPr>
        <w:t>×</w:t>
      </w:r>
      <w:r>
        <w:rPr>
          <w:rFonts w:ascii="Cambria Math" w:hAnsi="Cambria Math" w:eastAsia="Cambria Math"/>
          <w:spacing w:val="-3"/>
          <w:w w:val="105"/>
        </w:rPr>
        <w:t> </w:t>
      </w:r>
      <w:r>
        <w:rPr>
          <w:rFonts w:ascii="Cambria Math" w:hAnsi="Cambria Math" w:eastAsia="Cambria Math"/>
          <w:w w:val="105"/>
        </w:rPr>
        <w:t>𝑦𝑙𝑑)</w:t>
        <w:tab/>
      </w:r>
      <w:r>
        <w:rPr>
          <w:rFonts w:ascii="Cambria Math" w:hAnsi="Cambria Math" w:eastAsia="Cambria Math"/>
          <w:w w:val="105"/>
          <w:position w:val="10"/>
        </w:rPr>
        <w:t>𝐵</w:t>
      </w:r>
    </w:p>
    <w:p>
      <w:pPr>
        <w:pStyle w:val="BodyText"/>
        <w:spacing w:before="9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 </w:t>
      </w:r>
      <w:r>
        <w:rPr>
          <w:sz w:val="22"/>
        </w:rPr>
        <w:t>= number of days from issue to</w:t>
      </w:r>
      <w:r>
        <w:rPr>
          <w:spacing w:val="-10"/>
          <w:sz w:val="22"/>
        </w:rPr>
        <w:t> </w:t>
      </w:r>
      <w:r>
        <w:rPr>
          <w:sz w:val="22"/>
        </w:rPr>
        <w:t>settlement.</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rFonts w:ascii="Times New Roman" w:hAnsi="Times New Roman"/>
          <w:i/>
          <w:sz w:val="22"/>
        </w:rPr>
        <w:t>B </w:t>
      </w:r>
      <w:r>
        <w:rPr>
          <w:sz w:val="22"/>
        </w:rPr>
        <w:t>= number of days in year, depending on year</w:t>
      </w:r>
      <w:r>
        <w:rPr>
          <w:spacing w:val="-15"/>
          <w:sz w:val="22"/>
        </w:rPr>
        <w:t> </w:t>
      </w:r>
      <w:r>
        <w:rPr>
          <w:sz w:val="22"/>
        </w:rPr>
        <w:t>basis.</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DIM </w:t>
      </w:r>
      <w:r>
        <w:rPr>
          <w:sz w:val="22"/>
        </w:rPr>
        <w:t>= number of days from issue to</w:t>
      </w:r>
      <w:r>
        <w:rPr>
          <w:spacing w:val="-13"/>
          <w:sz w:val="22"/>
        </w:rPr>
        <w:t> </w:t>
      </w:r>
      <w:r>
        <w:rPr>
          <w:sz w:val="22"/>
        </w:rPr>
        <w:t>maturity.</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DSM </w:t>
      </w:r>
      <w:r>
        <w:rPr>
          <w:sz w:val="22"/>
        </w:rPr>
        <w:t>= number of days from settlement to</w:t>
      </w:r>
      <w:r>
        <w:rPr>
          <w:spacing w:val="-6"/>
          <w:sz w:val="22"/>
        </w:rPr>
        <w:t> </w:t>
      </w:r>
      <w:r>
        <w:rPr>
          <w:sz w:val="22"/>
        </w:rPr>
        <w:t>maturity.</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4"/>
          <w:sz w:val="22"/>
        </w:rPr>
        <w:t> </w:t>
      </w:r>
      <w:r>
        <w:rPr>
          <w:rFonts w:ascii="Times New Roman" w:hAnsi="Times New Roman"/>
          <w:i/>
          <w:sz w:val="22"/>
        </w:rPr>
        <w:t>rate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yld </w:t>
      </w:r>
      <w:r>
        <w:rPr>
          <w:sz w:val="22"/>
        </w:rPr>
        <w:t>= argument</w:t>
      </w:r>
      <w:r>
        <w:rPr>
          <w:spacing w:val="-9"/>
          <w:sz w:val="22"/>
        </w:rPr>
        <w:t> </w:t>
      </w:r>
      <w:r>
        <w:rPr>
          <w:rFonts w:ascii="Times New Roman" w:hAnsi="Times New Roman"/>
          <w:i/>
          <w:sz w:val="22"/>
        </w:rPr>
        <w:t>yld</w:t>
      </w:r>
    </w:p>
    <w:p>
      <w:pPr>
        <w:pStyle w:val="Heading4"/>
        <w:spacing w:before="243"/>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issue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issue date.</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interest rate.</w:t>
            </w:r>
          </w:p>
        </w:tc>
      </w:tr>
      <w:tr>
        <w:trPr>
          <w:trHeight w:val="354" w:hRule="atLeast"/>
        </w:trPr>
        <w:tc>
          <w:tcPr>
            <w:tcW w:w="1466" w:type="dxa"/>
          </w:tcPr>
          <w:p>
            <w:pPr>
              <w:pStyle w:val="TableParagraph"/>
              <w:spacing w:before="37"/>
              <w:rPr>
                <w:rFonts w:ascii="Times New Roman"/>
                <w:i/>
                <w:sz w:val="22"/>
              </w:rPr>
            </w:pPr>
            <w:r>
              <w:rPr>
                <w:rFonts w:ascii="Times New Roman"/>
                <w:i/>
                <w:sz w:val="22"/>
              </w:rPr>
              <w:t>yld</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annual yield.</w:t>
            </w:r>
          </w:p>
        </w:tc>
      </w:tr>
      <w:tr>
        <w:trPr>
          <w:trHeight w:val="846"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spacing w:before="42"/>
              <w:ind w:left="629" w:right="618"/>
              <w:jc w:val="center"/>
              <w:rPr>
                <w:b/>
                <w:sz w:val="22"/>
              </w:rPr>
            </w:pPr>
            <w:r>
              <w:rPr>
                <w:b/>
                <w:sz w:val="22"/>
              </w:rPr>
              <w:t>Value</w:t>
            </w:r>
          </w:p>
        </w:tc>
        <w:tc>
          <w:tcPr>
            <w:tcW w:w="2340" w:type="dxa"/>
            <w:shd w:val="clear" w:color="auto" w:fill="C0C0C0"/>
          </w:tcPr>
          <w:p>
            <w:pPr>
              <w:pStyle w:val="TableParagraph"/>
              <w:spacing w:before="42"/>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278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20"/>
              </w:numPr>
              <w:tabs>
                <w:tab w:pos="838" w:val="left" w:leader="none"/>
              </w:tabs>
              <w:spacing w:line="240" w:lineRule="auto" w:before="2" w:after="0"/>
              <w:ind w:left="837" w:right="104" w:hanging="360"/>
              <w:jc w:val="both"/>
              <w:rPr>
                <w:sz w:val="22"/>
              </w:rPr>
            </w:pPr>
            <w:r>
              <w:rPr>
                <w:sz w:val="22"/>
              </w:rPr>
              <w:t>If the date is </w:t>
            </w:r>
            <w:r>
              <w:rPr>
                <w:spacing w:val="-7"/>
                <w:sz w:val="22"/>
              </w:rPr>
              <w:t>28 </w:t>
            </w:r>
            <w:r>
              <w:rPr>
                <w:sz w:val="22"/>
              </w:rPr>
              <w:t>or 29 February, it is adjusted</w:t>
            </w:r>
            <w:r>
              <w:rPr>
                <w:spacing w:val="-4"/>
                <w:sz w:val="22"/>
              </w:rPr>
              <w:t> </w:t>
            </w:r>
            <w:r>
              <w:rPr>
                <w:sz w:val="22"/>
              </w:rPr>
              <w:t>to</w:t>
            </w:r>
          </w:p>
        </w:tc>
        <w:tc>
          <w:tcPr>
            <w:tcW w:w="403" w:type="dxa"/>
            <w:vMerge/>
            <w:tcBorders>
              <w:top w:val="nil"/>
            </w:tcBorders>
          </w:tcPr>
          <w:p>
            <w:pPr>
              <w:rPr>
                <w:sz w:val="2"/>
                <w:szCs w:val="2"/>
              </w:rPr>
            </w:pPr>
          </w:p>
        </w:tc>
      </w:tr>
    </w:tbl>
    <w:p>
      <w:pPr>
        <w:spacing w:after="0"/>
        <w:rPr>
          <w:sz w:val="2"/>
          <w:szCs w:val="2"/>
        </w:rPr>
        <w:sectPr>
          <w:type w:val="continuous"/>
          <w:pgSz w:w="12240" w:h="15840"/>
          <w:pgMar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253"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Pr>
                <w:sz w:val="22"/>
              </w:rPr>
            </w:pPr>
            <w:r>
              <w:rPr>
                <w:sz w:val="22"/>
              </w:rPr>
              <w:t>30 February.</w:t>
            </w:r>
          </w:p>
          <w:p>
            <w:pPr>
              <w:pStyle w:val="TableParagraph"/>
              <w:numPr>
                <w:ilvl w:val="0"/>
                <w:numId w:val="121"/>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278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36"/>
              <w:rPr>
                <w:sz w:val="22"/>
              </w:rPr>
            </w:pPr>
            <w:r>
              <w:rPr>
                <w:sz w:val="22"/>
              </w:rPr>
              <w:t>European 30/360. The European method for adjusting day counts. Assumes that each month has 30 days </w:t>
            </w:r>
            <w:r>
              <w:rPr>
                <w:spacing w:val="-4"/>
                <w:sz w:val="22"/>
              </w:rPr>
              <w:t>and </w:t>
            </w:r>
            <w:r>
              <w:rPr>
                <w:sz w:val="22"/>
              </w:rPr>
              <w:t>the total number of days in the year is 360 by making the following</w:t>
            </w:r>
            <w:r>
              <w:rPr>
                <w:spacing w:val="-8"/>
                <w:sz w:val="22"/>
              </w:rPr>
              <w:t> </w:t>
            </w:r>
            <w:r>
              <w:rPr>
                <w:sz w:val="22"/>
              </w:rPr>
              <w:t>adjustments:</w:t>
            </w:r>
          </w:p>
          <w:p>
            <w:pPr>
              <w:pStyle w:val="TableParagraph"/>
              <w:numPr>
                <w:ilvl w:val="0"/>
                <w:numId w:val="122"/>
              </w:numPr>
              <w:tabs>
                <w:tab w:pos="1197" w:val="left" w:leader="none"/>
                <w:tab w:pos="1198" w:val="left" w:leader="none"/>
              </w:tabs>
              <w:spacing w:line="240" w:lineRule="auto" w:before="3" w:after="0"/>
              <w:ind w:left="1197" w:right="0" w:hanging="361"/>
              <w:jc w:val="left"/>
              <w:rPr>
                <w:sz w:val="22"/>
              </w:rPr>
            </w:pPr>
            <w:r>
              <w:rPr>
                <w:sz w:val="22"/>
              </w:rPr>
              <w:t>If the</w:t>
            </w:r>
            <w:r>
              <w:rPr>
                <w:spacing w:val="-2"/>
                <w:sz w:val="22"/>
              </w:rPr>
              <w:t> </w:t>
            </w:r>
            <w:r>
              <w:rPr>
                <w:sz w:val="22"/>
              </w:rPr>
              <w:t>date</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575"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84"/>
              <w:rPr>
                <w:sz w:val="22"/>
              </w:rPr>
            </w:pPr>
            <w:r>
              <w:rPr>
                <w:sz w:val="22"/>
              </w:rPr>
              <w:t>is 28 or 29 February, it is adjusted to 30 February.</w:t>
            </w:r>
          </w:p>
          <w:p>
            <w:pPr>
              <w:pStyle w:val="TableParagraph"/>
              <w:numPr>
                <w:ilvl w:val="0"/>
                <w:numId w:val="123"/>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Time information in the date arguments is ignored.</w:t>
      </w:r>
    </w:p>
    <w:p>
      <w:pPr>
        <w:pStyle w:val="BodyText"/>
        <w:spacing w:before="6"/>
        <w:rPr>
          <w:sz w:val="19"/>
        </w:rPr>
      </w:pPr>
    </w:p>
    <w:p>
      <w:pPr>
        <w:pStyle w:val="BodyText"/>
        <w:spacing w:line="278" w:lineRule="auto"/>
        <w:ind w:left="220" w:right="502"/>
      </w:pPr>
      <w:r>
        <w:rPr>
          <w:b/>
        </w:rPr>
        <w:t>Return Type and Value</w:t>
      </w:r>
      <w:r>
        <w:rPr/>
        <w:t>: number – The price per 100 currency units face value of a security that pays interest at maturity.</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w:t>
      </w:r>
      <w:r>
        <w:rPr>
          <w:sz w:val="22"/>
        </w:rPr>
        <w:t>, </w:t>
      </w:r>
      <w:r>
        <w:rPr>
          <w:rFonts w:ascii="Times New Roman" w:hAnsi="Times New Roman"/>
          <w:i/>
          <w:sz w:val="22"/>
        </w:rPr>
        <w:t>maturity</w:t>
      </w:r>
      <w:r>
        <w:rPr>
          <w:sz w:val="22"/>
        </w:rPr>
        <w:t>, or </w:t>
      </w:r>
      <w:r>
        <w:rPr>
          <w:rFonts w:ascii="Times New Roman" w:hAnsi="Times New Roman"/>
          <w:i/>
          <w:sz w:val="22"/>
        </w:rPr>
        <w:t>issue </w:t>
      </w:r>
      <w:r>
        <w:rPr>
          <w:sz w:val="22"/>
        </w:rPr>
        <w:t>is out of range for the current date system, </w:t>
      </w:r>
      <w:r>
        <w:rPr>
          <w:rFonts w:ascii="Consolas" w:hAnsi="Consolas"/>
          <w:sz w:val="22"/>
        </w:rPr>
        <w:t>#NUM!</w:t>
      </w:r>
      <w:r>
        <w:rPr>
          <w:rFonts w:ascii="Consolas" w:hAnsi="Consolas"/>
          <w:spacing w:val="-9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rate </w:t>
      </w:r>
      <w:r>
        <w:rPr>
          <w:sz w:val="22"/>
        </w:rPr>
        <w:t>or </w:t>
      </w:r>
      <w:r>
        <w:rPr>
          <w:rFonts w:ascii="Times New Roman" w:hAnsi="Times New Roman"/>
          <w:i/>
          <w:sz w:val="22"/>
        </w:rPr>
        <w:t>yld </w:t>
      </w:r>
      <w:r>
        <w:rPr>
          <w:sz w:val="22"/>
        </w:rPr>
        <w:t>&lt; 0,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30"/>
        <w:ind w:left="220"/>
        <w:rPr>
          <w:rFonts w:ascii="Consolas"/>
        </w:rPr>
      </w:pPr>
      <w:r>
        <w:rPr>
          <w:rFonts w:ascii="Consolas"/>
        </w:rPr>
        <w:t>PRICEMAT(DATE(2008,2,15),DATE(2008,4,13),DATE(2007,11,11),0.061,0.061,0)</w:t>
      </w:r>
    </w:p>
    <w:p>
      <w:pPr>
        <w:pStyle w:val="BodyText"/>
        <w:spacing w:before="36"/>
        <w:ind w:left="165" w:right="8206"/>
        <w:jc w:val="center"/>
        <w:rPr>
          <w:rFonts w:ascii="Consolas"/>
        </w:rPr>
      </w:pPr>
      <w:r>
        <w:rPr/>
        <w:t>results in </w:t>
      </w:r>
      <w:r>
        <w:rPr>
          <w:rFonts w:ascii="Consolas"/>
        </w:rPr>
        <w:t>99.9845</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512" w:val="left" w:leader="none"/>
          <w:tab w:pos="1733" w:val="left" w:leader="none"/>
        </w:tabs>
        <w:spacing w:line="240" w:lineRule="auto" w:before="0" w:after="0"/>
        <w:ind w:left="1732" w:right="8136" w:hanging="1733"/>
        <w:jc w:val="left"/>
      </w:pPr>
      <w:bookmarkStart w:name="18.17.7.260 PROB" w:id="2172"/>
      <w:bookmarkEnd w:id="2172"/>
      <w:r>
        <w:rPr/>
      </w:r>
      <w:bookmarkStart w:name="_bookmark723" w:id="2173"/>
      <w:bookmarkEnd w:id="2173"/>
      <w:r>
        <w:rPr/>
      </w:r>
      <w:bookmarkStart w:name="_bookmark723" w:id="2174"/>
      <w:bookmarkEnd w:id="2174"/>
      <w:r>
        <w:rPr>
          <w:color w:val="4F81BC"/>
        </w:rPr>
        <w:t>PROB</w:t>
      </w:r>
    </w:p>
    <w:p>
      <w:pPr>
        <w:pStyle w:val="Heading4"/>
        <w:spacing w:before="123"/>
        <w:rPr>
          <w:b w:val="0"/>
        </w:rPr>
      </w:pPr>
      <w:r>
        <w:rPr/>
        <w:t>Syntax</w:t>
      </w:r>
      <w:r>
        <w:rPr>
          <w:b w:val="0"/>
        </w:rPr>
        <w:t>:</w:t>
      </w:r>
    </w:p>
    <w:p>
      <w:pPr>
        <w:spacing w:after="0"/>
        <w:sectPr>
          <w:pgSz w:w="12240" w:h="15840"/>
          <w:pgMar w:header="763" w:footer="746" w:top="1340" w:bottom="940" w:left="860" w:right="700"/>
        </w:sectPr>
      </w:pPr>
    </w:p>
    <w:p>
      <w:pPr>
        <w:spacing w:before="85"/>
        <w:ind w:left="940" w:right="0" w:firstLine="0"/>
        <w:jc w:val="left"/>
        <w:rPr>
          <w:rFonts w:ascii="Lucida Console"/>
          <w:sz w:val="20"/>
        </w:rPr>
      </w:pPr>
      <w:r>
        <w:rPr>
          <w:rFonts w:ascii="Lucida Console"/>
          <w:sz w:val="20"/>
        </w:rPr>
        <w:t>PROB ( </w:t>
      </w:r>
      <w:r>
        <w:rPr>
          <w:i/>
          <w:sz w:val="22"/>
        </w:rPr>
        <w:t>x-range </w:t>
      </w:r>
      <w:r>
        <w:rPr>
          <w:sz w:val="22"/>
        </w:rPr>
        <w:t>, </w:t>
      </w:r>
      <w:r>
        <w:rPr>
          <w:i/>
          <w:sz w:val="22"/>
        </w:rPr>
        <w:t>probability-range </w:t>
      </w:r>
      <w:r>
        <w:rPr>
          <w:sz w:val="22"/>
        </w:rPr>
        <w:t>, </w:t>
      </w:r>
      <w:r>
        <w:rPr>
          <w:i/>
          <w:sz w:val="22"/>
        </w:rPr>
        <w:t>lower-limit </w:t>
      </w:r>
      <w:r>
        <w:rPr>
          <w:sz w:val="22"/>
        </w:rPr>
        <w:t>[ , </w:t>
      </w:r>
      <w:r>
        <w:rPr>
          <w:i/>
          <w:sz w:val="22"/>
        </w:rPr>
        <w:t>upper-limit </w:t>
      </w:r>
      <w:r>
        <w:rPr>
          <w:sz w:val="22"/>
        </w:rPr>
        <w:t>] </w:t>
      </w:r>
      <w:r>
        <w:rPr>
          <w:rFonts w:ascii="Lucida Console"/>
          <w:sz w:val="20"/>
        </w:rPr>
        <w:t>)</w:t>
      </w:r>
    </w:p>
    <w:p>
      <w:pPr>
        <w:pStyle w:val="BodyText"/>
        <w:spacing w:before="109"/>
        <w:ind w:left="220"/>
      </w:pPr>
      <w:r>
        <w:rPr>
          <w:b/>
        </w:rPr>
        <w:t>Description: </w:t>
      </w:r>
      <w:r>
        <w:rPr/>
        <w:t>Computes the probability that values in a range are between two limits.</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x-range</w:t>
            </w:r>
          </w:p>
        </w:tc>
        <w:tc>
          <w:tcPr>
            <w:tcW w:w="1800" w:type="dxa"/>
          </w:tcPr>
          <w:p>
            <w:pPr>
              <w:pStyle w:val="TableParagraph"/>
              <w:ind w:left="112"/>
              <w:rPr>
                <w:sz w:val="22"/>
              </w:rPr>
            </w:pPr>
            <w:r>
              <w:rPr>
                <w:sz w:val="22"/>
              </w:rPr>
              <w:t>array, reference</w:t>
            </w:r>
          </w:p>
        </w:tc>
        <w:tc>
          <w:tcPr>
            <w:tcW w:w="5400" w:type="dxa"/>
          </w:tcPr>
          <w:p>
            <w:pPr>
              <w:pStyle w:val="TableParagraph"/>
              <w:ind w:left="113" w:right="680"/>
              <w:rPr>
                <w:sz w:val="22"/>
              </w:rPr>
            </w:pPr>
            <w:r>
              <w:rPr>
                <w:sz w:val="22"/>
              </w:rPr>
              <w:t>The set of numeric values of </w:t>
            </w:r>
            <w:r>
              <w:rPr>
                <w:rFonts w:ascii="Times New Roman"/>
                <w:i/>
                <w:sz w:val="22"/>
              </w:rPr>
              <w:t>x </w:t>
            </w:r>
            <w:r>
              <w:rPr>
                <w:sz w:val="22"/>
              </w:rPr>
              <w:t>with which there are associated probabilities.</w:t>
            </w:r>
          </w:p>
        </w:tc>
      </w:tr>
      <w:tr>
        <w:trPr>
          <w:trHeight w:val="623" w:hRule="atLeast"/>
        </w:trPr>
        <w:tc>
          <w:tcPr>
            <w:tcW w:w="1466" w:type="dxa"/>
          </w:tcPr>
          <w:p>
            <w:pPr>
              <w:pStyle w:val="TableParagraph"/>
              <w:spacing w:before="37"/>
              <w:ind w:right="269"/>
              <w:rPr>
                <w:rFonts w:ascii="Times New Roman"/>
                <w:i/>
                <w:sz w:val="22"/>
              </w:rPr>
            </w:pPr>
            <w:r>
              <w:rPr>
                <w:rFonts w:ascii="Times New Roman"/>
                <w:i/>
                <w:sz w:val="22"/>
              </w:rPr>
              <w:t>probability- </w:t>
            </w:r>
            <w:r>
              <w:rPr>
                <w:rFonts w:ascii="Times New Roman"/>
                <w:i/>
                <w:sz w:val="22"/>
              </w:rPr>
              <w:t>range</w:t>
            </w:r>
          </w:p>
        </w:tc>
        <w:tc>
          <w:tcPr>
            <w:tcW w:w="1800" w:type="dxa"/>
          </w:tcPr>
          <w:p>
            <w:pPr>
              <w:pStyle w:val="TableParagraph"/>
              <w:ind w:left="112"/>
              <w:rPr>
                <w:sz w:val="22"/>
              </w:rPr>
            </w:pPr>
            <w:r>
              <w:rPr>
                <w:sz w:val="22"/>
              </w:rPr>
              <w:t>array, reference</w:t>
            </w:r>
          </w:p>
        </w:tc>
        <w:tc>
          <w:tcPr>
            <w:tcW w:w="5400" w:type="dxa"/>
          </w:tcPr>
          <w:p>
            <w:pPr>
              <w:pStyle w:val="TableParagraph"/>
              <w:ind w:left="113" w:right="223"/>
              <w:rPr>
                <w:sz w:val="22"/>
              </w:rPr>
            </w:pPr>
            <w:r>
              <w:rPr>
                <w:sz w:val="22"/>
              </w:rPr>
              <w:t>A set of numeric probabilities associated with the values in </w:t>
            </w:r>
            <w:r>
              <w:rPr>
                <w:rFonts w:ascii="Times New Roman"/>
                <w:i/>
                <w:sz w:val="22"/>
              </w:rPr>
              <w:t>x-range</w:t>
            </w:r>
            <w:r>
              <w:rPr>
                <w:sz w:val="22"/>
              </w:rPr>
              <w:t>.</w:t>
            </w:r>
          </w:p>
        </w:tc>
      </w:tr>
      <w:tr>
        <w:trPr>
          <w:trHeight w:val="621" w:hRule="atLeast"/>
        </w:trPr>
        <w:tc>
          <w:tcPr>
            <w:tcW w:w="1466" w:type="dxa"/>
          </w:tcPr>
          <w:p>
            <w:pPr>
              <w:pStyle w:val="TableParagraph"/>
              <w:spacing w:before="37"/>
              <w:rPr>
                <w:rFonts w:ascii="Times New Roman"/>
                <w:i/>
                <w:sz w:val="22"/>
              </w:rPr>
            </w:pPr>
            <w:r>
              <w:rPr>
                <w:rFonts w:ascii="Times New Roman"/>
                <w:i/>
                <w:sz w:val="22"/>
              </w:rPr>
              <w:t>lower-limit</w:t>
            </w:r>
          </w:p>
        </w:tc>
        <w:tc>
          <w:tcPr>
            <w:tcW w:w="1800" w:type="dxa"/>
          </w:tcPr>
          <w:p>
            <w:pPr>
              <w:pStyle w:val="TableParagraph"/>
              <w:ind w:left="112"/>
              <w:rPr>
                <w:sz w:val="22"/>
              </w:rPr>
            </w:pPr>
            <w:r>
              <w:rPr>
                <w:sz w:val="22"/>
              </w:rPr>
              <w:t>number</w:t>
            </w:r>
          </w:p>
        </w:tc>
        <w:tc>
          <w:tcPr>
            <w:tcW w:w="5400" w:type="dxa"/>
          </w:tcPr>
          <w:p>
            <w:pPr>
              <w:pStyle w:val="TableParagraph"/>
              <w:ind w:left="113" w:right="131"/>
              <w:rPr>
                <w:sz w:val="22"/>
              </w:rPr>
            </w:pPr>
            <w:r>
              <w:rPr>
                <w:sz w:val="22"/>
              </w:rPr>
              <w:t>The lower bound on the value for which the probability is to be computed.</w:t>
            </w:r>
          </w:p>
        </w:tc>
      </w:tr>
      <w:tr>
        <w:trPr>
          <w:trHeight w:val="892" w:hRule="atLeast"/>
        </w:trPr>
        <w:tc>
          <w:tcPr>
            <w:tcW w:w="1466" w:type="dxa"/>
          </w:tcPr>
          <w:p>
            <w:pPr>
              <w:pStyle w:val="TableParagraph"/>
              <w:rPr>
                <w:rFonts w:ascii="Times New Roman"/>
                <w:i/>
                <w:sz w:val="22"/>
              </w:rPr>
            </w:pPr>
            <w:r>
              <w:rPr>
                <w:rFonts w:ascii="Times New Roman"/>
                <w:i/>
                <w:sz w:val="22"/>
              </w:rPr>
              <w:t>upper-limit</w:t>
            </w:r>
          </w:p>
        </w:tc>
        <w:tc>
          <w:tcPr>
            <w:tcW w:w="1800" w:type="dxa"/>
          </w:tcPr>
          <w:p>
            <w:pPr>
              <w:pStyle w:val="TableParagraph"/>
              <w:spacing w:before="43"/>
              <w:ind w:left="112"/>
              <w:rPr>
                <w:sz w:val="22"/>
              </w:rPr>
            </w:pPr>
            <w:r>
              <w:rPr>
                <w:sz w:val="22"/>
              </w:rPr>
              <w:t>number</w:t>
            </w:r>
          </w:p>
        </w:tc>
        <w:tc>
          <w:tcPr>
            <w:tcW w:w="5400" w:type="dxa"/>
          </w:tcPr>
          <w:p>
            <w:pPr>
              <w:pStyle w:val="TableParagraph"/>
              <w:spacing w:before="43"/>
              <w:ind w:left="113" w:right="124"/>
              <w:jc w:val="both"/>
              <w:rPr>
                <w:sz w:val="22"/>
              </w:rPr>
            </w:pPr>
            <w:r>
              <w:rPr>
                <w:sz w:val="22"/>
              </w:rPr>
              <w:t>The upper bound on the value for which the probability is to be computed. If omitted, the probability that values in </w:t>
            </w:r>
            <w:r>
              <w:rPr>
                <w:rFonts w:ascii="Times New Roman"/>
                <w:i/>
                <w:sz w:val="22"/>
              </w:rPr>
              <w:t>x-range </w:t>
            </w:r>
            <w:r>
              <w:rPr>
                <w:sz w:val="22"/>
              </w:rPr>
              <w:t>are equal to </w:t>
            </w:r>
            <w:r>
              <w:rPr>
                <w:rFonts w:ascii="Times New Roman"/>
                <w:i/>
                <w:sz w:val="22"/>
              </w:rPr>
              <w:t>lower-limit </w:t>
            </w:r>
            <w:r>
              <w:rPr>
                <w:sz w:val="22"/>
              </w:rPr>
              <w:t>is returned.</w:t>
            </w:r>
          </w:p>
        </w:tc>
      </w:tr>
    </w:tbl>
    <w:p>
      <w:pPr>
        <w:pStyle w:val="BodyText"/>
        <w:rPr>
          <w:b/>
        </w:rPr>
      </w:pPr>
    </w:p>
    <w:p>
      <w:pPr>
        <w:pStyle w:val="BodyText"/>
        <w:spacing w:before="7"/>
        <w:rPr>
          <w:b/>
          <w:sz w:val="19"/>
        </w:rPr>
      </w:pPr>
    </w:p>
    <w:p>
      <w:pPr>
        <w:spacing w:line="453" w:lineRule="auto" w:before="0"/>
        <w:ind w:left="220" w:right="1841" w:firstLine="0"/>
        <w:jc w:val="left"/>
        <w:rPr>
          <w:sz w:val="22"/>
        </w:rPr>
      </w:pPr>
      <w:r>
        <w:rPr>
          <w:b/>
          <w:sz w:val="22"/>
        </w:rPr>
        <w:t>Return Type and Value: </w:t>
      </w:r>
      <w:r>
        <w:rPr>
          <w:sz w:val="22"/>
        </w:rPr>
        <w:t>number – The probability that values in a range are between two limits.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sz w:val="22"/>
        </w:rPr>
        <w:t>Any value in </w:t>
      </w:r>
      <w:r>
        <w:rPr>
          <w:rFonts w:ascii="Times New Roman" w:hAnsi="Times New Roman"/>
          <w:i/>
          <w:sz w:val="22"/>
        </w:rPr>
        <w:t>probability-range </w:t>
      </w:r>
      <w:r>
        <w:rPr>
          <w:sz w:val="22"/>
        </w:rPr>
        <w:t>≤ 0,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sz w:val="22"/>
        </w:rPr>
        <w:t>The sum of the values in </w:t>
      </w:r>
      <w:r>
        <w:rPr>
          <w:rFonts w:ascii="Times New Roman" w:hAnsi="Times New Roman"/>
          <w:i/>
          <w:sz w:val="22"/>
        </w:rPr>
        <w:t>probability-range </w:t>
      </w:r>
      <w:r>
        <w:rPr>
          <w:sz w:val="22"/>
        </w:rPr>
        <w:t>&lt;&gt; 1, </w:t>
      </w:r>
      <w:r>
        <w:rPr>
          <w:rFonts w:ascii="Consolas" w:hAnsi="Consolas"/>
          <w:sz w:val="22"/>
        </w:rPr>
        <w:t>#NUM!</w:t>
      </w:r>
      <w:r>
        <w:rPr>
          <w:rFonts w:ascii="Consolas" w:hAnsi="Consolas"/>
          <w:spacing w:val="-78"/>
          <w:sz w:val="22"/>
        </w:rPr>
        <w:t> </w:t>
      </w:r>
      <w:r>
        <w:rPr>
          <w:sz w:val="22"/>
        </w:rPr>
        <w:t>is returned.</w:t>
      </w:r>
    </w:p>
    <w:p>
      <w:pPr>
        <w:pStyle w:val="ListParagraph"/>
        <w:numPr>
          <w:ilvl w:val="4"/>
          <w:numId w:val="66"/>
        </w:numPr>
        <w:tabs>
          <w:tab w:pos="940" w:val="left" w:leader="none"/>
          <w:tab w:pos="941" w:val="left" w:leader="none"/>
        </w:tabs>
        <w:spacing w:line="444" w:lineRule="auto" w:before="41" w:after="0"/>
        <w:ind w:left="220" w:right="418" w:firstLine="360"/>
        <w:jc w:val="left"/>
        <w:rPr>
          <w:sz w:val="22"/>
        </w:rPr>
      </w:pPr>
      <w:r>
        <w:rPr>
          <w:rFonts w:ascii="Times New Roman" w:hAnsi="Times New Roman"/>
          <w:i/>
          <w:sz w:val="22"/>
        </w:rPr>
        <w:t>x-range </w:t>
      </w:r>
      <w:r>
        <w:rPr>
          <w:sz w:val="22"/>
        </w:rPr>
        <w:t>and </w:t>
      </w:r>
      <w:r>
        <w:rPr>
          <w:rFonts w:ascii="Times New Roman" w:hAnsi="Times New Roman"/>
          <w:i/>
          <w:sz w:val="22"/>
        </w:rPr>
        <w:t>probability-range </w:t>
      </w:r>
      <w:r>
        <w:rPr>
          <w:sz w:val="22"/>
        </w:rPr>
        <w:t>contain a different number of data points, the return value is</w:t>
      </w:r>
      <w:r>
        <w:rPr>
          <w:spacing w:val="-35"/>
          <w:sz w:val="22"/>
        </w:rPr>
        <w:t> </w:t>
      </w:r>
      <w:r>
        <w:rPr>
          <w:sz w:val="22"/>
        </w:rPr>
        <w:t>unspecified. [</w:t>
      </w:r>
      <w:r>
        <w:rPr>
          <w:i/>
          <w:sz w:val="22"/>
        </w:rPr>
        <w:t>Example</w:t>
      </w:r>
      <w:r>
        <w:rPr>
          <w:sz w:val="22"/>
        </w:rPr>
        <w:t>:</w:t>
      </w:r>
    </w:p>
    <w:p>
      <w:pPr>
        <w:pStyle w:val="BodyText"/>
        <w:spacing w:before="132"/>
        <w:ind w:left="220"/>
        <w:rPr>
          <w:rFonts w:ascii="Consolas"/>
        </w:rPr>
      </w:pPr>
      <w:r>
        <w:rPr>
          <w:rFonts w:ascii="Consolas"/>
        </w:rPr>
        <w:t>PROB({0,1,2,3},{0.2,0.3,0.1,0.4},2)</w:t>
      </w:r>
      <w:r>
        <w:rPr>
          <w:rFonts w:ascii="Consolas"/>
          <w:spacing w:val="-65"/>
        </w:rPr>
        <w:t> </w:t>
      </w:r>
      <w:r>
        <w:rPr/>
        <w:t>results in </w:t>
      </w:r>
      <w:r>
        <w:rPr>
          <w:rFonts w:ascii="Consolas"/>
        </w:rPr>
        <w:t>0.1</w:t>
      </w:r>
    </w:p>
    <w:p>
      <w:pPr>
        <w:pStyle w:val="BodyText"/>
        <w:spacing w:before="39"/>
        <w:ind w:left="220"/>
        <w:rPr>
          <w:rFonts w:ascii="Consolas"/>
        </w:rPr>
      </w:pPr>
      <w:r>
        <w:rPr>
          <w:rFonts w:ascii="Consolas"/>
        </w:rPr>
        <w:t>PROB({0,1,2,3},{0.2,0.3,0.1,0.4},1,4)</w:t>
      </w:r>
      <w:r>
        <w:rPr>
          <w:rFonts w:ascii="Consolas"/>
          <w:spacing w:val="-64"/>
        </w:rPr>
        <w:t> </w:t>
      </w:r>
      <w:r>
        <w:rPr/>
        <w:t>results in </w:t>
      </w:r>
      <w:r>
        <w:rPr>
          <w:rFonts w:ascii="Consolas"/>
        </w:rPr>
        <w:t>0.8</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61 PRODUCT" w:id="2175"/>
      <w:bookmarkEnd w:id="2175"/>
      <w:r>
        <w:rPr/>
      </w:r>
      <w:bookmarkStart w:name="_bookmark724" w:id="2176"/>
      <w:bookmarkEnd w:id="2176"/>
      <w:r>
        <w:rPr/>
      </w:r>
      <w:bookmarkStart w:name="_bookmark724" w:id="2177"/>
      <w:bookmarkEnd w:id="2177"/>
      <w:r>
        <w:rPr>
          <w:color w:val="4F81BC"/>
        </w:rPr>
        <w:t>PRO</w:t>
      </w:r>
      <w:r>
        <w:rPr>
          <w:color w:val="4F81BC"/>
        </w:rPr>
        <w:t>DUCT</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PRODUCT ( </w:t>
      </w:r>
      <w:r>
        <w:rPr>
          <w:i/>
          <w:sz w:val="22"/>
        </w:rPr>
        <w:t>argument-list </w:t>
      </w:r>
      <w:r>
        <w:rPr>
          <w:rFonts w:ascii="Lucida Console"/>
          <w:sz w:val="20"/>
        </w:rPr>
        <w:t>)</w:t>
      </w:r>
    </w:p>
    <w:p>
      <w:pPr>
        <w:spacing w:before="108"/>
        <w:ind w:left="220" w:right="0" w:firstLine="0"/>
        <w:jc w:val="left"/>
        <w:rPr>
          <w:sz w:val="22"/>
        </w:rPr>
      </w:pPr>
      <w:r>
        <w:rPr>
          <w:b/>
          <w:sz w:val="22"/>
        </w:rPr>
        <w:t>Description: </w:t>
      </w:r>
      <w:r>
        <w:rPr>
          <w:sz w:val="22"/>
        </w:rPr>
        <w:t>Multiplies the numeric values of </w:t>
      </w:r>
      <w:r>
        <w:rPr>
          <w:rFonts w:ascii="Times New Roman"/>
          <w:i/>
          <w:sz w:val="22"/>
        </w:rPr>
        <w:t>argument</w:t>
      </w:r>
      <w:r>
        <w:rPr>
          <w:sz w:val="22"/>
        </w:rPr>
        <w:t>s in </w:t>
      </w:r>
      <w:r>
        <w:rPr>
          <w:rFonts w:ascii="Times New Roman"/>
          <w:i/>
          <w:sz w:val="22"/>
        </w:rPr>
        <w:t>argument-list</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text, array, reference</w:t>
            </w:r>
          </w:p>
        </w:tc>
        <w:tc>
          <w:tcPr>
            <w:tcW w:w="5400" w:type="dxa"/>
          </w:tcPr>
          <w:p>
            <w:pPr>
              <w:pStyle w:val="TableParagraph"/>
              <w:ind w:left="113" w:right="138"/>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 to be multiplied. Arguments that are numbers, logical values, or text representations of numbers shall be</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61"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478"/>
              <w:rPr>
                <w:sz w:val="22"/>
              </w:rPr>
            </w:pPr>
            <w:r>
              <w:rPr>
                <w:sz w:val="22"/>
              </w:rPr>
              <w:t>counted. If an argument is an array or reference, only numbers in that array or reference shall be counted. Empty cells, logical values, and text in the array or reference shall be ignored.</w:t>
            </w:r>
          </w:p>
        </w:tc>
      </w:tr>
    </w:tbl>
    <w:p>
      <w:pPr>
        <w:pStyle w:val="BodyText"/>
        <w:rPr>
          <w:b/>
          <w:sz w:val="20"/>
        </w:rPr>
      </w:pPr>
    </w:p>
    <w:p>
      <w:pPr>
        <w:pStyle w:val="BodyText"/>
        <w:rPr>
          <w:b/>
          <w:sz w:val="17"/>
        </w:rPr>
      </w:pPr>
    </w:p>
    <w:p>
      <w:pPr>
        <w:spacing w:line="453" w:lineRule="auto" w:before="56"/>
        <w:ind w:left="220" w:right="3483" w:firstLine="0"/>
        <w:jc w:val="left"/>
        <w:rPr>
          <w:sz w:val="22"/>
        </w:rPr>
      </w:pPr>
      <w:r>
        <w:rPr>
          <w:b/>
          <w:sz w:val="22"/>
        </w:rPr>
        <w:t>Return Type and Value: </w:t>
      </w:r>
      <w:r>
        <w:rPr>
          <w:sz w:val="22"/>
        </w:rPr>
        <w:t>number – The product of the values of its arguments. [</w:t>
      </w:r>
      <w:r>
        <w:rPr>
          <w:i/>
          <w:sz w:val="22"/>
        </w:rPr>
        <w:t>Example</w:t>
      </w:r>
      <w:r>
        <w:rPr>
          <w:sz w:val="22"/>
        </w:rPr>
        <w:t>:</w:t>
      </w:r>
    </w:p>
    <w:p>
      <w:pPr>
        <w:pStyle w:val="BodyText"/>
        <w:spacing w:line="276" w:lineRule="auto" w:before="108"/>
        <w:ind w:left="220" w:right="6756"/>
        <w:rPr>
          <w:rFonts w:ascii="Consolas"/>
        </w:rPr>
      </w:pPr>
      <w:r>
        <w:rPr>
          <w:rFonts w:ascii="Consolas"/>
        </w:rPr>
        <w:t>PRODUCT(1) </w:t>
      </w:r>
      <w:r>
        <w:rPr/>
        <w:t>results in </w:t>
      </w:r>
      <w:r>
        <w:rPr>
          <w:rFonts w:ascii="Consolas"/>
        </w:rPr>
        <w:t>1 PRODUCT(1,2,3,4,5) </w:t>
      </w:r>
      <w:r>
        <w:rPr/>
        <w:t>results in </w:t>
      </w:r>
      <w:r>
        <w:rPr>
          <w:rFonts w:ascii="Consolas"/>
          <w:spacing w:val="-2"/>
        </w:rPr>
        <w:t>120 </w:t>
      </w:r>
      <w:r>
        <w:rPr>
          <w:rFonts w:ascii="Consolas"/>
        </w:rPr>
        <w:t>PRODUCT({1,2;3,4}) </w:t>
      </w:r>
      <w:r>
        <w:rPr/>
        <w:t>results in </w:t>
      </w:r>
      <w:r>
        <w:rPr>
          <w:rFonts w:ascii="Consolas"/>
        </w:rPr>
        <w:t>24 PRODUCT({2,3},4,"5")</w:t>
      </w:r>
      <w:r>
        <w:rPr>
          <w:rFonts w:ascii="Consolas"/>
          <w:spacing w:val="-83"/>
        </w:rPr>
        <w:t> </w:t>
      </w:r>
      <w:r>
        <w:rPr/>
        <w:t>results in </w:t>
      </w:r>
      <w:r>
        <w:rPr>
          <w:rFonts w:ascii="Consolas"/>
        </w:rPr>
        <w:t>120</w:t>
      </w:r>
    </w:p>
    <w:p>
      <w:pPr>
        <w:pStyle w:val="BodyText"/>
        <w:spacing w:before="6"/>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62 PROPER" w:id="2178"/>
      <w:bookmarkEnd w:id="2178"/>
      <w:r>
        <w:rPr/>
      </w:r>
      <w:bookmarkStart w:name="_bookmark725" w:id="2179"/>
      <w:bookmarkEnd w:id="2179"/>
      <w:r>
        <w:rPr/>
      </w:r>
      <w:bookmarkStart w:name="_bookmark725" w:id="2180"/>
      <w:bookmarkEnd w:id="2180"/>
      <w:r>
        <w:rPr>
          <w:color w:val="4F81BC"/>
        </w:rPr>
        <w:t>PROP</w:t>
      </w:r>
      <w:r>
        <w:rPr>
          <w:color w:val="4F81BC"/>
        </w:rPr>
        <w:t>ER</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PROPER ( </w:t>
      </w:r>
      <w:r>
        <w:rPr>
          <w:i/>
          <w:sz w:val="22"/>
        </w:rPr>
        <w:t>string </w:t>
      </w:r>
      <w:r>
        <w:rPr>
          <w:rFonts w:ascii="Lucida Console"/>
          <w:sz w:val="20"/>
        </w:rPr>
        <w:t>)</w:t>
      </w:r>
    </w:p>
    <w:p>
      <w:pPr>
        <w:spacing w:before="106"/>
        <w:ind w:left="220" w:right="0" w:firstLine="0"/>
        <w:jc w:val="left"/>
        <w:rPr>
          <w:sz w:val="22"/>
        </w:rPr>
      </w:pPr>
      <w:r>
        <w:rPr>
          <w:b/>
          <w:sz w:val="22"/>
        </w:rPr>
        <w:t>Description: </w:t>
      </w:r>
      <w:r>
        <w:rPr>
          <w:sz w:val="22"/>
        </w:rPr>
        <w:t>Makes a lowercase version of </w:t>
      </w:r>
      <w:r>
        <w:rPr>
          <w:rFonts w:ascii="Times New Roman"/>
          <w:i/>
          <w:sz w:val="22"/>
        </w:rPr>
        <w:t>string </w:t>
      </w:r>
      <w:r>
        <w:rPr>
          <w:sz w:val="22"/>
        </w:rPr>
        <w:t>except that the first letter in </w:t>
      </w:r>
      <w:r>
        <w:rPr>
          <w:rFonts w:ascii="Times New Roman"/>
          <w:i/>
          <w:sz w:val="22"/>
        </w:rPr>
        <w:t>string </w:t>
      </w:r>
      <w:r>
        <w:rPr>
          <w:sz w:val="22"/>
        </w:rPr>
        <w:t>and any other letters in</w:t>
      </w:r>
    </w:p>
    <w:p>
      <w:pPr>
        <w:pStyle w:val="BodyText"/>
        <w:spacing w:before="41"/>
        <w:ind w:left="220"/>
      </w:pPr>
      <w:r>
        <w:rPr>
          <w:rFonts w:ascii="Times New Roman"/>
          <w:i/>
        </w:rPr>
        <w:t>string </w:t>
      </w:r>
      <w:r>
        <w:rPr/>
        <w:t>that immediately follow a character that is not a letter, are converted to uppercase.</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 reference</w:t>
            </w:r>
          </w:p>
        </w:tc>
        <w:tc>
          <w:tcPr>
            <w:tcW w:w="5400" w:type="dxa"/>
          </w:tcPr>
          <w:p>
            <w:pPr>
              <w:pStyle w:val="TableParagraph"/>
              <w:ind w:left="113"/>
              <w:rPr>
                <w:sz w:val="22"/>
              </w:rPr>
            </w:pPr>
            <w:r>
              <w:rPr>
                <w:sz w:val="22"/>
              </w:rPr>
              <w:t>Designates the string to be converted.</w:t>
            </w:r>
          </w:p>
        </w:tc>
      </w:tr>
    </w:tbl>
    <w:p>
      <w:pPr>
        <w:pStyle w:val="BodyText"/>
        <w:rPr>
          <w:b/>
        </w:rPr>
      </w:pPr>
    </w:p>
    <w:p>
      <w:pPr>
        <w:pStyle w:val="BodyText"/>
        <w:spacing w:before="5"/>
        <w:rPr>
          <w:b/>
          <w:sz w:val="19"/>
        </w:rPr>
      </w:pPr>
    </w:p>
    <w:p>
      <w:pPr>
        <w:pStyle w:val="BodyText"/>
        <w:spacing w:line="278" w:lineRule="auto"/>
        <w:ind w:left="220" w:right="327"/>
      </w:pPr>
      <w:r>
        <w:rPr>
          <w:b/>
        </w:rPr>
        <w:t>Return Type and Value: </w:t>
      </w:r>
      <w:r>
        <w:rPr/>
        <w:t>text – A version of </w:t>
      </w:r>
      <w:r>
        <w:rPr>
          <w:rFonts w:ascii="Times New Roman" w:hAnsi="Times New Roman"/>
          <w:i/>
        </w:rPr>
        <w:t>string </w:t>
      </w:r>
      <w:r>
        <w:rPr/>
        <w:t>such that the first letter in </w:t>
      </w:r>
      <w:r>
        <w:rPr>
          <w:rFonts w:ascii="Times New Roman" w:hAnsi="Times New Roman"/>
          <w:i/>
        </w:rPr>
        <w:t>string </w:t>
      </w:r>
      <w:r>
        <w:rPr/>
        <w:t>and any other letters in </w:t>
      </w:r>
      <w:r>
        <w:rPr>
          <w:rFonts w:ascii="Times New Roman" w:hAnsi="Times New Roman"/>
          <w:i/>
        </w:rPr>
        <w:t>string </w:t>
      </w:r>
      <w:r>
        <w:rPr/>
        <w:t>that immediately follow a character that is not a letter, are converted to uppercase. All other letters are converted to lowercase, and all other non-letters are unchanged.</w:t>
      </w:r>
    </w:p>
    <w:p>
      <w:pPr>
        <w:spacing w:before="193"/>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PROPER("12aBC d123aD#$%sd^") </w:t>
      </w:r>
      <w:r>
        <w:rPr/>
        <w:t>results in </w:t>
      </w:r>
      <w:r>
        <w:rPr>
          <w:rFonts w:ascii="Consolas"/>
        </w:rPr>
        <w:t>12Abc</w:t>
      </w:r>
      <w:r>
        <w:rPr>
          <w:rFonts w:ascii="Consolas"/>
          <w:spacing w:val="-71"/>
        </w:rPr>
        <w:t> </w:t>
      </w:r>
      <w:r>
        <w:rPr>
          <w:rFonts w:ascii="Consolas"/>
        </w:rPr>
        <w:t>D123Ad#$%Sd^</w:t>
      </w:r>
    </w:p>
    <w:p>
      <w:pPr>
        <w:pStyle w:val="BodyText"/>
        <w:spacing w:before="41"/>
        <w:ind w:left="220"/>
        <w:rPr>
          <w:rFonts w:ascii="Consolas"/>
        </w:rPr>
      </w:pPr>
      <w:r>
        <w:rPr>
          <w:rFonts w:ascii="Consolas"/>
        </w:rPr>
        <w:t>PROPER(A10) </w:t>
      </w:r>
      <w:r>
        <w:rPr/>
        <w:t>results in </w:t>
      </w:r>
      <w:r>
        <w:rPr>
          <w:rFonts w:ascii="Consolas"/>
        </w:rPr>
        <w:t>12Abc</w:t>
      </w:r>
      <w:r>
        <w:rPr>
          <w:rFonts w:ascii="Consolas"/>
          <w:spacing w:val="-86"/>
        </w:rPr>
        <w:t> </w:t>
      </w:r>
      <w:r>
        <w:rPr>
          <w:rFonts w:ascii="Consolas"/>
        </w:rPr>
        <w:t>D123Ad#$%Sd^</w:t>
      </w:r>
      <w:r>
        <w:rPr/>
        <w:t>, when A10 contains </w:t>
      </w:r>
      <w:r>
        <w:rPr>
          <w:rFonts w:ascii="Consolas"/>
        </w:rPr>
        <w:t>12aBC d123aD#$%sd^</w:t>
      </w:r>
    </w:p>
    <w:p>
      <w:pPr>
        <w:pStyle w:val="BodyText"/>
        <w:rPr>
          <w:rFonts w:ascii="Consolas"/>
          <w:sz w:val="3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263 PV" w:id="2181"/>
      <w:bookmarkEnd w:id="2181"/>
      <w:r>
        <w:rPr/>
      </w:r>
      <w:bookmarkStart w:name="_bookmark726" w:id="2182"/>
      <w:bookmarkEnd w:id="2182"/>
      <w:r>
        <w:rPr/>
      </w:r>
      <w:bookmarkStart w:name="_bookmark726" w:id="2183"/>
      <w:bookmarkEnd w:id="2183"/>
      <w:r>
        <w:rPr>
          <w:color w:val="4F81BC"/>
        </w:rPr>
        <w:t>PV</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PV ( </w:t>
      </w:r>
      <w:r>
        <w:rPr>
          <w:i/>
          <w:sz w:val="22"/>
        </w:rPr>
        <w:t>rate </w:t>
      </w:r>
      <w:r>
        <w:rPr>
          <w:rFonts w:ascii="Lucida Console"/>
          <w:sz w:val="20"/>
        </w:rPr>
        <w:t>, </w:t>
      </w:r>
      <w:r>
        <w:rPr>
          <w:i/>
          <w:sz w:val="22"/>
        </w:rPr>
        <w:t>nper  </w:t>
      </w:r>
      <w:r>
        <w:rPr>
          <w:rFonts w:ascii="Lucida Console"/>
          <w:sz w:val="20"/>
        </w:rPr>
        <w:t>, </w:t>
      </w:r>
      <w:r>
        <w:rPr>
          <w:i/>
          <w:sz w:val="22"/>
        </w:rPr>
        <w:t>pmt </w:t>
      </w:r>
      <w:r>
        <w:rPr>
          <w:sz w:val="22"/>
        </w:rPr>
        <w:t>[ </w:t>
      </w:r>
      <w:r>
        <w:rPr>
          <w:rFonts w:ascii="Lucida Console"/>
          <w:sz w:val="20"/>
        </w:rPr>
        <w:t>, </w:t>
      </w:r>
      <w:r>
        <w:rPr>
          <w:sz w:val="22"/>
        </w:rPr>
        <w:t>[ </w:t>
      </w:r>
      <w:r>
        <w:rPr>
          <w:i/>
          <w:sz w:val="22"/>
        </w:rPr>
        <w:t>fv </w:t>
      </w:r>
      <w:r>
        <w:rPr>
          <w:sz w:val="22"/>
        </w:rPr>
        <w:t>] [ </w:t>
      </w:r>
      <w:r>
        <w:rPr>
          <w:rFonts w:ascii="Lucida Console"/>
          <w:sz w:val="20"/>
        </w:rPr>
        <w:t>,</w:t>
      </w:r>
      <w:r>
        <w:rPr>
          <w:rFonts w:ascii="Lucida Console"/>
          <w:spacing w:val="-71"/>
          <w:sz w:val="20"/>
        </w:rPr>
        <w:t> </w:t>
      </w:r>
      <w:r>
        <w:rPr>
          <w:sz w:val="22"/>
        </w:rPr>
        <w:t>[ </w:t>
      </w:r>
      <w:r>
        <w:rPr>
          <w:i/>
          <w:sz w:val="22"/>
        </w:rPr>
        <w:t>type  </w:t>
      </w:r>
      <w:r>
        <w:rPr>
          <w:sz w:val="22"/>
        </w:rPr>
        <w:t>] ] ] </w:t>
      </w:r>
      <w:r>
        <w:rPr>
          <w:rFonts w:ascii="Lucida Console"/>
          <w:sz w:val="20"/>
        </w:rPr>
        <w:t>)</w:t>
      </w:r>
    </w:p>
    <w:p>
      <w:pPr>
        <w:pStyle w:val="BodyText"/>
        <w:spacing w:line="278" w:lineRule="auto" w:before="106"/>
        <w:ind w:left="220" w:right="531"/>
      </w:pPr>
      <w:r>
        <w:rPr>
          <w:b/>
        </w:rPr>
        <w:t>Description</w:t>
      </w:r>
      <w:r>
        <w:rPr/>
        <w:t>: Computes the present value of an investment. (The present value is the total amount that a series of future payments is worth now.)</w:t>
      </w:r>
    </w:p>
    <w:p>
      <w:pPr>
        <w:pStyle w:val="Heading4"/>
        <w:spacing w:before="198"/>
        <w:rPr>
          <w:b w:val="0"/>
        </w:rPr>
      </w:pPr>
      <w:r>
        <w:rPr/>
        <w:t>Mathematical Formula</w:t>
      </w:r>
      <w:r>
        <w:rPr>
          <w:b w:val="0"/>
        </w:rPr>
        <w:t>:</w:t>
      </w:r>
    </w:p>
    <w:p>
      <w:pPr>
        <w:pStyle w:val="BodyText"/>
        <w:spacing w:before="6"/>
        <w:rPr>
          <w:sz w:val="12"/>
        </w:rPr>
      </w:pPr>
    </w:p>
    <w:p>
      <w:pPr>
        <w:spacing w:after="0"/>
        <w:rPr>
          <w:sz w:val="12"/>
        </w:rPr>
        <w:sectPr>
          <w:pgSz w:w="12240" w:h="15840"/>
          <w:pgMar w:header="761" w:footer="746" w:top="1340" w:bottom="940" w:left="860" w:right="700"/>
        </w:sectPr>
      </w:pPr>
    </w:p>
    <w:p>
      <w:pPr>
        <w:spacing w:before="87"/>
        <w:ind w:left="220" w:right="0" w:firstLine="0"/>
        <w:jc w:val="left"/>
        <w:rPr>
          <w:sz w:val="22"/>
        </w:rPr>
      </w:pPr>
      <w:r>
        <w:rPr>
          <w:sz w:val="22"/>
        </w:rPr>
        <w:t>If </w:t>
      </w:r>
      <w:r>
        <w:rPr>
          <w:rFonts w:ascii="Times New Roman"/>
          <w:i/>
          <w:sz w:val="22"/>
        </w:rPr>
        <w:t>rate </w:t>
      </w:r>
      <w:r>
        <w:rPr>
          <w:sz w:val="22"/>
        </w:rPr>
        <w:t>is not 0, then:</w:t>
      </w:r>
    </w:p>
    <w:p>
      <w:pPr>
        <w:pStyle w:val="BodyText"/>
        <w:spacing w:before="8"/>
        <w:rPr>
          <w:sz w:val="32"/>
        </w:rPr>
      </w:pPr>
    </w:p>
    <w:p>
      <w:pPr>
        <w:pStyle w:val="BodyText"/>
        <w:ind w:left="220"/>
        <w:rPr>
          <w:rFonts w:ascii="Cambria Math" w:hAnsi="Cambria Math" w:eastAsia="Cambria Math"/>
        </w:rPr>
      </w:pPr>
      <w:r>
        <w:rPr>
          <w:rFonts w:ascii="Cambria Math" w:hAnsi="Cambria Math" w:eastAsia="Cambria Math"/>
        </w:rPr>
        <w:t>𝑝𝑣 ∗ </w:t>
      </w:r>
      <w:r>
        <w:rPr>
          <w:rFonts w:ascii="Cambria Math" w:hAnsi="Cambria Math" w:eastAsia="Cambria Math"/>
          <w:position w:val="1"/>
        </w:rPr>
        <w:t>(</w:t>
      </w:r>
      <w:r>
        <w:rPr>
          <w:rFonts w:ascii="Cambria Math" w:hAnsi="Cambria Math" w:eastAsia="Cambria Math"/>
        </w:rPr>
        <w:t>1 + 𝑟𝑎𝑡𝑒</w:t>
      </w:r>
      <w:r>
        <w:rPr>
          <w:rFonts w:ascii="Cambria Math" w:hAnsi="Cambria Math" w:eastAsia="Cambria Math"/>
          <w:position w:val="1"/>
        </w:rPr>
        <w:t>)</w:t>
      </w:r>
      <w:r>
        <w:rPr>
          <w:rFonts w:ascii="Cambria Math" w:hAnsi="Cambria Math" w:eastAsia="Cambria Math"/>
          <w:position w:val="1"/>
          <w:vertAlign w:val="superscript"/>
        </w:rPr>
        <w:t>𝑛𝑝𝑒𝑟</w:t>
      </w:r>
      <w:r>
        <w:rPr>
          <w:rFonts w:ascii="Cambria Math" w:hAnsi="Cambria Math" w:eastAsia="Cambria Math"/>
          <w:position w:val="1"/>
          <w:vertAlign w:val="baseline"/>
        </w:rPr>
        <w:t> </w:t>
      </w:r>
      <w:r>
        <w:rPr>
          <w:rFonts w:ascii="Cambria Math" w:hAnsi="Cambria Math" w:eastAsia="Cambria Math"/>
          <w:vertAlign w:val="baseline"/>
        </w:rPr>
        <w:t>+ 𝑝𝑚𝑡</w:t>
      </w:r>
      <w:r>
        <w:rPr>
          <w:rFonts w:ascii="Cambria Math" w:hAnsi="Cambria Math" w:eastAsia="Cambria Math"/>
          <w:position w:val="1"/>
          <w:vertAlign w:val="baseline"/>
        </w:rPr>
        <w:t>(</w:t>
      </w:r>
      <w:r>
        <w:rPr>
          <w:rFonts w:ascii="Cambria Math" w:hAnsi="Cambria Math" w:eastAsia="Cambria Math"/>
          <w:vertAlign w:val="baseline"/>
        </w:rPr>
        <w:t>1 + 𝑟𝑎𝑡𝑒 ∗ 𝑡𝑦𝑝𝑒</w:t>
      </w:r>
      <w:r>
        <w:rPr>
          <w:rFonts w:ascii="Cambria Math" w:hAnsi="Cambria Math" w:eastAsia="Cambria Math"/>
          <w:position w:val="1"/>
          <w:vertAlign w:val="baseline"/>
        </w:rPr>
        <w:t>) </w:t>
      </w:r>
      <w:r>
        <w:rPr>
          <w:rFonts w:ascii="Cambria Math" w:hAnsi="Cambria Math" w:eastAsia="Cambria Math"/>
          <w:vertAlign w:val="baseline"/>
        </w:rPr>
        <w:t>∗ </w:t>
      </w:r>
      <w:r>
        <w:rPr>
          <w:rFonts w:ascii="Cambria Math" w:hAnsi="Cambria Math" w:eastAsia="Cambria Math"/>
          <w:w w:val="110"/>
          <w:vertAlign w:val="baseline"/>
        </w:rPr>
        <w:t>(</w:t>
      </w:r>
    </w:p>
    <w:p>
      <w:pPr>
        <w:pStyle w:val="BodyText"/>
        <w:rPr>
          <w:rFonts w:ascii="Cambria Math"/>
          <w:sz w:val="26"/>
        </w:rPr>
      </w:pPr>
      <w:r>
        <w:rPr/>
        <w:br w:type="column"/>
      </w:r>
      <w:r>
        <w:rPr>
          <w:rFonts w:ascii="Cambria Math"/>
          <w:sz w:val="26"/>
        </w:rPr>
      </w:r>
    </w:p>
    <w:p>
      <w:pPr>
        <w:pStyle w:val="BodyText"/>
        <w:spacing w:before="9"/>
        <w:rPr>
          <w:rFonts w:ascii="Cambria Math"/>
          <w:sz w:val="23"/>
        </w:rPr>
      </w:pPr>
    </w:p>
    <w:p>
      <w:pPr>
        <w:pStyle w:val="BodyText"/>
        <w:spacing w:before="1"/>
        <w:ind w:left="-40"/>
        <w:jc w:val="center"/>
        <w:rPr>
          <w:rFonts w:ascii="Cambria Math" w:hAnsi="Cambria Math" w:eastAsia="Cambria Math"/>
        </w:rPr>
      </w:pPr>
      <w:r>
        <w:rPr>
          <w:rFonts w:ascii="Cambria Math" w:hAnsi="Cambria Math" w:eastAsia="Cambria Math"/>
          <w:position w:val="1"/>
        </w:rPr>
        <w:t>(</w:t>
      </w:r>
      <w:r>
        <w:rPr>
          <w:rFonts w:ascii="Cambria Math" w:hAnsi="Cambria Math" w:eastAsia="Cambria Math"/>
        </w:rPr>
        <w:t>1 + 𝑟𝑎𝑡𝑒</w:t>
      </w:r>
      <w:r>
        <w:rPr>
          <w:rFonts w:ascii="Cambria Math" w:hAnsi="Cambria Math" w:eastAsia="Cambria Math"/>
          <w:position w:val="1"/>
        </w:rPr>
        <w:t>)</w:t>
      </w:r>
      <w:r>
        <w:rPr>
          <w:rFonts w:ascii="Cambria Math" w:hAnsi="Cambria Math" w:eastAsia="Cambria Math"/>
          <w:position w:val="1"/>
          <w:vertAlign w:val="superscript"/>
        </w:rPr>
        <w:t>𝑛𝑝𝑒𝑟</w:t>
      </w:r>
      <w:r>
        <w:rPr>
          <w:rFonts w:ascii="Cambria Math" w:hAnsi="Cambria Math" w:eastAsia="Cambria Math"/>
          <w:position w:val="1"/>
          <w:vertAlign w:val="baseline"/>
        </w:rPr>
        <w:t> </w:t>
      </w:r>
      <w:r>
        <w:rPr>
          <w:rFonts w:ascii="Cambria Math" w:hAnsi="Cambria Math" w:eastAsia="Cambria Math"/>
          <w:vertAlign w:val="baseline"/>
        </w:rPr>
        <w:t>−</w:t>
      </w:r>
      <w:r>
        <w:rPr>
          <w:rFonts w:ascii="Cambria Math" w:hAnsi="Cambria Math" w:eastAsia="Cambria Math"/>
          <w:spacing w:val="13"/>
          <w:vertAlign w:val="baseline"/>
        </w:rPr>
        <w:t> </w:t>
      </w:r>
      <w:r>
        <w:rPr>
          <w:rFonts w:ascii="Cambria Math" w:hAnsi="Cambria Math" w:eastAsia="Cambria Math"/>
          <w:vertAlign w:val="baseline"/>
        </w:rPr>
        <w:t>1</w:t>
      </w:r>
    </w:p>
    <w:p>
      <w:pPr>
        <w:pStyle w:val="BodyText"/>
        <w:spacing w:before="59"/>
        <w:ind w:left="611" w:right="654"/>
        <w:jc w:val="center"/>
        <w:rPr>
          <w:rFonts w:ascii="Cambria Math" w:eastAsia="Cambria Math"/>
        </w:rPr>
      </w:pPr>
      <w:r>
        <w:rPr/>
        <w:pict>
          <v:line style="position:absolute;mso-position-horizontal-relative:page;mso-position-vertical-relative:paragraph;z-index:251850752" from="277.850006pt,2.842151pt" to="366.314006pt,2.842151pt" stroked="true" strokeweight=".72pt" strokecolor="#000000">
            <v:stroke dashstyle="solid"/>
            <w10:wrap type="none"/>
          </v:line>
        </w:pict>
      </w:r>
      <w:r>
        <w:rPr>
          <w:rFonts w:ascii="Cambria Math" w:eastAsia="Cambria Math"/>
        </w:rPr>
        <w:t>𝑟𝑎𝑡𝑒</w:t>
      </w:r>
    </w:p>
    <w:p>
      <w:pPr>
        <w:pStyle w:val="BodyText"/>
        <w:rPr>
          <w:rFonts w:ascii="Cambria Math"/>
        </w:rPr>
      </w:pPr>
      <w:r>
        <w:rPr/>
        <w:br w:type="column"/>
      </w:r>
      <w:r>
        <w:rPr>
          <w:rFonts w:ascii="Cambria Math"/>
        </w:rPr>
      </w:r>
    </w:p>
    <w:p>
      <w:pPr>
        <w:pStyle w:val="BodyText"/>
        <w:rPr>
          <w:rFonts w:ascii="Cambria Math"/>
        </w:rPr>
      </w:pPr>
    </w:p>
    <w:p>
      <w:pPr>
        <w:pStyle w:val="BodyText"/>
        <w:spacing w:before="2"/>
        <w:rPr>
          <w:rFonts w:ascii="Cambria Math"/>
          <w:sz w:val="21"/>
        </w:rPr>
      </w:pPr>
    </w:p>
    <w:p>
      <w:pPr>
        <w:pStyle w:val="BodyText"/>
        <w:spacing w:before="1"/>
        <w:ind w:left="-40"/>
        <w:rPr>
          <w:rFonts w:ascii="Cambria Math" w:eastAsia="Cambria Math"/>
        </w:rPr>
      </w:pPr>
      <w:r>
        <w:rPr>
          <w:rFonts w:ascii="Cambria Math" w:eastAsia="Cambria Math"/>
          <w:w w:val="115"/>
        </w:rPr>
        <w:t>) </w:t>
      </w:r>
      <w:r>
        <w:rPr>
          <w:rFonts w:ascii="Cambria Math" w:eastAsia="Cambria Math"/>
          <w:w w:val="105"/>
        </w:rPr>
        <w:t>+ 𝑓𝑣 = 0</w:t>
      </w:r>
    </w:p>
    <w:p>
      <w:pPr>
        <w:spacing w:after="0"/>
        <w:rPr>
          <w:rFonts w:ascii="Cambria Math" w:eastAsia="Cambria Math"/>
        </w:rPr>
        <w:sectPr>
          <w:type w:val="continuous"/>
          <w:pgSz w:w="12240" w:h="15840"/>
          <w:pgMar w:top="1340" w:bottom="940" w:left="860" w:right="700"/>
          <w:cols w:num="3" w:equalWidth="0">
            <w:col w:w="4697" w:space="40"/>
            <w:col w:w="1730" w:space="39"/>
            <w:col w:w="4174"/>
          </w:cols>
        </w:sectPr>
      </w:pPr>
    </w:p>
    <w:p>
      <w:pPr>
        <w:pStyle w:val="BodyText"/>
        <w:spacing w:before="9"/>
        <w:rPr>
          <w:rFonts w:ascii="Cambria Math"/>
          <w:sz w:val="14"/>
        </w:rPr>
      </w:pPr>
      <w:r>
        <w:rPr/>
        <w:pict>
          <v:shape style="position:absolute;margin-left:289.25pt;margin-top:662.73999pt;width:222.8pt;height:50.3pt;mso-position-horizontal-relative:page;mso-position-vertical-relative:page;z-index:2518517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5"/>
                    <w:gridCol w:w="2986"/>
                  </w:tblGrid>
                  <w:tr>
                    <w:trPr>
                      <w:trHeight w:val="354" w:hRule="atLeast"/>
                    </w:trPr>
                    <w:tc>
                      <w:tcPr>
                        <w:tcW w:w="1455" w:type="dxa"/>
                        <w:shd w:val="clear" w:color="auto" w:fill="C0C0C0"/>
                      </w:tcPr>
                      <w:p>
                        <w:pPr>
                          <w:pStyle w:val="TableParagraph"/>
                          <w:ind w:left="465"/>
                          <w:rPr>
                            <w:b/>
                            <w:sz w:val="22"/>
                          </w:rPr>
                        </w:pPr>
                        <w:r>
                          <w:rPr>
                            <w:b/>
                            <w:sz w:val="22"/>
                          </w:rPr>
                          <w:t>Value</w:t>
                        </w:r>
                      </w:p>
                    </w:tc>
                    <w:tc>
                      <w:tcPr>
                        <w:tcW w:w="2986" w:type="dxa"/>
                        <w:shd w:val="clear" w:color="auto" w:fill="C0C0C0"/>
                      </w:tcPr>
                      <w:p>
                        <w:pPr>
                          <w:pStyle w:val="TableParagraph"/>
                          <w:ind w:left="1163" w:right="1154"/>
                          <w:jc w:val="center"/>
                          <w:rPr>
                            <w:b/>
                            <w:sz w:val="22"/>
                          </w:rPr>
                        </w:pPr>
                        <w:r>
                          <w:rPr>
                            <w:b/>
                            <w:sz w:val="22"/>
                          </w:rPr>
                          <w:t>Timing</w:t>
                        </w:r>
                      </w:p>
                    </w:tc>
                  </w:tr>
                  <w:tr>
                    <w:trPr>
                      <w:trHeight w:val="621" w:hRule="atLeast"/>
                    </w:trPr>
                    <w:tc>
                      <w:tcPr>
                        <w:tcW w:w="1455" w:type="dxa"/>
                      </w:tcPr>
                      <w:p>
                        <w:pPr>
                          <w:pStyle w:val="TableParagraph"/>
                          <w:spacing w:before="42"/>
                          <w:rPr>
                            <w:rFonts w:ascii="Consolas"/>
                            <w:sz w:val="22"/>
                          </w:rPr>
                        </w:pPr>
                        <w:r>
                          <w:rPr>
                            <w:rFonts w:ascii="Consolas"/>
                            <w:w w:val="100"/>
                            <w:sz w:val="22"/>
                          </w:rPr>
                          <w:t>0</w:t>
                        </w:r>
                      </w:p>
                    </w:tc>
                    <w:tc>
                      <w:tcPr>
                        <w:tcW w:w="2986" w:type="dxa"/>
                      </w:tcPr>
                      <w:p>
                        <w:pPr>
                          <w:pStyle w:val="TableParagraph"/>
                          <w:ind w:left="114" w:right="499"/>
                          <w:rPr>
                            <w:sz w:val="22"/>
                          </w:rPr>
                        </w:pPr>
                        <w:r>
                          <w:rPr>
                            <w:sz w:val="22"/>
                          </w:rPr>
                          <w:t>Payment at the end of the period</w:t>
                        </w:r>
                      </w:p>
                    </w:tc>
                  </w:tr>
                </w:tbl>
                <w:p>
                  <w:pPr>
                    <w:pStyle w:val="BodyText"/>
                  </w:pPr>
                </w:p>
              </w:txbxContent>
            </v:textbox>
            <w10:wrap type="none"/>
          </v:shape>
        </w:pict>
      </w:r>
    </w:p>
    <w:p>
      <w:pPr>
        <w:spacing w:before="87"/>
        <w:ind w:left="220" w:right="0" w:firstLine="0"/>
        <w:jc w:val="left"/>
        <w:rPr>
          <w:sz w:val="22"/>
        </w:rPr>
      </w:pPr>
      <w:r>
        <w:rPr>
          <w:sz w:val="22"/>
        </w:rPr>
        <w:t>If </w:t>
      </w:r>
      <w:r>
        <w:rPr>
          <w:rFonts w:ascii="Times New Roman"/>
          <w:i/>
          <w:sz w:val="22"/>
        </w:rPr>
        <w:t>rate </w:t>
      </w:r>
      <w:r>
        <w:rPr>
          <w:sz w:val="22"/>
        </w:rPr>
        <w:t>is 0, then:</w:t>
      </w:r>
    </w:p>
    <w:p>
      <w:pPr>
        <w:pStyle w:val="BodyText"/>
        <w:spacing w:before="11"/>
        <w:rPr>
          <w:sz w:val="18"/>
        </w:rPr>
      </w:pPr>
    </w:p>
    <w:p>
      <w:pPr>
        <w:pStyle w:val="BodyText"/>
        <w:spacing w:line="453" w:lineRule="auto"/>
        <w:ind w:left="220" w:right="5295"/>
      </w:pPr>
      <w:r>
        <w:rPr>
          <w:rFonts w:ascii="Cambria Math" w:hAnsi="Cambria Math"/>
          <w:position w:val="1"/>
        </w:rPr>
        <w:t>(</w:t>
      </w:r>
      <w:r>
        <w:rPr>
          <w:rFonts w:ascii="Cambria Math" w:hAnsi="Cambria Math"/>
        </w:rPr>
        <w:t>pmt × nper</w:t>
      </w:r>
      <w:r>
        <w:rPr>
          <w:rFonts w:ascii="Cambria Math" w:hAnsi="Cambria Math"/>
          <w:position w:val="1"/>
        </w:rPr>
        <w:t>) </w:t>
      </w:r>
      <w:r>
        <w:rPr>
          <w:rFonts w:ascii="Cambria Math" w:hAnsi="Cambria Math"/>
        </w:rPr>
        <w:t>+ pv + fv = 0</w:t>
      </w:r>
      <w:r>
        <w:rPr/>
        <w:t>(pmt * nper) + pv + fv = 0 where:</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fv </w:t>
      </w:r>
      <w:r>
        <w:rPr>
          <w:sz w:val="22"/>
        </w:rPr>
        <w:t>= </w:t>
      </w:r>
      <w:r>
        <w:rPr>
          <w:rFonts w:ascii="Times New Roman" w:hAnsi="Times New Roman"/>
          <w:i/>
          <w:sz w:val="22"/>
        </w:rPr>
        <w:t>fv</w:t>
      </w:r>
      <w:r>
        <w:rPr>
          <w:rFonts w:ascii="Times New Roman" w:hAnsi="Times New Roman"/>
          <w:i/>
          <w:spacing w:val="-13"/>
          <w:sz w:val="22"/>
        </w:rPr>
        <w:t> </w:t>
      </w:r>
      <w:r>
        <w:rPr>
          <w:sz w:val="22"/>
        </w:rPr>
        <w:t>argument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nper </w:t>
      </w:r>
      <w:r>
        <w:rPr>
          <w:sz w:val="22"/>
        </w:rPr>
        <w:t>= </w:t>
      </w:r>
      <w:r>
        <w:rPr>
          <w:rFonts w:ascii="Times New Roman" w:hAnsi="Times New Roman"/>
          <w:i/>
          <w:sz w:val="22"/>
        </w:rPr>
        <w:t>nper</w:t>
      </w:r>
      <w:r>
        <w:rPr>
          <w:rFonts w:ascii="Times New Roman" w:hAnsi="Times New Roman"/>
          <w:i/>
          <w:spacing w:val="-12"/>
          <w:sz w:val="22"/>
        </w:rPr>
        <w:t> </w:t>
      </w:r>
      <w:r>
        <w:rPr>
          <w:sz w:val="22"/>
        </w:rPr>
        <w:t>argument</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pmt </w:t>
      </w:r>
      <w:r>
        <w:rPr>
          <w:sz w:val="22"/>
        </w:rPr>
        <w:t>= </w:t>
      </w:r>
      <w:r>
        <w:rPr>
          <w:rFonts w:ascii="Times New Roman" w:hAnsi="Times New Roman"/>
          <w:i/>
          <w:sz w:val="22"/>
        </w:rPr>
        <w:t>pmt</w:t>
      </w:r>
      <w:r>
        <w:rPr>
          <w:rFonts w:ascii="Times New Roman" w:hAnsi="Times New Roman"/>
          <w:i/>
          <w:spacing w:val="-11"/>
          <w:sz w:val="22"/>
        </w:rPr>
        <w:t> </w:t>
      </w:r>
      <w:r>
        <w:rPr>
          <w:sz w:val="22"/>
        </w:rPr>
        <w:t>argument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rate </w:t>
      </w:r>
      <w:r>
        <w:rPr>
          <w:sz w:val="22"/>
        </w:rPr>
        <w:t>= </w:t>
      </w:r>
      <w:r>
        <w:rPr>
          <w:rFonts w:ascii="Times New Roman" w:hAnsi="Times New Roman"/>
          <w:i/>
          <w:sz w:val="22"/>
        </w:rPr>
        <w:t>rate</w:t>
      </w:r>
      <w:r>
        <w:rPr>
          <w:rFonts w:ascii="Times New Roman" w:hAnsi="Times New Roman"/>
          <w:i/>
          <w:spacing w:val="-13"/>
          <w:sz w:val="22"/>
        </w:rPr>
        <w:t> </w:t>
      </w:r>
      <w:r>
        <w:rPr>
          <w:sz w:val="22"/>
        </w:rPr>
        <w:t>argument</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type </w:t>
      </w:r>
      <w:r>
        <w:rPr>
          <w:sz w:val="22"/>
        </w:rPr>
        <w:t>= </w:t>
      </w:r>
      <w:r>
        <w:rPr>
          <w:rFonts w:ascii="Times New Roman" w:hAnsi="Times New Roman"/>
          <w:i/>
          <w:sz w:val="22"/>
        </w:rPr>
        <w:t>type</w:t>
      </w:r>
      <w:r>
        <w:rPr>
          <w:rFonts w:ascii="Times New Roman" w:hAnsi="Times New Roman"/>
          <w:i/>
          <w:spacing w:val="-15"/>
          <w:sz w:val="22"/>
        </w:rPr>
        <w:t> </w:t>
      </w:r>
      <w:r>
        <w:rPr>
          <w:sz w:val="22"/>
        </w:rPr>
        <w:t>argument</w:t>
      </w:r>
    </w:p>
    <w:p>
      <w:pPr>
        <w:pStyle w:val="Heading4"/>
        <w:spacing w:before="243"/>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interest rate per period.</w:t>
            </w:r>
          </w:p>
        </w:tc>
      </w:tr>
      <w:tr>
        <w:trPr>
          <w:trHeight w:val="354" w:hRule="atLeast"/>
        </w:trPr>
        <w:tc>
          <w:tcPr>
            <w:tcW w:w="1466" w:type="dxa"/>
          </w:tcPr>
          <w:p>
            <w:pPr>
              <w:pStyle w:val="TableParagraph"/>
              <w:spacing w:before="37"/>
              <w:rPr>
                <w:rFonts w:ascii="Times New Roman"/>
                <w:i/>
                <w:sz w:val="22"/>
              </w:rPr>
            </w:pPr>
            <w:r>
              <w:rPr>
                <w:rFonts w:ascii="Times New Roman"/>
                <w:i/>
                <w:sz w:val="22"/>
              </w:rPr>
              <w:t>nper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total number of payment in an annuity.</w:t>
            </w:r>
          </w:p>
        </w:tc>
      </w:tr>
      <w:tr>
        <w:trPr>
          <w:trHeight w:val="1158" w:hRule="atLeast"/>
        </w:trPr>
        <w:tc>
          <w:tcPr>
            <w:tcW w:w="1466" w:type="dxa"/>
          </w:tcPr>
          <w:p>
            <w:pPr>
              <w:pStyle w:val="TableParagraph"/>
              <w:spacing w:before="37"/>
              <w:rPr>
                <w:rFonts w:ascii="Times New Roman"/>
                <w:i/>
                <w:sz w:val="22"/>
              </w:rPr>
            </w:pPr>
            <w:r>
              <w:rPr>
                <w:rFonts w:ascii="Times New Roman"/>
                <w:i/>
                <w:sz w:val="22"/>
              </w:rPr>
              <w:t>pmt</w:t>
            </w:r>
          </w:p>
        </w:tc>
        <w:tc>
          <w:tcPr>
            <w:tcW w:w="1800" w:type="dxa"/>
          </w:tcPr>
          <w:p>
            <w:pPr>
              <w:pStyle w:val="TableParagraph"/>
              <w:ind w:left="112"/>
              <w:rPr>
                <w:sz w:val="22"/>
              </w:rPr>
            </w:pPr>
            <w:r>
              <w:rPr>
                <w:sz w:val="22"/>
              </w:rPr>
              <w:t>number</w:t>
            </w:r>
          </w:p>
        </w:tc>
        <w:tc>
          <w:tcPr>
            <w:tcW w:w="5400" w:type="dxa"/>
          </w:tcPr>
          <w:p>
            <w:pPr>
              <w:pStyle w:val="TableParagraph"/>
              <w:ind w:left="113" w:right="218"/>
              <w:rPr>
                <w:sz w:val="22"/>
              </w:rPr>
            </w:pPr>
            <w:r>
              <w:rPr>
                <w:sz w:val="22"/>
              </w:rPr>
              <w:t>The payment made each period and cannot change over the life of the annuity. If is omitted, </w:t>
            </w:r>
            <w:r>
              <w:rPr>
                <w:rFonts w:ascii="Times New Roman"/>
                <w:i/>
                <w:sz w:val="22"/>
              </w:rPr>
              <w:t>fv </w:t>
            </w:r>
            <w:r>
              <w:rPr>
                <w:sz w:val="22"/>
              </w:rPr>
              <w:t>shall be provided. [</w:t>
            </w:r>
            <w:r>
              <w:rPr>
                <w:i/>
                <w:sz w:val="22"/>
              </w:rPr>
              <w:t>Note</w:t>
            </w:r>
            <w:r>
              <w:rPr>
                <w:sz w:val="22"/>
              </w:rPr>
              <w:t>: Typically, </w:t>
            </w:r>
            <w:r>
              <w:rPr>
                <w:rFonts w:ascii="Times New Roman"/>
                <w:i/>
                <w:sz w:val="22"/>
              </w:rPr>
              <w:t>pmt </w:t>
            </w:r>
            <w:r>
              <w:rPr>
                <w:sz w:val="22"/>
              </w:rPr>
              <w:t>includes principal and interest but no other fees or taxes. </w:t>
            </w:r>
            <w:r>
              <w:rPr>
                <w:i/>
                <w:sz w:val="22"/>
              </w:rPr>
              <w:t>end note</w:t>
            </w:r>
            <w:r>
              <w:rPr>
                <w:sz w:val="22"/>
              </w:rPr>
              <w:t>]</w:t>
            </w:r>
          </w:p>
        </w:tc>
      </w:tr>
      <w:tr>
        <w:trPr>
          <w:trHeight w:val="892" w:hRule="atLeast"/>
        </w:trPr>
        <w:tc>
          <w:tcPr>
            <w:tcW w:w="1466" w:type="dxa"/>
          </w:tcPr>
          <w:p>
            <w:pPr>
              <w:pStyle w:val="TableParagraph"/>
              <w:spacing w:before="37"/>
              <w:rPr>
                <w:rFonts w:ascii="Times New Roman"/>
                <w:i/>
                <w:sz w:val="22"/>
              </w:rPr>
            </w:pPr>
            <w:r>
              <w:rPr>
                <w:rFonts w:ascii="Times New Roman"/>
                <w:i/>
                <w:sz w:val="22"/>
              </w:rPr>
              <w:t>fv</w:t>
            </w:r>
          </w:p>
        </w:tc>
        <w:tc>
          <w:tcPr>
            <w:tcW w:w="1800" w:type="dxa"/>
          </w:tcPr>
          <w:p>
            <w:pPr>
              <w:pStyle w:val="TableParagraph"/>
              <w:ind w:left="112"/>
              <w:rPr>
                <w:sz w:val="22"/>
              </w:rPr>
            </w:pPr>
            <w:r>
              <w:rPr>
                <w:sz w:val="22"/>
              </w:rPr>
              <w:t>number</w:t>
            </w:r>
          </w:p>
        </w:tc>
        <w:tc>
          <w:tcPr>
            <w:tcW w:w="5400" w:type="dxa"/>
          </w:tcPr>
          <w:p>
            <w:pPr>
              <w:pStyle w:val="TableParagraph"/>
              <w:ind w:left="113" w:right="344"/>
              <w:rPr>
                <w:sz w:val="22"/>
              </w:rPr>
            </w:pPr>
            <w:r>
              <w:rPr>
                <w:sz w:val="22"/>
              </w:rPr>
              <w:t>The future value, or a cash balance to be attained after the last payment is made. If omitted, </w:t>
            </w:r>
            <w:r>
              <w:rPr>
                <w:rFonts w:ascii="Times New Roman"/>
                <w:i/>
                <w:sz w:val="22"/>
              </w:rPr>
              <w:t>pmt </w:t>
            </w:r>
            <w:r>
              <w:rPr>
                <w:sz w:val="22"/>
              </w:rPr>
              <w:t>shall be provided.</w:t>
            </w:r>
          </w:p>
        </w:tc>
      </w:tr>
      <w:tr>
        <w:trPr>
          <w:trHeight w:val="1900" w:hRule="atLeast"/>
        </w:trPr>
        <w:tc>
          <w:tcPr>
            <w:tcW w:w="1466" w:type="dxa"/>
          </w:tcPr>
          <w:p>
            <w:pPr>
              <w:pStyle w:val="TableParagraph"/>
              <w:spacing w:before="37"/>
              <w:rPr>
                <w:rFonts w:ascii="Times New Roman"/>
                <w:i/>
                <w:sz w:val="22"/>
              </w:rPr>
            </w:pPr>
            <w:r>
              <w:rPr>
                <w:rFonts w:ascii="Times New Roman"/>
                <w:i/>
                <w:sz w:val="22"/>
              </w:rPr>
              <w:t>type</w:t>
            </w:r>
          </w:p>
        </w:tc>
        <w:tc>
          <w:tcPr>
            <w:tcW w:w="1800" w:type="dxa"/>
          </w:tcPr>
          <w:p>
            <w:pPr>
              <w:pStyle w:val="TableParagraph"/>
              <w:ind w:left="112"/>
              <w:rPr>
                <w:sz w:val="22"/>
              </w:rPr>
            </w:pPr>
            <w:r>
              <w:rPr>
                <w:sz w:val="22"/>
              </w:rPr>
              <w:t>number</w:t>
            </w:r>
          </w:p>
        </w:tc>
        <w:tc>
          <w:tcPr>
            <w:tcW w:w="5400" w:type="dxa"/>
          </w:tcPr>
          <w:p>
            <w:pPr>
              <w:pStyle w:val="TableParagraph"/>
              <w:ind w:left="113" w:right="671"/>
              <w:rPr>
                <w:sz w:val="22"/>
              </w:rPr>
            </w:pPr>
            <w:r>
              <w:rPr>
                <w:sz w:val="22"/>
              </w:rPr>
              <w:t>The timing of the payment, truncated to integer, as follows:</w:t>
            </w:r>
          </w:p>
        </w:tc>
      </w:tr>
    </w:tbl>
    <w:p>
      <w:pPr>
        <w:spacing w:after="0"/>
        <w:rPr>
          <w:sz w:val="22"/>
        </w:rPr>
        <w:sectPr>
          <w:type w:val="continuous"/>
          <w:pgSz w:w="12240" w:h="15840"/>
          <w:pgMar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729"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454" w:type="dxa"/>
          </w:tcPr>
          <w:p>
            <w:pPr>
              <w:pStyle w:val="TableParagraph"/>
              <w:spacing w:before="95"/>
              <w:ind w:left="116"/>
              <w:rPr>
                <w:rFonts w:ascii="Consolas"/>
                <w:sz w:val="22"/>
              </w:rPr>
            </w:pPr>
            <w:r>
              <w:rPr>
                <w:rFonts w:ascii="Consolas"/>
                <w:w w:val="100"/>
                <w:sz w:val="22"/>
              </w:rPr>
              <w:t>1</w:t>
            </w:r>
          </w:p>
        </w:tc>
        <w:tc>
          <w:tcPr>
            <w:tcW w:w="2985" w:type="dxa"/>
          </w:tcPr>
          <w:p>
            <w:pPr>
              <w:pStyle w:val="TableParagraph"/>
              <w:spacing w:before="92"/>
              <w:ind w:left="117" w:right="305"/>
              <w:rPr>
                <w:sz w:val="22"/>
              </w:rPr>
            </w:pPr>
            <w:r>
              <w:rPr>
                <w:sz w:val="22"/>
              </w:rPr>
              <w:t>Payment at the beginning of the period</w:t>
            </w:r>
          </w:p>
        </w:tc>
        <w:tc>
          <w:tcPr>
            <w:tcW w:w="121" w:type="dxa"/>
          </w:tcPr>
          <w:p>
            <w:pPr>
              <w:pStyle w:val="TableParagraph"/>
              <w:spacing w:before="0"/>
              <w:ind w:left="0"/>
              <w:rPr>
                <w:rFonts w:ascii="Times New Roman"/>
                <w:sz w:val="22"/>
              </w:rPr>
            </w:pPr>
          </w:p>
        </w:tc>
      </w:tr>
    </w:tbl>
    <w:p>
      <w:pPr>
        <w:pStyle w:val="BodyText"/>
        <w:rPr>
          <w:sz w:val="20"/>
        </w:rPr>
      </w:pPr>
    </w:p>
    <w:p>
      <w:pPr>
        <w:pStyle w:val="BodyText"/>
        <w:rPr>
          <w:sz w:val="17"/>
        </w:rPr>
      </w:pPr>
    </w:p>
    <w:p>
      <w:pPr>
        <w:spacing w:line="453" w:lineRule="auto" w:before="56"/>
        <w:ind w:left="220" w:right="4114" w:firstLine="0"/>
        <w:jc w:val="left"/>
        <w:rPr>
          <w:sz w:val="22"/>
        </w:rPr>
      </w:pPr>
      <w:r>
        <w:rPr>
          <w:b/>
          <w:sz w:val="22"/>
        </w:rPr>
        <w:t>Return Type and Value</w:t>
      </w:r>
      <w:r>
        <w:rPr>
          <w:sz w:val="22"/>
        </w:rPr>
        <w:t>: number – The present value of an investment. However, if </w:t>
      </w:r>
      <w:r>
        <w:rPr>
          <w:rFonts w:ascii="Times New Roman" w:hAnsi="Times New Roman"/>
          <w:i/>
          <w:sz w:val="22"/>
        </w:rPr>
        <w:t>type </w:t>
      </w:r>
      <w:r>
        <w:rPr>
          <w:sz w:val="22"/>
        </w:rPr>
        <w:t>is any number other than 0 or 1, </w:t>
      </w:r>
      <w:r>
        <w:rPr>
          <w:rFonts w:ascii="Consolas" w:hAnsi="Consolas"/>
          <w:sz w:val="22"/>
        </w:rPr>
        <w:t>#NUM! </w:t>
      </w:r>
      <w:r>
        <w:rPr>
          <w:sz w:val="22"/>
        </w:rPr>
        <w:t>is returned. [</w:t>
      </w:r>
      <w:r>
        <w:rPr>
          <w:i/>
          <w:sz w:val="22"/>
        </w:rPr>
        <w:t>Example</w:t>
      </w:r>
      <w:r>
        <w:rPr>
          <w:sz w:val="22"/>
        </w:rPr>
        <w:t>:</w:t>
      </w:r>
    </w:p>
    <w:p>
      <w:pPr>
        <w:pStyle w:val="BodyText"/>
        <w:spacing w:before="109"/>
        <w:ind w:left="220"/>
        <w:rPr>
          <w:rFonts w:ascii="Consolas"/>
        </w:rPr>
      </w:pPr>
      <w:r>
        <w:rPr>
          <w:rFonts w:ascii="Consolas"/>
        </w:rPr>
        <w:t>PV(0.08/12,12*20,500,,0) </w:t>
      </w:r>
      <w:r>
        <w:rPr/>
        <w:t>results in </w:t>
      </w:r>
      <w:r>
        <w:rPr>
          <w:rFonts w:ascii="Consolas"/>
        </w:rPr>
        <w:t>-59,777.15</w:t>
      </w:r>
    </w:p>
    <w:p>
      <w:pPr>
        <w:pStyle w:val="BodyText"/>
        <w:spacing w:before="3"/>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64 QUARTILE" w:id="2184"/>
      <w:bookmarkEnd w:id="2184"/>
      <w:r>
        <w:rPr/>
      </w:r>
      <w:bookmarkStart w:name="_bookmark727" w:id="2185"/>
      <w:bookmarkEnd w:id="2185"/>
      <w:r>
        <w:rPr/>
      </w:r>
      <w:bookmarkStart w:name="_bookmark727" w:id="2186"/>
      <w:bookmarkEnd w:id="2186"/>
      <w:r>
        <w:rPr>
          <w:color w:val="4F81BC"/>
        </w:rPr>
        <w:t>QU</w:t>
      </w:r>
      <w:r>
        <w:rPr>
          <w:color w:val="4F81BC"/>
        </w:rPr>
        <w:t>ARTILE</w:t>
      </w:r>
    </w:p>
    <w:p>
      <w:pPr>
        <w:pStyle w:val="Heading4"/>
        <w:spacing w:before="121"/>
        <w:rPr>
          <w:b w:val="0"/>
        </w:rPr>
      </w:pPr>
      <w:r>
        <w:rPr/>
        <w:t>Syntax</w:t>
      </w:r>
      <w:r>
        <w:rPr>
          <w:b w:val="0"/>
        </w:rPr>
        <w:t>:</w:t>
      </w:r>
    </w:p>
    <w:p>
      <w:pPr>
        <w:pStyle w:val="BodyText"/>
        <w:spacing w:before="1"/>
        <w:rPr>
          <w:sz w:val="19"/>
        </w:rPr>
      </w:pPr>
    </w:p>
    <w:p>
      <w:pPr>
        <w:spacing w:before="0"/>
        <w:ind w:left="0" w:right="6146" w:firstLine="0"/>
        <w:jc w:val="right"/>
        <w:rPr>
          <w:rFonts w:ascii="Lucida Console"/>
          <w:sz w:val="20"/>
        </w:rPr>
      </w:pPr>
      <w:r>
        <w:rPr>
          <w:rFonts w:ascii="Lucida Console"/>
          <w:sz w:val="20"/>
        </w:rPr>
        <w:t>QUARTILE ( </w:t>
      </w:r>
      <w:r>
        <w:rPr>
          <w:i/>
          <w:sz w:val="22"/>
        </w:rPr>
        <w:t>array  </w:t>
      </w:r>
      <w:r>
        <w:rPr>
          <w:sz w:val="22"/>
        </w:rPr>
        <w:t>,  </w:t>
      </w:r>
      <w:r>
        <w:rPr>
          <w:i/>
          <w:sz w:val="22"/>
        </w:rPr>
        <w:t>result-category</w:t>
      </w:r>
      <w:r>
        <w:rPr>
          <w:i/>
          <w:spacing w:val="1"/>
          <w:sz w:val="22"/>
        </w:rPr>
        <w:t> </w:t>
      </w:r>
      <w:r>
        <w:rPr>
          <w:rFonts w:ascii="Lucida Console"/>
          <w:sz w:val="20"/>
        </w:rPr>
        <w:t>)</w:t>
      </w:r>
    </w:p>
    <w:p>
      <w:pPr>
        <w:spacing w:before="108"/>
        <w:ind w:left="0" w:right="6083" w:firstLine="0"/>
        <w:jc w:val="right"/>
        <w:rPr>
          <w:sz w:val="22"/>
        </w:rPr>
      </w:pPr>
      <w:r>
        <w:rPr>
          <w:b/>
          <w:sz w:val="22"/>
        </w:rPr>
        <w:t>Description: </w:t>
      </w:r>
      <w:r>
        <w:rPr>
          <w:sz w:val="22"/>
        </w:rPr>
        <w:t>Computes the quartile of a data</w:t>
      </w:r>
      <w:r>
        <w:rPr>
          <w:spacing w:val="-18"/>
          <w:sz w:val="22"/>
        </w:rPr>
        <w:t> </w:t>
      </w:r>
      <w:r>
        <w:rPr>
          <w:sz w:val="22"/>
        </w:rPr>
        <w:t>set.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320"/>
        <w:gridCol w:w="3120"/>
        <w:gridCol w:w="122"/>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399" w:type="dxa"/>
            <w:gridSpan w:val="4"/>
          </w:tcPr>
          <w:p>
            <w:pPr>
              <w:pStyle w:val="TableParagraph"/>
              <w:ind w:left="113" w:right="266"/>
              <w:rPr>
                <w:sz w:val="22"/>
              </w:rPr>
            </w:pPr>
            <w:r>
              <w:rPr>
                <w:sz w:val="22"/>
              </w:rPr>
              <w:t>The set of numeric values for which the quartile value is to be computed.</w:t>
            </w:r>
          </w:p>
        </w:tc>
      </w:tr>
      <w:tr>
        <w:trPr>
          <w:trHeight w:val="849" w:hRule="atLeast"/>
        </w:trPr>
        <w:tc>
          <w:tcPr>
            <w:tcW w:w="1466" w:type="dxa"/>
            <w:vMerge w:val="restart"/>
          </w:tcPr>
          <w:p>
            <w:pPr>
              <w:pStyle w:val="TableParagraph"/>
              <w:spacing w:before="37"/>
              <w:ind w:right="551"/>
              <w:rPr>
                <w:rFonts w:ascii="Times New Roman"/>
                <w:i/>
                <w:sz w:val="22"/>
              </w:rPr>
            </w:pPr>
            <w:r>
              <w:rPr>
                <w:rFonts w:ascii="Times New Roman"/>
                <w:i/>
                <w:sz w:val="22"/>
              </w:rPr>
              <w:t>result- </w:t>
            </w:r>
            <w:r>
              <w:rPr>
                <w:rFonts w:ascii="Times New Roman"/>
                <w:i/>
                <w:sz w:val="22"/>
              </w:rPr>
              <w:t>category</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182"/>
              <w:rPr>
                <w:sz w:val="22"/>
              </w:rPr>
            </w:pPr>
            <w:r>
              <w:rPr>
                <w:sz w:val="22"/>
              </w:rPr>
              <w:t>When truncated to an integer, specifies which value is to be returned, as follows:</w:t>
            </w:r>
          </w:p>
        </w:tc>
      </w:tr>
      <w:tr>
        <w:trPr>
          <w:trHeight w:val="3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320" w:type="dxa"/>
            <w:shd w:val="clear" w:color="auto" w:fill="C0C0C0"/>
          </w:tcPr>
          <w:p>
            <w:pPr>
              <w:pStyle w:val="TableParagraph"/>
              <w:ind w:left="399"/>
              <w:rPr>
                <w:b/>
                <w:sz w:val="22"/>
              </w:rPr>
            </w:pPr>
            <w:r>
              <w:rPr>
                <w:b/>
                <w:sz w:val="22"/>
              </w:rPr>
              <w:t>Value</w:t>
            </w:r>
          </w:p>
        </w:tc>
        <w:tc>
          <w:tcPr>
            <w:tcW w:w="3120" w:type="dxa"/>
            <w:shd w:val="clear" w:color="auto" w:fill="C0C0C0"/>
          </w:tcPr>
          <w:p>
            <w:pPr>
              <w:pStyle w:val="TableParagraph"/>
              <w:ind w:left="848"/>
              <w:rPr>
                <w:b/>
                <w:sz w:val="22"/>
              </w:rPr>
            </w:pPr>
            <w:r>
              <w:rPr>
                <w:b/>
                <w:sz w:val="22"/>
              </w:rPr>
              <w:t>Value Returned</w:t>
            </w:r>
          </w:p>
        </w:tc>
        <w:tc>
          <w:tcPr>
            <w:tcW w:w="122"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320" w:type="dxa"/>
          </w:tcPr>
          <w:p>
            <w:pPr>
              <w:pStyle w:val="TableParagraph"/>
              <w:spacing w:before="42"/>
              <w:ind w:left="116"/>
              <w:rPr>
                <w:sz w:val="22"/>
              </w:rPr>
            </w:pPr>
            <w:r>
              <w:rPr>
                <w:w w:val="100"/>
                <w:sz w:val="22"/>
              </w:rPr>
              <w:t>0</w:t>
            </w:r>
          </w:p>
        </w:tc>
        <w:tc>
          <w:tcPr>
            <w:tcW w:w="3120" w:type="dxa"/>
          </w:tcPr>
          <w:p>
            <w:pPr>
              <w:pStyle w:val="TableParagraph"/>
              <w:spacing w:before="42"/>
              <w:ind w:left="116"/>
              <w:rPr>
                <w:sz w:val="22"/>
              </w:rPr>
            </w:pPr>
            <w:r>
              <w:rPr>
                <w:sz w:val="22"/>
              </w:rPr>
              <w:t>Minimum value</w:t>
            </w:r>
          </w:p>
        </w:tc>
        <w:tc>
          <w:tcPr>
            <w:tcW w:w="122"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320" w:type="dxa"/>
          </w:tcPr>
          <w:p>
            <w:pPr>
              <w:pStyle w:val="TableParagraph"/>
              <w:ind w:left="116"/>
              <w:rPr>
                <w:sz w:val="22"/>
              </w:rPr>
            </w:pPr>
            <w:r>
              <w:rPr>
                <w:w w:val="100"/>
                <w:sz w:val="22"/>
              </w:rPr>
              <w:t>1</w:t>
            </w:r>
          </w:p>
        </w:tc>
        <w:tc>
          <w:tcPr>
            <w:tcW w:w="3120" w:type="dxa"/>
          </w:tcPr>
          <w:p>
            <w:pPr>
              <w:pStyle w:val="TableParagraph"/>
              <w:ind w:left="116"/>
              <w:rPr>
                <w:sz w:val="22"/>
              </w:rPr>
            </w:pPr>
            <w:r>
              <w:rPr>
                <w:sz w:val="22"/>
              </w:rPr>
              <w:t>First quartile (25th percentile)</w:t>
            </w:r>
          </w:p>
        </w:tc>
        <w:tc>
          <w:tcPr>
            <w:tcW w:w="122"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320" w:type="dxa"/>
          </w:tcPr>
          <w:p>
            <w:pPr>
              <w:pStyle w:val="TableParagraph"/>
              <w:ind w:left="116"/>
              <w:rPr>
                <w:sz w:val="22"/>
              </w:rPr>
            </w:pPr>
            <w:r>
              <w:rPr>
                <w:w w:val="100"/>
                <w:sz w:val="22"/>
              </w:rPr>
              <w:t>2</w:t>
            </w:r>
          </w:p>
        </w:tc>
        <w:tc>
          <w:tcPr>
            <w:tcW w:w="3120" w:type="dxa"/>
          </w:tcPr>
          <w:p>
            <w:pPr>
              <w:pStyle w:val="TableParagraph"/>
              <w:ind w:left="116"/>
              <w:rPr>
                <w:sz w:val="22"/>
              </w:rPr>
            </w:pPr>
            <w:r>
              <w:rPr>
                <w:sz w:val="22"/>
              </w:rPr>
              <w:t>Median value (50th percentile)</w:t>
            </w:r>
          </w:p>
        </w:tc>
        <w:tc>
          <w:tcPr>
            <w:tcW w:w="122"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320" w:type="dxa"/>
          </w:tcPr>
          <w:p>
            <w:pPr>
              <w:pStyle w:val="TableParagraph"/>
              <w:ind w:left="116"/>
              <w:rPr>
                <w:sz w:val="22"/>
              </w:rPr>
            </w:pPr>
            <w:r>
              <w:rPr>
                <w:w w:val="100"/>
                <w:sz w:val="22"/>
              </w:rPr>
              <w:t>3</w:t>
            </w:r>
          </w:p>
        </w:tc>
        <w:tc>
          <w:tcPr>
            <w:tcW w:w="3120" w:type="dxa"/>
          </w:tcPr>
          <w:p>
            <w:pPr>
              <w:pStyle w:val="TableParagraph"/>
              <w:ind w:left="116"/>
              <w:rPr>
                <w:sz w:val="22"/>
              </w:rPr>
            </w:pPr>
            <w:r>
              <w:rPr>
                <w:sz w:val="22"/>
              </w:rPr>
              <w:t>Third quartile (75th percentile)</w:t>
            </w:r>
          </w:p>
        </w:tc>
        <w:tc>
          <w:tcPr>
            <w:tcW w:w="122" w:type="dxa"/>
            <w:tcBorders>
              <w:top w:val="nil"/>
              <w:bottom w:val="nil"/>
            </w:tcBorders>
          </w:tcPr>
          <w:p>
            <w:pPr>
              <w:pStyle w:val="TableParagraph"/>
              <w:spacing w:before="0"/>
              <w:ind w:left="0"/>
              <w:rPr>
                <w:rFonts w:ascii="Times New Roman"/>
                <w:sz w:val="22"/>
              </w:rPr>
            </w:pPr>
          </w:p>
        </w:tc>
      </w:tr>
      <w:tr>
        <w:trPr>
          <w:trHeight w:val="408"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320" w:type="dxa"/>
          </w:tcPr>
          <w:p>
            <w:pPr>
              <w:pStyle w:val="TableParagraph"/>
              <w:ind w:left="116"/>
              <w:rPr>
                <w:sz w:val="22"/>
              </w:rPr>
            </w:pPr>
            <w:r>
              <w:rPr>
                <w:w w:val="100"/>
                <w:sz w:val="22"/>
              </w:rPr>
              <w:t>4</w:t>
            </w:r>
          </w:p>
        </w:tc>
        <w:tc>
          <w:tcPr>
            <w:tcW w:w="3120" w:type="dxa"/>
          </w:tcPr>
          <w:p>
            <w:pPr>
              <w:pStyle w:val="TableParagraph"/>
              <w:ind w:left="116"/>
              <w:rPr>
                <w:sz w:val="22"/>
              </w:rPr>
            </w:pPr>
            <w:r>
              <w:rPr>
                <w:sz w:val="22"/>
              </w:rPr>
              <w:t>Maximum value</w:t>
            </w:r>
          </w:p>
        </w:tc>
        <w:tc>
          <w:tcPr>
            <w:tcW w:w="122" w:type="dxa"/>
            <w:tcBorders>
              <w:top w:val="nil"/>
            </w:tcBorders>
          </w:tcPr>
          <w:p>
            <w:pPr>
              <w:pStyle w:val="TableParagraph"/>
              <w:spacing w:before="0"/>
              <w:ind w:left="0"/>
              <w:rPr>
                <w:rFonts w:ascii="Times New Roman"/>
                <w:sz w:val="22"/>
              </w:rPr>
            </w:pPr>
          </w:p>
        </w:tc>
      </w:tr>
    </w:tbl>
    <w:p>
      <w:pPr>
        <w:pStyle w:val="BodyText"/>
        <w:rPr>
          <w:b/>
        </w:rPr>
      </w:pPr>
    </w:p>
    <w:p>
      <w:pPr>
        <w:pStyle w:val="BodyText"/>
        <w:spacing w:before="7"/>
        <w:rPr>
          <w:b/>
          <w:sz w:val="19"/>
        </w:rPr>
      </w:pPr>
    </w:p>
    <w:p>
      <w:pPr>
        <w:spacing w:line="453" w:lineRule="auto" w:before="0"/>
        <w:ind w:left="220" w:right="5037" w:firstLine="0"/>
        <w:jc w:val="left"/>
        <w:rPr>
          <w:sz w:val="22"/>
        </w:rPr>
      </w:pPr>
      <w:r>
        <w:rPr>
          <w:b/>
          <w:sz w:val="22"/>
        </w:rPr>
        <w:t>Return Type and Value: </w:t>
      </w:r>
      <w:r>
        <w:rPr>
          <w:sz w:val="22"/>
        </w:rPr>
        <w:t>number – The quartile of a data set.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array </w:t>
      </w:r>
      <w:r>
        <w:rPr>
          <w:sz w:val="22"/>
        </w:rPr>
        <w:t>is empty, the return value is</w:t>
      </w:r>
      <w:r>
        <w:rPr>
          <w:spacing w:val="-13"/>
          <w:sz w:val="22"/>
        </w:rPr>
        <w:t> </w:t>
      </w:r>
      <w:r>
        <w:rPr>
          <w:sz w:val="22"/>
        </w:rPr>
        <w:t>unspecified.</w:t>
      </w:r>
    </w:p>
    <w:p>
      <w:pPr>
        <w:spacing w:after="0" w:line="240" w:lineRule="auto"/>
        <w:jc w:val="left"/>
        <w:rPr>
          <w:sz w:val="22"/>
        </w:rPr>
        <w:sectPr>
          <w:pgSz w:w="12240" w:h="15840"/>
          <w:pgMar w:header="763" w:footer="746" w:top="1340" w:bottom="940" w:left="860" w:right="700"/>
        </w:sectPr>
      </w:pPr>
    </w:p>
    <w:p>
      <w:pPr>
        <w:pStyle w:val="ListParagraph"/>
        <w:numPr>
          <w:ilvl w:val="4"/>
          <w:numId w:val="66"/>
        </w:numPr>
        <w:tabs>
          <w:tab w:pos="940" w:val="left" w:leader="none"/>
          <w:tab w:pos="941" w:val="left" w:leader="none"/>
        </w:tabs>
        <w:spacing w:line="446" w:lineRule="auto" w:before="91" w:after="0"/>
        <w:ind w:left="220" w:right="4318" w:firstLine="360"/>
        <w:jc w:val="left"/>
        <w:rPr>
          <w:sz w:val="22"/>
        </w:rPr>
      </w:pPr>
      <w:r>
        <w:rPr>
          <w:rFonts w:ascii="Times New Roman" w:hAnsi="Times New Roman"/>
          <w:i/>
          <w:sz w:val="22"/>
        </w:rPr>
        <w:t>result-category </w:t>
      </w:r>
      <w:r>
        <w:rPr>
          <w:sz w:val="22"/>
        </w:rPr>
        <w:t>&lt; 0 or </w:t>
      </w:r>
      <w:r>
        <w:rPr>
          <w:rFonts w:ascii="Times New Roman" w:hAnsi="Times New Roman"/>
          <w:i/>
          <w:sz w:val="22"/>
        </w:rPr>
        <w:t>result-category </w:t>
      </w:r>
      <w:r>
        <w:rPr>
          <w:sz w:val="22"/>
        </w:rPr>
        <w:t>&gt; 4, </w:t>
      </w:r>
      <w:r>
        <w:rPr>
          <w:rFonts w:ascii="Consolas" w:hAnsi="Consolas"/>
          <w:sz w:val="22"/>
        </w:rPr>
        <w:t>#NUM!</w:t>
      </w:r>
      <w:r>
        <w:rPr>
          <w:rFonts w:ascii="Consolas" w:hAnsi="Consolas"/>
          <w:spacing w:val="-97"/>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QUARTILE({1,2,4,7,8,9,10,12},1)</w:t>
      </w:r>
      <w:r>
        <w:rPr>
          <w:rFonts w:ascii="Consolas"/>
          <w:spacing w:val="-68"/>
        </w:rPr>
        <w:t> </w:t>
      </w:r>
      <w:r>
        <w:rPr/>
        <w:t>results in </w:t>
      </w:r>
      <w:r>
        <w:rPr>
          <w:rFonts w:ascii="Consolas"/>
        </w:rPr>
        <w:t>3.5</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65 QUOTIENT" w:id="2187"/>
      <w:bookmarkEnd w:id="2187"/>
      <w:r>
        <w:rPr/>
      </w:r>
      <w:bookmarkStart w:name="_bookmark728" w:id="2188"/>
      <w:bookmarkEnd w:id="2188"/>
      <w:r>
        <w:rPr/>
      </w:r>
      <w:bookmarkStart w:name="_bookmark728" w:id="2189"/>
      <w:bookmarkEnd w:id="2189"/>
      <w:r>
        <w:rPr>
          <w:color w:val="4F81BC"/>
        </w:rPr>
        <w:t>QU</w:t>
      </w:r>
      <w:r>
        <w:rPr>
          <w:color w:val="4F81BC"/>
        </w:rPr>
        <w:t>OTIENT</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QUOTIENT ( </w:t>
      </w:r>
      <w:r>
        <w:rPr>
          <w:i/>
          <w:sz w:val="22"/>
        </w:rPr>
        <w:t>dividend </w:t>
      </w:r>
      <w:r>
        <w:rPr>
          <w:rFonts w:ascii="Lucida Console"/>
          <w:sz w:val="20"/>
        </w:rPr>
        <w:t>, </w:t>
      </w:r>
      <w:r>
        <w:rPr>
          <w:i/>
          <w:sz w:val="22"/>
        </w:rPr>
        <w:t>divisor </w:t>
      </w:r>
      <w:r>
        <w:rPr>
          <w:rFonts w:ascii="Lucida Console"/>
          <w:sz w:val="20"/>
        </w:rPr>
        <w:t>)</w:t>
      </w:r>
    </w:p>
    <w:p>
      <w:pPr>
        <w:spacing w:before="108"/>
        <w:ind w:left="220" w:right="0" w:firstLine="0"/>
        <w:jc w:val="left"/>
        <w:rPr>
          <w:sz w:val="22"/>
        </w:rPr>
      </w:pPr>
      <w:r>
        <w:rPr>
          <w:b/>
          <w:sz w:val="22"/>
        </w:rPr>
        <w:t>Description: </w:t>
      </w:r>
      <w:r>
        <w:rPr>
          <w:sz w:val="22"/>
        </w:rPr>
        <w:t>Computes the integer portion of the division of </w:t>
      </w:r>
      <w:r>
        <w:rPr>
          <w:rFonts w:ascii="Times New Roman"/>
          <w:i/>
          <w:sz w:val="22"/>
        </w:rPr>
        <w:t>dividend </w:t>
      </w:r>
      <w:r>
        <w:rPr>
          <w:sz w:val="22"/>
        </w:rPr>
        <w:t>by </w:t>
      </w:r>
      <w:r>
        <w:rPr>
          <w:rFonts w:ascii="Times New Roman"/>
          <w:i/>
          <w:sz w:val="22"/>
        </w:rPr>
        <w:t>divisor</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dividend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dividend</w:t>
            </w:r>
          </w:p>
        </w:tc>
      </w:tr>
      <w:tr>
        <w:trPr>
          <w:trHeight w:val="354" w:hRule="atLeast"/>
        </w:trPr>
        <w:tc>
          <w:tcPr>
            <w:tcW w:w="1466" w:type="dxa"/>
          </w:tcPr>
          <w:p>
            <w:pPr>
              <w:pStyle w:val="TableParagraph"/>
              <w:spacing w:before="37"/>
              <w:rPr>
                <w:rFonts w:ascii="Times New Roman"/>
                <w:i/>
                <w:sz w:val="22"/>
              </w:rPr>
            </w:pPr>
            <w:r>
              <w:rPr>
                <w:rFonts w:ascii="Times New Roman"/>
                <w:i/>
                <w:sz w:val="22"/>
              </w:rPr>
              <w:t>divisor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divisor.</w:t>
            </w:r>
          </w:p>
        </w:tc>
      </w:tr>
    </w:tbl>
    <w:p>
      <w:pPr>
        <w:pStyle w:val="BodyText"/>
        <w:rPr>
          <w:b/>
        </w:rPr>
      </w:pPr>
    </w:p>
    <w:p>
      <w:pPr>
        <w:pStyle w:val="BodyText"/>
        <w:spacing w:before="7"/>
        <w:rPr>
          <w:b/>
          <w:sz w:val="19"/>
        </w:rPr>
      </w:pPr>
    </w:p>
    <w:p>
      <w:pPr>
        <w:spacing w:line="453" w:lineRule="auto" w:before="0"/>
        <w:ind w:left="220" w:right="2252" w:firstLine="0"/>
        <w:jc w:val="left"/>
        <w:rPr>
          <w:sz w:val="22"/>
        </w:rPr>
      </w:pPr>
      <w:r>
        <w:rPr>
          <w:b/>
          <w:sz w:val="22"/>
        </w:rPr>
        <w:t>Return Type and Value: </w:t>
      </w:r>
      <w:r>
        <w:rPr>
          <w:sz w:val="22"/>
        </w:rPr>
        <w:t>number – The integer portion of the division of </w:t>
      </w:r>
      <w:r>
        <w:rPr>
          <w:rFonts w:ascii="Times New Roman" w:hAnsi="Times New Roman"/>
          <w:i/>
          <w:sz w:val="22"/>
        </w:rPr>
        <w:t>dividend </w:t>
      </w:r>
      <w:r>
        <w:rPr>
          <w:sz w:val="22"/>
        </w:rPr>
        <w:t>by </w:t>
      </w:r>
      <w:r>
        <w:rPr>
          <w:rFonts w:ascii="Times New Roman" w:hAnsi="Times New Roman"/>
          <w:i/>
          <w:sz w:val="22"/>
        </w:rPr>
        <w:t>divisor</w:t>
      </w:r>
      <w:r>
        <w:rPr>
          <w:sz w:val="22"/>
        </w:rPr>
        <w:t>. [</w:t>
      </w:r>
      <w:r>
        <w:rPr>
          <w:i/>
          <w:sz w:val="22"/>
        </w:rPr>
        <w:t>Example</w:t>
      </w:r>
      <w:r>
        <w:rPr>
          <w:sz w:val="22"/>
        </w:rPr>
        <w:t>:</w:t>
      </w:r>
    </w:p>
    <w:p>
      <w:pPr>
        <w:pStyle w:val="BodyText"/>
        <w:spacing w:line="276" w:lineRule="auto" w:before="109"/>
        <w:ind w:left="220" w:right="7364"/>
        <w:rPr>
          <w:rFonts w:ascii="Consolas"/>
        </w:rPr>
      </w:pPr>
      <w:r>
        <w:rPr>
          <w:rFonts w:ascii="Consolas"/>
        </w:rPr>
        <w:t>QUOTIENT(5,2) </w:t>
      </w:r>
      <w:r>
        <w:rPr/>
        <w:t>results in </w:t>
      </w:r>
      <w:r>
        <w:rPr>
          <w:rFonts w:ascii="Consolas"/>
        </w:rPr>
        <w:t>2 QUOTIENT(4.5,3.1)</w:t>
      </w:r>
      <w:r>
        <w:rPr>
          <w:rFonts w:ascii="Consolas"/>
          <w:spacing w:val="-81"/>
        </w:rPr>
        <w:t> </w:t>
      </w:r>
      <w:r>
        <w:rPr/>
        <w:t>results in </w:t>
      </w:r>
      <w:r>
        <w:rPr>
          <w:rFonts w:ascii="Consolas"/>
        </w:rPr>
        <w:t>1 QUOTIENT(-10,3)</w:t>
      </w:r>
      <w:r>
        <w:rPr>
          <w:rFonts w:ascii="Consolas"/>
          <w:spacing w:val="-77"/>
        </w:rPr>
        <w:t> </w:t>
      </w:r>
      <w:r>
        <w:rPr/>
        <w:t>results in </w:t>
      </w:r>
      <w:r>
        <w:rPr>
          <w:rFonts w:ascii="Consolas"/>
        </w:rPr>
        <w:t>-3</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66 RADIANS" w:id="2190"/>
      <w:bookmarkEnd w:id="2190"/>
      <w:r>
        <w:rPr/>
      </w:r>
      <w:bookmarkStart w:name="_bookmark729" w:id="2191"/>
      <w:bookmarkEnd w:id="2191"/>
      <w:r>
        <w:rPr/>
      </w:r>
      <w:bookmarkStart w:name="_bookmark729" w:id="2192"/>
      <w:bookmarkEnd w:id="2192"/>
      <w:r>
        <w:rPr>
          <w:color w:val="4F81BC"/>
        </w:rPr>
        <w:t>RA</w:t>
      </w:r>
      <w:r>
        <w:rPr>
          <w:color w:val="4F81BC"/>
        </w:rPr>
        <w:t>DIANS</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RADIANS ( </w:t>
      </w:r>
      <w:r>
        <w:rPr>
          <w:i/>
          <w:sz w:val="22"/>
        </w:rPr>
        <w:t>angle </w:t>
      </w:r>
      <w:r>
        <w:rPr>
          <w:rFonts w:ascii="Lucida Console"/>
          <w:sz w:val="20"/>
        </w:rPr>
        <w:t>)</w:t>
      </w:r>
    </w:p>
    <w:p>
      <w:pPr>
        <w:spacing w:before="108"/>
        <w:ind w:left="220" w:right="0" w:firstLine="0"/>
        <w:jc w:val="left"/>
        <w:rPr>
          <w:sz w:val="22"/>
        </w:rPr>
      </w:pPr>
      <w:r>
        <w:rPr>
          <w:b/>
          <w:sz w:val="22"/>
        </w:rPr>
        <w:t>Description: </w:t>
      </w:r>
      <w:r>
        <w:rPr>
          <w:sz w:val="22"/>
        </w:rPr>
        <w:t>Converts </w:t>
      </w:r>
      <w:r>
        <w:rPr>
          <w:rFonts w:ascii="Times New Roman"/>
          <w:i/>
          <w:sz w:val="22"/>
        </w:rPr>
        <w:t>angle </w:t>
      </w:r>
      <w:r>
        <w:rPr>
          <w:sz w:val="22"/>
        </w:rPr>
        <w:t>in degrees into radians.</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angle</w:t>
            </w:r>
          </w:p>
        </w:tc>
        <w:tc>
          <w:tcPr>
            <w:tcW w:w="1800" w:type="dxa"/>
          </w:tcPr>
          <w:p>
            <w:pPr>
              <w:pStyle w:val="TableParagraph"/>
              <w:ind w:left="112"/>
              <w:rPr>
                <w:sz w:val="22"/>
              </w:rPr>
            </w:pPr>
            <w:r>
              <w:rPr>
                <w:sz w:val="22"/>
              </w:rPr>
              <w:t>number</w:t>
            </w:r>
          </w:p>
        </w:tc>
        <w:tc>
          <w:tcPr>
            <w:tcW w:w="5400" w:type="dxa"/>
          </w:tcPr>
          <w:p>
            <w:pPr>
              <w:pStyle w:val="TableParagraph"/>
              <w:ind w:left="113" w:right="384"/>
              <w:rPr>
                <w:sz w:val="22"/>
              </w:rPr>
            </w:pPr>
            <w:r>
              <w:rPr>
                <w:sz w:val="22"/>
              </w:rPr>
              <w:t>The angle expressed in degrees that is to be converted into radians.</w:t>
            </w:r>
          </w:p>
        </w:tc>
      </w:tr>
    </w:tbl>
    <w:p>
      <w:pPr>
        <w:spacing w:after="0"/>
        <w:rPr>
          <w:sz w:val="22"/>
        </w:rPr>
        <w:sectPr>
          <w:pgSz w:w="12240" w:h="15840"/>
          <w:pgMar w:header="761" w:footer="746" w:top="1340" w:bottom="940" w:left="860" w:right="700"/>
        </w:sectPr>
      </w:pPr>
    </w:p>
    <w:p>
      <w:pPr>
        <w:spacing w:line="453" w:lineRule="auto" w:before="150"/>
        <w:ind w:left="220" w:right="6108" w:firstLine="0"/>
        <w:jc w:val="left"/>
        <w:rPr>
          <w:sz w:val="22"/>
        </w:rPr>
      </w:pPr>
      <w:r>
        <w:rPr>
          <w:b/>
          <w:sz w:val="22"/>
        </w:rPr>
        <w:t>Return Type and Value: </w:t>
      </w:r>
      <w:r>
        <w:rPr>
          <w:sz w:val="22"/>
        </w:rPr>
        <w:t>number – </w:t>
      </w:r>
      <w:r>
        <w:rPr>
          <w:rFonts w:ascii="Times New Roman" w:hAnsi="Times New Roman"/>
          <w:i/>
          <w:sz w:val="22"/>
        </w:rPr>
        <w:t>angle </w:t>
      </w:r>
      <w:r>
        <w:rPr>
          <w:sz w:val="22"/>
        </w:rPr>
        <w:t>in radians. [</w:t>
      </w:r>
      <w:r>
        <w:rPr>
          <w:i/>
          <w:sz w:val="22"/>
        </w:rPr>
        <w:t>Example</w:t>
      </w:r>
      <w:r>
        <w:rPr>
          <w:sz w:val="22"/>
        </w:rPr>
        <w:t>:</w:t>
      </w:r>
    </w:p>
    <w:p>
      <w:pPr>
        <w:pStyle w:val="BodyText"/>
        <w:spacing w:line="276" w:lineRule="auto" w:before="109"/>
        <w:ind w:left="220" w:right="6761"/>
        <w:rPr>
          <w:rFonts w:ascii="Consolas"/>
        </w:rPr>
      </w:pPr>
      <w:r>
        <w:rPr>
          <w:rFonts w:ascii="Consolas"/>
        </w:rPr>
        <w:t>RADIANS(360)</w:t>
      </w:r>
      <w:r>
        <w:rPr>
          <w:rFonts w:ascii="Consolas"/>
          <w:spacing w:val="-88"/>
        </w:rPr>
        <w:t> </w:t>
      </w:r>
      <w:r>
        <w:rPr/>
        <w:t>results in </w:t>
      </w:r>
      <w:r>
        <w:rPr>
          <w:rFonts w:ascii="Consolas"/>
        </w:rPr>
        <w:t>6.283185307 RADIANS(270) </w:t>
      </w:r>
      <w:r>
        <w:rPr/>
        <w:t>results in </w:t>
      </w:r>
      <w:r>
        <w:rPr>
          <w:rFonts w:ascii="Consolas"/>
        </w:rPr>
        <w:t>4.71238898 RADIANS(45) </w:t>
      </w:r>
      <w:r>
        <w:rPr/>
        <w:t>results in </w:t>
      </w:r>
      <w:r>
        <w:rPr>
          <w:rFonts w:ascii="Consolas"/>
        </w:rPr>
        <w:t>0.785398163 RADIANS(8.5)</w:t>
      </w:r>
      <w:r>
        <w:rPr>
          <w:rFonts w:ascii="Consolas"/>
          <w:spacing w:val="-88"/>
        </w:rPr>
        <w:t> </w:t>
      </w:r>
      <w:r>
        <w:rPr/>
        <w:t>results in </w:t>
      </w:r>
      <w:r>
        <w:rPr>
          <w:rFonts w:ascii="Consolas"/>
        </w:rPr>
        <w:t>0.148352986</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67 RAND" w:id="2193"/>
      <w:bookmarkEnd w:id="2193"/>
      <w:r>
        <w:rPr/>
      </w:r>
      <w:bookmarkStart w:name="_bookmark730" w:id="2194"/>
      <w:bookmarkEnd w:id="2194"/>
      <w:r>
        <w:rPr/>
      </w:r>
      <w:bookmarkStart w:name="_bookmark730" w:id="2195"/>
      <w:bookmarkEnd w:id="2195"/>
      <w:r>
        <w:rPr>
          <w:color w:val="4F81BC"/>
        </w:rPr>
        <w:t>RA</w:t>
      </w:r>
      <w:r>
        <w:rPr>
          <w:color w:val="4F81BC"/>
        </w:rPr>
        <w:t>ND</w:t>
      </w:r>
    </w:p>
    <w:p>
      <w:pPr>
        <w:pStyle w:val="Heading4"/>
        <w:spacing w:before="122"/>
        <w:rPr>
          <w:b w:val="0"/>
        </w:rPr>
      </w:pPr>
      <w:r>
        <w:rPr/>
        <w:t>Syntax</w:t>
      </w:r>
      <w:r>
        <w:rPr>
          <w:b w:val="0"/>
        </w:rPr>
        <w:t>:</w:t>
      </w:r>
    </w:p>
    <w:p>
      <w:pPr>
        <w:pStyle w:val="BodyText"/>
        <w:spacing w:before="3"/>
        <w:rPr>
          <w:sz w:val="23"/>
        </w:rPr>
      </w:pPr>
    </w:p>
    <w:p>
      <w:pPr>
        <w:spacing w:before="1"/>
        <w:ind w:left="940" w:right="0" w:firstLine="0"/>
        <w:jc w:val="left"/>
        <w:rPr>
          <w:rFonts w:ascii="Lucida Console"/>
          <w:sz w:val="20"/>
        </w:rPr>
      </w:pPr>
      <w:r>
        <w:rPr>
          <w:rFonts w:ascii="Lucida Console"/>
          <w:sz w:val="20"/>
        </w:rPr>
        <w:t>RAND (</w:t>
      </w:r>
      <w:r>
        <w:rPr>
          <w:rFonts w:ascii="Lucida Console"/>
          <w:spacing w:val="-92"/>
          <w:sz w:val="20"/>
        </w:rPr>
        <w:t> </w:t>
      </w:r>
      <w:r>
        <w:rPr>
          <w:rFonts w:ascii="Lucida Console"/>
          <w:sz w:val="20"/>
        </w:rPr>
        <w:t>)</w:t>
      </w:r>
    </w:p>
    <w:p>
      <w:pPr>
        <w:pStyle w:val="BodyText"/>
        <w:spacing w:line="278" w:lineRule="auto" w:before="122"/>
        <w:ind w:left="220" w:right="556"/>
      </w:pPr>
      <w:r>
        <w:rPr>
          <w:b/>
        </w:rPr>
        <w:t>Description: </w:t>
      </w:r>
      <w:r>
        <w:rPr/>
        <w:t>Computes an evenly distributed random real number greater than or equal to 0 and less than 1. A new random real number is returned every time the cell's value is calculated.</w:t>
      </w:r>
    </w:p>
    <w:p>
      <w:pPr>
        <w:pStyle w:val="BodyText"/>
        <w:spacing w:before="3"/>
        <w:rPr>
          <w:sz w:val="16"/>
        </w:rPr>
      </w:pPr>
    </w:p>
    <w:p>
      <w:pPr>
        <w:spacing w:before="0"/>
        <w:ind w:left="220" w:right="0" w:firstLine="0"/>
        <w:jc w:val="left"/>
        <w:rPr>
          <w:sz w:val="22"/>
        </w:rPr>
      </w:pPr>
      <w:r>
        <w:rPr>
          <w:b/>
          <w:sz w:val="22"/>
        </w:rPr>
        <w:t>Arguments: </w:t>
      </w:r>
      <w:r>
        <w:rPr>
          <w:sz w:val="22"/>
        </w:rPr>
        <w:t>None.</w:t>
      </w:r>
    </w:p>
    <w:p>
      <w:pPr>
        <w:pStyle w:val="BodyText"/>
        <w:spacing w:before="5"/>
        <w:rPr>
          <w:sz w:val="19"/>
        </w:rPr>
      </w:pPr>
    </w:p>
    <w:p>
      <w:pPr>
        <w:pStyle w:val="BodyText"/>
        <w:spacing w:line="276" w:lineRule="auto" w:before="1"/>
        <w:ind w:left="220" w:right="393"/>
      </w:pPr>
      <w:r>
        <w:rPr>
          <w:b/>
        </w:rPr>
        <w:t>Return Type and Value: </w:t>
      </w:r>
      <w:r>
        <w:rPr/>
        <w:t>number – An evenly distributed random real number greater than or equal to 0 and less than 1.</w:t>
      </w:r>
    </w:p>
    <w:p>
      <w:pPr>
        <w:pStyle w:val="BodyText"/>
        <w:spacing w:before="2"/>
        <w:rPr>
          <w:sz w:val="16"/>
        </w:rPr>
      </w:pPr>
    </w:p>
    <w:p>
      <w:pPr>
        <w:spacing w:before="1"/>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line="276" w:lineRule="auto"/>
        <w:ind w:left="220" w:right="6642"/>
        <w:rPr>
          <w:rFonts w:ascii="Consolas"/>
        </w:rPr>
      </w:pPr>
      <w:r>
        <w:rPr>
          <w:rFonts w:ascii="Consolas"/>
        </w:rPr>
        <w:t>RAND() </w:t>
      </w:r>
      <w:r>
        <w:rPr/>
        <w:t>results in </w:t>
      </w:r>
      <w:r>
        <w:rPr>
          <w:rFonts w:ascii="Consolas"/>
        </w:rPr>
        <w:t>0.437337454 INT(RAND()*(6-1)+1)</w:t>
      </w:r>
      <w:r>
        <w:rPr>
          <w:rFonts w:ascii="Consolas"/>
          <w:spacing w:val="-88"/>
        </w:rPr>
        <w:t> </w:t>
      </w:r>
      <w:r>
        <w:rPr/>
        <w:t>might result in </w:t>
      </w:r>
      <w:r>
        <w:rPr>
          <w:rFonts w:ascii="Consolas"/>
        </w:rPr>
        <w:t>3</w:t>
      </w:r>
    </w:p>
    <w:p>
      <w:pPr>
        <w:pStyle w:val="BodyText"/>
        <w:spacing w:before="6"/>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68 RANDBETWEEN" w:id="2196"/>
      <w:bookmarkEnd w:id="2196"/>
      <w:r>
        <w:rPr/>
      </w:r>
      <w:bookmarkStart w:name="_bookmark731" w:id="2197"/>
      <w:bookmarkEnd w:id="2197"/>
      <w:r>
        <w:rPr/>
      </w:r>
      <w:bookmarkStart w:name="_bookmark731" w:id="2198"/>
      <w:bookmarkEnd w:id="2198"/>
      <w:r>
        <w:rPr>
          <w:color w:val="4F81BC"/>
        </w:rPr>
        <w:t>RA</w:t>
      </w:r>
      <w:r>
        <w:rPr>
          <w:color w:val="4F81BC"/>
        </w:rPr>
        <w:t>NDBETWEEN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RANDBETWEEN ( </w:t>
      </w:r>
      <w:r>
        <w:rPr>
          <w:i/>
          <w:sz w:val="22"/>
        </w:rPr>
        <w:t>lower-bound </w:t>
      </w:r>
      <w:r>
        <w:rPr>
          <w:rFonts w:ascii="Lucida Console"/>
          <w:sz w:val="20"/>
        </w:rPr>
        <w:t>, </w:t>
      </w:r>
      <w:r>
        <w:rPr>
          <w:i/>
          <w:sz w:val="22"/>
        </w:rPr>
        <w:t>upper-bound </w:t>
      </w:r>
      <w:r>
        <w:rPr>
          <w:rFonts w:ascii="Lucida Console"/>
          <w:sz w:val="20"/>
        </w:rPr>
        <w:t>)</w:t>
      </w:r>
    </w:p>
    <w:p>
      <w:pPr>
        <w:spacing w:line="278" w:lineRule="auto" w:before="106"/>
        <w:ind w:left="220" w:right="364" w:firstLine="0"/>
        <w:jc w:val="left"/>
        <w:rPr>
          <w:sz w:val="22"/>
        </w:rPr>
      </w:pPr>
      <w:r>
        <w:rPr>
          <w:b/>
          <w:sz w:val="22"/>
        </w:rPr>
        <w:t>Description: </w:t>
      </w:r>
      <w:r>
        <w:rPr>
          <w:sz w:val="22"/>
        </w:rPr>
        <w:t>Computes a random integer number in the range </w:t>
      </w:r>
      <w:r>
        <w:rPr>
          <w:rFonts w:ascii="Times New Roman" w:hAnsi="Times New Roman"/>
          <w:i/>
          <w:sz w:val="22"/>
        </w:rPr>
        <w:t>lower-bound</w:t>
      </w:r>
      <w:r>
        <w:rPr>
          <w:sz w:val="22"/>
        </w:rPr>
        <w:t>–</w:t>
      </w:r>
      <w:r>
        <w:rPr>
          <w:rFonts w:ascii="Times New Roman" w:hAnsi="Times New Roman"/>
          <w:i/>
          <w:sz w:val="22"/>
        </w:rPr>
        <w:t>upper-bound</w:t>
      </w:r>
      <w:r>
        <w:rPr>
          <w:sz w:val="22"/>
        </w:rPr>
        <w:t>. A new random integer number is returned every time the cell's value is calculated.</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13" w:right="109"/>
              <w:jc w:val="center"/>
              <w:rPr>
                <w:rFonts w:ascii="Times New Roman"/>
                <w:i/>
                <w:sz w:val="22"/>
              </w:rPr>
            </w:pPr>
            <w:r>
              <w:rPr>
                <w:rFonts w:ascii="Times New Roman"/>
                <w:i/>
                <w:sz w:val="22"/>
              </w:rPr>
              <w:t>lower-bound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smallest integer that is returned.</w:t>
            </w:r>
          </w:p>
        </w:tc>
      </w:tr>
      <w:tr>
        <w:trPr>
          <w:trHeight w:val="354" w:hRule="atLeast"/>
        </w:trPr>
        <w:tc>
          <w:tcPr>
            <w:tcW w:w="1466" w:type="dxa"/>
          </w:tcPr>
          <w:p>
            <w:pPr>
              <w:pStyle w:val="TableParagraph"/>
              <w:spacing w:before="37"/>
              <w:ind w:left="25" w:right="109"/>
              <w:jc w:val="center"/>
              <w:rPr>
                <w:rFonts w:ascii="Times New Roman"/>
                <w:i/>
                <w:sz w:val="22"/>
              </w:rPr>
            </w:pPr>
            <w:r>
              <w:rPr>
                <w:rFonts w:ascii="Times New Roman"/>
                <w:i/>
                <w:sz w:val="22"/>
              </w:rPr>
              <w:t>upper-bound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largest integer that is returned.</w:t>
            </w:r>
          </w:p>
        </w:tc>
      </w:tr>
    </w:tbl>
    <w:p>
      <w:pPr>
        <w:spacing w:after="0"/>
        <w:rPr>
          <w:sz w:val="22"/>
        </w:rPr>
        <w:sectPr>
          <w:pgSz w:w="12240" w:h="15840"/>
          <w:pgMar w:header="763" w:footer="746" w:top="1340" w:bottom="940" w:left="860" w:right="700"/>
        </w:sectPr>
      </w:pPr>
    </w:p>
    <w:p>
      <w:pPr>
        <w:spacing w:line="453" w:lineRule="auto" w:before="93"/>
        <w:ind w:left="220" w:right="2972" w:firstLine="0"/>
        <w:jc w:val="left"/>
        <w:rPr>
          <w:sz w:val="22"/>
        </w:rPr>
      </w:pPr>
      <w:r>
        <w:rPr>
          <w:b/>
          <w:sz w:val="22"/>
        </w:rPr>
        <w:t>Return Type and Value: </w:t>
      </w:r>
      <w:r>
        <w:rPr>
          <w:sz w:val="22"/>
        </w:rPr>
        <w:t>number – A random integer number in the range specified. However, if </w:t>
      </w:r>
      <w:r>
        <w:rPr>
          <w:rFonts w:ascii="Times New Roman" w:hAnsi="Times New Roman"/>
          <w:i/>
          <w:sz w:val="22"/>
        </w:rPr>
        <w:t>lower-bound </w:t>
      </w:r>
      <w:r>
        <w:rPr>
          <w:sz w:val="22"/>
        </w:rPr>
        <w:t>is greater than </w:t>
      </w:r>
      <w:r>
        <w:rPr>
          <w:rFonts w:ascii="Times New Roman" w:hAnsi="Times New Roman"/>
          <w:i/>
          <w:sz w:val="22"/>
        </w:rPr>
        <w:t>upper-bound</w:t>
      </w:r>
      <w:r>
        <w:rPr>
          <w:sz w:val="22"/>
        </w:rPr>
        <w:t>, </w:t>
      </w:r>
      <w:r>
        <w:rPr>
          <w:rFonts w:ascii="Consolas" w:hAnsi="Consolas"/>
          <w:sz w:val="22"/>
        </w:rPr>
        <w:t>#NUM! </w:t>
      </w:r>
      <w:r>
        <w:rPr>
          <w:sz w:val="22"/>
        </w:rPr>
        <w:t>is returned. [</w:t>
      </w:r>
      <w:r>
        <w:rPr>
          <w:i/>
          <w:sz w:val="22"/>
        </w:rPr>
        <w:t>Example</w:t>
      </w:r>
      <w:r>
        <w:rPr>
          <w:sz w:val="22"/>
        </w:rPr>
        <w:t>:</w:t>
      </w:r>
    </w:p>
    <w:p>
      <w:pPr>
        <w:pStyle w:val="BodyText"/>
        <w:spacing w:before="109"/>
        <w:ind w:left="220"/>
      </w:pPr>
      <w:r>
        <w:rPr>
          <w:rFonts w:ascii="Consolas"/>
        </w:rPr>
        <w:t>RANDBETWEEN(1,6)</w:t>
      </w:r>
      <w:r>
        <w:rPr>
          <w:rFonts w:ascii="Consolas"/>
          <w:spacing w:val="-68"/>
        </w:rPr>
        <w:t> </w:t>
      </w:r>
      <w:r>
        <w:rPr/>
        <w:t>results in an integer between </w:t>
      </w:r>
      <w:r>
        <w:rPr>
          <w:rFonts w:ascii="Consolas"/>
        </w:rPr>
        <w:t>1</w:t>
      </w:r>
      <w:r>
        <w:rPr>
          <w:rFonts w:ascii="Consolas"/>
          <w:spacing w:val="-75"/>
        </w:rPr>
        <w:t> </w:t>
      </w:r>
      <w:r>
        <w:rPr/>
        <w:t>and </w:t>
      </w:r>
      <w:r>
        <w:rPr>
          <w:rFonts w:ascii="Consolas"/>
        </w:rPr>
        <w:t>6</w:t>
      </w:r>
      <w:r>
        <w:rPr/>
        <w:t>, inclusive</w:t>
      </w:r>
    </w:p>
    <w:p>
      <w:pPr>
        <w:pStyle w:val="BodyText"/>
        <w:spacing w:before="41"/>
        <w:ind w:left="220"/>
      </w:pPr>
      <w:r>
        <w:rPr>
          <w:rFonts w:ascii="Consolas"/>
        </w:rPr>
        <w:t>RANDBETWEEN(-10,10)</w:t>
      </w:r>
      <w:r>
        <w:rPr>
          <w:rFonts w:ascii="Consolas"/>
          <w:spacing w:val="-73"/>
        </w:rPr>
        <w:t> </w:t>
      </w:r>
      <w:r>
        <w:rPr/>
        <w:t>results in an integer between </w:t>
      </w:r>
      <w:r>
        <w:rPr>
          <w:rFonts w:ascii="Consolas"/>
        </w:rPr>
        <w:t>-10</w:t>
      </w:r>
      <w:r>
        <w:rPr>
          <w:rFonts w:ascii="Consolas"/>
          <w:spacing w:val="-70"/>
        </w:rPr>
        <w:t> </w:t>
      </w:r>
      <w:r>
        <w:rPr/>
        <w:t>and </w:t>
      </w:r>
      <w:r>
        <w:rPr>
          <w:rFonts w:ascii="Consolas"/>
        </w:rPr>
        <w:t>10</w:t>
      </w:r>
      <w:r>
        <w:rPr/>
        <w:t>, inclusive</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69 RANK" w:id="2199"/>
      <w:bookmarkEnd w:id="2199"/>
      <w:r>
        <w:rPr/>
      </w:r>
      <w:bookmarkStart w:name="_bookmark732" w:id="2200"/>
      <w:bookmarkEnd w:id="2200"/>
      <w:r>
        <w:rPr/>
      </w:r>
      <w:bookmarkStart w:name="_bookmark732" w:id="2201"/>
      <w:bookmarkEnd w:id="2201"/>
      <w:r>
        <w:rPr>
          <w:color w:val="4F81BC"/>
        </w:rPr>
        <w:t>RA</w:t>
      </w:r>
      <w:r>
        <w:rPr>
          <w:color w:val="4F81BC"/>
        </w:rPr>
        <w:t>NK</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RANK ( </w:t>
      </w:r>
      <w:r>
        <w:rPr>
          <w:i/>
          <w:sz w:val="22"/>
        </w:rPr>
        <w:t>number </w:t>
      </w:r>
      <w:r>
        <w:rPr>
          <w:sz w:val="22"/>
        </w:rPr>
        <w:t>, </w:t>
      </w:r>
      <w:r>
        <w:rPr>
          <w:i/>
          <w:sz w:val="22"/>
        </w:rPr>
        <w:t>number-list </w:t>
      </w:r>
      <w:r>
        <w:rPr>
          <w:sz w:val="22"/>
        </w:rPr>
        <w:t>[ , </w:t>
      </w:r>
      <w:r>
        <w:rPr>
          <w:i/>
          <w:sz w:val="22"/>
        </w:rPr>
        <w:t>order </w:t>
      </w:r>
      <w:r>
        <w:rPr>
          <w:sz w:val="22"/>
        </w:rPr>
        <w:t>] </w:t>
      </w:r>
      <w:r>
        <w:rPr>
          <w:rFonts w:ascii="Lucida Console"/>
          <w:sz w:val="20"/>
        </w:rPr>
        <w:t>)</w:t>
      </w:r>
    </w:p>
    <w:p>
      <w:pPr>
        <w:pStyle w:val="BodyText"/>
        <w:spacing w:line="276" w:lineRule="auto" w:before="106"/>
        <w:ind w:left="220"/>
      </w:pPr>
      <w:r>
        <w:rPr>
          <w:b/>
        </w:rPr>
        <w:t>Description: </w:t>
      </w:r>
      <w:r>
        <w:rPr/>
        <w:t>Computes the rank of a number in a list of numbers. </w:t>
      </w:r>
      <w:r>
        <w:rPr>
          <w:rFonts w:ascii="Consolas"/>
        </w:rPr>
        <w:t>RANK</w:t>
      </w:r>
      <w:r>
        <w:rPr>
          <w:rFonts w:ascii="Consolas"/>
          <w:spacing w:val="-105"/>
        </w:rPr>
        <w:t> </w:t>
      </w:r>
      <w:r>
        <w:rPr/>
        <w:t>gives duplicate numbers the same rank. However, the presence of duplicate numbers affects the ranks of subsequent numbers.</w:t>
      </w:r>
    </w:p>
    <w:p>
      <w:pPr>
        <w:pStyle w:val="BodyText"/>
        <w:spacing w:before="6"/>
        <w:rPr>
          <w:sz w:val="16"/>
        </w:rPr>
      </w:pPr>
    </w:p>
    <w:p>
      <w:pPr>
        <w:pStyle w:val="Heading4"/>
      </w:pPr>
      <w:r>
        <w:rPr/>
        <w:t>Arguments:</w:t>
      </w:r>
    </w:p>
    <w:p>
      <w:pPr>
        <w:pStyle w:val="BodyText"/>
        <w:spacing w:before="1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whose rank is to be found.</w:t>
            </w:r>
          </w:p>
        </w:tc>
      </w:tr>
      <w:tr>
        <w:trPr>
          <w:trHeight w:val="623" w:hRule="atLeast"/>
        </w:trPr>
        <w:tc>
          <w:tcPr>
            <w:tcW w:w="1466" w:type="dxa"/>
          </w:tcPr>
          <w:p>
            <w:pPr>
              <w:pStyle w:val="TableParagraph"/>
              <w:spacing w:before="37"/>
              <w:rPr>
                <w:rFonts w:ascii="Times New Roman"/>
                <w:i/>
                <w:sz w:val="22"/>
              </w:rPr>
            </w:pPr>
            <w:r>
              <w:rPr>
                <w:rFonts w:ascii="Times New Roman"/>
                <w:i/>
                <w:sz w:val="22"/>
              </w:rPr>
              <w:t>number-list</w:t>
            </w:r>
          </w:p>
        </w:tc>
        <w:tc>
          <w:tcPr>
            <w:tcW w:w="1800" w:type="dxa"/>
          </w:tcPr>
          <w:p>
            <w:pPr>
              <w:pStyle w:val="TableParagraph"/>
              <w:ind w:left="112"/>
              <w:rPr>
                <w:sz w:val="22"/>
              </w:rPr>
            </w:pPr>
            <w:r>
              <w:rPr>
                <w:sz w:val="22"/>
              </w:rPr>
              <w:t>reference</w:t>
            </w:r>
          </w:p>
        </w:tc>
        <w:tc>
          <w:tcPr>
            <w:tcW w:w="5400" w:type="dxa"/>
          </w:tcPr>
          <w:p>
            <w:pPr>
              <w:pStyle w:val="TableParagraph"/>
              <w:ind w:left="113" w:right="430"/>
              <w:rPr>
                <w:sz w:val="22"/>
              </w:rPr>
            </w:pPr>
            <w:r>
              <w:rPr>
                <w:sz w:val="22"/>
              </w:rPr>
              <w:t>Designates the list of numbers. Non-numeric values in this list are ignored.</w:t>
            </w:r>
          </w:p>
        </w:tc>
      </w:tr>
      <w:tr>
        <w:trPr>
          <w:trHeight w:val="1161" w:hRule="atLeast"/>
        </w:trPr>
        <w:tc>
          <w:tcPr>
            <w:tcW w:w="1466" w:type="dxa"/>
          </w:tcPr>
          <w:p>
            <w:pPr>
              <w:pStyle w:val="TableParagraph"/>
              <w:spacing w:before="37"/>
              <w:rPr>
                <w:rFonts w:ascii="Times New Roman"/>
                <w:i/>
                <w:sz w:val="22"/>
              </w:rPr>
            </w:pPr>
            <w:r>
              <w:rPr>
                <w:rFonts w:ascii="Times New Roman"/>
                <w:i/>
                <w:sz w:val="22"/>
              </w:rPr>
              <w:t>order</w:t>
            </w:r>
          </w:p>
        </w:tc>
        <w:tc>
          <w:tcPr>
            <w:tcW w:w="1800" w:type="dxa"/>
          </w:tcPr>
          <w:p>
            <w:pPr>
              <w:pStyle w:val="TableParagraph"/>
              <w:ind w:left="112"/>
              <w:rPr>
                <w:sz w:val="22"/>
              </w:rPr>
            </w:pPr>
            <w:r>
              <w:rPr>
                <w:sz w:val="22"/>
              </w:rPr>
              <w:t>number</w:t>
            </w:r>
          </w:p>
        </w:tc>
        <w:tc>
          <w:tcPr>
            <w:tcW w:w="5400" w:type="dxa"/>
          </w:tcPr>
          <w:p>
            <w:pPr>
              <w:pStyle w:val="TableParagraph"/>
              <w:ind w:left="113" w:right="195"/>
              <w:jc w:val="both"/>
              <w:rPr>
                <w:sz w:val="22"/>
              </w:rPr>
            </w:pPr>
            <w:r>
              <w:rPr>
                <w:sz w:val="22"/>
              </w:rPr>
              <w:t>Specifies how </w:t>
            </w:r>
            <w:r>
              <w:rPr>
                <w:rFonts w:ascii="Times New Roman"/>
                <w:i/>
                <w:sz w:val="22"/>
              </w:rPr>
              <w:t>number </w:t>
            </w:r>
            <w:r>
              <w:rPr>
                <w:sz w:val="22"/>
              </w:rPr>
              <w:t>is to be ranked. If zero or omitted, </w:t>
            </w:r>
            <w:r>
              <w:rPr>
                <w:rFonts w:ascii="Times New Roman"/>
                <w:i/>
                <w:sz w:val="22"/>
              </w:rPr>
              <w:t>number </w:t>
            </w:r>
            <w:r>
              <w:rPr>
                <w:sz w:val="22"/>
              </w:rPr>
              <w:t>is ranked as if the list were sorted in descending order. If </w:t>
            </w:r>
            <w:r>
              <w:rPr>
                <w:rFonts w:ascii="Times New Roman"/>
                <w:i/>
                <w:sz w:val="22"/>
              </w:rPr>
              <w:t>order </w:t>
            </w:r>
            <w:r>
              <w:rPr>
                <w:sz w:val="22"/>
              </w:rPr>
              <w:t>is any non-zero value, </w:t>
            </w:r>
            <w:r>
              <w:rPr>
                <w:rFonts w:ascii="Times New Roman"/>
                <w:i/>
                <w:sz w:val="22"/>
              </w:rPr>
              <w:t>number </w:t>
            </w:r>
            <w:r>
              <w:rPr>
                <w:sz w:val="22"/>
              </w:rPr>
              <w:t>is ranked</w:t>
            </w:r>
            <w:r>
              <w:rPr>
                <w:spacing w:val="-24"/>
                <w:sz w:val="22"/>
              </w:rPr>
              <w:t> </w:t>
            </w:r>
            <w:r>
              <w:rPr>
                <w:sz w:val="22"/>
              </w:rPr>
              <w:t>as if the list were sorted in ascending</w:t>
            </w:r>
            <w:r>
              <w:rPr>
                <w:spacing w:val="-3"/>
                <w:sz w:val="22"/>
              </w:rPr>
              <w:t> </w:t>
            </w:r>
            <w:r>
              <w:rPr>
                <w:sz w:val="22"/>
              </w:rPr>
              <w:t>order.</w:t>
            </w:r>
          </w:p>
        </w:tc>
      </w:tr>
    </w:tbl>
    <w:p>
      <w:pPr>
        <w:pStyle w:val="BodyText"/>
        <w:rPr>
          <w:b/>
        </w:rPr>
      </w:pPr>
    </w:p>
    <w:p>
      <w:pPr>
        <w:pStyle w:val="BodyText"/>
        <w:spacing w:before="7"/>
        <w:rPr>
          <w:b/>
          <w:sz w:val="19"/>
        </w:rPr>
      </w:pPr>
    </w:p>
    <w:p>
      <w:pPr>
        <w:spacing w:line="453" w:lineRule="auto" w:before="0"/>
        <w:ind w:left="220" w:right="3588" w:firstLine="0"/>
        <w:jc w:val="left"/>
        <w:rPr>
          <w:sz w:val="22"/>
        </w:rPr>
      </w:pPr>
      <w:r>
        <w:rPr>
          <w:b/>
          <w:sz w:val="22"/>
        </w:rPr>
        <w:t>Return Type and Value: </w:t>
      </w:r>
      <w:r>
        <w:rPr>
          <w:sz w:val="22"/>
        </w:rPr>
        <w:t>number – The rank of a number in a list of numbers. However, if </w:t>
      </w:r>
      <w:r>
        <w:rPr>
          <w:i/>
          <w:sz w:val="22"/>
        </w:rPr>
        <w:t>number </w:t>
      </w:r>
      <w:r>
        <w:rPr>
          <w:sz w:val="22"/>
        </w:rPr>
        <w:t>does not exist in </w:t>
      </w:r>
      <w:r>
        <w:rPr>
          <w:i/>
          <w:sz w:val="22"/>
        </w:rPr>
        <w:t>number-list</w:t>
      </w:r>
      <w:r>
        <w:rPr>
          <w:sz w:val="22"/>
        </w:rPr>
        <w:t>, #N/A is returned. [</w:t>
      </w:r>
      <w:r>
        <w:rPr>
          <w:i/>
          <w:sz w:val="22"/>
        </w:rPr>
        <w:t>Example</w:t>
      </w:r>
      <w:r>
        <w:rPr>
          <w:sz w:val="22"/>
        </w:rPr>
        <w:t>:</w:t>
      </w:r>
    </w:p>
    <w:p>
      <w:pPr>
        <w:pStyle w:val="BodyText"/>
        <w:spacing w:before="110"/>
        <w:ind w:left="220"/>
      </w:pPr>
      <w:r>
        <w:rPr/>
        <w:t>When the cells </w:t>
      </w:r>
      <w:r>
        <w:rPr>
          <w:rFonts w:ascii="Consolas"/>
        </w:rPr>
        <w:t>E1:I1</w:t>
      </w:r>
      <w:r>
        <w:rPr>
          <w:rFonts w:ascii="Consolas"/>
          <w:spacing w:val="-83"/>
        </w:rPr>
        <w:t> </w:t>
      </w:r>
      <w:r>
        <w:rPr/>
        <w:t>contain 7, 3.5, 3.5, 1, and 2</w:t>
      </w:r>
    </w:p>
    <w:p>
      <w:pPr>
        <w:pStyle w:val="BodyText"/>
        <w:spacing w:before="9"/>
        <w:rPr>
          <w:sz w:val="28"/>
        </w:rPr>
      </w:pPr>
    </w:p>
    <w:p>
      <w:pPr>
        <w:pStyle w:val="BodyText"/>
        <w:spacing w:line="276" w:lineRule="auto"/>
        <w:ind w:left="220" w:right="7238"/>
        <w:rPr>
          <w:rFonts w:ascii="Consolas"/>
        </w:rPr>
      </w:pPr>
      <w:r>
        <w:rPr>
          <w:rFonts w:ascii="Consolas"/>
        </w:rPr>
        <w:t>RANK(E2,E1:I1,1) </w:t>
      </w:r>
      <w:r>
        <w:rPr/>
        <w:t>results in </w:t>
      </w:r>
      <w:r>
        <w:rPr>
          <w:rFonts w:ascii="Consolas"/>
        </w:rPr>
        <w:t>3 RANK(E2,E1:I1,1,0)</w:t>
      </w:r>
      <w:r>
        <w:rPr>
          <w:rFonts w:ascii="Consolas"/>
          <w:spacing w:val="-81"/>
        </w:rPr>
        <w:t> </w:t>
      </w:r>
      <w:r>
        <w:rPr/>
        <w:t>results in </w:t>
      </w:r>
      <w:r>
        <w:rPr>
          <w:rFonts w:ascii="Consolas"/>
        </w:rPr>
        <w:t>2 RANK(E2,E1:I1,1)</w:t>
      </w:r>
      <w:r>
        <w:rPr>
          <w:rFonts w:ascii="Consolas"/>
          <w:spacing w:val="-72"/>
        </w:rPr>
        <w:t> </w:t>
      </w:r>
      <w:r>
        <w:rPr/>
        <w:t>results in </w:t>
      </w:r>
      <w:r>
        <w:rPr>
          <w:rFonts w:ascii="Consolas"/>
        </w:rPr>
        <w:t>2</w:t>
      </w:r>
    </w:p>
    <w:p>
      <w:pPr>
        <w:pStyle w:val="BodyText"/>
        <w:ind w:left="220"/>
      </w:pPr>
      <w:r>
        <w:rPr>
          <w:rFonts w:ascii="Consolas"/>
        </w:rPr>
        <w:t>RANK(E1,E1:I1,1)</w:t>
      </w:r>
      <w:r>
        <w:rPr>
          <w:rFonts w:ascii="Consolas"/>
          <w:spacing w:val="-88"/>
        </w:rPr>
        <w:t> </w:t>
      </w:r>
      <w:r>
        <w:rPr/>
        <w:t>results in </w:t>
      </w:r>
      <w:r>
        <w:rPr>
          <w:rFonts w:ascii="Consolas"/>
        </w:rPr>
        <w:t>5</w:t>
      </w:r>
      <w:r>
        <w:rPr/>
        <w:t>, as the two 3.5 values both have a rank of 3; no value has rank 4.</w:t>
      </w:r>
    </w:p>
    <w:p>
      <w:pPr>
        <w:pStyle w:val="BodyText"/>
        <w:spacing w:before="9"/>
        <w:rPr>
          <w:sz w:val="28"/>
        </w:rPr>
      </w:pPr>
    </w:p>
    <w:p>
      <w:pPr>
        <w:spacing w:before="0"/>
        <w:ind w:left="220" w:right="0" w:firstLine="0"/>
        <w:jc w:val="left"/>
        <w:rPr>
          <w:sz w:val="22"/>
        </w:rPr>
      </w:pPr>
      <w:r>
        <w:rPr>
          <w:i/>
          <w:sz w:val="22"/>
        </w:rPr>
        <w:t>end example</w:t>
      </w:r>
      <w:r>
        <w:rPr>
          <w:sz w:val="22"/>
        </w:rPr>
        <w:t>]</w:t>
      </w:r>
    </w:p>
    <w:p>
      <w:pPr>
        <w:spacing w:after="0"/>
        <w:jc w:val="left"/>
        <w:rPr>
          <w:sz w:val="22"/>
        </w:rPr>
        <w:sectPr>
          <w:footerReference w:type="even" r:id="rId266"/>
          <w:footerReference w:type="default" r:id="rId267"/>
          <w:pgSz w:w="12240" w:h="15840"/>
          <w:pgMar w:footer="746" w:header="761" w:top="1340" w:bottom="940" w:left="860" w:right="700"/>
          <w:pgNumType w:start="2350"/>
        </w:sectPr>
      </w:pPr>
    </w:p>
    <w:p>
      <w:pPr>
        <w:pStyle w:val="Heading3"/>
        <w:numPr>
          <w:ilvl w:val="3"/>
          <w:numId w:val="66"/>
        </w:numPr>
        <w:tabs>
          <w:tab w:pos="1732" w:val="left" w:leader="none"/>
          <w:tab w:pos="1733" w:val="left" w:leader="none"/>
        </w:tabs>
        <w:spacing w:line="240" w:lineRule="auto" w:before="151" w:after="0"/>
        <w:ind w:left="1732" w:right="0" w:hanging="1513"/>
        <w:jc w:val="left"/>
      </w:pPr>
      <w:bookmarkStart w:name="18.17.7.270 RATE" w:id="2202"/>
      <w:bookmarkEnd w:id="2202"/>
      <w:r>
        <w:rPr/>
      </w:r>
      <w:bookmarkStart w:name="_bookmark733" w:id="2203"/>
      <w:bookmarkEnd w:id="2203"/>
      <w:r>
        <w:rPr/>
      </w:r>
      <w:bookmarkStart w:name="_bookmark733" w:id="2204"/>
      <w:bookmarkEnd w:id="2204"/>
      <w:r>
        <w:rPr>
          <w:color w:val="4F81BC"/>
        </w:rPr>
        <w:t>RA</w:t>
      </w:r>
      <w:r>
        <w:rPr>
          <w:color w:val="4F81BC"/>
        </w:rPr>
        <w:t>TE</w:t>
      </w:r>
    </w:p>
    <w:p>
      <w:pPr>
        <w:pStyle w:val="BodyText"/>
        <w:spacing w:before="121"/>
        <w:ind w:left="220"/>
      </w:pPr>
      <w:r>
        <w:rPr/>
        <w:t>Syntax:</w:t>
      </w:r>
    </w:p>
    <w:p>
      <w:pPr>
        <w:pStyle w:val="BodyText"/>
        <w:spacing w:before="1"/>
        <w:rPr>
          <w:sz w:val="19"/>
        </w:rPr>
      </w:pPr>
    </w:p>
    <w:p>
      <w:pPr>
        <w:spacing w:before="1"/>
        <w:ind w:left="940" w:right="0" w:firstLine="0"/>
        <w:jc w:val="left"/>
        <w:rPr>
          <w:rFonts w:ascii="Lucida Console"/>
          <w:sz w:val="20"/>
        </w:rPr>
      </w:pPr>
      <w:r>
        <w:rPr>
          <w:rFonts w:ascii="Lucida Console"/>
          <w:sz w:val="20"/>
        </w:rPr>
        <w:t>RATE ( </w:t>
      </w:r>
      <w:r>
        <w:rPr>
          <w:i/>
          <w:sz w:val="22"/>
        </w:rPr>
        <w:t>nper </w:t>
      </w:r>
      <w:r>
        <w:rPr>
          <w:rFonts w:ascii="Lucida Console"/>
          <w:sz w:val="20"/>
        </w:rPr>
        <w:t>, </w:t>
      </w:r>
      <w:r>
        <w:rPr>
          <w:i/>
          <w:sz w:val="22"/>
        </w:rPr>
        <w:t>pmt </w:t>
      </w:r>
      <w:r>
        <w:rPr>
          <w:rFonts w:ascii="Lucida Console"/>
          <w:sz w:val="20"/>
        </w:rPr>
        <w:t>, </w:t>
      </w:r>
      <w:r>
        <w:rPr>
          <w:i/>
          <w:sz w:val="22"/>
        </w:rPr>
        <w:t>pv </w:t>
      </w:r>
      <w:r>
        <w:rPr>
          <w:sz w:val="22"/>
        </w:rPr>
        <w:t>[ </w:t>
      </w:r>
      <w:r>
        <w:rPr>
          <w:rFonts w:ascii="Lucida Console"/>
          <w:sz w:val="20"/>
        </w:rPr>
        <w:t>, </w:t>
      </w:r>
      <w:r>
        <w:rPr>
          <w:sz w:val="22"/>
        </w:rPr>
        <w:t>[ [  </w:t>
      </w:r>
      <w:r>
        <w:rPr>
          <w:i/>
          <w:sz w:val="22"/>
        </w:rPr>
        <w:t>fv </w:t>
      </w:r>
      <w:r>
        <w:rPr>
          <w:sz w:val="22"/>
        </w:rPr>
        <w:t>]  [ </w:t>
      </w:r>
      <w:r>
        <w:rPr>
          <w:rFonts w:ascii="Lucida Console"/>
          <w:sz w:val="20"/>
        </w:rPr>
        <w:t>, </w:t>
      </w:r>
      <w:r>
        <w:rPr>
          <w:sz w:val="22"/>
        </w:rPr>
        <w:t>[ [ </w:t>
      </w:r>
      <w:r>
        <w:rPr>
          <w:i/>
          <w:sz w:val="22"/>
        </w:rPr>
        <w:t>type </w:t>
      </w:r>
      <w:r>
        <w:rPr>
          <w:sz w:val="22"/>
        </w:rPr>
        <w:t>] [  </w:t>
      </w:r>
      <w:r>
        <w:rPr>
          <w:rFonts w:ascii="Lucida Console"/>
          <w:sz w:val="20"/>
        </w:rPr>
        <w:t>, </w:t>
      </w:r>
      <w:r>
        <w:rPr>
          <w:sz w:val="22"/>
        </w:rPr>
        <w:t>[ </w:t>
      </w:r>
      <w:r>
        <w:rPr>
          <w:i/>
          <w:sz w:val="22"/>
        </w:rPr>
        <w:t>guess </w:t>
      </w:r>
      <w:r>
        <w:rPr>
          <w:sz w:val="22"/>
        </w:rPr>
        <w:t>] ] ] ] ] ] </w:t>
      </w:r>
      <w:r>
        <w:rPr>
          <w:rFonts w:ascii="Lucida Console"/>
          <w:sz w:val="20"/>
        </w:rPr>
        <w:t>)</w:t>
      </w:r>
    </w:p>
    <w:p>
      <w:pPr>
        <w:pStyle w:val="BodyText"/>
        <w:spacing w:line="278" w:lineRule="auto" w:before="105"/>
        <w:ind w:left="220" w:right="820"/>
      </w:pPr>
      <w:r>
        <w:rPr/>
        <w:t>Description: Computes the interest rate per period of an annuity, using iteration, which can result in zero or more solutions.</w:t>
      </w:r>
    </w:p>
    <w:p>
      <w:pPr>
        <w:pStyle w:val="BodyText"/>
        <w:spacing w:before="3"/>
        <w:rPr>
          <w:sz w:val="16"/>
        </w:rPr>
      </w:pPr>
    </w:p>
    <w:p>
      <w:pPr>
        <w:pStyle w:val="BodyText"/>
        <w:ind w:left="220"/>
      </w:pPr>
      <w:r>
        <w:rPr/>
        <w:t>Arguments:</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454"/>
        <w:gridCol w:w="2985"/>
        <w:gridCol w:w="121"/>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7" w:type="dxa"/>
            <w:gridSpan w:val="4"/>
            <w:shd w:val="clear" w:color="auto" w:fill="C0C0C0"/>
          </w:tcPr>
          <w:p>
            <w:pPr>
              <w:pStyle w:val="TableParagraph"/>
              <w:ind w:left="2154" w:right="2144"/>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nper</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total number of payment periods.</w:t>
            </w:r>
          </w:p>
        </w:tc>
      </w:tr>
      <w:tr>
        <w:trPr>
          <w:trHeight w:val="1159" w:hRule="atLeast"/>
        </w:trPr>
        <w:tc>
          <w:tcPr>
            <w:tcW w:w="1466" w:type="dxa"/>
          </w:tcPr>
          <w:p>
            <w:pPr>
              <w:pStyle w:val="TableParagraph"/>
              <w:spacing w:before="37"/>
              <w:rPr>
                <w:rFonts w:ascii="Times New Roman"/>
                <w:i/>
                <w:sz w:val="22"/>
              </w:rPr>
            </w:pPr>
            <w:r>
              <w:rPr>
                <w:rFonts w:ascii="Times New Roman"/>
                <w:i/>
                <w:sz w:val="22"/>
              </w:rPr>
              <w:t>pmt</w:t>
            </w:r>
          </w:p>
        </w:tc>
        <w:tc>
          <w:tcPr>
            <w:tcW w:w="1800" w:type="dxa"/>
          </w:tcPr>
          <w:p>
            <w:pPr>
              <w:pStyle w:val="TableParagraph"/>
              <w:ind w:left="112"/>
              <w:rPr>
                <w:sz w:val="22"/>
              </w:rPr>
            </w:pPr>
            <w:r>
              <w:rPr>
                <w:sz w:val="22"/>
              </w:rPr>
              <w:t>number</w:t>
            </w:r>
          </w:p>
        </w:tc>
        <w:tc>
          <w:tcPr>
            <w:tcW w:w="5397" w:type="dxa"/>
            <w:gridSpan w:val="4"/>
          </w:tcPr>
          <w:p>
            <w:pPr>
              <w:pStyle w:val="TableParagraph"/>
              <w:ind w:left="113" w:right="215"/>
              <w:rPr>
                <w:sz w:val="22"/>
              </w:rPr>
            </w:pPr>
            <w:r>
              <w:rPr>
                <w:sz w:val="22"/>
              </w:rPr>
              <w:t>The payment made each period and cannot change over the life of the annuity. (Typically, </w:t>
            </w:r>
            <w:r>
              <w:rPr>
                <w:rFonts w:ascii="Times New Roman"/>
                <w:i/>
                <w:sz w:val="22"/>
              </w:rPr>
              <w:t>pmt </w:t>
            </w:r>
            <w:r>
              <w:rPr>
                <w:sz w:val="22"/>
              </w:rPr>
              <w:t>includes principal and interest but no other fees or taxes.) If omitted, </w:t>
            </w:r>
            <w:r>
              <w:rPr>
                <w:rFonts w:ascii="Times New Roman"/>
                <w:i/>
                <w:sz w:val="22"/>
              </w:rPr>
              <w:t>fv </w:t>
            </w:r>
            <w:r>
              <w:rPr>
                <w:sz w:val="22"/>
              </w:rPr>
              <w:t>shall be present.</w:t>
            </w:r>
          </w:p>
        </w:tc>
      </w:tr>
      <w:tr>
        <w:trPr>
          <w:trHeight w:val="354" w:hRule="atLeast"/>
        </w:trPr>
        <w:tc>
          <w:tcPr>
            <w:tcW w:w="1466" w:type="dxa"/>
          </w:tcPr>
          <w:p>
            <w:pPr>
              <w:pStyle w:val="TableParagraph"/>
              <w:spacing w:before="37"/>
              <w:rPr>
                <w:rFonts w:ascii="Times New Roman"/>
                <w:i/>
                <w:sz w:val="22"/>
              </w:rPr>
            </w:pPr>
            <w:r>
              <w:rPr>
                <w:rFonts w:ascii="Times New Roman"/>
                <w:i/>
                <w:sz w:val="22"/>
              </w:rPr>
              <w:t>pv</w:t>
            </w:r>
          </w:p>
        </w:tc>
        <w:tc>
          <w:tcPr>
            <w:tcW w:w="1800" w:type="dxa"/>
          </w:tcPr>
          <w:p>
            <w:pPr>
              <w:pStyle w:val="TableParagraph"/>
              <w:ind w:left="112"/>
              <w:rPr>
                <w:sz w:val="22"/>
              </w:rPr>
            </w:pPr>
            <w:r>
              <w:rPr>
                <w:sz w:val="22"/>
              </w:rPr>
              <w:t>number</w:t>
            </w:r>
          </w:p>
        </w:tc>
        <w:tc>
          <w:tcPr>
            <w:tcW w:w="5397" w:type="dxa"/>
            <w:gridSpan w:val="4"/>
          </w:tcPr>
          <w:p>
            <w:pPr>
              <w:pStyle w:val="TableParagraph"/>
              <w:ind w:left="113"/>
              <w:rPr>
                <w:sz w:val="22"/>
              </w:rPr>
            </w:pPr>
            <w:r>
              <w:rPr>
                <w:sz w:val="22"/>
              </w:rPr>
              <w:t>The present value.</w:t>
            </w:r>
          </w:p>
        </w:tc>
      </w:tr>
      <w:tr>
        <w:trPr>
          <w:trHeight w:val="892" w:hRule="atLeast"/>
        </w:trPr>
        <w:tc>
          <w:tcPr>
            <w:tcW w:w="1466" w:type="dxa"/>
          </w:tcPr>
          <w:p>
            <w:pPr>
              <w:pStyle w:val="TableParagraph"/>
              <w:spacing w:before="37"/>
              <w:rPr>
                <w:rFonts w:ascii="Times New Roman"/>
                <w:i/>
                <w:sz w:val="22"/>
              </w:rPr>
            </w:pPr>
            <w:r>
              <w:rPr>
                <w:rFonts w:ascii="Times New Roman"/>
                <w:i/>
                <w:sz w:val="22"/>
              </w:rPr>
              <w:t>fv</w:t>
            </w:r>
          </w:p>
        </w:tc>
        <w:tc>
          <w:tcPr>
            <w:tcW w:w="1800" w:type="dxa"/>
          </w:tcPr>
          <w:p>
            <w:pPr>
              <w:pStyle w:val="TableParagraph"/>
              <w:ind w:left="112"/>
              <w:rPr>
                <w:sz w:val="22"/>
              </w:rPr>
            </w:pPr>
            <w:r>
              <w:rPr>
                <w:sz w:val="22"/>
              </w:rPr>
              <w:t>number</w:t>
            </w:r>
          </w:p>
        </w:tc>
        <w:tc>
          <w:tcPr>
            <w:tcW w:w="5397" w:type="dxa"/>
            <w:gridSpan w:val="4"/>
          </w:tcPr>
          <w:p>
            <w:pPr>
              <w:pStyle w:val="TableParagraph"/>
              <w:ind w:left="113" w:right="341"/>
              <w:rPr>
                <w:sz w:val="22"/>
              </w:rPr>
            </w:pPr>
            <w:r>
              <w:rPr>
                <w:sz w:val="22"/>
              </w:rPr>
              <w:t>The future value, or a cash balance to be attained after the last payment is made. If omitted, it is assumed to be 0 (i.e., the future value of a loan, for example, is 0).</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type</w:t>
            </w:r>
          </w:p>
        </w:tc>
        <w:tc>
          <w:tcPr>
            <w:tcW w:w="1800" w:type="dxa"/>
            <w:vMerge w:val="restart"/>
          </w:tcPr>
          <w:p>
            <w:pPr>
              <w:pStyle w:val="TableParagraph"/>
              <w:ind w:left="112"/>
              <w:rPr>
                <w:sz w:val="22"/>
              </w:rPr>
            </w:pPr>
            <w:r>
              <w:rPr>
                <w:sz w:val="22"/>
              </w:rPr>
              <w:t>number</w:t>
            </w:r>
          </w:p>
        </w:tc>
        <w:tc>
          <w:tcPr>
            <w:tcW w:w="5397" w:type="dxa"/>
            <w:gridSpan w:val="4"/>
            <w:tcBorders>
              <w:bottom w:val="nil"/>
            </w:tcBorders>
          </w:tcPr>
          <w:p>
            <w:pPr>
              <w:pStyle w:val="TableParagraph"/>
              <w:ind w:left="113" w:right="668"/>
              <w:rPr>
                <w:sz w:val="22"/>
              </w:rPr>
            </w:pPr>
            <w:r>
              <w:rPr>
                <w:sz w:val="22"/>
              </w:rPr>
              <w:t>The timing of the payment, truncated to integer,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454" w:type="dxa"/>
            <w:shd w:val="clear" w:color="auto" w:fill="C0C0C0"/>
          </w:tcPr>
          <w:p>
            <w:pPr>
              <w:pStyle w:val="TableParagraph"/>
              <w:ind w:left="466"/>
              <w:rPr>
                <w:b/>
                <w:sz w:val="22"/>
              </w:rPr>
            </w:pPr>
            <w:r>
              <w:rPr>
                <w:b/>
                <w:sz w:val="22"/>
              </w:rPr>
              <w:t>Value</w:t>
            </w:r>
          </w:p>
        </w:tc>
        <w:tc>
          <w:tcPr>
            <w:tcW w:w="2985" w:type="dxa"/>
            <w:shd w:val="clear" w:color="auto" w:fill="C0C0C0"/>
          </w:tcPr>
          <w:p>
            <w:pPr>
              <w:pStyle w:val="TableParagraph"/>
              <w:ind w:left="1165" w:right="1150"/>
              <w:jc w:val="center"/>
              <w:rPr>
                <w:b/>
                <w:sz w:val="22"/>
              </w:rPr>
            </w:pPr>
            <w:r>
              <w:rPr>
                <w:b/>
                <w:sz w:val="22"/>
              </w:rPr>
              <w:t>Timing</w:t>
            </w:r>
          </w:p>
        </w:tc>
        <w:tc>
          <w:tcPr>
            <w:tcW w:w="121" w:type="dxa"/>
            <w:tcBorders>
              <w:top w:val="nil"/>
              <w:bottom w:val="nil"/>
            </w:tcBorders>
          </w:tcPr>
          <w:p>
            <w:pPr>
              <w:pStyle w:val="TableParagraph"/>
              <w:spacing w:before="0"/>
              <w:ind w:left="0"/>
              <w:rPr>
                <w:rFonts w:ascii="Times New Roman"/>
                <w:sz w:val="22"/>
              </w:rPr>
            </w:pPr>
          </w:p>
        </w:tc>
      </w:tr>
      <w:tr>
        <w:trPr>
          <w:trHeight w:val="621"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0</w:t>
            </w:r>
          </w:p>
        </w:tc>
        <w:tc>
          <w:tcPr>
            <w:tcW w:w="2985" w:type="dxa"/>
          </w:tcPr>
          <w:p>
            <w:pPr>
              <w:pStyle w:val="TableParagraph"/>
              <w:ind w:left="117" w:right="495"/>
              <w:rPr>
                <w:sz w:val="22"/>
              </w:rPr>
            </w:pPr>
            <w:r>
              <w:rPr>
                <w:sz w:val="22"/>
              </w:rPr>
              <w:t>Payment at the end of the period</w:t>
            </w:r>
          </w:p>
        </w:tc>
        <w:tc>
          <w:tcPr>
            <w:tcW w:w="121"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454" w:type="dxa"/>
          </w:tcPr>
          <w:p>
            <w:pPr>
              <w:pStyle w:val="TableParagraph"/>
              <w:spacing w:before="42"/>
              <w:ind w:left="116"/>
              <w:rPr>
                <w:rFonts w:ascii="Consolas"/>
                <w:sz w:val="22"/>
              </w:rPr>
            </w:pPr>
            <w:r>
              <w:rPr>
                <w:rFonts w:ascii="Consolas"/>
                <w:w w:val="100"/>
                <w:sz w:val="22"/>
              </w:rPr>
              <w:t>1</w:t>
            </w:r>
          </w:p>
        </w:tc>
        <w:tc>
          <w:tcPr>
            <w:tcW w:w="2985" w:type="dxa"/>
          </w:tcPr>
          <w:p>
            <w:pPr>
              <w:pStyle w:val="TableParagraph"/>
              <w:ind w:left="117" w:right="305"/>
              <w:rPr>
                <w:sz w:val="22"/>
              </w:rPr>
            </w:pPr>
            <w:r>
              <w:rPr>
                <w:sz w:val="22"/>
              </w:rPr>
              <w:t>Payment at the beginning of the period</w:t>
            </w:r>
          </w:p>
        </w:tc>
        <w:tc>
          <w:tcPr>
            <w:tcW w:w="121" w:type="dxa"/>
            <w:tcBorders>
              <w:top w:val="nil"/>
            </w:tcBorders>
          </w:tcPr>
          <w:p>
            <w:pPr>
              <w:pStyle w:val="TableParagraph"/>
              <w:spacing w:before="0"/>
              <w:ind w:left="0"/>
              <w:rPr>
                <w:rFonts w:ascii="Times New Roman"/>
                <w:sz w:val="22"/>
              </w:rPr>
            </w:pPr>
          </w:p>
        </w:tc>
      </w:tr>
      <w:tr>
        <w:trPr>
          <w:trHeight w:val="623" w:hRule="atLeast"/>
        </w:trPr>
        <w:tc>
          <w:tcPr>
            <w:tcW w:w="1466" w:type="dxa"/>
          </w:tcPr>
          <w:p>
            <w:pPr>
              <w:pStyle w:val="TableParagraph"/>
              <w:spacing w:before="37"/>
              <w:rPr>
                <w:rFonts w:ascii="Times New Roman"/>
                <w:i/>
                <w:sz w:val="22"/>
              </w:rPr>
            </w:pPr>
            <w:r>
              <w:rPr>
                <w:rFonts w:ascii="Times New Roman"/>
                <w:i/>
                <w:sz w:val="22"/>
              </w:rPr>
              <w:t>guess</w:t>
            </w:r>
          </w:p>
        </w:tc>
        <w:tc>
          <w:tcPr>
            <w:tcW w:w="1800" w:type="dxa"/>
          </w:tcPr>
          <w:p>
            <w:pPr>
              <w:pStyle w:val="TableParagraph"/>
              <w:ind w:left="112"/>
              <w:rPr>
                <w:sz w:val="22"/>
              </w:rPr>
            </w:pPr>
            <w:r>
              <w:rPr>
                <w:sz w:val="22"/>
              </w:rPr>
              <w:t>number</w:t>
            </w:r>
          </w:p>
        </w:tc>
        <w:tc>
          <w:tcPr>
            <w:tcW w:w="5397" w:type="dxa"/>
            <w:gridSpan w:val="4"/>
          </w:tcPr>
          <w:p>
            <w:pPr>
              <w:pStyle w:val="TableParagraph"/>
              <w:ind w:left="113" w:right="169"/>
              <w:rPr>
                <w:sz w:val="22"/>
              </w:rPr>
            </w:pPr>
            <w:r>
              <w:rPr>
                <w:sz w:val="22"/>
              </w:rPr>
              <w:t>A guess for what the rate are. If omitted, it is assumed to be 10 percent.</w:t>
            </w:r>
          </w:p>
        </w:tc>
      </w:tr>
    </w:tbl>
    <w:p>
      <w:pPr>
        <w:pStyle w:val="BodyText"/>
      </w:pPr>
    </w:p>
    <w:p>
      <w:pPr>
        <w:pStyle w:val="BodyText"/>
        <w:spacing w:before="7"/>
        <w:rPr>
          <w:sz w:val="19"/>
        </w:rPr>
      </w:pPr>
    </w:p>
    <w:p>
      <w:pPr>
        <w:pStyle w:val="BodyText"/>
        <w:spacing w:line="453" w:lineRule="auto"/>
        <w:ind w:left="220" w:right="3625"/>
      </w:pPr>
      <w:r>
        <w:rPr/>
        <w:t>Return Type and Value: number – The interest rate </w:t>
      </w:r>
      <w:r>
        <w:rPr>
          <w:spacing w:val="-2"/>
        </w:rPr>
        <w:t>per </w:t>
      </w:r>
      <w:r>
        <w:rPr/>
        <w:t>period of an annuity.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type </w:t>
      </w:r>
      <w:r>
        <w:rPr>
          <w:sz w:val="22"/>
        </w:rPr>
        <w:t>is any number other than 0 or 1, </w:t>
      </w:r>
      <w:r>
        <w:rPr>
          <w:rFonts w:ascii="Consolas" w:hAnsi="Consolas"/>
          <w:sz w:val="22"/>
        </w:rPr>
        <w:t>#NUM!</w:t>
      </w:r>
      <w:r>
        <w:rPr>
          <w:rFonts w:ascii="Consolas" w:hAnsi="Consolas"/>
          <w:spacing w:val="-84"/>
          <w:sz w:val="22"/>
        </w:rPr>
        <w:t> </w:t>
      </w:r>
      <w:r>
        <w:rPr>
          <w:sz w:val="22"/>
        </w:rPr>
        <w:t>is returned.</w:t>
      </w:r>
    </w:p>
    <w:p>
      <w:pPr>
        <w:pStyle w:val="ListParagraph"/>
        <w:numPr>
          <w:ilvl w:val="4"/>
          <w:numId w:val="66"/>
        </w:numPr>
        <w:tabs>
          <w:tab w:pos="940" w:val="left" w:leader="none"/>
          <w:tab w:pos="941" w:val="left" w:leader="none"/>
        </w:tabs>
        <w:spacing w:line="446" w:lineRule="auto" w:before="42" w:after="0"/>
        <w:ind w:left="220" w:right="454" w:firstLine="360"/>
        <w:jc w:val="left"/>
        <w:rPr>
          <w:sz w:val="22"/>
        </w:rPr>
      </w:pPr>
      <w:r>
        <w:rPr>
          <w:sz w:val="22"/>
        </w:rPr>
        <w:t>The result has not converged after an implementation-defined number of iterations, </w:t>
      </w:r>
      <w:r>
        <w:rPr>
          <w:rFonts w:ascii="Consolas" w:hAnsi="Consolas"/>
          <w:sz w:val="22"/>
        </w:rPr>
        <w:t>#NUM!</w:t>
      </w:r>
      <w:r>
        <w:rPr>
          <w:rFonts w:ascii="Consolas" w:hAnsi="Consolas"/>
          <w:spacing w:val="-93"/>
          <w:sz w:val="22"/>
        </w:rPr>
        <w:t> </w:t>
      </w:r>
      <w:r>
        <w:rPr>
          <w:sz w:val="22"/>
        </w:rPr>
        <w:t>is returned. [</w:t>
      </w:r>
      <w:r>
        <w:rPr>
          <w:i/>
          <w:sz w:val="22"/>
        </w:rPr>
        <w:t>Example</w:t>
      </w:r>
      <w:r>
        <w:rPr>
          <w:sz w:val="22"/>
        </w:rPr>
        <w:t>:</w:t>
      </w:r>
    </w:p>
    <w:p>
      <w:pPr>
        <w:pStyle w:val="BodyText"/>
        <w:spacing w:line="276" w:lineRule="auto" w:before="125"/>
        <w:ind w:left="220" w:right="5913"/>
        <w:rPr>
          <w:rFonts w:ascii="Consolas"/>
        </w:rPr>
      </w:pPr>
      <w:r>
        <w:rPr>
          <w:rFonts w:ascii="Consolas"/>
        </w:rPr>
        <w:t>RATE(4*12,-200,8000) </w:t>
      </w:r>
      <w:r>
        <w:rPr/>
        <w:t>results in </w:t>
      </w:r>
      <w:r>
        <w:rPr>
          <w:rFonts w:ascii="Consolas"/>
        </w:rPr>
        <w:t>0.7701% RATE(4*12,-200,8000)*12</w:t>
      </w:r>
      <w:r>
        <w:rPr>
          <w:rFonts w:ascii="Consolas"/>
          <w:spacing w:val="-88"/>
        </w:rPr>
        <w:t> </w:t>
      </w:r>
      <w:r>
        <w:rPr/>
        <w:t>results in </w:t>
      </w:r>
      <w:r>
        <w:rPr>
          <w:rFonts w:ascii="Consolas"/>
        </w:rPr>
        <w:t>9.2418%</w:t>
      </w:r>
    </w:p>
    <w:p>
      <w:pPr>
        <w:spacing w:after="0" w:line="276" w:lineRule="auto"/>
        <w:rPr>
          <w:rFonts w:ascii="Consolas"/>
        </w:rPr>
        <w:sectPr>
          <w:pgSz w:w="12240" w:h="15840"/>
          <w:pgMar w:header="763" w:footer="746" w:top="1340" w:bottom="940" w:left="860" w:right="700"/>
        </w:sectPr>
      </w:pPr>
    </w:p>
    <w:p>
      <w:pPr>
        <w:pStyle w:val="BodyText"/>
        <w:spacing w:before="7"/>
        <w:rPr>
          <w:rFonts w:ascii="Consolas"/>
          <w:sz w:val="29"/>
        </w:rPr>
      </w:pPr>
    </w:p>
    <w:p>
      <w:pPr>
        <w:spacing w:before="56"/>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1 RECEIVED" w:id="2205"/>
      <w:bookmarkEnd w:id="2205"/>
      <w:r>
        <w:rPr/>
      </w:r>
      <w:bookmarkStart w:name="_bookmark734" w:id="2206"/>
      <w:bookmarkEnd w:id="2206"/>
      <w:r>
        <w:rPr/>
      </w:r>
      <w:bookmarkStart w:name="_bookmark734" w:id="2207"/>
      <w:bookmarkEnd w:id="2207"/>
      <w:r>
        <w:rPr>
          <w:color w:val="4F81BC"/>
        </w:rPr>
        <w:t>R</w:t>
      </w:r>
      <w:r>
        <w:rPr>
          <w:color w:val="4F81BC"/>
        </w:rPr>
        <w:t>ECEIVED</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RECEIVED ( </w:t>
      </w:r>
      <w:r>
        <w:rPr>
          <w:i/>
          <w:sz w:val="22"/>
        </w:rPr>
        <w:t>settlement </w:t>
      </w:r>
      <w:r>
        <w:rPr>
          <w:rFonts w:ascii="Lucida Console"/>
          <w:sz w:val="20"/>
        </w:rPr>
        <w:t>, </w:t>
      </w:r>
      <w:r>
        <w:rPr>
          <w:i/>
          <w:sz w:val="22"/>
        </w:rPr>
        <w:t>maturity </w:t>
      </w:r>
      <w:r>
        <w:rPr>
          <w:rFonts w:ascii="Lucida Console"/>
          <w:sz w:val="20"/>
        </w:rPr>
        <w:t>, </w:t>
      </w:r>
      <w:r>
        <w:rPr>
          <w:i/>
          <w:sz w:val="22"/>
        </w:rPr>
        <w:t>investment </w:t>
      </w:r>
      <w:r>
        <w:rPr>
          <w:rFonts w:ascii="Lucida Console"/>
          <w:sz w:val="20"/>
        </w:rPr>
        <w:t>, </w:t>
      </w:r>
      <w:r>
        <w:rPr>
          <w:i/>
          <w:sz w:val="22"/>
        </w:rPr>
        <w:t>discount </w:t>
      </w:r>
      <w:r>
        <w:rPr>
          <w:sz w:val="22"/>
        </w:rPr>
        <w:t>[  </w:t>
      </w:r>
      <w:r>
        <w:rPr>
          <w:rFonts w:ascii="Lucida Console"/>
          <w:sz w:val="20"/>
        </w:rPr>
        <w:t>,</w:t>
      </w:r>
      <w:r>
        <w:rPr>
          <w:rFonts w:ascii="Lucida Console"/>
          <w:spacing w:val="-72"/>
          <w:sz w:val="20"/>
        </w:rPr>
        <w:t> </w:t>
      </w:r>
      <w:r>
        <w:rPr>
          <w:sz w:val="22"/>
        </w:rPr>
        <w:t>[ </w:t>
      </w:r>
      <w:r>
        <w:rPr>
          <w:i/>
          <w:sz w:val="22"/>
        </w:rPr>
        <w:t>basis </w:t>
      </w:r>
      <w:r>
        <w:rPr>
          <w:sz w:val="22"/>
        </w:rPr>
        <w:t>] ] </w:t>
      </w:r>
      <w:r>
        <w:rPr>
          <w:rFonts w:ascii="Lucida Console"/>
          <w:sz w:val="20"/>
        </w:rPr>
        <w:t>)</w:t>
      </w:r>
    </w:p>
    <w:p>
      <w:pPr>
        <w:pStyle w:val="BodyText"/>
        <w:spacing w:before="109"/>
        <w:ind w:left="220"/>
      </w:pPr>
      <w:r>
        <w:rPr>
          <w:b/>
        </w:rPr>
        <w:t>Description</w:t>
      </w:r>
      <w:r>
        <w:rPr/>
        <w:t>: Computes the amount received at maturity for a fully invested security.</w:t>
      </w:r>
    </w:p>
    <w:p>
      <w:pPr>
        <w:pStyle w:val="BodyText"/>
        <w:spacing w:before="8"/>
        <w:rPr>
          <w:sz w:val="19"/>
        </w:rPr>
      </w:pPr>
    </w:p>
    <w:p>
      <w:pPr>
        <w:pStyle w:val="Heading4"/>
        <w:rPr>
          <w:b w:val="0"/>
        </w:rPr>
      </w:pPr>
      <w:r>
        <w:rPr/>
        <w:t>Mathematical Formula</w:t>
      </w:r>
      <w:r>
        <w:rPr>
          <w:b w:val="0"/>
        </w:rPr>
        <w:t>:</w:t>
      </w:r>
    </w:p>
    <w:p>
      <w:pPr>
        <w:pStyle w:val="BodyText"/>
        <w:spacing w:before="10"/>
        <w:rPr>
          <w:sz w:val="11"/>
        </w:rPr>
      </w:pPr>
    </w:p>
    <w:p>
      <w:pPr>
        <w:spacing w:after="0"/>
        <w:rPr>
          <w:sz w:val="11"/>
        </w:rPr>
        <w:sectPr>
          <w:pgSz w:w="12240" w:h="15840"/>
          <w:pgMar w:header="761" w:footer="746" w:top="1340" w:bottom="940" w:left="860" w:right="700"/>
        </w:sectPr>
      </w:pPr>
    </w:p>
    <w:p>
      <w:pPr>
        <w:pStyle w:val="BodyText"/>
        <w:spacing w:before="11"/>
        <w:rPr>
          <w:sz w:val="18"/>
        </w:rPr>
      </w:pPr>
    </w:p>
    <w:p>
      <w:pPr>
        <w:pStyle w:val="BodyText"/>
        <w:ind w:left="220"/>
        <w:rPr>
          <w:rFonts w:ascii="Cambria Math" w:eastAsia="Cambria Math"/>
        </w:rPr>
      </w:pPr>
      <w:r>
        <w:rPr>
          <w:rFonts w:ascii="Cambria Math" w:eastAsia="Cambria Math"/>
        </w:rPr>
        <w:t>𝑅𝐸𝐶𝐸𝐼𝑉𝐸𝐷 =</w:t>
      </w:r>
    </w:p>
    <w:p>
      <w:pPr>
        <w:pStyle w:val="BodyText"/>
        <w:spacing w:before="63"/>
        <w:ind w:left="220"/>
        <w:rPr>
          <w:rFonts w:ascii="Cambria Math" w:eastAsia="Cambria Math"/>
        </w:rPr>
      </w:pPr>
      <w:r>
        <w:rPr/>
        <w:br w:type="column"/>
      </w:r>
      <w:r>
        <w:rPr>
          <w:rFonts w:ascii="Cambria Math" w:eastAsia="Cambria Math"/>
        </w:rPr>
        <w:t>𝑖𝑛𝑣𝑒𝑠𝑡𝑚𝑒𝑛𝑡</w:t>
      </w:r>
    </w:p>
    <w:p>
      <w:pPr>
        <w:pStyle w:val="BodyText"/>
        <w:spacing w:line="167" w:lineRule="exact" w:before="30"/>
        <w:ind w:left="1319"/>
        <w:rPr>
          <w:rFonts w:ascii="Cambria Math" w:eastAsia="Cambria Math"/>
        </w:rPr>
      </w:pPr>
      <w:r>
        <w:rPr/>
        <w:pict>
          <v:line style="position:absolute;mso-position-horizontal-relative:page;mso-position-vertical-relative:paragraph;z-index:251852800" from="123.980003pt,2.832151pt" to="231.280003pt,2.832151pt" stroked="true" strokeweight=".72pt" strokecolor="#000000">
            <v:stroke dashstyle="solid"/>
            <w10:wrap type="none"/>
          </v:line>
        </w:pict>
      </w:r>
      <w:r>
        <w:rPr>
          <w:rFonts w:ascii="Times New Roman" w:eastAsia="Times New Roman"/>
          <w:spacing w:val="-56"/>
          <w:w w:val="100"/>
          <w:u w:val="single"/>
        </w:rPr>
        <w:t> </w:t>
      </w:r>
      <w:r>
        <w:rPr>
          <w:rFonts w:ascii="Cambria Math" w:eastAsia="Cambria Math"/>
          <w:u w:val="single"/>
        </w:rPr>
        <w:t>𝐷𝐼𝑀</w:t>
      </w:r>
    </w:p>
    <w:p>
      <w:pPr>
        <w:spacing w:after="0" w:line="167" w:lineRule="exact"/>
        <w:rPr>
          <w:rFonts w:ascii="Cambria Math" w:eastAsia="Cambria Math"/>
        </w:rPr>
        <w:sectPr>
          <w:type w:val="continuous"/>
          <w:pgSz w:w="12240" w:h="15840"/>
          <w:pgMar w:top="1340" w:bottom="940" w:left="860" w:right="700"/>
          <w:cols w:num="2" w:equalWidth="0">
            <w:col w:w="1551" w:space="357"/>
            <w:col w:w="8772"/>
          </w:cols>
        </w:sectPr>
      </w:pPr>
    </w:p>
    <w:p>
      <w:pPr>
        <w:pStyle w:val="BodyText"/>
        <w:spacing w:line="196" w:lineRule="auto"/>
        <w:ind w:left="1619"/>
        <w:rPr>
          <w:rFonts w:ascii="Cambria Math" w:hAnsi="Cambria Math" w:eastAsia="Cambria Math"/>
        </w:rPr>
      </w:pPr>
      <w:r>
        <w:rPr>
          <w:rFonts w:ascii="Cambria Math" w:hAnsi="Cambria Math" w:eastAsia="Cambria Math"/>
          <w:w w:val="105"/>
        </w:rPr>
        <w:t>1 − (𝑑𝑖𝑠𝑐𝑜𝑢𝑛𝑡 × </w:t>
      </w:r>
      <w:r>
        <w:rPr>
          <w:rFonts w:ascii="Cambria Math" w:hAnsi="Cambria Math" w:eastAsia="Cambria Math"/>
          <w:w w:val="105"/>
          <w:position w:val="-10"/>
        </w:rPr>
        <w:t>𝐵 </w:t>
      </w:r>
      <w:r>
        <w:rPr>
          <w:rFonts w:ascii="Cambria Math" w:hAnsi="Cambria Math" w:eastAsia="Cambria Math"/>
          <w:w w:val="105"/>
        </w:rPr>
        <w:t>)</w:t>
      </w:r>
    </w:p>
    <w:p>
      <w:pPr>
        <w:pStyle w:val="BodyText"/>
        <w:spacing w:before="8"/>
        <w:rPr>
          <w:rFonts w:ascii="Cambria Math"/>
          <w:sz w:val="12"/>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B </w:t>
      </w:r>
      <w:r>
        <w:rPr>
          <w:sz w:val="22"/>
        </w:rPr>
        <w:t>= number of days in a year, depending on the year</w:t>
      </w:r>
      <w:r>
        <w:rPr>
          <w:spacing w:val="-21"/>
          <w:sz w:val="22"/>
        </w:rPr>
        <w:t> </w:t>
      </w:r>
      <w:r>
        <w:rPr>
          <w:sz w:val="22"/>
        </w:rPr>
        <w:t>basis.</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DIM </w:t>
      </w:r>
      <w:r>
        <w:rPr>
          <w:sz w:val="22"/>
        </w:rPr>
        <w:t>= number of days from issue to</w:t>
      </w:r>
      <w:r>
        <w:rPr>
          <w:spacing w:val="-13"/>
          <w:sz w:val="22"/>
        </w:rPr>
        <w:t> </w:t>
      </w:r>
      <w:r>
        <w:rPr>
          <w:sz w:val="22"/>
        </w:rPr>
        <w:t>maturity.</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discount </w:t>
      </w:r>
      <w:r>
        <w:rPr>
          <w:sz w:val="22"/>
        </w:rPr>
        <w:t>= argument</w:t>
      </w:r>
      <w:r>
        <w:rPr>
          <w:spacing w:val="-4"/>
          <w:sz w:val="22"/>
        </w:rPr>
        <w:t> </w:t>
      </w:r>
      <w:r>
        <w:rPr>
          <w:rFonts w:ascii="Times New Roman" w:hAnsi="Times New Roman"/>
          <w:i/>
          <w:sz w:val="22"/>
        </w:rPr>
        <w:t>discount</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investment </w:t>
      </w:r>
      <w:r>
        <w:rPr>
          <w:sz w:val="22"/>
        </w:rPr>
        <w:t>= argument</w:t>
      </w:r>
      <w:r>
        <w:rPr>
          <w:spacing w:val="-4"/>
          <w:sz w:val="22"/>
        </w:rPr>
        <w:t> </w:t>
      </w:r>
      <w:r>
        <w:rPr>
          <w:rFonts w:ascii="Times New Roman" w:hAnsi="Times New Roman"/>
          <w:i/>
          <w:sz w:val="22"/>
        </w:rPr>
        <w:t>investment</w:t>
      </w:r>
    </w:p>
    <w:p>
      <w:pPr>
        <w:pStyle w:val="Heading4"/>
        <w:spacing w:before="243"/>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investment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amount invested in the security.</w:t>
            </w:r>
          </w:p>
        </w:tc>
      </w:tr>
      <w:tr>
        <w:trPr>
          <w:trHeight w:val="352" w:hRule="atLeast"/>
        </w:trPr>
        <w:tc>
          <w:tcPr>
            <w:tcW w:w="1466" w:type="dxa"/>
          </w:tcPr>
          <w:p>
            <w:pPr>
              <w:pStyle w:val="TableParagraph"/>
              <w:spacing w:before="37"/>
              <w:rPr>
                <w:rFonts w:ascii="Times New Roman"/>
                <w:i/>
                <w:sz w:val="22"/>
              </w:rPr>
            </w:pPr>
            <w:r>
              <w:rPr>
                <w:rFonts w:ascii="Times New Roman"/>
                <w:i/>
                <w:sz w:val="22"/>
              </w:rPr>
              <w:t>discount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discount rate.</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30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24"/>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tc>
        <w:tc>
          <w:tcPr>
            <w:tcW w:w="403" w:type="dxa"/>
            <w:vMerge/>
            <w:tcBorders>
              <w:top w:val="nil"/>
            </w:tcBorders>
          </w:tcPr>
          <w:p>
            <w:pPr>
              <w:rPr>
                <w:sz w:val="2"/>
                <w:szCs w:val="2"/>
              </w:rPr>
            </w:pPr>
          </w:p>
        </w:tc>
      </w:tr>
    </w:tbl>
    <w:p>
      <w:pPr>
        <w:spacing w:after="0"/>
        <w:rPr>
          <w:sz w:val="2"/>
          <w:szCs w:val="2"/>
        </w:rPr>
        <w:sectPr>
          <w:type w:val="continuous"/>
          <w:pgSz w:w="12240" w:h="15840"/>
          <w:pgMar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4984"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numPr>
                <w:ilvl w:val="0"/>
                <w:numId w:val="125"/>
              </w:numPr>
              <w:tabs>
                <w:tab w:pos="837" w:val="left" w:leader="none"/>
                <w:tab w:pos="838" w:val="left" w:leader="none"/>
              </w:tabs>
              <w:spacing w:line="240" w:lineRule="auto" w:before="93"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30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26"/>
              </w:numPr>
              <w:tabs>
                <w:tab w:pos="1197" w:val="left" w:leader="none"/>
                <w:tab w:pos="1198" w:val="left" w:leader="none"/>
              </w:tabs>
              <w:spacing w:line="237" w:lineRule="auto" w:before="5" w:after="0"/>
              <w:ind w:left="1197" w:right="205" w:hanging="360"/>
              <w:jc w:val="left"/>
              <w:rPr>
                <w:sz w:val="22"/>
              </w:rPr>
            </w:pPr>
            <w:r>
              <w:rPr>
                <w:sz w:val="22"/>
              </w:rPr>
              <w:t>If the </w:t>
            </w:r>
            <w:r>
              <w:rPr>
                <w:spacing w:val="-6"/>
                <w:sz w:val="22"/>
              </w:rPr>
              <w:t>date </w:t>
            </w:r>
            <w:r>
              <w:rPr>
                <w:sz w:val="22"/>
              </w:rPr>
              <w:t>is 28 or</w:t>
            </w:r>
            <w:r>
              <w:rPr>
                <w:spacing w:val="-2"/>
                <w:sz w:val="22"/>
              </w:rPr>
              <w:t> </w:t>
            </w:r>
            <w:r>
              <w:rPr>
                <w:spacing w:val="-8"/>
                <w:sz w:val="22"/>
              </w:rPr>
              <w:t>29</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306"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84"/>
              <w:rPr>
                <w:sz w:val="22"/>
              </w:rPr>
            </w:pPr>
            <w:r>
              <w:rPr>
                <w:sz w:val="22"/>
              </w:rPr>
              <w:t>February, it is adjusted to 30 February.</w:t>
            </w:r>
          </w:p>
          <w:p>
            <w:pPr>
              <w:pStyle w:val="TableParagraph"/>
              <w:numPr>
                <w:ilvl w:val="0"/>
                <w:numId w:val="127"/>
              </w:numPr>
              <w:tabs>
                <w:tab w:pos="1197" w:val="left" w:leader="none"/>
                <w:tab w:pos="1198" w:val="left" w:leader="none"/>
              </w:tabs>
              <w:spacing w:line="237" w:lineRule="auto" w:before="4" w:after="0"/>
              <w:ind w:left="1197" w:right="101" w:hanging="360"/>
              <w:jc w:val="left"/>
              <w:rPr>
                <w:sz w:val="22"/>
              </w:rPr>
            </w:pPr>
            <w:r>
              <w:rPr>
                <w:sz w:val="22"/>
              </w:rPr>
              <w:t>For </w:t>
            </w:r>
            <w:r>
              <w:rPr>
                <w:spacing w:val="-3"/>
                <w:sz w:val="22"/>
              </w:rPr>
              <w:t>months </w:t>
            </w:r>
            <w:r>
              <w:rPr>
                <w:sz w:val="22"/>
              </w:rPr>
              <w:t>with</w:t>
            </w:r>
          </w:p>
          <w:p>
            <w:pPr>
              <w:pStyle w:val="TableParagraph"/>
              <w:spacing w:before="1"/>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456" w:lineRule="auto"/>
        <w:ind w:left="220" w:right="1867"/>
      </w:pPr>
      <w:r>
        <w:rPr>
          <w:b/>
        </w:rPr>
        <w:t>Return Type and Value</w:t>
      </w:r>
      <w:r>
        <w:rPr/>
        <w:t>: number – The amount received at maturity for a fully invested security.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1"/>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investment </w:t>
      </w:r>
      <w:r>
        <w:rPr>
          <w:sz w:val="22"/>
        </w:rPr>
        <w:t>or </w:t>
      </w:r>
      <w:r>
        <w:rPr>
          <w:rFonts w:ascii="Times New Roman" w:hAnsi="Times New Roman"/>
          <w:i/>
          <w:sz w:val="22"/>
        </w:rPr>
        <w:t>discount </w:t>
      </w:r>
      <w:r>
        <w:rPr>
          <w:sz w:val="22"/>
        </w:rPr>
        <w:t>≤ 0,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092"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RECEIVED(DATE(2008,2,15),DATE(2008,5,15),1000000,0.0575,2) </w:t>
      </w:r>
      <w:r>
        <w:rPr/>
        <w:t>results in </w:t>
      </w:r>
      <w:r>
        <w:rPr>
          <w:rFonts w:ascii="Consolas"/>
        </w:rPr>
        <w:t>1014584.65</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2 REPLACE" w:id="2208"/>
      <w:bookmarkEnd w:id="2208"/>
      <w:r>
        <w:rPr/>
      </w:r>
      <w:bookmarkStart w:name="_bookmark735" w:id="2209"/>
      <w:bookmarkEnd w:id="2209"/>
      <w:r>
        <w:rPr/>
      </w:r>
      <w:bookmarkStart w:name="_bookmark735" w:id="2210"/>
      <w:bookmarkEnd w:id="2210"/>
      <w:r>
        <w:rPr>
          <w:color w:val="4F81BC"/>
        </w:rPr>
        <w:t>R</w:t>
      </w:r>
      <w:r>
        <w:rPr>
          <w:color w:val="4F81BC"/>
        </w:rPr>
        <w:t>EPLACE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REPLACE ( </w:t>
      </w:r>
      <w:r>
        <w:rPr>
          <w:i/>
          <w:sz w:val="22"/>
        </w:rPr>
        <w:t>string-1 </w:t>
      </w:r>
      <w:r>
        <w:rPr>
          <w:rFonts w:ascii="Lucida Console"/>
          <w:sz w:val="20"/>
        </w:rPr>
        <w:t>, </w:t>
      </w:r>
      <w:r>
        <w:rPr>
          <w:i/>
          <w:sz w:val="22"/>
        </w:rPr>
        <w:t>start-pos </w:t>
      </w:r>
      <w:r>
        <w:rPr>
          <w:rFonts w:ascii="Lucida Console"/>
          <w:sz w:val="20"/>
        </w:rPr>
        <w:t>, </w:t>
      </w:r>
      <w:r>
        <w:rPr>
          <w:i/>
          <w:sz w:val="22"/>
        </w:rPr>
        <w:t>number-chars </w:t>
      </w:r>
      <w:r>
        <w:rPr>
          <w:rFonts w:ascii="Lucida Console"/>
          <w:sz w:val="20"/>
        </w:rPr>
        <w:t>, </w:t>
      </w:r>
      <w:r>
        <w:rPr>
          <w:i/>
          <w:sz w:val="22"/>
        </w:rPr>
        <w:t>string-2 </w:t>
      </w:r>
      <w:r>
        <w:rPr>
          <w:rFonts w:ascii="Lucida Console"/>
          <w:sz w:val="20"/>
        </w:rPr>
        <w:t>)</w:t>
      </w:r>
    </w:p>
    <w:p>
      <w:pPr>
        <w:spacing w:line="276" w:lineRule="auto" w:before="106"/>
        <w:ind w:left="220" w:right="0" w:firstLine="0"/>
        <w:jc w:val="left"/>
        <w:rPr>
          <w:sz w:val="22"/>
        </w:rPr>
      </w:pPr>
      <w:r>
        <w:rPr>
          <w:b/>
          <w:sz w:val="22"/>
        </w:rPr>
        <w:t>Description: </w:t>
      </w:r>
      <w:r>
        <w:rPr>
          <w:sz w:val="22"/>
        </w:rPr>
        <w:t>Produces a new string that is </w:t>
      </w:r>
      <w:r>
        <w:rPr>
          <w:rFonts w:ascii="Times New Roman"/>
          <w:i/>
          <w:sz w:val="22"/>
        </w:rPr>
        <w:t>string-1 </w:t>
      </w:r>
      <w:r>
        <w:rPr>
          <w:sz w:val="22"/>
        </w:rPr>
        <w:t>with </w:t>
      </w:r>
      <w:r>
        <w:rPr>
          <w:rFonts w:ascii="Times New Roman"/>
          <w:i/>
          <w:sz w:val="22"/>
        </w:rPr>
        <w:t>number-chars </w:t>
      </w:r>
      <w:r>
        <w:rPr>
          <w:sz w:val="22"/>
        </w:rPr>
        <w:t>characters starting at position </w:t>
      </w:r>
      <w:r>
        <w:rPr>
          <w:rFonts w:ascii="Times New Roman"/>
          <w:i/>
          <w:sz w:val="22"/>
        </w:rPr>
        <w:t>start-pos</w:t>
      </w:r>
      <w:r>
        <w:rPr>
          <w:sz w:val="22"/>
        </w:rPr>
        <w:t>, replaced by </w:t>
      </w:r>
      <w:r>
        <w:rPr>
          <w:rFonts w:ascii="Times New Roman"/>
          <w:i/>
          <w:sz w:val="22"/>
        </w:rPr>
        <w:t>string-2</w:t>
      </w:r>
      <w:r>
        <w:rPr>
          <w:sz w:val="22"/>
        </w:rPr>
        <w:t>. (</w:t>
      </w:r>
      <w:r>
        <w:rPr>
          <w:rFonts w:ascii="Consolas"/>
          <w:sz w:val="22"/>
        </w:rPr>
        <w:t>REPLACE</w:t>
      </w:r>
      <w:r>
        <w:rPr>
          <w:rFonts w:ascii="Consolas"/>
          <w:spacing w:val="-105"/>
          <w:sz w:val="22"/>
        </w:rPr>
        <w:t> </w:t>
      </w:r>
      <w:r>
        <w:rPr>
          <w:sz w:val="22"/>
        </w:rPr>
        <w:t>is intended for use with languages that use the single-byte character set (SBCS),</w:t>
      </w:r>
    </w:p>
    <w:p>
      <w:pPr>
        <w:spacing w:after="0" w:line="276" w:lineRule="auto"/>
        <w:jc w:val="left"/>
        <w:rPr>
          <w:sz w:val="22"/>
        </w:rPr>
        <w:sectPr>
          <w:pgSz w:w="12240" w:h="15840"/>
          <w:pgMar w:header="761" w:footer="746" w:top="1340" w:bottom="940" w:left="860" w:right="700"/>
        </w:sectPr>
      </w:pPr>
    </w:p>
    <w:p>
      <w:pPr>
        <w:pStyle w:val="BodyText"/>
        <w:spacing w:line="278" w:lineRule="auto" w:before="148"/>
        <w:ind w:left="220" w:right="503"/>
      </w:pPr>
      <w:r>
        <w:rPr/>
        <w:t>whereas </w:t>
      </w:r>
      <w:r>
        <w:rPr>
          <w:rFonts w:ascii="Consolas" w:hAnsi="Consolas"/>
        </w:rPr>
        <w:t>REPLACEB</w:t>
      </w:r>
      <w:r>
        <w:rPr>
          <w:rFonts w:ascii="Consolas" w:hAnsi="Consolas"/>
          <w:spacing w:val="-98"/>
        </w:rPr>
        <w:t> </w:t>
      </w:r>
      <w:r>
        <w:rPr/>
        <w:t>(§</w:t>
      </w:r>
      <w:hyperlink w:history="true" w:anchor="_bookmark736">
        <w:r>
          <w:rPr/>
          <w:t>18.17.7.273</w:t>
        </w:r>
      </w:hyperlink>
      <w:r>
        <w:rPr/>
        <w:t>) is intended for use with languages that use the double-byte character set (DBCS).)</w:t>
      </w:r>
    </w:p>
    <w:p>
      <w:pPr>
        <w:pStyle w:val="BodyText"/>
        <w:spacing w:before="2"/>
        <w:rPr>
          <w:sz w:val="16"/>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2" w:hRule="atLeast"/>
        </w:trPr>
        <w:tc>
          <w:tcPr>
            <w:tcW w:w="1466" w:type="dxa"/>
          </w:tcPr>
          <w:p>
            <w:pPr>
              <w:pStyle w:val="TableParagraph"/>
              <w:spacing w:before="37"/>
              <w:rPr>
                <w:rFonts w:ascii="Times New Roman"/>
                <w:i/>
                <w:sz w:val="22"/>
              </w:rPr>
            </w:pPr>
            <w:r>
              <w:rPr>
                <w:rFonts w:ascii="Times New Roman"/>
                <w:i/>
                <w:sz w:val="22"/>
              </w:rPr>
              <w:t>string-1</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w:t>
            </w:r>
          </w:p>
        </w:tc>
      </w:tr>
      <w:tr>
        <w:trPr>
          <w:trHeight w:val="2503" w:hRule="atLeast"/>
        </w:trPr>
        <w:tc>
          <w:tcPr>
            <w:tcW w:w="1466" w:type="dxa"/>
          </w:tcPr>
          <w:p>
            <w:pPr>
              <w:pStyle w:val="TableParagraph"/>
              <w:spacing w:before="39"/>
              <w:rPr>
                <w:rFonts w:ascii="Times New Roman"/>
                <w:i/>
                <w:sz w:val="22"/>
              </w:rPr>
            </w:pPr>
            <w:r>
              <w:rPr>
                <w:rFonts w:ascii="Times New Roman"/>
                <w:i/>
                <w:sz w:val="22"/>
              </w:rPr>
              <w:t>start-pos</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ight="141"/>
              <w:rPr>
                <w:rFonts w:ascii="Times New Roman"/>
                <w:i/>
                <w:sz w:val="22"/>
              </w:rPr>
            </w:pPr>
            <w:r>
              <w:rPr>
                <w:sz w:val="22"/>
              </w:rPr>
              <w:t>The number of the start position within </w:t>
            </w:r>
            <w:r>
              <w:rPr>
                <w:rFonts w:ascii="Times New Roman"/>
                <w:i/>
                <w:sz w:val="22"/>
              </w:rPr>
              <w:t>string-1 </w:t>
            </w:r>
            <w:r>
              <w:rPr>
                <w:sz w:val="22"/>
              </w:rPr>
              <w:t>from which characters in </w:t>
            </w:r>
            <w:r>
              <w:rPr>
                <w:rFonts w:ascii="Times New Roman"/>
                <w:i/>
                <w:sz w:val="22"/>
              </w:rPr>
              <w:t>string-1 </w:t>
            </w:r>
            <w:r>
              <w:rPr>
                <w:sz w:val="22"/>
              </w:rPr>
              <w:t>are to be replaced. The start position of the first character is 1. </w:t>
            </w:r>
            <w:r>
              <w:rPr>
                <w:rFonts w:ascii="Times New Roman"/>
                <w:i/>
                <w:sz w:val="22"/>
              </w:rPr>
              <w:t>start-pos </w:t>
            </w:r>
            <w:r>
              <w:rPr>
                <w:sz w:val="22"/>
              </w:rPr>
              <w:t>shall be at least 1. If </w:t>
            </w:r>
            <w:r>
              <w:rPr>
                <w:rFonts w:ascii="Times New Roman"/>
                <w:i/>
                <w:sz w:val="22"/>
              </w:rPr>
              <w:t>start-pos </w:t>
            </w:r>
            <w:r>
              <w:rPr>
                <w:sz w:val="22"/>
              </w:rPr>
              <w:t>is beyond the end of </w:t>
            </w:r>
            <w:r>
              <w:rPr>
                <w:rFonts w:ascii="Times New Roman"/>
                <w:i/>
                <w:sz w:val="22"/>
              </w:rPr>
              <w:t>string-1</w:t>
            </w:r>
            <w:r>
              <w:rPr>
                <w:sz w:val="22"/>
              </w:rPr>
              <w:t>, the result is a new string that is </w:t>
            </w:r>
            <w:r>
              <w:rPr>
                <w:rFonts w:ascii="Times New Roman"/>
                <w:i/>
                <w:sz w:val="22"/>
              </w:rPr>
              <w:t>string-2 </w:t>
            </w:r>
            <w:r>
              <w:rPr>
                <w:sz w:val="22"/>
              </w:rPr>
              <w:t>appended to </w:t>
            </w:r>
            <w:r>
              <w:rPr>
                <w:rFonts w:ascii="Times New Roman"/>
                <w:i/>
                <w:sz w:val="22"/>
              </w:rPr>
              <w:t>string-</w:t>
            </w:r>
          </w:p>
          <w:p>
            <w:pPr>
              <w:pStyle w:val="TableParagraph"/>
              <w:spacing w:before="0"/>
              <w:ind w:left="113" w:right="412"/>
              <w:rPr>
                <w:sz w:val="22"/>
              </w:rPr>
            </w:pPr>
            <w:r>
              <w:rPr>
                <w:rFonts w:ascii="Times New Roman"/>
                <w:i/>
                <w:sz w:val="22"/>
              </w:rPr>
              <w:t>1</w:t>
            </w:r>
            <w:r>
              <w:rPr>
                <w:sz w:val="22"/>
              </w:rPr>
              <w:t>. If </w:t>
            </w:r>
            <w:r>
              <w:rPr>
                <w:rFonts w:ascii="Times New Roman"/>
                <w:i/>
                <w:sz w:val="22"/>
              </w:rPr>
              <w:t>start-pos </w:t>
            </w:r>
            <w:r>
              <w:rPr>
                <w:sz w:val="22"/>
              </w:rPr>
              <w:t>is within the bounds of </w:t>
            </w:r>
            <w:r>
              <w:rPr>
                <w:rFonts w:ascii="Times New Roman"/>
                <w:i/>
                <w:sz w:val="22"/>
              </w:rPr>
              <w:t>string-1</w:t>
            </w:r>
            <w:r>
              <w:rPr>
                <w:sz w:val="22"/>
              </w:rPr>
              <w:t>, but </w:t>
            </w:r>
            <w:r>
              <w:rPr>
                <w:rFonts w:ascii="Times New Roman"/>
                <w:i/>
                <w:sz w:val="22"/>
              </w:rPr>
              <w:t>number-chars </w:t>
            </w:r>
            <w:r>
              <w:rPr>
                <w:sz w:val="22"/>
              </w:rPr>
              <w:t>goes beyond the end of </w:t>
            </w:r>
            <w:r>
              <w:rPr>
                <w:rFonts w:ascii="Times New Roman"/>
                <w:i/>
                <w:sz w:val="22"/>
              </w:rPr>
              <w:t>string-1</w:t>
            </w:r>
            <w:r>
              <w:rPr>
                <w:sz w:val="22"/>
              </w:rPr>
              <w:t>, the characters starting at position </w:t>
            </w:r>
            <w:r>
              <w:rPr>
                <w:rFonts w:ascii="Times New Roman"/>
                <w:i/>
                <w:sz w:val="22"/>
              </w:rPr>
              <w:t>start-pos </w:t>
            </w:r>
            <w:r>
              <w:rPr>
                <w:sz w:val="22"/>
              </w:rPr>
              <w:t>through to the end of </w:t>
            </w:r>
            <w:r>
              <w:rPr>
                <w:rFonts w:ascii="Times New Roman"/>
                <w:i/>
                <w:sz w:val="22"/>
              </w:rPr>
              <w:t>string-1 </w:t>
            </w:r>
            <w:r>
              <w:rPr>
                <w:sz w:val="22"/>
              </w:rPr>
              <w:t>shall be replaced by </w:t>
            </w:r>
            <w:r>
              <w:rPr>
                <w:rFonts w:ascii="Times New Roman"/>
                <w:i/>
                <w:sz w:val="22"/>
              </w:rPr>
              <w:t>string-2</w:t>
            </w:r>
            <w:r>
              <w:rPr>
                <w:sz w:val="22"/>
              </w:rPr>
              <w:t>.</w:t>
            </w:r>
          </w:p>
        </w:tc>
      </w:tr>
      <w:tr>
        <w:trPr>
          <w:trHeight w:val="623" w:hRule="atLeast"/>
        </w:trPr>
        <w:tc>
          <w:tcPr>
            <w:tcW w:w="1466" w:type="dxa"/>
          </w:tcPr>
          <w:p>
            <w:pPr>
              <w:pStyle w:val="TableParagraph"/>
              <w:spacing w:before="39"/>
              <w:rPr>
                <w:rFonts w:ascii="Times New Roman"/>
                <w:i/>
                <w:sz w:val="22"/>
              </w:rPr>
            </w:pPr>
            <w:r>
              <w:rPr>
                <w:rFonts w:ascii="Times New Roman"/>
                <w:i/>
                <w:sz w:val="22"/>
              </w:rPr>
              <w:t>number-chars</w:t>
            </w:r>
          </w:p>
        </w:tc>
        <w:tc>
          <w:tcPr>
            <w:tcW w:w="1800" w:type="dxa"/>
          </w:tcPr>
          <w:p>
            <w:pPr>
              <w:pStyle w:val="TableParagraph"/>
              <w:spacing w:before="42"/>
              <w:ind w:left="112"/>
              <w:rPr>
                <w:sz w:val="22"/>
              </w:rPr>
            </w:pPr>
            <w:r>
              <w:rPr>
                <w:sz w:val="22"/>
              </w:rPr>
              <w:t>number</w:t>
            </w:r>
          </w:p>
        </w:tc>
        <w:tc>
          <w:tcPr>
            <w:tcW w:w="5400" w:type="dxa"/>
          </w:tcPr>
          <w:p>
            <w:pPr>
              <w:pStyle w:val="TableParagraph"/>
              <w:spacing w:line="237" w:lineRule="auto" w:before="44"/>
              <w:ind w:left="113"/>
              <w:rPr>
                <w:sz w:val="22"/>
              </w:rPr>
            </w:pPr>
            <w:r>
              <w:rPr>
                <w:sz w:val="22"/>
              </w:rPr>
              <w:t>The number of characters within </w:t>
            </w:r>
            <w:r>
              <w:rPr>
                <w:rFonts w:ascii="Times New Roman"/>
                <w:i/>
                <w:sz w:val="22"/>
              </w:rPr>
              <w:t>string-1 </w:t>
            </w:r>
            <w:r>
              <w:rPr>
                <w:sz w:val="22"/>
              </w:rPr>
              <w:t>that are to be replaced by the string designated by </w:t>
            </w:r>
            <w:r>
              <w:rPr>
                <w:rFonts w:ascii="Times New Roman"/>
                <w:i/>
                <w:sz w:val="22"/>
              </w:rPr>
              <w:t>string-2</w:t>
            </w:r>
            <w:r>
              <w:rPr>
                <w:sz w:val="22"/>
              </w:rPr>
              <w:t>.</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string-2</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w:t>
            </w:r>
          </w:p>
        </w:tc>
      </w:tr>
    </w:tbl>
    <w:p>
      <w:pPr>
        <w:pStyle w:val="BodyText"/>
        <w:rPr>
          <w:b/>
        </w:rPr>
      </w:pPr>
    </w:p>
    <w:p>
      <w:pPr>
        <w:pStyle w:val="BodyText"/>
        <w:spacing w:before="7"/>
        <w:rPr>
          <w:b/>
          <w:sz w:val="19"/>
        </w:rPr>
      </w:pPr>
    </w:p>
    <w:p>
      <w:pPr>
        <w:spacing w:line="453" w:lineRule="auto" w:before="0"/>
        <w:ind w:left="220" w:right="1564" w:firstLine="0"/>
        <w:jc w:val="left"/>
        <w:rPr>
          <w:sz w:val="22"/>
        </w:rPr>
      </w:pPr>
      <w:r>
        <w:rPr>
          <w:b/>
          <w:sz w:val="22"/>
        </w:rPr>
        <w:t>Return Type and Value: </w:t>
      </w:r>
      <w:r>
        <w:rPr>
          <w:sz w:val="22"/>
        </w:rPr>
        <w:t>text – A copy of </w:t>
      </w:r>
      <w:r>
        <w:rPr>
          <w:rFonts w:ascii="Times New Roman" w:hAnsi="Times New Roman"/>
          <w:i/>
          <w:sz w:val="22"/>
        </w:rPr>
        <w:t>string-1 </w:t>
      </w:r>
      <w:r>
        <w:rPr>
          <w:sz w:val="22"/>
        </w:rPr>
        <w:t>with replacement characters from</w:t>
      </w:r>
      <w:r>
        <w:rPr>
          <w:spacing w:val="-27"/>
          <w:sz w:val="22"/>
        </w:rPr>
        <w:t> </w:t>
      </w:r>
      <w:r>
        <w:rPr>
          <w:rFonts w:ascii="Times New Roman" w:hAnsi="Times New Roman"/>
          <w:i/>
          <w:sz w:val="22"/>
        </w:rPr>
        <w:t>string-2</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start-pos </w:t>
      </w:r>
      <w:r>
        <w:rPr>
          <w:sz w:val="22"/>
        </w:rPr>
        <w:t>&lt; 0, </w:t>
      </w:r>
      <w:r>
        <w:rPr>
          <w:rFonts w:ascii="Consolas" w:hAnsi="Consolas"/>
          <w:sz w:val="22"/>
        </w:rPr>
        <w:t>#VALUE!</w:t>
      </w:r>
      <w:r>
        <w:rPr>
          <w:rFonts w:ascii="Consolas" w:hAnsi="Consolas"/>
          <w:spacing w:val="-80"/>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142" w:firstLine="360"/>
        <w:jc w:val="left"/>
        <w:rPr>
          <w:sz w:val="22"/>
        </w:rPr>
      </w:pPr>
      <w:r>
        <w:rPr>
          <w:rFonts w:ascii="Times New Roman" w:hAnsi="Times New Roman"/>
          <w:i/>
          <w:sz w:val="22"/>
        </w:rPr>
        <w:t>number-chars </w:t>
      </w:r>
      <w:r>
        <w:rPr>
          <w:sz w:val="22"/>
        </w:rPr>
        <w:t>&lt; 0, </w:t>
      </w:r>
      <w:r>
        <w:rPr>
          <w:rFonts w:ascii="Consolas" w:hAnsi="Consolas"/>
          <w:sz w:val="22"/>
        </w:rPr>
        <w:t>#VALUE!</w:t>
      </w:r>
      <w:r>
        <w:rPr>
          <w:rFonts w:ascii="Consolas" w:hAnsi="Consolas"/>
          <w:spacing w:val="-84"/>
          <w:sz w:val="22"/>
        </w:rPr>
        <w:t> </w:t>
      </w:r>
      <w:r>
        <w:rPr>
          <w:sz w:val="22"/>
        </w:rPr>
        <w:t>is returned. [</w:t>
      </w:r>
      <w:r>
        <w:rPr>
          <w:i/>
          <w:sz w:val="22"/>
        </w:rPr>
        <w:t>Example</w:t>
      </w:r>
      <w:r>
        <w:rPr>
          <w:sz w:val="22"/>
        </w:rPr>
        <w:t>:</w:t>
      </w:r>
    </w:p>
    <w:p>
      <w:pPr>
        <w:pStyle w:val="BodyText"/>
        <w:spacing w:line="276" w:lineRule="auto" w:before="126"/>
        <w:ind w:left="220" w:right="718"/>
        <w:rPr>
          <w:rFonts w:ascii="Consolas"/>
        </w:rPr>
      </w:pPr>
      <w:r>
        <w:rPr>
          <w:rFonts w:ascii="Consolas"/>
        </w:rPr>
        <w:t>REPLACE("abcdefghijk",3,4,"XY") </w:t>
      </w:r>
      <w:r>
        <w:rPr/>
        <w:t>results in </w:t>
      </w:r>
      <w:r>
        <w:rPr>
          <w:rFonts w:ascii="Consolas"/>
        </w:rPr>
        <w:t>abXYghijk REPLACE("abcdefghijk",3,1,"12345")</w:t>
      </w:r>
      <w:r>
        <w:rPr>
          <w:rFonts w:ascii="Consolas"/>
          <w:spacing w:val="-96"/>
        </w:rPr>
        <w:t> </w:t>
      </w:r>
      <w:r>
        <w:rPr/>
        <w:t>results in </w:t>
      </w:r>
      <w:r>
        <w:rPr>
          <w:rFonts w:ascii="Consolas"/>
        </w:rPr>
        <w:t>ab12345defghijk REPLACE("abcdefghijk",15,4,"XY")</w:t>
      </w:r>
      <w:r>
        <w:rPr>
          <w:rFonts w:ascii="Consolas"/>
          <w:spacing w:val="-77"/>
        </w:rPr>
        <w:t> </w:t>
      </w:r>
      <w:r>
        <w:rPr/>
        <w:t>results in </w:t>
      </w:r>
      <w:r>
        <w:rPr>
          <w:rFonts w:ascii="Consolas"/>
        </w:rPr>
        <w:t>abcdefghijkXY</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73 REPLACEB" w:id="2211"/>
      <w:bookmarkEnd w:id="2211"/>
      <w:r>
        <w:rPr/>
      </w:r>
      <w:bookmarkStart w:name="_bookmark736" w:id="2212"/>
      <w:bookmarkEnd w:id="2212"/>
      <w:r>
        <w:rPr/>
      </w:r>
      <w:bookmarkStart w:name="_bookmark736" w:id="2213"/>
      <w:bookmarkEnd w:id="2213"/>
      <w:r>
        <w:rPr>
          <w:color w:val="4F81BC"/>
        </w:rPr>
        <w:t>R</w:t>
      </w:r>
      <w:r>
        <w:rPr>
          <w:color w:val="4F81BC"/>
        </w:rPr>
        <w:t>EPLACEB</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REPLACEB ( </w:t>
      </w:r>
      <w:r>
        <w:rPr>
          <w:i/>
          <w:sz w:val="22"/>
        </w:rPr>
        <w:t>string-1 </w:t>
      </w:r>
      <w:r>
        <w:rPr>
          <w:rFonts w:ascii="Lucida Console"/>
          <w:sz w:val="20"/>
        </w:rPr>
        <w:t>, </w:t>
      </w:r>
      <w:r>
        <w:rPr>
          <w:i/>
          <w:sz w:val="22"/>
        </w:rPr>
        <w:t>start-pos </w:t>
      </w:r>
      <w:r>
        <w:rPr>
          <w:rFonts w:ascii="Lucida Console"/>
          <w:sz w:val="20"/>
        </w:rPr>
        <w:t>, </w:t>
      </w:r>
      <w:r>
        <w:rPr>
          <w:i/>
          <w:sz w:val="22"/>
        </w:rPr>
        <w:t>number-bytes </w:t>
      </w:r>
      <w:r>
        <w:rPr>
          <w:rFonts w:ascii="Lucida Console"/>
          <w:sz w:val="20"/>
        </w:rPr>
        <w:t>, </w:t>
      </w:r>
      <w:r>
        <w:rPr>
          <w:i/>
          <w:sz w:val="22"/>
        </w:rPr>
        <w:t>string-2 </w:t>
      </w:r>
      <w:r>
        <w:rPr>
          <w:rFonts w:ascii="Lucida Console"/>
          <w:sz w:val="20"/>
        </w:rPr>
        <w:t>)</w:t>
      </w:r>
    </w:p>
    <w:p>
      <w:pPr>
        <w:pStyle w:val="BodyText"/>
        <w:spacing w:line="276" w:lineRule="auto" w:before="106"/>
        <w:ind w:left="220" w:right="564"/>
      </w:pPr>
      <w:r>
        <w:rPr>
          <w:b/>
        </w:rPr>
        <w:t>Description: </w:t>
      </w:r>
      <w:r>
        <w:rPr/>
        <w:t>Produces a new string that is </w:t>
      </w:r>
      <w:r>
        <w:rPr>
          <w:rFonts w:ascii="Times New Roman" w:hAnsi="Times New Roman"/>
          <w:i/>
        </w:rPr>
        <w:t>string-1 </w:t>
      </w:r>
      <w:r>
        <w:rPr/>
        <w:t>with </w:t>
      </w:r>
      <w:r>
        <w:rPr>
          <w:rFonts w:ascii="Times New Roman" w:hAnsi="Times New Roman"/>
          <w:i/>
        </w:rPr>
        <w:t>number-bytes </w:t>
      </w:r>
      <w:r>
        <w:rPr/>
        <w:t>bytes starting at position </w:t>
      </w:r>
      <w:r>
        <w:rPr>
          <w:rFonts w:ascii="Times New Roman" w:hAnsi="Times New Roman"/>
          <w:i/>
        </w:rPr>
        <w:t>start-pos</w:t>
      </w:r>
      <w:r>
        <w:rPr/>
        <w:t>, replaced by </w:t>
      </w:r>
      <w:r>
        <w:rPr>
          <w:rFonts w:ascii="Times New Roman" w:hAnsi="Times New Roman"/>
          <w:i/>
        </w:rPr>
        <w:t>string-2</w:t>
      </w:r>
      <w:r>
        <w:rPr/>
        <w:t>. (</w:t>
      </w:r>
      <w:r>
        <w:rPr>
          <w:rFonts w:ascii="Consolas" w:hAnsi="Consolas"/>
        </w:rPr>
        <w:t>REPLACEB </w:t>
      </w:r>
      <w:r>
        <w:rPr/>
        <w:t>is intended for use with languages that use the double-byte character set (DBCS), whereas </w:t>
      </w:r>
      <w:r>
        <w:rPr>
          <w:rFonts w:ascii="Consolas" w:hAnsi="Consolas"/>
        </w:rPr>
        <w:t>REPLACE</w:t>
      </w:r>
      <w:r>
        <w:rPr>
          <w:rFonts w:ascii="Consolas" w:hAnsi="Consolas"/>
          <w:spacing w:val="-75"/>
        </w:rPr>
        <w:t> </w:t>
      </w:r>
      <w:hyperlink w:history="true" w:anchor="_bookmark735">
        <w:r>
          <w:rPr/>
          <w:t>(§18.17.7.272</w:t>
        </w:r>
      </w:hyperlink>
      <w:r>
        <w:rPr/>
        <w:t>) is intended for use with languages that use the single-byte character set (SBCS).)</w:t>
      </w:r>
    </w:p>
    <w:p>
      <w:pPr>
        <w:spacing w:after="0" w:line="276" w:lineRule="auto"/>
        <w:sectPr>
          <w:pgSz w:w="12240" w:h="15840"/>
          <w:pgMar w:header="763" w:footer="746" w:top="1340" w:bottom="940" w:left="860" w:right="700"/>
        </w:sectPr>
      </w:pPr>
    </w:p>
    <w:p>
      <w:pPr>
        <w:pStyle w:val="Heading4"/>
        <w:spacing w:before="9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string-1</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w:t>
            </w:r>
          </w:p>
        </w:tc>
      </w:tr>
      <w:tr>
        <w:trPr>
          <w:trHeight w:val="2502" w:hRule="atLeast"/>
        </w:trPr>
        <w:tc>
          <w:tcPr>
            <w:tcW w:w="1466" w:type="dxa"/>
          </w:tcPr>
          <w:p>
            <w:pPr>
              <w:pStyle w:val="TableParagraph"/>
              <w:spacing w:before="37"/>
              <w:rPr>
                <w:rFonts w:ascii="Times New Roman"/>
                <w:i/>
                <w:sz w:val="22"/>
              </w:rPr>
            </w:pPr>
            <w:r>
              <w:rPr>
                <w:rFonts w:ascii="Times New Roman"/>
                <w:i/>
                <w:sz w:val="22"/>
              </w:rPr>
              <w:t>start-pos</w:t>
            </w:r>
          </w:p>
        </w:tc>
        <w:tc>
          <w:tcPr>
            <w:tcW w:w="1800" w:type="dxa"/>
          </w:tcPr>
          <w:p>
            <w:pPr>
              <w:pStyle w:val="TableParagraph"/>
              <w:ind w:left="112"/>
              <w:rPr>
                <w:sz w:val="22"/>
              </w:rPr>
            </w:pPr>
            <w:r>
              <w:rPr>
                <w:sz w:val="22"/>
              </w:rPr>
              <w:t>number</w:t>
            </w:r>
          </w:p>
        </w:tc>
        <w:tc>
          <w:tcPr>
            <w:tcW w:w="5400" w:type="dxa"/>
          </w:tcPr>
          <w:p>
            <w:pPr>
              <w:pStyle w:val="TableParagraph"/>
              <w:ind w:left="113" w:right="141"/>
              <w:rPr>
                <w:rFonts w:ascii="Times New Roman"/>
                <w:i/>
                <w:sz w:val="22"/>
              </w:rPr>
            </w:pPr>
            <w:r>
              <w:rPr>
                <w:sz w:val="22"/>
              </w:rPr>
              <w:t>The number of the start position within </w:t>
            </w:r>
            <w:r>
              <w:rPr>
                <w:rFonts w:ascii="Times New Roman"/>
                <w:i/>
                <w:sz w:val="22"/>
              </w:rPr>
              <w:t>string-1 </w:t>
            </w:r>
            <w:r>
              <w:rPr>
                <w:sz w:val="22"/>
              </w:rPr>
              <w:t>from which characters in </w:t>
            </w:r>
            <w:r>
              <w:rPr>
                <w:rFonts w:ascii="Times New Roman"/>
                <w:i/>
                <w:sz w:val="22"/>
              </w:rPr>
              <w:t>string-1 </w:t>
            </w:r>
            <w:r>
              <w:rPr>
                <w:sz w:val="22"/>
              </w:rPr>
              <w:t>are to be replaced. The start position of the first character is 1. </w:t>
            </w:r>
            <w:r>
              <w:rPr>
                <w:rFonts w:ascii="Times New Roman"/>
                <w:i/>
                <w:sz w:val="22"/>
              </w:rPr>
              <w:t>start-pos </w:t>
            </w:r>
            <w:r>
              <w:rPr>
                <w:sz w:val="22"/>
              </w:rPr>
              <w:t>shall be at least 0. If </w:t>
            </w:r>
            <w:r>
              <w:rPr>
                <w:rFonts w:ascii="Times New Roman"/>
                <w:i/>
                <w:sz w:val="22"/>
              </w:rPr>
              <w:t>start-pos </w:t>
            </w:r>
            <w:r>
              <w:rPr>
                <w:sz w:val="22"/>
              </w:rPr>
              <w:t>is beyond the end of </w:t>
            </w:r>
            <w:r>
              <w:rPr>
                <w:rFonts w:ascii="Times New Roman"/>
                <w:i/>
                <w:sz w:val="22"/>
              </w:rPr>
              <w:t>string-1</w:t>
            </w:r>
            <w:r>
              <w:rPr>
                <w:sz w:val="22"/>
              </w:rPr>
              <w:t>, the result is a new string that is </w:t>
            </w:r>
            <w:r>
              <w:rPr>
                <w:rFonts w:ascii="Times New Roman"/>
                <w:i/>
                <w:sz w:val="22"/>
              </w:rPr>
              <w:t>string-2 </w:t>
            </w:r>
            <w:r>
              <w:rPr>
                <w:sz w:val="22"/>
              </w:rPr>
              <w:t>appended to </w:t>
            </w:r>
            <w:r>
              <w:rPr>
                <w:rFonts w:ascii="Times New Roman"/>
                <w:i/>
                <w:sz w:val="22"/>
              </w:rPr>
              <w:t>string-</w:t>
            </w:r>
          </w:p>
          <w:p>
            <w:pPr>
              <w:pStyle w:val="TableParagraph"/>
              <w:spacing w:before="0"/>
              <w:ind w:left="113" w:right="412"/>
              <w:rPr>
                <w:sz w:val="22"/>
              </w:rPr>
            </w:pPr>
            <w:r>
              <w:rPr>
                <w:rFonts w:ascii="Times New Roman"/>
                <w:i/>
                <w:sz w:val="22"/>
              </w:rPr>
              <w:t>1</w:t>
            </w:r>
            <w:r>
              <w:rPr>
                <w:sz w:val="22"/>
              </w:rPr>
              <w:t>. If </w:t>
            </w:r>
            <w:r>
              <w:rPr>
                <w:rFonts w:ascii="Times New Roman"/>
                <w:i/>
                <w:sz w:val="22"/>
              </w:rPr>
              <w:t>start-pos </w:t>
            </w:r>
            <w:r>
              <w:rPr>
                <w:sz w:val="22"/>
              </w:rPr>
              <w:t>is within the bounds of </w:t>
            </w:r>
            <w:r>
              <w:rPr>
                <w:rFonts w:ascii="Times New Roman"/>
                <w:i/>
                <w:sz w:val="22"/>
              </w:rPr>
              <w:t>string-1</w:t>
            </w:r>
            <w:r>
              <w:rPr>
                <w:sz w:val="22"/>
              </w:rPr>
              <w:t>, but </w:t>
            </w:r>
            <w:r>
              <w:rPr>
                <w:rFonts w:ascii="Times New Roman"/>
                <w:i/>
                <w:sz w:val="22"/>
              </w:rPr>
              <w:t>number- bytes </w:t>
            </w:r>
            <w:r>
              <w:rPr>
                <w:sz w:val="22"/>
              </w:rPr>
              <w:t>goes beyond the end of </w:t>
            </w:r>
            <w:r>
              <w:rPr>
                <w:rFonts w:ascii="Times New Roman"/>
                <w:i/>
                <w:sz w:val="22"/>
              </w:rPr>
              <w:t>string-1</w:t>
            </w:r>
            <w:r>
              <w:rPr>
                <w:sz w:val="22"/>
              </w:rPr>
              <w:t>, the characters starting at position </w:t>
            </w:r>
            <w:r>
              <w:rPr>
                <w:rFonts w:ascii="Times New Roman"/>
                <w:i/>
                <w:sz w:val="22"/>
              </w:rPr>
              <w:t>start-pos </w:t>
            </w:r>
            <w:r>
              <w:rPr>
                <w:sz w:val="22"/>
              </w:rPr>
              <w:t>through to the end of </w:t>
            </w:r>
            <w:r>
              <w:rPr>
                <w:rFonts w:ascii="Times New Roman"/>
                <w:i/>
                <w:sz w:val="22"/>
              </w:rPr>
              <w:t>string-1 </w:t>
            </w:r>
            <w:r>
              <w:rPr>
                <w:sz w:val="22"/>
              </w:rPr>
              <w:t>shall be replaced by </w:t>
            </w:r>
            <w:r>
              <w:rPr>
                <w:rFonts w:ascii="Times New Roman"/>
                <w:i/>
                <w:sz w:val="22"/>
              </w:rPr>
              <w:t>string-2</w:t>
            </w:r>
            <w:r>
              <w:rPr>
                <w:sz w:val="22"/>
              </w:rPr>
              <w:t>.</w:t>
            </w:r>
          </w:p>
        </w:tc>
      </w:tr>
      <w:tr>
        <w:trPr>
          <w:trHeight w:val="624" w:hRule="atLeast"/>
        </w:trPr>
        <w:tc>
          <w:tcPr>
            <w:tcW w:w="1466" w:type="dxa"/>
          </w:tcPr>
          <w:p>
            <w:pPr>
              <w:pStyle w:val="TableParagraph"/>
              <w:spacing w:before="37"/>
              <w:ind w:right="575"/>
              <w:rPr>
                <w:rFonts w:ascii="Times New Roman"/>
                <w:i/>
                <w:sz w:val="22"/>
              </w:rPr>
            </w:pPr>
            <w:r>
              <w:rPr>
                <w:rFonts w:ascii="Times New Roman"/>
                <w:i/>
                <w:sz w:val="22"/>
              </w:rPr>
              <w:t>number- </w:t>
            </w:r>
            <w:r>
              <w:rPr>
                <w:rFonts w:ascii="Times New Roman"/>
                <w:i/>
                <w:sz w:val="22"/>
              </w:rPr>
              <w:t>bytes</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characters within </w:t>
            </w:r>
            <w:r>
              <w:rPr>
                <w:rFonts w:ascii="Times New Roman"/>
                <w:i/>
                <w:sz w:val="22"/>
              </w:rPr>
              <w:t>string-1 </w:t>
            </w:r>
            <w:r>
              <w:rPr>
                <w:sz w:val="22"/>
              </w:rPr>
              <w:t>that are to be replaced by the string designated by </w:t>
            </w:r>
            <w:r>
              <w:rPr>
                <w:rFonts w:ascii="Times New Roman"/>
                <w:i/>
                <w:sz w:val="22"/>
              </w:rPr>
              <w:t>string-2</w:t>
            </w:r>
            <w:r>
              <w:rPr>
                <w:sz w:val="22"/>
              </w:rPr>
              <w:t>.</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string-2</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w:t>
            </w:r>
          </w:p>
        </w:tc>
      </w:tr>
    </w:tbl>
    <w:p>
      <w:pPr>
        <w:pStyle w:val="BodyText"/>
        <w:rPr>
          <w:b/>
        </w:rPr>
      </w:pPr>
    </w:p>
    <w:p>
      <w:pPr>
        <w:pStyle w:val="BodyText"/>
        <w:spacing w:before="7"/>
        <w:rPr>
          <w:b/>
          <w:sz w:val="19"/>
        </w:rPr>
      </w:pPr>
    </w:p>
    <w:p>
      <w:pPr>
        <w:spacing w:line="453" w:lineRule="auto" w:before="0"/>
        <w:ind w:left="220" w:right="1564" w:firstLine="0"/>
        <w:jc w:val="left"/>
        <w:rPr>
          <w:sz w:val="22"/>
        </w:rPr>
      </w:pPr>
      <w:r>
        <w:rPr>
          <w:b/>
          <w:sz w:val="22"/>
        </w:rPr>
        <w:t>Return Type and Value: </w:t>
      </w:r>
      <w:r>
        <w:rPr>
          <w:sz w:val="22"/>
        </w:rPr>
        <w:t>text – A copy of </w:t>
      </w:r>
      <w:r>
        <w:rPr>
          <w:rFonts w:ascii="Times New Roman" w:hAnsi="Times New Roman"/>
          <w:i/>
          <w:sz w:val="22"/>
        </w:rPr>
        <w:t>string-1 </w:t>
      </w:r>
      <w:r>
        <w:rPr>
          <w:sz w:val="22"/>
        </w:rPr>
        <w:t>with replacement characters from</w:t>
      </w:r>
      <w:r>
        <w:rPr>
          <w:spacing w:val="-27"/>
          <w:sz w:val="22"/>
        </w:rPr>
        <w:t> </w:t>
      </w:r>
      <w:r>
        <w:rPr>
          <w:rFonts w:ascii="Times New Roman" w:hAnsi="Times New Roman"/>
          <w:i/>
          <w:sz w:val="22"/>
        </w:rPr>
        <w:t>string-2</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start-pos </w:t>
      </w:r>
      <w:r>
        <w:rPr>
          <w:sz w:val="22"/>
        </w:rPr>
        <w:t>&lt; 0, </w:t>
      </w:r>
      <w:r>
        <w:rPr>
          <w:rFonts w:ascii="Consolas" w:hAnsi="Consolas"/>
          <w:sz w:val="22"/>
        </w:rPr>
        <w:t>#VALUE!</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178" w:firstLine="360"/>
        <w:jc w:val="left"/>
        <w:rPr>
          <w:sz w:val="22"/>
        </w:rPr>
      </w:pPr>
      <w:r>
        <w:rPr>
          <w:rFonts w:ascii="Times New Roman" w:hAnsi="Times New Roman"/>
          <w:i/>
          <w:sz w:val="22"/>
        </w:rPr>
        <w:t>number-bytes </w:t>
      </w:r>
      <w:r>
        <w:rPr>
          <w:sz w:val="22"/>
        </w:rPr>
        <w:t>&lt; 0, </w:t>
      </w:r>
      <w:r>
        <w:rPr>
          <w:rFonts w:ascii="Consolas" w:hAnsi="Consolas"/>
          <w:sz w:val="22"/>
        </w:rPr>
        <w:t>#VALUE!</w:t>
      </w:r>
      <w:r>
        <w:rPr>
          <w:rFonts w:ascii="Consolas" w:hAnsi="Consolas"/>
          <w:spacing w:val="-82"/>
          <w:sz w:val="22"/>
        </w:rPr>
        <w:t> </w:t>
      </w:r>
      <w:r>
        <w:rPr>
          <w:sz w:val="22"/>
        </w:rPr>
        <w:t>is returned. [</w:t>
      </w:r>
      <w:r>
        <w:rPr>
          <w:i/>
          <w:sz w:val="22"/>
        </w:rPr>
        <w:t>Example</w:t>
      </w:r>
      <w:r>
        <w:rPr>
          <w:sz w:val="22"/>
        </w:rPr>
        <w:t>: Assuming 1-byte</w:t>
      </w:r>
      <w:r>
        <w:rPr>
          <w:spacing w:val="-8"/>
          <w:sz w:val="22"/>
        </w:rPr>
        <w:t> </w:t>
      </w:r>
      <w:r>
        <w:rPr>
          <w:sz w:val="22"/>
        </w:rPr>
        <w:t>characters:</w:t>
      </w:r>
    </w:p>
    <w:p>
      <w:pPr>
        <w:pStyle w:val="BodyText"/>
        <w:spacing w:line="276" w:lineRule="auto" w:before="128"/>
        <w:ind w:left="220" w:right="503"/>
        <w:rPr>
          <w:rFonts w:ascii="Consolas"/>
        </w:rPr>
      </w:pPr>
      <w:r>
        <w:rPr>
          <w:rFonts w:ascii="Consolas"/>
        </w:rPr>
        <w:t>REPLACEB("abcdefghijk",3,4,"XY") </w:t>
      </w:r>
      <w:r>
        <w:rPr/>
        <w:t>results in </w:t>
      </w:r>
      <w:r>
        <w:rPr>
          <w:rFonts w:ascii="Consolas"/>
        </w:rPr>
        <w:t>abXYghijk REPLACEB("abcdefghijk",3,1,"12345")</w:t>
      </w:r>
      <w:r>
        <w:rPr>
          <w:rFonts w:ascii="Consolas"/>
          <w:spacing w:val="-95"/>
        </w:rPr>
        <w:t> </w:t>
      </w:r>
      <w:r>
        <w:rPr/>
        <w:t>results in </w:t>
      </w:r>
      <w:r>
        <w:rPr>
          <w:rFonts w:ascii="Consolas"/>
        </w:rPr>
        <w:t>ab12345defghijk REPLACEB("abcdefghijk",15,4,"XY")</w:t>
      </w:r>
      <w:r>
        <w:rPr>
          <w:rFonts w:ascii="Consolas"/>
          <w:spacing w:val="-74"/>
        </w:rPr>
        <w:t> </w:t>
      </w:r>
      <w:r>
        <w:rPr/>
        <w:t>results in </w:t>
      </w:r>
      <w:r>
        <w:rPr>
          <w:rFonts w:ascii="Consolas"/>
        </w:rPr>
        <w:t>abcdefghijkXY</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4 REPT" w:id="2214"/>
      <w:bookmarkEnd w:id="2214"/>
      <w:r>
        <w:rPr/>
      </w:r>
      <w:bookmarkStart w:name="_bookmark737" w:id="2215"/>
      <w:bookmarkEnd w:id="2215"/>
      <w:r>
        <w:rPr/>
      </w:r>
      <w:bookmarkStart w:name="_bookmark737" w:id="2216"/>
      <w:bookmarkEnd w:id="2216"/>
      <w:r>
        <w:rPr>
          <w:color w:val="4F81BC"/>
        </w:rPr>
        <w:t>R</w:t>
      </w:r>
      <w:r>
        <w:rPr>
          <w:color w:val="4F81BC"/>
        </w:rPr>
        <w:t>EPT</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REPT ( </w:t>
      </w:r>
      <w:r>
        <w:rPr>
          <w:i/>
          <w:sz w:val="22"/>
        </w:rPr>
        <w:t>string </w:t>
      </w:r>
      <w:r>
        <w:rPr>
          <w:rFonts w:ascii="Lucida Console"/>
          <w:sz w:val="20"/>
        </w:rPr>
        <w:t>, </w:t>
      </w:r>
      <w:r>
        <w:rPr>
          <w:i/>
          <w:sz w:val="22"/>
        </w:rPr>
        <w:t>replication-count </w:t>
      </w:r>
      <w:r>
        <w:rPr>
          <w:rFonts w:ascii="Lucida Console"/>
          <w:sz w:val="20"/>
        </w:rPr>
        <w:t>)</w:t>
      </w:r>
    </w:p>
    <w:p>
      <w:pPr>
        <w:spacing w:before="109"/>
        <w:ind w:left="220" w:right="0" w:firstLine="0"/>
        <w:jc w:val="left"/>
        <w:rPr>
          <w:sz w:val="22"/>
        </w:rPr>
      </w:pPr>
      <w:r>
        <w:rPr>
          <w:b/>
          <w:sz w:val="22"/>
        </w:rPr>
        <w:t>Description: </w:t>
      </w:r>
      <w:r>
        <w:rPr>
          <w:sz w:val="22"/>
        </w:rPr>
        <w:t>Creates a string that is </w:t>
      </w:r>
      <w:r>
        <w:rPr>
          <w:rFonts w:ascii="Times New Roman"/>
          <w:i/>
          <w:sz w:val="22"/>
        </w:rPr>
        <w:t>replication-count </w:t>
      </w:r>
      <w:r>
        <w:rPr>
          <w:sz w:val="22"/>
        </w:rPr>
        <w:t>number of occurrences of </w:t>
      </w:r>
      <w:r>
        <w:rPr>
          <w:rFonts w:ascii="Times New Roman"/>
          <w:i/>
          <w:sz w:val="22"/>
        </w:rPr>
        <w:t>string </w:t>
      </w:r>
      <w:r>
        <w:rPr>
          <w:sz w:val="22"/>
        </w:rPr>
        <w:t>concatenated together.</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6"/>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 the string to be replicated.</w:t>
            </w:r>
          </w:p>
        </w:tc>
      </w:tr>
      <w:tr>
        <w:trPr>
          <w:trHeight w:val="354" w:hRule="atLeast"/>
        </w:trPr>
        <w:tc>
          <w:tcPr>
            <w:tcW w:w="1466" w:type="dxa"/>
          </w:tcPr>
          <w:p>
            <w:pPr>
              <w:pStyle w:val="TableParagraph"/>
              <w:spacing w:before="37"/>
              <w:rPr>
                <w:rFonts w:ascii="Times New Roman"/>
                <w:i/>
                <w:sz w:val="22"/>
              </w:rPr>
            </w:pPr>
            <w:r>
              <w:rPr>
                <w:rFonts w:ascii="Times New Roman"/>
                <w:i/>
                <w:sz w:val="22"/>
              </w:rPr>
              <w:t>replication-</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times </w:t>
            </w:r>
            <w:r>
              <w:rPr>
                <w:rFonts w:ascii="Times New Roman"/>
                <w:i/>
                <w:sz w:val="22"/>
              </w:rPr>
              <w:t>string </w:t>
            </w:r>
            <w:r>
              <w:rPr>
                <w:sz w:val="22"/>
              </w:rPr>
              <w:t>is to be replicated, truncated</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count</w:t>
            </w:r>
          </w:p>
        </w:tc>
        <w:tc>
          <w:tcPr>
            <w:tcW w:w="1800" w:type="dxa"/>
          </w:tcPr>
          <w:p>
            <w:pPr>
              <w:pStyle w:val="TableParagraph"/>
              <w:spacing w:before="0"/>
              <w:ind w:left="0"/>
              <w:rPr>
                <w:rFonts w:ascii="Times New Roman"/>
                <w:sz w:val="22"/>
              </w:rPr>
            </w:pPr>
          </w:p>
        </w:tc>
        <w:tc>
          <w:tcPr>
            <w:tcW w:w="5400" w:type="dxa"/>
          </w:tcPr>
          <w:p>
            <w:pPr>
              <w:pStyle w:val="TableParagraph"/>
              <w:ind w:left="113" w:right="244"/>
              <w:rPr>
                <w:sz w:val="22"/>
              </w:rPr>
            </w:pPr>
            <w:r>
              <w:rPr>
                <w:sz w:val="22"/>
              </w:rPr>
              <w:t>to integer. If </w:t>
            </w:r>
            <w:r>
              <w:rPr>
                <w:rFonts w:ascii="Times New Roman"/>
                <w:i/>
                <w:sz w:val="22"/>
              </w:rPr>
              <w:t>replication-count </w:t>
            </w:r>
            <w:r>
              <w:rPr>
                <w:sz w:val="22"/>
              </w:rPr>
              <w:t>is 0, the resulting string is empty.</w:t>
            </w:r>
          </w:p>
        </w:tc>
      </w:tr>
    </w:tbl>
    <w:p>
      <w:pPr>
        <w:pStyle w:val="BodyText"/>
        <w:rPr>
          <w:b/>
          <w:sz w:val="20"/>
        </w:rPr>
      </w:pPr>
    </w:p>
    <w:p>
      <w:pPr>
        <w:pStyle w:val="BodyText"/>
        <w:rPr>
          <w:b/>
          <w:sz w:val="17"/>
        </w:rPr>
      </w:pPr>
    </w:p>
    <w:p>
      <w:pPr>
        <w:spacing w:line="453" w:lineRule="auto" w:before="56"/>
        <w:ind w:left="220" w:right="5353" w:firstLine="0"/>
        <w:jc w:val="left"/>
        <w:rPr>
          <w:sz w:val="22"/>
        </w:rPr>
      </w:pPr>
      <w:r>
        <w:rPr>
          <w:b/>
          <w:sz w:val="22"/>
        </w:rPr>
        <w:t>Return Type and Value: </w:t>
      </w:r>
      <w:r>
        <w:rPr>
          <w:sz w:val="22"/>
        </w:rPr>
        <w:t>text – The final replicated string. However, if </w:t>
      </w:r>
      <w:r>
        <w:rPr>
          <w:rFonts w:ascii="Times New Roman" w:hAnsi="Times New Roman"/>
          <w:i/>
          <w:sz w:val="22"/>
        </w:rPr>
        <w:t>replication-count </w:t>
      </w:r>
      <w:r>
        <w:rPr>
          <w:sz w:val="22"/>
        </w:rPr>
        <w:t>&lt; 0, </w:t>
      </w:r>
      <w:r>
        <w:rPr>
          <w:rFonts w:ascii="Consolas" w:hAnsi="Consolas"/>
          <w:sz w:val="22"/>
        </w:rPr>
        <w:t>#VALUE! </w:t>
      </w:r>
      <w:r>
        <w:rPr>
          <w:sz w:val="22"/>
        </w:rPr>
        <w:t>is returned. [</w:t>
      </w:r>
      <w:r>
        <w:rPr>
          <w:i/>
          <w:sz w:val="22"/>
        </w:rPr>
        <w:t>Example</w:t>
      </w:r>
      <w:r>
        <w:rPr>
          <w:sz w:val="22"/>
        </w:rPr>
        <w:t>:</w:t>
      </w:r>
    </w:p>
    <w:p>
      <w:pPr>
        <w:pStyle w:val="BodyText"/>
        <w:spacing w:before="109"/>
        <w:ind w:left="220"/>
        <w:rPr>
          <w:rFonts w:ascii="Consolas"/>
        </w:rPr>
      </w:pPr>
      <w:r>
        <w:rPr>
          <w:rFonts w:ascii="Consolas"/>
        </w:rPr>
        <w:t>REPT("ABC",3)</w:t>
      </w:r>
      <w:r>
        <w:rPr>
          <w:rFonts w:ascii="Consolas"/>
          <w:spacing w:val="-70"/>
        </w:rPr>
        <w:t> </w:t>
      </w:r>
      <w:r>
        <w:rPr/>
        <w:t>results in </w:t>
      </w:r>
      <w:r>
        <w:rPr>
          <w:rFonts w:ascii="Consolas"/>
        </w:rPr>
        <w:t>ABCABCABC</w:t>
      </w:r>
    </w:p>
    <w:p>
      <w:pPr>
        <w:pStyle w:val="BodyText"/>
        <w:spacing w:before="42"/>
        <w:ind w:left="220"/>
        <w:rPr>
          <w:rFonts w:ascii="Consolas"/>
        </w:rPr>
      </w:pPr>
      <w:r>
        <w:rPr>
          <w:rFonts w:ascii="Consolas"/>
        </w:rPr>
        <w:t>LEN(REPT("ABC",0))</w:t>
      </w:r>
      <w:r>
        <w:rPr>
          <w:rFonts w:ascii="Consolas"/>
          <w:spacing w:val="-67"/>
        </w:rPr>
        <w:t> </w:t>
      </w:r>
      <w:r>
        <w:rPr/>
        <w:t>results in </w:t>
      </w:r>
      <w:r>
        <w:rPr>
          <w:rFonts w:ascii="Consolas"/>
        </w:rPr>
        <w:t>0</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5 RIGHT" w:id="2217"/>
      <w:bookmarkEnd w:id="2217"/>
      <w:r>
        <w:rPr/>
      </w:r>
      <w:bookmarkStart w:name="_bookmark738" w:id="2218"/>
      <w:bookmarkEnd w:id="2218"/>
      <w:r>
        <w:rPr/>
      </w:r>
      <w:bookmarkStart w:name="_bookmark738" w:id="2219"/>
      <w:bookmarkEnd w:id="2219"/>
      <w:r>
        <w:rPr>
          <w:color w:val="4F81BC"/>
        </w:rPr>
        <w:t>R</w:t>
      </w:r>
      <w:r>
        <w:rPr>
          <w:color w:val="4F81BC"/>
        </w:rPr>
        <w:t>IGHT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RIGHT ( </w:t>
      </w:r>
      <w:r>
        <w:rPr>
          <w:i/>
          <w:sz w:val="22"/>
        </w:rPr>
        <w:t>string </w:t>
      </w:r>
      <w:r>
        <w:rPr>
          <w:sz w:val="22"/>
        </w:rPr>
        <w:t>[ </w:t>
      </w:r>
      <w:r>
        <w:rPr>
          <w:rFonts w:ascii="Lucida Console"/>
          <w:sz w:val="20"/>
        </w:rPr>
        <w:t>, </w:t>
      </w:r>
      <w:r>
        <w:rPr>
          <w:i/>
          <w:sz w:val="22"/>
        </w:rPr>
        <w:t>number-chars </w:t>
      </w:r>
      <w:r>
        <w:rPr>
          <w:sz w:val="22"/>
        </w:rPr>
        <w:t>] </w:t>
      </w:r>
      <w:r>
        <w:rPr>
          <w:rFonts w:ascii="Lucida Console"/>
          <w:sz w:val="20"/>
        </w:rPr>
        <w:t>)</w:t>
      </w:r>
    </w:p>
    <w:p>
      <w:pPr>
        <w:pStyle w:val="BodyText"/>
        <w:spacing w:line="276" w:lineRule="auto" w:before="109"/>
        <w:ind w:left="220" w:right="387"/>
      </w:pPr>
      <w:r>
        <w:rPr>
          <w:b/>
        </w:rPr>
        <w:t>Description: </w:t>
      </w:r>
      <w:r>
        <w:rPr/>
        <w:t>Extracts the right-most </w:t>
      </w:r>
      <w:r>
        <w:rPr>
          <w:rFonts w:ascii="Times New Roman" w:hAnsi="Times New Roman"/>
          <w:i/>
        </w:rPr>
        <w:t>number-chars </w:t>
      </w:r>
      <w:r>
        <w:rPr/>
        <w:t>characters from </w:t>
      </w:r>
      <w:r>
        <w:rPr>
          <w:rFonts w:ascii="Times New Roman" w:hAnsi="Times New Roman"/>
          <w:i/>
        </w:rPr>
        <w:t>string</w:t>
      </w:r>
      <w:r>
        <w:rPr/>
        <w:t>. (</w:t>
      </w:r>
      <w:r>
        <w:rPr>
          <w:rFonts w:ascii="Consolas" w:hAnsi="Consolas"/>
        </w:rPr>
        <w:t>RIGHT </w:t>
      </w:r>
      <w:r>
        <w:rPr/>
        <w:t>is intended for use with languages that use the single-byte character set (SBCS), whereas </w:t>
      </w:r>
      <w:r>
        <w:rPr>
          <w:rFonts w:ascii="Consolas" w:hAnsi="Consolas"/>
        </w:rPr>
        <w:t>RIGHTB</w:t>
      </w:r>
      <w:r>
        <w:rPr>
          <w:rFonts w:ascii="Consolas" w:hAnsi="Consolas"/>
          <w:spacing w:val="-106"/>
        </w:rPr>
        <w:t> </w:t>
      </w:r>
      <w:r>
        <w:rPr/>
        <w:t>(</w:t>
      </w:r>
      <w:hyperlink w:history="true" w:anchor="_bookmark739">
        <w:r>
          <w:rPr/>
          <w:t>§18.17.7.276</w:t>
        </w:r>
      </w:hyperlink>
      <w:r>
        <w:rPr/>
        <w:t>) is intended for use with languages that use the double-byte character set (DBCS).)</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668"/>
              <w:rPr>
                <w:sz w:val="22"/>
              </w:rPr>
            </w:pPr>
            <w:r>
              <w:rPr>
                <w:sz w:val="22"/>
              </w:rPr>
              <w:t>Designate the string from which a substring is to be extracted.</w:t>
            </w:r>
          </w:p>
        </w:tc>
      </w:tr>
      <w:tr>
        <w:trPr>
          <w:trHeight w:val="1158" w:hRule="atLeast"/>
        </w:trPr>
        <w:tc>
          <w:tcPr>
            <w:tcW w:w="1466" w:type="dxa"/>
          </w:tcPr>
          <w:p>
            <w:pPr>
              <w:pStyle w:val="TableParagraph"/>
              <w:spacing w:before="37"/>
              <w:rPr>
                <w:rFonts w:ascii="Times New Roman"/>
                <w:i/>
                <w:sz w:val="22"/>
              </w:rPr>
            </w:pPr>
            <w:r>
              <w:rPr>
                <w:rFonts w:ascii="Times New Roman"/>
                <w:i/>
                <w:sz w:val="22"/>
              </w:rPr>
              <w:t>number-chars</w:t>
            </w:r>
          </w:p>
        </w:tc>
        <w:tc>
          <w:tcPr>
            <w:tcW w:w="1800" w:type="dxa"/>
          </w:tcPr>
          <w:p>
            <w:pPr>
              <w:pStyle w:val="TableParagraph"/>
              <w:ind w:left="112"/>
              <w:rPr>
                <w:sz w:val="22"/>
              </w:rPr>
            </w:pPr>
            <w:r>
              <w:rPr>
                <w:sz w:val="22"/>
              </w:rPr>
              <w:t>number</w:t>
            </w:r>
          </w:p>
        </w:tc>
        <w:tc>
          <w:tcPr>
            <w:tcW w:w="5400" w:type="dxa"/>
          </w:tcPr>
          <w:p>
            <w:pPr>
              <w:pStyle w:val="TableParagraph"/>
              <w:ind w:left="113" w:right="175"/>
              <w:rPr>
                <w:sz w:val="22"/>
              </w:rPr>
            </w:pPr>
            <w:r>
              <w:rPr>
                <w:sz w:val="22"/>
              </w:rPr>
              <w:t>The number of characters to be extracted. If omitted, a count of 1 shall be assumed. </w:t>
            </w:r>
            <w:r>
              <w:rPr>
                <w:rFonts w:ascii="Times New Roman"/>
                <w:i/>
                <w:sz w:val="22"/>
              </w:rPr>
              <w:t>number-chars </w:t>
            </w:r>
            <w:r>
              <w:rPr>
                <w:sz w:val="22"/>
              </w:rPr>
              <w:t>shall be at least 0. If </w:t>
            </w:r>
            <w:r>
              <w:rPr>
                <w:rFonts w:ascii="Times New Roman"/>
                <w:i/>
                <w:sz w:val="22"/>
              </w:rPr>
              <w:t>number-chars </w:t>
            </w:r>
            <w:r>
              <w:rPr>
                <w:sz w:val="22"/>
              </w:rPr>
              <w:t>exceeds the length of </w:t>
            </w:r>
            <w:r>
              <w:rPr>
                <w:rFonts w:ascii="Times New Roman"/>
                <w:i/>
                <w:sz w:val="22"/>
              </w:rPr>
              <w:t>string</w:t>
            </w:r>
            <w:r>
              <w:rPr>
                <w:sz w:val="22"/>
              </w:rPr>
              <w:t>, the whole of </w:t>
            </w:r>
            <w:r>
              <w:rPr>
                <w:rFonts w:ascii="Times New Roman"/>
                <w:i/>
                <w:sz w:val="22"/>
              </w:rPr>
              <w:t>string </w:t>
            </w:r>
            <w:r>
              <w:rPr>
                <w:sz w:val="22"/>
              </w:rPr>
              <w:t>shall be extracted.</w:t>
            </w:r>
          </w:p>
        </w:tc>
      </w:tr>
    </w:tbl>
    <w:p>
      <w:pPr>
        <w:pStyle w:val="BodyText"/>
        <w:rPr>
          <w:b/>
        </w:rPr>
      </w:pPr>
    </w:p>
    <w:p>
      <w:pPr>
        <w:pStyle w:val="BodyText"/>
        <w:spacing w:before="7"/>
        <w:rPr>
          <w:b/>
          <w:sz w:val="19"/>
        </w:rPr>
      </w:pPr>
    </w:p>
    <w:p>
      <w:pPr>
        <w:spacing w:line="456" w:lineRule="auto" w:before="0"/>
        <w:ind w:left="220" w:right="1298" w:firstLine="0"/>
        <w:jc w:val="left"/>
        <w:rPr>
          <w:sz w:val="22"/>
        </w:rPr>
      </w:pPr>
      <w:r>
        <w:rPr>
          <w:b/>
          <w:sz w:val="22"/>
        </w:rPr>
        <w:t>Return Type and Value: </w:t>
      </w:r>
      <w:r>
        <w:rPr>
          <w:sz w:val="22"/>
        </w:rPr>
        <w:t>text – A string containing the right-most </w:t>
      </w:r>
      <w:r>
        <w:rPr>
          <w:rFonts w:ascii="Times New Roman" w:hAnsi="Times New Roman"/>
          <w:i/>
          <w:sz w:val="22"/>
        </w:rPr>
        <w:t>number-chars </w:t>
      </w:r>
      <w:r>
        <w:rPr>
          <w:sz w:val="22"/>
        </w:rPr>
        <w:t>characters from </w:t>
      </w:r>
      <w:r>
        <w:rPr>
          <w:rFonts w:ascii="Times New Roman" w:hAnsi="Times New Roman"/>
          <w:i/>
          <w:sz w:val="22"/>
        </w:rPr>
        <w:t>string</w:t>
      </w:r>
      <w:r>
        <w:rPr>
          <w:sz w:val="22"/>
        </w:rPr>
        <w:t>. However, if </w:t>
      </w:r>
      <w:r>
        <w:rPr>
          <w:rFonts w:ascii="Times New Roman" w:hAnsi="Times New Roman"/>
          <w:i/>
          <w:sz w:val="22"/>
        </w:rPr>
        <w:t>number-chars </w:t>
      </w:r>
      <w:r>
        <w:rPr>
          <w:sz w:val="22"/>
        </w:rPr>
        <w:t>&lt; 0, </w:t>
      </w:r>
      <w:r>
        <w:rPr>
          <w:rFonts w:ascii="Consolas" w:hAnsi="Consolas"/>
          <w:sz w:val="22"/>
        </w:rPr>
        <w:t>#VALUE!</w:t>
      </w:r>
      <w:r>
        <w:rPr>
          <w:rFonts w:ascii="Consolas" w:hAnsi="Consolas"/>
          <w:spacing w:val="-76"/>
          <w:sz w:val="22"/>
        </w:rPr>
        <w:t> </w:t>
      </w:r>
      <w:r>
        <w:rPr>
          <w:sz w:val="22"/>
        </w:rPr>
        <w:t>is returned.</w:t>
      </w:r>
    </w:p>
    <w:p>
      <w:pPr>
        <w:spacing w:line="264" w:lineRule="exact"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rFonts w:ascii="Consolas"/>
        </w:rPr>
        <w:t>RIGHT("abcdef",2)</w:t>
      </w:r>
      <w:r>
        <w:rPr>
          <w:rFonts w:ascii="Consolas"/>
          <w:spacing w:val="-69"/>
        </w:rPr>
        <w:t> </w:t>
      </w:r>
      <w:r>
        <w:rPr/>
        <w:t>results in </w:t>
      </w:r>
      <w:r>
        <w:rPr>
          <w:rFonts w:ascii="Consolas"/>
        </w:rPr>
        <w:t>ef</w:t>
      </w:r>
    </w:p>
    <w:p>
      <w:pPr>
        <w:pStyle w:val="BodyText"/>
        <w:spacing w:before="41"/>
        <w:ind w:left="220"/>
        <w:rPr>
          <w:rFonts w:ascii="Consolas"/>
        </w:rPr>
      </w:pPr>
      <w:r>
        <w:rPr>
          <w:rFonts w:ascii="Consolas"/>
        </w:rPr>
        <w:t>RIGHT(A10,4)</w:t>
      </w:r>
      <w:r>
        <w:rPr>
          <w:rFonts w:ascii="Consolas"/>
          <w:spacing w:val="-80"/>
        </w:rPr>
        <w:t> </w:t>
      </w:r>
      <w:r>
        <w:rPr/>
        <w:t>results in </w:t>
      </w:r>
      <w:r>
        <w:rPr>
          <w:rFonts w:ascii="Consolas"/>
        </w:rPr>
        <w:t>z123</w:t>
      </w:r>
      <w:r>
        <w:rPr/>
        <w:t>, when A10 contains </w:t>
      </w:r>
      <w:r>
        <w:rPr>
          <w:rFonts w:ascii="Consolas"/>
        </w:rPr>
        <w:t>xyz123</w:t>
      </w:r>
    </w:p>
    <w:p>
      <w:pPr>
        <w:spacing w:after="0"/>
        <w:rPr>
          <w:rFonts w:ascii="Consolas"/>
        </w:rPr>
        <w:sectPr>
          <w:pgSz w:w="12240" w:h="15840"/>
          <w:pgMar w:header="763" w:footer="746" w:top="1340" w:bottom="940" w:left="860" w:right="700"/>
        </w:sectPr>
      </w:pPr>
    </w:p>
    <w:p>
      <w:pPr>
        <w:pStyle w:val="BodyText"/>
        <w:spacing w:before="7"/>
        <w:rPr>
          <w:rFonts w:ascii="Consolas"/>
          <w:sz w:val="29"/>
        </w:rPr>
      </w:pPr>
    </w:p>
    <w:p>
      <w:pPr>
        <w:spacing w:before="56"/>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6 RIGHTB" w:id="2220"/>
      <w:bookmarkEnd w:id="2220"/>
      <w:r>
        <w:rPr/>
      </w:r>
      <w:bookmarkStart w:name="_bookmark739" w:id="2221"/>
      <w:bookmarkEnd w:id="2221"/>
      <w:r>
        <w:rPr/>
      </w:r>
      <w:bookmarkStart w:name="_bookmark739" w:id="2222"/>
      <w:bookmarkEnd w:id="2222"/>
      <w:r>
        <w:rPr>
          <w:color w:val="4F81BC"/>
        </w:rPr>
        <w:t>R</w:t>
      </w:r>
      <w:r>
        <w:rPr>
          <w:color w:val="4F81BC"/>
        </w:rPr>
        <w:t>IGHTB</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RIGHTB ( </w:t>
      </w:r>
      <w:r>
        <w:rPr>
          <w:i/>
          <w:sz w:val="22"/>
        </w:rPr>
        <w:t>string </w:t>
      </w:r>
      <w:r>
        <w:rPr>
          <w:rFonts w:ascii="Lucida Console"/>
          <w:sz w:val="20"/>
        </w:rPr>
        <w:t>, </w:t>
      </w:r>
      <w:r>
        <w:rPr>
          <w:sz w:val="22"/>
        </w:rPr>
        <w:t>[ </w:t>
      </w:r>
      <w:r>
        <w:rPr>
          <w:i/>
          <w:sz w:val="22"/>
        </w:rPr>
        <w:t>number-bytes </w:t>
      </w:r>
      <w:r>
        <w:rPr>
          <w:sz w:val="22"/>
        </w:rPr>
        <w:t>] </w:t>
      </w:r>
      <w:r>
        <w:rPr>
          <w:rFonts w:ascii="Lucida Console"/>
          <w:sz w:val="20"/>
        </w:rPr>
        <w:t>)</w:t>
      </w:r>
    </w:p>
    <w:p>
      <w:pPr>
        <w:pStyle w:val="BodyText"/>
        <w:spacing w:line="276" w:lineRule="auto" w:before="106"/>
        <w:ind w:left="220" w:right="376"/>
      </w:pPr>
      <w:r>
        <w:rPr>
          <w:b/>
        </w:rPr>
        <w:t>Description: </w:t>
      </w:r>
      <w:r>
        <w:rPr/>
        <w:t>Extracts the right-most </w:t>
      </w:r>
      <w:r>
        <w:rPr>
          <w:rFonts w:ascii="Times New Roman" w:hAnsi="Times New Roman"/>
          <w:i/>
        </w:rPr>
        <w:t>number-bytes</w:t>
      </w:r>
      <w:r>
        <w:rPr/>
        <w:t>-worth of characters from </w:t>
      </w:r>
      <w:r>
        <w:rPr>
          <w:rFonts w:ascii="Times New Roman" w:hAnsi="Times New Roman"/>
          <w:i/>
        </w:rPr>
        <w:t>string</w:t>
      </w:r>
      <w:r>
        <w:rPr/>
        <w:t>. (</w:t>
      </w:r>
      <w:r>
        <w:rPr>
          <w:rFonts w:ascii="Consolas" w:hAnsi="Consolas"/>
        </w:rPr>
        <w:t>RIGHTB </w:t>
      </w:r>
      <w:r>
        <w:rPr/>
        <w:t>is intended for use with languages that use the double-byte character set (DBCS), whereas </w:t>
      </w:r>
      <w:r>
        <w:rPr>
          <w:rFonts w:ascii="Consolas" w:hAnsi="Consolas"/>
        </w:rPr>
        <w:t>RIGHT</w:t>
      </w:r>
      <w:r>
        <w:rPr>
          <w:rFonts w:ascii="Consolas" w:hAnsi="Consolas"/>
          <w:spacing w:val="-100"/>
        </w:rPr>
        <w:t> </w:t>
      </w:r>
      <w:r>
        <w:rPr/>
        <w:t>(</w:t>
      </w:r>
      <w:hyperlink w:history="true" w:anchor="_bookmark738">
        <w:r>
          <w:rPr/>
          <w:t>§18.17.7.275</w:t>
        </w:r>
      </w:hyperlink>
      <w:r>
        <w:rPr/>
        <w:t>) is intended for use with languages that use the single-byte character set (SBCS).)</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spacing w:before="43"/>
              <w:ind w:left="460"/>
              <w:rPr>
                <w:b/>
                <w:sz w:val="22"/>
              </w:rPr>
            </w:pPr>
            <w:r>
              <w:rPr>
                <w:b/>
                <w:sz w:val="22"/>
              </w:rPr>
              <w:t>Name</w:t>
            </w:r>
          </w:p>
        </w:tc>
        <w:tc>
          <w:tcPr>
            <w:tcW w:w="1800" w:type="dxa"/>
            <w:shd w:val="clear" w:color="auto" w:fill="C0C0C0"/>
          </w:tcPr>
          <w:p>
            <w:pPr>
              <w:pStyle w:val="TableParagraph"/>
              <w:spacing w:before="43"/>
              <w:ind w:left="94" w:right="86"/>
              <w:jc w:val="center"/>
              <w:rPr>
                <w:b/>
                <w:sz w:val="22"/>
              </w:rPr>
            </w:pPr>
            <w:r>
              <w:rPr>
                <w:b/>
                <w:sz w:val="22"/>
              </w:rPr>
              <w:t>Type</w:t>
            </w:r>
          </w:p>
        </w:tc>
        <w:tc>
          <w:tcPr>
            <w:tcW w:w="5400" w:type="dxa"/>
            <w:shd w:val="clear" w:color="auto" w:fill="C0C0C0"/>
          </w:tcPr>
          <w:p>
            <w:pPr>
              <w:pStyle w:val="TableParagraph"/>
              <w:spacing w:before="43"/>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668"/>
              <w:rPr>
                <w:sz w:val="22"/>
              </w:rPr>
            </w:pPr>
            <w:r>
              <w:rPr>
                <w:sz w:val="22"/>
              </w:rPr>
              <w:t>Designate the string from which a substring is to be extracted.</w:t>
            </w:r>
          </w:p>
        </w:tc>
      </w:tr>
      <w:tr>
        <w:trPr>
          <w:trHeight w:val="1161" w:hRule="atLeast"/>
        </w:trPr>
        <w:tc>
          <w:tcPr>
            <w:tcW w:w="1466" w:type="dxa"/>
          </w:tcPr>
          <w:p>
            <w:pPr>
              <w:pStyle w:val="TableParagraph"/>
              <w:spacing w:before="37"/>
              <w:rPr>
                <w:rFonts w:ascii="Times New Roman"/>
                <w:i/>
                <w:sz w:val="22"/>
              </w:rPr>
            </w:pPr>
            <w:r>
              <w:rPr>
                <w:rFonts w:ascii="Times New Roman"/>
                <w:i/>
                <w:sz w:val="22"/>
              </w:rPr>
              <w:t>number-bytes</w:t>
            </w:r>
          </w:p>
        </w:tc>
        <w:tc>
          <w:tcPr>
            <w:tcW w:w="1800" w:type="dxa"/>
          </w:tcPr>
          <w:p>
            <w:pPr>
              <w:pStyle w:val="TableParagraph"/>
              <w:ind w:left="112"/>
              <w:rPr>
                <w:sz w:val="22"/>
              </w:rPr>
            </w:pPr>
            <w:r>
              <w:rPr>
                <w:sz w:val="22"/>
              </w:rPr>
              <w:t>number</w:t>
            </w:r>
          </w:p>
        </w:tc>
        <w:tc>
          <w:tcPr>
            <w:tcW w:w="5400" w:type="dxa"/>
          </w:tcPr>
          <w:p>
            <w:pPr>
              <w:pStyle w:val="TableParagraph"/>
              <w:ind w:left="113" w:right="223"/>
              <w:rPr>
                <w:sz w:val="22"/>
              </w:rPr>
            </w:pPr>
            <w:r>
              <w:rPr>
                <w:sz w:val="22"/>
              </w:rPr>
              <w:t>The number of bytes to be extracted. If omitted, a count of 1 shall be assumed. </w:t>
            </w:r>
            <w:r>
              <w:rPr>
                <w:rFonts w:ascii="Times New Roman"/>
                <w:i/>
                <w:sz w:val="22"/>
              </w:rPr>
              <w:t>number-bytes </w:t>
            </w:r>
            <w:r>
              <w:rPr>
                <w:sz w:val="22"/>
              </w:rPr>
              <w:t>shall be at least 0. If </w:t>
            </w:r>
            <w:r>
              <w:rPr>
                <w:rFonts w:ascii="Times New Roman"/>
                <w:i/>
                <w:sz w:val="22"/>
              </w:rPr>
              <w:t>number-bytes </w:t>
            </w:r>
            <w:r>
              <w:rPr>
                <w:sz w:val="22"/>
              </w:rPr>
              <w:t>exceeds the length of </w:t>
            </w:r>
            <w:r>
              <w:rPr>
                <w:rFonts w:ascii="Times New Roman"/>
                <w:i/>
                <w:sz w:val="22"/>
              </w:rPr>
              <w:t>string</w:t>
            </w:r>
            <w:r>
              <w:rPr>
                <w:sz w:val="22"/>
              </w:rPr>
              <w:t>, the whole of </w:t>
            </w:r>
            <w:r>
              <w:rPr>
                <w:rFonts w:ascii="Times New Roman"/>
                <w:i/>
                <w:sz w:val="22"/>
              </w:rPr>
              <w:t>string </w:t>
            </w:r>
            <w:r>
              <w:rPr>
                <w:sz w:val="22"/>
              </w:rPr>
              <w:t>shall be extracted.</w:t>
            </w:r>
          </w:p>
        </w:tc>
      </w:tr>
    </w:tbl>
    <w:p>
      <w:pPr>
        <w:pStyle w:val="BodyText"/>
        <w:rPr>
          <w:b/>
        </w:rPr>
      </w:pPr>
    </w:p>
    <w:p>
      <w:pPr>
        <w:pStyle w:val="BodyText"/>
        <w:spacing w:before="7"/>
        <w:rPr>
          <w:b/>
          <w:sz w:val="19"/>
        </w:rPr>
      </w:pPr>
    </w:p>
    <w:p>
      <w:pPr>
        <w:spacing w:line="453" w:lineRule="auto" w:before="0"/>
        <w:ind w:left="220" w:right="501" w:firstLine="0"/>
        <w:jc w:val="left"/>
        <w:rPr>
          <w:sz w:val="22"/>
        </w:rPr>
      </w:pPr>
      <w:r>
        <w:rPr>
          <w:b/>
          <w:sz w:val="22"/>
        </w:rPr>
        <w:t>Return Type and Value: </w:t>
      </w:r>
      <w:r>
        <w:rPr>
          <w:sz w:val="22"/>
        </w:rPr>
        <w:t>text – A string containing the right-most </w:t>
      </w:r>
      <w:r>
        <w:rPr>
          <w:rFonts w:ascii="Times New Roman" w:hAnsi="Times New Roman"/>
          <w:i/>
          <w:sz w:val="22"/>
        </w:rPr>
        <w:t>number-bytes</w:t>
      </w:r>
      <w:r>
        <w:rPr>
          <w:sz w:val="22"/>
        </w:rPr>
        <w:t>-worth of characters from </w:t>
      </w:r>
      <w:r>
        <w:rPr>
          <w:rFonts w:ascii="Times New Roman" w:hAnsi="Times New Roman"/>
          <w:i/>
          <w:sz w:val="22"/>
        </w:rPr>
        <w:t>string</w:t>
      </w:r>
      <w:r>
        <w:rPr>
          <w:sz w:val="22"/>
        </w:rPr>
        <w:t>. However, if </w:t>
      </w:r>
      <w:r>
        <w:rPr>
          <w:rFonts w:ascii="Times New Roman" w:hAnsi="Times New Roman"/>
          <w:i/>
          <w:sz w:val="22"/>
        </w:rPr>
        <w:t>number-bytes </w:t>
      </w:r>
      <w:r>
        <w:rPr>
          <w:sz w:val="22"/>
        </w:rPr>
        <w:t>&lt; 0, </w:t>
      </w:r>
      <w:r>
        <w:rPr>
          <w:rFonts w:ascii="Consolas" w:hAnsi="Consolas"/>
          <w:sz w:val="22"/>
        </w:rPr>
        <w:t>#VALUE!</w:t>
      </w:r>
      <w:r>
        <w:rPr>
          <w:rFonts w:ascii="Consolas" w:hAnsi="Consolas"/>
          <w:spacing w:val="-82"/>
          <w:sz w:val="22"/>
        </w:rPr>
        <w:t> </w:t>
      </w:r>
      <w:r>
        <w:rPr>
          <w:sz w:val="22"/>
        </w:rPr>
        <w:t>is returned.</w:t>
      </w:r>
    </w:p>
    <w:p>
      <w:pPr>
        <w:pStyle w:val="BodyText"/>
        <w:spacing w:before="1"/>
        <w:ind w:left="220"/>
      </w:pPr>
      <w:r>
        <w:rPr/>
        <w:t>[</w:t>
      </w:r>
      <w:r>
        <w:rPr>
          <w:i/>
        </w:rPr>
        <w:t>Example</w:t>
      </w:r>
      <w:r>
        <w:rPr/>
        <w:t>: Assuming 1-byte characters:</w:t>
      </w:r>
    </w:p>
    <w:p>
      <w:pPr>
        <w:pStyle w:val="BodyText"/>
        <w:spacing w:before="6"/>
        <w:rPr>
          <w:sz w:val="28"/>
        </w:rPr>
      </w:pPr>
    </w:p>
    <w:p>
      <w:pPr>
        <w:pStyle w:val="BodyText"/>
        <w:ind w:left="220"/>
        <w:rPr>
          <w:rFonts w:ascii="Consolas"/>
        </w:rPr>
      </w:pPr>
      <w:r>
        <w:rPr>
          <w:rFonts w:ascii="Consolas"/>
        </w:rPr>
        <w:t>RIGHTB("abcdef",2)</w:t>
      </w:r>
      <w:r>
        <w:rPr>
          <w:rFonts w:ascii="Consolas"/>
          <w:spacing w:val="-67"/>
        </w:rPr>
        <w:t> </w:t>
      </w:r>
      <w:r>
        <w:rPr/>
        <w:t>results in </w:t>
      </w:r>
      <w:r>
        <w:rPr>
          <w:rFonts w:ascii="Consolas"/>
        </w:rPr>
        <w:t>ef</w:t>
      </w:r>
    </w:p>
    <w:p>
      <w:pPr>
        <w:pStyle w:val="BodyText"/>
        <w:spacing w:before="41"/>
        <w:ind w:left="220"/>
        <w:rPr>
          <w:rFonts w:ascii="Consolas"/>
        </w:rPr>
      </w:pPr>
      <w:r>
        <w:rPr>
          <w:rFonts w:ascii="Consolas"/>
        </w:rPr>
        <w:t>RIGHTB(A10,4)</w:t>
      </w:r>
      <w:r>
        <w:rPr>
          <w:rFonts w:ascii="Consolas"/>
          <w:spacing w:val="-75"/>
        </w:rPr>
        <w:t> </w:t>
      </w:r>
      <w:r>
        <w:rPr/>
        <w:t>results in </w:t>
      </w:r>
      <w:r>
        <w:rPr>
          <w:rFonts w:ascii="Consolas"/>
        </w:rPr>
        <w:t>z123</w:t>
      </w:r>
      <w:r>
        <w:rPr/>
        <w:t>, when A10 contains </w:t>
      </w:r>
      <w:r>
        <w:rPr>
          <w:rFonts w:ascii="Consolas"/>
        </w:rPr>
        <w:t>xyz123</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7 ROMAN" w:id="2223"/>
      <w:bookmarkEnd w:id="2223"/>
      <w:r>
        <w:rPr/>
      </w:r>
      <w:bookmarkStart w:name="_bookmark740" w:id="2224"/>
      <w:bookmarkEnd w:id="2224"/>
      <w:r>
        <w:rPr/>
      </w:r>
      <w:bookmarkStart w:name="_bookmark740" w:id="2225"/>
      <w:bookmarkEnd w:id="2225"/>
      <w:r>
        <w:rPr>
          <w:color w:val="4F81BC"/>
        </w:rPr>
        <w:t>RO</w:t>
      </w:r>
      <w:r>
        <w:rPr>
          <w:color w:val="4F81BC"/>
        </w:rPr>
        <w:t>MAN</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ROMAN (</w:t>
      </w:r>
      <w:r>
        <w:rPr>
          <w:rFonts w:ascii="Lucida Console"/>
          <w:spacing w:val="-71"/>
          <w:sz w:val="20"/>
        </w:rPr>
        <w:t> </w:t>
      </w:r>
      <w:r>
        <w:rPr>
          <w:i/>
          <w:sz w:val="22"/>
        </w:rPr>
        <w:t>number </w:t>
      </w:r>
      <w:r>
        <w:rPr>
          <w:rFonts w:ascii="Lucida Console"/>
          <w:sz w:val="20"/>
        </w:rPr>
        <w:t>, </w:t>
      </w:r>
      <w:r>
        <w:rPr>
          <w:i/>
          <w:sz w:val="22"/>
        </w:rPr>
        <w:t>form </w:t>
      </w:r>
      <w:r>
        <w:rPr>
          <w:rFonts w:ascii="Lucida Console"/>
          <w:sz w:val="20"/>
        </w:rPr>
        <w:t>)</w:t>
      </w:r>
    </w:p>
    <w:p>
      <w:pPr>
        <w:spacing w:before="109"/>
        <w:ind w:left="220" w:right="0" w:firstLine="0"/>
        <w:jc w:val="left"/>
        <w:rPr>
          <w:sz w:val="22"/>
        </w:rPr>
      </w:pPr>
      <w:r>
        <w:rPr>
          <w:b/>
          <w:sz w:val="22"/>
        </w:rPr>
        <w:t>Description: </w:t>
      </w:r>
      <w:r>
        <w:rPr>
          <w:sz w:val="22"/>
        </w:rPr>
        <w:t>Converts the Arabic number, </w:t>
      </w:r>
      <w:r>
        <w:rPr>
          <w:rFonts w:ascii="Times New Roman"/>
          <w:i/>
          <w:sz w:val="22"/>
        </w:rPr>
        <w:t>number</w:t>
      </w:r>
      <w:r>
        <w:rPr>
          <w:sz w:val="22"/>
        </w:rPr>
        <w:t>, to a Roman number according to </w:t>
      </w:r>
      <w:r>
        <w:rPr>
          <w:rFonts w:ascii="Times New Roman"/>
          <w:i/>
          <w:sz w:val="22"/>
        </w:rPr>
        <w:t>form</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6"/>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Arabic number to be converted.</w:t>
            </w:r>
          </w:p>
        </w:tc>
      </w:tr>
      <w:tr>
        <w:trPr>
          <w:trHeight w:val="354" w:hRule="atLeast"/>
        </w:trPr>
        <w:tc>
          <w:tcPr>
            <w:tcW w:w="1466" w:type="dxa"/>
          </w:tcPr>
          <w:p>
            <w:pPr>
              <w:pStyle w:val="TableParagraph"/>
              <w:spacing w:before="37"/>
              <w:rPr>
                <w:rFonts w:ascii="Times New Roman"/>
                <w:i/>
                <w:sz w:val="22"/>
              </w:rPr>
            </w:pPr>
            <w:r>
              <w:rPr>
                <w:rFonts w:ascii="Times New Roman"/>
                <w:i/>
                <w:sz w:val="22"/>
              </w:rPr>
              <w:t>form</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Specifies the type of Roman numeral to be produced. The</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268"/>
        <w:gridCol w:w="1079"/>
        <w:gridCol w:w="3869"/>
        <w:gridCol w:w="182"/>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8" w:type="dxa"/>
            <w:gridSpan w:val="4"/>
            <w:shd w:val="clear" w:color="auto" w:fill="C0C0C0"/>
          </w:tcPr>
          <w:p>
            <w:pPr>
              <w:pStyle w:val="TableParagraph"/>
              <w:ind w:left="2155" w:right="2146"/>
              <w:jc w:val="center"/>
              <w:rPr>
                <w:b/>
                <w:sz w:val="22"/>
              </w:rPr>
            </w:pPr>
            <w:r>
              <w:rPr>
                <w:b/>
                <w:sz w:val="22"/>
              </w:rPr>
              <w:t>Description</w:t>
            </w:r>
          </w:p>
        </w:tc>
      </w:tr>
      <w:tr>
        <w:trPr>
          <w:trHeight w:val="1115"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5398" w:type="dxa"/>
            <w:gridSpan w:val="4"/>
            <w:tcBorders>
              <w:bottom w:val="nil"/>
            </w:tcBorders>
          </w:tcPr>
          <w:p>
            <w:pPr>
              <w:pStyle w:val="TableParagraph"/>
              <w:ind w:left="113" w:right="133"/>
              <w:rPr>
                <w:sz w:val="22"/>
              </w:rPr>
            </w:pPr>
            <w:r>
              <w:rPr>
                <w:sz w:val="22"/>
              </w:rPr>
              <w:t>Roman numeral style ranges from Classic to Simplified, becoming more concise as the value of </w:t>
            </w:r>
            <w:r>
              <w:rPr>
                <w:rFonts w:ascii="Times New Roman"/>
                <w:i/>
                <w:sz w:val="22"/>
              </w:rPr>
              <w:t>form </w:t>
            </w:r>
            <w:r>
              <w:rPr>
                <w:sz w:val="22"/>
              </w:rPr>
              <w:t>increases,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268" w:type="dxa"/>
            <w:vMerge w:val="restart"/>
            <w:tcBorders>
              <w:top w:val="nil"/>
            </w:tcBorders>
          </w:tcPr>
          <w:p>
            <w:pPr>
              <w:pStyle w:val="TableParagraph"/>
              <w:spacing w:before="0"/>
              <w:ind w:left="0"/>
              <w:rPr>
                <w:rFonts w:ascii="Times New Roman"/>
                <w:sz w:val="22"/>
              </w:rPr>
            </w:pPr>
          </w:p>
        </w:tc>
        <w:tc>
          <w:tcPr>
            <w:tcW w:w="1079" w:type="dxa"/>
            <w:shd w:val="clear" w:color="auto" w:fill="C0C0C0"/>
          </w:tcPr>
          <w:p>
            <w:pPr>
              <w:pStyle w:val="TableParagraph"/>
              <w:spacing w:before="42"/>
              <w:ind w:left="279"/>
              <w:rPr>
                <w:b/>
                <w:sz w:val="22"/>
              </w:rPr>
            </w:pPr>
            <w:r>
              <w:rPr>
                <w:b/>
                <w:sz w:val="22"/>
              </w:rPr>
              <w:t>Value</w:t>
            </w:r>
          </w:p>
        </w:tc>
        <w:tc>
          <w:tcPr>
            <w:tcW w:w="3869" w:type="dxa"/>
            <w:shd w:val="clear" w:color="auto" w:fill="C0C0C0"/>
          </w:tcPr>
          <w:p>
            <w:pPr>
              <w:pStyle w:val="TableParagraph"/>
              <w:spacing w:before="42"/>
              <w:ind w:left="1697" w:right="1679"/>
              <w:jc w:val="center"/>
              <w:rPr>
                <w:b/>
                <w:sz w:val="22"/>
              </w:rPr>
            </w:pPr>
            <w:r>
              <w:rPr>
                <w:b/>
                <w:sz w:val="22"/>
              </w:rPr>
              <w:t>Type</w:t>
            </w:r>
          </w:p>
        </w:tc>
        <w:tc>
          <w:tcPr>
            <w:tcW w:w="182" w:type="dxa"/>
            <w:vMerge w:val="restart"/>
            <w:tcBorders>
              <w:top w:val="nil"/>
            </w:tcBorders>
          </w:tcPr>
          <w:p>
            <w:pPr>
              <w:pStyle w:val="TableParagraph"/>
              <w:spacing w:before="0"/>
              <w:ind w:left="0"/>
              <w:rPr>
                <w:rFonts w:ascii="Times New Roman"/>
                <w:sz w:val="22"/>
              </w:rPr>
            </w:pPr>
          </w:p>
        </w:tc>
      </w:tr>
      <w:tr>
        <w:trPr>
          <w:trHeight w:val="1698"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268" w:type="dxa"/>
            <w:vMerge/>
            <w:tcBorders>
              <w:top w:val="nil"/>
            </w:tcBorders>
          </w:tcPr>
          <w:p>
            <w:pPr>
              <w:rPr>
                <w:sz w:val="2"/>
                <w:szCs w:val="2"/>
              </w:rPr>
            </w:pPr>
          </w:p>
        </w:tc>
        <w:tc>
          <w:tcPr>
            <w:tcW w:w="1079" w:type="dxa"/>
          </w:tcPr>
          <w:p>
            <w:pPr>
              <w:pStyle w:val="TableParagraph"/>
              <w:ind w:left="116"/>
              <w:rPr>
                <w:sz w:val="22"/>
              </w:rPr>
            </w:pPr>
            <w:r>
              <w:rPr>
                <w:sz w:val="22"/>
              </w:rPr>
              <w:t>0,</w:t>
            </w:r>
          </w:p>
          <w:p>
            <w:pPr>
              <w:pStyle w:val="TableParagraph"/>
              <w:spacing w:before="0"/>
              <w:ind w:left="116" w:right="163"/>
              <w:rPr>
                <w:rFonts w:ascii="Consolas"/>
                <w:sz w:val="22"/>
              </w:rPr>
            </w:pPr>
            <w:r>
              <w:rPr>
                <w:sz w:val="22"/>
              </w:rPr>
              <w:t>omitted, or </w:t>
            </w:r>
            <w:r>
              <w:rPr>
                <w:rFonts w:ascii="Consolas"/>
                <w:sz w:val="22"/>
              </w:rPr>
              <w:t>TRUE</w:t>
            </w:r>
          </w:p>
        </w:tc>
        <w:tc>
          <w:tcPr>
            <w:tcW w:w="3869" w:type="dxa"/>
          </w:tcPr>
          <w:p>
            <w:pPr>
              <w:pStyle w:val="TableParagraph"/>
              <w:ind w:left="117" w:right="113"/>
              <w:rPr>
                <w:sz w:val="22"/>
              </w:rPr>
            </w:pPr>
            <w:r>
              <w:rPr>
                <w:sz w:val="22"/>
              </w:rPr>
              <w:t>Classic. Only subtract powers of ten (but not L or V). Do not subtract a number from one that is more than 10 times greater. If another letter follows the larger one, it shall be smaller than the number preceding the larger one.</w:t>
            </w:r>
          </w:p>
        </w:tc>
        <w:tc>
          <w:tcPr>
            <w:tcW w:w="182" w:type="dxa"/>
            <w:vMerge/>
            <w:tcBorders>
              <w:top w:val="nil"/>
            </w:tcBorders>
          </w:tcPr>
          <w:p>
            <w:pPr>
              <w:rPr>
                <w:sz w:val="2"/>
                <w:szCs w:val="2"/>
              </w:rPr>
            </w:pPr>
          </w:p>
        </w:tc>
      </w:tr>
      <w:tr>
        <w:trPr>
          <w:trHeight w:val="1965"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268" w:type="dxa"/>
            <w:vMerge/>
            <w:tcBorders>
              <w:top w:val="nil"/>
            </w:tcBorders>
          </w:tcPr>
          <w:p>
            <w:pPr>
              <w:rPr>
                <w:sz w:val="2"/>
                <w:szCs w:val="2"/>
              </w:rPr>
            </w:pPr>
          </w:p>
        </w:tc>
        <w:tc>
          <w:tcPr>
            <w:tcW w:w="1079" w:type="dxa"/>
          </w:tcPr>
          <w:p>
            <w:pPr>
              <w:pStyle w:val="TableParagraph"/>
              <w:ind w:left="116"/>
              <w:rPr>
                <w:sz w:val="22"/>
              </w:rPr>
            </w:pPr>
            <w:r>
              <w:rPr>
                <w:w w:val="100"/>
                <w:sz w:val="22"/>
              </w:rPr>
              <w:t>1</w:t>
            </w:r>
          </w:p>
        </w:tc>
        <w:tc>
          <w:tcPr>
            <w:tcW w:w="3869" w:type="dxa"/>
          </w:tcPr>
          <w:p>
            <w:pPr>
              <w:pStyle w:val="TableParagraph"/>
              <w:ind w:left="117" w:right="213"/>
              <w:rPr>
                <w:sz w:val="22"/>
              </w:rPr>
            </w:pPr>
            <w:r>
              <w:rPr>
                <w:sz w:val="22"/>
              </w:rPr>
              <w:t>Concise. Allow subtractraction of L and V as well as powers of ten. Do not subtract a number from one that is more than 10 times greater. If another letter follows the larger one, it shall be smaller than the number preceding the larger one.</w:t>
            </w:r>
          </w:p>
        </w:tc>
        <w:tc>
          <w:tcPr>
            <w:tcW w:w="182" w:type="dxa"/>
            <w:vMerge/>
            <w:tcBorders>
              <w:top w:val="nil"/>
            </w:tcBorders>
          </w:tcPr>
          <w:p>
            <w:pPr>
              <w:rPr>
                <w:sz w:val="2"/>
                <w:szCs w:val="2"/>
              </w:rPr>
            </w:pPr>
          </w:p>
        </w:tc>
      </w:tr>
      <w:tr>
        <w:trPr>
          <w:trHeight w:val="1965"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268" w:type="dxa"/>
            <w:vMerge/>
            <w:tcBorders>
              <w:top w:val="nil"/>
            </w:tcBorders>
          </w:tcPr>
          <w:p>
            <w:pPr>
              <w:rPr>
                <w:sz w:val="2"/>
                <w:szCs w:val="2"/>
              </w:rPr>
            </w:pPr>
          </w:p>
        </w:tc>
        <w:tc>
          <w:tcPr>
            <w:tcW w:w="1079" w:type="dxa"/>
          </w:tcPr>
          <w:p>
            <w:pPr>
              <w:pStyle w:val="TableParagraph"/>
              <w:ind w:left="116"/>
              <w:rPr>
                <w:sz w:val="22"/>
              </w:rPr>
            </w:pPr>
            <w:r>
              <w:rPr>
                <w:w w:val="100"/>
                <w:sz w:val="22"/>
              </w:rPr>
              <w:t>2</w:t>
            </w:r>
          </w:p>
        </w:tc>
        <w:tc>
          <w:tcPr>
            <w:tcW w:w="3869" w:type="dxa"/>
          </w:tcPr>
          <w:p>
            <w:pPr>
              <w:pStyle w:val="TableParagraph"/>
              <w:ind w:left="117" w:right="116"/>
              <w:rPr>
                <w:sz w:val="22"/>
              </w:rPr>
            </w:pPr>
            <w:r>
              <w:rPr>
                <w:sz w:val="22"/>
              </w:rPr>
              <w:t>More concise. Allow subtractraction of L (but not V) as well as powers of ten.</w:t>
            </w:r>
          </w:p>
          <w:p>
            <w:pPr>
              <w:pStyle w:val="TableParagraph"/>
              <w:spacing w:before="0"/>
              <w:ind w:left="117" w:right="126"/>
              <w:rPr>
                <w:sz w:val="22"/>
              </w:rPr>
            </w:pPr>
            <w:r>
              <w:rPr>
                <w:sz w:val="22"/>
              </w:rPr>
              <w:t>Allow subtraction of a number from one that is more than 10 times greater. If another letter follows the larger one, it shall be smaller than the number preceding the larger one.</w:t>
            </w:r>
          </w:p>
        </w:tc>
        <w:tc>
          <w:tcPr>
            <w:tcW w:w="182" w:type="dxa"/>
            <w:vMerge/>
            <w:tcBorders>
              <w:top w:val="nil"/>
            </w:tcBorders>
          </w:tcPr>
          <w:p>
            <w:pPr>
              <w:rPr>
                <w:sz w:val="2"/>
                <w:szCs w:val="2"/>
              </w:rPr>
            </w:pPr>
          </w:p>
        </w:tc>
      </w:tr>
      <w:tr>
        <w:trPr>
          <w:trHeight w:val="196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268" w:type="dxa"/>
            <w:vMerge/>
            <w:tcBorders>
              <w:top w:val="nil"/>
            </w:tcBorders>
          </w:tcPr>
          <w:p>
            <w:pPr>
              <w:rPr>
                <w:sz w:val="2"/>
                <w:szCs w:val="2"/>
              </w:rPr>
            </w:pPr>
          </w:p>
        </w:tc>
        <w:tc>
          <w:tcPr>
            <w:tcW w:w="1079" w:type="dxa"/>
          </w:tcPr>
          <w:p>
            <w:pPr>
              <w:pStyle w:val="TableParagraph"/>
              <w:ind w:left="116"/>
              <w:rPr>
                <w:sz w:val="22"/>
              </w:rPr>
            </w:pPr>
            <w:r>
              <w:rPr>
                <w:w w:val="100"/>
                <w:sz w:val="22"/>
              </w:rPr>
              <w:t>3</w:t>
            </w:r>
          </w:p>
        </w:tc>
        <w:tc>
          <w:tcPr>
            <w:tcW w:w="3869" w:type="dxa"/>
          </w:tcPr>
          <w:p>
            <w:pPr>
              <w:pStyle w:val="TableParagraph"/>
              <w:ind w:left="117" w:right="98"/>
              <w:rPr>
                <w:sz w:val="22"/>
              </w:rPr>
            </w:pPr>
            <w:r>
              <w:rPr>
                <w:sz w:val="22"/>
              </w:rPr>
              <w:t>Most concise. Allow subtractraction of L and V as well as powers of ten. Allow subtraction of a number from one that is more than 10 times greater. If another letter follows the larger one, it shall be smaller than the number preceding the larger</w:t>
            </w:r>
            <w:r>
              <w:rPr>
                <w:spacing w:val="-1"/>
                <w:sz w:val="22"/>
              </w:rPr>
              <w:t> </w:t>
            </w:r>
            <w:r>
              <w:rPr>
                <w:sz w:val="22"/>
              </w:rPr>
              <w:t>one.</w:t>
            </w:r>
          </w:p>
        </w:tc>
        <w:tc>
          <w:tcPr>
            <w:tcW w:w="182" w:type="dxa"/>
            <w:vMerge/>
            <w:tcBorders>
              <w:top w:val="nil"/>
            </w:tcBorders>
          </w:tcPr>
          <w:p>
            <w:pPr>
              <w:rPr>
                <w:sz w:val="2"/>
                <w:szCs w:val="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268" w:type="dxa"/>
            <w:vMerge/>
            <w:tcBorders>
              <w:top w:val="nil"/>
            </w:tcBorders>
          </w:tcPr>
          <w:p>
            <w:pPr>
              <w:rPr>
                <w:sz w:val="2"/>
                <w:szCs w:val="2"/>
              </w:rPr>
            </w:pPr>
          </w:p>
        </w:tc>
        <w:tc>
          <w:tcPr>
            <w:tcW w:w="1079" w:type="dxa"/>
          </w:tcPr>
          <w:p>
            <w:pPr>
              <w:pStyle w:val="TableParagraph"/>
              <w:ind w:left="116"/>
              <w:rPr>
                <w:sz w:val="22"/>
              </w:rPr>
            </w:pPr>
            <w:r>
              <w:rPr>
                <w:sz w:val="22"/>
              </w:rPr>
              <w:t>4 or</w:t>
            </w:r>
          </w:p>
          <w:p>
            <w:pPr>
              <w:pStyle w:val="TableParagraph"/>
              <w:spacing w:before="2"/>
              <w:ind w:left="116"/>
              <w:rPr>
                <w:rFonts w:ascii="Consolas"/>
                <w:sz w:val="22"/>
              </w:rPr>
            </w:pPr>
            <w:r>
              <w:rPr>
                <w:rFonts w:ascii="Consolas"/>
                <w:sz w:val="22"/>
              </w:rPr>
              <w:t>FALSE</w:t>
            </w:r>
          </w:p>
        </w:tc>
        <w:tc>
          <w:tcPr>
            <w:tcW w:w="3869" w:type="dxa"/>
          </w:tcPr>
          <w:p>
            <w:pPr>
              <w:pStyle w:val="TableParagraph"/>
              <w:ind w:left="117" w:right="306"/>
              <w:rPr>
                <w:sz w:val="22"/>
              </w:rPr>
            </w:pPr>
            <w:r>
              <w:rPr>
                <w:sz w:val="22"/>
              </w:rPr>
              <w:t>Simplified. Produce the fewest Roman digits.</w:t>
            </w:r>
          </w:p>
        </w:tc>
        <w:tc>
          <w:tcPr>
            <w:tcW w:w="182" w:type="dxa"/>
            <w:vMerge/>
            <w:tcBorders>
              <w:top w:val="nil"/>
            </w:tcBorders>
          </w:tcPr>
          <w:p>
            <w:pPr>
              <w:rPr>
                <w:sz w:val="2"/>
                <w:szCs w:val="2"/>
              </w:rPr>
            </w:pPr>
          </w:p>
        </w:tc>
      </w:tr>
    </w:tbl>
    <w:p>
      <w:pPr>
        <w:pStyle w:val="BodyText"/>
        <w:rPr>
          <w:b/>
          <w:sz w:val="20"/>
        </w:rPr>
      </w:pPr>
    </w:p>
    <w:p>
      <w:pPr>
        <w:pStyle w:val="BodyText"/>
        <w:rPr>
          <w:b/>
          <w:sz w:val="17"/>
        </w:rPr>
      </w:pPr>
    </w:p>
    <w:p>
      <w:pPr>
        <w:spacing w:line="453" w:lineRule="auto" w:before="57"/>
        <w:ind w:left="220" w:right="4517" w:firstLine="0"/>
        <w:jc w:val="left"/>
        <w:rPr>
          <w:sz w:val="22"/>
        </w:rPr>
      </w:pPr>
      <w:r>
        <w:rPr>
          <w:b/>
          <w:sz w:val="22"/>
        </w:rPr>
        <w:t>Return Type and Value: </w:t>
      </w:r>
      <w:r>
        <w:rPr>
          <w:sz w:val="22"/>
        </w:rPr>
        <w:t>text – The corresponding Roman number.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number </w:t>
      </w:r>
      <w:r>
        <w:rPr>
          <w:sz w:val="22"/>
        </w:rPr>
        <w:t>&lt; 0 or &gt; 3999, </w:t>
      </w:r>
      <w:r>
        <w:rPr>
          <w:rFonts w:ascii="Consolas" w:hAnsi="Consolas"/>
          <w:sz w:val="22"/>
        </w:rPr>
        <w:t>#VALUE!</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form </w:t>
      </w:r>
      <w:r>
        <w:rPr>
          <w:sz w:val="22"/>
        </w:rPr>
        <w:t>is not one of the values listed above, </w:t>
      </w:r>
      <w:r>
        <w:rPr>
          <w:rFonts w:ascii="Consolas" w:hAnsi="Consolas"/>
          <w:sz w:val="22"/>
        </w:rPr>
        <w:t>#VALUE!</w:t>
      </w:r>
      <w:r>
        <w:rPr>
          <w:rFonts w:ascii="Consolas" w:hAnsi="Consolas"/>
          <w:spacing w:val="-86"/>
          <w:sz w:val="22"/>
        </w:rPr>
        <w:t> </w:t>
      </w:r>
      <w:r>
        <w:rPr>
          <w:sz w:val="22"/>
        </w:rPr>
        <w:t>is returned.</w:t>
      </w:r>
    </w:p>
    <w:p>
      <w:pPr>
        <w:spacing w:after="0" w:line="240"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pPr>
      <w:r>
        <w:rPr>
          <w:rFonts w:ascii="Consolas"/>
        </w:rPr>
        <w:t>ROMAN(499,0)</w:t>
      </w:r>
      <w:r>
        <w:rPr>
          <w:rFonts w:ascii="Consolas"/>
          <w:spacing w:val="-99"/>
        </w:rPr>
        <w:t> </w:t>
      </w:r>
      <w:r>
        <w:rPr/>
        <w:t>results in </w:t>
      </w:r>
      <w:r>
        <w:rPr>
          <w:rFonts w:ascii="Consolas"/>
        </w:rPr>
        <w:t>CDXCIX</w:t>
      </w:r>
      <w:r>
        <w:rPr/>
        <w:t>, which is 100 less than 500, plus 10 less than 100, plus one less than 10.</w:t>
      </w:r>
    </w:p>
    <w:p>
      <w:pPr>
        <w:pStyle w:val="BodyText"/>
        <w:spacing w:before="41"/>
        <w:ind w:left="220"/>
      </w:pPr>
      <w:r>
        <w:rPr>
          <w:rFonts w:ascii="Consolas"/>
        </w:rPr>
        <w:t>ROMAN(499,1)</w:t>
      </w:r>
      <w:r>
        <w:rPr>
          <w:rFonts w:ascii="Consolas"/>
          <w:spacing w:val="-96"/>
        </w:rPr>
        <w:t> </w:t>
      </w:r>
      <w:r>
        <w:rPr/>
        <w:t>results in </w:t>
      </w:r>
      <w:r>
        <w:rPr>
          <w:rFonts w:ascii="Consolas"/>
        </w:rPr>
        <w:t>LDVLIV</w:t>
      </w:r>
      <w:r>
        <w:rPr/>
        <w:t>, which is 50 less than 500, plus 5 less than 50, plus one less than 5.</w:t>
      </w:r>
    </w:p>
    <w:p>
      <w:pPr>
        <w:pStyle w:val="BodyText"/>
        <w:spacing w:before="41"/>
        <w:ind w:left="220"/>
      </w:pPr>
      <w:r>
        <w:rPr>
          <w:rFonts w:ascii="Consolas"/>
        </w:rPr>
        <w:t>ROMAN(499,2)</w:t>
      </w:r>
      <w:r>
        <w:rPr>
          <w:rFonts w:ascii="Consolas"/>
          <w:spacing w:val="-85"/>
        </w:rPr>
        <w:t> </w:t>
      </w:r>
      <w:r>
        <w:rPr/>
        <w:t>results in </w:t>
      </w:r>
      <w:r>
        <w:rPr>
          <w:rFonts w:ascii="Consolas"/>
        </w:rPr>
        <w:t>XDIX</w:t>
      </w:r>
      <w:r>
        <w:rPr/>
        <w:t>, which is 10 less than 500, plus one less than 10.</w:t>
      </w:r>
    </w:p>
    <w:p>
      <w:pPr>
        <w:pStyle w:val="BodyText"/>
        <w:spacing w:before="39"/>
        <w:ind w:left="220"/>
      </w:pPr>
      <w:r>
        <w:rPr>
          <w:rFonts w:ascii="Consolas"/>
        </w:rPr>
        <w:t>ROMAN(499,3)</w:t>
      </w:r>
      <w:r>
        <w:rPr>
          <w:rFonts w:ascii="Consolas"/>
          <w:spacing w:val="-87"/>
        </w:rPr>
        <w:t> </w:t>
      </w:r>
      <w:r>
        <w:rPr/>
        <w:t>results in </w:t>
      </w:r>
      <w:r>
        <w:rPr>
          <w:rFonts w:ascii="Consolas"/>
        </w:rPr>
        <w:t>VDIV</w:t>
      </w:r>
      <w:r>
        <w:rPr/>
        <w:t>, which is 5 less than 500, plus one less than 5.</w:t>
      </w:r>
    </w:p>
    <w:p>
      <w:pPr>
        <w:pStyle w:val="BodyText"/>
        <w:spacing w:before="41"/>
        <w:ind w:left="220"/>
      </w:pPr>
      <w:r>
        <w:rPr>
          <w:rFonts w:ascii="Consolas"/>
        </w:rPr>
        <w:t>ROMAN(499,4)</w:t>
      </w:r>
      <w:r>
        <w:rPr>
          <w:rFonts w:ascii="Consolas"/>
          <w:spacing w:val="-83"/>
        </w:rPr>
        <w:t> </w:t>
      </w:r>
      <w:r>
        <w:rPr/>
        <w:t>results in </w:t>
      </w:r>
      <w:r>
        <w:rPr>
          <w:rFonts w:ascii="Consolas"/>
        </w:rPr>
        <w:t>ID</w:t>
      </w:r>
      <w:r>
        <w:rPr/>
        <w:t>, which is 1 less than 500.</w:t>
      </w:r>
    </w:p>
    <w:p>
      <w:pPr>
        <w:pStyle w:val="BodyText"/>
        <w:spacing w:before="41"/>
        <w:ind w:left="220"/>
      </w:pPr>
      <w:r>
        <w:rPr>
          <w:rFonts w:ascii="Consolas"/>
        </w:rPr>
        <w:t>ROMAN(2013,0)</w:t>
      </w:r>
      <w:r>
        <w:rPr>
          <w:rFonts w:ascii="Consolas"/>
          <w:spacing w:val="-77"/>
        </w:rPr>
        <w:t> </w:t>
      </w:r>
      <w:r>
        <w:rPr/>
        <w:t>results in </w:t>
      </w:r>
      <w:r>
        <w:rPr>
          <w:rFonts w:ascii="Consolas"/>
        </w:rPr>
        <w:t>MMXIII</w:t>
      </w:r>
      <w:r>
        <w:rPr/>
        <w:t>, which is 2,000, plus 10, plus 3.</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78 ROUND" w:id="2226"/>
      <w:bookmarkEnd w:id="2226"/>
      <w:r>
        <w:rPr/>
      </w:r>
      <w:bookmarkStart w:name="_bookmark741" w:id="2227"/>
      <w:bookmarkEnd w:id="2227"/>
      <w:r>
        <w:rPr/>
      </w:r>
      <w:bookmarkStart w:name="_bookmark741" w:id="2228"/>
      <w:bookmarkEnd w:id="2228"/>
      <w:r>
        <w:rPr>
          <w:color w:val="4F81BC"/>
        </w:rPr>
        <w:t>RO</w:t>
      </w:r>
      <w:r>
        <w:rPr>
          <w:color w:val="4F81BC"/>
        </w:rPr>
        <w:t>UND</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ROUND ( </w:t>
      </w:r>
      <w:r>
        <w:rPr>
          <w:i/>
          <w:sz w:val="22"/>
        </w:rPr>
        <w:t>x </w:t>
      </w:r>
      <w:r>
        <w:rPr>
          <w:rFonts w:ascii="Lucida Console"/>
          <w:sz w:val="20"/>
        </w:rPr>
        <w:t>, </w:t>
      </w:r>
      <w:r>
        <w:rPr>
          <w:i/>
          <w:sz w:val="22"/>
        </w:rPr>
        <w:t>number-digits </w:t>
      </w:r>
      <w:r>
        <w:rPr>
          <w:rFonts w:ascii="Lucida Console"/>
          <w:sz w:val="20"/>
        </w:rPr>
        <w:t>)</w:t>
      </w:r>
    </w:p>
    <w:p>
      <w:pPr>
        <w:spacing w:before="108"/>
        <w:ind w:left="220" w:right="0" w:firstLine="0"/>
        <w:jc w:val="left"/>
        <w:rPr>
          <w:sz w:val="22"/>
        </w:rPr>
      </w:pPr>
      <w:r>
        <w:rPr>
          <w:b/>
          <w:sz w:val="22"/>
        </w:rPr>
        <w:t>Description: </w:t>
      </w:r>
      <w:r>
        <w:rPr>
          <w:sz w:val="22"/>
        </w:rPr>
        <w:t>Rounds </w:t>
      </w:r>
      <w:r>
        <w:rPr>
          <w:rFonts w:ascii="Times New Roman"/>
          <w:i/>
          <w:sz w:val="22"/>
        </w:rPr>
        <w:t>x </w:t>
      </w:r>
      <w:r>
        <w:rPr>
          <w:sz w:val="22"/>
        </w:rPr>
        <w:t>to the number of digits specified by </w:t>
      </w:r>
      <w:r>
        <w:rPr>
          <w:rFonts w:ascii="Times New Roman"/>
          <w:i/>
          <w:sz w:val="22"/>
        </w:rPr>
        <w:t>number-digits</w:t>
      </w:r>
      <w:r>
        <w:rPr>
          <w:sz w:val="22"/>
        </w:rPr>
        <w:t>.</w:t>
      </w:r>
    </w:p>
    <w:p>
      <w:pPr>
        <w:pStyle w:val="BodyText"/>
        <w:spacing w:before="10"/>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w w:val="100"/>
                <w:sz w:val="22"/>
              </w:rPr>
              <w:t>x</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value to be rounded.</w:t>
            </w:r>
          </w:p>
        </w:tc>
      </w:tr>
      <w:tr>
        <w:trPr>
          <w:trHeight w:val="1430" w:hRule="atLeast"/>
        </w:trPr>
        <w:tc>
          <w:tcPr>
            <w:tcW w:w="1466" w:type="dxa"/>
          </w:tcPr>
          <w:p>
            <w:pPr>
              <w:pStyle w:val="TableParagraph"/>
              <w:spacing w:before="37"/>
              <w:rPr>
                <w:rFonts w:ascii="Times New Roman"/>
                <w:i/>
                <w:sz w:val="22"/>
              </w:rPr>
            </w:pPr>
            <w:r>
              <w:rPr>
                <w:rFonts w:ascii="Times New Roman"/>
                <w:i/>
                <w:sz w:val="22"/>
              </w:rPr>
              <w:t>number-digits</w:t>
            </w:r>
          </w:p>
        </w:tc>
        <w:tc>
          <w:tcPr>
            <w:tcW w:w="1800" w:type="dxa"/>
          </w:tcPr>
          <w:p>
            <w:pPr>
              <w:pStyle w:val="TableParagraph"/>
              <w:ind w:left="112"/>
              <w:rPr>
                <w:sz w:val="22"/>
              </w:rPr>
            </w:pPr>
            <w:r>
              <w:rPr>
                <w:sz w:val="22"/>
              </w:rPr>
              <w:t>number</w:t>
            </w:r>
          </w:p>
        </w:tc>
        <w:tc>
          <w:tcPr>
            <w:tcW w:w="5400" w:type="dxa"/>
          </w:tcPr>
          <w:p>
            <w:pPr>
              <w:pStyle w:val="TableParagraph"/>
              <w:ind w:left="113" w:right="207"/>
              <w:rPr>
                <w:sz w:val="22"/>
              </w:rPr>
            </w:pPr>
            <w:r>
              <w:rPr>
                <w:sz w:val="22"/>
              </w:rPr>
              <w:t>The number of digits to which </w:t>
            </w:r>
            <w:r>
              <w:rPr>
                <w:rFonts w:ascii="Times New Roman"/>
                <w:i/>
                <w:sz w:val="22"/>
              </w:rPr>
              <w:t>x </w:t>
            </w:r>
            <w:r>
              <w:rPr>
                <w:sz w:val="22"/>
              </w:rPr>
              <w:t>is to be rounded. If </w:t>
            </w:r>
            <w:r>
              <w:rPr>
                <w:rFonts w:ascii="Times New Roman"/>
                <w:i/>
                <w:sz w:val="22"/>
              </w:rPr>
              <w:t>number-digits </w:t>
            </w:r>
            <w:r>
              <w:rPr>
                <w:sz w:val="22"/>
              </w:rPr>
              <w:t>is greater than 0, </w:t>
            </w:r>
            <w:r>
              <w:rPr>
                <w:rFonts w:ascii="Times New Roman"/>
                <w:i/>
                <w:sz w:val="22"/>
              </w:rPr>
              <w:t>x </w:t>
            </w:r>
            <w:r>
              <w:rPr>
                <w:sz w:val="22"/>
              </w:rPr>
              <w:t>is rounded to the specified number of decimal places. If </w:t>
            </w:r>
            <w:r>
              <w:rPr>
                <w:rFonts w:ascii="Times New Roman"/>
                <w:i/>
                <w:sz w:val="22"/>
              </w:rPr>
              <w:t>number-digits </w:t>
            </w:r>
            <w:r>
              <w:rPr>
                <w:sz w:val="22"/>
              </w:rPr>
              <w:t>is 0, </w:t>
            </w:r>
            <w:r>
              <w:rPr>
                <w:rFonts w:ascii="Times New Roman"/>
                <w:i/>
                <w:sz w:val="22"/>
              </w:rPr>
              <w:t>x </w:t>
            </w:r>
            <w:r>
              <w:rPr>
                <w:sz w:val="22"/>
              </w:rPr>
              <w:t>is rounded to the nearest integer. If </w:t>
            </w:r>
            <w:r>
              <w:rPr>
                <w:rFonts w:ascii="Times New Roman"/>
                <w:i/>
                <w:sz w:val="22"/>
              </w:rPr>
              <w:t>number-digits </w:t>
            </w:r>
            <w:r>
              <w:rPr>
                <w:sz w:val="22"/>
              </w:rPr>
              <w:t>is less than 0, </w:t>
            </w:r>
            <w:r>
              <w:rPr>
                <w:rFonts w:ascii="Times New Roman"/>
                <w:i/>
                <w:sz w:val="22"/>
              </w:rPr>
              <w:t>x </w:t>
            </w:r>
            <w:r>
              <w:rPr>
                <w:sz w:val="22"/>
              </w:rPr>
              <w:t>is rounded to the left of the decimal point.</w:t>
            </w:r>
          </w:p>
        </w:tc>
      </w:tr>
    </w:tbl>
    <w:p>
      <w:pPr>
        <w:pStyle w:val="BodyText"/>
        <w:rPr>
          <w:b/>
        </w:rPr>
      </w:pPr>
    </w:p>
    <w:p>
      <w:pPr>
        <w:pStyle w:val="BodyText"/>
        <w:spacing w:before="5"/>
        <w:rPr>
          <w:b/>
          <w:sz w:val="19"/>
        </w:rPr>
      </w:pPr>
    </w:p>
    <w:p>
      <w:pPr>
        <w:pStyle w:val="BodyText"/>
        <w:spacing w:line="278" w:lineRule="auto"/>
        <w:ind w:left="220" w:right="1073"/>
      </w:pPr>
      <w:r>
        <w:rPr>
          <w:b/>
        </w:rPr>
        <w:t>Return Type and Value: </w:t>
      </w:r>
      <w:r>
        <w:rPr/>
        <w:t>number – The rounded value of </w:t>
      </w:r>
      <w:r>
        <w:rPr>
          <w:rFonts w:ascii="Times New Roman" w:hAnsi="Times New Roman"/>
          <w:i/>
        </w:rPr>
        <w:t>x</w:t>
      </w:r>
      <w:r>
        <w:rPr/>
        <w:t>. When rounding, digits 0–4 round down, while digits 5–9 round up.</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7123"/>
        <w:rPr>
          <w:rFonts w:ascii="Consolas"/>
        </w:rPr>
      </w:pPr>
      <w:r>
        <w:rPr>
          <w:rFonts w:ascii="Consolas"/>
        </w:rPr>
        <w:t>ROUND(2.15,1) </w:t>
      </w:r>
      <w:r>
        <w:rPr/>
        <w:t>results in </w:t>
      </w:r>
      <w:r>
        <w:rPr>
          <w:rFonts w:ascii="Consolas"/>
        </w:rPr>
        <w:t>2.2 ROUND(2.149,1) </w:t>
      </w:r>
      <w:r>
        <w:rPr/>
        <w:t>results in </w:t>
      </w:r>
      <w:r>
        <w:rPr>
          <w:rFonts w:ascii="Consolas"/>
        </w:rPr>
        <w:t>2.1 ROUND(-1.475,2)</w:t>
      </w:r>
      <w:r>
        <w:rPr>
          <w:rFonts w:ascii="Consolas"/>
          <w:spacing w:val="-82"/>
        </w:rPr>
        <w:t> </w:t>
      </w:r>
      <w:r>
        <w:rPr/>
        <w:t>results in </w:t>
      </w:r>
      <w:r>
        <w:rPr>
          <w:rFonts w:ascii="Consolas"/>
        </w:rPr>
        <w:t>-1.48 ROUND(21.5,-1)</w:t>
      </w:r>
      <w:r>
        <w:rPr>
          <w:rFonts w:ascii="Consolas"/>
          <w:spacing w:val="-76"/>
        </w:rPr>
        <w:t> </w:t>
      </w:r>
      <w:r>
        <w:rPr/>
        <w:t>results in </w:t>
      </w:r>
      <w:r>
        <w:rPr>
          <w:rFonts w:ascii="Consolas"/>
        </w:rPr>
        <w:t>20</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79 ROUNDDOWN" w:id="2229"/>
      <w:bookmarkEnd w:id="2229"/>
      <w:r>
        <w:rPr/>
      </w:r>
      <w:bookmarkStart w:name="_bookmark742" w:id="2230"/>
      <w:bookmarkEnd w:id="2230"/>
      <w:r>
        <w:rPr/>
      </w:r>
      <w:bookmarkStart w:name="_bookmark742" w:id="2231"/>
      <w:bookmarkEnd w:id="2231"/>
      <w:r>
        <w:rPr>
          <w:color w:val="4F81BC"/>
        </w:rPr>
        <w:t>RO</w:t>
      </w:r>
      <w:r>
        <w:rPr>
          <w:color w:val="4F81BC"/>
        </w:rPr>
        <w:t>UNDDOWN</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ROUNDDOWN ( </w:t>
      </w:r>
      <w:r>
        <w:rPr>
          <w:i/>
          <w:sz w:val="22"/>
        </w:rPr>
        <w:t>x </w:t>
      </w:r>
      <w:r>
        <w:rPr>
          <w:rFonts w:ascii="Lucida Console"/>
          <w:sz w:val="20"/>
        </w:rPr>
        <w:t>, </w:t>
      </w:r>
      <w:r>
        <w:rPr>
          <w:i/>
          <w:sz w:val="22"/>
        </w:rPr>
        <w:t>number-digits </w:t>
      </w:r>
      <w:r>
        <w:rPr>
          <w:rFonts w:ascii="Lucida Console"/>
          <w:sz w:val="20"/>
        </w:rPr>
        <w:t>)</w:t>
      </w:r>
    </w:p>
    <w:p>
      <w:pPr>
        <w:spacing w:after="0"/>
        <w:jc w:val="left"/>
        <w:rPr>
          <w:rFonts w:ascii="Lucida Console"/>
          <w:sz w:val="20"/>
        </w:rPr>
        <w:sectPr>
          <w:footerReference w:type="even" r:id="rId268"/>
          <w:footerReference w:type="default" r:id="rId269"/>
          <w:pgSz w:w="12240" w:h="15840"/>
          <w:pgMar w:footer="746" w:header="761" w:top="1340" w:bottom="940" w:left="860" w:right="700"/>
          <w:pgNumType w:start="2360"/>
        </w:sectPr>
      </w:pPr>
    </w:p>
    <w:p>
      <w:pPr>
        <w:pStyle w:val="BodyText"/>
        <w:spacing w:line="276" w:lineRule="auto" w:before="148"/>
        <w:ind w:left="220" w:right="542"/>
      </w:pPr>
      <w:r>
        <w:rPr>
          <w:b/>
        </w:rPr>
        <w:t>Description: </w:t>
      </w:r>
      <w:r>
        <w:rPr/>
        <w:t>Computes </w:t>
      </w:r>
      <w:r>
        <w:rPr>
          <w:rFonts w:ascii="Times New Roman" w:hAnsi="Times New Roman"/>
          <w:i/>
        </w:rPr>
        <w:t>x </w:t>
      </w:r>
      <w:r>
        <w:rPr/>
        <w:t>rounded down, toward zero, to the number of digits specified by </w:t>
      </w:r>
      <w:r>
        <w:rPr>
          <w:rFonts w:ascii="Times New Roman" w:hAnsi="Times New Roman"/>
          <w:i/>
        </w:rPr>
        <w:t>number-digits</w:t>
      </w:r>
      <w:r>
        <w:rPr/>
        <w:t>. [</w:t>
      </w:r>
      <w:r>
        <w:rPr>
          <w:i/>
        </w:rPr>
        <w:t>Note</w:t>
      </w:r>
      <w:r>
        <w:rPr/>
        <w:t>: </w:t>
      </w:r>
      <w:r>
        <w:rPr>
          <w:rFonts w:ascii="Consolas" w:hAnsi="Consolas"/>
        </w:rPr>
        <w:t>ROUNDDOWN </w:t>
      </w:r>
      <w:r>
        <w:rPr/>
        <w:t>behaves like </w:t>
      </w:r>
      <w:r>
        <w:rPr>
          <w:rFonts w:ascii="Consolas" w:hAnsi="Consolas"/>
        </w:rPr>
        <w:t>ROUND </w:t>
      </w:r>
      <w:r>
        <w:rPr/>
        <w:t>(§</w:t>
      </w:r>
      <w:hyperlink w:history="true" w:anchor="_bookmark741">
        <w:r>
          <w:rPr/>
          <w:t>18.17.7.278</w:t>
        </w:r>
      </w:hyperlink>
      <w:r>
        <w:rPr/>
        <w:t>), except that </w:t>
      </w:r>
      <w:r>
        <w:rPr>
          <w:rFonts w:ascii="Consolas" w:hAnsi="Consolas"/>
        </w:rPr>
        <w:t>ROUNDDOWN </w:t>
      </w:r>
      <w:r>
        <w:rPr/>
        <w:t>always rounds a number down. </w:t>
      </w:r>
      <w:r>
        <w:rPr>
          <w:i/>
        </w:rPr>
        <w:t>end </w:t>
      </w:r>
      <w:r>
        <w:rPr>
          <w:i/>
        </w:rPr>
        <w:t>note</w:t>
      </w:r>
      <w:r>
        <w:rPr/>
        <w:t>]</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 down.</w:t>
            </w:r>
          </w:p>
        </w:tc>
      </w:tr>
      <w:tr>
        <w:trPr>
          <w:trHeight w:val="1430" w:hRule="atLeast"/>
        </w:trPr>
        <w:tc>
          <w:tcPr>
            <w:tcW w:w="1466" w:type="dxa"/>
          </w:tcPr>
          <w:p>
            <w:pPr>
              <w:pStyle w:val="TableParagraph"/>
              <w:spacing w:before="37"/>
              <w:rPr>
                <w:rFonts w:ascii="Times New Roman"/>
                <w:i/>
                <w:sz w:val="22"/>
              </w:rPr>
            </w:pPr>
            <w:r>
              <w:rPr>
                <w:rFonts w:ascii="Times New Roman"/>
                <w:i/>
                <w:sz w:val="22"/>
              </w:rPr>
              <w:t>number-digits</w:t>
            </w:r>
          </w:p>
        </w:tc>
        <w:tc>
          <w:tcPr>
            <w:tcW w:w="1800" w:type="dxa"/>
          </w:tcPr>
          <w:p>
            <w:pPr>
              <w:pStyle w:val="TableParagraph"/>
              <w:ind w:left="112"/>
              <w:rPr>
                <w:sz w:val="22"/>
              </w:rPr>
            </w:pPr>
            <w:r>
              <w:rPr>
                <w:sz w:val="22"/>
              </w:rPr>
              <w:t>number</w:t>
            </w:r>
          </w:p>
        </w:tc>
        <w:tc>
          <w:tcPr>
            <w:tcW w:w="5400" w:type="dxa"/>
          </w:tcPr>
          <w:p>
            <w:pPr>
              <w:pStyle w:val="TableParagraph"/>
              <w:ind w:left="113" w:right="207"/>
              <w:rPr>
                <w:sz w:val="22"/>
              </w:rPr>
            </w:pPr>
            <w:r>
              <w:rPr>
                <w:sz w:val="22"/>
              </w:rPr>
              <w:t>The number of digits to which </w:t>
            </w:r>
            <w:r>
              <w:rPr>
                <w:rFonts w:ascii="Times New Roman"/>
                <w:i/>
                <w:sz w:val="22"/>
              </w:rPr>
              <w:t>x </w:t>
            </w:r>
            <w:r>
              <w:rPr>
                <w:sz w:val="22"/>
              </w:rPr>
              <w:t>is to be rounded. If </w:t>
            </w:r>
            <w:r>
              <w:rPr>
                <w:rFonts w:ascii="Times New Roman"/>
                <w:i/>
                <w:sz w:val="22"/>
              </w:rPr>
              <w:t>number-digits </w:t>
            </w:r>
            <w:r>
              <w:rPr>
                <w:sz w:val="22"/>
              </w:rPr>
              <w:t>is greater than 0, </w:t>
            </w:r>
            <w:r>
              <w:rPr>
                <w:rFonts w:ascii="Times New Roman"/>
                <w:i/>
                <w:sz w:val="22"/>
              </w:rPr>
              <w:t>x </w:t>
            </w:r>
            <w:r>
              <w:rPr>
                <w:sz w:val="22"/>
              </w:rPr>
              <w:t>is rounded to the specified number of decimal places. If </w:t>
            </w:r>
            <w:r>
              <w:rPr>
                <w:rFonts w:ascii="Times New Roman"/>
                <w:i/>
                <w:sz w:val="22"/>
              </w:rPr>
              <w:t>number-digits </w:t>
            </w:r>
            <w:r>
              <w:rPr>
                <w:sz w:val="22"/>
              </w:rPr>
              <w:t>is 0, </w:t>
            </w:r>
            <w:r>
              <w:rPr>
                <w:rFonts w:ascii="Times New Roman"/>
                <w:i/>
                <w:sz w:val="22"/>
              </w:rPr>
              <w:t>x </w:t>
            </w:r>
            <w:r>
              <w:rPr>
                <w:sz w:val="22"/>
              </w:rPr>
              <w:t>is rounded to the nearest integer. If </w:t>
            </w:r>
            <w:r>
              <w:rPr>
                <w:rFonts w:ascii="Times New Roman"/>
                <w:i/>
                <w:sz w:val="22"/>
              </w:rPr>
              <w:t>number-digits </w:t>
            </w:r>
            <w:r>
              <w:rPr>
                <w:sz w:val="22"/>
              </w:rPr>
              <w:t>is less than 0, </w:t>
            </w:r>
            <w:r>
              <w:rPr>
                <w:rFonts w:ascii="Times New Roman"/>
                <w:i/>
                <w:sz w:val="22"/>
              </w:rPr>
              <w:t>x </w:t>
            </w:r>
            <w:r>
              <w:rPr>
                <w:sz w:val="22"/>
              </w:rPr>
              <w:t>is rounded to the left of the decimal point.</w:t>
            </w:r>
          </w:p>
        </w:tc>
      </w:tr>
    </w:tbl>
    <w:p>
      <w:pPr>
        <w:pStyle w:val="BodyText"/>
        <w:rPr>
          <w:b/>
        </w:rPr>
      </w:pPr>
    </w:p>
    <w:p>
      <w:pPr>
        <w:pStyle w:val="BodyText"/>
        <w:spacing w:before="7"/>
        <w:rPr>
          <w:b/>
          <w:sz w:val="19"/>
        </w:rPr>
      </w:pPr>
    </w:p>
    <w:p>
      <w:pPr>
        <w:spacing w:line="453" w:lineRule="auto" w:before="0"/>
        <w:ind w:left="220" w:right="4645" w:firstLine="0"/>
        <w:jc w:val="left"/>
        <w:rPr>
          <w:sz w:val="22"/>
        </w:rPr>
      </w:pPr>
      <w:r>
        <w:rPr>
          <w:b/>
          <w:sz w:val="22"/>
        </w:rPr>
        <w:t>Return Type and Value: </w:t>
      </w:r>
      <w:r>
        <w:rPr>
          <w:sz w:val="22"/>
        </w:rPr>
        <w:t>number – The rounded-down value of </w:t>
      </w:r>
      <w:r>
        <w:rPr>
          <w:rFonts w:ascii="Times New Roman" w:hAnsi="Times New Roman"/>
          <w:i/>
          <w:sz w:val="22"/>
        </w:rPr>
        <w:t>x</w:t>
      </w:r>
      <w:r>
        <w:rPr>
          <w:sz w:val="22"/>
        </w:rPr>
        <w:t>. [</w:t>
      </w:r>
      <w:r>
        <w:rPr>
          <w:i/>
          <w:sz w:val="22"/>
        </w:rPr>
        <w:t>Example</w:t>
      </w:r>
      <w:r>
        <w:rPr>
          <w:sz w:val="22"/>
        </w:rPr>
        <w:t>:</w:t>
      </w:r>
    </w:p>
    <w:p>
      <w:pPr>
        <w:pStyle w:val="BodyText"/>
        <w:spacing w:line="276" w:lineRule="auto" w:before="108"/>
        <w:ind w:left="220" w:right="2288"/>
        <w:rPr>
          <w:rFonts w:ascii="Consolas"/>
        </w:rPr>
      </w:pPr>
      <w:r>
        <w:rPr>
          <w:rFonts w:ascii="Consolas"/>
        </w:rPr>
        <w:t>ROUNDDOWN(3.2,0) </w:t>
      </w:r>
      <w:r>
        <w:rPr/>
        <w:t>rounds 3.2 down to zero decimal places; that is, to </w:t>
      </w:r>
      <w:r>
        <w:rPr>
          <w:rFonts w:ascii="Consolas"/>
        </w:rPr>
        <w:t>3 ROUNDDOWN(76.9,0) </w:t>
      </w:r>
      <w:r>
        <w:rPr/>
        <w:t>rounds 76.9 down to zero decimal places; that is, to </w:t>
      </w:r>
      <w:r>
        <w:rPr>
          <w:rFonts w:ascii="Consolas"/>
        </w:rPr>
        <w:t>76 ROUNDDOWN(3.14159,3)</w:t>
      </w:r>
      <w:r>
        <w:rPr>
          <w:rFonts w:ascii="Consolas"/>
          <w:spacing w:val="-100"/>
        </w:rPr>
        <w:t> </w:t>
      </w:r>
      <w:r>
        <w:rPr/>
        <w:t>rounds 3.14159 down to three decimal places; that is, to </w:t>
      </w:r>
      <w:r>
        <w:rPr>
          <w:rFonts w:ascii="Consolas"/>
        </w:rPr>
        <w:t>3.141 ROUNDDOWN(-3.14159,1)</w:t>
      </w:r>
      <w:r>
        <w:rPr>
          <w:rFonts w:ascii="Consolas"/>
          <w:spacing w:val="-94"/>
        </w:rPr>
        <w:t> </w:t>
      </w:r>
      <w:r>
        <w:rPr/>
        <w:t>rounds -3.14159 down to one decimal place; that is, to </w:t>
      </w:r>
      <w:r>
        <w:rPr>
          <w:rFonts w:ascii="Consolas"/>
        </w:rPr>
        <w:t>-3.1</w:t>
      </w:r>
    </w:p>
    <w:p>
      <w:pPr>
        <w:pStyle w:val="BodyText"/>
        <w:spacing w:line="276" w:lineRule="auto" w:before="1"/>
        <w:ind w:left="220" w:right="642"/>
        <w:rPr>
          <w:rFonts w:ascii="Consolas"/>
        </w:rPr>
      </w:pPr>
      <w:r>
        <w:rPr>
          <w:rFonts w:ascii="Consolas"/>
        </w:rPr>
        <w:t>ROUNDDOWN(31415.92654,-2)</w:t>
      </w:r>
      <w:r>
        <w:rPr>
          <w:rFonts w:ascii="Consolas"/>
          <w:spacing w:val="-72"/>
        </w:rPr>
        <w:t> </w:t>
      </w:r>
      <w:r>
        <w:rPr/>
        <w:t>rounds 31415.92654 down to two decimal places to the left of the decimal; that is, to </w:t>
      </w:r>
      <w:r>
        <w:rPr>
          <w:rFonts w:ascii="Consolas"/>
        </w:rPr>
        <w:t>31400</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0 ROUNDUP" w:id="2232"/>
      <w:bookmarkEnd w:id="2232"/>
      <w:r>
        <w:rPr/>
      </w:r>
      <w:bookmarkStart w:name="_bookmark743" w:id="2233"/>
      <w:bookmarkEnd w:id="2233"/>
      <w:r>
        <w:rPr/>
      </w:r>
      <w:bookmarkStart w:name="_bookmark743" w:id="2234"/>
      <w:bookmarkEnd w:id="2234"/>
      <w:r>
        <w:rPr>
          <w:color w:val="4F81BC"/>
        </w:rPr>
        <w:t>RO</w:t>
      </w:r>
      <w:r>
        <w:rPr>
          <w:color w:val="4F81BC"/>
        </w:rPr>
        <w:t>UNDUP</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ROUNDUP ( </w:t>
      </w:r>
      <w:r>
        <w:rPr>
          <w:i/>
          <w:sz w:val="22"/>
        </w:rPr>
        <w:t>x </w:t>
      </w:r>
      <w:r>
        <w:rPr>
          <w:rFonts w:ascii="Lucida Console"/>
          <w:sz w:val="20"/>
        </w:rPr>
        <w:t>, </w:t>
      </w:r>
      <w:r>
        <w:rPr>
          <w:i/>
          <w:sz w:val="22"/>
        </w:rPr>
        <w:t>number-digits </w:t>
      </w:r>
      <w:r>
        <w:rPr>
          <w:rFonts w:ascii="Lucida Console"/>
          <w:sz w:val="20"/>
        </w:rPr>
        <w:t>)</w:t>
      </w:r>
    </w:p>
    <w:p>
      <w:pPr>
        <w:spacing w:before="106"/>
        <w:ind w:left="220" w:right="0" w:firstLine="0"/>
        <w:jc w:val="left"/>
        <w:rPr>
          <w:sz w:val="22"/>
        </w:rPr>
      </w:pPr>
      <w:r>
        <w:rPr>
          <w:b/>
          <w:sz w:val="22"/>
        </w:rPr>
        <w:t>Description: </w:t>
      </w:r>
      <w:r>
        <w:rPr>
          <w:sz w:val="22"/>
        </w:rPr>
        <w:t>Computes </w:t>
      </w:r>
      <w:r>
        <w:rPr>
          <w:rFonts w:ascii="Times New Roman"/>
          <w:i/>
          <w:sz w:val="22"/>
        </w:rPr>
        <w:t>x </w:t>
      </w:r>
      <w:r>
        <w:rPr>
          <w:sz w:val="22"/>
        </w:rPr>
        <w:t>rounded up, away from zero, to the number of digits specified by </w:t>
      </w:r>
      <w:r>
        <w:rPr>
          <w:rFonts w:ascii="Times New Roman"/>
          <w:i/>
          <w:sz w:val="22"/>
        </w:rPr>
        <w:t>number-digits</w:t>
      </w:r>
      <w:r>
        <w:rPr>
          <w:sz w:val="22"/>
        </w:rPr>
        <w:t>. [</w:t>
      </w:r>
      <w:r>
        <w:rPr>
          <w:i/>
          <w:sz w:val="22"/>
        </w:rPr>
        <w:t>Note</w:t>
      </w:r>
      <w:r>
        <w:rPr>
          <w:sz w:val="22"/>
        </w:rPr>
        <w:t>:</w:t>
      </w:r>
    </w:p>
    <w:p>
      <w:pPr>
        <w:pStyle w:val="BodyText"/>
        <w:spacing w:before="44"/>
        <w:ind w:left="220"/>
      </w:pPr>
      <w:r>
        <w:rPr>
          <w:rFonts w:ascii="Consolas" w:hAnsi="Consolas"/>
        </w:rPr>
        <w:t>ROUNDUP</w:t>
      </w:r>
      <w:r>
        <w:rPr>
          <w:rFonts w:ascii="Consolas" w:hAnsi="Consolas"/>
          <w:spacing w:val="-69"/>
        </w:rPr>
        <w:t> </w:t>
      </w:r>
      <w:r>
        <w:rPr/>
        <w:t>behaves like </w:t>
      </w:r>
      <w:r>
        <w:rPr>
          <w:rFonts w:ascii="Consolas" w:hAnsi="Consolas"/>
        </w:rPr>
        <w:t>ROUND</w:t>
      </w:r>
      <w:r>
        <w:rPr>
          <w:rFonts w:ascii="Consolas" w:hAnsi="Consolas"/>
          <w:spacing w:val="-73"/>
        </w:rPr>
        <w:t> </w:t>
      </w:r>
      <w:r>
        <w:rPr/>
        <w:t>(§</w:t>
      </w:r>
      <w:hyperlink w:history="true" w:anchor="_bookmark741">
        <w:r>
          <w:rPr/>
          <w:t>18.17.7.278</w:t>
        </w:r>
      </w:hyperlink>
      <w:r>
        <w:rPr/>
        <w:t>), except that </w:t>
      </w:r>
      <w:r>
        <w:rPr>
          <w:rFonts w:ascii="Consolas" w:hAnsi="Consolas"/>
        </w:rPr>
        <w:t>ROUNDUP</w:t>
      </w:r>
      <w:r>
        <w:rPr>
          <w:rFonts w:ascii="Consolas" w:hAnsi="Consolas"/>
          <w:spacing w:val="-70"/>
        </w:rPr>
        <w:t> </w:t>
      </w:r>
      <w:r>
        <w:rPr/>
        <w:t>always rounds a number up. </w:t>
      </w:r>
      <w:r>
        <w:rPr>
          <w:i/>
        </w:rPr>
        <w:t>end note</w:t>
      </w:r>
      <w:r>
        <w:rPr/>
        <w:t>]</w:t>
      </w:r>
    </w:p>
    <w:p>
      <w:pPr>
        <w:pStyle w:val="BodyText"/>
        <w:spacing w:before="8"/>
        <w:rPr>
          <w:sz w:val="19"/>
        </w:rPr>
      </w:pPr>
    </w:p>
    <w:p>
      <w:pPr>
        <w:pStyle w:val="Heading4"/>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to be rounded up.</w:t>
            </w:r>
          </w:p>
        </w:tc>
      </w:tr>
      <w:tr>
        <w:trPr>
          <w:trHeight w:val="1161" w:hRule="atLeast"/>
        </w:trPr>
        <w:tc>
          <w:tcPr>
            <w:tcW w:w="1466" w:type="dxa"/>
          </w:tcPr>
          <w:p>
            <w:pPr>
              <w:pStyle w:val="TableParagraph"/>
              <w:spacing w:before="37"/>
              <w:rPr>
                <w:rFonts w:ascii="Times New Roman"/>
                <w:i/>
                <w:sz w:val="22"/>
              </w:rPr>
            </w:pPr>
            <w:r>
              <w:rPr>
                <w:rFonts w:ascii="Times New Roman"/>
                <w:i/>
                <w:sz w:val="22"/>
              </w:rPr>
              <w:t>number-digits</w:t>
            </w:r>
          </w:p>
        </w:tc>
        <w:tc>
          <w:tcPr>
            <w:tcW w:w="1800" w:type="dxa"/>
          </w:tcPr>
          <w:p>
            <w:pPr>
              <w:pStyle w:val="TableParagraph"/>
              <w:ind w:left="112"/>
              <w:rPr>
                <w:sz w:val="22"/>
              </w:rPr>
            </w:pPr>
            <w:r>
              <w:rPr>
                <w:sz w:val="22"/>
              </w:rPr>
              <w:t>number</w:t>
            </w:r>
          </w:p>
        </w:tc>
        <w:tc>
          <w:tcPr>
            <w:tcW w:w="5400" w:type="dxa"/>
          </w:tcPr>
          <w:p>
            <w:pPr>
              <w:pStyle w:val="TableParagraph"/>
              <w:ind w:left="113" w:right="148"/>
              <w:rPr>
                <w:sz w:val="22"/>
              </w:rPr>
            </w:pPr>
            <w:r>
              <w:rPr>
                <w:sz w:val="22"/>
              </w:rPr>
              <w:t>The number of digits to which </w:t>
            </w:r>
            <w:r>
              <w:rPr>
                <w:rFonts w:ascii="Times New Roman"/>
                <w:i/>
                <w:sz w:val="22"/>
              </w:rPr>
              <w:t>x </w:t>
            </w:r>
            <w:r>
              <w:rPr>
                <w:sz w:val="22"/>
              </w:rPr>
              <w:t>is to be rounded. If </w:t>
            </w:r>
            <w:r>
              <w:rPr>
                <w:rFonts w:ascii="Times New Roman"/>
                <w:i/>
                <w:sz w:val="22"/>
              </w:rPr>
              <w:t>number-digits </w:t>
            </w:r>
            <w:r>
              <w:rPr>
                <w:sz w:val="22"/>
              </w:rPr>
              <w:t>is greater than 0, </w:t>
            </w:r>
            <w:r>
              <w:rPr>
                <w:rFonts w:ascii="Times New Roman"/>
                <w:i/>
                <w:sz w:val="22"/>
              </w:rPr>
              <w:t>x </w:t>
            </w:r>
            <w:r>
              <w:rPr>
                <w:sz w:val="22"/>
              </w:rPr>
              <w:t>is rounded up to the specified number of decimal places. If </w:t>
            </w:r>
            <w:r>
              <w:rPr>
                <w:rFonts w:ascii="Times New Roman"/>
                <w:i/>
                <w:sz w:val="22"/>
              </w:rPr>
              <w:t>number-digits </w:t>
            </w:r>
            <w:r>
              <w:rPr>
                <w:sz w:val="22"/>
              </w:rPr>
              <w:t>is 0, </w:t>
            </w:r>
            <w:r>
              <w:rPr>
                <w:rFonts w:ascii="Times New Roman"/>
                <w:i/>
                <w:sz w:val="22"/>
              </w:rPr>
              <w:t>x </w:t>
            </w:r>
            <w:r>
              <w:rPr>
                <w:sz w:val="22"/>
              </w:rPr>
              <w:t>is rounded up to the nearest integer. If </w:t>
            </w:r>
            <w:r>
              <w:rPr>
                <w:rFonts w:ascii="Times New Roman"/>
                <w:i/>
                <w:sz w:val="22"/>
              </w:rPr>
              <w:t>number-digits </w:t>
            </w:r>
            <w:r>
              <w:rPr>
                <w:sz w:val="22"/>
              </w:rPr>
              <w:t>is</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545"/>
              <w:rPr>
                <w:sz w:val="22"/>
              </w:rPr>
            </w:pPr>
            <w:r>
              <w:rPr>
                <w:sz w:val="22"/>
              </w:rPr>
              <w:t>less than 0, </w:t>
            </w:r>
            <w:r>
              <w:rPr>
                <w:rFonts w:ascii="Times New Roman"/>
                <w:i/>
                <w:sz w:val="22"/>
              </w:rPr>
              <w:t>x </w:t>
            </w:r>
            <w:r>
              <w:rPr>
                <w:sz w:val="22"/>
              </w:rPr>
              <w:t>is rounded up to the left of the decimal point.</w:t>
            </w:r>
          </w:p>
        </w:tc>
      </w:tr>
    </w:tbl>
    <w:p>
      <w:pPr>
        <w:pStyle w:val="BodyText"/>
        <w:rPr>
          <w:b/>
          <w:sz w:val="20"/>
        </w:rPr>
      </w:pPr>
    </w:p>
    <w:p>
      <w:pPr>
        <w:pStyle w:val="BodyText"/>
        <w:spacing w:before="7"/>
        <w:rPr>
          <w:b/>
          <w:sz w:val="21"/>
        </w:rPr>
      </w:pPr>
    </w:p>
    <w:p>
      <w:pPr>
        <w:spacing w:line="453" w:lineRule="auto" w:before="0"/>
        <w:ind w:left="220" w:right="4918" w:firstLine="0"/>
        <w:jc w:val="left"/>
        <w:rPr>
          <w:sz w:val="22"/>
        </w:rPr>
      </w:pPr>
      <w:r>
        <w:rPr>
          <w:b/>
          <w:sz w:val="22"/>
        </w:rPr>
        <w:t>Return Type and Value: </w:t>
      </w:r>
      <w:r>
        <w:rPr>
          <w:sz w:val="22"/>
        </w:rPr>
        <w:t>number – The rounded-up value of </w:t>
      </w:r>
      <w:r>
        <w:rPr>
          <w:rFonts w:ascii="Times New Roman" w:hAnsi="Times New Roman"/>
          <w:i/>
          <w:sz w:val="22"/>
        </w:rPr>
        <w:t>x</w:t>
      </w:r>
      <w:r>
        <w:rPr>
          <w:sz w:val="22"/>
        </w:rPr>
        <w:t>. [</w:t>
      </w:r>
      <w:r>
        <w:rPr>
          <w:i/>
          <w:sz w:val="22"/>
        </w:rPr>
        <w:t>Example</w:t>
      </w:r>
      <w:r>
        <w:rPr>
          <w:sz w:val="22"/>
        </w:rPr>
        <w:t>:</w:t>
      </w:r>
    </w:p>
    <w:p>
      <w:pPr>
        <w:pStyle w:val="BodyText"/>
        <w:spacing w:line="276" w:lineRule="auto" w:before="109"/>
        <w:ind w:left="220" w:right="2288"/>
        <w:rPr>
          <w:rFonts w:ascii="Consolas"/>
        </w:rPr>
      </w:pPr>
      <w:r>
        <w:rPr>
          <w:rFonts w:ascii="Consolas"/>
        </w:rPr>
        <w:t>ROUNDDOWN(3.2,0) </w:t>
      </w:r>
      <w:r>
        <w:rPr/>
        <w:t>rounds 3.2 down to zero decimal places; that is, to </w:t>
      </w:r>
      <w:r>
        <w:rPr>
          <w:rFonts w:ascii="Consolas"/>
        </w:rPr>
        <w:t>4 ROUNDDOWN(76.9,0) </w:t>
      </w:r>
      <w:r>
        <w:rPr/>
        <w:t>rounds 76.9 down to zero decimal places; that is, to </w:t>
      </w:r>
      <w:r>
        <w:rPr>
          <w:rFonts w:ascii="Consolas"/>
        </w:rPr>
        <w:t>77 ROUNDDOWN(3.14159,3)</w:t>
      </w:r>
      <w:r>
        <w:rPr>
          <w:rFonts w:ascii="Consolas"/>
          <w:spacing w:val="-99"/>
        </w:rPr>
        <w:t> </w:t>
      </w:r>
      <w:r>
        <w:rPr/>
        <w:t>rounds 3.14159 down to three decimal places; that is, to </w:t>
      </w:r>
      <w:r>
        <w:rPr>
          <w:rFonts w:ascii="Consolas"/>
        </w:rPr>
        <w:t>3.142 ROUNDDOWN(-3.14159,1)</w:t>
      </w:r>
      <w:r>
        <w:rPr>
          <w:rFonts w:ascii="Consolas"/>
          <w:spacing w:val="-95"/>
        </w:rPr>
        <w:t> </w:t>
      </w:r>
      <w:r>
        <w:rPr/>
        <w:t>rounds -3.14159 down to one decimal place; that is, to </w:t>
      </w:r>
      <w:r>
        <w:rPr>
          <w:rFonts w:ascii="Consolas"/>
        </w:rPr>
        <w:t>-3.2</w:t>
      </w:r>
    </w:p>
    <w:p>
      <w:pPr>
        <w:pStyle w:val="BodyText"/>
        <w:spacing w:line="276" w:lineRule="auto" w:before="1"/>
        <w:ind w:left="220" w:right="642"/>
        <w:rPr>
          <w:rFonts w:ascii="Consolas"/>
        </w:rPr>
      </w:pPr>
      <w:r>
        <w:rPr>
          <w:rFonts w:ascii="Consolas"/>
        </w:rPr>
        <w:t>ROUNDDOWN(31415.92654,-2)</w:t>
      </w:r>
      <w:r>
        <w:rPr>
          <w:rFonts w:ascii="Consolas"/>
          <w:spacing w:val="-72"/>
        </w:rPr>
        <w:t> </w:t>
      </w:r>
      <w:r>
        <w:rPr/>
        <w:t>rounds 31415.92654 down to two decimal places to the left of the decimal; that is, to </w:t>
      </w:r>
      <w:r>
        <w:rPr>
          <w:rFonts w:ascii="Consolas"/>
        </w:rPr>
        <w:t>31500</w:t>
      </w:r>
    </w:p>
    <w:p>
      <w:pPr>
        <w:pStyle w:val="BodyText"/>
        <w:spacing w:before="6"/>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1 ROW" w:id="2235"/>
      <w:bookmarkEnd w:id="2235"/>
      <w:r>
        <w:rPr/>
      </w:r>
      <w:bookmarkStart w:name="_bookmark744" w:id="2236"/>
      <w:bookmarkEnd w:id="2236"/>
      <w:r>
        <w:rPr/>
      </w:r>
      <w:bookmarkStart w:name="_bookmark744" w:id="2237"/>
      <w:bookmarkEnd w:id="2237"/>
      <w:r>
        <w:rPr>
          <w:color w:val="4F81BC"/>
        </w:rPr>
        <w:t>RO</w:t>
      </w:r>
      <w:r>
        <w:rPr>
          <w:color w:val="4F81BC"/>
        </w:rPr>
        <w:t>W</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ROW ( </w:t>
      </w:r>
      <w:r>
        <w:rPr>
          <w:sz w:val="22"/>
        </w:rPr>
        <w:t>[ </w:t>
      </w:r>
      <w:r>
        <w:rPr>
          <w:i/>
          <w:sz w:val="22"/>
        </w:rPr>
        <w:t>reference </w:t>
      </w:r>
      <w:r>
        <w:rPr>
          <w:sz w:val="22"/>
        </w:rPr>
        <w:t>] </w:t>
      </w:r>
      <w:r>
        <w:rPr>
          <w:rFonts w:ascii="Lucida Console"/>
          <w:sz w:val="20"/>
        </w:rPr>
        <w:t>)</w:t>
      </w:r>
    </w:p>
    <w:p>
      <w:pPr>
        <w:spacing w:before="108"/>
        <w:ind w:left="220" w:right="0" w:firstLine="0"/>
        <w:jc w:val="left"/>
        <w:rPr>
          <w:sz w:val="22"/>
        </w:rPr>
      </w:pPr>
      <w:r>
        <w:rPr>
          <w:b/>
          <w:sz w:val="22"/>
        </w:rPr>
        <w:t>Description: </w:t>
      </w:r>
      <w:r>
        <w:rPr>
          <w:sz w:val="22"/>
        </w:rPr>
        <w:t>Finds the number of the row(s) corresponding to </w:t>
      </w:r>
      <w:r>
        <w:rPr>
          <w:rFonts w:ascii="Times New Roman"/>
          <w:i/>
          <w:sz w:val="22"/>
        </w:rPr>
        <w:t>reference</w:t>
      </w:r>
      <w:r>
        <w:rPr>
          <w:sz w:val="22"/>
        </w:rPr>
        <w:t>.</w:t>
      </w:r>
    </w:p>
    <w:p>
      <w:pPr>
        <w:pStyle w:val="BodyText"/>
        <w:spacing w:before="9"/>
        <w:rPr>
          <w:sz w:val="19"/>
        </w:rPr>
      </w:pPr>
    </w:p>
    <w:p>
      <w:pPr>
        <w:pStyle w:val="Heading4"/>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61" w:hRule="atLeast"/>
        </w:trPr>
        <w:tc>
          <w:tcPr>
            <w:tcW w:w="1466" w:type="dxa"/>
          </w:tcPr>
          <w:p>
            <w:pPr>
              <w:pStyle w:val="TableParagraph"/>
              <w:spacing w:before="37"/>
              <w:rPr>
                <w:rFonts w:ascii="Times New Roman"/>
                <w:i/>
                <w:sz w:val="22"/>
              </w:rPr>
            </w:pPr>
            <w:r>
              <w:rPr>
                <w:rFonts w:ascii="Times New Roman"/>
                <w:i/>
                <w:sz w:val="22"/>
              </w:rPr>
              <w:t>reference</w:t>
            </w:r>
          </w:p>
        </w:tc>
        <w:tc>
          <w:tcPr>
            <w:tcW w:w="1800" w:type="dxa"/>
          </w:tcPr>
          <w:p>
            <w:pPr>
              <w:pStyle w:val="TableParagraph"/>
              <w:ind w:left="112" w:right="152"/>
              <w:rPr>
                <w:sz w:val="22"/>
              </w:rPr>
            </w:pPr>
            <w:r>
              <w:rPr>
                <w:sz w:val="22"/>
              </w:rPr>
              <w:t>reference to a single cell or to a range of contiguous cells</w:t>
            </w:r>
          </w:p>
        </w:tc>
        <w:tc>
          <w:tcPr>
            <w:tcW w:w="5400" w:type="dxa"/>
          </w:tcPr>
          <w:p>
            <w:pPr>
              <w:pStyle w:val="TableParagraph"/>
              <w:ind w:left="113" w:right="248"/>
              <w:rPr>
                <w:sz w:val="22"/>
              </w:rPr>
            </w:pPr>
            <w:r>
              <w:rPr>
                <w:sz w:val="22"/>
              </w:rPr>
              <w:t>If omitted, the behavior is as if </w:t>
            </w:r>
            <w:r>
              <w:rPr>
                <w:rFonts w:ascii="Times New Roman"/>
                <w:i/>
                <w:sz w:val="22"/>
              </w:rPr>
              <w:t>reference </w:t>
            </w:r>
            <w:r>
              <w:rPr>
                <w:sz w:val="22"/>
              </w:rPr>
              <w:t>referred to the cell containing the formula.</w:t>
            </w:r>
          </w:p>
        </w:tc>
      </w:tr>
    </w:tbl>
    <w:p>
      <w:pPr>
        <w:pStyle w:val="BodyText"/>
        <w:rPr>
          <w:b/>
        </w:rPr>
      </w:pPr>
    </w:p>
    <w:p>
      <w:pPr>
        <w:pStyle w:val="BodyText"/>
        <w:spacing w:before="5"/>
        <w:rPr>
          <w:b/>
          <w:sz w:val="19"/>
        </w:rPr>
      </w:pPr>
    </w:p>
    <w:p>
      <w:pPr>
        <w:pStyle w:val="BodyText"/>
        <w:spacing w:line="276" w:lineRule="auto"/>
        <w:ind w:left="220" w:right="387"/>
      </w:pPr>
      <w:r>
        <w:rPr>
          <w:b/>
        </w:rPr>
        <w:t>Return Type and Value: </w:t>
      </w:r>
      <w:r>
        <w:rPr/>
        <w:t>number – If </w:t>
      </w:r>
      <w:r>
        <w:rPr>
          <w:rFonts w:ascii="Times New Roman" w:hAnsi="Times New Roman"/>
          <w:i/>
        </w:rPr>
        <w:t>reference </w:t>
      </w:r>
      <w:r>
        <w:rPr/>
        <w:t>refers to a single cell or to a single row of cells, the corresponding row is returned. If </w:t>
      </w:r>
      <w:r>
        <w:rPr>
          <w:rFonts w:ascii="Times New Roman" w:hAnsi="Times New Roman"/>
          <w:i/>
        </w:rPr>
        <w:t>reference </w:t>
      </w:r>
      <w:r>
        <w:rPr/>
        <w:t>refers to a range of cells involving multiple rows, a vertical array of the corresponding rows as numbers is returned.</w:t>
      </w:r>
    </w:p>
    <w:p>
      <w:pPr>
        <w:pStyle w:val="BodyText"/>
        <w:spacing w:before="7"/>
        <w:rPr>
          <w:sz w:val="16"/>
        </w:rPr>
      </w:pPr>
    </w:p>
    <w:p>
      <w:pPr>
        <w:pStyle w:val="BodyText"/>
        <w:spacing w:line="453" w:lineRule="auto"/>
        <w:ind w:left="220" w:right="1564"/>
      </w:pPr>
      <w:r>
        <w:rPr/>
        <w:t>However, if the range of cells referred to by </w:t>
      </w:r>
      <w:r>
        <w:rPr>
          <w:rFonts w:ascii="Times New Roman"/>
          <w:i/>
        </w:rPr>
        <w:t>reference </w:t>
      </w:r>
      <w:r>
        <w:rPr/>
        <w:t>is not contiguous, </w:t>
      </w:r>
      <w:r>
        <w:rPr>
          <w:rFonts w:ascii="Consolas"/>
        </w:rPr>
        <w:t>#REF!</w:t>
      </w:r>
      <w:r>
        <w:rPr>
          <w:rFonts w:ascii="Consolas"/>
          <w:spacing w:val="-101"/>
        </w:rPr>
        <w:t> </w:t>
      </w:r>
      <w:r>
        <w:rPr/>
        <w:t>is returned. [</w:t>
      </w:r>
      <w:r>
        <w:rPr>
          <w:i/>
        </w:rPr>
        <w:t>Example</w:t>
      </w:r>
      <w:r>
        <w:rPr/>
        <w:t>:</w:t>
      </w:r>
    </w:p>
    <w:p>
      <w:pPr>
        <w:pStyle w:val="BodyText"/>
        <w:spacing w:line="276" w:lineRule="auto" w:before="110"/>
        <w:ind w:left="220" w:right="3786"/>
        <w:rPr>
          <w:rFonts w:ascii="Consolas"/>
        </w:rPr>
      </w:pPr>
      <w:r>
        <w:rPr>
          <w:rFonts w:ascii="Consolas"/>
        </w:rPr>
        <w:t>ROW()</w:t>
      </w:r>
      <w:r>
        <w:rPr>
          <w:rFonts w:ascii="Consolas"/>
          <w:spacing w:val="-90"/>
        </w:rPr>
        <w:t> </w:t>
      </w:r>
      <w:r>
        <w:rPr/>
        <w:t>results in 16, when the cell containing the formula is in row </w:t>
      </w:r>
      <w:r>
        <w:rPr>
          <w:rFonts w:ascii="Consolas"/>
        </w:rPr>
        <w:t>16 ROW(E17:G17)</w:t>
      </w:r>
      <w:r>
        <w:rPr>
          <w:rFonts w:ascii="Consolas"/>
          <w:spacing w:val="-76"/>
        </w:rPr>
        <w:t> </w:t>
      </w:r>
      <w:r>
        <w:rPr/>
        <w:t>results in </w:t>
      </w:r>
      <w:r>
        <w:rPr>
          <w:rFonts w:ascii="Consolas"/>
        </w:rPr>
        <w:t>17</w:t>
      </w:r>
    </w:p>
    <w:p>
      <w:pPr>
        <w:pStyle w:val="BodyText"/>
        <w:spacing w:line="268" w:lineRule="exact"/>
        <w:ind w:left="220"/>
      </w:pPr>
      <w:r>
        <w:rPr>
          <w:rFonts w:ascii="Consolas"/>
        </w:rPr>
        <w:t>ROW(E16:G17)</w:t>
      </w:r>
      <w:r>
        <w:rPr>
          <w:rFonts w:ascii="Consolas"/>
          <w:spacing w:val="-69"/>
        </w:rPr>
        <w:t> </w:t>
      </w:r>
      <w:r>
        <w:rPr/>
        <w:t>results in a vertical array containing </w:t>
      </w:r>
      <w:r>
        <w:rPr>
          <w:rFonts w:ascii="Consolas"/>
        </w:rPr>
        <w:t>16</w:t>
      </w:r>
      <w:r>
        <w:rPr>
          <w:rFonts w:ascii="Consolas"/>
          <w:spacing w:val="-73"/>
        </w:rPr>
        <w:t> </w:t>
      </w:r>
      <w:r>
        <w:rPr/>
        <w:t>and </w:t>
      </w:r>
      <w:r>
        <w:rPr>
          <w:rFonts w:ascii="Consolas"/>
        </w:rPr>
        <w:t>17</w:t>
      </w:r>
      <w:r>
        <w:rPr/>
        <w:t>, respectively</w:t>
      </w:r>
    </w:p>
    <w:p>
      <w:pPr>
        <w:spacing w:after="0" w:line="268" w:lineRule="exact"/>
        <w:sectPr>
          <w:pgSz w:w="12240" w:h="15840"/>
          <w:pgMar w:header="761" w:footer="746" w:top="1340" w:bottom="940" w:left="860" w:right="700"/>
        </w:sectPr>
      </w:pPr>
    </w:p>
    <w:p>
      <w:pPr>
        <w:pStyle w:val="BodyText"/>
        <w:rPr>
          <w:sz w:val="20"/>
        </w:rPr>
      </w:pPr>
    </w:p>
    <w:p>
      <w:pPr>
        <w:pStyle w:val="BodyText"/>
        <w:spacing w:before="8"/>
        <w:rPr>
          <w:sz w:val="17"/>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2 ROWS" w:id="2238"/>
      <w:bookmarkEnd w:id="2238"/>
      <w:r>
        <w:rPr/>
      </w:r>
      <w:bookmarkStart w:name="_bookmark745" w:id="2239"/>
      <w:bookmarkEnd w:id="2239"/>
      <w:r>
        <w:rPr/>
      </w:r>
      <w:bookmarkStart w:name="_bookmark745" w:id="2240"/>
      <w:bookmarkEnd w:id="2240"/>
      <w:r>
        <w:rPr>
          <w:color w:val="4F81BC"/>
        </w:rPr>
        <w:t>ROWS</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ROWS ( </w:t>
      </w:r>
      <w:r>
        <w:rPr>
          <w:i/>
          <w:sz w:val="22"/>
        </w:rPr>
        <w:t>array </w:t>
      </w:r>
      <w:r>
        <w:rPr>
          <w:rFonts w:ascii="Lucida Console"/>
          <w:sz w:val="20"/>
        </w:rPr>
        <w:t>)</w:t>
      </w:r>
    </w:p>
    <w:p>
      <w:pPr>
        <w:spacing w:before="108"/>
        <w:ind w:left="220" w:right="0" w:firstLine="0"/>
        <w:jc w:val="left"/>
        <w:rPr>
          <w:sz w:val="22"/>
        </w:rPr>
      </w:pPr>
      <w:r>
        <w:rPr>
          <w:b/>
          <w:sz w:val="22"/>
        </w:rPr>
        <w:t>Description: </w:t>
      </w:r>
      <w:r>
        <w:rPr>
          <w:sz w:val="22"/>
        </w:rPr>
        <w:t>Finds the number of rows corresponding to </w:t>
      </w:r>
      <w:r>
        <w:rPr>
          <w:rFonts w:ascii="Times New Roman"/>
          <w:i/>
          <w:sz w:val="22"/>
        </w:rPr>
        <w:t>array</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430"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ight="97"/>
              <w:rPr>
                <w:sz w:val="22"/>
              </w:rPr>
            </w:pPr>
            <w:r>
              <w:rPr>
                <w:sz w:val="22"/>
              </w:rPr>
              <w:t>array, reference to a single cell, or a reference to a range of contiguous cells</w:t>
            </w:r>
          </w:p>
        </w:tc>
        <w:tc>
          <w:tcPr>
            <w:tcW w:w="5400" w:type="dxa"/>
          </w:tcPr>
          <w:p>
            <w:pPr>
              <w:pStyle w:val="TableParagraph"/>
              <w:ind w:left="113"/>
              <w:rPr>
                <w:sz w:val="22"/>
              </w:rPr>
            </w:pPr>
            <w:r>
              <w:rPr>
                <w:sz w:val="22"/>
              </w:rPr>
              <w:t>A set of rows.</w:t>
            </w:r>
          </w:p>
        </w:tc>
      </w:tr>
    </w:tbl>
    <w:p>
      <w:pPr>
        <w:pStyle w:val="BodyText"/>
        <w:rPr>
          <w:b/>
        </w:rPr>
      </w:pPr>
    </w:p>
    <w:p>
      <w:pPr>
        <w:pStyle w:val="BodyText"/>
        <w:spacing w:before="7"/>
        <w:rPr>
          <w:b/>
          <w:sz w:val="19"/>
        </w:rPr>
      </w:pPr>
    </w:p>
    <w:p>
      <w:pPr>
        <w:spacing w:line="453" w:lineRule="auto" w:before="0"/>
        <w:ind w:left="220" w:right="2518" w:firstLine="0"/>
        <w:jc w:val="left"/>
        <w:rPr>
          <w:sz w:val="22"/>
        </w:rPr>
      </w:pPr>
      <w:r>
        <w:rPr>
          <w:b/>
          <w:sz w:val="22"/>
        </w:rPr>
        <w:t>Return Type and Value: </w:t>
      </w:r>
      <w:r>
        <w:rPr>
          <w:sz w:val="22"/>
        </w:rPr>
        <w:t>number – The number of rows corresponding to </w:t>
      </w:r>
      <w:r>
        <w:rPr>
          <w:rFonts w:ascii="Times New Roman" w:hAnsi="Times New Roman"/>
          <w:i/>
          <w:sz w:val="22"/>
        </w:rPr>
        <w:t>array</w:t>
      </w:r>
      <w:r>
        <w:rPr>
          <w:sz w:val="22"/>
        </w:rPr>
        <w:t>. However, if the range of cells referred to by </w:t>
      </w:r>
      <w:r>
        <w:rPr>
          <w:rFonts w:ascii="Times New Roman" w:hAnsi="Times New Roman"/>
          <w:i/>
          <w:sz w:val="22"/>
        </w:rPr>
        <w:t>array </w:t>
      </w:r>
      <w:r>
        <w:rPr>
          <w:sz w:val="22"/>
        </w:rPr>
        <w:t>is not contiguous, </w:t>
      </w:r>
      <w:r>
        <w:rPr>
          <w:rFonts w:ascii="Consolas" w:hAnsi="Consolas"/>
          <w:sz w:val="22"/>
        </w:rPr>
        <w:t>#NULL!</w:t>
      </w:r>
      <w:r>
        <w:rPr>
          <w:rFonts w:ascii="Consolas" w:hAnsi="Consolas"/>
          <w:spacing w:val="-98"/>
          <w:sz w:val="22"/>
        </w:rPr>
        <w:t> </w:t>
      </w:r>
      <w:r>
        <w:rPr>
          <w:sz w:val="22"/>
        </w:rPr>
        <w:t>is returned. [</w:t>
      </w:r>
      <w:r>
        <w:rPr>
          <w:i/>
          <w:sz w:val="22"/>
        </w:rPr>
        <w:t>Example</w:t>
      </w:r>
      <w:r>
        <w:rPr>
          <w:sz w:val="22"/>
        </w:rPr>
        <w:t>:</w:t>
      </w:r>
    </w:p>
    <w:p>
      <w:pPr>
        <w:pStyle w:val="BodyText"/>
        <w:spacing w:line="276" w:lineRule="auto" w:before="110"/>
        <w:ind w:left="220" w:right="7600"/>
        <w:rPr>
          <w:rFonts w:ascii="Consolas"/>
        </w:rPr>
      </w:pPr>
      <w:r>
        <w:rPr>
          <w:rFonts w:ascii="Consolas"/>
        </w:rPr>
        <w:t>ROWS(E16:H16) </w:t>
      </w:r>
      <w:r>
        <w:rPr/>
        <w:t>results in </w:t>
      </w:r>
      <w:r>
        <w:rPr>
          <w:rFonts w:ascii="Consolas"/>
        </w:rPr>
        <w:t>1 ROWS(E16:G18) </w:t>
      </w:r>
      <w:r>
        <w:rPr/>
        <w:t>results in </w:t>
      </w:r>
      <w:r>
        <w:rPr>
          <w:rFonts w:ascii="Consolas"/>
        </w:rPr>
        <w:t>3 ROWS({1,2;3,4})</w:t>
      </w:r>
      <w:r>
        <w:rPr>
          <w:rFonts w:ascii="Consolas"/>
          <w:spacing w:val="-80"/>
        </w:rPr>
        <w:t> </w:t>
      </w:r>
      <w:r>
        <w:rPr/>
        <w:t>results in </w:t>
      </w:r>
      <w:r>
        <w:rPr>
          <w:rFonts w:ascii="Consolas"/>
        </w:rPr>
        <w:t>2</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3 RSQ" w:id="2241"/>
      <w:bookmarkEnd w:id="2241"/>
      <w:r>
        <w:rPr/>
      </w:r>
      <w:bookmarkStart w:name="_bookmark746" w:id="2242"/>
      <w:bookmarkEnd w:id="2242"/>
      <w:r>
        <w:rPr/>
      </w:r>
      <w:bookmarkStart w:name="_bookmark746" w:id="2243"/>
      <w:bookmarkEnd w:id="2243"/>
      <w:r>
        <w:rPr>
          <w:color w:val="4F81BC"/>
        </w:rPr>
        <w:t>R</w:t>
      </w:r>
      <w:r>
        <w:rPr>
          <w:color w:val="4F81BC"/>
        </w:rPr>
        <w:t>SQ</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RSQ ( </w:t>
      </w:r>
      <w:r>
        <w:rPr>
          <w:i/>
          <w:sz w:val="22"/>
        </w:rPr>
        <w:t>known-ys </w:t>
      </w:r>
      <w:r>
        <w:rPr>
          <w:sz w:val="22"/>
        </w:rPr>
        <w:t>, </w:t>
      </w:r>
      <w:r>
        <w:rPr>
          <w:i/>
          <w:sz w:val="22"/>
        </w:rPr>
        <w:t>known-xs </w:t>
      </w:r>
      <w:r>
        <w:rPr>
          <w:rFonts w:ascii="Lucida Console"/>
          <w:sz w:val="20"/>
        </w:rPr>
        <w:t>)</w:t>
      </w:r>
    </w:p>
    <w:p>
      <w:pPr>
        <w:pStyle w:val="BodyText"/>
        <w:spacing w:line="278" w:lineRule="auto" w:before="106"/>
        <w:ind w:left="220" w:right="373"/>
      </w:pPr>
      <w:r>
        <w:rPr>
          <w:b/>
        </w:rPr>
        <w:t>Description: </w:t>
      </w:r>
      <w:r>
        <w:rPr/>
        <w:t>Computes the square of the Pearson product moment correlation coefficient through data points in known ys and known</w:t>
      </w:r>
      <w:r>
        <w:rPr>
          <w:spacing w:val="-5"/>
        </w:rPr>
        <w:t> </w:t>
      </w:r>
      <w:r>
        <w:rPr/>
        <w:t>xs.</w:t>
      </w:r>
    </w:p>
    <w:p>
      <w:pPr>
        <w:pStyle w:val="BodyText"/>
        <w:spacing w:before="2"/>
        <w:rPr>
          <w:sz w:val="16"/>
        </w:rPr>
      </w:pPr>
    </w:p>
    <w:p>
      <w:pPr>
        <w:pStyle w:val="Heading4"/>
        <w:spacing w:before="1"/>
        <w:rPr>
          <w:b w:val="0"/>
        </w:rPr>
      </w:pPr>
      <w:r>
        <w:rPr/>
        <w:t>Mathematical</w:t>
      </w:r>
      <w:r>
        <w:rPr>
          <w:spacing w:val="-9"/>
        </w:rPr>
        <w:t> </w:t>
      </w:r>
      <w:r>
        <w:rPr/>
        <w:t>Formula</w:t>
      </w:r>
      <w:r>
        <w:rPr>
          <w:b w:val="0"/>
        </w:rPr>
        <w:t>:</w:t>
      </w:r>
    </w:p>
    <w:p>
      <w:pPr>
        <w:pStyle w:val="BodyText"/>
        <w:spacing w:before="8"/>
        <w:rPr>
          <w:sz w:val="19"/>
        </w:rPr>
      </w:pPr>
    </w:p>
    <w:p>
      <w:pPr>
        <w:pStyle w:val="BodyText"/>
        <w:ind w:left="220"/>
      </w:pPr>
      <w:r>
        <w:rPr/>
        <w:t>The equation for the Pearson product moment correlation coefficient, r, is:</w:t>
      </w:r>
    </w:p>
    <w:p>
      <w:pPr>
        <w:pStyle w:val="BodyText"/>
        <w:spacing w:before="9"/>
        <w:rPr>
          <w:sz w:val="12"/>
        </w:rPr>
      </w:pPr>
    </w:p>
    <w:p>
      <w:pPr>
        <w:pStyle w:val="BodyText"/>
        <w:spacing w:line="223" w:lineRule="exact" w:before="61"/>
        <w:ind w:left="897"/>
        <w:rPr>
          <w:rFonts w:ascii="Cambria Math" w:hAnsi="Cambria Math" w:eastAsia="Cambria Math"/>
        </w:rPr>
      </w:pPr>
      <w:r>
        <w:rPr>
          <w:rFonts w:ascii="Cambria Math" w:hAnsi="Cambria Math" w:eastAsia="Cambria Math"/>
          <w:spacing w:val="-3"/>
          <w:w w:val="100"/>
          <w:position w:val="1"/>
        </w:rPr>
        <w:t>∑</w:t>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w w:val="100"/>
          <w:position w:val="1"/>
        </w:rPr>
        <w:t>)</w:t>
      </w:r>
    </w:p>
    <w:p>
      <w:pPr>
        <w:pStyle w:val="BodyText"/>
        <w:tabs>
          <w:tab w:pos="559" w:val="left" w:leader="none"/>
          <w:tab w:pos="2551" w:val="left" w:leader="none"/>
        </w:tabs>
        <w:spacing w:line="178" w:lineRule="exact"/>
        <w:ind w:right="7906"/>
        <w:jc w:val="right"/>
        <w:rPr>
          <w:rFonts w:ascii="Times New Roman" w:eastAsia="Times New Roman"/>
        </w:rPr>
      </w:pPr>
      <w:r>
        <w:rPr/>
        <w:pict>
          <v:line style="position:absolute;mso-position-horizontal-relative:page;mso-position-vertical-relative:paragraph;z-index:-335787008" from="73.823997pt,5.084163pt" to="179.063997pt,5.084163pt" stroked="true" strokeweight=".71997pt" strokecolor="#000000">
            <v:stroke dashstyle="solid"/>
            <w10:wrap type="none"/>
          </v:line>
        </w:pict>
      </w:r>
      <w:r>
        <w:rPr>
          <w:rFonts w:ascii="Cambria Math" w:eastAsia="Cambria Math"/>
        </w:rPr>
        <w:t>𝑟</w:t>
      </w:r>
      <w:r>
        <w:rPr>
          <w:rFonts w:ascii="Cambria Math" w:eastAsia="Cambria Math"/>
          <w:spacing w:val="16"/>
        </w:rPr>
        <w:t> </w:t>
      </w:r>
      <w:r>
        <w:rPr>
          <w:rFonts w:ascii="Cambria Math" w:eastAsia="Cambria Math"/>
        </w:rPr>
        <w:t>=</w:t>
        <w:tab/>
      </w:r>
      <w:r>
        <w:rPr>
          <w:rFonts w:ascii="Times New Roman" w:eastAsia="Times New Roman"/>
          <w:w w:val="100"/>
          <w:u w:val="single"/>
        </w:rPr>
        <w:t> </w:t>
      </w:r>
      <w:r>
        <w:rPr>
          <w:rFonts w:ascii="Times New Roman" w:eastAsia="Times New Roman"/>
          <w:u w:val="single"/>
        </w:rPr>
        <w:tab/>
      </w:r>
    </w:p>
    <w:p>
      <w:pPr>
        <w:pStyle w:val="BodyText"/>
        <w:spacing w:line="236" w:lineRule="exact"/>
        <w:ind w:right="7964"/>
        <w:jc w:val="right"/>
        <w:rPr>
          <w:rFonts w:ascii="Cambria Math" w:hAnsi="Cambria Math" w:eastAsia="Cambria Math"/>
          <w:sz w:val="16"/>
        </w:rPr>
      </w:pPr>
      <w:r>
        <w:rPr>
          <w:rFonts w:ascii="Cambria Math" w:hAnsi="Cambria Math" w:eastAsia="Cambria Math"/>
          <w:spacing w:val="-1"/>
          <w:w w:val="113"/>
        </w:rPr>
        <w:t>√</w:t>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r>
        <w:rPr>
          <w:rFonts w:ascii="Cambria Math" w:hAnsi="Cambria Math" w:eastAsia="Cambria Math"/>
          <w:spacing w:val="8"/>
          <w:position w:val="7"/>
          <w:sz w:val="16"/>
        </w:rPr>
        <w:t> </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p>
    <w:p>
      <w:pPr>
        <w:spacing w:after="0" w:line="236" w:lineRule="exact"/>
        <w:jc w:val="right"/>
        <w:rPr>
          <w:rFonts w:ascii="Cambria Math" w:hAnsi="Cambria Math" w:eastAsia="Cambria Math"/>
          <w:sz w:val="16"/>
        </w:rPr>
        <w:sectPr>
          <w:pgSz w:w="12240" w:h="15840"/>
          <w:pgMar w:header="763" w:footer="746" w:top="1340" w:bottom="940" w:left="860" w:right="700"/>
        </w:sectPr>
      </w:pPr>
    </w:p>
    <w:p>
      <w:pPr>
        <w:pStyle w:val="BodyText"/>
        <w:spacing w:before="93"/>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known-xs</w:t>
      </w:r>
      <w:r>
        <w:rPr>
          <w:rFonts w:ascii="Consolas" w:hAnsi="Consolas"/>
          <w:sz w:val="22"/>
        </w:rPr>
        <w:t>)</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rFonts w:ascii="Times New Roman" w:hAnsi="Times New Roman"/>
          <w:i/>
          <w:sz w:val="22"/>
        </w:rPr>
        <w:t>y </w:t>
      </w:r>
      <w:r>
        <w:rPr>
          <w:sz w:val="22"/>
        </w:rPr>
        <w:t>= a sample</w:t>
      </w:r>
      <w:r>
        <w:rPr>
          <w:spacing w:val="-2"/>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known-ys</w:t>
      </w:r>
      <w:r>
        <w:rPr>
          <w:rFonts w:ascii="Consolas" w:hAnsi="Consolas"/>
          <w:sz w:val="22"/>
        </w:rPr>
        <w:t>)</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7" w:hRule="atLeast"/>
        </w:trPr>
        <w:tc>
          <w:tcPr>
            <w:tcW w:w="1466" w:type="dxa"/>
            <w:tcBorders>
              <w:bottom w:val="nil"/>
            </w:tcBorders>
          </w:tcPr>
          <w:p>
            <w:pPr>
              <w:pStyle w:val="TableParagraph"/>
              <w:spacing w:before="37"/>
              <w:rPr>
                <w:rFonts w:ascii="Times New Roman"/>
                <w:i/>
                <w:sz w:val="22"/>
              </w:rPr>
            </w:pPr>
            <w:r>
              <w:rPr>
                <w:rFonts w:ascii="Times New Roman"/>
                <w:i/>
                <w:sz w:val="22"/>
              </w:rPr>
              <w:t>known-xs</w:t>
            </w:r>
          </w:p>
        </w:tc>
        <w:tc>
          <w:tcPr>
            <w:tcW w:w="1800" w:type="dxa"/>
            <w:tcBorders>
              <w:bottom w:val="nil"/>
            </w:tcBorders>
          </w:tcPr>
          <w:p>
            <w:pPr>
              <w:pStyle w:val="TableParagraph"/>
              <w:spacing w:line="267" w:lineRule="exact"/>
              <w:ind w:left="112"/>
              <w:rPr>
                <w:sz w:val="22"/>
              </w:rPr>
            </w:pPr>
            <w:r>
              <w:rPr>
                <w:sz w:val="22"/>
              </w:rPr>
              <w:t>number, name,</w:t>
            </w:r>
          </w:p>
        </w:tc>
        <w:tc>
          <w:tcPr>
            <w:tcW w:w="5400" w:type="dxa"/>
            <w:tcBorders>
              <w:bottom w:val="nil"/>
            </w:tcBorders>
          </w:tcPr>
          <w:p>
            <w:pPr>
              <w:pStyle w:val="TableParagraph"/>
              <w:spacing w:line="267" w:lineRule="exact"/>
              <w:ind w:left="113"/>
              <w:rPr>
                <w:sz w:val="22"/>
              </w:rPr>
            </w:pPr>
            <w:r>
              <w:rPr>
                <w:sz w:val="22"/>
              </w:rPr>
              <w:t>Designate a set of numeric data points. Logical values and</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array, or</w:t>
            </w:r>
          </w:p>
        </w:tc>
        <w:tc>
          <w:tcPr>
            <w:tcW w:w="5400" w:type="dxa"/>
            <w:tcBorders>
              <w:top w:val="nil"/>
              <w:bottom w:val="nil"/>
            </w:tcBorders>
          </w:tcPr>
          <w:p>
            <w:pPr>
              <w:pStyle w:val="TableParagraph"/>
              <w:spacing w:line="247" w:lineRule="exact" w:before="0"/>
              <w:ind w:left="113"/>
              <w:rPr>
                <w:sz w:val="22"/>
              </w:rPr>
            </w:pPr>
            <w:r>
              <w:rPr>
                <w:sz w:val="22"/>
              </w:rPr>
              <w:t>text representations of numbers entered directly into the</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list of arguments are included. If an array or reference</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 text,</w:t>
            </w:r>
          </w:p>
        </w:tc>
        <w:tc>
          <w:tcPr>
            <w:tcW w:w="5400" w:type="dxa"/>
            <w:tcBorders>
              <w:top w:val="nil"/>
              <w:bottom w:val="nil"/>
            </w:tcBorders>
          </w:tcPr>
          <w:p>
            <w:pPr>
              <w:pStyle w:val="TableParagraph"/>
              <w:spacing w:line="249" w:lineRule="exact" w:before="0"/>
              <w:ind w:left="113"/>
              <w:rPr>
                <w:sz w:val="22"/>
              </w:rPr>
            </w:pPr>
            <w:r>
              <w:rPr>
                <w:sz w:val="22"/>
              </w:rPr>
              <w:t>argument contains text, logical values, or empty cells,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logical</w:t>
            </w:r>
          </w:p>
        </w:tc>
        <w:tc>
          <w:tcPr>
            <w:tcW w:w="5400" w:type="dxa"/>
            <w:tcBorders>
              <w:top w:val="nil"/>
              <w:bottom w:val="nil"/>
            </w:tcBorders>
          </w:tcPr>
          <w:p>
            <w:pPr>
              <w:pStyle w:val="TableParagraph"/>
              <w:spacing w:line="249" w:lineRule="exact" w:before="0"/>
              <w:ind w:left="113"/>
              <w:rPr>
                <w:sz w:val="22"/>
              </w:rPr>
            </w:pPr>
            <w:r>
              <w:rPr>
                <w:sz w:val="22"/>
              </w:rPr>
              <w:t>those values are ignored; however, cells with the value 0</w:t>
            </w: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9" w:lineRule="exact" w:before="0"/>
              <w:ind w:left="113"/>
              <w:rPr>
                <w:sz w:val="22"/>
              </w:rPr>
            </w:pPr>
            <w:r>
              <w:rPr>
                <w:sz w:val="22"/>
              </w:rPr>
              <w:t>are included.</w:t>
            </w:r>
          </w:p>
        </w:tc>
      </w:tr>
      <w:tr>
        <w:trPr>
          <w:trHeight w:val="328" w:hRule="atLeast"/>
        </w:trPr>
        <w:tc>
          <w:tcPr>
            <w:tcW w:w="1466" w:type="dxa"/>
            <w:tcBorders>
              <w:bottom w:val="nil"/>
            </w:tcBorders>
          </w:tcPr>
          <w:p>
            <w:pPr>
              <w:pStyle w:val="TableParagraph"/>
              <w:spacing w:before="37"/>
              <w:rPr>
                <w:rFonts w:ascii="Times New Roman"/>
                <w:i/>
                <w:sz w:val="22"/>
              </w:rPr>
            </w:pPr>
            <w:r>
              <w:rPr>
                <w:rFonts w:ascii="Times New Roman"/>
                <w:i/>
                <w:sz w:val="22"/>
              </w:rPr>
              <w:t>known-ys</w:t>
            </w:r>
          </w:p>
        </w:tc>
        <w:tc>
          <w:tcPr>
            <w:tcW w:w="1800" w:type="dxa"/>
            <w:tcBorders>
              <w:bottom w:val="nil"/>
            </w:tcBorders>
          </w:tcPr>
          <w:p>
            <w:pPr>
              <w:pStyle w:val="TableParagraph"/>
              <w:ind w:left="112"/>
              <w:rPr>
                <w:sz w:val="22"/>
              </w:rPr>
            </w:pPr>
            <w:r>
              <w:rPr>
                <w:sz w:val="22"/>
              </w:rPr>
              <w:t>number, name,</w:t>
            </w:r>
          </w:p>
        </w:tc>
        <w:tc>
          <w:tcPr>
            <w:tcW w:w="5400" w:type="dxa"/>
            <w:tcBorders>
              <w:bottom w:val="nil"/>
            </w:tcBorders>
          </w:tcPr>
          <w:p>
            <w:pPr>
              <w:pStyle w:val="TableParagraph"/>
              <w:ind w:left="113"/>
              <w:rPr>
                <w:sz w:val="22"/>
              </w:rPr>
            </w:pPr>
            <w:r>
              <w:rPr>
                <w:sz w:val="22"/>
              </w:rPr>
              <w:t>Designate a set of numeric data points. Logical values and</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or</w:t>
            </w:r>
          </w:p>
        </w:tc>
        <w:tc>
          <w:tcPr>
            <w:tcW w:w="5400" w:type="dxa"/>
            <w:tcBorders>
              <w:top w:val="nil"/>
              <w:bottom w:val="nil"/>
            </w:tcBorders>
          </w:tcPr>
          <w:p>
            <w:pPr>
              <w:pStyle w:val="TableParagraph"/>
              <w:spacing w:line="249" w:lineRule="exact" w:before="0"/>
              <w:ind w:left="113"/>
              <w:rPr>
                <w:sz w:val="22"/>
              </w:rPr>
            </w:pPr>
            <w:r>
              <w:rPr>
                <w:sz w:val="22"/>
              </w:rPr>
              <w:t>text representations of numbers entered directly into the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list of arguments are included. If an array or reference</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 text,</w:t>
            </w:r>
          </w:p>
        </w:tc>
        <w:tc>
          <w:tcPr>
            <w:tcW w:w="5400" w:type="dxa"/>
            <w:tcBorders>
              <w:top w:val="nil"/>
              <w:bottom w:val="nil"/>
            </w:tcBorders>
          </w:tcPr>
          <w:p>
            <w:pPr>
              <w:pStyle w:val="TableParagraph"/>
              <w:spacing w:line="249" w:lineRule="exact" w:before="0"/>
              <w:ind w:left="113"/>
              <w:rPr>
                <w:sz w:val="22"/>
              </w:rPr>
            </w:pPr>
            <w:r>
              <w:rPr>
                <w:sz w:val="22"/>
              </w:rPr>
              <w:t>argument contains text, logical values, or empty cells,</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logical</w:t>
            </w:r>
          </w:p>
        </w:tc>
        <w:tc>
          <w:tcPr>
            <w:tcW w:w="5400" w:type="dxa"/>
            <w:tcBorders>
              <w:top w:val="nil"/>
              <w:bottom w:val="nil"/>
            </w:tcBorders>
          </w:tcPr>
          <w:p>
            <w:pPr>
              <w:pStyle w:val="TableParagraph"/>
              <w:spacing w:line="248" w:lineRule="exact" w:before="0"/>
              <w:ind w:left="113"/>
              <w:rPr>
                <w:sz w:val="22"/>
              </w:rPr>
            </w:pPr>
            <w:r>
              <w:rPr>
                <w:sz w:val="22"/>
              </w:rPr>
              <w:t>those values are ignored; however, cells with the value 0</w:t>
            </w:r>
          </w:p>
        </w:tc>
      </w:tr>
      <w:tr>
        <w:trPr>
          <w:trHeight w:val="293"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7" w:lineRule="exact" w:before="0"/>
              <w:ind w:left="113"/>
              <w:rPr>
                <w:sz w:val="22"/>
              </w:rPr>
            </w:pPr>
            <w:r>
              <w:rPr>
                <w:sz w:val="22"/>
              </w:rPr>
              <w:t>are included.</w:t>
            </w:r>
          </w:p>
        </w:tc>
      </w:tr>
    </w:tbl>
    <w:p>
      <w:pPr>
        <w:pStyle w:val="BodyText"/>
        <w:rPr>
          <w:b/>
        </w:rPr>
      </w:pPr>
    </w:p>
    <w:p>
      <w:pPr>
        <w:pStyle w:val="BodyText"/>
        <w:spacing w:before="7"/>
        <w:rPr>
          <w:b/>
          <w:sz w:val="19"/>
        </w:rPr>
      </w:pPr>
    </w:p>
    <w:p>
      <w:pPr>
        <w:spacing w:line="456" w:lineRule="auto" w:before="0"/>
        <w:ind w:left="220" w:right="1328" w:firstLine="0"/>
        <w:jc w:val="left"/>
        <w:rPr>
          <w:sz w:val="22"/>
        </w:rPr>
      </w:pPr>
      <w:r>
        <w:rPr>
          <w:b/>
          <w:sz w:val="22"/>
        </w:rPr>
        <w:t>Return Type and Value: </w:t>
      </w:r>
      <w:r>
        <w:rPr>
          <w:sz w:val="22"/>
        </w:rPr>
        <w:t>number – The square of the Pearson product moment correlation coefficient. However, if</w:t>
      </w:r>
    </w:p>
    <w:p>
      <w:pPr>
        <w:pStyle w:val="ListParagraph"/>
        <w:numPr>
          <w:ilvl w:val="4"/>
          <w:numId w:val="66"/>
        </w:numPr>
        <w:tabs>
          <w:tab w:pos="940" w:val="left" w:leader="none"/>
          <w:tab w:pos="941" w:val="left" w:leader="none"/>
        </w:tabs>
        <w:spacing w:line="276" w:lineRule="auto" w:before="0" w:after="0"/>
        <w:ind w:left="940" w:right="1173" w:hanging="360"/>
        <w:jc w:val="left"/>
        <w:rPr>
          <w:sz w:val="22"/>
        </w:rPr>
      </w:pPr>
      <w:r>
        <w:rPr>
          <w:rFonts w:ascii="Times New Roman" w:hAnsi="Times New Roman"/>
          <w:i/>
          <w:sz w:val="22"/>
        </w:rPr>
        <w:t>known-ys </w:t>
      </w:r>
      <w:r>
        <w:rPr>
          <w:sz w:val="22"/>
        </w:rPr>
        <w:t>and </w:t>
      </w:r>
      <w:r>
        <w:rPr>
          <w:rFonts w:ascii="Times New Roman" w:hAnsi="Times New Roman"/>
          <w:i/>
          <w:sz w:val="22"/>
        </w:rPr>
        <w:t>known-xs</w:t>
      </w:r>
      <w:r>
        <w:rPr>
          <w:rFonts w:ascii="Times New Roman" w:hAnsi="Times New Roman"/>
          <w:i/>
          <w:spacing w:val="-38"/>
          <w:sz w:val="22"/>
        </w:rPr>
        <w:t> </w:t>
      </w:r>
      <w:r>
        <w:rPr>
          <w:sz w:val="22"/>
        </w:rPr>
        <w:t>are empty or have a different number of data points, the return value is unspecified.</w:t>
      </w:r>
    </w:p>
    <w:p>
      <w:pPr>
        <w:pStyle w:val="ListParagraph"/>
        <w:numPr>
          <w:ilvl w:val="4"/>
          <w:numId w:val="66"/>
        </w:numPr>
        <w:tabs>
          <w:tab w:pos="940" w:val="left" w:leader="none"/>
          <w:tab w:pos="941" w:val="left" w:leader="none"/>
        </w:tabs>
        <w:spacing w:line="446" w:lineRule="auto" w:before="0" w:after="0"/>
        <w:ind w:left="220" w:right="2255" w:firstLine="360"/>
        <w:jc w:val="left"/>
        <w:rPr>
          <w:sz w:val="22"/>
        </w:rPr>
      </w:pPr>
      <w:r>
        <w:rPr>
          <w:rFonts w:ascii="Times New Roman" w:hAnsi="Times New Roman"/>
          <w:i/>
          <w:sz w:val="22"/>
        </w:rPr>
        <w:t>known-ys </w:t>
      </w:r>
      <w:r>
        <w:rPr>
          <w:sz w:val="22"/>
        </w:rPr>
        <w:t>and </w:t>
      </w:r>
      <w:r>
        <w:rPr>
          <w:rFonts w:ascii="Times New Roman" w:hAnsi="Times New Roman"/>
          <w:i/>
          <w:sz w:val="22"/>
        </w:rPr>
        <w:t>known-xs </w:t>
      </w:r>
      <w:r>
        <w:rPr>
          <w:sz w:val="22"/>
        </w:rPr>
        <w:t>contain only one data point, the return value is</w:t>
      </w:r>
      <w:r>
        <w:rPr>
          <w:spacing w:val="-35"/>
          <w:sz w:val="22"/>
        </w:rPr>
        <w:t> </w:t>
      </w:r>
      <w:r>
        <w:rPr>
          <w:sz w:val="22"/>
        </w:rPr>
        <w:t>unspecified. [</w:t>
      </w:r>
      <w:r>
        <w:rPr>
          <w:i/>
          <w:sz w:val="22"/>
        </w:rPr>
        <w:t>Example</w:t>
      </w:r>
      <w:r>
        <w:rPr>
          <w:sz w:val="22"/>
        </w:rPr>
        <w:t>:</w:t>
      </w:r>
    </w:p>
    <w:p>
      <w:pPr>
        <w:pStyle w:val="BodyText"/>
        <w:spacing w:before="123"/>
        <w:ind w:left="220"/>
        <w:rPr>
          <w:rFonts w:ascii="Consolas"/>
        </w:rPr>
      </w:pPr>
      <w:r>
        <w:rPr>
          <w:rFonts w:ascii="Consolas"/>
        </w:rPr>
        <w:t>RSQ({2,3,9,1,8,7,5},{6,5,11,7,5,4,4})</w:t>
      </w:r>
      <w:r>
        <w:rPr>
          <w:rFonts w:ascii="Consolas"/>
          <w:spacing w:val="-65"/>
        </w:rPr>
        <w:t> </w:t>
      </w:r>
      <w:r>
        <w:rPr/>
        <w:t>results in </w:t>
      </w:r>
      <w:r>
        <w:rPr>
          <w:rFonts w:ascii="Consolas"/>
        </w:rPr>
        <w:t>0.057950192</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4 RTD" w:id="2244"/>
      <w:bookmarkEnd w:id="2244"/>
      <w:r>
        <w:rPr/>
      </w:r>
      <w:bookmarkStart w:name="_bookmark747" w:id="2245"/>
      <w:bookmarkEnd w:id="2245"/>
      <w:r>
        <w:rPr/>
      </w:r>
      <w:bookmarkStart w:name="_bookmark747" w:id="2246"/>
      <w:bookmarkEnd w:id="2246"/>
      <w:r>
        <w:rPr>
          <w:color w:val="4F81BC"/>
        </w:rPr>
        <w:t>RT</w:t>
      </w:r>
      <w:r>
        <w:rPr>
          <w:color w:val="4F81BC"/>
        </w:rPr>
        <w:t>D</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RTD ( </w:t>
      </w:r>
      <w:r>
        <w:rPr>
          <w:i/>
          <w:sz w:val="22"/>
        </w:rPr>
        <w:t>progID </w:t>
      </w:r>
      <w:r>
        <w:rPr>
          <w:rFonts w:ascii="Lucida Console"/>
          <w:sz w:val="20"/>
        </w:rPr>
        <w:t>, </w:t>
      </w:r>
      <w:r>
        <w:rPr>
          <w:sz w:val="22"/>
        </w:rPr>
        <w:t>[ </w:t>
      </w:r>
      <w:r>
        <w:rPr>
          <w:i/>
          <w:sz w:val="22"/>
        </w:rPr>
        <w:t>rtd-server </w:t>
      </w:r>
      <w:r>
        <w:rPr>
          <w:sz w:val="22"/>
        </w:rPr>
        <w:t>] </w:t>
      </w:r>
      <w:r>
        <w:rPr>
          <w:rFonts w:ascii="Lucida Console"/>
          <w:sz w:val="20"/>
        </w:rPr>
        <w:t>,</w:t>
      </w:r>
      <w:r>
        <w:rPr>
          <w:rFonts w:ascii="Lucida Console"/>
          <w:spacing w:val="-84"/>
          <w:sz w:val="20"/>
        </w:rPr>
        <w:t> </w:t>
      </w:r>
      <w:r>
        <w:rPr>
          <w:i/>
          <w:sz w:val="22"/>
        </w:rPr>
        <w:t>argument-list </w:t>
      </w:r>
      <w:r>
        <w:rPr>
          <w:rFonts w:ascii="Lucida Console"/>
          <w:sz w:val="20"/>
        </w:rPr>
        <w:t>)</w:t>
      </w:r>
    </w:p>
    <w:p>
      <w:pPr>
        <w:pStyle w:val="BodyText"/>
        <w:spacing w:line="276" w:lineRule="auto" w:before="106"/>
        <w:ind w:left="220" w:right="953"/>
      </w:pPr>
      <w:r>
        <w:rPr>
          <w:b/>
        </w:rPr>
        <w:t>Description: </w:t>
      </w:r>
      <w:r>
        <w:rPr/>
        <w:t>Retrieves data from a program in real-time. Periodically, this function returns new values and causes recalculation of the expression containing the call to it.</w:t>
      </w:r>
    </w:p>
    <w:p>
      <w:pPr>
        <w:spacing w:after="0" w:line="276" w:lineRule="auto"/>
        <w:sectPr>
          <w:pgSz w:w="12240" w:h="15840"/>
          <w:pgMar w:header="761" w:footer="746" w:top="1340" w:bottom="940" w:left="860" w:right="700"/>
        </w:sectPr>
      </w:pPr>
    </w:p>
    <w:p>
      <w:pPr>
        <w:pStyle w:val="Heading4"/>
        <w:spacing w:before="150"/>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progID</w:t>
            </w:r>
          </w:p>
        </w:tc>
        <w:tc>
          <w:tcPr>
            <w:tcW w:w="1800" w:type="dxa"/>
          </w:tcPr>
          <w:p>
            <w:pPr>
              <w:pStyle w:val="TableParagraph"/>
              <w:ind w:left="112"/>
              <w:rPr>
                <w:sz w:val="22"/>
              </w:rPr>
            </w:pPr>
            <w:r>
              <w:rPr>
                <w:sz w:val="22"/>
              </w:rPr>
              <w:t>text</w:t>
            </w:r>
          </w:p>
        </w:tc>
        <w:tc>
          <w:tcPr>
            <w:tcW w:w="5400" w:type="dxa"/>
          </w:tcPr>
          <w:p>
            <w:pPr>
              <w:pStyle w:val="TableParagraph"/>
              <w:ind w:left="113" w:right="402"/>
              <w:rPr>
                <w:sz w:val="22"/>
              </w:rPr>
            </w:pPr>
            <w:r>
              <w:rPr>
                <w:sz w:val="22"/>
              </w:rPr>
              <w:t>The name of the program from which the data is to be retrieved.</w:t>
            </w:r>
          </w:p>
        </w:tc>
      </w:tr>
      <w:tr>
        <w:trPr>
          <w:trHeight w:val="621" w:hRule="atLeast"/>
        </w:trPr>
        <w:tc>
          <w:tcPr>
            <w:tcW w:w="1466" w:type="dxa"/>
          </w:tcPr>
          <w:p>
            <w:pPr>
              <w:pStyle w:val="TableParagraph"/>
              <w:spacing w:before="37"/>
              <w:rPr>
                <w:rFonts w:ascii="Times New Roman"/>
                <w:i/>
                <w:sz w:val="22"/>
              </w:rPr>
            </w:pPr>
            <w:r>
              <w:rPr>
                <w:rFonts w:ascii="Times New Roman"/>
                <w:i/>
                <w:sz w:val="22"/>
              </w:rPr>
              <w:t>rtd-server</w:t>
            </w:r>
          </w:p>
        </w:tc>
        <w:tc>
          <w:tcPr>
            <w:tcW w:w="1800" w:type="dxa"/>
          </w:tcPr>
          <w:p>
            <w:pPr>
              <w:pStyle w:val="TableParagraph"/>
              <w:ind w:left="112"/>
              <w:rPr>
                <w:sz w:val="22"/>
              </w:rPr>
            </w:pPr>
            <w:r>
              <w:rPr>
                <w:sz w:val="22"/>
              </w:rPr>
              <w:t>text</w:t>
            </w:r>
          </w:p>
        </w:tc>
        <w:tc>
          <w:tcPr>
            <w:tcW w:w="5400" w:type="dxa"/>
          </w:tcPr>
          <w:p>
            <w:pPr>
              <w:pStyle w:val="TableParagraph"/>
              <w:ind w:left="113" w:right="491"/>
              <w:rPr>
                <w:sz w:val="22"/>
              </w:rPr>
            </w:pPr>
            <w:r>
              <w:rPr>
                <w:sz w:val="22"/>
              </w:rPr>
              <w:t>An optional string that is specific to the program with which RTD is communicating.</w:t>
            </w:r>
          </w:p>
        </w:tc>
      </w:tr>
      <w:tr>
        <w:trPr>
          <w:trHeight w:val="892" w:hRule="atLeast"/>
        </w:trPr>
        <w:tc>
          <w:tcPr>
            <w:tcW w:w="1466" w:type="dxa"/>
          </w:tcPr>
          <w:p>
            <w:pPr>
              <w:pStyle w:val="TableParagraph"/>
              <w:spacing w:before="37"/>
              <w:rPr>
                <w:rFonts w:ascii="Times New Roman"/>
                <w:i/>
                <w:sz w:val="22"/>
              </w:rPr>
            </w:pPr>
            <w:r>
              <w:rPr>
                <w:rFonts w:ascii="Times New Roman"/>
                <w:i/>
                <w:sz w:val="22"/>
              </w:rPr>
              <w:t>argument list</w:t>
            </w:r>
          </w:p>
        </w:tc>
        <w:tc>
          <w:tcPr>
            <w:tcW w:w="1800" w:type="dxa"/>
          </w:tcPr>
          <w:p>
            <w:pPr>
              <w:pStyle w:val="TableParagraph"/>
              <w:ind w:left="112"/>
              <w:rPr>
                <w:sz w:val="22"/>
              </w:rPr>
            </w:pPr>
            <w:r>
              <w:rPr>
                <w:sz w:val="22"/>
              </w:rPr>
              <w:t>any</w:t>
            </w:r>
          </w:p>
        </w:tc>
        <w:tc>
          <w:tcPr>
            <w:tcW w:w="5400" w:type="dxa"/>
          </w:tcPr>
          <w:p>
            <w:pPr>
              <w:pStyle w:val="TableParagraph"/>
              <w:ind w:left="113"/>
              <w:rPr>
                <w:sz w:val="22"/>
              </w:rPr>
            </w:pPr>
            <w:r>
              <w:rPr>
                <w:sz w:val="22"/>
              </w:rPr>
              <w:t>The presence and meaning of each </w:t>
            </w:r>
            <w:r>
              <w:rPr>
                <w:rFonts w:ascii="Times New Roman"/>
                <w:i/>
                <w:sz w:val="22"/>
              </w:rPr>
              <w:t>argument </w:t>
            </w:r>
            <w:r>
              <w:rPr>
                <w:sz w:val="22"/>
              </w:rPr>
              <w:t>in</w:t>
            </w:r>
          </w:p>
          <w:p>
            <w:pPr>
              <w:pStyle w:val="TableParagraph"/>
              <w:spacing w:before="0"/>
              <w:ind w:left="113" w:right="131"/>
              <w:rPr>
                <w:sz w:val="22"/>
              </w:rPr>
            </w:pPr>
            <w:r>
              <w:rPr>
                <w:rFonts w:ascii="Times New Roman"/>
                <w:i/>
                <w:sz w:val="22"/>
              </w:rPr>
              <w:t>argument-list </w:t>
            </w:r>
            <w:r>
              <w:rPr>
                <w:sz w:val="22"/>
              </w:rPr>
              <w:t>is specific to the program with which RTD is communicating.</w:t>
            </w:r>
          </w:p>
        </w:tc>
      </w:tr>
    </w:tbl>
    <w:p>
      <w:pPr>
        <w:pStyle w:val="BodyText"/>
        <w:rPr>
          <w:b/>
        </w:rPr>
      </w:pPr>
    </w:p>
    <w:p>
      <w:pPr>
        <w:pStyle w:val="BodyText"/>
        <w:spacing w:before="8"/>
        <w:rPr>
          <w:b/>
          <w:sz w:val="19"/>
        </w:rPr>
      </w:pPr>
    </w:p>
    <w:p>
      <w:pPr>
        <w:pStyle w:val="BodyText"/>
        <w:spacing w:line="453" w:lineRule="auto"/>
        <w:ind w:left="220" w:right="683"/>
      </w:pPr>
      <w:r>
        <w:rPr>
          <w:b/>
        </w:rPr>
        <w:t>Return Type and Value: </w:t>
      </w:r>
      <w:r>
        <w:rPr/>
        <w:t>array – The set of values returned by the program with which RTD is communicating. [</w:t>
      </w:r>
      <w:r>
        <w:rPr>
          <w:i/>
        </w:rPr>
        <w:t>Example</w:t>
      </w:r>
      <w:r>
        <w:rPr/>
        <w:t>: Consider a stockprice program that is called as follows:</w:t>
      </w:r>
    </w:p>
    <w:p>
      <w:pPr>
        <w:pStyle w:val="BodyText"/>
        <w:spacing w:before="113"/>
        <w:ind w:left="220"/>
        <w:rPr>
          <w:rFonts w:ascii="Consolas"/>
        </w:rPr>
      </w:pPr>
      <w:r>
        <w:rPr>
          <w:rFonts w:ascii="Consolas"/>
        </w:rPr>
        <w:t>RTD("stockprice.rtd","NASD","MSFT")</w:t>
      </w:r>
    </w:p>
    <w:p>
      <w:pPr>
        <w:pStyle w:val="BodyText"/>
        <w:rPr>
          <w:rFonts w:ascii="Consolas"/>
          <w:sz w:val="20"/>
        </w:rPr>
      </w:pPr>
    </w:p>
    <w:p>
      <w:pPr>
        <w:pStyle w:val="BodyText"/>
        <w:spacing w:line="278" w:lineRule="auto"/>
        <w:ind w:left="220" w:right="961"/>
      </w:pPr>
      <w:r>
        <w:rPr/>
        <w:t>The result it returns—the price of the stock MSFT according to NASD—changes over time, often every few seconds.</w:t>
      </w:r>
    </w:p>
    <w:p>
      <w:pPr>
        <w:pStyle w:val="BodyText"/>
        <w:spacing w:before="195"/>
        <w:ind w:left="220"/>
      </w:pPr>
      <w:r>
        <w:rPr/>
        <w:t>The </w:t>
      </w:r>
      <w:r>
        <w:rPr>
          <w:rFonts w:ascii="Times New Roman"/>
          <w:i/>
        </w:rPr>
        <w:t>rtd-server </w:t>
      </w:r>
      <w:r>
        <w:rPr/>
        <w:t>program could also be written to accept multiple arguments, allowing calls like the following::</w:t>
      </w:r>
    </w:p>
    <w:p>
      <w:pPr>
        <w:pStyle w:val="BodyText"/>
        <w:spacing w:before="9"/>
        <w:rPr>
          <w:sz w:val="28"/>
        </w:rPr>
      </w:pPr>
    </w:p>
    <w:p>
      <w:pPr>
        <w:pStyle w:val="BodyText"/>
        <w:ind w:left="220"/>
        <w:rPr>
          <w:rFonts w:ascii="Consolas"/>
        </w:rPr>
      </w:pPr>
      <w:r>
        <w:rPr>
          <w:rFonts w:ascii="Consolas"/>
        </w:rPr>
        <w:t>RTD("stockprice.rtd","NASD","MSFT","GOOG","AMZN")</w:t>
      </w:r>
    </w:p>
    <w:p>
      <w:pPr>
        <w:pStyle w:val="BodyText"/>
        <w:spacing w:before="3"/>
        <w:rPr>
          <w:rFonts w:ascii="Consolas"/>
          <w:sz w:val="20"/>
        </w:rPr>
      </w:pPr>
    </w:p>
    <w:p>
      <w:pPr>
        <w:pStyle w:val="BodyText"/>
        <w:ind w:left="220"/>
      </w:pPr>
      <w:r>
        <w:rPr/>
        <w:t>where three stock values are requested.</w:t>
      </w:r>
    </w:p>
    <w:p>
      <w:pPr>
        <w:pStyle w:val="BodyText"/>
        <w:spacing w:before="11"/>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5 SEARCH" w:id="2247"/>
      <w:bookmarkEnd w:id="2247"/>
      <w:r>
        <w:rPr/>
      </w:r>
      <w:bookmarkStart w:name="_bookmark748" w:id="2248"/>
      <w:bookmarkEnd w:id="2248"/>
      <w:r>
        <w:rPr/>
      </w:r>
      <w:bookmarkStart w:name="_bookmark748" w:id="2249"/>
      <w:bookmarkEnd w:id="2249"/>
      <w:r>
        <w:rPr>
          <w:color w:val="4F81BC"/>
        </w:rPr>
        <w:t>SE</w:t>
      </w:r>
      <w:r>
        <w:rPr>
          <w:color w:val="4F81BC"/>
        </w:rPr>
        <w:t>ARCH</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SEARCH ( </w:t>
      </w:r>
      <w:r>
        <w:rPr>
          <w:i/>
          <w:sz w:val="22"/>
        </w:rPr>
        <w:t>string-1 </w:t>
      </w:r>
      <w:r>
        <w:rPr>
          <w:rFonts w:ascii="Lucida Console"/>
          <w:sz w:val="20"/>
        </w:rPr>
        <w:t>, </w:t>
      </w:r>
      <w:r>
        <w:rPr>
          <w:i/>
          <w:sz w:val="22"/>
        </w:rPr>
        <w:t>string-2 </w:t>
      </w:r>
      <w:r>
        <w:rPr>
          <w:sz w:val="22"/>
        </w:rPr>
        <w:t>[ </w:t>
      </w:r>
      <w:r>
        <w:rPr>
          <w:rFonts w:ascii="Lucida Console"/>
          <w:sz w:val="20"/>
        </w:rPr>
        <w:t>,</w:t>
      </w:r>
      <w:r>
        <w:rPr>
          <w:rFonts w:ascii="Lucida Console"/>
          <w:spacing w:val="-88"/>
          <w:sz w:val="20"/>
        </w:rPr>
        <w:t> </w:t>
      </w:r>
      <w:r>
        <w:rPr>
          <w:i/>
          <w:sz w:val="22"/>
        </w:rPr>
        <w:t>start-pos </w:t>
      </w:r>
      <w:r>
        <w:rPr>
          <w:sz w:val="22"/>
        </w:rPr>
        <w:t>] </w:t>
      </w:r>
      <w:r>
        <w:rPr>
          <w:rFonts w:ascii="Lucida Console"/>
          <w:sz w:val="20"/>
        </w:rPr>
        <w:t>)</w:t>
      </w:r>
    </w:p>
    <w:p>
      <w:pPr>
        <w:pStyle w:val="BodyText"/>
        <w:spacing w:line="276" w:lineRule="auto" w:before="106"/>
        <w:ind w:left="220" w:right="429"/>
      </w:pPr>
      <w:r>
        <w:rPr>
          <w:b/>
        </w:rPr>
        <w:t>Description: </w:t>
      </w:r>
      <w:r>
        <w:rPr/>
        <w:t>Performs a case-insensitive search, using a lexical comparison, for the first occurrence of </w:t>
      </w:r>
      <w:r>
        <w:rPr>
          <w:rFonts w:ascii="Times New Roman" w:hAnsi="Times New Roman"/>
          <w:i/>
        </w:rPr>
        <w:t>string-1 </w:t>
      </w:r>
      <w:r>
        <w:rPr/>
        <w:t>in </w:t>
      </w:r>
      <w:r>
        <w:rPr>
          <w:rFonts w:ascii="Times New Roman" w:hAnsi="Times New Roman"/>
          <w:i/>
        </w:rPr>
        <w:t>string-2</w:t>
      </w:r>
      <w:r>
        <w:rPr/>
        <w:t>, starting at character position </w:t>
      </w:r>
      <w:r>
        <w:rPr>
          <w:rFonts w:ascii="Times New Roman" w:hAnsi="Times New Roman"/>
          <w:i/>
        </w:rPr>
        <w:t>start-pos </w:t>
      </w:r>
      <w:r>
        <w:rPr/>
        <w:t>within </w:t>
      </w:r>
      <w:r>
        <w:rPr>
          <w:rFonts w:ascii="Times New Roman" w:hAnsi="Times New Roman"/>
          <w:i/>
        </w:rPr>
        <w:t>string-2</w:t>
      </w:r>
      <w:r>
        <w:rPr/>
        <w:t>. (</w:t>
      </w:r>
      <w:r>
        <w:rPr>
          <w:rFonts w:ascii="Consolas" w:hAnsi="Consolas"/>
        </w:rPr>
        <w:t>SEARCH</w:t>
      </w:r>
      <w:r>
        <w:rPr>
          <w:rFonts w:ascii="Consolas" w:hAnsi="Consolas"/>
          <w:spacing w:val="-97"/>
        </w:rPr>
        <w:t> </w:t>
      </w:r>
      <w:r>
        <w:rPr/>
        <w:t>is intended for use with languages that use the single-byte character set (SBCS), whereas </w:t>
      </w:r>
      <w:r>
        <w:rPr>
          <w:rFonts w:ascii="Consolas" w:hAnsi="Consolas"/>
        </w:rPr>
        <w:t>SEARCHB </w:t>
      </w:r>
      <w:r>
        <w:rPr/>
        <w:t>(§</w:t>
      </w:r>
      <w:hyperlink w:history="true" w:anchor="_bookmark749">
        <w:r>
          <w:rPr/>
          <w:t>18.17.7.286</w:t>
        </w:r>
      </w:hyperlink>
      <w:r>
        <w:rPr/>
        <w:t>) is intended for use with languages that use the double-byte character set (DBCS).)</w:t>
      </w:r>
    </w:p>
    <w:p>
      <w:pPr>
        <w:pStyle w:val="BodyText"/>
        <w:spacing w:before="7"/>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string-1</w:t>
            </w:r>
          </w:p>
        </w:tc>
        <w:tc>
          <w:tcPr>
            <w:tcW w:w="1800" w:type="dxa"/>
          </w:tcPr>
          <w:p>
            <w:pPr>
              <w:pStyle w:val="TableParagraph"/>
              <w:ind w:left="112"/>
              <w:rPr>
                <w:sz w:val="22"/>
              </w:rPr>
            </w:pPr>
            <w:r>
              <w:rPr>
                <w:sz w:val="22"/>
              </w:rPr>
              <w:t>text</w:t>
            </w:r>
          </w:p>
        </w:tc>
        <w:tc>
          <w:tcPr>
            <w:tcW w:w="5400" w:type="dxa"/>
            <w:vMerge w:val="restart"/>
          </w:tcPr>
          <w:p>
            <w:pPr>
              <w:pStyle w:val="TableParagraph"/>
              <w:ind w:left="113" w:right="144"/>
              <w:rPr>
                <w:sz w:val="22"/>
              </w:rPr>
            </w:pPr>
            <w:r>
              <w:rPr>
                <w:sz w:val="22"/>
              </w:rPr>
              <w:t>Designate the string to be searched for within the string designated by </w:t>
            </w:r>
            <w:r>
              <w:rPr>
                <w:rFonts w:ascii="Times New Roman"/>
                <w:i/>
                <w:sz w:val="22"/>
              </w:rPr>
              <w:t>string-2</w:t>
            </w:r>
            <w:r>
              <w:rPr>
                <w:sz w:val="22"/>
              </w:rPr>
              <w:t>. </w:t>
            </w:r>
            <w:r>
              <w:rPr>
                <w:rFonts w:ascii="Times New Roman"/>
                <w:i/>
                <w:sz w:val="22"/>
              </w:rPr>
              <w:t>string-1 </w:t>
            </w:r>
            <w:r>
              <w:rPr>
                <w:sz w:val="22"/>
              </w:rPr>
              <w:t>can contain the following wildcard characters: question mark (</w:t>
            </w:r>
            <w:r>
              <w:rPr>
                <w:rFonts w:ascii="Consolas"/>
                <w:sz w:val="22"/>
              </w:rPr>
              <w:t>?</w:t>
            </w:r>
            <w:r>
              <w:rPr>
                <w:sz w:val="22"/>
              </w:rPr>
              <w:t>) and asterisk (</w:t>
            </w:r>
            <w:r>
              <w:rPr>
                <w:rFonts w:ascii="Consolas"/>
                <w:sz w:val="22"/>
              </w:rPr>
              <w:t>*</w:t>
            </w:r>
            <w:r>
              <w:rPr>
                <w:sz w:val="22"/>
              </w:rPr>
              <w:t>). A</w:t>
            </w:r>
          </w:p>
        </w:tc>
      </w:tr>
      <w:tr>
        <w:trPr>
          <w:trHeight w:val="527" w:hRule="atLeast"/>
        </w:trPr>
        <w:tc>
          <w:tcPr>
            <w:tcW w:w="1466" w:type="dxa"/>
          </w:tcPr>
          <w:p>
            <w:pPr>
              <w:pStyle w:val="TableParagraph"/>
              <w:spacing w:before="36"/>
              <w:rPr>
                <w:rFonts w:ascii="Times New Roman"/>
                <w:i/>
                <w:sz w:val="22"/>
              </w:rPr>
            </w:pPr>
            <w:r>
              <w:rPr>
                <w:rFonts w:ascii="Times New Roman"/>
                <w:i/>
                <w:sz w:val="22"/>
              </w:rPr>
              <w:t>string-2</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58"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256"/>
              <w:rPr>
                <w:sz w:val="22"/>
              </w:rPr>
            </w:pPr>
            <w:r>
              <w:rPr>
                <w:sz w:val="22"/>
              </w:rPr>
              <w:t>question mark matches any single character; an asterisk matches any sequence of characters. To search for an actual question mark or asterisk, that character shall be preceded by a tilde (</w:t>
            </w:r>
            <w:r>
              <w:rPr>
                <w:rFonts w:ascii="Consolas"/>
                <w:sz w:val="22"/>
              </w:rPr>
              <w:t>~</w:t>
            </w:r>
            <w:r>
              <w:rPr>
                <w:sz w:val="22"/>
              </w:rPr>
              <w:t>).</w:t>
            </w:r>
          </w:p>
        </w:tc>
      </w:tr>
      <w:tr>
        <w:trPr>
          <w:trHeight w:val="1161" w:hRule="atLeast"/>
        </w:trPr>
        <w:tc>
          <w:tcPr>
            <w:tcW w:w="1466" w:type="dxa"/>
          </w:tcPr>
          <w:p>
            <w:pPr>
              <w:pStyle w:val="TableParagraph"/>
              <w:spacing w:before="39"/>
              <w:rPr>
                <w:rFonts w:ascii="Times New Roman"/>
                <w:i/>
                <w:sz w:val="22"/>
              </w:rPr>
            </w:pPr>
            <w:r>
              <w:rPr>
                <w:rFonts w:ascii="Times New Roman"/>
                <w:i/>
                <w:sz w:val="22"/>
              </w:rPr>
              <w:t>start-pos</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ight="109"/>
              <w:rPr>
                <w:sz w:val="22"/>
              </w:rPr>
            </w:pPr>
            <w:r>
              <w:rPr>
                <w:sz w:val="22"/>
              </w:rPr>
              <w:t>The number of the start position within </w:t>
            </w:r>
            <w:r>
              <w:rPr>
                <w:rFonts w:ascii="Times New Roman"/>
                <w:i/>
                <w:sz w:val="22"/>
              </w:rPr>
              <w:t>string-2 </w:t>
            </w:r>
            <w:r>
              <w:rPr>
                <w:sz w:val="22"/>
              </w:rPr>
              <w:t>for</w:t>
            </w:r>
            <w:r>
              <w:rPr>
                <w:spacing w:val="-23"/>
                <w:sz w:val="22"/>
              </w:rPr>
              <w:t> </w:t>
            </w:r>
            <w:r>
              <w:rPr>
                <w:sz w:val="22"/>
              </w:rPr>
              <w:t>which </w:t>
            </w:r>
            <w:r>
              <w:rPr>
                <w:rFonts w:ascii="Times New Roman"/>
                <w:i/>
                <w:sz w:val="22"/>
              </w:rPr>
              <w:t>string-1 </w:t>
            </w:r>
            <w:r>
              <w:rPr>
                <w:sz w:val="22"/>
              </w:rPr>
              <w:t>is to be searched. The start position of the first character is 1. If omitted, a position of 1 shall be assumed. </w:t>
            </w:r>
            <w:r>
              <w:rPr>
                <w:rFonts w:ascii="Times New Roman"/>
                <w:i/>
                <w:sz w:val="22"/>
              </w:rPr>
              <w:t>start-pos </w:t>
            </w:r>
            <w:r>
              <w:rPr>
                <w:sz w:val="22"/>
              </w:rPr>
              <w:t>shall be at least</w:t>
            </w:r>
            <w:r>
              <w:rPr>
                <w:spacing w:val="-15"/>
                <w:sz w:val="22"/>
              </w:rPr>
              <w:t> </w:t>
            </w:r>
            <w:r>
              <w:rPr>
                <w:sz w:val="22"/>
              </w:rPr>
              <w:t>1.</w:t>
            </w:r>
          </w:p>
        </w:tc>
      </w:tr>
    </w:tbl>
    <w:p>
      <w:pPr>
        <w:pStyle w:val="BodyText"/>
        <w:rPr>
          <w:b/>
          <w:sz w:val="20"/>
        </w:rPr>
      </w:pPr>
    </w:p>
    <w:p>
      <w:pPr>
        <w:pStyle w:val="BodyText"/>
        <w:spacing w:before="5"/>
        <w:rPr>
          <w:b/>
          <w:sz w:val="21"/>
        </w:rPr>
      </w:pPr>
    </w:p>
    <w:p>
      <w:pPr>
        <w:spacing w:line="278" w:lineRule="auto" w:before="0"/>
        <w:ind w:left="220" w:right="412" w:firstLine="0"/>
        <w:jc w:val="left"/>
        <w:rPr>
          <w:sz w:val="22"/>
        </w:rPr>
      </w:pPr>
      <w:r>
        <w:rPr>
          <w:b/>
          <w:sz w:val="22"/>
        </w:rPr>
        <w:t>Return Type and Value: </w:t>
      </w:r>
      <w:r>
        <w:rPr>
          <w:sz w:val="22"/>
        </w:rPr>
        <w:t>number – The start position of the first occurrence of </w:t>
      </w:r>
      <w:r>
        <w:rPr>
          <w:rFonts w:ascii="Times New Roman" w:hAnsi="Times New Roman"/>
          <w:i/>
          <w:sz w:val="22"/>
        </w:rPr>
        <w:t>string-1 </w:t>
      </w:r>
      <w:r>
        <w:rPr>
          <w:sz w:val="22"/>
        </w:rPr>
        <w:t>in </w:t>
      </w:r>
      <w:r>
        <w:rPr>
          <w:rFonts w:ascii="Times New Roman" w:hAnsi="Times New Roman"/>
          <w:i/>
          <w:sz w:val="22"/>
        </w:rPr>
        <w:t>string-2</w:t>
      </w:r>
      <w:r>
        <w:rPr>
          <w:sz w:val="22"/>
        </w:rPr>
        <w:t>, starting at character position </w:t>
      </w:r>
      <w:r>
        <w:rPr>
          <w:rFonts w:ascii="Times New Roman" w:hAnsi="Times New Roman"/>
          <w:i/>
          <w:sz w:val="22"/>
        </w:rPr>
        <w:t>start-pos </w:t>
      </w:r>
      <w:r>
        <w:rPr>
          <w:sz w:val="22"/>
        </w:rPr>
        <w:t>within </w:t>
      </w:r>
      <w:r>
        <w:rPr>
          <w:rFonts w:ascii="Times New Roman" w:hAnsi="Times New Roman"/>
          <w:i/>
          <w:sz w:val="22"/>
        </w:rPr>
        <w:t>string-2</w:t>
      </w:r>
      <w:r>
        <w:rPr>
          <w:sz w:val="22"/>
        </w:rPr>
        <w:t>. If </w:t>
      </w:r>
      <w:r>
        <w:rPr>
          <w:rFonts w:ascii="Times New Roman" w:hAnsi="Times New Roman"/>
          <w:i/>
          <w:sz w:val="22"/>
        </w:rPr>
        <w:t>string-1 </w:t>
      </w:r>
      <w:r>
        <w:rPr>
          <w:sz w:val="22"/>
        </w:rPr>
        <w:t>is an empty string, it shall always be found in any </w:t>
      </w:r>
      <w:r>
        <w:rPr>
          <w:rFonts w:ascii="Times New Roman" w:hAnsi="Times New Roman"/>
          <w:i/>
          <w:sz w:val="22"/>
        </w:rPr>
        <w:t>string-2 </w:t>
      </w:r>
      <w:r>
        <w:rPr>
          <w:sz w:val="22"/>
        </w:rPr>
        <w:t>at position </w:t>
      </w:r>
      <w:r>
        <w:rPr>
          <w:rFonts w:ascii="Times New Roman" w:hAnsi="Times New Roman"/>
          <w:i/>
          <w:sz w:val="22"/>
        </w:rPr>
        <w:t>start-pos</w:t>
      </w:r>
      <w:r>
        <w:rPr>
          <w:sz w:val="22"/>
        </w:rPr>
        <w:t>, or at position 1 if </w:t>
      </w:r>
      <w:r>
        <w:rPr>
          <w:rFonts w:ascii="Times New Roman" w:hAnsi="Times New Roman"/>
          <w:i/>
          <w:sz w:val="22"/>
        </w:rPr>
        <w:t>start-pos </w:t>
      </w:r>
      <w:r>
        <w:rPr>
          <w:sz w:val="22"/>
        </w:rPr>
        <w:t>is omitted.</w:t>
      </w:r>
    </w:p>
    <w:p>
      <w:pPr>
        <w:pStyle w:val="BodyText"/>
        <w:spacing w:before="197"/>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string-1 </w:t>
      </w:r>
      <w:r>
        <w:rPr>
          <w:sz w:val="22"/>
        </w:rPr>
        <w:t>is not found within </w:t>
      </w:r>
      <w:r>
        <w:rPr>
          <w:rFonts w:ascii="Times New Roman" w:hAnsi="Times New Roman"/>
          <w:i/>
          <w:sz w:val="22"/>
        </w:rPr>
        <w:t>string-2</w:t>
      </w:r>
      <w:r>
        <w:rPr>
          <w:sz w:val="22"/>
        </w:rPr>
        <w:t>, </w:t>
      </w:r>
      <w:r>
        <w:rPr>
          <w:rFonts w:ascii="Consolas" w:hAnsi="Consolas"/>
          <w:sz w:val="22"/>
        </w:rPr>
        <w:t>#VALUE!</w:t>
      </w:r>
      <w:r>
        <w:rPr>
          <w:rFonts w:ascii="Consolas" w:hAnsi="Consolas"/>
          <w:spacing w:val="-80"/>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520" w:firstLine="360"/>
        <w:jc w:val="left"/>
        <w:rPr>
          <w:sz w:val="22"/>
        </w:rPr>
      </w:pPr>
      <w:r>
        <w:rPr>
          <w:rFonts w:ascii="Times New Roman" w:hAnsi="Times New Roman"/>
          <w:i/>
          <w:sz w:val="22"/>
        </w:rPr>
        <w:t>start-pos </w:t>
      </w:r>
      <w:r>
        <w:rPr>
          <w:sz w:val="22"/>
        </w:rPr>
        <w:t>designates a position outside </w:t>
      </w:r>
      <w:r>
        <w:rPr>
          <w:rFonts w:ascii="Times New Roman" w:hAnsi="Times New Roman"/>
          <w:i/>
          <w:sz w:val="22"/>
        </w:rPr>
        <w:t>string-2</w:t>
      </w:r>
      <w:r>
        <w:rPr>
          <w:sz w:val="22"/>
        </w:rPr>
        <w:t>, </w:t>
      </w:r>
      <w:r>
        <w:rPr>
          <w:rFonts w:ascii="Consolas" w:hAnsi="Consolas"/>
          <w:sz w:val="22"/>
        </w:rPr>
        <w:t>#VALUE!</w:t>
      </w:r>
      <w:r>
        <w:rPr>
          <w:rFonts w:ascii="Consolas" w:hAnsi="Consolas"/>
          <w:spacing w:val="-94"/>
          <w:sz w:val="22"/>
        </w:rPr>
        <w:t> </w:t>
      </w:r>
      <w:r>
        <w:rPr>
          <w:sz w:val="22"/>
        </w:rPr>
        <w:t>is returned. [</w:t>
      </w:r>
      <w:r>
        <w:rPr>
          <w:i/>
          <w:sz w:val="22"/>
        </w:rPr>
        <w:t>Example</w:t>
      </w:r>
      <w:r>
        <w:rPr>
          <w:sz w:val="22"/>
        </w:rPr>
        <w:t>:</w:t>
      </w:r>
    </w:p>
    <w:p>
      <w:pPr>
        <w:pStyle w:val="BodyText"/>
        <w:spacing w:line="276" w:lineRule="auto" w:before="125"/>
        <w:ind w:left="220" w:right="6638"/>
        <w:rPr>
          <w:rFonts w:ascii="Consolas"/>
        </w:rPr>
      </w:pPr>
      <w:r>
        <w:rPr>
          <w:rFonts w:ascii="Consolas"/>
        </w:rPr>
        <w:t>SEARCH("de","abcdEF") </w:t>
      </w:r>
      <w:r>
        <w:rPr/>
        <w:t>results in </w:t>
      </w:r>
      <w:r>
        <w:rPr>
          <w:rFonts w:ascii="Consolas"/>
        </w:rPr>
        <w:t>4 SEARCH("?c*e","abcdEF")</w:t>
      </w:r>
      <w:r>
        <w:rPr>
          <w:rFonts w:ascii="Consolas"/>
          <w:spacing w:val="-86"/>
        </w:rPr>
        <w:t> </w:t>
      </w:r>
      <w:r>
        <w:rPr/>
        <w:t>results in </w:t>
      </w:r>
      <w:r>
        <w:rPr>
          <w:rFonts w:ascii="Consolas"/>
        </w:rPr>
        <w:t>2</w:t>
      </w:r>
    </w:p>
    <w:p>
      <w:pPr>
        <w:pStyle w:val="BodyText"/>
        <w:spacing w:before="10"/>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6 SEARCHB" w:id="2250"/>
      <w:bookmarkEnd w:id="2250"/>
      <w:r>
        <w:rPr/>
      </w:r>
      <w:bookmarkStart w:name="_bookmark749" w:id="2251"/>
      <w:bookmarkEnd w:id="2251"/>
      <w:r>
        <w:rPr/>
      </w:r>
      <w:bookmarkStart w:name="_bookmark749" w:id="2252"/>
      <w:bookmarkEnd w:id="2252"/>
      <w:r>
        <w:rPr>
          <w:color w:val="4F81BC"/>
        </w:rPr>
        <w:t>SE</w:t>
      </w:r>
      <w:r>
        <w:rPr>
          <w:color w:val="4F81BC"/>
        </w:rPr>
        <w:t>ARCHB</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SEARCHB ( </w:t>
      </w:r>
      <w:r>
        <w:rPr>
          <w:i/>
          <w:sz w:val="22"/>
        </w:rPr>
        <w:t>string-1 </w:t>
      </w:r>
      <w:r>
        <w:rPr>
          <w:rFonts w:ascii="Lucida Console"/>
          <w:sz w:val="20"/>
        </w:rPr>
        <w:t>, </w:t>
      </w:r>
      <w:r>
        <w:rPr>
          <w:i/>
          <w:sz w:val="22"/>
        </w:rPr>
        <w:t>string-2 </w:t>
      </w:r>
      <w:r>
        <w:rPr>
          <w:sz w:val="22"/>
        </w:rPr>
        <w:t>[ </w:t>
      </w:r>
      <w:r>
        <w:rPr>
          <w:rFonts w:ascii="Lucida Console"/>
          <w:sz w:val="20"/>
        </w:rPr>
        <w:t>,</w:t>
      </w:r>
      <w:r>
        <w:rPr>
          <w:rFonts w:ascii="Lucida Console"/>
          <w:spacing w:val="-85"/>
          <w:sz w:val="20"/>
        </w:rPr>
        <w:t> </w:t>
      </w:r>
      <w:r>
        <w:rPr>
          <w:i/>
          <w:sz w:val="22"/>
        </w:rPr>
        <w:t>start-pos </w:t>
      </w:r>
      <w:r>
        <w:rPr>
          <w:sz w:val="22"/>
        </w:rPr>
        <w:t>] </w:t>
      </w:r>
      <w:r>
        <w:rPr>
          <w:rFonts w:ascii="Lucida Console"/>
          <w:sz w:val="20"/>
        </w:rPr>
        <w:t>)</w:t>
      </w:r>
    </w:p>
    <w:p>
      <w:pPr>
        <w:pStyle w:val="BodyText"/>
        <w:spacing w:line="276" w:lineRule="auto" w:before="106"/>
        <w:ind w:left="220" w:right="424"/>
      </w:pPr>
      <w:r>
        <w:rPr>
          <w:b/>
        </w:rPr>
        <w:t>Description: </w:t>
      </w:r>
      <w:r>
        <w:rPr/>
        <w:t>Performs a case-insensitive search, using a lexical comparison, for the first occurrence of </w:t>
      </w:r>
      <w:r>
        <w:rPr>
          <w:rFonts w:ascii="Times New Roman" w:hAnsi="Times New Roman"/>
          <w:i/>
        </w:rPr>
        <w:t>string-1 </w:t>
      </w:r>
      <w:r>
        <w:rPr/>
        <w:t>in </w:t>
      </w:r>
      <w:r>
        <w:rPr>
          <w:rFonts w:ascii="Times New Roman" w:hAnsi="Times New Roman"/>
          <w:i/>
        </w:rPr>
        <w:t>string-2</w:t>
      </w:r>
      <w:r>
        <w:rPr/>
        <w:t>, starting at byte position </w:t>
      </w:r>
      <w:r>
        <w:rPr>
          <w:rFonts w:ascii="Times New Roman" w:hAnsi="Times New Roman"/>
          <w:i/>
        </w:rPr>
        <w:t>start-pos </w:t>
      </w:r>
      <w:r>
        <w:rPr/>
        <w:t>within </w:t>
      </w:r>
      <w:r>
        <w:rPr>
          <w:rFonts w:ascii="Times New Roman" w:hAnsi="Times New Roman"/>
          <w:i/>
        </w:rPr>
        <w:t>string-2</w:t>
      </w:r>
      <w:r>
        <w:rPr/>
        <w:t>. (</w:t>
      </w:r>
      <w:r>
        <w:rPr>
          <w:rFonts w:ascii="Consolas" w:hAnsi="Consolas"/>
        </w:rPr>
        <w:t>SEARCHB</w:t>
      </w:r>
      <w:r>
        <w:rPr>
          <w:rFonts w:ascii="Consolas" w:hAnsi="Consolas"/>
          <w:spacing w:val="-73"/>
        </w:rPr>
        <w:t> </w:t>
      </w:r>
      <w:r>
        <w:rPr/>
        <w:t>is intended for use with languages that use the double-byte character set (DBCS), whereas </w:t>
      </w:r>
      <w:r>
        <w:rPr>
          <w:rFonts w:ascii="Consolas" w:hAnsi="Consolas"/>
        </w:rPr>
        <w:t>SEARCH </w:t>
      </w:r>
      <w:r>
        <w:rPr/>
        <w:t>(§</w:t>
      </w:r>
      <w:hyperlink w:history="true" w:anchor="_bookmark748">
        <w:r>
          <w:rPr/>
          <w:t>18.17.7.285</w:t>
        </w:r>
      </w:hyperlink>
      <w:r>
        <w:rPr/>
        <w:t>) is intended for use with languages that use the single-byte character set (SBCS).)</w:t>
      </w:r>
    </w:p>
    <w:p>
      <w:pPr>
        <w:pStyle w:val="BodyText"/>
        <w:spacing w:before="7"/>
        <w:rPr>
          <w:sz w:val="16"/>
        </w:rPr>
      </w:pPr>
    </w:p>
    <w:p>
      <w:pPr>
        <w:pStyle w:val="Heading4"/>
      </w:pPr>
      <w:r>
        <w:rPr/>
        <w:t>Arguments:</w:t>
      </w:r>
    </w:p>
    <w:p>
      <w:pPr>
        <w:pStyle w:val="BodyText"/>
        <w:spacing w:before="9"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string-1</w:t>
            </w:r>
          </w:p>
        </w:tc>
        <w:tc>
          <w:tcPr>
            <w:tcW w:w="1800" w:type="dxa"/>
          </w:tcPr>
          <w:p>
            <w:pPr>
              <w:pStyle w:val="TableParagraph"/>
              <w:ind w:left="112"/>
              <w:rPr>
                <w:sz w:val="22"/>
              </w:rPr>
            </w:pPr>
            <w:r>
              <w:rPr>
                <w:sz w:val="22"/>
              </w:rPr>
              <w:t>text</w:t>
            </w:r>
          </w:p>
        </w:tc>
        <w:tc>
          <w:tcPr>
            <w:tcW w:w="5400" w:type="dxa"/>
            <w:vMerge w:val="restart"/>
          </w:tcPr>
          <w:p>
            <w:pPr>
              <w:pStyle w:val="TableParagraph"/>
              <w:ind w:left="113" w:right="144"/>
              <w:rPr>
                <w:sz w:val="22"/>
              </w:rPr>
            </w:pPr>
            <w:r>
              <w:rPr>
                <w:sz w:val="22"/>
              </w:rPr>
              <w:t>Designate the string to be searched for within the string designated by </w:t>
            </w:r>
            <w:r>
              <w:rPr>
                <w:rFonts w:ascii="Times New Roman"/>
                <w:i/>
                <w:sz w:val="22"/>
              </w:rPr>
              <w:t>string-2</w:t>
            </w:r>
            <w:r>
              <w:rPr>
                <w:sz w:val="22"/>
              </w:rPr>
              <w:t>. </w:t>
            </w:r>
            <w:r>
              <w:rPr>
                <w:rFonts w:ascii="Times New Roman"/>
                <w:i/>
                <w:sz w:val="22"/>
              </w:rPr>
              <w:t>string-1 </w:t>
            </w:r>
            <w:r>
              <w:rPr>
                <w:sz w:val="22"/>
              </w:rPr>
              <w:t>can contain the following wildcard characters: question mark (</w:t>
            </w:r>
            <w:r>
              <w:rPr>
                <w:rFonts w:ascii="Consolas"/>
                <w:sz w:val="22"/>
              </w:rPr>
              <w:t>?</w:t>
            </w:r>
            <w:r>
              <w:rPr>
                <w:sz w:val="22"/>
              </w:rPr>
              <w:t>) and asterisk (</w:t>
            </w:r>
            <w:r>
              <w:rPr>
                <w:rFonts w:ascii="Consolas"/>
                <w:sz w:val="22"/>
              </w:rPr>
              <w:t>*</w:t>
            </w:r>
            <w:r>
              <w:rPr>
                <w:sz w:val="22"/>
              </w:rPr>
              <w:t>). A question mark matches any single character; an asterisk matches any sequence of characters. To search for an</w:t>
            </w:r>
          </w:p>
        </w:tc>
      </w:tr>
      <w:tr>
        <w:trPr>
          <w:trHeight w:val="1065" w:hRule="atLeast"/>
        </w:trPr>
        <w:tc>
          <w:tcPr>
            <w:tcW w:w="1466" w:type="dxa"/>
          </w:tcPr>
          <w:p>
            <w:pPr>
              <w:pStyle w:val="TableParagraph"/>
              <w:spacing w:before="37"/>
              <w:rPr>
                <w:rFonts w:ascii="Times New Roman"/>
                <w:i/>
                <w:sz w:val="22"/>
              </w:rPr>
            </w:pPr>
            <w:r>
              <w:rPr>
                <w:rFonts w:ascii="Times New Roman"/>
                <w:i/>
                <w:sz w:val="22"/>
              </w:rPr>
              <w:t>string-2</w:t>
            </w:r>
          </w:p>
        </w:tc>
        <w:tc>
          <w:tcPr>
            <w:tcW w:w="1800" w:type="dxa"/>
          </w:tcPr>
          <w:p>
            <w:pPr>
              <w:pStyle w:val="TableParagraph"/>
              <w:ind w:left="112"/>
              <w:rPr>
                <w:sz w:val="22"/>
              </w:rPr>
            </w:pPr>
            <w:r>
              <w:rPr>
                <w:sz w:val="22"/>
              </w:rPr>
              <w:t>text</w:t>
            </w:r>
          </w:p>
        </w:tc>
        <w:tc>
          <w:tcPr>
            <w:tcW w:w="5400"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289"/>
              <w:rPr>
                <w:sz w:val="22"/>
              </w:rPr>
            </w:pPr>
            <w:r>
              <w:rPr>
                <w:sz w:val="22"/>
              </w:rPr>
              <w:t>actual question mark or asterisk, that character shall be preceded by a tilde (</w:t>
            </w:r>
            <w:r>
              <w:rPr>
                <w:rFonts w:ascii="Consolas"/>
                <w:sz w:val="22"/>
              </w:rPr>
              <w:t>~</w:t>
            </w:r>
            <w:r>
              <w:rPr>
                <w:sz w:val="22"/>
              </w:rPr>
              <w:t>).</w:t>
            </w:r>
          </w:p>
        </w:tc>
      </w:tr>
      <w:tr>
        <w:trPr>
          <w:trHeight w:val="1158" w:hRule="atLeast"/>
        </w:trPr>
        <w:tc>
          <w:tcPr>
            <w:tcW w:w="1466" w:type="dxa"/>
          </w:tcPr>
          <w:p>
            <w:pPr>
              <w:pStyle w:val="TableParagraph"/>
              <w:spacing w:before="37"/>
              <w:rPr>
                <w:rFonts w:ascii="Times New Roman"/>
                <w:i/>
                <w:sz w:val="22"/>
              </w:rPr>
            </w:pPr>
            <w:r>
              <w:rPr>
                <w:rFonts w:ascii="Times New Roman"/>
                <w:i/>
                <w:sz w:val="22"/>
              </w:rPr>
              <w:t>start-pos</w:t>
            </w:r>
          </w:p>
        </w:tc>
        <w:tc>
          <w:tcPr>
            <w:tcW w:w="1800" w:type="dxa"/>
          </w:tcPr>
          <w:p>
            <w:pPr>
              <w:pStyle w:val="TableParagraph"/>
              <w:ind w:left="112"/>
              <w:rPr>
                <w:sz w:val="22"/>
              </w:rPr>
            </w:pPr>
            <w:r>
              <w:rPr>
                <w:sz w:val="22"/>
              </w:rPr>
              <w:t>number</w:t>
            </w:r>
          </w:p>
        </w:tc>
        <w:tc>
          <w:tcPr>
            <w:tcW w:w="5400" w:type="dxa"/>
          </w:tcPr>
          <w:p>
            <w:pPr>
              <w:pStyle w:val="TableParagraph"/>
              <w:ind w:left="113" w:right="109"/>
              <w:rPr>
                <w:sz w:val="22"/>
              </w:rPr>
            </w:pPr>
            <w:r>
              <w:rPr>
                <w:sz w:val="22"/>
              </w:rPr>
              <w:t>The number of the start position within </w:t>
            </w:r>
            <w:r>
              <w:rPr>
                <w:rFonts w:ascii="Times New Roman"/>
                <w:i/>
                <w:sz w:val="22"/>
              </w:rPr>
              <w:t>string-2 </w:t>
            </w:r>
            <w:r>
              <w:rPr>
                <w:sz w:val="22"/>
              </w:rPr>
              <w:t>for which </w:t>
            </w:r>
            <w:r>
              <w:rPr>
                <w:rFonts w:ascii="Times New Roman"/>
                <w:i/>
                <w:sz w:val="22"/>
              </w:rPr>
              <w:t>string-1 </w:t>
            </w:r>
            <w:r>
              <w:rPr>
                <w:sz w:val="22"/>
              </w:rPr>
              <w:t>is to be searched. The start position of the first byte is 1. If omitted, a position of 1 shall be assumed. </w:t>
            </w:r>
            <w:r>
              <w:rPr>
                <w:rFonts w:ascii="Times New Roman"/>
                <w:i/>
                <w:sz w:val="22"/>
              </w:rPr>
              <w:t>start-pos </w:t>
            </w:r>
            <w:r>
              <w:rPr>
                <w:sz w:val="22"/>
              </w:rPr>
              <w:t>shall be at least 0.</w:t>
            </w:r>
          </w:p>
        </w:tc>
      </w:tr>
    </w:tbl>
    <w:p>
      <w:pPr>
        <w:pStyle w:val="BodyText"/>
        <w:rPr>
          <w:b/>
          <w:sz w:val="20"/>
        </w:rPr>
      </w:pPr>
    </w:p>
    <w:p>
      <w:pPr>
        <w:pStyle w:val="BodyText"/>
        <w:spacing w:before="5"/>
        <w:rPr>
          <w:b/>
          <w:sz w:val="21"/>
        </w:rPr>
      </w:pPr>
    </w:p>
    <w:p>
      <w:pPr>
        <w:spacing w:line="278" w:lineRule="auto" w:before="0"/>
        <w:ind w:left="220" w:right="412" w:firstLine="0"/>
        <w:jc w:val="left"/>
        <w:rPr>
          <w:sz w:val="22"/>
        </w:rPr>
      </w:pPr>
      <w:r>
        <w:rPr>
          <w:b/>
          <w:sz w:val="22"/>
        </w:rPr>
        <w:t>Return Type and Value: </w:t>
      </w:r>
      <w:r>
        <w:rPr>
          <w:sz w:val="22"/>
        </w:rPr>
        <w:t>number – The start position of the first occurrence of </w:t>
      </w:r>
      <w:r>
        <w:rPr>
          <w:rFonts w:ascii="Times New Roman" w:hAnsi="Times New Roman"/>
          <w:i/>
          <w:sz w:val="22"/>
        </w:rPr>
        <w:t>string-1 </w:t>
      </w:r>
      <w:r>
        <w:rPr>
          <w:sz w:val="22"/>
        </w:rPr>
        <w:t>in </w:t>
      </w:r>
      <w:r>
        <w:rPr>
          <w:rFonts w:ascii="Times New Roman" w:hAnsi="Times New Roman"/>
          <w:i/>
          <w:sz w:val="22"/>
        </w:rPr>
        <w:t>string-2</w:t>
      </w:r>
      <w:r>
        <w:rPr>
          <w:sz w:val="22"/>
        </w:rPr>
        <w:t>, starting at character position </w:t>
      </w:r>
      <w:r>
        <w:rPr>
          <w:rFonts w:ascii="Times New Roman" w:hAnsi="Times New Roman"/>
          <w:i/>
          <w:sz w:val="22"/>
        </w:rPr>
        <w:t>start-pos </w:t>
      </w:r>
      <w:r>
        <w:rPr>
          <w:sz w:val="22"/>
        </w:rPr>
        <w:t>within </w:t>
      </w:r>
      <w:r>
        <w:rPr>
          <w:rFonts w:ascii="Times New Roman" w:hAnsi="Times New Roman"/>
          <w:i/>
          <w:sz w:val="22"/>
        </w:rPr>
        <w:t>string-2</w:t>
      </w:r>
      <w:r>
        <w:rPr>
          <w:sz w:val="22"/>
        </w:rPr>
        <w:t>. If </w:t>
      </w:r>
      <w:r>
        <w:rPr>
          <w:rFonts w:ascii="Times New Roman" w:hAnsi="Times New Roman"/>
          <w:i/>
          <w:sz w:val="22"/>
        </w:rPr>
        <w:t>string-1 </w:t>
      </w:r>
      <w:r>
        <w:rPr>
          <w:sz w:val="22"/>
        </w:rPr>
        <w:t>is an empty string, it shall always be found in any </w:t>
      </w:r>
      <w:r>
        <w:rPr>
          <w:rFonts w:ascii="Times New Roman" w:hAnsi="Times New Roman"/>
          <w:i/>
          <w:sz w:val="22"/>
        </w:rPr>
        <w:t>string-2 </w:t>
      </w:r>
      <w:r>
        <w:rPr>
          <w:sz w:val="22"/>
        </w:rPr>
        <w:t>at position </w:t>
      </w:r>
      <w:r>
        <w:rPr>
          <w:rFonts w:ascii="Times New Roman" w:hAnsi="Times New Roman"/>
          <w:i/>
          <w:sz w:val="22"/>
        </w:rPr>
        <w:t>start-pos</w:t>
      </w:r>
      <w:r>
        <w:rPr>
          <w:sz w:val="22"/>
        </w:rPr>
        <w:t>, or at position 1 if </w:t>
      </w:r>
      <w:r>
        <w:rPr>
          <w:rFonts w:ascii="Times New Roman" w:hAnsi="Times New Roman"/>
          <w:i/>
          <w:sz w:val="22"/>
        </w:rPr>
        <w:t>start-pos </w:t>
      </w:r>
      <w:r>
        <w:rPr>
          <w:sz w:val="22"/>
        </w:rPr>
        <w:t>is omitted.</w:t>
      </w:r>
    </w:p>
    <w:p>
      <w:pPr>
        <w:pStyle w:val="BodyText"/>
        <w:spacing w:before="196"/>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string-1 </w:t>
      </w:r>
      <w:r>
        <w:rPr>
          <w:sz w:val="22"/>
        </w:rPr>
        <w:t>is not found within </w:t>
      </w:r>
      <w:r>
        <w:rPr>
          <w:rFonts w:ascii="Times New Roman" w:hAnsi="Times New Roman"/>
          <w:i/>
          <w:sz w:val="22"/>
        </w:rPr>
        <w:t>string-2</w:t>
      </w:r>
      <w:r>
        <w:rPr>
          <w:sz w:val="22"/>
        </w:rPr>
        <w:t>, </w:t>
      </w:r>
      <w:r>
        <w:rPr>
          <w:rFonts w:ascii="Consolas" w:hAnsi="Consolas"/>
          <w:sz w:val="22"/>
        </w:rPr>
        <w:t>#VALUE!</w:t>
      </w:r>
      <w:r>
        <w:rPr>
          <w:rFonts w:ascii="Consolas" w:hAnsi="Consolas"/>
          <w:spacing w:val="-7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520" w:firstLine="360"/>
        <w:jc w:val="left"/>
        <w:rPr>
          <w:sz w:val="22"/>
        </w:rPr>
      </w:pPr>
      <w:r>
        <w:rPr>
          <w:rFonts w:ascii="Times New Roman" w:hAnsi="Times New Roman"/>
          <w:i/>
          <w:sz w:val="22"/>
        </w:rPr>
        <w:t>start-pos </w:t>
      </w:r>
      <w:r>
        <w:rPr>
          <w:sz w:val="22"/>
        </w:rPr>
        <w:t>designates a position outside </w:t>
      </w:r>
      <w:r>
        <w:rPr>
          <w:rFonts w:ascii="Times New Roman" w:hAnsi="Times New Roman"/>
          <w:i/>
          <w:sz w:val="22"/>
        </w:rPr>
        <w:t>string-2</w:t>
      </w:r>
      <w:r>
        <w:rPr>
          <w:sz w:val="22"/>
        </w:rPr>
        <w:t>, </w:t>
      </w:r>
      <w:r>
        <w:rPr>
          <w:rFonts w:ascii="Consolas" w:hAnsi="Consolas"/>
          <w:sz w:val="22"/>
        </w:rPr>
        <w:t>#VALUE!</w:t>
      </w:r>
      <w:r>
        <w:rPr>
          <w:rFonts w:ascii="Consolas" w:hAnsi="Consolas"/>
          <w:spacing w:val="-94"/>
          <w:sz w:val="22"/>
        </w:rPr>
        <w:t> </w:t>
      </w:r>
      <w:r>
        <w:rPr>
          <w:sz w:val="22"/>
        </w:rPr>
        <w:t>is returned. [</w:t>
      </w:r>
      <w:r>
        <w:rPr>
          <w:i/>
          <w:sz w:val="22"/>
        </w:rPr>
        <w:t>Example</w:t>
      </w:r>
      <w:r>
        <w:rPr>
          <w:sz w:val="22"/>
        </w:rPr>
        <w:t>: Assuming 1-byte</w:t>
      </w:r>
      <w:r>
        <w:rPr>
          <w:spacing w:val="-8"/>
          <w:sz w:val="22"/>
        </w:rPr>
        <w:t> </w:t>
      </w:r>
      <w:r>
        <w:rPr>
          <w:sz w:val="22"/>
        </w:rPr>
        <w:t>characters</w:t>
      </w:r>
    </w:p>
    <w:p>
      <w:pPr>
        <w:pStyle w:val="BodyText"/>
        <w:spacing w:line="273" w:lineRule="auto" w:before="128"/>
        <w:ind w:left="220" w:right="6513"/>
        <w:rPr>
          <w:rFonts w:ascii="Consolas"/>
        </w:rPr>
      </w:pPr>
      <w:r>
        <w:rPr>
          <w:rFonts w:ascii="Consolas"/>
        </w:rPr>
        <w:t>SEARCHB("de","abcdEF") </w:t>
      </w:r>
      <w:r>
        <w:rPr/>
        <w:t>results in </w:t>
      </w:r>
      <w:r>
        <w:rPr>
          <w:rFonts w:ascii="Consolas"/>
        </w:rPr>
        <w:t>4 SEARCHB("?c*e","abcdEF")</w:t>
      </w:r>
      <w:r>
        <w:rPr>
          <w:rFonts w:ascii="Consolas"/>
          <w:spacing w:val="-82"/>
        </w:rPr>
        <w:t> </w:t>
      </w:r>
      <w:r>
        <w:rPr/>
        <w:t>results in </w:t>
      </w:r>
      <w:r>
        <w:rPr>
          <w:rFonts w:ascii="Consolas"/>
        </w:rPr>
        <w:t>2</w:t>
      </w:r>
    </w:p>
    <w:p>
      <w:pPr>
        <w:pStyle w:val="BodyText"/>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7 SECOND" w:id="2253"/>
      <w:bookmarkEnd w:id="2253"/>
      <w:r>
        <w:rPr/>
      </w:r>
      <w:bookmarkStart w:name="_bookmark750" w:id="2254"/>
      <w:bookmarkEnd w:id="2254"/>
      <w:r>
        <w:rPr/>
      </w:r>
      <w:bookmarkStart w:name="_bookmark750" w:id="2255"/>
      <w:bookmarkEnd w:id="2255"/>
      <w:r>
        <w:rPr>
          <w:color w:val="4F81BC"/>
        </w:rPr>
        <w:t>SE</w:t>
      </w:r>
      <w:r>
        <w:rPr>
          <w:color w:val="4F81BC"/>
        </w:rPr>
        <w:t>COND</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SECOND ( </w:t>
      </w:r>
      <w:r>
        <w:rPr>
          <w:i/>
          <w:sz w:val="22"/>
        </w:rPr>
        <w:t>time-value </w:t>
      </w:r>
      <w:r>
        <w:rPr>
          <w:rFonts w:ascii="Lucida Console"/>
          <w:sz w:val="20"/>
        </w:rPr>
        <w:t>)</w:t>
      </w:r>
    </w:p>
    <w:p>
      <w:pPr>
        <w:spacing w:before="108"/>
        <w:ind w:left="220" w:right="0" w:firstLine="0"/>
        <w:jc w:val="left"/>
        <w:rPr>
          <w:sz w:val="22"/>
        </w:rPr>
      </w:pPr>
      <w:r>
        <w:rPr>
          <w:b/>
          <w:sz w:val="22"/>
        </w:rPr>
        <w:t>Description: </w:t>
      </w:r>
      <w:r>
        <w:rPr>
          <w:sz w:val="22"/>
        </w:rPr>
        <w:t>Computes the second for the date and/or time having the given </w:t>
      </w:r>
      <w:r>
        <w:rPr>
          <w:rFonts w:ascii="Times New Roman"/>
          <w:i/>
          <w:sz w:val="22"/>
        </w:rPr>
        <w:t>time-value</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697" w:hRule="atLeast"/>
        </w:trPr>
        <w:tc>
          <w:tcPr>
            <w:tcW w:w="1466" w:type="dxa"/>
          </w:tcPr>
          <w:p>
            <w:pPr>
              <w:pStyle w:val="TableParagraph"/>
              <w:spacing w:before="37"/>
              <w:ind w:left="0" w:right="408"/>
              <w:jc w:val="right"/>
              <w:rPr>
                <w:rFonts w:ascii="Times New Roman"/>
                <w:i/>
                <w:sz w:val="22"/>
              </w:rPr>
            </w:pPr>
            <w:r>
              <w:rPr>
                <w:rFonts w:ascii="Times New Roman"/>
                <w:i/>
                <w:sz w:val="22"/>
              </w:rPr>
              <w:t>time-value</w:t>
            </w:r>
          </w:p>
        </w:tc>
        <w:tc>
          <w:tcPr>
            <w:tcW w:w="1800" w:type="dxa"/>
          </w:tcPr>
          <w:p>
            <w:pPr>
              <w:pStyle w:val="TableParagraph"/>
              <w:ind w:left="112"/>
              <w:rPr>
                <w:sz w:val="22"/>
              </w:rPr>
            </w:pPr>
            <w:r>
              <w:rPr>
                <w:sz w:val="22"/>
              </w:rPr>
              <w:t>number</w:t>
            </w:r>
          </w:p>
        </w:tc>
        <w:tc>
          <w:tcPr>
            <w:tcW w:w="5400" w:type="dxa"/>
          </w:tcPr>
          <w:p>
            <w:pPr>
              <w:pStyle w:val="TableParagraph"/>
              <w:ind w:left="113" w:right="152"/>
              <w:rPr>
                <w:sz w:val="22"/>
              </w:rPr>
            </w:pPr>
            <w:r>
              <w:rPr>
                <w:sz w:val="22"/>
              </w:rPr>
              <w:t>The date and/or time whose second is to be computed. That date and/or time shall be expressed either as a serial date-time, in which case, its integer part is ignored, or as a </w:t>
            </w:r>
            <w:r>
              <w:rPr>
                <w:rFonts w:ascii="Times New Roman"/>
                <w:i/>
                <w:sz w:val="22"/>
              </w:rPr>
              <w:t>string-constant </w:t>
            </w:r>
            <w:r>
              <w:rPr>
                <w:sz w:val="22"/>
              </w:rPr>
              <w:t>having any date and/or time format, in which case, any date information shall be ignored.</w:t>
            </w:r>
          </w:p>
        </w:tc>
      </w:tr>
    </w:tbl>
    <w:p>
      <w:pPr>
        <w:pStyle w:val="BodyText"/>
        <w:rPr>
          <w:b/>
        </w:rPr>
      </w:pPr>
    </w:p>
    <w:p>
      <w:pPr>
        <w:pStyle w:val="BodyText"/>
        <w:spacing w:before="7"/>
        <w:rPr>
          <w:b/>
          <w:sz w:val="19"/>
        </w:rPr>
      </w:pPr>
    </w:p>
    <w:p>
      <w:pPr>
        <w:spacing w:line="456" w:lineRule="auto" w:before="0"/>
        <w:ind w:left="220" w:right="1526" w:firstLine="0"/>
        <w:jc w:val="left"/>
        <w:rPr>
          <w:sz w:val="22"/>
        </w:rPr>
      </w:pPr>
      <w:r>
        <w:rPr>
          <w:b/>
          <w:sz w:val="22"/>
        </w:rPr>
        <w:t>Return Type and Value: </w:t>
      </w:r>
      <w:r>
        <w:rPr>
          <w:sz w:val="22"/>
        </w:rPr>
        <w:t>number – The second for the date and/or time having the given </w:t>
      </w:r>
      <w:r>
        <w:rPr>
          <w:rFonts w:ascii="Times New Roman" w:hAnsi="Times New Roman"/>
          <w:i/>
          <w:sz w:val="22"/>
        </w:rPr>
        <w:t>time-value</w:t>
      </w:r>
      <w:r>
        <w:rPr>
          <w:sz w:val="22"/>
        </w:rPr>
        <w:t>. However, if </w:t>
      </w:r>
      <w:r>
        <w:rPr>
          <w:rFonts w:ascii="Times New Roman" w:hAnsi="Times New Roman"/>
          <w:i/>
          <w:sz w:val="22"/>
        </w:rPr>
        <w:t>time-value </w:t>
      </w:r>
      <w:r>
        <w:rPr>
          <w:sz w:val="22"/>
        </w:rPr>
        <w:t>is out of range for the current date system, </w:t>
      </w:r>
      <w:r>
        <w:rPr>
          <w:rFonts w:ascii="Consolas" w:hAnsi="Consolas"/>
          <w:sz w:val="22"/>
        </w:rPr>
        <w:t>#NUM!</w:t>
      </w:r>
      <w:r>
        <w:rPr>
          <w:rFonts w:ascii="Consolas" w:hAnsi="Consolas"/>
          <w:spacing w:val="-91"/>
          <w:sz w:val="22"/>
        </w:rPr>
        <w:t> </w:t>
      </w:r>
      <w:r>
        <w:rPr>
          <w:sz w:val="22"/>
        </w:rPr>
        <w:t>is returned.</w:t>
      </w:r>
    </w:p>
    <w:p>
      <w:pPr>
        <w:spacing w:after="0" w:line="456" w:lineRule="auto"/>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2289"/>
        <w:rPr>
          <w:rFonts w:ascii="Consolas"/>
        </w:rPr>
      </w:pPr>
      <w:r>
        <w:rPr>
          <w:rFonts w:ascii="Consolas"/>
        </w:rPr>
        <w:t>SECOND(DATE(2006,2,26)+TIME(2,10,20))</w:t>
      </w:r>
      <w:r>
        <w:rPr>
          <w:rFonts w:ascii="Consolas"/>
          <w:spacing w:val="-91"/>
        </w:rPr>
        <w:t> </w:t>
      </w:r>
      <w:r>
        <w:rPr/>
        <w:t>results in </w:t>
      </w:r>
      <w:r>
        <w:rPr>
          <w:rFonts w:ascii="Consolas"/>
        </w:rPr>
        <w:t>20 SECOND(TIME(22,56,34))</w:t>
      </w:r>
      <w:r>
        <w:rPr>
          <w:rFonts w:ascii="Consolas"/>
          <w:spacing w:val="-72"/>
        </w:rPr>
        <w:t> </w:t>
      </w:r>
      <w:r>
        <w:rPr/>
        <w:t>results in </w:t>
      </w:r>
      <w:r>
        <w:rPr>
          <w:rFonts w:ascii="Consolas"/>
        </w:rPr>
        <w:t>34</w:t>
      </w:r>
    </w:p>
    <w:p>
      <w:pPr>
        <w:pStyle w:val="BodyText"/>
        <w:spacing w:line="276" w:lineRule="auto" w:before="2"/>
        <w:ind w:left="220" w:right="3712"/>
        <w:rPr>
          <w:rFonts w:ascii="Consolas"/>
        </w:rPr>
      </w:pPr>
      <w:r>
        <w:rPr>
          <w:rFonts w:ascii="Consolas"/>
        </w:rPr>
        <w:t>SECOND(0) </w:t>
      </w:r>
      <w:r>
        <w:rPr/>
        <w:t>results in </w:t>
      </w:r>
      <w:r>
        <w:rPr>
          <w:rFonts w:ascii="Consolas"/>
        </w:rPr>
        <w:t>0</w:t>
      </w:r>
      <w:r>
        <w:rPr/>
        <w:t>, since serial date-time 0 represents </w:t>
      </w:r>
      <w:r>
        <w:rPr>
          <w:rFonts w:ascii="Consolas"/>
        </w:rPr>
        <w:t>00:00:00 SECOND(10.5)</w:t>
      </w:r>
      <w:r>
        <w:rPr>
          <w:rFonts w:ascii="Consolas"/>
          <w:spacing w:val="-99"/>
        </w:rPr>
        <w:t> </w:t>
      </w:r>
      <w:r>
        <w:rPr/>
        <w:t>results in </w:t>
      </w:r>
      <w:r>
        <w:rPr>
          <w:rFonts w:ascii="Consolas"/>
        </w:rPr>
        <w:t>0</w:t>
      </w:r>
      <w:r>
        <w:rPr/>
        <w:t>, since serial date-time .5 represents </w:t>
      </w:r>
      <w:r>
        <w:rPr>
          <w:rFonts w:ascii="Consolas"/>
        </w:rPr>
        <w:t>12:00:00 SECOND("22-Oct-2001 10:53:12")</w:t>
      </w:r>
      <w:r>
        <w:rPr>
          <w:rFonts w:ascii="Consolas"/>
          <w:spacing w:val="-76"/>
        </w:rPr>
        <w:t> </w:t>
      </w:r>
      <w:r>
        <w:rPr/>
        <w:t>results in </w:t>
      </w:r>
      <w:r>
        <w:rPr>
          <w:rFonts w:ascii="Consolas"/>
        </w:rPr>
        <w:t>12</w:t>
      </w:r>
    </w:p>
    <w:p>
      <w:pPr>
        <w:pStyle w:val="BodyText"/>
        <w:spacing w:line="273" w:lineRule="auto"/>
        <w:ind w:left="220" w:right="6753"/>
        <w:rPr>
          <w:rFonts w:ascii="Consolas"/>
        </w:rPr>
      </w:pPr>
      <w:r>
        <w:rPr>
          <w:rFonts w:ascii="Consolas"/>
        </w:rPr>
        <w:t>SECOND("10:53:12 pm")</w:t>
      </w:r>
      <w:r>
        <w:rPr>
          <w:rFonts w:ascii="Consolas"/>
          <w:spacing w:val="-80"/>
        </w:rPr>
        <w:t> </w:t>
      </w:r>
      <w:r>
        <w:rPr/>
        <w:t>results in </w:t>
      </w:r>
      <w:r>
        <w:rPr>
          <w:rFonts w:ascii="Consolas"/>
        </w:rPr>
        <w:t>12 SECOND("22:53:12")</w:t>
      </w:r>
      <w:r>
        <w:rPr>
          <w:rFonts w:ascii="Consolas"/>
          <w:spacing w:val="-72"/>
        </w:rPr>
        <w:t> </w:t>
      </w:r>
      <w:r>
        <w:rPr/>
        <w:t>results in </w:t>
      </w:r>
      <w:r>
        <w:rPr>
          <w:rFonts w:ascii="Consolas"/>
        </w:rPr>
        <w:t>12</w:t>
      </w:r>
    </w:p>
    <w:p>
      <w:pPr>
        <w:pStyle w:val="BodyText"/>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8 SERIESSUM" w:id="2256"/>
      <w:bookmarkEnd w:id="2256"/>
      <w:r>
        <w:rPr/>
      </w:r>
      <w:bookmarkStart w:name="_bookmark751" w:id="2257"/>
      <w:bookmarkEnd w:id="2257"/>
      <w:r>
        <w:rPr/>
      </w:r>
      <w:bookmarkStart w:name="_bookmark751" w:id="2258"/>
      <w:bookmarkEnd w:id="2258"/>
      <w:r>
        <w:rPr>
          <w:color w:val="4F81BC"/>
        </w:rPr>
        <w:t>SE</w:t>
      </w:r>
      <w:r>
        <w:rPr>
          <w:color w:val="4F81BC"/>
        </w:rPr>
        <w:t>RIESSUM</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SERIESSUM ( </w:t>
      </w:r>
      <w:r>
        <w:rPr>
          <w:i/>
          <w:sz w:val="22"/>
        </w:rPr>
        <w:t>input-value </w:t>
      </w:r>
      <w:r>
        <w:rPr>
          <w:rFonts w:ascii="Lucida Console"/>
          <w:sz w:val="20"/>
        </w:rPr>
        <w:t>, </w:t>
      </w:r>
      <w:r>
        <w:rPr>
          <w:i/>
          <w:sz w:val="22"/>
        </w:rPr>
        <w:t>initial-power </w:t>
      </w:r>
      <w:r>
        <w:rPr>
          <w:rFonts w:ascii="Lucida Console"/>
          <w:sz w:val="20"/>
        </w:rPr>
        <w:t>, </w:t>
      </w:r>
      <w:r>
        <w:rPr>
          <w:i/>
          <w:sz w:val="22"/>
        </w:rPr>
        <w:t>step </w:t>
      </w:r>
      <w:r>
        <w:rPr>
          <w:rFonts w:ascii="Lucida Console"/>
          <w:sz w:val="20"/>
        </w:rPr>
        <w:t>, </w:t>
      </w:r>
      <w:r>
        <w:rPr>
          <w:i/>
          <w:sz w:val="22"/>
        </w:rPr>
        <w:t>coefficients </w:t>
      </w:r>
      <w:r>
        <w:rPr>
          <w:rFonts w:ascii="Lucida Console"/>
          <w:sz w:val="20"/>
        </w:rPr>
        <w:t>)</w:t>
      </w:r>
    </w:p>
    <w:p>
      <w:pPr>
        <w:spacing w:before="108"/>
        <w:ind w:left="220" w:right="0" w:firstLine="0"/>
        <w:jc w:val="left"/>
        <w:rPr>
          <w:sz w:val="22"/>
        </w:rPr>
      </w:pPr>
      <w:r>
        <w:rPr>
          <w:b/>
          <w:sz w:val="22"/>
        </w:rPr>
        <w:t>Description: </w:t>
      </w:r>
      <w:r>
        <w:rPr>
          <w:sz w:val="22"/>
        </w:rPr>
        <w:t>Computes the sum of a power series.</w:t>
      </w:r>
    </w:p>
    <w:p>
      <w:pPr>
        <w:pStyle w:val="BodyText"/>
        <w:spacing w:before="8"/>
        <w:rPr>
          <w:sz w:val="19"/>
        </w:rPr>
      </w:pPr>
    </w:p>
    <w:p>
      <w:pPr>
        <w:pStyle w:val="Heading4"/>
        <w:rPr>
          <w:b w:val="0"/>
        </w:rPr>
      </w:pPr>
      <w:r>
        <w:rPr/>
        <w:t>Mathematical Formula</w:t>
      </w:r>
      <w:r>
        <w:rPr>
          <w:b w:val="0"/>
        </w:rPr>
        <w:t>:</w:t>
      </w:r>
    </w:p>
    <w:p>
      <w:pPr>
        <w:pStyle w:val="BodyText"/>
        <w:spacing w:before="8"/>
        <w:rPr>
          <w:sz w:val="19"/>
        </w:rPr>
      </w:pPr>
    </w:p>
    <w:p>
      <w:pPr>
        <w:pStyle w:val="BodyText"/>
        <w:spacing w:before="1"/>
        <w:ind w:left="220"/>
      </w:pPr>
      <w:r>
        <w:rPr/>
        <w:t>The sum of a power series is based on the formula:</w:t>
      </w:r>
    </w:p>
    <w:p>
      <w:pPr>
        <w:pStyle w:val="BodyText"/>
        <w:spacing w:before="10"/>
        <w:rPr>
          <w:sz w:val="20"/>
        </w:rPr>
      </w:pPr>
    </w:p>
    <w:p>
      <w:pPr>
        <w:pStyle w:val="BodyText"/>
        <w:ind w:left="220"/>
        <w:rPr>
          <w:rFonts w:ascii="Cambria Math" w:hAnsi="Cambria Math" w:eastAsia="Cambria Math"/>
        </w:rPr>
      </w:pPr>
      <w:r>
        <w:rPr>
          <w:rFonts w:ascii="Cambria Math" w:hAnsi="Cambria Math" w:eastAsia="Cambria Math"/>
        </w:rPr>
        <w:t>𝑆𝐸𝑅𝐼𝐸𝑆</w:t>
      </w:r>
      <w:r>
        <w:rPr>
          <w:rFonts w:ascii="Cambria Math" w:hAnsi="Cambria Math" w:eastAsia="Cambria Math"/>
          <w:position w:val="1"/>
        </w:rPr>
        <w:t>(</w:t>
      </w:r>
      <w:r>
        <w:rPr>
          <w:rFonts w:ascii="Cambria Math" w:hAnsi="Cambria Math" w:eastAsia="Cambria Math"/>
        </w:rPr>
        <w:t>𝑥, 𝑛, 𝑚, 𝑎</w:t>
      </w:r>
      <w:r>
        <w:rPr>
          <w:rFonts w:ascii="Cambria Math" w:hAnsi="Cambria Math" w:eastAsia="Cambria Math"/>
          <w:position w:val="1"/>
        </w:rPr>
        <w:t>) </w:t>
      </w:r>
      <w:r>
        <w:rPr>
          <w:rFonts w:ascii="Cambria Math" w:hAnsi="Cambria Math" w:eastAsia="Cambria Math"/>
        </w:rPr>
        <w:t>= 𝑎</w:t>
      </w:r>
      <w:r>
        <w:rPr>
          <w:rFonts w:ascii="Cambria Math" w:hAnsi="Cambria Math" w:eastAsia="Cambria Math"/>
          <w:position w:val="-4"/>
          <w:sz w:val="16"/>
        </w:rPr>
        <w:t>1</w:t>
      </w:r>
      <w:r>
        <w:rPr>
          <w:rFonts w:ascii="Cambria Math" w:hAnsi="Cambria Math" w:eastAsia="Cambria Math"/>
        </w:rPr>
        <w:t>𝑥</w:t>
      </w:r>
      <w:r>
        <w:rPr>
          <w:rFonts w:ascii="Cambria Math" w:hAnsi="Cambria Math" w:eastAsia="Cambria Math"/>
          <w:vertAlign w:val="superscript"/>
        </w:rPr>
        <w:t>𝑛</w:t>
      </w:r>
      <w:r>
        <w:rPr>
          <w:rFonts w:ascii="Cambria Math" w:hAnsi="Cambria Math" w:eastAsia="Cambria Math"/>
          <w:vertAlign w:val="baseline"/>
        </w:rPr>
        <w:t> + 𝑎</w:t>
      </w:r>
      <w:r>
        <w:rPr>
          <w:rFonts w:ascii="Cambria Math" w:hAnsi="Cambria Math" w:eastAsia="Cambria Math"/>
          <w:position w:val="-4"/>
          <w:sz w:val="16"/>
          <w:vertAlign w:val="baseline"/>
        </w:rPr>
        <w:t>2</w:t>
      </w:r>
      <w:r>
        <w:rPr>
          <w:rFonts w:ascii="Cambria Math" w:hAnsi="Cambria Math" w:eastAsia="Cambria Math"/>
          <w:vertAlign w:val="baseline"/>
        </w:rPr>
        <w:t>𝑥</w:t>
      </w:r>
      <w:r>
        <w:rPr>
          <w:rFonts w:ascii="Cambria Math" w:hAnsi="Cambria Math" w:eastAsia="Cambria Math"/>
          <w:vertAlign w:val="superscript"/>
        </w:rPr>
        <w:t>(𝑛+𝑚)</w:t>
      </w:r>
      <w:r>
        <w:rPr>
          <w:rFonts w:ascii="Cambria Math" w:hAnsi="Cambria Math" w:eastAsia="Cambria Math"/>
          <w:vertAlign w:val="baseline"/>
        </w:rPr>
        <w:t> + 𝑎</w:t>
      </w:r>
      <w:r>
        <w:rPr>
          <w:rFonts w:ascii="Cambria Math" w:hAnsi="Cambria Math" w:eastAsia="Cambria Math"/>
          <w:position w:val="-4"/>
          <w:sz w:val="16"/>
          <w:vertAlign w:val="baseline"/>
        </w:rPr>
        <w:t>3</w:t>
      </w:r>
      <w:r>
        <w:rPr>
          <w:rFonts w:ascii="Cambria Math" w:hAnsi="Cambria Math" w:eastAsia="Cambria Math"/>
          <w:vertAlign w:val="baseline"/>
        </w:rPr>
        <w:t>𝑥</w:t>
      </w:r>
      <w:r>
        <w:rPr>
          <w:rFonts w:ascii="Cambria Math" w:hAnsi="Cambria Math" w:eastAsia="Cambria Math"/>
          <w:vertAlign w:val="superscript"/>
        </w:rPr>
        <w:t>(𝑛+2𝑚)</w:t>
      </w:r>
      <w:r>
        <w:rPr>
          <w:rFonts w:ascii="Cambria Math" w:hAnsi="Cambria Math" w:eastAsia="Cambria Math"/>
          <w:vertAlign w:val="baseline"/>
        </w:rPr>
        <w:t> + ⋯ + 𝑎</w:t>
      </w:r>
      <w:r>
        <w:rPr>
          <w:rFonts w:ascii="Cambria Math" w:hAnsi="Cambria Math" w:eastAsia="Cambria Math"/>
          <w:position w:val="-4"/>
          <w:sz w:val="16"/>
          <w:vertAlign w:val="baseline"/>
        </w:rPr>
        <w:t>𝑖</w:t>
      </w:r>
      <w:r>
        <w:rPr>
          <w:rFonts w:ascii="Cambria Math" w:hAnsi="Cambria Math" w:eastAsia="Cambria Math"/>
          <w:vertAlign w:val="baseline"/>
        </w:rPr>
        <w:t>𝑥</w:t>
      </w:r>
      <w:r>
        <w:rPr>
          <w:rFonts w:ascii="Cambria Math" w:hAnsi="Cambria Math" w:eastAsia="Cambria Math"/>
          <w:vertAlign w:val="superscript"/>
        </w:rPr>
        <w:t>(𝑛+(𝑖−1)𝑚)</w:t>
      </w:r>
    </w:p>
    <w:p>
      <w:pPr>
        <w:pStyle w:val="BodyText"/>
        <w:spacing w:before="202"/>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a </w:t>
      </w:r>
      <w:r>
        <w:rPr>
          <w:sz w:val="22"/>
        </w:rPr>
        <w:t>= argument</w:t>
      </w:r>
      <w:r>
        <w:rPr>
          <w:spacing w:val="4"/>
          <w:sz w:val="22"/>
        </w:rPr>
        <w:t> </w:t>
      </w:r>
      <w:r>
        <w:rPr>
          <w:rFonts w:ascii="Times New Roman" w:hAnsi="Times New Roman"/>
          <w:i/>
          <w:sz w:val="22"/>
        </w:rPr>
        <w:t>coefficients</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m = </w:t>
      </w:r>
      <w:r>
        <w:rPr>
          <w:sz w:val="22"/>
        </w:rPr>
        <w:t>argument</w:t>
      </w:r>
      <w:r>
        <w:rPr>
          <w:spacing w:val="2"/>
          <w:sz w:val="22"/>
        </w:rPr>
        <w:t> </w:t>
      </w:r>
      <w:r>
        <w:rPr>
          <w:rFonts w:ascii="Times New Roman" w:hAnsi="Times New Roman"/>
          <w:i/>
          <w:sz w:val="22"/>
        </w:rPr>
        <w:t>step</w:t>
      </w:r>
    </w:p>
    <w:p>
      <w:pPr>
        <w:pStyle w:val="ListParagraph"/>
        <w:numPr>
          <w:ilvl w:val="4"/>
          <w:numId w:val="66"/>
        </w:numPr>
        <w:tabs>
          <w:tab w:pos="940" w:val="left" w:leader="none"/>
          <w:tab w:pos="941" w:val="left" w:leader="none"/>
        </w:tabs>
        <w:spacing w:line="240" w:lineRule="auto" w:before="39" w:after="0"/>
        <w:ind w:left="940" w:right="0" w:hanging="361"/>
        <w:jc w:val="left"/>
        <w:rPr>
          <w:i/>
          <w:sz w:val="22"/>
        </w:rPr>
      </w:pPr>
      <w:r>
        <w:rPr>
          <w:i/>
          <w:sz w:val="22"/>
        </w:rPr>
        <w:t>n = </w:t>
      </w:r>
      <w:r>
        <w:rPr>
          <w:sz w:val="22"/>
        </w:rPr>
        <w:t>argument</w:t>
      </w:r>
      <w:r>
        <w:rPr>
          <w:spacing w:val="-1"/>
          <w:sz w:val="22"/>
        </w:rPr>
        <w:t> </w:t>
      </w:r>
      <w:r>
        <w:rPr>
          <w:i/>
          <w:sz w:val="22"/>
        </w:rPr>
        <w:t>initial-power</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x = </w:t>
      </w:r>
      <w:r>
        <w:rPr>
          <w:sz w:val="22"/>
        </w:rPr>
        <w:t>argument</w:t>
      </w:r>
      <w:r>
        <w:rPr>
          <w:spacing w:val="4"/>
          <w:sz w:val="22"/>
        </w:rPr>
        <w:t> </w:t>
      </w:r>
      <w:r>
        <w:rPr>
          <w:rFonts w:ascii="Times New Roman" w:hAnsi="Times New Roman"/>
          <w:i/>
          <w:sz w:val="22"/>
        </w:rPr>
        <w:t>input-value</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sz w:val="22"/>
              </w:rPr>
              <w:t>input-value</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input value to the power series;</w:t>
            </w:r>
          </w:p>
        </w:tc>
      </w:tr>
      <w:tr>
        <w:trPr>
          <w:trHeight w:val="354" w:hRule="atLeast"/>
        </w:trPr>
        <w:tc>
          <w:tcPr>
            <w:tcW w:w="1466" w:type="dxa"/>
          </w:tcPr>
          <w:p>
            <w:pPr>
              <w:pStyle w:val="TableParagraph"/>
              <w:spacing w:before="37"/>
              <w:rPr>
                <w:rFonts w:ascii="Times New Roman"/>
                <w:i/>
                <w:sz w:val="22"/>
              </w:rPr>
            </w:pPr>
            <w:r>
              <w:rPr>
                <w:rFonts w:ascii="Times New Roman"/>
                <w:i/>
                <w:sz w:val="22"/>
              </w:rPr>
              <w:t>initial-power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initial power to which </w:t>
            </w:r>
            <w:r>
              <w:rPr>
                <w:rFonts w:ascii="Times New Roman"/>
                <w:i/>
                <w:sz w:val="22"/>
              </w:rPr>
              <w:t>input-value </w:t>
            </w:r>
            <w:r>
              <w:rPr>
                <w:sz w:val="22"/>
              </w:rPr>
              <w:t>is to be raised.</w:t>
            </w:r>
          </w:p>
        </w:tc>
      </w:tr>
      <w:tr>
        <w:trPr>
          <w:trHeight w:val="624" w:hRule="atLeast"/>
        </w:trPr>
        <w:tc>
          <w:tcPr>
            <w:tcW w:w="1466" w:type="dxa"/>
          </w:tcPr>
          <w:p>
            <w:pPr>
              <w:pStyle w:val="TableParagraph"/>
              <w:spacing w:before="37"/>
              <w:rPr>
                <w:rFonts w:ascii="Times New Roman"/>
                <w:i/>
                <w:sz w:val="22"/>
              </w:rPr>
            </w:pPr>
            <w:r>
              <w:rPr>
                <w:rFonts w:ascii="Times New Roman"/>
                <w:i/>
                <w:sz w:val="22"/>
              </w:rPr>
              <w:t>step</w:t>
            </w:r>
          </w:p>
        </w:tc>
        <w:tc>
          <w:tcPr>
            <w:tcW w:w="1800" w:type="dxa"/>
          </w:tcPr>
          <w:p>
            <w:pPr>
              <w:pStyle w:val="TableParagraph"/>
              <w:ind w:left="112"/>
              <w:rPr>
                <w:sz w:val="22"/>
              </w:rPr>
            </w:pPr>
            <w:r>
              <w:rPr>
                <w:sz w:val="22"/>
              </w:rPr>
              <w:t>number</w:t>
            </w:r>
          </w:p>
        </w:tc>
        <w:tc>
          <w:tcPr>
            <w:tcW w:w="5400" w:type="dxa"/>
          </w:tcPr>
          <w:p>
            <w:pPr>
              <w:pStyle w:val="TableParagraph"/>
              <w:ind w:left="113" w:right="87"/>
              <w:rPr>
                <w:sz w:val="22"/>
              </w:rPr>
            </w:pPr>
            <w:r>
              <w:rPr>
                <w:sz w:val="22"/>
              </w:rPr>
              <w:t>The step by which to increase </w:t>
            </w:r>
            <w:r>
              <w:rPr>
                <w:rFonts w:ascii="Times New Roman"/>
                <w:i/>
                <w:sz w:val="22"/>
              </w:rPr>
              <w:t>initial-power </w:t>
            </w:r>
            <w:r>
              <w:rPr>
                <w:sz w:val="22"/>
              </w:rPr>
              <w:t>for each term in the series;</w:t>
            </w:r>
          </w:p>
        </w:tc>
      </w:tr>
      <w:tr>
        <w:trPr>
          <w:trHeight w:val="1161" w:hRule="atLeast"/>
        </w:trPr>
        <w:tc>
          <w:tcPr>
            <w:tcW w:w="1466" w:type="dxa"/>
          </w:tcPr>
          <w:p>
            <w:pPr>
              <w:pStyle w:val="TableParagraph"/>
              <w:spacing w:before="37"/>
              <w:rPr>
                <w:rFonts w:ascii="Times New Roman"/>
                <w:i/>
                <w:sz w:val="22"/>
              </w:rPr>
            </w:pPr>
            <w:r>
              <w:rPr>
                <w:rFonts w:ascii="Times New Roman"/>
                <w:i/>
                <w:sz w:val="22"/>
              </w:rPr>
              <w:t>coefficients</w:t>
            </w:r>
          </w:p>
        </w:tc>
        <w:tc>
          <w:tcPr>
            <w:tcW w:w="1800" w:type="dxa"/>
          </w:tcPr>
          <w:p>
            <w:pPr>
              <w:pStyle w:val="TableParagraph"/>
              <w:ind w:left="112"/>
              <w:rPr>
                <w:sz w:val="22"/>
              </w:rPr>
            </w:pPr>
            <w:r>
              <w:rPr>
                <w:sz w:val="22"/>
              </w:rPr>
              <w:t>reference</w:t>
            </w:r>
          </w:p>
        </w:tc>
        <w:tc>
          <w:tcPr>
            <w:tcW w:w="5400" w:type="dxa"/>
          </w:tcPr>
          <w:p>
            <w:pPr>
              <w:pStyle w:val="TableParagraph"/>
              <w:ind w:left="113" w:right="358"/>
              <w:rPr>
                <w:sz w:val="22"/>
              </w:rPr>
            </w:pPr>
            <w:r>
              <w:rPr>
                <w:sz w:val="22"/>
              </w:rPr>
              <w:t>A set of coefficients by which each successive power of </w:t>
            </w:r>
            <w:r>
              <w:rPr>
                <w:rFonts w:ascii="Times New Roman"/>
                <w:i/>
                <w:sz w:val="22"/>
              </w:rPr>
              <w:t>input-value </w:t>
            </w:r>
            <w:r>
              <w:rPr>
                <w:sz w:val="22"/>
              </w:rPr>
              <w:t>is multiplied. The number of values in </w:t>
            </w:r>
            <w:r>
              <w:rPr>
                <w:rFonts w:ascii="Times New Roman"/>
                <w:i/>
                <w:sz w:val="22"/>
              </w:rPr>
              <w:t>coefficients </w:t>
            </w:r>
            <w:r>
              <w:rPr>
                <w:sz w:val="22"/>
              </w:rPr>
              <w:t>determines the number of terms in the power series.</w:t>
            </w:r>
          </w:p>
        </w:tc>
      </w:tr>
    </w:tbl>
    <w:p>
      <w:pPr>
        <w:spacing w:after="0"/>
        <w:rPr>
          <w:sz w:val="22"/>
        </w:rPr>
        <w:sectPr>
          <w:pgSz w:w="12240" w:h="15840"/>
          <w:pgMar w:header="761" w:footer="746" w:top="1340" w:bottom="940" w:left="860" w:right="700"/>
        </w:sectPr>
      </w:pPr>
    </w:p>
    <w:p>
      <w:pPr>
        <w:spacing w:line="456" w:lineRule="auto" w:before="150"/>
        <w:ind w:left="220" w:right="4933" w:firstLine="0"/>
        <w:jc w:val="left"/>
        <w:rPr>
          <w:sz w:val="22"/>
        </w:rPr>
      </w:pPr>
      <w:r>
        <w:rPr>
          <w:b/>
          <w:sz w:val="22"/>
        </w:rPr>
        <w:t>Return Type and Value: </w:t>
      </w:r>
      <w:r>
        <w:rPr>
          <w:sz w:val="22"/>
        </w:rPr>
        <w:t>number – The sum of a power series. [</w:t>
      </w:r>
      <w:r>
        <w:rPr>
          <w:i/>
          <w:sz w:val="22"/>
        </w:rPr>
        <w:t>Example</w:t>
      </w:r>
      <w:r>
        <w:rPr>
          <w:sz w:val="22"/>
        </w:rPr>
        <w:t>: Given the following 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718"/>
      </w:tblGrid>
      <w:tr>
        <w:trPr>
          <w:trHeight w:val="354" w:hRule="atLeast"/>
        </w:trPr>
        <w:tc>
          <w:tcPr>
            <w:tcW w:w="468" w:type="dxa"/>
            <w:shd w:val="clear" w:color="auto" w:fill="C0C0C0"/>
          </w:tcPr>
          <w:p>
            <w:pPr>
              <w:pStyle w:val="TableParagraph"/>
              <w:spacing w:before="0"/>
              <w:ind w:left="0"/>
              <w:rPr>
                <w:rFonts w:ascii="Times New Roman"/>
                <w:sz w:val="22"/>
              </w:rPr>
            </w:pPr>
          </w:p>
        </w:tc>
        <w:tc>
          <w:tcPr>
            <w:tcW w:w="1718" w:type="dxa"/>
            <w:shd w:val="clear" w:color="auto" w:fill="C0C0C0"/>
          </w:tcPr>
          <w:p>
            <w:pPr>
              <w:pStyle w:val="TableParagraph"/>
              <w:ind w:left="9"/>
              <w:jc w:val="center"/>
              <w:rPr>
                <w:b/>
                <w:sz w:val="22"/>
              </w:rPr>
            </w:pPr>
            <w:r>
              <w:rPr>
                <w:b/>
                <w:w w:val="100"/>
                <w:sz w:val="22"/>
              </w:rPr>
              <w:t>A</w:t>
            </w:r>
          </w:p>
        </w:tc>
      </w:tr>
      <w:tr>
        <w:trPr>
          <w:trHeight w:val="354" w:hRule="atLeast"/>
        </w:trPr>
        <w:tc>
          <w:tcPr>
            <w:tcW w:w="468" w:type="dxa"/>
          </w:tcPr>
          <w:p>
            <w:pPr>
              <w:pStyle w:val="TableParagraph"/>
              <w:rPr>
                <w:sz w:val="22"/>
              </w:rPr>
            </w:pPr>
            <w:r>
              <w:rPr>
                <w:w w:val="100"/>
                <w:sz w:val="22"/>
              </w:rPr>
              <w:t>1</w:t>
            </w:r>
          </w:p>
        </w:tc>
        <w:tc>
          <w:tcPr>
            <w:tcW w:w="1718" w:type="dxa"/>
          </w:tcPr>
          <w:p>
            <w:pPr>
              <w:pStyle w:val="TableParagraph"/>
              <w:ind w:left="114"/>
              <w:rPr>
                <w:sz w:val="22"/>
              </w:rPr>
            </w:pPr>
            <w:r>
              <w:rPr>
                <w:w w:val="100"/>
                <w:sz w:val="22"/>
              </w:rPr>
              <w:t>1</w:t>
            </w:r>
          </w:p>
        </w:tc>
      </w:tr>
      <w:tr>
        <w:trPr>
          <w:trHeight w:val="354" w:hRule="atLeast"/>
        </w:trPr>
        <w:tc>
          <w:tcPr>
            <w:tcW w:w="468" w:type="dxa"/>
          </w:tcPr>
          <w:p>
            <w:pPr>
              <w:pStyle w:val="TableParagraph"/>
              <w:rPr>
                <w:sz w:val="22"/>
              </w:rPr>
            </w:pPr>
            <w:r>
              <w:rPr>
                <w:w w:val="100"/>
                <w:sz w:val="22"/>
              </w:rPr>
              <w:t>2</w:t>
            </w:r>
          </w:p>
        </w:tc>
        <w:tc>
          <w:tcPr>
            <w:tcW w:w="1718" w:type="dxa"/>
          </w:tcPr>
          <w:p>
            <w:pPr>
              <w:pStyle w:val="TableParagraph"/>
              <w:ind w:left="114"/>
              <w:rPr>
                <w:sz w:val="22"/>
              </w:rPr>
            </w:pPr>
            <w:r>
              <w:rPr>
                <w:sz w:val="22"/>
              </w:rPr>
              <w:t>=-1/FACT(2)</w:t>
            </w:r>
          </w:p>
        </w:tc>
      </w:tr>
      <w:tr>
        <w:trPr>
          <w:trHeight w:val="354" w:hRule="atLeast"/>
        </w:trPr>
        <w:tc>
          <w:tcPr>
            <w:tcW w:w="468" w:type="dxa"/>
          </w:tcPr>
          <w:p>
            <w:pPr>
              <w:pStyle w:val="TableParagraph"/>
              <w:rPr>
                <w:sz w:val="22"/>
              </w:rPr>
            </w:pPr>
            <w:r>
              <w:rPr>
                <w:w w:val="100"/>
                <w:sz w:val="22"/>
              </w:rPr>
              <w:t>3</w:t>
            </w:r>
          </w:p>
        </w:tc>
        <w:tc>
          <w:tcPr>
            <w:tcW w:w="1718" w:type="dxa"/>
          </w:tcPr>
          <w:p>
            <w:pPr>
              <w:pStyle w:val="TableParagraph"/>
              <w:ind w:left="114"/>
              <w:rPr>
                <w:sz w:val="22"/>
              </w:rPr>
            </w:pPr>
            <w:r>
              <w:rPr>
                <w:sz w:val="22"/>
              </w:rPr>
              <w:t>=1/FACT(4)</w:t>
            </w:r>
          </w:p>
        </w:tc>
      </w:tr>
      <w:tr>
        <w:trPr>
          <w:trHeight w:val="354" w:hRule="atLeast"/>
        </w:trPr>
        <w:tc>
          <w:tcPr>
            <w:tcW w:w="468" w:type="dxa"/>
          </w:tcPr>
          <w:p>
            <w:pPr>
              <w:pStyle w:val="TableParagraph"/>
              <w:rPr>
                <w:sz w:val="22"/>
              </w:rPr>
            </w:pPr>
            <w:r>
              <w:rPr>
                <w:w w:val="100"/>
                <w:sz w:val="22"/>
              </w:rPr>
              <w:t>4</w:t>
            </w:r>
          </w:p>
        </w:tc>
        <w:tc>
          <w:tcPr>
            <w:tcW w:w="1718" w:type="dxa"/>
          </w:tcPr>
          <w:p>
            <w:pPr>
              <w:pStyle w:val="TableParagraph"/>
              <w:ind w:left="114"/>
              <w:rPr>
                <w:sz w:val="22"/>
              </w:rPr>
            </w:pPr>
            <w:r>
              <w:rPr>
                <w:sz w:val="22"/>
              </w:rPr>
              <w:t>=-1/FACT(6)</w:t>
            </w:r>
          </w:p>
        </w:tc>
      </w:tr>
    </w:tbl>
    <w:p>
      <w:pPr>
        <w:pStyle w:val="BodyText"/>
        <w:spacing w:before="9"/>
        <w:rPr>
          <w:sz w:val="24"/>
        </w:rPr>
      </w:pPr>
    </w:p>
    <w:p>
      <w:pPr>
        <w:pStyle w:val="BodyText"/>
        <w:spacing w:before="1"/>
        <w:ind w:left="220"/>
      </w:pPr>
      <w:r>
        <w:rPr>
          <w:rFonts w:ascii="Consolas" w:hAnsi="Consolas"/>
        </w:rPr>
        <w:t>SERIESSUM(PI()/4,0,2,A1:A4)</w:t>
      </w:r>
      <w:r>
        <w:rPr>
          <w:rFonts w:ascii="Consolas" w:hAnsi="Consolas"/>
          <w:spacing w:val="-80"/>
        </w:rPr>
        <w:t> </w:t>
      </w:r>
      <w:r>
        <w:rPr/>
        <w:t>results in </w:t>
      </w:r>
      <w:r>
        <w:rPr>
          <w:rFonts w:ascii="Consolas" w:hAnsi="Consolas"/>
        </w:rPr>
        <w:t>0.707103</w:t>
      </w:r>
      <w:r>
        <w:rPr/>
        <w:t>, an approximation to the cosine of π/4 radians</w:t>
      </w:r>
    </w:p>
    <w:p>
      <w:pPr>
        <w:pStyle w:val="BodyText"/>
        <w:spacing w:before="11"/>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89 SIGN" w:id="2259"/>
      <w:bookmarkEnd w:id="2259"/>
      <w:r>
        <w:rPr/>
      </w:r>
      <w:bookmarkStart w:name="_bookmark752" w:id="2260"/>
      <w:bookmarkEnd w:id="2260"/>
      <w:r>
        <w:rPr/>
      </w:r>
      <w:bookmarkStart w:name="_bookmark752" w:id="2261"/>
      <w:bookmarkEnd w:id="2261"/>
      <w:r>
        <w:rPr>
          <w:color w:val="4F81BC"/>
        </w:rPr>
        <w:t>S</w:t>
      </w:r>
      <w:r>
        <w:rPr>
          <w:color w:val="4F81BC"/>
        </w:rPr>
        <w:t>IGN</w:t>
      </w:r>
    </w:p>
    <w:p>
      <w:pPr>
        <w:pStyle w:val="Heading4"/>
        <w:spacing w:before="122"/>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SIGN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Determines the sign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whose sign is to be determined.</w:t>
            </w:r>
          </w:p>
        </w:tc>
      </w:tr>
    </w:tbl>
    <w:p>
      <w:pPr>
        <w:pStyle w:val="BodyText"/>
        <w:rPr>
          <w:b/>
        </w:rPr>
      </w:pPr>
    </w:p>
    <w:p>
      <w:pPr>
        <w:pStyle w:val="BodyText"/>
        <w:spacing w:before="7"/>
        <w:rPr>
          <w:b/>
          <w:sz w:val="19"/>
        </w:rPr>
      </w:pPr>
    </w:p>
    <w:p>
      <w:pPr>
        <w:spacing w:line="453" w:lineRule="auto" w:before="0"/>
        <w:ind w:left="220" w:right="2289" w:firstLine="0"/>
        <w:jc w:val="left"/>
        <w:rPr>
          <w:sz w:val="22"/>
        </w:rPr>
      </w:pPr>
      <w:r>
        <w:rPr>
          <w:b/>
          <w:sz w:val="22"/>
        </w:rPr>
        <w:t>Return Type and Value: </w:t>
      </w:r>
      <w:r>
        <w:rPr>
          <w:sz w:val="22"/>
        </w:rPr>
        <w:t>number – 1 if </w:t>
      </w:r>
      <w:r>
        <w:rPr>
          <w:rFonts w:ascii="Times New Roman" w:hAnsi="Times New Roman"/>
          <w:i/>
          <w:sz w:val="22"/>
        </w:rPr>
        <w:t>x </w:t>
      </w:r>
      <w:r>
        <w:rPr>
          <w:sz w:val="22"/>
        </w:rPr>
        <w:t>is positive, 0 if </w:t>
      </w:r>
      <w:r>
        <w:rPr>
          <w:rFonts w:ascii="Times New Roman" w:hAnsi="Times New Roman"/>
          <w:i/>
          <w:sz w:val="22"/>
        </w:rPr>
        <w:t>x </w:t>
      </w:r>
      <w:r>
        <w:rPr>
          <w:sz w:val="22"/>
        </w:rPr>
        <w:t>is 0, and -1 if </w:t>
      </w:r>
      <w:r>
        <w:rPr>
          <w:rFonts w:ascii="Times New Roman" w:hAnsi="Times New Roman"/>
          <w:i/>
          <w:sz w:val="22"/>
        </w:rPr>
        <w:t>x </w:t>
      </w:r>
      <w:r>
        <w:rPr>
          <w:sz w:val="22"/>
        </w:rPr>
        <w:t>is negative. [</w:t>
      </w:r>
      <w:r>
        <w:rPr>
          <w:i/>
          <w:sz w:val="22"/>
        </w:rPr>
        <w:t>Example</w:t>
      </w:r>
      <w:r>
        <w:rPr>
          <w:sz w:val="22"/>
        </w:rPr>
        <w:t>:</w:t>
      </w:r>
    </w:p>
    <w:p>
      <w:pPr>
        <w:pStyle w:val="BodyText"/>
        <w:spacing w:line="276" w:lineRule="auto" w:before="108"/>
        <w:ind w:left="220" w:right="8092"/>
        <w:rPr>
          <w:rFonts w:ascii="Consolas"/>
        </w:rPr>
      </w:pPr>
      <w:r>
        <w:rPr>
          <w:rFonts w:ascii="Consolas"/>
        </w:rPr>
        <w:t>SIGN(10.5) </w:t>
      </w:r>
      <w:r>
        <w:rPr/>
        <w:t>results in </w:t>
      </w:r>
      <w:r>
        <w:rPr>
          <w:rFonts w:ascii="Consolas"/>
        </w:rPr>
        <w:t>1 SIGN(0) </w:t>
      </w:r>
      <w:r>
        <w:rPr/>
        <w:t>results in </w:t>
      </w:r>
      <w:r>
        <w:rPr>
          <w:rFonts w:ascii="Consolas"/>
        </w:rPr>
        <w:t>0 SIGN(-5.4)</w:t>
      </w:r>
      <w:r>
        <w:rPr>
          <w:rFonts w:ascii="Consolas"/>
          <w:spacing w:val="-79"/>
        </w:rPr>
        <w:t> </w:t>
      </w:r>
      <w:r>
        <w:rPr/>
        <w:t>results in </w:t>
      </w:r>
      <w:r>
        <w:rPr>
          <w:rFonts w:ascii="Consolas"/>
        </w:rPr>
        <w:t>-1</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0 SIN" w:id="2262"/>
      <w:bookmarkEnd w:id="2262"/>
      <w:r>
        <w:rPr/>
      </w:r>
      <w:bookmarkStart w:name="_bookmark753" w:id="2263"/>
      <w:bookmarkEnd w:id="2263"/>
      <w:r>
        <w:rPr/>
      </w:r>
      <w:bookmarkStart w:name="_bookmark753" w:id="2264"/>
      <w:bookmarkEnd w:id="2264"/>
      <w:r>
        <w:rPr>
          <w:color w:val="4F81BC"/>
        </w:rPr>
        <w:t>S</w:t>
      </w:r>
      <w:r>
        <w:rPr>
          <w:color w:val="4F81BC"/>
        </w:rPr>
        <w:t>IN</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SIN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sine of </w:t>
      </w:r>
      <w:r>
        <w:rPr>
          <w:rFonts w:ascii="Times New Roman"/>
          <w:i/>
          <w:sz w:val="22"/>
        </w:rPr>
        <w:t>x</w:t>
      </w:r>
      <w:r>
        <w:rPr>
          <w:sz w:val="22"/>
        </w:rPr>
        <w:t>.</w:t>
      </w:r>
    </w:p>
    <w:p>
      <w:pPr>
        <w:pStyle w:val="BodyText"/>
        <w:spacing w:before="8"/>
        <w:rPr>
          <w:sz w:val="19"/>
        </w:rPr>
      </w:pPr>
    </w:p>
    <w:p>
      <w:pPr>
        <w:pStyle w:val="Heading4"/>
      </w:pPr>
      <w:r>
        <w:rPr/>
        <w:t>Arguments:</w:t>
      </w:r>
    </w:p>
    <w:p>
      <w:pPr>
        <w:spacing w:after="0"/>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in radians, whose sine is to be computed.</w:t>
            </w:r>
          </w:p>
        </w:tc>
      </w:tr>
    </w:tbl>
    <w:p>
      <w:pPr>
        <w:pStyle w:val="BodyText"/>
        <w:rPr>
          <w:b/>
          <w:sz w:val="20"/>
        </w:rPr>
      </w:pPr>
    </w:p>
    <w:p>
      <w:pPr>
        <w:pStyle w:val="BodyText"/>
        <w:spacing w:before="7"/>
        <w:rPr>
          <w:b/>
          <w:sz w:val="21"/>
        </w:rPr>
      </w:pPr>
    </w:p>
    <w:p>
      <w:pPr>
        <w:spacing w:line="453" w:lineRule="auto" w:before="0"/>
        <w:ind w:left="220" w:right="6149" w:firstLine="0"/>
        <w:jc w:val="left"/>
        <w:rPr>
          <w:sz w:val="22"/>
        </w:rPr>
      </w:pPr>
      <w:r>
        <w:rPr>
          <w:b/>
          <w:sz w:val="22"/>
        </w:rPr>
        <w:t>Return Type and Value: </w:t>
      </w:r>
      <w:r>
        <w:rPr>
          <w:sz w:val="22"/>
        </w:rPr>
        <w:t>number – The sine of </w:t>
      </w:r>
      <w:r>
        <w:rPr>
          <w:rFonts w:ascii="Times New Roman" w:hAnsi="Times New Roman"/>
          <w:i/>
          <w:sz w:val="22"/>
        </w:rPr>
        <w:t>x</w:t>
      </w:r>
      <w:r>
        <w:rPr>
          <w:sz w:val="22"/>
        </w:rPr>
        <w:t>. [</w:t>
      </w:r>
      <w:r>
        <w:rPr>
          <w:i/>
          <w:sz w:val="22"/>
        </w:rPr>
        <w:t>Example</w:t>
      </w:r>
      <w:r>
        <w:rPr>
          <w:sz w:val="22"/>
        </w:rPr>
        <w:t>:</w:t>
      </w:r>
    </w:p>
    <w:p>
      <w:pPr>
        <w:pStyle w:val="BodyText"/>
        <w:spacing w:line="276" w:lineRule="auto" w:before="109"/>
        <w:ind w:left="220" w:right="7240"/>
        <w:rPr>
          <w:rFonts w:ascii="Consolas"/>
        </w:rPr>
      </w:pPr>
      <w:r>
        <w:rPr>
          <w:rFonts w:ascii="Consolas"/>
        </w:rPr>
        <w:t>SIN(-1)</w:t>
      </w:r>
      <w:r>
        <w:rPr>
          <w:rFonts w:ascii="Consolas"/>
          <w:spacing w:val="-83"/>
        </w:rPr>
        <w:t> </w:t>
      </w:r>
      <w:r>
        <w:rPr/>
        <w:t>results in </w:t>
      </w:r>
      <w:r>
        <w:rPr>
          <w:rFonts w:ascii="Consolas"/>
        </w:rPr>
        <w:t>-0.841470985 SIN(0)</w:t>
      </w:r>
      <w:r>
        <w:rPr>
          <w:rFonts w:ascii="Consolas"/>
          <w:spacing w:val="-73"/>
        </w:rPr>
        <w:t> </w:t>
      </w:r>
      <w:r>
        <w:rPr/>
        <w:t>results in </w:t>
      </w:r>
      <w:r>
        <w:rPr>
          <w:rFonts w:ascii="Consolas"/>
        </w:rPr>
        <w:t>0</w:t>
      </w:r>
    </w:p>
    <w:p>
      <w:pPr>
        <w:pStyle w:val="BodyText"/>
        <w:spacing w:before="1"/>
        <w:ind w:left="220"/>
        <w:rPr>
          <w:rFonts w:ascii="Consolas"/>
        </w:rPr>
      </w:pPr>
      <w:r>
        <w:rPr>
          <w:rFonts w:ascii="Consolas"/>
        </w:rPr>
        <w:t>SIN(1)</w:t>
      </w:r>
      <w:r>
        <w:rPr>
          <w:rFonts w:ascii="Consolas"/>
          <w:spacing w:val="-73"/>
        </w:rPr>
        <w:t> </w:t>
      </w:r>
      <w:r>
        <w:rPr/>
        <w:t>results in </w:t>
      </w:r>
      <w:r>
        <w:rPr>
          <w:rFonts w:ascii="Consolas"/>
        </w:rPr>
        <w:t>0.841470985</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1 SINH" w:id="2265"/>
      <w:bookmarkEnd w:id="2265"/>
      <w:r>
        <w:rPr/>
      </w:r>
      <w:bookmarkStart w:name="_bookmark754" w:id="2266"/>
      <w:bookmarkEnd w:id="2266"/>
      <w:r>
        <w:rPr/>
      </w:r>
      <w:bookmarkStart w:name="_bookmark754" w:id="2267"/>
      <w:bookmarkEnd w:id="2267"/>
      <w:r>
        <w:rPr>
          <w:color w:val="4F81BC"/>
        </w:rPr>
        <w:t>S</w:t>
      </w:r>
      <w:r>
        <w:rPr>
          <w:color w:val="4F81BC"/>
        </w:rPr>
        <w:t>INH</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SINH ( </w:t>
      </w:r>
      <w:r>
        <w:rPr>
          <w:i/>
          <w:sz w:val="22"/>
        </w:rPr>
        <w:t>x </w:t>
      </w:r>
      <w:r>
        <w:rPr>
          <w:rFonts w:ascii="Lucida Console"/>
          <w:sz w:val="20"/>
        </w:rPr>
        <w:t>)</w:t>
      </w:r>
    </w:p>
    <w:p>
      <w:pPr>
        <w:spacing w:before="109"/>
        <w:ind w:left="220" w:right="0" w:firstLine="0"/>
        <w:jc w:val="left"/>
        <w:rPr>
          <w:sz w:val="22"/>
        </w:rPr>
      </w:pPr>
      <w:r>
        <w:rPr>
          <w:b/>
          <w:sz w:val="22"/>
        </w:rPr>
        <w:t>Description: </w:t>
      </w:r>
      <w:r>
        <w:rPr>
          <w:sz w:val="22"/>
        </w:rPr>
        <w:t>Computes the hyperbolic sine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whose hyperbolic sine is to be computed.</w:t>
            </w:r>
          </w:p>
        </w:tc>
      </w:tr>
    </w:tbl>
    <w:p>
      <w:pPr>
        <w:pStyle w:val="BodyText"/>
        <w:rPr>
          <w:b/>
        </w:rPr>
      </w:pPr>
    </w:p>
    <w:p>
      <w:pPr>
        <w:pStyle w:val="BodyText"/>
        <w:spacing w:before="8"/>
        <w:rPr>
          <w:b/>
          <w:sz w:val="19"/>
        </w:rPr>
      </w:pPr>
    </w:p>
    <w:p>
      <w:pPr>
        <w:spacing w:before="0"/>
        <w:ind w:left="220" w:right="0" w:firstLine="0"/>
        <w:jc w:val="left"/>
        <w:rPr>
          <w:sz w:val="22"/>
        </w:rPr>
      </w:pPr>
      <w:r>
        <w:rPr>
          <w:b/>
          <w:sz w:val="22"/>
        </w:rPr>
        <w:t>Return Type and Value: </w:t>
      </w:r>
      <w:r>
        <w:rPr>
          <w:sz w:val="22"/>
        </w:rPr>
        <w:t>number – The hyperbolic sine of </w:t>
      </w:r>
      <w:r>
        <w:rPr>
          <w:rFonts w:ascii="Times New Roman" w:hAnsi="Times New Roman"/>
          <w:i/>
          <w:sz w:val="22"/>
        </w:rPr>
        <w:t>x</w:t>
      </w:r>
      <w:r>
        <w:rPr>
          <w:sz w:val="22"/>
        </w:rPr>
        <w:t>.</w:t>
      </w:r>
    </w:p>
    <w:p>
      <w:pPr>
        <w:pStyle w:val="BodyText"/>
        <w:spacing w:before="8"/>
        <w:rPr>
          <w:sz w:val="19"/>
        </w:rPr>
      </w:pPr>
    </w:p>
    <w:p>
      <w:pPr>
        <w:pStyle w:val="BodyText"/>
        <w:spacing w:line="453" w:lineRule="auto"/>
        <w:ind w:left="220" w:right="1048"/>
      </w:pPr>
      <w:r>
        <w:rPr/>
        <w:t>However, if the magnitude of </w:t>
      </w:r>
      <w:r>
        <w:rPr>
          <w:rFonts w:ascii="Times New Roman"/>
          <w:i/>
        </w:rPr>
        <w:t>x </w:t>
      </w:r>
      <w:r>
        <w:rPr/>
        <w:t>is too large for the result to be represented, </w:t>
      </w:r>
      <w:r>
        <w:rPr>
          <w:rFonts w:ascii="Consolas"/>
        </w:rPr>
        <w:t>#NUM!</w:t>
      </w:r>
      <w:r>
        <w:rPr>
          <w:rFonts w:ascii="Consolas"/>
          <w:spacing w:val="-98"/>
        </w:rPr>
        <w:t> </w:t>
      </w:r>
      <w:r>
        <w:rPr/>
        <w:t>is returned. [</w:t>
      </w:r>
      <w:r>
        <w:rPr>
          <w:i/>
        </w:rPr>
        <w:t>Example</w:t>
      </w:r>
      <w:r>
        <w:rPr/>
        <w:t>:|</w:t>
      </w:r>
    </w:p>
    <w:p>
      <w:pPr>
        <w:pStyle w:val="BodyText"/>
        <w:spacing w:line="276" w:lineRule="auto" w:before="111"/>
        <w:ind w:left="220" w:right="7120"/>
        <w:rPr>
          <w:rFonts w:ascii="Consolas"/>
        </w:rPr>
      </w:pPr>
      <w:r>
        <w:rPr>
          <w:rFonts w:ascii="Consolas"/>
        </w:rPr>
        <w:t>SINH(1) </w:t>
      </w:r>
      <w:r>
        <w:rPr/>
        <w:t>results in </w:t>
      </w:r>
      <w:r>
        <w:rPr>
          <w:rFonts w:ascii="Consolas"/>
        </w:rPr>
        <w:t>1.175201194 SINH(10) </w:t>
      </w:r>
      <w:r>
        <w:rPr/>
        <w:t>results in </w:t>
      </w:r>
      <w:r>
        <w:rPr>
          <w:rFonts w:ascii="Consolas"/>
        </w:rPr>
        <w:t>11013.23287 SINH(100)</w:t>
      </w:r>
      <w:r>
        <w:rPr>
          <w:rFonts w:ascii="Consolas"/>
          <w:spacing w:val="-84"/>
        </w:rPr>
        <w:t> </w:t>
      </w:r>
      <w:r>
        <w:rPr/>
        <w:t>results in </w:t>
      </w:r>
      <w:r>
        <w:rPr>
          <w:rFonts w:ascii="Consolas"/>
        </w:rPr>
        <w:t>1.34406E+43</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92 SKEW" w:id="2268"/>
      <w:bookmarkEnd w:id="2268"/>
      <w:r>
        <w:rPr/>
      </w:r>
      <w:bookmarkStart w:name="_bookmark755" w:id="2269"/>
      <w:bookmarkEnd w:id="2269"/>
      <w:r>
        <w:rPr/>
      </w:r>
      <w:bookmarkStart w:name="_bookmark755" w:id="2270"/>
      <w:bookmarkEnd w:id="2270"/>
      <w:r>
        <w:rPr>
          <w:color w:val="4F81BC"/>
        </w:rPr>
        <w:t>S</w:t>
      </w:r>
      <w:r>
        <w:rPr>
          <w:color w:val="4F81BC"/>
        </w:rPr>
        <w:t>KEW</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SKEW ( </w:t>
      </w:r>
      <w:r>
        <w:rPr>
          <w:i/>
          <w:sz w:val="22"/>
        </w:rPr>
        <w:t>argument-list </w:t>
      </w:r>
      <w:r>
        <w:rPr>
          <w:rFonts w:ascii="Lucida Console"/>
          <w:sz w:val="20"/>
        </w:rPr>
        <w:t>)</w:t>
      </w:r>
    </w:p>
    <w:p>
      <w:pPr>
        <w:pStyle w:val="BodyText"/>
        <w:spacing w:line="276" w:lineRule="auto" w:before="106"/>
        <w:ind w:left="220" w:right="529"/>
      </w:pPr>
      <w:r>
        <w:rPr>
          <w:b/>
        </w:rPr>
        <w:t>Description: </w:t>
      </w:r>
      <w:r>
        <w:rPr/>
        <w:t>Computes the skewness of a distribution. [</w:t>
      </w:r>
      <w:r>
        <w:rPr>
          <w:i/>
        </w:rPr>
        <w:t>Note</w:t>
      </w:r>
      <w:r>
        <w:rPr/>
        <w:t>: Skewness characterizes the degree of asymmetry of a distribution around its mean. Positive skewness indicates a distribution with an asymmetric tail extending</w:t>
      </w:r>
    </w:p>
    <w:p>
      <w:pPr>
        <w:spacing w:after="0" w:line="276" w:lineRule="auto"/>
        <w:sectPr>
          <w:footerReference w:type="even" r:id="rId270"/>
          <w:footerReference w:type="default" r:id="rId271"/>
          <w:pgSz w:w="12240" w:h="15840"/>
          <w:pgMar w:footer="746" w:header="761" w:top="1340" w:bottom="940" w:left="860" w:right="700"/>
          <w:pgNumType w:start="2370"/>
        </w:sectPr>
      </w:pPr>
    </w:p>
    <w:p>
      <w:pPr>
        <w:pStyle w:val="BodyText"/>
        <w:spacing w:line="278" w:lineRule="auto" w:before="148"/>
        <w:ind w:left="220" w:right="926"/>
      </w:pPr>
      <w:r>
        <w:rPr/>
        <w:t>toward more positive values. Negative skewness indicates a distribution with an asymmetric tail extending toward more negative values. </w:t>
      </w:r>
      <w:r>
        <w:rPr>
          <w:i/>
        </w:rPr>
        <w:t>end note</w:t>
      </w:r>
      <w:r>
        <w:rPr/>
        <w:t>]</w:t>
      </w:r>
    </w:p>
    <w:p>
      <w:pPr>
        <w:pStyle w:val="BodyText"/>
        <w:spacing w:before="2"/>
        <w:rPr>
          <w:sz w:val="16"/>
        </w:rPr>
      </w:pPr>
    </w:p>
    <w:p>
      <w:pPr>
        <w:pStyle w:val="Heading4"/>
        <w:spacing w:before="1"/>
        <w:rPr>
          <w:b w:val="0"/>
        </w:rPr>
      </w:pPr>
      <w:r>
        <w:rPr/>
        <w:t>Mathematical Formula</w:t>
      </w:r>
      <w:r>
        <w:rPr>
          <w:b w:val="0"/>
        </w:rPr>
        <w:t>:</w:t>
      </w:r>
    </w:p>
    <w:p>
      <w:pPr>
        <w:pStyle w:val="BodyText"/>
        <w:spacing w:before="10"/>
        <w:rPr>
          <w:sz w:val="11"/>
        </w:rPr>
      </w:pPr>
    </w:p>
    <w:p>
      <w:pPr>
        <w:tabs>
          <w:tab w:pos="2087" w:val="left" w:leader="none"/>
        </w:tabs>
        <w:spacing w:line="205" w:lineRule="exact" w:before="108"/>
        <w:ind w:left="851" w:right="0" w:firstLine="0"/>
        <w:jc w:val="left"/>
        <w:rPr>
          <w:rFonts w:ascii="Cambria Math" w:hAnsi="Cambria Math" w:eastAsia="Cambria Math"/>
          <w:sz w:val="22"/>
        </w:rPr>
      </w:pPr>
      <w:r>
        <w:rPr>
          <w:rFonts w:ascii="Cambria Math" w:hAnsi="Cambria Math" w:eastAsia="Cambria Math"/>
          <w:sz w:val="22"/>
        </w:rPr>
        <w:t>𝑛</w:t>
        <w:tab/>
        <w:t>𝑥</w:t>
      </w:r>
      <w:r>
        <w:rPr>
          <w:rFonts w:ascii="Cambria Math" w:hAnsi="Cambria Math" w:eastAsia="Cambria Math"/>
          <w:position w:val="-4"/>
          <w:sz w:val="16"/>
        </w:rPr>
        <w:t>𝑖 </w:t>
      </w:r>
      <w:r>
        <w:rPr>
          <w:rFonts w:ascii="Cambria Math" w:hAnsi="Cambria Math" w:eastAsia="Cambria Math"/>
          <w:sz w:val="22"/>
        </w:rPr>
        <w:t>− 𝑥</w:t>
      </w:r>
      <w:r>
        <w:rPr>
          <w:rFonts w:ascii="Cambria Math" w:hAnsi="Cambria Math" w:eastAsia="Cambria Math"/>
          <w:spacing w:val="7"/>
          <w:sz w:val="22"/>
        </w:rPr>
        <w:t> </w:t>
      </w:r>
      <w:r>
        <w:rPr>
          <w:rFonts w:ascii="Cambria Math" w:hAnsi="Cambria Math" w:eastAsia="Cambria Math"/>
          <w:sz w:val="22"/>
          <w:vertAlign w:val="superscript"/>
        </w:rPr>
        <w:t>3</w:t>
      </w:r>
    </w:p>
    <w:p>
      <w:pPr>
        <w:pStyle w:val="BodyText"/>
        <w:tabs>
          <w:tab w:pos="2320" w:val="left" w:leader="none"/>
          <w:tab w:pos="2658" w:val="left" w:leader="none"/>
        </w:tabs>
        <w:spacing w:line="370" w:lineRule="exact"/>
        <w:ind w:left="220"/>
        <w:rPr>
          <w:rFonts w:ascii="Cambria Math" w:hAnsi="Cambria Math" w:eastAsia="Cambria Math"/>
        </w:rPr>
      </w:pPr>
      <w:r>
        <w:rPr/>
        <w:pict>
          <v:line style="position:absolute;mso-position-horizontal-relative:page;mso-position-vertical-relative:paragraph;z-index:-335785984" from="54pt,5.495613pt" to="123.624pt,5.495613pt" stroked="true" strokeweight=".72pt" strokecolor="#000000">
            <v:stroke dashstyle="solid"/>
            <w10:wrap type="none"/>
          </v:line>
        </w:pict>
      </w:r>
      <w:r>
        <w:rPr/>
        <w:pict>
          <v:line style="position:absolute;mso-position-horizontal-relative:page;mso-position-vertical-relative:paragraph;z-index:-335784960" from="147.380005pt,5.495613pt" to="175.940005pt,5.495613pt" stroked="true" strokeweight=".72pt" strokecolor="#000000">
            <v:stroke dashstyle="solid"/>
            <w10:wrap type="none"/>
          </v:line>
        </w:pict>
      </w:r>
      <w:r>
        <w:rPr>
          <w:rFonts w:ascii="Cambria Math" w:hAnsi="Cambria Math" w:eastAsia="Cambria Math"/>
          <w:w w:val="110"/>
          <w:position w:val="1"/>
        </w:rPr>
        <w:t>(</w:t>
      </w:r>
      <w:r>
        <w:rPr>
          <w:rFonts w:ascii="Cambria Math" w:hAnsi="Cambria Math" w:eastAsia="Cambria Math"/>
          <w:w w:val="110"/>
        </w:rPr>
        <w:t>𝑛</w:t>
      </w:r>
      <w:r>
        <w:rPr>
          <w:rFonts w:ascii="Cambria Math" w:hAnsi="Cambria Math" w:eastAsia="Cambria Math"/>
          <w:spacing w:val="-9"/>
          <w:w w:val="110"/>
        </w:rPr>
        <w:t> </w:t>
      </w:r>
      <w:r>
        <w:rPr>
          <w:rFonts w:ascii="Cambria Math" w:hAnsi="Cambria Math" w:eastAsia="Cambria Math"/>
          <w:w w:val="110"/>
        </w:rPr>
        <w:t>−</w:t>
      </w:r>
      <w:r>
        <w:rPr>
          <w:rFonts w:ascii="Cambria Math" w:hAnsi="Cambria Math" w:eastAsia="Cambria Math"/>
          <w:spacing w:val="-14"/>
          <w:w w:val="110"/>
        </w:rPr>
        <w:t> </w:t>
      </w:r>
      <w:r>
        <w:rPr>
          <w:rFonts w:ascii="Cambria Math" w:hAnsi="Cambria Math" w:eastAsia="Cambria Math"/>
          <w:w w:val="110"/>
        </w:rPr>
        <w:t>1</w:t>
      </w:r>
      <w:r>
        <w:rPr>
          <w:rFonts w:ascii="Cambria Math" w:hAnsi="Cambria Math" w:eastAsia="Cambria Math"/>
          <w:w w:val="110"/>
          <w:position w:val="1"/>
        </w:rPr>
        <w:t>)(</w:t>
      </w:r>
      <w:r>
        <w:rPr>
          <w:rFonts w:ascii="Cambria Math" w:hAnsi="Cambria Math" w:eastAsia="Cambria Math"/>
          <w:w w:val="110"/>
        </w:rPr>
        <w:t>𝑛</w:t>
      </w:r>
      <w:r>
        <w:rPr>
          <w:rFonts w:ascii="Cambria Math" w:hAnsi="Cambria Math" w:eastAsia="Cambria Math"/>
          <w:spacing w:val="-9"/>
          <w:w w:val="110"/>
        </w:rPr>
        <w:t> </w:t>
      </w:r>
      <w:r>
        <w:rPr>
          <w:rFonts w:ascii="Cambria Math" w:hAnsi="Cambria Math" w:eastAsia="Cambria Math"/>
          <w:w w:val="110"/>
        </w:rPr>
        <w:t>−</w:t>
      </w:r>
      <w:r>
        <w:rPr>
          <w:rFonts w:ascii="Cambria Math" w:hAnsi="Cambria Math" w:eastAsia="Cambria Math"/>
          <w:spacing w:val="-13"/>
          <w:w w:val="110"/>
        </w:rPr>
        <w:t> </w:t>
      </w:r>
      <w:r>
        <w:rPr>
          <w:rFonts w:ascii="Cambria Math" w:hAnsi="Cambria Math" w:eastAsia="Cambria Math"/>
          <w:w w:val="110"/>
        </w:rPr>
        <w:t>2</w:t>
      </w:r>
      <w:r>
        <w:rPr>
          <w:rFonts w:ascii="Cambria Math" w:hAnsi="Cambria Math" w:eastAsia="Cambria Math"/>
          <w:w w:val="110"/>
          <w:position w:val="1"/>
        </w:rPr>
        <w:t>)</w:t>
      </w:r>
      <w:r>
        <w:rPr>
          <w:rFonts w:ascii="Cambria Math" w:hAnsi="Cambria Math" w:eastAsia="Cambria Math"/>
          <w:spacing w:val="-23"/>
          <w:w w:val="110"/>
          <w:position w:val="1"/>
        </w:rPr>
        <w:t> </w:t>
      </w:r>
      <w:r>
        <w:rPr>
          <w:rFonts w:ascii="Cambria Math" w:hAnsi="Cambria Math" w:eastAsia="Cambria Math"/>
          <w:w w:val="165"/>
          <w:position w:val="15"/>
        </w:rPr>
        <w:t>∑</w:t>
      </w:r>
      <w:r>
        <w:rPr>
          <w:rFonts w:ascii="Cambria Math" w:hAnsi="Cambria Math" w:eastAsia="Cambria Math"/>
          <w:spacing w:val="-50"/>
          <w:w w:val="165"/>
          <w:position w:val="15"/>
        </w:rPr>
        <w:t> </w:t>
      </w:r>
      <w:r>
        <w:rPr>
          <w:rFonts w:ascii="Cambria Math" w:hAnsi="Cambria Math" w:eastAsia="Cambria Math"/>
          <w:w w:val="110"/>
          <w:position w:val="15"/>
        </w:rPr>
        <w:t>(</w:t>
        <w:tab/>
      </w:r>
      <w:r>
        <w:rPr>
          <w:rFonts w:ascii="Cambria Math" w:hAnsi="Cambria Math" w:eastAsia="Cambria Math"/>
          <w:w w:val="110"/>
        </w:rPr>
        <w:t>𝑠</w:t>
        <w:tab/>
      </w:r>
      <w:r>
        <w:rPr>
          <w:rFonts w:ascii="Cambria Math" w:hAnsi="Cambria Math" w:eastAsia="Cambria Math"/>
          <w:w w:val="110"/>
          <w:position w:val="15"/>
        </w:rPr>
        <w:t>)</w:t>
      </w:r>
    </w:p>
    <w:p>
      <w:pPr>
        <w:pStyle w:val="BodyText"/>
        <w:spacing w:before="6"/>
        <w:rPr>
          <w:rFonts w:ascii="Cambria Math"/>
          <w:sz w:val="14"/>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n </w:t>
      </w:r>
      <w:r>
        <w:rPr>
          <w:sz w:val="22"/>
        </w:rPr>
        <w:t>= the number of elements in</w:t>
      </w:r>
      <w:r>
        <w:rPr>
          <w:spacing w:val="-5"/>
          <w:sz w:val="22"/>
        </w:rPr>
        <w:t> </w:t>
      </w:r>
      <w:r>
        <w:rPr>
          <w:rFonts w:ascii="Times New Roman" w:hAnsi="Times New Roman"/>
          <w:i/>
          <w:sz w:val="22"/>
        </w:rPr>
        <w:t>argument-list</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s </w:t>
      </w:r>
      <w:r>
        <w:rPr>
          <w:sz w:val="22"/>
        </w:rPr>
        <w:t>= standard deviation of the values in</w:t>
      </w:r>
      <w:r>
        <w:rPr>
          <w:spacing w:val="-5"/>
          <w:sz w:val="22"/>
        </w:rPr>
        <w:t> </w:t>
      </w:r>
      <w:r>
        <w:rPr>
          <w:rFonts w:ascii="Times New Roman" w:hAnsi="Times New Roman"/>
          <w:i/>
          <w:sz w:val="22"/>
        </w:rPr>
        <w:t>argument-list</w:t>
      </w:r>
    </w:p>
    <w:p>
      <w:pPr>
        <w:pStyle w:val="ListParagraph"/>
        <w:numPr>
          <w:ilvl w:val="4"/>
          <w:numId w:val="66"/>
        </w:numPr>
        <w:tabs>
          <w:tab w:pos="940" w:val="left" w:leader="none"/>
          <w:tab w:pos="941" w:val="left" w:leader="none"/>
        </w:tabs>
        <w:spacing w:line="240" w:lineRule="auto" w:before="38" w:after="0"/>
        <w:ind w:left="940" w:right="0" w:hanging="361"/>
        <w:jc w:val="left"/>
        <w:rPr>
          <w:rFonts w:ascii="Times New Roman" w:hAnsi="Times New Roman"/>
          <w:i/>
          <w:sz w:val="22"/>
        </w:rPr>
      </w:pPr>
      <w:r>
        <w:rPr>
          <w:rFonts w:ascii="Times New Roman" w:hAnsi="Times New Roman"/>
          <w:i/>
          <w:sz w:val="22"/>
        </w:rPr>
        <w:t>xi </w:t>
      </w:r>
      <w:r>
        <w:rPr>
          <w:sz w:val="22"/>
        </w:rPr>
        <w:t>= value of each element in</w:t>
      </w:r>
      <w:r>
        <w:rPr>
          <w:spacing w:val="-9"/>
          <w:sz w:val="22"/>
        </w:rPr>
        <w:t> </w:t>
      </w:r>
      <w:r>
        <w:rPr>
          <w:rFonts w:ascii="Times New Roman" w:hAnsi="Times New Roman"/>
          <w:i/>
          <w:sz w:val="22"/>
        </w:rPr>
        <w:t>argument-list</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Cambria Math" w:hAnsi="Cambria Math"/>
          <w:spacing w:val="-51"/>
          <w:sz w:val="22"/>
        </w:rPr>
        <w:t>x̅</w:t>
      </w:r>
      <w:r>
        <w:rPr>
          <w:rFonts w:ascii="Cambria Math" w:hAnsi="Cambria Math"/>
          <w:spacing w:val="6"/>
          <w:sz w:val="22"/>
        </w:rPr>
        <w:t> </w:t>
      </w:r>
      <w:r>
        <w:rPr>
          <w:sz w:val="22"/>
        </w:rPr>
        <w:t>= mean of the values in</w:t>
      </w:r>
      <w:r>
        <w:rPr>
          <w:spacing w:val="-9"/>
          <w:sz w:val="22"/>
        </w:rPr>
        <w:t> </w:t>
      </w:r>
      <w:r>
        <w:rPr>
          <w:rFonts w:ascii="Times New Roman" w:hAnsi="Times New Roman"/>
          <w:i/>
          <w:sz w:val="22"/>
        </w:rPr>
        <w:t>argument-list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text, array, reference</w:t>
            </w:r>
          </w:p>
        </w:tc>
        <w:tc>
          <w:tcPr>
            <w:tcW w:w="5400" w:type="dxa"/>
          </w:tcPr>
          <w:p>
            <w:pPr>
              <w:pStyle w:val="TableParagraph"/>
              <w:ind w:left="113" w:right="126"/>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 for which the skewness is to be computed. Logical values and text representations of numbers that are entered directly into the list of arguments are included. If an array or reference argument contains text, logical values, or empty cells, those values are ignored; however, cells with the value 0 are</w:t>
            </w:r>
            <w:r>
              <w:rPr>
                <w:spacing w:val="-3"/>
                <w:sz w:val="22"/>
              </w:rPr>
              <w:t> </w:t>
            </w:r>
            <w:r>
              <w:rPr>
                <w:sz w:val="22"/>
              </w:rPr>
              <w:t>included.</w:t>
            </w:r>
          </w:p>
        </w:tc>
      </w:tr>
    </w:tbl>
    <w:p>
      <w:pPr>
        <w:pStyle w:val="BodyText"/>
        <w:rPr>
          <w:b/>
        </w:rPr>
      </w:pPr>
    </w:p>
    <w:p>
      <w:pPr>
        <w:pStyle w:val="BodyText"/>
        <w:spacing w:before="8"/>
        <w:rPr>
          <w:b/>
          <w:sz w:val="19"/>
        </w:rPr>
      </w:pPr>
    </w:p>
    <w:p>
      <w:pPr>
        <w:spacing w:line="453" w:lineRule="auto" w:before="0"/>
        <w:ind w:left="220" w:right="4564" w:firstLine="0"/>
        <w:jc w:val="left"/>
        <w:rPr>
          <w:sz w:val="22"/>
        </w:rPr>
      </w:pPr>
      <w:r>
        <w:rPr>
          <w:b/>
          <w:sz w:val="22"/>
        </w:rPr>
        <w:t>Return Type and Value: </w:t>
      </w:r>
      <w:r>
        <w:rPr>
          <w:sz w:val="22"/>
        </w:rPr>
        <w:t>number – The skewness of a distribution.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There are fewer than three data points, the return value is</w:t>
      </w:r>
      <w:r>
        <w:rPr>
          <w:spacing w:val="-12"/>
          <w:sz w:val="22"/>
        </w:rPr>
        <w:t> </w:t>
      </w:r>
      <w:r>
        <w:rPr>
          <w:sz w:val="22"/>
        </w:rPr>
        <w:t>unspecified.</w:t>
      </w:r>
    </w:p>
    <w:p>
      <w:pPr>
        <w:pStyle w:val="ListParagraph"/>
        <w:numPr>
          <w:ilvl w:val="4"/>
          <w:numId w:val="66"/>
        </w:numPr>
        <w:tabs>
          <w:tab w:pos="940" w:val="left" w:leader="none"/>
          <w:tab w:pos="941" w:val="left" w:leader="none"/>
        </w:tabs>
        <w:spacing w:line="446" w:lineRule="auto" w:before="41" w:after="0"/>
        <w:ind w:left="220" w:right="3486" w:firstLine="360"/>
        <w:jc w:val="left"/>
        <w:rPr>
          <w:sz w:val="22"/>
        </w:rPr>
      </w:pPr>
      <w:r>
        <w:rPr>
          <w:sz w:val="22"/>
        </w:rPr>
        <w:t>The sample standard deviation is zero, the return value is unspecified. [</w:t>
      </w:r>
      <w:r>
        <w:rPr>
          <w:i/>
          <w:sz w:val="22"/>
        </w:rPr>
        <w:t>Example</w:t>
      </w:r>
      <w:r>
        <w:rPr>
          <w:sz w:val="22"/>
        </w:rPr>
        <w:t>:</w:t>
      </w:r>
    </w:p>
    <w:p>
      <w:pPr>
        <w:pStyle w:val="BodyText"/>
        <w:spacing w:before="126"/>
        <w:ind w:left="220"/>
        <w:rPr>
          <w:rFonts w:ascii="Consolas"/>
        </w:rPr>
      </w:pPr>
      <w:r>
        <w:rPr>
          <w:rFonts w:ascii="Consolas"/>
        </w:rPr>
        <w:t>SKEW(3,4,5,2,3,4,5,6,4,7)</w:t>
      </w:r>
      <w:r>
        <w:rPr>
          <w:rFonts w:ascii="Consolas"/>
          <w:spacing w:val="-70"/>
        </w:rPr>
        <w:t> </w:t>
      </w:r>
      <w:r>
        <w:rPr/>
        <w:t>results in </w:t>
      </w:r>
      <w:r>
        <w:rPr>
          <w:rFonts w:ascii="Consolas"/>
        </w:rPr>
        <w:t>0.359543071</w:t>
      </w:r>
    </w:p>
    <w:p>
      <w:pPr>
        <w:pStyle w:val="BodyText"/>
        <w:spacing w:before="2"/>
        <w:rPr>
          <w:rFonts w:ascii="Consolas"/>
          <w:sz w:val="3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3 SLN" w:id="2271"/>
      <w:bookmarkEnd w:id="2271"/>
      <w:r>
        <w:rPr/>
      </w:r>
      <w:bookmarkStart w:name="_bookmark756" w:id="2272"/>
      <w:bookmarkEnd w:id="2272"/>
      <w:r>
        <w:rPr/>
      </w:r>
      <w:bookmarkStart w:name="_bookmark756" w:id="2273"/>
      <w:bookmarkEnd w:id="2273"/>
      <w:r>
        <w:rPr>
          <w:color w:val="4F81BC"/>
        </w:rPr>
        <w:t>SLN</w:t>
      </w:r>
    </w:p>
    <w:p>
      <w:pPr>
        <w:spacing w:before="114"/>
        <w:ind w:left="940" w:right="0" w:firstLine="0"/>
        <w:jc w:val="left"/>
        <w:rPr>
          <w:rFonts w:ascii="Lucida Console"/>
          <w:sz w:val="20"/>
        </w:rPr>
      </w:pPr>
      <w:r>
        <w:rPr>
          <w:rFonts w:ascii="Lucida Console"/>
          <w:sz w:val="20"/>
        </w:rPr>
        <w:t>SLN ( </w:t>
      </w:r>
      <w:r>
        <w:rPr>
          <w:i/>
          <w:sz w:val="22"/>
        </w:rPr>
        <w:t>cost </w:t>
      </w:r>
      <w:r>
        <w:rPr>
          <w:rFonts w:ascii="Lucida Console"/>
          <w:sz w:val="20"/>
        </w:rPr>
        <w:t>, </w:t>
      </w:r>
      <w:r>
        <w:rPr>
          <w:i/>
          <w:sz w:val="22"/>
        </w:rPr>
        <w:t>salvage </w:t>
      </w:r>
      <w:r>
        <w:rPr>
          <w:rFonts w:ascii="Lucida Console"/>
          <w:sz w:val="20"/>
        </w:rPr>
        <w:t>,</w:t>
      </w:r>
      <w:r>
        <w:rPr>
          <w:rFonts w:ascii="Lucida Console"/>
          <w:spacing w:val="-84"/>
          <w:sz w:val="20"/>
        </w:rPr>
        <w:t> </w:t>
      </w:r>
      <w:r>
        <w:rPr>
          <w:i/>
          <w:sz w:val="22"/>
        </w:rPr>
        <w:t>life </w:t>
      </w:r>
      <w:r>
        <w:rPr>
          <w:rFonts w:ascii="Lucida Console"/>
          <w:sz w:val="20"/>
        </w:rPr>
        <w:t>)</w:t>
      </w:r>
    </w:p>
    <w:p>
      <w:pPr>
        <w:pStyle w:val="BodyText"/>
        <w:spacing w:line="453" w:lineRule="auto" w:before="109"/>
        <w:ind w:left="220" w:right="3338"/>
      </w:pPr>
      <w:r>
        <w:rPr/>
        <w:t>Description: Computes the straight-line depreciation of an asset for one period. Arguments:</w:t>
      </w:r>
    </w:p>
    <w:p>
      <w:pPr>
        <w:spacing w:after="0" w:line="453" w:lineRule="auto"/>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cost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w:t>
            </w:r>
            <w:r>
              <w:rPr>
                <w:rFonts w:ascii="Times New Roman"/>
                <w:i/>
                <w:sz w:val="22"/>
              </w:rPr>
              <w:t>cost </w:t>
            </w:r>
            <w:r>
              <w:rPr>
                <w:sz w:val="22"/>
              </w:rPr>
              <w:t>is the initial cost of the asset.</w:t>
            </w:r>
          </w:p>
        </w:tc>
      </w:tr>
      <w:tr>
        <w:trPr>
          <w:trHeight w:val="623" w:hRule="atLeast"/>
        </w:trPr>
        <w:tc>
          <w:tcPr>
            <w:tcW w:w="1466" w:type="dxa"/>
          </w:tcPr>
          <w:p>
            <w:pPr>
              <w:pStyle w:val="TableParagraph"/>
              <w:spacing w:before="37"/>
              <w:rPr>
                <w:rFonts w:ascii="Times New Roman"/>
                <w:i/>
                <w:sz w:val="22"/>
              </w:rPr>
            </w:pPr>
            <w:r>
              <w:rPr>
                <w:rFonts w:ascii="Times New Roman"/>
                <w:i/>
                <w:sz w:val="22"/>
              </w:rPr>
              <w:t>salvage</w:t>
            </w:r>
          </w:p>
        </w:tc>
        <w:tc>
          <w:tcPr>
            <w:tcW w:w="1800" w:type="dxa"/>
          </w:tcPr>
          <w:p>
            <w:pPr>
              <w:pStyle w:val="TableParagraph"/>
              <w:ind w:left="112"/>
              <w:rPr>
                <w:sz w:val="22"/>
              </w:rPr>
            </w:pPr>
            <w:r>
              <w:rPr>
                <w:sz w:val="22"/>
              </w:rPr>
              <w:t>number</w:t>
            </w:r>
          </w:p>
        </w:tc>
        <w:tc>
          <w:tcPr>
            <w:tcW w:w="5400" w:type="dxa"/>
          </w:tcPr>
          <w:p>
            <w:pPr>
              <w:pStyle w:val="TableParagraph"/>
              <w:ind w:left="113" w:right="898"/>
              <w:rPr>
                <w:sz w:val="22"/>
              </w:rPr>
            </w:pPr>
            <w:r>
              <w:rPr>
                <w:sz w:val="22"/>
              </w:rPr>
              <w:t>The value at the end of the depreciation. (This is sometimes called the salvage value of the asset.)</w:t>
            </w:r>
          </w:p>
        </w:tc>
      </w:tr>
      <w:tr>
        <w:trPr>
          <w:trHeight w:val="890" w:hRule="atLeast"/>
        </w:trPr>
        <w:tc>
          <w:tcPr>
            <w:tcW w:w="1466" w:type="dxa"/>
          </w:tcPr>
          <w:p>
            <w:pPr>
              <w:pStyle w:val="TableParagraph"/>
              <w:spacing w:before="37"/>
              <w:rPr>
                <w:rFonts w:ascii="Times New Roman"/>
                <w:i/>
                <w:sz w:val="22"/>
              </w:rPr>
            </w:pPr>
            <w:r>
              <w:rPr>
                <w:rFonts w:ascii="Times New Roman"/>
                <w:i/>
                <w:sz w:val="22"/>
              </w:rPr>
              <w:t>life</w:t>
            </w:r>
          </w:p>
        </w:tc>
        <w:tc>
          <w:tcPr>
            <w:tcW w:w="1800" w:type="dxa"/>
          </w:tcPr>
          <w:p>
            <w:pPr>
              <w:pStyle w:val="TableParagraph"/>
              <w:ind w:left="112"/>
              <w:rPr>
                <w:sz w:val="22"/>
              </w:rPr>
            </w:pPr>
            <w:r>
              <w:rPr>
                <w:sz w:val="22"/>
              </w:rPr>
              <w:t>number</w:t>
            </w:r>
          </w:p>
        </w:tc>
        <w:tc>
          <w:tcPr>
            <w:tcW w:w="5400" w:type="dxa"/>
          </w:tcPr>
          <w:p>
            <w:pPr>
              <w:pStyle w:val="TableParagraph"/>
              <w:ind w:left="113" w:right="355"/>
              <w:rPr>
                <w:sz w:val="22"/>
              </w:rPr>
            </w:pPr>
            <w:r>
              <w:rPr>
                <w:sz w:val="22"/>
              </w:rPr>
              <w:t>The number of periods over which the asset is being depreciated. (This is sometimes called the useful life of the asset.)</w:t>
            </w:r>
          </w:p>
        </w:tc>
      </w:tr>
    </w:tbl>
    <w:p>
      <w:pPr>
        <w:pStyle w:val="BodyText"/>
        <w:rPr>
          <w:sz w:val="20"/>
        </w:rPr>
      </w:pPr>
    </w:p>
    <w:p>
      <w:pPr>
        <w:pStyle w:val="BodyText"/>
        <w:rPr>
          <w:sz w:val="17"/>
        </w:rPr>
      </w:pPr>
    </w:p>
    <w:p>
      <w:pPr>
        <w:pStyle w:val="BodyText"/>
        <w:spacing w:line="453" w:lineRule="auto" w:before="56"/>
        <w:ind w:left="220" w:right="2334"/>
      </w:pPr>
      <w:r>
        <w:rPr/>
        <w:t>Return Type and Value: number – The straight-line depreciation of an asset for one period. [</w:t>
      </w:r>
      <w:r>
        <w:rPr>
          <w:i/>
        </w:rPr>
        <w:t>Example</w:t>
      </w:r>
      <w:r>
        <w:rPr/>
        <w:t>:</w:t>
      </w:r>
    </w:p>
    <w:p>
      <w:pPr>
        <w:pStyle w:val="BodyText"/>
        <w:spacing w:before="111"/>
        <w:ind w:left="220"/>
        <w:rPr>
          <w:rFonts w:ascii="Consolas"/>
        </w:rPr>
      </w:pPr>
      <w:r>
        <w:rPr>
          <w:rFonts w:ascii="Consolas"/>
        </w:rPr>
        <w:t>SLN(30000,7500,10) </w:t>
      </w:r>
      <w:r>
        <w:rPr/>
        <w:t>results in </w:t>
      </w:r>
      <w:r>
        <w:rPr>
          <w:rFonts w:ascii="Consolas"/>
        </w:rPr>
        <w:t>2,250.00</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94 SLOPE" w:id="2274"/>
      <w:bookmarkEnd w:id="2274"/>
      <w:r>
        <w:rPr/>
      </w:r>
      <w:bookmarkStart w:name="_bookmark757" w:id="2275"/>
      <w:bookmarkEnd w:id="2275"/>
      <w:r>
        <w:rPr/>
      </w:r>
      <w:bookmarkStart w:name="_bookmark757" w:id="2276"/>
      <w:bookmarkEnd w:id="2276"/>
      <w:r>
        <w:rPr>
          <w:color w:val="4F81BC"/>
        </w:rPr>
        <w:t>SL</w:t>
      </w:r>
      <w:r>
        <w:rPr>
          <w:color w:val="4F81BC"/>
        </w:rPr>
        <w:t>OPE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SLOPE ( </w:t>
      </w:r>
      <w:r>
        <w:rPr>
          <w:i/>
          <w:sz w:val="22"/>
        </w:rPr>
        <w:t>known-ys </w:t>
      </w:r>
      <w:r>
        <w:rPr>
          <w:sz w:val="22"/>
        </w:rPr>
        <w:t>, </w:t>
      </w:r>
      <w:r>
        <w:rPr>
          <w:i/>
          <w:sz w:val="22"/>
        </w:rPr>
        <w:t>known-xs </w:t>
      </w:r>
      <w:r>
        <w:rPr>
          <w:rFonts w:ascii="Lucida Console"/>
          <w:sz w:val="20"/>
        </w:rPr>
        <w:t>)</w:t>
      </w:r>
    </w:p>
    <w:p>
      <w:pPr>
        <w:pStyle w:val="BodyText"/>
        <w:spacing w:line="276" w:lineRule="auto" w:before="108"/>
        <w:ind w:left="220" w:right="365"/>
      </w:pPr>
      <w:r>
        <w:rPr>
          <w:b/>
        </w:rPr>
        <w:t>Description: </w:t>
      </w:r>
      <w:r>
        <w:rPr/>
        <w:t>Computes the slope of the linear regression line through data points in known ys and known xs. The slope is the vertical distance divided by the horizontal distance between any two points on the line, which is the rate of change along the regression line.</w:t>
      </w:r>
    </w:p>
    <w:p>
      <w:pPr>
        <w:pStyle w:val="BodyText"/>
        <w:spacing w:before="7"/>
        <w:rPr>
          <w:sz w:val="16"/>
        </w:rPr>
      </w:pPr>
    </w:p>
    <w:p>
      <w:pPr>
        <w:pStyle w:val="Heading4"/>
        <w:rPr>
          <w:b w:val="0"/>
        </w:rPr>
      </w:pPr>
      <w:r>
        <w:rPr/>
        <w:t>Mathematical Formula</w:t>
      </w:r>
      <w:r>
        <w:rPr>
          <w:b w:val="0"/>
        </w:rPr>
        <w:t>:</w:t>
      </w:r>
    </w:p>
    <w:p>
      <w:pPr>
        <w:pStyle w:val="BodyText"/>
        <w:spacing w:before="9"/>
        <w:rPr>
          <w:sz w:val="12"/>
        </w:rPr>
      </w:pPr>
    </w:p>
    <w:p>
      <w:pPr>
        <w:spacing w:after="0"/>
        <w:rPr>
          <w:sz w:val="12"/>
        </w:rPr>
        <w:sectPr>
          <w:pgSz w:w="12240" w:h="15840"/>
          <w:pgMar w:header="761" w:footer="746" w:top="1340" w:bottom="940" w:left="860" w:right="700"/>
        </w:sectPr>
      </w:pPr>
    </w:p>
    <w:p>
      <w:pPr>
        <w:pStyle w:val="BodyText"/>
        <w:spacing w:before="6"/>
        <w:rPr>
          <w:sz w:val="19"/>
        </w:rPr>
      </w:pPr>
    </w:p>
    <w:p>
      <w:pPr>
        <w:pStyle w:val="BodyText"/>
        <w:spacing w:before="1"/>
        <w:ind w:left="220"/>
        <w:rPr>
          <w:rFonts w:ascii="Cambria Math" w:eastAsia="Cambria Math"/>
        </w:rPr>
      </w:pPr>
      <w:r>
        <w:rPr>
          <w:rFonts w:ascii="Cambria Math" w:eastAsia="Cambria Math"/>
        </w:rPr>
        <w:t>𝑏 =</w:t>
      </w:r>
    </w:p>
    <w:p>
      <w:pPr>
        <w:pStyle w:val="BodyText"/>
        <w:spacing w:before="61"/>
        <w:ind w:left="101" w:right="8482"/>
        <w:jc w:val="center"/>
        <w:rPr>
          <w:rFonts w:ascii="Cambria Math" w:hAnsi="Cambria Math" w:eastAsia="Cambria Math"/>
        </w:rPr>
      </w:pPr>
      <w:r>
        <w:rPr/>
        <w:br w:type="column"/>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w w:val="100"/>
          <w:position w:val="1"/>
        </w:rPr>
        <w:t>)</w:t>
      </w:r>
    </w:p>
    <w:p>
      <w:pPr>
        <w:pStyle w:val="BodyText"/>
        <w:spacing w:before="1"/>
        <w:rPr>
          <w:rFonts w:ascii="Cambria Math"/>
          <w:sz w:val="4"/>
        </w:rPr>
      </w:pPr>
    </w:p>
    <w:p>
      <w:pPr>
        <w:pStyle w:val="BodyText"/>
        <w:spacing w:line="20" w:lineRule="exact"/>
        <w:ind w:left="61"/>
        <w:rPr>
          <w:rFonts w:ascii="Cambria Math"/>
          <w:sz w:val="2"/>
        </w:rPr>
      </w:pPr>
      <w:r>
        <w:rPr>
          <w:rFonts w:ascii="Cambria Math"/>
          <w:sz w:val="2"/>
        </w:rPr>
        <w:pict>
          <v:group style="width:77.3pt;height:.75pt;mso-position-horizontal-relative:char;mso-position-vertical-relative:line" coordorigin="0,0" coordsize="1546,15">
            <v:line style="position:absolute" from="0,7" to="1546,7" stroked="true" strokeweight=".72pt" strokecolor="#000000">
              <v:stroke dashstyle="solid"/>
            </v:line>
          </v:group>
        </w:pict>
      </w:r>
      <w:r>
        <w:rPr>
          <w:rFonts w:ascii="Cambria Math"/>
          <w:sz w:val="2"/>
        </w:rPr>
      </w:r>
    </w:p>
    <w:p>
      <w:pPr>
        <w:pStyle w:val="BodyText"/>
        <w:ind w:left="90" w:right="8482"/>
        <w:jc w:val="center"/>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7"/>
          <w:sz w:val="16"/>
        </w:rPr>
        <w:t>2</w:t>
      </w:r>
    </w:p>
    <w:p>
      <w:pPr>
        <w:spacing w:after="0"/>
        <w:jc w:val="center"/>
        <w:rPr>
          <w:rFonts w:ascii="Cambria Math" w:hAnsi="Cambria Math" w:eastAsia="Cambria Math"/>
          <w:sz w:val="16"/>
        </w:rPr>
        <w:sectPr>
          <w:type w:val="continuous"/>
          <w:pgSz w:w="12240" w:h="15840"/>
          <w:pgMar w:top="1340" w:bottom="940" w:left="860" w:right="700"/>
          <w:cols w:num="2" w:equalWidth="0">
            <w:col w:w="570" w:space="40"/>
            <w:col w:w="10070"/>
          </w:cols>
        </w:sectPr>
      </w:pPr>
    </w:p>
    <w:p>
      <w:pPr>
        <w:pStyle w:val="BodyText"/>
        <w:spacing w:before="6"/>
        <w:rPr>
          <w:rFonts w:ascii="Cambria Math"/>
          <w:sz w:val="14"/>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known-xs</w:t>
      </w:r>
      <w:r>
        <w:rPr>
          <w:rFonts w:ascii="Consolas" w:hAnsi="Consolas"/>
          <w:sz w:val="22"/>
        </w:rPr>
        <w:t>)</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y </w:t>
      </w:r>
      <w:r>
        <w:rPr>
          <w:sz w:val="22"/>
        </w:rPr>
        <w:t>= a sample</w:t>
      </w:r>
      <w:r>
        <w:rPr>
          <w:spacing w:val="-2"/>
          <w:sz w:val="22"/>
        </w:rPr>
        <w:t> </w:t>
      </w:r>
      <w:r>
        <w:rPr>
          <w:sz w:val="22"/>
        </w:rPr>
        <w:t>value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known-ys</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61" w:hRule="atLeast"/>
        </w:trPr>
        <w:tc>
          <w:tcPr>
            <w:tcW w:w="1466" w:type="dxa"/>
          </w:tcPr>
          <w:p>
            <w:pPr>
              <w:pStyle w:val="TableParagraph"/>
              <w:spacing w:before="37"/>
              <w:rPr>
                <w:rFonts w:ascii="Times New Roman"/>
                <w:i/>
                <w:sz w:val="22"/>
              </w:rPr>
            </w:pPr>
            <w:r>
              <w:rPr>
                <w:rFonts w:ascii="Times New Roman"/>
                <w:i/>
                <w:sz w:val="22"/>
              </w:rPr>
              <w:t>known-xs</w:t>
            </w:r>
          </w:p>
        </w:tc>
        <w:tc>
          <w:tcPr>
            <w:tcW w:w="1800" w:type="dxa"/>
          </w:tcPr>
          <w:p>
            <w:pPr>
              <w:pStyle w:val="TableParagraph"/>
              <w:ind w:left="112" w:right="283"/>
              <w:rPr>
                <w:sz w:val="22"/>
              </w:rPr>
            </w:pPr>
            <w:r>
              <w:rPr>
                <w:sz w:val="22"/>
              </w:rPr>
              <w:t>number, name, array, or reference to number, text,</w:t>
            </w:r>
          </w:p>
        </w:tc>
        <w:tc>
          <w:tcPr>
            <w:tcW w:w="5400" w:type="dxa"/>
          </w:tcPr>
          <w:p>
            <w:pPr>
              <w:pStyle w:val="TableParagraph"/>
              <w:ind w:left="113" w:right="141"/>
              <w:rPr>
                <w:sz w:val="22"/>
              </w:rPr>
            </w:pPr>
            <w:r>
              <w:rPr>
                <w:sz w:val="22"/>
              </w:rPr>
              <w:t>Designate a set of numeric dependent data points. Logical values and text representations of numbers entered directly into the list of arguments are included. If an array or reference argument contains text, logical</w:t>
            </w:r>
          </w:p>
        </w:tc>
      </w:tr>
    </w:tbl>
    <w:p>
      <w:pPr>
        <w:spacing w:after="0"/>
        <w:rPr>
          <w:sz w:val="22"/>
        </w:rPr>
        <w:sectPr>
          <w:type w:val="continuous"/>
          <w:pgSz w:w="12240" w:h="15840"/>
          <w:pgMar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ind w:left="112"/>
              <w:rPr>
                <w:sz w:val="22"/>
              </w:rPr>
            </w:pPr>
            <w:r>
              <w:rPr>
                <w:sz w:val="22"/>
              </w:rPr>
              <w:t>logical</w:t>
            </w:r>
          </w:p>
        </w:tc>
        <w:tc>
          <w:tcPr>
            <w:tcW w:w="5400" w:type="dxa"/>
          </w:tcPr>
          <w:p>
            <w:pPr>
              <w:pStyle w:val="TableParagraph"/>
              <w:ind w:left="113" w:right="971"/>
              <w:rPr>
                <w:sz w:val="22"/>
              </w:rPr>
            </w:pPr>
            <w:r>
              <w:rPr>
                <w:sz w:val="22"/>
              </w:rPr>
              <w:t>values, or empty cells, those values are ignored; however, cells with the value 0 are included.</w:t>
            </w:r>
          </w:p>
        </w:tc>
      </w:tr>
      <w:tr>
        <w:trPr>
          <w:trHeight w:val="1696" w:hRule="atLeast"/>
        </w:trPr>
        <w:tc>
          <w:tcPr>
            <w:tcW w:w="1466" w:type="dxa"/>
          </w:tcPr>
          <w:p>
            <w:pPr>
              <w:pStyle w:val="TableParagraph"/>
              <w:spacing w:before="37"/>
              <w:rPr>
                <w:rFonts w:ascii="Times New Roman"/>
                <w:i/>
                <w:sz w:val="22"/>
              </w:rPr>
            </w:pPr>
            <w:r>
              <w:rPr>
                <w:rFonts w:ascii="Times New Roman"/>
                <w:i/>
                <w:sz w:val="22"/>
              </w:rPr>
              <w:t>known-ys</w:t>
            </w:r>
          </w:p>
        </w:tc>
        <w:tc>
          <w:tcPr>
            <w:tcW w:w="1800" w:type="dxa"/>
          </w:tcPr>
          <w:p>
            <w:pPr>
              <w:pStyle w:val="TableParagraph"/>
              <w:ind w:left="112" w:right="283"/>
              <w:rPr>
                <w:sz w:val="22"/>
              </w:rPr>
            </w:pPr>
            <w:r>
              <w:rPr>
                <w:sz w:val="22"/>
              </w:rPr>
              <w:t>number, name, array, or reference to number, text, logical</w:t>
            </w:r>
          </w:p>
        </w:tc>
        <w:tc>
          <w:tcPr>
            <w:tcW w:w="5400" w:type="dxa"/>
          </w:tcPr>
          <w:p>
            <w:pPr>
              <w:pStyle w:val="TableParagraph"/>
              <w:ind w:left="113" w:right="151"/>
              <w:rPr>
                <w:sz w:val="22"/>
              </w:rPr>
            </w:pPr>
            <w:r>
              <w:rPr>
                <w:sz w:val="22"/>
              </w:rPr>
              <w:t>Designate a set of numeric independent data points. Logical values and text representations of numbers entered directly into the list of arguments are included. If an array or reference argument contains text, logical values, or empty cells, those values are ignored; however, cells with the value 0 are</w:t>
            </w:r>
            <w:r>
              <w:rPr>
                <w:spacing w:val="-6"/>
                <w:sz w:val="22"/>
              </w:rPr>
              <w:t> </w:t>
            </w:r>
            <w:r>
              <w:rPr>
                <w:sz w:val="22"/>
              </w:rPr>
              <w:t>included.</w:t>
            </w:r>
          </w:p>
        </w:tc>
      </w:tr>
    </w:tbl>
    <w:p>
      <w:pPr>
        <w:pStyle w:val="BodyText"/>
        <w:rPr>
          <w:b/>
          <w:sz w:val="20"/>
        </w:rPr>
      </w:pPr>
    </w:p>
    <w:p>
      <w:pPr>
        <w:pStyle w:val="BodyText"/>
        <w:spacing w:before="10"/>
        <w:rPr>
          <w:b/>
          <w:sz w:val="16"/>
        </w:rPr>
      </w:pPr>
    </w:p>
    <w:p>
      <w:pPr>
        <w:pStyle w:val="BodyText"/>
        <w:spacing w:line="278" w:lineRule="auto" w:before="56"/>
        <w:ind w:left="220" w:right="659"/>
      </w:pPr>
      <w:r>
        <w:rPr>
          <w:b/>
        </w:rPr>
        <w:t>Return Type and Value: </w:t>
      </w:r>
      <w:r>
        <w:rPr/>
        <w:t>number – The slope of the linear regression line through data points in known ys and known xs.</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known-ys </w:t>
      </w:r>
      <w:r>
        <w:rPr>
          <w:sz w:val="22"/>
        </w:rPr>
        <w:t>and </w:t>
      </w:r>
      <w:r>
        <w:rPr>
          <w:rFonts w:ascii="Times New Roman" w:hAnsi="Times New Roman"/>
          <w:i/>
          <w:sz w:val="22"/>
        </w:rPr>
        <w:t>known-xs </w:t>
      </w:r>
      <w:r>
        <w:rPr>
          <w:sz w:val="22"/>
        </w:rPr>
        <w:t>are empty, the return value is</w:t>
      </w:r>
      <w:r>
        <w:rPr>
          <w:spacing w:val="-21"/>
          <w:sz w:val="22"/>
        </w:rPr>
        <w:t> </w:t>
      </w:r>
      <w:r>
        <w:rPr>
          <w:sz w:val="22"/>
        </w:rPr>
        <w:t>unspecified.</w:t>
      </w:r>
    </w:p>
    <w:p>
      <w:pPr>
        <w:pStyle w:val="ListParagraph"/>
        <w:numPr>
          <w:ilvl w:val="4"/>
          <w:numId w:val="66"/>
        </w:numPr>
        <w:tabs>
          <w:tab w:pos="940" w:val="left" w:leader="none"/>
          <w:tab w:pos="941" w:val="left" w:leader="none"/>
        </w:tabs>
        <w:spacing w:line="446" w:lineRule="auto" w:before="39" w:after="0"/>
        <w:ind w:left="220" w:right="1244" w:firstLine="360"/>
        <w:jc w:val="left"/>
        <w:rPr>
          <w:sz w:val="22"/>
        </w:rPr>
      </w:pPr>
      <w:r>
        <w:rPr>
          <w:rFonts w:ascii="Times New Roman" w:hAnsi="Times New Roman"/>
          <w:i/>
          <w:sz w:val="22"/>
        </w:rPr>
        <w:t>known-ys </w:t>
      </w:r>
      <w:r>
        <w:rPr>
          <w:sz w:val="22"/>
        </w:rPr>
        <w:t>and </w:t>
      </w:r>
      <w:r>
        <w:rPr>
          <w:rFonts w:ascii="Times New Roman" w:hAnsi="Times New Roman"/>
          <w:i/>
          <w:sz w:val="22"/>
        </w:rPr>
        <w:t>known-xs</w:t>
      </w:r>
      <w:r>
        <w:rPr>
          <w:rFonts w:ascii="Times New Roman" w:hAnsi="Times New Roman"/>
          <w:i/>
          <w:spacing w:val="-41"/>
          <w:sz w:val="22"/>
        </w:rPr>
        <w:t> </w:t>
      </w:r>
      <w:r>
        <w:rPr>
          <w:sz w:val="22"/>
        </w:rPr>
        <w:t>have a different number of data points, the return value is unspecified. [</w:t>
      </w:r>
      <w:r>
        <w:rPr>
          <w:i/>
          <w:sz w:val="22"/>
        </w:rPr>
        <w:t>Example</w:t>
      </w:r>
      <w:r>
        <w:rPr>
          <w:sz w:val="22"/>
        </w:rPr>
        <w:t>:</w:t>
      </w:r>
    </w:p>
    <w:p>
      <w:pPr>
        <w:pStyle w:val="BodyText"/>
        <w:spacing w:before="128"/>
        <w:ind w:left="220"/>
        <w:rPr>
          <w:rFonts w:ascii="Consolas"/>
        </w:rPr>
      </w:pPr>
      <w:r>
        <w:rPr>
          <w:rFonts w:ascii="Consolas"/>
        </w:rPr>
        <w:t>SLOPE({2,3,9,1,8,7,5},{6,5,11,7,5,4,4})</w:t>
      </w:r>
      <w:r>
        <w:rPr>
          <w:rFonts w:ascii="Consolas"/>
          <w:spacing w:val="-70"/>
        </w:rPr>
        <w:t> </w:t>
      </w:r>
      <w:r>
        <w:rPr/>
        <w:t>results in </w:t>
      </w:r>
      <w:r>
        <w:rPr>
          <w:rFonts w:ascii="Consolas"/>
        </w:rPr>
        <w:t>0.305555556</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5 SMALL" w:id="2277"/>
      <w:bookmarkEnd w:id="2277"/>
      <w:r>
        <w:rPr/>
      </w:r>
      <w:bookmarkStart w:name="_bookmark758" w:id="2278"/>
      <w:bookmarkEnd w:id="2278"/>
      <w:r>
        <w:rPr/>
      </w:r>
      <w:bookmarkStart w:name="_bookmark758" w:id="2279"/>
      <w:bookmarkEnd w:id="2279"/>
      <w:r>
        <w:rPr>
          <w:color w:val="4F81BC"/>
        </w:rPr>
        <w:t>SM</w:t>
      </w:r>
      <w:r>
        <w:rPr>
          <w:color w:val="4F81BC"/>
        </w:rPr>
        <w:t>ALL</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SMALL ( </w:t>
      </w:r>
      <w:r>
        <w:rPr>
          <w:i/>
          <w:sz w:val="22"/>
        </w:rPr>
        <w:t>array </w:t>
      </w:r>
      <w:r>
        <w:rPr>
          <w:rFonts w:ascii="Lucida Console"/>
          <w:sz w:val="20"/>
        </w:rPr>
        <w:t>, </w:t>
      </w:r>
      <w:r>
        <w:rPr>
          <w:i/>
          <w:sz w:val="22"/>
        </w:rPr>
        <w:t>k </w:t>
      </w:r>
      <w:r>
        <w:rPr>
          <w:rFonts w:ascii="Lucida Console"/>
          <w:sz w:val="20"/>
        </w:rPr>
        <w:t>)</w:t>
      </w:r>
    </w:p>
    <w:p>
      <w:pPr>
        <w:spacing w:before="104"/>
        <w:ind w:left="220" w:right="0" w:firstLine="0"/>
        <w:jc w:val="left"/>
        <w:rPr>
          <w:sz w:val="22"/>
        </w:rPr>
      </w:pPr>
      <w:r>
        <w:rPr>
          <w:b/>
          <w:sz w:val="22"/>
        </w:rPr>
        <w:t>Description: </w:t>
      </w:r>
      <w:r>
        <w:rPr>
          <w:sz w:val="22"/>
        </w:rPr>
        <w:t>Computes the </w:t>
      </w:r>
      <w:r>
        <w:rPr>
          <w:rFonts w:ascii="Times New Roman"/>
          <w:i/>
          <w:sz w:val="22"/>
        </w:rPr>
        <w:t>k</w:t>
      </w:r>
      <w:r>
        <w:rPr>
          <w:position w:val="8"/>
          <w:sz w:val="14"/>
        </w:rPr>
        <w:t>th </w:t>
      </w:r>
      <w:r>
        <w:rPr>
          <w:sz w:val="22"/>
        </w:rPr>
        <w:t>smallest value in a data set.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spacing w:before="36"/>
              <w:ind w:left="113" w:right="324"/>
              <w:rPr>
                <w:sz w:val="22"/>
              </w:rPr>
            </w:pPr>
            <w:r>
              <w:rPr>
                <w:sz w:val="22"/>
              </w:rPr>
              <w:t>The set of numbers from which the </w:t>
            </w:r>
            <w:r>
              <w:rPr>
                <w:rFonts w:ascii="Times New Roman"/>
                <w:i/>
                <w:sz w:val="22"/>
              </w:rPr>
              <w:t>k</w:t>
            </w:r>
            <w:r>
              <w:rPr>
                <w:position w:val="8"/>
                <w:sz w:val="14"/>
              </w:rPr>
              <w:t>th</w:t>
            </w:r>
            <w:r>
              <w:rPr>
                <w:sz w:val="22"/>
              </w:rPr>
              <w:t>-smallest value is to be determined.</w:t>
            </w:r>
          </w:p>
        </w:tc>
      </w:tr>
      <w:tr>
        <w:trPr>
          <w:trHeight w:val="624" w:hRule="atLeast"/>
        </w:trPr>
        <w:tc>
          <w:tcPr>
            <w:tcW w:w="1466" w:type="dxa"/>
          </w:tcPr>
          <w:p>
            <w:pPr>
              <w:pStyle w:val="TableParagraph"/>
              <w:spacing w:before="37"/>
              <w:rPr>
                <w:rFonts w:ascii="Times New Roman"/>
                <w:i/>
                <w:sz w:val="22"/>
              </w:rPr>
            </w:pPr>
            <w:r>
              <w:rPr>
                <w:rFonts w:ascii="Times New Roman"/>
                <w:i/>
                <w:w w:val="100"/>
                <w:sz w:val="22"/>
              </w:rPr>
              <w:t>k</w:t>
            </w:r>
          </w:p>
        </w:tc>
        <w:tc>
          <w:tcPr>
            <w:tcW w:w="1800" w:type="dxa"/>
          </w:tcPr>
          <w:p>
            <w:pPr>
              <w:pStyle w:val="TableParagraph"/>
              <w:ind w:left="112"/>
              <w:rPr>
                <w:sz w:val="22"/>
              </w:rPr>
            </w:pPr>
            <w:r>
              <w:rPr>
                <w:sz w:val="22"/>
              </w:rPr>
              <w:t>number</w:t>
            </w:r>
          </w:p>
        </w:tc>
        <w:tc>
          <w:tcPr>
            <w:tcW w:w="5400" w:type="dxa"/>
          </w:tcPr>
          <w:p>
            <w:pPr>
              <w:pStyle w:val="TableParagraph"/>
              <w:ind w:left="113" w:right="162"/>
              <w:rPr>
                <w:sz w:val="22"/>
              </w:rPr>
            </w:pPr>
            <w:r>
              <w:rPr>
                <w:sz w:val="22"/>
              </w:rPr>
              <w:t>The position (from the smallest) in the array or cell range of data to return.</w:t>
            </w:r>
          </w:p>
        </w:tc>
      </w:tr>
    </w:tbl>
    <w:p>
      <w:pPr>
        <w:pStyle w:val="BodyText"/>
        <w:rPr>
          <w:b/>
        </w:rPr>
      </w:pPr>
    </w:p>
    <w:p>
      <w:pPr>
        <w:pStyle w:val="BodyText"/>
        <w:spacing w:before="3"/>
        <w:rPr>
          <w:b/>
          <w:sz w:val="19"/>
        </w:rPr>
      </w:pPr>
    </w:p>
    <w:p>
      <w:pPr>
        <w:spacing w:line="453" w:lineRule="auto" w:before="1"/>
        <w:ind w:left="220" w:right="3786" w:firstLine="0"/>
        <w:jc w:val="left"/>
        <w:rPr>
          <w:sz w:val="22"/>
        </w:rPr>
      </w:pPr>
      <w:r>
        <w:rPr>
          <w:b/>
          <w:sz w:val="22"/>
        </w:rPr>
        <w:t>Return Type and Value: </w:t>
      </w:r>
      <w:r>
        <w:rPr>
          <w:sz w:val="22"/>
        </w:rPr>
        <w:t>number – The </w:t>
      </w:r>
      <w:r>
        <w:rPr>
          <w:rFonts w:ascii="Times New Roman" w:hAnsi="Times New Roman"/>
          <w:i/>
          <w:sz w:val="22"/>
        </w:rPr>
        <w:t>k</w:t>
      </w:r>
      <w:r>
        <w:rPr>
          <w:position w:val="8"/>
          <w:sz w:val="14"/>
        </w:rPr>
        <w:t>th </w:t>
      </w:r>
      <w:r>
        <w:rPr>
          <w:sz w:val="22"/>
        </w:rPr>
        <w:t>smallest value in a data set.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array </w:t>
      </w:r>
      <w:r>
        <w:rPr>
          <w:sz w:val="22"/>
        </w:rPr>
        <w:t>is empty, the return value is</w:t>
      </w:r>
      <w:r>
        <w:rPr>
          <w:spacing w:val="-13"/>
          <w:sz w:val="22"/>
        </w:rPr>
        <w:t> </w:t>
      </w:r>
      <w:r>
        <w:rPr>
          <w:sz w:val="22"/>
        </w:rPr>
        <w:t>unspecified.</w:t>
      </w:r>
    </w:p>
    <w:p>
      <w:pPr>
        <w:spacing w:after="0" w:line="240" w:lineRule="auto"/>
        <w:jc w:val="left"/>
        <w:rPr>
          <w:sz w:val="22"/>
        </w:rPr>
        <w:sectPr>
          <w:pgSz w:w="12240" w:h="15840"/>
          <w:pgMar w:header="763" w:footer="746" w:top="1340" w:bottom="940" w:left="860" w:right="700"/>
        </w:sectPr>
      </w:pPr>
    </w:p>
    <w:p>
      <w:pPr>
        <w:pStyle w:val="ListParagraph"/>
        <w:numPr>
          <w:ilvl w:val="4"/>
          <w:numId w:val="66"/>
        </w:numPr>
        <w:tabs>
          <w:tab w:pos="940" w:val="left" w:leader="none"/>
          <w:tab w:pos="941" w:val="left" w:leader="none"/>
        </w:tabs>
        <w:spacing w:line="446" w:lineRule="auto" w:before="91" w:after="0"/>
        <w:ind w:left="220" w:right="3384" w:firstLine="360"/>
        <w:jc w:val="left"/>
        <w:rPr>
          <w:sz w:val="22"/>
        </w:rPr>
      </w:pPr>
      <w:r>
        <w:rPr>
          <w:rFonts w:ascii="Times New Roman" w:hAnsi="Times New Roman"/>
          <w:i/>
          <w:sz w:val="22"/>
        </w:rPr>
        <w:t>k </w:t>
      </w:r>
      <w:r>
        <w:rPr>
          <w:sz w:val="22"/>
        </w:rPr>
        <w:t>≤ 0 or </w:t>
      </w:r>
      <w:r>
        <w:rPr>
          <w:rFonts w:ascii="Times New Roman" w:hAnsi="Times New Roman"/>
          <w:i/>
          <w:sz w:val="22"/>
        </w:rPr>
        <w:t>k </w:t>
      </w:r>
      <w:r>
        <w:rPr>
          <w:sz w:val="22"/>
        </w:rPr>
        <w:t>is greater than the number of data points, </w:t>
      </w:r>
      <w:r>
        <w:rPr>
          <w:rFonts w:ascii="Consolas" w:hAnsi="Consolas"/>
          <w:sz w:val="22"/>
        </w:rPr>
        <w:t>#NUM!</w:t>
      </w:r>
      <w:r>
        <w:rPr>
          <w:rFonts w:ascii="Consolas" w:hAnsi="Consolas"/>
          <w:spacing w:val="-97"/>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SMALL({3,5,3,5,4;4,2,4,6,7},3) </w:t>
      </w:r>
      <w:r>
        <w:rPr/>
        <w:t>results in</w:t>
      </w:r>
      <w:r>
        <w:rPr>
          <w:spacing w:val="-17"/>
        </w:rPr>
        <w:t> </w:t>
      </w:r>
      <w:r>
        <w:rPr>
          <w:rFonts w:ascii="Consolas"/>
        </w:rPr>
        <w:t>3</w:t>
      </w:r>
    </w:p>
    <w:p>
      <w:pPr>
        <w:pStyle w:val="BodyText"/>
        <w:spacing w:before="41"/>
        <w:ind w:left="220"/>
        <w:rPr>
          <w:rFonts w:ascii="Consolas"/>
        </w:rPr>
      </w:pPr>
      <w:r>
        <w:rPr>
          <w:rFonts w:ascii="Consolas"/>
        </w:rPr>
        <w:t>SMALL({3,5,3,5,4;4,2,4,6,7},7) </w:t>
      </w:r>
      <w:r>
        <w:rPr/>
        <w:t>results in</w:t>
      </w:r>
      <w:r>
        <w:rPr>
          <w:spacing w:val="-17"/>
        </w:rPr>
        <w:t> </w:t>
      </w:r>
      <w:r>
        <w:rPr>
          <w:rFonts w:ascii="Consolas"/>
        </w:rPr>
        <w:t>5</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6 SQRT" w:id="2280"/>
      <w:bookmarkEnd w:id="2280"/>
      <w:r>
        <w:rPr/>
      </w:r>
      <w:bookmarkStart w:name="_bookmark759" w:id="2281"/>
      <w:bookmarkEnd w:id="2281"/>
      <w:r>
        <w:rPr/>
      </w:r>
      <w:bookmarkStart w:name="_bookmark759" w:id="2282"/>
      <w:bookmarkEnd w:id="2282"/>
      <w:r>
        <w:rPr>
          <w:color w:val="4F81BC"/>
        </w:rPr>
        <w:t>S</w:t>
      </w:r>
      <w:r>
        <w:rPr>
          <w:color w:val="4F81BC"/>
        </w:rPr>
        <w:t>QRT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SQRT ( </w:t>
      </w:r>
      <w:r>
        <w:rPr>
          <w:i/>
          <w:sz w:val="22"/>
        </w:rPr>
        <w:t>x </w:t>
      </w:r>
      <w:r>
        <w:rPr>
          <w:rFonts w:ascii="Lucida Console"/>
          <w:sz w:val="20"/>
        </w:rPr>
        <w:t>)</w:t>
      </w:r>
    </w:p>
    <w:p>
      <w:pPr>
        <w:spacing w:before="111"/>
        <w:ind w:left="220" w:right="0" w:firstLine="0"/>
        <w:jc w:val="left"/>
        <w:rPr>
          <w:sz w:val="22"/>
        </w:rPr>
      </w:pPr>
      <w:r>
        <w:rPr>
          <w:b/>
          <w:sz w:val="22"/>
        </w:rPr>
        <w:t>Description: </w:t>
      </w:r>
      <w:r>
        <w:rPr>
          <w:sz w:val="22"/>
        </w:rPr>
        <w:t>Computes the positive square root of </w:t>
      </w:r>
      <w:r>
        <w:rPr>
          <w:rFonts w:ascii="Times New Roman"/>
          <w:i/>
          <w:sz w:val="22"/>
        </w:rPr>
        <w:t>x</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whose positive root is to be found.</w:t>
            </w:r>
          </w:p>
        </w:tc>
      </w:tr>
    </w:tbl>
    <w:p>
      <w:pPr>
        <w:pStyle w:val="BodyText"/>
        <w:rPr>
          <w:b/>
        </w:rPr>
      </w:pPr>
    </w:p>
    <w:p>
      <w:pPr>
        <w:pStyle w:val="BodyText"/>
        <w:spacing w:before="7"/>
        <w:rPr>
          <w:b/>
          <w:sz w:val="19"/>
        </w:rPr>
      </w:pPr>
    </w:p>
    <w:p>
      <w:pPr>
        <w:spacing w:line="453" w:lineRule="auto" w:before="0"/>
        <w:ind w:left="220" w:right="4719" w:firstLine="0"/>
        <w:jc w:val="left"/>
        <w:rPr>
          <w:sz w:val="22"/>
        </w:rPr>
      </w:pPr>
      <w:r>
        <w:rPr>
          <w:b/>
          <w:sz w:val="22"/>
        </w:rPr>
        <w:t>Return Type and Value: </w:t>
      </w:r>
      <w:r>
        <w:rPr>
          <w:sz w:val="22"/>
        </w:rPr>
        <w:t>number – The positive square root of </w:t>
      </w:r>
      <w:r>
        <w:rPr>
          <w:rFonts w:ascii="Times New Roman" w:hAnsi="Times New Roman"/>
          <w:i/>
          <w:sz w:val="22"/>
        </w:rPr>
        <w:t>x</w:t>
      </w:r>
      <w:r>
        <w:rPr>
          <w:sz w:val="22"/>
        </w:rPr>
        <w:t>. However, if </w:t>
      </w:r>
      <w:r>
        <w:rPr>
          <w:rFonts w:ascii="Times New Roman" w:hAnsi="Times New Roman"/>
          <w:i/>
          <w:sz w:val="22"/>
        </w:rPr>
        <w:t>x </w:t>
      </w:r>
      <w:r>
        <w:rPr>
          <w:sz w:val="22"/>
        </w:rPr>
        <w:t>is negative, </w:t>
      </w:r>
      <w:r>
        <w:rPr>
          <w:rFonts w:ascii="Consolas" w:hAnsi="Consolas"/>
          <w:sz w:val="22"/>
        </w:rPr>
        <w:t>#NUM!</w:t>
      </w:r>
      <w:r>
        <w:rPr>
          <w:rFonts w:ascii="Consolas" w:hAnsi="Consolas"/>
          <w:spacing w:val="-80"/>
          <w:sz w:val="22"/>
        </w:rPr>
        <w:t> </w:t>
      </w:r>
      <w:r>
        <w:rPr>
          <w:sz w:val="22"/>
        </w:rPr>
        <w:t>is returned.</w:t>
      </w:r>
    </w:p>
    <w:p>
      <w:pPr>
        <w:spacing w:before="1"/>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7362"/>
        <w:rPr>
          <w:rFonts w:ascii="Consolas"/>
        </w:rPr>
      </w:pPr>
      <w:r>
        <w:rPr>
          <w:rFonts w:ascii="Consolas"/>
        </w:rPr>
        <w:t>SQRT(2)</w:t>
      </w:r>
      <w:r>
        <w:rPr>
          <w:rFonts w:ascii="Consolas"/>
          <w:spacing w:val="-84"/>
        </w:rPr>
        <w:t> </w:t>
      </w:r>
      <w:r>
        <w:rPr/>
        <w:t>results in </w:t>
      </w:r>
      <w:r>
        <w:rPr>
          <w:rFonts w:ascii="Consolas"/>
        </w:rPr>
        <w:t>1.414213562 SQRT(5)</w:t>
      </w:r>
      <w:r>
        <w:rPr>
          <w:rFonts w:ascii="Consolas"/>
          <w:spacing w:val="-84"/>
        </w:rPr>
        <w:t> </w:t>
      </w:r>
      <w:r>
        <w:rPr/>
        <w:t>results in </w:t>
      </w:r>
      <w:r>
        <w:rPr>
          <w:rFonts w:ascii="Consolas"/>
        </w:rPr>
        <w:t>2.236067977</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7 SQRTPI" w:id="2283"/>
      <w:bookmarkEnd w:id="2283"/>
      <w:r>
        <w:rPr/>
      </w:r>
      <w:bookmarkStart w:name="_bookmark760" w:id="2284"/>
      <w:bookmarkEnd w:id="2284"/>
      <w:r>
        <w:rPr/>
      </w:r>
      <w:bookmarkStart w:name="_bookmark760" w:id="2285"/>
      <w:bookmarkEnd w:id="2285"/>
      <w:r>
        <w:rPr>
          <w:color w:val="4F81BC"/>
        </w:rPr>
        <w:t>S</w:t>
      </w:r>
      <w:r>
        <w:rPr>
          <w:color w:val="4F81BC"/>
        </w:rPr>
        <w:t>QRTPI</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SQRTPI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positive square root of </w:t>
      </w:r>
      <w:r>
        <w:rPr>
          <w:rFonts w:ascii="Times New Roman" w:hAnsi="Times New Roman"/>
          <w:i/>
          <w:sz w:val="22"/>
        </w:rPr>
        <w:t>x × </w:t>
      </w:r>
      <w:r>
        <w:rPr>
          <w:sz w:val="22"/>
        </w:rPr>
        <w:t>π.</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which when multiplied by π, whose positive</w:t>
            </w:r>
          </w:p>
          <w:p>
            <w:pPr>
              <w:pStyle w:val="TableParagraph"/>
              <w:spacing w:before="0"/>
              <w:ind w:left="113"/>
              <w:rPr>
                <w:sz w:val="22"/>
              </w:rPr>
            </w:pPr>
            <w:r>
              <w:rPr>
                <w:sz w:val="22"/>
              </w:rPr>
              <w:t>root is to be found.</w:t>
            </w:r>
          </w:p>
        </w:tc>
      </w:tr>
    </w:tbl>
    <w:p>
      <w:pPr>
        <w:spacing w:after="0"/>
        <w:rPr>
          <w:sz w:val="22"/>
        </w:rPr>
        <w:sectPr>
          <w:pgSz w:w="12240" w:h="15840"/>
          <w:pgMar w:header="761" w:footer="746" w:top="1340" w:bottom="940" w:left="860" w:right="700"/>
        </w:sectPr>
      </w:pPr>
    </w:p>
    <w:p>
      <w:pPr>
        <w:spacing w:before="150"/>
        <w:ind w:left="220" w:right="0" w:firstLine="0"/>
        <w:jc w:val="left"/>
        <w:rPr>
          <w:sz w:val="22"/>
        </w:rPr>
      </w:pPr>
      <w:r>
        <w:rPr>
          <w:b/>
          <w:sz w:val="22"/>
        </w:rPr>
        <w:t>Return Type and Value: </w:t>
      </w:r>
      <w:r>
        <w:rPr>
          <w:sz w:val="22"/>
        </w:rPr>
        <w:t>number – The positive square root of </w:t>
      </w:r>
      <w:r>
        <w:rPr>
          <w:rFonts w:ascii="Times New Roman" w:hAnsi="Times New Roman"/>
          <w:i/>
          <w:sz w:val="22"/>
        </w:rPr>
        <w:t>x × </w:t>
      </w:r>
      <w:r>
        <w:rPr>
          <w:sz w:val="22"/>
        </w:rPr>
        <w:t>π.</w:t>
      </w:r>
    </w:p>
    <w:p>
      <w:pPr>
        <w:pStyle w:val="BodyText"/>
        <w:spacing w:before="9"/>
        <w:rPr>
          <w:sz w:val="19"/>
        </w:rPr>
      </w:pPr>
    </w:p>
    <w:p>
      <w:pPr>
        <w:pStyle w:val="BodyText"/>
        <w:spacing w:line="453" w:lineRule="auto"/>
        <w:ind w:left="220" w:right="6477"/>
      </w:pPr>
      <w:r>
        <w:rPr/>
        <w:t>However, if </w:t>
      </w:r>
      <w:r>
        <w:rPr>
          <w:rFonts w:ascii="Times New Roman"/>
          <w:i/>
        </w:rPr>
        <w:t>x </w:t>
      </w:r>
      <w:r>
        <w:rPr/>
        <w:t>is negative, </w:t>
      </w:r>
      <w:r>
        <w:rPr>
          <w:rFonts w:ascii="Consolas"/>
        </w:rPr>
        <w:t>#NUM!</w:t>
      </w:r>
      <w:r>
        <w:rPr>
          <w:rFonts w:ascii="Consolas"/>
          <w:spacing w:val="-86"/>
        </w:rPr>
        <w:t> </w:t>
      </w:r>
      <w:r>
        <w:rPr/>
        <w:t>is returned. [</w:t>
      </w:r>
      <w:r>
        <w:rPr>
          <w:i/>
        </w:rPr>
        <w:t>Example</w:t>
      </w:r>
      <w:r>
        <w:rPr/>
        <w:t>:</w:t>
      </w:r>
    </w:p>
    <w:p>
      <w:pPr>
        <w:pStyle w:val="BodyText"/>
        <w:spacing w:line="276" w:lineRule="auto" w:before="108"/>
        <w:ind w:left="220" w:right="7120"/>
        <w:rPr>
          <w:rFonts w:ascii="Consolas"/>
        </w:rPr>
      </w:pPr>
      <w:r>
        <w:rPr>
          <w:rFonts w:ascii="Consolas"/>
        </w:rPr>
        <w:t>SQRTPI(1)</w:t>
      </w:r>
      <w:r>
        <w:rPr>
          <w:rFonts w:ascii="Consolas"/>
          <w:spacing w:val="-84"/>
        </w:rPr>
        <w:t> </w:t>
      </w:r>
      <w:r>
        <w:rPr/>
        <w:t>results in </w:t>
      </w:r>
      <w:r>
        <w:rPr>
          <w:rFonts w:ascii="Consolas"/>
        </w:rPr>
        <w:t>1.772453851 SQRTPI(2)</w:t>
      </w:r>
      <w:r>
        <w:rPr>
          <w:rFonts w:ascii="Consolas"/>
          <w:spacing w:val="-84"/>
        </w:rPr>
        <w:t> </w:t>
      </w:r>
      <w:r>
        <w:rPr/>
        <w:t>results in </w:t>
      </w:r>
      <w:r>
        <w:rPr>
          <w:rFonts w:ascii="Consolas"/>
        </w:rPr>
        <w:t>2.506628275</w:t>
      </w:r>
    </w:p>
    <w:p>
      <w:pPr>
        <w:pStyle w:val="BodyText"/>
        <w:spacing w:before="6"/>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298 STANDARDIZE" w:id="2286"/>
      <w:bookmarkEnd w:id="2286"/>
      <w:r>
        <w:rPr/>
      </w:r>
      <w:bookmarkStart w:name="_bookmark761" w:id="2287"/>
      <w:bookmarkEnd w:id="2287"/>
      <w:r>
        <w:rPr/>
      </w:r>
      <w:bookmarkStart w:name="_bookmark761" w:id="2288"/>
      <w:bookmarkEnd w:id="2288"/>
      <w:r>
        <w:rPr>
          <w:color w:val="4F81BC"/>
        </w:rPr>
        <w:t>ST</w:t>
      </w:r>
      <w:r>
        <w:rPr>
          <w:color w:val="4F81BC"/>
        </w:rPr>
        <w:t>ANDARDIZE</w:t>
      </w:r>
    </w:p>
    <w:p>
      <w:pPr>
        <w:pStyle w:val="Heading4"/>
        <w:spacing w:before="123"/>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STANDARDIZE ( </w:t>
      </w:r>
      <w:r>
        <w:rPr>
          <w:i/>
          <w:sz w:val="22"/>
        </w:rPr>
        <w:t>x </w:t>
      </w:r>
      <w:r>
        <w:rPr>
          <w:sz w:val="22"/>
        </w:rPr>
        <w:t>, </w:t>
      </w:r>
      <w:r>
        <w:rPr>
          <w:i/>
          <w:sz w:val="22"/>
        </w:rPr>
        <w:t>mean </w:t>
      </w:r>
      <w:r>
        <w:rPr>
          <w:sz w:val="22"/>
        </w:rPr>
        <w:t>, </w:t>
      </w:r>
      <w:r>
        <w:rPr>
          <w:i/>
          <w:sz w:val="22"/>
        </w:rPr>
        <w:t>standard-dev </w:t>
      </w:r>
      <w:r>
        <w:rPr>
          <w:rFonts w:ascii="Lucida Console"/>
          <w:sz w:val="20"/>
        </w:rPr>
        <w:t>)</w:t>
      </w:r>
    </w:p>
    <w:p>
      <w:pPr>
        <w:spacing w:before="108"/>
        <w:ind w:left="220" w:right="0" w:firstLine="0"/>
        <w:jc w:val="left"/>
        <w:rPr>
          <w:sz w:val="22"/>
        </w:rPr>
      </w:pPr>
      <w:r>
        <w:rPr>
          <w:b/>
          <w:sz w:val="22"/>
        </w:rPr>
        <w:t>Description: </w:t>
      </w:r>
      <w:r>
        <w:rPr>
          <w:sz w:val="22"/>
        </w:rPr>
        <w:t>Computes a normalized value from a distribution characterized by </w:t>
      </w:r>
      <w:r>
        <w:rPr>
          <w:rFonts w:ascii="Times New Roman"/>
          <w:i/>
          <w:sz w:val="22"/>
        </w:rPr>
        <w:t>mean </w:t>
      </w:r>
      <w:r>
        <w:rPr>
          <w:sz w:val="22"/>
        </w:rPr>
        <w:t>and </w:t>
      </w:r>
      <w:r>
        <w:rPr>
          <w:rFonts w:ascii="Times New Roman"/>
          <w:i/>
          <w:sz w:val="22"/>
        </w:rPr>
        <w:t>standard-dev</w:t>
      </w:r>
      <w:r>
        <w:rPr>
          <w:sz w:val="22"/>
        </w:rPr>
        <w:t>.</w:t>
      </w:r>
    </w:p>
    <w:p>
      <w:pPr>
        <w:pStyle w:val="BodyText"/>
        <w:spacing w:before="8"/>
        <w:rPr>
          <w:sz w:val="19"/>
        </w:rPr>
      </w:pPr>
    </w:p>
    <w:p>
      <w:pPr>
        <w:pStyle w:val="Heading4"/>
        <w:rPr>
          <w:b w:val="0"/>
        </w:rPr>
      </w:pPr>
      <w:r>
        <w:rPr/>
        <w:t>Mathematical Formula</w:t>
      </w:r>
      <w:r>
        <w:rPr>
          <w:b w:val="0"/>
        </w:rPr>
        <w:t>:</w:t>
      </w:r>
    </w:p>
    <w:p>
      <w:pPr>
        <w:pStyle w:val="BodyText"/>
        <w:spacing w:before="10"/>
        <w:rPr>
          <w:sz w:val="11"/>
        </w:rPr>
      </w:pPr>
    </w:p>
    <w:p>
      <w:pPr>
        <w:spacing w:after="0"/>
        <w:rPr>
          <w:sz w:val="11"/>
        </w:rPr>
        <w:sectPr>
          <w:pgSz w:w="12240" w:h="15840"/>
          <w:pgMar w:header="763" w:footer="746" w:top="1340" w:bottom="940" w:left="860" w:right="700"/>
        </w:sectPr>
      </w:pPr>
    </w:p>
    <w:p>
      <w:pPr>
        <w:pStyle w:val="BodyText"/>
        <w:spacing w:before="11"/>
        <w:rPr>
          <w:sz w:val="18"/>
        </w:rPr>
      </w:pPr>
    </w:p>
    <w:p>
      <w:pPr>
        <w:pStyle w:val="BodyText"/>
        <w:spacing w:before="1"/>
        <w:ind w:left="220"/>
        <w:rPr>
          <w:rFonts w:ascii="Cambria Math" w:eastAsia="Cambria Math"/>
        </w:rPr>
      </w:pPr>
      <w:r>
        <w:rPr>
          <w:rFonts w:ascii="Cambria Math" w:eastAsia="Cambria Math"/>
        </w:rPr>
        <w:t>𝑍 =</w:t>
      </w:r>
    </w:p>
    <w:p>
      <w:pPr>
        <w:pStyle w:val="BodyText"/>
        <w:spacing w:before="63"/>
        <w:ind w:left="54" w:right="9440"/>
        <w:jc w:val="center"/>
        <w:rPr>
          <w:rFonts w:ascii="Cambria Math" w:hAnsi="Cambria Math" w:eastAsia="Cambria Math"/>
        </w:rPr>
      </w:pPr>
      <w:r>
        <w:rPr/>
        <w:br w:type="column"/>
      </w:r>
      <w:r>
        <w:rPr>
          <w:rFonts w:ascii="Cambria Math" w:hAnsi="Cambria Math" w:eastAsia="Cambria Math"/>
        </w:rPr>
        <w:t>𝑋 − 𝜇</w:t>
      </w:r>
    </w:p>
    <w:p>
      <w:pPr>
        <w:pStyle w:val="BodyText"/>
        <w:spacing w:before="2"/>
        <w:rPr>
          <w:rFonts w:ascii="Cambria Math"/>
          <w:sz w:val="4"/>
        </w:rPr>
      </w:pPr>
    </w:p>
    <w:p>
      <w:pPr>
        <w:pStyle w:val="BodyText"/>
        <w:spacing w:line="20" w:lineRule="exact"/>
        <w:ind w:left="61"/>
        <w:rPr>
          <w:rFonts w:ascii="Cambria Math"/>
          <w:sz w:val="2"/>
        </w:rPr>
      </w:pPr>
      <w:r>
        <w:rPr>
          <w:rFonts w:ascii="Cambria Math"/>
          <w:sz w:val="2"/>
        </w:rPr>
        <w:pict>
          <v:group style="width:26.8pt;height:.75pt;mso-position-horizontal-relative:char;mso-position-vertical-relative:line" coordorigin="0,0" coordsize="536,15">
            <v:line style="position:absolute" from="0,7" to="535,7" stroked="true" strokeweight=".72pt" strokecolor="#000000">
              <v:stroke dashstyle="solid"/>
            </v:line>
          </v:group>
        </w:pict>
      </w:r>
      <w:r>
        <w:rPr>
          <w:rFonts w:ascii="Cambria Math"/>
          <w:sz w:val="2"/>
        </w:rPr>
      </w:r>
    </w:p>
    <w:p>
      <w:pPr>
        <w:pStyle w:val="BodyText"/>
        <w:ind w:left="50" w:right="9440"/>
        <w:jc w:val="center"/>
        <w:rPr>
          <w:rFonts w:ascii="Cambria Math" w:eastAsia="Cambria Math"/>
        </w:rPr>
      </w:pPr>
      <w:r>
        <w:rPr>
          <w:rFonts w:ascii="Cambria Math" w:eastAsia="Cambria Math"/>
        </w:rPr>
        <w:t>𝜎</w:t>
      </w:r>
    </w:p>
    <w:p>
      <w:pPr>
        <w:spacing w:after="0"/>
        <w:jc w:val="center"/>
        <w:rPr>
          <w:rFonts w:ascii="Cambria Math" w:eastAsia="Cambria Math"/>
        </w:rPr>
        <w:sectPr>
          <w:type w:val="continuous"/>
          <w:pgSz w:w="12240" w:h="15840"/>
          <w:pgMar w:top="1340" w:bottom="940" w:left="860" w:right="700"/>
          <w:cols w:num="2" w:equalWidth="0">
            <w:col w:w="582" w:space="40"/>
            <w:col w:w="10058"/>
          </w:cols>
        </w:sectPr>
      </w:pPr>
    </w:p>
    <w:p>
      <w:pPr>
        <w:pStyle w:val="BodyText"/>
        <w:spacing w:before="5"/>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2"/>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µ = argument</w:t>
      </w:r>
      <w:r>
        <w:rPr>
          <w:spacing w:val="3"/>
          <w:sz w:val="22"/>
        </w:rPr>
        <w:t> </w:t>
      </w:r>
      <w:r>
        <w:rPr>
          <w:rFonts w:ascii="Times New Roman" w:hAnsi="Times New Roman"/>
          <w:i/>
          <w:sz w:val="22"/>
        </w:rPr>
        <w:t>mean</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σ = argument</w:t>
      </w:r>
      <w:r>
        <w:rPr>
          <w:spacing w:val="3"/>
          <w:sz w:val="22"/>
        </w:rPr>
        <w:t> </w:t>
      </w:r>
      <w:r>
        <w:rPr>
          <w:rFonts w:ascii="Times New Roman" w:hAnsi="Times New Roman"/>
          <w:i/>
          <w:sz w:val="22"/>
        </w:rPr>
        <w:t>standard-dev</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1082"/>
              <w:rPr>
                <w:sz w:val="22"/>
              </w:rPr>
            </w:pPr>
            <w:r>
              <w:rPr>
                <w:sz w:val="22"/>
              </w:rPr>
              <w:t>The number whose value is to be normalized. Represented by X in the mathematical formula presented.</w:t>
            </w:r>
          </w:p>
        </w:tc>
      </w:tr>
      <w:tr>
        <w:trPr>
          <w:trHeight w:val="623" w:hRule="atLeast"/>
        </w:trPr>
        <w:tc>
          <w:tcPr>
            <w:tcW w:w="1466" w:type="dxa"/>
          </w:tcPr>
          <w:p>
            <w:pPr>
              <w:pStyle w:val="TableParagraph"/>
              <w:spacing w:before="37"/>
              <w:rPr>
                <w:rFonts w:ascii="Times New Roman"/>
                <w:i/>
                <w:sz w:val="22"/>
              </w:rPr>
            </w:pPr>
            <w:r>
              <w:rPr>
                <w:rFonts w:ascii="Times New Roman"/>
                <w:i/>
                <w:sz w:val="22"/>
              </w:rPr>
              <w:t>mean</w:t>
            </w:r>
          </w:p>
        </w:tc>
        <w:tc>
          <w:tcPr>
            <w:tcW w:w="1800" w:type="dxa"/>
          </w:tcPr>
          <w:p>
            <w:pPr>
              <w:pStyle w:val="TableParagraph"/>
              <w:ind w:left="112"/>
              <w:rPr>
                <w:sz w:val="22"/>
              </w:rPr>
            </w:pPr>
            <w:r>
              <w:rPr>
                <w:sz w:val="22"/>
              </w:rPr>
              <w:t>number</w:t>
            </w:r>
          </w:p>
        </w:tc>
        <w:tc>
          <w:tcPr>
            <w:tcW w:w="5400" w:type="dxa"/>
          </w:tcPr>
          <w:p>
            <w:pPr>
              <w:pStyle w:val="TableParagraph"/>
              <w:ind w:left="113" w:right="213"/>
              <w:rPr>
                <w:sz w:val="22"/>
              </w:rPr>
            </w:pPr>
            <w:r>
              <w:rPr>
                <w:sz w:val="22"/>
              </w:rPr>
              <w:t>The arithmetic mean of the distribution. Represented by mu (µ) in the mathematical formula presented.</w:t>
            </w:r>
          </w:p>
        </w:tc>
      </w:tr>
      <w:tr>
        <w:trPr>
          <w:trHeight w:val="624" w:hRule="atLeast"/>
        </w:trPr>
        <w:tc>
          <w:tcPr>
            <w:tcW w:w="1466" w:type="dxa"/>
          </w:tcPr>
          <w:p>
            <w:pPr>
              <w:pStyle w:val="TableParagraph"/>
              <w:spacing w:before="37"/>
              <w:rPr>
                <w:rFonts w:ascii="Times New Roman"/>
                <w:i/>
                <w:sz w:val="22"/>
              </w:rPr>
            </w:pPr>
            <w:r>
              <w:rPr>
                <w:rFonts w:ascii="Times New Roman"/>
                <w:i/>
                <w:sz w:val="22"/>
              </w:rPr>
              <w:t>standard-dev</w:t>
            </w:r>
          </w:p>
        </w:tc>
        <w:tc>
          <w:tcPr>
            <w:tcW w:w="1800" w:type="dxa"/>
          </w:tcPr>
          <w:p>
            <w:pPr>
              <w:pStyle w:val="TableParagraph"/>
              <w:ind w:left="112"/>
              <w:rPr>
                <w:sz w:val="22"/>
              </w:rPr>
            </w:pPr>
            <w:r>
              <w:rPr>
                <w:sz w:val="22"/>
              </w:rPr>
              <w:t>number</w:t>
            </w:r>
          </w:p>
        </w:tc>
        <w:tc>
          <w:tcPr>
            <w:tcW w:w="5400" w:type="dxa"/>
          </w:tcPr>
          <w:p>
            <w:pPr>
              <w:pStyle w:val="TableParagraph"/>
              <w:ind w:left="113" w:right="278"/>
              <w:rPr>
                <w:sz w:val="22"/>
              </w:rPr>
            </w:pPr>
            <w:r>
              <w:rPr>
                <w:sz w:val="22"/>
              </w:rPr>
              <w:t>The standard deviation of the distribution. Represented by sigma (σ) in the mathematical formula presented.</w:t>
            </w:r>
          </w:p>
        </w:tc>
      </w:tr>
    </w:tbl>
    <w:p>
      <w:pPr>
        <w:pStyle w:val="BodyText"/>
        <w:rPr>
          <w:b/>
        </w:rPr>
      </w:pPr>
    </w:p>
    <w:p>
      <w:pPr>
        <w:pStyle w:val="BodyText"/>
        <w:spacing w:before="7"/>
        <w:rPr>
          <w:b/>
          <w:sz w:val="19"/>
        </w:rPr>
      </w:pPr>
    </w:p>
    <w:p>
      <w:pPr>
        <w:spacing w:line="453" w:lineRule="auto" w:before="0"/>
        <w:ind w:left="220" w:right="3834" w:firstLine="0"/>
        <w:jc w:val="left"/>
        <w:rPr>
          <w:sz w:val="22"/>
        </w:rPr>
      </w:pPr>
      <w:r>
        <w:rPr>
          <w:b/>
          <w:sz w:val="22"/>
        </w:rPr>
        <w:t>Return Type and Value: </w:t>
      </w:r>
      <w:r>
        <w:rPr>
          <w:sz w:val="22"/>
        </w:rPr>
        <w:t>number – A normalized value from a distribution. However, if </w:t>
      </w:r>
      <w:r>
        <w:rPr>
          <w:rFonts w:ascii="Times New Roman" w:hAnsi="Times New Roman"/>
          <w:i/>
          <w:sz w:val="22"/>
        </w:rPr>
        <w:t>standard-dev </w:t>
      </w:r>
      <w:r>
        <w:rPr>
          <w:sz w:val="22"/>
        </w:rPr>
        <w:t>≤ 0, </w:t>
      </w:r>
      <w:r>
        <w:rPr>
          <w:rFonts w:ascii="Consolas" w:hAnsi="Consolas"/>
          <w:sz w:val="22"/>
        </w:rPr>
        <w:t>#NUM!</w:t>
      </w:r>
      <w:r>
        <w:rPr>
          <w:rFonts w:ascii="Consolas" w:hAnsi="Consolas"/>
          <w:spacing w:val="-84"/>
          <w:sz w:val="22"/>
        </w:rPr>
        <w:t> </w:t>
      </w:r>
      <w:r>
        <w:rPr>
          <w:sz w:val="22"/>
        </w:rPr>
        <w:t>is returned.</w:t>
      </w:r>
    </w:p>
    <w:p>
      <w:pPr>
        <w:spacing w:after="0" w:line="453" w:lineRule="auto"/>
        <w:jc w:val="left"/>
        <w:rPr>
          <w:sz w:val="22"/>
        </w:rPr>
        <w:sectPr>
          <w:type w:val="continuous"/>
          <w:pgSz w:w="12240" w:h="15840"/>
          <w:pgMar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STANDARDIZE(42,40,1.5)</w:t>
      </w:r>
      <w:r>
        <w:rPr>
          <w:rFonts w:ascii="Consolas"/>
          <w:spacing w:val="-71"/>
        </w:rPr>
        <w:t> </w:t>
      </w:r>
      <w:r>
        <w:rPr/>
        <w:t>results in </w:t>
      </w:r>
      <w:r>
        <w:rPr>
          <w:rFonts w:ascii="Consolas"/>
        </w:rPr>
        <w:t>1.333333333</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299 STDEV" w:id="2289"/>
      <w:bookmarkEnd w:id="2289"/>
      <w:r>
        <w:rPr/>
      </w:r>
      <w:bookmarkStart w:name="_bookmark762" w:id="2290"/>
      <w:bookmarkEnd w:id="2290"/>
      <w:r>
        <w:rPr/>
      </w:r>
      <w:bookmarkStart w:name="_bookmark762" w:id="2291"/>
      <w:bookmarkEnd w:id="2291"/>
      <w:r>
        <w:rPr>
          <w:color w:val="4F81BC"/>
        </w:rPr>
        <w:t>ST</w:t>
      </w:r>
      <w:r>
        <w:rPr>
          <w:color w:val="4F81BC"/>
        </w:rPr>
        <w:t>DEV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STDEV ( </w:t>
      </w:r>
      <w:r>
        <w:rPr>
          <w:i/>
          <w:sz w:val="22"/>
        </w:rPr>
        <w:t>argument-list </w:t>
      </w:r>
      <w:r>
        <w:rPr>
          <w:rFonts w:ascii="Lucida Console"/>
          <w:sz w:val="20"/>
        </w:rPr>
        <w:t>)</w:t>
      </w:r>
    </w:p>
    <w:p>
      <w:pPr>
        <w:pStyle w:val="BodyText"/>
        <w:spacing w:line="276" w:lineRule="auto" w:before="106"/>
        <w:ind w:left="220" w:right="503"/>
      </w:pPr>
      <w:r>
        <w:rPr>
          <w:b/>
        </w:rPr>
        <w:t>Description: </w:t>
      </w:r>
      <w:r>
        <w:rPr/>
        <w:t>Makes an estimate of the standard deviation based on a sample, using the "unbiased" or "n-1" method. [</w:t>
      </w:r>
      <w:r>
        <w:rPr>
          <w:i/>
        </w:rPr>
        <w:t>Note</w:t>
      </w:r>
      <w:r>
        <w:rPr/>
        <w:t>: </w:t>
      </w:r>
      <w:r>
        <w:rPr>
          <w:rFonts w:ascii="Consolas"/>
        </w:rPr>
        <w:t>STDEV</w:t>
      </w:r>
      <w:r>
        <w:rPr>
          <w:rFonts w:ascii="Consolas"/>
          <w:spacing w:val="-98"/>
        </w:rPr>
        <w:t> </w:t>
      </w:r>
      <w:r>
        <w:rPr/>
        <w:t>assumes that its arguments are a sample of the population. If the data represents the entire population, </w:t>
      </w:r>
      <w:r>
        <w:rPr>
          <w:rFonts w:ascii="Consolas"/>
        </w:rPr>
        <w:t>STDEVP</w:t>
      </w:r>
      <w:r>
        <w:rPr>
          <w:rFonts w:ascii="Consolas"/>
          <w:spacing w:val="-100"/>
        </w:rPr>
        <w:t> </w:t>
      </w:r>
      <w:r>
        <w:rPr/>
        <w:t>should be used instead. If logical values and text representations of numbers in a reference are to be included as part of the calculation, use </w:t>
      </w:r>
      <w:r>
        <w:rPr>
          <w:rFonts w:ascii="Consolas"/>
        </w:rPr>
        <w:t>STDEVA</w:t>
      </w:r>
      <w:r>
        <w:rPr>
          <w:rFonts w:ascii="Consolas"/>
          <w:spacing w:val="-82"/>
        </w:rPr>
        <w:t> </w:t>
      </w:r>
      <w:r>
        <w:rPr/>
        <w:t>instead. </w:t>
      </w:r>
      <w:r>
        <w:rPr>
          <w:i/>
        </w:rPr>
        <w:t>end note</w:t>
      </w:r>
      <w:r>
        <w:rPr/>
        <w:t>]</w:t>
      </w:r>
    </w:p>
    <w:p>
      <w:pPr>
        <w:pStyle w:val="BodyText"/>
        <w:spacing w:before="7"/>
        <w:rPr>
          <w:sz w:val="16"/>
        </w:rPr>
      </w:pPr>
    </w:p>
    <w:p>
      <w:pPr>
        <w:pStyle w:val="Heading4"/>
        <w:rPr>
          <w:b w:val="0"/>
        </w:rPr>
      </w:pPr>
      <w:r>
        <w:rPr/>
        <w:t>Mathematical Formula</w:t>
      </w:r>
      <w:r>
        <w:rPr>
          <w:b w:val="0"/>
        </w:rPr>
        <w:t>:</w:t>
      </w:r>
    </w:p>
    <w:p>
      <w:pPr>
        <w:pStyle w:val="BodyText"/>
        <w:spacing w:before="3"/>
        <w:rPr>
          <w:sz w:val="20"/>
        </w:rPr>
      </w:pPr>
      <w:r>
        <w:rPr/>
        <w:pict>
          <v:line style="position:absolute;mso-position-horizontal-relative:page;mso-position-vertical-relative:paragraph;z-index:-251457536;mso-wrap-distance-left:0;mso-wrap-distance-right:0" from="62.400002pt,14.724648pt" to="109.944002pt,14.724648pt" stroked="true" strokeweight=".72pt" strokecolor="#000000">
            <v:stroke dashstyle="solid"/>
            <w10:wrap type="topAndBottom"/>
          </v:line>
        </w:pict>
      </w:r>
    </w:p>
    <w:p>
      <w:pPr>
        <w:pStyle w:val="BodyText"/>
        <w:spacing w:line="219" w:lineRule="exact" w:before="19"/>
        <w:ind w:left="388"/>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7"/>
          <w:sz w:val="16"/>
        </w:rPr>
        <w:t>2</w:t>
      </w:r>
    </w:p>
    <w:p>
      <w:pPr>
        <w:pStyle w:val="BodyText"/>
        <w:spacing w:line="141" w:lineRule="exact"/>
        <w:ind w:left="220"/>
        <w:rPr>
          <w:rFonts w:ascii="Cambria Math" w:hAnsi="Cambria Math"/>
        </w:rPr>
      </w:pPr>
      <w:r>
        <w:rPr/>
        <w:pict>
          <v:line style="position:absolute;mso-position-horizontal-relative:page;mso-position-vertical-relative:paragraph;z-index:251859968" from="62.400002pt,5.444149pt" to="109.944002pt,5.444149pt" stroked="true" strokeweight=".72pt" strokecolor="#000000">
            <v:stroke dashstyle="solid"/>
            <w10:wrap type="none"/>
          </v:line>
        </w:pict>
      </w:r>
      <w:r>
        <w:rPr>
          <w:rFonts w:ascii="Cambria Math" w:hAnsi="Cambria Math"/>
          <w:w w:val="116"/>
        </w:rPr>
        <w:t>√</w:t>
      </w:r>
    </w:p>
    <w:p>
      <w:pPr>
        <w:pStyle w:val="BodyText"/>
        <w:spacing w:line="228" w:lineRule="exact"/>
        <w:ind w:left="515"/>
        <w:rPr>
          <w:rFonts w:ascii="Cambria Math" w:hAnsi="Cambria Math" w:eastAsia="Cambria Math"/>
        </w:rPr>
      </w:pPr>
      <w:r>
        <w:rPr>
          <w:rFonts w:ascii="Cambria Math" w:hAnsi="Cambria Math" w:eastAsia="Cambria Math"/>
          <w:position w:val="1"/>
        </w:rPr>
        <w:t>(</w:t>
      </w:r>
      <w:r>
        <w:rPr>
          <w:rFonts w:ascii="Cambria Math" w:hAnsi="Cambria Math" w:eastAsia="Cambria Math"/>
        </w:rPr>
        <w:t>𝑛 − 1</w:t>
      </w:r>
      <w:r>
        <w:rPr>
          <w:rFonts w:ascii="Cambria Math" w:hAnsi="Cambria Math" w:eastAsia="Cambria Math"/>
          <w:position w:val="1"/>
        </w:rPr>
        <w:t>)</w:t>
      </w:r>
    </w:p>
    <w:p>
      <w:pPr>
        <w:pStyle w:val="BodyText"/>
        <w:spacing w:before="8"/>
        <w:rPr>
          <w:rFonts w:ascii="Cambria Math"/>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argument-2</w:t>
      </w:r>
      <w:r>
        <w:rPr>
          <w:rFonts w:ascii="Consolas" w:hAnsi="Consolas"/>
          <w:sz w:val="22"/>
        </w:rPr>
        <w:t>,</w:t>
      </w:r>
      <w:r>
        <w:rPr>
          <w:rFonts w:ascii="Consolas" w:hAnsi="Consolas"/>
          <w:spacing w:val="-68"/>
          <w:sz w:val="22"/>
        </w:rPr>
        <w:t> </w:t>
      </w:r>
      <w:r>
        <w:rPr>
          <w:rFonts w:ascii="Consolas" w:hAnsi="Consolas"/>
          <w:sz w:val="22"/>
        </w:rPr>
        <w:t>…,</w:t>
      </w:r>
      <w:r>
        <w:rPr>
          <w:rFonts w:ascii="Consolas" w:hAnsi="Consolas"/>
          <w:spacing w:val="-65"/>
          <w:sz w:val="22"/>
        </w:rPr>
        <w:t> </w:t>
      </w:r>
      <w:r>
        <w:rPr>
          <w:rFonts w:ascii="Times New Roman" w:hAnsi="Times New Roman"/>
          <w:i/>
          <w:sz w:val="22"/>
        </w:rPr>
        <w:t>argument-n</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234"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text, array, reference</w:t>
            </w:r>
          </w:p>
        </w:tc>
        <w:tc>
          <w:tcPr>
            <w:tcW w:w="5400" w:type="dxa"/>
          </w:tcPr>
          <w:p>
            <w:pPr>
              <w:pStyle w:val="TableParagraph"/>
              <w:ind w:left="113" w:right="109"/>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 that are samples of the population. </w:t>
            </w:r>
            <w:r>
              <w:rPr>
                <w:rFonts w:ascii="Times New Roman"/>
                <w:i/>
                <w:sz w:val="22"/>
              </w:rPr>
              <w:t>argument-list </w:t>
            </w:r>
            <w:r>
              <w:rPr>
                <w:sz w:val="22"/>
              </w:rPr>
              <w:t>can also be an array of numbers. Logical values and text representations of numbers that are entered directly into the list of arguments are included. If an argument is an array or reference, only numbers in that array or reference are included. Empty cells, logical values, text, or error values in the array or reference are</w:t>
            </w:r>
            <w:r>
              <w:rPr>
                <w:spacing w:val="-10"/>
                <w:sz w:val="22"/>
              </w:rPr>
              <w:t> </w:t>
            </w:r>
            <w:r>
              <w:rPr>
                <w:sz w:val="22"/>
              </w:rPr>
              <w:t>ignored.</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An estimate of the standard deviation based on a sample.</w:t>
      </w:r>
    </w:p>
    <w:p>
      <w:pPr>
        <w:pStyle w:val="BodyText"/>
        <w:spacing w:before="8"/>
        <w:rPr>
          <w:sz w:val="19"/>
        </w:rPr>
      </w:pPr>
    </w:p>
    <w:p>
      <w:pPr>
        <w:pStyle w:val="BodyText"/>
        <w:spacing w:before="1"/>
        <w:ind w:left="220"/>
      </w:pPr>
      <w:r>
        <w:rPr/>
        <w:t>However, if the sample size ≤ </w:t>
      </w:r>
      <w:r>
        <w:rPr>
          <w:rFonts w:ascii="Times New Roman" w:hAnsi="Times New Roman"/>
          <w:i/>
        </w:rPr>
        <w:t>1</w:t>
      </w:r>
      <w:r>
        <w:rPr/>
        <w:t>, </w:t>
      </w:r>
      <w:r>
        <w:rPr>
          <w:rFonts w:ascii="Consolas" w:hAnsi="Consolas"/>
        </w:rPr>
        <w:t>#DIV/0!</w:t>
      </w:r>
      <w:r>
        <w:rPr>
          <w:rFonts w:ascii="Consolas" w:hAnsi="Consolas"/>
          <w:spacing w:val="-70"/>
        </w:rPr>
        <w:t> </w:t>
      </w:r>
      <w:r>
        <w:rPr/>
        <w:t>is returned.</w:t>
      </w:r>
    </w:p>
    <w:p>
      <w:pPr>
        <w:spacing w:after="0"/>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rFonts w:ascii="Consolas"/>
        </w:rPr>
        <w:t>STDEV(123,134,143,173,112,109)</w:t>
      </w:r>
      <w:r>
        <w:rPr>
          <w:rFonts w:ascii="Consolas"/>
          <w:spacing w:val="-69"/>
        </w:rPr>
        <w:t> </w:t>
      </w:r>
      <w:r>
        <w:rPr/>
        <w:t>results in </w:t>
      </w:r>
      <w:r>
        <w:rPr>
          <w:rFonts w:ascii="Consolas"/>
        </w:rPr>
        <w:t>23.72902583</w:t>
      </w:r>
    </w:p>
    <w:p>
      <w:pPr>
        <w:pStyle w:val="BodyText"/>
        <w:rPr>
          <w:rFonts w:ascii="Consolas"/>
        </w:rPr>
      </w:pPr>
    </w:p>
    <w:p>
      <w:pPr>
        <w:pStyle w:val="BodyText"/>
        <w:spacing w:before="11"/>
        <w:rPr>
          <w:rFonts w:ascii="Consolas"/>
          <w:sz w:val="24"/>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0 STDEVA" w:id="2292"/>
      <w:bookmarkEnd w:id="2292"/>
      <w:r>
        <w:rPr/>
      </w:r>
      <w:bookmarkStart w:name="_bookmark763" w:id="2293"/>
      <w:bookmarkEnd w:id="2293"/>
      <w:r>
        <w:rPr/>
      </w:r>
      <w:bookmarkStart w:name="_bookmark763" w:id="2294"/>
      <w:bookmarkEnd w:id="2294"/>
      <w:r>
        <w:rPr>
          <w:color w:val="4F81BC"/>
        </w:rPr>
        <w:t>ST</w:t>
      </w:r>
      <w:r>
        <w:rPr>
          <w:color w:val="4F81BC"/>
        </w:rPr>
        <w:t>DEVA</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STDEVA ( </w:t>
      </w:r>
      <w:r>
        <w:rPr>
          <w:i/>
          <w:sz w:val="22"/>
        </w:rPr>
        <w:t>argument-list </w:t>
      </w:r>
      <w:r>
        <w:rPr>
          <w:rFonts w:ascii="Lucida Console"/>
          <w:sz w:val="20"/>
        </w:rPr>
        <w:t>)</w:t>
      </w:r>
    </w:p>
    <w:p>
      <w:pPr>
        <w:pStyle w:val="BodyText"/>
        <w:spacing w:line="276" w:lineRule="auto" w:before="105"/>
        <w:ind w:left="220" w:right="503"/>
      </w:pPr>
      <w:r>
        <w:rPr>
          <w:b/>
        </w:rPr>
        <w:t>Description: </w:t>
      </w:r>
      <w:r>
        <w:rPr/>
        <w:t>Makes an estimate of the standard deviation based on a sample, using the "unbiased" or "n-1" method. [</w:t>
      </w:r>
      <w:r>
        <w:rPr>
          <w:i/>
        </w:rPr>
        <w:t>Note</w:t>
      </w:r>
      <w:r>
        <w:rPr/>
        <w:t>: </w:t>
      </w:r>
      <w:r>
        <w:rPr>
          <w:rFonts w:ascii="Consolas"/>
        </w:rPr>
        <w:t>STDEVA</w:t>
      </w:r>
      <w:r>
        <w:rPr>
          <w:rFonts w:ascii="Consolas"/>
          <w:spacing w:val="-106"/>
        </w:rPr>
        <w:t> </w:t>
      </w:r>
      <w:r>
        <w:rPr/>
        <w:t>assumes that its arguments are a sample of the population. If the data represents the entire population, </w:t>
      </w:r>
      <w:r>
        <w:rPr>
          <w:rFonts w:ascii="Consolas"/>
        </w:rPr>
        <w:t>STDEVPA</w:t>
      </w:r>
      <w:r>
        <w:rPr>
          <w:rFonts w:ascii="Consolas"/>
          <w:spacing w:val="-97"/>
        </w:rPr>
        <w:t> </w:t>
      </w:r>
      <w:r>
        <w:rPr/>
        <w:t>should be used instead. If logical values and text representations of numbers in a reference are to be excluded as part of the calculation, use </w:t>
      </w:r>
      <w:r>
        <w:rPr>
          <w:rFonts w:ascii="Consolas"/>
        </w:rPr>
        <w:t>STDEV</w:t>
      </w:r>
      <w:r>
        <w:rPr>
          <w:rFonts w:ascii="Consolas"/>
          <w:spacing w:val="-83"/>
        </w:rPr>
        <w:t> </w:t>
      </w:r>
      <w:r>
        <w:rPr/>
        <w:t>instead. </w:t>
      </w:r>
      <w:r>
        <w:rPr>
          <w:i/>
        </w:rPr>
        <w:t>end note</w:t>
      </w:r>
      <w:r>
        <w:rPr/>
        <w:t>]</w:t>
      </w:r>
    </w:p>
    <w:p>
      <w:pPr>
        <w:pStyle w:val="BodyText"/>
        <w:spacing w:before="8"/>
        <w:rPr>
          <w:sz w:val="16"/>
        </w:rPr>
      </w:pPr>
    </w:p>
    <w:p>
      <w:pPr>
        <w:pStyle w:val="Heading4"/>
        <w:rPr>
          <w:b w:val="0"/>
        </w:rPr>
      </w:pPr>
      <w:r>
        <w:rPr/>
        <w:t>Mathematical Formula</w:t>
      </w:r>
      <w:r>
        <w:rPr>
          <w:b w:val="0"/>
        </w:rPr>
        <w:t>:</w:t>
      </w:r>
    </w:p>
    <w:p>
      <w:pPr>
        <w:pStyle w:val="BodyText"/>
        <w:spacing w:before="2"/>
        <w:rPr>
          <w:sz w:val="20"/>
        </w:rPr>
      </w:pPr>
      <w:r>
        <w:rPr/>
        <w:pict>
          <v:line style="position:absolute;mso-position-horizontal-relative:page;mso-position-vertical-relative:paragraph;z-index:-251455488;mso-wrap-distance-left:0;mso-wrap-distance-right:0" from="62.400002pt,14.697461pt" to="109.944002pt,14.697461pt" stroked="true" strokeweight=".72pt" strokecolor="#000000">
            <v:stroke dashstyle="solid"/>
            <w10:wrap type="topAndBottom"/>
          </v:line>
        </w:pict>
      </w:r>
    </w:p>
    <w:p>
      <w:pPr>
        <w:pStyle w:val="BodyText"/>
        <w:spacing w:line="219" w:lineRule="exact" w:before="19"/>
        <w:ind w:left="388"/>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7"/>
          <w:sz w:val="16"/>
        </w:rPr>
        <w:t>2</w:t>
      </w:r>
    </w:p>
    <w:p>
      <w:pPr>
        <w:pStyle w:val="BodyText"/>
        <w:spacing w:line="141" w:lineRule="exact"/>
        <w:ind w:left="220"/>
        <w:rPr>
          <w:rFonts w:ascii="Cambria Math" w:hAnsi="Cambria Math"/>
        </w:rPr>
      </w:pPr>
      <w:r>
        <w:rPr/>
        <w:pict>
          <v:line style="position:absolute;mso-position-horizontal-relative:page;mso-position-vertical-relative:paragraph;z-index:251862016" from="62.400002pt,5.444153pt" to="109.944002pt,5.444153pt" stroked="true" strokeweight=".72pt" strokecolor="#000000">
            <v:stroke dashstyle="solid"/>
            <w10:wrap type="none"/>
          </v:line>
        </w:pict>
      </w:r>
      <w:r>
        <w:rPr>
          <w:rFonts w:ascii="Cambria Math" w:hAnsi="Cambria Math"/>
          <w:w w:val="116"/>
        </w:rPr>
        <w:t>√</w:t>
      </w:r>
    </w:p>
    <w:p>
      <w:pPr>
        <w:pStyle w:val="BodyText"/>
        <w:spacing w:line="228" w:lineRule="exact"/>
        <w:ind w:left="515"/>
        <w:rPr>
          <w:rFonts w:ascii="Cambria Math" w:hAnsi="Cambria Math" w:eastAsia="Cambria Math"/>
        </w:rPr>
      </w:pPr>
      <w:r>
        <w:rPr>
          <w:rFonts w:ascii="Cambria Math" w:hAnsi="Cambria Math" w:eastAsia="Cambria Math"/>
          <w:position w:val="1"/>
        </w:rPr>
        <w:t>(</w:t>
      </w:r>
      <w:r>
        <w:rPr>
          <w:rFonts w:ascii="Cambria Math" w:hAnsi="Cambria Math" w:eastAsia="Cambria Math"/>
        </w:rPr>
        <w:t>𝑛 − 1</w:t>
      </w:r>
      <w:r>
        <w:rPr>
          <w:rFonts w:ascii="Cambria Math" w:hAnsi="Cambria Math" w:eastAsia="Cambria Math"/>
          <w:position w:val="1"/>
        </w:rPr>
        <w:t>)</w:t>
      </w:r>
    </w:p>
    <w:p>
      <w:pPr>
        <w:pStyle w:val="BodyText"/>
        <w:spacing w:before="8"/>
        <w:rPr>
          <w:rFonts w:ascii="Cambria Math"/>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40"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1"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argument-2</w:t>
      </w:r>
      <w:r>
        <w:rPr>
          <w:rFonts w:ascii="Consolas" w:hAnsi="Consolas"/>
          <w:sz w:val="22"/>
        </w:rPr>
        <w:t>,</w:t>
      </w:r>
      <w:r>
        <w:rPr>
          <w:rFonts w:ascii="Consolas" w:hAnsi="Consolas"/>
          <w:spacing w:val="-68"/>
          <w:sz w:val="22"/>
        </w:rPr>
        <w:t> </w:t>
      </w:r>
      <w:r>
        <w:rPr>
          <w:rFonts w:ascii="Consolas" w:hAnsi="Consolas"/>
          <w:sz w:val="22"/>
        </w:rPr>
        <w:t>…,</w:t>
      </w:r>
      <w:r>
        <w:rPr>
          <w:rFonts w:ascii="Consolas" w:hAnsi="Consolas"/>
          <w:spacing w:val="-65"/>
          <w:sz w:val="22"/>
        </w:rPr>
        <w:t> </w:t>
      </w:r>
      <w:r>
        <w:rPr>
          <w:rFonts w:ascii="Times New Roman" w:hAnsi="Times New Roman"/>
          <w:i/>
          <w:sz w:val="22"/>
        </w:rPr>
        <w:t>argument-n</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text,</w:t>
            </w:r>
          </w:p>
        </w:tc>
        <w:tc>
          <w:tcPr>
            <w:tcW w:w="5400" w:type="dxa"/>
            <w:tcBorders>
              <w:top w:val="nil"/>
              <w:bottom w:val="nil"/>
            </w:tcBorders>
          </w:tcPr>
          <w:p>
            <w:pPr>
              <w:pStyle w:val="TableParagraph"/>
              <w:spacing w:line="249" w:lineRule="exact" w:before="0"/>
              <w:ind w:left="113"/>
              <w:rPr>
                <w:sz w:val="22"/>
              </w:rPr>
            </w:pPr>
            <w:r>
              <w:rPr>
                <w:sz w:val="22"/>
              </w:rPr>
              <w:t>that are samples of the population. Arguments that</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reference.</w:t>
            </w:r>
          </w:p>
        </w:tc>
        <w:tc>
          <w:tcPr>
            <w:tcW w:w="5400" w:type="dxa"/>
            <w:tcBorders>
              <w:top w:val="nil"/>
              <w:bottom w:val="nil"/>
            </w:tcBorders>
          </w:tcPr>
          <w:p>
            <w:pPr>
              <w:pStyle w:val="TableParagraph"/>
              <w:spacing w:line="249" w:lineRule="exact" w:before="0"/>
              <w:ind w:left="113"/>
              <w:rPr>
                <w:sz w:val="22"/>
              </w:rPr>
            </w:pPr>
            <w:r>
              <w:rPr>
                <w:sz w:val="22"/>
              </w:rPr>
              <w:t>contain </w:t>
            </w:r>
            <w:r>
              <w:rPr>
                <w:rFonts w:ascii="Consolas"/>
                <w:sz w:val="22"/>
              </w:rPr>
              <w:t>TRUE</w:t>
            </w:r>
            <w:r>
              <w:rPr>
                <w:rFonts w:ascii="Consolas"/>
                <w:spacing w:val="-83"/>
                <w:sz w:val="22"/>
              </w:rPr>
              <w:t> </w:t>
            </w:r>
            <w:r>
              <w:rPr>
                <w:sz w:val="22"/>
              </w:rPr>
              <w:t>evaluate as 1; arguments that contain text</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The argument list</w:t>
            </w:r>
          </w:p>
        </w:tc>
        <w:tc>
          <w:tcPr>
            <w:tcW w:w="5400" w:type="dxa"/>
            <w:tcBorders>
              <w:top w:val="nil"/>
              <w:bottom w:val="nil"/>
            </w:tcBorders>
          </w:tcPr>
          <w:p>
            <w:pPr>
              <w:pStyle w:val="TableParagraph"/>
              <w:spacing w:line="248" w:lineRule="exact" w:before="0"/>
              <w:ind w:left="113"/>
              <w:rPr>
                <w:sz w:val="22"/>
              </w:rPr>
            </w:pPr>
            <w:r>
              <w:rPr>
                <w:sz w:val="22"/>
              </w:rPr>
              <w:t>or </w:t>
            </w:r>
            <w:r>
              <w:rPr>
                <w:rFonts w:ascii="Consolas"/>
                <w:sz w:val="22"/>
              </w:rPr>
              <w:t>FALSE</w:t>
            </w:r>
            <w:r>
              <w:rPr>
                <w:rFonts w:ascii="Consolas"/>
                <w:spacing w:val="-85"/>
                <w:sz w:val="22"/>
              </w:rPr>
              <w:t> </w:t>
            </w:r>
            <w:r>
              <w:rPr>
                <w:sz w:val="22"/>
              </w:rPr>
              <w:t>evaluate as zero. If an argument is an array or</w:t>
            </w:r>
          </w:p>
        </w:tc>
      </w:tr>
      <w:tr>
        <w:trPr>
          <w:trHeight w:val="266"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can also be an</w:t>
            </w:r>
          </w:p>
        </w:tc>
        <w:tc>
          <w:tcPr>
            <w:tcW w:w="5400" w:type="dxa"/>
            <w:tcBorders>
              <w:top w:val="nil"/>
              <w:bottom w:val="nil"/>
            </w:tcBorders>
          </w:tcPr>
          <w:p>
            <w:pPr>
              <w:pStyle w:val="TableParagraph"/>
              <w:spacing w:line="247" w:lineRule="exact" w:before="0"/>
              <w:ind w:left="113"/>
              <w:rPr>
                <w:sz w:val="22"/>
              </w:rPr>
            </w:pPr>
            <w:r>
              <w:rPr>
                <w:sz w:val="22"/>
              </w:rPr>
              <w:t>reference, only values in that array or reference are used.</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of</w:t>
            </w:r>
          </w:p>
        </w:tc>
        <w:tc>
          <w:tcPr>
            <w:tcW w:w="5400" w:type="dxa"/>
            <w:tcBorders>
              <w:top w:val="nil"/>
              <w:bottom w:val="nil"/>
            </w:tcBorders>
          </w:tcPr>
          <w:p>
            <w:pPr>
              <w:pStyle w:val="TableParagraph"/>
              <w:spacing w:line="249" w:lineRule="exact" w:before="0"/>
              <w:ind w:left="113"/>
              <w:rPr>
                <w:sz w:val="22"/>
              </w:rPr>
            </w:pPr>
            <w:r>
              <w:rPr>
                <w:sz w:val="22"/>
              </w:rPr>
              <w:t>Empty cells and text values in the array or reference are</w:t>
            </w: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9" w:lineRule="exact" w:before="0"/>
              <w:ind w:left="112"/>
              <w:rPr>
                <w:sz w:val="22"/>
              </w:rPr>
            </w:pPr>
            <w:r>
              <w:rPr>
                <w:sz w:val="22"/>
              </w:rPr>
              <w:t>numbers.</w:t>
            </w:r>
          </w:p>
        </w:tc>
        <w:tc>
          <w:tcPr>
            <w:tcW w:w="5400" w:type="dxa"/>
            <w:tcBorders>
              <w:top w:val="nil"/>
            </w:tcBorders>
          </w:tcPr>
          <w:p>
            <w:pPr>
              <w:pStyle w:val="TableParagraph"/>
              <w:spacing w:line="249" w:lineRule="exact" w:before="0"/>
              <w:ind w:left="113"/>
              <w:rPr>
                <w:sz w:val="22"/>
              </w:rPr>
            </w:pPr>
            <w:r>
              <w:rPr>
                <w:sz w:val="22"/>
              </w:rPr>
              <w:t>ignored.</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An estimate of the standard deviation based on a sample.</w:t>
      </w:r>
    </w:p>
    <w:p>
      <w:pPr>
        <w:pStyle w:val="BodyText"/>
        <w:spacing w:before="8"/>
        <w:rPr>
          <w:sz w:val="19"/>
        </w:rPr>
      </w:pPr>
    </w:p>
    <w:p>
      <w:pPr>
        <w:pStyle w:val="BodyText"/>
        <w:spacing w:before="1"/>
        <w:ind w:left="220"/>
      </w:pPr>
      <w:r>
        <w:rPr/>
        <w:t>However, if the sample size ≤ </w:t>
      </w:r>
      <w:r>
        <w:rPr>
          <w:rFonts w:ascii="Times New Roman" w:hAnsi="Times New Roman"/>
          <w:i/>
        </w:rPr>
        <w:t>1</w:t>
      </w:r>
      <w:r>
        <w:rPr/>
        <w:t>, </w:t>
      </w:r>
      <w:r>
        <w:rPr>
          <w:rFonts w:ascii="Consolas" w:hAnsi="Consolas"/>
        </w:rPr>
        <w:t>#DIV/0!</w:t>
      </w:r>
      <w:r>
        <w:rPr>
          <w:rFonts w:ascii="Consolas" w:hAnsi="Consolas"/>
          <w:spacing w:val="-70"/>
        </w:rPr>
        <w:t> </w:t>
      </w:r>
      <w:r>
        <w:rPr/>
        <w:t>is returned.</w:t>
      </w:r>
    </w:p>
    <w:p>
      <w:pPr>
        <w:spacing w:after="0"/>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rFonts w:ascii="Consolas"/>
        </w:rPr>
        <w:t>STDEVA(123,134,143,173,112,109)</w:t>
      </w:r>
      <w:r>
        <w:rPr>
          <w:rFonts w:ascii="Consolas"/>
          <w:spacing w:val="-69"/>
        </w:rPr>
        <w:t> </w:t>
      </w:r>
      <w:r>
        <w:rPr/>
        <w:t>results in </w:t>
      </w:r>
      <w:r>
        <w:rPr>
          <w:rFonts w:ascii="Consolas"/>
        </w:rPr>
        <w:t>23.72902583</w:t>
      </w:r>
    </w:p>
    <w:p>
      <w:pPr>
        <w:pStyle w:val="BodyText"/>
        <w:rPr>
          <w:rFonts w:ascii="Consolas"/>
        </w:rPr>
      </w:pPr>
    </w:p>
    <w:p>
      <w:pPr>
        <w:pStyle w:val="BodyText"/>
        <w:rPr>
          <w:rFonts w:ascii="Consolas"/>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1 STDEVP" w:id="2295"/>
      <w:bookmarkEnd w:id="2295"/>
      <w:r>
        <w:rPr/>
      </w:r>
      <w:bookmarkStart w:name="_bookmark764" w:id="2296"/>
      <w:bookmarkEnd w:id="2296"/>
      <w:r>
        <w:rPr/>
      </w:r>
      <w:bookmarkStart w:name="_bookmark764" w:id="2297"/>
      <w:bookmarkEnd w:id="2297"/>
      <w:r>
        <w:rPr>
          <w:color w:val="4F81BC"/>
        </w:rPr>
        <w:t>ST</w:t>
      </w:r>
      <w:r>
        <w:rPr>
          <w:color w:val="4F81BC"/>
        </w:rPr>
        <w:t>DEVP</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STDEVP ( </w:t>
      </w:r>
      <w:r>
        <w:rPr>
          <w:i/>
          <w:sz w:val="22"/>
        </w:rPr>
        <w:t>argument-list </w:t>
      </w:r>
      <w:r>
        <w:rPr>
          <w:rFonts w:ascii="Lucida Console"/>
          <w:sz w:val="20"/>
        </w:rPr>
        <w:t>)</w:t>
      </w:r>
    </w:p>
    <w:p>
      <w:pPr>
        <w:pStyle w:val="BodyText"/>
        <w:spacing w:line="276" w:lineRule="auto" w:before="106"/>
        <w:ind w:left="220" w:right="445"/>
      </w:pPr>
      <w:r>
        <w:rPr>
          <w:b/>
        </w:rPr>
        <w:t>Description: </w:t>
      </w:r>
      <w:r>
        <w:rPr/>
        <w:t>Computes the standard deviation of an entire population, using the "biased" or "n" method. [</w:t>
      </w:r>
      <w:r>
        <w:rPr>
          <w:i/>
        </w:rPr>
        <w:t>Note</w:t>
      </w:r>
      <w:r>
        <w:rPr/>
        <w:t>: </w:t>
      </w:r>
      <w:r>
        <w:rPr>
          <w:rFonts w:ascii="Consolas"/>
        </w:rPr>
        <w:t>STDEVP </w:t>
      </w:r>
      <w:r>
        <w:rPr/>
        <w:t>assumes that its arguments are the total population. If the data represents a population sample only, </w:t>
      </w:r>
      <w:r>
        <w:rPr>
          <w:rFonts w:ascii="Consolas"/>
        </w:rPr>
        <w:t>STDEVA </w:t>
      </w:r>
      <w:r>
        <w:rPr/>
        <w:t>should be used instead. If logical values and text representations of numbers in a reference are to be included as part of the calculation, use </w:t>
      </w:r>
      <w:r>
        <w:rPr>
          <w:rFonts w:ascii="Consolas"/>
        </w:rPr>
        <w:t>STDEVPA</w:t>
      </w:r>
      <w:r>
        <w:rPr>
          <w:rFonts w:ascii="Consolas"/>
          <w:spacing w:val="-75"/>
        </w:rPr>
        <w:t> </w:t>
      </w:r>
      <w:r>
        <w:rPr/>
        <w:t>instead. </w:t>
      </w:r>
      <w:r>
        <w:rPr>
          <w:i/>
        </w:rPr>
        <w:t>end note</w:t>
      </w:r>
      <w:r>
        <w:rPr/>
        <w:t>]</w:t>
      </w:r>
    </w:p>
    <w:p>
      <w:pPr>
        <w:pStyle w:val="BodyText"/>
        <w:spacing w:before="7"/>
        <w:rPr>
          <w:sz w:val="16"/>
        </w:rPr>
      </w:pPr>
    </w:p>
    <w:p>
      <w:pPr>
        <w:pStyle w:val="Heading4"/>
        <w:spacing w:before="1"/>
        <w:rPr>
          <w:b w:val="0"/>
        </w:rPr>
      </w:pPr>
      <w:r>
        <w:rPr/>
        <w:t>Mathematical Formula</w:t>
      </w:r>
      <w:r>
        <w:rPr>
          <w:b w:val="0"/>
        </w:rPr>
        <w:t>:</w:t>
      </w:r>
    </w:p>
    <w:p>
      <w:pPr>
        <w:pStyle w:val="BodyText"/>
        <w:spacing w:before="2"/>
        <w:rPr>
          <w:sz w:val="20"/>
        </w:rPr>
      </w:pPr>
      <w:r>
        <w:rPr/>
        <w:pict>
          <v:line style="position:absolute;mso-position-horizontal-relative:page;mso-position-vertical-relative:paragraph;z-index:-251453440;mso-wrap-distance-left:0;mso-wrap-distance-right:0" from="62.400002pt,14.682012pt" to="109.944002pt,14.682012pt" stroked="true" strokeweight=".72pt" strokecolor="#000000">
            <v:stroke dashstyle="solid"/>
            <w10:wrap type="topAndBottom"/>
          </v:line>
        </w:pict>
      </w:r>
    </w:p>
    <w:p>
      <w:pPr>
        <w:pStyle w:val="BodyText"/>
        <w:spacing w:line="209" w:lineRule="exact" w:before="38"/>
        <w:ind w:right="9346"/>
        <w:jc w:val="right"/>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7"/>
          <w:sz w:val="16"/>
        </w:rPr>
        <w:t>2</w:t>
      </w:r>
    </w:p>
    <w:p>
      <w:pPr>
        <w:pStyle w:val="BodyText"/>
        <w:tabs>
          <w:tab w:pos="1168" w:val="left" w:leader="none"/>
        </w:tabs>
        <w:spacing w:line="158" w:lineRule="exact"/>
        <w:ind w:right="9288"/>
        <w:jc w:val="right"/>
        <w:rPr>
          <w:rFonts w:ascii="Times New Roman" w:hAnsi="Times New Roman"/>
        </w:rPr>
      </w:pPr>
      <w:r>
        <w:rPr>
          <w:rFonts w:ascii="Cambria Math" w:hAnsi="Cambria Math"/>
          <w:w w:val="115"/>
        </w:rPr>
        <w:t>√</w:t>
      </w:r>
      <w:r>
        <w:rPr>
          <w:rFonts w:ascii="Times New Roman" w:hAnsi="Times New Roman"/>
          <w:w w:val="100"/>
          <w:u w:val="single"/>
        </w:rPr>
        <w:t> </w:t>
      </w:r>
      <w:r>
        <w:rPr>
          <w:rFonts w:ascii="Times New Roman" w:hAnsi="Times New Roman"/>
          <w:u w:val="single"/>
        </w:rPr>
        <w:tab/>
      </w:r>
    </w:p>
    <w:p>
      <w:pPr>
        <w:pStyle w:val="BodyText"/>
        <w:spacing w:line="220" w:lineRule="exact"/>
        <w:ind w:left="798"/>
        <w:rPr>
          <w:rFonts w:ascii="Cambria Math" w:eastAsia="Cambria Math"/>
        </w:rPr>
      </w:pPr>
      <w:r>
        <w:rPr>
          <w:rFonts w:ascii="Cambria Math" w:eastAsia="Cambria Math"/>
        </w:rPr>
        <w:t>𝑛</w:t>
      </w:r>
    </w:p>
    <w:p>
      <w:pPr>
        <w:pStyle w:val="BodyText"/>
        <w:spacing w:before="1"/>
        <w:rPr>
          <w:rFonts w:ascii="Cambria Math"/>
          <w:sz w:val="2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argument-2</w:t>
      </w:r>
      <w:r>
        <w:rPr>
          <w:rFonts w:ascii="Consolas" w:hAnsi="Consolas"/>
          <w:sz w:val="22"/>
        </w:rPr>
        <w:t>,</w:t>
      </w:r>
      <w:r>
        <w:rPr>
          <w:rFonts w:ascii="Consolas" w:hAnsi="Consolas"/>
          <w:spacing w:val="-68"/>
          <w:sz w:val="22"/>
        </w:rPr>
        <w:t> </w:t>
      </w:r>
      <w:r>
        <w:rPr>
          <w:rFonts w:ascii="Consolas" w:hAnsi="Consolas"/>
          <w:sz w:val="22"/>
        </w:rPr>
        <w:t>…,</w:t>
      </w:r>
      <w:r>
        <w:rPr>
          <w:rFonts w:ascii="Consolas" w:hAnsi="Consolas"/>
          <w:spacing w:val="-65"/>
          <w:sz w:val="22"/>
        </w:rPr>
        <w:t> </w:t>
      </w:r>
      <w:r>
        <w:rPr>
          <w:rFonts w:ascii="Times New Roman" w:hAnsi="Times New Roman"/>
          <w:i/>
          <w:sz w:val="22"/>
        </w:rPr>
        <w:t>argument-n</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8" w:hRule="atLeast"/>
        </w:trPr>
        <w:tc>
          <w:tcPr>
            <w:tcW w:w="1466" w:type="dxa"/>
            <w:tcBorders>
              <w:bottom w:val="nil"/>
            </w:tcBorders>
          </w:tcPr>
          <w:p>
            <w:pPr>
              <w:pStyle w:val="TableParagraph"/>
              <w:spacing w:before="37"/>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ind w:left="112"/>
              <w:rPr>
                <w:sz w:val="22"/>
              </w:rPr>
            </w:pPr>
            <w:r>
              <w:rPr>
                <w:sz w:val="22"/>
              </w:rPr>
              <w:t>logical, number,</w:t>
            </w:r>
          </w:p>
        </w:tc>
        <w:tc>
          <w:tcPr>
            <w:tcW w:w="5400" w:type="dxa"/>
            <w:tcBorders>
              <w:bottom w:val="nil"/>
            </w:tcBorders>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name, text,</w:t>
            </w:r>
          </w:p>
        </w:tc>
        <w:tc>
          <w:tcPr>
            <w:tcW w:w="5400" w:type="dxa"/>
            <w:tcBorders>
              <w:top w:val="nil"/>
              <w:bottom w:val="nil"/>
            </w:tcBorders>
          </w:tcPr>
          <w:p>
            <w:pPr>
              <w:pStyle w:val="TableParagraph"/>
              <w:spacing w:line="249" w:lineRule="exact" w:before="0"/>
              <w:ind w:left="113"/>
              <w:rPr>
                <w:sz w:val="22"/>
              </w:rPr>
            </w:pPr>
            <w:r>
              <w:rPr>
                <w:sz w:val="22"/>
              </w:rPr>
              <w:t>that are the members of the population. Logical values,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reference.</w:t>
            </w:r>
          </w:p>
        </w:tc>
        <w:tc>
          <w:tcPr>
            <w:tcW w:w="5400" w:type="dxa"/>
            <w:tcBorders>
              <w:top w:val="nil"/>
              <w:bottom w:val="nil"/>
            </w:tcBorders>
          </w:tcPr>
          <w:p>
            <w:pPr>
              <w:pStyle w:val="TableParagraph"/>
              <w:spacing w:line="249" w:lineRule="exact" w:before="0"/>
              <w:ind w:left="113"/>
              <w:rPr>
                <w:sz w:val="22"/>
              </w:rPr>
            </w:pPr>
            <w:r>
              <w:rPr>
                <w:sz w:val="22"/>
              </w:rPr>
              <w:t>and text representations of numbers that are entered</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The argument list</w:t>
            </w:r>
          </w:p>
        </w:tc>
        <w:tc>
          <w:tcPr>
            <w:tcW w:w="5400" w:type="dxa"/>
            <w:tcBorders>
              <w:top w:val="nil"/>
              <w:bottom w:val="nil"/>
            </w:tcBorders>
          </w:tcPr>
          <w:p>
            <w:pPr>
              <w:pStyle w:val="TableParagraph"/>
              <w:spacing w:line="249" w:lineRule="exact" w:before="0"/>
              <w:ind w:left="113"/>
              <w:rPr>
                <w:sz w:val="22"/>
              </w:rPr>
            </w:pPr>
            <w:r>
              <w:rPr>
                <w:sz w:val="22"/>
              </w:rPr>
              <w:t>directly into the list of arguments are included. If an</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8" w:lineRule="exact" w:before="0"/>
              <w:ind w:left="112"/>
              <w:rPr>
                <w:sz w:val="22"/>
              </w:rPr>
            </w:pPr>
            <w:r>
              <w:rPr>
                <w:sz w:val="22"/>
              </w:rPr>
              <w:t>can also be an</w:t>
            </w:r>
          </w:p>
        </w:tc>
        <w:tc>
          <w:tcPr>
            <w:tcW w:w="5400" w:type="dxa"/>
            <w:tcBorders>
              <w:top w:val="nil"/>
              <w:bottom w:val="nil"/>
            </w:tcBorders>
          </w:tcPr>
          <w:p>
            <w:pPr>
              <w:pStyle w:val="TableParagraph"/>
              <w:spacing w:line="248" w:lineRule="exact" w:before="0"/>
              <w:ind w:left="113"/>
              <w:rPr>
                <w:sz w:val="22"/>
              </w:rPr>
            </w:pPr>
            <w:r>
              <w:rPr>
                <w:sz w:val="22"/>
              </w:rPr>
              <w:t>argument is an array or reference, only numbers in that</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array of</w:t>
            </w:r>
          </w:p>
        </w:tc>
        <w:tc>
          <w:tcPr>
            <w:tcW w:w="5400" w:type="dxa"/>
            <w:tcBorders>
              <w:top w:val="nil"/>
              <w:bottom w:val="nil"/>
            </w:tcBorders>
          </w:tcPr>
          <w:p>
            <w:pPr>
              <w:pStyle w:val="TableParagraph"/>
              <w:spacing w:line="247" w:lineRule="exact" w:before="0"/>
              <w:ind w:left="113"/>
              <w:rPr>
                <w:sz w:val="22"/>
              </w:rPr>
            </w:pPr>
            <w:r>
              <w:rPr>
                <w:sz w:val="22"/>
              </w:rPr>
              <w:t>array or reference are included. Empty cells, logical</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numbers.</w:t>
            </w:r>
          </w:p>
        </w:tc>
        <w:tc>
          <w:tcPr>
            <w:tcW w:w="5400" w:type="dxa"/>
            <w:tcBorders>
              <w:top w:val="nil"/>
              <w:bottom w:val="nil"/>
            </w:tcBorders>
          </w:tcPr>
          <w:p>
            <w:pPr>
              <w:pStyle w:val="TableParagraph"/>
              <w:spacing w:line="249" w:lineRule="exact" w:before="0"/>
              <w:ind w:left="113"/>
              <w:rPr>
                <w:sz w:val="22"/>
              </w:rPr>
            </w:pPr>
            <w:r>
              <w:rPr>
                <w:sz w:val="22"/>
              </w:rPr>
              <w:t>values, text, or error values in the array or reference are</w:t>
            </w: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9" w:lineRule="exact" w:before="0"/>
              <w:ind w:left="113"/>
              <w:rPr>
                <w:sz w:val="22"/>
              </w:rPr>
            </w:pPr>
            <w:r>
              <w:rPr>
                <w:sz w:val="22"/>
              </w:rPr>
              <w:t>ignored.</w:t>
            </w:r>
          </w:p>
        </w:tc>
      </w:tr>
    </w:tbl>
    <w:p>
      <w:pPr>
        <w:pStyle w:val="BodyText"/>
        <w:rPr>
          <w:b/>
        </w:rPr>
      </w:pPr>
    </w:p>
    <w:p>
      <w:pPr>
        <w:pStyle w:val="BodyText"/>
        <w:spacing w:before="7"/>
        <w:rPr>
          <w:b/>
          <w:sz w:val="19"/>
        </w:rPr>
      </w:pPr>
    </w:p>
    <w:p>
      <w:pPr>
        <w:pStyle w:val="BodyText"/>
        <w:spacing w:line="453" w:lineRule="auto"/>
        <w:ind w:left="220" w:right="3099"/>
      </w:pPr>
      <w:r>
        <w:rPr>
          <w:b/>
        </w:rPr>
        <w:t>Return Type and Value: </w:t>
      </w:r>
      <w:r>
        <w:rPr/>
        <w:t>number – The standard deviation of an entire population. However, if the sample size is zero, </w:t>
      </w:r>
      <w:r>
        <w:rPr>
          <w:rFonts w:ascii="Consolas" w:hAnsi="Consolas"/>
        </w:rPr>
        <w:t>#DIV/0!</w:t>
      </w:r>
      <w:r>
        <w:rPr>
          <w:rFonts w:ascii="Consolas" w:hAnsi="Consolas"/>
          <w:spacing w:val="-77"/>
        </w:rPr>
        <w:t> </w:t>
      </w:r>
      <w:r>
        <w:rPr/>
        <w:t>is returned.</w:t>
      </w:r>
    </w:p>
    <w:p>
      <w:pPr>
        <w:spacing w:after="0" w:line="453" w:lineRule="auto"/>
        <w:sectPr>
          <w:pgSz w:w="12240" w:h="15840"/>
          <w:pgMar w:header="761" w:footer="746"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before="1"/>
        <w:ind w:left="220"/>
        <w:rPr>
          <w:rFonts w:ascii="Consolas"/>
        </w:rPr>
      </w:pPr>
      <w:r>
        <w:rPr>
          <w:rFonts w:ascii="Consolas"/>
        </w:rPr>
        <w:t>STDEVP(123,134,143,173,112,109)</w:t>
      </w:r>
      <w:r>
        <w:rPr>
          <w:rFonts w:ascii="Consolas"/>
          <w:spacing w:val="-69"/>
        </w:rPr>
        <w:t> </w:t>
      </w:r>
      <w:r>
        <w:rPr/>
        <w:t>results in </w:t>
      </w:r>
      <w:r>
        <w:rPr>
          <w:rFonts w:ascii="Consolas"/>
        </w:rPr>
        <w:t>21.66153785</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2 STDEVPA" w:id="2298"/>
      <w:bookmarkEnd w:id="2298"/>
      <w:r>
        <w:rPr/>
      </w:r>
      <w:bookmarkStart w:name="_bookmark765" w:id="2299"/>
      <w:bookmarkEnd w:id="2299"/>
      <w:r>
        <w:rPr/>
      </w:r>
      <w:bookmarkStart w:name="_bookmark765" w:id="2300"/>
      <w:bookmarkEnd w:id="2300"/>
      <w:r>
        <w:rPr>
          <w:color w:val="4F81BC"/>
        </w:rPr>
        <w:t>ST</w:t>
      </w:r>
      <w:r>
        <w:rPr>
          <w:color w:val="4F81BC"/>
        </w:rPr>
        <w:t>DEVPA</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STDEVPA ( </w:t>
      </w:r>
      <w:r>
        <w:rPr>
          <w:i/>
          <w:sz w:val="22"/>
        </w:rPr>
        <w:t>argument-list </w:t>
      </w:r>
      <w:r>
        <w:rPr>
          <w:rFonts w:ascii="Lucida Console"/>
          <w:sz w:val="20"/>
        </w:rPr>
        <w:t>)</w:t>
      </w:r>
    </w:p>
    <w:p>
      <w:pPr>
        <w:pStyle w:val="BodyText"/>
        <w:spacing w:line="276" w:lineRule="auto" w:before="106"/>
        <w:ind w:left="220" w:right="443"/>
      </w:pPr>
      <w:r>
        <w:rPr>
          <w:b/>
        </w:rPr>
        <w:t>Description: </w:t>
      </w:r>
      <w:r>
        <w:rPr/>
        <w:t>Computes the standard deviation of an entire population, using the "biased" or "n" method. [</w:t>
      </w:r>
      <w:r>
        <w:rPr>
          <w:i/>
        </w:rPr>
        <w:t>Note</w:t>
      </w:r>
      <w:r>
        <w:rPr/>
        <w:t>: </w:t>
      </w:r>
      <w:r>
        <w:rPr>
          <w:rFonts w:ascii="Consolas"/>
        </w:rPr>
        <w:t>STDEVPA </w:t>
      </w:r>
      <w:r>
        <w:rPr/>
        <w:t>assumes that its arguments are the total population. If the data represents a population sample only, </w:t>
      </w:r>
      <w:r>
        <w:rPr>
          <w:rFonts w:ascii="Consolas"/>
        </w:rPr>
        <w:t>STDEVA </w:t>
      </w:r>
      <w:r>
        <w:rPr/>
        <w:t>should be used instead. If logical values and text representations of numbers in a reference are to be excluded as part of the calculation, use </w:t>
      </w:r>
      <w:r>
        <w:rPr>
          <w:rFonts w:ascii="Consolas"/>
        </w:rPr>
        <w:t>STDEVP</w:t>
      </w:r>
      <w:r>
        <w:rPr>
          <w:rFonts w:ascii="Consolas"/>
          <w:spacing w:val="-81"/>
        </w:rPr>
        <w:t> </w:t>
      </w:r>
      <w:r>
        <w:rPr/>
        <w:t>instead. </w:t>
      </w:r>
      <w:r>
        <w:rPr>
          <w:i/>
        </w:rPr>
        <w:t>end note</w:t>
      </w:r>
      <w:r>
        <w:rPr/>
        <w:t>]</w:t>
      </w:r>
    </w:p>
    <w:p>
      <w:pPr>
        <w:pStyle w:val="BodyText"/>
        <w:spacing w:before="7"/>
        <w:rPr>
          <w:sz w:val="16"/>
        </w:rPr>
      </w:pPr>
    </w:p>
    <w:p>
      <w:pPr>
        <w:pStyle w:val="Heading4"/>
        <w:rPr>
          <w:b w:val="0"/>
        </w:rPr>
      </w:pPr>
      <w:r>
        <w:rPr/>
        <w:t>Mathematical Formula</w:t>
      </w:r>
      <w:r>
        <w:rPr>
          <w:b w:val="0"/>
        </w:rPr>
        <w:t>:</w:t>
      </w:r>
    </w:p>
    <w:p>
      <w:pPr>
        <w:pStyle w:val="BodyText"/>
        <w:spacing w:before="2"/>
        <w:rPr>
          <w:sz w:val="20"/>
        </w:rPr>
      </w:pPr>
      <w:r>
        <w:rPr/>
        <w:pict>
          <v:line style="position:absolute;mso-position-horizontal-relative:page;mso-position-vertical-relative:paragraph;z-index:-251452416;mso-wrap-distance-left:0;mso-wrap-distance-right:0" from="62.400002pt,14.704648pt" to="109.944002pt,14.704648pt" stroked="true" strokeweight=".72pt" strokecolor="#000000">
            <v:stroke dashstyle="solid"/>
            <w10:wrap type="topAndBottom"/>
          </v:line>
        </w:pict>
      </w:r>
    </w:p>
    <w:p>
      <w:pPr>
        <w:pStyle w:val="BodyText"/>
        <w:spacing w:line="209" w:lineRule="exact" w:before="38"/>
        <w:ind w:right="9346"/>
        <w:jc w:val="right"/>
        <w:rPr>
          <w:rFonts w:ascii="Cambria Math" w:hAnsi="Cambria Math" w:eastAsia="Cambria Math"/>
          <w:sz w:val="16"/>
        </w:rPr>
      </w:pP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7"/>
          <w:sz w:val="16"/>
        </w:rPr>
        <w:t>2</w:t>
      </w:r>
    </w:p>
    <w:p>
      <w:pPr>
        <w:pStyle w:val="BodyText"/>
        <w:tabs>
          <w:tab w:pos="1168" w:val="left" w:leader="none"/>
        </w:tabs>
        <w:spacing w:line="158" w:lineRule="exact"/>
        <w:ind w:right="9288"/>
        <w:jc w:val="right"/>
        <w:rPr>
          <w:rFonts w:ascii="Times New Roman" w:hAnsi="Times New Roman"/>
        </w:rPr>
      </w:pPr>
      <w:r>
        <w:rPr>
          <w:rFonts w:ascii="Cambria Math" w:hAnsi="Cambria Math"/>
          <w:w w:val="115"/>
        </w:rPr>
        <w:t>√</w:t>
      </w:r>
      <w:r>
        <w:rPr>
          <w:rFonts w:ascii="Times New Roman" w:hAnsi="Times New Roman"/>
          <w:w w:val="100"/>
          <w:u w:val="single"/>
        </w:rPr>
        <w:t> </w:t>
      </w:r>
      <w:r>
        <w:rPr>
          <w:rFonts w:ascii="Times New Roman" w:hAnsi="Times New Roman"/>
          <w:u w:val="single"/>
        </w:rPr>
        <w:tab/>
      </w:r>
    </w:p>
    <w:p>
      <w:pPr>
        <w:pStyle w:val="BodyText"/>
        <w:spacing w:line="220" w:lineRule="exact"/>
        <w:ind w:left="798"/>
        <w:rPr>
          <w:rFonts w:ascii="Cambria Math" w:eastAsia="Cambria Math"/>
        </w:rPr>
      </w:pPr>
      <w:r>
        <w:rPr>
          <w:rFonts w:ascii="Cambria Math" w:eastAsia="Cambria Math"/>
        </w:rPr>
        <w:t>𝑛</w:t>
      </w:r>
    </w:p>
    <w:p>
      <w:pPr>
        <w:pStyle w:val="BodyText"/>
        <w:spacing w:before="1"/>
        <w:rPr>
          <w:rFonts w:ascii="Cambria Math"/>
          <w:sz w:val="2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argument-2</w:t>
      </w:r>
      <w:r>
        <w:rPr>
          <w:rFonts w:ascii="Consolas" w:hAnsi="Consolas"/>
          <w:sz w:val="22"/>
        </w:rPr>
        <w:t>,</w:t>
      </w:r>
      <w:r>
        <w:rPr>
          <w:rFonts w:ascii="Consolas" w:hAnsi="Consolas"/>
          <w:spacing w:val="-68"/>
          <w:sz w:val="22"/>
        </w:rPr>
        <w:t> </w:t>
      </w:r>
      <w:r>
        <w:rPr>
          <w:rFonts w:ascii="Consolas" w:hAnsi="Consolas"/>
          <w:sz w:val="22"/>
        </w:rPr>
        <w:t>…,</w:t>
      </w:r>
      <w:r>
        <w:rPr>
          <w:rFonts w:ascii="Consolas" w:hAnsi="Consolas"/>
          <w:spacing w:val="-65"/>
          <w:sz w:val="22"/>
        </w:rPr>
        <w:t> </w:t>
      </w:r>
      <w:r>
        <w:rPr>
          <w:rFonts w:ascii="Times New Roman" w:hAnsi="Times New Roman"/>
          <w:i/>
          <w:sz w:val="22"/>
        </w:rPr>
        <w:t>argument-n</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9" w:hRule="atLeast"/>
        </w:trPr>
        <w:tc>
          <w:tcPr>
            <w:tcW w:w="1466" w:type="dxa"/>
            <w:tcBorders>
              <w:bottom w:val="nil"/>
            </w:tcBorders>
          </w:tcPr>
          <w:p>
            <w:pPr>
              <w:pStyle w:val="TableParagraph"/>
              <w:spacing w:before="39"/>
              <w:ind w:left="72" w:right="109"/>
              <w:jc w:val="center"/>
              <w:rPr>
                <w:rFonts w:ascii="Times New Roman"/>
                <w:i/>
                <w:sz w:val="22"/>
              </w:rPr>
            </w:pPr>
            <w:r>
              <w:rPr>
                <w:rFonts w:ascii="Times New Roman"/>
                <w:i/>
                <w:sz w:val="22"/>
              </w:rPr>
              <w:t>argument-list</w:t>
            </w:r>
          </w:p>
        </w:tc>
        <w:tc>
          <w:tcPr>
            <w:tcW w:w="1800" w:type="dxa"/>
            <w:tcBorders>
              <w:bottom w:val="nil"/>
            </w:tcBorders>
          </w:tcPr>
          <w:p>
            <w:pPr>
              <w:pStyle w:val="TableParagraph"/>
              <w:spacing w:line="267" w:lineRule="exact" w:before="42"/>
              <w:ind w:left="112"/>
              <w:rPr>
                <w:sz w:val="22"/>
              </w:rPr>
            </w:pPr>
            <w:r>
              <w:rPr>
                <w:sz w:val="22"/>
              </w:rPr>
              <w:t>logical, number,</w:t>
            </w:r>
          </w:p>
        </w:tc>
        <w:tc>
          <w:tcPr>
            <w:tcW w:w="5400" w:type="dxa"/>
            <w:tcBorders>
              <w:bottom w:val="nil"/>
            </w:tcBorders>
          </w:tcPr>
          <w:p>
            <w:pPr>
              <w:pStyle w:val="TableParagraph"/>
              <w:spacing w:line="267" w:lineRule="exact" w:before="42"/>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name, text,</w:t>
            </w:r>
          </w:p>
        </w:tc>
        <w:tc>
          <w:tcPr>
            <w:tcW w:w="5400" w:type="dxa"/>
            <w:tcBorders>
              <w:top w:val="nil"/>
              <w:bottom w:val="nil"/>
            </w:tcBorders>
          </w:tcPr>
          <w:p>
            <w:pPr>
              <w:pStyle w:val="TableParagraph"/>
              <w:spacing w:line="247" w:lineRule="exact" w:before="0"/>
              <w:ind w:left="113"/>
              <w:rPr>
                <w:sz w:val="22"/>
              </w:rPr>
            </w:pPr>
            <w:r>
              <w:rPr>
                <w:sz w:val="22"/>
              </w:rPr>
              <w:t>that are the members of the population.</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reference.</w:t>
            </w:r>
          </w:p>
        </w:tc>
        <w:tc>
          <w:tcPr>
            <w:tcW w:w="5400" w:type="dxa"/>
            <w:tcBorders>
              <w:top w:val="nil"/>
              <w:bottom w:val="nil"/>
            </w:tcBorders>
          </w:tcPr>
          <w:p>
            <w:pPr>
              <w:pStyle w:val="TableParagraph"/>
              <w:spacing w:before="0"/>
              <w:ind w:left="0"/>
              <w:rPr>
                <w:rFonts w:ascii="Times New Roman"/>
                <w:sz w:val="18"/>
              </w:rPr>
            </w:pP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The argument list</w:t>
            </w:r>
          </w:p>
        </w:tc>
        <w:tc>
          <w:tcPr>
            <w:tcW w:w="5400" w:type="dxa"/>
            <w:tcBorders>
              <w:top w:val="nil"/>
              <w:bottom w:val="nil"/>
            </w:tcBorders>
          </w:tcPr>
          <w:p>
            <w:pPr>
              <w:pStyle w:val="TableParagraph"/>
              <w:spacing w:before="0"/>
              <w:ind w:left="0"/>
              <w:rPr>
                <w:rFonts w:ascii="Times New Roman"/>
                <w:sz w:val="18"/>
              </w:rPr>
            </w:pP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can also be an</w:t>
            </w:r>
          </w:p>
        </w:tc>
        <w:tc>
          <w:tcPr>
            <w:tcW w:w="5400" w:type="dxa"/>
            <w:tcBorders>
              <w:top w:val="nil"/>
              <w:bottom w:val="nil"/>
            </w:tcBorders>
          </w:tcPr>
          <w:p>
            <w:pPr>
              <w:pStyle w:val="TableParagraph"/>
              <w:spacing w:before="0"/>
              <w:ind w:left="0"/>
              <w:rPr>
                <w:rFonts w:ascii="Times New Roman"/>
                <w:sz w:val="18"/>
              </w:rPr>
            </w:pP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of</w:t>
            </w:r>
          </w:p>
        </w:tc>
        <w:tc>
          <w:tcPr>
            <w:tcW w:w="5400" w:type="dxa"/>
            <w:tcBorders>
              <w:top w:val="nil"/>
              <w:bottom w:val="nil"/>
            </w:tcBorders>
          </w:tcPr>
          <w:p>
            <w:pPr>
              <w:pStyle w:val="TableParagraph"/>
              <w:spacing w:before="0"/>
              <w:ind w:left="0"/>
              <w:rPr>
                <w:rFonts w:ascii="Times New Roman"/>
                <w:sz w:val="18"/>
              </w:rPr>
            </w:pP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9" w:lineRule="exact" w:before="0"/>
              <w:ind w:left="112"/>
              <w:rPr>
                <w:sz w:val="22"/>
              </w:rPr>
            </w:pPr>
            <w:r>
              <w:rPr>
                <w:sz w:val="22"/>
              </w:rPr>
              <w:t>numbers.</w:t>
            </w:r>
          </w:p>
        </w:tc>
        <w:tc>
          <w:tcPr>
            <w:tcW w:w="5400" w:type="dxa"/>
            <w:tcBorders>
              <w:top w:val="nil"/>
            </w:tcBorders>
          </w:tcPr>
          <w:p>
            <w:pPr>
              <w:pStyle w:val="TableParagraph"/>
              <w:spacing w:before="0"/>
              <w:ind w:left="0"/>
              <w:rPr>
                <w:rFonts w:ascii="Times New Roman"/>
                <w:sz w:val="22"/>
              </w:rPr>
            </w:pPr>
          </w:p>
        </w:tc>
      </w:tr>
    </w:tbl>
    <w:p>
      <w:pPr>
        <w:pStyle w:val="BodyText"/>
        <w:rPr>
          <w:b/>
        </w:rPr>
      </w:pPr>
    </w:p>
    <w:p>
      <w:pPr>
        <w:pStyle w:val="BodyText"/>
        <w:spacing w:before="8"/>
        <w:rPr>
          <w:b/>
          <w:sz w:val="19"/>
        </w:rPr>
      </w:pPr>
    </w:p>
    <w:p>
      <w:pPr>
        <w:spacing w:before="0"/>
        <w:ind w:left="220" w:right="0" w:firstLine="0"/>
        <w:jc w:val="left"/>
        <w:rPr>
          <w:sz w:val="22"/>
        </w:rPr>
      </w:pPr>
      <w:r>
        <w:rPr>
          <w:b/>
          <w:sz w:val="22"/>
        </w:rPr>
        <w:t>Return Type and Value: </w:t>
      </w:r>
      <w:r>
        <w:rPr>
          <w:sz w:val="22"/>
        </w:rPr>
        <w:t>number – The standard deviation of an entire population.</w:t>
      </w:r>
    </w:p>
    <w:p>
      <w:pPr>
        <w:pStyle w:val="BodyText"/>
        <w:spacing w:before="6"/>
        <w:rPr>
          <w:sz w:val="19"/>
        </w:rPr>
      </w:pPr>
    </w:p>
    <w:p>
      <w:pPr>
        <w:pStyle w:val="BodyText"/>
        <w:spacing w:line="276" w:lineRule="auto"/>
        <w:ind w:left="220" w:right="426"/>
        <w:rPr>
          <w:rFonts w:ascii="Consolas"/>
        </w:rPr>
      </w:pPr>
      <w:r>
        <w:rPr/>
        <w:t>Arguments can be numbers; names, arrays, or references that contain numbers; text representations of numbers; or logical values, in a reference. Text representations of numbers that are entered directly into the list of arguments are included. Arguments that contain </w:t>
      </w:r>
      <w:r>
        <w:rPr>
          <w:rFonts w:ascii="Consolas"/>
        </w:rPr>
        <w:t>TRUE</w:t>
      </w:r>
      <w:r>
        <w:rPr>
          <w:rFonts w:ascii="Consolas"/>
          <w:spacing w:val="-93"/>
        </w:rPr>
        <w:t> </w:t>
      </w:r>
      <w:r>
        <w:rPr/>
        <w:t>evaluate as 1; arguments that contain text or </w:t>
      </w:r>
      <w:r>
        <w:rPr>
          <w:rFonts w:ascii="Consolas"/>
        </w:rPr>
        <w:t>FALSE</w:t>
      </w:r>
    </w:p>
    <w:p>
      <w:pPr>
        <w:spacing w:after="0" w:line="276" w:lineRule="auto"/>
        <w:rPr>
          <w:rFonts w:ascii="Consolas"/>
        </w:rPr>
        <w:sectPr>
          <w:pgSz w:w="12240" w:h="15840"/>
          <w:pgMar w:header="763" w:footer="746" w:top="1340" w:bottom="940" w:left="860" w:right="700"/>
        </w:sectPr>
      </w:pPr>
    </w:p>
    <w:p>
      <w:pPr>
        <w:pStyle w:val="BodyText"/>
        <w:spacing w:line="278" w:lineRule="auto" w:before="90"/>
        <w:ind w:left="220" w:right="533"/>
      </w:pPr>
      <w:r>
        <w:rPr/>
        <w:t>evaluate as zero. If an argument is an array or reference, only values in that array or reference are used. Empty cells and text values in the array or reference are ignored.</w:t>
      </w:r>
    </w:p>
    <w:p>
      <w:pPr>
        <w:pStyle w:val="BodyText"/>
        <w:spacing w:before="3"/>
        <w:rPr>
          <w:sz w:val="16"/>
        </w:rPr>
      </w:pPr>
    </w:p>
    <w:p>
      <w:pPr>
        <w:pStyle w:val="BodyText"/>
        <w:spacing w:line="453" w:lineRule="auto"/>
        <w:ind w:left="220" w:right="5295"/>
      </w:pPr>
      <w:r>
        <w:rPr/>
        <w:t>However, if the sample size is zero, </w:t>
      </w:r>
      <w:r>
        <w:rPr>
          <w:rFonts w:ascii="Consolas"/>
        </w:rPr>
        <w:t>#DIV/0!</w:t>
      </w:r>
      <w:r>
        <w:rPr>
          <w:rFonts w:ascii="Consolas"/>
          <w:spacing w:val="-89"/>
        </w:rPr>
        <w:t> </w:t>
      </w:r>
      <w:r>
        <w:rPr/>
        <w:t>is returned. [</w:t>
      </w:r>
      <w:r>
        <w:rPr>
          <w:i/>
        </w:rPr>
        <w:t>Example</w:t>
      </w:r>
      <w:r>
        <w:rPr/>
        <w:t>:</w:t>
      </w:r>
    </w:p>
    <w:p>
      <w:pPr>
        <w:pStyle w:val="BodyText"/>
        <w:spacing w:before="108"/>
        <w:ind w:left="220"/>
        <w:rPr>
          <w:rFonts w:ascii="Consolas"/>
        </w:rPr>
      </w:pPr>
      <w:r>
        <w:rPr>
          <w:rFonts w:ascii="Consolas"/>
        </w:rPr>
        <w:t>STDEVPA(123,134,143,173,112,109)</w:t>
      </w:r>
      <w:r>
        <w:rPr>
          <w:rFonts w:ascii="Consolas"/>
          <w:spacing w:val="-71"/>
        </w:rPr>
        <w:t> </w:t>
      </w:r>
      <w:r>
        <w:rPr/>
        <w:t>results in </w:t>
      </w:r>
      <w:r>
        <w:rPr>
          <w:rFonts w:ascii="Consolas"/>
        </w:rPr>
        <w:t>21.66153785</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3 STEYX" w:id="2301"/>
      <w:bookmarkEnd w:id="2301"/>
      <w:r>
        <w:rPr/>
      </w:r>
      <w:bookmarkStart w:name="_bookmark766" w:id="2302"/>
      <w:bookmarkEnd w:id="2302"/>
      <w:r>
        <w:rPr/>
      </w:r>
      <w:bookmarkStart w:name="_bookmark766" w:id="2303"/>
      <w:bookmarkEnd w:id="2303"/>
      <w:r>
        <w:rPr>
          <w:color w:val="4F81BC"/>
        </w:rPr>
        <w:t>STEYX</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STEYX ( </w:t>
      </w:r>
      <w:r>
        <w:rPr>
          <w:i/>
          <w:sz w:val="22"/>
        </w:rPr>
        <w:t>known-ys </w:t>
      </w:r>
      <w:r>
        <w:rPr>
          <w:sz w:val="22"/>
        </w:rPr>
        <w:t>, </w:t>
      </w:r>
      <w:r>
        <w:rPr>
          <w:i/>
          <w:sz w:val="22"/>
        </w:rPr>
        <w:t>known-xs </w:t>
      </w:r>
      <w:r>
        <w:rPr>
          <w:rFonts w:ascii="Lucida Console"/>
          <w:sz w:val="20"/>
        </w:rPr>
        <w:t>)</w:t>
      </w:r>
    </w:p>
    <w:p>
      <w:pPr>
        <w:pStyle w:val="BodyText"/>
        <w:spacing w:line="276" w:lineRule="auto" w:before="106"/>
        <w:ind w:left="220" w:right="730"/>
      </w:pPr>
      <w:r>
        <w:rPr>
          <w:b/>
        </w:rPr>
        <w:t>Description: </w:t>
      </w:r>
      <w:r>
        <w:rPr/>
        <w:t>Computes the standard error of the predicted </w:t>
      </w:r>
      <w:r>
        <w:rPr>
          <w:rFonts w:ascii="Times New Roman"/>
          <w:i/>
        </w:rPr>
        <w:t>y</w:t>
      </w:r>
      <w:r>
        <w:rPr/>
        <w:t>-value for each </w:t>
      </w:r>
      <w:r>
        <w:rPr>
          <w:rFonts w:ascii="Times New Roman"/>
          <w:i/>
        </w:rPr>
        <w:t>x </w:t>
      </w:r>
      <w:r>
        <w:rPr/>
        <w:t>in the regression. The standard error is a measure of the amount of error in the prediction of </w:t>
      </w:r>
      <w:r>
        <w:rPr>
          <w:rFonts w:ascii="Times New Roman"/>
          <w:i/>
        </w:rPr>
        <w:t>y </w:t>
      </w:r>
      <w:r>
        <w:rPr/>
        <w:t>for an individual </w:t>
      </w:r>
      <w:r>
        <w:rPr>
          <w:rFonts w:ascii="Times New Roman"/>
          <w:i/>
        </w:rPr>
        <w:t>x</w:t>
      </w:r>
      <w:r>
        <w:rPr/>
        <w:t>.</w:t>
      </w:r>
    </w:p>
    <w:p>
      <w:pPr>
        <w:pStyle w:val="Heading4"/>
        <w:spacing w:before="201"/>
        <w:rPr>
          <w:b w:val="0"/>
        </w:rPr>
      </w:pPr>
      <w:r>
        <w:rPr/>
        <w:t>Mathematical Formula</w:t>
      </w:r>
      <w:r>
        <w:rPr>
          <w:b w:val="0"/>
        </w:rPr>
        <w:t>:</w:t>
      </w:r>
    </w:p>
    <w:p>
      <w:pPr>
        <w:pStyle w:val="BodyText"/>
        <w:spacing w:before="7"/>
        <w:rPr>
          <w:sz w:val="23"/>
        </w:rPr>
      </w:pPr>
    </w:p>
    <w:p>
      <w:pPr>
        <w:pStyle w:val="BodyText"/>
        <w:spacing w:line="20" w:lineRule="exact"/>
        <w:ind w:left="380"/>
        <w:rPr>
          <w:sz w:val="2"/>
        </w:rPr>
      </w:pPr>
      <w:r>
        <w:rPr>
          <w:sz w:val="2"/>
        </w:rPr>
        <w:pict>
          <v:group style="width:203pt;height:.75pt;mso-position-horizontal-relative:char;mso-position-vertical-relative:line" coordorigin="0,0" coordsize="4060,15">
            <v:line style="position:absolute" from="0,7" to="4059,7" stroked="true" strokeweight=".72pt" strokecolor="#000000">
              <v:stroke dashstyle="solid"/>
            </v:line>
          </v:group>
        </w:pict>
      </w:r>
      <w:r>
        <w:rPr>
          <w:sz w:val="2"/>
        </w:rPr>
      </w:r>
    </w:p>
    <w:p>
      <w:pPr>
        <w:spacing w:after="0" w:line="20" w:lineRule="exact"/>
        <w:rPr>
          <w:sz w:val="2"/>
        </w:rPr>
        <w:sectPr>
          <w:footerReference w:type="even" r:id="rId272"/>
          <w:footerReference w:type="default" r:id="rId273"/>
          <w:pgSz w:w="12240" w:h="15840"/>
          <w:pgMar w:footer="746" w:header="761" w:top="1340" w:bottom="940" w:left="860" w:right="700"/>
          <w:pgNumType w:start="2380"/>
        </w:sectPr>
      </w:pPr>
    </w:p>
    <w:p>
      <w:pPr>
        <w:pStyle w:val="BodyText"/>
        <w:spacing w:line="206" w:lineRule="exact" w:before="47"/>
        <w:ind w:left="674"/>
        <w:rPr>
          <w:rFonts w:ascii="Cambria Math"/>
        </w:rPr>
      </w:pPr>
      <w:r>
        <w:rPr>
          <w:rFonts w:ascii="Cambria Math"/>
          <w:w w:val="100"/>
        </w:rPr>
        <w:t>1</w:t>
      </w:r>
    </w:p>
    <w:p>
      <w:pPr>
        <w:pStyle w:val="BodyText"/>
        <w:tabs>
          <w:tab w:pos="1122" w:val="left" w:leader="none"/>
        </w:tabs>
        <w:spacing w:line="140" w:lineRule="exact"/>
        <w:ind w:left="220"/>
        <w:rPr>
          <w:rFonts w:ascii="Cambria Math" w:hAnsi="Cambria Math" w:eastAsia="Cambria Math"/>
        </w:rPr>
      </w:pPr>
      <w:r>
        <w:rPr/>
        <w:pict>
          <v:line style="position:absolute;mso-position-horizontal-relative:page;mso-position-vertical-relative:paragraph;z-index:251866112" from="62.400002pt,5.408847pt" to="97.224002pt,5.408847pt" stroked="true" strokeweight=".72pt" strokecolor="#000000">
            <v:stroke dashstyle="solid"/>
            <w10:wrap type="none"/>
          </v:line>
        </w:pict>
      </w:r>
      <w:r>
        <w:rPr>
          <w:rFonts w:ascii="Cambria Math" w:hAnsi="Cambria Math" w:eastAsia="Cambria Math"/>
          <w:w w:val="116"/>
        </w:rPr>
        <w:t>√</w:t>
      </w:r>
      <w:r>
        <w:rPr>
          <w:rFonts w:ascii="Cambria Math" w:hAnsi="Cambria Math" w:eastAsia="Cambria Math"/>
        </w:rPr>
        <w:tab/>
      </w:r>
      <w:r>
        <w:rPr>
          <w:rFonts w:ascii="Cambria Math" w:hAnsi="Cambria Math" w:eastAsia="Cambria Math"/>
          <w:spacing w:val="-1"/>
          <w:w w:val="110"/>
        </w:rPr>
        <w:t>[</w:t>
      </w:r>
      <w:r>
        <w:rPr>
          <w:rFonts w:ascii="Cambria Math" w:hAnsi="Cambria Math" w:eastAsia="Cambria Math"/>
          <w:spacing w:val="-3"/>
          <w:w w:val="187"/>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5"/>
        </w:rPr>
        <w:t> </w:t>
      </w:r>
      <w:r>
        <w:rPr>
          <w:rFonts w:ascii="Cambria Math" w:hAnsi="Cambria Math" w:eastAsia="Cambria Math"/>
          <w:w w:val="100"/>
        </w:rPr>
        <w:t>−</w:t>
      </w:r>
      <w:r>
        <w:rPr>
          <w:rFonts w:ascii="Cambria Math" w:hAnsi="Cambria Math" w:eastAsia="Cambria Math"/>
          <w:spacing w:val="-3"/>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r>
        <w:rPr>
          <w:rFonts w:ascii="Cambria Math" w:hAnsi="Cambria Math" w:eastAsia="Cambria Math"/>
          <w:position w:val="7"/>
          <w:sz w:val="16"/>
        </w:rPr>
        <w:t> </w:t>
      </w:r>
      <w:r>
        <w:rPr>
          <w:rFonts w:ascii="Cambria Math" w:hAnsi="Cambria Math" w:eastAsia="Cambria Math"/>
          <w:spacing w:val="-13"/>
          <w:position w:val="7"/>
          <w:sz w:val="16"/>
        </w:rPr>
        <w:t> </w:t>
      </w:r>
      <w:r>
        <w:rPr>
          <w:rFonts w:ascii="Cambria Math" w:hAnsi="Cambria Math" w:eastAsia="Cambria Math"/>
          <w:w w:val="100"/>
        </w:rPr>
        <w:t>−</w:t>
      </w:r>
    </w:p>
    <w:p>
      <w:pPr>
        <w:pStyle w:val="BodyText"/>
        <w:spacing w:line="226" w:lineRule="exact" w:before="34"/>
        <w:ind w:right="6322"/>
        <w:jc w:val="right"/>
        <w:rPr>
          <w:rFonts w:ascii="Cambria Math" w:hAnsi="Cambria Math" w:eastAsia="Cambria Math"/>
          <w:sz w:val="16"/>
        </w:rPr>
      </w:pPr>
      <w:r>
        <w:rPr/>
        <w:br w:type="column"/>
      </w:r>
      <w:r>
        <w:rPr>
          <w:rFonts w:ascii="Cambria Math" w:hAnsi="Cambria Math" w:eastAsia="Cambria Math"/>
          <w:spacing w:val="-1"/>
          <w:w w:val="100"/>
          <w:position w:val="1"/>
        </w:rPr>
        <w:t>[∑(</w:t>
      </w:r>
      <w:r>
        <w:rPr>
          <w:rFonts w:ascii="Cambria Math" w:hAnsi="Cambria Math" w:eastAsia="Cambria Math"/>
          <w:w w:val="100"/>
        </w:rPr>
        <w:t>𝑥</w:t>
      </w:r>
      <w:r>
        <w:rPr>
          <w:rFonts w:ascii="Cambria Math" w:hAnsi="Cambria Math" w:eastAsia="Cambria Math"/>
          <w:spacing w:val="6"/>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8"/>
          <w:w w:val="100"/>
        </w:rPr>
        <w:t>𝑥</w:t>
      </w:r>
      <w:r>
        <w:rPr>
          <w:rFonts w:ascii="Cambria Math" w:hAnsi="Cambria Math" w:eastAsia="Cambria Math"/>
          <w:spacing w:val="14"/>
          <w:w w:val="100"/>
        </w:rPr>
        <w:t>̅</w:t>
      </w:r>
      <w:r>
        <w:rPr>
          <w:rFonts w:ascii="Cambria Math" w:hAnsi="Cambria Math" w:eastAsia="Cambria Math"/>
          <w:spacing w:val="-1"/>
          <w:w w:val="100"/>
          <w:position w:val="1"/>
        </w:rPr>
        <w:t>)(</w:t>
      </w:r>
      <w:r>
        <w:rPr>
          <w:rFonts w:ascii="Cambria Math" w:hAnsi="Cambria Math" w:eastAsia="Cambria Math"/>
          <w:w w:val="100"/>
        </w:rPr>
        <w:t>𝑦</w:t>
      </w:r>
      <w:r>
        <w:rPr>
          <w:rFonts w:ascii="Cambria Math" w:hAnsi="Cambria Math" w:eastAsia="Cambria Math"/>
          <w:spacing w:val="3"/>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98"/>
          <w:w w:val="100"/>
        </w:rPr>
        <w:t>𝑦</w:t>
      </w:r>
      <w:r>
        <w:rPr>
          <w:rFonts w:ascii="Cambria Math" w:hAnsi="Cambria Math" w:eastAsia="Cambria Math"/>
          <w:spacing w:val="5"/>
          <w:w w:val="100"/>
        </w:rPr>
        <w:t>̅</w:t>
      </w:r>
      <w:r>
        <w:rPr>
          <w:rFonts w:ascii="Cambria Math" w:hAnsi="Cambria Math" w:eastAsia="Cambria Math"/>
          <w:spacing w:val="-1"/>
          <w:w w:val="100"/>
          <w:position w:val="1"/>
        </w:rPr>
        <w:t>)]</w:t>
      </w:r>
      <w:r>
        <w:rPr>
          <w:rFonts w:ascii="Cambria Math" w:hAnsi="Cambria Math" w:eastAsia="Cambria Math"/>
          <w:w w:val="105"/>
          <w:position w:val="7"/>
          <w:sz w:val="16"/>
        </w:rPr>
        <w:t>2</w:t>
      </w:r>
    </w:p>
    <w:p>
      <w:pPr>
        <w:tabs>
          <w:tab w:pos="530" w:val="left" w:leader="none"/>
        </w:tabs>
        <w:spacing w:line="134" w:lineRule="exact" w:before="0"/>
        <w:ind w:left="0" w:right="6227" w:firstLine="0"/>
        <w:jc w:val="right"/>
        <w:rPr>
          <w:rFonts w:ascii="Cambria Math"/>
          <w:sz w:val="22"/>
        </w:rPr>
      </w:pPr>
      <w:r>
        <w:rPr/>
        <w:pict>
          <v:line style="position:absolute;mso-position-horizontal-relative:page;mso-position-vertical-relative:paragraph;z-index:251867136" from="171.020004pt,5.084140pt" to="261.164004pt,5.084140pt" stroked="true" strokeweight=".72pt" strokecolor="#000000">
            <v:stroke dashstyle="solid"/>
            <w10:wrap type="none"/>
          </v:line>
        </w:pict>
      </w:r>
      <w:r>
        <w:rPr>
          <w:rFonts w:ascii="Cambria Math"/>
          <w:w w:val="110"/>
          <w:position w:val="-7"/>
          <w:sz w:val="16"/>
        </w:rPr>
        <w:t>2</w:t>
        <w:tab/>
      </w:r>
      <w:r>
        <w:rPr>
          <w:rFonts w:ascii="Cambria Math"/>
          <w:w w:val="110"/>
          <w:sz w:val="22"/>
        </w:rPr>
        <w:t>]</w:t>
      </w:r>
    </w:p>
    <w:p>
      <w:pPr>
        <w:spacing w:after="0" w:line="134" w:lineRule="exact"/>
        <w:jc w:val="right"/>
        <w:rPr>
          <w:rFonts w:ascii="Cambria Math"/>
          <w:sz w:val="22"/>
        </w:rPr>
        <w:sectPr>
          <w:type w:val="continuous"/>
          <w:pgSz w:w="12240" w:h="15840"/>
          <w:pgMar w:top="1340" w:bottom="940" w:left="860" w:right="700"/>
          <w:cols w:num="2" w:equalWidth="0">
            <w:col w:w="2512" w:space="40"/>
            <w:col w:w="8128"/>
          </w:cols>
        </w:sectPr>
      </w:pPr>
    </w:p>
    <w:p>
      <w:pPr>
        <w:pStyle w:val="BodyText"/>
        <w:tabs>
          <w:tab w:pos="2987" w:val="left" w:leader="none"/>
        </w:tabs>
        <w:spacing w:line="229" w:lineRule="exact"/>
        <w:ind w:left="388"/>
        <w:rPr>
          <w:rFonts w:ascii="Cambria Math" w:hAnsi="Cambria Math" w:eastAsia="Cambria Math"/>
        </w:rPr>
      </w:pPr>
      <w:r>
        <w:rPr>
          <w:rFonts w:ascii="Cambria Math" w:hAnsi="Cambria Math" w:eastAsia="Cambria Math"/>
          <w:position w:val="1"/>
        </w:rPr>
        <w:t>(</w:t>
      </w:r>
      <w:r>
        <w:rPr>
          <w:rFonts w:ascii="Cambria Math" w:hAnsi="Cambria Math" w:eastAsia="Cambria Math"/>
        </w:rPr>
        <w:t>𝑛</w:t>
      </w:r>
      <w:r>
        <w:rPr>
          <w:rFonts w:ascii="Cambria Math" w:hAnsi="Cambria Math" w:eastAsia="Cambria Math"/>
          <w:spacing w:val="4"/>
        </w:rPr>
        <w:t> </w:t>
      </w:r>
      <w:r>
        <w:rPr>
          <w:rFonts w:ascii="Cambria Math" w:hAnsi="Cambria Math" w:eastAsia="Cambria Math"/>
        </w:rPr>
        <w:t>− 2</w:t>
      </w:r>
      <w:r>
        <w:rPr>
          <w:rFonts w:ascii="Cambria Math" w:hAnsi="Cambria Math" w:eastAsia="Cambria Math"/>
          <w:position w:val="1"/>
        </w:rPr>
        <w:t>)</w:t>
        <w:tab/>
        <w:t>∑(</w:t>
      </w:r>
      <w:r>
        <w:rPr>
          <w:rFonts w:ascii="Cambria Math" w:hAnsi="Cambria Math" w:eastAsia="Cambria Math"/>
        </w:rPr>
        <w:t>𝑥 −</w:t>
      </w:r>
      <w:r>
        <w:rPr>
          <w:rFonts w:ascii="Cambria Math" w:hAnsi="Cambria Math" w:eastAsia="Cambria Math"/>
          <w:spacing w:val="7"/>
        </w:rPr>
        <w:t> </w:t>
      </w:r>
      <w:r>
        <w:rPr>
          <w:rFonts w:ascii="Cambria Math" w:hAnsi="Cambria Math" w:eastAsia="Cambria Math"/>
          <w:spacing w:val="-3"/>
        </w:rPr>
        <w:t>𝑥̅</w:t>
      </w:r>
      <w:r>
        <w:rPr>
          <w:rFonts w:ascii="Cambria Math" w:hAnsi="Cambria Math" w:eastAsia="Cambria Math"/>
          <w:spacing w:val="-3"/>
          <w:position w:val="1"/>
        </w:rPr>
        <w:t>)</w:t>
      </w:r>
    </w:p>
    <w:p>
      <w:pPr>
        <w:pStyle w:val="BodyText"/>
        <w:spacing w:before="3"/>
        <w:rPr>
          <w:rFonts w:ascii="Cambria Math"/>
          <w:sz w:val="23"/>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known-xs</w:t>
      </w:r>
      <w:r>
        <w:rPr>
          <w:rFonts w:ascii="Consolas" w:hAnsi="Consolas"/>
          <w:sz w:val="22"/>
        </w:rPr>
        <w:t>)</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y </w:t>
      </w:r>
      <w:r>
        <w:rPr>
          <w:sz w:val="22"/>
        </w:rPr>
        <w:t>= a sample</w:t>
      </w:r>
      <w:r>
        <w:rPr>
          <w:spacing w:val="-2"/>
          <w:sz w:val="22"/>
        </w:rPr>
        <w:t> </w:t>
      </w:r>
      <w:r>
        <w:rPr>
          <w:sz w:val="22"/>
        </w:rPr>
        <w:t>value</w:t>
      </w:r>
    </w:p>
    <w:p>
      <w:pPr>
        <w:pStyle w:val="ListParagraph"/>
        <w:numPr>
          <w:ilvl w:val="4"/>
          <w:numId w:val="66"/>
        </w:numPr>
        <w:tabs>
          <w:tab w:pos="940" w:val="left" w:leader="none"/>
          <w:tab w:pos="941" w:val="left" w:leader="none"/>
        </w:tabs>
        <w:spacing w:line="240" w:lineRule="auto" w:before="41" w:after="0"/>
        <w:ind w:left="940" w:right="0" w:hanging="361"/>
        <w:jc w:val="left"/>
        <w:rPr>
          <w:rFonts w:ascii="Consolas" w:hAnsi="Consolas"/>
          <w:sz w:val="22"/>
        </w:rPr>
      </w:pPr>
      <w:r>
        <w:rPr>
          <w:rFonts w:ascii="Cambria Math" w:hAnsi="Cambria Math"/>
          <w:spacing w:val="-53"/>
          <w:sz w:val="22"/>
        </w:rPr>
        <w:t>y̅</w:t>
      </w:r>
      <w:r>
        <w:rPr>
          <w:rFonts w:ascii="Cambria Math" w:hAnsi="Cambria Math"/>
          <w:spacing w:val="9"/>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known-ys</w:t>
      </w:r>
      <w:r>
        <w:rPr>
          <w:rFonts w:ascii="Consolas" w:hAnsi="Consolas"/>
          <w:sz w:val="22"/>
        </w:rPr>
        <w:t>)</w:t>
      </w:r>
    </w:p>
    <w:p>
      <w:pPr>
        <w:pStyle w:val="Heading4"/>
        <w:spacing w:before="243"/>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29" w:hRule="atLeast"/>
        </w:trPr>
        <w:tc>
          <w:tcPr>
            <w:tcW w:w="1466" w:type="dxa"/>
            <w:tcBorders>
              <w:bottom w:val="nil"/>
            </w:tcBorders>
          </w:tcPr>
          <w:p>
            <w:pPr>
              <w:pStyle w:val="TableParagraph"/>
              <w:spacing w:before="39"/>
              <w:rPr>
                <w:rFonts w:ascii="Times New Roman"/>
                <w:i/>
                <w:sz w:val="22"/>
              </w:rPr>
            </w:pPr>
            <w:r>
              <w:rPr>
                <w:rFonts w:ascii="Times New Roman"/>
                <w:i/>
                <w:sz w:val="22"/>
              </w:rPr>
              <w:t>known-xs</w:t>
            </w:r>
          </w:p>
        </w:tc>
        <w:tc>
          <w:tcPr>
            <w:tcW w:w="1800" w:type="dxa"/>
            <w:tcBorders>
              <w:bottom w:val="nil"/>
            </w:tcBorders>
          </w:tcPr>
          <w:p>
            <w:pPr>
              <w:pStyle w:val="TableParagraph"/>
              <w:spacing w:line="267" w:lineRule="exact" w:before="42"/>
              <w:ind w:left="112"/>
              <w:rPr>
                <w:sz w:val="22"/>
              </w:rPr>
            </w:pPr>
            <w:r>
              <w:rPr>
                <w:sz w:val="22"/>
              </w:rPr>
              <w:t>number, name,</w:t>
            </w:r>
          </w:p>
        </w:tc>
        <w:tc>
          <w:tcPr>
            <w:tcW w:w="5400" w:type="dxa"/>
            <w:tcBorders>
              <w:bottom w:val="nil"/>
            </w:tcBorders>
          </w:tcPr>
          <w:p>
            <w:pPr>
              <w:pStyle w:val="TableParagraph"/>
              <w:spacing w:line="267" w:lineRule="exact" w:before="42"/>
              <w:ind w:left="113"/>
              <w:rPr>
                <w:sz w:val="22"/>
              </w:rPr>
            </w:pPr>
            <w:r>
              <w:rPr>
                <w:sz w:val="22"/>
              </w:rPr>
              <w:t>Designate a set of numeric dependent data points.</w:t>
            </w:r>
          </w:p>
        </w:tc>
      </w:tr>
      <w:tr>
        <w:trPr>
          <w:trHeight w:val="267"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7" w:lineRule="exact" w:before="0"/>
              <w:ind w:left="112"/>
              <w:rPr>
                <w:sz w:val="22"/>
              </w:rPr>
            </w:pPr>
            <w:r>
              <w:rPr>
                <w:sz w:val="22"/>
              </w:rPr>
              <w:t>array, or</w:t>
            </w:r>
          </w:p>
        </w:tc>
        <w:tc>
          <w:tcPr>
            <w:tcW w:w="5400" w:type="dxa"/>
            <w:tcBorders>
              <w:top w:val="nil"/>
              <w:bottom w:val="nil"/>
            </w:tcBorders>
          </w:tcPr>
          <w:p>
            <w:pPr>
              <w:pStyle w:val="TableParagraph"/>
              <w:spacing w:line="247" w:lineRule="exact" w:before="0"/>
              <w:ind w:left="113"/>
              <w:rPr>
                <w:sz w:val="22"/>
              </w:rPr>
            </w:pPr>
            <w:r>
              <w:rPr>
                <w:sz w:val="22"/>
              </w:rPr>
              <w:t>Logical values and text representations of numbers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entered directly into the list of arguments are included. If</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 text,</w:t>
            </w:r>
          </w:p>
        </w:tc>
        <w:tc>
          <w:tcPr>
            <w:tcW w:w="5400" w:type="dxa"/>
            <w:tcBorders>
              <w:top w:val="nil"/>
              <w:bottom w:val="nil"/>
            </w:tcBorders>
          </w:tcPr>
          <w:p>
            <w:pPr>
              <w:pStyle w:val="TableParagraph"/>
              <w:spacing w:line="249" w:lineRule="exact" w:before="0"/>
              <w:ind w:left="113"/>
              <w:rPr>
                <w:sz w:val="22"/>
              </w:rPr>
            </w:pPr>
            <w:r>
              <w:rPr>
                <w:sz w:val="22"/>
              </w:rPr>
              <w:t>an array or reference argument contains text, logical</w:t>
            </w:r>
          </w:p>
        </w:tc>
      </w:tr>
      <w:tr>
        <w:trPr>
          <w:trHeight w:val="269"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logical</w:t>
            </w:r>
          </w:p>
        </w:tc>
        <w:tc>
          <w:tcPr>
            <w:tcW w:w="5400" w:type="dxa"/>
            <w:tcBorders>
              <w:top w:val="nil"/>
              <w:bottom w:val="nil"/>
            </w:tcBorders>
          </w:tcPr>
          <w:p>
            <w:pPr>
              <w:pStyle w:val="TableParagraph"/>
              <w:spacing w:line="249" w:lineRule="exact" w:before="0"/>
              <w:ind w:left="113"/>
              <w:rPr>
                <w:sz w:val="22"/>
              </w:rPr>
            </w:pPr>
            <w:r>
              <w:rPr>
                <w:sz w:val="22"/>
              </w:rPr>
              <w:t>values, or empty cells, those values are ignored;</w:t>
            </w:r>
          </w:p>
        </w:tc>
      </w:tr>
      <w:tr>
        <w:trPr>
          <w:trHeight w:val="295"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before="0"/>
              <w:ind w:left="0"/>
              <w:rPr>
                <w:rFonts w:ascii="Times New Roman"/>
                <w:sz w:val="22"/>
              </w:rPr>
            </w:pPr>
          </w:p>
        </w:tc>
        <w:tc>
          <w:tcPr>
            <w:tcW w:w="5400" w:type="dxa"/>
            <w:tcBorders>
              <w:top w:val="nil"/>
            </w:tcBorders>
          </w:tcPr>
          <w:p>
            <w:pPr>
              <w:pStyle w:val="TableParagraph"/>
              <w:spacing w:line="249" w:lineRule="exact" w:before="0"/>
              <w:ind w:left="113"/>
              <w:rPr>
                <w:sz w:val="22"/>
              </w:rPr>
            </w:pPr>
            <w:r>
              <w:rPr>
                <w:sz w:val="22"/>
              </w:rPr>
              <w:t>however, cells with the value 0 are included.</w:t>
            </w:r>
          </w:p>
        </w:tc>
      </w:tr>
      <w:tr>
        <w:trPr>
          <w:trHeight w:val="328" w:hRule="atLeast"/>
        </w:trPr>
        <w:tc>
          <w:tcPr>
            <w:tcW w:w="1466" w:type="dxa"/>
            <w:tcBorders>
              <w:bottom w:val="nil"/>
            </w:tcBorders>
          </w:tcPr>
          <w:p>
            <w:pPr>
              <w:pStyle w:val="TableParagraph"/>
              <w:spacing w:before="37"/>
              <w:rPr>
                <w:rFonts w:ascii="Times New Roman"/>
                <w:i/>
                <w:sz w:val="22"/>
              </w:rPr>
            </w:pPr>
            <w:r>
              <w:rPr>
                <w:rFonts w:ascii="Times New Roman"/>
                <w:i/>
                <w:sz w:val="22"/>
              </w:rPr>
              <w:t>known-ys</w:t>
            </w:r>
          </w:p>
        </w:tc>
        <w:tc>
          <w:tcPr>
            <w:tcW w:w="1800" w:type="dxa"/>
            <w:tcBorders>
              <w:bottom w:val="nil"/>
            </w:tcBorders>
          </w:tcPr>
          <w:p>
            <w:pPr>
              <w:pStyle w:val="TableParagraph"/>
              <w:ind w:left="112"/>
              <w:rPr>
                <w:sz w:val="22"/>
              </w:rPr>
            </w:pPr>
            <w:r>
              <w:rPr>
                <w:sz w:val="22"/>
              </w:rPr>
              <w:t>number, name,</w:t>
            </w:r>
          </w:p>
        </w:tc>
        <w:tc>
          <w:tcPr>
            <w:tcW w:w="5400" w:type="dxa"/>
            <w:tcBorders>
              <w:bottom w:val="nil"/>
            </w:tcBorders>
          </w:tcPr>
          <w:p>
            <w:pPr>
              <w:pStyle w:val="TableParagraph"/>
              <w:ind w:left="113"/>
              <w:rPr>
                <w:sz w:val="22"/>
              </w:rPr>
            </w:pPr>
            <w:r>
              <w:rPr>
                <w:sz w:val="22"/>
              </w:rPr>
              <w:t>Designate a set of numeric independent data points.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array, or</w:t>
            </w:r>
          </w:p>
        </w:tc>
        <w:tc>
          <w:tcPr>
            <w:tcW w:w="5400" w:type="dxa"/>
            <w:tcBorders>
              <w:top w:val="nil"/>
              <w:bottom w:val="nil"/>
            </w:tcBorders>
          </w:tcPr>
          <w:p>
            <w:pPr>
              <w:pStyle w:val="TableParagraph"/>
              <w:spacing w:line="249" w:lineRule="exact" w:before="0"/>
              <w:ind w:left="113"/>
              <w:rPr>
                <w:sz w:val="22"/>
              </w:rPr>
            </w:pPr>
            <w:r>
              <w:rPr>
                <w:sz w:val="22"/>
              </w:rPr>
              <w:t>Logical values and text representations of numbers</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reference to</w:t>
            </w:r>
          </w:p>
        </w:tc>
        <w:tc>
          <w:tcPr>
            <w:tcW w:w="5400" w:type="dxa"/>
            <w:tcBorders>
              <w:top w:val="nil"/>
              <w:bottom w:val="nil"/>
            </w:tcBorders>
          </w:tcPr>
          <w:p>
            <w:pPr>
              <w:pStyle w:val="TableParagraph"/>
              <w:spacing w:line="249" w:lineRule="exact" w:before="0"/>
              <w:ind w:left="113"/>
              <w:rPr>
                <w:sz w:val="22"/>
              </w:rPr>
            </w:pPr>
            <w:r>
              <w:rPr>
                <w:sz w:val="22"/>
              </w:rPr>
              <w:t>entered directly into the list of arguments are included. If</w:t>
            </w:r>
          </w:p>
        </w:tc>
      </w:tr>
      <w:tr>
        <w:trPr>
          <w:trHeight w:val="268" w:hRule="atLeast"/>
        </w:trPr>
        <w:tc>
          <w:tcPr>
            <w:tcW w:w="1466" w:type="dxa"/>
            <w:tcBorders>
              <w:top w:val="nil"/>
              <w:bottom w:val="nil"/>
            </w:tcBorders>
          </w:tcPr>
          <w:p>
            <w:pPr>
              <w:pStyle w:val="TableParagraph"/>
              <w:spacing w:before="0"/>
              <w:ind w:left="0"/>
              <w:rPr>
                <w:rFonts w:ascii="Times New Roman"/>
                <w:sz w:val="18"/>
              </w:rPr>
            </w:pPr>
          </w:p>
        </w:tc>
        <w:tc>
          <w:tcPr>
            <w:tcW w:w="1800" w:type="dxa"/>
            <w:tcBorders>
              <w:top w:val="nil"/>
              <w:bottom w:val="nil"/>
            </w:tcBorders>
          </w:tcPr>
          <w:p>
            <w:pPr>
              <w:pStyle w:val="TableParagraph"/>
              <w:spacing w:line="249" w:lineRule="exact" w:before="0"/>
              <w:ind w:left="112"/>
              <w:rPr>
                <w:sz w:val="22"/>
              </w:rPr>
            </w:pPr>
            <w:r>
              <w:rPr>
                <w:sz w:val="22"/>
              </w:rPr>
              <w:t>number, text,</w:t>
            </w:r>
          </w:p>
        </w:tc>
        <w:tc>
          <w:tcPr>
            <w:tcW w:w="5400" w:type="dxa"/>
            <w:tcBorders>
              <w:top w:val="nil"/>
              <w:bottom w:val="nil"/>
            </w:tcBorders>
          </w:tcPr>
          <w:p>
            <w:pPr>
              <w:pStyle w:val="TableParagraph"/>
              <w:spacing w:line="249" w:lineRule="exact" w:before="0"/>
              <w:ind w:left="113"/>
              <w:rPr>
                <w:sz w:val="22"/>
              </w:rPr>
            </w:pPr>
            <w:r>
              <w:rPr>
                <w:sz w:val="22"/>
              </w:rPr>
              <w:t>an array or reference argument contains text, logical</w:t>
            </w:r>
          </w:p>
        </w:tc>
      </w:tr>
      <w:tr>
        <w:trPr>
          <w:trHeight w:val="294" w:hRule="atLeast"/>
        </w:trPr>
        <w:tc>
          <w:tcPr>
            <w:tcW w:w="1466" w:type="dxa"/>
            <w:tcBorders>
              <w:top w:val="nil"/>
            </w:tcBorders>
          </w:tcPr>
          <w:p>
            <w:pPr>
              <w:pStyle w:val="TableParagraph"/>
              <w:spacing w:before="0"/>
              <w:ind w:left="0"/>
              <w:rPr>
                <w:rFonts w:ascii="Times New Roman"/>
                <w:sz w:val="22"/>
              </w:rPr>
            </w:pPr>
          </w:p>
        </w:tc>
        <w:tc>
          <w:tcPr>
            <w:tcW w:w="1800" w:type="dxa"/>
            <w:tcBorders>
              <w:top w:val="nil"/>
            </w:tcBorders>
          </w:tcPr>
          <w:p>
            <w:pPr>
              <w:pStyle w:val="TableParagraph"/>
              <w:spacing w:line="249" w:lineRule="exact" w:before="0"/>
              <w:ind w:left="112"/>
              <w:rPr>
                <w:sz w:val="22"/>
              </w:rPr>
            </w:pPr>
            <w:r>
              <w:rPr>
                <w:sz w:val="22"/>
              </w:rPr>
              <w:t>logical</w:t>
            </w:r>
          </w:p>
        </w:tc>
        <w:tc>
          <w:tcPr>
            <w:tcW w:w="5400" w:type="dxa"/>
            <w:tcBorders>
              <w:top w:val="nil"/>
            </w:tcBorders>
          </w:tcPr>
          <w:p>
            <w:pPr>
              <w:pStyle w:val="TableParagraph"/>
              <w:spacing w:line="249" w:lineRule="exact" w:before="0"/>
              <w:ind w:left="113"/>
              <w:rPr>
                <w:sz w:val="22"/>
              </w:rPr>
            </w:pPr>
            <w:r>
              <w:rPr>
                <w:sz w:val="22"/>
              </w:rPr>
              <w:t>values, or empty cells, those values are ignored;</w:t>
            </w:r>
          </w:p>
        </w:tc>
      </w:tr>
    </w:tbl>
    <w:p>
      <w:pPr>
        <w:spacing w:after="0" w:line="249" w:lineRule="exact"/>
        <w:rPr>
          <w:sz w:val="22"/>
        </w:rPr>
        <w:sectPr>
          <w:type w:val="continuous"/>
          <w:pgSz w:w="12240" w:h="15840"/>
          <w:pgMar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sz w:val="22"/>
              </w:rPr>
            </w:pPr>
            <w:r>
              <w:rPr>
                <w:sz w:val="22"/>
              </w:rPr>
              <w:t>however, cells with the value 0 are included.</w:t>
            </w:r>
          </w:p>
        </w:tc>
      </w:tr>
    </w:tbl>
    <w:p>
      <w:pPr>
        <w:pStyle w:val="BodyText"/>
        <w:rPr>
          <w:b/>
          <w:sz w:val="20"/>
        </w:rPr>
      </w:pPr>
    </w:p>
    <w:p>
      <w:pPr>
        <w:pStyle w:val="BodyText"/>
        <w:spacing w:before="7"/>
        <w:rPr>
          <w:b/>
          <w:sz w:val="21"/>
        </w:rPr>
      </w:pPr>
    </w:p>
    <w:p>
      <w:pPr>
        <w:spacing w:line="453" w:lineRule="auto" w:before="0"/>
        <w:ind w:left="220" w:right="925" w:firstLine="0"/>
        <w:jc w:val="left"/>
        <w:rPr>
          <w:sz w:val="22"/>
        </w:rPr>
      </w:pPr>
      <w:r>
        <w:rPr>
          <w:b/>
          <w:sz w:val="22"/>
        </w:rPr>
        <w:t>Return Type and Value: </w:t>
      </w:r>
      <w:r>
        <w:rPr>
          <w:sz w:val="22"/>
        </w:rPr>
        <w:t>number – The standard error of the predicted y-value for each </w:t>
      </w:r>
      <w:r>
        <w:rPr>
          <w:rFonts w:ascii="Times New Roman" w:hAnsi="Times New Roman"/>
          <w:i/>
          <w:sz w:val="22"/>
        </w:rPr>
        <w:t>x </w:t>
      </w:r>
      <w:r>
        <w:rPr>
          <w:sz w:val="22"/>
        </w:rPr>
        <w:t>in the regression.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known-ys </w:t>
      </w:r>
      <w:r>
        <w:rPr>
          <w:sz w:val="22"/>
        </w:rPr>
        <w:t>and </w:t>
      </w:r>
      <w:r>
        <w:rPr>
          <w:rFonts w:ascii="Times New Roman" w:hAnsi="Times New Roman"/>
          <w:i/>
          <w:sz w:val="22"/>
        </w:rPr>
        <w:t>known-xs </w:t>
      </w:r>
      <w:r>
        <w:rPr>
          <w:sz w:val="22"/>
        </w:rPr>
        <w:t>have a different number of data points, the return value is</w:t>
      </w:r>
      <w:r>
        <w:rPr>
          <w:spacing w:val="-34"/>
          <w:sz w:val="22"/>
        </w:rPr>
        <w:t> </w:t>
      </w:r>
      <w:r>
        <w:rPr>
          <w:sz w:val="22"/>
        </w:rPr>
        <w:t>unspecified.</w:t>
      </w:r>
    </w:p>
    <w:p>
      <w:pPr>
        <w:pStyle w:val="ListParagraph"/>
        <w:numPr>
          <w:ilvl w:val="4"/>
          <w:numId w:val="66"/>
        </w:numPr>
        <w:tabs>
          <w:tab w:pos="940" w:val="left" w:leader="none"/>
          <w:tab w:pos="941" w:val="left" w:leader="none"/>
        </w:tabs>
        <w:spacing w:line="446" w:lineRule="auto" w:before="39" w:after="0"/>
        <w:ind w:left="220" w:right="645" w:firstLine="360"/>
        <w:jc w:val="left"/>
        <w:rPr>
          <w:sz w:val="22"/>
        </w:rPr>
      </w:pPr>
      <w:r>
        <w:rPr>
          <w:rFonts w:ascii="Times New Roman" w:hAnsi="Times New Roman"/>
          <w:i/>
          <w:sz w:val="22"/>
        </w:rPr>
        <w:t>known-ys </w:t>
      </w:r>
      <w:r>
        <w:rPr>
          <w:sz w:val="22"/>
        </w:rPr>
        <w:t>and </w:t>
      </w:r>
      <w:r>
        <w:rPr>
          <w:rFonts w:ascii="Times New Roman" w:hAnsi="Times New Roman"/>
          <w:i/>
          <w:sz w:val="22"/>
        </w:rPr>
        <w:t>known-xs</w:t>
      </w:r>
      <w:r>
        <w:rPr>
          <w:rFonts w:ascii="Times New Roman" w:hAnsi="Times New Roman"/>
          <w:i/>
          <w:spacing w:val="-39"/>
          <w:sz w:val="22"/>
        </w:rPr>
        <w:t> </w:t>
      </w:r>
      <w:r>
        <w:rPr>
          <w:sz w:val="22"/>
        </w:rPr>
        <w:t>are empty or have less than three data points, the return value is unspecified. [</w:t>
      </w:r>
      <w:r>
        <w:rPr>
          <w:i/>
          <w:sz w:val="22"/>
        </w:rPr>
        <w:t>Example</w:t>
      </w:r>
      <w:r>
        <w:rPr>
          <w:sz w:val="22"/>
        </w:rPr>
        <w:t>:</w:t>
      </w:r>
    </w:p>
    <w:p>
      <w:pPr>
        <w:pStyle w:val="BodyText"/>
        <w:spacing w:before="128"/>
        <w:ind w:left="220"/>
        <w:rPr>
          <w:rFonts w:ascii="Consolas"/>
        </w:rPr>
      </w:pPr>
      <w:r>
        <w:rPr>
          <w:rFonts w:ascii="Consolas"/>
        </w:rPr>
        <w:t>STEYX({2,3,9,1,8,7,5},{6,5,11,7,5,4,4})</w:t>
      </w:r>
      <w:r>
        <w:rPr>
          <w:rFonts w:ascii="Consolas"/>
          <w:spacing w:val="-70"/>
        </w:rPr>
        <w:t> </w:t>
      </w:r>
      <w:r>
        <w:rPr/>
        <w:t>results in </w:t>
      </w:r>
      <w:r>
        <w:rPr>
          <w:rFonts w:ascii="Consolas"/>
        </w:rPr>
        <w:t>3.30571895</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04 SUBSTITUTE" w:id="2304"/>
      <w:bookmarkEnd w:id="2304"/>
      <w:r>
        <w:rPr/>
      </w:r>
      <w:bookmarkStart w:name="_bookmark767" w:id="2305"/>
      <w:bookmarkEnd w:id="2305"/>
      <w:r>
        <w:rPr/>
      </w:r>
      <w:bookmarkStart w:name="_bookmark767" w:id="2306"/>
      <w:bookmarkEnd w:id="2306"/>
      <w:r>
        <w:rPr>
          <w:color w:val="4F81BC"/>
        </w:rPr>
        <w:t>SUBST</w:t>
      </w:r>
      <w:r>
        <w:rPr>
          <w:color w:val="4F81BC"/>
        </w:rPr>
        <w:t>ITUTE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SUBSTITUTE ( </w:t>
      </w:r>
      <w:r>
        <w:rPr>
          <w:i/>
          <w:sz w:val="22"/>
        </w:rPr>
        <w:t>string </w:t>
      </w:r>
      <w:r>
        <w:rPr>
          <w:rFonts w:ascii="Lucida Console"/>
          <w:sz w:val="20"/>
        </w:rPr>
        <w:t>, </w:t>
      </w:r>
      <w:r>
        <w:rPr>
          <w:i/>
          <w:sz w:val="22"/>
        </w:rPr>
        <w:t>old-string </w:t>
      </w:r>
      <w:r>
        <w:rPr>
          <w:rFonts w:ascii="Lucida Console"/>
          <w:sz w:val="20"/>
        </w:rPr>
        <w:t>, </w:t>
      </w:r>
      <w:r>
        <w:rPr>
          <w:i/>
          <w:sz w:val="22"/>
        </w:rPr>
        <w:t>new-string </w:t>
      </w:r>
      <w:r>
        <w:rPr>
          <w:sz w:val="22"/>
        </w:rPr>
        <w:t>[ </w:t>
      </w:r>
      <w:r>
        <w:rPr>
          <w:rFonts w:ascii="Lucida Console"/>
          <w:sz w:val="20"/>
        </w:rPr>
        <w:t>, </w:t>
      </w:r>
      <w:r>
        <w:rPr>
          <w:i/>
          <w:sz w:val="22"/>
        </w:rPr>
        <w:t>occurrence </w:t>
      </w:r>
      <w:r>
        <w:rPr>
          <w:sz w:val="22"/>
        </w:rPr>
        <w:t>] </w:t>
      </w:r>
      <w:r>
        <w:rPr>
          <w:rFonts w:ascii="Lucida Console"/>
          <w:sz w:val="20"/>
        </w:rPr>
        <w:t>)</w:t>
      </w:r>
    </w:p>
    <w:p>
      <w:pPr>
        <w:spacing w:before="108"/>
        <w:ind w:left="220" w:right="0" w:firstLine="0"/>
        <w:jc w:val="left"/>
        <w:rPr>
          <w:sz w:val="22"/>
        </w:rPr>
      </w:pPr>
      <w:r>
        <w:rPr>
          <w:b/>
          <w:sz w:val="22"/>
        </w:rPr>
        <w:t>Description: </w:t>
      </w:r>
      <w:r>
        <w:rPr>
          <w:sz w:val="22"/>
        </w:rPr>
        <w:t>Produces a new string that is </w:t>
      </w:r>
      <w:r>
        <w:rPr>
          <w:rFonts w:ascii="Times New Roman"/>
          <w:i/>
          <w:sz w:val="22"/>
        </w:rPr>
        <w:t>string </w:t>
      </w:r>
      <w:r>
        <w:rPr>
          <w:sz w:val="22"/>
        </w:rPr>
        <w:t>with one or all occurrences of </w:t>
      </w:r>
      <w:r>
        <w:rPr>
          <w:rFonts w:ascii="Times New Roman"/>
          <w:i/>
          <w:sz w:val="22"/>
        </w:rPr>
        <w:t>old-string </w:t>
      </w:r>
      <w:r>
        <w:rPr>
          <w:sz w:val="22"/>
        </w:rPr>
        <w:t>replaced by </w:t>
      </w:r>
      <w:r>
        <w:rPr>
          <w:rFonts w:ascii="Times New Roman"/>
          <w:i/>
          <w:sz w:val="22"/>
        </w:rPr>
        <w:t>new-string</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w:t>
            </w:r>
          </w:p>
        </w:tc>
      </w:tr>
      <w:tr>
        <w:trPr>
          <w:trHeight w:val="354" w:hRule="atLeast"/>
        </w:trPr>
        <w:tc>
          <w:tcPr>
            <w:tcW w:w="1466" w:type="dxa"/>
          </w:tcPr>
          <w:p>
            <w:pPr>
              <w:pStyle w:val="TableParagraph"/>
              <w:spacing w:before="37"/>
              <w:rPr>
                <w:rFonts w:ascii="Times New Roman"/>
                <w:i/>
                <w:sz w:val="22"/>
              </w:rPr>
            </w:pPr>
            <w:r>
              <w:rPr>
                <w:rFonts w:ascii="Times New Roman"/>
                <w:i/>
                <w:sz w:val="22"/>
              </w:rPr>
              <w:t>old-string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w:t>
            </w:r>
          </w:p>
        </w:tc>
      </w:tr>
      <w:tr>
        <w:trPr>
          <w:trHeight w:val="354" w:hRule="atLeast"/>
        </w:trPr>
        <w:tc>
          <w:tcPr>
            <w:tcW w:w="1466" w:type="dxa"/>
          </w:tcPr>
          <w:p>
            <w:pPr>
              <w:pStyle w:val="TableParagraph"/>
              <w:spacing w:before="37"/>
              <w:rPr>
                <w:rFonts w:ascii="Times New Roman"/>
                <w:i/>
                <w:sz w:val="22"/>
              </w:rPr>
            </w:pPr>
            <w:r>
              <w:rPr>
                <w:rFonts w:ascii="Times New Roman"/>
                <w:i/>
                <w:sz w:val="22"/>
              </w:rPr>
              <w:t>new 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a string.</w:t>
            </w:r>
          </w:p>
        </w:tc>
      </w:tr>
      <w:tr>
        <w:trPr>
          <w:trHeight w:val="1161" w:hRule="atLeast"/>
        </w:trPr>
        <w:tc>
          <w:tcPr>
            <w:tcW w:w="1466" w:type="dxa"/>
          </w:tcPr>
          <w:p>
            <w:pPr>
              <w:pStyle w:val="TableParagraph"/>
              <w:spacing w:before="37"/>
              <w:rPr>
                <w:rFonts w:ascii="Times New Roman"/>
                <w:i/>
                <w:sz w:val="22"/>
              </w:rPr>
            </w:pPr>
            <w:r>
              <w:rPr>
                <w:rFonts w:ascii="Times New Roman"/>
                <w:i/>
                <w:sz w:val="22"/>
              </w:rPr>
              <w:t>occurrence</w:t>
            </w:r>
          </w:p>
        </w:tc>
        <w:tc>
          <w:tcPr>
            <w:tcW w:w="1800" w:type="dxa"/>
          </w:tcPr>
          <w:p>
            <w:pPr>
              <w:pStyle w:val="TableParagraph"/>
              <w:ind w:left="112"/>
              <w:rPr>
                <w:sz w:val="22"/>
              </w:rPr>
            </w:pPr>
            <w:r>
              <w:rPr>
                <w:sz w:val="22"/>
              </w:rPr>
              <w:t>number</w:t>
            </w:r>
          </w:p>
        </w:tc>
        <w:tc>
          <w:tcPr>
            <w:tcW w:w="5400" w:type="dxa"/>
          </w:tcPr>
          <w:p>
            <w:pPr>
              <w:pStyle w:val="TableParagraph"/>
              <w:ind w:left="113" w:right="360"/>
              <w:rPr>
                <w:sz w:val="22"/>
              </w:rPr>
            </w:pPr>
            <w:r>
              <w:rPr>
                <w:sz w:val="22"/>
              </w:rPr>
              <w:t>The occurrence number of the </w:t>
            </w:r>
            <w:r>
              <w:rPr>
                <w:rFonts w:ascii="Times New Roman"/>
                <w:i/>
                <w:sz w:val="22"/>
              </w:rPr>
              <w:t>old-string </w:t>
            </w:r>
            <w:r>
              <w:rPr>
                <w:sz w:val="22"/>
              </w:rPr>
              <w:t>characters within </w:t>
            </w:r>
            <w:r>
              <w:rPr>
                <w:rFonts w:ascii="Times New Roman"/>
                <w:i/>
                <w:sz w:val="22"/>
              </w:rPr>
              <w:t>string-1 </w:t>
            </w:r>
            <w:r>
              <w:rPr>
                <w:sz w:val="22"/>
              </w:rPr>
              <w:t>that is to be replaced by the string designated by </w:t>
            </w:r>
            <w:r>
              <w:rPr>
                <w:rFonts w:ascii="Times New Roman"/>
                <w:i/>
                <w:sz w:val="22"/>
              </w:rPr>
              <w:t>new-string</w:t>
            </w:r>
            <w:r>
              <w:rPr>
                <w:sz w:val="22"/>
              </w:rPr>
              <w:t>. If omitted, all occurrences of </w:t>
            </w:r>
            <w:r>
              <w:rPr>
                <w:rFonts w:ascii="Times New Roman"/>
                <w:i/>
                <w:sz w:val="22"/>
              </w:rPr>
              <w:t>old-string </w:t>
            </w:r>
            <w:r>
              <w:rPr>
                <w:sz w:val="22"/>
              </w:rPr>
              <w:t>characters shall be replaced.</w:t>
            </w:r>
          </w:p>
        </w:tc>
      </w:tr>
    </w:tbl>
    <w:p>
      <w:pPr>
        <w:pStyle w:val="BodyText"/>
        <w:rPr>
          <w:b/>
        </w:rPr>
      </w:pPr>
    </w:p>
    <w:p>
      <w:pPr>
        <w:pStyle w:val="BodyText"/>
        <w:spacing w:before="5"/>
        <w:rPr>
          <w:b/>
          <w:sz w:val="19"/>
        </w:rPr>
      </w:pPr>
    </w:p>
    <w:p>
      <w:pPr>
        <w:spacing w:line="278" w:lineRule="auto" w:before="0"/>
        <w:ind w:left="220" w:right="503" w:firstLine="0"/>
        <w:jc w:val="left"/>
        <w:rPr>
          <w:sz w:val="22"/>
        </w:rPr>
      </w:pPr>
      <w:r>
        <w:rPr>
          <w:b/>
          <w:sz w:val="22"/>
        </w:rPr>
        <w:t>Return Type and Value: </w:t>
      </w:r>
      <w:r>
        <w:rPr>
          <w:sz w:val="22"/>
        </w:rPr>
        <w:t>text – A string that is </w:t>
      </w:r>
      <w:r>
        <w:rPr>
          <w:rFonts w:ascii="Times New Roman" w:hAnsi="Times New Roman"/>
          <w:i/>
          <w:sz w:val="22"/>
        </w:rPr>
        <w:t>string </w:t>
      </w:r>
      <w:r>
        <w:rPr>
          <w:sz w:val="22"/>
        </w:rPr>
        <w:t>with one or all occurrences of </w:t>
      </w:r>
      <w:r>
        <w:rPr>
          <w:rFonts w:ascii="Times New Roman" w:hAnsi="Times New Roman"/>
          <w:i/>
          <w:sz w:val="22"/>
        </w:rPr>
        <w:t>old-string </w:t>
      </w:r>
      <w:r>
        <w:rPr>
          <w:sz w:val="22"/>
        </w:rPr>
        <w:t>replaced by </w:t>
      </w:r>
      <w:r>
        <w:rPr>
          <w:rFonts w:ascii="Times New Roman" w:hAnsi="Times New Roman"/>
          <w:i/>
          <w:sz w:val="22"/>
        </w:rPr>
        <w:t>new- </w:t>
      </w:r>
      <w:r>
        <w:rPr>
          <w:rFonts w:ascii="Times New Roman" w:hAnsi="Times New Roman"/>
          <w:i/>
          <w:sz w:val="22"/>
        </w:rPr>
        <w:t>string</w:t>
      </w:r>
      <w:r>
        <w:rPr>
          <w:sz w:val="22"/>
        </w:rPr>
        <w:t>.</w:t>
      </w:r>
    </w:p>
    <w:p>
      <w:pPr>
        <w:spacing w:line="453" w:lineRule="auto" w:before="198"/>
        <w:ind w:left="220" w:right="6022" w:firstLine="0"/>
        <w:jc w:val="left"/>
        <w:rPr>
          <w:sz w:val="22"/>
        </w:rPr>
      </w:pPr>
      <w:r>
        <w:rPr>
          <w:sz w:val="22"/>
        </w:rPr>
        <w:t>However, if </w:t>
      </w:r>
      <w:r>
        <w:rPr>
          <w:rFonts w:ascii="Times New Roman" w:hAnsi="Times New Roman"/>
          <w:i/>
          <w:sz w:val="22"/>
        </w:rPr>
        <w:t>occurrence </w:t>
      </w:r>
      <w:r>
        <w:rPr>
          <w:sz w:val="22"/>
        </w:rPr>
        <w:t>≤ 0, </w:t>
      </w:r>
      <w:r>
        <w:rPr>
          <w:rFonts w:ascii="Consolas" w:hAnsi="Consolas"/>
          <w:sz w:val="22"/>
        </w:rPr>
        <w:t>#VALUE!</w:t>
      </w:r>
      <w:r>
        <w:rPr>
          <w:rFonts w:ascii="Consolas" w:hAnsi="Consolas"/>
          <w:spacing w:val="-82"/>
          <w:sz w:val="22"/>
        </w:rPr>
        <w:t> </w:t>
      </w:r>
      <w:r>
        <w:rPr>
          <w:sz w:val="22"/>
        </w:rPr>
        <w:t>is returned. [</w:t>
      </w:r>
      <w:r>
        <w:rPr>
          <w:i/>
          <w:sz w:val="22"/>
        </w:rPr>
        <w:t>Example</w:t>
      </w:r>
      <w:r>
        <w:rPr>
          <w:sz w:val="22"/>
        </w:rPr>
        <w:t>:</w:t>
      </w:r>
    </w:p>
    <w:p>
      <w:pPr>
        <w:pStyle w:val="BodyText"/>
        <w:spacing w:line="276" w:lineRule="auto" w:before="108"/>
        <w:ind w:left="220" w:right="503"/>
        <w:rPr>
          <w:rFonts w:ascii="Consolas"/>
        </w:rPr>
      </w:pPr>
      <w:r>
        <w:rPr>
          <w:rFonts w:ascii="Consolas"/>
        </w:rPr>
        <w:t>SUBSTITUTE("abcaaabca","a","xx")</w:t>
      </w:r>
      <w:r>
        <w:rPr>
          <w:rFonts w:ascii="Consolas"/>
          <w:spacing w:val="-95"/>
        </w:rPr>
        <w:t> </w:t>
      </w:r>
      <w:r>
        <w:rPr/>
        <w:t>results in </w:t>
      </w:r>
      <w:r>
        <w:rPr>
          <w:rFonts w:ascii="Consolas"/>
        </w:rPr>
        <w:t>xxbcxxxxxxbcxx SUBSTITUTE("abcaaabca","a","",10)</w:t>
      </w:r>
      <w:r>
        <w:rPr>
          <w:rFonts w:ascii="Consolas"/>
          <w:spacing w:val="-69"/>
        </w:rPr>
        <w:t> </w:t>
      </w:r>
      <w:r>
        <w:rPr/>
        <w:t>results in </w:t>
      </w:r>
      <w:r>
        <w:rPr>
          <w:rFonts w:ascii="Consolas"/>
        </w:rPr>
        <w:t>bcbc</w:t>
      </w:r>
    </w:p>
    <w:p>
      <w:pPr>
        <w:spacing w:after="0" w:line="276" w:lineRule="auto"/>
        <w:rPr>
          <w:rFonts w:ascii="Consolas"/>
        </w:rPr>
        <w:sectPr>
          <w:pgSz w:w="12240" w:h="15840"/>
          <w:pgMar w:header="763" w:footer="746" w:top="1340" w:bottom="940" w:left="860" w:right="700"/>
        </w:sectPr>
      </w:pPr>
    </w:p>
    <w:p>
      <w:pPr>
        <w:pStyle w:val="BodyText"/>
        <w:spacing w:before="90"/>
        <w:ind w:left="220"/>
        <w:rPr>
          <w:rFonts w:ascii="Consolas"/>
        </w:rPr>
      </w:pPr>
      <w:r>
        <w:rPr>
          <w:rFonts w:ascii="Consolas"/>
        </w:rPr>
        <w:t>SUBSTITUTE("abcaaabca","a","xx",3)</w:t>
      </w:r>
      <w:r>
        <w:rPr>
          <w:rFonts w:ascii="Consolas"/>
          <w:spacing w:val="-70"/>
        </w:rPr>
        <w:t> </w:t>
      </w:r>
      <w:r>
        <w:rPr/>
        <w:t>results in </w:t>
      </w:r>
      <w:r>
        <w:rPr>
          <w:rFonts w:ascii="Consolas"/>
        </w:rPr>
        <w:t>abcaxxabca</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5 SUBTOTAL" w:id="2307"/>
      <w:bookmarkEnd w:id="2307"/>
      <w:r>
        <w:rPr/>
      </w:r>
      <w:bookmarkStart w:name="_bookmark768" w:id="2308"/>
      <w:bookmarkEnd w:id="2308"/>
      <w:r>
        <w:rPr/>
      </w:r>
      <w:bookmarkStart w:name="_bookmark768" w:id="2309"/>
      <w:bookmarkEnd w:id="2309"/>
      <w:r>
        <w:rPr>
          <w:color w:val="4F81BC"/>
        </w:rPr>
        <w:t>SUBT</w:t>
      </w:r>
      <w:r>
        <w:rPr>
          <w:color w:val="4F81BC"/>
        </w:rPr>
        <w:t>OTAL</w:t>
      </w:r>
    </w:p>
    <w:p>
      <w:pPr>
        <w:pStyle w:val="Heading4"/>
        <w:spacing w:before="124"/>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SUBTOTAL ( </w:t>
      </w:r>
      <w:r>
        <w:rPr>
          <w:i/>
          <w:sz w:val="22"/>
        </w:rPr>
        <w:t>function-number </w:t>
      </w:r>
      <w:r>
        <w:rPr>
          <w:rFonts w:ascii="Lucida Console"/>
          <w:sz w:val="20"/>
        </w:rPr>
        <w:t>, </w:t>
      </w:r>
      <w:r>
        <w:rPr>
          <w:i/>
          <w:sz w:val="22"/>
        </w:rPr>
        <w:t>argument-list </w:t>
      </w:r>
      <w:r>
        <w:rPr>
          <w:rFonts w:ascii="Lucida Console"/>
          <w:sz w:val="20"/>
        </w:rPr>
        <w:t>)</w:t>
      </w:r>
    </w:p>
    <w:p>
      <w:pPr>
        <w:spacing w:before="105"/>
        <w:ind w:left="220" w:right="0" w:firstLine="0"/>
        <w:jc w:val="left"/>
        <w:rPr>
          <w:sz w:val="22"/>
        </w:rPr>
      </w:pPr>
      <w:r>
        <w:rPr>
          <w:b/>
          <w:sz w:val="22"/>
        </w:rPr>
        <w:t>Description: </w:t>
      </w:r>
      <w:r>
        <w:rPr>
          <w:sz w:val="22"/>
        </w:rPr>
        <w:t>Computes a value using the function designated by </w:t>
      </w:r>
      <w:r>
        <w:rPr>
          <w:rFonts w:ascii="Times New Roman"/>
          <w:i/>
          <w:sz w:val="22"/>
        </w:rPr>
        <w:t>function-number</w:t>
      </w:r>
      <w:r>
        <w:rPr>
          <w:sz w:val="22"/>
        </w:rPr>
        <w:t>, using the </w:t>
      </w:r>
      <w:r>
        <w:rPr>
          <w:rFonts w:ascii="Times New Roman"/>
          <w:i/>
          <w:sz w:val="22"/>
        </w:rPr>
        <w:t>argument</w:t>
      </w:r>
      <w:r>
        <w:rPr>
          <w:sz w:val="22"/>
        </w:rPr>
        <w:t>s in</w:t>
      </w:r>
    </w:p>
    <w:p>
      <w:pPr>
        <w:spacing w:before="42"/>
        <w:ind w:left="220" w:right="0" w:firstLine="0"/>
        <w:jc w:val="left"/>
        <w:rPr>
          <w:sz w:val="22"/>
        </w:rPr>
      </w:pPr>
      <w:r>
        <w:rPr>
          <w:rFonts w:ascii="Times New Roman"/>
          <w:i/>
          <w:sz w:val="22"/>
        </w:rPr>
        <w:t>argument-list</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spacing w:before="43"/>
              <w:ind w:left="96" w:right="87"/>
              <w:jc w:val="center"/>
              <w:rPr>
                <w:b/>
                <w:sz w:val="22"/>
              </w:rPr>
            </w:pPr>
            <w:r>
              <w:rPr>
                <w:b/>
                <w:sz w:val="22"/>
              </w:rPr>
              <w:t>Name</w:t>
            </w:r>
          </w:p>
        </w:tc>
        <w:tc>
          <w:tcPr>
            <w:tcW w:w="1800" w:type="dxa"/>
            <w:shd w:val="clear" w:color="auto" w:fill="C0C0C0"/>
          </w:tcPr>
          <w:p>
            <w:pPr>
              <w:pStyle w:val="TableParagraph"/>
              <w:spacing w:before="43"/>
              <w:ind w:left="94" w:right="86"/>
              <w:jc w:val="center"/>
              <w:rPr>
                <w:b/>
                <w:sz w:val="22"/>
              </w:rPr>
            </w:pPr>
            <w:r>
              <w:rPr>
                <w:b/>
                <w:sz w:val="22"/>
              </w:rPr>
              <w:t>Type</w:t>
            </w:r>
          </w:p>
        </w:tc>
        <w:tc>
          <w:tcPr>
            <w:tcW w:w="5400" w:type="dxa"/>
            <w:shd w:val="clear" w:color="auto" w:fill="C0C0C0"/>
          </w:tcPr>
          <w:p>
            <w:pPr>
              <w:pStyle w:val="TableParagraph"/>
              <w:spacing w:before="43"/>
              <w:ind w:left="93" w:right="86"/>
              <w:jc w:val="center"/>
              <w:rPr>
                <w:b/>
                <w:sz w:val="22"/>
              </w:rPr>
            </w:pPr>
            <w:r>
              <w:rPr>
                <w:b/>
                <w:sz w:val="22"/>
              </w:rPr>
              <w:t>Description</w:t>
            </w:r>
          </w:p>
        </w:tc>
      </w:tr>
      <w:tr>
        <w:trPr>
          <w:trHeight w:val="623" w:hRule="atLeast"/>
        </w:trPr>
        <w:tc>
          <w:tcPr>
            <w:tcW w:w="1466" w:type="dxa"/>
          </w:tcPr>
          <w:p>
            <w:pPr>
              <w:pStyle w:val="TableParagraph"/>
              <w:spacing w:before="37"/>
              <w:ind w:right="526"/>
              <w:rPr>
                <w:rFonts w:ascii="Times New Roman"/>
                <w:i/>
                <w:sz w:val="22"/>
              </w:rPr>
            </w:pPr>
            <w:r>
              <w:rPr>
                <w:rFonts w:ascii="Times New Roman"/>
                <w:i/>
                <w:sz w:val="22"/>
              </w:rPr>
              <w:t>function- </w:t>
            </w: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213"/>
              <w:rPr>
                <w:sz w:val="22"/>
              </w:rPr>
            </w:pPr>
            <w:r>
              <w:rPr>
                <w:sz w:val="22"/>
              </w:rPr>
              <w:t>Indicates the function to be called, as shown in the table below.</w:t>
            </w:r>
          </w:p>
        </w:tc>
      </w:tr>
      <w:tr>
        <w:trPr>
          <w:trHeight w:val="892"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Pr>
                <w:sz w:val="22"/>
              </w:rPr>
            </w:pPr>
            <w:r>
              <w:rPr>
                <w:sz w:val="22"/>
              </w:rPr>
              <w:t>number</w:t>
            </w:r>
          </w:p>
        </w:tc>
        <w:tc>
          <w:tcPr>
            <w:tcW w:w="5400" w:type="dxa"/>
          </w:tcPr>
          <w:p>
            <w:pPr>
              <w:pStyle w:val="TableParagraph"/>
              <w:ind w:left="113" w:right="468"/>
              <w:jc w:val="both"/>
              <w:rPr>
                <w:sz w:val="22"/>
              </w:rPr>
            </w:pPr>
            <w:r>
              <w:rPr>
                <w:sz w:val="22"/>
              </w:rPr>
              <w:t>Each </w:t>
            </w:r>
            <w:r>
              <w:rPr>
                <w:rFonts w:ascii="Times New Roman"/>
                <w:i/>
                <w:sz w:val="22"/>
              </w:rPr>
              <w:t>argument </w:t>
            </w:r>
            <w:r>
              <w:rPr>
                <w:sz w:val="22"/>
              </w:rPr>
              <w:t>in </w:t>
            </w:r>
            <w:r>
              <w:rPr>
                <w:rFonts w:ascii="Times New Roman"/>
                <w:i/>
                <w:sz w:val="22"/>
              </w:rPr>
              <w:t>argument-list </w:t>
            </w:r>
            <w:r>
              <w:rPr>
                <w:sz w:val="22"/>
              </w:rPr>
              <w:t>is passed to the called function, in the order specified. That shall be no more than 254 </w:t>
            </w:r>
            <w:r>
              <w:rPr>
                <w:rFonts w:ascii="Times New Roman"/>
                <w:i/>
                <w:sz w:val="22"/>
              </w:rPr>
              <w:t>argument</w:t>
            </w:r>
            <w:r>
              <w:rPr>
                <w:sz w:val="22"/>
              </w:rPr>
              <w:t>s.</w:t>
            </w:r>
          </w:p>
        </w:tc>
      </w:tr>
    </w:tbl>
    <w:p>
      <w:pPr>
        <w:pStyle w:val="BodyText"/>
        <w:rPr>
          <w:b/>
          <w:sz w:val="20"/>
        </w:rPr>
      </w:pPr>
    </w:p>
    <w:p>
      <w:pPr>
        <w:pStyle w:val="BodyText"/>
        <w:spacing w:before="8"/>
        <w:rPr>
          <w:b/>
          <w:sz w:val="21"/>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9"/>
        <w:gridCol w:w="2612"/>
        <w:gridCol w:w="1620"/>
      </w:tblGrid>
      <w:tr>
        <w:trPr>
          <w:trHeight w:val="606" w:hRule="atLeast"/>
        </w:trPr>
        <w:tc>
          <w:tcPr>
            <w:tcW w:w="2629" w:type="dxa"/>
            <w:shd w:val="clear" w:color="auto" w:fill="C0C0C0"/>
          </w:tcPr>
          <w:p>
            <w:pPr>
              <w:pStyle w:val="TableParagraph"/>
              <w:spacing w:line="252" w:lineRule="exact" w:before="41"/>
              <w:ind w:left="188" w:right="179"/>
              <w:jc w:val="center"/>
              <w:rPr>
                <w:rFonts w:ascii="Times New Roman"/>
                <w:b/>
                <w:i/>
                <w:sz w:val="22"/>
              </w:rPr>
            </w:pPr>
            <w:r>
              <w:rPr>
                <w:rFonts w:ascii="Times New Roman"/>
                <w:b/>
                <w:i/>
                <w:sz w:val="22"/>
              </w:rPr>
              <w:t>function-number</w:t>
            </w:r>
          </w:p>
          <w:p>
            <w:pPr>
              <w:pStyle w:val="TableParagraph"/>
              <w:spacing w:line="267" w:lineRule="exact" w:before="0"/>
              <w:ind w:left="188" w:right="180"/>
              <w:jc w:val="center"/>
              <w:rPr>
                <w:b/>
                <w:sz w:val="22"/>
              </w:rPr>
            </w:pPr>
            <w:r>
              <w:rPr>
                <w:b/>
                <w:sz w:val="22"/>
              </w:rPr>
              <w:t>(includes hidden values)</w:t>
            </w:r>
          </w:p>
        </w:tc>
        <w:tc>
          <w:tcPr>
            <w:tcW w:w="2612" w:type="dxa"/>
            <w:shd w:val="clear" w:color="auto" w:fill="C0C0C0"/>
          </w:tcPr>
          <w:p>
            <w:pPr>
              <w:pStyle w:val="TableParagraph"/>
              <w:spacing w:line="252" w:lineRule="exact" w:before="41"/>
              <w:ind w:left="158" w:right="152"/>
              <w:jc w:val="center"/>
              <w:rPr>
                <w:rFonts w:ascii="Times New Roman"/>
                <w:b/>
                <w:i/>
                <w:sz w:val="22"/>
              </w:rPr>
            </w:pPr>
            <w:r>
              <w:rPr>
                <w:rFonts w:ascii="Times New Roman"/>
                <w:b/>
                <w:i/>
                <w:sz w:val="22"/>
              </w:rPr>
              <w:t>function-number</w:t>
            </w:r>
          </w:p>
          <w:p>
            <w:pPr>
              <w:pStyle w:val="TableParagraph"/>
              <w:spacing w:line="267" w:lineRule="exact" w:before="0"/>
              <w:ind w:left="158" w:right="153"/>
              <w:jc w:val="center"/>
              <w:rPr>
                <w:b/>
                <w:sz w:val="22"/>
              </w:rPr>
            </w:pPr>
            <w:r>
              <w:rPr>
                <w:b/>
                <w:sz w:val="22"/>
              </w:rPr>
              <w:t>(excludes hidden values)</w:t>
            </w:r>
          </w:p>
        </w:tc>
        <w:tc>
          <w:tcPr>
            <w:tcW w:w="1620" w:type="dxa"/>
            <w:shd w:val="clear" w:color="auto" w:fill="C0C0C0"/>
          </w:tcPr>
          <w:p>
            <w:pPr>
              <w:pStyle w:val="TableParagraph"/>
              <w:ind w:left="406"/>
              <w:rPr>
                <w:b/>
                <w:sz w:val="22"/>
              </w:rPr>
            </w:pPr>
            <w:r>
              <w:rPr>
                <w:b/>
                <w:sz w:val="22"/>
              </w:rPr>
              <w:t>Function</w:t>
            </w:r>
          </w:p>
        </w:tc>
      </w:tr>
      <w:tr>
        <w:trPr>
          <w:trHeight w:val="354" w:hRule="atLeast"/>
        </w:trPr>
        <w:tc>
          <w:tcPr>
            <w:tcW w:w="2629" w:type="dxa"/>
          </w:tcPr>
          <w:p>
            <w:pPr>
              <w:pStyle w:val="TableParagraph"/>
              <w:rPr>
                <w:sz w:val="22"/>
              </w:rPr>
            </w:pPr>
            <w:r>
              <w:rPr>
                <w:w w:val="100"/>
                <w:sz w:val="22"/>
              </w:rPr>
              <w:t>1</w:t>
            </w:r>
          </w:p>
        </w:tc>
        <w:tc>
          <w:tcPr>
            <w:tcW w:w="2612" w:type="dxa"/>
          </w:tcPr>
          <w:p>
            <w:pPr>
              <w:pStyle w:val="TableParagraph"/>
              <w:ind w:left="114"/>
              <w:rPr>
                <w:sz w:val="22"/>
              </w:rPr>
            </w:pPr>
            <w:r>
              <w:rPr>
                <w:sz w:val="22"/>
              </w:rPr>
              <w:t>101</w:t>
            </w:r>
          </w:p>
        </w:tc>
        <w:tc>
          <w:tcPr>
            <w:tcW w:w="1620" w:type="dxa"/>
          </w:tcPr>
          <w:p>
            <w:pPr>
              <w:pStyle w:val="TableParagraph"/>
              <w:spacing w:before="42"/>
              <w:ind w:left="111"/>
              <w:rPr>
                <w:rFonts w:ascii="Consolas"/>
                <w:sz w:val="22"/>
              </w:rPr>
            </w:pPr>
            <w:r>
              <w:rPr>
                <w:rFonts w:ascii="Consolas"/>
                <w:sz w:val="22"/>
              </w:rPr>
              <w:t>AVERAGE</w:t>
            </w:r>
          </w:p>
        </w:tc>
      </w:tr>
      <w:tr>
        <w:trPr>
          <w:trHeight w:val="355" w:hRule="atLeast"/>
        </w:trPr>
        <w:tc>
          <w:tcPr>
            <w:tcW w:w="2629" w:type="dxa"/>
          </w:tcPr>
          <w:p>
            <w:pPr>
              <w:pStyle w:val="TableParagraph"/>
              <w:rPr>
                <w:sz w:val="22"/>
              </w:rPr>
            </w:pPr>
            <w:r>
              <w:rPr>
                <w:w w:val="100"/>
                <w:sz w:val="22"/>
              </w:rPr>
              <w:t>2</w:t>
            </w:r>
          </w:p>
        </w:tc>
        <w:tc>
          <w:tcPr>
            <w:tcW w:w="2612" w:type="dxa"/>
          </w:tcPr>
          <w:p>
            <w:pPr>
              <w:pStyle w:val="TableParagraph"/>
              <w:ind w:left="114"/>
              <w:rPr>
                <w:sz w:val="22"/>
              </w:rPr>
            </w:pPr>
            <w:r>
              <w:rPr>
                <w:sz w:val="22"/>
              </w:rPr>
              <w:t>102</w:t>
            </w:r>
          </w:p>
        </w:tc>
        <w:tc>
          <w:tcPr>
            <w:tcW w:w="1620" w:type="dxa"/>
          </w:tcPr>
          <w:p>
            <w:pPr>
              <w:pStyle w:val="TableParagraph"/>
              <w:spacing w:before="42"/>
              <w:ind w:left="111"/>
              <w:rPr>
                <w:rFonts w:ascii="Consolas"/>
                <w:sz w:val="22"/>
              </w:rPr>
            </w:pPr>
            <w:r>
              <w:rPr>
                <w:rFonts w:ascii="Consolas"/>
                <w:sz w:val="22"/>
              </w:rPr>
              <w:t>COUNT</w:t>
            </w:r>
          </w:p>
        </w:tc>
      </w:tr>
      <w:tr>
        <w:trPr>
          <w:trHeight w:val="354" w:hRule="atLeast"/>
        </w:trPr>
        <w:tc>
          <w:tcPr>
            <w:tcW w:w="2629" w:type="dxa"/>
          </w:tcPr>
          <w:p>
            <w:pPr>
              <w:pStyle w:val="TableParagraph"/>
              <w:rPr>
                <w:sz w:val="22"/>
              </w:rPr>
            </w:pPr>
            <w:r>
              <w:rPr>
                <w:w w:val="100"/>
                <w:sz w:val="22"/>
              </w:rPr>
              <w:t>3</w:t>
            </w:r>
          </w:p>
        </w:tc>
        <w:tc>
          <w:tcPr>
            <w:tcW w:w="2612" w:type="dxa"/>
          </w:tcPr>
          <w:p>
            <w:pPr>
              <w:pStyle w:val="TableParagraph"/>
              <w:ind w:left="114"/>
              <w:rPr>
                <w:sz w:val="22"/>
              </w:rPr>
            </w:pPr>
            <w:r>
              <w:rPr>
                <w:sz w:val="22"/>
              </w:rPr>
              <w:t>103</w:t>
            </w:r>
          </w:p>
        </w:tc>
        <w:tc>
          <w:tcPr>
            <w:tcW w:w="1620" w:type="dxa"/>
          </w:tcPr>
          <w:p>
            <w:pPr>
              <w:pStyle w:val="TableParagraph"/>
              <w:spacing w:before="42"/>
              <w:ind w:left="111"/>
              <w:rPr>
                <w:rFonts w:ascii="Consolas"/>
                <w:sz w:val="22"/>
              </w:rPr>
            </w:pPr>
            <w:r>
              <w:rPr>
                <w:rFonts w:ascii="Consolas"/>
                <w:sz w:val="22"/>
              </w:rPr>
              <w:t>COUNTA</w:t>
            </w:r>
          </w:p>
        </w:tc>
      </w:tr>
      <w:tr>
        <w:trPr>
          <w:trHeight w:val="354" w:hRule="atLeast"/>
        </w:trPr>
        <w:tc>
          <w:tcPr>
            <w:tcW w:w="2629" w:type="dxa"/>
          </w:tcPr>
          <w:p>
            <w:pPr>
              <w:pStyle w:val="TableParagraph"/>
              <w:rPr>
                <w:sz w:val="22"/>
              </w:rPr>
            </w:pPr>
            <w:r>
              <w:rPr>
                <w:w w:val="100"/>
                <w:sz w:val="22"/>
              </w:rPr>
              <w:t>4</w:t>
            </w:r>
          </w:p>
        </w:tc>
        <w:tc>
          <w:tcPr>
            <w:tcW w:w="2612" w:type="dxa"/>
          </w:tcPr>
          <w:p>
            <w:pPr>
              <w:pStyle w:val="TableParagraph"/>
              <w:ind w:left="114"/>
              <w:rPr>
                <w:sz w:val="22"/>
              </w:rPr>
            </w:pPr>
            <w:r>
              <w:rPr>
                <w:sz w:val="22"/>
              </w:rPr>
              <w:t>104</w:t>
            </w:r>
          </w:p>
        </w:tc>
        <w:tc>
          <w:tcPr>
            <w:tcW w:w="1620" w:type="dxa"/>
          </w:tcPr>
          <w:p>
            <w:pPr>
              <w:pStyle w:val="TableParagraph"/>
              <w:spacing w:before="42"/>
              <w:ind w:left="111"/>
              <w:rPr>
                <w:rFonts w:ascii="Consolas"/>
                <w:sz w:val="22"/>
              </w:rPr>
            </w:pPr>
            <w:r>
              <w:rPr>
                <w:rFonts w:ascii="Consolas"/>
                <w:sz w:val="22"/>
              </w:rPr>
              <w:t>MAX</w:t>
            </w:r>
          </w:p>
        </w:tc>
      </w:tr>
      <w:tr>
        <w:trPr>
          <w:trHeight w:val="354" w:hRule="atLeast"/>
        </w:trPr>
        <w:tc>
          <w:tcPr>
            <w:tcW w:w="2629" w:type="dxa"/>
          </w:tcPr>
          <w:p>
            <w:pPr>
              <w:pStyle w:val="TableParagraph"/>
              <w:rPr>
                <w:sz w:val="22"/>
              </w:rPr>
            </w:pPr>
            <w:r>
              <w:rPr>
                <w:w w:val="100"/>
                <w:sz w:val="22"/>
              </w:rPr>
              <w:t>5</w:t>
            </w:r>
          </w:p>
        </w:tc>
        <w:tc>
          <w:tcPr>
            <w:tcW w:w="2612" w:type="dxa"/>
          </w:tcPr>
          <w:p>
            <w:pPr>
              <w:pStyle w:val="TableParagraph"/>
              <w:ind w:left="114"/>
              <w:rPr>
                <w:sz w:val="22"/>
              </w:rPr>
            </w:pPr>
            <w:r>
              <w:rPr>
                <w:sz w:val="22"/>
              </w:rPr>
              <w:t>105</w:t>
            </w:r>
          </w:p>
        </w:tc>
        <w:tc>
          <w:tcPr>
            <w:tcW w:w="1620" w:type="dxa"/>
          </w:tcPr>
          <w:p>
            <w:pPr>
              <w:pStyle w:val="TableParagraph"/>
              <w:spacing w:before="42"/>
              <w:ind w:left="111"/>
              <w:rPr>
                <w:rFonts w:ascii="Consolas"/>
                <w:sz w:val="22"/>
              </w:rPr>
            </w:pPr>
            <w:r>
              <w:rPr>
                <w:rFonts w:ascii="Consolas"/>
                <w:sz w:val="22"/>
              </w:rPr>
              <w:t>MIN</w:t>
            </w:r>
          </w:p>
        </w:tc>
      </w:tr>
      <w:tr>
        <w:trPr>
          <w:trHeight w:val="354" w:hRule="atLeast"/>
        </w:trPr>
        <w:tc>
          <w:tcPr>
            <w:tcW w:w="2629" w:type="dxa"/>
          </w:tcPr>
          <w:p>
            <w:pPr>
              <w:pStyle w:val="TableParagraph"/>
              <w:rPr>
                <w:sz w:val="22"/>
              </w:rPr>
            </w:pPr>
            <w:r>
              <w:rPr>
                <w:w w:val="100"/>
                <w:sz w:val="22"/>
              </w:rPr>
              <w:t>6</w:t>
            </w:r>
          </w:p>
        </w:tc>
        <w:tc>
          <w:tcPr>
            <w:tcW w:w="2612" w:type="dxa"/>
          </w:tcPr>
          <w:p>
            <w:pPr>
              <w:pStyle w:val="TableParagraph"/>
              <w:ind w:left="114"/>
              <w:rPr>
                <w:sz w:val="22"/>
              </w:rPr>
            </w:pPr>
            <w:r>
              <w:rPr>
                <w:sz w:val="22"/>
              </w:rPr>
              <w:t>106</w:t>
            </w:r>
          </w:p>
        </w:tc>
        <w:tc>
          <w:tcPr>
            <w:tcW w:w="1620" w:type="dxa"/>
          </w:tcPr>
          <w:p>
            <w:pPr>
              <w:pStyle w:val="TableParagraph"/>
              <w:spacing w:before="42"/>
              <w:ind w:left="111"/>
              <w:rPr>
                <w:rFonts w:ascii="Consolas"/>
                <w:sz w:val="22"/>
              </w:rPr>
            </w:pPr>
            <w:r>
              <w:rPr>
                <w:rFonts w:ascii="Consolas"/>
                <w:sz w:val="22"/>
              </w:rPr>
              <w:t>PRODUCT</w:t>
            </w:r>
          </w:p>
        </w:tc>
      </w:tr>
      <w:tr>
        <w:trPr>
          <w:trHeight w:val="354" w:hRule="atLeast"/>
        </w:trPr>
        <w:tc>
          <w:tcPr>
            <w:tcW w:w="2629" w:type="dxa"/>
          </w:tcPr>
          <w:p>
            <w:pPr>
              <w:pStyle w:val="TableParagraph"/>
              <w:rPr>
                <w:sz w:val="22"/>
              </w:rPr>
            </w:pPr>
            <w:r>
              <w:rPr>
                <w:w w:val="100"/>
                <w:sz w:val="22"/>
              </w:rPr>
              <w:t>7</w:t>
            </w:r>
          </w:p>
        </w:tc>
        <w:tc>
          <w:tcPr>
            <w:tcW w:w="2612" w:type="dxa"/>
          </w:tcPr>
          <w:p>
            <w:pPr>
              <w:pStyle w:val="TableParagraph"/>
              <w:ind w:left="114"/>
              <w:rPr>
                <w:sz w:val="22"/>
              </w:rPr>
            </w:pPr>
            <w:r>
              <w:rPr>
                <w:sz w:val="22"/>
              </w:rPr>
              <w:t>107</w:t>
            </w:r>
          </w:p>
        </w:tc>
        <w:tc>
          <w:tcPr>
            <w:tcW w:w="1620" w:type="dxa"/>
          </w:tcPr>
          <w:p>
            <w:pPr>
              <w:pStyle w:val="TableParagraph"/>
              <w:spacing w:before="42"/>
              <w:ind w:left="111"/>
              <w:rPr>
                <w:rFonts w:ascii="Consolas"/>
                <w:sz w:val="22"/>
              </w:rPr>
            </w:pPr>
            <w:r>
              <w:rPr>
                <w:rFonts w:ascii="Consolas"/>
                <w:sz w:val="22"/>
              </w:rPr>
              <w:t>STDEV</w:t>
            </w:r>
          </w:p>
        </w:tc>
      </w:tr>
      <w:tr>
        <w:trPr>
          <w:trHeight w:val="352" w:hRule="atLeast"/>
        </w:trPr>
        <w:tc>
          <w:tcPr>
            <w:tcW w:w="2629" w:type="dxa"/>
          </w:tcPr>
          <w:p>
            <w:pPr>
              <w:pStyle w:val="TableParagraph"/>
              <w:rPr>
                <w:sz w:val="22"/>
              </w:rPr>
            </w:pPr>
            <w:r>
              <w:rPr>
                <w:w w:val="100"/>
                <w:sz w:val="22"/>
              </w:rPr>
              <w:t>8</w:t>
            </w:r>
          </w:p>
        </w:tc>
        <w:tc>
          <w:tcPr>
            <w:tcW w:w="2612" w:type="dxa"/>
          </w:tcPr>
          <w:p>
            <w:pPr>
              <w:pStyle w:val="TableParagraph"/>
              <w:ind w:left="114"/>
              <w:rPr>
                <w:sz w:val="22"/>
              </w:rPr>
            </w:pPr>
            <w:r>
              <w:rPr>
                <w:sz w:val="22"/>
              </w:rPr>
              <w:t>108</w:t>
            </w:r>
          </w:p>
        </w:tc>
        <w:tc>
          <w:tcPr>
            <w:tcW w:w="1620" w:type="dxa"/>
          </w:tcPr>
          <w:p>
            <w:pPr>
              <w:pStyle w:val="TableParagraph"/>
              <w:spacing w:before="42"/>
              <w:ind w:left="111"/>
              <w:rPr>
                <w:rFonts w:ascii="Consolas"/>
                <w:sz w:val="22"/>
              </w:rPr>
            </w:pPr>
            <w:r>
              <w:rPr>
                <w:rFonts w:ascii="Consolas"/>
                <w:sz w:val="22"/>
              </w:rPr>
              <w:t>STDEVP</w:t>
            </w:r>
          </w:p>
        </w:tc>
      </w:tr>
      <w:tr>
        <w:trPr>
          <w:trHeight w:val="354" w:hRule="atLeast"/>
        </w:trPr>
        <w:tc>
          <w:tcPr>
            <w:tcW w:w="2629" w:type="dxa"/>
          </w:tcPr>
          <w:p>
            <w:pPr>
              <w:pStyle w:val="TableParagraph"/>
              <w:spacing w:before="42"/>
              <w:rPr>
                <w:sz w:val="22"/>
              </w:rPr>
            </w:pPr>
            <w:r>
              <w:rPr>
                <w:w w:val="100"/>
                <w:sz w:val="22"/>
              </w:rPr>
              <w:t>9</w:t>
            </w:r>
          </w:p>
        </w:tc>
        <w:tc>
          <w:tcPr>
            <w:tcW w:w="2612" w:type="dxa"/>
          </w:tcPr>
          <w:p>
            <w:pPr>
              <w:pStyle w:val="TableParagraph"/>
              <w:spacing w:before="42"/>
              <w:ind w:left="114"/>
              <w:rPr>
                <w:sz w:val="22"/>
              </w:rPr>
            </w:pPr>
            <w:r>
              <w:rPr>
                <w:sz w:val="22"/>
              </w:rPr>
              <w:t>109</w:t>
            </w:r>
          </w:p>
        </w:tc>
        <w:tc>
          <w:tcPr>
            <w:tcW w:w="1620" w:type="dxa"/>
          </w:tcPr>
          <w:p>
            <w:pPr>
              <w:pStyle w:val="TableParagraph"/>
              <w:spacing w:before="44"/>
              <w:ind w:left="111"/>
              <w:rPr>
                <w:rFonts w:ascii="Consolas"/>
                <w:sz w:val="22"/>
              </w:rPr>
            </w:pPr>
            <w:r>
              <w:rPr>
                <w:rFonts w:ascii="Consolas"/>
                <w:sz w:val="22"/>
              </w:rPr>
              <w:t>SUM</w:t>
            </w:r>
          </w:p>
        </w:tc>
      </w:tr>
      <w:tr>
        <w:trPr>
          <w:trHeight w:val="354" w:hRule="atLeast"/>
        </w:trPr>
        <w:tc>
          <w:tcPr>
            <w:tcW w:w="2629" w:type="dxa"/>
          </w:tcPr>
          <w:p>
            <w:pPr>
              <w:pStyle w:val="TableParagraph"/>
              <w:rPr>
                <w:sz w:val="22"/>
              </w:rPr>
            </w:pPr>
            <w:r>
              <w:rPr>
                <w:sz w:val="22"/>
              </w:rPr>
              <w:t>10</w:t>
            </w:r>
          </w:p>
        </w:tc>
        <w:tc>
          <w:tcPr>
            <w:tcW w:w="2612" w:type="dxa"/>
          </w:tcPr>
          <w:p>
            <w:pPr>
              <w:pStyle w:val="TableParagraph"/>
              <w:ind w:left="114"/>
              <w:rPr>
                <w:sz w:val="22"/>
              </w:rPr>
            </w:pPr>
            <w:r>
              <w:rPr>
                <w:sz w:val="22"/>
              </w:rPr>
              <w:t>110</w:t>
            </w:r>
          </w:p>
        </w:tc>
        <w:tc>
          <w:tcPr>
            <w:tcW w:w="1620" w:type="dxa"/>
          </w:tcPr>
          <w:p>
            <w:pPr>
              <w:pStyle w:val="TableParagraph"/>
              <w:spacing w:before="42"/>
              <w:ind w:left="111"/>
              <w:rPr>
                <w:rFonts w:ascii="Consolas"/>
                <w:sz w:val="22"/>
              </w:rPr>
            </w:pPr>
            <w:r>
              <w:rPr>
                <w:rFonts w:ascii="Consolas"/>
                <w:sz w:val="22"/>
              </w:rPr>
              <w:t>VAR</w:t>
            </w:r>
          </w:p>
        </w:tc>
      </w:tr>
      <w:tr>
        <w:trPr>
          <w:trHeight w:val="355" w:hRule="atLeast"/>
        </w:trPr>
        <w:tc>
          <w:tcPr>
            <w:tcW w:w="2629" w:type="dxa"/>
          </w:tcPr>
          <w:p>
            <w:pPr>
              <w:pStyle w:val="TableParagraph"/>
              <w:rPr>
                <w:sz w:val="22"/>
              </w:rPr>
            </w:pPr>
            <w:r>
              <w:rPr>
                <w:sz w:val="22"/>
              </w:rPr>
              <w:t>11</w:t>
            </w:r>
          </w:p>
        </w:tc>
        <w:tc>
          <w:tcPr>
            <w:tcW w:w="2612" w:type="dxa"/>
          </w:tcPr>
          <w:p>
            <w:pPr>
              <w:pStyle w:val="TableParagraph"/>
              <w:ind w:left="114"/>
              <w:rPr>
                <w:sz w:val="22"/>
              </w:rPr>
            </w:pPr>
            <w:r>
              <w:rPr>
                <w:sz w:val="22"/>
              </w:rPr>
              <w:t>111</w:t>
            </w:r>
          </w:p>
        </w:tc>
        <w:tc>
          <w:tcPr>
            <w:tcW w:w="1620" w:type="dxa"/>
          </w:tcPr>
          <w:p>
            <w:pPr>
              <w:pStyle w:val="TableParagraph"/>
              <w:spacing w:before="42"/>
              <w:ind w:left="111"/>
              <w:rPr>
                <w:rFonts w:ascii="Consolas"/>
                <w:sz w:val="22"/>
              </w:rPr>
            </w:pPr>
            <w:r>
              <w:rPr>
                <w:rFonts w:ascii="Consolas"/>
                <w:sz w:val="22"/>
              </w:rPr>
              <w:t>VARP</w:t>
            </w:r>
          </w:p>
        </w:tc>
      </w:tr>
    </w:tbl>
    <w:p>
      <w:pPr>
        <w:pStyle w:val="BodyText"/>
        <w:spacing w:before="8"/>
        <w:rPr>
          <w:b/>
        </w:rPr>
      </w:pPr>
    </w:p>
    <w:p>
      <w:pPr>
        <w:pStyle w:val="BodyText"/>
        <w:spacing w:line="500" w:lineRule="atLeast"/>
        <w:ind w:left="220" w:right="1048"/>
        <w:rPr>
          <w:rFonts w:ascii="Times New Roman" w:hAnsi="Times New Roman"/>
          <w:i/>
        </w:rPr>
      </w:pPr>
      <w:r>
        <w:rPr/>
        <w:t>If any argument contains a </w:t>
      </w:r>
      <w:r>
        <w:rPr>
          <w:rFonts w:ascii="Consolas" w:hAnsi="Consolas"/>
        </w:rPr>
        <w:t>SUBTOTAL</w:t>
      </w:r>
      <w:r>
        <w:rPr>
          <w:rFonts w:ascii="Consolas" w:hAnsi="Consolas"/>
          <w:spacing w:val="-96"/>
        </w:rPr>
        <w:t> </w:t>
      </w:r>
      <w:r>
        <w:rPr/>
        <w:t>function call, that call shall be ignored to avoid double counting. For the </w:t>
      </w:r>
      <w:r>
        <w:rPr>
          <w:rFonts w:ascii="Times New Roman" w:hAnsi="Times New Roman"/>
          <w:i/>
        </w:rPr>
        <w:t>function-number </w:t>
      </w:r>
      <w:r>
        <w:rPr/>
        <w:t>values 1–11, the values of hidden rows are included. For the </w:t>
      </w:r>
      <w:r>
        <w:rPr>
          <w:rFonts w:ascii="Times New Roman" w:hAnsi="Times New Roman"/>
          <w:i/>
        </w:rPr>
        <w:t>function-number</w:t>
      </w:r>
    </w:p>
    <w:p>
      <w:pPr>
        <w:pStyle w:val="BodyText"/>
        <w:spacing w:before="50"/>
        <w:ind w:left="220"/>
      </w:pPr>
      <w:r>
        <w:rPr/>
        <w:t>values 101–111, the values of hidden rows are excluded.</w:t>
      </w:r>
    </w:p>
    <w:p>
      <w:pPr>
        <w:spacing w:after="0"/>
        <w:sectPr>
          <w:pgSz w:w="12240" w:h="15840"/>
          <w:pgMar w:header="761" w:footer="746" w:top="1340" w:bottom="940" w:left="860" w:right="700"/>
        </w:sectPr>
      </w:pPr>
    </w:p>
    <w:p>
      <w:pPr>
        <w:pStyle w:val="BodyText"/>
        <w:spacing w:before="148"/>
        <w:ind w:left="220"/>
      </w:pPr>
      <w:r>
        <w:rPr/>
        <w:t>The </w:t>
      </w:r>
      <w:r>
        <w:rPr>
          <w:rFonts w:ascii="Consolas"/>
        </w:rPr>
        <w:t>SUBTOTAL</w:t>
      </w:r>
      <w:r>
        <w:rPr>
          <w:rFonts w:ascii="Consolas"/>
          <w:spacing w:val="-93"/>
        </w:rPr>
        <w:t> </w:t>
      </w:r>
      <w:r>
        <w:rPr/>
        <w:t>function shall ignore any rows that are not included in the result of a filter, regardless of which</w:t>
      </w:r>
    </w:p>
    <w:p>
      <w:pPr>
        <w:spacing w:before="44"/>
        <w:ind w:left="220" w:right="0" w:firstLine="0"/>
        <w:jc w:val="left"/>
        <w:rPr>
          <w:sz w:val="22"/>
        </w:rPr>
      </w:pPr>
      <w:r>
        <w:rPr>
          <w:rFonts w:ascii="Times New Roman"/>
          <w:i/>
          <w:sz w:val="22"/>
        </w:rPr>
        <w:t>function-number </w:t>
      </w:r>
      <w:r>
        <w:rPr>
          <w:sz w:val="22"/>
        </w:rPr>
        <w:t>value is used.</w:t>
      </w:r>
    </w:p>
    <w:p>
      <w:pPr>
        <w:pStyle w:val="BodyText"/>
        <w:spacing w:before="5"/>
        <w:rPr>
          <w:sz w:val="19"/>
        </w:rPr>
      </w:pPr>
    </w:p>
    <w:p>
      <w:pPr>
        <w:pStyle w:val="BodyText"/>
        <w:spacing w:line="276" w:lineRule="auto" w:before="1"/>
        <w:ind w:left="220" w:right="387"/>
      </w:pPr>
      <w:r>
        <w:rPr/>
        <w:t>The </w:t>
      </w:r>
      <w:r>
        <w:rPr>
          <w:rFonts w:ascii="Consolas"/>
        </w:rPr>
        <w:t>SUBTOTAL</w:t>
      </w:r>
      <w:r>
        <w:rPr>
          <w:rFonts w:ascii="Consolas"/>
          <w:spacing w:val="-100"/>
        </w:rPr>
        <w:t> </w:t>
      </w:r>
      <w:r>
        <w:rPr/>
        <w:t>function is designed for columns of data, or vertical ranges. It is not designed for rows of data, or horizontal ranges. [</w:t>
      </w:r>
      <w:r>
        <w:rPr>
          <w:i/>
        </w:rPr>
        <w:t>Example</w:t>
      </w:r>
      <w:r>
        <w:rPr/>
        <w:t>: When a horizontal range is subtotaled using a </w:t>
      </w:r>
      <w:r>
        <w:rPr>
          <w:rFonts w:ascii="Times New Roman"/>
          <w:i/>
        </w:rPr>
        <w:t>function-number </w:t>
      </w:r>
      <w:r>
        <w:rPr/>
        <w:t>of 101 or greater, hiding a column does not affect the subtotal. However, hiding a row in a subtotal of a vertical range does affect the subtotal. </w:t>
      </w:r>
      <w:r>
        <w:rPr>
          <w:i/>
        </w:rPr>
        <w:t>end example</w:t>
      </w:r>
      <w:r>
        <w:rPr/>
        <w:t>]</w:t>
      </w:r>
    </w:p>
    <w:p>
      <w:pPr>
        <w:pStyle w:val="BodyText"/>
        <w:spacing w:before="4"/>
        <w:rPr>
          <w:sz w:val="16"/>
        </w:rPr>
      </w:pPr>
    </w:p>
    <w:p>
      <w:pPr>
        <w:spacing w:before="0"/>
        <w:ind w:left="220" w:right="0" w:firstLine="0"/>
        <w:jc w:val="left"/>
        <w:rPr>
          <w:sz w:val="22"/>
        </w:rPr>
      </w:pPr>
      <w:r>
        <w:rPr>
          <w:b/>
          <w:sz w:val="22"/>
        </w:rPr>
        <w:t>Return Type and Value: </w:t>
      </w:r>
      <w:r>
        <w:rPr>
          <w:sz w:val="22"/>
        </w:rPr>
        <w:t>number – The result from calling the function designated by </w:t>
      </w:r>
      <w:r>
        <w:rPr>
          <w:rFonts w:ascii="Times New Roman" w:hAnsi="Times New Roman"/>
          <w:i/>
          <w:sz w:val="22"/>
        </w:rPr>
        <w:t>function-number</w:t>
      </w:r>
      <w:r>
        <w:rPr>
          <w:sz w:val="22"/>
        </w:rPr>
        <w:t>, using the</w:t>
      </w:r>
    </w:p>
    <w:p>
      <w:pPr>
        <w:spacing w:before="41"/>
        <w:ind w:left="220" w:right="0" w:firstLine="0"/>
        <w:jc w:val="left"/>
        <w:rPr>
          <w:sz w:val="22"/>
        </w:rPr>
      </w:pPr>
      <w:r>
        <w:rPr>
          <w:rFonts w:ascii="Times New Roman"/>
          <w:i/>
          <w:sz w:val="22"/>
        </w:rPr>
        <w:t>argument</w:t>
      </w:r>
      <w:r>
        <w:rPr>
          <w:sz w:val="22"/>
        </w:rPr>
        <w:t>s in </w:t>
      </w:r>
      <w:r>
        <w:rPr>
          <w:rFonts w:ascii="Times New Roman"/>
          <w:i/>
          <w:sz w:val="22"/>
        </w:rPr>
        <w:t>argument-list</w:t>
      </w:r>
      <w:r>
        <w:rPr>
          <w:sz w:val="22"/>
        </w:rPr>
        <w:t>.</w:t>
      </w:r>
    </w:p>
    <w:p>
      <w:pPr>
        <w:pStyle w:val="BodyText"/>
        <w:spacing w:before="8"/>
        <w:rPr>
          <w:sz w:val="19"/>
        </w:rPr>
      </w:pPr>
    </w:p>
    <w:p>
      <w:pPr>
        <w:spacing w:line="453" w:lineRule="auto" w:before="0"/>
        <w:ind w:left="220" w:right="1028" w:firstLine="0"/>
        <w:jc w:val="left"/>
        <w:rPr>
          <w:sz w:val="22"/>
        </w:rPr>
      </w:pPr>
      <w:r>
        <w:rPr>
          <w:sz w:val="22"/>
        </w:rPr>
        <w:t>However, if </w:t>
      </w:r>
      <w:r>
        <w:rPr>
          <w:rFonts w:ascii="Times New Roman"/>
          <w:i/>
          <w:sz w:val="22"/>
        </w:rPr>
        <w:t>function-number </w:t>
      </w:r>
      <w:r>
        <w:rPr>
          <w:sz w:val="22"/>
        </w:rPr>
        <w:t>does not have one of the values specified above, </w:t>
      </w:r>
      <w:r>
        <w:rPr>
          <w:rFonts w:ascii="Consolas"/>
          <w:sz w:val="22"/>
        </w:rPr>
        <w:t>#NUM!</w:t>
      </w:r>
      <w:r>
        <w:rPr>
          <w:rFonts w:ascii="Consolas"/>
          <w:spacing w:val="-104"/>
          <w:sz w:val="22"/>
        </w:rPr>
        <w:t> </w:t>
      </w:r>
      <w:r>
        <w:rPr>
          <w:sz w:val="22"/>
        </w:rPr>
        <w:t>is returned. [</w:t>
      </w:r>
      <w:r>
        <w:rPr>
          <w:i/>
          <w:sz w:val="22"/>
        </w:rPr>
        <w:t>Example</w:t>
      </w:r>
      <w:r>
        <w:rPr>
          <w:sz w:val="22"/>
        </w:rPr>
        <w:t>:</w:t>
      </w:r>
    </w:p>
    <w:p>
      <w:pPr>
        <w:pStyle w:val="BodyText"/>
        <w:spacing w:line="276" w:lineRule="auto" w:before="112"/>
        <w:ind w:left="220"/>
      </w:pPr>
      <w:r>
        <w:rPr>
          <w:rFonts w:ascii="Consolas"/>
        </w:rPr>
        <w:t>SUBTOTAL(2,E5:E15) </w:t>
      </w:r>
      <w:r>
        <w:rPr/>
        <w:t>counts the number of values in the cell range E5:E15, including hidden values </w:t>
      </w:r>
      <w:r>
        <w:rPr>
          <w:rFonts w:ascii="Consolas"/>
        </w:rPr>
        <w:t>SUBTOTAL(4,E5:E15)</w:t>
      </w:r>
      <w:r>
        <w:rPr>
          <w:rFonts w:ascii="Consolas"/>
          <w:spacing w:val="-102"/>
        </w:rPr>
        <w:t> </w:t>
      </w:r>
      <w:r>
        <w:rPr/>
        <w:t>finds the maximum value of the values in the cell range E5: E15, including hidden values </w:t>
      </w:r>
      <w:r>
        <w:rPr>
          <w:rFonts w:ascii="Consolas"/>
        </w:rPr>
        <w:t>SUBTOTAL(106,E5:E15)</w:t>
      </w:r>
      <w:r>
        <w:rPr>
          <w:rFonts w:ascii="Consolas"/>
          <w:spacing w:val="-95"/>
        </w:rPr>
        <w:t> </w:t>
      </w:r>
      <w:r>
        <w:rPr/>
        <w:t>finds the product of the values in the cell range E5: E15, excluding hidden values</w:t>
      </w:r>
    </w:p>
    <w:p>
      <w:pPr>
        <w:pStyle w:val="BodyText"/>
        <w:spacing w:before="4"/>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6 SUM" w:id="2310"/>
      <w:bookmarkEnd w:id="2310"/>
      <w:r>
        <w:rPr/>
      </w:r>
      <w:bookmarkStart w:name="_bookmark769" w:id="2311"/>
      <w:bookmarkEnd w:id="2311"/>
      <w:r>
        <w:rPr/>
      </w:r>
      <w:bookmarkStart w:name="_bookmark769" w:id="2312"/>
      <w:bookmarkEnd w:id="2312"/>
      <w:r>
        <w:rPr>
          <w:color w:val="4F81BC"/>
        </w:rPr>
        <w:t>SUM</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SUM ( </w:t>
      </w:r>
      <w:r>
        <w:rPr>
          <w:i/>
          <w:sz w:val="22"/>
        </w:rPr>
        <w:t>argument-list </w:t>
      </w:r>
      <w:r>
        <w:rPr>
          <w:rFonts w:ascii="Lucida Console"/>
          <w:sz w:val="20"/>
        </w:rPr>
        <w:t>)</w:t>
      </w:r>
    </w:p>
    <w:p>
      <w:pPr>
        <w:spacing w:before="109"/>
        <w:ind w:left="220" w:right="0" w:firstLine="0"/>
        <w:jc w:val="left"/>
        <w:rPr>
          <w:sz w:val="22"/>
        </w:rPr>
      </w:pPr>
      <w:r>
        <w:rPr>
          <w:b/>
          <w:sz w:val="22"/>
        </w:rPr>
        <w:t>Description: </w:t>
      </w:r>
      <w:r>
        <w:rPr>
          <w:sz w:val="22"/>
        </w:rPr>
        <w:t>Adds the numeric values of </w:t>
      </w:r>
      <w:r>
        <w:rPr>
          <w:rFonts w:ascii="Times New Roman"/>
          <w:i/>
          <w:sz w:val="22"/>
        </w:rPr>
        <w:t>argument</w:t>
      </w:r>
      <w:r>
        <w:rPr>
          <w:sz w:val="22"/>
        </w:rPr>
        <w:t>s in </w:t>
      </w:r>
      <w:r>
        <w:rPr>
          <w:rFonts w:ascii="Times New Roman"/>
          <w:i/>
          <w:sz w:val="22"/>
        </w:rPr>
        <w:t>argument-list</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167"/>
              <w:rPr>
                <w:sz w:val="22"/>
              </w:rPr>
            </w:pPr>
            <w:r>
              <w:rPr>
                <w:sz w:val="22"/>
              </w:rPr>
              <w:t>logical, number, name, text, array, reference.</w:t>
            </w:r>
          </w:p>
        </w:tc>
        <w:tc>
          <w:tcPr>
            <w:tcW w:w="5400" w:type="dxa"/>
          </w:tcPr>
          <w:p>
            <w:pPr>
              <w:pStyle w:val="TableParagraph"/>
              <w:ind w:left="113" w:right="198"/>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numeric values to be added. Arguments that are numbers, logical values, or text representations of numbers shall be counted. If an argument is an array or reference, only numbers in that array or reference shall be counted.</w:t>
            </w:r>
          </w:p>
          <w:p>
            <w:pPr>
              <w:pStyle w:val="TableParagraph"/>
              <w:spacing w:before="0"/>
              <w:ind w:left="113" w:right="792"/>
              <w:rPr>
                <w:sz w:val="22"/>
              </w:rPr>
            </w:pPr>
            <w:r>
              <w:rPr>
                <w:sz w:val="22"/>
              </w:rPr>
              <w:t>Empty cells, logical values, and text in the array or reference shall be ignored.</w:t>
            </w:r>
          </w:p>
        </w:tc>
      </w:tr>
    </w:tbl>
    <w:p>
      <w:pPr>
        <w:pStyle w:val="BodyText"/>
        <w:rPr>
          <w:b/>
        </w:rPr>
      </w:pPr>
    </w:p>
    <w:p>
      <w:pPr>
        <w:pStyle w:val="BodyText"/>
        <w:spacing w:before="8"/>
        <w:rPr>
          <w:b/>
          <w:sz w:val="19"/>
        </w:rPr>
      </w:pPr>
    </w:p>
    <w:p>
      <w:pPr>
        <w:spacing w:line="453" w:lineRule="auto" w:before="0"/>
        <w:ind w:left="220" w:right="3812" w:firstLine="0"/>
        <w:jc w:val="left"/>
        <w:rPr>
          <w:sz w:val="22"/>
        </w:rPr>
      </w:pPr>
      <w:r>
        <w:rPr>
          <w:b/>
          <w:sz w:val="22"/>
        </w:rPr>
        <w:t>Return Type and Value: </w:t>
      </w:r>
      <w:r>
        <w:rPr>
          <w:sz w:val="22"/>
        </w:rPr>
        <w:t>number – The sum of the values of its arguments. [</w:t>
      </w:r>
      <w:r>
        <w:rPr>
          <w:i/>
          <w:sz w:val="22"/>
        </w:rPr>
        <w:t>Example</w:t>
      </w:r>
      <w:r>
        <w:rPr>
          <w:sz w:val="22"/>
        </w:rPr>
        <w:t>:</w:t>
      </w:r>
    </w:p>
    <w:p>
      <w:pPr>
        <w:pStyle w:val="BodyText"/>
        <w:spacing w:line="273" w:lineRule="auto" w:before="110"/>
        <w:ind w:left="220" w:right="7599"/>
        <w:rPr>
          <w:rFonts w:ascii="Consolas"/>
        </w:rPr>
      </w:pPr>
      <w:r>
        <w:rPr>
          <w:rFonts w:ascii="Consolas"/>
        </w:rPr>
        <w:t>SUM(1,2,3,4,5)</w:t>
      </w:r>
      <w:r>
        <w:rPr>
          <w:rFonts w:ascii="Consolas"/>
          <w:spacing w:val="-79"/>
        </w:rPr>
        <w:t> </w:t>
      </w:r>
      <w:r>
        <w:rPr/>
        <w:t>results in </w:t>
      </w:r>
      <w:r>
        <w:rPr>
          <w:rFonts w:ascii="Consolas"/>
        </w:rPr>
        <w:t>15 SUM({1,2;3,4})</w:t>
      </w:r>
      <w:r>
        <w:rPr>
          <w:rFonts w:ascii="Consolas"/>
          <w:spacing w:val="-79"/>
        </w:rPr>
        <w:t> </w:t>
      </w:r>
      <w:r>
        <w:rPr/>
        <w:t>results in </w:t>
      </w:r>
      <w:r>
        <w:rPr>
          <w:rFonts w:ascii="Consolas"/>
        </w:rPr>
        <w:t>10</w:t>
      </w:r>
    </w:p>
    <w:p>
      <w:pPr>
        <w:spacing w:after="0" w:line="273" w:lineRule="auto"/>
        <w:rPr>
          <w:rFonts w:ascii="Consolas"/>
        </w:rPr>
        <w:sectPr>
          <w:pgSz w:w="12240" w:h="15840"/>
          <w:pgMar w:header="763" w:footer="746" w:top="1340" w:bottom="940" w:left="860" w:right="700"/>
        </w:sectPr>
      </w:pPr>
    </w:p>
    <w:p>
      <w:pPr>
        <w:pStyle w:val="BodyText"/>
        <w:spacing w:before="90"/>
        <w:ind w:left="220"/>
        <w:rPr>
          <w:rFonts w:ascii="Consolas"/>
        </w:rPr>
      </w:pPr>
      <w:r>
        <w:rPr>
          <w:rFonts w:ascii="Consolas"/>
        </w:rPr>
        <w:t>SUM({1,2,3,4,5},6,"7")</w:t>
      </w:r>
      <w:r>
        <w:rPr>
          <w:rFonts w:ascii="Consolas"/>
          <w:spacing w:val="-71"/>
        </w:rPr>
        <w:t> </w:t>
      </w:r>
      <w:r>
        <w:rPr/>
        <w:t>results in </w:t>
      </w:r>
      <w:r>
        <w:rPr>
          <w:rFonts w:ascii="Consolas"/>
        </w:rPr>
        <w:t>28</w:t>
      </w:r>
    </w:p>
    <w:p>
      <w:pPr>
        <w:pStyle w:val="BodyText"/>
        <w:spacing w:before="42"/>
        <w:ind w:left="220"/>
      </w:pPr>
      <w:r>
        <w:rPr>
          <w:rFonts w:ascii="Consolas"/>
        </w:rPr>
        <w:t>SUM({1,"2",TRUE,4})</w:t>
      </w:r>
      <w:r>
        <w:rPr>
          <w:rFonts w:ascii="Consolas"/>
          <w:spacing w:val="-81"/>
        </w:rPr>
        <w:t> </w:t>
      </w:r>
      <w:r>
        <w:rPr/>
        <w:t>results in </w:t>
      </w:r>
      <w:r>
        <w:rPr>
          <w:rFonts w:ascii="Consolas"/>
        </w:rPr>
        <w:t>5</w:t>
      </w:r>
      <w:r>
        <w:rPr/>
        <w:t>, as the logical value and numeric text are ignored</w:t>
      </w:r>
    </w:p>
    <w:p>
      <w:pPr>
        <w:pStyle w:val="BodyText"/>
        <w:spacing w:before="8"/>
        <w:rPr>
          <w:sz w:val="28"/>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7 SUMIF" w:id="2313"/>
      <w:bookmarkEnd w:id="2313"/>
      <w:r>
        <w:rPr/>
      </w:r>
      <w:bookmarkStart w:name="_bookmark770" w:id="2314"/>
      <w:bookmarkEnd w:id="2314"/>
      <w:r>
        <w:rPr/>
      </w:r>
      <w:bookmarkStart w:name="_bookmark770" w:id="2315"/>
      <w:bookmarkEnd w:id="2315"/>
      <w:r>
        <w:rPr>
          <w:color w:val="4F81BC"/>
        </w:rPr>
        <w:t>SU</w:t>
      </w:r>
      <w:r>
        <w:rPr>
          <w:color w:val="4F81BC"/>
        </w:rPr>
        <w:t>MIF</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SUMIF ( </w:t>
      </w:r>
      <w:r>
        <w:rPr>
          <w:i/>
          <w:sz w:val="22"/>
        </w:rPr>
        <w:t>cell-range </w:t>
      </w:r>
      <w:r>
        <w:rPr>
          <w:rFonts w:ascii="Lucida Console"/>
          <w:sz w:val="20"/>
        </w:rPr>
        <w:t>, </w:t>
      </w:r>
      <w:r>
        <w:rPr>
          <w:i/>
          <w:sz w:val="22"/>
        </w:rPr>
        <w:t>selection-criteria </w:t>
      </w:r>
      <w:r>
        <w:rPr>
          <w:sz w:val="22"/>
        </w:rPr>
        <w:t>[ </w:t>
      </w:r>
      <w:r>
        <w:rPr>
          <w:rFonts w:ascii="Lucida Console"/>
          <w:sz w:val="20"/>
        </w:rPr>
        <w:t>,</w:t>
      </w:r>
      <w:r>
        <w:rPr>
          <w:rFonts w:ascii="Lucida Console"/>
          <w:spacing w:val="-85"/>
          <w:sz w:val="20"/>
        </w:rPr>
        <w:t> </w:t>
      </w:r>
      <w:r>
        <w:rPr>
          <w:i/>
          <w:sz w:val="22"/>
        </w:rPr>
        <w:t>sum-range </w:t>
      </w:r>
      <w:r>
        <w:rPr>
          <w:sz w:val="22"/>
        </w:rPr>
        <w:t>] </w:t>
      </w:r>
      <w:r>
        <w:rPr>
          <w:rFonts w:ascii="Lucida Console"/>
          <w:sz w:val="20"/>
        </w:rPr>
        <w:t>)</w:t>
      </w:r>
    </w:p>
    <w:p>
      <w:pPr>
        <w:pStyle w:val="BodyText"/>
        <w:spacing w:line="278" w:lineRule="auto" w:before="106"/>
        <w:ind w:left="220" w:right="748"/>
      </w:pPr>
      <w:r>
        <w:rPr>
          <w:b/>
        </w:rPr>
        <w:t>Description: </w:t>
      </w:r>
      <w:r>
        <w:rPr/>
        <w:t>Applies selection criteria on the values in one range of cells and sums the values of the cells in a corresponding range.</w:t>
      </w:r>
    </w:p>
    <w:p>
      <w:pPr>
        <w:pStyle w:val="Heading4"/>
        <w:spacing w:before="197"/>
      </w:pPr>
      <w:r>
        <w:rPr/>
        <w:t>Arguments:</w:t>
      </w:r>
    </w:p>
    <w:p>
      <w:pPr>
        <w:pStyle w:val="BodyText"/>
        <w:spacing w:before="10"/>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0" w:right="448"/>
              <w:jc w:val="right"/>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ind w:left="0" w:right="432"/>
              <w:jc w:val="right"/>
              <w:rPr>
                <w:rFonts w:ascii="Times New Roman"/>
                <w:i/>
                <w:sz w:val="22"/>
              </w:rPr>
            </w:pPr>
            <w:r>
              <w:rPr>
                <w:rFonts w:ascii="Times New Roman"/>
                <w:i/>
                <w:sz w:val="22"/>
              </w:rPr>
              <w:t>cell-range</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Designates the range of cells to be inspected.</w:t>
            </w:r>
          </w:p>
        </w:tc>
      </w:tr>
      <w:tr>
        <w:trPr>
          <w:trHeight w:val="2503" w:hRule="atLeast"/>
        </w:trPr>
        <w:tc>
          <w:tcPr>
            <w:tcW w:w="1466" w:type="dxa"/>
          </w:tcPr>
          <w:p>
            <w:pPr>
              <w:pStyle w:val="TableParagraph"/>
              <w:spacing w:before="37"/>
              <w:ind w:right="465"/>
              <w:rPr>
                <w:rFonts w:ascii="Times New Roman"/>
                <w:i/>
                <w:sz w:val="22"/>
              </w:rPr>
            </w:pPr>
            <w:r>
              <w:rPr>
                <w:rFonts w:ascii="Times New Roman"/>
                <w:i/>
                <w:sz w:val="22"/>
              </w:rPr>
              <w:t>selection- </w:t>
            </w:r>
            <w:r>
              <w:rPr>
                <w:rFonts w:ascii="Times New Roman"/>
                <w:i/>
                <w:sz w:val="22"/>
              </w:rPr>
              <w:t>criteria</w:t>
            </w:r>
          </w:p>
        </w:tc>
        <w:tc>
          <w:tcPr>
            <w:tcW w:w="1800" w:type="dxa"/>
          </w:tcPr>
          <w:p>
            <w:pPr>
              <w:pStyle w:val="TableParagraph"/>
              <w:ind w:left="112" w:right="334"/>
              <w:rPr>
                <w:sz w:val="22"/>
              </w:rPr>
            </w:pPr>
            <w:r>
              <w:rPr>
                <w:sz w:val="22"/>
              </w:rPr>
              <w:t>number, expression, reference, text</w:t>
            </w:r>
          </w:p>
        </w:tc>
        <w:tc>
          <w:tcPr>
            <w:tcW w:w="5400" w:type="dxa"/>
          </w:tcPr>
          <w:p>
            <w:pPr>
              <w:pStyle w:val="TableParagraph"/>
              <w:ind w:left="113" w:right="124"/>
              <w:rPr>
                <w:sz w:val="22"/>
              </w:rPr>
            </w:pPr>
            <w:r>
              <w:rPr>
                <w:sz w:val="22"/>
              </w:rPr>
              <w:t>Defines which cells are counted. In the case of text, </w:t>
            </w:r>
            <w:r>
              <w:rPr>
                <w:rFonts w:ascii="Times New Roman"/>
                <w:i/>
                <w:sz w:val="22"/>
              </w:rPr>
              <w:t>selection-criteria </w:t>
            </w:r>
            <w:r>
              <w:rPr>
                <w:sz w:val="22"/>
              </w:rPr>
              <w:t>can consist of any comparison operator followed by the operand against which each cell's value is to be compared. </w:t>
            </w:r>
            <w:r>
              <w:rPr>
                <w:rFonts w:ascii="Times New Roman"/>
                <w:i/>
                <w:sz w:val="22"/>
              </w:rPr>
              <w:t>selection-criteria </w:t>
            </w:r>
            <w:r>
              <w:rPr>
                <w:sz w:val="22"/>
              </w:rPr>
              <w:t>can include one or more wildcard characters, question mark (</w:t>
            </w:r>
            <w:r>
              <w:rPr>
                <w:rFonts w:ascii="Consolas"/>
                <w:sz w:val="22"/>
              </w:rPr>
              <w:t>?</w:t>
            </w:r>
            <w:r>
              <w:rPr>
                <w:sz w:val="22"/>
              </w:rPr>
              <w:t>) and</w:t>
            </w:r>
          </w:p>
          <w:p>
            <w:pPr>
              <w:pStyle w:val="TableParagraph"/>
              <w:spacing w:before="0"/>
              <w:ind w:left="113" w:right="463"/>
              <w:rPr>
                <w:sz w:val="22"/>
              </w:rPr>
            </w:pPr>
            <w:r>
              <w:rPr>
                <w:sz w:val="22"/>
              </w:rPr>
              <w:t>asterisk (</w:t>
            </w:r>
            <w:r>
              <w:rPr>
                <w:rFonts w:ascii="Consolas"/>
                <w:sz w:val="22"/>
              </w:rPr>
              <w:t>*</w:t>
            </w:r>
            <w:r>
              <w:rPr>
                <w:sz w:val="22"/>
              </w:rPr>
              <w:t>). A question mark matches any single character; an asterisk matches any sequence of characters. To search for a question mark, asterisk, or tilde character, prefix that character with a tilde (</w:t>
            </w:r>
            <w:r>
              <w:rPr>
                <w:rFonts w:ascii="Consolas"/>
                <w:sz w:val="22"/>
              </w:rPr>
              <w:t>~</w:t>
            </w:r>
            <w:r>
              <w:rPr>
                <w:sz w:val="22"/>
              </w:rPr>
              <w:t>).</w:t>
            </w:r>
          </w:p>
        </w:tc>
      </w:tr>
      <w:tr>
        <w:trPr>
          <w:trHeight w:val="2233" w:hRule="atLeast"/>
        </w:trPr>
        <w:tc>
          <w:tcPr>
            <w:tcW w:w="1466" w:type="dxa"/>
          </w:tcPr>
          <w:p>
            <w:pPr>
              <w:pStyle w:val="TableParagraph"/>
              <w:spacing w:before="37"/>
              <w:ind w:left="0" w:right="396"/>
              <w:jc w:val="right"/>
              <w:rPr>
                <w:rFonts w:ascii="Times New Roman"/>
                <w:i/>
                <w:sz w:val="22"/>
              </w:rPr>
            </w:pPr>
            <w:r>
              <w:rPr>
                <w:rFonts w:ascii="Times New Roman"/>
                <w:i/>
                <w:sz w:val="22"/>
              </w:rPr>
              <w:t>sum-range</w:t>
            </w:r>
          </w:p>
        </w:tc>
        <w:tc>
          <w:tcPr>
            <w:tcW w:w="1800" w:type="dxa"/>
          </w:tcPr>
          <w:p>
            <w:pPr>
              <w:pStyle w:val="TableParagraph"/>
              <w:ind w:left="112"/>
              <w:rPr>
                <w:sz w:val="22"/>
              </w:rPr>
            </w:pPr>
            <w:r>
              <w:rPr>
                <w:sz w:val="22"/>
              </w:rPr>
              <w:t>reference</w:t>
            </w:r>
          </w:p>
        </w:tc>
        <w:tc>
          <w:tcPr>
            <w:tcW w:w="5400" w:type="dxa"/>
          </w:tcPr>
          <w:p>
            <w:pPr>
              <w:pStyle w:val="TableParagraph"/>
              <w:ind w:left="113" w:right="127"/>
              <w:rPr>
                <w:sz w:val="22"/>
              </w:rPr>
            </w:pPr>
            <w:r>
              <w:rPr>
                <w:sz w:val="22"/>
              </w:rPr>
              <w:t>If present, </w:t>
            </w:r>
            <w:r>
              <w:rPr>
                <w:rFonts w:ascii="Times New Roman"/>
                <w:i/>
                <w:sz w:val="22"/>
              </w:rPr>
              <w:t>sum-range </w:t>
            </w:r>
            <w:r>
              <w:rPr>
                <w:sz w:val="22"/>
              </w:rPr>
              <w:t>designates the cells whose values are summed. In this case, </w:t>
            </w:r>
            <w:r>
              <w:rPr>
                <w:rFonts w:ascii="Times New Roman"/>
                <w:i/>
                <w:sz w:val="22"/>
              </w:rPr>
              <w:t>sum-range </w:t>
            </w:r>
            <w:r>
              <w:rPr>
                <w:sz w:val="22"/>
              </w:rPr>
              <w:t>does not have to have the same size and shape as </w:t>
            </w:r>
            <w:r>
              <w:rPr>
                <w:rFonts w:ascii="Times New Roman"/>
                <w:i/>
                <w:sz w:val="22"/>
              </w:rPr>
              <w:t>cell-range</w:t>
            </w:r>
            <w:r>
              <w:rPr>
                <w:sz w:val="22"/>
              </w:rPr>
              <w:t>. The actual cells that are added are determined by using the top, left cell in </w:t>
            </w:r>
            <w:r>
              <w:rPr>
                <w:rFonts w:ascii="Times New Roman"/>
                <w:i/>
                <w:sz w:val="22"/>
              </w:rPr>
              <w:t>sum-range </w:t>
            </w:r>
            <w:r>
              <w:rPr>
                <w:sz w:val="22"/>
              </w:rPr>
              <w:t>as the beginning cell, and then</w:t>
            </w:r>
            <w:r>
              <w:rPr>
                <w:spacing w:val="-18"/>
                <w:sz w:val="22"/>
              </w:rPr>
              <w:t> </w:t>
            </w:r>
            <w:r>
              <w:rPr>
                <w:sz w:val="22"/>
              </w:rPr>
              <w:t>including cells that correspond in size and shape to </w:t>
            </w:r>
            <w:r>
              <w:rPr>
                <w:rFonts w:ascii="Times New Roman"/>
                <w:i/>
                <w:sz w:val="22"/>
              </w:rPr>
              <w:t>cell-range</w:t>
            </w:r>
            <w:r>
              <w:rPr>
                <w:sz w:val="22"/>
              </w:rPr>
              <w:t>. If omitted, </w:t>
            </w:r>
            <w:r>
              <w:rPr>
                <w:rFonts w:ascii="Times New Roman"/>
                <w:i/>
                <w:sz w:val="22"/>
              </w:rPr>
              <w:t>cell-range </w:t>
            </w:r>
            <w:r>
              <w:rPr>
                <w:sz w:val="22"/>
              </w:rPr>
              <w:t>also designates the cells whose values are</w:t>
            </w:r>
            <w:r>
              <w:rPr>
                <w:spacing w:val="1"/>
                <w:sz w:val="22"/>
              </w:rPr>
              <w:t> </w:t>
            </w:r>
            <w:r>
              <w:rPr>
                <w:sz w:val="22"/>
              </w:rPr>
              <w:t>summed.</w:t>
            </w:r>
          </w:p>
        </w:tc>
      </w:tr>
    </w:tbl>
    <w:p>
      <w:pPr>
        <w:pStyle w:val="BodyText"/>
        <w:rPr>
          <w:b/>
        </w:rPr>
      </w:pPr>
    </w:p>
    <w:p>
      <w:pPr>
        <w:pStyle w:val="BodyText"/>
        <w:spacing w:before="7"/>
        <w:rPr>
          <w:b/>
          <w:sz w:val="19"/>
        </w:rPr>
      </w:pPr>
    </w:p>
    <w:p>
      <w:pPr>
        <w:pStyle w:val="BodyText"/>
        <w:spacing w:line="453" w:lineRule="auto"/>
        <w:ind w:left="220" w:right="2520"/>
      </w:pPr>
      <w:r>
        <w:rPr>
          <w:b/>
        </w:rPr>
        <w:t>Return Type and Value: </w:t>
      </w:r>
      <w:r>
        <w:rPr/>
        <w:t>number – The sum of the cells corresponding to those selected. [</w:t>
      </w:r>
      <w:r>
        <w:rPr>
          <w:i/>
        </w:rPr>
        <w:t>Example</w:t>
      </w:r>
      <w:r>
        <w:rPr/>
        <w:t>: Given that </w:t>
      </w:r>
      <w:r>
        <w:rPr>
          <w:rFonts w:ascii="Consolas" w:hAnsi="Consolas"/>
        </w:rPr>
        <w:t>A1</w:t>
      </w:r>
      <w:r>
        <w:rPr/>
        <w:t>, </w:t>
      </w:r>
      <w:r>
        <w:rPr>
          <w:rFonts w:ascii="Consolas" w:hAnsi="Consolas"/>
        </w:rPr>
        <w:t>B1</w:t>
      </w:r>
      <w:r>
        <w:rPr/>
        <w:t>, </w:t>
      </w:r>
      <w:r>
        <w:rPr>
          <w:rFonts w:ascii="Consolas" w:hAnsi="Consolas"/>
        </w:rPr>
        <w:t>C1</w:t>
      </w:r>
      <w:r>
        <w:rPr/>
        <w:t>, and </w:t>
      </w:r>
      <w:r>
        <w:rPr>
          <w:rFonts w:ascii="Consolas" w:hAnsi="Consolas"/>
        </w:rPr>
        <w:t>D1</w:t>
      </w:r>
      <w:r>
        <w:rPr/>
        <w:t>, respectively, contain the values 3, 10, 7, and 10</w:t>
      </w:r>
    </w:p>
    <w:p>
      <w:pPr>
        <w:pStyle w:val="BodyText"/>
        <w:spacing w:line="276" w:lineRule="auto" w:before="111"/>
        <w:ind w:left="220" w:right="6997"/>
        <w:rPr>
          <w:rFonts w:ascii="Consolas"/>
        </w:rPr>
      </w:pPr>
      <w:r>
        <w:rPr>
          <w:rFonts w:ascii="Consolas"/>
        </w:rPr>
        <w:t>SUMIF(A1:D1,"=10") </w:t>
      </w:r>
      <w:r>
        <w:rPr/>
        <w:t>results in </w:t>
      </w:r>
      <w:r>
        <w:rPr>
          <w:rFonts w:ascii="Consolas"/>
        </w:rPr>
        <w:t>20 SUMIF(A1:D1,"&gt;5") </w:t>
      </w:r>
      <w:r>
        <w:rPr/>
        <w:t>results in </w:t>
      </w:r>
      <w:r>
        <w:rPr>
          <w:rFonts w:ascii="Consolas"/>
        </w:rPr>
        <w:t>27 SUMIF(A1:D1,"&lt;&gt;10")</w:t>
      </w:r>
      <w:r>
        <w:rPr>
          <w:rFonts w:ascii="Consolas"/>
          <w:spacing w:val="-82"/>
        </w:rPr>
        <w:t> </w:t>
      </w:r>
      <w:r>
        <w:rPr/>
        <w:t>results in </w:t>
      </w:r>
      <w:r>
        <w:rPr>
          <w:rFonts w:ascii="Consolas"/>
        </w:rPr>
        <w:t>10</w:t>
      </w:r>
    </w:p>
    <w:p>
      <w:pPr>
        <w:pStyle w:val="BodyText"/>
        <w:rPr>
          <w:rFonts w:ascii="Consolas"/>
          <w:sz w:val="17"/>
        </w:rPr>
      </w:pPr>
    </w:p>
    <w:p>
      <w:pPr>
        <w:pStyle w:val="BodyText"/>
        <w:spacing w:line="276" w:lineRule="auto"/>
        <w:ind w:left="220" w:right="2188"/>
        <w:rPr>
          <w:rFonts w:ascii="Consolas"/>
        </w:rPr>
      </w:pPr>
      <w:r>
        <w:rPr/>
        <w:t>Given that </w:t>
      </w:r>
      <w:r>
        <w:rPr>
          <w:rFonts w:ascii="Consolas"/>
        </w:rPr>
        <w:t>A2</w:t>
      </w:r>
      <w:r>
        <w:rPr/>
        <w:t>, </w:t>
      </w:r>
      <w:r>
        <w:rPr>
          <w:rFonts w:ascii="Consolas"/>
        </w:rPr>
        <w:t>B2</w:t>
      </w:r>
      <w:r>
        <w:rPr/>
        <w:t>, </w:t>
      </w:r>
      <w:r>
        <w:rPr>
          <w:rFonts w:ascii="Consolas"/>
        </w:rPr>
        <w:t>C2</w:t>
      </w:r>
      <w:r>
        <w:rPr/>
        <w:t>, and </w:t>
      </w:r>
      <w:r>
        <w:rPr>
          <w:rFonts w:ascii="Consolas"/>
        </w:rPr>
        <w:t>D2</w:t>
      </w:r>
      <w:r>
        <w:rPr/>
        <w:t>, respectively, contain the values </w:t>
      </w:r>
      <w:r>
        <w:rPr>
          <w:rFonts w:ascii="Consolas"/>
        </w:rPr>
        <w:t>apples</w:t>
      </w:r>
      <w:r>
        <w:rPr/>
        <w:t>, </w:t>
      </w:r>
      <w:r>
        <w:rPr>
          <w:rFonts w:ascii="Consolas"/>
        </w:rPr>
        <w:t>melons</w:t>
      </w:r>
      <w:r>
        <w:rPr/>
        <w:t>, </w:t>
      </w:r>
      <w:r>
        <w:rPr>
          <w:rFonts w:ascii="Consolas"/>
        </w:rPr>
        <w:t>10</w:t>
      </w:r>
      <w:r>
        <w:rPr/>
        <w:t>, and </w:t>
      </w:r>
      <w:r>
        <w:rPr>
          <w:rFonts w:ascii="Consolas"/>
        </w:rPr>
        <w:t>15 SUMIF(A2:B2,"*es",C2:D2)</w:t>
      </w:r>
      <w:r>
        <w:rPr>
          <w:rFonts w:ascii="Consolas"/>
          <w:spacing w:val="-71"/>
        </w:rPr>
        <w:t> </w:t>
      </w:r>
      <w:r>
        <w:rPr/>
        <w:t>results in </w:t>
      </w:r>
      <w:r>
        <w:rPr>
          <w:rFonts w:ascii="Consolas"/>
        </w:rPr>
        <w:t>10</w:t>
      </w:r>
    </w:p>
    <w:p>
      <w:pPr>
        <w:spacing w:after="0" w:line="276" w:lineRule="auto"/>
        <w:rPr>
          <w:rFonts w:ascii="Consolas"/>
        </w:rPr>
        <w:sectPr>
          <w:pgSz w:w="12240" w:h="15840"/>
          <w:pgMar w:header="761" w:footer="746" w:top="1340" w:bottom="940" w:left="860" w:right="700"/>
        </w:sectPr>
      </w:pPr>
    </w:p>
    <w:p>
      <w:pPr>
        <w:pStyle w:val="BodyText"/>
        <w:rPr>
          <w:rFonts w:ascii="Consolas"/>
          <w:sz w:val="20"/>
        </w:rPr>
      </w:pPr>
    </w:p>
    <w:p>
      <w:pPr>
        <w:pStyle w:val="BodyText"/>
        <w:spacing w:before="3"/>
        <w:rPr>
          <w:rFonts w:ascii="Consolas"/>
          <w:sz w:val="1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8 SUMIFS" w:id="2316"/>
      <w:bookmarkEnd w:id="2316"/>
      <w:r>
        <w:rPr/>
      </w:r>
      <w:bookmarkStart w:name="_bookmark771" w:id="2317"/>
      <w:bookmarkEnd w:id="2317"/>
      <w:r>
        <w:rPr/>
      </w:r>
      <w:bookmarkStart w:name="_bookmark771" w:id="2318"/>
      <w:bookmarkEnd w:id="2318"/>
      <w:r>
        <w:rPr>
          <w:color w:val="4F81BC"/>
        </w:rPr>
        <w:t>SU</w:t>
      </w:r>
      <w:r>
        <w:rPr>
          <w:color w:val="4F81BC"/>
        </w:rPr>
        <w:t>MIFS</w:t>
      </w:r>
    </w:p>
    <w:p>
      <w:pPr>
        <w:pStyle w:val="Heading4"/>
        <w:spacing w:before="122"/>
        <w:rPr>
          <w:b w:val="0"/>
        </w:rPr>
      </w:pPr>
      <w:r>
        <w:rPr/>
        <w:t>Syntax</w:t>
      </w:r>
      <w:r>
        <w:rPr>
          <w:b w:val="0"/>
        </w:rPr>
        <w:t>:</w:t>
      </w:r>
    </w:p>
    <w:p>
      <w:pPr>
        <w:pStyle w:val="BodyText"/>
        <w:spacing w:before="1"/>
        <w:rPr>
          <w:sz w:val="19"/>
        </w:rPr>
      </w:pPr>
    </w:p>
    <w:p>
      <w:pPr>
        <w:spacing w:line="259" w:lineRule="exact" w:before="0"/>
        <w:ind w:left="940" w:right="0" w:firstLine="0"/>
        <w:jc w:val="left"/>
        <w:rPr>
          <w:i/>
          <w:sz w:val="22"/>
        </w:rPr>
      </w:pPr>
      <w:r>
        <w:rPr>
          <w:rFonts w:ascii="Lucida Console"/>
          <w:sz w:val="20"/>
        </w:rPr>
        <w:t>SUMIFS ( </w:t>
      </w:r>
      <w:r>
        <w:rPr>
          <w:i/>
          <w:sz w:val="22"/>
        </w:rPr>
        <w:t>sum-range </w:t>
      </w:r>
      <w:r>
        <w:rPr>
          <w:rFonts w:ascii="Lucida Console"/>
          <w:sz w:val="20"/>
        </w:rPr>
        <w:t>, </w:t>
      </w:r>
      <w:r>
        <w:rPr>
          <w:i/>
          <w:sz w:val="22"/>
        </w:rPr>
        <w:t>cell-range-1 </w:t>
      </w:r>
      <w:r>
        <w:rPr>
          <w:rFonts w:ascii="Lucida Console"/>
          <w:sz w:val="20"/>
        </w:rPr>
        <w:t>,</w:t>
      </w:r>
      <w:r>
        <w:rPr>
          <w:rFonts w:ascii="Lucida Console"/>
          <w:spacing w:val="-83"/>
          <w:sz w:val="20"/>
        </w:rPr>
        <w:t> </w:t>
      </w:r>
      <w:r>
        <w:rPr>
          <w:i/>
          <w:sz w:val="22"/>
        </w:rPr>
        <w:t>selection-criteria-1</w:t>
      </w:r>
    </w:p>
    <w:p>
      <w:pPr>
        <w:spacing w:line="259" w:lineRule="exact" w:before="0"/>
        <w:ind w:left="1300" w:right="0" w:firstLine="0"/>
        <w:jc w:val="left"/>
        <w:rPr>
          <w:rFonts w:ascii="Lucida Console" w:hAnsi="Lucida Console"/>
          <w:sz w:val="20"/>
        </w:rPr>
      </w:pPr>
      <w:r>
        <w:rPr>
          <w:sz w:val="22"/>
        </w:rPr>
        <w:t>[ </w:t>
      </w:r>
      <w:r>
        <w:rPr>
          <w:rFonts w:ascii="Lucida Console" w:hAnsi="Lucida Console"/>
          <w:sz w:val="20"/>
        </w:rPr>
        <w:t>, </w:t>
      </w:r>
      <w:r>
        <w:rPr>
          <w:i/>
          <w:sz w:val="22"/>
        </w:rPr>
        <w:t>cell-range-2 </w:t>
      </w:r>
      <w:r>
        <w:rPr>
          <w:rFonts w:ascii="Lucida Console" w:hAnsi="Lucida Console"/>
          <w:sz w:val="20"/>
        </w:rPr>
        <w:t>, </w:t>
      </w:r>
      <w:r>
        <w:rPr>
          <w:i/>
          <w:sz w:val="22"/>
        </w:rPr>
        <w:t>selection-criteria-2 </w:t>
      </w:r>
      <w:r>
        <w:rPr>
          <w:sz w:val="22"/>
        </w:rPr>
        <w:t>[ </w:t>
      </w:r>
      <w:r>
        <w:rPr>
          <w:rFonts w:ascii="Lucida Console" w:hAnsi="Lucida Console"/>
          <w:sz w:val="20"/>
        </w:rPr>
        <w:t>, </w:t>
      </w:r>
      <w:r>
        <w:rPr>
          <w:i/>
          <w:sz w:val="22"/>
        </w:rPr>
        <w:t>… </w:t>
      </w:r>
      <w:r>
        <w:rPr>
          <w:sz w:val="22"/>
        </w:rPr>
        <w:t>] ] </w:t>
      </w:r>
      <w:r>
        <w:rPr>
          <w:rFonts w:ascii="Lucida Console" w:hAnsi="Lucida Console"/>
          <w:sz w:val="20"/>
        </w:rPr>
        <w:t>)</w:t>
      </w:r>
    </w:p>
    <w:p>
      <w:pPr>
        <w:pStyle w:val="BodyText"/>
        <w:spacing w:before="108"/>
        <w:ind w:left="220"/>
      </w:pPr>
      <w:r>
        <w:rPr>
          <w:b/>
        </w:rPr>
        <w:t>Description</w:t>
      </w:r>
      <w:r>
        <w:rPr/>
        <w:t>: Adds the cells in a range that meet multiple criteria.</w:t>
      </w:r>
    </w:p>
    <w:p>
      <w:pPr>
        <w:pStyle w:val="BodyText"/>
        <w:spacing w:before="8"/>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040" w:hRule="atLeast"/>
        </w:trPr>
        <w:tc>
          <w:tcPr>
            <w:tcW w:w="1466" w:type="dxa"/>
          </w:tcPr>
          <w:p>
            <w:pPr>
              <w:pStyle w:val="TableParagraph"/>
              <w:spacing w:before="37"/>
              <w:rPr>
                <w:rFonts w:ascii="Times New Roman"/>
                <w:i/>
                <w:sz w:val="22"/>
              </w:rPr>
            </w:pPr>
            <w:r>
              <w:rPr>
                <w:rFonts w:ascii="Times New Roman"/>
                <w:i/>
                <w:sz w:val="22"/>
              </w:rPr>
              <w:t>sum-range</w:t>
            </w:r>
          </w:p>
        </w:tc>
        <w:tc>
          <w:tcPr>
            <w:tcW w:w="1800" w:type="dxa"/>
          </w:tcPr>
          <w:p>
            <w:pPr>
              <w:pStyle w:val="TableParagraph"/>
              <w:ind w:left="112"/>
              <w:rPr>
                <w:sz w:val="22"/>
              </w:rPr>
            </w:pPr>
            <w:r>
              <w:rPr>
                <w:sz w:val="22"/>
              </w:rPr>
              <w:t>reference</w:t>
            </w:r>
          </w:p>
        </w:tc>
        <w:tc>
          <w:tcPr>
            <w:tcW w:w="5400" w:type="dxa"/>
          </w:tcPr>
          <w:p>
            <w:pPr>
              <w:pStyle w:val="TableParagraph"/>
              <w:ind w:left="113" w:right="94"/>
              <w:rPr>
                <w:sz w:val="22"/>
              </w:rPr>
            </w:pPr>
            <w:r>
              <w:rPr>
                <w:sz w:val="22"/>
              </w:rPr>
              <w:t>Designates the cells whose values are summed. In this case, </w:t>
            </w:r>
            <w:r>
              <w:rPr>
                <w:rFonts w:ascii="Times New Roman"/>
                <w:i/>
                <w:sz w:val="22"/>
              </w:rPr>
              <w:t>sum-range </w:t>
            </w:r>
            <w:r>
              <w:rPr>
                <w:sz w:val="22"/>
              </w:rPr>
              <w:t>does not have to have the same size and shape as </w:t>
            </w:r>
            <w:r>
              <w:rPr>
                <w:rFonts w:ascii="Times New Roman"/>
                <w:i/>
                <w:sz w:val="22"/>
              </w:rPr>
              <w:t>cell-range-1 </w:t>
            </w:r>
            <w:r>
              <w:rPr>
                <w:sz w:val="22"/>
              </w:rPr>
              <w:t>through </w:t>
            </w:r>
            <w:r>
              <w:rPr>
                <w:rFonts w:ascii="Times New Roman"/>
                <w:i/>
                <w:sz w:val="22"/>
              </w:rPr>
              <w:t>cell-range-n</w:t>
            </w:r>
            <w:r>
              <w:rPr>
                <w:sz w:val="22"/>
              </w:rPr>
              <w:t>. The actual cells that are added are determined by using the top, left cell in </w:t>
            </w:r>
            <w:r>
              <w:rPr>
                <w:rFonts w:ascii="Times New Roman"/>
                <w:i/>
                <w:sz w:val="22"/>
              </w:rPr>
              <w:t>sum-range </w:t>
            </w:r>
            <w:r>
              <w:rPr>
                <w:sz w:val="22"/>
              </w:rPr>
              <w:t>as the beginning cell, and then including cells that correspond in size and shape to </w:t>
            </w:r>
            <w:r>
              <w:rPr>
                <w:rFonts w:ascii="Times New Roman"/>
                <w:i/>
                <w:sz w:val="22"/>
              </w:rPr>
              <w:t>cell-range-1 </w:t>
            </w:r>
            <w:r>
              <w:rPr>
                <w:sz w:val="22"/>
              </w:rPr>
              <w:t>through </w:t>
            </w:r>
            <w:r>
              <w:rPr>
                <w:rFonts w:ascii="Times New Roman"/>
                <w:i/>
                <w:sz w:val="22"/>
              </w:rPr>
              <w:t>cell-range-n</w:t>
            </w:r>
            <w:r>
              <w:rPr>
                <w:sz w:val="22"/>
              </w:rPr>
              <w:t>. Each cell in </w:t>
            </w:r>
            <w:r>
              <w:rPr>
                <w:rFonts w:ascii="Times New Roman"/>
                <w:i/>
                <w:sz w:val="22"/>
              </w:rPr>
              <w:t>sum-range </w:t>
            </w:r>
            <w:r>
              <w:rPr>
                <w:sz w:val="22"/>
              </w:rPr>
              <w:t>is summed only if all of the corresponding criteria specified are true for that cell. Cells in </w:t>
            </w:r>
            <w:r>
              <w:rPr>
                <w:rFonts w:ascii="Times New Roman"/>
                <w:i/>
                <w:sz w:val="22"/>
              </w:rPr>
              <w:t>sum-range </w:t>
            </w:r>
            <w:r>
              <w:rPr>
                <w:sz w:val="22"/>
              </w:rPr>
              <w:t>that contain </w:t>
            </w:r>
            <w:r>
              <w:rPr>
                <w:rFonts w:ascii="Consolas"/>
                <w:sz w:val="22"/>
              </w:rPr>
              <w:t>TRUE </w:t>
            </w:r>
            <w:r>
              <w:rPr>
                <w:sz w:val="22"/>
              </w:rPr>
              <w:t>evaluate to 1; cells in sum-range that contain </w:t>
            </w:r>
            <w:r>
              <w:rPr>
                <w:rFonts w:ascii="Consolas"/>
                <w:sz w:val="22"/>
              </w:rPr>
              <w:t>FALSE </w:t>
            </w:r>
            <w:r>
              <w:rPr>
                <w:sz w:val="22"/>
              </w:rPr>
              <w:t>evaluate to 0.</w:t>
            </w:r>
          </w:p>
        </w:tc>
      </w:tr>
      <w:tr>
        <w:trPr>
          <w:trHeight w:val="354" w:hRule="atLeast"/>
        </w:trPr>
        <w:tc>
          <w:tcPr>
            <w:tcW w:w="1466" w:type="dxa"/>
          </w:tcPr>
          <w:p>
            <w:pPr>
              <w:pStyle w:val="TableParagraph"/>
              <w:spacing w:before="37"/>
              <w:rPr>
                <w:rFonts w:ascii="Times New Roman"/>
                <w:i/>
                <w:sz w:val="22"/>
              </w:rPr>
            </w:pPr>
            <w:r>
              <w:rPr>
                <w:rFonts w:ascii="Times New Roman"/>
                <w:i/>
                <w:sz w:val="22"/>
              </w:rPr>
              <w:t>cell-range-1</w:t>
            </w:r>
          </w:p>
        </w:tc>
        <w:tc>
          <w:tcPr>
            <w:tcW w:w="1800" w:type="dxa"/>
          </w:tcPr>
          <w:p>
            <w:pPr>
              <w:pStyle w:val="TableParagraph"/>
              <w:ind w:left="112"/>
              <w:rPr>
                <w:sz w:val="22"/>
              </w:rPr>
            </w:pPr>
            <w:r>
              <w:rPr>
                <w:sz w:val="22"/>
              </w:rPr>
              <w:t>reference</w:t>
            </w:r>
          </w:p>
        </w:tc>
        <w:tc>
          <w:tcPr>
            <w:tcW w:w="5400" w:type="dxa"/>
          </w:tcPr>
          <w:p>
            <w:pPr>
              <w:pStyle w:val="TableParagraph"/>
              <w:ind w:left="113"/>
              <w:rPr>
                <w:sz w:val="22"/>
              </w:rPr>
            </w:pPr>
            <w:r>
              <w:rPr>
                <w:sz w:val="22"/>
              </w:rPr>
              <w:t>Designates the first range of cells to be inspected.</w:t>
            </w:r>
          </w:p>
        </w:tc>
      </w:tr>
      <w:tr>
        <w:trPr>
          <w:trHeight w:val="2772" w:hRule="atLeast"/>
        </w:trPr>
        <w:tc>
          <w:tcPr>
            <w:tcW w:w="1466" w:type="dxa"/>
          </w:tcPr>
          <w:p>
            <w:pPr>
              <w:pStyle w:val="TableParagraph"/>
              <w:spacing w:before="37"/>
              <w:ind w:right="483"/>
              <w:rPr>
                <w:rFonts w:ascii="Times New Roman"/>
                <w:i/>
                <w:sz w:val="22"/>
              </w:rPr>
            </w:pPr>
            <w:r>
              <w:rPr>
                <w:rFonts w:ascii="Times New Roman"/>
                <w:i/>
                <w:sz w:val="22"/>
              </w:rPr>
              <w:t>selection- </w:t>
            </w:r>
            <w:r>
              <w:rPr>
                <w:rFonts w:ascii="Times New Roman"/>
                <w:i/>
                <w:sz w:val="22"/>
              </w:rPr>
              <w:t>criteria-1</w:t>
            </w:r>
          </w:p>
        </w:tc>
        <w:tc>
          <w:tcPr>
            <w:tcW w:w="1800" w:type="dxa"/>
          </w:tcPr>
          <w:p>
            <w:pPr>
              <w:pStyle w:val="TableParagraph"/>
              <w:ind w:left="112" w:right="334"/>
              <w:rPr>
                <w:sz w:val="22"/>
              </w:rPr>
            </w:pPr>
            <w:r>
              <w:rPr>
                <w:sz w:val="22"/>
              </w:rPr>
              <w:t>number, expression, reference, text</w:t>
            </w:r>
          </w:p>
        </w:tc>
        <w:tc>
          <w:tcPr>
            <w:tcW w:w="5400" w:type="dxa"/>
          </w:tcPr>
          <w:p>
            <w:pPr>
              <w:pStyle w:val="TableParagraph"/>
              <w:ind w:left="113" w:right="148"/>
              <w:rPr>
                <w:sz w:val="22"/>
              </w:rPr>
            </w:pPr>
            <w:r>
              <w:rPr>
                <w:sz w:val="22"/>
              </w:rPr>
              <w:t>Specifies the criteria for the first range of cells that is counted. In the case of text, </w:t>
            </w:r>
            <w:r>
              <w:rPr>
                <w:rFonts w:ascii="Times New Roman"/>
                <w:i/>
                <w:sz w:val="22"/>
              </w:rPr>
              <w:t>selection-criteria-1 </w:t>
            </w:r>
            <w:r>
              <w:rPr>
                <w:sz w:val="22"/>
              </w:rPr>
              <w:t>can consist of any comparison operator followed by the operand against which each cell's value is to be compared. </w:t>
            </w:r>
            <w:r>
              <w:rPr>
                <w:rFonts w:ascii="Times New Roman"/>
                <w:i/>
                <w:sz w:val="22"/>
              </w:rPr>
              <w:t>selection-criteria-1 </w:t>
            </w:r>
            <w:r>
              <w:rPr>
                <w:sz w:val="22"/>
              </w:rPr>
              <w:t>can include one or more wildcard characters, question mark (</w:t>
            </w:r>
            <w:r>
              <w:rPr>
                <w:rFonts w:ascii="Consolas"/>
                <w:sz w:val="22"/>
              </w:rPr>
              <w:t>?</w:t>
            </w:r>
            <w:r>
              <w:rPr>
                <w:sz w:val="22"/>
              </w:rPr>
              <w:t>) and asterisk (</w:t>
            </w:r>
            <w:r>
              <w:rPr>
                <w:rFonts w:ascii="Consolas"/>
                <w:sz w:val="22"/>
              </w:rPr>
              <w:t>*</w:t>
            </w:r>
            <w:r>
              <w:rPr>
                <w:sz w:val="22"/>
              </w:rPr>
              <w:t>). A question mark matches any single character; an asterisk matches any sequence of characters. To search for a question mark, asterisk, or tilde character, prefix that character with a tilde (</w:t>
            </w:r>
            <w:r>
              <w:rPr>
                <w:rFonts w:ascii="Consolas"/>
                <w:sz w:val="22"/>
              </w:rPr>
              <w:t>~</w:t>
            </w:r>
            <w:r>
              <w:rPr>
                <w:sz w:val="22"/>
              </w:rPr>
              <w:t>).</w:t>
            </w:r>
          </w:p>
        </w:tc>
      </w:tr>
      <w:tr>
        <w:trPr>
          <w:trHeight w:val="354" w:hRule="atLeast"/>
        </w:trPr>
        <w:tc>
          <w:tcPr>
            <w:tcW w:w="1466" w:type="dxa"/>
          </w:tcPr>
          <w:p>
            <w:pPr>
              <w:pStyle w:val="TableParagraph"/>
              <w:spacing w:before="37"/>
              <w:rPr>
                <w:rFonts w:ascii="Times New Roman"/>
                <w:i/>
                <w:sz w:val="22"/>
              </w:rPr>
            </w:pPr>
            <w:r>
              <w:rPr>
                <w:rFonts w:ascii="Times New Roman"/>
                <w:i/>
                <w:sz w:val="22"/>
              </w:rPr>
              <w:t>cell-range-n</w:t>
            </w:r>
          </w:p>
        </w:tc>
        <w:tc>
          <w:tcPr>
            <w:tcW w:w="1800" w:type="dxa"/>
          </w:tcPr>
          <w:p>
            <w:pPr>
              <w:pStyle w:val="TableParagraph"/>
              <w:ind w:left="112"/>
              <w:rPr>
                <w:sz w:val="22"/>
              </w:rPr>
            </w:pPr>
            <w:r>
              <w:rPr>
                <w:sz w:val="22"/>
              </w:rPr>
              <w:t>reference</w:t>
            </w:r>
          </w:p>
        </w:tc>
        <w:tc>
          <w:tcPr>
            <w:tcW w:w="5400" w:type="dxa"/>
            <w:vMerge w:val="restart"/>
          </w:tcPr>
          <w:p>
            <w:pPr>
              <w:pStyle w:val="TableParagraph"/>
              <w:ind w:left="113" w:right="294"/>
              <w:rPr>
                <w:sz w:val="22"/>
              </w:rPr>
            </w:pPr>
            <w:r>
              <w:rPr>
                <w:sz w:val="22"/>
              </w:rPr>
              <w:t>The optional arguments </w:t>
            </w:r>
            <w:r>
              <w:rPr>
                <w:rFonts w:ascii="Times New Roman"/>
                <w:i/>
                <w:sz w:val="22"/>
              </w:rPr>
              <w:t>selection-criteria-2 </w:t>
            </w:r>
            <w:r>
              <w:rPr>
                <w:sz w:val="22"/>
              </w:rPr>
              <w:t>through </w:t>
            </w:r>
            <w:r>
              <w:rPr>
                <w:rFonts w:ascii="Times New Roman"/>
                <w:i/>
                <w:sz w:val="22"/>
              </w:rPr>
              <w:t>selection-criteria-n </w:t>
            </w:r>
            <w:r>
              <w:rPr>
                <w:sz w:val="22"/>
              </w:rPr>
              <w:t>have corresponding arguments </w:t>
            </w:r>
            <w:r>
              <w:rPr>
                <w:rFonts w:ascii="Times New Roman"/>
                <w:i/>
                <w:sz w:val="22"/>
              </w:rPr>
              <w:t>cell- </w:t>
            </w:r>
            <w:r>
              <w:rPr>
                <w:rFonts w:ascii="Times New Roman"/>
                <w:i/>
                <w:sz w:val="22"/>
              </w:rPr>
              <w:t>range-2 </w:t>
            </w:r>
            <w:r>
              <w:rPr>
                <w:sz w:val="22"/>
              </w:rPr>
              <w:t>through </w:t>
            </w:r>
            <w:r>
              <w:rPr>
                <w:rFonts w:ascii="Times New Roman"/>
                <w:i/>
                <w:sz w:val="22"/>
              </w:rPr>
              <w:t>cell-range-n</w:t>
            </w:r>
            <w:r>
              <w:rPr>
                <w:sz w:val="22"/>
              </w:rPr>
              <w:t>, and have the same semantics as </w:t>
            </w:r>
            <w:r>
              <w:rPr>
                <w:rFonts w:ascii="Times New Roman"/>
                <w:i/>
                <w:sz w:val="22"/>
              </w:rPr>
              <w:t>selection-criteria-1 </w:t>
            </w:r>
            <w:r>
              <w:rPr>
                <w:sz w:val="22"/>
              </w:rPr>
              <w:t>and </w:t>
            </w:r>
            <w:r>
              <w:rPr>
                <w:rFonts w:ascii="Times New Roman"/>
                <w:i/>
                <w:sz w:val="22"/>
              </w:rPr>
              <w:t>cell-range-1</w:t>
            </w:r>
            <w:r>
              <w:rPr>
                <w:sz w:val="22"/>
              </w:rPr>
              <w:t>, respectively.</w:t>
            </w:r>
          </w:p>
        </w:tc>
      </w:tr>
      <w:tr>
        <w:trPr>
          <w:trHeight w:val="1063" w:hRule="atLeast"/>
        </w:trPr>
        <w:tc>
          <w:tcPr>
            <w:tcW w:w="1466" w:type="dxa"/>
          </w:tcPr>
          <w:p>
            <w:pPr>
              <w:pStyle w:val="TableParagraph"/>
              <w:spacing w:before="37"/>
              <w:ind w:right="483"/>
              <w:rPr>
                <w:rFonts w:ascii="Times New Roman"/>
                <w:i/>
                <w:sz w:val="22"/>
              </w:rPr>
            </w:pPr>
            <w:r>
              <w:rPr>
                <w:rFonts w:ascii="Times New Roman"/>
                <w:i/>
                <w:sz w:val="22"/>
              </w:rPr>
              <w:t>selection- </w:t>
            </w:r>
            <w:r>
              <w:rPr>
                <w:rFonts w:ascii="Times New Roman"/>
                <w:i/>
                <w:sz w:val="22"/>
              </w:rPr>
              <w:t>criteria-n</w:t>
            </w:r>
          </w:p>
        </w:tc>
        <w:tc>
          <w:tcPr>
            <w:tcW w:w="1800" w:type="dxa"/>
          </w:tcPr>
          <w:p>
            <w:pPr>
              <w:pStyle w:val="TableParagraph"/>
              <w:ind w:left="112" w:right="334"/>
              <w:rPr>
                <w:sz w:val="22"/>
              </w:rPr>
            </w:pPr>
            <w:r>
              <w:rPr>
                <w:sz w:val="22"/>
              </w:rPr>
              <w:t>number, expression, reference, text</w:t>
            </w:r>
          </w:p>
        </w:tc>
        <w:tc>
          <w:tcPr>
            <w:tcW w:w="5400" w:type="dxa"/>
            <w:vMerge/>
            <w:tcBorders>
              <w:top w:val="nil"/>
            </w:tcBorders>
          </w:tcPr>
          <w:p>
            <w:pPr>
              <w:rPr>
                <w:sz w:val="2"/>
                <w:szCs w:val="2"/>
              </w:rPr>
            </w:pPr>
          </w:p>
        </w:tc>
      </w:tr>
    </w:tbl>
    <w:p>
      <w:pPr>
        <w:pStyle w:val="BodyText"/>
      </w:pPr>
    </w:p>
    <w:p>
      <w:pPr>
        <w:pStyle w:val="BodyText"/>
        <w:spacing w:before="7"/>
        <w:rPr>
          <w:sz w:val="19"/>
        </w:rPr>
      </w:pPr>
    </w:p>
    <w:p>
      <w:pPr>
        <w:spacing w:line="453" w:lineRule="auto" w:before="0"/>
        <w:ind w:left="220" w:right="2568" w:firstLine="0"/>
        <w:jc w:val="left"/>
        <w:rPr>
          <w:sz w:val="22"/>
        </w:rPr>
      </w:pPr>
      <w:r>
        <w:rPr>
          <w:b/>
          <w:sz w:val="22"/>
        </w:rPr>
        <w:t>Return Type and Value</w:t>
      </w:r>
      <w:r>
        <w:rPr>
          <w:sz w:val="22"/>
        </w:rPr>
        <w:t>: number – The sum of the cells corresponding to those selected. [</w:t>
      </w:r>
      <w:r>
        <w:rPr>
          <w:i/>
          <w:sz w:val="22"/>
        </w:rPr>
        <w:t>Example</w:t>
      </w:r>
      <w:r>
        <w:rPr>
          <w:sz w:val="22"/>
        </w:rPr>
        <w:t>: Given the following data:</w:t>
      </w:r>
    </w:p>
    <w:p>
      <w:pPr>
        <w:spacing w:after="0" w:line="453" w:lineRule="auto"/>
        <w:jc w:val="left"/>
        <w:rPr>
          <w:sz w:val="22"/>
        </w:rPr>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358"/>
        <w:gridCol w:w="1894"/>
        <w:gridCol w:w="2179"/>
        <w:gridCol w:w="2047"/>
      </w:tblGrid>
      <w:tr>
        <w:trPr>
          <w:trHeight w:val="355" w:hRule="atLeast"/>
        </w:trPr>
        <w:tc>
          <w:tcPr>
            <w:tcW w:w="468" w:type="dxa"/>
            <w:shd w:val="clear" w:color="auto" w:fill="C0C0C0"/>
          </w:tcPr>
          <w:p>
            <w:pPr>
              <w:pStyle w:val="TableParagraph"/>
              <w:spacing w:before="0"/>
              <w:ind w:left="0"/>
              <w:rPr>
                <w:rFonts w:ascii="Times New Roman"/>
                <w:sz w:val="22"/>
              </w:rPr>
            </w:pPr>
          </w:p>
        </w:tc>
        <w:tc>
          <w:tcPr>
            <w:tcW w:w="1358" w:type="dxa"/>
            <w:shd w:val="clear" w:color="auto" w:fill="C0C0C0"/>
          </w:tcPr>
          <w:p>
            <w:pPr>
              <w:pStyle w:val="TableParagraph"/>
              <w:ind w:left="9"/>
              <w:jc w:val="center"/>
              <w:rPr>
                <w:b/>
                <w:sz w:val="22"/>
              </w:rPr>
            </w:pPr>
            <w:r>
              <w:rPr>
                <w:b/>
                <w:w w:val="100"/>
                <w:sz w:val="22"/>
              </w:rPr>
              <w:t>A</w:t>
            </w:r>
          </w:p>
        </w:tc>
        <w:tc>
          <w:tcPr>
            <w:tcW w:w="1894" w:type="dxa"/>
            <w:shd w:val="clear" w:color="auto" w:fill="C0C0C0"/>
          </w:tcPr>
          <w:p>
            <w:pPr>
              <w:pStyle w:val="TableParagraph"/>
              <w:ind w:left="7"/>
              <w:jc w:val="center"/>
              <w:rPr>
                <w:b/>
                <w:sz w:val="22"/>
              </w:rPr>
            </w:pPr>
            <w:r>
              <w:rPr>
                <w:b/>
                <w:w w:val="100"/>
                <w:sz w:val="22"/>
              </w:rPr>
              <w:t>B</w:t>
            </w:r>
          </w:p>
        </w:tc>
        <w:tc>
          <w:tcPr>
            <w:tcW w:w="2179" w:type="dxa"/>
            <w:shd w:val="clear" w:color="auto" w:fill="C0C0C0"/>
          </w:tcPr>
          <w:p>
            <w:pPr>
              <w:pStyle w:val="TableParagraph"/>
              <w:ind w:left="12"/>
              <w:jc w:val="center"/>
              <w:rPr>
                <w:b/>
                <w:sz w:val="22"/>
              </w:rPr>
            </w:pPr>
            <w:r>
              <w:rPr>
                <w:b/>
                <w:w w:val="100"/>
                <w:sz w:val="22"/>
              </w:rPr>
              <w:t>C</w:t>
            </w:r>
          </w:p>
        </w:tc>
        <w:tc>
          <w:tcPr>
            <w:tcW w:w="2047" w:type="dxa"/>
            <w:shd w:val="clear" w:color="auto" w:fill="C0C0C0"/>
          </w:tcPr>
          <w:p>
            <w:pPr>
              <w:pStyle w:val="TableParagraph"/>
              <w:ind w:left="9"/>
              <w:jc w:val="center"/>
              <w:rPr>
                <w:b/>
                <w:sz w:val="22"/>
              </w:rPr>
            </w:pPr>
            <w:r>
              <w:rPr>
                <w:b/>
                <w:w w:val="100"/>
                <w:sz w:val="22"/>
              </w:rPr>
              <w:t>D</w:t>
            </w:r>
          </w:p>
        </w:tc>
      </w:tr>
      <w:tr>
        <w:trPr>
          <w:trHeight w:val="354" w:hRule="atLeast"/>
        </w:trPr>
        <w:tc>
          <w:tcPr>
            <w:tcW w:w="468" w:type="dxa"/>
          </w:tcPr>
          <w:p>
            <w:pPr>
              <w:pStyle w:val="TableParagraph"/>
              <w:rPr>
                <w:sz w:val="22"/>
              </w:rPr>
            </w:pPr>
            <w:r>
              <w:rPr>
                <w:w w:val="100"/>
                <w:sz w:val="22"/>
              </w:rPr>
              <w:t>1</w:t>
            </w:r>
          </w:p>
        </w:tc>
        <w:tc>
          <w:tcPr>
            <w:tcW w:w="1358" w:type="dxa"/>
          </w:tcPr>
          <w:p>
            <w:pPr>
              <w:pStyle w:val="TableParagraph"/>
              <w:ind w:left="114"/>
              <w:rPr>
                <w:sz w:val="22"/>
              </w:rPr>
            </w:pPr>
            <w:r>
              <w:rPr>
                <w:sz w:val="22"/>
              </w:rPr>
              <w:t>Sales Person</w:t>
            </w:r>
          </w:p>
        </w:tc>
        <w:tc>
          <w:tcPr>
            <w:tcW w:w="1894" w:type="dxa"/>
          </w:tcPr>
          <w:p>
            <w:pPr>
              <w:pStyle w:val="TableParagraph"/>
              <w:ind w:left="112"/>
              <w:rPr>
                <w:sz w:val="22"/>
              </w:rPr>
            </w:pPr>
            <w:r>
              <w:rPr>
                <w:sz w:val="22"/>
              </w:rPr>
              <w:t>Tables</w:t>
            </w:r>
          </w:p>
        </w:tc>
        <w:tc>
          <w:tcPr>
            <w:tcW w:w="2179" w:type="dxa"/>
          </w:tcPr>
          <w:p>
            <w:pPr>
              <w:pStyle w:val="TableParagraph"/>
              <w:rPr>
                <w:sz w:val="22"/>
              </w:rPr>
            </w:pPr>
            <w:r>
              <w:rPr>
                <w:sz w:val="22"/>
              </w:rPr>
              <w:t>Chairs</w:t>
            </w:r>
          </w:p>
        </w:tc>
        <w:tc>
          <w:tcPr>
            <w:tcW w:w="2047" w:type="dxa"/>
          </w:tcPr>
          <w:p>
            <w:pPr>
              <w:pStyle w:val="TableParagraph"/>
              <w:ind w:left="116"/>
              <w:rPr>
                <w:sz w:val="22"/>
              </w:rPr>
            </w:pPr>
            <w:r>
              <w:rPr>
                <w:sz w:val="22"/>
              </w:rPr>
              <w:t>Desks</w:t>
            </w:r>
          </w:p>
        </w:tc>
      </w:tr>
      <w:tr>
        <w:trPr>
          <w:trHeight w:val="354" w:hRule="atLeast"/>
        </w:trPr>
        <w:tc>
          <w:tcPr>
            <w:tcW w:w="468" w:type="dxa"/>
          </w:tcPr>
          <w:p>
            <w:pPr>
              <w:pStyle w:val="TableParagraph"/>
              <w:rPr>
                <w:sz w:val="22"/>
              </w:rPr>
            </w:pPr>
            <w:r>
              <w:rPr>
                <w:w w:val="100"/>
                <w:sz w:val="22"/>
              </w:rPr>
              <w:t>2</w:t>
            </w:r>
          </w:p>
        </w:tc>
        <w:tc>
          <w:tcPr>
            <w:tcW w:w="1358" w:type="dxa"/>
          </w:tcPr>
          <w:p>
            <w:pPr>
              <w:pStyle w:val="TableParagraph"/>
              <w:ind w:left="114"/>
              <w:rPr>
                <w:sz w:val="22"/>
              </w:rPr>
            </w:pPr>
            <w:r>
              <w:rPr>
                <w:sz w:val="22"/>
              </w:rPr>
              <w:t>Emilio</w:t>
            </w:r>
          </w:p>
        </w:tc>
        <w:tc>
          <w:tcPr>
            <w:tcW w:w="1894" w:type="dxa"/>
          </w:tcPr>
          <w:p>
            <w:pPr>
              <w:pStyle w:val="TableParagraph"/>
              <w:ind w:left="112"/>
              <w:rPr>
                <w:sz w:val="22"/>
              </w:rPr>
            </w:pPr>
            <w:r>
              <w:rPr>
                <w:sz w:val="22"/>
              </w:rPr>
              <w:t>34</w:t>
            </w:r>
          </w:p>
        </w:tc>
        <w:tc>
          <w:tcPr>
            <w:tcW w:w="2179" w:type="dxa"/>
          </w:tcPr>
          <w:p>
            <w:pPr>
              <w:pStyle w:val="TableParagraph"/>
              <w:rPr>
                <w:sz w:val="22"/>
              </w:rPr>
            </w:pPr>
            <w:r>
              <w:rPr>
                <w:sz w:val="22"/>
              </w:rPr>
              <w:t>85</w:t>
            </w:r>
          </w:p>
        </w:tc>
        <w:tc>
          <w:tcPr>
            <w:tcW w:w="2047" w:type="dxa"/>
          </w:tcPr>
          <w:p>
            <w:pPr>
              <w:pStyle w:val="TableParagraph"/>
              <w:ind w:left="116"/>
              <w:rPr>
                <w:sz w:val="22"/>
              </w:rPr>
            </w:pPr>
            <w:r>
              <w:rPr>
                <w:sz w:val="22"/>
              </w:rPr>
              <w:t>97</w:t>
            </w:r>
          </w:p>
        </w:tc>
      </w:tr>
      <w:tr>
        <w:trPr>
          <w:trHeight w:val="354" w:hRule="atLeast"/>
        </w:trPr>
        <w:tc>
          <w:tcPr>
            <w:tcW w:w="468" w:type="dxa"/>
          </w:tcPr>
          <w:p>
            <w:pPr>
              <w:pStyle w:val="TableParagraph"/>
              <w:rPr>
                <w:sz w:val="22"/>
              </w:rPr>
            </w:pPr>
            <w:r>
              <w:rPr>
                <w:w w:val="100"/>
                <w:sz w:val="22"/>
              </w:rPr>
              <w:t>3</w:t>
            </w:r>
          </w:p>
        </w:tc>
        <w:tc>
          <w:tcPr>
            <w:tcW w:w="1358" w:type="dxa"/>
          </w:tcPr>
          <w:p>
            <w:pPr>
              <w:pStyle w:val="TableParagraph"/>
              <w:ind w:left="114"/>
              <w:rPr>
                <w:sz w:val="22"/>
              </w:rPr>
            </w:pPr>
            <w:r>
              <w:rPr>
                <w:sz w:val="22"/>
              </w:rPr>
              <w:t>Julie</w:t>
            </w:r>
          </w:p>
        </w:tc>
        <w:tc>
          <w:tcPr>
            <w:tcW w:w="1894" w:type="dxa"/>
          </w:tcPr>
          <w:p>
            <w:pPr>
              <w:pStyle w:val="TableParagraph"/>
              <w:ind w:left="112"/>
              <w:rPr>
                <w:sz w:val="22"/>
              </w:rPr>
            </w:pPr>
            <w:r>
              <w:rPr>
                <w:sz w:val="22"/>
              </w:rPr>
              <w:t>353</w:t>
            </w:r>
          </w:p>
        </w:tc>
        <w:tc>
          <w:tcPr>
            <w:tcW w:w="2179" w:type="dxa"/>
          </w:tcPr>
          <w:p>
            <w:pPr>
              <w:pStyle w:val="TableParagraph"/>
              <w:rPr>
                <w:sz w:val="22"/>
              </w:rPr>
            </w:pPr>
            <w:r>
              <w:rPr>
                <w:sz w:val="22"/>
              </w:rPr>
              <w:t>23</w:t>
            </w:r>
          </w:p>
        </w:tc>
        <w:tc>
          <w:tcPr>
            <w:tcW w:w="2047" w:type="dxa"/>
          </w:tcPr>
          <w:p>
            <w:pPr>
              <w:pStyle w:val="TableParagraph"/>
              <w:ind w:left="116"/>
              <w:rPr>
                <w:sz w:val="22"/>
              </w:rPr>
            </w:pPr>
            <w:r>
              <w:rPr>
                <w:sz w:val="22"/>
              </w:rPr>
              <w:t>18</w:t>
            </w:r>
          </w:p>
        </w:tc>
      </w:tr>
      <w:tr>
        <w:trPr>
          <w:trHeight w:val="352" w:hRule="atLeast"/>
        </w:trPr>
        <w:tc>
          <w:tcPr>
            <w:tcW w:w="468" w:type="dxa"/>
          </w:tcPr>
          <w:p>
            <w:pPr>
              <w:pStyle w:val="TableParagraph"/>
              <w:rPr>
                <w:sz w:val="22"/>
              </w:rPr>
            </w:pPr>
            <w:r>
              <w:rPr>
                <w:w w:val="100"/>
                <w:sz w:val="22"/>
              </w:rPr>
              <w:t>4</w:t>
            </w:r>
          </w:p>
        </w:tc>
        <w:tc>
          <w:tcPr>
            <w:tcW w:w="1358" w:type="dxa"/>
          </w:tcPr>
          <w:p>
            <w:pPr>
              <w:pStyle w:val="TableParagraph"/>
              <w:ind w:left="114"/>
              <w:rPr>
                <w:sz w:val="22"/>
              </w:rPr>
            </w:pPr>
            <w:r>
              <w:rPr>
                <w:sz w:val="22"/>
              </w:rPr>
              <w:t>Hans</w:t>
            </w:r>
          </w:p>
        </w:tc>
        <w:tc>
          <w:tcPr>
            <w:tcW w:w="1894" w:type="dxa"/>
          </w:tcPr>
          <w:p>
            <w:pPr>
              <w:pStyle w:val="TableParagraph"/>
              <w:ind w:left="112"/>
              <w:rPr>
                <w:sz w:val="22"/>
              </w:rPr>
            </w:pPr>
            <w:r>
              <w:rPr>
                <w:sz w:val="22"/>
              </w:rPr>
              <w:t>13</w:t>
            </w:r>
          </w:p>
        </w:tc>
        <w:tc>
          <w:tcPr>
            <w:tcW w:w="2179" w:type="dxa"/>
          </w:tcPr>
          <w:p>
            <w:pPr>
              <w:pStyle w:val="TableParagraph"/>
              <w:rPr>
                <w:sz w:val="22"/>
              </w:rPr>
            </w:pPr>
            <w:r>
              <w:rPr>
                <w:sz w:val="22"/>
              </w:rPr>
              <w:t>67</w:t>
            </w:r>
          </w:p>
        </w:tc>
        <w:tc>
          <w:tcPr>
            <w:tcW w:w="2047" w:type="dxa"/>
          </w:tcPr>
          <w:p>
            <w:pPr>
              <w:pStyle w:val="TableParagraph"/>
              <w:ind w:left="116"/>
              <w:rPr>
                <w:sz w:val="22"/>
              </w:rPr>
            </w:pPr>
            <w:r>
              <w:rPr>
                <w:sz w:val="22"/>
              </w:rPr>
              <w:t>14</w:t>
            </w:r>
          </w:p>
        </w:tc>
      </w:tr>
      <w:tr>
        <w:trPr>
          <w:trHeight w:val="357" w:hRule="atLeast"/>
        </w:trPr>
        <w:tc>
          <w:tcPr>
            <w:tcW w:w="468" w:type="dxa"/>
          </w:tcPr>
          <w:p>
            <w:pPr>
              <w:pStyle w:val="TableParagraph"/>
              <w:spacing w:before="42"/>
              <w:rPr>
                <w:sz w:val="22"/>
              </w:rPr>
            </w:pPr>
            <w:r>
              <w:rPr>
                <w:w w:val="100"/>
                <w:sz w:val="22"/>
              </w:rPr>
              <w:t>5</w:t>
            </w:r>
          </w:p>
        </w:tc>
        <w:tc>
          <w:tcPr>
            <w:tcW w:w="1358" w:type="dxa"/>
          </w:tcPr>
          <w:p>
            <w:pPr>
              <w:pStyle w:val="TableParagraph"/>
              <w:spacing w:before="42"/>
              <w:ind w:left="114"/>
              <w:rPr>
                <w:sz w:val="22"/>
              </w:rPr>
            </w:pPr>
            <w:r>
              <w:rPr>
                <w:sz w:val="22"/>
              </w:rPr>
              <w:t>Frederique</w:t>
            </w:r>
          </w:p>
        </w:tc>
        <w:tc>
          <w:tcPr>
            <w:tcW w:w="1894" w:type="dxa"/>
          </w:tcPr>
          <w:p>
            <w:pPr>
              <w:pStyle w:val="TableParagraph"/>
              <w:spacing w:before="42"/>
              <w:ind w:left="112"/>
              <w:rPr>
                <w:sz w:val="22"/>
              </w:rPr>
            </w:pPr>
            <w:r>
              <w:rPr>
                <w:w w:val="100"/>
                <w:sz w:val="22"/>
              </w:rPr>
              <w:t>0</w:t>
            </w:r>
          </w:p>
        </w:tc>
        <w:tc>
          <w:tcPr>
            <w:tcW w:w="2179" w:type="dxa"/>
          </w:tcPr>
          <w:p>
            <w:pPr>
              <w:pStyle w:val="TableParagraph"/>
              <w:spacing w:before="42"/>
              <w:rPr>
                <w:sz w:val="22"/>
              </w:rPr>
            </w:pPr>
            <w:r>
              <w:rPr>
                <w:sz w:val="22"/>
              </w:rPr>
              <w:t>98</w:t>
            </w:r>
          </w:p>
        </w:tc>
        <w:tc>
          <w:tcPr>
            <w:tcW w:w="2047" w:type="dxa"/>
          </w:tcPr>
          <w:p>
            <w:pPr>
              <w:pStyle w:val="TableParagraph"/>
              <w:spacing w:before="42"/>
              <w:ind w:left="116"/>
              <w:rPr>
                <w:sz w:val="22"/>
              </w:rPr>
            </w:pPr>
            <w:r>
              <w:rPr>
                <w:w w:val="100"/>
                <w:sz w:val="22"/>
              </w:rPr>
              <w:t>0</w:t>
            </w:r>
          </w:p>
        </w:tc>
      </w:tr>
    </w:tbl>
    <w:p>
      <w:pPr>
        <w:pStyle w:val="BodyText"/>
        <w:rPr>
          <w:sz w:val="20"/>
        </w:rPr>
      </w:pPr>
    </w:p>
    <w:p>
      <w:pPr>
        <w:pStyle w:val="BodyText"/>
        <w:rPr>
          <w:sz w:val="17"/>
        </w:rPr>
      </w:pPr>
    </w:p>
    <w:p>
      <w:pPr>
        <w:pStyle w:val="BodyText"/>
        <w:spacing w:before="56"/>
        <w:ind w:left="220"/>
      </w:pPr>
      <w:r>
        <w:rPr>
          <w:rFonts w:ascii="Consolas"/>
        </w:rPr>
        <w:t>SUMIFS(B2:C5,A2:A5,"=Julie")</w:t>
      </w:r>
      <w:r>
        <w:rPr>
          <w:rFonts w:ascii="Consolas"/>
          <w:spacing w:val="-66"/>
        </w:rPr>
        <w:t> </w:t>
      </w:r>
      <w:r>
        <w:rPr/>
        <w:t>results in </w:t>
      </w:r>
      <w:r>
        <w:rPr>
          <w:rFonts w:ascii="Consolas"/>
        </w:rPr>
        <w:t>353</w:t>
      </w:r>
      <w:r>
        <w:rPr>
          <w:rFonts w:ascii="Consolas"/>
          <w:spacing w:val="-72"/>
        </w:rPr>
        <w:t> </w:t>
      </w:r>
      <w:r>
        <w:rPr/>
        <w:t>(the sum of the number of tables and chairs sold by Julie)</w:t>
      </w:r>
    </w:p>
    <w:p>
      <w:pPr>
        <w:pStyle w:val="BodyText"/>
        <w:spacing w:before="6"/>
        <w:rPr>
          <w:sz w:val="19"/>
        </w:rPr>
      </w:pPr>
    </w:p>
    <w:p>
      <w:pPr>
        <w:pStyle w:val="BodyText"/>
        <w:spacing w:line="276" w:lineRule="auto"/>
        <w:ind w:left="220" w:right="635"/>
      </w:pPr>
      <w:r>
        <w:rPr>
          <w:rFonts w:ascii="Consolas"/>
        </w:rPr>
        <w:t>SUMIFS(B2:B5,A2:A5,"=Julie",A2:A5,"=Hans")</w:t>
      </w:r>
      <w:r>
        <w:rPr>
          <w:rFonts w:ascii="Consolas"/>
          <w:spacing w:val="-67"/>
        </w:rPr>
        <w:t> </w:t>
      </w:r>
      <w:r>
        <w:rPr/>
        <w:t>results in </w:t>
      </w:r>
      <w:r>
        <w:rPr>
          <w:rFonts w:ascii="Consolas"/>
        </w:rPr>
        <w:t>0</w:t>
      </w:r>
      <w:r>
        <w:rPr>
          <w:rFonts w:ascii="Consolas"/>
          <w:spacing w:val="-73"/>
        </w:rPr>
        <w:t> </w:t>
      </w:r>
      <w:r>
        <w:rPr/>
        <w:t>(the sum of the number of tables sold by Julie and Hans)</w:t>
      </w:r>
    </w:p>
    <w:p>
      <w:pPr>
        <w:pStyle w:val="BodyText"/>
        <w:spacing w:before="4"/>
        <w:rPr>
          <w:sz w:val="16"/>
        </w:rPr>
      </w:pPr>
    </w:p>
    <w:p>
      <w:pPr>
        <w:pStyle w:val="BodyText"/>
        <w:spacing w:line="278" w:lineRule="auto"/>
        <w:ind w:left="220" w:right="443"/>
      </w:pPr>
      <w:r>
        <w:rPr>
          <w:rFonts w:ascii="Consolas"/>
        </w:rPr>
        <w:t>SUMIFS(B2:B5,A3,"=Julie",A4,"=Hans")</w:t>
      </w:r>
      <w:r>
        <w:rPr>
          <w:rFonts w:ascii="Consolas"/>
          <w:spacing w:val="-66"/>
        </w:rPr>
        <w:t> </w:t>
      </w:r>
      <w:r>
        <w:rPr/>
        <w:t>results in </w:t>
      </w:r>
      <w:r>
        <w:rPr>
          <w:rFonts w:ascii="Consolas"/>
        </w:rPr>
        <w:t>34</w:t>
      </w:r>
      <w:r>
        <w:rPr>
          <w:rFonts w:ascii="Consolas"/>
          <w:spacing w:val="-72"/>
        </w:rPr>
        <w:t> </w:t>
      </w:r>
      <w:r>
        <w:rPr/>
        <w:t>(the sum of the the number of tables sold by Julie and Hans)</w:t>
      </w:r>
    </w:p>
    <w:p>
      <w:pPr>
        <w:pStyle w:val="BodyText"/>
        <w:spacing w:line="276" w:lineRule="auto" w:before="195"/>
        <w:ind w:left="220" w:right="488"/>
      </w:pPr>
      <w:r>
        <w:rPr>
          <w:rFonts w:ascii="Consolas"/>
        </w:rPr>
        <w:t>SUMIFS(B2:D5,A2:A5,"&lt;&gt;Emilio")</w:t>
      </w:r>
      <w:r>
        <w:rPr>
          <w:rFonts w:ascii="Consolas"/>
          <w:spacing w:val="-67"/>
        </w:rPr>
        <w:t> </w:t>
      </w:r>
      <w:r>
        <w:rPr/>
        <w:t>results in </w:t>
      </w:r>
      <w:r>
        <w:rPr>
          <w:rFonts w:ascii="Consolas"/>
        </w:rPr>
        <w:t>768</w:t>
      </w:r>
      <w:r>
        <w:rPr>
          <w:rFonts w:ascii="Consolas"/>
          <w:spacing w:val="-72"/>
        </w:rPr>
        <w:t> </w:t>
      </w:r>
      <w:r>
        <w:rPr/>
        <w:t>(the sum of the number of tables, chairs, and desks sold by all sales persons except Emilio)</w:t>
      </w:r>
    </w:p>
    <w:p>
      <w:pPr>
        <w:pStyle w:val="BodyText"/>
        <w:spacing w:before="6"/>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09 SUMPRODUCT" w:id="2319"/>
      <w:bookmarkEnd w:id="2319"/>
      <w:r>
        <w:rPr/>
      </w:r>
      <w:bookmarkStart w:name="_bookmark772" w:id="2320"/>
      <w:bookmarkEnd w:id="2320"/>
      <w:r>
        <w:rPr/>
      </w:r>
      <w:bookmarkStart w:name="_bookmark772" w:id="2321"/>
      <w:bookmarkEnd w:id="2321"/>
      <w:r>
        <w:rPr>
          <w:color w:val="4F81BC"/>
        </w:rPr>
        <w:t>SU</w:t>
      </w:r>
      <w:r>
        <w:rPr>
          <w:color w:val="4F81BC"/>
        </w:rPr>
        <w:t>MPRODUCT</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SUMPRODUCT ( </w:t>
      </w:r>
      <w:r>
        <w:rPr>
          <w:i/>
          <w:sz w:val="22"/>
        </w:rPr>
        <w:t>argument-list </w:t>
      </w:r>
      <w:r>
        <w:rPr>
          <w:rFonts w:ascii="Lucida Console"/>
          <w:sz w:val="20"/>
        </w:rPr>
        <w:t>)</w:t>
      </w:r>
    </w:p>
    <w:p>
      <w:pPr>
        <w:pStyle w:val="BodyText"/>
        <w:spacing w:line="278" w:lineRule="auto" w:before="106"/>
        <w:ind w:left="220" w:right="396"/>
      </w:pPr>
      <w:r>
        <w:rPr>
          <w:b/>
        </w:rPr>
        <w:t>Description: </w:t>
      </w:r>
      <w:r>
        <w:rPr/>
        <w:t>Multiplies the corresponding elements in the array </w:t>
      </w:r>
      <w:r>
        <w:rPr>
          <w:rFonts w:ascii="Times New Roman"/>
          <w:i/>
        </w:rPr>
        <w:t>argument</w:t>
      </w:r>
      <w:r>
        <w:rPr/>
        <w:t>s in </w:t>
      </w:r>
      <w:r>
        <w:rPr>
          <w:rFonts w:ascii="Times New Roman"/>
          <w:i/>
        </w:rPr>
        <w:t>argument-list</w:t>
      </w:r>
      <w:r>
        <w:rPr/>
        <w:t>, and returns the sum of those products. An array element that is not numeric is treated as if it contained 0.</w:t>
      </w:r>
    </w:p>
    <w:p>
      <w:pPr>
        <w:pStyle w:val="Heading4"/>
        <w:spacing w:before="197"/>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94" w:right="113"/>
              <w:jc w:val="center"/>
              <w:rPr>
                <w:sz w:val="22"/>
              </w:rPr>
            </w:pPr>
            <w:r>
              <w:rPr>
                <w:sz w:val="22"/>
              </w:rPr>
              <w:t>array of numbers</w:t>
            </w:r>
          </w:p>
        </w:tc>
        <w:tc>
          <w:tcPr>
            <w:tcW w:w="5400" w:type="dxa"/>
          </w:tcPr>
          <w:p>
            <w:pPr>
              <w:pStyle w:val="TableParagraph"/>
              <w:ind w:left="11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numeric values to be multiplied.</w:t>
            </w:r>
          </w:p>
        </w:tc>
      </w:tr>
    </w:tbl>
    <w:p>
      <w:pPr>
        <w:pStyle w:val="BodyText"/>
        <w:rPr>
          <w:b/>
        </w:rPr>
      </w:pPr>
    </w:p>
    <w:p>
      <w:pPr>
        <w:pStyle w:val="BodyText"/>
        <w:spacing w:before="5"/>
        <w:rPr>
          <w:b/>
          <w:sz w:val="19"/>
        </w:rPr>
      </w:pPr>
    </w:p>
    <w:p>
      <w:pPr>
        <w:spacing w:before="0"/>
        <w:ind w:left="220" w:right="0" w:firstLine="0"/>
        <w:jc w:val="left"/>
        <w:rPr>
          <w:sz w:val="22"/>
        </w:rPr>
      </w:pPr>
      <w:r>
        <w:rPr>
          <w:b/>
          <w:sz w:val="22"/>
        </w:rPr>
        <w:t>Return Type and Value: </w:t>
      </w:r>
      <w:r>
        <w:rPr>
          <w:sz w:val="22"/>
        </w:rPr>
        <w:t>number – The sum of the products of the corresponding elements in the </w:t>
      </w:r>
      <w:r>
        <w:rPr>
          <w:rFonts w:ascii="Times New Roman" w:hAnsi="Times New Roman"/>
          <w:i/>
          <w:sz w:val="22"/>
        </w:rPr>
        <w:t>argument</w:t>
      </w:r>
      <w:r>
        <w:rPr>
          <w:sz w:val="22"/>
        </w:rPr>
        <w:t>s in</w:t>
      </w:r>
    </w:p>
    <w:p>
      <w:pPr>
        <w:spacing w:before="44"/>
        <w:ind w:left="220" w:right="0" w:firstLine="0"/>
        <w:jc w:val="left"/>
        <w:rPr>
          <w:sz w:val="22"/>
        </w:rPr>
      </w:pPr>
      <w:r>
        <w:rPr>
          <w:rFonts w:ascii="Times New Roman"/>
          <w:i/>
          <w:sz w:val="22"/>
        </w:rPr>
        <w:t>argument-list</w:t>
      </w:r>
      <w:r>
        <w:rPr>
          <w:sz w:val="22"/>
        </w:rPr>
        <w:t>.</w:t>
      </w:r>
    </w:p>
    <w:p>
      <w:pPr>
        <w:pStyle w:val="BodyText"/>
        <w:spacing w:before="8"/>
        <w:rPr>
          <w:sz w:val="19"/>
        </w:rPr>
      </w:pPr>
    </w:p>
    <w:p>
      <w:pPr>
        <w:pStyle w:val="BodyText"/>
        <w:spacing w:line="453" w:lineRule="auto"/>
        <w:ind w:left="220" w:right="2289"/>
      </w:pPr>
      <w:r>
        <w:rPr/>
        <w:t>However, if the array arguments do not have the same dimensions, </w:t>
      </w:r>
      <w:r>
        <w:rPr>
          <w:rFonts w:ascii="Consolas"/>
        </w:rPr>
        <w:t>#NUM!</w:t>
      </w:r>
      <w:r>
        <w:rPr>
          <w:rFonts w:ascii="Consolas"/>
          <w:spacing w:val="-98"/>
        </w:rPr>
        <w:t> </w:t>
      </w:r>
      <w:r>
        <w:rPr/>
        <w:t>is returned. [</w:t>
      </w:r>
      <w:r>
        <w:rPr>
          <w:i/>
        </w:rPr>
        <w:t>Example</w:t>
      </w:r>
      <w:r>
        <w:rPr/>
        <w:t>:</w:t>
      </w:r>
    </w:p>
    <w:p>
      <w:pPr>
        <w:pStyle w:val="BodyText"/>
        <w:spacing w:line="276" w:lineRule="auto" w:before="108"/>
        <w:ind w:left="220" w:right="6515"/>
        <w:rPr>
          <w:rFonts w:ascii="Consolas"/>
        </w:rPr>
      </w:pPr>
      <w:r>
        <w:rPr>
          <w:rFonts w:ascii="Consolas"/>
        </w:rPr>
        <w:t>SUMPRODUCT({2,3}) </w:t>
      </w:r>
      <w:r>
        <w:rPr/>
        <w:t>results in </w:t>
      </w:r>
      <w:r>
        <w:rPr>
          <w:rFonts w:ascii="Consolas"/>
        </w:rPr>
        <w:t>5 SUMPRODUCT({2,3},{4,5})</w:t>
      </w:r>
      <w:r>
        <w:rPr>
          <w:rFonts w:ascii="Consolas"/>
          <w:spacing w:val="-84"/>
        </w:rPr>
        <w:t> </w:t>
      </w:r>
      <w:r>
        <w:rPr/>
        <w:t>results in </w:t>
      </w:r>
      <w:r>
        <w:rPr>
          <w:rFonts w:ascii="Consolas"/>
        </w:rPr>
        <w:t>23</w:t>
      </w:r>
    </w:p>
    <w:p>
      <w:pPr>
        <w:spacing w:after="0" w:line="276" w:lineRule="auto"/>
        <w:rPr>
          <w:rFonts w:ascii="Consolas"/>
        </w:rPr>
        <w:sectPr>
          <w:pgSz w:w="12240" w:h="15840"/>
          <w:pgMar w:header="761" w:footer="746" w:top="1340" w:bottom="940" w:left="860" w:right="700"/>
        </w:sectPr>
      </w:pPr>
    </w:p>
    <w:p>
      <w:pPr>
        <w:pStyle w:val="BodyText"/>
        <w:spacing w:before="148"/>
        <w:ind w:left="220"/>
        <w:rPr>
          <w:rFonts w:ascii="Consolas"/>
        </w:rPr>
      </w:pPr>
      <w:r>
        <w:rPr>
          <w:rFonts w:ascii="Consolas"/>
        </w:rPr>
        <w:t>SUMPRODUCT({2,3},{4,5},{2,2})</w:t>
      </w:r>
      <w:r>
        <w:rPr>
          <w:rFonts w:ascii="Consolas"/>
          <w:spacing w:val="-70"/>
        </w:rPr>
        <w:t> </w:t>
      </w:r>
      <w:r>
        <w:rPr/>
        <w:t>results in </w:t>
      </w:r>
      <w:r>
        <w:rPr>
          <w:rFonts w:ascii="Consolas"/>
        </w:rPr>
        <w:t>46</w:t>
      </w:r>
    </w:p>
    <w:p>
      <w:pPr>
        <w:pStyle w:val="BodyText"/>
        <w:spacing w:before="41"/>
        <w:ind w:left="220"/>
        <w:rPr>
          <w:rFonts w:ascii="Consolas"/>
        </w:rPr>
      </w:pPr>
      <w:r>
        <w:rPr>
          <w:rFonts w:ascii="Consolas"/>
        </w:rPr>
        <w:t>SUMPRODUCT({2,3;4,5},{2,2;3,4})</w:t>
      </w:r>
      <w:r>
        <w:rPr>
          <w:rFonts w:ascii="Consolas"/>
          <w:spacing w:val="-68"/>
        </w:rPr>
        <w:t> </w:t>
      </w:r>
      <w:r>
        <w:rPr/>
        <w:t>results in </w:t>
      </w:r>
      <w:r>
        <w:rPr>
          <w:rFonts w:ascii="Consolas"/>
        </w:rPr>
        <w:t>42</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0 SUMSQ" w:id="2322"/>
      <w:bookmarkEnd w:id="2322"/>
      <w:r>
        <w:rPr/>
      </w:r>
      <w:bookmarkStart w:name="_bookmark773" w:id="2323"/>
      <w:bookmarkEnd w:id="2323"/>
      <w:r>
        <w:rPr/>
      </w:r>
      <w:bookmarkStart w:name="_bookmark773" w:id="2324"/>
      <w:bookmarkEnd w:id="2324"/>
      <w:r>
        <w:rPr>
          <w:color w:val="4F81BC"/>
        </w:rPr>
        <w:t>SU</w:t>
      </w:r>
      <w:r>
        <w:rPr>
          <w:color w:val="4F81BC"/>
        </w:rPr>
        <w:t>MSQ</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SUMSQ ( </w:t>
      </w:r>
      <w:r>
        <w:rPr>
          <w:i/>
          <w:sz w:val="22"/>
        </w:rPr>
        <w:t>argument-list </w:t>
      </w:r>
      <w:r>
        <w:rPr>
          <w:rFonts w:ascii="Lucida Console"/>
          <w:sz w:val="20"/>
        </w:rPr>
        <w:t>)</w:t>
      </w:r>
    </w:p>
    <w:p>
      <w:pPr>
        <w:spacing w:before="108"/>
        <w:ind w:left="220" w:right="0" w:firstLine="0"/>
        <w:jc w:val="left"/>
        <w:rPr>
          <w:sz w:val="22"/>
        </w:rPr>
      </w:pPr>
      <w:r>
        <w:rPr>
          <w:b/>
          <w:sz w:val="22"/>
        </w:rPr>
        <w:t>Description: </w:t>
      </w:r>
      <w:r>
        <w:rPr>
          <w:sz w:val="22"/>
        </w:rPr>
        <w:t>Adds the squares of </w:t>
      </w:r>
      <w:r>
        <w:rPr>
          <w:rFonts w:ascii="Times New Roman"/>
          <w:i/>
          <w:sz w:val="22"/>
        </w:rPr>
        <w:t>argument</w:t>
      </w:r>
      <w:r>
        <w:rPr>
          <w:sz w:val="22"/>
        </w:rPr>
        <w:t>s in </w:t>
      </w:r>
      <w:r>
        <w:rPr>
          <w:rFonts w:ascii="Times New Roman"/>
          <w:i/>
          <w:sz w:val="22"/>
        </w:rPr>
        <w:t>argument-list</w:t>
      </w:r>
      <w:r>
        <w:rPr>
          <w:sz w:val="22"/>
        </w:rPr>
        <w:t>.</w:t>
      </w:r>
    </w:p>
    <w:p>
      <w:pPr>
        <w:pStyle w:val="BodyText"/>
        <w:spacing w:before="8"/>
        <w:rPr>
          <w:sz w:val="19"/>
        </w:rPr>
      </w:pPr>
    </w:p>
    <w:p>
      <w:pPr>
        <w:pStyle w:val="Heading4"/>
      </w:pPr>
      <w:r>
        <w:rPr/>
        <w:t>Arguments:</w:t>
      </w:r>
    </w:p>
    <w:p>
      <w:pPr>
        <w:pStyle w:val="BodyText"/>
        <w:spacing w:before="10"/>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7"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text, array, reference</w:t>
            </w:r>
          </w:p>
        </w:tc>
        <w:tc>
          <w:tcPr>
            <w:tcW w:w="5400" w:type="dxa"/>
          </w:tcPr>
          <w:p>
            <w:pPr>
              <w:pStyle w:val="TableParagraph"/>
              <w:ind w:left="113" w:right="294"/>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values whose squares are to be summed. Arguments that are numbers, logical values, or text representations of numbers shall be counted. If an argument is an array or reference, only numbers in that array or reference shall be counted. Empty cells, logical values, and text in the array or reference shall be ignored.</w:t>
            </w:r>
          </w:p>
        </w:tc>
      </w:tr>
    </w:tbl>
    <w:p>
      <w:pPr>
        <w:pStyle w:val="BodyText"/>
        <w:rPr>
          <w:b/>
        </w:rPr>
      </w:pPr>
    </w:p>
    <w:p>
      <w:pPr>
        <w:pStyle w:val="BodyText"/>
        <w:spacing w:before="7"/>
        <w:rPr>
          <w:b/>
          <w:sz w:val="19"/>
        </w:rPr>
      </w:pPr>
    </w:p>
    <w:p>
      <w:pPr>
        <w:spacing w:line="453" w:lineRule="auto" w:before="0"/>
        <w:ind w:left="220" w:right="3684" w:firstLine="0"/>
        <w:jc w:val="left"/>
        <w:rPr>
          <w:sz w:val="22"/>
        </w:rPr>
      </w:pPr>
      <w:r>
        <w:rPr>
          <w:b/>
          <w:sz w:val="22"/>
        </w:rPr>
        <w:t>Return Type and Value: </w:t>
      </w:r>
      <w:r>
        <w:rPr>
          <w:sz w:val="22"/>
        </w:rPr>
        <w:t>number – The sum of the squares of its arguments. [</w:t>
      </w:r>
      <w:r>
        <w:rPr>
          <w:i/>
          <w:sz w:val="22"/>
        </w:rPr>
        <w:t>Example</w:t>
      </w:r>
      <w:r>
        <w:rPr>
          <w:sz w:val="22"/>
        </w:rPr>
        <w:t>:</w:t>
      </w:r>
    </w:p>
    <w:p>
      <w:pPr>
        <w:pStyle w:val="BodyText"/>
        <w:spacing w:before="109"/>
        <w:ind w:left="220"/>
        <w:rPr>
          <w:rFonts w:ascii="Consolas"/>
        </w:rPr>
      </w:pPr>
      <w:r>
        <w:rPr>
          <w:rFonts w:ascii="Consolas"/>
        </w:rPr>
        <w:t>SUMSQ(2)</w:t>
      </w:r>
      <w:r>
        <w:rPr>
          <w:rFonts w:ascii="Consolas"/>
          <w:spacing w:val="-71"/>
        </w:rPr>
        <w:t> </w:t>
      </w:r>
      <w:r>
        <w:rPr/>
        <w:t>results in </w:t>
      </w:r>
      <w:r>
        <w:rPr>
          <w:rFonts w:ascii="Consolas"/>
        </w:rPr>
        <w:t>4</w:t>
      </w:r>
    </w:p>
    <w:p>
      <w:pPr>
        <w:pStyle w:val="BodyText"/>
        <w:spacing w:line="273" w:lineRule="auto" w:before="41"/>
        <w:ind w:left="220" w:right="6277"/>
        <w:rPr>
          <w:rFonts w:ascii="Consolas"/>
        </w:rPr>
      </w:pPr>
      <w:r>
        <w:rPr>
          <w:rFonts w:ascii="Consolas"/>
        </w:rPr>
        <w:t>SUMSQ(2.5,-3.6)) </w:t>
      </w:r>
      <w:r>
        <w:rPr/>
        <w:t>results in </w:t>
      </w:r>
      <w:r>
        <w:rPr>
          <w:rFonts w:ascii="Consolas"/>
        </w:rPr>
        <w:t>19.21 SUMSQ({2.5,-3.6)},2.4)</w:t>
      </w:r>
      <w:r>
        <w:rPr>
          <w:rFonts w:ascii="Consolas"/>
          <w:spacing w:val="-88"/>
        </w:rPr>
        <w:t> </w:t>
      </w:r>
      <w:r>
        <w:rPr/>
        <w:t>results in </w:t>
      </w:r>
      <w:r>
        <w:rPr>
          <w:rFonts w:ascii="Consolas"/>
        </w:rPr>
        <w:t>24.97</w:t>
      </w:r>
    </w:p>
    <w:p>
      <w:pPr>
        <w:pStyle w:val="BodyText"/>
        <w:rPr>
          <w:rFonts w:ascii="Consolas"/>
          <w:sz w:val="27"/>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1 SUMX2MY2" w:id="2325"/>
      <w:bookmarkEnd w:id="2325"/>
      <w:r>
        <w:rPr/>
      </w:r>
      <w:bookmarkStart w:name="_bookmark774" w:id="2326"/>
      <w:bookmarkEnd w:id="2326"/>
      <w:r>
        <w:rPr/>
      </w:r>
      <w:bookmarkStart w:name="_bookmark774" w:id="2327"/>
      <w:bookmarkEnd w:id="2327"/>
      <w:r>
        <w:rPr>
          <w:color w:val="4F81BC"/>
        </w:rPr>
        <w:t>SU</w:t>
      </w:r>
      <w:r>
        <w:rPr>
          <w:color w:val="4F81BC"/>
        </w:rPr>
        <w:t>MX2MY2</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SUMX2MY2 ( </w:t>
      </w:r>
      <w:r>
        <w:rPr>
          <w:i/>
          <w:sz w:val="22"/>
        </w:rPr>
        <w:t>array-1 </w:t>
      </w:r>
      <w:r>
        <w:rPr>
          <w:rFonts w:ascii="Lucida Console"/>
          <w:sz w:val="20"/>
        </w:rPr>
        <w:t>, </w:t>
      </w:r>
      <w:r>
        <w:rPr>
          <w:i/>
          <w:sz w:val="22"/>
        </w:rPr>
        <w:t>array-2 </w:t>
      </w:r>
      <w:r>
        <w:rPr>
          <w:rFonts w:ascii="Lucida Console"/>
          <w:sz w:val="20"/>
        </w:rPr>
        <w:t>)</w:t>
      </w:r>
    </w:p>
    <w:p>
      <w:pPr>
        <w:pStyle w:val="BodyText"/>
        <w:spacing w:line="278" w:lineRule="auto" w:before="107"/>
        <w:ind w:left="220" w:right="719"/>
      </w:pPr>
      <w:r>
        <w:rPr>
          <w:b/>
        </w:rPr>
        <w:t>Description: </w:t>
      </w:r>
      <w:r>
        <w:rPr/>
        <w:t>Computes the sum of the difference of squares of the corresponding numerical elements in two arrays designated by </w:t>
      </w:r>
      <w:r>
        <w:rPr>
          <w:rFonts w:ascii="Times New Roman"/>
          <w:i/>
        </w:rPr>
        <w:t>array-1 </w:t>
      </w:r>
      <w:r>
        <w:rPr/>
        <w:t>and </w:t>
      </w:r>
      <w:r>
        <w:rPr>
          <w:rFonts w:ascii="Times New Roman"/>
          <w:i/>
        </w:rPr>
        <w:t>array-2</w:t>
      </w:r>
      <w:r>
        <w:rPr/>
        <w:t>.</w:t>
      </w:r>
    </w:p>
    <w:p>
      <w:pPr>
        <w:pStyle w:val="Heading4"/>
        <w:spacing w:before="198"/>
        <w:rPr>
          <w:b w:val="0"/>
        </w:rPr>
      </w:pPr>
      <w:r>
        <w:rPr/>
        <w:t>Mathematical Formula</w:t>
      </w:r>
      <w:r>
        <w:rPr>
          <w:b w:val="0"/>
        </w:rPr>
        <w:t>:</w:t>
      </w:r>
    </w:p>
    <w:p>
      <w:pPr>
        <w:pStyle w:val="BodyText"/>
        <w:spacing w:before="6"/>
        <w:rPr>
          <w:sz w:val="26"/>
        </w:rPr>
      </w:pPr>
    </w:p>
    <w:p>
      <w:pPr>
        <w:pStyle w:val="BodyText"/>
        <w:ind w:left="220"/>
        <w:rPr>
          <w:rFonts w:ascii="Cambria Math" w:hAnsi="Cambria Math" w:eastAsia="Cambria Math"/>
        </w:rPr>
      </w:pPr>
      <w:r>
        <w:rPr>
          <w:rFonts w:ascii="Cambria Math" w:hAnsi="Cambria Math" w:eastAsia="Cambria Math"/>
          <w:w w:val="100"/>
        </w:rPr>
        <w:t>𝑆</w:t>
      </w:r>
      <w:r>
        <w:rPr>
          <w:rFonts w:ascii="Cambria Math" w:hAnsi="Cambria Math" w:eastAsia="Cambria Math"/>
          <w:spacing w:val="-1"/>
          <w:w w:val="100"/>
        </w:rPr>
        <w:t>𝑈𝑀𝑋</w:t>
      </w:r>
      <w:r>
        <w:rPr>
          <w:rFonts w:ascii="Cambria Math" w:hAnsi="Cambria Math" w:eastAsia="Cambria Math"/>
          <w:w w:val="100"/>
        </w:rPr>
        <w:t>2</w:t>
      </w:r>
      <w:r>
        <w:rPr>
          <w:rFonts w:ascii="Cambria Math" w:hAnsi="Cambria Math" w:eastAsia="Cambria Math"/>
          <w:spacing w:val="-1"/>
          <w:w w:val="100"/>
        </w:rPr>
        <w:t>𝑀𝑌</w:t>
      </w:r>
      <w:r>
        <w:rPr>
          <w:rFonts w:ascii="Cambria Math" w:hAnsi="Cambria Math" w:eastAsia="Cambria Math"/>
          <w:w w:val="100"/>
        </w:rPr>
        <w:t>2</w:t>
      </w:r>
      <w:r>
        <w:rPr>
          <w:rFonts w:ascii="Cambria Math" w:hAnsi="Cambria Math" w:eastAsia="Cambria Math"/>
          <w:spacing w:val="11"/>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11"/>
        </w:rPr>
        <w:t> </w:t>
      </w:r>
      <w:r>
        <w:rPr>
          <w:rFonts w:ascii="Cambria Math" w:hAnsi="Cambria Math" w:eastAsia="Cambria Math"/>
          <w:w w:val="187"/>
        </w:rPr>
        <w:t>∑</w:t>
      </w:r>
      <w:r>
        <w:rPr>
          <w:rFonts w:ascii="Cambria Math" w:hAnsi="Cambria Math" w:eastAsia="Cambria Math"/>
          <w:spacing w:val="-1"/>
          <w:w w:val="100"/>
          <w:position w:val="1"/>
        </w:rPr>
        <w:t>(</w:t>
      </w:r>
      <w:r>
        <w:rPr>
          <w:rFonts w:ascii="Cambria Math" w:hAnsi="Cambria Math" w:eastAsia="Cambria Math"/>
          <w:spacing w:val="12"/>
          <w:w w:val="100"/>
        </w:rPr>
        <w:t>𝑥</w:t>
      </w:r>
      <w:r>
        <w:rPr>
          <w:rFonts w:ascii="Cambria Math" w:hAnsi="Cambria Math" w:eastAsia="Cambria Math"/>
          <w:w w:val="93"/>
          <w:vertAlign w:val="superscript"/>
        </w:rPr>
        <w:t>2</w:t>
      </w:r>
      <w:r>
        <w:rPr>
          <w:rFonts w:ascii="Cambria Math" w:hAnsi="Cambria Math" w:eastAsia="Cambria Math"/>
          <w:spacing w:val="7"/>
          <w:vertAlign w:val="baseline"/>
        </w:rPr>
        <w:t> </w:t>
      </w:r>
      <w:r>
        <w:rPr>
          <w:rFonts w:ascii="Cambria Math" w:hAnsi="Cambria Math" w:eastAsia="Cambria Math"/>
          <w:w w:val="100"/>
          <w:vertAlign w:val="baseline"/>
        </w:rPr>
        <w:t>−</w:t>
      </w:r>
      <w:r>
        <w:rPr>
          <w:rFonts w:ascii="Cambria Math" w:hAnsi="Cambria Math" w:eastAsia="Cambria Math"/>
          <w:vertAlign w:val="baseline"/>
        </w:rPr>
        <w:t> </w:t>
      </w:r>
      <w:r>
        <w:rPr>
          <w:rFonts w:ascii="Cambria Math" w:hAnsi="Cambria Math" w:eastAsia="Cambria Math"/>
          <w:spacing w:val="10"/>
          <w:w w:val="100"/>
          <w:vertAlign w:val="baseline"/>
        </w:rPr>
        <w:t>𝑦</w:t>
      </w:r>
      <w:r>
        <w:rPr>
          <w:rFonts w:ascii="Cambria Math" w:hAnsi="Cambria Math" w:eastAsia="Cambria Math"/>
          <w:spacing w:val="10"/>
          <w:w w:val="93"/>
          <w:vertAlign w:val="superscript"/>
        </w:rPr>
        <w:t>2</w:t>
      </w:r>
      <w:r>
        <w:rPr>
          <w:rFonts w:ascii="Cambria Math" w:hAnsi="Cambria Math" w:eastAsia="Cambria Math"/>
          <w:w w:val="100"/>
          <w:position w:val="1"/>
          <w:vertAlign w:val="baseline"/>
        </w:rPr>
        <w:t>)</w:t>
      </w:r>
    </w:p>
    <w:p>
      <w:pPr>
        <w:spacing w:after="0"/>
        <w:rPr>
          <w:rFonts w:ascii="Cambria Math" w:hAnsi="Cambria Math" w:eastAsia="Cambria Math"/>
        </w:rPr>
        <w:sectPr>
          <w:pgSz w:w="12240" w:h="15840"/>
          <w:pgMar w:header="763" w:footer="746" w:top="1340" w:bottom="940" w:left="860" w:right="700"/>
        </w:sectPr>
      </w:pPr>
    </w:p>
    <w:p>
      <w:pPr>
        <w:pStyle w:val="BodyText"/>
        <w:spacing w:before="93"/>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array-1 </w:t>
      </w:r>
      <w:r>
        <w:rPr>
          <w:sz w:val="22"/>
        </w:rPr>
        <w:t>contains the </w:t>
      </w:r>
      <w:r>
        <w:rPr>
          <w:rFonts w:ascii="Times New Roman" w:hAnsi="Times New Roman"/>
          <w:i/>
          <w:sz w:val="22"/>
        </w:rPr>
        <w:t>x</w:t>
      </w:r>
      <w:r>
        <w:rPr>
          <w:rFonts w:ascii="Times New Roman" w:hAnsi="Times New Roman"/>
          <w:i/>
          <w:spacing w:val="-17"/>
          <w:sz w:val="22"/>
        </w:rPr>
        <w:t> </w:t>
      </w:r>
      <w:r>
        <w:rPr>
          <w:sz w:val="22"/>
        </w:rPr>
        <w:t>values</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array-2 </w:t>
      </w:r>
      <w:r>
        <w:rPr>
          <w:sz w:val="22"/>
        </w:rPr>
        <w:t>contains the </w:t>
      </w:r>
      <w:r>
        <w:rPr>
          <w:rFonts w:ascii="Times New Roman" w:hAnsi="Times New Roman"/>
          <w:i/>
          <w:sz w:val="22"/>
        </w:rPr>
        <w:t>y</w:t>
      </w:r>
      <w:r>
        <w:rPr>
          <w:rFonts w:ascii="Times New Roman" w:hAnsi="Times New Roman"/>
          <w:i/>
          <w:spacing w:val="-17"/>
          <w:sz w:val="22"/>
        </w:rPr>
        <w:t> </w:t>
      </w:r>
      <w:r>
        <w:rPr>
          <w:sz w:val="22"/>
        </w:rPr>
        <w:t>values</w:t>
      </w:r>
    </w:p>
    <w:p>
      <w:pPr>
        <w:pStyle w:val="Heading4"/>
        <w:spacing w:before="240"/>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340"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vMerge w:val="restart"/>
          </w:tcPr>
          <w:p>
            <w:pPr>
              <w:pStyle w:val="TableParagraph"/>
              <w:ind w:left="112"/>
              <w:rPr>
                <w:sz w:val="22"/>
              </w:rPr>
            </w:pPr>
            <w:r>
              <w:rPr>
                <w:sz w:val="22"/>
              </w:rPr>
              <w:t>array, reference</w:t>
            </w:r>
          </w:p>
        </w:tc>
        <w:tc>
          <w:tcPr>
            <w:tcW w:w="5400" w:type="dxa"/>
            <w:vMerge w:val="restart"/>
          </w:tcPr>
          <w:p>
            <w:pPr>
              <w:pStyle w:val="TableParagraph"/>
              <w:ind w:left="113" w:right="213"/>
              <w:rPr>
                <w:sz w:val="22"/>
              </w:rPr>
            </w:pPr>
            <w:r>
              <w:rPr>
                <w:sz w:val="22"/>
              </w:rPr>
              <w:t>Designated the arrays to be operated on. If an argument contains text, logical values, or empty cells, those elements shall be ignored; however, cells with the</w:t>
            </w:r>
          </w:p>
          <w:p>
            <w:pPr>
              <w:pStyle w:val="TableParagraph"/>
              <w:spacing w:before="0"/>
              <w:ind w:left="113"/>
              <w:rPr>
                <w:sz w:val="22"/>
              </w:rPr>
            </w:pPr>
            <w:r>
              <w:rPr>
                <w:sz w:val="22"/>
              </w:rPr>
              <w:t>value 0 shall be included.</w:t>
            </w:r>
          </w:p>
        </w:tc>
      </w:tr>
      <w:tr>
        <w:trPr>
          <w:trHeight w:val="810" w:hRule="atLeast"/>
        </w:trPr>
        <w:tc>
          <w:tcPr>
            <w:tcW w:w="1466" w:type="dxa"/>
          </w:tcPr>
          <w:p>
            <w:pPr>
              <w:pStyle w:val="TableParagraph"/>
              <w:spacing w:before="37"/>
              <w:rPr>
                <w:rFonts w:ascii="Times New Roman"/>
                <w:i/>
                <w:sz w:val="22"/>
              </w:rPr>
            </w:pPr>
            <w:r>
              <w:rPr>
                <w:rFonts w:ascii="Times New Roman"/>
                <w:i/>
                <w:sz w:val="22"/>
              </w:rPr>
              <w:t>array-2</w:t>
            </w:r>
          </w:p>
        </w:tc>
        <w:tc>
          <w:tcPr>
            <w:tcW w:w="1800" w:type="dxa"/>
            <w:vMerge/>
            <w:tcBorders>
              <w:top w:val="nil"/>
            </w:tcBorders>
          </w:tcPr>
          <w:p>
            <w:pPr>
              <w:rPr>
                <w:sz w:val="2"/>
                <w:szCs w:val="2"/>
              </w:rPr>
            </w:pPr>
          </w:p>
        </w:tc>
        <w:tc>
          <w:tcPr>
            <w:tcW w:w="5400" w:type="dxa"/>
            <w:vMerge/>
            <w:tcBorders>
              <w:top w:val="nil"/>
            </w:tcBorders>
          </w:tcPr>
          <w:p>
            <w:pPr>
              <w:rPr>
                <w:sz w:val="2"/>
                <w:szCs w:val="2"/>
              </w:rPr>
            </w:pPr>
          </w:p>
        </w:tc>
      </w:tr>
    </w:tbl>
    <w:p>
      <w:pPr>
        <w:pStyle w:val="BodyText"/>
        <w:rPr>
          <w:b/>
        </w:rPr>
      </w:pPr>
    </w:p>
    <w:p>
      <w:pPr>
        <w:pStyle w:val="BodyText"/>
        <w:rPr>
          <w:b/>
        </w:rPr>
      </w:pPr>
    </w:p>
    <w:p>
      <w:pPr>
        <w:pStyle w:val="BodyText"/>
        <w:rPr>
          <w:b/>
        </w:rPr>
      </w:pPr>
    </w:p>
    <w:p>
      <w:pPr>
        <w:pStyle w:val="BodyText"/>
        <w:spacing w:before="1"/>
        <w:rPr>
          <w:b/>
          <w:sz w:val="17"/>
        </w:rPr>
      </w:pPr>
    </w:p>
    <w:p>
      <w:pPr>
        <w:spacing w:line="278" w:lineRule="auto" w:before="1"/>
        <w:ind w:left="220" w:right="633" w:firstLine="0"/>
        <w:jc w:val="left"/>
        <w:rPr>
          <w:sz w:val="22"/>
        </w:rPr>
      </w:pPr>
      <w:r>
        <w:rPr>
          <w:b/>
          <w:sz w:val="22"/>
        </w:rPr>
        <w:t>Return Type and Value: </w:t>
      </w:r>
      <w:r>
        <w:rPr>
          <w:sz w:val="22"/>
        </w:rPr>
        <w:t>number – The sum of the difference of squares of the corresponding elements in two arrays designated by </w:t>
      </w:r>
      <w:r>
        <w:rPr>
          <w:rFonts w:ascii="Times New Roman" w:hAnsi="Times New Roman"/>
          <w:i/>
          <w:sz w:val="22"/>
        </w:rPr>
        <w:t>array-1 </w:t>
      </w:r>
      <w:r>
        <w:rPr>
          <w:sz w:val="22"/>
        </w:rPr>
        <w:t>and </w:t>
      </w:r>
      <w:r>
        <w:rPr>
          <w:rFonts w:ascii="Times New Roman" w:hAnsi="Times New Roman"/>
          <w:i/>
          <w:sz w:val="22"/>
        </w:rPr>
        <w:t>array-2</w:t>
      </w:r>
      <w:r>
        <w:rPr>
          <w:sz w:val="22"/>
        </w:rPr>
        <w:t>.</w:t>
      </w:r>
    </w:p>
    <w:p>
      <w:pPr>
        <w:spacing w:line="453" w:lineRule="auto" w:before="197"/>
        <w:ind w:left="220" w:right="1028" w:firstLine="0"/>
        <w:jc w:val="left"/>
        <w:rPr>
          <w:sz w:val="22"/>
        </w:rPr>
      </w:pPr>
      <w:r>
        <w:rPr>
          <w:sz w:val="22"/>
        </w:rPr>
        <w:t>However, if </w:t>
      </w:r>
      <w:r>
        <w:rPr>
          <w:rFonts w:ascii="Times New Roman"/>
          <w:i/>
          <w:sz w:val="22"/>
        </w:rPr>
        <w:t>array-1 </w:t>
      </w:r>
      <w:r>
        <w:rPr>
          <w:sz w:val="22"/>
        </w:rPr>
        <w:t>and </w:t>
      </w:r>
      <w:r>
        <w:rPr>
          <w:rFonts w:ascii="Times New Roman"/>
          <w:i/>
          <w:sz w:val="22"/>
        </w:rPr>
        <w:t>array-2 </w:t>
      </w:r>
      <w:r>
        <w:rPr>
          <w:sz w:val="22"/>
        </w:rPr>
        <w:t>have a different number of values, the return value is unspecified. [</w:t>
      </w:r>
      <w:r>
        <w:rPr>
          <w:i/>
          <w:sz w:val="22"/>
        </w:rPr>
        <w:t>Example</w:t>
      </w:r>
      <w:r>
        <w:rPr>
          <w:sz w:val="22"/>
        </w:rPr>
        <w:t>:</w:t>
      </w:r>
    </w:p>
    <w:p>
      <w:pPr>
        <w:pStyle w:val="BodyText"/>
        <w:spacing w:before="108"/>
        <w:ind w:left="220"/>
        <w:rPr>
          <w:rFonts w:ascii="Consolas"/>
        </w:rPr>
      </w:pPr>
      <w:r>
        <w:rPr>
          <w:rFonts w:ascii="Consolas"/>
        </w:rPr>
        <w:t>SUMX2MY2({2,3,9,1,8,7,5},{6,5,11,7,5,4,4})</w:t>
      </w:r>
      <w:r>
        <w:rPr>
          <w:rFonts w:ascii="Consolas"/>
          <w:spacing w:val="-73"/>
        </w:rPr>
        <w:t> </w:t>
      </w:r>
      <w:r>
        <w:rPr/>
        <w:t>results in </w:t>
      </w:r>
      <w:r>
        <w:rPr>
          <w:rFonts w:ascii="Consolas"/>
        </w:rPr>
        <w:t>55</w:t>
      </w:r>
    </w:p>
    <w:p>
      <w:pPr>
        <w:pStyle w:val="BodyText"/>
        <w:spacing w:before="42"/>
        <w:ind w:left="220"/>
        <w:rPr>
          <w:rFonts w:ascii="Consolas"/>
        </w:rPr>
      </w:pPr>
      <w:r>
        <w:rPr>
          <w:rFonts w:ascii="Consolas"/>
        </w:rPr>
        <w:t>SUMX2MY2({2,3,9;1,8,7},{6,5,11;7,5,4})</w:t>
      </w:r>
      <w:r>
        <w:rPr>
          <w:rFonts w:ascii="Consolas"/>
          <w:spacing w:val="-64"/>
        </w:rPr>
        <w:t> </w:t>
      </w:r>
      <w:r>
        <w:rPr/>
        <w:t>results in </w:t>
      </w:r>
      <w:r>
        <w:rPr>
          <w:rFonts w:ascii="Consolas"/>
        </w:rPr>
        <w:t>-64</w:t>
      </w:r>
    </w:p>
    <w:p>
      <w:pPr>
        <w:spacing w:before="43"/>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2 SUMX2PY2" w:id="2328"/>
      <w:bookmarkEnd w:id="2328"/>
      <w:r>
        <w:rPr/>
      </w:r>
      <w:bookmarkStart w:name="_bookmark775" w:id="2329"/>
      <w:bookmarkEnd w:id="2329"/>
      <w:r>
        <w:rPr/>
      </w:r>
      <w:bookmarkStart w:name="_bookmark775" w:id="2330"/>
      <w:bookmarkEnd w:id="2330"/>
      <w:r>
        <w:rPr>
          <w:color w:val="4F81BC"/>
        </w:rPr>
        <w:t>SU</w:t>
      </w:r>
      <w:r>
        <w:rPr>
          <w:color w:val="4F81BC"/>
        </w:rPr>
        <w:t>MX2PY2</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SUMX2PY2 ( </w:t>
      </w:r>
      <w:r>
        <w:rPr>
          <w:i/>
          <w:sz w:val="22"/>
        </w:rPr>
        <w:t>array-1 </w:t>
      </w:r>
      <w:r>
        <w:rPr>
          <w:rFonts w:ascii="Lucida Console"/>
          <w:sz w:val="20"/>
        </w:rPr>
        <w:t>, </w:t>
      </w:r>
      <w:r>
        <w:rPr>
          <w:i/>
          <w:sz w:val="22"/>
        </w:rPr>
        <w:t>array-2 </w:t>
      </w:r>
      <w:r>
        <w:rPr>
          <w:rFonts w:ascii="Lucida Console"/>
          <w:sz w:val="20"/>
        </w:rPr>
        <w:t>)</w:t>
      </w:r>
    </w:p>
    <w:p>
      <w:pPr>
        <w:pStyle w:val="BodyText"/>
        <w:spacing w:line="278" w:lineRule="auto" w:before="105"/>
        <w:ind w:left="220" w:right="908"/>
      </w:pPr>
      <w:r>
        <w:rPr>
          <w:b/>
        </w:rPr>
        <w:t>Description: </w:t>
      </w:r>
      <w:r>
        <w:rPr/>
        <w:t>Computes the sum of the sum of the squares of the corresponding numerical elements in two arrays designated by </w:t>
      </w:r>
      <w:r>
        <w:rPr>
          <w:rFonts w:ascii="Times New Roman"/>
          <w:i/>
        </w:rPr>
        <w:t>array-1 </w:t>
      </w:r>
      <w:r>
        <w:rPr/>
        <w:t>and </w:t>
      </w:r>
      <w:r>
        <w:rPr>
          <w:rFonts w:ascii="Times New Roman"/>
          <w:i/>
        </w:rPr>
        <w:t>array-2</w:t>
      </w:r>
      <w:r>
        <w:rPr/>
        <w:t>.</w:t>
      </w:r>
    </w:p>
    <w:p>
      <w:pPr>
        <w:pStyle w:val="Heading4"/>
        <w:spacing w:before="198"/>
        <w:rPr>
          <w:b w:val="0"/>
        </w:rPr>
      </w:pPr>
      <w:r>
        <w:rPr/>
        <w:t>Mathematical Formula</w:t>
      </w:r>
      <w:r>
        <w:rPr>
          <w:b w:val="0"/>
        </w:rPr>
        <w:t>:</w:t>
      </w:r>
    </w:p>
    <w:p>
      <w:pPr>
        <w:pStyle w:val="BodyText"/>
        <w:spacing w:before="7"/>
        <w:rPr>
          <w:sz w:val="26"/>
        </w:rPr>
      </w:pPr>
    </w:p>
    <w:p>
      <w:pPr>
        <w:pStyle w:val="BodyText"/>
        <w:ind w:left="220"/>
        <w:rPr>
          <w:rFonts w:ascii="Cambria Math" w:hAnsi="Cambria Math" w:eastAsia="Cambria Math"/>
        </w:rPr>
      </w:pPr>
      <w:r>
        <w:rPr>
          <w:rFonts w:ascii="Cambria Math" w:hAnsi="Cambria Math" w:eastAsia="Cambria Math"/>
          <w:w w:val="100"/>
        </w:rPr>
        <w:t>𝑆</w:t>
      </w:r>
      <w:r>
        <w:rPr>
          <w:rFonts w:ascii="Cambria Math" w:hAnsi="Cambria Math" w:eastAsia="Cambria Math"/>
          <w:spacing w:val="-1"/>
          <w:w w:val="100"/>
        </w:rPr>
        <w:t>𝑈𝑀𝑋</w:t>
      </w:r>
      <w:r>
        <w:rPr>
          <w:rFonts w:ascii="Cambria Math" w:hAnsi="Cambria Math" w:eastAsia="Cambria Math"/>
          <w:w w:val="100"/>
        </w:rPr>
        <w:t>2</w:t>
      </w:r>
      <w:r>
        <w:rPr>
          <w:rFonts w:ascii="Cambria Math" w:hAnsi="Cambria Math" w:eastAsia="Cambria Math"/>
          <w:spacing w:val="-1"/>
          <w:w w:val="100"/>
        </w:rPr>
        <w:t>𝑃</w:t>
      </w:r>
      <w:r>
        <w:rPr>
          <w:rFonts w:ascii="Cambria Math" w:hAnsi="Cambria Math" w:eastAsia="Cambria Math"/>
          <w:spacing w:val="-2"/>
          <w:w w:val="100"/>
        </w:rPr>
        <w:t>𝑌</w:t>
      </w:r>
      <w:r>
        <w:rPr>
          <w:rFonts w:ascii="Cambria Math" w:hAnsi="Cambria Math" w:eastAsia="Cambria Math"/>
          <w:w w:val="100"/>
        </w:rPr>
        <w:t>2</w:t>
      </w:r>
      <w:r>
        <w:rPr>
          <w:rFonts w:ascii="Cambria Math" w:hAnsi="Cambria Math" w:eastAsia="Cambria Math"/>
          <w:spacing w:val="11"/>
        </w:rPr>
        <w:t> </w:t>
      </w:r>
      <w:r>
        <w:rPr>
          <w:rFonts w:ascii="Cambria Math" w:hAnsi="Cambria Math" w:eastAsia="Cambria Math"/>
          <w:w w:val="100"/>
        </w:rPr>
        <w:t>=</w:t>
      </w:r>
      <w:r>
        <w:rPr>
          <w:rFonts w:ascii="Cambria Math" w:hAnsi="Cambria Math" w:eastAsia="Cambria Math"/>
        </w:rPr>
        <w:t> </w:t>
      </w:r>
      <w:r>
        <w:rPr>
          <w:rFonts w:ascii="Cambria Math" w:hAnsi="Cambria Math" w:eastAsia="Cambria Math"/>
          <w:spacing w:val="11"/>
        </w:rPr>
        <w:t> </w:t>
      </w:r>
      <w:r>
        <w:rPr>
          <w:rFonts w:ascii="Cambria Math" w:hAnsi="Cambria Math" w:eastAsia="Cambria Math"/>
          <w:w w:val="187"/>
        </w:rPr>
        <w:t>∑</w:t>
      </w:r>
      <w:r>
        <w:rPr>
          <w:rFonts w:ascii="Cambria Math" w:hAnsi="Cambria Math" w:eastAsia="Cambria Math"/>
          <w:spacing w:val="-1"/>
          <w:w w:val="100"/>
          <w:position w:val="1"/>
        </w:rPr>
        <w:t>(</w:t>
      </w:r>
      <w:r>
        <w:rPr>
          <w:rFonts w:ascii="Cambria Math" w:hAnsi="Cambria Math" w:eastAsia="Cambria Math"/>
          <w:spacing w:val="12"/>
          <w:w w:val="100"/>
        </w:rPr>
        <w:t>𝑥</w:t>
      </w:r>
      <w:r>
        <w:rPr>
          <w:rFonts w:ascii="Cambria Math" w:hAnsi="Cambria Math" w:eastAsia="Cambria Math"/>
          <w:w w:val="93"/>
          <w:vertAlign w:val="superscript"/>
        </w:rPr>
        <w:t>2</w:t>
      </w:r>
      <w:r>
        <w:rPr>
          <w:rFonts w:ascii="Cambria Math" w:hAnsi="Cambria Math" w:eastAsia="Cambria Math"/>
          <w:spacing w:val="7"/>
          <w:vertAlign w:val="baseline"/>
        </w:rPr>
        <w:t> </w:t>
      </w:r>
      <w:r>
        <w:rPr>
          <w:rFonts w:ascii="Cambria Math" w:hAnsi="Cambria Math" w:eastAsia="Cambria Math"/>
          <w:w w:val="100"/>
          <w:vertAlign w:val="baseline"/>
        </w:rPr>
        <w:t>+</w:t>
      </w:r>
      <w:r>
        <w:rPr>
          <w:rFonts w:ascii="Cambria Math" w:hAnsi="Cambria Math" w:eastAsia="Cambria Math"/>
          <w:vertAlign w:val="baseline"/>
        </w:rPr>
        <w:t> </w:t>
      </w:r>
      <w:r>
        <w:rPr>
          <w:rFonts w:ascii="Cambria Math" w:hAnsi="Cambria Math" w:eastAsia="Cambria Math"/>
          <w:spacing w:val="10"/>
          <w:w w:val="100"/>
          <w:vertAlign w:val="baseline"/>
        </w:rPr>
        <w:t>𝑦</w:t>
      </w:r>
      <w:r>
        <w:rPr>
          <w:rFonts w:ascii="Cambria Math" w:hAnsi="Cambria Math" w:eastAsia="Cambria Math"/>
          <w:spacing w:val="10"/>
          <w:w w:val="93"/>
          <w:vertAlign w:val="superscript"/>
        </w:rPr>
        <w:t>2</w:t>
      </w:r>
      <w:r>
        <w:rPr>
          <w:rFonts w:ascii="Cambria Math" w:hAnsi="Cambria Math" w:eastAsia="Cambria Math"/>
          <w:w w:val="100"/>
          <w:position w:val="1"/>
          <w:vertAlign w:val="baseline"/>
        </w:rPr>
        <w:t>)</w:t>
      </w:r>
    </w:p>
    <w:p>
      <w:pPr>
        <w:pStyle w:val="BodyText"/>
        <w:rPr>
          <w:rFonts w:ascii="Cambria Math"/>
          <w:sz w:val="29"/>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array-1 </w:t>
      </w:r>
      <w:r>
        <w:rPr>
          <w:sz w:val="22"/>
        </w:rPr>
        <w:t>contains the </w:t>
      </w:r>
      <w:r>
        <w:rPr>
          <w:rFonts w:ascii="Times New Roman" w:hAnsi="Times New Roman"/>
          <w:i/>
          <w:sz w:val="22"/>
        </w:rPr>
        <w:t>x</w:t>
      </w:r>
      <w:r>
        <w:rPr>
          <w:rFonts w:ascii="Times New Roman" w:hAnsi="Times New Roman"/>
          <w:i/>
          <w:spacing w:val="-17"/>
          <w:sz w:val="22"/>
        </w:rPr>
        <w:t> </w:t>
      </w:r>
      <w:r>
        <w:rPr>
          <w:sz w:val="22"/>
        </w:rPr>
        <w:t>values</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array-2 </w:t>
      </w:r>
      <w:r>
        <w:rPr>
          <w:sz w:val="22"/>
        </w:rPr>
        <w:t>contains the </w:t>
      </w:r>
      <w:r>
        <w:rPr>
          <w:rFonts w:ascii="Times New Roman" w:hAnsi="Times New Roman"/>
          <w:i/>
          <w:sz w:val="22"/>
        </w:rPr>
        <w:t>y</w:t>
      </w:r>
      <w:r>
        <w:rPr>
          <w:rFonts w:ascii="Times New Roman" w:hAnsi="Times New Roman"/>
          <w:i/>
          <w:spacing w:val="-17"/>
          <w:sz w:val="22"/>
        </w:rPr>
        <w:t> </w:t>
      </w:r>
      <w:r>
        <w:rPr>
          <w:sz w:val="22"/>
        </w:rPr>
        <w:t>values</w:t>
      </w:r>
    </w:p>
    <w:p>
      <w:pPr>
        <w:pStyle w:val="Heading4"/>
        <w:spacing w:before="243"/>
      </w:pPr>
      <w:r>
        <w:rPr/>
        <w:t>Arguments:</w:t>
      </w:r>
    </w:p>
    <w:p>
      <w:pPr>
        <w:spacing w:after="0"/>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37"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vMerge w:val="restart"/>
          </w:tcPr>
          <w:p>
            <w:pPr>
              <w:pStyle w:val="TableParagraph"/>
              <w:ind w:left="112"/>
              <w:rPr>
                <w:sz w:val="22"/>
              </w:rPr>
            </w:pPr>
            <w:r>
              <w:rPr>
                <w:sz w:val="22"/>
              </w:rPr>
              <w:t>array, reference</w:t>
            </w:r>
          </w:p>
        </w:tc>
        <w:tc>
          <w:tcPr>
            <w:tcW w:w="5400" w:type="dxa"/>
            <w:vMerge w:val="restart"/>
          </w:tcPr>
          <w:p>
            <w:pPr>
              <w:pStyle w:val="TableParagraph"/>
              <w:ind w:left="113" w:right="213"/>
              <w:rPr>
                <w:sz w:val="22"/>
              </w:rPr>
            </w:pPr>
            <w:r>
              <w:rPr>
                <w:sz w:val="22"/>
              </w:rPr>
              <w:t>Designated the arrays to be operated on. If an argument contains text, logical values, or empty cells, those elements shall be ignored; however, cells with the</w:t>
            </w:r>
          </w:p>
          <w:p>
            <w:pPr>
              <w:pStyle w:val="TableParagraph"/>
              <w:spacing w:before="0"/>
              <w:ind w:left="113"/>
              <w:rPr>
                <w:sz w:val="22"/>
              </w:rPr>
            </w:pPr>
            <w:r>
              <w:rPr>
                <w:sz w:val="22"/>
              </w:rPr>
              <w:t>value 0 shall be included.</w:t>
            </w:r>
          </w:p>
        </w:tc>
      </w:tr>
      <w:tr>
        <w:trPr>
          <w:trHeight w:val="813" w:hRule="atLeast"/>
        </w:trPr>
        <w:tc>
          <w:tcPr>
            <w:tcW w:w="1466" w:type="dxa"/>
          </w:tcPr>
          <w:p>
            <w:pPr>
              <w:pStyle w:val="TableParagraph"/>
              <w:spacing w:before="37"/>
              <w:rPr>
                <w:rFonts w:ascii="Times New Roman"/>
                <w:i/>
                <w:sz w:val="22"/>
              </w:rPr>
            </w:pPr>
            <w:r>
              <w:rPr>
                <w:rFonts w:ascii="Times New Roman"/>
                <w:i/>
                <w:sz w:val="22"/>
              </w:rPr>
              <w:t>array-2</w:t>
            </w:r>
          </w:p>
        </w:tc>
        <w:tc>
          <w:tcPr>
            <w:tcW w:w="1800" w:type="dxa"/>
            <w:vMerge/>
            <w:tcBorders>
              <w:top w:val="nil"/>
            </w:tcBorders>
          </w:tcPr>
          <w:p>
            <w:pPr>
              <w:rPr>
                <w:sz w:val="2"/>
                <w:szCs w:val="2"/>
              </w:rPr>
            </w:pPr>
          </w:p>
        </w:tc>
        <w:tc>
          <w:tcPr>
            <w:tcW w:w="5400" w:type="dxa"/>
            <w:vMerge/>
            <w:tcBorders>
              <w:top w:val="nil"/>
            </w:tcBorders>
          </w:tcPr>
          <w:p>
            <w:pPr>
              <w:rPr>
                <w:sz w:val="2"/>
                <w:szCs w:val="2"/>
              </w:rPr>
            </w:pPr>
          </w:p>
        </w:tc>
      </w:tr>
    </w:tbl>
    <w:p>
      <w:pPr>
        <w:pStyle w:val="BodyText"/>
        <w:rPr>
          <w:b/>
          <w:sz w:val="20"/>
        </w:rPr>
      </w:pPr>
    </w:p>
    <w:p>
      <w:pPr>
        <w:pStyle w:val="BodyText"/>
        <w:spacing w:before="10"/>
        <w:rPr>
          <w:b/>
          <w:sz w:val="16"/>
        </w:rPr>
      </w:pPr>
    </w:p>
    <w:p>
      <w:pPr>
        <w:spacing w:line="276" w:lineRule="auto" w:before="56"/>
        <w:ind w:left="220" w:right="821" w:firstLine="0"/>
        <w:jc w:val="left"/>
        <w:rPr>
          <w:sz w:val="22"/>
        </w:rPr>
      </w:pPr>
      <w:r>
        <w:rPr>
          <w:b/>
          <w:sz w:val="22"/>
        </w:rPr>
        <w:t>Return Type and Value: </w:t>
      </w:r>
      <w:r>
        <w:rPr>
          <w:sz w:val="22"/>
        </w:rPr>
        <w:t>number – The sum of the sum of the squares of the corresponding elements in two arrays designated by </w:t>
      </w:r>
      <w:r>
        <w:rPr>
          <w:rFonts w:ascii="Times New Roman" w:hAnsi="Times New Roman"/>
          <w:i/>
          <w:sz w:val="22"/>
        </w:rPr>
        <w:t>array-1 </w:t>
      </w:r>
      <w:r>
        <w:rPr>
          <w:sz w:val="22"/>
        </w:rPr>
        <w:t>and </w:t>
      </w:r>
      <w:r>
        <w:rPr>
          <w:rFonts w:ascii="Times New Roman" w:hAnsi="Times New Roman"/>
          <w:i/>
          <w:sz w:val="22"/>
        </w:rPr>
        <w:t>array-2</w:t>
      </w:r>
      <w:r>
        <w:rPr>
          <w:sz w:val="22"/>
        </w:rPr>
        <w:t>.</w:t>
      </w:r>
    </w:p>
    <w:p>
      <w:pPr>
        <w:spacing w:line="453" w:lineRule="auto" w:before="201"/>
        <w:ind w:left="220" w:right="1028" w:firstLine="0"/>
        <w:jc w:val="left"/>
        <w:rPr>
          <w:sz w:val="22"/>
        </w:rPr>
      </w:pPr>
      <w:r>
        <w:rPr>
          <w:sz w:val="22"/>
        </w:rPr>
        <w:t>However, if </w:t>
      </w:r>
      <w:r>
        <w:rPr>
          <w:rFonts w:ascii="Times New Roman"/>
          <w:i/>
          <w:sz w:val="22"/>
        </w:rPr>
        <w:t>array-1 </w:t>
      </w:r>
      <w:r>
        <w:rPr>
          <w:sz w:val="22"/>
        </w:rPr>
        <w:t>and </w:t>
      </w:r>
      <w:r>
        <w:rPr>
          <w:rFonts w:ascii="Times New Roman"/>
          <w:i/>
          <w:sz w:val="22"/>
        </w:rPr>
        <w:t>array-2 </w:t>
      </w:r>
      <w:r>
        <w:rPr>
          <w:sz w:val="22"/>
        </w:rPr>
        <w:t>have a different number of values, the return value is unspecified. [</w:t>
      </w:r>
      <w:r>
        <w:rPr>
          <w:i/>
          <w:sz w:val="22"/>
        </w:rPr>
        <w:t>Example</w:t>
      </w:r>
      <w:r>
        <w:rPr>
          <w:sz w:val="22"/>
        </w:rPr>
        <w:t>:</w:t>
      </w:r>
    </w:p>
    <w:p>
      <w:pPr>
        <w:pStyle w:val="BodyText"/>
        <w:spacing w:before="111"/>
        <w:ind w:left="220"/>
        <w:rPr>
          <w:rFonts w:ascii="Consolas"/>
        </w:rPr>
      </w:pPr>
      <w:r>
        <w:rPr>
          <w:rFonts w:ascii="Consolas"/>
        </w:rPr>
        <w:t>SUMX2PY2({2,3,9,1,8,7,5},{6,5,11,7,5,4,4})</w:t>
      </w:r>
      <w:r>
        <w:rPr>
          <w:rFonts w:ascii="Consolas"/>
          <w:spacing w:val="-68"/>
        </w:rPr>
        <w:t> </w:t>
      </w:r>
      <w:r>
        <w:rPr/>
        <w:t>results in </w:t>
      </w:r>
      <w:r>
        <w:rPr>
          <w:rFonts w:ascii="Consolas"/>
        </w:rPr>
        <w:t>521</w:t>
      </w:r>
    </w:p>
    <w:p>
      <w:pPr>
        <w:pStyle w:val="BodyText"/>
        <w:spacing w:before="38"/>
        <w:ind w:left="220"/>
        <w:rPr>
          <w:rFonts w:ascii="Consolas"/>
        </w:rPr>
      </w:pPr>
      <w:r>
        <w:rPr>
          <w:rFonts w:ascii="Consolas"/>
        </w:rPr>
        <w:t>SUMX2PY2({2,3,9;1,8,7},{6,5,11;7,5,4})</w:t>
      </w:r>
      <w:r>
        <w:rPr>
          <w:rFonts w:ascii="Consolas"/>
          <w:spacing w:val="-63"/>
        </w:rPr>
        <w:t> </w:t>
      </w:r>
      <w:r>
        <w:rPr/>
        <w:t>results in </w:t>
      </w:r>
      <w:r>
        <w:rPr>
          <w:rFonts w:ascii="Consolas"/>
          <w:spacing w:val="-2"/>
        </w:rPr>
        <w:t>480</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3 SUMXMY2" w:id="2331"/>
      <w:bookmarkEnd w:id="2331"/>
      <w:r>
        <w:rPr/>
      </w:r>
      <w:bookmarkStart w:name="_bookmark776" w:id="2332"/>
      <w:bookmarkEnd w:id="2332"/>
      <w:r>
        <w:rPr/>
      </w:r>
      <w:bookmarkStart w:name="_bookmark776" w:id="2333"/>
      <w:bookmarkEnd w:id="2333"/>
      <w:r>
        <w:rPr>
          <w:color w:val="4F81BC"/>
        </w:rPr>
        <w:t>SU</w:t>
      </w:r>
      <w:r>
        <w:rPr>
          <w:color w:val="4F81BC"/>
        </w:rPr>
        <w:t>MXMY2</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SUMXMY2 ( </w:t>
      </w:r>
      <w:r>
        <w:rPr>
          <w:i/>
          <w:sz w:val="22"/>
        </w:rPr>
        <w:t>array-1 </w:t>
      </w:r>
      <w:r>
        <w:rPr>
          <w:rFonts w:ascii="Lucida Console"/>
          <w:sz w:val="20"/>
        </w:rPr>
        <w:t>, </w:t>
      </w:r>
      <w:r>
        <w:rPr>
          <w:i/>
          <w:sz w:val="22"/>
        </w:rPr>
        <w:t>array-2 </w:t>
      </w:r>
      <w:r>
        <w:rPr>
          <w:rFonts w:ascii="Lucida Console"/>
          <w:sz w:val="20"/>
        </w:rPr>
        <w:t>)</w:t>
      </w:r>
    </w:p>
    <w:p>
      <w:pPr>
        <w:pStyle w:val="BodyText"/>
        <w:spacing w:line="278" w:lineRule="auto" w:before="106"/>
        <w:ind w:left="220" w:right="509"/>
      </w:pPr>
      <w:r>
        <w:rPr>
          <w:b/>
        </w:rPr>
        <w:t>Description: </w:t>
      </w:r>
      <w:r>
        <w:rPr/>
        <w:t>Computes the sum of the squares of the difference between corresponding numerical elements in two arrays designated by </w:t>
      </w:r>
      <w:r>
        <w:rPr>
          <w:rFonts w:ascii="Times New Roman"/>
          <w:i/>
        </w:rPr>
        <w:t>array-1 </w:t>
      </w:r>
      <w:r>
        <w:rPr/>
        <w:t>and </w:t>
      </w:r>
      <w:r>
        <w:rPr>
          <w:rFonts w:ascii="Times New Roman"/>
          <w:i/>
        </w:rPr>
        <w:t>array-2</w:t>
      </w:r>
      <w:r>
        <w:rPr/>
        <w:t>.</w:t>
      </w:r>
    </w:p>
    <w:p>
      <w:pPr>
        <w:pStyle w:val="Heading4"/>
        <w:spacing w:before="198"/>
        <w:rPr>
          <w:b w:val="0"/>
        </w:rPr>
      </w:pPr>
      <w:r>
        <w:rPr/>
        <w:t>Mathematical Formula</w:t>
      </w:r>
      <w:r>
        <w:rPr>
          <w:b w:val="0"/>
        </w:rPr>
        <w:t>:</w:t>
      </w:r>
    </w:p>
    <w:p>
      <w:pPr>
        <w:pStyle w:val="BodyText"/>
        <w:spacing w:before="7"/>
        <w:rPr>
          <w:sz w:val="26"/>
        </w:rPr>
      </w:pPr>
    </w:p>
    <w:p>
      <w:pPr>
        <w:pStyle w:val="BodyText"/>
        <w:ind w:left="220"/>
        <w:rPr>
          <w:rFonts w:ascii="Cambria Math" w:hAnsi="Cambria Math" w:eastAsia="Cambria Math"/>
        </w:rPr>
      </w:pPr>
      <w:r>
        <w:rPr>
          <w:rFonts w:ascii="Cambria Math" w:hAnsi="Cambria Math" w:eastAsia="Cambria Math"/>
          <w:w w:val="105"/>
        </w:rPr>
        <w:t>𝑆𝑈𝑀𝑋𝑀𝑌2 = ∑</w:t>
      </w:r>
      <w:r>
        <w:rPr>
          <w:rFonts w:ascii="Cambria Math" w:hAnsi="Cambria Math" w:eastAsia="Cambria Math"/>
          <w:w w:val="105"/>
          <w:position w:val="1"/>
        </w:rPr>
        <w:t>(</w:t>
      </w:r>
      <w:r>
        <w:rPr>
          <w:rFonts w:ascii="Cambria Math" w:hAnsi="Cambria Math" w:eastAsia="Cambria Math"/>
          <w:w w:val="105"/>
        </w:rPr>
        <w:t>𝑥 − 𝑦</w:t>
      </w:r>
      <w:r>
        <w:rPr>
          <w:rFonts w:ascii="Cambria Math" w:hAnsi="Cambria Math" w:eastAsia="Cambria Math"/>
          <w:w w:val="105"/>
          <w:position w:val="1"/>
        </w:rPr>
        <w:t>)</w:t>
      </w:r>
      <w:r>
        <w:rPr>
          <w:rFonts w:ascii="Cambria Math" w:hAnsi="Cambria Math" w:eastAsia="Cambria Math"/>
          <w:w w:val="105"/>
          <w:position w:val="1"/>
          <w:vertAlign w:val="superscript"/>
        </w:rPr>
        <w:t>2</w:t>
      </w:r>
    </w:p>
    <w:p>
      <w:pPr>
        <w:pStyle w:val="BodyText"/>
        <w:spacing w:before="11"/>
        <w:rPr>
          <w:rFonts w:ascii="Cambria Math"/>
          <w:sz w:val="28"/>
        </w:rPr>
      </w:pPr>
    </w:p>
    <w:p>
      <w:pPr>
        <w:pStyle w:val="BodyText"/>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array-1 </w:t>
      </w:r>
      <w:r>
        <w:rPr>
          <w:sz w:val="22"/>
        </w:rPr>
        <w:t>contains the </w:t>
      </w:r>
      <w:r>
        <w:rPr>
          <w:rFonts w:ascii="Times New Roman" w:hAnsi="Times New Roman"/>
          <w:i/>
          <w:sz w:val="22"/>
        </w:rPr>
        <w:t>x</w:t>
      </w:r>
      <w:r>
        <w:rPr>
          <w:rFonts w:ascii="Times New Roman" w:hAnsi="Times New Roman"/>
          <w:i/>
          <w:spacing w:val="-17"/>
          <w:sz w:val="22"/>
        </w:rPr>
        <w:t> </w:t>
      </w:r>
      <w:r>
        <w:rPr>
          <w:sz w:val="22"/>
        </w:rPr>
        <w:t>values</w:t>
      </w:r>
    </w:p>
    <w:p>
      <w:pPr>
        <w:pStyle w:val="ListParagraph"/>
        <w:numPr>
          <w:ilvl w:val="4"/>
          <w:numId w:val="66"/>
        </w:numPr>
        <w:tabs>
          <w:tab w:pos="940" w:val="left" w:leader="none"/>
          <w:tab w:pos="941" w:val="left" w:leader="none"/>
        </w:tabs>
        <w:spacing w:line="240" w:lineRule="auto" w:before="38" w:after="0"/>
        <w:ind w:left="940" w:right="0" w:hanging="361"/>
        <w:jc w:val="left"/>
        <w:rPr>
          <w:sz w:val="22"/>
        </w:rPr>
      </w:pPr>
      <w:r>
        <w:rPr>
          <w:rFonts w:ascii="Times New Roman" w:hAnsi="Times New Roman"/>
          <w:i/>
          <w:sz w:val="22"/>
        </w:rPr>
        <w:t>array-2 </w:t>
      </w:r>
      <w:r>
        <w:rPr>
          <w:sz w:val="22"/>
        </w:rPr>
        <w:t>contains the </w:t>
      </w:r>
      <w:r>
        <w:rPr>
          <w:rFonts w:ascii="Times New Roman" w:hAnsi="Times New Roman"/>
          <w:i/>
          <w:sz w:val="22"/>
        </w:rPr>
        <w:t>y</w:t>
      </w:r>
      <w:r>
        <w:rPr>
          <w:rFonts w:ascii="Times New Roman" w:hAnsi="Times New Roman"/>
          <w:i/>
          <w:spacing w:val="-17"/>
          <w:sz w:val="22"/>
        </w:rPr>
        <w:t> </w:t>
      </w:r>
      <w:r>
        <w:rPr>
          <w:sz w:val="22"/>
        </w:rPr>
        <w:t>values</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38"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vMerge w:val="restart"/>
          </w:tcPr>
          <w:p>
            <w:pPr>
              <w:pStyle w:val="TableParagraph"/>
              <w:ind w:left="112"/>
              <w:rPr>
                <w:sz w:val="22"/>
              </w:rPr>
            </w:pPr>
            <w:r>
              <w:rPr>
                <w:sz w:val="22"/>
              </w:rPr>
              <w:t>array, reference</w:t>
            </w:r>
          </w:p>
        </w:tc>
        <w:tc>
          <w:tcPr>
            <w:tcW w:w="5400" w:type="dxa"/>
            <w:vMerge w:val="restart"/>
          </w:tcPr>
          <w:p>
            <w:pPr>
              <w:pStyle w:val="TableParagraph"/>
              <w:ind w:left="113" w:right="213"/>
              <w:rPr>
                <w:sz w:val="22"/>
              </w:rPr>
            </w:pPr>
            <w:r>
              <w:rPr>
                <w:sz w:val="22"/>
              </w:rPr>
              <w:t>Designated the arrays to be operated on. If an argument contains text, logical values, or empty cells, those elements shall be ignored; however, cells with the</w:t>
            </w:r>
          </w:p>
          <w:p>
            <w:pPr>
              <w:pStyle w:val="TableParagraph"/>
              <w:spacing w:before="0"/>
              <w:ind w:left="113"/>
              <w:rPr>
                <w:sz w:val="22"/>
              </w:rPr>
            </w:pPr>
            <w:r>
              <w:rPr>
                <w:sz w:val="22"/>
              </w:rPr>
              <w:t>value 0 shall be included.</w:t>
            </w:r>
          </w:p>
        </w:tc>
      </w:tr>
      <w:tr>
        <w:trPr>
          <w:trHeight w:val="813" w:hRule="atLeast"/>
        </w:trPr>
        <w:tc>
          <w:tcPr>
            <w:tcW w:w="1466" w:type="dxa"/>
          </w:tcPr>
          <w:p>
            <w:pPr>
              <w:pStyle w:val="TableParagraph"/>
              <w:spacing w:before="39"/>
              <w:rPr>
                <w:rFonts w:ascii="Times New Roman"/>
                <w:i/>
                <w:sz w:val="22"/>
              </w:rPr>
            </w:pPr>
            <w:r>
              <w:rPr>
                <w:rFonts w:ascii="Times New Roman"/>
                <w:i/>
                <w:sz w:val="22"/>
              </w:rPr>
              <w:t>array-2</w:t>
            </w:r>
          </w:p>
        </w:tc>
        <w:tc>
          <w:tcPr>
            <w:tcW w:w="1800" w:type="dxa"/>
            <w:vMerge/>
            <w:tcBorders>
              <w:top w:val="nil"/>
            </w:tcBorders>
          </w:tcPr>
          <w:p>
            <w:pPr>
              <w:rPr>
                <w:sz w:val="2"/>
                <w:szCs w:val="2"/>
              </w:rPr>
            </w:pPr>
          </w:p>
        </w:tc>
        <w:tc>
          <w:tcPr>
            <w:tcW w:w="5400"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spacing w:line="278" w:lineRule="auto" w:before="90"/>
        <w:ind w:left="220" w:right="1170" w:firstLine="0"/>
        <w:jc w:val="left"/>
        <w:rPr>
          <w:sz w:val="22"/>
        </w:rPr>
      </w:pPr>
      <w:r>
        <w:rPr>
          <w:b/>
          <w:sz w:val="22"/>
        </w:rPr>
        <w:t>Return Type and Value: </w:t>
      </w:r>
      <w:r>
        <w:rPr>
          <w:sz w:val="22"/>
        </w:rPr>
        <w:t>number – The sum of the squares of the difference between the corresponding elements in two arrays designated by </w:t>
      </w:r>
      <w:r>
        <w:rPr>
          <w:rFonts w:ascii="Times New Roman" w:hAnsi="Times New Roman"/>
          <w:i/>
          <w:sz w:val="22"/>
        </w:rPr>
        <w:t>array-1 </w:t>
      </w:r>
      <w:r>
        <w:rPr>
          <w:sz w:val="22"/>
        </w:rPr>
        <w:t>and </w:t>
      </w:r>
      <w:r>
        <w:rPr>
          <w:rFonts w:ascii="Times New Roman" w:hAnsi="Times New Roman"/>
          <w:i/>
          <w:sz w:val="22"/>
        </w:rPr>
        <w:t>array-2</w:t>
      </w:r>
      <w:r>
        <w:rPr>
          <w:sz w:val="22"/>
        </w:rPr>
        <w:t>.</w:t>
      </w:r>
    </w:p>
    <w:p>
      <w:pPr>
        <w:spacing w:line="453" w:lineRule="auto" w:before="198"/>
        <w:ind w:left="220" w:right="1028" w:firstLine="0"/>
        <w:jc w:val="left"/>
        <w:rPr>
          <w:sz w:val="22"/>
        </w:rPr>
      </w:pPr>
      <w:r>
        <w:rPr>
          <w:sz w:val="22"/>
        </w:rPr>
        <w:t>However, if </w:t>
      </w:r>
      <w:r>
        <w:rPr>
          <w:rFonts w:ascii="Times New Roman"/>
          <w:i/>
          <w:sz w:val="22"/>
        </w:rPr>
        <w:t>array-1 </w:t>
      </w:r>
      <w:r>
        <w:rPr>
          <w:sz w:val="22"/>
        </w:rPr>
        <w:t>and </w:t>
      </w:r>
      <w:r>
        <w:rPr>
          <w:rFonts w:ascii="Times New Roman"/>
          <w:i/>
          <w:sz w:val="22"/>
        </w:rPr>
        <w:t>array-2 </w:t>
      </w:r>
      <w:r>
        <w:rPr>
          <w:sz w:val="22"/>
        </w:rPr>
        <w:t>have a different number of values, the return value is unspecified. [</w:t>
      </w:r>
      <w:r>
        <w:rPr>
          <w:i/>
          <w:sz w:val="22"/>
        </w:rPr>
        <w:t>Example</w:t>
      </w:r>
      <w:r>
        <w:rPr>
          <w:sz w:val="22"/>
        </w:rPr>
        <w:t>:</w:t>
      </w:r>
    </w:p>
    <w:p>
      <w:pPr>
        <w:pStyle w:val="BodyText"/>
        <w:spacing w:before="108"/>
        <w:ind w:left="220"/>
        <w:rPr>
          <w:rFonts w:ascii="Consolas"/>
        </w:rPr>
      </w:pPr>
      <w:r>
        <w:rPr>
          <w:rFonts w:ascii="Consolas"/>
        </w:rPr>
        <w:t>SUMXMY2({2,3,9,1,8,7,5},{6,5,11,7,5,4,4})</w:t>
      </w:r>
      <w:r>
        <w:rPr>
          <w:rFonts w:ascii="Consolas"/>
          <w:spacing w:val="-65"/>
        </w:rPr>
        <w:t> </w:t>
      </w:r>
      <w:r>
        <w:rPr/>
        <w:t>results in </w:t>
      </w:r>
      <w:r>
        <w:rPr>
          <w:rFonts w:ascii="Consolas"/>
        </w:rPr>
        <w:t>79</w:t>
      </w:r>
    </w:p>
    <w:p>
      <w:pPr>
        <w:pStyle w:val="BodyText"/>
        <w:spacing w:before="41"/>
        <w:ind w:left="220"/>
        <w:rPr>
          <w:rFonts w:ascii="Consolas"/>
        </w:rPr>
      </w:pPr>
      <w:r>
        <w:rPr>
          <w:rFonts w:ascii="Consolas"/>
        </w:rPr>
        <w:t>SUMXMY2({2,3,9;1,8,7},{6,5,11;7,5,4})</w:t>
      </w:r>
      <w:r>
        <w:rPr>
          <w:rFonts w:ascii="Consolas"/>
          <w:spacing w:val="-64"/>
        </w:rPr>
        <w:t> </w:t>
      </w:r>
      <w:r>
        <w:rPr/>
        <w:t>results in </w:t>
      </w:r>
      <w:r>
        <w:rPr>
          <w:rFonts w:ascii="Consolas"/>
        </w:rPr>
        <w:t>78</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4 SYD" w:id="2334"/>
      <w:bookmarkEnd w:id="2334"/>
      <w:r>
        <w:rPr/>
      </w:r>
      <w:bookmarkStart w:name="_bookmark777" w:id="2335"/>
      <w:bookmarkEnd w:id="2335"/>
      <w:r>
        <w:rPr/>
      </w:r>
      <w:bookmarkStart w:name="_bookmark777" w:id="2336"/>
      <w:bookmarkEnd w:id="2336"/>
      <w:r>
        <w:rPr>
          <w:color w:val="4F81BC"/>
        </w:rPr>
        <w:t>S</w:t>
      </w:r>
      <w:r>
        <w:rPr>
          <w:color w:val="4F81BC"/>
        </w:rPr>
        <w:t>YD</w:t>
      </w:r>
    </w:p>
    <w:p>
      <w:pPr>
        <w:spacing w:before="114"/>
        <w:ind w:left="940" w:right="0" w:firstLine="0"/>
        <w:jc w:val="left"/>
        <w:rPr>
          <w:rFonts w:ascii="Lucida Console"/>
          <w:sz w:val="20"/>
        </w:rPr>
      </w:pPr>
      <w:r>
        <w:rPr>
          <w:rFonts w:ascii="Lucida Console"/>
          <w:sz w:val="20"/>
        </w:rPr>
        <w:t>SYD ( </w:t>
      </w:r>
      <w:r>
        <w:rPr>
          <w:i/>
          <w:sz w:val="22"/>
        </w:rPr>
        <w:t>cost </w:t>
      </w:r>
      <w:r>
        <w:rPr>
          <w:rFonts w:ascii="Lucida Console"/>
          <w:sz w:val="20"/>
        </w:rPr>
        <w:t>, </w:t>
      </w:r>
      <w:r>
        <w:rPr>
          <w:i/>
          <w:sz w:val="22"/>
        </w:rPr>
        <w:t>salvage </w:t>
      </w:r>
      <w:r>
        <w:rPr>
          <w:rFonts w:ascii="Lucida Console"/>
          <w:sz w:val="20"/>
        </w:rPr>
        <w:t>, </w:t>
      </w:r>
      <w:r>
        <w:rPr>
          <w:i/>
          <w:sz w:val="22"/>
        </w:rPr>
        <w:t>life  </w:t>
      </w:r>
      <w:r>
        <w:rPr>
          <w:rFonts w:ascii="Lucida Console"/>
          <w:sz w:val="20"/>
        </w:rPr>
        <w:t>, </w:t>
      </w:r>
      <w:r>
        <w:rPr>
          <w:i/>
          <w:sz w:val="22"/>
        </w:rPr>
        <w:t>per </w:t>
      </w:r>
      <w:r>
        <w:rPr>
          <w:rFonts w:ascii="Lucida Console"/>
          <w:sz w:val="20"/>
        </w:rPr>
        <w:t>)</w:t>
      </w:r>
    </w:p>
    <w:p>
      <w:pPr>
        <w:pStyle w:val="BodyText"/>
        <w:spacing w:before="109"/>
        <w:ind w:left="220"/>
      </w:pPr>
      <w:r>
        <w:rPr/>
        <w:t>Description: Computes the sum-of-years' digits depreciation of an asset for a specified period.</w:t>
      </w:r>
    </w:p>
    <w:p>
      <w:pPr>
        <w:pStyle w:val="BodyText"/>
        <w:spacing w:before="8"/>
        <w:rPr>
          <w:sz w:val="19"/>
        </w:rPr>
      </w:pPr>
    </w:p>
    <w:p>
      <w:pPr>
        <w:pStyle w:val="Heading4"/>
        <w:rPr>
          <w:b w:val="0"/>
        </w:rPr>
      </w:pPr>
      <w:r>
        <w:rPr/>
        <w:t>Mathematical Formula</w:t>
      </w:r>
      <w:r>
        <w:rPr>
          <w:b w:val="0"/>
        </w:rPr>
        <w:t>:</w:t>
      </w:r>
    </w:p>
    <w:p>
      <w:pPr>
        <w:pStyle w:val="BodyText"/>
        <w:spacing w:before="9"/>
        <w:rPr>
          <w:sz w:val="12"/>
        </w:rPr>
      </w:pPr>
    </w:p>
    <w:p>
      <w:pPr>
        <w:spacing w:after="0"/>
        <w:rPr>
          <w:sz w:val="12"/>
        </w:rPr>
        <w:sectPr>
          <w:footerReference w:type="even" r:id="rId274"/>
          <w:footerReference w:type="default" r:id="rId275"/>
          <w:pgSz w:w="12240" w:h="15840"/>
          <w:pgMar w:footer="746" w:header="761" w:top="1340" w:bottom="940" w:left="860" w:right="700"/>
          <w:pgNumType w:start="2390"/>
        </w:sectPr>
      </w:pPr>
    </w:p>
    <w:p>
      <w:pPr>
        <w:pStyle w:val="BodyText"/>
        <w:spacing w:before="7"/>
        <w:rPr>
          <w:sz w:val="19"/>
        </w:rPr>
      </w:pPr>
    </w:p>
    <w:p>
      <w:pPr>
        <w:pStyle w:val="BodyText"/>
        <w:ind w:left="220"/>
        <w:rPr>
          <w:rFonts w:ascii="Cambria Math" w:eastAsia="Cambria Math"/>
        </w:rPr>
      </w:pPr>
      <w:r>
        <w:rPr/>
        <w:pict>
          <v:line style="position:absolute;mso-position-horizontal-relative:page;mso-position-vertical-relative:paragraph;z-index:-335772672" from="91.223999pt,7.332155pt" to="277.003999pt,7.332155pt" stroked="true" strokeweight=".72pt" strokecolor="#000000">
            <v:stroke dashstyle="solid"/>
            <w10:wrap type="none"/>
          </v:line>
        </w:pict>
      </w:r>
      <w:r>
        <w:rPr>
          <w:rFonts w:ascii="Cambria Math" w:eastAsia="Cambria Math"/>
        </w:rPr>
        <w:t>𝑆𝑌𝐷 =</w:t>
      </w:r>
    </w:p>
    <w:p>
      <w:pPr>
        <w:pStyle w:val="BodyText"/>
        <w:spacing w:line="285" w:lineRule="auto" w:before="61"/>
        <w:ind w:left="1179" w:right="5032" w:hanging="1109"/>
        <w:rPr>
          <w:rFonts w:ascii="Cambria Math" w:hAnsi="Cambria Math" w:eastAsia="Cambria Math"/>
        </w:rPr>
      </w:pPr>
      <w:r>
        <w:rPr/>
        <w:br w:type="column"/>
      </w:r>
      <w:r>
        <w:rPr>
          <w:rFonts w:ascii="Cambria Math" w:hAnsi="Cambria Math" w:eastAsia="Cambria Math"/>
          <w:position w:val="1"/>
        </w:rPr>
        <w:t>(</w:t>
      </w:r>
      <w:r>
        <w:rPr>
          <w:rFonts w:ascii="Cambria Math" w:hAnsi="Cambria Math" w:eastAsia="Cambria Math"/>
        </w:rPr>
        <w:t>𝑐𝑜𝑠𝑡 − 𝑠𝑎𝑙𝑣𝑎𝑔𝑒</w:t>
      </w:r>
      <w:r>
        <w:rPr>
          <w:rFonts w:ascii="Cambria Math" w:hAnsi="Cambria Math" w:eastAsia="Cambria Math"/>
          <w:position w:val="1"/>
        </w:rPr>
        <w:t>) </w:t>
      </w:r>
      <w:r>
        <w:rPr>
          <w:rFonts w:ascii="Cambria Math" w:hAnsi="Cambria Math" w:eastAsia="Cambria Math"/>
        </w:rPr>
        <w:t>∗ </w:t>
      </w:r>
      <w:r>
        <w:rPr>
          <w:rFonts w:ascii="Cambria Math" w:hAnsi="Cambria Math" w:eastAsia="Cambria Math"/>
          <w:position w:val="1"/>
        </w:rPr>
        <w:t>(</w:t>
      </w:r>
      <w:r>
        <w:rPr>
          <w:rFonts w:ascii="Cambria Math" w:hAnsi="Cambria Math" w:eastAsia="Cambria Math"/>
        </w:rPr>
        <w:t>𝑙𝑖𝑓𝑒 − 𝑝𝑒𝑟 + 1</w:t>
      </w:r>
      <w:r>
        <w:rPr>
          <w:rFonts w:ascii="Cambria Math" w:hAnsi="Cambria Math" w:eastAsia="Cambria Math"/>
          <w:position w:val="1"/>
        </w:rPr>
        <w:t>) </w:t>
      </w:r>
      <w:r>
        <w:rPr>
          <w:rFonts w:ascii="Cambria Math" w:hAnsi="Cambria Math" w:eastAsia="Cambria Math"/>
        </w:rPr>
        <w:t>∗ 2 </w:t>
      </w:r>
      <w:r>
        <w:rPr>
          <w:rFonts w:ascii="Cambria Math" w:hAnsi="Cambria Math" w:eastAsia="Cambria Math"/>
          <w:position w:val="1"/>
        </w:rPr>
        <w:t>(</w:t>
      </w:r>
      <w:r>
        <w:rPr>
          <w:rFonts w:ascii="Cambria Math" w:hAnsi="Cambria Math" w:eastAsia="Cambria Math"/>
        </w:rPr>
        <w:t>𝑙𝑖𝑓𝑒</w:t>
      </w:r>
      <w:r>
        <w:rPr>
          <w:rFonts w:ascii="Cambria Math" w:hAnsi="Cambria Math" w:eastAsia="Cambria Math"/>
          <w:position w:val="1"/>
        </w:rPr>
        <w:t>)(</w:t>
      </w:r>
      <w:r>
        <w:rPr>
          <w:rFonts w:ascii="Cambria Math" w:hAnsi="Cambria Math" w:eastAsia="Cambria Math"/>
        </w:rPr>
        <w:t>𝑙𝑖𝑓𝑒 + 1</w:t>
      </w:r>
      <w:r>
        <w:rPr>
          <w:rFonts w:ascii="Cambria Math" w:hAnsi="Cambria Math" w:eastAsia="Cambria Math"/>
          <w:position w:val="1"/>
        </w:rPr>
        <w:t>)</w:t>
      </w:r>
    </w:p>
    <w:p>
      <w:pPr>
        <w:spacing w:after="0" w:line="285" w:lineRule="auto"/>
        <w:rPr>
          <w:rFonts w:ascii="Cambria Math" w:hAnsi="Cambria Math" w:eastAsia="Cambria Math"/>
        </w:rPr>
        <w:sectPr>
          <w:type w:val="continuous"/>
          <w:pgSz w:w="12240" w:h="15840"/>
          <w:pgMar w:top="1340" w:bottom="940" w:left="860" w:right="700"/>
          <w:cols w:num="2" w:equalWidth="0">
            <w:col w:w="854" w:space="40"/>
            <w:col w:w="9786"/>
          </w:cols>
        </w:sectPr>
      </w:pPr>
    </w:p>
    <w:p>
      <w:pPr>
        <w:pStyle w:val="BodyText"/>
        <w:spacing w:before="4"/>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cost </w:t>
      </w:r>
      <w:r>
        <w:rPr>
          <w:sz w:val="22"/>
        </w:rPr>
        <w:t>= argument</w:t>
      </w:r>
      <w:r>
        <w:rPr>
          <w:spacing w:val="-4"/>
          <w:sz w:val="22"/>
        </w:rPr>
        <w:t> </w:t>
      </w:r>
      <w:r>
        <w:rPr>
          <w:rFonts w:ascii="Times New Roman" w:hAnsi="Times New Roman"/>
          <w:i/>
          <w:sz w:val="22"/>
        </w:rPr>
        <w:t>cost</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life </w:t>
      </w:r>
      <w:r>
        <w:rPr>
          <w:sz w:val="22"/>
        </w:rPr>
        <w:t>= argument</w:t>
      </w:r>
      <w:r>
        <w:rPr>
          <w:spacing w:val="-7"/>
          <w:sz w:val="22"/>
        </w:rPr>
        <w:t> </w:t>
      </w:r>
      <w:r>
        <w:rPr>
          <w:rFonts w:ascii="Times New Roman" w:hAnsi="Times New Roman"/>
          <w:i/>
          <w:sz w:val="22"/>
        </w:rPr>
        <w:t>life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per </w:t>
      </w:r>
      <w:r>
        <w:rPr>
          <w:sz w:val="22"/>
        </w:rPr>
        <w:t>= argument</w:t>
      </w:r>
      <w:r>
        <w:rPr>
          <w:spacing w:val="-2"/>
          <w:sz w:val="22"/>
        </w:rPr>
        <w:t> </w:t>
      </w:r>
      <w:r>
        <w:rPr>
          <w:rFonts w:ascii="Times New Roman" w:hAnsi="Times New Roman"/>
          <w:i/>
          <w:sz w:val="22"/>
        </w:rPr>
        <w:t>per</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salvage </w:t>
      </w:r>
      <w:r>
        <w:rPr>
          <w:sz w:val="22"/>
        </w:rPr>
        <w:t>= argument</w:t>
      </w:r>
      <w:r>
        <w:rPr>
          <w:spacing w:val="-2"/>
          <w:sz w:val="22"/>
        </w:rPr>
        <w:t> </w:t>
      </w:r>
      <w:r>
        <w:rPr>
          <w:rFonts w:ascii="Times New Roman" w:hAnsi="Times New Roman"/>
          <w:i/>
          <w:sz w:val="22"/>
        </w:rPr>
        <w:t>salvage</w:t>
      </w:r>
    </w:p>
    <w:p>
      <w:pPr>
        <w:pStyle w:val="Heading4"/>
        <w:spacing w:before="243"/>
        <w:rPr>
          <w:b w:val="0"/>
        </w:rPr>
      </w:pPr>
      <w:r>
        <w:rPr/>
        <w:t>Arguments</w:t>
      </w:r>
      <w:r>
        <w:rPr>
          <w:b w:val="0"/>
        </w:rPr>
        <w:t>:</w:t>
      </w:r>
    </w:p>
    <w:p>
      <w:pPr>
        <w:pStyle w:val="BodyText"/>
        <w:spacing w:before="8" w:after="1"/>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cost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initial cost of the asset.</w:t>
            </w:r>
          </w:p>
        </w:tc>
      </w:tr>
      <w:tr>
        <w:trPr>
          <w:trHeight w:val="623" w:hRule="atLeast"/>
        </w:trPr>
        <w:tc>
          <w:tcPr>
            <w:tcW w:w="1466" w:type="dxa"/>
          </w:tcPr>
          <w:p>
            <w:pPr>
              <w:pStyle w:val="TableParagraph"/>
              <w:spacing w:before="37"/>
              <w:rPr>
                <w:rFonts w:ascii="Times New Roman"/>
                <w:i/>
                <w:sz w:val="22"/>
              </w:rPr>
            </w:pPr>
            <w:r>
              <w:rPr>
                <w:rFonts w:ascii="Times New Roman"/>
                <w:i/>
                <w:sz w:val="22"/>
              </w:rPr>
              <w:t>salvage</w:t>
            </w:r>
          </w:p>
        </w:tc>
        <w:tc>
          <w:tcPr>
            <w:tcW w:w="1800" w:type="dxa"/>
          </w:tcPr>
          <w:p>
            <w:pPr>
              <w:pStyle w:val="TableParagraph"/>
              <w:ind w:left="112"/>
              <w:rPr>
                <w:sz w:val="22"/>
              </w:rPr>
            </w:pPr>
            <w:r>
              <w:rPr>
                <w:sz w:val="22"/>
              </w:rPr>
              <w:t>number</w:t>
            </w:r>
          </w:p>
        </w:tc>
        <w:tc>
          <w:tcPr>
            <w:tcW w:w="5400" w:type="dxa"/>
          </w:tcPr>
          <w:p>
            <w:pPr>
              <w:pStyle w:val="TableParagraph"/>
              <w:ind w:left="113" w:right="898"/>
              <w:rPr>
                <w:sz w:val="22"/>
              </w:rPr>
            </w:pPr>
            <w:r>
              <w:rPr>
                <w:sz w:val="22"/>
              </w:rPr>
              <w:t>The value at the end of the depreciation. (This is sometimes called the salvage value of the asset.)</w:t>
            </w:r>
          </w:p>
        </w:tc>
      </w:tr>
      <w:tr>
        <w:trPr>
          <w:trHeight w:val="892" w:hRule="atLeast"/>
        </w:trPr>
        <w:tc>
          <w:tcPr>
            <w:tcW w:w="1466" w:type="dxa"/>
          </w:tcPr>
          <w:p>
            <w:pPr>
              <w:pStyle w:val="TableParagraph"/>
              <w:spacing w:before="37"/>
              <w:rPr>
                <w:rFonts w:ascii="Times New Roman"/>
                <w:i/>
                <w:sz w:val="22"/>
              </w:rPr>
            </w:pPr>
            <w:r>
              <w:rPr>
                <w:rFonts w:ascii="Times New Roman"/>
                <w:i/>
                <w:sz w:val="22"/>
              </w:rPr>
              <w:t>life</w:t>
            </w:r>
          </w:p>
        </w:tc>
        <w:tc>
          <w:tcPr>
            <w:tcW w:w="1800" w:type="dxa"/>
          </w:tcPr>
          <w:p>
            <w:pPr>
              <w:pStyle w:val="TableParagraph"/>
              <w:ind w:left="112"/>
              <w:rPr>
                <w:sz w:val="22"/>
              </w:rPr>
            </w:pPr>
            <w:r>
              <w:rPr>
                <w:sz w:val="22"/>
              </w:rPr>
              <w:t>number</w:t>
            </w:r>
          </w:p>
        </w:tc>
        <w:tc>
          <w:tcPr>
            <w:tcW w:w="5400" w:type="dxa"/>
          </w:tcPr>
          <w:p>
            <w:pPr>
              <w:pStyle w:val="TableParagraph"/>
              <w:ind w:left="113" w:right="355"/>
              <w:rPr>
                <w:sz w:val="22"/>
              </w:rPr>
            </w:pPr>
            <w:r>
              <w:rPr>
                <w:sz w:val="22"/>
              </w:rPr>
              <w:t>The number of periods over which the asset is being depreciated. (This is sometimes called the useful life of the asset.)</w:t>
            </w:r>
          </w:p>
        </w:tc>
      </w:tr>
      <w:tr>
        <w:trPr>
          <w:trHeight w:val="355" w:hRule="atLeast"/>
        </w:trPr>
        <w:tc>
          <w:tcPr>
            <w:tcW w:w="1466" w:type="dxa"/>
          </w:tcPr>
          <w:p>
            <w:pPr>
              <w:pStyle w:val="TableParagraph"/>
              <w:spacing w:before="37"/>
              <w:rPr>
                <w:rFonts w:ascii="Times New Roman"/>
                <w:i/>
                <w:sz w:val="22"/>
              </w:rPr>
            </w:pPr>
            <w:r>
              <w:rPr>
                <w:rFonts w:ascii="Times New Roman"/>
                <w:i/>
                <w:sz w:val="22"/>
              </w:rPr>
              <w:t>per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period and shall have the same units as </w:t>
            </w:r>
            <w:r>
              <w:rPr>
                <w:rFonts w:ascii="Times New Roman"/>
                <w:i/>
                <w:sz w:val="22"/>
              </w:rPr>
              <w:t>life</w:t>
            </w:r>
            <w:r>
              <w:rPr>
                <w:sz w:val="22"/>
              </w:rPr>
              <w:t>.</w:t>
            </w:r>
          </w:p>
        </w:tc>
      </w:tr>
    </w:tbl>
    <w:p>
      <w:pPr>
        <w:pStyle w:val="BodyText"/>
      </w:pPr>
    </w:p>
    <w:p>
      <w:pPr>
        <w:pStyle w:val="BodyText"/>
        <w:spacing w:before="7"/>
        <w:rPr>
          <w:sz w:val="19"/>
        </w:rPr>
      </w:pPr>
    </w:p>
    <w:p>
      <w:pPr>
        <w:pStyle w:val="BodyText"/>
        <w:spacing w:line="453" w:lineRule="auto"/>
        <w:ind w:left="220" w:right="1051"/>
      </w:pPr>
      <w:r>
        <w:rPr/>
        <w:t>Return Type and Value: number – The sum-of-years' digits depreciation of an asset for a specified period. [</w:t>
      </w:r>
      <w:r>
        <w:rPr>
          <w:i/>
        </w:rPr>
        <w:t>Example</w:t>
      </w:r>
      <w:r>
        <w:rPr/>
        <w:t>:</w:t>
      </w:r>
    </w:p>
    <w:p>
      <w:pPr>
        <w:spacing w:after="0" w:line="453" w:lineRule="auto"/>
        <w:sectPr>
          <w:type w:val="continuous"/>
          <w:pgSz w:w="12240" w:h="15840"/>
          <w:pgMar w:top="1340" w:bottom="940" w:left="860" w:right="700"/>
        </w:sectPr>
      </w:pPr>
    </w:p>
    <w:p>
      <w:pPr>
        <w:pStyle w:val="BodyText"/>
        <w:spacing w:line="276" w:lineRule="auto" w:before="148"/>
        <w:ind w:left="220" w:right="6068"/>
        <w:rPr>
          <w:rFonts w:ascii="Consolas"/>
        </w:rPr>
      </w:pPr>
      <w:r>
        <w:rPr>
          <w:rFonts w:ascii="Consolas"/>
        </w:rPr>
        <w:t>SYD(30000,7500,10,1) </w:t>
      </w:r>
      <w:r>
        <w:rPr/>
        <w:t>results in </w:t>
      </w:r>
      <w:r>
        <w:rPr>
          <w:rFonts w:ascii="Consolas"/>
        </w:rPr>
        <w:t>4,090.91 SYD(30000,7500,10,10) </w:t>
      </w:r>
      <w:r>
        <w:rPr/>
        <w:t>results in </w:t>
      </w:r>
      <w:r>
        <w:rPr>
          <w:rFonts w:ascii="Consolas"/>
        </w:rPr>
        <w:t>409.09</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5 T" w:id="2337"/>
      <w:bookmarkEnd w:id="2337"/>
      <w:r>
        <w:rPr/>
      </w:r>
      <w:bookmarkStart w:name="_bookmark778" w:id="2338"/>
      <w:bookmarkEnd w:id="2338"/>
      <w:r>
        <w:rPr/>
      </w:r>
      <w:bookmarkStart w:name="_bookmark778" w:id="2339"/>
      <w:bookmarkEnd w:id="2339"/>
      <w:r>
        <w:rPr>
          <w:color w:val="4F81BC"/>
        </w:rPr>
        <w:t>T</w:t>
      </w:r>
      <w:r>
        <w:rPr/>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 ( </w:t>
      </w:r>
      <w:r>
        <w:rPr>
          <w:i/>
          <w:sz w:val="22"/>
        </w:rPr>
        <w:t>value </w:t>
      </w:r>
      <w:r>
        <w:rPr>
          <w:rFonts w:ascii="Lucida Console"/>
          <w:sz w:val="20"/>
        </w:rPr>
        <w:t>)</w:t>
      </w:r>
    </w:p>
    <w:p>
      <w:pPr>
        <w:spacing w:before="108"/>
        <w:ind w:left="220" w:right="0" w:firstLine="0"/>
        <w:jc w:val="left"/>
        <w:rPr>
          <w:sz w:val="22"/>
        </w:rPr>
      </w:pPr>
      <w:r>
        <w:rPr>
          <w:b/>
          <w:sz w:val="22"/>
        </w:rPr>
        <w:t>Description: </w:t>
      </w:r>
      <w:r>
        <w:rPr>
          <w:sz w:val="22"/>
        </w:rPr>
        <w:t>Retrieves the text referencedby </w:t>
      </w:r>
      <w:r>
        <w:rPr>
          <w:rFonts w:ascii="Times New Roman"/>
          <w:i/>
          <w:sz w:val="22"/>
        </w:rPr>
        <w:t>value</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274"/>
              <w:rPr>
                <w:sz w:val="22"/>
              </w:rPr>
            </w:pPr>
            <w:r>
              <w:rPr>
                <w:sz w:val="22"/>
              </w:rPr>
              <w:t>The value to be tested for text. No conversion to text shall take place on an argument passed to this function.</w:t>
            </w:r>
          </w:p>
        </w:tc>
      </w:tr>
    </w:tbl>
    <w:p>
      <w:pPr>
        <w:pStyle w:val="BodyText"/>
        <w:rPr>
          <w:b/>
        </w:rPr>
      </w:pPr>
    </w:p>
    <w:p>
      <w:pPr>
        <w:pStyle w:val="BodyText"/>
        <w:spacing w:before="5"/>
        <w:rPr>
          <w:b/>
          <w:sz w:val="19"/>
        </w:rPr>
      </w:pPr>
    </w:p>
    <w:p>
      <w:pPr>
        <w:spacing w:line="278" w:lineRule="auto" w:before="0"/>
        <w:ind w:left="220" w:right="503" w:firstLine="0"/>
        <w:jc w:val="left"/>
        <w:rPr>
          <w:sz w:val="22"/>
        </w:rPr>
      </w:pPr>
      <w:r>
        <w:rPr>
          <w:b/>
          <w:sz w:val="22"/>
        </w:rPr>
        <w:t>Return Type and Value: </w:t>
      </w:r>
      <w:r>
        <w:rPr>
          <w:sz w:val="22"/>
        </w:rPr>
        <w:t>text – </w:t>
      </w:r>
      <w:r>
        <w:rPr>
          <w:rFonts w:ascii="Times New Roman" w:hAnsi="Times New Roman"/>
          <w:i/>
          <w:sz w:val="22"/>
        </w:rPr>
        <w:t>value </w:t>
      </w:r>
      <w:r>
        <w:rPr>
          <w:sz w:val="22"/>
        </w:rPr>
        <w:t>if </w:t>
      </w:r>
      <w:r>
        <w:rPr>
          <w:rFonts w:ascii="Times New Roman" w:hAnsi="Times New Roman"/>
          <w:i/>
          <w:sz w:val="22"/>
        </w:rPr>
        <w:t>value </w:t>
      </w:r>
      <w:r>
        <w:rPr>
          <w:sz w:val="22"/>
        </w:rPr>
        <w:t>designates text; otherwise, </w:t>
      </w:r>
      <w:r>
        <w:rPr>
          <w:rFonts w:ascii="Consolas" w:hAnsi="Consolas"/>
          <w:sz w:val="22"/>
        </w:rPr>
        <w:t>""</w:t>
      </w:r>
      <w:r>
        <w:rPr>
          <w:sz w:val="22"/>
        </w:rPr>
        <w:t>. [</w:t>
      </w:r>
      <w:r>
        <w:rPr>
          <w:i/>
          <w:sz w:val="22"/>
        </w:rPr>
        <w:t>Note</w:t>
      </w:r>
      <w:r>
        <w:rPr>
          <w:sz w:val="22"/>
        </w:rPr>
        <w:t>: </w:t>
      </w:r>
      <w:r>
        <w:rPr>
          <w:rFonts w:ascii="Consolas" w:hAnsi="Consolas"/>
          <w:sz w:val="22"/>
        </w:rPr>
        <w:t>T</w:t>
      </w:r>
      <w:r>
        <w:rPr>
          <w:rFonts w:ascii="Consolas" w:hAnsi="Consolas"/>
          <w:spacing w:val="-72"/>
          <w:sz w:val="22"/>
        </w:rPr>
        <w:t> </w:t>
      </w:r>
      <w:r>
        <w:rPr>
          <w:sz w:val="22"/>
        </w:rPr>
        <w:t>cannot differentiate between text that is an empty string, and any </w:t>
      </w:r>
      <w:r>
        <w:rPr>
          <w:rFonts w:ascii="Times New Roman" w:hAnsi="Times New Roman"/>
          <w:i/>
          <w:sz w:val="22"/>
        </w:rPr>
        <w:t>value </w:t>
      </w:r>
      <w:r>
        <w:rPr>
          <w:sz w:val="22"/>
        </w:rPr>
        <w:t>of non-text type. </w:t>
      </w:r>
      <w:r>
        <w:rPr>
          <w:i/>
          <w:sz w:val="22"/>
        </w:rPr>
        <w:t>end note</w:t>
      </w:r>
      <w:r>
        <w:rPr>
          <w:sz w:val="22"/>
        </w:rPr>
        <w:t>]</w:t>
      </w:r>
    </w:p>
    <w:p>
      <w:pPr>
        <w:spacing w:before="195"/>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7406"/>
        <w:rPr>
          <w:rFonts w:ascii="Consolas"/>
        </w:rPr>
      </w:pPr>
      <w:r>
        <w:rPr>
          <w:rFonts w:ascii="Consolas"/>
        </w:rPr>
        <w:t>T("Hello") </w:t>
      </w:r>
      <w:r>
        <w:rPr/>
        <w:t>results in </w:t>
      </w:r>
      <w:r>
        <w:rPr>
          <w:rFonts w:ascii="Consolas"/>
        </w:rPr>
        <w:t>Hello T(123)</w:t>
      </w:r>
      <w:r>
        <w:rPr>
          <w:rFonts w:ascii="Consolas"/>
          <w:spacing w:val="-77"/>
        </w:rPr>
        <w:t> </w:t>
      </w:r>
      <w:r>
        <w:rPr/>
        <w:t>results in an empty string </w:t>
      </w:r>
      <w:r>
        <w:rPr>
          <w:rFonts w:ascii="Consolas"/>
        </w:rPr>
        <w:t>LEN(T(123))</w:t>
      </w:r>
      <w:r>
        <w:rPr>
          <w:rFonts w:ascii="Consolas"/>
          <w:spacing w:val="-73"/>
        </w:rPr>
        <w:t> </w:t>
      </w:r>
      <w:r>
        <w:rPr/>
        <w:t>results in </w:t>
      </w:r>
      <w:r>
        <w:rPr>
          <w:rFonts w:ascii="Consolas"/>
        </w:rPr>
        <w:t>0</w:t>
      </w:r>
    </w:p>
    <w:p>
      <w:pPr>
        <w:pStyle w:val="BodyText"/>
        <w:spacing w:before="7"/>
        <w:rPr>
          <w:rFonts w:ascii="Consolas"/>
          <w:sz w:val="26"/>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16 TAN" w:id="2340"/>
      <w:bookmarkEnd w:id="2340"/>
      <w:r>
        <w:rPr/>
      </w:r>
      <w:bookmarkStart w:name="_bookmark779" w:id="2341"/>
      <w:bookmarkEnd w:id="2341"/>
      <w:r>
        <w:rPr/>
      </w:r>
      <w:bookmarkStart w:name="_bookmark779" w:id="2342"/>
      <w:bookmarkEnd w:id="2342"/>
      <w:r>
        <w:rPr>
          <w:color w:val="4F81BC"/>
        </w:rPr>
        <w:t>TAN</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TAN ( </w:t>
      </w:r>
      <w:r>
        <w:rPr>
          <w:i/>
          <w:sz w:val="22"/>
        </w:rPr>
        <w:t>x </w:t>
      </w:r>
      <w:r>
        <w:rPr>
          <w:rFonts w:ascii="Lucida Console"/>
          <w:sz w:val="20"/>
        </w:rPr>
        <w:t>)</w:t>
      </w:r>
    </w:p>
    <w:p>
      <w:pPr>
        <w:spacing w:before="108"/>
        <w:ind w:left="220" w:right="0" w:firstLine="0"/>
        <w:jc w:val="left"/>
        <w:rPr>
          <w:sz w:val="22"/>
        </w:rPr>
      </w:pPr>
      <w:r>
        <w:rPr>
          <w:b/>
          <w:sz w:val="22"/>
        </w:rPr>
        <w:t>Description: </w:t>
      </w:r>
      <w:r>
        <w:rPr>
          <w:sz w:val="22"/>
        </w:rPr>
        <w:t>Computes the tangent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10"/>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1054"/>
              <w:rPr>
                <w:sz w:val="22"/>
              </w:rPr>
            </w:pPr>
            <w:r>
              <w:rPr>
                <w:sz w:val="22"/>
              </w:rPr>
              <w:t>The number, in radians, whose tangent is to be computed.</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The tangent of </w:t>
      </w:r>
      <w:r>
        <w:rPr>
          <w:rFonts w:ascii="Times New Roman" w:hAnsi="Times New Roman"/>
          <w:i/>
          <w:sz w:val="22"/>
        </w:rPr>
        <w:t>x</w:t>
      </w:r>
      <w:r>
        <w:rPr>
          <w:sz w:val="22"/>
        </w:rPr>
        <w:t>.</w:t>
      </w:r>
    </w:p>
    <w:p>
      <w:pPr>
        <w:spacing w:after="0"/>
        <w:jc w:val="left"/>
        <w:rPr>
          <w:sz w:val="22"/>
        </w:rPr>
        <w:sectPr>
          <w:pgSz w:w="12240" w:h="15840"/>
          <w:pgMar w:header="763" w:footer="746" w:top="1340" w:bottom="940" w:left="860" w:right="700"/>
        </w:sectPr>
      </w:pPr>
    </w:p>
    <w:p>
      <w:pPr>
        <w:spacing w:before="9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spacing w:line="276" w:lineRule="auto"/>
        <w:ind w:left="220" w:right="7240"/>
        <w:rPr>
          <w:rFonts w:ascii="Consolas"/>
        </w:rPr>
      </w:pPr>
      <w:r>
        <w:rPr>
          <w:rFonts w:ascii="Consolas"/>
        </w:rPr>
        <w:t>TAN(-1)</w:t>
      </w:r>
      <w:r>
        <w:rPr>
          <w:rFonts w:ascii="Consolas"/>
          <w:spacing w:val="-83"/>
        </w:rPr>
        <w:t> </w:t>
      </w:r>
      <w:r>
        <w:rPr/>
        <w:t>results in </w:t>
      </w:r>
      <w:r>
        <w:rPr>
          <w:rFonts w:ascii="Consolas"/>
        </w:rPr>
        <w:t>-1.557407725 TAN(0)</w:t>
      </w:r>
      <w:r>
        <w:rPr>
          <w:rFonts w:ascii="Consolas"/>
          <w:spacing w:val="-73"/>
        </w:rPr>
        <w:t> </w:t>
      </w:r>
      <w:r>
        <w:rPr/>
        <w:t>results in </w:t>
      </w:r>
      <w:r>
        <w:rPr>
          <w:rFonts w:ascii="Consolas"/>
        </w:rPr>
        <w:t>0</w:t>
      </w:r>
    </w:p>
    <w:p>
      <w:pPr>
        <w:pStyle w:val="BodyText"/>
        <w:spacing w:before="2"/>
        <w:ind w:left="220"/>
        <w:rPr>
          <w:rFonts w:ascii="Consolas"/>
        </w:rPr>
      </w:pPr>
      <w:r>
        <w:rPr>
          <w:rFonts w:ascii="Consolas"/>
        </w:rPr>
        <w:t>TAN(1)</w:t>
      </w:r>
      <w:r>
        <w:rPr>
          <w:rFonts w:ascii="Consolas"/>
          <w:spacing w:val="-73"/>
        </w:rPr>
        <w:t> </w:t>
      </w:r>
      <w:r>
        <w:rPr/>
        <w:t>results in </w:t>
      </w:r>
      <w:r>
        <w:rPr>
          <w:rFonts w:ascii="Consolas"/>
        </w:rPr>
        <w:t>1.557407725</w:t>
      </w:r>
    </w:p>
    <w:p>
      <w:pPr>
        <w:pStyle w:val="BodyText"/>
        <w:spacing w:before="10"/>
        <w:rPr>
          <w:rFonts w:ascii="Consolas"/>
          <w:sz w:val="2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17 TANH" w:id="2343"/>
      <w:bookmarkEnd w:id="2343"/>
      <w:r>
        <w:rPr/>
      </w:r>
      <w:bookmarkStart w:name="_bookmark780" w:id="2344"/>
      <w:bookmarkEnd w:id="2344"/>
      <w:r>
        <w:rPr/>
      </w:r>
      <w:bookmarkStart w:name="_bookmark780" w:id="2345"/>
      <w:bookmarkEnd w:id="2345"/>
      <w:r>
        <w:rPr>
          <w:color w:val="4F81BC"/>
        </w:rPr>
        <w:t>T</w:t>
      </w:r>
      <w:r>
        <w:rPr>
          <w:color w:val="4F81BC"/>
        </w:rPr>
        <w:t>ANH</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TANH ( </w:t>
      </w:r>
      <w:r>
        <w:rPr>
          <w:i/>
          <w:sz w:val="22"/>
        </w:rPr>
        <w:t>x </w:t>
      </w:r>
      <w:r>
        <w:rPr>
          <w:rFonts w:ascii="Lucida Console"/>
          <w:sz w:val="20"/>
        </w:rPr>
        <w:t>)</w:t>
      </w:r>
    </w:p>
    <w:p>
      <w:pPr>
        <w:spacing w:before="109"/>
        <w:ind w:left="220" w:right="0" w:firstLine="0"/>
        <w:jc w:val="left"/>
        <w:rPr>
          <w:sz w:val="22"/>
        </w:rPr>
      </w:pPr>
      <w:r>
        <w:rPr>
          <w:b/>
          <w:sz w:val="22"/>
        </w:rPr>
        <w:t>Description: </w:t>
      </w:r>
      <w:r>
        <w:rPr>
          <w:sz w:val="22"/>
        </w:rPr>
        <w:t>Computes the hyperbolic tangent of </w:t>
      </w:r>
      <w:r>
        <w:rPr>
          <w:rFonts w:ascii="Times New Roman"/>
          <w:i/>
          <w:sz w:val="22"/>
        </w:rPr>
        <w:t>x</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ight="1092"/>
              <w:rPr>
                <w:sz w:val="22"/>
              </w:rPr>
            </w:pPr>
            <w:r>
              <w:rPr>
                <w:sz w:val="22"/>
              </w:rPr>
              <w:t>The number whose hyperbolic tangent is to be computed.</w:t>
            </w:r>
          </w:p>
        </w:tc>
      </w:tr>
    </w:tbl>
    <w:p>
      <w:pPr>
        <w:pStyle w:val="BodyText"/>
        <w:rPr>
          <w:b/>
        </w:rPr>
      </w:pPr>
    </w:p>
    <w:p>
      <w:pPr>
        <w:pStyle w:val="BodyText"/>
        <w:spacing w:before="7"/>
        <w:rPr>
          <w:b/>
          <w:sz w:val="19"/>
        </w:rPr>
      </w:pPr>
    </w:p>
    <w:p>
      <w:pPr>
        <w:spacing w:before="0"/>
        <w:ind w:left="220" w:right="0" w:firstLine="0"/>
        <w:jc w:val="left"/>
        <w:rPr>
          <w:rFonts w:ascii="Times New Roman" w:hAnsi="Times New Roman"/>
          <w:i/>
          <w:sz w:val="22"/>
        </w:rPr>
      </w:pPr>
      <w:r>
        <w:rPr>
          <w:b/>
          <w:sz w:val="22"/>
        </w:rPr>
        <w:t>Return Type and Value: </w:t>
      </w:r>
      <w:r>
        <w:rPr>
          <w:sz w:val="22"/>
        </w:rPr>
        <w:t>number – The hyperbolic tangent of </w:t>
      </w:r>
      <w:r>
        <w:rPr>
          <w:rFonts w:ascii="Times New Roman" w:hAnsi="Times New Roman"/>
          <w:i/>
          <w:sz w:val="22"/>
        </w:rPr>
        <w:t>x</w:t>
      </w:r>
    </w:p>
    <w:p>
      <w:pPr>
        <w:pStyle w:val="BodyText"/>
        <w:spacing w:before="8"/>
        <w:rPr>
          <w:rFonts w:ascii="Times New Roman"/>
          <w:i/>
          <w:sz w:val="20"/>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spacing w:line="273" w:lineRule="auto"/>
        <w:ind w:left="220" w:right="7121"/>
        <w:rPr>
          <w:rFonts w:ascii="Consolas"/>
        </w:rPr>
      </w:pPr>
      <w:r>
        <w:rPr>
          <w:rFonts w:ascii="Consolas"/>
        </w:rPr>
        <w:t>TANH(-1)</w:t>
      </w:r>
      <w:r>
        <w:rPr>
          <w:rFonts w:ascii="Consolas"/>
          <w:spacing w:val="-85"/>
        </w:rPr>
        <w:t> </w:t>
      </w:r>
      <w:r>
        <w:rPr/>
        <w:t>results in </w:t>
      </w:r>
      <w:r>
        <w:rPr>
          <w:rFonts w:ascii="Consolas"/>
        </w:rPr>
        <w:t>-0.761594156 TANH(0)</w:t>
      </w:r>
      <w:r>
        <w:rPr>
          <w:rFonts w:ascii="Consolas"/>
          <w:spacing w:val="-73"/>
        </w:rPr>
        <w:t> </w:t>
      </w:r>
      <w:r>
        <w:rPr/>
        <w:t>results in </w:t>
      </w:r>
      <w:r>
        <w:rPr>
          <w:rFonts w:ascii="Consolas"/>
        </w:rPr>
        <w:t>0</w:t>
      </w:r>
    </w:p>
    <w:p>
      <w:pPr>
        <w:pStyle w:val="BodyText"/>
        <w:spacing w:before="5"/>
        <w:ind w:left="220"/>
        <w:rPr>
          <w:rFonts w:ascii="Consolas"/>
        </w:rPr>
      </w:pPr>
      <w:r>
        <w:rPr>
          <w:rFonts w:ascii="Consolas"/>
        </w:rPr>
        <w:t>TANH(1)</w:t>
      </w:r>
      <w:r>
        <w:rPr>
          <w:rFonts w:ascii="Consolas"/>
          <w:spacing w:val="-73"/>
        </w:rPr>
        <w:t> </w:t>
      </w:r>
      <w:r>
        <w:rPr/>
        <w:t>results in </w:t>
      </w:r>
      <w:r>
        <w:rPr>
          <w:rFonts w:ascii="Consolas"/>
        </w:rPr>
        <w:t>0.761594156</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18 TBILLEQ" w:id="2346"/>
      <w:bookmarkEnd w:id="2346"/>
      <w:r>
        <w:rPr/>
      </w:r>
      <w:bookmarkStart w:name="_bookmark781" w:id="2347"/>
      <w:bookmarkEnd w:id="2347"/>
      <w:r>
        <w:rPr/>
      </w:r>
      <w:bookmarkStart w:name="_bookmark781" w:id="2348"/>
      <w:bookmarkEnd w:id="2348"/>
      <w:r>
        <w:rPr>
          <w:color w:val="4F81BC"/>
        </w:rPr>
        <w:t>T</w:t>
      </w:r>
      <w:r>
        <w:rPr>
          <w:color w:val="4F81BC"/>
        </w:rPr>
        <w:t>BILLEQ</w:t>
      </w:r>
    </w:p>
    <w:p>
      <w:pPr>
        <w:spacing w:before="116"/>
        <w:ind w:left="940" w:right="0" w:firstLine="0"/>
        <w:jc w:val="left"/>
        <w:rPr>
          <w:rFonts w:ascii="Lucida Console"/>
          <w:sz w:val="20"/>
        </w:rPr>
      </w:pPr>
      <w:r>
        <w:rPr>
          <w:rFonts w:ascii="Lucida Console"/>
          <w:sz w:val="20"/>
        </w:rPr>
        <w:t>TBILLEQ ( </w:t>
      </w:r>
      <w:r>
        <w:rPr>
          <w:i/>
          <w:sz w:val="22"/>
        </w:rPr>
        <w:t>settlement </w:t>
      </w:r>
      <w:r>
        <w:rPr>
          <w:rFonts w:ascii="Lucida Console"/>
          <w:sz w:val="20"/>
        </w:rPr>
        <w:t>, </w:t>
      </w:r>
      <w:r>
        <w:rPr>
          <w:i/>
          <w:sz w:val="22"/>
        </w:rPr>
        <w:t>maturity </w:t>
      </w:r>
      <w:r>
        <w:rPr>
          <w:rFonts w:ascii="Lucida Console"/>
          <w:sz w:val="20"/>
        </w:rPr>
        <w:t>,</w:t>
      </w:r>
      <w:r>
        <w:rPr>
          <w:rFonts w:ascii="Lucida Console"/>
          <w:spacing w:val="-85"/>
          <w:sz w:val="20"/>
        </w:rPr>
        <w:t> </w:t>
      </w:r>
      <w:r>
        <w:rPr>
          <w:i/>
          <w:sz w:val="22"/>
        </w:rPr>
        <w:t>discount </w:t>
      </w:r>
      <w:r>
        <w:rPr>
          <w:rFonts w:ascii="Lucida Console"/>
          <w:sz w:val="20"/>
        </w:rPr>
        <w:t>)</w:t>
      </w:r>
    </w:p>
    <w:p>
      <w:pPr>
        <w:pStyle w:val="BodyText"/>
        <w:spacing w:line="453" w:lineRule="auto" w:before="109" w:after="4"/>
        <w:ind w:left="220" w:right="3984"/>
      </w:pPr>
      <w:r>
        <w:rPr/>
        <w:t>Description: Computes the bond-equivalent yield for a U.S. Treasury bill. Arguments:</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400" w:type="dxa"/>
          </w:tcPr>
          <w:p>
            <w:pPr>
              <w:pStyle w:val="TableParagraph"/>
              <w:ind w:left="113" w:right="146"/>
              <w:rPr>
                <w:sz w:val="22"/>
              </w:rPr>
            </w:pPr>
            <w:r>
              <w:rPr>
                <w:sz w:val="22"/>
              </w:rPr>
              <w:t>The Treasury bill's settlement date. Any time information in the date is ignored.</w:t>
            </w:r>
          </w:p>
        </w:tc>
      </w:tr>
      <w:tr>
        <w:trPr>
          <w:trHeight w:val="621"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400" w:type="dxa"/>
          </w:tcPr>
          <w:p>
            <w:pPr>
              <w:pStyle w:val="TableParagraph"/>
              <w:ind w:left="113" w:right="137"/>
              <w:rPr>
                <w:sz w:val="22"/>
              </w:rPr>
            </w:pPr>
            <w:r>
              <w:rPr>
                <w:sz w:val="22"/>
              </w:rPr>
              <w:t>The Treasury bill's maturity date. Any time information in the date is ignored.</w:t>
            </w:r>
          </w:p>
        </w:tc>
      </w:tr>
      <w:tr>
        <w:trPr>
          <w:trHeight w:val="354" w:hRule="atLeast"/>
        </w:trPr>
        <w:tc>
          <w:tcPr>
            <w:tcW w:w="1466" w:type="dxa"/>
          </w:tcPr>
          <w:p>
            <w:pPr>
              <w:pStyle w:val="TableParagraph"/>
              <w:spacing w:before="37"/>
              <w:rPr>
                <w:rFonts w:ascii="Times New Roman"/>
                <w:i/>
                <w:sz w:val="22"/>
              </w:rPr>
            </w:pPr>
            <w:r>
              <w:rPr>
                <w:rFonts w:ascii="Times New Roman"/>
                <w:i/>
                <w:sz w:val="22"/>
              </w:rPr>
              <w:t>discount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Treasury bill's discount rate.</w:t>
            </w:r>
          </w:p>
        </w:tc>
      </w:tr>
    </w:tbl>
    <w:p>
      <w:pPr>
        <w:spacing w:after="0"/>
        <w:rPr>
          <w:sz w:val="22"/>
        </w:rPr>
        <w:sectPr>
          <w:pgSz w:w="12240" w:h="15840"/>
          <w:pgMar w:header="761" w:footer="746" w:top="1340" w:bottom="940" w:left="860" w:right="700"/>
        </w:sectPr>
      </w:pPr>
    </w:p>
    <w:p>
      <w:pPr>
        <w:pStyle w:val="BodyText"/>
        <w:rPr>
          <w:sz w:val="20"/>
        </w:rPr>
      </w:pPr>
    </w:p>
    <w:p>
      <w:pPr>
        <w:pStyle w:val="BodyText"/>
        <w:spacing w:before="5"/>
        <w:rPr>
          <w:sz w:val="29"/>
        </w:rPr>
      </w:pPr>
    </w:p>
    <w:p>
      <w:pPr>
        <w:pStyle w:val="BodyText"/>
        <w:spacing w:line="453" w:lineRule="auto" w:before="56"/>
        <w:ind w:left="220" w:right="2980"/>
      </w:pPr>
      <w:r>
        <w:rPr/>
        <w:t>Return Type and Value: number – The bond-equivalent yield for a U.S. Treasury bill.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settlement </w:t>
      </w:r>
      <w:r>
        <w:rPr>
          <w:sz w:val="22"/>
        </w:rPr>
        <w:t>&gt;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maturity </w:t>
      </w:r>
      <w:r>
        <w:rPr>
          <w:sz w:val="22"/>
        </w:rPr>
        <w:t>is more than one year after </w:t>
      </w:r>
      <w:r>
        <w:rPr>
          <w:rFonts w:ascii="Times New Roman" w:hAnsi="Times New Roman"/>
          <w:i/>
          <w:sz w:val="22"/>
        </w:rPr>
        <w:t>settlement</w:t>
      </w:r>
      <w:r>
        <w:rPr>
          <w:sz w:val="22"/>
        </w:rPr>
        <w:t>,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875" w:firstLine="360"/>
        <w:jc w:val="left"/>
        <w:rPr>
          <w:sz w:val="22"/>
        </w:rPr>
      </w:pPr>
      <w:r>
        <w:rPr>
          <w:rFonts w:ascii="Times New Roman" w:hAnsi="Times New Roman"/>
          <w:i/>
          <w:sz w:val="22"/>
        </w:rPr>
        <w:t>discount </w:t>
      </w:r>
      <w:r>
        <w:rPr>
          <w:sz w:val="22"/>
        </w:rPr>
        <w:t>≤ 0, </w:t>
      </w:r>
      <w:r>
        <w:rPr>
          <w:rFonts w:ascii="Consolas" w:hAnsi="Consolas"/>
          <w:sz w:val="22"/>
        </w:rPr>
        <w:t>#NUM!</w:t>
      </w:r>
      <w:r>
        <w:rPr>
          <w:rFonts w:ascii="Consolas" w:hAnsi="Consolas"/>
          <w:spacing w:val="-84"/>
          <w:sz w:val="22"/>
        </w:rPr>
        <w:t> </w:t>
      </w:r>
      <w:r>
        <w:rPr>
          <w:sz w:val="22"/>
        </w:rPr>
        <w:t>is returned. [</w:t>
      </w:r>
      <w:r>
        <w:rPr>
          <w:i/>
          <w:sz w:val="22"/>
        </w:rPr>
        <w:t>Example</w:t>
      </w:r>
      <w:r>
        <w:rPr>
          <w:sz w:val="22"/>
        </w:rPr>
        <w:t>:</w:t>
      </w:r>
    </w:p>
    <w:p>
      <w:pPr>
        <w:pStyle w:val="BodyText"/>
        <w:spacing w:before="127"/>
        <w:ind w:left="220"/>
        <w:rPr>
          <w:rFonts w:ascii="Consolas"/>
        </w:rPr>
      </w:pPr>
      <w:r>
        <w:rPr>
          <w:rFonts w:ascii="Consolas"/>
        </w:rPr>
        <w:t>TBILLEQ(DATE(2008,3,31),DATE(2008,6,1),0.0914) </w:t>
      </w:r>
      <w:r>
        <w:rPr/>
        <w:t>results in </w:t>
      </w:r>
      <w:r>
        <w:rPr>
          <w:rFonts w:ascii="Consolas"/>
        </w:rPr>
        <w:t>9.4151%</w:t>
      </w:r>
    </w:p>
    <w:p>
      <w:pPr>
        <w:pStyle w:val="BodyText"/>
        <w:spacing w:before="10"/>
        <w:rPr>
          <w:rFonts w:ascii="Consolas"/>
          <w:sz w:val="2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19 TBILLPRICE" w:id="2349"/>
      <w:bookmarkEnd w:id="2349"/>
      <w:r>
        <w:rPr/>
      </w:r>
      <w:bookmarkStart w:name="_bookmark782" w:id="2350"/>
      <w:bookmarkEnd w:id="2350"/>
      <w:r>
        <w:rPr/>
      </w:r>
      <w:bookmarkStart w:name="_bookmark782" w:id="2351"/>
      <w:bookmarkEnd w:id="2351"/>
      <w:r>
        <w:rPr>
          <w:color w:val="4F81BC"/>
        </w:rPr>
        <w:t>T</w:t>
      </w:r>
      <w:r>
        <w:rPr>
          <w:color w:val="4F81BC"/>
        </w:rPr>
        <w:t>BILLPRICE</w:t>
      </w:r>
    </w:p>
    <w:p>
      <w:pPr>
        <w:spacing w:before="114"/>
        <w:ind w:left="940" w:right="0" w:firstLine="0"/>
        <w:jc w:val="left"/>
        <w:rPr>
          <w:rFonts w:ascii="Lucida Console"/>
          <w:sz w:val="20"/>
        </w:rPr>
      </w:pPr>
      <w:r>
        <w:rPr>
          <w:rFonts w:ascii="Lucida Console"/>
          <w:sz w:val="20"/>
        </w:rPr>
        <w:t>TBILLPRICE ( </w:t>
      </w:r>
      <w:r>
        <w:rPr>
          <w:i/>
          <w:sz w:val="22"/>
        </w:rPr>
        <w:t>settlement </w:t>
      </w:r>
      <w:r>
        <w:rPr>
          <w:rFonts w:ascii="Lucida Console"/>
          <w:sz w:val="20"/>
        </w:rPr>
        <w:t>, </w:t>
      </w:r>
      <w:r>
        <w:rPr>
          <w:i/>
          <w:sz w:val="22"/>
        </w:rPr>
        <w:t>maturity </w:t>
      </w:r>
      <w:r>
        <w:rPr>
          <w:rFonts w:ascii="Lucida Console"/>
          <w:sz w:val="20"/>
        </w:rPr>
        <w:t>,</w:t>
      </w:r>
      <w:r>
        <w:rPr>
          <w:rFonts w:ascii="Lucida Console"/>
          <w:spacing w:val="-85"/>
          <w:sz w:val="20"/>
        </w:rPr>
        <w:t> </w:t>
      </w:r>
      <w:r>
        <w:rPr>
          <w:i/>
          <w:sz w:val="22"/>
        </w:rPr>
        <w:t>discount </w:t>
      </w:r>
      <w:r>
        <w:rPr>
          <w:rFonts w:ascii="Lucida Console"/>
          <w:sz w:val="20"/>
        </w:rPr>
        <w:t>)</w:t>
      </w:r>
    </w:p>
    <w:p>
      <w:pPr>
        <w:pStyle w:val="BodyText"/>
        <w:spacing w:before="110"/>
        <w:ind w:left="220"/>
      </w:pPr>
      <w:r>
        <w:rPr/>
        <w:t>Description: Computes the price per $100 face value for a U.S. Treasury bill.</w:t>
      </w:r>
    </w:p>
    <w:p>
      <w:pPr>
        <w:pStyle w:val="BodyText"/>
        <w:spacing w:before="8"/>
        <w:rPr>
          <w:sz w:val="19"/>
        </w:rPr>
      </w:pPr>
    </w:p>
    <w:p>
      <w:pPr>
        <w:pStyle w:val="Heading4"/>
        <w:spacing w:before="1"/>
        <w:rPr>
          <w:b w:val="0"/>
        </w:rPr>
      </w:pPr>
      <w:r>
        <w:rPr/>
        <w:t>Mathematical Formula</w:t>
      </w:r>
      <w:r>
        <w:rPr>
          <w:b w:val="0"/>
        </w:rPr>
        <w:t>:</w:t>
      </w:r>
    </w:p>
    <w:p>
      <w:pPr>
        <w:pStyle w:val="BodyText"/>
        <w:spacing w:before="4"/>
        <w:rPr>
          <w:sz w:val="12"/>
        </w:rPr>
      </w:pPr>
    </w:p>
    <w:p>
      <w:pPr>
        <w:spacing w:after="0"/>
        <w:rPr>
          <w:sz w:val="12"/>
        </w:rPr>
        <w:sectPr>
          <w:pgSz w:w="12240" w:h="15840"/>
          <w:pgMar w:header="763" w:footer="746" w:top="1340" w:bottom="940" w:left="860" w:right="700"/>
        </w:sectPr>
      </w:pPr>
    </w:p>
    <w:p>
      <w:pPr>
        <w:pStyle w:val="BodyText"/>
        <w:spacing w:before="11"/>
        <w:rPr>
          <w:sz w:val="18"/>
        </w:rPr>
      </w:pPr>
    </w:p>
    <w:p>
      <w:pPr>
        <w:pStyle w:val="BodyText"/>
        <w:spacing w:before="1"/>
        <w:ind w:left="220"/>
        <w:rPr>
          <w:rFonts w:ascii="Cambria Math" w:hAnsi="Cambria Math" w:eastAsia="Cambria Math"/>
        </w:rPr>
      </w:pPr>
      <w:r>
        <w:rPr>
          <w:rFonts w:ascii="Cambria Math" w:hAnsi="Cambria Math" w:eastAsia="Cambria Math"/>
        </w:rPr>
        <w:t>𝑇𝐵𝐼𝐿𝐿𝑃𝑅𝐶𝐸 = 100 × (1 −</w:t>
      </w:r>
    </w:p>
    <w:p>
      <w:pPr>
        <w:pStyle w:val="BodyText"/>
        <w:spacing w:line="213" w:lineRule="exact" w:before="63"/>
        <w:ind w:left="8"/>
        <w:rPr>
          <w:rFonts w:ascii="Cambria Math" w:hAnsi="Cambria Math" w:eastAsia="Cambria Math"/>
        </w:rPr>
      </w:pPr>
      <w:r>
        <w:rPr/>
        <w:br w:type="column"/>
      </w:r>
      <w:r>
        <w:rPr>
          <w:rFonts w:ascii="Cambria Math" w:hAnsi="Cambria Math" w:eastAsia="Cambria Math"/>
        </w:rPr>
        <w:t>𝑑𝑖𝑠𝑐𝑢𝑛𝑡 × 𝐷𝑆𝑀</w:t>
      </w:r>
    </w:p>
    <w:p>
      <w:pPr>
        <w:pStyle w:val="BodyText"/>
        <w:spacing w:line="158" w:lineRule="exact"/>
        <w:ind w:left="1470"/>
        <w:rPr>
          <w:rFonts w:ascii="Cambria Math"/>
        </w:rPr>
      </w:pPr>
      <w:r>
        <w:rPr/>
        <w:pict>
          <v:line style="position:absolute;mso-position-horizontal-relative:page;mso-position-vertical-relative:paragraph;z-index:251869184" from="181.339996pt,5.084145pt" to="254.443996pt,5.084145pt" stroked="true" strokeweight=".72pt" strokecolor="#000000">
            <v:stroke dashstyle="solid"/>
            <w10:wrap type="none"/>
          </v:line>
        </w:pict>
      </w:r>
      <w:r>
        <w:rPr>
          <w:rFonts w:ascii="Cambria Math"/>
          <w:w w:val="119"/>
        </w:rPr>
        <w:t>)</w:t>
      </w:r>
    </w:p>
    <w:p>
      <w:pPr>
        <w:pStyle w:val="BodyText"/>
        <w:spacing w:line="203" w:lineRule="exact"/>
        <w:ind w:left="556"/>
        <w:rPr>
          <w:rFonts w:ascii="Cambria Math"/>
        </w:rPr>
      </w:pPr>
      <w:r>
        <w:rPr>
          <w:rFonts w:ascii="Cambria Math"/>
        </w:rPr>
        <w:t>360</w:t>
      </w:r>
    </w:p>
    <w:p>
      <w:pPr>
        <w:spacing w:after="0" w:line="203" w:lineRule="exact"/>
        <w:rPr>
          <w:rFonts w:ascii="Cambria Math"/>
        </w:rPr>
        <w:sectPr>
          <w:type w:val="continuous"/>
          <w:pgSz w:w="12240" w:h="15840"/>
          <w:pgMar w:top="1340" w:bottom="940" w:left="860" w:right="700"/>
          <w:cols w:num="2" w:equalWidth="0">
            <w:col w:w="2719" w:space="40"/>
            <w:col w:w="7921"/>
          </w:cols>
        </w:sectPr>
      </w:pPr>
    </w:p>
    <w:p>
      <w:pPr>
        <w:pStyle w:val="BodyText"/>
        <w:spacing w:before="11"/>
        <w:rPr>
          <w:rFonts w:ascii="Cambria Math"/>
          <w:sz w:val="11"/>
        </w:rPr>
      </w:pPr>
    </w:p>
    <w:p>
      <w:pPr>
        <w:pStyle w:val="BodyText"/>
        <w:spacing w:before="56"/>
        <w:ind w:left="220"/>
      </w:pPr>
      <w:r>
        <w:rPr/>
        <w:t>where:</w:t>
      </w:r>
    </w:p>
    <w:p>
      <w:pPr>
        <w:pStyle w:val="BodyText"/>
        <w:spacing w:before="6"/>
        <w:rPr>
          <w:sz w:val="19"/>
        </w:rPr>
      </w:pPr>
    </w:p>
    <w:p>
      <w:pPr>
        <w:pStyle w:val="ListParagraph"/>
        <w:numPr>
          <w:ilvl w:val="0"/>
          <w:numId w:val="128"/>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discount </w:t>
      </w:r>
      <w:r>
        <w:rPr>
          <w:sz w:val="22"/>
        </w:rPr>
        <w:t>= argument</w:t>
      </w:r>
      <w:r>
        <w:rPr>
          <w:spacing w:val="-8"/>
          <w:sz w:val="22"/>
        </w:rPr>
        <w:t> </w:t>
      </w:r>
      <w:r>
        <w:rPr>
          <w:rFonts w:ascii="Times New Roman" w:hAnsi="Times New Roman"/>
          <w:i/>
          <w:sz w:val="22"/>
        </w:rPr>
        <w:t>discount</w:t>
      </w:r>
    </w:p>
    <w:p>
      <w:pPr>
        <w:pStyle w:val="ListParagraph"/>
        <w:numPr>
          <w:ilvl w:val="0"/>
          <w:numId w:val="128"/>
        </w:numPr>
        <w:tabs>
          <w:tab w:pos="940" w:val="left" w:leader="none"/>
          <w:tab w:pos="941" w:val="left" w:leader="none"/>
        </w:tabs>
        <w:spacing w:line="276" w:lineRule="auto" w:before="42" w:after="0"/>
        <w:ind w:left="940" w:right="522" w:hanging="360"/>
        <w:jc w:val="left"/>
        <w:rPr>
          <w:sz w:val="22"/>
        </w:rPr>
      </w:pPr>
      <w:r>
        <w:rPr>
          <w:rFonts w:ascii="Times New Roman" w:hAnsi="Times New Roman"/>
          <w:i/>
          <w:sz w:val="22"/>
        </w:rPr>
        <w:t>DSM </w:t>
      </w:r>
      <w:r>
        <w:rPr>
          <w:sz w:val="22"/>
        </w:rPr>
        <w:t>= number of days from settlement to maturity, excluding any maturity date that is more than</w:t>
      </w:r>
      <w:r>
        <w:rPr>
          <w:spacing w:val="-30"/>
          <w:sz w:val="22"/>
        </w:rPr>
        <w:t> </w:t>
      </w:r>
      <w:r>
        <w:rPr>
          <w:sz w:val="22"/>
        </w:rPr>
        <w:t>one calendar year after the settlement date.</w:t>
      </w:r>
    </w:p>
    <w:p>
      <w:pPr>
        <w:pStyle w:val="BodyText"/>
        <w:spacing w:before="5"/>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400" w:type="dxa"/>
          </w:tcPr>
          <w:p>
            <w:pPr>
              <w:pStyle w:val="TableParagraph"/>
              <w:ind w:left="113" w:right="146"/>
              <w:rPr>
                <w:sz w:val="22"/>
              </w:rPr>
            </w:pPr>
            <w:r>
              <w:rPr>
                <w:sz w:val="22"/>
              </w:rPr>
              <w:t>The Treasury bill's settlement date. Any time information in the date is ignored.</w:t>
            </w:r>
          </w:p>
        </w:tc>
      </w:tr>
      <w:tr>
        <w:trPr>
          <w:trHeight w:val="62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400" w:type="dxa"/>
          </w:tcPr>
          <w:p>
            <w:pPr>
              <w:pStyle w:val="TableParagraph"/>
              <w:ind w:left="113" w:right="137"/>
              <w:rPr>
                <w:sz w:val="22"/>
              </w:rPr>
            </w:pPr>
            <w:r>
              <w:rPr>
                <w:sz w:val="22"/>
              </w:rPr>
              <w:t>The Treasury bill's maturity date. Any time information in the date is ignored.</w:t>
            </w:r>
          </w:p>
        </w:tc>
      </w:tr>
      <w:tr>
        <w:trPr>
          <w:trHeight w:val="354" w:hRule="atLeast"/>
        </w:trPr>
        <w:tc>
          <w:tcPr>
            <w:tcW w:w="1466" w:type="dxa"/>
          </w:tcPr>
          <w:p>
            <w:pPr>
              <w:pStyle w:val="TableParagraph"/>
              <w:spacing w:before="37"/>
              <w:rPr>
                <w:rFonts w:ascii="Times New Roman"/>
                <w:i/>
                <w:sz w:val="22"/>
              </w:rPr>
            </w:pPr>
            <w:r>
              <w:rPr>
                <w:rFonts w:ascii="Times New Roman"/>
                <w:i/>
                <w:sz w:val="22"/>
              </w:rPr>
              <w:t>discount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Treasury bill's discount rate.</w:t>
            </w:r>
          </w:p>
        </w:tc>
      </w:tr>
    </w:tbl>
    <w:p>
      <w:pPr>
        <w:pStyle w:val="BodyText"/>
      </w:pPr>
    </w:p>
    <w:p>
      <w:pPr>
        <w:pStyle w:val="BodyText"/>
        <w:spacing w:before="7"/>
        <w:rPr>
          <w:sz w:val="19"/>
        </w:rPr>
      </w:pPr>
    </w:p>
    <w:p>
      <w:pPr>
        <w:spacing w:line="453" w:lineRule="auto" w:before="0"/>
        <w:ind w:left="220" w:right="2635" w:firstLine="0"/>
        <w:jc w:val="left"/>
        <w:rPr>
          <w:sz w:val="22"/>
        </w:rPr>
      </w:pPr>
      <w:r>
        <w:rPr>
          <w:b/>
          <w:sz w:val="22"/>
        </w:rPr>
        <w:t>Return Type and Value</w:t>
      </w:r>
      <w:r>
        <w:rPr>
          <w:sz w:val="22"/>
        </w:rPr>
        <w:t>: number – The price per $100 face value for a U.S. Treasury bill. However, if</w:t>
      </w:r>
    </w:p>
    <w:p>
      <w:pPr>
        <w:spacing w:after="0" w:line="453" w:lineRule="auto"/>
        <w:jc w:val="left"/>
        <w:rPr>
          <w:sz w:val="22"/>
        </w:rPr>
        <w:sectPr>
          <w:type w:val="continuous"/>
          <w:pgSz w:w="12240" w:h="15840"/>
          <w:pgMar w:top="1340" w:bottom="940" w:left="860" w:right="700"/>
        </w:sectPr>
      </w:pPr>
    </w:p>
    <w:p>
      <w:pPr>
        <w:pStyle w:val="ListParagraph"/>
        <w:numPr>
          <w:ilvl w:val="0"/>
          <w:numId w:val="128"/>
        </w:numPr>
        <w:tabs>
          <w:tab w:pos="940" w:val="left" w:leader="none"/>
          <w:tab w:pos="941" w:val="left" w:leader="none"/>
        </w:tabs>
        <w:spacing w:line="240" w:lineRule="auto" w:before="91"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0"/>
          <w:numId w:val="128"/>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0"/>
          <w:numId w:val="128"/>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maturity </w:t>
      </w:r>
      <w:r>
        <w:rPr>
          <w:sz w:val="22"/>
        </w:rPr>
        <w:t>is more than one year after </w:t>
      </w:r>
      <w:r>
        <w:rPr>
          <w:rFonts w:ascii="Times New Roman" w:hAnsi="Times New Roman"/>
          <w:i/>
          <w:sz w:val="22"/>
        </w:rPr>
        <w:t>settlement</w:t>
      </w:r>
      <w:r>
        <w:rPr>
          <w:sz w:val="22"/>
        </w:rPr>
        <w:t>, </w:t>
      </w:r>
      <w:r>
        <w:rPr>
          <w:rFonts w:ascii="Consolas" w:hAnsi="Consolas"/>
          <w:sz w:val="22"/>
        </w:rPr>
        <w:t>#NUM!</w:t>
      </w:r>
      <w:r>
        <w:rPr>
          <w:rFonts w:ascii="Consolas" w:hAnsi="Consolas"/>
          <w:spacing w:val="-89"/>
          <w:sz w:val="22"/>
        </w:rPr>
        <w:t> </w:t>
      </w:r>
      <w:r>
        <w:rPr>
          <w:sz w:val="22"/>
        </w:rPr>
        <w:t>is returned.</w:t>
      </w:r>
    </w:p>
    <w:p>
      <w:pPr>
        <w:pStyle w:val="ListParagraph"/>
        <w:numPr>
          <w:ilvl w:val="0"/>
          <w:numId w:val="128"/>
        </w:numPr>
        <w:tabs>
          <w:tab w:pos="940" w:val="left" w:leader="none"/>
          <w:tab w:pos="941" w:val="left" w:leader="none"/>
        </w:tabs>
        <w:spacing w:line="446" w:lineRule="auto" w:before="42" w:after="0"/>
        <w:ind w:left="220" w:right="6875" w:firstLine="360"/>
        <w:jc w:val="left"/>
        <w:rPr>
          <w:sz w:val="22"/>
        </w:rPr>
      </w:pPr>
      <w:r>
        <w:rPr>
          <w:rFonts w:ascii="Times New Roman" w:hAnsi="Times New Roman"/>
          <w:i/>
          <w:sz w:val="22"/>
        </w:rPr>
        <w:t>discount </w:t>
      </w:r>
      <w:r>
        <w:rPr>
          <w:sz w:val="22"/>
        </w:rPr>
        <w:t>≤ 0, </w:t>
      </w:r>
      <w:r>
        <w:rPr>
          <w:rFonts w:ascii="Consolas" w:hAnsi="Consolas"/>
          <w:sz w:val="22"/>
        </w:rPr>
        <w:t>#NUM!</w:t>
      </w:r>
      <w:r>
        <w:rPr>
          <w:rFonts w:ascii="Consolas" w:hAnsi="Consolas"/>
          <w:spacing w:val="-84"/>
          <w:sz w:val="22"/>
        </w:rPr>
        <w:t> </w:t>
      </w:r>
      <w:r>
        <w:rPr>
          <w:sz w:val="22"/>
        </w:rPr>
        <w:t>is returned. [</w:t>
      </w:r>
      <w:r>
        <w:rPr>
          <w:i/>
          <w:sz w:val="22"/>
        </w:rPr>
        <w:t>Example</w:t>
      </w:r>
      <w:r>
        <w:rPr>
          <w:sz w:val="22"/>
        </w:rPr>
        <w:t>:</w:t>
      </w:r>
    </w:p>
    <w:p>
      <w:pPr>
        <w:pStyle w:val="BodyText"/>
        <w:spacing w:before="125"/>
        <w:ind w:left="220"/>
        <w:rPr>
          <w:rFonts w:ascii="Consolas"/>
        </w:rPr>
      </w:pPr>
      <w:r>
        <w:rPr>
          <w:rFonts w:ascii="Consolas"/>
        </w:rPr>
        <w:t>TBILLPRICE(DATE(2008,3,31),DATE(2008,6,1),0.09)</w:t>
      </w:r>
      <w:r>
        <w:rPr>
          <w:rFonts w:ascii="Consolas"/>
          <w:spacing w:val="-66"/>
        </w:rPr>
        <w:t> </w:t>
      </w:r>
      <w:r>
        <w:rPr/>
        <w:t>results in </w:t>
      </w:r>
      <w:r>
        <w:rPr>
          <w:rFonts w:ascii="Consolas"/>
        </w:rPr>
        <w:t>98.4500</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0 TBILLYIELD" w:id="2352"/>
      <w:bookmarkEnd w:id="2352"/>
      <w:r>
        <w:rPr/>
      </w:r>
      <w:bookmarkStart w:name="_bookmark783" w:id="2353"/>
      <w:bookmarkEnd w:id="2353"/>
      <w:r>
        <w:rPr/>
      </w:r>
      <w:bookmarkStart w:name="_bookmark783" w:id="2354"/>
      <w:bookmarkEnd w:id="2354"/>
      <w:r>
        <w:rPr>
          <w:color w:val="4F81BC"/>
        </w:rPr>
        <w:t>T</w:t>
      </w:r>
      <w:r>
        <w:rPr>
          <w:color w:val="4F81BC"/>
        </w:rPr>
        <w:t>BILLYIELD</w:t>
      </w:r>
    </w:p>
    <w:p>
      <w:pPr>
        <w:spacing w:before="115"/>
        <w:ind w:left="0" w:right="5431" w:firstLine="0"/>
        <w:jc w:val="right"/>
        <w:rPr>
          <w:rFonts w:ascii="Lucida Console"/>
          <w:sz w:val="20"/>
        </w:rPr>
      </w:pPr>
      <w:r>
        <w:rPr>
          <w:rFonts w:ascii="Lucida Console"/>
          <w:sz w:val="20"/>
        </w:rPr>
        <w:t>TBILLYIELD</w:t>
      </w:r>
      <w:r>
        <w:rPr>
          <w:rFonts w:ascii="Lucida Console"/>
          <w:spacing w:val="-23"/>
          <w:sz w:val="20"/>
        </w:rPr>
        <w:t> </w:t>
      </w:r>
      <w:r>
        <w:rPr>
          <w:rFonts w:ascii="Lucida Console"/>
          <w:sz w:val="20"/>
        </w:rPr>
        <w:t>(</w:t>
      </w:r>
      <w:r>
        <w:rPr>
          <w:rFonts w:ascii="Lucida Console"/>
          <w:spacing w:val="-22"/>
          <w:sz w:val="20"/>
        </w:rPr>
        <w:t> </w:t>
      </w:r>
      <w:r>
        <w:rPr>
          <w:i/>
          <w:sz w:val="22"/>
        </w:rPr>
        <w:t>settlement  </w:t>
      </w:r>
      <w:r>
        <w:rPr>
          <w:rFonts w:ascii="Lucida Console"/>
          <w:sz w:val="20"/>
        </w:rPr>
        <w:t>,</w:t>
      </w:r>
      <w:r>
        <w:rPr>
          <w:rFonts w:ascii="Lucida Console"/>
          <w:spacing w:val="-25"/>
          <w:sz w:val="20"/>
        </w:rPr>
        <w:t> </w:t>
      </w:r>
      <w:r>
        <w:rPr>
          <w:i/>
          <w:sz w:val="22"/>
        </w:rPr>
        <w:t>maturity</w:t>
      </w:r>
      <w:r>
        <w:rPr>
          <w:i/>
          <w:spacing w:val="48"/>
          <w:sz w:val="22"/>
        </w:rPr>
        <w:t> </w:t>
      </w:r>
      <w:r>
        <w:rPr>
          <w:rFonts w:ascii="Lucida Console"/>
          <w:sz w:val="20"/>
        </w:rPr>
        <w:t>,</w:t>
      </w:r>
      <w:r>
        <w:rPr>
          <w:rFonts w:ascii="Lucida Console"/>
          <w:spacing w:val="-22"/>
          <w:sz w:val="20"/>
        </w:rPr>
        <w:t> </w:t>
      </w:r>
      <w:r>
        <w:rPr>
          <w:i/>
          <w:sz w:val="22"/>
        </w:rPr>
        <w:t>pr  </w:t>
      </w:r>
      <w:r>
        <w:rPr>
          <w:rFonts w:ascii="Lucida Console"/>
          <w:sz w:val="20"/>
        </w:rPr>
        <w:t>)</w:t>
      </w:r>
    </w:p>
    <w:p>
      <w:pPr>
        <w:pStyle w:val="BodyText"/>
        <w:spacing w:before="111"/>
        <w:ind w:right="5528"/>
        <w:jc w:val="right"/>
      </w:pPr>
      <w:r>
        <w:rPr/>
        <w:t>Description: Computes the yield for a U.S. Treasury</w:t>
      </w:r>
      <w:r>
        <w:rPr>
          <w:spacing w:val="-22"/>
        </w:rPr>
        <w:t> </w:t>
      </w:r>
      <w:r>
        <w:rPr/>
        <w:t>bill.</w:t>
      </w:r>
    </w:p>
    <w:p>
      <w:pPr>
        <w:pStyle w:val="BodyText"/>
        <w:spacing w:before="8"/>
        <w:rPr>
          <w:sz w:val="19"/>
        </w:rPr>
      </w:pPr>
    </w:p>
    <w:p>
      <w:pPr>
        <w:pStyle w:val="Heading4"/>
        <w:rPr>
          <w:b w:val="0"/>
        </w:rPr>
      </w:pPr>
      <w:r>
        <w:rPr/>
        <w:t>Mathematical Formula</w:t>
      </w:r>
      <w:r>
        <w:rPr>
          <w:b w:val="0"/>
        </w:rPr>
        <w:t>:</w:t>
      </w:r>
    </w:p>
    <w:p>
      <w:pPr>
        <w:pStyle w:val="BodyText"/>
        <w:rPr>
          <w:sz w:val="12"/>
        </w:rPr>
      </w:pPr>
    </w:p>
    <w:p>
      <w:pPr>
        <w:spacing w:after="0"/>
        <w:rPr>
          <w:sz w:val="12"/>
        </w:rPr>
        <w:sectPr>
          <w:pgSz w:w="12240" w:h="15840"/>
          <w:pgMar w:header="761" w:footer="746" w:top="1340" w:bottom="940" w:left="860" w:right="700"/>
        </w:sectPr>
      </w:pPr>
    </w:p>
    <w:p>
      <w:pPr>
        <w:pStyle w:val="BodyText"/>
        <w:spacing w:before="11"/>
        <w:rPr>
          <w:sz w:val="18"/>
        </w:rPr>
      </w:pPr>
    </w:p>
    <w:p>
      <w:pPr>
        <w:pStyle w:val="BodyText"/>
        <w:ind w:left="220"/>
        <w:rPr>
          <w:rFonts w:ascii="Cambria Math" w:eastAsia="Cambria Math"/>
        </w:rPr>
      </w:pPr>
      <w:r>
        <w:rPr>
          <w:rFonts w:ascii="Cambria Math" w:eastAsia="Cambria Math"/>
        </w:rPr>
        <w:t>𝑇𝐵𝐼𝐿𝐿𝑌𝐼𝐸𝐿𝐷 =</w:t>
      </w:r>
    </w:p>
    <w:p>
      <w:pPr>
        <w:pStyle w:val="BodyText"/>
        <w:spacing w:line="213" w:lineRule="exact" w:before="63"/>
        <w:ind w:left="68"/>
        <w:rPr>
          <w:rFonts w:ascii="Cambria Math" w:hAnsi="Cambria Math" w:eastAsia="Cambria Math"/>
        </w:rPr>
      </w:pPr>
      <w:r>
        <w:rPr/>
        <w:br w:type="column"/>
      </w:r>
      <w:r>
        <w:rPr>
          <w:rFonts w:ascii="Cambria Math" w:hAnsi="Cambria Math" w:eastAsia="Cambria Math"/>
        </w:rPr>
        <w:t>100 − 𝑝𝑟.</w:t>
      </w:r>
    </w:p>
    <w:p>
      <w:pPr>
        <w:pStyle w:val="BodyText"/>
        <w:spacing w:line="158" w:lineRule="exact"/>
        <w:ind w:left="1021"/>
        <w:rPr>
          <w:rFonts w:ascii="Cambria Math" w:hAnsi="Cambria Math"/>
        </w:rPr>
      </w:pPr>
      <w:r>
        <w:rPr/>
        <w:pict>
          <v:line style="position:absolute;mso-position-horizontal-relative:page;mso-position-vertical-relative:paragraph;z-index:251871232" from="131.899994pt,5.084147pt" to="177.139994pt,5.084147pt" stroked="true" strokeweight=".72pt" strokecolor="#000000">
            <v:stroke dashstyle="solid"/>
            <w10:wrap type="none"/>
          </v:line>
        </w:pict>
      </w:r>
      <w:r>
        <w:rPr>
          <w:rFonts w:ascii="Cambria Math" w:hAnsi="Cambria Math"/>
          <w:w w:val="100"/>
        </w:rPr>
        <w:t>×</w:t>
      </w:r>
    </w:p>
    <w:p>
      <w:pPr>
        <w:pStyle w:val="BodyText"/>
        <w:spacing w:line="203" w:lineRule="exact"/>
        <w:ind w:left="380"/>
        <w:rPr>
          <w:rFonts w:ascii="Cambria Math" w:eastAsia="Cambria Math"/>
        </w:rPr>
      </w:pPr>
      <w:r>
        <w:rPr>
          <w:rFonts w:ascii="Cambria Math" w:eastAsia="Cambria Math"/>
        </w:rPr>
        <w:t>𝑝𝑟.</w:t>
      </w:r>
    </w:p>
    <w:p>
      <w:pPr>
        <w:spacing w:before="63"/>
        <w:ind w:left="56" w:right="0" w:firstLine="0"/>
        <w:jc w:val="left"/>
        <w:rPr>
          <w:rFonts w:ascii="Cambria Math"/>
          <w:sz w:val="22"/>
        </w:rPr>
      </w:pPr>
      <w:r>
        <w:rPr/>
        <w:br w:type="column"/>
      </w:r>
      <w:r>
        <w:rPr>
          <w:rFonts w:ascii="Cambria Math"/>
          <w:sz w:val="22"/>
        </w:rPr>
        <w:t>360</w:t>
      </w:r>
    </w:p>
    <w:p>
      <w:pPr>
        <w:pStyle w:val="BodyText"/>
        <w:spacing w:before="1"/>
        <w:rPr>
          <w:rFonts w:ascii="Cambria Math"/>
          <w:sz w:val="4"/>
        </w:rPr>
      </w:pPr>
    </w:p>
    <w:p>
      <w:pPr>
        <w:pStyle w:val="BodyText"/>
        <w:spacing w:line="20" w:lineRule="exact"/>
        <w:rPr>
          <w:rFonts w:ascii="Cambria Math"/>
          <w:sz w:val="2"/>
        </w:rPr>
      </w:pPr>
      <w:r>
        <w:rPr>
          <w:rFonts w:ascii="Cambria Math"/>
          <w:sz w:val="2"/>
        </w:rPr>
        <w:pict>
          <v:group style="width:23.1pt;height:.75pt;mso-position-horizontal-relative:char;mso-position-vertical-relative:line" coordorigin="0,0" coordsize="462,15">
            <v:line style="position:absolute" from="0,7" to="461,7" stroked="true" strokeweight=".72pt" strokecolor="#000000">
              <v:stroke dashstyle="solid"/>
            </v:line>
          </v:group>
        </w:pict>
      </w:r>
      <w:r>
        <w:rPr>
          <w:rFonts w:ascii="Cambria Math"/>
          <w:sz w:val="2"/>
        </w:rPr>
      </w:r>
    </w:p>
    <w:p>
      <w:pPr>
        <w:pStyle w:val="BodyText"/>
        <w:ind w:left="8"/>
        <w:rPr>
          <w:rFonts w:ascii="Cambria Math" w:eastAsia="Cambria Math"/>
        </w:rPr>
      </w:pPr>
      <w:r>
        <w:rPr>
          <w:rFonts w:ascii="Cambria Math" w:eastAsia="Cambria Math"/>
        </w:rPr>
        <w:t>𝐷𝑆𝑀</w:t>
      </w:r>
    </w:p>
    <w:p>
      <w:pPr>
        <w:spacing w:after="0"/>
        <w:rPr>
          <w:rFonts w:ascii="Cambria Math" w:eastAsia="Cambria Math"/>
        </w:rPr>
        <w:sectPr>
          <w:type w:val="continuous"/>
          <w:pgSz w:w="12240" w:h="15840"/>
          <w:pgMar w:top="1340" w:bottom="940" w:left="860" w:right="700"/>
          <w:cols w:num="3" w:equalWidth="0">
            <w:col w:w="1670" w:space="40"/>
            <w:col w:w="1180" w:space="39"/>
            <w:col w:w="7751"/>
          </w:cols>
        </w:sectPr>
      </w:pPr>
    </w:p>
    <w:p>
      <w:pPr>
        <w:pStyle w:val="BodyText"/>
        <w:spacing w:before="1"/>
        <w:rPr>
          <w:rFonts w:ascii="Cambria Math"/>
          <w:sz w:val="15"/>
        </w:rPr>
      </w:pPr>
    </w:p>
    <w:p>
      <w:pPr>
        <w:pStyle w:val="BodyText"/>
        <w:spacing w:before="56"/>
        <w:ind w:left="220"/>
      </w:pPr>
      <w:r>
        <w:rPr/>
        <w:t>where:</w:t>
      </w:r>
    </w:p>
    <w:p>
      <w:pPr>
        <w:pStyle w:val="BodyText"/>
        <w:spacing w:before="7"/>
        <w:rPr>
          <w:sz w:val="19"/>
        </w:rPr>
      </w:pPr>
    </w:p>
    <w:p>
      <w:pPr>
        <w:pStyle w:val="ListParagraph"/>
        <w:numPr>
          <w:ilvl w:val="0"/>
          <w:numId w:val="129"/>
        </w:numPr>
        <w:tabs>
          <w:tab w:pos="940" w:val="left" w:leader="none"/>
          <w:tab w:pos="941" w:val="left" w:leader="none"/>
        </w:tabs>
        <w:spacing w:line="276" w:lineRule="auto" w:before="0" w:after="0"/>
        <w:ind w:left="940" w:right="522" w:hanging="360"/>
        <w:jc w:val="left"/>
        <w:rPr>
          <w:sz w:val="22"/>
        </w:rPr>
      </w:pPr>
      <w:r>
        <w:rPr>
          <w:rFonts w:ascii="Times New Roman" w:hAnsi="Times New Roman"/>
          <w:i/>
          <w:sz w:val="22"/>
        </w:rPr>
        <w:t>DSM </w:t>
      </w:r>
      <w:r>
        <w:rPr>
          <w:sz w:val="22"/>
        </w:rPr>
        <w:t>= number of days from settlement to maturity, excluding any maturity date that is more than</w:t>
      </w:r>
      <w:r>
        <w:rPr>
          <w:spacing w:val="-30"/>
          <w:sz w:val="22"/>
        </w:rPr>
        <w:t> </w:t>
      </w:r>
      <w:r>
        <w:rPr>
          <w:sz w:val="22"/>
        </w:rPr>
        <w:t>one calendar year after the settlement date.</w:t>
      </w:r>
    </w:p>
    <w:p>
      <w:pPr>
        <w:pStyle w:val="ListParagraph"/>
        <w:numPr>
          <w:ilvl w:val="0"/>
          <w:numId w:val="129"/>
        </w:numPr>
        <w:tabs>
          <w:tab w:pos="940" w:val="left" w:leader="none"/>
          <w:tab w:pos="941" w:val="left" w:leader="none"/>
        </w:tabs>
        <w:spacing w:line="240" w:lineRule="auto" w:before="1" w:after="0"/>
        <w:ind w:left="940" w:right="0" w:hanging="361"/>
        <w:jc w:val="left"/>
        <w:rPr>
          <w:rFonts w:ascii="Times New Roman" w:hAnsi="Times New Roman"/>
          <w:i/>
          <w:sz w:val="22"/>
        </w:rPr>
      </w:pPr>
      <w:r>
        <w:rPr>
          <w:rFonts w:ascii="Times New Roman" w:hAnsi="Times New Roman"/>
          <w:i/>
          <w:sz w:val="22"/>
        </w:rPr>
        <w:t>pr</w:t>
      </w:r>
      <w:r>
        <w:rPr>
          <w:sz w:val="22"/>
        </w:rPr>
        <w:t>. = argument</w:t>
      </w:r>
      <w:r>
        <w:rPr>
          <w:spacing w:val="-3"/>
          <w:sz w:val="22"/>
        </w:rPr>
        <w:t> </w:t>
      </w:r>
      <w:r>
        <w:rPr>
          <w:rFonts w:ascii="Times New Roman" w:hAnsi="Times New Roman"/>
          <w:i/>
          <w:sz w:val="22"/>
        </w:rPr>
        <w:t>pr</w:t>
      </w:r>
    </w:p>
    <w:p>
      <w:pPr>
        <w:pStyle w:val="BodyText"/>
        <w:spacing w:before="241"/>
        <w:ind w:left="220"/>
      </w:pPr>
      <w:r>
        <w:rPr/>
        <w:t>Arguments:</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400" w:type="dxa"/>
          </w:tcPr>
          <w:p>
            <w:pPr>
              <w:pStyle w:val="TableParagraph"/>
              <w:ind w:left="113" w:right="146"/>
              <w:rPr>
                <w:sz w:val="22"/>
              </w:rPr>
            </w:pPr>
            <w:r>
              <w:rPr>
                <w:sz w:val="22"/>
              </w:rPr>
              <w:t>The Treasury bill's settlement date. Any time information in the date is ignored.</w:t>
            </w:r>
          </w:p>
        </w:tc>
      </w:tr>
      <w:tr>
        <w:trPr>
          <w:trHeight w:val="623"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400" w:type="dxa"/>
          </w:tcPr>
          <w:p>
            <w:pPr>
              <w:pStyle w:val="TableParagraph"/>
              <w:ind w:left="113" w:right="137"/>
              <w:rPr>
                <w:sz w:val="22"/>
              </w:rPr>
            </w:pPr>
            <w:r>
              <w:rPr>
                <w:sz w:val="22"/>
              </w:rPr>
              <w:t>The Treasury bill's maturity date. Any time information in the date is ignored.</w:t>
            </w:r>
          </w:p>
        </w:tc>
      </w:tr>
      <w:tr>
        <w:trPr>
          <w:trHeight w:val="354" w:hRule="atLeast"/>
        </w:trPr>
        <w:tc>
          <w:tcPr>
            <w:tcW w:w="1466" w:type="dxa"/>
          </w:tcPr>
          <w:p>
            <w:pPr>
              <w:pStyle w:val="TableParagraph"/>
              <w:spacing w:before="37"/>
              <w:rPr>
                <w:rFonts w:ascii="Times New Roman"/>
                <w:i/>
                <w:sz w:val="22"/>
              </w:rPr>
            </w:pPr>
            <w:r>
              <w:rPr>
                <w:rFonts w:ascii="Times New Roman"/>
                <w:i/>
                <w:sz w:val="22"/>
              </w:rPr>
              <w:t>pr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Treasury bill's price per $100 face value.</w:t>
            </w:r>
          </w:p>
        </w:tc>
      </w:tr>
    </w:tbl>
    <w:p>
      <w:pPr>
        <w:pStyle w:val="BodyText"/>
      </w:pPr>
    </w:p>
    <w:p>
      <w:pPr>
        <w:pStyle w:val="BodyText"/>
        <w:spacing w:before="7"/>
        <w:rPr>
          <w:sz w:val="19"/>
        </w:rPr>
      </w:pPr>
    </w:p>
    <w:p>
      <w:pPr>
        <w:pStyle w:val="BodyText"/>
        <w:spacing w:line="456" w:lineRule="auto"/>
        <w:ind w:left="220" w:right="4505"/>
      </w:pPr>
      <w:r>
        <w:rPr/>
        <w:t>Return Type and Value: number – The yield for a U.S. Treasury bill. However, if</w:t>
      </w:r>
    </w:p>
    <w:p>
      <w:pPr>
        <w:pStyle w:val="ListParagraph"/>
        <w:numPr>
          <w:ilvl w:val="0"/>
          <w:numId w:val="129"/>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0"/>
          <w:numId w:val="129"/>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0"/>
          <w:numId w:val="129"/>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maturity </w:t>
      </w:r>
      <w:r>
        <w:rPr>
          <w:sz w:val="22"/>
        </w:rPr>
        <w:t>is more than one year after </w:t>
      </w:r>
      <w:r>
        <w:rPr>
          <w:rFonts w:ascii="Times New Roman" w:hAnsi="Times New Roman"/>
          <w:i/>
          <w:sz w:val="22"/>
        </w:rPr>
        <w:t>settlement</w:t>
      </w:r>
      <w:r>
        <w:rPr>
          <w:sz w:val="22"/>
        </w:rPr>
        <w:t>, </w:t>
      </w:r>
      <w:r>
        <w:rPr>
          <w:rFonts w:ascii="Consolas" w:hAnsi="Consolas"/>
          <w:sz w:val="22"/>
        </w:rPr>
        <w:t>#NUM!</w:t>
      </w:r>
      <w:r>
        <w:rPr>
          <w:rFonts w:ascii="Consolas" w:hAnsi="Consolas"/>
          <w:spacing w:val="-89"/>
          <w:sz w:val="22"/>
        </w:rPr>
        <w:t> </w:t>
      </w:r>
      <w:r>
        <w:rPr>
          <w:sz w:val="22"/>
        </w:rPr>
        <w:t>is returned.</w:t>
      </w:r>
    </w:p>
    <w:p>
      <w:pPr>
        <w:pStyle w:val="ListParagraph"/>
        <w:numPr>
          <w:ilvl w:val="0"/>
          <w:numId w:val="129"/>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pr </w:t>
      </w:r>
      <w:r>
        <w:rPr>
          <w:sz w:val="22"/>
        </w:rPr>
        <w:t>≤ 0, </w:t>
      </w:r>
      <w:r>
        <w:rPr>
          <w:rFonts w:ascii="Consolas" w:hAnsi="Consolas"/>
          <w:sz w:val="22"/>
        </w:rPr>
        <w:t>#NUM!</w:t>
      </w:r>
      <w:r>
        <w:rPr>
          <w:rFonts w:ascii="Consolas" w:hAnsi="Consolas"/>
          <w:spacing w:val="-82"/>
          <w:sz w:val="22"/>
        </w:rPr>
        <w:t> </w:t>
      </w:r>
      <w:r>
        <w:rPr>
          <w:sz w:val="22"/>
        </w:rPr>
        <w:t>is returned.</w:t>
      </w:r>
    </w:p>
    <w:p>
      <w:pPr>
        <w:spacing w:after="0" w:line="240" w:lineRule="auto"/>
        <w:jc w:val="left"/>
        <w:rPr>
          <w:sz w:val="22"/>
        </w:rPr>
        <w:sectPr>
          <w:type w:val="continuous"/>
          <w:pgSz w:w="12240" w:h="15840"/>
          <w:pgMar w:top="1340" w:bottom="940" w:left="860" w:right="700"/>
        </w:sectPr>
      </w:pPr>
    </w:p>
    <w:p>
      <w:pPr>
        <w:spacing w:before="148"/>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before="1"/>
        <w:ind w:left="220"/>
        <w:rPr>
          <w:rFonts w:ascii="Consolas"/>
        </w:rPr>
      </w:pPr>
      <w:r>
        <w:rPr>
          <w:rFonts w:ascii="Consolas"/>
        </w:rPr>
        <w:t>TBILLYIELD(DATE(2008,3,31),DATE(2008,6,1),98.45) </w:t>
      </w:r>
      <w:r>
        <w:rPr/>
        <w:t>results in </w:t>
      </w:r>
      <w:r>
        <w:rPr>
          <w:rFonts w:ascii="Consolas"/>
        </w:rPr>
        <w:t>9.1417%</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1 TDIST" w:id="2355"/>
      <w:bookmarkEnd w:id="2355"/>
      <w:r>
        <w:rPr/>
      </w:r>
      <w:bookmarkStart w:name="_bookmark784" w:id="2356"/>
      <w:bookmarkEnd w:id="2356"/>
      <w:r>
        <w:rPr/>
      </w:r>
      <w:bookmarkStart w:name="_bookmark784" w:id="2357"/>
      <w:bookmarkEnd w:id="2357"/>
      <w:r>
        <w:rPr>
          <w:color w:val="4F81BC"/>
        </w:rPr>
        <w:t>T</w:t>
      </w:r>
      <w:r>
        <w:rPr>
          <w:color w:val="4F81BC"/>
        </w:rPr>
        <w:t>DIST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TDIST ( </w:t>
      </w:r>
      <w:r>
        <w:rPr>
          <w:i/>
          <w:sz w:val="22"/>
        </w:rPr>
        <w:t>x </w:t>
      </w:r>
      <w:r>
        <w:rPr>
          <w:rFonts w:ascii="Lucida Console"/>
          <w:sz w:val="20"/>
        </w:rPr>
        <w:t>, </w:t>
      </w:r>
      <w:r>
        <w:rPr>
          <w:i/>
          <w:sz w:val="22"/>
        </w:rPr>
        <w:t>degrees-freedom </w:t>
      </w:r>
      <w:r>
        <w:rPr>
          <w:rFonts w:ascii="Lucida Console"/>
          <w:sz w:val="20"/>
        </w:rPr>
        <w:t>,</w:t>
      </w:r>
      <w:r>
        <w:rPr>
          <w:rFonts w:ascii="Lucida Console"/>
          <w:spacing w:val="-81"/>
          <w:sz w:val="20"/>
        </w:rPr>
        <w:t> </w:t>
      </w:r>
      <w:r>
        <w:rPr>
          <w:i/>
          <w:sz w:val="22"/>
        </w:rPr>
        <w:t>distribution-tails </w:t>
      </w:r>
      <w:r>
        <w:rPr>
          <w:rFonts w:ascii="Lucida Console"/>
          <w:sz w:val="20"/>
        </w:rPr>
        <w:t>)</w:t>
      </w:r>
    </w:p>
    <w:p>
      <w:pPr>
        <w:pStyle w:val="BodyText"/>
        <w:spacing w:before="106"/>
        <w:ind w:left="220"/>
      </w:pPr>
      <w:r>
        <w:rPr>
          <w:b/>
        </w:rPr>
        <w:t>Description: </w:t>
      </w:r>
      <w:r>
        <w:rPr/>
        <w:t>Computes the Percentage Points (probability) for the Student t-distribution where a numeric value,</w:t>
      </w:r>
    </w:p>
    <w:p>
      <w:pPr>
        <w:pStyle w:val="BodyText"/>
        <w:spacing w:before="43"/>
        <w:ind w:left="220"/>
      </w:pPr>
      <w:r>
        <w:rPr>
          <w:rFonts w:ascii="Times New Roman"/>
          <w:i/>
        </w:rPr>
        <w:t>x</w:t>
      </w:r>
      <w:r>
        <w:rPr/>
        <w:t>, is a calculated value of </w:t>
      </w:r>
      <w:r>
        <w:rPr>
          <w:rFonts w:ascii="Times New Roman"/>
          <w:i/>
        </w:rPr>
        <w:t>t </w:t>
      </w:r>
      <w:r>
        <w:rPr/>
        <w:t>for which the Percentage Points are to be computed.</w:t>
      </w:r>
    </w:p>
    <w:p>
      <w:pPr>
        <w:pStyle w:val="BodyText"/>
        <w:spacing w:before="9"/>
        <w:rPr>
          <w:sz w:val="19"/>
        </w:rPr>
      </w:pPr>
    </w:p>
    <w:p>
      <w:pPr>
        <w:pStyle w:val="Heading4"/>
        <w:rPr>
          <w:b w:val="0"/>
        </w:rPr>
      </w:pPr>
      <w:r>
        <w:rPr/>
        <w:t>Mathematical Formula</w:t>
      </w:r>
      <w:r>
        <w:rPr>
          <w:b w:val="0"/>
        </w:rPr>
        <w:t>:</w:t>
      </w:r>
    </w:p>
    <w:p>
      <w:pPr>
        <w:pStyle w:val="BodyText"/>
        <w:spacing w:before="8"/>
        <w:rPr>
          <w:sz w:val="19"/>
        </w:rPr>
      </w:pPr>
    </w:p>
    <w:p>
      <w:pPr>
        <w:pStyle w:val="BodyText"/>
        <w:spacing w:line="446" w:lineRule="auto"/>
        <w:ind w:left="220" w:right="1077"/>
        <w:rPr>
          <w:rFonts w:ascii="Cambria Math" w:hAnsi="Cambria Math" w:eastAsia="Cambria Math"/>
        </w:rPr>
      </w:pPr>
      <w:r>
        <w:rPr/>
        <w:t>If </w:t>
      </w:r>
      <w:r>
        <w:rPr>
          <w:rFonts w:ascii="Times New Roman" w:hAnsi="Times New Roman" w:eastAsia="Times New Roman"/>
          <w:i/>
        </w:rPr>
        <w:t>distribution-tails </w:t>
      </w:r>
      <w:r>
        <w:rPr/>
        <w:t>= 1, </w:t>
      </w:r>
      <w:r>
        <w:rPr>
          <w:rFonts w:ascii="Cambria Math" w:hAnsi="Cambria Math" w:eastAsia="Cambria Math"/>
        </w:rPr>
        <w:t>𝑇𝐷𝐼𝑆𝑇 = 𝑃(𝑋 &gt; 𝑥) </w:t>
      </w:r>
      <w:r>
        <w:rPr/>
        <w:t>, where X is a random variable that follows the t-distribution. If </w:t>
      </w:r>
      <w:r>
        <w:rPr>
          <w:rFonts w:ascii="Times New Roman" w:hAnsi="Times New Roman" w:eastAsia="Times New Roman"/>
          <w:i/>
        </w:rPr>
        <w:t>distribution-tails </w:t>
      </w:r>
      <w:r>
        <w:rPr/>
        <w:t>= 2, </w:t>
      </w:r>
      <w:r>
        <w:rPr>
          <w:rFonts w:ascii="Cambria Math" w:hAnsi="Cambria Math" w:eastAsia="Cambria Math"/>
        </w:rPr>
        <w:t>𝑇𝐷𝐼𝑆𝑇 = 𝑃</w:t>
      </w:r>
      <w:r>
        <w:rPr>
          <w:rFonts w:ascii="Cambria Math" w:hAnsi="Cambria Math" w:eastAsia="Cambria Math"/>
          <w:position w:val="1"/>
        </w:rPr>
        <w:t>(|</w:t>
      </w:r>
      <w:r>
        <w:rPr>
          <w:rFonts w:ascii="Cambria Math" w:hAnsi="Cambria Math" w:eastAsia="Cambria Math"/>
        </w:rPr>
        <w:t>𝑋</w:t>
      </w:r>
      <w:r>
        <w:rPr>
          <w:rFonts w:ascii="Cambria Math" w:hAnsi="Cambria Math" w:eastAsia="Cambria Math"/>
          <w:position w:val="1"/>
        </w:rPr>
        <w:t>| </w:t>
      </w:r>
      <w:r>
        <w:rPr>
          <w:rFonts w:ascii="Cambria Math" w:hAnsi="Cambria Math" w:eastAsia="Cambria Math"/>
        </w:rPr>
        <w:t>&gt; 𝑥</w:t>
      </w:r>
      <w:r>
        <w:rPr>
          <w:rFonts w:ascii="Cambria Math" w:hAnsi="Cambria Math" w:eastAsia="Cambria Math"/>
          <w:position w:val="1"/>
        </w:rPr>
        <w:t>) </w:t>
      </w:r>
      <w:r>
        <w:rPr>
          <w:rFonts w:ascii="Cambria Math" w:hAnsi="Cambria Math" w:eastAsia="Cambria Math"/>
        </w:rPr>
        <w:t>= 𝑃</w:t>
      </w:r>
      <w:r>
        <w:rPr>
          <w:rFonts w:ascii="Cambria Math" w:hAnsi="Cambria Math" w:eastAsia="Cambria Math"/>
          <w:position w:val="1"/>
        </w:rPr>
        <w:t>(</w:t>
      </w:r>
      <w:r>
        <w:rPr>
          <w:rFonts w:ascii="Cambria Math" w:hAnsi="Cambria Math" w:eastAsia="Cambria Math"/>
        </w:rPr>
        <w:t>𝑋 &gt; 𝑥 𝑜𝑟 𝑋 &lt; −𝑥</w:t>
      </w:r>
      <w:r>
        <w:rPr>
          <w:rFonts w:ascii="Cambria Math" w:hAnsi="Cambria Math" w:eastAsia="Cambria Math"/>
          <w:position w:val="1"/>
        </w:rPr>
        <w:t>)</w:t>
      </w:r>
    </w:p>
    <w:p>
      <w:pPr>
        <w:pStyle w:val="Heading4"/>
        <w:spacing w:before="9"/>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to evaluate the distribution.</w:t>
            </w:r>
          </w:p>
        </w:tc>
      </w:tr>
      <w:tr>
        <w:trPr>
          <w:trHeight w:val="621" w:hRule="atLeast"/>
        </w:trPr>
        <w:tc>
          <w:tcPr>
            <w:tcW w:w="1466" w:type="dxa"/>
          </w:tcPr>
          <w:p>
            <w:pPr>
              <w:pStyle w:val="TableParagraph"/>
              <w:spacing w:before="37"/>
              <w:ind w:right="563"/>
              <w:rPr>
                <w:rFonts w:ascii="Times New Roman"/>
                <w:i/>
                <w:sz w:val="22"/>
              </w:rPr>
            </w:pPr>
            <w:r>
              <w:rPr>
                <w:rFonts w:ascii="Times New Roman"/>
                <w:i/>
                <w:sz w:val="22"/>
              </w:rPr>
              <w:t>degrees- </w:t>
            </w:r>
            <w:r>
              <w:rPr>
                <w:rFonts w:ascii="Times New Roman"/>
                <w:i/>
                <w:sz w:val="22"/>
              </w:rPr>
              <w:t>freedom</w:t>
            </w:r>
          </w:p>
        </w:tc>
        <w:tc>
          <w:tcPr>
            <w:tcW w:w="1800" w:type="dxa"/>
          </w:tcPr>
          <w:p>
            <w:pPr>
              <w:pStyle w:val="TableParagraph"/>
              <w:ind w:left="112"/>
              <w:rPr>
                <w:sz w:val="22"/>
              </w:rPr>
            </w:pPr>
            <w:r>
              <w:rPr>
                <w:sz w:val="22"/>
              </w:rPr>
              <w:t>number</w:t>
            </w:r>
          </w:p>
        </w:tc>
        <w:tc>
          <w:tcPr>
            <w:tcW w:w="5400" w:type="dxa"/>
          </w:tcPr>
          <w:p>
            <w:pPr>
              <w:pStyle w:val="TableParagraph"/>
              <w:ind w:left="113" w:right="627"/>
              <w:rPr>
                <w:sz w:val="22"/>
              </w:rPr>
            </w:pPr>
            <w:r>
              <w:rPr>
                <w:sz w:val="22"/>
              </w:rPr>
              <w:t>The number of degrees of freedom, truncated to an integer.</w:t>
            </w:r>
          </w:p>
        </w:tc>
      </w:tr>
      <w:tr>
        <w:trPr>
          <w:trHeight w:val="892" w:hRule="atLeast"/>
        </w:trPr>
        <w:tc>
          <w:tcPr>
            <w:tcW w:w="1466" w:type="dxa"/>
          </w:tcPr>
          <w:p>
            <w:pPr>
              <w:pStyle w:val="TableParagraph"/>
              <w:spacing w:before="37"/>
              <w:ind w:right="220"/>
              <w:rPr>
                <w:rFonts w:ascii="Times New Roman"/>
                <w:i/>
                <w:sz w:val="22"/>
              </w:rPr>
            </w:pPr>
            <w:r>
              <w:rPr>
                <w:rFonts w:ascii="Times New Roman"/>
                <w:i/>
                <w:sz w:val="22"/>
              </w:rPr>
              <w:t>distribution- </w:t>
            </w:r>
            <w:r>
              <w:rPr>
                <w:rFonts w:ascii="Times New Roman"/>
                <w:i/>
                <w:sz w:val="22"/>
              </w:rPr>
              <w:t>tails</w:t>
            </w:r>
          </w:p>
        </w:tc>
        <w:tc>
          <w:tcPr>
            <w:tcW w:w="1800" w:type="dxa"/>
          </w:tcPr>
          <w:p>
            <w:pPr>
              <w:pStyle w:val="TableParagraph"/>
              <w:ind w:left="112"/>
              <w:rPr>
                <w:sz w:val="22"/>
              </w:rPr>
            </w:pPr>
            <w:r>
              <w:rPr>
                <w:sz w:val="22"/>
              </w:rPr>
              <w:t>number</w:t>
            </w:r>
          </w:p>
        </w:tc>
        <w:tc>
          <w:tcPr>
            <w:tcW w:w="5400" w:type="dxa"/>
          </w:tcPr>
          <w:p>
            <w:pPr>
              <w:pStyle w:val="TableParagraph"/>
              <w:ind w:left="113" w:right="104"/>
              <w:rPr>
                <w:sz w:val="22"/>
              </w:rPr>
            </w:pPr>
            <w:r>
              <w:rPr>
                <w:sz w:val="22"/>
              </w:rPr>
              <w:t>The number of distribution tails to return, truncated to an integer. If 1, </w:t>
            </w:r>
            <w:r>
              <w:rPr>
                <w:rFonts w:ascii="Consolas"/>
                <w:sz w:val="22"/>
              </w:rPr>
              <w:t>TDIST</w:t>
            </w:r>
            <w:r>
              <w:rPr>
                <w:rFonts w:ascii="Consolas"/>
                <w:spacing w:val="-87"/>
                <w:sz w:val="22"/>
              </w:rPr>
              <w:t> </w:t>
            </w:r>
            <w:r>
              <w:rPr>
                <w:sz w:val="22"/>
              </w:rPr>
              <w:t>returns the one-tailed distribution. If 2, </w:t>
            </w:r>
            <w:r>
              <w:rPr>
                <w:rFonts w:ascii="Consolas"/>
                <w:sz w:val="22"/>
              </w:rPr>
              <w:t>TDIST</w:t>
            </w:r>
            <w:r>
              <w:rPr>
                <w:rFonts w:ascii="Consolas"/>
                <w:spacing w:val="-77"/>
                <w:sz w:val="22"/>
              </w:rPr>
              <w:t> </w:t>
            </w:r>
            <w:r>
              <w:rPr>
                <w:sz w:val="22"/>
              </w:rPr>
              <w:t>returns the two-tailed distribution.</w:t>
            </w:r>
          </w:p>
        </w:tc>
      </w:tr>
    </w:tbl>
    <w:p>
      <w:pPr>
        <w:pStyle w:val="BodyText"/>
        <w:rPr>
          <w:b/>
        </w:rPr>
      </w:pPr>
    </w:p>
    <w:p>
      <w:pPr>
        <w:pStyle w:val="BodyText"/>
        <w:spacing w:before="7"/>
        <w:rPr>
          <w:b/>
          <w:sz w:val="19"/>
        </w:rPr>
      </w:pPr>
    </w:p>
    <w:p>
      <w:pPr>
        <w:spacing w:line="453" w:lineRule="auto" w:before="0"/>
        <w:ind w:left="220" w:right="1480" w:firstLine="0"/>
        <w:jc w:val="left"/>
        <w:rPr>
          <w:sz w:val="22"/>
        </w:rPr>
      </w:pPr>
      <w:r>
        <w:rPr>
          <w:b/>
          <w:sz w:val="22"/>
        </w:rPr>
        <w:t>Return Type and Value: </w:t>
      </w:r>
      <w:r>
        <w:rPr>
          <w:sz w:val="22"/>
        </w:rPr>
        <w:t>number – The Percentage Points (probability) for the Student t-distribution.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degrees-freedom </w:t>
      </w:r>
      <w:r>
        <w:rPr>
          <w:sz w:val="22"/>
        </w:rPr>
        <w:t>&lt; 1,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tails </w:t>
      </w:r>
      <w:r>
        <w:rPr>
          <w:sz w:val="22"/>
        </w:rPr>
        <w:t>has any value other than 1 or 2,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7523" w:firstLine="360"/>
        <w:jc w:val="left"/>
        <w:rPr>
          <w:sz w:val="22"/>
        </w:rPr>
      </w:pPr>
      <w:r>
        <w:rPr>
          <w:rFonts w:ascii="Times New Roman" w:hAnsi="Times New Roman"/>
          <w:i/>
          <w:sz w:val="22"/>
        </w:rPr>
        <w:t>x </w:t>
      </w:r>
      <w:r>
        <w:rPr>
          <w:sz w:val="22"/>
        </w:rPr>
        <w:t>&lt; 0, </w:t>
      </w:r>
      <w:r>
        <w:rPr>
          <w:rFonts w:ascii="Consolas" w:hAnsi="Consolas"/>
          <w:sz w:val="22"/>
        </w:rPr>
        <w:t>#NUM!</w:t>
      </w:r>
      <w:r>
        <w:rPr>
          <w:rFonts w:ascii="Consolas" w:hAnsi="Consolas"/>
          <w:spacing w:val="-82"/>
          <w:sz w:val="22"/>
        </w:rPr>
        <w:t> </w:t>
      </w:r>
      <w:r>
        <w:rPr>
          <w:sz w:val="22"/>
        </w:rPr>
        <w:t>is returned. [</w:t>
      </w:r>
      <w:r>
        <w:rPr>
          <w:i/>
          <w:sz w:val="22"/>
        </w:rPr>
        <w:t>Example</w:t>
      </w:r>
      <w:r>
        <w:rPr>
          <w:sz w:val="22"/>
        </w:rPr>
        <w:t>:</w:t>
      </w:r>
    </w:p>
    <w:p>
      <w:pPr>
        <w:pStyle w:val="BodyText"/>
        <w:spacing w:line="273" w:lineRule="auto" w:before="129"/>
        <w:ind w:left="220" w:right="5295"/>
        <w:rPr>
          <w:rFonts w:ascii="Consolas"/>
        </w:rPr>
      </w:pPr>
      <w:r>
        <w:rPr>
          <w:rFonts w:ascii="Consolas"/>
        </w:rPr>
        <w:t>TDIST(1.959999998,60,1)</w:t>
      </w:r>
      <w:r>
        <w:rPr>
          <w:rFonts w:ascii="Consolas"/>
          <w:spacing w:val="-70"/>
        </w:rPr>
        <w:t> </w:t>
      </w:r>
      <w:r>
        <w:rPr/>
        <w:t>results in </w:t>
      </w:r>
      <w:r>
        <w:rPr>
          <w:rFonts w:ascii="Consolas"/>
        </w:rPr>
        <w:t>0.027322464 TDIST(1.959999998,60,2)</w:t>
      </w:r>
      <w:r>
        <w:rPr>
          <w:rFonts w:ascii="Consolas"/>
          <w:spacing w:val="-70"/>
        </w:rPr>
        <w:t> </w:t>
      </w:r>
      <w:r>
        <w:rPr/>
        <w:t>results in </w:t>
      </w:r>
      <w:r>
        <w:rPr>
          <w:rFonts w:ascii="Consolas"/>
        </w:rPr>
        <w:t>0.054644927</w:t>
      </w:r>
    </w:p>
    <w:p>
      <w:pPr>
        <w:pStyle w:val="BodyText"/>
        <w:rPr>
          <w:rFonts w:ascii="Consolas"/>
          <w:sz w:val="27"/>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322 TEXT" w:id="2358"/>
      <w:bookmarkEnd w:id="2358"/>
      <w:r>
        <w:rPr/>
      </w:r>
      <w:bookmarkStart w:name="_bookmark785" w:id="2359"/>
      <w:bookmarkEnd w:id="2359"/>
      <w:r>
        <w:rPr/>
      </w:r>
      <w:bookmarkStart w:name="_bookmark785" w:id="2360"/>
      <w:bookmarkEnd w:id="2360"/>
      <w:r>
        <w:rPr>
          <w:color w:val="4F81BC"/>
        </w:rPr>
        <w:t>TEXT</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TEXT ( </w:t>
      </w:r>
      <w:r>
        <w:rPr>
          <w:i/>
          <w:sz w:val="22"/>
        </w:rPr>
        <w:t>value </w:t>
      </w:r>
      <w:r>
        <w:rPr>
          <w:rFonts w:ascii="Lucida Console"/>
          <w:sz w:val="20"/>
        </w:rPr>
        <w:t>, </w:t>
      </w:r>
      <w:r>
        <w:rPr>
          <w:i/>
          <w:sz w:val="22"/>
        </w:rPr>
        <w:t>format </w:t>
      </w:r>
      <w:r>
        <w:rPr>
          <w:rFonts w:ascii="Lucida Console"/>
          <w:sz w:val="20"/>
        </w:rPr>
        <w:t>)</w:t>
      </w:r>
    </w:p>
    <w:p>
      <w:pPr>
        <w:spacing w:before="108"/>
        <w:ind w:left="220" w:right="0" w:firstLine="0"/>
        <w:jc w:val="left"/>
        <w:rPr>
          <w:sz w:val="22"/>
        </w:rPr>
      </w:pPr>
      <w:r>
        <w:rPr>
          <w:b/>
          <w:sz w:val="22"/>
        </w:rPr>
        <w:t>Description: </w:t>
      </w:r>
      <w:r>
        <w:rPr>
          <w:sz w:val="22"/>
        </w:rPr>
        <w:t>Produces a string containing </w:t>
      </w:r>
      <w:r>
        <w:rPr>
          <w:rFonts w:ascii="Times New Roman"/>
          <w:i/>
          <w:sz w:val="22"/>
        </w:rPr>
        <w:t>value </w:t>
      </w:r>
      <w:r>
        <w:rPr>
          <w:sz w:val="22"/>
        </w:rPr>
        <w:t>formatted according to </w:t>
      </w:r>
      <w:r>
        <w:rPr>
          <w:rFonts w:ascii="Times New Roman"/>
          <w:i/>
          <w:sz w:val="22"/>
        </w:rPr>
        <w:t>format</w:t>
      </w:r>
      <w:r>
        <w:rPr>
          <w:sz w:val="22"/>
        </w:rPr>
        <w:t>.</w:t>
      </w:r>
    </w:p>
    <w:p>
      <w:pPr>
        <w:pStyle w:val="BodyText"/>
        <w:spacing w:before="8"/>
        <w:rPr>
          <w:sz w:val="19"/>
        </w:rPr>
      </w:pPr>
    </w:p>
    <w:p>
      <w:pPr>
        <w:pStyle w:val="Heading4"/>
        <w:spacing w:before="1"/>
      </w:pPr>
      <w:r>
        <w:rPr/>
        <w:t>Arguments:</w:t>
      </w:r>
    </w:p>
    <w:p>
      <w:pPr>
        <w:pStyle w:val="BodyText"/>
        <w:spacing w:before="8"/>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that is to be formatted.</w:t>
            </w:r>
          </w:p>
        </w:tc>
      </w:tr>
      <w:tr>
        <w:trPr>
          <w:trHeight w:val="623" w:hRule="atLeast"/>
        </w:trPr>
        <w:tc>
          <w:tcPr>
            <w:tcW w:w="1466" w:type="dxa"/>
          </w:tcPr>
          <w:p>
            <w:pPr>
              <w:pStyle w:val="TableParagraph"/>
              <w:spacing w:before="37"/>
              <w:rPr>
                <w:rFonts w:ascii="Times New Roman"/>
                <w:i/>
                <w:sz w:val="22"/>
              </w:rPr>
            </w:pPr>
            <w:r>
              <w:rPr>
                <w:rFonts w:ascii="Times New Roman"/>
                <w:i/>
                <w:sz w:val="22"/>
              </w:rPr>
              <w:t>format</w:t>
            </w:r>
          </w:p>
        </w:tc>
        <w:tc>
          <w:tcPr>
            <w:tcW w:w="1800" w:type="dxa"/>
          </w:tcPr>
          <w:p>
            <w:pPr>
              <w:pStyle w:val="TableParagraph"/>
              <w:ind w:left="112"/>
              <w:rPr>
                <w:sz w:val="22"/>
              </w:rPr>
            </w:pPr>
            <w:r>
              <w:rPr>
                <w:sz w:val="22"/>
              </w:rPr>
              <w:t>text</w:t>
            </w:r>
          </w:p>
        </w:tc>
        <w:tc>
          <w:tcPr>
            <w:tcW w:w="5400" w:type="dxa"/>
          </w:tcPr>
          <w:p>
            <w:pPr>
              <w:pStyle w:val="TableParagraph"/>
              <w:ind w:left="113" w:right="121"/>
              <w:rPr>
                <w:sz w:val="22"/>
              </w:rPr>
            </w:pPr>
            <w:r>
              <w:rPr>
                <w:sz w:val="22"/>
              </w:rPr>
              <w:t>Designates the number, currency, date, or time format to be used. (See §</w:t>
            </w:r>
            <w:hyperlink w:history="true" w:anchor="_bookmark214">
              <w:r>
                <w:rPr>
                  <w:sz w:val="22"/>
                </w:rPr>
                <w:t>18.8.31 </w:t>
              </w:r>
            </w:hyperlink>
            <w:r>
              <w:rPr>
                <w:sz w:val="22"/>
              </w:rPr>
              <w:t>for the set of formats.)</w:t>
            </w:r>
          </w:p>
        </w:tc>
      </w:tr>
    </w:tbl>
    <w:p>
      <w:pPr>
        <w:pStyle w:val="BodyText"/>
        <w:rPr>
          <w:b/>
        </w:rPr>
      </w:pPr>
    </w:p>
    <w:p>
      <w:pPr>
        <w:pStyle w:val="BodyText"/>
        <w:spacing w:before="8"/>
        <w:rPr>
          <w:b/>
          <w:sz w:val="19"/>
        </w:rPr>
      </w:pPr>
    </w:p>
    <w:p>
      <w:pPr>
        <w:spacing w:line="453" w:lineRule="auto" w:before="0"/>
        <w:ind w:left="220" w:right="2267" w:firstLine="0"/>
        <w:jc w:val="left"/>
        <w:rPr>
          <w:sz w:val="22"/>
        </w:rPr>
      </w:pPr>
      <w:r>
        <w:rPr>
          <w:b/>
          <w:sz w:val="22"/>
        </w:rPr>
        <w:t>Return Type and Value: </w:t>
      </w:r>
      <w:r>
        <w:rPr>
          <w:sz w:val="22"/>
        </w:rPr>
        <w:t>text – The string containing </w:t>
      </w:r>
      <w:r>
        <w:rPr>
          <w:rFonts w:ascii="Times New Roman" w:hAnsi="Times New Roman"/>
          <w:i/>
          <w:sz w:val="22"/>
        </w:rPr>
        <w:t>number </w:t>
      </w:r>
      <w:r>
        <w:rPr>
          <w:sz w:val="22"/>
        </w:rPr>
        <w:t>formatted according to </w:t>
      </w:r>
      <w:r>
        <w:rPr>
          <w:rFonts w:ascii="Times New Roman" w:hAnsi="Times New Roman"/>
          <w:i/>
          <w:sz w:val="22"/>
        </w:rPr>
        <w:t>format</w:t>
      </w:r>
      <w:r>
        <w:rPr>
          <w:sz w:val="22"/>
        </w:rPr>
        <w:t>. [</w:t>
      </w:r>
      <w:r>
        <w:rPr>
          <w:i/>
          <w:sz w:val="22"/>
        </w:rPr>
        <w:t>Example</w:t>
      </w:r>
      <w:r>
        <w:rPr>
          <w:sz w:val="22"/>
        </w:rPr>
        <w:t>:</w:t>
      </w:r>
    </w:p>
    <w:p>
      <w:pPr>
        <w:pStyle w:val="BodyText"/>
        <w:spacing w:before="110"/>
        <w:ind w:left="220"/>
        <w:rPr>
          <w:rFonts w:ascii="Consolas"/>
        </w:rPr>
      </w:pPr>
      <w:r>
        <w:rPr>
          <w:rFonts w:ascii="Consolas"/>
        </w:rPr>
        <w:t>TEXT(1234.567,"$0.00")</w:t>
      </w:r>
      <w:r>
        <w:rPr>
          <w:rFonts w:ascii="Consolas"/>
          <w:spacing w:val="-75"/>
        </w:rPr>
        <w:t> </w:t>
      </w:r>
      <w:r>
        <w:rPr/>
        <w:t>results in </w:t>
      </w:r>
      <w:r>
        <w:rPr>
          <w:rFonts w:ascii="Consolas"/>
        </w:rPr>
        <w:t>$1234.57</w:t>
      </w:r>
    </w:p>
    <w:p>
      <w:pPr>
        <w:pStyle w:val="BodyText"/>
        <w:spacing w:before="39"/>
        <w:ind w:left="220"/>
        <w:rPr>
          <w:rFonts w:ascii="Consolas"/>
        </w:rPr>
      </w:pPr>
      <w:r>
        <w:rPr>
          <w:rFonts w:ascii="Consolas"/>
        </w:rPr>
        <w:t>TEXT(.125,"$0.0%")</w:t>
      </w:r>
      <w:r>
        <w:rPr>
          <w:rFonts w:ascii="Consolas"/>
          <w:spacing w:val="-67"/>
        </w:rPr>
        <w:t> </w:t>
      </w:r>
      <w:r>
        <w:rPr/>
        <w:t>results in </w:t>
      </w:r>
      <w:r>
        <w:rPr>
          <w:rFonts w:ascii="Consolas"/>
        </w:rPr>
        <w:t>12.5%</w:t>
      </w:r>
    </w:p>
    <w:p>
      <w:pPr>
        <w:pStyle w:val="BodyText"/>
        <w:spacing w:before="41"/>
        <w:ind w:left="220"/>
      </w:pPr>
      <w:r>
        <w:rPr>
          <w:rFonts w:ascii="Consolas"/>
        </w:rPr>
        <w:t>TEXT(1234.567,"YYYY-MM-DD HH:MM:SS")</w:t>
      </w:r>
      <w:r>
        <w:rPr>
          <w:rFonts w:ascii="Consolas"/>
          <w:spacing w:val="-69"/>
        </w:rPr>
        <w:t> </w:t>
      </w:r>
      <w:r>
        <w:rPr/>
        <w:t>results in </w:t>
      </w:r>
      <w:r>
        <w:rPr>
          <w:rFonts w:ascii="Consolas"/>
        </w:rPr>
        <w:t>1903-05-18 13:36:29</w:t>
      </w:r>
      <w:r>
        <w:rPr>
          <w:rFonts w:ascii="Consolas"/>
          <w:spacing w:val="-69"/>
        </w:rPr>
        <w:t> </w:t>
      </w:r>
      <w:r>
        <w:rPr/>
        <w:t>in the 1900 date system.</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3 TIME" w:id="2361"/>
      <w:bookmarkEnd w:id="2361"/>
      <w:r>
        <w:rPr/>
      </w:r>
      <w:bookmarkStart w:name="_bookmark786" w:id="2362"/>
      <w:bookmarkEnd w:id="2362"/>
      <w:r>
        <w:rPr/>
      </w:r>
      <w:bookmarkStart w:name="_bookmark786" w:id="2363"/>
      <w:bookmarkEnd w:id="2363"/>
      <w:r>
        <w:rPr>
          <w:color w:val="4F81BC"/>
        </w:rPr>
        <w:t>T</w:t>
      </w:r>
      <w:r>
        <w:rPr>
          <w:color w:val="4F81BC"/>
        </w:rPr>
        <w:t>IME</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TIME ( </w:t>
      </w:r>
      <w:r>
        <w:rPr>
          <w:i/>
          <w:sz w:val="22"/>
        </w:rPr>
        <w:t>hour </w:t>
      </w:r>
      <w:r>
        <w:rPr>
          <w:rFonts w:ascii="Lucida Console"/>
          <w:sz w:val="20"/>
        </w:rPr>
        <w:t>, </w:t>
      </w:r>
      <w:r>
        <w:rPr>
          <w:i/>
          <w:sz w:val="22"/>
        </w:rPr>
        <w:t>minute </w:t>
      </w:r>
      <w:r>
        <w:rPr>
          <w:rFonts w:ascii="Lucida Console"/>
          <w:sz w:val="20"/>
        </w:rPr>
        <w:t>,</w:t>
      </w:r>
      <w:r>
        <w:rPr>
          <w:rFonts w:ascii="Lucida Console"/>
          <w:spacing w:val="-84"/>
          <w:sz w:val="20"/>
        </w:rPr>
        <w:t> </w:t>
      </w:r>
      <w:r>
        <w:rPr>
          <w:i/>
          <w:sz w:val="22"/>
        </w:rPr>
        <w:t>second </w:t>
      </w:r>
      <w:r>
        <w:rPr>
          <w:rFonts w:ascii="Lucida Console"/>
          <w:sz w:val="20"/>
        </w:rPr>
        <w:t>)</w:t>
      </w:r>
    </w:p>
    <w:p>
      <w:pPr>
        <w:spacing w:before="110"/>
        <w:ind w:left="220" w:right="0" w:firstLine="0"/>
        <w:jc w:val="left"/>
        <w:rPr>
          <w:sz w:val="22"/>
        </w:rPr>
      </w:pPr>
      <w:r>
        <w:rPr>
          <w:b/>
          <w:sz w:val="22"/>
        </w:rPr>
        <w:t>Description: </w:t>
      </w:r>
      <w:r>
        <w:rPr>
          <w:sz w:val="22"/>
        </w:rPr>
        <w:t>Computes the serial date-time for the given time.</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59" w:hRule="atLeast"/>
        </w:trPr>
        <w:tc>
          <w:tcPr>
            <w:tcW w:w="1466" w:type="dxa"/>
          </w:tcPr>
          <w:p>
            <w:pPr>
              <w:pStyle w:val="TableParagraph"/>
              <w:spacing w:before="37"/>
              <w:rPr>
                <w:rFonts w:ascii="Times New Roman"/>
                <w:i/>
                <w:sz w:val="22"/>
              </w:rPr>
            </w:pPr>
            <w:r>
              <w:rPr>
                <w:rFonts w:ascii="Times New Roman"/>
                <w:i/>
                <w:sz w:val="22"/>
              </w:rPr>
              <w:t>hour</w:t>
            </w:r>
          </w:p>
        </w:tc>
        <w:tc>
          <w:tcPr>
            <w:tcW w:w="1800" w:type="dxa"/>
          </w:tcPr>
          <w:p>
            <w:pPr>
              <w:pStyle w:val="TableParagraph"/>
              <w:ind w:left="112"/>
              <w:rPr>
                <w:sz w:val="22"/>
              </w:rPr>
            </w:pPr>
            <w:r>
              <w:rPr>
                <w:sz w:val="22"/>
              </w:rPr>
              <w:t>number</w:t>
            </w:r>
          </w:p>
        </w:tc>
        <w:tc>
          <w:tcPr>
            <w:tcW w:w="5400" w:type="dxa"/>
          </w:tcPr>
          <w:p>
            <w:pPr>
              <w:pStyle w:val="TableParagraph"/>
              <w:ind w:left="113" w:right="172"/>
              <w:rPr>
                <w:sz w:val="22"/>
              </w:rPr>
            </w:pPr>
            <w:r>
              <w:rPr>
                <w:sz w:val="22"/>
              </w:rPr>
              <w:t>A number in the range 0–32767, inclusive, truncated to integer, that represents the hour. Any value greater than 23 shall be divided by 24 and the remainder shall be treated as the hour value.</w:t>
            </w:r>
          </w:p>
        </w:tc>
      </w:tr>
      <w:tr>
        <w:trPr>
          <w:trHeight w:val="1161" w:hRule="atLeast"/>
        </w:trPr>
        <w:tc>
          <w:tcPr>
            <w:tcW w:w="1466" w:type="dxa"/>
          </w:tcPr>
          <w:p>
            <w:pPr>
              <w:pStyle w:val="TableParagraph"/>
              <w:spacing w:before="37"/>
              <w:rPr>
                <w:rFonts w:ascii="Times New Roman"/>
                <w:i/>
                <w:sz w:val="22"/>
              </w:rPr>
            </w:pPr>
            <w:r>
              <w:rPr>
                <w:rFonts w:ascii="Times New Roman"/>
                <w:i/>
                <w:sz w:val="22"/>
              </w:rPr>
              <w:t>minute</w:t>
            </w:r>
          </w:p>
        </w:tc>
        <w:tc>
          <w:tcPr>
            <w:tcW w:w="1800" w:type="dxa"/>
          </w:tcPr>
          <w:p>
            <w:pPr>
              <w:pStyle w:val="TableParagraph"/>
              <w:ind w:left="112"/>
              <w:rPr>
                <w:sz w:val="22"/>
              </w:rPr>
            </w:pPr>
            <w:r>
              <w:rPr>
                <w:sz w:val="22"/>
              </w:rPr>
              <w:t>number</w:t>
            </w:r>
          </w:p>
        </w:tc>
        <w:tc>
          <w:tcPr>
            <w:tcW w:w="5400" w:type="dxa"/>
          </w:tcPr>
          <w:p>
            <w:pPr>
              <w:pStyle w:val="TableParagraph"/>
              <w:ind w:left="113" w:right="196"/>
              <w:rPr>
                <w:sz w:val="22"/>
              </w:rPr>
            </w:pPr>
            <w:r>
              <w:rPr>
                <w:sz w:val="22"/>
              </w:rPr>
              <w:t>A number in the range 0–32767, inclusive, truncated to integer, that represents the minute. Any value greater than 59 shall be converted to the corresponding number of hours and minutes.</w:t>
            </w:r>
          </w:p>
        </w:tc>
      </w:tr>
      <w:tr>
        <w:trPr>
          <w:trHeight w:val="623" w:hRule="atLeast"/>
        </w:trPr>
        <w:tc>
          <w:tcPr>
            <w:tcW w:w="1466" w:type="dxa"/>
          </w:tcPr>
          <w:p>
            <w:pPr>
              <w:pStyle w:val="TableParagraph"/>
              <w:spacing w:before="37"/>
              <w:rPr>
                <w:rFonts w:ascii="Times New Roman"/>
                <w:i/>
                <w:sz w:val="22"/>
              </w:rPr>
            </w:pPr>
            <w:r>
              <w:rPr>
                <w:rFonts w:ascii="Times New Roman"/>
                <w:i/>
                <w:sz w:val="22"/>
              </w:rPr>
              <w:t>second</w:t>
            </w:r>
          </w:p>
        </w:tc>
        <w:tc>
          <w:tcPr>
            <w:tcW w:w="1800" w:type="dxa"/>
          </w:tcPr>
          <w:p>
            <w:pPr>
              <w:pStyle w:val="TableParagraph"/>
              <w:ind w:left="112"/>
              <w:rPr>
                <w:sz w:val="22"/>
              </w:rPr>
            </w:pPr>
            <w:r>
              <w:rPr>
                <w:sz w:val="22"/>
              </w:rPr>
              <w:t>number</w:t>
            </w:r>
          </w:p>
        </w:tc>
        <w:tc>
          <w:tcPr>
            <w:tcW w:w="5400" w:type="dxa"/>
          </w:tcPr>
          <w:p>
            <w:pPr>
              <w:pStyle w:val="TableParagraph"/>
              <w:ind w:left="113" w:right="320"/>
              <w:rPr>
                <w:sz w:val="22"/>
              </w:rPr>
            </w:pPr>
            <w:r>
              <w:rPr>
                <w:sz w:val="22"/>
              </w:rPr>
              <w:t>A number in the range 0–32767, inclusive, truncated to integer, that represents the second. Any value greater</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196"/>
              <w:rPr>
                <w:sz w:val="22"/>
              </w:rPr>
            </w:pPr>
            <w:r>
              <w:rPr>
                <w:sz w:val="22"/>
              </w:rPr>
              <w:t>than 59 shall be converted to the corresponding number of hours, minutes, and seconds.</w:t>
            </w:r>
          </w:p>
        </w:tc>
      </w:tr>
    </w:tbl>
    <w:p>
      <w:pPr>
        <w:pStyle w:val="BodyText"/>
        <w:rPr>
          <w:b/>
          <w:sz w:val="20"/>
        </w:rPr>
      </w:pPr>
    </w:p>
    <w:p>
      <w:pPr>
        <w:pStyle w:val="BodyText"/>
        <w:spacing w:before="10"/>
        <w:rPr>
          <w:b/>
          <w:sz w:val="16"/>
        </w:rPr>
      </w:pPr>
    </w:p>
    <w:p>
      <w:pPr>
        <w:pStyle w:val="BodyText"/>
        <w:spacing w:line="276" w:lineRule="auto" w:before="56"/>
        <w:ind w:left="220" w:right="557"/>
      </w:pPr>
      <w:r>
        <w:rPr>
          <w:b/>
        </w:rPr>
        <w:t>Return Type and Value: </w:t>
      </w:r>
      <w:r>
        <w:rPr/>
        <w:t>number – The serial date-time for the given time, as a value greater than or equal to 0 and less than or equal to 1.</w:t>
      </w:r>
    </w:p>
    <w:p>
      <w:pPr>
        <w:pStyle w:val="BodyText"/>
        <w:spacing w:before="5"/>
        <w:rPr>
          <w:sz w:val="16"/>
        </w:rPr>
      </w:pPr>
    </w:p>
    <w:p>
      <w:pPr>
        <w:pStyle w:val="BodyText"/>
        <w:spacing w:line="453" w:lineRule="auto"/>
        <w:ind w:left="220" w:right="3377"/>
      </w:pPr>
      <w:r>
        <w:rPr/>
        <w:t>However, if </w:t>
      </w:r>
      <w:r>
        <w:rPr>
          <w:rFonts w:ascii="Times New Roman"/>
          <w:i/>
        </w:rPr>
        <w:t>hour</w:t>
      </w:r>
      <w:r>
        <w:rPr/>
        <w:t>, </w:t>
      </w:r>
      <w:r>
        <w:rPr>
          <w:rFonts w:ascii="Times New Roman"/>
          <w:i/>
        </w:rPr>
        <w:t>minute</w:t>
      </w:r>
      <w:r>
        <w:rPr/>
        <w:t>, or </w:t>
      </w:r>
      <w:r>
        <w:rPr>
          <w:rFonts w:ascii="Times New Roman"/>
          <w:i/>
        </w:rPr>
        <w:t>second </w:t>
      </w:r>
      <w:r>
        <w:rPr/>
        <w:t>are out of range, </w:t>
      </w:r>
      <w:r>
        <w:rPr>
          <w:rFonts w:ascii="Consolas"/>
        </w:rPr>
        <w:t>#NUM! </w:t>
      </w:r>
      <w:r>
        <w:rPr/>
        <w:t>is returned. [</w:t>
      </w:r>
      <w:r>
        <w:rPr>
          <w:i/>
        </w:rPr>
        <w:t>Example</w:t>
      </w:r>
      <w:r>
        <w:rPr/>
        <w:t>: The following serial date-times are displayed with 16 decimal places.</w:t>
      </w:r>
    </w:p>
    <w:p>
      <w:pPr>
        <w:pStyle w:val="BodyText"/>
        <w:spacing w:line="276" w:lineRule="auto" w:before="111"/>
        <w:ind w:left="220" w:right="3137"/>
        <w:rPr>
          <w:rFonts w:ascii="Consolas"/>
        </w:rPr>
      </w:pPr>
      <w:r>
        <w:rPr>
          <w:rFonts w:ascii="Consolas"/>
        </w:rPr>
        <w:t>TIME(0,0,0) </w:t>
      </w:r>
      <w:r>
        <w:rPr/>
        <w:t>results in a serial date-time of </w:t>
      </w:r>
      <w:r>
        <w:rPr>
          <w:rFonts w:ascii="Consolas"/>
        </w:rPr>
        <w:t>0.0000000000000000 TIME(0,0,1) </w:t>
      </w:r>
      <w:r>
        <w:rPr/>
        <w:t>results in a serial date-time of </w:t>
      </w:r>
      <w:r>
        <w:rPr>
          <w:rFonts w:ascii="Consolas"/>
        </w:rPr>
        <w:t>0.0000115740740741 TIME(0,0,2) </w:t>
      </w:r>
      <w:r>
        <w:rPr/>
        <w:t>results in a serial date-time of </w:t>
      </w:r>
      <w:r>
        <w:rPr>
          <w:rFonts w:ascii="Consolas"/>
        </w:rPr>
        <w:t>0.0000231481481481 TIME(0,0,20) </w:t>
      </w:r>
      <w:r>
        <w:rPr/>
        <w:t>results in a serial date-time of </w:t>
      </w:r>
      <w:r>
        <w:rPr>
          <w:rFonts w:ascii="Consolas"/>
        </w:rPr>
        <w:t>0.0002314814814815 TIME(2,3,20) </w:t>
      </w:r>
      <w:r>
        <w:rPr/>
        <w:t>results in a serial date-time of </w:t>
      </w:r>
      <w:r>
        <w:rPr>
          <w:rFonts w:ascii="Consolas"/>
        </w:rPr>
        <w:t>0.0856481481481481 TIME(12,0,0) </w:t>
      </w:r>
      <w:r>
        <w:rPr/>
        <w:t>results in a serial date-time of </w:t>
      </w:r>
      <w:r>
        <w:rPr>
          <w:rFonts w:ascii="Consolas"/>
        </w:rPr>
        <w:t>0.5000000000000000 TIME(23,59,59) </w:t>
      </w:r>
      <w:r>
        <w:rPr/>
        <w:t>results in a serial date-time of </w:t>
      </w:r>
      <w:r>
        <w:rPr>
          <w:rFonts w:ascii="Consolas"/>
        </w:rPr>
        <w:t>0.9999884259259260 TIME(26,120,240)</w:t>
      </w:r>
      <w:r>
        <w:rPr>
          <w:rFonts w:ascii="Consolas"/>
          <w:spacing w:val="-95"/>
        </w:rPr>
        <w:t> </w:t>
      </w:r>
      <w:r>
        <w:rPr/>
        <w:t>results in a serial date-time of </w:t>
      </w:r>
      <w:r>
        <w:rPr>
          <w:rFonts w:ascii="Consolas"/>
        </w:rPr>
        <w:t>0.1694444444444450</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4 TIMEVALUE" w:id="2364"/>
      <w:bookmarkEnd w:id="2364"/>
      <w:r>
        <w:rPr/>
      </w:r>
      <w:bookmarkStart w:name="_bookmark787" w:id="2365"/>
      <w:bookmarkEnd w:id="2365"/>
      <w:r>
        <w:rPr/>
      </w:r>
      <w:bookmarkStart w:name="_bookmark787" w:id="2366"/>
      <w:bookmarkEnd w:id="2366"/>
      <w:r>
        <w:rPr>
          <w:color w:val="4F81BC"/>
        </w:rPr>
        <w:t>T</w:t>
      </w:r>
      <w:r>
        <w:rPr>
          <w:color w:val="4F81BC"/>
        </w:rPr>
        <w:t>IMEVALUE</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TIMEVALUE ( </w:t>
      </w:r>
      <w:r>
        <w:rPr>
          <w:i/>
          <w:sz w:val="22"/>
        </w:rPr>
        <w:t>date-time-string </w:t>
      </w:r>
      <w:r>
        <w:rPr>
          <w:rFonts w:ascii="Lucida Console"/>
          <w:sz w:val="20"/>
        </w:rPr>
        <w:t>)</w:t>
      </w:r>
    </w:p>
    <w:p>
      <w:pPr>
        <w:spacing w:before="108"/>
        <w:ind w:left="220" w:right="0" w:firstLine="0"/>
        <w:jc w:val="left"/>
        <w:rPr>
          <w:sz w:val="22"/>
        </w:rPr>
      </w:pPr>
      <w:r>
        <w:rPr>
          <w:b/>
          <w:sz w:val="22"/>
        </w:rPr>
        <w:t>Description: </w:t>
      </w:r>
      <w:r>
        <w:rPr>
          <w:sz w:val="22"/>
        </w:rPr>
        <w:t>Computes the serial date-time of the time represented by the string </w:t>
      </w:r>
      <w:r>
        <w:rPr>
          <w:rFonts w:ascii="Times New Roman"/>
          <w:i/>
          <w:sz w:val="22"/>
        </w:rPr>
        <w:t>date-time-string</w:t>
      </w:r>
      <w:r>
        <w:rPr>
          <w:sz w:val="22"/>
        </w:rPr>
        <w:t>.</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61" w:hRule="atLeast"/>
        </w:trPr>
        <w:tc>
          <w:tcPr>
            <w:tcW w:w="1466" w:type="dxa"/>
          </w:tcPr>
          <w:p>
            <w:pPr>
              <w:pStyle w:val="TableParagraph"/>
              <w:spacing w:before="37"/>
              <w:ind w:right="416"/>
              <w:rPr>
                <w:rFonts w:ascii="Times New Roman"/>
                <w:i/>
                <w:sz w:val="22"/>
              </w:rPr>
            </w:pPr>
            <w:r>
              <w:rPr>
                <w:rFonts w:ascii="Times New Roman"/>
                <w:i/>
                <w:sz w:val="22"/>
              </w:rPr>
              <w:t>date-time- </w:t>
            </w: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139"/>
              <w:rPr>
                <w:sz w:val="22"/>
              </w:rPr>
            </w:pPr>
            <w:r>
              <w:rPr>
                <w:sz w:val="22"/>
              </w:rPr>
              <w:t>The date and/or time whose time component serial date- time is to be computed. </w:t>
            </w:r>
            <w:r>
              <w:rPr>
                <w:rFonts w:ascii="Times New Roman"/>
                <w:i/>
                <w:sz w:val="22"/>
              </w:rPr>
              <w:t>date-time-string </w:t>
            </w:r>
            <w:r>
              <w:rPr>
                <w:sz w:val="22"/>
              </w:rPr>
              <w:t>can have any date and/or time format. Any date information in </w:t>
            </w:r>
            <w:r>
              <w:rPr>
                <w:rFonts w:ascii="Times New Roman"/>
                <w:i/>
                <w:sz w:val="22"/>
              </w:rPr>
              <w:t>date- </w:t>
            </w:r>
            <w:r>
              <w:rPr>
                <w:rFonts w:ascii="Times New Roman"/>
                <w:i/>
                <w:sz w:val="22"/>
              </w:rPr>
              <w:t>time-string </w:t>
            </w:r>
            <w:r>
              <w:rPr>
                <w:sz w:val="22"/>
              </w:rPr>
              <w:t>shall be ignored.</w:t>
            </w:r>
          </w:p>
        </w:tc>
      </w:tr>
    </w:tbl>
    <w:p>
      <w:pPr>
        <w:pStyle w:val="BodyText"/>
        <w:rPr>
          <w:b/>
        </w:rPr>
      </w:pPr>
    </w:p>
    <w:p>
      <w:pPr>
        <w:pStyle w:val="BodyText"/>
        <w:spacing w:before="5"/>
        <w:rPr>
          <w:b/>
          <w:sz w:val="19"/>
        </w:rPr>
      </w:pPr>
    </w:p>
    <w:p>
      <w:pPr>
        <w:spacing w:line="278" w:lineRule="auto" w:before="1"/>
        <w:ind w:left="220" w:right="417" w:firstLine="0"/>
        <w:jc w:val="left"/>
        <w:rPr>
          <w:sz w:val="22"/>
        </w:rPr>
      </w:pPr>
      <w:r>
        <w:rPr>
          <w:b/>
          <w:sz w:val="22"/>
        </w:rPr>
        <w:t>Return Type and Value: </w:t>
      </w:r>
      <w:r>
        <w:rPr>
          <w:sz w:val="22"/>
        </w:rPr>
        <w:t>number – The serial date-time of the time represented by the string </w:t>
      </w:r>
      <w:r>
        <w:rPr>
          <w:rFonts w:ascii="Times New Roman" w:hAnsi="Times New Roman"/>
          <w:i/>
          <w:sz w:val="22"/>
        </w:rPr>
        <w:t>date-time-string</w:t>
      </w:r>
      <w:r>
        <w:rPr>
          <w:sz w:val="22"/>
        </w:rPr>
        <w:t>, as a value greater than or equal to 0 and less than or equal to 1.</w:t>
      </w:r>
    </w:p>
    <w:p>
      <w:pPr>
        <w:spacing w:before="197"/>
        <w:ind w:left="220" w:right="0" w:firstLine="0"/>
        <w:jc w:val="left"/>
        <w:rPr>
          <w:sz w:val="22"/>
        </w:rPr>
      </w:pPr>
      <w:r>
        <w:rPr>
          <w:sz w:val="22"/>
        </w:rPr>
        <w:t>However, if </w:t>
      </w:r>
      <w:r>
        <w:rPr>
          <w:rFonts w:ascii="Times New Roman"/>
          <w:i/>
          <w:sz w:val="22"/>
        </w:rPr>
        <w:t>date-time-string </w:t>
      </w:r>
      <w:r>
        <w:rPr>
          <w:sz w:val="22"/>
        </w:rPr>
        <w:t>is ill-formed, </w:t>
      </w:r>
      <w:r>
        <w:rPr>
          <w:rFonts w:ascii="Consolas"/>
          <w:sz w:val="22"/>
        </w:rPr>
        <w:t>#VALUE!</w:t>
      </w:r>
      <w:r>
        <w:rPr>
          <w:rFonts w:ascii="Consolas"/>
          <w:spacing w:val="-82"/>
          <w:sz w:val="22"/>
        </w:rPr>
        <w:t> </w:t>
      </w:r>
      <w:r>
        <w:rPr>
          <w:sz w:val="22"/>
        </w:rPr>
        <w:t>is returned.</w:t>
      </w:r>
    </w:p>
    <w:p>
      <w:pPr>
        <w:spacing w:after="0"/>
        <w:jc w:val="left"/>
        <w:rPr>
          <w:sz w:val="22"/>
        </w:rPr>
        <w:sectPr>
          <w:pgSz w:w="12240" w:h="15840"/>
          <w:pgMar w:header="763" w:footer="746" w:top="1340" w:bottom="940" w:left="860" w:right="700"/>
        </w:sectPr>
      </w:pPr>
    </w:p>
    <w:p>
      <w:pPr>
        <w:pStyle w:val="BodyText"/>
        <w:spacing w:before="90"/>
        <w:ind w:left="220"/>
      </w:pPr>
      <w:r>
        <w:rPr/>
        <w:t>[</w:t>
      </w:r>
      <w:r>
        <w:rPr>
          <w:i/>
        </w:rPr>
        <w:t>Example</w:t>
      </w:r>
      <w:r>
        <w:rPr/>
        <w:t>: The following serial date-times are displayed with 16 decimal places.</w:t>
      </w:r>
    </w:p>
    <w:p>
      <w:pPr>
        <w:pStyle w:val="BodyText"/>
        <w:spacing w:before="7"/>
        <w:rPr>
          <w:sz w:val="28"/>
        </w:rPr>
      </w:pPr>
    </w:p>
    <w:p>
      <w:pPr>
        <w:pStyle w:val="BodyText"/>
        <w:ind w:left="220"/>
        <w:rPr>
          <w:rFonts w:ascii="Consolas"/>
        </w:rPr>
      </w:pPr>
      <w:r>
        <w:rPr>
          <w:rFonts w:ascii="Consolas"/>
        </w:rPr>
        <w:t>TIMEVALUE("10:02:34 ")</w:t>
      </w:r>
      <w:r>
        <w:rPr>
          <w:rFonts w:ascii="Consolas"/>
          <w:spacing w:val="-75"/>
        </w:rPr>
        <w:t> </w:t>
      </w:r>
      <w:r>
        <w:rPr/>
        <w:t>results in </w:t>
      </w:r>
      <w:r>
        <w:rPr>
          <w:rFonts w:ascii="Consolas"/>
        </w:rPr>
        <w:t>0.4184490740740740</w:t>
      </w:r>
    </w:p>
    <w:p>
      <w:pPr>
        <w:pStyle w:val="BodyText"/>
        <w:spacing w:line="276" w:lineRule="auto" w:before="41"/>
        <w:ind w:left="220" w:right="1028"/>
        <w:rPr>
          <w:rFonts w:ascii="Consolas"/>
        </w:rPr>
      </w:pPr>
      <w:r>
        <w:rPr>
          <w:rFonts w:ascii="Consolas"/>
        </w:rPr>
        <w:t>TIMEVALUE("01-Feb-2006 10:15:29 AM")</w:t>
      </w:r>
      <w:r>
        <w:rPr>
          <w:rFonts w:ascii="Consolas"/>
          <w:spacing w:val="-97"/>
        </w:rPr>
        <w:t> </w:t>
      </w:r>
      <w:r>
        <w:rPr/>
        <w:t>results in </w:t>
      </w:r>
      <w:r>
        <w:rPr>
          <w:rFonts w:ascii="Consolas"/>
        </w:rPr>
        <w:t>0.4274189814823330 TIMEVALUE("22:02")</w:t>
      </w:r>
      <w:r>
        <w:rPr>
          <w:rFonts w:ascii="Consolas"/>
          <w:spacing w:val="-68"/>
        </w:rPr>
        <w:t> </w:t>
      </w:r>
      <w:r>
        <w:rPr/>
        <w:t>results in </w:t>
      </w:r>
      <w:r>
        <w:rPr>
          <w:rFonts w:ascii="Consolas"/>
        </w:rPr>
        <w:t>0.9180555555555560</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5 TINV" w:id="2367"/>
      <w:bookmarkEnd w:id="2367"/>
      <w:r>
        <w:rPr/>
      </w:r>
      <w:bookmarkStart w:name="_bookmark788" w:id="2368"/>
      <w:bookmarkEnd w:id="2368"/>
      <w:r>
        <w:rPr/>
      </w:r>
      <w:bookmarkStart w:name="_bookmark788" w:id="2369"/>
      <w:bookmarkEnd w:id="2369"/>
      <w:r>
        <w:rPr>
          <w:color w:val="4F81BC"/>
        </w:rPr>
        <w:t>T</w:t>
      </w:r>
      <w:r>
        <w:rPr>
          <w:color w:val="4F81BC"/>
        </w:rPr>
        <w:t>INV</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TINV ( </w:t>
      </w:r>
      <w:r>
        <w:rPr>
          <w:i/>
          <w:sz w:val="22"/>
        </w:rPr>
        <w:t>probability </w:t>
      </w:r>
      <w:r>
        <w:rPr>
          <w:rFonts w:ascii="Lucida Console"/>
          <w:sz w:val="20"/>
        </w:rPr>
        <w:t>, </w:t>
      </w:r>
      <w:r>
        <w:rPr>
          <w:i/>
          <w:sz w:val="22"/>
        </w:rPr>
        <w:t>degrees-freedom </w:t>
      </w:r>
      <w:r>
        <w:rPr>
          <w:rFonts w:ascii="Lucida Console"/>
          <w:sz w:val="20"/>
        </w:rPr>
        <w:t>)</w:t>
      </w:r>
    </w:p>
    <w:p>
      <w:pPr>
        <w:pStyle w:val="BodyText"/>
        <w:spacing w:line="278" w:lineRule="auto" w:before="106"/>
        <w:ind w:left="220" w:right="364"/>
      </w:pPr>
      <w:r>
        <w:rPr>
          <w:b/>
        </w:rPr>
        <w:t>Description: </w:t>
      </w:r>
      <w:r>
        <w:rPr/>
        <w:t>Computes the t-value of the Student's t-distribution as a function of the probability and the degrees of</w:t>
      </w:r>
      <w:r>
        <w:rPr>
          <w:spacing w:val="-1"/>
        </w:rPr>
        <w:t> </w:t>
      </w:r>
      <w:r>
        <w:rPr/>
        <w:t>freedom.</w:t>
      </w:r>
    </w:p>
    <w:p>
      <w:pPr>
        <w:pStyle w:val="BodyText"/>
        <w:spacing w:before="3"/>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probability</w:t>
            </w:r>
          </w:p>
        </w:tc>
        <w:tc>
          <w:tcPr>
            <w:tcW w:w="1800" w:type="dxa"/>
          </w:tcPr>
          <w:p>
            <w:pPr>
              <w:pStyle w:val="TableParagraph"/>
              <w:ind w:left="112"/>
              <w:rPr>
                <w:sz w:val="22"/>
              </w:rPr>
            </w:pPr>
            <w:r>
              <w:rPr>
                <w:sz w:val="22"/>
              </w:rPr>
              <w:t>number</w:t>
            </w:r>
          </w:p>
        </w:tc>
        <w:tc>
          <w:tcPr>
            <w:tcW w:w="5400" w:type="dxa"/>
          </w:tcPr>
          <w:p>
            <w:pPr>
              <w:pStyle w:val="TableParagraph"/>
              <w:ind w:left="113" w:right="275"/>
              <w:rPr>
                <w:sz w:val="22"/>
              </w:rPr>
            </w:pPr>
            <w:r>
              <w:rPr>
                <w:sz w:val="22"/>
              </w:rPr>
              <w:t>A probability associated with the two-tailed Student's t- distribution.</w:t>
            </w:r>
          </w:p>
        </w:tc>
      </w:tr>
      <w:tr>
        <w:trPr>
          <w:trHeight w:val="623" w:hRule="atLeast"/>
        </w:trPr>
        <w:tc>
          <w:tcPr>
            <w:tcW w:w="1466" w:type="dxa"/>
          </w:tcPr>
          <w:p>
            <w:pPr>
              <w:pStyle w:val="TableParagraph"/>
              <w:spacing w:before="37"/>
              <w:ind w:right="563"/>
              <w:rPr>
                <w:rFonts w:ascii="Times New Roman"/>
                <w:i/>
                <w:sz w:val="22"/>
              </w:rPr>
            </w:pPr>
            <w:r>
              <w:rPr>
                <w:rFonts w:ascii="Times New Roman"/>
                <w:i/>
                <w:sz w:val="22"/>
              </w:rPr>
              <w:t>degrees- </w:t>
            </w:r>
            <w:r>
              <w:rPr>
                <w:rFonts w:ascii="Times New Roman"/>
                <w:i/>
                <w:sz w:val="22"/>
              </w:rPr>
              <w:t>freedom</w:t>
            </w:r>
          </w:p>
        </w:tc>
        <w:tc>
          <w:tcPr>
            <w:tcW w:w="1800" w:type="dxa"/>
          </w:tcPr>
          <w:p>
            <w:pPr>
              <w:pStyle w:val="TableParagraph"/>
              <w:ind w:left="112"/>
              <w:rPr>
                <w:sz w:val="22"/>
              </w:rPr>
            </w:pPr>
            <w:r>
              <w:rPr>
                <w:sz w:val="22"/>
              </w:rPr>
              <w:t>number</w:t>
            </w:r>
          </w:p>
        </w:tc>
        <w:tc>
          <w:tcPr>
            <w:tcW w:w="5400" w:type="dxa"/>
          </w:tcPr>
          <w:p>
            <w:pPr>
              <w:pStyle w:val="TableParagraph"/>
              <w:ind w:left="113" w:right="485"/>
              <w:rPr>
                <w:sz w:val="22"/>
              </w:rPr>
            </w:pPr>
            <w:r>
              <w:rPr>
                <w:sz w:val="22"/>
              </w:rPr>
              <w:t>The number of degrees of freedom with which to characterize the distribution, truncated to an integer.</w:t>
            </w:r>
          </w:p>
        </w:tc>
      </w:tr>
    </w:tbl>
    <w:p>
      <w:pPr>
        <w:pStyle w:val="BodyText"/>
        <w:rPr>
          <w:b/>
        </w:rPr>
      </w:pPr>
    </w:p>
    <w:p>
      <w:pPr>
        <w:pStyle w:val="BodyText"/>
        <w:spacing w:before="8"/>
        <w:rPr>
          <w:b/>
          <w:sz w:val="19"/>
        </w:rPr>
      </w:pPr>
    </w:p>
    <w:p>
      <w:pPr>
        <w:spacing w:line="453" w:lineRule="auto" w:before="0"/>
        <w:ind w:left="220" w:right="3569" w:firstLine="0"/>
        <w:jc w:val="left"/>
        <w:rPr>
          <w:sz w:val="22"/>
        </w:rPr>
      </w:pPr>
      <w:r>
        <w:rPr>
          <w:b/>
          <w:sz w:val="22"/>
        </w:rPr>
        <w:t>Return Type and Value: </w:t>
      </w:r>
      <w:r>
        <w:rPr>
          <w:sz w:val="22"/>
        </w:rPr>
        <w:t>number – The t-value of the Student's t-distribution.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probability </w:t>
      </w:r>
      <w:r>
        <w:rPr>
          <w:sz w:val="22"/>
        </w:rPr>
        <w:t>&lt; 0 or </w:t>
      </w:r>
      <w:r>
        <w:rPr>
          <w:rFonts w:ascii="Times New Roman" w:hAnsi="Times New Roman"/>
          <w:i/>
          <w:sz w:val="22"/>
        </w:rPr>
        <w:t>probability </w:t>
      </w:r>
      <w:r>
        <w:rPr>
          <w:sz w:val="22"/>
        </w:rPr>
        <w:t>&gt; 1,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140" w:firstLine="360"/>
        <w:jc w:val="left"/>
        <w:rPr>
          <w:sz w:val="22"/>
        </w:rPr>
      </w:pPr>
      <w:r>
        <w:rPr>
          <w:rFonts w:ascii="Times New Roman" w:hAnsi="Times New Roman"/>
          <w:i/>
          <w:sz w:val="22"/>
        </w:rPr>
        <w:t>degrees-freedom </w:t>
      </w:r>
      <w:r>
        <w:rPr>
          <w:sz w:val="22"/>
        </w:rPr>
        <w:t>&lt; 1, </w:t>
      </w:r>
      <w:r>
        <w:rPr>
          <w:rFonts w:ascii="Consolas" w:hAnsi="Consolas"/>
          <w:sz w:val="22"/>
        </w:rPr>
        <w:t>#NUM!</w:t>
      </w:r>
      <w:r>
        <w:rPr>
          <w:rFonts w:ascii="Consolas" w:hAnsi="Consolas"/>
          <w:spacing w:val="-82"/>
          <w:sz w:val="22"/>
        </w:rPr>
        <w:t> </w:t>
      </w:r>
      <w:r>
        <w:rPr>
          <w:sz w:val="22"/>
        </w:rPr>
        <w:t>is returned. [</w:t>
      </w:r>
      <w:r>
        <w:rPr>
          <w:i/>
          <w:sz w:val="22"/>
        </w:rPr>
        <w:t>Example</w:t>
      </w:r>
      <w:r>
        <w:rPr>
          <w:sz w:val="22"/>
        </w:rPr>
        <w:t>:</w:t>
      </w:r>
    </w:p>
    <w:p>
      <w:pPr>
        <w:pStyle w:val="BodyText"/>
        <w:spacing w:before="128"/>
        <w:ind w:left="220"/>
        <w:rPr>
          <w:rFonts w:ascii="Consolas"/>
        </w:rPr>
      </w:pPr>
      <w:r>
        <w:rPr>
          <w:rFonts w:ascii="Consolas"/>
        </w:rPr>
        <w:t>TINV(0.054644927,60)</w:t>
      </w:r>
      <w:r>
        <w:rPr>
          <w:rFonts w:ascii="Consolas"/>
          <w:spacing w:val="-72"/>
        </w:rPr>
        <w:t> </w:t>
      </w:r>
      <w:r>
        <w:rPr/>
        <w:t>results in </w:t>
      </w:r>
      <w:r>
        <w:rPr>
          <w:rFonts w:ascii="Consolas"/>
        </w:rPr>
        <w:t>1.95999999</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10"/>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6 TODAY" w:id="2370"/>
      <w:bookmarkEnd w:id="2370"/>
      <w:r>
        <w:rPr/>
      </w:r>
      <w:bookmarkStart w:name="_bookmark789" w:id="2371"/>
      <w:bookmarkEnd w:id="2371"/>
      <w:r>
        <w:rPr/>
      </w:r>
      <w:bookmarkStart w:name="_bookmark789" w:id="2372"/>
      <w:bookmarkEnd w:id="2372"/>
      <w:r>
        <w:rPr>
          <w:color w:val="4F81BC"/>
        </w:rPr>
        <w:t>T</w:t>
      </w:r>
      <w:r>
        <w:rPr>
          <w:color w:val="4F81BC"/>
        </w:rPr>
        <w:t>ODAY</w:t>
      </w:r>
    </w:p>
    <w:p>
      <w:pPr>
        <w:pStyle w:val="Heading4"/>
        <w:spacing w:before="121"/>
        <w:rPr>
          <w:b w:val="0"/>
        </w:rPr>
      </w:pPr>
      <w:r>
        <w:rPr/>
        <w:t>Syntax</w:t>
      </w:r>
      <w:r>
        <w:rPr>
          <w:b w:val="0"/>
        </w:rPr>
        <w:t>:</w:t>
      </w:r>
    </w:p>
    <w:p>
      <w:pPr>
        <w:pStyle w:val="BodyText"/>
        <w:spacing w:before="4"/>
        <w:rPr>
          <w:sz w:val="23"/>
        </w:rPr>
      </w:pPr>
    </w:p>
    <w:p>
      <w:pPr>
        <w:spacing w:before="0"/>
        <w:ind w:left="940" w:right="0" w:firstLine="0"/>
        <w:jc w:val="left"/>
        <w:rPr>
          <w:rFonts w:ascii="Lucida Console"/>
          <w:sz w:val="20"/>
        </w:rPr>
      </w:pPr>
      <w:r>
        <w:rPr>
          <w:rFonts w:ascii="Lucida Console"/>
          <w:sz w:val="20"/>
        </w:rPr>
        <w:t>TODAY ( )</w:t>
      </w:r>
    </w:p>
    <w:p>
      <w:pPr>
        <w:pStyle w:val="BodyText"/>
        <w:spacing w:line="278" w:lineRule="auto" w:before="123"/>
        <w:ind w:left="220" w:right="1020"/>
      </w:pPr>
      <w:r>
        <w:rPr>
          <w:b/>
        </w:rPr>
        <w:t>Description: </w:t>
      </w:r>
      <w:r>
        <w:rPr/>
        <w:t>Computes the serial date-time of the current date, taking into account the current date base system.</w:t>
      </w:r>
    </w:p>
    <w:p>
      <w:pPr>
        <w:spacing w:after="0" w:line="278" w:lineRule="auto"/>
        <w:sectPr>
          <w:pgSz w:w="12240" w:h="15840"/>
          <w:pgMar w:header="761" w:footer="746" w:top="1340" w:bottom="940" w:left="860" w:right="700"/>
        </w:sectPr>
      </w:pPr>
    </w:p>
    <w:p>
      <w:pPr>
        <w:spacing w:before="150"/>
        <w:ind w:left="220" w:right="0" w:firstLine="0"/>
        <w:jc w:val="left"/>
        <w:rPr>
          <w:sz w:val="22"/>
        </w:rPr>
      </w:pPr>
      <w:r>
        <w:rPr>
          <w:b/>
          <w:sz w:val="22"/>
        </w:rPr>
        <w:t>Arguments: </w:t>
      </w:r>
      <w:r>
        <w:rPr>
          <w:sz w:val="22"/>
        </w:rPr>
        <w:t>None.</w:t>
      </w:r>
    </w:p>
    <w:p>
      <w:pPr>
        <w:pStyle w:val="BodyText"/>
        <w:spacing w:before="9"/>
        <w:rPr>
          <w:sz w:val="19"/>
        </w:rPr>
      </w:pPr>
    </w:p>
    <w:p>
      <w:pPr>
        <w:spacing w:line="453" w:lineRule="auto" w:before="0"/>
        <w:ind w:left="220" w:right="3736" w:firstLine="0"/>
        <w:jc w:val="left"/>
        <w:rPr>
          <w:sz w:val="22"/>
        </w:rPr>
      </w:pPr>
      <w:r>
        <w:rPr>
          <w:b/>
          <w:sz w:val="22"/>
        </w:rPr>
        <w:t>Return Type and Value: </w:t>
      </w:r>
      <w:r>
        <w:rPr>
          <w:sz w:val="22"/>
        </w:rPr>
        <w:t>number – The serial date-time of the current date. [</w:t>
      </w:r>
      <w:r>
        <w:rPr>
          <w:i/>
          <w:sz w:val="22"/>
        </w:rPr>
        <w:t>Example</w:t>
      </w:r>
      <w:r>
        <w:rPr>
          <w:sz w:val="22"/>
        </w:rPr>
        <w:t>:</w:t>
      </w:r>
    </w:p>
    <w:p>
      <w:pPr>
        <w:pStyle w:val="BodyText"/>
        <w:spacing w:before="108"/>
        <w:ind w:left="220"/>
      </w:pPr>
      <w:r>
        <w:rPr/>
        <w:t>On February 25, 2006, </w:t>
      </w:r>
      <w:r>
        <w:rPr>
          <w:rFonts w:ascii="Consolas"/>
        </w:rPr>
        <w:t>TODAY()</w:t>
      </w:r>
      <w:r>
        <w:rPr>
          <w:rFonts w:ascii="Consolas"/>
          <w:spacing w:val="-73"/>
        </w:rPr>
        <w:t> </w:t>
      </w:r>
      <w:r>
        <w:rPr/>
        <w:t>results in </w:t>
      </w:r>
      <w:r>
        <w:rPr>
          <w:rFonts w:ascii="Consolas"/>
        </w:rPr>
        <w:t>38773</w:t>
      </w:r>
      <w:r>
        <w:rPr>
          <w:rFonts w:ascii="Consolas"/>
          <w:spacing w:val="-70"/>
        </w:rPr>
        <w:t> </w:t>
      </w:r>
      <w:r>
        <w:rPr/>
        <w:t>for the 1900 date system, or </w:t>
      </w:r>
      <w:r>
        <w:rPr>
          <w:rFonts w:ascii="Consolas"/>
        </w:rPr>
        <w:t>37311</w:t>
      </w:r>
      <w:r>
        <w:rPr>
          <w:rFonts w:ascii="Consolas"/>
          <w:spacing w:val="-70"/>
        </w:rPr>
        <w:t> </w:t>
      </w:r>
      <w:r>
        <w:rPr/>
        <w:t>for the 1904 date system</w:t>
      </w:r>
    </w:p>
    <w:p>
      <w:pPr>
        <w:pStyle w:val="BodyText"/>
        <w:spacing w:before="11"/>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7 TRANSPOSE" w:id="2373"/>
      <w:bookmarkEnd w:id="2373"/>
      <w:r>
        <w:rPr/>
      </w:r>
      <w:bookmarkStart w:name="_bookmark790" w:id="2374"/>
      <w:bookmarkEnd w:id="2374"/>
      <w:r>
        <w:rPr/>
      </w:r>
      <w:bookmarkStart w:name="_bookmark790" w:id="2375"/>
      <w:bookmarkEnd w:id="2375"/>
      <w:r>
        <w:rPr>
          <w:color w:val="4F81BC"/>
        </w:rPr>
        <w:t>T</w:t>
      </w:r>
      <w:r>
        <w:rPr>
          <w:color w:val="4F81BC"/>
        </w:rPr>
        <w:t>RANSPOSE</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TRANSPOSE ( </w:t>
      </w:r>
      <w:r>
        <w:rPr>
          <w:i/>
          <w:sz w:val="22"/>
        </w:rPr>
        <w:t>array </w:t>
      </w:r>
      <w:r>
        <w:rPr>
          <w:rFonts w:ascii="Lucida Console"/>
          <w:sz w:val="20"/>
        </w:rPr>
        <w:t>)</w:t>
      </w:r>
    </w:p>
    <w:p>
      <w:pPr>
        <w:pStyle w:val="BodyText"/>
        <w:spacing w:line="276" w:lineRule="auto" w:before="106"/>
        <w:ind w:left="220" w:right="465"/>
      </w:pPr>
      <w:r>
        <w:rPr>
          <w:b/>
        </w:rPr>
        <w:t>Description</w:t>
      </w:r>
      <w:r>
        <w:rPr/>
        <w:t>: Creates a new array that is the transpose of an existing array, by copying the first row of the existing array to the first column of the new array, the second row of the existing array as the second column of the new array, and so on. The formula containing the call to </w:t>
      </w:r>
      <w:r>
        <w:rPr>
          <w:rFonts w:ascii="Consolas"/>
        </w:rPr>
        <w:t>TRANSPOSE </w:t>
      </w:r>
      <w:r>
        <w:rPr/>
        <w:t>shall be an array formula in a range that has the same number of rows and columns, respectively, as </w:t>
      </w:r>
      <w:r>
        <w:rPr>
          <w:rFonts w:ascii="Times New Roman"/>
          <w:i/>
        </w:rPr>
        <w:t>array </w:t>
      </w:r>
      <w:r>
        <w:rPr/>
        <w:t>has columns and rows.</w:t>
      </w:r>
    </w:p>
    <w:p>
      <w:pPr>
        <w:pStyle w:val="Heading4"/>
        <w:spacing w:before="202"/>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0" w:right="2165"/>
              <w:jc w:val="right"/>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0" w:right="2151"/>
              <w:jc w:val="right"/>
              <w:rPr>
                <w:sz w:val="22"/>
              </w:rPr>
            </w:pPr>
            <w:r>
              <w:rPr>
                <w:sz w:val="22"/>
              </w:rPr>
              <w:t>The set of values to be transposed.</w:t>
            </w:r>
          </w:p>
        </w:tc>
      </w:tr>
    </w:tbl>
    <w:p>
      <w:pPr>
        <w:pStyle w:val="BodyText"/>
      </w:pPr>
    </w:p>
    <w:p>
      <w:pPr>
        <w:pStyle w:val="BodyText"/>
        <w:spacing w:before="8"/>
        <w:rPr>
          <w:sz w:val="19"/>
        </w:rPr>
      </w:pPr>
    </w:p>
    <w:p>
      <w:pPr>
        <w:spacing w:line="453" w:lineRule="auto" w:before="0"/>
        <w:ind w:left="220" w:right="6242" w:firstLine="0"/>
        <w:jc w:val="left"/>
        <w:rPr>
          <w:sz w:val="22"/>
        </w:rPr>
      </w:pPr>
      <w:r>
        <w:rPr>
          <w:b/>
          <w:sz w:val="22"/>
        </w:rPr>
        <w:t>Return Type and Value</w:t>
      </w:r>
      <w:r>
        <w:rPr>
          <w:sz w:val="22"/>
        </w:rPr>
        <w:t>: array – The new array. [</w:t>
      </w:r>
      <w:r>
        <w:rPr>
          <w:i/>
          <w:sz w:val="22"/>
        </w:rPr>
        <w:t>Example</w:t>
      </w:r>
      <w:r>
        <w:rPr>
          <w:sz w:val="22"/>
        </w:rPr>
        <w:t>:</w:t>
      </w:r>
    </w:p>
    <w:p>
      <w:pPr>
        <w:pStyle w:val="BodyText"/>
        <w:spacing w:before="108"/>
        <w:ind w:left="220"/>
        <w:rPr>
          <w:rFonts w:ascii="Consolas"/>
        </w:rPr>
      </w:pPr>
      <w:r>
        <w:rPr>
          <w:rFonts w:ascii="Consolas"/>
        </w:rPr>
        <w:t>TRANSPOSE({10,20,30})</w:t>
      </w:r>
      <w:r>
        <w:rPr>
          <w:rFonts w:ascii="Consolas"/>
          <w:spacing w:val="-65"/>
        </w:rPr>
        <w:t> </w:t>
      </w:r>
      <w:r>
        <w:rPr/>
        <w:t>results in the array </w:t>
      </w:r>
      <w:r>
        <w:rPr>
          <w:rFonts w:ascii="Consolas"/>
        </w:rPr>
        <w:t>{10;20;30}</w:t>
      </w:r>
    </w:p>
    <w:p>
      <w:pPr>
        <w:pStyle w:val="BodyText"/>
        <w:spacing w:before="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8 TREND" w:id="2376"/>
      <w:bookmarkEnd w:id="2376"/>
      <w:r>
        <w:rPr/>
      </w:r>
      <w:bookmarkStart w:name="_bookmark791" w:id="2377"/>
      <w:bookmarkEnd w:id="2377"/>
      <w:r>
        <w:rPr/>
      </w:r>
      <w:bookmarkStart w:name="_bookmark791" w:id="2378"/>
      <w:bookmarkEnd w:id="2378"/>
      <w:r>
        <w:rPr>
          <w:color w:val="4F81BC"/>
        </w:rPr>
        <w:t>T</w:t>
      </w:r>
      <w:r>
        <w:rPr>
          <w:color w:val="4F81BC"/>
        </w:rPr>
        <w:t>REND</w:t>
      </w:r>
    </w:p>
    <w:p>
      <w:pPr>
        <w:pStyle w:val="Heading4"/>
        <w:spacing w:before="121"/>
        <w:rPr>
          <w:b w:val="0"/>
        </w:rPr>
      </w:pPr>
      <w:r>
        <w:rPr/>
        <w:t>Syntax</w:t>
      </w:r>
      <w:r>
        <w:rPr>
          <w:b w:val="0"/>
        </w:rPr>
        <w:t>:</w:t>
      </w:r>
    </w:p>
    <w:p>
      <w:pPr>
        <w:pStyle w:val="BodyText"/>
        <w:spacing w:before="1"/>
        <w:rPr>
          <w:sz w:val="19"/>
        </w:rPr>
      </w:pPr>
    </w:p>
    <w:p>
      <w:pPr>
        <w:spacing w:before="1"/>
        <w:ind w:left="940" w:right="0" w:firstLine="0"/>
        <w:jc w:val="left"/>
        <w:rPr>
          <w:rFonts w:ascii="Lucida Console"/>
          <w:sz w:val="20"/>
        </w:rPr>
      </w:pPr>
      <w:r>
        <w:rPr>
          <w:rFonts w:ascii="Lucida Console"/>
          <w:sz w:val="20"/>
        </w:rPr>
        <w:t>TREND ( </w:t>
      </w:r>
      <w:r>
        <w:rPr>
          <w:i/>
          <w:sz w:val="22"/>
        </w:rPr>
        <w:t>known-ys </w:t>
      </w:r>
      <w:r>
        <w:rPr>
          <w:sz w:val="22"/>
        </w:rPr>
        <w:t>[ </w:t>
      </w:r>
      <w:r>
        <w:rPr>
          <w:rFonts w:ascii="Lucida Console"/>
          <w:sz w:val="20"/>
        </w:rPr>
        <w:t>, </w:t>
      </w:r>
      <w:r>
        <w:rPr>
          <w:sz w:val="22"/>
        </w:rPr>
        <w:t>[ </w:t>
      </w:r>
      <w:r>
        <w:rPr>
          <w:i/>
          <w:sz w:val="22"/>
        </w:rPr>
        <w:t>known-xs </w:t>
      </w:r>
      <w:r>
        <w:rPr>
          <w:sz w:val="22"/>
        </w:rPr>
        <w:t>] [  </w:t>
      </w:r>
      <w:r>
        <w:rPr>
          <w:rFonts w:ascii="Lucida Console"/>
          <w:sz w:val="20"/>
        </w:rPr>
        <w:t>, </w:t>
      </w:r>
      <w:r>
        <w:rPr>
          <w:sz w:val="22"/>
        </w:rPr>
        <w:t>[  </w:t>
      </w:r>
      <w:r>
        <w:rPr>
          <w:i/>
          <w:sz w:val="22"/>
        </w:rPr>
        <w:t>new-xs </w:t>
      </w:r>
      <w:r>
        <w:rPr>
          <w:sz w:val="22"/>
        </w:rPr>
        <w:t>] [  </w:t>
      </w:r>
      <w:r>
        <w:rPr>
          <w:rFonts w:ascii="Lucida Console"/>
          <w:sz w:val="20"/>
        </w:rPr>
        <w:t>, </w:t>
      </w:r>
      <w:r>
        <w:rPr>
          <w:i/>
          <w:sz w:val="22"/>
        </w:rPr>
        <w:t>const-flag  </w:t>
      </w:r>
      <w:r>
        <w:rPr>
          <w:sz w:val="22"/>
        </w:rPr>
        <w:t>] ] </w:t>
      </w:r>
      <w:r>
        <w:rPr>
          <w:rFonts w:ascii="Lucida Console"/>
          <w:sz w:val="20"/>
        </w:rPr>
        <w:t>)</w:t>
      </w:r>
    </w:p>
    <w:p>
      <w:pPr>
        <w:pStyle w:val="BodyText"/>
        <w:spacing w:line="278" w:lineRule="auto" w:before="106"/>
        <w:ind w:left="220" w:right="482"/>
      </w:pPr>
      <w:r>
        <w:rPr>
          <w:b/>
        </w:rPr>
        <w:t>Description: </w:t>
      </w:r>
      <w:r>
        <w:rPr/>
        <w:t>Computes values along a linear trend. Fits a straight line (using the method of least squares) to the arrays </w:t>
      </w:r>
      <w:r>
        <w:rPr>
          <w:rFonts w:ascii="Times New Roman"/>
          <w:i/>
        </w:rPr>
        <w:t>known-ys </w:t>
      </w:r>
      <w:r>
        <w:rPr/>
        <w:t>and </w:t>
      </w:r>
      <w:r>
        <w:rPr>
          <w:rFonts w:ascii="Times New Roman"/>
          <w:i/>
        </w:rPr>
        <w:t>known-xs</w:t>
      </w:r>
      <w:r>
        <w:rPr/>
        <w:t>. The y-values along that line for the array of </w:t>
      </w:r>
      <w:r>
        <w:rPr>
          <w:rFonts w:ascii="Times New Roman"/>
          <w:i/>
        </w:rPr>
        <w:t>new-xs </w:t>
      </w:r>
      <w:r>
        <w:rPr/>
        <w:t>specified.</w:t>
      </w:r>
    </w:p>
    <w:p>
      <w:pPr>
        <w:pStyle w:val="Heading4"/>
        <w:spacing w:before="198"/>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known-ys</w:t>
            </w:r>
          </w:p>
        </w:tc>
        <w:tc>
          <w:tcPr>
            <w:tcW w:w="1800" w:type="dxa"/>
          </w:tcPr>
          <w:p>
            <w:pPr>
              <w:pStyle w:val="TableParagraph"/>
              <w:ind w:left="112"/>
              <w:rPr>
                <w:sz w:val="22"/>
              </w:rPr>
            </w:pPr>
            <w:r>
              <w:rPr>
                <w:sz w:val="22"/>
              </w:rPr>
              <w:t>array</w:t>
            </w:r>
          </w:p>
        </w:tc>
        <w:tc>
          <w:tcPr>
            <w:tcW w:w="5400" w:type="dxa"/>
          </w:tcPr>
          <w:p>
            <w:pPr>
              <w:pStyle w:val="TableParagraph"/>
              <w:ind w:left="113"/>
              <w:rPr>
                <w:sz w:val="22"/>
              </w:rPr>
            </w:pPr>
            <w:r>
              <w:rPr>
                <w:sz w:val="22"/>
              </w:rPr>
              <w:t>The set of y-values already known in the relationship</w:t>
            </w:r>
          </w:p>
        </w:tc>
      </w:tr>
    </w:tbl>
    <w:p>
      <w:pPr>
        <w:spacing w:after="0"/>
        <w:rPr>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58"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248"/>
              <w:rPr>
                <w:sz w:val="22"/>
              </w:rPr>
            </w:pPr>
            <w:r>
              <w:rPr>
                <w:i/>
                <w:sz w:val="22"/>
              </w:rPr>
              <w:t>y=mx+b</w:t>
            </w:r>
            <w:r>
              <w:rPr>
                <w:sz w:val="22"/>
              </w:rPr>
              <w:t>. If that array is in a single column, each column of </w:t>
            </w:r>
            <w:r>
              <w:rPr>
                <w:rFonts w:ascii="Times New Roman"/>
                <w:i/>
                <w:sz w:val="22"/>
              </w:rPr>
              <w:t>known-xs </w:t>
            </w:r>
            <w:r>
              <w:rPr>
                <w:sz w:val="22"/>
              </w:rPr>
              <w:t>is interpreted as a separate variable. If that array is in a single row, each row of </w:t>
            </w:r>
            <w:r>
              <w:rPr>
                <w:rFonts w:ascii="Times New Roman"/>
                <w:i/>
                <w:sz w:val="22"/>
              </w:rPr>
              <w:t>known-xs </w:t>
            </w:r>
            <w:r>
              <w:rPr>
                <w:sz w:val="22"/>
              </w:rPr>
              <w:t>is interpreted as a separate variable.</w:t>
            </w:r>
          </w:p>
        </w:tc>
      </w:tr>
      <w:tr>
        <w:trPr>
          <w:trHeight w:val="2234" w:hRule="atLeast"/>
        </w:trPr>
        <w:tc>
          <w:tcPr>
            <w:tcW w:w="1466" w:type="dxa"/>
            <w:tcBorders>
              <w:bottom w:val="single" w:sz="6" w:space="0" w:color="000000"/>
            </w:tcBorders>
          </w:tcPr>
          <w:p>
            <w:pPr>
              <w:pStyle w:val="TableParagraph"/>
              <w:spacing w:before="39"/>
              <w:rPr>
                <w:rFonts w:ascii="Times New Roman"/>
                <w:i/>
                <w:sz w:val="22"/>
              </w:rPr>
            </w:pPr>
            <w:r>
              <w:rPr>
                <w:rFonts w:ascii="Times New Roman"/>
                <w:i/>
                <w:sz w:val="22"/>
              </w:rPr>
              <w:t>known-xs</w:t>
            </w:r>
          </w:p>
        </w:tc>
        <w:tc>
          <w:tcPr>
            <w:tcW w:w="1800" w:type="dxa"/>
            <w:tcBorders>
              <w:bottom w:val="single" w:sz="6" w:space="0" w:color="000000"/>
            </w:tcBorders>
          </w:tcPr>
          <w:p>
            <w:pPr>
              <w:pStyle w:val="TableParagraph"/>
              <w:spacing w:before="42"/>
              <w:ind w:left="112"/>
              <w:rPr>
                <w:sz w:val="22"/>
              </w:rPr>
            </w:pPr>
            <w:r>
              <w:rPr>
                <w:sz w:val="22"/>
              </w:rPr>
              <w:t>array</w:t>
            </w:r>
          </w:p>
        </w:tc>
        <w:tc>
          <w:tcPr>
            <w:tcW w:w="5400" w:type="dxa"/>
            <w:tcBorders>
              <w:bottom w:val="single" w:sz="6" w:space="0" w:color="000000"/>
            </w:tcBorders>
          </w:tcPr>
          <w:p>
            <w:pPr>
              <w:pStyle w:val="TableParagraph"/>
              <w:spacing w:before="42"/>
              <w:ind w:left="113" w:right="166"/>
              <w:rPr>
                <w:sz w:val="22"/>
              </w:rPr>
            </w:pPr>
            <w:r>
              <w:rPr>
                <w:sz w:val="22"/>
              </w:rPr>
              <w:t>An optional set of x-values that might already be known in the relationship </w:t>
            </w:r>
            <w:r>
              <w:rPr>
                <w:i/>
                <w:sz w:val="22"/>
              </w:rPr>
              <w:t>y=mx+b</w:t>
            </w:r>
            <w:r>
              <w:rPr>
                <w:sz w:val="22"/>
              </w:rPr>
              <w:t>. The array </w:t>
            </w:r>
            <w:r>
              <w:rPr>
                <w:rFonts w:ascii="Times New Roman"/>
                <w:i/>
                <w:sz w:val="22"/>
              </w:rPr>
              <w:t>known-xs </w:t>
            </w:r>
            <w:r>
              <w:rPr>
                <w:sz w:val="22"/>
              </w:rPr>
              <w:t>can include one or more sets of variables. If only one variable is used, </w:t>
            </w:r>
            <w:r>
              <w:rPr>
                <w:rFonts w:ascii="Times New Roman"/>
                <w:i/>
                <w:sz w:val="22"/>
              </w:rPr>
              <w:t>known-ys </w:t>
            </w:r>
            <w:r>
              <w:rPr>
                <w:sz w:val="22"/>
              </w:rPr>
              <w:t>and </w:t>
            </w:r>
            <w:r>
              <w:rPr>
                <w:rFonts w:ascii="Times New Roman"/>
                <w:i/>
                <w:sz w:val="22"/>
              </w:rPr>
              <w:t>known-xs </w:t>
            </w:r>
            <w:r>
              <w:rPr>
                <w:sz w:val="22"/>
              </w:rPr>
              <w:t>can be ranges of any shape, as long as they have equal dimensions. If more than one variable is used, </w:t>
            </w:r>
            <w:r>
              <w:rPr>
                <w:rFonts w:ascii="Times New Roman"/>
                <w:i/>
                <w:sz w:val="22"/>
              </w:rPr>
              <w:t>known-ys </w:t>
            </w:r>
            <w:r>
              <w:rPr>
                <w:sz w:val="22"/>
              </w:rPr>
              <w:t>shall be a vector. If </w:t>
            </w:r>
            <w:r>
              <w:rPr>
                <w:rFonts w:ascii="Times New Roman"/>
                <w:i/>
                <w:sz w:val="22"/>
              </w:rPr>
              <w:t>known-xs </w:t>
            </w:r>
            <w:r>
              <w:rPr>
                <w:sz w:val="22"/>
              </w:rPr>
              <w:t>is omitted, it is assumed to be the array</w:t>
            </w:r>
          </w:p>
          <w:p>
            <w:pPr>
              <w:pStyle w:val="TableParagraph"/>
              <w:spacing w:line="268" w:lineRule="exact" w:before="0"/>
              <w:ind w:left="113"/>
              <w:rPr>
                <w:sz w:val="22"/>
              </w:rPr>
            </w:pPr>
            <w:r>
              <w:rPr>
                <w:sz w:val="22"/>
              </w:rPr>
              <w:t>{1,2,3,…} that is the same size as </w:t>
            </w:r>
            <w:r>
              <w:rPr>
                <w:rFonts w:ascii="Times New Roman" w:hAnsi="Times New Roman"/>
                <w:i/>
                <w:sz w:val="22"/>
              </w:rPr>
              <w:t>known-ys</w:t>
            </w:r>
            <w:r>
              <w:rPr>
                <w:sz w:val="22"/>
              </w:rPr>
              <w:t>.</w:t>
            </w:r>
          </w:p>
        </w:tc>
      </w:tr>
      <w:tr>
        <w:trPr>
          <w:trHeight w:val="2769" w:hRule="atLeast"/>
        </w:trPr>
        <w:tc>
          <w:tcPr>
            <w:tcW w:w="1466" w:type="dxa"/>
            <w:tcBorders>
              <w:top w:val="single" w:sz="6" w:space="0" w:color="000000"/>
            </w:tcBorders>
          </w:tcPr>
          <w:p>
            <w:pPr>
              <w:pStyle w:val="TableParagraph"/>
              <w:spacing w:before="34"/>
              <w:rPr>
                <w:rFonts w:ascii="Times New Roman"/>
                <w:i/>
                <w:sz w:val="22"/>
              </w:rPr>
            </w:pPr>
            <w:r>
              <w:rPr>
                <w:rFonts w:ascii="Times New Roman"/>
                <w:i/>
                <w:sz w:val="22"/>
              </w:rPr>
              <w:t>new-xs</w:t>
            </w:r>
          </w:p>
        </w:tc>
        <w:tc>
          <w:tcPr>
            <w:tcW w:w="1800" w:type="dxa"/>
            <w:tcBorders>
              <w:top w:val="single" w:sz="6" w:space="0" w:color="000000"/>
            </w:tcBorders>
          </w:tcPr>
          <w:p>
            <w:pPr>
              <w:pStyle w:val="TableParagraph"/>
              <w:spacing w:before="37"/>
              <w:ind w:left="112"/>
              <w:rPr>
                <w:sz w:val="22"/>
              </w:rPr>
            </w:pPr>
            <w:r>
              <w:rPr>
                <w:sz w:val="22"/>
              </w:rPr>
              <w:t>array</w:t>
            </w:r>
          </w:p>
        </w:tc>
        <w:tc>
          <w:tcPr>
            <w:tcW w:w="5400" w:type="dxa"/>
            <w:tcBorders>
              <w:top w:val="single" w:sz="6" w:space="0" w:color="000000"/>
            </w:tcBorders>
          </w:tcPr>
          <w:p>
            <w:pPr>
              <w:pStyle w:val="TableParagraph"/>
              <w:spacing w:before="37"/>
              <w:ind w:left="113" w:right="155"/>
              <w:rPr>
                <w:sz w:val="22"/>
              </w:rPr>
            </w:pPr>
            <w:r>
              <w:rPr>
                <w:sz w:val="22"/>
              </w:rPr>
              <w:t>New x-values for which </w:t>
            </w:r>
            <w:r>
              <w:rPr>
                <w:rFonts w:ascii="Consolas"/>
                <w:sz w:val="22"/>
              </w:rPr>
              <w:t>TREND</w:t>
            </w:r>
            <w:r>
              <w:rPr>
                <w:rFonts w:ascii="Consolas"/>
                <w:spacing w:val="-82"/>
                <w:sz w:val="22"/>
              </w:rPr>
              <w:t> </w:t>
            </w:r>
            <w:r>
              <w:rPr>
                <w:sz w:val="22"/>
              </w:rPr>
              <w:t>is to return corresponding y-values. </w:t>
            </w:r>
            <w:r>
              <w:rPr>
                <w:rFonts w:ascii="Times New Roman"/>
                <w:i/>
                <w:sz w:val="22"/>
              </w:rPr>
              <w:t>new-xs </w:t>
            </w:r>
            <w:r>
              <w:rPr>
                <w:sz w:val="22"/>
              </w:rPr>
              <w:t>shall include a column (or row) for each independent variable, just as </w:t>
            </w:r>
            <w:r>
              <w:rPr>
                <w:rFonts w:ascii="Times New Roman"/>
                <w:i/>
                <w:sz w:val="22"/>
              </w:rPr>
              <w:t>known-xs </w:t>
            </w:r>
            <w:r>
              <w:rPr>
                <w:sz w:val="22"/>
              </w:rPr>
              <w:t>does. So, if</w:t>
            </w:r>
          </w:p>
          <w:p>
            <w:pPr>
              <w:pStyle w:val="TableParagraph"/>
              <w:spacing w:before="0"/>
              <w:ind w:left="113" w:right="126"/>
              <w:rPr>
                <w:sz w:val="22"/>
              </w:rPr>
            </w:pPr>
            <w:r>
              <w:rPr>
                <w:rFonts w:ascii="Times New Roman" w:hAnsi="Times New Roman"/>
                <w:i/>
                <w:sz w:val="22"/>
              </w:rPr>
              <w:t>known-ys </w:t>
            </w:r>
            <w:r>
              <w:rPr>
                <w:sz w:val="22"/>
              </w:rPr>
              <w:t>is in a single column, </w:t>
            </w:r>
            <w:r>
              <w:rPr>
                <w:rFonts w:ascii="Times New Roman" w:hAnsi="Times New Roman"/>
                <w:i/>
                <w:sz w:val="22"/>
              </w:rPr>
              <w:t>known-xs </w:t>
            </w:r>
            <w:r>
              <w:rPr>
                <w:sz w:val="22"/>
              </w:rPr>
              <w:t>and </w:t>
            </w:r>
            <w:r>
              <w:rPr>
                <w:rFonts w:ascii="Times New Roman" w:hAnsi="Times New Roman"/>
                <w:i/>
                <w:sz w:val="22"/>
              </w:rPr>
              <w:t>new-xs </w:t>
            </w:r>
            <w:r>
              <w:rPr>
                <w:sz w:val="22"/>
              </w:rPr>
              <w:t>shall have the same number of columns. If </w:t>
            </w:r>
            <w:r>
              <w:rPr>
                <w:rFonts w:ascii="Times New Roman" w:hAnsi="Times New Roman"/>
                <w:i/>
                <w:sz w:val="22"/>
              </w:rPr>
              <w:t>known-ys </w:t>
            </w:r>
            <w:r>
              <w:rPr>
                <w:sz w:val="22"/>
              </w:rPr>
              <w:t>is in a single row, </w:t>
            </w:r>
            <w:r>
              <w:rPr>
                <w:rFonts w:ascii="Times New Roman" w:hAnsi="Times New Roman"/>
                <w:i/>
                <w:sz w:val="22"/>
              </w:rPr>
              <w:t>known-xs </w:t>
            </w:r>
            <w:r>
              <w:rPr>
                <w:sz w:val="22"/>
              </w:rPr>
              <w:t>and </w:t>
            </w:r>
            <w:r>
              <w:rPr>
                <w:rFonts w:ascii="Times New Roman" w:hAnsi="Times New Roman"/>
                <w:i/>
                <w:sz w:val="22"/>
              </w:rPr>
              <w:t>new-xs </w:t>
            </w:r>
            <w:r>
              <w:rPr>
                <w:sz w:val="22"/>
              </w:rPr>
              <w:t>shall have the same number of rows. If </w:t>
            </w:r>
            <w:r>
              <w:rPr>
                <w:rFonts w:ascii="Times New Roman" w:hAnsi="Times New Roman"/>
                <w:i/>
                <w:sz w:val="22"/>
              </w:rPr>
              <w:t>new-xs </w:t>
            </w:r>
            <w:r>
              <w:rPr>
                <w:sz w:val="22"/>
              </w:rPr>
              <w:t>is omitted, it is assumed to be the same as </w:t>
            </w:r>
            <w:r>
              <w:rPr>
                <w:rFonts w:ascii="Times New Roman" w:hAnsi="Times New Roman"/>
                <w:i/>
                <w:sz w:val="22"/>
              </w:rPr>
              <w:t>known-xs</w:t>
            </w:r>
            <w:r>
              <w:rPr>
                <w:sz w:val="22"/>
              </w:rPr>
              <w:t>. If both </w:t>
            </w:r>
            <w:r>
              <w:rPr>
                <w:rFonts w:ascii="Times New Roman" w:hAnsi="Times New Roman"/>
                <w:i/>
                <w:sz w:val="22"/>
              </w:rPr>
              <w:t>known-xs </w:t>
            </w:r>
            <w:r>
              <w:rPr>
                <w:sz w:val="22"/>
              </w:rPr>
              <w:t>and </w:t>
            </w:r>
            <w:r>
              <w:rPr>
                <w:rFonts w:ascii="Times New Roman" w:hAnsi="Times New Roman"/>
                <w:i/>
                <w:sz w:val="22"/>
              </w:rPr>
              <w:t>new-xs </w:t>
            </w:r>
            <w:r>
              <w:rPr>
                <w:sz w:val="22"/>
              </w:rPr>
              <w:t>are omitted, they are assumed to be the array {1,2,3,…} that is the same size as </w:t>
            </w:r>
            <w:r>
              <w:rPr>
                <w:rFonts w:ascii="Times New Roman" w:hAnsi="Times New Roman"/>
                <w:i/>
                <w:sz w:val="22"/>
              </w:rPr>
              <w:t>known-ys</w:t>
            </w:r>
            <w:r>
              <w:rPr>
                <w:sz w:val="22"/>
              </w:rPr>
              <w:t>.</w:t>
            </w:r>
          </w:p>
        </w:tc>
      </w:tr>
      <w:tr>
        <w:trPr>
          <w:trHeight w:val="1159" w:hRule="atLeast"/>
        </w:trPr>
        <w:tc>
          <w:tcPr>
            <w:tcW w:w="1466" w:type="dxa"/>
          </w:tcPr>
          <w:p>
            <w:pPr>
              <w:pStyle w:val="TableParagraph"/>
              <w:spacing w:before="37"/>
              <w:rPr>
                <w:rFonts w:ascii="Times New Roman"/>
                <w:i/>
                <w:sz w:val="22"/>
              </w:rPr>
            </w:pPr>
            <w:r>
              <w:rPr>
                <w:rFonts w:ascii="Times New Roman"/>
                <w:i/>
                <w:sz w:val="22"/>
              </w:rPr>
              <w:t>const-flag</w:t>
            </w:r>
          </w:p>
        </w:tc>
        <w:tc>
          <w:tcPr>
            <w:tcW w:w="1800" w:type="dxa"/>
          </w:tcPr>
          <w:p>
            <w:pPr>
              <w:pStyle w:val="TableParagraph"/>
              <w:ind w:left="112"/>
              <w:rPr>
                <w:sz w:val="22"/>
              </w:rPr>
            </w:pPr>
            <w:r>
              <w:rPr>
                <w:sz w:val="22"/>
              </w:rPr>
              <w:t>logical</w:t>
            </w:r>
          </w:p>
        </w:tc>
        <w:tc>
          <w:tcPr>
            <w:tcW w:w="5400" w:type="dxa"/>
          </w:tcPr>
          <w:p>
            <w:pPr>
              <w:pStyle w:val="TableParagraph"/>
              <w:ind w:left="113" w:right="248"/>
              <w:rPr>
                <w:sz w:val="22"/>
              </w:rPr>
            </w:pPr>
            <w:r>
              <w:rPr>
                <w:sz w:val="22"/>
              </w:rPr>
              <w:t>Specifies whether to force the constant b to equal 0. If </w:t>
            </w:r>
            <w:r>
              <w:rPr>
                <w:rFonts w:ascii="Consolas"/>
                <w:sz w:val="22"/>
              </w:rPr>
              <w:t>TRUE</w:t>
            </w:r>
            <w:r>
              <w:rPr>
                <w:rFonts w:ascii="Consolas"/>
                <w:spacing w:val="-99"/>
                <w:sz w:val="22"/>
              </w:rPr>
              <w:t> </w:t>
            </w:r>
            <w:r>
              <w:rPr>
                <w:sz w:val="22"/>
              </w:rPr>
              <w:t>or omitted, </w:t>
            </w:r>
            <w:r>
              <w:rPr>
                <w:rFonts w:ascii="Times New Roman"/>
                <w:i/>
                <w:sz w:val="22"/>
              </w:rPr>
              <w:t>b </w:t>
            </w:r>
            <w:r>
              <w:rPr>
                <w:sz w:val="22"/>
              </w:rPr>
              <w:t>is calculated normally. If </w:t>
            </w:r>
            <w:r>
              <w:rPr>
                <w:rFonts w:ascii="Consolas"/>
                <w:sz w:val="22"/>
              </w:rPr>
              <w:t>FALSE</w:t>
            </w:r>
            <w:r>
              <w:rPr>
                <w:sz w:val="22"/>
              </w:rPr>
              <w:t>, </w:t>
            </w:r>
            <w:r>
              <w:rPr>
                <w:rFonts w:ascii="Times New Roman"/>
                <w:i/>
                <w:sz w:val="22"/>
              </w:rPr>
              <w:t>b </w:t>
            </w:r>
            <w:r>
              <w:rPr>
                <w:sz w:val="22"/>
              </w:rPr>
              <w:t>is set equal to 0 and the m-values are adjusted so that </w:t>
            </w:r>
            <w:r>
              <w:rPr>
                <w:i/>
                <w:sz w:val="22"/>
              </w:rPr>
              <w:t>y=mx</w:t>
            </w:r>
            <w:r>
              <w:rPr>
                <w:sz w:val="22"/>
              </w:rPr>
              <w:t>.</w:t>
            </w:r>
          </w:p>
        </w:tc>
      </w:tr>
    </w:tbl>
    <w:p>
      <w:pPr>
        <w:pStyle w:val="BodyText"/>
        <w:rPr>
          <w:b/>
          <w:sz w:val="20"/>
        </w:rPr>
      </w:pPr>
    </w:p>
    <w:p>
      <w:pPr>
        <w:pStyle w:val="BodyText"/>
        <w:rPr>
          <w:b/>
          <w:sz w:val="17"/>
        </w:rPr>
      </w:pPr>
    </w:p>
    <w:p>
      <w:pPr>
        <w:spacing w:before="56"/>
        <w:ind w:left="220" w:right="0" w:firstLine="0"/>
        <w:jc w:val="left"/>
        <w:rPr>
          <w:sz w:val="22"/>
        </w:rPr>
      </w:pPr>
      <w:r>
        <w:rPr>
          <w:b/>
          <w:sz w:val="22"/>
        </w:rPr>
        <w:t>Return Type and Value: </w:t>
      </w:r>
      <w:r>
        <w:rPr>
          <w:sz w:val="22"/>
        </w:rPr>
        <w:t>array – The values along a linear trend, as an array of numbers.</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29 TRIM" w:id="2379"/>
      <w:bookmarkEnd w:id="2379"/>
      <w:r>
        <w:rPr/>
      </w:r>
      <w:bookmarkStart w:name="_bookmark792" w:id="2380"/>
      <w:bookmarkEnd w:id="2380"/>
      <w:r>
        <w:rPr/>
      </w:r>
      <w:bookmarkStart w:name="_bookmark792" w:id="2381"/>
      <w:bookmarkEnd w:id="2381"/>
      <w:r>
        <w:rPr>
          <w:color w:val="4F81BC"/>
        </w:rPr>
        <w:t>T</w:t>
      </w:r>
      <w:r>
        <w:rPr>
          <w:color w:val="4F81BC"/>
        </w:rPr>
        <w:t>RIM</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TRIM ( </w:t>
      </w:r>
      <w:r>
        <w:rPr>
          <w:i/>
          <w:sz w:val="22"/>
        </w:rPr>
        <w:t>string </w:t>
      </w:r>
      <w:r>
        <w:rPr>
          <w:rFonts w:ascii="Lucida Console"/>
          <w:sz w:val="20"/>
        </w:rPr>
        <w:t>)</w:t>
      </w:r>
    </w:p>
    <w:p>
      <w:pPr>
        <w:pStyle w:val="BodyText"/>
        <w:spacing w:line="276" w:lineRule="auto" w:before="106"/>
        <w:ind w:left="220" w:right="442"/>
      </w:pPr>
      <w:r>
        <w:rPr>
          <w:b/>
        </w:rPr>
        <w:t>Description: </w:t>
      </w:r>
      <w:r>
        <w:rPr/>
        <w:t>Makes a string that is a copy of </w:t>
      </w:r>
      <w:r>
        <w:rPr>
          <w:rFonts w:ascii="Times New Roman"/>
          <w:i/>
        </w:rPr>
        <w:t>string </w:t>
      </w:r>
      <w:r>
        <w:rPr/>
        <w:t>with the leading and trailing space characters removed, and each sequence of embedded spaces reduced to a single space. The space character referred to here is character </w:t>
      </w:r>
      <w:r>
        <w:rPr>
          <w:rFonts w:ascii="Consolas"/>
        </w:rPr>
        <w:t>U+0020</w:t>
      </w:r>
      <w:r>
        <w:rPr/>
        <w:t>.</w:t>
      </w:r>
    </w:p>
    <w:p>
      <w:pPr>
        <w:pStyle w:val="BodyText"/>
        <w:spacing w:before="6"/>
        <w:rPr>
          <w:sz w:val="16"/>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the string to be trimmed.</w:t>
            </w:r>
          </w:p>
        </w:tc>
      </w:tr>
    </w:tbl>
    <w:p>
      <w:pPr>
        <w:spacing w:after="0"/>
        <w:rPr>
          <w:sz w:val="22"/>
        </w:rPr>
        <w:sectPr>
          <w:footerReference w:type="even" r:id="rId276"/>
          <w:footerReference w:type="default" r:id="rId277"/>
          <w:pgSz w:w="12240" w:h="15840"/>
          <w:pgMar w:footer="746" w:header="761" w:top="1340" w:bottom="940" w:left="860" w:right="700"/>
          <w:pgNumType w:start="2400"/>
        </w:sectPr>
      </w:pPr>
    </w:p>
    <w:p>
      <w:pPr>
        <w:spacing w:line="453" w:lineRule="auto" w:before="150"/>
        <w:ind w:left="220" w:right="5200" w:firstLine="0"/>
        <w:jc w:val="left"/>
        <w:rPr>
          <w:sz w:val="22"/>
        </w:rPr>
      </w:pPr>
      <w:r>
        <w:rPr>
          <w:b/>
          <w:sz w:val="22"/>
        </w:rPr>
        <w:t>Return Type and Value: </w:t>
      </w:r>
      <w:r>
        <w:rPr>
          <w:sz w:val="22"/>
        </w:rPr>
        <w:t>text – The trimmed copy of </w:t>
      </w:r>
      <w:r>
        <w:rPr>
          <w:rFonts w:ascii="Times New Roman" w:hAnsi="Times New Roman"/>
          <w:i/>
          <w:sz w:val="22"/>
        </w:rPr>
        <w:t>string</w:t>
      </w:r>
      <w:r>
        <w:rPr>
          <w:sz w:val="22"/>
        </w:rPr>
        <w:t>. [</w:t>
      </w:r>
      <w:r>
        <w:rPr>
          <w:i/>
          <w:sz w:val="22"/>
        </w:rPr>
        <w:t>Example</w:t>
      </w:r>
      <w:r>
        <w:rPr>
          <w:sz w:val="22"/>
        </w:rPr>
        <w:t>:</w:t>
      </w:r>
    </w:p>
    <w:p>
      <w:pPr>
        <w:pStyle w:val="BodyText"/>
        <w:tabs>
          <w:tab w:pos="1427" w:val="left" w:leader="none"/>
          <w:tab w:pos="2153" w:val="left" w:leader="none"/>
          <w:tab w:pos="2757" w:val="left" w:leader="none"/>
        </w:tabs>
        <w:spacing w:before="109"/>
        <w:ind w:left="220"/>
        <w:rPr>
          <w:rFonts w:ascii="Consolas"/>
        </w:rPr>
      </w:pPr>
      <w:r>
        <w:rPr>
          <w:rFonts w:ascii="Consolas"/>
        </w:rPr>
        <w:t>TRIM("</w:t>
        <w:tab/>
        <w:t>abc</w:t>
        <w:tab/>
        <w:t>def</w:t>
        <w:tab/>
        <w:t>") </w:t>
      </w:r>
      <w:r>
        <w:rPr/>
        <w:t>results in </w:t>
      </w:r>
      <w:r>
        <w:rPr>
          <w:rFonts w:ascii="Consolas"/>
        </w:rPr>
        <w:t>abc</w:t>
      </w:r>
      <w:r>
        <w:rPr>
          <w:rFonts w:ascii="Consolas"/>
          <w:spacing w:val="-69"/>
        </w:rPr>
        <w:t> </w:t>
      </w:r>
      <w:r>
        <w:rPr>
          <w:rFonts w:ascii="Consolas"/>
        </w:rPr>
        <w:t>def</w:t>
      </w:r>
    </w:p>
    <w:p>
      <w:pPr>
        <w:pStyle w:val="BodyText"/>
        <w:spacing w:before="1"/>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0 TRIMMEAN" w:id="2382"/>
      <w:bookmarkEnd w:id="2382"/>
      <w:r>
        <w:rPr/>
      </w:r>
      <w:bookmarkStart w:name="_bookmark793" w:id="2383"/>
      <w:bookmarkEnd w:id="2383"/>
      <w:r>
        <w:rPr/>
      </w:r>
      <w:bookmarkStart w:name="_bookmark793" w:id="2384"/>
      <w:bookmarkEnd w:id="2384"/>
      <w:r>
        <w:rPr>
          <w:color w:val="4F81BC"/>
        </w:rPr>
        <w:t>T</w:t>
      </w:r>
      <w:r>
        <w:rPr>
          <w:color w:val="4F81BC"/>
        </w:rPr>
        <w:t>RIMMEA</w:t>
      </w:r>
      <w:bookmarkStart w:name="_bookmark794" w:id="2385"/>
      <w:bookmarkEnd w:id="2385"/>
      <w:r>
        <w:rPr>
          <w:color w:val="4F81BC"/>
        </w:rPr>
        <w:t>N</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TRIMMEAN ( </w:t>
      </w:r>
      <w:r>
        <w:rPr>
          <w:i/>
          <w:sz w:val="22"/>
        </w:rPr>
        <w:t>array </w:t>
      </w:r>
      <w:r>
        <w:rPr>
          <w:rFonts w:ascii="Lucida Console"/>
          <w:sz w:val="20"/>
        </w:rPr>
        <w:t>, </w:t>
      </w:r>
      <w:r>
        <w:rPr>
          <w:i/>
          <w:sz w:val="22"/>
        </w:rPr>
        <w:t>percent </w:t>
      </w:r>
      <w:r>
        <w:rPr>
          <w:rFonts w:ascii="Lucida Console"/>
          <w:sz w:val="20"/>
        </w:rPr>
        <w:t>)</w:t>
      </w:r>
    </w:p>
    <w:p>
      <w:pPr>
        <w:pStyle w:val="BodyText"/>
        <w:spacing w:line="276" w:lineRule="auto" w:before="106"/>
        <w:ind w:left="220" w:right="508"/>
      </w:pPr>
      <w:r>
        <w:rPr>
          <w:b/>
        </w:rPr>
        <w:t>Description: </w:t>
      </w:r>
      <w:r>
        <w:rPr/>
        <w:t>Computes the mean of the interior of a data set by excluding a percentage of data points from the top and bottom tails of a data set. </w:t>
      </w:r>
      <w:r>
        <w:rPr>
          <w:rFonts w:ascii="Consolas"/>
        </w:rPr>
        <w:t>TRIMMEAN </w:t>
      </w:r>
      <w:r>
        <w:rPr/>
        <w:t>rounds the number of excluded data points down to the nearest multiple of 2. For symmetry, </w:t>
      </w:r>
      <w:r>
        <w:rPr>
          <w:rFonts w:ascii="Consolas"/>
        </w:rPr>
        <w:t>TRIMMEAN </w:t>
      </w:r>
      <w:r>
        <w:rPr/>
        <w:t>excludes the same number of data points from the top and bottom of the data set.</w:t>
      </w:r>
    </w:p>
    <w:p>
      <w:pPr>
        <w:pStyle w:val="BodyText"/>
        <w:spacing w:before="7"/>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The numeric values to trim and average.</w:t>
            </w:r>
          </w:p>
        </w:tc>
      </w:tr>
      <w:tr>
        <w:trPr>
          <w:trHeight w:val="1161" w:hRule="atLeast"/>
        </w:trPr>
        <w:tc>
          <w:tcPr>
            <w:tcW w:w="1466" w:type="dxa"/>
          </w:tcPr>
          <w:p>
            <w:pPr>
              <w:pStyle w:val="TableParagraph"/>
              <w:spacing w:before="37"/>
              <w:rPr>
                <w:rFonts w:ascii="Times New Roman"/>
                <w:i/>
                <w:sz w:val="22"/>
              </w:rPr>
            </w:pPr>
            <w:r>
              <w:rPr>
                <w:rFonts w:ascii="Times New Roman"/>
                <w:i/>
                <w:sz w:val="22"/>
              </w:rPr>
              <w:t>percent</w:t>
            </w:r>
          </w:p>
        </w:tc>
        <w:tc>
          <w:tcPr>
            <w:tcW w:w="1800" w:type="dxa"/>
          </w:tcPr>
          <w:p>
            <w:pPr>
              <w:pStyle w:val="TableParagraph"/>
              <w:ind w:left="112"/>
              <w:rPr>
                <w:sz w:val="22"/>
              </w:rPr>
            </w:pPr>
            <w:r>
              <w:rPr>
                <w:sz w:val="22"/>
              </w:rPr>
              <w:t>number</w:t>
            </w:r>
          </w:p>
        </w:tc>
        <w:tc>
          <w:tcPr>
            <w:tcW w:w="5400" w:type="dxa"/>
          </w:tcPr>
          <w:p>
            <w:pPr>
              <w:pStyle w:val="TableParagraph"/>
              <w:ind w:left="113" w:right="123"/>
              <w:rPr>
                <w:sz w:val="22"/>
              </w:rPr>
            </w:pPr>
            <w:r>
              <w:rPr>
                <w:sz w:val="22"/>
              </w:rPr>
              <w:t>The fractional number of data points to exclude from the calculation. [</w:t>
            </w:r>
            <w:r>
              <w:rPr>
                <w:i/>
                <w:sz w:val="22"/>
              </w:rPr>
              <w:t>Example</w:t>
            </w:r>
            <w:r>
              <w:rPr>
                <w:sz w:val="22"/>
              </w:rPr>
              <w:t>: If </w:t>
            </w:r>
            <w:r>
              <w:rPr>
                <w:rFonts w:ascii="Times New Roman"/>
                <w:i/>
                <w:sz w:val="22"/>
              </w:rPr>
              <w:t>percent </w:t>
            </w:r>
            <w:r>
              <w:rPr>
                <w:sz w:val="22"/>
              </w:rPr>
              <w:t>= 0.2, 4 points are trimmed from a data set of 20 points (20x0.2): 2 from the top and 2 from the bottom of the set. </w:t>
            </w:r>
            <w:r>
              <w:rPr>
                <w:i/>
                <w:sz w:val="22"/>
              </w:rPr>
              <w:t>end example</w:t>
            </w:r>
            <w:r>
              <w:rPr>
                <w:sz w:val="22"/>
              </w:rPr>
              <w:t>]</w:t>
            </w:r>
          </w:p>
        </w:tc>
      </w:tr>
    </w:tbl>
    <w:p>
      <w:pPr>
        <w:pStyle w:val="BodyText"/>
        <w:rPr>
          <w:b/>
        </w:rPr>
      </w:pPr>
    </w:p>
    <w:p>
      <w:pPr>
        <w:pStyle w:val="BodyText"/>
        <w:spacing w:before="7"/>
        <w:rPr>
          <w:b/>
          <w:sz w:val="19"/>
        </w:rPr>
      </w:pPr>
    </w:p>
    <w:p>
      <w:pPr>
        <w:spacing w:line="453" w:lineRule="auto" w:before="0"/>
        <w:ind w:left="220" w:right="3928" w:firstLine="0"/>
        <w:jc w:val="left"/>
        <w:rPr>
          <w:sz w:val="22"/>
        </w:rPr>
      </w:pPr>
      <w:r>
        <w:rPr>
          <w:b/>
          <w:sz w:val="22"/>
        </w:rPr>
        <w:t>Return Type and Value: </w:t>
      </w:r>
      <w:r>
        <w:rPr>
          <w:sz w:val="22"/>
        </w:rPr>
        <w:t>number – The mean of the interior of a data set. However, if </w:t>
      </w:r>
      <w:r>
        <w:rPr>
          <w:rFonts w:ascii="Times New Roman" w:hAnsi="Times New Roman"/>
          <w:i/>
          <w:sz w:val="22"/>
        </w:rPr>
        <w:t>percent </w:t>
      </w:r>
      <w:r>
        <w:rPr>
          <w:sz w:val="22"/>
        </w:rPr>
        <w:t>&lt; 0 or </w:t>
      </w:r>
      <w:r>
        <w:rPr>
          <w:rFonts w:ascii="Times New Roman" w:hAnsi="Times New Roman"/>
          <w:i/>
          <w:sz w:val="22"/>
        </w:rPr>
        <w:t>percent </w:t>
      </w:r>
      <w:r>
        <w:rPr>
          <w:sz w:val="22"/>
        </w:rPr>
        <w:t>≥ 1, </w:t>
      </w:r>
      <w:r>
        <w:rPr>
          <w:rFonts w:ascii="Consolas" w:hAnsi="Consolas"/>
          <w:sz w:val="22"/>
        </w:rPr>
        <w:t>#NUM! </w:t>
      </w:r>
      <w:r>
        <w:rPr>
          <w:sz w:val="22"/>
        </w:rPr>
        <w:t>is returned.</w:t>
      </w:r>
    </w:p>
    <w:p>
      <w:pPr>
        <w:spacing w:before="0"/>
        <w:ind w:left="220" w:right="0" w:firstLine="0"/>
        <w:jc w:val="left"/>
        <w:rPr>
          <w:sz w:val="22"/>
        </w:rPr>
      </w:pPr>
      <w:r>
        <w:rPr>
          <w:sz w:val="22"/>
        </w:rPr>
        <w:t>[</w:t>
      </w:r>
      <w:r>
        <w:rPr>
          <w:i/>
          <w:sz w:val="22"/>
        </w:rPr>
        <w:t>Example</w:t>
      </w:r>
      <w:r>
        <w:rPr>
          <w:sz w:val="22"/>
        </w:rPr>
        <w:t>:</w:t>
      </w:r>
    </w:p>
    <w:p>
      <w:pPr>
        <w:pStyle w:val="BodyText"/>
        <w:spacing w:before="7"/>
        <w:rPr>
          <w:sz w:val="28"/>
        </w:rPr>
      </w:pPr>
    </w:p>
    <w:p>
      <w:pPr>
        <w:pStyle w:val="BodyText"/>
        <w:ind w:left="220"/>
        <w:rPr>
          <w:rFonts w:ascii="Consolas"/>
        </w:rPr>
      </w:pPr>
      <w:r>
        <w:rPr>
          <w:rFonts w:ascii="Consolas"/>
        </w:rPr>
        <w:t>TRIMMEAN({4,6,2,5,7,8,9},0.2)</w:t>
      </w:r>
      <w:r>
        <w:rPr>
          <w:rFonts w:ascii="Consolas"/>
          <w:spacing w:val="-70"/>
        </w:rPr>
        <w:t> </w:t>
      </w:r>
      <w:r>
        <w:rPr/>
        <w:t>results in </w:t>
      </w:r>
      <w:r>
        <w:rPr>
          <w:rFonts w:ascii="Consolas"/>
        </w:rPr>
        <w:t>5.857142857</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1 TRUE" w:id="2386"/>
      <w:bookmarkEnd w:id="2386"/>
      <w:r>
        <w:rPr/>
      </w:r>
      <w:bookmarkStart w:name="_bookmark795" w:id="2387"/>
      <w:bookmarkEnd w:id="2387"/>
      <w:r>
        <w:rPr/>
      </w:r>
      <w:bookmarkStart w:name="_bookmark795" w:id="2388"/>
      <w:bookmarkEnd w:id="2388"/>
      <w:r>
        <w:rPr>
          <w:color w:val="4F81BC"/>
        </w:rPr>
        <w:t>T</w:t>
      </w:r>
      <w:r>
        <w:rPr>
          <w:color w:val="4F81BC"/>
        </w:rPr>
        <w:t>RUE</w:t>
      </w:r>
    </w:p>
    <w:p>
      <w:pPr>
        <w:pStyle w:val="Heading4"/>
        <w:spacing w:before="124"/>
        <w:rPr>
          <w:b w:val="0"/>
        </w:rPr>
      </w:pPr>
      <w:r>
        <w:rPr/>
        <w:t>Syntax</w:t>
      </w:r>
      <w:r>
        <w:rPr>
          <w:b w:val="0"/>
        </w:rPr>
        <w:t>:</w:t>
      </w:r>
    </w:p>
    <w:p>
      <w:pPr>
        <w:pStyle w:val="BodyText"/>
        <w:spacing w:before="4"/>
        <w:rPr>
          <w:sz w:val="23"/>
        </w:rPr>
      </w:pPr>
    </w:p>
    <w:p>
      <w:pPr>
        <w:spacing w:before="0"/>
        <w:ind w:left="940" w:right="0" w:firstLine="0"/>
        <w:jc w:val="left"/>
        <w:rPr>
          <w:rFonts w:ascii="Lucida Console"/>
          <w:sz w:val="20"/>
        </w:rPr>
      </w:pPr>
      <w:r>
        <w:rPr>
          <w:rFonts w:ascii="Lucida Console"/>
          <w:sz w:val="20"/>
        </w:rPr>
        <w:t>TRUE (</w:t>
      </w:r>
      <w:r>
        <w:rPr>
          <w:rFonts w:ascii="Lucida Console"/>
          <w:spacing w:val="-92"/>
          <w:sz w:val="20"/>
        </w:rPr>
        <w:t> </w:t>
      </w:r>
      <w:r>
        <w:rPr>
          <w:rFonts w:ascii="Lucida Console"/>
          <w:sz w:val="20"/>
        </w:rPr>
        <w:t>)</w:t>
      </w:r>
    </w:p>
    <w:p>
      <w:pPr>
        <w:spacing w:before="123"/>
        <w:ind w:left="220" w:right="0" w:firstLine="0"/>
        <w:jc w:val="left"/>
        <w:rPr>
          <w:rFonts w:ascii="Times New Roman"/>
          <w:i/>
          <w:sz w:val="22"/>
        </w:rPr>
      </w:pPr>
      <w:r>
        <w:rPr>
          <w:b/>
          <w:sz w:val="22"/>
        </w:rPr>
        <w:t>Description: </w:t>
      </w:r>
      <w:r>
        <w:rPr>
          <w:sz w:val="22"/>
        </w:rPr>
        <w:t>Computes the value </w:t>
      </w:r>
      <w:r>
        <w:rPr>
          <w:rFonts w:ascii="Consolas"/>
          <w:sz w:val="22"/>
        </w:rPr>
        <w:t>TRUE</w:t>
      </w:r>
      <w:r>
        <w:rPr>
          <w:sz w:val="22"/>
        </w:rPr>
        <w:t>. (A call to function </w:t>
      </w:r>
      <w:r>
        <w:rPr>
          <w:rFonts w:ascii="Consolas"/>
          <w:sz w:val="22"/>
        </w:rPr>
        <w:t>TRUE</w:t>
      </w:r>
      <w:r>
        <w:rPr>
          <w:rFonts w:ascii="Consolas"/>
          <w:spacing w:val="-96"/>
          <w:sz w:val="22"/>
        </w:rPr>
        <w:t> </w:t>
      </w:r>
      <w:r>
        <w:rPr>
          <w:sz w:val="22"/>
        </w:rPr>
        <w:t>is equivalent to using the </w:t>
      </w:r>
      <w:r>
        <w:rPr>
          <w:rFonts w:ascii="Times New Roman"/>
          <w:i/>
          <w:sz w:val="22"/>
        </w:rPr>
        <w:t>logical-constant</w:t>
      </w:r>
    </w:p>
    <w:p>
      <w:pPr>
        <w:pStyle w:val="BodyText"/>
        <w:spacing w:before="41"/>
        <w:ind w:left="220"/>
      </w:pPr>
      <w:r>
        <w:rPr>
          <w:rFonts w:ascii="Consolas"/>
        </w:rPr>
        <w:t>TRUE</w:t>
      </w:r>
      <w:r>
        <w:rPr/>
        <w:t>.)</w:t>
      </w:r>
    </w:p>
    <w:p>
      <w:pPr>
        <w:spacing w:after="0"/>
        <w:sectPr>
          <w:pgSz w:w="12240" w:h="15840"/>
          <w:pgMar w:header="763" w:footer="746" w:top="1340" w:bottom="940" w:left="860" w:right="700"/>
        </w:sectPr>
      </w:pPr>
    </w:p>
    <w:p>
      <w:pPr>
        <w:spacing w:before="93"/>
        <w:ind w:left="220" w:right="0" w:firstLine="0"/>
        <w:jc w:val="left"/>
        <w:rPr>
          <w:sz w:val="22"/>
        </w:rPr>
      </w:pPr>
      <w:r>
        <w:rPr>
          <w:b/>
          <w:sz w:val="22"/>
        </w:rPr>
        <w:t>Arguments: </w:t>
      </w:r>
      <w:r>
        <w:rPr>
          <w:sz w:val="22"/>
        </w:rPr>
        <w:t>None.</w:t>
      </w:r>
    </w:p>
    <w:p>
      <w:pPr>
        <w:pStyle w:val="BodyText"/>
        <w:spacing w:before="8"/>
        <w:rPr>
          <w:sz w:val="19"/>
        </w:rPr>
      </w:pPr>
    </w:p>
    <w:p>
      <w:pPr>
        <w:spacing w:line="453" w:lineRule="auto" w:before="0"/>
        <w:ind w:left="220" w:right="6017" w:firstLine="0"/>
        <w:jc w:val="left"/>
        <w:rPr>
          <w:sz w:val="22"/>
        </w:rPr>
      </w:pPr>
      <w:r>
        <w:rPr>
          <w:b/>
          <w:sz w:val="22"/>
        </w:rPr>
        <w:t>Return Type and Value: </w:t>
      </w:r>
      <w:r>
        <w:rPr>
          <w:sz w:val="22"/>
        </w:rPr>
        <w:t>logical – The value </w:t>
      </w:r>
      <w:r>
        <w:rPr>
          <w:rFonts w:ascii="Consolas" w:hAnsi="Consolas"/>
          <w:sz w:val="22"/>
        </w:rPr>
        <w:t>TRUE</w:t>
      </w:r>
      <w:r>
        <w:rPr>
          <w:sz w:val="22"/>
        </w:rPr>
        <w:t>. [</w:t>
      </w:r>
      <w:r>
        <w:rPr>
          <w:i/>
          <w:sz w:val="22"/>
        </w:rPr>
        <w:t>Example</w:t>
      </w:r>
      <w:r>
        <w:rPr>
          <w:sz w:val="22"/>
        </w:rPr>
        <w:t>:</w:t>
      </w:r>
    </w:p>
    <w:p>
      <w:pPr>
        <w:pStyle w:val="BodyText"/>
        <w:spacing w:before="108"/>
        <w:ind w:left="220"/>
        <w:rPr>
          <w:rFonts w:ascii="Consolas"/>
        </w:rPr>
      </w:pPr>
      <w:r>
        <w:rPr>
          <w:rFonts w:ascii="Consolas"/>
        </w:rPr>
        <w:t>TRUE()</w:t>
      </w:r>
      <w:r>
        <w:rPr>
          <w:rFonts w:ascii="Consolas"/>
          <w:spacing w:val="-73"/>
        </w:rPr>
        <w:t> </w:t>
      </w:r>
      <w:r>
        <w:rPr/>
        <w:t>results in </w:t>
      </w:r>
      <w:r>
        <w:rPr>
          <w:rFonts w:ascii="Consolas"/>
        </w:rPr>
        <w:t>TRUE</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2 TRUNC" w:id="2389"/>
      <w:bookmarkEnd w:id="2389"/>
      <w:r>
        <w:rPr/>
      </w:r>
      <w:bookmarkStart w:name="_bookmark796" w:id="2390"/>
      <w:bookmarkEnd w:id="2390"/>
      <w:r>
        <w:rPr/>
      </w:r>
      <w:bookmarkStart w:name="_bookmark796" w:id="2391"/>
      <w:bookmarkEnd w:id="2391"/>
      <w:r>
        <w:rPr>
          <w:color w:val="4F81BC"/>
        </w:rPr>
        <w:t>T</w:t>
      </w:r>
      <w:r>
        <w:rPr>
          <w:color w:val="4F81BC"/>
        </w:rPr>
        <w:t>RUNC</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TRUNC ( </w:t>
      </w:r>
      <w:r>
        <w:rPr>
          <w:i/>
          <w:sz w:val="22"/>
        </w:rPr>
        <w:t>x </w:t>
      </w:r>
      <w:r>
        <w:rPr>
          <w:sz w:val="22"/>
        </w:rPr>
        <w:t>[ </w:t>
      </w:r>
      <w:r>
        <w:rPr>
          <w:rFonts w:ascii="Lucida Console"/>
          <w:sz w:val="20"/>
        </w:rPr>
        <w:t>, </w:t>
      </w:r>
      <w:r>
        <w:rPr>
          <w:i/>
          <w:sz w:val="22"/>
        </w:rPr>
        <w:t>number-digits </w:t>
      </w:r>
      <w:r>
        <w:rPr>
          <w:sz w:val="22"/>
        </w:rPr>
        <w:t>] </w:t>
      </w:r>
      <w:r>
        <w:rPr>
          <w:rFonts w:ascii="Lucida Console"/>
          <w:sz w:val="20"/>
        </w:rPr>
        <w:t>)</w:t>
      </w:r>
    </w:p>
    <w:p>
      <w:pPr>
        <w:spacing w:before="108"/>
        <w:ind w:left="220" w:right="0" w:firstLine="0"/>
        <w:jc w:val="left"/>
        <w:rPr>
          <w:sz w:val="22"/>
        </w:rPr>
      </w:pPr>
      <w:r>
        <w:rPr>
          <w:b/>
          <w:sz w:val="22"/>
        </w:rPr>
        <w:t>Description: </w:t>
      </w:r>
      <w:r>
        <w:rPr>
          <w:sz w:val="22"/>
        </w:rPr>
        <w:t>Truncates </w:t>
      </w:r>
      <w:r>
        <w:rPr>
          <w:rFonts w:ascii="Times New Roman"/>
          <w:i/>
          <w:sz w:val="22"/>
        </w:rPr>
        <w:t>x </w:t>
      </w:r>
      <w:r>
        <w:rPr>
          <w:sz w:val="22"/>
        </w:rPr>
        <w:t>to the number of fractional digits by </w:t>
      </w:r>
      <w:r>
        <w:rPr>
          <w:rFonts w:ascii="Times New Roman"/>
          <w:i/>
          <w:sz w:val="22"/>
        </w:rPr>
        <w:t>number-digits</w:t>
      </w:r>
      <w:r>
        <w:rPr>
          <w:sz w:val="22"/>
        </w:rPr>
        <w:t>.</w:t>
      </w:r>
    </w:p>
    <w:p>
      <w:pPr>
        <w:pStyle w:val="BodyText"/>
        <w:spacing w:before="8"/>
        <w:rPr>
          <w:sz w:val="19"/>
        </w:rPr>
      </w:pPr>
    </w:p>
    <w:p>
      <w:pPr>
        <w:pStyle w:val="Heading4"/>
        <w:spacing w:before="1"/>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array, reference</w:t>
            </w:r>
          </w:p>
        </w:tc>
        <w:tc>
          <w:tcPr>
            <w:tcW w:w="5400" w:type="dxa"/>
          </w:tcPr>
          <w:p>
            <w:pPr>
              <w:pStyle w:val="TableParagraph"/>
              <w:ind w:left="113"/>
              <w:rPr>
                <w:sz w:val="22"/>
              </w:rPr>
            </w:pPr>
            <w:r>
              <w:rPr>
                <w:sz w:val="22"/>
              </w:rPr>
              <w:t>The value to be rounded down.</w:t>
            </w:r>
          </w:p>
        </w:tc>
      </w:tr>
      <w:tr>
        <w:trPr>
          <w:trHeight w:val="623" w:hRule="atLeast"/>
        </w:trPr>
        <w:tc>
          <w:tcPr>
            <w:tcW w:w="1466" w:type="dxa"/>
          </w:tcPr>
          <w:p>
            <w:pPr>
              <w:pStyle w:val="TableParagraph"/>
              <w:spacing w:before="37"/>
              <w:rPr>
                <w:rFonts w:ascii="Times New Roman"/>
                <w:i/>
                <w:sz w:val="22"/>
              </w:rPr>
            </w:pPr>
            <w:r>
              <w:rPr>
                <w:rFonts w:ascii="Times New Roman"/>
                <w:i/>
                <w:sz w:val="22"/>
              </w:rPr>
              <w:t>number-digits</w:t>
            </w:r>
          </w:p>
        </w:tc>
        <w:tc>
          <w:tcPr>
            <w:tcW w:w="1800" w:type="dxa"/>
          </w:tcPr>
          <w:p>
            <w:pPr>
              <w:pStyle w:val="TableParagraph"/>
              <w:ind w:left="112"/>
              <w:rPr>
                <w:sz w:val="22"/>
              </w:rPr>
            </w:pPr>
            <w:r>
              <w:rPr>
                <w:sz w:val="22"/>
              </w:rPr>
              <w:t>number</w:t>
            </w:r>
          </w:p>
        </w:tc>
        <w:tc>
          <w:tcPr>
            <w:tcW w:w="5400" w:type="dxa"/>
          </w:tcPr>
          <w:p>
            <w:pPr>
              <w:pStyle w:val="TableParagraph"/>
              <w:ind w:left="113" w:right="721"/>
              <w:rPr>
                <w:sz w:val="22"/>
              </w:rPr>
            </w:pPr>
            <w:r>
              <w:rPr>
                <w:sz w:val="22"/>
              </w:rPr>
              <w:t>The number of fractional digits to which </w:t>
            </w:r>
            <w:r>
              <w:rPr>
                <w:rFonts w:ascii="Times New Roman"/>
                <w:i/>
                <w:sz w:val="22"/>
              </w:rPr>
              <w:t>x </w:t>
            </w:r>
            <w:r>
              <w:rPr>
                <w:sz w:val="22"/>
              </w:rPr>
              <w:t>is to be truncated. The default value for </w:t>
            </w:r>
            <w:r>
              <w:rPr>
                <w:rFonts w:ascii="Times New Roman"/>
                <w:i/>
                <w:sz w:val="22"/>
              </w:rPr>
              <w:t>number-digits </w:t>
            </w:r>
            <w:r>
              <w:rPr>
                <w:sz w:val="22"/>
              </w:rPr>
              <w:t>is 0.</w:t>
            </w:r>
          </w:p>
        </w:tc>
      </w:tr>
    </w:tbl>
    <w:p>
      <w:pPr>
        <w:pStyle w:val="BodyText"/>
        <w:rPr>
          <w:b/>
        </w:rPr>
      </w:pPr>
    </w:p>
    <w:p>
      <w:pPr>
        <w:pStyle w:val="BodyText"/>
        <w:spacing w:before="7"/>
        <w:rPr>
          <w:b/>
          <w:sz w:val="19"/>
        </w:rPr>
      </w:pPr>
    </w:p>
    <w:p>
      <w:pPr>
        <w:spacing w:line="453" w:lineRule="auto" w:before="0"/>
        <w:ind w:left="220" w:right="5102" w:firstLine="0"/>
        <w:jc w:val="left"/>
        <w:rPr>
          <w:sz w:val="22"/>
        </w:rPr>
      </w:pPr>
      <w:r>
        <w:rPr>
          <w:b/>
          <w:sz w:val="22"/>
        </w:rPr>
        <w:t>Return Type and Value: </w:t>
      </w:r>
      <w:r>
        <w:rPr>
          <w:sz w:val="22"/>
        </w:rPr>
        <w:t>number – The truncated value of </w:t>
      </w:r>
      <w:r>
        <w:rPr>
          <w:rFonts w:ascii="Times New Roman" w:hAnsi="Times New Roman"/>
          <w:i/>
          <w:sz w:val="22"/>
        </w:rPr>
        <w:t>x</w:t>
      </w:r>
      <w:r>
        <w:rPr>
          <w:sz w:val="22"/>
        </w:rPr>
        <w:t>. [</w:t>
      </w:r>
      <w:r>
        <w:rPr>
          <w:i/>
          <w:sz w:val="22"/>
        </w:rPr>
        <w:t>Example</w:t>
      </w:r>
      <w:r>
        <w:rPr>
          <w:sz w:val="22"/>
        </w:rPr>
        <w:t>:</w:t>
      </w:r>
    </w:p>
    <w:p>
      <w:pPr>
        <w:pStyle w:val="BodyText"/>
        <w:spacing w:line="276" w:lineRule="auto" w:before="109"/>
        <w:ind w:left="220" w:right="7119"/>
        <w:rPr>
          <w:rFonts w:ascii="Consolas"/>
        </w:rPr>
      </w:pPr>
      <w:r>
        <w:rPr>
          <w:rFonts w:ascii="Consolas"/>
        </w:rPr>
        <w:t>TRUNC(PI()) </w:t>
      </w:r>
      <w:r>
        <w:rPr/>
        <w:t>results in </w:t>
      </w:r>
      <w:r>
        <w:rPr>
          <w:rFonts w:ascii="Consolas"/>
        </w:rPr>
        <w:t>3 TRUNC(PI(),1) </w:t>
      </w:r>
      <w:r>
        <w:rPr/>
        <w:t>results in </w:t>
      </w:r>
      <w:r>
        <w:rPr>
          <w:rFonts w:ascii="Consolas"/>
        </w:rPr>
        <w:t>3.1 TRUNC(PI(),3) </w:t>
      </w:r>
      <w:r>
        <w:rPr/>
        <w:t>results in </w:t>
      </w:r>
      <w:r>
        <w:rPr>
          <w:rFonts w:ascii="Consolas"/>
        </w:rPr>
        <w:t>3.141 TRUNC(PI(),5)</w:t>
      </w:r>
      <w:r>
        <w:rPr>
          <w:rFonts w:ascii="Consolas"/>
          <w:spacing w:val="-83"/>
        </w:rPr>
        <w:t> </w:t>
      </w:r>
      <w:r>
        <w:rPr/>
        <w:t>results in </w:t>
      </w:r>
      <w:r>
        <w:rPr>
          <w:rFonts w:ascii="Consolas"/>
        </w:rPr>
        <w:t>3.14159</w:t>
      </w:r>
    </w:p>
    <w:p>
      <w:pPr>
        <w:pStyle w:val="BodyText"/>
        <w:spacing w:before="8"/>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3 TTEST" w:id="2392"/>
      <w:bookmarkEnd w:id="2392"/>
      <w:r>
        <w:rPr/>
      </w:r>
      <w:bookmarkStart w:name="_bookmark797" w:id="2393"/>
      <w:bookmarkEnd w:id="2393"/>
      <w:r>
        <w:rPr/>
      </w:r>
      <w:bookmarkStart w:name="_bookmark797" w:id="2394"/>
      <w:bookmarkEnd w:id="2394"/>
      <w:r>
        <w:rPr>
          <w:color w:val="4F81BC"/>
        </w:rPr>
        <w:t>T</w:t>
      </w:r>
      <w:r>
        <w:rPr>
          <w:color w:val="4F81BC"/>
        </w:rPr>
        <w:t>TEST</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TTEST ( </w:t>
      </w:r>
      <w:r>
        <w:rPr>
          <w:i/>
          <w:sz w:val="22"/>
        </w:rPr>
        <w:t>array-1 </w:t>
      </w:r>
      <w:r>
        <w:rPr>
          <w:sz w:val="22"/>
        </w:rPr>
        <w:t>, </w:t>
      </w:r>
      <w:r>
        <w:rPr>
          <w:i/>
          <w:sz w:val="22"/>
        </w:rPr>
        <w:t>array-2 </w:t>
      </w:r>
      <w:r>
        <w:rPr>
          <w:sz w:val="22"/>
        </w:rPr>
        <w:t>, </w:t>
      </w:r>
      <w:r>
        <w:rPr>
          <w:i/>
          <w:sz w:val="22"/>
        </w:rPr>
        <w:t>distribution-tails </w:t>
      </w:r>
      <w:r>
        <w:rPr>
          <w:sz w:val="22"/>
        </w:rPr>
        <w:t>, </w:t>
      </w:r>
      <w:r>
        <w:rPr>
          <w:i/>
          <w:sz w:val="22"/>
        </w:rPr>
        <w:t>test-type </w:t>
      </w:r>
      <w:r>
        <w:rPr>
          <w:rFonts w:ascii="Lucida Console"/>
          <w:sz w:val="20"/>
        </w:rPr>
        <w:t>)</w:t>
      </w:r>
    </w:p>
    <w:p>
      <w:pPr>
        <w:pStyle w:val="BodyText"/>
        <w:spacing w:before="108"/>
        <w:ind w:left="220"/>
      </w:pPr>
      <w:r>
        <w:rPr>
          <w:b/>
        </w:rPr>
        <w:t>Description: </w:t>
      </w:r>
      <w:r>
        <w:rPr/>
        <w:t>Computes the probability associated with a Student's t-Test.</w:t>
      </w:r>
    </w:p>
    <w:p>
      <w:pPr>
        <w:pStyle w:val="BodyText"/>
        <w:spacing w:before="8"/>
        <w:rPr>
          <w:sz w:val="19"/>
        </w:rPr>
      </w:pPr>
    </w:p>
    <w:p>
      <w:pPr>
        <w:pStyle w:val="Heading4"/>
      </w:pPr>
      <w:r>
        <w:rPr/>
        <w:t>Arguments:</w:t>
      </w:r>
    </w:p>
    <w:p>
      <w:pPr>
        <w:spacing w:after="0"/>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145"/>
        <w:gridCol w:w="3296"/>
        <w:gridCol w:w="12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1" w:type="dxa"/>
            <w:gridSpan w:val="4"/>
            <w:shd w:val="clear" w:color="auto" w:fill="C0C0C0"/>
          </w:tcPr>
          <w:p>
            <w:pPr>
              <w:pStyle w:val="TableParagraph"/>
              <w:ind w:left="2155" w:right="2149"/>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tcPr>
          <w:p>
            <w:pPr>
              <w:pStyle w:val="TableParagraph"/>
              <w:ind w:left="112"/>
              <w:rPr>
                <w:sz w:val="22"/>
              </w:rPr>
            </w:pPr>
            <w:r>
              <w:rPr>
                <w:sz w:val="22"/>
              </w:rPr>
              <w:t>array, reference</w:t>
            </w:r>
          </w:p>
        </w:tc>
        <w:tc>
          <w:tcPr>
            <w:tcW w:w="5401" w:type="dxa"/>
            <w:gridSpan w:val="4"/>
          </w:tcPr>
          <w:p>
            <w:pPr>
              <w:pStyle w:val="TableParagraph"/>
              <w:ind w:left="113"/>
              <w:rPr>
                <w:sz w:val="22"/>
              </w:rPr>
            </w:pPr>
            <w:r>
              <w:rPr>
                <w:sz w:val="22"/>
              </w:rPr>
              <w:t>The first numerical data set.</w:t>
            </w:r>
          </w:p>
        </w:tc>
      </w:tr>
      <w:tr>
        <w:trPr>
          <w:trHeight w:val="354" w:hRule="atLeast"/>
        </w:trPr>
        <w:tc>
          <w:tcPr>
            <w:tcW w:w="1466" w:type="dxa"/>
          </w:tcPr>
          <w:p>
            <w:pPr>
              <w:pStyle w:val="TableParagraph"/>
              <w:spacing w:before="37"/>
              <w:rPr>
                <w:rFonts w:ascii="Times New Roman"/>
                <w:i/>
                <w:sz w:val="22"/>
              </w:rPr>
            </w:pPr>
            <w:r>
              <w:rPr>
                <w:rFonts w:ascii="Times New Roman"/>
                <w:i/>
                <w:sz w:val="22"/>
              </w:rPr>
              <w:t>array-1</w:t>
            </w:r>
          </w:p>
        </w:tc>
        <w:tc>
          <w:tcPr>
            <w:tcW w:w="1800" w:type="dxa"/>
          </w:tcPr>
          <w:p>
            <w:pPr>
              <w:pStyle w:val="TableParagraph"/>
              <w:ind w:left="112"/>
              <w:rPr>
                <w:sz w:val="22"/>
              </w:rPr>
            </w:pPr>
            <w:r>
              <w:rPr>
                <w:sz w:val="22"/>
              </w:rPr>
              <w:t>array, reference</w:t>
            </w:r>
          </w:p>
        </w:tc>
        <w:tc>
          <w:tcPr>
            <w:tcW w:w="5401" w:type="dxa"/>
            <w:gridSpan w:val="4"/>
          </w:tcPr>
          <w:p>
            <w:pPr>
              <w:pStyle w:val="TableParagraph"/>
              <w:ind w:left="113"/>
              <w:rPr>
                <w:sz w:val="22"/>
              </w:rPr>
            </w:pPr>
            <w:r>
              <w:rPr>
                <w:sz w:val="22"/>
              </w:rPr>
              <w:t>The first numerical data set.</w:t>
            </w:r>
          </w:p>
        </w:tc>
      </w:tr>
      <w:tr>
        <w:trPr>
          <w:trHeight w:val="890" w:hRule="atLeast"/>
        </w:trPr>
        <w:tc>
          <w:tcPr>
            <w:tcW w:w="1466" w:type="dxa"/>
          </w:tcPr>
          <w:p>
            <w:pPr>
              <w:pStyle w:val="TableParagraph"/>
              <w:spacing w:before="37"/>
              <w:ind w:right="220"/>
              <w:rPr>
                <w:rFonts w:ascii="Times New Roman"/>
                <w:i/>
                <w:sz w:val="22"/>
              </w:rPr>
            </w:pPr>
            <w:r>
              <w:rPr>
                <w:rFonts w:ascii="Times New Roman"/>
                <w:i/>
                <w:sz w:val="22"/>
              </w:rPr>
              <w:t>distribution- </w:t>
            </w:r>
            <w:r>
              <w:rPr>
                <w:rFonts w:ascii="Times New Roman"/>
                <w:i/>
                <w:sz w:val="22"/>
              </w:rPr>
              <w:t>tails</w:t>
            </w:r>
          </w:p>
        </w:tc>
        <w:tc>
          <w:tcPr>
            <w:tcW w:w="1800" w:type="dxa"/>
          </w:tcPr>
          <w:p>
            <w:pPr>
              <w:pStyle w:val="TableParagraph"/>
              <w:ind w:left="112"/>
              <w:rPr>
                <w:sz w:val="22"/>
              </w:rPr>
            </w:pPr>
            <w:r>
              <w:rPr>
                <w:sz w:val="22"/>
              </w:rPr>
              <w:t>number</w:t>
            </w:r>
          </w:p>
        </w:tc>
        <w:tc>
          <w:tcPr>
            <w:tcW w:w="5401" w:type="dxa"/>
            <w:gridSpan w:val="4"/>
          </w:tcPr>
          <w:p>
            <w:pPr>
              <w:pStyle w:val="TableParagraph"/>
              <w:ind w:left="113" w:right="136"/>
              <w:rPr>
                <w:sz w:val="22"/>
              </w:rPr>
            </w:pPr>
            <w:r>
              <w:rPr>
                <w:sz w:val="22"/>
              </w:rPr>
              <w:t>Specifies the number of distribution tails, truncated to an integer. If 1, </w:t>
            </w:r>
            <w:r>
              <w:rPr>
                <w:rFonts w:ascii="Consolas"/>
                <w:sz w:val="22"/>
              </w:rPr>
              <w:t>TTEST </w:t>
            </w:r>
            <w:r>
              <w:rPr>
                <w:sz w:val="22"/>
              </w:rPr>
              <w:t>uses the one-tailed distribution. If 2, </w:t>
            </w:r>
            <w:r>
              <w:rPr>
                <w:rFonts w:ascii="Consolas"/>
                <w:sz w:val="22"/>
              </w:rPr>
              <w:t>TTEST</w:t>
            </w:r>
            <w:r>
              <w:rPr>
                <w:rFonts w:ascii="Consolas"/>
                <w:spacing w:val="-70"/>
                <w:sz w:val="22"/>
              </w:rPr>
              <w:t> </w:t>
            </w:r>
            <w:r>
              <w:rPr>
                <w:sz w:val="22"/>
              </w:rPr>
              <w:t>uses the two-tailed distribution.</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test-type</w:t>
            </w:r>
          </w:p>
        </w:tc>
        <w:tc>
          <w:tcPr>
            <w:tcW w:w="1800" w:type="dxa"/>
            <w:vMerge w:val="restart"/>
          </w:tcPr>
          <w:p>
            <w:pPr>
              <w:pStyle w:val="TableParagraph"/>
              <w:ind w:left="112"/>
              <w:rPr>
                <w:sz w:val="22"/>
              </w:rPr>
            </w:pPr>
            <w:r>
              <w:rPr>
                <w:sz w:val="22"/>
              </w:rPr>
              <w:t>number</w:t>
            </w:r>
          </w:p>
        </w:tc>
        <w:tc>
          <w:tcPr>
            <w:tcW w:w="5401" w:type="dxa"/>
            <w:gridSpan w:val="4"/>
            <w:tcBorders>
              <w:bottom w:val="nil"/>
            </w:tcBorders>
          </w:tcPr>
          <w:p>
            <w:pPr>
              <w:pStyle w:val="TableParagraph"/>
              <w:ind w:left="113" w:right="479"/>
              <w:rPr>
                <w:sz w:val="22"/>
              </w:rPr>
            </w:pPr>
            <w:r>
              <w:rPr>
                <w:sz w:val="22"/>
              </w:rPr>
              <w:t>The truncated-to-integer kind of t-Test to perform,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145" w:type="dxa"/>
            <w:shd w:val="clear" w:color="auto" w:fill="C0C0C0"/>
          </w:tcPr>
          <w:p>
            <w:pPr>
              <w:pStyle w:val="TableParagraph"/>
              <w:ind w:left="313"/>
              <w:rPr>
                <w:b/>
                <w:sz w:val="22"/>
              </w:rPr>
            </w:pPr>
            <w:r>
              <w:rPr>
                <w:b/>
                <w:sz w:val="22"/>
              </w:rPr>
              <w:t>Value</w:t>
            </w:r>
          </w:p>
        </w:tc>
        <w:tc>
          <w:tcPr>
            <w:tcW w:w="3296" w:type="dxa"/>
            <w:shd w:val="clear" w:color="auto" w:fill="C0C0C0"/>
          </w:tcPr>
          <w:p>
            <w:pPr>
              <w:pStyle w:val="TableParagraph"/>
              <w:ind w:left="942"/>
              <w:rPr>
                <w:b/>
                <w:sz w:val="22"/>
              </w:rPr>
            </w:pPr>
            <w:r>
              <w:rPr>
                <w:b/>
                <w:sz w:val="22"/>
              </w:rPr>
              <w:t>Test Performed</w:t>
            </w:r>
          </w:p>
        </w:tc>
        <w:tc>
          <w:tcPr>
            <w:tcW w:w="123"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5" w:type="dxa"/>
          </w:tcPr>
          <w:p>
            <w:pPr>
              <w:pStyle w:val="TableParagraph"/>
              <w:ind w:left="116"/>
              <w:rPr>
                <w:sz w:val="22"/>
              </w:rPr>
            </w:pPr>
            <w:r>
              <w:rPr>
                <w:w w:val="100"/>
                <w:sz w:val="22"/>
              </w:rPr>
              <w:t>1</w:t>
            </w:r>
          </w:p>
        </w:tc>
        <w:tc>
          <w:tcPr>
            <w:tcW w:w="3296" w:type="dxa"/>
          </w:tcPr>
          <w:p>
            <w:pPr>
              <w:pStyle w:val="TableParagraph"/>
              <w:ind w:left="116"/>
              <w:rPr>
                <w:sz w:val="22"/>
              </w:rPr>
            </w:pPr>
            <w:r>
              <w:rPr>
                <w:sz w:val="22"/>
              </w:rPr>
              <w:t>Paired</w:t>
            </w:r>
          </w:p>
        </w:tc>
        <w:tc>
          <w:tcPr>
            <w:tcW w:w="123" w:type="dxa"/>
            <w:tcBorders>
              <w:top w:val="nil"/>
              <w:bottom w:val="nil"/>
            </w:tcBorders>
          </w:tcPr>
          <w:p>
            <w:pPr>
              <w:pStyle w:val="TableParagraph"/>
              <w:spacing w:before="0"/>
              <w:ind w:left="0"/>
              <w:rPr>
                <w:rFonts w:ascii="Times New Roman"/>
                <w:sz w:val="22"/>
              </w:rPr>
            </w:pPr>
          </w:p>
        </w:tc>
      </w:tr>
      <w:tr>
        <w:trPr>
          <w:trHeight w:val="62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5" w:type="dxa"/>
          </w:tcPr>
          <w:p>
            <w:pPr>
              <w:pStyle w:val="TableParagraph"/>
              <w:ind w:left="116"/>
              <w:rPr>
                <w:sz w:val="22"/>
              </w:rPr>
            </w:pPr>
            <w:r>
              <w:rPr>
                <w:w w:val="100"/>
                <w:sz w:val="22"/>
              </w:rPr>
              <w:t>2</w:t>
            </w:r>
          </w:p>
        </w:tc>
        <w:tc>
          <w:tcPr>
            <w:tcW w:w="3296" w:type="dxa"/>
          </w:tcPr>
          <w:p>
            <w:pPr>
              <w:pStyle w:val="TableParagraph"/>
              <w:ind w:left="116" w:right="708"/>
              <w:rPr>
                <w:sz w:val="22"/>
              </w:rPr>
            </w:pPr>
            <w:r>
              <w:rPr>
                <w:sz w:val="22"/>
              </w:rPr>
              <w:t>Two-sample equal variance (homoscedastic)</w:t>
            </w:r>
          </w:p>
        </w:tc>
        <w:tc>
          <w:tcPr>
            <w:tcW w:w="123" w:type="dxa"/>
            <w:tcBorders>
              <w:top w:val="nil"/>
              <w:bottom w:val="nil"/>
            </w:tcBorders>
          </w:tcPr>
          <w:p>
            <w:pPr>
              <w:pStyle w:val="TableParagraph"/>
              <w:spacing w:before="0"/>
              <w:ind w:left="0"/>
              <w:rPr>
                <w:rFonts w:ascii="Times New Roman"/>
                <w:sz w:val="22"/>
              </w:rPr>
            </w:pPr>
          </w:p>
        </w:tc>
      </w:tr>
      <w:tr>
        <w:trPr>
          <w:trHeight w:val="67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145" w:type="dxa"/>
          </w:tcPr>
          <w:p>
            <w:pPr>
              <w:pStyle w:val="TableParagraph"/>
              <w:ind w:left="116"/>
              <w:rPr>
                <w:sz w:val="22"/>
              </w:rPr>
            </w:pPr>
            <w:r>
              <w:rPr>
                <w:w w:val="100"/>
                <w:sz w:val="22"/>
              </w:rPr>
              <w:t>3</w:t>
            </w:r>
          </w:p>
        </w:tc>
        <w:tc>
          <w:tcPr>
            <w:tcW w:w="3296" w:type="dxa"/>
          </w:tcPr>
          <w:p>
            <w:pPr>
              <w:pStyle w:val="TableParagraph"/>
              <w:ind w:left="116" w:right="476"/>
              <w:rPr>
                <w:sz w:val="22"/>
              </w:rPr>
            </w:pPr>
            <w:r>
              <w:rPr>
                <w:sz w:val="22"/>
              </w:rPr>
              <w:t>Two-sample unequal variance (heteroscedastic)</w:t>
            </w:r>
          </w:p>
        </w:tc>
        <w:tc>
          <w:tcPr>
            <w:tcW w:w="123" w:type="dxa"/>
            <w:tcBorders>
              <w:top w:val="nil"/>
            </w:tcBorders>
          </w:tcPr>
          <w:p>
            <w:pPr>
              <w:pStyle w:val="TableParagraph"/>
              <w:spacing w:before="0"/>
              <w:ind w:left="0"/>
              <w:rPr>
                <w:rFonts w:ascii="Times New Roman"/>
                <w:sz w:val="22"/>
              </w:rPr>
            </w:pPr>
          </w:p>
        </w:tc>
      </w:tr>
    </w:tbl>
    <w:p>
      <w:pPr>
        <w:pStyle w:val="BodyText"/>
        <w:rPr>
          <w:b/>
          <w:sz w:val="20"/>
        </w:rPr>
      </w:pPr>
    </w:p>
    <w:p>
      <w:pPr>
        <w:pStyle w:val="BodyText"/>
        <w:rPr>
          <w:b/>
          <w:sz w:val="17"/>
        </w:rPr>
      </w:pPr>
    </w:p>
    <w:p>
      <w:pPr>
        <w:spacing w:line="453" w:lineRule="auto" w:before="56"/>
        <w:ind w:left="220" w:right="2873" w:firstLine="0"/>
        <w:jc w:val="left"/>
        <w:rPr>
          <w:sz w:val="22"/>
        </w:rPr>
      </w:pPr>
      <w:r>
        <w:rPr>
          <w:b/>
          <w:sz w:val="22"/>
        </w:rPr>
        <w:t>Return Type and Value: </w:t>
      </w:r>
      <w:r>
        <w:rPr>
          <w:sz w:val="22"/>
        </w:rPr>
        <w:t>number – The probability associated with a Student's t-Test. However, if</w:t>
      </w:r>
    </w:p>
    <w:p>
      <w:pPr>
        <w:pStyle w:val="ListParagraph"/>
        <w:numPr>
          <w:ilvl w:val="4"/>
          <w:numId w:val="66"/>
        </w:numPr>
        <w:tabs>
          <w:tab w:pos="940" w:val="left" w:leader="none"/>
          <w:tab w:pos="941" w:val="left" w:leader="none"/>
        </w:tabs>
        <w:spacing w:line="273" w:lineRule="auto" w:before="1" w:after="0"/>
        <w:ind w:left="940" w:right="1115" w:hanging="360"/>
        <w:jc w:val="left"/>
        <w:rPr>
          <w:sz w:val="22"/>
        </w:rPr>
      </w:pPr>
      <w:r>
        <w:rPr>
          <w:rFonts w:ascii="Times New Roman" w:hAnsi="Times New Roman"/>
          <w:i/>
          <w:sz w:val="22"/>
        </w:rPr>
        <w:t>array-1</w:t>
      </w:r>
      <w:r>
        <w:rPr>
          <w:rFonts w:ascii="Times New Roman" w:hAnsi="Times New Roman"/>
          <w:i/>
          <w:spacing w:val="-6"/>
          <w:sz w:val="22"/>
        </w:rPr>
        <w:t> </w:t>
      </w:r>
      <w:r>
        <w:rPr>
          <w:sz w:val="22"/>
        </w:rPr>
        <w:t>and</w:t>
      </w:r>
      <w:r>
        <w:rPr>
          <w:spacing w:val="-2"/>
          <w:sz w:val="22"/>
        </w:rPr>
        <w:t> </w:t>
      </w:r>
      <w:r>
        <w:rPr>
          <w:rFonts w:ascii="Times New Roman" w:hAnsi="Times New Roman"/>
          <w:i/>
          <w:sz w:val="22"/>
        </w:rPr>
        <w:t>array-2</w:t>
      </w:r>
      <w:r>
        <w:rPr>
          <w:rFonts w:ascii="Times New Roman" w:hAnsi="Times New Roman"/>
          <w:i/>
          <w:spacing w:val="-6"/>
          <w:sz w:val="22"/>
        </w:rPr>
        <w:t> </w:t>
      </w:r>
      <w:r>
        <w:rPr>
          <w:sz w:val="22"/>
        </w:rPr>
        <w:t>have</w:t>
      </w:r>
      <w:r>
        <w:rPr>
          <w:spacing w:val="-3"/>
          <w:sz w:val="22"/>
        </w:rPr>
        <w:t> </w:t>
      </w:r>
      <w:r>
        <w:rPr>
          <w:sz w:val="22"/>
        </w:rPr>
        <w:t>a</w:t>
      </w:r>
      <w:r>
        <w:rPr>
          <w:spacing w:val="-3"/>
          <w:sz w:val="22"/>
        </w:rPr>
        <w:t> </w:t>
      </w:r>
      <w:r>
        <w:rPr>
          <w:sz w:val="22"/>
        </w:rPr>
        <w:t>different</w:t>
      </w:r>
      <w:r>
        <w:rPr>
          <w:spacing w:val="-1"/>
          <w:sz w:val="22"/>
        </w:rPr>
        <w:t> </w:t>
      </w:r>
      <w:r>
        <w:rPr>
          <w:sz w:val="22"/>
        </w:rPr>
        <w:t>number</w:t>
      </w:r>
      <w:r>
        <w:rPr>
          <w:spacing w:val="-3"/>
          <w:sz w:val="22"/>
        </w:rPr>
        <w:t> </w:t>
      </w:r>
      <w:r>
        <w:rPr>
          <w:sz w:val="22"/>
        </w:rPr>
        <w:t>of</w:t>
      </w:r>
      <w:r>
        <w:rPr>
          <w:spacing w:val="-1"/>
          <w:sz w:val="22"/>
        </w:rPr>
        <w:t> </w:t>
      </w:r>
      <w:r>
        <w:rPr>
          <w:sz w:val="22"/>
        </w:rPr>
        <w:t>data</w:t>
      </w:r>
      <w:r>
        <w:rPr>
          <w:spacing w:val="-1"/>
          <w:sz w:val="22"/>
        </w:rPr>
        <w:t> </w:t>
      </w:r>
      <w:r>
        <w:rPr>
          <w:sz w:val="22"/>
        </w:rPr>
        <w:t>points,</w:t>
      </w:r>
      <w:r>
        <w:rPr>
          <w:spacing w:val="1"/>
          <w:sz w:val="22"/>
        </w:rPr>
        <w:t> </w:t>
      </w:r>
      <w:r>
        <w:rPr>
          <w:sz w:val="22"/>
        </w:rPr>
        <w:t>and</w:t>
      </w:r>
      <w:r>
        <w:rPr>
          <w:spacing w:val="-2"/>
          <w:sz w:val="22"/>
        </w:rPr>
        <w:t> </w:t>
      </w:r>
      <w:r>
        <w:rPr>
          <w:rFonts w:ascii="Times New Roman" w:hAnsi="Times New Roman"/>
          <w:i/>
          <w:sz w:val="22"/>
        </w:rPr>
        <w:t>test-type</w:t>
      </w:r>
      <w:r>
        <w:rPr>
          <w:rFonts w:ascii="Times New Roman" w:hAnsi="Times New Roman"/>
          <w:i/>
          <w:spacing w:val="-6"/>
          <w:sz w:val="22"/>
        </w:rPr>
        <w:t> </w:t>
      </w:r>
      <w:r>
        <w:rPr>
          <w:sz w:val="22"/>
        </w:rPr>
        <w:t>is</w:t>
      </w:r>
      <w:r>
        <w:rPr>
          <w:spacing w:val="-3"/>
          <w:sz w:val="22"/>
        </w:rPr>
        <w:t> </w:t>
      </w:r>
      <w:r>
        <w:rPr>
          <w:sz w:val="22"/>
        </w:rPr>
        <w:t>1,</w:t>
      </w:r>
      <w:r>
        <w:rPr>
          <w:spacing w:val="-3"/>
          <w:sz w:val="22"/>
        </w:rPr>
        <w:t> </w:t>
      </w:r>
      <w:r>
        <w:rPr>
          <w:sz w:val="22"/>
        </w:rPr>
        <w:t>the</w:t>
      </w:r>
      <w:r>
        <w:rPr>
          <w:spacing w:val="-3"/>
          <w:sz w:val="22"/>
        </w:rPr>
        <w:t> </w:t>
      </w:r>
      <w:r>
        <w:rPr>
          <w:sz w:val="22"/>
        </w:rPr>
        <w:t>return</w:t>
      </w:r>
      <w:r>
        <w:rPr>
          <w:spacing w:val="-5"/>
          <w:sz w:val="22"/>
        </w:rPr>
        <w:t> </w:t>
      </w:r>
      <w:r>
        <w:rPr>
          <w:sz w:val="22"/>
        </w:rPr>
        <w:t>value is unspecified.</w:t>
      </w:r>
    </w:p>
    <w:p>
      <w:pPr>
        <w:pStyle w:val="ListParagraph"/>
        <w:numPr>
          <w:ilvl w:val="4"/>
          <w:numId w:val="66"/>
        </w:numPr>
        <w:tabs>
          <w:tab w:pos="940" w:val="left" w:leader="none"/>
          <w:tab w:pos="941" w:val="left" w:leader="none"/>
        </w:tabs>
        <w:spacing w:line="240" w:lineRule="auto" w:before="5" w:after="0"/>
        <w:ind w:left="940" w:right="0" w:hanging="361"/>
        <w:jc w:val="left"/>
        <w:rPr>
          <w:sz w:val="22"/>
        </w:rPr>
      </w:pPr>
      <w:r>
        <w:rPr>
          <w:rFonts w:ascii="Times New Roman" w:hAnsi="Times New Roman"/>
          <w:i/>
          <w:sz w:val="22"/>
        </w:rPr>
        <w:t>distribution-tails </w:t>
      </w:r>
      <w:r>
        <w:rPr>
          <w:sz w:val="22"/>
        </w:rPr>
        <w:t>is any value other than 1 or 2,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41" w:after="19"/>
        <w:ind w:left="220" w:right="4326" w:firstLine="360"/>
        <w:jc w:val="left"/>
        <w:rPr>
          <w:sz w:val="22"/>
        </w:rPr>
      </w:pPr>
      <w:r>
        <w:rPr>
          <w:rFonts w:ascii="Times New Roman" w:hAnsi="Times New Roman"/>
          <w:i/>
          <w:sz w:val="22"/>
        </w:rPr>
        <w:t>test-type </w:t>
      </w:r>
      <w:r>
        <w:rPr>
          <w:sz w:val="22"/>
        </w:rPr>
        <w:t>is any value other than 1, 2 or 3, </w:t>
      </w:r>
      <w:r>
        <w:rPr>
          <w:rFonts w:ascii="Consolas" w:hAnsi="Consolas"/>
          <w:sz w:val="22"/>
        </w:rPr>
        <w:t>#NUM!</w:t>
      </w:r>
      <w:r>
        <w:rPr>
          <w:rFonts w:ascii="Consolas" w:hAnsi="Consolas"/>
          <w:spacing w:val="-90"/>
          <w:sz w:val="22"/>
        </w:rPr>
        <w:t> </w:t>
      </w:r>
      <w:r>
        <w:rPr>
          <w:sz w:val="22"/>
        </w:rPr>
        <w:t>is returned. [</w:t>
      </w:r>
      <w:r>
        <w:rPr>
          <w:i/>
          <w:sz w:val="22"/>
        </w:rPr>
        <w:t>Example</w:t>
      </w:r>
      <w:r>
        <w:rPr>
          <w:sz w:val="22"/>
        </w:rPr>
        <w:t>: Given the following</w:t>
      </w:r>
      <w:r>
        <w:rPr>
          <w:spacing w:val="-5"/>
          <w:sz w:val="22"/>
        </w:rPr>
        <w:t> </w:t>
      </w:r>
      <w:r>
        <w:rPr>
          <w:sz w:val="22"/>
        </w:rPr>
        <w:t>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1718"/>
        <w:gridCol w:w="1800"/>
      </w:tblGrid>
      <w:tr>
        <w:trPr>
          <w:trHeight w:val="354" w:hRule="atLeast"/>
        </w:trPr>
        <w:tc>
          <w:tcPr>
            <w:tcW w:w="468" w:type="dxa"/>
            <w:shd w:val="clear" w:color="auto" w:fill="C0C0C0"/>
          </w:tcPr>
          <w:p>
            <w:pPr>
              <w:pStyle w:val="TableParagraph"/>
              <w:spacing w:before="0"/>
              <w:ind w:left="0"/>
              <w:rPr>
                <w:rFonts w:ascii="Times New Roman"/>
                <w:sz w:val="22"/>
              </w:rPr>
            </w:pPr>
          </w:p>
        </w:tc>
        <w:tc>
          <w:tcPr>
            <w:tcW w:w="1718" w:type="dxa"/>
            <w:shd w:val="clear" w:color="auto" w:fill="C0C0C0"/>
          </w:tcPr>
          <w:p>
            <w:pPr>
              <w:pStyle w:val="TableParagraph"/>
              <w:spacing w:before="42"/>
              <w:ind w:left="9"/>
              <w:jc w:val="center"/>
              <w:rPr>
                <w:b/>
                <w:sz w:val="22"/>
              </w:rPr>
            </w:pPr>
            <w:r>
              <w:rPr>
                <w:b/>
                <w:w w:val="100"/>
                <w:sz w:val="22"/>
              </w:rPr>
              <w:t>A</w:t>
            </w:r>
          </w:p>
        </w:tc>
        <w:tc>
          <w:tcPr>
            <w:tcW w:w="1800" w:type="dxa"/>
            <w:shd w:val="clear" w:color="auto" w:fill="C0C0C0"/>
          </w:tcPr>
          <w:p>
            <w:pPr>
              <w:pStyle w:val="TableParagraph"/>
              <w:spacing w:before="42"/>
              <w:ind w:left="5"/>
              <w:jc w:val="center"/>
              <w:rPr>
                <w:b/>
                <w:sz w:val="22"/>
              </w:rPr>
            </w:pPr>
            <w:r>
              <w:rPr>
                <w:b/>
                <w:w w:val="100"/>
                <w:sz w:val="22"/>
              </w:rPr>
              <w:t>B</w:t>
            </w:r>
          </w:p>
        </w:tc>
      </w:tr>
      <w:tr>
        <w:trPr>
          <w:trHeight w:val="354" w:hRule="atLeast"/>
        </w:trPr>
        <w:tc>
          <w:tcPr>
            <w:tcW w:w="468" w:type="dxa"/>
          </w:tcPr>
          <w:p>
            <w:pPr>
              <w:pStyle w:val="TableParagraph"/>
              <w:ind w:left="0" w:right="114"/>
              <w:jc w:val="center"/>
              <w:rPr>
                <w:sz w:val="22"/>
              </w:rPr>
            </w:pPr>
            <w:r>
              <w:rPr>
                <w:w w:val="100"/>
                <w:sz w:val="22"/>
              </w:rPr>
              <w:t>1</w:t>
            </w:r>
          </w:p>
        </w:tc>
        <w:tc>
          <w:tcPr>
            <w:tcW w:w="1718" w:type="dxa"/>
          </w:tcPr>
          <w:p>
            <w:pPr>
              <w:pStyle w:val="TableParagraph"/>
              <w:ind w:left="114"/>
              <w:rPr>
                <w:sz w:val="22"/>
              </w:rPr>
            </w:pPr>
            <w:r>
              <w:rPr>
                <w:sz w:val="22"/>
              </w:rPr>
              <w:t>Data 1</w:t>
            </w:r>
          </w:p>
        </w:tc>
        <w:tc>
          <w:tcPr>
            <w:tcW w:w="1800" w:type="dxa"/>
          </w:tcPr>
          <w:p>
            <w:pPr>
              <w:pStyle w:val="TableParagraph"/>
              <w:ind w:left="112"/>
              <w:rPr>
                <w:sz w:val="22"/>
              </w:rPr>
            </w:pPr>
            <w:r>
              <w:rPr>
                <w:sz w:val="22"/>
              </w:rPr>
              <w:t>Data 2</w:t>
            </w:r>
          </w:p>
        </w:tc>
      </w:tr>
      <w:tr>
        <w:trPr>
          <w:trHeight w:val="354" w:hRule="atLeast"/>
        </w:trPr>
        <w:tc>
          <w:tcPr>
            <w:tcW w:w="468" w:type="dxa"/>
          </w:tcPr>
          <w:p>
            <w:pPr>
              <w:pStyle w:val="TableParagraph"/>
              <w:ind w:left="0" w:right="114"/>
              <w:jc w:val="center"/>
              <w:rPr>
                <w:sz w:val="22"/>
              </w:rPr>
            </w:pPr>
            <w:r>
              <w:rPr>
                <w:w w:val="100"/>
                <w:sz w:val="22"/>
              </w:rPr>
              <w:t>2</w:t>
            </w:r>
          </w:p>
        </w:tc>
        <w:tc>
          <w:tcPr>
            <w:tcW w:w="1718" w:type="dxa"/>
          </w:tcPr>
          <w:p>
            <w:pPr>
              <w:pStyle w:val="TableParagraph"/>
              <w:ind w:left="114"/>
              <w:rPr>
                <w:sz w:val="22"/>
              </w:rPr>
            </w:pPr>
            <w:r>
              <w:rPr>
                <w:w w:val="100"/>
                <w:sz w:val="22"/>
              </w:rPr>
              <w:t>3</w:t>
            </w:r>
          </w:p>
        </w:tc>
        <w:tc>
          <w:tcPr>
            <w:tcW w:w="1800" w:type="dxa"/>
          </w:tcPr>
          <w:p>
            <w:pPr>
              <w:pStyle w:val="TableParagraph"/>
              <w:ind w:left="112"/>
              <w:rPr>
                <w:sz w:val="22"/>
              </w:rPr>
            </w:pPr>
            <w:r>
              <w:rPr>
                <w:w w:val="100"/>
                <w:sz w:val="22"/>
              </w:rPr>
              <w:t>6</w:t>
            </w:r>
          </w:p>
        </w:tc>
      </w:tr>
      <w:tr>
        <w:trPr>
          <w:trHeight w:val="354" w:hRule="atLeast"/>
        </w:trPr>
        <w:tc>
          <w:tcPr>
            <w:tcW w:w="468" w:type="dxa"/>
          </w:tcPr>
          <w:p>
            <w:pPr>
              <w:pStyle w:val="TableParagraph"/>
              <w:ind w:left="0" w:right="114"/>
              <w:jc w:val="center"/>
              <w:rPr>
                <w:sz w:val="22"/>
              </w:rPr>
            </w:pPr>
            <w:r>
              <w:rPr>
                <w:w w:val="100"/>
                <w:sz w:val="22"/>
              </w:rPr>
              <w:t>3</w:t>
            </w:r>
          </w:p>
        </w:tc>
        <w:tc>
          <w:tcPr>
            <w:tcW w:w="1718" w:type="dxa"/>
          </w:tcPr>
          <w:p>
            <w:pPr>
              <w:pStyle w:val="TableParagraph"/>
              <w:ind w:left="114"/>
              <w:rPr>
                <w:sz w:val="22"/>
              </w:rPr>
            </w:pPr>
            <w:r>
              <w:rPr>
                <w:w w:val="100"/>
                <w:sz w:val="22"/>
              </w:rPr>
              <w:t>4</w:t>
            </w:r>
          </w:p>
        </w:tc>
        <w:tc>
          <w:tcPr>
            <w:tcW w:w="1800" w:type="dxa"/>
          </w:tcPr>
          <w:p>
            <w:pPr>
              <w:pStyle w:val="TableParagraph"/>
              <w:ind w:left="112"/>
              <w:rPr>
                <w:sz w:val="22"/>
              </w:rPr>
            </w:pPr>
            <w:r>
              <w:rPr>
                <w:sz w:val="22"/>
              </w:rPr>
              <w:t>19</w:t>
            </w:r>
          </w:p>
        </w:tc>
      </w:tr>
      <w:tr>
        <w:trPr>
          <w:trHeight w:val="354" w:hRule="atLeast"/>
        </w:trPr>
        <w:tc>
          <w:tcPr>
            <w:tcW w:w="468" w:type="dxa"/>
          </w:tcPr>
          <w:p>
            <w:pPr>
              <w:pStyle w:val="TableParagraph"/>
              <w:ind w:left="0" w:right="114"/>
              <w:jc w:val="center"/>
              <w:rPr>
                <w:sz w:val="22"/>
              </w:rPr>
            </w:pPr>
            <w:r>
              <w:rPr>
                <w:w w:val="100"/>
                <w:sz w:val="22"/>
              </w:rPr>
              <w:t>4</w:t>
            </w:r>
          </w:p>
        </w:tc>
        <w:tc>
          <w:tcPr>
            <w:tcW w:w="1718" w:type="dxa"/>
          </w:tcPr>
          <w:p>
            <w:pPr>
              <w:pStyle w:val="TableParagraph"/>
              <w:ind w:left="114"/>
              <w:rPr>
                <w:sz w:val="22"/>
              </w:rPr>
            </w:pPr>
            <w:r>
              <w:rPr>
                <w:w w:val="100"/>
                <w:sz w:val="22"/>
              </w:rPr>
              <w:t>5</w:t>
            </w:r>
          </w:p>
        </w:tc>
        <w:tc>
          <w:tcPr>
            <w:tcW w:w="1800" w:type="dxa"/>
          </w:tcPr>
          <w:p>
            <w:pPr>
              <w:pStyle w:val="TableParagraph"/>
              <w:ind w:left="112"/>
              <w:rPr>
                <w:sz w:val="22"/>
              </w:rPr>
            </w:pPr>
            <w:r>
              <w:rPr>
                <w:w w:val="100"/>
                <w:sz w:val="22"/>
              </w:rPr>
              <w:t>3</w:t>
            </w:r>
          </w:p>
        </w:tc>
      </w:tr>
      <w:tr>
        <w:trPr>
          <w:trHeight w:val="354" w:hRule="atLeast"/>
        </w:trPr>
        <w:tc>
          <w:tcPr>
            <w:tcW w:w="468" w:type="dxa"/>
          </w:tcPr>
          <w:p>
            <w:pPr>
              <w:pStyle w:val="TableParagraph"/>
              <w:ind w:left="0" w:right="114"/>
              <w:jc w:val="center"/>
              <w:rPr>
                <w:sz w:val="22"/>
              </w:rPr>
            </w:pPr>
            <w:r>
              <w:rPr>
                <w:w w:val="100"/>
                <w:sz w:val="22"/>
              </w:rPr>
              <w:t>5</w:t>
            </w:r>
          </w:p>
        </w:tc>
        <w:tc>
          <w:tcPr>
            <w:tcW w:w="1718" w:type="dxa"/>
          </w:tcPr>
          <w:p>
            <w:pPr>
              <w:pStyle w:val="TableParagraph"/>
              <w:ind w:left="114"/>
              <w:rPr>
                <w:sz w:val="22"/>
              </w:rPr>
            </w:pPr>
            <w:r>
              <w:rPr>
                <w:w w:val="100"/>
                <w:sz w:val="22"/>
              </w:rPr>
              <w:t>8</w:t>
            </w:r>
          </w:p>
        </w:tc>
        <w:tc>
          <w:tcPr>
            <w:tcW w:w="1800" w:type="dxa"/>
          </w:tcPr>
          <w:p>
            <w:pPr>
              <w:pStyle w:val="TableParagraph"/>
              <w:ind w:left="112"/>
              <w:rPr>
                <w:sz w:val="22"/>
              </w:rPr>
            </w:pPr>
            <w:r>
              <w:rPr>
                <w:w w:val="100"/>
                <w:sz w:val="22"/>
              </w:rPr>
              <w:t>2</w:t>
            </w:r>
          </w:p>
        </w:tc>
      </w:tr>
      <w:tr>
        <w:trPr>
          <w:trHeight w:val="355" w:hRule="atLeast"/>
        </w:trPr>
        <w:tc>
          <w:tcPr>
            <w:tcW w:w="468" w:type="dxa"/>
          </w:tcPr>
          <w:p>
            <w:pPr>
              <w:pStyle w:val="TableParagraph"/>
              <w:ind w:left="0" w:right="114"/>
              <w:jc w:val="center"/>
              <w:rPr>
                <w:sz w:val="22"/>
              </w:rPr>
            </w:pPr>
            <w:r>
              <w:rPr>
                <w:w w:val="100"/>
                <w:sz w:val="22"/>
              </w:rPr>
              <w:t>6</w:t>
            </w:r>
          </w:p>
        </w:tc>
        <w:tc>
          <w:tcPr>
            <w:tcW w:w="1718" w:type="dxa"/>
          </w:tcPr>
          <w:p>
            <w:pPr>
              <w:pStyle w:val="TableParagraph"/>
              <w:ind w:left="114"/>
              <w:rPr>
                <w:sz w:val="22"/>
              </w:rPr>
            </w:pPr>
            <w:r>
              <w:rPr>
                <w:w w:val="100"/>
                <w:sz w:val="22"/>
              </w:rPr>
              <w:t>9</w:t>
            </w:r>
          </w:p>
        </w:tc>
        <w:tc>
          <w:tcPr>
            <w:tcW w:w="1800" w:type="dxa"/>
          </w:tcPr>
          <w:p>
            <w:pPr>
              <w:pStyle w:val="TableParagraph"/>
              <w:ind w:left="112"/>
              <w:rPr>
                <w:sz w:val="22"/>
              </w:rPr>
            </w:pPr>
            <w:r>
              <w:rPr>
                <w:sz w:val="22"/>
              </w:rPr>
              <w:t>14</w:t>
            </w:r>
          </w:p>
        </w:tc>
      </w:tr>
      <w:tr>
        <w:trPr>
          <w:trHeight w:val="354" w:hRule="atLeast"/>
        </w:trPr>
        <w:tc>
          <w:tcPr>
            <w:tcW w:w="468" w:type="dxa"/>
          </w:tcPr>
          <w:p>
            <w:pPr>
              <w:pStyle w:val="TableParagraph"/>
              <w:ind w:left="0" w:right="114"/>
              <w:jc w:val="center"/>
              <w:rPr>
                <w:sz w:val="22"/>
              </w:rPr>
            </w:pPr>
            <w:r>
              <w:rPr>
                <w:w w:val="100"/>
                <w:sz w:val="22"/>
              </w:rPr>
              <w:t>7</w:t>
            </w:r>
          </w:p>
        </w:tc>
        <w:tc>
          <w:tcPr>
            <w:tcW w:w="1718" w:type="dxa"/>
          </w:tcPr>
          <w:p>
            <w:pPr>
              <w:pStyle w:val="TableParagraph"/>
              <w:ind w:left="114"/>
              <w:rPr>
                <w:sz w:val="22"/>
              </w:rPr>
            </w:pPr>
            <w:r>
              <w:rPr>
                <w:w w:val="100"/>
                <w:sz w:val="22"/>
              </w:rPr>
              <w:t>1</w:t>
            </w:r>
          </w:p>
        </w:tc>
        <w:tc>
          <w:tcPr>
            <w:tcW w:w="1800" w:type="dxa"/>
          </w:tcPr>
          <w:p>
            <w:pPr>
              <w:pStyle w:val="TableParagraph"/>
              <w:ind w:left="112"/>
              <w:rPr>
                <w:sz w:val="22"/>
              </w:rPr>
            </w:pPr>
            <w:r>
              <w:rPr>
                <w:w w:val="100"/>
                <w:sz w:val="22"/>
              </w:rPr>
              <w:t>4</w:t>
            </w:r>
          </w:p>
        </w:tc>
      </w:tr>
      <w:tr>
        <w:trPr>
          <w:trHeight w:val="354" w:hRule="atLeast"/>
        </w:trPr>
        <w:tc>
          <w:tcPr>
            <w:tcW w:w="468" w:type="dxa"/>
          </w:tcPr>
          <w:p>
            <w:pPr>
              <w:pStyle w:val="TableParagraph"/>
              <w:ind w:left="0" w:right="114"/>
              <w:jc w:val="center"/>
              <w:rPr>
                <w:sz w:val="22"/>
              </w:rPr>
            </w:pPr>
            <w:r>
              <w:rPr>
                <w:w w:val="100"/>
                <w:sz w:val="22"/>
              </w:rPr>
              <w:t>8</w:t>
            </w:r>
          </w:p>
        </w:tc>
        <w:tc>
          <w:tcPr>
            <w:tcW w:w="1718" w:type="dxa"/>
          </w:tcPr>
          <w:p>
            <w:pPr>
              <w:pStyle w:val="TableParagraph"/>
              <w:ind w:left="114"/>
              <w:rPr>
                <w:sz w:val="22"/>
              </w:rPr>
            </w:pPr>
            <w:r>
              <w:rPr>
                <w:w w:val="100"/>
                <w:sz w:val="22"/>
              </w:rPr>
              <w:t>2</w:t>
            </w:r>
          </w:p>
        </w:tc>
        <w:tc>
          <w:tcPr>
            <w:tcW w:w="1800" w:type="dxa"/>
          </w:tcPr>
          <w:p>
            <w:pPr>
              <w:pStyle w:val="TableParagraph"/>
              <w:ind w:left="112"/>
              <w:rPr>
                <w:sz w:val="22"/>
              </w:rPr>
            </w:pPr>
            <w:r>
              <w:rPr>
                <w:w w:val="100"/>
                <w:sz w:val="22"/>
              </w:rPr>
              <w:t>5</w:t>
            </w:r>
          </w:p>
        </w:tc>
      </w:tr>
      <w:tr>
        <w:trPr>
          <w:trHeight w:val="352" w:hRule="atLeast"/>
        </w:trPr>
        <w:tc>
          <w:tcPr>
            <w:tcW w:w="468" w:type="dxa"/>
          </w:tcPr>
          <w:p>
            <w:pPr>
              <w:pStyle w:val="TableParagraph"/>
              <w:ind w:left="0" w:right="114"/>
              <w:jc w:val="center"/>
              <w:rPr>
                <w:sz w:val="22"/>
              </w:rPr>
            </w:pPr>
            <w:r>
              <w:rPr>
                <w:w w:val="100"/>
                <w:sz w:val="22"/>
              </w:rPr>
              <w:t>9</w:t>
            </w:r>
          </w:p>
        </w:tc>
        <w:tc>
          <w:tcPr>
            <w:tcW w:w="1718" w:type="dxa"/>
          </w:tcPr>
          <w:p>
            <w:pPr>
              <w:pStyle w:val="TableParagraph"/>
              <w:ind w:left="114"/>
              <w:rPr>
                <w:sz w:val="22"/>
              </w:rPr>
            </w:pPr>
            <w:r>
              <w:rPr>
                <w:w w:val="100"/>
                <w:sz w:val="22"/>
              </w:rPr>
              <w:t>4</w:t>
            </w:r>
          </w:p>
        </w:tc>
        <w:tc>
          <w:tcPr>
            <w:tcW w:w="1800" w:type="dxa"/>
          </w:tcPr>
          <w:p>
            <w:pPr>
              <w:pStyle w:val="TableParagraph"/>
              <w:ind w:left="112"/>
              <w:rPr>
                <w:sz w:val="22"/>
              </w:rPr>
            </w:pPr>
            <w:r>
              <w:rPr>
                <w:sz w:val="22"/>
              </w:rPr>
              <w:t>17</w:t>
            </w:r>
          </w:p>
        </w:tc>
      </w:tr>
      <w:tr>
        <w:trPr>
          <w:trHeight w:val="354" w:hRule="atLeast"/>
        </w:trPr>
        <w:tc>
          <w:tcPr>
            <w:tcW w:w="468" w:type="dxa"/>
          </w:tcPr>
          <w:p>
            <w:pPr>
              <w:pStyle w:val="TableParagraph"/>
              <w:spacing w:before="42"/>
              <w:ind w:left="97" w:right="97"/>
              <w:jc w:val="center"/>
              <w:rPr>
                <w:sz w:val="22"/>
              </w:rPr>
            </w:pPr>
            <w:r>
              <w:rPr>
                <w:sz w:val="22"/>
              </w:rPr>
              <w:t>10</w:t>
            </w:r>
          </w:p>
        </w:tc>
        <w:tc>
          <w:tcPr>
            <w:tcW w:w="1718" w:type="dxa"/>
          </w:tcPr>
          <w:p>
            <w:pPr>
              <w:pStyle w:val="TableParagraph"/>
              <w:spacing w:before="42"/>
              <w:ind w:left="114"/>
              <w:rPr>
                <w:sz w:val="22"/>
              </w:rPr>
            </w:pPr>
            <w:r>
              <w:rPr>
                <w:w w:val="100"/>
                <w:sz w:val="22"/>
              </w:rPr>
              <w:t>5</w:t>
            </w:r>
          </w:p>
        </w:tc>
        <w:tc>
          <w:tcPr>
            <w:tcW w:w="1800" w:type="dxa"/>
          </w:tcPr>
          <w:p>
            <w:pPr>
              <w:pStyle w:val="TableParagraph"/>
              <w:spacing w:before="42"/>
              <w:ind w:left="112"/>
              <w:rPr>
                <w:sz w:val="22"/>
              </w:rPr>
            </w:pPr>
            <w:r>
              <w:rPr>
                <w:w w:val="100"/>
                <w:sz w:val="22"/>
              </w:rPr>
              <w:t>1</w:t>
            </w:r>
          </w:p>
        </w:tc>
      </w:tr>
    </w:tbl>
    <w:p>
      <w:pPr>
        <w:spacing w:after="0"/>
        <w:rPr>
          <w:sz w:val="22"/>
        </w:rPr>
        <w:sectPr>
          <w:pgSz w:w="12240" w:h="15840"/>
          <w:pgMar w:header="763" w:footer="746" w:top="1340" w:bottom="940" w:left="860" w:right="700"/>
        </w:sectPr>
      </w:pPr>
    </w:p>
    <w:p>
      <w:pPr>
        <w:pStyle w:val="BodyText"/>
        <w:spacing w:before="2"/>
        <w:rPr>
          <w:sz w:val="28"/>
        </w:rPr>
      </w:pPr>
    </w:p>
    <w:p>
      <w:pPr>
        <w:pStyle w:val="BodyText"/>
        <w:spacing w:before="56"/>
        <w:ind w:left="220"/>
        <w:rPr>
          <w:rFonts w:ascii="Consolas"/>
        </w:rPr>
      </w:pPr>
      <w:r>
        <w:rPr>
          <w:rFonts w:ascii="Consolas"/>
        </w:rPr>
        <w:t>TTEST(A2:A10,B2:B10,2,1)</w:t>
      </w:r>
      <w:r>
        <w:rPr>
          <w:rFonts w:ascii="Consolas"/>
          <w:spacing w:val="-71"/>
        </w:rPr>
        <w:t> </w:t>
      </w:r>
      <w:r>
        <w:rPr/>
        <w:t>results in </w:t>
      </w:r>
      <w:r>
        <w:rPr>
          <w:rFonts w:ascii="Consolas"/>
        </w:rPr>
        <w:t>0.196016</w:t>
      </w:r>
    </w:p>
    <w:p>
      <w:pPr>
        <w:pStyle w:val="BodyText"/>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4 TYPE" w:id="2395"/>
      <w:bookmarkEnd w:id="2395"/>
      <w:r>
        <w:rPr/>
      </w:r>
      <w:bookmarkStart w:name="_bookmark798" w:id="2396"/>
      <w:bookmarkEnd w:id="2396"/>
      <w:r>
        <w:rPr/>
      </w:r>
      <w:bookmarkStart w:name="_bookmark798" w:id="2397"/>
      <w:bookmarkEnd w:id="2397"/>
      <w:r>
        <w:rPr>
          <w:color w:val="4F81BC"/>
        </w:rPr>
        <w:t>TYPE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TYPE ( </w:t>
      </w:r>
      <w:r>
        <w:rPr>
          <w:i/>
          <w:sz w:val="22"/>
        </w:rPr>
        <w:t>value </w:t>
      </w:r>
      <w:r>
        <w:rPr>
          <w:rFonts w:ascii="Lucida Console"/>
          <w:sz w:val="20"/>
        </w:rPr>
        <w:t>)</w:t>
      </w:r>
    </w:p>
    <w:p>
      <w:pPr>
        <w:spacing w:line="278" w:lineRule="auto" w:before="106"/>
        <w:ind w:left="220" w:right="503" w:firstLine="0"/>
        <w:jc w:val="left"/>
        <w:rPr>
          <w:sz w:val="22"/>
        </w:rPr>
      </w:pPr>
      <w:r>
        <w:rPr>
          <w:b/>
          <w:sz w:val="22"/>
        </w:rPr>
        <w:t>Description: </w:t>
      </w:r>
      <w:r>
        <w:rPr>
          <w:sz w:val="22"/>
        </w:rPr>
        <w:t>Computes the type of </w:t>
      </w:r>
      <w:r>
        <w:rPr>
          <w:rFonts w:ascii="Times New Roman"/>
          <w:i/>
          <w:sz w:val="22"/>
        </w:rPr>
        <w:t>value </w:t>
      </w:r>
      <w:r>
        <w:rPr>
          <w:sz w:val="22"/>
        </w:rPr>
        <w:t>or, if </w:t>
      </w:r>
      <w:r>
        <w:rPr>
          <w:rFonts w:ascii="Times New Roman"/>
          <w:i/>
          <w:sz w:val="22"/>
        </w:rPr>
        <w:t>value </w:t>
      </w:r>
      <w:r>
        <w:rPr>
          <w:sz w:val="22"/>
        </w:rPr>
        <w:t>is a reference to a single cell, the type of the value in that cell.</w:t>
      </w:r>
    </w:p>
    <w:p>
      <w:pPr>
        <w:pStyle w:val="Heading4"/>
        <w:spacing w:before="198"/>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value</w:t>
            </w:r>
          </w:p>
        </w:tc>
        <w:tc>
          <w:tcPr>
            <w:tcW w:w="1800" w:type="dxa"/>
          </w:tcPr>
          <w:p>
            <w:pPr>
              <w:pStyle w:val="TableParagraph"/>
              <w:ind w:left="112"/>
              <w:rPr>
                <w:sz w:val="22"/>
              </w:rPr>
            </w:pPr>
            <w:r>
              <w:rPr>
                <w:sz w:val="22"/>
              </w:rPr>
              <w:t>any</w:t>
            </w:r>
          </w:p>
        </w:tc>
        <w:tc>
          <w:tcPr>
            <w:tcW w:w="5400" w:type="dxa"/>
          </w:tcPr>
          <w:p>
            <w:pPr>
              <w:pStyle w:val="TableParagraph"/>
              <w:ind w:left="113" w:right="119"/>
              <w:rPr>
                <w:sz w:val="22"/>
              </w:rPr>
            </w:pPr>
            <w:r>
              <w:rPr>
                <w:sz w:val="22"/>
              </w:rPr>
              <w:t>The value whose type is to be determined. No conversion shall take place on an argument passed to this function.</w:t>
            </w:r>
          </w:p>
        </w:tc>
      </w:tr>
    </w:tbl>
    <w:p>
      <w:pPr>
        <w:pStyle w:val="BodyText"/>
        <w:rPr>
          <w:b/>
        </w:rPr>
      </w:pPr>
    </w:p>
    <w:p>
      <w:pPr>
        <w:pStyle w:val="BodyText"/>
        <w:spacing w:before="5"/>
        <w:rPr>
          <w:b/>
          <w:sz w:val="19"/>
        </w:rPr>
      </w:pPr>
    </w:p>
    <w:p>
      <w:pPr>
        <w:spacing w:line="278" w:lineRule="auto" w:before="0"/>
        <w:ind w:left="220" w:right="327" w:firstLine="0"/>
        <w:jc w:val="left"/>
        <w:rPr>
          <w:sz w:val="22"/>
        </w:rPr>
      </w:pPr>
      <w:r>
        <w:rPr>
          <w:b/>
          <w:sz w:val="22"/>
        </w:rPr>
        <w:t>Return Type and Value: </w:t>
      </w:r>
      <w:r>
        <w:rPr>
          <w:sz w:val="22"/>
        </w:rPr>
        <w:t>number – An integer that indicates the type of </w:t>
      </w:r>
      <w:r>
        <w:rPr>
          <w:rFonts w:ascii="Times New Roman" w:hAnsi="Times New Roman"/>
          <w:i/>
          <w:sz w:val="22"/>
        </w:rPr>
        <w:t>value </w:t>
      </w:r>
      <w:r>
        <w:rPr>
          <w:sz w:val="22"/>
        </w:rPr>
        <w:t>or, if </w:t>
      </w:r>
      <w:r>
        <w:rPr>
          <w:rFonts w:ascii="Times New Roman" w:hAnsi="Times New Roman"/>
          <w:i/>
          <w:sz w:val="22"/>
        </w:rPr>
        <w:t>value </w:t>
      </w:r>
      <w:r>
        <w:rPr>
          <w:sz w:val="22"/>
        </w:rPr>
        <w:t>is a reference to a single cell, the type of the value in that cell, as follows:</w:t>
      </w:r>
    </w:p>
    <w:p>
      <w:pPr>
        <w:pStyle w:val="BodyText"/>
        <w:spacing w:before="3"/>
        <w:rPr>
          <w:sz w:val="16"/>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2521"/>
      </w:tblGrid>
      <w:tr>
        <w:trPr>
          <w:trHeight w:val="354" w:hRule="atLeast"/>
        </w:trPr>
        <w:tc>
          <w:tcPr>
            <w:tcW w:w="2088" w:type="dxa"/>
            <w:shd w:val="clear" w:color="auto" w:fill="C0C0C0"/>
          </w:tcPr>
          <w:p>
            <w:pPr>
              <w:pStyle w:val="TableParagraph"/>
              <w:ind w:left="434"/>
              <w:rPr>
                <w:rFonts w:ascii="Times New Roman"/>
                <w:b/>
                <w:i/>
                <w:sz w:val="22"/>
              </w:rPr>
            </w:pPr>
            <w:r>
              <w:rPr>
                <w:b/>
                <w:sz w:val="22"/>
              </w:rPr>
              <w:t>Type of </w:t>
            </w:r>
            <w:r>
              <w:rPr>
                <w:rFonts w:ascii="Times New Roman"/>
                <w:b/>
                <w:i/>
                <w:sz w:val="22"/>
              </w:rPr>
              <w:t>value</w:t>
            </w:r>
          </w:p>
        </w:tc>
        <w:tc>
          <w:tcPr>
            <w:tcW w:w="2521" w:type="dxa"/>
            <w:shd w:val="clear" w:color="auto" w:fill="C0C0C0"/>
          </w:tcPr>
          <w:p>
            <w:pPr>
              <w:pStyle w:val="TableParagraph"/>
              <w:ind w:left="547"/>
              <w:rPr>
                <w:b/>
                <w:sz w:val="22"/>
              </w:rPr>
            </w:pPr>
            <w:r>
              <w:rPr>
                <w:b/>
                <w:sz w:val="22"/>
              </w:rPr>
              <w:t>Value Returned</w:t>
            </w:r>
          </w:p>
        </w:tc>
      </w:tr>
      <w:tr>
        <w:trPr>
          <w:trHeight w:val="352" w:hRule="atLeast"/>
        </w:trPr>
        <w:tc>
          <w:tcPr>
            <w:tcW w:w="2088" w:type="dxa"/>
          </w:tcPr>
          <w:p>
            <w:pPr>
              <w:pStyle w:val="TableParagraph"/>
              <w:rPr>
                <w:sz w:val="22"/>
              </w:rPr>
            </w:pPr>
            <w:r>
              <w:rPr>
                <w:sz w:val="22"/>
              </w:rPr>
              <w:t>number</w:t>
            </w:r>
          </w:p>
        </w:tc>
        <w:tc>
          <w:tcPr>
            <w:tcW w:w="2521" w:type="dxa"/>
          </w:tcPr>
          <w:p>
            <w:pPr>
              <w:pStyle w:val="TableParagraph"/>
              <w:ind w:left="114"/>
              <w:rPr>
                <w:sz w:val="22"/>
              </w:rPr>
            </w:pPr>
            <w:r>
              <w:rPr>
                <w:w w:val="100"/>
                <w:sz w:val="22"/>
              </w:rPr>
              <w:t>1</w:t>
            </w:r>
          </w:p>
        </w:tc>
      </w:tr>
      <w:tr>
        <w:trPr>
          <w:trHeight w:val="355" w:hRule="atLeast"/>
        </w:trPr>
        <w:tc>
          <w:tcPr>
            <w:tcW w:w="2088" w:type="dxa"/>
          </w:tcPr>
          <w:p>
            <w:pPr>
              <w:pStyle w:val="TableParagraph"/>
              <w:spacing w:before="42"/>
              <w:rPr>
                <w:sz w:val="22"/>
              </w:rPr>
            </w:pPr>
            <w:r>
              <w:rPr>
                <w:sz w:val="22"/>
              </w:rPr>
              <w:t>text</w:t>
            </w:r>
          </w:p>
        </w:tc>
        <w:tc>
          <w:tcPr>
            <w:tcW w:w="2521" w:type="dxa"/>
          </w:tcPr>
          <w:p>
            <w:pPr>
              <w:pStyle w:val="TableParagraph"/>
              <w:spacing w:before="42"/>
              <w:ind w:left="114"/>
              <w:rPr>
                <w:sz w:val="22"/>
              </w:rPr>
            </w:pPr>
            <w:r>
              <w:rPr>
                <w:w w:val="100"/>
                <w:sz w:val="22"/>
              </w:rPr>
              <w:t>2</w:t>
            </w:r>
          </w:p>
        </w:tc>
      </w:tr>
      <w:tr>
        <w:trPr>
          <w:trHeight w:val="354" w:hRule="atLeast"/>
        </w:trPr>
        <w:tc>
          <w:tcPr>
            <w:tcW w:w="2088" w:type="dxa"/>
          </w:tcPr>
          <w:p>
            <w:pPr>
              <w:pStyle w:val="TableParagraph"/>
              <w:rPr>
                <w:sz w:val="22"/>
              </w:rPr>
            </w:pPr>
            <w:r>
              <w:rPr>
                <w:sz w:val="22"/>
              </w:rPr>
              <w:t>logical</w:t>
            </w:r>
          </w:p>
        </w:tc>
        <w:tc>
          <w:tcPr>
            <w:tcW w:w="2521" w:type="dxa"/>
          </w:tcPr>
          <w:p>
            <w:pPr>
              <w:pStyle w:val="TableParagraph"/>
              <w:ind w:left="114"/>
              <w:rPr>
                <w:sz w:val="22"/>
              </w:rPr>
            </w:pPr>
            <w:r>
              <w:rPr>
                <w:w w:val="100"/>
                <w:sz w:val="22"/>
              </w:rPr>
              <w:t>4</w:t>
            </w:r>
          </w:p>
        </w:tc>
      </w:tr>
      <w:tr>
        <w:trPr>
          <w:trHeight w:val="354" w:hRule="atLeast"/>
        </w:trPr>
        <w:tc>
          <w:tcPr>
            <w:tcW w:w="2088" w:type="dxa"/>
          </w:tcPr>
          <w:p>
            <w:pPr>
              <w:pStyle w:val="TableParagraph"/>
              <w:rPr>
                <w:sz w:val="22"/>
              </w:rPr>
            </w:pPr>
            <w:r>
              <w:rPr>
                <w:sz w:val="22"/>
              </w:rPr>
              <w:t>error value</w:t>
            </w:r>
          </w:p>
        </w:tc>
        <w:tc>
          <w:tcPr>
            <w:tcW w:w="2521" w:type="dxa"/>
          </w:tcPr>
          <w:p>
            <w:pPr>
              <w:pStyle w:val="TableParagraph"/>
              <w:ind w:left="114"/>
              <w:rPr>
                <w:sz w:val="22"/>
              </w:rPr>
            </w:pPr>
            <w:r>
              <w:rPr>
                <w:sz w:val="22"/>
              </w:rPr>
              <w:t>16</w:t>
            </w:r>
          </w:p>
        </w:tc>
      </w:tr>
      <w:tr>
        <w:trPr>
          <w:trHeight w:val="354" w:hRule="atLeast"/>
        </w:trPr>
        <w:tc>
          <w:tcPr>
            <w:tcW w:w="2088" w:type="dxa"/>
          </w:tcPr>
          <w:p>
            <w:pPr>
              <w:pStyle w:val="TableParagraph"/>
              <w:rPr>
                <w:sz w:val="22"/>
              </w:rPr>
            </w:pPr>
            <w:r>
              <w:rPr>
                <w:sz w:val="22"/>
              </w:rPr>
              <w:t>array of any kind</w:t>
            </w:r>
          </w:p>
        </w:tc>
        <w:tc>
          <w:tcPr>
            <w:tcW w:w="2521" w:type="dxa"/>
          </w:tcPr>
          <w:p>
            <w:pPr>
              <w:pStyle w:val="TableParagraph"/>
              <w:ind w:left="114"/>
              <w:rPr>
                <w:sz w:val="22"/>
              </w:rPr>
            </w:pPr>
            <w:r>
              <w:rPr>
                <w:sz w:val="22"/>
              </w:rPr>
              <w:t>64</w:t>
            </w:r>
          </w:p>
        </w:tc>
      </w:tr>
    </w:tbl>
    <w:p>
      <w:pPr>
        <w:pStyle w:val="BodyText"/>
      </w:pPr>
    </w:p>
    <w:p>
      <w:pPr>
        <w:pStyle w:val="BodyText"/>
        <w:spacing w:before="5"/>
        <w:rPr>
          <w:sz w:val="19"/>
        </w:rPr>
      </w:pPr>
    </w:p>
    <w:p>
      <w:pPr>
        <w:spacing w:before="0"/>
        <w:ind w:left="220" w:right="0" w:firstLine="0"/>
        <w:jc w:val="left"/>
        <w:rPr>
          <w:sz w:val="22"/>
        </w:rPr>
      </w:pPr>
      <w:r>
        <w:rPr>
          <w:sz w:val="22"/>
        </w:rPr>
        <w:t>[</w:t>
      </w:r>
      <w:r>
        <w:rPr>
          <w:i/>
          <w:sz w:val="22"/>
        </w:rPr>
        <w:t>Example</w:t>
      </w:r>
      <w:r>
        <w:rPr>
          <w:sz w:val="22"/>
        </w:rPr>
        <w:t>:</w:t>
      </w:r>
    </w:p>
    <w:p>
      <w:pPr>
        <w:pStyle w:val="BodyText"/>
        <w:spacing w:before="9"/>
        <w:rPr>
          <w:sz w:val="28"/>
        </w:rPr>
      </w:pPr>
    </w:p>
    <w:p>
      <w:pPr>
        <w:pStyle w:val="BodyText"/>
        <w:ind w:left="220"/>
        <w:rPr>
          <w:rFonts w:ascii="Consolas"/>
        </w:rPr>
      </w:pPr>
      <w:r>
        <w:rPr>
          <w:rFonts w:ascii="Consolas"/>
        </w:rPr>
        <w:t>TYPE(10.5)</w:t>
      </w:r>
      <w:r>
        <w:rPr>
          <w:rFonts w:ascii="Consolas"/>
          <w:spacing w:val="-73"/>
        </w:rPr>
        <w:t> </w:t>
      </w:r>
      <w:r>
        <w:rPr/>
        <w:t>results in </w:t>
      </w:r>
      <w:r>
        <w:rPr>
          <w:rFonts w:ascii="Consolas"/>
        </w:rPr>
        <w:t>1</w:t>
      </w:r>
    </w:p>
    <w:p>
      <w:pPr>
        <w:pStyle w:val="BodyText"/>
        <w:spacing w:before="38"/>
        <w:ind w:left="220"/>
      </w:pPr>
      <w:r>
        <w:rPr>
          <w:rFonts w:ascii="Consolas"/>
        </w:rPr>
        <w:t>TYPE(A10)</w:t>
      </w:r>
      <w:r>
        <w:rPr>
          <w:rFonts w:ascii="Consolas"/>
          <w:spacing w:val="-75"/>
        </w:rPr>
        <w:t> </w:t>
      </w:r>
      <w:r>
        <w:rPr/>
        <w:t>results in </w:t>
      </w:r>
      <w:r>
        <w:rPr>
          <w:rFonts w:ascii="Consolas"/>
        </w:rPr>
        <w:t>1</w:t>
      </w:r>
      <w:r>
        <w:rPr/>
        <w:t>, when A10 contains a number</w:t>
      </w:r>
    </w:p>
    <w:p>
      <w:pPr>
        <w:pStyle w:val="BodyText"/>
        <w:spacing w:before="41"/>
        <w:ind w:left="220"/>
        <w:rPr>
          <w:rFonts w:ascii="Consolas"/>
        </w:rPr>
      </w:pPr>
      <w:r>
        <w:rPr>
          <w:rFonts w:ascii="Consolas"/>
        </w:rPr>
        <w:t>TYPE("ABC")</w:t>
      </w:r>
      <w:r>
        <w:rPr>
          <w:rFonts w:ascii="Consolas"/>
          <w:spacing w:val="-72"/>
        </w:rPr>
        <w:t> </w:t>
      </w:r>
      <w:r>
        <w:rPr/>
        <w:t>results in </w:t>
      </w:r>
      <w:r>
        <w:rPr>
          <w:rFonts w:ascii="Consolas"/>
        </w:rPr>
        <w:t>2</w:t>
      </w:r>
    </w:p>
    <w:p>
      <w:pPr>
        <w:pStyle w:val="BodyText"/>
        <w:spacing w:before="42"/>
        <w:ind w:left="220"/>
      </w:pPr>
      <w:r>
        <w:rPr>
          <w:rFonts w:ascii="Consolas"/>
        </w:rPr>
        <w:t>TYPE(A10)</w:t>
      </w:r>
      <w:r>
        <w:rPr>
          <w:rFonts w:ascii="Consolas"/>
          <w:spacing w:val="-75"/>
        </w:rPr>
        <w:t> </w:t>
      </w:r>
      <w:r>
        <w:rPr/>
        <w:t>results in </w:t>
      </w:r>
      <w:r>
        <w:rPr>
          <w:rFonts w:ascii="Consolas"/>
        </w:rPr>
        <w:t>2</w:t>
      </w:r>
      <w:r>
        <w:rPr/>
        <w:t>, when A10 contains a string</w:t>
      </w:r>
    </w:p>
    <w:p>
      <w:pPr>
        <w:pStyle w:val="BodyText"/>
        <w:spacing w:before="39"/>
        <w:ind w:left="220"/>
        <w:rPr>
          <w:rFonts w:ascii="Consolas"/>
        </w:rPr>
      </w:pPr>
      <w:r>
        <w:rPr>
          <w:rFonts w:ascii="Consolas"/>
        </w:rPr>
        <w:t>TYPE(TRUE)</w:t>
      </w:r>
      <w:r>
        <w:rPr>
          <w:rFonts w:ascii="Consolas"/>
          <w:spacing w:val="-73"/>
        </w:rPr>
        <w:t> </w:t>
      </w:r>
      <w:r>
        <w:rPr/>
        <w:t>results in </w:t>
      </w:r>
      <w:r>
        <w:rPr>
          <w:rFonts w:ascii="Consolas"/>
        </w:rPr>
        <w:t>4</w:t>
      </w:r>
    </w:p>
    <w:p>
      <w:pPr>
        <w:pStyle w:val="BodyText"/>
        <w:spacing w:before="43"/>
        <w:ind w:left="220"/>
      </w:pPr>
      <w:r>
        <w:rPr>
          <w:rFonts w:ascii="Consolas"/>
        </w:rPr>
        <w:t>TYPE(A10)</w:t>
      </w:r>
      <w:r>
        <w:rPr>
          <w:rFonts w:ascii="Consolas"/>
          <w:spacing w:val="-78"/>
        </w:rPr>
        <w:t> </w:t>
      </w:r>
      <w:r>
        <w:rPr/>
        <w:t>results in </w:t>
      </w:r>
      <w:r>
        <w:rPr>
          <w:rFonts w:ascii="Consolas"/>
        </w:rPr>
        <w:t>4</w:t>
      </w:r>
      <w:r>
        <w:rPr/>
        <w:t>, when A10 contains a logical value</w:t>
      </w:r>
    </w:p>
    <w:p>
      <w:pPr>
        <w:pStyle w:val="BodyText"/>
        <w:spacing w:before="6"/>
        <w:rPr>
          <w:sz w:val="19"/>
        </w:rPr>
      </w:pPr>
    </w:p>
    <w:p>
      <w:pPr>
        <w:pStyle w:val="BodyText"/>
        <w:ind w:left="220"/>
        <w:rPr>
          <w:rFonts w:ascii="Consolas"/>
        </w:rPr>
      </w:pPr>
      <w:r>
        <w:rPr>
          <w:rFonts w:ascii="Consolas"/>
        </w:rPr>
        <w:t>TYPE(5/0)</w:t>
      </w:r>
      <w:r>
        <w:rPr>
          <w:rFonts w:ascii="Consolas"/>
          <w:spacing w:val="-74"/>
        </w:rPr>
        <w:t> </w:t>
      </w:r>
      <w:r>
        <w:rPr/>
        <w:t>results in </w:t>
      </w:r>
      <w:r>
        <w:rPr>
          <w:rFonts w:ascii="Consolas"/>
        </w:rPr>
        <w:t>16</w:t>
      </w:r>
    </w:p>
    <w:p>
      <w:pPr>
        <w:pStyle w:val="BodyText"/>
        <w:spacing w:before="41"/>
        <w:ind w:left="220"/>
      </w:pPr>
      <w:r>
        <w:rPr>
          <w:rFonts w:ascii="Consolas"/>
        </w:rPr>
        <w:t>TYPE(A10)</w:t>
      </w:r>
      <w:r>
        <w:rPr>
          <w:rFonts w:ascii="Consolas"/>
          <w:spacing w:val="-82"/>
        </w:rPr>
        <w:t> </w:t>
      </w:r>
      <w:r>
        <w:rPr/>
        <w:t>results in </w:t>
      </w:r>
      <w:r>
        <w:rPr>
          <w:rFonts w:ascii="Consolas"/>
        </w:rPr>
        <w:t>16</w:t>
      </w:r>
      <w:r>
        <w:rPr/>
        <w:t>, when A10 contains any error value</w:t>
      </w:r>
    </w:p>
    <w:p>
      <w:pPr>
        <w:pStyle w:val="BodyText"/>
        <w:spacing w:line="276" w:lineRule="auto" w:before="39"/>
        <w:ind w:left="220" w:right="6753"/>
        <w:rPr>
          <w:rFonts w:ascii="Consolas"/>
        </w:rPr>
      </w:pPr>
      <w:r>
        <w:rPr>
          <w:rFonts w:ascii="Consolas"/>
        </w:rPr>
        <w:t>TYPE({1,2,3}) </w:t>
      </w:r>
      <w:r>
        <w:rPr/>
        <w:t>results in </w:t>
      </w:r>
      <w:r>
        <w:rPr>
          <w:rFonts w:ascii="Consolas"/>
        </w:rPr>
        <w:t>64 TYPE({TRUE,2.5,#N/A})</w:t>
      </w:r>
      <w:r>
        <w:rPr>
          <w:rFonts w:ascii="Consolas"/>
          <w:spacing w:val="-80"/>
        </w:rPr>
        <w:t> </w:t>
      </w:r>
      <w:r>
        <w:rPr/>
        <w:t>results in </w:t>
      </w:r>
      <w:r>
        <w:rPr>
          <w:rFonts w:ascii="Consolas"/>
        </w:rPr>
        <w:t>64</w:t>
      </w:r>
    </w:p>
    <w:p>
      <w:pPr>
        <w:spacing w:after="0" w:line="276" w:lineRule="auto"/>
        <w:rPr>
          <w:rFonts w:ascii="Consolas"/>
        </w:rPr>
        <w:sectPr>
          <w:pgSz w:w="12240" w:h="15840"/>
          <w:pgMar w:header="761" w:footer="746" w:top="1340" w:bottom="940" w:left="860" w:right="700"/>
        </w:sectPr>
      </w:pPr>
    </w:p>
    <w:p>
      <w:pPr>
        <w:pStyle w:val="BodyText"/>
        <w:spacing w:line="276" w:lineRule="auto" w:before="148"/>
        <w:ind w:left="220" w:right="6638"/>
        <w:rPr>
          <w:rFonts w:ascii="Consolas"/>
        </w:rPr>
      </w:pPr>
      <w:r>
        <w:rPr>
          <w:rFonts w:ascii="Consolas"/>
        </w:rPr>
        <w:t>TYPE(IF(10&gt;5,"Yes",20))</w:t>
      </w:r>
      <w:r>
        <w:rPr>
          <w:rFonts w:ascii="Consolas"/>
          <w:spacing w:val="-86"/>
        </w:rPr>
        <w:t> </w:t>
      </w:r>
      <w:r>
        <w:rPr/>
        <w:t>results in </w:t>
      </w:r>
      <w:r>
        <w:rPr>
          <w:rFonts w:ascii="Consolas"/>
        </w:rPr>
        <w:t>2 TYPE(IF(10&lt;5,"Yes",20))</w:t>
      </w:r>
      <w:r>
        <w:rPr>
          <w:rFonts w:ascii="Consolas"/>
          <w:spacing w:val="-86"/>
        </w:rPr>
        <w:t> </w:t>
      </w:r>
      <w:r>
        <w:rPr/>
        <w:t>results in </w:t>
      </w:r>
      <w:r>
        <w:rPr>
          <w:rFonts w:ascii="Consolas"/>
        </w:rPr>
        <w:t>1</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5 UPPER" w:id="2398"/>
      <w:bookmarkEnd w:id="2398"/>
      <w:r>
        <w:rPr/>
      </w:r>
      <w:bookmarkStart w:name="_bookmark799" w:id="2399"/>
      <w:bookmarkEnd w:id="2399"/>
      <w:r>
        <w:rPr/>
      </w:r>
      <w:bookmarkStart w:name="_bookmark799" w:id="2400"/>
      <w:bookmarkEnd w:id="2400"/>
      <w:r>
        <w:rPr>
          <w:color w:val="4F81BC"/>
        </w:rPr>
        <w:t>UPP</w:t>
      </w:r>
      <w:r>
        <w:rPr>
          <w:color w:val="4F81BC"/>
        </w:rPr>
        <w:t>ER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UPPER ( </w:t>
      </w:r>
      <w:r>
        <w:rPr>
          <w:i/>
          <w:sz w:val="22"/>
        </w:rPr>
        <w:t>string </w:t>
      </w:r>
      <w:r>
        <w:rPr>
          <w:rFonts w:ascii="Lucida Console"/>
          <w:sz w:val="20"/>
        </w:rPr>
        <w:t>)</w:t>
      </w:r>
    </w:p>
    <w:p>
      <w:pPr>
        <w:spacing w:before="108"/>
        <w:ind w:left="220" w:right="0" w:firstLine="0"/>
        <w:jc w:val="left"/>
        <w:rPr>
          <w:sz w:val="22"/>
        </w:rPr>
      </w:pPr>
      <w:r>
        <w:rPr>
          <w:b/>
          <w:sz w:val="22"/>
        </w:rPr>
        <w:t>Description: </w:t>
      </w:r>
      <w:r>
        <w:rPr>
          <w:sz w:val="22"/>
        </w:rPr>
        <w:t>Makes an uppercase version of </w:t>
      </w:r>
      <w:r>
        <w:rPr>
          <w:rFonts w:ascii="Times New Roman"/>
          <w:i/>
          <w:sz w:val="22"/>
        </w:rPr>
        <w:t>string</w:t>
      </w:r>
      <w:r>
        <w:rPr>
          <w:sz w:val="22"/>
        </w:rPr>
        <w:t>.</w:t>
      </w:r>
    </w:p>
    <w:p>
      <w:pPr>
        <w:pStyle w:val="BodyText"/>
        <w:spacing w:before="9"/>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Pr>
                <w:sz w:val="22"/>
              </w:rPr>
            </w:pPr>
            <w:r>
              <w:rPr>
                <w:sz w:val="22"/>
              </w:rPr>
              <w:t>Designates the string to be converted.</w:t>
            </w:r>
          </w:p>
        </w:tc>
      </w:tr>
    </w:tbl>
    <w:p>
      <w:pPr>
        <w:pStyle w:val="BodyText"/>
        <w:rPr>
          <w:b/>
        </w:rPr>
      </w:pPr>
    </w:p>
    <w:p>
      <w:pPr>
        <w:pStyle w:val="BodyText"/>
        <w:spacing w:before="7"/>
        <w:rPr>
          <w:b/>
          <w:sz w:val="19"/>
        </w:rPr>
      </w:pPr>
    </w:p>
    <w:p>
      <w:pPr>
        <w:spacing w:line="453" w:lineRule="auto" w:before="0"/>
        <w:ind w:left="220" w:right="4821" w:firstLine="0"/>
        <w:jc w:val="left"/>
        <w:rPr>
          <w:sz w:val="22"/>
        </w:rPr>
      </w:pPr>
      <w:r>
        <w:rPr>
          <w:b/>
          <w:sz w:val="22"/>
        </w:rPr>
        <w:t>Return Type and Value: </w:t>
      </w:r>
      <w:r>
        <w:rPr>
          <w:sz w:val="22"/>
        </w:rPr>
        <w:t>text – The uppercase version of </w:t>
      </w:r>
      <w:r>
        <w:rPr>
          <w:rFonts w:ascii="Times New Roman" w:hAnsi="Times New Roman"/>
          <w:i/>
          <w:sz w:val="22"/>
        </w:rPr>
        <w:t>string</w:t>
      </w:r>
      <w:r>
        <w:rPr>
          <w:sz w:val="22"/>
        </w:rPr>
        <w:t>. [</w:t>
      </w:r>
      <w:r>
        <w:rPr>
          <w:i/>
          <w:sz w:val="22"/>
        </w:rPr>
        <w:t>Example</w:t>
      </w:r>
      <w:r>
        <w:rPr>
          <w:sz w:val="22"/>
        </w:rPr>
        <w:t>:</w:t>
      </w:r>
    </w:p>
    <w:p>
      <w:pPr>
        <w:pStyle w:val="BodyText"/>
        <w:spacing w:before="111"/>
        <w:ind w:left="220"/>
        <w:rPr>
          <w:rFonts w:ascii="Consolas"/>
        </w:rPr>
      </w:pPr>
      <w:r>
        <w:rPr>
          <w:rFonts w:ascii="Consolas"/>
        </w:rPr>
        <w:t>UPPER("AbCd123#$%^")</w:t>
      </w:r>
      <w:r>
        <w:rPr>
          <w:rFonts w:ascii="Consolas"/>
          <w:spacing w:val="-72"/>
        </w:rPr>
        <w:t> </w:t>
      </w:r>
      <w:r>
        <w:rPr/>
        <w:t>results in </w:t>
      </w:r>
      <w:r>
        <w:rPr>
          <w:rFonts w:ascii="Consolas"/>
        </w:rPr>
        <w:t>ABCD123#$%^</w:t>
      </w:r>
    </w:p>
    <w:p>
      <w:pPr>
        <w:pStyle w:val="BodyText"/>
        <w:spacing w:before="38"/>
        <w:ind w:left="220"/>
        <w:rPr>
          <w:rFonts w:ascii="Consolas"/>
        </w:rPr>
      </w:pPr>
      <w:r>
        <w:rPr>
          <w:rFonts w:ascii="Consolas"/>
        </w:rPr>
        <w:t>UPPER(A10)</w:t>
      </w:r>
      <w:r>
        <w:rPr>
          <w:rFonts w:ascii="Consolas"/>
          <w:spacing w:val="-80"/>
        </w:rPr>
        <w:t> </w:t>
      </w:r>
      <w:r>
        <w:rPr/>
        <w:t>results in </w:t>
      </w:r>
      <w:r>
        <w:rPr>
          <w:rFonts w:ascii="Consolas"/>
        </w:rPr>
        <w:t>234FRTQWC$#%</w:t>
      </w:r>
      <w:r>
        <w:rPr/>
        <w:t>, when A10 contains </w:t>
      </w:r>
      <w:r>
        <w:rPr>
          <w:rFonts w:ascii="Consolas"/>
        </w:rPr>
        <w:t>234FRTqwc$#%</w:t>
      </w:r>
    </w:p>
    <w:p>
      <w:pPr>
        <w:pStyle w:val="BodyText"/>
        <w:spacing w:before="2"/>
        <w:rPr>
          <w:rFonts w:ascii="Consolas"/>
          <w:sz w:val="3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36 USDOLLAR" w:id="2401"/>
      <w:bookmarkEnd w:id="2401"/>
      <w:r>
        <w:rPr/>
      </w:r>
      <w:bookmarkStart w:name="_bookmark800" w:id="2402"/>
      <w:bookmarkEnd w:id="2402"/>
      <w:r>
        <w:rPr/>
      </w:r>
      <w:bookmarkStart w:name="_bookmark800" w:id="2403"/>
      <w:bookmarkEnd w:id="2403"/>
      <w:r>
        <w:rPr>
          <w:color w:val="4F81BC"/>
        </w:rPr>
        <w:t>U</w:t>
      </w:r>
      <w:r>
        <w:rPr>
          <w:color w:val="4F81BC"/>
        </w:rPr>
        <w:t>SDOLLAR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USDOLLAR ( </w:t>
      </w:r>
      <w:r>
        <w:rPr>
          <w:i/>
          <w:sz w:val="22"/>
        </w:rPr>
        <w:t>number </w:t>
      </w:r>
      <w:r>
        <w:rPr>
          <w:sz w:val="22"/>
        </w:rPr>
        <w:t>[ </w:t>
      </w:r>
      <w:r>
        <w:rPr>
          <w:rFonts w:ascii="Lucida Console"/>
          <w:sz w:val="20"/>
        </w:rPr>
        <w:t>, </w:t>
      </w:r>
      <w:r>
        <w:rPr>
          <w:i/>
          <w:sz w:val="22"/>
        </w:rPr>
        <w:t>num-decimal </w:t>
      </w:r>
      <w:r>
        <w:rPr>
          <w:sz w:val="22"/>
        </w:rPr>
        <w:t>] </w:t>
      </w:r>
      <w:r>
        <w:rPr>
          <w:rFonts w:ascii="Lucida Console"/>
          <w:sz w:val="20"/>
        </w:rPr>
        <w:t>)</w:t>
      </w:r>
    </w:p>
    <w:p>
      <w:pPr>
        <w:pStyle w:val="BodyText"/>
        <w:spacing w:line="276" w:lineRule="auto" w:before="106"/>
        <w:ind w:left="220" w:right="503"/>
      </w:pPr>
      <w:r>
        <w:rPr>
          <w:b/>
        </w:rPr>
        <w:t>Description: </w:t>
      </w:r>
      <w:r>
        <w:rPr/>
        <w:t>Produces a string containing </w:t>
      </w:r>
      <w:r>
        <w:rPr>
          <w:rFonts w:ascii="Times New Roman"/>
          <w:i/>
        </w:rPr>
        <w:t>number </w:t>
      </w:r>
      <w:r>
        <w:rPr/>
        <w:t>rounded to </w:t>
      </w:r>
      <w:r>
        <w:rPr>
          <w:rFonts w:ascii="Times New Roman"/>
          <w:i/>
        </w:rPr>
        <w:t>num-decimal </w:t>
      </w:r>
      <w:r>
        <w:rPr/>
        <w:t>decimal places. The thousands separator is the comma, the radix point is the period, and the currency symbol is "$". The format used is</w:t>
      </w:r>
    </w:p>
    <w:p>
      <w:pPr>
        <w:pStyle w:val="BodyText"/>
        <w:spacing w:before="1"/>
        <w:ind w:left="220"/>
      </w:pPr>
      <w:r>
        <w:rPr/>
        <w:t>$#,##0.00;($#,##0.00).</w:t>
      </w:r>
    </w:p>
    <w:p>
      <w:pPr>
        <w:pStyle w:val="BodyText"/>
        <w:spacing w:before="8"/>
        <w:rPr>
          <w:sz w:val="19"/>
        </w:rPr>
      </w:pPr>
    </w:p>
    <w:p>
      <w:pPr>
        <w:pStyle w:val="Heading4"/>
        <w:spacing w:before="1"/>
      </w:pPr>
      <w:r>
        <w:rPr/>
        <w:t>Arguments:</w:t>
      </w:r>
    </w:p>
    <w:p>
      <w:pPr>
        <w:pStyle w:val="BodyText"/>
        <w:spacing w:before="1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3"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that is to be formatted.</w:t>
            </w:r>
          </w:p>
        </w:tc>
      </w:tr>
      <w:tr>
        <w:trPr>
          <w:trHeight w:val="1161" w:hRule="atLeast"/>
        </w:trPr>
        <w:tc>
          <w:tcPr>
            <w:tcW w:w="1466" w:type="dxa"/>
          </w:tcPr>
          <w:p>
            <w:pPr>
              <w:pStyle w:val="TableParagraph"/>
              <w:spacing w:before="37"/>
              <w:rPr>
                <w:rFonts w:ascii="Times New Roman"/>
                <w:i/>
                <w:sz w:val="22"/>
              </w:rPr>
            </w:pPr>
            <w:r>
              <w:rPr>
                <w:rFonts w:ascii="Times New Roman"/>
                <w:i/>
                <w:sz w:val="22"/>
              </w:rPr>
              <w:t>num-decimal</w:t>
            </w:r>
          </w:p>
        </w:tc>
        <w:tc>
          <w:tcPr>
            <w:tcW w:w="1800" w:type="dxa"/>
          </w:tcPr>
          <w:p>
            <w:pPr>
              <w:pStyle w:val="TableParagraph"/>
              <w:ind w:left="112"/>
              <w:rPr>
                <w:sz w:val="22"/>
              </w:rPr>
            </w:pPr>
            <w:r>
              <w:rPr>
                <w:sz w:val="22"/>
              </w:rPr>
              <w:t>number</w:t>
            </w:r>
          </w:p>
        </w:tc>
        <w:tc>
          <w:tcPr>
            <w:tcW w:w="5400" w:type="dxa"/>
          </w:tcPr>
          <w:p>
            <w:pPr>
              <w:pStyle w:val="TableParagraph"/>
              <w:ind w:left="113" w:right="113"/>
              <w:rPr>
                <w:sz w:val="22"/>
              </w:rPr>
            </w:pPr>
            <w:r>
              <w:rPr>
                <w:sz w:val="22"/>
              </w:rPr>
              <w:t>Designate the number of decimal places to be used in the resulting string; it is truncated to an integer. If </w:t>
            </w:r>
            <w:r>
              <w:rPr>
                <w:rFonts w:ascii="Times New Roman"/>
                <w:i/>
                <w:sz w:val="22"/>
              </w:rPr>
              <w:t>num- </w:t>
            </w:r>
            <w:r>
              <w:rPr>
                <w:rFonts w:ascii="Times New Roman"/>
                <w:i/>
                <w:sz w:val="22"/>
              </w:rPr>
              <w:t>decimal </w:t>
            </w:r>
            <w:r>
              <w:rPr>
                <w:sz w:val="22"/>
              </w:rPr>
              <w:t>is negative, </w:t>
            </w:r>
            <w:r>
              <w:rPr>
                <w:rFonts w:ascii="Times New Roman"/>
                <w:i/>
                <w:sz w:val="22"/>
              </w:rPr>
              <w:t>number </w:t>
            </w:r>
            <w:r>
              <w:rPr>
                <w:sz w:val="22"/>
              </w:rPr>
              <w:t>is rounded to the left of the decimal point. If omitted, a value of 2 shall be assumed.</w:t>
            </w:r>
          </w:p>
        </w:tc>
      </w:tr>
    </w:tbl>
    <w:p>
      <w:pPr>
        <w:spacing w:after="0"/>
        <w:rPr>
          <w:sz w:val="22"/>
        </w:rPr>
        <w:sectPr>
          <w:pgSz w:w="12240" w:h="15840"/>
          <w:pgMar w:header="763" w:footer="746" w:top="1340" w:bottom="940" w:left="860" w:right="700"/>
        </w:sectPr>
      </w:pPr>
    </w:p>
    <w:p>
      <w:pPr>
        <w:spacing w:line="278" w:lineRule="auto" w:before="90"/>
        <w:ind w:left="220" w:right="0" w:firstLine="0"/>
        <w:jc w:val="left"/>
        <w:rPr>
          <w:sz w:val="22"/>
        </w:rPr>
      </w:pPr>
      <w:r>
        <w:rPr>
          <w:b/>
          <w:sz w:val="22"/>
        </w:rPr>
        <w:t>Return Type and Value: </w:t>
      </w:r>
      <w:r>
        <w:rPr>
          <w:sz w:val="22"/>
        </w:rPr>
        <w:t>text – The string containing </w:t>
      </w:r>
      <w:r>
        <w:rPr>
          <w:rFonts w:ascii="Times New Roman" w:hAnsi="Times New Roman"/>
          <w:i/>
          <w:sz w:val="22"/>
        </w:rPr>
        <w:t>number </w:t>
      </w:r>
      <w:r>
        <w:rPr>
          <w:sz w:val="22"/>
        </w:rPr>
        <w:t>rounded to </w:t>
      </w:r>
      <w:r>
        <w:rPr>
          <w:rFonts w:ascii="Times New Roman" w:hAnsi="Times New Roman"/>
          <w:i/>
          <w:sz w:val="22"/>
        </w:rPr>
        <w:t>num-decimal </w:t>
      </w:r>
      <w:r>
        <w:rPr>
          <w:sz w:val="22"/>
        </w:rPr>
        <w:t>decimal places, and have a currency symbol and thousands separators.</w:t>
      </w:r>
    </w:p>
    <w:p>
      <w:pPr>
        <w:spacing w:before="196"/>
        <w:ind w:left="220" w:right="0" w:firstLine="0"/>
        <w:jc w:val="left"/>
        <w:rPr>
          <w:sz w:val="22"/>
        </w:rPr>
      </w:pPr>
      <w:r>
        <w:rPr>
          <w:sz w:val="22"/>
        </w:rPr>
        <w:t>[</w:t>
      </w:r>
      <w:r>
        <w:rPr>
          <w:i/>
          <w:sz w:val="22"/>
        </w:rPr>
        <w:t>Example</w:t>
      </w:r>
      <w:r>
        <w:rPr>
          <w:sz w:val="22"/>
        </w:rPr>
        <w:t>:</w:t>
      </w:r>
    </w:p>
    <w:p>
      <w:pPr>
        <w:pStyle w:val="BodyText"/>
        <w:spacing w:before="6"/>
        <w:rPr>
          <w:sz w:val="28"/>
        </w:rPr>
      </w:pPr>
    </w:p>
    <w:p>
      <w:pPr>
        <w:pStyle w:val="BodyText"/>
        <w:spacing w:line="276" w:lineRule="auto"/>
        <w:ind w:left="220" w:right="5487"/>
        <w:rPr>
          <w:rFonts w:ascii="Consolas"/>
        </w:rPr>
      </w:pPr>
      <w:r>
        <w:rPr>
          <w:rFonts w:ascii="Consolas"/>
        </w:rPr>
        <w:t>USDOLLAR(1234.567) </w:t>
      </w:r>
      <w:r>
        <w:rPr/>
        <w:t>results in </w:t>
      </w:r>
      <w:r>
        <w:rPr>
          <w:rFonts w:ascii="Consolas"/>
        </w:rPr>
        <w:t>$1,234.57 USDOLLAR(1234.567,-2) </w:t>
      </w:r>
      <w:r>
        <w:rPr/>
        <w:t>results in </w:t>
      </w:r>
      <w:r>
        <w:rPr>
          <w:rFonts w:ascii="Consolas"/>
        </w:rPr>
        <w:t>$1,200 USDOLLAR(-1234.567,4)</w:t>
      </w:r>
      <w:r>
        <w:rPr>
          <w:rFonts w:ascii="Consolas"/>
          <w:spacing w:val="-90"/>
        </w:rPr>
        <w:t> </w:t>
      </w:r>
      <w:r>
        <w:rPr/>
        <w:t>results in (</w:t>
      </w:r>
      <w:r>
        <w:rPr>
          <w:rFonts w:ascii="Consolas"/>
        </w:rPr>
        <w:t>$1,234.5670)</w:t>
      </w:r>
    </w:p>
    <w:p>
      <w:pPr>
        <w:pStyle w:val="BodyText"/>
        <w:spacing w:before="7"/>
        <w:rPr>
          <w:rFonts w:ascii="Consolas"/>
          <w:sz w:val="25"/>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37 VALUE" w:id="2404"/>
      <w:bookmarkEnd w:id="2404"/>
      <w:r>
        <w:rPr/>
      </w:r>
      <w:bookmarkStart w:name="_bookmark801" w:id="2405"/>
      <w:bookmarkEnd w:id="2405"/>
      <w:r>
        <w:rPr/>
      </w:r>
      <w:bookmarkStart w:name="_bookmark801" w:id="2406"/>
      <w:bookmarkEnd w:id="2406"/>
      <w:r>
        <w:rPr>
          <w:color w:val="4F81BC"/>
        </w:rPr>
        <w:t>V</w:t>
      </w:r>
      <w:r>
        <w:rPr>
          <w:color w:val="4F81BC"/>
        </w:rPr>
        <w:t>ALUE</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VALUE ( </w:t>
      </w:r>
      <w:r>
        <w:rPr>
          <w:i/>
          <w:sz w:val="22"/>
        </w:rPr>
        <w:t>string </w:t>
      </w:r>
      <w:r>
        <w:rPr>
          <w:rFonts w:ascii="Lucida Console"/>
          <w:sz w:val="20"/>
        </w:rPr>
        <w:t>)</w:t>
      </w:r>
    </w:p>
    <w:p>
      <w:pPr>
        <w:spacing w:before="109"/>
        <w:ind w:left="220" w:right="0" w:firstLine="0"/>
        <w:jc w:val="left"/>
        <w:rPr>
          <w:sz w:val="22"/>
        </w:rPr>
      </w:pPr>
      <w:r>
        <w:rPr>
          <w:b/>
          <w:sz w:val="22"/>
        </w:rPr>
        <w:t>Description: </w:t>
      </w:r>
      <w:r>
        <w:rPr>
          <w:sz w:val="22"/>
        </w:rPr>
        <w:t>Converts </w:t>
      </w:r>
      <w:r>
        <w:rPr>
          <w:rFonts w:ascii="Times New Roman"/>
          <w:i/>
          <w:sz w:val="22"/>
        </w:rPr>
        <w:t>string </w:t>
      </w:r>
      <w:r>
        <w:rPr>
          <w:sz w:val="22"/>
        </w:rPr>
        <w:t>to a number.</w:t>
      </w:r>
    </w:p>
    <w:p>
      <w:pPr>
        <w:pStyle w:val="BodyText"/>
        <w:spacing w:before="8"/>
        <w:rPr>
          <w:sz w:val="19"/>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161" w:hRule="atLeast"/>
        </w:trPr>
        <w:tc>
          <w:tcPr>
            <w:tcW w:w="1466" w:type="dxa"/>
          </w:tcPr>
          <w:p>
            <w:pPr>
              <w:pStyle w:val="TableParagraph"/>
              <w:spacing w:before="37"/>
              <w:rPr>
                <w:rFonts w:ascii="Times New Roman"/>
                <w:i/>
                <w:sz w:val="22"/>
              </w:rPr>
            </w:pPr>
            <w:r>
              <w:rPr>
                <w:rFonts w:ascii="Times New Roman"/>
                <w:i/>
                <w:sz w:val="22"/>
              </w:rPr>
              <w:t>string</w:t>
            </w:r>
          </w:p>
        </w:tc>
        <w:tc>
          <w:tcPr>
            <w:tcW w:w="1800" w:type="dxa"/>
          </w:tcPr>
          <w:p>
            <w:pPr>
              <w:pStyle w:val="TableParagraph"/>
              <w:ind w:left="112"/>
              <w:rPr>
                <w:sz w:val="22"/>
              </w:rPr>
            </w:pPr>
            <w:r>
              <w:rPr>
                <w:sz w:val="22"/>
              </w:rPr>
              <w:t>text</w:t>
            </w:r>
          </w:p>
        </w:tc>
        <w:tc>
          <w:tcPr>
            <w:tcW w:w="5400" w:type="dxa"/>
          </w:tcPr>
          <w:p>
            <w:pPr>
              <w:pStyle w:val="TableParagraph"/>
              <w:ind w:left="113" w:right="351"/>
              <w:rPr>
                <w:sz w:val="22"/>
              </w:rPr>
            </w:pPr>
            <w:r>
              <w:rPr>
                <w:sz w:val="22"/>
              </w:rPr>
              <w:t>Designates a string that contains a number formatted using any number, currency, date, or time format. (See</w:t>
            </w:r>
          </w:p>
          <w:p>
            <w:pPr>
              <w:pStyle w:val="TableParagraph"/>
              <w:spacing w:before="0"/>
              <w:ind w:left="113" w:right="94"/>
              <w:rPr>
                <w:sz w:val="22"/>
              </w:rPr>
            </w:pPr>
            <w:hyperlink w:history="true" w:anchor="_bookmark214">
              <w:r>
                <w:rPr>
                  <w:sz w:val="22"/>
                </w:rPr>
                <w:t>§18.8.31 </w:t>
              </w:r>
            </w:hyperlink>
            <w:r>
              <w:rPr>
                <w:sz w:val="22"/>
              </w:rPr>
              <w:t>for the set of formats.) Date and time strings are converted to their equivalent serial date-time.</w:t>
            </w:r>
          </w:p>
        </w:tc>
      </w:tr>
    </w:tbl>
    <w:p>
      <w:pPr>
        <w:pStyle w:val="BodyText"/>
        <w:rPr>
          <w:b/>
        </w:rPr>
      </w:pPr>
    </w:p>
    <w:p>
      <w:pPr>
        <w:pStyle w:val="BodyText"/>
        <w:spacing w:before="8"/>
        <w:rPr>
          <w:b/>
          <w:sz w:val="19"/>
        </w:rPr>
      </w:pPr>
    </w:p>
    <w:p>
      <w:pPr>
        <w:spacing w:line="453" w:lineRule="auto" w:before="0"/>
        <w:ind w:left="220" w:right="4207" w:firstLine="0"/>
        <w:jc w:val="left"/>
        <w:rPr>
          <w:sz w:val="22"/>
        </w:rPr>
      </w:pPr>
      <w:r>
        <w:rPr>
          <w:b/>
          <w:sz w:val="22"/>
        </w:rPr>
        <w:t>Return Type and Value: </w:t>
      </w:r>
      <w:r>
        <w:rPr>
          <w:sz w:val="22"/>
        </w:rPr>
        <w:t>number – The number represented by </w:t>
      </w:r>
      <w:r>
        <w:rPr>
          <w:rFonts w:ascii="Times New Roman" w:hAnsi="Times New Roman"/>
          <w:i/>
          <w:sz w:val="22"/>
        </w:rPr>
        <w:t>string</w:t>
      </w:r>
      <w:r>
        <w:rPr>
          <w:sz w:val="22"/>
        </w:rPr>
        <w:t>. [</w:t>
      </w:r>
      <w:r>
        <w:rPr>
          <w:i/>
          <w:sz w:val="22"/>
        </w:rPr>
        <w:t>Example</w:t>
      </w:r>
      <w:r>
        <w:rPr>
          <w:sz w:val="22"/>
        </w:rPr>
        <w:t>:</w:t>
      </w:r>
    </w:p>
    <w:p>
      <w:pPr>
        <w:pStyle w:val="BodyText"/>
        <w:spacing w:before="108"/>
        <w:ind w:left="220"/>
        <w:rPr>
          <w:rFonts w:ascii="Consolas"/>
        </w:rPr>
      </w:pPr>
      <w:r>
        <w:rPr>
          <w:rFonts w:ascii="Consolas"/>
        </w:rPr>
        <w:t>VALUE("123.456")</w:t>
      </w:r>
      <w:r>
        <w:rPr>
          <w:rFonts w:ascii="Consolas"/>
          <w:spacing w:val="-68"/>
        </w:rPr>
        <w:t> </w:t>
      </w:r>
      <w:r>
        <w:rPr/>
        <w:t>results in </w:t>
      </w:r>
      <w:r>
        <w:rPr>
          <w:rFonts w:ascii="Consolas"/>
        </w:rPr>
        <w:t>123.456</w:t>
      </w:r>
    </w:p>
    <w:p>
      <w:pPr>
        <w:pStyle w:val="BodyText"/>
        <w:spacing w:before="41"/>
        <w:ind w:left="220"/>
        <w:rPr>
          <w:rFonts w:ascii="Consolas"/>
        </w:rPr>
      </w:pPr>
      <w:r>
        <w:rPr>
          <w:rFonts w:ascii="Consolas"/>
        </w:rPr>
        <w:t>VALUE("$1,000")</w:t>
      </w:r>
      <w:r>
        <w:rPr>
          <w:rFonts w:ascii="Consolas"/>
          <w:spacing w:val="-69"/>
        </w:rPr>
        <w:t> </w:t>
      </w:r>
      <w:r>
        <w:rPr/>
        <w:t>results in </w:t>
      </w:r>
      <w:r>
        <w:rPr>
          <w:rFonts w:ascii="Consolas"/>
        </w:rPr>
        <w:t>1000</w:t>
      </w:r>
    </w:p>
    <w:p>
      <w:pPr>
        <w:pStyle w:val="BodyText"/>
        <w:spacing w:before="38"/>
        <w:ind w:left="220"/>
      </w:pPr>
      <w:r>
        <w:rPr>
          <w:rFonts w:ascii="Consolas"/>
        </w:rPr>
        <w:t>VALUE("23-Mar-2002")</w:t>
      </w:r>
      <w:r>
        <w:rPr>
          <w:rFonts w:ascii="Consolas"/>
          <w:spacing w:val="-77"/>
        </w:rPr>
        <w:t> </w:t>
      </w:r>
      <w:r>
        <w:rPr/>
        <w:t>results in the corresponding serial date-time</w:t>
      </w:r>
    </w:p>
    <w:p>
      <w:pPr>
        <w:pStyle w:val="BodyText"/>
        <w:spacing w:before="42"/>
        <w:ind w:left="220"/>
        <w:rPr>
          <w:rFonts w:ascii="Consolas"/>
        </w:rPr>
      </w:pPr>
      <w:r>
        <w:rPr>
          <w:rFonts w:ascii="Consolas"/>
        </w:rPr>
        <w:t>VALUE("16:48:00")-VALUE("12:17:12")</w:t>
      </w:r>
      <w:r>
        <w:rPr>
          <w:rFonts w:ascii="Consolas"/>
          <w:spacing w:val="-69"/>
        </w:rPr>
        <w:t> </w:t>
      </w:r>
      <w:r>
        <w:rPr/>
        <w:t>results in </w:t>
      </w:r>
      <w:r>
        <w:rPr>
          <w:rFonts w:ascii="Consolas"/>
        </w:rPr>
        <w:t>0.188056</w:t>
      </w:r>
    </w:p>
    <w:p>
      <w:pPr>
        <w:pStyle w:val="BodyText"/>
        <w:spacing w:before="10"/>
        <w:rPr>
          <w:rFonts w:ascii="Consolas"/>
          <w:sz w:val="29"/>
        </w:rPr>
      </w:pPr>
    </w:p>
    <w:p>
      <w:pPr>
        <w:spacing w:before="1"/>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8 VAR" w:id="2407"/>
      <w:bookmarkEnd w:id="2407"/>
      <w:r>
        <w:rPr/>
      </w:r>
      <w:bookmarkStart w:name="_bookmark802" w:id="2408"/>
      <w:bookmarkEnd w:id="2408"/>
      <w:r>
        <w:rPr/>
      </w:r>
      <w:bookmarkStart w:name="_bookmark802" w:id="2409"/>
      <w:bookmarkEnd w:id="2409"/>
      <w:r>
        <w:rPr>
          <w:color w:val="4F81BC"/>
        </w:rPr>
        <w:t>V</w:t>
      </w:r>
      <w:r>
        <w:rPr>
          <w:color w:val="4F81BC"/>
        </w:rPr>
        <w:t>AR</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VAR ( </w:t>
      </w:r>
      <w:r>
        <w:rPr>
          <w:i/>
          <w:sz w:val="22"/>
        </w:rPr>
        <w:t>argument-list </w:t>
      </w:r>
      <w:r>
        <w:rPr>
          <w:rFonts w:ascii="Lucida Console"/>
          <w:sz w:val="20"/>
        </w:rPr>
        <w:t>)</w:t>
      </w:r>
    </w:p>
    <w:p>
      <w:pPr>
        <w:pStyle w:val="BodyText"/>
        <w:spacing w:line="273" w:lineRule="auto" w:before="106"/>
        <w:ind w:left="220" w:right="414"/>
      </w:pPr>
      <w:r>
        <w:rPr>
          <w:b/>
        </w:rPr>
        <w:t>Description: </w:t>
      </w:r>
      <w:r>
        <w:rPr/>
        <w:t>Makes an estimate of the variance based on a sample. [</w:t>
      </w:r>
      <w:r>
        <w:rPr>
          <w:i/>
        </w:rPr>
        <w:t>Note</w:t>
      </w:r>
      <w:r>
        <w:rPr/>
        <w:t>: </w:t>
      </w:r>
      <w:r>
        <w:rPr>
          <w:rFonts w:ascii="Consolas"/>
        </w:rPr>
        <w:t>VAR</w:t>
      </w:r>
      <w:r>
        <w:rPr>
          <w:rFonts w:ascii="Consolas"/>
          <w:spacing w:val="-71"/>
        </w:rPr>
        <w:t> </w:t>
      </w:r>
      <w:r>
        <w:rPr/>
        <w:t>assumes that its arguments are a sample of the population. If the data represents the entire population, </w:t>
      </w:r>
      <w:r>
        <w:rPr>
          <w:rFonts w:ascii="Consolas"/>
        </w:rPr>
        <w:t>VARP</w:t>
      </w:r>
      <w:r>
        <w:rPr>
          <w:rFonts w:ascii="Consolas"/>
          <w:spacing w:val="-96"/>
        </w:rPr>
        <w:t> </w:t>
      </w:r>
      <w:r>
        <w:rPr/>
        <w:t>should be used instead. If logical</w:t>
      </w:r>
    </w:p>
    <w:p>
      <w:pPr>
        <w:spacing w:after="0" w:line="273" w:lineRule="auto"/>
        <w:sectPr>
          <w:pgSz w:w="12240" w:h="15840"/>
          <w:pgMar w:header="761" w:footer="746" w:top="1340" w:bottom="940" w:left="860" w:right="700"/>
        </w:sectPr>
      </w:pPr>
    </w:p>
    <w:p>
      <w:pPr>
        <w:pStyle w:val="BodyText"/>
        <w:spacing w:before="148"/>
        <w:ind w:left="220"/>
        <w:rPr>
          <w:rFonts w:ascii="Consolas"/>
        </w:rPr>
      </w:pPr>
      <w:r>
        <w:rPr/>
        <w:t>values and text representations of numbers in a reference are to be included as part of the calculation, use </w:t>
      </w:r>
      <w:r>
        <w:rPr>
          <w:rFonts w:ascii="Consolas"/>
        </w:rPr>
        <w:t>VARA</w:t>
      </w:r>
    </w:p>
    <w:p>
      <w:pPr>
        <w:spacing w:before="44"/>
        <w:ind w:left="220" w:right="0" w:firstLine="0"/>
        <w:jc w:val="left"/>
        <w:rPr>
          <w:sz w:val="22"/>
        </w:rPr>
      </w:pPr>
      <w:r>
        <w:rPr>
          <w:sz w:val="22"/>
        </w:rPr>
        <w:t>instead. </w:t>
      </w:r>
      <w:r>
        <w:rPr>
          <w:i/>
          <w:sz w:val="22"/>
        </w:rPr>
        <w:t>end note</w:t>
      </w:r>
      <w:r>
        <w:rPr>
          <w:sz w:val="22"/>
        </w:rPr>
        <w:t>]</w:t>
      </w:r>
    </w:p>
    <w:p>
      <w:pPr>
        <w:pStyle w:val="BodyText"/>
        <w:spacing w:before="8"/>
        <w:rPr>
          <w:sz w:val="19"/>
        </w:rPr>
      </w:pPr>
    </w:p>
    <w:p>
      <w:pPr>
        <w:pStyle w:val="Heading4"/>
        <w:rPr>
          <w:b w:val="0"/>
        </w:rPr>
      </w:pPr>
      <w:r>
        <w:rPr/>
        <w:t>Mathematical Formula</w:t>
      </w:r>
      <w:r>
        <w:rPr>
          <w:b w:val="0"/>
        </w:rPr>
        <w:t>:</w:t>
      </w:r>
    </w:p>
    <w:p>
      <w:pPr>
        <w:pStyle w:val="BodyText"/>
        <w:spacing w:before="1"/>
        <w:rPr>
          <w:sz w:val="19"/>
        </w:rPr>
      </w:pPr>
    </w:p>
    <w:p>
      <w:pPr>
        <w:pStyle w:val="BodyText"/>
        <w:spacing w:line="285" w:lineRule="auto"/>
        <w:ind w:left="347" w:right="9350" w:hanging="128"/>
        <w:rPr>
          <w:rFonts w:ascii="Cambria Math" w:hAnsi="Cambria Math" w:eastAsia="Cambria Math"/>
        </w:rPr>
      </w:pPr>
      <w:r>
        <w:rPr/>
        <w:pict>
          <v:line style="position:absolute;mso-position-horizontal-relative:page;mso-position-vertical-relative:paragraph;z-index:-335768576" from="54pt,16.232141pt" to="101.544pt,16.232141pt" stroked="true" strokeweight=".72pt" strokecolor="#000000">
            <v:stroke dashstyle="solid"/>
            <w10:wrap type="none"/>
          </v:line>
        </w:pict>
      </w: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1"/>
          <w:vertAlign w:val="superscript"/>
        </w:rPr>
        <w:t>2</w:t>
      </w:r>
      <w:r>
        <w:rPr>
          <w:rFonts w:ascii="Cambria Math" w:hAnsi="Cambria Math" w:eastAsia="Cambria Math"/>
          <w:position w:val="1"/>
          <w:vertAlign w:val="baseline"/>
        </w:rPr>
        <w:t> (</w:t>
      </w:r>
      <w:r>
        <w:rPr>
          <w:rFonts w:ascii="Cambria Math" w:hAnsi="Cambria Math" w:eastAsia="Cambria Math"/>
          <w:vertAlign w:val="baseline"/>
        </w:rPr>
        <w:t>𝑛 − 1</w:t>
      </w:r>
      <w:r>
        <w:rPr>
          <w:rFonts w:ascii="Cambria Math" w:hAnsi="Cambria Math" w:eastAsia="Cambria Math"/>
          <w:position w:val="1"/>
          <w:vertAlign w:val="baseline"/>
        </w:rPr>
        <w:t>)</w:t>
      </w:r>
    </w:p>
    <w:p>
      <w:pPr>
        <w:pStyle w:val="BodyText"/>
        <w:spacing w:before="4"/>
        <w:rPr>
          <w:rFonts w:ascii="Cambria Math"/>
          <w:sz w:val="10"/>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argument-1</w:t>
      </w:r>
      <w:r>
        <w:rPr>
          <w:rFonts w:ascii="Consolas" w:hAnsi="Consolas"/>
          <w:sz w:val="22"/>
        </w:rPr>
        <w:t>,…,</w:t>
      </w:r>
      <w:r>
        <w:rPr>
          <w:rFonts w:ascii="Consolas" w:hAnsi="Consolas"/>
          <w:spacing w:val="-68"/>
          <w:sz w:val="22"/>
        </w:rPr>
        <w:t> </w:t>
      </w:r>
      <w:r>
        <w:rPr>
          <w:rFonts w:ascii="Times New Roman" w:hAnsi="Times New Roman"/>
          <w:i/>
          <w:sz w:val="22"/>
        </w:rPr>
        <w:t>argument-n</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7"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text, array, reference</w:t>
            </w:r>
          </w:p>
        </w:tc>
        <w:tc>
          <w:tcPr>
            <w:tcW w:w="5400" w:type="dxa"/>
          </w:tcPr>
          <w:p>
            <w:pPr>
              <w:pStyle w:val="TableParagraph"/>
              <w:ind w:left="113" w:right="133"/>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 that are samples of the population. Logical values, and text representations of numbers that are entered directly into the list of arguments are included. If an argument is an array or reference, only numbers in that array or reference are included. Empty cells, logical values, text, or error values in the array or reference are</w:t>
            </w:r>
            <w:r>
              <w:rPr>
                <w:spacing w:val="-10"/>
                <w:sz w:val="22"/>
              </w:rPr>
              <w:t> </w:t>
            </w:r>
            <w:r>
              <w:rPr>
                <w:sz w:val="22"/>
              </w:rPr>
              <w:t>ignored.</w:t>
            </w:r>
          </w:p>
        </w:tc>
      </w:tr>
    </w:tbl>
    <w:p>
      <w:pPr>
        <w:pStyle w:val="BodyText"/>
        <w:rPr>
          <w:b/>
        </w:rPr>
      </w:pPr>
    </w:p>
    <w:p>
      <w:pPr>
        <w:pStyle w:val="BodyText"/>
        <w:spacing w:before="8"/>
        <w:rPr>
          <w:b/>
          <w:sz w:val="19"/>
        </w:rPr>
      </w:pPr>
    </w:p>
    <w:p>
      <w:pPr>
        <w:spacing w:before="0"/>
        <w:ind w:left="220" w:right="0" w:firstLine="0"/>
        <w:jc w:val="left"/>
        <w:rPr>
          <w:sz w:val="22"/>
        </w:rPr>
      </w:pPr>
      <w:r>
        <w:rPr>
          <w:b/>
          <w:sz w:val="22"/>
        </w:rPr>
        <w:t>Return Type and Value: </w:t>
      </w:r>
      <w:r>
        <w:rPr>
          <w:sz w:val="22"/>
        </w:rPr>
        <w:t>number – An estimate of the variance based on a sample.</w:t>
      </w:r>
    </w:p>
    <w:p>
      <w:pPr>
        <w:pStyle w:val="BodyText"/>
        <w:spacing w:before="8"/>
        <w:rPr>
          <w:sz w:val="19"/>
        </w:rPr>
      </w:pPr>
    </w:p>
    <w:p>
      <w:pPr>
        <w:pStyle w:val="BodyText"/>
        <w:spacing w:line="453" w:lineRule="auto"/>
        <w:ind w:left="220" w:right="5295"/>
      </w:pPr>
      <w:r>
        <w:rPr/>
        <w:t>However, if the sample size ≤ </w:t>
      </w:r>
      <w:r>
        <w:rPr>
          <w:rFonts w:ascii="Times New Roman" w:hAnsi="Times New Roman"/>
          <w:i/>
        </w:rPr>
        <w:t>1</w:t>
      </w:r>
      <w:r>
        <w:rPr/>
        <w:t>, </w:t>
      </w:r>
      <w:r>
        <w:rPr>
          <w:rFonts w:ascii="Consolas" w:hAnsi="Consolas"/>
        </w:rPr>
        <w:t>#DIV/0!</w:t>
      </w:r>
      <w:r>
        <w:rPr>
          <w:rFonts w:ascii="Consolas" w:hAnsi="Consolas"/>
          <w:spacing w:val="-82"/>
        </w:rPr>
        <w:t> </w:t>
      </w:r>
      <w:r>
        <w:rPr/>
        <w:t>is returned. [</w:t>
      </w:r>
      <w:r>
        <w:rPr>
          <w:i/>
        </w:rPr>
        <w:t>Example</w:t>
      </w:r>
      <w:r>
        <w:rPr/>
        <w:t>:</w:t>
      </w:r>
    </w:p>
    <w:p>
      <w:pPr>
        <w:pStyle w:val="BodyText"/>
        <w:spacing w:before="108"/>
        <w:ind w:left="220"/>
        <w:rPr>
          <w:rFonts w:ascii="Consolas"/>
        </w:rPr>
      </w:pPr>
      <w:r>
        <w:rPr>
          <w:rFonts w:ascii="Consolas"/>
        </w:rPr>
        <w:t>VAR(1202,1220,1323,1254,1302)</w:t>
      </w:r>
      <w:r>
        <w:rPr>
          <w:rFonts w:ascii="Consolas"/>
          <w:spacing w:val="-70"/>
        </w:rPr>
        <w:t> </w:t>
      </w:r>
      <w:r>
        <w:rPr/>
        <w:t>results in </w:t>
      </w:r>
      <w:r>
        <w:rPr>
          <w:rFonts w:ascii="Consolas"/>
        </w:rPr>
        <w:t>2683.2</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39 VARA" w:id="2410"/>
      <w:bookmarkEnd w:id="2410"/>
      <w:r>
        <w:rPr/>
      </w:r>
      <w:bookmarkStart w:name="_bookmark803" w:id="2411"/>
      <w:bookmarkEnd w:id="2411"/>
      <w:r>
        <w:rPr/>
      </w:r>
      <w:bookmarkStart w:name="_bookmark803" w:id="2412"/>
      <w:bookmarkEnd w:id="2412"/>
      <w:r>
        <w:rPr>
          <w:color w:val="4F81BC"/>
        </w:rPr>
        <w:t>V</w:t>
      </w:r>
      <w:r>
        <w:rPr>
          <w:color w:val="4F81BC"/>
        </w:rPr>
        <w:t>ARA</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VARA ( </w:t>
      </w:r>
      <w:r>
        <w:rPr>
          <w:i/>
          <w:sz w:val="22"/>
        </w:rPr>
        <w:t>argument-list </w:t>
      </w:r>
      <w:r>
        <w:rPr>
          <w:rFonts w:ascii="Lucida Console"/>
          <w:sz w:val="20"/>
        </w:rPr>
        <w:t>)</w:t>
      </w:r>
    </w:p>
    <w:p>
      <w:pPr>
        <w:pStyle w:val="BodyText"/>
        <w:spacing w:line="276" w:lineRule="auto" w:before="106"/>
        <w:ind w:left="220" w:right="398"/>
      </w:pPr>
      <w:r>
        <w:rPr>
          <w:b/>
        </w:rPr>
        <w:t>Description: </w:t>
      </w:r>
      <w:r>
        <w:rPr/>
        <w:t>Makes an estimate of the variance based on a sample. [</w:t>
      </w:r>
      <w:r>
        <w:rPr>
          <w:i/>
        </w:rPr>
        <w:t>Note</w:t>
      </w:r>
      <w:r>
        <w:rPr/>
        <w:t>: </w:t>
      </w:r>
      <w:r>
        <w:rPr>
          <w:rFonts w:ascii="Consolas"/>
        </w:rPr>
        <w:t>VARA</w:t>
      </w:r>
      <w:r>
        <w:rPr>
          <w:rFonts w:ascii="Consolas"/>
          <w:spacing w:val="-100"/>
        </w:rPr>
        <w:t> </w:t>
      </w:r>
      <w:r>
        <w:rPr/>
        <w:t>assumes that its arguments are a sample of the population. If the data represents the entire population, </w:t>
      </w:r>
      <w:r>
        <w:rPr>
          <w:rFonts w:ascii="Consolas"/>
        </w:rPr>
        <w:t>VARPA</w:t>
      </w:r>
      <w:r>
        <w:rPr>
          <w:rFonts w:ascii="Consolas"/>
          <w:spacing w:val="-105"/>
        </w:rPr>
        <w:t> </w:t>
      </w:r>
      <w:r>
        <w:rPr/>
        <w:t>should be used instead. If logical values and text representations of numbers in a reference are to be excluded as part of the calculation, use </w:t>
      </w:r>
      <w:r>
        <w:rPr>
          <w:rFonts w:ascii="Consolas"/>
        </w:rPr>
        <w:t>VAR </w:t>
      </w:r>
      <w:r>
        <w:rPr/>
        <w:t>instead. </w:t>
      </w:r>
      <w:r>
        <w:rPr>
          <w:i/>
        </w:rPr>
        <w:t>end note</w:t>
      </w:r>
      <w:r>
        <w:rPr/>
        <w:t>]</w:t>
      </w:r>
    </w:p>
    <w:p>
      <w:pPr>
        <w:spacing w:after="0" w:line="276" w:lineRule="auto"/>
        <w:sectPr>
          <w:pgSz w:w="12240" w:h="15840"/>
          <w:pgMar w:header="763" w:footer="746" w:top="1340" w:bottom="940" w:left="860" w:right="700"/>
        </w:sectPr>
      </w:pPr>
    </w:p>
    <w:p>
      <w:pPr>
        <w:pStyle w:val="Heading4"/>
        <w:spacing w:before="93"/>
        <w:rPr>
          <w:b w:val="0"/>
        </w:rPr>
      </w:pPr>
      <w:r>
        <w:rPr/>
        <w:t>Mathematical Formula</w:t>
      </w:r>
      <w:r>
        <w:rPr>
          <w:b w:val="0"/>
        </w:rPr>
        <w:t>:</w:t>
      </w:r>
    </w:p>
    <w:p>
      <w:pPr>
        <w:pStyle w:val="BodyText"/>
        <w:spacing w:before="1"/>
        <w:rPr>
          <w:sz w:val="19"/>
        </w:rPr>
      </w:pPr>
    </w:p>
    <w:p>
      <w:pPr>
        <w:pStyle w:val="BodyText"/>
        <w:spacing w:line="285" w:lineRule="auto"/>
        <w:ind w:left="347" w:right="9350" w:hanging="128"/>
        <w:rPr>
          <w:rFonts w:ascii="Cambria Math" w:hAnsi="Cambria Math" w:eastAsia="Cambria Math"/>
        </w:rPr>
      </w:pPr>
      <w:r>
        <w:rPr/>
        <w:pict>
          <v:line style="position:absolute;mso-position-horizontal-relative:page;mso-position-vertical-relative:paragraph;z-index:-335767552" from="54pt,16.232128pt" to="101.544pt,16.232128pt" stroked="true" strokeweight=".72pt" strokecolor="#000000">
            <v:stroke dashstyle="solid"/>
            <w10:wrap type="none"/>
          </v:line>
        </w:pict>
      </w: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1"/>
          <w:vertAlign w:val="superscript"/>
        </w:rPr>
        <w:t>2</w:t>
      </w:r>
      <w:r>
        <w:rPr>
          <w:rFonts w:ascii="Cambria Math" w:hAnsi="Cambria Math" w:eastAsia="Cambria Math"/>
          <w:position w:val="1"/>
          <w:vertAlign w:val="baseline"/>
        </w:rPr>
        <w:t> (</w:t>
      </w:r>
      <w:r>
        <w:rPr>
          <w:rFonts w:ascii="Cambria Math" w:hAnsi="Cambria Math" w:eastAsia="Cambria Math"/>
          <w:vertAlign w:val="baseline"/>
        </w:rPr>
        <w:t>𝑛 − 1</w:t>
      </w:r>
      <w:r>
        <w:rPr>
          <w:rFonts w:ascii="Cambria Math" w:hAnsi="Cambria Math" w:eastAsia="Cambria Math"/>
          <w:position w:val="1"/>
          <w:vertAlign w:val="baseline"/>
        </w:rPr>
        <w:t>)</w:t>
      </w:r>
    </w:p>
    <w:p>
      <w:pPr>
        <w:pStyle w:val="BodyText"/>
        <w:spacing w:before="6"/>
        <w:rPr>
          <w:rFonts w:ascii="Cambria Math"/>
          <w:sz w:val="10"/>
        </w:rPr>
      </w:pPr>
    </w:p>
    <w:p>
      <w:pPr>
        <w:pStyle w:val="BodyText"/>
        <w:spacing w:before="57"/>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1"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argument-1</w:t>
      </w:r>
      <w:r>
        <w:rPr>
          <w:rFonts w:ascii="Consolas" w:hAnsi="Consolas"/>
          <w:sz w:val="22"/>
        </w:rPr>
        <w:t>,…,</w:t>
      </w:r>
      <w:r>
        <w:rPr>
          <w:rFonts w:ascii="Consolas" w:hAnsi="Consolas"/>
          <w:spacing w:val="-68"/>
          <w:sz w:val="22"/>
        </w:rPr>
        <w:t> </w:t>
      </w:r>
      <w:r>
        <w:rPr>
          <w:rFonts w:ascii="Times New Roman" w:hAnsi="Times New Roman"/>
          <w:i/>
          <w:sz w:val="22"/>
        </w:rPr>
        <w:t>argument-n</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502"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text, array, reference</w:t>
            </w:r>
          </w:p>
        </w:tc>
        <w:tc>
          <w:tcPr>
            <w:tcW w:w="5400" w:type="dxa"/>
          </w:tcPr>
          <w:p>
            <w:pPr>
              <w:pStyle w:val="TableParagraph"/>
              <w:ind w:left="113" w:right="112"/>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 that are samples of the population. Logical values and text representations of numbers that are entered directly into the list of arguments are included. Arguments that contain </w:t>
            </w:r>
            <w:r>
              <w:rPr>
                <w:rFonts w:ascii="Consolas"/>
                <w:sz w:val="22"/>
              </w:rPr>
              <w:t>TRUE </w:t>
            </w:r>
            <w:r>
              <w:rPr>
                <w:sz w:val="22"/>
              </w:rPr>
              <w:t>evaluate as 1; arguments that contain text or </w:t>
            </w:r>
            <w:r>
              <w:rPr>
                <w:rFonts w:ascii="Consolas"/>
                <w:sz w:val="22"/>
              </w:rPr>
              <w:t>FALSE </w:t>
            </w:r>
            <w:r>
              <w:rPr>
                <w:sz w:val="22"/>
              </w:rPr>
              <w:t>evaluate as zero. If an argument is an array or reference, only values in that array or reference are used. Empty cells and text values in the array or reference are ignored.</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An estimate of the variance based on a sample.</w:t>
      </w:r>
    </w:p>
    <w:p>
      <w:pPr>
        <w:pStyle w:val="BodyText"/>
        <w:spacing w:before="9"/>
        <w:rPr>
          <w:sz w:val="19"/>
        </w:rPr>
      </w:pPr>
    </w:p>
    <w:p>
      <w:pPr>
        <w:pStyle w:val="BodyText"/>
        <w:spacing w:line="453" w:lineRule="auto"/>
        <w:ind w:left="220" w:right="5295"/>
      </w:pPr>
      <w:r>
        <w:rPr/>
        <w:t>However, if the sample size ≤ </w:t>
      </w:r>
      <w:r>
        <w:rPr>
          <w:rFonts w:ascii="Times New Roman" w:hAnsi="Times New Roman"/>
          <w:i/>
        </w:rPr>
        <w:t>1</w:t>
      </w:r>
      <w:r>
        <w:rPr/>
        <w:t>, </w:t>
      </w:r>
      <w:r>
        <w:rPr>
          <w:rFonts w:ascii="Consolas" w:hAnsi="Consolas"/>
        </w:rPr>
        <w:t>#DIV/0!</w:t>
      </w:r>
      <w:r>
        <w:rPr>
          <w:rFonts w:ascii="Consolas" w:hAnsi="Consolas"/>
          <w:spacing w:val="-82"/>
        </w:rPr>
        <w:t> </w:t>
      </w:r>
      <w:r>
        <w:rPr/>
        <w:t>is returned. [</w:t>
      </w:r>
      <w:r>
        <w:rPr>
          <w:i/>
        </w:rPr>
        <w:t>Example</w:t>
      </w:r>
      <w:r>
        <w:rPr/>
        <w:t>:</w:t>
      </w:r>
    </w:p>
    <w:p>
      <w:pPr>
        <w:pStyle w:val="BodyText"/>
        <w:spacing w:before="108"/>
        <w:ind w:left="220"/>
        <w:rPr>
          <w:rFonts w:ascii="Consolas"/>
        </w:rPr>
      </w:pPr>
      <w:r>
        <w:rPr>
          <w:rFonts w:ascii="Consolas"/>
        </w:rPr>
        <w:t>VARA(1202,1220,1323,1254,1302)</w:t>
      </w:r>
      <w:r>
        <w:rPr>
          <w:rFonts w:ascii="Consolas"/>
          <w:spacing w:val="-69"/>
        </w:rPr>
        <w:t> </w:t>
      </w:r>
      <w:r>
        <w:rPr/>
        <w:t>results in </w:t>
      </w:r>
      <w:r>
        <w:rPr>
          <w:rFonts w:ascii="Consolas"/>
        </w:rPr>
        <w:t>2683.2</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0 VARP" w:id="2413"/>
      <w:bookmarkEnd w:id="2413"/>
      <w:r>
        <w:rPr/>
      </w:r>
      <w:bookmarkStart w:name="_bookmark804" w:id="2414"/>
      <w:bookmarkEnd w:id="2414"/>
      <w:r>
        <w:rPr/>
      </w:r>
      <w:bookmarkStart w:name="_bookmark804" w:id="2415"/>
      <w:bookmarkEnd w:id="2415"/>
      <w:r>
        <w:rPr>
          <w:color w:val="4F81BC"/>
        </w:rPr>
        <w:t>V</w:t>
      </w:r>
      <w:r>
        <w:rPr>
          <w:color w:val="4F81BC"/>
        </w:rPr>
        <w:t>ARP</w:t>
      </w:r>
    </w:p>
    <w:p>
      <w:pPr>
        <w:pStyle w:val="Heading4"/>
        <w:spacing w:before="121"/>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VARP ( </w:t>
      </w:r>
      <w:r>
        <w:rPr>
          <w:i/>
          <w:sz w:val="22"/>
        </w:rPr>
        <w:t>argument-list </w:t>
      </w:r>
      <w:r>
        <w:rPr>
          <w:rFonts w:ascii="Lucida Console"/>
          <w:sz w:val="20"/>
        </w:rPr>
        <w:t>)</w:t>
      </w:r>
    </w:p>
    <w:p>
      <w:pPr>
        <w:pStyle w:val="BodyText"/>
        <w:spacing w:line="276" w:lineRule="auto" w:before="106"/>
        <w:ind w:left="220" w:right="503"/>
      </w:pPr>
      <w:r>
        <w:rPr>
          <w:b/>
        </w:rPr>
        <w:t>Description: </w:t>
      </w:r>
      <w:r>
        <w:rPr/>
        <w:t>Computes the variance of an entire population. [</w:t>
      </w:r>
      <w:r>
        <w:rPr>
          <w:i/>
        </w:rPr>
        <w:t>Note</w:t>
      </w:r>
      <w:r>
        <w:rPr/>
        <w:t>: </w:t>
      </w:r>
      <w:r>
        <w:rPr>
          <w:rFonts w:ascii="Consolas"/>
        </w:rPr>
        <w:t>VARP </w:t>
      </w:r>
      <w:r>
        <w:rPr/>
        <w:t>assumes that its arguments are the total population. If the data represents a population sample only, </w:t>
      </w:r>
      <w:r>
        <w:rPr>
          <w:rFonts w:ascii="Consolas"/>
        </w:rPr>
        <w:t>VAR</w:t>
      </w:r>
      <w:r>
        <w:rPr>
          <w:rFonts w:ascii="Consolas"/>
          <w:spacing w:val="-104"/>
        </w:rPr>
        <w:t> </w:t>
      </w:r>
      <w:r>
        <w:rPr/>
        <w:t>should be used instead. If logical values and text representations of numbers in a reference are to be included as part of the calculation, use </w:t>
      </w:r>
      <w:r>
        <w:rPr>
          <w:rFonts w:ascii="Consolas"/>
        </w:rPr>
        <w:t>VARPA </w:t>
      </w:r>
      <w:r>
        <w:rPr/>
        <w:t>instead. </w:t>
      </w:r>
      <w:r>
        <w:rPr>
          <w:i/>
        </w:rPr>
        <w:t>end note</w:t>
      </w:r>
      <w:r>
        <w:rPr/>
        <w:t>]</w:t>
      </w:r>
    </w:p>
    <w:p>
      <w:pPr>
        <w:pStyle w:val="BodyText"/>
        <w:spacing w:before="6"/>
        <w:rPr>
          <w:sz w:val="16"/>
        </w:rPr>
      </w:pPr>
    </w:p>
    <w:p>
      <w:pPr>
        <w:pStyle w:val="Heading4"/>
        <w:rPr>
          <w:b w:val="0"/>
        </w:rPr>
      </w:pPr>
      <w:r>
        <w:rPr/>
        <w:t>Mathematical Formula</w:t>
      </w:r>
      <w:r>
        <w:rPr>
          <w:b w:val="0"/>
        </w:rPr>
        <w:t>:</w:t>
      </w:r>
    </w:p>
    <w:p>
      <w:pPr>
        <w:spacing w:after="0"/>
        <w:sectPr>
          <w:pgSz w:w="12240" w:h="15840"/>
          <w:pgMar w:header="761" w:footer="746" w:top="1340" w:bottom="940" w:left="860" w:right="700"/>
        </w:sectPr>
      </w:pPr>
    </w:p>
    <w:p>
      <w:pPr>
        <w:pStyle w:val="BodyText"/>
        <w:spacing w:before="143"/>
        <w:ind w:left="165" w:right="9680"/>
        <w:jc w:val="center"/>
        <w:rPr>
          <w:rFonts w:ascii="Cambria Math" w:hAnsi="Cambria Math" w:eastAsia="Cambria Math"/>
        </w:rPr>
      </w:pPr>
      <w:r>
        <w:rPr/>
        <w:pict>
          <v:line style="position:absolute;mso-position-horizontal-relative:page;mso-position-vertical-relative:paragraph;z-index:-251442176;mso-wrap-distance-left:0;mso-wrap-distance-right:0" from="54pt,23.402145pt" to="90.384pt,23.402145pt" stroked="true" strokeweight=".72pt" strokecolor="#000000">
            <v:stroke dashstyle="solid"/>
            <w10:wrap type="topAndBottom"/>
          </v:line>
        </w:pict>
      </w:r>
      <w:r>
        <w:rPr>
          <w:rFonts w:ascii="Cambria Math" w:hAnsi="Cambria Math" w:eastAsia="Cambria Math"/>
          <w:position w:val="1"/>
        </w:rPr>
        <w:t>∑(</w:t>
      </w:r>
      <w:r>
        <w:rPr>
          <w:rFonts w:ascii="Cambria Math" w:hAnsi="Cambria Math" w:eastAsia="Cambria Math"/>
        </w:rPr>
        <w:t>−𝑥̅</w:t>
      </w:r>
      <w:r>
        <w:rPr>
          <w:rFonts w:ascii="Cambria Math" w:hAnsi="Cambria Math" w:eastAsia="Cambria Math"/>
          <w:position w:val="1"/>
        </w:rPr>
        <w:t>)</w:t>
      </w:r>
      <w:r>
        <w:rPr>
          <w:rFonts w:ascii="Cambria Math" w:hAnsi="Cambria Math" w:eastAsia="Cambria Math"/>
          <w:position w:val="1"/>
          <w:vertAlign w:val="superscript"/>
        </w:rPr>
        <w:t>2</w:t>
      </w:r>
    </w:p>
    <w:p>
      <w:pPr>
        <w:pStyle w:val="BodyText"/>
        <w:ind w:left="165" w:right="9680"/>
        <w:jc w:val="center"/>
        <w:rPr>
          <w:rFonts w:ascii="Cambria Math" w:eastAsia="Cambria Math"/>
        </w:rPr>
      </w:pPr>
      <w:r>
        <w:rPr>
          <w:rFonts w:ascii="Cambria Math" w:eastAsia="Cambria Math"/>
        </w:rPr>
        <w:t>𝑛</w:t>
      </w:r>
    </w:p>
    <w:p>
      <w:pPr>
        <w:pStyle w:val="BodyText"/>
        <w:spacing w:before="5"/>
        <w:rPr>
          <w:rFonts w:ascii="Cambria Math"/>
          <w:sz w:val="11"/>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argument-1</w:t>
      </w:r>
      <w:r>
        <w:rPr>
          <w:rFonts w:ascii="Consolas" w:hAnsi="Consolas"/>
          <w:sz w:val="22"/>
        </w:rPr>
        <w:t>,…,</w:t>
      </w:r>
      <w:r>
        <w:rPr>
          <w:rFonts w:ascii="Consolas" w:hAnsi="Consolas"/>
          <w:spacing w:val="-68"/>
          <w:sz w:val="22"/>
        </w:rPr>
        <w:t> </w:t>
      </w:r>
      <w:r>
        <w:rPr>
          <w:rFonts w:ascii="Times New Roman" w:hAnsi="Times New Roman"/>
          <w:i/>
          <w:sz w:val="22"/>
        </w:rPr>
        <w:t>argument-n</w:t>
      </w:r>
      <w:r>
        <w:rPr>
          <w:rFonts w:ascii="Consolas" w:hAnsi="Consolas"/>
          <w:sz w:val="22"/>
        </w:rPr>
        <w:t>)</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2234"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text, array, reference</w:t>
            </w:r>
          </w:p>
        </w:tc>
        <w:tc>
          <w:tcPr>
            <w:tcW w:w="5400" w:type="dxa"/>
          </w:tcPr>
          <w:p>
            <w:pPr>
              <w:pStyle w:val="TableParagraph"/>
              <w:ind w:left="113" w:right="236"/>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 that are the members of the population. Logical values, and text representations of numbers that are entered directly into the list of arguments are included. If an argument is an array or reference, only numbers in that array or reference are included. Empty cells, logical values, text, or error values in the array or reference are ignored.</w:t>
            </w:r>
          </w:p>
        </w:tc>
      </w:tr>
    </w:tbl>
    <w:p>
      <w:pPr>
        <w:pStyle w:val="BodyText"/>
        <w:rPr>
          <w:b/>
        </w:rPr>
      </w:pPr>
    </w:p>
    <w:p>
      <w:pPr>
        <w:pStyle w:val="BodyText"/>
        <w:spacing w:before="7"/>
        <w:rPr>
          <w:b/>
          <w:sz w:val="19"/>
        </w:rPr>
      </w:pPr>
    </w:p>
    <w:p>
      <w:pPr>
        <w:pStyle w:val="BodyText"/>
        <w:spacing w:line="453" w:lineRule="auto"/>
        <w:ind w:left="220" w:right="4023"/>
      </w:pPr>
      <w:r>
        <w:rPr>
          <w:b/>
        </w:rPr>
        <w:t>Return Type and Value: </w:t>
      </w:r>
      <w:r>
        <w:rPr/>
        <w:t>number – The variance of an entire population. However, if the sample size is zero, </w:t>
      </w:r>
      <w:r>
        <w:rPr>
          <w:rFonts w:ascii="Consolas" w:hAnsi="Consolas"/>
        </w:rPr>
        <w:t>#DIV/0!</w:t>
      </w:r>
      <w:r>
        <w:rPr>
          <w:rFonts w:ascii="Consolas" w:hAnsi="Consolas"/>
          <w:spacing w:val="-78"/>
        </w:rPr>
        <w:t> </w:t>
      </w:r>
      <w:r>
        <w:rPr/>
        <w:t>is returned.</w:t>
      </w:r>
    </w:p>
    <w:p>
      <w:pPr>
        <w:spacing w:before="1"/>
        <w:ind w:left="220" w:right="0" w:firstLine="0"/>
        <w:jc w:val="left"/>
        <w:rPr>
          <w:sz w:val="22"/>
        </w:rPr>
      </w:pPr>
      <w:r>
        <w:rPr>
          <w:sz w:val="22"/>
        </w:rPr>
        <w:t>[</w:t>
      </w:r>
      <w:r>
        <w:rPr>
          <w:i/>
          <w:sz w:val="22"/>
        </w:rPr>
        <w:t>Example</w:t>
      </w:r>
      <w:r>
        <w:rPr>
          <w:sz w:val="22"/>
        </w:rPr>
        <w:t>:</w:t>
      </w:r>
    </w:p>
    <w:p>
      <w:pPr>
        <w:pStyle w:val="BodyText"/>
        <w:spacing w:before="8"/>
        <w:rPr>
          <w:sz w:val="28"/>
        </w:rPr>
      </w:pPr>
    </w:p>
    <w:p>
      <w:pPr>
        <w:pStyle w:val="BodyText"/>
        <w:spacing w:before="1"/>
        <w:ind w:left="220"/>
        <w:rPr>
          <w:rFonts w:ascii="Consolas"/>
        </w:rPr>
      </w:pPr>
      <w:r>
        <w:rPr>
          <w:rFonts w:ascii="Consolas"/>
        </w:rPr>
        <w:t>VARP(1202,1220,1323,1254,1302)</w:t>
      </w:r>
      <w:r>
        <w:rPr>
          <w:rFonts w:ascii="Consolas"/>
          <w:spacing w:val="-69"/>
        </w:rPr>
        <w:t> </w:t>
      </w:r>
      <w:r>
        <w:rPr/>
        <w:t>results in </w:t>
      </w:r>
      <w:r>
        <w:rPr>
          <w:rFonts w:ascii="Consolas"/>
        </w:rPr>
        <w:t>2146.56</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41 VARPA" w:id="2416"/>
      <w:bookmarkEnd w:id="2416"/>
      <w:r>
        <w:rPr/>
      </w:r>
      <w:bookmarkStart w:name="_bookmark805" w:id="2417"/>
      <w:bookmarkEnd w:id="2417"/>
      <w:r>
        <w:rPr/>
      </w:r>
      <w:bookmarkStart w:name="_bookmark805" w:id="2418"/>
      <w:bookmarkEnd w:id="2418"/>
      <w:r>
        <w:rPr>
          <w:color w:val="4F81BC"/>
        </w:rPr>
        <w:t>V</w:t>
      </w:r>
      <w:r>
        <w:rPr>
          <w:color w:val="4F81BC"/>
        </w:rPr>
        <w:t>A</w:t>
      </w:r>
      <w:bookmarkStart w:name="_bookmark806" w:id="2419"/>
      <w:bookmarkEnd w:id="2419"/>
      <w:r>
        <w:rPr>
          <w:color w:val="4F81BC"/>
        </w:rPr>
        <w:t>RPA</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VARPA ( </w:t>
      </w:r>
      <w:r>
        <w:rPr>
          <w:i/>
          <w:sz w:val="22"/>
        </w:rPr>
        <w:t>argument-list </w:t>
      </w:r>
      <w:r>
        <w:rPr>
          <w:rFonts w:ascii="Lucida Console"/>
          <w:sz w:val="20"/>
        </w:rPr>
        <w:t>)</w:t>
      </w:r>
    </w:p>
    <w:p>
      <w:pPr>
        <w:pStyle w:val="BodyText"/>
        <w:spacing w:line="276" w:lineRule="auto" w:before="106"/>
        <w:ind w:left="220" w:right="412"/>
      </w:pPr>
      <w:r>
        <w:rPr>
          <w:b/>
        </w:rPr>
        <w:t>Description: </w:t>
      </w:r>
      <w:r>
        <w:rPr/>
        <w:t>Makes the variance of an entire population. [</w:t>
      </w:r>
      <w:r>
        <w:rPr>
          <w:i/>
        </w:rPr>
        <w:t>Note</w:t>
      </w:r>
      <w:r>
        <w:rPr/>
        <w:t>: </w:t>
      </w:r>
      <w:r>
        <w:rPr>
          <w:rFonts w:ascii="Consolas"/>
        </w:rPr>
        <w:t>VARPA</w:t>
      </w:r>
      <w:r>
        <w:rPr>
          <w:rFonts w:ascii="Consolas"/>
          <w:spacing w:val="-97"/>
        </w:rPr>
        <w:t> </w:t>
      </w:r>
      <w:r>
        <w:rPr/>
        <w:t>assumes that its arguments are the total population. If the data represents a population sample only, </w:t>
      </w:r>
      <w:r>
        <w:rPr>
          <w:rFonts w:ascii="Consolas"/>
        </w:rPr>
        <w:t>VARA </w:t>
      </w:r>
      <w:r>
        <w:rPr/>
        <w:t>should be used instead. If logical values and text representations of numbers in a reference are to be excluded as part of the calculation, use </w:t>
      </w:r>
      <w:r>
        <w:rPr>
          <w:rFonts w:ascii="Consolas"/>
        </w:rPr>
        <w:t>VARP </w:t>
      </w:r>
      <w:r>
        <w:rPr/>
        <w:t>instead. </w:t>
      </w:r>
      <w:r>
        <w:rPr>
          <w:i/>
        </w:rPr>
        <w:t>end note</w:t>
      </w:r>
      <w:r>
        <w:rPr/>
        <w:t>]</w:t>
      </w:r>
    </w:p>
    <w:p>
      <w:pPr>
        <w:pStyle w:val="BodyText"/>
        <w:spacing w:before="7"/>
        <w:rPr>
          <w:sz w:val="16"/>
        </w:rPr>
      </w:pPr>
    </w:p>
    <w:p>
      <w:pPr>
        <w:pStyle w:val="Heading4"/>
        <w:rPr>
          <w:b w:val="0"/>
        </w:rPr>
      </w:pPr>
      <w:r>
        <w:rPr/>
        <w:t>Mathematical Formula</w:t>
      </w:r>
      <w:r>
        <w:rPr>
          <w:b w:val="0"/>
        </w:rPr>
        <w:t>:</w:t>
      </w:r>
    </w:p>
    <w:p>
      <w:pPr>
        <w:pStyle w:val="BodyText"/>
        <w:spacing w:before="1"/>
        <w:rPr>
          <w:sz w:val="19"/>
        </w:rPr>
      </w:pPr>
    </w:p>
    <w:p>
      <w:pPr>
        <w:pStyle w:val="BodyText"/>
        <w:spacing w:before="1"/>
        <w:ind w:left="165" w:right="9459"/>
        <w:jc w:val="center"/>
        <w:rPr>
          <w:rFonts w:ascii="Cambria Math" w:hAnsi="Cambria Math" w:eastAsia="Cambria Math"/>
        </w:rPr>
      </w:pPr>
      <w:r>
        <w:rPr/>
        <w:pict>
          <v:line style="position:absolute;mso-position-horizontal-relative:page;mso-position-vertical-relative:paragraph;z-index:-251441152;mso-wrap-distance-left:0;mso-wrap-distance-right:0" from="54pt,16.27813pt" to="101.544pt,16.27813pt" stroked="true" strokeweight=".72003pt" strokecolor="#000000">
            <v:stroke dashstyle="solid"/>
            <w10:wrap type="topAndBottom"/>
          </v:line>
        </w:pict>
      </w:r>
      <w:r>
        <w:rPr>
          <w:rFonts w:ascii="Cambria Math" w:hAnsi="Cambria Math" w:eastAsia="Cambria Math"/>
          <w:position w:val="1"/>
        </w:rPr>
        <w:t>∑(</w:t>
      </w:r>
      <w:r>
        <w:rPr>
          <w:rFonts w:ascii="Cambria Math" w:hAnsi="Cambria Math" w:eastAsia="Cambria Math"/>
        </w:rPr>
        <w:t>𝑥 − 𝑥̅</w:t>
      </w:r>
      <w:r>
        <w:rPr>
          <w:rFonts w:ascii="Cambria Math" w:hAnsi="Cambria Math" w:eastAsia="Cambria Math"/>
          <w:position w:val="1"/>
        </w:rPr>
        <w:t>)</w:t>
      </w:r>
      <w:r>
        <w:rPr>
          <w:rFonts w:ascii="Cambria Math" w:hAnsi="Cambria Math" w:eastAsia="Cambria Math"/>
          <w:position w:val="1"/>
          <w:vertAlign w:val="superscript"/>
        </w:rPr>
        <w:t>2</w:t>
      </w:r>
    </w:p>
    <w:p>
      <w:pPr>
        <w:pStyle w:val="BodyText"/>
        <w:ind w:left="165" w:right="9454"/>
        <w:jc w:val="center"/>
        <w:rPr>
          <w:rFonts w:ascii="Cambria Math" w:eastAsia="Cambria Math"/>
        </w:rPr>
      </w:pPr>
      <w:r>
        <w:rPr>
          <w:rFonts w:ascii="Cambria Math" w:eastAsia="Cambria Math"/>
        </w:rPr>
        <w:t>𝑛</w:t>
      </w:r>
    </w:p>
    <w:p>
      <w:pPr>
        <w:spacing w:after="0"/>
        <w:jc w:val="center"/>
        <w:rPr>
          <w:rFonts w:ascii="Cambria Math" w:eastAsia="Cambria Math"/>
        </w:rPr>
        <w:sectPr>
          <w:pgSz w:w="12240" w:h="15840"/>
          <w:pgMar w:header="763" w:footer="746" w:top="1340" w:bottom="940" w:left="860" w:right="700"/>
        </w:sectPr>
      </w:pPr>
    </w:p>
    <w:p>
      <w:pPr>
        <w:pStyle w:val="BodyText"/>
        <w:spacing w:before="93"/>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n </w:t>
      </w:r>
      <w:r>
        <w:rPr>
          <w:sz w:val="22"/>
        </w:rPr>
        <w:t>= the sample</w:t>
      </w:r>
      <w:r>
        <w:rPr>
          <w:spacing w:val="-5"/>
          <w:sz w:val="22"/>
        </w:rPr>
        <w:t> </w:t>
      </w:r>
      <w:r>
        <w:rPr>
          <w:sz w:val="22"/>
        </w:rPr>
        <w:t>size</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38"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w:t>
      </w:r>
      <w:r>
        <w:rPr>
          <w:spacing w:val="1"/>
          <w:sz w:val="22"/>
        </w:rPr>
        <w:t> </w:t>
      </w:r>
      <w:r>
        <w:rPr>
          <w:sz w:val="22"/>
        </w:rPr>
        <w:t>the</w:t>
      </w:r>
      <w:r>
        <w:rPr>
          <w:spacing w:val="-3"/>
          <w:sz w:val="22"/>
        </w:rPr>
        <w:t> </w:t>
      </w:r>
      <w:r>
        <w:rPr>
          <w:sz w:val="22"/>
        </w:rPr>
        <w:t>sample</w:t>
      </w:r>
      <w:r>
        <w:rPr>
          <w:spacing w:val="-2"/>
          <w:sz w:val="22"/>
        </w:rPr>
        <w:t> </w:t>
      </w:r>
      <w:r>
        <w:rPr>
          <w:sz w:val="22"/>
        </w:rPr>
        <w:t>mean</w:t>
      </w:r>
      <w:r>
        <w:rPr>
          <w:spacing w:val="-3"/>
          <w:sz w:val="22"/>
        </w:rPr>
        <w:t> </w:t>
      </w:r>
      <w:r>
        <w:rPr>
          <w:rFonts w:ascii="Consolas" w:hAnsi="Consolas"/>
          <w:sz w:val="22"/>
        </w:rPr>
        <w:t>AVERAGE(</w:t>
      </w:r>
      <w:r>
        <w:rPr>
          <w:rFonts w:ascii="Times New Roman" w:hAnsi="Times New Roman"/>
          <w:i/>
          <w:sz w:val="22"/>
        </w:rPr>
        <w:t>argument-1</w:t>
      </w:r>
      <w:r>
        <w:rPr>
          <w:rFonts w:ascii="Consolas" w:hAnsi="Consolas"/>
          <w:sz w:val="22"/>
        </w:rPr>
        <w:t>,</w:t>
      </w:r>
      <w:r>
        <w:rPr>
          <w:rFonts w:ascii="Consolas" w:hAnsi="Consolas"/>
          <w:spacing w:val="-65"/>
          <w:sz w:val="22"/>
        </w:rPr>
        <w:t> </w:t>
      </w:r>
      <w:r>
        <w:rPr>
          <w:rFonts w:ascii="Times New Roman" w:hAnsi="Times New Roman"/>
          <w:i/>
          <w:sz w:val="22"/>
        </w:rPr>
        <w:t>argument-1</w:t>
      </w:r>
      <w:r>
        <w:rPr>
          <w:rFonts w:ascii="Consolas" w:hAnsi="Consolas"/>
          <w:sz w:val="22"/>
        </w:rPr>
        <w:t>,…,</w:t>
      </w:r>
      <w:r>
        <w:rPr>
          <w:rFonts w:ascii="Consolas" w:hAnsi="Consolas"/>
          <w:spacing w:val="-68"/>
          <w:sz w:val="22"/>
        </w:rPr>
        <w:t> </w:t>
      </w:r>
      <w:r>
        <w:rPr>
          <w:rFonts w:ascii="Times New Roman" w:hAnsi="Times New Roman"/>
          <w:i/>
          <w:sz w:val="22"/>
        </w:rPr>
        <w:t>argument-n</w:t>
      </w:r>
      <w:r>
        <w:rPr>
          <w:rFonts w:ascii="Consolas" w:hAnsi="Consolas"/>
          <w:sz w:val="22"/>
        </w:rPr>
        <w:t>)</w:t>
      </w:r>
    </w:p>
    <w:p>
      <w:pPr>
        <w:pStyle w:val="Heading4"/>
        <w:spacing w:before="243"/>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96" w:right="87"/>
              <w:jc w:val="center"/>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892" w:hRule="atLeast"/>
        </w:trPr>
        <w:tc>
          <w:tcPr>
            <w:tcW w:w="1466" w:type="dxa"/>
          </w:tcPr>
          <w:p>
            <w:pPr>
              <w:pStyle w:val="TableParagraph"/>
              <w:spacing w:before="37"/>
              <w:ind w:left="72" w:right="109"/>
              <w:jc w:val="center"/>
              <w:rPr>
                <w:rFonts w:ascii="Times New Roman"/>
                <w:i/>
                <w:sz w:val="22"/>
              </w:rPr>
            </w:pPr>
            <w:r>
              <w:rPr>
                <w:rFonts w:ascii="Times New Roman"/>
                <w:i/>
                <w:sz w:val="22"/>
              </w:rPr>
              <w:t>argument-list</w:t>
            </w:r>
          </w:p>
        </w:tc>
        <w:tc>
          <w:tcPr>
            <w:tcW w:w="1800" w:type="dxa"/>
          </w:tcPr>
          <w:p>
            <w:pPr>
              <w:pStyle w:val="TableParagraph"/>
              <w:ind w:left="112" w:right="220"/>
              <w:rPr>
                <w:sz w:val="22"/>
              </w:rPr>
            </w:pPr>
            <w:r>
              <w:rPr>
                <w:sz w:val="22"/>
              </w:rPr>
              <w:t>logical, number, name, text, array, reference</w:t>
            </w:r>
          </w:p>
        </w:tc>
        <w:tc>
          <w:tcPr>
            <w:tcW w:w="5400" w:type="dxa"/>
          </w:tcPr>
          <w:p>
            <w:pPr>
              <w:pStyle w:val="TableParagraph"/>
              <w:ind w:left="113" w:right="377"/>
              <w:rPr>
                <w:sz w:val="22"/>
              </w:rPr>
            </w:pPr>
            <w:r>
              <w:rPr>
                <w:sz w:val="22"/>
              </w:rPr>
              <w:t>The </w:t>
            </w:r>
            <w:r>
              <w:rPr>
                <w:rFonts w:ascii="Times New Roman"/>
                <w:i/>
                <w:sz w:val="22"/>
              </w:rPr>
              <w:t>argument</w:t>
            </w:r>
            <w:r>
              <w:rPr>
                <w:sz w:val="22"/>
              </w:rPr>
              <w:t>s in </w:t>
            </w:r>
            <w:r>
              <w:rPr>
                <w:rFonts w:ascii="Times New Roman"/>
                <w:i/>
                <w:sz w:val="22"/>
              </w:rPr>
              <w:t>argument-list </w:t>
            </w:r>
            <w:r>
              <w:rPr>
                <w:sz w:val="22"/>
              </w:rPr>
              <w:t>designate the numbers that are the members of the population.</w:t>
            </w:r>
          </w:p>
        </w:tc>
      </w:tr>
    </w:tbl>
    <w:p>
      <w:pPr>
        <w:pStyle w:val="BodyText"/>
        <w:rPr>
          <w:b/>
        </w:rPr>
      </w:pPr>
    </w:p>
    <w:p>
      <w:pPr>
        <w:pStyle w:val="BodyText"/>
        <w:spacing w:before="8"/>
        <w:rPr>
          <w:b/>
          <w:sz w:val="19"/>
        </w:rPr>
      </w:pPr>
    </w:p>
    <w:p>
      <w:pPr>
        <w:spacing w:before="0"/>
        <w:ind w:left="220" w:right="0" w:firstLine="0"/>
        <w:jc w:val="left"/>
        <w:rPr>
          <w:sz w:val="22"/>
        </w:rPr>
      </w:pPr>
      <w:r>
        <w:rPr>
          <w:b/>
          <w:sz w:val="22"/>
        </w:rPr>
        <w:t>Return Type and Value: </w:t>
      </w:r>
      <w:r>
        <w:rPr>
          <w:sz w:val="22"/>
        </w:rPr>
        <w:t>number – The variance of an entire population.</w:t>
      </w:r>
    </w:p>
    <w:p>
      <w:pPr>
        <w:pStyle w:val="BodyText"/>
        <w:spacing w:before="6"/>
        <w:rPr>
          <w:sz w:val="19"/>
        </w:rPr>
      </w:pPr>
    </w:p>
    <w:p>
      <w:pPr>
        <w:pStyle w:val="BodyText"/>
        <w:spacing w:line="276" w:lineRule="auto"/>
        <w:ind w:left="220" w:right="426"/>
      </w:pPr>
      <w:r>
        <w:rPr/>
        <w:t>Arguments can be numbers; names, arrays, or references that contain numbers; text representations of numbers; or logical values, in a reference. Text representations of numbers that are entered directly into the list of arguments are included. Arguments that contain </w:t>
      </w:r>
      <w:r>
        <w:rPr>
          <w:rFonts w:ascii="Consolas"/>
        </w:rPr>
        <w:t>TRUE </w:t>
      </w:r>
      <w:r>
        <w:rPr/>
        <w:t>evaluate as 1; arguments that contain text or </w:t>
      </w:r>
      <w:r>
        <w:rPr>
          <w:rFonts w:ascii="Consolas"/>
        </w:rPr>
        <w:t>FALSE </w:t>
      </w:r>
      <w:r>
        <w:rPr/>
        <w:t>evaluate as zero. If an argument is an array or reference, only values in that array or reference are used. Empty cells and text values in the array or reference are ignored.</w:t>
      </w:r>
    </w:p>
    <w:p>
      <w:pPr>
        <w:pStyle w:val="BodyText"/>
        <w:spacing w:before="7"/>
        <w:rPr>
          <w:sz w:val="16"/>
        </w:rPr>
      </w:pPr>
    </w:p>
    <w:p>
      <w:pPr>
        <w:pStyle w:val="BodyText"/>
        <w:spacing w:line="453" w:lineRule="auto" w:before="1"/>
        <w:ind w:left="220" w:right="5295"/>
      </w:pPr>
      <w:r>
        <w:rPr/>
        <w:t>However, if the sample size is zero, </w:t>
      </w:r>
      <w:r>
        <w:rPr>
          <w:rFonts w:ascii="Consolas"/>
        </w:rPr>
        <w:t>#DIV/0!</w:t>
      </w:r>
      <w:r>
        <w:rPr>
          <w:rFonts w:ascii="Consolas"/>
          <w:spacing w:val="-89"/>
        </w:rPr>
        <w:t> </w:t>
      </w:r>
      <w:r>
        <w:rPr/>
        <w:t>is returned. [</w:t>
      </w:r>
      <w:r>
        <w:rPr>
          <w:i/>
        </w:rPr>
        <w:t>Example</w:t>
      </w:r>
      <w:r>
        <w:rPr/>
        <w:t>:</w:t>
      </w:r>
    </w:p>
    <w:p>
      <w:pPr>
        <w:pStyle w:val="BodyText"/>
        <w:spacing w:before="108"/>
        <w:ind w:left="220"/>
        <w:rPr>
          <w:rFonts w:ascii="Consolas"/>
        </w:rPr>
      </w:pPr>
      <w:r>
        <w:rPr>
          <w:rFonts w:ascii="Consolas"/>
        </w:rPr>
        <w:t>VARPA(1202,1220,1323,1254,1302)</w:t>
      </w:r>
      <w:r>
        <w:rPr>
          <w:rFonts w:ascii="Consolas"/>
          <w:spacing w:val="-68"/>
        </w:rPr>
        <w:t> </w:t>
      </w:r>
      <w:r>
        <w:rPr/>
        <w:t>results in </w:t>
      </w:r>
      <w:r>
        <w:rPr>
          <w:rFonts w:ascii="Consolas"/>
        </w:rPr>
        <w:t>2146.56</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2 VDB" w:id="2420"/>
      <w:bookmarkEnd w:id="2420"/>
      <w:r>
        <w:rPr/>
      </w:r>
      <w:bookmarkStart w:name="_bookmark807" w:id="2421"/>
      <w:bookmarkEnd w:id="2421"/>
      <w:r>
        <w:rPr/>
      </w:r>
      <w:bookmarkStart w:name="_bookmark807" w:id="2422"/>
      <w:bookmarkEnd w:id="2422"/>
      <w:r>
        <w:rPr>
          <w:color w:val="4F81BC"/>
        </w:rPr>
        <w:t>V</w:t>
      </w:r>
      <w:r>
        <w:rPr>
          <w:color w:val="4F81BC"/>
        </w:rPr>
        <w:t>DB</w:t>
      </w:r>
    </w:p>
    <w:p>
      <w:pPr>
        <w:spacing w:line="225" w:lineRule="auto" w:before="127"/>
        <w:ind w:left="1300" w:right="2972" w:hanging="360"/>
        <w:jc w:val="left"/>
        <w:rPr>
          <w:rFonts w:ascii="Lucida Console"/>
          <w:sz w:val="20"/>
        </w:rPr>
      </w:pPr>
      <w:r>
        <w:rPr>
          <w:rFonts w:ascii="Lucida Console"/>
          <w:sz w:val="20"/>
        </w:rPr>
        <w:t>VDB</w:t>
      </w:r>
      <w:r>
        <w:rPr>
          <w:rFonts w:ascii="Lucida Console"/>
          <w:spacing w:val="-22"/>
          <w:sz w:val="20"/>
        </w:rPr>
        <w:t> </w:t>
      </w:r>
      <w:r>
        <w:rPr>
          <w:rFonts w:ascii="Lucida Console"/>
          <w:sz w:val="20"/>
        </w:rPr>
        <w:t>(</w:t>
      </w:r>
      <w:r>
        <w:rPr>
          <w:rFonts w:ascii="Lucida Console"/>
          <w:spacing w:val="-21"/>
          <w:sz w:val="20"/>
        </w:rPr>
        <w:t> </w:t>
      </w:r>
      <w:r>
        <w:rPr>
          <w:i/>
          <w:sz w:val="22"/>
        </w:rPr>
        <w:t>cost </w:t>
      </w:r>
      <w:r>
        <w:rPr>
          <w:rFonts w:ascii="Lucida Console"/>
          <w:sz w:val="20"/>
        </w:rPr>
        <w:t>,</w:t>
      </w:r>
      <w:r>
        <w:rPr>
          <w:rFonts w:ascii="Lucida Console"/>
          <w:spacing w:val="-24"/>
          <w:sz w:val="20"/>
        </w:rPr>
        <w:t> </w:t>
      </w:r>
      <w:r>
        <w:rPr>
          <w:i/>
          <w:sz w:val="22"/>
        </w:rPr>
        <w:t>salvage  </w:t>
      </w:r>
      <w:r>
        <w:rPr>
          <w:rFonts w:ascii="Lucida Console"/>
          <w:sz w:val="20"/>
        </w:rPr>
        <w:t>,</w:t>
      </w:r>
      <w:r>
        <w:rPr>
          <w:rFonts w:ascii="Lucida Console"/>
          <w:spacing w:val="-24"/>
          <w:sz w:val="20"/>
        </w:rPr>
        <w:t> </w:t>
      </w:r>
      <w:r>
        <w:rPr>
          <w:i/>
          <w:sz w:val="22"/>
        </w:rPr>
        <w:t>life</w:t>
      </w:r>
      <w:r>
        <w:rPr>
          <w:i/>
          <w:spacing w:val="49"/>
          <w:sz w:val="22"/>
        </w:rPr>
        <w:t> </w:t>
      </w:r>
      <w:r>
        <w:rPr>
          <w:rFonts w:ascii="Lucida Console"/>
          <w:sz w:val="20"/>
        </w:rPr>
        <w:t>,</w:t>
      </w:r>
      <w:r>
        <w:rPr>
          <w:rFonts w:ascii="Lucida Console"/>
          <w:spacing w:val="-22"/>
          <w:sz w:val="20"/>
        </w:rPr>
        <w:t> </w:t>
      </w:r>
      <w:r>
        <w:rPr>
          <w:i/>
          <w:sz w:val="22"/>
        </w:rPr>
        <w:t>start-period</w:t>
      </w:r>
      <w:r>
        <w:rPr>
          <w:i/>
          <w:spacing w:val="49"/>
          <w:sz w:val="22"/>
        </w:rPr>
        <w:t> </w:t>
      </w:r>
      <w:r>
        <w:rPr>
          <w:rFonts w:ascii="Lucida Console"/>
          <w:sz w:val="20"/>
        </w:rPr>
        <w:t>,</w:t>
      </w:r>
      <w:r>
        <w:rPr>
          <w:rFonts w:ascii="Lucida Console"/>
          <w:spacing w:val="-24"/>
          <w:sz w:val="20"/>
        </w:rPr>
        <w:t> </w:t>
      </w:r>
      <w:r>
        <w:rPr>
          <w:i/>
          <w:sz w:val="22"/>
        </w:rPr>
        <w:t>end-period</w:t>
      </w:r>
      <w:r>
        <w:rPr>
          <w:i/>
          <w:spacing w:val="49"/>
          <w:sz w:val="22"/>
        </w:rPr>
        <w:t> </w:t>
      </w:r>
      <w:r>
        <w:rPr>
          <w:sz w:val="22"/>
        </w:rPr>
        <w:t>[</w:t>
      </w:r>
      <w:r>
        <w:rPr>
          <w:spacing w:val="46"/>
          <w:sz w:val="22"/>
        </w:rPr>
        <w:t> </w:t>
      </w:r>
      <w:r>
        <w:rPr>
          <w:rFonts w:ascii="Lucida Console"/>
          <w:sz w:val="20"/>
        </w:rPr>
        <w:t>,</w:t>
      </w:r>
      <w:r>
        <w:rPr>
          <w:rFonts w:ascii="Lucida Console"/>
          <w:spacing w:val="-21"/>
          <w:sz w:val="20"/>
        </w:rPr>
        <w:t> </w:t>
      </w:r>
      <w:r>
        <w:rPr>
          <w:sz w:val="22"/>
        </w:rPr>
        <w:t>[</w:t>
      </w:r>
      <w:r>
        <w:rPr>
          <w:spacing w:val="-1"/>
          <w:sz w:val="22"/>
        </w:rPr>
        <w:t> </w:t>
      </w:r>
      <w:r>
        <w:rPr>
          <w:sz w:val="22"/>
        </w:rPr>
        <w:t>[</w:t>
      </w:r>
      <w:r>
        <w:rPr>
          <w:spacing w:val="47"/>
          <w:sz w:val="22"/>
        </w:rPr>
        <w:t> </w:t>
      </w:r>
      <w:r>
        <w:rPr>
          <w:i/>
          <w:sz w:val="22"/>
        </w:rPr>
        <w:t>factor</w:t>
      </w:r>
      <w:r>
        <w:rPr>
          <w:i/>
          <w:spacing w:val="48"/>
          <w:sz w:val="22"/>
        </w:rPr>
        <w:t> </w:t>
      </w:r>
      <w:r>
        <w:rPr>
          <w:sz w:val="22"/>
        </w:rPr>
        <w:t>] [ </w:t>
      </w:r>
      <w:r>
        <w:rPr>
          <w:rFonts w:ascii="Lucida Console"/>
          <w:sz w:val="20"/>
        </w:rPr>
        <w:t>, </w:t>
      </w:r>
      <w:r>
        <w:rPr>
          <w:sz w:val="22"/>
        </w:rPr>
        <w:t>[ </w:t>
      </w:r>
      <w:r>
        <w:rPr>
          <w:i/>
          <w:sz w:val="22"/>
        </w:rPr>
        <w:t>no-switch-flag </w:t>
      </w:r>
      <w:r>
        <w:rPr>
          <w:sz w:val="22"/>
        </w:rPr>
        <w:t>] ] ] ] ]</w:t>
      </w:r>
      <w:r>
        <w:rPr>
          <w:spacing w:val="24"/>
          <w:sz w:val="22"/>
        </w:rPr>
        <w:t> </w:t>
      </w:r>
      <w:r>
        <w:rPr>
          <w:rFonts w:ascii="Lucida Console"/>
          <w:sz w:val="20"/>
        </w:rPr>
        <w:t>)</w:t>
      </w:r>
    </w:p>
    <w:p>
      <w:pPr>
        <w:pStyle w:val="BodyText"/>
        <w:spacing w:line="278" w:lineRule="auto" w:before="109"/>
        <w:ind w:left="220" w:right="550"/>
      </w:pPr>
      <w:r>
        <w:rPr/>
        <w:t>Description: Computes the depreciation of an asset for the period specified, including partial periods, using the double-declining balance or some other specified method.</w:t>
      </w:r>
    </w:p>
    <w:p>
      <w:pPr>
        <w:pStyle w:val="BodyText"/>
        <w:spacing w:before="197"/>
        <w:ind w:left="220"/>
      </w:pPr>
      <w:r>
        <w:rPr/>
        <w:t>Arguments:</w:t>
      </w:r>
    </w:p>
    <w:p>
      <w:pPr>
        <w:pStyle w:val="BodyText"/>
        <w:spacing w:before="10"/>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sz w:val="22"/>
              </w:rPr>
              <w:t>cost</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number </w:t>
            </w:r>
            <w:r>
              <w:rPr>
                <w:rFonts w:ascii="Times New Roman"/>
                <w:i/>
                <w:sz w:val="22"/>
              </w:rPr>
              <w:t>cost </w:t>
            </w:r>
            <w:r>
              <w:rPr>
                <w:sz w:val="22"/>
              </w:rPr>
              <w:t>is the initial cost of the asset.</w:t>
            </w:r>
          </w:p>
        </w:tc>
      </w:tr>
      <w:tr>
        <w:trPr>
          <w:trHeight w:val="892" w:hRule="atLeast"/>
        </w:trPr>
        <w:tc>
          <w:tcPr>
            <w:tcW w:w="1466" w:type="dxa"/>
          </w:tcPr>
          <w:p>
            <w:pPr>
              <w:pStyle w:val="TableParagraph"/>
              <w:spacing w:before="37"/>
              <w:rPr>
                <w:rFonts w:ascii="Times New Roman"/>
                <w:i/>
                <w:sz w:val="22"/>
              </w:rPr>
            </w:pPr>
            <w:r>
              <w:rPr>
                <w:rFonts w:ascii="Times New Roman"/>
                <w:i/>
                <w:sz w:val="22"/>
              </w:rPr>
              <w:t>salvage</w:t>
            </w:r>
          </w:p>
        </w:tc>
        <w:tc>
          <w:tcPr>
            <w:tcW w:w="1800" w:type="dxa"/>
          </w:tcPr>
          <w:p>
            <w:pPr>
              <w:pStyle w:val="TableParagraph"/>
              <w:ind w:left="112"/>
              <w:rPr>
                <w:sz w:val="22"/>
              </w:rPr>
            </w:pPr>
            <w:r>
              <w:rPr>
                <w:sz w:val="22"/>
              </w:rPr>
              <w:t>number</w:t>
            </w:r>
          </w:p>
        </w:tc>
        <w:tc>
          <w:tcPr>
            <w:tcW w:w="5400" w:type="dxa"/>
          </w:tcPr>
          <w:p>
            <w:pPr>
              <w:pStyle w:val="TableParagraph"/>
              <w:ind w:left="113" w:right="489"/>
              <w:rPr>
                <w:sz w:val="22"/>
              </w:rPr>
            </w:pPr>
            <w:r>
              <w:rPr>
                <w:sz w:val="22"/>
              </w:rPr>
              <w:t>The value at the end of the depreciation. (This is sometimes called the salvage value of the asset.) This value can be 0.</w:t>
            </w:r>
          </w:p>
        </w:tc>
      </w:tr>
      <w:tr>
        <w:trPr>
          <w:trHeight w:val="354" w:hRule="atLeast"/>
        </w:trPr>
        <w:tc>
          <w:tcPr>
            <w:tcW w:w="1466" w:type="dxa"/>
          </w:tcPr>
          <w:p>
            <w:pPr>
              <w:pStyle w:val="TableParagraph"/>
              <w:spacing w:before="37"/>
              <w:rPr>
                <w:rFonts w:ascii="Times New Roman"/>
                <w:i/>
                <w:sz w:val="22"/>
              </w:rPr>
            </w:pPr>
            <w:r>
              <w:rPr>
                <w:rFonts w:ascii="Times New Roman"/>
                <w:i/>
                <w:sz w:val="22"/>
              </w:rPr>
              <w:t>life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of periods over which the asset is being</w:t>
            </w:r>
          </w:p>
        </w:tc>
      </w:tr>
    </w:tbl>
    <w:p>
      <w:pPr>
        <w:spacing w:after="0"/>
        <w:rPr>
          <w:sz w:val="22"/>
        </w:rPr>
        <w:sectPr>
          <w:footerReference w:type="even" r:id="rId278"/>
          <w:footerReference w:type="default" r:id="rId279"/>
          <w:pgSz w:w="12240" w:h="15840"/>
          <w:pgMar w:footer="746" w:header="761" w:top="1340" w:bottom="940" w:left="860" w:right="700"/>
          <w:pgNumType w:start="241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ight="355"/>
              <w:rPr>
                <w:sz w:val="22"/>
              </w:rPr>
            </w:pPr>
            <w:r>
              <w:rPr>
                <w:sz w:val="22"/>
              </w:rPr>
              <w:t>depreciated. (This is sometimes called the useful life of the asset.)</w:t>
            </w:r>
          </w:p>
        </w:tc>
      </w:tr>
      <w:tr>
        <w:trPr>
          <w:trHeight w:val="621" w:hRule="atLeast"/>
        </w:trPr>
        <w:tc>
          <w:tcPr>
            <w:tcW w:w="1466" w:type="dxa"/>
          </w:tcPr>
          <w:p>
            <w:pPr>
              <w:pStyle w:val="TableParagraph"/>
              <w:spacing w:before="37"/>
              <w:rPr>
                <w:rFonts w:ascii="Times New Roman"/>
                <w:i/>
                <w:sz w:val="22"/>
              </w:rPr>
            </w:pPr>
            <w:r>
              <w:rPr>
                <w:rFonts w:ascii="Times New Roman"/>
                <w:i/>
                <w:sz w:val="22"/>
              </w:rPr>
              <w:t>start-period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starting period for which the depreciation is to be calculated. (</w:t>
            </w:r>
            <w:r>
              <w:rPr>
                <w:rFonts w:ascii="Times New Roman"/>
                <w:i/>
                <w:sz w:val="22"/>
              </w:rPr>
              <w:t>start-period </w:t>
            </w:r>
            <w:r>
              <w:rPr>
                <w:sz w:val="22"/>
              </w:rPr>
              <w:t>shall use the same units as </w:t>
            </w:r>
            <w:r>
              <w:rPr>
                <w:rFonts w:ascii="Times New Roman"/>
                <w:i/>
                <w:sz w:val="22"/>
              </w:rPr>
              <w:t>life</w:t>
            </w:r>
            <w:r>
              <w:rPr>
                <w:sz w:val="22"/>
              </w:rPr>
              <w:t>.)</w:t>
            </w:r>
          </w:p>
        </w:tc>
      </w:tr>
      <w:tr>
        <w:trPr>
          <w:trHeight w:val="623" w:hRule="atLeast"/>
        </w:trPr>
        <w:tc>
          <w:tcPr>
            <w:tcW w:w="1466" w:type="dxa"/>
          </w:tcPr>
          <w:p>
            <w:pPr>
              <w:pStyle w:val="TableParagraph"/>
              <w:spacing w:before="37"/>
              <w:rPr>
                <w:rFonts w:ascii="Times New Roman"/>
                <w:i/>
                <w:sz w:val="22"/>
              </w:rPr>
            </w:pPr>
            <w:r>
              <w:rPr>
                <w:rFonts w:ascii="Times New Roman"/>
                <w:i/>
                <w:sz w:val="22"/>
              </w:rPr>
              <w:t>end-period</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ending period for which the depreciation is to be calculated. (</w:t>
            </w:r>
            <w:r>
              <w:rPr>
                <w:rFonts w:ascii="Times New Roman"/>
                <w:i/>
                <w:sz w:val="22"/>
              </w:rPr>
              <w:t>end-period </w:t>
            </w:r>
            <w:r>
              <w:rPr>
                <w:sz w:val="22"/>
              </w:rPr>
              <w:t>shall use the same units as </w:t>
            </w:r>
            <w:r>
              <w:rPr>
                <w:rFonts w:ascii="Times New Roman"/>
                <w:i/>
                <w:sz w:val="22"/>
              </w:rPr>
              <w:t>life</w:t>
            </w:r>
            <w:r>
              <w:rPr>
                <w:sz w:val="22"/>
              </w:rPr>
              <w:t>.)</w:t>
            </w:r>
          </w:p>
        </w:tc>
      </w:tr>
      <w:tr>
        <w:trPr>
          <w:trHeight w:val="623" w:hRule="atLeast"/>
        </w:trPr>
        <w:tc>
          <w:tcPr>
            <w:tcW w:w="1466" w:type="dxa"/>
          </w:tcPr>
          <w:p>
            <w:pPr>
              <w:pStyle w:val="TableParagraph"/>
              <w:spacing w:before="37"/>
              <w:rPr>
                <w:rFonts w:ascii="Times New Roman"/>
                <w:i/>
                <w:sz w:val="22"/>
              </w:rPr>
            </w:pPr>
            <w:r>
              <w:rPr>
                <w:rFonts w:ascii="Times New Roman"/>
                <w:i/>
                <w:sz w:val="22"/>
              </w:rPr>
              <w:t>factor</w:t>
            </w:r>
          </w:p>
        </w:tc>
        <w:tc>
          <w:tcPr>
            <w:tcW w:w="1800" w:type="dxa"/>
          </w:tcPr>
          <w:p>
            <w:pPr>
              <w:pStyle w:val="TableParagraph"/>
              <w:ind w:left="112"/>
              <w:rPr>
                <w:sz w:val="22"/>
              </w:rPr>
            </w:pPr>
            <w:r>
              <w:rPr>
                <w:sz w:val="22"/>
              </w:rPr>
              <w:t>number</w:t>
            </w:r>
          </w:p>
        </w:tc>
        <w:tc>
          <w:tcPr>
            <w:tcW w:w="5400" w:type="dxa"/>
          </w:tcPr>
          <w:p>
            <w:pPr>
              <w:pStyle w:val="TableParagraph"/>
              <w:ind w:left="113" w:right="205"/>
              <w:rPr>
                <w:sz w:val="22"/>
              </w:rPr>
            </w:pPr>
            <w:r>
              <w:rPr>
                <w:sz w:val="22"/>
              </w:rPr>
              <w:t>The rate at which the balance declines. If omitted, it is assumed to be 2 (the double-declining balance method).</w:t>
            </w:r>
          </w:p>
        </w:tc>
      </w:tr>
      <w:tr>
        <w:trPr>
          <w:trHeight w:val="1965" w:hRule="atLeast"/>
        </w:trPr>
        <w:tc>
          <w:tcPr>
            <w:tcW w:w="1466" w:type="dxa"/>
          </w:tcPr>
          <w:p>
            <w:pPr>
              <w:pStyle w:val="TableParagraph"/>
              <w:spacing w:before="37"/>
              <w:ind w:right="392"/>
              <w:rPr>
                <w:rFonts w:ascii="Times New Roman"/>
                <w:i/>
                <w:sz w:val="22"/>
              </w:rPr>
            </w:pPr>
            <w:r>
              <w:rPr>
                <w:rFonts w:ascii="Times New Roman"/>
                <w:i/>
                <w:sz w:val="22"/>
              </w:rPr>
              <w:t>no-switch- </w:t>
            </w:r>
            <w:r>
              <w:rPr>
                <w:rFonts w:ascii="Times New Roman"/>
                <w:i/>
                <w:sz w:val="22"/>
              </w:rPr>
              <w:t>flag</w:t>
            </w:r>
          </w:p>
        </w:tc>
        <w:tc>
          <w:tcPr>
            <w:tcW w:w="1800" w:type="dxa"/>
          </w:tcPr>
          <w:p>
            <w:pPr>
              <w:pStyle w:val="TableParagraph"/>
              <w:ind w:left="112"/>
              <w:rPr>
                <w:sz w:val="22"/>
              </w:rPr>
            </w:pPr>
            <w:r>
              <w:rPr>
                <w:sz w:val="22"/>
              </w:rPr>
              <w:t>logical</w:t>
            </w:r>
          </w:p>
        </w:tc>
        <w:tc>
          <w:tcPr>
            <w:tcW w:w="5400" w:type="dxa"/>
          </w:tcPr>
          <w:p>
            <w:pPr>
              <w:pStyle w:val="TableParagraph"/>
              <w:ind w:left="113" w:right="136"/>
              <w:rPr>
                <w:sz w:val="22"/>
              </w:rPr>
            </w:pPr>
            <w:r>
              <w:rPr>
                <w:sz w:val="22"/>
              </w:rPr>
              <w:t>Specifies whether to switch to straight-line depreciation when depreciation is greater than the declining balance calculation. If </w:t>
            </w:r>
            <w:r>
              <w:rPr>
                <w:rFonts w:ascii="Consolas"/>
                <w:sz w:val="22"/>
              </w:rPr>
              <w:t>TRUE</w:t>
            </w:r>
            <w:r>
              <w:rPr>
                <w:sz w:val="22"/>
              </w:rPr>
              <w:t>, straight-line depreciation is not used even when the depreciation is greater than the declining balance calculation. If </w:t>
            </w:r>
            <w:r>
              <w:rPr>
                <w:rFonts w:ascii="Consolas"/>
                <w:sz w:val="22"/>
              </w:rPr>
              <w:t>FALSE</w:t>
            </w:r>
            <w:r>
              <w:rPr>
                <w:rFonts w:ascii="Consolas"/>
                <w:spacing w:val="-86"/>
                <w:sz w:val="22"/>
              </w:rPr>
              <w:t> </w:t>
            </w:r>
            <w:r>
              <w:rPr>
                <w:sz w:val="22"/>
              </w:rPr>
              <w:t>or omitted, the straight-line depreciation is used when depreciation is greater than the declining balance calculation.</w:t>
            </w:r>
          </w:p>
        </w:tc>
      </w:tr>
    </w:tbl>
    <w:p>
      <w:pPr>
        <w:pStyle w:val="BodyText"/>
        <w:rPr>
          <w:sz w:val="20"/>
        </w:rPr>
      </w:pPr>
    </w:p>
    <w:p>
      <w:pPr>
        <w:pStyle w:val="BodyText"/>
        <w:rPr>
          <w:sz w:val="17"/>
        </w:rPr>
      </w:pPr>
    </w:p>
    <w:p>
      <w:pPr>
        <w:spacing w:line="453" w:lineRule="auto" w:before="56"/>
        <w:ind w:left="220" w:right="2607" w:firstLine="0"/>
        <w:jc w:val="left"/>
        <w:rPr>
          <w:sz w:val="22"/>
        </w:rPr>
      </w:pPr>
      <w:r>
        <w:rPr>
          <w:b/>
          <w:sz w:val="22"/>
        </w:rPr>
        <w:t>Return Type and Value: </w:t>
      </w:r>
      <w:r>
        <w:rPr>
          <w:sz w:val="22"/>
        </w:rPr>
        <w:t>number – The depreciation of an asset for the period specified. However, if:</w:t>
      </w:r>
    </w:p>
    <w:p>
      <w:pPr>
        <w:pStyle w:val="ListParagraph"/>
        <w:numPr>
          <w:ilvl w:val="0"/>
          <w:numId w:val="130"/>
        </w:numPr>
        <w:tabs>
          <w:tab w:pos="940" w:val="left" w:leader="none"/>
          <w:tab w:pos="941" w:val="left" w:leader="none"/>
        </w:tabs>
        <w:spacing w:line="281" w:lineRule="exact" w:before="0" w:after="0"/>
        <w:ind w:left="940" w:right="0" w:hanging="361"/>
        <w:jc w:val="left"/>
        <w:rPr>
          <w:sz w:val="22"/>
        </w:rPr>
      </w:pPr>
      <w:r>
        <w:rPr>
          <w:sz w:val="22"/>
        </w:rPr>
        <w:t>any numerical argument value is non-positive, </w:t>
      </w:r>
      <w:r>
        <w:rPr>
          <w:rFonts w:ascii="Consolas" w:hAnsi="Consolas"/>
          <w:sz w:val="22"/>
        </w:rPr>
        <w:t>#NUM!</w:t>
      </w:r>
      <w:r>
        <w:rPr>
          <w:rFonts w:ascii="Consolas" w:hAnsi="Consolas"/>
          <w:spacing w:val="-68"/>
          <w:sz w:val="22"/>
        </w:rPr>
        <w:t> </w:t>
      </w:r>
      <w:r>
        <w:rPr>
          <w:sz w:val="22"/>
        </w:rPr>
        <w:t>is returned.</w:t>
      </w:r>
    </w:p>
    <w:p>
      <w:pPr>
        <w:pStyle w:val="ListParagraph"/>
        <w:numPr>
          <w:ilvl w:val="0"/>
          <w:numId w:val="131"/>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cost </w:t>
      </w:r>
      <w:r>
        <w:rPr>
          <w:sz w:val="22"/>
        </w:rPr>
        <w:t>is greater than </w:t>
      </w:r>
      <w:r>
        <w:rPr>
          <w:rFonts w:ascii="Times New Roman" w:hAnsi="Times New Roman"/>
          <w:i/>
          <w:sz w:val="22"/>
        </w:rPr>
        <w:t>salvage</w:t>
      </w:r>
      <w:r>
        <w:rPr>
          <w:sz w:val="22"/>
        </w:rPr>
        <w:t>, </w:t>
      </w:r>
      <w:r>
        <w:rPr>
          <w:rFonts w:ascii="Consolas" w:hAnsi="Consolas"/>
          <w:sz w:val="22"/>
        </w:rPr>
        <w:t>zero</w:t>
      </w:r>
      <w:r>
        <w:rPr>
          <w:rFonts w:ascii="Consolas" w:hAnsi="Consolas"/>
          <w:spacing w:val="-73"/>
          <w:sz w:val="22"/>
        </w:rPr>
        <w:t> </w:t>
      </w:r>
      <w:r>
        <w:rPr>
          <w:sz w:val="22"/>
        </w:rPr>
        <w:t>is returned.</w:t>
      </w:r>
    </w:p>
    <w:p>
      <w:pPr>
        <w:pStyle w:val="ListParagraph"/>
        <w:numPr>
          <w:ilvl w:val="0"/>
          <w:numId w:val="131"/>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start-period </w:t>
      </w:r>
      <w:r>
        <w:rPr>
          <w:sz w:val="22"/>
        </w:rPr>
        <w:t>is greater than </w:t>
      </w:r>
      <w:r>
        <w:rPr>
          <w:rFonts w:ascii="Times New Roman" w:hAnsi="Times New Roman"/>
          <w:i/>
          <w:sz w:val="22"/>
        </w:rPr>
        <w:t>end-period</w:t>
      </w:r>
      <w:r>
        <w:rPr>
          <w:sz w:val="22"/>
        </w:rPr>
        <w:t>, </w:t>
      </w:r>
      <w:r>
        <w:rPr>
          <w:rFonts w:ascii="Consolas" w:hAnsi="Consolas"/>
          <w:sz w:val="22"/>
        </w:rPr>
        <w:t>#NUM!</w:t>
      </w:r>
      <w:r>
        <w:rPr>
          <w:rFonts w:ascii="Consolas" w:hAnsi="Consolas"/>
          <w:spacing w:val="-78"/>
          <w:sz w:val="22"/>
        </w:rPr>
        <w:t> </w:t>
      </w:r>
      <w:r>
        <w:rPr>
          <w:sz w:val="22"/>
        </w:rPr>
        <w:t>is returned.</w:t>
      </w:r>
    </w:p>
    <w:p>
      <w:pPr>
        <w:pStyle w:val="ListParagraph"/>
        <w:numPr>
          <w:ilvl w:val="0"/>
          <w:numId w:val="131"/>
        </w:numPr>
        <w:tabs>
          <w:tab w:pos="940" w:val="left" w:leader="none"/>
          <w:tab w:pos="941" w:val="left" w:leader="none"/>
        </w:tabs>
        <w:spacing w:line="446" w:lineRule="auto" w:before="39" w:after="0"/>
        <w:ind w:left="220" w:right="5285" w:firstLine="360"/>
        <w:jc w:val="left"/>
        <w:rPr>
          <w:sz w:val="22"/>
        </w:rPr>
      </w:pPr>
      <w:r>
        <w:rPr>
          <w:rFonts w:ascii="Times New Roman" w:hAnsi="Times New Roman"/>
          <w:i/>
          <w:sz w:val="22"/>
        </w:rPr>
        <w:t>end-period </w:t>
      </w:r>
      <w:r>
        <w:rPr>
          <w:sz w:val="22"/>
        </w:rPr>
        <w:t>is greater than </w:t>
      </w:r>
      <w:r>
        <w:rPr>
          <w:rFonts w:ascii="Times New Roman" w:hAnsi="Times New Roman"/>
          <w:i/>
          <w:sz w:val="22"/>
        </w:rPr>
        <w:t>life</w:t>
      </w:r>
      <w:r>
        <w:rPr>
          <w:sz w:val="22"/>
        </w:rPr>
        <w:t>, </w:t>
      </w:r>
      <w:r>
        <w:rPr>
          <w:rFonts w:ascii="Consolas" w:hAnsi="Consolas"/>
          <w:sz w:val="22"/>
        </w:rPr>
        <w:t>#NUM!</w:t>
      </w:r>
      <w:r>
        <w:rPr>
          <w:rFonts w:ascii="Consolas" w:hAnsi="Consolas"/>
          <w:spacing w:val="-81"/>
          <w:sz w:val="22"/>
        </w:rPr>
        <w:t> </w:t>
      </w:r>
      <w:r>
        <w:rPr>
          <w:sz w:val="22"/>
        </w:rPr>
        <w:t>is returned. [</w:t>
      </w:r>
      <w:r>
        <w:rPr>
          <w:i/>
          <w:sz w:val="22"/>
        </w:rPr>
        <w:t>Example</w:t>
      </w:r>
      <w:r>
        <w:rPr>
          <w:sz w:val="22"/>
        </w:rPr>
        <w:t>:</w:t>
      </w:r>
    </w:p>
    <w:p>
      <w:pPr>
        <w:pStyle w:val="BodyText"/>
        <w:spacing w:line="276" w:lineRule="auto" w:before="128"/>
        <w:ind w:left="220" w:right="5826"/>
        <w:rPr>
          <w:rFonts w:ascii="Consolas"/>
        </w:rPr>
      </w:pPr>
      <w:r>
        <w:rPr>
          <w:rFonts w:ascii="Consolas"/>
        </w:rPr>
        <w:t>VDB(2400,300,10*365,0,1) </w:t>
      </w:r>
      <w:r>
        <w:rPr/>
        <w:t>results in </w:t>
      </w:r>
      <w:r>
        <w:rPr>
          <w:rFonts w:ascii="Consolas"/>
        </w:rPr>
        <w:t>1.32 VDB(2400,300,10*12,0,1) </w:t>
      </w:r>
      <w:r>
        <w:rPr/>
        <w:t>results in </w:t>
      </w:r>
      <w:r>
        <w:rPr>
          <w:rFonts w:ascii="Consolas"/>
        </w:rPr>
        <w:t>40.00 VDB(2400,300,10*12,6,18) </w:t>
      </w:r>
      <w:r>
        <w:rPr/>
        <w:t>results in </w:t>
      </w:r>
      <w:r>
        <w:rPr>
          <w:rFonts w:ascii="Consolas"/>
        </w:rPr>
        <w:t>396.31</w:t>
      </w:r>
    </w:p>
    <w:p>
      <w:pPr>
        <w:pStyle w:val="BodyText"/>
        <w:spacing w:before="5"/>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3 VLOOKUP" w:id="2423"/>
      <w:bookmarkEnd w:id="2423"/>
      <w:r>
        <w:rPr/>
      </w:r>
      <w:bookmarkStart w:name="_bookmark808" w:id="2424"/>
      <w:bookmarkEnd w:id="2424"/>
      <w:r>
        <w:rPr/>
      </w:r>
      <w:bookmarkStart w:name="_bookmark808" w:id="2425"/>
      <w:bookmarkEnd w:id="2425"/>
      <w:r>
        <w:rPr>
          <w:color w:val="4F81BC"/>
        </w:rPr>
        <w:t>V</w:t>
      </w:r>
      <w:r>
        <w:rPr>
          <w:color w:val="4F81BC"/>
        </w:rPr>
        <w:t>LOOKUP</w:t>
      </w:r>
    </w:p>
    <w:p>
      <w:pPr>
        <w:pStyle w:val="Heading4"/>
        <w:spacing w:before="125"/>
        <w:rPr>
          <w:b w:val="0"/>
        </w:rPr>
      </w:pPr>
      <w:r>
        <w:rPr/>
        <w:t>Syntax</w:t>
      </w:r>
      <w:r>
        <w:rPr>
          <w:b w:val="0"/>
        </w:rPr>
        <w:t>:</w:t>
      </w:r>
    </w:p>
    <w:p>
      <w:pPr>
        <w:pStyle w:val="BodyText"/>
        <w:rPr>
          <w:sz w:val="19"/>
        </w:rPr>
      </w:pPr>
    </w:p>
    <w:p>
      <w:pPr>
        <w:spacing w:before="1"/>
        <w:ind w:left="940" w:right="0" w:firstLine="0"/>
        <w:jc w:val="left"/>
        <w:rPr>
          <w:rFonts w:ascii="Lucida Console"/>
          <w:sz w:val="20"/>
        </w:rPr>
      </w:pPr>
      <w:r>
        <w:rPr>
          <w:rFonts w:ascii="Lucida Console"/>
          <w:sz w:val="20"/>
        </w:rPr>
        <w:t>VLOOKUP ( </w:t>
      </w:r>
      <w:r>
        <w:rPr>
          <w:i/>
          <w:sz w:val="22"/>
        </w:rPr>
        <w:t>lookup-value </w:t>
      </w:r>
      <w:r>
        <w:rPr>
          <w:rFonts w:ascii="Lucida Console"/>
          <w:sz w:val="20"/>
        </w:rPr>
        <w:t>, </w:t>
      </w:r>
      <w:r>
        <w:rPr>
          <w:i/>
          <w:sz w:val="22"/>
        </w:rPr>
        <w:t>table-array </w:t>
      </w:r>
      <w:r>
        <w:rPr>
          <w:rFonts w:ascii="Lucida Console"/>
          <w:sz w:val="20"/>
        </w:rPr>
        <w:t>, </w:t>
      </w:r>
      <w:r>
        <w:rPr>
          <w:i/>
          <w:sz w:val="22"/>
        </w:rPr>
        <w:t>col-index-num </w:t>
      </w:r>
      <w:r>
        <w:rPr>
          <w:sz w:val="22"/>
        </w:rPr>
        <w:t>[ </w:t>
      </w:r>
      <w:r>
        <w:rPr>
          <w:rFonts w:ascii="Lucida Console"/>
          <w:sz w:val="20"/>
        </w:rPr>
        <w:t>, </w:t>
      </w:r>
      <w:r>
        <w:rPr>
          <w:sz w:val="22"/>
        </w:rPr>
        <w:t>[ </w:t>
      </w:r>
      <w:r>
        <w:rPr>
          <w:i/>
          <w:sz w:val="22"/>
        </w:rPr>
        <w:t>range-lookup-flag </w:t>
      </w:r>
      <w:r>
        <w:rPr>
          <w:sz w:val="22"/>
        </w:rPr>
        <w:t>] ] </w:t>
      </w:r>
      <w:r>
        <w:rPr>
          <w:rFonts w:ascii="Lucida Console"/>
          <w:sz w:val="20"/>
        </w:rPr>
        <w:t>)</w:t>
      </w:r>
    </w:p>
    <w:p>
      <w:pPr>
        <w:pStyle w:val="BodyText"/>
        <w:spacing w:line="276" w:lineRule="auto" w:before="105"/>
        <w:ind w:left="220" w:right="473"/>
      </w:pPr>
      <w:r>
        <w:rPr>
          <w:b/>
        </w:rPr>
        <w:t>Description</w:t>
      </w:r>
      <w:r>
        <w:rPr/>
        <w:t>: Performs a vertical search for a value in the left-most column of a table or an array, noting the row in which the matching value is found. From that row, the value from a given column is returned.</w:t>
      </w:r>
    </w:p>
    <w:p>
      <w:pPr>
        <w:pStyle w:val="BodyText"/>
        <w:spacing w:before="6"/>
        <w:rPr>
          <w:sz w:val="16"/>
        </w:rPr>
      </w:pPr>
    </w:p>
    <w:p>
      <w:pPr>
        <w:pStyle w:val="Heading4"/>
        <w:rPr>
          <w:b w:val="0"/>
        </w:rPr>
      </w:pPr>
      <w:r>
        <w:rPr/>
        <w:t>Arguments</w:t>
      </w:r>
      <w:r>
        <w:rPr>
          <w:b w:val="0"/>
        </w:rPr>
        <w:t>:</w:t>
      </w:r>
    </w:p>
    <w:p>
      <w:pPr>
        <w:spacing w:after="0"/>
        <w:sectPr>
          <w:pgSz w:w="12240" w:h="15840"/>
          <w:pgMar w:header="763" w:footer="746"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1965" w:hRule="atLeast"/>
        </w:trPr>
        <w:tc>
          <w:tcPr>
            <w:tcW w:w="1466" w:type="dxa"/>
          </w:tcPr>
          <w:p>
            <w:pPr>
              <w:pStyle w:val="TableParagraph"/>
              <w:spacing w:before="37"/>
              <w:rPr>
                <w:rFonts w:ascii="Times New Roman"/>
                <w:i/>
                <w:sz w:val="22"/>
              </w:rPr>
            </w:pPr>
            <w:r>
              <w:rPr>
                <w:rFonts w:ascii="Times New Roman"/>
                <w:i/>
                <w:sz w:val="22"/>
              </w:rPr>
              <w:t>lookup-value</w:t>
            </w:r>
          </w:p>
        </w:tc>
        <w:tc>
          <w:tcPr>
            <w:tcW w:w="1800" w:type="dxa"/>
          </w:tcPr>
          <w:p>
            <w:pPr>
              <w:pStyle w:val="TableParagraph"/>
              <w:ind w:left="112" w:right="126"/>
              <w:rPr>
                <w:sz w:val="22"/>
              </w:rPr>
            </w:pPr>
            <w:r>
              <w:rPr>
                <w:sz w:val="22"/>
              </w:rPr>
              <w:t>value of any type or a reference to a value of any type.</w:t>
            </w:r>
          </w:p>
        </w:tc>
        <w:tc>
          <w:tcPr>
            <w:tcW w:w="5400" w:type="dxa"/>
          </w:tcPr>
          <w:p>
            <w:pPr>
              <w:pStyle w:val="TableParagraph"/>
              <w:ind w:left="113" w:right="280"/>
              <w:rPr>
                <w:sz w:val="22"/>
              </w:rPr>
            </w:pPr>
            <w:r>
              <w:rPr>
                <w:sz w:val="22"/>
              </w:rPr>
              <w:t>The value to be located in the left-most column of the table. If </w:t>
            </w:r>
            <w:r>
              <w:rPr>
                <w:rFonts w:ascii="Times New Roman"/>
                <w:i/>
                <w:sz w:val="22"/>
              </w:rPr>
              <w:t>range-lookup </w:t>
            </w:r>
            <w:r>
              <w:rPr>
                <w:sz w:val="22"/>
              </w:rPr>
              <w:t>is </w:t>
            </w:r>
            <w:r>
              <w:rPr>
                <w:rFonts w:ascii="Consolas"/>
                <w:sz w:val="22"/>
              </w:rPr>
              <w:t>FALSE </w:t>
            </w:r>
            <w:r>
              <w:rPr>
                <w:sz w:val="22"/>
              </w:rPr>
              <w:t>and </w:t>
            </w:r>
            <w:r>
              <w:rPr>
                <w:rFonts w:ascii="Times New Roman"/>
                <w:i/>
                <w:sz w:val="22"/>
              </w:rPr>
              <w:t>lookup-value </w:t>
            </w:r>
            <w:r>
              <w:rPr>
                <w:sz w:val="22"/>
              </w:rPr>
              <w:t>is a string, the wildcard characters, question mark (?) and asterisk (*), can be included in </w:t>
            </w:r>
            <w:r>
              <w:rPr>
                <w:rFonts w:ascii="Times New Roman"/>
                <w:i/>
                <w:sz w:val="22"/>
              </w:rPr>
              <w:t>lookup-value</w:t>
            </w:r>
            <w:r>
              <w:rPr>
                <w:sz w:val="22"/>
              </w:rPr>
              <w:t>. A question mark matches any single character; an asterisk matches any sequence of characters. To find a question mark or asterisk, use a tilde (~) before the character.</w:t>
            </w:r>
          </w:p>
        </w:tc>
      </w:tr>
      <w:tr>
        <w:trPr>
          <w:trHeight w:val="1699" w:hRule="atLeast"/>
        </w:trPr>
        <w:tc>
          <w:tcPr>
            <w:tcW w:w="1466" w:type="dxa"/>
          </w:tcPr>
          <w:p>
            <w:pPr>
              <w:pStyle w:val="TableParagraph"/>
              <w:spacing w:before="37"/>
              <w:rPr>
                <w:rFonts w:ascii="Times New Roman"/>
                <w:i/>
                <w:sz w:val="22"/>
              </w:rPr>
            </w:pPr>
            <w:r>
              <w:rPr>
                <w:rFonts w:ascii="Times New Roman"/>
                <w:i/>
                <w:sz w:val="22"/>
              </w:rPr>
              <w:t>table-array</w:t>
            </w:r>
          </w:p>
        </w:tc>
        <w:tc>
          <w:tcPr>
            <w:tcW w:w="1800" w:type="dxa"/>
          </w:tcPr>
          <w:p>
            <w:pPr>
              <w:pStyle w:val="TableParagraph"/>
              <w:ind w:left="112" w:right="167"/>
              <w:rPr>
                <w:sz w:val="22"/>
              </w:rPr>
            </w:pPr>
            <w:r>
              <w:rPr>
                <w:sz w:val="22"/>
              </w:rPr>
              <w:t>array, reference, name</w:t>
            </w:r>
          </w:p>
        </w:tc>
        <w:tc>
          <w:tcPr>
            <w:tcW w:w="5400" w:type="dxa"/>
          </w:tcPr>
          <w:p>
            <w:pPr>
              <w:pStyle w:val="TableParagraph"/>
              <w:ind w:left="113" w:right="154"/>
              <w:rPr>
                <w:sz w:val="22"/>
              </w:rPr>
            </w:pPr>
            <w:r>
              <w:rPr>
                <w:sz w:val="22"/>
              </w:rPr>
              <w:t>Designates the table of information to be searched. The values in the left-most column of </w:t>
            </w:r>
            <w:r>
              <w:rPr>
                <w:rFonts w:ascii="Times New Roman" w:hAnsi="Times New Roman"/>
                <w:i/>
                <w:sz w:val="22"/>
              </w:rPr>
              <w:t>table-array </w:t>
            </w:r>
            <w:r>
              <w:rPr>
                <w:sz w:val="22"/>
              </w:rPr>
              <w:t>can be text, numbers, or logical values. The values in the left-most column of </w:t>
            </w:r>
            <w:r>
              <w:rPr>
                <w:rFonts w:ascii="Times New Roman" w:hAnsi="Times New Roman"/>
                <w:i/>
                <w:sz w:val="22"/>
              </w:rPr>
              <w:t>table-array </w:t>
            </w:r>
            <w:r>
              <w:rPr>
                <w:sz w:val="22"/>
              </w:rPr>
              <w:t>shall be placed in "ascending order", as follows: …, -2, -1, 0, 1, 2, …, A–Z, </w:t>
            </w:r>
            <w:r>
              <w:rPr>
                <w:rFonts w:ascii="Consolas" w:hAnsi="Consolas"/>
                <w:sz w:val="22"/>
              </w:rPr>
              <w:t>FALSE</w:t>
            </w:r>
            <w:r>
              <w:rPr>
                <w:sz w:val="22"/>
              </w:rPr>
              <w:t>, </w:t>
            </w:r>
            <w:r>
              <w:rPr>
                <w:rFonts w:ascii="Consolas" w:hAnsi="Consolas"/>
                <w:sz w:val="22"/>
              </w:rPr>
              <w:t>TRUE</w:t>
            </w:r>
            <w:r>
              <w:rPr>
                <w:sz w:val="22"/>
              </w:rPr>
              <w:t>. Uppercase and lowercase text is treated as equivalent.</w:t>
            </w:r>
          </w:p>
        </w:tc>
      </w:tr>
      <w:tr>
        <w:trPr>
          <w:trHeight w:val="1427" w:hRule="atLeast"/>
        </w:trPr>
        <w:tc>
          <w:tcPr>
            <w:tcW w:w="1466" w:type="dxa"/>
          </w:tcPr>
          <w:p>
            <w:pPr>
              <w:pStyle w:val="TableParagraph"/>
              <w:spacing w:before="37"/>
              <w:ind w:right="429"/>
              <w:rPr>
                <w:rFonts w:ascii="Times New Roman"/>
                <w:i/>
                <w:sz w:val="22"/>
              </w:rPr>
            </w:pPr>
            <w:r>
              <w:rPr>
                <w:rFonts w:ascii="Times New Roman"/>
                <w:i/>
                <w:sz w:val="22"/>
              </w:rPr>
              <w:t>col-index- </w:t>
            </w:r>
            <w:r>
              <w:rPr>
                <w:rFonts w:ascii="Times New Roman"/>
                <w:i/>
                <w:sz w:val="22"/>
              </w:rPr>
              <w:t>num</w:t>
            </w:r>
          </w:p>
        </w:tc>
        <w:tc>
          <w:tcPr>
            <w:tcW w:w="1800" w:type="dxa"/>
          </w:tcPr>
          <w:p>
            <w:pPr>
              <w:pStyle w:val="TableParagraph"/>
              <w:ind w:left="112"/>
              <w:rPr>
                <w:sz w:val="22"/>
              </w:rPr>
            </w:pPr>
            <w:r>
              <w:rPr>
                <w:sz w:val="22"/>
              </w:rPr>
              <w:t>number</w:t>
            </w:r>
          </w:p>
        </w:tc>
        <w:tc>
          <w:tcPr>
            <w:tcW w:w="5400" w:type="dxa"/>
          </w:tcPr>
          <w:p>
            <w:pPr>
              <w:pStyle w:val="TableParagraph"/>
              <w:ind w:left="113" w:right="284"/>
              <w:rPr>
                <w:sz w:val="22"/>
              </w:rPr>
            </w:pPr>
            <w:r>
              <w:rPr>
                <w:sz w:val="22"/>
              </w:rPr>
              <w:t>The column number in </w:t>
            </w:r>
            <w:r>
              <w:rPr>
                <w:rFonts w:ascii="Times New Roman"/>
                <w:i/>
                <w:sz w:val="22"/>
              </w:rPr>
              <w:t>table-array </w:t>
            </w:r>
            <w:r>
              <w:rPr>
                <w:sz w:val="22"/>
              </w:rPr>
              <w:t>from which the matching value is to be returned. (A </w:t>
            </w:r>
            <w:r>
              <w:rPr>
                <w:rFonts w:ascii="Times New Roman"/>
                <w:i/>
                <w:sz w:val="22"/>
              </w:rPr>
              <w:t>col-index-num </w:t>
            </w:r>
            <w:r>
              <w:rPr>
                <w:sz w:val="22"/>
              </w:rPr>
              <w:t>of 1 returns the left-most column value in </w:t>
            </w:r>
            <w:r>
              <w:rPr>
                <w:rFonts w:ascii="Times New Roman"/>
                <w:i/>
                <w:sz w:val="22"/>
              </w:rPr>
              <w:t>table-array</w:t>
            </w:r>
            <w:r>
              <w:rPr>
                <w:sz w:val="22"/>
              </w:rPr>
              <w:t>, a </w:t>
            </w:r>
            <w:r>
              <w:rPr>
                <w:rFonts w:ascii="Times New Roman"/>
                <w:i/>
                <w:sz w:val="22"/>
              </w:rPr>
              <w:t>col- </w:t>
            </w:r>
            <w:r>
              <w:rPr>
                <w:rFonts w:ascii="Times New Roman"/>
                <w:i/>
                <w:sz w:val="22"/>
              </w:rPr>
              <w:t>index-num </w:t>
            </w:r>
            <w:r>
              <w:rPr>
                <w:sz w:val="22"/>
              </w:rPr>
              <w:t>of 2 returns the next column in </w:t>
            </w:r>
            <w:r>
              <w:rPr>
                <w:rFonts w:ascii="Times New Roman"/>
                <w:i/>
                <w:sz w:val="22"/>
              </w:rPr>
              <w:t>table-array</w:t>
            </w:r>
            <w:r>
              <w:rPr>
                <w:sz w:val="22"/>
              </w:rPr>
              <w:t>, and so on.)</w:t>
            </w:r>
          </w:p>
        </w:tc>
      </w:tr>
      <w:tr>
        <w:trPr>
          <w:trHeight w:val="2503" w:hRule="atLeast"/>
        </w:trPr>
        <w:tc>
          <w:tcPr>
            <w:tcW w:w="1466" w:type="dxa"/>
          </w:tcPr>
          <w:p>
            <w:pPr>
              <w:pStyle w:val="TableParagraph"/>
              <w:spacing w:before="37"/>
              <w:ind w:right="321"/>
              <w:rPr>
                <w:rFonts w:ascii="Times New Roman"/>
                <w:i/>
                <w:sz w:val="22"/>
              </w:rPr>
            </w:pPr>
            <w:r>
              <w:rPr>
                <w:rFonts w:ascii="Times New Roman"/>
                <w:i/>
                <w:sz w:val="22"/>
              </w:rPr>
              <w:t>range- </w:t>
            </w:r>
            <w:r>
              <w:rPr>
                <w:rFonts w:ascii="Times New Roman"/>
                <w:i/>
                <w:sz w:val="22"/>
              </w:rPr>
              <w:t>lookup-flag</w:t>
            </w:r>
          </w:p>
        </w:tc>
        <w:tc>
          <w:tcPr>
            <w:tcW w:w="1800" w:type="dxa"/>
          </w:tcPr>
          <w:p>
            <w:pPr>
              <w:pStyle w:val="TableParagraph"/>
              <w:ind w:left="112"/>
              <w:rPr>
                <w:sz w:val="22"/>
              </w:rPr>
            </w:pPr>
            <w:r>
              <w:rPr>
                <w:sz w:val="22"/>
              </w:rPr>
              <w:t>logical</w:t>
            </w:r>
          </w:p>
        </w:tc>
        <w:tc>
          <w:tcPr>
            <w:tcW w:w="5400" w:type="dxa"/>
          </w:tcPr>
          <w:p>
            <w:pPr>
              <w:pStyle w:val="TableParagraph"/>
              <w:ind w:left="113" w:right="135"/>
              <w:rPr>
                <w:sz w:val="22"/>
              </w:rPr>
            </w:pPr>
            <w:r>
              <w:rPr>
                <w:sz w:val="22"/>
              </w:rPr>
              <w:t>Specifies whether </w:t>
            </w:r>
            <w:r>
              <w:rPr>
                <w:rFonts w:ascii="Consolas"/>
                <w:sz w:val="22"/>
              </w:rPr>
              <w:t>HLOOKUP </w:t>
            </w:r>
            <w:r>
              <w:rPr>
                <w:sz w:val="22"/>
              </w:rPr>
              <w:t>is to find an exact or approximate match. If </w:t>
            </w:r>
            <w:r>
              <w:rPr>
                <w:rFonts w:ascii="Consolas"/>
                <w:sz w:val="22"/>
              </w:rPr>
              <w:t>TRUE </w:t>
            </w:r>
            <w:r>
              <w:rPr>
                <w:sz w:val="22"/>
              </w:rPr>
              <w:t>or omitted, an approximate match is returned. That is, if an exact match is not found, the next largest value that is less than </w:t>
            </w:r>
            <w:r>
              <w:rPr>
                <w:rFonts w:ascii="Times New Roman"/>
                <w:i/>
                <w:sz w:val="22"/>
              </w:rPr>
              <w:t>lookup-value </w:t>
            </w:r>
            <w:r>
              <w:rPr>
                <w:sz w:val="22"/>
              </w:rPr>
              <w:t>is returned. If </w:t>
            </w:r>
            <w:r>
              <w:rPr>
                <w:rFonts w:ascii="Consolas"/>
                <w:sz w:val="22"/>
              </w:rPr>
              <w:t>FALSE</w:t>
            </w:r>
            <w:r>
              <w:rPr>
                <w:sz w:val="22"/>
              </w:rPr>
              <w:t>, an exact match is performed, in which case, the values in the left-most column of </w:t>
            </w:r>
            <w:r>
              <w:rPr>
                <w:rFonts w:ascii="Times New Roman"/>
                <w:i/>
                <w:sz w:val="22"/>
              </w:rPr>
              <w:t>table- </w:t>
            </w:r>
            <w:r>
              <w:rPr>
                <w:rFonts w:ascii="Times New Roman"/>
                <w:i/>
                <w:sz w:val="22"/>
              </w:rPr>
              <w:t>array </w:t>
            </w:r>
            <w:r>
              <w:rPr>
                <w:sz w:val="22"/>
              </w:rPr>
              <w:t>need not be sorted. If there are two or more values in the left-most column of </w:t>
            </w:r>
            <w:r>
              <w:rPr>
                <w:rFonts w:ascii="Times New Roman"/>
                <w:i/>
                <w:sz w:val="22"/>
              </w:rPr>
              <w:t>table-array </w:t>
            </w:r>
            <w:r>
              <w:rPr>
                <w:sz w:val="22"/>
              </w:rPr>
              <w:t>that match</w:t>
            </w:r>
            <w:r>
              <w:rPr>
                <w:spacing w:val="-21"/>
                <w:sz w:val="22"/>
              </w:rPr>
              <w:t> </w:t>
            </w:r>
            <w:r>
              <w:rPr>
                <w:rFonts w:ascii="Times New Roman"/>
                <w:i/>
                <w:sz w:val="22"/>
              </w:rPr>
              <w:t>lookup- </w:t>
            </w:r>
            <w:r>
              <w:rPr>
                <w:rFonts w:ascii="Times New Roman"/>
                <w:i/>
                <w:sz w:val="22"/>
              </w:rPr>
              <w:t>value</w:t>
            </w:r>
            <w:r>
              <w:rPr>
                <w:sz w:val="22"/>
              </w:rPr>
              <w:t>, the top-most value found is</w:t>
            </w:r>
            <w:r>
              <w:rPr>
                <w:spacing w:val="-8"/>
                <w:sz w:val="22"/>
              </w:rPr>
              <w:t> </w:t>
            </w:r>
            <w:r>
              <w:rPr>
                <w:sz w:val="22"/>
              </w:rPr>
              <w:t>used.</w:t>
            </w:r>
          </w:p>
        </w:tc>
      </w:tr>
    </w:tbl>
    <w:p>
      <w:pPr>
        <w:pStyle w:val="BodyText"/>
        <w:rPr>
          <w:sz w:val="20"/>
        </w:rPr>
      </w:pPr>
    </w:p>
    <w:p>
      <w:pPr>
        <w:pStyle w:val="BodyText"/>
        <w:spacing w:before="10"/>
        <w:rPr>
          <w:sz w:val="16"/>
        </w:rPr>
      </w:pPr>
    </w:p>
    <w:p>
      <w:pPr>
        <w:pStyle w:val="BodyText"/>
        <w:spacing w:line="278" w:lineRule="auto" w:before="56"/>
        <w:ind w:left="220" w:right="448"/>
      </w:pPr>
      <w:r>
        <w:rPr>
          <w:b/>
        </w:rPr>
        <w:t>Return Type and Value</w:t>
      </w:r>
      <w:r>
        <w:rPr/>
        <w:t>: any – The value from a given row number, where the column is determined by a search of the top row looking for a match with a given value.</w:t>
      </w:r>
    </w:p>
    <w:p>
      <w:pPr>
        <w:pStyle w:val="BodyText"/>
        <w:spacing w:before="2"/>
        <w:rPr>
          <w:sz w:val="16"/>
        </w:rPr>
      </w:pPr>
    </w:p>
    <w:p>
      <w:pPr>
        <w:pStyle w:val="BodyText"/>
        <w:spacing w:before="1"/>
        <w:ind w:left="220"/>
      </w:pPr>
      <w:r>
        <w:rPr/>
        <w:t>However, if</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sz w:val="22"/>
        </w:rPr>
        <w:t>An exact match is performed, but no match is found, </w:t>
      </w:r>
      <w:r>
        <w:rPr>
          <w:rFonts w:ascii="Consolas" w:hAnsi="Consolas"/>
          <w:sz w:val="22"/>
        </w:rPr>
        <w:t>#N/A</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col-index-num </w:t>
      </w:r>
      <w:r>
        <w:rPr>
          <w:sz w:val="22"/>
        </w:rPr>
        <w:t>is less than 1, </w:t>
      </w:r>
      <w:r>
        <w:rPr>
          <w:rFonts w:ascii="Consolas" w:hAnsi="Consolas"/>
          <w:sz w:val="22"/>
        </w:rPr>
        <w:t>#VALUE!</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col-index-num </w:t>
      </w:r>
      <w:r>
        <w:rPr>
          <w:sz w:val="22"/>
        </w:rPr>
        <w:t>is greater than the number of columns in </w:t>
      </w:r>
      <w:r>
        <w:rPr>
          <w:rFonts w:ascii="Times New Roman" w:hAnsi="Times New Roman"/>
          <w:i/>
          <w:sz w:val="22"/>
        </w:rPr>
        <w:t>table-array</w:t>
      </w:r>
      <w:r>
        <w:rPr>
          <w:sz w:val="22"/>
        </w:rPr>
        <w:t>, </w:t>
      </w:r>
      <w:r>
        <w:rPr>
          <w:rFonts w:ascii="Consolas" w:hAnsi="Consolas"/>
          <w:sz w:val="22"/>
        </w:rPr>
        <w:t>#REF!</w:t>
      </w:r>
      <w:r>
        <w:rPr>
          <w:rFonts w:ascii="Consolas" w:hAnsi="Consolas"/>
          <w:spacing w:val="-93"/>
          <w:sz w:val="22"/>
        </w:rPr>
        <w:t> </w:t>
      </w:r>
      <w:r>
        <w:rPr>
          <w:sz w:val="22"/>
        </w:rPr>
        <w:t>is returned.</w:t>
      </w:r>
    </w:p>
    <w:p>
      <w:pPr>
        <w:pStyle w:val="ListParagraph"/>
        <w:numPr>
          <w:ilvl w:val="4"/>
          <w:numId w:val="66"/>
        </w:numPr>
        <w:tabs>
          <w:tab w:pos="940" w:val="left" w:leader="none"/>
          <w:tab w:pos="941" w:val="left" w:leader="none"/>
        </w:tabs>
        <w:spacing w:line="448" w:lineRule="auto" w:before="42" w:after="16"/>
        <w:ind w:left="220" w:right="461" w:firstLine="360"/>
        <w:jc w:val="left"/>
        <w:rPr>
          <w:sz w:val="22"/>
        </w:rPr>
      </w:pPr>
      <w:r>
        <w:rPr>
          <w:rFonts w:ascii="Times New Roman" w:hAnsi="Times New Roman"/>
          <w:i/>
          <w:sz w:val="22"/>
        </w:rPr>
        <w:t>lookup-value </w:t>
      </w:r>
      <w:r>
        <w:rPr>
          <w:sz w:val="22"/>
        </w:rPr>
        <w:t>is smaller than the smallest value in the left-most column of </w:t>
      </w:r>
      <w:r>
        <w:rPr>
          <w:rFonts w:ascii="Times New Roman" w:hAnsi="Times New Roman"/>
          <w:i/>
          <w:sz w:val="22"/>
        </w:rPr>
        <w:t>table-array</w:t>
      </w:r>
      <w:r>
        <w:rPr>
          <w:sz w:val="22"/>
        </w:rPr>
        <w:t>, </w:t>
      </w:r>
      <w:r>
        <w:rPr>
          <w:rFonts w:ascii="Consolas" w:hAnsi="Consolas"/>
          <w:sz w:val="22"/>
        </w:rPr>
        <w:t>#N/A</w:t>
      </w:r>
      <w:r>
        <w:rPr>
          <w:rFonts w:ascii="Consolas" w:hAnsi="Consolas"/>
          <w:spacing w:val="-102"/>
          <w:sz w:val="22"/>
        </w:rPr>
        <w:t> </w:t>
      </w:r>
      <w:r>
        <w:rPr>
          <w:sz w:val="22"/>
        </w:rPr>
        <w:t>is returned. [</w:t>
      </w:r>
      <w:r>
        <w:rPr>
          <w:i/>
          <w:sz w:val="22"/>
        </w:rPr>
        <w:t>Example</w:t>
      </w:r>
      <w:r>
        <w:rPr>
          <w:sz w:val="22"/>
        </w:rPr>
        <w:t>: Given the following</w:t>
      </w:r>
      <w:r>
        <w:rPr>
          <w:spacing w:val="-5"/>
          <w:sz w:val="22"/>
        </w:rPr>
        <w:t> </w:t>
      </w:r>
      <w:r>
        <w:rPr>
          <w:sz w:val="22"/>
        </w:rPr>
        <w:t>data:</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991"/>
        <w:gridCol w:w="999"/>
        <w:gridCol w:w="809"/>
      </w:tblGrid>
      <w:tr>
        <w:trPr>
          <w:trHeight w:val="354" w:hRule="atLeast"/>
        </w:trPr>
        <w:tc>
          <w:tcPr>
            <w:tcW w:w="468" w:type="dxa"/>
            <w:shd w:val="clear" w:color="auto" w:fill="C0C0C0"/>
          </w:tcPr>
          <w:p>
            <w:pPr>
              <w:pStyle w:val="TableParagraph"/>
              <w:spacing w:before="0"/>
              <w:ind w:left="0"/>
              <w:rPr>
                <w:rFonts w:ascii="Times New Roman"/>
                <w:sz w:val="22"/>
              </w:rPr>
            </w:pPr>
          </w:p>
        </w:tc>
        <w:tc>
          <w:tcPr>
            <w:tcW w:w="991" w:type="dxa"/>
            <w:shd w:val="clear" w:color="auto" w:fill="C0C0C0"/>
          </w:tcPr>
          <w:p>
            <w:pPr>
              <w:pStyle w:val="TableParagraph"/>
              <w:ind w:left="6"/>
              <w:jc w:val="center"/>
              <w:rPr>
                <w:b/>
                <w:sz w:val="22"/>
              </w:rPr>
            </w:pPr>
            <w:r>
              <w:rPr>
                <w:b/>
                <w:w w:val="100"/>
                <w:sz w:val="22"/>
              </w:rPr>
              <w:t>A</w:t>
            </w:r>
          </w:p>
        </w:tc>
        <w:tc>
          <w:tcPr>
            <w:tcW w:w="999" w:type="dxa"/>
            <w:shd w:val="clear" w:color="auto" w:fill="C0C0C0"/>
          </w:tcPr>
          <w:p>
            <w:pPr>
              <w:pStyle w:val="TableParagraph"/>
              <w:ind w:left="3"/>
              <w:jc w:val="center"/>
              <w:rPr>
                <w:b/>
                <w:sz w:val="22"/>
              </w:rPr>
            </w:pPr>
            <w:r>
              <w:rPr>
                <w:b/>
                <w:w w:val="100"/>
                <w:sz w:val="22"/>
              </w:rPr>
              <w:t>B</w:t>
            </w:r>
          </w:p>
        </w:tc>
        <w:tc>
          <w:tcPr>
            <w:tcW w:w="809" w:type="dxa"/>
            <w:shd w:val="clear" w:color="auto" w:fill="C0C0C0"/>
          </w:tcPr>
          <w:p>
            <w:pPr>
              <w:pStyle w:val="TableParagraph"/>
              <w:ind w:left="8"/>
              <w:jc w:val="center"/>
              <w:rPr>
                <w:b/>
                <w:sz w:val="22"/>
              </w:rPr>
            </w:pPr>
            <w:r>
              <w:rPr>
                <w:b/>
                <w:w w:val="100"/>
                <w:sz w:val="22"/>
              </w:rPr>
              <w:t>C</w:t>
            </w:r>
          </w:p>
        </w:tc>
      </w:tr>
      <w:tr>
        <w:trPr>
          <w:trHeight w:val="352" w:hRule="atLeast"/>
        </w:trPr>
        <w:tc>
          <w:tcPr>
            <w:tcW w:w="468" w:type="dxa"/>
          </w:tcPr>
          <w:p>
            <w:pPr>
              <w:pStyle w:val="TableParagraph"/>
              <w:rPr>
                <w:sz w:val="22"/>
              </w:rPr>
            </w:pPr>
            <w:r>
              <w:rPr>
                <w:w w:val="100"/>
                <w:sz w:val="22"/>
              </w:rPr>
              <w:t>1</w:t>
            </w:r>
          </w:p>
        </w:tc>
        <w:tc>
          <w:tcPr>
            <w:tcW w:w="991" w:type="dxa"/>
          </w:tcPr>
          <w:p>
            <w:pPr>
              <w:pStyle w:val="TableParagraph"/>
              <w:ind w:left="114"/>
              <w:rPr>
                <w:sz w:val="22"/>
              </w:rPr>
            </w:pPr>
            <w:r>
              <w:rPr>
                <w:sz w:val="22"/>
              </w:rPr>
              <w:t>Density</w:t>
            </w:r>
          </w:p>
        </w:tc>
        <w:tc>
          <w:tcPr>
            <w:tcW w:w="999" w:type="dxa"/>
          </w:tcPr>
          <w:p>
            <w:pPr>
              <w:pStyle w:val="TableParagraph"/>
              <w:ind w:left="112"/>
              <w:rPr>
                <w:sz w:val="22"/>
              </w:rPr>
            </w:pPr>
            <w:r>
              <w:rPr>
                <w:sz w:val="22"/>
              </w:rPr>
              <w:t>Bearings</w:t>
            </w:r>
          </w:p>
        </w:tc>
        <w:tc>
          <w:tcPr>
            <w:tcW w:w="809" w:type="dxa"/>
          </w:tcPr>
          <w:p>
            <w:pPr>
              <w:pStyle w:val="TableParagraph"/>
              <w:rPr>
                <w:sz w:val="22"/>
              </w:rPr>
            </w:pPr>
            <w:r>
              <w:rPr>
                <w:sz w:val="22"/>
              </w:rPr>
              <w:t>Bolts</w:t>
            </w:r>
          </w:p>
        </w:tc>
      </w:tr>
      <w:tr>
        <w:trPr>
          <w:trHeight w:val="354" w:hRule="atLeast"/>
        </w:trPr>
        <w:tc>
          <w:tcPr>
            <w:tcW w:w="468" w:type="dxa"/>
          </w:tcPr>
          <w:p>
            <w:pPr>
              <w:pStyle w:val="TableParagraph"/>
              <w:rPr>
                <w:sz w:val="22"/>
              </w:rPr>
            </w:pPr>
            <w:r>
              <w:rPr>
                <w:w w:val="100"/>
                <w:sz w:val="22"/>
              </w:rPr>
              <w:t>2</w:t>
            </w:r>
          </w:p>
        </w:tc>
        <w:tc>
          <w:tcPr>
            <w:tcW w:w="991" w:type="dxa"/>
          </w:tcPr>
          <w:p>
            <w:pPr>
              <w:pStyle w:val="TableParagraph"/>
              <w:ind w:left="114"/>
              <w:rPr>
                <w:sz w:val="22"/>
              </w:rPr>
            </w:pPr>
            <w:r>
              <w:rPr>
                <w:sz w:val="22"/>
              </w:rPr>
              <w:t>0.457</w:t>
            </w:r>
          </w:p>
        </w:tc>
        <w:tc>
          <w:tcPr>
            <w:tcW w:w="999" w:type="dxa"/>
          </w:tcPr>
          <w:p>
            <w:pPr>
              <w:pStyle w:val="TableParagraph"/>
              <w:ind w:left="112"/>
              <w:rPr>
                <w:sz w:val="22"/>
              </w:rPr>
            </w:pPr>
            <w:r>
              <w:rPr>
                <w:sz w:val="22"/>
              </w:rPr>
              <w:t>3.55</w:t>
            </w:r>
          </w:p>
        </w:tc>
        <w:tc>
          <w:tcPr>
            <w:tcW w:w="809" w:type="dxa"/>
          </w:tcPr>
          <w:p>
            <w:pPr>
              <w:pStyle w:val="TableParagraph"/>
              <w:rPr>
                <w:sz w:val="22"/>
              </w:rPr>
            </w:pPr>
            <w:r>
              <w:rPr>
                <w:sz w:val="22"/>
              </w:rPr>
              <w:t>500</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
        <w:gridCol w:w="991"/>
        <w:gridCol w:w="999"/>
        <w:gridCol w:w="809"/>
      </w:tblGrid>
      <w:tr>
        <w:trPr>
          <w:trHeight w:val="355" w:hRule="atLeast"/>
        </w:trPr>
        <w:tc>
          <w:tcPr>
            <w:tcW w:w="468" w:type="dxa"/>
            <w:shd w:val="clear" w:color="auto" w:fill="C0C0C0"/>
          </w:tcPr>
          <w:p>
            <w:pPr>
              <w:pStyle w:val="TableParagraph"/>
              <w:spacing w:before="0"/>
              <w:ind w:left="0"/>
              <w:rPr>
                <w:rFonts w:ascii="Times New Roman"/>
                <w:sz w:val="22"/>
              </w:rPr>
            </w:pPr>
          </w:p>
        </w:tc>
        <w:tc>
          <w:tcPr>
            <w:tcW w:w="991" w:type="dxa"/>
            <w:shd w:val="clear" w:color="auto" w:fill="C0C0C0"/>
          </w:tcPr>
          <w:p>
            <w:pPr>
              <w:pStyle w:val="TableParagraph"/>
              <w:ind w:left="6"/>
              <w:jc w:val="center"/>
              <w:rPr>
                <w:b/>
                <w:sz w:val="22"/>
              </w:rPr>
            </w:pPr>
            <w:r>
              <w:rPr>
                <w:b/>
                <w:w w:val="100"/>
                <w:sz w:val="22"/>
              </w:rPr>
              <w:t>A</w:t>
            </w:r>
          </w:p>
        </w:tc>
        <w:tc>
          <w:tcPr>
            <w:tcW w:w="999" w:type="dxa"/>
            <w:shd w:val="clear" w:color="auto" w:fill="C0C0C0"/>
          </w:tcPr>
          <w:p>
            <w:pPr>
              <w:pStyle w:val="TableParagraph"/>
              <w:ind w:left="0" w:right="428"/>
              <w:jc w:val="right"/>
              <w:rPr>
                <w:b/>
                <w:sz w:val="22"/>
              </w:rPr>
            </w:pPr>
            <w:r>
              <w:rPr>
                <w:b/>
                <w:w w:val="100"/>
                <w:sz w:val="22"/>
              </w:rPr>
              <w:t>B</w:t>
            </w:r>
          </w:p>
        </w:tc>
        <w:tc>
          <w:tcPr>
            <w:tcW w:w="809" w:type="dxa"/>
            <w:shd w:val="clear" w:color="auto" w:fill="C0C0C0"/>
          </w:tcPr>
          <w:p>
            <w:pPr>
              <w:pStyle w:val="TableParagraph"/>
              <w:ind w:left="8"/>
              <w:jc w:val="center"/>
              <w:rPr>
                <w:b/>
                <w:sz w:val="22"/>
              </w:rPr>
            </w:pPr>
            <w:r>
              <w:rPr>
                <w:b/>
                <w:w w:val="100"/>
                <w:sz w:val="22"/>
              </w:rPr>
              <w:t>C</w:t>
            </w:r>
          </w:p>
        </w:tc>
      </w:tr>
      <w:tr>
        <w:trPr>
          <w:trHeight w:val="354" w:hRule="atLeast"/>
        </w:trPr>
        <w:tc>
          <w:tcPr>
            <w:tcW w:w="468" w:type="dxa"/>
          </w:tcPr>
          <w:p>
            <w:pPr>
              <w:pStyle w:val="TableParagraph"/>
              <w:ind w:left="0" w:right="114"/>
              <w:jc w:val="center"/>
              <w:rPr>
                <w:sz w:val="22"/>
              </w:rPr>
            </w:pPr>
            <w:r>
              <w:rPr>
                <w:w w:val="100"/>
                <w:sz w:val="22"/>
              </w:rPr>
              <w:t>3</w:t>
            </w:r>
          </w:p>
        </w:tc>
        <w:tc>
          <w:tcPr>
            <w:tcW w:w="991" w:type="dxa"/>
          </w:tcPr>
          <w:p>
            <w:pPr>
              <w:pStyle w:val="TableParagraph"/>
              <w:ind w:left="114"/>
              <w:rPr>
                <w:sz w:val="22"/>
              </w:rPr>
            </w:pPr>
            <w:r>
              <w:rPr>
                <w:sz w:val="22"/>
              </w:rPr>
              <w:t>0.525</w:t>
            </w:r>
          </w:p>
        </w:tc>
        <w:tc>
          <w:tcPr>
            <w:tcW w:w="999" w:type="dxa"/>
          </w:tcPr>
          <w:p>
            <w:pPr>
              <w:pStyle w:val="TableParagraph"/>
              <w:ind w:left="0" w:right="482"/>
              <w:jc w:val="right"/>
              <w:rPr>
                <w:sz w:val="22"/>
              </w:rPr>
            </w:pPr>
            <w:r>
              <w:rPr>
                <w:sz w:val="22"/>
              </w:rPr>
              <w:t>3.25</w:t>
            </w:r>
          </w:p>
        </w:tc>
        <w:tc>
          <w:tcPr>
            <w:tcW w:w="809" w:type="dxa"/>
          </w:tcPr>
          <w:p>
            <w:pPr>
              <w:pStyle w:val="TableParagraph"/>
              <w:rPr>
                <w:sz w:val="22"/>
              </w:rPr>
            </w:pPr>
            <w:r>
              <w:rPr>
                <w:sz w:val="22"/>
              </w:rPr>
              <w:t>400</w:t>
            </w:r>
          </w:p>
        </w:tc>
      </w:tr>
      <w:tr>
        <w:trPr>
          <w:trHeight w:val="354" w:hRule="atLeast"/>
        </w:trPr>
        <w:tc>
          <w:tcPr>
            <w:tcW w:w="468" w:type="dxa"/>
          </w:tcPr>
          <w:p>
            <w:pPr>
              <w:pStyle w:val="TableParagraph"/>
              <w:ind w:left="0" w:right="114"/>
              <w:jc w:val="center"/>
              <w:rPr>
                <w:sz w:val="22"/>
              </w:rPr>
            </w:pPr>
            <w:r>
              <w:rPr>
                <w:w w:val="100"/>
                <w:sz w:val="22"/>
              </w:rPr>
              <w:t>4</w:t>
            </w:r>
          </w:p>
        </w:tc>
        <w:tc>
          <w:tcPr>
            <w:tcW w:w="991" w:type="dxa"/>
          </w:tcPr>
          <w:p>
            <w:pPr>
              <w:pStyle w:val="TableParagraph"/>
              <w:ind w:left="114"/>
              <w:rPr>
                <w:sz w:val="22"/>
              </w:rPr>
            </w:pPr>
            <w:r>
              <w:rPr>
                <w:sz w:val="22"/>
              </w:rPr>
              <w:t>0.616</w:t>
            </w:r>
          </w:p>
        </w:tc>
        <w:tc>
          <w:tcPr>
            <w:tcW w:w="999" w:type="dxa"/>
          </w:tcPr>
          <w:p>
            <w:pPr>
              <w:pStyle w:val="TableParagraph"/>
              <w:ind w:left="0" w:right="482"/>
              <w:jc w:val="right"/>
              <w:rPr>
                <w:sz w:val="22"/>
              </w:rPr>
            </w:pPr>
            <w:r>
              <w:rPr>
                <w:sz w:val="22"/>
              </w:rPr>
              <w:t>2.93</w:t>
            </w:r>
          </w:p>
        </w:tc>
        <w:tc>
          <w:tcPr>
            <w:tcW w:w="809" w:type="dxa"/>
          </w:tcPr>
          <w:p>
            <w:pPr>
              <w:pStyle w:val="TableParagraph"/>
              <w:rPr>
                <w:sz w:val="22"/>
              </w:rPr>
            </w:pPr>
            <w:r>
              <w:rPr>
                <w:sz w:val="22"/>
              </w:rPr>
              <w:t>300</w:t>
            </w:r>
          </w:p>
        </w:tc>
      </w:tr>
      <w:tr>
        <w:trPr>
          <w:trHeight w:val="352" w:hRule="atLeast"/>
        </w:trPr>
        <w:tc>
          <w:tcPr>
            <w:tcW w:w="468" w:type="dxa"/>
          </w:tcPr>
          <w:p>
            <w:pPr>
              <w:pStyle w:val="TableParagraph"/>
              <w:ind w:left="0" w:right="114"/>
              <w:jc w:val="center"/>
              <w:rPr>
                <w:sz w:val="22"/>
              </w:rPr>
            </w:pPr>
            <w:r>
              <w:rPr>
                <w:w w:val="100"/>
                <w:sz w:val="22"/>
              </w:rPr>
              <w:t>5</w:t>
            </w:r>
          </w:p>
        </w:tc>
        <w:tc>
          <w:tcPr>
            <w:tcW w:w="991" w:type="dxa"/>
          </w:tcPr>
          <w:p>
            <w:pPr>
              <w:pStyle w:val="TableParagraph"/>
              <w:ind w:left="114"/>
              <w:rPr>
                <w:sz w:val="22"/>
              </w:rPr>
            </w:pPr>
            <w:r>
              <w:rPr>
                <w:sz w:val="22"/>
              </w:rPr>
              <w:t>0.675</w:t>
            </w:r>
          </w:p>
        </w:tc>
        <w:tc>
          <w:tcPr>
            <w:tcW w:w="999" w:type="dxa"/>
          </w:tcPr>
          <w:p>
            <w:pPr>
              <w:pStyle w:val="TableParagraph"/>
              <w:ind w:left="0" w:right="482"/>
              <w:jc w:val="right"/>
              <w:rPr>
                <w:sz w:val="22"/>
              </w:rPr>
            </w:pPr>
            <w:r>
              <w:rPr>
                <w:sz w:val="22"/>
              </w:rPr>
              <w:t>2.75</w:t>
            </w:r>
          </w:p>
        </w:tc>
        <w:tc>
          <w:tcPr>
            <w:tcW w:w="809" w:type="dxa"/>
          </w:tcPr>
          <w:p>
            <w:pPr>
              <w:pStyle w:val="TableParagraph"/>
              <w:rPr>
                <w:sz w:val="22"/>
              </w:rPr>
            </w:pPr>
            <w:r>
              <w:rPr>
                <w:sz w:val="22"/>
              </w:rPr>
              <w:t>250</w:t>
            </w:r>
          </w:p>
        </w:tc>
      </w:tr>
      <w:tr>
        <w:trPr>
          <w:trHeight w:val="354" w:hRule="atLeast"/>
        </w:trPr>
        <w:tc>
          <w:tcPr>
            <w:tcW w:w="468" w:type="dxa"/>
          </w:tcPr>
          <w:p>
            <w:pPr>
              <w:pStyle w:val="TableParagraph"/>
              <w:spacing w:before="42"/>
              <w:ind w:left="0" w:right="114"/>
              <w:jc w:val="center"/>
              <w:rPr>
                <w:sz w:val="22"/>
              </w:rPr>
            </w:pPr>
            <w:r>
              <w:rPr>
                <w:w w:val="100"/>
                <w:sz w:val="22"/>
              </w:rPr>
              <w:t>6</w:t>
            </w:r>
          </w:p>
        </w:tc>
        <w:tc>
          <w:tcPr>
            <w:tcW w:w="991" w:type="dxa"/>
          </w:tcPr>
          <w:p>
            <w:pPr>
              <w:pStyle w:val="TableParagraph"/>
              <w:spacing w:before="42"/>
              <w:ind w:left="114"/>
              <w:rPr>
                <w:sz w:val="22"/>
              </w:rPr>
            </w:pPr>
            <w:r>
              <w:rPr>
                <w:sz w:val="22"/>
              </w:rPr>
              <w:t>0.746</w:t>
            </w:r>
          </w:p>
        </w:tc>
        <w:tc>
          <w:tcPr>
            <w:tcW w:w="999" w:type="dxa"/>
          </w:tcPr>
          <w:p>
            <w:pPr>
              <w:pStyle w:val="TableParagraph"/>
              <w:spacing w:before="42"/>
              <w:ind w:left="0" w:right="482"/>
              <w:jc w:val="right"/>
              <w:rPr>
                <w:sz w:val="22"/>
              </w:rPr>
            </w:pPr>
            <w:r>
              <w:rPr>
                <w:sz w:val="22"/>
              </w:rPr>
              <w:t>2.57</w:t>
            </w:r>
          </w:p>
        </w:tc>
        <w:tc>
          <w:tcPr>
            <w:tcW w:w="809" w:type="dxa"/>
          </w:tcPr>
          <w:p>
            <w:pPr>
              <w:pStyle w:val="TableParagraph"/>
              <w:spacing w:before="42"/>
              <w:rPr>
                <w:sz w:val="22"/>
              </w:rPr>
            </w:pPr>
            <w:r>
              <w:rPr>
                <w:sz w:val="22"/>
              </w:rPr>
              <w:t>200</w:t>
            </w:r>
          </w:p>
        </w:tc>
      </w:tr>
      <w:tr>
        <w:trPr>
          <w:trHeight w:val="354" w:hRule="atLeast"/>
        </w:trPr>
        <w:tc>
          <w:tcPr>
            <w:tcW w:w="468" w:type="dxa"/>
          </w:tcPr>
          <w:p>
            <w:pPr>
              <w:pStyle w:val="TableParagraph"/>
              <w:ind w:left="0" w:right="114"/>
              <w:jc w:val="center"/>
              <w:rPr>
                <w:sz w:val="22"/>
              </w:rPr>
            </w:pPr>
            <w:r>
              <w:rPr>
                <w:w w:val="100"/>
                <w:sz w:val="22"/>
              </w:rPr>
              <w:t>7</w:t>
            </w:r>
          </w:p>
        </w:tc>
        <w:tc>
          <w:tcPr>
            <w:tcW w:w="991" w:type="dxa"/>
          </w:tcPr>
          <w:p>
            <w:pPr>
              <w:pStyle w:val="TableParagraph"/>
              <w:ind w:left="114"/>
              <w:rPr>
                <w:sz w:val="22"/>
              </w:rPr>
            </w:pPr>
            <w:r>
              <w:rPr>
                <w:sz w:val="22"/>
              </w:rPr>
              <w:t>0.835</w:t>
            </w:r>
          </w:p>
        </w:tc>
        <w:tc>
          <w:tcPr>
            <w:tcW w:w="999" w:type="dxa"/>
          </w:tcPr>
          <w:p>
            <w:pPr>
              <w:pStyle w:val="TableParagraph"/>
              <w:ind w:left="0" w:right="482"/>
              <w:jc w:val="right"/>
              <w:rPr>
                <w:sz w:val="22"/>
              </w:rPr>
            </w:pPr>
            <w:r>
              <w:rPr>
                <w:sz w:val="22"/>
              </w:rPr>
              <w:t>2.38</w:t>
            </w:r>
          </w:p>
        </w:tc>
        <w:tc>
          <w:tcPr>
            <w:tcW w:w="809" w:type="dxa"/>
          </w:tcPr>
          <w:p>
            <w:pPr>
              <w:pStyle w:val="TableParagraph"/>
              <w:rPr>
                <w:sz w:val="22"/>
              </w:rPr>
            </w:pPr>
            <w:r>
              <w:rPr>
                <w:sz w:val="22"/>
              </w:rPr>
              <w:t>150</w:t>
            </w:r>
          </w:p>
        </w:tc>
      </w:tr>
      <w:tr>
        <w:trPr>
          <w:trHeight w:val="354" w:hRule="atLeast"/>
        </w:trPr>
        <w:tc>
          <w:tcPr>
            <w:tcW w:w="468" w:type="dxa"/>
          </w:tcPr>
          <w:p>
            <w:pPr>
              <w:pStyle w:val="TableParagraph"/>
              <w:ind w:left="0" w:right="114"/>
              <w:jc w:val="center"/>
              <w:rPr>
                <w:sz w:val="22"/>
              </w:rPr>
            </w:pPr>
            <w:r>
              <w:rPr>
                <w:w w:val="100"/>
                <w:sz w:val="22"/>
              </w:rPr>
              <w:t>8</w:t>
            </w:r>
          </w:p>
        </w:tc>
        <w:tc>
          <w:tcPr>
            <w:tcW w:w="991" w:type="dxa"/>
          </w:tcPr>
          <w:p>
            <w:pPr>
              <w:pStyle w:val="TableParagraph"/>
              <w:ind w:left="114"/>
              <w:rPr>
                <w:sz w:val="22"/>
              </w:rPr>
            </w:pPr>
            <w:r>
              <w:rPr>
                <w:sz w:val="22"/>
              </w:rPr>
              <w:t>0.946</w:t>
            </w:r>
          </w:p>
        </w:tc>
        <w:tc>
          <w:tcPr>
            <w:tcW w:w="999" w:type="dxa"/>
          </w:tcPr>
          <w:p>
            <w:pPr>
              <w:pStyle w:val="TableParagraph"/>
              <w:ind w:left="0" w:right="482"/>
              <w:jc w:val="right"/>
              <w:rPr>
                <w:sz w:val="22"/>
              </w:rPr>
            </w:pPr>
            <w:r>
              <w:rPr>
                <w:sz w:val="22"/>
              </w:rPr>
              <w:t>2.17</w:t>
            </w:r>
          </w:p>
        </w:tc>
        <w:tc>
          <w:tcPr>
            <w:tcW w:w="809" w:type="dxa"/>
          </w:tcPr>
          <w:p>
            <w:pPr>
              <w:pStyle w:val="TableParagraph"/>
              <w:rPr>
                <w:sz w:val="22"/>
              </w:rPr>
            </w:pPr>
            <w:r>
              <w:rPr>
                <w:sz w:val="22"/>
              </w:rPr>
              <w:t>100</w:t>
            </w:r>
          </w:p>
        </w:tc>
      </w:tr>
      <w:tr>
        <w:trPr>
          <w:trHeight w:val="354" w:hRule="atLeast"/>
        </w:trPr>
        <w:tc>
          <w:tcPr>
            <w:tcW w:w="468" w:type="dxa"/>
          </w:tcPr>
          <w:p>
            <w:pPr>
              <w:pStyle w:val="TableParagraph"/>
              <w:ind w:left="0" w:right="114"/>
              <w:jc w:val="center"/>
              <w:rPr>
                <w:sz w:val="22"/>
              </w:rPr>
            </w:pPr>
            <w:r>
              <w:rPr>
                <w:w w:val="100"/>
                <w:sz w:val="22"/>
              </w:rPr>
              <w:t>9</w:t>
            </w:r>
          </w:p>
        </w:tc>
        <w:tc>
          <w:tcPr>
            <w:tcW w:w="991" w:type="dxa"/>
          </w:tcPr>
          <w:p>
            <w:pPr>
              <w:pStyle w:val="TableParagraph"/>
              <w:ind w:left="114"/>
              <w:rPr>
                <w:sz w:val="22"/>
              </w:rPr>
            </w:pPr>
            <w:r>
              <w:rPr>
                <w:sz w:val="22"/>
              </w:rPr>
              <w:t>1.09</w:t>
            </w:r>
          </w:p>
        </w:tc>
        <w:tc>
          <w:tcPr>
            <w:tcW w:w="999" w:type="dxa"/>
          </w:tcPr>
          <w:p>
            <w:pPr>
              <w:pStyle w:val="TableParagraph"/>
              <w:ind w:left="0" w:right="482"/>
              <w:jc w:val="right"/>
              <w:rPr>
                <w:sz w:val="22"/>
              </w:rPr>
            </w:pPr>
            <w:r>
              <w:rPr>
                <w:sz w:val="22"/>
              </w:rPr>
              <w:t>1.95</w:t>
            </w:r>
          </w:p>
        </w:tc>
        <w:tc>
          <w:tcPr>
            <w:tcW w:w="809" w:type="dxa"/>
          </w:tcPr>
          <w:p>
            <w:pPr>
              <w:pStyle w:val="TableParagraph"/>
              <w:rPr>
                <w:sz w:val="22"/>
              </w:rPr>
            </w:pPr>
            <w:r>
              <w:rPr>
                <w:sz w:val="22"/>
              </w:rPr>
              <w:t>50</w:t>
            </w:r>
          </w:p>
        </w:tc>
      </w:tr>
      <w:tr>
        <w:trPr>
          <w:trHeight w:val="354" w:hRule="atLeast"/>
        </w:trPr>
        <w:tc>
          <w:tcPr>
            <w:tcW w:w="468" w:type="dxa"/>
          </w:tcPr>
          <w:p>
            <w:pPr>
              <w:pStyle w:val="TableParagraph"/>
              <w:ind w:left="97" w:right="97"/>
              <w:jc w:val="center"/>
              <w:rPr>
                <w:sz w:val="22"/>
              </w:rPr>
            </w:pPr>
            <w:r>
              <w:rPr>
                <w:sz w:val="22"/>
              </w:rPr>
              <w:t>10</w:t>
            </w:r>
          </w:p>
        </w:tc>
        <w:tc>
          <w:tcPr>
            <w:tcW w:w="991" w:type="dxa"/>
          </w:tcPr>
          <w:p>
            <w:pPr>
              <w:pStyle w:val="TableParagraph"/>
              <w:ind w:left="114"/>
              <w:rPr>
                <w:sz w:val="22"/>
              </w:rPr>
            </w:pPr>
            <w:r>
              <w:rPr>
                <w:sz w:val="22"/>
              </w:rPr>
              <w:t>1.29</w:t>
            </w:r>
          </w:p>
        </w:tc>
        <w:tc>
          <w:tcPr>
            <w:tcW w:w="999" w:type="dxa"/>
          </w:tcPr>
          <w:p>
            <w:pPr>
              <w:pStyle w:val="TableParagraph"/>
              <w:ind w:left="0" w:right="482"/>
              <w:jc w:val="right"/>
              <w:rPr>
                <w:sz w:val="22"/>
              </w:rPr>
            </w:pPr>
            <w:r>
              <w:rPr>
                <w:sz w:val="22"/>
              </w:rPr>
              <w:t>1.71</w:t>
            </w:r>
          </w:p>
        </w:tc>
        <w:tc>
          <w:tcPr>
            <w:tcW w:w="809" w:type="dxa"/>
          </w:tcPr>
          <w:p>
            <w:pPr>
              <w:pStyle w:val="TableParagraph"/>
              <w:rPr>
                <w:sz w:val="22"/>
              </w:rPr>
            </w:pPr>
            <w:r>
              <w:rPr>
                <w:w w:val="100"/>
                <w:sz w:val="22"/>
              </w:rPr>
              <w:t>0</w:t>
            </w:r>
          </w:p>
        </w:tc>
      </w:tr>
    </w:tbl>
    <w:p>
      <w:pPr>
        <w:pStyle w:val="BodyText"/>
        <w:rPr>
          <w:sz w:val="20"/>
        </w:rPr>
      </w:pPr>
    </w:p>
    <w:p>
      <w:pPr>
        <w:pStyle w:val="BodyText"/>
        <w:spacing w:before="10"/>
        <w:rPr>
          <w:sz w:val="16"/>
        </w:rPr>
      </w:pPr>
    </w:p>
    <w:p>
      <w:pPr>
        <w:pStyle w:val="BodyText"/>
        <w:spacing w:line="276" w:lineRule="auto" w:before="57"/>
        <w:ind w:left="220" w:right="5911"/>
        <w:rPr>
          <w:rFonts w:ascii="Consolas"/>
        </w:rPr>
      </w:pPr>
      <w:r>
        <w:rPr>
          <w:rFonts w:ascii="Consolas"/>
        </w:rPr>
        <w:t>VLOOKUP(1,A2:C10,2) </w:t>
      </w:r>
      <w:r>
        <w:rPr/>
        <w:t>results in </w:t>
      </w:r>
      <w:r>
        <w:rPr>
          <w:rFonts w:ascii="Consolas"/>
        </w:rPr>
        <w:t>2.17 VLOOKUP(1,A2:C10,3,TRUE)</w:t>
      </w:r>
      <w:r>
        <w:rPr>
          <w:rFonts w:ascii="Consolas"/>
          <w:spacing w:val="-85"/>
        </w:rPr>
        <w:t> </w:t>
      </w:r>
      <w:r>
        <w:rPr/>
        <w:t>results in </w:t>
      </w:r>
      <w:r>
        <w:rPr>
          <w:rFonts w:ascii="Consolas"/>
        </w:rPr>
        <w:t>100.00 VLOOKUP(2,A2:C10,2,TRUE)</w:t>
      </w:r>
      <w:r>
        <w:rPr>
          <w:rFonts w:ascii="Consolas"/>
          <w:spacing w:val="-76"/>
        </w:rPr>
        <w:t> </w:t>
      </w:r>
      <w:r>
        <w:rPr/>
        <w:t>results in </w:t>
      </w:r>
      <w:r>
        <w:rPr>
          <w:rFonts w:ascii="Consolas"/>
        </w:rPr>
        <w:t>1.71</w:t>
      </w:r>
    </w:p>
    <w:p>
      <w:pPr>
        <w:pStyle w:val="BodyText"/>
        <w:spacing w:before="7"/>
        <w:rPr>
          <w:rFonts w:ascii="Consolas"/>
          <w:sz w:val="25"/>
        </w:rPr>
      </w:pPr>
    </w:p>
    <w:p>
      <w:pPr>
        <w:spacing w:before="0"/>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44 WEEKDAY" w:id="2426"/>
      <w:bookmarkEnd w:id="2426"/>
      <w:r>
        <w:rPr/>
      </w:r>
      <w:bookmarkStart w:name="_bookmark809" w:id="2427"/>
      <w:bookmarkEnd w:id="2427"/>
      <w:r>
        <w:rPr/>
      </w:r>
      <w:bookmarkStart w:name="_bookmark809" w:id="2428"/>
      <w:bookmarkEnd w:id="2428"/>
      <w:r>
        <w:rPr>
          <w:color w:val="4F81BC"/>
        </w:rPr>
        <w:t>W</w:t>
      </w:r>
      <w:r>
        <w:rPr>
          <w:color w:val="4F81BC"/>
        </w:rPr>
        <w:t>EEKDAY</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WEEKDAY ( </w:t>
      </w:r>
      <w:r>
        <w:rPr>
          <w:i/>
          <w:sz w:val="22"/>
        </w:rPr>
        <w:t>serial-value </w:t>
      </w:r>
      <w:r>
        <w:rPr>
          <w:sz w:val="22"/>
        </w:rPr>
        <w:t>[ </w:t>
      </w:r>
      <w:r>
        <w:rPr>
          <w:rFonts w:ascii="Lucida Console"/>
          <w:sz w:val="20"/>
        </w:rPr>
        <w:t>, </w:t>
      </w:r>
      <w:r>
        <w:rPr>
          <w:i/>
          <w:sz w:val="22"/>
        </w:rPr>
        <w:t>weekday-start-flag </w:t>
      </w:r>
      <w:r>
        <w:rPr>
          <w:sz w:val="22"/>
        </w:rPr>
        <w:t>] </w:t>
      </w:r>
      <w:r>
        <w:rPr>
          <w:rFonts w:ascii="Lucida Console"/>
          <w:sz w:val="20"/>
        </w:rPr>
        <w:t>)</w:t>
      </w:r>
    </w:p>
    <w:p>
      <w:pPr>
        <w:pStyle w:val="BodyText"/>
        <w:spacing w:line="276" w:lineRule="auto" w:before="106"/>
        <w:ind w:left="220" w:right="522"/>
      </w:pPr>
      <w:r>
        <w:rPr>
          <w:b/>
        </w:rPr>
        <w:t>Description: </w:t>
      </w:r>
      <w:r>
        <w:rPr/>
        <w:t>Computes the weekday number for the date having the given </w:t>
      </w:r>
      <w:r>
        <w:rPr>
          <w:rFonts w:ascii="Times New Roman" w:hAnsi="Times New Roman"/>
          <w:i/>
        </w:rPr>
        <w:t>serial-value</w:t>
      </w:r>
      <w:r>
        <w:rPr/>
        <w:t>, taking into account the current date system and </w:t>
      </w:r>
      <w:r>
        <w:rPr>
          <w:rFonts w:ascii="Times New Roman" w:hAnsi="Times New Roman"/>
          <w:i/>
        </w:rPr>
        <w:t>weekday-start-flag</w:t>
      </w:r>
      <w:r>
        <w:rPr/>
        <w:t>, if present. See </w:t>
      </w:r>
      <w:hyperlink w:history="true" w:anchor="_bookmark446">
        <w:r>
          <w:rPr/>
          <w:t>§18.17.4.1 </w:t>
        </w:r>
      </w:hyperlink>
      <w:r>
        <w:rPr/>
        <w:t>for special handling of certain days in 1900.</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5"/>
        <w:gridCol w:w="1140"/>
        <w:gridCol w:w="3300"/>
        <w:gridCol w:w="124"/>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serial-value</w:t>
            </w:r>
          </w:p>
        </w:tc>
        <w:tc>
          <w:tcPr>
            <w:tcW w:w="1800" w:type="dxa"/>
          </w:tcPr>
          <w:p>
            <w:pPr>
              <w:pStyle w:val="TableParagraph"/>
              <w:ind w:left="112"/>
              <w:rPr>
                <w:sz w:val="22"/>
              </w:rPr>
            </w:pPr>
            <w:r>
              <w:rPr>
                <w:sz w:val="22"/>
              </w:rPr>
              <w:t>number</w:t>
            </w:r>
          </w:p>
        </w:tc>
        <w:tc>
          <w:tcPr>
            <w:tcW w:w="5399" w:type="dxa"/>
            <w:gridSpan w:val="4"/>
          </w:tcPr>
          <w:p>
            <w:pPr>
              <w:pStyle w:val="TableParagraph"/>
              <w:ind w:left="113" w:right="128"/>
              <w:rPr>
                <w:sz w:val="22"/>
              </w:rPr>
            </w:pPr>
            <w:r>
              <w:rPr>
                <w:sz w:val="22"/>
              </w:rPr>
              <w:t>The date whose weekday number is to be computed. The value of </w:t>
            </w:r>
            <w:r>
              <w:rPr>
                <w:rFonts w:ascii="Times New Roman"/>
                <w:i/>
                <w:sz w:val="22"/>
              </w:rPr>
              <w:t>serial-value </w:t>
            </w:r>
            <w:r>
              <w:rPr>
                <w:sz w:val="22"/>
              </w:rPr>
              <w:t>is truncated to an integer.</w:t>
            </w:r>
          </w:p>
        </w:tc>
      </w:tr>
      <w:tr>
        <w:trPr>
          <w:trHeight w:val="849" w:hRule="atLeast"/>
        </w:trPr>
        <w:tc>
          <w:tcPr>
            <w:tcW w:w="1466" w:type="dxa"/>
            <w:vMerge w:val="restart"/>
          </w:tcPr>
          <w:p>
            <w:pPr>
              <w:pStyle w:val="TableParagraph"/>
              <w:spacing w:before="37"/>
              <w:ind w:right="507"/>
              <w:rPr>
                <w:rFonts w:ascii="Times New Roman"/>
                <w:i/>
                <w:sz w:val="22"/>
              </w:rPr>
            </w:pPr>
            <w:r>
              <w:rPr>
                <w:rFonts w:ascii="Times New Roman"/>
                <w:i/>
                <w:sz w:val="22"/>
              </w:rPr>
              <w:t>weekday- </w:t>
            </w:r>
            <w:r>
              <w:rPr>
                <w:rFonts w:ascii="Times New Roman"/>
                <w:i/>
                <w:sz w:val="22"/>
              </w:rPr>
              <w:t>start-flag</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763"/>
              <w:rPr>
                <w:sz w:val="22"/>
              </w:rPr>
            </w:pPr>
            <w:r>
              <w:rPr>
                <w:sz w:val="22"/>
              </w:rPr>
              <w:t>When truncated to integer, indicates the weekday numbering convention to be used,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val="restart"/>
            <w:tcBorders>
              <w:top w:val="nil"/>
            </w:tcBorders>
          </w:tcPr>
          <w:p>
            <w:pPr>
              <w:pStyle w:val="TableParagraph"/>
              <w:spacing w:before="0"/>
              <w:ind w:left="0"/>
              <w:rPr>
                <w:rFonts w:ascii="Times New Roman"/>
                <w:sz w:val="22"/>
              </w:rPr>
            </w:pPr>
          </w:p>
        </w:tc>
        <w:tc>
          <w:tcPr>
            <w:tcW w:w="1140" w:type="dxa"/>
            <w:shd w:val="clear" w:color="auto" w:fill="C0C0C0"/>
          </w:tcPr>
          <w:p>
            <w:pPr>
              <w:pStyle w:val="TableParagraph"/>
              <w:ind w:left="310"/>
              <w:rPr>
                <w:b/>
                <w:sz w:val="22"/>
              </w:rPr>
            </w:pPr>
            <w:r>
              <w:rPr>
                <w:b/>
                <w:sz w:val="22"/>
              </w:rPr>
              <w:t>Value</w:t>
            </w:r>
          </w:p>
        </w:tc>
        <w:tc>
          <w:tcPr>
            <w:tcW w:w="3300" w:type="dxa"/>
            <w:shd w:val="clear" w:color="auto" w:fill="C0C0C0"/>
          </w:tcPr>
          <w:p>
            <w:pPr>
              <w:pStyle w:val="TableParagraph"/>
              <w:ind w:left="1226" w:right="1217"/>
              <w:jc w:val="center"/>
              <w:rPr>
                <w:b/>
                <w:sz w:val="22"/>
              </w:rPr>
            </w:pPr>
            <w:r>
              <w:rPr>
                <w:b/>
                <w:sz w:val="22"/>
              </w:rPr>
              <w:t>Meaning</w:t>
            </w:r>
          </w:p>
        </w:tc>
        <w:tc>
          <w:tcPr>
            <w:tcW w:w="124" w:type="dxa"/>
            <w:tcBorders>
              <w:top w:val="nil"/>
              <w:bottom w:val="nil"/>
            </w:tcBorders>
          </w:tcPr>
          <w:p>
            <w:pPr>
              <w:pStyle w:val="TableParagraph"/>
              <w:spacing w:before="0"/>
              <w:ind w:left="0"/>
              <w:rPr>
                <w:rFonts w:ascii="Times New Roman"/>
                <w:sz w:val="22"/>
              </w:rPr>
            </w:pPr>
          </w:p>
        </w:tc>
      </w:tr>
      <w:tr>
        <w:trPr>
          <w:trHeight w:val="62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ind w:left="116" w:right="279"/>
              <w:rPr>
                <w:sz w:val="22"/>
              </w:rPr>
            </w:pPr>
            <w:r>
              <w:rPr>
                <w:sz w:val="22"/>
              </w:rPr>
              <w:t>1 or omitted</w:t>
            </w:r>
          </w:p>
        </w:tc>
        <w:tc>
          <w:tcPr>
            <w:tcW w:w="3300" w:type="dxa"/>
          </w:tcPr>
          <w:p>
            <w:pPr>
              <w:pStyle w:val="TableParagraph"/>
              <w:ind w:left="116"/>
              <w:rPr>
                <w:sz w:val="22"/>
              </w:rPr>
            </w:pPr>
            <w:r>
              <w:rPr>
                <w:sz w:val="22"/>
              </w:rPr>
              <w:t>1 (Sunday) through 7 (Saturday)</w:t>
            </w:r>
          </w:p>
        </w:tc>
        <w:tc>
          <w:tcPr>
            <w:tcW w:w="124" w:type="dxa"/>
            <w:tcBorders>
              <w:top w:val="nil"/>
              <w:bottom w:val="nil"/>
            </w:tcBorders>
          </w:tcPr>
          <w:p>
            <w:pPr>
              <w:pStyle w:val="TableParagraph"/>
              <w:spacing w:before="0"/>
              <w:ind w:left="0"/>
              <w:rPr>
                <w:rFonts w:ascii="Times New Roman"/>
                <w:sz w:val="22"/>
              </w:rPr>
            </w:pPr>
          </w:p>
        </w:tc>
      </w:tr>
      <w:tr>
        <w:trPr>
          <w:trHeight w:val="3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ind w:left="116"/>
              <w:rPr>
                <w:sz w:val="22"/>
              </w:rPr>
            </w:pPr>
            <w:r>
              <w:rPr>
                <w:w w:val="100"/>
                <w:sz w:val="22"/>
              </w:rPr>
              <w:t>2</w:t>
            </w:r>
          </w:p>
        </w:tc>
        <w:tc>
          <w:tcPr>
            <w:tcW w:w="3300" w:type="dxa"/>
          </w:tcPr>
          <w:p>
            <w:pPr>
              <w:pStyle w:val="TableParagraph"/>
              <w:ind w:left="116"/>
              <w:rPr>
                <w:sz w:val="22"/>
              </w:rPr>
            </w:pPr>
            <w:r>
              <w:rPr>
                <w:sz w:val="22"/>
              </w:rPr>
              <w:t>1 (Monday) through 7 (Sunday)</w:t>
            </w:r>
          </w:p>
        </w:tc>
        <w:tc>
          <w:tcPr>
            <w:tcW w:w="124"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spacing w:before="42"/>
              <w:ind w:left="116"/>
              <w:rPr>
                <w:sz w:val="22"/>
              </w:rPr>
            </w:pPr>
            <w:r>
              <w:rPr>
                <w:w w:val="100"/>
                <w:sz w:val="22"/>
              </w:rPr>
              <w:t>3</w:t>
            </w:r>
          </w:p>
        </w:tc>
        <w:tc>
          <w:tcPr>
            <w:tcW w:w="3300" w:type="dxa"/>
          </w:tcPr>
          <w:p>
            <w:pPr>
              <w:pStyle w:val="TableParagraph"/>
              <w:spacing w:before="42"/>
              <w:ind w:left="116"/>
              <w:rPr>
                <w:sz w:val="22"/>
              </w:rPr>
            </w:pPr>
            <w:r>
              <w:rPr>
                <w:sz w:val="22"/>
              </w:rPr>
              <w:t>0 (Monday) through 6 (Sunday)</w:t>
            </w:r>
          </w:p>
        </w:tc>
        <w:tc>
          <w:tcPr>
            <w:tcW w:w="124"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ind w:left="116"/>
              <w:rPr>
                <w:sz w:val="22"/>
              </w:rPr>
            </w:pPr>
            <w:r>
              <w:rPr>
                <w:sz w:val="22"/>
              </w:rPr>
              <w:t>11</w:t>
            </w:r>
          </w:p>
        </w:tc>
        <w:tc>
          <w:tcPr>
            <w:tcW w:w="3300" w:type="dxa"/>
          </w:tcPr>
          <w:p>
            <w:pPr>
              <w:pStyle w:val="TableParagraph"/>
              <w:ind w:left="116"/>
              <w:rPr>
                <w:sz w:val="22"/>
              </w:rPr>
            </w:pPr>
            <w:r>
              <w:rPr>
                <w:sz w:val="22"/>
              </w:rPr>
              <w:t>1 (Monday) through 7 (Sunday)</w:t>
            </w:r>
          </w:p>
        </w:tc>
        <w:tc>
          <w:tcPr>
            <w:tcW w:w="124" w:type="dxa"/>
            <w:tcBorders>
              <w:top w:val="nil"/>
              <w:bottom w:val="nil"/>
            </w:tcBorders>
          </w:tcPr>
          <w:p>
            <w:pPr>
              <w:pStyle w:val="TableParagraph"/>
              <w:spacing w:before="0"/>
              <w:ind w:left="0"/>
              <w:rPr>
                <w:rFonts w:ascii="Times New Roman"/>
                <w:sz w:val="22"/>
              </w:rPr>
            </w:pPr>
          </w:p>
        </w:tc>
      </w:tr>
      <w:tr>
        <w:trPr>
          <w:trHeight w:val="407"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ind w:left="116"/>
              <w:rPr>
                <w:sz w:val="22"/>
              </w:rPr>
            </w:pPr>
            <w:r>
              <w:rPr>
                <w:sz w:val="22"/>
              </w:rPr>
              <w:t>12</w:t>
            </w:r>
          </w:p>
        </w:tc>
        <w:tc>
          <w:tcPr>
            <w:tcW w:w="3300" w:type="dxa"/>
          </w:tcPr>
          <w:p>
            <w:pPr>
              <w:pStyle w:val="TableParagraph"/>
              <w:ind w:left="116"/>
              <w:rPr>
                <w:sz w:val="22"/>
              </w:rPr>
            </w:pPr>
            <w:r>
              <w:rPr>
                <w:sz w:val="22"/>
              </w:rPr>
              <w:t>1 (Tuesday) through 7 (Monday)</w:t>
            </w:r>
          </w:p>
        </w:tc>
        <w:tc>
          <w:tcPr>
            <w:tcW w:w="124" w:type="dxa"/>
            <w:tcBorders>
              <w:top w:val="nil"/>
            </w:tcBorders>
          </w:tcPr>
          <w:p>
            <w:pPr>
              <w:pStyle w:val="TableParagraph"/>
              <w:spacing w:before="0"/>
              <w:ind w:left="0"/>
              <w:rPr>
                <w:rFonts w:ascii="Times New Roman"/>
                <w:sz w:val="22"/>
              </w:rPr>
            </w:pPr>
          </w:p>
        </w:tc>
      </w:tr>
    </w:tbl>
    <w:p>
      <w:pPr>
        <w:spacing w:after="0"/>
        <w:rPr>
          <w:rFonts w:ascii="Times New Roman"/>
          <w:sz w:val="22"/>
        </w:rPr>
        <w:sectPr>
          <w:pgSz w:w="12240" w:h="15840"/>
          <w:pgMar w:header="763" w:footer="746" w:top="1340" w:bottom="940" w:left="860" w:right="700"/>
        </w:sectPr>
      </w:pPr>
    </w:p>
    <w:p>
      <w:pPr>
        <w:pStyle w:val="BodyText"/>
        <w:spacing w:before="8"/>
        <w:rPr>
          <w:b/>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5"/>
        <w:gridCol w:w="1140"/>
        <w:gridCol w:w="3300"/>
        <w:gridCol w:w="124"/>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76"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5" w:type="dxa"/>
            <w:vMerge w:val="restart"/>
          </w:tcPr>
          <w:p>
            <w:pPr>
              <w:pStyle w:val="TableParagraph"/>
              <w:spacing w:before="0"/>
              <w:ind w:left="0"/>
              <w:rPr>
                <w:rFonts w:ascii="Times New Roman"/>
                <w:sz w:val="22"/>
              </w:rPr>
            </w:pPr>
          </w:p>
        </w:tc>
        <w:tc>
          <w:tcPr>
            <w:tcW w:w="1140" w:type="dxa"/>
          </w:tcPr>
          <w:p>
            <w:pPr>
              <w:pStyle w:val="TableParagraph"/>
              <w:spacing w:before="92"/>
              <w:ind w:left="116"/>
              <w:rPr>
                <w:sz w:val="22"/>
              </w:rPr>
            </w:pPr>
            <w:r>
              <w:rPr>
                <w:sz w:val="22"/>
              </w:rPr>
              <w:t>13</w:t>
            </w:r>
          </w:p>
        </w:tc>
        <w:tc>
          <w:tcPr>
            <w:tcW w:w="3300" w:type="dxa"/>
          </w:tcPr>
          <w:p>
            <w:pPr>
              <w:pStyle w:val="TableParagraph"/>
              <w:spacing w:before="92"/>
              <w:ind w:left="116" w:right="879"/>
              <w:rPr>
                <w:sz w:val="22"/>
              </w:rPr>
            </w:pPr>
            <w:r>
              <w:rPr>
                <w:sz w:val="22"/>
              </w:rPr>
              <w:t>1 (Wednesday) through 7 (Tuesday)</w:t>
            </w:r>
          </w:p>
        </w:tc>
        <w:tc>
          <w:tcPr>
            <w:tcW w:w="124" w:type="dxa"/>
            <w:tcBorders>
              <w:bottom w:val="nil"/>
            </w:tcBorders>
          </w:tcPr>
          <w:p>
            <w:pPr>
              <w:pStyle w:val="TableParagraph"/>
              <w:spacing w:before="0"/>
              <w:ind w:left="0"/>
              <w:rPr>
                <w:rFonts w:ascii="Times New Roman"/>
                <w:sz w:val="22"/>
              </w:rPr>
            </w:pPr>
          </w:p>
        </w:tc>
      </w:tr>
      <w:tr>
        <w:trPr>
          <w:trHeight w:val="6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ind w:left="116"/>
              <w:rPr>
                <w:sz w:val="22"/>
              </w:rPr>
            </w:pPr>
            <w:r>
              <w:rPr>
                <w:sz w:val="22"/>
              </w:rPr>
              <w:t>14</w:t>
            </w:r>
          </w:p>
        </w:tc>
        <w:tc>
          <w:tcPr>
            <w:tcW w:w="3300" w:type="dxa"/>
          </w:tcPr>
          <w:p>
            <w:pPr>
              <w:pStyle w:val="TableParagraph"/>
              <w:ind w:left="116" w:right="1109"/>
              <w:rPr>
                <w:sz w:val="22"/>
              </w:rPr>
            </w:pPr>
            <w:r>
              <w:rPr>
                <w:sz w:val="22"/>
              </w:rPr>
              <w:t>1 (Thursday) through 7 (Wednesday)</w:t>
            </w:r>
          </w:p>
        </w:tc>
        <w:tc>
          <w:tcPr>
            <w:tcW w:w="124" w:type="dxa"/>
            <w:tcBorders>
              <w:top w:val="nil"/>
              <w:bottom w:val="nil"/>
            </w:tcBorders>
          </w:tcPr>
          <w:p>
            <w:pPr>
              <w:pStyle w:val="TableParagraph"/>
              <w:spacing w:before="0"/>
              <w:ind w:left="0"/>
              <w:rPr>
                <w:rFonts w:ascii="Times New Roman"/>
                <w:sz w:val="22"/>
              </w:rPr>
            </w:pPr>
          </w:p>
        </w:tc>
      </w:tr>
      <w:tr>
        <w:trPr>
          <w:trHeight w:val="3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ind w:left="116"/>
              <w:rPr>
                <w:sz w:val="22"/>
              </w:rPr>
            </w:pPr>
            <w:r>
              <w:rPr>
                <w:sz w:val="22"/>
              </w:rPr>
              <w:t>15</w:t>
            </w:r>
          </w:p>
        </w:tc>
        <w:tc>
          <w:tcPr>
            <w:tcW w:w="3300" w:type="dxa"/>
          </w:tcPr>
          <w:p>
            <w:pPr>
              <w:pStyle w:val="TableParagraph"/>
              <w:ind w:left="116"/>
              <w:rPr>
                <w:sz w:val="22"/>
              </w:rPr>
            </w:pPr>
            <w:r>
              <w:rPr>
                <w:sz w:val="22"/>
              </w:rPr>
              <w:t>1 (Friday) through 7 (Thursday)</w:t>
            </w:r>
          </w:p>
        </w:tc>
        <w:tc>
          <w:tcPr>
            <w:tcW w:w="124" w:type="dxa"/>
            <w:tcBorders>
              <w:top w:val="nil"/>
              <w:bottom w:val="nil"/>
            </w:tcBorders>
          </w:tcPr>
          <w:p>
            <w:pPr>
              <w:pStyle w:val="TableParagraph"/>
              <w:spacing w:before="0"/>
              <w:ind w:left="0"/>
              <w:rPr>
                <w:rFonts w:ascii="Times New Roman"/>
                <w:sz w:val="22"/>
              </w:rPr>
            </w:pP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spacing w:before="42"/>
              <w:ind w:left="116"/>
              <w:rPr>
                <w:sz w:val="22"/>
              </w:rPr>
            </w:pPr>
            <w:r>
              <w:rPr>
                <w:sz w:val="22"/>
              </w:rPr>
              <w:t>16</w:t>
            </w:r>
          </w:p>
        </w:tc>
        <w:tc>
          <w:tcPr>
            <w:tcW w:w="3300" w:type="dxa"/>
          </w:tcPr>
          <w:p>
            <w:pPr>
              <w:pStyle w:val="TableParagraph"/>
              <w:spacing w:before="42"/>
              <w:ind w:left="116"/>
              <w:rPr>
                <w:sz w:val="22"/>
              </w:rPr>
            </w:pPr>
            <w:r>
              <w:rPr>
                <w:sz w:val="22"/>
              </w:rPr>
              <w:t>1 (Saturday) through 7 (Friday)</w:t>
            </w:r>
          </w:p>
        </w:tc>
        <w:tc>
          <w:tcPr>
            <w:tcW w:w="124" w:type="dxa"/>
            <w:tcBorders>
              <w:top w:val="nil"/>
              <w:bottom w:val="nil"/>
            </w:tcBorders>
          </w:tcPr>
          <w:p>
            <w:pPr>
              <w:pStyle w:val="TableParagraph"/>
              <w:spacing w:before="0"/>
              <w:ind w:left="0"/>
              <w:rPr>
                <w:rFonts w:ascii="Times New Roman"/>
                <w:sz w:val="22"/>
              </w:rPr>
            </w:pPr>
          </w:p>
        </w:tc>
      </w:tr>
      <w:tr>
        <w:trPr>
          <w:trHeight w:val="41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5" w:type="dxa"/>
            <w:vMerge/>
            <w:tcBorders>
              <w:top w:val="nil"/>
            </w:tcBorders>
          </w:tcPr>
          <w:p>
            <w:pPr>
              <w:rPr>
                <w:sz w:val="2"/>
                <w:szCs w:val="2"/>
              </w:rPr>
            </w:pPr>
          </w:p>
        </w:tc>
        <w:tc>
          <w:tcPr>
            <w:tcW w:w="1140" w:type="dxa"/>
          </w:tcPr>
          <w:p>
            <w:pPr>
              <w:pStyle w:val="TableParagraph"/>
              <w:ind w:left="116"/>
              <w:rPr>
                <w:sz w:val="22"/>
              </w:rPr>
            </w:pPr>
            <w:r>
              <w:rPr>
                <w:sz w:val="22"/>
              </w:rPr>
              <w:t>17</w:t>
            </w:r>
          </w:p>
        </w:tc>
        <w:tc>
          <w:tcPr>
            <w:tcW w:w="3300" w:type="dxa"/>
          </w:tcPr>
          <w:p>
            <w:pPr>
              <w:pStyle w:val="TableParagraph"/>
              <w:ind w:left="116"/>
              <w:rPr>
                <w:sz w:val="22"/>
              </w:rPr>
            </w:pPr>
            <w:r>
              <w:rPr>
                <w:sz w:val="22"/>
              </w:rPr>
              <w:t>1 (Sunday) through 7 (Saturday)</w:t>
            </w:r>
          </w:p>
        </w:tc>
        <w:tc>
          <w:tcPr>
            <w:tcW w:w="124" w:type="dxa"/>
            <w:tcBorders>
              <w:top w:val="nil"/>
            </w:tcBorders>
          </w:tcPr>
          <w:p>
            <w:pPr>
              <w:pStyle w:val="TableParagraph"/>
              <w:spacing w:before="0"/>
              <w:ind w:left="0"/>
              <w:rPr>
                <w:rFonts w:ascii="Times New Roman"/>
                <w:sz w:val="22"/>
              </w:rPr>
            </w:pPr>
          </w:p>
        </w:tc>
      </w:tr>
    </w:tbl>
    <w:p>
      <w:pPr>
        <w:pStyle w:val="BodyText"/>
        <w:rPr>
          <w:b/>
          <w:sz w:val="20"/>
        </w:rPr>
      </w:pPr>
    </w:p>
    <w:p>
      <w:pPr>
        <w:pStyle w:val="BodyText"/>
        <w:rPr>
          <w:b/>
          <w:sz w:val="17"/>
        </w:rPr>
      </w:pPr>
    </w:p>
    <w:p>
      <w:pPr>
        <w:spacing w:line="456" w:lineRule="auto" w:before="56"/>
        <w:ind w:left="220" w:right="1249" w:firstLine="0"/>
        <w:jc w:val="left"/>
        <w:rPr>
          <w:sz w:val="22"/>
        </w:rPr>
      </w:pPr>
      <w:r>
        <w:rPr>
          <w:b/>
          <w:sz w:val="22"/>
        </w:rPr>
        <w:t>Return Type and Value: </w:t>
      </w:r>
      <w:r>
        <w:rPr>
          <w:sz w:val="22"/>
        </w:rPr>
        <w:t>number – The weekday number for the date having the given serial date-time. However, if</w:t>
      </w:r>
    </w:p>
    <w:p>
      <w:pPr>
        <w:pStyle w:val="ListParagraph"/>
        <w:numPr>
          <w:ilvl w:val="4"/>
          <w:numId w:val="66"/>
        </w:numPr>
        <w:tabs>
          <w:tab w:pos="940" w:val="left" w:leader="none"/>
          <w:tab w:pos="941" w:val="left" w:leader="none"/>
        </w:tabs>
        <w:spacing w:line="276" w:lineRule="exact" w:before="0" w:after="0"/>
        <w:ind w:left="940" w:right="0" w:hanging="361"/>
        <w:jc w:val="left"/>
        <w:rPr>
          <w:sz w:val="22"/>
        </w:rPr>
      </w:pPr>
      <w:r>
        <w:rPr>
          <w:rFonts w:ascii="Times New Roman" w:hAnsi="Times New Roman"/>
          <w:i/>
          <w:sz w:val="22"/>
        </w:rPr>
        <w:t>serial-value </w:t>
      </w:r>
      <w:r>
        <w:rPr>
          <w:sz w:val="22"/>
        </w:rPr>
        <w:t>is out of range for the current date system,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2098" w:firstLine="360"/>
        <w:jc w:val="left"/>
        <w:rPr>
          <w:sz w:val="22"/>
        </w:rPr>
      </w:pPr>
      <w:r>
        <w:rPr>
          <w:rFonts w:ascii="Times New Roman" w:hAnsi="Times New Roman"/>
          <w:i/>
          <w:sz w:val="22"/>
        </w:rPr>
        <w:t>weekday-start-flag </w:t>
      </w:r>
      <w:r>
        <w:rPr>
          <w:sz w:val="22"/>
        </w:rPr>
        <w:t>is out of the range specified in the table above, </w:t>
      </w:r>
      <w:r>
        <w:rPr>
          <w:rFonts w:ascii="Consolas" w:hAnsi="Consolas"/>
          <w:sz w:val="22"/>
        </w:rPr>
        <w:t>#NUM!</w:t>
      </w:r>
      <w:r>
        <w:rPr>
          <w:rFonts w:ascii="Consolas" w:hAnsi="Consolas"/>
          <w:spacing w:val="-104"/>
          <w:sz w:val="22"/>
        </w:rPr>
        <w:t> </w:t>
      </w:r>
      <w:r>
        <w:rPr>
          <w:sz w:val="22"/>
        </w:rPr>
        <w:t>is returned. [</w:t>
      </w:r>
      <w:r>
        <w:rPr>
          <w:i/>
          <w:sz w:val="22"/>
        </w:rPr>
        <w:t>Example</w:t>
      </w:r>
      <w:r>
        <w:rPr>
          <w:sz w:val="22"/>
        </w:rPr>
        <w:t>:</w:t>
      </w:r>
    </w:p>
    <w:p>
      <w:pPr>
        <w:pStyle w:val="BodyText"/>
        <w:spacing w:line="276" w:lineRule="auto" w:before="126"/>
        <w:ind w:left="220" w:right="2289"/>
      </w:pPr>
      <w:r>
        <w:rPr>
          <w:rFonts w:ascii="Consolas"/>
        </w:rPr>
        <w:t>WEEKDAY(DATE(2006,2,1)) </w:t>
      </w:r>
      <w:r>
        <w:rPr/>
        <w:t>results in </w:t>
      </w:r>
      <w:r>
        <w:rPr>
          <w:rFonts w:ascii="Consolas"/>
        </w:rPr>
        <w:t>4 </w:t>
      </w:r>
      <w:r>
        <w:rPr/>
        <w:t>(Wednesday) </w:t>
      </w:r>
      <w:r>
        <w:rPr>
          <w:rFonts w:ascii="Consolas"/>
        </w:rPr>
        <w:t>WEEKDAY(DATE(2006,2,1),11)</w:t>
      </w:r>
      <w:r>
        <w:rPr>
          <w:rFonts w:ascii="Consolas"/>
          <w:spacing w:val="-87"/>
        </w:rPr>
        <w:t> </w:t>
      </w:r>
      <w:r>
        <w:rPr/>
        <w:t>results in 3 (Wednesday) </w:t>
      </w:r>
      <w:r>
        <w:rPr>
          <w:rFonts w:ascii="Consolas"/>
        </w:rPr>
        <w:t>WEEKDAY(DATE(2006,2,1),12)</w:t>
      </w:r>
      <w:r>
        <w:rPr>
          <w:rFonts w:ascii="Consolas"/>
          <w:spacing w:val="-86"/>
        </w:rPr>
        <w:t> </w:t>
      </w:r>
      <w:r>
        <w:rPr/>
        <w:t>results in 2 (Wednesday) </w:t>
      </w:r>
      <w:r>
        <w:rPr>
          <w:rFonts w:ascii="Consolas"/>
        </w:rPr>
        <w:t>WEEKDAY(DATE(2006,2,1),3)</w:t>
      </w:r>
      <w:r>
        <w:rPr>
          <w:rFonts w:ascii="Consolas"/>
          <w:spacing w:val="-69"/>
        </w:rPr>
        <w:t> </w:t>
      </w:r>
      <w:r>
        <w:rPr/>
        <w:t>results in </w:t>
      </w:r>
      <w:r>
        <w:rPr>
          <w:rFonts w:ascii="Consolas"/>
        </w:rPr>
        <w:t>2</w:t>
      </w:r>
      <w:r>
        <w:rPr>
          <w:rFonts w:ascii="Consolas"/>
          <w:spacing w:val="-73"/>
        </w:rPr>
        <w:t> </w:t>
      </w:r>
      <w:r>
        <w:rPr/>
        <w:t>(Wednesday)</w:t>
      </w:r>
    </w:p>
    <w:p>
      <w:pPr>
        <w:pStyle w:val="BodyText"/>
        <w:spacing w:before="8"/>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5 WEEKNUM" w:id="2429"/>
      <w:bookmarkEnd w:id="2429"/>
      <w:r>
        <w:rPr/>
      </w:r>
      <w:bookmarkStart w:name="_bookmark810" w:id="2430"/>
      <w:bookmarkEnd w:id="2430"/>
      <w:r>
        <w:rPr/>
      </w:r>
      <w:bookmarkStart w:name="_bookmark810" w:id="2431"/>
      <w:bookmarkEnd w:id="2431"/>
      <w:r>
        <w:rPr>
          <w:color w:val="4F81BC"/>
        </w:rPr>
        <w:t>W</w:t>
      </w:r>
      <w:r>
        <w:rPr>
          <w:color w:val="4F81BC"/>
        </w:rPr>
        <w:t>EEKNUM</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WEEKNUM ( </w:t>
      </w:r>
      <w:r>
        <w:rPr>
          <w:i/>
          <w:sz w:val="22"/>
        </w:rPr>
        <w:t>serial-value </w:t>
      </w:r>
      <w:r>
        <w:rPr>
          <w:sz w:val="22"/>
        </w:rPr>
        <w:t>[ </w:t>
      </w:r>
      <w:r>
        <w:rPr>
          <w:rFonts w:ascii="Lucida Console"/>
          <w:sz w:val="20"/>
        </w:rPr>
        <w:t>, </w:t>
      </w:r>
      <w:r>
        <w:rPr>
          <w:i/>
          <w:sz w:val="22"/>
        </w:rPr>
        <w:t>weekday-start-flag </w:t>
      </w:r>
      <w:r>
        <w:rPr>
          <w:sz w:val="22"/>
        </w:rPr>
        <w:t>] </w:t>
      </w:r>
      <w:r>
        <w:rPr>
          <w:rFonts w:ascii="Lucida Console"/>
          <w:sz w:val="20"/>
        </w:rPr>
        <w:t>)</w:t>
      </w:r>
    </w:p>
    <w:p>
      <w:pPr>
        <w:spacing w:line="278" w:lineRule="auto" w:before="106"/>
        <w:ind w:left="220" w:right="779" w:firstLine="0"/>
        <w:jc w:val="left"/>
        <w:rPr>
          <w:sz w:val="22"/>
        </w:rPr>
      </w:pPr>
      <w:r>
        <w:rPr>
          <w:b/>
          <w:sz w:val="22"/>
        </w:rPr>
        <w:t>Description: </w:t>
      </w:r>
      <w:r>
        <w:rPr>
          <w:sz w:val="22"/>
        </w:rPr>
        <w:t>Computes the week number of the date corresponding to </w:t>
      </w:r>
      <w:r>
        <w:rPr>
          <w:rFonts w:ascii="Times New Roman"/>
          <w:i/>
          <w:sz w:val="22"/>
        </w:rPr>
        <w:t>serial-value</w:t>
      </w:r>
      <w:r>
        <w:rPr>
          <w:sz w:val="22"/>
        </w:rPr>
        <w:t>. The function allows two number systems:</w:t>
      </w:r>
    </w:p>
    <w:p>
      <w:pPr>
        <w:pStyle w:val="ListParagraph"/>
        <w:numPr>
          <w:ilvl w:val="4"/>
          <w:numId w:val="66"/>
        </w:numPr>
        <w:tabs>
          <w:tab w:pos="940" w:val="left" w:leader="none"/>
          <w:tab w:pos="941" w:val="left" w:leader="none"/>
        </w:tabs>
        <w:spacing w:line="240" w:lineRule="auto" w:before="196" w:after="0"/>
        <w:ind w:left="940" w:right="0" w:hanging="361"/>
        <w:jc w:val="left"/>
        <w:rPr>
          <w:sz w:val="22"/>
        </w:rPr>
      </w:pPr>
      <w:r>
        <w:rPr>
          <w:sz w:val="22"/>
        </w:rPr>
        <w:t>System 1: The week containing January 1 is the first week of the year, and is numbered week</w:t>
      </w:r>
      <w:r>
        <w:rPr>
          <w:spacing w:val="-18"/>
          <w:sz w:val="22"/>
        </w:rPr>
        <w:t> </w:t>
      </w:r>
      <w:r>
        <w:rPr>
          <w:sz w:val="22"/>
        </w:rPr>
        <w:t>1.</w:t>
      </w:r>
    </w:p>
    <w:p>
      <w:pPr>
        <w:pStyle w:val="ListParagraph"/>
        <w:numPr>
          <w:ilvl w:val="4"/>
          <w:numId w:val="66"/>
        </w:numPr>
        <w:tabs>
          <w:tab w:pos="940" w:val="left" w:leader="none"/>
          <w:tab w:pos="941" w:val="left" w:leader="none"/>
        </w:tabs>
        <w:spacing w:line="278" w:lineRule="auto" w:before="39" w:after="0"/>
        <w:ind w:left="940" w:right="1207" w:hanging="360"/>
        <w:jc w:val="left"/>
        <w:rPr>
          <w:sz w:val="22"/>
        </w:rPr>
      </w:pPr>
      <w:r>
        <w:rPr>
          <w:sz w:val="22"/>
        </w:rPr>
        <w:t>System 2: The week containing the first Thursday of the year is the first week of the year, and is numbered as week 1 [ISO</w:t>
      </w:r>
      <w:r>
        <w:rPr>
          <w:spacing w:val="-7"/>
          <w:sz w:val="22"/>
        </w:rPr>
        <w:t> </w:t>
      </w:r>
      <w:r>
        <w:rPr>
          <w:sz w:val="22"/>
        </w:rPr>
        <w:t>8601].</w:t>
      </w:r>
    </w:p>
    <w:p>
      <w:pPr>
        <w:pStyle w:val="BodyText"/>
        <w:spacing w:before="2"/>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serial-value</w:t>
            </w:r>
          </w:p>
        </w:tc>
        <w:tc>
          <w:tcPr>
            <w:tcW w:w="1800" w:type="dxa"/>
          </w:tcPr>
          <w:p>
            <w:pPr>
              <w:pStyle w:val="TableParagraph"/>
              <w:ind w:left="112"/>
              <w:rPr>
                <w:sz w:val="22"/>
              </w:rPr>
            </w:pPr>
            <w:r>
              <w:rPr>
                <w:sz w:val="22"/>
              </w:rPr>
              <w:t>number</w:t>
            </w:r>
          </w:p>
        </w:tc>
        <w:tc>
          <w:tcPr>
            <w:tcW w:w="5400" w:type="dxa"/>
          </w:tcPr>
          <w:p>
            <w:pPr>
              <w:pStyle w:val="TableParagraph"/>
              <w:ind w:left="113" w:right="449"/>
              <w:rPr>
                <w:sz w:val="22"/>
              </w:rPr>
            </w:pPr>
            <w:r>
              <w:rPr>
                <w:sz w:val="22"/>
              </w:rPr>
              <w:t>The date whose week number is to be computed. The value of </w:t>
            </w:r>
            <w:r>
              <w:rPr>
                <w:rFonts w:ascii="Times New Roman"/>
                <w:i/>
                <w:sz w:val="22"/>
              </w:rPr>
              <w:t>serial-value </w:t>
            </w:r>
            <w:r>
              <w:rPr>
                <w:sz w:val="22"/>
              </w:rPr>
              <w:t>is truncated to an integer.</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7867" w:hRule="atLeast"/>
        </w:trPr>
        <w:tc>
          <w:tcPr>
            <w:tcW w:w="1466" w:type="dxa"/>
          </w:tcPr>
          <w:p>
            <w:pPr>
              <w:pStyle w:val="TableParagraph"/>
              <w:spacing w:before="37"/>
              <w:ind w:right="507"/>
              <w:rPr>
                <w:rFonts w:ascii="Times New Roman"/>
                <w:i/>
                <w:sz w:val="22"/>
              </w:rPr>
            </w:pPr>
            <w:r>
              <w:rPr>
                <w:rFonts w:ascii="Times New Roman"/>
                <w:i/>
                <w:sz w:val="22"/>
              </w:rPr>
              <w:t>weekday- </w:t>
            </w:r>
            <w:r>
              <w:rPr>
                <w:rFonts w:ascii="Times New Roman"/>
                <w:i/>
                <w:sz w:val="22"/>
              </w:rPr>
              <w:t>start-flag</w:t>
            </w:r>
          </w:p>
        </w:tc>
        <w:tc>
          <w:tcPr>
            <w:tcW w:w="1800" w:type="dxa"/>
          </w:tcPr>
          <w:p>
            <w:pPr>
              <w:pStyle w:val="TableParagraph"/>
              <w:ind w:left="112"/>
              <w:rPr>
                <w:sz w:val="22"/>
              </w:rPr>
            </w:pPr>
            <w:r>
              <w:rPr>
                <w:sz w:val="22"/>
              </w:rPr>
              <w:t>number</w:t>
            </w:r>
          </w:p>
        </w:tc>
        <w:tc>
          <w:tcPr>
            <w:tcW w:w="5400" w:type="dxa"/>
          </w:tcPr>
          <w:p>
            <w:pPr>
              <w:pStyle w:val="TableParagraph"/>
              <w:ind w:left="113" w:right="483"/>
              <w:rPr>
                <w:sz w:val="22"/>
              </w:rPr>
            </w:pPr>
            <w:r>
              <w:rPr>
                <w:sz w:val="22"/>
              </w:rPr>
              <w:t>When truncated to integer, indicates the weekday on which the week begins, as follows:</w:t>
            </w:r>
          </w:p>
        </w:tc>
      </w:tr>
    </w:tbl>
    <w:p>
      <w:pPr>
        <w:pStyle w:val="BodyText"/>
        <w:rPr>
          <w:b/>
          <w:sz w:val="20"/>
        </w:rPr>
      </w:pPr>
    </w:p>
    <w:p>
      <w:pPr>
        <w:pStyle w:val="BodyText"/>
        <w:spacing w:before="7"/>
        <w:rPr>
          <w:b/>
          <w:sz w:val="21"/>
        </w:rPr>
      </w:pPr>
    </w:p>
    <w:p>
      <w:pPr>
        <w:spacing w:line="453" w:lineRule="auto" w:before="0"/>
        <w:ind w:left="220" w:right="1941" w:firstLine="0"/>
        <w:jc w:val="left"/>
        <w:rPr>
          <w:sz w:val="22"/>
        </w:rPr>
      </w:pPr>
      <w:r>
        <w:rPr/>
        <w:pict>
          <v:shape style="position:absolute;margin-left:289.130005pt;margin-top:-376.816376pt;width:219.8pt;height:348.65pt;mso-position-horizontal-relative:page;mso-position-vertical-relative:paragraph;z-index:2518763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1"/>
                    <w:gridCol w:w="1692"/>
                    <w:gridCol w:w="1438"/>
                  </w:tblGrid>
                  <w:tr>
                    <w:trPr>
                      <w:trHeight w:val="621" w:hRule="atLeast"/>
                    </w:trPr>
                    <w:tc>
                      <w:tcPr>
                        <w:tcW w:w="1251" w:type="dxa"/>
                        <w:shd w:val="clear" w:color="auto" w:fill="C0C0C0"/>
                      </w:tcPr>
                      <w:p>
                        <w:pPr>
                          <w:pStyle w:val="TableParagraph"/>
                          <w:spacing w:before="41"/>
                          <w:ind w:left="211" w:right="188" w:hanging="5"/>
                          <w:rPr>
                            <w:rFonts w:ascii="Times New Roman"/>
                            <w:b/>
                            <w:i/>
                            <w:sz w:val="22"/>
                          </w:rPr>
                        </w:pPr>
                        <w:r>
                          <w:rPr>
                            <w:rFonts w:ascii="Times New Roman"/>
                            <w:b/>
                            <w:i/>
                            <w:sz w:val="22"/>
                          </w:rPr>
                          <w:t>weekday- </w:t>
                        </w:r>
                        <w:r>
                          <w:rPr>
                            <w:rFonts w:ascii="Times New Roman"/>
                            <w:b/>
                            <w:i/>
                            <w:sz w:val="22"/>
                          </w:rPr>
                          <w:t>start-flag</w:t>
                        </w:r>
                      </w:p>
                    </w:tc>
                    <w:tc>
                      <w:tcPr>
                        <w:tcW w:w="1692" w:type="dxa"/>
                        <w:shd w:val="clear" w:color="auto" w:fill="C0C0C0"/>
                      </w:tcPr>
                      <w:p>
                        <w:pPr>
                          <w:pStyle w:val="TableParagraph"/>
                          <w:ind w:left="441"/>
                          <w:rPr>
                            <w:b/>
                            <w:sz w:val="22"/>
                          </w:rPr>
                        </w:pPr>
                        <w:r>
                          <w:rPr>
                            <w:b/>
                            <w:sz w:val="22"/>
                          </w:rPr>
                          <w:t>Meaning</w:t>
                        </w:r>
                      </w:p>
                    </w:tc>
                    <w:tc>
                      <w:tcPr>
                        <w:tcW w:w="1438" w:type="dxa"/>
                        <w:shd w:val="clear" w:color="auto" w:fill="C0C0C0"/>
                      </w:tcPr>
                      <w:p>
                        <w:pPr>
                          <w:pStyle w:val="TableParagraph"/>
                          <w:ind w:left="386" w:right="317" w:hanging="44"/>
                          <w:rPr>
                            <w:b/>
                            <w:sz w:val="22"/>
                          </w:rPr>
                        </w:pPr>
                        <w:r>
                          <w:rPr>
                            <w:b/>
                            <w:sz w:val="22"/>
                          </w:rPr>
                          <w:t>Number System</w:t>
                        </w:r>
                      </w:p>
                    </w:tc>
                  </w:tr>
                  <w:tr>
                    <w:trPr>
                      <w:trHeight w:val="623" w:hRule="atLeast"/>
                    </w:trPr>
                    <w:tc>
                      <w:tcPr>
                        <w:tcW w:w="1251" w:type="dxa"/>
                      </w:tcPr>
                      <w:p>
                        <w:pPr>
                          <w:pStyle w:val="TableParagraph"/>
                          <w:ind w:left="117" w:right="389"/>
                          <w:rPr>
                            <w:sz w:val="22"/>
                          </w:rPr>
                        </w:pPr>
                        <w:r>
                          <w:rPr>
                            <w:sz w:val="22"/>
                          </w:rPr>
                          <w:t>1 or omitted</w:t>
                        </w:r>
                      </w:p>
                    </w:tc>
                    <w:tc>
                      <w:tcPr>
                        <w:tcW w:w="1692" w:type="dxa"/>
                      </w:tcPr>
                      <w:p>
                        <w:pPr>
                          <w:pStyle w:val="TableParagraph"/>
                          <w:ind w:left="114" w:right="121"/>
                          <w:rPr>
                            <w:sz w:val="22"/>
                          </w:rPr>
                        </w:pPr>
                        <w:r>
                          <w:rPr>
                            <w:sz w:val="22"/>
                          </w:rPr>
                          <w:t>Week begins on Sunday.</w:t>
                        </w:r>
                      </w:p>
                    </w:tc>
                    <w:tc>
                      <w:tcPr>
                        <w:tcW w:w="1438" w:type="dxa"/>
                      </w:tcPr>
                      <w:p>
                        <w:pPr>
                          <w:pStyle w:val="TableParagraph"/>
                          <w:ind w:left="114"/>
                          <w:rPr>
                            <w:sz w:val="22"/>
                          </w:rPr>
                        </w:pPr>
                        <w:r>
                          <w:rPr>
                            <w:sz w:val="22"/>
                          </w:rPr>
                          <w:t>System 1</w:t>
                        </w:r>
                      </w:p>
                    </w:tc>
                  </w:tr>
                  <w:tr>
                    <w:trPr>
                      <w:trHeight w:val="623" w:hRule="atLeast"/>
                    </w:trPr>
                    <w:tc>
                      <w:tcPr>
                        <w:tcW w:w="1251" w:type="dxa"/>
                      </w:tcPr>
                      <w:p>
                        <w:pPr>
                          <w:pStyle w:val="TableParagraph"/>
                          <w:ind w:left="117"/>
                          <w:rPr>
                            <w:sz w:val="22"/>
                          </w:rPr>
                        </w:pPr>
                        <w:r>
                          <w:rPr>
                            <w:w w:val="100"/>
                            <w:sz w:val="22"/>
                          </w:rPr>
                          <w:t>2</w:t>
                        </w:r>
                      </w:p>
                    </w:tc>
                    <w:tc>
                      <w:tcPr>
                        <w:tcW w:w="1692" w:type="dxa"/>
                      </w:tcPr>
                      <w:p>
                        <w:pPr>
                          <w:pStyle w:val="TableParagraph"/>
                          <w:ind w:left="114" w:right="121"/>
                          <w:rPr>
                            <w:sz w:val="22"/>
                          </w:rPr>
                        </w:pPr>
                        <w:r>
                          <w:rPr>
                            <w:sz w:val="22"/>
                          </w:rPr>
                          <w:t>Week begins on Monday.</w:t>
                        </w:r>
                      </w:p>
                    </w:tc>
                    <w:tc>
                      <w:tcPr>
                        <w:tcW w:w="1438" w:type="dxa"/>
                      </w:tcPr>
                      <w:p>
                        <w:pPr>
                          <w:pStyle w:val="TableParagraph"/>
                          <w:ind w:left="114"/>
                          <w:rPr>
                            <w:sz w:val="22"/>
                          </w:rPr>
                        </w:pPr>
                        <w:r>
                          <w:rPr>
                            <w:sz w:val="22"/>
                          </w:rPr>
                          <w:t>System 1</w:t>
                        </w:r>
                      </w:p>
                    </w:tc>
                  </w:tr>
                  <w:tr>
                    <w:trPr>
                      <w:trHeight w:val="624" w:hRule="atLeast"/>
                    </w:trPr>
                    <w:tc>
                      <w:tcPr>
                        <w:tcW w:w="1251" w:type="dxa"/>
                      </w:tcPr>
                      <w:p>
                        <w:pPr>
                          <w:pStyle w:val="TableParagraph"/>
                          <w:ind w:left="117"/>
                          <w:rPr>
                            <w:sz w:val="22"/>
                          </w:rPr>
                        </w:pPr>
                        <w:r>
                          <w:rPr>
                            <w:sz w:val="22"/>
                          </w:rPr>
                          <w:t>11</w:t>
                        </w:r>
                      </w:p>
                    </w:tc>
                    <w:tc>
                      <w:tcPr>
                        <w:tcW w:w="1692" w:type="dxa"/>
                      </w:tcPr>
                      <w:p>
                        <w:pPr>
                          <w:pStyle w:val="TableParagraph"/>
                          <w:ind w:left="114" w:right="121"/>
                          <w:rPr>
                            <w:sz w:val="22"/>
                          </w:rPr>
                        </w:pPr>
                        <w:r>
                          <w:rPr>
                            <w:sz w:val="22"/>
                          </w:rPr>
                          <w:t>Week begins on Monday.</w:t>
                        </w:r>
                      </w:p>
                    </w:tc>
                    <w:tc>
                      <w:tcPr>
                        <w:tcW w:w="1438" w:type="dxa"/>
                      </w:tcPr>
                      <w:p>
                        <w:pPr>
                          <w:pStyle w:val="TableParagraph"/>
                          <w:ind w:left="114"/>
                          <w:rPr>
                            <w:sz w:val="22"/>
                          </w:rPr>
                        </w:pPr>
                        <w:r>
                          <w:rPr>
                            <w:sz w:val="22"/>
                          </w:rPr>
                          <w:t>System 1</w:t>
                        </w:r>
                      </w:p>
                    </w:tc>
                  </w:tr>
                  <w:tr>
                    <w:trPr>
                      <w:trHeight w:val="623" w:hRule="atLeast"/>
                    </w:trPr>
                    <w:tc>
                      <w:tcPr>
                        <w:tcW w:w="1251" w:type="dxa"/>
                      </w:tcPr>
                      <w:p>
                        <w:pPr>
                          <w:pStyle w:val="TableParagraph"/>
                          <w:ind w:left="117"/>
                          <w:rPr>
                            <w:sz w:val="22"/>
                          </w:rPr>
                        </w:pPr>
                        <w:r>
                          <w:rPr>
                            <w:sz w:val="22"/>
                          </w:rPr>
                          <w:t>12</w:t>
                        </w:r>
                      </w:p>
                    </w:tc>
                    <w:tc>
                      <w:tcPr>
                        <w:tcW w:w="1692" w:type="dxa"/>
                      </w:tcPr>
                      <w:p>
                        <w:pPr>
                          <w:pStyle w:val="TableParagraph"/>
                          <w:ind w:left="114" w:right="121"/>
                          <w:rPr>
                            <w:sz w:val="22"/>
                          </w:rPr>
                        </w:pPr>
                        <w:r>
                          <w:rPr>
                            <w:sz w:val="22"/>
                          </w:rPr>
                          <w:t>Week begins on Tuesday.</w:t>
                        </w:r>
                      </w:p>
                    </w:tc>
                    <w:tc>
                      <w:tcPr>
                        <w:tcW w:w="1438" w:type="dxa"/>
                      </w:tcPr>
                      <w:p>
                        <w:pPr>
                          <w:pStyle w:val="TableParagraph"/>
                          <w:ind w:left="114"/>
                          <w:rPr>
                            <w:sz w:val="22"/>
                          </w:rPr>
                        </w:pPr>
                        <w:r>
                          <w:rPr>
                            <w:sz w:val="22"/>
                          </w:rPr>
                          <w:t>System 1</w:t>
                        </w:r>
                      </w:p>
                    </w:tc>
                  </w:tr>
                  <w:tr>
                    <w:trPr>
                      <w:trHeight w:val="621" w:hRule="atLeast"/>
                    </w:trPr>
                    <w:tc>
                      <w:tcPr>
                        <w:tcW w:w="1251" w:type="dxa"/>
                      </w:tcPr>
                      <w:p>
                        <w:pPr>
                          <w:pStyle w:val="TableParagraph"/>
                          <w:ind w:left="117"/>
                          <w:rPr>
                            <w:sz w:val="22"/>
                          </w:rPr>
                        </w:pPr>
                        <w:r>
                          <w:rPr>
                            <w:sz w:val="22"/>
                          </w:rPr>
                          <w:t>13</w:t>
                        </w:r>
                      </w:p>
                    </w:tc>
                    <w:tc>
                      <w:tcPr>
                        <w:tcW w:w="1692" w:type="dxa"/>
                      </w:tcPr>
                      <w:p>
                        <w:pPr>
                          <w:pStyle w:val="TableParagraph"/>
                          <w:ind w:left="114" w:right="121"/>
                          <w:rPr>
                            <w:sz w:val="22"/>
                          </w:rPr>
                        </w:pPr>
                        <w:r>
                          <w:rPr>
                            <w:sz w:val="22"/>
                          </w:rPr>
                          <w:t>Week begins on Wednesday.</w:t>
                        </w:r>
                      </w:p>
                    </w:tc>
                    <w:tc>
                      <w:tcPr>
                        <w:tcW w:w="1438" w:type="dxa"/>
                      </w:tcPr>
                      <w:p>
                        <w:pPr>
                          <w:pStyle w:val="TableParagraph"/>
                          <w:ind w:left="114"/>
                          <w:rPr>
                            <w:sz w:val="22"/>
                          </w:rPr>
                        </w:pPr>
                        <w:r>
                          <w:rPr>
                            <w:sz w:val="22"/>
                          </w:rPr>
                          <w:t>System 1</w:t>
                        </w:r>
                      </w:p>
                    </w:tc>
                  </w:tr>
                  <w:tr>
                    <w:trPr>
                      <w:trHeight w:val="623" w:hRule="atLeast"/>
                    </w:trPr>
                    <w:tc>
                      <w:tcPr>
                        <w:tcW w:w="1251" w:type="dxa"/>
                      </w:tcPr>
                      <w:p>
                        <w:pPr>
                          <w:pStyle w:val="TableParagraph"/>
                          <w:ind w:left="117"/>
                          <w:rPr>
                            <w:sz w:val="22"/>
                          </w:rPr>
                        </w:pPr>
                        <w:r>
                          <w:rPr>
                            <w:sz w:val="22"/>
                          </w:rPr>
                          <w:t>14</w:t>
                        </w:r>
                      </w:p>
                    </w:tc>
                    <w:tc>
                      <w:tcPr>
                        <w:tcW w:w="1692" w:type="dxa"/>
                      </w:tcPr>
                      <w:p>
                        <w:pPr>
                          <w:pStyle w:val="TableParagraph"/>
                          <w:ind w:left="114" w:right="121"/>
                          <w:rPr>
                            <w:sz w:val="22"/>
                          </w:rPr>
                        </w:pPr>
                        <w:r>
                          <w:rPr>
                            <w:sz w:val="22"/>
                          </w:rPr>
                          <w:t>Week begins on Thursday.</w:t>
                        </w:r>
                      </w:p>
                    </w:tc>
                    <w:tc>
                      <w:tcPr>
                        <w:tcW w:w="1438" w:type="dxa"/>
                      </w:tcPr>
                      <w:p>
                        <w:pPr>
                          <w:pStyle w:val="TableParagraph"/>
                          <w:ind w:left="114"/>
                          <w:rPr>
                            <w:sz w:val="22"/>
                          </w:rPr>
                        </w:pPr>
                        <w:r>
                          <w:rPr>
                            <w:sz w:val="22"/>
                          </w:rPr>
                          <w:t>System 1</w:t>
                        </w:r>
                      </w:p>
                    </w:tc>
                  </w:tr>
                  <w:tr>
                    <w:trPr>
                      <w:trHeight w:val="623" w:hRule="atLeast"/>
                    </w:trPr>
                    <w:tc>
                      <w:tcPr>
                        <w:tcW w:w="1251" w:type="dxa"/>
                      </w:tcPr>
                      <w:p>
                        <w:pPr>
                          <w:pStyle w:val="TableParagraph"/>
                          <w:ind w:left="117"/>
                          <w:rPr>
                            <w:sz w:val="22"/>
                          </w:rPr>
                        </w:pPr>
                        <w:r>
                          <w:rPr>
                            <w:sz w:val="22"/>
                          </w:rPr>
                          <w:t>15</w:t>
                        </w:r>
                      </w:p>
                    </w:tc>
                    <w:tc>
                      <w:tcPr>
                        <w:tcW w:w="1692" w:type="dxa"/>
                      </w:tcPr>
                      <w:p>
                        <w:pPr>
                          <w:pStyle w:val="TableParagraph"/>
                          <w:ind w:left="114" w:right="121"/>
                          <w:rPr>
                            <w:sz w:val="22"/>
                          </w:rPr>
                        </w:pPr>
                        <w:r>
                          <w:rPr>
                            <w:sz w:val="22"/>
                          </w:rPr>
                          <w:t>Week begins on Friday.</w:t>
                        </w:r>
                      </w:p>
                    </w:tc>
                    <w:tc>
                      <w:tcPr>
                        <w:tcW w:w="1438" w:type="dxa"/>
                      </w:tcPr>
                      <w:p>
                        <w:pPr>
                          <w:pStyle w:val="TableParagraph"/>
                          <w:ind w:left="114"/>
                          <w:rPr>
                            <w:sz w:val="22"/>
                          </w:rPr>
                        </w:pPr>
                        <w:r>
                          <w:rPr>
                            <w:sz w:val="22"/>
                          </w:rPr>
                          <w:t>System 1</w:t>
                        </w:r>
                      </w:p>
                    </w:tc>
                  </w:tr>
                  <w:tr>
                    <w:trPr>
                      <w:trHeight w:val="623" w:hRule="atLeast"/>
                    </w:trPr>
                    <w:tc>
                      <w:tcPr>
                        <w:tcW w:w="1251" w:type="dxa"/>
                      </w:tcPr>
                      <w:p>
                        <w:pPr>
                          <w:pStyle w:val="TableParagraph"/>
                          <w:ind w:left="117"/>
                          <w:rPr>
                            <w:sz w:val="22"/>
                          </w:rPr>
                        </w:pPr>
                        <w:r>
                          <w:rPr>
                            <w:sz w:val="22"/>
                          </w:rPr>
                          <w:t>16</w:t>
                        </w:r>
                      </w:p>
                    </w:tc>
                    <w:tc>
                      <w:tcPr>
                        <w:tcW w:w="1692" w:type="dxa"/>
                      </w:tcPr>
                      <w:p>
                        <w:pPr>
                          <w:pStyle w:val="TableParagraph"/>
                          <w:ind w:left="114" w:right="121"/>
                          <w:rPr>
                            <w:sz w:val="22"/>
                          </w:rPr>
                        </w:pPr>
                        <w:r>
                          <w:rPr>
                            <w:sz w:val="22"/>
                          </w:rPr>
                          <w:t>Week begins on Saturday.</w:t>
                        </w:r>
                      </w:p>
                    </w:tc>
                    <w:tc>
                      <w:tcPr>
                        <w:tcW w:w="1438" w:type="dxa"/>
                      </w:tcPr>
                      <w:p>
                        <w:pPr>
                          <w:pStyle w:val="TableParagraph"/>
                          <w:ind w:left="114"/>
                          <w:rPr>
                            <w:sz w:val="22"/>
                          </w:rPr>
                        </w:pPr>
                        <w:r>
                          <w:rPr>
                            <w:sz w:val="22"/>
                          </w:rPr>
                          <w:t>System 1</w:t>
                        </w:r>
                      </w:p>
                    </w:tc>
                  </w:tr>
                  <w:tr>
                    <w:trPr>
                      <w:trHeight w:val="623" w:hRule="atLeast"/>
                    </w:trPr>
                    <w:tc>
                      <w:tcPr>
                        <w:tcW w:w="1251" w:type="dxa"/>
                      </w:tcPr>
                      <w:p>
                        <w:pPr>
                          <w:pStyle w:val="TableParagraph"/>
                          <w:ind w:left="117"/>
                          <w:rPr>
                            <w:sz w:val="22"/>
                          </w:rPr>
                        </w:pPr>
                        <w:r>
                          <w:rPr>
                            <w:sz w:val="22"/>
                          </w:rPr>
                          <w:t>17</w:t>
                        </w:r>
                      </w:p>
                    </w:tc>
                    <w:tc>
                      <w:tcPr>
                        <w:tcW w:w="1692" w:type="dxa"/>
                      </w:tcPr>
                      <w:p>
                        <w:pPr>
                          <w:pStyle w:val="TableParagraph"/>
                          <w:ind w:left="114" w:right="121"/>
                          <w:rPr>
                            <w:sz w:val="22"/>
                          </w:rPr>
                        </w:pPr>
                        <w:r>
                          <w:rPr>
                            <w:sz w:val="22"/>
                          </w:rPr>
                          <w:t>Week begins on Sunday.</w:t>
                        </w:r>
                      </w:p>
                    </w:tc>
                    <w:tc>
                      <w:tcPr>
                        <w:tcW w:w="1438" w:type="dxa"/>
                      </w:tcPr>
                      <w:p>
                        <w:pPr>
                          <w:pStyle w:val="TableParagraph"/>
                          <w:ind w:left="114"/>
                          <w:rPr>
                            <w:sz w:val="22"/>
                          </w:rPr>
                        </w:pPr>
                        <w:r>
                          <w:rPr>
                            <w:sz w:val="22"/>
                          </w:rPr>
                          <w:t>System 1</w:t>
                        </w:r>
                      </w:p>
                    </w:tc>
                  </w:tr>
                  <w:tr>
                    <w:trPr>
                      <w:trHeight w:val="621" w:hRule="atLeast"/>
                    </w:trPr>
                    <w:tc>
                      <w:tcPr>
                        <w:tcW w:w="1251" w:type="dxa"/>
                      </w:tcPr>
                      <w:p>
                        <w:pPr>
                          <w:pStyle w:val="TableParagraph"/>
                          <w:ind w:left="117"/>
                          <w:rPr>
                            <w:sz w:val="22"/>
                          </w:rPr>
                        </w:pPr>
                        <w:r>
                          <w:rPr>
                            <w:sz w:val="22"/>
                          </w:rPr>
                          <w:t>21</w:t>
                        </w:r>
                      </w:p>
                    </w:tc>
                    <w:tc>
                      <w:tcPr>
                        <w:tcW w:w="1692" w:type="dxa"/>
                      </w:tcPr>
                      <w:p>
                        <w:pPr>
                          <w:pStyle w:val="TableParagraph"/>
                          <w:ind w:left="114" w:right="121"/>
                          <w:rPr>
                            <w:sz w:val="22"/>
                          </w:rPr>
                        </w:pPr>
                        <w:r>
                          <w:rPr>
                            <w:sz w:val="22"/>
                          </w:rPr>
                          <w:t>Week begins on Monday.</w:t>
                        </w:r>
                      </w:p>
                    </w:tc>
                    <w:tc>
                      <w:tcPr>
                        <w:tcW w:w="1438" w:type="dxa"/>
                      </w:tcPr>
                      <w:p>
                        <w:pPr>
                          <w:pStyle w:val="TableParagraph"/>
                          <w:ind w:left="114"/>
                          <w:rPr>
                            <w:sz w:val="22"/>
                          </w:rPr>
                        </w:pPr>
                        <w:r>
                          <w:rPr>
                            <w:sz w:val="22"/>
                          </w:rPr>
                          <w:t>System 2</w:t>
                        </w:r>
                      </w:p>
                    </w:tc>
                  </w:tr>
                </w:tbl>
                <w:p>
                  <w:pPr>
                    <w:pStyle w:val="BodyText"/>
                  </w:pPr>
                </w:p>
              </w:txbxContent>
            </v:textbox>
            <w10:wrap type="none"/>
          </v:shape>
        </w:pict>
      </w:r>
      <w:r>
        <w:rPr>
          <w:b/>
          <w:sz w:val="22"/>
        </w:rPr>
        <w:t>Return Type and Value: </w:t>
      </w:r>
      <w:r>
        <w:rPr>
          <w:sz w:val="22"/>
        </w:rPr>
        <w:t>number – The week number of the date corresponding to </w:t>
      </w:r>
      <w:r>
        <w:rPr>
          <w:rFonts w:ascii="Times New Roman" w:hAnsi="Times New Roman"/>
          <w:i/>
          <w:sz w:val="22"/>
        </w:rPr>
        <w:t>serial-value</w:t>
      </w:r>
      <w:r>
        <w:rPr>
          <w:sz w:val="22"/>
        </w:rPr>
        <w:t>.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serial-value </w:t>
      </w:r>
      <w:r>
        <w:rPr>
          <w:sz w:val="22"/>
        </w:rPr>
        <w:t>is out of range for the current date system,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2098" w:firstLine="360"/>
        <w:jc w:val="left"/>
        <w:rPr>
          <w:sz w:val="22"/>
        </w:rPr>
      </w:pPr>
      <w:r>
        <w:rPr>
          <w:rFonts w:ascii="Times New Roman" w:hAnsi="Times New Roman"/>
          <w:i/>
          <w:sz w:val="22"/>
        </w:rPr>
        <w:t>weekday-start-flag </w:t>
      </w:r>
      <w:r>
        <w:rPr>
          <w:sz w:val="22"/>
        </w:rPr>
        <w:t>is out of the range specified in the table above, </w:t>
      </w:r>
      <w:r>
        <w:rPr>
          <w:rFonts w:ascii="Consolas" w:hAnsi="Consolas"/>
          <w:sz w:val="22"/>
        </w:rPr>
        <w:t>#NUM!</w:t>
      </w:r>
      <w:r>
        <w:rPr>
          <w:rFonts w:ascii="Consolas" w:hAnsi="Consolas"/>
          <w:spacing w:val="-104"/>
          <w:sz w:val="22"/>
        </w:rPr>
        <w:t> </w:t>
      </w:r>
      <w:r>
        <w:rPr>
          <w:sz w:val="22"/>
        </w:rPr>
        <w:t>is returned. [</w:t>
      </w:r>
      <w:r>
        <w:rPr>
          <w:i/>
          <w:sz w:val="22"/>
        </w:rPr>
        <w:t>Example</w:t>
      </w:r>
      <w:r>
        <w:rPr>
          <w:sz w:val="22"/>
        </w:rPr>
        <w:t>:</w:t>
      </w:r>
    </w:p>
    <w:p>
      <w:pPr>
        <w:pStyle w:val="BodyText"/>
        <w:spacing w:line="276" w:lineRule="auto" w:before="126"/>
        <w:ind w:left="220" w:right="6274"/>
        <w:rPr>
          <w:rFonts w:ascii="Consolas"/>
        </w:rPr>
      </w:pPr>
      <w:r>
        <w:rPr>
          <w:rFonts w:ascii="Consolas"/>
        </w:rPr>
        <w:t>WEEKNUM(DATE(2006,1,1) </w:t>
      </w:r>
      <w:r>
        <w:rPr/>
        <w:t>results in </w:t>
      </w:r>
      <w:r>
        <w:rPr>
          <w:rFonts w:ascii="Consolas"/>
        </w:rPr>
        <w:t>1 WEEKNUM(DATE(2006,1,1),1) </w:t>
      </w:r>
      <w:r>
        <w:rPr/>
        <w:t>results in </w:t>
      </w:r>
      <w:r>
        <w:rPr>
          <w:rFonts w:ascii="Consolas"/>
        </w:rPr>
        <w:t>1 WEEKNUM(DATE(2006,1,1),17)</w:t>
      </w:r>
      <w:r>
        <w:rPr>
          <w:rFonts w:ascii="Consolas"/>
          <w:spacing w:val="-85"/>
        </w:rPr>
        <w:t> </w:t>
      </w:r>
      <w:r>
        <w:rPr/>
        <w:t>results in </w:t>
      </w:r>
      <w:r>
        <w:rPr>
          <w:rFonts w:ascii="Consolas"/>
        </w:rPr>
        <w:t>1 WEEKNUM(DATE(2006,1,1),21)</w:t>
      </w:r>
      <w:r>
        <w:rPr>
          <w:rFonts w:ascii="Consolas"/>
          <w:spacing w:val="-85"/>
        </w:rPr>
        <w:t> </w:t>
      </w:r>
      <w:r>
        <w:rPr/>
        <w:t>results in </w:t>
      </w:r>
      <w:r>
        <w:rPr>
          <w:rFonts w:ascii="Consolas"/>
        </w:rPr>
        <w:t>1 WEEKNUM(DATE(2006,2,1),1)</w:t>
      </w:r>
      <w:r>
        <w:rPr>
          <w:rFonts w:ascii="Consolas"/>
          <w:spacing w:val="-78"/>
        </w:rPr>
        <w:t> </w:t>
      </w:r>
      <w:r>
        <w:rPr/>
        <w:t>results in </w:t>
      </w:r>
      <w:r>
        <w:rPr>
          <w:rFonts w:ascii="Consolas"/>
        </w:rPr>
        <w:t>5</w:t>
      </w:r>
    </w:p>
    <w:p>
      <w:pPr>
        <w:spacing w:after="0" w:line="276" w:lineRule="auto"/>
        <w:rPr>
          <w:rFonts w:ascii="Consolas"/>
        </w:rPr>
        <w:sectPr>
          <w:pgSz w:w="12240" w:h="15840"/>
          <w:pgMar w:header="763" w:footer="746" w:top="1340" w:bottom="940" w:left="860" w:right="700"/>
        </w:sectPr>
      </w:pPr>
    </w:p>
    <w:p>
      <w:pPr>
        <w:pStyle w:val="BodyText"/>
        <w:spacing w:line="276" w:lineRule="auto" w:before="90"/>
        <w:ind w:left="220" w:right="6274"/>
        <w:rPr>
          <w:rFonts w:ascii="Consolas"/>
        </w:rPr>
      </w:pPr>
      <w:r>
        <w:rPr>
          <w:rFonts w:ascii="Consolas"/>
        </w:rPr>
        <w:t>WEEKNUM(DATE(2006,2,1),2) </w:t>
      </w:r>
      <w:r>
        <w:rPr/>
        <w:t>results in </w:t>
      </w:r>
      <w:r>
        <w:rPr>
          <w:rFonts w:ascii="Consolas"/>
        </w:rPr>
        <w:t>6 WEEKNUM(DATE(2006,2,1),11)</w:t>
      </w:r>
      <w:r>
        <w:rPr>
          <w:rFonts w:ascii="Consolas"/>
          <w:spacing w:val="-85"/>
        </w:rPr>
        <w:t> </w:t>
      </w:r>
      <w:r>
        <w:rPr/>
        <w:t>results in </w:t>
      </w:r>
      <w:r>
        <w:rPr>
          <w:rFonts w:ascii="Consolas"/>
        </w:rPr>
        <w:t>6</w:t>
      </w:r>
    </w:p>
    <w:p>
      <w:pPr>
        <w:pStyle w:val="BodyText"/>
        <w:spacing w:before="7"/>
        <w:rPr>
          <w:rFonts w:ascii="Consolas"/>
          <w:sz w:val="26"/>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6 WEIBULL" w:id="2432"/>
      <w:bookmarkEnd w:id="2432"/>
      <w:r>
        <w:rPr/>
      </w:r>
      <w:bookmarkStart w:name="_bookmark811" w:id="2433"/>
      <w:bookmarkEnd w:id="2433"/>
      <w:r>
        <w:rPr/>
      </w:r>
      <w:bookmarkStart w:name="_bookmark811" w:id="2434"/>
      <w:bookmarkEnd w:id="2434"/>
      <w:r>
        <w:rPr>
          <w:color w:val="4F81BC"/>
        </w:rPr>
        <w:t>W</w:t>
      </w:r>
      <w:r>
        <w:rPr>
          <w:color w:val="4F81BC"/>
        </w:rPr>
        <w:t>EIBULL</w:t>
      </w:r>
    </w:p>
    <w:p>
      <w:pPr>
        <w:pStyle w:val="Heading4"/>
        <w:spacing w:before="121"/>
        <w:rPr>
          <w:b w:val="0"/>
        </w:rPr>
      </w:pPr>
      <w:r>
        <w:rPr/>
        <w:t>Syntax</w:t>
      </w:r>
      <w:r>
        <w:rPr>
          <w:b w:val="0"/>
        </w:rPr>
        <w:t>:</w:t>
      </w:r>
    </w:p>
    <w:p>
      <w:pPr>
        <w:pStyle w:val="BodyText"/>
        <w:spacing w:before="1"/>
        <w:rPr>
          <w:sz w:val="19"/>
        </w:rPr>
      </w:pPr>
    </w:p>
    <w:p>
      <w:pPr>
        <w:spacing w:before="1"/>
        <w:ind w:left="165" w:right="4221" w:firstLine="0"/>
        <w:jc w:val="center"/>
        <w:rPr>
          <w:rFonts w:ascii="Lucida Console"/>
          <w:sz w:val="20"/>
        </w:rPr>
      </w:pPr>
      <w:r>
        <w:rPr>
          <w:rFonts w:ascii="Lucida Console"/>
          <w:sz w:val="20"/>
        </w:rPr>
        <w:t>WEIBULL ( </w:t>
      </w:r>
      <w:r>
        <w:rPr>
          <w:i/>
          <w:sz w:val="22"/>
        </w:rPr>
        <w:t>x </w:t>
      </w:r>
      <w:r>
        <w:rPr>
          <w:rFonts w:ascii="Lucida Console"/>
          <w:sz w:val="20"/>
        </w:rPr>
        <w:t>, </w:t>
      </w:r>
      <w:r>
        <w:rPr>
          <w:i/>
          <w:sz w:val="22"/>
        </w:rPr>
        <w:t>alpha </w:t>
      </w:r>
      <w:r>
        <w:rPr>
          <w:rFonts w:ascii="Lucida Console"/>
          <w:sz w:val="20"/>
        </w:rPr>
        <w:t>, </w:t>
      </w:r>
      <w:r>
        <w:rPr>
          <w:i/>
          <w:sz w:val="22"/>
        </w:rPr>
        <w:t>beta  </w:t>
      </w:r>
      <w:r>
        <w:rPr>
          <w:rFonts w:ascii="Lucida Console"/>
          <w:sz w:val="20"/>
        </w:rPr>
        <w:t>, </w:t>
      </w:r>
      <w:r>
        <w:rPr>
          <w:i/>
          <w:sz w:val="22"/>
        </w:rPr>
        <w:t>cumulative-flag </w:t>
      </w:r>
      <w:r>
        <w:rPr>
          <w:rFonts w:ascii="Lucida Console"/>
          <w:sz w:val="20"/>
        </w:rPr>
        <w:t>)</w:t>
      </w:r>
    </w:p>
    <w:p>
      <w:pPr>
        <w:spacing w:before="108"/>
        <w:ind w:left="220" w:right="0" w:firstLine="0"/>
        <w:jc w:val="left"/>
        <w:rPr>
          <w:sz w:val="22"/>
        </w:rPr>
      </w:pPr>
      <w:r>
        <w:rPr>
          <w:b/>
          <w:sz w:val="22"/>
        </w:rPr>
        <w:t>Description: </w:t>
      </w:r>
      <w:r>
        <w:rPr>
          <w:sz w:val="22"/>
        </w:rPr>
        <w:t>Computes the Weibull distribution.</w:t>
      </w:r>
    </w:p>
    <w:p>
      <w:pPr>
        <w:pStyle w:val="BodyText"/>
        <w:spacing w:before="8"/>
        <w:rPr>
          <w:sz w:val="19"/>
        </w:rPr>
      </w:pPr>
    </w:p>
    <w:p>
      <w:pPr>
        <w:pStyle w:val="Heading4"/>
        <w:rPr>
          <w:b w:val="0"/>
        </w:rPr>
      </w:pPr>
      <w:r>
        <w:rPr/>
        <w:t>Mathematical Formula</w:t>
      </w:r>
      <w:r>
        <w:rPr>
          <w:b w:val="0"/>
        </w:rPr>
        <w:t>:</w:t>
      </w:r>
    </w:p>
    <w:p>
      <w:pPr>
        <w:pStyle w:val="BodyText"/>
        <w:spacing w:before="9"/>
        <w:rPr>
          <w:sz w:val="19"/>
        </w:rPr>
      </w:pPr>
    </w:p>
    <w:p>
      <w:pPr>
        <w:pStyle w:val="BodyText"/>
        <w:ind w:left="220"/>
      </w:pPr>
      <w:r>
        <w:rPr/>
        <w:t>The equation for the Weibull cumulative distribution function is:</w:t>
      </w:r>
    </w:p>
    <w:p>
      <w:pPr>
        <w:pStyle w:val="BodyText"/>
        <w:spacing w:before="10"/>
        <w:rPr>
          <w:sz w:val="17"/>
        </w:rPr>
      </w:pPr>
    </w:p>
    <w:p>
      <w:pPr>
        <w:pStyle w:val="BodyText"/>
        <w:ind w:left="220"/>
        <w:rPr>
          <w:rFonts w:ascii="Cambria Math" w:hAnsi="Cambria Math" w:eastAsia="Cambria Math"/>
          <w:sz w:val="13"/>
        </w:rPr>
      </w:pPr>
      <w:r>
        <w:rPr>
          <w:rFonts w:ascii="Cambria Math" w:hAnsi="Cambria Math" w:eastAsia="Cambria Math"/>
        </w:rPr>
        <w:t>𝐹</w:t>
      </w:r>
      <w:r>
        <w:rPr>
          <w:rFonts w:ascii="Cambria Math" w:hAnsi="Cambria Math" w:eastAsia="Cambria Math"/>
          <w:position w:val="1"/>
        </w:rPr>
        <w:t>(</w:t>
      </w:r>
      <w:r>
        <w:rPr>
          <w:rFonts w:ascii="Cambria Math" w:hAnsi="Cambria Math" w:eastAsia="Cambria Math"/>
        </w:rPr>
        <w:t>𝑥, 𝛼, 𝛽</w:t>
      </w:r>
      <w:r>
        <w:rPr>
          <w:rFonts w:ascii="Cambria Math" w:hAnsi="Cambria Math" w:eastAsia="Cambria Math"/>
          <w:position w:val="1"/>
        </w:rPr>
        <w:t>) </w:t>
      </w:r>
      <w:r>
        <w:rPr>
          <w:rFonts w:ascii="Cambria Math" w:hAnsi="Cambria Math" w:eastAsia="Cambria Math"/>
        </w:rPr>
        <w:t>= 1 − 𝑒</w:t>
      </w:r>
      <w:r>
        <w:rPr>
          <w:rFonts w:ascii="Cambria Math" w:hAnsi="Cambria Math" w:eastAsia="Cambria Math"/>
          <w:vertAlign w:val="superscript"/>
        </w:rPr>
        <w:t>−(𝑥⁄𝛽)</w:t>
      </w:r>
      <w:r>
        <w:rPr>
          <w:rFonts w:ascii="Cambria Math" w:hAnsi="Cambria Math" w:eastAsia="Cambria Math"/>
          <w:position w:val="14"/>
          <w:sz w:val="13"/>
          <w:vertAlign w:val="baseline"/>
        </w:rPr>
        <w:t>𝛼</w:t>
      </w:r>
    </w:p>
    <w:p>
      <w:pPr>
        <w:pStyle w:val="BodyText"/>
        <w:spacing w:before="238"/>
        <w:ind w:left="220"/>
      </w:pPr>
      <w:r>
        <w:rPr/>
        <w:t>The equation for the Weibull probability density function is:</w:t>
      </w:r>
    </w:p>
    <w:p>
      <w:pPr>
        <w:pStyle w:val="BodyText"/>
        <w:spacing w:before="5"/>
        <w:rPr>
          <w:sz w:val="28"/>
        </w:rPr>
      </w:pPr>
    </w:p>
    <w:p>
      <w:pPr>
        <w:pStyle w:val="BodyText"/>
        <w:tabs>
          <w:tab w:pos="1727" w:val="left" w:leader="none"/>
        </w:tabs>
        <w:spacing w:line="253" w:lineRule="exact" w:before="1"/>
        <w:ind w:left="220"/>
        <w:rPr>
          <w:rFonts w:ascii="Cambria Math" w:hAnsi="Cambria Math" w:eastAsia="Cambria Math"/>
          <w:sz w:val="13"/>
        </w:rPr>
      </w:pPr>
      <w:r>
        <w:rPr/>
        <w:pict>
          <v:line style="position:absolute;mso-position-horizontal-relative:page;mso-position-vertical-relative:paragraph;z-index:-335763456" from="114.620003pt,10.106271pt" to="127.700003pt,10.106271pt" stroked="true" strokeweight=".72pt" strokecolor="#000000">
            <v:stroke dashstyle="solid"/>
            <w10:wrap type="none"/>
          </v:line>
        </w:pict>
      </w:r>
      <w:r>
        <w:rPr>
          <w:rFonts w:ascii="Cambria Math" w:hAnsi="Cambria Math" w:eastAsia="Cambria Math"/>
          <w:spacing w:val="2"/>
        </w:rPr>
        <w:t>𝑓</w:t>
      </w:r>
      <w:r>
        <w:rPr>
          <w:rFonts w:ascii="Cambria Math" w:hAnsi="Cambria Math" w:eastAsia="Cambria Math"/>
          <w:spacing w:val="2"/>
          <w:position w:val="1"/>
        </w:rPr>
        <w:t>(</w:t>
      </w:r>
      <w:r>
        <w:rPr>
          <w:rFonts w:ascii="Cambria Math" w:hAnsi="Cambria Math" w:eastAsia="Cambria Math"/>
          <w:spacing w:val="2"/>
        </w:rPr>
        <w:t>𝑥, </w:t>
      </w:r>
      <w:r>
        <w:rPr>
          <w:rFonts w:ascii="Cambria Math" w:hAnsi="Cambria Math" w:eastAsia="Cambria Math"/>
          <w:spacing w:val="3"/>
        </w:rPr>
        <w:t>𝛼,</w:t>
      </w:r>
      <w:r>
        <w:rPr>
          <w:rFonts w:ascii="Cambria Math" w:hAnsi="Cambria Math" w:eastAsia="Cambria Math"/>
          <w:spacing w:val="-27"/>
        </w:rPr>
        <w:t> </w:t>
      </w:r>
      <w:r>
        <w:rPr>
          <w:rFonts w:ascii="Cambria Math" w:hAnsi="Cambria Math" w:eastAsia="Cambria Math"/>
          <w:spacing w:val="3"/>
        </w:rPr>
        <w:t>𝛽</w:t>
      </w:r>
      <w:r>
        <w:rPr>
          <w:rFonts w:ascii="Cambria Math" w:hAnsi="Cambria Math" w:eastAsia="Cambria Math"/>
          <w:spacing w:val="3"/>
          <w:position w:val="1"/>
        </w:rPr>
        <w:t>)</w:t>
      </w:r>
      <w:r>
        <w:rPr>
          <w:rFonts w:ascii="Cambria Math" w:hAnsi="Cambria Math" w:eastAsia="Cambria Math"/>
          <w:spacing w:val="10"/>
          <w:position w:val="1"/>
        </w:rPr>
        <w:t> </w:t>
      </w:r>
      <w:r>
        <w:rPr>
          <w:rFonts w:ascii="Cambria Math" w:hAnsi="Cambria Math" w:eastAsia="Cambria Math"/>
        </w:rPr>
        <w:t>=</w:t>
        <w:tab/>
      </w:r>
      <w:r>
        <w:rPr>
          <w:rFonts w:ascii="Cambria Math" w:hAnsi="Cambria Math" w:eastAsia="Cambria Math"/>
          <w:spacing w:val="3"/>
        </w:rPr>
        <w:t>𝑥</w:t>
      </w:r>
      <w:r>
        <w:rPr>
          <w:rFonts w:ascii="Cambria Math" w:hAnsi="Cambria Math" w:eastAsia="Cambria Math"/>
          <w:spacing w:val="3"/>
          <w:vertAlign w:val="superscript"/>
        </w:rPr>
        <w:t>𝛼−1</w:t>
      </w:r>
      <w:r>
        <w:rPr>
          <w:rFonts w:ascii="Cambria Math" w:hAnsi="Cambria Math" w:eastAsia="Cambria Math"/>
          <w:spacing w:val="3"/>
          <w:vertAlign w:val="baseline"/>
        </w:rPr>
        <w:t>𝑒</w:t>
      </w:r>
      <w:r>
        <w:rPr>
          <w:rFonts w:ascii="Cambria Math" w:hAnsi="Cambria Math" w:eastAsia="Cambria Math"/>
          <w:spacing w:val="3"/>
          <w:vertAlign w:val="superscript"/>
        </w:rPr>
        <w:t>−(𝑥⁄𝛽)</w:t>
      </w:r>
      <w:r>
        <w:rPr>
          <w:rFonts w:ascii="Cambria Math" w:hAnsi="Cambria Math" w:eastAsia="Cambria Math"/>
          <w:spacing w:val="3"/>
          <w:position w:val="14"/>
          <w:sz w:val="13"/>
          <w:vertAlign w:val="baseline"/>
        </w:rPr>
        <w:t>𝛼</w:t>
      </w:r>
    </w:p>
    <w:p>
      <w:pPr>
        <w:spacing w:line="105" w:lineRule="auto" w:before="18"/>
        <w:ind w:left="1432" w:right="0" w:firstLine="0"/>
        <w:jc w:val="left"/>
        <w:rPr>
          <w:rFonts w:ascii="Cambria Math" w:eastAsia="Cambria Math"/>
          <w:sz w:val="16"/>
        </w:rPr>
      </w:pPr>
      <w:r>
        <w:rPr>
          <w:rFonts w:ascii="Cambria Math" w:eastAsia="Cambria Math"/>
          <w:w w:val="105"/>
          <w:position w:val="-6"/>
          <w:sz w:val="22"/>
        </w:rPr>
        <w:t>𝛽</w:t>
      </w:r>
      <w:r>
        <w:rPr>
          <w:rFonts w:ascii="Cambria Math" w:eastAsia="Cambria Math"/>
          <w:w w:val="105"/>
          <w:sz w:val="16"/>
        </w:rPr>
        <w:t>𝛼</w:t>
      </w:r>
    </w:p>
    <w:p>
      <w:pPr>
        <w:pStyle w:val="BodyText"/>
        <w:spacing w:before="4"/>
        <w:rPr>
          <w:rFonts w:ascii="Cambria Math"/>
          <w:sz w:val="25"/>
        </w:rPr>
      </w:pPr>
    </w:p>
    <w:p>
      <w:pPr>
        <w:pStyle w:val="BodyText"/>
        <w:ind w:left="165" w:right="4285"/>
        <w:jc w:val="center"/>
      </w:pPr>
      <w:r>
        <w:rPr/>
        <w:t>When </w:t>
      </w:r>
      <w:r>
        <w:rPr>
          <w:rFonts w:ascii="Times New Roman"/>
          <w:i/>
        </w:rPr>
        <w:t>alpha </w:t>
      </w:r>
      <w:r>
        <w:rPr/>
        <w:t>= 1, </w:t>
      </w:r>
      <w:r>
        <w:rPr>
          <w:rFonts w:ascii="Consolas"/>
        </w:rPr>
        <w:t>WEIBULL</w:t>
      </w:r>
      <w:r>
        <w:rPr>
          <w:rFonts w:ascii="Consolas"/>
          <w:spacing w:val="-87"/>
        </w:rPr>
        <w:t> </w:t>
      </w:r>
      <w:r>
        <w:rPr/>
        <w:t>returns the exponential distribution with:</w:t>
      </w:r>
    </w:p>
    <w:p>
      <w:pPr>
        <w:pStyle w:val="BodyText"/>
        <w:rPr>
          <w:sz w:val="12"/>
        </w:rPr>
      </w:pPr>
    </w:p>
    <w:p>
      <w:pPr>
        <w:pStyle w:val="BodyText"/>
        <w:spacing w:line="213" w:lineRule="exact" w:before="63"/>
        <w:ind w:left="630"/>
        <w:rPr>
          <w:rFonts w:ascii="Cambria Math"/>
        </w:rPr>
      </w:pPr>
      <w:r>
        <w:rPr>
          <w:rFonts w:ascii="Cambria Math"/>
          <w:w w:val="100"/>
        </w:rPr>
        <w:t>1</w:t>
      </w:r>
    </w:p>
    <w:p>
      <w:pPr>
        <w:pStyle w:val="BodyText"/>
        <w:spacing w:line="158" w:lineRule="exact"/>
        <w:ind w:left="220"/>
        <w:rPr>
          <w:rFonts w:ascii="Cambria Math" w:eastAsia="Cambria Math"/>
        </w:rPr>
      </w:pPr>
      <w:r>
        <w:rPr/>
        <w:pict>
          <v:line style="position:absolute;mso-position-horizontal-relative:page;mso-position-vertical-relative:paragraph;z-index:251878400" from="74.183998pt,5.084141pt" to="81.143998pt,5.084141pt" stroked="true" strokeweight=".72pt" strokecolor="#000000">
            <v:stroke dashstyle="solid"/>
            <w10:wrap type="none"/>
          </v:line>
        </w:pict>
      </w:r>
      <w:r>
        <w:rPr>
          <w:rFonts w:ascii="Cambria Math" w:eastAsia="Cambria Math"/>
        </w:rPr>
        <w:t>𝜆 =</w:t>
      </w:r>
    </w:p>
    <w:p>
      <w:pPr>
        <w:pStyle w:val="BodyText"/>
        <w:spacing w:line="203" w:lineRule="exact"/>
        <w:ind w:left="623"/>
        <w:rPr>
          <w:rFonts w:ascii="Cambria Math" w:eastAsia="Cambria Math"/>
        </w:rPr>
      </w:pPr>
      <w:r>
        <w:rPr>
          <w:rFonts w:ascii="Cambria Math" w:eastAsia="Cambria Math"/>
        </w:rPr>
        <w:t>𝛽</w:t>
      </w:r>
    </w:p>
    <w:p>
      <w:pPr>
        <w:pStyle w:val="BodyText"/>
        <w:spacing w:before="2"/>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Times New Roman" w:hAnsi="Times New Roman"/>
          <w:i/>
          <w:sz w:val="22"/>
        </w:rPr>
      </w:pPr>
      <w:r>
        <w:rPr>
          <w:rFonts w:ascii="Times New Roman" w:hAnsi="Times New Roman"/>
          <w:i/>
          <w:sz w:val="22"/>
        </w:rPr>
        <w:t>x </w:t>
      </w:r>
      <w:r>
        <w:rPr>
          <w:sz w:val="22"/>
        </w:rPr>
        <w:t>= argument</w:t>
      </w:r>
      <w:r>
        <w:rPr>
          <w:spacing w:val="-3"/>
          <w:sz w:val="22"/>
        </w:rPr>
        <w:t> </w:t>
      </w:r>
      <w:r>
        <w:rPr>
          <w:rFonts w:ascii="Times New Roman" w:hAnsi="Times New Roman"/>
          <w:i/>
          <w:sz w:val="22"/>
        </w:rPr>
        <w:t>x</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sz w:val="22"/>
        </w:rPr>
        <w:t>α = argument</w:t>
      </w:r>
      <w:r>
        <w:rPr>
          <w:spacing w:val="1"/>
          <w:sz w:val="22"/>
        </w:rPr>
        <w:t> </w:t>
      </w:r>
      <w:r>
        <w:rPr>
          <w:rFonts w:ascii="Times New Roman" w:hAnsi="Times New Roman"/>
          <w:i/>
          <w:sz w:val="22"/>
        </w:rPr>
        <w:t>alpha</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sz w:val="22"/>
        </w:rPr>
        <w:t>β = argument</w:t>
      </w:r>
      <w:r>
        <w:rPr>
          <w:spacing w:val="-3"/>
          <w:sz w:val="22"/>
        </w:rPr>
        <w:t> </w:t>
      </w:r>
      <w:r>
        <w:rPr>
          <w:rFonts w:ascii="Times New Roman" w:hAnsi="Times New Roman"/>
          <w:i/>
          <w:sz w:val="22"/>
        </w:rPr>
        <w:t>beta</w:t>
      </w:r>
    </w:p>
    <w:p>
      <w:pPr>
        <w:pStyle w:val="Heading4"/>
        <w:spacing w:before="242"/>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w w:val="100"/>
                <w:sz w:val="22"/>
              </w:rPr>
              <w:t>x</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value at which the distribution is to be evaluated.</w:t>
            </w:r>
          </w:p>
        </w:tc>
      </w:tr>
      <w:tr>
        <w:trPr>
          <w:trHeight w:val="354" w:hRule="atLeast"/>
        </w:trPr>
        <w:tc>
          <w:tcPr>
            <w:tcW w:w="1466" w:type="dxa"/>
          </w:tcPr>
          <w:p>
            <w:pPr>
              <w:pStyle w:val="TableParagraph"/>
              <w:spacing w:before="37"/>
              <w:rPr>
                <w:rFonts w:ascii="Times New Roman"/>
                <w:i/>
                <w:sz w:val="22"/>
              </w:rPr>
            </w:pPr>
            <w:r>
              <w:rPr>
                <w:rFonts w:ascii="Times New Roman"/>
                <w:i/>
                <w:sz w:val="22"/>
              </w:rPr>
              <w:t>alpha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parameter of the distribution.</w:t>
            </w:r>
          </w:p>
        </w:tc>
      </w:tr>
      <w:tr>
        <w:trPr>
          <w:trHeight w:val="355" w:hRule="atLeast"/>
        </w:trPr>
        <w:tc>
          <w:tcPr>
            <w:tcW w:w="1466" w:type="dxa"/>
          </w:tcPr>
          <w:p>
            <w:pPr>
              <w:pStyle w:val="TableParagraph"/>
              <w:spacing w:before="37"/>
              <w:rPr>
                <w:rFonts w:ascii="Times New Roman"/>
                <w:i/>
                <w:sz w:val="22"/>
              </w:rPr>
            </w:pPr>
            <w:r>
              <w:rPr>
                <w:rFonts w:ascii="Times New Roman"/>
                <w:i/>
                <w:sz w:val="22"/>
              </w:rPr>
              <w:t>beta</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A parameter of the distribution.</w:t>
            </w:r>
          </w:p>
        </w:tc>
      </w:tr>
      <w:tr>
        <w:trPr>
          <w:trHeight w:val="892" w:hRule="atLeast"/>
        </w:trPr>
        <w:tc>
          <w:tcPr>
            <w:tcW w:w="1466" w:type="dxa"/>
          </w:tcPr>
          <w:p>
            <w:pPr>
              <w:pStyle w:val="TableParagraph"/>
              <w:spacing w:before="37"/>
              <w:ind w:right="282"/>
              <w:rPr>
                <w:rFonts w:ascii="Times New Roman"/>
                <w:i/>
                <w:sz w:val="22"/>
              </w:rPr>
            </w:pPr>
            <w:r>
              <w:rPr>
                <w:rFonts w:ascii="Times New Roman"/>
                <w:i/>
                <w:sz w:val="22"/>
              </w:rPr>
              <w:t>cumulative- </w:t>
            </w:r>
            <w:r>
              <w:rPr>
                <w:rFonts w:ascii="Times New Roman"/>
                <w:i/>
                <w:sz w:val="22"/>
              </w:rPr>
              <w:t>flag</w:t>
            </w:r>
          </w:p>
        </w:tc>
        <w:tc>
          <w:tcPr>
            <w:tcW w:w="1800" w:type="dxa"/>
          </w:tcPr>
          <w:p>
            <w:pPr>
              <w:pStyle w:val="TableParagraph"/>
              <w:ind w:left="112"/>
              <w:rPr>
                <w:sz w:val="22"/>
              </w:rPr>
            </w:pPr>
            <w:r>
              <w:rPr>
                <w:sz w:val="22"/>
              </w:rPr>
              <w:t>logical</w:t>
            </w:r>
          </w:p>
        </w:tc>
        <w:tc>
          <w:tcPr>
            <w:tcW w:w="5400" w:type="dxa"/>
          </w:tcPr>
          <w:p>
            <w:pPr>
              <w:pStyle w:val="TableParagraph"/>
              <w:ind w:left="113" w:right="220"/>
              <w:rPr>
                <w:sz w:val="22"/>
              </w:rPr>
            </w:pPr>
            <w:r>
              <w:rPr>
                <w:sz w:val="22"/>
              </w:rPr>
              <w:t>Determines the form of the function. If </w:t>
            </w:r>
            <w:r>
              <w:rPr>
                <w:rFonts w:ascii="Consolas"/>
                <w:sz w:val="22"/>
              </w:rPr>
              <w:t>TRUE</w:t>
            </w:r>
            <w:r>
              <w:rPr>
                <w:sz w:val="22"/>
              </w:rPr>
              <w:t>, </w:t>
            </w:r>
            <w:r>
              <w:rPr>
                <w:rFonts w:ascii="Consolas"/>
                <w:sz w:val="22"/>
              </w:rPr>
              <w:t>WEIBULL </w:t>
            </w:r>
            <w:r>
              <w:rPr>
                <w:sz w:val="22"/>
              </w:rPr>
              <w:t>returns the cumulative distribution function; if </w:t>
            </w:r>
            <w:r>
              <w:rPr>
                <w:rFonts w:ascii="Consolas"/>
                <w:sz w:val="22"/>
              </w:rPr>
              <w:t>FALSE</w:t>
            </w:r>
            <w:r>
              <w:rPr>
                <w:sz w:val="22"/>
              </w:rPr>
              <w:t>, it returns the probability density function.</w:t>
            </w:r>
          </w:p>
        </w:tc>
      </w:tr>
    </w:tbl>
    <w:p>
      <w:pPr>
        <w:pStyle w:val="BodyText"/>
        <w:rPr>
          <w:b/>
        </w:rPr>
      </w:pPr>
    </w:p>
    <w:p>
      <w:pPr>
        <w:pStyle w:val="BodyText"/>
        <w:spacing w:before="7"/>
        <w:rPr>
          <w:b/>
          <w:sz w:val="19"/>
        </w:rPr>
      </w:pPr>
    </w:p>
    <w:p>
      <w:pPr>
        <w:spacing w:before="0"/>
        <w:ind w:left="220" w:right="0" w:firstLine="0"/>
        <w:jc w:val="left"/>
        <w:rPr>
          <w:sz w:val="22"/>
        </w:rPr>
      </w:pPr>
      <w:r>
        <w:rPr>
          <w:b/>
          <w:sz w:val="22"/>
        </w:rPr>
        <w:t>Return Type and Value: </w:t>
      </w:r>
      <w:r>
        <w:rPr>
          <w:sz w:val="22"/>
        </w:rPr>
        <w:t>number – The Weibull distribution.</w:t>
      </w:r>
    </w:p>
    <w:p>
      <w:pPr>
        <w:spacing w:after="0"/>
        <w:jc w:val="left"/>
        <w:rPr>
          <w:sz w:val="22"/>
        </w:rPr>
        <w:sectPr>
          <w:pgSz w:w="12240" w:h="15840"/>
          <w:pgMar w:header="761" w:footer="746" w:top="1340" w:bottom="940" w:left="860" w:right="700"/>
        </w:sectPr>
      </w:pPr>
    </w:p>
    <w:p>
      <w:pPr>
        <w:pStyle w:val="BodyText"/>
        <w:spacing w:before="150"/>
        <w:ind w:left="220"/>
      </w:pPr>
      <w:r>
        <w:rPr/>
        <w:t>However, if</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x </w:t>
      </w:r>
      <w:r>
        <w:rPr>
          <w:sz w:val="22"/>
        </w:rPr>
        <w:t>&lt; 0, </w:t>
      </w:r>
      <w:r>
        <w:rPr>
          <w:rFonts w:ascii="Consolas" w:hAnsi="Consolas"/>
          <w:sz w:val="22"/>
        </w:rPr>
        <w:t>#NUM!</w:t>
      </w:r>
      <w:r>
        <w:rPr>
          <w:rFonts w:ascii="Consolas" w:hAnsi="Consolas"/>
          <w:spacing w:val="-76"/>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alpha </w:t>
      </w:r>
      <w:r>
        <w:rPr>
          <w:sz w:val="22"/>
        </w:rPr>
        <w:t>≤ 0, </w:t>
      </w:r>
      <w:r>
        <w:rPr>
          <w:rFonts w:ascii="Consolas" w:hAnsi="Consolas"/>
          <w:sz w:val="22"/>
        </w:rPr>
        <w:t>#NUM!</w:t>
      </w:r>
      <w:r>
        <w:rPr>
          <w:rFonts w:ascii="Consolas" w:hAnsi="Consolas"/>
          <w:spacing w:val="-74"/>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7237" w:firstLine="360"/>
        <w:jc w:val="left"/>
        <w:rPr>
          <w:sz w:val="22"/>
        </w:rPr>
      </w:pPr>
      <w:r>
        <w:rPr>
          <w:rFonts w:ascii="Times New Roman" w:hAnsi="Times New Roman"/>
          <w:i/>
          <w:sz w:val="22"/>
        </w:rPr>
        <w:t>beta </w:t>
      </w:r>
      <w:r>
        <w:rPr>
          <w:sz w:val="22"/>
        </w:rPr>
        <w:t>≤ 0, </w:t>
      </w:r>
      <w:r>
        <w:rPr>
          <w:rFonts w:ascii="Consolas" w:hAnsi="Consolas"/>
          <w:sz w:val="22"/>
        </w:rPr>
        <w:t>#NUM!</w:t>
      </w:r>
      <w:r>
        <w:rPr>
          <w:rFonts w:ascii="Consolas" w:hAnsi="Consolas"/>
          <w:spacing w:val="-77"/>
          <w:sz w:val="22"/>
        </w:rPr>
        <w:t> </w:t>
      </w:r>
      <w:r>
        <w:rPr>
          <w:sz w:val="22"/>
        </w:rPr>
        <w:t>is returned. [</w:t>
      </w:r>
      <w:r>
        <w:rPr>
          <w:i/>
          <w:sz w:val="22"/>
        </w:rPr>
        <w:t>Example</w:t>
      </w:r>
      <w:r>
        <w:rPr>
          <w:sz w:val="22"/>
        </w:rPr>
        <w:t>:</w:t>
      </w:r>
    </w:p>
    <w:p>
      <w:pPr>
        <w:pStyle w:val="BodyText"/>
        <w:spacing w:line="276" w:lineRule="auto" w:before="126"/>
        <w:ind w:left="220" w:right="4547"/>
        <w:rPr>
          <w:rFonts w:ascii="Consolas"/>
        </w:rPr>
      </w:pPr>
      <w:r>
        <w:rPr>
          <w:rFonts w:ascii="Consolas"/>
        </w:rPr>
        <w:t>WEIBULL(105,20,100,TRUE) </w:t>
      </w:r>
      <w:r>
        <w:rPr/>
        <w:t>results in </w:t>
      </w:r>
      <w:r>
        <w:rPr>
          <w:rFonts w:ascii="Consolas"/>
        </w:rPr>
        <w:t>0.92958139 WEIBULL(105,20,100,FALSE)</w:t>
      </w:r>
      <w:r>
        <w:rPr>
          <w:rFonts w:ascii="Consolas"/>
          <w:spacing w:val="-69"/>
        </w:rPr>
        <w:t> </w:t>
      </w:r>
      <w:r>
        <w:rPr/>
        <w:t>results in </w:t>
      </w:r>
      <w:r>
        <w:rPr>
          <w:rFonts w:ascii="Consolas"/>
        </w:rPr>
        <w:t>0.035588864</w:t>
      </w:r>
    </w:p>
    <w:p>
      <w:pPr>
        <w:pStyle w:val="BodyText"/>
        <w:spacing w:before="6"/>
        <w:rPr>
          <w:rFonts w:ascii="Consolas"/>
          <w:sz w:val="26"/>
        </w:rPr>
      </w:pPr>
    </w:p>
    <w:p>
      <w:pPr>
        <w:spacing w:before="1"/>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7 WORKDAY" w:id="2435"/>
      <w:bookmarkEnd w:id="2435"/>
      <w:r>
        <w:rPr/>
      </w:r>
      <w:bookmarkStart w:name="_bookmark812" w:id="2436"/>
      <w:bookmarkEnd w:id="2436"/>
      <w:r>
        <w:rPr/>
      </w:r>
      <w:bookmarkStart w:name="_bookmark812" w:id="2437"/>
      <w:bookmarkEnd w:id="2437"/>
      <w:r>
        <w:rPr>
          <w:color w:val="4F81BC"/>
        </w:rPr>
        <w:t>W</w:t>
      </w:r>
      <w:r>
        <w:rPr>
          <w:color w:val="4F81BC"/>
        </w:rPr>
        <w:t>ORKDAY</w:t>
      </w:r>
    </w:p>
    <w:p>
      <w:pPr>
        <w:pStyle w:val="Heading4"/>
        <w:spacing w:before="124"/>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WORKDAY ( </w:t>
      </w:r>
      <w:r>
        <w:rPr>
          <w:i/>
          <w:sz w:val="22"/>
        </w:rPr>
        <w:t>start-date </w:t>
      </w:r>
      <w:r>
        <w:rPr>
          <w:rFonts w:ascii="Lucida Console"/>
          <w:sz w:val="20"/>
        </w:rPr>
        <w:t>, </w:t>
      </w:r>
      <w:r>
        <w:rPr>
          <w:i/>
          <w:sz w:val="22"/>
        </w:rPr>
        <w:t>day-offset </w:t>
      </w:r>
      <w:r>
        <w:rPr>
          <w:sz w:val="22"/>
        </w:rPr>
        <w:t>[ </w:t>
      </w:r>
      <w:r>
        <w:rPr>
          <w:rFonts w:ascii="Lucida Console"/>
          <w:sz w:val="20"/>
        </w:rPr>
        <w:t>,</w:t>
      </w:r>
      <w:r>
        <w:rPr>
          <w:rFonts w:ascii="Lucida Console"/>
          <w:spacing w:val="-87"/>
          <w:sz w:val="20"/>
        </w:rPr>
        <w:t> </w:t>
      </w:r>
      <w:r>
        <w:rPr>
          <w:i/>
          <w:sz w:val="22"/>
        </w:rPr>
        <w:t>holidays </w:t>
      </w:r>
      <w:r>
        <w:rPr>
          <w:sz w:val="22"/>
        </w:rPr>
        <w:t>] </w:t>
      </w:r>
      <w:r>
        <w:rPr>
          <w:rFonts w:ascii="Lucida Console"/>
          <w:sz w:val="20"/>
        </w:rPr>
        <w:t>)</w:t>
      </w:r>
    </w:p>
    <w:p>
      <w:pPr>
        <w:pStyle w:val="BodyText"/>
        <w:spacing w:line="276" w:lineRule="auto" w:before="106"/>
        <w:ind w:left="220" w:right="763"/>
      </w:pPr>
      <w:r>
        <w:rPr>
          <w:b/>
        </w:rPr>
        <w:t>Description: </w:t>
      </w:r>
      <w:r>
        <w:rPr/>
        <w:t>Computes the serial date-time of the date that is </w:t>
      </w:r>
      <w:r>
        <w:rPr>
          <w:rFonts w:ascii="Times New Roman"/>
          <w:i/>
        </w:rPr>
        <w:t>day-offset </w:t>
      </w:r>
      <w:r>
        <w:rPr/>
        <w:t>working days offset from </w:t>
      </w:r>
      <w:r>
        <w:rPr>
          <w:rFonts w:ascii="Times New Roman"/>
          <w:i/>
        </w:rPr>
        <w:t>start-date</w:t>
      </w:r>
      <w:r>
        <w:rPr/>
        <w:t>. Weekend days (Saturday and Sunday) and any holidays specified by </w:t>
      </w:r>
      <w:r>
        <w:rPr>
          <w:rFonts w:ascii="Times New Roman"/>
          <w:i/>
        </w:rPr>
        <w:t>holidays </w:t>
      </w:r>
      <w:r>
        <w:rPr/>
        <w:t>are not considered as working days.</w:t>
      </w:r>
    </w:p>
    <w:p>
      <w:pPr>
        <w:pStyle w:val="BodyText"/>
        <w:spacing w:before="6"/>
        <w:rPr>
          <w:sz w:val="16"/>
        </w:rPr>
      </w:pPr>
    </w:p>
    <w:p>
      <w:pPr>
        <w:pStyle w:val="Heading4"/>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start date, truncated to integer.</w:t>
            </w:r>
          </w:p>
        </w:tc>
      </w:tr>
      <w:tr>
        <w:trPr>
          <w:trHeight w:val="1158" w:hRule="atLeast"/>
        </w:trPr>
        <w:tc>
          <w:tcPr>
            <w:tcW w:w="1466" w:type="dxa"/>
          </w:tcPr>
          <w:p>
            <w:pPr>
              <w:pStyle w:val="TableParagraph"/>
              <w:spacing w:before="37"/>
              <w:rPr>
                <w:rFonts w:ascii="Times New Roman"/>
                <w:i/>
                <w:sz w:val="22"/>
              </w:rPr>
            </w:pPr>
            <w:r>
              <w:rPr>
                <w:rFonts w:ascii="Times New Roman"/>
                <w:i/>
                <w:sz w:val="22"/>
              </w:rPr>
              <w:t>day-offset</w:t>
            </w:r>
          </w:p>
        </w:tc>
        <w:tc>
          <w:tcPr>
            <w:tcW w:w="1800" w:type="dxa"/>
          </w:tcPr>
          <w:p>
            <w:pPr>
              <w:pStyle w:val="TableParagraph"/>
              <w:ind w:left="112"/>
              <w:rPr>
                <w:sz w:val="22"/>
              </w:rPr>
            </w:pPr>
            <w:r>
              <w:rPr>
                <w:sz w:val="22"/>
              </w:rPr>
              <w:t>number</w:t>
            </w:r>
          </w:p>
        </w:tc>
        <w:tc>
          <w:tcPr>
            <w:tcW w:w="5400" w:type="dxa"/>
          </w:tcPr>
          <w:p>
            <w:pPr>
              <w:pStyle w:val="TableParagraph"/>
              <w:ind w:left="113" w:right="125"/>
              <w:rPr>
                <w:sz w:val="22"/>
              </w:rPr>
            </w:pPr>
            <w:r>
              <w:rPr>
                <w:sz w:val="22"/>
              </w:rPr>
              <w:t>The number of working days before or after </w:t>
            </w:r>
            <w:r>
              <w:rPr>
                <w:rFonts w:ascii="Times New Roman"/>
                <w:i/>
                <w:sz w:val="22"/>
              </w:rPr>
              <w:t>start-date</w:t>
            </w:r>
            <w:r>
              <w:rPr>
                <w:sz w:val="22"/>
              </w:rPr>
              <w:t>. A positive value yields a future date; a negative value yields a past date; a zero value yields the date </w:t>
            </w:r>
            <w:r>
              <w:rPr>
                <w:rFonts w:ascii="Times New Roman"/>
                <w:i/>
                <w:sz w:val="22"/>
              </w:rPr>
              <w:t>start-date</w:t>
            </w:r>
            <w:r>
              <w:rPr>
                <w:sz w:val="22"/>
              </w:rPr>
              <w:t>. </w:t>
            </w:r>
            <w:r>
              <w:rPr>
                <w:rFonts w:ascii="Times New Roman"/>
                <w:i/>
                <w:sz w:val="22"/>
              </w:rPr>
              <w:t>day- </w:t>
            </w:r>
            <w:r>
              <w:rPr>
                <w:rFonts w:ascii="Times New Roman"/>
                <w:i/>
                <w:sz w:val="22"/>
              </w:rPr>
              <w:t>offset </w:t>
            </w:r>
            <w:r>
              <w:rPr>
                <w:sz w:val="22"/>
              </w:rPr>
              <w:t>is truncated to an integer.</w:t>
            </w:r>
          </w:p>
        </w:tc>
      </w:tr>
      <w:tr>
        <w:trPr>
          <w:trHeight w:val="1698" w:hRule="atLeast"/>
        </w:trPr>
        <w:tc>
          <w:tcPr>
            <w:tcW w:w="1466" w:type="dxa"/>
          </w:tcPr>
          <w:p>
            <w:pPr>
              <w:pStyle w:val="TableParagraph"/>
              <w:spacing w:before="39"/>
              <w:rPr>
                <w:rFonts w:ascii="Times New Roman"/>
                <w:i/>
                <w:sz w:val="22"/>
              </w:rPr>
            </w:pPr>
            <w:r>
              <w:rPr>
                <w:rFonts w:ascii="Times New Roman"/>
                <w:i/>
                <w:sz w:val="22"/>
              </w:rPr>
              <w:t>holidays</w:t>
            </w:r>
          </w:p>
        </w:tc>
        <w:tc>
          <w:tcPr>
            <w:tcW w:w="1800" w:type="dxa"/>
          </w:tcPr>
          <w:p>
            <w:pPr>
              <w:pStyle w:val="TableParagraph"/>
              <w:spacing w:before="42"/>
              <w:ind w:left="112"/>
              <w:rPr>
                <w:sz w:val="22"/>
              </w:rPr>
            </w:pPr>
            <w:r>
              <w:rPr>
                <w:sz w:val="22"/>
              </w:rPr>
              <w:t>reference, array</w:t>
            </w:r>
          </w:p>
        </w:tc>
        <w:tc>
          <w:tcPr>
            <w:tcW w:w="5400" w:type="dxa"/>
          </w:tcPr>
          <w:p>
            <w:pPr>
              <w:pStyle w:val="TableParagraph"/>
              <w:spacing w:before="42"/>
              <w:ind w:left="113" w:right="248"/>
              <w:rPr>
                <w:sz w:val="22"/>
              </w:rPr>
            </w:pPr>
            <w:r>
              <w:rPr>
                <w:sz w:val="22"/>
              </w:rPr>
              <w:t>An optional set of one or more dates that are to be excluded from the working day calendar. </w:t>
            </w:r>
            <w:r>
              <w:rPr>
                <w:rFonts w:ascii="Times New Roman"/>
                <w:i/>
                <w:sz w:val="22"/>
              </w:rPr>
              <w:t>holidays </w:t>
            </w:r>
            <w:r>
              <w:rPr>
                <w:sz w:val="22"/>
              </w:rPr>
              <w:t>shall be a range of cells that contain the dates, or an array constant of the serial date-times that represent those dates. The ordering of dates or serial date-times in </w:t>
            </w:r>
            <w:r>
              <w:rPr>
                <w:rFonts w:ascii="Times New Roman"/>
                <w:i/>
                <w:sz w:val="22"/>
              </w:rPr>
              <w:t>holidays </w:t>
            </w:r>
            <w:r>
              <w:rPr>
                <w:sz w:val="22"/>
              </w:rPr>
              <w:t>can be arbitrary.</w:t>
            </w:r>
          </w:p>
        </w:tc>
      </w:tr>
    </w:tbl>
    <w:p>
      <w:pPr>
        <w:pStyle w:val="BodyText"/>
        <w:rPr>
          <w:b/>
        </w:rPr>
      </w:pPr>
    </w:p>
    <w:p>
      <w:pPr>
        <w:pStyle w:val="BodyText"/>
        <w:spacing w:before="5"/>
        <w:rPr>
          <w:b/>
          <w:sz w:val="19"/>
        </w:rPr>
      </w:pPr>
    </w:p>
    <w:p>
      <w:pPr>
        <w:spacing w:before="1"/>
        <w:ind w:left="220" w:right="0" w:firstLine="0"/>
        <w:jc w:val="left"/>
        <w:rPr>
          <w:sz w:val="22"/>
        </w:rPr>
      </w:pPr>
      <w:r>
        <w:rPr>
          <w:b/>
          <w:sz w:val="22"/>
        </w:rPr>
        <w:t>Return Type and Value: </w:t>
      </w:r>
      <w:r>
        <w:rPr>
          <w:sz w:val="22"/>
        </w:rPr>
        <w:t>number – The serial date-time of the date that is </w:t>
      </w:r>
      <w:r>
        <w:rPr>
          <w:rFonts w:ascii="Times New Roman" w:hAnsi="Times New Roman"/>
          <w:i/>
          <w:sz w:val="22"/>
        </w:rPr>
        <w:t>day-offset </w:t>
      </w:r>
      <w:r>
        <w:rPr>
          <w:sz w:val="22"/>
        </w:rPr>
        <w:t>working days offset from</w:t>
      </w:r>
    </w:p>
    <w:p>
      <w:pPr>
        <w:pStyle w:val="BodyText"/>
        <w:spacing w:line="453" w:lineRule="auto" w:before="43"/>
        <w:ind w:left="220" w:right="6590"/>
      </w:pPr>
      <w:r>
        <w:rPr>
          <w:rFonts w:ascii="Times New Roman"/>
          <w:i/>
        </w:rPr>
        <w:t>start-date</w:t>
      </w:r>
      <w:r>
        <w:rPr/>
        <w:t>, excluding the specified holidays.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start-date </w:t>
      </w:r>
      <w:r>
        <w:rPr>
          <w:sz w:val="22"/>
        </w:rPr>
        <w:t>is out of range for the current date system, </w:t>
      </w:r>
      <w:r>
        <w:rPr>
          <w:rFonts w:ascii="Consolas" w:hAnsi="Consolas"/>
          <w:sz w:val="22"/>
        </w:rPr>
        <w:t>#NUM!</w:t>
      </w:r>
      <w:r>
        <w:rPr>
          <w:rFonts w:ascii="Consolas" w:hAnsi="Consolas"/>
          <w:spacing w:val="-87"/>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sz w:val="22"/>
        </w:rPr>
        <w:t>Any date in </w:t>
      </w:r>
      <w:r>
        <w:rPr>
          <w:rFonts w:ascii="Times New Roman" w:hAnsi="Times New Roman"/>
          <w:i/>
          <w:sz w:val="22"/>
        </w:rPr>
        <w:t>holidays </w:t>
      </w:r>
      <w:r>
        <w:rPr>
          <w:sz w:val="22"/>
        </w:rPr>
        <w:t>is out of range for the current date system, </w:t>
      </w:r>
      <w:r>
        <w:rPr>
          <w:rFonts w:ascii="Consolas" w:hAnsi="Consolas"/>
          <w:sz w:val="22"/>
        </w:rPr>
        <w:t>#NUM!</w:t>
      </w:r>
      <w:r>
        <w:rPr>
          <w:rFonts w:ascii="Consolas" w:hAnsi="Consolas"/>
          <w:spacing w:val="-89"/>
          <w:sz w:val="22"/>
        </w:rPr>
        <w:t> </w:t>
      </w:r>
      <w:r>
        <w:rPr>
          <w:sz w:val="22"/>
        </w:rPr>
        <w:t>is returned.</w:t>
      </w:r>
    </w:p>
    <w:p>
      <w:pPr>
        <w:spacing w:after="0" w:line="240" w:lineRule="auto"/>
        <w:jc w:val="left"/>
        <w:rPr>
          <w:sz w:val="22"/>
        </w:rPr>
        <w:sectPr>
          <w:pgSz w:w="12240" w:h="15840"/>
          <w:pgMar w:header="763" w:footer="746" w:top="1340" w:bottom="940" w:left="860" w:right="700"/>
        </w:sectPr>
      </w:pPr>
    </w:p>
    <w:p>
      <w:pPr>
        <w:pStyle w:val="ListParagraph"/>
        <w:numPr>
          <w:ilvl w:val="4"/>
          <w:numId w:val="66"/>
        </w:numPr>
        <w:tabs>
          <w:tab w:pos="940" w:val="left" w:leader="none"/>
          <w:tab w:pos="941" w:val="left" w:leader="none"/>
        </w:tabs>
        <w:spacing w:line="446" w:lineRule="auto" w:before="91" w:after="0"/>
        <w:ind w:left="220" w:right="3832" w:firstLine="360"/>
        <w:jc w:val="left"/>
        <w:rPr>
          <w:sz w:val="22"/>
        </w:rPr>
      </w:pPr>
      <w:r>
        <w:rPr>
          <w:rFonts w:ascii="Times New Roman" w:hAnsi="Times New Roman"/>
          <w:i/>
          <w:sz w:val="22"/>
        </w:rPr>
        <w:t>start-date </w:t>
      </w:r>
      <w:r>
        <w:rPr>
          <w:sz w:val="22"/>
        </w:rPr>
        <w:t>plus </w:t>
      </w:r>
      <w:r>
        <w:rPr>
          <w:rFonts w:ascii="Times New Roman" w:hAnsi="Times New Roman"/>
          <w:i/>
          <w:sz w:val="22"/>
        </w:rPr>
        <w:t>day-offset </w:t>
      </w:r>
      <w:r>
        <w:rPr>
          <w:sz w:val="22"/>
        </w:rPr>
        <w:t>does not yield a date, </w:t>
      </w:r>
      <w:r>
        <w:rPr>
          <w:rFonts w:ascii="Consolas" w:hAnsi="Consolas"/>
          <w:sz w:val="22"/>
        </w:rPr>
        <w:t>#NUM!</w:t>
      </w:r>
      <w:r>
        <w:rPr>
          <w:rFonts w:ascii="Consolas" w:hAnsi="Consolas"/>
          <w:spacing w:val="-95"/>
          <w:sz w:val="22"/>
        </w:rPr>
        <w:t> </w:t>
      </w:r>
      <w:r>
        <w:rPr>
          <w:sz w:val="22"/>
        </w:rPr>
        <w:t>is returned. [</w:t>
      </w:r>
      <w:r>
        <w:rPr>
          <w:i/>
          <w:sz w:val="22"/>
        </w:rPr>
        <w:t>Example</w:t>
      </w:r>
      <w:r>
        <w:rPr>
          <w:sz w:val="22"/>
        </w:rPr>
        <w:t>:</w:t>
      </w:r>
    </w:p>
    <w:p>
      <w:pPr>
        <w:pStyle w:val="BodyText"/>
        <w:spacing w:line="276" w:lineRule="auto" w:before="126"/>
        <w:ind w:left="220" w:right="468"/>
      </w:pPr>
      <w:r>
        <w:rPr>
          <w:rFonts w:ascii="Consolas"/>
        </w:rPr>
        <w:t>WORKDAY(DATE(2006,1,1),0) </w:t>
      </w:r>
      <w:r>
        <w:rPr/>
        <w:t>results in a serial date-time corresponding to 1-Jan-2006 </w:t>
      </w:r>
      <w:r>
        <w:rPr>
          <w:rFonts w:ascii="Consolas"/>
        </w:rPr>
        <w:t>WORKDAY(DATE(2006,1,1),10) </w:t>
      </w:r>
      <w:r>
        <w:rPr/>
        <w:t>results in a serial date-time corresponding to 13-Jan-2006 </w:t>
      </w:r>
      <w:r>
        <w:rPr>
          <w:rFonts w:ascii="Consolas"/>
        </w:rPr>
        <w:t>WORKDAY(DATE(2006,1,1),-10) </w:t>
      </w:r>
      <w:r>
        <w:rPr/>
        <w:t>results in a serial date-time corresponding to 19-Dec-2005 </w:t>
      </w:r>
      <w:r>
        <w:rPr>
          <w:rFonts w:ascii="Consolas"/>
        </w:rPr>
        <w:t>WORKDAY(DATE(2006,1,1),20,{"2006/1/2","2006/1/16"})</w:t>
      </w:r>
      <w:r>
        <w:rPr>
          <w:rFonts w:ascii="Consolas"/>
          <w:spacing w:val="-70"/>
        </w:rPr>
        <w:t> </w:t>
      </w:r>
      <w:r>
        <w:rPr/>
        <w:t>results in a serial date-time corresponding to 31-Jan-2006</w:t>
      </w:r>
    </w:p>
    <w:p>
      <w:pPr>
        <w:pStyle w:val="BodyText"/>
        <w:spacing w:before="5"/>
        <w:rPr>
          <w:sz w:val="25"/>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8 WORKDAY.INTL" w:id="2438"/>
      <w:bookmarkEnd w:id="2438"/>
      <w:r>
        <w:rPr/>
      </w:r>
      <w:bookmarkStart w:name="_bookmark813" w:id="2439"/>
      <w:bookmarkEnd w:id="2439"/>
      <w:r>
        <w:rPr/>
      </w:r>
      <w:bookmarkStart w:name="_bookmark813" w:id="2440"/>
      <w:bookmarkEnd w:id="2440"/>
      <w:r>
        <w:rPr>
          <w:color w:val="4F81BC"/>
        </w:rPr>
        <w:t>W</w:t>
      </w:r>
      <w:r>
        <w:rPr>
          <w:color w:val="4F81BC"/>
        </w:rPr>
        <w:t>ORKDAY.INTL</w:t>
      </w:r>
    </w:p>
    <w:p>
      <w:pPr>
        <w:pStyle w:val="Heading4"/>
        <w:spacing w:before="125"/>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i/>
          <w:sz w:val="22"/>
        </w:rPr>
        <w:t>Number form: </w:t>
      </w:r>
      <w:r>
        <w:rPr>
          <w:rFonts w:ascii="Lucida Console"/>
          <w:sz w:val="20"/>
        </w:rPr>
        <w:t>WORKDAY.INTL ( </w:t>
      </w:r>
      <w:r>
        <w:rPr>
          <w:i/>
          <w:sz w:val="22"/>
        </w:rPr>
        <w:t>start-date </w:t>
      </w:r>
      <w:r>
        <w:rPr>
          <w:rFonts w:ascii="Lucida Console"/>
          <w:sz w:val="20"/>
        </w:rPr>
        <w:t>, </w:t>
      </w:r>
      <w:r>
        <w:rPr>
          <w:i/>
          <w:sz w:val="22"/>
        </w:rPr>
        <w:t>day-offset </w:t>
      </w:r>
      <w:r>
        <w:rPr>
          <w:sz w:val="22"/>
        </w:rPr>
        <w:t>[ </w:t>
      </w:r>
      <w:r>
        <w:rPr>
          <w:i/>
          <w:sz w:val="22"/>
        </w:rPr>
        <w:t>,</w:t>
      </w:r>
      <w:r>
        <w:rPr>
          <w:sz w:val="22"/>
        </w:rPr>
        <w:t>[ </w:t>
      </w:r>
      <w:r>
        <w:rPr>
          <w:i/>
          <w:sz w:val="22"/>
        </w:rPr>
        <w:t>weekend-number </w:t>
      </w:r>
      <w:r>
        <w:rPr>
          <w:sz w:val="22"/>
        </w:rPr>
        <w:t>] [ </w:t>
      </w:r>
      <w:r>
        <w:rPr>
          <w:rFonts w:ascii="Lucida Console"/>
          <w:sz w:val="20"/>
        </w:rPr>
        <w:t>, </w:t>
      </w:r>
      <w:r>
        <w:rPr>
          <w:i/>
          <w:sz w:val="22"/>
        </w:rPr>
        <w:t>holidays </w:t>
      </w:r>
      <w:r>
        <w:rPr>
          <w:sz w:val="22"/>
        </w:rPr>
        <w:t>]] </w:t>
      </w:r>
      <w:r>
        <w:rPr>
          <w:rFonts w:ascii="Lucida Console"/>
          <w:sz w:val="20"/>
        </w:rPr>
        <w:t>)</w:t>
      </w:r>
    </w:p>
    <w:p>
      <w:pPr>
        <w:spacing w:before="101"/>
        <w:ind w:left="940" w:right="0" w:firstLine="0"/>
        <w:jc w:val="left"/>
        <w:rPr>
          <w:rFonts w:ascii="Lucida Console"/>
          <w:sz w:val="20"/>
        </w:rPr>
      </w:pPr>
      <w:r>
        <w:rPr>
          <w:i/>
          <w:sz w:val="22"/>
        </w:rPr>
        <w:t>String form: </w:t>
      </w:r>
      <w:r>
        <w:rPr>
          <w:rFonts w:ascii="Lucida Console"/>
          <w:sz w:val="20"/>
        </w:rPr>
        <w:t>WORKDAY.INTL ( </w:t>
      </w:r>
      <w:r>
        <w:rPr>
          <w:i/>
          <w:sz w:val="22"/>
        </w:rPr>
        <w:t>start-date </w:t>
      </w:r>
      <w:r>
        <w:rPr>
          <w:rFonts w:ascii="Lucida Console"/>
          <w:sz w:val="20"/>
        </w:rPr>
        <w:t>, </w:t>
      </w:r>
      <w:r>
        <w:rPr>
          <w:i/>
          <w:sz w:val="22"/>
        </w:rPr>
        <w:t>day-offset </w:t>
      </w:r>
      <w:r>
        <w:rPr>
          <w:sz w:val="22"/>
        </w:rPr>
        <w:t>[ </w:t>
      </w:r>
      <w:r>
        <w:rPr>
          <w:i/>
          <w:sz w:val="22"/>
        </w:rPr>
        <w:t>, </w:t>
      </w:r>
      <w:r>
        <w:rPr>
          <w:sz w:val="22"/>
        </w:rPr>
        <w:t>[ </w:t>
      </w:r>
      <w:r>
        <w:rPr>
          <w:i/>
          <w:sz w:val="22"/>
        </w:rPr>
        <w:t>weekend-string </w:t>
      </w:r>
      <w:r>
        <w:rPr>
          <w:sz w:val="22"/>
        </w:rPr>
        <w:t>] [ </w:t>
      </w:r>
      <w:r>
        <w:rPr>
          <w:rFonts w:ascii="Lucida Console"/>
          <w:sz w:val="20"/>
        </w:rPr>
        <w:t>,</w:t>
      </w:r>
      <w:r>
        <w:rPr>
          <w:rFonts w:ascii="Lucida Console"/>
          <w:spacing w:val="-82"/>
          <w:sz w:val="20"/>
        </w:rPr>
        <w:t> </w:t>
      </w:r>
      <w:r>
        <w:rPr>
          <w:i/>
          <w:sz w:val="22"/>
        </w:rPr>
        <w:t>holidays </w:t>
      </w:r>
      <w:r>
        <w:rPr>
          <w:sz w:val="22"/>
        </w:rPr>
        <w:t>]] </w:t>
      </w:r>
      <w:r>
        <w:rPr>
          <w:rFonts w:ascii="Lucida Console"/>
          <w:sz w:val="20"/>
        </w:rPr>
        <w:t>)</w:t>
      </w:r>
    </w:p>
    <w:p>
      <w:pPr>
        <w:spacing w:line="278" w:lineRule="auto" w:before="106"/>
        <w:ind w:left="220" w:right="763" w:firstLine="0"/>
        <w:jc w:val="left"/>
        <w:rPr>
          <w:sz w:val="22"/>
        </w:rPr>
      </w:pPr>
      <w:r>
        <w:rPr>
          <w:b/>
          <w:sz w:val="22"/>
        </w:rPr>
        <w:t>Description: </w:t>
      </w:r>
      <w:r>
        <w:rPr>
          <w:sz w:val="22"/>
        </w:rPr>
        <w:t>Computes the serial date-time of the date that is </w:t>
      </w:r>
      <w:r>
        <w:rPr>
          <w:rFonts w:ascii="Times New Roman"/>
          <w:i/>
          <w:sz w:val="22"/>
        </w:rPr>
        <w:t>day-offset </w:t>
      </w:r>
      <w:r>
        <w:rPr>
          <w:sz w:val="22"/>
        </w:rPr>
        <w:t>working days offset from </w:t>
      </w:r>
      <w:r>
        <w:rPr>
          <w:rFonts w:ascii="Times New Roman"/>
          <w:i/>
          <w:sz w:val="22"/>
        </w:rPr>
        <w:t>start-date</w:t>
      </w:r>
      <w:r>
        <w:rPr>
          <w:sz w:val="22"/>
        </w:rPr>
        <w:t>. Weekend days and any holidays specified by </w:t>
      </w:r>
      <w:r>
        <w:rPr>
          <w:rFonts w:ascii="Times New Roman"/>
          <w:i/>
          <w:sz w:val="22"/>
        </w:rPr>
        <w:t>holidays </w:t>
      </w:r>
      <w:r>
        <w:rPr>
          <w:sz w:val="22"/>
        </w:rPr>
        <w:t>are not considered as working days.</w:t>
      </w:r>
    </w:p>
    <w:p>
      <w:pPr>
        <w:pStyle w:val="Heading4"/>
        <w:spacing w:before="197"/>
      </w:pPr>
      <w:r>
        <w:rPr/>
        <w:t>Arguments:</w:t>
      </w:r>
    </w:p>
    <w:p>
      <w:pPr>
        <w:pStyle w:val="BodyText"/>
        <w:spacing w:before="9"/>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2"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9"/>
              <w:rPr>
                <w:rFonts w:ascii="Times New Roman"/>
                <w:i/>
                <w:sz w:val="22"/>
              </w:rPr>
            </w:pPr>
            <w:r>
              <w:rPr>
                <w:rFonts w:ascii="Times New Roman"/>
                <w:i/>
                <w:sz w:val="22"/>
              </w:rPr>
              <w:t>start-date</w:t>
            </w:r>
          </w:p>
        </w:tc>
        <w:tc>
          <w:tcPr>
            <w:tcW w:w="1800" w:type="dxa"/>
          </w:tcPr>
          <w:p>
            <w:pPr>
              <w:pStyle w:val="TableParagraph"/>
              <w:spacing w:before="42"/>
              <w:ind w:left="112"/>
              <w:rPr>
                <w:sz w:val="22"/>
              </w:rPr>
            </w:pPr>
            <w:r>
              <w:rPr>
                <w:sz w:val="22"/>
              </w:rPr>
              <w:t>number</w:t>
            </w:r>
          </w:p>
        </w:tc>
        <w:tc>
          <w:tcPr>
            <w:tcW w:w="5400" w:type="dxa"/>
          </w:tcPr>
          <w:p>
            <w:pPr>
              <w:pStyle w:val="TableParagraph"/>
              <w:spacing w:before="42"/>
              <w:ind w:left="113"/>
              <w:rPr>
                <w:sz w:val="22"/>
              </w:rPr>
            </w:pPr>
            <w:r>
              <w:rPr>
                <w:sz w:val="22"/>
              </w:rPr>
              <w:t>The start date, truncated to integer.</w:t>
            </w:r>
          </w:p>
        </w:tc>
      </w:tr>
      <w:tr>
        <w:trPr>
          <w:trHeight w:val="1161" w:hRule="atLeast"/>
        </w:trPr>
        <w:tc>
          <w:tcPr>
            <w:tcW w:w="1466" w:type="dxa"/>
          </w:tcPr>
          <w:p>
            <w:pPr>
              <w:pStyle w:val="TableParagraph"/>
              <w:spacing w:before="37"/>
              <w:rPr>
                <w:rFonts w:ascii="Times New Roman"/>
                <w:i/>
                <w:sz w:val="22"/>
              </w:rPr>
            </w:pPr>
            <w:r>
              <w:rPr>
                <w:rFonts w:ascii="Times New Roman"/>
                <w:i/>
                <w:sz w:val="22"/>
              </w:rPr>
              <w:t>day-offset</w:t>
            </w:r>
          </w:p>
        </w:tc>
        <w:tc>
          <w:tcPr>
            <w:tcW w:w="1800" w:type="dxa"/>
          </w:tcPr>
          <w:p>
            <w:pPr>
              <w:pStyle w:val="TableParagraph"/>
              <w:ind w:left="112"/>
              <w:rPr>
                <w:sz w:val="22"/>
              </w:rPr>
            </w:pPr>
            <w:r>
              <w:rPr>
                <w:sz w:val="22"/>
              </w:rPr>
              <w:t>number</w:t>
            </w:r>
          </w:p>
        </w:tc>
        <w:tc>
          <w:tcPr>
            <w:tcW w:w="5400" w:type="dxa"/>
          </w:tcPr>
          <w:p>
            <w:pPr>
              <w:pStyle w:val="TableParagraph"/>
              <w:ind w:left="113" w:right="125"/>
              <w:rPr>
                <w:sz w:val="22"/>
              </w:rPr>
            </w:pPr>
            <w:r>
              <w:rPr>
                <w:sz w:val="22"/>
              </w:rPr>
              <w:t>The number of working days before or after </w:t>
            </w:r>
            <w:r>
              <w:rPr>
                <w:rFonts w:ascii="Times New Roman"/>
                <w:i/>
                <w:sz w:val="22"/>
              </w:rPr>
              <w:t>start-date</w:t>
            </w:r>
            <w:r>
              <w:rPr>
                <w:sz w:val="22"/>
              </w:rPr>
              <w:t>. A positive value yields a future date; a negative value yields a past date; a zero value yields the date </w:t>
            </w:r>
            <w:r>
              <w:rPr>
                <w:rFonts w:ascii="Times New Roman"/>
                <w:i/>
                <w:sz w:val="22"/>
              </w:rPr>
              <w:t>start-date</w:t>
            </w:r>
            <w:r>
              <w:rPr>
                <w:sz w:val="22"/>
              </w:rPr>
              <w:t>. </w:t>
            </w:r>
            <w:r>
              <w:rPr>
                <w:rFonts w:ascii="Times New Roman"/>
                <w:i/>
                <w:sz w:val="22"/>
              </w:rPr>
              <w:t>day- </w:t>
            </w:r>
            <w:r>
              <w:rPr>
                <w:rFonts w:ascii="Times New Roman"/>
                <w:i/>
                <w:sz w:val="22"/>
              </w:rPr>
              <w:t>offset </w:t>
            </w:r>
            <w:r>
              <w:rPr>
                <w:sz w:val="22"/>
              </w:rPr>
              <w:t>is truncated to an integer.</w:t>
            </w:r>
          </w:p>
        </w:tc>
      </w:tr>
      <w:tr>
        <w:trPr>
          <w:trHeight w:val="892" w:hRule="atLeast"/>
        </w:trPr>
        <w:tc>
          <w:tcPr>
            <w:tcW w:w="1466" w:type="dxa"/>
          </w:tcPr>
          <w:p>
            <w:pPr>
              <w:pStyle w:val="TableParagraph"/>
              <w:spacing w:before="37"/>
              <w:ind w:right="490"/>
              <w:rPr>
                <w:rFonts w:ascii="Times New Roman"/>
                <w:i/>
                <w:sz w:val="22"/>
              </w:rPr>
            </w:pPr>
            <w:r>
              <w:rPr>
                <w:rFonts w:ascii="Times New Roman"/>
                <w:i/>
                <w:sz w:val="22"/>
              </w:rPr>
              <w:t>weekend- </w:t>
            </w:r>
            <w:r>
              <w:rPr>
                <w:rFonts w:ascii="Times New Roman"/>
                <w:i/>
                <w:sz w:val="22"/>
              </w:rPr>
              <w:t>number</w:t>
            </w:r>
          </w:p>
        </w:tc>
        <w:tc>
          <w:tcPr>
            <w:tcW w:w="1800" w:type="dxa"/>
          </w:tcPr>
          <w:p>
            <w:pPr>
              <w:pStyle w:val="TableParagraph"/>
              <w:ind w:left="112"/>
              <w:rPr>
                <w:sz w:val="22"/>
              </w:rPr>
            </w:pPr>
            <w:r>
              <w:rPr>
                <w:sz w:val="22"/>
              </w:rPr>
              <w:t>number</w:t>
            </w:r>
          </w:p>
        </w:tc>
        <w:tc>
          <w:tcPr>
            <w:tcW w:w="5400" w:type="dxa"/>
          </w:tcPr>
          <w:p>
            <w:pPr>
              <w:pStyle w:val="TableParagraph"/>
              <w:ind w:left="113" w:right="282"/>
              <w:rPr>
                <w:sz w:val="22"/>
              </w:rPr>
            </w:pPr>
            <w:r>
              <w:rPr>
                <w:sz w:val="22"/>
              </w:rPr>
              <w:t>Indicates the days of the week that are weekend days and are not considered working days. Values are shown in the table below</w:t>
            </w:r>
          </w:p>
        </w:tc>
      </w:tr>
      <w:tr>
        <w:trPr>
          <w:trHeight w:val="2234" w:hRule="atLeast"/>
        </w:trPr>
        <w:tc>
          <w:tcPr>
            <w:tcW w:w="1466" w:type="dxa"/>
          </w:tcPr>
          <w:p>
            <w:pPr>
              <w:pStyle w:val="TableParagraph"/>
              <w:spacing w:before="37"/>
              <w:ind w:right="490"/>
              <w:rPr>
                <w:rFonts w:ascii="Times New Roman"/>
                <w:i/>
                <w:sz w:val="22"/>
              </w:rPr>
            </w:pPr>
            <w:r>
              <w:rPr>
                <w:rFonts w:ascii="Times New Roman"/>
                <w:i/>
                <w:sz w:val="22"/>
              </w:rPr>
              <w:t>weekend- </w:t>
            </w:r>
            <w:r>
              <w:rPr>
                <w:rFonts w:ascii="Times New Roman"/>
                <w:i/>
                <w:sz w:val="22"/>
              </w:rPr>
              <w:t>string</w:t>
            </w:r>
          </w:p>
        </w:tc>
        <w:tc>
          <w:tcPr>
            <w:tcW w:w="1800" w:type="dxa"/>
          </w:tcPr>
          <w:p>
            <w:pPr>
              <w:pStyle w:val="TableParagraph"/>
              <w:ind w:left="112"/>
              <w:rPr>
                <w:sz w:val="22"/>
              </w:rPr>
            </w:pPr>
            <w:r>
              <w:rPr>
                <w:sz w:val="22"/>
              </w:rPr>
              <w:t>string</w:t>
            </w:r>
          </w:p>
        </w:tc>
        <w:tc>
          <w:tcPr>
            <w:tcW w:w="5400" w:type="dxa"/>
          </w:tcPr>
          <w:p>
            <w:pPr>
              <w:pStyle w:val="TableParagraph"/>
              <w:ind w:left="113" w:right="457"/>
              <w:rPr>
                <w:sz w:val="22"/>
              </w:rPr>
            </w:pPr>
            <w:r>
              <w:rPr>
                <w:sz w:val="22"/>
              </w:rPr>
              <w:t>Indicates the days of the week that are weekend days and are not considered working days.</w:t>
            </w:r>
          </w:p>
          <w:p>
            <w:pPr>
              <w:pStyle w:val="TableParagraph"/>
              <w:spacing w:before="10"/>
              <w:ind w:left="0"/>
              <w:rPr>
                <w:b/>
                <w:sz w:val="21"/>
              </w:rPr>
            </w:pPr>
          </w:p>
          <w:p>
            <w:pPr>
              <w:pStyle w:val="TableParagraph"/>
              <w:spacing w:before="0"/>
              <w:ind w:left="113" w:right="118"/>
              <w:rPr>
                <w:sz w:val="22"/>
              </w:rPr>
            </w:pPr>
            <w:r>
              <w:rPr>
                <w:sz w:val="22"/>
              </w:rPr>
              <w:t>Values of </w:t>
            </w:r>
            <w:r>
              <w:rPr>
                <w:rFonts w:ascii="Times New Roman" w:hAnsi="Times New Roman"/>
                <w:i/>
                <w:sz w:val="22"/>
              </w:rPr>
              <w:t>weekend-string </w:t>
            </w:r>
            <w:r>
              <w:rPr>
                <w:sz w:val="22"/>
              </w:rPr>
              <w:t>are seven characters long and each character in the string represents a day of the week, beginning with Monday. [</w:t>
            </w:r>
            <w:r>
              <w:rPr>
                <w:i/>
                <w:sz w:val="22"/>
              </w:rPr>
              <w:t>Example</w:t>
            </w:r>
            <w:r>
              <w:rPr>
                <w:sz w:val="22"/>
              </w:rPr>
              <w:t>: “0000011” would result in a weekend that is Saturday and Sunday. </w:t>
            </w:r>
            <w:r>
              <w:rPr>
                <w:i/>
                <w:sz w:val="22"/>
              </w:rPr>
              <w:t>end </w:t>
            </w:r>
            <w:r>
              <w:rPr>
                <w:i/>
                <w:sz w:val="22"/>
              </w:rPr>
              <w:t>example</w:t>
            </w:r>
            <w:r>
              <w:rPr>
                <w:sz w:val="22"/>
              </w:rPr>
              <w:t>]</w:t>
            </w:r>
          </w:p>
        </w:tc>
      </w:tr>
      <w:tr>
        <w:trPr>
          <w:trHeight w:val="1161" w:hRule="atLeast"/>
        </w:trPr>
        <w:tc>
          <w:tcPr>
            <w:tcW w:w="1466" w:type="dxa"/>
          </w:tcPr>
          <w:p>
            <w:pPr>
              <w:pStyle w:val="TableParagraph"/>
              <w:spacing w:before="37"/>
              <w:rPr>
                <w:rFonts w:ascii="Times New Roman"/>
                <w:i/>
                <w:sz w:val="22"/>
              </w:rPr>
            </w:pPr>
            <w:r>
              <w:rPr>
                <w:rFonts w:ascii="Times New Roman"/>
                <w:i/>
                <w:sz w:val="22"/>
              </w:rPr>
              <w:t>holidays</w:t>
            </w:r>
          </w:p>
        </w:tc>
        <w:tc>
          <w:tcPr>
            <w:tcW w:w="1800" w:type="dxa"/>
          </w:tcPr>
          <w:p>
            <w:pPr>
              <w:pStyle w:val="TableParagraph"/>
              <w:ind w:left="112"/>
              <w:rPr>
                <w:sz w:val="22"/>
              </w:rPr>
            </w:pPr>
            <w:r>
              <w:rPr>
                <w:sz w:val="22"/>
              </w:rPr>
              <w:t>reference, array</w:t>
            </w:r>
          </w:p>
        </w:tc>
        <w:tc>
          <w:tcPr>
            <w:tcW w:w="5400" w:type="dxa"/>
          </w:tcPr>
          <w:p>
            <w:pPr>
              <w:pStyle w:val="TableParagraph"/>
              <w:ind w:left="113" w:right="248"/>
              <w:rPr>
                <w:sz w:val="22"/>
              </w:rPr>
            </w:pPr>
            <w:r>
              <w:rPr>
                <w:sz w:val="22"/>
              </w:rPr>
              <w:t>An optional set of one or more dates that are to be excluded from the working day calendar. </w:t>
            </w:r>
            <w:r>
              <w:rPr>
                <w:rFonts w:ascii="Times New Roman"/>
                <w:i/>
                <w:sz w:val="22"/>
              </w:rPr>
              <w:t>holidays </w:t>
            </w:r>
            <w:r>
              <w:rPr>
                <w:sz w:val="22"/>
              </w:rPr>
              <w:t>shall be a range of cells that contain the dates, or an array constant of the serial date-times that represent those</w:t>
            </w:r>
          </w:p>
        </w:tc>
      </w:tr>
    </w:tbl>
    <w:p>
      <w:pPr>
        <w:spacing w:after="0"/>
        <w:rPr>
          <w:sz w:val="22"/>
        </w:rPr>
        <w:sectPr>
          <w:pgSz w:w="12240" w:h="15840"/>
          <w:pgMar w:header="761" w:footer="746" w:top="1340" w:bottom="940" w:left="860" w:right="700"/>
        </w:sectPr>
      </w:pPr>
    </w:p>
    <w:p>
      <w:pPr>
        <w:pStyle w:val="BodyText"/>
        <w:spacing w:before="4"/>
        <w:rPr>
          <w:b/>
          <w:sz w:val="12"/>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623"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sz w:val="22"/>
              </w:rPr>
            </w:pPr>
            <w:r>
              <w:rPr>
                <w:sz w:val="22"/>
              </w:rPr>
              <w:t>dates. The ordering of dates or serial date-times in</w:t>
            </w:r>
          </w:p>
          <w:p>
            <w:pPr>
              <w:pStyle w:val="TableParagraph"/>
              <w:spacing w:before="0"/>
              <w:ind w:left="113"/>
              <w:rPr>
                <w:sz w:val="22"/>
              </w:rPr>
            </w:pPr>
            <w:r>
              <w:rPr>
                <w:rFonts w:ascii="Times New Roman"/>
                <w:i/>
                <w:sz w:val="22"/>
              </w:rPr>
              <w:t>holidays </w:t>
            </w:r>
            <w:r>
              <w:rPr>
                <w:sz w:val="22"/>
              </w:rPr>
              <w:t>can be arbitrary.</w:t>
            </w:r>
          </w:p>
        </w:tc>
      </w:tr>
    </w:tbl>
    <w:p>
      <w:pPr>
        <w:pStyle w:val="BodyText"/>
        <w:rPr>
          <w:b/>
          <w:sz w:val="20"/>
        </w:rPr>
      </w:pPr>
    </w:p>
    <w:p>
      <w:pPr>
        <w:pStyle w:val="BodyText"/>
        <w:spacing w:before="8"/>
        <w:rPr>
          <w:b/>
          <w:sz w:val="21"/>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6"/>
        <w:gridCol w:w="2609"/>
      </w:tblGrid>
      <w:tr>
        <w:trPr>
          <w:trHeight w:val="354" w:hRule="atLeast"/>
        </w:trPr>
        <w:tc>
          <w:tcPr>
            <w:tcW w:w="2006" w:type="dxa"/>
            <w:shd w:val="clear" w:color="auto" w:fill="C0C0C0"/>
          </w:tcPr>
          <w:p>
            <w:pPr>
              <w:pStyle w:val="TableParagraph"/>
              <w:spacing w:before="41"/>
              <w:ind w:left="220"/>
              <w:rPr>
                <w:rFonts w:ascii="Times New Roman"/>
                <w:b/>
                <w:i/>
                <w:sz w:val="22"/>
              </w:rPr>
            </w:pPr>
            <w:r>
              <w:rPr>
                <w:rFonts w:ascii="Times New Roman"/>
                <w:b/>
                <w:i/>
                <w:sz w:val="22"/>
              </w:rPr>
              <w:t>weekend-number</w:t>
            </w:r>
          </w:p>
        </w:tc>
        <w:tc>
          <w:tcPr>
            <w:tcW w:w="2609" w:type="dxa"/>
            <w:shd w:val="clear" w:color="auto" w:fill="C0C0C0"/>
          </w:tcPr>
          <w:p>
            <w:pPr>
              <w:pStyle w:val="TableParagraph"/>
              <w:ind w:left="631"/>
              <w:rPr>
                <w:b/>
                <w:sz w:val="22"/>
              </w:rPr>
            </w:pPr>
            <w:r>
              <w:rPr>
                <w:b/>
                <w:sz w:val="22"/>
              </w:rPr>
              <w:t>Weekend days</w:t>
            </w:r>
          </w:p>
        </w:tc>
      </w:tr>
      <w:tr>
        <w:trPr>
          <w:trHeight w:val="354" w:hRule="atLeast"/>
        </w:trPr>
        <w:tc>
          <w:tcPr>
            <w:tcW w:w="2006" w:type="dxa"/>
          </w:tcPr>
          <w:p>
            <w:pPr>
              <w:pStyle w:val="TableParagraph"/>
              <w:rPr>
                <w:sz w:val="22"/>
              </w:rPr>
            </w:pPr>
            <w:r>
              <w:rPr>
                <w:sz w:val="22"/>
              </w:rPr>
              <w:t>1 or omitted</w:t>
            </w:r>
          </w:p>
        </w:tc>
        <w:tc>
          <w:tcPr>
            <w:tcW w:w="2609" w:type="dxa"/>
          </w:tcPr>
          <w:p>
            <w:pPr>
              <w:pStyle w:val="TableParagraph"/>
              <w:ind w:left="112"/>
              <w:rPr>
                <w:sz w:val="22"/>
              </w:rPr>
            </w:pPr>
            <w:r>
              <w:rPr>
                <w:sz w:val="22"/>
              </w:rPr>
              <w:t>Saturday, Sunday</w:t>
            </w:r>
          </w:p>
        </w:tc>
      </w:tr>
      <w:tr>
        <w:trPr>
          <w:trHeight w:val="352" w:hRule="atLeast"/>
        </w:trPr>
        <w:tc>
          <w:tcPr>
            <w:tcW w:w="2006" w:type="dxa"/>
          </w:tcPr>
          <w:p>
            <w:pPr>
              <w:pStyle w:val="TableParagraph"/>
              <w:rPr>
                <w:sz w:val="22"/>
              </w:rPr>
            </w:pPr>
            <w:r>
              <w:rPr>
                <w:w w:val="100"/>
                <w:sz w:val="22"/>
              </w:rPr>
              <w:t>2</w:t>
            </w:r>
          </w:p>
        </w:tc>
        <w:tc>
          <w:tcPr>
            <w:tcW w:w="2609" w:type="dxa"/>
          </w:tcPr>
          <w:p>
            <w:pPr>
              <w:pStyle w:val="TableParagraph"/>
              <w:ind w:left="112"/>
              <w:rPr>
                <w:sz w:val="22"/>
              </w:rPr>
            </w:pPr>
            <w:r>
              <w:rPr>
                <w:sz w:val="22"/>
              </w:rPr>
              <w:t>Sunday, Monday</w:t>
            </w:r>
          </w:p>
        </w:tc>
      </w:tr>
      <w:tr>
        <w:trPr>
          <w:trHeight w:val="354" w:hRule="atLeast"/>
        </w:trPr>
        <w:tc>
          <w:tcPr>
            <w:tcW w:w="2006" w:type="dxa"/>
          </w:tcPr>
          <w:p>
            <w:pPr>
              <w:pStyle w:val="TableParagraph"/>
              <w:spacing w:before="42"/>
              <w:rPr>
                <w:sz w:val="22"/>
              </w:rPr>
            </w:pPr>
            <w:r>
              <w:rPr>
                <w:w w:val="100"/>
                <w:sz w:val="22"/>
              </w:rPr>
              <w:t>3</w:t>
            </w:r>
          </w:p>
        </w:tc>
        <w:tc>
          <w:tcPr>
            <w:tcW w:w="2609" w:type="dxa"/>
          </w:tcPr>
          <w:p>
            <w:pPr>
              <w:pStyle w:val="TableParagraph"/>
              <w:spacing w:before="42"/>
              <w:ind w:left="112"/>
              <w:rPr>
                <w:sz w:val="22"/>
              </w:rPr>
            </w:pPr>
            <w:r>
              <w:rPr>
                <w:sz w:val="22"/>
              </w:rPr>
              <w:t>Monday, Tuesday</w:t>
            </w:r>
          </w:p>
        </w:tc>
      </w:tr>
      <w:tr>
        <w:trPr>
          <w:trHeight w:val="354" w:hRule="atLeast"/>
        </w:trPr>
        <w:tc>
          <w:tcPr>
            <w:tcW w:w="2006" w:type="dxa"/>
          </w:tcPr>
          <w:p>
            <w:pPr>
              <w:pStyle w:val="TableParagraph"/>
              <w:rPr>
                <w:sz w:val="22"/>
              </w:rPr>
            </w:pPr>
            <w:r>
              <w:rPr>
                <w:w w:val="100"/>
                <w:sz w:val="22"/>
              </w:rPr>
              <w:t>4</w:t>
            </w:r>
          </w:p>
        </w:tc>
        <w:tc>
          <w:tcPr>
            <w:tcW w:w="2609" w:type="dxa"/>
          </w:tcPr>
          <w:p>
            <w:pPr>
              <w:pStyle w:val="TableParagraph"/>
              <w:ind w:left="112"/>
              <w:rPr>
                <w:sz w:val="22"/>
              </w:rPr>
            </w:pPr>
            <w:r>
              <w:rPr>
                <w:sz w:val="22"/>
              </w:rPr>
              <w:t>Tuesday, Wednesday</w:t>
            </w:r>
          </w:p>
        </w:tc>
      </w:tr>
      <w:tr>
        <w:trPr>
          <w:trHeight w:val="354" w:hRule="atLeast"/>
        </w:trPr>
        <w:tc>
          <w:tcPr>
            <w:tcW w:w="2006" w:type="dxa"/>
          </w:tcPr>
          <w:p>
            <w:pPr>
              <w:pStyle w:val="TableParagraph"/>
              <w:rPr>
                <w:sz w:val="22"/>
              </w:rPr>
            </w:pPr>
            <w:r>
              <w:rPr>
                <w:w w:val="100"/>
                <w:sz w:val="22"/>
              </w:rPr>
              <w:t>5</w:t>
            </w:r>
          </w:p>
        </w:tc>
        <w:tc>
          <w:tcPr>
            <w:tcW w:w="2609" w:type="dxa"/>
          </w:tcPr>
          <w:p>
            <w:pPr>
              <w:pStyle w:val="TableParagraph"/>
              <w:ind w:left="112"/>
              <w:rPr>
                <w:sz w:val="22"/>
              </w:rPr>
            </w:pPr>
            <w:r>
              <w:rPr>
                <w:sz w:val="22"/>
              </w:rPr>
              <w:t>Wednesday, Thursday</w:t>
            </w:r>
          </w:p>
        </w:tc>
      </w:tr>
      <w:tr>
        <w:trPr>
          <w:trHeight w:val="355" w:hRule="atLeast"/>
        </w:trPr>
        <w:tc>
          <w:tcPr>
            <w:tcW w:w="2006" w:type="dxa"/>
          </w:tcPr>
          <w:p>
            <w:pPr>
              <w:pStyle w:val="TableParagraph"/>
              <w:rPr>
                <w:sz w:val="22"/>
              </w:rPr>
            </w:pPr>
            <w:r>
              <w:rPr>
                <w:w w:val="100"/>
                <w:sz w:val="22"/>
              </w:rPr>
              <w:t>6</w:t>
            </w:r>
          </w:p>
        </w:tc>
        <w:tc>
          <w:tcPr>
            <w:tcW w:w="2609" w:type="dxa"/>
          </w:tcPr>
          <w:p>
            <w:pPr>
              <w:pStyle w:val="TableParagraph"/>
              <w:ind w:left="112"/>
              <w:rPr>
                <w:sz w:val="22"/>
              </w:rPr>
            </w:pPr>
            <w:r>
              <w:rPr>
                <w:sz w:val="22"/>
              </w:rPr>
              <w:t>Thursday, Friday</w:t>
            </w:r>
          </w:p>
        </w:tc>
      </w:tr>
      <w:tr>
        <w:trPr>
          <w:trHeight w:val="354" w:hRule="atLeast"/>
        </w:trPr>
        <w:tc>
          <w:tcPr>
            <w:tcW w:w="2006" w:type="dxa"/>
          </w:tcPr>
          <w:p>
            <w:pPr>
              <w:pStyle w:val="TableParagraph"/>
              <w:rPr>
                <w:sz w:val="22"/>
              </w:rPr>
            </w:pPr>
            <w:r>
              <w:rPr>
                <w:w w:val="100"/>
                <w:sz w:val="22"/>
              </w:rPr>
              <w:t>7</w:t>
            </w:r>
          </w:p>
        </w:tc>
        <w:tc>
          <w:tcPr>
            <w:tcW w:w="2609" w:type="dxa"/>
          </w:tcPr>
          <w:p>
            <w:pPr>
              <w:pStyle w:val="TableParagraph"/>
              <w:ind w:left="112"/>
              <w:rPr>
                <w:sz w:val="22"/>
              </w:rPr>
            </w:pPr>
            <w:r>
              <w:rPr>
                <w:sz w:val="22"/>
              </w:rPr>
              <w:t>Friday, Saturday</w:t>
            </w:r>
          </w:p>
        </w:tc>
      </w:tr>
      <w:tr>
        <w:trPr>
          <w:trHeight w:val="354" w:hRule="atLeast"/>
        </w:trPr>
        <w:tc>
          <w:tcPr>
            <w:tcW w:w="2006" w:type="dxa"/>
          </w:tcPr>
          <w:p>
            <w:pPr>
              <w:pStyle w:val="TableParagraph"/>
              <w:rPr>
                <w:sz w:val="22"/>
              </w:rPr>
            </w:pPr>
            <w:r>
              <w:rPr>
                <w:sz w:val="22"/>
              </w:rPr>
              <w:t>11</w:t>
            </w:r>
          </w:p>
        </w:tc>
        <w:tc>
          <w:tcPr>
            <w:tcW w:w="2609" w:type="dxa"/>
          </w:tcPr>
          <w:p>
            <w:pPr>
              <w:pStyle w:val="TableParagraph"/>
              <w:ind w:left="112"/>
              <w:rPr>
                <w:sz w:val="22"/>
              </w:rPr>
            </w:pPr>
            <w:r>
              <w:rPr>
                <w:sz w:val="22"/>
              </w:rPr>
              <w:t>Sunday only</w:t>
            </w:r>
          </w:p>
        </w:tc>
      </w:tr>
      <w:tr>
        <w:trPr>
          <w:trHeight w:val="354" w:hRule="atLeast"/>
        </w:trPr>
        <w:tc>
          <w:tcPr>
            <w:tcW w:w="2006" w:type="dxa"/>
          </w:tcPr>
          <w:p>
            <w:pPr>
              <w:pStyle w:val="TableParagraph"/>
              <w:rPr>
                <w:sz w:val="22"/>
              </w:rPr>
            </w:pPr>
            <w:r>
              <w:rPr>
                <w:sz w:val="22"/>
              </w:rPr>
              <w:t>12</w:t>
            </w:r>
          </w:p>
        </w:tc>
        <w:tc>
          <w:tcPr>
            <w:tcW w:w="2609" w:type="dxa"/>
          </w:tcPr>
          <w:p>
            <w:pPr>
              <w:pStyle w:val="TableParagraph"/>
              <w:ind w:left="112"/>
              <w:rPr>
                <w:sz w:val="22"/>
              </w:rPr>
            </w:pPr>
            <w:r>
              <w:rPr>
                <w:sz w:val="22"/>
              </w:rPr>
              <w:t>Monday only</w:t>
            </w:r>
          </w:p>
        </w:tc>
      </w:tr>
      <w:tr>
        <w:trPr>
          <w:trHeight w:val="354" w:hRule="atLeast"/>
        </w:trPr>
        <w:tc>
          <w:tcPr>
            <w:tcW w:w="2006" w:type="dxa"/>
          </w:tcPr>
          <w:p>
            <w:pPr>
              <w:pStyle w:val="TableParagraph"/>
              <w:rPr>
                <w:sz w:val="22"/>
              </w:rPr>
            </w:pPr>
            <w:r>
              <w:rPr>
                <w:sz w:val="22"/>
              </w:rPr>
              <w:t>13</w:t>
            </w:r>
          </w:p>
        </w:tc>
        <w:tc>
          <w:tcPr>
            <w:tcW w:w="2609" w:type="dxa"/>
          </w:tcPr>
          <w:p>
            <w:pPr>
              <w:pStyle w:val="TableParagraph"/>
              <w:ind w:left="112"/>
              <w:rPr>
                <w:sz w:val="22"/>
              </w:rPr>
            </w:pPr>
            <w:r>
              <w:rPr>
                <w:sz w:val="22"/>
              </w:rPr>
              <w:t>Tuesday only</w:t>
            </w:r>
          </w:p>
        </w:tc>
      </w:tr>
      <w:tr>
        <w:trPr>
          <w:trHeight w:val="354" w:hRule="atLeast"/>
        </w:trPr>
        <w:tc>
          <w:tcPr>
            <w:tcW w:w="2006" w:type="dxa"/>
          </w:tcPr>
          <w:p>
            <w:pPr>
              <w:pStyle w:val="TableParagraph"/>
              <w:rPr>
                <w:sz w:val="22"/>
              </w:rPr>
            </w:pPr>
            <w:r>
              <w:rPr>
                <w:sz w:val="22"/>
              </w:rPr>
              <w:t>14</w:t>
            </w:r>
          </w:p>
        </w:tc>
        <w:tc>
          <w:tcPr>
            <w:tcW w:w="2609" w:type="dxa"/>
          </w:tcPr>
          <w:p>
            <w:pPr>
              <w:pStyle w:val="TableParagraph"/>
              <w:ind w:left="112"/>
              <w:rPr>
                <w:sz w:val="22"/>
              </w:rPr>
            </w:pPr>
            <w:r>
              <w:rPr>
                <w:sz w:val="22"/>
              </w:rPr>
              <w:t>Wednesday only</w:t>
            </w:r>
          </w:p>
        </w:tc>
      </w:tr>
      <w:tr>
        <w:trPr>
          <w:trHeight w:val="352" w:hRule="atLeast"/>
        </w:trPr>
        <w:tc>
          <w:tcPr>
            <w:tcW w:w="2006" w:type="dxa"/>
          </w:tcPr>
          <w:p>
            <w:pPr>
              <w:pStyle w:val="TableParagraph"/>
              <w:rPr>
                <w:sz w:val="22"/>
              </w:rPr>
            </w:pPr>
            <w:r>
              <w:rPr>
                <w:sz w:val="22"/>
              </w:rPr>
              <w:t>15</w:t>
            </w:r>
          </w:p>
        </w:tc>
        <w:tc>
          <w:tcPr>
            <w:tcW w:w="2609" w:type="dxa"/>
          </w:tcPr>
          <w:p>
            <w:pPr>
              <w:pStyle w:val="TableParagraph"/>
              <w:ind w:left="112"/>
              <w:rPr>
                <w:sz w:val="22"/>
              </w:rPr>
            </w:pPr>
            <w:r>
              <w:rPr>
                <w:sz w:val="22"/>
              </w:rPr>
              <w:t>Thursday only</w:t>
            </w:r>
          </w:p>
        </w:tc>
      </w:tr>
      <w:tr>
        <w:trPr>
          <w:trHeight w:val="354" w:hRule="atLeast"/>
        </w:trPr>
        <w:tc>
          <w:tcPr>
            <w:tcW w:w="2006" w:type="dxa"/>
          </w:tcPr>
          <w:p>
            <w:pPr>
              <w:pStyle w:val="TableParagraph"/>
              <w:spacing w:before="42"/>
              <w:rPr>
                <w:sz w:val="22"/>
              </w:rPr>
            </w:pPr>
            <w:r>
              <w:rPr>
                <w:sz w:val="22"/>
              </w:rPr>
              <w:t>16</w:t>
            </w:r>
          </w:p>
        </w:tc>
        <w:tc>
          <w:tcPr>
            <w:tcW w:w="2609" w:type="dxa"/>
          </w:tcPr>
          <w:p>
            <w:pPr>
              <w:pStyle w:val="TableParagraph"/>
              <w:spacing w:before="42"/>
              <w:ind w:left="112"/>
              <w:rPr>
                <w:sz w:val="22"/>
              </w:rPr>
            </w:pPr>
            <w:r>
              <w:rPr>
                <w:sz w:val="22"/>
              </w:rPr>
              <w:t>Friday only</w:t>
            </w:r>
          </w:p>
        </w:tc>
      </w:tr>
      <w:tr>
        <w:trPr>
          <w:trHeight w:val="354" w:hRule="atLeast"/>
        </w:trPr>
        <w:tc>
          <w:tcPr>
            <w:tcW w:w="2006" w:type="dxa"/>
          </w:tcPr>
          <w:p>
            <w:pPr>
              <w:pStyle w:val="TableParagraph"/>
              <w:rPr>
                <w:sz w:val="22"/>
              </w:rPr>
            </w:pPr>
            <w:r>
              <w:rPr>
                <w:sz w:val="22"/>
              </w:rPr>
              <w:t>17</w:t>
            </w:r>
          </w:p>
        </w:tc>
        <w:tc>
          <w:tcPr>
            <w:tcW w:w="2609" w:type="dxa"/>
          </w:tcPr>
          <w:p>
            <w:pPr>
              <w:pStyle w:val="TableParagraph"/>
              <w:ind w:left="112"/>
              <w:rPr>
                <w:sz w:val="22"/>
              </w:rPr>
            </w:pPr>
            <w:r>
              <w:rPr>
                <w:sz w:val="22"/>
              </w:rPr>
              <w:t>Saturday only</w:t>
            </w:r>
          </w:p>
        </w:tc>
      </w:tr>
    </w:tbl>
    <w:p>
      <w:pPr>
        <w:pStyle w:val="BodyText"/>
        <w:rPr>
          <w:b/>
          <w:sz w:val="20"/>
        </w:rPr>
      </w:pPr>
    </w:p>
    <w:p>
      <w:pPr>
        <w:pStyle w:val="BodyText"/>
        <w:spacing w:before="5"/>
        <w:rPr>
          <w:b/>
          <w:sz w:val="21"/>
        </w:rPr>
      </w:pPr>
    </w:p>
    <w:p>
      <w:pPr>
        <w:spacing w:before="0"/>
        <w:ind w:left="220" w:right="0" w:firstLine="0"/>
        <w:jc w:val="left"/>
        <w:rPr>
          <w:sz w:val="22"/>
        </w:rPr>
      </w:pPr>
      <w:r>
        <w:rPr>
          <w:b/>
          <w:sz w:val="22"/>
        </w:rPr>
        <w:t>Return Type and Value: </w:t>
      </w:r>
      <w:r>
        <w:rPr>
          <w:sz w:val="22"/>
        </w:rPr>
        <w:t>number – The serial date-time of the date that is </w:t>
      </w:r>
      <w:r>
        <w:rPr>
          <w:rFonts w:ascii="Times New Roman" w:hAnsi="Times New Roman"/>
          <w:i/>
          <w:sz w:val="22"/>
        </w:rPr>
        <w:t>day-offset </w:t>
      </w:r>
      <w:r>
        <w:rPr>
          <w:sz w:val="22"/>
        </w:rPr>
        <w:t>working days offset from</w:t>
      </w:r>
    </w:p>
    <w:p>
      <w:pPr>
        <w:pStyle w:val="BodyText"/>
        <w:spacing w:line="453" w:lineRule="auto" w:before="44"/>
        <w:ind w:left="220" w:right="4881"/>
      </w:pPr>
      <w:r>
        <w:rPr>
          <w:rFonts w:ascii="Times New Roman"/>
          <w:i/>
        </w:rPr>
        <w:t>start-date</w:t>
      </w:r>
      <w:r>
        <w:rPr/>
        <w:t>, excluding the specified weekend days and holidays.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start-date </w:t>
      </w:r>
      <w:r>
        <w:rPr>
          <w:sz w:val="22"/>
        </w:rPr>
        <w:t>is out of range for the current date system,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sz w:val="22"/>
        </w:rPr>
        <w:t>Any date in </w:t>
      </w:r>
      <w:r>
        <w:rPr>
          <w:rFonts w:ascii="Times New Roman" w:hAnsi="Times New Roman"/>
          <w:i/>
          <w:sz w:val="22"/>
        </w:rPr>
        <w:t>holidays </w:t>
      </w:r>
      <w:r>
        <w:rPr>
          <w:sz w:val="22"/>
        </w:rPr>
        <w:t>is out of range for the current date system, </w:t>
      </w:r>
      <w:r>
        <w:rPr>
          <w:rFonts w:ascii="Consolas" w:hAnsi="Consolas"/>
          <w:sz w:val="22"/>
        </w:rPr>
        <w:t>#NUM!</w:t>
      </w:r>
      <w:r>
        <w:rPr>
          <w:rFonts w:ascii="Consolas" w:hAnsi="Consolas"/>
          <w:spacing w:val="-89"/>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3830" w:firstLine="360"/>
        <w:jc w:val="left"/>
        <w:rPr>
          <w:sz w:val="22"/>
        </w:rPr>
      </w:pPr>
      <w:r>
        <w:rPr>
          <w:rFonts w:ascii="Times New Roman" w:hAnsi="Times New Roman"/>
          <w:i/>
          <w:sz w:val="22"/>
        </w:rPr>
        <w:t>start-date </w:t>
      </w:r>
      <w:r>
        <w:rPr>
          <w:sz w:val="22"/>
        </w:rPr>
        <w:t>plus </w:t>
      </w:r>
      <w:r>
        <w:rPr>
          <w:rFonts w:ascii="Times New Roman" w:hAnsi="Times New Roman"/>
          <w:i/>
          <w:sz w:val="22"/>
        </w:rPr>
        <w:t>day-offset </w:t>
      </w:r>
      <w:r>
        <w:rPr>
          <w:sz w:val="22"/>
        </w:rPr>
        <w:t>does not yield a date, </w:t>
      </w:r>
      <w:r>
        <w:rPr>
          <w:rFonts w:ascii="Consolas" w:hAnsi="Consolas"/>
          <w:sz w:val="22"/>
        </w:rPr>
        <w:t>#NUM!</w:t>
      </w:r>
      <w:r>
        <w:rPr>
          <w:rFonts w:ascii="Consolas" w:hAnsi="Consolas"/>
          <w:spacing w:val="-95"/>
          <w:sz w:val="22"/>
        </w:rPr>
        <w:t> </w:t>
      </w:r>
      <w:r>
        <w:rPr>
          <w:sz w:val="22"/>
        </w:rPr>
        <w:t>is returned. [</w:t>
      </w:r>
      <w:r>
        <w:rPr>
          <w:i/>
          <w:sz w:val="22"/>
        </w:rPr>
        <w:t>Example</w:t>
      </w:r>
      <w:r>
        <w:rPr>
          <w:sz w:val="22"/>
        </w:rPr>
        <w:t>:</w:t>
      </w:r>
    </w:p>
    <w:p>
      <w:pPr>
        <w:pStyle w:val="BodyText"/>
        <w:spacing w:line="276" w:lineRule="auto" w:before="129"/>
        <w:ind w:left="220" w:right="402"/>
      </w:pPr>
      <w:r>
        <w:rPr>
          <w:rFonts w:ascii="Consolas"/>
        </w:rPr>
        <w:t>WORKDAY.INTL(DATE(2006,1,1),0) </w:t>
      </w:r>
      <w:r>
        <w:rPr/>
        <w:t>results in a serial date-time corresponding to 1-Jan-2006 </w:t>
      </w:r>
      <w:r>
        <w:rPr>
          <w:rFonts w:ascii="Consolas"/>
        </w:rPr>
        <w:t>WORKDAY.INTL(DATE(2006,1,1),10) </w:t>
      </w:r>
      <w:r>
        <w:rPr/>
        <w:t>results in a serial date-time corresponding to 13-Jan-2006 </w:t>
      </w:r>
      <w:r>
        <w:rPr>
          <w:rFonts w:ascii="Consolas"/>
        </w:rPr>
        <w:t>WORKDAY.INTL(DATE(2006,1,1),10,7) </w:t>
      </w:r>
      <w:r>
        <w:rPr/>
        <w:t>results in a serial date-time corresponding to 13-Jan-2006 </w:t>
      </w:r>
      <w:r>
        <w:rPr>
          <w:rFonts w:ascii="Consolas"/>
        </w:rPr>
        <w:t>WORKDAY.INTL(DATE(2006,1,1),-10) </w:t>
      </w:r>
      <w:r>
        <w:rPr/>
        <w:t>results in a serial date-time corresponding to 19-Dec-2005 </w:t>
      </w:r>
      <w:r>
        <w:rPr>
          <w:rFonts w:ascii="Consolas"/>
        </w:rPr>
        <w:t>WORKDAY.INTL(DATE(2006,1,1),20,1,{"2006/1/2","2006/1/16"}) </w:t>
      </w:r>
      <w:r>
        <w:rPr/>
        <w:t>results in a serial date-time corresponding to 31-Jan-2006 </w:t>
      </w:r>
      <w:r>
        <w:rPr>
          <w:rFonts w:ascii="Consolas"/>
        </w:rPr>
        <w:t>WORKDAY.INTL(DATE(2006,1,1),20,"0000011",{"2006/1/2","2006/1/16"})</w:t>
      </w:r>
      <w:r>
        <w:rPr>
          <w:rFonts w:ascii="Consolas"/>
          <w:spacing w:val="-69"/>
        </w:rPr>
        <w:t> </w:t>
      </w:r>
      <w:r>
        <w:rPr/>
        <w:t>results in a serial date-</w:t>
      </w:r>
    </w:p>
    <w:p>
      <w:pPr>
        <w:spacing w:after="0" w:line="276" w:lineRule="auto"/>
        <w:sectPr>
          <w:pgSz w:w="12240" w:h="15840"/>
          <w:pgMar w:header="763" w:footer="746" w:top="1340" w:bottom="940" w:left="860" w:right="700"/>
        </w:sectPr>
      </w:pPr>
    </w:p>
    <w:p>
      <w:pPr>
        <w:pStyle w:val="BodyText"/>
        <w:spacing w:before="90"/>
        <w:ind w:left="220"/>
      </w:pPr>
      <w:r>
        <w:rPr/>
        <w:t>time corresponding to 31-Jan-2006</w:t>
      </w:r>
    </w:p>
    <w:p>
      <w:pPr>
        <w:pStyle w:val="BodyText"/>
        <w:spacing w:before="9"/>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49 XIRR" w:id="2441"/>
      <w:bookmarkEnd w:id="2441"/>
      <w:r>
        <w:rPr/>
      </w:r>
      <w:bookmarkStart w:name="_bookmark814" w:id="2442"/>
      <w:bookmarkEnd w:id="2442"/>
      <w:r>
        <w:rPr/>
      </w:r>
      <w:bookmarkStart w:name="_bookmark814" w:id="2443"/>
      <w:bookmarkEnd w:id="2443"/>
      <w:r>
        <w:rPr>
          <w:color w:val="4F81BC"/>
        </w:rPr>
        <w:t>X</w:t>
      </w:r>
      <w:r>
        <w:rPr>
          <w:color w:val="4F81BC"/>
        </w:rPr>
        <w:t>IRR</w:t>
      </w:r>
    </w:p>
    <w:p>
      <w:pPr>
        <w:spacing w:before="117"/>
        <w:ind w:left="940" w:right="0" w:firstLine="0"/>
        <w:jc w:val="left"/>
        <w:rPr>
          <w:rFonts w:ascii="Lucida Console"/>
          <w:sz w:val="20"/>
        </w:rPr>
      </w:pPr>
      <w:r>
        <w:rPr>
          <w:rFonts w:ascii="Lucida Console"/>
          <w:sz w:val="20"/>
        </w:rPr>
        <w:t>XIRR ( </w:t>
      </w:r>
      <w:r>
        <w:rPr>
          <w:i/>
          <w:sz w:val="22"/>
        </w:rPr>
        <w:t>values , dates </w:t>
      </w:r>
      <w:r>
        <w:rPr>
          <w:sz w:val="22"/>
        </w:rPr>
        <w:t>[ </w:t>
      </w:r>
      <w:r>
        <w:rPr>
          <w:rFonts w:ascii="Lucida Console"/>
          <w:sz w:val="20"/>
        </w:rPr>
        <w:t>,</w:t>
      </w:r>
      <w:r>
        <w:rPr>
          <w:rFonts w:ascii="Lucida Console"/>
          <w:spacing w:val="-71"/>
          <w:sz w:val="20"/>
        </w:rPr>
        <w:t> </w:t>
      </w:r>
      <w:r>
        <w:rPr>
          <w:sz w:val="22"/>
        </w:rPr>
        <w:t>[  </w:t>
      </w:r>
      <w:r>
        <w:rPr>
          <w:i/>
          <w:sz w:val="22"/>
        </w:rPr>
        <w:t>guess </w:t>
      </w:r>
      <w:r>
        <w:rPr>
          <w:sz w:val="22"/>
        </w:rPr>
        <w:t>] ]  </w:t>
      </w:r>
      <w:r>
        <w:rPr>
          <w:rFonts w:ascii="Lucida Console"/>
          <w:sz w:val="20"/>
        </w:rPr>
        <w:t>)</w:t>
      </w:r>
    </w:p>
    <w:p>
      <w:pPr>
        <w:pStyle w:val="BodyText"/>
        <w:spacing w:line="276" w:lineRule="auto" w:before="106"/>
        <w:ind w:left="220" w:right="695"/>
      </w:pPr>
      <w:r>
        <w:rPr/>
        <w:t>Description: Computes the internal rate of return for a schedule of cash flows that is not necessarily periodic. </w:t>
      </w:r>
      <w:r>
        <w:rPr>
          <w:rFonts w:ascii="Consolas"/>
        </w:rPr>
        <w:t>XIRR </w:t>
      </w:r>
      <w:r>
        <w:rPr/>
        <w:t>uses an iterative calculation technique that cycles through the calculation until the result is accurate within 0.000001 percent.</w:t>
      </w:r>
    </w:p>
    <w:p>
      <w:pPr>
        <w:pStyle w:val="BodyText"/>
        <w:spacing w:before="6"/>
        <w:rPr>
          <w:sz w:val="16"/>
        </w:rPr>
      </w:pPr>
    </w:p>
    <w:p>
      <w:pPr>
        <w:pStyle w:val="Heading4"/>
        <w:rPr>
          <w:b w:val="0"/>
        </w:rPr>
      </w:pPr>
      <w:r>
        <w:rPr/>
        <w:t>Mathematical Formula</w:t>
      </w:r>
      <w:r>
        <w:rPr>
          <w:b w:val="0"/>
        </w:rPr>
        <w:t>:</w:t>
      </w:r>
    </w:p>
    <w:p>
      <w:pPr>
        <w:pStyle w:val="BodyText"/>
        <w:spacing w:before="6"/>
        <w:rPr>
          <w:sz w:val="19"/>
        </w:rPr>
      </w:pPr>
    </w:p>
    <w:p>
      <w:pPr>
        <w:pStyle w:val="BodyText"/>
        <w:spacing w:line="278" w:lineRule="auto"/>
        <w:ind w:left="220"/>
      </w:pPr>
      <w:r>
        <w:rPr/>
        <w:t>Using a changing rate (starting with </w:t>
      </w:r>
      <w:r>
        <w:rPr>
          <w:rFonts w:ascii="Times New Roman"/>
          <w:i/>
        </w:rPr>
        <w:t>guess</w:t>
      </w:r>
      <w:r>
        <w:rPr/>
        <w:t>), </w:t>
      </w:r>
      <w:r>
        <w:rPr>
          <w:rFonts w:ascii="Consolas"/>
        </w:rPr>
        <w:t>XIRR</w:t>
      </w:r>
      <w:r>
        <w:rPr>
          <w:rFonts w:ascii="Consolas"/>
          <w:spacing w:val="-95"/>
        </w:rPr>
        <w:t> </w:t>
      </w:r>
      <w:r>
        <w:rPr/>
        <w:t>cycles through the calculation until the result is accurate within 0.000001 percent. The rate is changed until:</w:t>
      </w:r>
    </w:p>
    <w:p>
      <w:pPr>
        <w:pStyle w:val="BodyText"/>
        <w:spacing w:before="8"/>
        <w:rPr>
          <w:sz w:val="8"/>
        </w:rPr>
      </w:pPr>
    </w:p>
    <w:p>
      <w:pPr>
        <w:spacing w:after="0"/>
        <w:rPr>
          <w:sz w:val="8"/>
        </w:rPr>
        <w:sectPr>
          <w:footerReference w:type="even" r:id="rId280"/>
          <w:footerReference w:type="default" r:id="rId281"/>
          <w:pgSz w:w="12240" w:h="15840"/>
          <w:pgMar w:footer="746" w:header="761" w:top="1340" w:bottom="940" w:left="860" w:right="700"/>
          <w:pgNumType w:start="2420"/>
        </w:sectPr>
      </w:pPr>
    </w:p>
    <w:p>
      <w:pPr>
        <w:spacing w:line="143" w:lineRule="exact" w:before="73"/>
        <w:ind w:left="741" w:right="978" w:firstLine="0"/>
        <w:jc w:val="center"/>
        <w:rPr>
          <w:rFonts w:ascii="Cambria Math" w:eastAsia="Cambria Math"/>
          <w:sz w:val="16"/>
        </w:rPr>
      </w:pPr>
      <w:r>
        <w:rPr>
          <w:rFonts w:ascii="Cambria Math" w:eastAsia="Cambria Math"/>
          <w:w w:val="105"/>
          <w:sz w:val="16"/>
        </w:rPr>
        <w:t>𝑁</w:t>
      </w:r>
    </w:p>
    <w:p>
      <w:pPr>
        <w:pStyle w:val="BodyText"/>
        <w:tabs>
          <w:tab w:pos="1713" w:val="left" w:leader="none"/>
        </w:tabs>
        <w:spacing w:line="384" w:lineRule="exact"/>
        <w:ind w:left="220"/>
        <w:rPr>
          <w:rFonts w:ascii="Cambria Math" w:hAnsi="Cambria Math" w:eastAsia="Cambria Math"/>
          <w:sz w:val="16"/>
        </w:rPr>
      </w:pPr>
      <w:r>
        <w:rPr/>
        <w:pict>
          <v:line style="position:absolute;mso-position-horizontal-relative:page;mso-position-vertical-relative:paragraph;z-index:-335760384" from="93.264pt,13.627412pt" to="173.064pt,13.627412pt" stroked="true" strokeweight=".72pt" strokecolor="#000000">
            <v:stroke dashstyle="solid"/>
            <w10:wrap type="none"/>
          </v:line>
        </w:pict>
      </w:r>
      <w:r>
        <w:rPr>
          <w:rFonts w:ascii="Cambria Math" w:hAnsi="Cambria Math" w:eastAsia="Cambria Math"/>
          <w:w w:val="120"/>
        </w:rPr>
        <w:t>0</w:t>
      </w:r>
      <w:r>
        <w:rPr>
          <w:rFonts w:ascii="Cambria Math" w:hAnsi="Cambria Math" w:eastAsia="Cambria Math"/>
          <w:spacing w:val="-6"/>
          <w:w w:val="120"/>
        </w:rPr>
        <w:t> </w:t>
      </w:r>
      <w:r>
        <w:rPr>
          <w:rFonts w:ascii="Cambria Math" w:hAnsi="Cambria Math" w:eastAsia="Cambria Math"/>
          <w:w w:val="120"/>
        </w:rPr>
        <w:t>=</w:t>
      </w:r>
      <w:r>
        <w:rPr>
          <w:rFonts w:ascii="Cambria Math" w:hAnsi="Cambria Math" w:eastAsia="Cambria Math"/>
          <w:spacing w:val="37"/>
          <w:w w:val="120"/>
        </w:rPr>
        <w:t> </w:t>
      </w:r>
      <w:r>
        <w:rPr>
          <w:rFonts w:ascii="Cambria Math" w:hAnsi="Cambria Math" w:eastAsia="Cambria Math"/>
          <w:w w:val="165"/>
        </w:rPr>
        <w:t>∑</w:t>
      </w:r>
      <w:r>
        <w:rPr>
          <w:rFonts w:ascii="Cambria Math" w:hAnsi="Cambria Math" w:eastAsia="Cambria Math"/>
        </w:rPr>
        <w:tab/>
      </w:r>
      <w:r>
        <w:rPr>
          <w:rFonts w:ascii="Cambria Math" w:hAnsi="Cambria Math" w:eastAsia="Cambria Math"/>
          <w:spacing w:val="-85"/>
          <w:w w:val="120"/>
          <w:position w:val="17"/>
        </w:rPr>
        <w:t>𝑃</w:t>
      </w:r>
      <w:r>
        <w:rPr>
          <w:rFonts w:ascii="Cambria Math" w:hAnsi="Cambria Math" w:eastAsia="Cambria Math"/>
          <w:spacing w:val="-85"/>
          <w:w w:val="120"/>
          <w:position w:val="12"/>
          <w:sz w:val="16"/>
        </w:rPr>
        <w:t>𝑖</w:t>
      </w:r>
    </w:p>
    <w:p>
      <w:pPr>
        <w:pStyle w:val="BodyText"/>
        <w:rPr>
          <w:rFonts w:ascii="Cambria Math"/>
          <w:sz w:val="18"/>
        </w:rPr>
      </w:pPr>
      <w:r>
        <w:rPr/>
        <w:br w:type="column"/>
      </w:r>
      <w:r>
        <w:rPr>
          <w:rFonts w:ascii="Cambria Math"/>
          <w:sz w:val="18"/>
        </w:rPr>
      </w:r>
    </w:p>
    <w:p>
      <w:pPr>
        <w:pStyle w:val="BodyText"/>
        <w:spacing w:before="2"/>
        <w:rPr>
          <w:rFonts w:ascii="Cambria Math"/>
          <w:sz w:val="23"/>
        </w:rPr>
      </w:pPr>
    </w:p>
    <w:p>
      <w:pPr>
        <w:spacing w:line="187" w:lineRule="exact" w:before="0"/>
        <w:ind w:left="78" w:right="0" w:firstLine="0"/>
        <w:jc w:val="left"/>
        <w:rPr>
          <w:rFonts w:ascii="Cambria Math" w:hAnsi="Cambria Math" w:eastAsia="Cambria Math"/>
          <w:sz w:val="16"/>
        </w:rPr>
      </w:pPr>
      <w:r>
        <w:rPr>
          <w:rFonts w:ascii="Cambria Math" w:hAnsi="Cambria Math" w:eastAsia="Cambria Math"/>
          <w:w w:val="105"/>
          <w:position w:val="1"/>
          <w:sz w:val="16"/>
        </w:rPr>
        <w:t>(</w:t>
      </w:r>
      <w:r>
        <w:rPr>
          <w:rFonts w:ascii="Cambria Math" w:hAnsi="Cambria Math" w:eastAsia="Cambria Math"/>
          <w:w w:val="105"/>
          <w:sz w:val="16"/>
        </w:rPr>
        <w:t>𝑑</w:t>
      </w:r>
      <w:r>
        <w:rPr>
          <w:rFonts w:ascii="Cambria Math" w:hAnsi="Cambria Math" w:eastAsia="Cambria Math"/>
          <w:w w:val="105"/>
          <w:position w:val="-2"/>
          <w:sz w:val="13"/>
        </w:rPr>
        <w:t>𝑖</w:t>
      </w:r>
      <w:r>
        <w:rPr>
          <w:rFonts w:ascii="Cambria Math" w:hAnsi="Cambria Math" w:eastAsia="Cambria Math"/>
          <w:w w:val="105"/>
          <w:sz w:val="16"/>
        </w:rPr>
        <w:t>−𝑑</w:t>
      </w:r>
      <w:r>
        <w:rPr>
          <w:rFonts w:ascii="Cambria Math" w:hAnsi="Cambria Math" w:eastAsia="Cambria Math"/>
          <w:w w:val="105"/>
          <w:position w:val="-2"/>
          <w:sz w:val="13"/>
        </w:rPr>
        <w:t>1</w:t>
      </w:r>
      <w:r>
        <w:rPr>
          <w:rFonts w:ascii="Cambria Math" w:hAnsi="Cambria Math" w:eastAsia="Cambria Math"/>
          <w:w w:val="105"/>
          <w:position w:val="1"/>
          <w:sz w:val="16"/>
        </w:rPr>
        <w:t>)</w:t>
      </w:r>
    </w:p>
    <w:p>
      <w:pPr>
        <w:pStyle w:val="BodyText"/>
        <w:spacing w:line="20" w:lineRule="exact"/>
        <w:ind w:left="73"/>
        <w:rPr>
          <w:rFonts w:ascii="Cambria Math"/>
          <w:sz w:val="2"/>
        </w:rPr>
      </w:pPr>
      <w:r>
        <w:rPr>
          <w:rFonts w:ascii="Cambria Math"/>
          <w:sz w:val="2"/>
        </w:rPr>
        <w:pict>
          <v:group style="width:29.65pt;height:.5pt;mso-position-horizontal-relative:char;mso-position-vertical-relative:line" coordorigin="0,0" coordsize="593,10">
            <v:line style="position:absolute" from="0,5" to="593,5" stroked="true" strokeweight=".48001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2" w:equalWidth="0">
            <w:col w:w="1883" w:space="40"/>
            <w:col w:w="8757"/>
          </w:cols>
        </w:sectPr>
      </w:pPr>
    </w:p>
    <w:p>
      <w:pPr>
        <w:spacing w:line="209" w:lineRule="exact" w:before="0"/>
        <w:ind w:left="686" w:right="0" w:firstLine="0"/>
        <w:jc w:val="left"/>
        <w:rPr>
          <w:rFonts w:ascii="Cambria Math" w:eastAsia="Cambria Math"/>
          <w:sz w:val="22"/>
        </w:rPr>
      </w:pPr>
      <w:r>
        <w:rPr>
          <w:rFonts w:ascii="Cambria Math" w:eastAsia="Cambria Math"/>
          <w:position w:val="1"/>
          <w:sz w:val="16"/>
        </w:rPr>
        <w:t>𝑖=1 </w:t>
      </w:r>
      <w:r>
        <w:rPr>
          <w:rFonts w:ascii="Cambria Math" w:eastAsia="Cambria Math"/>
          <w:position w:val="1"/>
          <w:sz w:val="22"/>
        </w:rPr>
        <w:t>(</w:t>
      </w:r>
      <w:r>
        <w:rPr>
          <w:rFonts w:ascii="Cambria Math" w:eastAsia="Cambria Math"/>
          <w:sz w:val="22"/>
        </w:rPr>
        <w:t>1 + 𝑟𝑎𝑡𝑒</w:t>
      </w:r>
      <w:r>
        <w:rPr>
          <w:rFonts w:ascii="Cambria Math" w:eastAsia="Cambria Math"/>
          <w:position w:val="1"/>
          <w:sz w:val="22"/>
        </w:rPr>
        <w:t>)</w:t>
      </w:r>
    </w:p>
    <w:p>
      <w:pPr>
        <w:spacing w:line="169" w:lineRule="exact" w:before="0"/>
        <w:ind w:left="115" w:right="0" w:firstLine="0"/>
        <w:jc w:val="left"/>
        <w:rPr>
          <w:rFonts w:ascii="Cambria Math"/>
          <w:sz w:val="16"/>
        </w:rPr>
      </w:pPr>
      <w:r>
        <w:rPr/>
        <w:br w:type="column"/>
      </w:r>
      <w:r>
        <w:rPr>
          <w:rFonts w:ascii="Cambria Math"/>
          <w:w w:val="105"/>
          <w:sz w:val="16"/>
        </w:rPr>
        <w:t>365</w:t>
      </w:r>
    </w:p>
    <w:p>
      <w:pPr>
        <w:spacing w:after="0" w:line="169" w:lineRule="exact"/>
        <w:jc w:val="left"/>
        <w:rPr>
          <w:rFonts w:ascii="Cambria Math"/>
          <w:sz w:val="16"/>
        </w:rPr>
        <w:sectPr>
          <w:type w:val="continuous"/>
          <w:pgSz w:w="12240" w:h="15840"/>
          <w:pgMar w:top="1340" w:bottom="940" w:left="860" w:right="700"/>
          <w:cols w:num="2" w:equalWidth="0">
            <w:col w:w="2002" w:space="40"/>
            <w:col w:w="8638"/>
          </w:cols>
        </w:sectPr>
      </w:pPr>
    </w:p>
    <w:p>
      <w:pPr>
        <w:pStyle w:val="BodyText"/>
        <w:spacing w:before="6"/>
        <w:rPr>
          <w:rFonts w:ascii="Cambria Math"/>
          <w:sz w:val="14"/>
        </w:rPr>
      </w:pPr>
    </w:p>
    <w:p>
      <w:pPr>
        <w:pStyle w:val="BodyText"/>
        <w:spacing w:before="56"/>
        <w:ind w:left="220"/>
      </w:pPr>
      <w:r>
        <w:rPr/>
        <w:t>where:</w:t>
      </w:r>
    </w:p>
    <w:p>
      <w:pPr>
        <w:pStyle w:val="BodyText"/>
        <w:spacing w:before="6"/>
        <w:rPr>
          <w:sz w:val="19"/>
        </w:rPr>
      </w:pPr>
    </w:p>
    <w:p>
      <w:pPr>
        <w:pStyle w:val="ListParagraph"/>
        <w:numPr>
          <w:ilvl w:val="0"/>
          <w:numId w:val="132"/>
        </w:numPr>
        <w:tabs>
          <w:tab w:pos="940" w:val="left" w:leader="none"/>
          <w:tab w:pos="941" w:val="left" w:leader="none"/>
        </w:tabs>
        <w:spacing w:line="240" w:lineRule="auto" w:before="0" w:after="0"/>
        <w:ind w:left="940" w:right="0" w:hanging="361"/>
        <w:jc w:val="left"/>
        <w:rPr>
          <w:sz w:val="22"/>
        </w:rPr>
      </w:pPr>
      <w:r>
        <w:rPr>
          <w:rFonts w:ascii="Cambria Math" w:hAnsi="Cambria Math"/>
          <w:sz w:val="22"/>
        </w:rPr>
        <w:t>d</w:t>
      </w:r>
      <w:r>
        <w:rPr>
          <w:rFonts w:ascii="Cambria Math" w:hAnsi="Cambria Math"/>
          <w:position w:val="-4"/>
          <w:sz w:val="16"/>
        </w:rPr>
        <w:t>i </w:t>
      </w:r>
      <w:r>
        <w:rPr>
          <w:sz w:val="22"/>
        </w:rPr>
        <w:t>= the i</w:t>
      </w:r>
      <w:r>
        <w:rPr>
          <w:sz w:val="22"/>
          <w:vertAlign w:val="superscript"/>
        </w:rPr>
        <w:t>th</w:t>
      </w:r>
      <w:r>
        <w:rPr>
          <w:sz w:val="22"/>
          <w:vertAlign w:val="baseline"/>
        </w:rPr>
        <w:t>, or last, payment</w:t>
      </w:r>
      <w:r>
        <w:rPr>
          <w:spacing w:val="-20"/>
          <w:sz w:val="22"/>
          <w:vertAlign w:val="baseline"/>
        </w:rPr>
        <w:t> </w:t>
      </w:r>
      <w:r>
        <w:rPr>
          <w:sz w:val="22"/>
          <w:vertAlign w:val="baseline"/>
        </w:rPr>
        <w:t>date.</w:t>
      </w:r>
    </w:p>
    <w:p>
      <w:pPr>
        <w:pStyle w:val="ListParagraph"/>
        <w:numPr>
          <w:ilvl w:val="0"/>
          <w:numId w:val="132"/>
        </w:numPr>
        <w:tabs>
          <w:tab w:pos="940" w:val="left" w:leader="none"/>
          <w:tab w:pos="941" w:val="left" w:leader="none"/>
        </w:tabs>
        <w:spacing w:line="240" w:lineRule="auto" w:before="15" w:after="0"/>
        <w:ind w:left="940" w:right="0" w:hanging="361"/>
        <w:jc w:val="left"/>
        <w:rPr>
          <w:sz w:val="22"/>
        </w:rPr>
      </w:pPr>
      <w:r>
        <w:rPr>
          <w:rFonts w:ascii="Cambria Math" w:hAnsi="Cambria Math"/>
          <w:spacing w:val="-3"/>
          <w:sz w:val="22"/>
        </w:rPr>
        <w:t>d</w:t>
      </w:r>
      <w:r>
        <w:rPr>
          <w:rFonts w:ascii="Cambria Math" w:hAnsi="Cambria Math"/>
          <w:spacing w:val="-3"/>
          <w:position w:val="-4"/>
          <w:sz w:val="16"/>
        </w:rPr>
        <w:t>1 </w:t>
      </w:r>
      <w:r>
        <w:rPr>
          <w:sz w:val="22"/>
        </w:rPr>
        <w:t>= the 0</w:t>
      </w:r>
      <w:r>
        <w:rPr>
          <w:sz w:val="22"/>
          <w:vertAlign w:val="superscript"/>
        </w:rPr>
        <w:t>th</w:t>
      </w:r>
      <w:r>
        <w:rPr>
          <w:sz w:val="22"/>
          <w:vertAlign w:val="baseline"/>
        </w:rPr>
        <w:t> payment</w:t>
      </w:r>
      <w:r>
        <w:rPr>
          <w:spacing w:val="-11"/>
          <w:sz w:val="22"/>
          <w:vertAlign w:val="baseline"/>
        </w:rPr>
        <w:t> </w:t>
      </w:r>
      <w:r>
        <w:rPr>
          <w:sz w:val="22"/>
          <w:vertAlign w:val="baseline"/>
        </w:rPr>
        <w:t>date.</w:t>
      </w:r>
    </w:p>
    <w:p>
      <w:pPr>
        <w:pStyle w:val="ListParagraph"/>
        <w:numPr>
          <w:ilvl w:val="0"/>
          <w:numId w:val="132"/>
        </w:numPr>
        <w:tabs>
          <w:tab w:pos="940" w:val="left" w:leader="none"/>
          <w:tab w:pos="941" w:val="left" w:leader="none"/>
        </w:tabs>
        <w:spacing w:line="422" w:lineRule="auto" w:before="15" w:after="46"/>
        <w:ind w:left="220" w:right="7231" w:firstLine="360"/>
        <w:jc w:val="left"/>
        <w:rPr>
          <w:sz w:val="22"/>
        </w:rPr>
      </w:pPr>
      <w:r>
        <w:rPr>
          <w:rFonts w:ascii="Cambria Math" w:hAnsi="Cambria Math"/>
          <w:spacing w:val="-15"/>
          <w:sz w:val="22"/>
        </w:rPr>
        <w:t>P</w:t>
      </w:r>
      <w:r>
        <w:rPr>
          <w:rFonts w:ascii="Cambria Math" w:hAnsi="Cambria Math"/>
          <w:spacing w:val="-15"/>
          <w:position w:val="-4"/>
          <w:sz w:val="16"/>
        </w:rPr>
        <w:t>i </w:t>
      </w:r>
      <w:r>
        <w:rPr>
          <w:sz w:val="22"/>
        </w:rPr>
        <w:t>= the i</w:t>
      </w:r>
      <w:r>
        <w:rPr>
          <w:sz w:val="22"/>
          <w:vertAlign w:val="superscript"/>
        </w:rPr>
        <w:t>th</w:t>
      </w:r>
      <w:r>
        <w:rPr>
          <w:sz w:val="22"/>
          <w:vertAlign w:val="baseline"/>
        </w:rPr>
        <w:t>, or last, </w:t>
      </w:r>
      <w:r>
        <w:rPr>
          <w:spacing w:val="-3"/>
          <w:sz w:val="22"/>
          <w:vertAlign w:val="baseline"/>
        </w:rPr>
        <w:t>payment. </w:t>
      </w:r>
      <w:r>
        <w:rPr>
          <w:sz w:val="22"/>
          <w:vertAlign w:val="baseline"/>
        </w:rPr>
        <w:t>Arguments:</w:t>
      </w: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460"/>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2236" w:hRule="atLeast"/>
        </w:trPr>
        <w:tc>
          <w:tcPr>
            <w:tcW w:w="1466" w:type="dxa"/>
          </w:tcPr>
          <w:p>
            <w:pPr>
              <w:pStyle w:val="TableParagraph"/>
              <w:spacing w:before="37"/>
              <w:rPr>
                <w:rFonts w:ascii="Times New Roman"/>
                <w:i/>
                <w:sz w:val="22"/>
              </w:rPr>
            </w:pPr>
            <w:r>
              <w:rPr>
                <w:rFonts w:ascii="Times New Roman"/>
                <w:i/>
                <w:sz w:val="22"/>
              </w:rPr>
              <w:t>values</w:t>
            </w:r>
          </w:p>
        </w:tc>
        <w:tc>
          <w:tcPr>
            <w:tcW w:w="1800" w:type="dxa"/>
          </w:tcPr>
          <w:p>
            <w:pPr>
              <w:pStyle w:val="TableParagraph"/>
              <w:ind w:left="112"/>
              <w:rPr>
                <w:sz w:val="22"/>
              </w:rPr>
            </w:pPr>
            <w:r>
              <w:rPr>
                <w:sz w:val="22"/>
              </w:rPr>
              <w:t>array, reference</w:t>
            </w:r>
          </w:p>
        </w:tc>
        <w:tc>
          <w:tcPr>
            <w:tcW w:w="5400" w:type="dxa"/>
          </w:tcPr>
          <w:p>
            <w:pPr>
              <w:pStyle w:val="TableParagraph"/>
              <w:ind w:left="113" w:right="204"/>
              <w:rPr>
                <w:sz w:val="22"/>
              </w:rPr>
            </w:pPr>
            <w:r>
              <w:rPr>
                <w:sz w:val="22"/>
              </w:rPr>
              <w:t>A series of cash flows that corresponds to a schedule of payment dates specified in </w:t>
            </w:r>
            <w:r>
              <w:rPr>
                <w:rFonts w:ascii="Times New Roman"/>
                <w:i/>
                <w:sz w:val="22"/>
              </w:rPr>
              <w:t>dates</w:t>
            </w:r>
            <w:r>
              <w:rPr>
                <w:sz w:val="22"/>
              </w:rPr>
              <w:t>. The first payment is optional and corresponds to a cost or payment that occurs at the beginning of the investment. If the first value is a cost or payment, it shall have a negative value. All succeeding payments are discounted based on a 365- day year. The series of values shall contain at least one positive and one negative value.</w:t>
            </w:r>
          </w:p>
        </w:tc>
      </w:tr>
      <w:tr>
        <w:trPr>
          <w:trHeight w:val="1697" w:hRule="atLeast"/>
        </w:trPr>
        <w:tc>
          <w:tcPr>
            <w:tcW w:w="1466" w:type="dxa"/>
          </w:tcPr>
          <w:p>
            <w:pPr>
              <w:pStyle w:val="TableParagraph"/>
              <w:spacing w:before="37"/>
              <w:rPr>
                <w:rFonts w:ascii="Times New Roman"/>
                <w:i/>
                <w:sz w:val="22"/>
              </w:rPr>
            </w:pPr>
            <w:r>
              <w:rPr>
                <w:rFonts w:ascii="Times New Roman"/>
                <w:i/>
                <w:sz w:val="22"/>
              </w:rPr>
              <w:t>dates</w:t>
            </w:r>
          </w:p>
        </w:tc>
        <w:tc>
          <w:tcPr>
            <w:tcW w:w="1800" w:type="dxa"/>
          </w:tcPr>
          <w:p>
            <w:pPr>
              <w:pStyle w:val="TableParagraph"/>
              <w:ind w:left="112"/>
              <w:rPr>
                <w:sz w:val="22"/>
              </w:rPr>
            </w:pPr>
            <w:r>
              <w:rPr>
                <w:sz w:val="22"/>
              </w:rPr>
              <w:t>reference</w:t>
            </w:r>
          </w:p>
        </w:tc>
        <w:tc>
          <w:tcPr>
            <w:tcW w:w="5400" w:type="dxa"/>
          </w:tcPr>
          <w:p>
            <w:pPr>
              <w:pStyle w:val="TableParagraph"/>
              <w:ind w:left="113" w:right="255"/>
              <w:rPr>
                <w:sz w:val="22"/>
              </w:rPr>
            </w:pPr>
            <w:r>
              <w:rPr>
                <w:sz w:val="22"/>
              </w:rPr>
              <w:t>A schedule of payment dates that corresponds to the cash flow payments in </w:t>
            </w:r>
            <w:r>
              <w:rPr>
                <w:rFonts w:ascii="Times New Roman"/>
                <w:i/>
                <w:sz w:val="22"/>
              </w:rPr>
              <w:t>values</w:t>
            </w:r>
            <w:r>
              <w:rPr>
                <w:sz w:val="22"/>
              </w:rPr>
              <w:t>. The first payment date indicates the beginning of the schedule of payments. All other dates shall be later than this date, but they can occur in any order. Time information in the date arguments is ignored.</w:t>
            </w:r>
          </w:p>
        </w:tc>
      </w:tr>
      <w:tr>
        <w:trPr>
          <w:trHeight w:val="623" w:hRule="atLeast"/>
        </w:trPr>
        <w:tc>
          <w:tcPr>
            <w:tcW w:w="1466" w:type="dxa"/>
          </w:tcPr>
          <w:p>
            <w:pPr>
              <w:pStyle w:val="TableParagraph"/>
              <w:spacing w:before="37"/>
              <w:rPr>
                <w:rFonts w:ascii="Times New Roman"/>
                <w:i/>
                <w:sz w:val="22"/>
              </w:rPr>
            </w:pPr>
            <w:r>
              <w:rPr>
                <w:rFonts w:ascii="Times New Roman"/>
                <w:i/>
                <w:sz w:val="22"/>
              </w:rPr>
              <w:t>guess</w:t>
            </w:r>
          </w:p>
        </w:tc>
        <w:tc>
          <w:tcPr>
            <w:tcW w:w="1800" w:type="dxa"/>
          </w:tcPr>
          <w:p>
            <w:pPr>
              <w:pStyle w:val="TableParagraph"/>
              <w:ind w:left="112"/>
              <w:rPr>
                <w:sz w:val="22"/>
              </w:rPr>
            </w:pPr>
            <w:r>
              <w:rPr>
                <w:sz w:val="22"/>
              </w:rPr>
              <w:t>number</w:t>
            </w:r>
          </w:p>
        </w:tc>
        <w:tc>
          <w:tcPr>
            <w:tcW w:w="5400" w:type="dxa"/>
          </w:tcPr>
          <w:p>
            <w:pPr>
              <w:pStyle w:val="TableParagraph"/>
              <w:ind w:left="113" w:right="863"/>
              <w:rPr>
                <w:sz w:val="22"/>
              </w:rPr>
            </w:pPr>
            <w:r>
              <w:rPr>
                <w:sz w:val="22"/>
              </w:rPr>
              <w:t>An estimate of the result of </w:t>
            </w:r>
            <w:r>
              <w:rPr>
                <w:rFonts w:ascii="Consolas"/>
                <w:sz w:val="22"/>
              </w:rPr>
              <w:t>XIRR</w:t>
            </w:r>
            <w:r>
              <w:rPr>
                <w:sz w:val="22"/>
              </w:rPr>
              <w:t>. If omitted, it is assumed to be 0.1 (i.e., 10 percent).</w:t>
            </w:r>
          </w:p>
        </w:tc>
      </w:tr>
    </w:tbl>
    <w:p>
      <w:pPr>
        <w:spacing w:after="0"/>
        <w:rPr>
          <w:sz w:val="22"/>
        </w:rPr>
        <w:sectPr>
          <w:type w:val="continuous"/>
          <w:pgSz w:w="12240" w:h="15840"/>
          <w:pgMar w:top="1340" w:bottom="940" w:left="860" w:right="700"/>
        </w:sectPr>
      </w:pPr>
    </w:p>
    <w:p>
      <w:pPr>
        <w:pStyle w:val="BodyText"/>
        <w:spacing w:line="278" w:lineRule="auto" w:before="148"/>
        <w:ind w:left="220" w:right="524"/>
      </w:pPr>
      <w:r>
        <w:rPr/>
        <w:t>Return Type and Value: number – The internal rate of return for a schedule of cash flows that is not necessarily periodic.</w:t>
      </w:r>
    </w:p>
    <w:p>
      <w:pPr>
        <w:pStyle w:val="BodyText"/>
        <w:spacing w:before="2"/>
        <w:rPr>
          <w:sz w:val="16"/>
        </w:rPr>
      </w:pPr>
    </w:p>
    <w:p>
      <w:pPr>
        <w:pStyle w:val="BodyText"/>
        <w:spacing w:before="1"/>
        <w:ind w:left="220"/>
      </w:pPr>
      <w:r>
        <w:rPr/>
        <w:t>However, if</w:t>
      </w:r>
    </w:p>
    <w:p>
      <w:pPr>
        <w:pStyle w:val="BodyText"/>
        <w:spacing w:before="6"/>
        <w:rPr>
          <w:sz w:val="19"/>
        </w:rPr>
      </w:pPr>
    </w:p>
    <w:p>
      <w:pPr>
        <w:pStyle w:val="ListParagraph"/>
        <w:numPr>
          <w:ilvl w:val="0"/>
          <w:numId w:val="132"/>
        </w:numPr>
        <w:tabs>
          <w:tab w:pos="940" w:val="left" w:leader="none"/>
          <w:tab w:pos="941" w:val="left" w:leader="none"/>
        </w:tabs>
        <w:spacing w:line="240" w:lineRule="auto" w:before="0" w:after="0"/>
        <w:ind w:left="940" w:right="0" w:hanging="361"/>
        <w:jc w:val="left"/>
        <w:rPr>
          <w:sz w:val="22"/>
        </w:rPr>
      </w:pPr>
      <w:r>
        <w:rPr>
          <w:sz w:val="22"/>
        </w:rPr>
        <w:t>Any date in </w:t>
      </w:r>
      <w:r>
        <w:rPr>
          <w:rFonts w:ascii="Times New Roman" w:hAnsi="Times New Roman"/>
          <w:i/>
          <w:sz w:val="22"/>
        </w:rPr>
        <w:t>dates </w:t>
      </w:r>
      <w:r>
        <w:rPr>
          <w:sz w:val="22"/>
        </w:rPr>
        <w:t>is out of range for the current date system, </w:t>
      </w:r>
      <w:r>
        <w:rPr>
          <w:rFonts w:ascii="Consolas" w:hAnsi="Consolas"/>
          <w:sz w:val="22"/>
        </w:rPr>
        <w:t>#NUM!</w:t>
      </w:r>
      <w:r>
        <w:rPr>
          <w:rFonts w:ascii="Consolas" w:hAnsi="Consolas"/>
          <w:spacing w:val="-91"/>
          <w:sz w:val="22"/>
        </w:rPr>
        <w:t> </w:t>
      </w:r>
      <w:r>
        <w:rPr>
          <w:sz w:val="22"/>
        </w:rPr>
        <w:t>is returned.</w:t>
      </w:r>
    </w:p>
    <w:p>
      <w:pPr>
        <w:pStyle w:val="ListParagraph"/>
        <w:numPr>
          <w:ilvl w:val="0"/>
          <w:numId w:val="132"/>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values </w:t>
      </w:r>
      <w:r>
        <w:rPr>
          <w:sz w:val="22"/>
        </w:rPr>
        <w:t>does not contain at least one positive and one negative value, </w:t>
      </w:r>
      <w:r>
        <w:rPr>
          <w:rFonts w:ascii="Consolas" w:hAnsi="Consolas"/>
          <w:sz w:val="22"/>
        </w:rPr>
        <w:t>#NUM!</w:t>
      </w:r>
      <w:r>
        <w:rPr>
          <w:rFonts w:ascii="Consolas" w:hAnsi="Consolas"/>
          <w:spacing w:val="-92"/>
          <w:sz w:val="22"/>
        </w:rPr>
        <w:t> </w:t>
      </w:r>
      <w:r>
        <w:rPr>
          <w:sz w:val="22"/>
        </w:rPr>
        <w:t>is returned.</w:t>
      </w:r>
    </w:p>
    <w:p>
      <w:pPr>
        <w:pStyle w:val="ListParagraph"/>
        <w:numPr>
          <w:ilvl w:val="0"/>
          <w:numId w:val="132"/>
        </w:numPr>
        <w:tabs>
          <w:tab w:pos="940" w:val="left" w:leader="none"/>
          <w:tab w:pos="941" w:val="left" w:leader="none"/>
        </w:tabs>
        <w:spacing w:line="240" w:lineRule="auto" w:before="41" w:after="0"/>
        <w:ind w:left="940" w:right="0" w:hanging="361"/>
        <w:jc w:val="left"/>
        <w:rPr>
          <w:sz w:val="22"/>
        </w:rPr>
      </w:pPr>
      <w:r>
        <w:rPr>
          <w:sz w:val="22"/>
        </w:rPr>
        <w:t>Any date in </w:t>
      </w:r>
      <w:r>
        <w:rPr>
          <w:rFonts w:ascii="Times New Roman" w:hAnsi="Times New Roman"/>
          <w:i/>
          <w:sz w:val="22"/>
        </w:rPr>
        <w:t>dates </w:t>
      </w:r>
      <w:r>
        <w:rPr>
          <w:sz w:val="22"/>
        </w:rPr>
        <w:t>precedes the starting date, </w:t>
      </w:r>
      <w:r>
        <w:rPr>
          <w:rFonts w:ascii="Consolas" w:hAnsi="Consolas"/>
          <w:sz w:val="22"/>
        </w:rPr>
        <w:t>#NUM!</w:t>
      </w:r>
      <w:r>
        <w:rPr>
          <w:rFonts w:ascii="Consolas" w:hAnsi="Consolas"/>
          <w:spacing w:val="-84"/>
          <w:sz w:val="22"/>
        </w:rPr>
        <w:t> </w:t>
      </w:r>
      <w:r>
        <w:rPr>
          <w:sz w:val="22"/>
        </w:rPr>
        <w:t>is returned.</w:t>
      </w:r>
    </w:p>
    <w:p>
      <w:pPr>
        <w:pStyle w:val="ListParagraph"/>
        <w:numPr>
          <w:ilvl w:val="0"/>
          <w:numId w:val="132"/>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values </w:t>
      </w:r>
      <w:r>
        <w:rPr>
          <w:sz w:val="22"/>
        </w:rPr>
        <w:t>and </w:t>
      </w:r>
      <w:r>
        <w:rPr>
          <w:rFonts w:ascii="Times New Roman" w:hAnsi="Times New Roman"/>
          <w:i/>
          <w:sz w:val="22"/>
        </w:rPr>
        <w:t>dates </w:t>
      </w:r>
      <w:r>
        <w:rPr>
          <w:sz w:val="22"/>
        </w:rPr>
        <w:t>contain different numbers of values, </w:t>
      </w:r>
      <w:r>
        <w:rPr>
          <w:rFonts w:ascii="Consolas" w:hAnsi="Consolas"/>
          <w:sz w:val="22"/>
        </w:rPr>
        <w:t>#NUM!</w:t>
      </w:r>
      <w:r>
        <w:rPr>
          <w:rFonts w:ascii="Consolas" w:hAnsi="Consolas"/>
          <w:spacing w:val="-93"/>
          <w:sz w:val="22"/>
        </w:rPr>
        <w:t> </w:t>
      </w:r>
      <w:r>
        <w:rPr>
          <w:sz w:val="22"/>
        </w:rPr>
        <w:t>is returned.</w:t>
      </w:r>
    </w:p>
    <w:p>
      <w:pPr>
        <w:pStyle w:val="ListParagraph"/>
        <w:numPr>
          <w:ilvl w:val="0"/>
          <w:numId w:val="132"/>
        </w:numPr>
        <w:tabs>
          <w:tab w:pos="940" w:val="left" w:leader="none"/>
          <w:tab w:pos="941" w:val="left" w:leader="none"/>
        </w:tabs>
        <w:spacing w:line="240" w:lineRule="auto" w:before="41" w:after="0"/>
        <w:ind w:left="940" w:right="0" w:hanging="361"/>
        <w:jc w:val="left"/>
        <w:rPr>
          <w:sz w:val="22"/>
        </w:rPr>
      </w:pPr>
      <w:r>
        <w:rPr>
          <w:sz w:val="22"/>
        </w:rPr>
        <w:t>The calculation has not converged after an implementation-defined number of tries, </w:t>
      </w:r>
      <w:r>
        <w:rPr>
          <w:rFonts w:ascii="Consolas" w:hAnsi="Consolas"/>
          <w:sz w:val="22"/>
        </w:rPr>
        <w:t>#NUM!</w:t>
      </w:r>
      <w:r>
        <w:rPr>
          <w:rFonts w:ascii="Consolas" w:hAnsi="Consolas"/>
          <w:spacing w:val="-91"/>
          <w:sz w:val="22"/>
        </w:rPr>
        <w:t> </w:t>
      </w:r>
      <w:r>
        <w:rPr>
          <w:sz w:val="22"/>
        </w:rPr>
        <w:t>is returned.</w:t>
      </w:r>
    </w:p>
    <w:p>
      <w:pPr>
        <w:pStyle w:val="BodyText"/>
        <w:spacing w:before="241"/>
        <w:ind w:left="220"/>
      </w:pPr>
      <w:r>
        <w:rPr/>
        <w:t>[</w:t>
      </w:r>
      <w:r>
        <w:rPr>
          <w:i/>
        </w:rPr>
        <w:t>Example</w:t>
      </w:r>
      <w:r>
        <w:rPr/>
        <w:t>: When the cells </w:t>
      </w:r>
      <w:r>
        <w:rPr>
          <w:rFonts w:ascii="Consolas"/>
        </w:rPr>
        <w:t>F2397:J2397</w:t>
      </w:r>
      <w:r>
        <w:rPr/>
        <w:t>contain the dates January 1, 2008; March 1,2008; October 30, 2008;</w:t>
      </w:r>
    </w:p>
    <w:p>
      <w:pPr>
        <w:pStyle w:val="BodyText"/>
        <w:spacing w:before="38"/>
        <w:ind w:left="220"/>
      </w:pPr>
      <w:r>
        <w:rPr/>
        <w:t>February 15, 2009, and April 1, 2009:</w:t>
      </w:r>
    </w:p>
    <w:p>
      <w:pPr>
        <w:pStyle w:val="BodyText"/>
        <w:spacing w:before="10"/>
        <w:rPr>
          <w:sz w:val="28"/>
        </w:rPr>
      </w:pPr>
    </w:p>
    <w:p>
      <w:pPr>
        <w:pStyle w:val="BodyText"/>
        <w:ind w:left="220"/>
        <w:rPr>
          <w:rFonts w:ascii="Consolas"/>
        </w:rPr>
      </w:pPr>
      <w:r>
        <w:rPr>
          <w:rFonts w:ascii="Consolas"/>
        </w:rPr>
        <w:t>XIRR({-10000,2750,4250,3250,2750},F2397:J2397,0.1)</w:t>
      </w:r>
      <w:r>
        <w:rPr>
          <w:rFonts w:ascii="Consolas"/>
          <w:spacing w:val="-67"/>
        </w:rPr>
        <w:t> </w:t>
      </w:r>
      <w:r>
        <w:rPr/>
        <w:t>results in </w:t>
      </w:r>
      <w:r>
        <w:rPr>
          <w:rFonts w:ascii="Consolas"/>
        </w:rPr>
        <w:t>37.34%</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50 XNPV" w:id="2444"/>
      <w:bookmarkEnd w:id="2444"/>
      <w:r>
        <w:rPr/>
      </w:r>
      <w:bookmarkStart w:name="_bookmark815" w:id="2445"/>
      <w:bookmarkEnd w:id="2445"/>
      <w:r>
        <w:rPr/>
      </w:r>
      <w:bookmarkStart w:name="_bookmark815" w:id="2446"/>
      <w:bookmarkEnd w:id="2446"/>
      <w:r>
        <w:rPr>
          <w:color w:val="4F81BC"/>
        </w:rPr>
        <w:t>XNPV</w:t>
      </w:r>
    </w:p>
    <w:p>
      <w:pPr>
        <w:spacing w:before="114"/>
        <w:ind w:left="940" w:right="0" w:firstLine="0"/>
        <w:jc w:val="left"/>
        <w:rPr>
          <w:rFonts w:ascii="Lucida Console"/>
          <w:sz w:val="20"/>
        </w:rPr>
      </w:pPr>
      <w:r>
        <w:rPr>
          <w:rFonts w:ascii="Lucida Console"/>
          <w:sz w:val="20"/>
        </w:rPr>
        <w:t>XNPV ( </w:t>
      </w:r>
      <w:r>
        <w:rPr>
          <w:i/>
          <w:sz w:val="22"/>
        </w:rPr>
        <w:t>rate </w:t>
      </w:r>
      <w:r>
        <w:rPr>
          <w:sz w:val="22"/>
        </w:rPr>
        <w:t>, </w:t>
      </w:r>
      <w:r>
        <w:rPr>
          <w:i/>
          <w:sz w:val="22"/>
        </w:rPr>
        <w:t>values , dates </w:t>
      </w:r>
      <w:r>
        <w:rPr>
          <w:rFonts w:ascii="Lucida Console"/>
          <w:sz w:val="20"/>
        </w:rPr>
        <w:t>)</w:t>
      </w:r>
    </w:p>
    <w:p>
      <w:pPr>
        <w:pStyle w:val="BodyText"/>
        <w:spacing w:before="110"/>
        <w:ind w:left="220"/>
      </w:pPr>
      <w:r>
        <w:rPr>
          <w:b/>
        </w:rPr>
        <w:t>Description</w:t>
      </w:r>
      <w:r>
        <w:rPr/>
        <w:t>: Computes the net present value for a schedule of cash flows that is not necessarily periodic.</w:t>
      </w:r>
    </w:p>
    <w:p>
      <w:pPr>
        <w:pStyle w:val="BodyText"/>
        <w:spacing w:before="9"/>
        <w:rPr>
          <w:sz w:val="19"/>
        </w:rPr>
      </w:pPr>
    </w:p>
    <w:p>
      <w:pPr>
        <w:pStyle w:val="Heading4"/>
        <w:rPr>
          <w:b w:val="0"/>
        </w:rPr>
      </w:pPr>
      <w:r>
        <w:rPr/>
        <w:t>Mathematical Formula</w:t>
      </w:r>
      <w:r>
        <w:rPr>
          <w:b w:val="0"/>
        </w:rPr>
        <w:t>:</w:t>
      </w:r>
    </w:p>
    <w:p>
      <w:pPr>
        <w:pStyle w:val="BodyText"/>
        <w:spacing w:before="1"/>
        <w:rPr>
          <w:sz w:val="12"/>
        </w:rPr>
      </w:pPr>
    </w:p>
    <w:p>
      <w:pPr>
        <w:spacing w:after="0"/>
        <w:rPr>
          <w:sz w:val="12"/>
        </w:rPr>
        <w:sectPr>
          <w:pgSz w:w="12240" w:h="15840"/>
          <w:pgMar w:header="763" w:footer="746" w:top="1340" w:bottom="940" w:left="860" w:right="700"/>
        </w:sectPr>
      </w:pPr>
    </w:p>
    <w:p>
      <w:pPr>
        <w:spacing w:line="144" w:lineRule="exact" w:before="73"/>
        <w:ind w:left="285" w:right="0" w:firstLine="0"/>
        <w:jc w:val="center"/>
        <w:rPr>
          <w:rFonts w:ascii="Cambria Math" w:eastAsia="Cambria Math"/>
          <w:sz w:val="16"/>
        </w:rPr>
      </w:pPr>
      <w:r>
        <w:rPr>
          <w:rFonts w:ascii="Cambria Math" w:eastAsia="Cambria Math"/>
          <w:w w:val="105"/>
          <w:sz w:val="16"/>
        </w:rPr>
        <w:t>𝑁</w:t>
      </w:r>
    </w:p>
    <w:p>
      <w:pPr>
        <w:pStyle w:val="BodyText"/>
        <w:tabs>
          <w:tab w:pos="2113" w:val="left" w:leader="none"/>
        </w:tabs>
        <w:spacing w:line="384" w:lineRule="exact"/>
        <w:ind w:left="220"/>
        <w:jc w:val="center"/>
        <w:rPr>
          <w:rFonts w:ascii="Cambria Math" w:hAnsi="Cambria Math" w:eastAsia="Cambria Math"/>
          <w:sz w:val="16"/>
        </w:rPr>
      </w:pPr>
      <w:r>
        <w:rPr/>
        <w:pict>
          <v:line style="position:absolute;mso-position-horizontal-relative:page;mso-position-vertical-relative:paragraph;z-index:-335758336" from="116.419998pt,13.637404pt" to="190.099998pt,13.637404pt" stroked="true" strokeweight=".72pt" strokecolor="#000000">
            <v:stroke dashstyle="solid"/>
            <w10:wrap type="none"/>
          </v:line>
        </w:pict>
      </w:r>
      <w:r>
        <w:rPr>
          <w:rFonts w:ascii="Cambria Math" w:hAnsi="Cambria Math" w:eastAsia="Cambria Math"/>
          <w:w w:val="110"/>
        </w:rPr>
        <w:t>𝑋𝑁𝑃𝑉 =</w:t>
      </w:r>
      <w:r>
        <w:rPr>
          <w:rFonts w:ascii="Cambria Math" w:hAnsi="Cambria Math" w:eastAsia="Cambria Math"/>
          <w:spacing w:val="30"/>
          <w:w w:val="110"/>
        </w:rPr>
        <w:t> </w:t>
      </w:r>
      <w:r>
        <w:rPr>
          <w:rFonts w:ascii="Cambria Math" w:hAnsi="Cambria Math" w:eastAsia="Cambria Math"/>
          <w:w w:val="165"/>
        </w:rPr>
        <w:t>∑</w:t>
      </w:r>
      <w:r>
        <w:rPr>
          <w:rFonts w:ascii="Cambria Math" w:hAnsi="Cambria Math" w:eastAsia="Cambria Math"/>
        </w:rPr>
        <w:tab/>
      </w:r>
      <w:r>
        <w:rPr>
          <w:rFonts w:ascii="Cambria Math" w:hAnsi="Cambria Math" w:eastAsia="Cambria Math"/>
          <w:spacing w:val="-85"/>
          <w:w w:val="110"/>
          <w:position w:val="17"/>
        </w:rPr>
        <w:t>𝑃</w:t>
      </w:r>
      <w:r>
        <w:rPr>
          <w:rFonts w:ascii="Cambria Math" w:hAnsi="Cambria Math" w:eastAsia="Cambria Math"/>
          <w:spacing w:val="-85"/>
          <w:w w:val="110"/>
          <w:position w:val="12"/>
          <w:sz w:val="16"/>
        </w:rPr>
        <w:t>𝑖</w:t>
      </w:r>
    </w:p>
    <w:p>
      <w:pPr>
        <w:pStyle w:val="BodyText"/>
        <w:rPr>
          <w:rFonts w:ascii="Cambria Math"/>
          <w:sz w:val="18"/>
        </w:rPr>
      </w:pPr>
      <w:r>
        <w:rPr/>
        <w:br w:type="column"/>
      </w:r>
      <w:r>
        <w:rPr>
          <w:rFonts w:ascii="Cambria Math"/>
          <w:sz w:val="18"/>
        </w:rPr>
      </w:r>
    </w:p>
    <w:p>
      <w:pPr>
        <w:pStyle w:val="BodyText"/>
        <w:spacing w:before="3"/>
        <w:rPr>
          <w:rFonts w:ascii="Cambria Math"/>
          <w:sz w:val="23"/>
        </w:rPr>
      </w:pPr>
    </w:p>
    <w:p>
      <w:pPr>
        <w:spacing w:line="187" w:lineRule="exact" w:before="0"/>
        <w:ind w:left="18" w:right="0" w:firstLine="0"/>
        <w:jc w:val="left"/>
        <w:rPr>
          <w:rFonts w:ascii="Cambria Math" w:hAnsi="Cambria Math" w:eastAsia="Cambria Math"/>
          <w:sz w:val="16"/>
        </w:rPr>
      </w:pPr>
      <w:r>
        <w:rPr>
          <w:rFonts w:ascii="Cambria Math" w:hAnsi="Cambria Math" w:eastAsia="Cambria Math"/>
          <w:w w:val="105"/>
          <w:position w:val="1"/>
          <w:sz w:val="16"/>
        </w:rPr>
        <w:t>(</w:t>
      </w:r>
      <w:r>
        <w:rPr>
          <w:rFonts w:ascii="Cambria Math" w:hAnsi="Cambria Math" w:eastAsia="Cambria Math"/>
          <w:w w:val="105"/>
          <w:sz w:val="16"/>
        </w:rPr>
        <w:t>𝑑</w:t>
      </w:r>
      <w:r>
        <w:rPr>
          <w:rFonts w:ascii="Cambria Math" w:hAnsi="Cambria Math" w:eastAsia="Cambria Math"/>
          <w:w w:val="105"/>
          <w:position w:val="-2"/>
          <w:sz w:val="13"/>
        </w:rPr>
        <w:t>𝑖</w:t>
      </w:r>
      <w:r>
        <w:rPr>
          <w:rFonts w:ascii="Cambria Math" w:hAnsi="Cambria Math" w:eastAsia="Cambria Math"/>
          <w:w w:val="105"/>
          <w:sz w:val="16"/>
        </w:rPr>
        <w:t>−𝑑</w:t>
      </w:r>
      <w:r>
        <w:rPr>
          <w:rFonts w:ascii="Cambria Math" w:hAnsi="Cambria Math" w:eastAsia="Cambria Math"/>
          <w:w w:val="105"/>
          <w:position w:val="-2"/>
          <w:sz w:val="13"/>
        </w:rPr>
        <w:t>1</w:t>
      </w:r>
      <w:r>
        <w:rPr>
          <w:rFonts w:ascii="Cambria Math" w:hAnsi="Cambria Math" w:eastAsia="Cambria Math"/>
          <w:w w:val="105"/>
          <w:position w:val="1"/>
          <w:sz w:val="16"/>
        </w:rPr>
        <w:t>)</w:t>
      </w:r>
    </w:p>
    <w:p>
      <w:pPr>
        <w:pStyle w:val="BodyText"/>
        <w:spacing w:line="20" w:lineRule="exact"/>
        <w:ind w:left="13"/>
        <w:rPr>
          <w:rFonts w:ascii="Cambria Math"/>
          <w:sz w:val="2"/>
        </w:rPr>
      </w:pPr>
      <w:r>
        <w:rPr>
          <w:rFonts w:ascii="Cambria Math"/>
          <w:sz w:val="2"/>
        </w:rPr>
        <w:pict>
          <v:group style="width:29.65pt;height:.5pt;mso-position-horizontal-relative:char;mso-position-vertical-relative:line" coordorigin="0,0" coordsize="593,10">
            <v:line style="position:absolute" from="0,5" to="593,5" stroked="true" strokeweight=".48001pt" strokecolor="#000000">
              <v:stroke dashstyle="solid"/>
            </v:line>
          </v:group>
        </w:pict>
      </w:r>
      <w:r>
        <w:rPr>
          <w:rFonts w:ascii="Cambria Math"/>
          <w:sz w:val="2"/>
        </w:rPr>
      </w:r>
    </w:p>
    <w:p>
      <w:pPr>
        <w:spacing w:after="0" w:line="20" w:lineRule="exact"/>
        <w:rPr>
          <w:rFonts w:ascii="Cambria Math"/>
          <w:sz w:val="2"/>
        </w:rPr>
        <w:sectPr>
          <w:type w:val="continuous"/>
          <w:pgSz w:w="12240" w:h="15840"/>
          <w:pgMar w:top="1340" w:bottom="940" w:left="860" w:right="700"/>
          <w:cols w:num="2" w:equalWidth="0">
            <w:col w:w="2284" w:space="40"/>
            <w:col w:w="8356"/>
          </w:cols>
        </w:sectPr>
      </w:pPr>
    </w:p>
    <w:p>
      <w:pPr>
        <w:spacing w:line="206" w:lineRule="exact" w:before="0"/>
        <w:ind w:left="1149" w:right="0" w:firstLine="0"/>
        <w:jc w:val="left"/>
        <w:rPr>
          <w:rFonts w:ascii="Cambria Math" w:eastAsia="Cambria Math"/>
          <w:sz w:val="22"/>
        </w:rPr>
      </w:pPr>
      <w:r>
        <w:rPr>
          <w:rFonts w:ascii="Cambria Math" w:eastAsia="Cambria Math"/>
          <w:position w:val="1"/>
          <w:sz w:val="16"/>
        </w:rPr>
        <w:t>𝑖=1 </w:t>
      </w:r>
      <w:r>
        <w:rPr>
          <w:rFonts w:ascii="Cambria Math" w:eastAsia="Cambria Math"/>
          <w:position w:val="1"/>
          <w:sz w:val="22"/>
        </w:rPr>
        <w:t>(</w:t>
      </w:r>
      <w:r>
        <w:rPr>
          <w:rFonts w:ascii="Cambria Math" w:eastAsia="Cambria Math"/>
          <w:sz w:val="22"/>
        </w:rPr>
        <w:t>1 + 𝑟𝑡𝑒</w:t>
      </w:r>
      <w:r>
        <w:rPr>
          <w:rFonts w:ascii="Cambria Math" w:eastAsia="Cambria Math"/>
          <w:position w:val="1"/>
          <w:sz w:val="22"/>
        </w:rPr>
        <w:t>)</w:t>
      </w:r>
    </w:p>
    <w:p>
      <w:pPr>
        <w:spacing w:line="167" w:lineRule="exact" w:before="0"/>
        <w:ind w:left="115" w:right="0" w:firstLine="0"/>
        <w:jc w:val="left"/>
        <w:rPr>
          <w:rFonts w:ascii="Cambria Math"/>
          <w:sz w:val="16"/>
        </w:rPr>
      </w:pPr>
      <w:r>
        <w:rPr/>
        <w:br w:type="column"/>
      </w:r>
      <w:r>
        <w:rPr>
          <w:rFonts w:ascii="Cambria Math"/>
          <w:w w:val="105"/>
          <w:sz w:val="16"/>
        </w:rPr>
        <w:t>365</w:t>
      </w:r>
    </w:p>
    <w:p>
      <w:pPr>
        <w:spacing w:after="0" w:line="167" w:lineRule="exact"/>
        <w:jc w:val="left"/>
        <w:rPr>
          <w:rFonts w:ascii="Cambria Math"/>
          <w:sz w:val="16"/>
        </w:rPr>
        <w:sectPr>
          <w:type w:val="continuous"/>
          <w:pgSz w:w="12240" w:h="15840"/>
          <w:pgMar w:top="1340" w:bottom="940" w:left="860" w:right="700"/>
          <w:cols w:num="2" w:equalWidth="0">
            <w:col w:w="2343" w:space="40"/>
            <w:col w:w="8297"/>
          </w:cols>
        </w:sectPr>
      </w:pPr>
    </w:p>
    <w:p>
      <w:pPr>
        <w:pStyle w:val="BodyText"/>
        <w:spacing w:before="6"/>
        <w:rPr>
          <w:rFonts w:ascii="Cambria Math"/>
          <w:sz w:val="14"/>
        </w:rPr>
      </w:pPr>
    </w:p>
    <w:p>
      <w:pPr>
        <w:pStyle w:val="BodyText"/>
        <w:spacing w:before="56"/>
        <w:ind w:left="220"/>
      </w:pPr>
      <w:r>
        <w:rPr/>
        <w:t>where:</w:t>
      </w:r>
    </w:p>
    <w:p>
      <w:pPr>
        <w:pStyle w:val="BodyText"/>
        <w:spacing w:before="6"/>
        <w:rPr>
          <w:sz w:val="19"/>
        </w:rPr>
      </w:pPr>
    </w:p>
    <w:p>
      <w:pPr>
        <w:pStyle w:val="ListParagraph"/>
        <w:numPr>
          <w:ilvl w:val="0"/>
          <w:numId w:val="133"/>
        </w:numPr>
        <w:tabs>
          <w:tab w:pos="940" w:val="left" w:leader="none"/>
          <w:tab w:pos="941" w:val="left" w:leader="none"/>
        </w:tabs>
        <w:spacing w:line="240" w:lineRule="auto" w:before="0" w:after="0"/>
        <w:ind w:left="940" w:right="0" w:hanging="361"/>
        <w:jc w:val="left"/>
        <w:rPr>
          <w:sz w:val="22"/>
        </w:rPr>
      </w:pPr>
      <w:r>
        <w:rPr>
          <w:rFonts w:ascii="Cambria Math" w:hAnsi="Cambria Math"/>
          <w:sz w:val="22"/>
        </w:rPr>
        <w:t>d</w:t>
      </w:r>
      <w:r>
        <w:rPr>
          <w:rFonts w:ascii="Cambria Math" w:hAnsi="Cambria Math"/>
          <w:position w:val="-4"/>
          <w:sz w:val="16"/>
        </w:rPr>
        <w:t>i </w:t>
      </w:r>
      <w:r>
        <w:rPr>
          <w:sz w:val="22"/>
        </w:rPr>
        <w:t>= the i</w:t>
      </w:r>
      <w:r>
        <w:rPr>
          <w:sz w:val="22"/>
          <w:vertAlign w:val="superscript"/>
        </w:rPr>
        <w:t>th</w:t>
      </w:r>
      <w:r>
        <w:rPr>
          <w:sz w:val="22"/>
          <w:vertAlign w:val="baseline"/>
        </w:rPr>
        <w:t>, or last, payment</w:t>
      </w:r>
      <w:r>
        <w:rPr>
          <w:spacing w:val="-20"/>
          <w:sz w:val="22"/>
          <w:vertAlign w:val="baseline"/>
        </w:rPr>
        <w:t> </w:t>
      </w:r>
      <w:r>
        <w:rPr>
          <w:sz w:val="22"/>
          <w:vertAlign w:val="baseline"/>
        </w:rPr>
        <w:t>date.</w:t>
      </w:r>
    </w:p>
    <w:p>
      <w:pPr>
        <w:pStyle w:val="ListParagraph"/>
        <w:numPr>
          <w:ilvl w:val="0"/>
          <w:numId w:val="133"/>
        </w:numPr>
        <w:tabs>
          <w:tab w:pos="940" w:val="left" w:leader="none"/>
          <w:tab w:pos="941" w:val="left" w:leader="none"/>
        </w:tabs>
        <w:spacing w:line="240" w:lineRule="auto" w:before="15" w:after="0"/>
        <w:ind w:left="940" w:right="0" w:hanging="361"/>
        <w:jc w:val="left"/>
        <w:rPr>
          <w:sz w:val="22"/>
        </w:rPr>
      </w:pPr>
      <w:r>
        <w:rPr>
          <w:rFonts w:ascii="Cambria Math" w:hAnsi="Cambria Math"/>
          <w:spacing w:val="-3"/>
          <w:sz w:val="22"/>
        </w:rPr>
        <w:t>d</w:t>
      </w:r>
      <w:r>
        <w:rPr>
          <w:rFonts w:ascii="Cambria Math" w:hAnsi="Cambria Math"/>
          <w:spacing w:val="-3"/>
          <w:position w:val="-4"/>
          <w:sz w:val="16"/>
        </w:rPr>
        <w:t>1 </w:t>
      </w:r>
      <w:r>
        <w:rPr>
          <w:sz w:val="22"/>
        </w:rPr>
        <w:t>= the 0</w:t>
      </w:r>
      <w:r>
        <w:rPr>
          <w:sz w:val="22"/>
          <w:vertAlign w:val="superscript"/>
        </w:rPr>
        <w:t>th</w:t>
      </w:r>
      <w:r>
        <w:rPr>
          <w:sz w:val="22"/>
          <w:vertAlign w:val="baseline"/>
        </w:rPr>
        <w:t> payment</w:t>
      </w:r>
      <w:r>
        <w:rPr>
          <w:spacing w:val="-11"/>
          <w:sz w:val="22"/>
          <w:vertAlign w:val="baseline"/>
        </w:rPr>
        <w:t> </w:t>
      </w:r>
      <w:r>
        <w:rPr>
          <w:sz w:val="22"/>
          <w:vertAlign w:val="baseline"/>
        </w:rPr>
        <w:t>date.</w:t>
      </w:r>
    </w:p>
    <w:p>
      <w:pPr>
        <w:pStyle w:val="ListParagraph"/>
        <w:numPr>
          <w:ilvl w:val="0"/>
          <w:numId w:val="133"/>
        </w:numPr>
        <w:tabs>
          <w:tab w:pos="940" w:val="left" w:leader="none"/>
          <w:tab w:pos="941" w:val="left" w:leader="none"/>
        </w:tabs>
        <w:spacing w:line="240" w:lineRule="auto" w:before="13" w:after="0"/>
        <w:ind w:left="940" w:right="0" w:hanging="361"/>
        <w:jc w:val="left"/>
        <w:rPr>
          <w:sz w:val="22"/>
        </w:rPr>
      </w:pPr>
      <w:r>
        <w:rPr>
          <w:rFonts w:ascii="Cambria Math" w:hAnsi="Cambria Math"/>
          <w:spacing w:val="-15"/>
          <w:sz w:val="22"/>
        </w:rPr>
        <w:t>P</w:t>
      </w:r>
      <w:r>
        <w:rPr>
          <w:rFonts w:ascii="Cambria Math" w:hAnsi="Cambria Math"/>
          <w:spacing w:val="-15"/>
          <w:position w:val="-4"/>
          <w:sz w:val="16"/>
        </w:rPr>
        <w:t>i </w:t>
      </w:r>
      <w:r>
        <w:rPr>
          <w:sz w:val="22"/>
        </w:rPr>
        <w:t>= the i</w:t>
      </w:r>
      <w:r>
        <w:rPr>
          <w:sz w:val="22"/>
          <w:vertAlign w:val="superscript"/>
        </w:rPr>
        <w:t>th</w:t>
      </w:r>
      <w:r>
        <w:rPr>
          <w:sz w:val="22"/>
          <w:vertAlign w:val="baseline"/>
        </w:rPr>
        <w:t>, or last,</w:t>
      </w:r>
      <w:r>
        <w:rPr>
          <w:spacing w:val="-8"/>
          <w:sz w:val="22"/>
          <w:vertAlign w:val="baseline"/>
        </w:rPr>
        <w:t> </w:t>
      </w:r>
      <w:r>
        <w:rPr>
          <w:sz w:val="22"/>
          <w:vertAlign w:val="baseline"/>
        </w:rPr>
        <w:t>payment.</w:t>
      </w:r>
    </w:p>
    <w:p>
      <w:pPr>
        <w:pStyle w:val="Heading4"/>
        <w:spacing w:before="216"/>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5"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discount rate to apply to the cash flows.</w:t>
            </w:r>
          </w:p>
        </w:tc>
      </w:tr>
      <w:tr>
        <w:trPr>
          <w:trHeight w:val="1965" w:hRule="atLeast"/>
        </w:trPr>
        <w:tc>
          <w:tcPr>
            <w:tcW w:w="1466" w:type="dxa"/>
          </w:tcPr>
          <w:p>
            <w:pPr>
              <w:pStyle w:val="TableParagraph"/>
              <w:spacing w:before="37"/>
              <w:rPr>
                <w:rFonts w:ascii="Times New Roman"/>
                <w:i/>
                <w:sz w:val="22"/>
              </w:rPr>
            </w:pPr>
            <w:r>
              <w:rPr>
                <w:rFonts w:ascii="Times New Roman"/>
                <w:i/>
                <w:sz w:val="22"/>
              </w:rPr>
              <w:t>values</w:t>
            </w:r>
          </w:p>
        </w:tc>
        <w:tc>
          <w:tcPr>
            <w:tcW w:w="1800" w:type="dxa"/>
          </w:tcPr>
          <w:p>
            <w:pPr>
              <w:pStyle w:val="TableParagraph"/>
              <w:ind w:left="112"/>
              <w:rPr>
                <w:sz w:val="22"/>
              </w:rPr>
            </w:pPr>
            <w:r>
              <w:rPr>
                <w:sz w:val="22"/>
              </w:rPr>
              <w:t>array, reference</w:t>
            </w:r>
          </w:p>
        </w:tc>
        <w:tc>
          <w:tcPr>
            <w:tcW w:w="5400" w:type="dxa"/>
          </w:tcPr>
          <w:p>
            <w:pPr>
              <w:pStyle w:val="TableParagraph"/>
              <w:ind w:left="113" w:right="204"/>
              <w:rPr>
                <w:sz w:val="22"/>
              </w:rPr>
            </w:pPr>
            <w:r>
              <w:rPr>
                <w:sz w:val="22"/>
              </w:rPr>
              <w:t>A series of cash flows that corresponds to a schedule of payment dates specified in </w:t>
            </w:r>
            <w:r>
              <w:rPr>
                <w:rFonts w:ascii="Times New Roman"/>
                <w:i/>
                <w:sz w:val="22"/>
              </w:rPr>
              <w:t>dates</w:t>
            </w:r>
            <w:r>
              <w:rPr>
                <w:sz w:val="22"/>
              </w:rPr>
              <w:t>. The first payment is optional and corresponds to a cost or payment that occurs at the beginning of the investment. If the first value is a cost or payment, it shall have a negative value. All succeeding payments are discounted based on a 365- day year. The series of values shall contain at least one</w:t>
            </w:r>
          </w:p>
        </w:tc>
      </w:tr>
    </w:tbl>
    <w:p>
      <w:pPr>
        <w:spacing w:after="0"/>
        <w:rPr>
          <w:sz w:val="22"/>
        </w:rPr>
        <w:sectPr>
          <w:type w:val="continuous"/>
          <w:pgSz w:w="12240" w:h="15840"/>
          <w:pgMar w:top="1340" w:bottom="940" w:left="860" w:right="700"/>
        </w:sectPr>
      </w:pPr>
    </w:p>
    <w:p>
      <w:pPr>
        <w:pStyle w:val="BodyText"/>
        <w:spacing w:before="8"/>
        <w:rPr>
          <w:sz w:val="7"/>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5400" w:type="dxa"/>
          </w:tcPr>
          <w:p>
            <w:pPr>
              <w:pStyle w:val="TableParagraph"/>
              <w:ind w:left="113"/>
              <w:rPr>
                <w:sz w:val="22"/>
              </w:rPr>
            </w:pPr>
            <w:r>
              <w:rPr>
                <w:sz w:val="22"/>
              </w:rPr>
              <w:t>positive and one negative value.</w:t>
            </w:r>
          </w:p>
        </w:tc>
      </w:tr>
      <w:tr>
        <w:trPr>
          <w:trHeight w:val="1696" w:hRule="atLeast"/>
        </w:trPr>
        <w:tc>
          <w:tcPr>
            <w:tcW w:w="1466" w:type="dxa"/>
          </w:tcPr>
          <w:p>
            <w:pPr>
              <w:pStyle w:val="TableParagraph"/>
              <w:spacing w:before="37"/>
              <w:rPr>
                <w:rFonts w:ascii="Times New Roman"/>
                <w:i/>
                <w:sz w:val="22"/>
              </w:rPr>
            </w:pPr>
            <w:r>
              <w:rPr>
                <w:rFonts w:ascii="Times New Roman"/>
                <w:i/>
                <w:sz w:val="22"/>
              </w:rPr>
              <w:t>dates</w:t>
            </w:r>
          </w:p>
        </w:tc>
        <w:tc>
          <w:tcPr>
            <w:tcW w:w="1800" w:type="dxa"/>
          </w:tcPr>
          <w:p>
            <w:pPr>
              <w:pStyle w:val="TableParagraph"/>
              <w:ind w:left="112"/>
              <w:rPr>
                <w:sz w:val="22"/>
              </w:rPr>
            </w:pPr>
            <w:r>
              <w:rPr>
                <w:sz w:val="22"/>
              </w:rPr>
              <w:t>reference</w:t>
            </w:r>
          </w:p>
        </w:tc>
        <w:tc>
          <w:tcPr>
            <w:tcW w:w="5400" w:type="dxa"/>
          </w:tcPr>
          <w:p>
            <w:pPr>
              <w:pStyle w:val="TableParagraph"/>
              <w:ind w:left="113" w:right="255"/>
              <w:rPr>
                <w:sz w:val="22"/>
              </w:rPr>
            </w:pPr>
            <w:r>
              <w:rPr>
                <w:sz w:val="22"/>
              </w:rPr>
              <w:t>A schedule of payment dates that corresponds to the cash flow payments in </w:t>
            </w:r>
            <w:r>
              <w:rPr>
                <w:rFonts w:ascii="Times New Roman"/>
                <w:i/>
                <w:sz w:val="22"/>
              </w:rPr>
              <w:t>values</w:t>
            </w:r>
            <w:r>
              <w:rPr>
                <w:sz w:val="22"/>
              </w:rPr>
              <w:t>. The first payment date indicates the beginning of the schedule of payments. All other dates shall be later than this date, but they can occur in any order. Time information in the date arguments is ignored.</w:t>
            </w:r>
          </w:p>
        </w:tc>
      </w:tr>
    </w:tbl>
    <w:p>
      <w:pPr>
        <w:pStyle w:val="BodyText"/>
        <w:rPr>
          <w:sz w:val="20"/>
        </w:rPr>
      </w:pPr>
    </w:p>
    <w:p>
      <w:pPr>
        <w:pStyle w:val="BodyText"/>
        <w:spacing w:before="10"/>
        <w:rPr>
          <w:sz w:val="16"/>
        </w:rPr>
      </w:pPr>
    </w:p>
    <w:p>
      <w:pPr>
        <w:pStyle w:val="BodyText"/>
        <w:spacing w:line="278" w:lineRule="auto" w:before="56"/>
        <w:ind w:left="220" w:right="873"/>
      </w:pPr>
      <w:r>
        <w:rPr>
          <w:b/>
        </w:rPr>
        <w:t>Return Type and Value</w:t>
      </w:r>
      <w:r>
        <w:rPr/>
        <w:t>: number – The net present value for a schedule of cash flows that is not necessarily periodic.</w:t>
      </w:r>
    </w:p>
    <w:p>
      <w:pPr>
        <w:pStyle w:val="BodyText"/>
        <w:spacing w:before="3"/>
        <w:rPr>
          <w:sz w:val="16"/>
        </w:rPr>
      </w:pPr>
    </w:p>
    <w:p>
      <w:pPr>
        <w:pStyle w:val="BodyText"/>
        <w:ind w:left="220"/>
      </w:pPr>
      <w:r>
        <w:rPr/>
        <w:t>However, if</w:t>
      </w:r>
    </w:p>
    <w:p>
      <w:pPr>
        <w:pStyle w:val="BodyText"/>
        <w:spacing w:before="6"/>
        <w:rPr>
          <w:sz w:val="19"/>
        </w:rPr>
      </w:pPr>
    </w:p>
    <w:p>
      <w:pPr>
        <w:pStyle w:val="ListParagraph"/>
        <w:numPr>
          <w:ilvl w:val="0"/>
          <w:numId w:val="133"/>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rate </w:t>
      </w:r>
      <w:r>
        <w:rPr>
          <w:sz w:val="22"/>
        </w:rPr>
        <w:t>≤ 0, </w:t>
      </w:r>
      <w:r>
        <w:rPr>
          <w:rFonts w:ascii="Consolas" w:hAnsi="Consolas"/>
          <w:sz w:val="22"/>
        </w:rPr>
        <w:t>#NUM!</w:t>
      </w:r>
      <w:r>
        <w:rPr>
          <w:rFonts w:ascii="Consolas" w:hAnsi="Consolas"/>
          <w:spacing w:val="-81"/>
          <w:sz w:val="22"/>
        </w:rPr>
        <w:t> </w:t>
      </w:r>
      <w:r>
        <w:rPr>
          <w:sz w:val="22"/>
        </w:rPr>
        <w:t>is returned.</w:t>
      </w:r>
    </w:p>
    <w:p>
      <w:pPr>
        <w:pStyle w:val="ListParagraph"/>
        <w:numPr>
          <w:ilvl w:val="0"/>
          <w:numId w:val="133"/>
        </w:numPr>
        <w:tabs>
          <w:tab w:pos="940" w:val="left" w:leader="none"/>
          <w:tab w:pos="941" w:val="left" w:leader="none"/>
        </w:tabs>
        <w:spacing w:line="240" w:lineRule="auto" w:before="42" w:after="0"/>
        <w:ind w:left="940" w:right="0" w:hanging="361"/>
        <w:jc w:val="left"/>
        <w:rPr>
          <w:sz w:val="22"/>
        </w:rPr>
      </w:pPr>
      <w:r>
        <w:rPr>
          <w:sz w:val="22"/>
        </w:rPr>
        <w:t>Any date in </w:t>
      </w:r>
      <w:r>
        <w:rPr>
          <w:rFonts w:ascii="Times New Roman" w:hAnsi="Times New Roman"/>
          <w:i/>
          <w:sz w:val="22"/>
        </w:rPr>
        <w:t>dates </w:t>
      </w:r>
      <w:r>
        <w:rPr>
          <w:sz w:val="22"/>
        </w:rPr>
        <w:t>is out of range for the current date system, </w:t>
      </w:r>
      <w:r>
        <w:rPr>
          <w:rFonts w:ascii="Consolas" w:hAnsi="Consolas"/>
          <w:sz w:val="22"/>
        </w:rPr>
        <w:t>#NUM!</w:t>
      </w:r>
      <w:r>
        <w:rPr>
          <w:rFonts w:ascii="Consolas" w:hAnsi="Consolas"/>
          <w:spacing w:val="-91"/>
          <w:sz w:val="22"/>
        </w:rPr>
        <w:t> </w:t>
      </w:r>
      <w:r>
        <w:rPr>
          <w:sz w:val="22"/>
        </w:rPr>
        <w:t>is returned.</w:t>
      </w:r>
    </w:p>
    <w:p>
      <w:pPr>
        <w:pStyle w:val="ListParagraph"/>
        <w:numPr>
          <w:ilvl w:val="0"/>
          <w:numId w:val="133"/>
        </w:numPr>
        <w:tabs>
          <w:tab w:pos="940" w:val="left" w:leader="none"/>
          <w:tab w:pos="941" w:val="left" w:leader="none"/>
        </w:tabs>
        <w:spacing w:line="240" w:lineRule="auto" w:before="39" w:after="0"/>
        <w:ind w:left="940" w:right="0" w:hanging="361"/>
        <w:jc w:val="left"/>
        <w:rPr>
          <w:sz w:val="22"/>
        </w:rPr>
      </w:pPr>
      <w:r>
        <w:rPr>
          <w:sz w:val="22"/>
        </w:rPr>
        <w:t>Any date in </w:t>
      </w:r>
      <w:r>
        <w:rPr>
          <w:rFonts w:ascii="Times New Roman" w:hAnsi="Times New Roman"/>
          <w:i/>
          <w:sz w:val="22"/>
        </w:rPr>
        <w:t>dates </w:t>
      </w:r>
      <w:r>
        <w:rPr>
          <w:sz w:val="22"/>
        </w:rPr>
        <w:t>precedes the starting date, </w:t>
      </w:r>
      <w:r>
        <w:rPr>
          <w:rFonts w:ascii="Consolas" w:hAnsi="Consolas"/>
          <w:sz w:val="22"/>
        </w:rPr>
        <w:t>#NUM!</w:t>
      </w:r>
      <w:r>
        <w:rPr>
          <w:rFonts w:ascii="Consolas" w:hAnsi="Consolas"/>
          <w:spacing w:val="-84"/>
          <w:sz w:val="22"/>
        </w:rPr>
        <w:t> </w:t>
      </w:r>
      <w:r>
        <w:rPr>
          <w:sz w:val="22"/>
        </w:rPr>
        <w:t>is returned.</w:t>
      </w:r>
    </w:p>
    <w:p>
      <w:pPr>
        <w:pStyle w:val="ListParagraph"/>
        <w:numPr>
          <w:ilvl w:val="0"/>
          <w:numId w:val="133"/>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values </w:t>
      </w:r>
      <w:r>
        <w:rPr>
          <w:sz w:val="22"/>
        </w:rPr>
        <w:t>and </w:t>
      </w:r>
      <w:r>
        <w:rPr>
          <w:rFonts w:ascii="Times New Roman" w:hAnsi="Times New Roman"/>
          <w:i/>
          <w:sz w:val="22"/>
        </w:rPr>
        <w:t>dates </w:t>
      </w:r>
      <w:r>
        <w:rPr>
          <w:sz w:val="22"/>
        </w:rPr>
        <w:t>contain different numbers of values, </w:t>
      </w:r>
      <w:r>
        <w:rPr>
          <w:rFonts w:ascii="Consolas" w:hAnsi="Consolas"/>
          <w:sz w:val="22"/>
        </w:rPr>
        <w:t>#NUM!</w:t>
      </w:r>
      <w:r>
        <w:rPr>
          <w:rFonts w:ascii="Consolas" w:hAnsi="Consolas"/>
          <w:spacing w:val="-93"/>
          <w:sz w:val="22"/>
        </w:rPr>
        <w:t> </w:t>
      </w:r>
      <w:r>
        <w:rPr>
          <w:sz w:val="22"/>
        </w:rPr>
        <w:t>is returned.</w:t>
      </w:r>
    </w:p>
    <w:p>
      <w:pPr>
        <w:pStyle w:val="BodyText"/>
        <w:spacing w:before="240"/>
        <w:ind w:left="220"/>
      </w:pPr>
      <w:r>
        <w:rPr/>
        <w:t>[</w:t>
      </w:r>
      <w:r>
        <w:rPr>
          <w:i/>
        </w:rPr>
        <w:t>Example</w:t>
      </w:r>
      <w:r>
        <w:rPr/>
        <w:t>: When the cells </w:t>
      </w:r>
      <w:r>
        <w:rPr>
          <w:rFonts w:ascii="Consolas"/>
        </w:rPr>
        <w:t>F2397:J2397</w:t>
      </w:r>
      <w:r>
        <w:rPr>
          <w:rFonts w:ascii="Consolas"/>
          <w:spacing w:val="-97"/>
        </w:rPr>
        <w:t> </w:t>
      </w:r>
      <w:r>
        <w:rPr/>
        <w:t>contain the dates January 1, 2008; March 1,2008; October 30, 2008;</w:t>
      </w:r>
    </w:p>
    <w:p>
      <w:pPr>
        <w:pStyle w:val="BodyText"/>
        <w:spacing w:before="39"/>
        <w:ind w:left="220"/>
      </w:pPr>
      <w:r>
        <w:rPr/>
        <w:t>February 15, 2009, and April 1, 2009:</w:t>
      </w:r>
    </w:p>
    <w:p>
      <w:pPr>
        <w:pStyle w:val="BodyText"/>
        <w:spacing w:before="9"/>
        <w:rPr>
          <w:sz w:val="28"/>
        </w:rPr>
      </w:pPr>
    </w:p>
    <w:p>
      <w:pPr>
        <w:pStyle w:val="BodyText"/>
        <w:ind w:left="220"/>
        <w:rPr>
          <w:rFonts w:ascii="Consolas"/>
        </w:rPr>
      </w:pPr>
      <w:r>
        <w:rPr>
          <w:rFonts w:ascii="Consolas"/>
        </w:rPr>
        <w:t>XNPV(0.09,{-10000,2750,4250,3250,2750},F2397:J2397)</w:t>
      </w:r>
      <w:r>
        <w:rPr>
          <w:rFonts w:ascii="Consolas"/>
          <w:spacing w:val="-68"/>
        </w:rPr>
        <w:t> </w:t>
      </w:r>
      <w:r>
        <w:rPr/>
        <w:t>results in </w:t>
      </w:r>
      <w:r>
        <w:rPr>
          <w:rFonts w:ascii="Consolas"/>
        </w:rPr>
        <w:t>2086.65</w:t>
      </w:r>
    </w:p>
    <w:p>
      <w:pPr>
        <w:pStyle w:val="BodyText"/>
        <w:spacing w:before="11"/>
        <w:rPr>
          <w:rFonts w:ascii="Consolas"/>
          <w:sz w:val="29"/>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51 YEAR" w:id="2447"/>
      <w:bookmarkEnd w:id="2447"/>
      <w:r>
        <w:rPr/>
      </w:r>
      <w:bookmarkStart w:name="_bookmark816" w:id="2448"/>
      <w:bookmarkEnd w:id="2448"/>
      <w:r>
        <w:rPr/>
      </w:r>
      <w:bookmarkStart w:name="_bookmark816" w:id="2449"/>
      <w:bookmarkEnd w:id="2449"/>
      <w:r>
        <w:rPr>
          <w:color w:val="4F81BC"/>
        </w:rPr>
        <w:t>Y</w:t>
      </w:r>
      <w:r>
        <w:rPr>
          <w:color w:val="4F81BC"/>
        </w:rPr>
        <w:t>EAR</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YEAR ( </w:t>
      </w:r>
      <w:r>
        <w:rPr>
          <w:i/>
          <w:sz w:val="22"/>
        </w:rPr>
        <w:t>date-value </w:t>
      </w:r>
      <w:r>
        <w:rPr>
          <w:rFonts w:ascii="Lucida Console"/>
          <w:sz w:val="20"/>
        </w:rPr>
        <w:t>)</w:t>
      </w:r>
    </w:p>
    <w:p>
      <w:pPr>
        <w:pStyle w:val="BodyText"/>
        <w:spacing w:line="276" w:lineRule="auto" w:before="106"/>
        <w:ind w:left="220" w:right="516"/>
      </w:pPr>
      <w:r>
        <w:rPr>
          <w:b/>
        </w:rPr>
        <w:t>Description: </w:t>
      </w:r>
      <w:r>
        <w:rPr/>
        <w:t>Computes the numeric year in the Gregorian calendar [ISO 8601 §3.2.1] for the date and/or time having the given </w:t>
      </w:r>
      <w:r>
        <w:rPr>
          <w:rFonts w:ascii="Times New Roman" w:hAnsi="Times New Roman"/>
          <w:i/>
        </w:rPr>
        <w:t>date-value</w:t>
      </w:r>
      <w:r>
        <w:rPr/>
        <w:t>, taking into account the current date system. That date and/or time shall be expressed either as a serial date-time, in which case, its fractional part is ignored, or as a </w:t>
      </w:r>
      <w:r>
        <w:rPr>
          <w:rFonts w:ascii="Times New Roman" w:hAnsi="Times New Roman"/>
          <w:i/>
        </w:rPr>
        <w:t>string-constant </w:t>
      </w:r>
      <w:r>
        <w:rPr/>
        <w:t>having any date and/or time format, in which case, any time information shall be ignored.</w:t>
      </w:r>
    </w:p>
    <w:p>
      <w:pPr>
        <w:pStyle w:val="BodyText"/>
        <w:spacing w:before="7"/>
        <w:rPr>
          <w:sz w:val="16"/>
        </w:rPr>
      </w:pPr>
    </w:p>
    <w:p>
      <w:pPr>
        <w:pStyle w:val="Heading4"/>
      </w:pPr>
      <w:r>
        <w:rPr/>
        <w:t>Arguments:</w:t>
      </w:r>
    </w:p>
    <w:p>
      <w:pPr>
        <w:pStyle w:val="BodyText"/>
        <w:spacing w:before="10"/>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spacing w:before="42"/>
              <w:ind w:left="0" w:right="448"/>
              <w:jc w:val="right"/>
              <w:rPr>
                <w:b/>
                <w:sz w:val="22"/>
              </w:rPr>
            </w:pPr>
            <w:r>
              <w:rPr>
                <w:b/>
                <w:sz w:val="22"/>
              </w:rPr>
              <w:t>Name</w:t>
            </w:r>
          </w:p>
        </w:tc>
        <w:tc>
          <w:tcPr>
            <w:tcW w:w="1800" w:type="dxa"/>
            <w:shd w:val="clear" w:color="auto" w:fill="C0C0C0"/>
          </w:tcPr>
          <w:p>
            <w:pPr>
              <w:pStyle w:val="TableParagraph"/>
              <w:spacing w:before="42"/>
              <w:ind w:left="94" w:right="86"/>
              <w:jc w:val="center"/>
              <w:rPr>
                <w:b/>
                <w:sz w:val="22"/>
              </w:rPr>
            </w:pPr>
            <w:r>
              <w:rPr>
                <w:b/>
                <w:sz w:val="22"/>
              </w:rPr>
              <w:t>Type</w:t>
            </w:r>
          </w:p>
        </w:tc>
        <w:tc>
          <w:tcPr>
            <w:tcW w:w="5400" w:type="dxa"/>
            <w:shd w:val="clear" w:color="auto" w:fill="C0C0C0"/>
          </w:tcPr>
          <w:p>
            <w:pPr>
              <w:pStyle w:val="TableParagraph"/>
              <w:spacing w:before="42"/>
              <w:ind w:left="93" w:right="86"/>
              <w:jc w:val="center"/>
              <w:rPr>
                <w:b/>
                <w:sz w:val="22"/>
              </w:rPr>
            </w:pPr>
            <w:r>
              <w:rPr>
                <w:b/>
                <w:sz w:val="22"/>
              </w:rPr>
              <w:t>Description</w:t>
            </w:r>
          </w:p>
        </w:tc>
      </w:tr>
      <w:tr>
        <w:trPr>
          <w:trHeight w:val="1429" w:hRule="atLeast"/>
        </w:trPr>
        <w:tc>
          <w:tcPr>
            <w:tcW w:w="1466" w:type="dxa"/>
          </w:tcPr>
          <w:p>
            <w:pPr>
              <w:pStyle w:val="TableParagraph"/>
              <w:spacing w:before="37"/>
              <w:ind w:left="0" w:right="408"/>
              <w:jc w:val="right"/>
              <w:rPr>
                <w:rFonts w:ascii="Times New Roman"/>
                <w:i/>
                <w:sz w:val="22"/>
              </w:rPr>
            </w:pPr>
            <w:r>
              <w:rPr>
                <w:rFonts w:ascii="Times New Roman"/>
                <w:i/>
                <w:sz w:val="22"/>
              </w:rPr>
              <w:t>date-value</w:t>
            </w:r>
          </w:p>
        </w:tc>
        <w:tc>
          <w:tcPr>
            <w:tcW w:w="1800" w:type="dxa"/>
          </w:tcPr>
          <w:p>
            <w:pPr>
              <w:pStyle w:val="TableParagraph"/>
              <w:ind w:left="112"/>
              <w:rPr>
                <w:sz w:val="22"/>
              </w:rPr>
            </w:pPr>
            <w:r>
              <w:rPr>
                <w:sz w:val="22"/>
              </w:rPr>
              <w:t>number, text</w:t>
            </w:r>
          </w:p>
        </w:tc>
        <w:tc>
          <w:tcPr>
            <w:tcW w:w="5400" w:type="dxa"/>
          </w:tcPr>
          <w:p>
            <w:pPr>
              <w:pStyle w:val="TableParagraph"/>
              <w:ind w:left="113" w:right="117"/>
              <w:rPr>
                <w:sz w:val="22"/>
              </w:rPr>
            </w:pPr>
            <w:r>
              <w:rPr>
                <w:sz w:val="22"/>
              </w:rPr>
              <w:t>The date and/or time whose year is to be computed. That date and/or time shall be expressed either as a serial date-time, in which case, its fractional part is ignored, or as a </w:t>
            </w:r>
            <w:r>
              <w:rPr>
                <w:rFonts w:ascii="Times New Roman"/>
                <w:i/>
                <w:sz w:val="22"/>
              </w:rPr>
              <w:t>string-constant </w:t>
            </w:r>
            <w:r>
              <w:rPr>
                <w:sz w:val="22"/>
              </w:rPr>
              <w:t>having any date and/or time format, in which case, any time information shall be ignored.</w:t>
            </w:r>
          </w:p>
        </w:tc>
      </w:tr>
    </w:tbl>
    <w:p>
      <w:pPr>
        <w:spacing w:after="0"/>
        <w:rPr>
          <w:sz w:val="22"/>
        </w:rPr>
        <w:sectPr>
          <w:pgSz w:w="12240" w:h="15840"/>
          <w:pgMar w:header="761" w:footer="746" w:top="1340" w:bottom="940" w:left="860" w:right="700"/>
        </w:sectPr>
      </w:pPr>
    </w:p>
    <w:p>
      <w:pPr>
        <w:pStyle w:val="BodyText"/>
        <w:rPr>
          <w:b/>
          <w:sz w:val="20"/>
        </w:rPr>
      </w:pPr>
    </w:p>
    <w:p>
      <w:pPr>
        <w:pStyle w:val="BodyText"/>
        <w:spacing w:before="3"/>
        <w:rPr>
          <w:b/>
          <w:sz w:val="29"/>
        </w:rPr>
      </w:pPr>
    </w:p>
    <w:p>
      <w:pPr>
        <w:pStyle w:val="BodyText"/>
        <w:spacing w:line="276" w:lineRule="auto" w:before="56"/>
        <w:ind w:left="220" w:right="405"/>
      </w:pPr>
      <w:r>
        <w:rPr>
          <w:b/>
        </w:rPr>
        <w:t>Return Type and Value: </w:t>
      </w:r>
      <w:r>
        <w:rPr/>
        <w:t>number – The year in the Gregorian calendar [ISO 8601 §3.2.1] for the date and/or time having the given </w:t>
      </w:r>
      <w:r>
        <w:rPr>
          <w:rFonts w:ascii="Times New Roman" w:hAnsi="Times New Roman"/>
          <w:i/>
        </w:rPr>
        <w:t>date-value</w:t>
      </w:r>
      <w:r>
        <w:rPr/>
        <w:t>. The range of return values is determined by the date system currently in use </w:t>
      </w:r>
      <w:hyperlink w:history="true" w:anchor="_bookmark445">
        <w:r>
          <w:rPr/>
          <w:t>(§18.17.4</w:t>
        </w:r>
      </w:hyperlink>
      <w:r>
        <w:rPr/>
        <w:t>).</w:t>
      </w:r>
    </w:p>
    <w:p>
      <w:pPr>
        <w:pStyle w:val="BodyText"/>
        <w:spacing w:before="6"/>
        <w:rPr>
          <w:sz w:val="16"/>
        </w:rPr>
      </w:pPr>
    </w:p>
    <w:p>
      <w:pPr>
        <w:pStyle w:val="BodyText"/>
        <w:spacing w:line="453" w:lineRule="auto"/>
        <w:ind w:left="220" w:right="2289"/>
      </w:pPr>
      <w:r>
        <w:rPr/>
        <w:t>However, if </w:t>
      </w:r>
      <w:r>
        <w:rPr>
          <w:rFonts w:ascii="Times New Roman"/>
          <w:i/>
        </w:rPr>
        <w:t>date-value </w:t>
      </w:r>
      <w:r>
        <w:rPr/>
        <w:t>is out of range for the current date system, </w:t>
      </w:r>
      <w:r>
        <w:rPr>
          <w:rFonts w:ascii="Consolas"/>
        </w:rPr>
        <w:t>#NUM!</w:t>
      </w:r>
      <w:r>
        <w:rPr>
          <w:rFonts w:ascii="Consolas"/>
          <w:spacing w:val="-103"/>
        </w:rPr>
        <w:t> </w:t>
      </w:r>
      <w:r>
        <w:rPr/>
        <w:t>is returned. [</w:t>
      </w:r>
      <w:r>
        <w:rPr>
          <w:i/>
        </w:rPr>
        <w:t>Example</w:t>
      </w:r>
      <w:r>
        <w:rPr/>
        <w:t>:</w:t>
      </w:r>
    </w:p>
    <w:p>
      <w:pPr>
        <w:pStyle w:val="BodyText"/>
        <w:spacing w:line="273" w:lineRule="auto" w:before="111"/>
        <w:ind w:left="220" w:right="6636"/>
        <w:rPr>
          <w:rFonts w:ascii="Consolas"/>
        </w:rPr>
      </w:pPr>
      <w:r>
        <w:rPr>
          <w:rFonts w:ascii="Consolas"/>
        </w:rPr>
        <w:t>YEAR(DATE(2006,1,2))</w:t>
      </w:r>
      <w:r>
        <w:rPr>
          <w:rFonts w:ascii="Consolas"/>
          <w:spacing w:val="-84"/>
        </w:rPr>
        <w:t> </w:t>
      </w:r>
      <w:r>
        <w:rPr/>
        <w:t>results in </w:t>
      </w:r>
      <w:r>
        <w:rPr>
          <w:rFonts w:ascii="Consolas"/>
        </w:rPr>
        <w:t>2006 YEAR(DATE(2006,0,2))</w:t>
      </w:r>
      <w:r>
        <w:rPr>
          <w:rFonts w:ascii="Consolas"/>
          <w:spacing w:val="-84"/>
        </w:rPr>
        <w:t> </w:t>
      </w:r>
      <w:r>
        <w:rPr/>
        <w:t>results in </w:t>
      </w:r>
      <w:r>
        <w:rPr>
          <w:rFonts w:ascii="Consolas"/>
        </w:rPr>
        <w:t>2005</w:t>
      </w:r>
    </w:p>
    <w:p>
      <w:pPr>
        <w:pStyle w:val="BodyText"/>
        <w:spacing w:before="4"/>
        <w:ind w:left="220"/>
        <w:rPr>
          <w:rFonts w:ascii="Consolas"/>
        </w:rPr>
      </w:pPr>
      <w:r>
        <w:rPr>
          <w:rFonts w:ascii="Consolas"/>
        </w:rPr>
        <w:t>YEAR("2006/1/2 10:45 AM")</w:t>
      </w:r>
      <w:r>
        <w:rPr>
          <w:rFonts w:ascii="Consolas"/>
          <w:spacing w:val="-74"/>
        </w:rPr>
        <w:t> </w:t>
      </w:r>
      <w:r>
        <w:rPr/>
        <w:t>results in </w:t>
      </w:r>
      <w:r>
        <w:rPr>
          <w:rFonts w:ascii="Consolas"/>
        </w:rPr>
        <w:t>2006</w:t>
      </w:r>
    </w:p>
    <w:p>
      <w:pPr>
        <w:pStyle w:val="BodyText"/>
        <w:spacing w:before="42"/>
        <w:ind w:left="220"/>
      </w:pPr>
      <w:r>
        <w:rPr>
          <w:rFonts w:ascii="Consolas"/>
        </w:rPr>
        <w:t>YEAR(30000)</w:t>
      </w:r>
      <w:r>
        <w:rPr>
          <w:rFonts w:ascii="Consolas"/>
          <w:spacing w:val="-69"/>
        </w:rPr>
        <w:t> </w:t>
      </w:r>
      <w:r>
        <w:rPr/>
        <w:t>results in </w:t>
      </w:r>
      <w:r>
        <w:rPr>
          <w:rFonts w:ascii="Consolas"/>
        </w:rPr>
        <w:t>1982</w:t>
      </w:r>
      <w:r>
        <w:rPr>
          <w:rFonts w:ascii="Consolas"/>
          <w:spacing w:val="-71"/>
        </w:rPr>
        <w:t> </w:t>
      </w:r>
      <w:r>
        <w:rPr/>
        <w:t>for the 1900 date system, or </w:t>
      </w:r>
      <w:r>
        <w:rPr>
          <w:rFonts w:ascii="Consolas"/>
        </w:rPr>
        <w:t>1986</w:t>
      </w:r>
      <w:r>
        <w:rPr>
          <w:rFonts w:ascii="Consolas"/>
          <w:spacing w:val="-70"/>
        </w:rPr>
        <w:t> </w:t>
      </w:r>
      <w:r>
        <w:rPr/>
        <w:t>for the 1904 date system</w:t>
      </w:r>
    </w:p>
    <w:p>
      <w:pPr>
        <w:pStyle w:val="BodyText"/>
        <w:spacing w:before="8"/>
        <w:rPr>
          <w:sz w:val="28"/>
        </w:rPr>
      </w:pPr>
    </w:p>
    <w:p>
      <w:pPr>
        <w:spacing w:before="0"/>
        <w:ind w:left="220" w:right="0" w:firstLine="0"/>
        <w:jc w:val="left"/>
        <w:rPr>
          <w:sz w:val="22"/>
        </w:rPr>
      </w:pPr>
      <w:r>
        <w:rPr>
          <w:i/>
          <w:sz w:val="22"/>
        </w:rPr>
        <w:t>end example</w:t>
      </w:r>
      <w:r>
        <w:rPr>
          <w:sz w:val="22"/>
        </w:rPr>
        <w:t>]</w:t>
      </w:r>
    </w:p>
    <w:p>
      <w:pPr>
        <w:pStyle w:val="BodyText"/>
        <w:spacing w:before="9"/>
        <w:rPr>
          <w:sz w:val="19"/>
        </w:rPr>
      </w:pPr>
    </w:p>
    <w:p>
      <w:pPr>
        <w:pStyle w:val="Heading3"/>
        <w:numPr>
          <w:ilvl w:val="3"/>
          <w:numId w:val="66"/>
        </w:numPr>
        <w:tabs>
          <w:tab w:pos="1732" w:val="left" w:leader="none"/>
          <w:tab w:pos="1733" w:val="left" w:leader="none"/>
        </w:tabs>
        <w:spacing w:line="240" w:lineRule="auto" w:before="0" w:after="0"/>
        <w:ind w:left="1732" w:right="0" w:hanging="1513"/>
        <w:jc w:val="left"/>
      </w:pPr>
      <w:bookmarkStart w:name="18.17.7.352 YEARFRAC" w:id="2450"/>
      <w:bookmarkEnd w:id="2450"/>
      <w:r>
        <w:rPr/>
      </w:r>
      <w:bookmarkStart w:name="_bookmark817" w:id="2451"/>
      <w:bookmarkEnd w:id="2451"/>
      <w:r>
        <w:rPr/>
      </w:r>
      <w:bookmarkStart w:name="_bookmark817" w:id="2452"/>
      <w:bookmarkEnd w:id="2452"/>
      <w:r>
        <w:rPr>
          <w:color w:val="4F81BC"/>
        </w:rPr>
        <w:t>Y</w:t>
      </w:r>
      <w:r>
        <w:rPr>
          <w:color w:val="4F81BC"/>
        </w:rPr>
        <w:t>EARFRAC</w:t>
      </w:r>
    </w:p>
    <w:p>
      <w:pPr>
        <w:pStyle w:val="Heading4"/>
        <w:spacing w:before="122"/>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YEARFRAC ( </w:t>
      </w:r>
      <w:r>
        <w:rPr>
          <w:i/>
          <w:sz w:val="22"/>
        </w:rPr>
        <w:t>start-date </w:t>
      </w:r>
      <w:r>
        <w:rPr>
          <w:rFonts w:ascii="Lucida Console"/>
          <w:sz w:val="20"/>
        </w:rPr>
        <w:t>, </w:t>
      </w:r>
      <w:r>
        <w:rPr>
          <w:i/>
          <w:sz w:val="22"/>
        </w:rPr>
        <w:t>end-date </w:t>
      </w:r>
      <w:r>
        <w:rPr>
          <w:sz w:val="22"/>
        </w:rPr>
        <w:t>[ </w:t>
      </w:r>
      <w:r>
        <w:rPr>
          <w:rFonts w:ascii="Lucida Console"/>
          <w:sz w:val="20"/>
        </w:rPr>
        <w:t>,</w:t>
      </w:r>
      <w:r>
        <w:rPr>
          <w:rFonts w:ascii="Lucida Console"/>
          <w:spacing w:val="-86"/>
          <w:sz w:val="20"/>
        </w:rPr>
        <w:t> </w:t>
      </w:r>
      <w:r>
        <w:rPr>
          <w:i/>
          <w:sz w:val="22"/>
        </w:rPr>
        <w:t>basis </w:t>
      </w:r>
      <w:r>
        <w:rPr>
          <w:sz w:val="22"/>
        </w:rPr>
        <w:t>] </w:t>
      </w:r>
      <w:r>
        <w:rPr>
          <w:rFonts w:ascii="Lucida Console"/>
          <w:sz w:val="20"/>
        </w:rPr>
        <w:t>)</w:t>
      </w:r>
    </w:p>
    <w:p>
      <w:pPr>
        <w:spacing w:line="278" w:lineRule="auto" w:before="106"/>
        <w:ind w:left="220" w:right="559" w:firstLine="0"/>
        <w:jc w:val="left"/>
        <w:rPr>
          <w:sz w:val="22"/>
        </w:rPr>
      </w:pPr>
      <w:r>
        <w:rPr>
          <w:b/>
          <w:sz w:val="22"/>
        </w:rPr>
        <w:t>Description: </w:t>
      </w:r>
      <w:r>
        <w:rPr>
          <w:sz w:val="22"/>
        </w:rPr>
        <w:t>Computes the fractional number of years represented by the number of whole days between two dates, </w:t>
      </w:r>
      <w:r>
        <w:rPr>
          <w:rFonts w:ascii="Times New Roman"/>
          <w:i/>
          <w:sz w:val="22"/>
        </w:rPr>
        <w:t>start-date </w:t>
      </w:r>
      <w:r>
        <w:rPr>
          <w:sz w:val="22"/>
        </w:rPr>
        <w:t>and </w:t>
      </w:r>
      <w:r>
        <w:rPr>
          <w:rFonts w:ascii="Times New Roman"/>
          <w:i/>
          <w:sz w:val="22"/>
        </w:rPr>
        <w:t>end-date</w:t>
      </w:r>
      <w:r>
        <w:rPr>
          <w:sz w:val="22"/>
        </w:rPr>
        <w:t>., according to </w:t>
      </w:r>
      <w:r>
        <w:rPr>
          <w:rFonts w:ascii="Times New Roman"/>
          <w:i/>
          <w:sz w:val="22"/>
        </w:rPr>
        <w:t>basis</w:t>
      </w:r>
      <w:r>
        <w:rPr>
          <w:sz w:val="22"/>
        </w:rPr>
        <w:t>.</w:t>
      </w:r>
    </w:p>
    <w:p>
      <w:pPr>
        <w:pStyle w:val="Heading4"/>
        <w:spacing w:before="197"/>
      </w:pPr>
      <w:r>
        <w:rPr/>
        <w:t>Arguments:</w:t>
      </w:r>
    </w:p>
    <w:p>
      <w:pPr>
        <w:pStyle w:val="BodyText"/>
        <w:spacing w:before="10"/>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23" w:hRule="atLeast"/>
        </w:trPr>
        <w:tc>
          <w:tcPr>
            <w:tcW w:w="1466" w:type="dxa"/>
          </w:tcPr>
          <w:p>
            <w:pPr>
              <w:pStyle w:val="TableParagraph"/>
              <w:spacing w:before="37"/>
              <w:rPr>
                <w:rFonts w:ascii="Times New Roman"/>
                <w:i/>
                <w:sz w:val="22"/>
              </w:rPr>
            </w:pPr>
            <w:r>
              <w:rPr>
                <w:rFonts w:ascii="Times New Roman"/>
                <w:i/>
                <w:sz w:val="22"/>
              </w:rPr>
              <w:t>start-date</w:t>
            </w:r>
          </w:p>
        </w:tc>
        <w:tc>
          <w:tcPr>
            <w:tcW w:w="1800" w:type="dxa"/>
          </w:tcPr>
          <w:p>
            <w:pPr>
              <w:pStyle w:val="TableParagraph"/>
              <w:ind w:left="112"/>
              <w:rPr>
                <w:sz w:val="22"/>
              </w:rPr>
            </w:pPr>
            <w:r>
              <w:rPr>
                <w:sz w:val="22"/>
              </w:rPr>
              <w:t>number</w:t>
            </w:r>
          </w:p>
        </w:tc>
        <w:tc>
          <w:tcPr>
            <w:tcW w:w="5399" w:type="dxa"/>
            <w:gridSpan w:val="4"/>
          </w:tcPr>
          <w:p>
            <w:pPr>
              <w:pStyle w:val="TableParagraph"/>
              <w:ind w:left="113" w:right="218"/>
              <w:rPr>
                <w:sz w:val="22"/>
              </w:rPr>
            </w:pPr>
            <w:r>
              <w:rPr>
                <w:sz w:val="22"/>
              </w:rPr>
              <w:t>The period's starting date. </w:t>
            </w:r>
            <w:r>
              <w:rPr>
                <w:rFonts w:ascii="Times New Roman"/>
                <w:i/>
                <w:sz w:val="22"/>
              </w:rPr>
              <w:t>start-date </w:t>
            </w:r>
            <w:r>
              <w:rPr>
                <w:sz w:val="22"/>
              </w:rPr>
              <w:t>can be earlier than, the same as, or later than </w:t>
            </w:r>
            <w:r>
              <w:rPr>
                <w:rFonts w:ascii="Times New Roman"/>
                <w:i/>
                <w:sz w:val="22"/>
              </w:rPr>
              <w:t>end-date</w:t>
            </w:r>
            <w:r>
              <w:rPr>
                <w:sz w:val="22"/>
              </w:rPr>
              <w:t>.</w:t>
            </w:r>
          </w:p>
        </w:tc>
      </w:tr>
      <w:tr>
        <w:trPr>
          <w:trHeight w:val="354" w:hRule="atLeast"/>
        </w:trPr>
        <w:tc>
          <w:tcPr>
            <w:tcW w:w="1466" w:type="dxa"/>
          </w:tcPr>
          <w:p>
            <w:pPr>
              <w:pStyle w:val="TableParagraph"/>
              <w:spacing w:before="37"/>
              <w:rPr>
                <w:rFonts w:ascii="Times New Roman"/>
                <w:i/>
                <w:sz w:val="22"/>
              </w:rPr>
            </w:pPr>
            <w:r>
              <w:rPr>
                <w:rFonts w:ascii="Times New Roman"/>
                <w:i/>
                <w:sz w:val="22"/>
              </w:rPr>
              <w:t>end-date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period's ending date.</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278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spacing w:line="267" w:lineRule="exact" w:before="42"/>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34"/>
              </w:numPr>
              <w:tabs>
                <w:tab w:pos="838" w:val="left" w:leader="none"/>
              </w:tabs>
              <w:spacing w:line="240" w:lineRule="auto" w:before="1" w:after="0"/>
              <w:ind w:left="837" w:right="104" w:hanging="360"/>
              <w:jc w:val="both"/>
              <w:rPr>
                <w:sz w:val="22"/>
              </w:rPr>
            </w:pPr>
            <w:r>
              <w:rPr>
                <w:sz w:val="22"/>
              </w:rPr>
              <w:t>If the date is </w:t>
            </w:r>
            <w:r>
              <w:rPr>
                <w:spacing w:val="-7"/>
                <w:sz w:val="22"/>
              </w:rPr>
              <w:t>28 </w:t>
            </w:r>
            <w:r>
              <w:rPr>
                <w:sz w:val="22"/>
              </w:rPr>
              <w:t>or 29 February, it is adjusted</w:t>
            </w:r>
            <w:r>
              <w:rPr>
                <w:spacing w:val="-4"/>
                <w:sz w:val="22"/>
              </w:rPr>
              <w:t> </w:t>
            </w:r>
            <w:r>
              <w:rPr>
                <w:sz w:val="22"/>
              </w:rPr>
              <w:t>to</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5253"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Pr>
                <w:sz w:val="22"/>
              </w:rPr>
            </w:pPr>
            <w:r>
              <w:rPr>
                <w:sz w:val="22"/>
              </w:rPr>
              <w:t>30 February.</w:t>
            </w:r>
          </w:p>
          <w:p>
            <w:pPr>
              <w:pStyle w:val="TableParagraph"/>
              <w:numPr>
                <w:ilvl w:val="0"/>
                <w:numId w:val="135"/>
              </w:numPr>
              <w:tabs>
                <w:tab w:pos="837" w:val="left" w:leader="none"/>
                <w:tab w:pos="838" w:val="left" w:leader="none"/>
              </w:tabs>
              <w:spacing w:line="240" w:lineRule="auto" w:before="1"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438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 Year length used is the average length of the years that the range crosses (regardless of where the start and end dates fall in their respective years).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216"/>
              <w:jc w:val="both"/>
              <w:rPr>
                <w:sz w:val="22"/>
              </w:rPr>
            </w:pPr>
            <w:r>
              <w:rPr>
                <w:sz w:val="22"/>
              </w:rPr>
              <w:t>European 30/360. The European method for adjusting day counts.</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7466"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24"/>
              <w:rPr>
                <w:sz w:val="22"/>
              </w:rPr>
            </w:pPr>
            <w:r>
              <w:rPr>
                <w:sz w:val="22"/>
              </w:rPr>
              <w:t>Assumes that each month has 30 days and the total number of days in the year is 360 by making the following adjustments:</w:t>
            </w:r>
          </w:p>
          <w:p>
            <w:pPr>
              <w:pStyle w:val="TableParagraph"/>
              <w:numPr>
                <w:ilvl w:val="0"/>
                <w:numId w:val="136"/>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36"/>
              </w:numPr>
              <w:tabs>
                <w:tab w:pos="1197" w:val="left" w:leader="none"/>
                <w:tab w:pos="1198" w:val="left" w:leader="none"/>
              </w:tabs>
              <w:spacing w:line="237" w:lineRule="auto" w:before="4" w:after="0"/>
              <w:ind w:left="1197" w:right="101" w:hanging="360"/>
              <w:jc w:val="left"/>
              <w:rPr>
                <w:sz w:val="22"/>
              </w:rPr>
            </w:pPr>
            <w:r>
              <w:rPr>
                <w:sz w:val="22"/>
              </w:rPr>
              <w:t>For </w:t>
            </w:r>
            <w:r>
              <w:rPr>
                <w:spacing w:val="-3"/>
                <w:sz w:val="22"/>
              </w:rPr>
              <w:t>months </w:t>
            </w:r>
            <w:r>
              <w:rPr>
                <w:sz w:val="22"/>
              </w:rPr>
              <w:t>with</w:t>
            </w:r>
          </w:p>
          <w:p>
            <w:pPr>
              <w:pStyle w:val="TableParagraph"/>
              <w:spacing w:before="2"/>
              <w:ind w:left="1197" w:right="107"/>
              <w:rPr>
                <w:sz w:val="22"/>
              </w:rPr>
            </w:pPr>
            <w:r>
              <w:rPr>
                <w:sz w:val="22"/>
              </w:rPr>
              <w:t>31 days, all dates with a day value of 31 are changed to day 30, including situations where the first date</w:t>
            </w:r>
          </w:p>
          <w:p>
            <w:pPr>
              <w:pStyle w:val="TableParagraph"/>
              <w:spacing w:before="0"/>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6"/>
        <w:ind w:left="220"/>
      </w:pPr>
      <w:r>
        <w:rPr/>
        <w:t>All arguments are truncated to integers.</w:t>
      </w:r>
    </w:p>
    <w:p>
      <w:pPr>
        <w:pStyle w:val="BodyText"/>
        <w:spacing w:before="6"/>
        <w:rPr>
          <w:sz w:val="19"/>
        </w:rPr>
      </w:pPr>
    </w:p>
    <w:p>
      <w:pPr>
        <w:pStyle w:val="BodyText"/>
        <w:spacing w:line="276" w:lineRule="auto"/>
        <w:ind w:left="220" w:right="732"/>
      </w:pPr>
      <w:r>
        <w:rPr>
          <w:b/>
        </w:rPr>
        <w:t>Return Type and Value: </w:t>
      </w:r>
      <w:r>
        <w:rPr/>
        <w:t>number – The fractional number of years represented by the number of whole days between two dates, </w:t>
      </w:r>
      <w:r>
        <w:rPr>
          <w:rFonts w:ascii="Times New Roman" w:hAnsi="Times New Roman"/>
          <w:i/>
        </w:rPr>
        <w:t>start-date </w:t>
      </w:r>
      <w:r>
        <w:rPr/>
        <w:t>and </w:t>
      </w:r>
      <w:r>
        <w:rPr>
          <w:rFonts w:ascii="Times New Roman" w:hAnsi="Times New Roman"/>
          <w:i/>
        </w:rPr>
        <w:t>end-date</w:t>
      </w:r>
      <w:r>
        <w:rPr/>
        <w:t>., according to </w:t>
      </w:r>
      <w:r>
        <w:rPr>
          <w:rFonts w:ascii="Times New Roman" w:hAnsi="Times New Roman"/>
          <w:i/>
        </w:rPr>
        <w:t>basis</w:t>
      </w:r>
      <w:r>
        <w:rPr/>
        <w:t>. If the Actual/actual basis is used, the year length used is the average length of the years that the range crosses, regardless of where </w:t>
      </w:r>
      <w:r>
        <w:rPr>
          <w:rFonts w:ascii="Times New Roman" w:hAnsi="Times New Roman"/>
          <w:i/>
        </w:rPr>
        <w:t>start-date </w:t>
      </w:r>
      <w:r>
        <w:rPr/>
        <w:t>and </w:t>
      </w:r>
      <w:r>
        <w:rPr>
          <w:rFonts w:ascii="Times New Roman" w:hAnsi="Times New Roman"/>
          <w:i/>
        </w:rPr>
        <w:t>end- </w:t>
      </w:r>
      <w:r>
        <w:rPr>
          <w:rFonts w:ascii="Times New Roman" w:hAnsi="Times New Roman"/>
          <w:i/>
        </w:rPr>
        <w:t>date </w:t>
      </w:r>
      <w:r>
        <w:rPr/>
        <w:t>fall in their respective years.</w:t>
      </w:r>
    </w:p>
    <w:p>
      <w:pPr>
        <w:pStyle w:val="BodyText"/>
        <w:spacing w:line="453" w:lineRule="auto" w:before="203"/>
        <w:ind w:left="220" w:right="4547"/>
      </w:pPr>
      <w:r>
        <w:rPr/>
        <w:t>However, if the value of </w:t>
      </w:r>
      <w:r>
        <w:rPr>
          <w:rFonts w:ascii="Times New Roman"/>
          <w:i/>
        </w:rPr>
        <w:t>basis </w:t>
      </w:r>
      <w:r>
        <w:rPr/>
        <w:t>is out of range, </w:t>
      </w:r>
      <w:r>
        <w:rPr>
          <w:rFonts w:ascii="Consolas"/>
        </w:rPr>
        <w:t>#NUM!</w:t>
      </w:r>
      <w:r>
        <w:rPr>
          <w:rFonts w:ascii="Consolas"/>
          <w:spacing w:val="-90"/>
        </w:rPr>
        <w:t> </w:t>
      </w:r>
      <w:r>
        <w:rPr/>
        <w:t>is returned. [</w:t>
      </w:r>
      <w:r>
        <w:rPr>
          <w:i/>
        </w:rPr>
        <w:t>Example</w:t>
      </w:r>
      <w:r>
        <w:rPr/>
        <w:t>:</w:t>
      </w:r>
    </w:p>
    <w:p>
      <w:pPr>
        <w:pStyle w:val="BodyText"/>
        <w:spacing w:line="276" w:lineRule="auto" w:before="111"/>
        <w:ind w:left="220"/>
        <w:rPr>
          <w:rFonts w:ascii="Consolas"/>
        </w:rPr>
      </w:pPr>
      <w:r>
        <w:rPr>
          <w:rFonts w:ascii="Consolas"/>
        </w:rPr>
        <w:t>YEARFRAC(DATE(2006,1,1),DATE(2006,3,26))</w:t>
      </w:r>
      <w:r>
        <w:rPr>
          <w:rFonts w:ascii="Consolas"/>
          <w:spacing w:val="-94"/>
        </w:rPr>
        <w:t> </w:t>
      </w:r>
      <w:r>
        <w:rPr/>
        <w:t>results in </w:t>
      </w:r>
      <w:r>
        <w:rPr>
          <w:rFonts w:ascii="Consolas"/>
        </w:rPr>
        <w:t>0.236111111 YEARFRAC(DATE(2006,3,26),DATE(2006,1,1))</w:t>
      </w:r>
      <w:r>
        <w:rPr>
          <w:rFonts w:ascii="Consolas"/>
          <w:spacing w:val="-94"/>
        </w:rPr>
        <w:t> </w:t>
      </w:r>
      <w:r>
        <w:rPr/>
        <w:t>results in </w:t>
      </w:r>
      <w:r>
        <w:rPr>
          <w:rFonts w:ascii="Consolas"/>
        </w:rPr>
        <w:t>0.236111111 YEARFRAC(DATE(2006,1,1),DATE(2006,7,1)) </w:t>
      </w:r>
      <w:r>
        <w:rPr/>
        <w:t>results in </w:t>
      </w:r>
      <w:r>
        <w:rPr>
          <w:rFonts w:ascii="Consolas"/>
        </w:rPr>
        <w:t>0.5 YEARFRAC(DATE(2006,1,1),DATE(2007,9,1))</w:t>
      </w:r>
      <w:r>
        <w:rPr>
          <w:rFonts w:ascii="Consolas"/>
          <w:spacing w:val="-85"/>
        </w:rPr>
        <w:t> </w:t>
      </w:r>
      <w:r>
        <w:rPr/>
        <w:t>results in </w:t>
      </w:r>
      <w:r>
        <w:rPr>
          <w:rFonts w:ascii="Consolas"/>
        </w:rPr>
        <w:t>1.666666667</w:t>
      </w:r>
    </w:p>
    <w:p>
      <w:pPr>
        <w:spacing w:after="0" w:line="276" w:lineRule="auto"/>
        <w:rPr>
          <w:rFonts w:ascii="Consolas"/>
        </w:rPr>
        <w:sectPr>
          <w:pgSz w:w="12240" w:h="15840"/>
          <w:pgMar w:header="763" w:footer="746" w:top="1340" w:bottom="940" w:left="860" w:right="700"/>
        </w:sectPr>
      </w:pPr>
    </w:p>
    <w:p>
      <w:pPr>
        <w:pStyle w:val="BodyText"/>
        <w:spacing w:line="276" w:lineRule="auto" w:before="90"/>
        <w:ind w:left="220"/>
        <w:rPr>
          <w:rFonts w:ascii="Consolas"/>
        </w:rPr>
      </w:pPr>
      <w:r>
        <w:rPr>
          <w:rFonts w:ascii="Consolas"/>
        </w:rPr>
        <w:t>YEARFRAC(DATE(2006,1,1),DATE(2006,7,1),0) </w:t>
      </w:r>
      <w:r>
        <w:rPr/>
        <w:t>results in </w:t>
      </w:r>
      <w:r>
        <w:rPr>
          <w:rFonts w:ascii="Consolas"/>
        </w:rPr>
        <w:t>0.5 YEARFRAC(DATE(2006,1,1),DATE(2006,7,1),1)</w:t>
      </w:r>
      <w:r>
        <w:rPr>
          <w:rFonts w:ascii="Consolas"/>
          <w:spacing w:val="-96"/>
        </w:rPr>
        <w:t> </w:t>
      </w:r>
      <w:r>
        <w:rPr/>
        <w:t>results in </w:t>
      </w:r>
      <w:r>
        <w:rPr>
          <w:rFonts w:ascii="Consolas"/>
        </w:rPr>
        <w:t>0.495890411 YEARFRAC(DATE(2006,1,1),DATE(2006,7,1),2)</w:t>
      </w:r>
      <w:r>
        <w:rPr>
          <w:rFonts w:ascii="Consolas"/>
          <w:spacing w:val="-96"/>
        </w:rPr>
        <w:t> </w:t>
      </w:r>
      <w:r>
        <w:rPr/>
        <w:t>results in </w:t>
      </w:r>
      <w:r>
        <w:rPr>
          <w:rFonts w:ascii="Consolas"/>
        </w:rPr>
        <w:t>0.502777778 YEARFRAC(DATE(2006,1,1),DATE(2006,7,1),3)</w:t>
      </w:r>
      <w:r>
        <w:rPr>
          <w:rFonts w:ascii="Consolas"/>
          <w:spacing w:val="-96"/>
        </w:rPr>
        <w:t> </w:t>
      </w:r>
      <w:r>
        <w:rPr/>
        <w:t>results in </w:t>
      </w:r>
      <w:r>
        <w:rPr>
          <w:rFonts w:ascii="Consolas"/>
        </w:rPr>
        <w:t>0.495890411 YEARFRAC(DATE(2006,1,1),DATE(2006,7,1),4)</w:t>
      </w:r>
      <w:r>
        <w:rPr>
          <w:rFonts w:ascii="Consolas"/>
          <w:spacing w:val="-69"/>
        </w:rPr>
        <w:t> </w:t>
      </w:r>
      <w:r>
        <w:rPr/>
        <w:t>results in </w:t>
      </w:r>
      <w:r>
        <w:rPr>
          <w:rFonts w:ascii="Consolas"/>
        </w:rPr>
        <w:t>0.5</w:t>
      </w:r>
    </w:p>
    <w:p>
      <w:pPr>
        <w:pStyle w:val="BodyText"/>
        <w:spacing w:line="276" w:lineRule="auto"/>
        <w:ind w:left="220"/>
      </w:pPr>
      <w:r>
        <w:rPr>
          <w:rFonts w:ascii="Consolas"/>
        </w:rPr>
        <w:t>YEARFRAC(DATE(2004,3,1),DATE(2006,3,1),1)</w:t>
      </w:r>
      <w:r>
        <w:rPr>
          <w:rFonts w:ascii="Consolas"/>
          <w:spacing w:val="-66"/>
        </w:rPr>
        <w:t> </w:t>
      </w:r>
      <w:r>
        <w:rPr/>
        <w:t>results in 1.</w:t>
      </w:r>
      <w:r>
        <w:rPr>
          <w:rFonts w:ascii="Consolas"/>
        </w:rPr>
        <w:t>998175 </w:t>
      </w:r>
      <w:r>
        <w:rPr/>
        <w:t>(because 2004 is a leap year and Actual/actual basis is used, the average year length is 365.3333)</w:t>
      </w:r>
    </w:p>
    <w:p>
      <w:pPr>
        <w:pStyle w:val="BodyText"/>
        <w:spacing w:before="5"/>
        <w:rPr>
          <w:sz w:val="25"/>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53 YIELD" w:id="2453"/>
      <w:bookmarkEnd w:id="2453"/>
      <w:r>
        <w:rPr/>
      </w:r>
      <w:bookmarkStart w:name="_bookmark818" w:id="2454"/>
      <w:bookmarkEnd w:id="2454"/>
      <w:r>
        <w:rPr/>
      </w:r>
      <w:bookmarkStart w:name="_bookmark818" w:id="2455"/>
      <w:bookmarkEnd w:id="2455"/>
      <w:r>
        <w:rPr>
          <w:color w:val="4F81BC"/>
        </w:rPr>
        <w:t>Y</w:t>
      </w:r>
      <w:r>
        <w:rPr>
          <w:color w:val="4F81BC"/>
        </w:rPr>
        <w:t>IELD</w:t>
      </w:r>
    </w:p>
    <w:p>
      <w:pPr>
        <w:pStyle w:val="Heading4"/>
        <w:spacing w:before="123"/>
        <w:rPr>
          <w:b w:val="0"/>
        </w:rPr>
      </w:pPr>
      <w:r>
        <w:rPr/>
        <w:t>Syntax</w:t>
      </w:r>
      <w:r>
        <w:rPr>
          <w:b w:val="0"/>
        </w:rPr>
        <w:t>:</w:t>
      </w:r>
    </w:p>
    <w:p>
      <w:pPr>
        <w:pStyle w:val="BodyText"/>
        <w:spacing w:before="2"/>
        <w:rPr>
          <w:sz w:val="19"/>
        </w:rPr>
      </w:pPr>
    </w:p>
    <w:p>
      <w:pPr>
        <w:spacing w:before="0"/>
        <w:ind w:left="940" w:right="0" w:firstLine="0"/>
        <w:jc w:val="left"/>
        <w:rPr>
          <w:rFonts w:ascii="Lucida Console"/>
          <w:sz w:val="20"/>
        </w:rPr>
      </w:pPr>
      <w:r>
        <w:rPr>
          <w:rFonts w:ascii="Lucida Console"/>
          <w:sz w:val="20"/>
        </w:rPr>
        <w:t>YIELD ( </w:t>
      </w:r>
      <w:r>
        <w:rPr>
          <w:i/>
          <w:sz w:val="22"/>
        </w:rPr>
        <w:t>settlement </w:t>
      </w:r>
      <w:r>
        <w:rPr>
          <w:rFonts w:ascii="Lucida Console"/>
          <w:sz w:val="20"/>
        </w:rPr>
        <w:t>, </w:t>
      </w:r>
      <w:r>
        <w:rPr>
          <w:i/>
          <w:sz w:val="22"/>
        </w:rPr>
        <w:t>maturity </w:t>
      </w:r>
      <w:r>
        <w:rPr>
          <w:rFonts w:ascii="Lucida Console"/>
          <w:sz w:val="20"/>
        </w:rPr>
        <w:t>, </w:t>
      </w:r>
      <w:r>
        <w:rPr>
          <w:i/>
          <w:sz w:val="22"/>
        </w:rPr>
        <w:t>rate </w:t>
      </w:r>
      <w:r>
        <w:rPr>
          <w:rFonts w:ascii="Lucida Console"/>
          <w:sz w:val="20"/>
        </w:rPr>
        <w:t>, </w:t>
      </w:r>
      <w:r>
        <w:rPr>
          <w:i/>
          <w:sz w:val="22"/>
        </w:rPr>
        <w:t>pr </w:t>
      </w:r>
      <w:r>
        <w:rPr>
          <w:rFonts w:ascii="Lucida Console"/>
          <w:sz w:val="20"/>
        </w:rPr>
        <w:t>, </w:t>
      </w:r>
      <w:r>
        <w:rPr>
          <w:i/>
          <w:sz w:val="22"/>
        </w:rPr>
        <w:t>redemption </w:t>
      </w:r>
      <w:r>
        <w:rPr>
          <w:rFonts w:ascii="Lucida Console"/>
          <w:sz w:val="20"/>
        </w:rPr>
        <w:t>, </w:t>
      </w:r>
      <w:r>
        <w:rPr>
          <w:i/>
          <w:sz w:val="22"/>
        </w:rPr>
        <w:t>frequency </w:t>
      </w:r>
      <w:r>
        <w:rPr>
          <w:sz w:val="22"/>
        </w:rPr>
        <w:t>[ </w:t>
      </w:r>
      <w:r>
        <w:rPr>
          <w:rFonts w:ascii="Lucida Console"/>
          <w:sz w:val="20"/>
        </w:rPr>
        <w:t>,</w:t>
      </w:r>
      <w:r>
        <w:rPr>
          <w:rFonts w:ascii="Lucida Console"/>
          <w:spacing w:val="-71"/>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yield on a security that pays periodic interest.</w:t>
      </w:r>
    </w:p>
    <w:p>
      <w:pPr>
        <w:pStyle w:val="BodyText"/>
        <w:spacing w:before="8"/>
        <w:rPr>
          <w:sz w:val="19"/>
        </w:rPr>
      </w:pPr>
    </w:p>
    <w:p>
      <w:pPr>
        <w:pStyle w:val="Heading4"/>
        <w:rPr>
          <w:b w:val="0"/>
        </w:rPr>
      </w:pPr>
      <w:r>
        <w:rPr/>
        <w:t>Mathematical Formula</w:t>
      </w:r>
      <w:r>
        <w:rPr>
          <w:b w:val="0"/>
        </w:rPr>
        <w:t>:</w:t>
      </w:r>
    </w:p>
    <w:p>
      <w:pPr>
        <w:pStyle w:val="BodyText"/>
        <w:spacing w:before="9"/>
        <w:rPr>
          <w:sz w:val="19"/>
        </w:rPr>
      </w:pPr>
    </w:p>
    <w:p>
      <w:pPr>
        <w:pStyle w:val="BodyText"/>
        <w:ind w:left="220"/>
      </w:pPr>
      <w:r>
        <w:rPr/>
        <w:t>If there is one coupon period or less until redemption, </w:t>
      </w:r>
      <w:r>
        <w:rPr>
          <w:rFonts w:ascii="Consolas"/>
        </w:rPr>
        <w:t>YIELD</w:t>
      </w:r>
      <w:r>
        <w:rPr>
          <w:rFonts w:ascii="Consolas"/>
          <w:spacing w:val="-82"/>
        </w:rPr>
        <w:t> </w:t>
      </w:r>
      <w:r>
        <w:rPr/>
        <w:t>is calculated as follows:</w:t>
      </w:r>
    </w:p>
    <w:p>
      <w:pPr>
        <w:pStyle w:val="BodyText"/>
        <w:spacing w:before="3"/>
        <w:rPr>
          <w:sz w:val="17"/>
        </w:rPr>
      </w:pPr>
    </w:p>
    <w:p>
      <w:pPr>
        <w:spacing w:after="0"/>
        <w:rPr>
          <w:sz w:val="17"/>
        </w:rPr>
        <w:sectPr>
          <w:pgSz w:w="12240" w:h="15840"/>
          <w:pgMar w:header="761" w:footer="746" w:top="1340" w:bottom="940" w:left="860" w:right="700"/>
        </w:sectPr>
      </w:pPr>
    </w:p>
    <w:p>
      <w:pPr>
        <w:pStyle w:val="BodyText"/>
        <w:spacing w:line="167" w:lineRule="exact" w:before="63"/>
        <w:ind w:left="1293"/>
        <w:rPr>
          <w:rFonts w:ascii="Cambria Math" w:eastAsia="Cambria Math"/>
        </w:rPr>
      </w:pPr>
      <w:r>
        <w:rPr/>
        <w:pict>
          <v:line style="position:absolute;mso-position-horizontal-relative:page;mso-position-vertical-relative:paragraph;z-index:-335756288" from="107.660004pt,16.962164pt" to="161.420004pt,16.962164pt" stroked="true" strokeweight=".72pt" strokecolor="#000000">
            <v:stroke dashstyle="solid"/>
            <w10:wrap type="none"/>
          </v:line>
        </w:pict>
      </w:r>
      <w:r>
        <w:rPr/>
        <w:pict>
          <v:line style="position:absolute;mso-position-horizontal-relative:page;mso-position-vertical-relative:paragraph;z-index:-335755264" from="174.5pt,16.962164pt" to="226.724pt,16.962164pt" stroked="true" strokeweight=".72pt" strokecolor="#000000">
            <v:stroke dashstyle="solid"/>
            <w10:wrap type="none"/>
          </v:line>
        </w:pict>
      </w:r>
      <w:r>
        <w:rPr/>
        <w:pict>
          <v:line style="position:absolute;mso-position-horizontal-relative:page;mso-position-vertical-relative:paragraph;z-index:-335754240" from="251.570007pt,16.962164pt" to="269.810007pt,16.962164pt" stroked="true" strokeweight=".72pt" strokecolor="#000000">
            <v:stroke dashstyle="solid"/>
            <w10:wrap type="none"/>
          </v:line>
        </w:pict>
      </w:r>
      <w:r>
        <w:rPr/>
        <w:pict>
          <v:line style="position:absolute;mso-position-horizontal-relative:page;mso-position-vertical-relative:paragraph;z-index:-335753216" from="288.290009pt,16.962164pt" to="295.610009pt,16.962164pt" stroked="true" strokeweight=".72pt" strokecolor="#000000">
            <v:stroke dashstyle="solid"/>
            <w10:wrap type="none"/>
          </v:line>
        </w:pict>
      </w:r>
      <w:r>
        <w:rPr/>
        <w:pict>
          <v:line style="position:absolute;mso-position-horizontal-relative:page;mso-position-vertical-relative:paragraph;z-index:-335752192" from="308.329987pt,16.962164pt" to="360.553987pt,16.962164pt" stroked="true" strokeweight=".72pt" strokecolor="#000000">
            <v:stroke dashstyle="solid"/>
            <w10:wrap type="none"/>
          </v:line>
        </w:pict>
      </w:r>
      <w:r>
        <w:rPr>
          <w:rFonts w:ascii="Cambria Math" w:eastAsia="Cambria Math"/>
          <w:spacing w:val="-1"/>
        </w:rPr>
        <w:t>𝑟𝑒𝑑𝑒𝑚𝑝𝑖𝑜𝑛</w:t>
      </w:r>
    </w:p>
    <w:p>
      <w:pPr>
        <w:pStyle w:val="BodyText"/>
        <w:spacing w:line="167" w:lineRule="exact" w:before="63"/>
        <w:ind w:left="529"/>
        <w:rPr>
          <w:rFonts w:ascii="Cambria Math" w:eastAsia="Cambria Math"/>
        </w:rPr>
      </w:pPr>
      <w:r>
        <w:rPr/>
        <w:br w:type="column"/>
      </w:r>
      <w:r>
        <w:rPr>
          <w:rFonts w:ascii="Cambria Math" w:eastAsia="Cambria Math"/>
          <w:spacing w:val="-1"/>
        </w:rPr>
        <w:t>𝑟𝑎𝑡𝑒</w:t>
      </w:r>
    </w:p>
    <w:p>
      <w:pPr>
        <w:pStyle w:val="BodyText"/>
        <w:tabs>
          <w:tab w:pos="1506" w:val="left" w:leader="none"/>
        </w:tabs>
        <w:spacing w:line="167" w:lineRule="exact" w:before="63"/>
        <w:ind w:left="774"/>
        <w:rPr>
          <w:rFonts w:ascii="Cambria Math" w:eastAsia="Cambria Math"/>
        </w:rPr>
      </w:pPr>
      <w:r>
        <w:rPr/>
        <w:br w:type="column"/>
      </w:r>
      <w:r>
        <w:rPr>
          <w:rFonts w:ascii="Cambria Math" w:eastAsia="Cambria Math"/>
        </w:rPr>
        <w:t>𝑝𝑎𝑟</w:t>
        <w:tab/>
      </w:r>
      <w:r>
        <w:rPr>
          <w:rFonts w:ascii="Cambria Math" w:eastAsia="Cambria Math"/>
          <w:spacing w:val="-151"/>
        </w:rPr>
        <w:t>𝐴</w:t>
      </w:r>
    </w:p>
    <w:p>
      <w:pPr>
        <w:pStyle w:val="BodyText"/>
        <w:spacing w:line="167" w:lineRule="exact" w:before="63"/>
        <w:ind w:left="525"/>
        <w:rPr>
          <w:rFonts w:ascii="Cambria Math" w:eastAsia="Cambria Math"/>
        </w:rPr>
      </w:pPr>
      <w:r>
        <w:rPr/>
        <w:br w:type="column"/>
      </w:r>
      <w:r>
        <w:rPr>
          <w:rFonts w:ascii="Cambria Math" w:eastAsia="Cambria Math"/>
        </w:rPr>
        <w:t>𝑟𝑎𝑡𝑒</w:t>
      </w:r>
    </w:p>
    <w:p>
      <w:pPr>
        <w:spacing w:after="0" w:line="167" w:lineRule="exact"/>
        <w:rPr>
          <w:rFonts w:ascii="Cambria Math" w:eastAsia="Cambria Math"/>
        </w:rPr>
        <w:sectPr>
          <w:type w:val="continuous"/>
          <w:pgSz w:w="12240" w:h="15840"/>
          <w:pgMar w:top="1340" w:bottom="940" w:left="860" w:right="700"/>
          <w:cols w:num="4" w:equalWidth="0">
            <w:col w:w="2368" w:space="40"/>
            <w:col w:w="954" w:space="39"/>
            <w:col w:w="1647" w:space="40"/>
            <w:col w:w="5592"/>
          </w:cols>
        </w:sectPr>
      </w:pPr>
    </w:p>
    <w:p>
      <w:pPr>
        <w:pStyle w:val="BodyText"/>
        <w:spacing w:before="10"/>
        <w:rPr>
          <w:rFonts w:ascii="Cambria Math"/>
          <w:sz w:val="23"/>
        </w:rPr>
      </w:pPr>
    </w:p>
    <w:p>
      <w:pPr>
        <w:pStyle w:val="BodyText"/>
        <w:spacing w:before="1"/>
        <w:ind w:left="220"/>
        <w:rPr>
          <w:rFonts w:ascii="Cambria Math" w:eastAsia="Cambria Math"/>
        </w:rPr>
      </w:pPr>
      <w:r>
        <w:rPr>
          <w:rFonts w:ascii="Cambria Math" w:eastAsia="Cambria Math"/>
        </w:rPr>
        <w:t>𝑌𝐼𝐸𝐿𝐷 =</w:t>
      </w:r>
    </w:p>
    <w:p>
      <w:pPr>
        <w:pStyle w:val="BodyText"/>
        <w:tabs>
          <w:tab w:pos="531" w:val="left" w:leader="none"/>
          <w:tab w:pos="1299" w:val="left" w:leader="none"/>
        </w:tabs>
        <w:spacing w:line="334" w:lineRule="exact"/>
        <w:ind w:left="68"/>
        <w:rPr>
          <w:rFonts w:ascii="Cambria Math" w:hAnsi="Cambria Math" w:eastAsia="Cambria Math"/>
        </w:rPr>
      </w:pPr>
      <w:r>
        <w:rPr/>
        <w:br w:type="column"/>
      </w:r>
      <w:r>
        <w:rPr>
          <w:rFonts w:ascii="Cambria Math" w:hAnsi="Cambria Math" w:eastAsia="Cambria Math"/>
          <w:w w:val="105"/>
          <w:position w:val="11"/>
        </w:rPr>
        <w:t>(</w:t>
        <w:tab/>
      </w:r>
      <w:r>
        <w:rPr>
          <w:rFonts w:ascii="Cambria Math" w:hAnsi="Cambria Math" w:eastAsia="Cambria Math"/>
          <w:w w:val="105"/>
        </w:rPr>
        <w:t>100</w:t>
        <w:tab/>
      </w:r>
      <w:r>
        <w:rPr>
          <w:rFonts w:ascii="Cambria Math" w:hAnsi="Cambria Math" w:eastAsia="Cambria Math"/>
          <w:w w:val="105"/>
          <w:position w:val="11"/>
        </w:rPr>
        <w:t>+</w:t>
      </w:r>
      <w:r>
        <w:rPr>
          <w:rFonts w:ascii="Cambria Math" w:hAnsi="Cambria Math" w:eastAsia="Cambria Math"/>
          <w:spacing w:val="-10"/>
          <w:w w:val="105"/>
          <w:position w:val="11"/>
        </w:rPr>
        <w:t> </w:t>
      </w:r>
      <w:r>
        <w:rPr>
          <w:rFonts w:ascii="Cambria Math" w:hAnsi="Cambria Math" w:eastAsia="Cambria Math"/>
          <w:w w:val="105"/>
        </w:rPr>
        <w:t>𝑓𝑟𝑒𝑞𝑢𝑒𝑛𝑐𝑦</w:t>
      </w:r>
      <w:r>
        <w:rPr>
          <w:rFonts w:ascii="Cambria Math" w:hAnsi="Cambria Math" w:eastAsia="Cambria Math"/>
          <w:w w:val="105"/>
          <w:position w:val="11"/>
        </w:rPr>
        <w:t>)</w:t>
      </w:r>
      <w:r>
        <w:rPr>
          <w:rFonts w:ascii="Cambria Math" w:hAnsi="Cambria Math" w:eastAsia="Cambria Math"/>
          <w:spacing w:val="-12"/>
          <w:w w:val="105"/>
          <w:position w:val="11"/>
        </w:rPr>
        <w:t> </w:t>
      </w:r>
      <w:r>
        <w:rPr>
          <w:rFonts w:ascii="Cambria Math" w:hAnsi="Cambria Math" w:eastAsia="Cambria Math"/>
          <w:w w:val="105"/>
          <w:position w:val="11"/>
        </w:rPr>
        <w:t>−</w:t>
      </w:r>
      <w:r>
        <w:rPr>
          <w:rFonts w:ascii="Cambria Math" w:hAnsi="Cambria Math" w:eastAsia="Cambria Math"/>
          <w:spacing w:val="-9"/>
          <w:w w:val="105"/>
          <w:position w:val="11"/>
        </w:rPr>
        <w:t> </w:t>
      </w:r>
      <w:r>
        <w:rPr>
          <w:rFonts w:ascii="Cambria Math" w:hAnsi="Cambria Math" w:eastAsia="Cambria Math"/>
          <w:w w:val="105"/>
          <w:position w:val="11"/>
        </w:rPr>
        <w:t>(</w:t>
      </w:r>
      <w:r>
        <w:rPr>
          <w:rFonts w:ascii="Cambria Math" w:hAnsi="Cambria Math" w:eastAsia="Cambria Math"/>
          <w:w w:val="105"/>
        </w:rPr>
        <w:t>100</w:t>
      </w:r>
      <w:r>
        <w:rPr>
          <w:rFonts w:ascii="Cambria Math" w:hAnsi="Cambria Math" w:eastAsia="Cambria Math"/>
          <w:spacing w:val="-13"/>
          <w:w w:val="105"/>
        </w:rPr>
        <w:t> </w:t>
      </w:r>
      <w:r>
        <w:rPr>
          <w:rFonts w:ascii="Cambria Math" w:hAnsi="Cambria Math" w:eastAsia="Cambria Math"/>
          <w:w w:val="105"/>
          <w:position w:val="11"/>
        </w:rPr>
        <w:t>+</w:t>
      </w:r>
      <w:r>
        <w:rPr>
          <w:rFonts w:ascii="Cambria Math" w:hAnsi="Cambria Math" w:eastAsia="Cambria Math"/>
          <w:spacing w:val="-9"/>
          <w:w w:val="105"/>
          <w:position w:val="11"/>
        </w:rPr>
        <w:t> </w:t>
      </w:r>
      <w:r>
        <w:rPr>
          <w:rFonts w:ascii="Cambria Math" w:hAnsi="Cambria Math" w:eastAsia="Cambria Math"/>
          <w:w w:val="105"/>
          <w:position w:val="11"/>
        </w:rPr>
        <w:t>(</w:t>
      </w:r>
      <w:r>
        <w:rPr>
          <w:rFonts w:ascii="Cambria Math" w:hAnsi="Cambria Math" w:eastAsia="Cambria Math"/>
          <w:w w:val="105"/>
        </w:rPr>
        <w:t>𝐸</w:t>
      </w:r>
      <w:r>
        <w:rPr>
          <w:rFonts w:ascii="Cambria Math" w:hAnsi="Cambria Math" w:eastAsia="Cambria Math"/>
          <w:spacing w:val="-2"/>
          <w:w w:val="105"/>
        </w:rPr>
        <w:t> </w:t>
      </w:r>
      <w:r>
        <w:rPr>
          <w:rFonts w:ascii="Cambria Math" w:hAnsi="Cambria Math" w:eastAsia="Cambria Math"/>
          <w:w w:val="105"/>
          <w:position w:val="11"/>
        </w:rPr>
        <w:t>×</w:t>
      </w:r>
      <w:r>
        <w:rPr>
          <w:rFonts w:ascii="Cambria Math" w:hAnsi="Cambria Math" w:eastAsia="Cambria Math"/>
          <w:spacing w:val="-12"/>
          <w:w w:val="105"/>
          <w:position w:val="11"/>
        </w:rPr>
        <w:t> </w:t>
      </w:r>
      <w:r>
        <w:rPr>
          <w:rFonts w:ascii="Cambria Math" w:hAnsi="Cambria Math" w:eastAsia="Cambria Math"/>
          <w:w w:val="105"/>
        </w:rPr>
        <w:t>𝑓𝑟𝑒𝑞𝑢𝑒𝑛𝑐𝑦</w:t>
      </w:r>
      <w:r>
        <w:rPr>
          <w:rFonts w:ascii="Cambria Math" w:hAnsi="Cambria Math" w:eastAsia="Cambria Math"/>
          <w:w w:val="105"/>
          <w:position w:val="11"/>
        </w:rPr>
        <w:t>))</w:t>
      </w:r>
    </w:p>
    <w:p>
      <w:pPr>
        <w:pStyle w:val="BodyText"/>
        <w:spacing w:before="2"/>
        <w:rPr>
          <w:rFonts w:ascii="Cambria Math"/>
          <w:sz w:val="7"/>
        </w:rPr>
      </w:pPr>
    </w:p>
    <w:p>
      <w:pPr>
        <w:pStyle w:val="BodyText"/>
        <w:spacing w:line="20" w:lineRule="exact"/>
        <w:ind w:left="60" w:right="-72"/>
        <w:rPr>
          <w:rFonts w:ascii="Cambria Math"/>
          <w:sz w:val="2"/>
        </w:rPr>
      </w:pPr>
      <w:r>
        <w:rPr>
          <w:rFonts w:ascii="Cambria Math"/>
          <w:sz w:val="2"/>
        </w:rPr>
        <w:pict>
          <v:group style="width:270.05pt;height:.75pt;mso-position-horizontal-relative:char;mso-position-vertical-relative:line" coordorigin="0,0" coordsize="5401,15">
            <v:line style="position:absolute" from="0,7" to="5401,7" stroked="true" strokeweight=".72pt" strokecolor="#000000">
              <v:stroke dashstyle="solid"/>
            </v:line>
          </v:group>
        </w:pict>
      </w:r>
      <w:r>
        <w:rPr>
          <w:rFonts w:ascii="Cambria Math"/>
          <w:sz w:val="2"/>
        </w:rPr>
      </w:r>
    </w:p>
    <w:p>
      <w:pPr>
        <w:pStyle w:val="BodyText"/>
        <w:tabs>
          <w:tab w:pos="2361" w:val="left" w:leader="none"/>
          <w:tab w:pos="2761" w:val="left" w:leader="none"/>
          <w:tab w:pos="3069" w:val="left" w:leader="none"/>
          <w:tab w:pos="3805" w:val="left" w:leader="none"/>
        </w:tabs>
        <w:spacing w:line="133" w:lineRule="exact"/>
        <w:ind w:left="1623"/>
        <w:rPr>
          <w:rFonts w:ascii="Cambria Math" w:eastAsia="Cambria Math"/>
        </w:rPr>
      </w:pPr>
      <w:r>
        <w:rPr>
          <w:rFonts w:ascii="Times New Roman" w:eastAsia="Times New Roman"/>
          <w:spacing w:val="-51"/>
          <w:w w:val="100"/>
          <w:u w:val="single"/>
        </w:rPr>
        <w:t> </w:t>
      </w:r>
      <w:r>
        <w:rPr>
          <w:rFonts w:ascii="Cambria Math" w:eastAsia="Cambria Math"/>
          <w:u w:val="single"/>
        </w:rPr>
        <w:t>𝑝𝑎𝑟</w:t>
      </w:r>
      <w:r>
        <w:rPr>
          <w:rFonts w:ascii="Cambria Math" w:eastAsia="Cambria Math"/>
        </w:rPr>
        <w:tab/>
      </w:r>
      <w:r>
        <w:rPr>
          <w:rFonts w:ascii="Cambria Math" w:eastAsia="Cambria Math"/>
          <w:u w:val="single"/>
        </w:rPr>
        <w:t> 𝐴</w:t>
      </w:r>
      <w:r>
        <w:rPr>
          <w:rFonts w:ascii="Cambria Math" w:eastAsia="Cambria Math"/>
        </w:rPr>
        <w:tab/>
      </w:r>
      <w:r>
        <w:rPr>
          <w:rFonts w:ascii="Cambria Math" w:eastAsia="Cambria Math"/>
          <w:u w:val="single"/>
        </w:rPr>
        <w:t> </w:t>
        <w:tab/>
        <w:t>𝑟𝑎𝑡𝑒</w:t>
        <w:tab/>
      </w:r>
    </w:p>
    <w:p>
      <w:pPr>
        <w:pStyle w:val="BodyText"/>
        <w:spacing w:line="213" w:lineRule="exact" w:before="112"/>
        <w:ind w:left="212"/>
        <w:rPr>
          <w:rFonts w:ascii="Cambria Math" w:hAnsi="Cambria Math" w:eastAsia="Cambria Math"/>
        </w:rPr>
      </w:pPr>
      <w:r>
        <w:rPr/>
        <w:br w:type="column"/>
      </w:r>
      <w:r>
        <w:rPr>
          <w:rFonts w:ascii="Cambria Math" w:hAnsi="Cambria Math" w:eastAsia="Cambria Math"/>
        </w:rPr>
        <w:t>𝑓𝑟𝑒𝑞𝑢𝑒𝑛𝑐𝑦 × 𝐸</w:t>
      </w:r>
    </w:p>
    <w:p>
      <w:pPr>
        <w:pStyle w:val="BodyText"/>
        <w:spacing w:line="158" w:lineRule="exact"/>
        <w:ind w:left="6"/>
        <w:rPr>
          <w:rFonts w:ascii="Cambria Math" w:hAnsi="Cambria Math"/>
        </w:rPr>
      </w:pPr>
      <w:r>
        <w:rPr/>
        <w:pict>
          <v:line style="position:absolute;mso-position-horizontal-relative:page;mso-position-vertical-relative:paragraph;z-index:251889664" from="385.029999pt,5.084155pt" to="457.269999pt,5.084155pt" stroked="true" strokeweight=".72pt" strokecolor="#000000">
            <v:stroke dashstyle="solid"/>
            <w10:wrap type="none"/>
          </v:line>
        </w:pict>
      </w:r>
      <w:r>
        <w:rPr>
          <w:rFonts w:ascii="Cambria Math" w:hAnsi="Cambria Math"/>
          <w:w w:val="100"/>
        </w:rPr>
        <w:t>×</w:t>
      </w:r>
    </w:p>
    <w:p>
      <w:pPr>
        <w:pStyle w:val="BodyText"/>
        <w:spacing w:line="88" w:lineRule="exact"/>
        <w:ind w:left="726"/>
        <w:rPr>
          <w:rFonts w:ascii="Cambria Math" w:eastAsia="Cambria Math"/>
        </w:rPr>
      </w:pPr>
      <w:r>
        <w:rPr>
          <w:rFonts w:ascii="Cambria Math" w:eastAsia="Cambria Math"/>
        </w:rPr>
        <w:t>𝐷𝑆𝑅</w:t>
      </w:r>
    </w:p>
    <w:p>
      <w:pPr>
        <w:spacing w:after="0" w:line="88" w:lineRule="exact"/>
        <w:rPr>
          <w:rFonts w:ascii="Cambria Math" w:eastAsia="Cambria Math"/>
        </w:rPr>
        <w:sectPr>
          <w:type w:val="continuous"/>
          <w:pgSz w:w="12240" w:h="15840"/>
          <w:pgMar w:top="1340" w:bottom="940" w:left="860" w:right="700"/>
          <w:cols w:num="3" w:equalWidth="0">
            <w:col w:w="1077" w:space="40"/>
            <w:col w:w="5472" w:space="39"/>
            <w:col w:w="4052"/>
          </w:cols>
        </w:sectPr>
      </w:pPr>
    </w:p>
    <w:p>
      <w:pPr>
        <w:pStyle w:val="BodyText"/>
        <w:spacing w:line="334" w:lineRule="exact"/>
        <w:ind w:left="2740"/>
        <w:rPr>
          <w:rFonts w:ascii="Cambria Math" w:hAnsi="Cambria Math" w:eastAsia="Cambria Math"/>
        </w:rPr>
      </w:pPr>
      <w:r>
        <w:rPr>
          <w:rFonts w:ascii="Cambria Math" w:hAnsi="Cambria Math" w:eastAsia="Cambria Math"/>
        </w:rPr>
        <w:t>100 </w:t>
      </w:r>
      <w:r>
        <w:rPr>
          <w:rFonts w:ascii="Cambria Math" w:hAnsi="Cambria Math" w:eastAsia="Cambria Math"/>
          <w:position w:val="11"/>
        </w:rPr>
        <w:t>+ (</w:t>
      </w:r>
      <w:r>
        <w:rPr>
          <w:rFonts w:ascii="Cambria Math" w:hAnsi="Cambria Math" w:eastAsia="Cambria Math"/>
        </w:rPr>
        <w:t>𝐸 </w:t>
      </w:r>
      <w:r>
        <w:rPr>
          <w:rFonts w:ascii="Cambria Math" w:hAnsi="Cambria Math" w:eastAsia="Cambria Math"/>
          <w:position w:val="11"/>
        </w:rPr>
        <w:t>× </w:t>
      </w:r>
      <w:r>
        <w:rPr>
          <w:rFonts w:ascii="Cambria Math" w:hAnsi="Cambria Math" w:eastAsia="Cambria Math"/>
        </w:rPr>
        <w:t>𝑓𝑟𝑒𝑞𝑢𝑒𝑛𝑐𝑦</w:t>
      </w:r>
      <w:r>
        <w:rPr>
          <w:rFonts w:ascii="Cambria Math" w:hAnsi="Cambria Math" w:eastAsia="Cambria Math"/>
          <w:position w:val="11"/>
        </w:rPr>
        <w:t>)</w:t>
      </w:r>
    </w:p>
    <w:p>
      <w:pPr>
        <w:pStyle w:val="BodyText"/>
        <w:spacing w:before="4"/>
        <w:rPr>
          <w:rFonts w:ascii="Cambria Math"/>
          <w:sz w:val="15"/>
        </w:rPr>
      </w:pPr>
    </w:p>
    <w:p>
      <w:pPr>
        <w:pStyle w:val="BodyText"/>
        <w:spacing w:before="56"/>
        <w:ind w:left="220"/>
      </w:pPr>
      <w:r>
        <w:rPr/>
        <w:t>where:</w:t>
      </w:r>
    </w:p>
    <w:p>
      <w:pPr>
        <w:pStyle w:val="BodyText"/>
        <w:spacing w:before="6"/>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A </w:t>
      </w:r>
      <w:r>
        <w:rPr>
          <w:sz w:val="22"/>
        </w:rPr>
        <w:t>= number of days from the beginning of the coupon period to the settlement date (accrued</w:t>
      </w:r>
      <w:r>
        <w:rPr>
          <w:spacing w:val="-27"/>
          <w:sz w:val="22"/>
        </w:rPr>
        <w:t> </w:t>
      </w:r>
      <w:r>
        <w:rPr>
          <w:sz w:val="22"/>
        </w:rPr>
        <w:t>days).</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DSR </w:t>
      </w:r>
      <w:r>
        <w:rPr>
          <w:sz w:val="22"/>
        </w:rPr>
        <w:t>= number of days from the settlement date to the redemption</w:t>
      </w:r>
      <w:r>
        <w:rPr>
          <w:spacing w:val="-12"/>
          <w:sz w:val="22"/>
        </w:rPr>
        <w:t> </w:t>
      </w:r>
      <w:r>
        <w:rPr>
          <w:sz w:val="22"/>
        </w:rPr>
        <w:t>date.</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E </w:t>
      </w:r>
      <w:r>
        <w:rPr>
          <w:sz w:val="22"/>
        </w:rPr>
        <w:t>= number of days in the coupon</w:t>
      </w:r>
      <w:r>
        <w:rPr>
          <w:spacing w:val="-15"/>
          <w:sz w:val="22"/>
        </w:rPr>
        <w:t> </w:t>
      </w:r>
      <w:r>
        <w:rPr>
          <w:sz w:val="22"/>
        </w:rPr>
        <w:t>period.</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frequency </w:t>
      </w:r>
      <w:r>
        <w:rPr>
          <w:sz w:val="22"/>
        </w:rPr>
        <w:t>= argument</w:t>
      </w:r>
      <w:r>
        <w:rPr>
          <w:spacing w:val="-1"/>
          <w:sz w:val="22"/>
        </w:rPr>
        <w:t> </w:t>
      </w:r>
      <w:r>
        <w:rPr>
          <w:rFonts w:ascii="Times New Roman" w:hAnsi="Times New Roman"/>
          <w:i/>
          <w:sz w:val="22"/>
        </w:rPr>
        <w:t>frequency</w:t>
      </w:r>
    </w:p>
    <w:p>
      <w:pPr>
        <w:pStyle w:val="ListParagraph"/>
        <w:numPr>
          <w:ilvl w:val="4"/>
          <w:numId w:val="66"/>
        </w:numPr>
        <w:tabs>
          <w:tab w:pos="940" w:val="left" w:leader="none"/>
          <w:tab w:pos="941" w:val="left" w:leader="none"/>
        </w:tabs>
        <w:spacing w:line="240" w:lineRule="auto" w:before="41" w:after="0"/>
        <w:ind w:left="940" w:right="0" w:hanging="361"/>
        <w:jc w:val="left"/>
        <w:rPr>
          <w:rFonts w:ascii="Times New Roman" w:hAnsi="Times New Roman"/>
          <w:i/>
          <w:sz w:val="22"/>
        </w:rPr>
      </w:pPr>
      <w:r>
        <w:rPr>
          <w:rFonts w:ascii="Times New Roman" w:hAnsi="Times New Roman"/>
          <w:i/>
          <w:sz w:val="22"/>
        </w:rPr>
        <w:t>par </w:t>
      </w:r>
      <w:r>
        <w:rPr>
          <w:sz w:val="22"/>
        </w:rPr>
        <w:t>= argument</w:t>
      </w:r>
      <w:r>
        <w:rPr>
          <w:spacing w:val="-7"/>
          <w:sz w:val="22"/>
        </w:rPr>
        <w:t> </w:t>
      </w:r>
      <w:r>
        <w:rPr>
          <w:rFonts w:ascii="Times New Roman" w:hAnsi="Times New Roman"/>
          <w:i/>
          <w:sz w:val="22"/>
        </w:rPr>
        <w:t>pr</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Times New Roman" w:hAnsi="Times New Roman"/>
          <w:i/>
          <w:sz w:val="22"/>
        </w:rPr>
        <w:t>rate </w:t>
      </w:r>
      <w:r>
        <w:rPr>
          <w:sz w:val="22"/>
        </w:rPr>
        <w:t>= argument</w:t>
      </w:r>
      <w:r>
        <w:rPr>
          <w:spacing w:val="-9"/>
          <w:sz w:val="22"/>
        </w:rPr>
        <w:t> </w:t>
      </w:r>
      <w:r>
        <w:rPr>
          <w:rFonts w:ascii="Times New Roman" w:hAnsi="Times New Roman"/>
          <w:i/>
          <w:sz w:val="22"/>
        </w:rPr>
        <w:t>rate</w:t>
      </w:r>
    </w:p>
    <w:p>
      <w:pPr>
        <w:pStyle w:val="ListParagraph"/>
        <w:numPr>
          <w:ilvl w:val="4"/>
          <w:numId w:val="66"/>
        </w:numPr>
        <w:tabs>
          <w:tab w:pos="940" w:val="left" w:leader="none"/>
          <w:tab w:pos="941" w:val="left" w:leader="none"/>
        </w:tabs>
        <w:spacing w:line="240" w:lineRule="auto" w:before="42" w:after="0"/>
        <w:ind w:left="940" w:right="0" w:hanging="361"/>
        <w:jc w:val="left"/>
        <w:rPr>
          <w:rFonts w:ascii="Times New Roman" w:hAnsi="Times New Roman"/>
          <w:i/>
          <w:sz w:val="22"/>
        </w:rPr>
      </w:pPr>
      <w:r>
        <w:rPr>
          <w:rFonts w:ascii="Times New Roman" w:hAnsi="Times New Roman"/>
          <w:i/>
          <w:sz w:val="22"/>
        </w:rPr>
        <w:t>redemption </w:t>
      </w:r>
      <w:r>
        <w:rPr>
          <w:sz w:val="22"/>
        </w:rPr>
        <w:t>= argument</w:t>
      </w:r>
      <w:r>
        <w:rPr>
          <w:spacing w:val="-9"/>
          <w:sz w:val="22"/>
        </w:rPr>
        <w:t> </w:t>
      </w:r>
      <w:r>
        <w:rPr>
          <w:rFonts w:ascii="Times New Roman" w:hAnsi="Times New Roman"/>
          <w:i/>
          <w:sz w:val="22"/>
        </w:rPr>
        <w:t>redemption</w:t>
      </w:r>
    </w:p>
    <w:p>
      <w:pPr>
        <w:pStyle w:val="BodyText"/>
        <w:spacing w:line="276" w:lineRule="auto" w:before="240"/>
        <w:ind w:left="220" w:right="823"/>
      </w:pPr>
      <w:r>
        <w:rPr/>
        <w:t>If there is more than one coupon period until redemption, </w:t>
      </w:r>
      <w:r>
        <w:rPr>
          <w:rFonts w:ascii="Consolas"/>
        </w:rPr>
        <w:t>YIELD </w:t>
      </w:r>
      <w:r>
        <w:rPr/>
        <w:t>is calculated through some number of iterations. The resolution uses the Newton method, based on the formula used for the function </w:t>
      </w:r>
      <w:r>
        <w:rPr>
          <w:rFonts w:ascii="Consolas"/>
        </w:rPr>
        <w:t>PRICE</w:t>
      </w:r>
      <w:r>
        <w:rPr/>
        <w:t>. The yield is changed until the estimated price given the yield is close to price.</w:t>
      </w:r>
    </w:p>
    <w:p>
      <w:pPr>
        <w:pStyle w:val="BodyText"/>
        <w:spacing w:before="7"/>
        <w:rPr>
          <w:sz w:val="16"/>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security's maturity date.</w:t>
            </w:r>
          </w:p>
        </w:tc>
      </w:tr>
    </w:tbl>
    <w:p>
      <w:pPr>
        <w:spacing w:after="0"/>
        <w:rPr>
          <w:sz w:val="22"/>
        </w:rPr>
        <w:sectPr>
          <w:type w:val="continuous"/>
          <w:pgSz w:w="12240" w:h="15840"/>
          <w:pgMar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interest rate.</w:t>
            </w:r>
          </w:p>
        </w:tc>
      </w:tr>
      <w:tr>
        <w:trPr>
          <w:trHeight w:val="354" w:hRule="atLeast"/>
        </w:trPr>
        <w:tc>
          <w:tcPr>
            <w:tcW w:w="1466" w:type="dxa"/>
          </w:tcPr>
          <w:p>
            <w:pPr>
              <w:pStyle w:val="TableParagraph"/>
              <w:spacing w:before="37"/>
              <w:rPr>
                <w:rFonts w:ascii="Times New Roman"/>
                <w:i/>
                <w:sz w:val="22"/>
              </w:rPr>
            </w:pPr>
            <w:r>
              <w:rPr>
                <w:rFonts w:ascii="Times New Roman"/>
                <w:i/>
                <w:sz w:val="22"/>
              </w:rPr>
              <w:t>pr</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price per 100 currency units face value.</w:t>
            </w:r>
          </w:p>
        </w:tc>
      </w:tr>
      <w:tr>
        <w:trPr>
          <w:trHeight w:val="621"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399" w:type="dxa"/>
            <w:gridSpan w:val="4"/>
          </w:tcPr>
          <w:p>
            <w:pPr>
              <w:pStyle w:val="TableParagraph"/>
              <w:ind w:left="113" w:right="340"/>
              <w:rPr>
                <w:sz w:val="22"/>
              </w:rPr>
            </w:pPr>
            <w:r>
              <w:rPr>
                <w:sz w:val="22"/>
              </w:rPr>
              <w:t>The security's redemption value per 100 currency units face value.</w:t>
            </w:r>
          </w:p>
        </w:tc>
      </w:tr>
      <w:tr>
        <w:trPr>
          <w:trHeight w:val="1161" w:hRule="atLeast"/>
        </w:trPr>
        <w:tc>
          <w:tcPr>
            <w:tcW w:w="1466" w:type="dxa"/>
          </w:tcPr>
          <w:p>
            <w:pPr>
              <w:pStyle w:val="TableParagraph"/>
              <w:spacing w:before="37"/>
              <w:rPr>
                <w:rFonts w:ascii="Times New Roman"/>
                <w:i/>
                <w:sz w:val="22"/>
              </w:rPr>
            </w:pPr>
            <w:r>
              <w:rPr>
                <w:rFonts w:ascii="Times New Roman"/>
                <w:i/>
                <w:sz w:val="22"/>
              </w:rPr>
              <w:t>frequency</w:t>
            </w:r>
          </w:p>
        </w:tc>
        <w:tc>
          <w:tcPr>
            <w:tcW w:w="1800" w:type="dxa"/>
          </w:tcPr>
          <w:p>
            <w:pPr>
              <w:pStyle w:val="TableParagraph"/>
              <w:ind w:left="112"/>
              <w:rPr>
                <w:sz w:val="22"/>
              </w:rPr>
            </w:pPr>
            <w:r>
              <w:rPr>
                <w:sz w:val="22"/>
              </w:rPr>
              <w:t>number</w:t>
            </w:r>
          </w:p>
        </w:tc>
        <w:tc>
          <w:tcPr>
            <w:tcW w:w="5399" w:type="dxa"/>
            <w:gridSpan w:val="4"/>
          </w:tcPr>
          <w:p>
            <w:pPr>
              <w:pStyle w:val="TableParagraph"/>
              <w:ind w:left="113" w:right="397"/>
              <w:rPr>
                <w:sz w:val="22"/>
              </w:rPr>
            </w:pPr>
            <w:r>
              <w:rPr>
                <w:sz w:val="22"/>
              </w:rPr>
              <w:t>the number of coupon payments per year. (For annual payments, </w:t>
            </w:r>
            <w:r>
              <w:rPr>
                <w:rFonts w:ascii="Times New Roman"/>
                <w:i/>
                <w:sz w:val="22"/>
              </w:rPr>
              <w:t>frequency </w:t>
            </w:r>
            <w:r>
              <w:rPr>
                <w:sz w:val="22"/>
              </w:rPr>
              <w:t>is 1; for semiannual payments, </w:t>
            </w:r>
            <w:r>
              <w:rPr>
                <w:rFonts w:ascii="Times New Roman"/>
                <w:i/>
                <w:sz w:val="22"/>
              </w:rPr>
              <w:t>frequency </w:t>
            </w:r>
            <w:r>
              <w:rPr>
                <w:sz w:val="22"/>
              </w:rPr>
              <w:t>is 2; for quarterly payments, </w:t>
            </w:r>
            <w:r>
              <w:rPr>
                <w:rFonts w:ascii="Times New Roman"/>
                <w:i/>
                <w:sz w:val="22"/>
              </w:rPr>
              <w:t>frequency </w:t>
            </w:r>
            <w:r>
              <w:rPr>
                <w:sz w:val="22"/>
              </w:rPr>
              <w:t>is 4.) </w:t>
            </w:r>
            <w:r>
              <w:rPr>
                <w:rFonts w:ascii="Times New Roman"/>
                <w:i/>
                <w:sz w:val="22"/>
              </w:rPr>
              <w:t>frequency </w:t>
            </w:r>
            <w:r>
              <w:rPr>
                <w:sz w:val="22"/>
              </w:rPr>
              <w:t>is truncated to an integer.</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89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37"/>
              </w:numPr>
              <w:tabs>
                <w:tab w:pos="838" w:val="left" w:leader="none"/>
              </w:tabs>
              <w:spacing w:line="240" w:lineRule="auto" w:before="0"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37"/>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tcBorders>
              <w:top w:val="nil"/>
            </w:tcBorders>
          </w:tcPr>
          <w:p>
            <w:pPr>
              <w:rPr>
                <w:sz w:val="2"/>
                <w:szCs w:val="2"/>
              </w:rPr>
            </w:pPr>
          </w:p>
        </w:tc>
      </w:tr>
      <w:tr>
        <w:trPr>
          <w:trHeight w:val="62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4"/>
              <w:ind w:left="116"/>
              <w:rPr>
                <w:rFonts w:ascii="Consolas"/>
                <w:sz w:val="22"/>
              </w:rPr>
            </w:pPr>
            <w:r>
              <w:rPr>
                <w:rFonts w:ascii="Consolas"/>
                <w:w w:val="100"/>
                <w:sz w:val="22"/>
              </w:rPr>
              <w:t>1</w:t>
            </w:r>
          </w:p>
        </w:tc>
        <w:tc>
          <w:tcPr>
            <w:tcW w:w="2340" w:type="dxa"/>
          </w:tcPr>
          <w:p>
            <w:pPr>
              <w:pStyle w:val="TableParagraph"/>
              <w:spacing w:line="237" w:lineRule="auto" w:before="44"/>
              <w:ind w:left="117" w:right="201"/>
              <w:rPr>
                <w:sz w:val="22"/>
              </w:rPr>
            </w:pPr>
            <w:r>
              <w:rPr>
                <w:sz w:val="22"/>
              </w:rPr>
              <w:t>Actual/actual. The actual number of days</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2017"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09"/>
              <w:rPr>
                <w:sz w:val="22"/>
              </w:rPr>
            </w:pPr>
            <w:r>
              <w:rPr>
                <w:sz w:val="22"/>
              </w:rPr>
              <w:t>between the two dates are counted. If the date range includes </w:t>
            </w:r>
            <w:r>
              <w:rPr>
                <w:spacing w:val="-6"/>
                <w:sz w:val="22"/>
              </w:rPr>
              <w:t>the </w:t>
            </w:r>
            <w:r>
              <w:rPr>
                <w:sz w:val="22"/>
              </w:rPr>
              <w:t>date 29 February, the year is 366 days; otherwise it is 365 days.</w:t>
            </w:r>
          </w:p>
        </w:tc>
        <w:tc>
          <w:tcPr>
            <w:tcW w:w="403" w:type="dxa"/>
            <w:vMerge w:val="restart"/>
          </w:tcPr>
          <w:p>
            <w:pPr>
              <w:pStyle w:val="TableParagraph"/>
              <w:spacing w:before="0"/>
              <w:ind w:left="0"/>
              <w:rPr>
                <w:rFonts w:ascii="Times New Roman"/>
                <w:sz w:val="2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0"/>
              <w:ind w:left="0"/>
              <w:rPr>
                <w:rFonts w:ascii="Times New Roman"/>
                <w:sz w:val="22"/>
              </w:rPr>
            </w:pP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822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38"/>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38"/>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50"/>
        <w:ind w:left="220"/>
      </w:pPr>
      <w:r>
        <w:rPr/>
        <w:t>Time information in the date arguments is ignored.</w:t>
      </w:r>
    </w:p>
    <w:p>
      <w:pPr>
        <w:pStyle w:val="BodyText"/>
        <w:spacing w:before="9"/>
        <w:rPr>
          <w:sz w:val="19"/>
        </w:rPr>
      </w:pPr>
    </w:p>
    <w:p>
      <w:pPr>
        <w:spacing w:line="453" w:lineRule="auto" w:before="0"/>
        <w:ind w:left="220" w:right="2880" w:firstLine="0"/>
        <w:jc w:val="left"/>
        <w:rPr>
          <w:sz w:val="22"/>
        </w:rPr>
      </w:pPr>
      <w:r>
        <w:rPr>
          <w:b/>
          <w:sz w:val="22"/>
        </w:rPr>
        <w:t>Return Type and Value</w:t>
      </w:r>
      <w:r>
        <w:rPr>
          <w:sz w:val="22"/>
        </w:rPr>
        <w:t>: number – The yield on a security that pays periodic interest. However, if</w:t>
      </w:r>
    </w:p>
    <w:p>
      <w:pPr>
        <w:pStyle w:val="ListParagraph"/>
        <w:numPr>
          <w:ilvl w:val="4"/>
          <w:numId w:val="66"/>
        </w:numPr>
        <w:tabs>
          <w:tab w:pos="940" w:val="left" w:leader="none"/>
          <w:tab w:pos="941" w:val="left" w:leader="none"/>
        </w:tabs>
        <w:spacing w:line="240" w:lineRule="auto" w:before="0"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rate </w:t>
      </w:r>
      <w:r>
        <w:rPr>
          <w:sz w:val="22"/>
        </w:rPr>
        <w:t>&lt; 0,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pr </w:t>
      </w:r>
      <w:r>
        <w:rPr>
          <w:sz w:val="22"/>
        </w:rPr>
        <w:t>or </w:t>
      </w:r>
      <w:r>
        <w:rPr>
          <w:rFonts w:ascii="Times New Roman" w:hAnsi="Times New Roman"/>
          <w:i/>
          <w:sz w:val="22"/>
        </w:rPr>
        <w:t>redemption </w:t>
      </w:r>
      <w:r>
        <w:rPr>
          <w:sz w:val="22"/>
        </w:rPr>
        <w:t>≤ 0,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frequency </w:t>
      </w:r>
      <w:r>
        <w:rPr>
          <w:sz w:val="22"/>
        </w:rPr>
        <w:t>is any number other than 1, 2, or 4, </w:t>
      </w:r>
      <w:r>
        <w:rPr>
          <w:rFonts w:ascii="Consolas" w:hAnsi="Consolas"/>
          <w:sz w:val="22"/>
        </w:rPr>
        <w:t>#NUM!</w:t>
      </w:r>
      <w:r>
        <w:rPr>
          <w:rFonts w:ascii="Consolas" w:hAnsi="Consolas"/>
          <w:spacing w:val="-85"/>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101"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91"/>
          <w:sz w:val="22"/>
        </w:rPr>
        <w:t> </w:t>
      </w:r>
      <w:r>
        <w:rPr>
          <w:sz w:val="22"/>
        </w:rPr>
        <w:t>is returned. [</w:t>
      </w:r>
      <w:r>
        <w:rPr>
          <w:i/>
          <w:sz w:val="22"/>
        </w:rPr>
        <w:t>Example</w:t>
      </w:r>
      <w:r>
        <w:rPr>
          <w:sz w:val="22"/>
        </w:rPr>
        <w:t>:</w:t>
      </w:r>
    </w:p>
    <w:p>
      <w:pPr>
        <w:pStyle w:val="BodyText"/>
        <w:spacing w:before="127"/>
        <w:ind w:left="220"/>
        <w:rPr>
          <w:rFonts w:ascii="Consolas"/>
        </w:rPr>
      </w:pPr>
      <w:r>
        <w:rPr>
          <w:rFonts w:ascii="Consolas"/>
        </w:rPr>
        <w:t>YIELD(DATE(2008,2,15),DATE(2016,11,15),0.0575,95.04287,100,2,0) </w:t>
      </w:r>
      <w:r>
        <w:rPr/>
        <w:t>results in </w:t>
      </w:r>
      <w:r>
        <w:rPr>
          <w:rFonts w:ascii="Consolas"/>
        </w:rPr>
        <w:t>6.5000%</w:t>
      </w:r>
    </w:p>
    <w:p>
      <w:pPr>
        <w:pStyle w:val="BodyText"/>
        <w:spacing w:before="10"/>
        <w:rPr>
          <w:rFonts w:ascii="Consolas"/>
          <w:sz w:val="29"/>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54 YIELDDISC" w:id="2456"/>
      <w:bookmarkEnd w:id="2456"/>
      <w:r>
        <w:rPr/>
      </w:r>
      <w:bookmarkStart w:name="_bookmark819" w:id="2457"/>
      <w:bookmarkEnd w:id="2457"/>
      <w:r>
        <w:rPr/>
      </w:r>
      <w:bookmarkStart w:name="_bookmark819" w:id="2458"/>
      <w:bookmarkEnd w:id="2458"/>
      <w:r>
        <w:rPr>
          <w:color w:val="4F81BC"/>
        </w:rPr>
        <w:t>Y</w:t>
      </w:r>
      <w:r>
        <w:rPr>
          <w:color w:val="4F81BC"/>
        </w:rPr>
        <w:t>IELDDISC</w:t>
      </w:r>
    </w:p>
    <w:p>
      <w:pPr>
        <w:pStyle w:val="Heading4"/>
        <w:spacing w:before="123"/>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YIELDDISC ( </w:t>
      </w:r>
      <w:r>
        <w:rPr>
          <w:i/>
          <w:sz w:val="22"/>
        </w:rPr>
        <w:t>settlement  </w:t>
      </w:r>
      <w:r>
        <w:rPr>
          <w:rFonts w:ascii="Lucida Console"/>
          <w:sz w:val="20"/>
        </w:rPr>
        <w:t>, </w:t>
      </w:r>
      <w:r>
        <w:rPr>
          <w:i/>
          <w:sz w:val="22"/>
        </w:rPr>
        <w:t>maturity  </w:t>
      </w:r>
      <w:r>
        <w:rPr>
          <w:rFonts w:ascii="Lucida Console"/>
          <w:sz w:val="20"/>
        </w:rPr>
        <w:t>, </w:t>
      </w:r>
      <w:r>
        <w:rPr>
          <w:i/>
          <w:sz w:val="22"/>
        </w:rPr>
        <w:t>pr  </w:t>
      </w:r>
      <w:r>
        <w:rPr>
          <w:rFonts w:ascii="Lucida Console"/>
          <w:sz w:val="20"/>
        </w:rPr>
        <w:t>, </w:t>
      </w:r>
      <w:r>
        <w:rPr>
          <w:i/>
          <w:sz w:val="22"/>
        </w:rPr>
        <w:t>redemption  </w:t>
      </w:r>
      <w:r>
        <w:rPr>
          <w:sz w:val="22"/>
        </w:rPr>
        <w:t>[  </w:t>
      </w:r>
      <w:r>
        <w:rPr>
          <w:rFonts w:ascii="Lucida Console"/>
          <w:sz w:val="20"/>
        </w:rPr>
        <w:t>, </w:t>
      </w:r>
      <w:r>
        <w:rPr>
          <w:sz w:val="22"/>
        </w:rPr>
        <w:t>[ </w:t>
      </w:r>
      <w:r>
        <w:rPr>
          <w:i/>
          <w:sz w:val="22"/>
        </w:rPr>
        <w:t>basis </w:t>
      </w:r>
      <w:r>
        <w:rPr>
          <w:sz w:val="22"/>
        </w:rPr>
        <w:t>] ]  </w:t>
      </w:r>
      <w:r>
        <w:rPr>
          <w:rFonts w:ascii="Lucida Console"/>
          <w:sz w:val="20"/>
        </w:rPr>
        <w:t>)</w:t>
      </w:r>
    </w:p>
    <w:p>
      <w:pPr>
        <w:pStyle w:val="BodyText"/>
        <w:spacing w:before="108"/>
        <w:ind w:left="220"/>
      </w:pPr>
      <w:r>
        <w:rPr>
          <w:b/>
        </w:rPr>
        <w:t>Description</w:t>
      </w:r>
      <w:r>
        <w:rPr/>
        <w:t>: Computes the annual yield for a discounted security.</w:t>
      </w:r>
    </w:p>
    <w:p>
      <w:pPr>
        <w:pStyle w:val="BodyText"/>
        <w:spacing w:before="9"/>
        <w:rPr>
          <w:sz w:val="19"/>
        </w:rPr>
      </w:pPr>
    </w:p>
    <w:p>
      <w:pPr>
        <w:pStyle w:val="Heading4"/>
        <w:rPr>
          <w:b w:val="0"/>
        </w:rPr>
      </w:pPr>
      <w:r>
        <w:rPr/>
        <w:t>Arguments</w:t>
      </w:r>
      <w:r>
        <w:rPr>
          <w:b w:val="0"/>
        </w:rPr>
        <w:t>:</w:t>
      </w:r>
    </w:p>
    <w:p>
      <w:pPr>
        <w:pStyle w:val="BodyText"/>
        <w:spacing w:before="9"/>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2"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9"/>
              <w:rPr>
                <w:rFonts w:ascii="Times New Roman"/>
                <w:i/>
                <w:sz w:val="22"/>
              </w:rPr>
            </w:pPr>
            <w:r>
              <w:rPr>
                <w:rFonts w:ascii="Times New Roman"/>
                <w:i/>
                <w:sz w:val="22"/>
              </w:rPr>
              <w:t>pr</w:t>
            </w:r>
          </w:p>
        </w:tc>
        <w:tc>
          <w:tcPr>
            <w:tcW w:w="1800" w:type="dxa"/>
          </w:tcPr>
          <w:p>
            <w:pPr>
              <w:pStyle w:val="TableParagraph"/>
              <w:spacing w:before="42"/>
              <w:ind w:left="112"/>
              <w:rPr>
                <w:sz w:val="22"/>
              </w:rPr>
            </w:pPr>
            <w:r>
              <w:rPr>
                <w:sz w:val="22"/>
              </w:rPr>
              <w:t>number</w:t>
            </w:r>
          </w:p>
        </w:tc>
        <w:tc>
          <w:tcPr>
            <w:tcW w:w="5399" w:type="dxa"/>
            <w:gridSpan w:val="4"/>
          </w:tcPr>
          <w:p>
            <w:pPr>
              <w:pStyle w:val="TableParagraph"/>
              <w:spacing w:before="42"/>
              <w:ind w:left="113"/>
              <w:rPr>
                <w:sz w:val="22"/>
              </w:rPr>
            </w:pPr>
            <w:r>
              <w:rPr>
                <w:sz w:val="22"/>
              </w:rPr>
              <w:t>The security's price per 100 currency units face value.</w:t>
            </w:r>
          </w:p>
        </w:tc>
      </w:tr>
      <w:tr>
        <w:trPr>
          <w:trHeight w:val="623" w:hRule="atLeast"/>
        </w:trPr>
        <w:tc>
          <w:tcPr>
            <w:tcW w:w="1466" w:type="dxa"/>
          </w:tcPr>
          <w:p>
            <w:pPr>
              <w:pStyle w:val="TableParagraph"/>
              <w:spacing w:before="37"/>
              <w:rPr>
                <w:rFonts w:ascii="Times New Roman"/>
                <w:i/>
                <w:sz w:val="22"/>
              </w:rPr>
            </w:pPr>
            <w:r>
              <w:rPr>
                <w:rFonts w:ascii="Times New Roman"/>
                <w:i/>
                <w:sz w:val="22"/>
              </w:rPr>
              <w:t>redemption</w:t>
            </w:r>
          </w:p>
        </w:tc>
        <w:tc>
          <w:tcPr>
            <w:tcW w:w="1800" w:type="dxa"/>
          </w:tcPr>
          <w:p>
            <w:pPr>
              <w:pStyle w:val="TableParagraph"/>
              <w:ind w:left="112"/>
              <w:rPr>
                <w:sz w:val="22"/>
              </w:rPr>
            </w:pPr>
            <w:r>
              <w:rPr>
                <w:sz w:val="22"/>
              </w:rPr>
              <w:t>number</w:t>
            </w:r>
          </w:p>
        </w:tc>
        <w:tc>
          <w:tcPr>
            <w:tcW w:w="5399" w:type="dxa"/>
            <w:gridSpan w:val="4"/>
          </w:tcPr>
          <w:p>
            <w:pPr>
              <w:pStyle w:val="TableParagraph"/>
              <w:ind w:left="113" w:right="340"/>
              <w:rPr>
                <w:sz w:val="22"/>
              </w:rPr>
            </w:pPr>
            <w:r>
              <w:rPr>
                <w:sz w:val="22"/>
              </w:rPr>
              <w:t>The security's redemption value per 100 currency units face value.</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5"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169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338"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jc w:val="both"/>
              <w:rPr>
                <w:sz w:val="22"/>
              </w:rPr>
            </w:pPr>
            <w:r>
              <w:rPr>
                <w:sz w:val="22"/>
              </w:rPr>
              <w:t>following adjustments:</w:t>
            </w:r>
          </w:p>
          <w:p>
            <w:pPr>
              <w:pStyle w:val="TableParagraph"/>
              <w:numPr>
                <w:ilvl w:val="0"/>
                <w:numId w:val="139"/>
              </w:numPr>
              <w:tabs>
                <w:tab w:pos="838" w:val="left" w:leader="none"/>
              </w:tabs>
              <w:spacing w:line="240" w:lineRule="auto" w:before="1"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39"/>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 in 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4"/>
              <w:ind w:left="116"/>
              <w:rPr>
                <w:rFonts w:ascii="Consolas"/>
                <w:sz w:val="22"/>
              </w:rPr>
            </w:pPr>
            <w:r>
              <w:rPr>
                <w:rFonts w:ascii="Consolas"/>
                <w:w w:val="100"/>
                <w:sz w:val="22"/>
              </w:rPr>
              <w:t>2</w:t>
            </w:r>
          </w:p>
        </w:tc>
        <w:tc>
          <w:tcPr>
            <w:tcW w:w="2340" w:type="dxa"/>
          </w:tcPr>
          <w:p>
            <w:pPr>
              <w:pStyle w:val="TableParagraph"/>
              <w:spacing w:before="42"/>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1696"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w:t>
            </w:r>
          </w:p>
        </w:tc>
        <w:tc>
          <w:tcPr>
            <w:tcW w:w="403" w:type="dxa"/>
            <w:vMerge/>
            <w:tcBorders>
              <w:top w:val="nil"/>
            </w:tcBorders>
          </w:tcPr>
          <w:p>
            <w:pPr>
              <w:rPr>
                <w:sz w:val="2"/>
                <w:szCs w:val="2"/>
              </w:rPr>
            </w:pPr>
          </w:p>
        </w:tc>
      </w:tr>
    </w:tbl>
    <w:p>
      <w:pPr>
        <w:spacing w:after="0"/>
        <w:rPr>
          <w:sz w:val="2"/>
          <w:szCs w:val="2"/>
        </w:rPr>
        <w:sectPr>
          <w:footerReference w:type="even" r:id="rId282"/>
          <w:footerReference w:type="default" r:id="rId283"/>
          <w:pgSz w:w="12240" w:h="15840"/>
          <w:pgMar w:footer="746" w:header="761" w:top="1340" w:bottom="940" w:left="860" w:right="700"/>
          <w:pgNumType w:start="243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6660"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7" w:right="147"/>
              <w:rPr>
                <w:sz w:val="22"/>
              </w:rPr>
            </w:pPr>
            <w:r>
              <w:rPr>
                <w:sz w:val="22"/>
              </w:rPr>
              <w:t>days in the year is 360 by making the following adjustments:</w:t>
            </w:r>
          </w:p>
          <w:p>
            <w:pPr>
              <w:pStyle w:val="TableParagraph"/>
              <w:numPr>
                <w:ilvl w:val="0"/>
                <w:numId w:val="140"/>
              </w:numPr>
              <w:tabs>
                <w:tab w:pos="1197" w:val="left" w:leader="none"/>
                <w:tab w:pos="1198" w:val="left" w:leader="none"/>
              </w:tabs>
              <w:spacing w:line="240" w:lineRule="auto" w:before="1"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40"/>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 first date</w:t>
            </w:r>
          </w:p>
          <w:p>
            <w:pPr>
              <w:pStyle w:val="TableParagraph"/>
              <w:spacing w:line="267" w:lineRule="exact" w:before="1"/>
              <w:ind w:left="1197"/>
              <w:rPr>
                <w:sz w:val="22"/>
              </w:rPr>
            </w:pPr>
            <w:r>
              <w:rPr>
                <w:sz w:val="22"/>
              </w:rPr>
              <w:t>is 28 or</w:t>
            </w:r>
          </w:p>
          <w:p>
            <w:pPr>
              <w:pStyle w:val="TableParagraph"/>
              <w:spacing w:before="0"/>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3"/>
        <w:rPr>
          <w:rFonts w:ascii="Times New Roman"/>
          <w:sz w:val="19"/>
        </w:rPr>
      </w:pPr>
    </w:p>
    <w:p>
      <w:pPr>
        <w:pStyle w:val="BodyText"/>
        <w:spacing w:before="57"/>
        <w:ind w:left="220"/>
      </w:pPr>
      <w:r>
        <w:rPr/>
        <w:t>Time information in the date arguments is ignored.</w:t>
      </w:r>
    </w:p>
    <w:p>
      <w:pPr>
        <w:pStyle w:val="BodyText"/>
        <w:spacing w:before="8"/>
        <w:rPr>
          <w:sz w:val="19"/>
        </w:rPr>
      </w:pPr>
    </w:p>
    <w:p>
      <w:pPr>
        <w:spacing w:line="453" w:lineRule="auto" w:before="0"/>
        <w:ind w:left="220" w:right="3550" w:firstLine="0"/>
        <w:jc w:val="left"/>
        <w:rPr>
          <w:sz w:val="22"/>
        </w:rPr>
      </w:pPr>
      <w:r>
        <w:rPr>
          <w:b/>
          <w:sz w:val="22"/>
        </w:rPr>
        <w:t>Return Type and Value</w:t>
      </w:r>
      <w:r>
        <w:rPr>
          <w:sz w:val="22"/>
        </w:rPr>
        <w:t>: number – The annual yield for a discounted security. However, if</w:t>
      </w:r>
    </w:p>
    <w:p>
      <w:pPr>
        <w:pStyle w:val="ListParagraph"/>
        <w:numPr>
          <w:ilvl w:val="4"/>
          <w:numId w:val="66"/>
        </w:numPr>
        <w:tabs>
          <w:tab w:pos="940" w:val="left" w:leader="none"/>
          <w:tab w:pos="941" w:val="left" w:leader="none"/>
        </w:tabs>
        <w:spacing w:line="240" w:lineRule="auto" w:before="3" w:after="0"/>
        <w:ind w:left="940" w:right="0" w:hanging="361"/>
        <w:jc w:val="left"/>
        <w:rPr>
          <w:sz w:val="22"/>
        </w:rPr>
      </w:pPr>
      <w:r>
        <w:rPr>
          <w:rFonts w:ascii="Times New Roman" w:hAnsi="Times New Roman"/>
          <w:i/>
          <w:sz w:val="22"/>
        </w:rPr>
        <w:t>settlement </w:t>
      </w:r>
      <w:r>
        <w:rPr>
          <w:sz w:val="22"/>
        </w:rPr>
        <w:t>or </w:t>
      </w:r>
      <w:r>
        <w:rPr>
          <w:rFonts w:ascii="Times New Roman" w:hAnsi="Times New Roman"/>
          <w:i/>
          <w:sz w:val="22"/>
        </w:rPr>
        <w:t>maturity </w:t>
      </w:r>
      <w:r>
        <w:rPr>
          <w:sz w:val="22"/>
        </w:rPr>
        <w:t>is out of range for the current date system, </w:t>
      </w:r>
      <w:r>
        <w:rPr>
          <w:rFonts w:ascii="Consolas" w:hAnsi="Consolas"/>
          <w:sz w:val="22"/>
        </w:rPr>
        <w:t>#NUM!</w:t>
      </w:r>
      <w:r>
        <w:rPr>
          <w:rFonts w:ascii="Consolas" w:hAnsi="Consolas"/>
          <w:spacing w:val="-92"/>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86"/>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pr </w:t>
      </w:r>
      <w:r>
        <w:rPr>
          <w:sz w:val="22"/>
        </w:rPr>
        <w:t>or </w:t>
      </w:r>
      <w:r>
        <w:rPr>
          <w:rFonts w:ascii="Times New Roman" w:hAnsi="Times New Roman"/>
          <w:i/>
          <w:sz w:val="22"/>
        </w:rPr>
        <w:t>redemption </w:t>
      </w:r>
      <w:r>
        <w:rPr>
          <w:sz w:val="22"/>
        </w:rPr>
        <w:t>≤ 0, </w:t>
      </w:r>
      <w:r>
        <w:rPr>
          <w:rFonts w:ascii="Consolas" w:hAnsi="Consolas"/>
          <w:sz w:val="22"/>
        </w:rPr>
        <w:t>#NUM!</w:t>
      </w:r>
      <w:r>
        <w:rPr>
          <w:rFonts w:ascii="Consolas" w:hAnsi="Consolas"/>
          <w:spacing w:val="-88"/>
          <w:sz w:val="22"/>
        </w:rPr>
        <w:t> </w:t>
      </w:r>
      <w:r>
        <w:rPr>
          <w:sz w:val="22"/>
        </w:rPr>
        <w:t>is returned.</w:t>
      </w:r>
    </w:p>
    <w:p>
      <w:pPr>
        <w:pStyle w:val="ListParagraph"/>
        <w:numPr>
          <w:ilvl w:val="4"/>
          <w:numId w:val="66"/>
        </w:numPr>
        <w:tabs>
          <w:tab w:pos="940" w:val="left" w:leader="none"/>
          <w:tab w:pos="941" w:val="left" w:leader="none"/>
        </w:tabs>
        <w:spacing w:line="446" w:lineRule="auto" w:before="39" w:after="0"/>
        <w:ind w:left="220" w:right="6101"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91"/>
          <w:sz w:val="22"/>
        </w:rPr>
        <w:t> </w:t>
      </w:r>
      <w:r>
        <w:rPr>
          <w:sz w:val="22"/>
        </w:rPr>
        <w:t>is returned. [</w:t>
      </w:r>
      <w:r>
        <w:rPr>
          <w:i/>
          <w:sz w:val="22"/>
        </w:rPr>
        <w:t>Example</w:t>
      </w:r>
      <w:r>
        <w:rPr>
          <w:sz w:val="22"/>
        </w:rPr>
        <w:t>:</w:t>
      </w:r>
    </w:p>
    <w:p>
      <w:pPr>
        <w:pStyle w:val="BodyText"/>
        <w:spacing w:before="126"/>
        <w:ind w:left="220"/>
        <w:rPr>
          <w:rFonts w:ascii="Consolas"/>
        </w:rPr>
      </w:pPr>
      <w:r>
        <w:rPr>
          <w:rFonts w:ascii="Consolas"/>
        </w:rPr>
        <w:t>YIELDDISC(DATE(2008,2,16),DATE(2008,3,1),99.795,100,2) </w:t>
      </w:r>
      <w:r>
        <w:rPr/>
        <w:t>results in </w:t>
      </w:r>
      <w:r>
        <w:rPr>
          <w:rFonts w:ascii="Consolas"/>
        </w:rPr>
        <w:t>5.2823%</w:t>
      </w:r>
    </w:p>
    <w:p>
      <w:pPr>
        <w:pStyle w:val="BodyText"/>
        <w:spacing w:before="2"/>
        <w:rPr>
          <w:rFonts w:ascii="Consolas"/>
          <w:sz w:val="30"/>
        </w:rPr>
      </w:pPr>
    </w:p>
    <w:p>
      <w:pPr>
        <w:spacing w:before="0"/>
        <w:ind w:left="220" w:right="0" w:firstLine="0"/>
        <w:jc w:val="left"/>
        <w:rPr>
          <w:sz w:val="22"/>
        </w:rPr>
      </w:pPr>
      <w:r>
        <w:rPr>
          <w:i/>
          <w:sz w:val="22"/>
        </w:rPr>
        <w:t>end example</w:t>
      </w:r>
      <w:r>
        <w:rPr>
          <w:sz w:val="22"/>
        </w:rPr>
        <w:t>]</w:t>
      </w:r>
    </w:p>
    <w:p>
      <w:pPr>
        <w:spacing w:after="0"/>
        <w:jc w:val="left"/>
        <w:rPr>
          <w:sz w:val="22"/>
        </w:rPr>
        <w:sectPr>
          <w:pgSz w:w="12240" w:h="15840"/>
          <w:pgMar w:header="763" w:footer="746" w:top="1340" w:bottom="940" w:left="860" w:right="700"/>
        </w:sectPr>
      </w:pPr>
    </w:p>
    <w:p>
      <w:pPr>
        <w:pStyle w:val="Heading3"/>
        <w:numPr>
          <w:ilvl w:val="3"/>
          <w:numId w:val="66"/>
        </w:numPr>
        <w:tabs>
          <w:tab w:pos="1732" w:val="left" w:leader="none"/>
          <w:tab w:pos="1733" w:val="left" w:leader="none"/>
        </w:tabs>
        <w:spacing w:line="240" w:lineRule="auto" w:before="93" w:after="0"/>
        <w:ind w:left="1732" w:right="0" w:hanging="1513"/>
        <w:jc w:val="left"/>
      </w:pPr>
      <w:bookmarkStart w:name="18.17.7.355 YIELDMAT" w:id="2459"/>
      <w:bookmarkEnd w:id="2459"/>
      <w:r>
        <w:rPr/>
      </w:r>
      <w:bookmarkStart w:name="_bookmark820" w:id="2460"/>
      <w:bookmarkEnd w:id="2460"/>
      <w:r>
        <w:rPr/>
      </w:r>
      <w:bookmarkStart w:name="_bookmark820" w:id="2461"/>
      <w:bookmarkEnd w:id="2461"/>
      <w:r>
        <w:rPr>
          <w:color w:val="4F81BC"/>
        </w:rPr>
        <w:t>Y</w:t>
      </w:r>
      <w:r>
        <w:rPr>
          <w:color w:val="4F81BC"/>
        </w:rPr>
        <w:t>IELDMAT</w:t>
      </w:r>
    </w:p>
    <w:p>
      <w:pPr>
        <w:pStyle w:val="Heading4"/>
        <w:spacing w:before="122"/>
        <w:rPr>
          <w:b w:val="0"/>
        </w:rPr>
      </w:pPr>
      <w:r>
        <w:rPr/>
        <w:t>Syntax</w:t>
      </w:r>
      <w:r>
        <w:rPr>
          <w:b w:val="0"/>
        </w:rPr>
        <w:t>:</w:t>
      </w:r>
    </w:p>
    <w:p>
      <w:pPr>
        <w:pStyle w:val="BodyText"/>
        <w:spacing w:before="1"/>
        <w:rPr>
          <w:sz w:val="19"/>
        </w:rPr>
      </w:pPr>
    </w:p>
    <w:p>
      <w:pPr>
        <w:spacing w:before="0"/>
        <w:ind w:left="0" w:right="2973" w:firstLine="0"/>
        <w:jc w:val="right"/>
        <w:rPr>
          <w:rFonts w:ascii="Lucida Console"/>
          <w:sz w:val="20"/>
        </w:rPr>
      </w:pPr>
      <w:r>
        <w:rPr>
          <w:rFonts w:ascii="Lucida Console"/>
          <w:sz w:val="20"/>
        </w:rPr>
        <w:t>YIELDMAT ( </w:t>
      </w:r>
      <w:r>
        <w:rPr>
          <w:i/>
          <w:sz w:val="22"/>
        </w:rPr>
        <w:t>settlement  </w:t>
      </w:r>
      <w:r>
        <w:rPr>
          <w:rFonts w:ascii="Lucida Console"/>
          <w:sz w:val="20"/>
        </w:rPr>
        <w:t>, </w:t>
      </w:r>
      <w:r>
        <w:rPr>
          <w:i/>
          <w:sz w:val="22"/>
        </w:rPr>
        <w:t>maturity  </w:t>
      </w:r>
      <w:r>
        <w:rPr>
          <w:rFonts w:ascii="Lucida Console"/>
          <w:sz w:val="20"/>
        </w:rPr>
        <w:t>, </w:t>
      </w:r>
      <w:r>
        <w:rPr>
          <w:i/>
          <w:sz w:val="22"/>
        </w:rPr>
        <w:t>issue  </w:t>
      </w:r>
      <w:r>
        <w:rPr>
          <w:sz w:val="22"/>
        </w:rPr>
        <w:t>,  </w:t>
      </w:r>
      <w:r>
        <w:rPr>
          <w:i/>
          <w:sz w:val="22"/>
        </w:rPr>
        <w:t>rate </w:t>
      </w:r>
      <w:r>
        <w:rPr>
          <w:sz w:val="22"/>
        </w:rPr>
        <w:t>,  </w:t>
      </w:r>
      <w:r>
        <w:rPr>
          <w:i/>
          <w:sz w:val="22"/>
        </w:rPr>
        <w:t>pr  </w:t>
      </w:r>
      <w:r>
        <w:rPr>
          <w:sz w:val="22"/>
        </w:rPr>
        <w:t>[  </w:t>
      </w:r>
      <w:r>
        <w:rPr>
          <w:rFonts w:ascii="Lucida Console"/>
          <w:sz w:val="20"/>
        </w:rPr>
        <w:t>,</w:t>
      </w:r>
      <w:r>
        <w:rPr>
          <w:rFonts w:ascii="Lucida Console"/>
          <w:spacing w:val="-74"/>
          <w:sz w:val="20"/>
        </w:rPr>
        <w:t> </w:t>
      </w:r>
      <w:r>
        <w:rPr>
          <w:sz w:val="22"/>
        </w:rPr>
        <w:t>[  </w:t>
      </w:r>
      <w:r>
        <w:rPr>
          <w:i/>
          <w:sz w:val="22"/>
        </w:rPr>
        <w:t>basis  </w:t>
      </w:r>
      <w:r>
        <w:rPr>
          <w:sz w:val="22"/>
        </w:rPr>
        <w:t>] ]  </w:t>
      </w:r>
      <w:r>
        <w:rPr>
          <w:rFonts w:ascii="Lucida Console"/>
          <w:sz w:val="20"/>
        </w:rPr>
        <w:t>)</w:t>
      </w:r>
    </w:p>
    <w:p>
      <w:pPr>
        <w:pStyle w:val="BodyText"/>
        <w:spacing w:before="108"/>
        <w:ind w:right="3045"/>
        <w:jc w:val="right"/>
      </w:pPr>
      <w:r>
        <w:rPr>
          <w:b/>
        </w:rPr>
        <w:t>Description</w:t>
      </w:r>
      <w:r>
        <w:rPr/>
        <w:t>: Computes the annual yield of a security that pays interest at</w:t>
      </w:r>
      <w:r>
        <w:rPr>
          <w:spacing w:val="-27"/>
        </w:rPr>
        <w:t> </w:t>
      </w:r>
      <w:r>
        <w:rPr/>
        <w:t>maturity.</w:t>
      </w:r>
    </w:p>
    <w:p>
      <w:pPr>
        <w:pStyle w:val="BodyText"/>
        <w:spacing w:before="8"/>
        <w:rPr>
          <w:sz w:val="19"/>
        </w:rPr>
      </w:pPr>
    </w:p>
    <w:p>
      <w:pPr>
        <w:pStyle w:val="Heading4"/>
        <w:spacing w:before="1"/>
        <w:rPr>
          <w:b w:val="0"/>
        </w:rPr>
      </w:pPr>
      <w:r>
        <w:rPr/>
        <w:t>Arguments</w:t>
      </w:r>
      <w:r>
        <w:rPr>
          <w:b w:val="0"/>
        </w:rPr>
        <w:t>:</w:t>
      </w:r>
    </w:p>
    <w:p>
      <w:pPr>
        <w:pStyle w:val="BodyText"/>
        <w:spacing w:before="8"/>
        <w:rPr>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settlement</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settlement date.</w:t>
            </w:r>
          </w:p>
        </w:tc>
      </w:tr>
      <w:tr>
        <w:trPr>
          <w:trHeight w:val="354" w:hRule="atLeast"/>
        </w:trPr>
        <w:tc>
          <w:tcPr>
            <w:tcW w:w="1466" w:type="dxa"/>
          </w:tcPr>
          <w:p>
            <w:pPr>
              <w:pStyle w:val="TableParagraph"/>
              <w:spacing w:before="37"/>
              <w:rPr>
                <w:rFonts w:ascii="Times New Roman"/>
                <w:i/>
                <w:sz w:val="22"/>
              </w:rPr>
            </w:pPr>
            <w:r>
              <w:rPr>
                <w:rFonts w:ascii="Times New Roman"/>
                <w:i/>
                <w:sz w:val="22"/>
              </w:rPr>
              <w:t>maturity</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maturity date.</w:t>
            </w:r>
          </w:p>
        </w:tc>
      </w:tr>
      <w:tr>
        <w:trPr>
          <w:trHeight w:val="354" w:hRule="atLeast"/>
        </w:trPr>
        <w:tc>
          <w:tcPr>
            <w:tcW w:w="1466" w:type="dxa"/>
          </w:tcPr>
          <w:p>
            <w:pPr>
              <w:pStyle w:val="TableParagraph"/>
              <w:spacing w:before="37"/>
              <w:rPr>
                <w:rFonts w:ascii="Times New Roman"/>
                <w:i/>
                <w:sz w:val="22"/>
              </w:rPr>
            </w:pPr>
            <w:r>
              <w:rPr>
                <w:rFonts w:ascii="Times New Roman"/>
                <w:i/>
                <w:sz w:val="22"/>
              </w:rPr>
              <w:t>issue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issue date.</w:t>
            </w:r>
          </w:p>
        </w:tc>
      </w:tr>
      <w:tr>
        <w:trPr>
          <w:trHeight w:val="355" w:hRule="atLeast"/>
        </w:trPr>
        <w:tc>
          <w:tcPr>
            <w:tcW w:w="1466" w:type="dxa"/>
          </w:tcPr>
          <w:p>
            <w:pPr>
              <w:pStyle w:val="TableParagraph"/>
              <w:spacing w:before="37"/>
              <w:rPr>
                <w:rFonts w:ascii="Times New Roman"/>
                <w:i/>
                <w:sz w:val="22"/>
              </w:rPr>
            </w:pPr>
            <w:r>
              <w:rPr>
                <w:rFonts w:ascii="Times New Roman"/>
                <w:i/>
                <w:sz w:val="22"/>
              </w:rPr>
              <w:t>rate</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interest rate.</w:t>
            </w:r>
          </w:p>
        </w:tc>
      </w:tr>
      <w:tr>
        <w:trPr>
          <w:trHeight w:val="354" w:hRule="atLeast"/>
        </w:trPr>
        <w:tc>
          <w:tcPr>
            <w:tcW w:w="1466" w:type="dxa"/>
          </w:tcPr>
          <w:p>
            <w:pPr>
              <w:pStyle w:val="TableParagraph"/>
              <w:spacing w:before="37"/>
              <w:rPr>
                <w:rFonts w:ascii="Times New Roman"/>
                <w:i/>
                <w:sz w:val="22"/>
              </w:rPr>
            </w:pPr>
            <w:r>
              <w:rPr>
                <w:rFonts w:ascii="Times New Roman"/>
                <w:i/>
                <w:sz w:val="22"/>
              </w:rPr>
              <w:t>pr</w:t>
            </w:r>
          </w:p>
        </w:tc>
        <w:tc>
          <w:tcPr>
            <w:tcW w:w="1800" w:type="dxa"/>
          </w:tcPr>
          <w:p>
            <w:pPr>
              <w:pStyle w:val="TableParagraph"/>
              <w:ind w:left="112"/>
              <w:rPr>
                <w:sz w:val="22"/>
              </w:rPr>
            </w:pPr>
            <w:r>
              <w:rPr>
                <w:sz w:val="22"/>
              </w:rPr>
              <w:t>number</w:t>
            </w:r>
          </w:p>
        </w:tc>
        <w:tc>
          <w:tcPr>
            <w:tcW w:w="5399" w:type="dxa"/>
            <w:gridSpan w:val="4"/>
          </w:tcPr>
          <w:p>
            <w:pPr>
              <w:pStyle w:val="TableParagraph"/>
              <w:ind w:left="113"/>
              <w:rPr>
                <w:sz w:val="22"/>
              </w:rPr>
            </w:pPr>
            <w:r>
              <w:rPr>
                <w:sz w:val="22"/>
              </w:rPr>
              <w:t>The security's price per 100 currency units face value.</w:t>
            </w:r>
          </w:p>
        </w:tc>
      </w:tr>
      <w:tr>
        <w:trPr>
          <w:trHeight w:val="849" w:hRule="atLeast"/>
        </w:trPr>
        <w:tc>
          <w:tcPr>
            <w:tcW w:w="1466" w:type="dxa"/>
            <w:vMerge w:val="restart"/>
          </w:tcPr>
          <w:p>
            <w:pPr>
              <w:pStyle w:val="TableParagraph"/>
              <w:spacing w:before="37"/>
              <w:rPr>
                <w:rFonts w:ascii="Times New Roman"/>
                <w:i/>
                <w:sz w:val="22"/>
              </w:rPr>
            </w:pPr>
            <w:r>
              <w:rPr>
                <w:rFonts w:ascii="Times New Roman"/>
                <w:i/>
                <w:sz w:val="22"/>
              </w:rPr>
              <w:t>basis</w:t>
            </w:r>
          </w:p>
        </w:tc>
        <w:tc>
          <w:tcPr>
            <w:tcW w:w="1800" w:type="dxa"/>
            <w:vMerge w:val="restart"/>
          </w:tcPr>
          <w:p>
            <w:pPr>
              <w:pStyle w:val="TableParagraph"/>
              <w:ind w:left="112"/>
              <w:rPr>
                <w:sz w:val="22"/>
              </w:rPr>
            </w:pPr>
            <w:r>
              <w:rPr>
                <w:sz w:val="22"/>
              </w:rPr>
              <w:t>number</w:t>
            </w:r>
          </w:p>
        </w:tc>
        <w:tc>
          <w:tcPr>
            <w:tcW w:w="5399" w:type="dxa"/>
            <w:gridSpan w:val="4"/>
            <w:tcBorders>
              <w:bottom w:val="nil"/>
            </w:tcBorders>
          </w:tcPr>
          <w:p>
            <w:pPr>
              <w:pStyle w:val="TableParagraph"/>
              <w:ind w:left="113" w:right="302"/>
              <w:rPr>
                <w:sz w:val="22"/>
              </w:rPr>
            </w:pPr>
            <w:r>
              <w:rPr>
                <w:sz w:val="22"/>
              </w:rPr>
              <w:t>The truncated integer type of day count basis to use, as follows:</w:t>
            </w:r>
          </w:p>
        </w:tc>
      </w:tr>
      <w:tr>
        <w:trPr>
          <w:trHeight w:val="35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val="restart"/>
            <w:tcBorders>
              <w:top w:val="nil"/>
            </w:tcBorders>
          </w:tcPr>
          <w:p>
            <w:pPr>
              <w:pStyle w:val="TableParagraph"/>
              <w:spacing w:before="0"/>
              <w:ind w:left="0"/>
              <w:rPr>
                <w:rFonts w:ascii="Times New Roman"/>
                <w:sz w:val="22"/>
              </w:rPr>
            </w:pPr>
          </w:p>
        </w:tc>
        <w:tc>
          <w:tcPr>
            <w:tcW w:w="1819" w:type="dxa"/>
            <w:shd w:val="clear" w:color="auto" w:fill="C0C0C0"/>
          </w:tcPr>
          <w:p>
            <w:pPr>
              <w:pStyle w:val="TableParagraph"/>
              <w:ind w:left="629" w:right="618"/>
              <w:jc w:val="center"/>
              <w:rPr>
                <w:b/>
                <w:sz w:val="22"/>
              </w:rPr>
            </w:pPr>
            <w:r>
              <w:rPr>
                <w:b/>
                <w:sz w:val="22"/>
              </w:rPr>
              <w:t>Value</w:t>
            </w:r>
          </w:p>
        </w:tc>
        <w:tc>
          <w:tcPr>
            <w:tcW w:w="2340" w:type="dxa"/>
            <w:shd w:val="clear" w:color="auto" w:fill="C0C0C0"/>
          </w:tcPr>
          <w:p>
            <w:pPr>
              <w:pStyle w:val="TableParagraph"/>
              <w:ind w:left="441"/>
              <w:rPr>
                <w:b/>
                <w:sz w:val="22"/>
              </w:rPr>
            </w:pPr>
            <w:r>
              <w:rPr>
                <w:b/>
                <w:sz w:val="22"/>
              </w:rPr>
              <w:t>Day Count Basis</w:t>
            </w:r>
          </w:p>
        </w:tc>
        <w:tc>
          <w:tcPr>
            <w:tcW w:w="403" w:type="dxa"/>
            <w:vMerge w:val="restart"/>
            <w:tcBorders>
              <w:top w:val="nil"/>
            </w:tcBorders>
          </w:tcPr>
          <w:p>
            <w:pPr>
              <w:pStyle w:val="TableParagraph"/>
              <w:spacing w:before="0"/>
              <w:ind w:left="0"/>
              <w:rPr>
                <w:rFonts w:ascii="Times New Roman"/>
                <w:sz w:val="22"/>
              </w:rPr>
            </w:pPr>
          </w:p>
        </w:tc>
      </w:tr>
      <w:tr>
        <w:trPr>
          <w:trHeight w:val="7094"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sz w:val="22"/>
              </w:rPr>
            </w:pPr>
            <w:r>
              <w:rPr>
                <w:rFonts w:ascii="Consolas"/>
                <w:sz w:val="22"/>
              </w:rPr>
              <w:t>0</w:t>
            </w:r>
            <w:r>
              <w:rPr>
                <w:rFonts w:ascii="Consolas"/>
                <w:spacing w:val="-72"/>
                <w:sz w:val="22"/>
              </w:rPr>
              <w:t> </w:t>
            </w:r>
            <w:r>
              <w:rPr>
                <w:sz w:val="22"/>
              </w:rPr>
              <w:t>or omitted</w:t>
            </w:r>
          </w:p>
        </w:tc>
        <w:tc>
          <w:tcPr>
            <w:tcW w:w="2340" w:type="dxa"/>
          </w:tcPr>
          <w:p>
            <w:pPr>
              <w:pStyle w:val="TableParagraph"/>
              <w:spacing w:line="267" w:lineRule="exact" w:before="42"/>
              <w:ind w:left="117"/>
              <w:rPr>
                <w:sz w:val="22"/>
              </w:rPr>
            </w:pPr>
            <w:r>
              <w:rPr>
                <w:sz w:val="22"/>
              </w:rPr>
              <w:t>US (NASD) 30/360.</w:t>
            </w:r>
          </w:p>
          <w:p>
            <w:pPr>
              <w:pStyle w:val="TableParagraph"/>
              <w:spacing w:before="0"/>
              <w:ind w:left="117" w:right="124"/>
              <w:rPr>
                <w:sz w:val="22"/>
              </w:rPr>
            </w:pPr>
            <w:r>
              <w:rPr>
                <w:sz w:val="22"/>
              </w:rPr>
              <w:t>Assumes that each month has 30 days and the total number of days in the year is 360 by making the following adjustments:</w:t>
            </w:r>
          </w:p>
          <w:p>
            <w:pPr>
              <w:pStyle w:val="TableParagraph"/>
              <w:numPr>
                <w:ilvl w:val="0"/>
                <w:numId w:val="141"/>
              </w:numPr>
              <w:tabs>
                <w:tab w:pos="838" w:val="left" w:leader="none"/>
              </w:tabs>
              <w:spacing w:line="240" w:lineRule="auto" w:before="1" w:after="0"/>
              <w:ind w:left="837" w:right="104" w:hanging="360"/>
              <w:jc w:val="both"/>
              <w:rPr>
                <w:sz w:val="22"/>
              </w:rPr>
            </w:pPr>
            <w:r>
              <w:rPr>
                <w:sz w:val="22"/>
              </w:rPr>
              <w:t>If the date is </w:t>
            </w:r>
            <w:r>
              <w:rPr>
                <w:spacing w:val="-7"/>
                <w:sz w:val="22"/>
              </w:rPr>
              <w:t>28 </w:t>
            </w:r>
            <w:r>
              <w:rPr>
                <w:sz w:val="22"/>
              </w:rPr>
              <w:t>or 29 February, it is adjusted to 30</w:t>
            </w:r>
            <w:r>
              <w:rPr>
                <w:spacing w:val="-1"/>
                <w:sz w:val="22"/>
              </w:rPr>
              <w:t> </w:t>
            </w:r>
            <w:r>
              <w:rPr>
                <w:sz w:val="22"/>
              </w:rPr>
              <w:t>February.</w:t>
            </w:r>
          </w:p>
          <w:p>
            <w:pPr>
              <w:pStyle w:val="TableParagraph"/>
              <w:numPr>
                <w:ilvl w:val="0"/>
                <w:numId w:val="141"/>
              </w:numPr>
              <w:tabs>
                <w:tab w:pos="837" w:val="left" w:leader="none"/>
                <w:tab w:pos="838" w:val="left" w:leader="none"/>
              </w:tabs>
              <w:spacing w:line="240" w:lineRule="auto" w:before="0" w:after="0"/>
              <w:ind w:left="837" w:right="126" w:hanging="360"/>
              <w:jc w:val="left"/>
              <w:rPr>
                <w:sz w:val="22"/>
              </w:rPr>
            </w:pPr>
            <w:r>
              <w:rPr>
                <w:sz w:val="22"/>
              </w:rPr>
              <w:t>For months with 31 days, if the first date has a day </w:t>
            </w:r>
            <w:r>
              <w:rPr>
                <w:spacing w:val="-4"/>
                <w:sz w:val="22"/>
              </w:rPr>
              <w:t>value </w:t>
            </w:r>
            <w:r>
              <w:rPr>
                <w:sz w:val="22"/>
              </w:rPr>
              <w:t>of 31, the date is converted to day 30. If the second date has a day </w:t>
            </w:r>
            <w:r>
              <w:rPr>
                <w:spacing w:val="-4"/>
                <w:sz w:val="22"/>
              </w:rPr>
              <w:t>value </w:t>
            </w:r>
            <w:r>
              <w:rPr>
                <w:sz w:val="22"/>
              </w:rPr>
              <w:t>of 31, it is changed to 30 days as long as the first date was not 28 or 29 February,</w:t>
            </w:r>
            <w:r>
              <w:rPr>
                <w:spacing w:val="-1"/>
                <w:sz w:val="22"/>
              </w:rPr>
              <w:t> </w:t>
            </w:r>
            <w:r>
              <w:rPr>
                <w:sz w:val="22"/>
              </w:rPr>
              <w:t>in</w:t>
            </w:r>
          </w:p>
        </w:tc>
        <w:tc>
          <w:tcPr>
            <w:tcW w:w="403" w:type="dxa"/>
            <w:vMerge/>
            <w:tcBorders>
              <w:top w:val="nil"/>
            </w:tcBorders>
          </w:tcPr>
          <w:p>
            <w:pPr>
              <w:rPr>
                <w:sz w:val="2"/>
                <w:szCs w:val="2"/>
              </w:rPr>
            </w:pPr>
          </w:p>
        </w:tc>
      </w:tr>
    </w:tbl>
    <w:p>
      <w:pPr>
        <w:spacing w:after="0"/>
        <w:rPr>
          <w:sz w:val="2"/>
          <w:szCs w:val="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945" w:hRule="atLeast"/>
        </w:trPr>
        <w:tc>
          <w:tcPr>
            <w:tcW w:w="1466" w:type="dxa"/>
            <w:vMerge w:val="restart"/>
          </w:tcPr>
          <w:p>
            <w:pPr>
              <w:pStyle w:val="TableParagraph"/>
              <w:spacing w:before="0"/>
              <w:ind w:left="0"/>
              <w:rPr>
                <w:rFonts w:ascii="Times New Roman"/>
                <w:sz w:val="22"/>
              </w:rPr>
            </w:pPr>
          </w:p>
        </w:tc>
        <w:tc>
          <w:tcPr>
            <w:tcW w:w="1800" w:type="dxa"/>
            <w:vMerge w:val="restart"/>
          </w:tcPr>
          <w:p>
            <w:pPr>
              <w:pStyle w:val="TableParagraph"/>
              <w:spacing w:before="0"/>
              <w:ind w:left="0"/>
              <w:rPr>
                <w:rFonts w:ascii="Times New Roman"/>
                <w:sz w:val="22"/>
              </w:rPr>
            </w:pPr>
          </w:p>
        </w:tc>
        <w:tc>
          <w:tcPr>
            <w:tcW w:w="837" w:type="dxa"/>
            <w:vMerge w:val="restart"/>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837" w:right="323"/>
              <w:rPr>
                <w:sz w:val="22"/>
              </w:rPr>
            </w:pPr>
            <w:r>
              <w:rPr>
                <w:sz w:val="22"/>
              </w:rPr>
              <w:t>which case it does not change.</w:t>
            </w:r>
          </w:p>
        </w:tc>
        <w:tc>
          <w:tcPr>
            <w:tcW w:w="403" w:type="dxa"/>
            <w:vMerge w:val="restart"/>
          </w:tcPr>
          <w:p>
            <w:pPr>
              <w:pStyle w:val="TableParagraph"/>
              <w:spacing w:before="0"/>
              <w:ind w:left="0"/>
              <w:rPr>
                <w:rFonts w:ascii="Times New Roman"/>
                <w:sz w:val="22"/>
              </w:rPr>
            </w:pPr>
          </w:p>
        </w:tc>
      </w:tr>
      <w:tr>
        <w:trPr>
          <w:trHeight w:val="2503"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1</w:t>
            </w:r>
          </w:p>
        </w:tc>
        <w:tc>
          <w:tcPr>
            <w:tcW w:w="2340" w:type="dxa"/>
          </w:tcPr>
          <w:p>
            <w:pPr>
              <w:pStyle w:val="TableParagraph"/>
              <w:ind w:left="117" w:right="109"/>
              <w:rPr>
                <w:sz w:val="22"/>
              </w:rPr>
            </w:pPr>
            <w:r>
              <w:rPr>
                <w:sz w:val="22"/>
              </w:rPr>
              <w:t>Actual/actual. The actual number of days between the two dates are counted. If the date range includes </w:t>
            </w:r>
            <w:r>
              <w:rPr>
                <w:spacing w:val="-6"/>
                <w:sz w:val="22"/>
              </w:rPr>
              <w:t>the </w:t>
            </w:r>
            <w:r>
              <w:rPr>
                <w:sz w:val="22"/>
              </w:rPr>
              <w:t>date 29 February, the year is 366 days; otherwise it is 365 days.</w:t>
            </w:r>
          </w:p>
        </w:tc>
        <w:tc>
          <w:tcPr>
            <w:tcW w:w="403" w:type="dxa"/>
            <w:vMerge/>
            <w:tcBorders>
              <w:top w:val="nil"/>
            </w:tcBorders>
          </w:tcPr>
          <w:p>
            <w:pPr>
              <w:rPr>
                <w:sz w:val="2"/>
                <w:szCs w:val="2"/>
              </w:rPr>
            </w:pPr>
          </w:p>
        </w:tc>
      </w:tr>
      <w:tr>
        <w:trPr>
          <w:trHeight w:val="890"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2</w:t>
            </w:r>
          </w:p>
        </w:tc>
        <w:tc>
          <w:tcPr>
            <w:tcW w:w="2340" w:type="dxa"/>
          </w:tcPr>
          <w:p>
            <w:pPr>
              <w:pStyle w:val="TableParagraph"/>
              <w:ind w:left="117" w:right="252"/>
              <w:rPr>
                <w:sz w:val="22"/>
              </w:rPr>
            </w:pPr>
            <w:r>
              <w:rPr>
                <w:sz w:val="22"/>
              </w:rPr>
              <w:t>Actual/360. Similar to Basis 1, but only has 360 days per year.</w:t>
            </w:r>
          </w:p>
        </w:tc>
        <w:tc>
          <w:tcPr>
            <w:tcW w:w="403" w:type="dxa"/>
            <w:vMerge/>
            <w:tcBorders>
              <w:top w:val="nil"/>
            </w:tcBorders>
          </w:tcPr>
          <w:p>
            <w:pPr>
              <w:rPr>
                <w:sz w:val="2"/>
                <w:szCs w:val="2"/>
              </w:rPr>
            </w:pPr>
          </w:p>
        </w:tc>
      </w:tr>
      <w:tr>
        <w:trPr>
          <w:trHeight w:val="8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3</w:t>
            </w:r>
          </w:p>
        </w:tc>
        <w:tc>
          <w:tcPr>
            <w:tcW w:w="2340" w:type="dxa"/>
          </w:tcPr>
          <w:p>
            <w:pPr>
              <w:pStyle w:val="TableParagraph"/>
              <w:ind w:left="117" w:right="164"/>
              <w:rPr>
                <w:sz w:val="22"/>
              </w:rPr>
            </w:pPr>
            <w:r>
              <w:rPr>
                <w:sz w:val="22"/>
              </w:rPr>
              <w:t>Actual/365. Similar to Basis 1, but always has 365 days per year.</w:t>
            </w:r>
          </w:p>
        </w:tc>
        <w:tc>
          <w:tcPr>
            <w:tcW w:w="403" w:type="dxa"/>
            <w:vMerge/>
            <w:tcBorders>
              <w:top w:val="nil"/>
            </w:tcBorders>
          </w:tcPr>
          <w:p>
            <w:pPr>
              <w:rPr>
                <w:sz w:val="2"/>
                <w:szCs w:val="2"/>
              </w:rPr>
            </w:pPr>
          </w:p>
        </w:tc>
      </w:tr>
      <w:tr>
        <w:trPr>
          <w:trHeight w:val="7092" w:hRule="atLeast"/>
        </w:trPr>
        <w:tc>
          <w:tcPr>
            <w:tcW w:w="1466" w:type="dxa"/>
            <w:vMerge/>
            <w:tcBorders>
              <w:top w:val="nil"/>
            </w:tcBorders>
          </w:tcPr>
          <w:p>
            <w:pPr>
              <w:rPr>
                <w:sz w:val="2"/>
                <w:szCs w:val="2"/>
              </w:rPr>
            </w:pPr>
          </w:p>
        </w:tc>
        <w:tc>
          <w:tcPr>
            <w:tcW w:w="1800" w:type="dxa"/>
            <w:vMerge/>
            <w:tcBorders>
              <w:top w:val="nil"/>
            </w:tcBorders>
          </w:tcPr>
          <w:p>
            <w:pPr>
              <w:rPr>
                <w:sz w:val="2"/>
                <w:szCs w:val="2"/>
              </w:rPr>
            </w:pPr>
          </w:p>
        </w:tc>
        <w:tc>
          <w:tcPr>
            <w:tcW w:w="837" w:type="dxa"/>
            <w:vMerge/>
            <w:tcBorders>
              <w:top w:val="nil"/>
            </w:tcBorders>
          </w:tcPr>
          <w:p>
            <w:pPr>
              <w:rPr>
                <w:sz w:val="2"/>
                <w:szCs w:val="2"/>
              </w:rPr>
            </w:pPr>
          </w:p>
        </w:tc>
        <w:tc>
          <w:tcPr>
            <w:tcW w:w="1819" w:type="dxa"/>
          </w:tcPr>
          <w:p>
            <w:pPr>
              <w:pStyle w:val="TableParagraph"/>
              <w:spacing w:before="42"/>
              <w:ind w:left="116"/>
              <w:rPr>
                <w:rFonts w:ascii="Consolas"/>
                <w:sz w:val="22"/>
              </w:rPr>
            </w:pPr>
            <w:r>
              <w:rPr>
                <w:rFonts w:ascii="Consolas"/>
                <w:w w:val="100"/>
                <w:sz w:val="22"/>
              </w:rPr>
              <w:t>4</w:t>
            </w:r>
          </w:p>
        </w:tc>
        <w:tc>
          <w:tcPr>
            <w:tcW w:w="2340" w:type="dxa"/>
          </w:tcPr>
          <w:p>
            <w:pPr>
              <w:pStyle w:val="TableParagraph"/>
              <w:ind w:left="117" w:right="124"/>
              <w:rPr>
                <w:sz w:val="22"/>
              </w:rPr>
            </w:pPr>
            <w:r>
              <w:rPr>
                <w:sz w:val="22"/>
              </w:rPr>
              <w:t>European 30/360. The European method for adjusting day counts. Assumes that each month has 30 days and the total number of days in the year is 360 by making the following adjustments:</w:t>
            </w:r>
          </w:p>
          <w:p>
            <w:pPr>
              <w:pStyle w:val="TableParagraph"/>
              <w:numPr>
                <w:ilvl w:val="0"/>
                <w:numId w:val="142"/>
              </w:numPr>
              <w:tabs>
                <w:tab w:pos="1197" w:val="left" w:leader="none"/>
                <w:tab w:pos="1198" w:val="left" w:leader="none"/>
              </w:tabs>
              <w:spacing w:line="240" w:lineRule="auto" w:before="0" w:after="0"/>
              <w:ind w:left="1197" w:right="99" w:hanging="360"/>
              <w:jc w:val="left"/>
              <w:rPr>
                <w:sz w:val="22"/>
              </w:rPr>
            </w:pPr>
            <w:r>
              <w:rPr>
                <w:sz w:val="22"/>
              </w:rPr>
              <w:t>If the date is 28 or 29 February, </w:t>
            </w:r>
            <w:r>
              <w:rPr>
                <w:spacing w:val="-8"/>
                <w:sz w:val="22"/>
              </w:rPr>
              <w:t>it </w:t>
            </w:r>
            <w:r>
              <w:rPr>
                <w:sz w:val="22"/>
              </w:rPr>
              <w:t>is adjusted to 30 February.</w:t>
            </w:r>
          </w:p>
          <w:p>
            <w:pPr>
              <w:pStyle w:val="TableParagraph"/>
              <w:numPr>
                <w:ilvl w:val="0"/>
                <w:numId w:val="142"/>
              </w:numPr>
              <w:tabs>
                <w:tab w:pos="1197" w:val="left" w:leader="none"/>
                <w:tab w:pos="1198" w:val="left" w:leader="none"/>
              </w:tabs>
              <w:spacing w:line="240" w:lineRule="auto" w:before="0" w:after="0"/>
              <w:ind w:left="1197" w:right="101" w:hanging="360"/>
              <w:jc w:val="left"/>
              <w:rPr>
                <w:sz w:val="22"/>
              </w:rPr>
            </w:pPr>
            <w:r>
              <w:rPr>
                <w:sz w:val="22"/>
              </w:rPr>
              <w:t>For </w:t>
            </w:r>
            <w:r>
              <w:rPr>
                <w:spacing w:val="-3"/>
                <w:sz w:val="22"/>
              </w:rPr>
              <w:t>months </w:t>
            </w:r>
            <w:r>
              <w:rPr>
                <w:sz w:val="22"/>
              </w:rPr>
              <w:t>with</w:t>
            </w:r>
          </w:p>
          <w:p>
            <w:pPr>
              <w:pStyle w:val="TableParagraph"/>
              <w:spacing w:before="0"/>
              <w:ind w:left="1197" w:right="107"/>
              <w:rPr>
                <w:sz w:val="22"/>
              </w:rPr>
            </w:pPr>
            <w:r>
              <w:rPr>
                <w:sz w:val="22"/>
              </w:rPr>
              <w:t>31 days, all dates with a day value of 31 are changed to day 30, including situations where the</w:t>
            </w:r>
          </w:p>
        </w:tc>
        <w:tc>
          <w:tcPr>
            <w:tcW w:w="403" w:type="dxa"/>
            <w:vMerge/>
            <w:tcBorders>
              <w:top w:val="nil"/>
            </w:tcBorders>
          </w:tcPr>
          <w:p>
            <w:pPr>
              <w:rPr>
                <w:sz w:val="2"/>
                <w:szCs w:val="2"/>
              </w:rPr>
            </w:pPr>
          </w:p>
        </w:tc>
      </w:tr>
    </w:tbl>
    <w:p>
      <w:pPr>
        <w:spacing w:after="0"/>
        <w:rPr>
          <w:sz w:val="2"/>
          <w:szCs w:val="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837"/>
        <w:gridCol w:w="1819"/>
        <w:gridCol w:w="2340"/>
        <w:gridCol w:w="403"/>
      </w:tblGrid>
      <w:tr>
        <w:trPr>
          <w:trHeight w:val="355"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399" w:type="dxa"/>
            <w:gridSpan w:val="4"/>
            <w:shd w:val="clear" w:color="auto" w:fill="C0C0C0"/>
          </w:tcPr>
          <w:p>
            <w:pPr>
              <w:pStyle w:val="TableParagraph"/>
              <w:ind w:left="2155" w:right="2147"/>
              <w:jc w:val="center"/>
              <w:rPr>
                <w:b/>
                <w:sz w:val="22"/>
              </w:rPr>
            </w:pPr>
            <w:r>
              <w:rPr>
                <w:b/>
                <w:sz w:val="22"/>
              </w:rPr>
              <w:t>Description</w:t>
            </w:r>
          </w:p>
        </w:tc>
      </w:tr>
      <w:tr>
        <w:trPr>
          <w:trHeight w:val="1266" w:hRule="atLeast"/>
        </w:trPr>
        <w:tc>
          <w:tcPr>
            <w:tcW w:w="1466" w:type="dxa"/>
          </w:tcPr>
          <w:p>
            <w:pPr>
              <w:pStyle w:val="TableParagraph"/>
              <w:spacing w:before="0"/>
              <w:ind w:left="0"/>
              <w:rPr>
                <w:rFonts w:ascii="Times New Roman"/>
                <w:sz w:val="22"/>
              </w:rPr>
            </w:pPr>
          </w:p>
        </w:tc>
        <w:tc>
          <w:tcPr>
            <w:tcW w:w="1800" w:type="dxa"/>
          </w:tcPr>
          <w:p>
            <w:pPr>
              <w:pStyle w:val="TableParagraph"/>
              <w:spacing w:before="0"/>
              <w:ind w:left="0"/>
              <w:rPr>
                <w:rFonts w:ascii="Times New Roman"/>
                <w:sz w:val="22"/>
              </w:rPr>
            </w:pPr>
          </w:p>
        </w:tc>
        <w:tc>
          <w:tcPr>
            <w:tcW w:w="837" w:type="dxa"/>
          </w:tcPr>
          <w:p>
            <w:pPr>
              <w:pStyle w:val="TableParagraph"/>
              <w:spacing w:before="0"/>
              <w:ind w:left="0"/>
              <w:rPr>
                <w:rFonts w:ascii="Times New Roman"/>
                <w:sz w:val="22"/>
              </w:rPr>
            </w:pPr>
          </w:p>
        </w:tc>
        <w:tc>
          <w:tcPr>
            <w:tcW w:w="1819" w:type="dxa"/>
          </w:tcPr>
          <w:p>
            <w:pPr>
              <w:pStyle w:val="TableParagraph"/>
              <w:spacing w:before="0"/>
              <w:ind w:left="0"/>
              <w:rPr>
                <w:rFonts w:ascii="Times New Roman"/>
                <w:sz w:val="22"/>
              </w:rPr>
            </w:pPr>
          </w:p>
        </w:tc>
        <w:tc>
          <w:tcPr>
            <w:tcW w:w="2340" w:type="dxa"/>
          </w:tcPr>
          <w:p>
            <w:pPr>
              <w:pStyle w:val="TableParagraph"/>
              <w:spacing w:before="92"/>
              <w:ind w:left="1197" w:right="305"/>
              <w:rPr>
                <w:sz w:val="22"/>
              </w:rPr>
            </w:pPr>
            <w:r>
              <w:rPr>
                <w:sz w:val="22"/>
              </w:rPr>
              <w:t>first date is 28 or</w:t>
            </w:r>
          </w:p>
          <w:p>
            <w:pPr>
              <w:pStyle w:val="TableParagraph"/>
              <w:spacing w:before="1"/>
              <w:ind w:left="1197" w:right="139"/>
              <w:rPr>
                <w:sz w:val="22"/>
              </w:rPr>
            </w:pPr>
            <w:r>
              <w:rPr>
                <w:sz w:val="22"/>
              </w:rPr>
              <w:t>29 Februar y.</w:t>
            </w:r>
          </w:p>
        </w:tc>
        <w:tc>
          <w:tcPr>
            <w:tcW w:w="403" w:type="dxa"/>
          </w:tcPr>
          <w:p>
            <w:pPr>
              <w:pStyle w:val="TableParagraph"/>
              <w:spacing w:before="0"/>
              <w:ind w:left="0"/>
              <w:rPr>
                <w:rFonts w:ascii="Times New Roman"/>
                <w:sz w:val="22"/>
              </w:rPr>
            </w:pPr>
          </w:p>
        </w:tc>
      </w:tr>
    </w:tbl>
    <w:p>
      <w:pPr>
        <w:pStyle w:val="BodyText"/>
        <w:rPr>
          <w:rFonts w:ascii="Times New Roman"/>
          <w:sz w:val="20"/>
        </w:rPr>
      </w:pPr>
    </w:p>
    <w:p>
      <w:pPr>
        <w:pStyle w:val="BodyText"/>
        <w:spacing w:before="4"/>
        <w:rPr>
          <w:rFonts w:ascii="Times New Roman"/>
          <w:sz w:val="19"/>
        </w:rPr>
      </w:pPr>
    </w:p>
    <w:p>
      <w:pPr>
        <w:pStyle w:val="BodyText"/>
        <w:spacing w:before="56"/>
        <w:ind w:left="220"/>
      </w:pPr>
      <w:r>
        <w:rPr/>
        <w:t>Time information in the date arguments is ignored.</w:t>
      </w:r>
    </w:p>
    <w:p>
      <w:pPr>
        <w:pStyle w:val="BodyText"/>
        <w:spacing w:before="8"/>
        <w:rPr>
          <w:sz w:val="19"/>
        </w:rPr>
      </w:pPr>
    </w:p>
    <w:p>
      <w:pPr>
        <w:pStyle w:val="BodyText"/>
        <w:spacing w:line="453" w:lineRule="auto"/>
        <w:ind w:left="220" w:right="1999"/>
      </w:pPr>
      <w:r>
        <w:rPr>
          <w:b/>
        </w:rPr>
        <w:t>Return Type and Value</w:t>
      </w:r>
      <w:r>
        <w:rPr/>
        <w:t>: number – The annual yield of a security that pays interest at maturity. However, 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settlement</w:t>
      </w:r>
      <w:r>
        <w:rPr>
          <w:sz w:val="22"/>
        </w:rPr>
        <w:t>, </w:t>
      </w:r>
      <w:r>
        <w:rPr>
          <w:rFonts w:ascii="Times New Roman" w:hAnsi="Times New Roman"/>
          <w:i/>
          <w:sz w:val="22"/>
        </w:rPr>
        <w:t>maturity</w:t>
      </w:r>
      <w:r>
        <w:rPr>
          <w:sz w:val="22"/>
        </w:rPr>
        <w:t>, or </w:t>
      </w:r>
      <w:r>
        <w:rPr>
          <w:rFonts w:ascii="Times New Roman" w:hAnsi="Times New Roman"/>
          <w:i/>
          <w:sz w:val="22"/>
        </w:rPr>
        <w:t>issue </w:t>
      </w:r>
      <w:r>
        <w:rPr>
          <w:sz w:val="22"/>
        </w:rPr>
        <w:t>is out of range for the current date system, </w:t>
      </w:r>
      <w:r>
        <w:rPr>
          <w:rFonts w:ascii="Consolas" w:hAnsi="Consolas"/>
          <w:sz w:val="22"/>
        </w:rPr>
        <w:t>#NUM!</w:t>
      </w:r>
      <w:r>
        <w:rPr>
          <w:rFonts w:ascii="Consolas" w:hAnsi="Consolas"/>
          <w:spacing w:val="-95"/>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issue </w:t>
      </w:r>
      <w:r>
        <w:rPr>
          <w:sz w:val="22"/>
        </w:rPr>
        <w:t>≥ </w:t>
      </w:r>
      <w:r>
        <w:rPr>
          <w:rFonts w:ascii="Times New Roman" w:hAnsi="Times New Roman"/>
          <w:i/>
          <w:sz w:val="22"/>
        </w:rPr>
        <w:t>settlement</w:t>
      </w:r>
      <w:r>
        <w:rPr>
          <w:sz w:val="22"/>
        </w:rPr>
        <w:t>, </w:t>
      </w:r>
      <w:r>
        <w:rPr>
          <w:rFonts w:ascii="Consolas" w:hAnsi="Consolas"/>
          <w:sz w:val="22"/>
        </w:rPr>
        <w:t>#NUM!</w:t>
      </w:r>
      <w:r>
        <w:rPr>
          <w:rFonts w:ascii="Consolas" w:hAnsi="Consolas"/>
          <w:spacing w:val="-83"/>
          <w:sz w:val="22"/>
        </w:rPr>
        <w:t> </w:t>
      </w:r>
      <w:r>
        <w:rPr>
          <w:sz w:val="22"/>
        </w:rPr>
        <w:t>is returned.</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settlement </w:t>
      </w:r>
      <w:r>
        <w:rPr>
          <w:sz w:val="22"/>
        </w:rPr>
        <w:t>≥ </w:t>
      </w:r>
      <w:r>
        <w:rPr>
          <w:rFonts w:ascii="Times New Roman" w:hAnsi="Times New Roman"/>
          <w:i/>
          <w:sz w:val="22"/>
        </w:rPr>
        <w:t>maturity</w:t>
      </w:r>
      <w:r>
        <w:rPr>
          <w:sz w:val="22"/>
        </w:rPr>
        <w:t>, </w:t>
      </w:r>
      <w:r>
        <w:rPr>
          <w:rFonts w:ascii="Consolas" w:hAnsi="Consolas"/>
          <w:sz w:val="22"/>
        </w:rPr>
        <w:t>#NUM!</w:t>
      </w:r>
      <w:r>
        <w:rPr>
          <w:rFonts w:ascii="Consolas" w:hAnsi="Consolas"/>
          <w:spacing w:val="-77"/>
          <w:sz w:val="22"/>
        </w:rPr>
        <w:t> </w:t>
      </w:r>
      <w:r>
        <w:rPr>
          <w:sz w:val="22"/>
        </w:rPr>
        <w:t>is returned.</w:t>
      </w:r>
    </w:p>
    <w:p>
      <w:pPr>
        <w:pStyle w:val="ListParagraph"/>
        <w:numPr>
          <w:ilvl w:val="4"/>
          <w:numId w:val="66"/>
        </w:numPr>
        <w:tabs>
          <w:tab w:pos="940" w:val="left" w:leader="none"/>
          <w:tab w:pos="941" w:val="left" w:leader="none"/>
        </w:tabs>
        <w:spacing w:line="240" w:lineRule="auto" w:before="42" w:after="0"/>
        <w:ind w:left="940" w:right="0" w:hanging="361"/>
        <w:jc w:val="left"/>
        <w:rPr>
          <w:sz w:val="22"/>
        </w:rPr>
      </w:pPr>
      <w:r>
        <w:rPr>
          <w:rFonts w:ascii="Times New Roman" w:hAnsi="Times New Roman"/>
          <w:i/>
          <w:sz w:val="22"/>
        </w:rPr>
        <w:t>rate </w:t>
      </w:r>
      <w:r>
        <w:rPr>
          <w:sz w:val="22"/>
        </w:rPr>
        <w:t>&lt; 0, </w:t>
      </w:r>
      <w:r>
        <w:rPr>
          <w:rFonts w:ascii="Consolas" w:hAnsi="Consolas"/>
          <w:sz w:val="22"/>
        </w:rPr>
        <w:t>#NUM!</w:t>
      </w:r>
      <w:r>
        <w:rPr>
          <w:rFonts w:ascii="Consolas" w:hAnsi="Consolas"/>
          <w:spacing w:val="-81"/>
          <w:sz w:val="22"/>
        </w:rPr>
        <w:t> </w:t>
      </w:r>
      <w:r>
        <w:rPr>
          <w:sz w:val="22"/>
        </w:rPr>
        <w:t>is returned.</w:t>
      </w:r>
    </w:p>
    <w:p>
      <w:pPr>
        <w:pStyle w:val="ListParagraph"/>
        <w:numPr>
          <w:ilvl w:val="4"/>
          <w:numId w:val="66"/>
        </w:numPr>
        <w:tabs>
          <w:tab w:pos="940" w:val="left" w:leader="none"/>
          <w:tab w:pos="941" w:val="left" w:leader="none"/>
        </w:tabs>
        <w:spacing w:line="240" w:lineRule="auto" w:before="39" w:after="0"/>
        <w:ind w:left="940" w:right="0" w:hanging="361"/>
        <w:jc w:val="left"/>
        <w:rPr>
          <w:sz w:val="22"/>
        </w:rPr>
      </w:pPr>
      <w:r>
        <w:rPr>
          <w:rFonts w:ascii="Times New Roman" w:hAnsi="Times New Roman"/>
          <w:i/>
          <w:sz w:val="22"/>
        </w:rPr>
        <w:t>pr </w:t>
      </w:r>
      <w:r>
        <w:rPr>
          <w:sz w:val="22"/>
        </w:rPr>
        <w:t>≤ 0, </w:t>
      </w:r>
      <w:r>
        <w:rPr>
          <w:rFonts w:ascii="Consolas" w:hAnsi="Consolas"/>
          <w:sz w:val="22"/>
        </w:rPr>
        <w:t>#NUM!</w:t>
      </w:r>
      <w:r>
        <w:rPr>
          <w:rFonts w:ascii="Consolas" w:hAnsi="Consolas"/>
          <w:spacing w:val="-82"/>
          <w:sz w:val="22"/>
        </w:rPr>
        <w:t> </w:t>
      </w:r>
      <w:r>
        <w:rPr>
          <w:sz w:val="22"/>
        </w:rPr>
        <w:t>is returned.</w:t>
      </w:r>
    </w:p>
    <w:p>
      <w:pPr>
        <w:pStyle w:val="ListParagraph"/>
        <w:numPr>
          <w:ilvl w:val="4"/>
          <w:numId w:val="66"/>
        </w:numPr>
        <w:tabs>
          <w:tab w:pos="940" w:val="left" w:leader="none"/>
          <w:tab w:pos="941" w:val="left" w:leader="none"/>
        </w:tabs>
        <w:spacing w:line="446" w:lineRule="auto" w:before="41" w:after="0"/>
        <w:ind w:left="220" w:right="6101" w:firstLine="360"/>
        <w:jc w:val="left"/>
        <w:rPr>
          <w:sz w:val="22"/>
        </w:rPr>
      </w:pPr>
      <w:r>
        <w:rPr>
          <w:rFonts w:ascii="Times New Roman" w:hAnsi="Times New Roman"/>
          <w:i/>
          <w:sz w:val="22"/>
        </w:rPr>
        <w:t>basis </w:t>
      </w:r>
      <w:r>
        <w:rPr>
          <w:sz w:val="22"/>
        </w:rPr>
        <w:t>&lt; 0 or </w:t>
      </w:r>
      <w:r>
        <w:rPr>
          <w:rFonts w:ascii="Times New Roman" w:hAnsi="Times New Roman"/>
          <w:i/>
          <w:sz w:val="22"/>
        </w:rPr>
        <w:t>basis </w:t>
      </w:r>
      <w:r>
        <w:rPr>
          <w:sz w:val="22"/>
        </w:rPr>
        <w:t>&gt; 4, </w:t>
      </w:r>
      <w:r>
        <w:rPr>
          <w:rFonts w:ascii="Consolas" w:hAnsi="Consolas"/>
          <w:sz w:val="22"/>
        </w:rPr>
        <w:t>#NUM!</w:t>
      </w:r>
      <w:r>
        <w:rPr>
          <w:rFonts w:ascii="Consolas" w:hAnsi="Consolas"/>
          <w:spacing w:val="-91"/>
          <w:sz w:val="22"/>
        </w:rPr>
        <w:t> </w:t>
      </w:r>
      <w:r>
        <w:rPr>
          <w:sz w:val="22"/>
        </w:rPr>
        <w:t>is returned. [</w:t>
      </w:r>
      <w:r>
        <w:rPr>
          <w:i/>
          <w:sz w:val="22"/>
        </w:rPr>
        <w:t>Example</w:t>
      </w:r>
      <w:r>
        <w:rPr>
          <w:sz w:val="22"/>
        </w:rPr>
        <w:t>:</w:t>
      </w:r>
    </w:p>
    <w:p>
      <w:pPr>
        <w:pStyle w:val="BodyText"/>
        <w:spacing w:before="128"/>
        <w:ind w:left="220"/>
        <w:rPr>
          <w:rFonts w:ascii="Consolas"/>
        </w:rPr>
      </w:pPr>
      <w:r>
        <w:rPr>
          <w:rFonts w:ascii="Consolas"/>
        </w:rPr>
        <w:t>YIELDMAT(DATE(2008,3,15),DATE(2008,11,3),DATE(2007,11,8),0.0625,</w:t>
      </w:r>
    </w:p>
    <w:p>
      <w:pPr>
        <w:pStyle w:val="BodyText"/>
        <w:spacing w:before="35"/>
        <w:ind w:left="462"/>
        <w:rPr>
          <w:rFonts w:ascii="Consolas"/>
        </w:rPr>
      </w:pPr>
      <w:r>
        <w:rPr>
          <w:rFonts w:ascii="Consolas"/>
        </w:rPr>
        <w:t>100.0123,0) </w:t>
      </w:r>
      <w:r>
        <w:rPr/>
        <w:t>results in </w:t>
      </w:r>
      <w:r>
        <w:rPr>
          <w:rFonts w:ascii="Consolas"/>
        </w:rPr>
        <w:t>6.0954%</w:t>
      </w:r>
    </w:p>
    <w:p>
      <w:pPr>
        <w:pStyle w:val="BodyText"/>
        <w:spacing w:before="2"/>
        <w:rPr>
          <w:rFonts w:ascii="Consolas"/>
          <w:sz w:val="30"/>
        </w:rPr>
      </w:pPr>
    </w:p>
    <w:p>
      <w:pPr>
        <w:spacing w:before="1"/>
        <w:ind w:left="220" w:right="0" w:firstLine="0"/>
        <w:jc w:val="left"/>
        <w:rPr>
          <w:sz w:val="22"/>
        </w:rPr>
      </w:pPr>
      <w:r>
        <w:rPr>
          <w:i/>
          <w:sz w:val="22"/>
        </w:rPr>
        <w:t>end example</w:t>
      </w:r>
      <w:r>
        <w:rPr>
          <w:sz w:val="22"/>
        </w:rPr>
        <w:t>]</w:t>
      </w:r>
    </w:p>
    <w:p>
      <w:pPr>
        <w:pStyle w:val="BodyText"/>
        <w:spacing w:before="8"/>
        <w:rPr>
          <w:sz w:val="19"/>
        </w:rPr>
      </w:pPr>
    </w:p>
    <w:p>
      <w:pPr>
        <w:pStyle w:val="Heading3"/>
        <w:numPr>
          <w:ilvl w:val="3"/>
          <w:numId w:val="66"/>
        </w:numPr>
        <w:tabs>
          <w:tab w:pos="1732" w:val="left" w:leader="none"/>
          <w:tab w:pos="1733" w:val="left" w:leader="none"/>
        </w:tabs>
        <w:spacing w:line="240" w:lineRule="auto" w:before="1" w:after="0"/>
        <w:ind w:left="1732" w:right="0" w:hanging="1513"/>
        <w:jc w:val="left"/>
      </w:pPr>
      <w:bookmarkStart w:name="18.17.7.356 ZTEST" w:id="2462"/>
      <w:bookmarkEnd w:id="2462"/>
      <w:r>
        <w:rPr/>
      </w:r>
      <w:bookmarkStart w:name="_bookmark821" w:id="2463"/>
      <w:bookmarkEnd w:id="2463"/>
      <w:r>
        <w:rPr/>
      </w:r>
      <w:bookmarkStart w:name="_bookmark821" w:id="2464"/>
      <w:bookmarkEnd w:id="2464"/>
      <w:r>
        <w:rPr>
          <w:color w:val="4F81BC"/>
        </w:rPr>
        <w:t>ZTEST</w:t>
      </w:r>
    </w:p>
    <w:p>
      <w:pPr>
        <w:pStyle w:val="Heading4"/>
        <w:spacing w:before="121"/>
        <w:rPr>
          <w:b w:val="0"/>
        </w:rPr>
      </w:pPr>
      <w:r>
        <w:rPr/>
        <w:t>Syntax</w:t>
      </w:r>
      <w:r>
        <w:rPr>
          <w:b w:val="0"/>
        </w:rPr>
        <w:t>:</w:t>
      </w:r>
    </w:p>
    <w:p>
      <w:pPr>
        <w:pStyle w:val="BodyText"/>
        <w:spacing w:before="1"/>
        <w:rPr>
          <w:sz w:val="19"/>
        </w:rPr>
      </w:pPr>
    </w:p>
    <w:p>
      <w:pPr>
        <w:spacing w:before="0"/>
        <w:ind w:left="940" w:right="0" w:firstLine="0"/>
        <w:jc w:val="left"/>
        <w:rPr>
          <w:rFonts w:ascii="Lucida Console"/>
          <w:sz w:val="20"/>
        </w:rPr>
      </w:pPr>
      <w:r>
        <w:rPr>
          <w:rFonts w:ascii="Lucida Console"/>
          <w:sz w:val="20"/>
        </w:rPr>
        <w:t>ZTEST ( </w:t>
      </w:r>
      <w:r>
        <w:rPr>
          <w:i/>
          <w:sz w:val="22"/>
        </w:rPr>
        <w:t>array </w:t>
      </w:r>
      <w:r>
        <w:rPr>
          <w:rFonts w:ascii="Lucida Console"/>
          <w:sz w:val="20"/>
        </w:rPr>
        <w:t>, </w:t>
      </w:r>
      <w:r>
        <w:rPr>
          <w:i/>
          <w:sz w:val="22"/>
        </w:rPr>
        <w:t>test-value </w:t>
      </w:r>
      <w:r>
        <w:rPr>
          <w:sz w:val="22"/>
        </w:rPr>
        <w:t>[ </w:t>
      </w:r>
      <w:r>
        <w:rPr>
          <w:rFonts w:ascii="Lucida Console"/>
          <w:sz w:val="20"/>
        </w:rPr>
        <w:t>,</w:t>
      </w:r>
      <w:r>
        <w:rPr>
          <w:rFonts w:ascii="Lucida Console"/>
          <w:spacing w:val="-88"/>
          <w:sz w:val="20"/>
        </w:rPr>
        <w:t> </w:t>
      </w:r>
      <w:r>
        <w:rPr>
          <w:i/>
          <w:sz w:val="22"/>
        </w:rPr>
        <w:t>sigma </w:t>
      </w:r>
      <w:r>
        <w:rPr>
          <w:sz w:val="22"/>
        </w:rPr>
        <w:t>] </w:t>
      </w:r>
      <w:r>
        <w:rPr>
          <w:rFonts w:ascii="Lucida Console"/>
          <w:sz w:val="20"/>
        </w:rPr>
        <w:t>)</w:t>
      </w:r>
    </w:p>
    <w:p>
      <w:pPr>
        <w:pStyle w:val="BodyText"/>
        <w:spacing w:line="276" w:lineRule="auto" w:before="106"/>
        <w:ind w:left="220" w:right="614"/>
      </w:pPr>
      <w:r>
        <w:rPr>
          <w:b/>
        </w:rPr>
        <w:t>Description: </w:t>
      </w:r>
      <w:r>
        <w:rPr/>
        <w:t>Computes the one-tailed probability-value of a z-test. For a given hypothesized population mean, </w:t>
      </w:r>
      <w:r>
        <w:rPr>
          <w:rFonts w:ascii="Times New Roman"/>
          <w:i/>
        </w:rPr>
        <w:t>test-value</w:t>
      </w:r>
      <w:r>
        <w:rPr/>
        <w:t>, </w:t>
      </w:r>
      <w:r>
        <w:rPr>
          <w:rFonts w:ascii="Consolas"/>
        </w:rPr>
        <w:t>ZTEST </w:t>
      </w:r>
      <w:r>
        <w:rPr/>
        <w:t>returns the probability that the sample mean would be greater than the average of observations in the data set </w:t>
      </w:r>
      <w:r>
        <w:rPr>
          <w:rFonts w:ascii="Times New Roman"/>
          <w:i/>
        </w:rPr>
        <w:t>array</w:t>
      </w:r>
      <w:r>
        <w:rPr/>
        <w:t>; that is, the observed sample mean.</w:t>
      </w:r>
    </w:p>
    <w:p>
      <w:pPr>
        <w:pStyle w:val="Heading4"/>
        <w:spacing w:before="201"/>
        <w:rPr>
          <w:b w:val="0"/>
        </w:rPr>
      </w:pPr>
      <w:r>
        <w:rPr/>
        <w:t>Mathematical Formula</w:t>
      </w:r>
      <w:r>
        <w:rPr>
          <w:b w:val="0"/>
        </w:rPr>
        <w:t>:</w:t>
      </w:r>
    </w:p>
    <w:p>
      <w:pPr>
        <w:pStyle w:val="BodyText"/>
        <w:spacing w:before="9"/>
        <w:rPr>
          <w:sz w:val="19"/>
        </w:rPr>
      </w:pPr>
    </w:p>
    <w:p>
      <w:pPr>
        <w:spacing w:before="0"/>
        <w:ind w:left="220" w:right="0" w:firstLine="0"/>
        <w:jc w:val="left"/>
        <w:rPr>
          <w:sz w:val="22"/>
        </w:rPr>
      </w:pPr>
      <w:r>
        <w:rPr>
          <w:sz w:val="22"/>
        </w:rPr>
        <w:t>When </w:t>
      </w:r>
      <w:r>
        <w:rPr>
          <w:rFonts w:ascii="Times New Roman"/>
          <w:i/>
          <w:sz w:val="22"/>
        </w:rPr>
        <w:t>sigma </w:t>
      </w:r>
      <w:r>
        <w:rPr>
          <w:sz w:val="22"/>
        </w:rPr>
        <w:t>is present:</w:t>
      </w:r>
    </w:p>
    <w:p>
      <w:pPr>
        <w:pStyle w:val="BodyText"/>
        <w:rPr>
          <w:sz w:val="24"/>
        </w:rPr>
      </w:pPr>
      <w:r>
        <w:rPr/>
        <w:pict>
          <v:rect style="position:absolute;margin-left:336.190002pt;margin-top:16.627413pt;width:6.48pt;height:.71997pt;mso-position-horizontal-relative:page;mso-position-vertical-relative:paragraph;z-index:-251425792;mso-wrap-distance-left:0;mso-wrap-distance-right:0" filled="true" fillcolor="#000000" stroked="false">
            <v:fill type="solid"/>
            <w10:wrap type="topAndBottom"/>
          </v:rect>
        </w:pict>
      </w:r>
    </w:p>
    <w:p>
      <w:pPr>
        <w:pStyle w:val="BodyText"/>
        <w:ind w:left="220"/>
        <w:rPr>
          <w:rFonts w:ascii="Cambria Math" w:hAnsi="Cambria Math" w:eastAsia="Cambria Math"/>
        </w:rPr>
      </w:pPr>
      <w:r>
        <w:rPr>
          <w:rFonts w:ascii="Cambria Math" w:hAnsi="Cambria Math" w:eastAsia="Cambria Math"/>
          <w:position w:val="2"/>
        </w:rPr>
        <w:t>𝑍𝑇𝐸𝑆𝑇(𝑎𝑟𝑟𝑎𝑦, 𝜇</w:t>
      </w:r>
      <w:r>
        <w:rPr>
          <w:rFonts w:ascii="Cambria Math" w:hAnsi="Cambria Math" w:eastAsia="Cambria Math"/>
          <w:position w:val="2"/>
          <w:vertAlign w:val="subscript"/>
        </w:rPr>
        <w:t>0</w:t>
      </w:r>
      <w:r>
        <w:rPr>
          <w:rFonts w:ascii="Cambria Math" w:hAnsi="Cambria Math" w:eastAsia="Cambria Math"/>
          <w:position w:val="2"/>
          <w:vertAlign w:val="baseline"/>
        </w:rPr>
        <w:t>) = 1 − 𝑁𝑂𝑅𝑀𝑆𝐷𝐼𝑆𝑇 ((𝑥̅ − 𝜇</w:t>
      </w:r>
      <w:r>
        <w:rPr>
          <w:rFonts w:ascii="Cambria Math" w:hAnsi="Cambria Math" w:eastAsia="Cambria Math"/>
          <w:position w:val="2"/>
          <w:vertAlign w:val="subscript"/>
        </w:rPr>
        <w:t>0</w:t>
      </w:r>
      <w:r>
        <w:rPr>
          <w:rFonts w:ascii="Cambria Math" w:hAnsi="Cambria Math" w:eastAsia="Cambria Math"/>
          <w:position w:val="2"/>
          <w:vertAlign w:val="baseline"/>
        </w:rPr>
        <w:t>)/</w:t>
      </w:r>
      <w:r>
        <w:rPr>
          <w:rFonts w:ascii="Cambria Math" w:hAnsi="Cambria Math" w:eastAsia="Cambria Math"/>
          <w:position w:val="1"/>
          <w:vertAlign w:val="baseline"/>
        </w:rPr>
        <w:t>(</w:t>
      </w:r>
      <w:r>
        <w:rPr>
          <w:rFonts w:ascii="Cambria Math" w:hAnsi="Cambria Math" w:eastAsia="Cambria Math"/>
          <w:position w:val="2"/>
          <w:vertAlign w:val="baseline"/>
        </w:rPr>
        <w:t>𝑠𝑖𝑔𝑚𝑎/</w:t>
      </w:r>
      <w:r>
        <w:rPr>
          <w:rFonts w:ascii="Cambria Math" w:hAnsi="Cambria Math" w:eastAsia="Cambria Math"/>
          <w:vertAlign w:val="baseline"/>
        </w:rPr>
        <w:t>√</w:t>
      </w:r>
      <w:r>
        <w:rPr>
          <w:rFonts w:ascii="Cambria Math" w:hAnsi="Cambria Math" w:eastAsia="Cambria Math"/>
          <w:position w:val="2"/>
          <w:vertAlign w:val="baseline"/>
        </w:rPr>
        <w:t>𝑛</w:t>
      </w:r>
      <w:r>
        <w:rPr>
          <w:rFonts w:ascii="Cambria Math" w:hAnsi="Cambria Math" w:eastAsia="Cambria Math"/>
          <w:position w:val="1"/>
          <w:vertAlign w:val="baseline"/>
        </w:rPr>
        <w:t>)</w:t>
      </w:r>
      <w:r>
        <w:rPr>
          <w:rFonts w:ascii="Cambria Math" w:hAnsi="Cambria Math" w:eastAsia="Cambria Math"/>
          <w:position w:val="2"/>
          <w:vertAlign w:val="baseline"/>
        </w:rPr>
        <w:t>)</w:t>
      </w:r>
    </w:p>
    <w:p>
      <w:pPr>
        <w:pStyle w:val="BodyText"/>
        <w:spacing w:before="9"/>
        <w:rPr>
          <w:rFonts w:ascii="Cambria Math"/>
          <w:sz w:val="24"/>
        </w:rPr>
      </w:pPr>
    </w:p>
    <w:p>
      <w:pPr>
        <w:spacing w:before="1"/>
        <w:ind w:left="220" w:right="0" w:firstLine="0"/>
        <w:jc w:val="left"/>
        <w:rPr>
          <w:sz w:val="22"/>
        </w:rPr>
      </w:pPr>
      <w:r>
        <w:rPr>
          <w:sz w:val="22"/>
        </w:rPr>
        <w:t>When </w:t>
      </w:r>
      <w:r>
        <w:rPr>
          <w:rFonts w:ascii="Times New Roman"/>
          <w:i/>
          <w:sz w:val="22"/>
        </w:rPr>
        <w:t>sigma </w:t>
      </w:r>
      <w:r>
        <w:rPr>
          <w:sz w:val="22"/>
        </w:rPr>
        <w:t>is omitted:</w:t>
      </w:r>
    </w:p>
    <w:p>
      <w:pPr>
        <w:pStyle w:val="BodyText"/>
        <w:spacing w:before="9"/>
        <w:rPr>
          <w:sz w:val="23"/>
        </w:rPr>
      </w:pPr>
      <w:r>
        <w:rPr/>
        <w:pict>
          <v:rect style="position:absolute;margin-left:310.609985pt;margin-top:16.476093pt;width:6.48pt;height:.71997pt;mso-position-horizontal-relative:page;mso-position-vertical-relative:paragraph;z-index:-251424768;mso-wrap-distance-left:0;mso-wrap-distance-right:0" filled="true" fillcolor="#000000" stroked="false">
            <v:fill type="solid"/>
            <w10:wrap type="topAndBottom"/>
          </v:rect>
        </w:pict>
      </w:r>
    </w:p>
    <w:p>
      <w:pPr>
        <w:pStyle w:val="BodyText"/>
        <w:ind w:left="220"/>
        <w:rPr>
          <w:rFonts w:ascii="Cambria Math" w:hAnsi="Cambria Math" w:eastAsia="Cambria Math"/>
        </w:rPr>
      </w:pPr>
      <w:r>
        <w:rPr>
          <w:rFonts w:ascii="Cambria Math" w:hAnsi="Cambria Math" w:eastAsia="Cambria Math"/>
          <w:position w:val="2"/>
        </w:rPr>
        <w:t>𝑍𝑇𝐸𝑆𝑇(𝑎𝑟𝑟𝑎𝑦, 𝜇</w:t>
      </w:r>
      <w:r>
        <w:rPr>
          <w:rFonts w:ascii="Cambria Math" w:hAnsi="Cambria Math" w:eastAsia="Cambria Math"/>
          <w:position w:val="2"/>
          <w:vertAlign w:val="subscript"/>
        </w:rPr>
        <w:t>0</w:t>
      </w:r>
      <w:r>
        <w:rPr>
          <w:rFonts w:ascii="Cambria Math" w:hAnsi="Cambria Math" w:eastAsia="Cambria Math"/>
          <w:position w:val="2"/>
          <w:vertAlign w:val="baseline"/>
        </w:rPr>
        <w:t>) = 1 − 𝑁𝑂𝑅𝑀𝑆𝐷𝐼𝑆𝑇 ((𝑥̅ − 𝜇</w:t>
      </w:r>
      <w:r>
        <w:rPr>
          <w:rFonts w:ascii="Cambria Math" w:hAnsi="Cambria Math" w:eastAsia="Cambria Math"/>
          <w:position w:val="2"/>
          <w:vertAlign w:val="subscript"/>
        </w:rPr>
        <w:t>0</w:t>
      </w:r>
      <w:r>
        <w:rPr>
          <w:rFonts w:ascii="Cambria Math" w:hAnsi="Cambria Math" w:eastAsia="Cambria Math"/>
          <w:position w:val="2"/>
          <w:vertAlign w:val="baseline"/>
        </w:rPr>
        <w:t>)/</w:t>
      </w:r>
      <w:r>
        <w:rPr>
          <w:rFonts w:ascii="Cambria Math" w:hAnsi="Cambria Math" w:eastAsia="Cambria Math"/>
          <w:position w:val="1"/>
          <w:vertAlign w:val="baseline"/>
        </w:rPr>
        <w:t>(</w:t>
      </w:r>
      <w:r>
        <w:rPr>
          <w:rFonts w:ascii="Cambria Math" w:hAnsi="Cambria Math" w:eastAsia="Cambria Math"/>
          <w:position w:val="2"/>
          <w:vertAlign w:val="baseline"/>
        </w:rPr>
        <w:t>𝑠/</w:t>
      </w:r>
      <w:r>
        <w:rPr>
          <w:rFonts w:ascii="Cambria Math" w:hAnsi="Cambria Math" w:eastAsia="Cambria Math"/>
          <w:vertAlign w:val="baseline"/>
        </w:rPr>
        <w:t>√</w:t>
      </w:r>
      <w:r>
        <w:rPr>
          <w:rFonts w:ascii="Cambria Math" w:hAnsi="Cambria Math" w:eastAsia="Cambria Math"/>
          <w:position w:val="2"/>
          <w:vertAlign w:val="baseline"/>
        </w:rPr>
        <w:t>𝑛</w:t>
      </w:r>
      <w:r>
        <w:rPr>
          <w:rFonts w:ascii="Cambria Math" w:hAnsi="Cambria Math" w:eastAsia="Cambria Math"/>
          <w:position w:val="1"/>
          <w:vertAlign w:val="baseline"/>
        </w:rPr>
        <w:t>)</w:t>
      </w:r>
      <w:r>
        <w:rPr>
          <w:rFonts w:ascii="Cambria Math" w:hAnsi="Cambria Math" w:eastAsia="Cambria Math"/>
          <w:position w:val="2"/>
          <w:vertAlign w:val="baseline"/>
        </w:rPr>
        <w:t>)</w:t>
      </w:r>
    </w:p>
    <w:p>
      <w:pPr>
        <w:spacing w:after="0"/>
        <w:rPr>
          <w:rFonts w:ascii="Cambria Math" w:hAnsi="Cambria Math" w:eastAsia="Cambria Math"/>
        </w:rPr>
        <w:sectPr>
          <w:pgSz w:w="12240" w:h="15840"/>
          <w:pgMar w:header="761" w:footer="746" w:top="1340" w:bottom="940" w:left="860" w:right="700"/>
        </w:sectPr>
      </w:pPr>
    </w:p>
    <w:p>
      <w:pPr>
        <w:pStyle w:val="BodyText"/>
        <w:spacing w:before="150"/>
        <w:ind w:left="220"/>
      </w:pPr>
      <w:r>
        <w:rPr/>
        <w:t>where:</w:t>
      </w:r>
    </w:p>
    <w:p>
      <w:pPr>
        <w:pStyle w:val="BodyText"/>
        <w:spacing w:before="7"/>
        <w:rPr>
          <w:sz w:val="19"/>
        </w:rPr>
      </w:pPr>
    </w:p>
    <w:p>
      <w:pPr>
        <w:pStyle w:val="ListParagraph"/>
        <w:numPr>
          <w:ilvl w:val="4"/>
          <w:numId w:val="66"/>
        </w:numPr>
        <w:tabs>
          <w:tab w:pos="940" w:val="left" w:leader="none"/>
          <w:tab w:pos="941" w:val="left" w:leader="none"/>
        </w:tabs>
        <w:spacing w:line="240" w:lineRule="auto" w:before="0" w:after="0"/>
        <w:ind w:left="940" w:right="0" w:hanging="361"/>
        <w:jc w:val="left"/>
        <w:rPr>
          <w:rFonts w:ascii="Consolas" w:hAnsi="Consolas"/>
          <w:sz w:val="22"/>
        </w:rPr>
      </w:pPr>
      <w:r>
        <w:rPr>
          <w:rFonts w:ascii="Times New Roman" w:hAnsi="Times New Roman"/>
          <w:i/>
          <w:sz w:val="22"/>
        </w:rPr>
        <w:t>n </w:t>
      </w:r>
      <w:r>
        <w:rPr>
          <w:sz w:val="22"/>
        </w:rPr>
        <w:t>= the number of observations in the sample</w:t>
      </w:r>
      <w:r>
        <w:rPr>
          <w:spacing w:val="-9"/>
          <w:sz w:val="22"/>
        </w:rPr>
        <w:t> </w:t>
      </w:r>
      <w:r>
        <w:rPr>
          <w:rFonts w:ascii="Consolas" w:hAnsi="Consolas"/>
          <w:sz w:val="22"/>
        </w:rPr>
        <w:t>COUNT(</w:t>
      </w:r>
      <w:r>
        <w:rPr>
          <w:rFonts w:ascii="Times New Roman" w:hAnsi="Times New Roman"/>
          <w:i/>
          <w:sz w:val="22"/>
        </w:rPr>
        <w:t>array</w:t>
      </w:r>
      <w:r>
        <w:rPr>
          <w:rFonts w:ascii="Consolas" w:hAnsi="Consolas"/>
          <w:sz w:val="22"/>
        </w:rPr>
        <w:t>)</w:t>
      </w:r>
    </w:p>
    <w:p>
      <w:pPr>
        <w:pStyle w:val="ListParagraph"/>
        <w:numPr>
          <w:ilvl w:val="4"/>
          <w:numId w:val="66"/>
        </w:numPr>
        <w:tabs>
          <w:tab w:pos="940" w:val="left" w:leader="none"/>
          <w:tab w:pos="941" w:val="left" w:leader="none"/>
        </w:tabs>
        <w:spacing w:line="240" w:lineRule="auto" w:before="39" w:after="0"/>
        <w:ind w:left="940" w:right="0" w:hanging="361"/>
        <w:jc w:val="left"/>
        <w:rPr>
          <w:rFonts w:ascii="Consolas" w:hAnsi="Consolas"/>
          <w:sz w:val="22"/>
        </w:rPr>
      </w:pPr>
      <w:r>
        <w:rPr>
          <w:rFonts w:ascii="Times New Roman" w:hAnsi="Times New Roman"/>
          <w:i/>
          <w:sz w:val="22"/>
        </w:rPr>
        <w:t>s </w:t>
      </w:r>
      <w:r>
        <w:rPr>
          <w:sz w:val="22"/>
        </w:rPr>
        <w:t>= the sample standard deviation</w:t>
      </w:r>
      <w:r>
        <w:rPr>
          <w:spacing w:val="-11"/>
          <w:sz w:val="22"/>
        </w:rPr>
        <w:t> </w:t>
      </w:r>
      <w:r>
        <w:rPr>
          <w:rFonts w:ascii="Consolas" w:hAnsi="Consolas"/>
          <w:sz w:val="22"/>
        </w:rPr>
        <w:t>STDEV(</w:t>
      </w:r>
      <w:r>
        <w:rPr>
          <w:rFonts w:ascii="Times New Roman" w:hAnsi="Times New Roman"/>
          <w:i/>
          <w:sz w:val="22"/>
        </w:rPr>
        <w:t>array</w:t>
      </w:r>
      <w:r>
        <w:rPr>
          <w:rFonts w:ascii="Consolas" w:hAnsi="Consolas"/>
          <w:sz w:val="22"/>
        </w:rPr>
        <w:t>)</w:t>
      </w:r>
    </w:p>
    <w:p>
      <w:pPr>
        <w:pStyle w:val="ListParagraph"/>
        <w:numPr>
          <w:ilvl w:val="4"/>
          <w:numId w:val="66"/>
        </w:numPr>
        <w:tabs>
          <w:tab w:pos="940" w:val="left" w:leader="none"/>
          <w:tab w:pos="941" w:val="left" w:leader="none"/>
        </w:tabs>
        <w:spacing w:line="240" w:lineRule="auto" w:before="41" w:after="0"/>
        <w:ind w:left="940" w:right="0" w:hanging="361"/>
        <w:jc w:val="left"/>
        <w:rPr>
          <w:sz w:val="22"/>
        </w:rPr>
      </w:pPr>
      <w:r>
        <w:rPr>
          <w:rFonts w:ascii="Times New Roman" w:hAnsi="Times New Roman"/>
          <w:i/>
          <w:sz w:val="22"/>
        </w:rPr>
        <w:t>x </w:t>
      </w:r>
      <w:r>
        <w:rPr>
          <w:sz w:val="22"/>
        </w:rPr>
        <w:t>= a sample</w:t>
      </w:r>
      <w:r>
        <w:rPr>
          <w:spacing w:val="-11"/>
          <w:sz w:val="22"/>
        </w:rPr>
        <w:t> </w:t>
      </w:r>
      <w:r>
        <w:rPr>
          <w:sz w:val="22"/>
        </w:rPr>
        <w:t>value</w:t>
      </w:r>
    </w:p>
    <w:p>
      <w:pPr>
        <w:pStyle w:val="ListParagraph"/>
        <w:numPr>
          <w:ilvl w:val="4"/>
          <w:numId w:val="66"/>
        </w:numPr>
        <w:tabs>
          <w:tab w:pos="940" w:val="left" w:leader="none"/>
          <w:tab w:pos="941" w:val="left" w:leader="none"/>
        </w:tabs>
        <w:spacing w:line="240" w:lineRule="auto" w:before="41" w:after="0"/>
        <w:ind w:left="940" w:right="0" w:hanging="361"/>
        <w:jc w:val="left"/>
        <w:rPr>
          <w:rFonts w:ascii="Consolas" w:hAnsi="Consolas"/>
          <w:sz w:val="22"/>
        </w:rPr>
      </w:pPr>
      <w:r>
        <w:rPr>
          <w:rFonts w:ascii="Cambria Math" w:hAnsi="Cambria Math"/>
          <w:spacing w:val="-51"/>
          <w:sz w:val="22"/>
        </w:rPr>
        <w:t>x̅</w:t>
      </w:r>
      <w:r>
        <w:rPr>
          <w:rFonts w:ascii="Cambria Math" w:hAnsi="Cambria Math"/>
          <w:spacing w:val="6"/>
          <w:sz w:val="22"/>
        </w:rPr>
        <w:t> </w:t>
      </w:r>
      <w:r>
        <w:rPr>
          <w:sz w:val="22"/>
        </w:rPr>
        <w:t>= the sample mean</w:t>
      </w:r>
      <w:r>
        <w:rPr>
          <w:spacing w:val="-7"/>
          <w:sz w:val="22"/>
        </w:rPr>
        <w:t> </w:t>
      </w:r>
      <w:r>
        <w:rPr>
          <w:rFonts w:ascii="Consolas" w:hAnsi="Consolas"/>
          <w:sz w:val="22"/>
        </w:rPr>
        <w:t>AVERAGE(</w:t>
      </w:r>
      <w:r>
        <w:rPr>
          <w:rFonts w:ascii="Times New Roman" w:hAnsi="Times New Roman"/>
          <w:i/>
          <w:sz w:val="22"/>
        </w:rPr>
        <w:t>array</w:t>
      </w:r>
      <w:r>
        <w:rPr>
          <w:rFonts w:ascii="Consolas" w:hAnsi="Consolas"/>
          <w:sz w:val="22"/>
        </w:rPr>
        <w:t>)</w:t>
      </w:r>
    </w:p>
    <w:p>
      <w:pPr>
        <w:pStyle w:val="ListParagraph"/>
        <w:numPr>
          <w:ilvl w:val="4"/>
          <w:numId w:val="66"/>
        </w:numPr>
        <w:tabs>
          <w:tab w:pos="940" w:val="left" w:leader="none"/>
          <w:tab w:pos="941" w:val="left" w:leader="none"/>
        </w:tabs>
        <w:spacing w:line="240" w:lineRule="auto" w:before="39" w:after="0"/>
        <w:ind w:left="940" w:right="0" w:hanging="361"/>
        <w:jc w:val="left"/>
        <w:rPr>
          <w:rFonts w:ascii="Times New Roman" w:hAnsi="Times New Roman"/>
          <w:i/>
          <w:sz w:val="22"/>
        </w:rPr>
      </w:pPr>
      <w:r>
        <w:rPr>
          <w:rFonts w:ascii="Cambria Math" w:hAnsi="Cambria Math"/>
          <w:sz w:val="22"/>
        </w:rPr>
        <w:t>µ</w:t>
      </w:r>
      <w:r>
        <w:rPr>
          <w:rFonts w:ascii="Cambria Math" w:hAnsi="Cambria Math"/>
          <w:position w:val="-4"/>
          <w:sz w:val="16"/>
        </w:rPr>
        <w:t>0 </w:t>
      </w:r>
      <w:r>
        <w:rPr>
          <w:sz w:val="22"/>
        </w:rPr>
        <w:t>= the argument</w:t>
      </w:r>
      <w:r>
        <w:rPr>
          <w:spacing w:val="-16"/>
          <w:sz w:val="22"/>
        </w:rPr>
        <w:t> </w:t>
      </w:r>
      <w:r>
        <w:rPr>
          <w:rFonts w:ascii="Times New Roman" w:hAnsi="Times New Roman"/>
          <w:i/>
          <w:sz w:val="22"/>
        </w:rPr>
        <w:t>test-value</w:t>
      </w:r>
    </w:p>
    <w:p>
      <w:pPr>
        <w:pStyle w:val="Heading4"/>
        <w:spacing w:before="217"/>
      </w:pPr>
      <w:r>
        <w:rPr/>
        <w:t>Arguments:</w:t>
      </w:r>
    </w:p>
    <w:p>
      <w:pPr>
        <w:pStyle w:val="BodyText"/>
        <w:spacing w:before="8" w:after="1"/>
        <w:rPr>
          <w:b/>
          <w:sz w:val="19"/>
        </w:rPr>
      </w:pPr>
    </w:p>
    <w:tbl>
      <w:tblPr>
        <w:tblW w:w="0" w:type="auto"/>
        <w:jc w:val="left"/>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1800"/>
        <w:gridCol w:w="5400"/>
      </w:tblGrid>
      <w:tr>
        <w:trPr>
          <w:trHeight w:val="354" w:hRule="atLeast"/>
        </w:trPr>
        <w:tc>
          <w:tcPr>
            <w:tcW w:w="1466" w:type="dxa"/>
            <w:shd w:val="clear" w:color="auto" w:fill="C0C0C0"/>
          </w:tcPr>
          <w:p>
            <w:pPr>
              <w:pStyle w:val="TableParagraph"/>
              <w:ind w:left="460"/>
              <w:rPr>
                <w:b/>
                <w:sz w:val="22"/>
              </w:rPr>
            </w:pPr>
            <w:r>
              <w:rPr>
                <w:b/>
                <w:sz w:val="22"/>
              </w:rPr>
              <w:t>Name</w:t>
            </w:r>
          </w:p>
        </w:tc>
        <w:tc>
          <w:tcPr>
            <w:tcW w:w="1800" w:type="dxa"/>
            <w:shd w:val="clear" w:color="auto" w:fill="C0C0C0"/>
          </w:tcPr>
          <w:p>
            <w:pPr>
              <w:pStyle w:val="TableParagraph"/>
              <w:ind w:left="94" w:right="86"/>
              <w:jc w:val="center"/>
              <w:rPr>
                <w:b/>
                <w:sz w:val="22"/>
              </w:rPr>
            </w:pPr>
            <w:r>
              <w:rPr>
                <w:b/>
                <w:sz w:val="22"/>
              </w:rPr>
              <w:t>Type</w:t>
            </w:r>
          </w:p>
        </w:tc>
        <w:tc>
          <w:tcPr>
            <w:tcW w:w="5400" w:type="dxa"/>
            <w:shd w:val="clear" w:color="auto" w:fill="C0C0C0"/>
          </w:tcPr>
          <w:p>
            <w:pPr>
              <w:pStyle w:val="TableParagraph"/>
              <w:ind w:left="93" w:right="86"/>
              <w:jc w:val="center"/>
              <w:rPr>
                <w:b/>
                <w:sz w:val="22"/>
              </w:rPr>
            </w:pPr>
            <w:r>
              <w:rPr>
                <w:b/>
                <w:sz w:val="22"/>
              </w:rPr>
              <w:t>Description</w:t>
            </w:r>
          </w:p>
        </w:tc>
      </w:tr>
      <w:tr>
        <w:trPr>
          <w:trHeight w:val="354" w:hRule="atLeast"/>
        </w:trPr>
        <w:tc>
          <w:tcPr>
            <w:tcW w:w="1466" w:type="dxa"/>
          </w:tcPr>
          <w:p>
            <w:pPr>
              <w:pStyle w:val="TableParagraph"/>
              <w:spacing w:before="37"/>
              <w:rPr>
                <w:rFonts w:ascii="Times New Roman"/>
                <w:i/>
                <w:sz w:val="22"/>
              </w:rPr>
            </w:pPr>
            <w:r>
              <w:rPr>
                <w:rFonts w:ascii="Times New Roman"/>
                <w:i/>
                <w:sz w:val="22"/>
              </w:rPr>
              <w:t>array</w:t>
            </w:r>
          </w:p>
        </w:tc>
        <w:tc>
          <w:tcPr>
            <w:tcW w:w="1800" w:type="dxa"/>
          </w:tcPr>
          <w:p>
            <w:pPr>
              <w:pStyle w:val="TableParagraph"/>
              <w:ind w:left="112"/>
              <w:rPr>
                <w:sz w:val="22"/>
              </w:rPr>
            </w:pPr>
            <w:r>
              <w:rPr>
                <w:sz w:val="22"/>
              </w:rPr>
              <w:t>array</w:t>
            </w:r>
          </w:p>
        </w:tc>
        <w:tc>
          <w:tcPr>
            <w:tcW w:w="5400" w:type="dxa"/>
          </w:tcPr>
          <w:p>
            <w:pPr>
              <w:pStyle w:val="TableParagraph"/>
              <w:ind w:left="113"/>
              <w:rPr>
                <w:sz w:val="22"/>
              </w:rPr>
            </w:pPr>
            <w:r>
              <w:rPr>
                <w:sz w:val="22"/>
              </w:rPr>
              <w:t>The set of numerical data against which to test </w:t>
            </w:r>
            <w:r>
              <w:rPr>
                <w:rFonts w:ascii="Times New Roman"/>
                <w:i/>
                <w:sz w:val="22"/>
              </w:rPr>
              <w:t>test-value</w:t>
            </w:r>
            <w:r>
              <w:rPr>
                <w:sz w:val="22"/>
              </w:rPr>
              <w:t>.</w:t>
            </w:r>
          </w:p>
        </w:tc>
      </w:tr>
      <w:tr>
        <w:trPr>
          <w:trHeight w:val="355" w:hRule="atLeast"/>
        </w:trPr>
        <w:tc>
          <w:tcPr>
            <w:tcW w:w="1466" w:type="dxa"/>
          </w:tcPr>
          <w:p>
            <w:pPr>
              <w:pStyle w:val="TableParagraph"/>
              <w:spacing w:before="37"/>
              <w:rPr>
                <w:rFonts w:ascii="Times New Roman"/>
                <w:i/>
                <w:sz w:val="22"/>
              </w:rPr>
            </w:pPr>
            <w:r>
              <w:rPr>
                <w:rFonts w:ascii="Times New Roman"/>
                <w:i/>
                <w:sz w:val="22"/>
              </w:rPr>
              <w:t>test-value</w:t>
            </w:r>
          </w:p>
        </w:tc>
        <w:tc>
          <w:tcPr>
            <w:tcW w:w="1800" w:type="dxa"/>
          </w:tcPr>
          <w:p>
            <w:pPr>
              <w:pStyle w:val="TableParagraph"/>
              <w:ind w:left="112"/>
              <w:rPr>
                <w:sz w:val="22"/>
              </w:rPr>
            </w:pPr>
            <w:r>
              <w:rPr>
                <w:sz w:val="22"/>
              </w:rPr>
              <w:t>number</w:t>
            </w:r>
          </w:p>
        </w:tc>
        <w:tc>
          <w:tcPr>
            <w:tcW w:w="5400" w:type="dxa"/>
          </w:tcPr>
          <w:p>
            <w:pPr>
              <w:pStyle w:val="TableParagraph"/>
              <w:ind w:left="113"/>
              <w:rPr>
                <w:sz w:val="22"/>
              </w:rPr>
            </w:pPr>
            <w:r>
              <w:rPr>
                <w:sz w:val="22"/>
              </w:rPr>
              <w:t>The number to test.</w:t>
            </w:r>
          </w:p>
        </w:tc>
      </w:tr>
      <w:tr>
        <w:trPr>
          <w:trHeight w:val="892" w:hRule="atLeast"/>
        </w:trPr>
        <w:tc>
          <w:tcPr>
            <w:tcW w:w="1466" w:type="dxa"/>
          </w:tcPr>
          <w:p>
            <w:pPr>
              <w:pStyle w:val="TableParagraph"/>
              <w:spacing w:before="37"/>
              <w:rPr>
                <w:rFonts w:ascii="Times New Roman"/>
                <w:i/>
                <w:sz w:val="22"/>
              </w:rPr>
            </w:pPr>
            <w:r>
              <w:rPr>
                <w:rFonts w:ascii="Times New Roman"/>
                <w:i/>
                <w:sz w:val="22"/>
              </w:rPr>
              <w:t>sigma</w:t>
            </w:r>
          </w:p>
        </w:tc>
        <w:tc>
          <w:tcPr>
            <w:tcW w:w="1800" w:type="dxa"/>
          </w:tcPr>
          <w:p>
            <w:pPr>
              <w:pStyle w:val="TableParagraph"/>
              <w:ind w:left="112"/>
              <w:rPr>
                <w:sz w:val="22"/>
              </w:rPr>
            </w:pPr>
            <w:r>
              <w:rPr>
                <w:sz w:val="22"/>
              </w:rPr>
              <w:t>number</w:t>
            </w:r>
          </w:p>
        </w:tc>
        <w:tc>
          <w:tcPr>
            <w:tcW w:w="5400" w:type="dxa"/>
          </w:tcPr>
          <w:p>
            <w:pPr>
              <w:pStyle w:val="TableParagraph"/>
              <w:ind w:left="113" w:right="417"/>
              <w:rPr>
                <w:sz w:val="22"/>
              </w:rPr>
            </w:pPr>
            <w:r>
              <w:rPr>
                <w:sz w:val="22"/>
              </w:rPr>
              <w:t>The number is the population (known) standard deviation. If omitted, the sample standard deviation is used.</w:t>
            </w:r>
          </w:p>
        </w:tc>
      </w:tr>
    </w:tbl>
    <w:p>
      <w:pPr>
        <w:pStyle w:val="BodyText"/>
        <w:rPr>
          <w:b/>
        </w:rPr>
      </w:pPr>
    </w:p>
    <w:p>
      <w:pPr>
        <w:pStyle w:val="BodyText"/>
        <w:spacing w:before="7"/>
        <w:rPr>
          <w:b/>
          <w:sz w:val="19"/>
        </w:rPr>
      </w:pPr>
    </w:p>
    <w:p>
      <w:pPr>
        <w:spacing w:line="453" w:lineRule="auto" w:before="0"/>
        <w:ind w:left="220" w:right="3476" w:firstLine="0"/>
        <w:jc w:val="left"/>
        <w:rPr>
          <w:sz w:val="22"/>
        </w:rPr>
      </w:pPr>
      <w:r>
        <w:rPr>
          <w:b/>
          <w:sz w:val="22"/>
        </w:rPr>
        <w:t>Return Type and Value: </w:t>
      </w:r>
      <w:r>
        <w:rPr>
          <w:sz w:val="22"/>
        </w:rPr>
        <w:t>number – The one-tailed probability-value of a z-test. However,</w:t>
      </w:r>
      <w:r>
        <w:rPr>
          <w:spacing w:val="-1"/>
          <w:sz w:val="22"/>
        </w:rPr>
        <w:t> </w:t>
      </w:r>
      <w:r>
        <w:rPr>
          <w:sz w:val="22"/>
        </w:rPr>
        <w:t>if:</w:t>
      </w:r>
    </w:p>
    <w:p>
      <w:pPr>
        <w:pStyle w:val="ListParagraph"/>
        <w:numPr>
          <w:ilvl w:val="4"/>
          <w:numId w:val="66"/>
        </w:numPr>
        <w:tabs>
          <w:tab w:pos="940" w:val="left" w:leader="none"/>
          <w:tab w:pos="941" w:val="left" w:leader="none"/>
        </w:tabs>
        <w:spacing w:line="240" w:lineRule="auto" w:before="1" w:after="0"/>
        <w:ind w:left="940" w:right="0" w:hanging="361"/>
        <w:jc w:val="left"/>
        <w:rPr>
          <w:sz w:val="22"/>
        </w:rPr>
      </w:pPr>
      <w:r>
        <w:rPr>
          <w:rFonts w:ascii="Times New Roman" w:hAnsi="Times New Roman"/>
          <w:i/>
          <w:sz w:val="22"/>
        </w:rPr>
        <w:t>array </w:t>
      </w:r>
      <w:r>
        <w:rPr>
          <w:sz w:val="22"/>
        </w:rPr>
        <w:t>is empty, the return value is</w:t>
      </w:r>
      <w:r>
        <w:rPr>
          <w:spacing w:val="-13"/>
          <w:sz w:val="22"/>
        </w:rPr>
        <w:t> </w:t>
      </w:r>
      <w:r>
        <w:rPr>
          <w:sz w:val="22"/>
        </w:rPr>
        <w:t>unspecified.</w:t>
      </w:r>
    </w:p>
    <w:p>
      <w:pPr>
        <w:pStyle w:val="ListParagraph"/>
        <w:numPr>
          <w:ilvl w:val="4"/>
          <w:numId w:val="66"/>
        </w:numPr>
        <w:tabs>
          <w:tab w:pos="940" w:val="left" w:leader="none"/>
          <w:tab w:pos="941" w:val="left" w:leader="none"/>
        </w:tabs>
        <w:spacing w:line="446" w:lineRule="auto" w:before="39" w:after="0"/>
        <w:ind w:left="220" w:right="6909" w:firstLine="360"/>
        <w:jc w:val="left"/>
        <w:rPr>
          <w:sz w:val="22"/>
        </w:rPr>
      </w:pPr>
      <w:r>
        <w:rPr>
          <w:rFonts w:ascii="Times New Roman" w:hAnsi="Times New Roman"/>
          <w:i/>
          <w:sz w:val="22"/>
        </w:rPr>
        <w:t>sigma </w:t>
      </w:r>
      <w:r>
        <w:rPr>
          <w:sz w:val="22"/>
        </w:rPr>
        <w:t>is ≤ 0, </w:t>
      </w:r>
      <w:r>
        <w:rPr>
          <w:rFonts w:ascii="Consolas" w:hAnsi="Consolas"/>
          <w:sz w:val="22"/>
        </w:rPr>
        <w:t>#NUM!</w:t>
      </w:r>
      <w:r>
        <w:rPr>
          <w:rFonts w:ascii="Consolas" w:hAnsi="Consolas"/>
          <w:spacing w:val="-84"/>
          <w:sz w:val="22"/>
        </w:rPr>
        <w:t> </w:t>
      </w:r>
      <w:r>
        <w:rPr>
          <w:sz w:val="22"/>
        </w:rPr>
        <w:t>is returned. [</w:t>
      </w:r>
      <w:r>
        <w:rPr>
          <w:i/>
          <w:sz w:val="22"/>
        </w:rPr>
        <w:t>Example</w:t>
      </w:r>
      <w:r>
        <w:rPr>
          <w:sz w:val="22"/>
        </w:rPr>
        <w:t>:</w:t>
      </w:r>
    </w:p>
    <w:p>
      <w:pPr>
        <w:pStyle w:val="BodyText"/>
        <w:spacing w:line="273" w:lineRule="auto" w:before="128"/>
        <w:ind w:left="220" w:right="1028"/>
        <w:rPr>
          <w:rFonts w:ascii="Consolas"/>
        </w:rPr>
      </w:pPr>
      <w:r>
        <w:rPr>
          <w:rFonts w:ascii="Consolas"/>
        </w:rPr>
        <w:t>ZTEST({3,6,7,8,6,5,4,2,1,9},4)</w:t>
      </w:r>
      <w:r>
        <w:rPr>
          <w:rFonts w:ascii="Consolas"/>
          <w:spacing w:val="-92"/>
        </w:rPr>
        <w:t> </w:t>
      </w:r>
      <w:r>
        <w:rPr/>
        <w:t>results in </w:t>
      </w:r>
      <w:r>
        <w:rPr>
          <w:rFonts w:ascii="Consolas"/>
        </w:rPr>
        <w:t>0.090574197 ZTEST({3,6,7,8,6,5,4,2,1,9},6)</w:t>
      </w:r>
      <w:r>
        <w:rPr>
          <w:rFonts w:ascii="Consolas"/>
          <w:spacing w:val="-92"/>
        </w:rPr>
        <w:t> </w:t>
      </w:r>
      <w:r>
        <w:rPr/>
        <w:t>results in </w:t>
      </w:r>
      <w:r>
        <w:rPr>
          <w:rFonts w:ascii="Consolas"/>
        </w:rPr>
        <w:t>0.863043389</w:t>
      </w:r>
    </w:p>
    <w:p>
      <w:pPr>
        <w:pStyle w:val="BodyText"/>
        <w:rPr>
          <w:rFonts w:ascii="Consolas"/>
          <w:sz w:val="27"/>
        </w:rPr>
      </w:pPr>
    </w:p>
    <w:p>
      <w:pPr>
        <w:spacing w:before="1"/>
        <w:ind w:left="220" w:right="0" w:firstLine="0"/>
        <w:jc w:val="left"/>
        <w:rPr>
          <w:sz w:val="22"/>
        </w:rPr>
      </w:pPr>
      <w:r>
        <w:rPr>
          <w:i/>
          <w:sz w:val="22"/>
        </w:rPr>
        <w:t>end example</w:t>
      </w:r>
      <w:r>
        <w:rPr>
          <w:sz w:val="22"/>
        </w:rPr>
        <w:t>]</w:t>
      </w:r>
    </w:p>
    <w:p>
      <w:pPr>
        <w:pStyle w:val="BodyText"/>
        <w:spacing w:before="6"/>
        <w:rPr>
          <w:sz w:val="19"/>
        </w:rPr>
      </w:pPr>
    </w:p>
    <w:p>
      <w:pPr>
        <w:pStyle w:val="Heading1"/>
        <w:numPr>
          <w:ilvl w:val="1"/>
          <w:numId w:val="17"/>
        </w:numPr>
        <w:tabs>
          <w:tab w:pos="1156" w:val="left" w:leader="none"/>
          <w:tab w:pos="1157" w:val="left" w:leader="none"/>
        </w:tabs>
        <w:spacing w:line="240" w:lineRule="auto" w:before="0" w:after="0"/>
        <w:ind w:left="1156" w:right="0" w:hanging="937"/>
        <w:jc w:val="left"/>
      </w:pPr>
      <w:bookmarkStart w:name="18.18 Simple Types" w:id="2465"/>
      <w:bookmarkEnd w:id="2465"/>
      <w:r>
        <w:rPr>
          <w:b w:val="0"/>
        </w:rPr>
      </w:r>
      <w:bookmarkStart w:name="_bookmark822" w:id="2466"/>
      <w:bookmarkEnd w:id="2466"/>
      <w:r>
        <w:rPr>
          <w:b w:val="0"/>
        </w:rPr>
      </w:r>
      <w:bookmarkStart w:name="_bookmark822" w:id="2467"/>
      <w:bookmarkEnd w:id="2467"/>
      <w:r>
        <w:rPr>
          <w:color w:val="4F81BC"/>
        </w:rPr>
        <w:t>Simpl</w:t>
      </w:r>
      <w:r>
        <w:rPr>
          <w:color w:val="4F81BC"/>
        </w:rPr>
        <w:t>e</w:t>
      </w:r>
      <w:r>
        <w:rPr>
          <w:color w:val="4F81BC"/>
          <w:spacing w:val="-3"/>
        </w:rPr>
        <w:t> </w:t>
      </w:r>
      <w:r>
        <w:rPr>
          <w:color w:val="4F81BC"/>
        </w:rPr>
        <w:t>Types</w:t>
      </w:r>
    </w:p>
    <w:p>
      <w:pPr>
        <w:pStyle w:val="BodyText"/>
        <w:spacing w:before="130"/>
        <w:ind w:left="220"/>
      </w:pPr>
      <w:r>
        <w:rPr/>
        <w:t>This is the complete list of simple types dedicated to SpreadsheetML.</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8.1 ST_Axis (PivotTable Axis)" w:id="2468"/>
      <w:bookmarkEnd w:id="2468"/>
      <w:r>
        <w:rPr>
          <w:b w:val="0"/>
        </w:rPr>
      </w:r>
      <w:bookmarkStart w:name="_bookmark823" w:id="2469"/>
      <w:bookmarkEnd w:id="2469"/>
      <w:r>
        <w:rPr>
          <w:b w:val="0"/>
        </w:rPr>
      </w:r>
      <w:bookmarkStart w:name="_bookmark823" w:id="2470"/>
      <w:bookmarkEnd w:id="2470"/>
      <w:r>
        <w:rPr>
          <w:color w:val="4F81BC"/>
        </w:rPr>
        <w:t>S</w:t>
      </w:r>
      <w:r>
        <w:rPr>
          <w:color w:val="4F81BC"/>
        </w:rPr>
        <w:t>T_Axis (PivotTable</w:t>
      </w:r>
      <w:r>
        <w:rPr>
          <w:color w:val="4F81BC"/>
          <w:spacing w:val="1"/>
        </w:rPr>
        <w:t> </w:t>
      </w:r>
      <w:r>
        <w:rPr>
          <w:color w:val="4F81BC"/>
        </w:rPr>
        <w:t>Axis)</w:t>
      </w:r>
    </w:p>
    <w:p>
      <w:pPr>
        <w:pStyle w:val="BodyText"/>
        <w:spacing w:before="127"/>
        <w:ind w:left="220"/>
      </w:pPr>
      <w:r>
        <w:rPr/>
        <w:t>This simple type defines the axes for a PivotTable selection.</w:t>
      </w:r>
    </w:p>
    <w:p>
      <w:pPr>
        <w:pStyle w:val="BodyText"/>
        <w:spacing w:before="8"/>
        <w:rPr>
          <w:sz w:val="19"/>
        </w:rPr>
      </w:pPr>
    </w:p>
    <w:p>
      <w:pPr>
        <w:pStyle w:val="BodyText"/>
        <w:spacing w:line="489" w:lineRule="auto"/>
        <w:ind w:left="220" w:right="2804"/>
      </w:pPr>
      <w:r>
        <w:rPr/>
        <w:pict>
          <v:shape style="position:absolute;margin-left:48pt;margin-top:42.873596pt;width:516.35pt;height:37pt;mso-position-horizontal-relative:page;mso-position-vertical-relative:paragraph;z-index:2518927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axisCol </w:t>
                        </w:r>
                        <w:r>
                          <w:rPr>
                            <w:sz w:val="22"/>
                          </w:rPr>
                          <w:t>(Column Axis)</w:t>
                        </w:r>
                      </w:p>
                    </w:tc>
                    <w:tc>
                      <w:tcPr>
                        <w:tcW w:w="5156" w:type="dxa"/>
                      </w:tcPr>
                      <w:p>
                        <w:pPr>
                          <w:pStyle w:val="TableParagraph"/>
                          <w:rPr>
                            <w:sz w:val="22"/>
                          </w:rPr>
                        </w:pPr>
                        <w:r>
                          <w:rPr>
                            <w:sz w:val="22"/>
                          </w:rPr>
                          <w:t>Column axis</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axisPage </w:t>
            </w:r>
            <w:r>
              <w:rPr>
                <w:sz w:val="22"/>
              </w:rPr>
              <w:t>(Include Count Filter)</w:t>
            </w:r>
          </w:p>
        </w:tc>
        <w:tc>
          <w:tcPr>
            <w:tcW w:w="5156" w:type="dxa"/>
          </w:tcPr>
          <w:p>
            <w:pPr>
              <w:pStyle w:val="TableParagraph"/>
              <w:rPr>
                <w:sz w:val="22"/>
              </w:rPr>
            </w:pPr>
            <w:r>
              <w:rPr>
                <w:sz w:val="22"/>
              </w:rPr>
              <w:t>Page axis</w:t>
            </w:r>
          </w:p>
        </w:tc>
      </w:tr>
      <w:tr>
        <w:trPr>
          <w:trHeight w:val="354" w:hRule="atLeast"/>
        </w:trPr>
        <w:tc>
          <w:tcPr>
            <w:tcW w:w="5156" w:type="dxa"/>
          </w:tcPr>
          <w:p>
            <w:pPr>
              <w:pStyle w:val="TableParagraph"/>
              <w:rPr>
                <w:sz w:val="22"/>
              </w:rPr>
            </w:pPr>
            <w:r>
              <w:rPr>
                <w:rFonts w:ascii="Cambria"/>
                <w:sz w:val="22"/>
              </w:rPr>
              <w:t>axisRow </w:t>
            </w:r>
            <w:r>
              <w:rPr>
                <w:sz w:val="22"/>
              </w:rPr>
              <w:t>(Row Axis)</w:t>
            </w:r>
          </w:p>
        </w:tc>
        <w:tc>
          <w:tcPr>
            <w:tcW w:w="5156" w:type="dxa"/>
          </w:tcPr>
          <w:p>
            <w:pPr>
              <w:pStyle w:val="TableParagraph"/>
              <w:rPr>
                <w:sz w:val="22"/>
              </w:rPr>
            </w:pPr>
            <w:r>
              <w:rPr>
                <w:sz w:val="22"/>
              </w:rPr>
              <w:t>Row axis</w:t>
            </w:r>
          </w:p>
        </w:tc>
      </w:tr>
      <w:tr>
        <w:trPr>
          <w:trHeight w:val="354" w:hRule="atLeast"/>
        </w:trPr>
        <w:tc>
          <w:tcPr>
            <w:tcW w:w="5156" w:type="dxa"/>
          </w:tcPr>
          <w:p>
            <w:pPr>
              <w:pStyle w:val="TableParagraph"/>
              <w:rPr>
                <w:sz w:val="22"/>
              </w:rPr>
            </w:pPr>
            <w:r>
              <w:rPr>
                <w:rFonts w:ascii="Cambria"/>
                <w:sz w:val="22"/>
              </w:rPr>
              <w:t>axisValues </w:t>
            </w:r>
            <w:r>
              <w:rPr>
                <w:sz w:val="22"/>
              </w:rPr>
              <w:t>(Values Axis)</w:t>
            </w:r>
          </w:p>
        </w:tc>
        <w:tc>
          <w:tcPr>
            <w:tcW w:w="5156" w:type="dxa"/>
          </w:tcPr>
          <w:p>
            <w:pPr>
              <w:pStyle w:val="TableParagraph"/>
              <w:rPr>
                <w:sz w:val="22"/>
              </w:rPr>
            </w:pPr>
            <w:r>
              <w:rPr>
                <w:sz w:val="22"/>
              </w:rPr>
              <w:t>Values axis</w:t>
            </w:r>
          </w:p>
        </w:tc>
      </w:tr>
    </w:tbl>
    <w:p>
      <w:pPr>
        <w:pStyle w:val="BodyText"/>
        <w:rPr>
          <w:sz w:val="20"/>
        </w:rPr>
      </w:pPr>
    </w:p>
    <w:p>
      <w:pPr>
        <w:pStyle w:val="BodyText"/>
        <w:spacing w:before="10"/>
        <w:rPr>
          <w:sz w:val="16"/>
        </w:rPr>
      </w:pPr>
    </w:p>
    <w:p>
      <w:pPr>
        <w:pStyle w:val="BodyText"/>
        <w:spacing w:line="276" w:lineRule="auto" w:before="56"/>
        <w:ind w:left="220" w:right="850"/>
      </w:pPr>
      <w:r>
        <w:rPr/>
        <w:t>[</w:t>
      </w:r>
      <w:r>
        <w:rPr>
          <w:i/>
        </w:rPr>
        <w:t>Note</w:t>
      </w:r>
      <w:r>
        <w:rPr/>
        <w:t>: The W3C XML Schema definition of this simple type’s content model (</w:t>
      </w:r>
      <w:r>
        <w:rPr>
          <w:color w:val="5F5F5F"/>
          <w:u w:val="single" w:color="5F5F5F"/>
        </w:rPr>
        <w:t>ST_Axis</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8.2 ST_BorderId (Border Id)" w:id="2471"/>
      <w:bookmarkEnd w:id="2471"/>
      <w:r>
        <w:rPr>
          <w:b w:val="0"/>
        </w:rPr>
      </w:r>
      <w:bookmarkStart w:name="_bookmark824" w:id="2472"/>
      <w:bookmarkEnd w:id="2472"/>
      <w:r>
        <w:rPr>
          <w:b w:val="0"/>
        </w:rPr>
      </w:r>
      <w:bookmarkStart w:name="_bookmark824" w:id="2473"/>
      <w:bookmarkEnd w:id="2473"/>
      <w:r>
        <w:rPr>
          <w:color w:val="4F81BC"/>
        </w:rPr>
        <w:t>S</w:t>
      </w:r>
      <w:r>
        <w:rPr>
          <w:color w:val="4F81BC"/>
        </w:rPr>
        <w:t>T_BorderId (Border</w:t>
      </w:r>
      <w:r>
        <w:rPr>
          <w:color w:val="4F81BC"/>
          <w:spacing w:val="-1"/>
        </w:rPr>
        <w:t> </w:t>
      </w:r>
      <w:r>
        <w:rPr>
          <w:color w:val="4F81BC"/>
        </w:rPr>
        <w:t>Id)</w:t>
      </w:r>
    </w:p>
    <w:p>
      <w:pPr>
        <w:pStyle w:val="BodyText"/>
        <w:spacing w:before="127"/>
        <w:ind w:left="220"/>
      </w:pPr>
      <w:r>
        <w:rPr/>
        <w:t>Zero-based index of the </w:t>
      </w:r>
      <w:r>
        <w:rPr>
          <w:rFonts w:ascii="Cambria"/>
        </w:rPr>
        <w:t>border </w:t>
      </w:r>
      <w:r>
        <w:rPr/>
        <w:t>record used by this cell format.</w:t>
      </w:r>
    </w:p>
    <w:p>
      <w:pPr>
        <w:pStyle w:val="BodyText"/>
        <w:spacing w:before="8"/>
        <w:rPr>
          <w:sz w:val="19"/>
        </w:rPr>
      </w:pPr>
    </w:p>
    <w:p>
      <w:pPr>
        <w:pStyle w:val="BodyText"/>
        <w:spacing w:before="1"/>
        <w:ind w:left="220"/>
      </w:pPr>
      <w:r>
        <w:rPr/>
        <w:t>This simple type's contents are a restriction of the W3C XML Schema </w:t>
      </w:r>
      <w:r>
        <w:rPr>
          <w:rFonts w:ascii="Cambria"/>
        </w:rPr>
        <w:t>unsignedInt </w:t>
      </w:r>
      <w:r>
        <w:rPr/>
        <w:t>datatype.</w:t>
      </w:r>
    </w:p>
    <w:p>
      <w:pPr>
        <w:pStyle w:val="BodyText"/>
        <w:spacing w:before="5"/>
        <w:rPr>
          <w:sz w:val="19"/>
        </w:rPr>
      </w:pPr>
    </w:p>
    <w:p>
      <w:pPr>
        <w:pStyle w:val="BodyText"/>
        <w:spacing w:line="278" w:lineRule="auto" w:before="1"/>
        <w:ind w:left="220" w:right="424"/>
      </w:pPr>
      <w:r>
        <w:rPr/>
        <w:t>[</w:t>
      </w:r>
      <w:r>
        <w:rPr>
          <w:i/>
        </w:rPr>
        <w:t>Note</w:t>
      </w:r>
      <w:r>
        <w:rPr/>
        <w:t>: The W3C XML Schema definition of this simple type’s content model (</w:t>
      </w:r>
      <w:r>
        <w:rPr>
          <w:color w:val="5F5F5F"/>
          <w:u w:val="single" w:color="5F5F5F"/>
        </w:rPr>
        <w:t>ST_BorderId</w:t>
      </w:r>
      <w:r>
        <w:rPr/>
        <w:t>) is located in §A.2. </w:t>
      </w:r>
      <w:r>
        <w:rPr>
          <w:i/>
        </w:rPr>
        <w:t>end </w:t>
      </w:r>
      <w:r>
        <w:rPr>
          <w:i/>
        </w:rPr>
        <w:t>note</w:t>
      </w:r>
      <w:r>
        <w:rPr/>
        <w:t>]</w:t>
      </w:r>
    </w:p>
    <w:p>
      <w:pPr>
        <w:pStyle w:val="BodyText"/>
        <w:spacing w:before="3"/>
        <w:rPr>
          <w:sz w:val="16"/>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8.3 ST_BorderStyle (Border Line Styl" w:id="2474"/>
      <w:bookmarkEnd w:id="2474"/>
      <w:r>
        <w:rPr>
          <w:b w:val="0"/>
        </w:rPr>
      </w:r>
      <w:bookmarkStart w:name="_bookmark825" w:id="2475"/>
      <w:bookmarkEnd w:id="2475"/>
      <w:r>
        <w:rPr>
          <w:b w:val="0"/>
        </w:rPr>
      </w:r>
      <w:bookmarkStart w:name="_bookmark825" w:id="2476"/>
      <w:bookmarkEnd w:id="2476"/>
      <w:r>
        <w:rPr>
          <w:color w:val="4F81BC"/>
        </w:rPr>
        <w:t>S</w:t>
      </w:r>
      <w:r>
        <w:rPr>
          <w:color w:val="4F81BC"/>
        </w:rPr>
        <w:t>T_BorderStyle (Border Line</w:t>
      </w:r>
      <w:r>
        <w:rPr>
          <w:color w:val="4F81BC"/>
          <w:spacing w:val="1"/>
        </w:rPr>
        <w:t> </w:t>
      </w:r>
      <w:r>
        <w:rPr>
          <w:color w:val="4F81BC"/>
        </w:rPr>
        <w:t>Styles)</w:t>
      </w:r>
    </w:p>
    <w:p>
      <w:pPr>
        <w:pStyle w:val="BodyText"/>
        <w:spacing w:before="124"/>
        <w:ind w:left="220"/>
      </w:pPr>
      <w:r>
        <w:rPr/>
        <w:t>The line style of a border in a cell.</w:t>
      </w:r>
    </w:p>
    <w:p>
      <w:pPr>
        <w:pStyle w:val="BodyText"/>
        <w:spacing w:before="8"/>
        <w:rPr>
          <w:sz w:val="19"/>
        </w:rPr>
      </w:pPr>
    </w:p>
    <w:p>
      <w:pPr>
        <w:pStyle w:val="BodyText"/>
        <w:spacing w:line="489" w:lineRule="auto"/>
        <w:ind w:left="220" w:right="2804"/>
      </w:pPr>
      <w:r>
        <w:rPr/>
        <w:pict>
          <v:shape style="position:absolute;margin-left:48pt;margin-top:42.873634pt;width:516.35pt;height:304.4pt;mso-position-horizontal-relative:page;mso-position-vertical-relative:paragraph;z-index:2518937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2491" w:hRule="atLeast"/>
                    </w:trPr>
                    <w:tc>
                      <w:tcPr>
                        <w:tcW w:w="5156" w:type="dxa"/>
                      </w:tcPr>
                      <w:p>
                        <w:pPr>
                          <w:pStyle w:val="TableParagraph"/>
                          <w:rPr>
                            <w:sz w:val="22"/>
                          </w:rPr>
                        </w:pPr>
                        <w:r>
                          <w:rPr>
                            <w:rFonts w:ascii="Cambria"/>
                            <w:sz w:val="22"/>
                          </w:rPr>
                          <w:t>dashDot </w:t>
                        </w:r>
                        <w:r>
                          <w:rPr>
                            <w:sz w:val="22"/>
                          </w:rPr>
                          <w:t>(Dash Dot)</w:t>
                        </w:r>
                      </w:p>
                    </w:tc>
                    <w:tc>
                      <w:tcPr>
                        <w:tcW w:w="5156" w:type="dxa"/>
                      </w:tcPr>
                      <w:p>
                        <w:pPr>
                          <w:pStyle w:val="TableParagraph"/>
                          <w:spacing w:line="480" w:lineRule="auto" w:after="3"/>
                          <w:ind w:right="1699"/>
                          <w:rPr>
                            <w:sz w:val="22"/>
                          </w:rPr>
                        </w:pPr>
                        <w:r>
                          <w:rPr>
                            <w:sz w:val="22"/>
                          </w:rPr>
                          <w:t>The line style of a border is dash-dot. [</w:t>
                        </w:r>
                        <w:r>
                          <w:rPr>
                            <w:i/>
                            <w:sz w:val="22"/>
                          </w:rPr>
                          <w:t>Example</w:t>
                        </w:r>
                        <w:r>
                          <w:rPr>
                            <w:sz w:val="22"/>
                          </w:rPr>
                          <w:t>:</w:t>
                        </w:r>
                      </w:p>
                      <w:p>
                        <w:pPr>
                          <w:pStyle w:val="TableParagraph"/>
                          <w:spacing w:before="0"/>
                          <w:ind w:left="143"/>
                          <w:rPr>
                            <w:sz w:val="20"/>
                          </w:rPr>
                        </w:pPr>
                        <w:r>
                          <w:rPr>
                            <w:sz w:val="20"/>
                          </w:rPr>
                          <w:drawing>
                            <wp:inline distT="0" distB="0" distL="0" distR="0">
                              <wp:extent cx="809842" cy="333375"/>
                              <wp:effectExtent l="0" t="0" r="0" b="0"/>
                              <wp:docPr id="147" name="image72.png"/>
                              <wp:cNvGraphicFramePr>
                                <a:graphicFrameLocks noChangeAspect="1"/>
                              </wp:cNvGraphicFramePr>
                              <a:graphic>
                                <a:graphicData uri="http://schemas.openxmlformats.org/drawingml/2006/picture">
                                  <pic:pic>
                                    <pic:nvPicPr>
                                      <pic:cNvPr id="148" name="image72.png"/>
                                      <pic:cNvPicPr/>
                                    </pic:nvPicPr>
                                    <pic:blipFill>
                                      <a:blip r:embed="rId284" cstate="print"/>
                                      <a:stretch>
                                        <a:fillRect/>
                                      </a:stretch>
                                    </pic:blipFill>
                                    <pic:spPr>
                                      <a:xfrm>
                                        <a:off x="0" y="0"/>
                                        <a:ext cx="809842" cy="333375"/>
                                      </a:xfrm>
                                      <a:prstGeom prst="rect">
                                        <a:avLst/>
                                      </a:prstGeom>
                                    </pic:spPr>
                                  </pic:pic>
                                </a:graphicData>
                              </a:graphic>
                            </wp:inline>
                          </w:drawing>
                        </w:r>
                        <w:r>
                          <w:rPr>
                            <w:sz w:val="20"/>
                          </w:rPr>
                        </w:r>
                      </w:p>
                      <w:p>
                        <w:pPr>
                          <w:pStyle w:val="TableParagraph"/>
                          <w:spacing w:before="11"/>
                          <w:ind w:left="0"/>
                          <w:rPr>
                            <w:sz w:val="21"/>
                          </w:rPr>
                        </w:pPr>
                      </w:p>
                      <w:p>
                        <w:pPr>
                          <w:pStyle w:val="TableParagraph"/>
                          <w:spacing w:before="0"/>
                          <w:rPr>
                            <w:sz w:val="22"/>
                          </w:rPr>
                        </w:pPr>
                        <w:r>
                          <w:rPr>
                            <w:i/>
                            <w:sz w:val="22"/>
                          </w:rPr>
                          <w:t>end example</w:t>
                        </w:r>
                        <w:r>
                          <w:rPr>
                            <w:sz w:val="22"/>
                          </w:rPr>
                          <w:t>]</w:t>
                        </w:r>
                      </w:p>
                    </w:tc>
                  </w:tr>
                  <w:tr>
                    <w:trPr>
                      <w:trHeight w:val="2299" w:hRule="atLeast"/>
                    </w:trPr>
                    <w:tc>
                      <w:tcPr>
                        <w:tcW w:w="5156" w:type="dxa"/>
                      </w:tcPr>
                      <w:p>
                        <w:pPr>
                          <w:pStyle w:val="TableParagraph"/>
                          <w:rPr>
                            <w:sz w:val="22"/>
                          </w:rPr>
                        </w:pPr>
                        <w:r>
                          <w:rPr>
                            <w:rFonts w:ascii="Cambria"/>
                            <w:sz w:val="22"/>
                          </w:rPr>
                          <w:t>dashDotDot </w:t>
                        </w:r>
                        <w:r>
                          <w:rPr>
                            <w:sz w:val="22"/>
                          </w:rPr>
                          <w:t>(Dash Dot Dot)</w:t>
                        </w:r>
                      </w:p>
                    </w:tc>
                    <w:tc>
                      <w:tcPr>
                        <w:tcW w:w="5156" w:type="dxa"/>
                      </w:tcPr>
                      <w:p>
                        <w:pPr>
                          <w:pStyle w:val="TableParagraph"/>
                          <w:spacing w:line="480" w:lineRule="auto" w:after="3"/>
                          <w:ind w:right="1326"/>
                          <w:rPr>
                            <w:sz w:val="22"/>
                          </w:rPr>
                        </w:pPr>
                        <w:r>
                          <w:rPr>
                            <w:sz w:val="22"/>
                          </w:rPr>
                          <w:t>The line style of a border is dash-dot-dot. [</w:t>
                        </w:r>
                        <w:r>
                          <w:rPr>
                            <w:i/>
                            <w:sz w:val="22"/>
                          </w:rPr>
                          <w:t>Example</w:t>
                        </w:r>
                        <w:r>
                          <w:rPr>
                            <w:sz w:val="22"/>
                          </w:rPr>
                          <w:t>:</w:t>
                        </w:r>
                      </w:p>
                      <w:p>
                        <w:pPr>
                          <w:pStyle w:val="TableParagraph"/>
                          <w:spacing w:before="0"/>
                          <w:ind w:left="143"/>
                          <w:rPr>
                            <w:sz w:val="20"/>
                          </w:rPr>
                        </w:pPr>
                        <w:r>
                          <w:rPr>
                            <w:sz w:val="20"/>
                          </w:rPr>
                          <w:drawing>
                            <wp:inline distT="0" distB="0" distL="0" distR="0">
                              <wp:extent cx="810767" cy="381000"/>
                              <wp:effectExtent l="0" t="0" r="0" b="0"/>
                              <wp:docPr id="149" name="image73.png"/>
                              <wp:cNvGraphicFramePr>
                                <a:graphicFrameLocks noChangeAspect="1"/>
                              </wp:cNvGraphicFramePr>
                              <a:graphic>
                                <a:graphicData uri="http://schemas.openxmlformats.org/drawingml/2006/picture">
                                  <pic:pic>
                                    <pic:nvPicPr>
                                      <pic:cNvPr id="150" name="image73.png"/>
                                      <pic:cNvPicPr/>
                                    </pic:nvPicPr>
                                    <pic:blipFill>
                                      <a:blip r:embed="rId285" cstate="print"/>
                                      <a:stretch>
                                        <a:fillRect/>
                                      </a:stretch>
                                    </pic:blipFill>
                                    <pic:spPr>
                                      <a:xfrm>
                                        <a:off x="0" y="0"/>
                                        <a:ext cx="810767" cy="381000"/>
                                      </a:xfrm>
                                      <a:prstGeom prst="rect">
                                        <a:avLst/>
                                      </a:prstGeom>
                                    </pic:spPr>
                                  </pic:pic>
                                </a:graphicData>
                              </a:graphic>
                            </wp:inline>
                          </w:drawing>
                        </w:r>
                        <w:r>
                          <w:rPr>
                            <w:sz w:val="20"/>
                          </w:rPr>
                        </w:r>
                      </w:p>
                      <w:p>
                        <w:pPr>
                          <w:pStyle w:val="TableParagraph"/>
                          <w:spacing w:before="11"/>
                          <w:ind w:left="0"/>
                          <w:rPr>
                            <w:sz w:val="21"/>
                          </w:rPr>
                        </w:pPr>
                      </w:p>
                      <w:p>
                        <w:pPr>
                          <w:pStyle w:val="TableParagraph"/>
                          <w:spacing w:before="0"/>
                          <w:rPr>
                            <w:sz w:val="22"/>
                          </w:rPr>
                        </w:pPr>
                        <w:r>
                          <w:rPr>
                            <w:i/>
                            <w:sz w:val="22"/>
                          </w:rPr>
                          <w:t>end example</w:t>
                        </w:r>
                        <w:r>
                          <w:rPr>
                            <w:sz w:val="22"/>
                          </w:rPr>
                          <w:t>]</w:t>
                        </w:r>
                      </w:p>
                    </w:tc>
                  </w:tr>
                  <w:tr>
                    <w:trPr>
                      <w:trHeight w:val="892" w:hRule="atLeast"/>
                    </w:trPr>
                    <w:tc>
                      <w:tcPr>
                        <w:tcW w:w="5156" w:type="dxa"/>
                      </w:tcPr>
                      <w:p>
                        <w:pPr>
                          <w:pStyle w:val="TableParagraph"/>
                          <w:rPr>
                            <w:sz w:val="22"/>
                          </w:rPr>
                        </w:pPr>
                        <w:r>
                          <w:rPr>
                            <w:rFonts w:ascii="Cambria"/>
                            <w:sz w:val="22"/>
                          </w:rPr>
                          <w:t>dashed </w:t>
                        </w:r>
                        <w:r>
                          <w:rPr>
                            <w:sz w:val="22"/>
                          </w:rPr>
                          <w:t>(Dashed)</w:t>
                        </w:r>
                      </w:p>
                    </w:tc>
                    <w:tc>
                      <w:tcPr>
                        <w:tcW w:w="5156" w:type="dxa"/>
                      </w:tcPr>
                      <w:p>
                        <w:pPr>
                          <w:pStyle w:val="TableParagraph"/>
                          <w:rPr>
                            <w:sz w:val="22"/>
                          </w:rPr>
                        </w:pPr>
                        <w:r>
                          <w:rPr>
                            <w:sz w:val="22"/>
                          </w:rPr>
                          <w:t>The line style of a border is dashed.</w:t>
                        </w:r>
                      </w:p>
                      <w:p>
                        <w:pPr>
                          <w:pStyle w:val="TableParagraph"/>
                          <w:spacing w:before="0"/>
                          <w:ind w:left="0"/>
                          <w:rPr>
                            <w:sz w:val="22"/>
                          </w:rPr>
                        </w:pPr>
                      </w:p>
                      <w:p>
                        <w:pPr>
                          <w:pStyle w:val="TableParagraph"/>
                          <w:spacing w:before="0"/>
                          <w:rPr>
                            <w:sz w:val="22"/>
                          </w:rPr>
                        </w:pPr>
                        <w:r>
                          <w:rPr>
                            <w:sz w:val="22"/>
                          </w:rPr>
                          <w:t>[</w:t>
                        </w:r>
                        <w:r>
                          <w:rPr>
                            <w:i/>
                            <w:sz w:val="22"/>
                          </w:rPr>
                          <w:t>Example</w:t>
                        </w:r>
                        <w:r>
                          <w:rPr>
                            <w:sz w:val="22"/>
                          </w:rPr>
                          <w:t>:</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415" w:hRule="atLeast"/>
        </w:trPr>
        <w:tc>
          <w:tcPr>
            <w:tcW w:w="5156" w:type="dxa"/>
          </w:tcPr>
          <w:p>
            <w:pPr>
              <w:pStyle w:val="TableParagraph"/>
              <w:spacing w:before="0"/>
              <w:ind w:left="0"/>
              <w:rPr>
                <w:rFonts w:ascii="Times New Roman"/>
                <w:sz w:val="22"/>
              </w:rPr>
            </w:pPr>
          </w:p>
        </w:tc>
        <w:tc>
          <w:tcPr>
            <w:tcW w:w="5156" w:type="dxa"/>
          </w:tcPr>
          <w:p>
            <w:pPr>
              <w:pStyle w:val="TableParagraph"/>
              <w:spacing w:before="0" w:after="1"/>
              <w:ind w:left="0"/>
              <w:rPr>
                <w:rFonts w:ascii="Times New Roman"/>
                <w:sz w:val="27"/>
              </w:rPr>
            </w:pPr>
          </w:p>
          <w:p>
            <w:pPr>
              <w:pStyle w:val="TableParagraph"/>
              <w:spacing w:before="0"/>
              <w:ind w:left="143"/>
              <w:rPr>
                <w:rFonts w:ascii="Times New Roman"/>
                <w:sz w:val="20"/>
              </w:rPr>
            </w:pPr>
            <w:r>
              <w:rPr>
                <w:rFonts w:ascii="Times New Roman"/>
                <w:sz w:val="20"/>
              </w:rPr>
              <w:drawing>
                <wp:inline distT="0" distB="0" distL="0" distR="0">
                  <wp:extent cx="810305" cy="333565"/>
                  <wp:effectExtent l="0" t="0" r="0" b="0"/>
                  <wp:docPr id="151" name="image74.png"/>
                  <wp:cNvGraphicFramePr>
                    <a:graphicFrameLocks noChangeAspect="1"/>
                  </wp:cNvGraphicFramePr>
                  <a:graphic>
                    <a:graphicData uri="http://schemas.openxmlformats.org/drawingml/2006/picture">
                      <pic:pic>
                        <pic:nvPicPr>
                          <pic:cNvPr id="152" name="image74.png"/>
                          <pic:cNvPicPr/>
                        </pic:nvPicPr>
                        <pic:blipFill>
                          <a:blip r:embed="rId286" cstate="print"/>
                          <a:stretch>
                            <a:fillRect/>
                          </a:stretch>
                        </pic:blipFill>
                        <pic:spPr>
                          <a:xfrm>
                            <a:off x="0" y="0"/>
                            <a:ext cx="810305" cy="333565"/>
                          </a:xfrm>
                          <a:prstGeom prst="rect">
                            <a:avLst/>
                          </a:prstGeom>
                        </pic:spPr>
                      </pic:pic>
                    </a:graphicData>
                  </a:graphic>
                </wp:inline>
              </w:drawing>
            </w:r>
            <w:r>
              <w:rPr>
                <w:rFonts w:ascii="Times New Roman"/>
                <w:sz w:val="20"/>
              </w:rPr>
            </w:r>
          </w:p>
          <w:p>
            <w:pPr>
              <w:pStyle w:val="TableParagraph"/>
              <w:spacing w:before="10"/>
              <w:ind w:left="0"/>
              <w:rPr>
                <w:rFonts w:ascii="Times New Roman"/>
                <w:sz w:val="22"/>
              </w:rPr>
            </w:pPr>
          </w:p>
          <w:p>
            <w:pPr>
              <w:pStyle w:val="TableParagraph"/>
              <w:spacing w:before="0"/>
              <w:rPr>
                <w:sz w:val="22"/>
              </w:rPr>
            </w:pPr>
            <w:r>
              <w:rPr>
                <w:i/>
                <w:sz w:val="22"/>
              </w:rPr>
              <w:t>end example</w:t>
            </w:r>
            <w:r>
              <w:rPr>
                <w:sz w:val="22"/>
              </w:rPr>
              <w:t>]</w:t>
            </w:r>
          </w:p>
        </w:tc>
      </w:tr>
      <w:tr>
        <w:trPr>
          <w:trHeight w:val="2222" w:hRule="atLeast"/>
        </w:trPr>
        <w:tc>
          <w:tcPr>
            <w:tcW w:w="5156" w:type="dxa"/>
          </w:tcPr>
          <w:p>
            <w:pPr>
              <w:pStyle w:val="TableParagraph"/>
              <w:rPr>
                <w:sz w:val="22"/>
              </w:rPr>
            </w:pPr>
            <w:r>
              <w:rPr>
                <w:rFonts w:ascii="Cambria"/>
                <w:sz w:val="22"/>
              </w:rPr>
              <w:t>dotted </w:t>
            </w:r>
            <w:r>
              <w:rPr>
                <w:sz w:val="22"/>
              </w:rPr>
              <w:t>(Dotted)</w:t>
            </w:r>
          </w:p>
        </w:tc>
        <w:tc>
          <w:tcPr>
            <w:tcW w:w="5156" w:type="dxa"/>
          </w:tcPr>
          <w:p>
            <w:pPr>
              <w:pStyle w:val="TableParagraph"/>
              <w:spacing w:line="480" w:lineRule="auto" w:after="4"/>
              <w:ind w:right="1890"/>
              <w:rPr>
                <w:sz w:val="22"/>
              </w:rPr>
            </w:pPr>
            <w:r>
              <w:rPr>
                <w:sz w:val="22"/>
              </w:rPr>
              <w:t>The line style of a border is dotted.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772226" cy="333565"/>
                  <wp:effectExtent l="0" t="0" r="0" b="0"/>
                  <wp:docPr id="153" name="image75.png"/>
                  <wp:cNvGraphicFramePr>
                    <a:graphicFrameLocks noChangeAspect="1"/>
                  </wp:cNvGraphicFramePr>
                  <a:graphic>
                    <a:graphicData uri="http://schemas.openxmlformats.org/drawingml/2006/picture">
                      <pic:pic>
                        <pic:nvPicPr>
                          <pic:cNvPr id="154" name="image75.png"/>
                          <pic:cNvPicPr/>
                        </pic:nvPicPr>
                        <pic:blipFill>
                          <a:blip r:embed="rId287" cstate="print"/>
                          <a:stretch>
                            <a:fillRect/>
                          </a:stretch>
                        </pic:blipFill>
                        <pic:spPr>
                          <a:xfrm>
                            <a:off x="0" y="0"/>
                            <a:ext cx="772226" cy="333565"/>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1"/>
              <w:rPr>
                <w:sz w:val="22"/>
              </w:rPr>
            </w:pPr>
            <w:r>
              <w:rPr>
                <w:i/>
                <w:sz w:val="22"/>
              </w:rPr>
              <w:t>end example</w:t>
            </w:r>
            <w:r>
              <w:rPr>
                <w:sz w:val="22"/>
              </w:rPr>
              <w:t>]</w:t>
            </w:r>
          </w:p>
        </w:tc>
      </w:tr>
      <w:tr>
        <w:trPr>
          <w:trHeight w:val="2313" w:hRule="atLeast"/>
        </w:trPr>
        <w:tc>
          <w:tcPr>
            <w:tcW w:w="5156" w:type="dxa"/>
          </w:tcPr>
          <w:p>
            <w:pPr>
              <w:pStyle w:val="TableParagraph"/>
              <w:rPr>
                <w:sz w:val="22"/>
              </w:rPr>
            </w:pPr>
            <w:r>
              <w:rPr>
                <w:rFonts w:ascii="Cambria"/>
                <w:sz w:val="22"/>
              </w:rPr>
              <w:t>double </w:t>
            </w:r>
            <w:r>
              <w:rPr>
                <w:sz w:val="22"/>
              </w:rPr>
              <w:t>(Double Line)</w:t>
            </w:r>
          </w:p>
        </w:tc>
        <w:tc>
          <w:tcPr>
            <w:tcW w:w="5156" w:type="dxa"/>
          </w:tcPr>
          <w:p>
            <w:pPr>
              <w:pStyle w:val="TableParagraph"/>
              <w:spacing w:line="480" w:lineRule="auto" w:after="3"/>
              <w:ind w:right="1496"/>
              <w:rPr>
                <w:sz w:val="22"/>
              </w:rPr>
            </w:pPr>
            <w:r>
              <w:rPr>
                <w:sz w:val="22"/>
              </w:rPr>
              <w:t>The line style of a border is double line.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20712" cy="390525"/>
                  <wp:effectExtent l="0" t="0" r="0" b="0"/>
                  <wp:docPr id="155" name="image76.png"/>
                  <wp:cNvGraphicFramePr>
                    <a:graphicFrameLocks noChangeAspect="1"/>
                  </wp:cNvGraphicFramePr>
                  <a:graphic>
                    <a:graphicData uri="http://schemas.openxmlformats.org/drawingml/2006/picture">
                      <pic:pic>
                        <pic:nvPicPr>
                          <pic:cNvPr id="156" name="image76.png"/>
                          <pic:cNvPicPr/>
                        </pic:nvPicPr>
                        <pic:blipFill>
                          <a:blip r:embed="rId288" cstate="print"/>
                          <a:stretch>
                            <a:fillRect/>
                          </a:stretch>
                        </pic:blipFill>
                        <pic:spPr>
                          <a:xfrm>
                            <a:off x="0" y="0"/>
                            <a:ext cx="820712" cy="390525"/>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tc>
      </w:tr>
      <w:tr>
        <w:trPr>
          <w:trHeight w:val="2253" w:hRule="atLeast"/>
        </w:trPr>
        <w:tc>
          <w:tcPr>
            <w:tcW w:w="5156" w:type="dxa"/>
          </w:tcPr>
          <w:p>
            <w:pPr>
              <w:pStyle w:val="TableParagraph"/>
              <w:rPr>
                <w:sz w:val="22"/>
              </w:rPr>
            </w:pPr>
            <w:r>
              <w:rPr>
                <w:rFonts w:ascii="Cambria"/>
                <w:sz w:val="22"/>
              </w:rPr>
              <w:t>hair </w:t>
            </w:r>
            <w:r>
              <w:rPr>
                <w:sz w:val="22"/>
              </w:rPr>
              <w:t>(Hairline Border)</w:t>
            </w:r>
          </w:p>
        </w:tc>
        <w:tc>
          <w:tcPr>
            <w:tcW w:w="5156" w:type="dxa"/>
          </w:tcPr>
          <w:p>
            <w:pPr>
              <w:pStyle w:val="TableParagraph"/>
              <w:spacing w:line="480" w:lineRule="auto" w:after="3"/>
              <w:ind w:right="1820"/>
              <w:rPr>
                <w:sz w:val="22"/>
              </w:rPr>
            </w:pPr>
            <w:r>
              <w:rPr>
                <w:sz w:val="22"/>
              </w:rPr>
              <w:t>The line style of a border is hairline.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791812" cy="352425"/>
                  <wp:effectExtent l="0" t="0" r="0" b="0"/>
                  <wp:docPr id="157" name="image77.png"/>
                  <wp:cNvGraphicFramePr>
                    <a:graphicFrameLocks noChangeAspect="1"/>
                  </wp:cNvGraphicFramePr>
                  <a:graphic>
                    <a:graphicData uri="http://schemas.openxmlformats.org/drawingml/2006/picture">
                      <pic:pic>
                        <pic:nvPicPr>
                          <pic:cNvPr id="158" name="image77.png"/>
                          <pic:cNvPicPr/>
                        </pic:nvPicPr>
                        <pic:blipFill>
                          <a:blip r:embed="rId289" cstate="print"/>
                          <a:stretch>
                            <a:fillRect/>
                          </a:stretch>
                        </pic:blipFill>
                        <pic:spPr>
                          <a:xfrm>
                            <a:off x="0" y="0"/>
                            <a:ext cx="791812" cy="352425"/>
                          </a:xfrm>
                          <a:prstGeom prst="rect">
                            <a:avLst/>
                          </a:prstGeom>
                        </pic:spPr>
                      </pic:pic>
                    </a:graphicData>
                  </a:graphic>
                </wp:inline>
              </w:drawing>
            </w:r>
            <w:r>
              <w:rPr>
                <w:rFonts w:ascii="Times New Roman"/>
                <w:sz w:val="20"/>
              </w:rPr>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tc>
      </w:tr>
      <w:tr>
        <w:trPr>
          <w:trHeight w:val="2311" w:hRule="atLeast"/>
        </w:trPr>
        <w:tc>
          <w:tcPr>
            <w:tcW w:w="5156" w:type="dxa"/>
          </w:tcPr>
          <w:p>
            <w:pPr>
              <w:pStyle w:val="TableParagraph"/>
              <w:rPr>
                <w:sz w:val="22"/>
              </w:rPr>
            </w:pPr>
            <w:r>
              <w:rPr>
                <w:rFonts w:ascii="Cambria"/>
                <w:sz w:val="22"/>
              </w:rPr>
              <w:t>medium </w:t>
            </w:r>
            <w:r>
              <w:rPr>
                <w:sz w:val="22"/>
              </w:rPr>
              <w:t>(Medium Border)</w:t>
            </w:r>
          </w:p>
        </w:tc>
        <w:tc>
          <w:tcPr>
            <w:tcW w:w="5156" w:type="dxa"/>
          </w:tcPr>
          <w:p>
            <w:pPr>
              <w:pStyle w:val="TableParagraph"/>
              <w:spacing w:line="480" w:lineRule="auto"/>
              <w:ind w:right="1752"/>
              <w:rPr>
                <w:sz w:val="22"/>
              </w:rPr>
            </w:pPr>
            <w:r>
              <w:rPr>
                <w:sz w:val="22"/>
              </w:rPr>
              <w:t>The line style of a border is medium.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26636" cy="390525"/>
                  <wp:effectExtent l="0" t="0" r="0" b="0"/>
                  <wp:docPr id="159" name="image78.png"/>
                  <wp:cNvGraphicFramePr>
                    <a:graphicFrameLocks noChangeAspect="1"/>
                  </wp:cNvGraphicFramePr>
                  <a:graphic>
                    <a:graphicData uri="http://schemas.openxmlformats.org/drawingml/2006/picture">
                      <pic:pic>
                        <pic:nvPicPr>
                          <pic:cNvPr id="160" name="image78.png"/>
                          <pic:cNvPicPr/>
                        </pic:nvPicPr>
                        <pic:blipFill>
                          <a:blip r:embed="rId290" cstate="print"/>
                          <a:stretch>
                            <a:fillRect/>
                          </a:stretch>
                        </pic:blipFill>
                        <pic:spPr>
                          <a:xfrm>
                            <a:off x="0" y="0"/>
                            <a:ext cx="826636" cy="390525"/>
                          </a:xfrm>
                          <a:prstGeom prst="rect">
                            <a:avLst/>
                          </a:prstGeom>
                        </pic:spPr>
                      </pic:pic>
                    </a:graphicData>
                  </a:graphic>
                </wp:inline>
              </w:drawing>
            </w:r>
            <w:r>
              <w:rPr>
                <w:rFonts w:ascii="Times New Roman"/>
                <w:sz w:val="20"/>
              </w:rPr>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tc>
      </w:tr>
      <w:tr>
        <w:trPr>
          <w:trHeight w:val="1746" w:hRule="atLeast"/>
        </w:trPr>
        <w:tc>
          <w:tcPr>
            <w:tcW w:w="5156" w:type="dxa"/>
          </w:tcPr>
          <w:p>
            <w:pPr>
              <w:pStyle w:val="TableParagraph"/>
              <w:rPr>
                <w:sz w:val="22"/>
              </w:rPr>
            </w:pPr>
            <w:r>
              <w:rPr>
                <w:rFonts w:ascii="Cambria"/>
                <w:sz w:val="22"/>
              </w:rPr>
              <w:t>mediumDashDot </w:t>
            </w:r>
            <w:r>
              <w:rPr>
                <w:sz w:val="22"/>
              </w:rPr>
              <w:t>(Medium Dash Dot)</w:t>
            </w:r>
          </w:p>
        </w:tc>
        <w:tc>
          <w:tcPr>
            <w:tcW w:w="5156" w:type="dxa"/>
          </w:tcPr>
          <w:p>
            <w:pPr>
              <w:pStyle w:val="TableParagraph"/>
              <w:spacing w:line="480" w:lineRule="auto"/>
              <w:ind w:right="907"/>
              <w:rPr>
                <w:sz w:val="22"/>
              </w:rPr>
            </w:pPr>
            <w:r>
              <w:rPr>
                <w:sz w:val="22"/>
              </w:rPr>
              <w:t>The line style of a border is medium dash-dot.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09937" cy="371475"/>
                  <wp:effectExtent l="0" t="0" r="0" b="0"/>
                  <wp:docPr id="161" name="image79.png"/>
                  <wp:cNvGraphicFramePr>
                    <a:graphicFrameLocks noChangeAspect="1"/>
                  </wp:cNvGraphicFramePr>
                  <a:graphic>
                    <a:graphicData uri="http://schemas.openxmlformats.org/drawingml/2006/picture">
                      <pic:pic>
                        <pic:nvPicPr>
                          <pic:cNvPr id="162" name="image79.png"/>
                          <pic:cNvPicPr/>
                        </pic:nvPicPr>
                        <pic:blipFill>
                          <a:blip r:embed="rId291" cstate="print"/>
                          <a:stretch>
                            <a:fillRect/>
                          </a:stretch>
                        </pic:blipFill>
                        <pic:spPr>
                          <a:xfrm>
                            <a:off x="0" y="0"/>
                            <a:ext cx="809937" cy="371475"/>
                          </a:xfrm>
                          <a:prstGeom prst="rect">
                            <a:avLst/>
                          </a:prstGeom>
                        </pic:spPr>
                      </pic:pic>
                    </a:graphicData>
                  </a:graphic>
                </wp:inline>
              </w:drawing>
            </w:r>
            <w:r>
              <w:rPr>
                <w:rFonts w:ascii="Times New Roman"/>
                <w:sz w:val="20"/>
              </w:rPr>
            </w:r>
          </w:p>
        </w:tc>
      </w:tr>
    </w:tbl>
    <w:p>
      <w:pPr>
        <w:spacing w:after="0"/>
        <w:rPr>
          <w:rFonts w:ascii="Times New Roman"/>
          <w:sz w:val="20"/>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spacing w:before="0"/>
              <w:ind w:left="0"/>
              <w:rPr>
                <w:rFonts w:ascii="Times New Roman"/>
                <w:sz w:val="22"/>
              </w:rPr>
            </w:pPr>
          </w:p>
        </w:tc>
        <w:tc>
          <w:tcPr>
            <w:tcW w:w="5156" w:type="dxa"/>
          </w:tcPr>
          <w:p>
            <w:pPr>
              <w:pStyle w:val="TableParagraph"/>
              <w:spacing w:before="9"/>
              <w:ind w:left="0"/>
              <w:rPr>
                <w:rFonts w:ascii="Times New Roman"/>
                <w:sz w:val="26"/>
              </w:rPr>
            </w:pPr>
          </w:p>
          <w:p>
            <w:pPr>
              <w:pStyle w:val="TableParagraph"/>
              <w:spacing w:before="0"/>
              <w:rPr>
                <w:sz w:val="22"/>
              </w:rPr>
            </w:pPr>
            <w:r>
              <w:rPr>
                <w:i/>
                <w:sz w:val="22"/>
              </w:rPr>
              <w:t>end example</w:t>
            </w:r>
            <w:r>
              <w:rPr>
                <w:sz w:val="22"/>
              </w:rPr>
              <w:t>]</w:t>
            </w:r>
          </w:p>
        </w:tc>
      </w:tr>
      <w:tr>
        <w:trPr>
          <w:trHeight w:val="2236" w:hRule="atLeast"/>
        </w:trPr>
        <w:tc>
          <w:tcPr>
            <w:tcW w:w="5156" w:type="dxa"/>
          </w:tcPr>
          <w:p>
            <w:pPr>
              <w:pStyle w:val="TableParagraph"/>
              <w:rPr>
                <w:sz w:val="22"/>
              </w:rPr>
            </w:pPr>
            <w:r>
              <w:rPr>
                <w:rFonts w:ascii="Cambria"/>
                <w:sz w:val="22"/>
              </w:rPr>
              <w:t>mediumDashDotDot </w:t>
            </w:r>
            <w:r>
              <w:rPr>
                <w:sz w:val="22"/>
              </w:rPr>
              <w:t>(Medium Dash Dot Dot)</w:t>
            </w:r>
          </w:p>
        </w:tc>
        <w:tc>
          <w:tcPr>
            <w:tcW w:w="5156" w:type="dxa"/>
          </w:tcPr>
          <w:p>
            <w:pPr>
              <w:pStyle w:val="TableParagraph"/>
              <w:spacing w:line="480" w:lineRule="auto"/>
              <w:ind w:right="534"/>
              <w:rPr>
                <w:sz w:val="22"/>
              </w:rPr>
            </w:pPr>
            <w:r>
              <w:rPr>
                <w:sz w:val="22"/>
              </w:rPr>
              <w:t>The line style of a border is medium dash-dot-dot.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19912" cy="342900"/>
                  <wp:effectExtent l="0" t="0" r="0" b="0"/>
                  <wp:docPr id="163" name="image80.png"/>
                  <wp:cNvGraphicFramePr>
                    <a:graphicFrameLocks noChangeAspect="1"/>
                  </wp:cNvGraphicFramePr>
                  <a:graphic>
                    <a:graphicData uri="http://schemas.openxmlformats.org/drawingml/2006/picture">
                      <pic:pic>
                        <pic:nvPicPr>
                          <pic:cNvPr id="164" name="image80.png"/>
                          <pic:cNvPicPr/>
                        </pic:nvPicPr>
                        <pic:blipFill>
                          <a:blip r:embed="rId292" cstate="print"/>
                          <a:stretch>
                            <a:fillRect/>
                          </a:stretch>
                        </pic:blipFill>
                        <pic:spPr>
                          <a:xfrm>
                            <a:off x="0" y="0"/>
                            <a:ext cx="819912" cy="342900"/>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tc>
      </w:tr>
      <w:tr>
        <w:trPr>
          <w:trHeight w:val="2268" w:hRule="atLeast"/>
        </w:trPr>
        <w:tc>
          <w:tcPr>
            <w:tcW w:w="5156" w:type="dxa"/>
          </w:tcPr>
          <w:p>
            <w:pPr>
              <w:pStyle w:val="TableParagraph"/>
              <w:rPr>
                <w:sz w:val="22"/>
              </w:rPr>
            </w:pPr>
            <w:r>
              <w:rPr>
                <w:rFonts w:ascii="Cambria"/>
                <w:sz w:val="22"/>
              </w:rPr>
              <w:t>mediumDashed </w:t>
            </w:r>
            <w:r>
              <w:rPr>
                <w:sz w:val="22"/>
              </w:rPr>
              <w:t>(Medium Dashed)</w:t>
            </w:r>
          </w:p>
        </w:tc>
        <w:tc>
          <w:tcPr>
            <w:tcW w:w="5156" w:type="dxa"/>
          </w:tcPr>
          <w:p>
            <w:pPr>
              <w:pStyle w:val="TableParagraph"/>
              <w:spacing w:line="480" w:lineRule="auto" w:after="4"/>
              <w:ind w:right="1054"/>
              <w:rPr>
                <w:sz w:val="22"/>
              </w:rPr>
            </w:pPr>
            <w:r>
              <w:rPr>
                <w:sz w:val="22"/>
              </w:rPr>
              <w:t>The line style of a border is medium dashed.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12478" cy="361950"/>
                  <wp:effectExtent l="0" t="0" r="0" b="0"/>
                  <wp:docPr id="165" name="image81.png"/>
                  <wp:cNvGraphicFramePr>
                    <a:graphicFrameLocks noChangeAspect="1"/>
                  </wp:cNvGraphicFramePr>
                  <a:graphic>
                    <a:graphicData uri="http://schemas.openxmlformats.org/drawingml/2006/picture">
                      <pic:pic>
                        <pic:nvPicPr>
                          <pic:cNvPr id="166" name="image81.png"/>
                          <pic:cNvPicPr/>
                        </pic:nvPicPr>
                        <pic:blipFill>
                          <a:blip r:embed="rId293" cstate="print"/>
                          <a:stretch>
                            <a:fillRect/>
                          </a:stretch>
                        </pic:blipFill>
                        <pic:spPr>
                          <a:xfrm>
                            <a:off x="0" y="0"/>
                            <a:ext cx="812478" cy="361950"/>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tc>
      </w:tr>
      <w:tr>
        <w:trPr>
          <w:trHeight w:val="2296"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spacing w:line="480" w:lineRule="auto" w:after="3"/>
              <w:ind w:right="351"/>
              <w:rPr>
                <w:sz w:val="22"/>
              </w:rPr>
            </w:pPr>
            <w:r>
              <w:rPr>
                <w:sz w:val="22"/>
              </w:rPr>
              <w:t>The line style of a border is none (no border visible).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67156" cy="381000"/>
                  <wp:effectExtent l="0" t="0" r="0" b="0"/>
                  <wp:docPr id="167" name="image82.png"/>
                  <wp:cNvGraphicFramePr>
                    <a:graphicFrameLocks noChangeAspect="1"/>
                  </wp:cNvGraphicFramePr>
                  <a:graphic>
                    <a:graphicData uri="http://schemas.openxmlformats.org/drawingml/2006/picture">
                      <pic:pic>
                        <pic:nvPicPr>
                          <pic:cNvPr id="168" name="image82.png"/>
                          <pic:cNvPicPr/>
                        </pic:nvPicPr>
                        <pic:blipFill>
                          <a:blip r:embed="rId294" cstate="print"/>
                          <a:stretch>
                            <a:fillRect/>
                          </a:stretch>
                        </pic:blipFill>
                        <pic:spPr>
                          <a:xfrm>
                            <a:off x="0" y="0"/>
                            <a:ext cx="867156" cy="381000"/>
                          </a:xfrm>
                          <a:prstGeom prst="rect">
                            <a:avLst/>
                          </a:prstGeom>
                        </pic:spPr>
                      </pic:pic>
                    </a:graphicData>
                  </a:graphic>
                </wp:inline>
              </w:drawing>
            </w:r>
            <w:r>
              <w:rPr>
                <w:rFonts w:ascii="Times New Roman"/>
                <w:sz w:val="20"/>
              </w:rPr>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tc>
      </w:tr>
      <w:tr>
        <w:trPr>
          <w:trHeight w:val="2298" w:hRule="atLeast"/>
        </w:trPr>
        <w:tc>
          <w:tcPr>
            <w:tcW w:w="5156" w:type="dxa"/>
          </w:tcPr>
          <w:p>
            <w:pPr>
              <w:pStyle w:val="TableParagraph"/>
              <w:rPr>
                <w:sz w:val="22"/>
              </w:rPr>
            </w:pPr>
            <w:r>
              <w:rPr>
                <w:rFonts w:ascii="Cambria"/>
                <w:sz w:val="22"/>
              </w:rPr>
              <w:t>slantDashDot </w:t>
            </w:r>
            <w:r>
              <w:rPr>
                <w:sz w:val="22"/>
              </w:rPr>
              <w:t>(Slant Dash Dot)</w:t>
            </w:r>
          </w:p>
        </w:tc>
        <w:tc>
          <w:tcPr>
            <w:tcW w:w="5156" w:type="dxa"/>
          </w:tcPr>
          <w:p>
            <w:pPr>
              <w:pStyle w:val="TableParagraph"/>
              <w:spacing w:line="480" w:lineRule="auto" w:after="3"/>
              <w:ind w:right="1200"/>
              <w:rPr>
                <w:sz w:val="22"/>
              </w:rPr>
            </w:pPr>
            <w:r>
              <w:rPr>
                <w:sz w:val="22"/>
              </w:rPr>
              <w:t>The line style of a border is slant-dash-dot.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19912" cy="381000"/>
                  <wp:effectExtent l="0" t="0" r="0" b="0"/>
                  <wp:docPr id="169" name="image83.png"/>
                  <wp:cNvGraphicFramePr>
                    <a:graphicFrameLocks noChangeAspect="1"/>
                  </wp:cNvGraphicFramePr>
                  <a:graphic>
                    <a:graphicData uri="http://schemas.openxmlformats.org/drawingml/2006/picture">
                      <pic:pic>
                        <pic:nvPicPr>
                          <pic:cNvPr id="170" name="image83.png"/>
                          <pic:cNvPicPr/>
                        </pic:nvPicPr>
                        <pic:blipFill>
                          <a:blip r:embed="rId295" cstate="print"/>
                          <a:stretch>
                            <a:fillRect/>
                          </a:stretch>
                        </pic:blipFill>
                        <pic:spPr>
                          <a:xfrm>
                            <a:off x="0" y="0"/>
                            <a:ext cx="819912" cy="381000"/>
                          </a:xfrm>
                          <a:prstGeom prst="rect">
                            <a:avLst/>
                          </a:prstGeom>
                        </pic:spPr>
                      </pic:pic>
                    </a:graphicData>
                  </a:graphic>
                </wp:inline>
              </w:drawing>
            </w:r>
            <w:r>
              <w:rPr>
                <w:rFonts w:ascii="Times New Roman"/>
                <w:sz w:val="20"/>
              </w:rPr>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tc>
      </w:tr>
      <w:tr>
        <w:trPr>
          <w:trHeight w:val="2282" w:hRule="atLeast"/>
        </w:trPr>
        <w:tc>
          <w:tcPr>
            <w:tcW w:w="5156" w:type="dxa"/>
          </w:tcPr>
          <w:p>
            <w:pPr>
              <w:pStyle w:val="TableParagraph"/>
              <w:rPr>
                <w:sz w:val="22"/>
              </w:rPr>
            </w:pPr>
            <w:r>
              <w:rPr>
                <w:rFonts w:ascii="Cambria"/>
                <w:sz w:val="22"/>
              </w:rPr>
              <w:t>thick </w:t>
            </w:r>
            <w:r>
              <w:rPr>
                <w:sz w:val="22"/>
              </w:rPr>
              <w:t>(Thick Line Border)</w:t>
            </w:r>
          </w:p>
        </w:tc>
        <w:tc>
          <w:tcPr>
            <w:tcW w:w="5156" w:type="dxa"/>
          </w:tcPr>
          <w:p>
            <w:pPr>
              <w:pStyle w:val="TableParagraph"/>
              <w:spacing w:line="480" w:lineRule="auto"/>
              <w:ind w:right="1964"/>
              <w:rPr>
                <w:sz w:val="22"/>
              </w:rPr>
            </w:pPr>
            <w:r>
              <w:rPr>
                <w:sz w:val="22"/>
              </w:rPr>
              <w:t>The line style of a border is 'thick'.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847998" cy="371475"/>
                  <wp:effectExtent l="0" t="0" r="0" b="0"/>
                  <wp:docPr id="171" name="image84.png"/>
                  <wp:cNvGraphicFramePr>
                    <a:graphicFrameLocks noChangeAspect="1"/>
                  </wp:cNvGraphicFramePr>
                  <a:graphic>
                    <a:graphicData uri="http://schemas.openxmlformats.org/drawingml/2006/picture">
                      <pic:pic>
                        <pic:nvPicPr>
                          <pic:cNvPr id="172" name="image84.png"/>
                          <pic:cNvPicPr/>
                        </pic:nvPicPr>
                        <pic:blipFill>
                          <a:blip r:embed="rId296" cstate="print"/>
                          <a:stretch>
                            <a:fillRect/>
                          </a:stretch>
                        </pic:blipFill>
                        <pic:spPr>
                          <a:xfrm>
                            <a:off x="0" y="0"/>
                            <a:ext cx="847998" cy="371475"/>
                          </a:xfrm>
                          <a:prstGeom prst="rect">
                            <a:avLst/>
                          </a:prstGeom>
                        </pic:spPr>
                      </pic:pic>
                    </a:graphicData>
                  </a:graphic>
                </wp:inline>
              </w:drawing>
            </w:r>
            <w:r>
              <w:rPr>
                <w:rFonts w:ascii="Times New Roman"/>
                <w:sz w:val="20"/>
              </w:rPr>
            </w:r>
          </w:p>
          <w:p>
            <w:pPr>
              <w:pStyle w:val="TableParagraph"/>
              <w:spacing w:before="3"/>
              <w:ind w:left="0"/>
              <w:rPr>
                <w:rFonts w:ascii="Times New Roman"/>
                <w:sz w:val="23"/>
              </w:rPr>
            </w:pPr>
          </w:p>
          <w:p>
            <w:pPr>
              <w:pStyle w:val="TableParagraph"/>
              <w:spacing w:before="1"/>
              <w:rPr>
                <w:sz w:val="22"/>
              </w:rPr>
            </w:pPr>
            <w:r>
              <w:rPr>
                <w:i/>
                <w:sz w:val="22"/>
              </w:rPr>
              <w:t>end example</w:t>
            </w:r>
            <w:r>
              <w:rPr>
                <w:sz w:val="22"/>
              </w:rPr>
              <w:t>]</w:t>
            </w:r>
          </w:p>
        </w:tc>
      </w:tr>
      <w:tr>
        <w:trPr>
          <w:trHeight w:val="354" w:hRule="atLeast"/>
        </w:trPr>
        <w:tc>
          <w:tcPr>
            <w:tcW w:w="5156" w:type="dxa"/>
          </w:tcPr>
          <w:p>
            <w:pPr>
              <w:pStyle w:val="TableParagraph"/>
              <w:rPr>
                <w:sz w:val="22"/>
              </w:rPr>
            </w:pPr>
            <w:r>
              <w:rPr>
                <w:rFonts w:ascii="Cambria"/>
                <w:sz w:val="22"/>
              </w:rPr>
              <w:t>thin </w:t>
            </w:r>
            <w:r>
              <w:rPr>
                <w:sz w:val="22"/>
              </w:rPr>
              <w:t>(Thin Border)</w:t>
            </w:r>
          </w:p>
        </w:tc>
        <w:tc>
          <w:tcPr>
            <w:tcW w:w="5156" w:type="dxa"/>
          </w:tcPr>
          <w:p>
            <w:pPr>
              <w:pStyle w:val="TableParagraph"/>
              <w:rPr>
                <w:sz w:val="22"/>
              </w:rPr>
            </w:pPr>
            <w:r>
              <w:rPr>
                <w:sz w:val="22"/>
              </w:rPr>
              <w:t>The line style of a border is thin.</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2027" w:hRule="atLeast"/>
        </w:trPr>
        <w:tc>
          <w:tcPr>
            <w:tcW w:w="5156" w:type="dxa"/>
          </w:tcPr>
          <w:p>
            <w:pPr>
              <w:pStyle w:val="TableParagraph"/>
              <w:spacing w:before="0"/>
              <w:ind w:left="0"/>
              <w:rPr>
                <w:rFonts w:ascii="Times New Roman"/>
                <w:sz w:val="22"/>
              </w:rPr>
            </w:pPr>
          </w:p>
        </w:tc>
        <w:tc>
          <w:tcPr>
            <w:tcW w:w="5156" w:type="dxa"/>
          </w:tcPr>
          <w:p>
            <w:pPr>
              <w:pStyle w:val="TableParagraph"/>
              <w:spacing w:before="9"/>
              <w:ind w:left="0"/>
              <w:rPr>
                <w:rFonts w:ascii="Times New Roman"/>
                <w:sz w:val="26"/>
              </w:rPr>
            </w:pPr>
          </w:p>
          <w:p>
            <w:pPr>
              <w:pStyle w:val="TableParagraph"/>
              <w:spacing w:before="0"/>
              <w:rPr>
                <w:sz w:val="22"/>
              </w:rPr>
            </w:pPr>
            <w:r>
              <w:rPr>
                <w:sz w:val="22"/>
              </w:rPr>
              <w:t>[</w:t>
            </w:r>
            <w:r>
              <w:rPr>
                <w:i/>
                <w:sz w:val="22"/>
              </w:rPr>
              <w:t>Example</w:t>
            </w:r>
            <w:r>
              <w:rPr>
                <w:sz w:val="22"/>
              </w:rPr>
              <w:t>:</w:t>
            </w:r>
          </w:p>
          <w:p>
            <w:pPr>
              <w:pStyle w:val="TableParagraph"/>
              <w:spacing w:before="8"/>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810767" cy="381000"/>
                  <wp:effectExtent l="0" t="0" r="0" b="0"/>
                  <wp:docPr id="173" name="image85.png"/>
                  <wp:cNvGraphicFramePr>
                    <a:graphicFrameLocks noChangeAspect="1"/>
                  </wp:cNvGraphicFramePr>
                  <a:graphic>
                    <a:graphicData uri="http://schemas.openxmlformats.org/drawingml/2006/picture">
                      <pic:pic>
                        <pic:nvPicPr>
                          <pic:cNvPr id="174" name="image85.png"/>
                          <pic:cNvPicPr/>
                        </pic:nvPicPr>
                        <pic:blipFill>
                          <a:blip r:embed="rId297" cstate="print"/>
                          <a:stretch>
                            <a:fillRect/>
                          </a:stretch>
                        </pic:blipFill>
                        <pic:spPr>
                          <a:xfrm>
                            <a:off x="0" y="0"/>
                            <a:ext cx="810767" cy="381000"/>
                          </a:xfrm>
                          <a:prstGeom prst="rect">
                            <a:avLst/>
                          </a:prstGeom>
                        </pic:spPr>
                      </pic:pic>
                    </a:graphicData>
                  </a:graphic>
                </wp:inline>
              </w:drawing>
            </w:r>
            <w:r>
              <w:rPr>
                <w:rFonts w:ascii="Times New Roman"/>
                <w:sz w:val="20"/>
              </w:rPr>
            </w:r>
          </w:p>
          <w:p>
            <w:pPr>
              <w:pStyle w:val="TableParagraph"/>
              <w:spacing w:before="10"/>
              <w:ind w:left="0"/>
              <w:rPr>
                <w:rFonts w:ascii="Times New Roman"/>
                <w:sz w:val="22"/>
              </w:rPr>
            </w:pPr>
          </w:p>
          <w:p>
            <w:pPr>
              <w:pStyle w:val="TableParagraph"/>
              <w:spacing w:before="0"/>
              <w:rPr>
                <w:sz w:val="22"/>
              </w:rPr>
            </w:pPr>
            <w:r>
              <w:rPr>
                <w:i/>
                <w:sz w:val="22"/>
              </w:rPr>
              <w:t>end example</w:t>
            </w:r>
            <w:r>
              <w:rPr>
                <w:sz w:val="22"/>
              </w:rPr>
              <w:t>]</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simple type’s content model (</w:t>
      </w:r>
      <w:r>
        <w:rPr>
          <w:color w:val="5F5F5F"/>
          <w:u w:val="single" w:color="5F5F5F"/>
        </w:rPr>
        <w:t>ST_BorderStyle</w:t>
      </w:r>
      <w:r>
        <w:rPr/>
        <w:t>) is located in §A.2.</w:t>
      </w:r>
    </w:p>
    <w:p>
      <w:pPr>
        <w:spacing w:before="43"/>
        <w:ind w:left="220" w:right="0" w:firstLine="0"/>
        <w:jc w:val="left"/>
        <w:rPr>
          <w:sz w:val="22"/>
        </w:rPr>
      </w:pPr>
      <w:r>
        <w:rPr>
          <w:i/>
          <w:sz w:val="22"/>
        </w:rPr>
        <w:t>end note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8.4 ST_CalcMode (Calculation Mode)" w:id="2477"/>
      <w:bookmarkEnd w:id="2477"/>
      <w:r>
        <w:rPr>
          <w:b w:val="0"/>
        </w:rPr>
      </w:r>
      <w:bookmarkStart w:name="_bookmark826" w:id="2478"/>
      <w:bookmarkEnd w:id="2478"/>
      <w:r>
        <w:rPr>
          <w:b w:val="0"/>
        </w:rPr>
      </w:r>
      <w:bookmarkStart w:name="_bookmark826" w:id="2479"/>
      <w:bookmarkEnd w:id="2479"/>
      <w:r>
        <w:rPr>
          <w:color w:val="4F81BC"/>
        </w:rPr>
        <w:t>S</w:t>
      </w:r>
      <w:r>
        <w:rPr>
          <w:color w:val="4F81BC"/>
        </w:rPr>
        <w:t>T_CalcMode (Calculation</w:t>
      </w:r>
      <w:r>
        <w:rPr>
          <w:color w:val="4F81BC"/>
          <w:spacing w:val="-1"/>
        </w:rPr>
        <w:t> </w:t>
      </w:r>
      <w:r>
        <w:rPr>
          <w:color w:val="4F81BC"/>
        </w:rPr>
        <w:t>Mode)</w:t>
      </w:r>
    </w:p>
    <w:p>
      <w:pPr>
        <w:pStyle w:val="BodyText"/>
        <w:spacing w:line="453" w:lineRule="auto" w:before="127"/>
        <w:ind w:left="220" w:right="2111"/>
      </w:pPr>
      <w:r>
        <w:rPr/>
        <w:t>This simple type defines the supported modes for performing calculations on workbook data. This simple type's contents are a restriction of the W3C XML Schema </w:t>
      </w:r>
      <w:r>
        <w:rPr>
          <w:rFonts w:ascii="Cambria"/>
        </w:rPr>
        <w:t>string </w:t>
      </w:r>
      <w:r>
        <w:rPr/>
        <w:t>datatype.</w:t>
      </w:r>
    </w:p>
    <w:p>
      <w:pPr>
        <w:pStyle w:val="BodyText"/>
        <w:spacing w:before="40"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428" w:hRule="atLeast"/>
        </w:trPr>
        <w:tc>
          <w:tcPr>
            <w:tcW w:w="5156" w:type="dxa"/>
          </w:tcPr>
          <w:p>
            <w:pPr>
              <w:pStyle w:val="TableParagraph"/>
              <w:rPr>
                <w:sz w:val="22"/>
              </w:rPr>
            </w:pPr>
            <w:r>
              <w:rPr>
                <w:rFonts w:ascii="Cambria"/>
                <w:sz w:val="22"/>
              </w:rPr>
              <w:t>auto </w:t>
            </w:r>
            <w:r>
              <w:rPr>
                <w:sz w:val="22"/>
              </w:rPr>
              <w:t>(Automatic)</w:t>
            </w:r>
          </w:p>
        </w:tc>
        <w:tc>
          <w:tcPr>
            <w:tcW w:w="5156" w:type="dxa"/>
          </w:tcPr>
          <w:p>
            <w:pPr>
              <w:pStyle w:val="TableParagraph"/>
              <w:ind w:right="121"/>
              <w:rPr>
                <w:sz w:val="22"/>
              </w:rPr>
            </w:pPr>
            <w:r>
              <w:rPr>
                <w:sz w:val="22"/>
              </w:rPr>
              <w:t>Indicates that calculations in the workbook are performed automatically when cell values change. The application recalculates those cells that are dependent on other cells that contain changed values. This mode of calculation helps to avoid unnecessary calculations.</w:t>
            </w:r>
          </w:p>
        </w:tc>
      </w:tr>
      <w:tr>
        <w:trPr>
          <w:trHeight w:val="623" w:hRule="atLeast"/>
        </w:trPr>
        <w:tc>
          <w:tcPr>
            <w:tcW w:w="5156" w:type="dxa"/>
          </w:tcPr>
          <w:p>
            <w:pPr>
              <w:pStyle w:val="TableParagraph"/>
              <w:rPr>
                <w:sz w:val="22"/>
              </w:rPr>
            </w:pPr>
            <w:r>
              <w:rPr>
                <w:rFonts w:ascii="Cambria"/>
                <w:sz w:val="22"/>
              </w:rPr>
              <w:t>autoNoTable </w:t>
            </w:r>
            <w:r>
              <w:rPr>
                <w:sz w:val="22"/>
              </w:rPr>
              <w:t>(Automatic Calculation (No Tables))</w:t>
            </w:r>
          </w:p>
        </w:tc>
        <w:tc>
          <w:tcPr>
            <w:tcW w:w="5156" w:type="dxa"/>
          </w:tcPr>
          <w:p>
            <w:pPr>
              <w:pStyle w:val="TableParagraph"/>
              <w:ind w:right="900"/>
              <w:rPr>
                <w:sz w:val="22"/>
              </w:rPr>
            </w:pPr>
            <w:r>
              <w:rPr>
                <w:sz w:val="22"/>
              </w:rPr>
              <w:t>Indicates tables be excluded during automatic calculation.</w:t>
            </w:r>
          </w:p>
        </w:tc>
      </w:tr>
      <w:tr>
        <w:trPr>
          <w:trHeight w:val="1161" w:hRule="atLeast"/>
        </w:trPr>
        <w:tc>
          <w:tcPr>
            <w:tcW w:w="5156" w:type="dxa"/>
          </w:tcPr>
          <w:p>
            <w:pPr>
              <w:pStyle w:val="TableParagraph"/>
              <w:rPr>
                <w:sz w:val="22"/>
              </w:rPr>
            </w:pPr>
            <w:r>
              <w:rPr>
                <w:rFonts w:ascii="Cambria"/>
                <w:sz w:val="22"/>
              </w:rPr>
              <w:t>manual </w:t>
            </w:r>
            <w:r>
              <w:rPr>
                <w:sz w:val="22"/>
              </w:rPr>
              <w:t>(Manual Calculation Mode)</w:t>
            </w:r>
          </w:p>
        </w:tc>
        <w:tc>
          <w:tcPr>
            <w:tcW w:w="5156" w:type="dxa"/>
          </w:tcPr>
          <w:p>
            <w:pPr>
              <w:pStyle w:val="TableParagraph"/>
              <w:ind w:right="659"/>
              <w:rPr>
                <w:sz w:val="22"/>
              </w:rPr>
            </w:pPr>
            <w:r>
              <w:rPr>
                <w:sz w:val="22"/>
              </w:rPr>
              <w:t>Indicates that calculations in the workbook be triggered manually by the user. For example, the application might expose a command in the user interface.</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ST_CalcMode</w:t>
      </w:r>
      <w:r>
        <w:rPr/>
        <w:t>) is located in §A.2.</w:t>
      </w:r>
    </w:p>
    <w:p>
      <w:pPr>
        <w:spacing w:before="43"/>
        <w:ind w:left="220" w:right="0" w:firstLine="0"/>
        <w:jc w:val="left"/>
        <w:rPr>
          <w:sz w:val="22"/>
        </w:rPr>
      </w:pPr>
      <w:r>
        <w:rPr>
          <w:i/>
          <w:sz w:val="22"/>
        </w:rPr>
        <w:t>end note</w:t>
      </w:r>
      <w:r>
        <w:rPr>
          <w:sz w:val="22"/>
        </w:rPr>
        <w:t>]</w:t>
      </w:r>
    </w:p>
    <w:p>
      <w:pPr>
        <w:pStyle w:val="BodyText"/>
        <w:spacing w:before="10"/>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8.5 ST_CellComments (Cell Comments)" w:id="2480"/>
      <w:bookmarkEnd w:id="2480"/>
      <w:r>
        <w:rPr>
          <w:b w:val="0"/>
        </w:rPr>
      </w:r>
      <w:bookmarkStart w:name="_bookmark827" w:id="2481"/>
      <w:bookmarkEnd w:id="2481"/>
      <w:r>
        <w:rPr>
          <w:b w:val="0"/>
        </w:rPr>
      </w:r>
      <w:bookmarkStart w:name="_bookmark827" w:id="2482"/>
      <w:bookmarkEnd w:id="2482"/>
      <w:r>
        <w:rPr>
          <w:color w:val="4F81BC"/>
        </w:rPr>
        <w:t>S</w:t>
      </w:r>
      <w:r>
        <w:rPr>
          <w:color w:val="4F81BC"/>
        </w:rPr>
        <w:t>T_CellComments (Cell</w:t>
      </w:r>
      <w:r>
        <w:rPr>
          <w:color w:val="4F81BC"/>
          <w:spacing w:val="-1"/>
        </w:rPr>
        <w:t> </w:t>
      </w:r>
      <w:r>
        <w:rPr>
          <w:color w:val="4F81BC"/>
        </w:rPr>
        <w:t>Comments)</w:t>
      </w:r>
    </w:p>
    <w:p>
      <w:pPr>
        <w:pStyle w:val="BodyText"/>
        <w:spacing w:line="453" w:lineRule="auto" w:before="124"/>
        <w:ind w:left="220" w:right="1964"/>
      </w:pPr>
      <w:r>
        <w:rPr/>
        <w:t>These enumerations specify how cell comments shall be displayed for paper printing purposes. This simple type's contents are a restriction of the W3C XML Schema </w:t>
      </w:r>
      <w:r>
        <w:rPr>
          <w:rFonts w:ascii="Cambria"/>
        </w:rPr>
        <w:t>string </w:t>
      </w:r>
      <w:r>
        <w:rPr/>
        <w:t>datatype.</w:t>
      </w:r>
    </w:p>
    <w:p>
      <w:pPr>
        <w:spacing w:after="0" w:line="453" w:lineRule="auto"/>
        <w:sectPr>
          <w:pgSz w:w="12240" w:h="15840"/>
          <w:pgMar w:header="763" w:footer="746" w:top="1340" w:bottom="940" w:left="860" w:right="700"/>
        </w:sectPr>
      </w:pPr>
    </w:p>
    <w:p>
      <w:pPr>
        <w:pStyle w:val="BodyText"/>
        <w:spacing w:before="90"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2" w:hRule="atLeast"/>
        </w:trPr>
        <w:tc>
          <w:tcPr>
            <w:tcW w:w="5156" w:type="dxa"/>
          </w:tcPr>
          <w:p>
            <w:pPr>
              <w:pStyle w:val="TableParagraph"/>
              <w:rPr>
                <w:sz w:val="22"/>
              </w:rPr>
            </w:pPr>
            <w:r>
              <w:rPr>
                <w:rFonts w:ascii="Cambria"/>
                <w:sz w:val="22"/>
              </w:rPr>
              <w:t>asDisplayed </w:t>
            </w:r>
            <w:r>
              <w:rPr>
                <w:sz w:val="22"/>
              </w:rPr>
              <w:t>(Print Comments As Displayed)</w:t>
            </w:r>
          </w:p>
        </w:tc>
        <w:tc>
          <w:tcPr>
            <w:tcW w:w="5156" w:type="dxa"/>
          </w:tcPr>
          <w:p>
            <w:pPr>
              <w:pStyle w:val="TableParagraph"/>
              <w:rPr>
                <w:sz w:val="22"/>
              </w:rPr>
            </w:pPr>
            <w:r>
              <w:rPr>
                <w:sz w:val="22"/>
              </w:rPr>
              <w:t>Print cell comments as displayed.</w:t>
            </w:r>
          </w:p>
        </w:tc>
      </w:tr>
      <w:tr>
        <w:trPr>
          <w:trHeight w:val="354" w:hRule="atLeast"/>
        </w:trPr>
        <w:tc>
          <w:tcPr>
            <w:tcW w:w="5156" w:type="dxa"/>
          </w:tcPr>
          <w:p>
            <w:pPr>
              <w:pStyle w:val="TableParagraph"/>
              <w:spacing w:before="42"/>
              <w:rPr>
                <w:sz w:val="22"/>
              </w:rPr>
            </w:pPr>
            <w:r>
              <w:rPr>
                <w:rFonts w:ascii="Cambria"/>
                <w:sz w:val="22"/>
              </w:rPr>
              <w:t>atEnd </w:t>
            </w:r>
            <w:r>
              <w:rPr>
                <w:sz w:val="22"/>
              </w:rPr>
              <w:t>(Print At End)</w:t>
            </w:r>
          </w:p>
        </w:tc>
        <w:tc>
          <w:tcPr>
            <w:tcW w:w="5156" w:type="dxa"/>
          </w:tcPr>
          <w:p>
            <w:pPr>
              <w:pStyle w:val="TableParagraph"/>
              <w:spacing w:before="42"/>
              <w:rPr>
                <w:sz w:val="22"/>
              </w:rPr>
            </w:pPr>
            <w:r>
              <w:rPr>
                <w:sz w:val="22"/>
              </w:rPr>
              <w:t>Print cell comments at end of document.</w:t>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Do not print cell comments.</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ST_CellComments</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18.6 ST_CellFormulaType (Formula Type" w:id="2483"/>
      <w:bookmarkEnd w:id="2483"/>
      <w:r>
        <w:rPr>
          <w:b w:val="0"/>
        </w:rPr>
      </w:r>
      <w:bookmarkStart w:name="_bookmark828" w:id="2484"/>
      <w:bookmarkEnd w:id="2484"/>
      <w:r>
        <w:rPr>
          <w:b w:val="0"/>
        </w:rPr>
      </w:r>
      <w:bookmarkStart w:name="_bookmark828" w:id="2485"/>
      <w:bookmarkEnd w:id="2485"/>
      <w:r>
        <w:rPr>
          <w:color w:val="4F81BC"/>
        </w:rPr>
        <w:t>S</w:t>
      </w:r>
      <w:r>
        <w:rPr>
          <w:color w:val="4F81BC"/>
        </w:rPr>
        <w:t>T_CellFormulaType (Formula</w:t>
      </w:r>
      <w:r>
        <w:rPr>
          <w:color w:val="4F81BC"/>
          <w:spacing w:val="-1"/>
        </w:rPr>
        <w:t> </w:t>
      </w:r>
      <w:r>
        <w:rPr>
          <w:color w:val="4F81BC"/>
        </w:rPr>
        <w:t>Type)</w:t>
      </w:r>
    </w:p>
    <w:p>
      <w:pPr>
        <w:pStyle w:val="BodyText"/>
        <w:spacing w:before="126"/>
        <w:ind w:left="220"/>
      </w:pPr>
      <w:r>
        <w:rPr/>
        <w:t>Indicates the type of formula in the cell.</w:t>
      </w:r>
    </w:p>
    <w:p>
      <w:pPr>
        <w:pStyle w:val="BodyText"/>
        <w:spacing w:before="9"/>
        <w:rPr>
          <w:sz w:val="19"/>
        </w:rPr>
      </w:pPr>
    </w:p>
    <w:p>
      <w:pPr>
        <w:pStyle w:val="BodyText"/>
        <w:spacing w:line="489" w:lineRule="auto"/>
        <w:ind w:left="220" w:right="2804"/>
      </w:pPr>
      <w:r>
        <w:rPr/>
        <w:pict>
          <v:shape style="position:absolute;margin-left:48pt;margin-top:42.87365pt;width:516.35pt;height:91.7pt;mso-position-horizontal-relative:page;mso-position-vertical-relative:paragraph;z-index:2518947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array </w:t>
                        </w:r>
                        <w:r>
                          <w:rPr>
                            <w:sz w:val="22"/>
                          </w:rPr>
                          <w:t>(Array Formula)</w:t>
                        </w:r>
                      </w:p>
                    </w:tc>
                    <w:tc>
                      <w:tcPr>
                        <w:tcW w:w="5156" w:type="dxa"/>
                      </w:tcPr>
                      <w:p>
                        <w:pPr>
                          <w:pStyle w:val="TableParagraph"/>
                          <w:rPr>
                            <w:sz w:val="22"/>
                          </w:rPr>
                        </w:pPr>
                        <w:r>
                          <w:rPr>
                            <w:sz w:val="22"/>
                          </w:rPr>
                          <w:t>Formula is an array formula.</w:t>
                        </w:r>
                      </w:p>
                    </w:tc>
                  </w:tr>
                  <w:tr>
                    <w:trPr>
                      <w:trHeight w:val="354" w:hRule="atLeast"/>
                    </w:trPr>
                    <w:tc>
                      <w:tcPr>
                        <w:tcW w:w="5156" w:type="dxa"/>
                      </w:tcPr>
                      <w:p>
                        <w:pPr>
                          <w:pStyle w:val="TableParagraph"/>
                          <w:rPr>
                            <w:sz w:val="22"/>
                          </w:rPr>
                        </w:pPr>
                        <w:r>
                          <w:rPr>
                            <w:rFonts w:ascii="Cambria"/>
                            <w:sz w:val="22"/>
                          </w:rPr>
                          <w:t>dataTable </w:t>
                        </w:r>
                        <w:r>
                          <w:rPr>
                            <w:sz w:val="22"/>
                          </w:rPr>
                          <w:t>(Table Formula)</w:t>
                        </w:r>
                      </w:p>
                    </w:tc>
                    <w:tc>
                      <w:tcPr>
                        <w:tcW w:w="5156" w:type="dxa"/>
                      </w:tcPr>
                      <w:p>
                        <w:pPr>
                          <w:pStyle w:val="TableParagraph"/>
                          <w:rPr>
                            <w:sz w:val="22"/>
                          </w:rPr>
                        </w:pPr>
                        <w:r>
                          <w:rPr>
                            <w:sz w:val="22"/>
                          </w:rPr>
                          <w:t>Formula is a data table formula.</w:t>
                        </w:r>
                      </w:p>
                    </w:tc>
                  </w:tr>
                  <w:tr>
                    <w:trPr>
                      <w:trHeight w:val="354" w:hRule="atLeast"/>
                    </w:trPr>
                    <w:tc>
                      <w:tcPr>
                        <w:tcW w:w="5156" w:type="dxa"/>
                      </w:tcPr>
                      <w:p>
                        <w:pPr>
                          <w:pStyle w:val="TableParagraph"/>
                          <w:rPr>
                            <w:sz w:val="22"/>
                          </w:rPr>
                        </w:pPr>
                        <w:r>
                          <w:rPr>
                            <w:rFonts w:ascii="Cambria"/>
                            <w:sz w:val="22"/>
                          </w:rPr>
                          <w:t>normal </w:t>
                        </w:r>
                        <w:r>
                          <w:rPr>
                            <w:sz w:val="22"/>
                          </w:rPr>
                          <w:t>(Normal)</w:t>
                        </w:r>
                      </w:p>
                    </w:tc>
                    <w:tc>
                      <w:tcPr>
                        <w:tcW w:w="5156" w:type="dxa"/>
                      </w:tcPr>
                      <w:p>
                        <w:pPr>
                          <w:pStyle w:val="TableParagraph"/>
                          <w:rPr>
                            <w:sz w:val="22"/>
                          </w:rPr>
                        </w:pPr>
                        <w:r>
                          <w:rPr>
                            <w:sz w:val="22"/>
                          </w:rPr>
                          <w:t>Formula is a regular cell formula.</w:t>
                        </w:r>
                      </w:p>
                    </w:tc>
                  </w:tr>
                  <w:tr>
                    <w:trPr>
                      <w:trHeight w:val="354" w:hRule="atLeast"/>
                    </w:trPr>
                    <w:tc>
                      <w:tcPr>
                        <w:tcW w:w="5156" w:type="dxa"/>
                      </w:tcPr>
                      <w:p>
                        <w:pPr>
                          <w:pStyle w:val="TableParagraph"/>
                          <w:rPr>
                            <w:sz w:val="22"/>
                          </w:rPr>
                        </w:pPr>
                        <w:r>
                          <w:rPr>
                            <w:rFonts w:ascii="Cambria"/>
                            <w:sz w:val="22"/>
                          </w:rPr>
                          <w:t>shared </w:t>
                        </w:r>
                        <w:r>
                          <w:rPr>
                            <w:sz w:val="22"/>
                          </w:rPr>
                          <w:t>(Shared Formula)</w:t>
                        </w:r>
                      </w:p>
                    </w:tc>
                    <w:tc>
                      <w:tcPr>
                        <w:tcW w:w="5156" w:type="dxa"/>
                      </w:tcPr>
                      <w:p>
                        <w:pPr>
                          <w:pStyle w:val="TableParagraph"/>
                          <w:rPr>
                            <w:sz w:val="22"/>
                          </w:rPr>
                        </w:pPr>
                        <w:r>
                          <w:rPr>
                            <w:sz w:val="22"/>
                          </w:rPr>
                          <w:t>Formula is part of a shared formula.</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8"/>
        </w:rPr>
      </w:pPr>
    </w:p>
    <w:p>
      <w:pPr>
        <w:pStyle w:val="BodyText"/>
        <w:spacing w:before="1"/>
        <w:ind w:left="220"/>
      </w:pPr>
      <w:r>
        <w:rPr/>
        <w:t>[</w:t>
      </w:r>
      <w:r>
        <w:rPr>
          <w:i/>
        </w:rPr>
        <w:t>Note</w:t>
      </w:r>
      <w:r>
        <w:rPr/>
        <w:t>: The W3C XML Schema definition of this simple type’s content model (</w:t>
      </w:r>
      <w:r>
        <w:rPr>
          <w:color w:val="5F5F5F"/>
          <w:u w:val="single" w:color="5F5F5F"/>
        </w:rPr>
        <w:t>ST_CellFormulaType</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4" w:val="left" w:leader="none"/>
          <w:tab w:pos="1445" w:val="left" w:leader="none"/>
        </w:tabs>
        <w:spacing w:line="240" w:lineRule="auto" w:before="0" w:after="0"/>
        <w:ind w:left="1444" w:right="0" w:hanging="1225"/>
        <w:jc w:val="left"/>
      </w:pPr>
      <w:bookmarkStart w:name="18.18.7 ST_CellRef (Cell Reference)" w:id="2486"/>
      <w:bookmarkEnd w:id="2486"/>
      <w:r>
        <w:rPr>
          <w:b w:val="0"/>
        </w:rPr>
      </w:r>
      <w:bookmarkStart w:name="_bookmark829" w:id="2487"/>
      <w:bookmarkEnd w:id="2487"/>
      <w:r>
        <w:rPr>
          <w:b w:val="0"/>
        </w:rPr>
      </w:r>
      <w:bookmarkStart w:name="_bookmark829" w:id="2488"/>
      <w:bookmarkEnd w:id="2488"/>
      <w:r>
        <w:rPr>
          <w:color w:val="4F81BC"/>
        </w:rPr>
        <w:t>S</w:t>
      </w:r>
      <w:r>
        <w:rPr>
          <w:color w:val="4F81BC"/>
        </w:rPr>
        <w:t>T_CellRef (Cell Reference)</w:t>
      </w:r>
    </w:p>
    <w:p>
      <w:pPr>
        <w:pStyle w:val="BodyText"/>
        <w:spacing w:before="126"/>
        <w:ind w:left="220"/>
      </w:pPr>
      <w:r>
        <w:rPr/>
        <w:t>Represents a single cell reference in a SpreadsheetML document.</w:t>
      </w:r>
    </w:p>
    <w:p>
      <w:pPr>
        <w:pStyle w:val="BodyText"/>
        <w:spacing w:before="8"/>
        <w:rPr>
          <w:sz w:val="19"/>
        </w:rPr>
      </w:pPr>
    </w:p>
    <w:p>
      <w:pPr>
        <w:pStyle w:val="BodyText"/>
        <w:spacing w:before="1"/>
        <w:ind w:left="220"/>
      </w:pPr>
      <w:r>
        <w:rPr/>
        <w:t>This simple type's contents are a restriction of the W3C XML Schema </w:t>
      </w:r>
      <w:r>
        <w:rPr>
          <w:rFonts w:ascii="Cambria"/>
        </w:rPr>
        <w:t>string </w:t>
      </w:r>
      <w:r>
        <w:rPr/>
        <w:t>datatype.</w:t>
      </w:r>
    </w:p>
    <w:p>
      <w:pPr>
        <w:pStyle w:val="BodyText"/>
        <w:spacing w:before="5"/>
        <w:rPr>
          <w:sz w:val="19"/>
        </w:rPr>
      </w:pPr>
    </w:p>
    <w:p>
      <w:pPr>
        <w:pStyle w:val="BodyText"/>
        <w:spacing w:line="276" w:lineRule="auto"/>
        <w:ind w:left="220" w:right="585"/>
      </w:pPr>
      <w:r>
        <w:rPr/>
        <w:t>[</w:t>
      </w:r>
      <w:r>
        <w:rPr>
          <w:i/>
        </w:rPr>
        <w:t>Note</w:t>
      </w:r>
      <w:r>
        <w:rPr/>
        <w:t>: The W3C XML Schema definition of this simple type’s content model (</w:t>
      </w:r>
      <w:r>
        <w:rPr>
          <w:color w:val="5F5F5F"/>
          <w:u w:val="single" w:color="5F5F5F"/>
        </w:rPr>
        <w:t>ST_CellRef</w:t>
      </w:r>
      <w:r>
        <w:rPr/>
        <w:t>) is located in §A.2. </w:t>
      </w:r>
      <w:r>
        <w:rPr>
          <w:i/>
        </w:rPr>
        <w:t>end </w:t>
      </w:r>
      <w:r>
        <w:rPr>
          <w:i/>
        </w:rPr>
        <w:t>note</w:t>
      </w:r>
      <w:r>
        <w:rPr/>
        <w:t>]</w:t>
      </w:r>
    </w:p>
    <w:p>
      <w:pPr>
        <w:pStyle w:val="BodyText"/>
        <w:spacing w:before="6"/>
        <w:rPr>
          <w:sz w:val="16"/>
        </w:rPr>
      </w:pPr>
    </w:p>
    <w:p>
      <w:pPr>
        <w:pStyle w:val="Heading2"/>
        <w:numPr>
          <w:ilvl w:val="2"/>
          <w:numId w:val="17"/>
        </w:numPr>
        <w:tabs>
          <w:tab w:pos="1444" w:val="left" w:leader="none"/>
          <w:tab w:pos="1445" w:val="left" w:leader="none"/>
        </w:tabs>
        <w:spacing w:line="240" w:lineRule="auto" w:before="1" w:after="0"/>
        <w:ind w:left="1444" w:right="0" w:hanging="1225"/>
        <w:jc w:val="left"/>
      </w:pPr>
      <w:bookmarkStart w:name="18.18.8 ST_CellSpan (Cell Span Type)" w:id="2489"/>
      <w:bookmarkEnd w:id="2489"/>
      <w:r>
        <w:rPr>
          <w:b w:val="0"/>
        </w:rPr>
      </w:r>
      <w:bookmarkStart w:name="_bookmark830" w:id="2490"/>
      <w:bookmarkEnd w:id="2490"/>
      <w:r>
        <w:rPr>
          <w:b w:val="0"/>
        </w:rPr>
      </w:r>
      <w:bookmarkStart w:name="_bookmark830" w:id="2491"/>
      <w:bookmarkEnd w:id="2491"/>
      <w:r>
        <w:rPr>
          <w:color w:val="4F81BC"/>
        </w:rPr>
        <w:t>S</w:t>
      </w:r>
      <w:r>
        <w:rPr>
          <w:color w:val="4F81BC"/>
        </w:rPr>
        <w:t>T_CellSpan (Cell Span Type)</w:t>
      </w:r>
    </w:p>
    <w:p>
      <w:pPr>
        <w:pStyle w:val="BodyText"/>
        <w:spacing w:before="127"/>
        <w:ind w:left="220"/>
      </w:pPr>
      <w:r>
        <w:rPr/>
        <w:t>A single cell span item.</w:t>
      </w:r>
    </w:p>
    <w:p>
      <w:pPr>
        <w:pStyle w:val="BodyText"/>
        <w:spacing w:before="8"/>
        <w:rPr>
          <w:sz w:val="19"/>
        </w:rPr>
      </w:pPr>
    </w:p>
    <w:p>
      <w:pPr>
        <w:pStyle w:val="BodyText"/>
        <w:ind w:left="220"/>
      </w:pPr>
      <w:r>
        <w:rPr/>
        <w:t>This simple type's contents are a restriction of the W3C XML Schema </w:t>
      </w:r>
      <w:r>
        <w:rPr>
          <w:rFonts w:ascii="Cambria"/>
        </w:rPr>
        <w:t>string </w:t>
      </w:r>
      <w:r>
        <w:rPr/>
        <w:t>datatype.</w:t>
      </w:r>
    </w:p>
    <w:p>
      <w:pPr>
        <w:pStyle w:val="BodyText"/>
        <w:spacing w:before="6"/>
        <w:rPr>
          <w:sz w:val="19"/>
        </w:rPr>
      </w:pPr>
    </w:p>
    <w:p>
      <w:pPr>
        <w:pStyle w:val="BodyText"/>
        <w:spacing w:line="278" w:lineRule="auto"/>
        <w:ind w:left="220" w:right="444"/>
      </w:pPr>
      <w:r>
        <w:rPr/>
        <w:t>[</w:t>
      </w:r>
      <w:r>
        <w:rPr>
          <w:i/>
        </w:rPr>
        <w:t>Note</w:t>
      </w:r>
      <w:r>
        <w:rPr/>
        <w:t>: The W3C XML Schema definition of this simple type’s content model (</w:t>
      </w:r>
      <w:r>
        <w:rPr>
          <w:color w:val="5F5F5F"/>
          <w:u w:val="single" w:color="5F5F5F"/>
        </w:rPr>
        <w:t>ST_CellSpan</w:t>
      </w:r>
      <w:r>
        <w:rPr/>
        <w:t>) is located in §A.2. </w:t>
      </w:r>
      <w:r>
        <w:rPr>
          <w:i/>
        </w:rPr>
        <w:t>end </w:t>
      </w:r>
      <w:r>
        <w:rPr>
          <w:i/>
        </w:rPr>
        <w:t>note</w:t>
      </w:r>
      <w:r>
        <w:rPr/>
        <w:t>]</w:t>
      </w:r>
    </w:p>
    <w:p>
      <w:pPr>
        <w:spacing w:after="0" w:line="278" w:lineRule="auto"/>
        <w:sectPr>
          <w:footerReference w:type="even" r:id="rId298"/>
          <w:footerReference w:type="default" r:id="rId299"/>
          <w:pgSz w:w="12240" w:h="15840"/>
          <w:pgMar w:footer="746" w:header="761" w:top="1340" w:bottom="940" w:left="860" w:right="700"/>
          <w:pgNumType w:start="2440"/>
        </w:sectPr>
      </w:pPr>
    </w:p>
    <w:p>
      <w:pPr>
        <w:pStyle w:val="Heading2"/>
        <w:numPr>
          <w:ilvl w:val="2"/>
          <w:numId w:val="17"/>
        </w:numPr>
        <w:tabs>
          <w:tab w:pos="1444" w:val="left" w:leader="none"/>
          <w:tab w:pos="1445" w:val="left" w:leader="none"/>
        </w:tabs>
        <w:spacing w:line="240" w:lineRule="auto" w:before="151" w:after="0"/>
        <w:ind w:left="1444" w:right="0" w:hanging="1225"/>
        <w:jc w:val="left"/>
      </w:pPr>
      <w:bookmarkStart w:name="18.18.9 ST_CellSpans (Cell Spans)" w:id="2492"/>
      <w:bookmarkEnd w:id="2492"/>
      <w:r>
        <w:rPr>
          <w:b w:val="0"/>
        </w:rPr>
      </w:r>
      <w:bookmarkStart w:name="_bookmark831" w:id="2493"/>
      <w:bookmarkEnd w:id="2493"/>
      <w:r>
        <w:rPr>
          <w:b w:val="0"/>
        </w:rPr>
      </w:r>
      <w:bookmarkStart w:name="_bookmark831" w:id="2494"/>
      <w:bookmarkEnd w:id="2494"/>
      <w:r>
        <w:rPr>
          <w:color w:val="4F81BC"/>
        </w:rPr>
        <w:t>S</w:t>
      </w:r>
      <w:r>
        <w:rPr>
          <w:color w:val="4F81BC"/>
        </w:rPr>
        <w:t>T_CellSpans (Cell</w:t>
      </w:r>
      <w:r>
        <w:rPr>
          <w:color w:val="4F81BC"/>
          <w:spacing w:val="1"/>
        </w:rPr>
        <w:t> </w:t>
      </w:r>
      <w:r>
        <w:rPr>
          <w:color w:val="4F81BC"/>
        </w:rPr>
        <w:t>Spans)</w:t>
      </w:r>
    </w:p>
    <w:p>
      <w:pPr>
        <w:pStyle w:val="BodyText"/>
        <w:spacing w:before="124"/>
        <w:ind w:left="220"/>
      </w:pPr>
      <w:r>
        <w:rPr/>
        <w:t>List of the cell spans of the item.</w:t>
      </w:r>
    </w:p>
    <w:p>
      <w:pPr>
        <w:pStyle w:val="BodyText"/>
        <w:spacing w:before="9"/>
        <w:rPr>
          <w:sz w:val="19"/>
        </w:rPr>
      </w:pPr>
    </w:p>
    <w:p>
      <w:pPr>
        <w:pStyle w:val="BodyText"/>
        <w:ind w:left="220"/>
      </w:pPr>
      <w:r>
        <w:rPr/>
        <w:t>This simple type allows a list of items of the </w:t>
      </w:r>
      <w:r>
        <w:rPr>
          <w:rFonts w:ascii="Cambria" w:hAnsi="Cambria"/>
        </w:rPr>
        <w:t>ST_CellSpan </w:t>
      </w:r>
      <w:r>
        <w:rPr/>
        <w:t>simple type (§</w:t>
      </w:r>
      <w:hyperlink w:history="true" w:anchor="_bookmark830">
        <w:r>
          <w:rPr/>
          <w:t>18.18.8</w:t>
        </w:r>
      </w:hyperlink>
      <w:r>
        <w:rPr/>
        <w:t>).</w:t>
      </w:r>
    </w:p>
    <w:p>
      <w:pPr>
        <w:pStyle w:val="BodyText"/>
        <w:spacing w:before="5"/>
        <w:rPr>
          <w:sz w:val="19"/>
        </w:rPr>
      </w:pPr>
    </w:p>
    <w:p>
      <w:pPr>
        <w:pStyle w:val="BodyText"/>
        <w:spacing w:before="1"/>
        <w:ind w:left="220"/>
      </w:pPr>
      <w:r>
        <w:rPr/>
        <w:t>[</w:t>
      </w:r>
      <w:r>
        <w:rPr>
          <w:i/>
        </w:rPr>
        <w:t>Note</w:t>
      </w:r>
      <w:r>
        <w:rPr/>
        <w:t>: The W3C XML Schema definition of this simple type’s content model (</w:t>
      </w:r>
      <w:r>
        <w:rPr>
          <w:color w:val="5F5F5F"/>
          <w:u w:val="single" w:color="5F5F5F"/>
        </w:rPr>
        <w:t>ST_CellSpans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10 ST_CellStyleXfId (Cell Style Fo" w:id="2495"/>
      <w:bookmarkEnd w:id="2495"/>
      <w:r>
        <w:rPr>
          <w:b w:val="0"/>
        </w:rPr>
      </w:r>
      <w:bookmarkStart w:name="_bookmark832" w:id="2496"/>
      <w:bookmarkEnd w:id="2496"/>
      <w:r>
        <w:rPr>
          <w:b w:val="0"/>
        </w:rPr>
      </w:r>
      <w:bookmarkStart w:name="_bookmark832" w:id="2497"/>
      <w:bookmarkEnd w:id="2497"/>
      <w:r>
        <w:rPr>
          <w:color w:val="4F81BC"/>
        </w:rPr>
        <w:t>S</w:t>
      </w:r>
      <w:r>
        <w:rPr>
          <w:color w:val="4F81BC"/>
        </w:rPr>
        <w:t>T_CellStyleXfId (Cell Style Format</w:t>
      </w:r>
      <w:r>
        <w:rPr>
          <w:color w:val="4F81BC"/>
          <w:spacing w:val="-5"/>
        </w:rPr>
        <w:t> </w:t>
      </w:r>
      <w:r>
        <w:rPr>
          <w:color w:val="4F81BC"/>
        </w:rPr>
        <w:t>Id)</w:t>
      </w:r>
    </w:p>
    <w:p>
      <w:pPr>
        <w:pStyle w:val="BodyText"/>
        <w:spacing w:line="453" w:lineRule="auto" w:before="124"/>
        <w:ind w:left="220" w:right="1342"/>
      </w:pPr>
      <w:r>
        <w:rPr/>
        <w:t>Used by </w:t>
      </w:r>
      <w:r>
        <w:rPr>
          <w:rFonts w:ascii="Cambria"/>
        </w:rPr>
        <w:t>xf </w:t>
      </w:r>
      <w:r>
        <w:rPr/>
        <w:t>records and </w:t>
      </w:r>
      <w:r>
        <w:rPr>
          <w:rFonts w:ascii="Cambria"/>
        </w:rPr>
        <w:t>cellStyle </w:t>
      </w:r>
      <w:r>
        <w:rPr/>
        <w:t>records to reference </w:t>
      </w:r>
      <w:r>
        <w:rPr>
          <w:rFonts w:ascii="Cambria"/>
        </w:rPr>
        <w:t>xf </w:t>
      </w:r>
      <w:r>
        <w:rPr/>
        <w:t>records defined in the </w:t>
      </w:r>
      <w:r>
        <w:rPr>
          <w:rFonts w:ascii="Cambria"/>
        </w:rPr>
        <w:t>cellStyleXfs </w:t>
      </w:r>
      <w:r>
        <w:rPr/>
        <w:t>collection. This simple type's contents are a restriction of the W3C XML Schema </w:t>
      </w:r>
      <w:r>
        <w:rPr>
          <w:rFonts w:ascii="Cambria"/>
        </w:rPr>
        <w:t>unsignedInt </w:t>
      </w:r>
      <w:r>
        <w:rPr/>
        <w:t>datatype.</w:t>
      </w:r>
    </w:p>
    <w:p>
      <w:pPr>
        <w:pStyle w:val="BodyText"/>
        <w:spacing w:before="1"/>
        <w:ind w:left="220"/>
      </w:pPr>
      <w:r>
        <w:rPr/>
        <w:t>[</w:t>
      </w:r>
      <w:r>
        <w:rPr>
          <w:i/>
        </w:rPr>
        <w:t>Note</w:t>
      </w:r>
      <w:r>
        <w:rPr/>
        <w:t>: The W3C XML Schema definition of this simple type’s content model (</w:t>
      </w:r>
      <w:r>
        <w:rPr>
          <w:color w:val="5F5F5F"/>
          <w:u w:val="single" w:color="5F5F5F"/>
        </w:rPr>
        <w:t>ST_CellStyleXfId</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11 ST_CellType (Cell Type)" w:id="2498"/>
      <w:bookmarkEnd w:id="2498"/>
      <w:r>
        <w:rPr>
          <w:b w:val="0"/>
        </w:rPr>
      </w:r>
      <w:bookmarkStart w:name="_bookmark833" w:id="2499"/>
      <w:bookmarkEnd w:id="2499"/>
      <w:r>
        <w:rPr>
          <w:b w:val="0"/>
        </w:rPr>
      </w:r>
      <w:bookmarkStart w:name="_bookmark833" w:id="2500"/>
      <w:bookmarkEnd w:id="2500"/>
      <w:r>
        <w:rPr>
          <w:color w:val="4F81BC"/>
        </w:rPr>
        <w:t>S</w:t>
      </w:r>
      <w:r>
        <w:rPr>
          <w:color w:val="4F81BC"/>
        </w:rPr>
        <w:t>T_CellType (Cell</w:t>
      </w:r>
      <w:r>
        <w:rPr>
          <w:color w:val="4F81BC"/>
          <w:spacing w:val="-2"/>
        </w:rPr>
        <w:t> </w:t>
      </w:r>
      <w:r>
        <w:rPr>
          <w:color w:val="4F81BC"/>
        </w:rPr>
        <w:t>Type)</w:t>
      </w:r>
    </w:p>
    <w:p>
      <w:pPr>
        <w:pStyle w:val="BodyText"/>
        <w:spacing w:before="127"/>
        <w:ind w:left="220"/>
      </w:pPr>
      <w:r>
        <w:rPr/>
        <w:t>Indicates the cell's data type.</w:t>
      </w:r>
    </w:p>
    <w:p>
      <w:pPr>
        <w:pStyle w:val="BodyText"/>
        <w:spacing w:before="8"/>
        <w:rPr>
          <w:sz w:val="19"/>
        </w:rPr>
      </w:pPr>
    </w:p>
    <w:p>
      <w:pPr>
        <w:pStyle w:val="BodyText"/>
        <w:spacing w:line="489" w:lineRule="auto"/>
        <w:ind w:left="220" w:right="2804"/>
      </w:pPr>
      <w:r>
        <w:rPr/>
        <w:pict>
          <v:shape style="position:absolute;margin-left:48pt;margin-top:42.873653pt;width:516.35pt;height:186.65pt;mso-position-horizontal-relative:page;mso-position-vertical-relative:paragraph;z-index:2518958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b </w:t>
                        </w:r>
                        <w:r>
                          <w:rPr>
                            <w:sz w:val="22"/>
                          </w:rPr>
                          <w:t>(Boolean)</w:t>
                        </w:r>
                      </w:p>
                    </w:tc>
                    <w:tc>
                      <w:tcPr>
                        <w:tcW w:w="5156" w:type="dxa"/>
                      </w:tcPr>
                      <w:p>
                        <w:pPr>
                          <w:pStyle w:val="TableParagraph"/>
                          <w:rPr>
                            <w:sz w:val="22"/>
                          </w:rPr>
                        </w:pPr>
                        <w:r>
                          <w:rPr>
                            <w:sz w:val="22"/>
                          </w:rPr>
                          <w:t>Cell containing a boolean.</w:t>
                        </w:r>
                      </w:p>
                    </w:tc>
                  </w:tr>
                  <w:tr>
                    <w:trPr>
                      <w:trHeight w:val="355" w:hRule="atLeast"/>
                    </w:trPr>
                    <w:tc>
                      <w:tcPr>
                        <w:tcW w:w="5156" w:type="dxa"/>
                      </w:tcPr>
                      <w:p>
                        <w:pPr>
                          <w:pStyle w:val="TableParagraph"/>
                          <w:rPr>
                            <w:sz w:val="22"/>
                          </w:rPr>
                        </w:pPr>
                        <w:r>
                          <w:rPr>
                            <w:rFonts w:ascii="Cambria"/>
                            <w:sz w:val="22"/>
                          </w:rPr>
                          <w:t>d </w:t>
                        </w:r>
                        <w:r>
                          <w:rPr>
                            <w:sz w:val="22"/>
                          </w:rPr>
                          <w:t>(Date)</w:t>
                        </w:r>
                      </w:p>
                    </w:tc>
                    <w:tc>
                      <w:tcPr>
                        <w:tcW w:w="5156" w:type="dxa"/>
                      </w:tcPr>
                      <w:p>
                        <w:pPr>
                          <w:pStyle w:val="TableParagraph"/>
                          <w:rPr>
                            <w:sz w:val="22"/>
                          </w:rPr>
                        </w:pPr>
                        <w:r>
                          <w:rPr>
                            <w:sz w:val="22"/>
                          </w:rPr>
                          <w:t>Cell contains a date in the ISO 8601 format.</w:t>
                        </w:r>
                      </w:p>
                    </w:tc>
                  </w:tr>
                  <w:tr>
                    <w:trPr>
                      <w:trHeight w:val="354" w:hRule="atLeast"/>
                    </w:trPr>
                    <w:tc>
                      <w:tcPr>
                        <w:tcW w:w="5156" w:type="dxa"/>
                      </w:tcPr>
                      <w:p>
                        <w:pPr>
                          <w:pStyle w:val="TableParagraph"/>
                          <w:rPr>
                            <w:sz w:val="22"/>
                          </w:rPr>
                        </w:pPr>
                        <w:r>
                          <w:rPr>
                            <w:rFonts w:ascii="Cambria"/>
                            <w:sz w:val="22"/>
                          </w:rPr>
                          <w:t>e </w:t>
                        </w:r>
                        <w:r>
                          <w:rPr>
                            <w:sz w:val="22"/>
                          </w:rPr>
                          <w:t>(Error)</w:t>
                        </w:r>
                      </w:p>
                    </w:tc>
                    <w:tc>
                      <w:tcPr>
                        <w:tcW w:w="5156" w:type="dxa"/>
                      </w:tcPr>
                      <w:p>
                        <w:pPr>
                          <w:pStyle w:val="TableParagraph"/>
                          <w:rPr>
                            <w:sz w:val="22"/>
                          </w:rPr>
                        </w:pPr>
                        <w:r>
                          <w:rPr>
                            <w:sz w:val="22"/>
                          </w:rPr>
                          <w:t>Cell containing an error.</w:t>
                        </w:r>
                      </w:p>
                    </w:tc>
                  </w:tr>
                  <w:tr>
                    <w:trPr>
                      <w:trHeight w:val="1158" w:hRule="atLeast"/>
                    </w:trPr>
                    <w:tc>
                      <w:tcPr>
                        <w:tcW w:w="5156" w:type="dxa"/>
                      </w:tcPr>
                      <w:p>
                        <w:pPr>
                          <w:pStyle w:val="TableParagraph"/>
                          <w:rPr>
                            <w:sz w:val="22"/>
                          </w:rPr>
                        </w:pPr>
                        <w:r>
                          <w:rPr>
                            <w:rFonts w:ascii="Cambria"/>
                            <w:sz w:val="22"/>
                          </w:rPr>
                          <w:t>inlineStr </w:t>
                        </w:r>
                        <w:r>
                          <w:rPr>
                            <w:sz w:val="22"/>
                          </w:rPr>
                          <w:t>(Inline String)</w:t>
                        </w:r>
                      </w:p>
                    </w:tc>
                    <w:tc>
                      <w:tcPr>
                        <w:tcW w:w="5156" w:type="dxa"/>
                      </w:tcPr>
                      <w:p>
                        <w:pPr>
                          <w:pStyle w:val="TableParagraph"/>
                          <w:ind w:right="351"/>
                          <w:rPr>
                            <w:sz w:val="22"/>
                          </w:rPr>
                        </w:pPr>
                        <w:r>
                          <w:rPr>
                            <w:sz w:val="22"/>
                          </w:rPr>
                          <w:t>Cell containing an (inline) rich string, i.e., one not in the shared string table. If this cell type is used, then the cell value is in the </w:t>
                        </w:r>
                        <w:r>
                          <w:rPr>
                            <w:rFonts w:ascii="Cambria"/>
                            <w:sz w:val="22"/>
                          </w:rPr>
                          <w:t>is </w:t>
                        </w:r>
                        <w:r>
                          <w:rPr>
                            <w:sz w:val="22"/>
                          </w:rPr>
                          <w:t>element rather than the </w:t>
                        </w:r>
                        <w:r>
                          <w:rPr>
                            <w:rFonts w:ascii="Cambria"/>
                            <w:sz w:val="22"/>
                          </w:rPr>
                          <w:t>v </w:t>
                        </w:r>
                        <w:r>
                          <w:rPr>
                            <w:sz w:val="22"/>
                          </w:rPr>
                          <w:t>element in the cell (</w:t>
                        </w:r>
                        <w:r>
                          <w:rPr>
                            <w:rFonts w:ascii="Cambria"/>
                            <w:sz w:val="22"/>
                          </w:rPr>
                          <w:t>c </w:t>
                        </w:r>
                        <w:r>
                          <w:rPr>
                            <w:sz w:val="22"/>
                          </w:rPr>
                          <w:t>element).</w:t>
                        </w:r>
                      </w:p>
                    </w:tc>
                  </w:tr>
                  <w:tr>
                    <w:trPr>
                      <w:trHeight w:val="354" w:hRule="atLeast"/>
                    </w:trPr>
                    <w:tc>
                      <w:tcPr>
                        <w:tcW w:w="5156" w:type="dxa"/>
                      </w:tcPr>
                      <w:p>
                        <w:pPr>
                          <w:pStyle w:val="TableParagraph"/>
                          <w:rPr>
                            <w:sz w:val="22"/>
                          </w:rPr>
                        </w:pPr>
                        <w:r>
                          <w:rPr>
                            <w:rFonts w:ascii="Cambria"/>
                            <w:sz w:val="22"/>
                          </w:rPr>
                          <w:t>n </w:t>
                        </w:r>
                        <w:r>
                          <w:rPr>
                            <w:sz w:val="22"/>
                          </w:rPr>
                          <w:t>(Number)</w:t>
                        </w:r>
                      </w:p>
                    </w:tc>
                    <w:tc>
                      <w:tcPr>
                        <w:tcW w:w="5156" w:type="dxa"/>
                      </w:tcPr>
                      <w:p>
                        <w:pPr>
                          <w:pStyle w:val="TableParagraph"/>
                          <w:rPr>
                            <w:sz w:val="22"/>
                          </w:rPr>
                        </w:pPr>
                        <w:r>
                          <w:rPr>
                            <w:sz w:val="22"/>
                          </w:rPr>
                          <w:t>Cell containing a number.</w:t>
                        </w:r>
                      </w:p>
                    </w:tc>
                  </w:tr>
                  <w:tr>
                    <w:trPr>
                      <w:trHeight w:val="354" w:hRule="atLeast"/>
                    </w:trPr>
                    <w:tc>
                      <w:tcPr>
                        <w:tcW w:w="5156" w:type="dxa"/>
                      </w:tcPr>
                      <w:p>
                        <w:pPr>
                          <w:pStyle w:val="TableParagraph"/>
                          <w:rPr>
                            <w:sz w:val="22"/>
                          </w:rPr>
                        </w:pPr>
                        <w:r>
                          <w:rPr>
                            <w:rFonts w:ascii="Cambria"/>
                            <w:sz w:val="22"/>
                          </w:rPr>
                          <w:t>s </w:t>
                        </w:r>
                        <w:r>
                          <w:rPr>
                            <w:sz w:val="22"/>
                          </w:rPr>
                          <w:t>(Shared String)</w:t>
                        </w:r>
                      </w:p>
                    </w:tc>
                    <w:tc>
                      <w:tcPr>
                        <w:tcW w:w="5156" w:type="dxa"/>
                      </w:tcPr>
                      <w:p>
                        <w:pPr>
                          <w:pStyle w:val="TableParagraph"/>
                          <w:rPr>
                            <w:sz w:val="22"/>
                          </w:rPr>
                        </w:pPr>
                        <w:r>
                          <w:rPr>
                            <w:sz w:val="22"/>
                          </w:rPr>
                          <w:t>Cell containing a shared string.</w:t>
                        </w:r>
                      </w:p>
                    </w:tc>
                  </w:tr>
                  <w:tr>
                    <w:trPr>
                      <w:trHeight w:val="354" w:hRule="atLeast"/>
                    </w:trPr>
                    <w:tc>
                      <w:tcPr>
                        <w:tcW w:w="5156" w:type="dxa"/>
                      </w:tcPr>
                      <w:p>
                        <w:pPr>
                          <w:pStyle w:val="TableParagraph"/>
                          <w:rPr>
                            <w:sz w:val="22"/>
                          </w:rPr>
                        </w:pPr>
                        <w:r>
                          <w:rPr>
                            <w:rFonts w:ascii="Cambria"/>
                            <w:sz w:val="22"/>
                          </w:rPr>
                          <w:t>str </w:t>
                        </w:r>
                        <w:r>
                          <w:rPr>
                            <w:sz w:val="22"/>
                          </w:rPr>
                          <w:t>(String)</w:t>
                        </w:r>
                      </w:p>
                    </w:tc>
                    <w:tc>
                      <w:tcPr>
                        <w:tcW w:w="5156" w:type="dxa"/>
                      </w:tcPr>
                      <w:p>
                        <w:pPr>
                          <w:pStyle w:val="TableParagraph"/>
                          <w:rPr>
                            <w:sz w:val="22"/>
                          </w:rPr>
                        </w:pPr>
                        <w:r>
                          <w:rPr>
                            <w:sz w:val="22"/>
                          </w:rPr>
                          <w:t>Cell containing a formula string.</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9"/>
        </w:rPr>
      </w:pPr>
    </w:p>
    <w:p>
      <w:pPr>
        <w:pStyle w:val="BodyText"/>
        <w:spacing w:line="278" w:lineRule="auto"/>
        <w:ind w:left="220" w:right="450"/>
      </w:pPr>
      <w:r>
        <w:rPr/>
        <w:t>[</w:t>
      </w:r>
      <w:r>
        <w:rPr>
          <w:i/>
        </w:rPr>
        <w:t>Note</w:t>
      </w:r>
      <w:r>
        <w:rPr/>
        <w:t>: The W3C XML Schema definition of this simple type’s content model (</w:t>
      </w:r>
      <w:r>
        <w:rPr>
          <w:color w:val="5F5F5F"/>
          <w:u w:val="single" w:color="5F5F5F"/>
        </w:rPr>
        <w:t>ST_CellType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12 ST_CfType (Conditional Format T" w:id="2501"/>
      <w:bookmarkEnd w:id="2501"/>
      <w:r>
        <w:rPr>
          <w:b w:val="0"/>
        </w:rPr>
      </w:r>
      <w:bookmarkStart w:name="_bookmark834" w:id="2502"/>
      <w:bookmarkEnd w:id="2502"/>
      <w:r>
        <w:rPr>
          <w:b w:val="0"/>
        </w:rPr>
      </w:r>
      <w:bookmarkStart w:name="_bookmark834" w:id="2503"/>
      <w:bookmarkEnd w:id="2503"/>
      <w:r>
        <w:rPr>
          <w:color w:val="4F81BC"/>
        </w:rPr>
        <w:t>S</w:t>
      </w:r>
      <w:r>
        <w:rPr>
          <w:color w:val="4F81BC"/>
        </w:rPr>
        <w:t>T_CfType (Conditional Format</w:t>
      </w:r>
      <w:r>
        <w:rPr>
          <w:color w:val="4F81BC"/>
          <w:spacing w:val="-3"/>
        </w:rPr>
        <w:t> </w:t>
      </w:r>
      <w:r>
        <w:rPr>
          <w:color w:val="4F81BC"/>
        </w:rPr>
        <w:t>Type)</w:t>
      </w:r>
    </w:p>
    <w:p>
      <w:pPr>
        <w:pStyle w:val="BodyText"/>
        <w:spacing w:before="124"/>
        <w:ind w:left="220"/>
      </w:pPr>
      <w:r>
        <w:rPr/>
        <w:t>Conditional format rule type.</w:t>
      </w:r>
    </w:p>
    <w:p>
      <w:pPr>
        <w:pStyle w:val="BodyText"/>
        <w:spacing w:before="8"/>
        <w:rPr>
          <w:sz w:val="19"/>
        </w:rPr>
      </w:pPr>
    </w:p>
    <w:p>
      <w:pPr>
        <w:pStyle w:val="BodyText"/>
        <w:ind w:left="220"/>
      </w:pPr>
      <w:r>
        <w:rPr/>
        <w:t>This simple type's contents are a restriction of the W3C XML Schema </w:t>
      </w:r>
      <w:r>
        <w:rPr>
          <w:rFonts w:ascii="Cambria"/>
        </w:rPr>
        <w:t>string </w:t>
      </w:r>
      <w:r>
        <w:rPr/>
        <w:t>datatype.</w:t>
      </w:r>
    </w:p>
    <w:p>
      <w:pPr>
        <w:spacing w:after="0"/>
        <w:sectPr>
          <w:pgSz w:w="12240" w:h="15840"/>
          <w:pgMar w:header="763" w:footer="746" w:top="1340" w:bottom="940" w:left="860" w:right="700"/>
        </w:sectPr>
      </w:pPr>
    </w:p>
    <w:p>
      <w:pPr>
        <w:pStyle w:val="BodyText"/>
        <w:spacing w:before="90"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890" w:hRule="atLeast"/>
        </w:trPr>
        <w:tc>
          <w:tcPr>
            <w:tcW w:w="5156" w:type="dxa"/>
          </w:tcPr>
          <w:p>
            <w:pPr>
              <w:pStyle w:val="TableParagraph"/>
              <w:rPr>
                <w:sz w:val="22"/>
              </w:rPr>
            </w:pPr>
            <w:r>
              <w:rPr>
                <w:rFonts w:ascii="Cambria"/>
                <w:sz w:val="22"/>
              </w:rPr>
              <w:t>aboveAverage </w:t>
            </w:r>
            <w:r>
              <w:rPr>
                <w:sz w:val="22"/>
              </w:rPr>
              <w:t>(Above or Below Average)</w:t>
            </w:r>
          </w:p>
        </w:tc>
        <w:tc>
          <w:tcPr>
            <w:tcW w:w="5156" w:type="dxa"/>
          </w:tcPr>
          <w:p>
            <w:pPr>
              <w:pStyle w:val="TableParagraph"/>
              <w:ind w:right="434"/>
              <w:jc w:val="both"/>
              <w:rPr>
                <w:sz w:val="22"/>
              </w:rPr>
            </w:pPr>
            <w:r>
              <w:rPr>
                <w:sz w:val="22"/>
              </w:rPr>
              <w:t>This conditional formatting rule highlights cells that are above or below the average for all values in the range.</w:t>
            </w:r>
          </w:p>
        </w:tc>
      </w:tr>
      <w:tr>
        <w:trPr>
          <w:trHeight w:val="892" w:hRule="atLeast"/>
        </w:trPr>
        <w:tc>
          <w:tcPr>
            <w:tcW w:w="5156" w:type="dxa"/>
          </w:tcPr>
          <w:p>
            <w:pPr>
              <w:pStyle w:val="TableParagraph"/>
              <w:rPr>
                <w:sz w:val="22"/>
              </w:rPr>
            </w:pPr>
            <w:r>
              <w:rPr>
                <w:rFonts w:ascii="Cambria"/>
                <w:sz w:val="22"/>
              </w:rPr>
              <w:t>beginsWith </w:t>
            </w:r>
            <w:r>
              <w:rPr>
                <w:sz w:val="22"/>
              </w:rPr>
              <w:t>(Begins With)</w:t>
            </w:r>
          </w:p>
        </w:tc>
        <w:tc>
          <w:tcPr>
            <w:tcW w:w="5156" w:type="dxa"/>
          </w:tcPr>
          <w:p>
            <w:pPr>
              <w:pStyle w:val="TableParagraph"/>
              <w:ind w:right="199"/>
              <w:rPr>
                <w:sz w:val="22"/>
              </w:rPr>
            </w:pPr>
            <w:r>
              <w:rPr>
                <w:sz w:val="22"/>
              </w:rPr>
              <w:t>This conditional formatting rule highlights cells in the range that begin with the given text. Equivalent to using the LEFT() sheet function and comparing values.</w:t>
            </w:r>
          </w:p>
        </w:tc>
      </w:tr>
      <w:tr>
        <w:trPr>
          <w:trHeight w:val="623" w:hRule="atLeast"/>
        </w:trPr>
        <w:tc>
          <w:tcPr>
            <w:tcW w:w="5156" w:type="dxa"/>
          </w:tcPr>
          <w:p>
            <w:pPr>
              <w:pStyle w:val="TableParagraph"/>
              <w:rPr>
                <w:sz w:val="22"/>
              </w:rPr>
            </w:pPr>
            <w:r>
              <w:rPr>
                <w:rFonts w:ascii="Cambria"/>
                <w:sz w:val="22"/>
              </w:rPr>
              <w:t>cellIs </w:t>
            </w:r>
            <w:r>
              <w:rPr>
                <w:sz w:val="22"/>
              </w:rPr>
              <w:t>(Cell Is)</w:t>
            </w:r>
          </w:p>
        </w:tc>
        <w:tc>
          <w:tcPr>
            <w:tcW w:w="5156" w:type="dxa"/>
          </w:tcPr>
          <w:p>
            <w:pPr>
              <w:pStyle w:val="TableParagraph"/>
              <w:ind w:right="223"/>
              <w:rPr>
                <w:sz w:val="22"/>
              </w:rPr>
            </w:pPr>
            <w:r>
              <w:rPr>
                <w:sz w:val="22"/>
              </w:rPr>
              <w:t>This conditional formatting rule compares a cell value to a formula calculated result, using an operator.</w:t>
            </w:r>
          </w:p>
        </w:tc>
      </w:tr>
      <w:tr>
        <w:trPr>
          <w:trHeight w:val="623" w:hRule="atLeast"/>
        </w:trPr>
        <w:tc>
          <w:tcPr>
            <w:tcW w:w="5156" w:type="dxa"/>
          </w:tcPr>
          <w:p>
            <w:pPr>
              <w:pStyle w:val="TableParagraph"/>
              <w:rPr>
                <w:sz w:val="22"/>
              </w:rPr>
            </w:pPr>
            <w:r>
              <w:rPr>
                <w:rFonts w:ascii="Cambria"/>
                <w:sz w:val="22"/>
              </w:rPr>
              <w:t>colorScale </w:t>
            </w:r>
            <w:r>
              <w:rPr>
                <w:sz w:val="22"/>
              </w:rPr>
              <w:t>(Color Scale)</w:t>
            </w:r>
          </w:p>
        </w:tc>
        <w:tc>
          <w:tcPr>
            <w:tcW w:w="5156" w:type="dxa"/>
          </w:tcPr>
          <w:p>
            <w:pPr>
              <w:pStyle w:val="TableParagraph"/>
              <w:ind w:right="476"/>
              <w:rPr>
                <w:sz w:val="22"/>
              </w:rPr>
            </w:pPr>
            <w:r>
              <w:rPr>
                <w:sz w:val="22"/>
              </w:rPr>
              <w:t>This conditional formatting rule creates a gradated color scale on the cells.</w:t>
            </w:r>
          </w:p>
        </w:tc>
      </w:tr>
      <w:tr>
        <w:trPr>
          <w:trHeight w:val="1428" w:hRule="atLeast"/>
        </w:trPr>
        <w:tc>
          <w:tcPr>
            <w:tcW w:w="5156" w:type="dxa"/>
          </w:tcPr>
          <w:p>
            <w:pPr>
              <w:pStyle w:val="TableParagraph"/>
              <w:rPr>
                <w:sz w:val="22"/>
              </w:rPr>
            </w:pPr>
            <w:r>
              <w:rPr>
                <w:rFonts w:ascii="Cambria"/>
                <w:sz w:val="22"/>
              </w:rPr>
              <w:t>containsBlanks </w:t>
            </w:r>
            <w:r>
              <w:rPr>
                <w:sz w:val="22"/>
              </w:rPr>
              <w:t>(Contains Blanks)</w:t>
            </w:r>
          </w:p>
        </w:tc>
        <w:tc>
          <w:tcPr>
            <w:tcW w:w="5156" w:type="dxa"/>
          </w:tcPr>
          <w:p>
            <w:pPr>
              <w:pStyle w:val="TableParagraph"/>
              <w:ind w:right="152"/>
              <w:rPr>
                <w:sz w:val="22"/>
              </w:rPr>
            </w:pPr>
            <w:r>
              <w:rPr>
                <w:sz w:val="22"/>
              </w:rPr>
              <w:t>This conditional formatting rule highlights cells that are completely blank. Equivalent of using LEN(TRIM()). This means that if the cell contains only characters that TRIM() would remove, then it is considered blank. An empty cell is also considered blank.</w:t>
            </w:r>
          </w:p>
        </w:tc>
      </w:tr>
      <w:tr>
        <w:trPr>
          <w:trHeight w:val="892" w:hRule="atLeast"/>
        </w:trPr>
        <w:tc>
          <w:tcPr>
            <w:tcW w:w="5156" w:type="dxa"/>
          </w:tcPr>
          <w:p>
            <w:pPr>
              <w:pStyle w:val="TableParagraph"/>
              <w:rPr>
                <w:sz w:val="22"/>
              </w:rPr>
            </w:pPr>
            <w:r>
              <w:rPr>
                <w:rFonts w:ascii="Cambria"/>
                <w:sz w:val="22"/>
              </w:rPr>
              <w:t>containsErrors </w:t>
            </w:r>
            <w:r>
              <w:rPr>
                <w:sz w:val="22"/>
              </w:rPr>
              <w:t>(Contains Errors)</w:t>
            </w:r>
          </w:p>
        </w:tc>
        <w:tc>
          <w:tcPr>
            <w:tcW w:w="5156" w:type="dxa"/>
          </w:tcPr>
          <w:p>
            <w:pPr>
              <w:pStyle w:val="TableParagraph"/>
              <w:ind w:right="404"/>
              <w:jc w:val="both"/>
              <w:rPr>
                <w:sz w:val="22"/>
              </w:rPr>
            </w:pPr>
            <w:r>
              <w:rPr>
                <w:sz w:val="22"/>
              </w:rPr>
              <w:t>This conditional formatting rule highlights cells with formula errors. Equivalent to using ISERROR() sheet function to determine if there is a formula error.</w:t>
            </w:r>
          </w:p>
        </w:tc>
      </w:tr>
      <w:tr>
        <w:trPr>
          <w:trHeight w:val="1158" w:hRule="atLeast"/>
        </w:trPr>
        <w:tc>
          <w:tcPr>
            <w:tcW w:w="5156" w:type="dxa"/>
          </w:tcPr>
          <w:p>
            <w:pPr>
              <w:pStyle w:val="TableParagraph"/>
              <w:rPr>
                <w:sz w:val="22"/>
              </w:rPr>
            </w:pPr>
            <w:r>
              <w:rPr>
                <w:rFonts w:ascii="Cambria"/>
                <w:sz w:val="22"/>
              </w:rPr>
              <w:t>containsText </w:t>
            </w:r>
            <w:r>
              <w:rPr>
                <w:sz w:val="22"/>
              </w:rPr>
              <w:t>(Contains Text)</w:t>
            </w:r>
          </w:p>
        </w:tc>
        <w:tc>
          <w:tcPr>
            <w:tcW w:w="5156" w:type="dxa"/>
          </w:tcPr>
          <w:p>
            <w:pPr>
              <w:pStyle w:val="TableParagraph"/>
              <w:ind w:right="91"/>
              <w:rPr>
                <w:sz w:val="22"/>
              </w:rPr>
            </w:pPr>
            <w:r>
              <w:rPr>
                <w:sz w:val="22"/>
              </w:rPr>
              <w:t>This conditional formatting rule highlights cells containing given text. Equivalent to using the SEARCH() sheet function to determine whether the cell contains the text.</w:t>
            </w:r>
          </w:p>
        </w:tc>
      </w:tr>
      <w:tr>
        <w:trPr>
          <w:trHeight w:val="623" w:hRule="atLeast"/>
        </w:trPr>
        <w:tc>
          <w:tcPr>
            <w:tcW w:w="5156" w:type="dxa"/>
          </w:tcPr>
          <w:p>
            <w:pPr>
              <w:pStyle w:val="TableParagraph"/>
              <w:rPr>
                <w:sz w:val="22"/>
              </w:rPr>
            </w:pPr>
            <w:r>
              <w:rPr>
                <w:rFonts w:ascii="Cambria"/>
                <w:sz w:val="22"/>
              </w:rPr>
              <w:t>dataBar </w:t>
            </w:r>
            <w:r>
              <w:rPr>
                <w:sz w:val="22"/>
              </w:rPr>
              <w:t>(Data Bar)</w:t>
            </w:r>
          </w:p>
        </w:tc>
        <w:tc>
          <w:tcPr>
            <w:tcW w:w="5156" w:type="dxa"/>
          </w:tcPr>
          <w:p>
            <w:pPr>
              <w:pStyle w:val="TableParagraph"/>
              <w:ind w:right="420"/>
              <w:rPr>
                <w:sz w:val="22"/>
              </w:rPr>
            </w:pPr>
            <w:r>
              <w:rPr>
                <w:sz w:val="22"/>
              </w:rPr>
              <w:t>This conditional formatting rule displays a gradated data bar in the range of cells.</w:t>
            </w:r>
          </w:p>
        </w:tc>
      </w:tr>
      <w:tr>
        <w:trPr>
          <w:trHeight w:val="623" w:hRule="atLeast"/>
        </w:trPr>
        <w:tc>
          <w:tcPr>
            <w:tcW w:w="5156" w:type="dxa"/>
          </w:tcPr>
          <w:p>
            <w:pPr>
              <w:pStyle w:val="TableParagraph"/>
              <w:rPr>
                <w:sz w:val="22"/>
              </w:rPr>
            </w:pPr>
            <w:r>
              <w:rPr>
                <w:rFonts w:ascii="Cambria"/>
                <w:sz w:val="22"/>
              </w:rPr>
              <w:t>duplicateValues </w:t>
            </w:r>
            <w:r>
              <w:rPr>
                <w:sz w:val="22"/>
              </w:rPr>
              <w:t>(Duplicate Values)</w:t>
            </w:r>
          </w:p>
        </w:tc>
        <w:tc>
          <w:tcPr>
            <w:tcW w:w="5156" w:type="dxa"/>
          </w:tcPr>
          <w:p>
            <w:pPr>
              <w:pStyle w:val="TableParagraph"/>
              <w:ind w:right="280"/>
              <w:rPr>
                <w:sz w:val="22"/>
              </w:rPr>
            </w:pPr>
            <w:r>
              <w:rPr>
                <w:sz w:val="22"/>
              </w:rPr>
              <w:t>This conditional formatting rule highlights duplicated values.</w:t>
            </w:r>
          </w:p>
        </w:tc>
      </w:tr>
      <w:tr>
        <w:trPr>
          <w:trHeight w:val="892" w:hRule="atLeast"/>
        </w:trPr>
        <w:tc>
          <w:tcPr>
            <w:tcW w:w="5156" w:type="dxa"/>
          </w:tcPr>
          <w:p>
            <w:pPr>
              <w:pStyle w:val="TableParagraph"/>
              <w:rPr>
                <w:sz w:val="22"/>
              </w:rPr>
            </w:pPr>
            <w:r>
              <w:rPr>
                <w:rFonts w:ascii="Cambria"/>
                <w:sz w:val="22"/>
              </w:rPr>
              <w:t>endsWith </w:t>
            </w:r>
            <w:r>
              <w:rPr>
                <w:sz w:val="22"/>
              </w:rPr>
              <w:t>(Ends With)</w:t>
            </w:r>
          </w:p>
        </w:tc>
        <w:tc>
          <w:tcPr>
            <w:tcW w:w="5156" w:type="dxa"/>
          </w:tcPr>
          <w:p>
            <w:pPr>
              <w:pStyle w:val="TableParagraph"/>
              <w:ind w:right="191"/>
              <w:jc w:val="both"/>
              <w:rPr>
                <w:sz w:val="22"/>
              </w:rPr>
            </w:pPr>
            <w:r>
              <w:rPr>
                <w:sz w:val="22"/>
              </w:rPr>
              <w:t>This conditional formatting rule highlights cells ending with given text. Equivalent to using the RIGHT() sheet function and comparing values.</w:t>
            </w:r>
          </w:p>
        </w:tc>
      </w:tr>
      <w:tr>
        <w:trPr>
          <w:trHeight w:val="890" w:hRule="atLeast"/>
        </w:trPr>
        <w:tc>
          <w:tcPr>
            <w:tcW w:w="5156" w:type="dxa"/>
          </w:tcPr>
          <w:p>
            <w:pPr>
              <w:pStyle w:val="TableParagraph"/>
              <w:rPr>
                <w:sz w:val="22"/>
              </w:rPr>
            </w:pPr>
            <w:r>
              <w:rPr>
                <w:rFonts w:ascii="Cambria"/>
                <w:sz w:val="22"/>
              </w:rPr>
              <w:t>expression </w:t>
            </w:r>
            <w:r>
              <w:rPr>
                <w:sz w:val="22"/>
              </w:rPr>
              <w:t>(Expression)</w:t>
            </w:r>
          </w:p>
        </w:tc>
        <w:tc>
          <w:tcPr>
            <w:tcW w:w="5156" w:type="dxa"/>
          </w:tcPr>
          <w:p>
            <w:pPr>
              <w:pStyle w:val="TableParagraph"/>
              <w:ind w:right="232"/>
              <w:rPr>
                <w:sz w:val="22"/>
              </w:rPr>
            </w:pPr>
            <w:r>
              <w:rPr>
                <w:sz w:val="22"/>
              </w:rPr>
              <w:t>This conditional formatting rule contains a formula to evaluate. When the formula result is true, the cell is highlighted.</w:t>
            </w:r>
          </w:p>
        </w:tc>
      </w:tr>
      <w:tr>
        <w:trPr>
          <w:trHeight w:val="624" w:hRule="atLeast"/>
        </w:trPr>
        <w:tc>
          <w:tcPr>
            <w:tcW w:w="5156" w:type="dxa"/>
          </w:tcPr>
          <w:p>
            <w:pPr>
              <w:pStyle w:val="TableParagraph"/>
              <w:rPr>
                <w:sz w:val="22"/>
              </w:rPr>
            </w:pPr>
            <w:r>
              <w:rPr>
                <w:rFonts w:ascii="Cambria"/>
                <w:sz w:val="22"/>
              </w:rPr>
              <w:t>iconSet </w:t>
            </w:r>
            <w:r>
              <w:rPr>
                <w:sz w:val="22"/>
              </w:rPr>
              <w:t>(Icon Set)</w:t>
            </w:r>
          </w:p>
        </w:tc>
        <w:tc>
          <w:tcPr>
            <w:tcW w:w="5156" w:type="dxa"/>
          </w:tcPr>
          <w:p>
            <w:pPr>
              <w:pStyle w:val="TableParagraph"/>
              <w:ind w:right="317"/>
              <w:rPr>
                <w:sz w:val="22"/>
              </w:rPr>
            </w:pPr>
            <w:r>
              <w:rPr>
                <w:sz w:val="22"/>
              </w:rPr>
              <w:t>This conditional formatting rule applies icons to cells according to their values.</w:t>
            </w:r>
          </w:p>
        </w:tc>
      </w:tr>
      <w:tr>
        <w:trPr>
          <w:trHeight w:val="1429" w:hRule="atLeast"/>
        </w:trPr>
        <w:tc>
          <w:tcPr>
            <w:tcW w:w="5156" w:type="dxa"/>
          </w:tcPr>
          <w:p>
            <w:pPr>
              <w:pStyle w:val="TableParagraph"/>
              <w:rPr>
                <w:sz w:val="22"/>
              </w:rPr>
            </w:pPr>
            <w:r>
              <w:rPr>
                <w:rFonts w:ascii="Cambria"/>
                <w:sz w:val="22"/>
              </w:rPr>
              <w:t>notContainsBlanks </w:t>
            </w:r>
            <w:r>
              <w:rPr>
                <w:sz w:val="22"/>
              </w:rPr>
              <w:t>(Contains No Blanks)</w:t>
            </w:r>
          </w:p>
        </w:tc>
        <w:tc>
          <w:tcPr>
            <w:tcW w:w="5156" w:type="dxa"/>
          </w:tcPr>
          <w:p>
            <w:pPr>
              <w:pStyle w:val="TableParagraph"/>
              <w:ind w:right="264"/>
              <w:rPr>
                <w:sz w:val="22"/>
              </w:rPr>
            </w:pPr>
            <w:r>
              <w:rPr>
                <w:sz w:val="22"/>
              </w:rPr>
              <w:t>This conditional formatting rule highlights cells that are not blank. Equivalent of using LEN(TRIM()). This means that if the cell contains only characters that TRIM() would remove, then it is considered blank. An empty cell is also considered blank.</w:t>
            </w:r>
          </w:p>
        </w:tc>
      </w:tr>
      <w:tr>
        <w:trPr>
          <w:trHeight w:val="354" w:hRule="atLeast"/>
        </w:trPr>
        <w:tc>
          <w:tcPr>
            <w:tcW w:w="5156" w:type="dxa"/>
          </w:tcPr>
          <w:p>
            <w:pPr>
              <w:pStyle w:val="TableParagraph"/>
              <w:rPr>
                <w:sz w:val="22"/>
              </w:rPr>
            </w:pPr>
            <w:r>
              <w:rPr>
                <w:rFonts w:ascii="Cambria"/>
                <w:sz w:val="22"/>
              </w:rPr>
              <w:t>notContainsErrors </w:t>
            </w:r>
            <w:r>
              <w:rPr>
                <w:sz w:val="22"/>
              </w:rPr>
              <w:t>(Contains No Errors)</w:t>
            </w:r>
          </w:p>
        </w:tc>
        <w:tc>
          <w:tcPr>
            <w:tcW w:w="5156" w:type="dxa"/>
          </w:tcPr>
          <w:p>
            <w:pPr>
              <w:pStyle w:val="TableParagraph"/>
              <w:rPr>
                <w:sz w:val="22"/>
              </w:rPr>
            </w:pPr>
            <w:r>
              <w:rPr>
                <w:sz w:val="22"/>
              </w:rPr>
              <w:t>This conditional formatting rule highlights cells</w:t>
            </w:r>
          </w:p>
        </w:tc>
      </w:tr>
    </w:tbl>
    <w:p>
      <w:pPr>
        <w:spacing w:after="0"/>
        <w:rPr>
          <w:sz w:val="22"/>
        </w:rPr>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spacing w:before="0"/>
              <w:ind w:left="0"/>
              <w:rPr>
                <w:rFonts w:ascii="Times New Roman"/>
                <w:sz w:val="22"/>
              </w:rPr>
            </w:pPr>
          </w:p>
        </w:tc>
        <w:tc>
          <w:tcPr>
            <w:tcW w:w="5156" w:type="dxa"/>
          </w:tcPr>
          <w:p>
            <w:pPr>
              <w:pStyle w:val="TableParagraph"/>
              <w:ind w:right="133"/>
              <w:rPr>
                <w:sz w:val="22"/>
              </w:rPr>
            </w:pPr>
            <w:r>
              <w:rPr>
                <w:sz w:val="22"/>
              </w:rPr>
              <w:t>without formula errors. Equivalent to using ISERROR() sheet function to determine if there is a formula error.</w:t>
            </w:r>
          </w:p>
        </w:tc>
      </w:tr>
      <w:tr>
        <w:trPr>
          <w:trHeight w:val="890" w:hRule="atLeast"/>
        </w:trPr>
        <w:tc>
          <w:tcPr>
            <w:tcW w:w="5156" w:type="dxa"/>
          </w:tcPr>
          <w:p>
            <w:pPr>
              <w:pStyle w:val="TableParagraph"/>
              <w:rPr>
                <w:sz w:val="22"/>
              </w:rPr>
            </w:pPr>
            <w:r>
              <w:rPr>
                <w:rFonts w:ascii="Cambria"/>
                <w:sz w:val="22"/>
              </w:rPr>
              <w:t>notContainsText </w:t>
            </w:r>
            <w:r>
              <w:rPr>
                <w:sz w:val="22"/>
              </w:rPr>
              <w:t>(Does Not Contain Text)</w:t>
            </w:r>
          </w:p>
        </w:tc>
        <w:tc>
          <w:tcPr>
            <w:tcW w:w="5156" w:type="dxa"/>
          </w:tcPr>
          <w:p>
            <w:pPr>
              <w:pStyle w:val="TableParagraph"/>
              <w:ind w:right="136"/>
              <w:rPr>
                <w:sz w:val="22"/>
              </w:rPr>
            </w:pPr>
            <w:r>
              <w:rPr>
                <w:sz w:val="22"/>
              </w:rPr>
              <w:t>This conditional formatting rule highlights cells that do not contain given text. Equivalent to using the SEARCH() sheet function.</w:t>
            </w:r>
          </w:p>
        </w:tc>
      </w:tr>
      <w:tr>
        <w:trPr>
          <w:trHeight w:val="1968" w:hRule="atLeast"/>
        </w:trPr>
        <w:tc>
          <w:tcPr>
            <w:tcW w:w="5156" w:type="dxa"/>
          </w:tcPr>
          <w:p>
            <w:pPr>
              <w:pStyle w:val="TableParagraph"/>
              <w:rPr>
                <w:sz w:val="22"/>
              </w:rPr>
            </w:pPr>
            <w:r>
              <w:rPr>
                <w:rFonts w:ascii="Cambria"/>
                <w:sz w:val="22"/>
              </w:rPr>
              <w:t>timePeriod </w:t>
            </w:r>
            <w:r>
              <w:rPr>
                <w:sz w:val="22"/>
              </w:rPr>
              <w:t>(Time Period)</w:t>
            </w:r>
          </w:p>
        </w:tc>
        <w:tc>
          <w:tcPr>
            <w:tcW w:w="5156" w:type="dxa"/>
          </w:tcPr>
          <w:p>
            <w:pPr>
              <w:pStyle w:val="TableParagraph"/>
              <w:ind w:right="166"/>
              <w:rPr>
                <w:sz w:val="22"/>
              </w:rPr>
            </w:pPr>
            <w:r>
              <w:rPr>
                <w:sz w:val="22"/>
              </w:rPr>
              <w:t>This conditional formatting rule highlights cells containing dates in the specified time period. The underlying value of the cell is evaluated, therefore the cell does not need to be formatted as a date to be evaluated. For example, with a cell containing the value 38913 the conditional format shall be applied if the rule requires a value of 7/14/2006.</w:t>
            </w:r>
          </w:p>
        </w:tc>
      </w:tr>
      <w:tr>
        <w:trPr>
          <w:trHeight w:val="889" w:hRule="atLeast"/>
        </w:trPr>
        <w:tc>
          <w:tcPr>
            <w:tcW w:w="5156" w:type="dxa"/>
          </w:tcPr>
          <w:p>
            <w:pPr>
              <w:pStyle w:val="TableParagraph"/>
              <w:rPr>
                <w:sz w:val="22"/>
              </w:rPr>
            </w:pPr>
            <w:r>
              <w:rPr>
                <w:rFonts w:ascii="Cambria"/>
                <w:sz w:val="22"/>
              </w:rPr>
              <w:t>top10 </w:t>
            </w:r>
            <w:r>
              <w:rPr>
                <w:sz w:val="22"/>
              </w:rPr>
              <w:t>(Top 10)</w:t>
            </w:r>
          </w:p>
        </w:tc>
        <w:tc>
          <w:tcPr>
            <w:tcW w:w="5156" w:type="dxa"/>
          </w:tcPr>
          <w:p>
            <w:pPr>
              <w:pStyle w:val="TableParagraph"/>
              <w:ind w:right="201"/>
              <w:rPr>
                <w:sz w:val="22"/>
              </w:rPr>
            </w:pPr>
            <w:r>
              <w:rPr>
                <w:sz w:val="22"/>
              </w:rPr>
              <w:t>This conditional formatting rule highlights cells whose values fall in the top N or bottom N bracket, as specified.</w:t>
            </w:r>
          </w:p>
        </w:tc>
      </w:tr>
      <w:tr>
        <w:trPr>
          <w:trHeight w:val="623" w:hRule="atLeast"/>
        </w:trPr>
        <w:tc>
          <w:tcPr>
            <w:tcW w:w="5156" w:type="dxa"/>
          </w:tcPr>
          <w:p>
            <w:pPr>
              <w:pStyle w:val="TableParagraph"/>
              <w:rPr>
                <w:sz w:val="22"/>
              </w:rPr>
            </w:pPr>
            <w:r>
              <w:rPr>
                <w:rFonts w:ascii="Cambria"/>
                <w:sz w:val="22"/>
              </w:rPr>
              <w:t>uniqueValues </w:t>
            </w:r>
            <w:r>
              <w:rPr>
                <w:sz w:val="22"/>
              </w:rPr>
              <w:t>(Unique Values)</w:t>
            </w:r>
          </w:p>
        </w:tc>
        <w:tc>
          <w:tcPr>
            <w:tcW w:w="5156" w:type="dxa"/>
          </w:tcPr>
          <w:p>
            <w:pPr>
              <w:pStyle w:val="TableParagraph"/>
              <w:ind w:right="603"/>
              <w:rPr>
                <w:sz w:val="22"/>
              </w:rPr>
            </w:pPr>
            <w:r>
              <w:rPr>
                <w:sz w:val="22"/>
              </w:rPr>
              <w:t>This conditional formatting rule highlights unique values in the range.</w:t>
            </w:r>
          </w:p>
        </w:tc>
      </w:tr>
    </w:tbl>
    <w:p>
      <w:pPr>
        <w:pStyle w:val="BodyText"/>
        <w:rPr>
          <w:sz w:val="20"/>
        </w:rPr>
      </w:pPr>
    </w:p>
    <w:p>
      <w:pPr>
        <w:pStyle w:val="BodyText"/>
        <w:spacing w:before="10"/>
        <w:rPr>
          <w:sz w:val="16"/>
        </w:rPr>
      </w:pPr>
    </w:p>
    <w:p>
      <w:pPr>
        <w:pStyle w:val="BodyText"/>
        <w:spacing w:line="278" w:lineRule="auto" w:before="56"/>
        <w:ind w:left="220" w:right="593"/>
      </w:pPr>
      <w:r>
        <w:rPr/>
        <w:t>[</w:t>
      </w:r>
      <w:r>
        <w:rPr>
          <w:i/>
        </w:rPr>
        <w:t>Note</w:t>
      </w:r>
      <w:r>
        <w:rPr/>
        <w:t>: The W3C XML Schema definition of this simple type’s content model (</w:t>
      </w:r>
      <w:r>
        <w:rPr>
          <w:color w:val="5F5F5F"/>
          <w:u w:val="single" w:color="5F5F5F"/>
        </w:rPr>
        <w:t>ST_CfType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13 ST_CfvoType (Conditional Format" w:id="2504"/>
      <w:bookmarkEnd w:id="2504"/>
      <w:r>
        <w:rPr>
          <w:b w:val="0"/>
        </w:rPr>
      </w:r>
      <w:bookmarkStart w:name="_bookmark835" w:id="2505"/>
      <w:bookmarkEnd w:id="2505"/>
      <w:r>
        <w:rPr>
          <w:b w:val="0"/>
        </w:rPr>
      </w:r>
      <w:bookmarkStart w:name="_bookmark835" w:id="2506"/>
      <w:bookmarkEnd w:id="2506"/>
      <w:r>
        <w:rPr>
          <w:color w:val="4F81BC"/>
        </w:rPr>
        <w:t>S</w:t>
      </w:r>
      <w:r>
        <w:rPr>
          <w:color w:val="4F81BC"/>
        </w:rPr>
        <w:t>T_CfvoType (Conditional Format Value Object</w:t>
      </w:r>
      <w:r>
        <w:rPr>
          <w:color w:val="4F81BC"/>
          <w:spacing w:val="-5"/>
        </w:rPr>
        <w:t> </w:t>
      </w:r>
      <w:r>
        <w:rPr>
          <w:color w:val="4F81BC"/>
        </w:rPr>
        <w:t>Type)</w:t>
      </w:r>
    </w:p>
    <w:p>
      <w:pPr>
        <w:pStyle w:val="BodyText"/>
        <w:spacing w:line="278" w:lineRule="auto" w:before="122"/>
        <w:ind w:left="220" w:right="1164"/>
      </w:pPr>
      <w:r>
        <w:rPr/>
        <w:t>This simple type expresses the type of the conditional formatting value object (cfvo). In general the cfvo specifies one value used in the gradated scale (max, min, midpoint, etc).</w:t>
      </w:r>
    </w:p>
    <w:p>
      <w:pPr>
        <w:pStyle w:val="BodyText"/>
        <w:spacing w:before="2"/>
        <w:rPr>
          <w:sz w:val="16"/>
        </w:rPr>
      </w:pPr>
    </w:p>
    <w:p>
      <w:pPr>
        <w:pStyle w:val="BodyText"/>
        <w:spacing w:line="489" w:lineRule="auto" w:before="1"/>
        <w:ind w:left="220" w:right="2804"/>
      </w:pPr>
      <w:r>
        <w:rPr/>
        <w:pict>
          <v:shape style="position:absolute;margin-left:48pt;margin-top:42.923668pt;width:516.35pt;height:190.5pt;mso-position-horizontal-relative:page;mso-position-vertical-relative:paragraph;z-index:2518968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formula </w:t>
                        </w:r>
                        <w:r>
                          <w:rPr>
                            <w:sz w:val="22"/>
                          </w:rPr>
                          <w:t>(Formula)</w:t>
                        </w:r>
                      </w:p>
                    </w:tc>
                    <w:tc>
                      <w:tcPr>
                        <w:tcW w:w="5156" w:type="dxa"/>
                      </w:tcPr>
                      <w:p>
                        <w:pPr>
                          <w:pStyle w:val="TableParagraph"/>
                          <w:ind w:right="555"/>
                          <w:rPr>
                            <w:sz w:val="22"/>
                          </w:rPr>
                        </w:pPr>
                        <w:r>
                          <w:rPr>
                            <w:sz w:val="22"/>
                          </w:rPr>
                          <w:t>The minimum/ midpoint / maximum value for the gradient is determined by a formula.</w:t>
                        </w:r>
                      </w:p>
                    </w:tc>
                  </w:tr>
                  <w:tr>
                    <w:trPr>
                      <w:trHeight w:val="623" w:hRule="atLeast"/>
                    </w:trPr>
                    <w:tc>
                      <w:tcPr>
                        <w:tcW w:w="5156" w:type="dxa"/>
                      </w:tcPr>
                      <w:p>
                        <w:pPr>
                          <w:pStyle w:val="TableParagraph"/>
                          <w:rPr>
                            <w:sz w:val="22"/>
                          </w:rPr>
                        </w:pPr>
                        <w:r>
                          <w:rPr>
                            <w:rFonts w:ascii="Cambria"/>
                            <w:sz w:val="22"/>
                          </w:rPr>
                          <w:t>max </w:t>
                        </w:r>
                        <w:r>
                          <w:rPr>
                            <w:sz w:val="22"/>
                          </w:rPr>
                          <w:t>(Maximum)</w:t>
                        </w:r>
                      </w:p>
                    </w:tc>
                    <w:tc>
                      <w:tcPr>
                        <w:tcW w:w="5156" w:type="dxa"/>
                      </w:tcPr>
                      <w:p>
                        <w:pPr>
                          <w:pStyle w:val="TableParagraph"/>
                          <w:ind w:right="108"/>
                          <w:rPr>
                            <w:sz w:val="22"/>
                          </w:rPr>
                        </w:pPr>
                        <w:r>
                          <w:rPr>
                            <w:sz w:val="22"/>
                          </w:rPr>
                          <w:t>Indicates that the maximum value in the range shall be used as the maximum value for the gradient.</w:t>
                        </w:r>
                      </w:p>
                    </w:tc>
                  </w:tr>
                  <w:tr>
                    <w:trPr>
                      <w:trHeight w:val="624" w:hRule="atLeast"/>
                    </w:trPr>
                    <w:tc>
                      <w:tcPr>
                        <w:tcW w:w="5156" w:type="dxa"/>
                      </w:tcPr>
                      <w:p>
                        <w:pPr>
                          <w:pStyle w:val="TableParagraph"/>
                          <w:rPr>
                            <w:sz w:val="22"/>
                          </w:rPr>
                        </w:pPr>
                        <w:r>
                          <w:rPr>
                            <w:rFonts w:ascii="Cambria"/>
                            <w:sz w:val="22"/>
                          </w:rPr>
                          <w:t>min </w:t>
                        </w:r>
                        <w:r>
                          <w:rPr>
                            <w:sz w:val="22"/>
                          </w:rPr>
                          <w:t>(Minimum)</w:t>
                        </w:r>
                      </w:p>
                    </w:tc>
                    <w:tc>
                      <w:tcPr>
                        <w:tcW w:w="5156" w:type="dxa"/>
                      </w:tcPr>
                      <w:p>
                        <w:pPr>
                          <w:pStyle w:val="TableParagraph"/>
                          <w:ind w:right="143"/>
                          <w:rPr>
                            <w:sz w:val="22"/>
                          </w:rPr>
                        </w:pPr>
                        <w:r>
                          <w:rPr>
                            <w:sz w:val="22"/>
                          </w:rPr>
                          <w:t>Indicates that the minimum value in the range shall be used as the minimum value for the gradient.</w:t>
                        </w:r>
                      </w:p>
                    </w:tc>
                  </w:tr>
                  <w:tr>
                    <w:trPr>
                      <w:trHeight w:val="890" w:hRule="atLeast"/>
                    </w:trPr>
                    <w:tc>
                      <w:tcPr>
                        <w:tcW w:w="5156" w:type="dxa"/>
                      </w:tcPr>
                      <w:p>
                        <w:pPr>
                          <w:pStyle w:val="TableParagraph"/>
                          <w:rPr>
                            <w:sz w:val="22"/>
                          </w:rPr>
                        </w:pPr>
                        <w:r>
                          <w:rPr>
                            <w:rFonts w:ascii="Cambria"/>
                            <w:sz w:val="22"/>
                          </w:rPr>
                          <w:t>num </w:t>
                        </w:r>
                        <w:r>
                          <w:rPr>
                            <w:sz w:val="22"/>
                          </w:rPr>
                          <w:t>(Number)</w:t>
                        </w:r>
                      </w:p>
                    </w:tc>
                    <w:tc>
                      <w:tcPr>
                        <w:tcW w:w="5156" w:type="dxa"/>
                      </w:tcPr>
                      <w:p>
                        <w:pPr>
                          <w:pStyle w:val="TableParagraph"/>
                          <w:ind w:right="454"/>
                          <w:rPr>
                            <w:sz w:val="22"/>
                          </w:rPr>
                        </w:pPr>
                        <w:r>
                          <w:rPr>
                            <w:sz w:val="22"/>
                          </w:rPr>
                          <w:t>Indicates that the minimum / midpoint / maximum value for the gradient is specified by a constant numeric value.</w:t>
                        </w:r>
                      </w:p>
                    </w:tc>
                  </w:tr>
                  <w:tr>
                    <w:trPr>
                      <w:trHeight w:val="623" w:hRule="atLeast"/>
                    </w:trPr>
                    <w:tc>
                      <w:tcPr>
                        <w:tcW w:w="5156" w:type="dxa"/>
                      </w:tcPr>
                      <w:p>
                        <w:pPr>
                          <w:pStyle w:val="TableParagraph"/>
                          <w:rPr>
                            <w:sz w:val="22"/>
                          </w:rPr>
                        </w:pPr>
                        <w:r>
                          <w:rPr>
                            <w:rFonts w:ascii="Cambria"/>
                            <w:sz w:val="22"/>
                          </w:rPr>
                          <w:t>percent </w:t>
                        </w:r>
                        <w:r>
                          <w:rPr>
                            <w:sz w:val="22"/>
                          </w:rPr>
                          <w:t>(Percent)</w:t>
                        </w:r>
                      </w:p>
                    </w:tc>
                    <w:tc>
                      <w:tcPr>
                        <w:tcW w:w="5156" w:type="dxa"/>
                      </w:tcPr>
                      <w:p>
                        <w:pPr>
                          <w:pStyle w:val="TableParagraph"/>
                          <w:ind w:right="191"/>
                          <w:rPr>
                            <w:sz w:val="22"/>
                          </w:rPr>
                        </w:pPr>
                        <w:r>
                          <w:rPr>
                            <w:sz w:val="22"/>
                          </w:rPr>
                          <w:t>Value indicates a percentage between the minimum and maximum values in the range shall be used as the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spacing w:before="0"/>
              <w:ind w:left="0"/>
              <w:rPr>
                <w:rFonts w:ascii="Times New Roman"/>
                <w:sz w:val="22"/>
              </w:rPr>
            </w:pPr>
          </w:p>
        </w:tc>
        <w:tc>
          <w:tcPr>
            <w:tcW w:w="5156" w:type="dxa"/>
          </w:tcPr>
          <w:p>
            <w:pPr>
              <w:pStyle w:val="TableParagraph"/>
              <w:ind w:right="887"/>
              <w:rPr>
                <w:sz w:val="22"/>
              </w:rPr>
            </w:pPr>
            <w:r>
              <w:rPr>
                <w:sz w:val="22"/>
              </w:rPr>
              <w:t>minimum / midpoint / maximum value for the gradient.</w:t>
            </w:r>
          </w:p>
        </w:tc>
      </w:tr>
      <w:tr>
        <w:trPr>
          <w:trHeight w:val="892" w:hRule="atLeast"/>
        </w:trPr>
        <w:tc>
          <w:tcPr>
            <w:tcW w:w="5156" w:type="dxa"/>
          </w:tcPr>
          <w:p>
            <w:pPr>
              <w:pStyle w:val="TableParagraph"/>
              <w:rPr>
                <w:sz w:val="22"/>
              </w:rPr>
            </w:pPr>
            <w:r>
              <w:rPr>
                <w:rFonts w:ascii="Cambria"/>
                <w:sz w:val="22"/>
              </w:rPr>
              <w:t>percentile </w:t>
            </w:r>
            <w:r>
              <w:rPr>
                <w:sz w:val="22"/>
              </w:rPr>
              <w:t>(Percentile)</w:t>
            </w:r>
          </w:p>
        </w:tc>
        <w:tc>
          <w:tcPr>
            <w:tcW w:w="5156" w:type="dxa"/>
          </w:tcPr>
          <w:p>
            <w:pPr>
              <w:pStyle w:val="TableParagraph"/>
              <w:ind w:right="221"/>
              <w:jc w:val="both"/>
              <w:rPr>
                <w:sz w:val="22"/>
              </w:rPr>
            </w:pPr>
            <w:r>
              <w:rPr>
                <w:sz w:val="22"/>
              </w:rPr>
              <w:t>Value indicates a percentile ranking in the range shall be used as the minimum / midpoint / maximum value for the gradient.</w:t>
            </w:r>
          </w:p>
        </w:tc>
      </w:tr>
    </w:tbl>
    <w:p>
      <w:pPr>
        <w:pStyle w:val="BodyText"/>
        <w:rPr>
          <w:sz w:val="20"/>
        </w:rPr>
      </w:pPr>
    </w:p>
    <w:p>
      <w:pPr>
        <w:pStyle w:val="BodyText"/>
        <w:spacing w:before="10"/>
        <w:rPr>
          <w:sz w:val="16"/>
        </w:rPr>
      </w:pPr>
    </w:p>
    <w:p>
      <w:pPr>
        <w:pStyle w:val="BodyText"/>
        <w:spacing w:line="276" w:lineRule="auto" w:before="56"/>
        <w:ind w:left="220" w:right="378"/>
      </w:pPr>
      <w:r>
        <w:rPr/>
        <w:t>[</w:t>
      </w:r>
      <w:r>
        <w:rPr>
          <w:i/>
        </w:rPr>
        <w:t>Note</w:t>
      </w:r>
      <w:r>
        <w:rPr/>
        <w:t>: The W3C XML Schema definition of this simple type’s content model (</w:t>
      </w:r>
      <w:r>
        <w:rPr>
          <w:color w:val="5F5F5F"/>
          <w:u w:val="single" w:color="5F5F5F"/>
        </w:rPr>
        <w:t>ST_CfvoType</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14 ST_Comments (Comment Display Ty" w:id="2507"/>
      <w:bookmarkEnd w:id="2507"/>
      <w:r>
        <w:rPr>
          <w:b w:val="0"/>
        </w:rPr>
      </w:r>
      <w:bookmarkStart w:name="_bookmark836" w:id="2508"/>
      <w:bookmarkEnd w:id="2508"/>
      <w:r>
        <w:rPr>
          <w:b w:val="0"/>
        </w:rPr>
      </w:r>
      <w:bookmarkStart w:name="_bookmark836" w:id="2509"/>
      <w:bookmarkEnd w:id="2509"/>
      <w:r>
        <w:rPr>
          <w:color w:val="4F81BC"/>
        </w:rPr>
        <w:t>S</w:t>
      </w:r>
      <w:r>
        <w:rPr>
          <w:color w:val="4F81BC"/>
        </w:rPr>
        <w:t>T_Comments (Comment Display Types)</w:t>
      </w:r>
    </w:p>
    <w:p>
      <w:pPr>
        <w:pStyle w:val="BodyText"/>
        <w:spacing w:before="127"/>
        <w:ind w:left="220"/>
      </w:pPr>
      <w:r>
        <w:rPr/>
        <w:t>This simple type defines options for displaying comments in the user interface.</w:t>
      </w:r>
    </w:p>
    <w:p>
      <w:pPr>
        <w:pStyle w:val="BodyText"/>
        <w:spacing w:before="8"/>
        <w:rPr>
          <w:sz w:val="19"/>
        </w:rPr>
      </w:pPr>
    </w:p>
    <w:p>
      <w:pPr>
        <w:pStyle w:val="BodyText"/>
        <w:spacing w:line="489" w:lineRule="auto" w:before="1"/>
        <w:ind w:left="220" w:right="2804"/>
      </w:pPr>
      <w:r>
        <w:rPr/>
        <w:pict>
          <v:shape style="position:absolute;margin-left:48pt;margin-top:42.923615pt;width:516.35pt;height:113.7pt;mso-position-horizontal-relative:page;mso-position-vertical-relative:paragraph;z-index:2518978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commIndAndComment </w:t>
                        </w:r>
                        <w:r>
                          <w:rPr>
                            <w:sz w:val="22"/>
                          </w:rPr>
                          <w:t>(Show Comment &amp; Indicator)</w:t>
                        </w:r>
                      </w:p>
                    </w:tc>
                    <w:tc>
                      <w:tcPr>
                        <w:tcW w:w="5156" w:type="dxa"/>
                      </w:tcPr>
                      <w:p>
                        <w:pPr>
                          <w:pStyle w:val="TableParagraph"/>
                          <w:ind w:right="827"/>
                          <w:rPr>
                            <w:sz w:val="22"/>
                          </w:rPr>
                        </w:pPr>
                        <w:r>
                          <w:rPr>
                            <w:sz w:val="22"/>
                          </w:rPr>
                          <w:t>Indicates that both the comment indicator and comment text be show in the user interface.</w:t>
                        </w:r>
                      </w:p>
                    </w:tc>
                  </w:tr>
                  <w:tr>
                    <w:trPr>
                      <w:trHeight w:val="623" w:hRule="atLeast"/>
                    </w:trPr>
                    <w:tc>
                      <w:tcPr>
                        <w:tcW w:w="5156" w:type="dxa"/>
                      </w:tcPr>
                      <w:p>
                        <w:pPr>
                          <w:pStyle w:val="TableParagraph"/>
                          <w:rPr>
                            <w:sz w:val="22"/>
                          </w:rPr>
                        </w:pPr>
                        <w:r>
                          <w:rPr>
                            <w:rFonts w:ascii="Cambria"/>
                            <w:sz w:val="22"/>
                          </w:rPr>
                          <w:t>commIndicator </w:t>
                        </w:r>
                        <w:r>
                          <w:rPr>
                            <w:sz w:val="22"/>
                          </w:rPr>
                          <w:t>(Show Comment Indicator)</w:t>
                        </w:r>
                      </w:p>
                    </w:tc>
                    <w:tc>
                      <w:tcPr>
                        <w:tcW w:w="5156" w:type="dxa"/>
                      </w:tcPr>
                      <w:p>
                        <w:pPr>
                          <w:pStyle w:val="TableParagraph"/>
                          <w:ind w:right="121"/>
                          <w:rPr>
                            <w:sz w:val="22"/>
                          </w:rPr>
                        </w:pPr>
                        <w:r>
                          <w:rPr>
                            <w:sz w:val="22"/>
                          </w:rPr>
                          <w:t>Indicates that only the comment indicator be shown in the user interface.</w:t>
                        </w:r>
                      </w:p>
                    </w:tc>
                  </w:tr>
                  <w:tr>
                    <w:trPr>
                      <w:trHeight w:val="621" w:hRule="atLeast"/>
                    </w:trPr>
                    <w:tc>
                      <w:tcPr>
                        <w:tcW w:w="5156" w:type="dxa"/>
                      </w:tcPr>
                      <w:p>
                        <w:pPr>
                          <w:pStyle w:val="TableParagraph"/>
                          <w:rPr>
                            <w:sz w:val="22"/>
                          </w:rPr>
                        </w:pPr>
                        <w:r>
                          <w:rPr>
                            <w:rFonts w:ascii="Cambria"/>
                            <w:sz w:val="22"/>
                          </w:rPr>
                          <w:t>commNone </w:t>
                        </w:r>
                        <w:r>
                          <w:rPr>
                            <w:sz w:val="22"/>
                          </w:rPr>
                          <w:t>(No Comments)</w:t>
                        </w:r>
                      </w:p>
                    </w:tc>
                    <w:tc>
                      <w:tcPr>
                        <w:tcW w:w="5156" w:type="dxa"/>
                      </w:tcPr>
                      <w:p>
                        <w:pPr>
                          <w:pStyle w:val="TableParagraph"/>
                          <w:spacing w:line="237" w:lineRule="auto" w:before="42"/>
                          <w:ind w:right="521"/>
                          <w:rPr>
                            <w:sz w:val="22"/>
                          </w:rPr>
                        </w:pPr>
                        <w:r>
                          <w:rPr>
                            <w:sz w:val="22"/>
                          </w:rPr>
                          <w:t>Indicates that comments not be shown in the user interface.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32"/>
        </w:rPr>
      </w:pPr>
    </w:p>
    <w:p>
      <w:pPr>
        <w:pStyle w:val="BodyText"/>
        <w:ind w:left="220"/>
      </w:pPr>
      <w:r>
        <w:rPr/>
        <w:t>[</w:t>
      </w:r>
      <w:r>
        <w:rPr>
          <w:i/>
        </w:rPr>
        <w:t>Note</w:t>
      </w:r>
      <w:r>
        <w:rPr/>
        <w:t>: The W3C XML Schema definition of this simple type’s content model (</w:t>
      </w:r>
      <w:r>
        <w:rPr>
          <w:color w:val="5F5F5F"/>
          <w:u w:val="single" w:color="5F5F5F"/>
        </w:rPr>
        <w:t>ST_Comments</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15 ST_ConditionalFormattingOperato" w:id="2510"/>
      <w:bookmarkEnd w:id="2510"/>
      <w:r>
        <w:rPr>
          <w:b w:val="0"/>
        </w:rPr>
      </w:r>
      <w:bookmarkStart w:name="_bookmark837" w:id="2511"/>
      <w:bookmarkEnd w:id="2511"/>
      <w:r>
        <w:rPr>
          <w:b w:val="0"/>
        </w:rPr>
      </w:r>
      <w:bookmarkStart w:name="_bookmark837" w:id="2512"/>
      <w:bookmarkEnd w:id="2512"/>
      <w:r>
        <w:rPr>
          <w:color w:val="4F81BC"/>
        </w:rPr>
        <w:t>S</w:t>
      </w:r>
      <w:r>
        <w:rPr>
          <w:color w:val="4F81BC"/>
        </w:rPr>
        <w:t>T_ConditionalFormattingOperator (Conditional Format</w:t>
      </w:r>
      <w:r>
        <w:rPr>
          <w:color w:val="4F81BC"/>
          <w:spacing w:val="-5"/>
        </w:rPr>
        <w:t> </w:t>
      </w:r>
      <w:r>
        <w:rPr>
          <w:color w:val="4F81BC"/>
        </w:rPr>
        <w:t>Operators)</w:t>
      </w:r>
    </w:p>
    <w:p>
      <w:pPr>
        <w:pStyle w:val="BodyText"/>
        <w:spacing w:before="124"/>
        <w:ind w:left="220"/>
      </w:pPr>
      <w:r>
        <w:rPr/>
        <w:t>These conditional format operators are used for "Highlight Cells That Contain…" rules. For example, "highlight</w:t>
      </w:r>
    </w:p>
    <w:p>
      <w:pPr>
        <w:pStyle w:val="BodyText"/>
        <w:spacing w:before="41"/>
        <w:ind w:left="220"/>
      </w:pPr>
      <w:r>
        <w:rPr/>
        <w:t>cells that begin with "M2" and contain "Mountain Gear"".</w:t>
      </w:r>
    </w:p>
    <w:p>
      <w:pPr>
        <w:pStyle w:val="BodyText"/>
        <w:spacing w:before="8"/>
        <w:rPr>
          <w:sz w:val="19"/>
        </w:rPr>
      </w:pPr>
    </w:p>
    <w:p>
      <w:pPr>
        <w:pStyle w:val="BodyText"/>
        <w:spacing w:line="489" w:lineRule="auto"/>
        <w:ind w:left="220" w:right="2804"/>
      </w:pPr>
      <w:r>
        <w:rPr/>
        <w:pict>
          <v:shape style="position:absolute;margin-left:48pt;margin-top:42.993649pt;width:516.35pt;height:109.85pt;mso-position-horizontal-relative:page;mso-position-vertical-relative:paragraph;z-index:2518988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2" w:hRule="atLeast"/>
                    </w:trPr>
                    <w:tc>
                      <w:tcPr>
                        <w:tcW w:w="5156" w:type="dxa"/>
                      </w:tcPr>
                      <w:p>
                        <w:pPr>
                          <w:pStyle w:val="TableParagraph"/>
                          <w:rPr>
                            <w:sz w:val="22"/>
                          </w:rPr>
                        </w:pPr>
                        <w:r>
                          <w:rPr>
                            <w:rFonts w:ascii="Cambria"/>
                            <w:sz w:val="22"/>
                          </w:rPr>
                          <w:t>beginsWith </w:t>
                        </w:r>
                        <w:r>
                          <w:rPr>
                            <w:sz w:val="22"/>
                          </w:rPr>
                          <w:t>(Begins With)</w:t>
                        </w:r>
                      </w:p>
                    </w:tc>
                    <w:tc>
                      <w:tcPr>
                        <w:tcW w:w="5156" w:type="dxa"/>
                      </w:tcPr>
                      <w:p>
                        <w:pPr>
                          <w:pStyle w:val="TableParagraph"/>
                          <w:rPr>
                            <w:sz w:val="22"/>
                          </w:rPr>
                        </w:pPr>
                        <w:r>
                          <w:rPr>
                            <w:sz w:val="22"/>
                          </w:rPr>
                          <w:t>'Begins with' operator</w:t>
                        </w:r>
                      </w:p>
                    </w:tc>
                  </w:tr>
                  <w:tr>
                    <w:trPr>
                      <w:trHeight w:val="354" w:hRule="atLeast"/>
                    </w:trPr>
                    <w:tc>
                      <w:tcPr>
                        <w:tcW w:w="5156" w:type="dxa"/>
                      </w:tcPr>
                      <w:p>
                        <w:pPr>
                          <w:pStyle w:val="TableParagraph"/>
                          <w:spacing w:before="42"/>
                          <w:rPr>
                            <w:sz w:val="22"/>
                          </w:rPr>
                        </w:pPr>
                        <w:r>
                          <w:rPr>
                            <w:rFonts w:ascii="Cambria"/>
                            <w:sz w:val="22"/>
                          </w:rPr>
                          <w:t>between </w:t>
                        </w:r>
                        <w:r>
                          <w:rPr>
                            <w:sz w:val="22"/>
                          </w:rPr>
                          <w:t>(Between)</w:t>
                        </w:r>
                      </w:p>
                    </w:tc>
                    <w:tc>
                      <w:tcPr>
                        <w:tcW w:w="5156" w:type="dxa"/>
                      </w:tcPr>
                      <w:p>
                        <w:pPr>
                          <w:pStyle w:val="TableParagraph"/>
                          <w:spacing w:before="42"/>
                          <w:rPr>
                            <w:sz w:val="22"/>
                          </w:rPr>
                        </w:pPr>
                        <w:r>
                          <w:rPr>
                            <w:sz w:val="22"/>
                          </w:rPr>
                          <w:t>'Between' operator</w:t>
                        </w:r>
                      </w:p>
                    </w:tc>
                  </w:tr>
                  <w:tr>
                    <w:trPr>
                      <w:trHeight w:val="354" w:hRule="atLeast"/>
                    </w:trPr>
                    <w:tc>
                      <w:tcPr>
                        <w:tcW w:w="5156" w:type="dxa"/>
                      </w:tcPr>
                      <w:p>
                        <w:pPr>
                          <w:pStyle w:val="TableParagraph"/>
                          <w:rPr>
                            <w:sz w:val="22"/>
                          </w:rPr>
                        </w:pPr>
                        <w:r>
                          <w:rPr>
                            <w:rFonts w:ascii="Cambria"/>
                            <w:sz w:val="22"/>
                          </w:rPr>
                          <w:t>containsText </w:t>
                        </w:r>
                        <w:r>
                          <w:rPr>
                            <w:sz w:val="22"/>
                          </w:rPr>
                          <w:t>(Contains)</w:t>
                        </w:r>
                      </w:p>
                    </w:tc>
                    <w:tc>
                      <w:tcPr>
                        <w:tcW w:w="5156" w:type="dxa"/>
                      </w:tcPr>
                      <w:p>
                        <w:pPr>
                          <w:pStyle w:val="TableParagraph"/>
                          <w:rPr>
                            <w:sz w:val="22"/>
                          </w:rPr>
                        </w:pPr>
                        <w:r>
                          <w:rPr>
                            <w:sz w:val="22"/>
                          </w:rPr>
                          <w:t>'Contains' operator</w:t>
                        </w:r>
                      </w:p>
                    </w:tc>
                  </w:tr>
                  <w:tr>
                    <w:trPr>
                      <w:trHeight w:val="354" w:hRule="atLeast"/>
                    </w:trPr>
                    <w:tc>
                      <w:tcPr>
                        <w:tcW w:w="5156" w:type="dxa"/>
                      </w:tcPr>
                      <w:p>
                        <w:pPr>
                          <w:pStyle w:val="TableParagraph"/>
                          <w:rPr>
                            <w:sz w:val="22"/>
                          </w:rPr>
                        </w:pPr>
                        <w:r>
                          <w:rPr>
                            <w:rFonts w:ascii="Cambria"/>
                            <w:sz w:val="22"/>
                          </w:rPr>
                          <w:t>endsWith </w:t>
                        </w:r>
                        <w:r>
                          <w:rPr>
                            <w:sz w:val="22"/>
                          </w:rPr>
                          <w:t>(Ends With)</w:t>
                        </w:r>
                      </w:p>
                    </w:tc>
                    <w:tc>
                      <w:tcPr>
                        <w:tcW w:w="5156" w:type="dxa"/>
                      </w:tcPr>
                      <w:p>
                        <w:pPr>
                          <w:pStyle w:val="TableParagraph"/>
                          <w:rPr>
                            <w:sz w:val="22"/>
                          </w:rPr>
                        </w:pPr>
                        <w:r>
                          <w:rPr>
                            <w:sz w:val="22"/>
                          </w:rPr>
                          <w:t>'Ends with' operator</w:t>
                        </w:r>
                      </w:p>
                    </w:tc>
                  </w:tr>
                  <w:tr>
                    <w:trPr>
                      <w:trHeight w:val="354" w:hRule="atLeast"/>
                    </w:trPr>
                    <w:tc>
                      <w:tcPr>
                        <w:tcW w:w="5156" w:type="dxa"/>
                      </w:tcPr>
                      <w:p>
                        <w:pPr>
                          <w:pStyle w:val="TableParagraph"/>
                          <w:rPr>
                            <w:sz w:val="22"/>
                          </w:rPr>
                        </w:pPr>
                        <w:r>
                          <w:rPr>
                            <w:rFonts w:ascii="Cambria"/>
                            <w:sz w:val="22"/>
                          </w:rPr>
                          <w:t>equal </w:t>
                        </w:r>
                        <w:r>
                          <w:rPr>
                            <w:sz w:val="22"/>
                          </w:rPr>
                          <w:t>(Equal)</w:t>
                        </w:r>
                      </w:p>
                    </w:tc>
                    <w:tc>
                      <w:tcPr>
                        <w:tcW w:w="5156" w:type="dxa"/>
                      </w:tcPr>
                      <w:p>
                        <w:pPr>
                          <w:pStyle w:val="TableParagraph"/>
                          <w:rPr>
                            <w:sz w:val="22"/>
                          </w:rPr>
                        </w:pPr>
                        <w:r>
                          <w:rPr>
                            <w:sz w:val="22"/>
                          </w:rPr>
                          <w:t>'Equal to' operator</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greaterThan </w:t>
            </w:r>
            <w:r>
              <w:rPr>
                <w:sz w:val="22"/>
              </w:rPr>
              <w:t>(Greater Than)</w:t>
            </w:r>
          </w:p>
        </w:tc>
        <w:tc>
          <w:tcPr>
            <w:tcW w:w="5156" w:type="dxa"/>
          </w:tcPr>
          <w:p>
            <w:pPr>
              <w:pStyle w:val="TableParagraph"/>
              <w:rPr>
                <w:sz w:val="22"/>
              </w:rPr>
            </w:pPr>
            <w:r>
              <w:rPr>
                <w:sz w:val="22"/>
              </w:rPr>
              <w:t>'Greater than' operator</w:t>
            </w:r>
          </w:p>
        </w:tc>
      </w:tr>
      <w:tr>
        <w:trPr>
          <w:trHeight w:val="354" w:hRule="atLeast"/>
        </w:trPr>
        <w:tc>
          <w:tcPr>
            <w:tcW w:w="5156" w:type="dxa"/>
          </w:tcPr>
          <w:p>
            <w:pPr>
              <w:pStyle w:val="TableParagraph"/>
              <w:rPr>
                <w:sz w:val="22"/>
              </w:rPr>
            </w:pPr>
            <w:r>
              <w:rPr>
                <w:rFonts w:ascii="Cambria"/>
                <w:sz w:val="22"/>
              </w:rPr>
              <w:t>greaterThanOrEqual </w:t>
            </w:r>
            <w:r>
              <w:rPr>
                <w:sz w:val="22"/>
              </w:rPr>
              <w:t>(Greater Than Or Equal)</w:t>
            </w:r>
          </w:p>
        </w:tc>
        <w:tc>
          <w:tcPr>
            <w:tcW w:w="5156" w:type="dxa"/>
          </w:tcPr>
          <w:p>
            <w:pPr>
              <w:pStyle w:val="TableParagraph"/>
              <w:rPr>
                <w:sz w:val="22"/>
              </w:rPr>
            </w:pPr>
            <w:r>
              <w:rPr>
                <w:sz w:val="22"/>
              </w:rPr>
              <w:t>'Greater than or equal to' operator</w:t>
            </w:r>
          </w:p>
        </w:tc>
      </w:tr>
      <w:tr>
        <w:trPr>
          <w:trHeight w:val="352" w:hRule="atLeast"/>
        </w:trPr>
        <w:tc>
          <w:tcPr>
            <w:tcW w:w="5156" w:type="dxa"/>
          </w:tcPr>
          <w:p>
            <w:pPr>
              <w:pStyle w:val="TableParagraph"/>
              <w:rPr>
                <w:sz w:val="22"/>
              </w:rPr>
            </w:pPr>
            <w:r>
              <w:rPr>
                <w:rFonts w:ascii="Cambria"/>
                <w:sz w:val="22"/>
              </w:rPr>
              <w:t>lessThan </w:t>
            </w:r>
            <w:r>
              <w:rPr>
                <w:sz w:val="22"/>
              </w:rPr>
              <w:t>(Less Than)</w:t>
            </w:r>
          </w:p>
        </w:tc>
        <w:tc>
          <w:tcPr>
            <w:tcW w:w="5156" w:type="dxa"/>
          </w:tcPr>
          <w:p>
            <w:pPr>
              <w:pStyle w:val="TableParagraph"/>
              <w:rPr>
                <w:sz w:val="22"/>
              </w:rPr>
            </w:pPr>
            <w:r>
              <w:rPr>
                <w:sz w:val="22"/>
              </w:rPr>
              <w:t>'Less than' operator</w:t>
            </w:r>
          </w:p>
        </w:tc>
      </w:tr>
      <w:tr>
        <w:trPr>
          <w:trHeight w:val="354" w:hRule="atLeast"/>
        </w:trPr>
        <w:tc>
          <w:tcPr>
            <w:tcW w:w="5156" w:type="dxa"/>
          </w:tcPr>
          <w:p>
            <w:pPr>
              <w:pStyle w:val="TableParagraph"/>
              <w:spacing w:before="42"/>
              <w:rPr>
                <w:sz w:val="22"/>
              </w:rPr>
            </w:pPr>
            <w:r>
              <w:rPr>
                <w:rFonts w:ascii="Cambria"/>
                <w:sz w:val="22"/>
              </w:rPr>
              <w:t>lessThanOrEqual </w:t>
            </w:r>
            <w:r>
              <w:rPr>
                <w:sz w:val="22"/>
              </w:rPr>
              <w:t>(Less Than Or Equal)</w:t>
            </w:r>
          </w:p>
        </w:tc>
        <w:tc>
          <w:tcPr>
            <w:tcW w:w="5156" w:type="dxa"/>
          </w:tcPr>
          <w:p>
            <w:pPr>
              <w:pStyle w:val="TableParagraph"/>
              <w:spacing w:before="42"/>
              <w:rPr>
                <w:sz w:val="22"/>
              </w:rPr>
            </w:pPr>
            <w:r>
              <w:rPr>
                <w:sz w:val="22"/>
              </w:rPr>
              <w:t>'Less than or equal to' operator</w:t>
            </w:r>
          </w:p>
        </w:tc>
      </w:tr>
      <w:tr>
        <w:trPr>
          <w:trHeight w:val="354" w:hRule="atLeast"/>
        </w:trPr>
        <w:tc>
          <w:tcPr>
            <w:tcW w:w="5156" w:type="dxa"/>
          </w:tcPr>
          <w:p>
            <w:pPr>
              <w:pStyle w:val="TableParagraph"/>
              <w:rPr>
                <w:sz w:val="22"/>
              </w:rPr>
            </w:pPr>
            <w:r>
              <w:rPr>
                <w:rFonts w:ascii="Cambria"/>
                <w:sz w:val="22"/>
              </w:rPr>
              <w:t>notBetween </w:t>
            </w:r>
            <w:r>
              <w:rPr>
                <w:sz w:val="22"/>
              </w:rPr>
              <w:t>(Not Between)</w:t>
            </w:r>
          </w:p>
        </w:tc>
        <w:tc>
          <w:tcPr>
            <w:tcW w:w="5156" w:type="dxa"/>
          </w:tcPr>
          <w:p>
            <w:pPr>
              <w:pStyle w:val="TableParagraph"/>
              <w:rPr>
                <w:sz w:val="22"/>
              </w:rPr>
            </w:pPr>
            <w:r>
              <w:rPr>
                <w:sz w:val="22"/>
              </w:rPr>
              <w:t>'Not between' operator</w:t>
            </w:r>
          </w:p>
        </w:tc>
      </w:tr>
      <w:tr>
        <w:trPr>
          <w:trHeight w:val="354" w:hRule="atLeast"/>
        </w:trPr>
        <w:tc>
          <w:tcPr>
            <w:tcW w:w="5156" w:type="dxa"/>
          </w:tcPr>
          <w:p>
            <w:pPr>
              <w:pStyle w:val="TableParagraph"/>
              <w:rPr>
                <w:sz w:val="22"/>
              </w:rPr>
            </w:pPr>
            <w:r>
              <w:rPr>
                <w:rFonts w:ascii="Cambria"/>
                <w:sz w:val="22"/>
              </w:rPr>
              <w:t>notContains </w:t>
            </w:r>
            <w:r>
              <w:rPr>
                <w:sz w:val="22"/>
              </w:rPr>
              <w:t>(Does Not Contain)</w:t>
            </w:r>
          </w:p>
        </w:tc>
        <w:tc>
          <w:tcPr>
            <w:tcW w:w="5156" w:type="dxa"/>
          </w:tcPr>
          <w:p>
            <w:pPr>
              <w:pStyle w:val="TableParagraph"/>
              <w:rPr>
                <w:sz w:val="22"/>
              </w:rPr>
            </w:pPr>
            <w:r>
              <w:rPr>
                <w:sz w:val="22"/>
              </w:rPr>
              <w:t>'Does not contain' operator</w:t>
            </w:r>
          </w:p>
        </w:tc>
      </w:tr>
      <w:tr>
        <w:trPr>
          <w:trHeight w:val="354" w:hRule="atLeast"/>
        </w:trPr>
        <w:tc>
          <w:tcPr>
            <w:tcW w:w="5156" w:type="dxa"/>
          </w:tcPr>
          <w:p>
            <w:pPr>
              <w:pStyle w:val="TableParagraph"/>
              <w:rPr>
                <w:sz w:val="22"/>
              </w:rPr>
            </w:pPr>
            <w:r>
              <w:rPr>
                <w:rFonts w:ascii="Cambria"/>
                <w:sz w:val="22"/>
              </w:rPr>
              <w:t>notEqual </w:t>
            </w:r>
            <w:r>
              <w:rPr>
                <w:sz w:val="22"/>
              </w:rPr>
              <w:t>(Not Equal)</w:t>
            </w:r>
          </w:p>
        </w:tc>
        <w:tc>
          <w:tcPr>
            <w:tcW w:w="5156" w:type="dxa"/>
          </w:tcPr>
          <w:p>
            <w:pPr>
              <w:pStyle w:val="TableParagraph"/>
              <w:rPr>
                <w:sz w:val="22"/>
              </w:rPr>
            </w:pPr>
            <w:r>
              <w:rPr>
                <w:sz w:val="22"/>
              </w:rPr>
              <w:t>'Not equal to' operator</w:t>
            </w:r>
          </w:p>
        </w:tc>
      </w:tr>
    </w:tbl>
    <w:p>
      <w:pPr>
        <w:pStyle w:val="BodyText"/>
        <w:rPr>
          <w:sz w:val="20"/>
        </w:rPr>
      </w:pPr>
    </w:p>
    <w:p>
      <w:pPr>
        <w:pStyle w:val="BodyText"/>
        <w:spacing w:before="10"/>
        <w:rPr>
          <w:sz w:val="16"/>
        </w:rPr>
      </w:pPr>
    </w:p>
    <w:p>
      <w:pPr>
        <w:pStyle w:val="BodyText"/>
        <w:spacing w:line="278" w:lineRule="auto" w:before="56"/>
        <w:ind w:left="220" w:right="377"/>
      </w:pPr>
      <w:r>
        <w:rPr/>
        <w:t>[</w:t>
      </w:r>
      <w:r>
        <w:rPr>
          <w:i/>
        </w:rPr>
        <w:t>Note</w:t>
      </w:r>
      <w:r>
        <w:rPr/>
        <w:t>: The W3C XML Schema definition of this simple type’s content model (</w:t>
      </w:r>
      <w:r>
        <w:rPr>
          <w:color w:val="5F5F5F"/>
          <w:u w:val="single" w:color="5F5F5F"/>
        </w:rPr>
        <w:t>ST_ConditionalFormattingOperator</w:t>
      </w:r>
      <w:r>
        <w:rPr/>
        <w:t>) is located in §A.2. </w:t>
      </w:r>
      <w:r>
        <w:rPr>
          <w:i/>
        </w:rPr>
        <w:t>end note</w:t>
      </w:r>
      <w:r>
        <w:rPr/>
        <w:t>]</w:t>
      </w:r>
    </w:p>
    <w:p>
      <w:pPr>
        <w:pStyle w:val="BodyText"/>
        <w:spacing w:before="4"/>
        <w:rPr>
          <w:sz w:val="16"/>
        </w:rPr>
      </w:pPr>
    </w:p>
    <w:p>
      <w:pPr>
        <w:pStyle w:val="Heading2"/>
        <w:numPr>
          <w:ilvl w:val="2"/>
          <w:numId w:val="17"/>
        </w:numPr>
        <w:tabs>
          <w:tab w:pos="1445" w:val="left" w:leader="none"/>
        </w:tabs>
        <w:spacing w:line="240" w:lineRule="auto" w:before="0" w:after="0"/>
        <w:ind w:left="1444" w:right="0" w:hanging="1225"/>
        <w:jc w:val="left"/>
      </w:pPr>
      <w:bookmarkStart w:name="18.18.16 ST_CredMethod (Credentials Meth" w:id="2513"/>
      <w:bookmarkEnd w:id="2513"/>
      <w:r>
        <w:rPr>
          <w:b w:val="0"/>
        </w:rPr>
      </w:r>
      <w:bookmarkStart w:name="_bookmark838" w:id="2514"/>
      <w:bookmarkEnd w:id="2514"/>
      <w:r>
        <w:rPr>
          <w:b w:val="0"/>
        </w:rPr>
      </w:r>
      <w:bookmarkStart w:name="_bookmark838" w:id="2515"/>
      <w:bookmarkEnd w:id="2515"/>
      <w:r>
        <w:rPr>
          <w:color w:val="4F81BC"/>
        </w:rPr>
        <w:t>S</w:t>
      </w:r>
      <w:r>
        <w:rPr>
          <w:color w:val="4F81BC"/>
        </w:rPr>
        <w:t>T_CredMethod (Credentials</w:t>
      </w:r>
      <w:r>
        <w:rPr>
          <w:color w:val="4F81BC"/>
          <w:spacing w:val="-1"/>
        </w:rPr>
        <w:t> </w:t>
      </w:r>
      <w:r>
        <w:rPr>
          <w:color w:val="4F81BC"/>
        </w:rPr>
        <w:t>Method)</w:t>
      </w:r>
    </w:p>
    <w:p>
      <w:pPr>
        <w:pStyle w:val="BodyText"/>
        <w:spacing w:before="124"/>
        <w:ind w:left="220"/>
      </w:pPr>
      <w:r>
        <w:rPr/>
        <w:t>Credentials method used for server access.</w:t>
      </w:r>
    </w:p>
    <w:p>
      <w:pPr>
        <w:pStyle w:val="BodyText"/>
        <w:spacing w:before="8"/>
        <w:rPr>
          <w:sz w:val="19"/>
        </w:rPr>
      </w:pPr>
    </w:p>
    <w:p>
      <w:pPr>
        <w:pStyle w:val="BodyText"/>
        <w:spacing w:line="489" w:lineRule="auto"/>
        <w:ind w:left="220" w:right="2804"/>
      </w:pPr>
      <w:r>
        <w:rPr/>
        <w:pict>
          <v:shape style="position:absolute;margin-left:48pt;margin-top:42.993629pt;width:516.35pt;height:91.6pt;mso-position-horizontal-relative:page;mso-position-vertical-relative:paragraph;z-index:2518999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integrated </w:t>
                        </w:r>
                        <w:r>
                          <w:rPr>
                            <w:sz w:val="22"/>
                          </w:rPr>
                          <w:t>(Integrated Authentication)</w:t>
                        </w:r>
                      </w:p>
                    </w:tc>
                    <w:tc>
                      <w:tcPr>
                        <w:tcW w:w="5156" w:type="dxa"/>
                      </w:tcPr>
                      <w:p>
                        <w:pPr>
                          <w:pStyle w:val="TableParagraph"/>
                          <w:rPr>
                            <w:sz w:val="22"/>
                          </w:rPr>
                        </w:pPr>
                        <w:r>
                          <w:rPr>
                            <w:sz w:val="22"/>
                          </w:rPr>
                          <w:t>Integrated authentication.</w:t>
                        </w:r>
                      </w:p>
                    </w:tc>
                  </w:tr>
                  <w:tr>
                    <w:trPr>
                      <w:trHeight w:val="352" w:hRule="atLeast"/>
                    </w:trPr>
                    <w:tc>
                      <w:tcPr>
                        <w:tcW w:w="5156" w:type="dxa"/>
                      </w:tcPr>
                      <w:p>
                        <w:pPr>
                          <w:pStyle w:val="TableParagraph"/>
                          <w:rPr>
                            <w:sz w:val="22"/>
                          </w:rPr>
                        </w:pPr>
                        <w:r>
                          <w:rPr>
                            <w:rFonts w:ascii="Cambria"/>
                            <w:sz w:val="22"/>
                          </w:rPr>
                          <w:t>none </w:t>
                        </w:r>
                        <w:r>
                          <w:rPr>
                            <w:sz w:val="22"/>
                          </w:rPr>
                          <w:t>(No Credentials)</w:t>
                        </w:r>
                      </w:p>
                    </w:tc>
                    <w:tc>
                      <w:tcPr>
                        <w:tcW w:w="5156" w:type="dxa"/>
                      </w:tcPr>
                      <w:p>
                        <w:pPr>
                          <w:pStyle w:val="TableParagraph"/>
                          <w:rPr>
                            <w:sz w:val="22"/>
                          </w:rPr>
                        </w:pPr>
                        <w:r>
                          <w:rPr>
                            <w:sz w:val="22"/>
                          </w:rPr>
                          <w:t>Use no credentials at all.</w:t>
                        </w:r>
                      </w:p>
                    </w:tc>
                  </w:tr>
                  <w:tr>
                    <w:trPr>
                      <w:trHeight w:val="355" w:hRule="atLeast"/>
                    </w:trPr>
                    <w:tc>
                      <w:tcPr>
                        <w:tcW w:w="5156" w:type="dxa"/>
                      </w:tcPr>
                      <w:p>
                        <w:pPr>
                          <w:pStyle w:val="TableParagraph"/>
                          <w:spacing w:before="42"/>
                          <w:rPr>
                            <w:sz w:val="22"/>
                          </w:rPr>
                        </w:pPr>
                        <w:r>
                          <w:rPr>
                            <w:rFonts w:ascii="Cambria"/>
                            <w:sz w:val="22"/>
                          </w:rPr>
                          <w:t>prompt </w:t>
                        </w:r>
                        <w:r>
                          <w:rPr>
                            <w:sz w:val="22"/>
                          </w:rPr>
                          <w:t>(Prompt Credentials)</w:t>
                        </w:r>
                      </w:p>
                    </w:tc>
                    <w:tc>
                      <w:tcPr>
                        <w:tcW w:w="5156" w:type="dxa"/>
                      </w:tcPr>
                      <w:p>
                        <w:pPr>
                          <w:pStyle w:val="TableParagraph"/>
                          <w:spacing w:before="42"/>
                          <w:rPr>
                            <w:sz w:val="22"/>
                          </w:rPr>
                        </w:pPr>
                        <w:r>
                          <w:rPr>
                            <w:sz w:val="22"/>
                          </w:rPr>
                          <w:t>Prompt for credentials.</w:t>
                        </w:r>
                      </w:p>
                    </w:tc>
                  </w:tr>
                  <w:tr>
                    <w:trPr>
                      <w:trHeight w:val="354" w:hRule="atLeast"/>
                    </w:trPr>
                    <w:tc>
                      <w:tcPr>
                        <w:tcW w:w="5156" w:type="dxa"/>
                      </w:tcPr>
                      <w:p>
                        <w:pPr>
                          <w:pStyle w:val="TableParagraph"/>
                          <w:rPr>
                            <w:sz w:val="22"/>
                          </w:rPr>
                        </w:pPr>
                        <w:r>
                          <w:rPr>
                            <w:rFonts w:ascii="Cambria"/>
                            <w:sz w:val="22"/>
                          </w:rPr>
                          <w:t>stored </w:t>
                        </w:r>
                        <w:r>
                          <w:rPr>
                            <w:sz w:val="22"/>
                          </w:rPr>
                          <w:t>(Stored Credentials)</w:t>
                        </w:r>
                      </w:p>
                    </w:tc>
                    <w:tc>
                      <w:tcPr>
                        <w:tcW w:w="5156" w:type="dxa"/>
                      </w:tcPr>
                      <w:p>
                        <w:pPr>
                          <w:pStyle w:val="TableParagraph"/>
                          <w:rPr>
                            <w:sz w:val="22"/>
                          </w:rPr>
                        </w:pPr>
                        <w:r>
                          <w:rPr>
                            <w:sz w:val="22"/>
                          </w:rPr>
                          <w:t>Use stored credentials.</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8"/>
        </w:rPr>
      </w:pPr>
    </w:p>
    <w:p>
      <w:pPr>
        <w:pStyle w:val="BodyText"/>
        <w:ind w:left="220"/>
      </w:pPr>
      <w:r>
        <w:rPr/>
        <w:t>[</w:t>
      </w:r>
      <w:r>
        <w:rPr>
          <w:i/>
        </w:rPr>
        <w:t>Note</w:t>
      </w:r>
      <w:r>
        <w:rPr/>
        <w:t>: The W3C XML Schema definition of this simple type’s content model (</w:t>
      </w:r>
      <w:r>
        <w:rPr>
          <w:color w:val="5F5F5F"/>
          <w:u w:val="single" w:color="5F5F5F"/>
        </w:rPr>
        <w:t>ST_CredMethod</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17 ST_DataConsolidateFunction (Dat" w:id="2516"/>
      <w:bookmarkEnd w:id="2516"/>
      <w:r>
        <w:rPr>
          <w:b w:val="0"/>
        </w:rPr>
      </w:r>
      <w:bookmarkStart w:name="_bookmark839" w:id="2517"/>
      <w:bookmarkEnd w:id="2517"/>
      <w:r>
        <w:rPr>
          <w:b w:val="0"/>
        </w:rPr>
      </w:r>
      <w:bookmarkStart w:name="_bookmark839" w:id="2518"/>
      <w:bookmarkEnd w:id="2518"/>
      <w:r>
        <w:rPr>
          <w:color w:val="4F81BC"/>
        </w:rPr>
        <w:t>S</w:t>
      </w:r>
      <w:r>
        <w:rPr>
          <w:color w:val="4F81BC"/>
        </w:rPr>
        <w:t>T_DataConsolidateFunction (Data Consolidation</w:t>
      </w:r>
      <w:r>
        <w:rPr>
          <w:color w:val="4F81BC"/>
          <w:spacing w:val="-2"/>
        </w:rPr>
        <w:t> </w:t>
      </w:r>
      <w:r>
        <w:rPr>
          <w:color w:val="4F81BC"/>
        </w:rPr>
        <w:t>Functions)</w:t>
      </w:r>
    </w:p>
    <w:p>
      <w:pPr>
        <w:pStyle w:val="BodyText"/>
        <w:spacing w:line="456" w:lineRule="auto" w:before="124"/>
        <w:ind w:left="220" w:right="2416"/>
      </w:pPr>
      <w:r>
        <w:rPr/>
        <w:t>Data consolidation functions specified by the user and used to consolidate ranges of data. This simple type's contents are a restriction of the W3C XML Schema </w:t>
      </w:r>
      <w:r>
        <w:rPr>
          <w:rFonts w:ascii="Cambria"/>
        </w:rPr>
        <w:t>string </w:t>
      </w:r>
      <w:r>
        <w:rPr/>
        <w:t>datatype.</w:t>
      </w:r>
    </w:p>
    <w:p>
      <w:pPr>
        <w:pStyle w:val="BodyText"/>
        <w:spacing w:before="38"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average </w:t>
            </w:r>
            <w:r>
              <w:rPr>
                <w:sz w:val="22"/>
              </w:rPr>
              <w:t>(Average)</w:t>
            </w:r>
          </w:p>
        </w:tc>
        <w:tc>
          <w:tcPr>
            <w:tcW w:w="5156" w:type="dxa"/>
          </w:tcPr>
          <w:p>
            <w:pPr>
              <w:pStyle w:val="TableParagraph"/>
              <w:rPr>
                <w:sz w:val="22"/>
              </w:rPr>
            </w:pPr>
            <w:r>
              <w:rPr>
                <w:sz w:val="22"/>
              </w:rPr>
              <w:t>The average of the values.</w:t>
            </w:r>
          </w:p>
        </w:tc>
      </w:tr>
      <w:tr>
        <w:trPr>
          <w:trHeight w:val="892" w:hRule="atLeast"/>
        </w:trPr>
        <w:tc>
          <w:tcPr>
            <w:tcW w:w="5156" w:type="dxa"/>
          </w:tcPr>
          <w:p>
            <w:pPr>
              <w:pStyle w:val="TableParagraph"/>
              <w:rPr>
                <w:sz w:val="22"/>
              </w:rPr>
            </w:pPr>
            <w:r>
              <w:rPr>
                <w:rFonts w:ascii="Cambria"/>
                <w:sz w:val="22"/>
              </w:rPr>
              <w:t>count </w:t>
            </w:r>
            <w:r>
              <w:rPr>
                <w:sz w:val="22"/>
              </w:rPr>
              <w:t>(Count)</w:t>
            </w:r>
          </w:p>
        </w:tc>
        <w:tc>
          <w:tcPr>
            <w:tcW w:w="5156" w:type="dxa"/>
          </w:tcPr>
          <w:p>
            <w:pPr>
              <w:pStyle w:val="TableParagraph"/>
              <w:ind w:right="356"/>
              <w:jc w:val="both"/>
              <w:rPr>
                <w:sz w:val="22"/>
              </w:rPr>
            </w:pPr>
            <w:r>
              <w:rPr>
                <w:sz w:val="22"/>
              </w:rPr>
              <w:t>The number of data values. The Count consolidation function works the same as the COUNTA worksheet function.</w:t>
            </w:r>
          </w:p>
        </w:tc>
      </w:tr>
    </w:tbl>
    <w:p>
      <w:pPr>
        <w:spacing w:after="0"/>
        <w:jc w:val="both"/>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892" w:hRule="atLeast"/>
        </w:trPr>
        <w:tc>
          <w:tcPr>
            <w:tcW w:w="5156" w:type="dxa"/>
          </w:tcPr>
          <w:p>
            <w:pPr>
              <w:pStyle w:val="TableParagraph"/>
              <w:rPr>
                <w:sz w:val="22"/>
              </w:rPr>
            </w:pPr>
            <w:r>
              <w:rPr>
                <w:rFonts w:ascii="Cambria"/>
                <w:sz w:val="22"/>
              </w:rPr>
              <w:t>countNums </w:t>
            </w:r>
            <w:r>
              <w:rPr>
                <w:sz w:val="22"/>
              </w:rPr>
              <w:t>(CountNums)</w:t>
            </w:r>
          </w:p>
        </w:tc>
        <w:tc>
          <w:tcPr>
            <w:tcW w:w="5156" w:type="dxa"/>
          </w:tcPr>
          <w:p>
            <w:pPr>
              <w:pStyle w:val="TableParagraph"/>
              <w:ind w:right="150"/>
              <w:rPr>
                <w:sz w:val="22"/>
              </w:rPr>
            </w:pPr>
            <w:r>
              <w:rPr>
                <w:sz w:val="22"/>
              </w:rPr>
              <w:t>The number of data values that are numbers. The Count Nums consolidation function works the same as the COUNT worksheet function.</w:t>
            </w:r>
          </w:p>
        </w:tc>
      </w:tr>
      <w:tr>
        <w:trPr>
          <w:trHeight w:val="352" w:hRule="atLeast"/>
        </w:trPr>
        <w:tc>
          <w:tcPr>
            <w:tcW w:w="5156" w:type="dxa"/>
          </w:tcPr>
          <w:p>
            <w:pPr>
              <w:pStyle w:val="TableParagraph"/>
              <w:rPr>
                <w:sz w:val="22"/>
              </w:rPr>
            </w:pPr>
            <w:r>
              <w:rPr>
                <w:rFonts w:ascii="Cambria"/>
                <w:sz w:val="22"/>
              </w:rPr>
              <w:t>max </w:t>
            </w:r>
            <w:r>
              <w:rPr>
                <w:sz w:val="22"/>
              </w:rPr>
              <w:t>(Maximum)</w:t>
            </w:r>
          </w:p>
        </w:tc>
        <w:tc>
          <w:tcPr>
            <w:tcW w:w="5156" w:type="dxa"/>
          </w:tcPr>
          <w:p>
            <w:pPr>
              <w:pStyle w:val="TableParagraph"/>
              <w:rPr>
                <w:sz w:val="22"/>
              </w:rPr>
            </w:pPr>
            <w:r>
              <w:rPr>
                <w:sz w:val="22"/>
              </w:rPr>
              <w:t>The largest value.</w:t>
            </w:r>
          </w:p>
        </w:tc>
      </w:tr>
      <w:tr>
        <w:trPr>
          <w:trHeight w:val="354" w:hRule="atLeast"/>
        </w:trPr>
        <w:tc>
          <w:tcPr>
            <w:tcW w:w="5156" w:type="dxa"/>
          </w:tcPr>
          <w:p>
            <w:pPr>
              <w:pStyle w:val="TableParagraph"/>
              <w:spacing w:before="42"/>
              <w:rPr>
                <w:sz w:val="22"/>
              </w:rPr>
            </w:pPr>
            <w:r>
              <w:rPr>
                <w:rFonts w:ascii="Cambria"/>
                <w:sz w:val="22"/>
              </w:rPr>
              <w:t>min </w:t>
            </w:r>
            <w:r>
              <w:rPr>
                <w:sz w:val="22"/>
              </w:rPr>
              <w:t>(Minimum)</w:t>
            </w:r>
          </w:p>
        </w:tc>
        <w:tc>
          <w:tcPr>
            <w:tcW w:w="5156" w:type="dxa"/>
          </w:tcPr>
          <w:p>
            <w:pPr>
              <w:pStyle w:val="TableParagraph"/>
              <w:spacing w:before="42"/>
              <w:rPr>
                <w:sz w:val="22"/>
              </w:rPr>
            </w:pPr>
            <w:r>
              <w:rPr>
                <w:sz w:val="22"/>
              </w:rPr>
              <w:t>The smallest value.</w:t>
            </w:r>
          </w:p>
        </w:tc>
      </w:tr>
      <w:tr>
        <w:trPr>
          <w:trHeight w:val="354" w:hRule="atLeast"/>
        </w:trPr>
        <w:tc>
          <w:tcPr>
            <w:tcW w:w="5156" w:type="dxa"/>
          </w:tcPr>
          <w:p>
            <w:pPr>
              <w:pStyle w:val="TableParagraph"/>
              <w:rPr>
                <w:sz w:val="22"/>
              </w:rPr>
            </w:pPr>
            <w:r>
              <w:rPr>
                <w:rFonts w:ascii="Cambria"/>
                <w:sz w:val="22"/>
              </w:rPr>
              <w:t>product </w:t>
            </w:r>
            <w:r>
              <w:rPr>
                <w:sz w:val="22"/>
              </w:rPr>
              <w:t>(Product)</w:t>
            </w:r>
          </w:p>
        </w:tc>
        <w:tc>
          <w:tcPr>
            <w:tcW w:w="5156" w:type="dxa"/>
          </w:tcPr>
          <w:p>
            <w:pPr>
              <w:pStyle w:val="TableParagraph"/>
              <w:rPr>
                <w:sz w:val="22"/>
              </w:rPr>
            </w:pPr>
            <w:r>
              <w:rPr>
                <w:sz w:val="22"/>
              </w:rPr>
              <w:t>The product of the values.</w:t>
            </w:r>
          </w:p>
        </w:tc>
      </w:tr>
      <w:tr>
        <w:trPr>
          <w:trHeight w:val="623" w:hRule="atLeast"/>
        </w:trPr>
        <w:tc>
          <w:tcPr>
            <w:tcW w:w="5156" w:type="dxa"/>
          </w:tcPr>
          <w:p>
            <w:pPr>
              <w:pStyle w:val="TableParagraph"/>
              <w:rPr>
                <w:sz w:val="22"/>
              </w:rPr>
            </w:pPr>
            <w:r>
              <w:rPr>
                <w:rFonts w:ascii="Cambria"/>
                <w:sz w:val="22"/>
              </w:rPr>
              <w:t>stdDev </w:t>
            </w:r>
            <w:r>
              <w:rPr>
                <w:sz w:val="22"/>
              </w:rPr>
              <w:t>(StdDev)</w:t>
            </w:r>
          </w:p>
        </w:tc>
        <w:tc>
          <w:tcPr>
            <w:tcW w:w="5156" w:type="dxa"/>
          </w:tcPr>
          <w:p>
            <w:pPr>
              <w:pStyle w:val="TableParagraph"/>
              <w:ind w:right="156"/>
              <w:rPr>
                <w:sz w:val="22"/>
              </w:rPr>
            </w:pPr>
            <w:r>
              <w:rPr>
                <w:sz w:val="22"/>
              </w:rPr>
              <w:t>An estimate of the standard deviation of a population, where the sample is a subset of the entire population.</w:t>
            </w:r>
          </w:p>
        </w:tc>
      </w:tr>
      <w:tr>
        <w:trPr>
          <w:trHeight w:val="623" w:hRule="atLeast"/>
        </w:trPr>
        <w:tc>
          <w:tcPr>
            <w:tcW w:w="5156" w:type="dxa"/>
          </w:tcPr>
          <w:p>
            <w:pPr>
              <w:pStyle w:val="TableParagraph"/>
              <w:rPr>
                <w:sz w:val="22"/>
              </w:rPr>
            </w:pPr>
            <w:r>
              <w:rPr>
                <w:rFonts w:ascii="Cambria"/>
                <w:sz w:val="22"/>
              </w:rPr>
              <w:t>stdDevp </w:t>
            </w:r>
            <w:r>
              <w:rPr>
                <w:sz w:val="22"/>
              </w:rPr>
              <w:t>(StdDevP)</w:t>
            </w:r>
          </w:p>
        </w:tc>
        <w:tc>
          <w:tcPr>
            <w:tcW w:w="5156" w:type="dxa"/>
          </w:tcPr>
          <w:p>
            <w:pPr>
              <w:pStyle w:val="TableParagraph"/>
              <w:ind w:right="515"/>
              <w:rPr>
                <w:sz w:val="22"/>
              </w:rPr>
            </w:pPr>
            <w:r>
              <w:rPr>
                <w:sz w:val="22"/>
              </w:rPr>
              <w:t>The standard deviation of a population, where the population is all of the data to be summarized.</w:t>
            </w:r>
          </w:p>
        </w:tc>
      </w:tr>
      <w:tr>
        <w:trPr>
          <w:trHeight w:val="355" w:hRule="atLeast"/>
        </w:trPr>
        <w:tc>
          <w:tcPr>
            <w:tcW w:w="5156" w:type="dxa"/>
          </w:tcPr>
          <w:p>
            <w:pPr>
              <w:pStyle w:val="TableParagraph"/>
              <w:rPr>
                <w:sz w:val="22"/>
              </w:rPr>
            </w:pPr>
            <w:r>
              <w:rPr>
                <w:rFonts w:ascii="Cambria"/>
                <w:sz w:val="22"/>
              </w:rPr>
              <w:t>sum </w:t>
            </w:r>
            <w:r>
              <w:rPr>
                <w:sz w:val="22"/>
              </w:rPr>
              <w:t>(Sum)</w:t>
            </w:r>
          </w:p>
        </w:tc>
        <w:tc>
          <w:tcPr>
            <w:tcW w:w="5156" w:type="dxa"/>
          </w:tcPr>
          <w:p>
            <w:pPr>
              <w:pStyle w:val="TableParagraph"/>
              <w:rPr>
                <w:sz w:val="22"/>
              </w:rPr>
            </w:pPr>
            <w:r>
              <w:rPr>
                <w:sz w:val="22"/>
              </w:rPr>
              <w:t>The sum of the values.</w:t>
            </w:r>
          </w:p>
        </w:tc>
      </w:tr>
      <w:tr>
        <w:trPr>
          <w:trHeight w:val="623" w:hRule="atLeast"/>
        </w:trPr>
        <w:tc>
          <w:tcPr>
            <w:tcW w:w="5156" w:type="dxa"/>
          </w:tcPr>
          <w:p>
            <w:pPr>
              <w:pStyle w:val="TableParagraph"/>
              <w:rPr>
                <w:sz w:val="22"/>
              </w:rPr>
            </w:pPr>
            <w:r>
              <w:rPr>
                <w:rFonts w:ascii="Cambria"/>
                <w:sz w:val="22"/>
              </w:rPr>
              <w:t>var </w:t>
            </w:r>
            <w:r>
              <w:rPr>
                <w:sz w:val="22"/>
              </w:rPr>
              <w:t>(Variance)</w:t>
            </w:r>
          </w:p>
        </w:tc>
        <w:tc>
          <w:tcPr>
            <w:tcW w:w="5156" w:type="dxa"/>
          </w:tcPr>
          <w:p>
            <w:pPr>
              <w:pStyle w:val="TableParagraph"/>
              <w:ind w:right="114"/>
              <w:rPr>
                <w:sz w:val="22"/>
              </w:rPr>
            </w:pPr>
            <w:r>
              <w:rPr>
                <w:sz w:val="22"/>
              </w:rPr>
              <w:t>An estimate of the variance of a population, where the sample is a subset of the entire population.</w:t>
            </w:r>
          </w:p>
        </w:tc>
      </w:tr>
      <w:tr>
        <w:trPr>
          <w:trHeight w:val="623" w:hRule="atLeast"/>
        </w:trPr>
        <w:tc>
          <w:tcPr>
            <w:tcW w:w="5156" w:type="dxa"/>
          </w:tcPr>
          <w:p>
            <w:pPr>
              <w:pStyle w:val="TableParagraph"/>
              <w:rPr>
                <w:sz w:val="22"/>
              </w:rPr>
            </w:pPr>
            <w:r>
              <w:rPr>
                <w:rFonts w:ascii="Cambria"/>
                <w:sz w:val="22"/>
              </w:rPr>
              <w:t>varp </w:t>
            </w:r>
            <w:r>
              <w:rPr>
                <w:sz w:val="22"/>
              </w:rPr>
              <w:t>(VarP)</w:t>
            </w:r>
          </w:p>
        </w:tc>
        <w:tc>
          <w:tcPr>
            <w:tcW w:w="5156" w:type="dxa"/>
          </w:tcPr>
          <w:p>
            <w:pPr>
              <w:pStyle w:val="TableParagraph"/>
              <w:ind w:right="229"/>
              <w:rPr>
                <w:sz w:val="22"/>
              </w:rPr>
            </w:pPr>
            <w:r>
              <w:rPr>
                <w:sz w:val="22"/>
              </w:rPr>
              <w:t>The variance of a population, where the population is all of the data to be summarized.</w:t>
            </w:r>
          </w:p>
        </w:tc>
      </w:tr>
    </w:tbl>
    <w:p>
      <w:pPr>
        <w:pStyle w:val="BodyText"/>
        <w:rPr>
          <w:sz w:val="20"/>
        </w:rPr>
      </w:pPr>
    </w:p>
    <w:p>
      <w:pPr>
        <w:pStyle w:val="BodyText"/>
        <w:spacing w:before="10"/>
        <w:rPr>
          <w:sz w:val="16"/>
        </w:rPr>
      </w:pPr>
    </w:p>
    <w:p>
      <w:pPr>
        <w:pStyle w:val="BodyText"/>
        <w:spacing w:line="276" w:lineRule="auto" w:before="56"/>
        <w:ind w:left="220" w:right="772"/>
      </w:pPr>
      <w:r>
        <w:rPr/>
        <w:t>[</w:t>
      </w:r>
      <w:r>
        <w:rPr>
          <w:i/>
        </w:rPr>
        <w:t>Note</w:t>
      </w:r>
      <w:r>
        <w:rPr/>
        <w:t>: The W3C XML Schema definition of this simple type’s content model (</w:t>
      </w:r>
      <w:r>
        <w:rPr>
          <w:color w:val="5F5F5F"/>
          <w:u w:val="single" w:color="5F5F5F"/>
        </w:rPr>
        <w:t>ST_DataConsolidateFunction</w:t>
      </w:r>
      <w:r>
        <w:rPr/>
        <w:t>) is located in §A.2. </w:t>
      </w:r>
      <w:r>
        <w:rPr>
          <w:i/>
        </w:rPr>
        <w:t>end 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18 ST_DataValidationErrorStyle (Da" w:id="2519"/>
      <w:bookmarkEnd w:id="2519"/>
      <w:r>
        <w:rPr>
          <w:b w:val="0"/>
        </w:rPr>
      </w:r>
      <w:bookmarkStart w:name="_bookmark840" w:id="2520"/>
      <w:bookmarkEnd w:id="2520"/>
      <w:r>
        <w:rPr>
          <w:b w:val="0"/>
        </w:rPr>
      </w:r>
      <w:bookmarkStart w:name="_bookmark840" w:id="2521"/>
      <w:bookmarkEnd w:id="2521"/>
      <w:r>
        <w:rPr>
          <w:color w:val="4F81BC"/>
        </w:rPr>
        <w:t>S</w:t>
      </w:r>
      <w:r>
        <w:rPr>
          <w:color w:val="4F81BC"/>
        </w:rPr>
        <w:t>T_DataValidationErrorStyle (Data Validation Error</w:t>
      </w:r>
      <w:r>
        <w:rPr>
          <w:color w:val="4F81BC"/>
          <w:spacing w:val="-1"/>
        </w:rPr>
        <w:t> </w:t>
      </w:r>
      <w:r>
        <w:rPr>
          <w:color w:val="4F81BC"/>
        </w:rPr>
        <w:t>Styles)</w:t>
      </w:r>
    </w:p>
    <w:p>
      <w:pPr>
        <w:pStyle w:val="BodyText"/>
        <w:spacing w:before="127"/>
        <w:ind w:left="220"/>
      </w:pPr>
      <w:r>
        <w:rPr/>
        <w:t>The style of data validation error alert.</w:t>
      </w:r>
    </w:p>
    <w:p>
      <w:pPr>
        <w:pStyle w:val="BodyText"/>
        <w:spacing w:before="8"/>
        <w:rPr>
          <w:sz w:val="19"/>
        </w:rPr>
      </w:pPr>
    </w:p>
    <w:p>
      <w:pPr>
        <w:pStyle w:val="BodyText"/>
        <w:spacing w:line="489" w:lineRule="auto"/>
        <w:ind w:left="220" w:right="2804"/>
      </w:pPr>
      <w:r>
        <w:rPr/>
        <w:pict>
          <v:shape style="position:absolute;margin-left:48pt;margin-top:42.87365pt;width:516.35pt;height:215.45pt;mso-position-horizontal-relative:page;mso-position-vertical-relative:paragraph;z-index:2519009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638" w:hRule="atLeast"/>
                    </w:trPr>
                    <w:tc>
                      <w:tcPr>
                        <w:tcW w:w="5156" w:type="dxa"/>
                      </w:tcPr>
                      <w:p>
                        <w:pPr>
                          <w:pStyle w:val="TableParagraph"/>
                          <w:rPr>
                            <w:sz w:val="22"/>
                          </w:rPr>
                        </w:pPr>
                        <w:r>
                          <w:rPr>
                            <w:rFonts w:ascii="Cambria"/>
                            <w:sz w:val="22"/>
                          </w:rPr>
                          <w:t>information </w:t>
                        </w:r>
                        <w:r>
                          <w:rPr>
                            <w:sz w:val="22"/>
                          </w:rPr>
                          <w:t>(Information Icon)</w:t>
                        </w:r>
                      </w:p>
                    </w:tc>
                    <w:tc>
                      <w:tcPr>
                        <w:tcW w:w="5156" w:type="dxa"/>
                      </w:tcPr>
                      <w:p>
                        <w:pPr>
                          <w:pStyle w:val="TableParagraph"/>
                          <w:ind w:right="465"/>
                          <w:rPr>
                            <w:sz w:val="22"/>
                          </w:rPr>
                        </w:pPr>
                        <w:r>
                          <w:rPr>
                            <w:sz w:val="22"/>
                          </w:rPr>
                          <w:t>This data validation error style uses an information icon in the error alert.</w:t>
                        </w:r>
                      </w:p>
                      <w:p>
                        <w:pPr>
                          <w:pStyle w:val="TableParagraph"/>
                          <w:spacing w:before="2"/>
                          <w:ind w:left="0"/>
                          <w:rPr>
                            <w:sz w:val="22"/>
                          </w:rPr>
                        </w:pPr>
                      </w:p>
                      <w:p>
                        <w:pPr>
                          <w:pStyle w:val="TableParagraph"/>
                          <w:spacing w:before="0"/>
                          <w:ind w:left="114"/>
                          <w:rPr>
                            <w:sz w:val="20"/>
                          </w:rPr>
                        </w:pPr>
                        <w:r>
                          <w:rPr>
                            <w:sz w:val="20"/>
                          </w:rPr>
                          <w:drawing>
                            <wp:inline distT="0" distB="0" distL="0" distR="0">
                              <wp:extent cx="304800" cy="304800"/>
                              <wp:effectExtent l="0" t="0" r="0" b="0"/>
                              <wp:docPr id="175" name="image86.jpeg"/>
                              <wp:cNvGraphicFramePr>
                                <a:graphicFrameLocks noChangeAspect="1"/>
                              </wp:cNvGraphicFramePr>
                              <a:graphic>
                                <a:graphicData uri="http://schemas.openxmlformats.org/drawingml/2006/picture">
                                  <pic:pic>
                                    <pic:nvPicPr>
                                      <pic:cNvPr id="176" name="image86.jpeg"/>
                                      <pic:cNvPicPr/>
                                    </pic:nvPicPr>
                                    <pic:blipFill>
                                      <a:blip r:embed="rId300" cstate="print"/>
                                      <a:stretch>
                                        <a:fillRect/>
                                      </a:stretch>
                                    </pic:blipFill>
                                    <pic:spPr>
                                      <a:xfrm>
                                        <a:off x="0" y="0"/>
                                        <a:ext cx="304800" cy="304800"/>
                                      </a:xfrm>
                                      <a:prstGeom prst="rect">
                                        <a:avLst/>
                                      </a:prstGeom>
                                    </pic:spPr>
                                  </pic:pic>
                                </a:graphicData>
                              </a:graphic>
                            </wp:inline>
                          </w:drawing>
                        </w:r>
                        <w:r>
                          <w:rPr>
                            <w:sz w:val="20"/>
                          </w:rPr>
                        </w:r>
                      </w:p>
                      <w:p>
                        <w:pPr>
                          <w:pStyle w:val="TableParagraph"/>
                          <w:spacing w:before="5"/>
                          <w:ind w:left="0"/>
                          <w:rPr>
                            <w:sz w:val="25"/>
                          </w:rPr>
                        </w:pPr>
                      </w:p>
                    </w:tc>
                  </w:tr>
                  <w:tr>
                    <w:trPr>
                      <w:trHeight w:val="1641" w:hRule="atLeast"/>
                    </w:trPr>
                    <w:tc>
                      <w:tcPr>
                        <w:tcW w:w="5156" w:type="dxa"/>
                      </w:tcPr>
                      <w:p>
                        <w:pPr>
                          <w:pStyle w:val="TableParagraph"/>
                          <w:spacing w:before="42"/>
                          <w:rPr>
                            <w:sz w:val="22"/>
                          </w:rPr>
                        </w:pPr>
                        <w:r>
                          <w:rPr>
                            <w:rFonts w:ascii="Cambria"/>
                            <w:sz w:val="22"/>
                          </w:rPr>
                          <w:t>stop </w:t>
                        </w:r>
                        <w:r>
                          <w:rPr>
                            <w:sz w:val="22"/>
                          </w:rPr>
                          <w:t>(Stop Icon)</w:t>
                        </w:r>
                      </w:p>
                    </w:tc>
                    <w:tc>
                      <w:tcPr>
                        <w:tcW w:w="5156" w:type="dxa"/>
                      </w:tcPr>
                      <w:p>
                        <w:pPr>
                          <w:pStyle w:val="TableParagraph"/>
                          <w:spacing w:before="42"/>
                          <w:ind w:right="263"/>
                          <w:rPr>
                            <w:sz w:val="22"/>
                          </w:rPr>
                        </w:pPr>
                        <w:r>
                          <w:rPr>
                            <w:sz w:val="22"/>
                          </w:rPr>
                          <w:t>This data validation error style uses a stop icon in the error alert.</w:t>
                        </w:r>
                      </w:p>
                      <w:p>
                        <w:pPr>
                          <w:pStyle w:val="TableParagraph"/>
                          <w:spacing w:before="0"/>
                          <w:ind w:left="0"/>
                          <w:rPr>
                            <w:sz w:val="22"/>
                          </w:rPr>
                        </w:pPr>
                      </w:p>
                      <w:p>
                        <w:pPr>
                          <w:pStyle w:val="TableParagraph"/>
                          <w:spacing w:before="0"/>
                          <w:ind w:left="114"/>
                          <w:rPr>
                            <w:sz w:val="20"/>
                          </w:rPr>
                        </w:pPr>
                        <w:r>
                          <w:rPr>
                            <w:sz w:val="20"/>
                          </w:rPr>
                          <w:drawing>
                            <wp:inline distT="0" distB="0" distL="0" distR="0">
                              <wp:extent cx="304800" cy="304800"/>
                              <wp:effectExtent l="0" t="0" r="0" b="0"/>
                              <wp:docPr id="177" name="image87.jpeg"/>
                              <wp:cNvGraphicFramePr>
                                <a:graphicFrameLocks noChangeAspect="1"/>
                              </wp:cNvGraphicFramePr>
                              <a:graphic>
                                <a:graphicData uri="http://schemas.openxmlformats.org/drawingml/2006/picture">
                                  <pic:pic>
                                    <pic:nvPicPr>
                                      <pic:cNvPr id="178" name="image87.jpeg"/>
                                      <pic:cNvPicPr/>
                                    </pic:nvPicPr>
                                    <pic:blipFill>
                                      <a:blip r:embed="rId301" cstate="print"/>
                                      <a:stretch>
                                        <a:fillRect/>
                                      </a:stretch>
                                    </pic:blipFill>
                                    <pic:spPr>
                                      <a:xfrm>
                                        <a:off x="0" y="0"/>
                                        <a:ext cx="304800" cy="304800"/>
                                      </a:xfrm>
                                      <a:prstGeom prst="rect">
                                        <a:avLst/>
                                      </a:prstGeom>
                                    </pic:spPr>
                                  </pic:pic>
                                </a:graphicData>
                              </a:graphic>
                            </wp:inline>
                          </w:drawing>
                        </w:r>
                        <w:r>
                          <w:rPr>
                            <w:sz w:val="20"/>
                          </w:rPr>
                        </w:r>
                      </w:p>
                      <w:p>
                        <w:pPr>
                          <w:pStyle w:val="TableParagraph"/>
                          <w:spacing w:before="8"/>
                          <w:ind w:left="0"/>
                          <w:rPr>
                            <w:sz w:val="25"/>
                          </w:rPr>
                        </w:pPr>
                      </w:p>
                    </w:tc>
                  </w:tr>
                  <w:tr>
                    <w:trPr>
                      <w:trHeight w:val="623" w:hRule="atLeast"/>
                    </w:trPr>
                    <w:tc>
                      <w:tcPr>
                        <w:tcW w:w="5156" w:type="dxa"/>
                      </w:tcPr>
                      <w:p>
                        <w:pPr>
                          <w:pStyle w:val="TableParagraph"/>
                          <w:rPr>
                            <w:sz w:val="22"/>
                          </w:rPr>
                        </w:pPr>
                        <w:r>
                          <w:rPr>
                            <w:rFonts w:ascii="Cambria"/>
                            <w:sz w:val="22"/>
                          </w:rPr>
                          <w:t>warning </w:t>
                        </w:r>
                        <w:r>
                          <w:rPr>
                            <w:sz w:val="22"/>
                          </w:rPr>
                          <w:t>(Warning Icon)</w:t>
                        </w:r>
                      </w:p>
                    </w:tc>
                    <w:tc>
                      <w:tcPr>
                        <w:tcW w:w="5156" w:type="dxa"/>
                      </w:tcPr>
                      <w:p>
                        <w:pPr>
                          <w:pStyle w:val="TableParagraph"/>
                          <w:ind w:right="278"/>
                          <w:rPr>
                            <w:sz w:val="22"/>
                          </w:rPr>
                        </w:pPr>
                        <w:r>
                          <w:rPr>
                            <w:sz w:val="22"/>
                          </w:rPr>
                          <w:t>This data validation error style uses a warning icon in the error alert.</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103" w:hRule="atLeast"/>
        </w:trPr>
        <w:tc>
          <w:tcPr>
            <w:tcW w:w="5156" w:type="dxa"/>
          </w:tcPr>
          <w:p>
            <w:pPr>
              <w:pStyle w:val="TableParagraph"/>
              <w:spacing w:before="0"/>
              <w:ind w:left="0"/>
              <w:rPr>
                <w:rFonts w:ascii="Times New Roman"/>
                <w:sz w:val="22"/>
              </w:rPr>
            </w:pPr>
          </w:p>
        </w:tc>
        <w:tc>
          <w:tcPr>
            <w:tcW w:w="5156" w:type="dxa"/>
          </w:tcPr>
          <w:p>
            <w:pPr>
              <w:pStyle w:val="TableParagraph"/>
              <w:spacing w:before="6"/>
              <w:ind w:left="0"/>
              <w:rPr>
                <w:sz w:val="25"/>
              </w:rPr>
            </w:pPr>
          </w:p>
          <w:p>
            <w:pPr>
              <w:pStyle w:val="TableParagraph"/>
              <w:spacing w:before="0"/>
              <w:ind w:left="114"/>
              <w:rPr>
                <w:sz w:val="20"/>
              </w:rPr>
            </w:pPr>
            <w:r>
              <w:rPr>
                <w:sz w:val="20"/>
              </w:rPr>
              <w:drawing>
                <wp:inline distT="0" distB="0" distL="0" distR="0">
                  <wp:extent cx="304800" cy="304800"/>
                  <wp:effectExtent l="0" t="0" r="0" b="0"/>
                  <wp:docPr id="179" name="image88.jpeg"/>
                  <wp:cNvGraphicFramePr>
                    <a:graphicFrameLocks noChangeAspect="1"/>
                  </wp:cNvGraphicFramePr>
                  <a:graphic>
                    <a:graphicData uri="http://schemas.openxmlformats.org/drawingml/2006/picture">
                      <pic:pic>
                        <pic:nvPicPr>
                          <pic:cNvPr id="180" name="image88.jpeg"/>
                          <pic:cNvPicPr/>
                        </pic:nvPicPr>
                        <pic:blipFill>
                          <a:blip r:embed="rId302" cstate="print"/>
                          <a:stretch>
                            <a:fillRect/>
                          </a:stretch>
                        </pic:blipFill>
                        <pic:spPr>
                          <a:xfrm>
                            <a:off x="0" y="0"/>
                            <a:ext cx="304800" cy="304800"/>
                          </a:xfrm>
                          <a:prstGeom prst="rect">
                            <a:avLst/>
                          </a:prstGeom>
                        </pic:spPr>
                      </pic:pic>
                    </a:graphicData>
                  </a:graphic>
                </wp:inline>
              </w:drawing>
            </w:r>
            <w:r>
              <w:rPr>
                <w:sz w:val="20"/>
              </w:rPr>
            </w:r>
          </w:p>
        </w:tc>
      </w:tr>
    </w:tbl>
    <w:p>
      <w:pPr>
        <w:pStyle w:val="BodyText"/>
        <w:rPr>
          <w:sz w:val="20"/>
        </w:rPr>
      </w:pPr>
    </w:p>
    <w:p>
      <w:pPr>
        <w:pStyle w:val="BodyText"/>
        <w:spacing w:before="10"/>
        <w:rPr>
          <w:sz w:val="16"/>
        </w:rPr>
      </w:pPr>
    </w:p>
    <w:p>
      <w:pPr>
        <w:pStyle w:val="BodyText"/>
        <w:spacing w:line="276" w:lineRule="auto" w:before="56"/>
        <w:ind w:left="220" w:right="813"/>
      </w:pPr>
      <w:r>
        <w:rPr/>
        <w:t>[</w:t>
      </w:r>
      <w:r>
        <w:rPr>
          <w:i/>
        </w:rPr>
        <w:t>Note</w:t>
      </w:r>
      <w:r>
        <w:rPr/>
        <w:t>: The W3C XML Schema definition of this simple type’s content model (</w:t>
      </w:r>
      <w:r>
        <w:rPr>
          <w:color w:val="5F5F5F"/>
          <w:u w:val="single" w:color="5F5F5F"/>
        </w:rPr>
        <w:t>ST_DataValidationErrorStyle</w:t>
      </w:r>
      <w:r>
        <w:rPr/>
        <w:t>) is located in §A.2. </w:t>
      </w:r>
      <w:r>
        <w:rPr>
          <w:i/>
        </w:rPr>
        <w:t>end 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19 ST_DataValidationImeMode (Data " w:id="2522"/>
      <w:bookmarkEnd w:id="2522"/>
      <w:r>
        <w:rPr>
          <w:b w:val="0"/>
        </w:rPr>
      </w:r>
      <w:bookmarkStart w:name="_bookmark841" w:id="2523"/>
      <w:bookmarkEnd w:id="2523"/>
      <w:r>
        <w:rPr>
          <w:b w:val="0"/>
        </w:rPr>
      </w:r>
      <w:bookmarkStart w:name="_bookmark841" w:id="2524"/>
      <w:bookmarkEnd w:id="2524"/>
      <w:r>
        <w:rPr>
          <w:color w:val="4F81BC"/>
        </w:rPr>
        <w:t>S</w:t>
      </w:r>
      <w:r>
        <w:rPr>
          <w:color w:val="4F81BC"/>
        </w:rPr>
        <w:t>T_DataValidationImeMode (Data Validation IME</w:t>
      </w:r>
      <w:r>
        <w:rPr>
          <w:color w:val="4F81BC"/>
          <w:spacing w:val="-3"/>
        </w:rPr>
        <w:t> </w:t>
      </w:r>
      <w:r>
        <w:rPr>
          <w:color w:val="4F81BC"/>
        </w:rPr>
        <w:t>Mode)</w:t>
      </w:r>
    </w:p>
    <w:p>
      <w:pPr>
        <w:pStyle w:val="BodyText"/>
        <w:spacing w:line="456" w:lineRule="auto" w:before="127"/>
        <w:ind w:left="220" w:right="2034"/>
      </w:pPr>
      <w:r>
        <w:rPr/>
        <w:t>These values specify that the IME (input method editor) mode is controlled by data validation. This simple type's contents are a restriction of the W3C XML Schema </w:t>
      </w:r>
      <w:r>
        <w:rPr>
          <w:rFonts w:ascii="Cambria"/>
        </w:rPr>
        <w:t>string </w:t>
      </w:r>
      <w:r>
        <w:rPr/>
        <w:t>datatype.</w:t>
      </w:r>
    </w:p>
    <w:p>
      <w:pPr>
        <w:pStyle w:val="BodyText"/>
        <w:spacing w:before="36"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disabled </w:t>
            </w:r>
            <w:r>
              <w:rPr>
                <w:sz w:val="22"/>
              </w:rPr>
              <w:t>(Disabled IME Mode)</w:t>
            </w:r>
          </w:p>
        </w:tc>
        <w:tc>
          <w:tcPr>
            <w:tcW w:w="5156" w:type="dxa"/>
          </w:tcPr>
          <w:p>
            <w:pPr>
              <w:pStyle w:val="TableParagraph"/>
              <w:ind w:right="466"/>
              <w:rPr>
                <w:sz w:val="22"/>
              </w:rPr>
            </w:pPr>
            <w:r>
              <w:rPr>
                <w:sz w:val="22"/>
              </w:rPr>
              <w:t>IME mode is disabled. Forces the IME control to be disabled when this cell is selected.</w:t>
            </w:r>
          </w:p>
        </w:tc>
      </w:tr>
      <w:tr>
        <w:trPr>
          <w:trHeight w:val="623" w:hRule="atLeast"/>
        </w:trPr>
        <w:tc>
          <w:tcPr>
            <w:tcW w:w="5156" w:type="dxa"/>
          </w:tcPr>
          <w:p>
            <w:pPr>
              <w:pStyle w:val="TableParagraph"/>
              <w:rPr>
                <w:sz w:val="22"/>
              </w:rPr>
            </w:pPr>
            <w:r>
              <w:rPr>
                <w:rFonts w:ascii="Cambria"/>
                <w:sz w:val="22"/>
              </w:rPr>
              <w:t>fullAlpha </w:t>
            </w:r>
            <w:r>
              <w:rPr>
                <w:sz w:val="22"/>
              </w:rPr>
              <w:t>(Full-Width Alpha-Numeric IME Mode)</w:t>
            </w:r>
          </w:p>
        </w:tc>
        <w:tc>
          <w:tcPr>
            <w:tcW w:w="5156" w:type="dxa"/>
          </w:tcPr>
          <w:p>
            <w:pPr>
              <w:pStyle w:val="TableParagraph"/>
              <w:ind w:right="173"/>
              <w:rPr>
                <w:sz w:val="22"/>
              </w:rPr>
            </w:pPr>
            <w:r>
              <w:rPr>
                <w:sz w:val="22"/>
              </w:rPr>
              <w:t>Forces the IME control to be on and in full-width alph- numeric input mode when the cell is first selected.</w:t>
            </w:r>
          </w:p>
        </w:tc>
      </w:tr>
      <w:tr>
        <w:trPr>
          <w:trHeight w:val="1159" w:hRule="atLeast"/>
        </w:trPr>
        <w:tc>
          <w:tcPr>
            <w:tcW w:w="5156" w:type="dxa"/>
          </w:tcPr>
          <w:p>
            <w:pPr>
              <w:pStyle w:val="TableParagraph"/>
              <w:rPr>
                <w:sz w:val="22"/>
              </w:rPr>
            </w:pPr>
            <w:r>
              <w:rPr>
                <w:rFonts w:ascii="Cambria"/>
                <w:sz w:val="22"/>
              </w:rPr>
              <w:t>fullHangul </w:t>
            </w:r>
            <w:r>
              <w:rPr>
                <w:sz w:val="22"/>
              </w:rPr>
              <w:t>(Full Width Hangul)</w:t>
            </w:r>
          </w:p>
        </w:tc>
        <w:tc>
          <w:tcPr>
            <w:tcW w:w="5156" w:type="dxa"/>
          </w:tcPr>
          <w:p>
            <w:pPr>
              <w:pStyle w:val="TableParagraph"/>
              <w:ind w:right="165"/>
              <w:rPr>
                <w:sz w:val="22"/>
              </w:rPr>
            </w:pPr>
            <w:r>
              <w:rPr>
                <w:sz w:val="22"/>
              </w:rPr>
              <w:t>Forces the IME control to be on and in full-width Hangul input mode when first selecting the cell. Applies when the application's language is Korean and a Korean IME control is selected.</w:t>
            </w:r>
          </w:p>
        </w:tc>
      </w:tr>
      <w:tr>
        <w:trPr>
          <w:trHeight w:val="1161" w:hRule="atLeast"/>
        </w:trPr>
        <w:tc>
          <w:tcPr>
            <w:tcW w:w="5156" w:type="dxa"/>
          </w:tcPr>
          <w:p>
            <w:pPr>
              <w:pStyle w:val="TableParagraph"/>
              <w:rPr>
                <w:sz w:val="22"/>
              </w:rPr>
            </w:pPr>
            <w:r>
              <w:rPr>
                <w:rFonts w:ascii="Cambria"/>
                <w:sz w:val="22"/>
              </w:rPr>
              <w:t>fullKatakana </w:t>
            </w:r>
            <w:r>
              <w:rPr>
                <w:sz w:val="22"/>
              </w:rPr>
              <w:t>(Full Katakana IME Mode)</w:t>
            </w:r>
          </w:p>
        </w:tc>
        <w:tc>
          <w:tcPr>
            <w:tcW w:w="5156" w:type="dxa"/>
          </w:tcPr>
          <w:p>
            <w:pPr>
              <w:pStyle w:val="TableParagraph"/>
              <w:ind w:right="372"/>
              <w:rPr>
                <w:sz w:val="22"/>
              </w:rPr>
            </w:pPr>
            <w:r>
              <w:rPr>
                <w:sz w:val="22"/>
              </w:rPr>
              <w:t>Forces the IME control to be on and in full-width Katakana input mode when first selecting the cell. Applies when the application's language is Japanese and a Japanese IME control is selected.</w:t>
            </w:r>
          </w:p>
        </w:tc>
      </w:tr>
      <w:tr>
        <w:trPr>
          <w:trHeight w:val="623" w:hRule="atLeast"/>
        </w:trPr>
        <w:tc>
          <w:tcPr>
            <w:tcW w:w="5156" w:type="dxa"/>
          </w:tcPr>
          <w:p>
            <w:pPr>
              <w:pStyle w:val="TableParagraph"/>
              <w:rPr>
                <w:sz w:val="22"/>
              </w:rPr>
            </w:pPr>
            <w:r>
              <w:rPr>
                <w:rFonts w:ascii="Cambria"/>
                <w:sz w:val="22"/>
              </w:rPr>
              <w:t>halfAlpha </w:t>
            </w:r>
            <w:r>
              <w:rPr>
                <w:sz w:val="22"/>
              </w:rPr>
              <w:t>(Half Alpha IME)</w:t>
            </w:r>
          </w:p>
        </w:tc>
        <w:tc>
          <w:tcPr>
            <w:tcW w:w="5156" w:type="dxa"/>
          </w:tcPr>
          <w:p>
            <w:pPr>
              <w:pStyle w:val="TableParagraph"/>
              <w:ind w:right="118"/>
              <w:rPr>
                <w:sz w:val="22"/>
              </w:rPr>
            </w:pPr>
            <w:r>
              <w:rPr>
                <w:sz w:val="22"/>
              </w:rPr>
              <w:t>Forces the IME control to be on and in half-width alph- numeric input mode when the cell is first selected.</w:t>
            </w:r>
          </w:p>
        </w:tc>
      </w:tr>
      <w:tr>
        <w:trPr>
          <w:trHeight w:val="1158" w:hRule="atLeast"/>
        </w:trPr>
        <w:tc>
          <w:tcPr>
            <w:tcW w:w="5156" w:type="dxa"/>
          </w:tcPr>
          <w:p>
            <w:pPr>
              <w:pStyle w:val="TableParagraph"/>
              <w:rPr>
                <w:sz w:val="22"/>
              </w:rPr>
            </w:pPr>
            <w:r>
              <w:rPr>
                <w:rFonts w:ascii="Cambria"/>
                <w:sz w:val="22"/>
              </w:rPr>
              <w:t>halfHangul </w:t>
            </w:r>
            <w:r>
              <w:rPr>
                <w:sz w:val="22"/>
              </w:rPr>
              <w:t>(Half-Width Hangul IME Mode)</w:t>
            </w:r>
          </w:p>
        </w:tc>
        <w:tc>
          <w:tcPr>
            <w:tcW w:w="5156" w:type="dxa"/>
          </w:tcPr>
          <w:p>
            <w:pPr>
              <w:pStyle w:val="TableParagraph"/>
              <w:ind w:right="165"/>
              <w:rPr>
                <w:sz w:val="22"/>
              </w:rPr>
            </w:pPr>
            <w:r>
              <w:rPr>
                <w:sz w:val="22"/>
              </w:rPr>
              <w:t>Forces the IME control to be on and in half-width Hangul input mode when first selecting the cell. Applies when the application's language is Korean and a Korean IME control is selected.</w:t>
            </w:r>
          </w:p>
        </w:tc>
      </w:tr>
      <w:tr>
        <w:trPr>
          <w:trHeight w:val="1161" w:hRule="atLeast"/>
        </w:trPr>
        <w:tc>
          <w:tcPr>
            <w:tcW w:w="5156" w:type="dxa"/>
          </w:tcPr>
          <w:p>
            <w:pPr>
              <w:pStyle w:val="TableParagraph"/>
              <w:rPr>
                <w:sz w:val="22"/>
              </w:rPr>
            </w:pPr>
            <w:r>
              <w:rPr>
                <w:rFonts w:ascii="Cambria"/>
                <w:sz w:val="22"/>
              </w:rPr>
              <w:t>halfKatakana </w:t>
            </w:r>
            <w:r>
              <w:rPr>
                <w:sz w:val="22"/>
              </w:rPr>
              <w:t>(Half-Width Katakana)</w:t>
            </w:r>
          </w:p>
        </w:tc>
        <w:tc>
          <w:tcPr>
            <w:tcW w:w="5156" w:type="dxa"/>
          </w:tcPr>
          <w:p>
            <w:pPr>
              <w:pStyle w:val="TableParagraph"/>
              <w:ind w:right="372"/>
              <w:rPr>
                <w:sz w:val="22"/>
              </w:rPr>
            </w:pPr>
            <w:r>
              <w:rPr>
                <w:sz w:val="22"/>
              </w:rPr>
              <w:t>Forces the IME control to be on and in half-width Katakana input mode when first selecting the cell. Applies when the application's language is Japanese and a Japanese IME control is selected.</w:t>
            </w:r>
          </w:p>
        </w:tc>
      </w:tr>
      <w:tr>
        <w:trPr>
          <w:trHeight w:val="1161" w:hRule="atLeast"/>
        </w:trPr>
        <w:tc>
          <w:tcPr>
            <w:tcW w:w="5156" w:type="dxa"/>
          </w:tcPr>
          <w:p>
            <w:pPr>
              <w:pStyle w:val="TableParagraph"/>
              <w:rPr>
                <w:sz w:val="22"/>
              </w:rPr>
            </w:pPr>
            <w:r>
              <w:rPr>
                <w:rFonts w:ascii="Cambria"/>
                <w:sz w:val="22"/>
              </w:rPr>
              <w:t>hiragana </w:t>
            </w:r>
            <w:r>
              <w:rPr>
                <w:sz w:val="22"/>
              </w:rPr>
              <w:t>(Hiragana IME Mode)</w:t>
            </w:r>
          </w:p>
        </w:tc>
        <w:tc>
          <w:tcPr>
            <w:tcW w:w="5156" w:type="dxa"/>
          </w:tcPr>
          <w:p>
            <w:pPr>
              <w:pStyle w:val="TableParagraph"/>
              <w:ind w:right="164"/>
              <w:rPr>
                <w:sz w:val="22"/>
              </w:rPr>
            </w:pPr>
            <w:r>
              <w:rPr>
                <w:sz w:val="22"/>
              </w:rPr>
              <w:t>Forces the IME control to be on and in Hiragana input mode when first selecting the cell. Applies when the application's language is Japanese and a Japanese IME control is selected</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noControl </w:t>
            </w:r>
            <w:r>
              <w:rPr>
                <w:sz w:val="22"/>
              </w:rPr>
              <w:t>(IME Mode Not Controlled)</w:t>
            </w:r>
          </w:p>
        </w:tc>
        <w:tc>
          <w:tcPr>
            <w:tcW w:w="5156" w:type="dxa"/>
          </w:tcPr>
          <w:p>
            <w:pPr>
              <w:pStyle w:val="TableParagraph"/>
              <w:ind w:right="560"/>
              <w:rPr>
                <w:sz w:val="22"/>
              </w:rPr>
            </w:pPr>
            <w:r>
              <w:rPr>
                <w:sz w:val="22"/>
              </w:rPr>
              <w:t>Data validation does not control the IME control's mode.</w:t>
            </w:r>
          </w:p>
        </w:tc>
      </w:tr>
      <w:tr>
        <w:trPr>
          <w:trHeight w:val="621" w:hRule="atLeast"/>
        </w:trPr>
        <w:tc>
          <w:tcPr>
            <w:tcW w:w="5156" w:type="dxa"/>
          </w:tcPr>
          <w:p>
            <w:pPr>
              <w:pStyle w:val="TableParagraph"/>
              <w:rPr>
                <w:sz w:val="22"/>
              </w:rPr>
            </w:pPr>
            <w:r>
              <w:rPr>
                <w:rFonts w:ascii="Cambria"/>
                <w:sz w:val="22"/>
              </w:rPr>
              <w:t>off </w:t>
            </w:r>
            <w:r>
              <w:rPr>
                <w:sz w:val="22"/>
              </w:rPr>
              <w:t>(IME Off)</w:t>
            </w:r>
          </w:p>
        </w:tc>
        <w:tc>
          <w:tcPr>
            <w:tcW w:w="5156" w:type="dxa"/>
          </w:tcPr>
          <w:p>
            <w:pPr>
              <w:pStyle w:val="TableParagraph"/>
              <w:ind w:right="381"/>
              <w:rPr>
                <w:sz w:val="22"/>
              </w:rPr>
            </w:pPr>
            <w:r>
              <w:rPr>
                <w:sz w:val="22"/>
              </w:rPr>
              <w:t>Forces the IME control to be off when first selecting the cell (goes to direct cell input mode).</w:t>
            </w:r>
          </w:p>
        </w:tc>
      </w:tr>
      <w:tr>
        <w:trPr>
          <w:trHeight w:val="623" w:hRule="atLeast"/>
        </w:trPr>
        <w:tc>
          <w:tcPr>
            <w:tcW w:w="5156" w:type="dxa"/>
          </w:tcPr>
          <w:p>
            <w:pPr>
              <w:pStyle w:val="TableParagraph"/>
              <w:spacing w:before="42"/>
              <w:rPr>
                <w:sz w:val="22"/>
              </w:rPr>
            </w:pPr>
            <w:r>
              <w:rPr>
                <w:rFonts w:ascii="Cambria"/>
                <w:sz w:val="22"/>
              </w:rPr>
              <w:t>on </w:t>
            </w:r>
            <w:r>
              <w:rPr>
                <w:sz w:val="22"/>
              </w:rPr>
              <w:t>(IME On)</w:t>
            </w:r>
          </w:p>
        </w:tc>
        <w:tc>
          <w:tcPr>
            <w:tcW w:w="5156" w:type="dxa"/>
          </w:tcPr>
          <w:p>
            <w:pPr>
              <w:pStyle w:val="TableParagraph"/>
              <w:spacing w:line="237" w:lineRule="auto" w:before="44"/>
              <w:ind w:right="399"/>
              <w:rPr>
                <w:sz w:val="22"/>
              </w:rPr>
            </w:pPr>
            <w:r>
              <w:rPr>
                <w:sz w:val="22"/>
              </w:rPr>
              <w:t>Forces the IME control to be on when first selecting the cell.</w:t>
            </w:r>
          </w:p>
        </w:tc>
      </w:tr>
    </w:tbl>
    <w:p>
      <w:pPr>
        <w:pStyle w:val="BodyText"/>
        <w:rPr>
          <w:sz w:val="20"/>
        </w:rPr>
      </w:pPr>
    </w:p>
    <w:p>
      <w:pPr>
        <w:pStyle w:val="BodyText"/>
        <w:spacing w:before="10"/>
        <w:rPr>
          <w:sz w:val="16"/>
        </w:rPr>
      </w:pPr>
    </w:p>
    <w:p>
      <w:pPr>
        <w:pStyle w:val="BodyText"/>
        <w:spacing w:line="278" w:lineRule="auto" w:before="56"/>
        <w:ind w:left="220" w:right="831"/>
      </w:pPr>
      <w:r>
        <w:rPr/>
        <w:t>[</w:t>
      </w:r>
      <w:r>
        <w:rPr>
          <w:i/>
        </w:rPr>
        <w:t>Note</w:t>
      </w:r>
      <w:r>
        <w:rPr/>
        <w:t>: The W3C XML Schema definition of this simple type’s content model (</w:t>
      </w:r>
      <w:r>
        <w:rPr>
          <w:color w:val="5F5F5F"/>
          <w:u w:val="single" w:color="5F5F5F"/>
        </w:rPr>
        <w:t>ST_DataValidationImeMode</w:t>
      </w:r>
      <w:r>
        <w:rPr/>
        <w:t>) is located in §A.2. </w:t>
      </w:r>
      <w:r>
        <w:rPr>
          <w:i/>
        </w:rPr>
        <w:t>end note</w:t>
      </w:r>
      <w:r>
        <w:rPr/>
        <w:t>]</w:t>
      </w:r>
    </w:p>
    <w:p>
      <w:pPr>
        <w:pStyle w:val="BodyText"/>
        <w:spacing w:before="4"/>
        <w:rPr>
          <w:sz w:val="16"/>
        </w:rPr>
      </w:pPr>
    </w:p>
    <w:p>
      <w:pPr>
        <w:pStyle w:val="Heading2"/>
        <w:numPr>
          <w:ilvl w:val="2"/>
          <w:numId w:val="17"/>
        </w:numPr>
        <w:tabs>
          <w:tab w:pos="1445" w:val="left" w:leader="none"/>
        </w:tabs>
        <w:spacing w:line="240" w:lineRule="auto" w:before="0" w:after="0"/>
        <w:ind w:left="1444" w:right="0" w:hanging="1225"/>
        <w:jc w:val="left"/>
      </w:pPr>
      <w:bookmarkStart w:name="18.18.20 ST_DataValidationOperator (Data" w:id="2525"/>
      <w:bookmarkEnd w:id="2525"/>
      <w:r>
        <w:rPr>
          <w:b w:val="0"/>
        </w:rPr>
      </w:r>
      <w:bookmarkStart w:name="_bookmark842" w:id="2526"/>
      <w:bookmarkEnd w:id="2526"/>
      <w:r>
        <w:rPr>
          <w:b w:val="0"/>
        </w:rPr>
      </w:r>
      <w:bookmarkStart w:name="_bookmark842" w:id="2527"/>
      <w:bookmarkEnd w:id="2527"/>
      <w:r>
        <w:rPr>
          <w:color w:val="4F81BC"/>
        </w:rPr>
        <w:t>S</w:t>
      </w:r>
      <w:r>
        <w:rPr>
          <w:color w:val="4F81BC"/>
        </w:rPr>
        <w:t>T_DataValidationOperator (Data Validation</w:t>
      </w:r>
      <w:r>
        <w:rPr>
          <w:color w:val="4F81BC"/>
          <w:spacing w:val="2"/>
        </w:rPr>
        <w:t> </w:t>
      </w:r>
      <w:r>
        <w:rPr>
          <w:color w:val="4F81BC"/>
        </w:rPr>
        <w:t>Operator)</w:t>
      </w:r>
    </w:p>
    <w:p>
      <w:pPr>
        <w:pStyle w:val="BodyText"/>
        <w:spacing w:before="126"/>
        <w:ind w:left="220"/>
      </w:pPr>
      <w:r>
        <w:rPr/>
        <w:t>The relational operator used in data validation.</w:t>
      </w:r>
    </w:p>
    <w:p>
      <w:pPr>
        <w:pStyle w:val="BodyText"/>
        <w:spacing w:before="8"/>
        <w:rPr>
          <w:sz w:val="19"/>
        </w:rPr>
      </w:pPr>
    </w:p>
    <w:p>
      <w:pPr>
        <w:pStyle w:val="BodyText"/>
        <w:spacing w:line="489" w:lineRule="auto" w:before="1"/>
        <w:ind w:left="220" w:right="2804"/>
      </w:pPr>
      <w:r>
        <w:rPr/>
        <w:pict>
          <v:shape style="position:absolute;margin-left:48pt;margin-top:42.923653pt;width:516.35pt;height:272pt;mso-position-horizontal-relative:page;mso-position-vertical-relative:paragraph;z-index:2519019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between </w:t>
                        </w:r>
                        <w:r>
                          <w:rPr>
                            <w:sz w:val="22"/>
                          </w:rPr>
                          <w:t>(Between)</w:t>
                        </w:r>
                      </w:p>
                    </w:tc>
                    <w:tc>
                      <w:tcPr>
                        <w:tcW w:w="5156" w:type="dxa"/>
                      </w:tcPr>
                      <w:p>
                        <w:pPr>
                          <w:pStyle w:val="TableParagraph"/>
                          <w:ind w:right="154"/>
                          <w:rPr>
                            <w:sz w:val="22"/>
                          </w:rPr>
                        </w:pPr>
                        <w:r>
                          <w:rPr>
                            <w:sz w:val="22"/>
                          </w:rPr>
                          <w:t>Data validation which checks if a value is between two other values.</w:t>
                        </w:r>
                      </w:p>
                    </w:tc>
                  </w:tr>
                  <w:tr>
                    <w:trPr>
                      <w:trHeight w:val="621" w:hRule="atLeast"/>
                    </w:trPr>
                    <w:tc>
                      <w:tcPr>
                        <w:tcW w:w="5156" w:type="dxa"/>
                      </w:tcPr>
                      <w:p>
                        <w:pPr>
                          <w:pStyle w:val="TableParagraph"/>
                          <w:rPr>
                            <w:sz w:val="22"/>
                          </w:rPr>
                        </w:pPr>
                        <w:r>
                          <w:rPr>
                            <w:rFonts w:ascii="Cambria"/>
                            <w:sz w:val="22"/>
                          </w:rPr>
                          <w:t>equal </w:t>
                        </w:r>
                        <w:r>
                          <w:rPr>
                            <w:sz w:val="22"/>
                          </w:rPr>
                          <w:t>(Equal)</w:t>
                        </w:r>
                      </w:p>
                    </w:tc>
                    <w:tc>
                      <w:tcPr>
                        <w:tcW w:w="5156" w:type="dxa"/>
                      </w:tcPr>
                      <w:p>
                        <w:pPr>
                          <w:pStyle w:val="TableParagraph"/>
                          <w:ind w:right="450"/>
                          <w:rPr>
                            <w:sz w:val="22"/>
                          </w:rPr>
                        </w:pPr>
                        <w:r>
                          <w:rPr>
                            <w:sz w:val="22"/>
                          </w:rPr>
                          <w:t>Data validation which checks if a value is equal to a specified value.</w:t>
                        </w:r>
                      </w:p>
                    </w:tc>
                  </w:tr>
                  <w:tr>
                    <w:trPr>
                      <w:trHeight w:val="623" w:hRule="atLeast"/>
                    </w:trPr>
                    <w:tc>
                      <w:tcPr>
                        <w:tcW w:w="5156" w:type="dxa"/>
                      </w:tcPr>
                      <w:p>
                        <w:pPr>
                          <w:pStyle w:val="TableParagraph"/>
                          <w:rPr>
                            <w:sz w:val="22"/>
                          </w:rPr>
                        </w:pPr>
                        <w:r>
                          <w:rPr>
                            <w:rFonts w:ascii="Cambria"/>
                            <w:sz w:val="22"/>
                          </w:rPr>
                          <w:t>greaterThan </w:t>
                        </w:r>
                        <w:r>
                          <w:rPr>
                            <w:sz w:val="22"/>
                          </w:rPr>
                          <w:t>(Greater Than)</w:t>
                        </w:r>
                      </w:p>
                    </w:tc>
                    <w:tc>
                      <w:tcPr>
                        <w:tcW w:w="5156" w:type="dxa"/>
                      </w:tcPr>
                      <w:p>
                        <w:pPr>
                          <w:pStyle w:val="TableParagraph"/>
                          <w:ind w:right="226"/>
                          <w:rPr>
                            <w:sz w:val="22"/>
                          </w:rPr>
                        </w:pPr>
                        <w:r>
                          <w:rPr>
                            <w:sz w:val="22"/>
                          </w:rPr>
                          <w:t>Data validation which checks if a value is greater than a specified value.</w:t>
                        </w:r>
                      </w:p>
                    </w:tc>
                  </w:tr>
                  <w:tr>
                    <w:trPr>
                      <w:trHeight w:val="623" w:hRule="atLeast"/>
                    </w:trPr>
                    <w:tc>
                      <w:tcPr>
                        <w:tcW w:w="5156" w:type="dxa"/>
                      </w:tcPr>
                      <w:p>
                        <w:pPr>
                          <w:pStyle w:val="TableParagraph"/>
                          <w:rPr>
                            <w:sz w:val="22"/>
                          </w:rPr>
                        </w:pPr>
                        <w:r>
                          <w:rPr>
                            <w:rFonts w:ascii="Cambria"/>
                            <w:sz w:val="22"/>
                          </w:rPr>
                          <w:t>greaterThanOrEqual </w:t>
                        </w:r>
                        <w:r>
                          <w:rPr>
                            <w:sz w:val="22"/>
                          </w:rPr>
                          <w:t>(Greater Than Or Equal)</w:t>
                        </w:r>
                      </w:p>
                    </w:tc>
                    <w:tc>
                      <w:tcPr>
                        <w:tcW w:w="5156" w:type="dxa"/>
                      </w:tcPr>
                      <w:p>
                        <w:pPr>
                          <w:pStyle w:val="TableParagraph"/>
                          <w:ind w:right="226"/>
                          <w:rPr>
                            <w:sz w:val="22"/>
                          </w:rPr>
                        </w:pPr>
                        <w:r>
                          <w:rPr>
                            <w:sz w:val="22"/>
                          </w:rPr>
                          <w:t>Data validation which checks if a value is greater than or equal to a specified value.</w:t>
                        </w:r>
                      </w:p>
                    </w:tc>
                  </w:tr>
                  <w:tr>
                    <w:trPr>
                      <w:trHeight w:val="623" w:hRule="atLeast"/>
                    </w:trPr>
                    <w:tc>
                      <w:tcPr>
                        <w:tcW w:w="5156" w:type="dxa"/>
                      </w:tcPr>
                      <w:p>
                        <w:pPr>
                          <w:pStyle w:val="TableParagraph"/>
                          <w:rPr>
                            <w:sz w:val="22"/>
                          </w:rPr>
                        </w:pPr>
                        <w:r>
                          <w:rPr>
                            <w:rFonts w:ascii="Cambria"/>
                            <w:sz w:val="22"/>
                          </w:rPr>
                          <w:t>lessThan </w:t>
                        </w:r>
                        <w:r>
                          <w:rPr>
                            <w:sz w:val="22"/>
                          </w:rPr>
                          <w:t>(Less Than)</w:t>
                        </w:r>
                      </w:p>
                    </w:tc>
                    <w:tc>
                      <w:tcPr>
                        <w:tcW w:w="5156" w:type="dxa"/>
                      </w:tcPr>
                      <w:p>
                        <w:pPr>
                          <w:pStyle w:val="TableParagraph"/>
                          <w:ind w:right="394"/>
                          <w:rPr>
                            <w:sz w:val="22"/>
                          </w:rPr>
                        </w:pPr>
                        <w:r>
                          <w:rPr>
                            <w:sz w:val="22"/>
                          </w:rPr>
                          <w:t>Data validation which checks if a value is less than a specified value.</w:t>
                        </w:r>
                      </w:p>
                    </w:tc>
                  </w:tr>
                  <w:tr>
                    <w:trPr>
                      <w:trHeight w:val="623" w:hRule="atLeast"/>
                    </w:trPr>
                    <w:tc>
                      <w:tcPr>
                        <w:tcW w:w="5156" w:type="dxa"/>
                      </w:tcPr>
                      <w:p>
                        <w:pPr>
                          <w:pStyle w:val="TableParagraph"/>
                          <w:rPr>
                            <w:sz w:val="22"/>
                          </w:rPr>
                        </w:pPr>
                        <w:r>
                          <w:rPr>
                            <w:rFonts w:ascii="Cambria"/>
                            <w:sz w:val="22"/>
                          </w:rPr>
                          <w:t>lessThanOrEqual </w:t>
                        </w:r>
                        <w:r>
                          <w:rPr>
                            <w:sz w:val="22"/>
                          </w:rPr>
                          <w:t>(Less Than Or Equal)</w:t>
                        </w:r>
                      </w:p>
                    </w:tc>
                    <w:tc>
                      <w:tcPr>
                        <w:tcW w:w="5156" w:type="dxa"/>
                      </w:tcPr>
                      <w:p>
                        <w:pPr>
                          <w:pStyle w:val="TableParagraph"/>
                          <w:ind w:right="307"/>
                          <w:rPr>
                            <w:sz w:val="22"/>
                          </w:rPr>
                        </w:pPr>
                        <w:r>
                          <w:rPr>
                            <w:sz w:val="22"/>
                          </w:rPr>
                          <w:t>Data validation which checks if a value is less than or equal to a specified value.</w:t>
                        </w:r>
                      </w:p>
                    </w:tc>
                  </w:tr>
                  <w:tr>
                    <w:trPr>
                      <w:trHeight w:val="621" w:hRule="atLeast"/>
                    </w:trPr>
                    <w:tc>
                      <w:tcPr>
                        <w:tcW w:w="5156" w:type="dxa"/>
                      </w:tcPr>
                      <w:p>
                        <w:pPr>
                          <w:pStyle w:val="TableParagraph"/>
                          <w:rPr>
                            <w:sz w:val="22"/>
                          </w:rPr>
                        </w:pPr>
                        <w:r>
                          <w:rPr>
                            <w:rFonts w:ascii="Cambria"/>
                            <w:sz w:val="22"/>
                          </w:rPr>
                          <w:t>notBetween </w:t>
                        </w:r>
                        <w:r>
                          <w:rPr>
                            <w:sz w:val="22"/>
                          </w:rPr>
                          <w:t>(Not Between)</w:t>
                        </w:r>
                      </w:p>
                    </w:tc>
                    <w:tc>
                      <w:tcPr>
                        <w:tcW w:w="5156" w:type="dxa"/>
                      </w:tcPr>
                      <w:p>
                        <w:pPr>
                          <w:pStyle w:val="TableParagraph"/>
                          <w:ind w:right="196"/>
                          <w:rPr>
                            <w:sz w:val="22"/>
                          </w:rPr>
                        </w:pPr>
                        <w:r>
                          <w:rPr>
                            <w:sz w:val="22"/>
                          </w:rPr>
                          <w:t>Data validation which checks if a value is not between two other values.</w:t>
                        </w:r>
                      </w:p>
                    </w:tc>
                  </w:tr>
                  <w:tr>
                    <w:trPr>
                      <w:trHeight w:val="624" w:hRule="atLeast"/>
                    </w:trPr>
                    <w:tc>
                      <w:tcPr>
                        <w:tcW w:w="5156" w:type="dxa"/>
                      </w:tcPr>
                      <w:p>
                        <w:pPr>
                          <w:pStyle w:val="TableParagraph"/>
                          <w:rPr>
                            <w:sz w:val="22"/>
                          </w:rPr>
                        </w:pPr>
                        <w:r>
                          <w:rPr>
                            <w:rFonts w:ascii="Cambria"/>
                            <w:sz w:val="22"/>
                          </w:rPr>
                          <w:t>notEqual </w:t>
                        </w:r>
                        <w:r>
                          <w:rPr>
                            <w:sz w:val="22"/>
                          </w:rPr>
                          <w:t>(Not Equal)</w:t>
                        </w:r>
                      </w:p>
                    </w:tc>
                    <w:tc>
                      <w:tcPr>
                        <w:tcW w:w="5156" w:type="dxa"/>
                      </w:tcPr>
                      <w:p>
                        <w:pPr>
                          <w:pStyle w:val="TableParagraph"/>
                          <w:ind w:right="95"/>
                          <w:rPr>
                            <w:sz w:val="22"/>
                          </w:rPr>
                        </w:pPr>
                        <w:r>
                          <w:rPr>
                            <w:sz w:val="22"/>
                          </w:rPr>
                          <w:t>Data validation which checks if a value is not equal to a specified value.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7"/>
        </w:rPr>
      </w:pPr>
    </w:p>
    <w:p>
      <w:pPr>
        <w:pStyle w:val="BodyText"/>
        <w:spacing w:line="278" w:lineRule="auto"/>
        <w:ind w:left="220" w:right="882"/>
      </w:pPr>
      <w:r>
        <w:rPr/>
        <w:t>[</w:t>
      </w:r>
      <w:r>
        <w:rPr>
          <w:i/>
        </w:rPr>
        <w:t>Note</w:t>
      </w:r>
      <w:r>
        <w:rPr/>
        <w:t>: The W3C XML Schema definition of this simple type’s content model (</w:t>
      </w:r>
      <w:r>
        <w:rPr>
          <w:color w:val="5F5F5F"/>
          <w:u w:val="single" w:color="5F5F5F"/>
        </w:rPr>
        <w:t>ST_DataValidationOperator</w:t>
      </w:r>
      <w:r>
        <w:rPr/>
        <w:t>) is located in §A.2. </w:t>
      </w:r>
      <w:r>
        <w:rPr>
          <w:i/>
        </w:rPr>
        <w:t>end 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21 ST_DataValidationType (Data Val" w:id="2528"/>
      <w:bookmarkEnd w:id="2528"/>
      <w:r>
        <w:rPr>
          <w:b w:val="0"/>
        </w:rPr>
      </w:r>
      <w:bookmarkStart w:name="_bookmark843" w:id="2529"/>
      <w:bookmarkEnd w:id="2529"/>
      <w:r>
        <w:rPr>
          <w:b w:val="0"/>
        </w:rPr>
      </w:r>
      <w:bookmarkStart w:name="_bookmark843" w:id="2530"/>
      <w:bookmarkEnd w:id="2530"/>
      <w:r>
        <w:rPr>
          <w:color w:val="4F81BC"/>
        </w:rPr>
        <w:t>S</w:t>
      </w:r>
      <w:r>
        <w:rPr>
          <w:color w:val="4F81BC"/>
        </w:rPr>
        <w:t>T_DataValidationType (Data Validation</w:t>
      </w:r>
      <w:r>
        <w:rPr>
          <w:color w:val="4F81BC"/>
          <w:spacing w:val="1"/>
        </w:rPr>
        <w:t> </w:t>
      </w:r>
      <w:r>
        <w:rPr>
          <w:color w:val="4F81BC"/>
        </w:rPr>
        <w:t>Type)</w:t>
      </w:r>
    </w:p>
    <w:p>
      <w:pPr>
        <w:pStyle w:val="BodyText"/>
        <w:spacing w:before="124"/>
        <w:ind w:left="220"/>
      </w:pPr>
      <w:r>
        <w:rPr/>
        <w:t>Specifies the type of data validation used to validate user input.</w:t>
      </w:r>
    </w:p>
    <w:p>
      <w:pPr>
        <w:spacing w:after="0"/>
        <w:sectPr>
          <w:pgSz w:w="12240" w:h="15840"/>
          <w:pgMar w:header="761" w:footer="746" w:top="1340" w:bottom="940" w:left="860" w:right="700"/>
        </w:sectPr>
      </w:pPr>
    </w:p>
    <w:p>
      <w:pPr>
        <w:pStyle w:val="BodyText"/>
        <w:spacing w:line="489" w:lineRule="auto" w:before="150"/>
        <w:ind w:left="220" w:right="2804"/>
      </w:pPr>
      <w:r>
        <w:rPr/>
        <w:pict>
          <v:shape style="position:absolute;margin-left:48pt;margin-top:50.393627pt;width:516.35pt;height:258.6500pt;mso-position-horizontal-relative:page;mso-position-vertical-relative:paragraph;z-index:2519029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custom </w:t>
                        </w:r>
                        <w:r>
                          <w:rPr>
                            <w:sz w:val="22"/>
                          </w:rPr>
                          <w:t>(Custom)</w:t>
                        </w:r>
                      </w:p>
                    </w:tc>
                    <w:tc>
                      <w:tcPr>
                        <w:tcW w:w="5156" w:type="dxa"/>
                      </w:tcPr>
                      <w:p>
                        <w:pPr>
                          <w:pStyle w:val="TableParagraph"/>
                          <w:ind w:right="208"/>
                          <w:rPr>
                            <w:sz w:val="22"/>
                          </w:rPr>
                        </w:pPr>
                        <w:r>
                          <w:rPr>
                            <w:sz w:val="22"/>
                          </w:rPr>
                          <w:t>Data validation which uses a custom formula to check the cell value.</w:t>
                        </w:r>
                      </w:p>
                    </w:tc>
                  </w:tr>
                  <w:tr>
                    <w:trPr>
                      <w:trHeight w:val="623" w:hRule="atLeast"/>
                    </w:trPr>
                    <w:tc>
                      <w:tcPr>
                        <w:tcW w:w="5156" w:type="dxa"/>
                      </w:tcPr>
                      <w:p>
                        <w:pPr>
                          <w:pStyle w:val="TableParagraph"/>
                          <w:rPr>
                            <w:sz w:val="22"/>
                          </w:rPr>
                        </w:pPr>
                        <w:r>
                          <w:rPr>
                            <w:rFonts w:ascii="Cambria"/>
                            <w:sz w:val="22"/>
                          </w:rPr>
                          <w:t>date </w:t>
                        </w:r>
                        <w:r>
                          <w:rPr>
                            <w:sz w:val="22"/>
                          </w:rPr>
                          <w:t>(Date)</w:t>
                        </w:r>
                      </w:p>
                    </w:tc>
                    <w:tc>
                      <w:tcPr>
                        <w:tcW w:w="5156" w:type="dxa"/>
                      </w:tcPr>
                      <w:p>
                        <w:pPr>
                          <w:pStyle w:val="TableParagraph"/>
                          <w:ind w:right="163"/>
                          <w:rPr>
                            <w:sz w:val="22"/>
                          </w:rPr>
                        </w:pPr>
                        <w:r>
                          <w:rPr>
                            <w:sz w:val="22"/>
                          </w:rPr>
                          <w:t>Data validation which checks for date values satisfying the given condition.</w:t>
                        </w:r>
                      </w:p>
                    </w:tc>
                  </w:tr>
                  <w:tr>
                    <w:trPr>
                      <w:trHeight w:val="623" w:hRule="atLeast"/>
                    </w:trPr>
                    <w:tc>
                      <w:tcPr>
                        <w:tcW w:w="5156" w:type="dxa"/>
                      </w:tcPr>
                      <w:p>
                        <w:pPr>
                          <w:pStyle w:val="TableParagraph"/>
                          <w:rPr>
                            <w:sz w:val="22"/>
                          </w:rPr>
                        </w:pPr>
                        <w:r>
                          <w:rPr>
                            <w:rFonts w:ascii="Cambria"/>
                            <w:sz w:val="22"/>
                          </w:rPr>
                          <w:t>decimal </w:t>
                        </w:r>
                        <w:r>
                          <w:rPr>
                            <w:sz w:val="22"/>
                          </w:rPr>
                          <w:t>(Decimal)</w:t>
                        </w:r>
                      </w:p>
                    </w:tc>
                    <w:tc>
                      <w:tcPr>
                        <w:tcW w:w="5156" w:type="dxa"/>
                      </w:tcPr>
                      <w:p>
                        <w:pPr>
                          <w:pStyle w:val="TableParagraph"/>
                          <w:ind w:right="754"/>
                          <w:rPr>
                            <w:sz w:val="22"/>
                          </w:rPr>
                        </w:pPr>
                        <w:r>
                          <w:rPr>
                            <w:sz w:val="22"/>
                          </w:rPr>
                          <w:t>Data validation which checks for decimal values satisfying the given condition.</w:t>
                        </w:r>
                      </w:p>
                    </w:tc>
                  </w:tr>
                  <w:tr>
                    <w:trPr>
                      <w:trHeight w:val="621" w:hRule="atLeast"/>
                    </w:trPr>
                    <w:tc>
                      <w:tcPr>
                        <w:tcW w:w="5156" w:type="dxa"/>
                      </w:tcPr>
                      <w:p>
                        <w:pPr>
                          <w:pStyle w:val="TableParagraph"/>
                          <w:rPr>
                            <w:sz w:val="22"/>
                          </w:rPr>
                        </w:pPr>
                        <w:r>
                          <w:rPr>
                            <w:rFonts w:ascii="Cambria"/>
                            <w:sz w:val="22"/>
                          </w:rPr>
                          <w:t>list </w:t>
                        </w:r>
                        <w:r>
                          <w:rPr>
                            <w:sz w:val="22"/>
                          </w:rPr>
                          <w:t>(List)</w:t>
                        </w:r>
                      </w:p>
                    </w:tc>
                    <w:tc>
                      <w:tcPr>
                        <w:tcW w:w="5156" w:type="dxa"/>
                      </w:tcPr>
                      <w:p>
                        <w:pPr>
                          <w:pStyle w:val="TableParagraph"/>
                          <w:ind w:right="162"/>
                          <w:rPr>
                            <w:sz w:val="22"/>
                          </w:rPr>
                        </w:pPr>
                        <w:r>
                          <w:rPr>
                            <w:sz w:val="22"/>
                          </w:rPr>
                          <w:t>Data validation which checks for a value matching one of list of values.</w:t>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No data validation.</w:t>
                        </w:r>
                      </w:p>
                    </w:tc>
                  </w:tr>
                  <w:tr>
                    <w:trPr>
                      <w:trHeight w:val="623" w:hRule="atLeast"/>
                    </w:trPr>
                    <w:tc>
                      <w:tcPr>
                        <w:tcW w:w="5156" w:type="dxa"/>
                      </w:tcPr>
                      <w:p>
                        <w:pPr>
                          <w:pStyle w:val="TableParagraph"/>
                          <w:rPr>
                            <w:sz w:val="22"/>
                          </w:rPr>
                        </w:pPr>
                        <w:r>
                          <w:rPr>
                            <w:rFonts w:ascii="Cambria"/>
                            <w:sz w:val="22"/>
                          </w:rPr>
                          <w:t>textLength </w:t>
                        </w:r>
                        <w:r>
                          <w:rPr>
                            <w:sz w:val="22"/>
                          </w:rPr>
                          <w:t>(Text Length)</w:t>
                        </w:r>
                      </w:p>
                    </w:tc>
                    <w:tc>
                      <w:tcPr>
                        <w:tcW w:w="5156" w:type="dxa"/>
                      </w:tcPr>
                      <w:p>
                        <w:pPr>
                          <w:pStyle w:val="TableParagraph"/>
                          <w:ind w:right="413"/>
                          <w:rPr>
                            <w:sz w:val="22"/>
                          </w:rPr>
                        </w:pPr>
                        <w:r>
                          <w:rPr>
                            <w:sz w:val="22"/>
                          </w:rPr>
                          <w:t>Data validation which checks for text values, whose length satisfies the given condition.</w:t>
                        </w:r>
                      </w:p>
                    </w:tc>
                  </w:tr>
                  <w:tr>
                    <w:trPr>
                      <w:trHeight w:val="623" w:hRule="atLeast"/>
                    </w:trPr>
                    <w:tc>
                      <w:tcPr>
                        <w:tcW w:w="5156" w:type="dxa"/>
                      </w:tcPr>
                      <w:p>
                        <w:pPr>
                          <w:pStyle w:val="TableParagraph"/>
                          <w:rPr>
                            <w:sz w:val="22"/>
                          </w:rPr>
                        </w:pPr>
                        <w:r>
                          <w:rPr>
                            <w:rFonts w:ascii="Cambria"/>
                            <w:sz w:val="22"/>
                          </w:rPr>
                          <w:t>time </w:t>
                        </w:r>
                        <w:r>
                          <w:rPr>
                            <w:sz w:val="22"/>
                          </w:rPr>
                          <w:t>(Time)</w:t>
                        </w:r>
                      </w:p>
                    </w:tc>
                    <w:tc>
                      <w:tcPr>
                        <w:tcW w:w="5156" w:type="dxa"/>
                      </w:tcPr>
                      <w:p>
                        <w:pPr>
                          <w:pStyle w:val="TableParagraph"/>
                          <w:ind w:right="157"/>
                          <w:rPr>
                            <w:sz w:val="22"/>
                          </w:rPr>
                        </w:pPr>
                        <w:r>
                          <w:rPr>
                            <w:sz w:val="22"/>
                          </w:rPr>
                          <w:t>Data validation which checks for time values satisfying the given condition.</w:t>
                        </w:r>
                      </w:p>
                    </w:tc>
                  </w:tr>
                  <w:tr>
                    <w:trPr>
                      <w:trHeight w:val="623" w:hRule="atLeast"/>
                    </w:trPr>
                    <w:tc>
                      <w:tcPr>
                        <w:tcW w:w="5156" w:type="dxa"/>
                      </w:tcPr>
                      <w:p>
                        <w:pPr>
                          <w:pStyle w:val="TableParagraph"/>
                          <w:rPr>
                            <w:sz w:val="22"/>
                          </w:rPr>
                        </w:pPr>
                        <w:r>
                          <w:rPr>
                            <w:rFonts w:ascii="Cambria"/>
                            <w:sz w:val="22"/>
                          </w:rPr>
                          <w:t>whole </w:t>
                        </w:r>
                        <w:r>
                          <w:rPr>
                            <w:sz w:val="22"/>
                          </w:rPr>
                          <w:t>(Whole Number)</w:t>
                        </w:r>
                      </w:p>
                    </w:tc>
                    <w:tc>
                      <w:tcPr>
                        <w:tcW w:w="5156" w:type="dxa"/>
                      </w:tcPr>
                      <w:p>
                        <w:pPr>
                          <w:pStyle w:val="TableParagraph"/>
                          <w:ind w:right="147"/>
                          <w:rPr>
                            <w:sz w:val="22"/>
                          </w:rPr>
                        </w:pPr>
                        <w:r>
                          <w:rPr>
                            <w:sz w:val="22"/>
                          </w:rPr>
                          <w:t>Data validation which checks for whole number values satisfying the given condition.</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7"/>
        </w:rPr>
      </w:pPr>
    </w:p>
    <w:p>
      <w:pPr>
        <w:pStyle w:val="BodyText"/>
        <w:spacing w:line="276" w:lineRule="auto" w:before="1"/>
        <w:ind w:left="220" w:right="556"/>
      </w:pPr>
      <w:r>
        <w:rPr/>
        <w:t>[</w:t>
      </w:r>
      <w:r>
        <w:rPr>
          <w:i/>
        </w:rPr>
        <w:t>Note</w:t>
      </w:r>
      <w:r>
        <w:rPr/>
        <w:t>: The W3C XML Schema definition of this simple type’s content model (</w:t>
      </w:r>
      <w:r>
        <w:rPr>
          <w:color w:val="5F5F5F"/>
          <w:u w:val="single" w:color="5F5F5F"/>
        </w:rPr>
        <w:t>ST_DataValidationType</w:t>
      </w:r>
      <w:r>
        <w:rPr/>
        <w:t>) is located in §A.2. </w:t>
      </w:r>
      <w:r>
        <w:rPr>
          <w:i/>
        </w:rPr>
        <w:t>end note</w:t>
      </w:r>
      <w:r>
        <w:rPr/>
        <w:t>]</w:t>
      </w:r>
    </w:p>
    <w:p>
      <w:pPr>
        <w:pStyle w:val="BodyText"/>
        <w:spacing w:before="8"/>
        <w:rPr>
          <w:sz w:val="16"/>
        </w:rPr>
      </w:pPr>
    </w:p>
    <w:p>
      <w:pPr>
        <w:pStyle w:val="Heading2"/>
        <w:numPr>
          <w:ilvl w:val="2"/>
          <w:numId w:val="17"/>
        </w:numPr>
        <w:tabs>
          <w:tab w:pos="1445" w:val="left" w:leader="none"/>
        </w:tabs>
        <w:spacing w:line="240" w:lineRule="auto" w:before="1" w:after="0"/>
        <w:ind w:left="1444" w:right="0" w:hanging="1225"/>
        <w:jc w:val="left"/>
      </w:pPr>
      <w:bookmarkStart w:name="18.18.22 ST_DateTimeGrouping (Date Time " w:id="2531"/>
      <w:bookmarkEnd w:id="2531"/>
      <w:r>
        <w:rPr>
          <w:b w:val="0"/>
        </w:rPr>
      </w:r>
      <w:bookmarkStart w:name="_bookmark844" w:id="2532"/>
      <w:bookmarkEnd w:id="2532"/>
      <w:r>
        <w:rPr>
          <w:b w:val="0"/>
        </w:rPr>
      </w:r>
      <w:bookmarkStart w:name="_bookmark844" w:id="2533"/>
      <w:bookmarkEnd w:id="2533"/>
      <w:r>
        <w:rPr>
          <w:color w:val="4F81BC"/>
        </w:rPr>
        <w:t>S</w:t>
      </w:r>
      <w:r>
        <w:rPr>
          <w:color w:val="4F81BC"/>
        </w:rPr>
        <w:t>T_DateTimeGrouping (Date Time</w:t>
      </w:r>
      <w:r>
        <w:rPr>
          <w:color w:val="4F81BC"/>
          <w:spacing w:val="-2"/>
        </w:rPr>
        <w:t> </w:t>
      </w:r>
      <w:r>
        <w:rPr>
          <w:color w:val="4F81BC"/>
        </w:rPr>
        <w:t>Grouping)</w:t>
      </w:r>
    </w:p>
    <w:p>
      <w:pPr>
        <w:pStyle w:val="BodyText"/>
        <w:spacing w:before="124"/>
        <w:ind w:left="220"/>
      </w:pPr>
      <w:r>
        <w:rPr/>
        <w:t>Specifies how to group dateTime values.</w:t>
      </w:r>
    </w:p>
    <w:p>
      <w:pPr>
        <w:pStyle w:val="BodyText"/>
        <w:spacing w:before="8"/>
        <w:rPr>
          <w:sz w:val="19"/>
        </w:rPr>
      </w:pPr>
    </w:p>
    <w:p>
      <w:pPr>
        <w:pStyle w:val="BodyText"/>
        <w:spacing w:line="489" w:lineRule="auto"/>
        <w:ind w:left="220" w:right="2804"/>
      </w:pPr>
      <w:r>
        <w:rPr/>
        <w:pict>
          <v:shape style="position:absolute;margin-left:48pt;margin-top:42.873669pt;width:516.35pt;height:128.2pt;mso-position-horizontal-relative:page;mso-position-vertical-relative:paragraph;z-index:2519040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day </w:t>
                        </w:r>
                        <w:r>
                          <w:rPr>
                            <w:sz w:val="22"/>
                          </w:rPr>
                          <w:t>(Day)</w:t>
                        </w:r>
                      </w:p>
                    </w:tc>
                    <w:tc>
                      <w:tcPr>
                        <w:tcW w:w="5156" w:type="dxa"/>
                      </w:tcPr>
                      <w:p>
                        <w:pPr>
                          <w:pStyle w:val="TableParagraph"/>
                          <w:rPr>
                            <w:sz w:val="22"/>
                          </w:rPr>
                        </w:pPr>
                        <w:r>
                          <w:rPr>
                            <w:sz w:val="22"/>
                          </w:rPr>
                          <w:t>Group by day</w:t>
                        </w:r>
                      </w:p>
                    </w:tc>
                  </w:tr>
                  <w:tr>
                    <w:trPr>
                      <w:trHeight w:val="354" w:hRule="atLeast"/>
                    </w:trPr>
                    <w:tc>
                      <w:tcPr>
                        <w:tcW w:w="5156" w:type="dxa"/>
                      </w:tcPr>
                      <w:p>
                        <w:pPr>
                          <w:pStyle w:val="TableParagraph"/>
                          <w:rPr>
                            <w:sz w:val="22"/>
                          </w:rPr>
                        </w:pPr>
                        <w:r>
                          <w:rPr>
                            <w:rFonts w:ascii="Cambria"/>
                            <w:sz w:val="22"/>
                          </w:rPr>
                          <w:t>hour </w:t>
                        </w:r>
                        <w:r>
                          <w:rPr>
                            <w:sz w:val="22"/>
                          </w:rPr>
                          <w:t>(Group by Hour)</w:t>
                        </w:r>
                      </w:p>
                    </w:tc>
                    <w:tc>
                      <w:tcPr>
                        <w:tcW w:w="5156" w:type="dxa"/>
                      </w:tcPr>
                      <w:p>
                        <w:pPr>
                          <w:pStyle w:val="TableParagraph"/>
                          <w:rPr>
                            <w:sz w:val="22"/>
                          </w:rPr>
                        </w:pPr>
                        <w:r>
                          <w:rPr>
                            <w:sz w:val="22"/>
                          </w:rPr>
                          <w:t>Group by hour</w:t>
                        </w:r>
                      </w:p>
                    </w:tc>
                  </w:tr>
                  <w:tr>
                    <w:trPr>
                      <w:trHeight w:val="354" w:hRule="atLeast"/>
                    </w:trPr>
                    <w:tc>
                      <w:tcPr>
                        <w:tcW w:w="5156" w:type="dxa"/>
                      </w:tcPr>
                      <w:p>
                        <w:pPr>
                          <w:pStyle w:val="TableParagraph"/>
                          <w:rPr>
                            <w:sz w:val="22"/>
                          </w:rPr>
                        </w:pPr>
                        <w:r>
                          <w:rPr>
                            <w:rFonts w:ascii="Cambria"/>
                            <w:sz w:val="22"/>
                          </w:rPr>
                          <w:t>minute </w:t>
                        </w:r>
                        <w:r>
                          <w:rPr>
                            <w:sz w:val="22"/>
                          </w:rPr>
                          <w:t>(Group by Minute)</w:t>
                        </w:r>
                      </w:p>
                    </w:tc>
                    <w:tc>
                      <w:tcPr>
                        <w:tcW w:w="5156" w:type="dxa"/>
                      </w:tcPr>
                      <w:p>
                        <w:pPr>
                          <w:pStyle w:val="TableParagraph"/>
                          <w:rPr>
                            <w:sz w:val="22"/>
                          </w:rPr>
                        </w:pPr>
                        <w:r>
                          <w:rPr>
                            <w:sz w:val="22"/>
                          </w:rPr>
                          <w:t>Group by minute</w:t>
                        </w:r>
                      </w:p>
                    </w:tc>
                  </w:tr>
                  <w:tr>
                    <w:trPr>
                      <w:trHeight w:val="355" w:hRule="atLeast"/>
                    </w:trPr>
                    <w:tc>
                      <w:tcPr>
                        <w:tcW w:w="5156" w:type="dxa"/>
                      </w:tcPr>
                      <w:p>
                        <w:pPr>
                          <w:pStyle w:val="TableParagraph"/>
                          <w:rPr>
                            <w:sz w:val="22"/>
                          </w:rPr>
                        </w:pPr>
                        <w:r>
                          <w:rPr>
                            <w:rFonts w:ascii="Cambria"/>
                            <w:sz w:val="22"/>
                          </w:rPr>
                          <w:t>month </w:t>
                        </w:r>
                        <w:r>
                          <w:rPr>
                            <w:sz w:val="22"/>
                          </w:rPr>
                          <w:t>(Month)</w:t>
                        </w:r>
                      </w:p>
                    </w:tc>
                    <w:tc>
                      <w:tcPr>
                        <w:tcW w:w="5156" w:type="dxa"/>
                      </w:tcPr>
                      <w:p>
                        <w:pPr>
                          <w:pStyle w:val="TableParagraph"/>
                          <w:rPr>
                            <w:sz w:val="22"/>
                          </w:rPr>
                        </w:pPr>
                        <w:r>
                          <w:rPr>
                            <w:sz w:val="22"/>
                          </w:rPr>
                          <w:t>Group by month</w:t>
                        </w:r>
                      </w:p>
                    </w:tc>
                  </w:tr>
                  <w:tr>
                    <w:trPr>
                      <w:trHeight w:val="354" w:hRule="atLeast"/>
                    </w:trPr>
                    <w:tc>
                      <w:tcPr>
                        <w:tcW w:w="5156" w:type="dxa"/>
                      </w:tcPr>
                      <w:p>
                        <w:pPr>
                          <w:pStyle w:val="TableParagraph"/>
                          <w:rPr>
                            <w:sz w:val="22"/>
                          </w:rPr>
                        </w:pPr>
                        <w:r>
                          <w:rPr>
                            <w:rFonts w:ascii="Cambria"/>
                            <w:sz w:val="22"/>
                          </w:rPr>
                          <w:t>second </w:t>
                        </w:r>
                        <w:r>
                          <w:rPr>
                            <w:sz w:val="22"/>
                          </w:rPr>
                          <w:t>(Second)</w:t>
                        </w:r>
                      </w:p>
                    </w:tc>
                    <w:tc>
                      <w:tcPr>
                        <w:tcW w:w="5156" w:type="dxa"/>
                      </w:tcPr>
                      <w:p>
                        <w:pPr>
                          <w:pStyle w:val="TableParagraph"/>
                          <w:rPr>
                            <w:sz w:val="22"/>
                          </w:rPr>
                        </w:pPr>
                        <w:r>
                          <w:rPr>
                            <w:sz w:val="22"/>
                          </w:rPr>
                          <w:t>Group by second</w:t>
                        </w:r>
                      </w:p>
                    </w:tc>
                  </w:tr>
                  <w:tr>
                    <w:trPr>
                      <w:trHeight w:val="354" w:hRule="atLeast"/>
                    </w:trPr>
                    <w:tc>
                      <w:tcPr>
                        <w:tcW w:w="5156" w:type="dxa"/>
                      </w:tcPr>
                      <w:p>
                        <w:pPr>
                          <w:pStyle w:val="TableParagraph"/>
                          <w:rPr>
                            <w:sz w:val="22"/>
                          </w:rPr>
                        </w:pPr>
                        <w:r>
                          <w:rPr>
                            <w:rFonts w:ascii="Cambria"/>
                            <w:sz w:val="22"/>
                          </w:rPr>
                          <w:t>year </w:t>
                        </w:r>
                        <w:r>
                          <w:rPr>
                            <w:sz w:val="22"/>
                          </w:rPr>
                          <w:t>(Group by Year)</w:t>
                        </w:r>
                      </w:p>
                    </w:tc>
                    <w:tc>
                      <w:tcPr>
                        <w:tcW w:w="5156" w:type="dxa"/>
                      </w:tcPr>
                      <w:p>
                        <w:pPr>
                          <w:pStyle w:val="TableParagraph"/>
                          <w:rPr>
                            <w:sz w:val="22"/>
                          </w:rPr>
                        </w:pPr>
                        <w:r>
                          <w:rPr>
                            <w:sz w:val="22"/>
                          </w:rPr>
                          <w:t>Group by year</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6"/>
        <w:ind w:left="220"/>
      </w:pPr>
      <w:r>
        <w:rPr/>
        <w:t>[</w:t>
      </w:r>
      <w:r>
        <w:rPr>
          <w:i/>
        </w:rPr>
        <w:t>Note</w:t>
      </w:r>
      <w:r>
        <w:rPr/>
        <w:t>: The W3C XML Schema definition of this simple type’s content model (</w:t>
      </w:r>
      <w:r>
        <w:rPr>
          <w:color w:val="5F5F5F"/>
          <w:u w:val="single" w:color="5F5F5F"/>
        </w:rPr>
        <w:t>ST_DateTimeGrouping</w:t>
      </w:r>
      <w:r>
        <w:rPr/>
        <w:t>) is located in</w:t>
      </w:r>
    </w:p>
    <w:p>
      <w:pPr>
        <w:spacing w:before="41"/>
        <w:ind w:left="220" w:right="0" w:firstLine="0"/>
        <w:jc w:val="left"/>
        <w:rPr>
          <w:sz w:val="22"/>
        </w:rPr>
      </w:pPr>
      <w:r>
        <w:rPr>
          <w:sz w:val="22"/>
        </w:rPr>
        <w:t>§A.2. </w:t>
      </w: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2"/>
        <w:numPr>
          <w:ilvl w:val="2"/>
          <w:numId w:val="17"/>
        </w:numPr>
        <w:tabs>
          <w:tab w:pos="1445" w:val="left" w:leader="none"/>
        </w:tabs>
        <w:spacing w:line="240" w:lineRule="auto" w:before="93" w:after="0"/>
        <w:ind w:left="1444" w:right="0" w:hanging="1225"/>
        <w:jc w:val="left"/>
      </w:pPr>
      <w:bookmarkStart w:name="18.18.23 ST_DdeValueType (DDE Value Type" w:id="2534"/>
      <w:bookmarkEnd w:id="2534"/>
      <w:r>
        <w:rPr>
          <w:b w:val="0"/>
        </w:rPr>
      </w:r>
      <w:bookmarkStart w:name="_bookmark845" w:id="2535"/>
      <w:bookmarkEnd w:id="2535"/>
      <w:r>
        <w:rPr>
          <w:b w:val="0"/>
        </w:rPr>
      </w:r>
      <w:bookmarkStart w:name="_bookmark845" w:id="2536"/>
      <w:bookmarkEnd w:id="2536"/>
      <w:r>
        <w:rPr>
          <w:color w:val="4F81BC"/>
        </w:rPr>
        <w:t>S</w:t>
      </w:r>
      <w:r>
        <w:rPr>
          <w:color w:val="4F81BC"/>
        </w:rPr>
        <w:t>T_DdeValueType (DDE Value Types)</w:t>
      </w:r>
    </w:p>
    <w:p>
      <w:pPr>
        <w:pStyle w:val="BodyText"/>
        <w:spacing w:before="125"/>
        <w:ind w:left="220"/>
      </w:pPr>
      <w:r>
        <w:rPr/>
        <w:t>This simple type indicates the type of the DDE value.</w:t>
      </w:r>
    </w:p>
    <w:p>
      <w:pPr>
        <w:pStyle w:val="BodyText"/>
        <w:spacing w:before="8"/>
        <w:rPr>
          <w:sz w:val="19"/>
        </w:rPr>
      </w:pPr>
    </w:p>
    <w:p>
      <w:pPr>
        <w:pStyle w:val="BodyText"/>
        <w:spacing w:line="489" w:lineRule="auto"/>
        <w:ind w:left="220" w:right="2817"/>
        <w:jc w:val="both"/>
      </w:pPr>
      <w:r>
        <w:rPr/>
        <w:pict>
          <v:shape style="position:absolute;margin-left:48pt;margin-top:42.993629pt;width:516.35pt;height:109.85pt;mso-position-horizontal-relative:page;mso-position-vertical-relative:paragraph;z-index:2519050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b </w:t>
                        </w:r>
                        <w:r>
                          <w:rPr>
                            <w:sz w:val="22"/>
                          </w:rPr>
                          <w:t>(Boolean)</w:t>
                        </w:r>
                      </w:p>
                    </w:tc>
                    <w:tc>
                      <w:tcPr>
                        <w:tcW w:w="5156" w:type="dxa"/>
                      </w:tcPr>
                      <w:p>
                        <w:pPr>
                          <w:pStyle w:val="TableParagraph"/>
                          <w:rPr>
                            <w:sz w:val="22"/>
                          </w:rPr>
                        </w:pPr>
                        <w:r>
                          <w:rPr>
                            <w:sz w:val="22"/>
                          </w:rPr>
                          <w:t>Indicates that the value is a boolean.</w:t>
                        </w:r>
                      </w:p>
                    </w:tc>
                  </w:tr>
                  <w:tr>
                    <w:trPr>
                      <w:trHeight w:val="352" w:hRule="atLeast"/>
                    </w:trPr>
                    <w:tc>
                      <w:tcPr>
                        <w:tcW w:w="5156" w:type="dxa"/>
                      </w:tcPr>
                      <w:p>
                        <w:pPr>
                          <w:pStyle w:val="TableParagraph"/>
                          <w:rPr>
                            <w:sz w:val="22"/>
                          </w:rPr>
                        </w:pPr>
                        <w:r>
                          <w:rPr>
                            <w:rFonts w:ascii="Cambria"/>
                            <w:sz w:val="22"/>
                          </w:rPr>
                          <w:t>e </w:t>
                        </w:r>
                        <w:r>
                          <w:rPr>
                            <w:sz w:val="22"/>
                          </w:rPr>
                          <w:t>(Error)</w:t>
                        </w:r>
                      </w:p>
                    </w:tc>
                    <w:tc>
                      <w:tcPr>
                        <w:tcW w:w="5156" w:type="dxa"/>
                      </w:tcPr>
                      <w:p>
                        <w:pPr>
                          <w:pStyle w:val="TableParagraph"/>
                          <w:rPr>
                            <w:sz w:val="22"/>
                          </w:rPr>
                        </w:pPr>
                        <w:r>
                          <w:rPr>
                            <w:sz w:val="22"/>
                          </w:rPr>
                          <w:t>Indicates that the value is an error.</w:t>
                        </w:r>
                      </w:p>
                    </w:tc>
                  </w:tr>
                  <w:tr>
                    <w:trPr>
                      <w:trHeight w:val="354" w:hRule="atLeast"/>
                    </w:trPr>
                    <w:tc>
                      <w:tcPr>
                        <w:tcW w:w="5156" w:type="dxa"/>
                      </w:tcPr>
                      <w:p>
                        <w:pPr>
                          <w:pStyle w:val="TableParagraph"/>
                          <w:spacing w:before="42"/>
                          <w:rPr>
                            <w:sz w:val="22"/>
                          </w:rPr>
                        </w:pPr>
                        <w:r>
                          <w:rPr>
                            <w:rFonts w:ascii="Cambria"/>
                            <w:sz w:val="22"/>
                          </w:rPr>
                          <w:t>n </w:t>
                        </w:r>
                        <w:r>
                          <w:rPr>
                            <w:sz w:val="22"/>
                          </w:rPr>
                          <w:t>(Real Number)</w:t>
                        </w:r>
                      </w:p>
                    </w:tc>
                    <w:tc>
                      <w:tcPr>
                        <w:tcW w:w="5156" w:type="dxa"/>
                      </w:tcPr>
                      <w:p>
                        <w:pPr>
                          <w:pStyle w:val="TableParagraph"/>
                          <w:spacing w:before="42"/>
                          <w:rPr>
                            <w:sz w:val="22"/>
                          </w:rPr>
                        </w:pPr>
                        <w:r>
                          <w:rPr>
                            <w:sz w:val="22"/>
                          </w:rPr>
                          <w:t>Indicates that the value is a real number.</w:t>
                        </w:r>
                      </w:p>
                    </w:tc>
                  </w:tr>
                  <w:tr>
                    <w:trPr>
                      <w:trHeight w:val="354" w:hRule="atLeast"/>
                    </w:trPr>
                    <w:tc>
                      <w:tcPr>
                        <w:tcW w:w="5156" w:type="dxa"/>
                      </w:tcPr>
                      <w:p>
                        <w:pPr>
                          <w:pStyle w:val="TableParagraph"/>
                          <w:rPr>
                            <w:sz w:val="22"/>
                          </w:rPr>
                        </w:pPr>
                        <w:r>
                          <w:rPr>
                            <w:rFonts w:ascii="Cambria"/>
                            <w:sz w:val="22"/>
                          </w:rPr>
                          <w:t>nil </w:t>
                        </w:r>
                        <w:r>
                          <w:rPr>
                            <w:sz w:val="22"/>
                          </w:rPr>
                          <w:t>(Nil)</w:t>
                        </w:r>
                      </w:p>
                    </w:tc>
                    <w:tc>
                      <w:tcPr>
                        <w:tcW w:w="5156" w:type="dxa"/>
                      </w:tcPr>
                      <w:p>
                        <w:pPr>
                          <w:pStyle w:val="TableParagraph"/>
                          <w:rPr>
                            <w:sz w:val="22"/>
                          </w:rPr>
                        </w:pPr>
                        <w:r>
                          <w:rPr>
                            <w:sz w:val="22"/>
                          </w:rPr>
                          <w:t>Indicates that the value is nil.</w:t>
                        </w:r>
                      </w:p>
                    </w:tc>
                  </w:tr>
                  <w:tr>
                    <w:trPr>
                      <w:trHeight w:val="355" w:hRule="atLeast"/>
                    </w:trPr>
                    <w:tc>
                      <w:tcPr>
                        <w:tcW w:w="5156" w:type="dxa"/>
                      </w:tcPr>
                      <w:p>
                        <w:pPr>
                          <w:pStyle w:val="TableParagraph"/>
                          <w:rPr>
                            <w:sz w:val="22"/>
                          </w:rPr>
                        </w:pPr>
                        <w:r>
                          <w:rPr>
                            <w:rFonts w:ascii="Cambria"/>
                            <w:sz w:val="22"/>
                          </w:rPr>
                          <w:t>str </w:t>
                        </w:r>
                        <w:r>
                          <w:rPr>
                            <w:sz w:val="22"/>
                          </w:rPr>
                          <w:t>(String)</w:t>
                        </w:r>
                      </w:p>
                    </w:tc>
                    <w:tc>
                      <w:tcPr>
                        <w:tcW w:w="5156" w:type="dxa"/>
                      </w:tcPr>
                      <w:p>
                        <w:pPr>
                          <w:pStyle w:val="TableParagraph"/>
                          <w:rPr>
                            <w:sz w:val="22"/>
                          </w:rPr>
                        </w:pPr>
                        <w:r>
                          <w:rPr>
                            <w:sz w:val="22"/>
                          </w:rPr>
                          <w:t>Indicates that the value is a string.</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6"/>
        </w:rPr>
      </w:pPr>
    </w:p>
    <w:p>
      <w:pPr>
        <w:pStyle w:val="BodyText"/>
        <w:ind w:left="220"/>
      </w:pPr>
      <w:r>
        <w:rPr/>
        <w:t>[</w:t>
      </w:r>
      <w:r>
        <w:rPr>
          <w:i/>
        </w:rPr>
        <w:t>Note</w:t>
      </w:r>
      <w:r>
        <w:rPr/>
        <w:t>: The W3C XML Schema definition of this simple type’s content model (</w:t>
      </w:r>
      <w:r>
        <w:rPr>
          <w:color w:val="5F5F5F"/>
          <w:u w:val="single" w:color="5F5F5F"/>
        </w:rPr>
        <w:t>ST_DdeValueType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24 ST_DvAspect (Data View Aspect T" w:id="2537"/>
      <w:bookmarkEnd w:id="2537"/>
      <w:r>
        <w:rPr>
          <w:b w:val="0"/>
        </w:rPr>
      </w:r>
      <w:bookmarkStart w:name="_bookmark846" w:id="2538"/>
      <w:bookmarkEnd w:id="2538"/>
      <w:r>
        <w:rPr>
          <w:b w:val="0"/>
        </w:rPr>
      </w:r>
      <w:bookmarkStart w:name="_bookmark846" w:id="2539"/>
      <w:bookmarkEnd w:id="2539"/>
      <w:r>
        <w:rPr>
          <w:color w:val="4F81BC"/>
        </w:rPr>
        <w:t>S</w:t>
      </w:r>
      <w:r>
        <w:rPr>
          <w:color w:val="4F81BC"/>
        </w:rPr>
        <w:t>T_DvAspect (Data View Aspect</w:t>
      </w:r>
      <w:r>
        <w:rPr>
          <w:color w:val="4F81BC"/>
          <w:spacing w:val="-2"/>
        </w:rPr>
        <w:t> </w:t>
      </w:r>
      <w:r>
        <w:rPr>
          <w:color w:val="4F81BC"/>
        </w:rPr>
        <w:t>Type)</w:t>
      </w:r>
    </w:p>
    <w:p>
      <w:pPr>
        <w:pStyle w:val="BodyText"/>
        <w:spacing w:line="472" w:lineRule="auto" w:before="124"/>
        <w:ind w:left="220" w:right="2817"/>
        <w:jc w:val="both"/>
      </w:pPr>
      <w:r>
        <w:rPr/>
        <w:pict>
          <v:shape style="position:absolute;margin-left:48pt;margin-top:74.633644pt;width:516.35pt;height:68.7pt;mso-position-horizontal-relative:page;mso-position-vertical-relative:paragraph;z-index:25190604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1" w:hRule="atLeast"/>
                    </w:trPr>
                    <w:tc>
                      <w:tcPr>
                        <w:tcW w:w="5156" w:type="dxa"/>
                      </w:tcPr>
                      <w:p>
                        <w:pPr>
                          <w:pStyle w:val="TableParagraph"/>
                          <w:rPr>
                            <w:sz w:val="22"/>
                          </w:rPr>
                        </w:pPr>
                        <w:r>
                          <w:rPr>
                            <w:rFonts w:ascii="Cambria"/>
                            <w:sz w:val="22"/>
                          </w:rPr>
                          <w:t>DVASPECT_CONTENT </w:t>
                        </w:r>
                        <w:r>
                          <w:rPr>
                            <w:sz w:val="22"/>
                          </w:rPr>
                          <w:t>(Object Display Content)</w:t>
                        </w:r>
                      </w:p>
                    </w:tc>
                    <w:tc>
                      <w:tcPr>
                        <w:tcW w:w="5156" w:type="dxa"/>
                      </w:tcPr>
                      <w:p>
                        <w:pPr>
                          <w:pStyle w:val="TableParagraph"/>
                          <w:ind w:right="97"/>
                          <w:rPr>
                            <w:sz w:val="22"/>
                          </w:rPr>
                        </w:pPr>
                        <w:r>
                          <w:rPr>
                            <w:sz w:val="22"/>
                          </w:rPr>
                          <w:t>Provides a representation of an object so it can be displayed as an embedded object inside of a container.</w:t>
                        </w:r>
                      </w:p>
                    </w:tc>
                  </w:tr>
                  <w:tr>
                    <w:trPr>
                      <w:trHeight w:val="357" w:hRule="atLeast"/>
                    </w:trPr>
                    <w:tc>
                      <w:tcPr>
                        <w:tcW w:w="5156" w:type="dxa"/>
                      </w:tcPr>
                      <w:p>
                        <w:pPr>
                          <w:pStyle w:val="TableParagraph"/>
                          <w:spacing w:before="42"/>
                          <w:rPr>
                            <w:sz w:val="22"/>
                          </w:rPr>
                        </w:pPr>
                        <w:r>
                          <w:rPr>
                            <w:rFonts w:ascii="Cambria"/>
                            <w:sz w:val="22"/>
                          </w:rPr>
                          <w:t>DVASPECT_ICON </w:t>
                        </w:r>
                        <w:r>
                          <w:rPr>
                            <w:sz w:val="22"/>
                          </w:rPr>
                          <w:t>(Object Display Icon)</w:t>
                        </w:r>
                      </w:p>
                    </w:tc>
                    <w:tc>
                      <w:tcPr>
                        <w:tcW w:w="5156" w:type="dxa"/>
                      </w:tcPr>
                      <w:p>
                        <w:pPr>
                          <w:pStyle w:val="TableParagraph"/>
                          <w:spacing w:before="42"/>
                          <w:rPr>
                            <w:sz w:val="22"/>
                          </w:rPr>
                        </w:pPr>
                        <w:r>
                          <w:rPr>
                            <w:sz w:val="22"/>
                          </w:rPr>
                          <w:t>Provides an iconic representation of an object.</w:t>
                        </w:r>
                      </w:p>
                    </w:tc>
                  </w:tr>
                </w:tbl>
                <w:p>
                  <w:pPr>
                    <w:pStyle w:val="BodyText"/>
                  </w:pPr>
                </w:p>
              </w:txbxContent>
            </v:textbox>
            <w10:wrap type="none"/>
          </v:shape>
        </w:pict>
      </w:r>
      <w:r>
        <w:rPr/>
        <w:t>Specifies the desired data or view aspect of the object when drawing or getting data. 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rPr>
          <w:sz w:val="26"/>
        </w:rPr>
      </w:pPr>
    </w:p>
    <w:p>
      <w:pPr>
        <w:pStyle w:val="BodyText"/>
        <w:spacing w:line="276" w:lineRule="auto" w:before="1"/>
        <w:ind w:left="220" w:right="369"/>
      </w:pPr>
      <w:r>
        <w:rPr/>
        <w:t>[</w:t>
      </w:r>
      <w:r>
        <w:rPr>
          <w:i/>
        </w:rPr>
        <w:t>Note</w:t>
      </w:r>
      <w:r>
        <w:rPr/>
        <w:t>: The W3C XML Schema definition of this simple type’s content model (</w:t>
      </w:r>
      <w:r>
        <w:rPr>
          <w:color w:val="5F5F5F"/>
          <w:u w:val="single" w:color="5F5F5F"/>
        </w:rPr>
        <w:t>ST_DvAspect</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25 ST_DxfId (Format Id)" w:id="2540"/>
      <w:bookmarkEnd w:id="2540"/>
      <w:r>
        <w:rPr>
          <w:b w:val="0"/>
        </w:rPr>
      </w:r>
      <w:bookmarkStart w:name="_bookmark847" w:id="2541"/>
      <w:bookmarkEnd w:id="2541"/>
      <w:r>
        <w:rPr>
          <w:b w:val="0"/>
        </w:rPr>
      </w:r>
      <w:bookmarkStart w:name="_bookmark847" w:id="2542"/>
      <w:bookmarkEnd w:id="2542"/>
      <w:r>
        <w:rPr>
          <w:color w:val="4F81BC"/>
        </w:rPr>
        <w:t>S</w:t>
      </w:r>
      <w:r>
        <w:rPr>
          <w:color w:val="4F81BC"/>
        </w:rPr>
        <w:t>T_DxfId (Format</w:t>
      </w:r>
      <w:r>
        <w:rPr>
          <w:color w:val="4F81BC"/>
          <w:spacing w:val="-4"/>
        </w:rPr>
        <w:t> </w:t>
      </w:r>
      <w:r>
        <w:rPr>
          <w:color w:val="4F81BC"/>
        </w:rPr>
        <w:t>Id)</w:t>
      </w:r>
    </w:p>
    <w:p>
      <w:pPr>
        <w:pStyle w:val="BodyText"/>
        <w:spacing w:line="278" w:lineRule="auto" w:before="124"/>
        <w:ind w:left="220" w:right="379"/>
      </w:pPr>
      <w:r>
        <w:rPr/>
        <w:t>This simple type defines the identifier to CT_Dxfs in the styles part. This a zero-based index. See §</w:t>
      </w:r>
      <w:hyperlink w:history="true" w:anchor="_bookmark213">
        <w:r>
          <w:rPr/>
          <w:t>18.8.30 </w:t>
        </w:r>
      </w:hyperlink>
      <w:r>
        <w:rPr/>
        <w:t>in Style for more information on formats.</w:t>
      </w:r>
    </w:p>
    <w:p>
      <w:pPr>
        <w:pStyle w:val="BodyText"/>
        <w:spacing w:before="196"/>
        <w:ind w:left="220"/>
      </w:pPr>
      <w:r>
        <w:rPr/>
        <w:t>This simple type's contents are a restriction of the W3C XML Schema </w:t>
      </w:r>
      <w:r>
        <w:rPr>
          <w:rFonts w:ascii="Cambria"/>
        </w:rPr>
        <w:t>unsignedInt </w:t>
      </w:r>
      <w:r>
        <w:rPr/>
        <w:t>datatype.</w:t>
      </w:r>
    </w:p>
    <w:p>
      <w:pPr>
        <w:pStyle w:val="BodyText"/>
        <w:spacing w:before="5"/>
        <w:rPr>
          <w:sz w:val="19"/>
        </w:rPr>
      </w:pPr>
    </w:p>
    <w:p>
      <w:pPr>
        <w:pStyle w:val="BodyText"/>
        <w:spacing w:line="278" w:lineRule="auto" w:before="1"/>
        <w:ind w:left="220" w:right="740"/>
      </w:pPr>
      <w:r>
        <w:rPr/>
        <w:t>[</w:t>
      </w:r>
      <w:r>
        <w:rPr>
          <w:i/>
        </w:rPr>
        <w:t>Note</w:t>
      </w:r>
      <w:r>
        <w:rPr/>
        <w:t>: The W3C XML Schema definition of this simple type’s content model (</w:t>
      </w:r>
      <w:r>
        <w:rPr>
          <w:color w:val="5F5F5F"/>
          <w:u w:val="single" w:color="5F5F5F"/>
        </w:rPr>
        <w:t>ST_DxfId</w:t>
      </w:r>
      <w:r>
        <w:rPr/>
        <w:t>) is located in §A.2. </w:t>
      </w:r>
      <w:r>
        <w:rPr>
          <w:i/>
        </w:rPr>
        <w:t>end </w:t>
      </w:r>
      <w:r>
        <w:rPr>
          <w:i/>
        </w:rPr>
        <w:t>note</w:t>
      </w:r>
      <w:r>
        <w:rPr/>
        <w:t>]</w:t>
      </w:r>
    </w:p>
    <w:p>
      <w:pPr>
        <w:spacing w:after="0" w:line="278" w:lineRule="auto"/>
        <w:sectPr>
          <w:footerReference w:type="even" r:id="rId303"/>
          <w:footerReference w:type="default" r:id="rId304"/>
          <w:pgSz w:w="12240" w:h="15840"/>
          <w:pgMar w:footer="746" w:header="761" w:top="1340" w:bottom="940" w:left="860" w:right="700"/>
          <w:pgNumType w:start="2450"/>
        </w:sectPr>
      </w:pPr>
    </w:p>
    <w:p>
      <w:pPr>
        <w:pStyle w:val="Heading2"/>
        <w:numPr>
          <w:ilvl w:val="2"/>
          <w:numId w:val="17"/>
        </w:numPr>
        <w:tabs>
          <w:tab w:pos="1445" w:val="left" w:leader="none"/>
        </w:tabs>
        <w:spacing w:line="240" w:lineRule="auto" w:before="151" w:after="0"/>
        <w:ind w:left="1444" w:right="0" w:hanging="1225"/>
        <w:jc w:val="left"/>
      </w:pPr>
      <w:bookmarkStart w:name="18.18.26 ST_DynamicFilterType (Dynamic F" w:id="2543"/>
      <w:bookmarkEnd w:id="2543"/>
      <w:r>
        <w:rPr>
          <w:b w:val="0"/>
        </w:rPr>
      </w:r>
      <w:bookmarkStart w:name="_bookmark848" w:id="2544"/>
      <w:bookmarkEnd w:id="2544"/>
      <w:r>
        <w:rPr>
          <w:b w:val="0"/>
        </w:rPr>
      </w:r>
      <w:bookmarkStart w:name="_bookmark848" w:id="2545"/>
      <w:bookmarkEnd w:id="2545"/>
      <w:r>
        <w:rPr>
          <w:color w:val="4F81BC"/>
        </w:rPr>
        <w:t>S</w:t>
      </w:r>
      <w:r>
        <w:rPr>
          <w:color w:val="4F81BC"/>
        </w:rPr>
        <w:t>T_DynamicFilterType (Dynamic</w:t>
      </w:r>
      <w:r>
        <w:rPr>
          <w:color w:val="4F81BC"/>
          <w:spacing w:val="1"/>
        </w:rPr>
        <w:t> </w:t>
      </w:r>
      <w:r>
        <w:rPr>
          <w:color w:val="4F81BC"/>
        </w:rPr>
        <w:t>Filter)</w:t>
      </w:r>
    </w:p>
    <w:p>
      <w:pPr>
        <w:pStyle w:val="BodyText"/>
        <w:spacing w:line="276" w:lineRule="auto" w:before="122"/>
        <w:ind w:left="220" w:right="364"/>
      </w:pPr>
      <w:r>
        <w:rPr/>
        <w:t>These are the dynamic filter types. A dynamic filter returns a result set which might vary due to a change in the data itself or a change in the date on which the filter is being applied. For example, for a set of data {1,1,2,3}, the aboveAverage filter would return or highlight the last two values in the set. If the data is refreshed or changed to</w:t>
      </w:r>
    </w:p>
    <w:p>
      <w:pPr>
        <w:pStyle w:val="BodyText"/>
        <w:spacing w:line="278" w:lineRule="auto"/>
        <w:ind w:left="220" w:right="381"/>
      </w:pPr>
      <w:r>
        <w:rPr/>
        <w:t>{1,1,1,2}, then only the last value would be highlighted. Similarly, the meaning of "lastQuarter" shall be the same for the dates in January, February, and March, but shall change meaning once the date advances from March to April.</w:t>
      </w:r>
    </w:p>
    <w:p>
      <w:pPr>
        <w:pStyle w:val="BodyText"/>
        <w:spacing w:line="489" w:lineRule="auto" w:before="196"/>
        <w:ind w:left="220" w:right="2804"/>
      </w:pPr>
      <w:r>
        <w:rPr/>
        <w:pict>
          <v:shape style="position:absolute;margin-left:48pt;margin-top:52.673656pt;width:516.35pt;height:477.35pt;mso-position-horizontal-relative:page;mso-position-vertical-relative:paragraph;z-index:25190707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5" w:hRule="atLeast"/>
                    </w:trPr>
                    <w:tc>
                      <w:tcPr>
                        <w:tcW w:w="5156" w:type="dxa"/>
                      </w:tcPr>
                      <w:p>
                        <w:pPr>
                          <w:pStyle w:val="TableParagraph"/>
                          <w:rPr>
                            <w:sz w:val="22"/>
                          </w:rPr>
                        </w:pPr>
                        <w:r>
                          <w:rPr>
                            <w:rFonts w:ascii="Cambria"/>
                            <w:sz w:val="22"/>
                          </w:rPr>
                          <w:t>aboveAverage </w:t>
                        </w:r>
                        <w:r>
                          <w:rPr>
                            <w:sz w:val="22"/>
                          </w:rPr>
                          <w:t>(Above Average)</w:t>
                        </w:r>
                      </w:p>
                    </w:tc>
                    <w:tc>
                      <w:tcPr>
                        <w:tcW w:w="5156" w:type="dxa"/>
                      </w:tcPr>
                      <w:p>
                        <w:pPr>
                          <w:pStyle w:val="TableParagraph"/>
                          <w:rPr>
                            <w:sz w:val="22"/>
                          </w:rPr>
                        </w:pPr>
                        <w:r>
                          <w:rPr>
                            <w:sz w:val="22"/>
                          </w:rPr>
                          <w:t>Shows values that are above average.</w:t>
                        </w:r>
                      </w:p>
                    </w:tc>
                  </w:tr>
                  <w:tr>
                    <w:trPr>
                      <w:trHeight w:val="354" w:hRule="atLeast"/>
                    </w:trPr>
                    <w:tc>
                      <w:tcPr>
                        <w:tcW w:w="5156" w:type="dxa"/>
                      </w:tcPr>
                      <w:p>
                        <w:pPr>
                          <w:pStyle w:val="TableParagraph"/>
                          <w:rPr>
                            <w:sz w:val="22"/>
                          </w:rPr>
                        </w:pPr>
                        <w:r>
                          <w:rPr>
                            <w:rFonts w:ascii="Cambria"/>
                            <w:sz w:val="22"/>
                          </w:rPr>
                          <w:t>belowAverage </w:t>
                        </w:r>
                        <w:r>
                          <w:rPr>
                            <w:sz w:val="22"/>
                          </w:rPr>
                          <w:t>(Below Average)</w:t>
                        </w:r>
                      </w:p>
                    </w:tc>
                    <w:tc>
                      <w:tcPr>
                        <w:tcW w:w="5156" w:type="dxa"/>
                      </w:tcPr>
                      <w:p>
                        <w:pPr>
                          <w:pStyle w:val="TableParagraph"/>
                          <w:rPr>
                            <w:sz w:val="22"/>
                          </w:rPr>
                        </w:pPr>
                        <w:r>
                          <w:rPr>
                            <w:sz w:val="22"/>
                          </w:rPr>
                          <w:t>Shows values that are below average.</w:t>
                        </w:r>
                      </w:p>
                    </w:tc>
                  </w:tr>
                  <w:tr>
                    <w:trPr>
                      <w:trHeight w:val="354" w:hRule="atLeast"/>
                    </w:trPr>
                    <w:tc>
                      <w:tcPr>
                        <w:tcW w:w="5156" w:type="dxa"/>
                      </w:tcPr>
                      <w:p>
                        <w:pPr>
                          <w:pStyle w:val="TableParagraph"/>
                          <w:rPr>
                            <w:sz w:val="22"/>
                          </w:rPr>
                        </w:pPr>
                        <w:r>
                          <w:rPr>
                            <w:rFonts w:ascii="Cambria"/>
                            <w:sz w:val="22"/>
                          </w:rPr>
                          <w:t>lastMonth </w:t>
                        </w:r>
                        <w:r>
                          <w:rPr>
                            <w:sz w:val="22"/>
                          </w:rPr>
                          <w:t>(Last Month)</w:t>
                        </w:r>
                      </w:p>
                    </w:tc>
                    <w:tc>
                      <w:tcPr>
                        <w:tcW w:w="5156" w:type="dxa"/>
                      </w:tcPr>
                      <w:p>
                        <w:pPr>
                          <w:pStyle w:val="TableParagraph"/>
                          <w:rPr>
                            <w:sz w:val="22"/>
                          </w:rPr>
                        </w:pPr>
                        <w:r>
                          <w:rPr>
                            <w:sz w:val="22"/>
                          </w:rPr>
                          <w:t>Shows last month's dates.</w:t>
                        </w:r>
                      </w:p>
                    </w:tc>
                  </w:tr>
                  <w:tr>
                    <w:trPr>
                      <w:trHeight w:val="354" w:hRule="atLeast"/>
                    </w:trPr>
                    <w:tc>
                      <w:tcPr>
                        <w:tcW w:w="5156" w:type="dxa"/>
                      </w:tcPr>
                      <w:p>
                        <w:pPr>
                          <w:pStyle w:val="TableParagraph"/>
                          <w:rPr>
                            <w:sz w:val="22"/>
                          </w:rPr>
                        </w:pPr>
                        <w:r>
                          <w:rPr>
                            <w:rFonts w:ascii="Cambria"/>
                            <w:sz w:val="22"/>
                          </w:rPr>
                          <w:t>lastQuarter </w:t>
                        </w:r>
                        <w:r>
                          <w:rPr>
                            <w:sz w:val="22"/>
                          </w:rPr>
                          <w:t>(Last Quarter)</w:t>
                        </w:r>
                      </w:p>
                    </w:tc>
                    <w:tc>
                      <w:tcPr>
                        <w:tcW w:w="5156" w:type="dxa"/>
                      </w:tcPr>
                      <w:p>
                        <w:pPr>
                          <w:pStyle w:val="TableParagraph"/>
                          <w:rPr>
                            <w:sz w:val="22"/>
                          </w:rPr>
                        </w:pPr>
                        <w:r>
                          <w:rPr>
                            <w:sz w:val="22"/>
                          </w:rPr>
                          <w:t>Shows last calendar quarter's dates.</w:t>
                        </w:r>
                      </w:p>
                    </w:tc>
                  </w:tr>
                  <w:tr>
                    <w:trPr>
                      <w:trHeight w:val="621" w:hRule="atLeast"/>
                    </w:trPr>
                    <w:tc>
                      <w:tcPr>
                        <w:tcW w:w="5156" w:type="dxa"/>
                      </w:tcPr>
                      <w:p>
                        <w:pPr>
                          <w:pStyle w:val="TableParagraph"/>
                          <w:rPr>
                            <w:sz w:val="22"/>
                          </w:rPr>
                        </w:pPr>
                        <w:r>
                          <w:rPr>
                            <w:rFonts w:ascii="Cambria"/>
                            <w:sz w:val="22"/>
                          </w:rPr>
                          <w:t>lastWeek </w:t>
                        </w:r>
                        <w:r>
                          <w:rPr>
                            <w:sz w:val="22"/>
                          </w:rPr>
                          <w:t>(Last Week)</w:t>
                        </w:r>
                      </w:p>
                    </w:tc>
                    <w:tc>
                      <w:tcPr>
                        <w:tcW w:w="5156" w:type="dxa"/>
                      </w:tcPr>
                      <w:p>
                        <w:pPr>
                          <w:pStyle w:val="TableParagraph"/>
                          <w:ind w:right="597"/>
                          <w:rPr>
                            <w:sz w:val="22"/>
                          </w:rPr>
                        </w:pPr>
                        <w:r>
                          <w:rPr>
                            <w:sz w:val="22"/>
                          </w:rPr>
                          <w:t>Shows last week's dates, using Sunday as the first weekday.</w:t>
                        </w:r>
                      </w:p>
                    </w:tc>
                  </w:tr>
                  <w:tr>
                    <w:trPr>
                      <w:trHeight w:val="354" w:hRule="atLeast"/>
                    </w:trPr>
                    <w:tc>
                      <w:tcPr>
                        <w:tcW w:w="5156" w:type="dxa"/>
                      </w:tcPr>
                      <w:p>
                        <w:pPr>
                          <w:pStyle w:val="TableParagraph"/>
                          <w:rPr>
                            <w:sz w:val="22"/>
                          </w:rPr>
                        </w:pPr>
                        <w:r>
                          <w:rPr>
                            <w:rFonts w:ascii="Cambria"/>
                            <w:sz w:val="22"/>
                          </w:rPr>
                          <w:t>lastYear </w:t>
                        </w:r>
                        <w:r>
                          <w:rPr>
                            <w:sz w:val="22"/>
                          </w:rPr>
                          <w:t>(Last Year)</w:t>
                        </w:r>
                      </w:p>
                    </w:tc>
                    <w:tc>
                      <w:tcPr>
                        <w:tcW w:w="5156" w:type="dxa"/>
                      </w:tcPr>
                      <w:p>
                        <w:pPr>
                          <w:pStyle w:val="TableParagraph"/>
                          <w:rPr>
                            <w:sz w:val="22"/>
                          </w:rPr>
                        </w:pPr>
                        <w:r>
                          <w:rPr>
                            <w:sz w:val="22"/>
                          </w:rPr>
                          <w:t>Shows last year's dates.</w:t>
                        </w:r>
                      </w:p>
                    </w:tc>
                  </w:tr>
                  <w:tr>
                    <w:trPr>
                      <w:trHeight w:val="623" w:hRule="atLeast"/>
                    </w:trPr>
                    <w:tc>
                      <w:tcPr>
                        <w:tcW w:w="5156" w:type="dxa"/>
                      </w:tcPr>
                      <w:p>
                        <w:pPr>
                          <w:pStyle w:val="TableParagraph"/>
                          <w:rPr>
                            <w:sz w:val="22"/>
                          </w:rPr>
                        </w:pPr>
                        <w:r>
                          <w:rPr>
                            <w:rFonts w:ascii="Cambria"/>
                            <w:sz w:val="22"/>
                          </w:rPr>
                          <w:t>M1 </w:t>
                        </w:r>
                        <w:r>
                          <w:rPr>
                            <w:sz w:val="22"/>
                          </w:rPr>
                          <w:t>(1st Month)</w:t>
                        </w:r>
                      </w:p>
                    </w:tc>
                    <w:tc>
                      <w:tcPr>
                        <w:tcW w:w="5156" w:type="dxa"/>
                      </w:tcPr>
                      <w:p>
                        <w:pPr>
                          <w:pStyle w:val="TableParagraph"/>
                          <w:ind w:right="576"/>
                          <w:rPr>
                            <w:sz w:val="22"/>
                          </w:rPr>
                        </w:pPr>
                        <w:r>
                          <w:rPr>
                            <w:sz w:val="22"/>
                          </w:rPr>
                          <w:t>Shows the dates that are in January, regardless of year.</w:t>
                        </w:r>
                      </w:p>
                    </w:tc>
                  </w:tr>
                  <w:tr>
                    <w:trPr>
                      <w:trHeight w:val="623" w:hRule="atLeast"/>
                    </w:trPr>
                    <w:tc>
                      <w:tcPr>
                        <w:tcW w:w="5156" w:type="dxa"/>
                      </w:tcPr>
                      <w:p>
                        <w:pPr>
                          <w:pStyle w:val="TableParagraph"/>
                          <w:rPr>
                            <w:sz w:val="22"/>
                          </w:rPr>
                        </w:pPr>
                        <w:r>
                          <w:rPr>
                            <w:rFonts w:ascii="Cambria"/>
                            <w:sz w:val="22"/>
                          </w:rPr>
                          <w:t>M10 </w:t>
                        </w:r>
                        <w:r>
                          <w:rPr>
                            <w:sz w:val="22"/>
                          </w:rPr>
                          <w:t>(10th Month)</w:t>
                        </w:r>
                      </w:p>
                    </w:tc>
                    <w:tc>
                      <w:tcPr>
                        <w:tcW w:w="5156" w:type="dxa"/>
                      </w:tcPr>
                      <w:p>
                        <w:pPr>
                          <w:pStyle w:val="TableParagraph"/>
                          <w:ind w:right="534"/>
                          <w:rPr>
                            <w:sz w:val="22"/>
                          </w:rPr>
                        </w:pPr>
                        <w:r>
                          <w:rPr>
                            <w:sz w:val="22"/>
                          </w:rPr>
                          <w:t>Shows the dates that are in October, regardless of year.</w:t>
                        </w:r>
                      </w:p>
                    </w:tc>
                  </w:tr>
                  <w:tr>
                    <w:trPr>
                      <w:trHeight w:val="623" w:hRule="atLeast"/>
                    </w:trPr>
                    <w:tc>
                      <w:tcPr>
                        <w:tcW w:w="5156" w:type="dxa"/>
                      </w:tcPr>
                      <w:p>
                        <w:pPr>
                          <w:pStyle w:val="TableParagraph"/>
                          <w:rPr>
                            <w:sz w:val="22"/>
                          </w:rPr>
                        </w:pPr>
                        <w:r>
                          <w:rPr>
                            <w:rFonts w:ascii="Cambria"/>
                            <w:sz w:val="22"/>
                          </w:rPr>
                          <w:t>M11 </w:t>
                        </w:r>
                        <w:r>
                          <w:rPr>
                            <w:sz w:val="22"/>
                          </w:rPr>
                          <w:t>(11th Month)</w:t>
                        </w:r>
                      </w:p>
                    </w:tc>
                    <w:tc>
                      <w:tcPr>
                        <w:tcW w:w="5156" w:type="dxa"/>
                      </w:tcPr>
                      <w:p>
                        <w:pPr>
                          <w:pStyle w:val="TableParagraph"/>
                          <w:ind w:right="320"/>
                          <w:rPr>
                            <w:sz w:val="22"/>
                          </w:rPr>
                        </w:pPr>
                        <w:r>
                          <w:rPr>
                            <w:sz w:val="22"/>
                          </w:rPr>
                          <w:t>Shows the dates that are in November, regardless of year.</w:t>
                        </w:r>
                      </w:p>
                    </w:tc>
                  </w:tr>
                  <w:tr>
                    <w:trPr>
                      <w:trHeight w:val="621" w:hRule="atLeast"/>
                    </w:trPr>
                    <w:tc>
                      <w:tcPr>
                        <w:tcW w:w="5156" w:type="dxa"/>
                      </w:tcPr>
                      <w:p>
                        <w:pPr>
                          <w:pStyle w:val="TableParagraph"/>
                          <w:rPr>
                            <w:sz w:val="22"/>
                          </w:rPr>
                        </w:pPr>
                        <w:r>
                          <w:rPr>
                            <w:rFonts w:ascii="Cambria"/>
                            <w:sz w:val="22"/>
                          </w:rPr>
                          <w:t>M12 </w:t>
                        </w:r>
                        <w:r>
                          <w:rPr>
                            <w:sz w:val="22"/>
                          </w:rPr>
                          <w:t>(12th Month)</w:t>
                        </w:r>
                      </w:p>
                    </w:tc>
                    <w:tc>
                      <w:tcPr>
                        <w:tcW w:w="5156" w:type="dxa"/>
                      </w:tcPr>
                      <w:p>
                        <w:pPr>
                          <w:pStyle w:val="TableParagraph"/>
                          <w:ind w:right="339"/>
                          <w:rPr>
                            <w:sz w:val="22"/>
                          </w:rPr>
                        </w:pPr>
                        <w:r>
                          <w:rPr>
                            <w:sz w:val="22"/>
                          </w:rPr>
                          <w:t>Shows the dates that are in December, regardless of year.</w:t>
                        </w:r>
                      </w:p>
                    </w:tc>
                  </w:tr>
                  <w:tr>
                    <w:trPr>
                      <w:trHeight w:val="623" w:hRule="atLeast"/>
                    </w:trPr>
                    <w:tc>
                      <w:tcPr>
                        <w:tcW w:w="5156" w:type="dxa"/>
                      </w:tcPr>
                      <w:p>
                        <w:pPr>
                          <w:pStyle w:val="TableParagraph"/>
                          <w:spacing w:before="42"/>
                          <w:rPr>
                            <w:sz w:val="22"/>
                          </w:rPr>
                        </w:pPr>
                        <w:r>
                          <w:rPr>
                            <w:rFonts w:ascii="Cambria"/>
                            <w:sz w:val="22"/>
                          </w:rPr>
                          <w:t>M2 </w:t>
                        </w:r>
                        <w:r>
                          <w:rPr>
                            <w:sz w:val="22"/>
                          </w:rPr>
                          <w:t>(2nd Month)</w:t>
                        </w:r>
                      </w:p>
                    </w:tc>
                    <w:tc>
                      <w:tcPr>
                        <w:tcW w:w="5156" w:type="dxa"/>
                      </w:tcPr>
                      <w:p>
                        <w:pPr>
                          <w:pStyle w:val="TableParagraph"/>
                          <w:spacing w:line="237" w:lineRule="auto" w:before="44"/>
                          <w:ind w:right="464"/>
                          <w:rPr>
                            <w:sz w:val="22"/>
                          </w:rPr>
                        </w:pPr>
                        <w:r>
                          <w:rPr>
                            <w:sz w:val="22"/>
                          </w:rPr>
                          <w:t>Shows the dates that are in February, regardless of year.</w:t>
                        </w:r>
                      </w:p>
                    </w:tc>
                  </w:tr>
                  <w:tr>
                    <w:trPr>
                      <w:trHeight w:val="354" w:hRule="atLeast"/>
                    </w:trPr>
                    <w:tc>
                      <w:tcPr>
                        <w:tcW w:w="5156" w:type="dxa"/>
                      </w:tcPr>
                      <w:p>
                        <w:pPr>
                          <w:pStyle w:val="TableParagraph"/>
                          <w:rPr>
                            <w:sz w:val="22"/>
                          </w:rPr>
                        </w:pPr>
                        <w:r>
                          <w:rPr>
                            <w:rFonts w:ascii="Cambria"/>
                            <w:sz w:val="22"/>
                          </w:rPr>
                          <w:t>M3 </w:t>
                        </w:r>
                        <w:r>
                          <w:rPr>
                            <w:sz w:val="22"/>
                          </w:rPr>
                          <w:t>(3rd Month)</w:t>
                        </w:r>
                      </w:p>
                    </w:tc>
                    <w:tc>
                      <w:tcPr>
                        <w:tcW w:w="5156" w:type="dxa"/>
                      </w:tcPr>
                      <w:p>
                        <w:pPr>
                          <w:pStyle w:val="TableParagraph"/>
                          <w:rPr>
                            <w:sz w:val="22"/>
                          </w:rPr>
                        </w:pPr>
                        <w:r>
                          <w:rPr>
                            <w:sz w:val="22"/>
                          </w:rPr>
                          <w:t>Shows the dates that are in March, regardless of year.</w:t>
                        </w:r>
                      </w:p>
                    </w:tc>
                  </w:tr>
                  <w:tr>
                    <w:trPr>
                      <w:trHeight w:val="354" w:hRule="atLeast"/>
                    </w:trPr>
                    <w:tc>
                      <w:tcPr>
                        <w:tcW w:w="5156" w:type="dxa"/>
                      </w:tcPr>
                      <w:p>
                        <w:pPr>
                          <w:pStyle w:val="TableParagraph"/>
                          <w:rPr>
                            <w:sz w:val="22"/>
                          </w:rPr>
                        </w:pPr>
                        <w:r>
                          <w:rPr>
                            <w:rFonts w:ascii="Cambria"/>
                            <w:sz w:val="22"/>
                          </w:rPr>
                          <w:t>M4 </w:t>
                        </w:r>
                        <w:r>
                          <w:rPr>
                            <w:sz w:val="22"/>
                          </w:rPr>
                          <w:t>(4th Month)</w:t>
                        </w:r>
                      </w:p>
                    </w:tc>
                    <w:tc>
                      <w:tcPr>
                        <w:tcW w:w="5156" w:type="dxa"/>
                      </w:tcPr>
                      <w:p>
                        <w:pPr>
                          <w:pStyle w:val="TableParagraph"/>
                          <w:rPr>
                            <w:sz w:val="22"/>
                          </w:rPr>
                        </w:pPr>
                        <w:r>
                          <w:rPr>
                            <w:sz w:val="22"/>
                          </w:rPr>
                          <w:t>Shows the dates that are in April, regardless of year.</w:t>
                        </w:r>
                      </w:p>
                    </w:tc>
                  </w:tr>
                  <w:tr>
                    <w:trPr>
                      <w:trHeight w:val="354" w:hRule="atLeast"/>
                    </w:trPr>
                    <w:tc>
                      <w:tcPr>
                        <w:tcW w:w="5156" w:type="dxa"/>
                      </w:tcPr>
                      <w:p>
                        <w:pPr>
                          <w:pStyle w:val="TableParagraph"/>
                          <w:rPr>
                            <w:sz w:val="22"/>
                          </w:rPr>
                        </w:pPr>
                        <w:r>
                          <w:rPr>
                            <w:rFonts w:ascii="Cambria"/>
                            <w:sz w:val="22"/>
                          </w:rPr>
                          <w:t>M5 </w:t>
                        </w:r>
                        <w:r>
                          <w:rPr>
                            <w:sz w:val="22"/>
                          </w:rPr>
                          <w:t>(5th Month)</w:t>
                        </w:r>
                      </w:p>
                    </w:tc>
                    <w:tc>
                      <w:tcPr>
                        <w:tcW w:w="5156" w:type="dxa"/>
                      </w:tcPr>
                      <w:p>
                        <w:pPr>
                          <w:pStyle w:val="TableParagraph"/>
                          <w:rPr>
                            <w:sz w:val="22"/>
                          </w:rPr>
                        </w:pPr>
                        <w:r>
                          <w:rPr>
                            <w:sz w:val="22"/>
                          </w:rPr>
                          <w:t>Shows the dates that are in May, regardless of year.</w:t>
                        </w:r>
                      </w:p>
                    </w:tc>
                  </w:tr>
                  <w:tr>
                    <w:trPr>
                      <w:trHeight w:val="355" w:hRule="atLeast"/>
                    </w:trPr>
                    <w:tc>
                      <w:tcPr>
                        <w:tcW w:w="5156" w:type="dxa"/>
                      </w:tcPr>
                      <w:p>
                        <w:pPr>
                          <w:pStyle w:val="TableParagraph"/>
                          <w:rPr>
                            <w:sz w:val="22"/>
                          </w:rPr>
                        </w:pPr>
                        <w:r>
                          <w:rPr>
                            <w:rFonts w:ascii="Cambria"/>
                            <w:sz w:val="22"/>
                          </w:rPr>
                          <w:t>M6 </w:t>
                        </w:r>
                        <w:r>
                          <w:rPr>
                            <w:sz w:val="22"/>
                          </w:rPr>
                          <w:t>(6th Month)</w:t>
                        </w:r>
                      </w:p>
                    </w:tc>
                    <w:tc>
                      <w:tcPr>
                        <w:tcW w:w="5156" w:type="dxa"/>
                      </w:tcPr>
                      <w:p>
                        <w:pPr>
                          <w:pStyle w:val="TableParagraph"/>
                          <w:rPr>
                            <w:sz w:val="22"/>
                          </w:rPr>
                        </w:pPr>
                        <w:r>
                          <w:rPr>
                            <w:sz w:val="22"/>
                          </w:rPr>
                          <w:t>Shows the dates that are in June, regardless of year.</w:t>
                        </w:r>
                      </w:p>
                    </w:tc>
                  </w:tr>
                  <w:tr>
                    <w:trPr>
                      <w:trHeight w:val="354" w:hRule="atLeast"/>
                    </w:trPr>
                    <w:tc>
                      <w:tcPr>
                        <w:tcW w:w="5156" w:type="dxa"/>
                      </w:tcPr>
                      <w:p>
                        <w:pPr>
                          <w:pStyle w:val="TableParagraph"/>
                          <w:rPr>
                            <w:sz w:val="22"/>
                          </w:rPr>
                        </w:pPr>
                        <w:r>
                          <w:rPr>
                            <w:rFonts w:ascii="Cambria"/>
                            <w:sz w:val="22"/>
                          </w:rPr>
                          <w:t>M7 </w:t>
                        </w:r>
                        <w:r>
                          <w:rPr>
                            <w:sz w:val="22"/>
                          </w:rPr>
                          <w:t>(7th Month)</w:t>
                        </w:r>
                      </w:p>
                    </w:tc>
                    <w:tc>
                      <w:tcPr>
                        <w:tcW w:w="5156" w:type="dxa"/>
                      </w:tcPr>
                      <w:p>
                        <w:pPr>
                          <w:pStyle w:val="TableParagraph"/>
                          <w:rPr>
                            <w:sz w:val="22"/>
                          </w:rPr>
                        </w:pPr>
                        <w:r>
                          <w:rPr>
                            <w:sz w:val="22"/>
                          </w:rPr>
                          <w:t>Shows the dates that are in July, regardless of year.</w:t>
                        </w:r>
                      </w:p>
                    </w:tc>
                  </w:tr>
                  <w:tr>
                    <w:trPr>
                      <w:trHeight w:val="354" w:hRule="atLeast"/>
                    </w:trPr>
                    <w:tc>
                      <w:tcPr>
                        <w:tcW w:w="5156" w:type="dxa"/>
                      </w:tcPr>
                      <w:p>
                        <w:pPr>
                          <w:pStyle w:val="TableParagraph"/>
                          <w:rPr>
                            <w:sz w:val="22"/>
                          </w:rPr>
                        </w:pPr>
                        <w:r>
                          <w:rPr>
                            <w:rFonts w:ascii="Cambria"/>
                            <w:sz w:val="22"/>
                          </w:rPr>
                          <w:t>M8 </w:t>
                        </w:r>
                        <w:r>
                          <w:rPr>
                            <w:sz w:val="22"/>
                          </w:rPr>
                          <w:t>(8th Month)</w:t>
                        </w:r>
                      </w:p>
                    </w:tc>
                    <w:tc>
                      <w:tcPr>
                        <w:tcW w:w="5156" w:type="dxa"/>
                      </w:tcPr>
                      <w:p>
                        <w:pPr>
                          <w:pStyle w:val="TableParagraph"/>
                          <w:rPr>
                            <w:sz w:val="22"/>
                          </w:rPr>
                        </w:pPr>
                        <w:r>
                          <w:rPr>
                            <w:sz w:val="22"/>
                          </w:rPr>
                          <w:t>Shows the dates that are in August, regardless of year.</w:t>
                        </w:r>
                      </w:p>
                    </w:tc>
                  </w:tr>
                  <w:tr>
                    <w:trPr>
                      <w:trHeight w:val="621" w:hRule="atLeast"/>
                    </w:trPr>
                    <w:tc>
                      <w:tcPr>
                        <w:tcW w:w="5156" w:type="dxa"/>
                      </w:tcPr>
                      <w:p>
                        <w:pPr>
                          <w:pStyle w:val="TableParagraph"/>
                          <w:rPr>
                            <w:sz w:val="22"/>
                          </w:rPr>
                        </w:pPr>
                        <w:r>
                          <w:rPr>
                            <w:rFonts w:ascii="Cambria"/>
                            <w:sz w:val="22"/>
                          </w:rPr>
                          <w:t>M9 </w:t>
                        </w:r>
                        <w:r>
                          <w:rPr>
                            <w:sz w:val="22"/>
                          </w:rPr>
                          <w:t>(9th Month)</w:t>
                        </w:r>
                      </w:p>
                    </w:tc>
                    <w:tc>
                      <w:tcPr>
                        <w:tcW w:w="5156" w:type="dxa"/>
                      </w:tcPr>
                      <w:p>
                        <w:pPr>
                          <w:pStyle w:val="TableParagraph"/>
                          <w:ind w:right="278"/>
                          <w:rPr>
                            <w:sz w:val="22"/>
                          </w:rPr>
                        </w:pPr>
                        <w:r>
                          <w:rPr>
                            <w:sz w:val="22"/>
                          </w:rPr>
                          <w:t>Shows the dates that are in September, regardless of year.</w:t>
                        </w:r>
                      </w:p>
                    </w:tc>
                  </w:tr>
                  <w:tr>
                    <w:trPr>
                      <w:trHeight w:val="354" w:hRule="atLeast"/>
                    </w:trPr>
                    <w:tc>
                      <w:tcPr>
                        <w:tcW w:w="5156" w:type="dxa"/>
                      </w:tcPr>
                      <w:p>
                        <w:pPr>
                          <w:pStyle w:val="TableParagraph"/>
                          <w:rPr>
                            <w:sz w:val="22"/>
                          </w:rPr>
                        </w:pPr>
                        <w:r>
                          <w:rPr>
                            <w:rFonts w:ascii="Cambria"/>
                            <w:sz w:val="22"/>
                          </w:rPr>
                          <w:t>nextMonth </w:t>
                        </w:r>
                        <w:r>
                          <w:rPr>
                            <w:sz w:val="22"/>
                          </w:rPr>
                          <w:t>(Next Month)</w:t>
                        </w:r>
                      </w:p>
                    </w:tc>
                    <w:tc>
                      <w:tcPr>
                        <w:tcW w:w="5156" w:type="dxa"/>
                      </w:tcPr>
                      <w:p>
                        <w:pPr>
                          <w:pStyle w:val="TableParagraph"/>
                          <w:rPr>
                            <w:sz w:val="22"/>
                          </w:rPr>
                        </w:pPr>
                        <w:r>
                          <w:rPr>
                            <w:sz w:val="22"/>
                          </w:rPr>
                          <w:t>Shows next month's dates.</w:t>
                        </w:r>
                      </w:p>
                    </w:tc>
                  </w:tr>
                  <w:tr>
                    <w:trPr>
                      <w:trHeight w:val="354" w:hRule="atLeast"/>
                    </w:trPr>
                    <w:tc>
                      <w:tcPr>
                        <w:tcW w:w="5156" w:type="dxa"/>
                      </w:tcPr>
                      <w:p>
                        <w:pPr>
                          <w:pStyle w:val="TableParagraph"/>
                          <w:rPr>
                            <w:sz w:val="22"/>
                          </w:rPr>
                        </w:pPr>
                        <w:r>
                          <w:rPr>
                            <w:rFonts w:ascii="Cambria"/>
                            <w:sz w:val="22"/>
                          </w:rPr>
                          <w:t>nextQuarter </w:t>
                        </w:r>
                        <w:r>
                          <w:rPr>
                            <w:sz w:val="22"/>
                          </w:rPr>
                          <w:t>(Next Quarter)</w:t>
                        </w:r>
                      </w:p>
                    </w:tc>
                    <w:tc>
                      <w:tcPr>
                        <w:tcW w:w="5156" w:type="dxa"/>
                      </w:tcPr>
                      <w:p>
                        <w:pPr>
                          <w:pStyle w:val="TableParagraph"/>
                          <w:rPr>
                            <w:sz w:val="22"/>
                          </w:rPr>
                        </w:pPr>
                        <w:r>
                          <w:rPr>
                            <w:sz w:val="22"/>
                          </w:rPr>
                          <w:t>Shows next calendar quarter's dates.</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nextWeek </w:t>
            </w:r>
            <w:r>
              <w:rPr>
                <w:sz w:val="22"/>
              </w:rPr>
              <w:t>(Next Week)</w:t>
            </w:r>
          </w:p>
        </w:tc>
        <w:tc>
          <w:tcPr>
            <w:tcW w:w="5156" w:type="dxa"/>
          </w:tcPr>
          <w:p>
            <w:pPr>
              <w:pStyle w:val="TableParagraph"/>
              <w:ind w:right="518"/>
              <w:rPr>
                <w:sz w:val="22"/>
              </w:rPr>
            </w:pPr>
            <w:r>
              <w:rPr>
                <w:sz w:val="22"/>
              </w:rPr>
              <w:t>Shows next week's dates, using Sunday as the first weekday.</w:t>
            </w:r>
          </w:p>
        </w:tc>
      </w:tr>
      <w:tr>
        <w:trPr>
          <w:trHeight w:val="354" w:hRule="atLeast"/>
        </w:trPr>
        <w:tc>
          <w:tcPr>
            <w:tcW w:w="5156" w:type="dxa"/>
          </w:tcPr>
          <w:p>
            <w:pPr>
              <w:pStyle w:val="TableParagraph"/>
              <w:rPr>
                <w:sz w:val="22"/>
              </w:rPr>
            </w:pPr>
            <w:r>
              <w:rPr>
                <w:rFonts w:ascii="Cambria"/>
                <w:sz w:val="22"/>
              </w:rPr>
              <w:t>nextYear </w:t>
            </w:r>
            <w:r>
              <w:rPr>
                <w:sz w:val="22"/>
              </w:rPr>
              <w:t>(Next Year)</w:t>
            </w:r>
          </w:p>
        </w:tc>
        <w:tc>
          <w:tcPr>
            <w:tcW w:w="5156" w:type="dxa"/>
          </w:tcPr>
          <w:p>
            <w:pPr>
              <w:pStyle w:val="TableParagraph"/>
              <w:rPr>
                <w:sz w:val="22"/>
              </w:rPr>
            </w:pPr>
            <w:r>
              <w:rPr>
                <w:sz w:val="22"/>
              </w:rPr>
              <w:t>Shows next year's dates.</w:t>
            </w:r>
          </w:p>
        </w:tc>
      </w:tr>
      <w:tr>
        <w:trPr>
          <w:trHeight w:val="352" w:hRule="atLeast"/>
        </w:trPr>
        <w:tc>
          <w:tcPr>
            <w:tcW w:w="5156" w:type="dxa"/>
          </w:tcPr>
          <w:p>
            <w:pPr>
              <w:pStyle w:val="TableParagraph"/>
              <w:rPr>
                <w:sz w:val="22"/>
              </w:rPr>
            </w:pPr>
            <w:r>
              <w:rPr>
                <w:rFonts w:ascii="Cambria"/>
                <w:sz w:val="22"/>
              </w:rPr>
              <w:t>null </w:t>
            </w:r>
            <w:r>
              <w:rPr>
                <w:sz w:val="22"/>
              </w:rPr>
              <w:t>(Null)</w:t>
            </w:r>
          </w:p>
        </w:tc>
        <w:tc>
          <w:tcPr>
            <w:tcW w:w="5156" w:type="dxa"/>
          </w:tcPr>
          <w:p>
            <w:pPr>
              <w:pStyle w:val="TableParagraph"/>
              <w:rPr>
                <w:sz w:val="22"/>
              </w:rPr>
            </w:pPr>
            <w:r>
              <w:rPr>
                <w:sz w:val="22"/>
              </w:rPr>
              <w:t>Common filter type not available.</w:t>
            </w:r>
          </w:p>
        </w:tc>
      </w:tr>
      <w:tr>
        <w:trPr>
          <w:trHeight w:val="623" w:hRule="atLeast"/>
        </w:trPr>
        <w:tc>
          <w:tcPr>
            <w:tcW w:w="5156" w:type="dxa"/>
          </w:tcPr>
          <w:p>
            <w:pPr>
              <w:pStyle w:val="TableParagraph"/>
              <w:spacing w:before="42"/>
              <w:rPr>
                <w:sz w:val="22"/>
              </w:rPr>
            </w:pPr>
            <w:r>
              <w:rPr>
                <w:rFonts w:ascii="Cambria"/>
                <w:sz w:val="22"/>
              </w:rPr>
              <w:t>Q1 </w:t>
            </w:r>
            <w:r>
              <w:rPr>
                <w:sz w:val="22"/>
              </w:rPr>
              <w:t>(1st Quarter)</w:t>
            </w:r>
          </w:p>
        </w:tc>
        <w:tc>
          <w:tcPr>
            <w:tcW w:w="5156" w:type="dxa"/>
          </w:tcPr>
          <w:p>
            <w:pPr>
              <w:pStyle w:val="TableParagraph"/>
              <w:spacing w:line="237" w:lineRule="auto" w:before="44"/>
              <w:ind w:right="302"/>
              <w:rPr>
                <w:sz w:val="22"/>
              </w:rPr>
            </w:pPr>
            <w:r>
              <w:rPr>
                <w:sz w:val="22"/>
              </w:rPr>
              <w:t>Shows the dates that are in the 1st calendar quarter, regardless of year.</w:t>
            </w:r>
          </w:p>
        </w:tc>
      </w:tr>
      <w:tr>
        <w:trPr>
          <w:trHeight w:val="623" w:hRule="atLeast"/>
        </w:trPr>
        <w:tc>
          <w:tcPr>
            <w:tcW w:w="5156" w:type="dxa"/>
          </w:tcPr>
          <w:p>
            <w:pPr>
              <w:pStyle w:val="TableParagraph"/>
              <w:rPr>
                <w:sz w:val="22"/>
              </w:rPr>
            </w:pPr>
            <w:r>
              <w:rPr>
                <w:rFonts w:ascii="Cambria"/>
                <w:sz w:val="22"/>
              </w:rPr>
              <w:t>Q2 </w:t>
            </w:r>
            <w:r>
              <w:rPr>
                <w:sz w:val="22"/>
              </w:rPr>
              <w:t>(2nd Quarter)</w:t>
            </w:r>
          </w:p>
        </w:tc>
        <w:tc>
          <w:tcPr>
            <w:tcW w:w="5156" w:type="dxa"/>
          </w:tcPr>
          <w:p>
            <w:pPr>
              <w:pStyle w:val="TableParagraph"/>
              <w:ind w:right="231"/>
              <w:rPr>
                <w:sz w:val="22"/>
              </w:rPr>
            </w:pPr>
            <w:r>
              <w:rPr>
                <w:sz w:val="22"/>
              </w:rPr>
              <w:t>Shows the dates that are in the 2nd calendar quarter, regardless of year.</w:t>
            </w:r>
          </w:p>
        </w:tc>
      </w:tr>
      <w:tr>
        <w:trPr>
          <w:trHeight w:val="623" w:hRule="atLeast"/>
        </w:trPr>
        <w:tc>
          <w:tcPr>
            <w:tcW w:w="5156" w:type="dxa"/>
          </w:tcPr>
          <w:p>
            <w:pPr>
              <w:pStyle w:val="TableParagraph"/>
              <w:rPr>
                <w:sz w:val="22"/>
              </w:rPr>
            </w:pPr>
            <w:r>
              <w:rPr>
                <w:rFonts w:ascii="Cambria"/>
                <w:sz w:val="22"/>
              </w:rPr>
              <w:t>Q3 </w:t>
            </w:r>
            <w:r>
              <w:rPr>
                <w:sz w:val="22"/>
              </w:rPr>
              <w:t>(3rd Quarter)</w:t>
            </w:r>
          </w:p>
        </w:tc>
        <w:tc>
          <w:tcPr>
            <w:tcW w:w="5156" w:type="dxa"/>
          </w:tcPr>
          <w:p>
            <w:pPr>
              <w:pStyle w:val="TableParagraph"/>
              <w:ind w:right="270"/>
              <w:rPr>
                <w:sz w:val="22"/>
              </w:rPr>
            </w:pPr>
            <w:r>
              <w:rPr>
                <w:sz w:val="22"/>
              </w:rPr>
              <w:t>Shows the dates that are in the 3rd calendar quarter, regardless of year.</w:t>
            </w:r>
          </w:p>
        </w:tc>
      </w:tr>
      <w:tr>
        <w:trPr>
          <w:trHeight w:val="624" w:hRule="atLeast"/>
        </w:trPr>
        <w:tc>
          <w:tcPr>
            <w:tcW w:w="5156" w:type="dxa"/>
          </w:tcPr>
          <w:p>
            <w:pPr>
              <w:pStyle w:val="TableParagraph"/>
              <w:rPr>
                <w:sz w:val="22"/>
              </w:rPr>
            </w:pPr>
            <w:r>
              <w:rPr>
                <w:rFonts w:ascii="Cambria"/>
                <w:sz w:val="22"/>
              </w:rPr>
              <w:t>Q4 </w:t>
            </w:r>
            <w:r>
              <w:rPr>
                <w:sz w:val="22"/>
              </w:rPr>
              <w:t>(4th Quarter)</w:t>
            </w:r>
          </w:p>
        </w:tc>
        <w:tc>
          <w:tcPr>
            <w:tcW w:w="5156" w:type="dxa"/>
          </w:tcPr>
          <w:p>
            <w:pPr>
              <w:pStyle w:val="TableParagraph"/>
              <w:ind w:right="273"/>
              <w:rPr>
                <w:sz w:val="22"/>
              </w:rPr>
            </w:pPr>
            <w:r>
              <w:rPr>
                <w:sz w:val="22"/>
              </w:rPr>
              <w:t>Shows the dates that are in the 4th calendar quarter, regardless of year.</w:t>
            </w:r>
          </w:p>
        </w:tc>
      </w:tr>
      <w:tr>
        <w:trPr>
          <w:trHeight w:val="354" w:hRule="atLeast"/>
        </w:trPr>
        <w:tc>
          <w:tcPr>
            <w:tcW w:w="5156" w:type="dxa"/>
          </w:tcPr>
          <w:p>
            <w:pPr>
              <w:pStyle w:val="TableParagraph"/>
              <w:rPr>
                <w:sz w:val="22"/>
              </w:rPr>
            </w:pPr>
            <w:r>
              <w:rPr>
                <w:rFonts w:ascii="Cambria"/>
                <w:sz w:val="22"/>
              </w:rPr>
              <w:t>thisMonth </w:t>
            </w:r>
            <w:r>
              <w:rPr>
                <w:sz w:val="22"/>
              </w:rPr>
              <w:t>(This Month)</w:t>
            </w:r>
          </w:p>
        </w:tc>
        <w:tc>
          <w:tcPr>
            <w:tcW w:w="5156" w:type="dxa"/>
          </w:tcPr>
          <w:p>
            <w:pPr>
              <w:pStyle w:val="TableParagraph"/>
              <w:rPr>
                <w:sz w:val="22"/>
              </w:rPr>
            </w:pPr>
            <w:r>
              <w:rPr>
                <w:sz w:val="22"/>
              </w:rPr>
              <w:t>Shows this month's dates.</w:t>
            </w:r>
          </w:p>
        </w:tc>
      </w:tr>
      <w:tr>
        <w:trPr>
          <w:trHeight w:val="352" w:hRule="atLeast"/>
        </w:trPr>
        <w:tc>
          <w:tcPr>
            <w:tcW w:w="5156" w:type="dxa"/>
          </w:tcPr>
          <w:p>
            <w:pPr>
              <w:pStyle w:val="TableParagraph"/>
              <w:rPr>
                <w:sz w:val="22"/>
              </w:rPr>
            </w:pPr>
            <w:r>
              <w:rPr>
                <w:rFonts w:ascii="Cambria"/>
                <w:sz w:val="22"/>
              </w:rPr>
              <w:t>thisQuarter </w:t>
            </w:r>
            <w:r>
              <w:rPr>
                <w:sz w:val="22"/>
              </w:rPr>
              <w:t>(This Quarter)</w:t>
            </w:r>
          </w:p>
        </w:tc>
        <w:tc>
          <w:tcPr>
            <w:tcW w:w="5156" w:type="dxa"/>
          </w:tcPr>
          <w:p>
            <w:pPr>
              <w:pStyle w:val="TableParagraph"/>
              <w:rPr>
                <w:sz w:val="22"/>
              </w:rPr>
            </w:pPr>
            <w:r>
              <w:rPr>
                <w:sz w:val="22"/>
              </w:rPr>
              <w:t>Shows this calendar quarter's dates.</w:t>
            </w:r>
          </w:p>
        </w:tc>
      </w:tr>
      <w:tr>
        <w:trPr>
          <w:trHeight w:val="623" w:hRule="atLeast"/>
        </w:trPr>
        <w:tc>
          <w:tcPr>
            <w:tcW w:w="5156" w:type="dxa"/>
          </w:tcPr>
          <w:p>
            <w:pPr>
              <w:pStyle w:val="TableParagraph"/>
              <w:spacing w:before="42"/>
              <w:rPr>
                <w:sz w:val="22"/>
              </w:rPr>
            </w:pPr>
            <w:r>
              <w:rPr>
                <w:rFonts w:ascii="Cambria"/>
                <w:sz w:val="22"/>
              </w:rPr>
              <w:t>thisWeek </w:t>
            </w:r>
            <w:r>
              <w:rPr>
                <w:sz w:val="22"/>
              </w:rPr>
              <w:t>(This Week)</w:t>
            </w:r>
          </w:p>
        </w:tc>
        <w:tc>
          <w:tcPr>
            <w:tcW w:w="5156" w:type="dxa"/>
          </w:tcPr>
          <w:p>
            <w:pPr>
              <w:pStyle w:val="TableParagraph"/>
              <w:spacing w:line="237" w:lineRule="auto" w:before="44"/>
              <w:ind w:right="587"/>
              <w:rPr>
                <w:sz w:val="22"/>
              </w:rPr>
            </w:pPr>
            <w:r>
              <w:rPr>
                <w:sz w:val="22"/>
              </w:rPr>
              <w:t>Shows this week's dates, using Sunday as the first weekday.</w:t>
            </w:r>
          </w:p>
        </w:tc>
      </w:tr>
      <w:tr>
        <w:trPr>
          <w:trHeight w:val="354" w:hRule="atLeast"/>
        </w:trPr>
        <w:tc>
          <w:tcPr>
            <w:tcW w:w="5156" w:type="dxa"/>
          </w:tcPr>
          <w:p>
            <w:pPr>
              <w:pStyle w:val="TableParagraph"/>
              <w:rPr>
                <w:sz w:val="22"/>
              </w:rPr>
            </w:pPr>
            <w:r>
              <w:rPr>
                <w:rFonts w:ascii="Cambria"/>
                <w:sz w:val="22"/>
              </w:rPr>
              <w:t>thisYear </w:t>
            </w:r>
            <w:r>
              <w:rPr>
                <w:sz w:val="22"/>
              </w:rPr>
              <w:t>(This Year)</w:t>
            </w:r>
          </w:p>
        </w:tc>
        <w:tc>
          <w:tcPr>
            <w:tcW w:w="5156" w:type="dxa"/>
          </w:tcPr>
          <w:p>
            <w:pPr>
              <w:pStyle w:val="TableParagraph"/>
              <w:rPr>
                <w:sz w:val="22"/>
              </w:rPr>
            </w:pPr>
            <w:r>
              <w:rPr>
                <w:sz w:val="22"/>
              </w:rPr>
              <w:t>Shows this year's dates.</w:t>
            </w:r>
          </w:p>
        </w:tc>
      </w:tr>
      <w:tr>
        <w:trPr>
          <w:trHeight w:val="354" w:hRule="atLeast"/>
        </w:trPr>
        <w:tc>
          <w:tcPr>
            <w:tcW w:w="5156" w:type="dxa"/>
          </w:tcPr>
          <w:p>
            <w:pPr>
              <w:pStyle w:val="TableParagraph"/>
              <w:rPr>
                <w:sz w:val="22"/>
              </w:rPr>
            </w:pPr>
            <w:r>
              <w:rPr>
                <w:rFonts w:ascii="Cambria"/>
                <w:sz w:val="22"/>
              </w:rPr>
              <w:t>today </w:t>
            </w:r>
            <w:r>
              <w:rPr>
                <w:sz w:val="22"/>
              </w:rPr>
              <w:t>(Today)</w:t>
            </w:r>
          </w:p>
        </w:tc>
        <w:tc>
          <w:tcPr>
            <w:tcW w:w="5156" w:type="dxa"/>
          </w:tcPr>
          <w:p>
            <w:pPr>
              <w:pStyle w:val="TableParagraph"/>
              <w:rPr>
                <w:sz w:val="22"/>
              </w:rPr>
            </w:pPr>
            <w:r>
              <w:rPr>
                <w:sz w:val="22"/>
              </w:rPr>
              <w:t>Shows today's dates.</w:t>
            </w:r>
          </w:p>
        </w:tc>
      </w:tr>
      <w:tr>
        <w:trPr>
          <w:trHeight w:val="354" w:hRule="atLeast"/>
        </w:trPr>
        <w:tc>
          <w:tcPr>
            <w:tcW w:w="5156" w:type="dxa"/>
          </w:tcPr>
          <w:p>
            <w:pPr>
              <w:pStyle w:val="TableParagraph"/>
              <w:rPr>
                <w:sz w:val="22"/>
              </w:rPr>
            </w:pPr>
            <w:r>
              <w:rPr>
                <w:rFonts w:ascii="Cambria"/>
                <w:sz w:val="22"/>
              </w:rPr>
              <w:t>tomorrow </w:t>
            </w:r>
            <w:r>
              <w:rPr>
                <w:sz w:val="22"/>
              </w:rPr>
              <w:t>(Tomorrow)</w:t>
            </w:r>
          </w:p>
        </w:tc>
        <w:tc>
          <w:tcPr>
            <w:tcW w:w="5156" w:type="dxa"/>
          </w:tcPr>
          <w:p>
            <w:pPr>
              <w:pStyle w:val="TableParagraph"/>
              <w:rPr>
                <w:sz w:val="22"/>
              </w:rPr>
            </w:pPr>
            <w:r>
              <w:rPr>
                <w:sz w:val="22"/>
              </w:rPr>
              <w:t>Shows tomorrow's dates.</w:t>
            </w:r>
          </w:p>
        </w:tc>
      </w:tr>
      <w:tr>
        <w:trPr>
          <w:trHeight w:val="623" w:hRule="atLeast"/>
        </w:trPr>
        <w:tc>
          <w:tcPr>
            <w:tcW w:w="5156" w:type="dxa"/>
          </w:tcPr>
          <w:p>
            <w:pPr>
              <w:pStyle w:val="TableParagraph"/>
              <w:rPr>
                <w:sz w:val="22"/>
              </w:rPr>
            </w:pPr>
            <w:r>
              <w:rPr>
                <w:rFonts w:ascii="Cambria"/>
                <w:sz w:val="22"/>
              </w:rPr>
              <w:t>yearToDate </w:t>
            </w:r>
            <w:r>
              <w:rPr>
                <w:sz w:val="22"/>
              </w:rPr>
              <w:t>(Year To Date)</w:t>
            </w:r>
          </w:p>
        </w:tc>
        <w:tc>
          <w:tcPr>
            <w:tcW w:w="5156" w:type="dxa"/>
          </w:tcPr>
          <w:p>
            <w:pPr>
              <w:pStyle w:val="TableParagraph"/>
              <w:ind w:right="406"/>
              <w:rPr>
                <w:sz w:val="22"/>
              </w:rPr>
            </w:pPr>
            <w:r>
              <w:rPr>
                <w:sz w:val="22"/>
              </w:rPr>
              <w:t>Shows the dates between the beginning of the year and today, inclusive.</w:t>
            </w:r>
          </w:p>
        </w:tc>
      </w:tr>
      <w:tr>
        <w:trPr>
          <w:trHeight w:val="354" w:hRule="atLeast"/>
        </w:trPr>
        <w:tc>
          <w:tcPr>
            <w:tcW w:w="5156" w:type="dxa"/>
          </w:tcPr>
          <w:p>
            <w:pPr>
              <w:pStyle w:val="TableParagraph"/>
              <w:rPr>
                <w:sz w:val="22"/>
              </w:rPr>
            </w:pPr>
            <w:r>
              <w:rPr>
                <w:rFonts w:ascii="Cambria"/>
                <w:sz w:val="22"/>
              </w:rPr>
              <w:t>yesterday </w:t>
            </w:r>
            <w:r>
              <w:rPr>
                <w:sz w:val="22"/>
              </w:rPr>
              <w:t>(Yesterday)</w:t>
            </w:r>
          </w:p>
        </w:tc>
        <w:tc>
          <w:tcPr>
            <w:tcW w:w="5156" w:type="dxa"/>
          </w:tcPr>
          <w:p>
            <w:pPr>
              <w:pStyle w:val="TableParagraph"/>
              <w:rPr>
                <w:sz w:val="22"/>
              </w:rPr>
            </w:pPr>
            <w:r>
              <w:rPr>
                <w:sz w:val="22"/>
              </w:rPr>
              <w:t>Shows yesterday's dates.</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ST_DynamicFilterType</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11"/>
        <w:rPr>
          <w:sz w:val="19"/>
        </w:rPr>
      </w:pPr>
    </w:p>
    <w:p>
      <w:pPr>
        <w:pStyle w:val="Heading2"/>
        <w:numPr>
          <w:ilvl w:val="2"/>
          <w:numId w:val="17"/>
        </w:numPr>
        <w:tabs>
          <w:tab w:pos="1445" w:val="left" w:leader="none"/>
        </w:tabs>
        <w:spacing w:line="240" w:lineRule="auto" w:before="1" w:after="0"/>
        <w:ind w:left="1444" w:right="0" w:hanging="1225"/>
        <w:jc w:val="left"/>
      </w:pPr>
      <w:bookmarkStart w:name="18.18.27 ST_ExternalConnectionType (Text" w:id="2546"/>
      <w:bookmarkEnd w:id="2546"/>
      <w:r>
        <w:rPr>
          <w:b w:val="0"/>
        </w:rPr>
      </w:r>
      <w:bookmarkStart w:name="_bookmark849" w:id="2547"/>
      <w:bookmarkEnd w:id="2547"/>
      <w:r>
        <w:rPr>
          <w:b w:val="0"/>
        </w:rPr>
      </w:r>
      <w:bookmarkStart w:name="_bookmark849" w:id="2548"/>
      <w:bookmarkEnd w:id="2548"/>
      <w:r>
        <w:rPr>
          <w:color w:val="4F81BC"/>
        </w:rPr>
        <w:t>S</w:t>
      </w:r>
      <w:r>
        <w:rPr>
          <w:color w:val="4F81BC"/>
        </w:rPr>
        <w:t>T_ExternalConnectionType (Text Field Datatype)</w:t>
      </w:r>
    </w:p>
    <w:p>
      <w:pPr>
        <w:pStyle w:val="BodyText"/>
        <w:spacing w:line="278" w:lineRule="auto" w:before="121"/>
        <w:ind w:left="220"/>
      </w:pPr>
      <w:r>
        <w:rPr/>
        <w:t>These are the possible data types to use when importing text into the SpreadsheetML document. Strings are converted to these data types in the worksheet.</w:t>
      </w:r>
    </w:p>
    <w:p>
      <w:pPr>
        <w:pStyle w:val="BodyText"/>
        <w:spacing w:before="3"/>
        <w:rPr>
          <w:sz w:val="16"/>
        </w:rPr>
      </w:pPr>
    </w:p>
    <w:p>
      <w:pPr>
        <w:pStyle w:val="BodyText"/>
        <w:spacing w:line="489" w:lineRule="auto"/>
        <w:ind w:left="220" w:right="2804"/>
      </w:pPr>
      <w:r>
        <w:rPr/>
        <w:pict>
          <v:shape style="position:absolute;margin-left:48pt;margin-top:42.90366pt;width:516.35pt;height:86.9pt;mso-position-horizontal-relative:page;mso-position-vertical-relative:paragraph;z-index:25190809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DMY </w:t>
                        </w:r>
                        <w:r>
                          <w:rPr>
                            <w:sz w:val="22"/>
                          </w:rPr>
                          <w:t>(Day Month Year)</w:t>
                        </w:r>
                      </w:p>
                    </w:tc>
                    <w:tc>
                      <w:tcPr>
                        <w:tcW w:w="5156" w:type="dxa"/>
                      </w:tcPr>
                      <w:p>
                        <w:pPr>
                          <w:pStyle w:val="TableParagraph"/>
                          <w:rPr>
                            <w:sz w:val="22"/>
                          </w:rPr>
                        </w:pPr>
                        <w:r>
                          <w:rPr>
                            <w:sz w:val="22"/>
                          </w:rPr>
                          <w:t>Field contains a date in the order: day, month, year.</w:t>
                        </w:r>
                      </w:p>
                    </w:tc>
                  </w:tr>
                  <w:tr>
                    <w:trPr>
                      <w:trHeight w:val="354" w:hRule="atLeast"/>
                    </w:trPr>
                    <w:tc>
                      <w:tcPr>
                        <w:tcW w:w="5156" w:type="dxa"/>
                      </w:tcPr>
                      <w:p>
                        <w:pPr>
                          <w:pStyle w:val="TableParagraph"/>
                          <w:rPr>
                            <w:sz w:val="22"/>
                          </w:rPr>
                        </w:pPr>
                        <w:r>
                          <w:rPr>
                            <w:rFonts w:ascii="Cambria"/>
                            <w:sz w:val="22"/>
                          </w:rPr>
                          <w:t>DYM </w:t>
                        </w:r>
                        <w:r>
                          <w:rPr>
                            <w:sz w:val="22"/>
                          </w:rPr>
                          <w:t>(Day Year Month)</w:t>
                        </w:r>
                      </w:p>
                    </w:tc>
                    <w:tc>
                      <w:tcPr>
                        <w:tcW w:w="5156" w:type="dxa"/>
                      </w:tcPr>
                      <w:p>
                        <w:pPr>
                          <w:pStyle w:val="TableParagraph"/>
                          <w:rPr>
                            <w:sz w:val="22"/>
                          </w:rPr>
                        </w:pPr>
                        <w:r>
                          <w:rPr>
                            <w:sz w:val="22"/>
                          </w:rPr>
                          <w:t>Field contains a date in the order: day, year, month.</w:t>
                        </w:r>
                      </w:p>
                    </w:tc>
                  </w:tr>
                  <w:tr>
                    <w:trPr>
                      <w:trHeight w:val="623" w:hRule="atLeast"/>
                    </w:trPr>
                    <w:tc>
                      <w:tcPr>
                        <w:tcW w:w="5156" w:type="dxa"/>
                      </w:tcPr>
                      <w:p>
                        <w:pPr>
                          <w:pStyle w:val="TableParagraph"/>
                          <w:rPr>
                            <w:sz w:val="22"/>
                          </w:rPr>
                        </w:pPr>
                        <w:r>
                          <w:rPr>
                            <w:rFonts w:ascii="Cambria"/>
                            <w:sz w:val="22"/>
                          </w:rPr>
                          <w:t>EMD </w:t>
                        </w:r>
                        <w:r>
                          <w:rPr>
                            <w:sz w:val="22"/>
                          </w:rPr>
                          <w:t>(East Asian Year Month Day)</w:t>
                        </w:r>
                      </w:p>
                    </w:tc>
                    <w:tc>
                      <w:tcPr>
                        <w:tcW w:w="5156" w:type="dxa"/>
                      </w:tcPr>
                      <w:p>
                        <w:pPr>
                          <w:pStyle w:val="TableParagraph"/>
                          <w:ind w:right="303"/>
                          <w:rPr>
                            <w:sz w:val="22"/>
                          </w:rPr>
                        </w:pPr>
                        <w:r>
                          <w:rPr>
                            <w:sz w:val="22"/>
                          </w:rPr>
                          <w:t>Field contains an East Asian date in the order: EA era year, month, day.</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general </w:t>
            </w:r>
            <w:r>
              <w:rPr>
                <w:sz w:val="22"/>
              </w:rPr>
              <w:t>(General)</w:t>
            </w:r>
          </w:p>
        </w:tc>
        <w:tc>
          <w:tcPr>
            <w:tcW w:w="5156" w:type="dxa"/>
          </w:tcPr>
          <w:p>
            <w:pPr>
              <w:pStyle w:val="TableParagraph"/>
              <w:ind w:right="435"/>
              <w:rPr>
                <w:sz w:val="22"/>
              </w:rPr>
            </w:pPr>
            <w:r>
              <w:rPr>
                <w:sz w:val="22"/>
              </w:rPr>
              <w:t>The SpreadsheetML application decides the best fit data type based on the content.</w:t>
            </w:r>
          </w:p>
        </w:tc>
      </w:tr>
      <w:tr>
        <w:trPr>
          <w:trHeight w:val="352" w:hRule="atLeast"/>
        </w:trPr>
        <w:tc>
          <w:tcPr>
            <w:tcW w:w="5156" w:type="dxa"/>
          </w:tcPr>
          <w:p>
            <w:pPr>
              <w:pStyle w:val="TableParagraph"/>
              <w:rPr>
                <w:sz w:val="22"/>
              </w:rPr>
            </w:pPr>
            <w:r>
              <w:rPr>
                <w:rFonts w:ascii="Cambria"/>
                <w:sz w:val="22"/>
              </w:rPr>
              <w:t>MDY </w:t>
            </w:r>
            <w:r>
              <w:rPr>
                <w:sz w:val="22"/>
              </w:rPr>
              <w:t>(Month Day Year)</w:t>
            </w:r>
          </w:p>
        </w:tc>
        <w:tc>
          <w:tcPr>
            <w:tcW w:w="5156" w:type="dxa"/>
          </w:tcPr>
          <w:p>
            <w:pPr>
              <w:pStyle w:val="TableParagraph"/>
              <w:rPr>
                <w:sz w:val="22"/>
              </w:rPr>
            </w:pPr>
            <w:r>
              <w:rPr>
                <w:sz w:val="22"/>
              </w:rPr>
              <w:t>Field contains a date in the order: month, day, year.</w:t>
            </w:r>
          </w:p>
        </w:tc>
      </w:tr>
      <w:tr>
        <w:trPr>
          <w:trHeight w:val="354" w:hRule="atLeast"/>
        </w:trPr>
        <w:tc>
          <w:tcPr>
            <w:tcW w:w="5156" w:type="dxa"/>
          </w:tcPr>
          <w:p>
            <w:pPr>
              <w:pStyle w:val="TableParagraph"/>
              <w:spacing w:before="42"/>
              <w:rPr>
                <w:sz w:val="22"/>
              </w:rPr>
            </w:pPr>
            <w:r>
              <w:rPr>
                <w:rFonts w:ascii="Cambria"/>
                <w:sz w:val="22"/>
              </w:rPr>
              <w:t>MYD </w:t>
            </w:r>
            <w:r>
              <w:rPr>
                <w:sz w:val="22"/>
              </w:rPr>
              <w:t>(Month Day Year)</w:t>
            </w:r>
          </w:p>
        </w:tc>
        <w:tc>
          <w:tcPr>
            <w:tcW w:w="5156" w:type="dxa"/>
          </w:tcPr>
          <w:p>
            <w:pPr>
              <w:pStyle w:val="TableParagraph"/>
              <w:spacing w:before="42"/>
              <w:rPr>
                <w:sz w:val="22"/>
              </w:rPr>
            </w:pPr>
            <w:r>
              <w:rPr>
                <w:sz w:val="22"/>
              </w:rPr>
              <w:t>Field contains a date in the order: month, year, day.</w:t>
            </w:r>
          </w:p>
        </w:tc>
      </w:tr>
      <w:tr>
        <w:trPr>
          <w:trHeight w:val="354" w:hRule="atLeast"/>
        </w:trPr>
        <w:tc>
          <w:tcPr>
            <w:tcW w:w="5156" w:type="dxa"/>
          </w:tcPr>
          <w:p>
            <w:pPr>
              <w:pStyle w:val="TableParagraph"/>
              <w:rPr>
                <w:sz w:val="22"/>
              </w:rPr>
            </w:pPr>
            <w:r>
              <w:rPr>
                <w:rFonts w:ascii="Cambria"/>
                <w:sz w:val="22"/>
              </w:rPr>
              <w:t>skip </w:t>
            </w:r>
            <w:r>
              <w:rPr>
                <w:sz w:val="22"/>
              </w:rPr>
              <w:t>(Skip Field)</w:t>
            </w:r>
          </w:p>
        </w:tc>
        <w:tc>
          <w:tcPr>
            <w:tcW w:w="5156" w:type="dxa"/>
          </w:tcPr>
          <w:p>
            <w:pPr>
              <w:pStyle w:val="TableParagraph"/>
              <w:rPr>
                <w:sz w:val="22"/>
              </w:rPr>
            </w:pPr>
            <w:r>
              <w:rPr>
                <w:sz w:val="22"/>
              </w:rPr>
              <w:t>Don't import this field at all.</w:t>
            </w:r>
          </w:p>
        </w:tc>
      </w:tr>
      <w:tr>
        <w:trPr>
          <w:trHeight w:val="354" w:hRule="atLeast"/>
        </w:trPr>
        <w:tc>
          <w:tcPr>
            <w:tcW w:w="5156" w:type="dxa"/>
          </w:tcPr>
          <w:p>
            <w:pPr>
              <w:pStyle w:val="TableParagraph"/>
              <w:rPr>
                <w:sz w:val="22"/>
              </w:rPr>
            </w:pPr>
            <w:r>
              <w:rPr>
                <w:rFonts w:ascii="Cambria"/>
                <w:sz w:val="22"/>
              </w:rPr>
              <w:t>text </w:t>
            </w:r>
            <w:r>
              <w:rPr>
                <w:sz w:val="22"/>
              </w:rPr>
              <w:t>(Text)</w:t>
            </w:r>
          </w:p>
        </w:tc>
        <w:tc>
          <w:tcPr>
            <w:tcW w:w="5156" w:type="dxa"/>
          </w:tcPr>
          <w:p>
            <w:pPr>
              <w:pStyle w:val="TableParagraph"/>
              <w:rPr>
                <w:sz w:val="22"/>
              </w:rPr>
            </w:pPr>
            <w:r>
              <w:rPr>
                <w:sz w:val="22"/>
              </w:rPr>
              <w:t>Field contains text.</w:t>
            </w:r>
          </w:p>
        </w:tc>
      </w:tr>
      <w:tr>
        <w:trPr>
          <w:trHeight w:val="354" w:hRule="atLeast"/>
        </w:trPr>
        <w:tc>
          <w:tcPr>
            <w:tcW w:w="5156" w:type="dxa"/>
          </w:tcPr>
          <w:p>
            <w:pPr>
              <w:pStyle w:val="TableParagraph"/>
              <w:rPr>
                <w:sz w:val="22"/>
              </w:rPr>
            </w:pPr>
            <w:r>
              <w:rPr>
                <w:rFonts w:ascii="Cambria"/>
                <w:sz w:val="22"/>
              </w:rPr>
              <w:t>YDM </w:t>
            </w:r>
            <w:r>
              <w:rPr>
                <w:sz w:val="22"/>
              </w:rPr>
              <w:t>(Year Day Month)</w:t>
            </w:r>
          </w:p>
        </w:tc>
        <w:tc>
          <w:tcPr>
            <w:tcW w:w="5156" w:type="dxa"/>
          </w:tcPr>
          <w:p>
            <w:pPr>
              <w:pStyle w:val="TableParagraph"/>
              <w:rPr>
                <w:sz w:val="22"/>
              </w:rPr>
            </w:pPr>
            <w:r>
              <w:rPr>
                <w:sz w:val="22"/>
              </w:rPr>
              <w:t>Field contains a date in the order: year, day, month.</w:t>
            </w:r>
          </w:p>
        </w:tc>
      </w:tr>
      <w:tr>
        <w:trPr>
          <w:trHeight w:val="354" w:hRule="atLeast"/>
        </w:trPr>
        <w:tc>
          <w:tcPr>
            <w:tcW w:w="5156" w:type="dxa"/>
          </w:tcPr>
          <w:p>
            <w:pPr>
              <w:pStyle w:val="TableParagraph"/>
              <w:rPr>
                <w:sz w:val="22"/>
              </w:rPr>
            </w:pPr>
            <w:r>
              <w:rPr>
                <w:rFonts w:ascii="Cambria"/>
                <w:sz w:val="22"/>
              </w:rPr>
              <w:t>YMD </w:t>
            </w:r>
            <w:r>
              <w:rPr>
                <w:sz w:val="22"/>
              </w:rPr>
              <w:t>(Year Month Day)</w:t>
            </w:r>
          </w:p>
        </w:tc>
        <w:tc>
          <w:tcPr>
            <w:tcW w:w="5156" w:type="dxa"/>
          </w:tcPr>
          <w:p>
            <w:pPr>
              <w:pStyle w:val="TableParagraph"/>
              <w:rPr>
                <w:sz w:val="22"/>
              </w:rPr>
            </w:pPr>
            <w:r>
              <w:rPr>
                <w:sz w:val="22"/>
              </w:rPr>
              <w:t>Field contains a date in the order: year, month, day.</w:t>
            </w:r>
          </w:p>
        </w:tc>
      </w:tr>
    </w:tbl>
    <w:p>
      <w:pPr>
        <w:pStyle w:val="BodyText"/>
        <w:rPr>
          <w:sz w:val="20"/>
        </w:rPr>
      </w:pPr>
    </w:p>
    <w:p>
      <w:pPr>
        <w:pStyle w:val="BodyText"/>
        <w:spacing w:before="10"/>
        <w:rPr>
          <w:sz w:val="16"/>
        </w:rPr>
      </w:pPr>
    </w:p>
    <w:p>
      <w:pPr>
        <w:pStyle w:val="BodyText"/>
        <w:spacing w:line="278" w:lineRule="auto" w:before="57"/>
        <w:ind w:left="220" w:right="840"/>
      </w:pPr>
      <w:r>
        <w:rPr/>
        <w:t>[</w:t>
      </w:r>
      <w:r>
        <w:rPr>
          <w:i/>
        </w:rPr>
        <w:t>Note</w:t>
      </w:r>
      <w:r>
        <w:rPr/>
        <w:t>: The W3C XML Schema definition of this simple type’s content model (</w:t>
      </w:r>
      <w:r>
        <w:rPr>
          <w:color w:val="5F5F5F"/>
          <w:u w:val="single" w:color="5F5F5F"/>
        </w:rPr>
        <w:t>ST_ExternalConnectionType</w:t>
      </w:r>
      <w:r>
        <w:rPr/>
        <w:t>) is located in §A.2. </w:t>
      </w:r>
      <w:r>
        <w:rPr>
          <w:i/>
        </w:rPr>
        <w:t>end 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28 ST_FieldSortType (Field Sort Ty" w:id="2549"/>
      <w:bookmarkEnd w:id="2549"/>
      <w:r>
        <w:rPr>
          <w:b w:val="0"/>
        </w:rPr>
      </w:r>
      <w:bookmarkStart w:name="_bookmark850" w:id="2550"/>
      <w:bookmarkEnd w:id="2550"/>
      <w:r>
        <w:rPr>
          <w:b w:val="0"/>
        </w:rPr>
      </w:r>
      <w:bookmarkStart w:name="_bookmark850" w:id="2551"/>
      <w:bookmarkEnd w:id="2551"/>
      <w:r>
        <w:rPr>
          <w:color w:val="4F81BC"/>
        </w:rPr>
        <w:t>S</w:t>
      </w:r>
      <w:r>
        <w:rPr>
          <w:color w:val="4F81BC"/>
        </w:rPr>
        <w:t>T_FieldSortType (Field Sort</w:t>
      </w:r>
      <w:r>
        <w:rPr>
          <w:color w:val="4F81BC"/>
          <w:spacing w:val="-3"/>
        </w:rPr>
        <w:t> </w:t>
      </w:r>
      <w:r>
        <w:rPr>
          <w:color w:val="4F81BC"/>
        </w:rPr>
        <w:t>Type)</w:t>
      </w:r>
    </w:p>
    <w:p>
      <w:pPr>
        <w:pStyle w:val="BodyText"/>
        <w:spacing w:line="472" w:lineRule="auto" w:before="124"/>
        <w:ind w:left="220" w:right="2804"/>
      </w:pPr>
      <w:r>
        <w:rPr/>
        <w:pict>
          <v:shape style="position:absolute;margin-left:48pt;margin-top:74.633629pt;width:516.35pt;height:73.350pt;mso-position-horizontal-relative:page;mso-position-vertical-relative:paragraph;z-index:25190912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2" w:hRule="atLeast"/>
                    </w:trPr>
                    <w:tc>
                      <w:tcPr>
                        <w:tcW w:w="5156" w:type="dxa"/>
                      </w:tcPr>
                      <w:p>
                        <w:pPr>
                          <w:pStyle w:val="TableParagraph"/>
                          <w:rPr>
                            <w:sz w:val="22"/>
                          </w:rPr>
                        </w:pPr>
                        <w:r>
                          <w:rPr>
                            <w:rFonts w:ascii="Cambria"/>
                            <w:sz w:val="22"/>
                          </w:rPr>
                          <w:t>ascending </w:t>
                        </w:r>
                        <w:r>
                          <w:rPr>
                            <w:sz w:val="22"/>
                          </w:rPr>
                          <w:t>(Ascending)</w:t>
                        </w:r>
                      </w:p>
                    </w:tc>
                    <w:tc>
                      <w:tcPr>
                        <w:tcW w:w="5156" w:type="dxa"/>
                      </w:tcPr>
                      <w:p>
                        <w:pPr>
                          <w:pStyle w:val="TableParagraph"/>
                          <w:rPr>
                            <w:sz w:val="22"/>
                          </w:rPr>
                        </w:pPr>
                        <w:r>
                          <w:rPr>
                            <w:sz w:val="22"/>
                          </w:rPr>
                          <w:t>Indicates the field is sorted in ascending order.</w:t>
                        </w:r>
                      </w:p>
                    </w:tc>
                  </w:tr>
                  <w:tr>
                    <w:trPr>
                      <w:trHeight w:val="355" w:hRule="atLeast"/>
                    </w:trPr>
                    <w:tc>
                      <w:tcPr>
                        <w:tcW w:w="5156" w:type="dxa"/>
                      </w:tcPr>
                      <w:p>
                        <w:pPr>
                          <w:pStyle w:val="TableParagraph"/>
                          <w:spacing w:before="42"/>
                          <w:rPr>
                            <w:sz w:val="22"/>
                          </w:rPr>
                        </w:pPr>
                        <w:r>
                          <w:rPr>
                            <w:rFonts w:ascii="Cambria"/>
                            <w:sz w:val="22"/>
                          </w:rPr>
                          <w:t>descending </w:t>
                        </w:r>
                        <w:r>
                          <w:rPr>
                            <w:sz w:val="22"/>
                          </w:rPr>
                          <w:t>(Descending)</w:t>
                        </w:r>
                      </w:p>
                    </w:tc>
                    <w:tc>
                      <w:tcPr>
                        <w:tcW w:w="5156" w:type="dxa"/>
                      </w:tcPr>
                      <w:p>
                        <w:pPr>
                          <w:pStyle w:val="TableParagraph"/>
                          <w:spacing w:before="42"/>
                          <w:rPr>
                            <w:sz w:val="22"/>
                          </w:rPr>
                        </w:pPr>
                        <w:r>
                          <w:rPr>
                            <w:sz w:val="22"/>
                          </w:rPr>
                          <w:t>Indicates the field is sorted in descending order.</w:t>
                        </w:r>
                      </w:p>
                    </w:tc>
                  </w:tr>
                  <w:tr>
                    <w:trPr>
                      <w:trHeight w:val="354" w:hRule="atLeast"/>
                    </w:trPr>
                    <w:tc>
                      <w:tcPr>
                        <w:tcW w:w="5156" w:type="dxa"/>
                      </w:tcPr>
                      <w:p>
                        <w:pPr>
                          <w:pStyle w:val="TableParagraph"/>
                          <w:rPr>
                            <w:sz w:val="22"/>
                          </w:rPr>
                        </w:pPr>
                        <w:r>
                          <w:rPr>
                            <w:rFonts w:ascii="Cambria"/>
                            <w:sz w:val="22"/>
                          </w:rPr>
                          <w:t>manual </w:t>
                        </w:r>
                        <w:r>
                          <w:rPr>
                            <w:sz w:val="22"/>
                          </w:rPr>
                          <w:t>(Manual Sort)</w:t>
                        </w:r>
                      </w:p>
                    </w:tc>
                    <w:tc>
                      <w:tcPr>
                        <w:tcW w:w="5156" w:type="dxa"/>
                      </w:tcPr>
                      <w:p>
                        <w:pPr>
                          <w:pStyle w:val="TableParagraph"/>
                          <w:rPr>
                            <w:sz w:val="22"/>
                          </w:rPr>
                        </w:pPr>
                        <w:r>
                          <w:rPr>
                            <w:sz w:val="22"/>
                          </w:rPr>
                          <w:t>Indicates the field is sorted manually.</w:t>
                        </w:r>
                      </w:p>
                    </w:tc>
                  </w:tr>
                </w:tbl>
                <w:p>
                  <w:pPr>
                    <w:pStyle w:val="BodyText"/>
                  </w:pPr>
                </w:p>
              </w:txbxContent>
            </v:textbox>
            <w10:wrap type="none"/>
          </v:shape>
        </w:pict>
      </w:r>
      <w:r>
        <w:rPr/>
        <w:t>This simple type defines the sort orders that can be applied to fields in a PivotTable. 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spacing w:before="143"/>
        <w:ind w:left="220"/>
      </w:pPr>
      <w:r>
        <w:rPr/>
        <w:t>[</w:t>
      </w:r>
      <w:r>
        <w:rPr>
          <w:i/>
        </w:rPr>
        <w:t>Note</w:t>
      </w:r>
      <w:r>
        <w:rPr/>
        <w:t>: The W3C XML Schema definition of this simple type’s content model (</w:t>
      </w:r>
      <w:r>
        <w:rPr>
          <w:color w:val="5F5F5F"/>
          <w:u w:val="single" w:color="5F5F5F"/>
        </w:rPr>
        <w:t>ST_FieldSortType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29 ST_FileType (File Type)" w:id="2552"/>
      <w:bookmarkEnd w:id="2552"/>
      <w:r>
        <w:rPr>
          <w:b w:val="0"/>
        </w:rPr>
      </w:r>
      <w:bookmarkStart w:name="_bookmark851" w:id="2553"/>
      <w:bookmarkEnd w:id="2553"/>
      <w:r>
        <w:rPr>
          <w:b w:val="0"/>
        </w:rPr>
      </w:r>
      <w:bookmarkStart w:name="_bookmark851" w:id="2554"/>
      <w:bookmarkEnd w:id="2554"/>
      <w:r>
        <w:rPr>
          <w:color w:val="4F81BC"/>
        </w:rPr>
        <w:t>S</w:t>
      </w:r>
      <w:r>
        <w:rPr>
          <w:color w:val="4F81BC"/>
        </w:rPr>
        <w:t>T_FileType (File</w:t>
      </w:r>
      <w:r>
        <w:rPr>
          <w:color w:val="4F81BC"/>
          <w:spacing w:val="-3"/>
        </w:rPr>
        <w:t> </w:t>
      </w:r>
      <w:r>
        <w:rPr>
          <w:color w:val="4F81BC"/>
        </w:rPr>
        <w:t>Type)</w:t>
      </w:r>
    </w:p>
    <w:p>
      <w:pPr>
        <w:pStyle w:val="BodyText"/>
        <w:spacing w:before="124"/>
        <w:ind w:left="220"/>
      </w:pPr>
      <w:r>
        <w:rPr/>
        <w:t>The file type being used for text import.</w:t>
      </w:r>
    </w:p>
    <w:p>
      <w:pPr>
        <w:pStyle w:val="BodyText"/>
        <w:spacing w:before="11"/>
        <w:rPr>
          <w:sz w:val="19"/>
        </w:rPr>
      </w:pPr>
    </w:p>
    <w:p>
      <w:pPr>
        <w:pStyle w:val="BodyText"/>
        <w:spacing w:line="489" w:lineRule="auto"/>
        <w:ind w:left="220" w:right="2804"/>
      </w:pPr>
      <w:r>
        <w:rPr/>
        <w:pict>
          <v:shape style="position:absolute;margin-left:48pt;margin-top:42.903645pt;width:516.35pt;height:91.7pt;mso-position-horizontal-relative:page;mso-position-vertical-relative:paragraph;z-index:2519101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dos </w:t>
                        </w:r>
                        <w:r>
                          <w:rPr>
                            <w:sz w:val="22"/>
                          </w:rPr>
                          <w:t>(DOS)</w:t>
                        </w:r>
                      </w:p>
                    </w:tc>
                    <w:tc>
                      <w:tcPr>
                        <w:tcW w:w="5156" w:type="dxa"/>
                      </w:tcPr>
                      <w:p>
                        <w:pPr>
                          <w:pStyle w:val="TableParagraph"/>
                          <w:rPr>
                            <w:sz w:val="22"/>
                          </w:rPr>
                        </w:pPr>
                        <w:r>
                          <w:rPr>
                            <w:sz w:val="22"/>
                          </w:rPr>
                          <w:t>DOS (PC-8).</w:t>
                        </w:r>
                      </w:p>
                    </w:tc>
                  </w:tr>
                  <w:tr>
                    <w:trPr>
                      <w:trHeight w:val="354" w:hRule="atLeast"/>
                    </w:trPr>
                    <w:tc>
                      <w:tcPr>
                        <w:tcW w:w="5156" w:type="dxa"/>
                      </w:tcPr>
                      <w:p>
                        <w:pPr>
                          <w:pStyle w:val="TableParagraph"/>
                          <w:rPr>
                            <w:sz w:val="22"/>
                          </w:rPr>
                        </w:pPr>
                        <w:r>
                          <w:rPr>
                            <w:rFonts w:ascii="Cambria"/>
                            <w:sz w:val="22"/>
                          </w:rPr>
                          <w:t>lin </w:t>
                        </w:r>
                        <w:r>
                          <w:rPr>
                            <w:sz w:val="22"/>
                          </w:rPr>
                          <w:t>(Linux)</w:t>
                        </w:r>
                      </w:p>
                    </w:tc>
                    <w:tc>
                      <w:tcPr>
                        <w:tcW w:w="5156" w:type="dxa"/>
                      </w:tcPr>
                      <w:p>
                        <w:pPr>
                          <w:pStyle w:val="TableParagraph"/>
                          <w:rPr>
                            <w:sz w:val="22"/>
                          </w:rPr>
                        </w:pPr>
                        <w:r>
                          <w:rPr>
                            <w:sz w:val="22"/>
                          </w:rPr>
                          <w:t>Linux</w:t>
                        </w:r>
                      </w:p>
                    </w:tc>
                  </w:tr>
                  <w:tr>
                    <w:trPr>
                      <w:trHeight w:val="352" w:hRule="atLeast"/>
                    </w:trPr>
                    <w:tc>
                      <w:tcPr>
                        <w:tcW w:w="5156" w:type="dxa"/>
                      </w:tcPr>
                      <w:p>
                        <w:pPr>
                          <w:pStyle w:val="TableParagraph"/>
                          <w:rPr>
                            <w:sz w:val="22"/>
                          </w:rPr>
                        </w:pPr>
                        <w:r>
                          <w:rPr>
                            <w:rFonts w:ascii="Cambria"/>
                            <w:sz w:val="22"/>
                          </w:rPr>
                          <w:t>mac </w:t>
                        </w:r>
                        <w:r>
                          <w:rPr>
                            <w:sz w:val="22"/>
                          </w:rPr>
                          <w:t>(Macintosh)</w:t>
                        </w:r>
                      </w:p>
                    </w:tc>
                    <w:tc>
                      <w:tcPr>
                        <w:tcW w:w="5156" w:type="dxa"/>
                      </w:tcPr>
                      <w:p>
                        <w:pPr>
                          <w:pStyle w:val="TableParagraph"/>
                          <w:rPr>
                            <w:sz w:val="22"/>
                          </w:rPr>
                        </w:pPr>
                        <w:r>
                          <w:rPr>
                            <w:sz w:val="22"/>
                          </w:rPr>
                          <w:t>Macintosh.</w:t>
                        </w:r>
                      </w:p>
                    </w:tc>
                  </w:tr>
                  <w:tr>
                    <w:trPr>
                      <w:trHeight w:val="357" w:hRule="atLeast"/>
                    </w:trPr>
                    <w:tc>
                      <w:tcPr>
                        <w:tcW w:w="5156" w:type="dxa"/>
                      </w:tcPr>
                      <w:p>
                        <w:pPr>
                          <w:pStyle w:val="TableParagraph"/>
                          <w:spacing w:before="42"/>
                          <w:rPr>
                            <w:sz w:val="22"/>
                          </w:rPr>
                        </w:pPr>
                        <w:r>
                          <w:rPr>
                            <w:rFonts w:ascii="Cambria"/>
                            <w:sz w:val="22"/>
                          </w:rPr>
                          <w:t>other </w:t>
                        </w:r>
                        <w:r>
                          <w:rPr>
                            <w:sz w:val="22"/>
                          </w:rPr>
                          <w:t>(Other Non-Specified Values)</w:t>
                        </w:r>
                      </w:p>
                    </w:tc>
                    <w:tc>
                      <w:tcPr>
                        <w:tcW w:w="5156" w:type="dxa"/>
                      </w:tcPr>
                      <w:p>
                        <w:pPr>
                          <w:pStyle w:val="TableParagraph"/>
                          <w:spacing w:before="42"/>
                          <w:rPr>
                            <w:sz w:val="22"/>
                          </w:rPr>
                        </w:pPr>
                        <w:r>
                          <w:rPr>
                            <w:sz w:val="22"/>
                          </w:rPr>
                          <w:t>Other non-specified values at the time of writing.</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win </w:t>
            </w:r>
            <w:r>
              <w:rPr>
                <w:sz w:val="22"/>
              </w:rPr>
              <w:t>(Windows (ANSI))</w:t>
            </w:r>
          </w:p>
        </w:tc>
        <w:tc>
          <w:tcPr>
            <w:tcW w:w="5156" w:type="dxa"/>
          </w:tcPr>
          <w:p>
            <w:pPr>
              <w:pStyle w:val="TableParagraph"/>
              <w:rPr>
                <w:sz w:val="22"/>
              </w:rPr>
            </w:pPr>
            <w:r>
              <w:rPr>
                <w:sz w:val="22"/>
              </w:rPr>
              <w:t>Windows (ANSI).</w:t>
            </w:r>
          </w:p>
        </w:tc>
      </w:tr>
    </w:tbl>
    <w:p>
      <w:pPr>
        <w:pStyle w:val="BodyText"/>
        <w:rPr>
          <w:sz w:val="20"/>
        </w:rPr>
      </w:pPr>
    </w:p>
    <w:p>
      <w:pPr>
        <w:pStyle w:val="BodyText"/>
        <w:spacing w:before="10"/>
        <w:rPr>
          <w:sz w:val="16"/>
        </w:rPr>
      </w:pPr>
    </w:p>
    <w:p>
      <w:pPr>
        <w:pStyle w:val="BodyText"/>
        <w:spacing w:line="278" w:lineRule="auto" w:before="56"/>
        <w:ind w:left="220" w:right="466"/>
      </w:pPr>
      <w:r>
        <w:rPr/>
        <w:t>[</w:t>
      </w:r>
      <w:r>
        <w:rPr>
          <w:i/>
        </w:rPr>
        <w:t>Note</w:t>
      </w:r>
      <w:r>
        <w:rPr/>
        <w:t>: The W3C XML Schema definition of this simple type’s content model (</w:t>
      </w:r>
      <w:r>
        <w:rPr>
          <w:color w:val="5F5F5F"/>
          <w:u w:val="single" w:color="5F5F5F"/>
        </w:rPr>
        <w:t>ST_FileType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30 ST_FillId (Fill Id)" w:id="2555"/>
      <w:bookmarkEnd w:id="2555"/>
      <w:r>
        <w:rPr>
          <w:b w:val="0"/>
        </w:rPr>
      </w:r>
      <w:bookmarkStart w:name="_bookmark852" w:id="2556"/>
      <w:bookmarkEnd w:id="2556"/>
      <w:r>
        <w:rPr>
          <w:b w:val="0"/>
        </w:rPr>
      </w:r>
      <w:bookmarkStart w:name="_bookmark852" w:id="2557"/>
      <w:bookmarkEnd w:id="2557"/>
      <w:r>
        <w:rPr>
          <w:color w:val="4F81BC"/>
        </w:rPr>
        <w:t>S</w:t>
      </w:r>
      <w:r>
        <w:rPr>
          <w:color w:val="4F81BC"/>
        </w:rPr>
        <w:t>T_FillId (Fill</w:t>
      </w:r>
      <w:r>
        <w:rPr>
          <w:color w:val="4F81BC"/>
          <w:spacing w:val="-3"/>
        </w:rPr>
        <w:t> </w:t>
      </w:r>
      <w:r>
        <w:rPr>
          <w:color w:val="4F81BC"/>
        </w:rPr>
        <w:t>Id)</w:t>
      </w:r>
    </w:p>
    <w:p>
      <w:pPr>
        <w:pStyle w:val="BodyText"/>
        <w:spacing w:before="124"/>
        <w:ind w:left="220"/>
      </w:pPr>
      <w:r>
        <w:rPr/>
        <w:t>Zero-based index used to reference a </w:t>
      </w:r>
      <w:r>
        <w:rPr>
          <w:rFonts w:ascii="Cambria"/>
        </w:rPr>
        <w:t>fill </w:t>
      </w:r>
      <w:r>
        <w:rPr/>
        <w:t>record.</w:t>
      </w:r>
    </w:p>
    <w:p>
      <w:pPr>
        <w:pStyle w:val="BodyText"/>
        <w:spacing w:before="8"/>
        <w:rPr>
          <w:sz w:val="19"/>
        </w:rPr>
      </w:pPr>
    </w:p>
    <w:p>
      <w:pPr>
        <w:pStyle w:val="BodyText"/>
        <w:spacing w:before="1"/>
        <w:ind w:left="220"/>
      </w:pPr>
      <w:r>
        <w:rPr/>
        <w:t>This simple type's contents are a restriction of the W3C XML Schema </w:t>
      </w:r>
      <w:r>
        <w:rPr>
          <w:rFonts w:ascii="Cambria"/>
        </w:rPr>
        <w:t>unsignedInt </w:t>
      </w:r>
      <w:r>
        <w:rPr/>
        <w:t>datatype.</w:t>
      </w:r>
    </w:p>
    <w:p>
      <w:pPr>
        <w:pStyle w:val="BodyText"/>
        <w:spacing w:before="5"/>
        <w:rPr>
          <w:sz w:val="19"/>
        </w:rPr>
      </w:pPr>
    </w:p>
    <w:p>
      <w:pPr>
        <w:pStyle w:val="BodyText"/>
        <w:spacing w:line="278" w:lineRule="auto" w:before="1"/>
        <w:ind w:left="220" w:right="786"/>
      </w:pPr>
      <w:r>
        <w:rPr/>
        <w:t>[</w:t>
      </w:r>
      <w:r>
        <w:rPr>
          <w:i/>
        </w:rPr>
        <w:t>Note</w:t>
      </w:r>
      <w:r>
        <w:rPr/>
        <w:t>: The W3C XML Schema definition of this simple type’s content model (</w:t>
      </w:r>
      <w:r>
        <w:rPr>
          <w:color w:val="5F5F5F"/>
          <w:u w:val="single" w:color="5F5F5F"/>
        </w:rPr>
        <w:t>ST_FillId</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31 ST_FilterOperator (Filter Opera" w:id="2558"/>
      <w:bookmarkEnd w:id="2558"/>
      <w:r>
        <w:rPr>
          <w:b w:val="0"/>
        </w:rPr>
      </w:r>
      <w:bookmarkStart w:name="_bookmark853" w:id="2559"/>
      <w:bookmarkEnd w:id="2559"/>
      <w:r>
        <w:rPr>
          <w:b w:val="0"/>
        </w:rPr>
      </w:r>
      <w:bookmarkStart w:name="_bookmark853" w:id="2560"/>
      <w:bookmarkEnd w:id="2560"/>
      <w:r>
        <w:rPr>
          <w:color w:val="4F81BC"/>
        </w:rPr>
        <w:t>S</w:t>
      </w:r>
      <w:r>
        <w:rPr>
          <w:color w:val="4F81BC"/>
        </w:rPr>
        <w:t>T_FilterOperator (Filter</w:t>
      </w:r>
      <w:r>
        <w:rPr>
          <w:color w:val="4F81BC"/>
          <w:spacing w:val="2"/>
        </w:rPr>
        <w:t> </w:t>
      </w:r>
      <w:r>
        <w:rPr>
          <w:color w:val="4F81BC"/>
        </w:rPr>
        <w:t>Operator)</w:t>
      </w:r>
    </w:p>
    <w:p>
      <w:pPr>
        <w:pStyle w:val="BodyText"/>
        <w:spacing w:before="124"/>
        <w:ind w:left="220"/>
      </w:pPr>
      <w:r>
        <w:rPr/>
        <w:t>Operator enumerations for filtering.</w:t>
      </w:r>
    </w:p>
    <w:p>
      <w:pPr>
        <w:pStyle w:val="BodyText"/>
        <w:spacing w:before="9"/>
        <w:rPr>
          <w:sz w:val="19"/>
        </w:rPr>
      </w:pPr>
    </w:p>
    <w:p>
      <w:pPr>
        <w:pStyle w:val="BodyText"/>
        <w:spacing w:line="489" w:lineRule="auto"/>
        <w:ind w:left="220" w:right="2804"/>
      </w:pPr>
      <w:r>
        <w:rPr/>
        <w:pict>
          <v:shape style="position:absolute;margin-left:48pt;margin-top:42.993645pt;width:516.35pt;height:141.5pt;mso-position-horizontal-relative:page;mso-position-vertical-relative:paragraph;z-index:2519111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2"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spacing w:before="42"/>
                          <w:rPr>
                            <w:sz w:val="22"/>
                          </w:rPr>
                        </w:pPr>
                        <w:r>
                          <w:rPr>
                            <w:rFonts w:ascii="Cambria"/>
                            <w:sz w:val="22"/>
                          </w:rPr>
                          <w:t>equal </w:t>
                        </w:r>
                        <w:r>
                          <w:rPr>
                            <w:sz w:val="22"/>
                          </w:rPr>
                          <w:t>(Equal)</w:t>
                        </w:r>
                      </w:p>
                    </w:tc>
                    <w:tc>
                      <w:tcPr>
                        <w:tcW w:w="5156" w:type="dxa"/>
                      </w:tcPr>
                      <w:p>
                        <w:pPr>
                          <w:pStyle w:val="TableParagraph"/>
                          <w:spacing w:before="42"/>
                          <w:rPr>
                            <w:sz w:val="22"/>
                          </w:rPr>
                        </w:pPr>
                        <w:r>
                          <w:rPr>
                            <w:sz w:val="22"/>
                          </w:rPr>
                          <w:t>Show results which are equal to criteria.</w:t>
                        </w:r>
                      </w:p>
                    </w:tc>
                  </w:tr>
                  <w:tr>
                    <w:trPr>
                      <w:trHeight w:val="354" w:hRule="atLeast"/>
                    </w:trPr>
                    <w:tc>
                      <w:tcPr>
                        <w:tcW w:w="5156" w:type="dxa"/>
                      </w:tcPr>
                      <w:p>
                        <w:pPr>
                          <w:pStyle w:val="TableParagraph"/>
                          <w:rPr>
                            <w:sz w:val="22"/>
                          </w:rPr>
                        </w:pPr>
                        <w:r>
                          <w:rPr>
                            <w:rFonts w:ascii="Cambria"/>
                            <w:sz w:val="22"/>
                          </w:rPr>
                          <w:t>greaterThan </w:t>
                        </w:r>
                        <w:r>
                          <w:rPr>
                            <w:sz w:val="22"/>
                          </w:rPr>
                          <w:t>(Greater Than)</w:t>
                        </w:r>
                      </w:p>
                    </w:tc>
                    <w:tc>
                      <w:tcPr>
                        <w:tcW w:w="5156" w:type="dxa"/>
                      </w:tcPr>
                      <w:p>
                        <w:pPr>
                          <w:pStyle w:val="TableParagraph"/>
                          <w:rPr>
                            <w:sz w:val="22"/>
                          </w:rPr>
                        </w:pPr>
                        <w:r>
                          <w:rPr>
                            <w:sz w:val="22"/>
                          </w:rPr>
                          <w:t>Show results which are greater than criteria.</w:t>
                        </w:r>
                      </w:p>
                    </w:tc>
                  </w:tr>
                  <w:tr>
                    <w:trPr>
                      <w:trHeight w:val="623" w:hRule="atLeast"/>
                    </w:trPr>
                    <w:tc>
                      <w:tcPr>
                        <w:tcW w:w="5156" w:type="dxa"/>
                      </w:tcPr>
                      <w:p>
                        <w:pPr>
                          <w:pStyle w:val="TableParagraph"/>
                          <w:rPr>
                            <w:sz w:val="22"/>
                          </w:rPr>
                        </w:pPr>
                        <w:r>
                          <w:rPr>
                            <w:rFonts w:ascii="Cambria"/>
                            <w:sz w:val="22"/>
                          </w:rPr>
                          <w:t>greaterThanOrEqual </w:t>
                        </w:r>
                        <w:r>
                          <w:rPr>
                            <w:sz w:val="22"/>
                          </w:rPr>
                          <w:t>(Greater Than Or Equal)</w:t>
                        </w:r>
                      </w:p>
                    </w:tc>
                    <w:tc>
                      <w:tcPr>
                        <w:tcW w:w="5156" w:type="dxa"/>
                      </w:tcPr>
                      <w:p>
                        <w:pPr>
                          <w:pStyle w:val="TableParagraph"/>
                          <w:ind w:right="757"/>
                          <w:rPr>
                            <w:sz w:val="22"/>
                          </w:rPr>
                        </w:pPr>
                        <w:r>
                          <w:rPr>
                            <w:sz w:val="22"/>
                          </w:rPr>
                          <w:t>Show results which are greater than or equal to criteria.</w:t>
                        </w:r>
                      </w:p>
                    </w:tc>
                  </w:tr>
                  <w:tr>
                    <w:trPr>
                      <w:trHeight w:val="354" w:hRule="atLeast"/>
                    </w:trPr>
                    <w:tc>
                      <w:tcPr>
                        <w:tcW w:w="5156" w:type="dxa"/>
                      </w:tcPr>
                      <w:p>
                        <w:pPr>
                          <w:pStyle w:val="TableParagraph"/>
                          <w:rPr>
                            <w:sz w:val="22"/>
                          </w:rPr>
                        </w:pPr>
                        <w:r>
                          <w:rPr>
                            <w:rFonts w:ascii="Cambria"/>
                            <w:sz w:val="22"/>
                          </w:rPr>
                          <w:t>lessThan </w:t>
                        </w:r>
                        <w:r>
                          <w:rPr>
                            <w:sz w:val="22"/>
                          </w:rPr>
                          <w:t>(Less Than)</w:t>
                        </w:r>
                      </w:p>
                    </w:tc>
                    <w:tc>
                      <w:tcPr>
                        <w:tcW w:w="5156" w:type="dxa"/>
                      </w:tcPr>
                      <w:p>
                        <w:pPr>
                          <w:pStyle w:val="TableParagraph"/>
                          <w:rPr>
                            <w:sz w:val="22"/>
                          </w:rPr>
                        </w:pPr>
                        <w:r>
                          <w:rPr>
                            <w:sz w:val="22"/>
                          </w:rPr>
                          <w:t>Show results which are less than criteria.</w:t>
                        </w:r>
                      </w:p>
                    </w:tc>
                  </w:tr>
                  <w:tr>
                    <w:trPr>
                      <w:trHeight w:val="354" w:hRule="atLeast"/>
                    </w:trPr>
                    <w:tc>
                      <w:tcPr>
                        <w:tcW w:w="5156" w:type="dxa"/>
                      </w:tcPr>
                      <w:p>
                        <w:pPr>
                          <w:pStyle w:val="TableParagraph"/>
                          <w:rPr>
                            <w:sz w:val="22"/>
                          </w:rPr>
                        </w:pPr>
                        <w:r>
                          <w:rPr>
                            <w:rFonts w:ascii="Cambria"/>
                            <w:sz w:val="22"/>
                          </w:rPr>
                          <w:t>lessThanOrEqual </w:t>
                        </w:r>
                        <w:r>
                          <w:rPr>
                            <w:sz w:val="22"/>
                          </w:rPr>
                          <w:t>(Less Than Or Equal)</w:t>
                        </w:r>
                      </w:p>
                    </w:tc>
                    <w:tc>
                      <w:tcPr>
                        <w:tcW w:w="5156" w:type="dxa"/>
                      </w:tcPr>
                      <w:p>
                        <w:pPr>
                          <w:pStyle w:val="TableParagraph"/>
                          <w:rPr>
                            <w:sz w:val="22"/>
                          </w:rPr>
                        </w:pPr>
                        <w:r>
                          <w:rPr>
                            <w:sz w:val="22"/>
                          </w:rPr>
                          <w:t>Show results which are less than or equal to criteria.</w:t>
                        </w:r>
                      </w:p>
                    </w:tc>
                  </w:tr>
                  <w:tr>
                    <w:trPr>
                      <w:trHeight w:val="354" w:hRule="atLeast"/>
                    </w:trPr>
                    <w:tc>
                      <w:tcPr>
                        <w:tcW w:w="5156" w:type="dxa"/>
                      </w:tcPr>
                      <w:p>
                        <w:pPr>
                          <w:pStyle w:val="TableParagraph"/>
                          <w:rPr>
                            <w:sz w:val="22"/>
                          </w:rPr>
                        </w:pPr>
                        <w:r>
                          <w:rPr>
                            <w:rFonts w:ascii="Cambria"/>
                            <w:sz w:val="22"/>
                          </w:rPr>
                          <w:t>notEqual </w:t>
                        </w:r>
                        <w:r>
                          <w:rPr>
                            <w:sz w:val="22"/>
                          </w:rPr>
                          <w:t>(Not Equal)</w:t>
                        </w:r>
                      </w:p>
                    </w:tc>
                    <w:tc>
                      <w:tcPr>
                        <w:tcW w:w="5156" w:type="dxa"/>
                      </w:tcPr>
                      <w:p>
                        <w:pPr>
                          <w:pStyle w:val="TableParagraph"/>
                          <w:rPr>
                            <w:sz w:val="22"/>
                          </w:rPr>
                        </w:pPr>
                        <w:r>
                          <w:rPr>
                            <w:sz w:val="22"/>
                          </w:rPr>
                          <w:t>Show results which are not equal to criteria.</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5"/>
        <w:ind w:left="220"/>
      </w:pPr>
      <w:r>
        <w:rPr/>
        <w:t>[</w:t>
      </w:r>
      <w:r>
        <w:rPr>
          <w:i/>
        </w:rPr>
        <w:t>Note</w:t>
      </w:r>
      <w:r>
        <w:rPr/>
        <w:t>: The W3C XML Schema definition of this simple type’s content model (</w:t>
      </w:r>
      <w:r>
        <w:rPr>
          <w:color w:val="5F5F5F"/>
          <w:u w:val="single" w:color="5F5F5F"/>
        </w:rPr>
        <w:t>ST_FilterOperator</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32 ST_FontId (Font Id)" w:id="2561"/>
      <w:bookmarkEnd w:id="2561"/>
      <w:r>
        <w:rPr>
          <w:b w:val="0"/>
        </w:rPr>
      </w:r>
      <w:bookmarkStart w:name="_bookmark854" w:id="2562"/>
      <w:bookmarkEnd w:id="2562"/>
      <w:r>
        <w:rPr>
          <w:b w:val="0"/>
        </w:rPr>
      </w:r>
      <w:bookmarkStart w:name="_bookmark854" w:id="2563"/>
      <w:bookmarkEnd w:id="2563"/>
      <w:r>
        <w:rPr>
          <w:color w:val="4F81BC"/>
        </w:rPr>
        <w:t>S</w:t>
      </w:r>
      <w:r>
        <w:rPr>
          <w:color w:val="4F81BC"/>
        </w:rPr>
        <w:t>T_FontId (Font</w:t>
      </w:r>
      <w:r>
        <w:rPr>
          <w:color w:val="4F81BC"/>
          <w:spacing w:val="-4"/>
        </w:rPr>
        <w:t> </w:t>
      </w:r>
      <w:r>
        <w:rPr>
          <w:color w:val="4F81BC"/>
        </w:rPr>
        <w:t>Id)</w:t>
      </w:r>
    </w:p>
    <w:p>
      <w:pPr>
        <w:pStyle w:val="BodyText"/>
        <w:spacing w:line="453" w:lineRule="auto" w:before="125"/>
        <w:ind w:left="220" w:right="2228"/>
      </w:pPr>
      <w:r>
        <w:rPr/>
        <w:t>An integer that represents a zero based index into the </w:t>
      </w:r>
      <w:r>
        <w:rPr>
          <w:rFonts w:ascii="Cambria"/>
        </w:rPr>
        <w:t>&lt;fonts&gt; </w:t>
      </w:r>
      <w:r>
        <w:rPr/>
        <w:t>collection in the style sheet. This simple type's contents are a restriction of the W3C XML Schema </w:t>
      </w:r>
      <w:r>
        <w:rPr>
          <w:rFonts w:ascii="Cambria"/>
        </w:rPr>
        <w:t>unsignedInt </w:t>
      </w:r>
      <w:r>
        <w:rPr/>
        <w:t>datatype.</w:t>
      </w:r>
    </w:p>
    <w:p>
      <w:pPr>
        <w:pStyle w:val="BodyText"/>
        <w:spacing w:line="278" w:lineRule="auto"/>
        <w:ind w:left="220" w:right="632"/>
      </w:pPr>
      <w:r>
        <w:rPr/>
        <w:t>[</w:t>
      </w:r>
      <w:r>
        <w:rPr>
          <w:i/>
        </w:rPr>
        <w:t>Note</w:t>
      </w:r>
      <w:r>
        <w:rPr/>
        <w:t>: The W3C XML Schema definition of this simple type’s content model (</w:t>
      </w:r>
      <w:r>
        <w:rPr>
          <w:color w:val="5F5F5F"/>
          <w:u w:val="single" w:color="5F5F5F"/>
        </w:rPr>
        <w:t>ST_FontId</w:t>
      </w:r>
      <w:r>
        <w:rPr/>
        <w:t>) is located in §A.2. </w:t>
      </w:r>
      <w:r>
        <w:rPr>
          <w:i/>
        </w:rPr>
        <w:t>end </w:t>
      </w:r>
      <w:r>
        <w:rPr>
          <w:i/>
        </w:rPr>
        <w:t>note</w:t>
      </w:r>
      <w:r>
        <w:rPr/>
        <w:t>]</w:t>
      </w:r>
    </w:p>
    <w:p>
      <w:pPr>
        <w:spacing w:after="0" w:line="278" w:lineRule="auto"/>
        <w:sectPr>
          <w:pgSz w:w="12240" w:h="15840"/>
          <w:pgMar w:header="761" w:footer="746" w:top="1340" w:bottom="940" w:left="860" w:right="700"/>
        </w:sectPr>
      </w:pPr>
    </w:p>
    <w:p>
      <w:pPr>
        <w:pStyle w:val="Heading2"/>
        <w:numPr>
          <w:ilvl w:val="2"/>
          <w:numId w:val="17"/>
        </w:numPr>
        <w:tabs>
          <w:tab w:pos="1445" w:val="left" w:leader="none"/>
        </w:tabs>
        <w:spacing w:line="240" w:lineRule="auto" w:before="151" w:after="0"/>
        <w:ind w:left="1444" w:right="0" w:hanging="1225"/>
        <w:jc w:val="left"/>
      </w:pPr>
      <w:bookmarkStart w:name="18.18.33 ST_FontScheme (Font scheme Styl" w:id="2564"/>
      <w:bookmarkEnd w:id="2564"/>
      <w:r>
        <w:rPr>
          <w:b w:val="0"/>
        </w:rPr>
      </w:r>
      <w:bookmarkStart w:name="_bookmark855" w:id="2565"/>
      <w:bookmarkEnd w:id="2565"/>
      <w:r>
        <w:rPr>
          <w:b w:val="0"/>
        </w:rPr>
      </w:r>
      <w:bookmarkStart w:name="_bookmark855" w:id="2566"/>
      <w:bookmarkEnd w:id="2566"/>
      <w:r>
        <w:rPr>
          <w:color w:val="4F81BC"/>
        </w:rPr>
        <w:t>S</w:t>
      </w:r>
      <w:r>
        <w:rPr>
          <w:color w:val="4F81BC"/>
        </w:rPr>
        <w:t>T_FontScheme (Font scheme</w:t>
      </w:r>
      <w:r>
        <w:rPr>
          <w:color w:val="4F81BC"/>
          <w:spacing w:val="-1"/>
        </w:rPr>
        <w:t> </w:t>
      </w:r>
      <w:r>
        <w:rPr>
          <w:color w:val="4F81BC"/>
        </w:rPr>
        <w:t>Styles)</w:t>
      </w:r>
    </w:p>
    <w:p>
      <w:pPr>
        <w:pStyle w:val="BodyText"/>
        <w:spacing w:before="124"/>
        <w:ind w:left="220"/>
      </w:pPr>
      <w:r>
        <w:rPr/>
        <w:t>Defines the font scheme, if any, to which this font belongs.</w:t>
      </w:r>
    </w:p>
    <w:p>
      <w:pPr>
        <w:pStyle w:val="BodyText"/>
        <w:spacing w:before="9"/>
        <w:rPr>
          <w:sz w:val="19"/>
        </w:rPr>
      </w:pPr>
    </w:p>
    <w:p>
      <w:pPr>
        <w:pStyle w:val="BodyText"/>
        <w:spacing w:line="489" w:lineRule="auto"/>
        <w:ind w:left="220" w:right="2804"/>
      </w:pPr>
      <w:r>
        <w:rPr/>
        <w:pict>
          <v:shape style="position:absolute;margin-left:48pt;margin-top:42.993614pt;width:516.35pt;height:73.350pt;mso-position-horizontal-relative:page;mso-position-vertical-relative:paragraph;z-index:25191219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2" w:hRule="atLeast"/>
                    </w:trPr>
                    <w:tc>
                      <w:tcPr>
                        <w:tcW w:w="5156" w:type="dxa"/>
                      </w:tcPr>
                      <w:p>
                        <w:pPr>
                          <w:pStyle w:val="TableParagraph"/>
                          <w:rPr>
                            <w:sz w:val="22"/>
                          </w:rPr>
                        </w:pPr>
                        <w:r>
                          <w:rPr>
                            <w:rFonts w:ascii="Cambria"/>
                            <w:sz w:val="22"/>
                          </w:rPr>
                          <w:t>major </w:t>
                        </w:r>
                        <w:r>
                          <w:rPr>
                            <w:sz w:val="22"/>
                          </w:rPr>
                          <w:t>(Major Font)</w:t>
                        </w:r>
                      </w:p>
                    </w:tc>
                    <w:tc>
                      <w:tcPr>
                        <w:tcW w:w="5156" w:type="dxa"/>
                      </w:tcPr>
                      <w:p>
                        <w:pPr>
                          <w:pStyle w:val="TableParagraph"/>
                          <w:rPr>
                            <w:sz w:val="22"/>
                          </w:rPr>
                        </w:pPr>
                        <w:r>
                          <w:rPr>
                            <w:sz w:val="22"/>
                          </w:rPr>
                          <w:t>This font is the major font for this theme.</w:t>
                        </w:r>
                      </w:p>
                    </w:tc>
                  </w:tr>
                  <w:tr>
                    <w:trPr>
                      <w:trHeight w:val="354" w:hRule="atLeast"/>
                    </w:trPr>
                    <w:tc>
                      <w:tcPr>
                        <w:tcW w:w="5156" w:type="dxa"/>
                      </w:tcPr>
                      <w:p>
                        <w:pPr>
                          <w:pStyle w:val="TableParagraph"/>
                          <w:spacing w:before="42"/>
                          <w:rPr>
                            <w:sz w:val="22"/>
                          </w:rPr>
                        </w:pPr>
                        <w:r>
                          <w:rPr>
                            <w:rFonts w:ascii="Cambria"/>
                            <w:sz w:val="22"/>
                          </w:rPr>
                          <w:t>minor </w:t>
                        </w:r>
                        <w:r>
                          <w:rPr>
                            <w:sz w:val="22"/>
                          </w:rPr>
                          <w:t>(Minor Font)</w:t>
                        </w:r>
                      </w:p>
                    </w:tc>
                    <w:tc>
                      <w:tcPr>
                        <w:tcW w:w="5156" w:type="dxa"/>
                      </w:tcPr>
                      <w:p>
                        <w:pPr>
                          <w:pStyle w:val="TableParagraph"/>
                          <w:spacing w:before="42"/>
                          <w:rPr>
                            <w:sz w:val="22"/>
                          </w:rPr>
                        </w:pPr>
                        <w:r>
                          <w:rPr>
                            <w:sz w:val="22"/>
                          </w:rPr>
                          <w:t>This font is the minor font for this theme.</w:t>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This font is not a theme font.</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spacing w:before="3"/>
        <w:rPr>
          <w:sz w:val="32"/>
        </w:rPr>
      </w:pPr>
    </w:p>
    <w:p>
      <w:pPr>
        <w:pStyle w:val="BodyText"/>
        <w:ind w:left="220"/>
      </w:pPr>
      <w:r>
        <w:rPr/>
        <w:t>[</w:t>
      </w:r>
      <w:r>
        <w:rPr>
          <w:i/>
        </w:rPr>
        <w:t>Note</w:t>
      </w:r>
      <w:r>
        <w:rPr/>
        <w:t>: The W3C XML Schema definition of this simple type’s content model (</w:t>
      </w:r>
      <w:r>
        <w:rPr>
          <w:color w:val="5F5F5F"/>
          <w:u w:val="single" w:color="5F5F5F"/>
        </w:rPr>
        <w:t>ST_FontScheme</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34 ST_FormatAction (PivotTable For" w:id="2567"/>
      <w:bookmarkEnd w:id="2567"/>
      <w:r>
        <w:rPr>
          <w:b w:val="0"/>
        </w:rPr>
      </w:r>
      <w:bookmarkStart w:name="_bookmark856" w:id="2568"/>
      <w:bookmarkEnd w:id="2568"/>
      <w:r>
        <w:rPr>
          <w:b w:val="0"/>
        </w:rPr>
      </w:r>
      <w:bookmarkStart w:name="_bookmark856" w:id="2569"/>
      <w:bookmarkEnd w:id="2569"/>
      <w:r>
        <w:rPr>
          <w:color w:val="4F81BC"/>
        </w:rPr>
        <w:t>S</w:t>
      </w:r>
      <w:r>
        <w:rPr>
          <w:color w:val="4F81BC"/>
        </w:rPr>
        <w:t>T_FormatAction (PivotTable Format</w:t>
      </w:r>
      <w:r>
        <w:rPr>
          <w:color w:val="4F81BC"/>
          <w:spacing w:val="-2"/>
        </w:rPr>
        <w:t> </w:t>
      </w:r>
      <w:r>
        <w:rPr>
          <w:color w:val="4F81BC"/>
        </w:rPr>
        <w:t>Types)</w:t>
      </w:r>
    </w:p>
    <w:p>
      <w:pPr>
        <w:pStyle w:val="BodyText"/>
        <w:spacing w:before="126"/>
        <w:ind w:left="220"/>
      </w:pPr>
      <w:r>
        <w:rPr/>
        <w:t>This simple type defines the type of formats that can be applied to PivotTables.</w:t>
      </w:r>
    </w:p>
    <w:p>
      <w:pPr>
        <w:pStyle w:val="BodyText"/>
        <w:spacing w:before="8"/>
        <w:rPr>
          <w:sz w:val="19"/>
        </w:rPr>
      </w:pPr>
    </w:p>
    <w:p>
      <w:pPr>
        <w:pStyle w:val="BodyText"/>
        <w:spacing w:line="489" w:lineRule="auto"/>
        <w:ind w:left="220" w:right="2804"/>
      </w:pPr>
      <w:r>
        <w:rPr/>
        <w:pict>
          <v:shape style="position:absolute;margin-left:48pt;margin-top:42.873653pt;width:516.35pt;height:118.5pt;mso-position-horizontal-relative:page;mso-position-vertical-relative:paragraph;z-index:2519132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892" w:hRule="atLeast"/>
                    </w:trPr>
                    <w:tc>
                      <w:tcPr>
                        <w:tcW w:w="5156" w:type="dxa"/>
                      </w:tcPr>
                      <w:p>
                        <w:pPr>
                          <w:pStyle w:val="TableParagraph"/>
                          <w:rPr>
                            <w:sz w:val="22"/>
                          </w:rPr>
                        </w:pPr>
                        <w:r>
                          <w:rPr>
                            <w:rFonts w:ascii="Cambria"/>
                            <w:sz w:val="22"/>
                          </w:rPr>
                          <w:t>blank </w:t>
                        </w:r>
                        <w:r>
                          <w:rPr>
                            <w:sz w:val="22"/>
                          </w:rPr>
                          <w:t>(Blank)</w:t>
                        </w:r>
                      </w:p>
                    </w:tc>
                    <w:tc>
                      <w:tcPr>
                        <w:tcW w:w="5156" w:type="dxa"/>
                      </w:tcPr>
                      <w:p>
                        <w:pPr>
                          <w:pStyle w:val="TableParagraph"/>
                          <w:ind w:right="218"/>
                          <w:rPr>
                            <w:sz w:val="22"/>
                          </w:rPr>
                        </w:pPr>
                        <w:r>
                          <w:rPr>
                            <w:sz w:val="22"/>
                          </w:rPr>
                          <w:t>Indicates no format is applied to the PivotTable. This value is used when formatting is cleared from already formatted cells in the PivotTable.</w:t>
                        </w:r>
                      </w:p>
                    </w:tc>
                  </w:tr>
                  <w:tr>
                    <w:trPr>
                      <w:trHeight w:val="352" w:hRule="atLeast"/>
                    </w:trPr>
                    <w:tc>
                      <w:tcPr>
                        <w:tcW w:w="5156" w:type="dxa"/>
                      </w:tcPr>
                      <w:p>
                        <w:pPr>
                          <w:pStyle w:val="TableParagraph"/>
                          <w:rPr>
                            <w:sz w:val="22"/>
                          </w:rPr>
                        </w:pPr>
                        <w:r>
                          <w:rPr>
                            <w:rFonts w:ascii="Cambria"/>
                            <w:sz w:val="22"/>
                          </w:rPr>
                          <w:t>drill </w:t>
                        </w:r>
                        <w:r>
                          <w:rPr>
                            <w:sz w:val="22"/>
                          </w:rPr>
                          <w:t>(Drill Type)</w:t>
                        </w:r>
                      </w:p>
                    </w:tc>
                    <w:tc>
                      <w:tcPr>
                        <w:tcW w:w="5156" w:type="dxa"/>
                      </w:tcPr>
                      <w:p>
                        <w:pPr>
                          <w:pStyle w:val="TableParagraph"/>
                          <w:rPr>
                            <w:sz w:val="22"/>
                          </w:rPr>
                        </w:pPr>
                        <w:r>
                          <w:rPr>
                            <w:sz w:val="22"/>
                          </w:rPr>
                          <w:t>Indicates the PivotTable has drill-through format.</w:t>
                        </w:r>
                      </w:p>
                    </w:tc>
                  </w:tr>
                  <w:tr>
                    <w:trPr>
                      <w:trHeight w:val="354" w:hRule="atLeast"/>
                    </w:trPr>
                    <w:tc>
                      <w:tcPr>
                        <w:tcW w:w="5156" w:type="dxa"/>
                      </w:tcPr>
                      <w:p>
                        <w:pPr>
                          <w:pStyle w:val="TableParagraph"/>
                          <w:rPr>
                            <w:sz w:val="22"/>
                          </w:rPr>
                        </w:pPr>
                        <w:r>
                          <w:rPr>
                            <w:rFonts w:ascii="Cambria"/>
                            <w:sz w:val="22"/>
                          </w:rPr>
                          <w:t>formatting </w:t>
                        </w:r>
                        <w:r>
                          <w:rPr>
                            <w:sz w:val="22"/>
                          </w:rPr>
                          <w:t>(Formatting)</w:t>
                        </w:r>
                      </w:p>
                    </w:tc>
                    <w:tc>
                      <w:tcPr>
                        <w:tcW w:w="5156" w:type="dxa"/>
                      </w:tcPr>
                      <w:p>
                        <w:pPr>
                          <w:pStyle w:val="TableParagraph"/>
                          <w:rPr>
                            <w:sz w:val="22"/>
                          </w:rPr>
                        </w:pPr>
                        <w:r>
                          <w:rPr>
                            <w:sz w:val="22"/>
                          </w:rPr>
                          <w:t>Indicates the PivotTable has formatting.</w:t>
                        </w:r>
                      </w:p>
                    </w:tc>
                  </w:tr>
                  <w:tr>
                    <w:trPr>
                      <w:trHeight w:val="354" w:hRule="atLeast"/>
                    </w:trPr>
                    <w:tc>
                      <w:tcPr>
                        <w:tcW w:w="5156" w:type="dxa"/>
                      </w:tcPr>
                      <w:p>
                        <w:pPr>
                          <w:pStyle w:val="TableParagraph"/>
                          <w:rPr>
                            <w:sz w:val="22"/>
                          </w:rPr>
                        </w:pPr>
                        <w:r>
                          <w:rPr>
                            <w:rFonts w:ascii="Cambria"/>
                            <w:sz w:val="22"/>
                          </w:rPr>
                          <w:t>formula </w:t>
                        </w:r>
                        <w:r>
                          <w:rPr>
                            <w:sz w:val="22"/>
                          </w:rPr>
                          <w:t>(Formula Type)</w:t>
                        </w:r>
                      </w:p>
                    </w:tc>
                    <w:tc>
                      <w:tcPr>
                        <w:tcW w:w="5156" w:type="dxa"/>
                      </w:tcPr>
                      <w:p>
                        <w:pPr>
                          <w:pStyle w:val="TableParagraph"/>
                          <w:rPr>
                            <w:sz w:val="22"/>
                          </w:rPr>
                        </w:pPr>
                        <w:r>
                          <w:rPr>
                            <w:sz w:val="22"/>
                          </w:rPr>
                          <w:t>Indicates the PivotTable has formulas.</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8"/>
        </w:rPr>
      </w:pPr>
    </w:p>
    <w:p>
      <w:pPr>
        <w:pStyle w:val="BodyText"/>
        <w:ind w:left="220"/>
      </w:pPr>
      <w:r>
        <w:rPr/>
        <w:t>[</w:t>
      </w:r>
      <w:r>
        <w:rPr>
          <w:i/>
        </w:rPr>
        <w:t>Note</w:t>
      </w:r>
      <w:r>
        <w:rPr/>
        <w:t>: The W3C XML Schema definition of this simple type’s content model (</w:t>
      </w:r>
      <w:r>
        <w:rPr>
          <w:color w:val="5F5F5F"/>
          <w:u w:val="single" w:color="5F5F5F"/>
        </w:rPr>
        <w:t>ST_FormatAction</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35 ST_Formula (Formula)" w:id="2570"/>
      <w:bookmarkEnd w:id="2570"/>
      <w:r>
        <w:rPr>
          <w:b w:val="0"/>
        </w:rPr>
      </w:r>
      <w:bookmarkStart w:name="_bookmark857" w:id="2571"/>
      <w:bookmarkEnd w:id="2571"/>
      <w:r>
        <w:rPr>
          <w:b w:val="0"/>
        </w:rPr>
      </w:r>
      <w:bookmarkStart w:name="_bookmark857" w:id="2572"/>
      <w:bookmarkEnd w:id="2572"/>
      <w:r>
        <w:rPr>
          <w:color w:val="4F81BC"/>
        </w:rPr>
        <w:t>S</w:t>
      </w:r>
      <w:r>
        <w:rPr>
          <w:color w:val="4F81BC"/>
        </w:rPr>
        <w:t>T_Formula (Formula)</w:t>
      </w:r>
    </w:p>
    <w:p>
      <w:pPr>
        <w:pStyle w:val="BodyText"/>
        <w:spacing w:before="125"/>
        <w:ind w:left="220"/>
      </w:pPr>
      <w:r>
        <w:rPr/>
        <w:t>A formula</w:t>
      </w:r>
    </w:p>
    <w:p>
      <w:pPr>
        <w:pStyle w:val="BodyText"/>
        <w:spacing w:before="8"/>
        <w:rPr>
          <w:sz w:val="19"/>
        </w:rPr>
      </w:pPr>
    </w:p>
    <w:p>
      <w:pPr>
        <w:pStyle w:val="BodyText"/>
        <w:ind w:left="220"/>
      </w:pPr>
      <w:r>
        <w:rPr/>
        <w:t>This simple type's contents are a restriction of the ST_Xstring datatype (§22.9.2.19).</w:t>
      </w:r>
    </w:p>
    <w:p>
      <w:pPr>
        <w:pStyle w:val="BodyText"/>
        <w:spacing w:before="8"/>
        <w:rPr>
          <w:sz w:val="19"/>
        </w:rPr>
      </w:pPr>
    </w:p>
    <w:p>
      <w:pPr>
        <w:pStyle w:val="BodyText"/>
        <w:spacing w:line="276" w:lineRule="auto"/>
        <w:ind w:left="220" w:right="468"/>
      </w:pPr>
      <w:r>
        <w:rPr/>
        <w:t>[</w:t>
      </w:r>
      <w:r>
        <w:rPr>
          <w:i/>
        </w:rPr>
        <w:t>Note</w:t>
      </w:r>
      <w:r>
        <w:rPr/>
        <w:t>: The W3C XML Schema definition of this simple type’s content model (</w:t>
      </w:r>
      <w:r>
        <w:rPr>
          <w:color w:val="5F5F5F"/>
          <w:u w:val="single" w:color="5F5F5F"/>
        </w:rPr>
        <w:t>ST_Formula</w:t>
      </w:r>
      <w:r>
        <w:rPr/>
        <w:t>) is located in §A.2. </w:t>
      </w:r>
      <w:r>
        <w:rPr>
          <w:i/>
        </w:rPr>
        <w:t>end </w:t>
      </w:r>
      <w:r>
        <w:rPr>
          <w:i/>
        </w:rPr>
        <w:t>note</w:t>
      </w:r>
      <w:r>
        <w:rPr/>
        <w:t>]</w:t>
      </w:r>
    </w:p>
    <w:p>
      <w:pPr>
        <w:spacing w:after="0" w:line="276" w:lineRule="auto"/>
        <w:sectPr>
          <w:pgSz w:w="12240" w:h="15840"/>
          <w:pgMar w:header="763" w:footer="746" w:top="1340" w:bottom="940" w:left="860" w:right="700"/>
        </w:sectPr>
      </w:pPr>
    </w:p>
    <w:p>
      <w:pPr>
        <w:pStyle w:val="Heading2"/>
        <w:numPr>
          <w:ilvl w:val="2"/>
          <w:numId w:val="17"/>
        </w:numPr>
        <w:tabs>
          <w:tab w:pos="1445" w:val="left" w:leader="none"/>
        </w:tabs>
        <w:spacing w:line="240" w:lineRule="auto" w:before="93" w:after="0"/>
        <w:ind w:left="1444" w:right="0" w:hanging="1225"/>
        <w:jc w:val="left"/>
      </w:pPr>
      <w:bookmarkStart w:name="18.18.36 ST_FormulaExpression (Formula E" w:id="2573"/>
      <w:bookmarkEnd w:id="2573"/>
      <w:r>
        <w:rPr>
          <w:b w:val="0"/>
        </w:rPr>
      </w:r>
      <w:bookmarkStart w:name="_bookmark858" w:id="2574"/>
      <w:bookmarkEnd w:id="2574"/>
      <w:r>
        <w:rPr>
          <w:b w:val="0"/>
        </w:rPr>
      </w:r>
      <w:bookmarkStart w:name="_bookmark858" w:id="2575"/>
      <w:bookmarkEnd w:id="2575"/>
      <w:r>
        <w:rPr>
          <w:color w:val="4F81BC"/>
        </w:rPr>
        <w:t>S</w:t>
      </w:r>
      <w:r>
        <w:rPr>
          <w:color w:val="4F81BC"/>
        </w:rPr>
        <w:t>T_FormulaExpression (Formula Expression</w:t>
      </w:r>
      <w:r>
        <w:rPr>
          <w:color w:val="4F81BC"/>
          <w:spacing w:val="-1"/>
        </w:rPr>
        <w:t> </w:t>
      </w:r>
      <w:r>
        <w:rPr>
          <w:color w:val="4F81BC"/>
        </w:rPr>
        <w:t>Type)</w:t>
      </w:r>
    </w:p>
    <w:p>
      <w:pPr>
        <w:pStyle w:val="BodyText"/>
        <w:spacing w:before="125"/>
        <w:ind w:left="220"/>
      </w:pPr>
      <w:r>
        <w:rPr/>
        <w:t>This simple type specifies an expression type that can comprise a formula.</w:t>
      </w:r>
    </w:p>
    <w:p>
      <w:pPr>
        <w:pStyle w:val="BodyText"/>
        <w:spacing w:before="8"/>
        <w:rPr>
          <w:sz w:val="19"/>
        </w:rPr>
      </w:pPr>
    </w:p>
    <w:p>
      <w:pPr>
        <w:pStyle w:val="BodyText"/>
        <w:spacing w:line="489" w:lineRule="auto"/>
        <w:ind w:left="220" w:right="2804"/>
      </w:pPr>
      <w:r>
        <w:rPr/>
        <w:pict>
          <v:shape style="position:absolute;margin-left:48pt;margin-top:42.993629pt;width:516.35pt;height:123.3pt;mso-position-horizontal-relative:page;mso-position-vertical-relative:paragraph;z-index:2519142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area </w:t>
                        </w:r>
                        <w:r>
                          <w:rPr>
                            <w:sz w:val="22"/>
                          </w:rPr>
                          <w:t>(Area)</w:t>
                        </w:r>
                      </w:p>
                    </w:tc>
                    <w:tc>
                      <w:tcPr>
                        <w:tcW w:w="5156" w:type="dxa"/>
                      </w:tcPr>
                      <w:p>
                        <w:pPr>
                          <w:pStyle w:val="TableParagraph"/>
                          <w:rPr>
                            <w:sz w:val="22"/>
                          </w:rPr>
                        </w:pPr>
                        <w:r>
                          <w:rPr>
                            <w:sz w:val="22"/>
                          </w:rPr>
                          <w:t>Reference to a range of cells.</w:t>
                        </w:r>
                      </w:p>
                    </w:tc>
                  </w:tr>
                  <w:tr>
                    <w:trPr>
                      <w:trHeight w:val="621" w:hRule="atLeast"/>
                    </w:trPr>
                    <w:tc>
                      <w:tcPr>
                        <w:tcW w:w="5156" w:type="dxa"/>
                      </w:tcPr>
                      <w:p>
                        <w:pPr>
                          <w:pStyle w:val="TableParagraph"/>
                          <w:rPr>
                            <w:sz w:val="22"/>
                          </w:rPr>
                        </w:pPr>
                        <w:r>
                          <w:rPr>
                            <w:rFonts w:ascii="Cambria"/>
                            <w:sz w:val="22"/>
                          </w:rPr>
                          <w:t>areaError </w:t>
                        </w:r>
                        <w:r>
                          <w:rPr>
                            <w:sz w:val="22"/>
                          </w:rPr>
                          <w:t>(Area Error)</w:t>
                        </w:r>
                      </w:p>
                    </w:tc>
                    <w:tc>
                      <w:tcPr>
                        <w:tcW w:w="5156" w:type="dxa"/>
                      </w:tcPr>
                      <w:p>
                        <w:pPr>
                          <w:pStyle w:val="TableParagraph"/>
                          <w:ind w:right="202"/>
                          <w:rPr>
                            <w:sz w:val="22"/>
                          </w:rPr>
                        </w:pPr>
                        <w:r>
                          <w:rPr>
                            <w:sz w:val="22"/>
                          </w:rPr>
                          <w:t>Reference to a range of cells that now evaluates to an error.</w:t>
                        </w:r>
                      </w:p>
                    </w:tc>
                  </w:tr>
                  <w:tr>
                    <w:trPr>
                      <w:trHeight w:val="354" w:hRule="atLeast"/>
                    </w:trPr>
                    <w:tc>
                      <w:tcPr>
                        <w:tcW w:w="5156" w:type="dxa"/>
                      </w:tcPr>
                      <w:p>
                        <w:pPr>
                          <w:pStyle w:val="TableParagraph"/>
                          <w:rPr>
                            <w:sz w:val="22"/>
                          </w:rPr>
                        </w:pPr>
                        <w:r>
                          <w:rPr>
                            <w:rFonts w:ascii="Cambria"/>
                            <w:sz w:val="22"/>
                          </w:rPr>
                          <w:t>computedArea </w:t>
                        </w:r>
                        <w:r>
                          <w:rPr>
                            <w:sz w:val="22"/>
                          </w:rPr>
                          <w:t>(Computed Area)</w:t>
                        </w:r>
                      </w:p>
                    </w:tc>
                    <w:tc>
                      <w:tcPr>
                        <w:tcW w:w="5156" w:type="dxa"/>
                      </w:tcPr>
                      <w:p>
                        <w:pPr>
                          <w:pStyle w:val="TableParagraph"/>
                          <w:rPr>
                            <w:sz w:val="22"/>
                          </w:rPr>
                        </w:pPr>
                        <w:r>
                          <w:rPr>
                            <w:sz w:val="22"/>
                          </w:rPr>
                          <w:t>Computed area reference.</w:t>
                        </w:r>
                      </w:p>
                    </w:tc>
                  </w:tr>
                  <w:tr>
                    <w:trPr>
                      <w:trHeight w:val="355" w:hRule="atLeast"/>
                    </w:trPr>
                    <w:tc>
                      <w:tcPr>
                        <w:tcW w:w="5156" w:type="dxa"/>
                      </w:tcPr>
                      <w:p>
                        <w:pPr>
                          <w:pStyle w:val="TableParagraph"/>
                          <w:rPr>
                            <w:sz w:val="22"/>
                          </w:rPr>
                        </w:pPr>
                        <w:r>
                          <w:rPr>
                            <w:rFonts w:ascii="Cambria"/>
                            <w:sz w:val="22"/>
                          </w:rPr>
                          <w:t>ref </w:t>
                        </w:r>
                        <w:r>
                          <w:rPr>
                            <w:sz w:val="22"/>
                          </w:rPr>
                          <w:t>(Reference)</w:t>
                        </w:r>
                      </w:p>
                    </w:tc>
                    <w:tc>
                      <w:tcPr>
                        <w:tcW w:w="5156" w:type="dxa"/>
                      </w:tcPr>
                      <w:p>
                        <w:pPr>
                          <w:pStyle w:val="TableParagraph"/>
                          <w:rPr>
                            <w:sz w:val="22"/>
                          </w:rPr>
                        </w:pPr>
                        <w:r>
                          <w:rPr>
                            <w:sz w:val="22"/>
                          </w:rPr>
                          <w:t>Single cell reference.</w:t>
                        </w:r>
                      </w:p>
                    </w:tc>
                  </w:tr>
                  <w:tr>
                    <w:trPr>
                      <w:trHeight w:val="354" w:hRule="atLeast"/>
                    </w:trPr>
                    <w:tc>
                      <w:tcPr>
                        <w:tcW w:w="5156" w:type="dxa"/>
                      </w:tcPr>
                      <w:p>
                        <w:pPr>
                          <w:pStyle w:val="TableParagraph"/>
                          <w:rPr>
                            <w:sz w:val="22"/>
                          </w:rPr>
                        </w:pPr>
                        <w:r>
                          <w:rPr>
                            <w:rFonts w:ascii="Cambria"/>
                            <w:sz w:val="22"/>
                          </w:rPr>
                          <w:t>refError </w:t>
                        </w:r>
                        <w:r>
                          <w:rPr>
                            <w:sz w:val="22"/>
                          </w:rPr>
                          <w:t>(Reference Is Error)</w:t>
                        </w:r>
                      </w:p>
                    </w:tc>
                    <w:tc>
                      <w:tcPr>
                        <w:tcW w:w="5156" w:type="dxa"/>
                      </w:tcPr>
                      <w:p>
                        <w:pPr>
                          <w:pStyle w:val="TableParagraph"/>
                          <w:rPr>
                            <w:sz w:val="22"/>
                          </w:rPr>
                        </w:pPr>
                        <w:r>
                          <w:rPr>
                            <w:sz w:val="22"/>
                          </w:rPr>
                          <w:t>Single cell reference that now evaluates to an error.</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6"/>
        </w:rPr>
      </w:pPr>
    </w:p>
    <w:p>
      <w:pPr>
        <w:pStyle w:val="BodyText"/>
        <w:ind w:left="220"/>
      </w:pPr>
      <w:r>
        <w:rPr/>
        <w:t>[</w:t>
      </w:r>
      <w:r>
        <w:rPr>
          <w:i/>
        </w:rPr>
        <w:t>Note</w:t>
      </w:r>
      <w:r>
        <w:rPr/>
        <w:t>: The W3C XML Schema definition of this simple type’s content model (</w:t>
      </w:r>
      <w:r>
        <w:rPr>
          <w:color w:val="5F5F5F"/>
          <w:u w:val="single" w:color="5F5F5F"/>
        </w:rPr>
        <w:t>ST_FormulaExpression</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37 ST_GradientType (Gradient Type)" w:id="2576"/>
      <w:bookmarkEnd w:id="2576"/>
      <w:r>
        <w:rPr>
          <w:b w:val="0"/>
        </w:rPr>
      </w:r>
      <w:bookmarkStart w:name="_bookmark859" w:id="2577"/>
      <w:bookmarkEnd w:id="2577"/>
      <w:r>
        <w:rPr>
          <w:b w:val="0"/>
        </w:rPr>
      </w:r>
      <w:bookmarkStart w:name="_bookmark859" w:id="2578"/>
      <w:bookmarkEnd w:id="2578"/>
      <w:r>
        <w:rPr>
          <w:color w:val="4F81BC"/>
        </w:rPr>
        <w:t>S</w:t>
      </w:r>
      <w:r>
        <w:rPr>
          <w:color w:val="4F81BC"/>
        </w:rPr>
        <w:t>T_GradientType (Gradient</w:t>
      </w:r>
      <w:r>
        <w:rPr>
          <w:color w:val="4F81BC"/>
          <w:spacing w:val="-2"/>
        </w:rPr>
        <w:t> </w:t>
      </w:r>
      <w:r>
        <w:rPr>
          <w:color w:val="4F81BC"/>
        </w:rPr>
        <w:t>Type)</w:t>
      </w:r>
    </w:p>
    <w:p>
      <w:pPr>
        <w:pStyle w:val="BodyText"/>
        <w:spacing w:before="124"/>
        <w:ind w:left="220"/>
      </w:pPr>
      <w:r>
        <w:rPr/>
        <w:t>Type of gradient fill being used, either linear or path.</w:t>
      </w:r>
    </w:p>
    <w:p>
      <w:pPr>
        <w:pStyle w:val="BodyText"/>
        <w:spacing w:before="8"/>
        <w:rPr>
          <w:sz w:val="19"/>
        </w:rPr>
      </w:pPr>
    </w:p>
    <w:p>
      <w:pPr>
        <w:pStyle w:val="BodyText"/>
        <w:spacing w:line="489" w:lineRule="auto"/>
        <w:ind w:left="220" w:right="2804"/>
      </w:pPr>
      <w:r>
        <w:rPr/>
        <w:pict>
          <v:shape style="position:absolute;margin-left:48pt;margin-top:43.013607pt;width:516.35pt;height:149.2pt;mso-position-horizontal-relative:page;mso-position-vertical-relative:paragraph;z-index:2519152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158" w:hRule="atLeast"/>
                    </w:trPr>
                    <w:tc>
                      <w:tcPr>
                        <w:tcW w:w="5156" w:type="dxa"/>
                      </w:tcPr>
                      <w:p>
                        <w:pPr>
                          <w:pStyle w:val="TableParagraph"/>
                          <w:rPr>
                            <w:sz w:val="22"/>
                          </w:rPr>
                        </w:pPr>
                        <w:r>
                          <w:rPr>
                            <w:rFonts w:ascii="Cambria"/>
                            <w:sz w:val="22"/>
                          </w:rPr>
                          <w:t>linear </w:t>
                        </w:r>
                        <w:r>
                          <w:rPr>
                            <w:sz w:val="22"/>
                          </w:rPr>
                          <w:t>(Linear Gradient)</w:t>
                        </w:r>
                      </w:p>
                    </w:tc>
                    <w:tc>
                      <w:tcPr>
                        <w:tcW w:w="5156" w:type="dxa"/>
                      </w:tcPr>
                      <w:p>
                        <w:pPr>
                          <w:pStyle w:val="TableParagraph"/>
                          <w:ind w:right="112"/>
                          <w:rPr>
                            <w:sz w:val="22"/>
                          </w:rPr>
                        </w:pPr>
                        <w:r>
                          <w:rPr>
                            <w:sz w:val="22"/>
                          </w:rPr>
                          <w:t>This gradient fill is of linear gradient type. Linear gradient type means that the transition from one color to the next is along a line (e.g., horizontal, vertical, diagonal, etc.).</w:t>
                        </w:r>
                      </w:p>
                    </w:tc>
                  </w:tr>
                  <w:tr>
                    <w:trPr>
                      <w:trHeight w:val="1430" w:hRule="atLeast"/>
                    </w:trPr>
                    <w:tc>
                      <w:tcPr>
                        <w:tcW w:w="5156" w:type="dxa"/>
                      </w:tcPr>
                      <w:p>
                        <w:pPr>
                          <w:pStyle w:val="TableParagraph"/>
                          <w:rPr>
                            <w:sz w:val="22"/>
                          </w:rPr>
                        </w:pPr>
                        <w:r>
                          <w:rPr>
                            <w:rFonts w:ascii="Cambria"/>
                            <w:sz w:val="22"/>
                          </w:rPr>
                          <w:t>path </w:t>
                        </w:r>
                        <w:r>
                          <w:rPr>
                            <w:sz w:val="22"/>
                          </w:rPr>
                          <w:t>(Path)</w:t>
                        </w:r>
                      </w:p>
                    </w:tc>
                    <w:tc>
                      <w:tcPr>
                        <w:tcW w:w="5156" w:type="dxa"/>
                      </w:tcPr>
                      <w:p>
                        <w:pPr>
                          <w:pStyle w:val="TableParagraph"/>
                          <w:ind w:right="142"/>
                          <w:rPr>
                            <w:sz w:val="22"/>
                          </w:rPr>
                        </w:pPr>
                        <w:r>
                          <w:rPr>
                            <w:sz w:val="22"/>
                          </w:rPr>
                          <w:t>This gradient fill is of path gradient type. Path gradient type means the that the boundary of transition from one color to the next is a rectangle, defined by </w:t>
                        </w:r>
                        <w:r>
                          <w:rPr>
                            <w:rFonts w:ascii="Cambria"/>
                            <w:sz w:val="22"/>
                          </w:rPr>
                          <w:t>top</w:t>
                        </w:r>
                        <w:r>
                          <w:rPr>
                            <w:sz w:val="22"/>
                          </w:rPr>
                          <w:t>, </w:t>
                        </w:r>
                        <w:r>
                          <w:rPr>
                            <w:rFonts w:ascii="Cambria"/>
                            <w:sz w:val="22"/>
                          </w:rPr>
                          <w:t>bottom</w:t>
                        </w:r>
                        <w:r>
                          <w:rPr>
                            <w:sz w:val="22"/>
                          </w:rPr>
                          <w:t>, </w:t>
                        </w:r>
                        <w:r>
                          <w:rPr>
                            <w:rFonts w:ascii="Cambria"/>
                            <w:sz w:val="22"/>
                          </w:rPr>
                          <w:t>left</w:t>
                        </w:r>
                        <w:r>
                          <w:rPr>
                            <w:sz w:val="22"/>
                          </w:rPr>
                          <w:t>, and </w:t>
                        </w:r>
                        <w:r>
                          <w:rPr>
                            <w:rFonts w:ascii="Cambria"/>
                            <w:sz w:val="22"/>
                          </w:rPr>
                          <w:t>right </w:t>
                        </w:r>
                        <w:r>
                          <w:rPr>
                            <w:sz w:val="22"/>
                          </w:rPr>
                          <w:t>attributes on the </w:t>
                        </w:r>
                        <w:r>
                          <w:rPr>
                            <w:rFonts w:ascii="Cambria"/>
                            <w:sz w:val="22"/>
                          </w:rPr>
                          <w:t>gradientFill </w:t>
                        </w:r>
                        <w:r>
                          <w:rPr>
                            <w:sz w:val="22"/>
                          </w:rPr>
                          <w:t>element.</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4"/>
        </w:rPr>
      </w:pPr>
    </w:p>
    <w:p>
      <w:pPr>
        <w:pStyle w:val="BodyText"/>
        <w:ind w:left="220"/>
      </w:pPr>
      <w:r>
        <w:rPr/>
        <w:t>[</w:t>
      </w:r>
      <w:r>
        <w:rPr>
          <w:i/>
        </w:rPr>
        <w:t>Note</w:t>
      </w:r>
      <w:r>
        <w:rPr/>
        <w:t>: The W3C XML Schema definition of this simple type’s content model (</w:t>
      </w:r>
      <w:r>
        <w:rPr>
          <w:color w:val="5F5F5F"/>
          <w:u w:val="single" w:color="5F5F5F"/>
        </w:rPr>
        <w:t>ST_GradientType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38 ST_GroupBy (Values Group By)" w:id="2579"/>
      <w:bookmarkEnd w:id="2579"/>
      <w:r>
        <w:rPr>
          <w:b w:val="0"/>
        </w:rPr>
      </w:r>
      <w:bookmarkStart w:name="_bookmark860" w:id="2580"/>
      <w:bookmarkEnd w:id="2580"/>
      <w:r>
        <w:rPr>
          <w:b w:val="0"/>
        </w:rPr>
      </w:r>
      <w:bookmarkStart w:name="_bookmark860" w:id="2581"/>
      <w:bookmarkEnd w:id="2581"/>
      <w:r>
        <w:rPr>
          <w:color w:val="4F81BC"/>
        </w:rPr>
        <w:t>S</w:t>
      </w:r>
      <w:r>
        <w:rPr>
          <w:color w:val="4F81BC"/>
        </w:rPr>
        <w:t>T_GroupBy (Values Group</w:t>
      </w:r>
      <w:r>
        <w:rPr>
          <w:color w:val="4F81BC"/>
          <w:spacing w:val="-3"/>
        </w:rPr>
        <w:t> </w:t>
      </w:r>
      <w:r>
        <w:rPr>
          <w:color w:val="4F81BC"/>
        </w:rPr>
        <w:t>By)</w:t>
      </w:r>
    </w:p>
    <w:p>
      <w:pPr>
        <w:pStyle w:val="BodyText"/>
        <w:spacing w:line="453" w:lineRule="auto" w:before="124"/>
        <w:ind w:left="220" w:right="2676"/>
      </w:pPr>
      <w:r>
        <w:rPr/>
        <w:t>This simple type defines types of data grouping that can be performed on a PivotTable. This simple type's contents are a restriction of the W3C XML Schema </w:t>
      </w:r>
      <w:r>
        <w:rPr>
          <w:rFonts w:ascii="Cambria"/>
        </w:rPr>
        <w:t>string </w:t>
      </w:r>
      <w:r>
        <w:rPr/>
        <w:t>datatype.</w:t>
      </w:r>
    </w:p>
    <w:p>
      <w:pPr>
        <w:spacing w:after="0" w:line="453" w:lineRule="auto"/>
        <w:sectPr>
          <w:pgSz w:w="12240" w:h="15840"/>
          <w:pgMar w:header="761" w:footer="746" w:top="1340" w:bottom="940" w:left="860" w:right="700"/>
        </w:sectPr>
      </w:pPr>
    </w:p>
    <w:p>
      <w:pPr>
        <w:pStyle w:val="BodyText"/>
        <w:spacing w:before="148"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2"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spacing w:before="42"/>
              <w:rPr>
                <w:sz w:val="22"/>
              </w:rPr>
            </w:pPr>
            <w:r>
              <w:rPr>
                <w:rFonts w:ascii="Cambria"/>
                <w:sz w:val="22"/>
              </w:rPr>
              <w:t>days </w:t>
            </w:r>
            <w:r>
              <w:rPr>
                <w:sz w:val="22"/>
              </w:rPr>
              <w:t>(Days)</w:t>
            </w:r>
          </w:p>
        </w:tc>
        <w:tc>
          <w:tcPr>
            <w:tcW w:w="5156" w:type="dxa"/>
          </w:tcPr>
          <w:p>
            <w:pPr>
              <w:pStyle w:val="TableParagraph"/>
              <w:spacing w:before="42"/>
              <w:rPr>
                <w:sz w:val="22"/>
              </w:rPr>
            </w:pPr>
            <w:r>
              <w:rPr>
                <w:sz w:val="22"/>
              </w:rPr>
              <w:t>Indicates a grouping on "days" for date values.</w:t>
            </w:r>
          </w:p>
        </w:tc>
      </w:tr>
      <w:tr>
        <w:trPr>
          <w:trHeight w:val="354" w:hRule="atLeast"/>
        </w:trPr>
        <w:tc>
          <w:tcPr>
            <w:tcW w:w="5156" w:type="dxa"/>
          </w:tcPr>
          <w:p>
            <w:pPr>
              <w:pStyle w:val="TableParagraph"/>
              <w:rPr>
                <w:sz w:val="22"/>
              </w:rPr>
            </w:pPr>
            <w:r>
              <w:rPr>
                <w:rFonts w:ascii="Cambria"/>
                <w:sz w:val="22"/>
              </w:rPr>
              <w:t>hours </w:t>
            </w:r>
            <w:r>
              <w:rPr>
                <w:sz w:val="22"/>
              </w:rPr>
              <w:t>(Hours)</w:t>
            </w:r>
          </w:p>
        </w:tc>
        <w:tc>
          <w:tcPr>
            <w:tcW w:w="5156" w:type="dxa"/>
          </w:tcPr>
          <w:p>
            <w:pPr>
              <w:pStyle w:val="TableParagraph"/>
              <w:rPr>
                <w:sz w:val="22"/>
              </w:rPr>
            </w:pPr>
            <w:r>
              <w:rPr>
                <w:sz w:val="22"/>
              </w:rPr>
              <w:t>Indicates a grouping on "hours" for date values.</w:t>
            </w:r>
          </w:p>
        </w:tc>
      </w:tr>
      <w:tr>
        <w:trPr>
          <w:trHeight w:val="354" w:hRule="atLeast"/>
        </w:trPr>
        <w:tc>
          <w:tcPr>
            <w:tcW w:w="5156" w:type="dxa"/>
          </w:tcPr>
          <w:p>
            <w:pPr>
              <w:pStyle w:val="TableParagraph"/>
              <w:rPr>
                <w:sz w:val="22"/>
              </w:rPr>
            </w:pPr>
            <w:r>
              <w:rPr>
                <w:rFonts w:ascii="Cambria"/>
                <w:sz w:val="22"/>
              </w:rPr>
              <w:t>minutes </w:t>
            </w:r>
            <w:r>
              <w:rPr>
                <w:sz w:val="22"/>
              </w:rPr>
              <w:t>(Minutes)</w:t>
            </w:r>
          </w:p>
        </w:tc>
        <w:tc>
          <w:tcPr>
            <w:tcW w:w="5156" w:type="dxa"/>
          </w:tcPr>
          <w:p>
            <w:pPr>
              <w:pStyle w:val="TableParagraph"/>
              <w:rPr>
                <w:sz w:val="22"/>
              </w:rPr>
            </w:pPr>
            <w:r>
              <w:rPr>
                <w:sz w:val="22"/>
              </w:rPr>
              <w:t>Indicates a grouping on "minutes" for date values.</w:t>
            </w:r>
          </w:p>
        </w:tc>
      </w:tr>
      <w:tr>
        <w:trPr>
          <w:trHeight w:val="354" w:hRule="atLeast"/>
        </w:trPr>
        <w:tc>
          <w:tcPr>
            <w:tcW w:w="5156" w:type="dxa"/>
          </w:tcPr>
          <w:p>
            <w:pPr>
              <w:pStyle w:val="TableParagraph"/>
              <w:rPr>
                <w:sz w:val="22"/>
              </w:rPr>
            </w:pPr>
            <w:r>
              <w:rPr>
                <w:rFonts w:ascii="Cambria"/>
                <w:sz w:val="22"/>
              </w:rPr>
              <w:t>months </w:t>
            </w:r>
            <w:r>
              <w:rPr>
                <w:sz w:val="22"/>
              </w:rPr>
              <w:t>(Months)</w:t>
            </w:r>
          </w:p>
        </w:tc>
        <w:tc>
          <w:tcPr>
            <w:tcW w:w="5156" w:type="dxa"/>
          </w:tcPr>
          <w:p>
            <w:pPr>
              <w:pStyle w:val="TableParagraph"/>
              <w:rPr>
                <w:sz w:val="22"/>
              </w:rPr>
            </w:pPr>
            <w:r>
              <w:rPr>
                <w:sz w:val="22"/>
              </w:rPr>
              <w:t>Indicates a grouping on "months" for date values.</w:t>
            </w:r>
          </w:p>
        </w:tc>
      </w:tr>
      <w:tr>
        <w:trPr>
          <w:trHeight w:val="354" w:hRule="atLeast"/>
        </w:trPr>
        <w:tc>
          <w:tcPr>
            <w:tcW w:w="5156" w:type="dxa"/>
          </w:tcPr>
          <w:p>
            <w:pPr>
              <w:pStyle w:val="TableParagraph"/>
              <w:rPr>
                <w:sz w:val="22"/>
              </w:rPr>
            </w:pPr>
            <w:r>
              <w:rPr>
                <w:rFonts w:ascii="Cambria"/>
                <w:sz w:val="22"/>
              </w:rPr>
              <w:t>quarters </w:t>
            </w:r>
            <w:r>
              <w:rPr>
                <w:sz w:val="22"/>
              </w:rPr>
              <w:t>(Quarters)</w:t>
            </w:r>
          </w:p>
        </w:tc>
        <w:tc>
          <w:tcPr>
            <w:tcW w:w="5156" w:type="dxa"/>
          </w:tcPr>
          <w:p>
            <w:pPr>
              <w:pStyle w:val="TableParagraph"/>
              <w:rPr>
                <w:sz w:val="22"/>
              </w:rPr>
            </w:pPr>
            <w:r>
              <w:rPr>
                <w:sz w:val="22"/>
              </w:rPr>
              <w:t>Indicates a grouping on "quarters" for date values.</w:t>
            </w:r>
          </w:p>
        </w:tc>
      </w:tr>
      <w:tr>
        <w:trPr>
          <w:trHeight w:val="623" w:hRule="atLeast"/>
        </w:trPr>
        <w:tc>
          <w:tcPr>
            <w:tcW w:w="5156" w:type="dxa"/>
          </w:tcPr>
          <w:p>
            <w:pPr>
              <w:pStyle w:val="TableParagraph"/>
              <w:rPr>
                <w:sz w:val="22"/>
              </w:rPr>
            </w:pPr>
            <w:r>
              <w:rPr>
                <w:rFonts w:ascii="Cambria"/>
                <w:sz w:val="22"/>
              </w:rPr>
              <w:t>range </w:t>
            </w:r>
            <w:r>
              <w:rPr>
                <w:sz w:val="22"/>
              </w:rPr>
              <w:t>(Group By Numeric Ranges)</w:t>
            </w:r>
          </w:p>
        </w:tc>
        <w:tc>
          <w:tcPr>
            <w:tcW w:w="5156" w:type="dxa"/>
          </w:tcPr>
          <w:p>
            <w:pPr>
              <w:pStyle w:val="TableParagraph"/>
              <w:ind w:right="410"/>
              <w:rPr>
                <w:sz w:val="22"/>
              </w:rPr>
            </w:pPr>
            <w:r>
              <w:rPr>
                <w:sz w:val="22"/>
              </w:rPr>
              <w:t>Indicates a grouping by numeric ranges for numeric values.</w:t>
            </w:r>
          </w:p>
        </w:tc>
      </w:tr>
      <w:tr>
        <w:trPr>
          <w:trHeight w:val="354" w:hRule="atLeast"/>
        </w:trPr>
        <w:tc>
          <w:tcPr>
            <w:tcW w:w="5156" w:type="dxa"/>
          </w:tcPr>
          <w:p>
            <w:pPr>
              <w:pStyle w:val="TableParagraph"/>
              <w:rPr>
                <w:sz w:val="22"/>
              </w:rPr>
            </w:pPr>
            <w:r>
              <w:rPr>
                <w:rFonts w:ascii="Cambria"/>
                <w:sz w:val="22"/>
              </w:rPr>
              <w:t>seconds </w:t>
            </w:r>
            <w:r>
              <w:rPr>
                <w:sz w:val="22"/>
              </w:rPr>
              <w:t>(Seconds)</w:t>
            </w:r>
          </w:p>
        </w:tc>
        <w:tc>
          <w:tcPr>
            <w:tcW w:w="5156" w:type="dxa"/>
          </w:tcPr>
          <w:p>
            <w:pPr>
              <w:pStyle w:val="TableParagraph"/>
              <w:rPr>
                <w:sz w:val="22"/>
              </w:rPr>
            </w:pPr>
            <w:r>
              <w:rPr>
                <w:sz w:val="22"/>
              </w:rPr>
              <w:t>Indicates a grouping on "seconds" for date values.</w:t>
            </w:r>
          </w:p>
        </w:tc>
      </w:tr>
      <w:tr>
        <w:trPr>
          <w:trHeight w:val="355" w:hRule="atLeast"/>
        </w:trPr>
        <w:tc>
          <w:tcPr>
            <w:tcW w:w="5156" w:type="dxa"/>
          </w:tcPr>
          <w:p>
            <w:pPr>
              <w:pStyle w:val="TableParagraph"/>
              <w:rPr>
                <w:sz w:val="22"/>
              </w:rPr>
            </w:pPr>
            <w:r>
              <w:rPr>
                <w:rFonts w:ascii="Cambria"/>
                <w:sz w:val="22"/>
              </w:rPr>
              <w:t>years </w:t>
            </w:r>
            <w:r>
              <w:rPr>
                <w:sz w:val="22"/>
              </w:rPr>
              <w:t>(Years)</w:t>
            </w:r>
          </w:p>
        </w:tc>
        <w:tc>
          <w:tcPr>
            <w:tcW w:w="5156" w:type="dxa"/>
          </w:tcPr>
          <w:p>
            <w:pPr>
              <w:pStyle w:val="TableParagraph"/>
              <w:rPr>
                <w:sz w:val="22"/>
              </w:rPr>
            </w:pPr>
            <w:r>
              <w:rPr>
                <w:sz w:val="22"/>
              </w:rPr>
              <w:t>Indicates a grouping on "years" for date values.</w:t>
            </w:r>
          </w:p>
        </w:tc>
      </w:tr>
    </w:tbl>
    <w:p>
      <w:pPr>
        <w:pStyle w:val="BodyText"/>
      </w:pPr>
    </w:p>
    <w:p>
      <w:pPr>
        <w:pStyle w:val="BodyText"/>
        <w:spacing w:before="5"/>
        <w:rPr>
          <w:sz w:val="19"/>
        </w:rPr>
      </w:pPr>
    </w:p>
    <w:p>
      <w:pPr>
        <w:pStyle w:val="BodyText"/>
        <w:spacing w:line="276" w:lineRule="auto"/>
        <w:ind w:left="220" w:right="427"/>
      </w:pPr>
      <w:r>
        <w:rPr/>
        <w:t>[</w:t>
      </w:r>
      <w:r>
        <w:rPr>
          <w:i/>
        </w:rPr>
        <w:t>Note</w:t>
      </w:r>
      <w:r>
        <w:rPr/>
        <w:t>: The W3C XML Schema definition of this simple type’s content model (</w:t>
      </w:r>
      <w:r>
        <w:rPr>
          <w:color w:val="5F5F5F"/>
          <w:u w:val="single" w:color="5F5F5F"/>
        </w:rPr>
        <w:t>ST_GroupBy</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39 ST_GrowShrinkType (Grow Shrink " w:id="2582"/>
      <w:bookmarkEnd w:id="2582"/>
      <w:r>
        <w:rPr>
          <w:b w:val="0"/>
        </w:rPr>
      </w:r>
      <w:bookmarkStart w:name="_bookmark861" w:id="2583"/>
      <w:bookmarkEnd w:id="2583"/>
      <w:r>
        <w:rPr>
          <w:b w:val="0"/>
        </w:rPr>
      </w:r>
      <w:bookmarkStart w:name="_bookmark861" w:id="2584"/>
      <w:bookmarkEnd w:id="2584"/>
      <w:r>
        <w:rPr>
          <w:color w:val="4F81BC"/>
        </w:rPr>
        <w:t>S</w:t>
      </w:r>
      <w:r>
        <w:rPr>
          <w:color w:val="4F81BC"/>
        </w:rPr>
        <w:t>T_GrowShrinkType (Grow Shrink</w:t>
      </w:r>
      <w:r>
        <w:rPr>
          <w:color w:val="4F81BC"/>
          <w:spacing w:val="4"/>
        </w:rPr>
        <w:t> </w:t>
      </w:r>
      <w:r>
        <w:rPr>
          <w:color w:val="4F81BC"/>
        </w:rPr>
        <w:t>Type)</w:t>
      </w:r>
    </w:p>
    <w:p>
      <w:pPr>
        <w:pStyle w:val="BodyText"/>
        <w:spacing w:line="472" w:lineRule="auto" w:before="127"/>
        <w:ind w:left="220" w:right="2817"/>
        <w:jc w:val="both"/>
      </w:pPr>
      <w:r>
        <w:rPr/>
        <w:pict>
          <v:shape style="position:absolute;margin-left:48pt;margin-top:74.663628pt;width:516.35pt;height:86.9pt;mso-position-horizontal-relative:page;mso-position-vertical-relative:paragraph;z-index:2519162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insertClear </w:t>
                        </w:r>
                        <w:r>
                          <w:rPr>
                            <w:sz w:val="22"/>
                          </w:rPr>
                          <w:t>(Insert &amp; Clear On Refresh)</w:t>
                        </w:r>
                      </w:p>
                    </w:tc>
                    <w:tc>
                      <w:tcPr>
                        <w:tcW w:w="5156" w:type="dxa"/>
                      </w:tcPr>
                      <w:p>
                        <w:pPr>
                          <w:pStyle w:val="TableParagraph"/>
                          <w:rPr>
                            <w:sz w:val="22"/>
                          </w:rPr>
                        </w:pPr>
                        <w:r>
                          <w:rPr>
                            <w:sz w:val="22"/>
                          </w:rPr>
                          <w:t>Insert entire rows for new data, clear unused cells.</w:t>
                        </w:r>
                      </w:p>
                    </w:tc>
                  </w:tr>
                  <w:tr>
                    <w:trPr>
                      <w:trHeight w:val="354" w:hRule="atLeast"/>
                    </w:trPr>
                    <w:tc>
                      <w:tcPr>
                        <w:tcW w:w="5156" w:type="dxa"/>
                      </w:tcPr>
                      <w:p>
                        <w:pPr>
                          <w:pStyle w:val="TableParagraph"/>
                          <w:rPr>
                            <w:sz w:val="22"/>
                          </w:rPr>
                        </w:pPr>
                        <w:r>
                          <w:rPr>
                            <w:rFonts w:ascii="Cambria"/>
                            <w:sz w:val="22"/>
                          </w:rPr>
                          <w:t>insertDelete </w:t>
                        </w:r>
                        <w:r>
                          <w:rPr>
                            <w:sz w:val="22"/>
                          </w:rPr>
                          <w:t>(Insert &amp; Delete On Refresh)</w:t>
                        </w:r>
                      </w:p>
                    </w:tc>
                    <w:tc>
                      <w:tcPr>
                        <w:tcW w:w="5156" w:type="dxa"/>
                      </w:tcPr>
                      <w:p>
                        <w:pPr>
                          <w:pStyle w:val="TableParagraph"/>
                          <w:rPr>
                            <w:sz w:val="22"/>
                          </w:rPr>
                        </w:pPr>
                        <w:r>
                          <w:rPr>
                            <w:sz w:val="22"/>
                          </w:rPr>
                          <w:t>Insert cells for new data, delete unused cells.</w:t>
                        </w:r>
                      </w:p>
                    </w:tc>
                  </w:tr>
                  <w:tr>
                    <w:trPr>
                      <w:trHeight w:val="623" w:hRule="atLeast"/>
                    </w:trPr>
                    <w:tc>
                      <w:tcPr>
                        <w:tcW w:w="5156" w:type="dxa"/>
                      </w:tcPr>
                      <w:p>
                        <w:pPr>
                          <w:pStyle w:val="TableParagraph"/>
                          <w:rPr>
                            <w:sz w:val="22"/>
                          </w:rPr>
                        </w:pPr>
                        <w:r>
                          <w:rPr>
                            <w:rFonts w:ascii="Cambria"/>
                            <w:sz w:val="22"/>
                          </w:rPr>
                          <w:t>overwriteClear </w:t>
                        </w:r>
                        <w:r>
                          <w:rPr>
                            <w:sz w:val="22"/>
                          </w:rPr>
                          <w:t>(Overwrite &amp; Clear On Refresh)</w:t>
                        </w:r>
                      </w:p>
                    </w:tc>
                    <w:tc>
                      <w:tcPr>
                        <w:tcW w:w="5156" w:type="dxa"/>
                      </w:tcPr>
                      <w:p>
                        <w:pPr>
                          <w:pStyle w:val="TableParagraph"/>
                          <w:ind w:right="362"/>
                          <w:rPr>
                            <w:sz w:val="22"/>
                          </w:rPr>
                        </w:pPr>
                        <w:r>
                          <w:rPr>
                            <w:sz w:val="22"/>
                          </w:rPr>
                          <w:t>Overwrite existing cells with new data, clear unused cells.</w:t>
                        </w:r>
                      </w:p>
                    </w:tc>
                  </w:tr>
                </w:tbl>
                <w:p>
                  <w:pPr>
                    <w:pStyle w:val="BodyText"/>
                  </w:pPr>
                </w:p>
              </w:txbxContent>
            </v:textbox>
            <w10:wrap type="none"/>
          </v:shape>
        </w:pict>
      </w:r>
      <w:r>
        <w:rPr/>
        <w:t>This type enumerates behavior patterns for refreshing external data in a query table. 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2"/>
        <w:ind w:left="220"/>
      </w:pPr>
      <w:r>
        <w:rPr/>
        <w:t>[</w:t>
      </w:r>
      <w:r>
        <w:rPr>
          <w:i/>
        </w:rPr>
        <w:t>Note</w:t>
      </w:r>
      <w:r>
        <w:rPr/>
        <w:t>: The W3C XML Schema definition of this simple type’s content model (</w:t>
      </w:r>
      <w:r>
        <w:rPr>
          <w:color w:val="5F5F5F"/>
          <w:u w:val="single" w:color="5F5F5F"/>
        </w:rPr>
        <w:t>ST_GrowShrinkType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40 ST_HorizontalAlignment (Horizon" w:id="2585"/>
      <w:bookmarkEnd w:id="2585"/>
      <w:r>
        <w:rPr>
          <w:b w:val="0"/>
        </w:rPr>
      </w:r>
      <w:bookmarkStart w:name="_bookmark862" w:id="2586"/>
      <w:bookmarkEnd w:id="2586"/>
      <w:r>
        <w:rPr>
          <w:b w:val="0"/>
        </w:rPr>
      </w:r>
      <w:bookmarkStart w:name="_bookmark862" w:id="2587"/>
      <w:bookmarkEnd w:id="2587"/>
      <w:r>
        <w:rPr>
          <w:color w:val="4F81BC"/>
        </w:rPr>
        <w:t>S</w:t>
      </w:r>
      <w:r>
        <w:rPr>
          <w:color w:val="4F81BC"/>
        </w:rPr>
        <w:t>T_HorizontalAlignment (Horizontal Alignment</w:t>
      </w:r>
      <w:r>
        <w:rPr>
          <w:color w:val="4F81BC"/>
          <w:spacing w:val="-4"/>
        </w:rPr>
        <w:t> </w:t>
      </w:r>
      <w:r>
        <w:rPr>
          <w:color w:val="4F81BC"/>
        </w:rPr>
        <w:t>Type)</w:t>
      </w:r>
    </w:p>
    <w:p>
      <w:pPr>
        <w:pStyle w:val="BodyText"/>
        <w:spacing w:line="276" w:lineRule="auto" w:before="122"/>
        <w:ind w:left="220" w:right="443"/>
      </w:pPr>
      <w:r>
        <w:rPr/>
        <w:t>The enumeration value indicating the portion of Cell Alignment in a cell format (XF) that is horizontal alignment, i.e., whether it is aligned general, left, right, horizontally centered, filled (replicated), justified, centered across multiple cells, or distributed.</w:t>
      </w:r>
    </w:p>
    <w:p>
      <w:pPr>
        <w:pStyle w:val="BodyText"/>
        <w:spacing w:before="6"/>
        <w:rPr>
          <w:sz w:val="16"/>
        </w:rPr>
      </w:pPr>
    </w:p>
    <w:p>
      <w:pPr>
        <w:pStyle w:val="BodyText"/>
        <w:ind w:left="220"/>
        <w:jc w:val="both"/>
      </w:pPr>
      <w:r>
        <w:rPr/>
        <w:t>This simple type's contents are a restriction of the W3C XML Schema </w:t>
      </w:r>
      <w:r>
        <w:rPr>
          <w:rFonts w:ascii="Cambria"/>
        </w:rPr>
        <w:t>string </w:t>
      </w:r>
      <w:r>
        <w:rPr/>
        <w:t>datatype.</w:t>
      </w:r>
    </w:p>
    <w:p>
      <w:pPr>
        <w:spacing w:after="0"/>
        <w:jc w:val="both"/>
        <w:sectPr>
          <w:pgSz w:w="12240" w:h="15840"/>
          <w:pgMar w:header="763" w:footer="746" w:top="1340" w:bottom="940" w:left="860" w:right="700"/>
        </w:sectPr>
      </w:pPr>
    </w:p>
    <w:p>
      <w:pPr>
        <w:pStyle w:val="BodyText"/>
        <w:spacing w:before="90"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1" w:hRule="atLeast"/>
        </w:trPr>
        <w:tc>
          <w:tcPr>
            <w:tcW w:w="5156" w:type="dxa"/>
          </w:tcPr>
          <w:p>
            <w:pPr>
              <w:pStyle w:val="TableParagraph"/>
              <w:rPr>
                <w:sz w:val="22"/>
              </w:rPr>
            </w:pPr>
            <w:r>
              <w:rPr>
                <w:rFonts w:ascii="Cambria"/>
                <w:sz w:val="22"/>
              </w:rPr>
              <w:t>center </w:t>
            </w:r>
            <w:r>
              <w:rPr>
                <w:sz w:val="22"/>
              </w:rPr>
              <w:t>(Centered Horizontal Alignment)</w:t>
            </w:r>
          </w:p>
        </w:tc>
        <w:tc>
          <w:tcPr>
            <w:tcW w:w="5156" w:type="dxa"/>
          </w:tcPr>
          <w:p>
            <w:pPr>
              <w:pStyle w:val="TableParagraph"/>
              <w:ind w:right="102"/>
              <w:rPr>
                <w:sz w:val="22"/>
              </w:rPr>
            </w:pPr>
            <w:r>
              <w:rPr>
                <w:sz w:val="22"/>
              </w:rPr>
              <w:t>The horizontal alignment is centered, meaning the text is centered across the cell.</w:t>
            </w:r>
          </w:p>
        </w:tc>
      </w:tr>
      <w:tr>
        <w:trPr>
          <w:trHeight w:val="2075" w:hRule="atLeast"/>
        </w:trPr>
        <w:tc>
          <w:tcPr>
            <w:tcW w:w="5156" w:type="dxa"/>
            <w:tcBorders>
              <w:bottom w:val="nil"/>
            </w:tcBorders>
          </w:tcPr>
          <w:p>
            <w:pPr>
              <w:pStyle w:val="TableParagraph"/>
              <w:ind w:right="568"/>
              <w:rPr>
                <w:sz w:val="22"/>
              </w:rPr>
            </w:pPr>
            <w:r>
              <w:rPr>
                <w:rFonts w:ascii="Cambria"/>
                <w:sz w:val="22"/>
              </w:rPr>
              <w:t>centerContinuous </w:t>
            </w:r>
            <w:r>
              <w:rPr>
                <w:sz w:val="22"/>
              </w:rPr>
              <w:t>(Center Continuous Horizontal Alignment)</w:t>
            </w:r>
          </w:p>
        </w:tc>
        <w:tc>
          <w:tcPr>
            <w:tcW w:w="5156" w:type="dxa"/>
            <w:tcBorders>
              <w:bottom w:val="nil"/>
            </w:tcBorders>
          </w:tcPr>
          <w:p>
            <w:pPr>
              <w:pStyle w:val="TableParagraph"/>
              <w:ind w:right="90"/>
              <w:rPr>
                <w:sz w:val="22"/>
              </w:rPr>
            </w:pPr>
            <w:r>
              <w:rPr>
                <w:sz w:val="22"/>
              </w:rPr>
              <w:t>The horizontal alignment is centered across multiple cells. The information about how many cells to span is expressed in the Sheet Part, in the row of the cell in question. For each cell that is spanned in the alignment, a cell element needs to be written out, with the same style Id which references the </w:t>
            </w:r>
            <w:r>
              <w:rPr>
                <w:rFonts w:ascii="Consolas"/>
                <w:sz w:val="20"/>
              </w:rPr>
              <w:t>centerContinuous</w:t>
            </w:r>
            <w:r>
              <w:rPr>
                <w:rFonts w:ascii="Consolas"/>
                <w:spacing w:val="-60"/>
                <w:sz w:val="20"/>
              </w:rPr>
              <w:t> </w:t>
            </w:r>
            <w:r>
              <w:rPr>
                <w:sz w:val="22"/>
              </w:rPr>
              <w:t>alignment.</w:t>
            </w:r>
          </w:p>
        </w:tc>
      </w:tr>
      <w:tr>
        <w:trPr>
          <w:trHeight w:val="784" w:hRule="atLeast"/>
        </w:trPr>
        <w:tc>
          <w:tcPr>
            <w:tcW w:w="5156" w:type="dxa"/>
            <w:tcBorders>
              <w:top w:val="nil"/>
              <w:bottom w:val="nil"/>
            </w:tcBorders>
          </w:tcPr>
          <w:p>
            <w:pPr>
              <w:pStyle w:val="TableParagraph"/>
              <w:spacing w:before="0"/>
              <w:ind w:left="0"/>
              <w:rPr>
                <w:rFonts w:ascii="Times New Roman"/>
                <w:sz w:val="22"/>
              </w:rPr>
            </w:pPr>
          </w:p>
        </w:tc>
        <w:tc>
          <w:tcPr>
            <w:tcW w:w="5156" w:type="dxa"/>
            <w:tcBorders>
              <w:top w:val="nil"/>
              <w:bottom w:val="nil"/>
            </w:tcBorders>
          </w:tcPr>
          <w:p>
            <w:pPr>
              <w:pStyle w:val="TableParagraph"/>
              <w:spacing w:before="114"/>
              <w:rPr>
                <w:sz w:val="22"/>
              </w:rPr>
            </w:pPr>
            <w:r>
              <w:rPr>
                <w:sz w:val="22"/>
              </w:rPr>
              <w:t>[</w:t>
            </w:r>
            <w:r>
              <w:rPr>
                <w:i/>
                <w:sz w:val="22"/>
              </w:rPr>
              <w:t>Example</w:t>
            </w:r>
            <w:r>
              <w:rPr>
                <w:sz w:val="22"/>
              </w:rPr>
              <w:t>:</w:t>
            </w:r>
          </w:p>
          <w:p>
            <w:pPr>
              <w:pStyle w:val="TableParagraph"/>
              <w:spacing w:before="1"/>
              <w:rPr>
                <w:sz w:val="22"/>
              </w:rPr>
            </w:pPr>
            <w:r>
              <w:rPr>
                <w:sz w:val="22"/>
              </w:rPr>
              <w:t>This shows the value of A1 centered across A1:C1:</w:t>
            </w:r>
          </w:p>
        </w:tc>
      </w:tr>
      <w:tr>
        <w:trPr>
          <w:trHeight w:val="1611" w:hRule="atLeast"/>
        </w:trPr>
        <w:tc>
          <w:tcPr>
            <w:tcW w:w="5156" w:type="dxa"/>
            <w:tcBorders>
              <w:top w:val="nil"/>
              <w:bottom w:val="nil"/>
            </w:tcBorders>
          </w:tcPr>
          <w:p>
            <w:pPr>
              <w:pStyle w:val="TableParagraph"/>
              <w:spacing w:before="0"/>
              <w:ind w:left="0"/>
              <w:rPr>
                <w:rFonts w:ascii="Times New Roman"/>
                <w:sz w:val="22"/>
              </w:rPr>
            </w:pPr>
          </w:p>
        </w:tc>
        <w:tc>
          <w:tcPr>
            <w:tcW w:w="5156" w:type="dxa"/>
            <w:tcBorders>
              <w:top w:val="nil"/>
              <w:bottom w:val="nil"/>
            </w:tcBorders>
          </w:tcPr>
          <w:p>
            <w:pPr>
              <w:pStyle w:val="TableParagraph"/>
              <w:spacing w:before="2"/>
              <w:ind w:left="0"/>
              <w:rPr>
                <w:sz w:val="11"/>
              </w:rPr>
            </w:pPr>
          </w:p>
          <w:p>
            <w:pPr>
              <w:pStyle w:val="TableParagraph"/>
              <w:spacing w:before="0"/>
              <w:ind w:left="143"/>
              <w:rPr>
                <w:sz w:val="20"/>
              </w:rPr>
            </w:pPr>
            <w:r>
              <w:rPr>
                <w:sz w:val="20"/>
              </w:rPr>
              <w:drawing>
                <wp:inline distT="0" distB="0" distL="0" distR="0">
                  <wp:extent cx="2153412" cy="838200"/>
                  <wp:effectExtent l="0" t="0" r="0" b="0"/>
                  <wp:docPr id="181" name="image89.png"/>
                  <wp:cNvGraphicFramePr>
                    <a:graphicFrameLocks noChangeAspect="1"/>
                  </wp:cNvGraphicFramePr>
                  <a:graphic>
                    <a:graphicData uri="http://schemas.openxmlformats.org/drawingml/2006/picture">
                      <pic:pic>
                        <pic:nvPicPr>
                          <pic:cNvPr id="182" name="image89.png"/>
                          <pic:cNvPicPr/>
                        </pic:nvPicPr>
                        <pic:blipFill>
                          <a:blip r:embed="rId305" cstate="print"/>
                          <a:stretch>
                            <a:fillRect/>
                          </a:stretch>
                        </pic:blipFill>
                        <pic:spPr>
                          <a:xfrm>
                            <a:off x="0" y="0"/>
                            <a:ext cx="2153412" cy="838200"/>
                          </a:xfrm>
                          <a:prstGeom prst="rect">
                            <a:avLst/>
                          </a:prstGeom>
                        </pic:spPr>
                      </pic:pic>
                    </a:graphicData>
                  </a:graphic>
                </wp:inline>
              </w:drawing>
            </w:r>
            <w:r>
              <w:rPr>
                <w:sz w:val="20"/>
              </w:rPr>
            </w:r>
          </w:p>
        </w:tc>
      </w:tr>
      <w:tr>
        <w:trPr>
          <w:trHeight w:val="532" w:hRule="atLeast"/>
        </w:trPr>
        <w:tc>
          <w:tcPr>
            <w:tcW w:w="5156" w:type="dxa"/>
            <w:tcBorders>
              <w:top w:val="nil"/>
              <w:bottom w:val="nil"/>
            </w:tcBorders>
          </w:tcPr>
          <w:p>
            <w:pPr>
              <w:pStyle w:val="TableParagraph"/>
              <w:spacing w:before="0"/>
              <w:ind w:left="0"/>
              <w:rPr>
                <w:rFonts w:ascii="Times New Roman"/>
                <w:sz w:val="22"/>
              </w:rPr>
            </w:pPr>
          </w:p>
        </w:tc>
        <w:tc>
          <w:tcPr>
            <w:tcW w:w="5156" w:type="dxa"/>
            <w:tcBorders>
              <w:top w:val="nil"/>
              <w:bottom w:val="nil"/>
            </w:tcBorders>
          </w:tcPr>
          <w:p>
            <w:pPr>
              <w:pStyle w:val="TableParagraph"/>
              <w:spacing w:before="111"/>
              <w:rPr>
                <w:sz w:val="22"/>
              </w:rPr>
            </w:pPr>
            <w:r>
              <w:rPr>
                <w:sz w:val="22"/>
              </w:rPr>
              <w:t>The XML from the Sheet Part:</w:t>
            </w:r>
          </w:p>
        </w:tc>
      </w:tr>
      <w:tr>
        <w:trPr>
          <w:trHeight w:val="2340" w:hRule="atLeast"/>
        </w:trPr>
        <w:tc>
          <w:tcPr>
            <w:tcW w:w="5156" w:type="dxa"/>
            <w:tcBorders>
              <w:top w:val="nil"/>
              <w:bottom w:val="nil"/>
            </w:tcBorders>
          </w:tcPr>
          <w:p>
            <w:pPr>
              <w:pStyle w:val="TableParagraph"/>
              <w:spacing w:before="0"/>
              <w:ind w:left="0"/>
              <w:rPr>
                <w:rFonts w:ascii="Times New Roman"/>
                <w:sz w:val="22"/>
              </w:rPr>
            </w:pPr>
          </w:p>
        </w:tc>
        <w:tc>
          <w:tcPr>
            <w:tcW w:w="5156" w:type="dxa"/>
            <w:tcBorders>
              <w:top w:val="nil"/>
              <w:bottom w:val="nil"/>
            </w:tcBorders>
          </w:tcPr>
          <w:p>
            <w:pPr>
              <w:pStyle w:val="TableParagraph"/>
              <w:spacing w:line="257" w:lineRule="exact" w:before="118"/>
              <w:ind w:left="403"/>
              <w:rPr>
                <w:rFonts w:ascii="Consolas"/>
                <w:sz w:val="22"/>
              </w:rPr>
            </w:pPr>
            <w:r>
              <w:rPr>
                <w:rFonts w:ascii="Consolas"/>
                <w:sz w:val="22"/>
              </w:rPr>
              <w:t>&lt;row r="1" spans="1:3"&gt;</w:t>
            </w:r>
          </w:p>
          <w:p>
            <w:pPr>
              <w:pStyle w:val="TableParagraph"/>
              <w:spacing w:line="257" w:lineRule="exact" w:before="0"/>
              <w:ind w:left="646"/>
              <w:rPr>
                <w:rFonts w:ascii="Consolas"/>
                <w:sz w:val="22"/>
              </w:rPr>
            </w:pPr>
            <w:r>
              <w:rPr>
                <w:rFonts w:ascii="Consolas"/>
                <w:sz w:val="22"/>
              </w:rPr>
              <w:t>&lt;c r="A1" s="1" t="s"&gt;</w:t>
            </w:r>
          </w:p>
          <w:p>
            <w:pPr>
              <w:pStyle w:val="TableParagraph"/>
              <w:spacing w:line="257" w:lineRule="exact" w:before="2"/>
              <w:ind w:left="888"/>
              <w:rPr>
                <w:rFonts w:ascii="Consolas"/>
                <w:sz w:val="22"/>
              </w:rPr>
            </w:pPr>
            <w:r>
              <w:rPr>
                <w:rFonts w:ascii="Consolas"/>
                <w:sz w:val="22"/>
              </w:rPr>
              <w:t>&lt;v&gt;0&lt;/v&gt;</w:t>
            </w:r>
          </w:p>
          <w:p>
            <w:pPr>
              <w:pStyle w:val="TableParagraph"/>
              <w:spacing w:line="257" w:lineRule="exact" w:before="0"/>
              <w:ind w:left="646"/>
              <w:rPr>
                <w:rFonts w:ascii="Consolas"/>
                <w:sz w:val="22"/>
              </w:rPr>
            </w:pPr>
            <w:r>
              <w:rPr>
                <w:rFonts w:ascii="Consolas"/>
                <w:sz w:val="22"/>
              </w:rPr>
              <w:t>&lt;/c&gt;</w:t>
            </w:r>
          </w:p>
          <w:p>
            <w:pPr>
              <w:pStyle w:val="TableParagraph"/>
              <w:spacing w:line="257" w:lineRule="exact" w:before="0"/>
              <w:ind w:left="646"/>
              <w:rPr>
                <w:rFonts w:ascii="Consolas"/>
                <w:sz w:val="22"/>
              </w:rPr>
            </w:pPr>
            <w:r>
              <w:rPr>
                <w:rFonts w:ascii="Consolas"/>
                <w:sz w:val="22"/>
              </w:rPr>
              <w:t>&lt;c r="B1"</w:t>
            </w:r>
            <w:r>
              <w:rPr>
                <w:rFonts w:ascii="Consolas"/>
                <w:spacing w:val="-10"/>
                <w:sz w:val="22"/>
              </w:rPr>
              <w:t> </w:t>
            </w:r>
            <w:r>
              <w:rPr>
                <w:rFonts w:ascii="Consolas"/>
                <w:sz w:val="22"/>
              </w:rPr>
              <w:t>s="1"/&gt;</w:t>
            </w:r>
          </w:p>
          <w:p>
            <w:pPr>
              <w:pStyle w:val="TableParagraph"/>
              <w:spacing w:line="257" w:lineRule="exact" w:before="1"/>
              <w:ind w:left="646"/>
              <w:rPr>
                <w:rFonts w:ascii="Consolas"/>
                <w:sz w:val="22"/>
              </w:rPr>
            </w:pPr>
            <w:r>
              <w:rPr>
                <w:rFonts w:ascii="Consolas"/>
                <w:sz w:val="22"/>
              </w:rPr>
              <w:t>&lt;c r="C1"</w:t>
            </w:r>
            <w:r>
              <w:rPr>
                <w:rFonts w:ascii="Consolas"/>
                <w:spacing w:val="-10"/>
                <w:sz w:val="22"/>
              </w:rPr>
              <w:t> </w:t>
            </w:r>
            <w:r>
              <w:rPr>
                <w:rFonts w:ascii="Consolas"/>
                <w:sz w:val="22"/>
              </w:rPr>
              <w:t>s="1"/&gt;</w:t>
            </w:r>
          </w:p>
          <w:p>
            <w:pPr>
              <w:pStyle w:val="TableParagraph"/>
              <w:spacing w:line="256" w:lineRule="exact" w:before="0"/>
              <w:ind w:left="403"/>
              <w:rPr>
                <w:rFonts w:ascii="Consolas"/>
                <w:sz w:val="22"/>
              </w:rPr>
            </w:pPr>
            <w:r>
              <w:rPr>
                <w:rFonts w:ascii="Consolas"/>
                <w:sz w:val="22"/>
              </w:rPr>
              <w:t>&lt;/row&gt;</w:t>
            </w:r>
          </w:p>
          <w:p>
            <w:pPr>
              <w:pStyle w:val="TableParagraph"/>
              <w:spacing w:line="267" w:lineRule="exact" w:before="0"/>
              <w:rPr>
                <w:sz w:val="22"/>
              </w:rPr>
            </w:pPr>
            <w:r>
              <w:rPr>
                <w:sz w:val="22"/>
              </w:rPr>
              <w:t>The XML from the Styles Part:</w:t>
            </w:r>
          </w:p>
        </w:tc>
      </w:tr>
      <w:tr>
        <w:trPr>
          <w:trHeight w:val="2850" w:hRule="atLeast"/>
        </w:trPr>
        <w:tc>
          <w:tcPr>
            <w:tcW w:w="5156" w:type="dxa"/>
            <w:tcBorders>
              <w:top w:val="nil"/>
              <w:bottom w:val="nil"/>
            </w:tcBorders>
          </w:tcPr>
          <w:p>
            <w:pPr>
              <w:pStyle w:val="TableParagraph"/>
              <w:spacing w:before="0"/>
              <w:ind w:left="0"/>
              <w:rPr>
                <w:rFonts w:ascii="Times New Roman"/>
                <w:sz w:val="22"/>
              </w:rPr>
            </w:pPr>
          </w:p>
        </w:tc>
        <w:tc>
          <w:tcPr>
            <w:tcW w:w="5156" w:type="dxa"/>
            <w:tcBorders>
              <w:top w:val="nil"/>
              <w:bottom w:val="nil"/>
            </w:tcBorders>
          </w:tcPr>
          <w:p>
            <w:pPr>
              <w:pStyle w:val="TableParagraph"/>
              <w:spacing w:line="257" w:lineRule="exact" w:before="118"/>
              <w:ind w:left="403"/>
              <w:rPr>
                <w:rFonts w:ascii="Consolas"/>
                <w:sz w:val="22"/>
              </w:rPr>
            </w:pPr>
            <w:r>
              <w:rPr>
                <w:rFonts w:ascii="Consolas"/>
                <w:sz w:val="22"/>
              </w:rPr>
              <w:t>&lt;cellXfs count="2"&gt;</w:t>
            </w:r>
          </w:p>
          <w:p>
            <w:pPr>
              <w:pStyle w:val="TableParagraph"/>
              <w:spacing w:before="0"/>
              <w:ind w:left="888" w:right="91" w:hanging="243"/>
              <w:rPr>
                <w:rFonts w:ascii="Consolas"/>
                <w:sz w:val="22"/>
              </w:rPr>
            </w:pPr>
            <w:r>
              <w:rPr>
                <w:rFonts w:ascii="Consolas"/>
                <w:sz w:val="22"/>
              </w:rPr>
              <w:t>&lt;xf numFmtId="0" fontId="0" fillId="0" borderId="0" xfId="0"/&gt;</w:t>
            </w:r>
          </w:p>
          <w:p>
            <w:pPr>
              <w:pStyle w:val="TableParagraph"/>
              <w:spacing w:before="1"/>
              <w:ind w:left="888" w:right="121" w:hanging="243"/>
              <w:rPr>
                <w:rFonts w:ascii="Consolas"/>
                <w:sz w:val="22"/>
              </w:rPr>
            </w:pPr>
            <w:r>
              <w:rPr>
                <w:rFonts w:ascii="Consolas"/>
                <w:sz w:val="22"/>
              </w:rPr>
              <w:t>&lt;xf numFmtId="0" fontId="0" fillId="0" borderId="0" xfId="0" applyAlignment="1"&gt;</w:t>
            </w:r>
          </w:p>
          <w:p>
            <w:pPr>
              <w:pStyle w:val="TableParagraph"/>
              <w:spacing w:before="0"/>
              <w:ind w:left="1130" w:hanging="243"/>
              <w:rPr>
                <w:rFonts w:ascii="Consolas"/>
                <w:sz w:val="22"/>
              </w:rPr>
            </w:pPr>
            <w:r>
              <w:rPr>
                <w:rFonts w:ascii="Consolas"/>
                <w:sz w:val="22"/>
              </w:rPr>
              <w:t>&lt;alignment horizontal="centerContinuous"/&gt;</w:t>
            </w:r>
          </w:p>
          <w:p>
            <w:pPr>
              <w:pStyle w:val="TableParagraph"/>
              <w:spacing w:line="257" w:lineRule="exact" w:before="1"/>
              <w:ind w:left="646"/>
              <w:rPr>
                <w:rFonts w:ascii="Consolas"/>
                <w:sz w:val="22"/>
              </w:rPr>
            </w:pPr>
            <w:r>
              <w:rPr>
                <w:rFonts w:ascii="Consolas"/>
                <w:sz w:val="22"/>
              </w:rPr>
              <w:t>&lt;/xf&gt;</w:t>
            </w:r>
          </w:p>
          <w:p>
            <w:pPr>
              <w:pStyle w:val="TableParagraph"/>
              <w:spacing w:line="257" w:lineRule="exact" w:before="0"/>
              <w:ind w:left="403"/>
              <w:rPr>
                <w:rFonts w:ascii="Consolas"/>
                <w:sz w:val="22"/>
              </w:rPr>
            </w:pPr>
            <w:r>
              <w:rPr>
                <w:rFonts w:ascii="Consolas"/>
                <w:sz w:val="22"/>
              </w:rPr>
              <w:t>&lt;/cellXfs&gt;</w:t>
            </w:r>
          </w:p>
        </w:tc>
      </w:tr>
      <w:tr>
        <w:trPr>
          <w:trHeight w:val="693" w:hRule="atLeast"/>
        </w:trPr>
        <w:tc>
          <w:tcPr>
            <w:tcW w:w="5156" w:type="dxa"/>
            <w:tcBorders>
              <w:top w:val="nil"/>
            </w:tcBorders>
          </w:tcPr>
          <w:p>
            <w:pPr>
              <w:pStyle w:val="TableParagraph"/>
              <w:spacing w:before="0"/>
              <w:ind w:left="0"/>
              <w:rPr>
                <w:rFonts w:ascii="Times New Roman"/>
                <w:sz w:val="22"/>
              </w:rPr>
            </w:pPr>
          </w:p>
        </w:tc>
        <w:tc>
          <w:tcPr>
            <w:tcW w:w="5156" w:type="dxa"/>
            <w:tcBorders>
              <w:top w:val="nil"/>
            </w:tcBorders>
          </w:tcPr>
          <w:p>
            <w:pPr>
              <w:pStyle w:val="TableParagraph"/>
              <w:spacing w:before="110"/>
              <w:rPr>
                <w:sz w:val="22"/>
              </w:rPr>
            </w:pPr>
            <w:r>
              <w:rPr>
                <w:i/>
                <w:sz w:val="22"/>
              </w:rPr>
              <w:t>end example</w:t>
            </w:r>
            <w:r>
              <w:rPr>
                <w:sz w:val="22"/>
              </w:rPr>
              <w:t>]</w:t>
            </w:r>
          </w:p>
        </w:tc>
      </w:tr>
      <w:tr>
        <w:trPr>
          <w:trHeight w:val="623" w:hRule="atLeast"/>
        </w:trPr>
        <w:tc>
          <w:tcPr>
            <w:tcW w:w="5156" w:type="dxa"/>
          </w:tcPr>
          <w:p>
            <w:pPr>
              <w:pStyle w:val="TableParagraph"/>
              <w:rPr>
                <w:sz w:val="22"/>
              </w:rPr>
            </w:pPr>
            <w:r>
              <w:rPr>
                <w:rFonts w:ascii="Cambria"/>
                <w:sz w:val="22"/>
              </w:rPr>
              <w:t>distributed </w:t>
            </w:r>
            <w:r>
              <w:rPr>
                <w:sz w:val="22"/>
              </w:rPr>
              <w:t>(Distributed Horizontal Alignment)</w:t>
            </w:r>
          </w:p>
        </w:tc>
        <w:tc>
          <w:tcPr>
            <w:tcW w:w="5156" w:type="dxa"/>
          </w:tcPr>
          <w:p>
            <w:pPr>
              <w:pStyle w:val="TableParagraph"/>
              <w:ind w:right="340"/>
              <w:rPr>
                <w:sz w:val="22"/>
              </w:rPr>
            </w:pPr>
            <w:r>
              <w:rPr>
                <w:sz w:val="22"/>
              </w:rPr>
              <w:t>I/ndicates that each 'word' in each line of text inside the cell is evenly distributed across the width of the</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0549"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cell, with flush right and left margins.</w:t>
            </w:r>
          </w:p>
          <w:p>
            <w:pPr>
              <w:pStyle w:val="TableParagraph"/>
              <w:spacing w:before="4"/>
              <w:ind w:left="0"/>
              <w:rPr>
                <w:rFonts w:ascii="Times New Roman"/>
                <w:sz w:val="23"/>
              </w:rPr>
            </w:pPr>
          </w:p>
          <w:p>
            <w:pPr>
              <w:pStyle w:val="TableParagraph"/>
              <w:spacing w:before="0"/>
              <w:ind w:right="196"/>
              <w:rPr>
                <w:sz w:val="22"/>
              </w:rPr>
            </w:pPr>
            <w:r>
              <w:rPr>
                <w:sz w:val="22"/>
              </w:rPr>
              <w:t>When there is also an indent value to apply, both the left and right side of the cell are padded by the indent value.</w:t>
            </w:r>
          </w:p>
          <w:p>
            <w:pPr>
              <w:pStyle w:val="TableParagraph"/>
              <w:spacing w:before="3"/>
              <w:ind w:left="0"/>
              <w:rPr>
                <w:rFonts w:ascii="Times New Roman"/>
                <w:sz w:val="23"/>
              </w:rPr>
            </w:pPr>
          </w:p>
          <w:p>
            <w:pPr>
              <w:pStyle w:val="TableParagraph"/>
              <w:spacing w:before="0"/>
              <w:ind w:right="207"/>
              <w:rPr>
                <w:sz w:val="22"/>
              </w:rPr>
            </w:pPr>
            <w:r>
              <w:rPr>
                <w:sz w:val="22"/>
              </w:rPr>
              <w:t>A 'word' is a set of characters with no space character in them.</w:t>
            </w:r>
          </w:p>
          <w:p>
            <w:pPr>
              <w:pStyle w:val="TableParagraph"/>
              <w:spacing w:before="4"/>
              <w:ind w:left="0"/>
              <w:rPr>
                <w:rFonts w:ascii="Times New Roman"/>
                <w:sz w:val="23"/>
              </w:rPr>
            </w:pPr>
          </w:p>
          <w:p>
            <w:pPr>
              <w:pStyle w:val="TableParagraph"/>
              <w:spacing w:before="1"/>
              <w:ind w:right="604"/>
              <w:rPr>
                <w:sz w:val="22"/>
              </w:rPr>
            </w:pPr>
            <w:r>
              <w:rPr>
                <w:sz w:val="22"/>
              </w:rPr>
              <w:t>Two lines inside a cell are separated by a carriage return.</w:t>
            </w:r>
          </w:p>
          <w:p>
            <w:pPr>
              <w:pStyle w:val="TableParagraph"/>
              <w:spacing w:before="5"/>
              <w:ind w:left="0"/>
              <w:rPr>
                <w:rFonts w:ascii="Times New Roman"/>
                <w:sz w:val="23"/>
              </w:rPr>
            </w:pPr>
          </w:p>
          <w:p>
            <w:pPr>
              <w:pStyle w:val="TableParagraph"/>
              <w:spacing w:before="0"/>
              <w:ind w:right="203"/>
              <w:rPr>
                <w:sz w:val="22"/>
              </w:rPr>
            </w:pPr>
            <w:r>
              <w:rPr>
                <w:sz w:val="22"/>
              </w:rPr>
              <w:t>[</w:t>
            </w:r>
            <w:r>
              <w:rPr>
                <w:i/>
                <w:sz w:val="22"/>
              </w:rPr>
              <w:t>Example</w:t>
            </w:r>
            <w:r>
              <w:rPr>
                <w:sz w:val="22"/>
              </w:rPr>
              <w:t>: This shows three lines of text evenly distributed horizontally across the cell. The first line is "abc def ghi", the second line is blank, and the third line is "jkl mno".</w:t>
            </w:r>
          </w:p>
          <w:p>
            <w:pPr>
              <w:pStyle w:val="TableParagraph"/>
              <w:spacing w:before="5"/>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2201463" cy="1038225"/>
                  <wp:effectExtent l="0" t="0" r="0" b="0"/>
                  <wp:docPr id="183" name="image90.png"/>
                  <wp:cNvGraphicFramePr>
                    <a:graphicFrameLocks noChangeAspect="1"/>
                  </wp:cNvGraphicFramePr>
                  <a:graphic>
                    <a:graphicData uri="http://schemas.openxmlformats.org/drawingml/2006/picture">
                      <pic:pic>
                        <pic:nvPicPr>
                          <pic:cNvPr id="184" name="image90.png"/>
                          <pic:cNvPicPr/>
                        </pic:nvPicPr>
                        <pic:blipFill>
                          <a:blip r:embed="rId306" cstate="print"/>
                          <a:stretch>
                            <a:fillRect/>
                          </a:stretch>
                        </pic:blipFill>
                        <pic:spPr>
                          <a:xfrm>
                            <a:off x="0" y="0"/>
                            <a:ext cx="2201463" cy="1038225"/>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rPr>
                <w:sz w:val="22"/>
              </w:rPr>
            </w:pPr>
            <w:r>
              <w:rPr>
                <w:sz w:val="22"/>
              </w:rPr>
              <w:t>This shows the same example, with an </w:t>
            </w:r>
            <w:r>
              <w:rPr>
                <w:rFonts w:ascii="Cambria"/>
                <w:sz w:val="22"/>
              </w:rPr>
              <w:t>indent </w:t>
            </w:r>
            <w:r>
              <w:rPr>
                <w:sz w:val="22"/>
              </w:rPr>
              <w:t>value of</w:t>
            </w:r>
          </w:p>
          <w:p>
            <w:pPr>
              <w:pStyle w:val="TableParagraph"/>
              <w:spacing w:before="1"/>
              <w:rPr>
                <w:sz w:val="22"/>
              </w:rPr>
            </w:pPr>
            <w:r>
              <w:rPr>
                <w:rFonts w:ascii="Consolas"/>
                <w:sz w:val="20"/>
              </w:rPr>
              <w:t>2</w:t>
            </w:r>
            <w:r>
              <w:rPr>
                <w:sz w:val="22"/>
              </w:rPr>
              <w:t>:</w:t>
            </w:r>
          </w:p>
          <w:p>
            <w:pPr>
              <w:pStyle w:val="TableParagraph"/>
              <w:spacing w:before="6"/>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2116118" cy="1000125"/>
                  <wp:effectExtent l="0" t="0" r="0" b="0"/>
                  <wp:docPr id="185" name="image91.png"/>
                  <wp:cNvGraphicFramePr>
                    <a:graphicFrameLocks noChangeAspect="1"/>
                  </wp:cNvGraphicFramePr>
                  <a:graphic>
                    <a:graphicData uri="http://schemas.openxmlformats.org/drawingml/2006/picture">
                      <pic:pic>
                        <pic:nvPicPr>
                          <pic:cNvPr id="186" name="image91.png"/>
                          <pic:cNvPicPr/>
                        </pic:nvPicPr>
                        <pic:blipFill>
                          <a:blip r:embed="rId307" cstate="print"/>
                          <a:stretch>
                            <a:fillRect/>
                          </a:stretch>
                        </pic:blipFill>
                        <pic:spPr>
                          <a:xfrm>
                            <a:off x="0" y="0"/>
                            <a:ext cx="2116118" cy="1000125"/>
                          </a:xfrm>
                          <a:prstGeom prst="rect">
                            <a:avLst/>
                          </a:prstGeom>
                        </pic:spPr>
                      </pic:pic>
                    </a:graphicData>
                  </a:graphic>
                </wp:inline>
              </w:drawing>
            </w:r>
            <w:r>
              <w:rPr>
                <w:rFonts w:ascii="Times New Roman"/>
                <w:sz w:val="20"/>
              </w:rPr>
            </w:r>
          </w:p>
          <w:p>
            <w:pPr>
              <w:pStyle w:val="TableParagraph"/>
              <w:spacing w:before="2"/>
              <w:ind w:left="0"/>
              <w:rPr>
                <w:rFonts w:ascii="Times New Roman"/>
                <w:sz w:val="23"/>
              </w:rPr>
            </w:pPr>
          </w:p>
          <w:p>
            <w:pPr>
              <w:pStyle w:val="TableParagraph"/>
              <w:spacing w:before="0"/>
              <w:ind w:right="154"/>
              <w:rPr>
                <w:sz w:val="22"/>
              </w:rPr>
            </w:pPr>
            <w:r>
              <w:rPr>
                <w:sz w:val="22"/>
              </w:rPr>
              <w:t>There is no vertical component to the alignment being shown here. The row has been manually adjusted to display the text.</w:t>
            </w:r>
          </w:p>
          <w:p>
            <w:pPr>
              <w:pStyle w:val="TableParagraph"/>
              <w:spacing w:before="0"/>
              <w:rPr>
                <w:sz w:val="22"/>
              </w:rPr>
            </w:pPr>
            <w:r>
              <w:rPr>
                <w:i/>
                <w:sz w:val="22"/>
              </w:rPr>
              <w:t>end example</w:t>
            </w:r>
            <w:r>
              <w:rPr>
                <w:sz w:val="22"/>
              </w:rPr>
              <w:t>]</w:t>
            </w:r>
          </w:p>
        </w:tc>
      </w:tr>
      <w:tr>
        <w:trPr>
          <w:trHeight w:val="1696" w:hRule="atLeast"/>
        </w:trPr>
        <w:tc>
          <w:tcPr>
            <w:tcW w:w="5156" w:type="dxa"/>
          </w:tcPr>
          <w:p>
            <w:pPr>
              <w:pStyle w:val="TableParagraph"/>
              <w:rPr>
                <w:sz w:val="22"/>
              </w:rPr>
            </w:pPr>
            <w:r>
              <w:rPr>
                <w:rFonts w:ascii="Cambria"/>
                <w:sz w:val="22"/>
              </w:rPr>
              <w:t>fill </w:t>
            </w:r>
            <w:r>
              <w:rPr>
                <w:sz w:val="22"/>
              </w:rPr>
              <w:t>(Fill)</w:t>
            </w:r>
          </w:p>
        </w:tc>
        <w:tc>
          <w:tcPr>
            <w:tcW w:w="5156" w:type="dxa"/>
          </w:tcPr>
          <w:p>
            <w:pPr>
              <w:pStyle w:val="TableParagraph"/>
              <w:ind w:right="225"/>
              <w:rPr>
                <w:sz w:val="22"/>
              </w:rPr>
            </w:pPr>
            <w:r>
              <w:rPr>
                <w:sz w:val="22"/>
              </w:rPr>
              <w:t>Indicates that the value of the cell should be filled across the entire width of the cell. If blank cells to the right also have the fill alignment, they are also filled with the value, using a convention similar to </w:t>
            </w:r>
            <w:r>
              <w:rPr>
                <w:rFonts w:ascii="Consolas"/>
                <w:sz w:val="20"/>
              </w:rPr>
              <w:t>centerContinuous</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8059"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Additional rules:</w:t>
            </w:r>
          </w:p>
          <w:p>
            <w:pPr>
              <w:pStyle w:val="TableParagraph"/>
              <w:numPr>
                <w:ilvl w:val="0"/>
                <w:numId w:val="143"/>
              </w:numPr>
              <w:tabs>
                <w:tab w:pos="835" w:val="left" w:leader="none"/>
                <w:tab w:pos="836" w:val="left" w:leader="none"/>
              </w:tabs>
              <w:spacing w:line="240" w:lineRule="auto" w:before="0" w:after="0"/>
              <w:ind w:left="835" w:right="680" w:hanging="361"/>
              <w:jc w:val="left"/>
              <w:rPr>
                <w:sz w:val="22"/>
              </w:rPr>
            </w:pPr>
            <w:r>
              <w:rPr>
                <w:sz w:val="22"/>
              </w:rPr>
              <w:t>Only whole values can be appended, not partial</w:t>
            </w:r>
            <w:r>
              <w:rPr>
                <w:spacing w:val="-2"/>
                <w:sz w:val="22"/>
              </w:rPr>
              <w:t> </w:t>
            </w:r>
            <w:r>
              <w:rPr>
                <w:sz w:val="22"/>
              </w:rPr>
              <w:t>values.</w:t>
            </w:r>
          </w:p>
          <w:p>
            <w:pPr>
              <w:pStyle w:val="TableParagraph"/>
              <w:numPr>
                <w:ilvl w:val="0"/>
                <w:numId w:val="143"/>
              </w:numPr>
              <w:tabs>
                <w:tab w:pos="835" w:val="left" w:leader="none"/>
                <w:tab w:pos="836" w:val="left" w:leader="none"/>
              </w:tabs>
              <w:spacing w:line="237" w:lineRule="auto" w:before="3" w:after="0"/>
              <w:ind w:left="835" w:right="435" w:hanging="361"/>
              <w:jc w:val="left"/>
              <w:rPr>
                <w:sz w:val="22"/>
              </w:rPr>
            </w:pPr>
            <w:r>
              <w:rPr>
                <w:sz w:val="22"/>
              </w:rPr>
              <w:t>The column will not be widened to 'best fit' the filled</w:t>
            </w:r>
            <w:r>
              <w:rPr>
                <w:spacing w:val="-4"/>
                <w:sz w:val="22"/>
              </w:rPr>
              <w:t> </w:t>
            </w:r>
            <w:r>
              <w:rPr>
                <w:sz w:val="22"/>
              </w:rPr>
              <w:t>value</w:t>
            </w:r>
          </w:p>
          <w:p>
            <w:pPr>
              <w:pStyle w:val="TableParagraph"/>
              <w:numPr>
                <w:ilvl w:val="0"/>
                <w:numId w:val="143"/>
              </w:numPr>
              <w:tabs>
                <w:tab w:pos="835" w:val="left" w:leader="none"/>
                <w:tab w:pos="836" w:val="left" w:leader="none"/>
              </w:tabs>
              <w:spacing w:line="240" w:lineRule="auto" w:before="2" w:after="0"/>
              <w:ind w:left="835" w:right="338" w:hanging="361"/>
              <w:jc w:val="left"/>
              <w:rPr>
                <w:sz w:val="22"/>
              </w:rPr>
            </w:pPr>
            <w:r>
              <w:rPr>
                <w:sz w:val="22"/>
              </w:rPr>
              <w:t>If appending an additional occurrence of the value exceeds the boundary of the cell left/right edge, don't append the additional occurrence of the</w:t>
            </w:r>
            <w:r>
              <w:rPr>
                <w:spacing w:val="-5"/>
                <w:sz w:val="22"/>
              </w:rPr>
              <w:t> </w:t>
            </w:r>
            <w:r>
              <w:rPr>
                <w:sz w:val="22"/>
              </w:rPr>
              <w:t>value.</w:t>
            </w:r>
          </w:p>
          <w:p>
            <w:pPr>
              <w:pStyle w:val="TableParagraph"/>
              <w:numPr>
                <w:ilvl w:val="0"/>
                <w:numId w:val="143"/>
              </w:numPr>
              <w:tabs>
                <w:tab w:pos="835" w:val="left" w:leader="none"/>
                <w:tab w:pos="836" w:val="left" w:leader="none"/>
              </w:tabs>
              <w:spacing w:line="237" w:lineRule="auto" w:before="3" w:after="0"/>
              <w:ind w:left="835" w:right="399" w:hanging="361"/>
              <w:jc w:val="left"/>
              <w:rPr>
                <w:sz w:val="22"/>
              </w:rPr>
            </w:pPr>
            <w:r>
              <w:rPr>
                <w:sz w:val="22"/>
              </w:rPr>
              <w:t>The display value of the cell is filled, not the underlying raw</w:t>
            </w:r>
            <w:r>
              <w:rPr>
                <w:spacing w:val="-2"/>
                <w:sz w:val="22"/>
              </w:rPr>
              <w:t> </w:t>
            </w:r>
            <w:r>
              <w:rPr>
                <w:sz w:val="22"/>
              </w:rPr>
              <w:t>number.</w:t>
            </w:r>
          </w:p>
          <w:p>
            <w:pPr>
              <w:pStyle w:val="TableParagraph"/>
              <w:spacing w:before="1"/>
              <w:rPr>
                <w:sz w:val="22"/>
              </w:rPr>
            </w:pPr>
            <w:r>
              <w:rPr>
                <w:sz w:val="22"/>
              </w:rPr>
              <w:t>[</w:t>
            </w:r>
            <w:r>
              <w:rPr>
                <w:i/>
                <w:sz w:val="22"/>
              </w:rPr>
              <w:t>Example</w:t>
            </w:r>
            <w:r>
              <w:rPr>
                <w:sz w:val="22"/>
              </w:rPr>
              <w:t>:</w:t>
            </w:r>
          </w:p>
          <w:p>
            <w:pPr>
              <w:pStyle w:val="TableParagraph"/>
              <w:spacing w:before="1"/>
              <w:ind w:right="170"/>
              <w:rPr>
                <w:sz w:val="22"/>
              </w:rPr>
            </w:pPr>
            <w:r>
              <w:rPr>
                <w:sz w:val="22"/>
              </w:rPr>
              <w:t>This cell is filled with the value 1.2345 and has a width of 15 characters:</w:t>
            </w:r>
          </w:p>
          <w:p>
            <w:pPr>
              <w:pStyle w:val="TableParagraph"/>
              <w:spacing w:before="7"/>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1965294" cy="628650"/>
                  <wp:effectExtent l="0" t="0" r="0" b="0"/>
                  <wp:docPr id="187" name="image92.png"/>
                  <wp:cNvGraphicFramePr>
                    <a:graphicFrameLocks noChangeAspect="1"/>
                  </wp:cNvGraphicFramePr>
                  <a:graphic>
                    <a:graphicData uri="http://schemas.openxmlformats.org/drawingml/2006/picture">
                      <pic:pic>
                        <pic:nvPicPr>
                          <pic:cNvPr id="188" name="image92.png"/>
                          <pic:cNvPicPr/>
                        </pic:nvPicPr>
                        <pic:blipFill>
                          <a:blip r:embed="rId310" cstate="print"/>
                          <a:stretch>
                            <a:fillRect/>
                          </a:stretch>
                        </pic:blipFill>
                        <pic:spPr>
                          <a:xfrm>
                            <a:off x="0" y="0"/>
                            <a:ext cx="1965294" cy="628650"/>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ind w:right="118"/>
              <w:rPr>
                <w:sz w:val="22"/>
              </w:rPr>
            </w:pPr>
            <w:r>
              <w:rPr>
                <w:sz w:val="22"/>
              </w:rPr>
              <w:t>This cell is filled with the value abc and has width of 15 characters:</w:t>
            </w:r>
          </w:p>
          <w:p>
            <w:pPr>
              <w:pStyle w:val="TableParagraph"/>
              <w:spacing w:before="10"/>
              <w:ind w:left="0"/>
              <w:rPr>
                <w:rFonts w:ascii="Times New Roman"/>
                <w:sz w:val="24"/>
              </w:rPr>
            </w:pPr>
          </w:p>
          <w:p>
            <w:pPr>
              <w:pStyle w:val="TableParagraph"/>
              <w:spacing w:before="0"/>
              <w:ind w:left="143"/>
              <w:rPr>
                <w:rFonts w:ascii="Times New Roman"/>
                <w:sz w:val="20"/>
              </w:rPr>
            </w:pPr>
            <w:r>
              <w:rPr>
                <w:rFonts w:ascii="Times New Roman"/>
                <w:sz w:val="20"/>
              </w:rPr>
              <w:drawing>
                <wp:inline distT="0" distB="0" distL="0" distR="0">
                  <wp:extent cx="1941940" cy="628650"/>
                  <wp:effectExtent l="0" t="0" r="0" b="0"/>
                  <wp:docPr id="189" name="image93.png"/>
                  <wp:cNvGraphicFramePr>
                    <a:graphicFrameLocks noChangeAspect="1"/>
                  </wp:cNvGraphicFramePr>
                  <a:graphic>
                    <a:graphicData uri="http://schemas.openxmlformats.org/drawingml/2006/picture">
                      <pic:pic>
                        <pic:nvPicPr>
                          <pic:cNvPr id="190" name="image93.png"/>
                          <pic:cNvPicPr/>
                        </pic:nvPicPr>
                        <pic:blipFill>
                          <a:blip r:embed="rId311" cstate="print"/>
                          <a:stretch>
                            <a:fillRect/>
                          </a:stretch>
                        </pic:blipFill>
                        <pic:spPr>
                          <a:xfrm>
                            <a:off x="0" y="0"/>
                            <a:ext cx="1941940" cy="628650"/>
                          </a:xfrm>
                          <a:prstGeom prst="rect">
                            <a:avLst/>
                          </a:prstGeom>
                        </pic:spPr>
                      </pic:pic>
                    </a:graphicData>
                  </a:graphic>
                </wp:inline>
              </w:drawing>
            </w:r>
            <w:r>
              <w:rPr>
                <w:rFonts w:ascii="Times New Roman"/>
                <w:sz w:val="20"/>
              </w:rPr>
            </w:r>
          </w:p>
          <w:p>
            <w:pPr>
              <w:pStyle w:val="TableParagraph"/>
              <w:spacing w:before="3"/>
              <w:ind w:left="0"/>
              <w:rPr>
                <w:rFonts w:ascii="Times New Roman"/>
                <w:sz w:val="23"/>
              </w:rPr>
            </w:pPr>
          </w:p>
          <w:p>
            <w:pPr>
              <w:pStyle w:val="TableParagraph"/>
              <w:numPr>
                <w:ilvl w:val="0"/>
                <w:numId w:val="143"/>
              </w:numPr>
              <w:tabs>
                <w:tab w:pos="835" w:val="left" w:leader="none"/>
                <w:tab w:pos="836" w:val="left" w:leader="none"/>
              </w:tabs>
              <w:spacing w:line="279" w:lineRule="exact" w:before="0" w:after="0"/>
              <w:ind w:left="835" w:right="0" w:hanging="361"/>
              <w:jc w:val="left"/>
              <w:rPr>
                <w:sz w:val="22"/>
              </w:rPr>
            </w:pPr>
            <w:r>
              <w:rPr>
                <w:i/>
                <w:sz w:val="22"/>
              </w:rPr>
              <w:t>end</w:t>
            </w:r>
            <w:r>
              <w:rPr>
                <w:i/>
                <w:spacing w:val="-2"/>
                <w:sz w:val="22"/>
              </w:rPr>
              <w:t> </w:t>
            </w:r>
            <w:r>
              <w:rPr>
                <w:i/>
                <w:sz w:val="22"/>
              </w:rPr>
              <w:t>example</w:t>
            </w:r>
            <w:r>
              <w:rPr>
                <w:sz w:val="22"/>
              </w:rPr>
              <w:t>]</w:t>
            </w:r>
          </w:p>
          <w:p>
            <w:pPr>
              <w:pStyle w:val="TableParagraph"/>
              <w:spacing w:line="269" w:lineRule="exact" w:before="0"/>
              <w:ind w:left="475"/>
              <w:rPr>
                <w:rFonts w:ascii="Symbol" w:hAnsi="Symbol"/>
                <w:sz w:val="22"/>
              </w:rPr>
            </w:pPr>
            <w:r>
              <w:rPr>
                <w:rFonts w:ascii="Symbol" w:hAnsi="Symbol"/>
                <w:w w:val="100"/>
                <w:sz w:val="22"/>
              </w:rPr>
              <w:t></w:t>
            </w:r>
          </w:p>
        </w:tc>
      </w:tr>
      <w:tr>
        <w:trPr>
          <w:trHeight w:val="4317" w:hRule="atLeast"/>
        </w:trPr>
        <w:tc>
          <w:tcPr>
            <w:tcW w:w="5156" w:type="dxa"/>
          </w:tcPr>
          <w:p>
            <w:pPr>
              <w:pStyle w:val="TableParagraph"/>
              <w:rPr>
                <w:sz w:val="22"/>
              </w:rPr>
            </w:pPr>
            <w:r>
              <w:rPr>
                <w:rFonts w:ascii="Cambria"/>
                <w:sz w:val="22"/>
              </w:rPr>
              <w:t>general </w:t>
            </w:r>
            <w:r>
              <w:rPr>
                <w:sz w:val="22"/>
              </w:rPr>
              <w:t>(General Horizontal Alignment)</w:t>
            </w:r>
          </w:p>
        </w:tc>
        <w:tc>
          <w:tcPr>
            <w:tcW w:w="5156" w:type="dxa"/>
          </w:tcPr>
          <w:p>
            <w:pPr>
              <w:pStyle w:val="TableParagraph"/>
              <w:ind w:right="207"/>
              <w:rPr>
                <w:sz w:val="22"/>
              </w:rPr>
            </w:pPr>
            <w:r>
              <w:rPr>
                <w:sz w:val="22"/>
              </w:rPr>
              <w:t>The horizontal alignment is general-aligned. Text data is left-aligned. Numbers, dates, and times are right- aligned. Boolean types are centered. Changing the alignment does not change the type of data.</w:t>
            </w:r>
          </w:p>
          <w:p>
            <w:pPr>
              <w:pStyle w:val="TableParagraph"/>
              <w:spacing w:before="5"/>
              <w:ind w:left="0"/>
              <w:rPr>
                <w:rFonts w:ascii="Times New Roman"/>
                <w:sz w:val="23"/>
              </w:rPr>
            </w:pPr>
          </w:p>
          <w:p>
            <w:pPr>
              <w:pStyle w:val="TableParagraph"/>
              <w:spacing w:before="0"/>
              <w:rPr>
                <w:sz w:val="22"/>
              </w:rPr>
            </w:pPr>
            <w:r>
              <w:rPr>
                <w:sz w:val="22"/>
              </w:rPr>
              <w:t>[</w:t>
            </w:r>
            <w:r>
              <w:rPr>
                <w:i/>
                <w:sz w:val="22"/>
              </w:rPr>
              <w:t>Example</w:t>
            </w:r>
            <w:r>
              <w:rPr>
                <w:sz w:val="22"/>
              </w:rPr>
              <w:t>: These cells are </w:t>
            </w:r>
            <w:r>
              <w:rPr>
                <w:rFonts w:ascii="Consolas"/>
                <w:sz w:val="20"/>
              </w:rPr>
              <w:t>general</w:t>
            </w:r>
            <w:r>
              <w:rPr>
                <w:rFonts w:ascii="Consolas"/>
                <w:spacing w:val="-62"/>
                <w:sz w:val="20"/>
              </w:rPr>
              <w:t> </w:t>
            </w:r>
            <w:r>
              <w:rPr>
                <w:sz w:val="22"/>
              </w:rPr>
              <w:t>aligned:</w:t>
            </w:r>
          </w:p>
          <w:p>
            <w:pPr>
              <w:pStyle w:val="TableParagraph"/>
              <w:spacing w:before="6"/>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859012" cy="981075"/>
                  <wp:effectExtent l="0" t="0" r="0" b="0"/>
                  <wp:docPr id="191" name="image94.png"/>
                  <wp:cNvGraphicFramePr>
                    <a:graphicFrameLocks noChangeAspect="1"/>
                  </wp:cNvGraphicFramePr>
                  <a:graphic>
                    <a:graphicData uri="http://schemas.openxmlformats.org/drawingml/2006/picture">
                      <pic:pic>
                        <pic:nvPicPr>
                          <pic:cNvPr id="192" name="image94.png"/>
                          <pic:cNvPicPr/>
                        </pic:nvPicPr>
                        <pic:blipFill>
                          <a:blip r:embed="rId312" cstate="print"/>
                          <a:stretch>
                            <a:fillRect/>
                          </a:stretch>
                        </pic:blipFill>
                        <pic:spPr>
                          <a:xfrm>
                            <a:off x="0" y="0"/>
                            <a:ext cx="859012" cy="981075"/>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tc>
      </w:tr>
    </w:tbl>
    <w:p>
      <w:pPr>
        <w:spacing w:after="0"/>
        <w:rPr>
          <w:sz w:val="22"/>
        </w:rPr>
        <w:sectPr>
          <w:footerReference w:type="even" r:id="rId308"/>
          <w:footerReference w:type="default" r:id="rId309"/>
          <w:pgSz w:w="12240" w:h="15840"/>
          <w:pgMar w:footer="746" w:header="761" w:top="1340" w:bottom="940" w:left="860" w:right="700"/>
          <w:pgNumType w:start="246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5695" w:hRule="atLeast"/>
        </w:trPr>
        <w:tc>
          <w:tcPr>
            <w:tcW w:w="5156" w:type="dxa"/>
          </w:tcPr>
          <w:p>
            <w:pPr>
              <w:pStyle w:val="TableParagraph"/>
              <w:rPr>
                <w:sz w:val="22"/>
              </w:rPr>
            </w:pPr>
            <w:r>
              <w:rPr>
                <w:rFonts w:ascii="Cambria"/>
                <w:sz w:val="22"/>
              </w:rPr>
              <w:t>justify </w:t>
            </w:r>
            <w:r>
              <w:rPr>
                <w:sz w:val="22"/>
              </w:rPr>
              <w:t>(Justify)</w:t>
            </w:r>
          </w:p>
        </w:tc>
        <w:tc>
          <w:tcPr>
            <w:tcW w:w="5156" w:type="dxa"/>
          </w:tcPr>
          <w:p>
            <w:pPr>
              <w:pStyle w:val="TableParagraph"/>
              <w:ind w:right="140"/>
              <w:rPr>
                <w:sz w:val="22"/>
              </w:rPr>
            </w:pPr>
            <w:r>
              <w:rPr>
                <w:sz w:val="22"/>
              </w:rPr>
              <w:t>The horizontal alignment is justified (flush left and right). For each line of text, aligns each line of the wrapped text in a cell to the right and left (except the last line). If no single line of text wraps in the cell, then the text is not justified.</w:t>
            </w:r>
          </w:p>
          <w:p>
            <w:pPr>
              <w:pStyle w:val="TableParagraph"/>
              <w:spacing w:before="3"/>
              <w:ind w:left="0"/>
              <w:rPr>
                <w:rFonts w:ascii="Times New Roman"/>
                <w:sz w:val="23"/>
              </w:rPr>
            </w:pPr>
          </w:p>
          <w:p>
            <w:pPr>
              <w:pStyle w:val="TableParagraph"/>
              <w:spacing w:before="0"/>
              <w:ind w:right="337"/>
              <w:rPr>
                <w:sz w:val="22"/>
              </w:rPr>
            </w:pPr>
            <w:r>
              <w:rPr>
                <w:sz w:val="22"/>
              </w:rPr>
              <w:t>[</w:t>
            </w:r>
            <w:r>
              <w:rPr>
                <w:i/>
                <w:sz w:val="22"/>
              </w:rPr>
              <w:t>Example</w:t>
            </w:r>
            <w:r>
              <w:rPr>
                <w:sz w:val="22"/>
              </w:rPr>
              <w:t>: There are two lines of text in this cell, and the cell's horizontal alignment is </w:t>
            </w:r>
            <w:r>
              <w:rPr>
                <w:rFonts w:ascii="Consolas"/>
                <w:sz w:val="20"/>
              </w:rPr>
              <w:t>justify</w:t>
            </w:r>
            <w:r>
              <w:rPr>
                <w:sz w:val="22"/>
              </w:rPr>
              <w:t>:</w:t>
            </w:r>
          </w:p>
          <w:p>
            <w:pPr>
              <w:pStyle w:val="TableParagraph"/>
              <w:spacing w:before="7"/>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1916101" cy="1685925"/>
                  <wp:effectExtent l="0" t="0" r="0" b="0"/>
                  <wp:docPr id="193" name="image95.png"/>
                  <wp:cNvGraphicFramePr>
                    <a:graphicFrameLocks noChangeAspect="1"/>
                  </wp:cNvGraphicFramePr>
                  <a:graphic>
                    <a:graphicData uri="http://schemas.openxmlformats.org/drawingml/2006/picture">
                      <pic:pic>
                        <pic:nvPicPr>
                          <pic:cNvPr id="194" name="image95.png"/>
                          <pic:cNvPicPr/>
                        </pic:nvPicPr>
                        <pic:blipFill>
                          <a:blip r:embed="rId313" cstate="print"/>
                          <a:stretch>
                            <a:fillRect/>
                          </a:stretch>
                        </pic:blipFill>
                        <pic:spPr>
                          <a:xfrm>
                            <a:off x="0" y="0"/>
                            <a:ext cx="1916101" cy="1685925"/>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1965" w:hRule="atLeast"/>
        </w:trPr>
        <w:tc>
          <w:tcPr>
            <w:tcW w:w="5156" w:type="dxa"/>
          </w:tcPr>
          <w:p>
            <w:pPr>
              <w:pStyle w:val="TableParagraph"/>
              <w:rPr>
                <w:sz w:val="22"/>
              </w:rPr>
            </w:pPr>
            <w:r>
              <w:rPr>
                <w:rFonts w:ascii="Cambria"/>
                <w:sz w:val="22"/>
              </w:rPr>
              <w:t>left </w:t>
            </w:r>
            <w:r>
              <w:rPr>
                <w:sz w:val="22"/>
              </w:rPr>
              <w:t>(Left Horizontal Alignment)</w:t>
            </w:r>
          </w:p>
        </w:tc>
        <w:tc>
          <w:tcPr>
            <w:tcW w:w="5156" w:type="dxa"/>
          </w:tcPr>
          <w:p>
            <w:pPr>
              <w:pStyle w:val="TableParagraph"/>
              <w:ind w:right="198"/>
              <w:rPr>
                <w:sz w:val="22"/>
              </w:rPr>
            </w:pPr>
            <w:r>
              <w:rPr>
                <w:sz w:val="22"/>
              </w:rPr>
              <w:t>The horizontal alignment is left-aligned, even in Right- to-Left mode. Aligns contents at the left edge of the cell. If an indent amount is specified, the contents of the cell is indented from the left by the specified number of character spaces. The character spaces are based on the default font and font size for the workbook.</w:t>
            </w:r>
          </w:p>
        </w:tc>
      </w:tr>
      <w:tr>
        <w:trPr>
          <w:trHeight w:val="892" w:hRule="atLeast"/>
        </w:trPr>
        <w:tc>
          <w:tcPr>
            <w:tcW w:w="5156" w:type="dxa"/>
          </w:tcPr>
          <w:p>
            <w:pPr>
              <w:pStyle w:val="TableParagraph"/>
              <w:rPr>
                <w:sz w:val="22"/>
              </w:rPr>
            </w:pPr>
            <w:r>
              <w:rPr>
                <w:rFonts w:ascii="Cambria"/>
                <w:sz w:val="22"/>
              </w:rPr>
              <w:t>right </w:t>
            </w:r>
            <w:r>
              <w:rPr>
                <w:sz w:val="22"/>
              </w:rPr>
              <w:t>(Right Horizontal Alignment)</w:t>
            </w:r>
          </w:p>
        </w:tc>
        <w:tc>
          <w:tcPr>
            <w:tcW w:w="5156" w:type="dxa"/>
          </w:tcPr>
          <w:p>
            <w:pPr>
              <w:pStyle w:val="TableParagraph"/>
              <w:ind w:right="100"/>
              <w:rPr>
                <w:sz w:val="22"/>
              </w:rPr>
            </w:pPr>
            <w:r>
              <w:rPr>
                <w:sz w:val="22"/>
              </w:rPr>
              <w:t>The horizontal alignment is right-aligned, meaning that cell contents are aligned at the right edge of the cell, even in Right-to-Left mode.</w:t>
            </w:r>
          </w:p>
        </w:tc>
      </w:tr>
    </w:tbl>
    <w:p>
      <w:pPr>
        <w:pStyle w:val="BodyText"/>
        <w:rPr>
          <w:rFonts w:ascii="Times New Roman"/>
          <w:sz w:val="20"/>
        </w:rPr>
      </w:pPr>
    </w:p>
    <w:p>
      <w:pPr>
        <w:pStyle w:val="BodyText"/>
        <w:spacing w:before="1"/>
        <w:rPr>
          <w:rFonts w:ascii="Times New Roman"/>
          <w:sz w:val="19"/>
        </w:rPr>
      </w:pPr>
    </w:p>
    <w:p>
      <w:pPr>
        <w:pStyle w:val="BodyText"/>
        <w:spacing w:line="278" w:lineRule="auto" w:before="56"/>
        <w:ind w:left="220" w:right="465"/>
      </w:pPr>
      <w:r>
        <w:rPr/>
        <w:t>[</w:t>
      </w:r>
      <w:r>
        <w:rPr>
          <w:i/>
        </w:rPr>
        <w:t>Note</w:t>
      </w:r>
      <w:r>
        <w:rPr/>
        <w:t>: The W3C XML Schema definition of this simple type’s content model (</w:t>
      </w:r>
      <w:r>
        <w:rPr>
          <w:color w:val="5F5F5F"/>
          <w:u w:val="single" w:color="5F5F5F"/>
        </w:rPr>
        <w:t>ST_HorizontalAlignment</w:t>
      </w:r>
      <w:r>
        <w:rPr/>
        <w:t>) is located in §A.2. </w:t>
      </w:r>
      <w:r>
        <w:rPr>
          <w:i/>
        </w:rPr>
        <w:t>end 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41 ST_HtmlFmt (HTML Formatting Han" w:id="2588"/>
      <w:bookmarkEnd w:id="2588"/>
      <w:r>
        <w:rPr>
          <w:b w:val="0"/>
        </w:rPr>
      </w:r>
      <w:bookmarkStart w:name="_bookmark863" w:id="2589"/>
      <w:bookmarkEnd w:id="2589"/>
      <w:r>
        <w:rPr>
          <w:b w:val="0"/>
        </w:rPr>
      </w:r>
      <w:bookmarkStart w:name="_bookmark863" w:id="2590"/>
      <w:bookmarkEnd w:id="2590"/>
      <w:r>
        <w:rPr>
          <w:color w:val="4F81BC"/>
        </w:rPr>
        <w:t>S</w:t>
      </w:r>
      <w:r>
        <w:rPr>
          <w:color w:val="4F81BC"/>
        </w:rPr>
        <w:t>T_HtmlFmt (HTML Formatting</w:t>
      </w:r>
      <w:r>
        <w:rPr>
          <w:color w:val="4F81BC"/>
          <w:spacing w:val="-1"/>
        </w:rPr>
        <w:t> </w:t>
      </w:r>
      <w:r>
        <w:rPr>
          <w:color w:val="4F81BC"/>
        </w:rPr>
        <w:t>Handling)</w:t>
      </w:r>
    </w:p>
    <w:p>
      <w:pPr>
        <w:pStyle w:val="BodyText"/>
        <w:spacing w:before="125"/>
        <w:ind w:left="220"/>
      </w:pPr>
      <w:r>
        <w:rPr/>
        <w:t>How to handle formatting from the HTML source.</w:t>
      </w:r>
    </w:p>
    <w:p>
      <w:pPr>
        <w:pStyle w:val="BodyText"/>
        <w:spacing w:before="8"/>
        <w:rPr>
          <w:sz w:val="19"/>
        </w:rPr>
      </w:pPr>
    </w:p>
    <w:p>
      <w:pPr>
        <w:pStyle w:val="BodyText"/>
        <w:spacing w:line="489" w:lineRule="auto"/>
        <w:ind w:left="220" w:right="2804"/>
      </w:pPr>
      <w:r>
        <w:rPr/>
        <w:pict>
          <v:shape style="position:absolute;margin-left:48pt;margin-top:42.99366pt;width:516.35pt;height:37pt;mso-position-horizontal-relative:page;mso-position-vertical-relative:paragraph;z-index:2519173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2"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7" w:hRule="atLeast"/>
                    </w:trPr>
                    <w:tc>
                      <w:tcPr>
                        <w:tcW w:w="5156" w:type="dxa"/>
                      </w:tcPr>
                      <w:p>
                        <w:pPr>
                          <w:pStyle w:val="TableParagraph"/>
                          <w:spacing w:before="42"/>
                          <w:rPr>
                            <w:sz w:val="22"/>
                          </w:rPr>
                        </w:pPr>
                        <w:r>
                          <w:rPr>
                            <w:rFonts w:ascii="Cambria"/>
                            <w:sz w:val="22"/>
                          </w:rPr>
                          <w:t>all </w:t>
                        </w:r>
                        <w:r>
                          <w:rPr>
                            <w:sz w:val="22"/>
                          </w:rPr>
                          <w:t>(All)</w:t>
                        </w:r>
                      </w:p>
                    </w:tc>
                    <w:tc>
                      <w:tcPr>
                        <w:tcW w:w="5156" w:type="dxa"/>
                      </w:tcPr>
                      <w:p>
                        <w:pPr>
                          <w:pStyle w:val="TableParagraph"/>
                          <w:spacing w:before="42"/>
                          <w:ind w:left="96" w:right="138"/>
                          <w:jc w:val="center"/>
                          <w:rPr>
                            <w:sz w:val="22"/>
                          </w:rPr>
                        </w:pPr>
                        <w:r>
                          <w:rPr>
                            <w:sz w:val="22"/>
                          </w:rPr>
                          <w:t>Transfer all HTML formatting into the worksheet along</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with data.</w:t>
            </w:r>
          </w:p>
        </w:tc>
      </w:tr>
      <w:tr>
        <w:trPr>
          <w:trHeight w:val="623" w:hRule="atLeast"/>
        </w:trPr>
        <w:tc>
          <w:tcPr>
            <w:tcW w:w="5156" w:type="dxa"/>
          </w:tcPr>
          <w:p>
            <w:pPr>
              <w:pStyle w:val="TableParagraph"/>
              <w:rPr>
                <w:sz w:val="22"/>
              </w:rPr>
            </w:pPr>
            <w:r>
              <w:rPr>
                <w:rFonts w:ascii="Cambria"/>
                <w:sz w:val="22"/>
              </w:rPr>
              <w:t>none </w:t>
            </w:r>
            <w:r>
              <w:rPr>
                <w:sz w:val="22"/>
              </w:rPr>
              <w:t>(No Formatting)</w:t>
            </w:r>
          </w:p>
        </w:tc>
        <w:tc>
          <w:tcPr>
            <w:tcW w:w="5156" w:type="dxa"/>
          </w:tcPr>
          <w:p>
            <w:pPr>
              <w:pStyle w:val="TableParagraph"/>
              <w:ind w:right="329"/>
              <w:rPr>
                <w:sz w:val="22"/>
              </w:rPr>
            </w:pPr>
            <w:r>
              <w:rPr>
                <w:sz w:val="22"/>
              </w:rPr>
              <w:t>Bring data in as unformatted text (setting data types still occurs).</w:t>
            </w:r>
          </w:p>
        </w:tc>
      </w:tr>
      <w:tr>
        <w:trPr>
          <w:trHeight w:val="623" w:hRule="atLeast"/>
        </w:trPr>
        <w:tc>
          <w:tcPr>
            <w:tcW w:w="5156" w:type="dxa"/>
          </w:tcPr>
          <w:p>
            <w:pPr>
              <w:pStyle w:val="TableParagraph"/>
              <w:rPr>
                <w:sz w:val="22"/>
              </w:rPr>
            </w:pPr>
            <w:r>
              <w:rPr>
                <w:rFonts w:ascii="Cambria"/>
                <w:sz w:val="22"/>
              </w:rPr>
              <w:t>rtf </w:t>
            </w:r>
            <w:r>
              <w:rPr>
                <w:sz w:val="22"/>
              </w:rPr>
              <w:t>(Honor Rich Text)</w:t>
            </w:r>
          </w:p>
        </w:tc>
        <w:tc>
          <w:tcPr>
            <w:tcW w:w="5156" w:type="dxa"/>
          </w:tcPr>
          <w:p>
            <w:pPr>
              <w:pStyle w:val="TableParagraph"/>
              <w:ind w:right="282"/>
              <w:rPr>
                <w:sz w:val="22"/>
              </w:rPr>
            </w:pPr>
            <w:r>
              <w:rPr>
                <w:sz w:val="22"/>
              </w:rPr>
              <w:t>Translate HTML formatting to rich text formatting on the data brought into the worksheet.</w:t>
            </w:r>
          </w:p>
        </w:tc>
      </w:tr>
    </w:tbl>
    <w:p>
      <w:pPr>
        <w:pStyle w:val="BodyText"/>
        <w:rPr>
          <w:sz w:val="20"/>
        </w:rPr>
      </w:pPr>
    </w:p>
    <w:p>
      <w:pPr>
        <w:pStyle w:val="BodyText"/>
        <w:spacing w:before="10"/>
        <w:rPr>
          <w:sz w:val="16"/>
        </w:rPr>
      </w:pPr>
    </w:p>
    <w:p>
      <w:pPr>
        <w:pStyle w:val="BodyText"/>
        <w:spacing w:line="276" w:lineRule="auto" w:before="56"/>
        <w:ind w:left="220" w:right="422"/>
      </w:pPr>
      <w:r>
        <w:rPr/>
        <w:t>[</w:t>
      </w:r>
      <w:r>
        <w:rPr>
          <w:i/>
        </w:rPr>
        <w:t>Note</w:t>
      </w:r>
      <w:r>
        <w:rPr/>
        <w:t>: The W3C XML Schema definition of this simple type’s content model (</w:t>
      </w:r>
      <w:r>
        <w:rPr>
          <w:color w:val="5F5F5F"/>
          <w:u w:val="single" w:color="5F5F5F"/>
        </w:rPr>
        <w:t>ST_HtmlFmt</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42 ST_IconSetType (Icon Set Type)" w:id="2591"/>
      <w:bookmarkEnd w:id="2591"/>
      <w:r>
        <w:rPr>
          <w:b w:val="0"/>
        </w:rPr>
      </w:r>
      <w:bookmarkStart w:name="_bookmark864" w:id="2592"/>
      <w:bookmarkEnd w:id="2592"/>
      <w:r>
        <w:rPr>
          <w:b w:val="0"/>
        </w:rPr>
      </w:r>
      <w:bookmarkStart w:name="_bookmark864" w:id="2593"/>
      <w:bookmarkEnd w:id="2593"/>
      <w:r>
        <w:rPr>
          <w:color w:val="4F81BC"/>
        </w:rPr>
        <w:t>S</w:t>
      </w:r>
      <w:r>
        <w:rPr>
          <w:color w:val="4F81BC"/>
        </w:rPr>
        <w:t>T_IconSetType (Icon Set</w:t>
      </w:r>
      <w:r>
        <w:rPr>
          <w:color w:val="4F81BC"/>
          <w:spacing w:val="-2"/>
        </w:rPr>
        <w:t> </w:t>
      </w:r>
      <w:r>
        <w:rPr>
          <w:color w:val="4F81BC"/>
        </w:rPr>
        <w:t>Type)</w:t>
      </w:r>
    </w:p>
    <w:p>
      <w:pPr>
        <w:pStyle w:val="BodyText"/>
        <w:spacing w:line="276" w:lineRule="auto" w:before="125"/>
        <w:ind w:left="220" w:right="615"/>
      </w:pPr>
      <w:r>
        <w:rPr/>
        <w:t>Icon set type for conditional formatting. The threshold values for triggering the different icons within a set are configurable, and the icon order is reversible. See element </w:t>
      </w:r>
      <w:r>
        <w:rPr>
          <w:rFonts w:ascii="Cambria"/>
        </w:rPr>
        <w:t>iconSet </w:t>
      </w:r>
      <w:r>
        <w:rPr/>
        <w:t>for more information.</w:t>
      </w:r>
    </w:p>
    <w:p>
      <w:pPr>
        <w:pStyle w:val="BodyText"/>
        <w:spacing w:line="489" w:lineRule="auto" w:before="201"/>
        <w:ind w:left="220" w:right="2804"/>
      </w:pPr>
      <w:r>
        <w:rPr/>
        <w:pict>
          <v:shape style="position:absolute;margin-left:48pt;margin-top:53.04364pt;width:516.35pt;height:365pt;mso-position-horizontal-relative:page;mso-position-vertical-relative:paragraph;z-index:2519183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427" w:hRule="atLeast"/>
                    </w:trPr>
                    <w:tc>
                      <w:tcPr>
                        <w:tcW w:w="5156" w:type="dxa"/>
                      </w:tcPr>
                      <w:p>
                        <w:pPr>
                          <w:pStyle w:val="TableParagraph"/>
                          <w:rPr>
                            <w:sz w:val="22"/>
                          </w:rPr>
                        </w:pPr>
                        <w:r>
                          <w:rPr>
                            <w:rFonts w:ascii="Cambria"/>
                            <w:sz w:val="22"/>
                          </w:rPr>
                          <w:t>3Arrows </w:t>
                        </w:r>
                        <w:r>
                          <w:rPr>
                            <w:sz w:val="22"/>
                          </w:rPr>
                          <w:t>(3 Arrows)</w:t>
                        </w:r>
                      </w:p>
                    </w:tc>
                    <w:tc>
                      <w:tcPr>
                        <w:tcW w:w="5156" w:type="dxa"/>
                      </w:tcPr>
                      <w:p>
                        <w:pPr>
                          <w:pStyle w:val="TableParagraph"/>
                          <w:rPr>
                            <w:sz w:val="22"/>
                          </w:rPr>
                        </w:pPr>
                        <w:r>
                          <w:rPr>
                            <w:sz w:val="22"/>
                          </w:rPr>
                          <w:t>3 arrows icon set.</w:t>
                        </w:r>
                      </w:p>
                      <w:p>
                        <w:pPr>
                          <w:pStyle w:val="TableParagraph"/>
                          <w:spacing w:before="4"/>
                          <w:ind w:left="0"/>
                          <w:rPr>
                            <w:sz w:val="24"/>
                          </w:rPr>
                        </w:pPr>
                      </w:p>
                      <w:p>
                        <w:pPr>
                          <w:pStyle w:val="TableParagraph"/>
                          <w:spacing w:line="240" w:lineRule="exact" w:before="0"/>
                          <w:ind w:left="114"/>
                          <w:rPr>
                            <w:sz w:val="20"/>
                          </w:rPr>
                        </w:pPr>
                        <w:r>
                          <w:rPr>
                            <w:position w:val="-4"/>
                            <w:sz w:val="20"/>
                          </w:rPr>
                          <w:drawing>
                            <wp:inline distT="0" distB="0" distL="0" distR="0">
                              <wp:extent cx="609600" cy="152400"/>
                              <wp:effectExtent l="0" t="0" r="0" b="0"/>
                              <wp:docPr id="195" name="image96.png"/>
                              <wp:cNvGraphicFramePr>
                                <a:graphicFrameLocks noChangeAspect="1"/>
                              </wp:cNvGraphicFramePr>
                              <a:graphic>
                                <a:graphicData uri="http://schemas.openxmlformats.org/drawingml/2006/picture">
                                  <pic:pic>
                                    <pic:nvPicPr>
                                      <pic:cNvPr id="196" name="image96.png"/>
                                      <pic:cNvPicPr/>
                                    </pic:nvPicPr>
                                    <pic:blipFill>
                                      <a:blip r:embed="rId314" cstate="print"/>
                                      <a:stretch>
                                        <a:fillRect/>
                                      </a:stretch>
                                    </pic:blipFill>
                                    <pic:spPr>
                                      <a:xfrm>
                                        <a:off x="0" y="0"/>
                                        <a:ext cx="609600" cy="152400"/>
                                      </a:xfrm>
                                      <a:prstGeom prst="rect">
                                        <a:avLst/>
                                      </a:prstGeom>
                                    </pic:spPr>
                                  </pic:pic>
                                </a:graphicData>
                              </a:graphic>
                            </wp:inline>
                          </w:drawing>
                        </w:r>
                        <w:r>
                          <w:rPr>
                            <w:position w:val="-4"/>
                            <w:sz w:val="20"/>
                          </w:rPr>
                        </w:r>
                      </w:p>
                      <w:p>
                        <w:pPr>
                          <w:pStyle w:val="TableParagraph"/>
                          <w:spacing w:before="0"/>
                          <w:ind w:left="0"/>
                          <w:rPr>
                            <w:sz w:val="20"/>
                          </w:rPr>
                        </w:pPr>
                      </w:p>
                      <w:p>
                        <w:pPr>
                          <w:pStyle w:val="TableParagraph"/>
                          <w:spacing w:before="7"/>
                          <w:ind w:left="0"/>
                          <w:rPr>
                            <w:sz w:val="27"/>
                          </w:rPr>
                        </w:pPr>
                      </w:p>
                    </w:tc>
                  </w:tr>
                  <w:tr>
                    <w:trPr>
                      <w:trHeight w:val="1430" w:hRule="atLeast"/>
                    </w:trPr>
                    <w:tc>
                      <w:tcPr>
                        <w:tcW w:w="5156" w:type="dxa"/>
                      </w:tcPr>
                      <w:p>
                        <w:pPr>
                          <w:pStyle w:val="TableParagraph"/>
                          <w:rPr>
                            <w:sz w:val="22"/>
                          </w:rPr>
                        </w:pPr>
                        <w:r>
                          <w:rPr>
                            <w:rFonts w:ascii="Cambria"/>
                            <w:sz w:val="22"/>
                          </w:rPr>
                          <w:t>3ArrowsGray </w:t>
                        </w:r>
                        <w:r>
                          <w:rPr>
                            <w:sz w:val="22"/>
                          </w:rPr>
                          <w:t>(3 Arrows (Gray))</w:t>
                        </w:r>
                      </w:p>
                    </w:tc>
                    <w:tc>
                      <w:tcPr>
                        <w:tcW w:w="5156" w:type="dxa"/>
                      </w:tcPr>
                      <w:p>
                        <w:pPr>
                          <w:pStyle w:val="TableParagraph"/>
                          <w:rPr>
                            <w:sz w:val="22"/>
                          </w:rPr>
                        </w:pPr>
                        <w:r>
                          <w:rPr>
                            <w:sz w:val="22"/>
                          </w:rPr>
                          <w:t>3 gray arrows icon set.</w:t>
                        </w:r>
                      </w:p>
                      <w:p>
                        <w:pPr>
                          <w:pStyle w:val="TableParagraph"/>
                          <w:spacing w:before="6" w:after="1"/>
                          <w:ind w:left="0"/>
                          <w:rPr>
                            <w:sz w:val="24"/>
                          </w:rPr>
                        </w:pPr>
                      </w:p>
                      <w:p>
                        <w:pPr>
                          <w:pStyle w:val="TableParagraph"/>
                          <w:spacing w:line="240" w:lineRule="exact" w:before="0"/>
                          <w:ind w:left="114"/>
                          <w:rPr>
                            <w:sz w:val="20"/>
                          </w:rPr>
                        </w:pPr>
                        <w:r>
                          <w:rPr>
                            <w:position w:val="-4"/>
                            <w:sz w:val="20"/>
                          </w:rPr>
                          <w:drawing>
                            <wp:inline distT="0" distB="0" distL="0" distR="0">
                              <wp:extent cx="609600" cy="152400"/>
                              <wp:effectExtent l="0" t="0" r="0" b="0"/>
                              <wp:docPr id="197" name="image97.png"/>
                              <wp:cNvGraphicFramePr>
                                <a:graphicFrameLocks noChangeAspect="1"/>
                              </wp:cNvGraphicFramePr>
                              <a:graphic>
                                <a:graphicData uri="http://schemas.openxmlformats.org/drawingml/2006/picture">
                                  <pic:pic>
                                    <pic:nvPicPr>
                                      <pic:cNvPr id="198" name="image97.png"/>
                                      <pic:cNvPicPr/>
                                    </pic:nvPicPr>
                                    <pic:blipFill>
                                      <a:blip r:embed="rId315" cstate="print"/>
                                      <a:stretch>
                                        <a:fillRect/>
                                      </a:stretch>
                                    </pic:blipFill>
                                    <pic:spPr>
                                      <a:xfrm>
                                        <a:off x="0" y="0"/>
                                        <a:ext cx="609600" cy="152400"/>
                                      </a:xfrm>
                                      <a:prstGeom prst="rect">
                                        <a:avLst/>
                                      </a:prstGeom>
                                    </pic:spPr>
                                  </pic:pic>
                                </a:graphicData>
                              </a:graphic>
                            </wp:inline>
                          </w:drawing>
                        </w:r>
                        <w:r>
                          <w:rPr>
                            <w:position w:val="-4"/>
                            <w:sz w:val="20"/>
                          </w:rPr>
                        </w:r>
                      </w:p>
                      <w:p>
                        <w:pPr>
                          <w:pStyle w:val="TableParagraph"/>
                          <w:spacing w:before="0"/>
                          <w:ind w:left="0"/>
                          <w:rPr>
                            <w:sz w:val="20"/>
                          </w:rPr>
                        </w:pPr>
                      </w:p>
                      <w:p>
                        <w:pPr>
                          <w:pStyle w:val="TableParagraph"/>
                          <w:spacing w:before="8"/>
                          <w:ind w:left="0"/>
                          <w:rPr>
                            <w:sz w:val="27"/>
                          </w:rPr>
                        </w:pPr>
                      </w:p>
                    </w:tc>
                  </w:tr>
                  <w:tr>
                    <w:trPr>
                      <w:trHeight w:val="1427" w:hRule="atLeast"/>
                    </w:trPr>
                    <w:tc>
                      <w:tcPr>
                        <w:tcW w:w="5156" w:type="dxa"/>
                      </w:tcPr>
                      <w:p>
                        <w:pPr>
                          <w:pStyle w:val="TableParagraph"/>
                          <w:rPr>
                            <w:sz w:val="22"/>
                          </w:rPr>
                        </w:pPr>
                        <w:r>
                          <w:rPr>
                            <w:rFonts w:ascii="Cambria"/>
                            <w:sz w:val="22"/>
                          </w:rPr>
                          <w:t>3Flags </w:t>
                        </w:r>
                        <w:r>
                          <w:rPr>
                            <w:sz w:val="22"/>
                          </w:rPr>
                          <w:t>(3 Flags)</w:t>
                        </w:r>
                      </w:p>
                    </w:tc>
                    <w:tc>
                      <w:tcPr>
                        <w:tcW w:w="5156" w:type="dxa"/>
                      </w:tcPr>
                      <w:p>
                        <w:pPr>
                          <w:pStyle w:val="TableParagraph"/>
                          <w:rPr>
                            <w:sz w:val="22"/>
                          </w:rPr>
                        </w:pPr>
                        <w:r>
                          <w:rPr>
                            <w:sz w:val="22"/>
                          </w:rPr>
                          <w:t>3 flags icon set.</w:t>
                        </w:r>
                      </w:p>
                      <w:p>
                        <w:pPr>
                          <w:pStyle w:val="TableParagraph"/>
                          <w:spacing w:before="4"/>
                          <w:ind w:left="0"/>
                          <w:rPr>
                            <w:sz w:val="24"/>
                          </w:rPr>
                        </w:pPr>
                      </w:p>
                      <w:p>
                        <w:pPr>
                          <w:pStyle w:val="TableParagraph"/>
                          <w:spacing w:line="240" w:lineRule="exact" w:before="0"/>
                          <w:ind w:left="114"/>
                          <w:rPr>
                            <w:sz w:val="20"/>
                          </w:rPr>
                        </w:pPr>
                        <w:r>
                          <w:rPr>
                            <w:position w:val="-4"/>
                            <w:sz w:val="20"/>
                          </w:rPr>
                          <w:drawing>
                            <wp:inline distT="0" distB="0" distL="0" distR="0">
                              <wp:extent cx="609600" cy="152400"/>
                              <wp:effectExtent l="0" t="0" r="0" b="0"/>
                              <wp:docPr id="199" name="image98.jpeg"/>
                              <wp:cNvGraphicFramePr>
                                <a:graphicFrameLocks noChangeAspect="1"/>
                              </wp:cNvGraphicFramePr>
                              <a:graphic>
                                <a:graphicData uri="http://schemas.openxmlformats.org/drawingml/2006/picture">
                                  <pic:pic>
                                    <pic:nvPicPr>
                                      <pic:cNvPr id="200" name="image98.jpeg"/>
                                      <pic:cNvPicPr/>
                                    </pic:nvPicPr>
                                    <pic:blipFill>
                                      <a:blip r:embed="rId316" cstate="print"/>
                                      <a:stretch>
                                        <a:fillRect/>
                                      </a:stretch>
                                    </pic:blipFill>
                                    <pic:spPr>
                                      <a:xfrm>
                                        <a:off x="0" y="0"/>
                                        <a:ext cx="609600" cy="152400"/>
                                      </a:xfrm>
                                      <a:prstGeom prst="rect">
                                        <a:avLst/>
                                      </a:prstGeom>
                                    </pic:spPr>
                                  </pic:pic>
                                </a:graphicData>
                              </a:graphic>
                            </wp:inline>
                          </w:drawing>
                        </w:r>
                        <w:r>
                          <w:rPr>
                            <w:position w:val="-4"/>
                            <w:sz w:val="20"/>
                          </w:rPr>
                        </w:r>
                      </w:p>
                      <w:p>
                        <w:pPr>
                          <w:pStyle w:val="TableParagraph"/>
                          <w:spacing w:before="0"/>
                          <w:ind w:left="0"/>
                          <w:rPr>
                            <w:sz w:val="20"/>
                          </w:rPr>
                        </w:pPr>
                      </w:p>
                      <w:p>
                        <w:pPr>
                          <w:pStyle w:val="TableParagraph"/>
                          <w:spacing w:before="8"/>
                          <w:ind w:left="0"/>
                          <w:rPr>
                            <w:sz w:val="27"/>
                          </w:rPr>
                        </w:pPr>
                      </w:p>
                    </w:tc>
                  </w:tr>
                  <w:tr>
                    <w:trPr>
                      <w:trHeight w:val="1430" w:hRule="atLeast"/>
                    </w:trPr>
                    <w:tc>
                      <w:tcPr>
                        <w:tcW w:w="5156" w:type="dxa"/>
                      </w:tcPr>
                      <w:p>
                        <w:pPr>
                          <w:pStyle w:val="TableParagraph"/>
                          <w:rPr>
                            <w:sz w:val="22"/>
                          </w:rPr>
                        </w:pPr>
                        <w:r>
                          <w:rPr>
                            <w:rFonts w:ascii="Cambria"/>
                            <w:sz w:val="22"/>
                          </w:rPr>
                          <w:t>3Signs </w:t>
                        </w:r>
                        <w:r>
                          <w:rPr>
                            <w:sz w:val="22"/>
                          </w:rPr>
                          <w:t>(3 Signs)</w:t>
                        </w:r>
                      </w:p>
                    </w:tc>
                    <w:tc>
                      <w:tcPr>
                        <w:tcW w:w="5156" w:type="dxa"/>
                      </w:tcPr>
                      <w:p>
                        <w:pPr>
                          <w:pStyle w:val="TableParagraph"/>
                          <w:rPr>
                            <w:sz w:val="22"/>
                          </w:rPr>
                        </w:pPr>
                        <w:r>
                          <w:rPr>
                            <w:sz w:val="22"/>
                          </w:rPr>
                          <w:t>3 signs icon set.</w:t>
                        </w:r>
                      </w:p>
                      <w:p>
                        <w:pPr>
                          <w:pStyle w:val="TableParagraph"/>
                          <w:spacing w:before="6"/>
                          <w:ind w:left="0"/>
                          <w:rPr>
                            <w:sz w:val="24"/>
                          </w:rPr>
                        </w:pPr>
                      </w:p>
                      <w:p>
                        <w:pPr>
                          <w:pStyle w:val="TableParagraph"/>
                          <w:spacing w:line="240" w:lineRule="exact" w:before="0"/>
                          <w:ind w:left="114"/>
                          <w:rPr>
                            <w:sz w:val="20"/>
                          </w:rPr>
                        </w:pPr>
                        <w:r>
                          <w:rPr>
                            <w:position w:val="-4"/>
                            <w:sz w:val="20"/>
                          </w:rPr>
                          <w:drawing>
                            <wp:inline distT="0" distB="0" distL="0" distR="0">
                              <wp:extent cx="600455" cy="152400"/>
                              <wp:effectExtent l="0" t="0" r="0" b="0"/>
                              <wp:docPr id="201" name="image99.png"/>
                              <wp:cNvGraphicFramePr>
                                <a:graphicFrameLocks noChangeAspect="1"/>
                              </wp:cNvGraphicFramePr>
                              <a:graphic>
                                <a:graphicData uri="http://schemas.openxmlformats.org/drawingml/2006/picture">
                                  <pic:pic>
                                    <pic:nvPicPr>
                                      <pic:cNvPr id="202" name="image99.png"/>
                                      <pic:cNvPicPr/>
                                    </pic:nvPicPr>
                                    <pic:blipFill>
                                      <a:blip r:embed="rId317" cstate="print"/>
                                      <a:stretch>
                                        <a:fillRect/>
                                      </a:stretch>
                                    </pic:blipFill>
                                    <pic:spPr>
                                      <a:xfrm>
                                        <a:off x="0" y="0"/>
                                        <a:ext cx="600455" cy="152400"/>
                                      </a:xfrm>
                                      <a:prstGeom prst="rect">
                                        <a:avLst/>
                                      </a:prstGeom>
                                    </pic:spPr>
                                  </pic:pic>
                                </a:graphicData>
                              </a:graphic>
                            </wp:inline>
                          </w:drawing>
                        </w:r>
                        <w:r>
                          <w:rPr>
                            <w:position w:val="-4"/>
                            <w:sz w:val="20"/>
                          </w:rPr>
                        </w:r>
                      </w:p>
                      <w:p>
                        <w:pPr>
                          <w:pStyle w:val="TableParagraph"/>
                          <w:spacing w:before="0"/>
                          <w:ind w:left="0"/>
                          <w:rPr>
                            <w:sz w:val="20"/>
                          </w:rPr>
                        </w:pPr>
                      </w:p>
                      <w:p>
                        <w:pPr>
                          <w:pStyle w:val="TableParagraph"/>
                          <w:spacing w:before="8"/>
                          <w:ind w:left="0"/>
                          <w:rPr>
                            <w:sz w:val="27"/>
                          </w:rPr>
                        </w:pPr>
                      </w:p>
                    </w:tc>
                  </w:tr>
                  <w:tr>
                    <w:trPr>
                      <w:trHeight w:val="1158" w:hRule="atLeast"/>
                    </w:trPr>
                    <w:tc>
                      <w:tcPr>
                        <w:tcW w:w="5156" w:type="dxa"/>
                      </w:tcPr>
                      <w:p>
                        <w:pPr>
                          <w:pStyle w:val="TableParagraph"/>
                          <w:rPr>
                            <w:sz w:val="22"/>
                          </w:rPr>
                        </w:pPr>
                        <w:r>
                          <w:rPr>
                            <w:rFonts w:ascii="Cambria"/>
                            <w:sz w:val="22"/>
                          </w:rPr>
                          <w:t>3Symbols </w:t>
                        </w:r>
                        <w:r>
                          <w:rPr>
                            <w:sz w:val="22"/>
                          </w:rPr>
                          <w:t>(3 Symbols Circled)</w:t>
                        </w:r>
                      </w:p>
                    </w:tc>
                    <w:tc>
                      <w:tcPr>
                        <w:tcW w:w="5156" w:type="dxa"/>
                      </w:tcPr>
                      <w:p>
                        <w:pPr>
                          <w:pStyle w:val="TableParagraph"/>
                          <w:rPr>
                            <w:sz w:val="22"/>
                          </w:rPr>
                        </w:pPr>
                        <w:r>
                          <w:rPr>
                            <w:sz w:val="22"/>
                          </w:rPr>
                          <w:t>3 symbols icon set.</w:t>
                        </w:r>
                      </w:p>
                      <w:p>
                        <w:pPr>
                          <w:pStyle w:val="TableParagraph"/>
                          <w:spacing w:before="3"/>
                          <w:ind w:left="0"/>
                          <w:rPr>
                            <w:sz w:val="24"/>
                          </w:rPr>
                        </w:pPr>
                      </w:p>
                      <w:p>
                        <w:pPr>
                          <w:pStyle w:val="TableParagraph"/>
                          <w:spacing w:line="240" w:lineRule="exact" w:before="0"/>
                          <w:ind w:left="114"/>
                          <w:rPr>
                            <w:sz w:val="20"/>
                          </w:rPr>
                        </w:pPr>
                        <w:r>
                          <w:rPr>
                            <w:position w:val="-4"/>
                            <w:sz w:val="20"/>
                          </w:rPr>
                          <w:drawing>
                            <wp:inline distT="0" distB="0" distL="0" distR="0">
                              <wp:extent cx="609600" cy="152400"/>
                              <wp:effectExtent l="0" t="0" r="0" b="0"/>
                              <wp:docPr id="203" name="image100.jpeg"/>
                              <wp:cNvGraphicFramePr>
                                <a:graphicFrameLocks noChangeAspect="1"/>
                              </wp:cNvGraphicFramePr>
                              <a:graphic>
                                <a:graphicData uri="http://schemas.openxmlformats.org/drawingml/2006/picture">
                                  <pic:pic>
                                    <pic:nvPicPr>
                                      <pic:cNvPr id="204" name="image100.jpeg"/>
                                      <pic:cNvPicPr/>
                                    </pic:nvPicPr>
                                    <pic:blipFill>
                                      <a:blip r:embed="rId318" cstate="print"/>
                                      <a:stretch>
                                        <a:fillRect/>
                                      </a:stretch>
                                    </pic:blipFill>
                                    <pic:spPr>
                                      <a:xfrm>
                                        <a:off x="0" y="0"/>
                                        <a:ext cx="609600" cy="152400"/>
                                      </a:xfrm>
                                      <a:prstGeom prst="rect">
                                        <a:avLst/>
                                      </a:prstGeom>
                                    </pic:spPr>
                                  </pic:pic>
                                </a:graphicData>
                              </a:graphic>
                            </wp:inline>
                          </w:drawing>
                        </w:r>
                        <w:r>
                          <w:rPr>
                            <w:position w:val="-4"/>
                            <w:sz w:val="20"/>
                          </w:rPr>
                        </w:r>
                      </w:p>
                      <w:p>
                        <w:pPr>
                          <w:pStyle w:val="TableParagraph"/>
                          <w:spacing w:before="8"/>
                          <w:ind w:left="0"/>
                          <w:rPr>
                            <w:sz w:val="25"/>
                          </w:rPr>
                        </w:pP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spacing w:before="0"/>
              <w:ind w:left="0"/>
              <w:rPr>
                <w:rFonts w:ascii="Times New Roman"/>
                <w:sz w:val="22"/>
              </w:rPr>
            </w:pPr>
          </w:p>
        </w:tc>
        <w:tc>
          <w:tcPr>
            <w:tcW w:w="5156" w:type="dxa"/>
          </w:tcPr>
          <w:p>
            <w:pPr>
              <w:pStyle w:val="TableParagraph"/>
              <w:spacing w:before="0"/>
              <w:ind w:left="0"/>
              <w:rPr>
                <w:rFonts w:ascii="Times New Roman"/>
                <w:sz w:val="22"/>
              </w:rPr>
            </w:pPr>
          </w:p>
        </w:tc>
      </w:tr>
      <w:tr>
        <w:trPr>
          <w:trHeight w:val="1427" w:hRule="atLeast"/>
        </w:trPr>
        <w:tc>
          <w:tcPr>
            <w:tcW w:w="5156" w:type="dxa"/>
          </w:tcPr>
          <w:p>
            <w:pPr>
              <w:pStyle w:val="TableParagraph"/>
              <w:rPr>
                <w:sz w:val="22"/>
              </w:rPr>
            </w:pPr>
            <w:r>
              <w:rPr>
                <w:rFonts w:ascii="Cambria"/>
                <w:sz w:val="22"/>
              </w:rPr>
              <w:t>3Symbols2 </w:t>
            </w:r>
            <w:r>
              <w:rPr>
                <w:sz w:val="22"/>
              </w:rPr>
              <w:t>(3 Symbols)</w:t>
            </w:r>
          </w:p>
        </w:tc>
        <w:tc>
          <w:tcPr>
            <w:tcW w:w="5156" w:type="dxa"/>
          </w:tcPr>
          <w:p>
            <w:pPr>
              <w:pStyle w:val="TableParagraph"/>
              <w:rPr>
                <w:sz w:val="22"/>
              </w:rPr>
            </w:pPr>
            <w:r>
              <w:rPr>
                <w:sz w:val="22"/>
              </w:rPr>
              <w:t>3 Symbols icon set.</w:t>
            </w:r>
          </w:p>
          <w:p>
            <w:pPr>
              <w:pStyle w:val="TableParagraph"/>
              <w:spacing w:before="10"/>
              <w:ind w:left="0"/>
              <w:rPr>
                <w:rFonts w:ascii="Times New Roman"/>
                <w:sz w:val="25"/>
              </w:rPr>
            </w:pPr>
          </w:p>
          <w:p>
            <w:pPr>
              <w:pStyle w:val="TableParagraph"/>
              <w:spacing w:before="0"/>
              <w:ind w:left="114"/>
              <w:rPr>
                <w:rFonts w:ascii="Times New Roman"/>
                <w:sz w:val="20"/>
              </w:rPr>
            </w:pPr>
            <w:r>
              <w:rPr>
                <w:rFonts w:ascii="Times New Roman"/>
                <w:sz w:val="20"/>
              </w:rPr>
              <w:drawing>
                <wp:inline distT="0" distB="0" distL="0" distR="0">
                  <wp:extent cx="609600" cy="152400"/>
                  <wp:effectExtent l="0" t="0" r="0" b="0"/>
                  <wp:docPr id="205" name="image101.jpeg"/>
                  <wp:cNvGraphicFramePr>
                    <a:graphicFrameLocks noChangeAspect="1"/>
                  </wp:cNvGraphicFramePr>
                  <a:graphic>
                    <a:graphicData uri="http://schemas.openxmlformats.org/drawingml/2006/picture">
                      <pic:pic>
                        <pic:nvPicPr>
                          <pic:cNvPr id="206" name="image101.jpeg"/>
                          <pic:cNvPicPr/>
                        </pic:nvPicPr>
                        <pic:blipFill>
                          <a:blip r:embed="rId319" cstate="print"/>
                          <a:stretch>
                            <a:fillRect/>
                          </a:stretch>
                        </pic:blipFill>
                        <pic:spPr>
                          <a:xfrm>
                            <a:off x="0" y="0"/>
                            <a:ext cx="609600"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430" w:hRule="atLeast"/>
        </w:trPr>
        <w:tc>
          <w:tcPr>
            <w:tcW w:w="5156" w:type="dxa"/>
          </w:tcPr>
          <w:p>
            <w:pPr>
              <w:pStyle w:val="TableParagraph"/>
              <w:rPr>
                <w:sz w:val="22"/>
              </w:rPr>
            </w:pPr>
            <w:r>
              <w:rPr>
                <w:rFonts w:ascii="Cambria"/>
                <w:sz w:val="22"/>
              </w:rPr>
              <w:t>3TrafficLights1 </w:t>
            </w:r>
            <w:r>
              <w:rPr>
                <w:sz w:val="22"/>
              </w:rPr>
              <w:t>(3 Traffic Lights)</w:t>
            </w:r>
          </w:p>
        </w:tc>
        <w:tc>
          <w:tcPr>
            <w:tcW w:w="5156" w:type="dxa"/>
          </w:tcPr>
          <w:p>
            <w:pPr>
              <w:pStyle w:val="TableParagraph"/>
              <w:rPr>
                <w:sz w:val="22"/>
              </w:rPr>
            </w:pPr>
            <w:r>
              <w:rPr>
                <w:sz w:val="22"/>
              </w:rPr>
              <w:t>3 traffic lights icon set (#1).</w:t>
            </w:r>
          </w:p>
          <w:p>
            <w:pPr>
              <w:pStyle w:val="TableParagraph"/>
              <w:spacing w:before="1"/>
              <w:ind w:left="0"/>
              <w:rPr>
                <w:rFonts w:ascii="Times New Roman"/>
                <w:sz w:val="26"/>
              </w:rPr>
            </w:pPr>
          </w:p>
          <w:p>
            <w:pPr>
              <w:pStyle w:val="TableParagraph"/>
              <w:spacing w:before="0"/>
              <w:ind w:left="114"/>
              <w:rPr>
                <w:rFonts w:ascii="Times New Roman"/>
                <w:sz w:val="20"/>
              </w:rPr>
            </w:pPr>
            <w:r>
              <w:rPr>
                <w:rFonts w:ascii="Times New Roman"/>
                <w:sz w:val="20"/>
              </w:rPr>
              <w:drawing>
                <wp:inline distT="0" distB="0" distL="0" distR="0">
                  <wp:extent cx="609600" cy="152400"/>
                  <wp:effectExtent l="0" t="0" r="0" b="0"/>
                  <wp:docPr id="207" name="image102.jpeg"/>
                  <wp:cNvGraphicFramePr>
                    <a:graphicFrameLocks noChangeAspect="1"/>
                  </wp:cNvGraphicFramePr>
                  <a:graphic>
                    <a:graphicData uri="http://schemas.openxmlformats.org/drawingml/2006/picture">
                      <pic:pic>
                        <pic:nvPicPr>
                          <pic:cNvPr id="208" name="image102.jpeg"/>
                          <pic:cNvPicPr/>
                        </pic:nvPicPr>
                        <pic:blipFill>
                          <a:blip r:embed="rId320" cstate="print"/>
                          <a:stretch>
                            <a:fillRect/>
                          </a:stretch>
                        </pic:blipFill>
                        <pic:spPr>
                          <a:xfrm>
                            <a:off x="0" y="0"/>
                            <a:ext cx="609600"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428" w:hRule="atLeast"/>
        </w:trPr>
        <w:tc>
          <w:tcPr>
            <w:tcW w:w="5156" w:type="dxa"/>
          </w:tcPr>
          <w:p>
            <w:pPr>
              <w:pStyle w:val="TableParagraph"/>
              <w:rPr>
                <w:sz w:val="22"/>
              </w:rPr>
            </w:pPr>
            <w:r>
              <w:rPr>
                <w:rFonts w:ascii="Cambria"/>
                <w:sz w:val="22"/>
              </w:rPr>
              <w:t>3TrafficLights2 </w:t>
            </w:r>
            <w:r>
              <w:rPr>
                <w:sz w:val="22"/>
              </w:rPr>
              <w:t>(3 Traffic Lights Black)</w:t>
            </w:r>
          </w:p>
        </w:tc>
        <w:tc>
          <w:tcPr>
            <w:tcW w:w="5156" w:type="dxa"/>
          </w:tcPr>
          <w:p>
            <w:pPr>
              <w:pStyle w:val="TableParagraph"/>
              <w:rPr>
                <w:sz w:val="22"/>
              </w:rPr>
            </w:pPr>
            <w:r>
              <w:rPr>
                <w:sz w:val="22"/>
              </w:rPr>
              <w:t>3 traffic lights icon set with thick black border.</w:t>
            </w:r>
          </w:p>
          <w:p>
            <w:pPr>
              <w:pStyle w:val="TableParagraph"/>
              <w:spacing w:before="10"/>
              <w:ind w:left="0"/>
              <w:rPr>
                <w:rFonts w:ascii="Times New Roman"/>
                <w:sz w:val="25"/>
              </w:rPr>
            </w:pPr>
          </w:p>
          <w:p>
            <w:pPr>
              <w:pStyle w:val="TableParagraph"/>
              <w:spacing w:before="0"/>
              <w:ind w:left="114"/>
              <w:rPr>
                <w:rFonts w:ascii="Times New Roman"/>
                <w:sz w:val="20"/>
              </w:rPr>
            </w:pPr>
            <w:r>
              <w:rPr>
                <w:rFonts w:ascii="Times New Roman"/>
                <w:sz w:val="20"/>
              </w:rPr>
              <w:drawing>
                <wp:inline distT="0" distB="0" distL="0" distR="0">
                  <wp:extent cx="609600" cy="152400"/>
                  <wp:effectExtent l="0" t="0" r="0" b="0"/>
                  <wp:docPr id="209" name="image103.jpeg"/>
                  <wp:cNvGraphicFramePr>
                    <a:graphicFrameLocks noChangeAspect="1"/>
                  </wp:cNvGraphicFramePr>
                  <a:graphic>
                    <a:graphicData uri="http://schemas.openxmlformats.org/drawingml/2006/picture">
                      <pic:pic>
                        <pic:nvPicPr>
                          <pic:cNvPr id="210" name="image103.jpeg"/>
                          <pic:cNvPicPr/>
                        </pic:nvPicPr>
                        <pic:blipFill>
                          <a:blip r:embed="rId321" cstate="print"/>
                          <a:stretch>
                            <a:fillRect/>
                          </a:stretch>
                        </pic:blipFill>
                        <pic:spPr>
                          <a:xfrm>
                            <a:off x="0" y="0"/>
                            <a:ext cx="609600"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430" w:hRule="atLeast"/>
        </w:trPr>
        <w:tc>
          <w:tcPr>
            <w:tcW w:w="5156" w:type="dxa"/>
          </w:tcPr>
          <w:p>
            <w:pPr>
              <w:pStyle w:val="TableParagraph"/>
              <w:rPr>
                <w:sz w:val="22"/>
              </w:rPr>
            </w:pPr>
            <w:r>
              <w:rPr>
                <w:rFonts w:ascii="Cambria"/>
                <w:sz w:val="22"/>
              </w:rPr>
              <w:t>4Arrows </w:t>
            </w:r>
            <w:r>
              <w:rPr>
                <w:sz w:val="22"/>
              </w:rPr>
              <w:t>(4 Arrows)</w:t>
            </w:r>
          </w:p>
        </w:tc>
        <w:tc>
          <w:tcPr>
            <w:tcW w:w="5156" w:type="dxa"/>
          </w:tcPr>
          <w:p>
            <w:pPr>
              <w:pStyle w:val="TableParagraph"/>
              <w:rPr>
                <w:sz w:val="22"/>
              </w:rPr>
            </w:pPr>
            <w:r>
              <w:rPr>
                <w:sz w:val="22"/>
              </w:rPr>
              <w:t>4 arrows icon set.</w:t>
            </w:r>
          </w:p>
          <w:p>
            <w:pPr>
              <w:pStyle w:val="TableParagraph"/>
              <w:spacing w:before="0" w:after="1"/>
              <w:ind w:left="0"/>
              <w:rPr>
                <w:rFonts w:ascii="Times New Roman"/>
                <w:sz w:val="26"/>
              </w:rPr>
            </w:pPr>
          </w:p>
          <w:p>
            <w:pPr>
              <w:pStyle w:val="TableParagraph"/>
              <w:spacing w:before="0"/>
              <w:ind w:left="114"/>
              <w:rPr>
                <w:rFonts w:ascii="Times New Roman"/>
                <w:sz w:val="20"/>
              </w:rPr>
            </w:pPr>
            <w:r>
              <w:rPr>
                <w:rFonts w:ascii="Times New Roman"/>
                <w:sz w:val="20"/>
              </w:rPr>
              <w:drawing>
                <wp:inline distT="0" distB="0" distL="0" distR="0">
                  <wp:extent cx="829055" cy="152400"/>
                  <wp:effectExtent l="0" t="0" r="0" b="0"/>
                  <wp:docPr id="211" name="image104.png"/>
                  <wp:cNvGraphicFramePr>
                    <a:graphicFrameLocks noChangeAspect="1"/>
                  </wp:cNvGraphicFramePr>
                  <a:graphic>
                    <a:graphicData uri="http://schemas.openxmlformats.org/drawingml/2006/picture">
                      <pic:pic>
                        <pic:nvPicPr>
                          <pic:cNvPr id="212" name="image104.png"/>
                          <pic:cNvPicPr/>
                        </pic:nvPicPr>
                        <pic:blipFill>
                          <a:blip r:embed="rId322" cstate="print"/>
                          <a:stretch>
                            <a:fillRect/>
                          </a:stretch>
                        </pic:blipFill>
                        <pic:spPr>
                          <a:xfrm>
                            <a:off x="0" y="0"/>
                            <a:ext cx="829055"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428" w:hRule="atLeast"/>
        </w:trPr>
        <w:tc>
          <w:tcPr>
            <w:tcW w:w="5156" w:type="dxa"/>
          </w:tcPr>
          <w:p>
            <w:pPr>
              <w:pStyle w:val="TableParagraph"/>
              <w:rPr>
                <w:sz w:val="22"/>
              </w:rPr>
            </w:pPr>
            <w:r>
              <w:rPr>
                <w:rFonts w:ascii="Cambria"/>
                <w:sz w:val="22"/>
              </w:rPr>
              <w:t>4ArrowsGray </w:t>
            </w:r>
            <w:r>
              <w:rPr>
                <w:sz w:val="22"/>
              </w:rPr>
              <w:t>(4 Arrows (Gray))</w:t>
            </w:r>
          </w:p>
        </w:tc>
        <w:tc>
          <w:tcPr>
            <w:tcW w:w="5156" w:type="dxa"/>
          </w:tcPr>
          <w:p>
            <w:pPr>
              <w:pStyle w:val="TableParagraph"/>
              <w:rPr>
                <w:sz w:val="22"/>
              </w:rPr>
            </w:pPr>
            <w:r>
              <w:rPr>
                <w:sz w:val="22"/>
              </w:rPr>
              <w:t>4 gray arrows icon set.</w:t>
            </w:r>
          </w:p>
          <w:p>
            <w:pPr>
              <w:pStyle w:val="TableParagraph"/>
              <w:spacing w:before="9" w:after="1"/>
              <w:ind w:left="0"/>
              <w:rPr>
                <w:rFonts w:ascii="Times New Roman"/>
                <w:sz w:val="25"/>
              </w:rPr>
            </w:pPr>
          </w:p>
          <w:p>
            <w:pPr>
              <w:pStyle w:val="TableParagraph"/>
              <w:spacing w:before="0"/>
              <w:ind w:left="114"/>
              <w:rPr>
                <w:rFonts w:ascii="Times New Roman"/>
                <w:sz w:val="20"/>
              </w:rPr>
            </w:pPr>
            <w:r>
              <w:rPr>
                <w:rFonts w:ascii="Times New Roman"/>
                <w:sz w:val="20"/>
              </w:rPr>
              <w:drawing>
                <wp:inline distT="0" distB="0" distL="0" distR="0">
                  <wp:extent cx="847344" cy="152400"/>
                  <wp:effectExtent l="0" t="0" r="0" b="0"/>
                  <wp:docPr id="213" name="image105.png"/>
                  <wp:cNvGraphicFramePr>
                    <a:graphicFrameLocks noChangeAspect="1"/>
                  </wp:cNvGraphicFramePr>
                  <a:graphic>
                    <a:graphicData uri="http://schemas.openxmlformats.org/drawingml/2006/picture">
                      <pic:pic>
                        <pic:nvPicPr>
                          <pic:cNvPr id="214" name="image105.png"/>
                          <pic:cNvPicPr/>
                        </pic:nvPicPr>
                        <pic:blipFill>
                          <a:blip r:embed="rId323" cstate="print"/>
                          <a:stretch>
                            <a:fillRect/>
                          </a:stretch>
                        </pic:blipFill>
                        <pic:spPr>
                          <a:xfrm>
                            <a:off x="0" y="0"/>
                            <a:ext cx="847344"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564" w:hRule="atLeast"/>
        </w:trPr>
        <w:tc>
          <w:tcPr>
            <w:tcW w:w="5156" w:type="dxa"/>
          </w:tcPr>
          <w:p>
            <w:pPr>
              <w:pStyle w:val="TableParagraph"/>
              <w:rPr>
                <w:sz w:val="22"/>
              </w:rPr>
            </w:pPr>
            <w:r>
              <w:rPr>
                <w:rFonts w:ascii="Cambria"/>
                <w:sz w:val="22"/>
              </w:rPr>
              <w:t>4Rating </w:t>
            </w:r>
            <w:r>
              <w:rPr>
                <w:sz w:val="22"/>
              </w:rPr>
              <w:t>(4 Ratings)</w:t>
            </w:r>
          </w:p>
        </w:tc>
        <w:tc>
          <w:tcPr>
            <w:tcW w:w="5156" w:type="dxa"/>
          </w:tcPr>
          <w:p>
            <w:pPr>
              <w:pStyle w:val="TableParagraph"/>
              <w:rPr>
                <w:sz w:val="22"/>
              </w:rPr>
            </w:pPr>
            <w:r>
              <w:rPr>
                <w:sz w:val="22"/>
              </w:rPr>
              <w:t>4 ratings icon set.</w:t>
            </w:r>
          </w:p>
          <w:p>
            <w:pPr>
              <w:pStyle w:val="TableParagraph"/>
              <w:spacing w:before="6"/>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970873" cy="257175"/>
                  <wp:effectExtent l="0" t="0" r="0" b="0"/>
                  <wp:docPr id="215" name="image106.png"/>
                  <wp:cNvGraphicFramePr>
                    <a:graphicFrameLocks noChangeAspect="1"/>
                  </wp:cNvGraphicFramePr>
                  <a:graphic>
                    <a:graphicData uri="http://schemas.openxmlformats.org/drawingml/2006/picture">
                      <pic:pic>
                        <pic:nvPicPr>
                          <pic:cNvPr id="216" name="image106.png"/>
                          <pic:cNvPicPr/>
                        </pic:nvPicPr>
                        <pic:blipFill>
                          <a:blip r:embed="rId324" cstate="print"/>
                          <a:stretch>
                            <a:fillRect/>
                          </a:stretch>
                        </pic:blipFill>
                        <pic:spPr>
                          <a:xfrm>
                            <a:off x="0" y="0"/>
                            <a:ext cx="970873" cy="257175"/>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430" w:hRule="atLeast"/>
        </w:trPr>
        <w:tc>
          <w:tcPr>
            <w:tcW w:w="5156" w:type="dxa"/>
          </w:tcPr>
          <w:p>
            <w:pPr>
              <w:pStyle w:val="TableParagraph"/>
              <w:spacing w:before="42"/>
              <w:rPr>
                <w:sz w:val="22"/>
              </w:rPr>
            </w:pPr>
            <w:r>
              <w:rPr>
                <w:rFonts w:ascii="Cambria"/>
                <w:sz w:val="22"/>
              </w:rPr>
              <w:t>4RedToBlack </w:t>
            </w:r>
            <w:r>
              <w:rPr>
                <w:sz w:val="22"/>
              </w:rPr>
              <w:t>(4 Red To Black)</w:t>
            </w:r>
          </w:p>
        </w:tc>
        <w:tc>
          <w:tcPr>
            <w:tcW w:w="5156" w:type="dxa"/>
          </w:tcPr>
          <w:p>
            <w:pPr>
              <w:pStyle w:val="TableParagraph"/>
              <w:spacing w:before="42"/>
              <w:rPr>
                <w:sz w:val="22"/>
              </w:rPr>
            </w:pPr>
            <w:r>
              <w:rPr>
                <w:sz w:val="22"/>
              </w:rPr>
              <w:t>4 'red to black' icon set.</w:t>
            </w:r>
          </w:p>
          <w:p>
            <w:pPr>
              <w:pStyle w:val="TableParagraph"/>
              <w:spacing w:before="9" w:after="1"/>
              <w:ind w:left="0"/>
              <w:rPr>
                <w:rFonts w:ascii="Times New Roman"/>
                <w:sz w:val="25"/>
              </w:rPr>
            </w:pPr>
          </w:p>
          <w:p>
            <w:pPr>
              <w:pStyle w:val="TableParagraph"/>
              <w:spacing w:before="0"/>
              <w:ind w:left="114"/>
              <w:rPr>
                <w:rFonts w:ascii="Times New Roman"/>
                <w:sz w:val="20"/>
              </w:rPr>
            </w:pPr>
            <w:r>
              <w:rPr>
                <w:rFonts w:ascii="Times New Roman"/>
                <w:sz w:val="20"/>
              </w:rPr>
              <w:drawing>
                <wp:inline distT="0" distB="0" distL="0" distR="0">
                  <wp:extent cx="847344" cy="152400"/>
                  <wp:effectExtent l="0" t="0" r="0" b="0"/>
                  <wp:docPr id="217" name="image107.png"/>
                  <wp:cNvGraphicFramePr>
                    <a:graphicFrameLocks noChangeAspect="1"/>
                  </wp:cNvGraphicFramePr>
                  <a:graphic>
                    <a:graphicData uri="http://schemas.openxmlformats.org/drawingml/2006/picture">
                      <pic:pic>
                        <pic:nvPicPr>
                          <pic:cNvPr id="218" name="image107.png"/>
                          <pic:cNvPicPr/>
                        </pic:nvPicPr>
                        <pic:blipFill>
                          <a:blip r:embed="rId325" cstate="print"/>
                          <a:stretch>
                            <a:fillRect/>
                          </a:stretch>
                        </pic:blipFill>
                        <pic:spPr>
                          <a:xfrm>
                            <a:off x="0" y="0"/>
                            <a:ext cx="847344"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427" w:hRule="atLeast"/>
        </w:trPr>
        <w:tc>
          <w:tcPr>
            <w:tcW w:w="5156" w:type="dxa"/>
          </w:tcPr>
          <w:p>
            <w:pPr>
              <w:pStyle w:val="TableParagraph"/>
              <w:rPr>
                <w:sz w:val="22"/>
              </w:rPr>
            </w:pPr>
            <w:r>
              <w:rPr>
                <w:rFonts w:ascii="Cambria"/>
                <w:sz w:val="22"/>
              </w:rPr>
              <w:t>4TrafficLights </w:t>
            </w:r>
            <w:r>
              <w:rPr>
                <w:sz w:val="22"/>
              </w:rPr>
              <w:t>(4 Traffic Lights)</w:t>
            </w:r>
          </w:p>
        </w:tc>
        <w:tc>
          <w:tcPr>
            <w:tcW w:w="5156" w:type="dxa"/>
          </w:tcPr>
          <w:p>
            <w:pPr>
              <w:pStyle w:val="TableParagraph"/>
              <w:rPr>
                <w:sz w:val="22"/>
              </w:rPr>
            </w:pPr>
            <w:r>
              <w:rPr>
                <w:sz w:val="22"/>
              </w:rPr>
              <w:t>4 traffic lights icon set.</w:t>
            </w:r>
          </w:p>
          <w:p>
            <w:pPr>
              <w:pStyle w:val="TableParagraph"/>
              <w:spacing w:before="11"/>
              <w:ind w:left="0"/>
              <w:rPr>
                <w:rFonts w:ascii="Times New Roman"/>
                <w:sz w:val="25"/>
              </w:rPr>
            </w:pPr>
          </w:p>
          <w:p>
            <w:pPr>
              <w:pStyle w:val="TableParagraph"/>
              <w:spacing w:before="0"/>
              <w:ind w:left="114"/>
              <w:rPr>
                <w:rFonts w:ascii="Times New Roman"/>
                <w:sz w:val="20"/>
              </w:rPr>
            </w:pPr>
            <w:r>
              <w:rPr>
                <w:rFonts w:ascii="Times New Roman"/>
                <w:sz w:val="20"/>
              </w:rPr>
              <w:drawing>
                <wp:inline distT="0" distB="0" distL="0" distR="0">
                  <wp:extent cx="847344" cy="152400"/>
                  <wp:effectExtent l="0" t="0" r="0" b="0"/>
                  <wp:docPr id="219" name="image108.jpeg"/>
                  <wp:cNvGraphicFramePr>
                    <a:graphicFrameLocks noChangeAspect="1"/>
                  </wp:cNvGraphicFramePr>
                  <a:graphic>
                    <a:graphicData uri="http://schemas.openxmlformats.org/drawingml/2006/picture">
                      <pic:pic>
                        <pic:nvPicPr>
                          <pic:cNvPr id="220" name="image108.jpeg"/>
                          <pic:cNvPicPr/>
                        </pic:nvPicPr>
                        <pic:blipFill>
                          <a:blip r:embed="rId326" cstate="print"/>
                          <a:stretch>
                            <a:fillRect/>
                          </a:stretch>
                        </pic:blipFill>
                        <pic:spPr>
                          <a:xfrm>
                            <a:off x="0" y="0"/>
                            <a:ext cx="847344"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357" w:hRule="atLeast"/>
        </w:trPr>
        <w:tc>
          <w:tcPr>
            <w:tcW w:w="5156" w:type="dxa"/>
          </w:tcPr>
          <w:p>
            <w:pPr>
              <w:pStyle w:val="TableParagraph"/>
              <w:spacing w:before="42"/>
              <w:rPr>
                <w:sz w:val="22"/>
              </w:rPr>
            </w:pPr>
            <w:r>
              <w:rPr>
                <w:rFonts w:ascii="Cambria"/>
                <w:sz w:val="22"/>
              </w:rPr>
              <w:t>5Arrows </w:t>
            </w:r>
            <w:r>
              <w:rPr>
                <w:sz w:val="22"/>
              </w:rPr>
              <w:t>(5 Arrows)</w:t>
            </w:r>
          </w:p>
        </w:tc>
        <w:tc>
          <w:tcPr>
            <w:tcW w:w="5156" w:type="dxa"/>
          </w:tcPr>
          <w:p>
            <w:pPr>
              <w:pStyle w:val="TableParagraph"/>
              <w:spacing w:before="42"/>
              <w:rPr>
                <w:sz w:val="22"/>
              </w:rPr>
            </w:pPr>
            <w:r>
              <w:rPr>
                <w:sz w:val="22"/>
              </w:rPr>
              <w:t>5 arrows icon set.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158" w:hRule="atLeast"/>
        </w:trPr>
        <w:tc>
          <w:tcPr>
            <w:tcW w:w="5156" w:type="dxa"/>
          </w:tcPr>
          <w:p>
            <w:pPr>
              <w:pStyle w:val="TableParagraph"/>
              <w:spacing w:before="0"/>
              <w:ind w:left="0"/>
              <w:rPr>
                <w:rFonts w:ascii="Times New Roman"/>
                <w:sz w:val="22"/>
              </w:rPr>
            </w:pPr>
          </w:p>
        </w:tc>
        <w:tc>
          <w:tcPr>
            <w:tcW w:w="5156" w:type="dxa"/>
          </w:tcPr>
          <w:p>
            <w:pPr>
              <w:pStyle w:val="TableParagraph"/>
              <w:spacing w:before="6"/>
              <w:ind w:left="0"/>
              <w:rPr>
                <w:rFonts w:ascii="Times New Roman"/>
                <w:sz w:val="29"/>
              </w:rPr>
            </w:pPr>
          </w:p>
          <w:p>
            <w:pPr>
              <w:pStyle w:val="TableParagraph"/>
              <w:spacing w:before="0"/>
              <w:ind w:left="114"/>
              <w:rPr>
                <w:rFonts w:ascii="Times New Roman"/>
                <w:sz w:val="20"/>
              </w:rPr>
            </w:pPr>
            <w:r>
              <w:rPr>
                <w:rFonts w:ascii="Times New Roman"/>
                <w:sz w:val="20"/>
              </w:rPr>
              <w:drawing>
                <wp:inline distT="0" distB="0" distL="0" distR="0">
                  <wp:extent cx="1066800" cy="152400"/>
                  <wp:effectExtent l="0" t="0" r="0" b="0"/>
                  <wp:docPr id="221" name="image109.png"/>
                  <wp:cNvGraphicFramePr>
                    <a:graphicFrameLocks noChangeAspect="1"/>
                  </wp:cNvGraphicFramePr>
                  <a:graphic>
                    <a:graphicData uri="http://schemas.openxmlformats.org/drawingml/2006/picture">
                      <pic:pic>
                        <pic:nvPicPr>
                          <pic:cNvPr id="222" name="image109.png"/>
                          <pic:cNvPicPr/>
                        </pic:nvPicPr>
                        <pic:blipFill>
                          <a:blip r:embed="rId327" cstate="print"/>
                          <a:stretch>
                            <a:fillRect/>
                          </a:stretch>
                        </pic:blipFill>
                        <pic:spPr>
                          <a:xfrm>
                            <a:off x="0" y="0"/>
                            <a:ext cx="1066800" cy="152400"/>
                          </a:xfrm>
                          <a:prstGeom prst="rect">
                            <a:avLst/>
                          </a:prstGeom>
                        </pic:spPr>
                      </pic:pic>
                    </a:graphicData>
                  </a:graphic>
                </wp:inline>
              </w:drawing>
            </w:r>
            <w:r>
              <w:rPr>
                <w:rFonts w:ascii="Times New Roman"/>
                <w:sz w:val="20"/>
              </w:rPr>
            </w:r>
          </w:p>
        </w:tc>
      </w:tr>
      <w:tr>
        <w:trPr>
          <w:trHeight w:val="1430" w:hRule="atLeast"/>
        </w:trPr>
        <w:tc>
          <w:tcPr>
            <w:tcW w:w="5156" w:type="dxa"/>
          </w:tcPr>
          <w:p>
            <w:pPr>
              <w:pStyle w:val="TableParagraph"/>
              <w:spacing w:before="42"/>
              <w:rPr>
                <w:sz w:val="22"/>
              </w:rPr>
            </w:pPr>
            <w:r>
              <w:rPr>
                <w:rFonts w:ascii="Cambria"/>
                <w:sz w:val="22"/>
              </w:rPr>
              <w:t>5ArrowsGray </w:t>
            </w:r>
            <w:r>
              <w:rPr>
                <w:sz w:val="22"/>
              </w:rPr>
              <w:t>(5 Arrows (Gray))</w:t>
            </w:r>
          </w:p>
        </w:tc>
        <w:tc>
          <w:tcPr>
            <w:tcW w:w="5156" w:type="dxa"/>
          </w:tcPr>
          <w:p>
            <w:pPr>
              <w:pStyle w:val="TableParagraph"/>
              <w:spacing w:before="42"/>
              <w:rPr>
                <w:sz w:val="22"/>
              </w:rPr>
            </w:pPr>
            <w:r>
              <w:rPr>
                <w:sz w:val="22"/>
              </w:rPr>
              <w:t>5 gray arrows icon set.</w:t>
            </w:r>
          </w:p>
          <w:p>
            <w:pPr>
              <w:pStyle w:val="TableParagraph"/>
              <w:spacing w:before="10" w:after="1"/>
              <w:ind w:left="0"/>
              <w:rPr>
                <w:rFonts w:ascii="Times New Roman"/>
                <w:sz w:val="25"/>
              </w:rPr>
            </w:pPr>
          </w:p>
          <w:p>
            <w:pPr>
              <w:pStyle w:val="TableParagraph"/>
              <w:spacing w:before="0"/>
              <w:ind w:left="114"/>
              <w:rPr>
                <w:rFonts w:ascii="Times New Roman"/>
                <w:sz w:val="20"/>
              </w:rPr>
            </w:pPr>
            <w:r>
              <w:rPr>
                <w:rFonts w:ascii="Times New Roman"/>
                <w:sz w:val="20"/>
              </w:rPr>
              <w:drawing>
                <wp:inline distT="0" distB="0" distL="0" distR="0">
                  <wp:extent cx="1066800" cy="152400"/>
                  <wp:effectExtent l="0" t="0" r="0" b="0"/>
                  <wp:docPr id="223" name="image110.png"/>
                  <wp:cNvGraphicFramePr>
                    <a:graphicFrameLocks noChangeAspect="1"/>
                  </wp:cNvGraphicFramePr>
                  <a:graphic>
                    <a:graphicData uri="http://schemas.openxmlformats.org/drawingml/2006/picture">
                      <pic:pic>
                        <pic:nvPicPr>
                          <pic:cNvPr id="224" name="image110.png"/>
                          <pic:cNvPicPr/>
                        </pic:nvPicPr>
                        <pic:blipFill>
                          <a:blip r:embed="rId328" cstate="print"/>
                          <a:stretch>
                            <a:fillRect/>
                          </a:stretch>
                        </pic:blipFill>
                        <pic:spPr>
                          <a:xfrm>
                            <a:off x="0" y="0"/>
                            <a:ext cx="1066800"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428" w:hRule="atLeast"/>
        </w:trPr>
        <w:tc>
          <w:tcPr>
            <w:tcW w:w="5156" w:type="dxa"/>
          </w:tcPr>
          <w:p>
            <w:pPr>
              <w:pStyle w:val="TableParagraph"/>
              <w:rPr>
                <w:sz w:val="22"/>
              </w:rPr>
            </w:pPr>
            <w:r>
              <w:rPr>
                <w:rFonts w:ascii="Cambria"/>
                <w:sz w:val="22"/>
              </w:rPr>
              <w:t>5Quarters </w:t>
            </w:r>
            <w:r>
              <w:rPr>
                <w:sz w:val="22"/>
              </w:rPr>
              <w:t>(5 Quarters)</w:t>
            </w:r>
          </w:p>
        </w:tc>
        <w:tc>
          <w:tcPr>
            <w:tcW w:w="5156" w:type="dxa"/>
          </w:tcPr>
          <w:p>
            <w:pPr>
              <w:pStyle w:val="TableParagraph"/>
              <w:rPr>
                <w:sz w:val="22"/>
              </w:rPr>
            </w:pPr>
            <w:r>
              <w:rPr>
                <w:sz w:val="22"/>
              </w:rPr>
              <w:t>5 quarters icon set.</w:t>
            </w:r>
          </w:p>
          <w:p>
            <w:pPr>
              <w:pStyle w:val="TableParagraph"/>
              <w:spacing w:before="1"/>
              <w:ind w:left="0"/>
              <w:rPr>
                <w:rFonts w:ascii="Times New Roman"/>
                <w:sz w:val="26"/>
              </w:rPr>
            </w:pPr>
          </w:p>
          <w:p>
            <w:pPr>
              <w:pStyle w:val="TableParagraph"/>
              <w:spacing w:before="0"/>
              <w:ind w:left="114"/>
              <w:rPr>
                <w:rFonts w:ascii="Times New Roman"/>
                <w:sz w:val="20"/>
              </w:rPr>
            </w:pPr>
            <w:r>
              <w:rPr>
                <w:rFonts w:ascii="Times New Roman"/>
                <w:sz w:val="20"/>
              </w:rPr>
              <w:drawing>
                <wp:inline distT="0" distB="0" distL="0" distR="0">
                  <wp:extent cx="1066800" cy="152400"/>
                  <wp:effectExtent l="0" t="0" r="0" b="0"/>
                  <wp:docPr id="225" name="image111.png"/>
                  <wp:cNvGraphicFramePr>
                    <a:graphicFrameLocks noChangeAspect="1"/>
                  </wp:cNvGraphicFramePr>
                  <a:graphic>
                    <a:graphicData uri="http://schemas.openxmlformats.org/drawingml/2006/picture">
                      <pic:pic>
                        <pic:nvPicPr>
                          <pic:cNvPr id="226" name="image111.png"/>
                          <pic:cNvPicPr/>
                        </pic:nvPicPr>
                        <pic:blipFill>
                          <a:blip r:embed="rId329" cstate="print"/>
                          <a:stretch>
                            <a:fillRect/>
                          </a:stretch>
                        </pic:blipFill>
                        <pic:spPr>
                          <a:xfrm>
                            <a:off x="0" y="0"/>
                            <a:ext cx="1066800" cy="152400"/>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r>
        <w:trPr>
          <w:trHeight w:val="1535" w:hRule="atLeast"/>
        </w:trPr>
        <w:tc>
          <w:tcPr>
            <w:tcW w:w="5156" w:type="dxa"/>
          </w:tcPr>
          <w:p>
            <w:pPr>
              <w:pStyle w:val="TableParagraph"/>
              <w:spacing w:before="42"/>
              <w:rPr>
                <w:sz w:val="22"/>
              </w:rPr>
            </w:pPr>
            <w:r>
              <w:rPr>
                <w:rFonts w:ascii="Cambria"/>
                <w:sz w:val="22"/>
              </w:rPr>
              <w:t>5Rating </w:t>
            </w:r>
            <w:r>
              <w:rPr>
                <w:sz w:val="22"/>
              </w:rPr>
              <w:t>(5 Ratings Icon Set)</w:t>
            </w:r>
          </w:p>
        </w:tc>
        <w:tc>
          <w:tcPr>
            <w:tcW w:w="5156" w:type="dxa"/>
          </w:tcPr>
          <w:p>
            <w:pPr>
              <w:pStyle w:val="TableParagraph"/>
              <w:spacing w:before="42"/>
              <w:rPr>
                <w:sz w:val="22"/>
              </w:rPr>
            </w:pPr>
            <w:r>
              <w:rPr>
                <w:sz w:val="22"/>
              </w:rPr>
              <w:t>5 rating icon set.</w:t>
            </w:r>
          </w:p>
          <w:p>
            <w:pPr>
              <w:pStyle w:val="TableParagraph"/>
              <w:spacing w:before="4"/>
              <w:ind w:left="0"/>
              <w:rPr>
                <w:rFonts w:ascii="Times New Roman"/>
                <w:sz w:val="23"/>
              </w:rPr>
            </w:pPr>
          </w:p>
          <w:p>
            <w:pPr>
              <w:pStyle w:val="TableParagraph"/>
              <w:spacing w:before="0"/>
              <w:ind w:left="114"/>
              <w:rPr>
                <w:rFonts w:ascii="Times New Roman"/>
                <w:sz w:val="20"/>
              </w:rPr>
            </w:pPr>
            <w:r>
              <w:rPr>
                <w:rFonts w:ascii="Times New Roman"/>
                <w:sz w:val="20"/>
              </w:rPr>
              <w:drawing>
                <wp:inline distT="0" distB="0" distL="0" distR="0">
                  <wp:extent cx="1166357" cy="238125"/>
                  <wp:effectExtent l="0" t="0" r="0" b="0"/>
                  <wp:docPr id="227" name="image112.jpeg"/>
                  <wp:cNvGraphicFramePr>
                    <a:graphicFrameLocks noChangeAspect="1"/>
                  </wp:cNvGraphicFramePr>
                  <a:graphic>
                    <a:graphicData uri="http://schemas.openxmlformats.org/drawingml/2006/picture">
                      <pic:pic>
                        <pic:nvPicPr>
                          <pic:cNvPr id="228" name="image112.jpeg"/>
                          <pic:cNvPicPr/>
                        </pic:nvPicPr>
                        <pic:blipFill>
                          <a:blip r:embed="rId330" cstate="print"/>
                          <a:stretch>
                            <a:fillRect/>
                          </a:stretch>
                        </pic:blipFill>
                        <pic:spPr>
                          <a:xfrm>
                            <a:off x="0" y="0"/>
                            <a:ext cx="1166357" cy="238125"/>
                          </a:xfrm>
                          <a:prstGeom prst="rect">
                            <a:avLst/>
                          </a:prstGeom>
                        </pic:spPr>
                      </pic:pic>
                    </a:graphicData>
                  </a:graphic>
                </wp:inline>
              </w:drawing>
            </w:r>
            <w:r>
              <w:rPr>
                <w:rFonts w:ascii="Times New Roman"/>
                <w:sz w:val="20"/>
              </w:rPr>
            </w:r>
          </w:p>
          <w:p>
            <w:pPr>
              <w:pStyle w:val="TableParagraph"/>
              <w:spacing w:before="0"/>
              <w:ind w:left="0"/>
              <w:rPr>
                <w:rFonts w:ascii="Times New Roman"/>
                <w:sz w:val="20"/>
              </w:rPr>
            </w:pPr>
          </w:p>
          <w:p>
            <w:pPr>
              <w:pStyle w:val="TableParagraph"/>
              <w:spacing w:before="0"/>
              <w:ind w:left="0"/>
              <w:rPr>
                <w:rFonts w:ascii="Times New Roman"/>
                <w:sz w:val="20"/>
              </w:rPr>
            </w:pPr>
          </w:p>
        </w:tc>
      </w:tr>
    </w:tbl>
    <w:p>
      <w:pPr>
        <w:pStyle w:val="BodyText"/>
        <w:rPr>
          <w:rFonts w:ascii="Times New Roman"/>
          <w:sz w:val="20"/>
        </w:rPr>
      </w:pPr>
    </w:p>
    <w:p>
      <w:pPr>
        <w:pStyle w:val="BodyText"/>
        <w:spacing w:before="1"/>
        <w:rPr>
          <w:rFonts w:ascii="Times New Roman"/>
          <w:sz w:val="19"/>
        </w:rPr>
      </w:pPr>
    </w:p>
    <w:p>
      <w:pPr>
        <w:pStyle w:val="BodyText"/>
        <w:spacing w:before="57"/>
        <w:ind w:left="220"/>
      </w:pPr>
      <w:r>
        <w:rPr/>
        <w:t>[</w:t>
      </w:r>
      <w:r>
        <w:rPr>
          <w:i/>
        </w:rPr>
        <w:t>Note</w:t>
      </w:r>
      <w:r>
        <w:rPr/>
        <w:t>: The W3C XML Schema definition of this simple type’s content model (</w:t>
      </w:r>
      <w:r>
        <w:rPr>
          <w:color w:val="5F5F5F"/>
          <w:u w:val="single" w:color="5F5F5F"/>
        </w:rPr>
        <w:t>ST_IconSetType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43 ST_ItemType (PivotItem Type)" w:id="2594"/>
      <w:bookmarkEnd w:id="2594"/>
      <w:r>
        <w:rPr>
          <w:b w:val="0"/>
        </w:rPr>
      </w:r>
      <w:bookmarkStart w:name="_bookmark865" w:id="2595"/>
      <w:bookmarkEnd w:id="2595"/>
      <w:r>
        <w:rPr>
          <w:b w:val="0"/>
        </w:rPr>
      </w:r>
      <w:bookmarkStart w:name="_bookmark865" w:id="2596"/>
      <w:bookmarkEnd w:id="2596"/>
      <w:r>
        <w:rPr>
          <w:color w:val="4F81BC"/>
        </w:rPr>
        <w:t>S</w:t>
      </w:r>
      <w:r>
        <w:rPr>
          <w:color w:val="4F81BC"/>
        </w:rPr>
        <w:t>T_ItemType (PivotItem</w:t>
      </w:r>
      <w:r>
        <w:rPr>
          <w:color w:val="4F81BC"/>
          <w:spacing w:val="-2"/>
        </w:rPr>
        <w:t> </w:t>
      </w:r>
      <w:r>
        <w:rPr>
          <w:color w:val="4F81BC"/>
        </w:rPr>
        <w:t>Type)</w:t>
      </w:r>
    </w:p>
    <w:p>
      <w:pPr>
        <w:pStyle w:val="BodyText"/>
        <w:spacing w:before="126"/>
        <w:ind w:left="220"/>
      </w:pPr>
      <w:r>
        <w:rPr/>
        <w:t>This simple type defines the pivot type for a pivotItem.</w:t>
      </w:r>
    </w:p>
    <w:p>
      <w:pPr>
        <w:pStyle w:val="BodyText"/>
        <w:spacing w:before="8"/>
        <w:rPr>
          <w:sz w:val="19"/>
        </w:rPr>
      </w:pPr>
    </w:p>
    <w:p>
      <w:pPr>
        <w:pStyle w:val="BodyText"/>
        <w:spacing w:line="489" w:lineRule="auto"/>
        <w:ind w:left="220" w:right="2804"/>
      </w:pPr>
      <w:r>
        <w:rPr/>
        <w:pict>
          <v:shape style="position:absolute;margin-left:48pt;margin-top:42.873642pt;width:516.35pt;height:181.85pt;mso-position-horizontal-relative:page;mso-position-vertical-relative:paragraph;z-index:2519193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avg </w:t>
                        </w:r>
                        <w:r>
                          <w:rPr>
                            <w:sz w:val="22"/>
                          </w:rPr>
                          <w:t>(Average)</w:t>
                        </w:r>
                      </w:p>
                    </w:tc>
                    <w:tc>
                      <w:tcPr>
                        <w:tcW w:w="5156" w:type="dxa"/>
                      </w:tcPr>
                      <w:p>
                        <w:pPr>
                          <w:pStyle w:val="TableParagraph"/>
                          <w:ind w:right="679"/>
                          <w:rPr>
                            <w:sz w:val="22"/>
                          </w:rPr>
                        </w:pPr>
                        <w:r>
                          <w:rPr>
                            <w:sz w:val="22"/>
                          </w:rPr>
                          <w:t>Indicates the pivot item represents an "average" aggregate function.</w:t>
                        </w:r>
                      </w:p>
                    </w:tc>
                  </w:tr>
                  <w:tr>
                    <w:trPr>
                      <w:trHeight w:val="354" w:hRule="atLeast"/>
                    </w:trPr>
                    <w:tc>
                      <w:tcPr>
                        <w:tcW w:w="5156" w:type="dxa"/>
                      </w:tcPr>
                      <w:p>
                        <w:pPr>
                          <w:pStyle w:val="TableParagraph"/>
                          <w:rPr>
                            <w:sz w:val="22"/>
                          </w:rPr>
                        </w:pPr>
                        <w:r>
                          <w:rPr>
                            <w:rFonts w:ascii="Cambria"/>
                            <w:sz w:val="22"/>
                          </w:rPr>
                          <w:t>blank </w:t>
                        </w:r>
                        <w:r>
                          <w:rPr>
                            <w:sz w:val="22"/>
                          </w:rPr>
                          <w:t>(Blank Pivot Item)</w:t>
                        </w:r>
                      </w:p>
                    </w:tc>
                    <w:tc>
                      <w:tcPr>
                        <w:tcW w:w="5156" w:type="dxa"/>
                      </w:tcPr>
                      <w:p>
                        <w:pPr>
                          <w:pStyle w:val="TableParagraph"/>
                          <w:rPr>
                            <w:sz w:val="22"/>
                          </w:rPr>
                        </w:pPr>
                        <w:r>
                          <w:rPr>
                            <w:sz w:val="22"/>
                          </w:rPr>
                          <w:t>Indicates the pivot item represents a blank line.</w:t>
                        </w:r>
                      </w:p>
                    </w:tc>
                  </w:tr>
                  <w:tr>
                    <w:trPr>
                      <w:trHeight w:val="621" w:hRule="atLeast"/>
                    </w:trPr>
                    <w:tc>
                      <w:tcPr>
                        <w:tcW w:w="5156" w:type="dxa"/>
                      </w:tcPr>
                      <w:p>
                        <w:pPr>
                          <w:pStyle w:val="TableParagraph"/>
                          <w:rPr>
                            <w:sz w:val="22"/>
                          </w:rPr>
                        </w:pPr>
                        <w:r>
                          <w:rPr>
                            <w:rFonts w:ascii="Cambria"/>
                            <w:sz w:val="22"/>
                          </w:rPr>
                          <w:t>count </w:t>
                        </w:r>
                        <w:r>
                          <w:rPr>
                            <w:sz w:val="22"/>
                          </w:rPr>
                          <w:t>(Count)</w:t>
                        </w:r>
                      </w:p>
                    </w:tc>
                    <w:tc>
                      <w:tcPr>
                        <w:tcW w:w="5156" w:type="dxa"/>
                      </w:tcPr>
                      <w:p>
                        <w:pPr>
                          <w:pStyle w:val="TableParagraph"/>
                          <w:ind w:right="87"/>
                          <w:rPr>
                            <w:sz w:val="22"/>
                          </w:rPr>
                        </w:pPr>
                        <w:r>
                          <w:rPr>
                            <w:sz w:val="22"/>
                          </w:rPr>
                          <w:t>Indicates the pivot item represents custom the "count" aggregate."</w:t>
                        </w:r>
                      </w:p>
                    </w:tc>
                  </w:tr>
                  <w:tr>
                    <w:trPr>
                      <w:trHeight w:val="623" w:hRule="atLeast"/>
                    </w:trPr>
                    <w:tc>
                      <w:tcPr>
                        <w:tcW w:w="5156" w:type="dxa"/>
                      </w:tcPr>
                      <w:p>
                        <w:pPr>
                          <w:pStyle w:val="TableParagraph"/>
                          <w:rPr>
                            <w:sz w:val="22"/>
                          </w:rPr>
                        </w:pPr>
                        <w:r>
                          <w:rPr>
                            <w:rFonts w:ascii="Cambria"/>
                            <w:sz w:val="22"/>
                          </w:rPr>
                          <w:t>countA </w:t>
                        </w:r>
                        <w:r>
                          <w:rPr>
                            <w:sz w:val="22"/>
                          </w:rPr>
                          <w:t>(CountA)</w:t>
                        </w:r>
                      </w:p>
                    </w:tc>
                    <w:tc>
                      <w:tcPr>
                        <w:tcW w:w="5156" w:type="dxa"/>
                      </w:tcPr>
                      <w:p>
                        <w:pPr>
                          <w:pStyle w:val="TableParagraph"/>
                          <w:ind w:right="885"/>
                          <w:rPr>
                            <w:sz w:val="22"/>
                          </w:rPr>
                        </w:pPr>
                        <w:r>
                          <w:rPr>
                            <w:sz w:val="22"/>
                          </w:rPr>
                          <w:t>Indicates the pivot item represents the "count numbers" aggregate function.</w:t>
                        </w:r>
                      </w:p>
                    </w:tc>
                  </w:tr>
                  <w:tr>
                    <w:trPr>
                      <w:trHeight w:val="354" w:hRule="atLeast"/>
                    </w:trPr>
                    <w:tc>
                      <w:tcPr>
                        <w:tcW w:w="5156" w:type="dxa"/>
                      </w:tcPr>
                      <w:p>
                        <w:pPr>
                          <w:pStyle w:val="TableParagraph"/>
                          <w:rPr>
                            <w:sz w:val="22"/>
                          </w:rPr>
                        </w:pPr>
                        <w:r>
                          <w:rPr>
                            <w:rFonts w:ascii="Cambria"/>
                            <w:sz w:val="22"/>
                          </w:rPr>
                          <w:t>data </w:t>
                        </w:r>
                        <w:r>
                          <w:rPr>
                            <w:sz w:val="22"/>
                          </w:rPr>
                          <w:t>(Data)</w:t>
                        </w:r>
                      </w:p>
                    </w:tc>
                    <w:tc>
                      <w:tcPr>
                        <w:tcW w:w="5156" w:type="dxa"/>
                      </w:tcPr>
                      <w:p>
                        <w:pPr>
                          <w:pStyle w:val="TableParagraph"/>
                          <w:rPr>
                            <w:sz w:val="22"/>
                          </w:rPr>
                        </w:pPr>
                        <w:r>
                          <w:rPr>
                            <w:sz w:val="22"/>
                          </w:rPr>
                          <w:t>Indicate the pivot item represents data.</w:t>
                        </w:r>
                      </w:p>
                    </w:tc>
                  </w:tr>
                  <w:tr>
                    <w:trPr>
                      <w:trHeight w:val="623" w:hRule="atLeast"/>
                    </w:trPr>
                    <w:tc>
                      <w:tcPr>
                        <w:tcW w:w="5156" w:type="dxa"/>
                      </w:tcPr>
                      <w:p>
                        <w:pPr>
                          <w:pStyle w:val="TableParagraph"/>
                          <w:rPr>
                            <w:sz w:val="22"/>
                          </w:rPr>
                        </w:pPr>
                        <w:r>
                          <w:rPr>
                            <w:rFonts w:ascii="Cambria"/>
                            <w:sz w:val="22"/>
                          </w:rPr>
                          <w:t>default </w:t>
                        </w:r>
                        <w:r>
                          <w:rPr>
                            <w:sz w:val="22"/>
                          </w:rPr>
                          <w:t>(Default)</w:t>
                        </w:r>
                      </w:p>
                    </w:tc>
                    <w:tc>
                      <w:tcPr>
                        <w:tcW w:w="5156" w:type="dxa"/>
                      </w:tcPr>
                      <w:p>
                        <w:pPr>
                          <w:pStyle w:val="TableParagraph"/>
                          <w:ind w:right="92"/>
                          <w:rPr>
                            <w:sz w:val="22"/>
                          </w:rPr>
                        </w:pPr>
                        <w:r>
                          <w:rPr>
                            <w:sz w:val="22"/>
                          </w:rPr>
                          <w:t>Indicates the pivot item represents the default type for this PivotTable. The default pivot item type is the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"total" aggregate function.</w:t>
            </w:r>
          </w:p>
        </w:tc>
      </w:tr>
      <w:tr>
        <w:trPr>
          <w:trHeight w:val="621" w:hRule="atLeast"/>
        </w:trPr>
        <w:tc>
          <w:tcPr>
            <w:tcW w:w="5156" w:type="dxa"/>
          </w:tcPr>
          <w:p>
            <w:pPr>
              <w:pStyle w:val="TableParagraph"/>
              <w:rPr>
                <w:sz w:val="22"/>
              </w:rPr>
            </w:pPr>
            <w:r>
              <w:rPr>
                <w:rFonts w:ascii="Cambria"/>
                <w:sz w:val="22"/>
              </w:rPr>
              <w:t>grand </w:t>
            </w:r>
            <w:r>
              <w:rPr>
                <w:sz w:val="22"/>
              </w:rPr>
              <w:t>(Grand Total Item)</w:t>
            </w:r>
          </w:p>
        </w:tc>
        <w:tc>
          <w:tcPr>
            <w:tcW w:w="5156" w:type="dxa"/>
          </w:tcPr>
          <w:p>
            <w:pPr>
              <w:pStyle w:val="TableParagraph"/>
              <w:ind w:right="415"/>
              <w:rPr>
                <w:sz w:val="22"/>
              </w:rPr>
            </w:pPr>
            <w:r>
              <w:rPr>
                <w:sz w:val="22"/>
              </w:rPr>
              <w:t>Indicates the pivot items represents the grand total line.</w:t>
            </w:r>
          </w:p>
        </w:tc>
      </w:tr>
      <w:tr>
        <w:trPr>
          <w:trHeight w:val="623" w:hRule="atLeast"/>
        </w:trPr>
        <w:tc>
          <w:tcPr>
            <w:tcW w:w="5156" w:type="dxa"/>
          </w:tcPr>
          <w:p>
            <w:pPr>
              <w:pStyle w:val="TableParagraph"/>
              <w:spacing w:before="42"/>
              <w:rPr>
                <w:sz w:val="22"/>
              </w:rPr>
            </w:pPr>
            <w:r>
              <w:rPr>
                <w:rFonts w:ascii="Cambria"/>
                <w:sz w:val="22"/>
              </w:rPr>
              <w:t>max </w:t>
            </w:r>
            <w:r>
              <w:rPr>
                <w:sz w:val="22"/>
              </w:rPr>
              <w:t>(Max)</w:t>
            </w:r>
          </w:p>
        </w:tc>
        <w:tc>
          <w:tcPr>
            <w:tcW w:w="5156" w:type="dxa"/>
          </w:tcPr>
          <w:p>
            <w:pPr>
              <w:pStyle w:val="TableParagraph"/>
              <w:spacing w:line="237" w:lineRule="auto" w:before="44"/>
              <w:ind w:right="416"/>
              <w:rPr>
                <w:sz w:val="22"/>
              </w:rPr>
            </w:pPr>
            <w:r>
              <w:rPr>
                <w:sz w:val="22"/>
              </w:rPr>
              <w:t>Indicates the pivot item represents the "maximum" aggregate function.</w:t>
            </w:r>
          </w:p>
        </w:tc>
      </w:tr>
      <w:tr>
        <w:trPr>
          <w:trHeight w:val="623" w:hRule="atLeast"/>
        </w:trPr>
        <w:tc>
          <w:tcPr>
            <w:tcW w:w="5156" w:type="dxa"/>
          </w:tcPr>
          <w:p>
            <w:pPr>
              <w:pStyle w:val="TableParagraph"/>
              <w:rPr>
                <w:sz w:val="22"/>
              </w:rPr>
            </w:pPr>
            <w:r>
              <w:rPr>
                <w:rFonts w:ascii="Cambria"/>
                <w:sz w:val="22"/>
              </w:rPr>
              <w:t>min </w:t>
            </w:r>
            <w:r>
              <w:rPr>
                <w:sz w:val="22"/>
              </w:rPr>
              <w:t>(Min)</w:t>
            </w:r>
          </w:p>
        </w:tc>
        <w:tc>
          <w:tcPr>
            <w:tcW w:w="5156" w:type="dxa"/>
          </w:tcPr>
          <w:p>
            <w:pPr>
              <w:pStyle w:val="TableParagraph"/>
              <w:ind w:right="451"/>
              <w:rPr>
                <w:sz w:val="22"/>
              </w:rPr>
            </w:pPr>
            <w:r>
              <w:rPr>
                <w:sz w:val="22"/>
              </w:rPr>
              <w:t>Indicates the pivot item represents the "minimum" aggregate function.</w:t>
            </w:r>
          </w:p>
        </w:tc>
      </w:tr>
      <w:tr>
        <w:trPr>
          <w:trHeight w:val="623" w:hRule="atLeast"/>
        </w:trPr>
        <w:tc>
          <w:tcPr>
            <w:tcW w:w="5156" w:type="dxa"/>
          </w:tcPr>
          <w:p>
            <w:pPr>
              <w:pStyle w:val="TableParagraph"/>
              <w:rPr>
                <w:sz w:val="22"/>
              </w:rPr>
            </w:pPr>
            <w:r>
              <w:rPr>
                <w:rFonts w:ascii="Cambria"/>
                <w:sz w:val="22"/>
              </w:rPr>
              <w:t>product </w:t>
            </w:r>
            <w:r>
              <w:rPr>
                <w:sz w:val="22"/>
              </w:rPr>
              <w:t>(Product)</w:t>
            </w:r>
          </w:p>
        </w:tc>
        <w:tc>
          <w:tcPr>
            <w:tcW w:w="5156" w:type="dxa"/>
          </w:tcPr>
          <w:p>
            <w:pPr>
              <w:pStyle w:val="TableParagraph"/>
              <w:ind w:right="604"/>
              <w:rPr>
                <w:sz w:val="22"/>
              </w:rPr>
            </w:pPr>
            <w:r>
              <w:rPr>
                <w:sz w:val="22"/>
              </w:rPr>
              <w:t>Indicates the pivot item represents the "product" function.</w:t>
            </w:r>
          </w:p>
        </w:tc>
      </w:tr>
      <w:tr>
        <w:trPr>
          <w:trHeight w:val="624" w:hRule="atLeast"/>
        </w:trPr>
        <w:tc>
          <w:tcPr>
            <w:tcW w:w="5156" w:type="dxa"/>
          </w:tcPr>
          <w:p>
            <w:pPr>
              <w:pStyle w:val="TableParagraph"/>
              <w:rPr>
                <w:sz w:val="22"/>
              </w:rPr>
            </w:pPr>
            <w:r>
              <w:rPr>
                <w:rFonts w:ascii="Cambria"/>
                <w:sz w:val="22"/>
              </w:rPr>
              <w:t>stdDev </w:t>
            </w:r>
            <w:r>
              <w:rPr>
                <w:sz w:val="22"/>
              </w:rPr>
              <w:t>(stdDev)</w:t>
            </w:r>
          </w:p>
        </w:tc>
        <w:tc>
          <w:tcPr>
            <w:tcW w:w="5156" w:type="dxa"/>
          </w:tcPr>
          <w:p>
            <w:pPr>
              <w:pStyle w:val="TableParagraph"/>
              <w:ind w:right="604"/>
              <w:rPr>
                <w:sz w:val="22"/>
              </w:rPr>
            </w:pPr>
            <w:r>
              <w:rPr>
                <w:sz w:val="22"/>
              </w:rPr>
              <w:t>Indicates the pivot item represents the "standard deviation" aggregate function.</w:t>
            </w:r>
          </w:p>
        </w:tc>
      </w:tr>
      <w:tr>
        <w:trPr>
          <w:trHeight w:val="621" w:hRule="atLeast"/>
        </w:trPr>
        <w:tc>
          <w:tcPr>
            <w:tcW w:w="5156" w:type="dxa"/>
          </w:tcPr>
          <w:p>
            <w:pPr>
              <w:pStyle w:val="TableParagraph"/>
              <w:rPr>
                <w:sz w:val="22"/>
              </w:rPr>
            </w:pPr>
            <w:r>
              <w:rPr>
                <w:rFonts w:ascii="Cambria"/>
                <w:sz w:val="22"/>
              </w:rPr>
              <w:t>stdDevP </w:t>
            </w:r>
            <w:r>
              <w:rPr>
                <w:sz w:val="22"/>
              </w:rPr>
              <w:t>(StdDevP)</w:t>
            </w:r>
          </w:p>
        </w:tc>
        <w:tc>
          <w:tcPr>
            <w:tcW w:w="5156" w:type="dxa"/>
          </w:tcPr>
          <w:p>
            <w:pPr>
              <w:pStyle w:val="TableParagraph"/>
              <w:ind w:right="604"/>
              <w:rPr>
                <w:sz w:val="22"/>
              </w:rPr>
            </w:pPr>
            <w:r>
              <w:rPr>
                <w:sz w:val="22"/>
              </w:rPr>
              <w:t>Indicates the pivot item represents the "standard deviation population" aggregate function.</w:t>
            </w:r>
          </w:p>
        </w:tc>
      </w:tr>
      <w:tr>
        <w:trPr>
          <w:trHeight w:val="623" w:hRule="atLeast"/>
        </w:trPr>
        <w:tc>
          <w:tcPr>
            <w:tcW w:w="5156" w:type="dxa"/>
          </w:tcPr>
          <w:p>
            <w:pPr>
              <w:pStyle w:val="TableParagraph"/>
              <w:spacing w:before="42"/>
              <w:rPr>
                <w:sz w:val="22"/>
              </w:rPr>
            </w:pPr>
            <w:r>
              <w:rPr>
                <w:rFonts w:ascii="Cambria"/>
                <w:sz w:val="22"/>
              </w:rPr>
              <w:t>sum </w:t>
            </w:r>
            <w:r>
              <w:rPr>
                <w:sz w:val="22"/>
              </w:rPr>
              <w:t>(Sum)</w:t>
            </w:r>
          </w:p>
        </w:tc>
        <w:tc>
          <w:tcPr>
            <w:tcW w:w="5156" w:type="dxa"/>
          </w:tcPr>
          <w:p>
            <w:pPr>
              <w:pStyle w:val="TableParagraph"/>
              <w:spacing w:line="237" w:lineRule="auto" w:before="44"/>
              <w:ind w:right="933"/>
              <w:rPr>
                <w:sz w:val="22"/>
              </w:rPr>
            </w:pPr>
            <w:r>
              <w:rPr>
                <w:sz w:val="22"/>
              </w:rPr>
              <w:t>Indicates the pivot item represents the "sum" aggregate value.</w:t>
            </w:r>
          </w:p>
        </w:tc>
      </w:tr>
      <w:tr>
        <w:trPr>
          <w:trHeight w:val="623" w:hRule="atLeast"/>
        </w:trPr>
        <w:tc>
          <w:tcPr>
            <w:tcW w:w="5156" w:type="dxa"/>
          </w:tcPr>
          <w:p>
            <w:pPr>
              <w:pStyle w:val="TableParagraph"/>
              <w:rPr>
                <w:sz w:val="22"/>
              </w:rPr>
            </w:pPr>
            <w:r>
              <w:rPr>
                <w:rFonts w:ascii="Cambria"/>
                <w:sz w:val="22"/>
              </w:rPr>
              <w:t>var </w:t>
            </w:r>
            <w:r>
              <w:rPr>
                <w:sz w:val="22"/>
              </w:rPr>
              <w:t>(Var)</w:t>
            </w:r>
          </w:p>
        </w:tc>
        <w:tc>
          <w:tcPr>
            <w:tcW w:w="5156" w:type="dxa"/>
          </w:tcPr>
          <w:p>
            <w:pPr>
              <w:pStyle w:val="TableParagraph"/>
              <w:ind w:right="555"/>
              <w:rPr>
                <w:sz w:val="22"/>
              </w:rPr>
            </w:pPr>
            <w:r>
              <w:rPr>
                <w:sz w:val="22"/>
              </w:rPr>
              <w:t>Indicates the pivot item represents the "variance" aggregate value.</w:t>
            </w:r>
          </w:p>
        </w:tc>
      </w:tr>
      <w:tr>
        <w:trPr>
          <w:trHeight w:val="623" w:hRule="atLeast"/>
        </w:trPr>
        <w:tc>
          <w:tcPr>
            <w:tcW w:w="5156" w:type="dxa"/>
          </w:tcPr>
          <w:p>
            <w:pPr>
              <w:pStyle w:val="TableParagraph"/>
              <w:rPr>
                <w:sz w:val="22"/>
              </w:rPr>
            </w:pPr>
            <w:r>
              <w:rPr>
                <w:rFonts w:ascii="Cambria"/>
                <w:sz w:val="22"/>
              </w:rPr>
              <w:t>varP </w:t>
            </w:r>
            <w:r>
              <w:rPr>
                <w:sz w:val="22"/>
              </w:rPr>
              <w:t>(VarP)</w:t>
            </w:r>
          </w:p>
        </w:tc>
        <w:tc>
          <w:tcPr>
            <w:tcW w:w="5156" w:type="dxa"/>
          </w:tcPr>
          <w:p>
            <w:pPr>
              <w:pStyle w:val="TableParagraph"/>
              <w:ind w:right="643"/>
              <w:rPr>
                <w:sz w:val="22"/>
              </w:rPr>
            </w:pPr>
            <w:r>
              <w:rPr>
                <w:sz w:val="22"/>
              </w:rPr>
              <w:t>Indicates the pivot item represents the "variance population" aggregate value.</w:t>
            </w:r>
          </w:p>
        </w:tc>
      </w:tr>
    </w:tbl>
    <w:p>
      <w:pPr>
        <w:pStyle w:val="BodyText"/>
        <w:rPr>
          <w:sz w:val="20"/>
        </w:rPr>
      </w:pPr>
    </w:p>
    <w:p>
      <w:pPr>
        <w:pStyle w:val="BodyText"/>
        <w:spacing w:before="10"/>
        <w:rPr>
          <w:sz w:val="16"/>
        </w:rPr>
      </w:pPr>
    </w:p>
    <w:p>
      <w:pPr>
        <w:pStyle w:val="BodyText"/>
        <w:spacing w:line="278" w:lineRule="auto" w:before="56"/>
        <w:ind w:left="220" w:right="363"/>
      </w:pPr>
      <w:r>
        <w:rPr/>
        <w:t>[</w:t>
      </w:r>
      <w:r>
        <w:rPr>
          <w:i/>
        </w:rPr>
        <w:t>Note</w:t>
      </w:r>
      <w:r>
        <w:rPr/>
        <w:t>: The W3C XML Schema definition of this simple type’s content model (</w:t>
      </w:r>
      <w:r>
        <w:rPr>
          <w:color w:val="5F5F5F"/>
          <w:u w:val="single" w:color="5F5F5F"/>
        </w:rPr>
        <w:t>ST_ItemType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1" w:after="0"/>
        <w:ind w:left="1444" w:right="0" w:hanging="1225"/>
        <w:jc w:val="left"/>
      </w:pPr>
      <w:bookmarkStart w:name="18.18.44 ST_MdxFunctionType (MDX Functio" w:id="2597"/>
      <w:bookmarkEnd w:id="2597"/>
      <w:r>
        <w:rPr>
          <w:b w:val="0"/>
        </w:rPr>
      </w:r>
      <w:bookmarkStart w:name="_bookmark866" w:id="2598"/>
      <w:bookmarkEnd w:id="2598"/>
      <w:r>
        <w:rPr>
          <w:b w:val="0"/>
        </w:rPr>
      </w:r>
      <w:bookmarkStart w:name="_bookmark866" w:id="2599"/>
      <w:bookmarkEnd w:id="2599"/>
      <w:r>
        <w:rPr>
          <w:color w:val="4F81BC"/>
        </w:rPr>
        <w:t>S</w:t>
      </w:r>
      <w:r>
        <w:rPr>
          <w:color w:val="4F81BC"/>
        </w:rPr>
        <w:t>T_MdxFunctionType (MDX Function</w:t>
      </w:r>
      <w:r>
        <w:rPr>
          <w:color w:val="4F81BC"/>
          <w:spacing w:val="-2"/>
        </w:rPr>
        <w:t> </w:t>
      </w:r>
      <w:r>
        <w:rPr>
          <w:color w:val="4F81BC"/>
        </w:rPr>
        <w:t>Type)</w:t>
      </w:r>
    </w:p>
    <w:p>
      <w:pPr>
        <w:pStyle w:val="BodyText"/>
        <w:spacing w:before="124"/>
        <w:ind w:left="220"/>
      </w:pPr>
      <w:r>
        <w:rPr/>
        <w:t>This simple type is an enumeration representing different MDX function types.</w:t>
      </w:r>
    </w:p>
    <w:p>
      <w:pPr>
        <w:pStyle w:val="BodyText"/>
        <w:spacing w:before="8"/>
        <w:rPr>
          <w:sz w:val="19"/>
        </w:rPr>
      </w:pPr>
    </w:p>
    <w:p>
      <w:pPr>
        <w:pStyle w:val="BodyText"/>
        <w:spacing w:line="489" w:lineRule="auto"/>
        <w:ind w:left="220" w:right="2804"/>
      </w:pPr>
      <w:r>
        <w:rPr/>
        <w:pict>
          <v:shape style="position:absolute;margin-left:48pt;margin-top:42.993584pt;width:516.35pt;height:146.35pt;mso-position-horizontal-relative:page;mso-position-vertical-relative:paragraph;z-index:2519203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2"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c </w:t>
                        </w:r>
                        <w:r>
                          <w:rPr>
                            <w:sz w:val="22"/>
                          </w:rPr>
                          <w:t>(Cube Set Count)</w:t>
                        </w:r>
                      </w:p>
                    </w:tc>
                    <w:tc>
                      <w:tcPr>
                        <w:tcW w:w="5156" w:type="dxa"/>
                      </w:tcPr>
                      <w:p>
                        <w:pPr>
                          <w:pStyle w:val="TableParagraph"/>
                          <w:rPr>
                            <w:sz w:val="22"/>
                          </w:rPr>
                        </w:pPr>
                        <w:r>
                          <w:rPr>
                            <w:sz w:val="22"/>
                          </w:rPr>
                          <w:t>CUBESETCOUNT</w:t>
                        </w:r>
                      </w:p>
                    </w:tc>
                  </w:tr>
                  <w:tr>
                    <w:trPr>
                      <w:trHeight w:val="354" w:hRule="atLeast"/>
                    </w:trPr>
                    <w:tc>
                      <w:tcPr>
                        <w:tcW w:w="5156" w:type="dxa"/>
                      </w:tcPr>
                      <w:p>
                        <w:pPr>
                          <w:pStyle w:val="TableParagraph"/>
                          <w:rPr>
                            <w:sz w:val="22"/>
                          </w:rPr>
                        </w:pPr>
                        <w:r>
                          <w:rPr>
                            <w:rFonts w:ascii="Cambria"/>
                            <w:sz w:val="22"/>
                          </w:rPr>
                          <w:t>k </w:t>
                        </w:r>
                        <w:r>
                          <w:rPr>
                            <w:sz w:val="22"/>
                          </w:rPr>
                          <w:t>(Cube KPI Member)</w:t>
                        </w:r>
                      </w:p>
                    </w:tc>
                    <w:tc>
                      <w:tcPr>
                        <w:tcW w:w="5156" w:type="dxa"/>
                      </w:tcPr>
                      <w:p>
                        <w:pPr>
                          <w:pStyle w:val="TableParagraph"/>
                          <w:rPr>
                            <w:sz w:val="22"/>
                          </w:rPr>
                        </w:pPr>
                        <w:r>
                          <w:rPr>
                            <w:sz w:val="22"/>
                          </w:rPr>
                          <w:t>CUBEKPIMEMBER</w:t>
                        </w:r>
                      </w:p>
                    </w:tc>
                  </w:tr>
                  <w:tr>
                    <w:trPr>
                      <w:trHeight w:val="355" w:hRule="atLeast"/>
                    </w:trPr>
                    <w:tc>
                      <w:tcPr>
                        <w:tcW w:w="5156" w:type="dxa"/>
                      </w:tcPr>
                      <w:p>
                        <w:pPr>
                          <w:pStyle w:val="TableParagraph"/>
                          <w:rPr>
                            <w:sz w:val="22"/>
                          </w:rPr>
                        </w:pPr>
                        <w:r>
                          <w:rPr>
                            <w:rFonts w:ascii="Cambria"/>
                            <w:sz w:val="22"/>
                          </w:rPr>
                          <w:t>m </w:t>
                        </w:r>
                        <w:r>
                          <w:rPr>
                            <w:sz w:val="22"/>
                          </w:rPr>
                          <w:t>(Cube Member)</w:t>
                        </w:r>
                      </w:p>
                    </w:tc>
                    <w:tc>
                      <w:tcPr>
                        <w:tcW w:w="5156" w:type="dxa"/>
                      </w:tcPr>
                      <w:p>
                        <w:pPr>
                          <w:pStyle w:val="TableParagraph"/>
                          <w:rPr>
                            <w:sz w:val="22"/>
                          </w:rPr>
                        </w:pPr>
                        <w:r>
                          <w:rPr>
                            <w:sz w:val="22"/>
                          </w:rPr>
                          <w:t>CUBEMEMBER</w:t>
                        </w:r>
                      </w:p>
                    </w:tc>
                  </w:tr>
                  <w:tr>
                    <w:trPr>
                      <w:trHeight w:val="354" w:hRule="atLeast"/>
                    </w:trPr>
                    <w:tc>
                      <w:tcPr>
                        <w:tcW w:w="5156" w:type="dxa"/>
                      </w:tcPr>
                      <w:p>
                        <w:pPr>
                          <w:pStyle w:val="TableParagraph"/>
                          <w:rPr>
                            <w:sz w:val="22"/>
                          </w:rPr>
                        </w:pPr>
                        <w:r>
                          <w:rPr>
                            <w:rFonts w:ascii="Cambria"/>
                            <w:sz w:val="22"/>
                          </w:rPr>
                          <w:t>p </w:t>
                        </w:r>
                        <w:r>
                          <w:rPr>
                            <w:sz w:val="22"/>
                          </w:rPr>
                          <w:t>(Cube Member Property)</w:t>
                        </w:r>
                      </w:p>
                    </w:tc>
                    <w:tc>
                      <w:tcPr>
                        <w:tcW w:w="5156" w:type="dxa"/>
                      </w:tcPr>
                      <w:p>
                        <w:pPr>
                          <w:pStyle w:val="TableParagraph"/>
                          <w:rPr>
                            <w:sz w:val="22"/>
                          </w:rPr>
                        </w:pPr>
                        <w:r>
                          <w:rPr>
                            <w:sz w:val="22"/>
                          </w:rPr>
                          <w:t>CUBEMEMBERPROPERTY</w:t>
                        </w:r>
                      </w:p>
                    </w:tc>
                  </w:tr>
                  <w:tr>
                    <w:trPr>
                      <w:trHeight w:val="354" w:hRule="atLeast"/>
                    </w:trPr>
                    <w:tc>
                      <w:tcPr>
                        <w:tcW w:w="5156" w:type="dxa"/>
                      </w:tcPr>
                      <w:p>
                        <w:pPr>
                          <w:pStyle w:val="TableParagraph"/>
                          <w:rPr>
                            <w:sz w:val="22"/>
                          </w:rPr>
                        </w:pPr>
                        <w:r>
                          <w:rPr>
                            <w:rFonts w:ascii="Cambria"/>
                            <w:sz w:val="22"/>
                          </w:rPr>
                          <w:t>r </w:t>
                        </w:r>
                        <w:r>
                          <w:rPr>
                            <w:sz w:val="22"/>
                          </w:rPr>
                          <w:t>(Cube Ranked Member)</w:t>
                        </w:r>
                      </w:p>
                    </w:tc>
                    <w:tc>
                      <w:tcPr>
                        <w:tcW w:w="5156" w:type="dxa"/>
                      </w:tcPr>
                      <w:p>
                        <w:pPr>
                          <w:pStyle w:val="TableParagraph"/>
                          <w:rPr>
                            <w:sz w:val="22"/>
                          </w:rPr>
                        </w:pPr>
                        <w:r>
                          <w:rPr>
                            <w:sz w:val="22"/>
                          </w:rPr>
                          <w:t>CUBERANKEDMEMBER</w:t>
                        </w:r>
                      </w:p>
                    </w:tc>
                  </w:tr>
                  <w:tr>
                    <w:trPr>
                      <w:trHeight w:val="354" w:hRule="atLeast"/>
                    </w:trPr>
                    <w:tc>
                      <w:tcPr>
                        <w:tcW w:w="5156" w:type="dxa"/>
                      </w:tcPr>
                      <w:p>
                        <w:pPr>
                          <w:pStyle w:val="TableParagraph"/>
                          <w:rPr>
                            <w:sz w:val="22"/>
                          </w:rPr>
                        </w:pPr>
                        <w:r>
                          <w:rPr>
                            <w:rFonts w:ascii="Cambria"/>
                            <w:sz w:val="22"/>
                          </w:rPr>
                          <w:t>s </w:t>
                        </w:r>
                        <w:r>
                          <w:rPr>
                            <w:sz w:val="22"/>
                          </w:rPr>
                          <w:t>(Cube Set)</w:t>
                        </w:r>
                      </w:p>
                    </w:tc>
                    <w:tc>
                      <w:tcPr>
                        <w:tcW w:w="5156" w:type="dxa"/>
                      </w:tcPr>
                      <w:p>
                        <w:pPr>
                          <w:pStyle w:val="TableParagraph"/>
                          <w:rPr>
                            <w:sz w:val="22"/>
                          </w:rPr>
                        </w:pPr>
                        <w:r>
                          <w:rPr>
                            <w:sz w:val="22"/>
                          </w:rPr>
                          <w:t>CUBESET</w:t>
                        </w:r>
                      </w:p>
                    </w:tc>
                  </w:tr>
                  <w:tr>
                    <w:trPr>
                      <w:trHeight w:val="354" w:hRule="atLeast"/>
                    </w:trPr>
                    <w:tc>
                      <w:tcPr>
                        <w:tcW w:w="5156" w:type="dxa"/>
                      </w:tcPr>
                      <w:p>
                        <w:pPr>
                          <w:pStyle w:val="TableParagraph"/>
                          <w:rPr>
                            <w:sz w:val="22"/>
                          </w:rPr>
                        </w:pPr>
                        <w:r>
                          <w:rPr>
                            <w:rFonts w:ascii="Cambria"/>
                            <w:sz w:val="22"/>
                          </w:rPr>
                          <w:t>v </w:t>
                        </w:r>
                        <w:r>
                          <w:rPr>
                            <w:sz w:val="22"/>
                          </w:rPr>
                          <w:t>(Cube Value)</w:t>
                        </w:r>
                      </w:p>
                    </w:tc>
                    <w:tc>
                      <w:tcPr>
                        <w:tcW w:w="5156" w:type="dxa"/>
                      </w:tcPr>
                      <w:p>
                        <w:pPr>
                          <w:pStyle w:val="TableParagraph"/>
                          <w:rPr>
                            <w:sz w:val="22"/>
                          </w:rPr>
                        </w:pPr>
                        <w:r>
                          <w:rPr>
                            <w:sz w:val="22"/>
                          </w:rPr>
                          <w:t>CUBEVALUE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90"/>
        <w:ind w:left="220"/>
      </w:pPr>
      <w:r>
        <w:rPr/>
        <w:t>[</w:t>
      </w:r>
      <w:r>
        <w:rPr>
          <w:i/>
        </w:rPr>
        <w:t>Note</w:t>
      </w:r>
      <w:r>
        <w:rPr/>
        <w:t>: The W3C XML Schema definition of this simple type’s content model (</w:t>
      </w:r>
      <w:r>
        <w:rPr>
          <w:color w:val="5F5F5F"/>
          <w:u w:val="single" w:color="5F5F5F"/>
        </w:rPr>
        <w:t>ST_MdxFunctionType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45 ST_MdxKPIProperty (MDX KPI Prop" w:id="2600"/>
      <w:bookmarkEnd w:id="2600"/>
      <w:r>
        <w:rPr>
          <w:b w:val="0"/>
        </w:rPr>
      </w:r>
      <w:bookmarkStart w:name="_bookmark867" w:id="2601"/>
      <w:bookmarkEnd w:id="2601"/>
      <w:r>
        <w:rPr>
          <w:b w:val="0"/>
        </w:rPr>
      </w:r>
      <w:bookmarkStart w:name="_bookmark867" w:id="2602"/>
      <w:bookmarkEnd w:id="2602"/>
      <w:r>
        <w:rPr>
          <w:color w:val="4F81BC"/>
        </w:rPr>
        <w:t>S</w:t>
      </w:r>
      <w:r>
        <w:rPr>
          <w:color w:val="4F81BC"/>
        </w:rPr>
        <w:t>T_MdxKPIProperty (MDX KPI</w:t>
      </w:r>
      <w:r>
        <w:rPr>
          <w:color w:val="4F81BC"/>
          <w:spacing w:val="4"/>
        </w:rPr>
        <w:t> </w:t>
      </w:r>
      <w:r>
        <w:rPr>
          <w:color w:val="4F81BC"/>
        </w:rPr>
        <w:t>Property)</w:t>
      </w:r>
    </w:p>
    <w:p>
      <w:pPr>
        <w:pStyle w:val="BodyText"/>
        <w:spacing w:before="124"/>
        <w:ind w:left="220"/>
      </w:pPr>
      <w:r>
        <w:rPr/>
        <w:t>An enumeration representing the different types of KPI properties.</w:t>
      </w:r>
    </w:p>
    <w:p>
      <w:pPr>
        <w:pStyle w:val="BodyText"/>
        <w:spacing w:before="8"/>
        <w:rPr>
          <w:sz w:val="19"/>
        </w:rPr>
      </w:pPr>
    </w:p>
    <w:p>
      <w:pPr>
        <w:pStyle w:val="BodyText"/>
        <w:spacing w:line="489" w:lineRule="auto"/>
        <w:ind w:left="220" w:right="2804"/>
      </w:pPr>
      <w:r>
        <w:rPr/>
        <w:pict>
          <v:shape style="position:absolute;margin-left:48pt;margin-top:42.873634pt;width:516.35pt;height:128.2pt;mso-position-horizontal-relative:page;mso-position-vertical-relative:paragraph;z-index:2519214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spacing w:before="42"/>
                          <w:ind w:left="1699"/>
                          <w:rPr>
                            <w:b/>
                            <w:sz w:val="22"/>
                          </w:rPr>
                        </w:pPr>
                        <w:r>
                          <w:rPr>
                            <w:b/>
                            <w:sz w:val="22"/>
                          </w:rPr>
                          <w:t>Enumeration Value</w:t>
                        </w:r>
                      </w:p>
                    </w:tc>
                    <w:tc>
                      <w:tcPr>
                        <w:tcW w:w="5156" w:type="dxa"/>
                        <w:shd w:val="clear" w:color="auto" w:fill="C0C0C0"/>
                      </w:tcPr>
                      <w:p>
                        <w:pPr>
                          <w:pStyle w:val="TableParagraph"/>
                          <w:spacing w:before="42"/>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g </w:t>
                        </w:r>
                        <w:r>
                          <w:rPr>
                            <w:sz w:val="22"/>
                          </w:rPr>
                          <w:t>(Goal)</w:t>
                        </w:r>
                      </w:p>
                    </w:tc>
                    <w:tc>
                      <w:tcPr>
                        <w:tcW w:w="5156" w:type="dxa"/>
                      </w:tcPr>
                      <w:p>
                        <w:pPr>
                          <w:pStyle w:val="TableParagraph"/>
                          <w:rPr>
                            <w:sz w:val="22"/>
                          </w:rPr>
                        </w:pPr>
                        <w:r>
                          <w:rPr>
                            <w:sz w:val="22"/>
                          </w:rPr>
                          <w:t>Goal.</w:t>
                        </w:r>
                      </w:p>
                    </w:tc>
                  </w:tr>
                  <w:tr>
                    <w:trPr>
                      <w:trHeight w:val="354" w:hRule="atLeast"/>
                    </w:trPr>
                    <w:tc>
                      <w:tcPr>
                        <w:tcW w:w="5156" w:type="dxa"/>
                      </w:tcPr>
                      <w:p>
                        <w:pPr>
                          <w:pStyle w:val="TableParagraph"/>
                          <w:rPr>
                            <w:sz w:val="22"/>
                          </w:rPr>
                        </w:pPr>
                        <w:r>
                          <w:rPr>
                            <w:rFonts w:ascii="Cambria"/>
                            <w:sz w:val="22"/>
                          </w:rPr>
                          <w:t>m </w:t>
                        </w:r>
                        <w:r>
                          <w:rPr>
                            <w:sz w:val="22"/>
                          </w:rPr>
                          <w:t>(Current Time Member)</w:t>
                        </w:r>
                      </w:p>
                    </w:tc>
                    <w:tc>
                      <w:tcPr>
                        <w:tcW w:w="5156" w:type="dxa"/>
                      </w:tcPr>
                      <w:p>
                        <w:pPr>
                          <w:pStyle w:val="TableParagraph"/>
                          <w:rPr>
                            <w:sz w:val="22"/>
                          </w:rPr>
                        </w:pPr>
                        <w:r>
                          <w:rPr>
                            <w:sz w:val="22"/>
                          </w:rPr>
                          <w:t>Current time member.</w:t>
                        </w:r>
                      </w:p>
                    </w:tc>
                  </w:tr>
                  <w:tr>
                    <w:trPr>
                      <w:trHeight w:val="355" w:hRule="atLeast"/>
                    </w:trPr>
                    <w:tc>
                      <w:tcPr>
                        <w:tcW w:w="5156" w:type="dxa"/>
                      </w:tcPr>
                      <w:p>
                        <w:pPr>
                          <w:pStyle w:val="TableParagraph"/>
                          <w:rPr>
                            <w:sz w:val="22"/>
                          </w:rPr>
                        </w:pPr>
                        <w:r>
                          <w:rPr>
                            <w:rFonts w:ascii="Cambria"/>
                            <w:sz w:val="22"/>
                          </w:rPr>
                          <w:t>s </w:t>
                        </w:r>
                        <w:r>
                          <w:rPr>
                            <w:sz w:val="22"/>
                          </w:rPr>
                          <w:t>(Status)</w:t>
                        </w:r>
                      </w:p>
                    </w:tc>
                    <w:tc>
                      <w:tcPr>
                        <w:tcW w:w="5156" w:type="dxa"/>
                      </w:tcPr>
                      <w:p>
                        <w:pPr>
                          <w:pStyle w:val="TableParagraph"/>
                          <w:rPr>
                            <w:sz w:val="22"/>
                          </w:rPr>
                        </w:pPr>
                        <w:r>
                          <w:rPr>
                            <w:sz w:val="22"/>
                          </w:rPr>
                          <w:t>Status.</w:t>
                        </w:r>
                      </w:p>
                    </w:tc>
                  </w:tr>
                  <w:tr>
                    <w:trPr>
                      <w:trHeight w:val="354" w:hRule="atLeast"/>
                    </w:trPr>
                    <w:tc>
                      <w:tcPr>
                        <w:tcW w:w="5156" w:type="dxa"/>
                      </w:tcPr>
                      <w:p>
                        <w:pPr>
                          <w:pStyle w:val="TableParagraph"/>
                          <w:rPr>
                            <w:sz w:val="22"/>
                          </w:rPr>
                        </w:pPr>
                        <w:r>
                          <w:rPr>
                            <w:rFonts w:ascii="Cambria"/>
                            <w:sz w:val="22"/>
                          </w:rPr>
                          <w:t>t </w:t>
                        </w:r>
                        <w:r>
                          <w:rPr>
                            <w:sz w:val="22"/>
                          </w:rPr>
                          <w:t>(Trend)</w:t>
                        </w:r>
                      </w:p>
                    </w:tc>
                    <w:tc>
                      <w:tcPr>
                        <w:tcW w:w="5156" w:type="dxa"/>
                      </w:tcPr>
                      <w:p>
                        <w:pPr>
                          <w:pStyle w:val="TableParagraph"/>
                          <w:rPr>
                            <w:sz w:val="22"/>
                          </w:rPr>
                        </w:pPr>
                        <w:r>
                          <w:rPr>
                            <w:sz w:val="22"/>
                          </w:rPr>
                          <w:t>Trend.</w:t>
                        </w:r>
                      </w:p>
                    </w:tc>
                  </w:tr>
                  <w:tr>
                    <w:trPr>
                      <w:trHeight w:val="354" w:hRule="atLeast"/>
                    </w:trPr>
                    <w:tc>
                      <w:tcPr>
                        <w:tcW w:w="5156" w:type="dxa"/>
                      </w:tcPr>
                      <w:p>
                        <w:pPr>
                          <w:pStyle w:val="TableParagraph"/>
                          <w:rPr>
                            <w:sz w:val="22"/>
                          </w:rPr>
                        </w:pPr>
                        <w:r>
                          <w:rPr>
                            <w:rFonts w:ascii="Cambria"/>
                            <w:sz w:val="22"/>
                          </w:rPr>
                          <w:t>v </w:t>
                        </w:r>
                        <w:r>
                          <w:rPr>
                            <w:sz w:val="22"/>
                          </w:rPr>
                          <w:t>(Value)</w:t>
                        </w:r>
                      </w:p>
                    </w:tc>
                    <w:tc>
                      <w:tcPr>
                        <w:tcW w:w="5156" w:type="dxa"/>
                      </w:tcPr>
                      <w:p>
                        <w:pPr>
                          <w:pStyle w:val="TableParagraph"/>
                          <w:rPr>
                            <w:sz w:val="22"/>
                          </w:rPr>
                        </w:pPr>
                        <w:r>
                          <w:rPr>
                            <w:sz w:val="22"/>
                          </w:rPr>
                          <w:t>Value.</w:t>
                        </w:r>
                      </w:p>
                    </w:tc>
                  </w:tr>
                  <w:tr>
                    <w:trPr>
                      <w:trHeight w:val="354" w:hRule="atLeast"/>
                    </w:trPr>
                    <w:tc>
                      <w:tcPr>
                        <w:tcW w:w="5156" w:type="dxa"/>
                      </w:tcPr>
                      <w:p>
                        <w:pPr>
                          <w:pStyle w:val="TableParagraph"/>
                          <w:rPr>
                            <w:sz w:val="22"/>
                          </w:rPr>
                        </w:pPr>
                        <w:r>
                          <w:rPr>
                            <w:rFonts w:ascii="Cambria"/>
                            <w:sz w:val="22"/>
                          </w:rPr>
                          <w:t>w </w:t>
                        </w:r>
                        <w:r>
                          <w:rPr>
                            <w:sz w:val="22"/>
                          </w:rPr>
                          <w:t>(Weight)</w:t>
                        </w:r>
                      </w:p>
                    </w:tc>
                    <w:tc>
                      <w:tcPr>
                        <w:tcW w:w="5156" w:type="dxa"/>
                      </w:tcPr>
                      <w:p>
                        <w:pPr>
                          <w:pStyle w:val="TableParagraph"/>
                          <w:rPr>
                            <w:sz w:val="22"/>
                          </w:rPr>
                        </w:pPr>
                        <w:r>
                          <w:rPr>
                            <w:sz w:val="22"/>
                          </w:rPr>
                          <w:t>Weight.</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6"/>
        <w:ind w:left="220"/>
      </w:pPr>
      <w:r>
        <w:rPr/>
        <w:t>[</w:t>
      </w:r>
      <w:r>
        <w:rPr>
          <w:i/>
        </w:rPr>
        <w:t>Note</w:t>
      </w:r>
      <w:r>
        <w:rPr/>
        <w:t>: The W3C XML Schema definition of this simple type’s content model (</w:t>
      </w:r>
      <w:r>
        <w:rPr>
          <w:color w:val="5F5F5F"/>
          <w:u w:val="single" w:color="5F5F5F"/>
        </w:rPr>
        <w:t>ST_MdxKPIProperty</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46 ST_MdxSetOrder (MDX Set Order)" w:id="2603"/>
      <w:bookmarkEnd w:id="2603"/>
      <w:r>
        <w:rPr>
          <w:b w:val="0"/>
        </w:rPr>
      </w:r>
      <w:bookmarkStart w:name="_bookmark868" w:id="2604"/>
      <w:bookmarkEnd w:id="2604"/>
      <w:r>
        <w:rPr>
          <w:b w:val="0"/>
        </w:rPr>
      </w:r>
      <w:bookmarkStart w:name="_bookmark868" w:id="2605"/>
      <w:bookmarkEnd w:id="2605"/>
      <w:r>
        <w:rPr>
          <w:color w:val="4F81BC"/>
        </w:rPr>
        <w:t>S</w:t>
      </w:r>
      <w:r>
        <w:rPr>
          <w:color w:val="4F81BC"/>
        </w:rPr>
        <w:t>T_MdxSetOrder (MDX Set Order)</w:t>
      </w:r>
    </w:p>
    <w:p>
      <w:pPr>
        <w:pStyle w:val="BodyText"/>
        <w:spacing w:before="124"/>
        <w:ind w:left="220"/>
      </w:pPr>
      <w:r>
        <w:rPr/>
        <w:t>This simple type represents an enumeration specifying an MDX set order.</w:t>
      </w:r>
    </w:p>
    <w:p>
      <w:pPr>
        <w:pStyle w:val="BodyText"/>
        <w:spacing w:before="8"/>
        <w:rPr>
          <w:sz w:val="19"/>
        </w:rPr>
      </w:pPr>
    </w:p>
    <w:p>
      <w:pPr>
        <w:pStyle w:val="BodyText"/>
        <w:spacing w:line="489" w:lineRule="auto"/>
        <w:ind w:left="220" w:right="2804"/>
      </w:pPr>
      <w:r>
        <w:rPr/>
        <w:pict>
          <v:shape style="position:absolute;margin-left:48pt;margin-top:42.87365pt;width:516.35pt;height:222.15pt;mso-position-horizontal-relative:page;mso-position-vertical-relative:paragraph;z-index:2519224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 </w:t>
                        </w:r>
                        <w:r>
                          <w:rPr>
                            <w:sz w:val="22"/>
                          </w:rPr>
                          <w:t>(Ascending)</w:t>
                        </w:r>
                      </w:p>
                    </w:tc>
                    <w:tc>
                      <w:tcPr>
                        <w:tcW w:w="5156" w:type="dxa"/>
                      </w:tcPr>
                      <w:p>
                        <w:pPr>
                          <w:pStyle w:val="TableParagraph"/>
                          <w:rPr>
                            <w:sz w:val="22"/>
                          </w:rPr>
                        </w:pPr>
                        <w:r>
                          <w:rPr>
                            <w:sz w:val="22"/>
                          </w:rPr>
                          <w:t>Sort ascending.</w:t>
                        </w:r>
                      </w:p>
                    </w:tc>
                  </w:tr>
                  <w:tr>
                    <w:trPr>
                      <w:trHeight w:val="623" w:hRule="atLeast"/>
                    </w:trPr>
                    <w:tc>
                      <w:tcPr>
                        <w:tcW w:w="5156" w:type="dxa"/>
                      </w:tcPr>
                      <w:p>
                        <w:pPr>
                          <w:pStyle w:val="TableParagraph"/>
                          <w:rPr>
                            <w:sz w:val="22"/>
                          </w:rPr>
                        </w:pPr>
                        <w:r>
                          <w:rPr>
                            <w:rFonts w:ascii="Cambria"/>
                            <w:sz w:val="22"/>
                          </w:rPr>
                          <w:t>aa </w:t>
                        </w:r>
                        <w:r>
                          <w:rPr>
                            <w:sz w:val="22"/>
                          </w:rPr>
                          <w:t>(Alpha Ascending Sort Order)</w:t>
                        </w:r>
                      </w:p>
                    </w:tc>
                    <w:tc>
                      <w:tcPr>
                        <w:tcW w:w="5156" w:type="dxa"/>
                      </w:tcPr>
                      <w:p>
                        <w:pPr>
                          <w:pStyle w:val="TableParagraph"/>
                          <w:ind w:right="810"/>
                          <w:rPr>
                            <w:sz w:val="22"/>
                          </w:rPr>
                        </w:pPr>
                        <w:r>
                          <w:rPr>
                            <w:sz w:val="22"/>
                          </w:rPr>
                          <w:t>Sorted alphabetically in ascending order by the caption.</w:t>
                        </w:r>
                      </w:p>
                    </w:tc>
                  </w:tr>
                  <w:tr>
                    <w:trPr>
                      <w:trHeight w:val="354" w:hRule="atLeast"/>
                    </w:trPr>
                    <w:tc>
                      <w:tcPr>
                        <w:tcW w:w="5156" w:type="dxa"/>
                      </w:tcPr>
                      <w:p>
                        <w:pPr>
                          <w:pStyle w:val="TableParagraph"/>
                          <w:rPr>
                            <w:sz w:val="22"/>
                          </w:rPr>
                        </w:pPr>
                        <w:r>
                          <w:rPr>
                            <w:rFonts w:ascii="Cambria"/>
                            <w:sz w:val="22"/>
                          </w:rPr>
                          <w:t>ad </w:t>
                        </w:r>
                        <w:r>
                          <w:rPr>
                            <w:sz w:val="22"/>
                          </w:rPr>
                          <w:t>(Alpha Descending Sort Order)</w:t>
                        </w:r>
                      </w:p>
                    </w:tc>
                    <w:tc>
                      <w:tcPr>
                        <w:tcW w:w="5156" w:type="dxa"/>
                      </w:tcPr>
                      <w:p>
                        <w:pPr>
                          <w:pStyle w:val="TableParagraph"/>
                          <w:rPr>
                            <w:sz w:val="22"/>
                          </w:rPr>
                        </w:pPr>
                        <w:r>
                          <w:rPr>
                            <w:sz w:val="22"/>
                          </w:rPr>
                          <w:t>Sort in descending order alphabetically by the caption.</w:t>
                        </w:r>
                      </w:p>
                    </w:tc>
                  </w:tr>
                  <w:tr>
                    <w:trPr>
                      <w:trHeight w:val="354" w:hRule="atLeast"/>
                    </w:trPr>
                    <w:tc>
                      <w:tcPr>
                        <w:tcW w:w="5156" w:type="dxa"/>
                      </w:tcPr>
                      <w:p>
                        <w:pPr>
                          <w:pStyle w:val="TableParagraph"/>
                          <w:rPr>
                            <w:sz w:val="22"/>
                          </w:rPr>
                        </w:pPr>
                        <w:r>
                          <w:rPr>
                            <w:rFonts w:ascii="Cambria"/>
                            <w:sz w:val="22"/>
                          </w:rPr>
                          <w:t>d </w:t>
                        </w:r>
                        <w:r>
                          <w:rPr>
                            <w:sz w:val="22"/>
                          </w:rPr>
                          <w:t>(Descending)</w:t>
                        </w:r>
                      </w:p>
                    </w:tc>
                    <w:tc>
                      <w:tcPr>
                        <w:tcW w:w="5156" w:type="dxa"/>
                      </w:tcPr>
                      <w:p>
                        <w:pPr>
                          <w:pStyle w:val="TableParagraph"/>
                          <w:rPr>
                            <w:sz w:val="22"/>
                          </w:rPr>
                        </w:pPr>
                        <w:r>
                          <w:rPr>
                            <w:sz w:val="22"/>
                          </w:rPr>
                          <w:t>Sort descending.</w:t>
                        </w:r>
                      </w:p>
                    </w:tc>
                  </w:tr>
                  <w:tr>
                    <w:trPr>
                      <w:trHeight w:val="1159" w:hRule="atLeast"/>
                    </w:trPr>
                    <w:tc>
                      <w:tcPr>
                        <w:tcW w:w="5156" w:type="dxa"/>
                      </w:tcPr>
                      <w:p>
                        <w:pPr>
                          <w:pStyle w:val="TableParagraph"/>
                          <w:rPr>
                            <w:sz w:val="22"/>
                          </w:rPr>
                        </w:pPr>
                        <w:r>
                          <w:rPr>
                            <w:rFonts w:ascii="Cambria"/>
                            <w:sz w:val="22"/>
                          </w:rPr>
                          <w:t>na </w:t>
                        </w:r>
                        <w:r>
                          <w:rPr>
                            <w:sz w:val="22"/>
                          </w:rPr>
                          <w:t>(Natural Ascending)</w:t>
                        </w:r>
                      </w:p>
                    </w:tc>
                    <w:tc>
                      <w:tcPr>
                        <w:tcW w:w="5156" w:type="dxa"/>
                      </w:tcPr>
                      <w:p>
                        <w:pPr>
                          <w:pStyle w:val="TableParagraph"/>
                          <w:ind w:right="254"/>
                          <w:jc w:val="both"/>
                          <w:rPr>
                            <w:sz w:val="22"/>
                          </w:rPr>
                        </w:pPr>
                        <w:r>
                          <w:rPr>
                            <w:sz w:val="22"/>
                          </w:rPr>
                          <w:t>Sorted in ascending order by the natural order of the data - usually by the key. For instance if there is a list of accounts in a general ledger, this might be in order of account number.</w:t>
                        </w:r>
                      </w:p>
                    </w:tc>
                  </w:tr>
                  <w:tr>
                    <w:trPr>
                      <w:trHeight w:val="1161" w:hRule="atLeast"/>
                    </w:trPr>
                    <w:tc>
                      <w:tcPr>
                        <w:tcW w:w="5156" w:type="dxa"/>
                      </w:tcPr>
                      <w:p>
                        <w:pPr>
                          <w:pStyle w:val="TableParagraph"/>
                          <w:rPr>
                            <w:sz w:val="22"/>
                          </w:rPr>
                        </w:pPr>
                        <w:r>
                          <w:rPr>
                            <w:rFonts w:ascii="Cambria"/>
                            <w:sz w:val="22"/>
                          </w:rPr>
                          <w:t>nd </w:t>
                        </w:r>
                        <w:r>
                          <w:rPr>
                            <w:sz w:val="22"/>
                          </w:rPr>
                          <w:t>(Natural Descending)</w:t>
                        </w:r>
                      </w:p>
                    </w:tc>
                    <w:tc>
                      <w:tcPr>
                        <w:tcW w:w="5156" w:type="dxa"/>
                      </w:tcPr>
                      <w:p>
                        <w:pPr>
                          <w:pStyle w:val="TableParagraph"/>
                          <w:ind w:right="162"/>
                          <w:rPr>
                            <w:sz w:val="22"/>
                          </w:rPr>
                        </w:pPr>
                        <w:r>
                          <w:rPr>
                            <w:sz w:val="22"/>
                          </w:rPr>
                          <w:t>Sorted in descending order by the natural order of the data - usually by the key. For instance if there is a list of accounts in a general ledger, this might be in order of account number.</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u </w:t>
            </w:r>
            <w:r>
              <w:rPr>
                <w:sz w:val="22"/>
              </w:rPr>
              <w:t>(Unsorted)</w:t>
            </w:r>
          </w:p>
        </w:tc>
        <w:tc>
          <w:tcPr>
            <w:tcW w:w="5156" w:type="dxa"/>
          </w:tcPr>
          <w:p>
            <w:pPr>
              <w:pStyle w:val="TableParagraph"/>
              <w:rPr>
                <w:sz w:val="22"/>
              </w:rPr>
            </w:pPr>
            <w:r>
              <w:rPr>
                <w:sz w:val="22"/>
              </w:rPr>
              <w:t>Unsorted.</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ST_MdxSetOrder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47 ST_NumFmtId (Number Format Id)" w:id="2606"/>
      <w:bookmarkEnd w:id="2606"/>
      <w:r>
        <w:rPr>
          <w:b w:val="0"/>
        </w:rPr>
      </w:r>
      <w:bookmarkStart w:name="_bookmark869" w:id="2607"/>
      <w:bookmarkEnd w:id="2607"/>
      <w:r>
        <w:rPr>
          <w:b w:val="0"/>
        </w:rPr>
      </w:r>
      <w:bookmarkStart w:name="_bookmark869" w:id="2608"/>
      <w:bookmarkEnd w:id="2608"/>
      <w:r>
        <w:rPr>
          <w:color w:val="4F81BC"/>
        </w:rPr>
        <w:t>S</w:t>
      </w:r>
      <w:r>
        <w:rPr>
          <w:color w:val="4F81BC"/>
        </w:rPr>
        <w:t>T_NumFmtId (Number Format</w:t>
      </w:r>
      <w:r>
        <w:rPr>
          <w:color w:val="4F81BC"/>
          <w:spacing w:val="-4"/>
        </w:rPr>
        <w:t> </w:t>
      </w:r>
      <w:r>
        <w:rPr>
          <w:color w:val="4F81BC"/>
        </w:rPr>
        <w:t>Id)</w:t>
      </w:r>
    </w:p>
    <w:p>
      <w:pPr>
        <w:pStyle w:val="BodyText"/>
        <w:spacing w:line="278" w:lineRule="auto" w:before="121"/>
        <w:ind w:left="220" w:right="658"/>
      </w:pPr>
      <w:r>
        <w:rPr/>
        <w:t>This simple type defines the identifier to a style sheet number format entry in CT_NumFmts. Number formats are written to the styles part. See </w:t>
      </w:r>
      <w:hyperlink w:history="true" w:anchor="_bookmark214">
        <w:r>
          <w:rPr/>
          <w:t>§18.8.31 </w:t>
        </w:r>
      </w:hyperlink>
      <w:r>
        <w:rPr/>
        <w:t>for more information on number formats.</w:t>
      </w:r>
    </w:p>
    <w:p>
      <w:pPr>
        <w:pStyle w:val="BodyText"/>
        <w:spacing w:before="2"/>
        <w:rPr>
          <w:sz w:val="16"/>
        </w:rPr>
      </w:pPr>
    </w:p>
    <w:p>
      <w:pPr>
        <w:pStyle w:val="BodyText"/>
        <w:spacing w:before="1"/>
        <w:ind w:left="220"/>
      </w:pPr>
      <w:r>
        <w:rPr/>
        <w:t>This simple type's contents are a restriction of the W3C XML Schema </w:t>
      </w:r>
      <w:r>
        <w:rPr>
          <w:rFonts w:ascii="Cambria"/>
        </w:rPr>
        <w:t>unsignedInt </w:t>
      </w:r>
      <w:r>
        <w:rPr/>
        <w:t>datatype.</w:t>
      </w:r>
    </w:p>
    <w:p>
      <w:pPr>
        <w:pStyle w:val="BodyText"/>
        <w:spacing w:before="6"/>
        <w:rPr>
          <w:sz w:val="19"/>
        </w:rPr>
      </w:pPr>
    </w:p>
    <w:p>
      <w:pPr>
        <w:pStyle w:val="BodyText"/>
        <w:ind w:left="220"/>
      </w:pPr>
      <w:r>
        <w:rPr/>
        <w:t>[</w:t>
      </w:r>
      <w:r>
        <w:rPr>
          <w:i/>
        </w:rPr>
        <w:t>Note</w:t>
      </w:r>
      <w:r>
        <w:rPr/>
        <w:t>: The W3C XML Schema definition of this simple type’s content model (</w:t>
      </w:r>
      <w:r>
        <w:rPr>
          <w:color w:val="5F5F5F"/>
          <w:u w:val="single" w:color="5F5F5F"/>
        </w:rPr>
        <w:t>ST_NumFmtId</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48 ST_Objects (Object Display Type" w:id="2609"/>
      <w:bookmarkEnd w:id="2609"/>
      <w:r>
        <w:rPr>
          <w:b w:val="0"/>
        </w:rPr>
      </w:r>
      <w:bookmarkStart w:name="_bookmark870" w:id="2610"/>
      <w:bookmarkEnd w:id="2610"/>
      <w:r>
        <w:rPr>
          <w:b w:val="0"/>
        </w:rPr>
      </w:r>
      <w:bookmarkStart w:name="_bookmark870" w:id="2611"/>
      <w:bookmarkEnd w:id="2611"/>
      <w:r>
        <w:rPr>
          <w:color w:val="4F81BC"/>
        </w:rPr>
        <w:t>S</w:t>
      </w:r>
      <w:r>
        <w:rPr>
          <w:color w:val="4F81BC"/>
        </w:rPr>
        <w:t>T_Objects (Object Display</w:t>
      </w:r>
      <w:r>
        <w:rPr>
          <w:color w:val="4F81BC"/>
          <w:spacing w:val="-3"/>
        </w:rPr>
        <w:t> </w:t>
      </w:r>
      <w:r>
        <w:rPr>
          <w:color w:val="4F81BC"/>
        </w:rPr>
        <w:t>Types)</w:t>
      </w:r>
    </w:p>
    <w:p>
      <w:pPr>
        <w:pStyle w:val="BodyText"/>
        <w:spacing w:line="276" w:lineRule="auto" w:before="124"/>
        <w:ind w:left="220" w:right="763"/>
      </w:pPr>
      <w:r>
        <w:rPr/>
        <w:t>This simple type defines how the application displays objects in this workbook. Objects might include charts, images, and other object data that the application supports.</w:t>
      </w:r>
    </w:p>
    <w:p>
      <w:pPr>
        <w:pStyle w:val="BodyText"/>
        <w:spacing w:before="5"/>
        <w:rPr>
          <w:sz w:val="16"/>
        </w:rPr>
      </w:pPr>
    </w:p>
    <w:p>
      <w:pPr>
        <w:pStyle w:val="BodyText"/>
        <w:spacing w:line="489" w:lineRule="auto" w:before="1"/>
        <w:ind w:left="220" w:right="2804"/>
      </w:pPr>
      <w:r>
        <w:rPr/>
        <w:pict>
          <v:shape style="position:absolute;margin-left:48pt;margin-top:43.04364pt;width:516.35pt;height:86.8pt;mso-position-horizontal-relative:page;mso-position-vertical-relative:paragraph;z-index:2519234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5" w:hRule="atLeast"/>
                    </w:trPr>
                    <w:tc>
                      <w:tcPr>
                        <w:tcW w:w="5156" w:type="dxa"/>
                      </w:tcPr>
                      <w:p>
                        <w:pPr>
                          <w:pStyle w:val="TableParagraph"/>
                          <w:rPr>
                            <w:sz w:val="22"/>
                          </w:rPr>
                        </w:pPr>
                        <w:r>
                          <w:rPr>
                            <w:rFonts w:ascii="Cambria"/>
                            <w:sz w:val="22"/>
                          </w:rPr>
                          <w:t>all </w:t>
                        </w:r>
                        <w:r>
                          <w:rPr>
                            <w:sz w:val="22"/>
                          </w:rPr>
                          <w:t>(All)</w:t>
                        </w:r>
                      </w:p>
                    </w:tc>
                    <w:tc>
                      <w:tcPr>
                        <w:tcW w:w="5156" w:type="dxa"/>
                      </w:tcPr>
                      <w:p>
                        <w:pPr>
                          <w:pStyle w:val="TableParagraph"/>
                          <w:rPr>
                            <w:sz w:val="22"/>
                          </w:rPr>
                        </w:pPr>
                        <w:r>
                          <w:rPr>
                            <w:sz w:val="22"/>
                          </w:rPr>
                          <w:t>Indicates that all objects be shown in the workbook.</w:t>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Indicates that all objects be hidden in the workbook.</w:t>
                        </w:r>
                      </w:p>
                    </w:tc>
                  </w:tr>
                  <w:tr>
                    <w:trPr>
                      <w:trHeight w:val="621" w:hRule="atLeast"/>
                    </w:trPr>
                    <w:tc>
                      <w:tcPr>
                        <w:tcW w:w="5156" w:type="dxa"/>
                      </w:tcPr>
                      <w:p>
                        <w:pPr>
                          <w:pStyle w:val="TableParagraph"/>
                          <w:rPr>
                            <w:sz w:val="22"/>
                          </w:rPr>
                        </w:pPr>
                        <w:r>
                          <w:rPr>
                            <w:rFonts w:ascii="Cambria"/>
                            <w:sz w:val="22"/>
                          </w:rPr>
                          <w:t>placeholders </w:t>
                        </w:r>
                        <w:r>
                          <w:rPr>
                            <w:sz w:val="22"/>
                          </w:rPr>
                          <w:t>(Show Placeholders)</w:t>
                        </w:r>
                      </w:p>
                    </w:tc>
                    <w:tc>
                      <w:tcPr>
                        <w:tcW w:w="5156" w:type="dxa"/>
                      </w:tcPr>
                      <w:p>
                        <w:pPr>
                          <w:pStyle w:val="TableParagraph"/>
                          <w:ind w:right="370"/>
                          <w:rPr>
                            <w:sz w:val="22"/>
                          </w:rPr>
                        </w:pPr>
                        <w:r>
                          <w:rPr>
                            <w:sz w:val="22"/>
                          </w:rPr>
                          <w:t>Indicates that the application show placeholders for objects in the workbook.</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32"/>
        </w:rPr>
      </w:pPr>
    </w:p>
    <w:p>
      <w:pPr>
        <w:pStyle w:val="BodyText"/>
        <w:spacing w:line="276" w:lineRule="auto" w:before="1"/>
        <w:ind w:left="220" w:right="533"/>
      </w:pPr>
      <w:r>
        <w:rPr/>
        <w:t>[</w:t>
      </w:r>
      <w:r>
        <w:rPr>
          <w:i/>
        </w:rPr>
        <w:t>Note</w:t>
      </w:r>
      <w:r>
        <w:rPr/>
        <w:t>: The W3C XML Schema definition of this simple type’s content model (</w:t>
      </w:r>
      <w:r>
        <w:rPr>
          <w:color w:val="5F5F5F"/>
          <w:u w:val="single" w:color="5F5F5F"/>
        </w:rPr>
        <w:t>ST_Objects</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49 ST_OleUpdate (OLE Update Types)" w:id="2612"/>
      <w:bookmarkEnd w:id="2612"/>
      <w:r>
        <w:rPr>
          <w:b w:val="0"/>
        </w:rPr>
      </w:r>
      <w:bookmarkStart w:name="_bookmark871" w:id="2613"/>
      <w:bookmarkEnd w:id="2613"/>
      <w:r>
        <w:rPr>
          <w:b w:val="0"/>
        </w:rPr>
      </w:r>
      <w:bookmarkStart w:name="_bookmark871" w:id="2614"/>
      <w:bookmarkEnd w:id="2614"/>
      <w:r>
        <w:rPr>
          <w:color w:val="4F81BC"/>
        </w:rPr>
        <w:t>S</w:t>
      </w:r>
      <w:r>
        <w:rPr>
          <w:color w:val="4F81BC"/>
        </w:rPr>
        <w:t>T_OleUpdate (OLE Update</w:t>
      </w:r>
      <w:r>
        <w:rPr>
          <w:color w:val="4F81BC"/>
          <w:spacing w:val="-3"/>
        </w:rPr>
        <w:t> </w:t>
      </w:r>
      <w:r>
        <w:rPr>
          <w:color w:val="4F81BC"/>
        </w:rPr>
        <w:t>Types)</w:t>
      </w:r>
    </w:p>
    <w:p>
      <w:pPr>
        <w:pStyle w:val="BodyText"/>
        <w:spacing w:line="278" w:lineRule="auto" w:before="124"/>
        <w:ind w:left="220" w:right="680"/>
      </w:pPr>
      <w:r>
        <w:rPr/>
        <w:t>Indicates whether the linked object updates the cached data for the linked object automatically or only when the container calls IOleObject::Update or IOleLink::Update methods.</w:t>
      </w:r>
    </w:p>
    <w:p>
      <w:pPr>
        <w:pStyle w:val="BodyText"/>
        <w:spacing w:line="489" w:lineRule="auto" w:before="196"/>
        <w:ind w:left="220" w:right="2804"/>
      </w:pPr>
      <w:r>
        <w:rPr/>
        <w:pict>
          <v:shape style="position:absolute;margin-left:48pt;margin-top:52.793659pt;width:516.35pt;height:37pt;mso-position-horizontal-relative:page;mso-position-vertical-relative:paragraph;z-index:2519244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OLEUPDATE_ALWAYS </w:t>
                        </w:r>
                        <w:r>
                          <w:rPr>
                            <w:sz w:val="22"/>
                          </w:rPr>
                          <w:t>(Always Update OLE)</w:t>
                        </w:r>
                      </w:p>
                    </w:tc>
                    <w:tc>
                      <w:tcPr>
                        <w:tcW w:w="5156" w:type="dxa"/>
                      </w:tcPr>
                      <w:p>
                        <w:pPr>
                          <w:pStyle w:val="TableParagraph"/>
                          <w:rPr>
                            <w:sz w:val="22"/>
                          </w:rPr>
                        </w:pPr>
                        <w:r>
                          <w:rPr>
                            <w:sz w:val="22"/>
                          </w:rPr>
                          <w:t>Update the link object whenever possible, this option</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spacing w:before="0"/>
              <w:ind w:left="0"/>
              <w:rPr>
                <w:rFonts w:ascii="Times New Roman"/>
                <w:sz w:val="22"/>
              </w:rPr>
            </w:pPr>
          </w:p>
        </w:tc>
        <w:tc>
          <w:tcPr>
            <w:tcW w:w="5156" w:type="dxa"/>
          </w:tcPr>
          <w:p>
            <w:pPr>
              <w:pStyle w:val="TableParagraph"/>
              <w:ind w:right="374"/>
              <w:rPr>
                <w:sz w:val="22"/>
              </w:rPr>
            </w:pPr>
            <w:r>
              <w:rPr>
                <w:sz w:val="22"/>
              </w:rPr>
              <w:t>corresponds to the 'automatic update' option in the Links dialog box.</w:t>
            </w:r>
          </w:p>
        </w:tc>
      </w:tr>
      <w:tr>
        <w:trPr>
          <w:trHeight w:val="892" w:hRule="atLeast"/>
        </w:trPr>
        <w:tc>
          <w:tcPr>
            <w:tcW w:w="5156" w:type="dxa"/>
          </w:tcPr>
          <w:p>
            <w:pPr>
              <w:pStyle w:val="TableParagraph"/>
              <w:rPr>
                <w:sz w:val="22"/>
              </w:rPr>
            </w:pPr>
            <w:r>
              <w:rPr>
                <w:rFonts w:ascii="Cambria"/>
                <w:sz w:val="22"/>
              </w:rPr>
              <w:t>OLEUPDATE_ONCALL </w:t>
            </w:r>
            <w:r>
              <w:rPr>
                <w:sz w:val="22"/>
              </w:rPr>
              <w:t>(Update OLE On Call)</w:t>
            </w:r>
          </w:p>
        </w:tc>
        <w:tc>
          <w:tcPr>
            <w:tcW w:w="5156" w:type="dxa"/>
          </w:tcPr>
          <w:p>
            <w:pPr>
              <w:pStyle w:val="TableParagraph"/>
              <w:ind w:right="123"/>
              <w:rPr>
                <w:sz w:val="22"/>
              </w:rPr>
            </w:pPr>
            <w:r>
              <w:rPr>
                <w:sz w:val="22"/>
              </w:rPr>
              <w:t>Update the link object only when IOleObject::Update or IOleLink::Update is called, this option coresponds to the Manual update option in the Links dialog box.</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ST_OleUpdate</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50 ST_Orientation (Orientation)" w:id="2615"/>
      <w:bookmarkEnd w:id="2615"/>
      <w:r>
        <w:rPr>
          <w:b w:val="0"/>
        </w:rPr>
      </w:r>
      <w:bookmarkStart w:name="_bookmark872" w:id="2616"/>
      <w:bookmarkEnd w:id="2616"/>
      <w:r>
        <w:rPr>
          <w:b w:val="0"/>
        </w:rPr>
      </w:r>
      <w:bookmarkStart w:name="_bookmark872" w:id="2617"/>
      <w:bookmarkEnd w:id="2617"/>
      <w:r>
        <w:rPr>
          <w:color w:val="4F81BC"/>
        </w:rPr>
        <w:t>S</w:t>
      </w:r>
      <w:r>
        <w:rPr>
          <w:color w:val="4F81BC"/>
        </w:rPr>
        <w:t>T_Orientation (Orientation)</w:t>
      </w:r>
    </w:p>
    <w:p>
      <w:pPr>
        <w:pStyle w:val="BodyText"/>
        <w:spacing w:before="127"/>
        <w:ind w:left="220"/>
      </w:pPr>
      <w:r>
        <w:rPr/>
        <w:t>Print orientation for this sheet.</w:t>
      </w:r>
    </w:p>
    <w:p>
      <w:pPr>
        <w:pStyle w:val="BodyText"/>
        <w:spacing w:before="8"/>
        <w:rPr>
          <w:sz w:val="19"/>
        </w:rPr>
      </w:pPr>
    </w:p>
    <w:p>
      <w:pPr>
        <w:pStyle w:val="BodyText"/>
        <w:spacing w:line="489" w:lineRule="auto" w:before="1"/>
        <w:ind w:left="220" w:right="2804"/>
      </w:pPr>
      <w:r>
        <w:rPr/>
        <w:pict>
          <v:shape style="position:absolute;margin-left:48pt;margin-top:42.923615pt;width:516.35pt;height:73.45pt;mso-position-horizontal-relative:page;mso-position-vertical-relative:paragraph;z-index:2519255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default </w:t>
                        </w:r>
                        <w:r>
                          <w:rPr>
                            <w:sz w:val="22"/>
                          </w:rPr>
                          <w:t>(Default)</w:t>
                        </w:r>
                      </w:p>
                    </w:tc>
                    <w:tc>
                      <w:tcPr>
                        <w:tcW w:w="5156" w:type="dxa"/>
                      </w:tcPr>
                      <w:p>
                        <w:pPr>
                          <w:pStyle w:val="TableParagraph"/>
                          <w:rPr>
                            <w:sz w:val="22"/>
                          </w:rPr>
                        </w:pPr>
                        <w:r>
                          <w:rPr>
                            <w:sz w:val="22"/>
                          </w:rPr>
                          <w:t>Orientation not specified, use the default.</w:t>
                        </w:r>
                      </w:p>
                    </w:tc>
                  </w:tr>
                  <w:tr>
                    <w:trPr>
                      <w:trHeight w:val="354" w:hRule="atLeast"/>
                    </w:trPr>
                    <w:tc>
                      <w:tcPr>
                        <w:tcW w:w="5156" w:type="dxa"/>
                      </w:tcPr>
                      <w:p>
                        <w:pPr>
                          <w:pStyle w:val="TableParagraph"/>
                          <w:rPr>
                            <w:sz w:val="22"/>
                          </w:rPr>
                        </w:pPr>
                        <w:r>
                          <w:rPr>
                            <w:rFonts w:ascii="Cambria"/>
                            <w:sz w:val="22"/>
                          </w:rPr>
                          <w:t>landscape </w:t>
                        </w:r>
                        <w:r>
                          <w:rPr>
                            <w:sz w:val="22"/>
                          </w:rPr>
                          <w:t>(Landscape)</w:t>
                        </w:r>
                      </w:p>
                    </w:tc>
                    <w:tc>
                      <w:tcPr>
                        <w:tcW w:w="5156" w:type="dxa"/>
                      </w:tcPr>
                      <w:p>
                        <w:pPr>
                          <w:pStyle w:val="TableParagraph"/>
                          <w:rPr>
                            <w:sz w:val="22"/>
                          </w:rPr>
                        </w:pPr>
                        <w:r>
                          <w:rPr>
                            <w:sz w:val="22"/>
                          </w:rPr>
                          <w:t>Landscape orientation.</w:t>
                        </w:r>
                      </w:p>
                    </w:tc>
                  </w:tr>
                  <w:tr>
                    <w:trPr>
                      <w:trHeight w:val="354" w:hRule="atLeast"/>
                    </w:trPr>
                    <w:tc>
                      <w:tcPr>
                        <w:tcW w:w="5156" w:type="dxa"/>
                      </w:tcPr>
                      <w:p>
                        <w:pPr>
                          <w:pStyle w:val="TableParagraph"/>
                          <w:rPr>
                            <w:sz w:val="22"/>
                          </w:rPr>
                        </w:pPr>
                        <w:r>
                          <w:rPr>
                            <w:rFonts w:ascii="Cambria"/>
                            <w:sz w:val="22"/>
                          </w:rPr>
                          <w:t>portrait </w:t>
                        </w:r>
                        <w:r>
                          <w:rPr>
                            <w:sz w:val="22"/>
                          </w:rPr>
                          <w:t>(Portrait)</w:t>
                        </w:r>
                      </w:p>
                    </w:tc>
                    <w:tc>
                      <w:tcPr>
                        <w:tcW w:w="5156" w:type="dxa"/>
                      </w:tcPr>
                      <w:p>
                        <w:pPr>
                          <w:pStyle w:val="TableParagraph"/>
                          <w:rPr>
                            <w:sz w:val="22"/>
                          </w:rPr>
                        </w:pPr>
                        <w:r>
                          <w:rPr>
                            <w:sz w:val="22"/>
                          </w:rPr>
                          <w:t>Portrait orientation.</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spacing w:before="2"/>
        <w:rPr>
          <w:sz w:val="32"/>
        </w:rPr>
      </w:pPr>
    </w:p>
    <w:p>
      <w:pPr>
        <w:pStyle w:val="BodyText"/>
        <w:ind w:left="220"/>
      </w:pPr>
      <w:r>
        <w:rPr/>
        <w:t>[</w:t>
      </w:r>
      <w:r>
        <w:rPr>
          <w:i/>
        </w:rPr>
        <w:t>Note</w:t>
      </w:r>
      <w:r>
        <w:rPr/>
        <w:t>: The W3C XML Schema definition of this simple type’s content model (</w:t>
      </w:r>
      <w:r>
        <w:rPr>
          <w:color w:val="5F5F5F"/>
          <w:u w:val="single" w:color="5F5F5F"/>
        </w:rPr>
        <w:t>ST_Orientation</w:t>
      </w:r>
      <w:r>
        <w:rPr/>
        <w:t>) is located in §A.2.</w:t>
      </w:r>
    </w:p>
    <w:p>
      <w:pPr>
        <w:spacing w:before="42"/>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51 ST_PageOrder (Page Order)" w:id="2618"/>
      <w:bookmarkEnd w:id="2618"/>
      <w:r>
        <w:rPr>
          <w:b w:val="0"/>
        </w:rPr>
      </w:r>
      <w:bookmarkStart w:name="_bookmark873" w:id="2619"/>
      <w:bookmarkEnd w:id="2619"/>
      <w:r>
        <w:rPr>
          <w:b w:val="0"/>
        </w:rPr>
      </w:r>
      <w:bookmarkStart w:name="_bookmark873" w:id="2620"/>
      <w:bookmarkEnd w:id="2620"/>
      <w:r>
        <w:rPr>
          <w:color w:val="4F81BC"/>
        </w:rPr>
        <w:t>S</w:t>
      </w:r>
      <w:r>
        <w:rPr>
          <w:color w:val="4F81BC"/>
        </w:rPr>
        <w:t>T_PageOrder (Page</w:t>
      </w:r>
      <w:r>
        <w:rPr>
          <w:color w:val="4F81BC"/>
          <w:spacing w:val="1"/>
        </w:rPr>
        <w:t> </w:t>
      </w:r>
      <w:r>
        <w:rPr>
          <w:color w:val="4F81BC"/>
        </w:rPr>
        <w:t>Order)</w:t>
      </w:r>
    </w:p>
    <w:p>
      <w:pPr>
        <w:pStyle w:val="BodyText"/>
        <w:spacing w:before="126"/>
        <w:ind w:left="220"/>
      </w:pPr>
      <w:r>
        <w:rPr/>
        <w:t>Specifies printed page order.</w:t>
      </w:r>
    </w:p>
    <w:p>
      <w:pPr>
        <w:pStyle w:val="BodyText"/>
        <w:spacing w:before="9"/>
        <w:rPr>
          <w:sz w:val="19"/>
        </w:rPr>
      </w:pPr>
    </w:p>
    <w:p>
      <w:pPr>
        <w:pStyle w:val="BodyText"/>
        <w:spacing w:line="489" w:lineRule="auto"/>
        <w:ind w:left="220" w:right="2804"/>
      </w:pPr>
      <w:r>
        <w:rPr/>
        <w:pict>
          <v:shape style="position:absolute;margin-left:48pt;margin-top:42.873657pt;width:516.35pt;height:55.2pt;mso-position-horizontal-relative:page;mso-position-vertical-relative:paragraph;z-index:2519265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downThenOver </w:t>
                        </w:r>
                        <w:r>
                          <w:rPr>
                            <w:sz w:val="22"/>
                          </w:rPr>
                          <w:t>(Down Then Over)</w:t>
                        </w:r>
                      </w:p>
                    </w:tc>
                    <w:tc>
                      <w:tcPr>
                        <w:tcW w:w="5156" w:type="dxa"/>
                      </w:tcPr>
                      <w:p>
                        <w:pPr>
                          <w:pStyle w:val="TableParagraph"/>
                          <w:rPr>
                            <w:sz w:val="22"/>
                          </w:rPr>
                        </w:pPr>
                        <w:r>
                          <w:rPr>
                            <w:sz w:val="22"/>
                          </w:rPr>
                          <w:t>Order pages vertically first, then move horizontally.</w:t>
                        </w:r>
                      </w:p>
                    </w:tc>
                  </w:tr>
                  <w:tr>
                    <w:trPr>
                      <w:trHeight w:val="354" w:hRule="atLeast"/>
                    </w:trPr>
                    <w:tc>
                      <w:tcPr>
                        <w:tcW w:w="5156" w:type="dxa"/>
                      </w:tcPr>
                      <w:p>
                        <w:pPr>
                          <w:pStyle w:val="TableParagraph"/>
                          <w:rPr>
                            <w:sz w:val="22"/>
                          </w:rPr>
                        </w:pPr>
                        <w:r>
                          <w:rPr>
                            <w:rFonts w:ascii="Cambria"/>
                            <w:sz w:val="22"/>
                          </w:rPr>
                          <w:t>overThenDown </w:t>
                        </w:r>
                        <w:r>
                          <w:rPr>
                            <w:sz w:val="22"/>
                          </w:rPr>
                          <w:t>(Over Then Down)</w:t>
                        </w:r>
                      </w:p>
                    </w:tc>
                    <w:tc>
                      <w:tcPr>
                        <w:tcW w:w="5156" w:type="dxa"/>
                      </w:tcPr>
                      <w:p>
                        <w:pPr>
                          <w:pStyle w:val="TableParagraph"/>
                          <w:rPr>
                            <w:sz w:val="22"/>
                          </w:rPr>
                        </w:pPr>
                        <w:r>
                          <w:rPr>
                            <w:sz w:val="22"/>
                          </w:rPr>
                          <w:t>Order pages horizontally first, then move vertically</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spacing w:before="4"/>
        <w:rPr>
          <w:sz w:val="24"/>
        </w:rPr>
      </w:pPr>
    </w:p>
    <w:p>
      <w:pPr>
        <w:pStyle w:val="BodyText"/>
        <w:spacing w:before="1"/>
        <w:ind w:left="220"/>
      </w:pPr>
      <w:r>
        <w:rPr/>
        <w:t>[</w:t>
      </w:r>
      <w:r>
        <w:rPr>
          <w:i/>
        </w:rPr>
        <w:t>Note</w:t>
      </w:r>
      <w:r>
        <w:rPr/>
        <w:t>: The W3C XML Schema definition of this simple type’s content model (</w:t>
      </w:r>
      <w:r>
        <w:rPr>
          <w:color w:val="5F5F5F"/>
          <w:u w:val="single" w:color="5F5F5F"/>
        </w:rPr>
        <w:t>ST_PageOrder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52 ST_Pane (Pane Types)" w:id="2621"/>
      <w:bookmarkEnd w:id="2621"/>
      <w:r>
        <w:rPr>
          <w:b w:val="0"/>
        </w:rPr>
      </w:r>
      <w:bookmarkStart w:name="_bookmark874" w:id="2622"/>
      <w:bookmarkEnd w:id="2622"/>
      <w:r>
        <w:rPr>
          <w:b w:val="0"/>
        </w:rPr>
      </w:r>
      <w:bookmarkStart w:name="_bookmark874" w:id="2623"/>
      <w:bookmarkEnd w:id="2623"/>
      <w:r>
        <w:rPr>
          <w:color w:val="4F81BC"/>
        </w:rPr>
        <w:t>S</w:t>
      </w:r>
      <w:r>
        <w:rPr>
          <w:color w:val="4F81BC"/>
        </w:rPr>
        <w:t>T_Pane (Pane</w:t>
      </w:r>
      <w:r>
        <w:rPr>
          <w:color w:val="4F81BC"/>
          <w:spacing w:val="-3"/>
        </w:rPr>
        <w:t> </w:t>
      </w:r>
      <w:r>
        <w:rPr>
          <w:color w:val="4F81BC"/>
        </w:rPr>
        <w:t>Types)</w:t>
      </w:r>
    </w:p>
    <w:p>
      <w:pPr>
        <w:pStyle w:val="BodyText"/>
        <w:spacing w:before="124"/>
        <w:ind w:left="220"/>
      </w:pPr>
      <w:r>
        <w:rPr/>
        <w:t>Defines the names of the four possible panes into which the view of a workbook in the application can be split.</w:t>
      </w:r>
    </w:p>
    <w:p>
      <w:pPr>
        <w:spacing w:after="0"/>
        <w:sectPr>
          <w:pgSz w:w="12240" w:h="15840"/>
          <w:pgMar w:header="761" w:footer="746" w:top="1340" w:bottom="940" w:left="860" w:right="700"/>
        </w:sectPr>
      </w:pPr>
    </w:p>
    <w:p>
      <w:pPr>
        <w:pStyle w:val="BodyText"/>
        <w:spacing w:line="489" w:lineRule="auto" w:before="150"/>
        <w:ind w:left="220" w:right="2804"/>
      </w:pPr>
      <w:r>
        <w:rPr/>
        <w:pict>
          <v:shape style="position:absolute;margin-left:48pt;margin-top:50.393627pt;width:516.35pt;height:387.2pt;mso-position-horizontal-relative:page;mso-position-vertical-relative:paragraph;z-index:2519275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965" w:hRule="atLeast"/>
                    </w:trPr>
                    <w:tc>
                      <w:tcPr>
                        <w:tcW w:w="5156" w:type="dxa"/>
                      </w:tcPr>
                      <w:p>
                        <w:pPr>
                          <w:pStyle w:val="TableParagraph"/>
                          <w:rPr>
                            <w:sz w:val="22"/>
                          </w:rPr>
                        </w:pPr>
                        <w:r>
                          <w:rPr>
                            <w:rFonts w:ascii="Cambria"/>
                            <w:sz w:val="22"/>
                          </w:rPr>
                          <w:t>bottomLeft </w:t>
                        </w:r>
                        <w:r>
                          <w:rPr>
                            <w:sz w:val="22"/>
                          </w:rPr>
                          <w:t>(Bottom Left Pane)</w:t>
                        </w:r>
                      </w:p>
                    </w:tc>
                    <w:tc>
                      <w:tcPr>
                        <w:tcW w:w="5156" w:type="dxa"/>
                      </w:tcPr>
                      <w:p>
                        <w:pPr>
                          <w:pStyle w:val="TableParagraph"/>
                          <w:ind w:right="365"/>
                          <w:rPr>
                            <w:sz w:val="22"/>
                          </w:rPr>
                        </w:pPr>
                        <w:r>
                          <w:rPr>
                            <w:sz w:val="22"/>
                          </w:rPr>
                          <w:t>Bottom left pane, when both vertical and horizontal splits are applied.</w:t>
                        </w:r>
                      </w:p>
                      <w:p>
                        <w:pPr>
                          <w:pStyle w:val="TableParagraph"/>
                          <w:spacing w:before="0"/>
                          <w:ind w:left="0"/>
                          <w:rPr>
                            <w:sz w:val="22"/>
                          </w:rPr>
                        </w:pPr>
                      </w:p>
                      <w:p>
                        <w:pPr>
                          <w:pStyle w:val="TableParagraph"/>
                          <w:spacing w:before="0"/>
                          <w:ind w:right="177"/>
                          <w:rPr>
                            <w:sz w:val="22"/>
                          </w:rPr>
                        </w:pPr>
                        <w:r>
                          <w:rPr>
                            <w:sz w:val="22"/>
                          </w:rPr>
                          <w:t>This value is also used when only a horizontal split has been applied, dividing the pane into upper and lower regions. In that case, this value specifies the bottom pane.</w:t>
                        </w:r>
                      </w:p>
                    </w:tc>
                  </w:tr>
                  <w:tr>
                    <w:trPr>
                      <w:trHeight w:val="624" w:hRule="atLeast"/>
                    </w:trPr>
                    <w:tc>
                      <w:tcPr>
                        <w:tcW w:w="5156" w:type="dxa"/>
                      </w:tcPr>
                      <w:p>
                        <w:pPr>
                          <w:pStyle w:val="TableParagraph"/>
                          <w:spacing w:before="42"/>
                          <w:rPr>
                            <w:sz w:val="22"/>
                          </w:rPr>
                        </w:pPr>
                        <w:r>
                          <w:rPr>
                            <w:rFonts w:ascii="Cambria"/>
                            <w:sz w:val="22"/>
                          </w:rPr>
                          <w:t>bottomRight </w:t>
                        </w:r>
                        <w:r>
                          <w:rPr>
                            <w:sz w:val="22"/>
                          </w:rPr>
                          <w:t>(Bottom Right Pane)</w:t>
                        </w:r>
                      </w:p>
                    </w:tc>
                    <w:tc>
                      <w:tcPr>
                        <w:tcW w:w="5156" w:type="dxa"/>
                      </w:tcPr>
                      <w:p>
                        <w:pPr>
                          <w:pStyle w:val="TableParagraph"/>
                          <w:spacing w:line="237" w:lineRule="auto" w:before="44"/>
                          <w:ind w:right="246"/>
                          <w:rPr>
                            <w:sz w:val="22"/>
                          </w:rPr>
                        </w:pPr>
                        <w:r>
                          <w:rPr>
                            <w:sz w:val="22"/>
                          </w:rPr>
                          <w:t>Bottom right pane, when both vertical and horizontal splits are applied.</w:t>
                        </w:r>
                      </w:p>
                    </w:tc>
                  </w:tr>
                  <w:tr>
                    <w:trPr>
                      <w:trHeight w:val="2771" w:hRule="atLeast"/>
                    </w:trPr>
                    <w:tc>
                      <w:tcPr>
                        <w:tcW w:w="5156" w:type="dxa"/>
                      </w:tcPr>
                      <w:p>
                        <w:pPr>
                          <w:pStyle w:val="TableParagraph"/>
                          <w:rPr>
                            <w:sz w:val="22"/>
                          </w:rPr>
                        </w:pPr>
                        <w:r>
                          <w:rPr>
                            <w:rFonts w:ascii="Cambria"/>
                            <w:sz w:val="22"/>
                          </w:rPr>
                          <w:t>topLeft </w:t>
                        </w:r>
                        <w:r>
                          <w:rPr>
                            <w:sz w:val="22"/>
                          </w:rPr>
                          <w:t>(Top Left Pane)</w:t>
                        </w:r>
                      </w:p>
                    </w:tc>
                    <w:tc>
                      <w:tcPr>
                        <w:tcW w:w="5156" w:type="dxa"/>
                      </w:tcPr>
                      <w:p>
                        <w:pPr>
                          <w:pStyle w:val="TableParagraph"/>
                          <w:ind w:right="189"/>
                          <w:rPr>
                            <w:sz w:val="22"/>
                          </w:rPr>
                        </w:pPr>
                        <w:r>
                          <w:rPr>
                            <w:sz w:val="22"/>
                          </w:rPr>
                          <w:t>Top left pane, when both vertical and horizontal splits are applied.</w:t>
                        </w:r>
                      </w:p>
                      <w:p>
                        <w:pPr>
                          <w:pStyle w:val="TableParagraph"/>
                          <w:spacing w:before="0"/>
                          <w:ind w:left="0"/>
                          <w:rPr>
                            <w:sz w:val="22"/>
                          </w:rPr>
                        </w:pPr>
                      </w:p>
                      <w:p>
                        <w:pPr>
                          <w:pStyle w:val="TableParagraph"/>
                          <w:spacing w:before="0"/>
                          <w:ind w:right="177"/>
                          <w:rPr>
                            <w:sz w:val="22"/>
                          </w:rPr>
                        </w:pPr>
                        <w:r>
                          <w:rPr>
                            <w:sz w:val="22"/>
                          </w:rPr>
                          <w:t>This value is also used when only a horizontal split has been applied, dividing the pane into upper and lower regions. In that case, this value specifies the top pane.</w:t>
                        </w:r>
                      </w:p>
                      <w:p>
                        <w:pPr>
                          <w:pStyle w:val="TableParagraph"/>
                          <w:spacing w:before="1"/>
                          <w:ind w:left="0"/>
                          <w:rPr>
                            <w:sz w:val="22"/>
                          </w:rPr>
                        </w:pPr>
                      </w:p>
                      <w:p>
                        <w:pPr>
                          <w:pStyle w:val="TableParagraph"/>
                          <w:spacing w:before="0"/>
                          <w:ind w:right="242"/>
                          <w:rPr>
                            <w:sz w:val="22"/>
                          </w:rPr>
                        </w:pPr>
                        <w:r>
                          <w:rPr>
                            <w:sz w:val="22"/>
                          </w:rPr>
                          <w:t>This value is also used when only a vertical split has been applied, dividing the pane into right and left regions. In that case, this value specifies the left pane</w:t>
                        </w:r>
                      </w:p>
                    </w:tc>
                  </w:tr>
                  <w:tr>
                    <w:trPr>
                      <w:trHeight w:val="1967" w:hRule="atLeast"/>
                    </w:trPr>
                    <w:tc>
                      <w:tcPr>
                        <w:tcW w:w="5156" w:type="dxa"/>
                      </w:tcPr>
                      <w:p>
                        <w:pPr>
                          <w:pStyle w:val="TableParagraph"/>
                          <w:rPr>
                            <w:sz w:val="22"/>
                          </w:rPr>
                        </w:pPr>
                        <w:r>
                          <w:rPr>
                            <w:rFonts w:ascii="Cambria"/>
                            <w:sz w:val="22"/>
                          </w:rPr>
                          <w:t>topRight </w:t>
                        </w:r>
                        <w:r>
                          <w:rPr>
                            <w:sz w:val="22"/>
                          </w:rPr>
                          <w:t>(Top Right Pane)</w:t>
                        </w:r>
                      </w:p>
                    </w:tc>
                    <w:tc>
                      <w:tcPr>
                        <w:tcW w:w="5156" w:type="dxa"/>
                      </w:tcPr>
                      <w:p>
                        <w:pPr>
                          <w:pStyle w:val="TableParagraph"/>
                          <w:ind w:right="582"/>
                          <w:rPr>
                            <w:sz w:val="22"/>
                          </w:rPr>
                        </w:pPr>
                        <w:r>
                          <w:rPr>
                            <w:sz w:val="22"/>
                          </w:rPr>
                          <w:t>Top right pane, when both vertical and horizontal splits are applied.</w:t>
                        </w:r>
                      </w:p>
                      <w:p>
                        <w:pPr>
                          <w:pStyle w:val="TableParagraph"/>
                          <w:spacing w:before="1"/>
                          <w:ind w:left="0"/>
                          <w:rPr>
                            <w:sz w:val="22"/>
                          </w:rPr>
                        </w:pPr>
                      </w:p>
                      <w:p>
                        <w:pPr>
                          <w:pStyle w:val="TableParagraph"/>
                          <w:spacing w:before="0"/>
                          <w:ind w:right="426"/>
                          <w:rPr>
                            <w:sz w:val="22"/>
                          </w:rPr>
                        </w:pPr>
                        <w:r>
                          <w:rPr>
                            <w:sz w:val="22"/>
                          </w:rPr>
                          <w:t>This value is also used when only a vertical split has been applied, dividing the pane into right and left regions. In that case, this value specifies the right pane.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8"/>
        </w:rPr>
      </w:pPr>
    </w:p>
    <w:p>
      <w:pPr>
        <w:pStyle w:val="BodyText"/>
        <w:spacing w:line="276" w:lineRule="auto"/>
        <w:ind w:left="220" w:right="765"/>
      </w:pPr>
      <w:r>
        <w:rPr/>
        <w:t>[</w:t>
      </w:r>
      <w:r>
        <w:rPr>
          <w:i/>
        </w:rPr>
        <w:t>Note</w:t>
      </w:r>
      <w:r>
        <w:rPr/>
        <w:t>: The W3C XML Schema definition of this simple type’s content model (</w:t>
      </w:r>
      <w:r>
        <w:rPr>
          <w:color w:val="5F5F5F"/>
          <w:u w:val="single" w:color="5F5F5F"/>
        </w:rPr>
        <w:t>ST_Pane</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0" w:after="0"/>
        <w:ind w:left="1444" w:right="0" w:hanging="1225"/>
        <w:jc w:val="left"/>
      </w:pPr>
      <w:bookmarkStart w:name="18.18.53 ST_PaneState (Pane State)" w:id="2624"/>
      <w:bookmarkEnd w:id="2624"/>
      <w:r>
        <w:rPr>
          <w:b w:val="0"/>
        </w:rPr>
      </w:r>
      <w:bookmarkStart w:name="_bookmark875" w:id="2625"/>
      <w:bookmarkEnd w:id="2625"/>
      <w:r>
        <w:rPr>
          <w:b w:val="0"/>
        </w:rPr>
      </w:r>
      <w:bookmarkStart w:name="_bookmark875" w:id="2626"/>
      <w:bookmarkEnd w:id="2626"/>
      <w:r>
        <w:rPr>
          <w:color w:val="4F81BC"/>
        </w:rPr>
        <w:t>S</w:t>
      </w:r>
      <w:r>
        <w:rPr>
          <w:color w:val="4F81BC"/>
        </w:rPr>
        <w:t>T_PaneState (Pane State)</w:t>
      </w:r>
    </w:p>
    <w:p>
      <w:pPr>
        <w:pStyle w:val="BodyText"/>
        <w:spacing w:before="126"/>
        <w:ind w:left="220"/>
      </w:pPr>
      <w:r>
        <w:rPr/>
        <w:t>State of the sheet's pane.</w:t>
      </w:r>
    </w:p>
    <w:p>
      <w:pPr>
        <w:pStyle w:val="BodyText"/>
        <w:spacing w:before="9"/>
        <w:rPr>
          <w:sz w:val="19"/>
        </w:rPr>
      </w:pPr>
    </w:p>
    <w:p>
      <w:pPr>
        <w:pStyle w:val="BodyText"/>
        <w:spacing w:line="489" w:lineRule="auto"/>
        <w:ind w:left="220" w:right="2804"/>
      </w:pPr>
      <w:r>
        <w:rPr/>
        <w:pict>
          <v:shape style="position:absolute;margin-left:48pt;margin-top:42.87365pt;width:516.35pt;height:50.4pt;mso-position-horizontal-relative:page;mso-position-vertical-relative:paragraph;z-index:2519285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frozen </w:t>
                        </w:r>
                        <w:r>
                          <w:rPr>
                            <w:sz w:val="22"/>
                          </w:rPr>
                          <w:t>(Frozen)</w:t>
                        </w:r>
                      </w:p>
                    </w:tc>
                    <w:tc>
                      <w:tcPr>
                        <w:tcW w:w="5156" w:type="dxa"/>
                      </w:tcPr>
                      <w:p>
                        <w:pPr>
                          <w:pStyle w:val="TableParagraph"/>
                          <w:ind w:right="154"/>
                          <w:rPr>
                            <w:sz w:val="22"/>
                          </w:rPr>
                        </w:pPr>
                        <w:r>
                          <w:rPr>
                            <w:sz w:val="22"/>
                          </w:rPr>
                          <w:t>Panes are frozen, but were not split being frozen. In this state, when the panes are unfrozen again, a single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892"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pane results, with no split.</w:t>
            </w:r>
          </w:p>
          <w:p>
            <w:pPr>
              <w:pStyle w:val="TableParagraph"/>
              <w:spacing w:before="0"/>
              <w:ind w:left="0"/>
              <w:rPr>
                <w:sz w:val="22"/>
              </w:rPr>
            </w:pPr>
          </w:p>
          <w:p>
            <w:pPr>
              <w:pStyle w:val="TableParagraph"/>
              <w:spacing w:before="0"/>
              <w:rPr>
                <w:sz w:val="22"/>
              </w:rPr>
            </w:pPr>
            <w:r>
              <w:rPr>
                <w:sz w:val="22"/>
              </w:rPr>
              <w:t>In this state, the split bars are not adjustable.</w:t>
            </w:r>
          </w:p>
        </w:tc>
      </w:tr>
      <w:tr>
        <w:trPr>
          <w:trHeight w:val="890" w:hRule="atLeast"/>
        </w:trPr>
        <w:tc>
          <w:tcPr>
            <w:tcW w:w="5156" w:type="dxa"/>
          </w:tcPr>
          <w:p>
            <w:pPr>
              <w:pStyle w:val="TableParagraph"/>
              <w:rPr>
                <w:sz w:val="22"/>
              </w:rPr>
            </w:pPr>
            <w:r>
              <w:rPr>
                <w:rFonts w:ascii="Cambria"/>
                <w:sz w:val="22"/>
              </w:rPr>
              <w:t>frozenSplit </w:t>
            </w:r>
            <w:r>
              <w:rPr>
                <w:sz w:val="22"/>
              </w:rPr>
              <w:t>(Frozen Split)</w:t>
            </w:r>
          </w:p>
        </w:tc>
        <w:tc>
          <w:tcPr>
            <w:tcW w:w="5156" w:type="dxa"/>
          </w:tcPr>
          <w:p>
            <w:pPr>
              <w:pStyle w:val="TableParagraph"/>
              <w:ind w:right="115"/>
              <w:jc w:val="both"/>
              <w:rPr>
                <w:sz w:val="22"/>
              </w:rPr>
            </w:pPr>
            <w:r>
              <w:rPr>
                <w:sz w:val="22"/>
              </w:rPr>
              <w:t>Panes are frozen and were split before being frozen. In this state, when the panes are unfrozen again, the split remains, but is adjustable.</w:t>
            </w:r>
          </w:p>
        </w:tc>
      </w:tr>
      <w:tr>
        <w:trPr>
          <w:trHeight w:val="623" w:hRule="atLeast"/>
        </w:trPr>
        <w:tc>
          <w:tcPr>
            <w:tcW w:w="5156" w:type="dxa"/>
          </w:tcPr>
          <w:p>
            <w:pPr>
              <w:pStyle w:val="TableParagraph"/>
              <w:rPr>
                <w:sz w:val="22"/>
              </w:rPr>
            </w:pPr>
            <w:r>
              <w:rPr>
                <w:rFonts w:ascii="Cambria"/>
                <w:sz w:val="22"/>
              </w:rPr>
              <w:t>split </w:t>
            </w:r>
            <w:r>
              <w:rPr>
                <w:sz w:val="22"/>
              </w:rPr>
              <w:t>(Split)</w:t>
            </w:r>
          </w:p>
        </w:tc>
        <w:tc>
          <w:tcPr>
            <w:tcW w:w="5156" w:type="dxa"/>
          </w:tcPr>
          <w:p>
            <w:pPr>
              <w:pStyle w:val="TableParagraph"/>
              <w:ind w:right="348"/>
              <w:rPr>
                <w:sz w:val="22"/>
              </w:rPr>
            </w:pPr>
            <w:r>
              <w:rPr>
                <w:sz w:val="22"/>
              </w:rPr>
              <w:t>Panes are split, but not frozen. In this state, the split bars are adjustable by the user.</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ST_PaneState</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54 ST_ParameterType (Parameter Typ" w:id="2627"/>
      <w:bookmarkEnd w:id="2627"/>
      <w:r>
        <w:rPr>
          <w:b w:val="0"/>
        </w:rPr>
      </w:r>
      <w:bookmarkStart w:name="_bookmark876" w:id="2628"/>
      <w:bookmarkEnd w:id="2628"/>
      <w:r>
        <w:rPr>
          <w:b w:val="0"/>
        </w:rPr>
      </w:r>
      <w:bookmarkStart w:name="_bookmark876" w:id="2629"/>
      <w:bookmarkEnd w:id="2629"/>
      <w:r>
        <w:rPr>
          <w:color w:val="4F81BC"/>
        </w:rPr>
        <w:t>S</w:t>
      </w:r>
      <w:r>
        <w:rPr>
          <w:color w:val="4F81BC"/>
        </w:rPr>
        <w:t>T_ParameterType (Parameter</w:t>
      </w:r>
      <w:r>
        <w:rPr>
          <w:color w:val="4F81BC"/>
          <w:spacing w:val="2"/>
        </w:rPr>
        <w:t> </w:t>
      </w:r>
      <w:r>
        <w:rPr>
          <w:color w:val="4F81BC"/>
        </w:rPr>
        <w:t>Type)</w:t>
      </w:r>
    </w:p>
    <w:p>
      <w:pPr>
        <w:pStyle w:val="BodyText"/>
        <w:spacing w:before="124"/>
        <w:ind w:left="220"/>
      </w:pPr>
      <w:r>
        <w:rPr/>
        <w:t>Parameter Type.</w:t>
      </w:r>
    </w:p>
    <w:p>
      <w:pPr>
        <w:pStyle w:val="BodyText"/>
        <w:spacing w:before="8"/>
        <w:rPr>
          <w:sz w:val="19"/>
        </w:rPr>
      </w:pPr>
    </w:p>
    <w:p>
      <w:pPr>
        <w:pStyle w:val="BodyText"/>
        <w:spacing w:line="489" w:lineRule="auto" w:before="1"/>
        <w:ind w:left="220" w:right="2804"/>
      </w:pPr>
      <w:r>
        <w:rPr/>
        <w:pict>
          <v:shape style="position:absolute;margin-left:48pt;margin-top:43.043644pt;width:516.35pt;height:100.25pt;mso-position-horizontal-relative:page;mso-position-vertical-relative:paragraph;z-index:2519296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cell </w:t>
                        </w:r>
                        <w:r>
                          <w:rPr>
                            <w:sz w:val="22"/>
                          </w:rPr>
                          <w:t>(Parameter From Cell)</w:t>
                        </w:r>
                      </w:p>
                    </w:tc>
                    <w:tc>
                      <w:tcPr>
                        <w:tcW w:w="5156" w:type="dxa"/>
                      </w:tcPr>
                      <w:p>
                        <w:pPr>
                          <w:pStyle w:val="TableParagraph"/>
                          <w:rPr>
                            <w:sz w:val="22"/>
                          </w:rPr>
                        </w:pPr>
                        <w:r>
                          <w:rPr>
                            <w:sz w:val="22"/>
                          </w:rPr>
                          <w:t>Get the parameter value from a cell on each refresh.</w:t>
                        </w:r>
                      </w:p>
                    </w:tc>
                  </w:tr>
                  <w:tr>
                    <w:trPr>
                      <w:trHeight w:val="621" w:hRule="atLeast"/>
                    </w:trPr>
                    <w:tc>
                      <w:tcPr>
                        <w:tcW w:w="5156" w:type="dxa"/>
                      </w:tcPr>
                      <w:p>
                        <w:pPr>
                          <w:pStyle w:val="TableParagraph"/>
                          <w:rPr>
                            <w:sz w:val="22"/>
                          </w:rPr>
                        </w:pPr>
                        <w:r>
                          <w:rPr>
                            <w:rFonts w:ascii="Cambria"/>
                            <w:sz w:val="22"/>
                          </w:rPr>
                          <w:t>prompt </w:t>
                        </w:r>
                        <w:r>
                          <w:rPr>
                            <w:sz w:val="22"/>
                          </w:rPr>
                          <w:t>(Prompt on Refresh)</w:t>
                        </w:r>
                      </w:p>
                    </w:tc>
                    <w:tc>
                      <w:tcPr>
                        <w:tcW w:w="5156" w:type="dxa"/>
                      </w:tcPr>
                      <w:p>
                        <w:pPr>
                          <w:pStyle w:val="TableParagraph"/>
                          <w:spacing w:line="237" w:lineRule="auto" w:before="42"/>
                          <w:ind w:right="645"/>
                          <w:rPr>
                            <w:sz w:val="22"/>
                          </w:rPr>
                        </w:pPr>
                        <w:r>
                          <w:rPr>
                            <w:sz w:val="22"/>
                          </w:rPr>
                          <w:t>Prompt the user on each refresh for a parameter value.</w:t>
                        </w:r>
                      </w:p>
                    </w:tc>
                  </w:tr>
                  <w:tr>
                    <w:trPr>
                      <w:trHeight w:val="623" w:hRule="atLeast"/>
                    </w:trPr>
                    <w:tc>
                      <w:tcPr>
                        <w:tcW w:w="5156" w:type="dxa"/>
                      </w:tcPr>
                      <w:p>
                        <w:pPr>
                          <w:pStyle w:val="TableParagraph"/>
                          <w:rPr>
                            <w:sz w:val="22"/>
                          </w:rPr>
                        </w:pPr>
                        <w:r>
                          <w:rPr>
                            <w:rFonts w:ascii="Cambria"/>
                            <w:sz w:val="22"/>
                          </w:rPr>
                          <w:t>value </w:t>
                        </w:r>
                        <w:r>
                          <w:rPr>
                            <w:sz w:val="22"/>
                          </w:rPr>
                          <w:t>(Value)</w:t>
                        </w:r>
                      </w:p>
                    </w:tc>
                    <w:tc>
                      <w:tcPr>
                        <w:tcW w:w="5156" w:type="dxa"/>
                      </w:tcPr>
                      <w:p>
                        <w:pPr>
                          <w:pStyle w:val="TableParagraph"/>
                          <w:ind w:right="1057"/>
                          <w:rPr>
                            <w:sz w:val="22"/>
                          </w:rPr>
                        </w:pPr>
                        <w:r>
                          <w:rPr>
                            <w:sz w:val="22"/>
                          </w:rPr>
                          <w:t>Use a constant value on each refresh for the parameter value.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32"/>
        </w:rPr>
      </w:pPr>
    </w:p>
    <w:p>
      <w:pPr>
        <w:pStyle w:val="BodyText"/>
        <w:ind w:left="220"/>
      </w:pPr>
      <w:r>
        <w:rPr/>
        <w:t>[</w:t>
      </w:r>
      <w:r>
        <w:rPr>
          <w:i/>
        </w:rPr>
        <w:t>Note</w:t>
      </w:r>
      <w:r>
        <w:rPr/>
        <w:t>: The W3C XML Schema definition of this simple type’s content model (</w:t>
      </w:r>
      <w:r>
        <w:rPr>
          <w:color w:val="5F5F5F"/>
          <w:u w:val="single" w:color="5F5F5F"/>
        </w:rPr>
        <w:t>ST_ParameterType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55 ST_PatternType (Pattern Type)" w:id="2630"/>
      <w:bookmarkEnd w:id="2630"/>
      <w:r>
        <w:rPr>
          <w:b w:val="0"/>
        </w:rPr>
      </w:r>
      <w:bookmarkStart w:name="_bookmark877" w:id="2631"/>
      <w:bookmarkEnd w:id="2631"/>
      <w:r>
        <w:rPr>
          <w:b w:val="0"/>
        </w:rPr>
      </w:r>
      <w:bookmarkStart w:name="_bookmark877" w:id="2632"/>
      <w:bookmarkEnd w:id="2632"/>
      <w:r>
        <w:rPr>
          <w:color w:val="4F81BC"/>
        </w:rPr>
        <w:t>S</w:t>
      </w:r>
      <w:r>
        <w:rPr>
          <w:color w:val="4F81BC"/>
        </w:rPr>
        <w:t>T_PatternType (Pattern</w:t>
      </w:r>
      <w:r>
        <w:rPr>
          <w:color w:val="4F81BC"/>
          <w:spacing w:val="5"/>
        </w:rPr>
        <w:t> </w:t>
      </w:r>
      <w:r>
        <w:rPr>
          <w:color w:val="4F81BC"/>
        </w:rPr>
        <w:t>Type)</w:t>
      </w:r>
    </w:p>
    <w:p>
      <w:pPr>
        <w:pStyle w:val="BodyText"/>
        <w:spacing w:before="124"/>
        <w:ind w:left="220"/>
      </w:pPr>
      <w:r>
        <w:rPr/>
        <w:t>Indicates the style of fill pattern being used for a cell format.</w:t>
      </w:r>
    </w:p>
    <w:p>
      <w:pPr>
        <w:pStyle w:val="BodyText"/>
        <w:spacing w:before="8"/>
        <w:rPr>
          <w:sz w:val="19"/>
        </w:rPr>
      </w:pPr>
    </w:p>
    <w:p>
      <w:pPr>
        <w:pStyle w:val="BodyText"/>
        <w:ind w:left="220"/>
      </w:pPr>
      <w:r>
        <w:rPr/>
        <w:t>The examples below use yellow background and black foreground colors.</w:t>
      </w:r>
    </w:p>
    <w:p>
      <w:pPr>
        <w:pStyle w:val="BodyText"/>
        <w:spacing w:before="9"/>
        <w:rPr>
          <w:sz w:val="19"/>
        </w:rPr>
      </w:pPr>
    </w:p>
    <w:p>
      <w:pPr>
        <w:pStyle w:val="BodyText"/>
        <w:spacing w:line="489" w:lineRule="auto"/>
        <w:ind w:left="220" w:right="2804"/>
      </w:pPr>
      <w:r>
        <w:rPr/>
        <w:pict>
          <v:shape style="position:absolute;margin-left:48pt;margin-top:42.993652pt;width:516.35pt;height:50.4pt;mso-position-horizontal-relative:page;mso-position-vertical-relative:paragraph;z-index:2519306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darkDown </w:t>
                        </w:r>
                        <w:r>
                          <w:rPr>
                            <w:sz w:val="22"/>
                          </w:rPr>
                          <w:t>(Dark Down)</w:t>
                        </w:r>
                      </w:p>
                    </w:tc>
                    <w:tc>
                      <w:tcPr>
                        <w:tcW w:w="5156" w:type="dxa"/>
                      </w:tcPr>
                      <w:p>
                        <w:pPr>
                          <w:pStyle w:val="TableParagraph"/>
                          <w:ind w:right="2600"/>
                          <w:rPr>
                            <w:sz w:val="22"/>
                          </w:rPr>
                        </w:pPr>
                        <w:r>
                          <w:rPr>
                            <w:sz w:val="22"/>
                          </w:rPr>
                          <w:t>The fill style is 'dark down'. [</w:t>
                        </w:r>
                        <w:r>
                          <w:rPr>
                            <w:i/>
                            <w:sz w:val="22"/>
                          </w:rPr>
                          <w:t>Example</w:t>
                        </w:r>
                        <w:r>
                          <w:rPr>
                            <w:sz w:val="22"/>
                          </w:rPr>
                          <w:t>:</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footerReference w:type="even" r:id="rId331"/>
          <w:footerReference w:type="default" r:id="rId332"/>
          <w:pgSz w:w="12240" w:h="15840"/>
          <w:pgMar w:footer="746" w:header="761" w:top="1340" w:bottom="940" w:left="860" w:right="700"/>
          <w:pgNumType w:start="2470"/>
        </w:sectPr>
      </w:pPr>
    </w:p>
    <w:p>
      <w:pPr>
        <w:pStyle w:val="BodyText"/>
        <w:spacing w:before="1"/>
        <w:rPr>
          <w:rFonts w:ascii="Times New Roman"/>
          <w:sz w:val="13"/>
        </w:rPr>
      </w:pPr>
      <w:r>
        <w:rPr/>
        <w:drawing>
          <wp:anchor distT="0" distB="0" distL="0" distR="0" allowOverlap="1" layoutInCell="1" locked="0" behindDoc="1" simplePos="0" relativeHeight="167607296">
            <wp:simplePos x="0" y="0"/>
            <wp:positionH relativeFrom="page">
              <wp:posOffset>3977640</wp:posOffset>
            </wp:positionH>
            <wp:positionV relativeFrom="page">
              <wp:posOffset>3282696</wp:posOffset>
            </wp:positionV>
            <wp:extent cx="2991612" cy="1181100"/>
            <wp:effectExtent l="0" t="0" r="0" b="0"/>
            <wp:wrapNone/>
            <wp:docPr id="229" name="image113.png"/>
            <wp:cNvGraphicFramePr>
              <a:graphicFrameLocks noChangeAspect="1"/>
            </wp:cNvGraphicFramePr>
            <a:graphic>
              <a:graphicData uri="http://schemas.openxmlformats.org/drawingml/2006/picture">
                <pic:pic>
                  <pic:nvPicPr>
                    <pic:cNvPr id="230" name="image113.png"/>
                    <pic:cNvPicPr/>
                  </pic:nvPicPr>
                  <pic:blipFill>
                    <a:blip r:embed="rId333" cstate="print"/>
                    <a:stretch>
                      <a:fillRect/>
                    </a:stretch>
                  </pic:blipFill>
                  <pic:spPr>
                    <a:xfrm>
                      <a:off x="0" y="0"/>
                      <a:ext cx="2991612" cy="1181100"/>
                    </a:xfrm>
                    <a:prstGeom prst="rect">
                      <a:avLst/>
                    </a:prstGeom>
                  </pic:spPr>
                </pic:pic>
              </a:graphicData>
            </a:graphic>
          </wp:anchor>
        </w:drawing>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2437" w:hRule="atLeast"/>
        </w:trPr>
        <w:tc>
          <w:tcPr>
            <w:tcW w:w="5156" w:type="dxa"/>
          </w:tcPr>
          <w:p>
            <w:pPr>
              <w:pStyle w:val="TableParagraph"/>
              <w:spacing w:before="0"/>
              <w:ind w:left="0"/>
              <w:rPr>
                <w:rFonts w:ascii="Times New Roman"/>
                <w:sz w:val="22"/>
              </w:rPr>
            </w:pPr>
          </w:p>
        </w:tc>
        <w:tc>
          <w:tcPr>
            <w:tcW w:w="5156" w:type="dxa"/>
          </w:tcPr>
          <w:p>
            <w:pPr>
              <w:pStyle w:val="TableParagraph"/>
              <w:spacing w:before="8"/>
              <w:ind w:left="0"/>
              <w:rPr>
                <w:rFonts w:ascii="Times New Roman"/>
                <w:sz w:val="3"/>
              </w:rPr>
            </w:pPr>
          </w:p>
          <w:p>
            <w:pPr>
              <w:pStyle w:val="TableParagraph"/>
              <w:spacing w:before="0"/>
              <w:ind w:left="143"/>
              <w:rPr>
                <w:rFonts w:ascii="Times New Roman"/>
                <w:sz w:val="20"/>
              </w:rPr>
            </w:pPr>
            <w:r>
              <w:rPr>
                <w:rFonts w:ascii="Times New Roman"/>
                <w:sz w:val="20"/>
              </w:rPr>
              <w:drawing>
                <wp:inline distT="0" distB="0" distL="0" distR="0">
                  <wp:extent cx="2815831" cy="1154429"/>
                  <wp:effectExtent l="0" t="0" r="0" b="0"/>
                  <wp:docPr id="231" name="image114.png"/>
                  <wp:cNvGraphicFramePr>
                    <a:graphicFrameLocks noChangeAspect="1"/>
                  </wp:cNvGraphicFramePr>
                  <a:graphic>
                    <a:graphicData uri="http://schemas.openxmlformats.org/drawingml/2006/picture">
                      <pic:pic>
                        <pic:nvPicPr>
                          <pic:cNvPr id="232" name="image114.png"/>
                          <pic:cNvPicPr/>
                        </pic:nvPicPr>
                        <pic:blipFill>
                          <a:blip r:embed="rId334" cstate="print"/>
                          <a:stretch>
                            <a:fillRect/>
                          </a:stretch>
                        </pic:blipFill>
                        <pic:spPr>
                          <a:xfrm>
                            <a:off x="0" y="0"/>
                            <a:ext cx="2815831" cy="1154429"/>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3288" w:hRule="atLeast"/>
        </w:trPr>
        <w:tc>
          <w:tcPr>
            <w:tcW w:w="5156" w:type="dxa"/>
          </w:tcPr>
          <w:p>
            <w:pPr>
              <w:pStyle w:val="TableParagraph"/>
              <w:rPr>
                <w:sz w:val="22"/>
              </w:rPr>
            </w:pPr>
            <w:r>
              <w:rPr>
                <w:rFonts w:ascii="Cambria"/>
                <w:sz w:val="22"/>
              </w:rPr>
              <w:t>darkGray </w:t>
            </w:r>
            <w:r>
              <w:rPr>
                <w:sz w:val="22"/>
              </w:rPr>
              <w:t>(Dary Gray)</w:t>
            </w:r>
          </w:p>
        </w:tc>
        <w:tc>
          <w:tcPr>
            <w:tcW w:w="5156" w:type="dxa"/>
          </w:tcPr>
          <w:p>
            <w:pPr>
              <w:pStyle w:val="TableParagraph"/>
              <w:spacing w:line="480" w:lineRule="auto"/>
              <w:ind w:right="2720"/>
              <w:rPr>
                <w:sz w:val="22"/>
              </w:rPr>
            </w:pPr>
            <w:r>
              <w:rPr>
                <w:sz w:val="22"/>
              </w:rPr>
              <w:t>The fill style is 'dark gray'. [</w:t>
            </w:r>
            <w:r>
              <w:rPr>
                <w:i/>
                <w:sz w:val="22"/>
              </w:rPr>
              <w:t>Example</w:t>
            </w:r>
            <w:r>
              <w:rPr>
                <w:sz w:val="22"/>
              </w:rPr>
              <w:t>:</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5"/>
              <w:ind w:left="0"/>
              <w:rPr>
                <w:rFonts w:ascii="Times New Roman"/>
                <w:sz w:val="28"/>
              </w:rPr>
            </w:pPr>
          </w:p>
          <w:p>
            <w:pPr>
              <w:pStyle w:val="TableParagraph"/>
              <w:spacing w:before="1"/>
              <w:rPr>
                <w:sz w:val="22"/>
              </w:rPr>
            </w:pPr>
            <w:r>
              <w:rPr>
                <w:i/>
                <w:sz w:val="22"/>
              </w:rPr>
              <w:t>end example</w:t>
            </w:r>
            <w:r>
              <w:rPr>
                <w:sz w:val="22"/>
              </w:rPr>
              <w:t>]</w:t>
            </w:r>
          </w:p>
        </w:tc>
      </w:tr>
      <w:tr>
        <w:trPr>
          <w:trHeight w:val="2887" w:hRule="atLeast"/>
        </w:trPr>
        <w:tc>
          <w:tcPr>
            <w:tcW w:w="5156" w:type="dxa"/>
          </w:tcPr>
          <w:p>
            <w:pPr>
              <w:pStyle w:val="TableParagraph"/>
              <w:rPr>
                <w:sz w:val="22"/>
              </w:rPr>
            </w:pPr>
            <w:r>
              <w:rPr>
                <w:rFonts w:ascii="Cambria"/>
                <w:sz w:val="22"/>
              </w:rPr>
              <w:t>darkGrid </w:t>
            </w:r>
            <w:r>
              <w:rPr>
                <w:sz w:val="22"/>
              </w:rPr>
              <w:t>(Dark Grid)</w:t>
            </w:r>
          </w:p>
        </w:tc>
        <w:tc>
          <w:tcPr>
            <w:tcW w:w="5156" w:type="dxa"/>
          </w:tcPr>
          <w:p>
            <w:pPr>
              <w:pStyle w:val="TableParagraph"/>
              <w:spacing w:after="2"/>
              <w:ind w:right="2759"/>
              <w:rPr>
                <w:sz w:val="22"/>
              </w:rPr>
            </w:pPr>
            <w:r>
              <w:rPr>
                <w:sz w:val="22"/>
              </w:rPr>
              <w:t>The fill style is 'dark grid'.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809278" cy="1095375"/>
                  <wp:effectExtent l="0" t="0" r="0" b="0"/>
                  <wp:docPr id="233" name="image115.png"/>
                  <wp:cNvGraphicFramePr>
                    <a:graphicFrameLocks noChangeAspect="1"/>
                  </wp:cNvGraphicFramePr>
                  <a:graphic>
                    <a:graphicData uri="http://schemas.openxmlformats.org/drawingml/2006/picture">
                      <pic:pic>
                        <pic:nvPicPr>
                          <pic:cNvPr id="234" name="image115.png"/>
                          <pic:cNvPicPr/>
                        </pic:nvPicPr>
                        <pic:blipFill>
                          <a:blip r:embed="rId335" cstate="print"/>
                          <a:stretch>
                            <a:fillRect/>
                          </a:stretch>
                        </pic:blipFill>
                        <pic:spPr>
                          <a:xfrm>
                            <a:off x="0" y="0"/>
                            <a:ext cx="2809278" cy="1095375"/>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796" w:hRule="atLeast"/>
        </w:trPr>
        <w:tc>
          <w:tcPr>
            <w:tcW w:w="5156" w:type="dxa"/>
          </w:tcPr>
          <w:p>
            <w:pPr>
              <w:pStyle w:val="TableParagraph"/>
              <w:rPr>
                <w:sz w:val="22"/>
              </w:rPr>
            </w:pPr>
            <w:r>
              <w:rPr>
                <w:rFonts w:ascii="Cambria"/>
                <w:sz w:val="22"/>
              </w:rPr>
              <w:t>darkHorizontal </w:t>
            </w:r>
            <w:r>
              <w:rPr>
                <w:sz w:val="22"/>
              </w:rPr>
              <w:t>(Dark Horizontal)</w:t>
            </w:r>
          </w:p>
        </w:tc>
        <w:tc>
          <w:tcPr>
            <w:tcW w:w="5156" w:type="dxa"/>
          </w:tcPr>
          <w:p>
            <w:pPr>
              <w:pStyle w:val="TableParagraph"/>
              <w:spacing w:after="2"/>
              <w:ind w:right="2295"/>
              <w:rPr>
                <w:sz w:val="22"/>
              </w:rPr>
            </w:pPr>
            <w:r>
              <w:rPr>
                <w:sz w:val="22"/>
              </w:rPr>
              <w:t>The fill style is dark horizontal.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687798" cy="1038225"/>
                  <wp:effectExtent l="0" t="0" r="0" b="0"/>
                  <wp:docPr id="235" name="image116.png"/>
                  <wp:cNvGraphicFramePr>
                    <a:graphicFrameLocks noChangeAspect="1"/>
                  </wp:cNvGraphicFramePr>
                  <a:graphic>
                    <a:graphicData uri="http://schemas.openxmlformats.org/drawingml/2006/picture">
                      <pic:pic>
                        <pic:nvPicPr>
                          <pic:cNvPr id="236" name="image116.png"/>
                          <pic:cNvPicPr/>
                        </pic:nvPicPr>
                        <pic:blipFill>
                          <a:blip r:embed="rId336" cstate="print"/>
                          <a:stretch>
                            <a:fillRect/>
                          </a:stretch>
                        </pic:blipFill>
                        <pic:spPr>
                          <a:xfrm>
                            <a:off x="0" y="0"/>
                            <a:ext cx="2687798" cy="1038225"/>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621" w:hRule="atLeast"/>
        </w:trPr>
        <w:tc>
          <w:tcPr>
            <w:tcW w:w="5156" w:type="dxa"/>
          </w:tcPr>
          <w:p>
            <w:pPr>
              <w:pStyle w:val="TableParagraph"/>
              <w:rPr>
                <w:sz w:val="22"/>
              </w:rPr>
            </w:pPr>
            <w:r>
              <w:rPr>
                <w:rFonts w:ascii="Cambria"/>
                <w:sz w:val="22"/>
              </w:rPr>
              <w:t>darkTrellis </w:t>
            </w:r>
            <w:r>
              <w:rPr>
                <w:sz w:val="22"/>
              </w:rPr>
              <w:t>(Dark Trellis)</w:t>
            </w:r>
          </w:p>
        </w:tc>
        <w:tc>
          <w:tcPr>
            <w:tcW w:w="5156" w:type="dxa"/>
          </w:tcPr>
          <w:p>
            <w:pPr>
              <w:pStyle w:val="TableParagraph"/>
              <w:ind w:right="2607"/>
              <w:rPr>
                <w:sz w:val="22"/>
              </w:rPr>
            </w:pPr>
            <w:r>
              <w:rPr>
                <w:sz w:val="22"/>
              </w:rPr>
              <w:t>The fill style is 'dark trellis'. [</w:t>
            </w:r>
            <w:r>
              <w:rPr>
                <w:i/>
                <w:sz w:val="22"/>
              </w:rPr>
              <w:t>Example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2332" w:hRule="atLeast"/>
        </w:trPr>
        <w:tc>
          <w:tcPr>
            <w:tcW w:w="5156" w:type="dxa"/>
          </w:tcPr>
          <w:p>
            <w:pPr>
              <w:pStyle w:val="TableParagraph"/>
              <w:spacing w:before="0"/>
              <w:ind w:left="0"/>
              <w:rPr>
                <w:rFonts w:ascii="Times New Roman"/>
                <w:sz w:val="22"/>
              </w:rPr>
            </w:pPr>
          </w:p>
        </w:tc>
        <w:tc>
          <w:tcPr>
            <w:tcW w:w="5156" w:type="dxa"/>
          </w:tcPr>
          <w:p>
            <w:pPr>
              <w:pStyle w:val="TableParagraph"/>
              <w:spacing w:before="8"/>
              <w:ind w:left="0"/>
              <w:rPr>
                <w:rFonts w:ascii="Times New Roman"/>
                <w:sz w:val="3"/>
              </w:rPr>
            </w:pPr>
          </w:p>
          <w:p>
            <w:pPr>
              <w:pStyle w:val="TableParagraph"/>
              <w:spacing w:before="0"/>
              <w:ind w:left="143"/>
              <w:rPr>
                <w:rFonts w:ascii="Times New Roman"/>
                <w:sz w:val="20"/>
              </w:rPr>
            </w:pPr>
            <w:r>
              <w:rPr>
                <w:rFonts w:ascii="Times New Roman"/>
                <w:sz w:val="20"/>
              </w:rPr>
              <w:drawing>
                <wp:inline distT="0" distB="0" distL="0" distR="0">
                  <wp:extent cx="2821379" cy="1085850"/>
                  <wp:effectExtent l="0" t="0" r="0" b="0"/>
                  <wp:docPr id="237" name="image117.png"/>
                  <wp:cNvGraphicFramePr>
                    <a:graphicFrameLocks noChangeAspect="1"/>
                  </wp:cNvGraphicFramePr>
                  <a:graphic>
                    <a:graphicData uri="http://schemas.openxmlformats.org/drawingml/2006/picture">
                      <pic:pic>
                        <pic:nvPicPr>
                          <pic:cNvPr id="238" name="image117.png"/>
                          <pic:cNvPicPr/>
                        </pic:nvPicPr>
                        <pic:blipFill>
                          <a:blip r:embed="rId337" cstate="print"/>
                          <a:stretch>
                            <a:fillRect/>
                          </a:stretch>
                        </pic:blipFill>
                        <pic:spPr>
                          <a:xfrm>
                            <a:off x="0" y="0"/>
                            <a:ext cx="2821379" cy="1085850"/>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827" w:hRule="atLeast"/>
        </w:trPr>
        <w:tc>
          <w:tcPr>
            <w:tcW w:w="5156" w:type="dxa"/>
          </w:tcPr>
          <w:p>
            <w:pPr>
              <w:pStyle w:val="TableParagraph"/>
              <w:rPr>
                <w:sz w:val="22"/>
              </w:rPr>
            </w:pPr>
            <w:r>
              <w:rPr>
                <w:rFonts w:ascii="Cambria"/>
                <w:sz w:val="22"/>
              </w:rPr>
              <w:t>darkUp </w:t>
            </w:r>
            <w:r>
              <w:rPr>
                <w:sz w:val="22"/>
              </w:rPr>
              <w:t>(Dark Up)</w:t>
            </w:r>
          </w:p>
        </w:tc>
        <w:tc>
          <w:tcPr>
            <w:tcW w:w="5156" w:type="dxa"/>
          </w:tcPr>
          <w:p>
            <w:pPr>
              <w:pStyle w:val="TableParagraph"/>
              <w:spacing w:after="3"/>
              <w:ind w:right="2874"/>
              <w:rPr>
                <w:sz w:val="22"/>
              </w:rPr>
            </w:pPr>
            <w:r>
              <w:rPr>
                <w:sz w:val="22"/>
              </w:rPr>
              <w:t>The fill style is 'dark up'.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93476" cy="1058227"/>
                  <wp:effectExtent l="0" t="0" r="0" b="0"/>
                  <wp:docPr id="239" name="image118.png"/>
                  <wp:cNvGraphicFramePr>
                    <a:graphicFrameLocks noChangeAspect="1"/>
                  </wp:cNvGraphicFramePr>
                  <a:graphic>
                    <a:graphicData uri="http://schemas.openxmlformats.org/drawingml/2006/picture">
                      <pic:pic>
                        <pic:nvPicPr>
                          <pic:cNvPr id="240" name="image118.png"/>
                          <pic:cNvPicPr/>
                        </pic:nvPicPr>
                        <pic:blipFill>
                          <a:blip r:embed="rId338" cstate="print"/>
                          <a:stretch>
                            <a:fillRect/>
                          </a:stretch>
                        </pic:blipFill>
                        <pic:spPr>
                          <a:xfrm>
                            <a:off x="0" y="0"/>
                            <a:ext cx="2793476" cy="1058227"/>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973" w:hRule="atLeast"/>
        </w:trPr>
        <w:tc>
          <w:tcPr>
            <w:tcW w:w="5156" w:type="dxa"/>
          </w:tcPr>
          <w:p>
            <w:pPr>
              <w:pStyle w:val="TableParagraph"/>
              <w:rPr>
                <w:sz w:val="22"/>
              </w:rPr>
            </w:pPr>
            <w:r>
              <w:rPr>
                <w:rFonts w:ascii="Cambria"/>
                <w:sz w:val="22"/>
              </w:rPr>
              <w:t>darkVertical </w:t>
            </w:r>
            <w:r>
              <w:rPr>
                <w:sz w:val="22"/>
              </w:rPr>
              <w:t>(Dark Vertical)</w:t>
            </w:r>
          </w:p>
        </w:tc>
        <w:tc>
          <w:tcPr>
            <w:tcW w:w="5156" w:type="dxa"/>
          </w:tcPr>
          <w:p>
            <w:pPr>
              <w:pStyle w:val="TableParagraph"/>
              <w:ind w:right="2446"/>
              <w:rPr>
                <w:sz w:val="22"/>
              </w:rPr>
            </w:pPr>
            <w:r>
              <w:rPr>
                <w:sz w:val="22"/>
              </w:rPr>
              <w:t>The fill style is 'dark vertical'.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841087" cy="1154429"/>
                  <wp:effectExtent l="0" t="0" r="0" b="0"/>
                  <wp:docPr id="241" name="image119.png"/>
                  <wp:cNvGraphicFramePr>
                    <a:graphicFrameLocks noChangeAspect="1"/>
                  </wp:cNvGraphicFramePr>
                  <a:graphic>
                    <a:graphicData uri="http://schemas.openxmlformats.org/drawingml/2006/picture">
                      <pic:pic>
                        <pic:nvPicPr>
                          <pic:cNvPr id="242" name="image119.png"/>
                          <pic:cNvPicPr/>
                        </pic:nvPicPr>
                        <pic:blipFill>
                          <a:blip r:embed="rId339" cstate="print"/>
                          <a:stretch>
                            <a:fillRect/>
                          </a:stretch>
                        </pic:blipFill>
                        <pic:spPr>
                          <a:xfrm>
                            <a:off x="0" y="0"/>
                            <a:ext cx="2841087" cy="1154429"/>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841" w:hRule="atLeast"/>
        </w:trPr>
        <w:tc>
          <w:tcPr>
            <w:tcW w:w="5156" w:type="dxa"/>
          </w:tcPr>
          <w:p>
            <w:pPr>
              <w:pStyle w:val="TableParagraph"/>
              <w:rPr>
                <w:sz w:val="22"/>
              </w:rPr>
            </w:pPr>
            <w:r>
              <w:rPr>
                <w:rFonts w:ascii="Cambria"/>
                <w:sz w:val="22"/>
              </w:rPr>
              <w:t>gray0625 </w:t>
            </w:r>
            <w:r>
              <w:rPr>
                <w:sz w:val="22"/>
              </w:rPr>
              <w:t>(Gray 0.0625)</w:t>
            </w:r>
          </w:p>
        </w:tc>
        <w:tc>
          <w:tcPr>
            <w:tcW w:w="5156" w:type="dxa"/>
          </w:tcPr>
          <w:p>
            <w:pPr>
              <w:pStyle w:val="TableParagraph"/>
              <w:spacing w:after="2"/>
              <w:ind w:right="791"/>
              <w:rPr>
                <w:sz w:val="22"/>
              </w:rPr>
            </w:pPr>
            <w:r>
              <w:rPr>
                <w:sz w:val="22"/>
              </w:rPr>
              <w:t>The fill style is grayscale of 0.0625 (1/16) value.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53867" cy="1066800"/>
                  <wp:effectExtent l="0" t="0" r="0" b="0"/>
                  <wp:docPr id="243" name="image120.png"/>
                  <wp:cNvGraphicFramePr>
                    <a:graphicFrameLocks noChangeAspect="1"/>
                  </wp:cNvGraphicFramePr>
                  <a:graphic>
                    <a:graphicData uri="http://schemas.openxmlformats.org/drawingml/2006/picture">
                      <pic:pic>
                        <pic:nvPicPr>
                          <pic:cNvPr id="244" name="image120.png"/>
                          <pic:cNvPicPr/>
                        </pic:nvPicPr>
                        <pic:blipFill>
                          <a:blip r:embed="rId340" cstate="print"/>
                          <a:stretch>
                            <a:fillRect/>
                          </a:stretch>
                        </pic:blipFill>
                        <pic:spPr>
                          <a:xfrm>
                            <a:off x="0" y="0"/>
                            <a:ext cx="2753867" cy="1066800"/>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623" w:hRule="atLeast"/>
        </w:trPr>
        <w:tc>
          <w:tcPr>
            <w:tcW w:w="5156" w:type="dxa"/>
          </w:tcPr>
          <w:p>
            <w:pPr>
              <w:pStyle w:val="TableParagraph"/>
              <w:rPr>
                <w:sz w:val="22"/>
              </w:rPr>
            </w:pPr>
            <w:r>
              <w:rPr>
                <w:rFonts w:ascii="Cambria"/>
                <w:sz w:val="22"/>
              </w:rPr>
              <w:t>gray125 </w:t>
            </w:r>
            <w:r>
              <w:rPr>
                <w:sz w:val="22"/>
              </w:rPr>
              <w:t>(Gray 0.125)</w:t>
            </w:r>
          </w:p>
        </w:tc>
        <w:tc>
          <w:tcPr>
            <w:tcW w:w="5156" w:type="dxa"/>
          </w:tcPr>
          <w:p>
            <w:pPr>
              <w:pStyle w:val="TableParagraph"/>
              <w:ind w:right="1014"/>
              <w:rPr>
                <w:sz w:val="22"/>
              </w:rPr>
            </w:pPr>
            <w:r>
              <w:rPr>
                <w:sz w:val="22"/>
              </w:rPr>
              <w:t>The fill style is grayscale of 0.125 (1/8) value. [</w:t>
            </w:r>
            <w:r>
              <w:rPr>
                <w:i/>
                <w:sz w:val="22"/>
              </w:rPr>
              <w:t>Example</w:t>
            </w:r>
            <w:r>
              <w:rPr>
                <w:sz w:val="22"/>
              </w:rPr>
              <w:t>:</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2483" w:hRule="atLeast"/>
        </w:trPr>
        <w:tc>
          <w:tcPr>
            <w:tcW w:w="5156" w:type="dxa"/>
          </w:tcPr>
          <w:p>
            <w:pPr>
              <w:pStyle w:val="TableParagraph"/>
              <w:spacing w:before="0"/>
              <w:ind w:left="0"/>
              <w:rPr>
                <w:rFonts w:ascii="Times New Roman"/>
                <w:sz w:val="22"/>
              </w:rPr>
            </w:pPr>
          </w:p>
        </w:tc>
        <w:tc>
          <w:tcPr>
            <w:tcW w:w="5156" w:type="dxa"/>
          </w:tcPr>
          <w:p>
            <w:pPr>
              <w:pStyle w:val="TableParagraph"/>
              <w:spacing w:before="8"/>
              <w:ind w:left="0"/>
              <w:rPr>
                <w:rFonts w:ascii="Times New Roman"/>
                <w:sz w:val="3"/>
              </w:rPr>
            </w:pPr>
          </w:p>
          <w:p>
            <w:pPr>
              <w:pStyle w:val="TableParagraph"/>
              <w:spacing w:before="0"/>
              <w:ind w:left="143"/>
              <w:rPr>
                <w:rFonts w:ascii="Times New Roman"/>
                <w:sz w:val="20"/>
              </w:rPr>
            </w:pPr>
            <w:r>
              <w:rPr>
                <w:rFonts w:ascii="Times New Roman"/>
                <w:sz w:val="20"/>
              </w:rPr>
              <w:drawing>
                <wp:inline distT="0" distB="0" distL="0" distR="0">
                  <wp:extent cx="2982467" cy="1181100"/>
                  <wp:effectExtent l="0" t="0" r="0" b="0"/>
                  <wp:docPr id="245" name="image121.png"/>
                  <wp:cNvGraphicFramePr>
                    <a:graphicFrameLocks noChangeAspect="1"/>
                  </wp:cNvGraphicFramePr>
                  <a:graphic>
                    <a:graphicData uri="http://schemas.openxmlformats.org/drawingml/2006/picture">
                      <pic:pic>
                        <pic:nvPicPr>
                          <pic:cNvPr id="246" name="image121.png"/>
                          <pic:cNvPicPr/>
                        </pic:nvPicPr>
                        <pic:blipFill>
                          <a:blip r:embed="rId341" cstate="print"/>
                          <a:stretch>
                            <a:fillRect/>
                          </a:stretch>
                        </pic:blipFill>
                        <pic:spPr>
                          <a:xfrm>
                            <a:off x="0" y="0"/>
                            <a:ext cx="2982467" cy="1181100"/>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779" w:hRule="atLeast"/>
        </w:trPr>
        <w:tc>
          <w:tcPr>
            <w:tcW w:w="5156" w:type="dxa"/>
          </w:tcPr>
          <w:p>
            <w:pPr>
              <w:pStyle w:val="TableParagraph"/>
              <w:rPr>
                <w:sz w:val="22"/>
              </w:rPr>
            </w:pPr>
            <w:r>
              <w:rPr>
                <w:rFonts w:ascii="Cambria"/>
                <w:sz w:val="22"/>
              </w:rPr>
              <w:t>lightDown </w:t>
            </w:r>
            <w:r>
              <w:rPr>
                <w:sz w:val="22"/>
              </w:rPr>
              <w:t>(Light Down)</w:t>
            </w:r>
          </w:p>
        </w:tc>
        <w:tc>
          <w:tcPr>
            <w:tcW w:w="5156" w:type="dxa"/>
          </w:tcPr>
          <w:p>
            <w:pPr>
              <w:pStyle w:val="TableParagraph"/>
              <w:ind w:right="2604"/>
              <w:rPr>
                <w:sz w:val="22"/>
              </w:rPr>
            </w:pPr>
            <w:r>
              <w:rPr>
                <w:sz w:val="22"/>
              </w:rPr>
              <w:t>The fill style is 'light down'.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81300" cy="1028700"/>
                  <wp:effectExtent l="0" t="0" r="0" b="0"/>
                  <wp:docPr id="247" name="image122.png"/>
                  <wp:cNvGraphicFramePr>
                    <a:graphicFrameLocks noChangeAspect="1"/>
                  </wp:cNvGraphicFramePr>
                  <a:graphic>
                    <a:graphicData uri="http://schemas.openxmlformats.org/drawingml/2006/picture">
                      <pic:pic>
                        <pic:nvPicPr>
                          <pic:cNvPr id="248" name="image122.png"/>
                          <pic:cNvPicPr/>
                        </pic:nvPicPr>
                        <pic:blipFill>
                          <a:blip r:embed="rId342" cstate="print"/>
                          <a:stretch>
                            <a:fillRect/>
                          </a:stretch>
                        </pic:blipFill>
                        <pic:spPr>
                          <a:xfrm>
                            <a:off x="0" y="0"/>
                            <a:ext cx="2781300" cy="1028700"/>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827" w:hRule="atLeast"/>
        </w:trPr>
        <w:tc>
          <w:tcPr>
            <w:tcW w:w="5156" w:type="dxa"/>
          </w:tcPr>
          <w:p>
            <w:pPr>
              <w:pStyle w:val="TableParagraph"/>
              <w:rPr>
                <w:sz w:val="22"/>
              </w:rPr>
            </w:pPr>
            <w:r>
              <w:rPr>
                <w:rFonts w:ascii="Cambria"/>
                <w:sz w:val="22"/>
              </w:rPr>
              <w:t>lightGray </w:t>
            </w:r>
            <w:r>
              <w:rPr>
                <w:sz w:val="22"/>
              </w:rPr>
              <w:t>(Light Gray)</w:t>
            </w:r>
          </w:p>
        </w:tc>
        <w:tc>
          <w:tcPr>
            <w:tcW w:w="5156" w:type="dxa"/>
          </w:tcPr>
          <w:p>
            <w:pPr>
              <w:pStyle w:val="TableParagraph"/>
              <w:spacing w:after="2"/>
              <w:ind w:right="2821"/>
              <w:rPr>
                <w:sz w:val="22"/>
              </w:rPr>
            </w:pPr>
            <w:r>
              <w:rPr>
                <w:sz w:val="22"/>
              </w:rPr>
              <w:t>The fill style is light gray.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80298" cy="1057275"/>
                  <wp:effectExtent l="0" t="0" r="0" b="0"/>
                  <wp:docPr id="249" name="image123.png"/>
                  <wp:cNvGraphicFramePr>
                    <a:graphicFrameLocks noChangeAspect="1"/>
                  </wp:cNvGraphicFramePr>
                  <a:graphic>
                    <a:graphicData uri="http://schemas.openxmlformats.org/drawingml/2006/picture">
                      <pic:pic>
                        <pic:nvPicPr>
                          <pic:cNvPr id="250" name="image123.png"/>
                          <pic:cNvPicPr/>
                        </pic:nvPicPr>
                        <pic:blipFill>
                          <a:blip r:embed="rId343" cstate="print"/>
                          <a:stretch>
                            <a:fillRect/>
                          </a:stretch>
                        </pic:blipFill>
                        <pic:spPr>
                          <a:xfrm>
                            <a:off x="0" y="0"/>
                            <a:ext cx="2780298" cy="1057275"/>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825" w:hRule="atLeast"/>
        </w:trPr>
        <w:tc>
          <w:tcPr>
            <w:tcW w:w="5156" w:type="dxa"/>
          </w:tcPr>
          <w:p>
            <w:pPr>
              <w:pStyle w:val="TableParagraph"/>
              <w:rPr>
                <w:sz w:val="22"/>
              </w:rPr>
            </w:pPr>
            <w:r>
              <w:rPr>
                <w:rFonts w:ascii="Cambria"/>
                <w:sz w:val="22"/>
              </w:rPr>
              <w:t>lightGrid </w:t>
            </w:r>
            <w:r>
              <w:rPr>
                <w:sz w:val="22"/>
              </w:rPr>
              <w:t>(Light Grid)</w:t>
            </w:r>
          </w:p>
        </w:tc>
        <w:tc>
          <w:tcPr>
            <w:tcW w:w="5156" w:type="dxa"/>
          </w:tcPr>
          <w:p>
            <w:pPr>
              <w:pStyle w:val="TableParagraph"/>
              <w:ind w:right="2762"/>
              <w:rPr>
                <w:sz w:val="22"/>
              </w:rPr>
            </w:pPr>
            <w:r>
              <w:rPr>
                <w:sz w:val="22"/>
              </w:rPr>
              <w:t>The fill style is 'light grid'.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82802" cy="1058227"/>
                  <wp:effectExtent l="0" t="0" r="0" b="0"/>
                  <wp:docPr id="251" name="image124.png"/>
                  <wp:cNvGraphicFramePr>
                    <a:graphicFrameLocks noChangeAspect="1"/>
                  </wp:cNvGraphicFramePr>
                  <a:graphic>
                    <a:graphicData uri="http://schemas.openxmlformats.org/drawingml/2006/picture">
                      <pic:pic>
                        <pic:nvPicPr>
                          <pic:cNvPr id="252" name="image124.png"/>
                          <pic:cNvPicPr/>
                        </pic:nvPicPr>
                        <pic:blipFill>
                          <a:blip r:embed="rId344" cstate="print"/>
                          <a:stretch>
                            <a:fillRect/>
                          </a:stretch>
                        </pic:blipFill>
                        <pic:spPr>
                          <a:xfrm>
                            <a:off x="0" y="0"/>
                            <a:ext cx="2782802" cy="1058227"/>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623" w:hRule="atLeast"/>
        </w:trPr>
        <w:tc>
          <w:tcPr>
            <w:tcW w:w="5156" w:type="dxa"/>
          </w:tcPr>
          <w:p>
            <w:pPr>
              <w:pStyle w:val="TableParagraph"/>
              <w:rPr>
                <w:sz w:val="22"/>
              </w:rPr>
            </w:pPr>
            <w:r>
              <w:rPr>
                <w:rFonts w:ascii="Cambria"/>
                <w:sz w:val="22"/>
              </w:rPr>
              <w:t>lightHorizontal </w:t>
            </w:r>
            <w:r>
              <w:rPr>
                <w:sz w:val="22"/>
              </w:rPr>
              <w:t>(Light Horizontal)</w:t>
            </w:r>
          </w:p>
        </w:tc>
        <w:tc>
          <w:tcPr>
            <w:tcW w:w="5156" w:type="dxa"/>
          </w:tcPr>
          <w:p>
            <w:pPr>
              <w:pStyle w:val="TableParagraph"/>
              <w:ind w:right="2299"/>
              <w:rPr>
                <w:sz w:val="22"/>
              </w:rPr>
            </w:pPr>
            <w:r>
              <w:rPr>
                <w:sz w:val="22"/>
              </w:rPr>
              <w:t>The fill style is light horizontal. [</w:t>
            </w:r>
            <w:r>
              <w:rPr>
                <w:i/>
                <w:sz w:val="22"/>
              </w:rPr>
              <w:t>Example</w:t>
            </w:r>
            <w:r>
              <w:rPr>
                <w:sz w:val="22"/>
              </w:rPr>
              <w:t>:</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r>
        <w:rPr/>
        <w:drawing>
          <wp:anchor distT="0" distB="0" distL="0" distR="0" allowOverlap="1" layoutInCell="1" locked="0" behindDoc="1" simplePos="0" relativeHeight="167608320">
            <wp:simplePos x="0" y="0"/>
            <wp:positionH relativeFrom="page">
              <wp:posOffset>3977640</wp:posOffset>
            </wp:positionH>
            <wp:positionV relativeFrom="page">
              <wp:posOffset>7164323</wp:posOffset>
            </wp:positionV>
            <wp:extent cx="2753867" cy="1066800"/>
            <wp:effectExtent l="0" t="0" r="0" b="0"/>
            <wp:wrapNone/>
            <wp:docPr id="253" name="image125.png"/>
            <wp:cNvGraphicFramePr>
              <a:graphicFrameLocks noChangeAspect="1"/>
            </wp:cNvGraphicFramePr>
            <a:graphic>
              <a:graphicData uri="http://schemas.openxmlformats.org/drawingml/2006/picture">
                <pic:pic>
                  <pic:nvPicPr>
                    <pic:cNvPr id="254" name="image125.png"/>
                    <pic:cNvPicPr/>
                  </pic:nvPicPr>
                  <pic:blipFill>
                    <a:blip r:embed="rId345" cstate="print"/>
                    <a:stretch>
                      <a:fillRect/>
                    </a:stretch>
                  </pic:blipFill>
                  <pic:spPr>
                    <a:xfrm>
                      <a:off x="0" y="0"/>
                      <a:ext cx="2753867" cy="1066800"/>
                    </a:xfrm>
                    <a:prstGeom prst="rect">
                      <a:avLst/>
                    </a:prstGeom>
                  </pic:spPr>
                </pic:pic>
              </a:graphicData>
            </a:graphic>
          </wp:anchor>
        </w:drawing>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2286" w:hRule="atLeast"/>
        </w:trPr>
        <w:tc>
          <w:tcPr>
            <w:tcW w:w="5156" w:type="dxa"/>
          </w:tcPr>
          <w:p>
            <w:pPr>
              <w:pStyle w:val="TableParagraph"/>
              <w:spacing w:before="0"/>
              <w:ind w:left="0"/>
              <w:rPr>
                <w:rFonts w:ascii="Times New Roman"/>
                <w:sz w:val="22"/>
              </w:rPr>
            </w:pPr>
          </w:p>
        </w:tc>
        <w:tc>
          <w:tcPr>
            <w:tcW w:w="5156" w:type="dxa"/>
          </w:tcPr>
          <w:p>
            <w:pPr>
              <w:pStyle w:val="TableParagraph"/>
              <w:spacing w:before="8"/>
              <w:ind w:left="0"/>
              <w:rPr>
                <w:rFonts w:ascii="Times New Roman"/>
                <w:sz w:val="3"/>
              </w:rPr>
            </w:pPr>
          </w:p>
          <w:p>
            <w:pPr>
              <w:pStyle w:val="TableParagraph"/>
              <w:spacing w:before="0"/>
              <w:ind w:left="143"/>
              <w:rPr>
                <w:rFonts w:ascii="Times New Roman"/>
                <w:sz w:val="20"/>
              </w:rPr>
            </w:pPr>
            <w:r>
              <w:rPr>
                <w:rFonts w:ascii="Times New Roman"/>
                <w:sz w:val="20"/>
              </w:rPr>
              <w:drawing>
                <wp:inline distT="0" distB="0" distL="0" distR="0">
                  <wp:extent cx="2735533" cy="1058227"/>
                  <wp:effectExtent l="0" t="0" r="0" b="0"/>
                  <wp:docPr id="255" name="image126.png"/>
                  <wp:cNvGraphicFramePr>
                    <a:graphicFrameLocks noChangeAspect="1"/>
                  </wp:cNvGraphicFramePr>
                  <a:graphic>
                    <a:graphicData uri="http://schemas.openxmlformats.org/drawingml/2006/picture">
                      <pic:pic>
                        <pic:nvPicPr>
                          <pic:cNvPr id="256" name="image126.png"/>
                          <pic:cNvPicPr/>
                        </pic:nvPicPr>
                        <pic:blipFill>
                          <a:blip r:embed="rId346" cstate="print"/>
                          <a:stretch>
                            <a:fillRect/>
                          </a:stretch>
                        </pic:blipFill>
                        <pic:spPr>
                          <a:xfrm>
                            <a:off x="0" y="0"/>
                            <a:ext cx="2735533" cy="1058227"/>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3036" w:hRule="atLeast"/>
        </w:trPr>
        <w:tc>
          <w:tcPr>
            <w:tcW w:w="5156" w:type="dxa"/>
          </w:tcPr>
          <w:p>
            <w:pPr>
              <w:pStyle w:val="TableParagraph"/>
              <w:spacing w:before="42"/>
              <w:rPr>
                <w:sz w:val="22"/>
              </w:rPr>
            </w:pPr>
            <w:r>
              <w:rPr>
                <w:rFonts w:ascii="Cambria"/>
                <w:sz w:val="22"/>
              </w:rPr>
              <w:t>lightTrellis </w:t>
            </w:r>
            <w:r>
              <w:rPr>
                <w:sz w:val="22"/>
              </w:rPr>
              <w:t>(Light Trellis)</w:t>
            </w:r>
          </w:p>
        </w:tc>
        <w:tc>
          <w:tcPr>
            <w:tcW w:w="5156" w:type="dxa"/>
          </w:tcPr>
          <w:p>
            <w:pPr>
              <w:pStyle w:val="TableParagraph"/>
              <w:spacing w:line="237" w:lineRule="auto" w:before="44" w:after="4"/>
              <w:ind w:right="2611"/>
              <w:rPr>
                <w:sz w:val="22"/>
              </w:rPr>
            </w:pPr>
            <w:r>
              <w:rPr>
                <w:sz w:val="22"/>
              </w:rPr>
              <w:t>The fill style is 'light trellis'.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78632" cy="1190625"/>
                  <wp:effectExtent l="0" t="0" r="0" b="0"/>
                  <wp:docPr id="257" name="image127.png"/>
                  <wp:cNvGraphicFramePr>
                    <a:graphicFrameLocks noChangeAspect="1"/>
                  </wp:cNvGraphicFramePr>
                  <a:graphic>
                    <a:graphicData uri="http://schemas.openxmlformats.org/drawingml/2006/picture">
                      <pic:pic>
                        <pic:nvPicPr>
                          <pic:cNvPr id="258" name="image127.png"/>
                          <pic:cNvPicPr/>
                        </pic:nvPicPr>
                        <pic:blipFill>
                          <a:blip r:embed="rId347" cstate="print"/>
                          <a:stretch>
                            <a:fillRect/>
                          </a:stretch>
                        </pic:blipFill>
                        <pic:spPr>
                          <a:xfrm>
                            <a:off x="0" y="0"/>
                            <a:ext cx="2778632" cy="1190625"/>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2901" w:hRule="atLeast"/>
        </w:trPr>
        <w:tc>
          <w:tcPr>
            <w:tcW w:w="5156" w:type="dxa"/>
          </w:tcPr>
          <w:p>
            <w:pPr>
              <w:pStyle w:val="TableParagraph"/>
              <w:rPr>
                <w:sz w:val="22"/>
              </w:rPr>
            </w:pPr>
            <w:r>
              <w:rPr>
                <w:rFonts w:ascii="Cambria"/>
                <w:sz w:val="22"/>
              </w:rPr>
              <w:t>lightUp </w:t>
            </w:r>
            <w:r>
              <w:rPr>
                <w:sz w:val="22"/>
              </w:rPr>
              <w:t>(Light Up)</w:t>
            </w:r>
          </w:p>
        </w:tc>
        <w:tc>
          <w:tcPr>
            <w:tcW w:w="5156" w:type="dxa"/>
          </w:tcPr>
          <w:p>
            <w:pPr>
              <w:pStyle w:val="TableParagraph"/>
              <w:spacing w:after="2"/>
              <w:ind w:right="2975"/>
              <w:rPr>
                <w:sz w:val="22"/>
              </w:rPr>
            </w:pPr>
            <w:r>
              <w:rPr>
                <w:sz w:val="22"/>
              </w:rPr>
              <w:t>The fill style is light up. [</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81300" cy="1104900"/>
                  <wp:effectExtent l="0" t="0" r="0" b="0"/>
                  <wp:docPr id="259" name="image128.png"/>
                  <wp:cNvGraphicFramePr>
                    <a:graphicFrameLocks noChangeAspect="1"/>
                  </wp:cNvGraphicFramePr>
                  <a:graphic>
                    <a:graphicData uri="http://schemas.openxmlformats.org/drawingml/2006/picture">
                      <pic:pic>
                        <pic:nvPicPr>
                          <pic:cNvPr id="260" name="image128.png"/>
                          <pic:cNvPicPr/>
                        </pic:nvPicPr>
                        <pic:blipFill>
                          <a:blip r:embed="rId348" cstate="print"/>
                          <a:stretch>
                            <a:fillRect/>
                          </a:stretch>
                        </pic:blipFill>
                        <pic:spPr>
                          <a:xfrm>
                            <a:off x="0" y="0"/>
                            <a:ext cx="2781300" cy="1104900"/>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r>
        <w:trPr>
          <w:trHeight w:val="354" w:hRule="atLeast"/>
        </w:trPr>
        <w:tc>
          <w:tcPr>
            <w:tcW w:w="5156" w:type="dxa"/>
          </w:tcPr>
          <w:p>
            <w:pPr>
              <w:pStyle w:val="TableParagraph"/>
              <w:rPr>
                <w:sz w:val="22"/>
              </w:rPr>
            </w:pPr>
            <w:r>
              <w:rPr>
                <w:rFonts w:ascii="Cambria"/>
                <w:sz w:val="22"/>
              </w:rPr>
              <w:t>lightVertical </w:t>
            </w:r>
            <w:r>
              <w:rPr>
                <w:sz w:val="22"/>
              </w:rPr>
              <w:t>(Light Vertical)</w:t>
            </w:r>
          </w:p>
        </w:tc>
        <w:tc>
          <w:tcPr>
            <w:tcW w:w="5156" w:type="dxa"/>
          </w:tcPr>
          <w:p>
            <w:pPr>
              <w:pStyle w:val="TableParagraph"/>
              <w:rPr>
                <w:sz w:val="22"/>
              </w:rPr>
            </w:pPr>
            <w:r>
              <w:rPr>
                <w:sz w:val="22"/>
              </w:rPr>
              <w:t>The fill style is light vertical.</w:t>
            </w:r>
          </w:p>
        </w:tc>
      </w:tr>
      <w:tr>
        <w:trPr>
          <w:trHeight w:val="3108" w:hRule="atLeast"/>
        </w:trPr>
        <w:tc>
          <w:tcPr>
            <w:tcW w:w="5156" w:type="dxa"/>
          </w:tcPr>
          <w:p>
            <w:pPr>
              <w:pStyle w:val="TableParagraph"/>
              <w:rPr>
                <w:sz w:val="22"/>
              </w:rPr>
            </w:pPr>
            <w:r>
              <w:rPr>
                <w:rFonts w:ascii="Cambria"/>
                <w:sz w:val="22"/>
              </w:rPr>
              <w:t>mediumGray </w:t>
            </w:r>
            <w:r>
              <w:rPr>
                <w:sz w:val="22"/>
              </w:rPr>
              <w:t>(Medium Gray)</w:t>
            </w:r>
          </w:p>
        </w:tc>
        <w:tc>
          <w:tcPr>
            <w:tcW w:w="5156" w:type="dxa"/>
          </w:tcPr>
          <w:p>
            <w:pPr>
              <w:pStyle w:val="TableParagraph"/>
              <w:spacing w:line="480" w:lineRule="auto"/>
              <w:ind w:right="2472"/>
              <w:rPr>
                <w:sz w:val="22"/>
              </w:rPr>
            </w:pPr>
            <w:r>
              <w:rPr>
                <w:sz w:val="22"/>
              </w:rPr>
              <w:t>The fill style is medium gray. [</w:t>
            </w:r>
            <w:r>
              <w:rPr>
                <w:i/>
                <w:sz w:val="22"/>
              </w:rPr>
              <w:t>Example</w:t>
            </w:r>
            <w:r>
              <w:rPr>
                <w:sz w:val="22"/>
              </w:rPr>
              <w:t>:</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148"/>
              <w:rPr>
                <w:sz w:val="22"/>
              </w:rPr>
            </w:pPr>
            <w:r>
              <w:rPr>
                <w:i/>
                <w:sz w:val="22"/>
              </w:rPr>
              <w:t>end example</w:t>
            </w:r>
            <w:r>
              <w:rPr>
                <w:sz w:val="22"/>
              </w:rPr>
              <w:t>]</w:t>
            </w:r>
          </w:p>
        </w:tc>
      </w:tr>
      <w:tr>
        <w:trPr>
          <w:trHeight w:val="623"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ind w:right="197"/>
              <w:rPr>
                <w:rFonts w:ascii="Consolas"/>
                <w:sz w:val="20"/>
              </w:rPr>
            </w:pPr>
            <w:r>
              <w:rPr>
                <w:sz w:val="22"/>
              </w:rPr>
              <w:t>The fill style is none (no fill). When foreground and/or background colors are specified, a pattern of </w:t>
            </w:r>
            <w:r>
              <w:rPr>
                <w:rFonts w:ascii="Consolas"/>
                <w:sz w:val="20"/>
              </w:rPr>
              <w:t>'none'</w:t>
            </w:r>
          </w:p>
        </w:tc>
      </w:tr>
    </w:tbl>
    <w:p>
      <w:pPr>
        <w:spacing w:after="0"/>
        <w:rPr>
          <w:rFonts w:ascii="Consolas"/>
          <w:sz w:val="20"/>
        </w:rPr>
        <w:sectPr>
          <w:pgSz w:w="12240" w:h="15840"/>
          <w:pgMar w:header="761" w:footer="746" w:top="1340" w:bottom="940" w:left="860" w:right="700"/>
        </w:sectPr>
      </w:pPr>
    </w:p>
    <w:p>
      <w:pPr>
        <w:pStyle w:val="BodyText"/>
        <w:spacing w:before="1"/>
        <w:rPr>
          <w:rFonts w:ascii="Times New Roman"/>
          <w:sz w:val="13"/>
        </w:rPr>
      </w:pPr>
      <w:r>
        <w:rPr/>
        <w:drawing>
          <wp:anchor distT="0" distB="0" distL="0" distR="0" allowOverlap="1" layoutInCell="1" locked="0" behindDoc="1" simplePos="0" relativeHeight="167609344">
            <wp:simplePos x="0" y="0"/>
            <wp:positionH relativeFrom="page">
              <wp:posOffset>3977640</wp:posOffset>
            </wp:positionH>
            <wp:positionV relativeFrom="page">
              <wp:posOffset>1728216</wp:posOffset>
            </wp:positionV>
            <wp:extent cx="2753867" cy="1085088"/>
            <wp:effectExtent l="0" t="0" r="0" b="0"/>
            <wp:wrapNone/>
            <wp:docPr id="261" name="image129.png"/>
            <wp:cNvGraphicFramePr>
              <a:graphicFrameLocks noChangeAspect="1"/>
            </wp:cNvGraphicFramePr>
            <a:graphic>
              <a:graphicData uri="http://schemas.openxmlformats.org/drawingml/2006/picture">
                <pic:pic>
                  <pic:nvPicPr>
                    <pic:cNvPr id="262" name="image129.png"/>
                    <pic:cNvPicPr/>
                  </pic:nvPicPr>
                  <pic:blipFill>
                    <a:blip r:embed="rId349" cstate="print"/>
                    <a:stretch>
                      <a:fillRect/>
                    </a:stretch>
                  </pic:blipFill>
                  <pic:spPr>
                    <a:xfrm>
                      <a:off x="0" y="0"/>
                      <a:ext cx="2753867" cy="1085088"/>
                    </a:xfrm>
                    <a:prstGeom prst="rect">
                      <a:avLst/>
                    </a:prstGeom>
                  </pic:spPr>
                </pic:pic>
              </a:graphicData>
            </a:graphic>
          </wp:anchor>
        </w:drawing>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138" w:hRule="atLeast"/>
        </w:trPr>
        <w:tc>
          <w:tcPr>
            <w:tcW w:w="5156" w:type="dxa"/>
          </w:tcPr>
          <w:p>
            <w:pPr>
              <w:pStyle w:val="TableParagraph"/>
              <w:spacing w:before="0"/>
              <w:ind w:left="0"/>
              <w:rPr>
                <w:rFonts w:ascii="Times New Roman"/>
                <w:sz w:val="22"/>
              </w:rPr>
            </w:pPr>
          </w:p>
        </w:tc>
        <w:tc>
          <w:tcPr>
            <w:tcW w:w="5156" w:type="dxa"/>
          </w:tcPr>
          <w:p>
            <w:pPr>
              <w:pStyle w:val="TableParagraph"/>
              <w:spacing w:line="480" w:lineRule="auto"/>
              <w:ind w:right="1479"/>
              <w:rPr>
                <w:sz w:val="22"/>
              </w:rPr>
            </w:pPr>
            <w:r>
              <w:rPr>
                <w:sz w:val="22"/>
              </w:rPr>
              <w:t>overrides and means the cell has no fill. [</w:t>
            </w:r>
            <w:r>
              <w:rPr>
                <w:i/>
                <w:sz w:val="22"/>
              </w:rPr>
              <w:t>Example</w:t>
            </w:r>
            <w:r>
              <w:rPr>
                <w:sz w:val="22"/>
              </w:rPr>
              <w:t>:</w:t>
            </w: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0"/>
              <w:ind w:left="0"/>
              <w:rPr>
                <w:rFonts w:ascii="Times New Roman"/>
                <w:sz w:val="22"/>
              </w:rPr>
            </w:pPr>
          </w:p>
          <w:p>
            <w:pPr>
              <w:pStyle w:val="TableParagraph"/>
              <w:spacing w:before="176"/>
              <w:rPr>
                <w:sz w:val="22"/>
              </w:rPr>
            </w:pPr>
            <w:r>
              <w:rPr>
                <w:i/>
                <w:sz w:val="22"/>
              </w:rPr>
              <w:t>end example</w:t>
            </w:r>
            <w:r>
              <w:rPr>
                <w:sz w:val="22"/>
              </w:rPr>
              <w:t>]</w:t>
            </w:r>
          </w:p>
        </w:tc>
      </w:tr>
      <w:tr>
        <w:trPr>
          <w:trHeight w:val="3946" w:hRule="atLeast"/>
        </w:trPr>
        <w:tc>
          <w:tcPr>
            <w:tcW w:w="5156" w:type="dxa"/>
          </w:tcPr>
          <w:p>
            <w:pPr>
              <w:pStyle w:val="TableParagraph"/>
              <w:rPr>
                <w:sz w:val="22"/>
              </w:rPr>
            </w:pPr>
            <w:r>
              <w:rPr>
                <w:rFonts w:ascii="Cambria"/>
                <w:sz w:val="22"/>
              </w:rPr>
              <w:t>solid </w:t>
            </w:r>
            <w:r>
              <w:rPr>
                <w:sz w:val="22"/>
              </w:rPr>
              <w:t>(Solid)</w:t>
            </w:r>
          </w:p>
        </w:tc>
        <w:tc>
          <w:tcPr>
            <w:tcW w:w="5156" w:type="dxa"/>
          </w:tcPr>
          <w:p>
            <w:pPr>
              <w:pStyle w:val="TableParagraph"/>
              <w:ind w:right="228"/>
              <w:rPr>
                <w:sz w:val="22"/>
              </w:rPr>
            </w:pPr>
            <w:r>
              <w:rPr>
                <w:sz w:val="22"/>
              </w:rPr>
              <w:t>The fill style is solid. When solid is specified, the foreground color (</w:t>
            </w:r>
            <w:r>
              <w:rPr>
                <w:rFonts w:ascii="Cambria"/>
                <w:sz w:val="22"/>
              </w:rPr>
              <w:t>fgColor</w:t>
            </w:r>
            <w:r>
              <w:rPr>
                <w:sz w:val="22"/>
              </w:rPr>
              <w:t>) is the only color rendered, even when a background color (</w:t>
            </w:r>
            <w:r>
              <w:rPr>
                <w:rFonts w:ascii="Cambria"/>
                <w:sz w:val="22"/>
              </w:rPr>
              <w:t>bgColor</w:t>
            </w:r>
            <w:r>
              <w:rPr>
                <w:sz w:val="22"/>
              </w:rPr>
              <w:t>) is also specified.</w:t>
            </w:r>
          </w:p>
          <w:p>
            <w:pPr>
              <w:pStyle w:val="TableParagraph"/>
              <w:spacing w:before="3"/>
              <w:ind w:left="0"/>
              <w:rPr>
                <w:rFonts w:ascii="Times New Roman"/>
                <w:sz w:val="23"/>
              </w:rPr>
            </w:pPr>
          </w:p>
          <w:p>
            <w:pPr>
              <w:pStyle w:val="TableParagraph"/>
              <w:spacing w:before="0" w:after="3"/>
              <w:rPr>
                <w:sz w:val="22"/>
              </w:rPr>
            </w:pPr>
            <w:r>
              <w:rPr>
                <w:sz w:val="22"/>
              </w:rPr>
              <w:t>[</w:t>
            </w:r>
            <w:r>
              <w:rPr>
                <w:i/>
                <w:sz w:val="22"/>
              </w:rPr>
              <w:t>Example</w:t>
            </w:r>
            <w:r>
              <w:rPr>
                <w:sz w:val="22"/>
              </w:rPr>
              <w:t>:</w:t>
            </w:r>
          </w:p>
          <w:p>
            <w:pPr>
              <w:pStyle w:val="TableParagraph"/>
              <w:spacing w:before="0"/>
              <w:ind w:left="143"/>
              <w:rPr>
                <w:rFonts w:ascii="Times New Roman"/>
                <w:sz w:val="20"/>
              </w:rPr>
            </w:pPr>
            <w:r>
              <w:rPr>
                <w:rFonts w:ascii="Times New Roman"/>
                <w:sz w:val="20"/>
              </w:rPr>
              <w:drawing>
                <wp:inline distT="0" distB="0" distL="0" distR="0">
                  <wp:extent cx="2770211" cy="1085850"/>
                  <wp:effectExtent l="0" t="0" r="0" b="0"/>
                  <wp:docPr id="263" name="image130.png"/>
                  <wp:cNvGraphicFramePr>
                    <a:graphicFrameLocks noChangeAspect="1"/>
                  </wp:cNvGraphicFramePr>
                  <a:graphic>
                    <a:graphicData uri="http://schemas.openxmlformats.org/drawingml/2006/picture">
                      <pic:pic>
                        <pic:nvPicPr>
                          <pic:cNvPr id="264" name="image130.png"/>
                          <pic:cNvPicPr/>
                        </pic:nvPicPr>
                        <pic:blipFill>
                          <a:blip r:embed="rId350" cstate="print"/>
                          <a:stretch>
                            <a:fillRect/>
                          </a:stretch>
                        </pic:blipFill>
                        <pic:spPr>
                          <a:xfrm>
                            <a:off x="0" y="0"/>
                            <a:ext cx="2770211" cy="1085850"/>
                          </a:xfrm>
                          <a:prstGeom prst="rect">
                            <a:avLst/>
                          </a:prstGeom>
                        </pic:spPr>
                      </pic:pic>
                    </a:graphicData>
                  </a:graphic>
                </wp:inline>
              </w:drawing>
            </w:r>
            <w:r>
              <w:rPr>
                <w:rFonts w:ascii="Times New Roman"/>
                <w:sz w:val="20"/>
              </w:rPr>
            </w:r>
          </w:p>
          <w:p>
            <w:pPr>
              <w:pStyle w:val="TableParagraph"/>
              <w:spacing w:before="0"/>
              <w:rPr>
                <w:sz w:val="22"/>
              </w:rPr>
            </w:pPr>
            <w:r>
              <w:rPr>
                <w:i/>
                <w:sz w:val="22"/>
              </w:rPr>
              <w:t>end example</w:t>
            </w:r>
            <w:r>
              <w:rPr>
                <w:sz w:val="22"/>
              </w:rPr>
              <w:t>]</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simple type’s content model (</w:t>
      </w:r>
      <w:r>
        <w:rPr>
          <w:color w:val="5F5F5F"/>
          <w:u w:val="single" w:color="5F5F5F"/>
        </w:rPr>
        <w:t>ST_PatternType</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56 ST_PhoneticAlignment (Phonetic " w:id="2633"/>
      <w:bookmarkEnd w:id="2633"/>
      <w:r>
        <w:rPr>
          <w:b w:val="0"/>
        </w:rPr>
      </w:r>
      <w:bookmarkStart w:name="_bookmark878" w:id="2634"/>
      <w:bookmarkEnd w:id="2634"/>
      <w:r>
        <w:rPr>
          <w:b w:val="0"/>
        </w:rPr>
      </w:r>
      <w:bookmarkStart w:name="_bookmark878" w:id="2635"/>
      <w:bookmarkEnd w:id="2635"/>
      <w:r>
        <w:rPr>
          <w:color w:val="4F81BC"/>
        </w:rPr>
        <w:t>S</w:t>
      </w:r>
      <w:r>
        <w:rPr>
          <w:color w:val="4F81BC"/>
        </w:rPr>
        <w:t>T_PhoneticAlignment (Phonetic Alignment</w:t>
      </w:r>
      <w:r>
        <w:rPr>
          <w:color w:val="4F81BC"/>
          <w:spacing w:val="2"/>
        </w:rPr>
        <w:t> </w:t>
      </w:r>
      <w:r>
        <w:rPr>
          <w:color w:val="4F81BC"/>
        </w:rPr>
        <w:t>Types)</w:t>
      </w:r>
    </w:p>
    <w:p>
      <w:pPr>
        <w:pStyle w:val="BodyText"/>
        <w:spacing w:line="276" w:lineRule="auto" w:before="124"/>
        <w:ind w:left="220" w:right="503"/>
      </w:pPr>
      <w:r>
        <w:rPr/>
        <w:t>Phonetic alignment settings. These specify how to align the phonetic text, which represent the sounds, above the base text or base word.</w:t>
      </w:r>
    </w:p>
    <w:p>
      <w:pPr>
        <w:pStyle w:val="BodyText"/>
        <w:spacing w:before="5"/>
        <w:rPr>
          <w:sz w:val="16"/>
        </w:rPr>
      </w:pPr>
    </w:p>
    <w:p>
      <w:pPr>
        <w:pStyle w:val="BodyText"/>
        <w:spacing w:line="489" w:lineRule="auto" w:before="1"/>
        <w:ind w:left="220" w:right="2804"/>
      </w:pPr>
      <w:r>
        <w:rPr/>
        <w:pict>
          <v:shape style="position:absolute;margin-left:48pt;margin-top:43.073654pt;width:516.35pt;height:82pt;mso-position-horizontal-relative:page;mso-position-vertical-relative:paragraph;z-index:25193472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center </w:t>
                        </w:r>
                        <w:r>
                          <w:rPr>
                            <w:sz w:val="22"/>
                          </w:rPr>
                          <w:t>(Center Alignment)</w:t>
                        </w:r>
                      </w:p>
                    </w:tc>
                    <w:tc>
                      <w:tcPr>
                        <w:tcW w:w="5156" w:type="dxa"/>
                      </w:tcPr>
                      <w:p>
                        <w:pPr>
                          <w:pStyle w:val="TableParagraph"/>
                          <w:ind w:right="400"/>
                          <w:rPr>
                            <w:sz w:val="22"/>
                          </w:rPr>
                        </w:pPr>
                        <w:r>
                          <w:rPr>
                            <w:sz w:val="22"/>
                          </w:rPr>
                          <w:t>Center the phonetic characters over the base word, per word.</w:t>
                        </w:r>
                      </w:p>
                    </w:tc>
                  </w:tr>
                  <w:tr>
                    <w:trPr>
                      <w:trHeight w:val="621" w:hRule="atLeast"/>
                    </w:trPr>
                    <w:tc>
                      <w:tcPr>
                        <w:tcW w:w="5156" w:type="dxa"/>
                      </w:tcPr>
                      <w:p>
                        <w:pPr>
                          <w:pStyle w:val="TableParagraph"/>
                          <w:rPr>
                            <w:sz w:val="22"/>
                          </w:rPr>
                        </w:pPr>
                        <w:r>
                          <w:rPr>
                            <w:rFonts w:ascii="Cambria"/>
                            <w:sz w:val="22"/>
                          </w:rPr>
                          <w:t>distributed </w:t>
                        </w:r>
                        <w:r>
                          <w:rPr>
                            <w:sz w:val="22"/>
                          </w:rPr>
                          <w:t>(Distributed)</w:t>
                        </w:r>
                      </w:p>
                    </w:tc>
                    <w:tc>
                      <w:tcPr>
                        <w:tcW w:w="5156" w:type="dxa"/>
                      </w:tcPr>
                      <w:p>
                        <w:pPr>
                          <w:pStyle w:val="TableParagraph"/>
                          <w:spacing w:line="237" w:lineRule="auto" w:before="42"/>
                          <w:ind w:right="97"/>
                          <w:rPr>
                            <w:sz w:val="22"/>
                          </w:rPr>
                        </w:pPr>
                        <w:r>
                          <w:rPr>
                            <w:sz w:val="22"/>
                          </w:rPr>
                          <w:t>Each phonetic character is distributed above each base word character, per word.</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left </w:t>
            </w:r>
            <w:r>
              <w:rPr>
                <w:sz w:val="22"/>
              </w:rPr>
              <w:t>(Left Alignment)</w:t>
            </w:r>
          </w:p>
        </w:tc>
        <w:tc>
          <w:tcPr>
            <w:tcW w:w="5156" w:type="dxa"/>
          </w:tcPr>
          <w:p>
            <w:pPr>
              <w:pStyle w:val="TableParagraph"/>
              <w:ind w:right="144"/>
              <w:rPr>
                <w:sz w:val="22"/>
              </w:rPr>
            </w:pPr>
            <w:r>
              <w:rPr>
                <w:sz w:val="22"/>
              </w:rPr>
              <w:t>Each phonetic character is left justified with respect to the base text., per word.</w:t>
            </w:r>
          </w:p>
        </w:tc>
      </w:tr>
      <w:tr>
        <w:trPr>
          <w:trHeight w:val="623" w:hRule="atLeast"/>
        </w:trPr>
        <w:tc>
          <w:tcPr>
            <w:tcW w:w="5156" w:type="dxa"/>
          </w:tcPr>
          <w:p>
            <w:pPr>
              <w:pStyle w:val="TableParagraph"/>
              <w:rPr>
                <w:sz w:val="22"/>
              </w:rPr>
            </w:pPr>
            <w:r>
              <w:rPr>
                <w:rFonts w:ascii="Cambria"/>
                <w:sz w:val="22"/>
              </w:rPr>
              <w:t>noControl </w:t>
            </w:r>
            <w:r>
              <w:rPr>
                <w:sz w:val="22"/>
              </w:rPr>
              <w:t>(No Control)</w:t>
            </w:r>
          </w:p>
        </w:tc>
        <w:tc>
          <w:tcPr>
            <w:tcW w:w="5156" w:type="dxa"/>
          </w:tcPr>
          <w:p>
            <w:pPr>
              <w:pStyle w:val="TableParagraph"/>
              <w:ind w:right="792"/>
              <w:rPr>
                <w:sz w:val="22"/>
              </w:rPr>
            </w:pPr>
            <w:r>
              <w:rPr>
                <w:sz w:val="22"/>
              </w:rPr>
              <w:t>Each phonetic character is left justified without respect to the base text (so it is not per word).</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ST_PhoneticAlignment</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57 ST_PhoneticType (Phonetic Type)" w:id="2636"/>
      <w:bookmarkEnd w:id="2636"/>
      <w:r>
        <w:rPr>
          <w:b w:val="0"/>
        </w:rPr>
      </w:r>
      <w:bookmarkStart w:name="_bookmark879" w:id="2637"/>
      <w:bookmarkEnd w:id="2637"/>
      <w:r>
        <w:rPr>
          <w:b w:val="0"/>
        </w:rPr>
      </w:r>
      <w:bookmarkStart w:name="_bookmark879" w:id="2638"/>
      <w:bookmarkEnd w:id="2638"/>
      <w:r>
        <w:rPr>
          <w:color w:val="4F81BC"/>
        </w:rPr>
        <w:t>S</w:t>
      </w:r>
      <w:r>
        <w:rPr>
          <w:color w:val="4F81BC"/>
        </w:rPr>
        <w:t>T_PhoneticType (Phonetic Type)</w:t>
      </w:r>
    </w:p>
    <w:p>
      <w:pPr>
        <w:pStyle w:val="BodyText"/>
        <w:spacing w:line="456" w:lineRule="auto" w:before="127"/>
        <w:ind w:left="220" w:right="1729"/>
      </w:pPr>
      <w:r>
        <w:rPr/>
        <w:t>Represents the different East Asian character sets that shall be used for displaying phonetic hints. This simple type's contents are a restriction of the W3C XML Schema </w:t>
      </w:r>
      <w:r>
        <w:rPr>
          <w:rFonts w:ascii="Cambria"/>
        </w:rPr>
        <w:t>string </w:t>
      </w:r>
      <w:r>
        <w:rPr/>
        <w:t>datatype.</w:t>
      </w:r>
    </w:p>
    <w:p>
      <w:pPr>
        <w:pStyle w:val="BodyText"/>
        <w:spacing w:before="36"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fullwidthKatakana </w:t>
            </w:r>
            <w:r>
              <w:rPr>
                <w:sz w:val="22"/>
              </w:rPr>
              <w:t>(Full-Width Katakana)</w:t>
            </w:r>
          </w:p>
        </w:tc>
        <w:tc>
          <w:tcPr>
            <w:tcW w:w="5156" w:type="dxa"/>
          </w:tcPr>
          <w:p>
            <w:pPr>
              <w:pStyle w:val="TableParagraph"/>
              <w:rPr>
                <w:sz w:val="22"/>
              </w:rPr>
            </w:pPr>
            <w:r>
              <w:rPr>
                <w:sz w:val="22"/>
              </w:rPr>
              <w:t>Full-width Katakana is used</w:t>
            </w:r>
          </w:p>
        </w:tc>
      </w:tr>
      <w:tr>
        <w:trPr>
          <w:trHeight w:val="892" w:hRule="atLeast"/>
        </w:trPr>
        <w:tc>
          <w:tcPr>
            <w:tcW w:w="5156" w:type="dxa"/>
          </w:tcPr>
          <w:p>
            <w:pPr>
              <w:pStyle w:val="TableParagraph"/>
              <w:rPr>
                <w:sz w:val="22"/>
              </w:rPr>
            </w:pPr>
            <w:r>
              <w:rPr>
                <w:rFonts w:ascii="Cambria"/>
                <w:sz w:val="22"/>
              </w:rPr>
              <w:t>halfwidthKatakana </w:t>
            </w:r>
            <w:r>
              <w:rPr>
                <w:sz w:val="22"/>
              </w:rPr>
              <w:t>(Half-Width Katakana)</w:t>
            </w:r>
          </w:p>
        </w:tc>
        <w:tc>
          <w:tcPr>
            <w:tcW w:w="5156" w:type="dxa"/>
          </w:tcPr>
          <w:p>
            <w:pPr>
              <w:pStyle w:val="TableParagraph"/>
              <w:ind w:right="167"/>
              <w:rPr>
                <w:sz w:val="22"/>
              </w:rPr>
            </w:pPr>
            <w:r>
              <w:rPr>
                <w:sz w:val="22"/>
              </w:rPr>
              <w:t>Half-width Katakana is used, this is the same Katakana character set, just half as wide so it takes up less space.</w:t>
            </w:r>
          </w:p>
        </w:tc>
      </w:tr>
      <w:tr>
        <w:trPr>
          <w:trHeight w:val="354" w:hRule="atLeast"/>
        </w:trPr>
        <w:tc>
          <w:tcPr>
            <w:tcW w:w="5156" w:type="dxa"/>
          </w:tcPr>
          <w:p>
            <w:pPr>
              <w:pStyle w:val="TableParagraph"/>
              <w:rPr>
                <w:sz w:val="22"/>
              </w:rPr>
            </w:pPr>
            <w:r>
              <w:rPr>
                <w:rFonts w:ascii="Cambria"/>
                <w:sz w:val="22"/>
              </w:rPr>
              <w:t>Hiragana </w:t>
            </w:r>
            <w:r>
              <w:rPr>
                <w:sz w:val="22"/>
              </w:rPr>
              <w:t>(Hiragana)</w:t>
            </w:r>
          </w:p>
        </w:tc>
        <w:tc>
          <w:tcPr>
            <w:tcW w:w="5156" w:type="dxa"/>
          </w:tcPr>
          <w:p>
            <w:pPr>
              <w:pStyle w:val="TableParagraph"/>
              <w:rPr>
                <w:sz w:val="22"/>
              </w:rPr>
            </w:pPr>
            <w:r>
              <w:rPr>
                <w:sz w:val="22"/>
              </w:rPr>
              <w:t>Hiragana is used</w:t>
            </w:r>
          </w:p>
        </w:tc>
      </w:tr>
      <w:tr>
        <w:trPr>
          <w:trHeight w:val="890" w:hRule="atLeast"/>
        </w:trPr>
        <w:tc>
          <w:tcPr>
            <w:tcW w:w="5156" w:type="dxa"/>
          </w:tcPr>
          <w:p>
            <w:pPr>
              <w:pStyle w:val="TableParagraph"/>
              <w:rPr>
                <w:sz w:val="22"/>
              </w:rPr>
            </w:pPr>
            <w:r>
              <w:rPr>
                <w:rFonts w:ascii="Cambria"/>
                <w:sz w:val="22"/>
              </w:rPr>
              <w:t>noConversion </w:t>
            </w:r>
            <w:r>
              <w:rPr>
                <w:sz w:val="22"/>
              </w:rPr>
              <w:t>(No Conversion)</w:t>
            </w:r>
          </w:p>
        </w:tc>
        <w:tc>
          <w:tcPr>
            <w:tcW w:w="5156" w:type="dxa"/>
          </w:tcPr>
          <w:p>
            <w:pPr>
              <w:pStyle w:val="TableParagraph"/>
              <w:ind w:right="893"/>
              <w:rPr>
                <w:sz w:val="22"/>
              </w:rPr>
            </w:pPr>
            <w:r>
              <w:rPr>
                <w:sz w:val="22"/>
              </w:rPr>
              <w:t>Any characters are allowed. In this case the spreadsheet application shall leave the text as entered.</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ST_PhoneticType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58 ST_PivotAreaType (Rule Type)" w:id="2639"/>
      <w:bookmarkEnd w:id="2639"/>
      <w:r>
        <w:rPr>
          <w:b w:val="0"/>
        </w:rPr>
      </w:r>
      <w:bookmarkStart w:name="_bookmark880" w:id="2640"/>
      <w:bookmarkEnd w:id="2640"/>
      <w:r>
        <w:rPr>
          <w:b w:val="0"/>
        </w:rPr>
      </w:r>
      <w:bookmarkStart w:name="_bookmark880" w:id="2641"/>
      <w:bookmarkEnd w:id="2641"/>
      <w:r>
        <w:rPr>
          <w:color w:val="4F81BC"/>
        </w:rPr>
        <w:t>S</w:t>
      </w:r>
      <w:r>
        <w:rPr>
          <w:color w:val="4F81BC"/>
        </w:rPr>
        <w:t>T_PivotAreaType (Rule</w:t>
      </w:r>
      <w:r>
        <w:rPr>
          <w:color w:val="4F81BC"/>
          <w:spacing w:val="-18"/>
        </w:rPr>
        <w:t> </w:t>
      </w:r>
      <w:r>
        <w:rPr>
          <w:color w:val="4F81BC"/>
        </w:rPr>
        <w:t>Type)</w:t>
      </w:r>
    </w:p>
    <w:p>
      <w:pPr>
        <w:pStyle w:val="BodyText"/>
        <w:spacing w:line="472" w:lineRule="auto" w:before="123"/>
        <w:ind w:left="220" w:right="2804"/>
      </w:pPr>
      <w:r>
        <w:rPr/>
        <w:pict>
          <v:shape style="position:absolute;margin-left:48pt;margin-top:74.613655pt;width:516.35pt;height:91.7pt;mso-position-horizontal-relative:page;mso-position-vertical-relative:paragraph;z-index:2519357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all </w:t>
                        </w:r>
                        <w:r>
                          <w:rPr>
                            <w:sz w:val="22"/>
                          </w:rPr>
                          <w:t>(All)</w:t>
                        </w:r>
                      </w:p>
                    </w:tc>
                    <w:tc>
                      <w:tcPr>
                        <w:tcW w:w="5156" w:type="dxa"/>
                      </w:tcPr>
                      <w:p>
                        <w:pPr>
                          <w:pStyle w:val="TableParagraph"/>
                          <w:rPr>
                            <w:sz w:val="22"/>
                          </w:rPr>
                        </w:pPr>
                        <w:r>
                          <w:rPr>
                            <w:sz w:val="22"/>
                          </w:rPr>
                          <w:t>Refers to the whole PivotTable.</w:t>
                        </w:r>
                      </w:p>
                    </w:tc>
                  </w:tr>
                  <w:tr>
                    <w:trPr>
                      <w:trHeight w:val="354" w:hRule="atLeast"/>
                    </w:trPr>
                    <w:tc>
                      <w:tcPr>
                        <w:tcW w:w="5156" w:type="dxa"/>
                      </w:tcPr>
                      <w:p>
                        <w:pPr>
                          <w:pStyle w:val="TableParagraph"/>
                          <w:rPr>
                            <w:sz w:val="22"/>
                          </w:rPr>
                        </w:pPr>
                        <w:r>
                          <w:rPr>
                            <w:rFonts w:ascii="Cambria"/>
                            <w:sz w:val="22"/>
                          </w:rPr>
                          <w:t>button </w:t>
                        </w:r>
                        <w:r>
                          <w:rPr>
                            <w:sz w:val="22"/>
                          </w:rPr>
                          <w:t>(Field Button)</w:t>
                        </w:r>
                      </w:p>
                    </w:tc>
                    <w:tc>
                      <w:tcPr>
                        <w:tcW w:w="5156" w:type="dxa"/>
                      </w:tcPr>
                      <w:p>
                        <w:pPr>
                          <w:pStyle w:val="TableParagraph"/>
                          <w:rPr>
                            <w:sz w:val="22"/>
                          </w:rPr>
                        </w:pPr>
                        <w:r>
                          <w:rPr>
                            <w:sz w:val="22"/>
                          </w:rPr>
                          <w:t>Refers to a field button.</w:t>
                        </w:r>
                      </w:p>
                    </w:tc>
                  </w:tr>
                  <w:tr>
                    <w:trPr>
                      <w:trHeight w:val="352" w:hRule="atLeast"/>
                    </w:trPr>
                    <w:tc>
                      <w:tcPr>
                        <w:tcW w:w="5156" w:type="dxa"/>
                      </w:tcPr>
                      <w:p>
                        <w:pPr>
                          <w:pStyle w:val="TableParagraph"/>
                          <w:rPr>
                            <w:sz w:val="22"/>
                          </w:rPr>
                        </w:pPr>
                        <w:r>
                          <w:rPr>
                            <w:rFonts w:ascii="Cambria"/>
                            <w:sz w:val="22"/>
                          </w:rPr>
                          <w:t>data </w:t>
                        </w:r>
                        <w:r>
                          <w:rPr>
                            <w:sz w:val="22"/>
                          </w:rPr>
                          <w:t>(Data)</w:t>
                        </w:r>
                      </w:p>
                    </w:tc>
                    <w:tc>
                      <w:tcPr>
                        <w:tcW w:w="5156" w:type="dxa"/>
                      </w:tcPr>
                      <w:p>
                        <w:pPr>
                          <w:pStyle w:val="TableParagraph"/>
                          <w:rPr>
                            <w:sz w:val="22"/>
                          </w:rPr>
                        </w:pPr>
                        <w:r>
                          <w:rPr>
                            <w:sz w:val="22"/>
                          </w:rPr>
                          <w:t>Refers to something in the data area.</w:t>
                        </w:r>
                      </w:p>
                    </w:tc>
                  </w:tr>
                  <w:tr>
                    <w:trPr>
                      <w:trHeight w:val="357" w:hRule="atLeast"/>
                    </w:trPr>
                    <w:tc>
                      <w:tcPr>
                        <w:tcW w:w="5156" w:type="dxa"/>
                      </w:tcPr>
                      <w:p>
                        <w:pPr>
                          <w:pStyle w:val="TableParagraph"/>
                          <w:spacing w:before="42"/>
                          <w:rPr>
                            <w:sz w:val="22"/>
                          </w:rPr>
                        </w:pPr>
                        <w:r>
                          <w:rPr>
                            <w:rFonts w:ascii="Cambria"/>
                            <w:sz w:val="22"/>
                          </w:rPr>
                          <w:t>none </w:t>
                        </w:r>
                        <w:r>
                          <w:rPr>
                            <w:sz w:val="22"/>
                          </w:rPr>
                          <w:t>(None)</w:t>
                        </w:r>
                      </w:p>
                    </w:tc>
                    <w:tc>
                      <w:tcPr>
                        <w:tcW w:w="5156" w:type="dxa"/>
                      </w:tcPr>
                      <w:p>
                        <w:pPr>
                          <w:pStyle w:val="TableParagraph"/>
                          <w:spacing w:before="42"/>
                          <w:rPr>
                            <w:sz w:val="22"/>
                          </w:rPr>
                        </w:pPr>
                        <w:r>
                          <w:rPr>
                            <w:sz w:val="22"/>
                          </w:rPr>
                          <w:t>Refers to no Pivot area.</w:t>
                        </w:r>
                      </w:p>
                    </w:tc>
                  </w:tr>
                </w:tbl>
                <w:p>
                  <w:pPr>
                    <w:pStyle w:val="BodyText"/>
                  </w:pPr>
                </w:p>
              </w:txbxContent>
            </v:textbox>
            <w10:wrap type="none"/>
          </v:shape>
        </w:pict>
      </w:r>
      <w:r>
        <w:rPr/>
        <w:t>Indicates the type of rule being used to describe an area or aspect of the PivotTable. This simple type's contents are a restriction of the W3C XML Schema </w:t>
      </w:r>
      <w:r>
        <w:rPr>
          <w:rFonts w:ascii="Cambria"/>
        </w:rPr>
        <w:t>string </w:t>
      </w:r>
      <w:r>
        <w:rPr/>
        <w:t>datatype. This simple type is restricted to the values listed in the following</w:t>
      </w:r>
      <w:r>
        <w:rPr>
          <w:spacing w:val="-17"/>
        </w:rPr>
        <w:t> </w:t>
      </w:r>
      <w:r>
        <w:rPr/>
        <w:t>table:</w:t>
      </w:r>
    </w:p>
    <w:p>
      <w:pPr>
        <w:spacing w:after="0" w:line="472"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normal </w:t>
            </w:r>
            <w:r>
              <w:rPr>
                <w:sz w:val="22"/>
              </w:rPr>
              <w:t>(Normal)</w:t>
            </w:r>
          </w:p>
        </w:tc>
        <w:tc>
          <w:tcPr>
            <w:tcW w:w="5156" w:type="dxa"/>
          </w:tcPr>
          <w:p>
            <w:pPr>
              <w:pStyle w:val="TableParagraph"/>
              <w:rPr>
                <w:sz w:val="22"/>
              </w:rPr>
            </w:pPr>
            <w:r>
              <w:rPr>
                <w:sz w:val="22"/>
              </w:rPr>
              <w:t>Refers to a header or item.</w:t>
            </w:r>
          </w:p>
        </w:tc>
      </w:tr>
      <w:tr>
        <w:trPr>
          <w:trHeight w:val="890" w:hRule="atLeast"/>
        </w:trPr>
        <w:tc>
          <w:tcPr>
            <w:tcW w:w="5156" w:type="dxa"/>
          </w:tcPr>
          <w:p>
            <w:pPr>
              <w:pStyle w:val="TableParagraph"/>
              <w:rPr>
                <w:sz w:val="22"/>
              </w:rPr>
            </w:pPr>
            <w:r>
              <w:rPr>
                <w:rFonts w:ascii="Cambria"/>
                <w:sz w:val="22"/>
              </w:rPr>
              <w:t>origin </w:t>
            </w:r>
            <w:r>
              <w:rPr>
                <w:sz w:val="22"/>
              </w:rPr>
              <w:t>(Origin)</w:t>
            </w:r>
          </w:p>
        </w:tc>
        <w:tc>
          <w:tcPr>
            <w:tcW w:w="5156" w:type="dxa"/>
          </w:tcPr>
          <w:p>
            <w:pPr>
              <w:pStyle w:val="TableParagraph"/>
              <w:ind w:right="465"/>
              <w:rPr>
                <w:sz w:val="22"/>
              </w:rPr>
            </w:pPr>
            <w:r>
              <w:rPr>
                <w:sz w:val="22"/>
              </w:rPr>
              <w:t>Refers to the blank cells at the top-left of the PivotTable (top-left to LTR sheets, top-right for RTL sheets).</w:t>
            </w:r>
          </w:p>
        </w:tc>
      </w:tr>
      <w:tr>
        <w:trPr>
          <w:trHeight w:val="892" w:hRule="atLeast"/>
        </w:trPr>
        <w:tc>
          <w:tcPr>
            <w:tcW w:w="5156" w:type="dxa"/>
          </w:tcPr>
          <w:p>
            <w:pPr>
              <w:pStyle w:val="TableParagraph"/>
              <w:rPr>
                <w:sz w:val="22"/>
              </w:rPr>
            </w:pPr>
            <w:r>
              <w:rPr>
                <w:rFonts w:ascii="Cambria"/>
                <w:sz w:val="22"/>
              </w:rPr>
              <w:t>topEnd </w:t>
            </w:r>
            <w:r>
              <w:rPr>
                <w:sz w:val="22"/>
              </w:rPr>
              <w:t>(Top End)</w:t>
            </w:r>
          </w:p>
        </w:tc>
        <w:tc>
          <w:tcPr>
            <w:tcW w:w="5156" w:type="dxa"/>
          </w:tcPr>
          <w:p>
            <w:pPr>
              <w:pStyle w:val="TableParagraph"/>
              <w:ind w:right="333"/>
              <w:jc w:val="both"/>
              <w:rPr>
                <w:sz w:val="22"/>
              </w:rPr>
            </w:pPr>
            <w:r>
              <w:rPr>
                <w:sz w:val="22"/>
              </w:rPr>
              <w:t>Refers to the blank cells at the top of the PivotTable, on its trailing edge (top-right for LTR sheets, top-left for RTL sheets).</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ST_PivotAreaType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10"/>
        <w:rPr>
          <w:sz w:val="19"/>
        </w:rPr>
      </w:pPr>
    </w:p>
    <w:p>
      <w:pPr>
        <w:pStyle w:val="Heading2"/>
        <w:numPr>
          <w:ilvl w:val="2"/>
          <w:numId w:val="17"/>
        </w:numPr>
        <w:tabs>
          <w:tab w:pos="1445" w:val="left" w:leader="none"/>
        </w:tabs>
        <w:spacing w:line="240" w:lineRule="auto" w:before="0" w:after="0"/>
        <w:ind w:left="1444" w:right="0" w:hanging="1225"/>
        <w:jc w:val="left"/>
      </w:pPr>
      <w:bookmarkStart w:name="18.18.59 ST_PivotFilterType (Pivot Filte" w:id="2642"/>
      <w:bookmarkEnd w:id="2642"/>
      <w:r>
        <w:rPr>
          <w:b w:val="0"/>
        </w:rPr>
      </w:r>
      <w:bookmarkStart w:name="_bookmark881" w:id="2643"/>
      <w:bookmarkEnd w:id="2643"/>
      <w:r>
        <w:rPr>
          <w:b w:val="0"/>
        </w:rPr>
      </w:r>
      <w:bookmarkStart w:name="_bookmark881" w:id="2644"/>
      <w:bookmarkEnd w:id="2644"/>
      <w:r>
        <w:rPr>
          <w:color w:val="4F81BC"/>
        </w:rPr>
        <w:t>S</w:t>
      </w:r>
      <w:r>
        <w:rPr>
          <w:color w:val="4F81BC"/>
        </w:rPr>
        <w:t>T_PivotFilterType (Pivot Filter</w:t>
      </w:r>
      <w:r>
        <w:rPr>
          <w:color w:val="4F81BC"/>
          <w:spacing w:val="1"/>
        </w:rPr>
        <w:t> </w:t>
      </w:r>
      <w:r>
        <w:rPr>
          <w:color w:val="4F81BC"/>
        </w:rPr>
        <w:t>Types)</w:t>
      </w:r>
    </w:p>
    <w:p>
      <w:pPr>
        <w:pStyle w:val="BodyText"/>
        <w:spacing w:before="124"/>
        <w:ind w:left="220"/>
      </w:pPr>
      <w:r>
        <w:rPr/>
        <w:t>This simple type defines filters that can be applied to PivotTables.</w:t>
      </w:r>
    </w:p>
    <w:p>
      <w:pPr>
        <w:pStyle w:val="BodyText"/>
        <w:spacing w:before="8"/>
        <w:rPr>
          <w:sz w:val="19"/>
        </w:rPr>
      </w:pPr>
    </w:p>
    <w:p>
      <w:pPr>
        <w:pStyle w:val="BodyText"/>
        <w:spacing w:line="489" w:lineRule="auto"/>
        <w:ind w:left="220" w:right="2804"/>
      </w:pPr>
      <w:r>
        <w:rPr/>
        <w:pict>
          <v:shape style="position:absolute;margin-left:48pt;margin-top:42.993641pt;width:516.35pt;height:359.35pt;mso-position-horizontal-relative:page;mso-position-vertical-relative:paragraph;z-index:2519367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captionBeginsWith </w:t>
                        </w:r>
                        <w:r>
                          <w:rPr>
                            <w:sz w:val="22"/>
                          </w:rPr>
                          <w:t>(Caption Begins With)</w:t>
                        </w:r>
                      </w:p>
                    </w:tc>
                    <w:tc>
                      <w:tcPr>
                        <w:tcW w:w="5156" w:type="dxa"/>
                      </w:tcPr>
                      <w:p>
                        <w:pPr>
                          <w:pStyle w:val="TableParagraph"/>
                          <w:rPr>
                            <w:sz w:val="22"/>
                          </w:rPr>
                        </w:pPr>
                        <w:r>
                          <w:rPr>
                            <w:sz w:val="22"/>
                          </w:rPr>
                          <w:t>Indicates the "begins with" filter for field captions.</w:t>
                        </w:r>
                      </w:p>
                    </w:tc>
                  </w:tr>
                  <w:tr>
                    <w:trPr>
                      <w:trHeight w:val="352" w:hRule="atLeast"/>
                    </w:trPr>
                    <w:tc>
                      <w:tcPr>
                        <w:tcW w:w="5156" w:type="dxa"/>
                      </w:tcPr>
                      <w:p>
                        <w:pPr>
                          <w:pStyle w:val="TableParagraph"/>
                          <w:rPr>
                            <w:sz w:val="22"/>
                          </w:rPr>
                        </w:pPr>
                        <w:r>
                          <w:rPr>
                            <w:rFonts w:ascii="Cambria"/>
                            <w:sz w:val="22"/>
                          </w:rPr>
                          <w:t>captionBetween </w:t>
                        </w:r>
                        <w:r>
                          <w:rPr>
                            <w:sz w:val="22"/>
                          </w:rPr>
                          <w:t>(Caption Is Between)</w:t>
                        </w:r>
                      </w:p>
                    </w:tc>
                    <w:tc>
                      <w:tcPr>
                        <w:tcW w:w="5156" w:type="dxa"/>
                      </w:tcPr>
                      <w:p>
                        <w:pPr>
                          <w:pStyle w:val="TableParagraph"/>
                          <w:rPr>
                            <w:sz w:val="22"/>
                          </w:rPr>
                        </w:pPr>
                        <w:r>
                          <w:rPr>
                            <w:sz w:val="22"/>
                          </w:rPr>
                          <w:t>Indicates the "is between" filter for field captions.</w:t>
                        </w:r>
                      </w:p>
                    </w:tc>
                  </w:tr>
                  <w:tr>
                    <w:trPr>
                      <w:trHeight w:val="354" w:hRule="atLeast"/>
                    </w:trPr>
                    <w:tc>
                      <w:tcPr>
                        <w:tcW w:w="5156" w:type="dxa"/>
                      </w:tcPr>
                      <w:p>
                        <w:pPr>
                          <w:pStyle w:val="TableParagraph"/>
                          <w:spacing w:before="42"/>
                          <w:rPr>
                            <w:sz w:val="22"/>
                          </w:rPr>
                        </w:pPr>
                        <w:r>
                          <w:rPr>
                            <w:rFonts w:ascii="Cambria"/>
                            <w:sz w:val="22"/>
                          </w:rPr>
                          <w:t>captionContains </w:t>
                        </w:r>
                        <w:r>
                          <w:rPr>
                            <w:sz w:val="22"/>
                          </w:rPr>
                          <w:t>(Caption Contains)</w:t>
                        </w:r>
                      </w:p>
                    </w:tc>
                    <w:tc>
                      <w:tcPr>
                        <w:tcW w:w="5156" w:type="dxa"/>
                      </w:tcPr>
                      <w:p>
                        <w:pPr>
                          <w:pStyle w:val="TableParagraph"/>
                          <w:spacing w:before="42"/>
                          <w:rPr>
                            <w:sz w:val="22"/>
                          </w:rPr>
                        </w:pPr>
                        <w:r>
                          <w:rPr>
                            <w:sz w:val="22"/>
                          </w:rPr>
                          <w:t>Indicates the "contains" filter for field captions.</w:t>
                        </w:r>
                      </w:p>
                    </w:tc>
                  </w:tr>
                  <w:tr>
                    <w:trPr>
                      <w:trHeight w:val="355" w:hRule="atLeast"/>
                    </w:trPr>
                    <w:tc>
                      <w:tcPr>
                        <w:tcW w:w="5156" w:type="dxa"/>
                      </w:tcPr>
                      <w:p>
                        <w:pPr>
                          <w:pStyle w:val="TableParagraph"/>
                          <w:rPr>
                            <w:sz w:val="22"/>
                          </w:rPr>
                        </w:pPr>
                        <w:r>
                          <w:rPr>
                            <w:rFonts w:ascii="Cambria"/>
                            <w:sz w:val="22"/>
                          </w:rPr>
                          <w:t>captionEndsWith </w:t>
                        </w:r>
                        <w:r>
                          <w:rPr>
                            <w:sz w:val="22"/>
                          </w:rPr>
                          <w:t>(Caption Ends With)</w:t>
                        </w:r>
                      </w:p>
                    </w:tc>
                    <w:tc>
                      <w:tcPr>
                        <w:tcW w:w="5156" w:type="dxa"/>
                      </w:tcPr>
                      <w:p>
                        <w:pPr>
                          <w:pStyle w:val="TableParagraph"/>
                          <w:rPr>
                            <w:sz w:val="22"/>
                          </w:rPr>
                        </w:pPr>
                        <w:r>
                          <w:rPr>
                            <w:sz w:val="22"/>
                          </w:rPr>
                          <w:t>Indicates the "ends with" filter for field captions.</w:t>
                        </w:r>
                      </w:p>
                    </w:tc>
                  </w:tr>
                  <w:tr>
                    <w:trPr>
                      <w:trHeight w:val="354" w:hRule="atLeast"/>
                    </w:trPr>
                    <w:tc>
                      <w:tcPr>
                        <w:tcW w:w="5156" w:type="dxa"/>
                      </w:tcPr>
                      <w:p>
                        <w:pPr>
                          <w:pStyle w:val="TableParagraph"/>
                          <w:rPr>
                            <w:sz w:val="22"/>
                          </w:rPr>
                        </w:pPr>
                        <w:r>
                          <w:rPr>
                            <w:rFonts w:ascii="Cambria"/>
                            <w:sz w:val="22"/>
                          </w:rPr>
                          <w:t>captionEqual </w:t>
                        </w:r>
                        <w:r>
                          <w:rPr>
                            <w:sz w:val="22"/>
                          </w:rPr>
                          <w:t>(Caption Equals)</w:t>
                        </w:r>
                      </w:p>
                    </w:tc>
                    <w:tc>
                      <w:tcPr>
                        <w:tcW w:w="5156" w:type="dxa"/>
                      </w:tcPr>
                      <w:p>
                        <w:pPr>
                          <w:pStyle w:val="TableParagraph"/>
                          <w:rPr>
                            <w:sz w:val="22"/>
                          </w:rPr>
                        </w:pPr>
                        <w:r>
                          <w:rPr>
                            <w:sz w:val="22"/>
                          </w:rPr>
                          <w:t>Indicates the "equal" filter for field captions.</w:t>
                        </w:r>
                      </w:p>
                    </w:tc>
                  </w:tr>
                  <w:tr>
                    <w:trPr>
                      <w:trHeight w:val="354" w:hRule="atLeast"/>
                    </w:trPr>
                    <w:tc>
                      <w:tcPr>
                        <w:tcW w:w="5156" w:type="dxa"/>
                      </w:tcPr>
                      <w:p>
                        <w:pPr>
                          <w:pStyle w:val="TableParagraph"/>
                          <w:rPr>
                            <w:sz w:val="22"/>
                          </w:rPr>
                        </w:pPr>
                        <w:r>
                          <w:rPr>
                            <w:rFonts w:ascii="Cambria"/>
                            <w:sz w:val="22"/>
                          </w:rPr>
                          <w:t>captionGreaterThan </w:t>
                        </w:r>
                        <w:r>
                          <w:rPr>
                            <w:sz w:val="22"/>
                          </w:rPr>
                          <w:t>(Caption Is Greater Than)</w:t>
                        </w:r>
                      </w:p>
                    </w:tc>
                    <w:tc>
                      <w:tcPr>
                        <w:tcW w:w="5156" w:type="dxa"/>
                      </w:tcPr>
                      <w:p>
                        <w:pPr>
                          <w:pStyle w:val="TableParagraph"/>
                          <w:rPr>
                            <w:sz w:val="22"/>
                          </w:rPr>
                        </w:pPr>
                        <w:r>
                          <w:rPr>
                            <w:sz w:val="22"/>
                          </w:rPr>
                          <w:t>Indicates the "is greater than" filter for field captions.</w:t>
                        </w:r>
                      </w:p>
                    </w:tc>
                  </w:tr>
                  <w:tr>
                    <w:trPr>
                      <w:trHeight w:val="623" w:hRule="atLeast"/>
                    </w:trPr>
                    <w:tc>
                      <w:tcPr>
                        <w:tcW w:w="5156" w:type="dxa"/>
                      </w:tcPr>
                      <w:p>
                        <w:pPr>
                          <w:pStyle w:val="TableParagraph"/>
                          <w:ind w:right="110"/>
                          <w:rPr>
                            <w:sz w:val="22"/>
                          </w:rPr>
                        </w:pPr>
                        <w:r>
                          <w:rPr>
                            <w:rFonts w:ascii="Cambria"/>
                            <w:sz w:val="22"/>
                          </w:rPr>
                          <w:t>captionGreaterThanOrEqual </w:t>
                        </w:r>
                        <w:r>
                          <w:rPr>
                            <w:sz w:val="22"/>
                          </w:rPr>
                          <w:t>(Caption Is Greater Than Or Equal To)</w:t>
                        </w:r>
                      </w:p>
                    </w:tc>
                    <w:tc>
                      <w:tcPr>
                        <w:tcW w:w="5156" w:type="dxa"/>
                      </w:tcPr>
                      <w:p>
                        <w:pPr>
                          <w:pStyle w:val="TableParagraph"/>
                          <w:ind w:right="515"/>
                          <w:rPr>
                            <w:sz w:val="22"/>
                          </w:rPr>
                        </w:pPr>
                        <w:r>
                          <w:rPr>
                            <w:sz w:val="22"/>
                          </w:rPr>
                          <w:t>Indicates the "is greater than or equal to" filter for field captions.</w:t>
                        </w:r>
                      </w:p>
                    </w:tc>
                  </w:tr>
                  <w:tr>
                    <w:trPr>
                      <w:trHeight w:val="354" w:hRule="atLeast"/>
                    </w:trPr>
                    <w:tc>
                      <w:tcPr>
                        <w:tcW w:w="5156" w:type="dxa"/>
                      </w:tcPr>
                      <w:p>
                        <w:pPr>
                          <w:pStyle w:val="TableParagraph"/>
                          <w:rPr>
                            <w:sz w:val="22"/>
                          </w:rPr>
                        </w:pPr>
                        <w:r>
                          <w:rPr>
                            <w:rFonts w:ascii="Cambria"/>
                            <w:sz w:val="22"/>
                          </w:rPr>
                          <w:t>captionLessThan </w:t>
                        </w:r>
                        <w:r>
                          <w:rPr>
                            <w:sz w:val="22"/>
                          </w:rPr>
                          <w:t>(Caption Is Less Than)</w:t>
                        </w:r>
                      </w:p>
                    </w:tc>
                    <w:tc>
                      <w:tcPr>
                        <w:tcW w:w="5156" w:type="dxa"/>
                      </w:tcPr>
                      <w:p>
                        <w:pPr>
                          <w:pStyle w:val="TableParagraph"/>
                          <w:rPr>
                            <w:sz w:val="22"/>
                          </w:rPr>
                        </w:pPr>
                        <w:r>
                          <w:rPr>
                            <w:sz w:val="22"/>
                          </w:rPr>
                          <w:t>Indicates the "is less than" filter for field captions.</w:t>
                        </w:r>
                      </w:p>
                    </w:tc>
                  </w:tr>
                  <w:tr>
                    <w:trPr>
                      <w:trHeight w:val="621" w:hRule="atLeast"/>
                    </w:trPr>
                    <w:tc>
                      <w:tcPr>
                        <w:tcW w:w="5156" w:type="dxa"/>
                      </w:tcPr>
                      <w:p>
                        <w:pPr>
                          <w:pStyle w:val="TableParagraph"/>
                          <w:ind w:right="452"/>
                          <w:rPr>
                            <w:sz w:val="22"/>
                          </w:rPr>
                        </w:pPr>
                        <w:r>
                          <w:rPr>
                            <w:rFonts w:ascii="Cambria"/>
                            <w:sz w:val="22"/>
                          </w:rPr>
                          <w:t>captionLessThanOrEqual </w:t>
                        </w:r>
                        <w:r>
                          <w:rPr>
                            <w:sz w:val="22"/>
                          </w:rPr>
                          <w:t>(Caption Is Less Than Or Equal To)</w:t>
                        </w:r>
                      </w:p>
                    </w:tc>
                    <w:tc>
                      <w:tcPr>
                        <w:tcW w:w="5156" w:type="dxa"/>
                      </w:tcPr>
                      <w:p>
                        <w:pPr>
                          <w:pStyle w:val="TableParagraph"/>
                          <w:ind w:right="395"/>
                          <w:rPr>
                            <w:sz w:val="22"/>
                          </w:rPr>
                        </w:pPr>
                        <w:r>
                          <w:rPr>
                            <w:sz w:val="22"/>
                          </w:rPr>
                          <w:t>Indicates the "is less than or equal to" filter for field captions.</w:t>
                        </w:r>
                      </w:p>
                    </w:tc>
                  </w:tr>
                  <w:tr>
                    <w:trPr>
                      <w:trHeight w:val="623" w:hRule="atLeast"/>
                    </w:trPr>
                    <w:tc>
                      <w:tcPr>
                        <w:tcW w:w="5156" w:type="dxa"/>
                      </w:tcPr>
                      <w:p>
                        <w:pPr>
                          <w:pStyle w:val="TableParagraph"/>
                          <w:spacing w:before="42"/>
                          <w:rPr>
                            <w:sz w:val="22"/>
                          </w:rPr>
                        </w:pPr>
                        <w:r>
                          <w:rPr>
                            <w:rFonts w:ascii="Cambria"/>
                            <w:sz w:val="22"/>
                          </w:rPr>
                          <w:t>captionNotBeginsWith </w:t>
                        </w:r>
                        <w:r>
                          <w:rPr>
                            <w:sz w:val="22"/>
                          </w:rPr>
                          <w:t>(Caption Does Not Begin With)</w:t>
                        </w:r>
                      </w:p>
                    </w:tc>
                    <w:tc>
                      <w:tcPr>
                        <w:tcW w:w="5156" w:type="dxa"/>
                      </w:tcPr>
                      <w:p>
                        <w:pPr>
                          <w:pStyle w:val="TableParagraph"/>
                          <w:spacing w:line="237" w:lineRule="auto" w:before="44"/>
                          <w:ind w:right="628"/>
                          <w:rPr>
                            <w:sz w:val="22"/>
                          </w:rPr>
                        </w:pPr>
                        <w:r>
                          <w:rPr>
                            <w:sz w:val="22"/>
                          </w:rPr>
                          <w:t>Indicates the "does not begin with" filter for field captions.</w:t>
                        </w:r>
                      </w:p>
                    </w:tc>
                  </w:tr>
                  <w:tr>
                    <w:trPr>
                      <w:trHeight w:val="355" w:hRule="atLeast"/>
                    </w:trPr>
                    <w:tc>
                      <w:tcPr>
                        <w:tcW w:w="5156" w:type="dxa"/>
                      </w:tcPr>
                      <w:p>
                        <w:pPr>
                          <w:pStyle w:val="TableParagraph"/>
                          <w:rPr>
                            <w:sz w:val="22"/>
                          </w:rPr>
                        </w:pPr>
                        <w:r>
                          <w:rPr>
                            <w:rFonts w:ascii="Cambria"/>
                            <w:sz w:val="22"/>
                          </w:rPr>
                          <w:t>captionNotBetween </w:t>
                        </w:r>
                        <w:r>
                          <w:rPr>
                            <w:sz w:val="22"/>
                          </w:rPr>
                          <w:t>(Caption Is Not Between)</w:t>
                        </w:r>
                      </w:p>
                    </w:tc>
                    <w:tc>
                      <w:tcPr>
                        <w:tcW w:w="5156" w:type="dxa"/>
                      </w:tcPr>
                      <w:p>
                        <w:pPr>
                          <w:pStyle w:val="TableParagraph"/>
                          <w:rPr>
                            <w:sz w:val="22"/>
                          </w:rPr>
                        </w:pPr>
                        <w:r>
                          <w:rPr>
                            <w:sz w:val="22"/>
                          </w:rPr>
                          <w:t>Indicates the "is not between" filter for field captions.</w:t>
                        </w:r>
                      </w:p>
                    </w:tc>
                  </w:tr>
                  <w:tr>
                    <w:trPr>
                      <w:trHeight w:val="623" w:hRule="atLeast"/>
                    </w:trPr>
                    <w:tc>
                      <w:tcPr>
                        <w:tcW w:w="5156" w:type="dxa"/>
                      </w:tcPr>
                      <w:p>
                        <w:pPr>
                          <w:pStyle w:val="TableParagraph"/>
                          <w:rPr>
                            <w:sz w:val="22"/>
                          </w:rPr>
                        </w:pPr>
                        <w:r>
                          <w:rPr>
                            <w:rFonts w:ascii="Cambria"/>
                            <w:sz w:val="22"/>
                          </w:rPr>
                          <w:t>captionNotContains </w:t>
                        </w:r>
                        <w:r>
                          <w:rPr>
                            <w:sz w:val="22"/>
                          </w:rPr>
                          <w:t>(Caption Does Not Contain)</w:t>
                        </w:r>
                      </w:p>
                    </w:tc>
                    <w:tc>
                      <w:tcPr>
                        <w:tcW w:w="5156" w:type="dxa"/>
                      </w:tcPr>
                      <w:p>
                        <w:pPr>
                          <w:pStyle w:val="TableParagraph"/>
                          <w:ind w:right="899"/>
                          <w:rPr>
                            <w:sz w:val="22"/>
                          </w:rPr>
                        </w:pPr>
                        <w:r>
                          <w:rPr>
                            <w:sz w:val="22"/>
                          </w:rPr>
                          <w:t>Indicates the "does not contain" filter for field captions.</w:t>
                        </w:r>
                      </w:p>
                    </w:tc>
                  </w:tr>
                  <w:tr>
                    <w:trPr>
                      <w:trHeight w:val="623" w:hRule="atLeast"/>
                    </w:trPr>
                    <w:tc>
                      <w:tcPr>
                        <w:tcW w:w="5156" w:type="dxa"/>
                      </w:tcPr>
                      <w:p>
                        <w:pPr>
                          <w:pStyle w:val="TableParagraph"/>
                          <w:rPr>
                            <w:sz w:val="22"/>
                          </w:rPr>
                        </w:pPr>
                        <w:r>
                          <w:rPr>
                            <w:rFonts w:ascii="Cambria"/>
                            <w:sz w:val="22"/>
                          </w:rPr>
                          <w:t>captionNotEndsWith </w:t>
                        </w:r>
                        <w:r>
                          <w:rPr>
                            <w:sz w:val="22"/>
                          </w:rPr>
                          <w:t>(Caption Does Not End With)</w:t>
                        </w:r>
                      </w:p>
                    </w:tc>
                    <w:tc>
                      <w:tcPr>
                        <w:tcW w:w="5156" w:type="dxa"/>
                      </w:tcPr>
                      <w:p>
                        <w:pPr>
                          <w:pStyle w:val="TableParagraph"/>
                          <w:ind w:right="782"/>
                          <w:rPr>
                            <w:sz w:val="22"/>
                          </w:rPr>
                        </w:pPr>
                        <w:r>
                          <w:rPr>
                            <w:sz w:val="22"/>
                          </w:rPr>
                          <w:t>Indicates the "does not end with" filter for field captions.</w:t>
                        </w:r>
                      </w:p>
                    </w:tc>
                  </w:tr>
                  <w:tr>
                    <w:trPr>
                      <w:trHeight w:val="354" w:hRule="atLeast"/>
                    </w:trPr>
                    <w:tc>
                      <w:tcPr>
                        <w:tcW w:w="5156" w:type="dxa"/>
                      </w:tcPr>
                      <w:p>
                        <w:pPr>
                          <w:pStyle w:val="TableParagraph"/>
                          <w:rPr>
                            <w:sz w:val="22"/>
                          </w:rPr>
                        </w:pPr>
                        <w:r>
                          <w:rPr>
                            <w:rFonts w:ascii="Cambria"/>
                            <w:sz w:val="22"/>
                          </w:rPr>
                          <w:t>captionNotEqual </w:t>
                        </w:r>
                        <w:r>
                          <w:rPr>
                            <w:sz w:val="22"/>
                          </w:rPr>
                          <w:t>(Caption Not Equal)</w:t>
                        </w:r>
                      </w:p>
                    </w:tc>
                    <w:tc>
                      <w:tcPr>
                        <w:tcW w:w="5156" w:type="dxa"/>
                      </w:tcPr>
                      <w:p>
                        <w:pPr>
                          <w:pStyle w:val="TableParagraph"/>
                          <w:rPr>
                            <w:sz w:val="22"/>
                          </w:rPr>
                        </w:pPr>
                        <w:r>
                          <w:rPr>
                            <w:sz w:val="22"/>
                          </w:rPr>
                          <w:t>Indicates the "not equal" filter for field captions.</w:t>
                        </w:r>
                      </w:p>
                    </w:tc>
                  </w:tr>
                  <w:tr>
                    <w:trPr>
                      <w:trHeight w:val="354" w:hRule="atLeast"/>
                    </w:trPr>
                    <w:tc>
                      <w:tcPr>
                        <w:tcW w:w="5156" w:type="dxa"/>
                      </w:tcPr>
                      <w:p>
                        <w:pPr>
                          <w:pStyle w:val="TableParagraph"/>
                          <w:rPr>
                            <w:sz w:val="22"/>
                          </w:rPr>
                        </w:pPr>
                        <w:r>
                          <w:rPr>
                            <w:rFonts w:ascii="Cambria"/>
                            <w:sz w:val="22"/>
                          </w:rPr>
                          <w:t>count </w:t>
                        </w:r>
                        <w:r>
                          <w:rPr>
                            <w:sz w:val="22"/>
                          </w:rPr>
                          <w:t>(Count)</w:t>
                        </w:r>
                      </w:p>
                    </w:tc>
                    <w:tc>
                      <w:tcPr>
                        <w:tcW w:w="5156" w:type="dxa"/>
                      </w:tcPr>
                      <w:p>
                        <w:pPr>
                          <w:pStyle w:val="TableParagraph"/>
                          <w:rPr>
                            <w:sz w:val="22"/>
                          </w:rPr>
                        </w:pPr>
                        <w:r>
                          <w:rPr>
                            <w:sz w:val="22"/>
                          </w:rPr>
                          <w:t>Indicates the "count" filter.</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dateBetween </w:t>
            </w:r>
            <w:r>
              <w:rPr>
                <w:sz w:val="22"/>
              </w:rPr>
              <w:t>(Date Between)</w:t>
            </w:r>
          </w:p>
        </w:tc>
        <w:tc>
          <w:tcPr>
            <w:tcW w:w="5156" w:type="dxa"/>
          </w:tcPr>
          <w:p>
            <w:pPr>
              <w:pStyle w:val="TableParagraph"/>
              <w:rPr>
                <w:sz w:val="22"/>
              </w:rPr>
            </w:pPr>
            <w:r>
              <w:rPr>
                <w:sz w:val="22"/>
              </w:rPr>
              <w:t>Indicates the "between" filter for date values.</w:t>
            </w:r>
          </w:p>
        </w:tc>
      </w:tr>
      <w:tr>
        <w:trPr>
          <w:trHeight w:val="354" w:hRule="atLeast"/>
        </w:trPr>
        <w:tc>
          <w:tcPr>
            <w:tcW w:w="5156" w:type="dxa"/>
          </w:tcPr>
          <w:p>
            <w:pPr>
              <w:pStyle w:val="TableParagraph"/>
              <w:rPr>
                <w:sz w:val="22"/>
              </w:rPr>
            </w:pPr>
            <w:r>
              <w:rPr>
                <w:rFonts w:ascii="Cambria"/>
                <w:sz w:val="22"/>
              </w:rPr>
              <w:t>dateEqual </w:t>
            </w:r>
            <w:r>
              <w:rPr>
                <w:sz w:val="22"/>
              </w:rPr>
              <w:t>(Date Equals)</w:t>
            </w:r>
          </w:p>
        </w:tc>
        <w:tc>
          <w:tcPr>
            <w:tcW w:w="5156" w:type="dxa"/>
          </w:tcPr>
          <w:p>
            <w:pPr>
              <w:pStyle w:val="TableParagraph"/>
              <w:rPr>
                <w:sz w:val="22"/>
              </w:rPr>
            </w:pPr>
            <w:r>
              <w:rPr>
                <w:sz w:val="22"/>
              </w:rPr>
              <w:t>Indicates the "equals" filter for date values.</w:t>
            </w:r>
          </w:p>
        </w:tc>
      </w:tr>
      <w:tr>
        <w:trPr>
          <w:trHeight w:val="354" w:hRule="atLeast"/>
        </w:trPr>
        <w:tc>
          <w:tcPr>
            <w:tcW w:w="5156" w:type="dxa"/>
          </w:tcPr>
          <w:p>
            <w:pPr>
              <w:pStyle w:val="TableParagraph"/>
              <w:rPr>
                <w:sz w:val="22"/>
              </w:rPr>
            </w:pPr>
            <w:r>
              <w:rPr>
                <w:rFonts w:ascii="Cambria"/>
                <w:sz w:val="22"/>
              </w:rPr>
              <w:t>dateNewerThan </w:t>
            </w:r>
            <w:r>
              <w:rPr>
                <w:sz w:val="22"/>
              </w:rPr>
              <w:t>(Date Newer Than)</w:t>
            </w:r>
          </w:p>
        </w:tc>
        <w:tc>
          <w:tcPr>
            <w:tcW w:w="5156" w:type="dxa"/>
          </w:tcPr>
          <w:p>
            <w:pPr>
              <w:pStyle w:val="TableParagraph"/>
              <w:rPr>
                <w:sz w:val="22"/>
              </w:rPr>
            </w:pPr>
            <w:r>
              <w:rPr>
                <w:sz w:val="22"/>
              </w:rPr>
              <w:t>Indicates the "newer than" filter for date values.</w:t>
            </w:r>
          </w:p>
        </w:tc>
      </w:tr>
      <w:tr>
        <w:trPr>
          <w:trHeight w:val="621" w:hRule="atLeast"/>
        </w:trPr>
        <w:tc>
          <w:tcPr>
            <w:tcW w:w="5156" w:type="dxa"/>
          </w:tcPr>
          <w:p>
            <w:pPr>
              <w:pStyle w:val="TableParagraph"/>
              <w:ind w:right="258"/>
              <w:rPr>
                <w:sz w:val="22"/>
              </w:rPr>
            </w:pPr>
            <w:r>
              <w:rPr>
                <w:rFonts w:ascii="Cambria"/>
                <w:sz w:val="22"/>
              </w:rPr>
              <w:t>dateNewerThanOrEqual </w:t>
            </w:r>
            <w:r>
              <w:rPr>
                <w:sz w:val="22"/>
              </w:rPr>
              <w:t>(Date Newer Than or Equal To)</w:t>
            </w:r>
          </w:p>
        </w:tc>
        <w:tc>
          <w:tcPr>
            <w:tcW w:w="5156" w:type="dxa"/>
          </w:tcPr>
          <w:p>
            <w:pPr>
              <w:pStyle w:val="TableParagraph"/>
              <w:ind w:right="333"/>
              <w:rPr>
                <w:sz w:val="22"/>
              </w:rPr>
            </w:pPr>
            <w:r>
              <w:rPr>
                <w:sz w:val="22"/>
              </w:rPr>
              <w:t>Indicates the "newer than or equal to" filter for date values.</w:t>
            </w:r>
          </w:p>
        </w:tc>
      </w:tr>
      <w:tr>
        <w:trPr>
          <w:trHeight w:val="354" w:hRule="atLeast"/>
        </w:trPr>
        <w:tc>
          <w:tcPr>
            <w:tcW w:w="5156" w:type="dxa"/>
          </w:tcPr>
          <w:p>
            <w:pPr>
              <w:pStyle w:val="TableParagraph"/>
              <w:rPr>
                <w:sz w:val="22"/>
              </w:rPr>
            </w:pPr>
            <w:r>
              <w:rPr>
                <w:rFonts w:ascii="Cambria"/>
                <w:sz w:val="22"/>
              </w:rPr>
              <w:t>dateNotBetween </w:t>
            </w:r>
            <w:r>
              <w:rPr>
                <w:sz w:val="22"/>
              </w:rPr>
              <w:t>(Date Not Between)</w:t>
            </w:r>
          </w:p>
        </w:tc>
        <w:tc>
          <w:tcPr>
            <w:tcW w:w="5156" w:type="dxa"/>
          </w:tcPr>
          <w:p>
            <w:pPr>
              <w:pStyle w:val="TableParagraph"/>
              <w:rPr>
                <w:sz w:val="22"/>
              </w:rPr>
            </w:pPr>
            <w:r>
              <w:rPr>
                <w:sz w:val="22"/>
              </w:rPr>
              <w:t>Indicates the "not between" filter for date values.</w:t>
            </w:r>
          </w:p>
        </w:tc>
      </w:tr>
      <w:tr>
        <w:trPr>
          <w:trHeight w:val="354" w:hRule="atLeast"/>
        </w:trPr>
        <w:tc>
          <w:tcPr>
            <w:tcW w:w="5156" w:type="dxa"/>
          </w:tcPr>
          <w:p>
            <w:pPr>
              <w:pStyle w:val="TableParagraph"/>
              <w:rPr>
                <w:sz w:val="22"/>
              </w:rPr>
            </w:pPr>
            <w:r>
              <w:rPr>
                <w:rFonts w:ascii="Cambria"/>
                <w:sz w:val="22"/>
              </w:rPr>
              <w:t>dateNotEqual </w:t>
            </w:r>
            <w:r>
              <w:rPr>
                <w:sz w:val="22"/>
              </w:rPr>
              <w:t>(Date Does Not Equal)</w:t>
            </w:r>
          </w:p>
        </w:tc>
        <w:tc>
          <w:tcPr>
            <w:tcW w:w="5156" w:type="dxa"/>
          </w:tcPr>
          <w:p>
            <w:pPr>
              <w:pStyle w:val="TableParagraph"/>
              <w:rPr>
                <w:sz w:val="22"/>
              </w:rPr>
            </w:pPr>
            <w:r>
              <w:rPr>
                <w:sz w:val="22"/>
              </w:rPr>
              <w:t>Indicates the "does not equal" filter for date values.</w:t>
            </w:r>
          </w:p>
        </w:tc>
      </w:tr>
      <w:tr>
        <w:trPr>
          <w:trHeight w:val="354" w:hRule="atLeast"/>
        </w:trPr>
        <w:tc>
          <w:tcPr>
            <w:tcW w:w="5156" w:type="dxa"/>
          </w:tcPr>
          <w:p>
            <w:pPr>
              <w:pStyle w:val="TableParagraph"/>
              <w:rPr>
                <w:sz w:val="22"/>
              </w:rPr>
            </w:pPr>
            <w:r>
              <w:rPr>
                <w:rFonts w:ascii="Cambria"/>
                <w:sz w:val="22"/>
              </w:rPr>
              <w:t>dateOlderThan </w:t>
            </w:r>
            <w:r>
              <w:rPr>
                <w:sz w:val="22"/>
              </w:rPr>
              <w:t>(Date Older Than)</w:t>
            </w:r>
          </w:p>
        </w:tc>
        <w:tc>
          <w:tcPr>
            <w:tcW w:w="5156" w:type="dxa"/>
          </w:tcPr>
          <w:p>
            <w:pPr>
              <w:pStyle w:val="TableParagraph"/>
              <w:rPr>
                <w:sz w:val="22"/>
              </w:rPr>
            </w:pPr>
            <w:r>
              <w:rPr>
                <w:sz w:val="22"/>
              </w:rPr>
              <w:t>Indicates the "older than" filter for date values.</w:t>
            </w:r>
          </w:p>
        </w:tc>
      </w:tr>
      <w:tr>
        <w:trPr>
          <w:trHeight w:val="624" w:hRule="atLeast"/>
        </w:trPr>
        <w:tc>
          <w:tcPr>
            <w:tcW w:w="5156" w:type="dxa"/>
          </w:tcPr>
          <w:p>
            <w:pPr>
              <w:pStyle w:val="TableParagraph"/>
              <w:rPr>
                <w:sz w:val="22"/>
              </w:rPr>
            </w:pPr>
            <w:r>
              <w:rPr>
                <w:rFonts w:ascii="Cambria"/>
                <w:sz w:val="22"/>
              </w:rPr>
              <w:t>dateOlderThanOrEqual </w:t>
            </w:r>
            <w:r>
              <w:rPr>
                <w:sz w:val="22"/>
              </w:rPr>
              <w:t>(Date Older Than Or Equal)</w:t>
            </w:r>
          </w:p>
        </w:tc>
        <w:tc>
          <w:tcPr>
            <w:tcW w:w="5156" w:type="dxa"/>
          </w:tcPr>
          <w:p>
            <w:pPr>
              <w:pStyle w:val="TableParagraph"/>
              <w:ind w:right="434"/>
              <w:rPr>
                <w:sz w:val="22"/>
              </w:rPr>
            </w:pPr>
            <w:r>
              <w:rPr>
                <w:sz w:val="22"/>
              </w:rPr>
              <w:t>Indicates the "older than or equal to" filter for date values.</w:t>
            </w:r>
          </w:p>
        </w:tc>
      </w:tr>
      <w:tr>
        <w:trPr>
          <w:trHeight w:val="354" w:hRule="atLeast"/>
        </w:trPr>
        <w:tc>
          <w:tcPr>
            <w:tcW w:w="5156" w:type="dxa"/>
          </w:tcPr>
          <w:p>
            <w:pPr>
              <w:pStyle w:val="TableParagraph"/>
              <w:rPr>
                <w:sz w:val="22"/>
              </w:rPr>
            </w:pPr>
            <w:r>
              <w:rPr>
                <w:rFonts w:ascii="Cambria"/>
                <w:sz w:val="22"/>
              </w:rPr>
              <w:t>lastMonth </w:t>
            </w:r>
            <w:r>
              <w:rPr>
                <w:sz w:val="22"/>
              </w:rPr>
              <w:t>(Last Month)</w:t>
            </w:r>
          </w:p>
        </w:tc>
        <w:tc>
          <w:tcPr>
            <w:tcW w:w="5156" w:type="dxa"/>
          </w:tcPr>
          <w:p>
            <w:pPr>
              <w:pStyle w:val="TableParagraph"/>
              <w:rPr>
                <w:sz w:val="22"/>
              </w:rPr>
            </w:pPr>
            <w:r>
              <w:rPr>
                <w:sz w:val="22"/>
              </w:rPr>
              <w:t>Indicates the "last month" filter for date values.</w:t>
            </w:r>
          </w:p>
        </w:tc>
      </w:tr>
      <w:tr>
        <w:trPr>
          <w:trHeight w:val="354" w:hRule="atLeast"/>
        </w:trPr>
        <w:tc>
          <w:tcPr>
            <w:tcW w:w="5156" w:type="dxa"/>
          </w:tcPr>
          <w:p>
            <w:pPr>
              <w:pStyle w:val="TableParagraph"/>
              <w:rPr>
                <w:sz w:val="22"/>
              </w:rPr>
            </w:pPr>
            <w:r>
              <w:rPr>
                <w:rFonts w:ascii="Cambria"/>
                <w:sz w:val="22"/>
              </w:rPr>
              <w:t>lastQuarter </w:t>
            </w:r>
            <w:r>
              <w:rPr>
                <w:sz w:val="22"/>
              </w:rPr>
              <w:t>(Last Quarter)</w:t>
            </w:r>
          </w:p>
        </w:tc>
        <w:tc>
          <w:tcPr>
            <w:tcW w:w="5156" w:type="dxa"/>
          </w:tcPr>
          <w:p>
            <w:pPr>
              <w:pStyle w:val="TableParagraph"/>
              <w:rPr>
                <w:sz w:val="22"/>
              </w:rPr>
            </w:pPr>
            <w:r>
              <w:rPr>
                <w:sz w:val="22"/>
              </w:rPr>
              <w:t>Indicates the "last quarter" filter for date values.</w:t>
            </w:r>
          </w:p>
        </w:tc>
      </w:tr>
      <w:tr>
        <w:trPr>
          <w:trHeight w:val="354" w:hRule="atLeast"/>
        </w:trPr>
        <w:tc>
          <w:tcPr>
            <w:tcW w:w="5156" w:type="dxa"/>
          </w:tcPr>
          <w:p>
            <w:pPr>
              <w:pStyle w:val="TableParagraph"/>
              <w:rPr>
                <w:sz w:val="22"/>
              </w:rPr>
            </w:pPr>
            <w:r>
              <w:rPr>
                <w:rFonts w:ascii="Cambria"/>
                <w:sz w:val="22"/>
              </w:rPr>
              <w:t>lastWeek </w:t>
            </w:r>
            <w:r>
              <w:rPr>
                <w:sz w:val="22"/>
              </w:rPr>
              <w:t>(Last Week)</w:t>
            </w:r>
          </w:p>
        </w:tc>
        <w:tc>
          <w:tcPr>
            <w:tcW w:w="5156" w:type="dxa"/>
          </w:tcPr>
          <w:p>
            <w:pPr>
              <w:pStyle w:val="TableParagraph"/>
              <w:rPr>
                <w:sz w:val="22"/>
              </w:rPr>
            </w:pPr>
            <w:r>
              <w:rPr>
                <w:sz w:val="22"/>
              </w:rPr>
              <w:t>Indicates the "last week" filter for date values.</w:t>
            </w:r>
          </w:p>
        </w:tc>
      </w:tr>
      <w:tr>
        <w:trPr>
          <w:trHeight w:val="352" w:hRule="atLeast"/>
        </w:trPr>
        <w:tc>
          <w:tcPr>
            <w:tcW w:w="5156" w:type="dxa"/>
          </w:tcPr>
          <w:p>
            <w:pPr>
              <w:pStyle w:val="TableParagraph"/>
              <w:rPr>
                <w:sz w:val="22"/>
              </w:rPr>
            </w:pPr>
            <w:r>
              <w:rPr>
                <w:rFonts w:ascii="Cambria"/>
                <w:sz w:val="22"/>
              </w:rPr>
              <w:t>lastYear </w:t>
            </w:r>
            <w:r>
              <w:rPr>
                <w:sz w:val="22"/>
              </w:rPr>
              <w:t>(Last Year)</w:t>
            </w:r>
          </w:p>
        </w:tc>
        <w:tc>
          <w:tcPr>
            <w:tcW w:w="5156" w:type="dxa"/>
          </w:tcPr>
          <w:p>
            <w:pPr>
              <w:pStyle w:val="TableParagraph"/>
              <w:rPr>
                <w:sz w:val="22"/>
              </w:rPr>
            </w:pPr>
            <w:r>
              <w:rPr>
                <w:sz w:val="22"/>
              </w:rPr>
              <w:t>Indicates the "last year" filter for date values.</w:t>
            </w:r>
          </w:p>
        </w:tc>
      </w:tr>
      <w:tr>
        <w:trPr>
          <w:trHeight w:val="354" w:hRule="atLeast"/>
        </w:trPr>
        <w:tc>
          <w:tcPr>
            <w:tcW w:w="5156" w:type="dxa"/>
          </w:tcPr>
          <w:p>
            <w:pPr>
              <w:pStyle w:val="TableParagraph"/>
              <w:spacing w:before="42"/>
              <w:rPr>
                <w:sz w:val="22"/>
              </w:rPr>
            </w:pPr>
            <w:r>
              <w:rPr>
                <w:rFonts w:ascii="Cambria"/>
                <w:sz w:val="22"/>
              </w:rPr>
              <w:t>M1 </w:t>
            </w:r>
            <w:r>
              <w:rPr>
                <w:sz w:val="22"/>
              </w:rPr>
              <w:t>(January)</w:t>
            </w:r>
          </w:p>
        </w:tc>
        <w:tc>
          <w:tcPr>
            <w:tcW w:w="5156" w:type="dxa"/>
          </w:tcPr>
          <w:p>
            <w:pPr>
              <w:pStyle w:val="TableParagraph"/>
              <w:spacing w:before="42"/>
              <w:rPr>
                <w:sz w:val="22"/>
              </w:rPr>
            </w:pPr>
            <w:r>
              <w:rPr>
                <w:sz w:val="22"/>
              </w:rPr>
              <w:t>Indicates the "January" filter for date values.</w:t>
            </w:r>
          </w:p>
        </w:tc>
      </w:tr>
      <w:tr>
        <w:trPr>
          <w:trHeight w:val="354" w:hRule="atLeast"/>
        </w:trPr>
        <w:tc>
          <w:tcPr>
            <w:tcW w:w="5156" w:type="dxa"/>
          </w:tcPr>
          <w:p>
            <w:pPr>
              <w:pStyle w:val="TableParagraph"/>
              <w:rPr>
                <w:sz w:val="22"/>
              </w:rPr>
            </w:pPr>
            <w:r>
              <w:rPr>
                <w:rFonts w:ascii="Cambria"/>
                <w:sz w:val="22"/>
              </w:rPr>
              <w:t>M10 </w:t>
            </w:r>
            <w:r>
              <w:rPr>
                <w:sz w:val="22"/>
              </w:rPr>
              <w:t>(Dates in October)</w:t>
            </w:r>
          </w:p>
        </w:tc>
        <w:tc>
          <w:tcPr>
            <w:tcW w:w="5156" w:type="dxa"/>
          </w:tcPr>
          <w:p>
            <w:pPr>
              <w:pStyle w:val="TableParagraph"/>
              <w:rPr>
                <w:sz w:val="22"/>
              </w:rPr>
            </w:pPr>
            <w:r>
              <w:rPr>
                <w:sz w:val="22"/>
              </w:rPr>
              <w:t>Indicates the "October" filter for date values.</w:t>
            </w:r>
          </w:p>
        </w:tc>
      </w:tr>
      <w:tr>
        <w:trPr>
          <w:trHeight w:val="354" w:hRule="atLeast"/>
        </w:trPr>
        <w:tc>
          <w:tcPr>
            <w:tcW w:w="5156" w:type="dxa"/>
          </w:tcPr>
          <w:p>
            <w:pPr>
              <w:pStyle w:val="TableParagraph"/>
              <w:rPr>
                <w:sz w:val="22"/>
              </w:rPr>
            </w:pPr>
            <w:r>
              <w:rPr>
                <w:rFonts w:ascii="Cambria"/>
                <w:sz w:val="22"/>
              </w:rPr>
              <w:t>M11 </w:t>
            </w:r>
            <w:r>
              <w:rPr>
                <w:sz w:val="22"/>
              </w:rPr>
              <w:t>(Dates in November)</w:t>
            </w:r>
          </w:p>
        </w:tc>
        <w:tc>
          <w:tcPr>
            <w:tcW w:w="5156" w:type="dxa"/>
          </w:tcPr>
          <w:p>
            <w:pPr>
              <w:pStyle w:val="TableParagraph"/>
              <w:rPr>
                <w:sz w:val="22"/>
              </w:rPr>
            </w:pPr>
            <w:r>
              <w:rPr>
                <w:sz w:val="22"/>
              </w:rPr>
              <w:t>Indicates the "November" filter for date values.</w:t>
            </w:r>
          </w:p>
        </w:tc>
      </w:tr>
      <w:tr>
        <w:trPr>
          <w:trHeight w:val="354" w:hRule="atLeast"/>
        </w:trPr>
        <w:tc>
          <w:tcPr>
            <w:tcW w:w="5156" w:type="dxa"/>
          </w:tcPr>
          <w:p>
            <w:pPr>
              <w:pStyle w:val="TableParagraph"/>
              <w:rPr>
                <w:sz w:val="22"/>
              </w:rPr>
            </w:pPr>
            <w:r>
              <w:rPr>
                <w:rFonts w:ascii="Cambria"/>
                <w:sz w:val="22"/>
              </w:rPr>
              <w:t>M12 </w:t>
            </w:r>
            <w:r>
              <w:rPr>
                <w:sz w:val="22"/>
              </w:rPr>
              <w:t>(Dates in December)</w:t>
            </w:r>
          </w:p>
        </w:tc>
        <w:tc>
          <w:tcPr>
            <w:tcW w:w="5156" w:type="dxa"/>
          </w:tcPr>
          <w:p>
            <w:pPr>
              <w:pStyle w:val="TableParagraph"/>
              <w:rPr>
                <w:sz w:val="22"/>
              </w:rPr>
            </w:pPr>
            <w:r>
              <w:rPr>
                <w:sz w:val="22"/>
              </w:rPr>
              <w:t>Indicates the "December" filter for date values.</w:t>
            </w:r>
          </w:p>
        </w:tc>
      </w:tr>
      <w:tr>
        <w:trPr>
          <w:trHeight w:val="354" w:hRule="atLeast"/>
        </w:trPr>
        <w:tc>
          <w:tcPr>
            <w:tcW w:w="5156" w:type="dxa"/>
          </w:tcPr>
          <w:p>
            <w:pPr>
              <w:pStyle w:val="TableParagraph"/>
              <w:rPr>
                <w:sz w:val="22"/>
              </w:rPr>
            </w:pPr>
            <w:r>
              <w:rPr>
                <w:rFonts w:ascii="Cambria"/>
                <w:sz w:val="22"/>
              </w:rPr>
              <w:t>M2 </w:t>
            </w:r>
            <w:r>
              <w:rPr>
                <w:sz w:val="22"/>
              </w:rPr>
              <w:t>(Dates in February)</w:t>
            </w:r>
          </w:p>
        </w:tc>
        <w:tc>
          <w:tcPr>
            <w:tcW w:w="5156" w:type="dxa"/>
          </w:tcPr>
          <w:p>
            <w:pPr>
              <w:pStyle w:val="TableParagraph"/>
              <w:rPr>
                <w:sz w:val="22"/>
              </w:rPr>
            </w:pPr>
            <w:r>
              <w:rPr>
                <w:sz w:val="22"/>
              </w:rPr>
              <w:t>Indicates the "February" filter for date values.</w:t>
            </w:r>
          </w:p>
        </w:tc>
      </w:tr>
      <w:tr>
        <w:trPr>
          <w:trHeight w:val="355" w:hRule="atLeast"/>
        </w:trPr>
        <w:tc>
          <w:tcPr>
            <w:tcW w:w="5156" w:type="dxa"/>
          </w:tcPr>
          <w:p>
            <w:pPr>
              <w:pStyle w:val="TableParagraph"/>
              <w:rPr>
                <w:sz w:val="22"/>
              </w:rPr>
            </w:pPr>
            <w:r>
              <w:rPr>
                <w:rFonts w:ascii="Cambria"/>
                <w:sz w:val="22"/>
              </w:rPr>
              <w:t>M3 </w:t>
            </w:r>
            <w:r>
              <w:rPr>
                <w:sz w:val="22"/>
              </w:rPr>
              <w:t>(Dates in March)</w:t>
            </w:r>
          </w:p>
        </w:tc>
        <w:tc>
          <w:tcPr>
            <w:tcW w:w="5156" w:type="dxa"/>
          </w:tcPr>
          <w:p>
            <w:pPr>
              <w:pStyle w:val="TableParagraph"/>
              <w:rPr>
                <w:sz w:val="22"/>
              </w:rPr>
            </w:pPr>
            <w:r>
              <w:rPr>
                <w:sz w:val="22"/>
              </w:rPr>
              <w:t>Indicates the "March" filter for date values.</w:t>
            </w:r>
          </w:p>
        </w:tc>
      </w:tr>
      <w:tr>
        <w:trPr>
          <w:trHeight w:val="354" w:hRule="atLeast"/>
        </w:trPr>
        <w:tc>
          <w:tcPr>
            <w:tcW w:w="5156" w:type="dxa"/>
          </w:tcPr>
          <w:p>
            <w:pPr>
              <w:pStyle w:val="TableParagraph"/>
              <w:rPr>
                <w:sz w:val="22"/>
              </w:rPr>
            </w:pPr>
            <w:r>
              <w:rPr>
                <w:rFonts w:ascii="Cambria"/>
                <w:sz w:val="22"/>
              </w:rPr>
              <w:t>M4 </w:t>
            </w:r>
            <w:r>
              <w:rPr>
                <w:sz w:val="22"/>
              </w:rPr>
              <w:t>(Dates in April)</w:t>
            </w:r>
          </w:p>
        </w:tc>
        <w:tc>
          <w:tcPr>
            <w:tcW w:w="5156" w:type="dxa"/>
          </w:tcPr>
          <w:p>
            <w:pPr>
              <w:pStyle w:val="TableParagraph"/>
              <w:rPr>
                <w:sz w:val="22"/>
              </w:rPr>
            </w:pPr>
            <w:r>
              <w:rPr>
                <w:sz w:val="22"/>
              </w:rPr>
              <w:t>Indicates the "April" filter for date values.</w:t>
            </w:r>
          </w:p>
        </w:tc>
      </w:tr>
      <w:tr>
        <w:trPr>
          <w:trHeight w:val="354" w:hRule="atLeast"/>
        </w:trPr>
        <w:tc>
          <w:tcPr>
            <w:tcW w:w="5156" w:type="dxa"/>
          </w:tcPr>
          <w:p>
            <w:pPr>
              <w:pStyle w:val="TableParagraph"/>
              <w:rPr>
                <w:sz w:val="22"/>
              </w:rPr>
            </w:pPr>
            <w:r>
              <w:rPr>
                <w:rFonts w:ascii="Cambria"/>
                <w:sz w:val="22"/>
              </w:rPr>
              <w:t>M5 </w:t>
            </w:r>
            <w:r>
              <w:rPr>
                <w:sz w:val="22"/>
              </w:rPr>
              <w:t>(Dates in May)</w:t>
            </w:r>
          </w:p>
        </w:tc>
        <w:tc>
          <w:tcPr>
            <w:tcW w:w="5156" w:type="dxa"/>
          </w:tcPr>
          <w:p>
            <w:pPr>
              <w:pStyle w:val="TableParagraph"/>
              <w:rPr>
                <w:sz w:val="22"/>
              </w:rPr>
            </w:pPr>
            <w:r>
              <w:rPr>
                <w:sz w:val="22"/>
              </w:rPr>
              <w:t>Indicates the "May" filter for date values.</w:t>
            </w:r>
          </w:p>
        </w:tc>
      </w:tr>
      <w:tr>
        <w:trPr>
          <w:trHeight w:val="354" w:hRule="atLeast"/>
        </w:trPr>
        <w:tc>
          <w:tcPr>
            <w:tcW w:w="5156" w:type="dxa"/>
          </w:tcPr>
          <w:p>
            <w:pPr>
              <w:pStyle w:val="TableParagraph"/>
              <w:rPr>
                <w:sz w:val="22"/>
              </w:rPr>
            </w:pPr>
            <w:r>
              <w:rPr>
                <w:rFonts w:ascii="Cambria"/>
                <w:sz w:val="22"/>
              </w:rPr>
              <w:t>M6 </w:t>
            </w:r>
            <w:r>
              <w:rPr>
                <w:sz w:val="22"/>
              </w:rPr>
              <w:t>(Dates in June)</w:t>
            </w:r>
          </w:p>
        </w:tc>
        <w:tc>
          <w:tcPr>
            <w:tcW w:w="5156" w:type="dxa"/>
          </w:tcPr>
          <w:p>
            <w:pPr>
              <w:pStyle w:val="TableParagraph"/>
              <w:rPr>
                <w:sz w:val="22"/>
              </w:rPr>
            </w:pPr>
            <w:r>
              <w:rPr>
                <w:sz w:val="22"/>
              </w:rPr>
              <w:t>Indicates the "June" filter for date values.</w:t>
            </w:r>
          </w:p>
        </w:tc>
      </w:tr>
      <w:tr>
        <w:trPr>
          <w:trHeight w:val="352" w:hRule="atLeast"/>
        </w:trPr>
        <w:tc>
          <w:tcPr>
            <w:tcW w:w="5156" w:type="dxa"/>
          </w:tcPr>
          <w:p>
            <w:pPr>
              <w:pStyle w:val="TableParagraph"/>
              <w:rPr>
                <w:sz w:val="22"/>
              </w:rPr>
            </w:pPr>
            <w:r>
              <w:rPr>
                <w:rFonts w:ascii="Cambria"/>
                <w:sz w:val="22"/>
              </w:rPr>
              <w:t>M7 </w:t>
            </w:r>
            <w:r>
              <w:rPr>
                <w:sz w:val="22"/>
              </w:rPr>
              <w:t>(Dates in July)</w:t>
            </w:r>
          </w:p>
        </w:tc>
        <w:tc>
          <w:tcPr>
            <w:tcW w:w="5156" w:type="dxa"/>
          </w:tcPr>
          <w:p>
            <w:pPr>
              <w:pStyle w:val="TableParagraph"/>
              <w:rPr>
                <w:sz w:val="22"/>
              </w:rPr>
            </w:pPr>
            <w:r>
              <w:rPr>
                <w:sz w:val="22"/>
              </w:rPr>
              <w:t>Indicates the "July" filter for date values.</w:t>
            </w:r>
          </w:p>
        </w:tc>
      </w:tr>
      <w:tr>
        <w:trPr>
          <w:trHeight w:val="354" w:hRule="atLeast"/>
        </w:trPr>
        <w:tc>
          <w:tcPr>
            <w:tcW w:w="5156" w:type="dxa"/>
          </w:tcPr>
          <w:p>
            <w:pPr>
              <w:pStyle w:val="TableParagraph"/>
              <w:rPr>
                <w:sz w:val="22"/>
              </w:rPr>
            </w:pPr>
            <w:r>
              <w:rPr>
                <w:rFonts w:ascii="Cambria"/>
                <w:sz w:val="22"/>
              </w:rPr>
              <w:t>M8 </w:t>
            </w:r>
            <w:r>
              <w:rPr>
                <w:sz w:val="22"/>
              </w:rPr>
              <w:t>(Dates in August)</w:t>
            </w:r>
          </w:p>
        </w:tc>
        <w:tc>
          <w:tcPr>
            <w:tcW w:w="5156" w:type="dxa"/>
          </w:tcPr>
          <w:p>
            <w:pPr>
              <w:pStyle w:val="TableParagraph"/>
              <w:rPr>
                <w:sz w:val="22"/>
              </w:rPr>
            </w:pPr>
            <w:r>
              <w:rPr>
                <w:sz w:val="22"/>
              </w:rPr>
              <w:t>Indicates the "August" filter for date values.</w:t>
            </w:r>
          </w:p>
        </w:tc>
      </w:tr>
      <w:tr>
        <w:trPr>
          <w:trHeight w:val="354" w:hRule="atLeast"/>
        </w:trPr>
        <w:tc>
          <w:tcPr>
            <w:tcW w:w="5156" w:type="dxa"/>
          </w:tcPr>
          <w:p>
            <w:pPr>
              <w:pStyle w:val="TableParagraph"/>
              <w:rPr>
                <w:sz w:val="22"/>
              </w:rPr>
            </w:pPr>
            <w:r>
              <w:rPr>
                <w:rFonts w:ascii="Cambria"/>
                <w:sz w:val="22"/>
              </w:rPr>
              <w:t>M9 </w:t>
            </w:r>
            <w:r>
              <w:rPr>
                <w:sz w:val="22"/>
              </w:rPr>
              <w:t>(Dates in September)</w:t>
            </w:r>
          </w:p>
        </w:tc>
        <w:tc>
          <w:tcPr>
            <w:tcW w:w="5156" w:type="dxa"/>
          </w:tcPr>
          <w:p>
            <w:pPr>
              <w:pStyle w:val="TableParagraph"/>
              <w:rPr>
                <w:sz w:val="22"/>
              </w:rPr>
            </w:pPr>
            <w:r>
              <w:rPr>
                <w:sz w:val="22"/>
              </w:rPr>
              <w:t>Indicates the "September" filter for date values.</w:t>
            </w:r>
          </w:p>
        </w:tc>
      </w:tr>
      <w:tr>
        <w:trPr>
          <w:trHeight w:val="354" w:hRule="atLeast"/>
        </w:trPr>
        <w:tc>
          <w:tcPr>
            <w:tcW w:w="5156" w:type="dxa"/>
          </w:tcPr>
          <w:p>
            <w:pPr>
              <w:pStyle w:val="TableParagraph"/>
              <w:rPr>
                <w:sz w:val="22"/>
              </w:rPr>
            </w:pPr>
            <w:r>
              <w:rPr>
                <w:rFonts w:ascii="Cambria"/>
                <w:sz w:val="22"/>
              </w:rPr>
              <w:t>nextMonth </w:t>
            </w:r>
            <w:r>
              <w:rPr>
                <w:sz w:val="22"/>
              </w:rPr>
              <w:t>(Next Month)</w:t>
            </w:r>
          </w:p>
        </w:tc>
        <w:tc>
          <w:tcPr>
            <w:tcW w:w="5156" w:type="dxa"/>
          </w:tcPr>
          <w:p>
            <w:pPr>
              <w:pStyle w:val="TableParagraph"/>
              <w:rPr>
                <w:sz w:val="22"/>
              </w:rPr>
            </w:pPr>
            <w:r>
              <w:rPr>
                <w:sz w:val="22"/>
              </w:rPr>
              <w:t>Indicates the "next month" filter for date values.</w:t>
            </w:r>
          </w:p>
        </w:tc>
      </w:tr>
      <w:tr>
        <w:trPr>
          <w:trHeight w:val="354" w:hRule="atLeast"/>
        </w:trPr>
        <w:tc>
          <w:tcPr>
            <w:tcW w:w="5156" w:type="dxa"/>
          </w:tcPr>
          <w:p>
            <w:pPr>
              <w:pStyle w:val="TableParagraph"/>
              <w:rPr>
                <w:sz w:val="22"/>
              </w:rPr>
            </w:pPr>
            <w:r>
              <w:rPr>
                <w:rFonts w:ascii="Cambria"/>
                <w:sz w:val="22"/>
              </w:rPr>
              <w:t>nextQuarter </w:t>
            </w:r>
            <w:r>
              <w:rPr>
                <w:sz w:val="22"/>
              </w:rPr>
              <w:t>(Next Quarter)</w:t>
            </w:r>
          </w:p>
        </w:tc>
        <w:tc>
          <w:tcPr>
            <w:tcW w:w="5156" w:type="dxa"/>
          </w:tcPr>
          <w:p>
            <w:pPr>
              <w:pStyle w:val="TableParagraph"/>
              <w:rPr>
                <w:sz w:val="22"/>
              </w:rPr>
            </w:pPr>
            <w:r>
              <w:rPr>
                <w:sz w:val="22"/>
              </w:rPr>
              <w:t>Indicates the "next quarter" for date values.</w:t>
            </w:r>
          </w:p>
        </w:tc>
      </w:tr>
      <w:tr>
        <w:trPr>
          <w:trHeight w:val="354" w:hRule="atLeast"/>
        </w:trPr>
        <w:tc>
          <w:tcPr>
            <w:tcW w:w="5156" w:type="dxa"/>
          </w:tcPr>
          <w:p>
            <w:pPr>
              <w:pStyle w:val="TableParagraph"/>
              <w:rPr>
                <w:sz w:val="22"/>
              </w:rPr>
            </w:pPr>
            <w:r>
              <w:rPr>
                <w:rFonts w:ascii="Cambria"/>
                <w:sz w:val="22"/>
              </w:rPr>
              <w:t>nextWeek </w:t>
            </w:r>
            <w:r>
              <w:rPr>
                <w:sz w:val="22"/>
              </w:rPr>
              <w:t>(Next Week)</w:t>
            </w:r>
          </w:p>
        </w:tc>
        <w:tc>
          <w:tcPr>
            <w:tcW w:w="5156" w:type="dxa"/>
          </w:tcPr>
          <w:p>
            <w:pPr>
              <w:pStyle w:val="TableParagraph"/>
              <w:rPr>
                <w:sz w:val="22"/>
              </w:rPr>
            </w:pPr>
            <w:r>
              <w:rPr>
                <w:sz w:val="22"/>
              </w:rPr>
              <w:t>Indicates the "next week" for date values.</w:t>
            </w:r>
          </w:p>
        </w:tc>
      </w:tr>
      <w:tr>
        <w:trPr>
          <w:trHeight w:val="355" w:hRule="atLeast"/>
        </w:trPr>
        <w:tc>
          <w:tcPr>
            <w:tcW w:w="5156" w:type="dxa"/>
          </w:tcPr>
          <w:p>
            <w:pPr>
              <w:pStyle w:val="TableParagraph"/>
              <w:rPr>
                <w:sz w:val="22"/>
              </w:rPr>
            </w:pPr>
            <w:r>
              <w:rPr>
                <w:rFonts w:ascii="Cambria"/>
                <w:sz w:val="22"/>
              </w:rPr>
              <w:t>nextYear </w:t>
            </w:r>
            <w:r>
              <w:rPr>
                <w:sz w:val="22"/>
              </w:rPr>
              <w:t>(Next Year)</w:t>
            </w:r>
          </w:p>
        </w:tc>
        <w:tc>
          <w:tcPr>
            <w:tcW w:w="5156" w:type="dxa"/>
          </w:tcPr>
          <w:p>
            <w:pPr>
              <w:pStyle w:val="TableParagraph"/>
              <w:rPr>
                <w:sz w:val="22"/>
              </w:rPr>
            </w:pPr>
            <w:r>
              <w:rPr>
                <w:sz w:val="22"/>
              </w:rPr>
              <w:t>Indicates the "next year" filter for date values.</w:t>
            </w:r>
          </w:p>
        </w:tc>
      </w:tr>
      <w:tr>
        <w:trPr>
          <w:trHeight w:val="354" w:hRule="atLeast"/>
        </w:trPr>
        <w:tc>
          <w:tcPr>
            <w:tcW w:w="5156" w:type="dxa"/>
          </w:tcPr>
          <w:p>
            <w:pPr>
              <w:pStyle w:val="TableParagraph"/>
              <w:rPr>
                <w:sz w:val="22"/>
              </w:rPr>
            </w:pPr>
            <w:r>
              <w:rPr>
                <w:rFonts w:ascii="Cambria"/>
                <w:sz w:val="22"/>
              </w:rPr>
              <w:t>percent </w:t>
            </w:r>
            <w:r>
              <w:rPr>
                <w:sz w:val="22"/>
              </w:rPr>
              <w:t>(Percent)</w:t>
            </w:r>
          </w:p>
        </w:tc>
        <w:tc>
          <w:tcPr>
            <w:tcW w:w="5156" w:type="dxa"/>
          </w:tcPr>
          <w:p>
            <w:pPr>
              <w:pStyle w:val="TableParagraph"/>
              <w:rPr>
                <w:sz w:val="22"/>
              </w:rPr>
            </w:pPr>
            <w:r>
              <w:rPr>
                <w:sz w:val="22"/>
              </w:rPr>
              <w:t>Indicates the "percent" filter for numeric values.</w:t>
            </w:r>
          </w:p>
        </w:tc>
      </w:tr>
      <w:tr>
        <w:trPr>
          <w:trHeight w:val="354" w:hRule="atLeast"/>
        </w:trPr>
        <w:tc>
          <w:tcPr>
            <w:tcW w:w="5156" w:type="dxa"/>
          </w:tcPr>
          <w:p>
            <w:pPr>
              <w:pStyle w:val="TableParagraph"/>
              <w:rPr>
                <w:sz w:val="22"/>
              </w:rPr>
            </w:pPr>
            <w:r>
              <w:rPr>
                <w:rFonts w:ascii="Cambria"/>
                <w:sz w:val="22"/>
              </w:rPr>
              <w:t>Q1 </w:t>
            </w:r>
            <w:r>
              <w:rPr>
                <w:sz w:val="22"/>
              </w:rPr>
              <w:t>(First Quarter)</w:t>
            </w:r>
          </w:p>
        </w:tc>
        <w:tc>
          <w:tcPr>
            <w:tcW w:w="5156" w:type="dxa"/>
          </w:tcPr>
          <w:p>
            <w:pPr>
              <w:pStyle w:val="TableParagraph"/>
              <w:rPr>
                <w:sz w:val="22"/>
              </w:rPr>
            </w:pPr>
            <w:r>
              <w:rPr>
                <w:sz w:val="22"/>
              </w:rPr>
              <w:t>Indicates the "first quarter" filter for date values.</w:t>
            </w:r>
          </w:p>
        </w:tc>
      </w:tr>
      <w:tr>
        <w:trPr>
          <w:trHeight w:val="352" w:hRule="atLeast"/>
        </w:trPr>
        <w:tc>
          <w:tcPr>
            <w:tcW w:w="5156" w:type="dxa"/>
          </w:tcPr>
          <w:p>
            <w:pPr>
              <w:pStyle w:val="TableParagraph"/>
              <w:rPr>
                <w:sz w:val="22"/>
              </w:rPr>
            </w:pPr>
            <w:r>
              <w:rPr>
                <w:rFonts w:ascii="Cambria"/>
                <w:sz w:val="22"/>
              </w:rPr>
              <w:t>Q2 </w:t>
            </w:r>
            <w:r>
              <w:rPr>
                <w:sz w:val="22"/>
              </w:rPr>
              <w:t>(Second Quarter)</w:t>
            </w:r>
          </w:p>
        </w:tc>
        <w:tc>
          <w:tcPr>
            <w:tcW w:w="5156" w:type="dxa"/>
          </w:tcPr>
          <w:p>
            <w:pPr>
              <w:pStyle w:val="TableParagraph"/>
              <w:rPr>
                <w:sz w:val="22"/>
              </w:rPr>
            </w:pPr>
            <w:r>
              <w:rPr>
                <w:sz w:val="22"/>
              </w:rPr>
              <w:t>Indicates the "second quarter" filter for date values.</w:t>
            </w:r>
          </w:p>
        </w:tc>
      </w:tr>
      <w:tr>
        <w:trPr>
          <w:trHeight w:val="354" w:hRule="atLeast"/>
        </w:trPr>
        <w:tc>
          <w:tcPr>
            <w:tcW w:w="5156" w:type="dxa"/>
          </w:tcPr>
          <w:p>
            <w:pPr>
              <w:pStyle w:val="TableParagraph"/>
              <w:spacing w:before="42"/>
              <w:rPr>
                <w:sz w:val="22"/>
              </w:rPr>
            </w:pPr>
            <w:r>
              <w:rPr>
                <w:rFonts w:ascii="Cambria"/>
                <w:sz w:val="22"/>
              </w:rPr>
              <w:t>Q3 </w:t>
            </w:r>
            <w:r>
              <w:rPr>
                <w:sz w:val="22"/>
              </w:rPr>
              <w:t>(Third Quarter)</w:t>
            </w:r>
          </w:p>
        </w:tc>
        <w:tc>
          <w:tcPr>
            <w:tcW w:w="5156" w:type="dxa"/>
          </w:tcPr>
          <w:p>
            <w:pPr>
              <w:pStyle w:val="TableParagraph"/>
              <w:spacing w:before="42"/>
              <w:rPr>
                <w:sz w:val="22"/>
              </w:rPr>
            </w:pPr>
            <w:r>
              <w:rPr>
                <w:sz w:val="22"/>
              </w:rPr>
              <w:t>Indicates the "third quarter" filter for date values.</w:t>
            </w:r>
          </w:p>
        </w:tc>
      </w:tr>
      <w:tr>
        <w:trPr>
          <w:trHeight w:val="354" w:hRule="atLeast"/>
        </w:trPr>
        <w:tc>
          <w:tcPr>
            <w:tcW w:w="5156" w:type="dxa"/>
          </w:tcPr>
          <w:p>
            <w:pPr>
              <w:pStyle w:val="TableParagraph"/>
              <w:rPr>
                <w:sz w:val="22"/>
              </w:rPr>
            </w:pPr>
            <w:r>
              <w:rPr>
                <w:rFonts w:ascii="Cambria"/>
                <w:sz w:val="22"/>
              </w:rPr>
              <w:t>Q4 </w:t>
            </w:r>
            <w:r>
              <w:rPr>
                <w:sz w:val="22"/>
              </w:rPr>
              <w:t>(Fourth Quarter)</w:t>
            </w:r>
          </w:p>
        </w:tc>
        <w:tc>
          <w:tcPr>
            <w:tcW w:w="5156" w:type="dxa"/>
          </w:tcPr>
          <w:p>
            <w:pPr>
              <w:pStyle w:val="TableParagraph"/>
              <w:rPr>
                <w:sz w:val="22"/>
              </w:rPr>
            </w:pPr>
            <w:r>
              <w:rPr>
                <w:sz w:val="22"/>
              </w:rPr>
              <w:t>Indicates the "fourth quarter" filter for date values.</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sum </w:t>
            </w:r>
            <w:r>
              <w:rPr>
                <w:sz w:val="22"/>
              </w:rPr>
              <w:t>(Sum)</w:t>
            </w:r>
          </w:p>
        </w:tc>
        <w:tc>
          <w:tcPr>
            <w:tcW w:w="5156" w:type="dxa"/>
          </w:tcPr>
          <w:p>
            <w:pPr>
              <w:pStyle w:val="TableParagraph"/>
              <w:rPr>
                <w:sz w:val="22"/>
              </w:rPr>
            </w:pPr>
            <w:r>
              <w:rPr>
                <w:sz w:val="22"/>
              </w:rPr>
              <w:t>Indicates the "sum" filter for numeric values.</w:t>
            </w:r>
          </w:p>
        </w:tc>
      </w:tr>
      <w:tr>
        <w:trPr>
          <w:trHeight w:val="354" w:hRule="atLeast"/>
        </w:trPr>
        <w:tc>
          <w:tcPr>
            <w:tcW w:w="5156" w:type="dxa"/>
          </w:tcPr>
          <w:p>
            <w:pPr>
              <w:pStyle w:val="TableParagraph"/>
              <w:rPr>
                <w:sz w:val="22"/>
              </w:rPr>
            </w:pPr>
            <w:r>
              <w:rPr>
                <w:rFonts w:ascii="Cambria"/>
                <w:sz w:val="22"/>
              </w:rPr>
              <w:t>thisMonth </w:t>
            </w:r>
            <w:r>
              <w:rPr>
                <w:sz w:val="22"/>
              </w:rPr>
              <w:t>(This Month)</w:t>
            </w:r>
          </w:p>
        </w:tc>
        <w:tc>
          <w:tcPr>
            <w:tcW w:w="5156" w:type="dxa"/>
          </w:tcPr>
          <w:p>
            <w:pPr>
              <w:pStyle w:val="TableParagraph"/>
              <w:rPr>
                <w:sz w:val="22"/>
              </w:rPr>
            </w:pPr>
            <w:r>
              <w:rPr>
                <w:sz w:val="22"/>
              </w:rPr>
              <w:t>Indicates the "this month" filter for date values.</w:t>
            </w:r>
          </w:p>
        </w:tc>
      </w:tr>
      <w:tr>
        <w:trPr>
          <w:trHeight w:val="352" w:hRule="atLeast"/>
        </w:trPr>
        <w:tc>
          <w:tcPr>
            <w:tcW w:w="5156" w:type="dxa"/>
          </w:tcPr>
          <w:p>
            <w:pPr>
              <w:pStyle w:val="TableParagraph"/>
              <w:rPr>
                <w:sz w:val="22"/>
              </w:rPr>
            </w:pPr>
            <w:r>
              <w:rPr>
                <w:rFonts w:ascii="Cambria"/>
                <w:sz w:val="22"/>
              </w:rPr>
              <w:t>thisQuarter </w:t>
            </w:r>
            <w:r>
              <w:rPr>
                <w:sz w:val="22"/>
              </w:rPr>
              <w:t>(This Quarter)</w:t>
            </w:r>
          </w:p>
        </w:tc>
        <w:tc>
          <w:tcPr>
            <w:tcW w:w="5156" w:type="dxa"/>
          </w:tcPr>
          <w:p>
            <w:pPr>
              <w:pStyle w:val="TableParagraph"/>
              <w:rPr>
                <w:sz w:val="22"/>
              </w:rPr>
            </w:pPr>
            <w:r>
              <w:rPr>
                <w:sz w:val="22"/>
              </w:rPr>
              <w:t>Indicates the "this quarter" filter for date values.</w:t>
            </w:r>
          </w:p>
        </w:tc>
      </w:tr>
      <w:tr>
        <w:trPr>
          <w:trHeight w:val="354" w:hRule="atLeast"/>
        </w:trPr>
        <w:tc>
          <w:tcPr>
            <w:tcW w:w="5156" w:type="dxa"/>
          </w:tcPr>
          <w:p>
            <w:pPr>
              <w:pStyle w:val="TableParagraph"/>
              <w:spacing w:before="42"/>
              <w:rPr>
                <w:sz w:val="22"/>
              </w:rPr>
            </w:pPr>
            <w:r>
              <w:rPr>
                <w:rFonts w:ascii="Cambria"/>
                <w:sz w:val="22"/>
              </w:rPr>
              <w:t>thisWeek </w:t>
            </w:r>
            <w:r>
              <w:rPr>
                <w:sz w:val="22"/>
              </w:rPr>
              <w:t>(This Week)</w:t>
            </w:r>
          </w:p>
        </w:tc>
        <w:tc>
          <w:tcPr>
            <w:tcW w:w="5156" w:type="dxa"/>
          </w:tcPr>
          <w:p>
            <w:pPr>
              <w:pStyle w:val="TableParagraph"/>
              <w:spacing w:before="42"/>
              <w:rPr>
                <w:sz w:val="22"/>
              </w:rPr>
            </w:pPr>
            <w:r>
              <w:rPr>
                <w:sz w:val="22"/>
              </w:rPr>
              <w:t>Indicates the "this week" filter for date values.</w:t>
            </w:r>
          </w:p>
        </w:tc>
      </w:tr>
      <w:tr>
        <w:trPr>
          <w:trHeight w:val="354" w:hRule="atLeast"/>
        </w:trPr>
        <w:tc>
          <w:tcPr>
            <w:tcW w:w="5156" w:type="dxa"/>
          </w:tcPr>
          <w:p>
            <w:pPr>
              <w:pStyle w:val="TableParagraph"/>
              <w:rPr>
                <w:sz w:val="22"/>
              </w:rPr>
            </w:pPr>
            <w:r>
              <w:rPr>
                <w:rFonts w:ascii="Cambria"/>
                <w:sz w:val="22"/>
              </w:rPr>
              <w:t>thisYear </w:t>
            </w:r>
            <w:r>
              <w:rPr>
                <w:sz w:val="22"/>
              </w:rPr>
              <w:t>(This Year)</w:t>
            </w:r>
          </w:p>
        </w:tc>
        <w:tc>
          <w:tcPr>
            <w:tcW w:w="5156" w:type="dxa"/>
          </w:tcPr>
          <w:p>
            <w:pPr>
              <w:pStyle w:val="TableParagraph"/>
              <w:rPr>
                <w:sz w:val="22"/>
              </w:rPr>
            </w:pPr>
            <w:r>
              <w:rPr>
                <w:sz w:val="22"/>
              </w:rPr>
              <w:t>Indicate the "this year" filter for date values.</w:t>
            </w:r>
          </w:p>
        </w:tc>
      </w:tr>
      <w:tr>
        <w:trPr>
          <w:trHeight w:val="354" w:hRule="atLeast"/>
        </w:trPr>
        <w:tc>
          <w:tcPr>
            <w:tcW w:w="5156" w:type="dxa"/>
          </w:tcPr>
          <w:p>
            <w:pPr>
              <w:pStyle w:val="TableParagraph"/>
              <w:rPr>
                <w:sz w:val="22"/>
              </w:rPr>
            </w:pPr>
            <w:r>
              <w:rPr>
                <w:rFonts w:ascii="Cambria"/>
                <w:sz w:val="22"/>
              </w:rPr>
              <w:t>today </w:t>
            </w:r>
            <w:r>
              <w:rPr>
                <w:sz w:val="22"/>
              </w:rPr>
              <w:t>(Today)</w:t>
            </w:r>
          </w:p>
        </w:tc>
        <w:tc>
          <w:tcPr>
            <w:tcW w:w="5156" w:type="dxa"/>
          </w:tcPr>
          <w:p>
            <w:pPr>
              <w:pStyle w:val="TableParagraph"/>
              <w:rPr>
                <w:sz w:val="22"/>
              </w:rPr>
            </w:pPr>
            <w:r>
              <w:rPr>
                <w:sz w:val="22"/>
              </w:rPr>
              <w:t>Indicates the "today" filter for date values.</w:t>
            </w:r>
          </w:p>
        </w:tc>
      </w:tr>
      <w:tr>
        <w:trPr>
          <w:trHeight w:val="354" w:hRule="atLeast"/>
        </w:trPr>
        <w:tc>
          <w:tcPr>
            <w:tcW w:w="5156" w:type="dxa"/>
          </w:tcPr>
          <w:p>
            <w:pPr>
              <w:pStyle w:val="TableParagraph"/>
              <w:rPr>
                <w:sz w:val="22"/>
              </w:rPr>
            </w:pPr>
            <w:r>
              <w:rPr>
                <w:rFonts w:ascii="Cambria"/>
                <w:sz w:val="22"/>
              </w:rPr>
              <w:t>tomorrow </w:t>
            </w:r>
            <w:r>
              <w:rPr>
                <w:sz w:val="22"/>
              </w:rPr>
              <w:t>(Tomorrow)</w:t>
            </w:r>
          </w:p>
        </w:tc>
        <w:tc>
          <w:tcPr>
            <w:tcW w:w="5156" w:type="dxa"/>
          </w:tcPr>
          <w:p>
            <w:pPr>
              <w:pStyle w:val="TableParagraph"/>
              <w:rPr>
                <w:sz w:val="22"/>
              </w:rPr>
            </w:pPr>
            <w:r>
              <w:rPr>
                <w:sz w:val="22"/>
              </w:rPr>
              <w:t>Indicates the "tomorrow" filter for date values.</w:t>
            </w:r>
          </w:p>
        </w:tc>
      </w:tr>
      <w:tr>
        <w:trPr>
          <w:trHeight w:val="623" w:hRule="atLeast"/>
        </w:trPr>
        <w:tc>
          <w:tcPr>
            <w:tcW w:w="5156" w:type="dxa"/>
          </w:tcPr>
          <w:p>
            <w:pPr>
              <w:pStyle w:val="TableParagraph"/>
              <w:rPr>
                <w:sz w:val="22"/>
              </w:rPr>
            </w:pPr>
            <w:r>
              <w:rPr>
                <w:rFonts w:ascii="Cambria"/>
                <w:sz w:val="22"/>
              </w:rPr>
              <w:t>unknown </w:t>
            </w:r>
            <w:r>
              <w:rPr>
                <w:sz w:val="22"/>
              </w:rPr>
              <w:t>(Unknown)</w:t>
            </w:r>
          </w:p>
        </w:tc>
        <w:tc>
          <w:tcPr>
            <w:tcW w:w="5156" w:type="dxa"/>
          </w:tcPr>
          <w:p>
            <w:pPr>
              <w:pStyle w:val="TableParagraph"/>
              <w:ind w:right="729"/>
              <w:rPr>
                <w:sz w:val="22"/>
              </w:rPr>
            </w:pPr>
            <w:r>
              <w:rPr>
                <w:sz w:val="22"/>
              </w:rPr>
              <w:t>Indicates the PivotTable filter is unknown to the application.</w:t>
            </w:r>
          </w:p>
        </w:tc>
      </w:tr>
      <w:tr>
        <w:trPr>
          <w:trHeight w:val="624" w:hRule="atLeast"/>
        </w:trPr>
        <w:tc>
          <w:tcPr>
            <w:tcW w:w="5156" w:type="dxa"/>
          </w:tcPr>
          <w:p>
            <w:pPr>
              <w:pStyle w:val="TableParagraph"/>
              <w:rPr>
                <w:sz w:val="22"/>
              </w:rPr>
            </w:pPr>
            <w:r>
              <w:rPr>
                <w:rFonts w:ascii="Cambria"/>
                <w:sz w:val="22"/>
              </w:rPr>
              <w:t>valueBetween </w:t>
            </w:r>
            <w:r>
              <w:rPr>
                <w:sz w:val="22"/>
              </w:rPr>
              <w:t>(Value Between)</w:t>
            </w:r>
          </w:p>
        </w:tc>
        <w:tc>
          <w:tcPr>
            <w:tcW w:w="5156" w:type="dxa"/>
          </w:tcPr>
          <w:p>
            <w:pPr>
              <w:pStyle w:val="TableParagraph"/>
              <w:ind w:right="710"/>
              <w:rPr>
                <w:sz w:val="22"/>
              </w:rPr>
            </w:pPr>
            <w:r>
              <w:rPr>
                <w:sz w:val="22"/>
              </w:rPr>
              <w:t>Indicates the "Value between" filter for text and numeric values.</w:t>
            </w:r>
          </w:p>
        </w:tc>
      </w:tr>
      <w:tr>
        <w:trPr>
          <w:trHeight w:val="621" w:hRule="atLeast"/>
        </w:trPr>
        <w:tc>
          <w:tcPr>
            <w:tcW w:w="5156" w:type="dxa"/>
          </w:tcPr>
          <w:p>
            <w:pPr>
              <w:pStyle w:val="TableParagraph"/>
              <w:rPr>
                <w:sz w:val="22"/>
              </w:rPr>
            </w:pPr>
            <w:r>
              <w:rPr>
                <w:rFonts w:ascii="Cambria"/>
                <w:sz w:val="22"/>
              </w:rPr>
              <w:t>valueEqual </w:t>
            </w:r>
            <w:r>
              <w:rPr>
                <w:sz w:val="22"/>
              </w:rPr>
              <w:t>(Value Equal)</w:t>
            </w:r>
          </w:p>
        </w:tc>
        <w:tc>
          <w:tcPr>
            <w:tcW w:w="5156" w:type="dxa"/>
          </w:tcPr>
          <w:p>
            <w:pPr>
              <w:pStyle w:val="TableParagraph"/>
              <w:ind w:right="243"/>
              <w:rPr>
                <w:sz w:val="22"/>
              </w:rPr>
            </w:pPr>
            <w:r>
              <w:rPr>
                <w:sz w:val="22"/>
              </w:rPr>
              <w:t>Indicates the "value equal" filter for text and numeric values.</w:t>
            </w:r>
          </w:p>
        </w:tc>
      </w:tr>
      <w:tr>
        <w:trPr>
          <w:trHeight w:val="623" w:hRule="atLeast"/>
        </w:trPr>
        <w:tc>
          <w:tcPr>
            <w:tcW w:w="5156" w:type="dxa"/>
          </w:tcPr>
          <w:p>
            <w:pPr>
              <w:pStyle w:val="TableParagraph"/>
              <w:spacing w:before="42"/>
              <w:rPr>
                <w:sz w:val="22"/>
              </w:rPr>
            </w:pPr>
            <w:r>
              <w:rPr>
                <w:rFonts w:ascii="Cambria"/>
                <w:sz w:val="22"/>
              </w:rPr>
              <w:t>valueGreaterThan </w:t>
            </w:r>
            <w:r>
              <w:rPr>
                <w:sz w:val="22"/>
              </w:rPr>
              <w:t>(Value Greater Than)</w:t>
            </w:r>
          </w:p>
        </w:tc>
        <w:tc>
          <w:tcPr>
            <w:tcW w:w="5156" w:type="dxa"/>
          </w:tcPr>
          <w:p>
            <w:pPr>
              <w:pStyle w:val="TableParagraph"/>
              <w:spacing w:line="237" w:lineRule="auto" w:before="44"/>
              <w:ind w:right="411"/>
              <w:rPr>
                <w:sz w:val="22"/>
              </w:rPr>
            </w:pPr>
            <w:r>
              <w:rPr>
                <w:sz w:val="22"/>
              </w:rPr>
              <w:t>Indicates the "value greater than" filter for text and numeric values.</w:t>
            </w:r>
          </w:p>
        </w:tc>
      </w:tr>
      <w:tr>
        <w:trPr>
          <w:trHeight w:val="623" w:hRule="atLeast"/>
        </w:trPr>
        <w:tc>
          <w:tcPr>
            <w:tcW w:w="5156" w:type="dxa"/>
          </w:tcPr>
          <w:p>
            <w:pPr>
              <w:pStyle w:val="TableParagraph"/>
              <w:ind w:right="412"/>
              <w:rPr>
                <w:sz w:val="22"/>
              </w:rPr>
            </w:pPr>
            <w:r>
              <w:rPr>
                <w:rFonts w:ascii="Cambria"/>
                <w:sz w:val="22"/>
              </w:rPr>
              <w:t>valueGreaterThanOrEqual </w:t>
            </w:r>
            <w:r>
              <w:rPr>
                <w:sz w:val="22"/>
              </w:rPr>
              <w:t>(Value Greater Than Or Equal To)</w:t>
            </w:r>
          </w:p>
        </w:tc>
        <w:tc>
          <w:tcPr>
            <w:tcW w:w="5156" w:type="dxa"/>
          </w:tcPr>
          <w:p>
            <w:pPr>
              <w:pStyle w:val="TableParagraph"/>
              <w:ind w:right="171"/>
              <w:rPr>
                <w:sz w:val="22"/>
              </w:rPr>
            </w:pPr>
            <w:r>
              <w:rPr>
                <w:sz w:val="22"/>
              </w:rPr>
              <w:t>Indicates the "value greater than or equal to" filter for text and numeric values.</w:t>
            </w:r>
          </w:p>
        </w:tc>
      </w:tr>
      <w:tr>
        <w:trPr>
          <w:trHeight w:val="623" w:hRule="atLeast"/>
        </w:trPr>
        <w:tc>
          <w:tcPr>
            <w:tcW w:w="5156" w:type="dxa"/>
          </w:tcPr>
          <w:p>
            <w:pPr>
              <w:pStyle w:val="TableParagraph"/>
              <w:rPr>
                <w:sz w:val="22"/>
              </w:rPr>
            </w:pPr>
            <w:r>
              <w:rPr>
                <w:rFonts w:ascii="Cambria"/>
                <w:sz w:val="22"/>
              </w:rPr>
              <w:t>valueLessThan </w:t>
            </w:r>
            <w:r>
              <w:rPr>
                <w:sz w:val="22"/>
              </w:rPr>
              <w:t>(Value Less Than)</w:t>
            </w:r>
          </w:p>
        </w:tc>
        <w:tc>
          <w:tcPr>
            <w:tcW w:w="5156" w:type="dxa"/>
          </w:tcPr>
          <w:p>
            <w:pPr>
              <w:pStyle w:val="TableParagraph"/>
              <w:ind w:right="734"/>
              <w:rPr>
                <w:sz w:val="22"/>
              </w:rPr>
            </w:pPr>
            <w:r>
              <w:rPr>
                <w:sz w:val="22"/>
              </w:rPr>
              <w:t>Indicates the "value less than" filter for text and numeric values.</w:t>
            </w:r>
          </w:p>
        </w:tc>
      </w:tr>
      <w:tr>
        <w:trPr>
          <w:trHeight w:val="623" w:hRule="atLeast"/>
        </w:trPr>
        <w:tc>
          <w:tcPr>
            <w:tcW w:w="5156" w:type="dxa"/>
          </w:tcPr>
          <w:p>
            <w:pPr>
              <w:pStyle w:val="TableParagraph"/>
              <w:rPr>
                <w:sz w:val="22"/>
              </w:rPr>
            </w:pPr>
            <w:r>
              <w:rPr>
                <w:rFonts w:ascii="Cambria"/>
                <w:sz w:val="22"/>
              </w:rPr>
              <w:t>valueLessThanOrEqual </w:t>
            </w:r>
            <w:r>
              <w:rPr>
                <w:sz w:val="22"/>
              </w:rPr>
              <w:t>(Value Less Than Or Equal To)</w:t>
            </w:r>
          </w:p>
        </w:tc>
        <w:tc>
          <w:tcPr>
            <w:tcW w:w="5156" w:type="dxa"/>
          </w:tcPr>
          <w:p>
            <w:pPr>
              <w:pStyle w:val="TableParagraph"/>
              <w:ind w:right="92"/>
              <w:rPr>
                <w:sz w:val="22"/>
              </w:rPr>
            </w:pPr>
            <w:r>
              <w:rPr>
                <w:sz w:val="22"/>
              </w:rPr>
              <w:t>Indicates the "value less than or equal to" filter for text and numeric values</w:t>
            </w:r>
          </w:p>
        </w:tc>
      </w:tr>
      <w:tr>
        <w:trPr>
          <w:trHeight w:val="621" w:hRule="atLeast"/>
        </w:trPr>
        <w:tc>
          <w:tcPr>
            <w:tcW w:w="5156" w:type="dxa"/>
          </w:tcPr>
          <w:p>
            <w:pPr>
              <w:pStyle w:val="TableParagraph"/>
              <w:rPr>
                <w:sz w:val="22"/>
              </w:rPr>
            </w:pPr>
            <w:r>
              <w:rPr>
                <w:rFonts w:ascii="Cambria"/>
                <w:sz w:val="22"/>
              </w:rPr>
              <w:t>valueNotBetween </w:t>
            </w:r>
            <w:r>
              <w:rPr>
                <w:sz w:val="22"/>
              </w:rPr>
              <w:t>(Value Not Between)</w:t>
            </w:r>
          </w:p>
        </w:tc>
        <w:tc>
          <w:tcPr>
            <w:tcW w:w="5156" w:type="dxa"/>
          </w:tcPr>
          <w:p>
            <w:pPr>
              <w:pStyle w:val="TableParagraph"/>
              <w:ind w:right="380"/>
              <w:rPr>
                <w:sz w:val="22"/>
              </w:rPr>
            </w:pPr>
            <w:r>
              <w:rPr>
                <w:sz w:val="22"/>
              </w:rPr>
              <w:t>Indicates the "value not between" filter for text and numeric values.</w:t>
            </w:r>
          </w:p>
        </w:tc>
      </w:tr>
      <w:tr>
        <w:trPr>
          <w:trHeight w:val="623" w:hRule="atLeast"/>
        </w:trPr>
        <w:tc>
          <w:tcPr>
            <w:tcW w:w="5156" w:type="dxa"/>
          </w:tcPr>
          <w:p>
            <w:pPr>
              <w:pStyle w:val="TableParagraph"/>
              <w:spacing w:before="42"/>
              <w:rPr>
                <w:sz w:val="22"/>
              </w:rPr>
            </w:pPr>
            <w:r>
              <w:rPr>
                <w:rFonts w:ascii="Cambria"/>
                <w:sz w:val="22"/>
              </w:rPr>
              <w:t>valueNotEqual </w:t>
            </w:r>
            <w:r>
              <w:rPr>
                <w:sz w:val="22"/>
              </w:rPr>
              <w:t>(Value Not Equal)</w:t>
            </w:r>
          </w:p>
        </w:tc>
        <w:tc>
          <w:tcPr>
            <w:tcW w:w="5156" w:type="dxa"/>
          </w:tcPr>
          <w:p>
            <w:pPr>
              <w:pStyle w:val="TableParagraph"/>
              <w:spacing w:line="237" w:lineRule="auto" w:before="44"/>
              <w:ind w:right="674"/>
              <w:rPr>
                <w:sz w:val="22"/>
              </w:rPr>
            </w:pPr>
            <w:r>
              <w:rPr>
                <w:sz w:val="22"/>
              </w:rPr>
              <w:t>Indicates the "value not equal" filter for text and numeric values.</w:t>
            </w:r>
          </w:p>
        </w:tc>
      </w:tr>
      <w:tr>
        <w:trPr>
          <w:trHeight w:val="354" w:hRule="atLeast"/>
        </w:trPr>
        <w:tc>
          <w:tcPr>
            <w:tcW w:w="5156" w:type="dxa"/>
          </w:tcPr>
          <w:p>
            <w:pPr>
              <w:pStyle w:val="TableParagraph"/>
              <w:rPr>
                <w:sz w:val="22"/>
              </w:rPr>
            </w:pPr>
            <w:r>
              <w:rPr>
                <w:rFonts w:ascii="Cambria"/>
                <w:sz w:val="22"/>
              </w:rPr>
              <w:t>yearToDate </w:t>
            </w:r>
            <w:r>
              <w:rPr>
                <w:sz w:val="22"/>
              </w:rPr>
              <w:t>(Year-To-Date)</w:t>
            </w:r>
          </w:p>
        </w:tc>
        <w:tc>
          <w:tcPr>
            <w:tcW w:w="5156" w:type="dxa"/>
          </w:tcPr>
          <w:p>
            <w:pPr>
              <w:pStyle w:val="TableParagraph"/>
              <w:rPr>
                <w:sz w:val="22"/>
              </w:rPr>
            </w:pPr>
            <w:r>
              <w:rPr>
                <w:sz w:val="22"/>
              </w:rPr>
              <w:t>Indicates the "year-to-date" filter for date values.</w:t>
            </w:r>
          </w:p>
        </w:tc>
      </w:tr>
      <w:tr>
        <w:trPr>
          <w:trHeight w:val="354" w:hRule="atLeast"/>
        </w:trPr>
        <w:tc>
          <w:tcPr>
            <w:tcW w:w="5156" w:type="dxa"/>
          </w:tcPr>
          <w:p>
            <w:pPr>
              <w:pStyle w:val="TableParagraph"/>
              <w:rPr>
                <w:sz w:val="22"/>
              </w:rPr>
            </w:pPr>
            <w:r>
              <w:rPr>
                <w:rFonts w:ascii="Cambria"/>
                <w:sz w:val="22"/>
              </w:rPr>
              <w:t>yesterday </w:t>
            </w:r>
            <w:r>
              <w:rPr>
                <w:sz w:val="22"/>
              </w:rPr>
              <w:t>(Yesterday)</w:t>
            </w:r>
          </w:p>
        </w:tc>
        <w:tc>
          <w:tcPr>
            <w:tcW w:w="5156" w:type="dxa"/>
          </w:tcPr>
          <w:p>
            <w:pPr>
              <w:pStyle w:val="TableParagraph"/>
              <w:rPr>
                <w:sz w:val="22"/>
              </w:rPr>
            </w:pPr>
            <w:r>
              <w:rPr>
                <w:sz w:val="22"/>
              </w:rPr>
              <w:t>Indicates the "yesterday" filter for date values.</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simple type’s content model (</w:t>
      </w:r>
      <w:r>
        <w:rPr>
          <w:color w:val="5F5F5F"/>
          <w:u w:val="single" w:color="5F5F5F"/>
        </w:rPr>
        <w:t>ST_PivotFilterType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10"/>
        <w:rPr>
          <w:sz w:val="19"/>
        </w:rPr>
      </w:pPr>
    </w:p>
    <w:p>
      <w:pPr>
        <w:pStyle w:val="Heading2"/>
        <w:numPr>
          <w:ilvl w:val="2"/>
          <w:numId w:val="17"/>
        </w:numPr>
        <w:tabs>
          <w:tab w:pos="1445" w:val="left" w:leader="none"/>
        </w:tabs>
        <w:spacing w:line="240" w:lineRule="auto" w:before="0" w:after="0"/>
        <w:ind w:left="1444" w:right="0" w:hanging="1225"/>
        <w:jc w:val="left"/>
      </w:pPr>
      <w:bookmarkStart w:name="18.18.60 ST_PrintError (Print Errors)" w:id="2645"/>
      <w:bookmarkEnd w:id="2645"/>
      <w:r>
        <w:rPr>
          <w:b w:val="0"/>
        </w:rPr>
      </w:r>
      <w:bookmarkStart w:name="_bookmark882" w:id="2646"/>
      <w:bookmarkEnd w:id="2646"/>
      <w:r>
        <w:rPr>
          <w:b w:val="0"/>
        </w:rPr>
      </w:r>
      <w:bookmarkStart w:name="_bookmark882" w:id="2647"/>
      <w:bookmarkEnd w:id="2647"/>
      <w:r>
        <w:rPr>
          <w:color w:val="4F81BC"/>
        </w:rPr>
        <w:t>S</w:t>
      </w:r>
      <w:r>
        <w:rPr>
          <w:color w:val="4F81BC"/>
        </w:rPr>
        <w:t>T_PrintError (Print</w:t>
      </w:r>
      <w:r>
        <w:rPr>
          <w:color w:val="4F81BC"/>
          <w:spacing w:val="1"/>
        </w:rPr>
        <w:t> </w:t>
      </w:r>
      <w:r>
        <w:rPr>
          <w:color w:val="4F81BC"/>
        </w:rPr>
        <w:t>Errors)</w:t>
      </w:r>
    </w:p>
    <w:p>
      <w:pPr>
        <w:pStyle w:val="BodyText"/>
        <w:spacing w:line="453" w:lineRule="auto" w:before="124"/>
        <w:ind w:left="220" w:right="2524"/>
      </w:pPr>
      <w:r>
        <w:rPr/>
        <w:t>This enumeration specifies how to display cells with errors when printing the worksheet. This simple type's contents are a restriction of the W3C XML Schema </w:t>
      </w:r>
      <w:r>
        <w:rPr>
          <w:rFonts w:ascii="Cambria"/>
        </w:rPr>
        <w:t>string </w:t>
      </w:r>
      <w:r>
        <w:rPr/>
        <w:t>datatype.</w:t>
      </w:r>
    </w:p>
    <w:p>
      <w:pPr>
        <w:spacing w:after="0" w:line="453" w:lineRule="auto"/>
        <w:sectPr>
          <w:pgSz w:w="12240" w:h="15840"/>
          <w:pgMar w:header="763" w:footer="746" w:top="1340" w:bottom="940" w:left="860" w:right="700"/>
        </w:sectPr>
      </w:pPr>
    </w:p>
    <w:p>
      <w:pPr>
        <w:pStyle w:val="BodyText"/>
        <w:spacing w:before="90"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2" w:hRule="atLeast"/>
        </w:trPr>
        <w:tc>
          <w:tcPr>
            <w:tcW w:w="5156" w:type="dxa"/>
          </w:tcPr>
          <w:p>
            <w:pPr>
              <w:pStyle w:val="TableParagraph"/>
              <w:rPr>
                <w:sz w:val="22"/>
              </w:rPr>
            </w:pPr>
            <w:r>
              <w:rPr>
                <w:rFonts w:ascii="Cambria"/>
                <w:sz w:val="22"/>
              </w:rPr>
              <w:t>blank </w:t>
            </w:r>
            <w:r>
              <w:rPr>
                <w:sz w:val="22"/>
              </w:rPr>
              <w:t>(Show Cell Errors As Blank)</w:t>
            </w:r>
          </w:p>
        </w:tc>
        <w:tc>
          <w:tcPr>
            <w:tcW w:w="5156" w:type="dxa"/>
          </w:tcPr>
          <w:p>
            <w:pPr>
              <w:pStyle w:val="TableParagraph"/>
              <w:rPr>
                <w:sz w:val="22"/>
              </w:rPr>
            </w:pPr>
            <w:r>
              <w:rPr>
                <w:sz w:val="22"/>
              </w:rPr>
              <w:t>Display cell errors as blank.</w:t>
            </w:r>
          </w:p>
        </w:tc>
      </w:tr>
      <w:tr>
        <w:trPr>
          <w:trHeight w:val="354" w:hRule="atLeast"/>
        </w:trPr>
        <w:tc>
          <w:tcPr>
            <w:tcW w:w="5156" w:type="dxa"/>
          </w:tcPr>
          <w:p>
            <w:pPr>
              <w:pStyle w:val="TableParagraph"/>
              <w:spacing w:before="42"/>
              <w:rPr>
                <w:sz w:val="22"/>
              </w:rPr>
            </w:pPr>
            <w:r>
              <w:rPr>
                <w:rFonts w:ascii="Cambria"/>
                <w:sz w:val="22"/>
              </w:rPr>
              <w:t>dash </w:t>
            </w:r>
            <w:r>
              <w:rPr>
                <w:sz w:val="22"/>
              </w:rPr>
              <w:t>(Dash Cell Errors)</w:t>
            </w:r>
          </w:p>
        </w:tc>
        <w:tc>
          <w:tcPr>
            <w:tcW w:w="5156" w:type="dxa"/>
          </w:tcPr>
          <w:p>
            <w:pPr>
              <w:pStyle w:val="TableParagraph"/>
              <w:spacing w:before="42"/>
              <w:rPr>
                <w:sz w:val="22"/>
              </w:rPr>
            </w:pPr>
            <w:r>
              <w:rPr>
                <w:sz w:val="22"/>
              </w:rPr>
              <w:t>Display cell errors as dashes.</w:t>
            </w:r>
          </w:p>
        </w:tc>
      </w:tr>
      <w:tr>
        <w:trPr>
          <w:trHeight w:val="354" w:hRule="atLeast"/>
        </w:trPr>
        <w:tc>
          <w:tcPr>
            <w:tcW w:w="5156" w:type="dxa"/>
          </w:tcPr>
          <w:p>
            <w:pPr>
              <w:pStyle w:val="TableParagraph"/>
              <w:rPr>
                <w:sz w:val="22"/>
              </w:rPr>
            </w:pPr>
            <w:r>
              <w:rPr>
                <w:rFonts w:ascii="Cambria"/>
                <w:sz w:val="22"/>
              </w:rPr>
              <w:t>displayed </w:t>
            </w:r>
            <w:r>
              <w:rPr>
                <w:sz w:val="22"/>
              </w:rPr>
              <w:t>(Display Cell Errors)</w:t>
            </w:r>
          </w:p>
        </w:tc>
        <w:tc>
          <w:tcPr>
            <w:tcW w:w="5156" w:type="dxa"/>
          </w:tcPr>
          <w:p>
            <w:pPr>
              <w:pStyle w:val="TableParagraph"/>
              <w:rPr>
                <w:sz w:val="22"/>
              </w:rPr>
            </w:pPr>
            <w:r>
              <w:rPr>
                <w:sz w:val="22"/>
              </w:rPr>
              <w:t>Display cell errors as displayed on screen.</w:t>
            </w:r>
          </w:p>
        </w:tc>
      </w:tr>
      <w:tr>
        <w:trPr>
          <w:trHeight w:val="354" w:hRule="atLeast"/>
        </w:trPr>
        <w:tc>
          <w:tcPr>
            <w:tcW w:w="5156" w:type="dxa"/>
          </w:tcPr>
          <w:p>
            <w:pPr>
              <w:pStyle w:val="TableParagraph"/>
              <w:rPr>
                <w:sz w:val="22"/>
              </w:rPr>
            </w:pPr>
            <w:r>
              <w:rPr>
                <w:rFonts w:ascii="Cambria"/>
                <w:sz w:val="22"/>
              </w:rPr>
              <w:t>NA </w:t>
            </w:r>
            <w:r>
              <w:rPr>
                <w:sz w:val="22"/>
              </w:rPr>
              <w:t>(NA)</w:t>
            </w:r>
          </w:p>
        </w:tc>
        <w:tc>
          <w:tcPr>
            <w:tcW w:w="5156" w:type="dxa"/>
          </w:tcPr>
          <w:p>
            <w:pPr>
              <w:pStyle w:val="TableParagraph"/>
              <w:rPr>
                <w:sz w:val="22"/>
              </w:rPr>
            </w:pPr>
            <w:r>
              <w:rPr>
                <w:sz w:val="22"/>
              </w:rPr>
              <w:t>Display cell errors as #N/A.</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ST_PrintError</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61 ST_Qualifier (Qualifier)" w:id="2648"/>
      <w:bookmarkEnd w:id="2648"/>
      <w:r>
        <w:rPr>
          <w:b w:val="0"/>
        </w:rPr>
      </w:r>
      <w:bookmarkStart w:name="_bookmark883" w:id="2649"/>
      <w:bookmarkEnd w:id="2649"/>
      <w:r>
        <w:rPr>
          <w:b w:val="0"/>
        </w:rPr>
      </w:r>
      <w:bookmarkStart w:name="_bookmark883" w:id="2650"/>
      <w:bookmarkEnd w:id="2650"/>
      <w:r>
        <w:rPr>
          <w:color w:val="4F81BC"/>
        </w:rPr>
        <w:t>S</w:t>
      </w:r>
      <w:r>
        <w:rPr>
          <w:color w:val="4F81BC"/>
        </w:rPr>
        <w:t>T_Qualifier (Qualifier)</w:t>
      </w:r>
    </w:p>
    <w:p>
      <w:pPr>
        <w:pStyle w:val="BodyText"/>
        <w:spacing w:line="453" w:lineRule="auto" w:before="124"/>
        <w:ind w:left="220" w:right="2438"/>
      </w:pPr>
      <w:r>
        <w:rPr/>
        <w:t>Qualifier to use to denote string data types in when text is imported from an external file. This simple type's contents are a restriction of the W3C XML Schema </w:t>
      </w:r>
      <w:r>
        <w:rPr>
          <w:rFonts w:ascii="Cambria"/>
        </w:rPr>
        <w:t>string </w:t>
      </w:r>
      <w:r>
        <w:rPr/>
        <w:t>datatype.</w:t>
      </w:r>
    </w:p>
    <w:p>
      <w:pPr>
        <w:pStyle w:val="BodyText"/>
        <w:spacing w:before="41" w:after="44"/>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doubleQuote </w:t>
            </w:r>
            <w:r>
              <w:rPr>
                <w:sz w:val="22"/>
              </w:rPr>
              <w:t>(Double Quote)</w:t>
            </w:r>
          </w:p>
        </w:tc>
        <w:tc>
          <w:tcPr>
            <w:tcW w:w="5156" w:type="dxa"/>
          </w:tcPr>
          <w:p>
            <w:pPr>
              <w:pStyle w:val="TableParagraph"/>
              <w:rPr>
                <w:sz w:val="22"/>
              </w:rPr>
            </w:pPr>
            <w:r>
              <w:rPr>
                <w:sz w:val="22"/>
              </w:rPr>
              <w:t>Quotation mark -- double quote (").</w:t>
            </w:r>
          </w:p>
        </w:tc>
      </w:tr>
      <w:tr>
        <w:trPr>
          <w:trHeight w:val="354" w:hRule="atLeast"/>
        </w:trPr>
        <w:tc>
          <w:tcPr>
            <w:tcW w:w="5156" w:type="dxa"/>
          </w:tcPr>
          <w:p>
            <w:pPr>
              <w:pStyle w:val="TableParagraph"/>
              <w:rPr>
                <w:sz w:val="22"/>
              </w:rPr>
            </w:pPr>
            <w:r>
              <w:rPr>
                <w:rFonts w:ascii="Cambria"/>
                <w:sz w:val="22"/>
              </w:rPr>
              <w:t>none </w:t>
            </w:r>
            <w:r>
              <w:rPr>
                <w:sz w:val="22"/>
              </w:rPr>
              <w:t>(No Text Qualifier)</w:t>
            </w:r>
          </w:p>
        </w:tc>
        <w:tc>
          <w:tcPr>
            <w:tcW w:w="5156" w:type="dxa"/>
          </w:tcPr>
          <w:p>
            <w:pPr>
              <w:pStyle w:val="TableParagraph"/>
              <w:rPr>
                <w:sz w:val="22"/>
              </w:rPr>
            </w:pPr>
            <w:r>
              <w:rPr>
                <w:sz w:val="22"/>
              </w:rPr>
              <w:t>No text string qualifier used.</w:t>
            </w:r>
          </w:p>
        </w:tc>
      </w:tr>
      <w:tr>
        <w:trPr>
          <w:trHeight w:val="354" w:hRule="atLeast"/>
        </w:trPr>
        <w:tc>
          <w:tcPr>
            <w:tcW w:w="5156" w:type="dxa"/>
          </w:tcPr>
          <w:p>
            <w:pPr>
              <w:pStyle w:val="TableParagraph"/>
              <w:rPr>
                <w:sz w:val="22"/>
              </w:rPr>
            </w:pPr>
            <w:r>
              <w:rPr>
                <w:rFonts w:ascii="Cambria"/>
                <w:sz w:val="22"/>
              </w:rPr>
              <w:t>singleQuote </w:t>
            </w:r>
            <w:r>
              <w:rPr>
                <w:sz w:val="22"/>
              </w:rPr>
              <w:t>(Single Quote)</w:t>
            </w:r>
          </w:p>
        </w:tc>
        <w:tc>
          <w:tcPr>
            <w:tcW w:w="5156" w:type="dxa"/>
          </w:tcPr>
          <w:p>
            <w:pPr>
              <w:pStyle w:val="TableParagraph"/>
              <w:rPr>
                <w:sz w:val="22"/>
              </w:rPr>
            </w:pPr>
            <w:r>
              <w:rPr>
                <w:sz w:val="22"/>
              </w:rPr>
              <w:t>Apostrophe mark -- single quote (').</w:t>
            </w:r>
          </w:p>
        </w:tc>
      </w:tr>
    </w:tbl>
    <w:p>
      <w:pPr>
        <w:pStyle w:val="BodyText"/>
      </w:pPr>
    </w:p>
    <w:p>
      <w:pPr>
        <w:pStyle w:val="BodyText"/>
        <w:spacing w:before="5"/>
        <w:rPr>
          <w:sz w:val="19"/>
        </w:rPr>
      </w:pPr>
    </w:p>
    <w:p>
      <w:pPr>
        <w:pStyle w:val="BodyText"/>
        <w:spacing w:line="276" w:lineRule="auto"/>
        <w:ind w:left="220" w:right="435"/>
      </w:pPr>
      <w:r>
        <w:rPr/>
        <w:t>[</w:t>
      </w:r>
      <w:r>
        <w:rPr>
          <w:i/>
        </w:rPr>
        <w:t>Note</w:t>
      </w:r>
      <w:r>
        <w:rPr/>
        <w:t>: The W3C XML Schema definition of this simple type’s content model (</w:t>
      </w:r>
      <w:r>
        <w:rPr>
          <w:color w:val="5F5F5F"/>
          <w:u w:val="single" w:color="5F5F5F"/>
        </w:rPr>
        <w:t>ST_Qualifier</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1" w:after="0"/>
        <w:ind w:left="1444" w:right="0" w:hanging="1225"/>
        <w:jc w:val="left"/>
      </w:pPr>
      <w:bookmarkStart w:name="18.18.62 ST_Ref (Cell References)" w:id="2651"/>
      <w:bookmarkEnd w:id="2651"/>
      <w:r>
        <w:rPr>
          <w:b w:val="0"/>
        </w:rPr>
      </w:r>
      <w:bookmarkStart w:name="_bookmark884" w:id="2652"/>
      <w:bookmarkEnd w:id="2652"/>
      <w:r>
        <w:rPr>
          <w:b w:val="0"/>
        </w:rPr>
      </w:r>
      <w:bookmarkStart w:name="_bookmark884" w:id="2653"/>
      <w:bookmarkEnd w:id="2653"/>
      <w:r>
        <w:rPr>
          <w:color w:val="4F81BC"/>
        </w:rPr>
        <w:t>S</w:t>
      </w:r>
      <w:r>
        <w:rPr>
          <w:color w:val="4F81BC"/>
        </w:rPr>
        <w:t>T_Ref (Cell References)</w:t>
      </w:r>
    </w:p>
    <w:p>
      <w:pPr>
        <w:pStyle w:val="BodyText"/>
        <w:spacing w:line="276" w:lineRule="auto" w:before="124"/>
        <w:ind w:left="220" w:right="501"/>
      </w:pPr>
      <w:r>
        <w:rPr/>
        <w:t>This simple type defines a reference to a range of cells within a sheet in the workbook. A reference identifies a cell or a range of cells on a worksheet and tells the application where to look for the values or data you want to use in a formula. With references, you can use data contained in different parts of a worksheet in one formula or use the value from one cell in several formulas. You can also refer to cells on other sheets in the same workbook, and to other workbooks. References to cells in other workbooks are called links.</w:t>
      </w:r>
    </w:p>
    <w:p>
      <w:pPr>
        <w:pStyle w:val="BodyText"/>
        <w:spacing w:before="5"/>
        <w:rPr>
          <w:sz w:val="16"/>
        </w:rPr>
      </w:pPr>
    </w:p>
    <w:p>
      <w:pPr>
        <w:pStyle w:val="BodyText"/>
        <w:spacing w:line="456" w:lineRule="auto"/>
        <w:ind w:left="220" w:right="2804"/>
      </w:pPr>
      <w:r>
        <w:rPr/>
        <w:t>SpreadsheetML defines two reference styles defined in the </w:t>
      </w:r>
      <w:r>
        <w:rPr>
          <w:rFonts w:ascii="Cambria"/>
        </w:rPr>
        <w:t>ST_RefMode </w:t>
      </w:r>
      <w:r>
        <w:rPr/>
        <w:t>simple type. This simple type's contents are a restriction of the W3C XML Schema </w:t>
      </w:r>
      <w:r>
        <w:rPr>
          <w:rFonts w:ascii="Cambria"/>
        </w:rPr>
        <w:t>string </w:t>
      </w:r>
      <w:r>
        <w:rPr/>
        <w:t>datatype.</w:t>
      </w:r>
    </w:p>
    <w:p>
      <w:pPr>
        <w:pStyle w:val="BodyText"/>
        <w:spacing w:line="266" w:lineRule="exact"/>
        <w:ind w:left="220"/>
      </w:pPr>
      <w:r>
        <w:rPr/>
        <w:t>[</w:t>
      </w:r>
      <w:r>
        <w:rPr>
          <w:i/>
        </w:rPr>
        <w:t>Note</w:t>
      </w:r>
      <w:r>
        <w:rPr/>
        <w:t>: The W3C XML Schema definition of this simple type’s content model (</w:t>
      </w:r>
      <w:r>
        <w:rPr>
          <w:color w:val="5F5F5F"/>
          <w:u w:val="single" w:color="5F5F5F"/>
        </w:rPr>
        <w:t>ST_Ref</w:t>
      </w:r>
      <w:r>
        <w:rPr/>
        <w:t>) is located in §A.2. </w:t>
      </w:r>
      <w:r>
        <w:rPr>
          <w:i/>
        </w:rPr>
        <w:t>end note</w:t>
      </w:r>
      <w:r>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63 ST_RefA (Single Cell Reference)" w:id="2654"/>
      <w:bookmarkEnd w:id="2654"/>
      <w:r>
        <w:rPr>
          <w:b w:val="0"/>
        </w:rPr>
      </w:r>
      <w:bookmarkStart w:name="_bookmark885" w:id="2655"/>
      <w:bookmarkEnd w:id="2655"/>
      <w:r>
        <w:rPr>
          <w:b w:val="0"/>
        </w:rPr>
      </w:r>
      <w:bookmarkStart w:name="_bookmark885" w:id="2656"/>
      <w:bookmarkEnd w:id="2656"/>
      <w:r>
        <w:rPr>
          <w:color w:val="4F81BC"/>
        </w:rPr>
        <w:t>S</w:t>
      </w:r>
      <w:r>
        <w:rPr>
          <w:color w:val="4F81BC"/>
        </w:rPr>
        <w:t>T_RefA (Single Cell</w:t>
      </w:r>
      <w:r>
        <w:rPr>
          <w:color w:val="4F81BC"/>
          <w:spacing w:val="-14"/>
        </w:rPr>
        <w:t> </w:t>
      </w:r>
      <w:r>
        <w:rPr>
          <w:color w:val="4F81BC"/>
        </w:rPr>
        <w:t>Reference)</w:t>
      </w:r>
    </w:p>
    <w:p>
      <w:pPr>
        <w:pStyle w:val="BodyText"/>
        <w:spacing w:before="126"/>
        <w:ind w:left="220"/>
      </w:pPr>
      <w:r>
        <w:rPr/>
        <w:t>This simple type specifies a single cell reference that might be</w:t>
      </w:r>
      <w:r>
        <w:rPr>
          <w:spacing w:val="-25"/>
        </w:rPr>
        <w:t> </w:t>
      </w:r>
      <w:r>
        <w:rPr/>
        <w:t>absolute.</w:t>
      </w:r>
    </w:p>
    <w:p>
      <w:pPr>
        <w:spacing w:after="0"/>
        <w:sectPr>
          <w:footerReference w:type="even" r:id="rId351"/>
          <w:footerReference w:type="default" r:id="rId352"/>
          <w:pgSz w:w="12240" w:h="15840"/>
          <w:pgMar w:footer="746" w:header="761" w:top="1340" w:bottom="940" w:left="860" w:right="700"/>
          <w:pgNumType w:start="2480"/>
        </w:sectPr>
      </w:pPr>
    </w:p>
    <w:p>
      <w:pPr>
        <w:pStyle w:val="BodyText"/>
        <w:spacing w:before="150"/>
        <w:ind w:left="220"/>
      </w:pPr>
      <w:r>
        <w:rPr/>
        <w:t>This simple type's contents are a restriction of the W3C XML Schema </w:t>
      </w:r>
      <w:r>
        <w:rPr>
          <w:rFonts w:ascii="Cambria"/>
        </w:rPr>
        <w:t>string </w:t>
      </w:r>
      <w:r>
        <w:rPr/>
        <w:t>datatype.</w:t>
      </w:r>
    </w:p>
    <w:p>
      <w:pPr>
        <w:pStyle w:val="BodyText"/>
        <w:spacing w:before="6"/>
        <w:rPr>
          <w:sz w:val="19"/>
        </w:rPr>
      </w:pPr>
    </w:p>
    <w:p>
      <w:pPr>
        <w:pStyle w:val="BodyText"/>
        <w:spacing w:line="278" w:lineRule="auto" w:before="1"/>
        <w:ind w:left="220" w:right="786"/>
      </w:pPr>
      <w:r>
        <w:rPr/>
        <w:t>[</w:t>
      </w:r>
      <w:r>
        <w:rPr>
          <w:i/>
        </w:rPr>
        <w:t>Note</w:t>
      </w:r>
      <w:r>
        <w:rPr/>
        <w:t>: The W3C XML Schema definition of this simple type’s content model (</w:t>
      </w:r>
      <w:r>
        <w:rPr>
          <w:color w:val="5F5F5F"/>
          <w:u w:val="single" w:color="5F5F5F"/>
        </w:rPr>
        <w:t>ST_RefA</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64 ST_RefMode (Reference Mode)" w:id="2657"/>
      <w:bookmarkEnd w:id="2657"/>
      <w:r>
        <w:rPr>
          <w:b w:val="0"/>
        </w:rPr>
      </w:r>
      <w:bookmarkStart w:name="_bookmark886" w:id="2658"/>
      <w:bookmarkEnd w:id="2658"/>
      <w:r>
        <w:rPr>
          <w:b w:val="0"/>
        </w:rPr>
      </w:r>
      <w:bookmarkStart w:name="_bookmark886" w:id="2659"/>
      <w:bookmarkEnd w:id="2659"/>
      <w:r>
        <w:rPr>
          <w:color w:val="4F81BC"/>
        </w:rPr>
        <w:t>S</w:t>
      </w:r>
      <w:r>
        <w:rPr>
          <w:color w:val="4F81BC"/>
        </w:rPr>
        <w:t>T_RefMode (Reference</w:t>
      </w:r>
      <w:r>
        <w:rPr>
          <w:color w:val="4F81BC"/>
          <w:spacing w:val="-1"/>
        </w:rPr>
        <w:t> </w:t>
      </w:r>
      <w:r>
        <w:rPr>
          <w:color w:val="4F81BC"/>
        </w:rPr>
        <w:t>Mode)</w:t>
      </w:r>
    </w:p>
    <w:p>
      <w:pPr>
        <w:pStyle w:val="BodyText"/>
        <w:spacing w:line="453" w:lineRule="auto" w:before="124"/>
        <w:ind w:left="220" w:right="1470"/>
      </w:pPr>
      <w:r>
        <w:rPr/>
        <w:t>This simple type defines the supported reference styles or modes for a workbook in SpreadsheetML. This simple type's contents are a restriction of the W3C XML Schema </w:t>
      </w:r>
      <w:r>
        <w:rPr>
          <w:rFonts w:ascii="Cambria"/>
        </w:rPr>
        <w:t>string </w:t>
      </w:r>
      <w:r>
        <w:rPr/>
        <w:t>datatype.</w:t>
      </w:r>
    </w:p>
    <w:p>
      <w:pPr>
        <w:pStyle w:val="BodyText"/>
        <w:spacing w:before="41"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430" w:hRule="atLeast"/>
        </w:trPr>
        <w:tc>
          <w:tcPr>
            <w:tcW w:w="5156" w:type="dxa"/>
          </w:tcPr>
          <w:p>
            <w:pPr>
              <w:pStyle w:val="TableParagraph"/>
              <w:rPr>
                <w:sz w:val="22"/>
              </w:rPr>
            </w:pPr>
            <w:r>
              <w:rPr>
                <w:rFonts w:ascii="Cambria"/>
                <w:sz w:val="22"/>
              </w:rPr>
              <w:t>A1 </w:t>
            </w:r>
            <w:r>
              <w:rPr>
                <w:sz w:val="22"/>
              </w:rPr>
              <w:t>(A1 Mode)</w:t>
            </w:r>
          </w:p>
        </w:tc>
        <w:tc>
          <w:tcPr>
            <w:tcW w:w="5156" w:type="dxa"/>
          </w:tcPr>
          <w:p>
            <w:pPr>
              <w:pStyle w:val="TableParagraph"/>
              <w:ind w:right="122"/>
              <w:rPr>
                <w:sz w:val="22"/>
              </w:rPr>
            </w:pPr>
            <w:r>
              <w:rPr>
                <w:sz w:val="22"/>
              </w:rPr>
              <w:t>Indicates that the workbook uses A1 reference style. This is the default for SpreadsheetML. A1 reference style refers to columns with letters and refers to rows with numbers. For example, A1 refers to the cell at the intersection of column A and row 1.</w:t>
            </w:r>
          </w:p>
        </w:tc>
      </w:tr>
      <w:tr>
        <w:trPr>
          <w:trHeight w:val="1965" w:hRule="atLeast"/>
        </w:trPr>
        <w:tc>
          <w:tcPr>
            <w:tcW w:w="5156" w:type="dxa"/>
          </w:tcPr>
          <w:p>
            <w:pPr>
              <w:pStyle w:val="TableParagraph"/>
              <w:rPr>
                <w:sz w:val="22"/>
              </w:rPr>
            </w:pPr>
            <w:r>
              <w:rPr>
                <w:rFonts w:ascii="Cambria"/>
                <w:sz w:val="22"/>
              </w:rPr>
              <w:t>R1C1 </w:t>
            </w:r>
            <w:r>
              <w:rPr>
                <w:sz w:val="22"/>
              </w:rPr>
              <w:t>(R1C1 Reference Mode)</w:t>
            </w:r>
          </w:p>
        </w:tc>
        <w:tc>
          <w:tcPr>
            <w:tcW w:w="5156" w:type="dxa"/>
          </w:tcPr>
          <w:p>
            <w:pPr>
              <w:pStyle w:val="TableParagraph"/>
              <w:ind w:right="128"/>
              <w:rPr>
                <w:sz w:val="22"/>
              </w:rPr>
            </w:pPr>
            <w:r>
              <w:rPr>
                <w:sz w:val="22"/>
              </w:rPr>
              <w:t>Indicates that the workbook uses the R1C1 reference style. R1C1 reference style refers to both the rows and the columns on the worksheet with numbers. The location of a cell is indicated with an "R" followed by a row number and a "C" followed by a column number. For example, R1C1 refers to the cell at the intersection of row R1 and column C1.</w:t>
            </w:r>
          </w:p>
        </w:tc>
      </w:tr>
    </w:tbl>
    <w:p>
      <w:pPr>
        <w:pStyle w:val="BodyText"/>
      </w:pPr>
    </w:p>
    <w:p>
      <w:pPr>
        <w:pStyle w:val="BodyText"/>
        <w:spacing w:before="5"/>
        <w:rPr>
          <w:sz w:val="19"/>
        </w:rPr>
      </w:pPr>
    </w:p>
    <w:p>
      <w:pPr>
        <w:pStyle w:val="BodyText"/>
        <w:spacing w:line="278" w:lineRule="auto"/>
        <w:ind w:left="220" w:right="384"/>
      </w:pPr>
      <w:r>
        <w:rPr/>
        <w:t>[</w:t>
      </w:r>
      <w:r>
        <w:rPr>
          <w:i/>
        </w:rPr>
        <w:t>Note</w:t>
      </w:r>
      <w:r>
        <w:rPr/>
        <w:t>: The W3C XML Schema definition of this simple type’s content model (</w:t>
      </w:r>
      <w:r>
        <w:rPr>
          <w:color w:val="5F5F5F"/>
          <w:u w:val="single" w:color="5F5F5F"/>
        </w:rPr>
        <w:t>ST_RefMode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1" w:after="0"/>
        <w:ind w:left="1444" w:right="0" w:hanging="1225"/>
        <w:jc w:val="left"/>
      </w:pPr>
      <w:bookmarkStart w:name="18.18.65 ST_RevisionAction (Revision Act" w:id="2660"/>
      <w:bookmarkEnd w:id="2660"/>
      <w:r>
        <w:rPr>
          <w:b w:val="0"/>
        </w:rPr>
      </w:r>
      <w:bookmarkStart w:name="_bookmark887" w:id="2661"/>
      <w:bookmarkEnd w:id="2661"/>
      <w:r>
        <w:rPr>
          <w:b w:val="0"/>
        </w:rPr>
      </w:r>
      <w:bookmarkStart w:name="_bookmark887" w:id="2662"/>
      <w:bookmarkEnd w:id="2662"/>
      <w:r>
        <w:rPr>
          <w:color w:val="4F81BC"/>
        </w:rPr>
        <w:t>S</w:t>
      </w:r>
      <w:r>
        <w:rPr>
          <w:color w:val="4F81BC"/>
        </w:rPr>
        <w:t>T_RevisionAction (Revision Action</w:t>
      </w:r>
      <w:r>
        <w:rPr>
          <w:color w:val="4F81BC"/>
          <w:spacing w:val="1"/>
        </w:rPr>
        <w:t> </w:t>
      </w:r>
      <w:r>
        <w:rPr>
          <w:color w:val="4F81BC"/>
        </w:rPr>
        <w:t>Types)</w:t>
      </w:r>
    </w:p>
    <w:p>
      <w:pPr>
        <w:pStyle w:val="BodyText"/>
        <w:spacing w:line="453" w:lineRule="auto" w:before="124"/>
        <w:ind w:left="220" w:right="1046"/>
      </w:pPr>
      <w:r>
        <w:rPr/>
        <w:t>Identifies what kind of action the user performed. Applies to Comment and Custom View revision record. This simple type's contents are a restriction of the W3C XML Schema </w:t>
      </w:r>
      <w:r>
        <w:rPr>
          <w:rFonts w:ascii="Cambria"/>
        </w:rPr>
        <w:t>string </w:t>
      </w:r>
      <w:r>
        <w:rPr/>
        <w:t>datatype.</w:t>
      </w:r>
    </w:p>
    <w:p>
      <w:pPr>
        <w:pStyle w:val="BodyText"/>
        <w:spacing w:before="40"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5" w:hRule="atLeast"/>
        </w:trPr>
        <w:tc>
          <w:tcPr>
            <w:tcW w:w="5156" w:type="dxa"/>
          </w:tcPr>
          <w:p>
            <w:pPr>
              <w:pStyle w:val="TableParagraph"/>
              <w:rPr>
                <w:sz w:val="22"/>
              </w:rPr>
            </w:pPr>
            <w:r>
              <w:rPr>
                <w:rFonts w:ascii="Cambria"/>
                <w:sz w:val="22"/>
              </w:rPr>
              <w:t>add </w:t>
            </w:r>
            <w:r>
              <w:rPr>
                <w:sz w:val="22"/>
              </w:rPr>
              <w:t>(Add)</w:t>
            </w:r>
          </w:p>
        </w:tc>
        <w:tc>
          <w:tcPr>
            <w:tcW w:w="5156" w:type="dxa"/>
          </w:tcPr>
          <w:p>
            <w:pPr>
              <w:pStyle w:val="TableParagraph"/>
              <w:rPr>
                <w:sz w:val="22"/>
              </w:rPr>
            </w:pPr>
            <w:r>
              <w:rPr>
                <w:sz w:val="22"/>
              </w:rPr>
              <w:t>Add action.</w:t>
            </w:r>
          </w:p>
        </w:tc>
      </w:tr>
      <w:tr>
        <w:trPr>
          <w:trHeight w:val="354" w:hRule="atLeast"/>
        </w:trPr>
        <w:tc>
          <w:tcPr>
            <w:tcW w:w="5156" w:type="dxa"/>
          </w:tcPr>
          <w:p>
            <w:pPr>
              <w:pStyle w:val="TableParagraph"/>
              <w:rPr>
                <w:sz w:val="22"/>
              </w:rPr>
            </w:pPr>
            <w:r>
              <w:rPr>
                <w:rFonts w:ascii="Cambria"/>
                <w:sz w:val="22"/>
              </w:rPr>
              <w:t>delete </w:t>
            </w:r>
            <w:r>
              <w:rPr>
                <w:sz w:val="22"/>
              </w:rPr>
              <w:t>(Delete)</w:t>
            </w:r>
          </w:p>
        </w:tc>
        <w:tc>
          <w:tcPr>
            <w:tcW w:w="5156" w:type="dxa"/>
          </w:tcPr>
          <w:p>
            <w:pPr>
              <w:pStyle w:val="TableParagraph"/>
              <w:rPr>
                <w:sz w:val="22"/>
              </w:rPr>
            </w:pPr>
            <w:r>
              <w:rPr>
                <w:sz w:val="22"/>
              </w:rPr>
              <w:t>Delete action.</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ST_RevisionAction</w:t>
      </w:r>
      <w:r>
        <w:rPr/>
        <w:t>) is located in</w:t>
      </w:r>
    </w:p>
    <w:p>
      <w:pPr>
        <w:spacing w:before="41"/>
        <w:ind w:left="220" w:right="0" w:firstLine="0"/>
        <w:jc w:val="left"/>
        <w:rPr>
          <w:sz w:val="22"/>
        </w:rPr>
      </w:pPr>
      <w:r>
        <w:rPr>
          <w:sz w:val="22"/>
        </w:rPr>
        <w:t>§A.2. </w:t>
      </w:r>
      <w:r>
        <w:rPr>
          <w:i/>
          <w:sz w:val="22"/>
        </w:rPr>
        <w:t>end note</w:t>
      </w:r>
      <w:r>
        <w:rPr>
          <w:sz w:val="22"/>
        </w:rPr>
        <w:t>]</w:t>
      </w:r>
    </w:p>
    <w:p>
      <w:pPr>
        <w:spacing w:after="0"/>
        <w:jc w:val="left"/>
        <w:rPr>
          <w:sz w:val="22"/>
        </w:rPr>
        <w:sectPr>
          <w:pgSz w:w="12240" w:h="15840"/>
          <w:pgMar w:header="763" w:footer="746" w:top="1340" w:bottom="940" w:left="860" w:right="700"/>
        </w:sectPr>
      </w:pPr>
    </w:p>
    <w:p>
      <w:pPr>
        <w:pStyle w:val="Heading2"/>
        <w:numPr>
          <w:ilvl w:val="2"/>
          <w:numId w:val="17"/>
        </w:numPr>
        <w:tabs>
          <w:tab w:pos="1445" w:val="left" w:leader="none"/>
        </w:tabs>
        <w:spacing w:line="240" w:lineRule="auto" w:before="93" w:after="0"/>
        <w:ind w:left="1444" w:right="0" w:hanging="1225"/>
        <w:jc w:val="left"/>
      </w:pPr>
      <w:bookmarkStart w:name="18.18.66 ST_rwColActionType (Row Column " w:id="2663"/>
      <w:bookmarkEnd w:id="2663"/>
      <w:r>
        <w:rPr>
          <w:b w:val="0"/>
        </w:rPr>
      </w:r>
      <w:bookmarkStart w:name="_bookmark888" w:id="2664"/>
      <w:bookmarkEnd w:id="2664"/>
      <w:r>
        <w:rPr>
          <w:b w:val="0"/>
        </w:rPr>
      </w:r>
      <w:bookmarkStart w:name="_bookmark888" w:id="2665"/>
      <w:bookmarkEnd w:id="2665"/>
      <w:r>
        <w:rPr>
          <w:color w:val="4F81BC"/>
        </w:rPr>
        <w:t>S</w:t>
      </w:r>
      <w:r>
        <w:rPr>
          <w:color w:val="4F81BC"/>
        </w:rPr>
        <w:t>T_rwColActionType (Row Column Action</w:t>
      </w:r>
      <w:r>
        <w:rPr>
          <w:color w:val="4F81BC"/>
          <w:spacing w:val="-4"/>
        </w:rPr>
        <w:t> </w:t>
      </w:r>
      <w:r>
        <w:rPr>
          <w:color w:val="4F81BC"/>
        </w:rPr>
        <w:t>Type)</w:t>
      </w:r>
    </w:p>
    <w:p>
      <w:pPr>
        <w:pStyle w:val="BodyText"/>
        <w:spacing w:before="125"/>
        <w:ind w:left="220"/>
      </w:pPr>
      <w:r>
        <w:rPr/>
        <w:t>Identifies what kind of an action was applied to a row or column.</w:t>
      </w:r>
    </w:p>
    <w:p>
      <w:pPr>
        <w:pStyle w:val="BodyText"/>
        <w:spacing w:before="8"/>
        <w:rPr>
          <w:sz w:val="19"/>
        </w:rPr>
      </w:pPr>
    </w:p>
    <w:p>
      <w:pPr>
        <w:pStyle w:val="BodyText"/>
        <w:spacing w:line="489" w:lineRule="auto"/>
        <w:ind w:left="220" w:right="2817"/>
        <w:jc w:val="both"/>
      </w:pPr>
      <w:r>
        <w:rPr/>
        <w:pict>
          <v:shape style="position:absolute;margin-left:48pt;margin-top:42.993629pt;width:516.35pt;height:91.6pt;mso-position-horizontal-relative:page;mso-position-vertical-relative:paragraph;z-index:25193779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deleteCol </w:t>
                        </w:r>
                        <w:r>
                          <w:rPr>
                            <w:sz w:val="22"/>
                          </w:rPr>
                          <w:t>(Delete Column)</w:t>
                        </w:r>
                      </w:p>
                    </w:tc>
                    <w:tc>
                      <w:tcPr>
                        <w:tcW w:w="5156" w:type="dxa"/>
                      </w:tcPr>
                      <w:p>
                        <w:pPr>
                          <w:pStyle w:val="TableParagraph"/>
                          <w:rPr>
                            <w:sz w:val="22"/>
                          </w:rPr>
                        </w:pPr>
                        <w:r>
                          <w:rPr>
                            <w:sz w:val="22"/>
                          </w:rPr>
                          <w:t>Column delete revision.</w:t>
                        </w:r>
                      </w:p>
                    </w:tc>
                  </w:tr>
                  <w:tr>
                    <w:trPr>
                      <w:trHeight w:val="352" w:hRule="atLeast"/>
                    </w:trPr>
                    <w:tc>
                      <w:tcPr>
                        <w:tcW w:w="5156" w:type="dxa"/>
                      </w:tcPr>
                      <w:p>
                        <w:pPr>
                          <w:pStyle w:val="TableParagraph"/>
                          <w:rPr>
                            <w:sz w:val="22"/>
                          </w:rPr>
                        </w:pPr>
                        <w:r>
                          <w:rPr>
                            <w:rFonts w:ascii="Cambria"/>
                            <w:sz w:val="22"/>
                          </w:rPr>
                          <w:t>deleteRow </w:t>
                        </w:r>
                        <w:r>
                          <w:rPr>
                            <w:sz w:val="22"/>
                          </w:rPr>
                          <w:t>(Delete Row)</w:t>
                        </w:r>
                      </w:p>
                    </w:tc>
                    <w:tc>
                      <w:tcPr>
                        <w:tcW w:w="5156" w:type="dxa"/>
                      </w:tcPr>
                      <w:p>
                        <w:pPr>
                          <w:pStyle w:val="TableParagraph"/>
                          <w:rPr>
                            <w:sz w:val="22"/>
                          </w:rPr>
                        </w:pPr>
                        <w:r>
                          <w:rPr>
                            <w:sz w:val="22"/>
                          </w:rPr>
                          <w:t>Row delete revision.</w:t>
                        </w:r>
                      </w:p>
                    </w:tc>
                  </w:tr>
                  <w:tr>
                    <w:trPr>
                      <w:trHeight w:val="354" w:hRule="atLeast"/>
                    </w:trPr>
                    <w:tc>
                      <w:tcPr>
                        <w:tcW w:w="5156" w:type="dxa"/>
                      </w:tcPr>
                      <w:p>
                        <w:pPr>
                          <w:pStyle w:val="TableParagraph"/>
                          <w:spacing w:before="42"/>
                          <w:rPr>
                            <w:sz w:val="22"/>
                          </w:rPr>
                        </w:pPr>
                        <w:r>
                          <w:rPr>
                            <w:rFonts w:ascii="Cambria"/>
                            <w:sz w:val="22"/>
                          </w:rPr>
                          <w:t>insertCol </w:t>
                        </w:r>
                        <w:r>
                          <w:rPr>
                            <w:sz w:val="22"/>
                          </w:rPr>
                          <w:t>(Column Insert)</w:t>
                        </w:r>
                      </w:p>
                    </w:tc>
                    <w:tc>
                      <w:tcPr>
                        <w:tcW w:w="5156" w:type="dxa"/>
                      </w:tcPr>
                      <w:p>
                        <w:pPr>
                          <w:pStyle w:val="TableParagraph"/>
                          <w:spacing w:before="42"/>
                          <w:rPr>
                            <w:sz w:val="22"/>
                          </w:rPr>
                        </w:pPr>
                        <w:r>
                          <w:rPr>
                            <w:sz w:val="22"/>
                          </w:rPr>
                          <w:t>Column insert revision.</w:t>
                        </w:r>
                      </w:p>
                    </w:tc>
                  </w:tr>
                  <w:tr>
                    <w:trPr>
                      <w:trHeight w:val="354" w:hRule="atLeast"/>
                    </w:trPr>
                    <w:tc>
                      <w:tcPr>
                        <w:tcW w:w="5156" w:type="dxa"/>
                      </w:tcPr>
                      <w:p>
                        <w:pPr>
                          <w:pStyle w:val="TableParagraph"/>
                          <w:rPr>
                            <w:sz w:val="22"/>
                          </w:rPr>
                        </w:pPr>
                        <w:r>
                          <w:rPr>
                            <w:rFonts w:ascii="Cambria"/>
                            <w:sz w:val="22"/>
                          </w:rPr>
                          <w:t>insertRow </w:t>
                        </w:r>
                        <w:r>
                          <w:rPr>
                            <w:sz w:val="22"/>
                          </w:rPr>
                          <w:t>(Insert Row)</w:t>
                        </w:r>
                      </w:p>
                    </w:tc>
                    <w:tc>
                      <w:tcPr>
                        <w:tcW w:w="5156" w:type="dxa"/>
                      </w:tcPr>
                      <w:p>
                        <w:pPr>
                          <w:pStyle w:val="TableParagraph"/>
                          <w:rPr>
                            <w:sz w:val="22"/>
                          </w:rPr>
                        </w:pPr>
                        <w:r>
                          <w:rPr>
                            <w:sz w:val="22"/>
                          </w:rPr>
                          <w:t>Row insert revision.</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8"/>
        </w:rPr>
      </w:pPr>
    </w:p>
    <w:p>
      <w:pPr>
        <w:pStyle w:val="BodyText"/>
        <w:ind w:left="220"/>
      </w:pPr>
      <w:r>
        <w:rPr/>
        <w:t>[</w:t>
      </w:r>
      <w:r>
        <w:rPr>
          <w:i/>
        </w:rPr>
        <w:t>Note</w:t>
      </w:r>
      <w:r>
        <w:rPr/>
        <w:t>: The W3C XML Schema definition of this simple type’s content model (</w:t>
      </w:r>
      <w:r>
        <w:rPr>
          <w:color w:val="5F5F5F"/>
          <w:u w:val="single" w:color="5F5F5F"/>
        </w:rPr>
        <w:t>ST_rwColActionType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67 ST_Scope (Conditional Formattin" w:id="2666"/>
      <w:bookmarkEnd w:id="2666"/>
      <w:r>
        <w:rPr>
          <w:b w:val="0"/>
        </w:rPr>
      </w:r>
      <w:bookmarkStart w:name="_bookmark889" w:id="2667"/>
      <w:bookmarkEnd w:id="2667"/>
      <w:r>
        <w:rPr>
          <w:b w:val="0"/>
        </w:rPr>
      </w:r>
      <w:bookmarkStart w:name="_bookmark889" w:id="2668"/>
      <w:bookmarkEnd w:id="2668"/>
      <w:r>
        <w:rPr>
          <w:color w:val="4F81BC"/>
        </w:rPr>
        <w:t>S</w:t>
      </w:r>
      <w:r>
        <w:rPr>
          <w:color w:val="4F81BC"/>
        </w:rPr>
        <w:t>T_Scope (Conditional Formatting</w:t>
      </w:r>
      <w:r>
        <w:rPr>
          <w:color w:val="4F81BC"/>
          <w:spacing w:val="-4"/>
        </w:rPr>
        <w:t> </w:t>
      </w:r>
      <w:r>
        <w:rPr>
          <w:color w:val="4F81BC"/>
        </w:rPr>
        <w:t>Scope)</w:t>
      </w:r>
    </w:p>
    <w:p>
      <w:pPr>
        <w:pStyle w:val="BodyText"/>
        <w:spacing w:line="472" w:lineRule="auto" w:before="126"/>
        <w:ind w:left="220" w:right="2773"/>
        <w:jc w:val="both"/>
      </w:pPr>
      <w:r>
        <w:rPr/>
        <w:pict>
          <v:shape style="position:absolute;margin-left:48pt;margin-top:74.613609pt;width:516.35pt;height:113.7pt;mso-position-horizontal-relative:page;mso-position-vertical-relative:paragraph;z-index:2519388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data </w:t>
                        </w:r>
                        <w:r>
                          <w:rPr>
                            <w:sz w:val="22"/>
                          </w:rPr>
                          <w:t>(Data Fields)</w:t>
                        </w:r>
                      </w:p>
                    </w:tc>
                    <w:tc>
                      <w:tcPr>
                        <w:tcW w:w="5156" w:type="dxa"/>
                      </w:tcPr>
                      <w:p>
                        <w:pPr>
                          <w:pStyle w:val="TableParagraph"/>
                          <w:ind w:right="241"/>
                          <w:rPr>
                            <w:sz w:val="22"/>
                          </w:rPr>
                        </w:pPr>
                        <w:r>
                          <w:rPr>
                            <w:sz w:val="22"/>
                          </w:rPr>
                          <w:t>Indicates that conditional formatting is applied to the selected data fields.</w:t>
                        </w:r>
                      </w:p>
                    </w:tc>
                  </w:tr>
                  <w:tr>
                    <w:trPr>
                      <w:trHeight w:val="621" w:hRule="atLeast"/>
                    </w:trPr>
                    <w:tc>
                      <w:tcPr>
                        <w:tcW w:w="5156" w:type="dxa"/>
                      </w:tcPr>
                      <w:p>
                        <w:pPr>
                          <w:pStyle w:val="TableParagraph"/>
                          <w:rPr>
                            <w:sz w:val="22"/>
                          </w:rPr>
                        </w:pPr>
                        <w:r>
                          <w:rPr>
                            <w:rFonts w:ascii="Cambria"/>
                            <w:sz w:val="22"/>
                          </w:rPr>
                          <w:t>field </w:t>
                        </w:r>
                        <w:r>
                          <w:rPr>
                            <w:sz w:val="22"/>
                          </w:rPr>
                          <w:t>(Field Intersections)</w:t>
                        </w:r>
                      </w:p>
                    </w:tc>
                    <w:tc>
                      <w:tcPr>
                        <w:tcW w:w="5156" w:type="dxa"/>
                      </w:tcPr>
                      <w:p>
                        <w:pPr>
                          <w:pStyle w:val="TableParagraph"/>
                          <w:ind w:right="241"/>
                          <w:rPr>
                            <w:sz w:val="22"/>
                          </w:rPr>
                        </w:pPr>
                        <w:r>
                          <w:rPr>
                            <w:sz w:val="22"/>
                          </w:rPr>
                          <w:t>Indicates that conditional formatting is applied to the selected PivotTable field intersections.</w:t>
                        </w:r>
                      </w:p>
                    </w:tc>
                  </w:tr>
                  <w:tr>
                    <w:trPr>
                      <w:trHeight w:val="623" w:hRule="atLeast"/>
                    </w:trPr>
                    <w:tc>
                      <w:tcPr>
                        <w:tcW w:w="5156" w:type="dxa"/>
                      </w:tcPr>
                      <w:p>
                        <w:pPr>
                          <w:pStyle w:val="TableParagraph"/>
                          <w:rPr>
                            <w:sz w:val="22"/>
                          </w:rPr>
                        </w:pPr>
                        <w:r>
                          <w:rPr>
                            <w:rFonts w:ascii="Cambria"/>
                            <w:sz w:val="22"/>
                          </w:rPr>
                          <w:t>selection </w:t>
                        </w:r>
                        <w:r>
                          <w:rPr>
                            <w:sz w:val="22"/>
                          </w:rPr>
                          <w:t>(Selection)</w:t>
                        </w:r>
                      </w:p>
                    </w:tc>
                    <w:tc>
                      <w:tcPr>
                        <w:tcW w:w="5156" w:type="dxa"/>
                      </w:tcPr>
                      <w:p>
                        <w:pPr>
                          <w:pStyle w:val="TableParagraph"/>
                          <w:ind w:right="241"/>
                          <w:rPr>
                            <w:sz w:val="22"/>
                          </w:rPr>
                        </w:pPr>
                        <w:r>
                          <w:rPr>
                            <w:sz w:val="22"/>
                          </w:rPr>
                          <w:t>Indicates that conditional formatting is applied to the selected cells.</w:t>
                        </w:r>
                      </w:p>
                    </w:tc>
                  </w:tr>
                </w:tbl>
                <w:p>
                  <w:pPr>
                    <w:pStyle w:val="BodyText"/>
                  </w:pPr>
                </w:p>
              </w:txbxContent>
            </v:textbox>
            <w10:wrap type="none"/>
          </v:shape>
        </w:pict>
      </w:r>
      <w:r>
        <w:rPr/>
        <w:t>This simple type defines the scope of conditional formatting applied in the PivotTable. 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line="278" w:lineRule="auto" w:before="141"/>
        <w:ind w:left="220" w:right="674"/>
      </w:pPr>
      <w:r>
        <w:rPr/>
        <w:t>[</w:t>
      </w:r>
      <w:r>
        <w:rPr>
          <w:i/>
        </w:rPr>
        <w:t>Note</w:t>
      </w:r>
      <w:r>
        <w:rPr/>
        <w:t>: The W3C XML Schema definition of this simple type’s content model (</w:t>
      </w:r>
      <w:r>
        <w:rPr>
          <w:color w:val="5F5F5F"/>
          <w:u w:val="single" w:color="5F5F5F"/>
        </w:rPr>
        <w:t>ST_Scope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68 ST_SheetState (Sheet Visibility" w:id="2669"/>
      <w:bookmarkEnd w:id="2669"/>
      <w:r>
        <w:rPr>
          <w:b w:val="0"/>
        </w:rPr>
      </w:r>
      <w:bookmarkStart w:name="_bookmark890" w:id="2670"/>
      <w:bookmarkEnd w:id="2670"/>
      <w:r>
        <w:rPr>
          <w:b w:val="0"/>
        </w:rPr>
      </w:r>
      <w:bookmarkStart w:name="_bookmark890" w:id="2671"/>
      <w:bookmarkEnd w:id="2671"/>
      <w:r>
        <w:rPr>
          <w:color w:val="4F81BC"/>
        </w:rPr>
        <w:t>S</w:t>
      </w:r>
      <w:r>
        <w:rPr>
          <w:color w:val="4F81BC"/>
        </w:rPr>
        <w:t>T_SheetState (Sheet Visibility</w:t>
      </w:r>
      <w:r>
        <w:rPr>
          <w:color w:val="4F81BC"/>
          <w:spacing w:val="-3"/>
        </w:rPr>
        <w:t> </w:t>
      </w:r>
      <w:r>
        <w:rPr>
          <w:color w:val="4F81BC"/>
        </w:rPr>
        <w:t>Types)</w:t>
      </w:r>
    </w:p>
    <w:p>
      <w:pPr>
        <w:pStyle w:val="BodyText"/>
        <w:spacing w:before="125"/>
        <w:ind w:left="220"/>
      </w:pPr>
      <w:r>
        <w:rPr/>
        <w:t>This simple type defines the possible states for sheet visibility.</w:t>
      </w:r>
    </w:p>
    <w:p>
      <w:pPr>
        <w:pStyle w:val="BodyText"/>
        <w:spacing w:before="8"/>
        <w:rPr>
          <w:sz w:val="19"/>
        </w:rPr>
      </w:pPr>
    </w:p>
    <w:p>
      <w:pPr>
        <w:pStyle w:val="BodyText"/>
        <w:spacing w:line="489" w:lineRule="auto"/>
        <w:ind w:left="220" w:right="2817"/>
        <w:jc w:val="both"/>
      </w:pPr>
      <w:r>
        <w:rPr/>
        <w:pict>
          <v:shape style="position:absolute;margin-left:48pt;margin-top:42.993652pt;width:516.35pt;height:37pt;mso-position-horizontal-relative:page;mso-position-vertical-relative:paragraph;z-index:25193984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hidden </w:t>
                        </w:r>
                        <w:r>
                          <w:rPr>
                            <w:sz w:val="22"/>
                          </w:rPr>
                          <w:t>(Hidden)</w:t>
                        </w:r>
                      </w:p>
                    </w:tc>
                    <w:tc>
                      <w:tcPr>
                        <w:tcW w:w="5156" w:type="dxa"/>
                      </w:tcPr>
                      <w:p>
                        <w:pPr>
                          <w:pStyle w:val="TableParagraph"/>
                          <w:rPr>
                            <w:sz w:val="22"/>
                          </w:rPr>
                        </w:pPr>
                        <w:r>
                          <w:rPr>
                            <w:sz w:val="22"/>
                          </w:rPr>
                          <w:t>Indicates the workbook window is hidden, but can be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jc w:val="both"/>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shown by the user via the user interface.</w:t>
            </w:r>
          </w:p>
        </w:tc>
      </w:tr>
      <w:tr>
        <w:trPr>
          <w:trHeight w:val="890" w:hRule="atLeast"/>
        </w:trPr>
        <w:tc>
          <w:tcPr>
            <w:tcW w:w="5156" w:type="dxa"/>
          </w:tcPr>
          <w:p>
            <w:pPr>
              <w:pStyle w:val="TableParagraph"/>
              <w:rPr>
                <w:sz w:val="22"/>
              </w:rPr>
            </w:pPr>
            <w:r>
              <w:rPr>
                <w:rFonts w:ascii="Cambria"/>
                <w:sz w:val="22"/>
              </w:rPr>
              <w:t>veryHidden </w:t>
            </w:r>
            <w:r>
              <w:rPr>
                <w:sz w:val="22"/>
              </w:rPr>
              <w:t>(Very Hidden)</w:t>
            </w:r>
          </w:p>
        </w:tc>
        <w:tc>
          <w:tcPr>
            <w:tcW w:w="5156" w:type="dxa"/>
          </w:tcPr>
          <w:p>
            <w:pPr>
              <w:pStyle w:val="TableParagraph"/>
              <w:ind w:right="269"/>
              <w:rPr>
                <w:sz w:val="22"/>
              </w:rPr>
            </w:pPr>
            <w:r>
              <w:rPr>
                <w:sz w:val="22"/>
              </w:rPr>
              <w:t>Indicates the sheet is hidden and cannot be shown in the user interface (UI). This state is only available programmatically.</w:t>
            </w:r>
          </w:p>
        </w:tc>
      </w:tr>
      <w:tr>
        <w:trPr>
          <w:trHeight w:val="354" w:hRule="atLeast"/>
        </w:trPr>
        <w:tc>
          <w:tcPr>
            <w:tcW w:w="5156" w:type="dxa"/>
          </w:tcPr>
          <w:p>
            <w:pPr>
              <w:pStyle w:val="TableParagraph"/>
              <w:rPr>
                <w:sz w:val="22"/>
              </w:rPr>
            </w:pPr>
            <w:r>
              <w:rPr>
                <w:rFonts w:ascii="Cambria"/>
                <w:sz w:val="22"/>
              </w:rPr>
              <w:t>visible </w:t>
            </w:r>
            <w:r>
              <w:rPr>
                <w:sz w:val="22"/>
              </w:rPr>
              <w:t>(Visible)</w:t>
            </w:r>
          </w:p>
        </w:tc>
        <w:tc>
          <w:tcPr>
            <w:tcW w:w="5156" w:type="dxa"/>
          </w:tcPr>
          <w:p>
            <w:pPr>
              <w:pStyle w:val="TableParagraph"/>
              <w:rPr>
                <w:sz w:val="22"/>
              </w:rPr>
            </w:pPr>
            <w:r>
              <w:rPr>
                <w:sz w:val="22"/>
              </w:rPr>
              <w:t>Indicates the sheet is visible.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ST_SheetState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69 ST_SheetViewType (Sheet View Ty" w:id="2672"/>
      <w:bookmarkEnd w:id="2672"/>
      <w:r>
        <w:rPr>
          <w:b w:val="0"/>
        </w:rPr>
      </w:r>
      <w:bookmarkStart w:name="_bookmark891" w:id="2673"/>
      <w:bookmarkEnd w:id="2673"/>
      <w:r>
        <w:rPr>
          <w:b w:val="0"/>
        </w:rPr>
      </w:r>
      <w:bookmarkStart w:name="_bookmark891" w:id="2674"/>
      <w:bookmarkEnd w:id="2674"/>
      <w:r>
        <w:rPr>
          <w:color w:val="4F81BC"/>
        </w:rPr>
        <w:t>S</w:t>
      </w:r>
      <w:r>
        <w:rPr>
          <w:color w:val="4F81BC"/>
        </w:rPr>
        <w:t>T_SheetViewType (Sheet View Type)</w:t>
      </w:r>
    </w:p>
    <w:p>
      <w:pPr>
        <w:spacing w:line="276" w:lineRule="auto" w:before="124"/>
        <w:ind w:left="220" w:right="1259" w:firstLine="0"/>
        <w:jc w:val="left"/>
        <w:rPr>
          <w:sz w:val="22"/>
        </w:rPr>
      </w:pPr>
      <w:r>
        <w:rPr>
          <w:sz w:val="22"/>
        </w:rPr>
        <w:t>This simple type defines the kinds of view available to an application when rendering a SpreadsheetML document. Those view kinds are, as follows: </w:t>
      </w:r>
      <w:r>
        <w:rPr>
          <w:i/>
          <w:sz w:val="22"/>
        </w:rPr>
        <w:t>normal view</w:t>
      </w:r>
      <w:r>
        <w:rPr>
          <w:sz w:val="22"/>
        </w:rPr>
        <w:t>, </w:t>
      </w:r>
      <w:r>
        <w:rPr>
          <w:i/>
          <w:sz w:val="22"/>
        </w:rPr>
        <w:t>page break preview</w:t>
      </w:r>
      <w:r>
        <w:rPr>
          <w:sz w:val="22"/>
        </w:rPr>
        <w:t>, and </w:t>
      </w:r>
      <w:r>
        <w:rPr>
          <w:i/>
          <w:sz w:val="22"/>
        </w:rPr>
        <w:t>page layout view</w:t>
      </w:r>
      <w:r>
        <w:rPr>
          <w:sz w:val="22"/>
        </w:rPr>
        <w:t>.</w:t>
      </w:r>
    </w:p>
    <w:p>
      <w:pPr>
        <w:pStyle w:val="BodyText"/>
        <w:spacing w:before="5"/>
        <w:rPr>
          <w:sz w:val="16"/>
        </w:rPr>
      </w:pPr>
    </w:p>
    <w:p>
      <w:pPr>
        <w:pStyle w:val="BodyText"/>
        <w:spacing w:line="489" w:lineRule="auto" w:before="1"/>
        <w:ind w:left="220" w:right="2804"/>
      </w:pPr>
      <w:r>
        <w:rPr/>
        <w:pict>
          <v:shape style="position:absolute;margin-left:48pt;margin-top:43.043636pt;width:516.35pt;height:221.1pt;mso-position-horizontal-relative:page;mso-position-vertical-relative:paragraph;z-index:25194086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158" w:hRule="atLeast"/>
                    </w:trPr>
                    <w:tc>
                      <w:tcPr>
                        <w:tcW w:w="5156" w:type="dxa"/>
                      </w:tcPr>
                      <w:p>
                        <w:pPr>
                          <w:pStyle w:val="TableParagraph"/>
                          <w:rPr>
                            <w:sz w:val="22"/>
                          </w:rPr>
                        </w:pPr>
                        <w:r>
                          <w:rPr>
                            <w:rFonts w:ascii="Cambria"/>
                            <w:sz w:val="22"/>
                          </w:rPr>
                          <w:t>normal </w:t>
                        </w:r>
                        <w:r>
                          <w:rPr>
                            <w:sz w:val="22"/>
                          </w:rPr>
                          <w:t>(Normal View)</w:t>
                        </w:r>
                      </w:p>
                    </w:tc>
                    <w:tc>
                      <w:tcPr>
                        <w:tcW w:w="5156" w:type="dxa"/>
                      </w:tcPr>
                      <w:p>
                        <w:pPr>
                          <w:pStyle w:val="TableParagraph"/>
                          <w:ind w:right="645"/>
                          <w:rPr>
                            <w:sz w:val="22"/>
                          </w:rPr>
                        </w:pPr>
                        <w:r>
                          <w:rPr>
                            <w:sz w:val="22"/>
                          </w:rPr>
                          <w:t>Specifies that the worksheet should be displayed without regard to pagination.</w:t>
                        </w:r>
                      </w:p>
                      <w:p>
                        <w:pPr>
                          <w:pStyle w:val="TableParagraph"/>
                          <w:spacing w:before="0"/>
                          <w:ind w:right="811"/>
                          <w:rPr>
                            <w:sz w:val="22"/>
                          </w:rPr>
                        </w:pPr>
                        <w:r>
                          <w:rPr>
                            <w:sz w:val="22"/>
                          </w:rPr>
                          <w:t>[</w:t>
                        </w:r>
                        <w:r>
                          <w:rPr>
                            <w:i/>
                            <w:sz w:val="22"/>
                          </w:rPr>
                          <w:t>Note</w:t>
                        </w:r>
                        <w:r>
                          <w:rPr>
                            <w:sz w:val="22"/>
                          </w:rPr>
                          <w:t>: The worksheet might be displayed as a continuous grid of cells, for example. </w:t>
                        </w:r>
                        <w:r>
                          <w:rPr>
                            <w:i/>
                            <w:sz w:val="22"/>
                          </w:rPr>
                          <w:t>end note</w:t>
                        </w:r>
                        <w:r>
                          <w:rPr>
                            <w:sz w:val="22"/>
                          </w:rPr>
                          <w:t>]</w:t>
                        </w:r>
                      </w:p>
                    </w:tc>
                  </w:tr>
                  <w:tr>
                    <w:trPr>
                      <w:trHeight w:val="1430" w:hRule="atLeast"/>
                    </w:trPr>
                    <w:tc>
                      <w:tcPr>
                        <w:tcW w:w="5156" w:type="dxa"/>
                      </w:tcPr>
                      <w:p>
                        <w:pPr>
                          <w:pStyle w:val="TableParagraph"/>
                          <w:rPr>
                            <w:sz w:val="22"/>
                          </w:rPr>
                        </w:pPr>
                        <w:r>
                          <w:rPr>
                            <w:rFonts w:ascii="Cambria"/>
                            <w:sz w:val="22"/>
                          </w:rPr>
                          <w:t>pageBreakPreview </w:t>
                        </w:r>
                        <w:r>
                          <w:rPr>
                            <w:sz w:val="22"/>
                          </w:rPr>
                          <w:t>(Page Break Preview)</w:t>
                        </w:r>
                      </w:p>
                    </w:tc>
                    <w:tc>
                      <w:tcPr>
                        <w:tcW w:w="5156" w:type="dxa"/>
                      </w:tcPr>
                      <w:p>
                        <w:pPr>
                          <w:pStyle w:val="TableParagraph"/>
                          <w:ind w:right="284"/>
                          <w:rPr>
                            <w:sz w:val="22"/>
                          </w:rPr>
                        </w:pPr>
                        <w:r>
                          <w:rPr>
                            <w:sz w:val="22"/>
                          </w:rPr>
                          <w:t>Specifies that the worksheet should be displayed showing where pages would break if it were printed. [</w:t>
                        </w:r>
                        <w:r>
                          <w:rPr>
                            <w:i/>
                            <w:sz w:val="22"/>
                          </w:rPr>
                          <w:t>Note</w:t>
                        </w:r>
                        <w:r>
                          <w:rPr>
                            <w:sz w:val="22"/>
                          </w:rPr>
                          <w:t>: The worksheet might be displayed as a continuous grid of cells with lines overlaid, indicating page breaks, for example. </w:t>
                        </w:r>
                        <w:r>
                          <w:rPr>
                            <w:i/>
                            <w:sz w:val="22"/>
                          </w:rPr>
                          <w:t>end note</w:t>
                        </w:r>
                        <w:r>
                          <w:rPr>
                            <w:sz w:val="22"/>
                          </w:rPr>
                          <w:t>]</w:t>
                        </w:r>
                      </w:p>
                    </w:tc>
                  </w:tr>
                  <w:tr>
                    <w:trPr>
                      <w:trHeight w:val="1427" w:hRule="atLeast"/>
                    </w:trPr>
                    <w:tc>
                      <w:tcPr>
                        <w:tcW w:w="5156" w:type="dxa"/>
                      </w:tcPr>
                      <w:p>
                        <w:pPr>
                          <w:pStyle w:val="TableParagraph"/>
                          <w:rPr>
                            <w:sz w:val="22"/>
                          </w:rPr>
                        </w:pPr>
                        <w:r>
                          <w:rPr>
                            <w:rFonts w:ascii="Cambria"/>
                            <w:sz w:val="22"/>
                          </w:rPr>
                          <w:t>pageLayout </w:t>
                        </w:r>
                        <w:r>
                          <w:rPr>
                            <w:sz w:val="22"/>
                          </w:rPr>
                          <w:t>(Page Layout View)</w:t>
                        </w:r>
                      </w:p>
                    </w:tc>
                    <w:tc>
                      <w:tcPr>
                        <w:tcW w:w="5156" w:type="dxa"/>
                      </w:tcPr>
                      <w:p>
                        <w:pPr>
                          <w:pStyle w:val="TableParagraph"/>
                          <w:ind w:right="645"/>
                          <w:rPr>
                            <w:sz w:val="22"/>
                          </w:rPr>
                        </w:pPr>
                        <w:r>
                          <w:rPr>
                            <w:sz w:val="22"/>
                          </w:rPr>
                          <w:t>Specifies that the worksheet should be displayed mimicking how it would look if printed.</w:t>
                        </w:r>
                      </w:p>
                      <w:p>
                        <w:pPr>
                          <w:pStyle w:val="TableParagraph"/>
                          <w:spacing w:before="0"/>
                          <w:ind w:right="100"/>
                          <w:rPr>
                            <w:sz w:val="22"/>
                          </w:rPr>
                        </w:pPr>
                        <w:r>
                          <w:rPr>
                            <w:sz w:val="22"/>
                          </w:rPr>
                          <w:t>[</w:t>
                        </w:r>
                        <w:r>
                          <w:rPr>
                            <w:i/>
                            <w:sz w:val="22"/>
                          </w:rPr>
                          <w:t>Note</w:t>
                        </w:r>
                        <w:r>
                          <w:rPr>
                            <w:sz w:val="22"/>
                          </w:rPr>
                          <w:t>: The worksheet might be displayed as a set of printed pages, showing a discontinuous grid of cells with page borders and margins, for example. </w:t>
                        </w:r>
                        <w:r>
                          <w:rPr>
                            <w:i/>
                            <w:sz w:val="22"/>
                          </w:rPr>
                          <w:t>end note</w:t>
                        </w:r>
                        <w:r>
                          <w:rPr>
                            <w:sz w:val="22"/>
                          </w:rPr>
                          <w:t>]</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32"/>
        </w:rPr>
      </w:pPr>
    </w:p>
    <w:p>
      <w:pPr>
        <w:pStyle w:val="BodyText"/>
        <w:ind w:left="220"/>
      </w:pPr>
      <w:r>
        <w:rPr/>
        <w:t>[</w:t>
      </w:r>
      <w:r>
        <w:rPr>
          <w:i/>
        </w:rPr>
        <w:t>Note</w:t>
      </w:r>
      <w:r>
        <w:rPr/>
        <w:t>: The W3C XML Schema definition of this simple type’s content model (</w:t>
      </w:r>
      <w:r>
        <w:rPr>
          <w:color w:val="5F5F5F"/>
          <w:u w:val="single" w:color="5F5F5F"/>
        </w:rPr>
        <w:t>ST_SheetViewType</w:t>
      </w:r>
      <w:r>
        <w:rPr/>
        <w:t>) is located in</w:t>
      </w:r>
    </w:p>
    <w:p>
      <w:pPr>
        <w:spacing w:before="44"/>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70 ST_ShowDataAs (Show Data As)" w:id="2675"/>
      <w:bookmarkEnd w:id="2675"/>
      <w:r>
        <w:rPr>
          <w:b w:val="0"/>
        </w:rPr>
      </w:r>
      <w:bookmarkStart w:name="_bookmark892" w:id="2676"/>
      <w:bookmarkEnd w:id="2676"/>
      <w:r>
        <w:rPr>
          <w:b w:val="0"/>
        </w:rPr>
      </w:r>
      <w:bookmarkStart w:name="_bookmark892" w:id="2677"/>
      <w:bookmarkEnd w:id="2677"/>
      <w:r>
        <w:rPr>
          <w:color w:val="4F81BC"/>
        </w:rPr>
        <w:t>S</w:t>
      </w:r>
      <w:r>
        <w:rPr>
          <w:color w:val="4F81BC"/>
        </w:rPr>
        <w:t>T_ShowDataAs (Show Data As)</w:t>
      </w:r>
    </w:p>
    <w:p>
      <w:pPr>
        <w:pStyle w:val="BodyText"/>
        <w:spacing w:before="124"/>
        <w:ind w:left="220"/>
      </w:pPr>
      <w:r>
        <w:rPr/>
        <w:t>This simple type defines the data formats for a field in the PivotTable.</w:t>
      </w:r>
    </w:p>
    <w:p>
      <w:pPr>
        <w:pStyle w:val="BodyText"/>
        <w:spacing w:before="8"/>
        <w:rPr>
          <w:sz w:val="19"/>
        </w:rPr>
      </w:pPr>
    </w:p>
    <w:p>
      <w:pPr>
        <w:pStyle w:val="BodyText"/>
        <w:spacing w:before="1"/>
        <w:ind w:left="220"/>
      </w:pPr>
      <w:r>
        <w:rPr/>
        <w:t>This simple type's contents are a restriction of the W3C XML Schema </w:t>
      </w:r>
      <w:r>
        <w:rPr>
          <w:rFonts w:ascii="Cambria"/>
        </w:rPr>
        <w:t>string </w:t>
      </w:r>
      <w:r>
        <w:rPr/>
        <w:t>datatype.</w:t>
      </w:r>
    </w:p>
    <w:p>
      <w:pPr>
        <w:spacing w:after="0"/>
        <w:sectPr>
          <w:pgSz w:w="12240" w:h="15840"/>
          <w:pgMar w:header="763" w:footer="746" w:top="1340" w:bottom="940" w:left="860" w:right="700"/>
        </w:sectPr>
      </w:pPr>
    </w:p>
    <w:p>
      <w:pPr>
        <w:pStyle w:val="BodyText"/>
        <w:spacing w:before="90"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1" w:hRule="atLeast"/>
        </w:trPr>
        <w:tc>
          <w:tcPr>
            <w:tcW w:w="5156" w:type="dxa"/>
          </w:tcPr>
          <w:p>
            <w:pPr>
              <w:pStyle w:val="TableParagraph"/>
              <w:rPr>
                <w:sz w:val="22"/>
              </w:rPr>
            </w:pPr>
            <w:r>
              <w:rPr>
                <w:rFonts w:ascii="Cambria"/>
                <w:sz w:val="22"/>
              </w:rPr>
              <w:t>difference </w:t>
            </w:r>
            <w:r>
              <w:rPr>
                <w:sz w:val="22"/>
              </w:rPr>
              <w:t>(Difference)</w:t>
            </w:r>
          </w:p>
        </w:tc>
        <w:tc>
          <w:tcPr>
            <w:tcW w:w="5156" w:type="dxa"/>
          </w:tcPr>
          <w:p>
            <w:pPr>
              <w:pStyle w:val="TableParagraph"/>
              <w:ind w:right="218"/>
              <w:rPr>
                <w:sz w:val="22"/>
              </w:rPr>
            </w:pPr>
            <w:r>
              <w:rPr>
                <w:sz w:val="22"/>
              </w:rPr>
              <w:t>Indicates the field is shown as the "difference from" a value.</w:t>
            </w:r>
          </w:p>
        </w:tc>
      </w:tr>
      <w:tr>
        <w:trPr>
          <w:trHeight w:val="354" w:hRule="atLeast"/>
        </w:trPr>
        <w:tc>
          <w:tcPr>
            <w:tcW w:w="5156" w:type="dxa"/>
          </w:tcPr>
          <w:p>
            <w:pPr>
              <w:pStyle w:val="TableParagraph"/>
              <w:rPr>
                <w:sz w:val="22"/>
              </w:rPr>
            </w:pPr>
            <w:r>
              <w:rPr>
                <w:rFonts w:ascii="Cambria"/>
                <w:sz w:val="22"/>
              </w:rPr>
              <w:t>index </w:t>
            </w:r>
            <w:r>
              <w:rPr>
                <w:sz w:val="22"/>
              </w:rPr>
              <w:t>(Index)</w:t>
            </w:r>
          </w:p>
        </w:tc>
        <w:tc>
          <w:tcPr>
            <w:tcW w:w="5156" w:type="dxa"/>
          </w:tcPr>
          <w:p>
            <w:pPr>
              <w:pStyle w:val="TableParagraph"/>
              <w:rPr>
                <w:sz w:val="22"/>
              </w:rPr>
            </w:pPr>
            <w:r>
              <w:rPr>
                <w:sz w:val="22"/>
              </w:rPr>
              <w:t>Indicates the field is shown as the "index.</w:t>
            </w:r>
          </w:p>
        </w:tc>
      </w:tr>
      <w:tr>
        <w:trPr>
          <w:trHeight w:val="623" w:hRule="atLeast"/>
        </w:trPr>
        <w:tc>
          <w:tcPr>
            <w:tcW w:w="5156" w:type="dxa"/>
          </w:tcPr>
          <w:p>
            <w:pPr>
              <w:pStyle w:val="TableParagraph"/>
              <w:rPr>
                <w:sz w:val="22"/>
              </w:rPr>
            </w:pPr>
            <w:r>
              <w:rPr>
                <w:rFonts w:ascii="Cambria"/>
                <w:sz w:val="22"/>
              </w:rPr>
              <w:t>normal </w:t>
            </w:r>
            <w:r>
              <w:rPr>
                <w:sz w:val="22"/>
              </w:rPr>
              <w:t>(Normal Data Type)</w:t>
            </w:r>
          </w:p>
        </w:tc>
        <w:tc>
          <w:tcPr>
            <w:tcW w:w="5156" w:type="dxa"/>
          </w:tcPr>
          <w:p>
            <w:pPr>
              <w:pStyle w:val="TableParagraph"/>
              <w:ind w:right="529"/>
              <w:rPr>
                <w:sz w:val="22"/>
              </w:rPr>
            </w:pPr>
            <w:r>
              <w:rPr>
                <w:sz w:val="22"/>
              </w:rPr>
              <w:t>Indicates that the field is shown as its normal data type.</w:t>
            </w:r>
          </w:p>
        </w:tc>
      </w:tr>
      <w:tr>
        <w:trPr>
          <w:trHeight w:val="354" w:hRule="atLeast"/>
        </w:trPr>
        <w:tc>
          <w:tcPr>
            <w:tcW w:w="5156" w:type="dxa"/>
          </w:tcPr>
          <w:p>
            <w:pPr>
              <w:pStyle w:val="TableParagraph"/>
              <w:rPr>
                <w:sz w:val="22"/>
              </w:rPr>
            </w:pPr>
            <w:r>
              <w:rPr>
                <w:rFonts w:ascii="Cambria"/>
                <w:sz w:val="22"/>
              </w:rPr>
              <w:t>percent </w:t>
            </w:r>
            <w:r>
              <w:rPr>
                <w:sz w:val="22"/>
              </w:rPr>
              <w:t>(Percentage Of)</w:t>
            </w:r>
          </w:p>
        </w:tc>
        <w:tc>
          <w:tcPr>
            <w:tcW w:w="5156" w:type="dxa"/>
          </w:tcPr>
          <w:p>
            <w:pPr>
              <w:pStyle w:val="TableParagraph"/>
              <w:rPr>
                <w:sz w:val="22"/>
              </w:rPr>
            </w:pPr>
            <w:r>
              <w:rPr>
                <w:sz w:val="22"/>
              </w:rPr>
              <w:t>Indicates the field is show as the "percentage of</w:t>
            </w:r>
          </w:p>
        </w:tc>
      </w:tr>
      <w:tr>
        <w:trPr>
          <w:trHeight w:val="623" w:hRule="atLeast"/>
        </w:trPr>
        <w:tc>
          <w:tcPr>
            <w:tcW w:w="5156" w:type="dxa"/>
          </w:tcPr>
          <w:p>
            <w:pPr>
              <w:pStyle w:val="TableParagraph"/>
              <w:rPr>
                <w:sz w:val="22"/>
              </w:rPr>
            </w:pPr>
            <w:r>
              <w:rPr>
                <w:rFonts w:ascii="Cambria"/>
                <w:sz w:val="22"/>
              </w:rPr>
              <w:t>percentDiff </w:t>
            </w:r>
            <w:r>
              <w:rPr>
                <w:sz w:val="22"/>
              </w:rPr>
              <w:t>(Percentage Difference)</w:t>
            </w:r>
          </w:p>
        </w:tc>
        <w:tc>
          <w:tcPr>
            <w:tcW w:w="5156" w:type="dxa"/>
          </w:tcPr>
          <w:p>
            <w:pPr>
              <w:pStyle w:val="TableParagraph"/>
              <w:ind w:right="848"/>
              <w:rPr>
                <w:sz w:val="22"/>
              </w:rPr>
            </w:pPr>
            <w:r>
              <w:rPr>
                <w:sz w:val="22"/>
              </w:rPr>
              <w:t>Indicates the field is shown as the "percentage difference from" a value.</w:t>
            </w:r>
          </w:p>
        </w:tc>
      </w:tr>
      <w:tr>
        <w:trPr>
          <w:trHeight w:val="624" w:hRule="atLeast"/>
        </w:trPr>
        <w:tc>
          <w:tcPr>
            <w:tcW w:w="5156" w:type="dxa"/>
          </w:tcPr>
          <w:p>
            <w:pPr>
              <w:pStyle w:val="TableParagraph"/>
              <w:rPr>
                <w:sz w:val="22"/>
              </w:rPr>
            </w:pPr>
            <w:r>
              <w:rPr>
                <w:rFonts w:ascii="Cambria"/>
                <w:sz w:val="22"/>
              </w:rPr>
              <w:t>percentOfCol </w:t>
            </w:r>
            <w:r>
              <w:rPr>
                <w:sz w:val="22"/>
              </w:rPr>
              <w:t>(Percent of Column)</w:t>
            </w:r>
          </w:p>
        </w:tc>
        <w:tc>
          <w:tcPr>
            <w:tcW w:w="5156" w:type="dxa"/>
          </w:tcPr>
          <w:p>
            <w:pPr>
              <w:pStyle w:val="TableParagraph"/>
              <w:ind w:right="704"/>
              <w:rPr>
                <w:sz w:val="22"/>
              </w:rPr>
            </w:pPr>
            <w:r>
              <w:rPr>
                <w:sz w:val="22"/>
              </w:rPr>
              <w:t>Indicates the field is shown as the percentage of column.</w:t>
            </w:r>
          </w:p>
        </w:tc>
      </w:tr>
      <w:tr>
        <w:trPr>
          <w:trHeight w:val="352" w:hRule="atLeast"/>
        </w:trPr>
        <w:tc>
          <w:tcPr>
            <w:tcW w:w="5156" w:type="dxa"/>
          </w:tcPr>
          <w:p>
            <w:pPr>
              <w:pStyle w:val="TableParagraph"/>
              <w:rPr>
                <w:sz w:val="22"/>
              </w:rPr>
            </w:pPr>
            <w:r>
              <w:rPr>
                <w:rFonts w:ascii="Cambria"/>
                <w:sz w:val="22"/>
              </w:rPr>
              <w:t>percentOfRow </w:t>
            </w:r>
            <w:r>
              <w:rPr>
                <w:sz w:val="22"/>
              </w:rPr>
              <w:t>(Percentage of Row)</w:t>
            </w:r>
          </w:p>
        </w:tc>
        <w:tc>
          <w:tcPr>
            <w:tcW w:w="5156" w:type="dxa"/>
          </w:tcPr>
          <w:p>
            <w:pPr>
              <w:pStyle w:val="TableParagraph"/>
              <w:rPr>
                <w:sz w:val="22"/>
              </w:rPr>
            </w:pPr>
            <w:r>
              <w:rPr>
                <w:sz w:val="22"/>
              </w:rPr>
              <w:t>Indicates the field is shown as the percentage of row</w:t>
            </w:r>
          </w:p>
        </w:tc>
      </w:tr>
      <w:tr>
        <w:trPr>
          <w:trHeight w:val="354" w:hRule="atLeast"/>
        </w:trPr>
        <w:tc>
          <w:tcPr>
            <w:tcW w:w="5156" w:type="dxa"/>
          </w:tcPr>
          <w:p>
            <w:pPr>
              <w:pStyle w:val="TableParagraph"/>
              <w:spacing w:before="42"/>
              <w:rPr>
                <w:sz w:val="22"/>
              </w:rPr>
            </w:pPr>
            <w:r>
              <w:rPr>
                <w:rFonts w:ascii="Cambria"/>
                <w:sz w:val="22"/>
              </w:rPr>
              <w:t>percentOfTotal </w:t>
            </w:r>
            <w:r>
              <w:rPr>
                <w:sz w:val="22"/>
              </w:rPr>
              <w:t>(Percentage of Total)</w:t>
            </w:r>
          </w:p>
        </w:tc>
        <w:tc>
          <w:tcPr>
            <w:tcW w:w="5156" w:type="dxa"/>
          </w:tcPr>
          <w:p>
            <w:pPr>
              <w:pStyle w:val="TableParagraph"/>
              <w:spacing w:before="42"/>
              <w:rPr>
                <w:sz w:val="22"/>
              </w:rPr>
            </w:pPr>
            <w:r>
              <w:rPr>
                <w:sz w:val="22"/>
              </w:rPr>
              <w:t>Indicates the field is shown as percentage of total.</w:t>
            </w:r>
          </w:p>
        </w:tc>
      </w:tr>
      <w:tr>
        <w:trPr>
          <w:trHeight w:val="623" w:hRule="atLeast"/>
        </w:trPr>
        <w:tc>
          <w:tcPr>
            <w:tcW w:w="5156" w:type="dxa"/>
          </w:tcPr>
          <w:p>
            <w:pPr>
              <w:pStyle w:val="TableParagraph"/>
              <w:rPr>
                <w:sz w:val="22"/>
              </w:rPr>
            </w:pPr>
            <w:r>
              <w:rPr>
                <w:rFonts w:ascii="Cambria"/>
                <w:sz w:val="22"/>
              </w:rPr>
              <w:t>runTotal </w:t>
            </w:r>
            <w:r>
              <w:rPr>
                <w:sz w:val="22"/>
              </w:rPr>
              <w:t>(Running Total)</w:t>
            </w:r>
          </w:p>
        </w:tc>
        <w:tc>
          <w:tcPr>
            <w:tcW w:w="5156" w:type="dxa"/>
          </w:tcPr>
          <w:p>
            <w:pPr>
              <w:pStyle w:val="TableParagraph"/>
              <w:ind w:right="571"/>
              <w:rPr>
                <w:sz w:val="22"/>
              </w:rPr>
            </w:pPr>
            <w:r>
              <w:rPr>
                <w:sz w:val="22"/>
              </w:rPr>
              <w:t>Indicates the field is shown as running total in the table.</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ST_ShowDataAs</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71 ST_SmartTagShow (Smart Tag Disp" w:id="2678"/>
      <w:bookmarkEnd w:id="2678"/>
      <w:r>
        <w:rPr>
          <w:b w:val="0"/>
        </w:rPr>
      </w:r>
      <w:bookmarkStart w:name="_bookmark893" w:id="2679"/>
      <w:bookmarkEnd w:id="2679"/>
      <w:r>
        <w:rPr>
          <w:b w:val="0"/>
        </w:rPr>
      </w:r>
      <w:bookmarkStart w:name="_bookmark893" w:id="2680"/>
      <w:bookmarkEnd w:id="2680"/>
      <w:r>
        <w:rPr>
          <w:color w:val="4F81BC"/>
        </w:rPr>
        <w:t>S</w:t>
      </w:r>
      <w:r>
        <w:rPr>
          <w:color w:val="4F81BC"/>
        </w:rPr>
        <w:t>T_SmartTagShow (Smart Tag Display</w:t>
      </w:r>
      <w:r>
        <w:rPr>
          <w:color w:val="4F81BC"/>
          <w:spacing w:val="-4"/>
        </w:rPr>
        <w:t> </w:t>
      </w:r>
      <w:r>
        <w:rPr>
          <w:color w:val="4F81BC"/>
        </w:rPr>
        <w:t>Types)</w:t>
      </w:r>
    </w:p>
    <w:p>
      <w:pPr>
        <w:pStyle w:val="BodyText"/>
        <w:spacing w:before="124"/>
        <w:ind w:left="220"/>
      </w:pPr>
      <w:r>
        <w:rPr/>
        <w:t>This simple type defines options for displaying smart tags in the user interface.</w:t>
      </w:r>
    </w:p>
    <w:p>
      <w:pPr>
        <w:pStyle w:val="BodyText"/>
        <w:spacing w:before="8"/>
        <w:rPr>
          <w:sz w:val="19"/>
        </w:rPr>
      </w:pPr>
    </w:p>
    <w:p>
      <w:pPr>
        <w:pStyle w:val="BodyText"/>
        <w:spacing w:line="489" w:lineRule="auto"/>
        <w:ind w:left="220" w:right="2804"/>
      </w:pPr>
      <w:r>
        <w:rPr/>
        <w:pict>
          <v:shape style="position:absolute;margin-left:48pt;margin-top:42.993668pt;width:516.35pt;height:113.65pt;mso-position-horizontal-relative:page;mso-position-vertical-relative:paragraph;z-index:25194188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1" w:hRule="atLeast"/>
                    </w:trPr>
                    <w:tc>
                      <w:tcPr>
                        <w:tcW w:w="5156" w:type="dxa"/>
                      </w:tcPr>
                      <w:p>
                        <w:pPr>
                          <w:pStyle w:val="TableParagraph"/>
                          <w:rPr>
                            <w:sz w:val="22"/>
                          </w:rPr>
                        </w:pPr>
                        <w:r>
                          <w:rPr>
                            <w:rFonts w:ascii="Cambria"/>
                            <w:sz w:val="22"/>
                          </w:rPr>
                          <w:t>all </w:t>
                        </w:r>
                        <w:r>
                          <w:rPr>
                            <w:sz w:val="22"/>
                          </w:rPr>
                          <w:t>(All)</w:t>
                        </w:r>
                      </w:p>
                    </w:tc>
                    <w:tc>
                      <w:tcPr>
                        <w:tcW w:w="5156" w:type="dxa"/>
                      </w:tcPr>
                      <w:p>
                        <w:pPr>
                          <w:pStyle w:val="TableParagraph"/>
                          <w:ind w:right="99"/>
                          <w:rPr>
                            <w:sz w:val="22"/>
                          </w:rPr>
                        </w:pPr>
                        <w:r>
                          <w:rPr>
                            <w:sz w:val="22"/>
                          </w:rPr>
                          <w:t>Indicates that smart tags are enabled and shown in the user interface.</w:t>
                        </w:r>
                      </w:p>
                    </w:tc>
                  </w:tr>
                  <w:tr>
                    <w:trPr>
                      <w:trHeight w:val="623" w:hRule="atLeast"/>
                    </w:trPr>
                    <w:tc>
                      <w:tcPr>
                        <w:tcW w:w="5156" w:type="dxa"/>
                      </w:tcPr>
                      <w:p>
                        <w:pPr>
                          <w:pStyle w:val="TableParagraph"/>
                          <w:spacing w:before="42"/>
                          <w:rPr>
                            <w:sz w:val="22"/>
                          </w:rPr>
                        </w:pPr>
                        <w:r>
                          <w:rPr>
                            <w:rFonts w:ascii="Cambria"/>
                            <w:sz w:val="22"/>
                          </w:rPr>
                          <w:t>noIndicator </w:t>
                        </w:r>
                        <w:r>
                          <w:rPr>
                            <w:sz w:val="22"/>
                          </w:rPr>
                          <w:t>(No Smart Tag Indicator)</w:t>
                        </w:r>
                      </w:p>
                    </w:tc>
                    <w:tc>
                      <w:tcPr>
                        <w:tcW w:w="5156" w:type="dxa"/>
                      </w:tcPr>
                      <w:p>
                        <w:pPr>
                          <w:pStyle w:val="TableParagraph"/>
                          <w:spacing w:line="237" w:lineRule="auto" w:before="44"/>
                          <w:ind w:right="638"/>
                          <w:rPr>
                            <w:sz w:val="22"/>
                          </w:rPr>
                        </w:pPr>
                        <w:r>
                          <w:rPr>
                            <w:sz w:val="22"/>
                          </w:rPr>
                          <w:t>Indicates that the smart tags are enabled but the indicator not be shown in the user interface.</w:t>
                        </w:r>
                      </w:p>
                    </w:tc>
                  </w:tr>
                  <w:tr>
                    <w:trPr>
                      <w:trHeight w:val="623"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ind w:right="921"/>
                          <w:rPr>
                            <w:sz w:val="22"/>
                          </w:rPr>
                        </w:pPr>
                        <w:r>
                          <w:rPr>
                            <w:sz w:val="22"/>
                          </w:rPr>
                          <w:t>Indicates that smart tags are disabled and not displayed in the user interface.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32"/>
        </w:rPr>
      </w:pPr>
    </w:p>
    <w:p>
      <w:pPr>
        <w:pStyle w:val="BodyText"/>
        <w:ind w:left="220"/>
      </w:pPr>
      <w:r>
        <w:rPr/>
        <w:t>[</w:t>
      </w:r>
      <w:r>
        <w:rPr>
          <w:i/>
        </w:rPr>
        <w:t>Note</w:t>
      </w:r>
      <w:r>
        <w:rPr/>
        <w:t>: The W3C XML Schema definition of this simple type’s content model (</w:t>
      </w:r>
      <w:r>
        <w:rPr>
          <w:color w:val="5F5F5F"/>
          <w:u w:val="single" w:color="5F5F5F"/>
        </w:rPr>
        <w:t>ST_SmartTagShow</w:t>
      </w:r>
      <w:r>
        <w:rPr/>
        <w:t>) is located in</w:t>
      </w:r>
    </w:p>
    <w:p>
      <w:pPr>
        <w:spacing w:before="44"/>
        <w:ind w:left="220" w:right="0" w:firstLine="0"/>
        <w:jc w:val="left"/>
        <w:rPr>
          <w:sz w:val="22"/>
        </w:rPr>
      </w:pPr>
      <w:r>
        <w:rPr>
          <w:sz w:val="22"/>
        </w:rPr>
        <w:t>§A.2. </w:t>
      </w:r>
      <w:r>
        <w:rPr>
          <w:i/>
          <w:sz w:val="22"/>
        </w:rPr>
        <w:t>end note</w:t>
      </w:r>
      <w:r>
        <w:rPr>
          <w:sz w:val="22"/>
        </w:rPr>
        <w:t>]</w:t>
      </w:r>
    </w:p>
    <w:p>
      <w:pPr>
        <w:spacing w:after="0"/>
        <w:jc w:val="left"/>
        <w:rPr>
          <w:sz w:val="22"/>
        </w:rPr>
        <w:sectPr>
          <w:pgSz w:w="12240" w:h="15840"/>
          <w:pgMar w:header="761" w:footer="746" w:top="1340" w:bottom="940" w:left="860" w:right="700"/>
        </w:sectPr>
      </w:pPr>
    </w:p>
    <w:p>
      <w:pPr>
        <w:pStyle w:val="Heading2"/>
        <w:numPr>
          <w:ilvl w:val="2"/>
          <w:numId w:val="17"/>
        </w:numPr>
        <w:tabs>
          <w:tab w:pos="1445" w:val="left" w:leader="none"/>
        </w:tabs>
        <w:spacing w:line="240" w:lineRule="auto" w:before="151" w:after="0"/>
        <w:ind w:left="1444" w:right="0" w:hanging="1225"/>
        <w:jc w:val="left"/>
      </w:pPr>
      <w:bookmarkStart w:name="18.18.72 ST_SortBy (Sort By)" w:id="2681"/>
      <w:bookmarkEnd w:id="2681"/>
      <w:r>
        <w:rPr>
          <w:b w:val="0"/>
        </w:rPr>
      </w:r>
      <w:bookmarkStart w:name="_bookmark894" w:id="2682"/>
      <w:bookmarkEnd w:id="2682"/>
      <w:r>
        <w:rPr>
          <w:b w:val="0"/>
        </w:rPr>
      </w:r>
      <w:bookmarkStart w:name="_bookmark894" w:id="2683"/>
      <w:bookmarkEnd w:id="2683"/>
      <w:r>
        <w:rPr>
          <w:color w:val="4F81BC"/>
        </w:rPr>
        <w:t>S</w:t>
      </w:r>
      <w:r>
        <w:rPr>
          <w:color w:val="4F81BC"/>
        </w:rPr>
        <w:t>T_SortBy (Sort</w:t>
      </w:r>
      <w:r>
        <w:rPr>
          <w:color w:val="4F81BC"/>
          <w:spacing w:val="-3"/>
        </w:rPr>
        <w:t> </w:t>
      </w:r>
      <w:r>
        <w:rPr>
          <w:color w:val="4F81BC"/>
        </w:rPr>
        <w:t>By)</w:t>
      </w:r>
    </w:p>
    <w:p>
      <w:pPr>
        <w:pStyle w:val="BodyText"/>
        <w:spacing w:line="278" w:lineRule="auto" w:before="122"/>
        <w:ind w:left="220" w:right="733"/>
      </w:pPr>
      <w:r>
        <w:rPr/>
        <w:t>Specifies what to sort by. In many cases a range of cells are sorted by their values. However, cells can also be sorted by their background color, font color, and type of icon in the cell.</w:t>
      </w:r>
    </w:p>
    <w:p>
      <w:pPr>
        <w:pStyle w:val="BodyText"/>
        <w:spacing w:before="2"/>
        <w:rPr>
          <w:sz w:val="16"/>
        </w:rPr>
      </w:pPr>
    </w:p>
    <w:p>
      <w:pPr>
        <w:pStyle w:val="BodyText"/>
        <w:spacing w:line="489" w:lineRule="auto"/>
        <w:ind w:left="220" w:right="2804"/>
      </w:pPr>
      <w:r>
        <w:rPr/>
        <w:pict>
          <v:shape style="position:absolute;margin-left:48pt;margin-top:42.873634pt;width:516.35pt;height:91.75pt;mso-position-horizontal-relative:page;mso-position-vertical-relative:paragraph;z-index:25194291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cellColor </w:t>
                        </w:r>
                        <w:r>
                          <w:rPr>
                            <w:sz w:val="22"/>
                          </w:rPr>
                          <w:t>(Sort by Cell Color)</w:t>
                        </w:r>
                      </w:p>
                    </w:tc>
                    <w:tc>
                      <w:tcPr>
                        <w:tcW w:w="5156" w:type="dxa"/>
                      </w:tcPr>
                      <w:p>
                        <w:pPr>
                          <w:pStyle w:val="TableParagraph"/>
                          <w:rPr>
                            <w:sz w:val="22"/>
                          </w:rPr>
                        </w:pPr>
                        <w:r>
                          <w:rPr>
                            <w:sz w:val="22"/>
                          </w:rPr>
                          <w:t>Sort by cell color</w:t>
                        </w:r>
                      </w:p>
                    </w:tc>
                  </w:tr>
                  <w:tr>
                    <w:trPr>
                      <w:trHeight w:val="354" w:hRule="atLeast"/>
                    </w:trPr>
                    <w:tc>
                      <w:tcPr>
                        <w:tcW w:w="5156" w:type="dxa"/>
                      </w:tcPr>
                      <w:p>
                        <w:pPr>
                          <w:pStyle w:val="TableParagraph"/>
                          <w:rPr>
                            <w:sz w:val="22"/>
                          </w:rPr>
                        </w:pPr>
                        <w:r>
                          <w:rPr>
                            <w:rFonts w:ascii="Cambria"/>
                            <w:sz w:val="22"/>
                          </w:rPr>
                          <w:t>fontColor </w:t>
                        </w:r>
                        <w:r>
                          <w:rPr>
                            <w:sz w:val="22"/>
                          </w:rPr>
                          <w:t>(Sort by Font Color)</w:t>
                        </w:r>
                      </w:p>
                    </w:tc>
                    <w:tc>
                      <w:tcPr>
                        <w:tcW w:w="5156" w:type="dxa"/>
                      </w:tcPr>
                      <w:p>
                        <w:pPr>
                          <w:pStyle w:val="TableParagraph"/>
                          <w:rPr>
                            <w:sz w:val="22"/>
                          </w:rPr>
                        </w:pPr>
                        <w:r>
                          <w:rPr>
                            <w:sz w:val="22"/>
                          </w:rPr>
                          <w:t>Sort by font color</w:t>
                        </w:r>
                      </w:p>
                    </w:tc>
                  </w:tr>
                  <w:tr>
                    <w:trPr>
                      <w:trHeight w:val="354" w:hRule="atLeast"/>
                    </w:trPr>
                    <w:tc>
                      <w:tcPr>
                        <w:tcW w:w="5156" w:type="dxa"/>
                      </w:tcPr>
                      <w:p>
                        <w:pPr>
                          <w:pStyle w:val="TableParagraph"/>
                          <w:rPr>
                            <w:sz w:val="22"/>
                          </w:rPr>
                        </w:pPr>
                        <w:r>
                          <w:rPr>
                            <w:rFonts w:ascii="Cambria"/>
                            <w:sz w:val="22"/>
                          </w:rPr>
                          <w:t>icon </w:t>
                        </w:r>
                        <w:r>
                          <w:rPr>
                            <w:sz w:val="22"/>
                          </w:rPr>
                          <w:t>(Sort by Icon)</w:t>
                        </w:r>
                      </w:p>
                    </w:tc>
                    <w:tc>
                      <w:tcPr>
                        <w:tcW w:w="5156" w:type="dxa"/>
                      </w:tcPr>
                      <w:p>
                        <w:pPr>
                          <w:pStyle w:val="TableParagraph"/>
                          <w:rPr>
                            <w:sz w:val="22"/>
                          </w:rPr>
                        </w:pPr>
                        <w:r>
                          <w:rPr>
                            <w:sz w:val="22"/>
                          </w:rPr>
                          <w:t>Sort by icon</w:t>
                        </w:r>
                      </w:p>
                    </w:tc>
                  </w:tr>
                  <w:tr>
                    <w:trPr>
                      <w:trHeight w:val="355" w:hRule="atLeast"/>
                    </w:trPr>
                    <w:tc>
                      <w:tcPr>
                        <w:tcW w:w="5156" w:type="dxa"/>
                      </w:tcPr>
                      <w:p>
                        <w:pPr>
                          <w:pStyle w:val="TableParagraph"/>
                          <w:rPr>
                            <w:sz w:val="22"/>
                          </w:rPr>
                        </w:pPr>
                        <w:r>
                          <w:rPr>
                            <w:rFonts w:ascii="Cambria"/>
                            <w:sz w:val="22"/>
                          </w:rPr>
                          <w:t>value </w:t>
                        </w:r>
                        <w:r>
                          <w:rPr>
                            <w:sz w:val="22"/>
                          </w:rPr>
                          <w:t>(Value)</w:t>
                        </w:r>
                      </w:p>
                    </w:tc>
                    <w:tc>
                      <w:tcPr>
                        <w:tcW w:w="5156" w:type="dxa"/>
                      </w:tcPr>
                      <w:p>
                        <w:pPr>
                          <w:pStyle w:val="TableParagraph"/>
                          <w:rPr>
                            <w:sz w:val="22"/>
                          </w:rPr>
                        </w:pPr>
                        <w:r>
                          <w:rPr>
                            <w:sz w:val="22"/>
                          </w:rPr>
                          <w:t>Sort by value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8"/>
        </w:rPr>
      </w:pPr>
    </w:p>
    <w:p>
      <w:pPr>
        <w:pStyle w:val="BodyText"/>
        <w:spacing w:line="278" w:lineRule="auto" w:before="1"/>
        <w:ind w:left="220" w:right="622"/>
      </w:pPr>
      <w:r>
        <w:rPr/>
        <w:t>[</w:t>
      </w:r>
      <w:r>
        <w:rPr>
          <w:i/>
        </w:rPr>
        <w:t>Note</w:t>
      </w:r>
      <w:r>
        <w:rPr/>
        <w:t>: The W3C XML Schema definition of this simple type’s content model (</w:t>
      </w:r>
      <w:r>
        <w:rPr>
          <w:color w:val="5F5F5F"/>
          <w:u w:val="single" w:color="5F5F5F"/>
        </w:rPr>
        <w:t>ST_SortBy</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73 ST_SortMethod (Sort Method)" w:id="2684"/>
      <w:bookmarkEnd w:id="2684"/>
      <w:r>
        <w:rPr>
          <w:b w:val="0"/>
        </w:rPr>
      </w:r>
      <w:bookmarkStart w:name="_bookmark895" w:id="2685"/>
      <w:bookmarkEnd w:id="2685"/>
      <w:r>
        <w:rPr>
          <w:b w:val="0"/>
        </w:rPr>
      </w:r>
      <w:bookmarkStart w:name="_bookmark895" w:id="2686"/>
      <w:bookmarkEnd w:id="2686"/>
      <w:r>
        <w:rPr>
          <w:color w:val="4F81BC"/>
        </w:rPr>
        <w:t>S</w:t>
      </w:r>
      <w:r>
        <w:rPr>
          <w:color w:val="4F81BC"/>
        </w:rPr>
        <w:t>T_SortMethod (Sort</w:t>
      </w:r>
      <w:r>
        <w:rPr>
          <w:color w:val="4F81BC"/>
          <w:spacing w:val="-2"/>
        </w:rPr>
        <w:t> </w:t>
      </w:r>
      <w:r>
        <w:rPr>
          <w:color w:val="4F81BC"/>
        </w:rPr>
        <w:t>Method)</w:t>
      </w:r>
    </w:p>
    <w:p>
      <w:pPr>
        <w:pStyle w:val="BodyText"/>
        <w:spacing w:line="278" w:lineRule="auto" w:before="121"/>
        <w:ind w:left="220" w:right="412"/>
      </w:pPr>
      <w:r>
        <w:rPr/>
        <w:t>Sort method. Chinese Simplified, Chinese Traditional, and Japanese support alternate sort methods (multiple sort options are available). All other languages support only 1 sort option. In that case, the value </w:t>
      </w:r>
      <w:r>
        <w:rPr>
          <w:rFonts w:ascii="Consolas"/>
          <w:sz w:val="20"/>
        </w:rPr>
        <w:t>pinYin</w:t>
      </w:r>
      <w:r>
        <w:rPr>
          <w:rFonts w:ascii="Consolas"/>
          <w:spacing w:val="-88"/>
          <w:sz w:val="20"/>
        </w:rPr>
        <w:t> </w:t>
      </w:r>
      <w:r>
        <w:rPr/>
        <w:t>is used.</w:t>
      </w:r>
    </w:p>
    <w:p>
      <w:pPr>
        <w:pStyle w:val="BodyText"/>
        <w:spacing w:before="3"/>
        <w:rPr>
          <w:sz w:val="16"/>
        </w:rPr>
      </w:pPr>
    </w:p>
    <w:p>
      <w:pPr>
        <w:pStyle w:val="BodyText"/>
        <w:spacing w:line="489" w:lineRule="auto"/>
        <w:ind w:left="220" w:right="2804"/>
      </w:pPr>
      <w:r>
        <w:rPr/>
        <w:pict>
          <v:shape style="position:absolute;margin-left:48pt;margin-top:42.893665pt;width:516.35pt;height:154.6pt;mso-position-horizontal-relative:page;mso-position-vertical-relative:paragraph;z-index:25194393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Not specified, use default sort method.</w:t>
                        </w:r>
                      </w:p>
                    </w:tc>
                  </w:tr>
                  <w:tr>
                    <w:trPr>
                      <w:trHeight w:val="1708" w:hRule="atLeast"/>
                    </w:trPr>
                    <w:tc>
                      <w:tcPr>
                        <w:tcW w:w="5156" w:type="dxa"/>
                      </w:tcPr>
                      <w:p>
                        <w:pPr>
                          <w:pStyle w:val="TableParagraph"/>
                          <w:rPr>
                            <w:sz w:val="22"/>
                          </w:rPr>
                        </w:pPr>
                        <w:r>
                          <w:rPr>
                            <w:rFonts w:ascii="Cambria"/>
                            <w:sz w:val="22"/>
                          </w:rPr>
                          <w:t>pinYin </w:t>
                        </w:r>
                        <w:r>
                          <w:rPr>
                            <w:sz w:val="22"/>
                          </w:rPr>
                          <w:t>(PinYin Sort)</w:t>
                        </w:r>
                      </w:p>
                    </w:tc>
                    <w:tc>
                      <w:tcPr>
                        <w:tcW w:w="5156" w:type="dxa"/>
                      </w:tcPr>
                      <w:p>
                        <w:pPr>
                          <w:pStyle w:val="TableParagraph"/>
                          <w:ind w:right="416"/>
                          <w:rPr>
                            <w:sz w:val="22"/>
                          </w:rPr>
                        </w:pPr>
                        <w:r>
                          <w:rPr>
                            <w:sz w:val="22"/>
                          </w:rPr>
                          <w:t>Default sort method. This is the only sort option for most languages.</w:t>
                        </w:r>
                      </w:p>
                      <w:p>
                        <w:pPr>
                          <w:pStyle w:val="TableParagraph"/>
                          <w:spacing w:before="0"/>
                          <w:ind w:left="0"/>
                          <w:rPr>
                            <w:sz w:val="22"/>
                          </w:rPr>
                        </w:pPr>
                      </w:p>
                      <w:p>
                        <w:pPr>
                          <w:pStyle w:val="TableParagraph"/>
                          <w:spacing w:before="0"/>
                          <w:ind w:right="706"/>
                          <w:rPr>
                            <w:sz w:val="22"/>
                          </w:rPr>
                        </w:pPr>
                        <w:r>
                          <w:rPr>
                            <w:sz w:val="22"/>
                          </w:rPr>
                          <w:t>For Chinese Simplified, Chinese Traditional, and Japanese, </w:t>
                        </w:r>
                        <w:r>
                          <w:rPr>
                            <w:rFonts w:ascii="Consolas"/>
                            <w:sz w:val="20"/>
                          </w:rPr>
                          <w:t>pinYin</w:t>
                        </w:r>
                        <w:r>
                          <w:rPr>
                            <w:rFonts w:ascii="Consolas"/>
                            <w:spacing w:val="-71"/>
                            <w:sz w:val="20"/>
                          </w:rPr>
                          <w:t> </w:t>
                        </w:r>
                        <w:r>
                          <w:rPr>
                            <w:sz w:val="22"/>
                          </w:rPr>
                          <w:t>means sort by phonetic value.</w:t>
                        </w:r>
                      </w:p>
                      <w:p>
                        <w:pPr>
                          <w:pStyle w:val="TableParagraph"/>
                          <w:spacing w:before="1"/>
                          <w:ind w:left="475"/>
                          <w:rPr>
                            <w:rFonts w:ascii="Symbol" w:hAnsi="Symbol"/>
                            <w:sz w:val="22"/>
                          </w:rPr>
                        </w:pPr>
                        <w:r>
                          <w:rPr>
                            <w:rFonts w:ascii="Symbol" w:hAnsi="Symbol"/>
                            <w:w w:val="100"/>
                            <w:sz w:val="22"/>
                          </w:rPr>
                          <w:t></w:t>
                        </w:r>
                      </w:p>
                    </w:tc>
                  </w:tr>
                  <w:tr>
                    <w:trPr>
                      <w:trHeight w:val="623" w:hRule="atLeast"/>
                    </w:trPr>
                    <w:tc>
                      <w:tcPr>
                        <w:tcW w:w="5156" w:type="dxa"/>
                      </w:tcPr>
                      <w:p>
                        <w:pPr>
                          <w:pStyle w:val="TableParagraph"/>
                          <w:rPr>
                            <w:sz w:val="22"/>
                          </w:rPr>
                        </w:pPr>
                        <w:r>
                          <w:rPr>
                            <w:rFonts w:ascii="Cambria"/>
                            <w:sz w:val="22"/>
                          </w:rPr>
                          <w:t>stroke </w:t>
                        </w:r>
                        <w:r>
                          <w:rPr>
                            <w:sz w:val="22"/>
                          </w:rPr>
                          <w:t>(Sort by Stroke)</w:t>
                        </w:r>
                      </w:p>
                    </w:tc>
                    <w:tc>
                      <w:tcPr>
                        <w:tcW w:w="5156" w:type="dxa"/>
                      </w:tcPr>
                      <w:p>
                        <w:pPr>
                          <w:pStyle w:val="TableParagraph"/>
                          <w:ind w:right="181"/>
                          <w:rPr>
                            <w:sz w:val="22"/>
                          </w:rPr>
                        </w:pPr>
                        <w:r>
                          <w:rPr>
                            <w:sz w:val="22"/>
                          </w:rPr>
                          <w:t>Sort by stroke count of the characters. Only applies to Chinese Simplified, Chinese Traditional, and Japanese.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7"/>
        <w:ind w:left="220"/>
      </w:pPr>
      <w:r>
        <w:rPr/>
        <w:t>[</w:t>
      </w:r>
      <w:r>
        <w:rPr>
          <w:i/>
        </w:rPr>
        <w:t>Note</w:t>
      </w:r>
      <w:r>
        <w:rPr/>
        <w:t>: The W3C XML Schema definition of this simple type’s content model (</w:t>
      </w:r>
      <w:r>
        <w:rPr>
          <w:color w:val="5F5F5F"/>
          <w:u w:val="single" w:color="5F5F5F"/>
        </w:rPr>
        <w:t>ST_SortMethod</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74 ST_SortType (Set Sort Order)" w:id="2687"/>
      <w:bookmarkEnd w:id="2687"/>
      <w:r>
        <w:rPr>
          <w:b w:val="0"/>
        </w:rPr>
      </w:r>
      <w:bookmarkStart w:name="_bookmark896" w:id="2688"/>
      <w:bookmarkEnd w:id="2688"/>
      <w:r>
        <w:rPr>
          <w:b w:val="0"/>
        </w:rPr>
      </w:r>
      <w:bookmarkStart w:name="_bookmark896" w:id="2689"/>
      <w:bookmarkEnd w:id="2689"/>
      <w:r>
        <w:rPr>
          <w:color w:val="4F81BC"/>
        </w:rPr>
        <w:t>S</w:t>
      </w:r>
      <w:r>
        <w:rPr>
          <w:color w:val="4F81BC"/>
        </w:rPr>
        <w:t>T_SortType (Set Sort</w:t>
      </w:r>
      <w:r>
        <w:rPr>
          <w:color w:val="4F81BC"/>
          <w:spacing w:val="-4"/>
        </w:rPr>
        <w:t> </w:t>
      </w:r>
      <w:r>
        <w:rPr>
          <w:color w:val="4F81BC"/>
        </w:rPr>
        <w:t>Order)</w:t>
      </w:r>
    </w:p>
    <w:p>
      <w:pPr>
        <w:pStyle w:val="BodyText"/>
        <w:spacing w:before="124"/>
        <w:ind w:left="220"/>
      </w:pPr>
      <w:r>
        <w:rPr/>
        <w:t>This simple type defines the possible sort order for the PivotTable.</w:t>
      </w:r>
    </w:p>
    <w:p>
      <w:pPr>
        <w:spacing w:after="0"/>
        <w:sectPr>
          <w:pgSz w:w="12240" w:h="15840"/>
          <w:pgMar w:header="763" w:footer="746" w:top="1340" w:bottom="940" w:left="860" w:right="700"/>
        </w:sectPr>
      </w:pPr>
    </w:p>
    <w:p>
      <w:pPr>
        <w:pStyle w:val="BodyText"/>
        <w:spacing w:line="489" w:lineRule="auto" w:before="93"/>
        <w:ind w:left="220" w:right="2804"/>
      </w:pPr>
      <w:r>
        <w:rPr/>
        <w:pict>
          <v:shape style="position:absolute;margin-left:48pt;margin-top:47.543629pt;width:516.35pt;height:226.95pt;mso-position-horizontal-relative:page;mso-position-vertical-relative:paragraph;z-index:2519449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ascending </w:t>
                        </w:r>
                        <w:r>
                          <w:rPr>
                            <w:sz w:val="22"/>
                          </w:rPr>
                          <w:t>(Ascending)</w:t>
                        </w:r>
                      </w:p>
                    </w:tc>
                    <w:tc>
                      <w:tcPr>
                        <w:tcW w:w="5156" w:type="dxa"/>
                      </w:tcPr>
                      <w:p>
                        <w:pPr>
                          <w:pStyle w:val="TableParagraph"/>
                          <w:ind w:right="969"/>
                          <w:rPr>
                            <w:sz w:val="22"/>
                          </w:rPr>
                        </w:pPr>
                        <w:r>
                          <w:rPr>
                            <w:sz w:val="22"/>
                          </w:rPr>
                          <w:t>Indicates that the PivotTable data is sorted in ascending order.</w:t>
                        </w:r>
                      </w:p>
                    </w:tc>
                  </w:tr>
                  <w:tr>
                    <w:trPr>
                      <w:trHeight w:val="623" w:hRule="atLeast"/>
                    </w:trPr>
                    <w:tc>
                      <w:tcPr>
                        <w:tcW w:w="5156" w:type="dxa"/>
                      </w:tcPr>
                      <w:p>
                        <w:pPr>
                          <w:pStyle w:val="TableParagraph"/>
                          <w:rPr>
                            <w:sz w:val="22"/>
                          </w:rPr>
                        </w:pPr>
                        <w:r>
                          <w:rPr>
                            <w:rFonts w:ascii="Cambria"/>
                            <w:sz w:val="22"/>
                          </w:rPr>
                          <w:t>ascendingAlpha </w:t>
                        </w:r>
                        <w:r>
                          <w:rPr>
                            <w:sz w:val="22"/>
                          </w:rPr>
                          <w:t>(Ascending Alpha)</w:t>
                        </w:r>
                      </w:p>
                    </w:tc>
                    <w:tc>
                      <w:tcPr>
                        <w:tcW w:w="5156" w:type="dxa"/>
                      </w:tcPr>
                      <w:p>
                        <w:pPr>
                          <w:pStyle w:val="TableParagraph"/>
                          <w:ind w:right="969"/>
                          <w:rPr>
                            <w:sz w:val="22"/>
                          </w:rPr>
                        </w:pPr>
                        <w:r>
                          <w:rPr>
                            <w:sz w:val="22"/>
                          </w:rPr>
                          <w:t>Indicates that the PivotTable data is sorted in alphabetic order with ascending values.</w:t>
                        </w:r>
                      </w:p>
                    </w:tc>
                  </w:tr>
                  <w:tr>
                    <w:trPr>
                      <w:trHeight w:val="623" w:hRule="atLeast"/>
                    </w:trPr>
                    <w:tc>
                      <w:tcPr>
                        <w:tcW w:w="5156" w:type="dxa"/>
                      </w:tcPr>
                      <w:p>
                        <w:pPr>
                          <w:pStyle w:val="TableParagraph"/>
                          <w:rPr>
                            <w:sz w:val="22"/>
                          </w:rPr>
                        </w:pPr>
                        <w:r>
                          <w:rPr>
                            <w:rFonts w:ascii="Cambria"/>
                            <w:sz w:val="22"/>
                          </w:rPr>
                          <w:t>ascendingNatural </w:t>
                        </w:r>
                        <w:r>
                          <w:rPr>
                            <w:sz w:val="22"/>
                          </w:rPr>
                          <w:t>(Ascending Natural)</w:t>
                        </w:r>
                      </w:p>
                    </w:tc>
                    <w:tc>
                      <w:tcPr>
                        <w:tcW w:w="5156" w:type="dxa"/>
                      </w:tcPr>
                      <w:p>
                        <w:pPr>
                          <w:pStyle w:val="TableParagraph"/>
                          <w:ind w:right="277"/>
                          <w:rPr>
                            <w:sz w:val="22"/>
                          </w:rPr>
                        </w:pPr>
                        <w:r>
                          <w:rPr>
                            <w:sz w:val="22"/>
                          </w:rPr>
                          <w:t>Indicates that the PivotTable data is sorted in natural order with ascending.</w:t>
                        </w:r>
                      </w:p>
                    </w:tc>
                  </w:tr>
                  <w:tr>
                    <w:trPr>
                      <w:trHeight w:val="621" w:hRule="atLeast"/>
                    </w:trPr>
                    <w:tc>
                      <w:tcPr>
                        <w:tcW w:w="5156" w:type="dxa"/>
                      </w:tcPr>
                      <w:p>
                        <w:pPr>
                          <w:pStyle w:val="TableParagraph"/>
                          <w:rPr>
                            <w:sz w:val="22"/>
                          </w:rPr>
                        </w:pPr>
                        <w:r>
                          <w:rPr>
                            <w:rFonts w:ascii="Cambria"/>
                            <w:sz w:val="22"/>
                          </w:rPr>
                          <w:t>descending </w:t>
                        </w:r>
                        <w:r>
                          <w:rPr>
                            <w:sz w:val="22"/>
                          </w:rPr>
                          <w:t>(Descending)</w:t>
                        </w:r>
                      </w:p>
                    </w:tc>
                    <w:tc>
                      <w:tcPr>
                        <w:tcW w:w="5156" w:type="dxa"/>
                      </w:tcPr>
                      <w:p>
                        <w:pPr>
                          <w:pStyle w:val="TableParagraph"/>
                          <w:ind w:right="969"/>
                          <w:rPr>
                            <w:sz w:val="22"/>
                          </w:rPr>
                        </w:pPr>
                        <w:r>
                          <w:rPr>
                            <w:sz w:val="22"/>
                          </w:rPr>
                          <w:t>Indicates that the PivotTable data is sorted in descending.</w:t>
                        </w:r>
                      </w:p>
                    </w:tc>
                  </w:tr>
                  <w:tr>
                    <w:trPr>
                      <w:trHeight w:val="624" w:hRule="atLeast"/>
                    </w:trPr>
                    <w:tc>
                      <w:tcPr>
                        <w:tcW w:w="5156" w:type="dxa"/>
                      </w:tcPr>
                      <w:p>
                        <w:pPr>
                          <w:pStyle w:val="TableParagraph"/>
                          <w:spacing w:before="43"/>
                          <w:rPr>
                            <w:sz w:val="22"/>
                          </w:rPr>
                        </w:pPr>
                        <w:r>
                          <w:rPr>
                            <w:rFonts w:ascii="Cambria"/>
                            <w:sz w:val="22"/>
                          </w:rPr>
                          <w:t>descendingAlpha </w:t>
                        </w:r>
                        <w:r>
                          <w:rPr>
                            <w:sz w:val="22"/>
                          </w:rPr>
                          <w:t>(Alphabetic Order Descending)</w:t>
                        </w:r>
                      </w:p>
                    </w:tc>
                    <w:tc>
                      <w:tcPr>
                        <w:tcW w:w="5156" w:type="dxa"/>
                      </w:tcPr>
                      <w:p>
                        <w:pPr>
                          <w:pStyle w:val="TableParagraph"/>
                          <w:spacing w:line="237" w:lineRule="auto" w:before="45"/>
                          <w:ind w:right="969"/>
                          <w:rPr>
                            <w:sz w:val="22"/>
                          </w:rPr>
                        </w:pPr>
                        <w:r>
                          <w:rPr>
                            <w:sz w:val="22"/>
                          </w:rPr>
                          <w:t>Indicates that the PivotTable data is sorted in alphabetic order with descending values.</w:t>
                        </w:r>
                      </w:p>
                    </w:tc>
                  </w:tr>
                  <w:tr>
                    <w:trPr>
                      <w:trHeight w:val="623" w:hRule="atLeast"/>
                    </w:trPr>
                    <w:tc>
                      <w:tcPr>
                        <w:tcW w:w="5156" w:type="dxa"/>
                      </w:tcPr>
                      <w:p>
                        <w:pPr>
                          <w:pStyle w:val="TableParagraph"/>
                          <w:rPr>
                            <w:sz w:val="22"/>
                          </w:rPr>
                        </w:pPr>
                        <w:r>
                          <w:rPr>
                            <w:rFonts w:ascii="Cambria"/>
                            <w:sz w:val="22"/>
                          </w:rPr>
                          <w:t>descendingNatural </w:t>
                        </w:r>
                        <w:r>
                          <w:rPr>
                            <w:sz w:val="22"/>
                          </w:rPr>
                          <w:t>(Natural Order Descending)</w:t>
                        </w:r>
                      </w:p>
                    </w:tc>
                    <w:tc>
                      <w:tcPr>
                        <w:tcW w:w="5156" w:type="dxa"/>
                      </w:tcPr>
                      <w:p>
                        <w:pPr>
                          <w:pStyle w:val="TableParagraph"/>
                          <w:ind w:right="277"/>
                          <w:rPr>
                            <w:sz w:val="22"/>
                          </w:rPr>
                        </w:pPr>
                        <w:r>
                          <w:rPr>
                            <w:sz w:val="22"/>
                          </w:rPr>
                          <w:t>Indicates that the PivotTable data is sorted in natural order with descending values.</w:t>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Indicates that the PivotTable data is not sorted.</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9"/>
        </w:rPr>
      </w:pPr>
    </w:p>
    <w:p>
      <w:pPr>
        <w:pStyle w:val="BodyText"/>
        <w:spacing w:line="278" w:lineRule="auto"/>
        <w:ind w:left="220" w:right="410"/>
      </w:pPr>
      <w:r>
        <w:rPr/>
        <w:t>[</w:t>
      </w:r>
      <w:r>
        <w:rPr>
          <w:i/>
        </w:rPr>
        <w:t>Note</w:t>
      </w:r>
      <w:r>
        <w:rPr/>
        <w:t>: The W3C XML Schema definition of this simple type’s content model (</w:t>
      </w:r>
      <w:r>
        <w:rPr>
          <w:color w:val="5F5F5F"/>
          <w:u w:val="single" w:color="5F5F5F"/>
        </w:rPr>
        <w:t>ST_SortType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75 ST_SourceType (PivotCache Type)" w:id="2690"/>
      <w:bookmarkEnd w:id="2690"/>
      <w:r>
        <w:rPr>
          <w:b w:val="0"/>
        </w:rPr>
      </w:r>
      <w:bookmarkStart w:name="_bookmark897" w:id="2691"/>
      <w:bookmarkEnd w:id="2691"/>
      <w:r>
        <w:rPr>
          <w:b w:val="0"/>
        </w:rPr>
      </w:r>
      <w:bookmarkStart w:name="_bookmark897" w:id="2692"/>
      <w:bookmarkEnd w:id="2692"/>
      <w:r>
        <w:rPr>
          <w:color w:val="4F81BC"/>
        </w:rPr>
        <w:t>S</w:t>
      </w:r>
      <w:r>
        <w:rPr>
          <w:color w:val="4F81BC"/>
        </w:rPr>
        <w:t>T_SourceType (PivotCache</w:t>
      </w:r>
      <w:r>
        <w:rPr>
          <w:color w:val="4F81BC"/>
          <w:spacing w:val="-1"/>
        </w:rPr>
        <w:t> </w:t>
      </w:r>
      <w:r>
        <w:rPr>
          <w:color w:val="4F81BC"/>
        </w:rPr>
        <w:t>Type)</w:t>
      </w:r>
    </w:p>
    <w:p>
      <w:pPr>
        <w:pStyle w:val="BodyText"/>
        <w:spacing w:before="125"/>
        <w:ind w:left="220"/>
      </w:pPr>
      <w:r>
        <w:rPr/>
        <w:t>This simple type defines the cache types for PivotTables.</w:t>
      </w:r>
    </w:p>
    <w:p>
      <w:pPr>
        <w:pStyle w:val="BodyText"/>
        <w:spacing w:before="8"/>
        <w:rPr>
          <w:sz w:val="19"/>
        </w:rPr>
      </w:pPr>
    </w:p>
    <w:p>
      <w:pPr>
        <w:pStyle w:val="BodyText"/>
        <w:spacing w:line="489" w:lineRule="auto"/>
        <w:ind w:left="220" w:right="2804"/>
      </w:pPr>
      <w:r>
        <w:rPr/>
        <w:pict>
          <v:shape style="position:absolute;margin-left:48pt;margin-top:42.993633pt;width:516.35pt;height:131.950pt;mso-position-horizontal-relative:page;mso-position-vertical-relative:paragraph;z-index:2519459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2"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spacing w:before="42"/>
                          <w:rPr>
                            <w:sz w:val="22"/>
                          </w:rPr>
                        </w:pPr>
                        <w:r>
                          <w:rPr>
                            <w:rFonts w:ascii="Cambria"/>
                            <w:sz w:val="22"/>
                          </w:rPr>
                          <w:t>consolidation </w:t>
                        </w:r>
                        <w:r>
                          <w:rPr>
                            <w:sz w:val="22"/>
                          </w:rPr>
                          <w:t>(Consolidation Ranges)</w:t>
                        </w:r>
                      </w:p>
                    </w:tc>
                    <w:tc>
                      <w:tcPr>
                        <w:tcW w:w="5156" w:type="dxa"/>
                      </w:tcPr>
                      <w:p>
                        <w:pPr>
                          <w:pStyle w:val="TableParagraph"/>
                          <w:spacing w:line="237" w:lineRule="auto" w:before="44"/>
                          <w:ind w:right="1200"/>
                          <w:rPr>
                            <w:sz w:val="22"/>
                          </w:rPr>
                        </w:pPr>
                        <w:r>
                          <w:rPr>
                            <w:sz w:val="22"/>
                          </w:rPr>
                          <w:t>Indicates that the cache contains data that consolidates ranges.</w:t>
                        </w:r>
                      </w:p>
                    </w:tc>
                  </w:tr>
                  <w:tr>
                    <w:trPr>
                      <w:trHeight w:val="623" w:hRule="atLeast"/>
                    </w:trPr>
                    <w:tc>
                      <w:tcPr>
                        <w:tcW w:w="5156" w:type="dxa"/>
                      </w:tcPr>
                      <w:p>
                        <w:pPr>
                          <w:pStyle w:val="TableParagraph"/>
                          <w:rPr>
                            <w:sz w:val="22"/>
                          </w:rPr>
                        </w:pPr>
                        <w:r>
                          <w:rPr>
                            <w:rFonts w:ascii="Cambria"/>
                            <w:sz w:val="22"/>
                          </w:rPr>
                          <w:t>external </w:t>
                        </w:r>
                        <w:r>
                          <w:rPr>
                            <w:sz w:val="22"/>
                          </w:rPr>
                          <w:t>(External)</w:t>
                        </w:r>
                      </w:p>
                    </w:tc>
                    <w:tc>
                      <w:tcPr>
                        <w:tcW w:w="5156" w:type="dxa"/>
                      </w:tcPr>
                      <w:p>
                        <w:pPr>
                          <w:pStyle w:val="TableParagraph"/>
                          <w:ind w:right="862"/>
                          <w:rPr>
                            <w:sz w:val="22"/>
                          </w:rPr>
                        </w:pPr>
                        <w:r>
                          <w:rPr>
                            <w:sz w:val="22"/>
                          </w:rPr>
                          <w:t>Indicates that the cache contains data from an external data source.</w:t>
                        </w:r>
                      </w:p>
                    </w:tc>
                  </w:tr>
                  <w:tr>
                    <w:trPr>
                      <w:trHeight w:val="624" w:hRule="atLeast"/>
                    </w:trPr>
                    <w:tc>
                      <w:tcPr>
                        <w:tcW w:w="5156" w:type="dxa"/>
                      </w:tcPr>
                      <w:p>
                        <w:pPr>
                          <w:pStyle w:val="TableParagraph"/>
                          <w:rPr>
                            <w:sz w:val="22"/>
                          </w:rPr>
                        </w:pPr>
                        <w:r>
                          <w:rPr>
                            <w:rFonts w:ascii="Cambria"/>
                            <w:sz w:val="22"/>
                          </w:rPr>
                          <w:t>scenario </w:t>
                        </w:r>
                        <w:r>
                          <w:rPr>
                            <w:sz w:val="22"/>
                          </w:rPr>
                          <w:t>(Scenario Summary Report)</w:t>
                        </w:r>
                      </w:p>
                    </w:tc>
                    <w:tc>
                      <w:tcPr>
                        <w:tcW w:w="5156" w:type="dxa"/>
                      </w:tcPr>
                      <w:p>
                        <w:pPr>
                          <w:pStyle w:val="TableParagraph"/>
                          <w:ind w:right="225"/>
                          <w:rPr>
                            <w:sz w:val="22"/>
                          </w:rPr>
                        </w:pPr>
                        <w:r>
                          <w:rPr>
                            <w:sz w:val="22"/>
                          </w:rPr>
                          <w:t>Indicates that the cache contains a scenario summary report</w:t>
                        </w:r>
                      </w:p>
                    </w:tc>
                  </w:tr>
                  <w:tr>
                    <w:trPr>
                      <w:trHeight w:val="354" w:hRule="atLeast"/>
                    </w:trPr>
                    <w:tc>
                      <w:tcPr>
                        <w:tcW w:w="5156" w:type="dxa"/>
                      </w:tcPr>
                      <w:p>
                        <w:pPr>
                          <w:pStyle w:val="TableParagraph"/>
                          <w:rPr>
                            <w:sz w:val="22"/>
                          </w:rPr>
                        </w:pPr>
                        <w:r>
                          <w:rPr>
                            <w:rFonts w:ascii="Cambria"/>
                            <w:sz w:val="22"/>
                          </w:rPr>
                          <w:t>worksheet </w:t>
                        </w:r>
                        <w:r>
                          <w:rPr>
                            <w:sz w:val="22"/>
                          </w:rPr>
                          <w:t>(Worksheet)</w:t>
                        </w:r>
                      </w:p>
                    </w:tc>
                    <w:tc>
                      <w:tcPr>
                        <w:tcW w:w="5156" w:type="dxa"/>
                      </w:tcPr>
                      <w:p>
                        <w:pPr>
                          <w:pStyle w:val="TableParagraph"/>
                          <w:rPr>
                            <w:sz w:val="22"/>
                          </w:rPr>
                        </w:pPr>
                        <w:r>
                          <w:rPr>
                            <w:sz w:val="22"/>
                          </w:rPr>
                          <w:t>Indicates that the cache contains worksheet data.</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8"/>
        </w:rPr>
      </w:pPr>
    </w:p>
    <w:p>
      <w:pPr>
        <w:pStyle w:val="BodyText"/>
        <w:ind w:left="220"/>
      </w:pPr>
      <w:r>
        <w:rPr/>
        <w:t>[</w:t>
      </w:r>
      <w:r>
        <w:rPr>
          <w:i/>
        </w:rPr>
        <w:t>Note</w:t>
      </w:r>
      <w:r>
        <w:rPr/>
        <w:t>: The W3C XML Schema definition of this simple type’s content model (</w:t>
      </w:r>
      <w:r>
        <w:rPr>
          <w:color w:val="5F5F5F"/>
          <w:u w:val="single" w:color="5F5F5F"/>
        </w:rPr>
        <w:t>ST_SourceType</w:t>
      </w:r>
      <w:r>
        <w:rPr/>
        <w:t>) is located in §A.2.</w:t>
      </w:r>
    </w:p>
    <w:p>
      <w:pPr>
        <w:spacing w:before="43"/>
        <w:ind w:left="220" w:right="0" w:firstLine="0"/>
        <w:jc w:val="left"/>
        <w:rPr>
          <w:sz w:val="22"/>
        </w:rPr>
      </w:pPr>
      <w:r>
        <w:rPr>
          <w:i/>
          <w:sz w:val="22"/>
        </w:rPr>
        <w:t>end note</w:t>
      </w:r>
      <w:r>
        <w:rPr>
          <w:sz w:val="22"/>
        </w:rPr>
        <w:t>]</w:t>
      </w:r>
    </w:p>
    <w:p>
      <w:pPr>
        <w:spacing w:after="0"/>
        <w:jc w:val="left"/>
        <w:rPr>
          <w:sz w:val="22"/>
        </w:rPr>
        <w:sectPr>
          <w:pgSz w:w="12240" w:h="15840"/>
          <w:pgMar w:header="761" w:footer="746" w:top="1340" w:bottom="940" w:left="860" w:right="700"/>
        </w:sectPr>
      </w:pPr>
    </w:p>
    <w:p>
      <w:pPr>
        <w:pStyle w:val="Heading2"/>
        <w:numPr>
          <w:ilvl w:val="2"/>
          <w:numId w:val="17"/>
        </w:numPr>
        <w:tabs>
          <w:tab w:pos="1445" w:val="left" w:leader="none"/>
        </w:tabs>
        <w:spacing w:line="240" w:lineRule="auto" w:before="151" w:after="0"/>
        <w:ind w:left="1444" w:right="0" w:hanging="1225"/>
        <w:jc w:val="left"/>
      </w:pPr>
      <w:bookmarkStart w:name="18.18.76 ST_Sqref (Reference Sequence)" w:id="2693"/>
      <w:bookmarkEnd w:id="2693"/>
      <w:r>
        <w:rPr>
          <w:b w:val="0"/>
        </w:rPr>
      </w:r>
      <w:bookmarkStart w:name="_bookmark898" w:id="2694"/>
      <w:bookmarkEnd w:id="2694"/>
      <w:r>
        <w:rPr>
          <w:b w:val="0"/>
        </w:rPr>
      </w:r>
      <w:bookmarkStart w:name="_bookmark898" w:id="2695"/>
      <w:bookmarkEnd w:id="2695"/>
      <w:r>
        <w:rPr>
          <w:color w:val="4F81BC"/>
        </w:rPr>
        <w:t>S</w:t>
      </w:r>
      <w:r>
        <w:rPr>
          <w:color w:val="4F81BC"/>
        </w:rPr>
        <w:t>T_Sqref (Reference</w:t>
      </w:r>
      <w:r>
        <w:rPr>
          <w:color w:val="4F81BC"/>
          <w:spacing w:val="2"/>
        </w:rPr>
        <w:t> </w:t>
      </w:r>
      <w:r>
        <w:rPr>
          <w:color w:val="4F81BC"/>
        </w:rPr>
        <w:t>Sequence)</w:t>
      </w:r>
    </w:p>
    <w:p>
      <w:pPr>
        <w:pStyle w:val="BodyText"/>
        <w:spacing w:before="124"/>
        <w:ind w:left="220"/>
      </w:pPr>
      <w:r>
        <w:rPr/>
        <w:t>A sequence of cell references, space delimited.</w:t>
      </w:r>
    </w:p>
    <w:p>
      <w:pPr>
        <w:pStyle w:val="BodyText"/>
        <w:spacing w:before="9"/>
        <w:rPr>
          <w:sz w:val="19"/>
        </w:rPr>
      </w:pPr>
    </w:p>
    <w:p>
      <w:pPr>
        <w:pStyle w:val="BodyText"/>
        <w:ind w:left="220"/>
      </w:pPr>
      <w:r>
        <w:rPr/>
        <w:t>This simple type allows a list of items of the </w:t>
      </w:r>
      <w:r>
        <w:rPr>
          <w:rFonts w:ascii="Cambria" w:hAnsi="Cambria"/>
        </w:rPr>
        <w:t>ST_Ref </w:t>
      </w:r>
      <w:r>
        <w:rPr/>
        <w:t>simple type (§</w:t>
      </w:r>
      <w:hyperlink w:history="true" w:anchor="_bookmark884">
        <w:r>
          <w:rPr/>
          <w:t>18.18.62</w:t>
        </w:r>
      </w:hyperlink>
      <w:r>
        <w:rPr/>
        <w:t>).</w:t>
      </w:r>
    </w:p>
    <w:p>
      <w:pPr>
        <w:pStyle w:val="BodyText"/>
        <w:spacing w:before="5"/>
        <w:rPr>
          <w:sz w:val="19"/>
        </w:rPr>
      </w:pPr>
    </w:p>
    <w:p>
      <w:pPr>
        <w:pStyle w:val="BodyText"/>
        <w:spacing w:line="278" w:lineRule="auto" w:before="1"/>
        <w:ind w:left="220" w:right="739"/>
      </w:pPr>
      <w:r>
        <w:rPr/>
        <w:t>[</w:t>
      </w:r>
      <w:r>
        <w:rPr>
          <w:i/>
        </w:rPr>
        <w:t>Note</w:t>
      </w:r>
      <w:r>
        <w:rPr/>
        <w:t>: The W3C XML Schema definition of this simple type’s content model (</w:t>
      </w:r>
      <w:r>
        <w:rPr>
          <w:color w:val="5F5F5F"/>
          <w:u w:val="single" w:color="5F5F5F"/>
        </w:rPr>
        <w:t>ST_Sqref</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77 ST_TableStyleType (Table Style " w:id="2696"/>
      <w:bookmarkEnd w:id="2696"/>
      <w:r>
        <w:rPr>
          <w:b w:val="0"/>
        </w:rPr>
      </w:r>
      <w:bookmarkStart w:name="_bookmark899" w:id="2697"/>
      <w:bookmarkEnd w:id="2697"/>
      <w:r>
        <w:rPr>
          <w:b w:val="0"/>
        </w:rPr>
      </w:r>
      <w:bookmarkStart w:name="_bookmark899" w:id="2698"/>
      <w:bookmarkEnd w:id="2698"/>
      <w:r>
        <w:rPr>
          <w:color w:val="4F81BC"/>
        </w:rPr>
        <w:t>S</w:t>
      </w:r>
      <w:r>
        <w:rPr>
          <w:color w:val="4F81BC"/>
        </w:rPr>
        <w:t>T_TableStyleType (Table Style</w:t>
      </w:r>
      <w:r>
        <w:rPr>
          <w:color w:val="4F81BC"/>
          <w:spacing w:val="-1"/>
        </w:rPr>
        <w:t> </w:t>
      </w:r>
      <w:r>
        <w:rPr>
          <w:color w:val="4F81BC"/>
        </w:rPr>
        <w:t>Type)</w:t>
      </w:r>
    </w:p>
    <w:p>
      <w:pPr>
        <w:pStyle w:val="BodyText"/>
        <w:spacing w:line="278" w:lineRule="auto" w:before="121"/>
        <w:ind w:left="220" w:right="937"/>
      </w:pPr>
      <w:r>
        <w:rPr/>
        <w:t>Enumeration of the different structured regions of a Table or PivotTable which can be formatted. Specifies which region is being formatted by this table style element.</w:t>
      </w:r>
    </w:p>
    <w:p>
      <w:pPr>
        <w:pStyle w:val="BodyText"/>
        <w:spacing w:before="3"/>
        <w:rPr>
          <w:sz w:val="16"/>
        </w:rPr>
      </w:pPr>
    </w:p>
    <w:p>
      <w:pPr>
        <w:pStyle w:val="Heading4"/>
      </w:pPr>
      <w:r>
        <w:rPr/>
        <w:t>Table Regions</w:t>
      </w:r>
    </w:p>
    <w:p>
      <w:pPr>
        <w:pStyle w:val="BodyText"/>
        <w:spacing w:before="9"/>
        <w:rPr>
          <w:b/>
          <w:sz w:val="28"/>
        </w:rPr>
      </w:pPr>
      <w:r>
        <w:rPr/>
        <w:drawing>
          <wp:anchor distT="0" distB="0" distL="0" distR="0" allowOverlap="1" layoutInCell="1" locked="0" behindDoc="0" simplePos="0" relativeHeight="282">
            <wp:simplePos x="0" y="0"/>
            <wp:positionH relativeFrom="page">
              <wp:posOffset>742953</wp:posOffset>
            </wp:positionH>
            <wp:positionV relativeFrom="paragraph">
              <wp:posOffset>248034</wp:posOffset>
            </wp:positionV>
            <wp:extent cx="6338818" cy="3743325"/>
            <wp:effectExtent l="0" t="0" r="0" b="0"/>
            <wp:wrapTopAndBottom/>
            <wp:docPr id="265" name="image131.png"/>
            <wp:cNvGraphicFramePr>
              <a:graphicFrameLocks noChangeAspect="1"/>
            </wp:cNvGraphicFramePr>
            <a:graphic>
              <a:graphicData uri="http://schemas.openxmlformats.org/drawingml/2006/picture">
                <pic:pic>
                  <pic:nvPicPr>
                    <pic:cNvPr id="266" name="image131.png"/>
                    <pic:cNvPicPr/>
                  </pic:nvPicPr>
                  <pic:blipFill>
                    <a:blip r:embed="rId353" cstate="print"/>
                    <a:stretch>
                      <a:fillRect/>
                    </a:stretch>
                  </pic:blipFill>
                  <pic:spPr>
                    <a:xfrm>
                      <a:off x="0" y="0"/>
                      <a:ext cx="6338818" cy="3743325"/>
                    </a:xfrm>
                    <a:prstGeom prst="rect">
                      <a:avLst/>
                    </a:prstGeom>
                  </pic:spPr>
                </pic:pic>
              </a:graphicData>
            </a:graphic>
          </wp:anchor>
        </w:drawing>
      </w:r>
    </w:p>
    <w:p>
      <w:pPr>
        <w:pStyle w:val="BodyText"/>
        <w:spacing w:before="10"/>
        <w:rPr>
          <w:b/>
          <w:sz w:val="26"/>
        </w:rPr>
      </w:pPr>
    </w:p>
    <w:p>
      <w:pPr>
        <w:spacing w:before="0"/>
        <w:ind w:left="220" w:right="0" w:firstLine="0"/>
        <w:jc w:val="left"/>
        <w:rPr>
          <w:b/>
          <w:sz w:val="22"/>
        </w:rPr>
      </w:pPr>
      <w:r>
        <w:rPr>
          <w:b/>
          <w:sz w:val="22"/>
        </w:rPr>
        <w:t>PivotTable Regions</w:t>
      </w:r>
    </w:p>
    <w:p>
      <w:pPr>
        <w:pStyle w:val="BodyText"/>
        <w:spacing w:before="9"/>
        <w:rPr>
          <w:b/>
          <w:sz w:val="19"/>
        </w:rPr>
      </w:pPr>
    </w:p>
    <w:p>
      <w:pPr>
        <w:spacing w:before="0"/>
        <w:ind w:left="220" w:right="0" w:firstLine="0"/>
        <w:jc w:val="left"/>
        <w:rPr>
          <w:i/>
          <w:sz w:val="22"/>
        </w:rPr>
      </w:pPr>
      <w:r>
        <w:rPr>
          <w:i/>
          <w:sz w:val="22"/>
        </w:rPr>
        <w:t>Blank Row</w:t>
      </w:r>
    </w:p>
    <w:p>
      <w:pPr>
        <w:pStyle w:val="BodyText"/>
        <w:spacing w:before="8"/>
        <w:rPr>
          <w:i/>
          <w:sz w:val="19"/>
        </w:rPr>
      </w:pPr>
    </w:p>
    <w:p>
      <w:pPr>
        <w:pStyle w:val="BodyText"/>
        <w:ind w:left="220"/>
      </w:pPr>
      <w:r>
        <w:rPr/>
        <w:t>Only applies when "Insert blank row after each item" is ON.</w:t>
      </w:r>
    </w:p>
    <w:p>
      <w:pPr>
        <w:spacing w:after="0"/>
        <w:sectPr>
          <w:pgSz w:w="12240" w:h="15840"/>
          <w:pgMar w:header="763" w:footer="746" w:top="1340" w:bottom="940" w:left="860" w:right="700"/>
        </w:sectPr>
      </w:pPr>
    </w:p>
    <w:p>
      <w:pPr>
        <w:pStyle w:val="BodyText"/>
        <w:spacing w:before="1"/>
        <w:rPr>
          <w:rFonts w:ascii="Times New Roman"/>
          <w:sz w:val="8"/>
        </w:rPr>
      </w:pPr>
    </w:p>
    <w:p>
      <w:pPr>
        <w:pStyle w:val="BodyText"/>
        <w:ind w:left="220"/>
        <w:rPr>
          <w:rFonts w:ascii="Times New Roman"/>
          <w:sz w:val="20"/>
        </w:rPr>
      </w:pPr>
      <w:r>
        <w:rPr>
          <w:rFonts w:ascii="Times New Roman"/>
          <w:sz w:val="20"/>
        </w:rPr>
        <w:drawing>
          <wp:inline distT="0" distB="0" distL="0" distR="0">
            <wp:extent cx="3968646" cy="5657850"/>
            <wp:effectExtent l="0" t="0" r="0" b="0"/>
            <wp:docPr id="267" name="image132.png"/>
            <wp:cNvGraphicFramePr>
              <a:graphicFrameLocks noChangeAspect="1"/>
            </wp:cNvGraphicFramePr>
            <a:graphic>
              <a:graphicData uri="http://schemas.openxmlformats.org/drawingml/2006/picture">
                <pic:pic>
                  <pic:nvPicPr>
                    <pic:cNvPr id="268" name="image132.png"/>
                    <pic:cNvPicPr/>
                  </pic:nvPicPr>
                  <pic:blipFill>
                    <a:blip r:embed="rId354" cstate="print"/>
                    <a:stretch>
                      <a:fillRect/>
                    </a:stretch>
                  </pic:blipFill>
                  <pic:spPr>
                    <a:xfrm>
                      <a:off x="0" y="0"/>
                      <a:ext cx="3968646" cy="5657850"/>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761" w:footer="746" w:top="1340" w:bottom="940" w:left="860" w:right="700"/>
        </w:sectPr>
      </w:pPr>
    </w:p>
    <w:p>
      <w:pPr>
        <w:spacing w:before="150"/>
        <w:ind w:left="220" w:right="0" w:firstLine="0"/>
        <w:jc w:val="left"/>
        <w:rPr>
          <w:i/>
          <w:sz w:val="22"/>
        </w:rPr>
      </w:pPr>
      <w:r>
        <w:rPr>
          <w:i/>
          <w:sz w:val="22"/>
        </w:rPr>
        <w:t>Whole Table</w:t>
      </w:r>
    </w:p>
    <w:p>
      <w:pPr>
        <w:pStyle w:val="BodyText"/>
        <w:spacing w:before="7"/>
        <w:rPr>
          <w:i/>
          <w:sz w:val="16"/>
        </w:rPr>
      </w:pPr>
      <w:r>
        <w:rPr/>
        <w:drawing>
          <wp:anchor distT="0" distB="0" distL="0" distR="0" allowOverlap="1" layoutInCell="1" locked="0" behindDoc="0" simplePos="0" relativeHeight="283">
            <wp:simplePos x="0" y="0"/>
            <wp:positionH relativeFrom="page">
              <wp:posOffset>685800</wp:posOffset>
            </wp:positionH>
            <wp:positionV relativeFrom="paragraph">
              <wp:posOffset>153308</wp:posOffset>
            </wp:positionV>
            <wp:extent cx="4023845" cy="4429125"/>
            <wp:effectExtent l="0" t="0" r="0" b="0"/>
            <wp:wrapTopAndBottom/>
            <wp:docPr id="269" name="image133.png"/>
            <wp:cNvGraphicFramePr>
              <a:graphicFrameLocks noChangeAspect="1"/>
            </wp:cNvGraphicFramePr>
            <a:graphic>
              <a:graphicData uri="http://schemas.openxmlformats.org/drawingml/2006/picture">
                <pic:pic>
                  <pic:nvPicPr>
                    <pic:cNvPr id="270" name="image133.png"/>
                    <pic:cNvPicPr/>
                  </pic:nvPicPr>
                  <pic:blipFill>
                    <a:blip r:embed="rId355" cstate="print"/>
                    <a:stretch>
                      <a:fillRect/>
                    </a:stretch>
                  </pic:blipFill>
                  <pic:spPr>
                    <a:xfrm>
                      <a:off x="0" y="0"/>
                      <a:ext cx="4023845" cy="4429125"/>
                    </a:xfrm>
                    <a:prstGeom prst="rect">
                      <a:avLst/>
                    </a:prstGeom>
                  </pic:spPr>
                </pic:pic>
              </a:graphicData>
            </a:graphic>
          </wp:anchor>
        </w:drawing>
      </w:r>
    </w:p>
    <w:p>
      <w:pPr>
        <w:pStyle w:val="BodyText"/>
        <w:spacing w:before="6"/>
        <w:rPr>
          <w:i/>
          <w:sz w:val="17"/>
        </w:rPr>
      </w:pPr>
    </w:p>
    <w:p>
      <w:pPr>
        <w:spacing w:before="0"/>
        <w:ind w:left="220" w:right="0" w:firstLine="0"/>
        <w:jc w:val="left"/>
        <w:rPr>
          <w:i/>
          <w:sz w:val="22"/>
        </w:rPr>
      </w:pPr>
      <w:r>
        <w:rPr>
          <w:i/>
          <w:sz w:val="22"/>
        </w:rPr>
        <w:t>Page Field Labels</w:t>
      </w:r>
    </w:p>
    <w:p>
      <w:pPr>
        <w:pStyle w:val="BodyText"/>
        <w:spacing w:before="5"/>
        <w:rPr>
          <w:i/>
          <w:sz w:val="16"/>
        </w:rPr>
      </w:pPr>
      <w:r>
        <w:rPr/>
        <w:drawing>
          <wp:anchor distT="0" distB="0" distL="0" distR="0" allowOverlap="1" layoutInCell="1" locked="0" behindDoc="0" simplePos="0" relativeHeight="284">
            <wp:simplePos x="0" y="0"/>
            <wp:positionH relativeFrom="page">
              <wp:posOffset>685800</wp:posOffset>
            </wp:positionH>
            <wp:positionV relativeFrom="paragraph">
              <wp:posOffset>152098</wp:posOffset>
            </wp:positionV>
            <wp:extent cx="4037072" cy="2149983"/>
            <wp:effectExtent l="0" t="0" r="0" b="0"/>
            <wp:wrapTopAndBottom/>
            <wp:docPr id="271" name="image134.png"/>
            <wp:cNvGraphicFramePr>
              <a:graphicFrameLocks noChangeAspect="1"/>
            </wp:cNvGraphicFramePr>
            <a:graphic>
              <a:graphicData uri="http://schemas.openxmlformats.org/drawingml/2006/picture">
                <pic:pic>
                  <pic:nvPicPr>
                    <pic:cNvPr id="272" name="image134.png"/>
                    <pic:cNvPicPr/>
                  </pic:nvPicPr>
                  <pic:blipFill>
                    <a:blip r:embed="rId356" cstate="print"/>
                    <a:stretch>
                      <a:fillRect/>
                    </a:stretch>
                  </pic:blipFill>
                  <pic:spPr>
                    <a:xfrm>
                      <a:off x="0" y="0"/>
                      <a:ext cx="4037072" cy="2149983"/>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i/>
          <w:sz w:val="22"/>
        </w:rPr>
      </w:pPr>
      <w:r>
        <w:rPr>
          <w:i/>
          <w:sz w:val="22"/>
        </w:rPr>
        <w:t>Page Field Values</w:t>
      </w:r>
    </w:p>
    <w:p>
      <w:pPr>
        <w:pStyle w:val="BodyText"/>
        <w:spacing w:before="6"/>
        <w:rPr>
          <w:i/>
          <w:sz w:val="16"/>
        </w:rPr>
      </w:pPr>
      <w:r>
        <w:rPr/>
        <w:drawing>
          <wp:anchor distT="0" distB="0" distL="0" distR="0" allowOverlap="1" layoutInCell="1" locked="0" behindDoc="0" simplePos="0" relativeHeight="285">
            <wp:simplePos x="0" y="0"/>
            <wp:positionH relativeFrom="page">
              <wp:posOffset>685800</wp:posOffset>
            </wp:positionH>
            <wp:positionV relativeFrom="paragraph">
              <wp:posOffset>152927</wp:posOffset>
            </wp:positionV>
            <wp:extent cx="4049691" cy="2162175"/>
            <wp:effectExtent l="0" t="0" r="0" b="0"/>
            <wp:wrapTopAndBottom/>
            <wp:docPr id="273" name="image135.png"/>
            <wp:cNvGraphicFramePr>
              <a:graphicFrameLocks noChangeAspect="1"/>
            </wp:cNvGraphicFramePr>
            <a:graphic>
              <a:graphicData uri="http://schemas.openxmlformats.org/drawingml/2006/picture">
                <pic:pic>
                  <pic:nvPicPr>
                    <pic:cNvPr id="274" name="image135.png"/>
                    <pic:cNvPicPr/>
                  </pic:nvPicPr>
                  <pic:blipFill>
                    <a:blip r:embed="rId359" cstate="print"/>
                    <a:stretch>
                      <a:fillRect/>
                    </a:stretch>
                  </pic:blipFill>
                  <pic:spPr>
                    <a:xfrm>
                      <a:off x="0" y="0"/>
                      <a:ext cx="4049691" cy="2162175"/>
                    </a:xfrm>
                    <a:prstGeom prst="rect">
                      <a:avLst/>
                    </a:prstGeom>
                  </pic:spPr>
                </pic:pic>
              </a:graphicData>
            </a:graphic>
          </wp:anchor>
        </w:drawing>
      </w:r>
    </w:p>
    <w:p>
      <w:pPr>
        <w:pStyle w:val="BodyText"/>
        <w:spacing w:before="11"/>
        <w:rPr>
          <w:i/>
          <w:sz w:val="16"/>
        </w:rPr>
      </w:pPr>
    </w:p>
    <w:p>
      <w:pPr>
        <w:spacing w:before="1"/>
        <w:ind w:left="220" w:right="0" w:firstLine="0"/>
        <w:jc w:val="left"/>
        <w:rPr>
          <w:i/>
          <w:sz w:val="22"/>
        </w:rPr>
      </w:pPr>
      <w:r>
        <w:rPr>
          <w:i/>
          <w:sz w:val="22"/>
        </w:rPr>
        <w:t>First Column Stripe</w:t>
      </w:r>
    </w:p>
    <w:p>
      <w:pPr>
        <w:pStyle w:val="BodyText"/>
        <w:spacing w:before="5"/>
        <w:rPr>
          <w:i/>
          <w:sz w:val="16"/>
        </w:rPr>
      </w:pPr>
      <w:r>
        <w:rPr/>
        <w:drawing>
          <wp:anchor distT="0" distB="0" distL="0" distR="0" allowOverlap="1" layoutInCell="1" locked="0" behindDoc="0" simplePos="0" relativeHeight="286">
            <wp:simplePos x="0" y="0"/>
            <wp:positionH relativeFrom="page">
              <wp:posOffset>685800</wp:posOffset>
            </wp:positionH>
            <wp:positionV relativeFrom="paragraph">
              <wp:posOffset>152230</wp:posOffset>
            </wp:positionV>
            <wp:extent cx="6341388" cy="2633186"/>
            <wp:effectExtent l="0" t="0" r="0" b="0"/>
            <wp:wrapTopAndBottom/>
            <wp:docPr id="275" name="image136.png"/>
            <wp:cNvGraphicFramePr>
              <a:graphicFrameLocks noChangeAspect="1"/>
            </wp:cNvGraphicFramePr>
            <a:graphic>
              <a:graphicData uri="http://schemas.openxmlformats.org/drawingml/2006/picture">
                <pic:pic>
                  <pic:nvPicPr>
                    <pic:cNvPr id="276" name="image136.png"/>
                    <pic:cNvPicPr/>
                  </pic:nvPicPr>
                  <pic:blipFill>
                    <a:blip r:embed="rId360" cstate="print"/>
                    <a:stretch>
                      <a:fillRect/>
                    </a:stretch>
                  </pic:blipFill>
                  <pic:spPr>
                    <a:xfrm>
                      <a:off x="0" y="0"/>
                      <a:ext cx="6341388" cy="2633186"/>
                    </a:xfrm>
                    <a:prstGeom prst="rect">
                      <a:avLst/>
                    </a:prstGeom>
                  </pic:spPr>
                </pic:pic>
              </a:graphicData>
            </a:graphic>
          </wp:anchor>
        </w:drawing>
      </w:r>
    </w:p>
    <w:p>
      <w:pPr>
        <w:spacing w:after="0"/>
        <w:rPr>
          <w:sz w:val="16"/>
        </w:rPr>
        <w:sectPr>
          <w:footerReference w:type="even" r:id="rId357"/>
          <w:footerReference w:type="default" r:id="rId358"/>
          <w:pgSz w:w="12240" w:h="15840"/>
          <w:pgMar w:footer="746" w:header="761" w:top="1340" w:bottom="940" w:left="860" w:right="700"/>
          <w:pgNumType w:start="2490"/>
        </w:sectPr>
      </w:pPr>
    </w:p>
    <w:p>
      <w:pPr>
        <w:spacing w:before="150"/>
        <w:ind w:left="220" w:right="0" w:firstLine="0"/>
        <w:jc w:val="left"/>
        <w:rPr>
          <w:i/>
          <w:sz w:val="22"/>
        </w:rPr>
      </w:pPr>
      <w:r>
        <w:rPr>
          <w:i/>
          <w:sz w:val="22"/>
        </w:rPr>
        <w:t>Second Column Stripe</w:t>
      </w:r>
    </w:p>
    <w:p>
      <w:pPr>
        <w:pStyle w:val="BodyText"/>
        <w:spacing w:before="7"/>
        <w:rPr>
          <w:i/>
          <w:sz w:val="16"/>
        </w:rPr>
      </w:pPr>
      <w:r>
        <w:rPr/>
        <w:drawing>
          <wp:anchor distT="0" distB="0" distL="0" distR="0" allowOverlap="1" layoutInCell="1" locked="0" behindDoc="0" simplePos="0" relativeHeight="287">
            <wp:simplePos x="0" y="0"/>
            <wp:positionH relativeFrom="page">
              <wp:posOffset>685800</wp:posOffset>
            </wp:positionH>
            <wp:positionV relativeFrom="paragraph">
              <wp:posOffset>153309</wp:posOffset>
            </wp:positionV>
            <wp:extent cx="6351474" cy="4219194"/>
            <wp:effectExtent l="0" t="0" r="0" b="0"/>
            <wp:wrapTopAndBottom/>
            <wp:docPr id="277" name="image137.png"/>
            <wp:cNvGraphicFramePr>
              <a:graphicFrameLocks noChangeAspect="1"/>
            </wp:cNvGraphicFramePr>
            <a:graphic>
              <a:graphicData uri="http://schemas.openxmlformats.org/drawingml/2006/picture">
                <pic:pic>
                  <pic:nvPicPr>
                    <pic:cNvPr id="278" name="image137.png"/>
                    <pic:cNvPicPr/>
                  </pic:nvPicPr>
                  <pic:blipFill>
                    <a:blip r:embed="rId361" cstate="print"/>
                    <a:stretch>
                      <a:fillRect/>
                    </a:stretch>
                  </pic:blipFill>
                  <pic:spPr>
                    <a:xfrm>
                      <a:off x="0" y="0"/>
                      <a:ext cx="6351474" cy="4219194"/>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i/>
          <w:sz w:val="22"/>
        </w:rPr>
      </w:pPr>
      <w:r>
        <w:rPr>
          <w:i/>
          <w:sz w:val="22"/>
        </w:rPr>
        <w:t>First Row Stripe</w:t>
      </w:r>
    </w:p>
    <w:p>
      <w:pPr>
        <w:pStyle w:val="BodyText"/>
        <w:spacing w:before="6"/>
        <w:rPr>
          <w:i/>
          <w:sz w:val="16"/>
        </w:rPr>
      </w:pPr>
      <w:r>
        <w:rPr/>
        <w:drawing>
          <wp:anchor distT="0" distB="0" distL="0" distR="0" allowOverlap="1" layoutInCell="1" locked="0" behindDoc="0" simplePos="0" relativeHeight="288">
            <wp:simplePos x="0" y="0"/>
            <wp:positionH relativeFrom="page">
              <wp:posOffset>685800</wp:posOffset>
            </wp:positionH>
            <wp:positionV relativeFrom="paragraph">
              <wp:posOffset>152927</wp:posOffset>
            </wp:positionV>
            <wp:extent cx="5641360" cy="4248150"/>
            <wp:effectExtent l="0" t="0" r="0" b="0"/>
            <wp:wrapTopAndBottom/>
            <wp:docPr id="279" name="image138.png"/>
            <wp:cNvGraphicFramePr>
              <a:graphicFrameLocks noChangeAspect="1"/>
            </wp:cNvGraphicFramePr>
            <a:graphic>
              <a:graphicData uri="http://schemas.openxmlformats.org/drawingml/2006/picture">
                <pic:pic>
                  <pic:nvPicPr>
                    <pic:cNvPr id="280" name="image138.png"/>
                    <pic:cNvPicPr/>
                  </pic:nvPicPr>
                  <pic:blipFill>
                    <a:blip r:embed="rId362" cstate="print"/>
                    <a:stretch>
                      <a:fillRect/>
                    </a:stretch>
                  </pic:blipFill>
                  <pic:spPr>
                    <a:xfrm>
                      <a:off x="0" y="0"/>
                      <a:ext cx="5641360" cy="4248150"/>
                    </a:xfrm>
                    <a:prstGeom prst="rect">
                      <a:avLst/>
                    </a:prstGeom>
                  </pic:spPr>
                </pic:pic>
              </a:graphicData>
            </a:graphic>
          </wp:anchor>
        </w:drawing>
      </w:r>
    </w:p>
    <w:p>
      <w:pPr>
        <w:spacing w:after="0"/>
        <w:rPr>
          <w:sz w:val="16"/>
        </w:rPr>
        <w:sectPr>
          <w:pgSz w:w="12240" w:h="15840"/>
          <w:pgMar w:header="761" w:footer="746" w:top="1340" w:bottom="940" w:left="860" w:right="700"/>
        </w:sectPr>
      </w:pPr>
    </w:p>
    <w:p>
      <w:pPr>
        <w:spacing w:before="150"/>
        <w:ind w:left="220" w:right="0" w:firstLine="0"/>
        <w:jc w:val="left"/>
        <w:rPr>
          <w:i/>
          <w:sz w:val="22"/>
        </w:rPr>
      </w:pPr>
      <w:r>
        <w:rPr>
          <w:i/>
          <w:sz w:val="22"/>
        </w:rPr>
        <w:t>Second Row Stripe</w:t>
      </w:r>
    </w:p>
    <w:p>
      <w:pPr>
        <w:pStyle w:val="BodyText"/>
        <w:spacing w:before="7"/>
        <w:rPr>
          <w:i/>
          <w:sz w:val="16"/>
        </w:rPr>
      </w:pPr>
      <w:r>
        <w:rPr/>
        <w:drawing>
          <wp:anchor distT="0" distB="0" distL="0" distR="0" allowOverlap="1" layoutInCell="1" locked="0" behindDoc="0" simplePos="0" relativeHeight="289">
            <wp:simplePos x="0" y="0"/>
            <wp:positionH relativeFrom="page">
              <wp:posOffset>685800</wp:posOffset>
            </wp:positionH>
            <wp:positionV relativeFrom="paragraph">
              <wp:posOffset>153309</wp:posOffset>
            </wp:positionV>
            <wp:extent cx="5632178" cy="4210050"/>
            <wp:effectExtent l="0" t="0" r="0" b="0"/>
            <wp:wrapTopAndBottom/>
            <wp:docPr id="281" name="image139.png"/>
            <wp:cNvGraphicFramePr>
              <a:graphicFrameLocks noChangeAspect="1"/>
            </wp:cNvGraphicFramePr>
            <a:graphic>
              <a:graphicData uri="http://schemas.openxmlformats.org/drawingml/2006/picture">
                <pic:pic>
                  <pic:nvPicPr>
                    <pic:cNvPr id="282" name="image139.png"/>
                    <pic:cNvPicPr/>
                  </pic:nvPicPr>
                  <pic:blipFill>
                    <a:blip r:embed="rId363" cstate="print"/>
                    <a:stretch>
                      <a:fillRect/>
                    </a:stretch>
                  </pic:blipFill>
                  <pic:spPr>
                    <a:xfrm>
                      <a:off x="0" y="0"/>
                      <a:ext cx="5632178" cy="4210050"/>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i/>
          <w:sz w:val="22"/>
        </w:rPr>
      </w:pPr>
      <w:r>
        <w:rPr>
          <w:i/>
          <w:sz w:val="22"/>
        </w:rPr>
        <w:t>First</w:t>
      </w:r>
      <w:r>
        <w:rPr>
          <w:i/>
          <w:spacing w:val="-7"/>
          <w:sz w:val="22"/>
        </w:rPr>
        <w:t> </w:t>
      </w:r>
      <w:r>
        <w:rPr>
          <w:i/>
          <w:sz w:val="22"/>
        </w:rPr>
        <w:t>Column</w:t>
      </w:r>
    </w:p>
    <w:p>
      <w:pPr>
        <w:pStyle w:val="BodyText"/>
        <w:spacing w:before="6"/>
        <w:rPr>
          <w:i/>
          <w:sz w:val="16"/>
        </w:rPr>
      </w:pPr>
      <w:r>
        <w:rPr/>
        <w:drawing>
          <wp:anchor distT="0" distB="0" distL="0" distR="0" allowOverlap="1" layoutInCell="1" locked="0" behindDoc="0" simplePos="0" relativeHeight="290">
            <wp:simplePos x="0" y="0"/>
            <wp:positionH relativeFrom="page">
              <wp:posOffset>685800</wp:posOffset>
            </wp:positionH>
            <wp:positionV relativeFrom="paragraph">
              <wp:posOffset>152927</wp:posOffset>
            </wp:positionV>
            <wp:extent cx="4849590" cy="4248150"/>
            <wp:effectExtent l="0" t="0" r="0" b="0"/>
            <wp:wrapTopAndBottom/>
            <wp:docPr id="283" name="image140.png"/>
            <wp:cNvGraphicFramePr>
              <a:graphicFrameLocks noChangeAspect="1"/>
            </wp:cNvGraphicFramePr>
            <a:graphic>
              <a:graphicData uri="http://schemas.openxmlformats.org/drawingml/2006/picture">
                <pic:pic>
                  <pic:nvPicPr>
                    <pic:cNvPr id="284" name="image140.png"/>
                    <pic:cNvPicPr/>
                  </pic:nvPicPr>
                  <pic:blipFill>
                    <a:blip r:embed="rId364" cstate="print"/>
                    <a:stretch>
                      <a:fillRect/>
                    </a:stretch>
                  </pic:blipFill>
                  <pic:spPr>
                    <a:xfrm>
                      <a:off x="0" y="0"/>
                      <a:ext cx="4849590" cy="4248150"/>
                    </a:xfrm>
                    <a:prstGeom prst="rect">
                      <a:avLst/>
                    </a:prstGeom>
                  </pic:spPr>
                </pic:pic>
              </a:graphicData>
            </a:graphic>
          </wp:anchor>
        </w:drawing>
      </w:r>
    </w:p>
    <w:p>
      <w:pPr>
        <w:pStyle w:val="BodyText"/>
        <w:spacing w:before="10"/>
        <w:rPr>
          <w:i/>
          <w:sz w:val="17"/>
        </w:rPr>
      </w:pPr>
    </w:p>
    <w:p>
      <w:pPr>
        <w:spacing w:before="0"/>
        <w:ind w:left="220" w:right="0" w:firstLine="0"/>
        <w:jc w:val="left"/>
        <w:rPr>
          <w:i/>
          <w:sz w:val="22"/>
        </w:rPr>
      </w:pPr>
      <w:r>
        <w:rPr>
          <w:i/>
          <w:sz w:val="22"/>
        </w:rPr>
        <w:t>Header</w:t>
      </w:r>
      <w:r>
        <w:rPr>
          <w:i/>
          <w:spacing w:val="-2"/>
          <w:sz w:val="22"/>
        </w:rPr>
        <w:t> </w:t>
      </w:r>
      <w:r>
        <w:rPr>
          <w:i/>
          <w:sz w:val="22"/>
        </w:rPr>
        <w:t>Row</w:t>
      </w:r>
    </w:p>
    <w:p>
      <w:pPr>
        <w:pStyle w:val="BodyText"/>
        <w:spacing w:before="5"/>
        <w:rPr>
          <w:i/>
          <w:sz w:val="16"/>
        </w:rPr>
      </w:pPr>
      <w:r>
        <w:rPr/>
        <w:drawing>
          <wp:anchor distT="0" distB="0" distL="0" distR="0" allowOverlap="1" layoutInCell="1" locked="0" behindDoc="0" simplePos="0" relativeHeight="291">
            <wp:simplePos x="0" y="0"/>
            <wp:positionH relativeFrom="page">
              <wp:posOffset>685800</wp:posOffset>
            </wp:positionH>
            <wp:positionV relativeFrom="paragraph">
              <wp:posOffset>152225</wp:posOffset>
            </wp:positionV>
            <wp:extent cx="4858111" cy="2894933"/>
            <wp:effectExtent l="0" t="0" r="0" b="0"/>
            <wp:wrapTopAndBottom/>
            <wp:docPr id="285" name="image141.png"/>
            <wp:cNvGraphicFramePr>
              <a:graphicFrameLocks noChangeAspect="1"/>
            </wp:cNvGraphicFramePr>
            <a:graphic>
              <a:graphicData uri="http://schemas.openxmlformats.org/drawingml/2006/picture">
                <pic:pic>
                  <pic:nvPicPr>
                    <pic:cNvPr id="286" name="image141.png"/>
                    <pic:cNvPicPr/>
                  </pic:nvPicPr>
                  <pic:blipFill>
                    <a:blip r:embed="rId365" cstate="print"/>
                    <a:stretch>
                      <a:fillRect/>
                    </a:stretch>
                  </pic:blipFill>
                  <pic:spPr>
                    <a:xfrm>
                      <a:off x="0" y="0"/>
                      <a:ext cx="4858111" cy="2894933"/>
                    </a:xfrm>
                    <a:prstGeom prst="rect">
                      <a:avLst/>
                    </a:prstGeom>
                  </pic:spPr>
                </pic:pic>
              </a:graphicData>
            </a:graphic>
          </wp:anchor>
        </w:drawing>
      </w:r>
    </w:p>
    <w:p>
      <w:pPr>
        <w:spacing w:after="0"/>
        <w:rPr>
          <w:sz w:val="16"/>
        </w:rPr>
        <w:sectPr>
          <w:pgSz w:w="12240" w:h="15840"/>
          <w:pgMar w:header="761" w:footer="746" w:top="1340" w:bottom="940" w:left="860" w:right="700"/>
        </w:sectPr>
      </w:pPr>
    </w:p>
    <w:p>
      <w:pPr>
        <w:spacing w:before="150"/>
        <w:ind w:left="220" w:right="0" w:firstLine="0"/>
        <w:jc w:val="left"/>
        <w:rPr>
          <w:i/>
          <w:sz w:val="22"/>
        </w:rPr>
      </w:pPr>
      <w:r>
        <w:rPr>
          <w:i/>
          <w:sz w:val="22"/>
        </w:rPr>
        <w:t>First Header Cell</w:t>
      </w:r>
    </w:p>
    <w:p>
      <w:pPr>
        <w:pStyle w:val="BodyText"/>
        <w:spacing w:before="7"/>
        <w:rPr>
          <w:i/>
          <w:sz w:val="16"/>
        </w:rPr>
      </w:pPr>
      <w:r>
        <w:rPr/>
        <w:drawing>
          <wp:anchor distT="0" distB="0" distL="0" distR="0" allowOverlap="1" layoutInCell="1" locked="0" behindDoc="0" simplePos="0" relativeHeight="292">
            <wp:simplePos x="0" y="0"/>
            <wp:positionH relativeFrom="page">
              <wp:posOffset>685800</wp:posOffset>
            </wp:positionH>
            <wp:positionV relativeFrom="paragraph">
              <wp:posOffset>153308</wp:posOffset>
            </wp:positionV>
            <wp:extent cx="4886018" cy="2981325"/>
            <wp:effectExtent l="0" t="0" r="0" b="0"/>
            <wp:wrapTopAndBottom/>
            <wp:docPr id="287" name="image142.png"/>
            <wp:cNvGraphicFramePr>
              <a:graphicFrameLocks noChangeAspect="1"/>
            </wp:cNvGraphicFramePr>
            <a:graphic>
              <a:graphicData uri="http://schemas.openxmlformats.org/drawingml/2006/picture">
                <pic:pic>
                  <pic:nvPicPr>
                    <pic:cNvPr id="288" name="image142.png"/>
                    <pic:cNvPicPr/>
                  </pic:nvPicPr>
                  <pic:blipFill>
                    <a:blip r:embed="rId366" cstate="print"/>
                    <a:stretch>
                      <a:fillRect/>
                    </a:stretch>
                  </pic:blipFill>
                  <pic:spPr>
                    <a:xfrm>
                      <a:off x="0" y="0"/>
                      <a:ext cx="4886018" cy="2981325"/>
                    </a:xfrm>
                    <a:prstGeom prst="rect">
                      <a:avLst/>
                    </a:prstGeom>
                  </pic:spPr>
                </pic:pic>
              </a:graphicData>
            </a:graphic>
          </wp:anchor>
        </w:drawing>
      </w:r>
    </w:p>
    <w:p>
      <w:pPr>
        <w:pStyle w:val="BodyText"/>
        <w:rPr>
          <w:i/>
          <w:sz w:val="17"/>
        </w:rPr>
      </w:pPr>
    </w:p>
    <w:p>
      <w:pPr>
        <w:spacing w:before="1"/>
        <w:ind w:left="220" w:right="0" w:firstLine="0"/>
        <w:jc w:val="left"/>
        <w:rPr>
          <w:i/>
          <w:sz w:val="22"/>
        </w:rPr>
      </w:pPr>
      <w:r>
        <w:rPr>
          <w:i/>
          <w:sz w:val="22"/>
        </w:rPr>
        <w:t>Subtotal Column 1</w:t>
      </w:r>
    </w:p>
    <w:p>
      <w:pPr>
        <w:pStyle w:val="BodyText"/>
        <w:spacing w:before="5"/>
        <w:rPr>
          <w:i/>
          <w:sz w:val="16"/>
        </w:rPr>
      </w:pPr>
      <w:r>
        <w:rPr/>
        <w:drawing>
          <wp:anchor distT="0" distB="0" distL="0" distR="0" allowOverlap="1" layoutInCell="1" locked="0" behindDoc="0" simplePos="0" relativeHeight="293">
            <wp:simplePos x="0" y="0"/>
            <wp:positionH relativeFrom="page">
              <wp:posOffset>685800</wp:posOffset>
            </wp:positionH>
            <wp:positionV relativeFrom="paragraph">
              <wp:posOffset>152225</wp:posOffset>
            </wp:positionV>
            <wp:extent cx="6354578" cy="2024252"/>
            <wp:effectExtent l="0" t="0" r="0" b="0"/>
            <wp:wrapTopAndBottom/>
            <wp:docPr id="289" name="image143.png"/>
            <wp:cNvGraphicFramePr>
              <a:graphicFrameLocks noChangeAspect="1"/>
            </wp:cNvGraphicFramePr>
            <a:graphic>
              <a:graphicData uri="http://schemas.openxmlformats.org/drawingml/2006/picture">
                <pic:pic>
                  <pic:nvPicPr>
                    <pic:cNvPr id="290" name="image143.png"/>
                    <pic:cNvPicPr/>
                  </pic:nvPicPr>
                  <pic:blipFill>
                    <a:blip r:embed="rId367" cstate="print"/>
                    <a:stretch>
                      <a:fillRect/>
                    </a:stretch>
                  </pic:blipFill>
                  <pic:spPr>
                    <a:xfrm>
                      <a:off x="0" y="0"/>
                      <a:ext cx="6354578" cy="2024252"/>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i/>
          <w:sz w:val="22"/>
        </w:rPr>
      </w:pPr>
      <w:r>
        <w:rPr>
          <w:i/>
          <w:sz w:val="22"/>
        </w:rPr>
        <w:t>Subtotal Column</w:t>
      </w:r>
      <w:r>
        <w:rPr>
          <w:i/>
          <w:spacing w:val="-5"/>
          <w:sz w:val="22"/>
        </w:rPr>
        <w:t> </w:t>
      </w:r>
      <w:r>
        <w:rPr>
          <w:i/>
          <w:sz w:val="22"/>
        </w:rPr>
        <w:t>2</w:t>
      </w:r>
    </w:p>
    <w:p>
      <w:pPr>
        <w:pStyle w:val="BodyText"/>
        <w:spacing w:before="6"/>
        <w:rPr>
          <w:i/>
          <w:sz w:val="16"/>
        </w:rPr>
      </w:pPr>
      <w:r>
        <w:rPr/>
        <w:drawing>
          <wp:anchor distT="0" distB="0" distL="0" distR="0" allowOverlap="1" layoutInCell="1" locked="0" behindDoc="0" simplePos="0" relativeHeight="294">
            <wp:simplePos x="0" y="0"/>
            <wp:positionH relativeFrom="page">
              <wp:posOffset>685800</wp:posOffset>
            </wp:positionH>
            <wp:positionV relativeFrom="paragraph">
              <wp:posOffset>152927</wp:posOffset>
            </wp:positionV>
            <wp:extent cx="6355786" cy="2030825"/>
            <wp:effectExtent l="0" t="0" r="0" b="0"/>
            <wp:wrapTopAndBottom/>
            <wp:docPr id="291" name="image144.png"/>
            <wp:cNvGraphicFramePr>
              <a:graphicFrameLocks noChangeAspect="1"/>
            </wp:cNvGraphicFramePr>
            <a:graphic>
              <a:graphicData uri="http://schemas.openxmlformats.org/drawingml/2006/picture">
                <pic:pic>
                  <pic:nvPicPr>
                    <pic:cNvPr id="292" name="image144.png"/>
                    <pic:cNvPicPr/>
                  </pic:nvPicPr>
                  <pic:blipFill>
                    <a:blip r:embed="rId368" cstate="print"/>
                    <a:stretch>
                      <a:fillRect/>
                    </a:stretch>
                  </pic:blipFill>
                  <pic:spPr>
                    <a:xfrm>
                      <a:off x="0" y="0"/>
                      <a:ext cx="6355786" cy="2030825"/>
                    </a:xfrm>
                    <a:prstGeom prst="rect">
                      <a:avLst/>
                    </a:prstGeom>
                  </pic:spPr>
                </pic:pic>
              </a:graphicData>
            </a:graphic>
          </wp:anchor>
        </w:drawing>
      </w:r>
    </w:p>
    <w:p>
      <w:pPr>
        <w:pStyle w:val="BodyText"/>
        <w:spacing w:before="2"/>
        <w:rPr>
          <w:i/>
          <w:sz w:val="19"/>
        </w:rPr>
      </w:pPr>
    </w:p>
    <w:p>
      <w:pPr>
        <w:spacing w:before="0"/>
        <w:ind w:left="220" w:right="0" w:firstLine="0"/>
        <w:jc w:val="left"/>
        <w:rPr>
          <w:i/>
          <w:sz w:val="22"/>
        </w:rPr>
      </w:pPr>
      <w:r>
        <w:rPr>
          <w:i/>
          <w:sz w:val="22"/>
        </w:rPr>
        <w:t>Subtotal Column</w:t>
      </w:r>
      <w:r>
        <w:rPr>
          <w:i/>
          <w:spacing w:val="-3"/>
          <w:sz w:val="22"/>
        </w:rPr>
        <w:t> </w:t>
      </w:r>
      <w:r>
        <w:rPr>
          <w:i/>
          <w:sz w:val="22"/>
        </w:rPr>
        <w:t>3</w:t>
      </w:r>
    </w:p>
    <w:p>
      <w:pPr>
        <w:pStyle w:val="BodyText"/>
        <w:spacing w:before="5"/>
        <w:rPr>
          <w:i/>
          <w:sz w:val="16"/>
        </w:rPr>
      </w:pPr>
      <w:r>
        <w:rPr/>
        <w:drawing>
          <wp:anchor distT="0" distB="0" distL="0" distR="0" allowOverlap="1" layoutInCell="1" locked="0" behindDoc="0" simplePos="0" relativeHeight="295">
            <wp:simplePos x="0" y="0"/>
            <wp:positionH relativeFrom="page">
              <wp:posOffset>685800</wp:posOffset>
            </wp:positionH>
            <wp:positionV relativeFrom="paragraph">
              <wp:posOffset>152375</wp:posOffset>
            </wp:positionV>
            <wp:extent cx="6322806" cy="2030825"/>
            <wp:effectExtent l="0" t="0" r="0" b="0"/>
            <wp:wrapTopAndBottom/>
            <wp:docPr id="293" name="image145.png"/>
            <wp:cNvGraphicFramePr>
              <a:graphicFrameLocks noChangeAspect="1"/>
            </wp:cNvGraphicFramePr>
            <a:graphic>
              <a:graphicData uri="http://schemas.openxmlformats.org/drawingml/2006/picture">
                <pic:pic>
                  <pic:nvPicPr>
                    <pic:cNvPr id="294" name="image145.png"/>
                    <pic:cNvPicPr/>
                  </pic:nvPicPr>
                  <pic:blipFill>
                    <a:blip r:embed="rId369" cstate="print"/>
                    <a:stretch>
                      <a:fillRect/>
                    </a:stretch>
                  </pic:blipFill>
                  <pic:spPr>
                    <a:xfrm>
                      <a:off x="0" y="0"/>
                      <a:ext cx="6322806" cy="2030825"/>
                    </a:xfrm>
                    <a:prstGeom prst="rect">
                      <a:avLst/>
                    </a:prstGeom>
                  </pic:spPr>
                </pic:pic>
              </a:graphicData>
            </a:graphic>
          </wp:anchor>
        </w:drawing>
      </w:r>
    </w:p>
    <w:p>
      <w:pPr>
        <w:spacing w:after="0"/>
        <w:rPr>
          <w:sz w:val="16"/>
        </w:rPr>
        <w:sectPr>
          <w:pgSz w:w="12240" w:h="15840"/>
          <w:pgMar w:header="761" w:footer="746" w:top="1340" w:bottom="940" w:left="860" w:right="700"/>
        </w:sectPr>
      </w:pPr>
    </w:p>
    <w:p>
      <w:pPr>
        <w:spacing w:before="150"/>
        <w:ind w:left="220" w:right="0" w:firstLine="0"/>
        <w:jc w:val="left"/>
        <w:rPr>
          <w:i/>
          <w:sz w:val="22"/>
        </w:rPr>
      </w:pPr>
      <w:r>
        <w:rPr>
          <w:i/>
          <w:sz w:val="22"/>
        </w:rPr>
        <w:t>Subtotal Row 1</w:t>
      </w:r>
    </w:p>
    <w:p>
      <w:pPr>
        <w:pStyle w:val="BodyText"/>
        <w:spacing w:before="7"/>
        <w:rPr>
          <w:i/>
          <w:sz w:val="16"/>
        </w:rPr>
      </w:pPr>
      <w:r>
        <w:rPr/>
        <w:drawing>
          <wp:anchor distT="0" distB="0" distL="0" distR="0" allowOverlap="1" layoutInCell="1" locked="0" behindDoc="0" simplePos="0" relativeHeight="296">
            <wp:simplePos x="0" y="0"/>
            <wp:positionH relativeFrom="page">
              <wp:posOffset>685800</wp:posOffset>
            </wp:positionH>
            <wp:positionV relativeFrom="paragraph">
              <wp:posOffset>153308</wp:posOffset>
            </wp:positionV>
            <wp:extent cx="6189892" cy="5676709"/>
            <wp:effectExtent l="0" t="0" r="0" b="0"/>
            <wp:wrapTopAndBottom/>
            <wp:docPr id="295" name="image146.png"/>
            <wp:cNvGraphicFramePr>
              <a:graphicFrameLocks noChangeAspect="1"/>
            </wp:cNvGraphicFramePr>
            <a:graphic>
              <a:graphicData uri="http://schemas.openxmlformats.org/drawingml/2006/picture">
                <pic:pic>
                  <pic:nvPicPr>
                    <pic:cNvPr id="296" name="image146.png"/>
                    <pic:cNvPicPr/>
                  </pic:nvPicPr>
                  <pic:blipFill>
                    <a:blip r:embed="rId370" cstate="print"/>
                    <a:stretch>
                      <a:fillRect/>
                    </a:stretch>
                  </pic:blipFill>
                  <pic:spPr>
                    <a:xfrm>
                      <a:off x="0" y="0"/>
                      <a:ext cx="6189892" cy="5676709"/>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i/>
          <w:sz w:val="22"/>
        </w:rPr>
      </w:pPr>
      <w:r>
        <w:rPr>
          <w:i/>
          <w:sz w:val="22"/>
        </w:rPr>
        <w:t>Subtotal Row 2</w:t>
      </w:r>
    </w:p>
    <w:p>
      <w:pPr>
        <w:pStyle w:val="BodyText"/>
        <w:spacing w:before="6"/>
        <w:rPr>
          <w:i/>
          <w:sz w:val="16"/>
        </w:rPr>
      </w:pPr>
      <w:r>
        <w:rPr/>
        <w:drawing>
          <wp:anchor distT="0" distB="0" distL="0" distR="0" allowOverlap="1" layoutInCell="1" locked="0" behindDoc="0" simplePos="0" relativeHeight="297">
            <wp:simplePos x="0" y="0"/>
            <wp:positionH relativeFrom="page">
              <wp:posOffset>685800</wp:posOffset>
            </wp:positionH>
            <wp:positionV relativeFrom="paragraph">
              <wp:posOffset>152927</wp:posOffset>
            </wp:positionV>
            <wp:extent cx="6276634" cy="5324475"/>
            <wp:effectExtent l="0" t="0" r="0" b="0"/>
            <wp:wrapTopAndBottom/>
            <wp:docPr id="297" name="image147.png"/>
            <wp:cNvGraphicFramePr>
              <a:graphicFrameLocks noChangeAspect="1"/>
            </wp:cNvGraphicFramePr>
            <a:graphic>
              <a:graphicData uri="http://schemas.openxmlformats.org/drawingml/2006/picture">
                <pic:pic>
                  <pic:nvPicPr>
                    <pic:cNvPr id="298" name="image147.png"/>
                    <pic:cNvPicPr/>
                  </pic:nvPicPr>
                  <pic:blipFill>
                    <a:blip r:embed="rId371" cstate="print"/>
                    <a:stretch>
                      <a:fillRect/>
                    </a:stretch>
                  </pic:blipFill>
                  <pic:spPr>
                    <a:xfrm>
                      <a:off x="0" y="0"/>
                      <a:ext cx="6276634" cy="5324475"/>
                    </a:xfrm>
                    <a:prstGeom prst="rect">
                      <a:avLst/>
                    </a:prstGeom>
                  </pic:spPr>
                </pic:pic>
              </a:graphicData>
            </a:graphic>
          </wp:anchor>
        </w:drawing>
      </w:r>
    </w:p>
    <w:p>
      <w:pPr>
        <w:spacing w:before="0"/>
        <w:ind w:left="220" w:right="0" w:firstLine="0"/>
        <w:jc w:val="left"/>
        <w:rPr>
          <w:i/>
          <w:sz w:val="22"/>
        </w:rPr>
      </w:pPr>
      <w:r>
        <w:rPr>
          <w:i/>
          <w:sz w:val="22"/>
        </w:rPr>
        <w:t>Subtotal Row 3</w:t>
      </w:r>
    </w:p>
    <w:p>
      <w:pPr>
        <w:spacing w:after="0"/>
        <w:jc w:val="left"/>
        <w:rPr>
          <w:sz w:val="22"/>
        </w:rPr>
        <w:sectPr>
          <w:pgSz w:w="12240" w:h="15840"/>
          <w:pgMar w:header="761" w:footer="746" w:top="1340" w:bottom="940" w:left="860" w:right="700"/>
        </w:sectPr>
      </w:pPr>
    </w:p>
    <w:p>
      <w:pPr>
        <w:pStyle w:val="BodyText"/>
        <w:spacing w:before="4"/>
        <w:rPr>
          <w:i/>
          <w:sz w:val="12"/>
        </w:rPr>
      </w:pPr>
    </w:p>
    <w:p>
      <w:pPr>
        <w:pStyle w:val="BodyText"/>
        <w:ind w:left="220"/>
        <w:rPr>
          <w:sz w:val="20"/>
        </w:rPr>
      </w:pPr>
      <w:r>
        <w:rPr>
          <w:sz w:val="20"/>
        </w:rPr>
        <w:drawing>
          <wp:inline distT="0" distB="0" distL="0" distR="0">
            <wp:extent cx="6405665" cy="5133975"/>
            <wp:effectExtent l="0" t="0" r="0" b="0"/>
            <wp:docPr id="299" name="image148.png"/>
            <wp:cNvGraphicFramePr>
              <a:graphicFrameLocks noChangeAspect="1"/>
            </wp:cNvGraphicFramePr>
            <a:graphic>
              <a:graphicData uri="http://schemas.openxmlformats.org/drawingml/2006/picture">
                <pic:pic>
                  <pic:nvPicPr>
                    <pic:cNvPr id="300" name="image148.png"/>
                    <pic:cNvPicPr/>
                  </pic:nvPicPr>
                  <pic:blipFill>
                    <a:blip r:embed="rId372" cstate="print"/>
                    <a:stretch>
                      <a:fillRect/>
                    </a:stretch>
                  </pic:blipFill>
                  <pic:spPr>
                    <a:xfrm>
                      <a:off x="0" y="0"/>
                      <a:ext cx="6405665" cy="5133975"/>
                    </a:xfrm>
                    <a:prstGeom prst="rect">
                      <a:avLst/>
                    </a:prstGeom>
                  </pic:spPr>
                </pic:pic>
              </a:graphicData>
            </a:graphic>
          </wp:inline>
        </w:drawing>
      </w:r>
      <w:r>
        <w:rPr>
          <w:sz w:val="20"/>
        </w:rPr>
      </w:r>
    </w:p>
    <w:p>
      <w:pPr>
        <w:pStyle w:val="BodyText"/>
        <w:spacing w:before="6"/>
        <w:rPr>
          <w:i/>
          <w:sz w:val="15"/>
        </w:rPr>
      </w:pPr>
    </w:p>
    <w:p>
      <w:pPr>
        <w:spacing w:before="57"/>
        <w:ind w:left="220" w:right="0" w:firstLine="0"/>
        <w:jc w:val="left"/>
        <w:rPr>
          <w:i/>
          <w:sz w:val="22"/>
        </w:rPr>
      </w:pPr>
      <w:r>
        <w:rPr>
          <w:i/>
          <w:sz w:val="22"/>
        </w:rPr>
        <w:t>Column Subheading 1</w:t>
      </w:r>
    </w:p>
    <w:p>
      <w:pPr>
        <w:pStyle w:val="BodyText"/>
        <w:spacing w:before="5"/>
        <w:rPr>
          <w:i/>
          <w:sz w:val="16"/>
        </w:rPr>
      </w:pPr>
      <w:r>
        <w:rPr/>
        <w:drawing>
          <wp:anchor distT="0" distB="0" distL="0" distR="0" allowOverlap="1" layoutInCell="1" locked="0" behindDoc="0" simplePos="0" relativeHeight="298">
            <wp:simplePos x="0" y="0"/>
            <wp:positionH relativeFrom="page">
              <wp:posOffset>685800</wp:posOffset>
            </wp:positionH>
            <wp:positionV relativeFrom="paragraph">
              <wp:posOffset>152107</wp:posOffset>
            </wp:positionV>
            <wp:extent cx="6336555" cy="1531334"/>
            <wp:effectExtent l="0" t="0" r="0" b="0"/>
            <wp:wrapTopAndBottom/>
            <wp:docPr id="301" name="image149.png"/>
            <wp:cNvGraphicFramePr>
              <a:graphicFrameLocks noChangeAspect="1"/>
            </wp:cNvGraphicFramePr>
            <a:graphic>
              <a:graphicData uri="http://schemas.openxmlformats.org/drawingml/2006/picture">
                <pic:pic>
                  <pic:nvPicPr>
                    <pic:cNvPr id="302" name="image149.png"/>
                    <pic:cNvPicPr/>
                  </pic:nvPicPr>
                  <pic:blipFill>
                    <a:blip r:embed="rId373" cstate="print"/>
                    <a:stretch>
                      <a:fillRect/>
                    </a:stretch>
                  </pic:blipFill>
                  <pic:spPr>
                    <a:xfrm>
                      <a:off x="0" y="0"/>
                      <a:ext cx="6336555" cy="1531334"/>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i/>
          <w:sz w:val="22"/>
        </w:rPr>
      </w:pPr>
      <w:r>
        <w:rPr>
          <w:i/>
          <w:sz w:val="22"/>
        </w:rPr>
        <w:t>Column Subheading</w:t>
      </w:r>
      <w:r>
        <w:rPr>
          <w:i/>
          <w:spacing w:val="-4"/>
          <w:sz w:val="22"/>
        </w:rPr>
        <w:t> </w:t>
      </w:r>
      <w:r>
        <w:rPr>
          <w:i/>
          <w:sz w:val="22"/>
        </w:rPr>
        <w:t>2</w:t>
      </w:r>
    </w:p>
    <w:p>
      <w:pPr>
        <w:pStyle w:val="BodyText"/>
        <w:spacing w:before="6"/>
        <w:rPr>
          <w:i/>
          <w:sz w:val="16"/>
        </w:rPr>
      </w:pPr>
      <w:r>
        <w:rPr/>
        <w:drawing>
          <wp:anchor distT="0" distB="0" distL="0" distR="0" allowOverlap="1" layoutInCell="1" locked="0" behindDoc="0" simplePos="0" relativeHeight="299">
            <wp:simplePos x="0" y="0"/>
            <wp:positionH relativeFrom="page">
              <wp:posOffset>685800</wp:posOffset>
            </wp:positionH>
            <wp:positionV relativeFrom="paragraph">
              <wp:posOffset>152927</wp:posOffset>
            </wp:positionV>
            <wp:extent cx="6371886" cy="1679448"/>
            <wp:effectExtent l="0" t="0" r="0" b="0"/>
            <wp:wrapTopAndBottom/>
            <wp:docPr id="303" name="image150.png"/>
            <wp:cNvGraphicFramePr>
              <a:graphicFrameLocks noChangeAspect="1"/>
            </wp:cNvGraphicFramePr>
            <a:graphic>
              <a:graphicData uri="http://schemas.openxmlformats.org/drawingml/2006/picture">
                <pic:pic>
                  <pic:nvPicPr>
                    <pic:cNvPr id="304" name="image150.png"/>
                    <pic:cNvPicPr/>
                  </pic:nvPicPr>
                  <pic:blipFill>
                    <a:blip r:embed="rId376" cstate="print"/>
                    <a:stretch>
                      <a:fillRect/>
                    </a:stretch>
                  </pic:blipFill>
                  <pic:spPr>
                    <a:xfrm>
                      <a:off x="0" y="0"/>
                      <a:ext cx="6371886" cy="1679448"/>
                    </a:xfrm>
                    <a:prstGeom prst="rect">
                      <a:avLst/>
                    </a:prstGeom>
                  </pic:spPr>
                </pic:pic>
              </a:graphicData>
            </a:graphic>
          </wp:anchor>
        </w:drawing>
      </w:r>
    </w:p>
    <w:p>
      <w:pPr>
        <w:pStyle w:val="BodyText"/>
        <w:spacing w:before="3"/>
        <w:rPr>
          <w:i/>
          <w:sz w:val="18"/>
        </w:rPr>
      </w:pPr>
    </w:p>
    <w:p>
      <w:pPr>
        <w:spacing w:before="0"/>
        <w:ind w:left="220" w:right="0" w:firstLine="0"/>
        <w:jc w:val="left"/>
        <w:rPr>
          <w:i/>
          <w:sz w:val="22"/>
        </w:rPr>
      </w:pPr>
      <w:r>
        <w:rPr>
          <w:i/>
          <w:sz w:val="22"/>
        </w:rPr>
        <w:t>Column Subheading</w:t>
      </w:r>
      <w:r>
        <w:rPr>
          <w:i/>
          <w:spacing w:val="-4"/>
          <w:sz w:val="22"/>
        </w:rPr>
        <w:t> </w:t>
      </w:r>
      <w:r>
        <w:rPr>
          <w:i/>
          <w:sz w:val="22"/>
        </w:rPr>
        <w:t>3</w:t>
      </w:r>
    </w:p>
    <w:p>
      <w:pPr>
        <w:pStyle w:val="BodyText"/>
        <w:spacing w:before="6"/>
        <w:rPr>
          <w:i/>
          <w:sz w:val="16"/>
        </w:rPr>
      </w:pPr>
      <w:r>
        <w:rPr/>
        <w:drawing>
          <wp:anchor distT="0" distB="0" distL="0" distR="0" allowOverlap="1" layoutInCell="1" locked="0" behindDoc="0" simplePos="0" relativeHeight="300">
            <wp:simplePos x="0" y="0"/>
            <wp:positionH relativeFrom="page">
              <wp:posOffset>685800</wp:posOffset>
            </wp:positionH>
            <wp:positionV relativeFrom="paragraph">
              <wp:posOffset>152729</wp:posOffset>
            </wp:positionV>
            <wp:extent cx="6401281" cy="1520189"/>
            <wp:effectExtent l="0" t="0" r="0" b="0"/>
            <wp:wrapTopAndBottom/>
            <wp:docPr id="305" name="image151.png"/>
            <wp:cNvGraphicFramePr>
              <a:graphicFrameLocks noChangeAspect="1"/>
            </wp:cNvGraphicFramePr>
            <a:graphic>
              <a:graphicData uri="http://schemas.openxmlformats.org/drawingml/2006/picture">
                <pic:pic>
                  <pic:nvPicPr>
                    <pic:cNvPr id="306" name="image151.png"/>
                    <pic:cNvPicPr/>
                  </pic:nvPicPr>
                  <pic:blipFill>
                    <a:blip r:embed="rId377" cstate="print"/>
                    <a:stretch>
                      <a:fillRect/>
                    </a:stretch>
                  </pic:blipFill>
                  <pic:spPr>
                    <a:xfrm>
                      <a:off x="0" y="0"/>
                      <a:ext cx="6401281" cy="1520189"/>
                    </a:xfrm>
                    <a:prstGeom prst="rect">
                      <a:avLst/>
                    </a:prstGeom>
                  </pic:spPr>
                </pic:pic>
              </a:graphicData>
            </a:graphic>
          </wp:anchor>
        </w:drawing>
      </w:r>
    </w:p>
    <w:p>
      <w:pPr>
        <w:pStyle w:val="BodyText"/>
        <w:rPr>
          <w:i/>
          <w:sz w:val="17"/>
        </w:rPr>
      </w:pPr>
    </w:p>
    <w:p>
      <w:pPr>
        <w:spacing w:before="0"/>
        <w:ind w:left="220" w:right="0" w:firstLine="0"/>
        <w:jc w:val="left"/>
        <w:rPr>
          <w:i/>
          <w:sz w:val="22"/>
        </w:rPr>
      </w:pPr>
      <w:r>
        <w:rPr>
          <w:i/>
          <w:sz w:val="22"/>
        </w:rPr>
        <w:t>Row Subheading 1</w:t>
      </w:r>
    </w:p>
    <w:p>
      <w:pPr>
        <w:pStyle w:val="BodyText"/>
        <w:spacing w:before="5"/>
        <w:rPr>
          <w:i/>
          <w:sz w:val="16"/>
        </w:rPr>
      </w:pPr>
      <w:r>
        <w:rPr/>
        <w:drawing>
          <wp:anchor distT="0" distB="0" distL="0" distR="0" allowOverlap="1" layoutInCell="1" locked="0" behindDoc="0" simplePos="0" relativeHeight="301">
            <wp:simplePos x="0" y="0"/>
            <wp:positionH relativeFrom="page">
              <wp:posOffset>685800</wp:posOffset>
            </wp:positionH>
            <wp:positionV relativeFrom="paragraph">
              <wp:posOffset>152479</wp:posOffset>
            </wp:positionV>
            <wp:extent cx="6376714" cy="3352800"/>
            <wp:effectExtent l="0" t="0" r="0" b="0"/>
            <wp:wrapTopAndBottom/>
            <wp:docPr id="307" name="image152.png"/>
            <wp:cNvGraphicFramePr>
              <a:graphicFrameLocks noChangeAspect="1"/>
            </wp:cNvGraphicFramePr>
            <a:graphic>
              <a:graphicData uri="http://schemas.openxmlformats.org/drawingml/2006/picture">
                <pic:pic>
                  <pic:nvPicPr>
                    <pic:cNvPr id="308" name="image152.png"/>
                    <pic:cNvPicPr/>
                  </pic:nvPicPr>
                  <pic:blipFill>
                    <a:blip r:embed="rId378" cstate="print"/>
                    <a:stretch>
                      <a:fillRect/>
                    </a:stretch>
                  </pic:blipFill>
                  <pic:spPr>
                    <a:xfrm>
                      <a:off x="0" y="0"/>
                      <a:ext cx="6376714" cy="3352800"/>
                    </a:xfrm>
                    <a:prstGeom prst="rect">
                      <a:avLst/>
                    </a:prstGeom>
                  </pic:spPr>
                </pic:pic>
              </a:graphicData>
            </a:graphic>
          </wp:anchor>
        </w:drawing>
      </w:r>
    </w:p>
    <w:p>
      <w:pPr>
        <w:spacing w:after="0"/>
        <w:rPr>
          <w:sz w:val="16"/>
        </w:rPr>
        <w:sectPr>
          <w:footerReference w:type="even" r:id="rId374"/>
          <w:footerReference w:type="default" r:id="rId375"/>
          <w:pgSz w:w="12240" w:h="15840"/>
          <w:pgMar w:footer="746" w:header="761" w:top="1340" w:bottom="940" w:left="860" w:right="700"/>
          <w:pgNumType w:start="2500"/>
        </w:sectPr>
      </w:pPr>
    </w:p>
    <w:p>
      <w:pPr>
        <w:spacing w:before="150"/>
        <w:ind w:left="220" w:right="0" w:firstLine="0"/>
        <w:jc w:val="left"/>
        <w:rPr>
          <w:i/>
          <w:sz w:val="22"/>
        </w:rPr>
      </w:pPr>
      <w:r>
        <w:rPr>
          <w:i/>
          <w:sz w:val="22"/>
        </w:rPr>
        <w:t>Row Subheading 2</w:t>
      </w:r>
    </w:p>
    <w:p>
      <w:pPr>
        <w:pStyle w:val="BodyText"/>
        <w:spacing w:before="7"/>
        <w:rPr>
          <w:i/>
          <w:sz w:val="16"/>
        </w:rPr>
      </w:pPr>
      <w:r>
        <w:rPr/>
        <w:drawing>
          <wp:anchor distT="0" distB="0" distL="0" distR="0" allowOverlap="1" layoutInCell="1" locked="0" behindDoc="0" simplePos="0" relativeHeight="302">
            <wp:simplePos x="0" y="0"/>
            <wp:positionH relativeFrom="page">
              <wp:posOffset>685800</wp:posOffset>
            </wp:positionH>
            <wp:positionV relativeFrom="paragraph">
              <wp:posOffset>153308</wp:posOffset>
            </wp:positionV>
            <wp:extent cx="6311036" cy="5723858"/>
            <wp:effectExtent l="0" t="0" r="0" b="0"/>
            <wp:wrapTopAndBottom/>
            <wp:docPr id="309" name="image153.png"/>
            <wp:cNvGraphicFramePr>
              <a:graphicFrameLocks noChangeAspect="1"/>
            </wp:cNvGraphicFramePr>
            <a:graphic>
              <a:graphicData uri="http://schemas.openxmlformats.org/drawingml/2006/picture">
                <pic:pic>
                  <pic:nvPicPr>
                    <pic:cNvPr id="310" name="image153.png"/>
                    <pic:cNvPicPr/>
                  </pic:nvPicPr>
                  <pic:blipFill>
                    <a:blip r:embed="rId379" cstate="print"/>
                    <a:stretch>
                      <a:fillRect/>
                    </a:stretch>
                  </pic:blipFill>
                  <pic:spPr>
                    <a:xfrm>
                      <a:off x="0" y="0"/>
                      <a:ext cx="6311036" cy="5723858"/>
                    </a:xfrm>
                    <a:prstGeom prst="rect">
                      <a:avLst/>
                    </a:prstGeom>
                  </pic:spPr>
                </pic:pic>
              </a:graphicData>
            </a:graphic>
          </wp:anchor>
        </w:drawing>
      </w:r>
    </w:p>
    <w:p>
      <w:pPr>
        <w:spacing w:after="0"/>
        <w:rPr>
          <w:sz w:val="16"/>
        </w:rPr>
        <w:sectPr>
          <w:pgSz w:w="12240" w:h="15840"/>
          <w:pgMar w:header="763" w:footer="746" w:top="1340" w:bottom="940" w:left="860" w:right="700"/>
        </w:sectPr>
      </w:pPr>
    </w:p>
    <w:p>
      <w:pPr>
        <w:spacing w:before="93"/>
        <w:ind w:left="220" w:right="0" w:firstLine="0"/>
        <w:jc w:val="left"/>
        <w:rPr>
          <w:i/>
          <w:sz w:val="22"/>
        </w:rPr>
      </w:pPr>
      <w:r>
        <w:rPr>
          <w:i/>
          <w:sz w:val="22"/>
        </w:rPr>
        <w:t>Row Subheading 3</w:t>
      </w:r>
    </w:p>
    <w:p>
      <w:pPr>
        <w:pStyle w:val="BodyText"/>
        <w:spacing w:before="6"/>
        <w:rPr>
          <w:i/>
          <w:sz w:val="16"/>
        </w:rPr>
      </w:pPr>
      <w:r>
        <w:rPr/>
        <w:drawing>
          <wp:anchor distT="0" distB="0" distL="0" distR="0" allowOverlap="1" layoutInCell="1" locked="0" behindDoc="0" simplePos="0" relativeHeight="303">
            <wp:simplePos x="0" y="0"/>
            <wp:positionH relativeFrom="page">
              <wp:posOffset>685800</wp:posOffset>
            </wp:positionH>
            <wp:positionV relativeFrom="paragraph">
              <wp:posOffset>152927</wp:posOffset>
            </wp:positionV>
            <wp:extent cx="6404585" cy="5800725"/>
            <wp:effectExtent l="0" t="0" r="0" b="0"/>
            <wp:wrapTopAndBottom/>
            <wp:docPr id="311" name="image154.png"/>
            <wp:cNvGraphicFramePr>
              <a:graphicFrameLocks noChangeAspect="1"/>
            </wp:cNvGraphicFramePr>
            <a:graphic>
              <a:graphicData uri="http://schemas.openxmlformats.org/drawingml/2006/picture">
                <pic:pic>
                  <pic:nvPicPr>
                    <pic:cNvPr id="312" name="image154.png"/>
                    <pic:cNvPicPr/>
                  </pic:nvPicPr>
                  <pic:blipFill>
                    <a:blip r:embed="rId380" cstate="print"/>
                    <a:stretch>
                      <a:fillRect/>
                    </a:stretch>
                  </pic:blipFill>
                  <pic:spPr>
                    <a:xfrm>
                      <a:off x="0" y="0"/>
                      <a:ext cx="6404585" cy="5800725"/>
                    </a:xfrm>
                    <a:prstGeom prst="rect">
                      <a:avLst/>
                    </a:prstGeom>
                  </pic:spPr>
                </pic:pic>
              </a:graphicData>
            </a:graphic>
          </wp:anchor>
        </w:drawing>
      </w:r>
    </w:p>
    <w:p>
      <w:pPr>
        <w:spacing w:before="0"/>
        <w:ind w:left="220" w:right="0" w:firstLine="0"/>
        <w:jc w:val="left"/>
        <w:rPr>
          <w:i/>
          <w:sz w:val="22"/>
        </w:rPr>
      </w:pPr>
      <w:r>
        <w:rPr>
          <w:i/>
          <w:sz w:val="22"/>
        </w:rPr>
        <w:t>Grand Total Column</w:t>
      </w:r>
    </w:p>
    <w:p>
      <w:pPr>
        <w:spacing w:after="0"/>
        <w:jc w:val="left"/>
        <w:rPr>
          <w:sz w:val="22"/>
        </w:rPr>
        <w:sectPr>
          <w:pgSz w:w="12240" w:h="15840"/>
          <w:pgMar w:header="761" w:footer="746" w:top="1340" w:bottom="940" w:left="860" w:right="700"/>
        </w:sectPr>
      </w:pPr>
    </w:p>
    <w:p>
      <w:pPr>
        <w:pStyle w:val="BodyText"/>
        <w:spacing w:before="4"/>
        <w:rPr>
          <w:i/>
          <w:sz w:val="12"/>
        </w:rPr>
      </w:pPr>
    </w:p>
    <w:p>
      <w:pPr>
        <w:pStyle w:val="BodyText"/>
        <w:ind w:left="220"/>
        <w:rPr>
          <w:sz w:val="20"/>
        </w:rPr>
      </w:pPr>
      <w:r>
        <w:rPr>
          <w:sz w:val="20"/>
        </w:rPr>
        <w:drawing>
          <wp:inline distT="0" distB="0" distL="0" distR="0">
            <wp:extent cx="6343957" cy="1824227"/>
            <wp:effectExtent l="0" t="0" r="0" b="0"/>
            <wp:docPr id="313" name="image155.png"/>
            <wp:cNvGraphicFramePr>
              <a:graphicFrameLocks noChangeAspect="1"/>
            </wp:cNvGraphicFramePr>
            <a:graphic>
              <a:graphicData uri="http://schemas.openxmlformats.org/drawingml/2006/picture">
                <pic:pic>
                  <pic:nvPicPr>
                    <pic:cNvPr id="314" name="image155.png"/>
                    <pic:cNvPicPr/>
                  </pic:nvPicPr>
                  <pic:blipFill>
                    <a:blip r:embed="rId381" cstate="print"/>
                    <a:stretch>
                      <a:fillRect/>
                    </a:stretch>
                  </pic:blipFill>
                  <pic:spPr>
                    <a:xfrm>
                      <a:off x="0" y="0"/>
                      <a:ext cx="6343957" cy="1824227"/>
                    </a:xfrm>
                    <a:prstGeom prst="rect">
                      <a:avLst/>
                    </a:prstGeom>
                  </pic:spPr>
                </pic:pic>
              </a:graphicData>
            </a:graphic>
          </wp:inline>
        </w:drawing>
      </w:r>
      <w:r>
        <w:rPr>
          <w:sz w:val="20"/>
        </w:rPr>
      </w:r>
    </w:p>
    <w:p>
      <w:pPr>
        <w:pStyle w:val="BodyText"/>
        <w:spacing w:before="9"/>
        <w:rPr>
          <w:i/>
          <w:sz w:val="16"/>
        </w:rPr>
      </w:pPr>
    </w:p>
    <w:p>
      <w:pPr>
        <w:spacing w:before="57"/>
        <w:ind w:left="220" w:right="0" w:firstLine="0"/>
        <w:jc w:val="left"/>
        <w:rPr>
          <w:i/>
          <w:sz w:val="22"/>
        </w:rPr>
      </w:pPr>
      <w:r>
        <w:rPr>
          <w:i/>
          <w:sz w:val="22"/>
        </w:rPr>
        <w:t>Grand Total Row</w:t>
      </w:r>
    </w:p>
    <w:p>
      <w:pPr>
        <w:pStyle w:val="BodyText"/>
        <w:spacing w:before="6"/>
        <w:rPr>
          <w:i/>
          <w:sz w:val="16"/>
        </w:rPr>
      </w:pPr>
      <w:r>
        <w:rPr/>
        <w:drawing>
          <wp:anchor distT="0" distB="0" distL="0" distR="0" allowOverlap="1" layoutInCell="1" locked="0" behindDoc="0" simplePos="0" relativeHeight="304">
            <wp:simplePos x="0" y="0"/>
            <wp:positionH relativeFrom="page">
              <wp:posOffset>685800</wp:posOffset>
            </wp:positionH>
            <wp:positionV relativeFrom="paragraph">
              <wp:posOffset>152611</wp:posOffset>
            </wp:positionV>
            <wp:extent cx="6385745" cy="2464593"/>
            <wp:effectExtent l="0" t="0" r="0" b="0"/>
            <wp:wrapTopAndBottom/>
            <wp:docPr id="315" name="image156.png"/>
            <wp:cNvGraphicFramePr>
              <a:graphicFrameLocks noChangeAspect="1"/>
            </wp:cNvGraphicFramePr>
            <a:graphic>
              <a:graphicData uri="http://schemas.openxmlformats.org/drawingml/2006/picture">
                <pic:pic>
                  <pic:nvPicPr>
                    <pic:cNvPr id="316" name="image156.png"/>
                    <pic:cNvPicPr/>
                  </pic:nvPicPr>
                  <pic:blipFill>
                    <a:blip r:embed="rId382" cstate="print"/>
                    <a:stretch>
                      <a:fillRect/>
                    </a:stretch>
                  </pic:blipFill>
                  <pic:spPr>
                    <a:xfrm>
                      <a:off x="0" y="0"/>
                      <a:ext cx="6385745" cy="2464593"/>
                    </a:xfrm>
                    <a:prstGeom prst="rect">
                      <a:avLst/>
                    </a:prstGeom>
                  </pic:spPr>
                </pic:pic>
              </a:graphicData>
            </a:graphic>
          </wp:anchor>
        </w:drawing>
      </w:r>
    </w:p>
    <w:p>
      <w:pPr>
        <w:pStyle w:val="BodyText"/>
        <w:rPr>
          <w:i/>
        </w:rPr>
      </w:pPr>
    </w:p>
    <w:p>
      <w:pPr>
        <w:pStyle w:val="BodyText"/>
        <w:rPr>
          <w:i/>
        </w:rPr>
      </w:pPr>
    </w:p>
    <w:p>
      <w:pPr>
        <w:pStyle w:val="BodyText"/>
        <w:rPr>
          <w:i/>
        </w:rPr>
      </w:pPr>
    </w:p>
    <w:p>
      <w:pPr>
        <w:pStyle w:val="BodyText"/>
        <w:rPr>
          <w:i/>
        </w:rPr>
      </w:pPr>
    </w:p>
    <w:p>
      <w:pPr>
        <w:pStyle w:val="BodyText"/>
        <w:spacing w:line="489" w:lineRule="auto" w:before="164"/>
        <w:ind w:left="220" w:right="2804"/>
      </w:pPr>
      <w:r>
        <w:rPr/>
        <w:pict>
          <v:shape style="position:absolute;margin-left:48pt;margin-top:51.073582pt;width:516.35pt;height:150.15pt;mso-position-horizontal-relative:page;mso-position-vertical-relative:paragraph;z-index:2519705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blankRow </w:t>
                        </w:r>
                        <w:r>
                          <w:rPr>
                            <w:sz w:val="22"/>
                          </w:rPr>
                          <w:t>(Blank Row Style)</w:t>
                        </w:r>
                      </w:p>
                    </w:tc>
                    <w:tc>
                      <w:tcPr>
                        <w:tcW w:w="5156" w:type="dxa"/>
                      </w:tcPr>
                      <w:p>
                        <w:pPr>
                          <w:pStyle w:val="TableParagraph"/>
                          <w:ind w:right="257"/>
                          <w:rPr>
                            <w:sz w:val="22"/>
                          </w:rPr>
                        </w:pPr>
                        <w:r>
                          <w:rPr>
                            <w:sz w:val="22"/>
                          </w:rPr>
                          <w:t>Table style element that applies to PivotTable's blank rows.</w:t>
                        </w:r>
                      </w:p>
                    </w:tc>
                  </w:tr>
                  <w:tr>
                    <w:trPr>
                      <w:trHeight w:val="355" w:hRule="atLeast"/>
                    </w:trPr>
                    <w:tc>
                      <w:tcPr>
                        <w:tcW w:w="5156" w:type="dxa"/>
                      </w:tcPr>
                      <w:p>
                        <w:pPr>
                          <w:pStyle w:val="TableParagraph"/>
                          <w:rPr>
                            <w:sz w:val="22"/>
                          </w:rPr>
                        </w:pPr>
                        <w:r>
                          <w:rPr>
                            <w:rFonts w:ascii="Cambria"/>
                            <w:sz w:val="22"/>
                          </w:rPr>
                          <w:t>firstColumn </w:t>
                        </w:r>
                        <w:r>
                          <w:rPr>
                            <w:sz w:val="22"/>
                          </w:rPr>
                          <w:t>(First Column Style)</w:t>
                        </w:r>
                      </w:p>
                    </w:tc>
                    <w:tc>
                      <w:tcPr>
                        <w:tcW w:w="5156" w:type="dxa"/>
                      </w:tcPr>
                      <w:p>
                        <w:pPr>
                          <w:pStyle w:val="TableParagraph"/>
                          <w:rPr>
                            <w:sz w:val="22"/>
                          </w:rPr>
                        </w:pPr>
                        <w:r>
                          <w:rPr>
                            <w:sz w:val="22"/>
                          </w:rPr>
                          <w:t>Table style element that applies to table's first column.</w:t>
                        </w:r>
                      </w:p>
                    </w:tc>
                  </w:tr>
                  <w:tr>
                    <w:trPr>
                      <w:trHeight w:val="623" w:hRule="atLeast"/>
                    </w:trPr>
                    <w:tc>
                      <w:tcPr>
                        <w:tcW w:w="5156" w:type="dxa"/>
                      </w:tcPr>
                      <w:p>
                        <w:pPr>
                          <w:pStyle w:val="TableParagraph"/>
                          <w:rPr>
                            <w:sz w:val="22"/>
                          </w:rPr>
                        </w:pPr>
                        <w:r>
                          <w:rPr>
                            <w:rFonts w:ascii="Cambria"/>
                            <w:sz w:val="22"/>
                          </w:rPr>
                          <w:t>firstColumnStripe </w:t>
                        </w:r>
                        <w:r>
                          <w:rPr>
                            <w:sz w:val="22"/>
                          </w:rPr>
                          <w:t>(First Column Stripe Style)</w:t>
                        </w:r>
                      </w:p>
                    </w:tc>
                    <w:tc>
                      <w:tcPr>
                        <w:tcW w:w="5156" w:type="dxa"/>
                      </w:tcPr>
                      <w:p>
                        <w:pPr>
                          <w:pStyle w:val="TableParagraph"/>
                          <w:ind w:right="161"/>
                          <w:rPr>
                            <w:sz w:val="22"/>
                          </w:rPr>
                        </w:pPr>
                        <w:r>
                          <w:rPr>
                            <w:sz w:val="22"/>
                          </w:rPr>
                          <w:t>Table style element that applies to table's first column stripes.</w:t>
                        </w:r>
                      </w:p>
                    </w:tc>
                  </w:tr>
                  <w:tr>
                    <w:trPr>
                      <w:trHeight w:val="621" w:hRule="atLeast"/>
                    </w:trPr>
                    <w:tc>
                      <w:tcPr>
                        <w:tcW w:w="5156" w:type="dxa"/>
                      </w:tcPr>
                      <w:p>
                        <w:pPr>
                          <w:pStyle w:val="TableParagraph"/>
                          <w:ind w:right="452"/>
                          <w:rPr>
                            <w:sz w:val="22"/>
                          </w:rPr>
                        </w:pPr>
                        <w:r>
                          <w:rPr>
                            <w:rFonts w:ascii="Cambria"/>
                            <w:sz w:val="22"/>
                          </w:rPr>
                          <w:t>firstColumnSubheading </w:t>
                        </w:r>
                        <w:r>
                          <w:rPr>
                            <w:sz w:val="22"/>
                          </w:rPr>
                          <w:t>(First Column Subheading Style)</w:t>
                        </w:r>
                      </w:p>
                    </w:tc>
                    <w:tc>
                      <w:tcPr>
                        <w:tcW w:w="5156" w:type="dxa"/>
                      </w:tcPr>
                      <w:p>
                        <w:pPr>
                          <w:pStyle w:val="TableParagraph"/>
                          <w:ind w:right="390"/>
                          <w:rPr>
                            <w:sz w:val="22"/>
                          </w:rPr>
                        </w:pPr>
                        <w:r>
                          <w:rPr>
                            <w:sz w:val="22"/>
                          </w:rPr>
                          <w:t>Table style element that applies to PivotTable's first column subheading.</w:t>
                        </w:r>
                      </w:p>
                    </w:tc>
                  </w:tr>
                  <w:tr>
                    <w:trPr>
                      <w:trHeight w:val="354" w:hRule="atLeast"/>
                    </w:trPr>
                    <w:tc>
                      <w:tcPr>
                        <w:tcW w:w="5156" w:type="dxa"/>
                      </w:tcPr>
                      <w:p>
                        <w:pPr>
                          <w:pStyle w:val="TableParagraph"/>
                          <w:rPr>
                            <w:sz w:val="22"/>
                          </w:rPr>
                        </w:pPr>
                        <w:r>
                          <w:rPr>
                            <w:rFonts w:ascii="Cambria"/>
                            <w:sz w:val="22"/>
                          </w:rPr>
                          <w:t>firstHeaderCell </w:t>
                        </w:r>
                        <w:r>
                          <w:rPr>
                            <w:sz w:val="22"/>
                          </w:rPr>
                          <w:t>(First Header Row Style)</w:t>
                        </w:r>
                      </w:p>
                    </w:tc>
                    <w:tc>
                      <w:tcPr>
                        <w:tcW w:w="5156" w:type="dxa"/>
                      </w:tcPr>
                      <w:p>
                        <w:pPr>
                          <w:pStyle w:val="TableParagraph"/>
                          <w:rPr>
                            <w:sz w:val="22"/>
                          </w:rPr>
                        </w:pPr>
                        <w:r>
                          <w:rPr>
                            <w:sz w:val="22"/>
                          </w:rPr>
                          <w:t>Table style element that applies to table's first header</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row cell.</w:t>
            </w:r>
          </w:p>
        </w:tc>
      </w:tr>
      <w:tr>
        <w:trPr>
          <w:trHeight w:val="623" w:hRule="atLeast"/>
        </w:trPr>
        <w:tc>
          <w:tcPr>
            <w:tcW w:w="5156" w:type="dxa"/>
          </w:tcPr>
          <w:p>
            <w:pPr>
              <w:pStyle w:val="TableParagraph"/>
              <w:rPr>
                <w:sz w:val="22"/>
              </w:rPr>
            </w:pPr>
            <w:r>
              <w:rPr>
                <w:rFonts w:ascii="Cambria"/>
                <w:sz w:val="22"/>
              </w:rPr>
              <w:t>firstRowStripe </w:t>
            </w:r>
            <w:r>
              <w:rPr>
                <w:sz w:val="22"/>
              </w:rPr>
              <w:t>(First Row Stripe Style)</w:t>
            </w:r>
          </w:p>
        </w:tc>
        <w:tc>
          <w:tcPr>
            <w:tcW w:w="5156" w:type="dxa"/>
          </w:tcPr>
          <w:p>
            <w:pPr>
              <w:pStyle w:val="TableParagraph"/>
              <w:ind w:right="477"/>
              <w:rPr>
                <w:sz w:val="22"/>
              </w:rPr>
            </w:pPr>
            <w:r>
              <w:rPr>
                <w:sz w:val="22"/>
              </w:rPr>
              <w:t>Table style element that applies to table's first row stripes.</w:t>
            </w:r>
          </w:p>
        </w:tc>
      </w:tr>
      <w:tr>
        <w:trPr>
          <w:trHeight w:val="621" w:hRule="atLeast"/>
        </w:trPr>
        <w:tc>
          <w:tcPr>
            <w:tcW w:w="5156" w:type="dxa"/>
          </w:tcPr>
          <w:p>
            <w:pPr>
              <w:pStyle w:val="TableParagraph"/>
              <w:rPr>
                <w:sz w:val="22"/>
              </w:rPr>
            </w:pPr>
            <w:r>
              <w:rPr>
                <w:rFonts w:ascii="Cambria"/>
                <w:sz w:val="22"/>
              </w:rPr>
              <w:t>firstRowSubheading </w:t>
            </w:r>
            <w:r>
              <w:rPr>
                <w:sz w:val="22"/>
              </w:rPr>
              <w:t>(First Row Subheading Style)</w:t>
            </w:r>
          </w:p>
        </w:tc>
        <w:tc>
          <w:tcPr>
            <w:tcW w:w="5156" w:type="dxa"/>
          </w:tcPr>
          <w:p>
            <w:pPr>
              <w:pStyle w:val="TableParagraph"/>
              <w:ind w:right="390"/>
              <w:rPr>
                <w:sz w:val="22"/>
              </w:rPr>
            </w:pPr>
            <w:r>
              <w:rPr>
                <w:sz w:val="22"/>
              </w:rPr>
              <w:t>Table style element that applies to PivotTable's first row subheading.</w:t>
            </w:r>
          </w:p>
        </w:tc>
      </w:tr>
      <w:tr>
        <w:trPr>
          <w:trHeight w:val="623" w:hRule="atLeast"/>
        </w:trPr>
        <w:tc>
          <w:tcPr>
            <w:tcW w:w="5156" w:type="dxa"/>
          </w:tcPr>
          <w:p>
            <w:pPr>
              <w:pStyle w:val="TableParagraph"/>
              <w:rPr>
                <w:sz w:val="22"/>
              </w:rPr>
            </w:pPr>
            <w:r>
              <w:rPr>
                <w:rFonts w:ascii="Cambria"/>
                <w:sz w:val="22"/>
              </w:rPr>
              <w:t>firstSubtotalColumn </w:t>
            </w:r>
            <w:r>
              <w:rPr>
                <w:sz w:val="22"/>
              </w:rPr>
              <w:t>(First Subtotal Column Style)</w:t>
            </w:r>
          </w:p>
        </w:tc>
        <w:tc>
          <w:tcPr>
            <w:tcW w:w="5156" w:type="dxa"/>
          </w:tcPr>
          <w:p>
            <w:pPr>
              <w:pStyle w:val="TableParagraph"/>
              <w:ind w:right="390"/>
              <w:rPr>
                <w:sz w:val="22"/>
              </w:rPr>
            </w:pPr>
            <w:r>
              <w:rPr>
                <w:sz w:val="22"/>
              </w:rPr>
              <w:t>Table style element that applies to PivotTable's first subtotal column.</w:t>
            </w:r>
          </w:p>
        </w:tc>
      </w:tr>
      <w:tr>
        <w:trPr>
          <w:trHeight w:val="623" w:hRule="atLeast"/>
        </w:trPr>
        <w:tc>
          <w:tcPr>
            <w:tcW w:w="5156" w:type="dxa"/>
          </w:tcPr>
          <w:p>
            <w:pPr>
              <w:pStyle w:val="TableParagraph"/>
              <w:rPr>
                <w:sz w:val="22"/>
              </w:rPr>
            </w:pPr>
            <w:r>
              <w:rPr>
                <w:rFonts w:ascii="Cambria"/>
                <w:sz w:val="22"/>
              </w:rPr>
              <w:t>firstSubtotalRow </w:t>
            </w:r>
            <w:r>
              <w:rPr>
                <w:sz w:val="22"/>
              </w:rPr>
              <w:t>(First Subtotal Row Style)</w:t>
            </w:r>
          </w:p>
        </w:tc>
        <w:tc>
          <w:tcPr>
            <w:tcW w:w="5156" w:type="dxa"/>
          </w:tcPr>
          <w:p>
            <w:pPr>
              <w:pStyle w:val="TableParagraph"/>
              <w:ind w:right="372"/>
              <w:rPr>
                <w:sz w:val="22"/>
              </w:rPr>
            </w:pPr>
            <w:r>
              <w:rPr>
                <w:sz w:val="22"/>
              </w:rPr>
              <w:t>Table style element that applies to pivot table's first subtotal row.</w:t>
            </w:r>
          </w:p>
        </w:tc>
      </w:tr>
      <w:tr>
        <w:trPr>
          <w:trHeight w:val="624" w:hRule="atLeast"/>
        </w:trPr>
        <w:tc>
          <w:tcPr>
            <w:tcW w:w="5156" w:type="dxa"/>
          </w:tcPr>
          <w:p>
            <w:pPr>
              <w:pStyle w:val="TableParagraph"/>
              <w:rPr>
                <w:sz w:val="22"/>
              </w:rPr>
            </w:pPr>
            <w:r>
              <w:rPr>
                <w:rFonts w:ascii="Cambria"/>
                <w:sz w:val="22"/>
              </w:rPr>
              <w:t>firstTotalCell </w:t>
            </w:r>
            <w:r>
              <w:rPr>
                <w:sz w:val="22"/>
              </w:rPr>
              <w:t>(First Total Row Style)</w:t>
            </w:r>
          </w:p>
        </w:tc>
        <w:tc>
          <w:tcPr>
            <w:tcW w:w="5156" w:type="dxa"/>
          </w:tcPr>
          <w:p>
            <w:pPr>
              <w:pStyle w:val="TableParagraph"/>
              <w:ind w:right="408"/>
              <w:rPr>
                <w:sz w:val="22"/>
              </w:rPr>
            </w:pPr>
            <w:r>
              <w:rPr>
                <w:sz w:val="22"/>
              </w:rPr>
              <w:t>Table style element that applies to table's first total row cell.</w:t>
            </w:r>
          </w:p>
        </w:tc>
      </w:tr>
      <w:tr>
        <w:trPr>
          <w:trHeight w:val="354" w:hRule="atLeast"/>
        </w:trPr>
        <w:tc>
          <w:tcPr>
            <w:tcW w:w="5156" w:type="dxa"/>
          </w:tcPr>
          <w:p>
            <w:pPr>
              <w:pStyle w:val="TableParagraph"/>
              <w:rPr>
                <w:sz w:val="22"/>
              </w:rPr>
            </w:pPr>
            <w:r>
              <w:rPr>
                <w:rFonts w:ascii="Cambria"/>
                <w:sz w:val="22"/>
              </w:rPr>
              <w:t>headerRow </w:t>
            </w:r>
            <w:r>
              <w:rPr>
                <w:sz w:val="22"/>
              </w:rPr>
              <w:t>(Header Row Style)</w:t>
            </w:r>
          </w:p>
        </w:tc>
        <w:tc>
          <w:tcPr>
            <w:tcW w:w="5156" w:type="dxa"/>
          </w:tcPr>
          <w:p>
            <w:pPr>
              <w:pStyle w:val="TableParagraph"/>
              <w:rPr>
                <w:sz w:val="22"/>
              </w:rPr>
            </w:pPr>
            <w:r>
              <w:rPr>
                <w:sz w:val="22"/>
              </w:rPr>
              <w:t>Table style element that applies to table's header row.</w:t>
            </w:r>
          </w:p>
        </w:tc>
      </w:tr>
      <w:tr>
        <w:trPr>
          <w:trHeight w:val="354" w:hRule="atLeast"/>
        </w:trPr>
        <w:tc>
          <w:tcPr>
            <w:tcW w:w="5156" w:type="dxa"/>
          </w:tcPr>
          <w:p>
            <w:pPr>
              <w:pStyle w:val="TableParagraph"/>
              <w:rPr>
                <w:sz w:val="22"/>
              </w:rPr>
            </w:pPr>
            <w:r>
              <w:rPr>
                <w:rFonts w:ascii="Cambria"/>
                <w:sz w:val="22"/>
              </w:rPr>
              <w:t>lastColumn </w:t>
            </w:r>
            <w:r>
              <w:rPr>
                <w:sz w:val="22"/>
              </w:rPr>
              <w:t>(Last Column Style)</w:t>
            </w:r>
          </w:p>
        </w:tc>
        <w:tc>
          <w:tcPr>
            <w:tcW w:w="5156" w:type="dxa"/>
          </w:tcPr>
          <w:p>
            <w:pPr>
              <w:pStyle w:val="TableParagraph"/>
              <w:rPr>
                <w:sz w:val="22"/>
              </w:rPr>
            </w:pPr>
            <w:r>
              <w:rPr>
                <w:sz w:val="22"/>
              </w:rPr>
              <w:t>Table style element that applies to table's last column.</w:t>
            </w:r>
          </w:p>
        </w:tc>
      </w:tr>
      <w:tr>
        <w:trPr>
          <w:trHeight w:val="621" w:hRule="atLeast"/>
        </w:trPr>
        <w:tc>
          <w:tcPr>
            <w:tcW w:w="5156" w:type="dxa"/>
          </w:tcPr>
          <w:p>
            <w:pPr>
              <w:pStyle w:val="TableParagraph"/>
              <w:rPr>
                <w:sz w:val="22"/>
              </w:rPr>
            </w:pPr>
            <w:r>
              <w:rPr>
                <w:rFonts w:ascii="Cambria"/>
                <w:sz w:val="22"/>
              </w:rPr>
              <w:t>lastHeaderCell </w:t>
            </w:r>
            <w:r>
              <w:rPr>
                <w:sz w:val="22"/>
              </w:rPr>
              <w:t>(Last Header Style)</w:t>
            </w:r>
          </w:p>
        </w:tc>
        <w:tc>
          <w:tcPr>
            <w:tcW w:w="5156" w:type="dxa"/>
          </w:tcPr>
          <w:p>
            <w:pPr>
              <w:pStyle w:val="TableParagraph"/>
              <w:ind w:right="233"/>
              <w:rPr>
                <w:sz w:val="22"/>
              </w:rPr>
            </w:pPr>
            <w:r>
              <w:rPr>
                <w:sz w:val="22"/>
              </w:rPr>
              <w:t>Table style element that applies to table's last header row cell.</w:t>
            </w:r>
          </w:p>
        </w:tc>
      </w:tr>
      <w:tr>
        <w:trPr>
          <w:trHeight w:val="623" w:hRule="atLeast"/>
        </w:trPr>
        <w:tc>
          <w:tcPr>
            <w:tcW w:w="5156" w:type="dxa"/>
          </w:tcPr>
          <w:p>
            <w:pPr>
              <w:pStyle w:val="TableParagraph"/>
              <w:rPr>
                <w:sz w:val="22"/>
              </w:rPr>
            </w:pPr>
            <w:r>
              <w:rPr>
                <w:rFonts w:ascii="Cambria"/>
                <w:sz w:val="22"/>
              </w:rPr>
              <w:t>lastTotalCell </w:t>
            </w:r>
            <w:r>
              <w:rPr>
                <w:sz w:val="22"/>
              </w:rPr>
              <w:t>(Last Total Row Style)</w:t>
            </w:r>
          </w:p>
        </w:tc>
        <w:tc>
          <w:tcPr>
            <w:tcW w:w="5156" w:type="dxa"/>
          </w:tcPr>
          <w:p>
            <w:pPr>
              <w:pStyle w:val="TableParagraph"/>
              <w:ind w:right="446"/>
              <w:rPr>
                <w:sz w:val="22"/>
              </w:rPr>
            </w:pPr>
            <w:r>
              <w:rPr>
                <w:sz w:val="22"/>
              </w:rPr>
              <w:t>Table style element that applies to table's last total row cell.</w:t>
            </w:r>
          </w:p>
        </w:tc>
      </w:tr>
      <w:tr>
        <w:trPr>
          <w:trHeight w:val="623" w:hRule="atLeast"/>
        </w:trPr>
        <w:tc>
          <w:tcPr>
            <w:tcW w:w="5156" w:type="dxa"/>
          </w:tcPr>
          <w:p>
            <w:pPr>
              <w:pStyle w:val="TableParagraph"/>
              <w:rPr>
                <w:sz w:val="22"/>
              </w:rPr>
            </w:pPr>
            <w:r>
              <w:rPr>
                <w:rFonts w:ascii="Cambria"/>
                <w:sz w:val="22"/>
              </w:rPr>
              <w:t>pageFieldLabels </w:t>
            </w:r>
            <w:r>
              <w:rPr>
                <w:sz w:val="22"/>
              </w:rPr>
              <w:t>(Page Field Labels Style)</w:t>
            </w:r>
          </w:p>
        </w:tc>
        <w:tc>
          <w:tcPr>
            <w:tcW w:w="5156" w:type="dxa"/>
          </w:tcPr>
          <w:p>
            <w:pPr>
              <w:pStyle w:val="TableParagraph"/>
              <w:ind w:right="292"/>
              <w:rPr>
                <w:sz w:val="22"/>
              </w:rPr>
            </w:pPr>
            <w:r>
              <w:rPr>
                <w:sz w:val="22"/>
              </w:rPr>
              <w:t>Table style element that applies to pivot table's page field labels.</w:t>
            </w:r>
          </w:p>
        </w:tc>
      </w:tr>
      <w:tr>
        <w:trPr>
          <w:trHeight w:val="623" w:hRule="atLeast"/>
        </w:trPr>
        <w:tc>
          <w:tcPr>
            <w:tcW w:w="5156" w:type="dxa"/>
          </w:tcPr>
          <w:p>
            <w:pPr>
              <w:pStyle w:val="TableParagraph"/>
              <w:rPr>
                <w:sz w:val="22"/>
              </w:rPr>
            </w:pPr>
            <w:r>
              <w:rPr>
                <w:rFonts w:ascii="Cambria"/>
                <w:sz w:val="22"/>
              </w:rPr>
              <w:t>pageFieldValues </w:t>
            </w:r>
            <w:r>
              <w:rPr>
                <w:sz w:val="22"/>
              </w:rPr>
              <w:t>(Page Field Values Style)</w:t>
            </w:r>
          </w:p>
        </w:tc>
        <w:tc>
          <w:tcPr>
            <w:tcW w:w="5156" w:type="dxa"/>
          </w:tcPr>
          <w:p>
            <w:pPr>
              <w:pStyle w:val="TableParagraph"/>
              <w:ind w:right="292"/>
              <w:rPr>
                <w:sz w:val="22"/>
              </w:rPr>
            </w:pPr>
            <w:r>
              <w:rPr>
                <w:sz w:val="22"/>
              </w:rPr>
              <w:t>Table style element that applies to pivot table's page field values.</w:t>
            </w:r>
          </w:p>
        </w:tc>
      </w:tr>
      <w:tr>
        <w:trPr>
          <w:trHeight w:val="624" w:hRule="atLeast"/>
        </w:trPr>
        <w:tc>
          <w:tcPr>
            <w:tcW w:w="5156" w:type="dxa"/>
          </w:tcPr>
          <w:p>
            <w:pPr>
              <w:pStyle w:val="TableParagraph"/>
              <w:rPr>
                <w:sz w:val="22"/>
              </w:rPr>
            </w:pPr>
            <w:r>
              <w:rPr>
                <w:rFonts w:ascii="Cambria"/>
                <w:sz w:val="22"/>
              </w:rPr>
              <w:t>secondColumnStripe </w:t>
            </w:r>
            <w:r>
              <w:rPr>
                <w:sz w:val="22"/>
              </w:rPr>
              <w:t>(Second Column Stipe Style)</w:t>
            </w:r>
          </w:p>
        </w:tc>
        <w:tc>
          <w:tcPr>
            <w:tcW w:w="5156" w:type="dxa"/>
          </w:tcPr>
          <w:p>
            <w:pPr>
              <w:pStyle w:val="TableParagraph"/>
              <w:ind w:right="595"/>
              <w:rPr>
                <w:sz w:val="22"/>
              </w:rPr>
            </w:pPr>
            <w:r>
              <w:rPr>
                <w:sz w:val="22"/>
              </w:rPr>
              <w:t>Table style element that applies to table's second column stripes.</w:t>
            </w:r>
          </w:p>
        </w:tc>
      </w:tr>
      <w:tr>
        <w:trPr>
          <w:trHeight w:val="621" w:hRule="atLeast"/>
        </w:trPr>
        <w:tc>
          <w:tcPr>
            <w:tcW w:w="5156" w:type="dxa"/>
          </w:tcPr>
          <w:p>
            <w:pPr>
              <w:pStyle w:val="TableParagraph"/>
              <w:ind w:right="1014"/>
              <w:rPr>
                <w:sz w:val="22"/>
              </w:rPr>
            </w:pPr>
            <w:r>
              <w:rPr>
                <w:rFonts w:ascii="Cambria"/>
                <w:sz w:val="22"/>
              </w:rPr>
              <w:t>secondColumnSubheading </w:t>
            </w:r>
            <w:r>
              <w:rPr>
                <w:sz w:val="22"/>
              </w:rPr>
              <w:t>(Second Column Subheading Style)</w:t>
            </w:r>
          </w:p>
        </w:tc>
        <w:tc>
          <w:tcPr>
            <w:tcW w:w="5156" w:type="dxa"/>
          </w:tcPr>
          <w:p>
            <w:pPr>
              <w:pStyle w:val="TableParagraph"/>
              <w:ind w:right="90"/>
              <w:rPr>
                <w:sz w:val="22"/>
              </w:rPr>
            </w:pPr>
            <w:r>
              <w:rPr>
                <w:sz w:val="22"/>
              </w:rPr>
              <w:t>Table style element that applies to pivot table's second column subheading.</w:t>
            </w:r>
          </w:p>
        </w:tc>
      </w:tr>
      <w:tr>
        <w:trPr>
          <w:trHeight w:val="623" w:hRule="atLeast"/>
        </w:trPr>
        <w:tc>
          <w:tcPr>
            <w:tcW w:w="5156" w:type="dxa"/>
          </w:tcPr>
          <w:p>
            <w:pPr>
              <w:pStyle w:val="TableParagraph"/>
              <w:rPr>
                <w:sz w:val="22"/>
              </w:rPr>
            </w:pPr>
            <w:r>
              <w:rPr>
                <w:rFonts w:ascii="Cambria"/>
                <w:sz w:val="22"/>
              </w:rPr>
              <w:t>secondRowStripe </w:t>
            </w:r>
            <w:r>
              <w:rPr>
                <w:sz w:val="22"/>
              </w:rPr>
              <w:t>(Second Row Stripe Style)</w:t>
            </w:r>
          </w:p>
        </w:tc>
        <w:tc>
          <w:tcPr>
            <w:tcW w:w="5156" w:type="dxa"/>
          </w:tcPr>
          <w:p>
            <w:pPr>
              <w:pStyle w:val="TableParagraph"/>
              <w:ind w:right="195"/>
              <w:rPr>
                <w:sz w:val="22"/>
              </w:rPr>
            </w:pPr>
            <w:r>
              <w:rPr>
                <w:sz w:val="22"/>
              </w:rPr>
              <w:t>Table style element that applies to table's second row stripes.</w:t>
            </w:r>
          </w:p>
        </w:tc>
      </w:tr>
      <w:tr>
        <w:trPr>
          <w:trHeight w:val="623" w:hRule="atLeast"/>
        </w:trPr>
        <w:tc>
          <w:tcPr>
            <w:tcW w:w="5156" w:type="dxa"/>
          </w:tcPr>
          <w:p>
            <w:pPr>
              <w:pStyle w:val="TableParagraph"/>
              <w:ind w:right="518"/>
              <w:rPr>
                <w:sz w:val="22"/>
              </w:rPr>
            </w:pPr>
            <w:r>
              <w:rPr>
                <w:rFonts w:ascii="Cambria"/>
                <w:sz w:val="22"/>
              </w:rPr>
              <w:t>secondRowSubheading </w:t>
            </w:r>
            <w:r>
              <w:rPr>
                <w:sz w:val="22"/>
              </w:rPr>
              <w:t>(Second Row Subheading Style)</w:t>
            </w:r>
          </w:p>
        </w:tc>
        <w:tc>
          <w:tcPr>
            <w:tcW w:w="5156" w:type="dxa"/>
          </w:tcPr>
          <w:p>
            <w:pPr>
              <w:pStyle w:val="TableParagraph"/>
              <w:ind w:right="90"/>
              <w:rPr>
                <w:sz w:val="22"/>
              </w:rPr>
            </w:pPr>
            <w:r>
              <w:rPr>
                <w:sz w:val="22"/>
              </w:rPr>
              <w:t>Table style element that applies to pivot table's second row subheading.</w:t>
            </w:r>
          </w:p>
        </w:tc>
      </w:tr>
      <w:tr>
        <w:trPr>
          <w:trHeight w:val="623" w:hRule="atLeast"/>
        </w:trPr>
        <w:tc>
          <w:tcPr>
            <w:tcW w:w="5156" w:type="dxa"/>
          </w:tcPr>
          <w:p>
            <w:pPr>
              <w:pStyle w:val="TableParagraph"/>
              <w:ind w:right="531"/>
              <w:rPr>
                <w:sz w:val="22"/>
              </w:rPr>
            </w:pPr>
            <w:r>
              <w:rPr>
                <w:rFonts w:ascii="Cambria"/>
                <w:sz w:val="22"/>
              </w:rPr>
              <w:t>secondSubtotalColumn </w:t>
            </w:r>
            <w:r>
              <w:rPr>
                <w:sz w:val="22"/>
              </w:rPr>
              <w:t>(Second Subtotal Column Style)</w:t>
            </w:r>
          </w:p>
        </w:tc>
        <w:tc>
          <w:tcPr>
            <w:tcW w:w="5156" w:type="dxa"/>
          </w:tcPr>
          <w:p>
            <w:pPr>
              <w:pStyle w:val="TableParagraph"/>
              <w:ind w:right="108"/>
              <w:rPr>
                <w:sz w:val="22"/>
              </w:rPr>
            </w:pPr>
            <w:r>
              <w:rPr>
                <w:sz w:val="22"/>
              </w:rPr>
              <w:t>Table style element that applies to PivotTable's second subtotal column.</w:t>
            </w:r>
          </w:p>
        </w:tc>
      </w:tr>
      <w:tr>
        <w:trPr>
          <w:trHeight w:val="621" w:hRule="atLeast"/>
        </w:trPr>
        <w:tc>
          <w:tcPr>
            <w:tcW w:w="5156" w:type="dxa"/>
          </w:tcPr>
          <w:p>
            <w:pPr>
              <w:pStyle w:val="TableParagraph"/>
              <w:rPr>
                <w:sz w:val="22"/>
              </w:rPr>
            </w:pPr>
            <w:r>
              <w:rPr>
                <w:rFonts w:ascii="Cambria"/>
                <w:sz w:val="22"/>
              </w:rPr>
              <w:t>secondSubtotalRow </w:t>
            </w:r>
            <w:r>
              <w:rPr>
                <w:sz w:val="22"/>
              </w:rPr>
              <w:t>(Second Subtotal Row Style)</w:t>
            </w:r>
          </w:p>
        </w:tc>
        <w:tc>
          <w:tcPr>
            <w:tcW w:w="5156" w:type="dxa"/>
          </w:tcPr>
          <w:p>
            <w:pPr>
              <w:pStyle w:val="TableParagraph"/>
              <w:ind w:right="108"/>
              <w:rPr>
                <w:sz w:val="22"/>
              </w:rPr>
            </w:pPr>
            <w:r>
              <w:rPr>
                <w:sz w:val="22"/>
              </w:rPr>
              <w:t>Table style element that applies to PivotTable's second subtotal row.</w:t>
            </w:r>
          </w:p>
        </w:tc>
      </w:tr>
      <w:tr>
        <w:trPr>
          <w:trHeight w:val="623" w:hRule="atLeast"/>
        </w:trPr>
        <w:tc>
          <w:tcPr>
            <w:tcW w:w="5156" w:type="dxa"/>
          </w:tcPr>
          <w:p>
            <w:pPr>
              <w:pStyle w:val="TableParagraph"/>
              <w:spacing w:line="237" w:lineRule="auto" w:before="44"/>
              <w:ind w:right="292"/>
              <w:rPr>
                <w:sz w:val="22"/>
              </w:rPr>
            </w:pPr>
            <w:r>
              <w:rPr>
                <w:rFonts w:ascii="Cambria"/>
                <w:sz w:val="22"/>
              </w:rPr>
              <w:t>thirdColumnSubheading </w:t>
            </w:r>
            <w:r>
              <w:rPr>
                <w:sz w:val="22"/>
              </w:rPr>
              <w:t>(Third Column Subheading Style)</w:t>
            </w:r>
          </w:p>
        </w:tc>
        <w:tc>
          <w:tcPr>
            <w:tcW w:w="5156" w:type="dxa"/>
          </w:tcPr>
          <w:p>
            <w:pPr>
              <w:pStyle w:val="TableParagraph"/>
              <w:spacing w:line="237" w:lineRule="auto" w:before="44"/>
              <w:ind w:right="312"/>
              <w:rPr>
                <w:sz w:val="22"/>
              </w:rPr>
            </w:pPr>
            <w:r>
              <w:rPr>
                <w:sz w:val="22"/>
              </w:rPr>
              <w:t>Table style element that applies to PivotTable's third column subheading.</w:t>
            </w:r>
          </w:p>
        </w:tc>
      </w:tr>
      <w:tr>
        <w:trPr>
          <w:trHeight w:val="623" w:hRule="atLeast"/>
        </w:trPr>
        <w:tc>
          <w:tcPr>
            <w:tcW w:w="5156" w:type="dxa"/>
          </w:tcPr>
          <w:p>
            <w:pPr>
              <w:pStyle w:val="TableParagraph"/>
              <w:rPr>
                <w:sz w:val="22"/>
              </w:rPr>
            </w:pPr>
            <w:r>
              <w:rPr>
                <w:rFonts w:ascii="Cambria"/>
                <w:sz w:val="22"/>
              </w:rPr>
              <w:t>thirdRowSubheading </w:t>
            </w:r>
            <w:r>
              <w:rPr>
                <w:sz w:val="22"/>
              </w:rPr>
              <w:t>(Third Row Subheading Style)</w:t>
            </w:r>
          </w:p>
        </w:tc>
        <w:tc>
          <w:tcPr>
            <w:tcW w:w="5156" w:type="dxa"/>
          </w:tcPr>
          <w:p>
            <w:pPr>
              <w:pStyle w:val="TableParagraph"/>
              <w:ind w:right="312"/>
              <w:rPr>
                <w:sz w:val="22"/>
              </w:rPr>
            </w:pPr>
            <w:r>
              <w:rPr>
                <w:sz w:val="22"/>
              </w:rPr>
              <w:t>Table style element that applies to PivotTable's third row subheading.</w:t>
            </w:r>
          </w:p>
        </w:tc>
      </w:tr>
      <w:tr>
        <w:trPr>
          <w:trHeight w:val="623" w:hRule="atLeast"/>
        </w:trPr>
        <w:tc>
          <w:tcPr>
            <w:tcW w:w="5156" w:type="dxa"/>
          </w:tcPr>
          <w:p>
            <w:pPr>
              <w:pStyle w:val="TableParagraph"/>
              <w:rPr>
                <w:sz w:val="22"/>
              </w:rPr>
            </w:pPr>
            <w:r>
              <w:rPr>
                <w:rFonts w:ascii="Cambria"/>
                <w:sz w:val="22"/>
              </w:rPr>
              <w:t>thirdSubtotalColumn </w:t>
            </w:r>
            <w:r>
              <w:rPr>
                <w:sz w:val="22"/>
              </w:rPr>
              <w:t>(Third Subtotal Column Style)</w:t>
            </w:r>
          </w:p>
        </w:tc>
        <w:tc>
          <w:tcPr>
            <w:tcW w:w="5156" w:type="dxa"/>
          </w:tcPr>
          <w:p>
            <w:pPr>
              <w:pStyle w:val="TableParagraph"/>
              <w:ind w:right="294"/>
              <w:rPr>
                <w:sz w:val="22"/>
              </w:rPr>
            </w:pPr>
            <w:r>
              <w:rPr>
                <w:sz w:val="22"/>
              </w:rPr>
              <w:t>Table style element that applies to pivot table's third subtotal column.</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thirdSubtotalRow </w:t>
            </w:r>
            <w:r>
              <w:rPr>
                <w:sz w:val="22"/>
              </w:rPr>
              <w:t>(Third Subtotal Row Style)</w:t>
            </w:r>
          </w:p>
        </w:tc>
        <w:tc>
          <w:tcPr>
            <w:tcW w:w="5156" w:type="dxa"/>
          </w:tcPr>
          <w:p>
            <w:pPr>
              <w:pStyle w:val="TableParagraph"/>
              <w:ind w:right="312"/>
              <w:rPr>
                <w:sz w:val="22"/>
              </w:rPr>
            </w:pPr>
            <w:r>
              <w:rPr>
                <w:sz w:val="22"/>
              </w:rPr>
              <w:t>Table style element that applies to PivotTable's third subtotal row.</w:t>
            </w:r>
          </w:p>
        </w:tc>
      </w:tr>
      <w:tr>
        <w:trPr>
          <w:trHeight w:val="352" w:hRule="atLeast"/>
        </w:trPr>
        <w:tc>
          <w:tcPr>
            <w:tcW w:w="5156" w:type="dxa"/>
          </w:tcPr>
          <w:p>
            <w:pPr>
              <w:pStyle w:val="TableParagraph"/>
              <w:rPr>
                <w:sz w:val="22"/>
              </w:rPr>
            </w:pPr>
            <w:r>
              <w:rPr>
                <w:rFonts w:ascii="Cambria"/>
                <w:sz w:val="22"/>
              </w:rPr>
              <w:t>totalRow </w:t>
            </w:r>
            <w:r>
              <w:rPr>
                <w:sz w:val="22"/>
              </w:rPr>
              <w:t>(Total Row Style)</w:t>
            </w:r>
          </w:p>
        </w:tc>
        <w:tc>
          <w:tcPr>
            <w:tcW w:w="5156" w:type="dxa"/>
          </w:tcPr>
          <w:p>
            <w:pPr>
              <w:pStyle w:val="TableParagraph"/>
              <w:rPr>
                <w:sz w:val="22"/>
              </w:rPr>
            </w:pPr>
            <w:r>
              <w:rPr>
                <w:sz w:val="22"/>
              </w:rPr>
              <w:t>Table style element that applies to table's total row.</w:t>
            </w:r>
          </w:p>
        </w:tc>
      </w:tr>
      <w:tr>
        <w:trPr>
          <w:trHeight w:val="623" w:hRule="atLeast"/>
        </w:trPr>
        <w:tc>
          <w:tcPr>
            <w:tcW w:w="5156" w:type="dxa"/>
          </w:tcPr>
          <w:p>
            <w:pPr>
              <w:pStyle w:val="TableParagraph"/>
              <w:spacing w:before="42"/>
              <w:rPr>
                <w:sz w:val="22"/>
              </w:rPr>
            </w:pPr>
            <w:r>
              <w:rPr>
                <w:rFonts w:ascii="Cambria"/>
                <w:sz w:val="22"/>
              </w:rPr>
              <w:t>wholeTable </w:t>
            </w:r>
            <w:r>
              <w:rPr>
                <w:sz w:val="22"/>
              </w:rPr>
              <w:t>(Whole Table Style)</w:t>
            </w:r>
          </w:p>
        </w:tc>
        <w:tc>
          <w:tcPr>
            <w:tcW w:w="5156" w:type="dxa"/>
          </w:tcPr>
          <w:p>
            <w:pPr>
              <w:pStyle w:val="TableParagraph"/>
              <w:spacing w:line="237" w:lineRule="auto" w:before="44"/>
              <w:ind w:right="695"/>
              <w:rPr>
                <w:sz w:val="22"/>
              </w:rPr>
            </w:pPr>
            <w:r>
              <w:rPr>
                <w:sz w:val="22"/>
              </w:rPr>
              <w:t>Table style element that applies to table's entire content.</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simple type’s content model (</w:t>
      </w:r>
      <w:r>
        <w:rPr>
          <w:color w:val="5F5F5F"/>
          <w:u w:val="single" w:color="5F5F5F"/>
        </w:rPr>
        <w:t>ST_TableStyleType</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78 ST_TableType (Table Type)" w:id="2699"/>
      <w:bookmarkEnd w:id="2699"/>
      <w:r>
        <w:rPr>
          <w:b w:val="0"/>
        </w:rPr>
      </w:r>
      <w:bookmarkStart w:name="_bookmark900" w:id="2700"/>
      <w:bookmarkEnd w:id="2700"/>
      <w:r>
        <w:rPr>
          <w:b w:val="0"/>
        </w:rPr>
      </w:r>
      <w:bookmarkStart w:name="_bookmark900" w:id="2701"/>
      <w:bookmarkEnd w:id="2701"/>
      <w:r>
        <w:rPr>
          <w:color w:val="4F81BC"/>
        </w:rPr>
        <w:t>S</w:t>
      </w:r>
      <w:r>
        <w:rPr>
          <w:color w:val="4F81BC"/>
        </w:rPr>
        <w:t>T_TableType (Table</w:t>
      </w:r>
      <w:r>
        <w:rPr>
          <w:color w:val="4F81BC"/>
          <w:spacing w:val="-1"/>
        </w:rPr>
        <w:t> </w:t>
      </w:r>
      <w:r>
        <w:rPr>
          <w:color w:val="4F81BC"/>
        </w:rPr>
        <w:t>Type)</w:t>
      </w:r>
    </w:p>
    <w:p>
      <w:pPr>
        <w:pStyle w:val="BodyText"/>
        <w:spacing w:before="127"/>
        <w:ind w:left="220"/>
      </w:pPr>
      <w:r>
        <w:rPr/>
        <w:t>An enumeration that specifies what the table data is based on.</w:t>
      </w:r>
    </w:p>
    <w:p>
      <w:pPr>
        <w:pStyle w:val="BodyText"/>
        <w:spacing w:before="8"/>
        <w:rPr>
          <w:sz w:val="19"/>
        </w:rPr>
      </w:pPr>
    </w:p>
    <w:p>
      <w:pPr>
        <w:pStyle w:val="BodyText"/>
        <w:spacing w:line="489" w:lineRule="auto"/>
        <w:ind w:left="220" w:right="2804"/>
      </w:pPr>
      <w:r>
        <w:rPr/>
        <w:pict>
          <v:shape style="position:absolute;margin-left:48pt;margin-top:42.873653pt;width:516.35pt;height:73.45pt;mso-position-horizontal-relative:page;mso-position-vertical-relative:paragraph;z-index:2519715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queryTable </w:t>
                        </w:r>
                        <w:r>
                          <w:rPr>
                            <w:sz w:val="22"/>
                          </w:rPr>
                          <w:t>(Query Table)</w:t>
                        </w:r>
                      </w:p>
                    </w:tc>
                    <w:tc>
                      <w:tcPr>
                        <w:tcW w:w="5156" w:type="dxa"/>
                      </w:tcPr>
                      <w:p>
                        <w:pPr>
                          <w:pStyle w:val="TableParagraph"/>
                          <w:rPr>
                            <w:sz w:val="22"/>
                          </w:rPr>
                        </w:pPr>
                        <w:r>
                          <w:rPr>
                            <w:sz w:val="22"/>
                          </w:rPr>
                          <w:t>A table based on an external data query.</w:t>
                        </w:r>
                      </w:p>
                    </w:tc>
                  </w:tr>
                  <w:tr>
                    <w:trPr>
                      <w:trHeight w:val="354" w:hRule="atLeast"/>
                    </w:trPr>
                    <w:tc>
                      <w:tcPr>
                        <w:tcW w:w="5156" w:type="dxa"/>
                      </w:tcPr>
                      <w:p>
                        <w:pPr>
                          <w:pStyle w:val="TableParagraph"/>
                          <w:rPr>
                            <w:sz w:val="22"/>
                          </w:rPr>
                        </w:pPr>
                        <w:r>
                          <w:rPr>
                            <w:rFonts w:ascii="Cambria"/>
                            <w:sz w:val="22"/>
                          </w:rPr>
                          <w:t>worksheet </w:t>
                        </w:r>
                        <w:r>
                          <w:rPr>
                            <w:sz w:val="22"/>
                          </w:rPr>
                          <w:t>(Worksheet)</w:t>
                        </w:r>
                      </w:p>
                    </w:tc>
                    <w:tc>
                      <w:tcPr>
                        <w:tcW w:w="5156" w:type="dxa"/>
                      </w:tcPr>
                      <w:p>
                        <w:pPr>
                          <w:pStyle w:val="TableParagraph"/>
                          <w:rPr>
                            <w:sz w:val="22"/>
                          </w:rPr>
                        </w:pPr>
                        <w:r>
                          <w:rPr>
                            <w:sz w:val="22"/>
                          </w:rPr>
                          <w:t>A table based on a worksheet data range.</w:t>
                        </w:r>
                      </w:p>
                    </w:tc>
                  </w:tr>
                  <w:tr>
                    <w:trPr>
                      <w:trHeight w:val="354" w:hRule="atLeast"/>
                    </w:trPr>
                    <w:tc>
                      <w:tcPr>
                        <w:tcW w:w="5156" w:type="dxa"/>
                      </w:tcPr>
                      <w:p>
                        <w:pPr>
                          <w:pStyle w:val="TableParagraph"/>
                          <w:rPr>
                            <w:sz w:val="22"/>
                          </w:rPr>
                        </w:pPr>
                        <w:r>
                          <w:rPr>
                            <w:rFonts w:ascii="Cambria"/>
                            <w:sz w:val="22"/>
                          </w:rPr>
                          <w:t>xml </w:t>
                        </w:r>
                        <w:r>
                          <w:rPr>
                            <w:sz w:val="22"/>
                          </w:rPr>
                          <w:t>(XML)</w:t>
                        </w:r>
                      </w:p>
                    </w:tc>
                    <w:tc>
                      <w:tcPr>
                        <w:tcW w:w="5156" w:type="dxa"/>
                      </w:tcPr>
                      <w:p>
                        <w:pPr>
                          <w:pStyle w:val="TableParagraph"/>
                          <w:rPr>
                            <w:sz w:val="22"/>
                          </w:rPr>
                        </w:pPr>
                        <w:r>
                          <w:rPr>
                            <w:sz w:val="22"/>
                          </w:rPr>
                          <w:t>A table based on an XML mapping.</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spacing w:before="3"/>
        <w:rPr>
          <w:sz w:val="32"/>
        </w:rPr>
      </w:pPr>
    </w:p>
    <w:p>
      <w:pPr>
        <w:pStyle w:val="BodyText"/>
        <w:ind w:left="220"/>
      </w:pPr>
      <w:r>
        <w:rPr/>
        <w:t>[</w:t>
      </w:r>
      <w:r>
        <w:rPr>
          <w:i/>
        </w:rPr>
        <w:t>Note</w:t>
      </w:r>
      <w:r>
        <w:rPr/>
        <w:t>: The W3C XML Schema definition of this simple type’s content model (</w:t>
      </w:r>
      <w:r>
        <w:rPr>
          <w:color w:val="5F5F5F"/>
          <w:u w:val="single" w:color="5F5F5F"/>
        </w:rPr>
        <w:t>ST_TableType</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79 ST_TargetScreenSize (Target Scr" w:id="2702"/>
      <w:bookmarkEnd w:id="2702"/>
      <w:r>
        <w:rPr>
          <w:b w:val="0"/>
        </w:rPr>
      </w:r>
      <w:bookmarkStart w:name="_bookmark901" w:id="2703"/>
      <w:bookmarkEnd w:id="2703"/>
      <w:r>
        <w:rPr>
          <w:b w:val="0"/>
        </w:rPr>
      </w:r>
      <w:bookmarkStart w:name="_bookmark901" w:id="2704"/>
      <w:bookmarkEnd w:id="2704"/>
      <w:r>
        <w:rPr>
          <w:color w:val="4F81BC"/>
        </w:rPr>
        <w:t>S</w:t>
      </w:r>
      <w:r>
        <w:rPr>
          <w:color w:val="4F81BC"/>
        </w:rPr>
        <w:t>T_TargetScreenSize (Target Screen Size Types)</w:t>
      </w:r>
    </w:p>
    <w:p>
      <w:pPr>
        <w:pStyle w:val="BodyText"/>
        <w:spacing w:line="453" w:lineRule="auto" w:before="127"/>
        <w:ind w:left="220" w:right="1684"/>
      </w:pPr>
      <w:r>
        <w:rPr/>
        <w:t>This simple type defines the collection of screen resolutions that are supported for this workbook. This simple type's contents are a restriction of the W3C XML Schema </w:t>
      </w:r>
      <w:r>
        <w:rPr>
          <w:rFonts w:ascii="Cambria"/>
        </w:rPr>
        <w:t>string </w:t>
      </w:r>
      <w:r>
        <w:rPr/>
        <w:t>datatype.</w:t>
      </w:r>
    </w:p>
    <w:p>
      <w:pPr>
        <w:pStyle w:val="BodyText"/>
        <w:spacing w:before="41"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1024x768 </w:t>
            </w:r>
            <w:r>
              <w:rPr>
                <w:sz w:val="22"/>
              </w:rPr>
              <w:t>(1024 x 768 Resolution)</w:t>
            </w:r>
          </w:p>
        </w:tc>
        <w:tc>
          <w:tcPr>
            <w:tcW w:w="5156" w:type="dxa"/>
          </w:tcPr>
          <w:p>
            <w:pPr>
              <w:pStyle w:val="TableParagraph"/>
              <w:rPr>
                <w:sz w:val="22"/>
              </w:rPr>
            </w:pPr>
            <w:r>
              <w:rPr>
                <w:sz w:val="22"/>
              </w:rPr>
              <w:t>Sets the target screen resolution to 1024x768 pixels.</w:t>
            </w:r>
          </w:p>
        </w:tc>
      </w:tr>
      <w:tr>
        <w:trPr>
          <w:trHeight w:val="355" w:hRule="atLeast"/>
        </w:trPr>
        <w:tc>
          <w:tcPr>
            <w:tcW w:w="5156" w:type="dxa"/>
          </w:tcPr>
          <w:p>
            <w:pPr>
              <w:pStyle w:val="TableParagraph"/>
              <w:rPr>
                <w:sz w:val="22"/>
              </w:rPr>
            </w:pPr>
            <w:r>
              <w:rPr>
                <w:rFonts w:ascii="Cambria"/>
                <w:sz w:val="22"/>
              </w:rPr>
              <w:t>1152x882 </w:t>
            </w:r>
            <w:r>
              <w:rPr>
                <w:sz w:val="22"/>
              </w:rPr>
              <w:t>(1152 x 882 Resolution)</w:t>
            </w:r>
          </w:p>
        </w:tc>
        <w:tc>
          <w:tcPr>
            <w:tcW w:w="5156" w:type="dxa"/>
          </w:tcPr>
          <w:p>
            <w:pPr>
              <w:pStyle w:val="TableParagraph"/>
              <w:rPr>
                <w:sz w:val="22"/>
              </w:rPr>
            </w:pPr>
            <w:r>
              <w:rPr>
                <w:sz w:val="22"/>
              </w:rPr>
              <w:t>Sets the target screen resolution to 1152x882 pixels.</w:t>
            </w:r>
          </w:p>
        </w:tc>
      </w:tr>
      <w:tr>
        <w:trPr>
          <w:trHeight w:val="354" w:hRule="atLeast"/>
        </w:trPr>
        <w:tc>
          <w:tcPr>
            <w:tcW w:w="5156" w:type="dxa"/>
          </w:tcPr>
          <w:p>
            <w:pPr>
              <w:pStyle w:val="TableParagraph"/>
              <w:rPr>
                <w:sz w:val="22"/>
              </w:rPr>
            </w:pPr>
            <w:r>
              <w:rPr>
                <w:rFonts w:ascii="Cambria"/>
                <w:sz w:val="22"/>
              </w:rPr>
              <w:t>1152x900 </w:t>
            </w:r>
            <w:r>
              <w:rPr>
                <w:sz w:val="22"/>
              </w:rPr>
              <w:t>(1152 x 900 Resolution)</w:t>
            </w:r>
          </w:p>
        </w:tc>
        <w:tc>
          <w:tcPr>
            <w:tcW w:w="5156" w:type="dxa"/>
          </w:tcPr>
          <w:p>
            <w:pPr>
              <w:pStyle w:val="TableParagraph"/>
              <w:rPr>
                <w:sz w:val="22"/>
              </w:rPr>
            </w:pPr>
            <w:r>
              <w:rPr>
                <w:sz w:val="22"/>
              </w:rPr>
              <w:t>Sets the target screen resolution to 1152x900 pixels</w:t>
            </w:r>
          </w:p>
        </w:tc>
      </w:tr>
      <w:tr>
        <w:trPr>
          <w:trHeight w:val="354" w:hRule="atLeast"/>
        </w:trPr>
        <w:tc>
          <w:tcPr>
            <w:tcW w:w="5156" w:type="dxa"/>
          </w:tcPr>
          <w:p>
            <w:pPr>
              <w:pStyle w:val="TableParagraph"/>
              <w:rPr>
                <w:sz w:val="22"/>
              </w:rPr>
            </w:pPr>
            <w:r>
              <w:rPr>
                <w:rFonts w:ascii="Cambria"/>
                <w:sz w:val="22"/>
              </w:rPr>
              <w:t>1280x1024 </w:t>
            </w:r>
            <w:r>
              <w:rPr>
                <w:sz w:val="22"/>
              </w:rPr>
              <w:t>(1280 x 1024 Resolution)</w:t>
            </w:r>
          </w:p>
        </w:tc>
        <w:tc>
          <w:tcPr>
            <w:tcW w:w="5156" w:type="dxa"/>
          </w:tcPr>
          <w:p>
            <w:pPr>
              <w:pStyle w:val="TableParagraph"/>
              <w:rPr>
                <w:sz w:val="22"/>
              </w:rPr>
            </w:pPr>
            <w:r>
              <w:rPr>
                <w:sz w:val="22"/>
              </w:rPr>
              <w:t>Sets the target screen resolution to 1280x1024 pixels.</w:t>
            </w:r>
          </w:p>
        </w:tc>
      </w:tr>
      <w:tr>
        <w:trPr>
          <w:trHeight w:val="354" w:hRule="atLeast"/>
        </w:trPr>
        <w:tc>
          <w:tcPr>
            <w:tcW w:w="5156" w:type="dxa"/>
          </w:tcPr>
          <w:p>
            <w:pPr>
              <w:pStyle w:val="TableParagraph"/>
              <w:rPr>
                <w:sz w:val="22"/>
              </w:rPr>
            </w:pPr>
            <w:r>
              <w:rPr>
                <w:rFonts w:ascii="Cambria"/>
                <w:sz w:val="22"/>
              </w:rPr>
              <w:t>1600x1200 </w:t>
            </w:r>
            <w:r>
              <w:rPr>
                <w:sz w:val="22"/>
              </w:rPr>
              <w:t>(1600 x 1200 Resolution)</w:t>
            </w:r>
          </w:p>
        </w:tc>
        <w:tc>
          <w:tcPr>
            <w:tcW w:w="5156" w:type="dxa"/>
          </w:tcPr>
          <w:p>
            <w:pPr>
              <w:pStyle w:val="TableParagraph"/>
              <w:rPr>
                <w:sz w:val="22"/>
              </w:rPr>
            </w:pPr>
            <w:r>
              <w:rPr>
                <w:sz w:val="22"/>
              </w:rPr>
              <w:t>Sets the target screen resolution to 1600x1200 pixels.</w:t>
            </w:r>
          </w:p>
        </w:tc>
      </w:tr>
      <w:tr>
        <w:trPr>
          <w:trHeight w:val="352" w:hRule="atLeast"/>
        </w:trPr>
        <w:tc>
          <w:tcPr>
            <w:tcW w:w="5156" w:type="dxa"/>
          </w:tcPr>
          <w:p>
            <w:pPr>
              <w:pStyle w:val="TableParagraph"/>
              <w:rPr>
                <w:sz w:val="22"/>
              </w:rPr>
            </w:pPr>
            <w:r>
              <w:rPr>
                <w:rFonts w:ascii="Cambria"/>
                <w:sz w:val="22"/>
              </w:rPr>
              <w:t>1800x1440 </w:t>
            </w:r>
            <w:r>
              <w:rPr>
                <w:sz w:val="22"/>
              </w:rPr>
              <w:t>(1800 x 1440 Resolution)</w:t>
            </w:r>
          </w:p>
        </w:tc>
        <w:tc>
          <w:tcPr>
            <w:tcW w:w="5156" w:type="dxa"/>
          </w:tcPr>
          <w:p>
            <w:pPr>
              <w:pStyle w:val="TableParagraph"/>
              <w:rPr>
                <w:sz w:val="22"/>
              </w:rPr>
            </w:pPr>
            <w:r>
              <w:rPr>
                <w:sz w:val="22"/>
              </w:rPr>
              <w:t>Sets the target screen resolution to 1800x1440 pixels.</w:t>
            </w:r>
          </w:p>
        </w:tc>
      </w:tr>
      <w:tr>
        <w:trPr>
          <w:trHeight w:val="357" w:hRule="atLeast"/>
        </w:trPr>
        <w:tc>
          <w:tcPr>
            <w:tcW w:w="5156" w:type="dxa"/>
          </w:tcPr>
          <w:p>
            <w:pPr>
              <w:pStyle w:val="TableParagraph"/>
              <w:spacing w:before="42"/>
              <w:rPr>
                <w:sz w:val="22"/>
              </w:rPr>
            </w:pPr>
            <w:r>
              <w:rPr>
                <w:rFonts w:ascii="Cambria"/>
                <w:sz w:val="22"/>
              </w:rPr>
              <w:t>1920x1200 </w:t>
            </w:r>
            <w:r>
              <w:rPr>
                <w:sz w:val="22"/>
              </w:rPr>
              <w:t>(1920 x 1200 Resolution)</w:t>
            </w:r>
          </w:p>
        </w:tc>
        <w:tc>
          <w:tcPr>
            <w:tcW w:w="5156" w:type="dxa"/>
          </w:tcPr>
          <w:p>
            <w:pPr>
              <w:pStyle w:val="TableParagraph"/>
              <w:spacing w:before="42"/>
              <w:rPr>
                <w:sz w:val="22"/>
              </w:rPr>
            </w:pPr>
            <w:r>
              <w:rPr>
                <w:sz w:val="22"/>
              </w:rPr>
              <w:t>Sets the target screen resolution to 1920x1200 pixels.</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544x376 </w:t>
            </w:r>
            <w:r>
              <w:rPr>
                <w:sz w:val="22"/>
              </w:rPr>
              <w:t>(544 x 376 Resolution)</w:t>
            </w:r>
          </w:p>
        </w:tc>
        <w:tc>
          <w:tcPr>
            <w:tcW w:w="5156" w:type="dxa"/>
          </w:tcPr>
          <w:p>
            <w:pPr>
              <w:pStyle w:val="TableParagraph"/>
              <w:rPr>
                <w:sz w:val="22"/>
              </w:rPr>
            </w:pPr>
            <w:r>
              <w:rPr>
                <w:sz w:val="22"/>
              </w:rPr>
              <w:t>Sets the target screen resolution to 544x376 pixels.</w:t>
            </w:r>
          </w:p>
        </w:tc>
      </w:tr>
      <w:tr>
        <w:trPr>
          <w:trHeight w:val="354" w:hRule="atLeast"/>
        </w:trPr>
        <w:tc>
          <w:tcPr>
            <w:tcW w:w="5156" w:type="dxa"/>
          </w:tcPr>
          <w:p>
            <w:pPr>
              <w:pStyle w:val="TableParagraph"/>
              <w:rPr>
                <w:sz w:val="22"/>
              </w:rPr>
            </w:pPr>
            <w:r>
              <w:rPr>
                <w:rFonts w:ascii="Cambria"/>
                <w:sz w:val="22"/>
              </w:rPr>
              <w:t>640x480 </w:t>
            </w:r>
            <w:r>
              <w:rPr>
                <w:sz w:val="22"/>
              </w:rPr>
              <w:t>(640 x 480 Resolution)</w:t>
            </w:r>
          </w:p>
        </w:tc>
        <w:tc>
          <w:tcPr>
            <w:tcW w:w="5156" w:type="dxa"/>
          </w:tcPr>
          <w:p>
            <w:pPr>
              <w:pStyle w:val="TableParagraph"/>
              <w:rPr>
                <w:sz w:val="22"/>
              </w:rPr>
            </w:pPr>
            <w:r>
              <w:rPr>
                <w:sz w:val="22"/>
              </w:rPr>
              <w:t>Sets the target screen resolution to 640x480 pixels.</w:t>
            </w:r>
          </w:p>
        </w:tc>
      </w:tr>
      <w:tr>
        <w:trPr>
          <w:trHeight w:val="354" w:hRule="atLeast"/>
        </w:trPr>
        <w:tc>
          <w:tcPr>
            <w:tcW w:w="5156" w:type="dxa"/>
          </w:tcPr>
          <w:p>
            <w:pPr>
              <w:pStyle w:val="TableParagraph"/>
              <w:rPr>
                <w:sz w:val="22"/>
              </w:rPr>
            </w:pPr>
            <w:r>
              <w:rPr>
                <w:rFonts w:ascii="Cambria"/>
                <w:sz w:val="22"/>
              </w:rPr>
              <w:t>720x512 </w:t>
            </w:r>
            <w:r>
              <w:rPr>
                <w:sz w:val="22"/>
              </w:rPr>
              <w:t>(720 x 512 Resolution)</w:t>
            </w:r>
          </w:p>
        </w:tc>
        <w:tc>
          <w:tcPr>
            <w:tcW w:w="5156" w:type="dxa"/>
          </w:tcPr>
          <w:p>
            <w:pPr>
              <w:pStyle w:val="TableParagraph"/>
              <w:rPr>
                <w:sz w:val="22"/>
              </w:rPr>
            </w:pPr>
            <w:r>
              <w:rPr>
                <w:sz w:val="22"/>
              </w:rPr>
              <w:t>Sets the target screen resolution to 720x512 pixels.</w:t>
            </w:r>
          </w:p>
        </w:tc>
      </w:tr>
      <w:tr>
        <w:trPr>
          <w:trHeight w:val="354" w:hRule="atLeast"/>
        </w:trPr>
        <w:tc>
          <w:tcPr>
            <w:tcW w:w="5156" w:type="dxa"/>
          </w:tcPr>
          <w:p>
            <w:pPr>
              <w:pStyle w:val="TableParagraph"/>
              <w:rPr>
                <w:sz w:val="22"/>
              </w:rPr>
            </w:pPr>
            <w:r>
              <w:rPr>
                <w:rFonts w:ascii="Cambria"/>
                <w:sz w:val="22"/>
              </w:rPr>
              <w:t>800x600 </w:t>
            </w:r>
            <w:r>
              <w:rPr>
                <w:sz w:val="22"/>
              </w:rPr>
              <w:t>(800 x 600 Resolution)</w:t>
            </w:r>
          </w:p>
        </w:tc>
        <w:tc>
          <w:tcPr>
            <w:tcW w:w="5156" w:type="dxa"/>
          </w:tcPr>
          <w:p>
            <w:pPr>
              <w:pStyle w:val="TableParagraph"/>
              <w:rPr>
                <w:sz w:val="22"/>
              </w:rPr>
            </w:pPr>
            <w:r>
              <w:rPr>
                <w:sz w:val="22"/>
              </w:rPr>
              <w:t>Sets the target screen resolution to 800x600 pixels.</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ST_TargetScreenSize</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80 ST_TextHAlign (Comment Text Hor" w:id="2705"/>
      <w:bookmarkEnd w:id="2705"/>
      <w:r>
        <w:rPr>
          <w:b w:val="0"/>
        </w:rPr>
      </w:r>
      <w:bookmarkStart w:name="_bookmark902" w:id="2706"/>
      <w:bookmarkEnd w:id="2706"/>
      <w:r>
        <w:rPr>
          <w:b w:val="0"/>
        </w:rPr>
      </w:r>
      <w:bookmarkStart w:name="_bookmark902" w:id="2707"/>
      <w:bookmarkEnd w:id="2707"/>
      <w:r>
        <w:rPr>
          <w:color w:val="4F81BC"/>
        </w:rPr>
        <w:t>S</w:t>
      </w:r>
      <w:r>
        <w:rPr>
          <w:color w:val="4F81BC"/>
        </w:rPr>
        <w:t>T_TextHAlign (Comment Text Horizontal</w:t>
      </w:r>
      <w:r>
        <w:rPr>
          <w:color w:val="4F81BC"/>
          <w:spacing w:val="-5"/>
        </w:rPr>
        <w:t> </w:t>
      </w:r>
      <w:r>
        <w:rPr>
          <w:color w:val="4F81BC"/>
        </w:rPr>
        <w:t>Alignment)</w:t>
      </w:r>
    </w:p>
    <w:p>
      <w:pPr>
        <w:pStyle w:val="BodyText"/>
        <w:spacing w:line="453" w:lineRule="auto" w:before="127"/>
        <w:ind w:left="220" w:right="2362"/>
      </w:pPr>
      <w:r>
        <w:rPr/>
        <w:t>This simple type specifies the horizontal alignment of the text within a comment text field. This simple type's contents are a restriction of the W3C XML Schema </w:t>
      </w:r>
      <w:r>
        <w:rPr>
          <w:rFonts w:ascii="Cambria"/>
        </w:rPr>
        <w:t>string </w:t>
      </w:r>
      <w:r>
        <w:rPr/>
        <w:t>datatype.</w:t>
      </w:r>
    </w:p>
    <w:p>
      <w:pPr>
        <w:pStyle w:val="BodyText"/>
        <w:spacing w:before="41"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center </w:t>
            </w:r>
            <w:r>
              <w:rPr>
                <w:sz w:val="22"/>
              </w:rPr>
              <w:t>(Center Alignment)</w:t>
            </w:r>
          </w:p>
        </w:tc>
        <w:tc>
          <w:tcPr>
            <w:tcW w:w="5156" w:type="dxa"/>
          </w:tcPr>
          <w:p>
            <w:pPr>
              <w:pStyle w:val="TableParagraph"/>
              <w:rPr>
                <w:sz w:val="22"/>
              </w:rPr>
            </w:pPr>
            <w:r>
              <w:rPr>
                <w:sz w:val="22"/>
              </w:rPr>
              <w:t>Specifies that the text is centered horizontally.</w:t>
            </w:r>
          </w:p>
        </w:tc>
      </w:tr>
      <w:tr>
        <w:trPr>
          <w:trHeight w:val="354" w:hRule="atLeast"/>
        </w:trPr>
        <w:tc>
          <w:tcPr>
            <w:tcW w:w="5156" w:type="dxa"/>
          </w:tcPr>
          <w:p>
            <w:pPr>
              <w:pStyle w:val="TableParagraph"/>
              <w:rPr>
                <w:sz w:val="22"/>
              </w:rPr>
            </w:pPr>
            <w:r>
              <w:rPr>
                <w:rFonts w:ascii="Cambria"/>
                <w:sz w:val="22"/>
              </w:rPr>
              <w:t>distributed </w:t>
            </w:r>
            <w:r>
              <w:rPr>
                <w:sz w:val="22"/>
              </w:rPr>
              <w:t>(Distributed Alignment)</w:t>
            </w:r>
          </w:p>
        </w:tc>
        <w:tc>
          <w:tcPr>
            <w:tcW w:w="5156" w:type="dxa"/>
          </w:tcPr>
          <w:p>
            <w:pPr>
              <w:pStyle w:val="TableParagraph"/>
              <w:rPr>
                <w:sz w:val="22"/>
              </w:rPr>
            </w:pPr>
            <w:r>
              <w:rPr>
                <w:sz w:val="22"/>
              </w:rPr>
              <w:t>Specifies that the text is distributed horizontally.</w:t>
            </w:r>
          </w:p>
        </w:tc>
      </w:tr>
      <w:tr>
        <w:trPr>
          <w:trHeight w:val="354" w:hRule="atLeast"/>
        </w:trPr>
        <w:tc>
          <w:tcPr>
            <w:tcW w:w="5156" w:type="dxa"/>
          </w:tcPr>
          <w:p>
            <w:pPr>
              <w:pStyle w:val="TableParagraph"/>
              <w:rPr>
                <w:sz w:val="22"/>
              </w:rPr>
            </w:pPr>
            <w:r>
              <w:rPr>
                <w:rFonts w:ascii="Cambria"/>
                <w:sz w:val="22"/>
              </w:rPr>
              <w:t>justify </w:t>
            </w:r>
            <w:r>
              <w:rPr>
                <w:sz w:val="22"/>
              </w:rPr>
              <w:t>(Justify Alignment)</w:t>
            </w:r>
          </w:p>
        </w:tc>
        <w:tc>
          <w:tcPr>
            <w:tcW w:w="5156" w:type="dxa"/>
          </w:tcPr>
          <w:p>
            <w:pPr>
              <w:pStyle w:val="TableParagraph"/>
              <w:rPr>
                <w:sz w:val="22"/>
              </w:rPr>
            </w:pPr>
            <w:r>
              <w:rPr>
                <w:sz w:val="22"/>
              </w:rPr>
              <w:t>Specifies that the text is justified horizontally.</w:t>
            </w:r>
          </w:p>
        </w:tc>
      </w:tr>
      <w:tr>
        <w:trPr>
          <w:trHeight w:val="354" w:hRule="atLeast"/>
        </w:trPr>
        <w:tc>
          <w:tcPr>
            <w:tcW w:w="5156" w:type="dxa"/>
          </w:tcPr>
          <w:p>
            <w:pPr>
              <w:pStyle w:val="TableParagraph"/>
              <w:rPr>
                <w:sz w:val="22"/>
              </w:rPr>
            </w:pPr>
            <w:r>
              <w:rPr>
                <w:rFonts w:ascii="Cambria"/>
                <w:sz w:val="22"/>
              </w:rPr>
              <w:t>left </w:t>
            </w:r>
            <w:r>
              <w:rPr>
                <w:sz w:val="22"/>
              </w:rPr>
              <w:t>(Left Alignment)</w:t>
            </w:r>
          </w:p>
        </w:tc>
        <w:tc>
          <w:tcPr>
            <w:tcW w:w="5156" w:type="dxa"/>
          </w:tcPr>
          <w:p>
            <w:pPr>
              <w:pStyle w:val="TableParagraph"/>
              <w:rPr>
                <w:sz w:val="22"/>
              </w:rPr>
            </w:pPr>
            <w:r>
              <w:rPr>
                <w:sz w:val="22"/>
              </w:rPr>
              <w:t>Specifies that the text is left-aligned.</w:t>
            </w:r>
          </w:p>
        </w:tc>
      </w:tr>
      <w:tr>
        <w:trPr>
          <w:trHeight w:val="354" w:hRule="atLeast"/>
        </w:trPr>
        <w:tc>
          <w:tcPr>
            <w:tcW w:w="5156" w:type="dxa"/>
          </w:tcPr>
          <w:p>
            <w:pPr>
              <w:pStyle w:val="TableParagraph"/>
              <w:rPr>
                <w:sz w:val="22"/>
              </w:rPr>
            </w:pPr>
            <w:r>
              <w:rPr>
                <w:rFonts w:ascii="Cambria"/>
                <w:sz w:val="22"/>
              </w:rPr>
              <w:t>right </w:t>
            </w:r>
            <w:r>
              <w:rPr>
                <w:sz w:val="22"/>
              </w:rPr>
              <w:t>(Right Alignment)</w:t>
            </w:r>
          </w:p>
        </w:tc>
        <w:tc>
          <w:tcPr>
            <w:tcW w:w="5156" w:type="dxa"/>
          </w:tcPr>
          <w:p>
            <w:pPr>
              <w:pStyle w:val="TableParagraph"/>
              <w:rPr>
                <w:sz w:val="22"/>
              </w:rPr>
            </w:pPr>
            <w:r>
              <w:rPr>
                <w:sz w:val="22"/>
              </w:rPr>
              <w:t>Specifies that the text is right-aligned.</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ST_TextHAlign</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81 ST_TextVAlign (Comment Text Ver" w:id="2708"/>
      <w:bookmarkEnd w:id="2708"/>
      <w:r>
        <w:rPr>
          <w:b w:val="0"/>
        </w:rPr>
      </w:r>
      <w:bookmarkStart w:name="_bookmark903" w:id="2709"/>
      <w:bookmarkEnd w:id="2709"/>
      <w:r>
        <w:rPr>
          <w:b w:val="0"/>
        </w:rPr>
      </w:r>
      <w:bookmarkStart w:name="_bookmark903" w:id="2710"/>
      <w:bookmarkEnd w:id="2710"/>
      <w:r>
        <w:rPr>
          <w:color w:val="4F81BC"/>
        </w:rPr>
        <w:t>S</w:t>
      </w:r>
      <w:r>
        <w:rPr>
          <w:color w:val="4F81BC"/>
        </w:rPr>
        <w:t>T_TextVAlign (Comment Text Vertical</w:t>
      </w:r>
      <w:r>
        <w:rPr>
          <w:color w:val="4F81BC"/>
          <w:spacing w:val="-5"/>
        </w:rPr>
        <w:t> </w:t>
      </w:r>
      <w:r>
        <w:rPr>
          <w:color w:val="4F81BC"/>
        </w:rPr>
        <w:t>Alignment)</w:t>
      </w:r>
    </w:p>
    <w:p>
      <w:pPr>
        <w:pStyle w:val="BodyText"/>
        <w:spacing w:line="472" w:lineRule="auto" w:before="126"/>
        <w:ind w:left="220" w:right="2610"/>
      </w:pPr>
      <w:r>
        <w:rPr/>
        <w:pict>
          <v:shape style="position:absolute;margin-left:48pt;margin-top:74.613586pt;width:516.35pt;height:109.95pt;mso-position-horizontal-relative:page;mso-position-vertical-relative:paragraph;z-index:25197260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5" w:hRule="atLeast"/>
                    </w:trPr>
                    <w:tc>
                      <w:tcPr>
                        <w:tcW w:w="5156" w:type="dxa"/>
                      </w:tcPr>
                      <w:p>
                        <w:pPr>
                          <w:pStyle w:val="TableParagraph"/>
                          <w:rPr>
                            <w:sz w:val="22"/>
                          </w:rPr>
                        </w:pPr>
                        <w:r>
                          <w:rPr>
                            <w:rFonts w:ascii="Cambria"/>
                            <w:sz w:val="22"/>
                          </w:rPr>
                          <w:t>bottom </w:t>
                        </w:r>
                        <w:r>
                          <w:rPr>
                            <w:sz w:val="22"/>
                          </w:rPr>
                          <w:t>(Bottom Alignment)</w:t>
                        </w:r>
                      </w:p>
                    </w:tc>
                    <w:tc>
                      <w:tcPr>
                        <w:tcW w:w="5156" w:type="dxa"/>
                      </w:tcPr>
                      <w:p>
                        <w:pPr>
                          <w:pStyle w:val="TableParagraph"/>
                          <w:rPr>
                            <w:sz w:val="22"/>
                          </w:rPr>
                        </w:pPr>
                        <w:r>
                          <w:rPr>
                            <w:sz w:val="22"/>
                          </w:rPr>
                          <w:t>Specifies that the text is bottom-aligned.</w:t>
                        </w:r>
                      </w:p>
                    </w:tc>
                  </w:tr>
                  <w:tr>
                    <w:trPr>
                      <w:trHeight w:val="354" w:hRule="atLeast"/>
                    </w:trPr>
                    <w:tc>
                      <w:tcPr>
                        <w:tcW w:w="5156" w:type="dxa"/>
                      </w:tcPr>
                      <w:p>
                        <w:pPr>
                          <w:pStyle w:val="TableParagraph"/>
                          <w:rPr>
                            <w:sz w:val="22"/>
                          </w:rPr>
                        </w:pPr>
                        <w:r>
                          <w:rPr>
                            <w:rFonts w:ascii="Cambria"/>
                            <w:sz w:val="22"/>
                          </w:rPr>
                          <w:t>center </w:t>
                        </w:r>
                        <w:r>
                          <w:rPr>
                            <w:sz w:val="22"/>
                          </w:rPr>
                          <w:t>(Center Alignment)</w:t>
                        </w:r>
                      </w:p>
                    </w:tc>
                    <w:tc>
                      <w:tcPr>
                        <w:tcW w:w="5156" w:type="dxa"/>
                      </w:tcPr>
                      <w:p>
                        <w:pPr>
                          <w:pStyle w:val="TableParagraph"/>
                          <w:rPr>
                            <w:sz w:val="22"/>
                          </w:rPr>
                        </w:pPr>
                        <w:r>
                          <w:rPr>
                            <w:sz w:val="22"/>
                          </w:rPr>
                          <w:t>Specifies that the text is centered vertically.</w:t>
                        </w:r>
                      </w:p>
                    </w:tc>
                  </w:tr>
                  <w:tr>
                    <w:trPr>
                      <w:trHeight w:val="354" w:hRule="atLeast"/>
                    </w:trPr>
                    <w:tc>
                      <w:tcPr>
                        <w:tcW w:w="5156" w:type="dxa"/>
                      </w:tcPr>
                      <w:p>
                        <w:pPr>
                          <w:pStyle w:val="TableParagraph"/>
                          <w:rPr>
                            <w:sz w:val="22"/>
                          </w:rPr>
                        </w:pPr>
                        <w:r>
                          <w:rPr>
                            <w:rFonts w:ascii="Cambria"/>
                            <w:sz w:val="22"/>
                          </w:rPr>
                          <w:t>distributed </w:t>
                        </w:r>
                        <w:r>
                          <w:rPr>
                            <w:sz w:val="22"/>
                          </w:rPr>
                          <w:t>(Distributed Alignment)</w:t>
                        </w:r>
                      </w:p>
                    </w:tc>
                    <w:tc>
                      <w:tcPr>
                        <w:tcW w:w="5156" w:type="dxa"/>
                      </w:tcPr>
                      <w:p>
                        <w:pPr>
                          <w:pStyle w:val="TableParagraph"/>
                          <w:rPr>
                            <w:sz w:val="22"/>
                          </w:rPr>
                        </w:pPr>
                        <w:r>
                          <w:rPr>
                            <w:sz w:val="22"/>
                          </w:rPr>
                          <w:t>Specifies that the text is distributed vertically.</w:t>
                        </w:r>
                      </w:p>
                    </w:tc>
                  </w:tr>
                  <w:tr>
                    <w:trPr>
                      <w:trHeight w:val="354" w:hRule="atLeast"/>
                    </w:trPr>
                    <w:tc>
                      <w:tcPr>
                        <w:tcW w:w="5156" w:type="dxa"/>
                      </w:tcPr>
                      <w:p>
                        <w:pPr>
                          <w:pStyle w:val="TableParagraph"/>
                          <w:rPr>
                            <w:sz w:val="22"/>
                          </w:rPr>
                        </w:pPr>
                        <w:r>
                          <w:rPr>
                            <w:rFonts w:ascii="Cambria"/>
                            <w:sz w:val="22"/>
                          </w:rPr>
                          <w:t>justify </w:t>
                        </w:r>
                        <w:r>
                          <w:rPr>
                            <w:sz w:val="22"/>
                          </w:rPr>
                          <w:t>(Justify Alignment)</w:t>
                        </w:r>
                      </w:p>
                    </w:tc>
                    <w:tc>
                      <w:tcPr>
                        <w:tcW w:w="5156" w:type="dxa"/>
                      </w:tcPr>
                      <w:p>
                        <w:pPr>
                          <w:pStyle w:val="TableParagraph"/>
                          <w:rPr>
                            <w:sz w:val="22"/>
                          </w:rPr>
                        </w:pPr>
                        <w:r>
                          <w:rPr>
                            <w:sz w:val="22"/>
                          </w:rPr>
                          <w:t>Specifies that the text is justified vertically.</w:t>
                        </w:r>
                      </w:p>
                    </w:tc>
                  </w:tr>
                  <w:tr>
                    <w:trPr>
                      <w:trHeight w:val="354" w:hRule="atLeast"/>
                    </w:trPr>
                    <w:tc>
                      <w:tcPr>
                        <w:tcW w:w="5156" w:type="dxa"/>
                      </w:tcPr>
                      <w:p>
                        <w:pPr>
                          <w:pStyle w:val="TableParagraph"/>
                          <w:rPr>
                            <w:sz w:val="22"/>
                          </w:rPr>
                        </w:pPr>
                        <w:r>
                          <w:rPr>
                            <w:rFonts w:ascii="Cambria"/>
                            <w:sz w:val="22"/>
                          </w:rPr>
                          <w:t>top </w:t>
                        </w:r>
                        <w:r>
                          <w:rPr>
                            <w:sz w:val="22"/>
                          </w:rPr>
                          <w:t>(Top Alignment)</w:t>
                        </w:r>
                      </w:p>
                    </w:tc>
                    <w:tc>
                      <w:tcPr>
                        <w:tcW w:w="5156" w:type="dxa"/>
                      </w:tcPr>
                      <w:p>
                        <w:pPr>
                          <w:pStyle w:val="TableParagraph"/>
                          <w:rPr>
                            <w:sz w:val="22"/>
                          </w:rPr>
                        </w:pPr>
                        <w:r>
                          <w:rPr>
                            <w:sz w:val="22"/>
                          </w:rPr>
                          <w:t>Specifies that the text is top-aligned.</w:t>
                        </w:r>
                      </w:p>
                    </w:tc>
                  </w:tr>
                </w:tbl>
                <w:p>
                  <w:pPr>
                    <w:pStyle w:val="BodyText"/>
                  </w:pPr>
                </w:p>
              </w:txbxContent>
            </v:textbox>
            <w10:wrap type="none"/>
          </v:shape>
        </w:pict>
      </w:r>
      <w:r>
        <w:rPr/>
        <w:t>This simple type specifies the vertical alignment of the text within a comment text field. This simple type's contents are a restriction of the W3C XML Schema </w:t>
      </w:r>
      <w:r>
        <w:rPr>
          <w:rFonts w:ascii="Cambria"/>
        </w:rPr>
        <w:t>string </w:t>
      </w:r>
      <w:r>
        <w:rPr/>
        <w:t>datatype. This simple type is restricted to the values listed in the following table:</w:t>
      </w:r>
    </w:p>
    <w:p>
      <w:pPr>
        <w:spacing w:after="0" w:line="472" w:lineRule="auto"/>
        <w:sectPr>
          <w:pgSz w:w="12240" w:h="15840"/>
          <w:pgMar w:header="761" w:footer="746" w:top="1340" w:bottom="940" w:left="860" w:right="700"/>
        </w:sectPr>
      </w:pPr>
    </w:p>
    <w:p>
      <w:pPr>
        <w:pStyle w:val="BodyText"/>
        <w:spacing w:before="148"/>
        <w:ind w:left="220"/>
      </w:pPr>
      <w:r>
        <w:rPr/>
        <w:t>[</w:t>
      </w:r>
      <w:r>
        <w:rPr>
          <w:i/>
        </w:rPr>
        <w:t>Note</w:t>
      </w:r>
      <w:r>
        <w:rPr/>
        <w:t>: The W3C XML Schema definition of this simple type’s content model (</w:t>
      </w:r>
      <w:r>
        <w:rPr>
          <w:color w:val="5F5F5F"/>
          <w:u w:val="single" w:color="5F5F5F"/>
        </w:rPr>
        <w:t>ST_TextVAlign</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82 ST_TimePeriod (Time Period Type" w:id="2711"/>
      <w:bookmarkEnd w:id="2711"/>
      <w:r>
        <w:rPr>
          <w:b w:val="0"/>
        </w:rPr>
      </w:r>
      <w:bookmarkStart w:name="_bookmark904" w:id="2712"/>
      <w:bookmarkEnd w:id="2712"/>
      <w:r>
        <w:rPr>
          <w:b w:val="0"/>
        </w:rPr>
      </w:r>
      <w:bookmarkStart w:name="_bookmark904" w:id="2713"/>
      <w:bookmarkEnd w:id="2713"/>
      <w:r>
        <w:rPr>
          <w:color w:val="4F81BC"/>
        </w:rPr>
        <w:t>S</w:t>
      </w:r>
      <w:r>
        <w:rPr>
          <w:color w:val="4F81BC"/>
        </w:rPr>
        <w:t>T_TimePeriod (Time Period</w:t>
      </w:r>
      <w:r>
        <w:rPr>
          <w:color w:val="4F81BC"/>
          <w:spacing w:val="-4"/>
        </w:rPr>
        <w:t> </w:t>
      </w:r>
      <w:r>
        <w:rPr>
          <w:color w:val="4F81BC"/>
        </w:rPr>
        <w:t>Types)</w:t>
      </w:r>
    </w:p>
    <w:p>
      <w:pPr>
        <w:pStyle w:val="BodyText"/>
        <w:spacing w:line="278" w:lineRule="auto" w:before="121"/>
        <w:ind w:left="220" w:right="482"/>
      </w:pPr>
      <w:r>
        <w:rPr/>
        <w:t>Used in a "contains dates" conditional formatting rule. These are dynamic time periods, which change based on the date the conditional formatting is refreshed / applied.</w:t>
      </w:r>
    </w:p>
    <w:p>
      <w:pPr>
        <w:pStyle w:val="BodyText"/>
        <w:spacing w:before="3"/>
        <w:rPr>
          <w:sz w:val="16"/>
        </w:rPr>
      </w:pPr>
    </w:p>
    <w:p>
      <w:pPr>
        <w:pStyle w:val="BodyText"/>
        <w:spacing w:line="489" w:lineRule="auto"/>
        <w:ind w:left="220" w:right="2804"/>
      </w:pPr>
      <w:r>
        <w:rPr/>
        <w:pict>
          <v:shape style="position:absolute;margin-left:48pt;margin-top:42.87365pt;width:516.35pt;height:201.05pt;mso-position-horizontal-relative:page;mso-position-vertical-relative:paragraph;z-index:2519736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last7Days </w:t>
                        </w:r>
                        <w:r>
                          <w:rPr>
                            <w:sz w:val="22"/>
                          </w:rPr>
                          <w:t>(Last 7 Days)</w:t>
                        </w:r>
                      </w:p>
                    </w:tc>
                    <w:tc>
                      <w:tcPr>
                        <w:tcW w:w="5156" w:type="dxa"/>
                      </w:tcPr>
                      <w:p>
                        <w:pPr>
                          <w:pStyle w:val="TableParagraph"/>
                          <w:rPr>
                            <w:sz w:val="22"/>
                          </w:rPr>
                        </w:pPr>
                        <w:r>
                          <w:rPr>
                            <w:sz w:val="22"/>
                          </w:rPr>
                          <w:t>A date in the last seven days.</w:t>
                        </w:r>
                      </w:p>
                    </w:tc>
                  </w:tr>
                  <w:tr>
                    <w:trPr>
                      <w:trHeight w:val="355" w:hRule="atLeast"/>
                    </w:trPr>
                    <w:tc>
                      <w:tcPr>
                        <w:tcW w:w="5156" w:type="dxa"/>
                      </w:tcPr>
                      <w:p>
                        <w:pPr>
                          <w:pStyle w:val="TableParagraph"/>
                          <w:rPr>
                            <w:sz w:val="22"/>
                          </w:rPr>
                        </w:pPr>
                        <w:r>
                          <w:rPr>
                            <w:rFonts w:ascii="Cambria"/>
                            <w:sz w:val="22"/>
                          </w:rPr>
                          <w:t>lastMonth </w:t>
                        </w:r>
                        <w:r>
                          <w:rPr>
                            <w:sz w:val="22"/>
                          </w:rPr>
                          <w:t>(Last Month)</w:t>
                        </w:r>
                      </w:p>
                    </w:tc>
                    <w:tc>
                      <w:tcPr>
                        <w:tcW w:w="5156" w:type="dxa"/>
                      </w:tcPr>
                      <w:p>
                        <w:pPr>
                          <w:pStyle w:val="TableParagraph"/>
                          <w:rPr>
                            <w:sz w:val="22"/>
                          </w:rPr>
                        </w:pPr>
                        <w:r>
                          <w:rPr>
                            <w:sz w:val="22"/>
                          </w:rPr>
                          <w:t>A date occuring in the last calendar month.</w:t>
                        </w:r>
                      </w:p>
                    </w:tc>
                  </w:tr>
                  <w:tr>
                    <w:trPr>
                      <w:trHeight w:val="354" w:hRule="atLeast"/>
                    </w:trPr>
                    <w:tc>
                      <w:tcPr>
                        <w:tcW w:w="5156" w:type="dxa"/>
                      </w:tcPr>
                      <w:p>
                        <w:pPr>
                          <w:pStyle w:val="TableParagraph"/>
                          <w:rPr>
                            <w:sz w:val="22"/>
                          </w:rPr>
                        </w:pPr>
                        <w:r>
                          <w:rPr>
                            <w:rFonts w:ascii="Cambria"/>
                            <w:sz w:val="22"/>
                          </w:rPr>
                          <w:t>lastWeek </w:t>
                        </w:r>
                        <w:r>
                          <w:rPr>
                            <w:sz w:val="22"/>
                          </w:rPr>
                          <w:t>(Last Week)</w:t>
                        </w:r>
                      </w:p>
                    </w:tc>
                    <w:tc>
                      <w:tcPr>
                        <w:tcW w:w="5156" w:type="dxa"/>
                      </w:tcPr>
                      <w:p>
                        <w:pPr>
                          <w:pStyle w:val="TableParagraph"/>
                          <w:rPr>
                            <w:sz w:val="22"/>
                          </w:rPr>
                        </w:pPr>
                        <w:r>
                          <w:rPr>
                            <w:sz w:val="22"/>
                          </w:rPr>
                          <w:t>A date occuring last week.</w:t>
                        </w:r>
                      </w:p>
                    </w:tc>
                  </w:tr>
                  <w:tr>
                    <w:trPr>
                      <w:trHeight w:val="354" w:hRule="atLeast"/>
                    </w:trPr>
                    <w:tc>
                      <w:tcPr>
                        <w:tcW w:w="5156" w:type="dxa"/>
                      </w:tcPr>
                      <w:p>
                        <w:pPr>
                          <w:pStyle w:val="TableParagraph"/>
                          <w:rPr>
                            <w:sz w:val="22"/>
                          </w:rPr>
                        </w:pPr>
                        <w:r>
                          <w:rPr>
                            <w:rFonts w:ascii="Cambria"/>
                            <w:sz w:val="22"/>
                          </w:rPr>
                          <w:t>nextMonth </w:t>
                        </w:r>
                        <w:r>
                          <w:rPr>
                            <w:sz w:val="22"/>
                          </w:rPr>
                          <w:t>(Next Month)</w:t>
                        </w:r>
                      </w:p>
                    </w:tc>
                    <w:tc>
                      <w:tcPr>
                        <w:tcW w:w="5156" w:type="dxa"/>
                      </w:tcPr>
                      <w:p>
                        <w:pPr>
                          <w:pStyle w:val="TableParagraph"/>
                          <w:rPr>
                            <w:sz w:val="22"/>
                          </w:rPr>
                        </w:pPr>
                        <w:r>
                          <w:rPr>
                            <w:sz w:val="22"/>
                          </w:rPr>
                          <w:t>A date occuring in the next calendar month.</w:t>
                        </w:r>
                      </w:p>
                    </w:tc>
                  </w:tr>
                  <w:tr>
                    <w:trPr>
                      <w:trHeight w:val="352" w:hRule="atLeast"/>
                    </w:trPr>
                    <w:tc>
                      <w:tcPr>
                        <w:tcW w:w="5156" w:type="dxa"/>
                      </w:tcPr>
                      <w:p>
                        <w:pPr>
                          <w:pStyle w:val="TableParagraph"/>
                          <w:rPr>
                            <w:sz w:val="22"/>
                          </w:rPr>
                        </w:pPr>
                        <w:r>
                          <w:rPr>
                            <w:rFonts w:ascii="Cambria"/>
                            <w:sz w:val="22"/>
                          </w:rPr>
                          <w:t>nextWeek </w:t>
                        </w:r>
                        <w:r>
                          <w:rPr>
                            <w:sz w:val="22"/>
                          </w:rPr>
                          <w:t>(Next Week)</w:t>
                        </w:r>
                      </w:p>
                    </w:tc>
                    <w:tc>
                      <w:tcPr>
                        <w:tcW w:w="5156" w:type="dxa"/>
                      </w:tcPr>
                      <w:p>
                        <w:pPr>
                          <w:pStyle w:val="TableParagraph"/>
                          <w:rPr>
                            <w:sz w:val="22"/>
                          </w:rPr>
                        </w:pPr>
                        <w:r>
                          <w:rPr>
                            <w:sz w:val="22"/>
                          </w:rPr>
                          <w:t>A date occuring next week.</w:t>
                        </w:r>
                      </w:p>
                    </w:tc>
                  </w:tr>
                  <w:tr>
                    <w:trPr>
                      <w:trHeight w:val="354" w:hRule="atLeast"/>
                    </w:trPr>
                    <w:tc>
                      <w:tcPr>
                        <w:tcW w:w="5156" w:type="dxa"/>
                      </w:tcPr>
                      <w:p>
                        <w:pPr>
                          <w:pStyle w:val="TableParagraph"/>
                          <w:spacing w:before="42"/>
                          <w:rPr>
                            <w:sz w:val="22"/>
                          </w:rPr>
                        </w:pPr>
                        <w:r>
                          <w:rPr>
                            <w:rFonts w:ascii="Cambria"/>
                            <w:sz w:val="22"/>
                          </w:rPr>
                          <w:t>thisMonth </w:t>
                        </w:r>
                        <w:r>
                          <w:rPr>
                            <w:sz w:val="22"/>
                          </w:rPr>
                          <w:t>(This Month)</w:t>
                        </w:r>
                      </w:p>
                    </w:tc>
                    <w:tc>
                      <w:tcPr>
                        <w:tcW w:w="5156" w:type="dxa"/>
                      </w:tcPr>
                      <w:p>
                        <w:pPr>
                          <w:pStyle w:val="TableParagraph"/>
                          <w:spacing w:before="42"/>
                          <w:rPr>
                            <w:sz w:val="22"/>
                          </w:rPr>
                        </w:pPr>
                        <w:r>
                          <w:rPr>
                            <w:sz w:val="22"/>
                          </w:rPr>
                          <w:t>A date occuring in this calendar month.</w:t>
                        </w:r>
                      </w:p>
                    </w:tc>
                  </w:tr>
                  <w:tr>
                    <w:trPr>
                      <w:trHeight w:val="354" w:hRule="atLeast"/>
                    </w:trPr>
                    <w:tc>
                      <w:tcPr>
                        <w:tcW w:w="5156" w:type="dxa"/>
                      </w:tcPr>
                      <w:p>
                        <w:pPr>
                          <w:pStyle w:val="TableParagraph"/>
                          <w:rPr>
                            <w:sz w:val="22"/>
                          </w:rPr>
                        </w:pPr>
                        <w:r>
                          <w:rPr>
                            <w:rFonts w:ascii="Cambria"/>
                            <w:sz w:val="22"/>
                          </w:rPr>
                          <w:t>thisWeek </w:t>
                        </w:r>
                        <w:r>
                          <w:rPr>
                            <w:sz w:val="22"/>
                          </w:rPr>
                          <w:t>(This Week)</w:t>
                        </w:r>
                      </w:p>
                    </w:tc>
                    <w:tc>
                      <w:tcPr>
                        <w:tcW w:w="5156" w:type="dxa"/>
                      </w:tcPr>
                      <w:p>
                        <w:pPr>
                          <w:pStyle w:val="TableParagraph"/>
                          <w:rPr>
                            <w:sz w:val="22"/>
                          </w:rPr>
                        </w:pPr>
                        <w:r>
                          <w:rPr>
                            <w:sz w:val="22"/>
                          </w:rPr>
                          <w:t>A date occuring this week.</w:t>
                        </w:r>
                      </w:p>
                    </w:tc>
                  </w:tr>
                  <w:tr>
                    <w:trPr>
                      <w:trHeight w:val="354" w:hRule="atLeast"/>
                    </w:trPr>
                    <w:tc>
                      <w:tcPr>
                        <w:tcW w:w="5156" w:type="dxa"/>
                      </w:tcPr>
                      <w:p>
                        <w:pPr>
                          <w:pStyle w:val="TableParagraph"/>
                          <w:rPr>
                            <w:sz w:val="22"/>
                          </w:rPr>
                        </w:pPr>
                        <w:r>
                          <w:rPr>
                            <w:rFonts w:ascii="Cambria"/>
                            <w:sz w:val="22"/>
                          </w:rPr>
                          <w:t>today </w:t>
                        </w:r>
                        <w:r>
                          <w:rPr>
                            <w:sz w:val="22"/>
                          </w:rPr>
                          <w:t>(Today)</w:t>
                        </w:r>
                      </w:p>
                    </w:tc>
                    <w:tc>
                      <w:tcPr>
                        <w:tcW w:w="5156" w:type="dxa"/>
                      </w:tcPr>
                      <w:p>
                        <w:pPr>
                          <w:pStyle w:val="TableParagraph"/>
                          <w:rPr>
                            <w:sz w:val="22"/>
                          </w:rPr>
                        </w:pPr>
                        <w:r>
                          <w:rPr>
                            <w:sz w:val="22"/>
                          </w:rPr>
                          <w:t>Today's date.</w:t>
                        </w:r>
                      </w:p>
                    </w:tc>
                  </w:tr>
                  <w:tr>
                    <w:trPr>
                      <w:trHeight w:val="354" w:hRule="atLeast"/>
                    </w:trPr>
                    <w:tc>
                      <w:tcPr>
                        <w:tcW w:w="5156" w:type="dxa"/>
                      </w:tcPr>
                      <w:p>
                        <w:pPr>
                          <w:pStyle w:val="TableParagraph"/>
                          <w:rPr>
                            <w:sz w:val="22"/>
                          </w:rPr>
                        </w:pPr>
                        <w:r>
                          <w:rPr>
                            <w:rFonts w:ascii="Cambria"/>
                            <w:sz w:val="22"/>
                          </w:rPr>
                          <w:t>tomorrow </w:t>
                        </w:r>
                        <w:r>
                          <w:rPr>
                            <w:sz w:val="22"/>
                          </w:rPr>
                          <w:t>(Tomorrow)</w:t>
                        </w:r>
                      </w:p>
                    </w:tc>
                    <w:tc>
                      <w:tcPr>
                        <w:tcW w:w="5156" w:type="dxa"/>
                      </w:tcPr>
                      <w:p>
                        <w:pPr>
                          <w:pStyle w:val="TableParagraph"/>
                          <w:rPr>
                            <w:sz w:val="22"/>
                          </w:rPr>
                        </w:pPr>
                        <w:r>
                          <w:rPr>
                            <w:sz w:val="22"/>
                          </w:rPr>
                          <w:t>Tomorrow's date.</w:t>
                        </w:r>
                      </w:p>
                    </w:tc>
                  </w:tr>
                  <w:tr>
                    <w:trPr>
                      <w:trHeight w:val="354" w:hRule="atLeast"/>
                    </w:trPr>
                    <w:tc>
                      <w:tcPr>
                        <w:tcW w:w="5156" w:type="dxa"/>
                      </w:tcPr>
                      <w:p>
                        <w:pPr>
                          <w:pStyle w:val="TableParagraph"/>
                          <w:rPr>
                            <w:sz w:val="22"/>
                          </w:rPr>
                        </w:pPr>
                        <w:r>
                          <w:rPr>
                            <w:rFonts w:ascii="Cambria"/>
                            <w:sz w:val="22"/>
                          </w:rPr>
                          <w:t>yesterday </w:t>
                        </w:r>
                        <w:r>
                          <w:rPr>
                            <w:sz w:val="22"/>
                          </w:rPr>
                          <w:t>(Yesterday)</w:t>
                        </w:r>
                      </w:p>
                    </w:tc>
                    <w:tc>
                      <w:tcPr>
                        <w:tcW w:w="5156" w:type="dxa"/>
                      </w:tcPr>
                      <w:p>
                        <w:pPr>
                          <w:pStyle w:val="TableParagraph"/>
                          <w:rPr>
                            <w:sz w:val="22"/>
                          </w:rPr>
                        </w:pPr>
                        <w:r>
                          <w:rPr>
                            <w:sz w:val="22"/>
                          </w:rPr>
                          <w:t>Yesterday's date.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1"/>
        </w:rPr>
      </w:pPr>
    </w:p>
    <w:p>
      <w:pPr>
        <w:pStyle w:val="BodyText"/>
        <w:spacing w:before="1"/>
        <w:ind w:left="220"/>
      </w:pPr>
      <w:r>
        <w:rPr/>
        <w:t>[</w:t>
      </w:r>
      <w:r>
        <w:rPr>
          <w:i/>
        </w:rPr>
        <w:t>Note</w:t>
      </w:r>
      <w:r>
        <w:rPr/>
        <w:t>: The W3C XML Schema definition of this simple type’s content model (</w:t>
      </w:r>
      <w:r>
        <w:rPr>
          <w:color w:val="5F5F5F"/>
          <w:u w:val="single" w:color="5F5F5F"/>
        </w:rPr>
        <w:t>ST_TimePeriod</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83 ST_TotalsRowFunction (Totals Ro" w:id="2714"/>
      <w:bookmarkEnd w:id="2714"/>
      <w:r>
        <w:rPr>
          <w:b w:val="0"/>
        </w:rPr>
      </w:r>
      <w:bookmarkStart w:name="_bookmark905" w:id="2715"/>
      <w:bookmarkEnd w:id="2715"/>
      <w:r>
        <w:rPr>
          <w:b w:val="0"/>
        </w:rPr>
      </w:r>
      <w:bookmarkStart w:name="_bookmark905" w:id="2716"/>
      <w:bookmarkEnd w:id="2716"/>
      <w:r>
        <w:rPr>
          <w:color w:val="4F81BC"/>
        </w:rPr>
        <w:t>S</w:t>
      </w:r>
      <w:r>
        <w:rPr>
          <w:color w:val="4F81BC"/>
        </w:rPr>
        <w:t>T_TotalsRowFunction (Totals Row Function</w:t>
      </w:r>
      <w:r>
        <w:rPr>
          <w:color w:val="4F81BC"/>
          <w:spacing w:val="-1"/>
        </w:rPr>
        <w:t> </w:t>
      </w:r>
      <w:r>
        <w:rPr>
          <w:color w:val="4F81BC"/>
        </w:rPr>
        <w:t>Types)</w:t>
      </w:r>
    </w:p>
    <w:p>
      <w:pPr>
        <w:pStyle w:val="BodyText"/>
        <w:spacing w:line="278" w:lineRule="auto" w:before="122"/>
        <w:ind w:left="220" w:right="603"/>
      </w:pPr>
      <w:r>
        <w:rPr/>
        <w:t>An enumeration that specifies what function is used to aggregate the data in a column before it is displayed in the totals row.</w:t>
      </w:r>
    </w:p>
    <w:p>
      <w:pPr>
        <w:pStyle w:val="BodyText"/>
        <w:spacing w:line="489" w:lineRule="auto" w:before="198"/>
        <w:ind w:left="220" w:right="2804"/>
      </w:pPr>
      <w:r>
        <w:rPr/>
        <w:pict>
          <v:shape style="position:absolute;margin-left:48pt;margin-top:52.773594pt;width:516.35pt;height:121.6pt;mso-position-horizontal-relative:page;mso-position-vertical-relative:paragraph;z-index:2519746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average </w:t>
                        </w:r>
                        <w:r>
                          <w:rPr>
                            <w:sz w:val="22"/>
                          </w:rPr>
                          <w:t>(Average)</w:t>
                        </w:r>
                      </w:p>
                    </w:tc>
                    <w:tc>
                      <w:tcPr>
                        <w:tcW w:w="5156" w:type="dxa"/>
                      </w:tcPr>
                      <w:p>
                        <w:pPr>
                          <w:pStyle w:val="TableParagraph"/>
                          <w:rPr>
                            <w:sz w:val="22"/>
                          </w:rPr>
                        </w:pPr>
                        <w:r>
                          <w:rPr>
                            <w:sz w:val="22"/>
                          </w:rPr>
                          <w:t>Represents the arithmetic mean.</w:t>
                        </w:r>
                      </w:p>
                    </w:tc>
                  </w:tr>
                  <w:tr>
                    <w:trPr>
                      <w:trHeight w:val="354" w:hRule="atLeast"/>
                    </w:trPr>
                    <w:tc>
                      <w:tcPr>
                        <w:tcW w:w="5156" w:type="dxa"/>
                      </w:tcPr>
                      <w:p>
                        <w:pPr>
                          <w:pStyle w:val="TableParagraph"/>
                          <w:rPr>
                            <w:sz w:val="22"/>
                          </w:rPr>
                        </w:pPr>
                        <w:r>
                          <w:rPr>
                            <w:rFonts w:ascii="Cambria"/>
                            <w:sz w:val="22"/>
                          </w:rPr>
                          <w:t>count </w:t>
                        </w:r>
                        <w:r>
                          <w:rPr>
                            <w:sz w:val="22"/>
                          </w:rPr>
                          <w:t>(Non Empty Cell Count)</w:t>
                        </w:r>
                      </w:p>
                    </w:tc>
                    <w:tc>
                      <w:tcPr>
                        <w:tcW w:w="5156" w:type="dxa"/>
                      </w:tcPr>
                      <w:p>
                        <w:pPr>
                          <w:pStyle w:val="TableParagraph"/>
                          <w:rPr>
                            <w:sz w:val="22"/>
                          </w:rPr>
                        </w:pPr>
                        <w:r>
                          <w:rPr>
                            <w:sz w:val="22"/>
                          </w:rPr>
                          <w:t>Represents a count of the number of non-empty cells.</w:t>
                        </w:r>
                      </w:p>
                    </w:tc>
                  </w:tr>
                  <w:tr>
                    <w:trPr>
                      <w:trHeight w:val="354" w:hRule="atLeast"/>
                    </w:trPr>
                    <w:tc>
                      <w:tcPr>
                        <w:tcW w:w="5156" w:type="dxa"/>
                      </w:tcPr>
                      <w:p>
                        <w:pPr>
                          <w:pStyle w:val="TableParagraph"/>
                          <w:rPr>
                            <w:sz w:val="22"/>
                          </w:rPr>
                        </w:pPr>
                        <w:r>
                          <w:rPr>
                            <w:rFonts w:ascii="Cambria"/>
                            <w:sz w:val="22"/>
                          </w:rPr>
                          <w:t>countNums </w:t>
                        </w:r>
                        <w:r>
                          <w:rPr>
                            <w:sz w:val="22"/>
                          </w:rPr>
                          <w:t>(Count Numbers)</w:t>
                        </w:r>
                      </w:p>
                    </w:tc>
                    <w:tc>
                      <w:tcPr>
                        <w:tcW w:w="5156" w:type="dxa"/>
                      </w:tcPr>
                      <w:p>
                        <w:pPr>
                          <w:pStyle w:val="TableParagraph"/>
                          <w:rPr>
                            <w:sz w:val="22"/>
                          </w:rPr>
                        </w:pPr>
                        <w:r>
                          <w:rPr>
                            <w:sz w:val="22"/>
                          </w:rPr>
                          <w:t>Represents the number of cells that contain numbers.</w:t>
                        </w:r>
                      </w:p>
                    </w:tc>
                  </w:tr>
                  <w:tr>
                    <w:trPr>
                      <w:trHeight w:val="587" w:hRule="atLeast"/>
                    </w:trPr>
                    <w:tc>
                      <w:tcPr>
                        <w:tcW w:w="5156" w:type="dxa"/>
                      </w:tcPr>
                      <w:p>
                        <w:pPr>
                          <w:pStyle w:val="TableParagraph"/>
                          <w:rPr>
                            <w:sz w:val="22"/>
                          </w:rPr>
                        </w:pPr>
                        <w:r>
                          <w:rPr>
                            <w:rFonts w:ascii="Cambria"/>
                            <w:sz w:val="22"/>
                          </w:rPr>
                          <w:t>custom </w:t>
                        </w:r>
                        <w:r>
                          <w:rPr>
                            <w:sz w:val="22"/>
                          </w:rPr>
                          <w:t>(Custom Formula)</w:t>
                        </w:r>
                      </w:p>
                    </w:tc>
                    <w:tc>
                      <w:tcPr>
                        <w:tcW w:w="5156" w:type="dxa"/>
                      </w:tcPr>
                      <w:p>
                        <w:pPr>
                          <w:pStyle w:val="TableParagraph"/>
                          <w:rPr>
                            <w:sz w:val="22"/>
                          </w:rPr>
                        </w:pPr>
                        <w:r>
                          <w:rPr>
                            <w:sz w:val="22"/>
                          </w:rPr>
                          <w:t>Represents the formula provided in</w:t>
                        </w:r>
                      </w:p>
                      <w:p>
                        <w:pPr>
                          <w:pStyle w:val="TableParagraph"/>
                          <w:spacing w:before="1"/>
                          <w:rPr>
                            <w:rFonts w:ascii="Consolas"/>
                            <w:sz w:val="20"/>
                          </w:rPr>
                        </w:pPr>
                        <w:r>
                          <w:rPr>
                            <w:rFonts w:ascii="Consolas"/>
                            <w:sz w:val="20"/>
                          </w:rPr>
                          <w:t>totalsRowFormula.</w:t>
                        </w:r>
                      </w:p>
                    </w:tc>
                  </w:tr>
                  <w:tr>
                    <w:trPr>
                      <w:trHeight w:val="354" w:hRule="atLeast"/>
                    </w:trPr>
                    <w:tc>
                      <w:tcPr>
                        <w:tcW w:w="5156" w:type="dxa"/>
                      </w:tcPr>
                      <w:p>
                        <w:pPr>
                          <w:pStyle w:val="TableParagraph"/>
                          <w:rPr>
                            <w:sz w:val="22"/>
                          </w:rPr>
                        </w:pPr>
                        <w:r>
                          <w:rPr>
                            <w:rFonts w:ascii="Cambria"/>
                            <w:sz w:val="22"/>
                          </w:rPr>
                          <w:t>max </w:t>
                        </w:r>
                        <w:r>
                          <w:rPr>
                            <w:sz w:val="22"/>
                          </w:rPr>
                          <w:t>(Maximum)</w:t>
                        </w:r>
                      </w:p>
                    </w:tc>
                    <w:tc>
                      <w:tcPr>
                        <w:tcW w:w="5156" w:type="dxa"/>
                      </w:tcPr>
                      <w:p>
                        <w:pPr>
                          <w:pStyle w:val="TableParagraph"/>
                          <w:rPr>
                            <w:sz w:val="22"/>
                          </w:rPr>
                        </w:pPr>
                        <w:r>
                          <w:rPr>
                            <w:sz w:val="22"/>
                          </w:rPr>
                          <w:t>Represents the largest value.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min </w:t>
            </w:r>
            <w:r>
              <w:rPr>
                <w:sz w:val="22"/>
              </w:rPr>
              <w:t>(Minimum)</w:t>
            </w:r>
          </w:p>
        </w:tc>
        <w:tc>
          <w:tcPr>
            <w:tcW w:w="5156" w:type="dxa"/>
          </w:tcPr>
          <w:p>
            <w:pPr>
              <w:pStyle w:val="TableParagraph"/>
              <w:rPr>
                <w:sz w:val="22"/>
              </w:rPr>
            </w:pPr>
            <w:r>
              <w:rPr>
                <w:sz w:val="22"/>
              </w:rPr>
              <w:t>Represents the smallest value.</w:t>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No total row.</w:t>
            </w:r>
          </w:p>
        </w:tc>
      </w:tr>
      <w:tr>
        <w:trPr>
          <w:trHeight w:val="354" w:hRule="atLeast"/>
        </w:trPr>
        <w:tc>
          <w:tcPr>
            <w:tcW w:w="5156" w:type="dxa"/>
          </w:tcPr>
          <w:p>
            <w:pPr>
              <w:pStyle w:val="TableParagraph"/>
              <w:rPr>
                <w:sz w:val="22"/>
              </w:rPr>
            </w:pPr>
            <w:r>
              <w:rPr>
                <w:rFonts w:ascii="Cambria"/>
                <w:sz w:val="22"/>
              </w:rPr>
              <w:t>stdDev </w:t>
            </w:r>
            <w:r>
              <w:rPr>
                <w:sz w:val="22"/>
              </w:rPr>
              <w:t>(StdDev)</w:t>
            </w:r>
          </w:p>
        </w:tc>
        <w:tc>
          <w:tcPr>
            <w:tcW w:w="5156" w:type="dxa"/>
          </w:tcPr>
          <w:p>
            <w:pPr>
              <w:pStyle w:val="TableParagraph"/>
              <w:rPr>
                <w:sz w:val="22"/>
              </w:rPr>
            </w:pPr>
            <w:r>
              <w:rPr>
                <w:sz w:val="22"/>
              </w:rPr>
              <w:t>Represents the estimated standard deviation.</w:t>
            </w:r>
          </w:p>
        </w:tc>
      </w:tr>
      <w:tr>
        <w:trPr>
          <w:trHeight w:val="352" w:hRule="atLeast"/>
        </w:trPr>
        <w:tc>
          <w:tcPr>
            <w:tcW w:w="5156" w:type="dxa"/>
          </w:tcPr>
          <w:p>
            <w:pPr>
              <w:pStyle w:val="TableParagraph"/>
              <w:rPr>
                <w:sz w:val="22"/>
              </w:rPr>
            </w:pPr>
            <w:r>
              <w:rPr>
                <w:rFonts w:ascii="Cambria"/>
                <w:sz w:val="22"/>
              </w:rPr>
              <w:t>sum </w:t>
            </w:r>
            <w:r>
              <w:rPr>
                <w:sz w:val="22"/>
              </w:rPr>
              <w:t>(Sum)</w:t>
            </w:r>
          </w:p>
        </w:tc>
        <w:tc>
          <w:tcPr>
            <w:tcW w:w="5156" w:type="dxa"/>
          </w:tcPr>
          <w:p>
            <w:pPr>
              <w:pStyle w:val="TableParagraph"/>
              <w:rPr>
                <w:sz w:val="22"/>
              </w:rPr>
            </w:pPr>
            <w:r>
              <w:rPr>
                <w:sz w:val="22"/>
              </w:rPr>
              <w:t>Represents the arithmetic sum.</w:t>
            </w:r>
          </w:p>
        </w:tc>
      </w:tr>
      <w:tr>
        <w:trPr>
          <w:trHeight w:val="357" w:hRule="atLeast"/>
        </w:trPr>
        <w:tc>
          <w:tcPr>
            <w:tcW w:w="5156" w:type="dxa"/>
          </w:tcPr>
          <w:p>
            <w:pPr>
              <w:pStyle w:val="TableParagraph"/>
              <w:spacing w:before="42"/>
              <w:rPr>
                <w:sz w:val="22"/>
              </w:rPr>
            </w:pPr>
            <w:r>
              <w:rPr>
                <w:rFonts w:ascii="Cambria"/>
                <w:sz w:val="22"/>
              </w:rPr>
              <w:t>var </w:t>
            </w:r>
            <w:r>
              <w:rPr>
                <w:sz w:val="22"/>
              </w:rPr>
              <w:t>(Var)</w:t>
            </w:r>
          </w:p>
        </w:tc>
        <w:tc>
          <w:tcPr>
            <w:tcW w:w="5156" w:type="dxa"/>
          </w:tcPr>
          <w:p>
            <w:pPr>
              <w:pStyle w:val="TableParagraph"/>
              <w:spacing w:before="42"/>
              <w:rPr>
                <w:sz w:val="22"/>
              </w:rPr>
            </w:pPr>
            <w:r>
              <w:rPr>
                <w:sz w:val="22"/>
              </w:rPr>
              <w:t>Represents the estimated variance.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ST_TotalsRowFunction</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84 ST_Type (Top N Evaluation Type)" w:id="2717"/>
      <w:bookmarkEnd w:id="2717"/>
      <w:r>
        <w:rPr>
          <w:b w:val="0"/>
        </w:rPr>
      </w:r>
      <w:bookmarkStart w:name="_bookmark906" w:id="2718"/>
      <w:bookmarkEnd w:id="2718"/>
      <w:r>
        <w:rPr>
          <w:b w:val="0"/>
        </w:rPr>
      </w:r>
      <w:bookmarkStart w:name="_bookmark906" w:id="2719"/>
      <w:bookmarkEnd w:id="2719"/>
      <w:r>
        <w:rPr>
          <w:color w:val="4F81BC"/>
        </w:rPr>
        <w:t>S</w:t>
      </w:r>
      <w:r>
        <w:rPr>
          <w:color w:val="4F81BC"/>
        </w:rPr>
        <w:t>T_Type (Top N Evaluation</w:t>
      </w:r>
      <w:r>
        <w:rPr>
          <w:color w:val="4F81BC"/>
          <w:spacing w:val="-1"/>
        </w:rPr>
        <w:t> </w:t>
      </w:r>
      <w:r>
        <w:rPr>
          <w:color w:val="4F81BC"/>
        </w:rPr>
        <w:t>Type)</w:t>
      </w:r>
    </w:p>
    <w:p>
      <w:pPr>
        <w:pStyle w:val="BodyText"/>
        <w:spacing w:line="276" w:lineRule="auto" w:before="125"/>
        <w:ind w:left="220" w:right="461"/>
      </w:pPr>
      <w:r>
        <w:rPr/>
        <w:t>This simple type defines the values for the Top N conditional formatting evaluation for the PivotTable. For more information on Top N conditional formatting, see the Sheet (§</w:t>
      </w:r>
      <w:hyperlink w:history="true" w:anchor="_bookmark32">
        <w:r>
          <w:rPr/>
          <w:t>18.3.1</w:t>
        </w:r>
      </w:hyperlink>
      <w:r>
        <w:rPr/>
        <w:t>) reference material.</w:t>
      </w:r>
    </w:p>
    <w:p>
      <w:pPr>
        <w:pStyle w:val="BodyText"/>
        <w:spacing w:before="5"/>
        <w:rPr>
          <w:sz w:val="16"/>
        </w:rPr>
      </w:pPr>
    </w:p>
    <w:p>
      <w:pPr>
        <w:pStyle w:val="BodyText"/>
        <w:spacing w:line="489" w:lineRule="auto"/>
        <w:ind w:left="220" w:right="2804"/>
      </w:pPr>
      <w:r>
        <w:rPr/>
        <w:pict>
          <v:shape style="position:absolute;margin-left:48pt;margin-top:42.993633pt;width:516.35pt;height:145.35pt;mso-position-horizontal-relative:page;mso-position-vertical-relative:paragraph;z-index:2519756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1" w:hRule="atLeast"/>
                    </w:trPr>
                    <w:tc>
                      <w:tcPr>
                        <w:tcW w:w="5156" w:type="dxa"/>
                      </w:tcPr>
                      <w:p>
                        <w:pPr>
                          <w:pStyle w:val="TableParagraph"/>
                          <w:rPr>
                            <w:sz w:val="22"/>
                          </w:rPr>
                        </w:pPr>
                        <w:r>
                          <w:rPr>
                            <w:rFonts w:ascii="Cambria"/>
                            <w:sz w:val="22"/>
                          </w:rPr>
                          <w:t>all </w:t>
                        </w:r>
                        <w:r>
                          <w:rPr>
                            <w:sz w:val="22"/>
                          </w:rPr>
                          <w:t>(All)</w:t>
                        </w:r>
                      </w:p>
                    </w:tc>
                    <w:tc>
                      <w:tcPr>
                        <w:tcW w:w="5156" w:type="dxa"/>
                      </w:tcPr>
                      <w:p>
                        <w:pPr>
                          <w:pStyle w:val="TableParagraph"/>
                          <w:ind w:right="961"/>
                          <w:rPr>
                            <w:sz w:val="22"/>
                          </w:rPr>
                        </w:pPr>
                        <w:r>
                          <w:rPr>
                            <w:sz w:val="22"/>
                          </w:rPr>
                          <w:t>Indicates that Top N conditional formatting is evaluated across the entire scope range.</w:t>
                        </w:r>
                      </w:p>
                    </w:tc>
                  </w:tr>
                  <w:tr>
                    <w:trPr>
                      <w:trHeight w:val="623" w:hRule="atLeast"/>
                    </w:trPr>
                    <w:tc>
                      <w:tcPr>
                        <w:tcW w:w="5156" w:type="dxa"/>
                      </w:tcPr>
                      <w:p>
                        <w:pPr>
                          <w:pStyle w:val="TableParagraph"/>
                          <w:rPr>
                            <w:sz w:val="22"/>
                          </w:rPr>
                        </w:pPr>
                        <w:r>
                          <w:rPr>
                            <w:rFonts w:ascii="Cambria"/>
                            <w:sz w:val="22"/>
                          </w:rPr>
                          <w:t>column </w:t>
                        </w:r>
                        <w:r>
                          <w:rPr>
                            <w:sz w:val="22"/>
                          </w:rPr>
                          <w:t>(Column Top N)</w:t>
                        </w:r>
                      </w:p>
                    </w:tc>
                    <w:tc>
                      <w:tcPr>
                        <w:tcW w:w="5156" w:type="dxa"/>
                      </w:tcPr>
                      <w:p>
                        <w:pPr>
                          <w:pStyle w:val="TableParagraph"/>
                          <w:ind w:right="961"/>
                          <w:rPr>
                            <w:sz w:val="22"/>
                          </w:rPr>
                        </w:pPr>
                        <w:r>
                          <w:rPr>
                            <w:sz w:val="22"/>
                          </w:rPr>
                          <w:t>Indicates that Top N conditional formatting is evaluated for each column.</w:t>
                        </w:r>
                      </w:p>
                    </w:tc>
                  </w:tr>
                  <w:tr>
                    <w:trPr>
                      <w:trHeight w:val="624" w:hRule="atLeast"/>
                    </w:trPr>
                    <w:tc>
                      <w:tcPr>
                        <w:tcW w:w="5156" w:type="dxa"/>
                      </w:tcPr>
                      <w:p>
                        <w:pPr>
                          <w:pStyle w:val="TableParagraph"/>
                          <w:rPr>
                            <w:sz w:val="22"/>
                          </w:rPr>
                        </w:pPr>
                        <w:r>
                          <w:rPr>
                            <w:rFonts w:ascii="Cambria"/>
                            <w:sz w:val="22"/>
                          </w:rPr>
                          <w:t>none </w:t>
                        </w:r>
                        <w:r>
                          <w:rPr>
                            <w:sz w:val="22"/>
                          </w:rPr>
                          <w:t>(Top N None)</w:t>
                        </w:r>
                      </w:p>
                    </w:tc>
                    <w:tc>
                      <w:tcPr>
                        <w:tcW w:w="5156" w:type="dxa"/>
                      </w:tcPr>
                      <w:p>
                        <w:pPr>
                          <w:pStyle w:val="TableParagraph"/>
                          <w:ind w:right="606"/>
                          <w:rPr>
                            <w:sz w:val="22"/>
                          </w:rPr>
                        </w:pPr>
                        <w:r>
                          <w:rPr>
                            <w:sz w:val="22"/>
                          </w:rPr>
                          <w:t>Indicates that Top N conditional formatting is not evaluated</w:t>
                        </w:r>
                      </w:p>
                    </w:tc>
                  </w:tr>
                  <w:tr>
                    <w:trPr>
                      <w:trHeight w:val="623" w:hRule="atLeast"/>
                    </w:trPr>
                    <w:tc>
                      <w:tcPr>
                        <w:tcW w:w="5156" w:type="dxa"/>
                      </w:tcPr>
                      <w:p>
                        <w:pPr>
                          <w:pStyle w:val="TableParagraph"/>
                          <w:rPr>
                            <w:sz w:val="22"/>
                          </w:rPr>
                        </w:pPr>
                        <w:r>
                          <w:rPr>
                            <w:rFonts w:ascii="Cambria"/>
                            <w:sz w:val="22"/>
                          </w:rPr>
                          <w:t>row </w:t>
                        </w:r>
                        <w:r>
                          <w:rPr>
                            <w:sz w:val="22"/>
                          </w:rPr>
                          <w:t>(Row Top N)</w:t>
                        </w:r>
                      </w:p>
                    </w:tc>
                    <w:tc>
                      <w:tcPr>
                        <w:tcW w:w="5156" w:type="dxa"/>
                      </w:tcPr>
                      <w:p>
                        <w:pPr>
                          <w:pStyle w:val="TableParagraph"/>
                          <w:ind w:right="961"/>
                          <w:rPr>
                            <w:sz w:val="22"/>
                          </w:rPr>
                        </w:pPr>
                        <w:r>
                          <w:rPr>
                            <w:sz w:val="22"/>
                          </w:rPr>
                          <w:t>Indicates that Top N conditional formatting is evaluated for each row.</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8"/>
        </w:rPr>
      </w:pPr>
    </w:p>
    <w:p>
      <w:pPr>
        <w:pStyle w:val="BodyText"/>
        <w:spacing w:line="278" w:lineRule="auto"/>
        <w:ind w:left="220" w:right="777"/>
      </w:pPr>
      <w:r>
        <w:rPr/>
        <w:t>[</w:t>
      </w:r>
      <w:r>
        <w:rPr>
          <w:i/>
        </w:rPr>
        <w:t>Note</w:t>
      </w:r>
      <w:r>
        <w:rPr/>
        <w:t>: The W3C XML Schema definition of this simple type’s content model (</w:t>
      </w:r>
      <w:r>
        <w:rPr>
          <w:color w:val="5F5F5F"/>
          <w:u w:val="single" w:color="5F5F5F"/>
        </w:rPr>
        <w:t>ST_Type</w:t>
      </w:r>
      <w:r>
        <w:rPr/>
        <w:t>) is located in §A.2. </w:t>
      </w:r>
      <w:r>
        <w:rPr>
          <w:i/>
        </w:rPr>
        <w:t>end </w:t>
      </w:r>
      <w:r>
        <w:rPr>
          <w:i/>
        </w:rPr>
        <w:t>note</w:t>
      </w:r>
      <w:r>
        <w:rPr/>
        <w:t>]</w:t>
      </w:r>
    </w:p>
    <w:p>
      <w:pPr>
        <w:pStyle w:val="BodyText"/>
        <w:spacing w:before="3"/>
        <w:rPr>
          <w:sz w:val="16"/>
        </w:rPr>
      </w:pPr>
    </w:p>
    <w:p>
      <w:pPr>
        <w:pStyle w:val="Heading2"/>
        <w:numPr>
          <w:ilvl w:val="2"/>
          <w:numId w:val="17"/>
        </w:numPr>
        <w:tabs>
          <w:tab w:pos="1445" w:val="left" w:leader="none"/>
        </w:tabs>
        <w:spacing w:line="240" w:lineRule="auto" w:before="0" w:after="0"/>
        <w:ind w:left="1444" w:right="0" w:hanging="1225"/>
        <w:jc w:val="left"/>
      </w:pPr>
      <w:bookmarkStart w:name="18.18.85 ST_UnderlineValues (Underline T" w:id="2720"/>
      <w:bookmarkEnd w:id="2720"/>
      <w:r>
        <w:rPr>
          <w:b w:val="0"/>
        </w:rPr>
      </w:r>
      <w:bookmarkStart w:name="_bookmark907" w:id="2721"/>
      <w:bookmarkEnd w:id="2721"/>
      <w:r>
        <w:rPr>
          <w:b w:val="0"/>
        </w:rPr>
      </w:r>
      <w:bookmarkStart w:name="_bookmark907" w:id="2722"/>
      <w:bookmarkEnd w:id="2722"/>
      <w:r>
        <w:rPr>
          <w:color w:val="4F81BC"/>
        </w:rPr>
        <w:t>S</w:t>
      </w:r>
      <w:r>
        <w:rPr>
          <w:color w:val="4F81BC"/>
        </w:rPr>
        <w:t>T_UnderlineValues (Underline</w:t>
      </w:r>
      <w:r>
        <w:rPr>
          <w:color w:val="4F81BC"/>
          <w:spacing w:val="3"/>
        </w:rPr>
        <w:t> </w:t>
      </w:r>
      <w:r>
        <w:rPr>
          <w:color w:val="4F81BC"/>
        </w:rPr>
        <w:t>Types)</w:t>
      </w:r>
    </w:p>
    <w:p>
      <w:pPr>
        <w:pStyle w:val="BodyText"/>
        <w:spacing w:before="124"/>
        <w:ind w:left="220"/>
      </w:pPr>
      <w:r>
        <w:rPr/>
        <w:t>Represents the different types of possible underline formatting.</w:t>
      </w:r>
    </w:p>
    <w:p>
      <w:pPr>
        <w:pStyle w:val="BodyText"/>
        <w:spacing w:before="9"/>
        <w:rPr>
          <w:sz w:val="19"/>
        </w:rPr>
      </w:pPr>
    </w:p>
    <w:p>
      <w:pPr>
        <w:pStyle w:val="BodyText"/>
        <w:spacing w:line="489" w:lineRule="auto"/>
        <w:ind w:left="220" w:right="2804"/>
      </w:pPr>
      <w:r>
        <w:rPr/>
        <w:pict>
          <v:shape style="position:absolute;margin-left:48pt;margin-top:42.87365pt;width:516.35pt;height:63.85pt;mso-position-horizontal-relative:page;mso-position-vertical-relative:paragraph;z-index:2519767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spacing w:before="42"/>
                          <w:ind w:left="1699"/>
                          <w:rPr>
                            <w:b/>
                            <w:sz w:val="22"/>
                          </w:rPr>
                        </w:pPr>
                        <w:r>
                          <w:rPr>
                            <w:b/>
                            <w:sz w:val="22"/>
                          </w:rPr>
                          <w:t>Enumeration Value</w:t>
                        </w:r>
                      </w:p>
                    </w:tc>
                    <w:tc>
                      <w:tcPr>
                        <w:tcW w:w="5156" w:type="dxa"/>
                        <w:shd w:val="clear" w:color="auto" w:fill="C0C0C0"/>
                      </w:tcPr>
                      <w:p>
                        <w:pPr>
                          <w:pStyle w:val="TableParagraph"/>
                          <w:spacing w:before="42"/>
                          <w:ind w:left="96" w:right="86"/>
                          <w:jc w:val="center"/>
                          <w:rPr>
                            <w:b/>
                            <w:sz w:val="22"/>
                          </w:rPr>
                        </w:pPr>
                        <w:r>
                          <w:rPr>
                            <w:b/>
                            <w:sz w:val="22"/>
                          </w:rPr>
                          <w:t>Description</w:t>
                        </w:r>
                      </w:p>
                    </w:tc>
                  </w:tr>
                  <w:tr>
                    <w:trPr>
                      <w:trHeight w:val="892" w:hRule="atLeast"/>
                    </w:trPr>
                    <w:tc>
                      <w:tcPr>
                        <w:tcW w:w="5156" w:type="dxa"/>
                      </w:tcPr>
                      <w:p>
                        <w:pPr>
                          <w:pStyle w:val="TableParagraph"/>
                          <w:rPr>
                            <w:sz w:val="22"/>
                          </w:rPr>
                        </w:pPr>
                        <w:r>
                          <w:rPr>
                            <w:rFonts w:ascii="Cambria"/>
                            <w:sz w:val="22"/>
                          </w:rPr>
                          <w:t>double </w:t>
                        </w:r>
                        <w:r>
                          <w:rPr>
                            <w:sz w:val="22"/>
                          </w:rPr>
                          <w:t>(Double Underline)</w:t>
                        </w:r>
                      </w:p>
                    </w:tc>
                    <w:tc>
                      <w:tcPr>
                        <w:tcW w:w="5156" w:type="dxa"/>
                      </w:tcPr>
                      <w:p>
                        <w:pPr>
                          <w:pStyle w:val="TableParagraph"/>
                          <w:ind w:right="281"/>
                          <w:rPr>
                            <w:sz w:val="22"/>
                          </w:rPr>
                        </w:pPr>
                        <w:r>
                          <w:rPr>
                            <w:sz w:val="22"/>
                          </w:rPr>
                          <w:t>Double-line underlining under each character in the cell. underlines are drawn through the descenders of characters such as g and p.</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83" w:hRule="atLeast"/>
        </w:trPr>
        <w:tc>
          <w:tcPr>
            <w:tcW w:w="5156" w:type="dxa"/>
          </w:tcPr>
          <w:p>
            <w:pPr>
              <w:pStyle w:val="TableParagraph"/>
              <w:spacing w:before="0"/>
              <w:ind w:left="0"/>
              <w:rPr>
                <w:rFonts w:ascii="Times New Roman"/>
                <w:sz w:val="22"/>
              </w:rPr>
            </w:pPr>
          </w:p>
        </w:tc>
        <w:tc>
          <w:tcPr>
            <w:tcW w:w="5156" w:type="dxa"/>
          </w:tcPr>
          <w:p>
            <w:pPr>
              <w:pStyle w:val="TableParagraph"/>
              <w:spacing w:before="5"/>
              <w:ind w:left="0"/>
              <w:rPr>
                <w:sz w:val="3"/>
              </w:rPr>
            </w:pPr>
          </w:p>
          <w:p>
            <w:pPr>
              <w:pStyle w:val="TableParagraph"/>
              <w:spacing w:before="0"/>
              <w:ind w:left="114"/>
              <w:rPr>
                <w:sz w:val="20"/>
              </w:rPr>
            </w:pPr>
            <w:r>
              <w:rPr>
                <w:sz w:val="20"/>
              </w:rPr>
              <w:drawing>
                <wp:inline distT="0" distB="0" distL="0" distR="0">
                  <wp:extent cx="620538" cy="188595"/>
                  <wp:effectExtent l="0" t="0" r="0" b="0"/>
                  <wp:docPr id="317" name="image157.png"/>
                  <wp:cNvGraphicFramePr>
                    <a:graphicFrameLocks noChangeAspect="1"/>
                  </wp:cNvGraphicFramePr>
                  <a:graphic>
                    <a:graphicData uri="http://schemas.openxmlformats.org/drawingml/2006/picture">
                      <pic:pic>
                        <pic:nvPicPr>
                          <pic:cNvPr id="318" name="image157.png"/>
                          <pic:cNvPicPr/>
                        </pic:nvPicPr>
                        <pic:blipFill>
                          <a:blip r:embed="rId383" cstate="print"/>
                          <a:stretch>
                            <a:fillRect/>
                          </a:stretch>
                        </pic:blipFill>
                        <pic:spPr>
                          <a:xfrm>
                            <a:off x="0" y="0"/>
                            <a:ext cx="620538" cy="188595"/>
                          </a:xfrm>
                          <a:prstGeom prst="rect">
                            <a:avLst/>
                          </a:prstGeom>
                        </pic:spPr>
                      </pic:pic>
                    </a:graphicData>
                  </a:graphic>
                </wp:inline>
              </w:drawing>
            </w:r>
            <w:r>
              <w:rPr>
                <w:sz w:val="20"/>
              </w:rPr>
            </w:r>
          </w:p>
        </w:tc>
      </w:tr>
      <w:tr>
        <w:trPr>
          <w:trHeight w:val="1230" w:hRule="atLeast"/>
        </w:trPr>
        <w:tc>
          <w:tcPr>
            <w:tcW w:w="5156" w:type="dxa"/>
          </w:tcPr>
          <w:p>
            <w:pPr>
              <w:pStyle w:val="TableParagraph"/>
              <w:rPr>
                <w:sz w:val="22"/>
              </w:rPr>
            </w:pPr>
            <w:r>
              <w:rPr>
                <w:rFonts w:ascii="Cambria"/>
                <w:sz w:val="22"/>
              </w:rPr>
              <w:t>doubleAccounting </w:t>
            </w:r>
            <w:r>
              <w:rPr>
                <w:sz w:val="22"/>
              </w:rPr>
              <w:t>(Accounting Double Underline)</w:t>
            </w:r>
          </w:p>
        </w:tc>
        <w:tc>
          <w:tcPr>
            <w:tcW w:w="5156" w:type="dxa"/>
          </w:tcPr>
          <w:p>
            <w:pPr>
              <w:pStyle w:val="TableParagraph"/>
              <w:ind w:right="268"/>
              <w:rPr>
                <w:sz w:val="22"/>
              </w:rPr>
            </w:pPr>
            <w:r>
              <w:rPr>
                <w:sz w:val="22"/>
              </w:rPr>
              <w:t>Double-line accounting underlining under each character in the cell. The underlines are drawn under the descenders of characters such as g and p.</w:t>
            </w:r>
          </w:p>
          <w:p>
            <w:pPr>
              <w:pStyle w:val="TableParagraph"/>
              <w:spacing w:before="0"/>
              <w:ind w:left="114"/>
              <w:rPr>
                <w:sz w:val="20"/>
              </w:rPr>
            </w:pPr>
            <w:r>
              <w:rPr>
                <w:sz w:val="20"/>
              </w:rPr>
              <w:drawing>
                <wp:inline distT="0" distB="0" distL="0" distR="0">
                  <wp:extent cx="623160" cy="216884"/>
                  <wp:effectExtent l="0" t="0" r="0" b="0"/>
                  <wp:docPr id="319" name="image158.png"/>
                  <wp:cNvGraphicFramePr>
                    <a:graphicFrameLocks noChangeAspect="1"/>
                  </wp:cNvGraphicFramePr>
                  <a:graphic>
                    <a:graphicData uri="http://schemas.openxmlformats.org/drawingml/2006/picture">
                      <pic:pic>
                        <pic:nvPicPr>
                          <pic:cNvPr id="320" name="image158.png"/>
                          <pic:cNvPicPr/>
                        </pic:nvPicPr>
                        <pic:blipFill>
                          <a:blip r:embed="rId384" cstate="print"/>
                          <a:stretch>
                            <a:fillRect/>
                          </a:stretch>
                        </pic:blipFill>
                        <pic:spPr>
                          <a:xfrm>
                            <a:off x="0" y="0"/>
                            <a:ext cx="623160" cy="216884"/>
                          </a:xfrm>
                          <a:prstGeom prst="rect">
                            <a:avLst/>
                          </a:prstGeom>
                        </pic:spPr>
                      </pic:pic>
                    </a:graphicData>
                  </a:graphic>
                </wp:inline>
              </w:drawing>
            </w:r>
            <w:r>
              <w:rPr>
                <w:sz w:val="20"/>
              </w:rPr>
            </w:r>
          </w:p>
        </w:tc>
      </w:tr>
      <w:tr>
        <w:trPr>
          <w:trHeight w:val="354" w:hRule="atLeast"/>
        </w:trPr>
        <w:tc>
          <w:tcPr>
            <w:tcW w:w="5156" w:type="dxa"/>
          </w:tcPr>
          <w:p>
            <w:pPr>
              <w:pStyle w:val="TableParagraph"/>
              <w:rPr>
                <w:sz w:val="22"/>
              </w:rPr>
            </w:pPr>
            <w:r>
              <w:rPr>
                <w:rFonts w:ascii="Cambria"/>
                <w:sz w:val="22"/>
              </w:rPr>
              <w:t>none </w:t>
            </w:r>
            <w:r>
              <w:rPr>
                <w:sz w:val="22"/>
              </w:rPr>
              <w:t>(None)</w:t>
            </w:r>
          </w:p>
        </w:tc>
        <w:tc>
          <w:tcPr>
            <w:tcW w:w="5156" w:type="dxa"/>
          </w:tcPr>
          <w:p>
            <w:pPr>
              <w:pStyle w:val="TableParagraph"/>
              <w:rPr>
                <w:sz w:val="22"/>
              </w:rPr>
            </w:pPr>
            <w:r>
              <w:rPr>
                <w:sz w:val="22"/>
              </w:rPr>
              <w:t>No underline.</w:t>
            </w:r>
          </w:p>
        </w:tc>
      </w:tr>
      <w:tr>
        <w:trPr>
          <w:trHeight w:val="1190" w:hRule="atLeast"/>
        </w:trPr>
        <w:tc>
          <w:tcPr>
            <w:tcW w:w="5156" w:type="dxa"/>
          </w:tcPr>
          <w:p>
            <w:pPr>
              <w:pStyle w:val="TableParagraph"/>
              <w:rPr>
                <w:sz w:val="22"/>
              </w:rPr>
            </w:pPr>
            <w:r>
              <w:rPr>
                <w:rFonts w:ascii="Cambria"/>
                <w:sz w:val="22"/>
              </w:rPr>
              <w:t>single </w:t>
            </w:r>
            <w:r>
              <w:rPr>
                <w:sz w:val="22"/>
              </w:rPr>
              <w:t>(Single Underline)</w:t>
            </w:r>
          </w:p>
        </w:tc>
        <w:tc>
          <w:tcPr>
            <w:tcW w:w="5156" w:type="dxa"/>
          </w:tcPr>
          <w:p>
            <w:pPr>
              <w:pStyle w:val="TableParagraph"/>
              <w:ind w:right="90"/>
              <w:rPr>
                <w:sz w:val="22"/>
              </w:rPr>
            </w:pPr>
            <w:r>
              <w:rPr>
                <w:sz w:val="22"/>
              </w:rPr>
              <w:t>Single-line underlining under each character in the cell. The underline is drawn through the descenders of characters such as g and p.</w:t>
            </w:r>
          </w:p>
          <w:p>
            <w:pPr>
              <w:pStyle w:val="TableParagraph"/>
              <w:spacing w:before="0"/>
              <w:ind w:left="114"/>
              <w:rPr>
                <w:sz w:val="20"/>
              </w:rPr>
            </w:pPr>
            <w:r>
              <w:rPr>
                <w:sz w:val="20"/>
              </w:rPr>
              <w:drawing>
                <wp:inline distT="0" distB="0" distL="0" distR="0">
                  <wp:extent cx="620538" cy="188595"/>
                  <wp:effectExtent l="0" t="0" r="0" b="0"/>
                  <wp:docPr id="321" name="image159.png"/>
                  <wp:cNvGraphicFramePr>
                    <a:graphicFrameLocks noChangeAspect="1"/>
                  </wp:cNvGraphicFramePr>
                  <a:graphic>
                    <a:graphicData uri="http://schemas.openxmlformats.org/drawingml/2006/picture">
                      <pic:pic>
                        <pic:nvPicPr>
                          <pic:cNvPr id="322" name="image159.png"/>
                          <pic:cNvPicPr/>
                        </pic:nvPicPr>
                        <pic:blipFill>
                          <a:blip r:embed="rId385" cstate="print"/>
                          <a:stretch>
                            <a:fillRect/>
                          </a:stretch>
                        </pic:blipFill>
                        <pic:spPr>
                          <a:xfrm>
                            <a:off x="0" y="0"/>
                            <a:ext cx="620538" cy="188595"/>
                          </a:xfrm>
                          <a:prstGeom prst="rect">
                            <a:avLst/>
                          </a:prstGeom>
                        </pic:spPr>
                      </pic:pic>
                    </a:graphicData>
                  </a:graphic>
                </wp:inline>
              </w:drawing>
            </w:r>
            <w:r>
              <w:rPr>
                <w:sz w:val="20"/>
              </w:rPr>
            </w:r>
          </w:p>
        </w:tc>
      </w:tr>
      <w:tr>
        <w:trPr>
          <w:trHeight w:val="1233" w:hRule="atLeast"/>
        </w:trPr>
        <w:tc>
          <w:tcPr>
            <w:tcW w:w="5156" w:type="dxa"/>
          </w:tcPr>
          <w:p>
            <w:pPr>
              <w:pStyle w:val="TableParagraph"/>
              <w:rPr>
                <w:sz w:val="22"/>
              </w:rPr>
            </w:pPr>
            <w:r>
              <w:rPr>
                <w:rFonts w:ascii="Cambria"/>
                <w:sz w:val="22"/>
              </w:rPr>
              <w:t>singleAccounting </w:t>
            </w:r>
            <w:r>
              <w:rPr>
                <w:sz w:val="22"/>
              </w:rPr>
              <w:t>(Accounting Single Underline)</w:t>
            </w:r>
          </w:p>
        </w:tc>
        <w:tc>
          <w:tcPr>
            <w:tcW w:w="5156" w:type="dxa"/>
          </w:tcPr>
          <w:p>
            <w:pPr>
              <w:pStyle w:val="TableParagraph"/>
              <w:ind w:right="160"/>
              <w:rPr>
                <w:sz w:val="22"/>
              </w:rPr>
            </w:pPr>
            <w:r>
              <w:rPr>
                <w:sz w:val="22"/>
              </w:rPr>
              <w:t>Single-line accounting underlining under each character in the cell. The underline is drawn under the descenders of characters such as g and p.</w:t>
            </w:r>
          </w:p>
          <w:p>
            <w:pPr>
              <w:pStyle w:val="TableParagraph"/>
              <w:spacing w:before="0"/>
              <w:ind w:left="114"/>
              <w:rPr>
                <w:sz w:val="20"/>
              </w:rPr>
            </w:pPr>
            <w:r>
              <w:rPr>
                <w:sz w:val="20"/>
              </w:rPr>
              <w:drawing>
                <wp:inline distT="0" distB="0" distL="0" distR="0">
                  <wp:extent cx="618802" cy="216884"/>
                  <wp:effectExtent l="0" t="0" r="0" b="0"/>
                  <wp:docPr id="323" name="image160.png"/>
                  <wp:cNvGraphicFramePr>
                    <a:graphicFrameLocks noChangeAspect="1"/>
                  </wp:cNvGraphicFramePr>
                  <a:graphic>
                    <a:graphicData uri="http://schemas.openxmlformats.org/drawingml/2006/picture">
                      <pic:pic>
                        <pic:nvPicPr>
                          <pic:cNvPr id="324" name="image160.png"/>
                          <pic:cNvPicPr/>
                        </pic:nvPicPr>
                        <pic:blipFill>
                          <a:blip r:embed="rId386" cstate="print"/>
                          <a:stretch>
                            <a:fillRect/>
                          </a:stretch>
                        </pic:blipFill>
                        <pic:spPr>
                          <a:xfrm>
                            <a:off x="0" y="0"/>
                            <a:ext cx="618802" cy="216884"/>
                          </a:xfrm>
                          <a:prstGeom prst="rect">
                            <a:avLst/>
                          </a:prstGeom>
                        </pic:spPr>
                      </pic:pic>
                    </a:graphicData>
                  </a:graphic>
                </wp:inline>
              </w:drawing>
            </w:r>
            <w:r>
              <w:rPr>
                <w:sz w:val="20"/>
              </w:rPr>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ST_UnderlineValues</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86 ST_UnsignedIntHex (Hex Unsigned" w:id="2723"/>
      <w:bookmarkEnd w:id="2723"/>
      <w:r>
        <w:rPr>
          <w:b w:val="0"/>
        </w:rPr>
      </w:r>
      <w:bookmarkStart w:name="_bookmark908" w:id="2724"/>
      <w:bookmarkEnd w:id="2724"/>
      <w:r>
        <w:rPr>
          <w:b w:val="0"/>
        </w:rPr>
      </w:r>
      <w:bookmarkStart w:name="_bookmark908" w:id="2725"/>
      <w:bookmarkEnd w:id="2725"/>
      <w:r>
        <w:rPr>
          <w:color w:val="4F81BC"/>
        </w:rPr>
        <w:t>S</w:t>
      </w:r>
      <w:r>
        <w:rPr>
          <w:color w:val="4F81BC"/>
        </w:rPr>
        <w:t>T_UnsignedIntHex (Hex Unsigned</w:t>
      </w:r>
      <w:r>
        <w:rPr>
          <w:color w:val="4F81BC"/>
          <w:spacing w:val="1"/>
        </w:rPr>
        <w:t> </w:t>
      </w:r>
      <w:r>
        <w:rPr>
          <w:color w:val="4F81BC"/>
        </w:rPr>
        <w:t>Integer)</w:t>
      </w:r>
    </w:p>
    <w:p>
      <w:pPr>
        <w:pStyle w:val="BodyText"/>
        <w:spacing w:before="127"/>
        <w:ind w:left="220"/>
      </w:pPr>
      <w:r>
        <w:rPr/>
        <w:t>This simple type represents the Hex representation of an unsigned integer.</w:t>
      </w:r>
    </w:p>
    <w:p>
      <w:pPr>
        <w:pStyle w:val="BodyText"/>
        <w:spacing w:before="8"/>
        <w:rPr>
          <w:sz w:val="19"/>
        </w:rPr>
      </w:pPr>
    </w:p>
    <w:p>
      <w:pPr>
        <w:pStyle w:val="BodyText"/>
        <w:spacing w:line="453" w:lineRule="auto"/>
        <w:ind w:left="220" w:right="2394"/>
      </w:pPr>
      <w:r>
        <w:rPr/>
        <w:t>This simple type's contents are a restriction of the W3C XML Schema </w:t>
      </w:r>
      <w:r>
        <w:rPr>
          <w:rFonts w:ascii="Cambria"/>
        </w:rPr>
        <w:t>hexBinary </w:t>
      </w:r>
      <w:r>
        <w:rPr/>
        <w:t>datatype. This simple type also specifies the following restrictions:</w:t>
      </w:r>
    </w:p>
    <w:p>
      <w:pPr>
        <w:pStyle w:val="ListParagraph"/>
        <w:numPr>
          <w:ilvl w:val="3"/>
          <w:numId w:val="17"/>
        </w:numPr>
        <w:tabs>
          <w:tab w:pos="940" w:val="left" w:leader="none"/>
          <w:tab w:pos="941" w:val="left" w:leader="none"/>
        </w:tabs>
        <w:spacing w:line="240" w:lineRule="auto" w:before="1" w:after="0"/>
        <w:ind w:left="940" w:right="0" w:hanging="361"/>
        <w:jc w:val="left"/>
        <w:rPr>
          <w:sz w:val="22"/>
        </w:rPr>
      </w:pPr>
      <w:r>
        <w:rPr>
          <w:sz w:val="22"/>
        </w:rPr>
        <w:t>This simple type's contents have a length of exactly </w:t>
      </w:r>
      <w:r>
        <w:rPr>
          <w:rFonts w:ascii="Cambria" w:hAnsi="Cambria"/>
          <w:sz w:val="22"/>
        </w:rPr>
        <w:t>8 </w:t>
      </w:r>
      <w:r>
        <w:rPr>
          <w:sz w:val="22"/>
        </w:rPr>
        <w:t>hexadecimal</w:t>
      </w:r>
      <w:r>
        <w:rPr>
          <w:spacing w:val="-10"/>
          <w:sz w:val="22"/>
        </w:rPr>
        <w:t> </w:t>
      </w:r>
      <w:r>
        <w:rPr>
          <w:sz w:val="22"/>
        </w:rPr>
        <w:t>digit(s).</w:t>
      </w:r>
    </w:p>
    <w:p>
      <w:pPr>
        <w:pStyle w:val="BodyText"/>
        <w:spacing w:before="240"/>
        <w:ind w:left="220"/>
      </w:pPr>
      <w:r>
        <w:rPr/>
        <w:t>[</w:t>
      </w:r>
      <w:r>
        <w:rPr>
          <w:i/>
        </w:rPr>
        <w:t>Note</w:t>
      </w:r>
      <w:r>
        <w:rPr/>
        <w:t>: The W3C XML Schema definition of this simple type’s content model (</w:t>
      </w:r>
      <w:r>
        <w:rPr>
          <w:color w:val="5F5F5F"/>
          <w:u w:val="single" w:color="5F5F5F"/>
        </w:rPr>
        <w:t>ST_UnsignedIntHex</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87 ST_UpdateLinks (Update Links Be" w:id="2726"/>
      <w:bookmarkEnd w:id="2726"/>
      <w:r>
        <w:rPr>
          <w:b w:val="0"/>
        </w:rPr>
      </w:r>
      <w:bookmarkStart w:name="_bookmark909" w:id="2727"/>
      <w:bookmarkEnd w:id="2727"/>
      <w:r>
        <w:rPr>
          <w:b w:val="0"/>
        </w:rPr>
      </w:r>
      <w:bookmarkStart w:name="_bookmark909" w:id="2728"/>
      <w:bookmarkEnd w:id="2728"/>
      <w:r>
        <w:rPr>
          <w:color w:val="4F81BC"/>
        </w:rPr>
        <w:t>S</w:t>
      </w:r>
      <w:r>
        <w:rPr>
          <w:color w:val="4F81BC"/>
        </w:rPr>
        <w:t>T_UpdateLinks (Update Links Behavior</w:t>
      </w:r>
      <w:r>
        <w:rPr>
          <w:color w:val="4F81BC"/>
          <w:spacing w:val="2"/>
        </w:rPr>
        <w:t> </w:t>
      </w:r>
      <w:r>
        <w:rPr>
          <w:color w:val="4F81BC"/>
        </w:rPr>
        <w:t>Types)</w:t>
      </w:r>
    </w:p>
    <w:p>
      <w:pPr>
        <w:pStyle w:val="BodyText"/>
        <w:spacing w:line="453" w:lineRule="auto" w:before="126"/>
        <w:ind w:left="220" w:right="499"/>
      </w:pPr>
      <w:r>
        <w:rPr/>
        <w:t>This simple type defines when the application updates links to other workbooks when the workbook is opened. This simple type's contents are a restriction of the W3C XML Schema </w:t>
      </w:r>
      <w:r>
        <w:rPr>
          <w:rFonts w:ascii="Cambria"/>
        </w:rPr>
        <w:t>string </w:t>
      </w:r>
      <w:r>
        <w:rPr/>
        <w:t>datatype.</w:t>
      </w:r>
    </w:p>
    <w:p>
      <w:pPr>
        <w:pStyle w:val="BodyText"/>
        <w:spacing w:before="42" w:after="42"/>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161" w:hRule="atLeast"/>
        </w:trPr>
        <w:tc>
          <w:tcPr>
            <w:tcW w:w="5156" w:type="dxa"/>
          </w:tcPr>
          <w:p>
            <w:pPr>
              <w:pStyle w:val="TableParagraph"/>
              <w:rPr>
                <w:sz w:val="22"/>
              </w:rPr>
            </w:pPr>
            <w:r>
              <w:rPr>
                <w:rFonts w:ascii="Cambria"/>
                <w:sz w:val="22"/>
              </w:rPr>
              <w:t>always </w:t>
            </w:r>
            <w:r>
              <w:rPr>
                <w:sz w:val="22"/>
              </w:rPr>
              <w:t>(Always Update Links)</w:t>
            </w:r>
          </w:p>
        </w:tc>
        <w:tc>
          <w:tcPr>
            <w:tcW w:w="5156" w:type="dxa"/>
          </w:tcPr>
          <w:p>
            <w:pPr>
              <w:pStyle w:val="TableParagraph"/>
              <w:ind w:right="526"/>
              <w:rPr>
                <w:sz w:val="22"/>
              </w:rPr>
            </w:pPr>
            <w:r>
              <w:rPr>
                <w:sz w:val="22"/>
              </w:rPr>
              <w:t>Indicates that links to other workbooks are always updated when the workbook is opened. The application will not display an alert in the user interface (UI).</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158" w:hRule="atLeast"/>
        </w:trPr>
        <w:tc>
          <w:tcPr>
            <w:tcW w:w="5156" w:type="dxa"/>
          </w:tcPr>
          <w:p>
            <w:pPr>
              <w:pStyle w:val="TableParagraph"/>
              <w:rPr>
                <w:sz w:val="22"/>
              </w:rPr>
            </w:pPr>
            <w:r>
              <w:rPr>
                <w:rFonts w:ascii="Cambria"/>
                <w:sz w:val="22"/>
              </w:rPr>
              <w:t>never </w:t>
            </w:r>
            <w:r>
              <w:rPr>
                <w:sz w:val="22"/>
              </w:rPr>
              <w:t>(Never Update Links)</w:t>
            </w:r>
          </w:p>
        </w:tc>
        <w:tc>
          <w:tcPr>
            <w:tcW w:w="5156" w:type="dxa"/>
          </w:tcPr>
          <w:p>
            <w:pPr>
              <w:pStyle w:val="TableParagraph"/>
              <w:ind w:right="620"/>
              <w:rPr>
                <w:sz w:val="22"/>
              </w:rPr>
            </w:pPr>
            <w:r>
              <w:rPr>
                <w:sz w:val="22"/>
              </w:rPr>
              <w:t>Indicates that links to other workbooks are never updated when the workbook is opened. The application will not display an alert in the user interface.</w:t>
            </w:r>
          </w:p>
        </w:tc>
      </w:tr>
      <w:tr>
        <w:trPr>
          <w:trHeight w:val="1430" w:hRule="atLeast"/>
        </w:trPr>
        <w:tc>
          <w:tcPr>
            <w:tcW w:w="5156" w:type="dxa"/>
          </w:tcPr>
          <w:p>
            <w:pPr>
              <w:pStyle w:val="TableParagraph"/>
              <w:spacing w:before="42"/>
              <w:rPr>
                <w:sz w:val="22"/>
              </w:rPr>
            </w:pPr>
            <w:r>
              <w:rPr>
                <w:rFonts w:ascii="Cambria"/>
                <w:sz w:val="22"/>
              </w:rPr>
              <w:t>userSet </w:t>
            </w:r>
            <w:r>
              <w:rPr>
                <w:sz w:val="22"/>
              </w:rPr>
              <w:t>(User Set)</w:t>
            </w:r>
          </w:p>
        </w:tc>
        <w:tc>
          <w:tcPr>
            <w:tcW w:w="5156" w:type="dxa"/>
          </w:tcPr>
          <w:p>
            <w:pPr>
              <w:pStyle w:val="TableParagraph"/>
              <w:spacing w:before="42"/>
              <w:ind w:right="433"/>
              <w:rPr>
                <w:sz w:val="22"/>
              </w:rPr>
            </w:pPr>
            <w:r>
              <w:rPr>
                <w:sz w:val="22"/>
              </w:rPr>
              <w:t>Indicates that the end-user specified whether they receive an alert to update links to other workbooks when the workbook is opened. [</w:t>
            </w:r>
            <w:r>
              <w:rPr>
                <w:i/>
                <w:sz w:val="22"/>
              </w:rPr>
              <w:t>Example</w:t>
            </w:r>
            <w:r>
              <w:rPr>
                <w:sz w:val="22"/>
              </w:rPr>
              <w:t>: The application can expose this option in an application settings dialog. </w:t>
            </w:r>
            <w:r>
              <w:rPr>
                <w:i/>
                <w:sz w:val="22"/>
              </w:rPr>
              <w:t>end example</w:t>
            </w:r>
            <w:r>
              <w:rPr>
                <w:sz w:val="22"/>
              </w:rPr>
              <w:t>]</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ST_UpdateLinks</w:t>
      </w:r>
      <w:r>
        <w:rPr/>
        <w:t>) is located in §A.2.</w:t>
      </w:r>
    </w:p>
    <w:p>
      <w:pPr>
        <w:spacing w:before="44"/>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88 ST_VerticalAlignment (Vertical " w:id="2729"/>
      <w:bookmarkEnd w:id="2729"/>
      <w:r>
        <w:rPr>
          <w:b w:val="0"/>
        </w:rPr>
      </w:r>
      <w:bookmarkStart w:name="_bookmark910" w:id="2730"/>
      <w:bookmarkEnd w:id="2730"/>
      <w:r>
        <w:rPr>
          <w:b w:val="0"/>
        </w:rPr>
      </w:r>
      <w:bookmarkStart w:name="_bookmark910" w:id="2731"/>
      <w:bookmarkEnd w:id="2731"/>
      <w:r>
        <w:rPr>
          <w:color w:val="4F81BC"/>
        </w:rPr>
        <w:t>S</w:t>
      </w:r>
      <w:r>
        <w:rPr>
          <w:color w:val="4F81BC"/>
        </w:rPr>
        <w:t>T_VerticalAlignment (Vertical Alignment</w:t>
      </w:r>
      <w:r>
        <w:rPr>
          <w:color w:val="4F81BC"/>
          <w:spacing w:val="-1"/>
        </w:rPr>
        <w:t> </w:t>
      </w:r>
      <w:r>
        <w:rPr>
          <w:color w:val="4F81BC"/>
        </w:rPr>
        <w:t>Types)</w:t>
      </w:r>
    </w:p>
    <w:p>
      <w:pPr>
        <w:pStyle w:val="BodyText"/>
        <w:spacing w:line="278" w:lineRule="auto" w:before="122"/>
        <w:ind w:left="220" w:right="498"/>
      </w:pPr>
      <w:r>
        <w:rPr/>
        <w:t>This enumeration value indicates the type of vertical alignment for a cell, i.e., whether it is aligned top, bottom, vertically centered, justified or distributed.</w:t>
      </w:r>
    </w:p>
    <w:p>
      <w:pPr>
        <w:pStyle w:val="BodyText"/>
        <w:spacing w:line="489" w:lineRule="auto" w:before="198"/>
        <w:ind w:left="220" w:right="2804"/>
      </w:pPr>
      <w:r>
        <w:rPr/>
        <w:pict>
          <v:shape style="position:absolute;margin-left:48pt;margin-top:52.773647pt;width:516.35pt;height:315.2pt;mso-position-horizontal-relative:page;mso-position-vertical-relative:paragraph;z-index:2519777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bottom </w:t>
                        </w:r>
                        <w:r>
                          <w:rPr>
                            <w:sz w:val="22"/>
                          </w:rPr>
                          <w:t>(Aligned To Bottom)</w:t>
                        </w:r>
                      </w:p>
                    </w:tc>
                    <w:tc>
                      <w:tcPr>
                        <w:tcW w:w="5156" w:type="dxa"/>
                      </w:tcPr>
                      <w:p>
                        <w:pPr>
                          <w:pStyle w:val="TableParagraph"/>
                          <w:rPr>
                            <w:sz w:val="22"/>
                          </w:rPr>
                        </w:pPr>
                        <w:r>
                          <w:rPr>
                            <w:sz w:val="22"/>
                          </w:rPr>
                          <w:t>The vertical alignment is aligned-to-bottom.</w:t>
                        </w:r>
                      </w:p>
                    </w:tc>
                  </w:tr>
                  <w:tr>
                    <w:trPr>
                      <w:trHeight w:val="624" w:hRule="atLeast"/>
                    </w:trPr>
                    <w:tc>
                      <w:tcPr>
                        <w:tcW w:w="5156" w:type="dxa"/>
                      </w:tcPr>
                      <w:p>
                        <w:pPr>
                          <w:pStyle w:val="TableParagraph"/>
                          <w:rPr>
                            <w:sz w:val="22"/>
                          </w:rPr>
                        </w:pPr>
                        <w:r>
                          <w:rPr>
                            <w:rFonts w:ascii="Cambria"/>
                            <w:sz w:val="22"/>
                          </w:rPr>
                          <w:t>center </w:t>
                        </w:r>
                        <w:r>
                          <w:rPr>
                            <w:sz w:val="22"/>
                          </w:rPr>
                          <w:t>(Centered Vertical Alignment)</w:t>
                        </w:r>
                      </w:p>
                    </w:tc>
                    <w:tc>
                      <w:tcPr>
                        <w:tcW w:w="5156" w:type="dxa"/>
                      </w:tcPr>
                      <w:p>
                        <w:pPr>
                          <w:pStyle w:val="TableParagraph"/>
                          <w:ind w:right="169"/>
                          <w:rPr>
                            <w:sz w:val="22"/>
                          </w:rPr>
                        </w:pPr>
                        <w:r>
                          <w:rPr>
                            <w:sz w:val="22"/>
                          </w:rPr>
                          <w:t>The vertical alignment is centered across the height of the cell.</w:t>
                        </w:r>
                      </w:p>
                    </w:tc>
                  </w:tr>
                  <w:tr>
                    <w:trPr>
                      <w:trHeight w:val="4920" w:hRule="atLeast"/>
                    </w:trPr>
                    <w:tc>
                      <w:tcPr>
                        <w:tcW w:w="5156" w:type="dxa"/>
                      </w:tcPr>
                      <w:p>
                        <w:pPr>
                          <w:pStyle w:val="TableParagraph"/>
                          <w:rPr>
                            <w:sz w:val="22"/>
                          </w:rPr>
                        </w:pPr>
                        <w:r>
                          <w:rPr>
                            <w:rFonts w:ascii="Cambria"/>
                            <w:sz w:val="22"/>
                          </w:rPr>
                          <w:t>distributed </w:t>
                        </w:r>
                        <w:r>
                          <w:rPr>
                            <w:sz w:val="22"/>
                          </w:rPr>
                          <w:t>(Distributed Vertical Alignment)</w:t>
                        </w:r>
                      </w:p>
                    </w:tc>
                    <w:tc>
                      <w:tcPr>
                        <w:tcW w:w="5156" w:type="dxa"/>
                      </w:tcPr>
                      <w:p>
                        <w:pPr>
                          <w:pStyle w:val="TableParagraph"/>
                          <w:ind w:right="172"/>
                          <w:rPr>
                            <w:sz w:val="22"/>
                          </w:rPr>
                        </w:pPr>
                        <w:r>
                          <w:rPr>
                            <w:sz w:val="22"/>
                          </w:rPr>
                          <w:t>When text direction is horizontal: the vertical alignment of lines of text is distributed vertically, where each line of text inside the cell is evenly distributed across the height of the cell, with flush top and bottom margins.</w:t>
                        </w:r>
                      </w:p>
                      <w:p>
                        <w:pPr>
                          <w:pStyle w:val="TableParagraph"/>
                          <w:spacing w:before="11"/>
                          <w:ind w:left="0"/>
                          <w:rPr>
                            <w:sz w:val="21"/>
                          </w:rPr>
                        </w:pPr>
                      </w:p>
                      <w:p>
                        <w:pPr>
                          <w:pStyle w:val="TableParagraph"/>
                          <w:spacing w:before="0"/>
                          <w:ind w:right="231"/>
                          <w:rPr>
                            <w:sz w:val="22"/>
                          </w:rPr>
                        </w:pPr>
                        <w:r>
                          <w:rPr>
                            <w:sz w:val="22"/>
                          </w:rPr>
                          <w:t>When text direction is vertical: behaves exactly as distributed horizontal alignment. The first words in a line of text (appearing at the top of the cell) are flush with the top edge of the cell, and the last words of a line of text are flush with the bottom edge of the cell, and the line of text is distributed evenly from top to bottom.</w:t>
                        </w:r>
                      </w:p>
                      <w:p>
                        <w:pPr>
                          <w:pStyle w:val="TableParagraph"/>
                          <w:spacing w:before="2"/>
                          <w:ind w:left="0"/>
                          <w:rPr>
                            <w:sz w:val="22"/>
                          </w:rPr>
                        </w:pPr>
                      </w:p>
                      <w:p>
                        <w:pPr>
                          <w:pStyle w:val="TableParagraph"/>
                          <w:spacing w:before="0"/>
                          <w:ind w:right="130"/>
                          <w:rPr>
                            <w:sz w:val="22"/>
                          </w:rPr>
                        </w:pPr>
                        <w:r>
                          <w:rPr>
                            <w:sz w:val="22"/>
                          </w:rPr>
                          <w:t>[</w:t>
                        </w:r>
                        <w:r>
                          <w:rPr>
                            <w:i/>
                            <w:sz w:val="22"/>
                          </w:rPr>
                          <w:t>Example</w:t>
                        </w:r>
                        <w:r>
                          <w:rPr>
                            <w:sz w:val="22"/>
                          </w:rPr>
                          <w:t>: Horizontal text: this first example shows four lines of text (read horizontally from left to right) distributed vertically across the height of the cell. The first line is "abc", the second line is "def", the third line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footerReference w:type="even" r:id="rId387"/>
          <w:footerReference w:type="default" r:id="rId388"/>
          <w:pgSz w:w="12240" w:h="15840"/>
          <w:pgMar w:footer="746" w:header="761" w:top="1340" w:bottom="940" w:left="860" w:right="700"/>
          <w:pgNumType w:start="251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1718" w:hRule="atLeast"/>
        </w:trPr>
        <w:tc>
          <w:tcPr>
            <w:tcW w:w="5156" w:type="dxa"/>
          </w:tcPr>
          <w:p>
            <w:pPr>
              <w:pStyle w:val="TableParagraph"/>
              <w:spacing w:before="0"/>
              <w:ind w:left="0"/>
              <w:rPr>
                <w:rFonts w:ascii="Times New Roman"/>
                <w:sz w:val="22"/>
              </w:rPr>
            </w:pPr>
          </w:p>
        </w:tc>
        <w:tc>
          <w:tcPr>
            <w:tcW w:w="5156" w:type="dxa"/>
          </w:tcPr>
          <w:p>
            <w:pPr>
              <w:pStyle w:val="TableParagraph"/>
              <w:rPr>
                <w:sz w:val="22"/>
              </w:rPr>
            </w:pPr>
            <w:r>
              <w:rPr>
                <w:sz w:val="22"/>
              </w:rPr>
              <w:t>is "ghi" and the fourth line is "jkl".</w:t>
            </w:r>
          </w:p>
          <w:p>
            <w:pPr>
              <w:pStyle w:val="TableParagraph"/>
              <w:spacing w:before="7"/>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1535064" cy="2952750"/>
                  <wp:effectExtent l="0" t="0" r="0" b="0"/>
                  <wp:docPr id="325" name="image161.png"/>
                  <wp:cNvGraphicFramePr>
                    <a:graphicFrameLocks noChangeAspect="1"/>
                  </wp:cNvGraphicFramePr>
                  <a:graphic>
                    <a:graphicData uri="http://schemas.openxmlformats.org/drawingml/2006/picture">
                      <pic:pic>
                        <pic:nvPicPr>
                          <pic:cNvPr id="326" name="image161.png"/>
                          <pic:cNvPicPr/>
                        </pic:nvPicPr>
                        <pic:blipFill>
                          <a:blip r:embed="rId389" cstate="print"/>
                          <a:stretch>
                            <a:fillRect/>
                          </a:stretch>
                        </pic:blipFill>
                        <pic:spPr>
                          <a:xfrm>
                            <a:off x="0" y="0"/>
                            <a:ext cx="1535064" cy="2952750"/>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ind w:right="154"/>
              <w:rPr>
                <w:sz w:val="22"/>
              </w:rPr>
            </w:pPr>
            <w:r>
              <w:rPr>
                <w:sz w:val="22"/>
              </w:rPr>
              <w:t>Vertical text: this second example shows three lines of text (read vertically from top to bottom) distributed vertically across the height of the cell. The lines of text are:</w:t>
            </w:r>
          </w:p>
          <w:p>
            <w:pPr>
              <w:pStyle w:val="TableParagraph"/>
              <w:spacing w:before="7"/>
              <w:ind w:left="0"/>
              <w:rPr>
                <w:rFonts w:ascii="Times New Roman"/>
                <w:sz w:val="23"/>
              </w:rPr>
            </w:pPr>
          </w:p>
          <w:p>
            <w:pPr>
              <w:pStyle w:val="TableParagraph"/>
              <w:spacing w:line="237" w:lineRule="auto" w:before="1"/>
              <w:ind w:right="2981"/>
              <w:rPr>
                <w:sz w:val="22"/>
              </w:rPr>
            </w:pPr>
            <w:r>
              <w:rPr>
                <w:sz w:val="22"/>
              </w:rPr>
              <w:t>abcd efg hijklmnop qrs tuv wx</w:t>
            </w:r>
          </w:p>
          <w:p>
            <w:pPr>
              <w:pStyle w:val="TableParagraph"/>
              <w:spacing w:before="1"/>
              <w:rPr>
                <w:sz w:val="22"/>
              </w:rPr>
            </w:pPr>
            <w:r>
              <w:rPr>
                <w:sz w:val="22"/>
              </w:rPr>
              <w:t>yzabc defg hijk lmnop</w:t>
            </w:r>
          </w:p>
          <w:p>
            <w:pPr>
              <w:pStyle w:val="TableParagraph"/>
              <w:spacing w:before="4"/>
              <w:ind w:left="0"/>
              <w:rPr>
                <w:rFonts w:ascii="Times New Roman"/>
                <w:sz w:val="23"/>
              </w:rPr>
            </w:pPr>
          </w:p>
          <w:p>
            <w:pPr>
              <w:pStyle w:val="TableParagraph"/>
              <w:spacing w:before="0"/>
              <w:rPr>
                <w:sz w:val="22"/>
              </w:rPr>
            </w:pPr>
            <w:r>
              <w:rPr>
                <w:sz w:val="22"/>
              </w:rPr>
              <w:t>The rendering looks like this:</w:t>
            </w:r>
          </w:p>
          <w:p>
            <w:pPr>
              <w:pStyle w:val="TableParagraph"/>
              <w:spacing w:before="7"/>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1181393" cy="1533525"/>
                  <wp:effectExtent l="0" t="0" r="0" b="0"/>
                  <wp:docPr id="327" name="image162.png"/>
                  <wp:cNvGraphicFramePr>
                    <a:graphicFrameLocks noChangeAspect="1"/>
                  </wp:cNvGraphicFramePr>
                  <a:graphic>
                    <a:graphicData uri="http://schemas.openxmlformats.org/drawingml/2006/picture">
                      <pic:pic>
                        <pic:nvPicPr>
                          <pic:cNvPr id="328" name="image162.png"/>
                          <pic:cNvPicPr/>
                        </pic:nvPicPr>
                        <pic:blipFill>
                          <a:blip r:embed="rId390" cstate="print"/>
                          <a:stretch>
                            <a:fillRect/>
                          </a:stretch>
                        </pic:blipFill>
                        <pic:spPr>
                          <a:xfrm>
                            <a:off x="0" y="0"/>
                            <a:ext cx="1181393" cy="1533525"/>
                          </a:xfrm>
                          <a:prstGeom prst="rect">
                            <a:avLst/>
                          </a:prstGeom>
                        </pic:spPr>
                      </pic:pic>
                    </a:graphicData>
                  </a:graphic>
                </wp:inline>
              </w:drawing>
            </w:r>
            <w:r>
              <w:rPr>
                <w:rFonts w:ascii="Times New Roman"/>
                <w:sz w:val="20"/>
              </w:rPr>
            </w:r>
          </w:p>
          <w:p>
            <w:pPr>
              <w:pStyle w:val="TableParagraph"/>
              <w:spacing w:before="2"/>
              <w:ind w:left="0"/>
              <w:rPr>
                <w:rFonts w:ascii="Times New Roman"/>
                <w:sz w:val="23"/>
              </w:rPr>
            </w:pPr>
          </w:p>
          <w:p>
            <w:pPr>
              <w:pStyle w:val="TableParagraph"/>
              <w:spacing w:before="0"/>
              <w:rPr>
                <w:sz w:val="22"/>
              </w:rPr>
            </w:pPr>
            <w:r>
              <w:rPr>
                <w:i/>
                <w:sz w:val="22"/>
              </w:rPr>
              <w:t>end example</w:t>
            </w:r>
            <w:r>
              <w:rPr>
                <w:sz w:val="22"/>
              </w:rPr>
              <w:t>]</w:t>
            </w:r>
          </w:p>
        </w:tc>
      </w:tr>
      <w:tr>
        <w:trPr>
          <w:trHeight w:val="623" w:hRule="atLeast"/>
        </w:trPr>
        <w:tc>
          <w:tcPr>
            <w:tcW w:w="5156" w:type="dxa"/>
          </w:tcPr>
          <w:p>
            <w:pPr>
              <w:pStyle w:val="TableParagraph"/>
              <w:rPr>
                <w:sz w:val="22"/>
              </w:rPr>
            </w:pPr>
            <w:r>
              <w:rPr>
                <w:rFonts w:ascii="Cambria"/>
                <w:sz w:val="22"/>
              </w:rPr>
              <w:t>justify </w:t>
            </w:r>
            <w:r>
              <w:rPr>
                <w:sz w:val="22"/>
              </w:rPr>
              <w:t>(Justified Vertically)</w:t>
            </w:r>
          </w:p>
        </w:tc>
        <w:tc>
          <w:tcPr>
            <w:tcW w:w="5156" w:type="dxa"/>
          </w:tcPr>
          <w:p>
            <w:pPr>
              <w:pStyle w:val="TableParagraph"/>
              <w:ind w:right="649"/>
              <w:rPr>
                <w:sz w:val="22"/>
              </w:rPr>
            </w:pPr>
            <w:r>
              <w:rPr>
                <w:sz w:val="22"/>
              </w:rPr>
              <w:t>When text direction is horizontal: the vertical alignment of lines of text is distributed vertically,</w:t>
            </w:r>
          </w:p>
        </w:tc>
      </w:tr>
    </w:tbl>
    <w:p>
      <w:pPr>
        <w:spacing w:after="0"/>
        <w:rPr>
          <w:sz w:val="22"/>
        </w:rPr>
        <w:sectPr>
          <w:pgSz w:w="12240" w:h="15840"/>
          <w:pgMar w:header="763" w:footer="746" w:top="1340" w:bottom="940" w:left="860" w:right="700"/>
        </w:sectPr>
      </w:pPr>
    </w:p>
    <w:p>
      <w:pPr>
        <w:pStyle w:val="BodyText"/>
        <w:spacing w:before="1"/>
        <w:rPr>
          <w:rFonts w:ascii="Times New Roman"/>
          <w:sz w:val="8"/>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12257" w:hRule="atLeast"/>
        </w:trPr>
        <w:tc>
          <w:tcPr>
            <w:tcW w:w="5156" w:type="dxa"/>
          </w:tcPr>
          <w:p>
            <w:pPr>
              <w:pStyle w:val="TableParagraph"/>
              <w:spacing w:before="0"/>
              <w:ind w:left="0"/>
              <w:rPr>
                <w:rFonts w:ascii="Times New Roman"/>
                <w:sz w:val="22"/>
              </w:rPr>
            </w:pPr>
          </w:p>
        </w:tc>
        <w:tc>
          <w:tcPr>
            <w:tcW w:w="5156" w:type="dxa"/>
          </w:tcPr>
          <w:p>
            <w:pPr>
              <w:pStyle w:val="TableParagraph"/>
              <w:ind w:right="172"/>
              <w:rPr>
                <w:sz w:val="22"/>
              </w:rPr>
            </w:pPr>
            <w:r>
              <w:rPr>
                <w:sz w:val="22"/>
              </w:rPr>
              <w:t>where each line of text inside the cell is evenly distributed across the height of the cell, with flush top and bottom margins.</w:t>
            </w:r>
          </w:p>
          <w:p>
            <w:pPr>
              <w:pStyle w:val="TableParagraph"/>
              <w:spacing w:before="4"/>
              <w:ind w:left="0"/>
              <w:rPr>
                <w:rFonts w:ascii="Times New Roman"/>
                <w:sz w:val="23"/>
              </w:rPr>
            </w:pPr>
          </w:p>
          <w:p>
            <w:pPr>
              <w:pStyle w:val="TableParagraph"/>
              <w:spacing w:before="1"/>
              <w:ind w:right="86"/>
              <w:rPr>
                <w:sz w:val="22"/>
              </w:rPr>
            </w:pPr>
            <w:r>
              <w:rPr>
                <w:sz w:val="22"/>
              </w:rPr>
              <w:t>When text direction is vertical: similar behavior as horizontal justification. The alignment is justified (flush top and bottom in this case). For each line of text, each line of the wrapped text in a cell is aligned to the top and bottom (except the last line). If no single line of text wraps in the cell, then the text is not justified.</w:t>
            </w:r>
          </w:p>
          <w:p>
            <w:pPr>
              <w:pStyle w:val="TableParagraph"/>
              <w:spacing w:before="3"/>
              <w:ind w:left="0"/>
              <w:rPr>
                <w:rFonts w:ascii="Times New Roman"/>
                <w:sz w:val="23"/>
              </w:rPr>
            </w:pPr>
          </w:p>
          <w:p>
            <w:pPr>
              <w:pStyle w:val="TableParagraph"/>
              <w:spacing w:before="0"/>
              <w:ind w:right="143"/>
              <w:rPr>
                <w:sz w:val="22"/>
              </w:rPr>
            </w:pPr>
            <w:r>
              <w:rPr>
                <w:sz w:val="22"/>
              </w:rPr>
              <w:t>[</w:t>
            </w:r>
            <w:r>
              <w:rPr>
                <w:i/>
                <w:sz w:val="22"/>
              </w:rPr>
              <w:t>Example</w:t>
            </w:r>
            <w:r>
              <w:rPr>
                <w:sz w:val="22"/>
              </w:rPr>
              <w:t>: Horizontal text: this first example shows four lines of text (read horizontally from left to right) justified vertically across the height of the cell. The first line is "abc", the second line is "def", the third</w:t>
            </w:r>
            <w:r>
              <w:rPr>
                <w:spacing w:val="-16"/>
                <w:sz w:val="22"/>
              </w:rPr>
              <w:t> </w:t>
            </w:r>
            <w:r>
              <w:rPr>
                <w:sz w:val="22"/>
              </w:rPr>
              <w:t>line is "ghi" and the fourth line is</w:t>
            </w:r>
            <w:r>
              <w:rPr>
                <w:spacing w:val="-9"/>
                <w:sz w:val="22"/>
              </w:rPr>
              <w:t> </w:t>
            </w:r>
            <w:r>
              <w:rPr>
                <w:sz w:val="22"/>
              </w:rPr>
              <w:t>"jkl".</w:t>
            </w:r>
          </w:p>
          <w:p>
            <w:pPr>
              <w:pStyle w:val="TableParagraph"/>
              <w:spacing w:before="6"/>
              <w:ind w:left="0"/>
              <w:rPr>
                <w:rFonts w:ascii="Times New Roman"/>
                <w:sz w:val="23"/>
              </w:rPr>
            </w:pPr>
          </w:p>
          <w:p>
            <w:pPr>
              <w:pStyle w:val="TableParagraph"/>
              <w:spacing w:before="0"/>
              <w:ind w:left="143"/>
              <w:rPr>
                <w:rFonts w:ascii="Times New Roman"/>
                <w:sz w:val="20"/>
              </w:rPr>
            </w:pPr>
            <w:r>
              <w:rPr>
                <w:rFonts w:ascii="Times New Roman"/>
                <w:sz w:val="20"/>
              </w:rPr>
              <w:drawing>
                <wp:inline distT="0" distB="0" distL="0" distR="0">
                  <wp:extent cx="1534272" cy="2952750"/>
                  <wp:effectExtent l="0" t="0" r="0" b="0"/>
                  <wp:docPr id="329" name="image161.png"/>
                  <wp:cNvGraphicFramePr>
                    <a:graphicFrameLocks noChangeAspect="1"/>
                  </wp:cNvGraphicFramePr>
                  <a:graphic>
                    <a:graphicData uri="http://schemas.openxmlformats.org/drawingml/2006/picture">
                      <pic:pic>
                        <pic:nvPicPr>
                          <pic:cNvPr id="330" name="image161.png"/>
                          <pic:cNvPicPr/>
                        </pic:nvPicPr>
                        <pic:blipFill>
                          <a:blip r:embed="rId389" cstate="print"/>
                          <a:stretch>
                            <a:fillRect/>
                          </a:stretch>
                        </pic:blipFill>
                        <pic:spPr>
                          <a:xfrm>
                            <a:off x="0" y="0"/>
                            <a:ext cx="1534272" cy="2952750"/>
                          </a:xfrm>
                          <a:prstGeom prst="rect">
                            <a:avLst/>
                          </a:prstGeom>
                        </pic:spPr>
                      </pic:pic>
                    </a:graphicData>
                  </a:graphic>
                </wp:inline>
              </w:drawing>
            </w:r>
            <w:r>
              <w:rPr>
                <w:rFonts w:ascii="Times New Roman"/>
                <w:sz w:val="20"/>
              </w:rPr>
            </w:r>
          </w:p>
          <w:p>
            <w:pPr>
              <w:pStyle w:val="TableParagraph"/>
              <w:spacing w:before="3"/>
              <w:ind w:left="0"/>
              <w:rPr>
                <w:rFonts w:ascii="Times New Roman"/>
                <w:sz w:val="23"/>
              </w:rPr>
            </w:pPr>
          </w:p>
          <w:p>
            <w:pPr>
              <w:pStyle w:val="TableParagraph"/>
              <w:spacing w:before="1"/>
              <w:ind w:right="154"/>
              <w:rPr>
                <w:sz w:val="22"/>
              </w:rPr>
            </w:pPr>
            <w:r>
              <w:rPr>
                <w:sz w:val="22"/>
              </w:rPr>
              <w:t>Vertical text: this second example shows three lines of text (read vertically from top to bottom) distributed vertically across the height of the cell. The lines of text are:</w:t>
            </w:r>
          </w:p>
          <w:p>
            <w:pPr>
              <w:pStyle w:val="TableParagraph"/>
              <w:spacing w:before="3"/>
              <w:ind w:left="0"/>
              <w:rPr>
                <w:rFonts w:ascii="Times New Roman"/>
                <w:sz w:val="23"/>
              </w:rPr>
            </w:pPr>
          </w:p>
          <w:p>
            <w:pPr>
              <w:pStyle w:val="TableParagraph"/>
              <w:spacing w:before="0"/>
              <w:ind w:right="2981"/>
              <w:rPr>
                <w:sz w:val="22"/>
              </w:rPr>
            </w:pPr>
            <w:r>
              <w:rPr>
                <w:sz w:val="22"/>
              </w:rPr>
              <w:t>abcd efg hijklmnop qrs tuv wx</w:t>
            </w:r>
          </w:p>
          <w:p>
            <w:pPr>
              <w:pStyle w:val="TableParagraph"/>
              <w:spacing w:before="1"/>
              <w:rPr>
                <w:sz w:val="22"/>
              </w:rPr>
            </w:pPr>
            <w:r>
              <w:rPr>
                <w:sz w:val="22"/>
              </w:rPr>
              <w:t>yzabc defg hijk lmnop</w:t>
            </w:r>
          </w:p>
          <w:p>
            <w:pPr>
              <w:pStyle w:val="TableParagraph"/>
              <w:spacing w:before="4"/>
              <w:ind w:left="0"/>
              <w:rPr>
                <w:rFonts w:ascii="Times New Roman"/>
                <w:sz w:val="23"/>
              </w:rPr>
            </w:pPr>
          </w:p>
          <w:p>
            <w:pPr>
              <w:pStyle w:val="TableParagraph"/>
              <w:spacing w:before="0"/>
              <w:rPr>
                <w:sz w:val="22"/>
              </w:rPr>
            </w:pPr>
            <w:r>
              <w:rPr>
                <w:sz w:val="22"/>
              </w:rPr>
              <w:t>The rendering looks like this:</w:t>
            </w:r>
          </w:p>
        </w:tc>
      </w:tr>
    </w:tbl>
    <w:p>
      <w:pPr>
        <w:spacing w:after="0"/>
        <w:rPr>
          <w:sz w:val="22"/>
        </w:rPr>
        <w:sectPr>
          <w:pgSz w:w="12240" w:h="15840"/>
          <w:pgMar w:header="761" w:footer="746" w:top="1340" w:bottom="940" w:left="860" w:right="700"/>
        </w:sectPr>
      </w:pPr>
    </w:p>
    <w:p>
      <w:pPr>
        <w:pStyle w:val="BodyText"/>
        <w:spacing w:before="1"/>
        <w:rPr>
          <w:rFonts w:ascii="Times New Roman"/>
          <w:sz w:val="13"/>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306" w:hRule="atLeast"/>
        </w:trPr>
        <w:tc>
          <w:tcPr>
            <w:tcW w:w="5156" w:type="dxa"/>
          </w:tcPr>
          <w:p>
            <w:pPr>
              <w:pStyle w:val="TableParagraph"/>
              <w:spacing w:before="0"/>
              <w:ind w:left="0"/>
              <w:rPr>
                <w:rFonts w:ascii="Times New Roman"/>
                <w:sz w:val="22"/>
              </w:rPr>
            </w:pPr>
          </w:p>
        </w:tc>
        <w:tc>
          <w:tcPr>
            <w:tcW w:w="5156" w:type="dxa"/>
          </w:tcPr>
          <w:p>
            <w:pPr>
              <w:pStyle w:val="TableParagraph"/>
              <w:spacing w:before="8"/>
              <w:ind w:left="0"/>
              <w:rPr>
                <w:rFonts w:ascii="Times New Roman"/>
                <w:sz w:val="3"/>
              </w:rPr>
            </w:pPr>
          </w:p>
          <w:p>
            <w:pPr>
              <w:pStyle w:val="TableParagraph"/>
              <w:spacing w:before="0"/>
              <w:ind w:left="143"/>
              <w:rPr>
                <w:rFonts w:ascii="Times New Roman"/>
                <w:sz w:val="20"/>
              </w:rPr>
            </w:pPr>
            <w:r>
              <w:rPr>
                <w:rFonts w:ascii="Times New Roman"/>
                <w:sz w:val="20"/>
              </w:rPr>
              <w:drawing>
                <wp:inline distT="0" distB="0" distL="0" distR="0">
                  <wp:extent cx="1192064" cy="1533525"/>
                  <wp:effectExtent l="0" t="0" r="0" b="0"/>
                  <wp:docPr id="331" name="image163.png"/>
                  <wp:cNvGraphicFramePr>
                    <a:graphicFrameLocks noChangeAspect="1"/>
                  </wp:cNvGraphicFramePr>
                  <a:graphic>
                    <a:graphicData uri="http://schemas.openxmlformats.org/drawingml/2006/picture">
                      <pic:pic>
                        <pic:nvPicPr>
                          <pic:cNvPr id="332" name="image163.png"/>
                          <pic:cNvPicPr/>
                        </pic:nvPicPr>
                        <pic:blipFill>
                          <a:blip r:embed="rId391" cstate="print"/>
                          <a:stretch>
                            <a:fillRect/>
                          </a:stretch>
                        </pic:blipFill>
                        <pic:spPr>
                          <a:xfrm>
                            <a:off x="0" y="0"/>
                            <a:ext cx="1192064" cy="1533525"/>
                          </a:xfrm>
                          <a:prstGeom prst="rect">
                            <a:avLst/>
                          </a:prstGeom>
                        </pic:spPr>
                      </pic:pic>
                    </a:graphicData>
                  </a:graphic>
                </wp:inline>
              </w:drawing>
            </w:r>
            <w:r>
              <w:rPr>
                <w:rFonts w:ascii="Times New Roman"/>
                <w:sz w:val="20"/>
              </w:rPr>
            </w:r>
          </w:p>
          <w:p>
            <w:pPr>
              <w:pStyle w:val="TableParagraph"/>
              <w:spacing w:before="1"/>
              <w:ind w:left="0"/>
              <w:rPr>
                <w:rFonts w:ascii="Times New Roman"/>
                <w:sz w:val="23"/>
              </w:rPr>
            </w:pPr>
          </w:p>
          <w:p>
            <w:pPr>
              <w:pStyle w:val="TableParagraph"/>
              <w:spacing w:before="0"/>
              <w:rPr>
                <w:sz w:val="22"/>
              </w:rPr>
            </w:pPr>
            <w:r>
              <w:rPr>
                <w:i/>
                <w:sz w:val="22"/>
              </w:rPr>
              <w:t>end example</w:t>
            </w:r>
            <w:r>
              <w:rPr>
                <w:sz w:val="22"/>
              </w:rPr>
              <w:t>]</w:t>
            </w:r>
          </w:p>
        </w:tc>
      </w:tr>
      <w:tr>
        <w:trPr>
          <w:trHeight w:val="355" w:hRule="atLeast"/>
        </w:trPr>
        <w:tc>
          <w:tcPr>
            <w:tcW w:w="5156" w:type="dxa"/>
          </w:tcPr>
          <w:p>
            <w:pPr>
              <w:pStyle w:val="TableParagraph"/>
              <w:rPr>
                <w:sz w:val="22"/>
              </w:rPr>
            </w:pPr>
            <w:r>
              <w:rPr>
                <w:rFonts w:ascii="Cambria"/>
                <w:sz w:val="22"/>
              </w:rPr>
              <w:t>top </w:t>
            </w:r>
            <w:r>
              <w:rPr>
                <w:sz w:val="22"/>
              </w:rPr>
              <w:t>(Align Top)</w:t>
            </w:r>
          </w:p>
        </w:tc>
        <w:tc>
          <w:tcPr>
            <w:tcW w:w="5156" w:type="dxa"/>
          </w:tcPr>
          <w:p>
            <w:pPr>
              <w:pStyle w:val="TableParagraph"/>
              <w:rPr>
                <w:sz w:val="22"/>
              </w:rPr>
            </w:pPr>
            <w:r>
              <w:rPr>
                <w:sz w:val="22"/>
              </w:rPr>
              <w:t>The vertical alignment is aligned-to-top.</w:t>
            </w:r>
          </w:p>
        </w:tc>
      </w:tr>
    </w:tbl>
    <w:p>
      <w:pPr>
        <w:pStyle w:val="BodyText"/>
        <w:rPr>
          <w:rFonts w:ascii="Times New Roman"/>
          <w:sz w:val="20"/>
        </w:rPr>
      </w:pPr>
    </w:p>
    <w:p>
      <w:pPr>
        <w:pStyle w:val="BodyText"/>
        <w:spacing w:before="1"/>
        <w:rPr>
          <w:rFonts w:ascii="Times New Roman"/>
          <w:sz w:val="19"/>
        </w:rPr>
      </w:pPr>
    </w:p>
    <w:p>
      <w:pPr>
        <w:pStyle w:val="BodyText"/>
        <w:spacing w:before="56"/>
        <w:ind w:left="220"/>
      </w:pPr>
      <w:r>
        <w:rPr/>
        <w:t>[</w:t>
      </w:r>
      <w:r>
        <w:rPr>
          <w:i/>
        </w:rPr>
        <w:t>Note</w:t>
      </w:r>
      <w:r>
        <w:rPr/>
        <w:t>: The W3C XML Schema definition of this simple type’s content model (</w:t>
      </w:r>
      <w:r>
        <w:rPr>
          <w:color w:val="5F5F5F"/>
          <w:u w:val="single" w:color="5F5F5F"/>
        </w:rPr>
        <w:t>ST_VerticalAlignment</w:t>
      </w:r>
      <w:r>
        <w:rPr/>
        <w:t>) is located in</w:t>
      </w:r>
    </w:p>
    <w:p>
      <w:pPr>
        <w:spacing w:before="43"/>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1" w:after="0"/>
        <w:ind w:left="1444" w:right="0" w:hanging="1225"/>
        <w:jc w:val="left"/>
      </w:pPr>
      <w:bookmarkStart w:name="18.18.89 ST_Visibility (Visibility Types" w:id="2732"/>
      <w:bookmarkEnd w:id="2732"/>
      <w:r>
        <w:rPr>
          <w:b w:val="0"/>
        </w:rPr>
      </w:r>
      <w:bookmarkStart w:name="_bookmark911" w:id="2733"/>
      <w:bookmarkEnd w:id="2733"/>
      <w:r>
        <w:rPr>
          <w:b w:val="0"/>
        </w:rPr>
      </w:r>
      <w:bookmarkStart w:name="_bookmark911" w:id="2734"/>
      <w:bookmarkEnd w:id="2734"/>
      <w:r>
        <w:rPr>
          <w:color w:val="4F81BC"/>
        </w:rPr>
        <w:t>S</w:t>
      </w:r>
      <w:r>
        <w:rPr>
          <w:color w:val="4F81BC"/>
        </w:rPr>
        <w:t>T_Visibility (Visibility</w:t>
      </w:r>
      <w:r>
        <w:rPr>
          <w:color w:val="4F81BC"/>
          <w:spacing w:val="-2"/>
        </w:rPr>
        <w:t> </w:t>
      </w:r>
      <w:r>
        <w:rPr>
          <w:color w:val="4F81BC"/>
        </w:rPr>
        <w:t>Types)</w:t>
      </w:r>
    </w:p>
    <w:p>
      <w:pPr>
        <w:pStyle w:val="BodyText"/>
        <w:spacing w:before="124"/>
        <w:ind w:left="220"/>
      </w:pPr>
      <w:r>
        <w:rPr/>
        <w:t>This simple type defines the possible states for workbook window visibility.</w:t>
      </w:r>
    </w:p>
    <w:p>
      <w:pPr>
        <w:pStyle w:val="BodyText"/>
        <w:spacing w:before="8"/>
        <w:rPr>
          <w:sz w:val="19"/>
        </w:rPr>
      </w:pPr>
    </w:p>
    <w:p>
      <w:pPr>
        <w:pStyle w:val="BodyText"/>
        <w:spacing w:line="489" w:lineRule="auto"/>
        <w:ind w:left="220" w:right="2804"/>
      </w:pPr>
      <w:r>
        <w:rPr/>
        <w:pict>
          <v:shape style="position:absolute;margin-left:48pt;margin-top:42.873611pt;width:516.35pt;height:113.8pt;mso-position-horizontal-relative:page;mso-position-vertical-relative:paragraph;z-index:2519787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623" w:hRule="atLeast"/>
                    </w:trPr>
                    <w:tc>
                      <w:tcPr>
                        <w:tcW w:w="5156" w:type="dxa"/>
                      </w:tcPr>
                      <w:p>
                        <w:pPr>
                          <w:pStyle w:val="TableParagraph"/>
                          <w:rPr>
                            <w:sz w:val="22"/>
                          </w:rPr>
                        </w:pPr>
                        <w:r>
                          <w:rPr>
                            <w:rFonts w:ascii="Cambria"/>
                            <w:sz w:val="22"/>
                          </w:rPr>
                          <w:t>hidden </w:t>
                        </w:r>
                        <w:r>
                          <w:rPr>
                            <w:sz w:val="22"/>
                          </w:rPr>
                          <w:t>(Hidden)</w:t>
                        </w:r>
                      </w:p>
                    </w:tc>
                    <w:tc>
                      <w:tcPr>
                        <w:tcW w:w="5156" w:type="dxa"/>
                      </w:tcPr>
                      <w:p>
                        <w:pPr>
                          <w:pStyle w:val="TableParagraph"/>
                          <w:ind w:right="242"/>
                          <w:rPr>
                            <w:sz w:val="22"/>
                          </w:rPr>
                        </w:pPr>
                        <w:r>
                          <w:rPr>
                            <w:sz w:val="22"/>
                          </w:rPr>
                          <w:t>Indicates the workbook window is hidden, but can be shown by the user via the user interface.</w:t>
                        </w:r>
                      </w:p>
                    </w:tc>
                  </w:tr>
                  <w:tr>
                    <w:trPr>
                      <w:trHeight w:val="892" w:hRule="atLeast"/>
                    </w:trPr>
                    <w:tc>
                      <w:tcPr>
                        <w:tcW w:w="5156" w:type="dxa"/>
                      </w:tcPr>
                      <w:p>
                        <w:pPr>
                          <w:pStyle w:val="TableParagraph"/>
                          <w:rPr>
                            <w:sz w:val="22"/>
                          </w:rPr>
                        </w:pPr>
                        <w:r>
                          <w:rPr>
                            <w:rFonts w:ascii="Cambria"/>
                            <w:sz w:val="22"/>
                          </w:rPr>
                          <w:t>veryHidden </w:t>
                        </w:r>
                        <w:r>
                          <w:rPr>
                            <w:sz w:val="22"/>
                          </w:rPr>
                          <w:t>(Very Hidden)</w:t>
                        </w:r>
                      </w:p>
                    </w:tc>
                    <w:tc>
                      <w:tcPr>
                        <w:tcW w:w="5156" w:type="dxa"/>
                      </w:tcPr>
                      <w:p>
                        <w:pPr>
                          <w:pStyle w:val="TableParagraph"/>
                          <w:ind w:right="234"/>
                          <w:rPr>
                            <w:sz w:val="22"/>
                          </w:rPr>
                        </w:pPr>
                        <w:r>
                          <w:rPr>
                            <w:sz w:val="22"/>
                          </w:rPr>
                          <w:t>Indicates the workbook window is hidden and cannot be shown in the user interface (UI). This state is only available programmatically.</w:t>
                        </w:r>
                      </w:p>
                    </w:tc>
                  </w:tr>
                  <w:tr>
                    <w:trPr>
                      <w:trHeight w:val="354" w:hRule="atLeast"/>
                    </w:trPr>
                    <w:tc>
                      <w:tcPr>
                        <w:tcW w:w="5156" w:type="dxa"/>
                      </w:tcPr>
                      <w:p>
                        <w:pPr>
                          <w:pStyle w:val="TableParagraph"/>
                          <w:rPr>
                            <w:sz w:val="22"/>
                          </w:rPr>
                        </w:pPr>
                        <w:r>
                          <w:rPr>
                            <w:rFonts w:ascii="Cambria"/>
                            <w:sz w:val="22"/>
                          </w:rPr>
                          <w:t>visible </w:t>
                        </w:r>
                        <w:r>
                          <w:rPr>
                            <w:sz w:val="22"/>
                          </w:rPr>
                          <w:t>(Visible)</w:t>
                        </w:r>
                      </w:p>
                    </w:tc>
                    <w:tc>
                      <w:tcPr>
                        <w:tcW w:w="5156" w:type="dxa"/>
                      </w:tcPr>
                      <w:p>
                        <w:pPr>
                          <w:pStyle w:val="TableParagraph"/>
                          <w:rPr>
                            <w:sz w:val="22"/>
                          </w:rPr>
                        </w:pPr>
                        <w:r>
                          <w:rPr>
                            <w:sz w:val="22"/>
                          </w:rPr>
                          <w:t>Indicates the workbook window is visible.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32"/>
        </w:rPr>
      </w:pPr>
    </w:p>
    <w:p>
      <w:pPr>
        <w:pStyle w:val="BodyText"/>
        <w:spacing w:line="276" w:lineRule="auto"/>
        <w:ind w:left="220" w:right="457"/>
      </w:pPr>
      <w:r>
        <w:rPr/>
        <w:t>[</w:t>
      </w:r>
      <w:r>
        <w:rPr>
          <w:i/>
        </w:rPr>
        <w:t>Note</w:t>
      </w:r>
      <w:r>
        <w:rPr/>
        <w:t>: The W3C XML Schema definition of this simple type’s content model (</w:t>
      </w:r>
      <w:r>
        <w:rPr>
          <w:color w:val="5F5F5F"/>
          <w:u w:val="single" w:color="5F5F5F"/>
        </w:rPr>
        <w:t>ST_Visibility</w:t>
      </w:r>
      <w:r>
        <w:rPr/>
        <w:t>) is located in §A.2. </w:t>
      </w:r>
      <w:r>
        <w:rPr>
          <w:i/>
        </w:rPr>
        <w:t>end </w:t>
      </w:r>
      <w:r>
        <w:rPr>
          <w:i/>
        </w:rPr>
        <w:t>note</w:t>
      </w:r>
      <w:r>
        <w:rPr/>
        <w:t>]</w:t>
      </w:r>
    </w:p>
    <w:p>
      <w:pPr>
        <w:pStyle w:val="BodyText"/>
        <w:spacing w:before="6"/>
        <w:rPr>
          <w:sz w:val="16"/>
        </w:rPr>
      </w:pPr>
    </w:p>
    <w:p>
      <w:pPr>
        <w:pStyle w:val="Heading2"/>
        <w:numPr>
          <w:ilvl w:val="2"/>
          <w:numId w:val="17"/>
        </w:numPr>
        <w:tabs>
          <w:tab w:pos="1445" w:val="left" w:leader="none"/>
        </w:tabs>
        <w:spacing w:line="240" w:lineRule="auto" w:before="1" w:after="0"/>
        <w:ind w:left="1444" w:right="0" w:hanging="1225"/>
        <w:jc w:val="left"/>
      </w:pPr>
      <w:bookmarkStart w:name="18.18.90 ST_VolDepType (Volatile Depende" w:id="2735"/>
      <w:bookmarkEnd w:id="2735"/>
      <w:r>
        <w:rPr>
          <w:b w:val="0"/>
        </w:rPr>
      </w:r>
      <w:bookmarkStart w:name="_bookmark912" w:id="2736"/>
      <w:bookmarkEnd w:id="2736"/>
      <w:r>
        <w:rPr>
          <w:b w:val="0"/>
        </w:rPr>
      </w:r>
      <w:bookmarkStart w:name="_bookmark912" w:id="2737"/>
      <w:bookmarkEnd w:id="2737"/>
      <w:r>
        <w:rPr>
          <w:color w:val="4F81BC"/>
        </w:rPr>
        <w:t>S</w:t>
      </w:r>
      <w:r>
        <w:rPr>
          <w:color w:val="4F81BC"/>
        </w:rPr>
        <w:t>T_VolDepType (Volatile Dependency</w:t>
      </w:r>
      <w:r>
        <w:rPr>
          <w:color w:val="4F81BC"/>
          <w:spacing w:val="-2"/>
        </w:rPr>
        <w:t> </w:t>
      </w:r>
      <w:r>
        <w:rPr>
          <w:color w:val="4F81BC"/>
        </w:rPr>
        <w:t>Types)</w:t>
      </w:r>
    </w:p>
    <w:p>
      <w:pPr>
        <w:pStyle w:val="BodyText"/>
        <w:spacing w:before="126"/>
        <w:ind w:left="220"/>
      </w:pPr>
      <w:r>
        <w:rPr/>
        <w:t>This simple type defines the dependency types available for this workbook.</w:t>
      </w:r>
    </w:p>
    <w:p>
      <w:pPr>
        <w:pStyle w:val="BodyText"/>
        <w:spacing w:before="8"/>
        <w:rPr>
          <w:sz w:val="19"/>
        </w:rPr>
      </w:pPr>
    </w:p>
    <w:p>
      <w:pPr>
        <w:pStyle w:val="BodyText"/>
        <w:ind w:left="220"/>
      </w:pPr>
      <w:r>
        <w:rPr/>
        <w:t>This simple type's contents are a restriction of the W3C XML Schema </w:t>
      </w:r>
      <w:r>
        <w:rPr>
          <w:rFonts w:ascii="Cambria"/>
        </w:rPr>
        <w:t>string </w:t>
      </w:r>
      <w:r>
        <w:rPr/>
        <w:t>datatype.</w:t>
      </w:r>
    </w:p>
    <w:p>
      <w:pPr>
        <w:spacing w:after="0"/>
        <w:sectPr>
          <w:pgSz w:w="12240" w:h="15840"/>
          <w:pgMar w:header="763" w:footer="746" w:top="1340" w:bottom="940" w:left="860" w:right="700"/>
        </w:sectPr>
      </w:pPr>
    </w:p>
    <w:p>
      <w:pPr>
        <w:pStyle w:val="BodyText"/>
        <w:spacing w:before="90" w:after="45"/>
        <w:ind w:left="220"/>
      </w:pPr>
      <w:r>
        <w:rPr/>
        <w:t>This simple type is restricted to the values listed in the following table:</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2" w:hRule="atLeast"/>
        </w:trPr>
        <w:tc>
          <w:tcPr>
            <w:tcW w:w="5156" w:type="dxa"/>
          </w:tcPr>
          <w:p>
            <w:pPr>
              <w:pStyle w:val="TableParagraph"/>
              <w:rPr>
                <w:sz w:val="22"/>
              </w:rPr>
            </w:pPr>
            <w:r>
              <w:rPr>
                <w:rFonts w:ascii="Cambria"/>
                <w:sz w:val="22"/>
              </w:rPr>
              <w:t>olapFunctions </w:t>
            </w:r>
            <w:r>
              <w:rPr>
                <w:sz w:val="22"/>
              </w:rPr>
              <w:t>(OLAP Formulas)</w:t>
            </w:r>
          </w:p>
        </w:tc>
        <w:tc>
          <w:tcPr>
            <w:tcW w:w="5156" w:type="dxa"/>
          </w:tcPr>
          <w:p>
            <w:pPr>
              <w:pStyle w:val="TableParagraph"/>
              <w:rPr>
                <w:sz w:val="22"/>
              </w:rPr>
            </w:pPr>
            <w:r>
              <w:rPr>
                <w:sz w:val="22"/>
              </w:rPr>
              <w:t>Indicates that the type is Cube Functions.</w:t>
            </w:r>
          </w:p>
        </w:tc>
      </w:tr>
      <w:tr>
        <w:trPr>
          <w:trHeight w:val="357" w:hRule="atLeast"/>
        </w:trPr>
        <w:tc>
          <w:tcPr>
            <w:tcW w:w="5156" w:type="dxa"/>
          </w:tcPr>
          <w:p>
            <w:pPr>
              <w:pStyle w:val="TableParagraph"/>
              <w:spacing w:before="42"/>
              <w:rPr>
                <w:sz w:val="22"/>
              </w:rPr>
            </w:pPr>
            <w:r>
              <w:rPr>
                <w:rFonts w:ascii="Cambria"/>
                <w:sz w:val="22"/>
              </w:rPr>
              <w:t>realTimeData </w:t>
            </w:r>
            <w:r>
              <w:rPr>
                <w:sz w:val="22"/>
              </w:rPr>
              <w:t>(Real Time Data)</w:t>
            </w:r>
          </w:p>
        </w:tc>
        <w:tc>
          <w:tcPr>
            <w:tcW w:w="5156" w:type="dxa"/>
          </w:tcPr>
          <w:p>
            <w:pPr>
              <w:pStyle w:val="TableParagraph"/>
              <w:spacing w:before="42"/>
              <w:rPr>
                <w:sz w:val="22"/>
              </w:rPr>
            </w:pPr>
            <w:r>
              <w:rPr>
                <w:sz w:val="22"/>
              </w:rPr>
              <w:t>Indicates that the type is Real Time Data (RTD).</w:t>
            </w:r>
          </w:p>
        </w:tc>
      </w:tr>
    </w:tbl>
    <w:p>
      <w:pPr>
        <w:pStyle w:val="BodyText"/>
      </w:pPr>
    </w:p>
    <w:p>
      <w:pPr>
        <w:pStyle w:val="BodyText"/>
        <w:spacing w:before="5"/>
        <w:rPr>
          <w:sz w:val="19"/>
        </w:rPr>
      </w:pPr>
    </w:p>
    <w:p>
      <w:pPr>
        <w:pStyle w:val="BodyText"/>
        <w:ind w:left="220"/>
      </w:pPr>
      <w:r>
        <w:rPr/>
        <w:t>[</w:t>
      </w:r>
      <w:r>
        <w:rPr>
          <w:i/>
        </w:rPr>
        <w:t>Note</w:t>
      </w:r>
      <w:r>
        <w:rPr/>
        <w:t>: The W3C XML Schema definition of this simple type’s content model (</w:t>
      </w:r>
      <w:r>
        <w:rPr>
          <w:color w:val="5F5F5F"/>
          <w:u w:val="single" w:color="5F5F5F"/>
        </w:rPr>
        <w:t>ST_VolDepType</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91 ST_VolValueType (Volatile Depen" w:id="2738"/>
      <w:bookmarkEnd w:id="2738"/>
      <w:r>
        <w:rPr>
          <w:b w:val="0"/>
        </w:rPr>
      </w:r>
      <w:bookmarkStart w:name="_bookmark913" w:id="2739"/>
      <w:bookmarkEnd w:id="2739"/>
      <w:r>
        <w:rPr>
          <w:b w:val="0"/>
        </w:rPr>
      </w:r>
      <w:bookmarkStart w:name="_bookmark913" w:id="2740"/>
      <w:bookmarkEnd w:id="2740"/>
      <w:r>
        <w:rPr>
          <w:color w:val="4F81BC"/>
        </w:rPr>
        <w:t>S</w:t>
      </w:r>
      <w:r>
        <w:rPr>
          <w:color w:val="4F81BC"/>
        </w:rPr>
        <w:t>T_VolValueType (Volatile Dependency Value</w:t>
      </w:r>
      <w:r>
        <w:rPr>
          <w:color w:val="4F81BC"/>
          <w:spacing w:val="-2"/>
        </w:rPr>
        <w:t> </w:t>
      </w:r>
      <w:r>
        <w:rPr>
          <w:color w:val="4F81BC"/>
        </w:rPr>
        <w:t>Types)</w:t>
      </w:r>
    </w:p>
    <w:p>
      <w:pPr>
        <w:pStyle w:val="BodyText"/>
        <w:spacing w:before="126"/>
        <w:ind w:left="220"/>
      </w:pPr>
      <w:r>
        <w:rPr/>
        <w:t>This simple type defines the data type of the values in the dependency cache.</w:t>
      </w:r>
    </w:p>
    <w:p>
      <w:pPr>
        <w:pStyle w:val="BodyText"/>
        <w:spacing w:before="9"/>
        <w:rPr>
          <w:sz w:val="19"/>
        </w:rPr>
      </w:pPr>
    </w:p>
    <w:p>
      <w:pPr>
        <w:pStyle w:val="BodyText"/>
        <w:spacing w:line="489" w:lineRule="auto"/>
        <w:ind w:left="220" w:right="2804"/>
      </w:pPr>
      <w:r>
        <w:rPr/>
        <w:pict>
          <v:shape style="position:absolute;margin-left:48pt;margin-top:42.873611pt;width:516.35pt;height:91.7pt;mso-position-horizontal-relative:page;mso-position-vertical-relative:paragraph;z-index:25197977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4"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b </w:t>
                        </w:r>
                        <w:r>
                          <w:rPr>
                            <w:sz w:val="22"/>
                          </w:rPr>
                          <w:t>(Boolean)</w:t>
                        </w:r>
                      </w:p>
                    </w:tc>
                    <w:tc>
                      <w:tcPr>
                        <w:tcW w:w="5156" w:type="dxa"/>
                      </w:tcPr>
                      <w:p>
                        <w:pPr>
                          <w:pStyle w:val="TableParagraph"/>
                          <w:rPr>
                            <w:sz w:val="22"/>
                          </w:rPr>
                        </w:pPr>
                        <w:r>
                          <w:rPr>
                            <w:sz w:val="22"/>
                          </w:rPr>
                          <w:t>Indicates topic value is a boolean.</w:t>
                        </w:r>
                      </w:p>
                    </w:tc>
                  </w:tr>
                  <w:tr>
                    <w:trPr>
                      <w:trHeight w:val="354" w:hRule="atLeast"/>
                    </w:trPr>
                    <w:tc>
                      <w:tcPr>
                        <w:tcW w:w="5156" w:type="dxa"/>
                      </w:tcPr>
                      <w:p>
                        <w:pPr>
                          <w:pStyle w:val="TableParagraph"/>
                          <w:rPr>
                            <w:sz w:val="22"/>
                          </w:rPr>
                        </w:pPr>
                        <w:r>
                          <w:rPr>
                            <w:rFonts w:ascii="Cambria"/>
                            <w:sz w:val="22"/>
                          </w:rPr>
                          <w:t>e </w:t>
                        </w:r>
                        <w:r>
                          <w:rPr>
                            <w:sz w:val="22"/>
                          </w:rPr>
                          <w:t>(Error)</w:t>
                        </w:r>
                      </w:p>
                    </w:tc>
                    <w:tc>
                      <w:tcPr>
                        <w:tcW w:w="5156" w:type="dxa"/>
                      </w:tcPr>
                      <w:p>
                        <w:pPr>
                          <w:pStyle w:val="TableParagraph"/>
                          <w:rPr>
                            <w:sz w:val="22"/>
                          </w:rPr>
                        </w:pPr>
                        <w:r>
                          <w:rPr>
                            <w:sz w:val="22"/>
                          </w:rPr>
                          <w:t>Indicates topic value is an error.</w:t>
                        </w:r>
                      </w:p>
                    </w:tc>
                  </w:tr>
                  <w:tr>
                    <w:trPr>
                      <w:trHeight w:val="354" w:hRule="atLeast"/>
                    </w:trPr>
                    <w:tc>
                      <w:tcPr>
                        <w:tcW w:w="5156" w:type="dxa"/>
                      </w:tcPr>
                      <w:p>
                        <w:pPr>
                          <w:pStyle w:val="TableParagraph"/>
                          <w:rPr>
                            <w:sz w:val="22"/>
                          </w:rPr>
                        </w:pPr>
                        <w:r>
                          <w:rPr>
                            <w:rFonts w:ascii="Cambria"/>
                            <w:sz w:val="22"/>
                          </w:rPr>
                          <w:t>n </w:t>
                        </w:r>
                        <w:r>
                          <w:rPr>
                            <w:sz w:val="22"/>
                          </w:rPr>
                          <w:t>(Real Number)</w:t>
                        </w:r>
                      </w:p>
                    </w:tc>
                    <w:tc>
                      <w:tcPr>
                        <w:tcW w:w="5156" w:type="dxa"/>
                      </w:tcPr>
                      <w:p>
                        <w:pPr>
                          <w:pStyle w:val="TableParagraph"/>
                          <w:rPr>
                            <w:sz w:val="22"/>
                          </w:rPr>
                        </w:pPr>
                        <w:r>
                          <w:rPr>
                            <w:sz w:val="22"/>
                          </w:rPr>
                          <w:t>Indicates topic value is a real number.</w:t>
                        </w:r>
                      </w:p>
                    </w:tc>
                  </w:tr>
                  <w:tr>
                    <w:trPr>
                      <w:trHeight w:val="354" w:hRule="atLeast"/>
                    </w:trPr>
                    <w:tc>
                      <w:tcPr>
                        <w:tcW w:w="5156" w:type="dxa"/>
                      </w:tcPr>
                      <w:p>
                        <w:pPr>
                          <w:pStyle w:val="TableParagraph"/>
                          <w:rPr>
                            <w:sz w:val="22"/>
                          </w:rPr>
                        </w:pPr>
                        <w:r>
                          <w:rPr>
                            <w:rFonts w:ascii="Cambria"/>
                            <w:sz w:val="22"/>
                          </w:rPr>
                          <w:t>s </w:t>
                        </w:r>
                        <w:r>
                          <w:rPr>
                            <w:sz w:val="22"/>
                          </w:rPr>
                          <w:t>(String)</w:t>
                        </w:r>
                      </w:p>
                    </w:tc>
                    <w:tc>
                      <w:tcPr>
                        <w:tcW w:w="5156" w:type="dxa"/>
                      </w:tcPr>
                      <w:p>
                        <w:pPr>
                          <w:pStyle w:val="TableParagraph"/>
                          <w:rPr>
                            <w:sz w:val="22"/>
                          </w:rPr>
                        </w:pPr>
                        <w:r>
                          <w:rPr>
                            <w:sz w:val="22"/>
                          </w:rPr>
                          <w:t>Indicates topic value is a string.</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8"/>
        </w:rPr>
      </w:pPr>
    </w:p>
    <w:p>
      <w:pPr>
        <w:pStyle w:val="BodyText"/>
        <w:ind w:left="220"/>
      </w:pPr>
      <w:r>
        <w:rPr/>
        <w:t>[</w:t>
      </w:r>
      <w:r>
        <w:rPr>
          <w:i/>
        </w:rPr>
        <w:t>Note</w:t>
      </w:r>
      <w:r>
        <w:rPr/>
        <w:t>: The W3C XML Schema definition of this simple type’s content model (</w:t>
      </w:r>
      <w:r>
        <w:rPr>
          <w:color w:val="5F5F5F"/>
          <w:u w:val="single" w:color="5F5F5F"/>
        </w:rPr>
        <w:t>ST_VolValueType</w:t>
      </w:r>
      <w:r>
        <w:rPr/>
        <w:t>) is located in §A.2.</w:t>
      </w:r>
    </w:p>
    <w:p>
      <w:pPr>
        <w:spacing w:before="41"/>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92 ST_WebSourceType (Web Source Ty" w:id="2741"/>
      <w:bookmarkEnd w:id="2741"/>
      <w:r>
        <w:rPr>
          <w:b w:val="0"/>
        </w:rPr>
      </w:r>
      <w:bookmarkStart w:name="_bookmark914" w:id="2742"/>
      <w:bookmarkEnd w:id="2742"/>
      <w:r>
        <w:rPr>
          <w:b w:val="0"/>
        </w:rPr>
      </w:r>
      <w:bookmarkStart w:name="_bookmark914" w:id="2743"/>
      <w:bookmarkEnd w:id="2743"/>
      <w:r>
        <w:rPr>
          <w:color w:val="4F81BC"/>
        </w:rPr>
        <w:t>S</w:t>
      </w:r>
      <w:r>
        <w:rPr>
          <w:color w:val="4F81BC"/>
        </w:rPr>
        <w:t>T_WebSourceType (Web Source</w:t>
      </w:r>
      <w:r>
        <w:rPr>
          <w:color w:val="4F81BC"/>
          <w:spacing w:val="1"/>
        </w:rPr>
        <w:t> </w:t>
      </w:r>
      <w:r>
        <w:rPr>
          <w:color w:val="4F81BC"/>
        </w:rPr>
        <w:t>Type)</w:t>
      </w:r>
    </w:p>
    <w:p>
      <w:pPr>
        <w:pStyle w:val="BodyText"/>
        <w:spacing w:line="276" w:lineRule="auto" w:before="124"/>
        <w:ind w:left="220" w:right="504"/>
      </w:pPr>
      <w:r>
        <w:rPr/>
        <w:t>This is an enumeration of types of objects which can be selected from the workbook to be published as HTML. For example, the entire sheet can be published, or a narrower set of objects on the sheet can be published, like a chart or a range.</w:t>
      </w:r>
    </w:p>
    <w:p>
      <w:pPr>
        <w:pStyle w:val="BodyText"/>
        <w:spacing w:before="6"/>
        <w:rPr>
          <w:sz w:val="16"/>
        </w:rPr>
      </w:pPr>
    </w:p>
    <w:p>
      <w:pPr>
        <w:pStyle w:val="BodyText"/>
        <w:spacing w:line="489" w:lineRule="auto" w:before="1"/>
        <w:ind w:left="220" w:right="2804"/>
      </w:pPr>
      <w:r>
        <w:rPr/>
        <w:pict>
          <v:shape style="position:absolute;margin-left:48pt;margin-top:43.043652pt;width:516.35pt;height:128.1pt;mso-position-horizontal-relative:page;mso-position-vertical-relative:paragraph;z-index:25198080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2"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5" w:hRule="atLeast"/>
                    </w:trPr>
                    <w:tc>
                      <w:tcPr>
                        <w:tcW w:w="5156" w:type="dxa"/>
                      </w:tcPr>
                      <w:p>
                        <w:pPr>
                          <w:pStyle w:val="TableParagraph"/>
                          <w:rPr>
                            <w:sz w:val="22"/>
                          </w:rPr>
                        </w:pPr>
                        <w:r>
                          <w:rPr>
                            <w:rFonts w:ascii="Cambria"/>
                            <w:sz w:val="22"/>
                          </w:rPr>
                          <w:t>autoFilter </w:t>
                        </w:r>
                        <w:r>
                          <w:rPr>
                            <w:sz w:val="22"/>
                          </w:rPr>
                          <w:t>(AutoFilter)</w:t>
                        </w:r>
                      </w:p>
                    </w:tc>
                    <w:tc>
                      <w:tcPr>
                        <w:tcW w:w="5156" w:type="dxa"/>
                      </w:tcPr>
                      <w:p>
                        <w:pPr>
                          <w:pStyle w:val="TableParagraph"/>
                          <w:rPr>
                            <w:sz w:val="22"/>
                          </w:rPr>
                        </w:pPr>
                        <w:r>
                          <w:rPr>
                            <w:sz w:val="22"/>
                          </w:rPr>
                          <w:t>Auto filter</w:t>
                        </w:r>
                      </w:p>
                    </w:tc>
                  </w:tr>
                  <w:tr>
                    <w:trPr>
                      <w:trHeight w:val="354" w:hRule="atLeast"/>
                    </w:trPr>
                    <w:tc>
                      <w:tcPr>
                        <w:tcW w:w="5156" w:type="dxa"/>
                      </w:tcPr>
                      <w:p>
                        <w:pPr>
                          <w:pStyle w:val="TableParagraph"/>
                          <w:rPr>
                            <w:sz w:val="22"/>
                          </w:rPr>
                        </w:pPr>
                        <w:r>
                          <w:rPr>
                            <w:rFonts w:ascii="Cambria"/>
                            <w:sz w:val="22"/>
                          </w:rPr>
                          <w:t>chart </w:t>
                        </w:r>
                        <w:r>
                          <w:rPr>
                            <w:sz w:val="22"/>
                          </w:rPr>
                          <w:t>(Chart)</w:t>
                        </w:r>
                      </w:p>
                    </w:tc>
                    <w:tc>
                      <w:tcPr>
                        <w:tcW w:w="5156" w:type="dxa"/>
                      </w:tcPr>
                      <w:p>
                        <w:pPr>
                          <w:pStyle w:val="TableParagraph"/>
                          <w:rPr>
                            <w:sz w:val="22"/>
                          </w:rPr>
                        </w:pPr>
                        <w:r>
                          <w:rPr>
                            <w:sz w:val="22"/>
                          </w:rPr>
                          <w:t>Chart</w:t>
                        </w:r>
                      </w:p>
                    </w:tc>
                  </w:tr>
                  <w:tr>
                    <w:trPr>
                      <w:trHeight w:val="354" w:hRule="atLeast"/>
                    </w:trPr>
                    <w:tc>
                      <w:tcPr>
                        <w:tcW w:w="5156" w:type="dxa"/>
                      </w:tcPr>
                      <w:p>
                        <w:pPr>
                          <w:pStyle w:val="TableParagraph"/>
                          <w:rPr>
                            <w:sz w:val="22"/>
                          </w:rPr>
                        </w:pPr>
                        <w:r>
                          <w:rPr>
                            <w:rFonts w:ascii="Cambria"/>
                            <w:sz w:val="22"/>
                          </w:rPr>
                          <w:t>label </w:t>
                        </w:r>
                        <w:r>
                          <w:rPr>
                            <w:sz w:val="22"/>
                          </w:rPr>
                          <w:t>(Label)</w:t>
                        </w:r>
                      </w:p>
                    </w:tc>
                    <w:tc>
                      <w:tcPr>
                        <w:tcW w:w="5156" w:type="dxa"/>
                      </w:tcPr>
                      <w:p>
                        <w:pPr>
                          <w:pStyle w:val="TableParagraph"/>
                          <w:rPr>
                            <w:sz w:val="22"/>
                          </w:rPr>
                        </w:pPr>
                        <w:r>
                          <w:rPr>
                            <w:sz w:val="22"/>
                          </w:rPr>
                          <w:t>Label</w:t>
                        </w:r>
                      </w:p>
                    </w:tc>
                  </w:tr>
                  <w:tr>
                    <w:trPr>
                      <w:trHeight w:val="354" w:hRule="atLeast"/>
                    </w:trPr>
                    <w:tc>
                      <w:tcPr>
                        <w:tcW w:w="5156" w:type="dxa"/>
                      </w:tcPr>
                      <w:p>
                        <w:pPr>
                          <w:pStyle w:val="TableParagraph"/>
                          <w:rPr>
                            <w:sz w:val="22"/>
                          </w:rPr>
                        </w:pPr>
                        <w:r>
                          <w:rPr>
                            <w:rFonts w:ascii="Cambria"/>
                            <w:sz w:val="22"/>
                          </w:rPr>
                          <w:t>pivotTable </w:t>
                        </w:r>
                        <w:r>
                          <w:rPr>
                            <w:sz w:val="22"/>
                          </w:rPr>
                          <w:t>(PivotTable)</w:t>
                        </w:r>
                      </w:p>
                    </w:tc>
                    <w:tc>
                      <w:tcPr>
                        <w:tcW w:w="5156" w:type="dxa"/>
                      </w:tcPr>
                      <w:p>
                        <w:pPr>
                          <w:pStyle w:val="TableParagraph"/>
                          <w:rPr>
                            <w:sz w:val="22"/>
                          </w:rPr>
                        </w:pPr>
                        <w:r>
                          <w:rPr>
                            <w:sz w:val="22"/>
                          </w:rPr>
                          <w:t>PivotTable</w:t>
                        </w:r>
                      </w:p>
                    </w:tc>
                  </w:tr>
                  <w:tr>
                    <w:trPr>
                      <w:trHeight w:val="354" w:hRule="atLeast"/>
                    </w:trPr>
                    <w:tc>
                      <w:tcPr>
                        <w:tcW w:w="5156" w:type="dxa"/>
                      </w:tcPr>
                      <w:p>
                        <w:pPr>
                          <w:pStyle w:val="TableParagraph"/>
                          <w:rPr>
                            <w:sz w:val="22"/>
                          </w:rPr>
                        </w:pPr>
                        <w:r>
                          <w:rPr>
                            <w:rFonts w:ascii="Cambria"/>
                            <w:sz w:val="22"/>
                          </w:rPr>
                          <w:t>printArea </w:t>
                        </w:r>
                        <w:r>
                          <w:rPr>
                            <w:sz w:val="22"/>
                          </w:rPr>
                          <w:t>(Print Area)</w:t>
                        </w:r>
                      </w:p>
                    </w:tc>
                    <w:tc>
                      <w:tcPr>
                        <w:tcW w:w="5156" w:type="dxa"/>
                      </w:tcPr>
                      <w:p>
                        <w:pPr>
                          <w:pStyle w:val="TableParagraph"/>
                          <w:rPr>
                            <w:sz w:val="22"/>
                          </w:rPr>
                        </w:pPr>
                        <w:r>
                          <w:rPr>
                            <w:sz w:val="22"/>
                          </w:rPr>
                          <w:t>Print area</w:t>
                        </w:r>
                      </w:p>
                    </w:tc>
                  </w:tr>
                  <w:tr>
                    <w:trPr>
                      <w:trHeight w:val="354" w:hRule="atLeast"/>
                    </w:trPr>
                    <w:tc>
                      <w:tcPr>
                        <w:tcW w:w="5156" w:type="dxa"/>
                      </w:tcPr>
                      <w:p>
                        <w:pPr>
                          <w:pStyle w:val="TableParagraph"/>
                          <w:rPr>
                            <w:sz w:val="22"/>
                          </w:rPr>
                        </w:pPr>
                        <w:r>
                          <w:rPr>
                            <w:rFonts w:ascii="Cambria"/>
                            <w:sz w:val="22"/>
                          </w:rPr>
                          <w:t>query </w:t>
                        </w:r>
                        <w:r>
                          <w:rPr>
                            <w:sz w:val="22"/>
                          </w:rPr>
                          <w:t>(QueryTable)</w:t>
                        </w:r>
                      </w:p>
                    </w:tc>
                    <w:tc>
                      <w:tcPr>
                        <w:tcW w:w="5156" w:type="dxa"/>
                      </w:tcPr>
                      <w:p>
                        <w:pPr>
                          <w:pStyle w:val="TableParagraph"/>
                          <w:rPr>
                            <w:sz w:val="22"/>
                          </w:rPr>
                        </w:pPr>
                        <w:r>
                          <w:rPr>
                            <w:sz w:val="22"/>
                          </w:rPr>
                          <w:t>Query Table</w:t>
                        </w:r>
                      </w:p>
                    </w:tc>
                  </w:tr>
                </w:tbl>
                <w:p>
                  <w:pPr>
                    <w:pStyle w:val="BodyText"/>
                  </w:pPr>
                </w:p>
              </w:txbxContent>
            </v:textbox>
            <w10:wrap type="none"/>
          </v:shape>
        </w:pict>
      </w:r>
      <w:r>
        <w:rPr/>
        <w:t>This simple type's contents are a restriction of the W3C XML Schema </w:t>
      </w:r>
      <w:r>
        <w:rPr>
          <w:rFonts w:ascii="Cambria"/>
        </w:rPr>
        <w:t>string </w:t>
      </w:r>
      <w:r>
        <w:rPr/>
        <w:t>datatype. This simple type is restricted to the values listed in the following table:</w:t>
      </w:r>
    </w:p>
    <w:p>
      <w:pPr>
        <w:spacing w:after="0" w:line="489" w:lineRule="auto"/>
        <w:sectPr>
          <w:pgSz w:w="12240" w:h="15840"/>
          <w:pgMar w:header="761" w:footer="746" w:top="1340" w:bottom="940" w:left="860" w:right="700"/>
        </w:sectPr>
      </w:pPr>
    </w:p>
    <w:p>
      <w:pPr>
        <w:pStyle w:val="BodyText"/>
        <w:spacing w:before="4"/>
        <w:rPr>
          <w:sz w:val="12"/>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6"/>
        <w:gridCol w:w="5156"/>
      </w:tblGrid>
      <w:tr>
        <w:trPr>
          <w:trHeight w:val="355" w:hRule="atLeast"/>
        </w:trPr>
        <w:tc>
          <w:tcPr>
            <w:tcW w:w="5156" w:type="dxa"/>
            <w:shd w:val="clear" w:color="auto" w:fill="C0C0C0"/>
          </w:tcPr>
          <w:p>
            <w:pPr>
              <w:pStyle w:val="TableParagraph"/>
              <w:ind w:left="1699"/>
              <w:rPr>
                <w:b/>
                <w:sz w:val="22"/>
              </w:rPr>
            </w:pPr>
            <w:r>
              <w:rPr>
                <w:b/>
                <w:sz w:val="22"/>
              </w:rPr>
              <w:t>Enumeration Value</w:t>
            </w:r>
          </w:p>
        </w:tc>
        <w:tc>
          <w:tcPr>
            <w:tcW w:w="5156" w:type="dxa"/>
            <w:shd w:val="clear" w:color="auto" w:fill="C0C0C0"/>
          </w:tcPr>
          <w:p>
            <w:pPr>
              <w:pStyle w:val="TableParagraph"/>
              <w:ind w:left="96" w:right="86"/>
              <w:jc w:val="center"/>
              <w:rPr>
                <w:b/>
                <w:sz w:val="22"/>
              </w:rPr>
            </w:pPr>
            <w:r>
              <w:rPr>
                <w:b/>
                <w:sz w:val="22"/>
              </w:rPr>
              <w:t>Description</w:t>
            </w:r>
          </w:p>
        </w:tc>
      </w:tr>
      <w:tr>
        <w:trPr>
          <w:trHeight w:val="354" w:hRule="atLeast"/>
        </w:trPr>
        <w:tc>
          <w:tcPr>
            <w:tcW w:w="5156" w:type="dxa"/>
          </w:tcPr>
          <w:p>
            <w:pPr>
              <w:pStyle w:val="TableParagraph"/>
              <w:rPr>
                <w:sz w:val="22"/>
              </w:rPr>
            </w:pPr>
            <w:r>
              <w:rPr>
                <w:rFonts w:ascii="Cambria"/>
                <w:sz w:val="22"/>
              </w:rPr>
              <w:t>range </w:t>
            </w:r>
            <w:r>
              <w:rPr>
                <w:sz w:val="22"/>
              </w:rPr>
              <w:t>(Range)</w:t>
            </w:r>
          </w:p>
        </w:tc>
        <w:tc>
          <w:tcPr>
            <w:tcW w:w="5156" w:type="dxa"/>
          </w:tcPr>
          <w:p>
            <w:pPr>
              <w:pStyle w:val="TableParagraph"/>
              <w:rPr>
                <w:sz w:val="22"/>
              </w:rPr>
            </w:pPr>
            <w:r>
              <w:rPr>
                <w:sz w:val="22"/>
              </w:rPr>
              <w:t>Range of cells</w:t>
            </w:r>
          </w:p>
        </w:tc>
      </w:tr>
      <w:tr>
        <w:trPr>
          <w:trHeight w:val="354" w:hRule="atLeast"/>
        </w:trPr>
        <w:tc>
          <w:tcPr>
            <w:tcW w:w="5156" w:type="dxa"/>
          </w:tcPr>
          <w:p>
            <w:pPr>
              <w:pStyle w:val="TableParagraph"/>
              <w:rPr>
                <w:sz w:val="22"/>
              </w:rPr>
            </w:pPr>
            <w:r>
              <w:rPr>
                <w:rFonts w:ascii="Cambria"/>
                <w:sz w:val="22"/>
              </w:rPr>
              <w:t>sheet </w:t>
            </w:r>
            <w:r>
              <w:rPr>
                <w:sz w:val="22"/>
              </w:rPr>
              <w:t>(All Sheet Content)</w:t>
            </w:r>
          </w:p>
        </w:tc>
        <w:tc>
          <w:tcPr>
            <w:tcW w:w="5156" w:type="dxa"/>
          </w:tcPr>
          <w:p>
            <w:pPr>
              <w:pStyle w:val="TableParagraph"/>
              <w:rPr>
                <w:sz w:val="22"/>
              </w:rPr>
            </w:pPr>
            <w:r>
              <w:rPr>
                <w:sz w:val="22"/>
              </w:rPr>
              <w:t>All content of a sheet</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w:t>
      </w:r>
      <w:r>
        <w:rPr>
          <w:color w:val="5F5F5F"/>
          <w:u w:val="single" w:color="5F5F5F"/>
        </w:rPr>
        <w:t>ST_WebSourceType</w:t>
      </w:r>
      <w:r>
        <w:rPr/>
        <w:t>) is located in</w:t>
      </w:r>
    </w:p>
    <w:p>
      <w:pPr>
        <w:spacing w:before="41"/>
        <w:ind w:left="220" w:right="0" w:firstLine="0"/>
        <w:jc w:val="left"/>
        <w:rPr>
          <w:sz w:val="22"/>
        </w:rPr>
      </w:pPr>
      <w:r>
        <w:rPr>
          <w:sz w:val="22"/>
        </w:rPr>
        <w:t>§A.2. </w:t>
      </w: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93 ST_XmlDataType (XML Data Types)" w:id="2744"/>
      <w:bookmarkEnd w:id="2744"/>
      <w:r>
        <w:rPr>
          <w:b w:val="0"/>
        </w:rPr>
      </w:r>
      <w:bookmarkStart w:name="_bookmark915" w:id="2745"/>
      <w:bookmarkEnd w:id="2745"/>
      <w:r>
        <w:rPr>
          <w:b w:val="0"/>
        </w:rPr>
      </w:r>
      <w:bookmarkStart w:name="_bookmark915" w:id="2746"/>
      <w:bookmarkEnd w:id="2746"/>
      <w:r>
        <w:rPr>
          <w:color w:val="4F81BC"/>
        </w:rPr>
        <w:t>S</w:t>
      </w:r>
      <w:r>
        <w:rPr>
          <w:color w:val="4F81BC"/>
        </w:rPr>
        <w:t>T_XmlDataType (XML Data</w:t>
      </w:r>
      <w:r>
        <w:rPr>
          <w:color w:val="4F81BC"/>
          <w:spacing w:val="1"/>
        </w:rPr>
        <w:t> </w:t>
      </w:r>
      <w:r>
        <w:rPr>
          <w:color w:val="4F81BC"/>
        </w:rPr>
        <w:t>Types)</w:t>
      </w:r>
    </w:p>
    <w:p>
      <w:pPr>
        <w:pStyle w:val="BodyText"/>
        <w:spacing w:line="276" w:lineRule="auto" w:before="124"/>
        <w:ind w:left="220" w:right="412"/>
      </w:pPr>
      <w:r>
        <w:rPr/>
        <w:t>Represents a W3C XML built-in datatype name (</w:t>
      </w:r>
      <w:hyperlink r:id="rId392">
        <w:r>
          <w:rPr>
            <w:color w:val="5F5F5F"/>
            <w:u w:val="single" w:color="5F5F5F"/>
          </w:rPr>
          <w:t>http://www.w3.org/TR/xmlschema-2/</w:t>
        </w:r>
      </w:hyperlink>
      <w:r>
        <w:rPr/>
        <w:t>). The values permitted by this type are the names of the simple datatypes defined by the XMLSchema Library, </w:t>
      </w:r>
      <w:hyperlink r:id="rId393">
        <w:r>
          <w:rPr>
            <w:color w:val="5F5F5F"/>
            <w:u w:val="single" w:color="5F5F5F"/>
          </w:rPr>
          <w:t>http://www.w3.org/2001/XML-Schema-datatypes</w:t>
        </w:r>
      </w:hyperlink>
      <w:r>
        <w:rPr/>
        <w:t>.</w:t>
      </w:r>
    </w:p>
    <w:p>
      <w:pPr>
        <w:pStyle w:val="BodyText"/>
        <w:spacing w:before="7"/>
        <w:rPr>
          <w:sz w:val="16"/>
        </w:rPr>
      </w:pPr>
    </w:p>
    <w:p>
      <w:pPr>
        <w:pStyle w:val="BodyText"/>
        <w:ind w:left="220"/>
      </w:pPr>
      <w:r>
        <w:rPr/>
        <w:t>This simple type's contents are a restriction of the W3C XML Schema </w:t>
      </w:r>
      <w:r>
        <w:rPr>
          <w:rFonts w:ascii="Cambria"/>
        </w:rPr>
        <w:t>string </w:t>
      </w:r>
      <w:r>
        <w:rPr/>
        <w:t>datatype.</w:t>
      </w:r>
    </w:p>
    <w:p>
      <w:pPr>
        <w:pStyle w:val="BodyText"/>
        <w:spacing w:before="6"/>
        <w:rPr>
          <w:sz w:val="19"/>
        </w:rPr>
      </w:pPr>
    </w:p>
    <w:p>
      <w:pPr>
        <w:pStyle w:val="BodyText"/>
        <w:ind w:left="220"/>
      </w:pPr>
      <w:r>
        <w:rPr>
          <w:i/>
        </w:rPr>
        <w:t>Note</w:t>
      </w:r>
      <w:r>
        <w:rPr/>
        <w:t>: The W3C XML Schema definition of this simple type’s content model (</w:t>
      </w:r>
      <w:r>
        <w:rPr>
          <w:color w:val="5F5F5F"/>
          <w:u w:val="single" w:color="5F5F5F"/>
        </w:rPr>
        <w:t>ST_XmlDataType</w:t>
      </w:r>
      <w:r>
        <w:rPr/>
        <w:t>) is located in §A.2.</w:t>
      </w:r>
    </w:p>
    <w:p>
      <w:pPr>
        <w:spacing w:before="43"/>
        <w:ind w:left="220" w:right="0" w:firstLine="0"/>
        <w:jc w:val="left"/>
        <w:rPr>
          <w:sz w:val="22"/>
        </w:rPr>
      </w:pPr>
      <w:r>
        <w:rPr>
          <w:i/>
          <w:sz w:val="22"/>
        </w:rPr>
        <w:t>end note</w:t>
      </w:r>
      <w:r>
        <w:rPr>
          <w:sz w:val="22"/>
        </w:rPr>
        <w:t>]</w:t>
      </w:r>
    </w:p>
    <w:p>
      <w:pPr>
        <w:pStyle w:val="BodyText"/>
        <w:spacing w:before="9"/>
        <w:rPr>
          <w:sz w:val="19"/>
        </w:rPr>
      </w:pPr>
    </w:p>
    <w:p>
      <w:pPr>
        <w:pStyle w:val="Heading2"/>
        <w:numPr>
          <w:ilvl w:val="2"/>
          <w:numId w:val="17"/>
        </w:numPr>
        <w:tabs>
          <w:tab w:pos="1445" w:val="left" w:leader="none"/>
        </w:tabs>
        <w:spacing w:line="240" w:lineRule="auto" w:before="0" w:after="0"/>
        <w:ind w:left="1444" w:right="0" w:hanging="1225"/>
        <w:jc w:val="left"/>
      </w:pPr>
      <w:bookmarkStart w:name="18.18.94 ST_FontFamily (Font Family)" w:id="2747"/>
      <w:bookmarkEnd w:id="2747"/>
      <w:r>
        <w:rPr>
          <w:b w:val="0"/>
        </w:rPr>
      </w:r>
      <w:bookmarkStart w:name="_bookmark916" w:id="2748"/>
      <w:bookmarkEnd w:id="2748"/>
      <w:r>
        <w:rPr>
          <w:b w:val="0"/>
        </w:rPr>
      </w:r>
      <w:bookmarkStart w:name="_bookmark916" w:id="2749"/>
      <w:bookmarkEnd w:id="2749"/>
      <w:r>
        <w:rPr>
          <w:color w:val="4F81BC"/>
        </w:rPr>
        <w:t>S</w:t>
      </w:r>
      <w:r>
        <w:rPr>
          <w:color w:val="4F81BC"/>
        </w:rPr>
        <w:t>T_FontFamily (Font</w:t>
      </w:r>
      <w:r>
        <w:rPr>
          <w:color w:val="4F81BC"/>
          <w:spacing w:val="-3"/>
        </w:rPr>
        <w:t> </w:t>
      </w:r>
      <w:r>
        <w:rPr>
          <w:color w:val="4F81BC"/>
        </w:rPr>
        <w:t>Family)</w:t>
      </w:r>
    </w:p>
    <w:p>
      <w:pPr>
        <w:pStyle w:val="BodyText"/>
        <w:spacing w:line="278" w:lineRule="auto" w:before="122"/>
        <w:ind w:left="220" w:right="865"/>
      </w:pPr>
      <w:r>
        <w:rPr/>
        <w:t>This simple type specifies a font family. A font family is a set of fonts having common stroke width and serif characteristics. This is system-level font information.</w:t>
      </w:r>
    </w:p>
    <w:p>
      <w:pPr>
        <w:pStyle w:val="BodyText"/>
        <w:spacing w:line="456" w:lineRule="auto" w:before="198"/>
        <w:ind w:left="220" w:right="2228"/>
      </w:pPr>
      <w:r>
        <w:rPr/>
        <w:t>This simple type's contents are a restriction of the W3C XML Schema </w:t>
      </w:r>
      <w:r>
        <w:rPr>
          <w:rFonts w:ascii="Cambria"/>
        </w:rPr>
        <w:t>unsignedInt </w:t>
      </w:r>
      <w:r>
        <w:rPr/>
        <w:t>datatype. This simple type is restricted to the values listed in the following table:</w:t>
      </w:r>
    </w:p>
    <w:tbl>
      <w:tblPr>
        <w:tblW w:w="0" w:type="auto"/>
        <w:jc w:val="left"/>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6"/>
        <w:gridCol w:w="4589"/>
      </w:tblGrid>
      <w:tr>
        <w:trPr>
          <w:trHeight w:val="354" w:hRule="atLeast"/>
        </w:trPr>
        <w:tc>
          <w:tcPr>
            <w:tcW w:w="1286" w:type="dxa"/>
            <w:shd w:val="clear" w:color="auto" w:fill="C0C0C0"/>
          </w:tcPr>
          <w:p>
            <w:pPr>
              <w:pStyle w:val="TableParagraph"/>
              <w:spacing w:before="39"/>
              <w:ind w:left="381"/>
              <w:rPr>
                <w:b/>
                <w:sz w:val="22"/>
              </w:rPr>
            </w:pPr>
            <w:r>
              <w:rPr>
                <w:b/>
                <w:sz w:val="22"/>
              </w:rPr>
              <w:t>Value</w:t>
            </w:r>
          </w:p>
        </w:tc>
        <w:tc>
          <w:tcPr>
            <w:tcW w:w="4589" w:type="dxa"/>
            <w:shd w:val="clear" w:color="auto" w:fill="C0C0C0"/>
          </w:tcPr>
          <w:p>
            <w:pPr>
              <w:pStyle w:val="TableParagraph"/>
              <w:spacing w:before="39"/>
              <w:ind w:left="1741" w:right="1722"/>
              <w:jc w:val="center"/>
              <w:rPr>
                <w:b/>
                <w:sz w:val="22"/>
              </w:rPr>
            </w:pPr>
            <w:r>
              <w:rPr>
                <w:b/>
                <w:sz w:val="22"/>
              </w:rPr>
              <w:t>Font Family</w:t>
            </w:r>
          </w:p>
        </w:tc>
      </w:tr>
      <w:tr>
        <w:trPr>
          <w:trHeight w:val="335" w:hRule="atLeast"/>
        </w:trPr>
        <w:tc>
          <w:tcPr>
            <w:tcW w:w="1286" w:type="dxa"/>
          </w:tcPr>
          <w:p>
            <w:pPr>
              <w:pStyle w:val="TableParagraph"/>
              <w:spacing w:before="20"/>
              <w:ind w:left="114"/>
              <w:rPr>
                <w:sz w:val="22"/>
              </w:rPr>
            </w:pPr>
            <w:r>
              <w:rPr>
                <w:w w:val="100"/>
                <w:sz w:val="22"/>
              </w:rPr>
              <w:t>0</w:t>
            </w:r>
          </w:p>
        </w:tc>
        <w:tc>
          <w:tcPr>
            <w:tcW w:w="4589" w:type="dxa"/>
          </w:tcPr>
          <w:p>
            <w:pPr>
              <w:pStyle w:val="TableParagraph"/>
              <w:spacing w:before="20"/>
              <w:ind w:left="112"/>
              <w:rPr>
                <w:sz w:val="22"/>
              </w:rPr>
            </w:pPr>
            <w:r>
              <w:rPr>
                <w:sz w:val="22"/>
              </w:rPr>
              <w:t>Not applicable.</w:t>
            </w:r>
          </w:p>
        </w:tc>
      </w:tr>
      <w:tr>
        <w:trPr>
          <w:trHeight w:val="335" w:hRule="atLeast"/>
        </w:trPr>
        <w:tc>
          <w:tcPr>
            <w:tcW w:w="1286" w:type="dxa"/>
          </w:tcPr>
          <w:p>
            <w:pPr>
              <w:pStyle w:val="TableParagraph"/>
              <w:spacing w:before="20"/>
              <w:ind w:left="114"/>
              <w:rPr>
                <w:sz w:val="22"/>
              </w:rPr>
            </w:pPr>
            <w:r>
              <w:rPr>
                <w:w w:val="100"/>
                <w:sz w:val="22"/>
              </w:rPr>
              <w:t>1</w:t>
            </w:r>
          </w:p>
        </w:tc>
        <w:tc>
          <w:tcPr>
            <w:tcW w:w="4589" w:type="dxa"/>
          </w:tcPr>
          <w:p>
            <w:pPr>
              <w:pStyle w:val="TableParagraph"/>
              <w:spacing w:before="20"/>
              <w:ind w:left="112"/>
              <w:rPr>
                <w:sz w:val="22"/>
              </w:rPr>
            </w:pPr>
            <w:r>
              <w:rPr>
                <w:sz w:val="22"/>
              </w:rPr>
              <w:t>Roman</w:t>
            </w:r>
          </w:p>
        </w:tc>
      </w:tr>
      <w:tr>
        <w:trPr>
          <w:trHeight w:val="332" w:hRule="atLeast"/>
        </w:trPr>
        <w:tc>
          <w:tcPr>
            <w:tcW w:w="1286" w:type="dxa"/>
          </w:tcPr>
          <w:p>
            <w:pPr>
              <w:pStyle w:val="TableParagraph"/>
              <w:spacing w:before="20"/>
              <w:ind w:left="114"/>
              <w:rPr>
                <w:sz w:val="22"/>
              </w:rPr>
            </w:pPr>
            <w:r>
              <w:rPr>
                <w:w w:val="100"/>
                <w:sz w:val="22"/>
              </w:rPr>
              <w:t>2</w:t>
            </w:r>
          </w:p>
        </w:tc>
        <w:tc>
          <w:tcPr>
            <w:tcW w:w="4589" w:type="dxa"/>
          </w:tcPr>
          <w:p>
            <w:pPr>
              <w:pStyle w:val="TableParagraph"/>
              <w:spacing w:before="20"/>
              <w:ind w:left="112"/>
              <w:rPr>
                <w:sz w:val="22"/>
              </w:rPr>
            </w:pPr>
            <w:r>
              <w:rPr>
                <w:sz w:val="22"/>
              </w:rPr>
              <w:t>Swiss</w:t>
            </w:r>
          </w:p>
        </w:tc>
      </w:tr>
      <w:tr>
        <w:trPr>
          <w:trHeight w:val="335" w:hRule="atLeast"/>
        </w:trPr>
        <w:tc>
          <w:tcPr>
            <w:tcW w:w="1286" w:type="dxa"/>
          </w:tcPr>
          <w:p>
            <w:pPr>
              <w:pStyle w:val="TableParagraph"/>
              <w:spacing w:before="20"/>
              <w:ind w:left="114"/>
              <w:rPr>
                <w:sz w:val="22"/>
              </w:rPr>
            </w:pPr>
            <w:r>
              <w:rPr>
                <w:w w:val="100"/>
                <w:sz w:val="22"/>
              </w:rPr>
              <w:t>3</w:t>
            </w:r>
          </w:p>
        </w:tc>
        <w:tc>
          <w:tcPr>
            <w:tcW w:w="4589" w:type="dxa"/>
          </w:tcPr>
          <w:p>
            <w:pPr>
              <w:pStyle w:val="TableParagraph"/>
              <w:spacing w:before="20"/>
              <w:ind w:left="112"/>
              <w:rPr>
                <w:sz w:val="22"/>
              </w:rPr>
            </w:pPr>
            <w:r>
              <w:rPr>
                <w:sz w:val="22"/>
              </w:rPr>
              <w:t>Modern</w:t>
            </w:r>
          </w:p>
        </w:tc>
      </w:tr>
      <w:tr>
        <w:trPr>
          <w:trHeight w:val="335" w:hRule="atLeast"/>
        </w:trPr>
        <w:tc>
          <w:tcPr>
            <w:tcW w:w="1286" w:type="dxa"/>
          </w:tcPr>
          <w:p>
            <w:pPr>
              <w:pStyle w:val="TableParagraph"/>
              <w:spacing w:before="20"/>
              <w:ind w:left="114"/>
              <w:rPr>
                <w:sz w:val="22"/>
              </w:rPr>
            </w:pPr>
            <w:r>
              <w:rPr>
                <w:w w:val="100"/>
                <w:sz w:val="22"/>
              </w:rPr>
              <w:t>4</w:t>
            </w:r>
          </w:p>
        </w:tc>
        <w:tc>
          <w:tcPr>
            <w:tcW w:w="4589" w:type="dxa"/>
          </w:tcPr>
          <w:p>
            <w:pPr>
              <w:pStyle w:val="TableParagraph"/>
              <w:spacing w:before="20"/>
              <w:ind w:left="112"/>
              <w:rPr>
                <w:sz w:val="22"/>
              </w:rPr>
            </w:pPr>
            <w:r>
              <w:rPr>
                <w:sz w:val="22"/>
              </w:rPr>
              <w:t>Script</w:t>
            </w:r>
          </w:p>
        </w:tc>
      </w:tr>
      <w:tr>
        <w:trPr>
          <w:trHeight w:val="335" w:hRule="atLeast"/>
        </w:trPr>
        <w:tc>
          <w:tcPr>
            <w:tcW w:w="1286" w:type="dxa"/>
          </w:tcPr>
          <w:p>
            <w:pPr>
              <w:pStyle w:val="TableParagraph"/>
              <w:spacing w:before="20"/>
              <w:ind w:left="114"/>
              <w:rPr>
                <w:sz w:val="22"/>
              </w:rPr>
            </w:pPr>
            <w:r>
              <w:rPr>
                <w:w w:val="100"/>
                <w:sz w:val="22"/>
              </w:rPr>
              <w:t>5</w:t>
            </w:r>
          </w:p>
        </w:tc>
        <w:tc>
          <w:tcPr>
            <w:tcW w:w="4589" w:type="dxa"/>
          </w:tcPr>
          <w:p>
            <w:pPr>
              <w:pStyle w:val="TableParagraph"/>
              <w:spacing w:before="20"/>
              <w:ind w:left="112"/>
              <w:rPr>
                <w:sz w:val="22"/>
              </w:rPr>
            </w:pPr>
            <w:r>
              <w:rPr>
                <w:sz w:val="22"/>
              </w:rPr>
              <w:t>Decorative</w:t>
            </w:r>
          </w:p>
        </w:tc>
      </w:tr>
      <w:tr>
        <w:trPr>
          <w:trHeight w:val="332" w:hRule="atLeast"/>
        </w:trPr>
        <w:tc>
          <w:tcPr>
            <w:tcW w:w="1286" w:type="dxa"/>
          </w:tcPr>
          <w:p>
            <w:pPr>
              <w:pStyle w:val="TableParagraph"/>
              <w:spacing w:before="18"/>
              <w:ind w:left="114"/>
              <w:rPr>
                <w:sz w:val="22"/>
              </w:rPr>
            </w:pPr>
            <w:r>
              <w:rPr>
                <w:w w:val="100"/>
                <w:sz w:val="22"/>
              </w:rPr>
              <w:t>6</w:t>
            </w:r>
          </w:p>
        </w:tc>
        <w:tc>
          <w:tcPr>
            <w:tcW w:w="4589" w:type="dxa"/>
          </w:tcPr>
          <w:p>
            <w:pPr>
              <w:pStyle w:val="TableParagraph"/>
              <w:spacing w:before="18"/>
              <w:ind w:left="112"/>
              <w:rPr>
                <w:sz w:val="22"/>
              </w:rPr>
            </w:pPr>
            <w:r>
              <w:rPr>
                <w:sz w:val="22"/>
              </w:rPr>
              <w:t>Reserved for future use</w:t>
            </w:r>
          </w:p>
        </w:tc>
      </w:tr>
      <w:tr>
        <w:trPr>
          <w:trHeight w:val="335" w:hRule="atLeast"/>
        </w:trPr>
        <w:tc>
          <w:tcPr>
            <w:tcW w:w="1286" w:type="dxa"/>
          </w:tcPr>
          <w:p>
            <w:pPr>
              <w:pStyle w:val="TableParagraph"/>
              <w:spacing w:before="20"/>
              <w:ind w:left="114"/>
              <w:rPr>
                <w:sz w:val="22"/>
              </w:rPr>
            </w:pPr>
            <w:r>
              <w:rPr>
                <w:w w:val="100"/>
                <w:sz w:val="22"/>
              </w:rPr>
              <w:t>7</w:t>
            </w:r>
          </w:p>
        </w:tc>
        <w:tc>
          <w:tcPr>
            <w:tcW w:w="4589" w:type="dxa"/>
          </w:tcPr>
          <w:p>
            <w:pPr>
              <w:pStyle w:val="TableParagraph"/>
              <w:spacing w:before="20"/>
              <w:ind w:left="112"/>
              <w:rPr>
                <w:sz w:val="22"/>
              </w:rPr>
            </w:pPr>
            <w:r>
              <w:rPr>
                <w:sz w:val="22"/>
              </w:rPr>
              <w:t>Reserved for future use</w:t>
            </w:r>
          </w:p>
        </w:tc>
      </w:tr>
      <w:tr>
        <w:trPr>
          <w:trHeight w:val="335" w:hRule="atLeast"/>
        </w:trPr>
        <w:tc>
          <w:tcPr>
            <w:tcW w:w="1286" w:type="dxa"/>
          </w:tcPr>
          <w:p>
            <w:pPr>
              <w:pStyle w:val="TableParagraph"/>
              <w:spacing w:before="20"/>
              <w:ind w:left="114"/>
              <w:rPr>
                <w:sz w:val="22"/>
              </w:rPr>
            </w:pPr>
            <w:r>
              <w:rPr>
                <w:w w:val="100"/>
                <w:sz w:val="22"/>
              </w:rPr>
              <w:t>8</w:t>
            </w:r>
          </w:p>
        </w:tc>
        <w:tc>
          <w:tcPr>
            <w:tcW w:w="4589" w:type="dxa"/>
          </w:tcPr>
          <w:p>
            <w:pPr>
              <w:pStyle w:val="TableParagraph"/>
              <w:spacing w:before="20"/>
              <w:ind w:left="112"/>
              <w:rPr>
                <w:sz w:val="22"/>
              </w:rPr>
            </w:pPr>
            <w:r>
              <w:rPr>
                <w:sz w:val="22"/>
              </w:rPr>
              <w:t>Reserved for future use</w:t>
            </w:r>
          </w:p>
        </w:tc>
      </w:tr>
      <w:tr>
        <w:trPr>
          <w:trHeight w:val="332" w:hRule="atLeast"/>
        </w:trPr>
        <w:tc>
          <w:tcPr>
            <w:tcW w:w="1286" w:type="dxa"/>
          </w:tcPr>
          <w:p>
            <w:pPr>
              <w:pStyle w:val="TableParagraph"/>
              <w:spacing w:before="20"/>
              <w:ind w:left="114"/>
              <w:rPr>
                <w:sz w:val="22"/>
              </w:rPr>
            </w:pPr>
            <w:r>
              <w:rPr>
                <w:w w:val="100"/>
                <w:sz w:val="22"/>
              </w:rPr>
              <w:t>9</w:t>
            </w:r>
          </w:p>
        </w:tc>
        <w:tc>
          <w:tcPr>
            <w:tcW w:w="4589" w:type="dxa"/>
          </w:tcPr>
          <w:p>
            <w:pPr>
              <w:pStyle w:val="TableParagraph"/>
              <w:spacing w:before="20"/>
              <w:ind w:left="112"/>
              <w:rPr>
                <w:sz w:val="22"/>
              </w:rPr>
            </w:pPr>
            <w:r>
              <w:rPr>
                <w:sz w:val="22"/>
              </w:rPr>
              <w:t>Reserved for future use</w:t>
            </w:r>
          </w:p>
        </w:tc>
      </w:tr>
      <w:tr>
        <w:trPr>
          <w:trHeight w:val="335" w:hRule="atLeast"/>
        </w:trPr>
        <w:tc>
          <w:tcPr>
            <w:tcW w:w="1286" w:type="dxa"/>
          </w:tcPr>
          <w:p>
            <w:pPr>
              <w:pStyle w:val="TableParagraph"/>
              <w:spacing w:before="20"/>
              <w:ind w:left="114"/>
              <w:rPr>
                <w:sz w:val="22"/>
              </w:rPr>
            </w:pPr>
            <w:r>
              <w:rPr>
                <w:sz w:val="22"/>
              </w:rPr>
              <w:t>10</w:t>
            </w:r>
          </w:p>
        </w:tc>
        <w:tc>
          <w:tcPr>
            <w:tcW w:w="4589" w:type="dxa"/>
          </w:tcPr>
          <w:p>
            <w:pPr>
              <w:pStyle w:val="TableParagraph"/>
              <w:spacing w:before="20"/>
              <w:ind w:left="112"/>
              <w:rPr>
                <w:sz w:val="22"/>
              </w:rPr>
            </w:pPr>
            <w:r>
              <w:rPr>
                <w:sz w:val="22"/>
              </w:rPr>
              <w:t>Reserved for future use</w:t>
            </w:r>
          </w:p>
        </w:tc>
      </w:tr>
      <w:tr>
        <w:trPr>
          <w:trHeight w:val="335" w:hRule="atLeast"/>
        </w:trPr>
        <w:tc>
          <w:tcPr>
            <w:tcW w:w="1286" w:type="dxa"/>
          </w:tcPr>
          <w:p>
            <w:pPr>
              <w:pStyle w:val="TableParagraph"/>
              <w:spacing w:before="20"/>
              <w:ind w:left="114"/>
              <w:rPr>
                <w:sz w:val="22"/>
              </w:rPr>
            </w:pPr>
            <w:r>
              <w:rPr>
                <w:sz w:val="22"/>
              </w:rPr>
              <w:t>11</w:t>
            </w:r>
          </w:p>
        </w:tc>
        <w:tc>
          <w:tcPr>
            <w:tcW w:w="4589" w:type="dxa"/>
          </w:tcPr>
          <w:p>
            <w:pPr>
              <w:pStyle w:val="TableParagraph"/>
              <w:spacing w:before="20"/>
              <w:ind w:left="112"/>
              <w:rPr>
                <w:sz w:val="22"/>
              </w:rPr>
            </w:pPr>
            <w:r>
              <w:rPr>
                <w:sz w:val="22"/>
              </w:rPr>
              <w:t>Reserved for future use</w:t>
            </w:r>
          </w:p>
        </w:tc>
      </w:tr>
      <w:tr>
        <w:trPr>
          <w:trHeight w:val="335" w:hRule="atLeast"/>
        </w:trPr>
        <w:tc>
          <w:tcPr>
            <w:tcW w:w="1286" w:type="dxa"/>
          </w:tcPr>
          <w:p>
            <w:pPr>
              <w:pStyle w:val="TableParagraph"/>
              <w:spacing w:before="20"/>
              <w:ind w:left="114"/>
              <w:rPr>
                <w:sz w:val="22"/>
              </w:rPr>
            </w:pPr>
            <w:r>
              <w:rPr>
                <w:sz w:val="22"/>
              </w:rPr>
              <w:t>12</w:t>
            </w:r>
          </w:p>
        </w:tc>
        <w:tc>
          <w:tcPr>
            <w:tcW w:w="4589" w:type="dxa"/>
          </w:tcPr>
          <w:p>
            <w:pPr>
              <w:pStyle w:val="TableParagraph"/>
              <w:spacing w:before="20"/>
              <w:ind w:left="112"/>
              <w:rPr>
                <w:sz w:val="22"/>
              </w:rPr>
            </w:pPr>
            <w:r>
              <w:rPr>
                <w:sz w:val="22"/>
              </w:rPr>
              <w:t>Reserved for future use</w:t>
            </w:r>
          </w:p>
        </w:tc>
      </w:tr>
    </w:tbl>
    <w:p>
      <w:pPr>
        <w:spacing w:after="0"/>
        <w:rPr>
          <w:sz w:val="22"/>
        </w:rPr>
        <w:sectPr>
          <w:pgSz w:w="12240" w:h="15840"/>
          <w:pgMar w:header="763" w:footer="746" w:top="1340" w:bottom="940" w:left="860" w:right="700"/>
        </w:sectPr>
      </w:pPr>
    </w:p>
    <w:p>
      <w:pPr>
        <w:pStyle w:val="BodyText"/>
        <w:spacing w:before="8"/>
        <w:rPr>
          <w:sz w:val="7"/>
        </w:rPr>
      </w:pPr>
    </w:p>
    <w:tbl>
      <w:tblPr>
        <w:tblW w:w="0" w:type="auto"/>
        <w:jc w:val="left"/>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86"/>
        <w:gridCol w:w="4589"/>
      </w:tblGrid>
      <w:tr>
        <w:trPr>
          <w:trHeight w:val="354" w:hRule="atLeast"/>
        </w:trPr>
        <w:tc>
          <w:tcPr>
            <w:tcW w:w="1286" w:type="dxa"/>
            <w:shd w:val="clear" w:color="auto" w:fill="C0C0C0"/>
          </w:tcPr>
          <w:p>
            <w:pPr>
              <w:pStyle w:val="TableParagraph"/>
              <w:spacing w:before="39"/>
              <w:ind w:left="381"/>
              <w:rPr>
                <w:b/>
                <w:sz w:val="22"/>
              </w:rPr>
            </w:pPr>
            <w:r>
              <w:rPr>
                <w:b/>
                <w:sz w:val="22"/>
              </w:rPr>
              <w:t>Value</w:t>
            </w:r>
          </w:p>
        </w:tc>
        <w:tc>
          <w:tcPr>
            <w:tcW w:w="4589" w:type="dxa"/>
            <w:shd w:val="clear" w:color="auto" w:fill="C0C0C0"/>
          </w:tcPr>
          <w:p>
            <w:pPr>
              <w:pStyle w:val="TableParagraph"/>
              <w:spacing w:before="39"/>
              <w:ind w:left="1741" w:right="1722"/>
              <w:jc w:val="center"/>
              <w:rPr>
                <w:b/>
                <w:sz w:val="22"/>
              </w:rPr>
            </w:pPr>
            <w:r>
              <w:rPr>
                <w:b/>
                <w:sz w:val="22"/>
              </w:rPr>
              <w:t>Font Family</w:t>
            </w:r>
          </w:p>
        </w:tc>
      </w:tr>
      <w:tr>
        <w:trPr>
          <w:trHeight w:val="335" w:hRule="atLeast"/>
        </w:trPr>
        <w:tc>
          <w:tcPr>
            <w:tcW w:w="1286" w:type="dxa"/>
          </w:tcPr>
          <w:p>
            <w:pPr>
              <w:pStyle w:val="TableParagraph"/>
              <w:spacing w:before="20"/>
              <w:ind w:left="114"/>
              <w:rPr>
                <w:sz w:val="22"/>
              </w:rPr>
            </w:pPr>
            <w:r>
              <w:rPr>
                <w:sz w:val="22"/>
              </w:rPr>
              <w:t>13</w:t>
            </w:r>
          </w:p>
        </w:tc>
        <w:tc>
          <w:tcPr>
            <w:tcW w:w="4589" w:type="dxa"/>
          </w:tcPr>
          <w:p>
            <w:pPr>
              <w:pStyle w:val="TableParagraph"/>
              <w:spacing w:before="20"/>
              <w:ind w:left="112"/>
              <w:rPr>
                <w:sz w:val="22"/>
              </w:rPr>
            </w:pPr>
            <w:r>
              <w:rPr>
                <w:sz w:val="22"/>
              </w:rPr>
              <w:t>Reserved for future use</w:t>
            </w:r>
          </w:p>
        </w:tc>
      </w:tr>
      <w:tr>
        <w:trPr>
          <w:trHeight w:val="335" w:hRule="atLeast"/>
        </w:trPr>
        <w:tc>
          <w:tcPr>
            <w:tcW w:w="1286" w:type="dxa"/>
          </w:tcPr>
          <w:p>
            <w:pPr>
              <w:pStyle w:val="TableParagraph"/>
              <w:spacing w:before="20"/>
              <w:ind w:left="114"/>
              <w:rPr>
                <w:sz w:val="22"/>
              </w:rPr>
            </w:pPr>
            <w:r>
              <w:rPr>
                <w:sz w:val="22"/>
              </w:rPr>
              <w:t>14</w:t>
            </w:r>
          </w:p>
        </w:tc>
        <w:tc>
          <w:tcPr>
            <w:tcW w:w="4589" w:type="dxa"/>
          </w:tcPr>
          <w:p>
            <w:pPr>
              <w:pStyle w:val="TableParagraph"/>
              <w:spacing w:before="20"/>
              <w:ind w:left="112"/>
              <w:rPr>
                <w:sz w:val="22"/>
              </w:rPr>
            </w:pPr>
            <w:r>
              <w:rPr>
                <w:sz w:val="22"/>
              </w:rPr>
              <w:t>Reserved for future use</w:t>
            </w:r>
          </w:p>
        </w:tc>
      </w:tr>
    </w:tbl>
    <w:p>
      <w:pPr>
        <w:pStyle w:val="BodyText"/>
        <w:rPr>
          <w:sz w:val="20"/>
        </w:rPr>
      </w:pPr>
    </w:p>
    <w:p>
      <w:pPr>
        <w:pStyle w:val="BodyText"/>
        <w:spacing w:before="10"/>
        <w:rPr>
          <w:sz w:val="16"/>
        </w:rPr>
      </w:pPr>
    </w:p>
    <w:p>
      <w:pPr>
        <w:pStyle w:val="BodyText"/>
        <w:spacing w:before="56"/>
        <w:ind w:left="220"/>
      </w:pPr>
      <w:r>
        <w:rPr/>
        <w:t>[</w:t>
      </w:r>
      <w:r>
        <w:rPr>
          <w:i/>
        </w:rPr>
        <w:t>Note</w:t>
      </w:r>
      <w:r>
        <w:rPr/>
        <w:t>: The W3C XML Schema definition of this simple type’s content model (ST_FontFamily) is located in §A.2.</w:t>
      </w:r>
    </w:p>
    <w:p>
      <w:pPr>
        <w:spacing w:before="44"/>
        <w:ind w:left="220" w:right="0" w:firstLine="0"/>
        <w:jc w:val="left"/>
        <w:rPr>
          <w:sz w:val="22"/>
        </w:rPr>
      </w:pPr>
      <w:r>
        <w:rPr>
          <w:i/>
          <w:sz w:val="22"/>
        </w:rPr>
        <w:t>end note</w:t>
      </w:r>
      <w:r>
        <w:rPr>
          <w:sz w:val="22"/>
        </w:rPr>
        <w:t>]</w:t>
      </w:r>
    </w:p>
    <w:sectPr>
      <w:pgSz w:w="12240" w:h="15840"/>
      <w:pgMar w:header="761" w:footer="746" w:top="1340" w:bottom="940" w:left="86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mbria">
    <w:altName w:val="Cambria"/>
    <w:charset w:val="0"/>
    <w:family w:val="roman"/>
    <w:pitch w:val="variable"/>
  </w:font>
  <w:font w:name="Consolas">
    <w:altName w:val="Consolas"/>
    <w:charset w:val="0"/>
    <w:family w:val="modern"/>
    <w:pitch w:val="fixed"/>
  </w:font>
  <w:font w:name="Lucida Console">
    <w:altName w:val="Lucida Console"/>
    <w:charset w:val="0"/>
    <w:family w:val="modern"/>
    <w:pitch w:val="fixed"/>
  </w:font>
  <w:font w:name="Symbol">
    <w:altName w:val="Symbol"/>
    <w:charset w:val="2"/>
    <w:family w:val="roman"/>
    <w:pitch w:val="variable"/>
  </w:font>
  <w:font w:name="Gulim">
    <w:altName w:val="Gulim"/>
    <w:charset w:val="0"/>
    <w:family w:val="swiss"/>
    <w:pitch w:val="variable"/>
  </w:font>
  <w:font w:name="MS Gothic">
    <w:altName w:val="MS Gothic"/>
    <w:charset w:val="0"/>
    <w:family w:val="modern"/>
    <w:pitch w:val="fixed"/>
  </w:font>
  <w:font w:name="SimSun">
    <w:altName w:val="SimSun"/>
    <w:charset w:val="0"/>
    <w:family w:val="auto"/>
    <w:pitch w:val="variable"/>
  </w:font>
  <w:font w:name="Microsoft Sans Serif">
    <w:altName w:val="Microsoft Sans Serif"/>
    <w:charset w:val="0"/>
    <w:family w:val="swiss"/>
    <w:pitch w:val="variable"/>
  </w:font>
  <w:font w:name="Tahoma">
    <w:altName w:val="Tahoma"/>
    <w:charset w:val="0"/>
    <w:family w:val="swiss"/>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805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1523</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692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1571</w:t>
                </w:r>
                <w:r>
                  <w:rPr/>
                  <w:fldChar w:fldCharType="end"/>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771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2021</w:t>
                </w:r>
                <w:r>
                  <w:rPr/>
                  <w:fldChar w:fldCharType="end"/>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7609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2030</w:t>
                </w:r>
                <w:r>
                  <w:rPr/>
                  <w:fldChar w:fldCharType="end"/>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7507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2031</w:t>
                </w:r>
                <w:r>
                  <w:rPr/>
                  <w:fldChar w:fldCharType="end"/>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740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2046</w:t>
                </w:r>
                <w:r>
                  <w:rPr/>
                  <w:fldChar w:fldCharType="end"/>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730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2041</w:t>
                </w:r>
                <w:r>
                  <w:rPr/>
                  <w:fldChar w:fldCharType="end"/>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720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2050</w:t>
                </w:r>
                <w:r>
                  <w:rPr/>
                  <w:fldChar w:fldCharType="end"/>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709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2051</w:t>
                </w:r>
                <w:r>
                  <w:rPr/>
                  <w:fldChar w:fldCharType="end"/>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699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2060</w:t>
                </w:r>
                <w:r>
                  <w:rPr/>
                  <w:fldChar w:fldCharType="end"/>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689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2061</w:t>
                </w:r>
                <w:r>
                  <w:rPr/>
                  <w:fldChar w:fldCharType="end"/>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679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2078</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682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1580</w:t>
                </w:r>
                <w:r>
                  <w:rPr/>
                  <w:fldChar w:fldCharType="end"/>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668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2071</w:t>
                </w:r>
                <w:r>
                  <w:rPr/>
                  <w:fldChar w:fldCharType="end"/>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658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2080</w:t>
                </w:r>
                <w:r>
                  <w:rPr/>
                  <w:fldChar w:fldCharType="end"/>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648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2081</w:t>
                </w:r>
                <w:r>
                  <w:rPr/>
                  <w:fldChar w:fldCharType="end"/>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638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2090</w:t>
                </w:r>
                <w:r>
                  <w:rPr/>
                  <w:fldChar w:fldCharType="end"/>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627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2091</w:t>
                </w:r>
                <w:r>
                  <w:rPr/>
                  <w:fldChar w:fldCharType="end"/>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617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2100</w:t>
                </w:r>
                <w:r>
                  <w:rPr/>
                  <w:fldChar w:fldCharType="end"/>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607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2101</w:t>
                </w:r>
                <w:r>
                  <w:rPr/>
                  <w:fldChar w:fldCharType="end"/>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597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2110</w:t>
                </w:r>
                <w:r>
                  <w:rPr/>
                  <w:fldChar w:fldCharType="end"/>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586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2111</w:t>
                </w:r>
                <w:r>
                  <w:rPr/>
                  <w:fldChar w:fldCharType="end"/>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576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2120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672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1581</w:t>
                </w:r>
                <w:r>
                  <w:rPr/>
                  <w:fldChar w:fldCharType="end"/>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566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2121</w:t>
                </w:r>
                <w:r>
                  <w:rPr/>
                  <w:fldChar w:fldCharType="end"/>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556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2130</w:t>
                </w:r>
                <w:r>
                  <w:rPr/>
                  <w:fldChar w:fldCharType="end"/>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545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2131</w:t>
                </w:r>
                <w:r>
                  <w:rPr/>
                  <w:fldChar w:fldCharType="end"/>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535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2142</w:t>
                </w:r>
                <w:r>
                  <w:rPr/>
                  <w:fldChar w:fldCharType="end"/>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525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2141</w:t>
                </w:r>
                <w:r>
                  <w:rPr/>
                  <w:fldChar w:fldCharType="end"/>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515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2150</w:t>
                </w:r>
                <w:r>
                  <w:rPr/>
                  <w:fldChar w:fldCharType="end"/>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5049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2151</w:t>
                </w:r>
                <w:r>
                  <w:rPr/>
                  <w:fldChar w:fldCharType="end"/>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4947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2160</w:t>
                </w:r>
                <w:r>
                  <w:rPr/>
                  <w:fldChar w:fldCharType="end"/>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484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2161</w:t>
                </w:r>
                <w:r>
                  <w:rPr/>
                  <w:fldChar w:fldCharType="end"/>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474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2174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662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1598</w:t>
                </w:r>
                <w:r>
                  <w:rPr/>
                  <w:fldChar w:fldCharType="end"/>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464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2171</w:t>
                </w:r>
                <w:r>
                  <w:rPr/>
                  <w:fldChar w:fldCharType="end"/>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453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2180</w:t>
                </w:r>
                <w:r>
                  <w:rPr/>
                  <w:fldChar w:fldCharType="end"/>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443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2181</w:t>
                </w:r>
                <w:r>
                  <w:rPr/>
                  <w:fldChar w:fldCharType="end"/>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433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2190</w:t>
                </w:r>
                <w:r>
                  <w:rPr/>
                  <w:fldChar w:fldCharType="end"/>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423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2191</w:t>
                </w:r>
                <w:r>
                  <w:rPr/>
                  <w:fldChar w:fldCharType="end"/>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412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2206</w:t>
                </w:r>
                <w:r>
                  <w:rPr/>
                  <w:fldChar w:fldCharType="end"/>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402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2201</w:t>
                </w:r>
                <w:r>
                  <w:rPr/>
                  <w:fldChar w:fldCharType="end"/>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392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2210</w:t>
                </w:r>
                <w:r>
                  <w:rPr/>
                  <w:fldChar w:fldCharType="end"/>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382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2211</w:t>
                </w:r>
                <w:r>
                  <w:rPr/>
                  <w:fldChar w:fldCharType="end"/>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371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2220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651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1591</w:t>
                </w:r>
                <w:r>
                  <w:rPr/>
                  <w:fldChar w:fldCharType="end"/>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361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2221</w:t>
                </w:r>
                <w:r>
                  <w:rPr/>
                  <w:fldChar w:fldCharType="end"/>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351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2238</w:t>
                </w:r>
                <w:r>
                  <w:rPr/>
                  <w:fldChar w:fldCharType="end"/>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341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2231</w:t>
                </w:r>
                <w:r>
                  <w:rPr/>
                  <w:fldChar w:fldCharType="end"/>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330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2240</w:t>
                </w:r>
                <w:r>
                  <w:rPr/>
                  <w:fldChar w:fldCharType="end"/>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320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2241</w:t>
                </w:r>
                <w:r>
                  <w:rPr/>
                  <w:fldChar w:fldCharType="end"/>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310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2250</w:t>
                </w:r>
                <w:r>
                  <w:rPr/>
                  <w:fldChar w:fldCharType="end"/>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300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2251</w:t>
                </w:r>
                <w:r>
                  <w:rPr/>
                  <w:fldChar w:fldCharType="end"/>
                </w:r>
              </w:p>
            </w:txbxContent>
          </v:textbox>
          <w10:wrap type="none"/>
        </v:shape>
      </w:pict>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289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2260</w:t>
                </w:r>
                <w:r>
                  <w:rPr/>
                  <w:fldChar w:fldCharType="end"/>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279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2261</w:t>
                </w:r>
                <w:r>
                  <w:rPr/>
                  <w:fldChar w:fldCharType="end"/>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269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2270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641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1600</w:t>
                </w:r>
                <w:r>
                  <w:rPr/>
                  <w:fldChar w:fldCharType="end"/>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259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2271</w:t>
                </w:r>
                <w:r>
                  <w:rPr/>
                  <w:fldChar w:fldCharType="end"/>
                </w:r>
              </w:p>
            </w:txbxContent>
          </v:textbox>
          <w10:wrap type="none"/>
        </v:shape>
      </w:pic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2489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2280</w:t>
                </w:r>
                <w:r>
                  <w:rPr/>
                  <w:fldChar w:fldCharType="end"/>
                </w:r>
              </w:p>
            </w:txbxContent>
          </v:textbox>
          <w10:wrap type="none"/>
        </v:shape>
      </w:pict>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2387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2281</w:t>
                </w:r>
                <w:r>
                  <w:rPr/>
                  <w:fldChar w:fldCharType="end"/>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228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2290</w:t>
                </w:r>
                <w:r>
                  <w:rPr/>
                  <w:fldChar w:fldCharType="end"/>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218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2291</w:t>
                </w:r>
                <w:r>
                  <w:rPr/>
                  <w:fldChar w:fldCharType="end"/>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208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2302</w:t>
                </w:r>
                <w:r>
                  <w:rPr/>
                  <w:fldChar w:fldCharType="end"/>
                </w:r>
              </w:p>
            </w:txbxContent>
          </v:textbox>
          <w10:wrap type="none"/>
        </v:shape>
      </w:pict>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197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2301</w:t>
                </w:r>
                <w:r>
                  <w:rPr/>
                  <w:fldChar w:fldCharType="end"/>
                </w:r>
              </w:p>
            </w:txbxContent>
          </v:textbox>
          <w10:wrap type="none"/>
        </v:shape>
      </w:pic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187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2310</w:t>
                </w:r>
                <w:r>
                  <w:rPr/>
                  <w:fldChar w:fldCharType="end"/>
                </w:r>
              </w:p>
            </w:txbxContent>
          </v:textbox>
          <w10:wrap type="none"/>
        </v:shape>
      </w:pict>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177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2311</w:t>
                </w:r>
                <w:r>
                  <w:rPr/>
                  <w:fldChar w:fldCharType="end"/>
                </w:r>
              </w:p>
            </w:txbxContent>
          </v:textbox>
          <w10:wrap type="none"/>
        </v:shape>
      </w:pict>
    </w: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167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2320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631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1601</w:t>
                </w:r>
                <w:r>
                  <w:rPr/>
                  <w:fldChar w:fldCharType="end"/>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156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2321</w:t>
                </w:r>
                <w:r>
                  <w:rPr/>
                  <w:fldChar w:fldCharType="end"/>
                </w:r>
              </w:p>
            </w:txbxContent>
          </v:textbox>
          <w10:wrap type="none"/>
        </v:shape>
      </w:pict>
    </w: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146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2334</w:t>
                </w:r>
                <w:r>
                  <w:rPr/>
                  <w:fldChar w:fldCharType="end"/>
                </w:r>
              </w:p>
            </w:txbxContent>
          </v:textbox>
          <w10:wrap type="none"/>
        </v:shape>
      </w:pict>
    </w: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136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2331</w:t>
                </w:r>
                <w:r>
                  <w:rPr/>
                  <w:fldChar w:fldCharType="end"/>
                </w:r>
              </w:p>
            </w:txbxContent>
          </v:textbox>
          <w10:wrap type="none"/>
        </v:shape>
      </w:pic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126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2340</w:t>
                </w:r>
                <w:r>
                  <w:rPr/>
                  <w:fldChar w:fldCharType="end"/>
                </w:r>
              </w:p>
            </w:txbxContent>
          </v:textbox>
          <w10:wrap type="none"/>
        </v:shape>
      </w:pict>
    </w: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115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2341</w:t>
                </w:r>
                <w:r>
                  <w:rPr/>
                  <w:fldChar w:fldCharType="end"/>
                </w:r>
              </w:p>
            </w:txbxContent>
          </v:textbox>
          <w10:wrap type="none"/>
        </v:shape>
      </w:pict>
    </w: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105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2350</w:t>
                </w:r>
                <w:r>
                  <w:rPr/>
                  <w:fldChar w:fldCharType="end"/>
                </w:r>
              </w:p>
            </w:txbxContent>
          </v:textbox>
          <w10:wrap type="none"/>
        </v:shape>
      </w:pic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095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2351</w:t>
                </w:r>
                <w:r>
                  <w:rPr/>
                  <w:fldChar w:fldCharType="end"/>
                </w:r>
              </w:p>
            </w:txbxContent>
          </v:textbox>
          <w10:wrap type="none"/>
        </v:shape>
      </w:pict>
    </w: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085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2366</w:t>
                </w:r>
                <w:r>
                  <w:rPr/>
                  <w:fldChar w:fldCharType="end"/>
                </w:r>
              </w:p>
            </w:txbxContent>
          </v:textbox>
          <w10:wrap type="none"/>
        </v:shape>
      </w:pict>
    </w: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074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2361</w:t>
                </w:r>
                <w:r>
                  <w:rPr/>
                  <w:fldChar w:fldCharType="end"/>
                </w:r>
              </w:p>
            </w:txbxContent>
          </v:textbox>
          <w10:wrap type="none"/>
        </v:shape>
      </w:pic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064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2370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621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1610</w:t>
                </w:r>
                <w:r>
                  <w:rPr/>
                  <w:fldChar w:fldCharType="end"/>
                </w:r>
              </w:p>
            </w:txbxContent>
          </v:textbox>
          <w10:wrap type="none"/>
        </v:shape>
      </w:pict>
    </w: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054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2371</w:t>
                </w:r>
                <w:r>
                  <w:rPr/>
                  <w:fldChar w:fldCharType="end"/>
                </w:r>
              </w:p>
            </w:txbxContent>
          </v:textbox>
          <w10:wrap type="none"/>
        </v:shape>
      </w:pict>
    </w: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044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2380</w:t>
                </w:r>
                <w:r>
                  <w:rPr/>
                  <w:fldChar w:fldCharType="end"/>
                </w:r>
              </w:p>
            </w:txbxContent>
          </v:textbox>
          <w10:wrap type="none"/>
        </v:shape>
      </w:pic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033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2381</w:t>
                </w:r>
                <w:r>
                  <w:rPr/>
                  <w:fldChar w:fldCharType="end"/>
                </w:r>
              </w:p>
            </w:txbxContent>
          </v:textbox>
          <w10:wrap type="none"/>
        </v:shape>
      </w:pict>
    </w: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023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2398</w:t>
                </w:r>
                <w:r>
                  <w:rPr/>
                  <w:fldChar w:fldCharType="end"/>
                </w:r>
              </w:p>
            </w:txbxContent>
          </v:textbox>
          <w10:wrap type="none"/>
        </v:shape>
      </w:pict>
    </w: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013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2391</w:t>
                </w:r>
                <w:r>
                  <w:rPr/>
                  <w:fldChar w:fldCharType="end"/>
                </w:r>
              </w:p>
            </w:txbxContent>
          </v:textbox>
          <w10:wrap type="none"/>
        </v:shape>
      </w:pic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003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2400</w:t>
                </w:r>
                <w:r>
                  <w:rPr/>
                  <w:fldChar w:fldCharType="end"/>
                </w:r>
              </w:p>
            </w:txbxContent>
          </v:textbox>
          <w10:wrap type="none"/>
        </v:shape>
      </w:pict>
    </w: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9929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2401</w:t>
                </w:r>
                <w:r>
                  <w:rPr/>
                  <w:fldChar w:fldCharType="end"/>
                </w:r>
              </w:p>
            </w:txbxContent>
          </v:textbox>
          <w10:wrap type="none"/>
        </v:shape>
      </w:pict>
    </w: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9827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2410</w:t>
                </w:r>
                <w:r>
                  <w:rPr/>
                  <w:fldChar w:fldCharType="end"/>
                </w:r>
              </w:p>
            </w:txbxContent>
          </v:textbox>
          <w10:wrap type="none"/>
        </v:shape>
      </w:pic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972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2411</w:t>
                </w:r>
                <w:r>
                  <w:rPr/>
                  <w:fldChar w:fldCharType="end"/>
                </w:r>
              </w:p>
            </w:txbxContent>
          </v:textbox>
          <w10:wrap type="none"/>
        </v:shape>
      </w:pict>
    </w: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962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2420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610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1611</w:t>
                </w:r>
                <w:r>
                  <w:rPr/>
                  <w:fldChar w:fldCharType="end"/>
                </w:r>
              </w:p>
            </w:txbxContent>
          </v:textbox>
          <w10:wrap type="non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952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2421</w:t>
                </w:r>
                <w:r>
                  <w:rPr/>
                  <w:fldChar w:fldCharType="end"/>
                </w:r>
              </w:p>
            </w:txbxContent>
          </v:textbox>
          <w10:wrap type="none"/>
        </v:shape>
      </w:pic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941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2430</w:t>
                </w:r>
                <w:r>
                  <w:rPr/>
                  <w:fldChar w:fldCharType="end"/>
                </w:r>
              </w:p>
            </w:txbxContent>
          </v:textbox>
          <w10:wrap type="none"/>
        </v:shape>
      </w:pict>
    </w: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931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2431</w:t>
                </w:r>
                <w:r>
                  <w:rPr/>
                  <w:fldChar w:fldCharType="end"/>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921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2440</w:t>
                </w:r>
                <w:r>
                  <w:rPr/>
                  <w:fldChar w:fldCharType="end"/>
                </w:r>
              </w:p>
            </w:txbxContent>
          </v:textbox>
          <w10:wrap type="none"/>
        </v:shape>
      </w:pic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911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2441</w:t>
                </w:r>
                <w:r>
                  <w:rPr/>
                  <w:fldChar w:fldCharType="end"/>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900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2450</w:t>
                </w:r>
                <w:r>
                  <w:rPr/>
                  <w:fldChar w:fldCharType="end"/>
                </w:r>
              </w:p>
            </w:txbxContent>
          </v:textbox>
          <w10:wrap type="none"/>
        </v:shape>
      </w:pict>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890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2451</w:t>
                </w:r>
                <w:r>
                  <w:rPr/>
                  <w:fldChar w:fldCharType="end"/>
                </w:r>
              </w:p>
            </w:txbxContent>
          </v:textbox>
          <w10:wrap type="none"/>
        </v:shape>
      </w:pic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880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2462</w:t>
                </w:r>
                <w:r>
                  <w:rPr/>
                  <w:fldChar w:fldCharType="end"/>
                </w:r>
              </w:p>
            </w:txbxContent>
          </v:textbox>
          <w10:wrap type="none"/>
        </v:shape>
      </w:pict>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870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2461</w:t>
                </w:r>
                <w:r>
                  <w:rPr/>
                  <w:fldChar w:fldCharType="end"/>
                </w:r>
              </w:p>
            </w:txbxContent>
          </v:textbox>
          <w10:wrap type="none"/>
        </v:shape>
      </w:pict>
    </w: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859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2470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600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1620</w:t>
                </w:r>
                <w:r>
                  <w:rPr/>
                  <w:fldChar w:fldCharType="end"/>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849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2471</w:t>
                </w:r>
                <w:r>
                  <w:rPr/>
                  <w:fldChar w:fldCharType="end"/>
                </w:r>
              </w:p>
            </w:txbxContent>
          </v:textbox>
          <w10:wrap type="none"/>
        </v:shape>
      </w:pict>
    </w: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839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2480</w:t>
                </w:r>
                <w:r>
                  <w:rPr/>
                  <w:fldChar w:fldCharType="end"/>
                </w:r>
              </w:p>
            </w:txbxContent>
          </v:textbox>
          <w10:wrap type="none"/>
        </v:shape>
      </w:pict>
    </w: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829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2481</w:t>
                </w:r>
                <w:r>
                  <w:rPr/>
                  <w:fldChar w:fldCharType="end"/>
                </w:r>
              </w:p>
            </w:txbxContent>
          </v:textbox>
          <w10:wrap type="none"/>
        </v:shape>
      </w:pic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818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2494</w:t>
                </w:r>
                <w:r>
                  <w:rPr/>
                  <w:fldChar w:fldCharType="end"/>
                </w:r>
              </w:p>
            </w:txbxContent>
          </v:textbox>
          <w10:wrap type="none"/>
        </v:shape>
      </w:pict>
    </w: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808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2491</w:t>
                </w:r>
                <w:r>
                  <w:rPr/>
                  <w:fldChar w:fldCharType="end"/>
                </w:r>
              </w:p>
            </w:txbxContent>
          </v:textbox>
          <w10:wrap type="none"/>
        </v:shape>
      </w:pict>
    </w: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798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2500</w:t>
                </w:r>
                <w:r>
                  <w:rPr/>
                  <w:fldChar w:fldCharType="end"/>
                </w:r>
              </w:p>
            </w:txbxContent>
          </v:textbox>
          <w10:wrap type="none"/>
        </v:shape>
      </w:pic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788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2501</w:t>
                </w:r>
                <w:r>
                  <w:rPr/>
                  <w:fldChar w:fldCharType="end"/>
                </w:r>
              </w:p>
            </w:txbxContent>
          </v:textbox>
          <w10:wrap type="none"/>
        </v:shape>
      </w:pict>
    </w: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7777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2510</w:t>
                </w:r>
                <w:r>
                  <w:rPr/>
                  <w:fldChar w:fldCharType="end"/>
                </w:r>
              </w:p>
            </w:txbxContent>
          </v:textbox>
          <w10:wrap type="none"/>
        </v:shape>
      </w:pict>
    </w: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7767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2511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795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1524</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590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1621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580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1630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569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1631</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559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1640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549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1641</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539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1650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5289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1651</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5187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1662</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508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1661</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498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1670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764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1540</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488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1671</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477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1680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467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1681</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457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1694</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447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1691</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436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1700</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426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1701</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416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1710</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406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1711</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395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1726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754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1541</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385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1721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375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1730</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365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1731</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354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1740</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344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1741</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334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1758</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324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1751</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313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1760</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303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1761</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293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1770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744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1550</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283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1771</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2729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1780</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2627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1781</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252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1790</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242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1791</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232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1800</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221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1801</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211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1810</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201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1811</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191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1822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733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1551</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180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1821</w:t>
                </w:r>
                <w:r>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170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1830</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160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1831</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150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1840</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139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1841</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129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1854</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119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1851</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109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1860</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098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1861</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088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1870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723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1566</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078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1871</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068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1886</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057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1881</w:t>
                </w:r>
                <w:r>
                  <w:rPr/>
                  <w:fldChar w:fldCharType="end"/>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047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1890</w:t>
                </w:r>
                <w:r>
                  <w:rPr/>
                  <w:fldChar w:fldCharType="end"/>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037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1891</w:t>
                </w:r>
                <w:r>
                  <w:rPr/>
                  <w:fldChar w:fldCharType="end"/>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0272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1900</w:t>
                </w:r>
                <w:r>
                  <w:rPr/>
                  <w:fldChar w:fldCharType="end"/>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0169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1901</w:t>
                </w:r>
                <w:r>
                  <w:rPr/>
                  <w:fldChar w:fldCharType="end"/>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0067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1918</w:t>
                </w:r>
                <w:r>
                  <w:rPr/>
                  <w:fldChar w:fldCharType="end"/>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9964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1911</w:t>
                </w:r>
                <w:r>
                  <w:rPr/>
                  <w:fldChar w:fldCharType="end"/>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9862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1920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9713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1561</w:t>
                </w:r>
                <w:r>
                  <w:rPr/>
                  <w:fldChar w:fldCharType="end"/>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9760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1921</w:t>
                </w:r>
                <w:r>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965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1930</w:t>
                </w:r>
                <w:r>
                  <w:rPr/>
                  <w:fldChar w:fldCharType="end"/>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9555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1931</w:t>
                </w:r>
                <w:r>
                  <w:rPr/>
                  <w:fldChar w:fldCharType="end"/>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9452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1940</w:t>
                </w:r>
                <w:r>
                  <w:rPr/>
                  <w:fldChar w:fldCharType="end"/>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935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1941</w:t>
                </w:r>
                <w:r>
                  <w:rPr/>
                  <w:fldChar w:fldCharType="end"/>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924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1950</w:t>
                </w:r>
                <w:r>
                  <w:rPr/>
                  <w:fldChar w:fldCharType="end"/>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9145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1951</w:t>
                </w:r>
                <w:r>
                  <w:rPr/>
                  <w:fldChar w:fldCharType="end"/>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9043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1960</w:t>
                </w:r>
                <w:r>
                  <w:rPr/>
                  <w:fldChar w:fldCharType="end"/>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8940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1961</w:t>
                </w:r>
                <w:r>
                  <w:rPr/>
                  <w:fldChar w:fldCharType="end"/>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8838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1970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97030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1570</w:t>
                </w:r>
                <w:r>
                  <w:rPr/>
                  <w:fldChar w:fldCharType="end"/>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8736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1971</w:t>
                </w:r>
                <w:r>
                  <w:rPr/>
                  <w:fldChar w:fldCharType="end"/>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8633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1982</w:t>
                </w:r>
                <w:r>
                  <w:rPr/>
                  <w:fldChar w:fldCharType="end"/>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8531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1981</w:t>
                </w:r>
                <w:r>
                  <w:rPr/>
                  <w:fldChar w:fldCharType="end"/>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8428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1990</w:t>
                </w:r>
                <w:r>
                  <w:rPr/>
                  <w:fldChar w:fldCharType="end"/>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8326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1991</w:t>
                </w:r>
                <w:r>
                  <w:rPr/>
                  <w:fldChar w:fldCharType="end"/>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8224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2000</w:t>
                </w:r>
                <w:r>
                  <w:rPr/>
                  <w:fldChar w:fldCharType="end"/>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8121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2001</w:t>
                </w:r>
                <w:r>
                  <w:rPr/>
                  <w:fldChar w:fldCharType="end"/>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801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2014</w:t>
                </w:r>
                <w:r>
                  <w:rPr/>
                  <w:fldChar w:fldCharType="end"/>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580017pt;margin-top:743.695984pt;width:26.4pt;height:13.05pt;mso-position-horizontal-relative:page;mso-position-vertical-relative:page;z-index:-335879168"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2011</w:t>
                </w:r>
                <w:r>
                  <w:rPr/>
                  <w:fldChar w:fldCharType="end"/>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pt;margin-top:743.695984pt;width:26.4pt;height:13.05pt;mso-position-horizontal-relative:page;mso-position-vertical-relative:page;z-index:-335878144"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2020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82.230011pt;margin-top:37.160pt;width:176.95pt;height:13.05pt;mso-position-horizontal-relative:page;mso-position-vertical-relative:page;z-index:-335982592" type="#_x0000_t202" filled="false" stroked="false">
          <v:textbox inset="0,0,0,0">
            <w:txbxContent>
              <w:p>
                <w:pPr>
                  <w:pStyle w:val="BodyText"/>
                  <w:spacing w:line="245" w:lineRule="exact"/>
                  <w:ind w:left="20"/>
                </w:pPr>
                <w:r>
                  <w:rPr/>
                  <w:t>18. SpreadsheetML Reference Material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pt;margin-top:37.040001pt;width:78.2pt;height:13.05pt;mso-position-horizontal-relative:page;mso-position-vertical-relative:page;z-index:-335981568" type="#_x0000_t202" filled="false" stroked="false">
          <v:textbox inset="0,0,0,0">
            <w:txbxContent>
              <w:p>
                <w:pPr>
                  <w:pStyle w:val="BodyText"/>
                  <w:spacing w:line="245" w:lineRule="exact"/>
                  <w:ind w:left="20"/>
                </w:pPr>
                <w:r>
                  <w:rPr/>
                  <w:t>ECMA-376 Part 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4">
    <w:multiLevelType w:val="hybridMultilevel"/>
    <w:lvl w:ilvl="0">
      <w:start w:val="0"/>
      <w:numFmt w:val="bullet"/>
      <w:lvlText w:val=""/>
      <w:lvlJc w:val="left"/>
      <w:pPr>
        <w:ind w:left="940" w:hanging="360"/>
      </w:pPr>
      <w:rPr>
        <w:rFonts w:hint="default" w:ascii="Symbol" w:hAnsi="Symbol" w:eastAsia="Symbol" w:cs="Symbol"/>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127">
    <w:multiLevelType w:val="hybridMultilevel"/>
    <w:lvl w:ilvl="0">
      <w:start w:val="0"/>
      <w:numFmt w:val="bullet"/>
      <w:lvlText w:val=""/>
      <w:lvlJc w:val="left"/>
      <w:pPr>
        <w:ind w:left="940" w:hanging="360"/>
      </w:pPr>
      <w:rPr>
        <w:rFonts w:hint="default" w:ascii="Symbol" w:hAnsi="Symbol" w:eastAsia="Symbol" w:cs="Symbol"/>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25">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142">
    <w:multiLevelType w:val="hybridMultilevel"/>
    <w:lvl w:ilvl="0">
      <w:start w:val="0"/>
      <w:numFmt w:val="bullet"/>
      <w:lvlText w:val=""/>
      <w:lvlJc w:val="left"/>
      <w:pPr>
        <w:ind w:left="835" w:hanging="361"/>
      </w:pPr>
      <w:rPr>
        <w:rFonts w:hint="default" w:ascii="Symbol" w:hAnsi="Symbol" w:eastAsia="Symbol" w:cs="Symbol"/>
        <w:w w:val="100"/>
        <w:sz w:val="22"/>
        <w:szCs w:val="22"/>
        <w:lang w:val="en-US" w:eastAsia="en-US" w:bidi="en-US"/>
      </w:rPr>
    </w:lvl>
    <w:lvl w:ilvl="1">
      <w:start w:val="0"/>
      <w:numFmt w:val="bullet"/>
      <w:lvlText w:val="•"/>
      <w:lvlJc w:val="left"/>
      <w:pPr>
        <w:ind w:left="1270" w:hanging="361"/>
      </w:pPr>
      <w:rPr>
        <w:rFonts w:hint="default"/>
        <w:lang w:val="en-US" w:eastAsia="en-US" w:bidi="en-US"/>
      </w:rPr>
    </w:lvl>
    <w:lvl w:ilvl="2">
      <w:start w:val="0"/>
      <w:numFmt w:val="bullet"/>
      <w:lvlText w:val="•"/>
      <w:lvlJc w:val="left"/>
      <w:pPr>
        <w:ind w:left="1701" w:hanging="361"/>
      </w:pPr>
      <w:rPr>
        <w:rFonts w:hint="default"/>
        <w:lang w:val="en-US" w:eastAsia="en-US" w:bidi="en-US"/>
      </w:rPr>
    </w:lvl>
    <w:lvl w:ilvl="3">
      <w:start w:val="0"/>
      <w:numFmt w:val="bullet"/>
      <w:lvlText w:val="•"/>
      <w:lvlJc w:val="left"/>
      <w:pPr>
        <w:ind w:left="2131" w:hanging="361"/>
      </w:pPr>
      <w:rPr>
        <w:rFonts w:hint="default"/>
        <w:lang w:val="en-US" w:eastAsia="en-US" w:bidi="en-US"/>
      </w:rPr>
    </w:lvl>
    <w:lvl w:ilvl="4">
      <w:start w:val="0"/>
      <w:numFmt w:val="bullet"/>
      <w:lvlText w:val="•"/>
      <w:lvlJc w:val="left"/>
      <w:pPr>
        <w:ind w:left="2562" w:hanging="361"/>
      </w:pPr>
      <w:rPr>
        <w:rFonts w:hint="default"/>
        <w:lang w:val="en-US" w:eastAsia="en-US" w:bidi="en-US"/>
      </w:rPr>
    </w:lvl>
    <w:lvl w:ilvl="5">
      <w:start w:val="0"/>
      <w:numFmt w:val="bullet"/>
      <w:lvlText w:val="•"/>
      <w:lvlJc w:val="left"/>
      <w:pPr>
        <w:ind w:left="2993" w:hanging="361"/>
      </w:pPr>
      <w:rPr>
        <w:rFonts w:hint="default"/>
        <w:lang w:val="en-US" w:eastAsia="en-US" w:bidi="en-US"/>
      </w:rPr>
    </w:lvl>
    <w:lvl w:ilvl="6">
      <w:start w:val="0"/>
      <w:numFmt w:val="bullet"/>
      <w:lvlText w:val="•"/>
      <w:lvlJc w:val="left"/>
      <w:pPr>
        <w:ind w:left="3423" w:hanging="361"/>
      </w:pPr>
      <w:rPr>
        <w:rFonts w:hint="default"/>
        <w:lang w:val="en-US" w:eastAsia="en-US" w:bidi="en-US"/>
      </w:rPr>
    </w:lvl>
    <w:lvl w:ilvl="7">
      <w:start w:val="0"/>
      <w:numFmt w:val="bullet"/>
      <w:lvlText w:val="•"/>
      <w:lvlJc w:val="left"/>
      <w:pPr>
        <w:ind w:left="3854" w:hanging="361"/>
      </w:pPr>
      <w:rPr>
        <w:rFonts w:hint="default"/>
        <w:lang w:val="en-US" w:eastAsia="en-US" w:bidi="en-US"/>
      </w:rPr>
    </w:lvl>
    <w:lvl w:ilvl="8">
      <w:start w:val="0"/>
      <w:numFmt w:val="bullet"/>
      <w:lvlText w:val="•"/>
      <w:lvlJc w:val="left"/>
      <w:pPr>
        <w:ind w:left="4284" w:hanging="361"/>
      </w:pPr>
      <w:rPr>
        <w:rFonts w:hint="default"/>
        <w:lang w:val="en-US" w:eastAsia="en-US" w:bidi="en-US"/>
      </w:rPr>
    </w:lvl>
  </w:abstractNum>
  <w:abstractNum w:abstractNumId="141">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40">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39">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38">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37">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36">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35">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34">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33">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32">
    <w:multiLevelType w:val="hybridMultilevel"/>
    <w:lvl w:ilvl="0">
      <w:start w:val="0"/>
      <w:numFmt w:val="bullet"/>
      <w:lvlText w:val=""/>
      <w:lvlJc w:val="left"/>
      <w:pPr>
        <w:ind w:left="940" w:hanging="360"/>
      </w:pPr>
      <w:rPr>
        <w:rFonts w:hint="default" w:ascii="Symbol" w:hAnsi="Symbol" w:eastAsia="Symbol" w:cs="Symbol"/>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131">
    <w:multiLevelType w:val="hybridMultilevel"/>
    <w:lvl w:ilvl="0">
      <w:start w:val="0"/>
      <w:numFmt w:val="bullet"/>
      <w:lvlText w:val=""/>
      <w:lvlJc w:val="left"/>
      <w:pPr>
        <w:ind w:left="220" w:hanging="360"/>
      </w:pPr>
      <w:rPr>
        <w:rFonts w:hint="default" w:ascii="Symbol" w:hAnsi="Symbol" w:eastAsia="Symbol" w:cs="Symbol"/>
        <w:w w:val="100"/>
        <w:sz w:val="22"/>
        <w:szCs w:val="22"/>
        <w:lang w:val="en-US" w:eastAsia="en-US" w:bidi="en-US"/>
      </w:rPr>
    </w:lvl>
    <w:lvl w:ilvl="1">
      <w:start w:val="0"/>
      <w:numFmt w:val="bullet"/>
      <w:lvlText w:val="•"/>
      <w:lvlJc w:val="left"/>
      <w:pPr>
        <w:ind w:left="1266" w:hanging="360"/>
      </w:pPr>
      <w:rPr>
        <w:rFonts w:hint="default"/>
        <w:lang w:val="en-US" w:eastAsia="en-US" w:bidi="en-US"/>
      </w:rPr>
    </w:lvl>
    <w:lvl w:ilvl="2">
      <w:start w:val="0"/>
      <w:numFmt w:val="bullet"/>
      <w:lvlText w:val="•"/>
      <w:lvlJc w:val="left"/>
      <w:pPr>
        <w:ind w:left="2312" w:hanging="360"/>
      </w:pPr>
      <w:rPr>
        <w:rFonts w:hint="default"/>
        <w:lang w:val="en-US" w:eastAsia="en-US" w:bidi="en-US"/>
      </w:rPr>
    </w:lvl>
    <w:lvl w:ilvl="3">
      <w:start w:val="0"/>
      <w:numFmt w:val="bullet"/>
      <w:lvlText w:val="•"/>
      <w:lvlJc w:val="left"/>
      <w:pPr>
        <w:ind w:left="3358" w:hanging="360"/>
      </w:pPr>
      <w:rPr>
        <w:rFonts w:hint="default"/>
        <w:lang w:val="en-US" w:eastAsia="en-US" w:bidi="en-US"/>
      </w:rPr>
    </w:lvl>
    <w:lvl w:ilvl="4">
      <w:start w:val="0"/>
      <w:numFmt w:val="bullet"/>
      <w:lvlText w:val="•"/>
      <w:lvlJc w:val="left"/>
      <w:pPr>
        <w:ind w:left="4404" w:hanging="360"/>
      </w:pPr>
      <w:rPr>
        <w:rFonts w:hint="default"/>
        <w:lang w:val="en-US" w:eastAsia="en-US" w:bidi="en-US"/>
      </w:rPr>
    </w:lvl>
    <w:lvl w:ilvl="5">
      <w:start w:val="0"/>
      <w:numFmt w:val="bullet"/>
      <w:lvlText w:val="•"/>
      <w:lvlJc w:val="left"/>
      <w:pPr>
        <w:ind w:left="5450" w:hanging="360"/>
      </w:pPr>
      <w:rPr>
        <w:rFonts w:hint="default"/>
        <w:lang w:val="en-US" w:eastAsia="en-US" w:bidi="en-US"/>
      </w:rPr>
    </w:lvl>
    <w:lvl w:ilvl="6">
      <w:start w:val="0"/>
      <w:numFmt w:val="bullet"/>
      <w:lvlText w:val="•"/>
      <w:lvlJc w:val="left"/>
      <w:pPr>
        <w:ind w:left="6496" w:hanging="360"/>
      </w:pPr>
      <w:rPr>
        <w:rFonts w:hint="default"/>
        <w:lang w:val="en-US" w:eastAsia="en-US" w:bidi="en-US"/>
      </w:rPr>
    </w:lvl>
    <w:lvl w:ilvl="7">
      <w:start w:val="0"/>
      <w:numFmt w:val="bullet"/>
      <w:lvlText w:val="•"/>
      <w:lvlJc w:val="left"/>
      <w:pPr>
        <w:ind w:left="7542" w:hanging="360"/>
      </w:pPr>
      <w:rPr>
        <w:rFonts w:hint="default"/>
        <w:lang w:val="en-US" w:eastAsia="en-US" w:bidi="en-US"/>
      </w:rPr>
    </w:lvl>
    <w:lvl w:ilvl="8">
      <w:start w:val="0"/>
      <w:numFmt w:val="bullet"/>
      <w:lvlText w:val="•"/>
      <w:lvlJc w:val="left"/>
      <w:pPr>
        <w:ind w:left="8588" w:hanging="360"/>
      </w:pPr>
      <w:rPr>
        <w:rFonts w:hint="default"/>
        <w:lang w:val="en-US" w:eastAsia="en-US" w:bidi="en-US"/>
      </w:rPr>
    </w:lvl>
  </w:abstractNum>
  <w:abstractNum w:abstractNumId="130">
    <w:multiLevelType w:val="hybridMultilevel"/>
    <w:lvl w:ilvl="0">
      <w:start w:val="0"/>
      <w:numFmt w:val="bullet"/>
      <w:lvlText w:val=""/>
      <w:lvlJc w:val="left"/>
      <w:pPr>
        <w:ind w:left="220" w:hanging="360"/>
      </w:pPr>
      <w:rPr>
        <w:rFonts w:hint="default" w:ascii="Symbol" w:hAnsi="Symbol" w:eastAsia="Symbol" w:cs="Symbol"/>
        <w:w w:val="100"/>
        <w:sz w:val="22"/>
        <w:szCs w:val="22"/>
        <w:lang w:val="en-US" w:eastAsia="en-US" w:bidi="en-US"/>
      </w:rPr>
    </w:lvl>
    <w:lvl w:ilvl="1">
      <w:start w:val="0"/>
      <w:numFmt w:val="bullet"/>
      <w:lvlText w:val="•"/>
      <w:lvlJc w:val="left"/>
      <w:pPr>
        <w:ind w:left="1266" w:hanging="360"/>
      </w:pPr>
      <w:rPr>
        <w:rFonts w:hint="default"/>
        <w:lang w:val="en-US" w:eastAsia="en-US" w:bidi="en-US"/>
      </w:rPr>
    </w:lvl>
    <w:lvl w:ilvl="2">
      <w:start w:val="0"/>
      <w:numFmt w:val="bullet"/>
      <w:lvlText w:val="•"/>
      <w:lvlJc w:val="left"/>
      <w:pPr>
        <w:ind w:left="2312" w:hanging="360"/>
      </w:pPr>
      <w:rPr>
        <w:rFonts w:hint="default"/>
        <w:lang w:val="en-US" w:eastAsia="en-US" w:bidi="en-US"/>
      </w:rPr>
    </w:lvl>
    <w:lvl w:ilvl="3">
      <w:start w:val="0"/>
      <w:numFmt w:val="bullet"/>
      <w:lvlText w:val="•"/>
      <w:lvlJc w:val="left"/>
      <w:pPr>
        <w:ind w:left="3358" w:hanging="360"/>
      </w:pPr>
      <w:rPr>
        <w:rFonts w:hint="default"/>
        <w:lang w:val="en-US" w:eastAsia="en-US" w:bidi="en-US"/>
      </w:rPr>
    </w:lvl>
    <w:lvl w:ilvl="4">
      <w:start w:val="0"/>
      <w:numFmt w:val="bullet"/>
      <w:lvlText w:val="•"/>
      <w:lvlJc w:val="left"/>
      <w:pPr>
        <w:ind w:left="4404" w:hanging="360"/>
      </w:pPr>
      <w:rPr>
        <w:rFonts w:hint="default"/>
        <w:lang w:val="en-US" w:eastAsia="en-US" w:bidi="en-US"/>
      </w:rPr>
    </w:lvl>
    <w:lvl w:ilvl="5">
      <w:start w:val="0"/>
      <w:numFmt w:val="bullet"/>
      <w:lvlText w:val="•"/>
      <w:lvlJc w:val="left"/>
      <w:pPr>
        <w:ind w:left="5450" w:hanging="360"/>
      </w:pPr>
      <w:rPr>
        <w:rFonts w:hint="default"/>
        <w:lang w:val="en-US" w:eastAsia="en-US" w:bidi="en-US"/>
      </w:rPr>
    </w:lvl>
    <w:lvl w:ilvl="6">
      <w:start w:val="0"/>
      <w:numFmt w:val="bullet"/>
      <w:lvlText w:val="•"/>
      <w:lvlJc w:val="left"/>
      <w:pPr>
        <w:ind w:left="6496" w:hanging="360"/>
      </w:pPr>
      <w:rPr>
        <w:rFonts w:hint="default"/>
        <w:lang w:val="en-US" w:eastAsia="en-US" w:bidi="en-US"/>
      </w:rPr>
    </w:lvl>
    <w:lvl w:ilvl="7">
      <w:start w:val="0"/>
      <w:numFmt w:val="bullet"/>
      <w:lvlText w:val="•"/>
      <w:lvlJc w:val="left"/>
      <w:pPr>
        <w:ind w:left="7542" w:hanging="360"/>
      </w:pPr>
      <w:rPr>
        <w:rFonts w:hint="default"/>
        <w:lang w:val="en-US" w:eastAsia="en-US" w:bidi="en-US"/>
      </w:rPr>
    </w:lvl>
    <w:lvl w:ilvl="8">
      <w:start w:val="0"/>
      <w:numFmt w:val="bullet"/>
      <w:lvlText w:val="•"/>
      <w:lvlJc w:val="left"/>
      <w:pPr>
        <w:ind w:left="8588" w:hanging="360"/>
      </w:pPr>
      <w:rPr>
        <w:rFonts w:hint="default"/>
        <w:lang w:val="en-US" w:eastAsia="en-US" w:bidi="en-US"/>
      </w:rPr>
    </w:lvl>
  </w:abstractNum>
  <w:abstractNum w:abstractNumId="129">
    <w:multiLevelType w:val="hybridMultilevel"/>
    <w:lvl w:ilvl="0">
      <w:start w:val="0"/>
      <w:numFmt w:val="bullet"/>
      <w:lvlText w:val=""/>
      <w:lvlJc w:val="left"/>
      <w:pPr>
        <w:ind w:left="940" w:hanging="360"/>
      </w:pPr>
      <w:rPr>
        <w:rFonts w:hint="default" w:ascii="Symbol" w:hAnsi="Symbol" w:eastAsia="Symbol" w:cs="Symbol"/>
        <w:i/>
        <w:w w:val="96"/>
        <w:sz w:val="23"/>
        <w:szCs w:val="23"/>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128">
    <w:multiLevelType w:val="hybridMultilevel"/>
    <w:lvl w:ilvl="0">
      <w:start w:val="0"/>
      <w:numFmt w:val="bullet"/>
      <w:lvlText w:val=""/>
      <w:lvlJc w:val="left"/>
      <w:pPr>
        <w:ind w:left="940" w:hanging="360"/>
      </w:pPr>
      <w:rPr>
        <w:rFonts w:hint="default" w:ascii="Symbol" w:hAnsi="Symbol" w:eastAsia="Symbol" w:cs="Symbol"/>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126">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25">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24">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23">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22">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21">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20">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19">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18">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17">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16">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15">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14">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13">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12">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11">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10">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09">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08">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07">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06">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05">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03">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02">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101">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100">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99">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98">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97">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96">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95">
    <w:multiLevelType w:val="hybridMultilevel"/>
    <w:lvl w:ilvl="0">
      <w:start w:val="0"/>
      <w:numFmt w:val="bullet"/>
      <w:lvlText w:val=""/>
      <w:lvlJc w:val="left"/>
      <w:pPr>
        <w:ind w:left="833" w:hanging="360"/>
      </w:pPr>
      <w:rPr>
        <w:rFonts w:hint="default" w:ascii="Symbol" w:hAnsi="Symbol" w:eastAsia="Symbol" w:cs="Symbol"/>
        <w:w w:val="100"/>
        <w:sz w:val="22"/>
        <w:szCs w:val="22"/>
        <w:lang w:val="en-US" w:eastAsia="en-US" w:bidi="en-US"/>
      </w:rPr>
    </w:lvl>
    <w:lvl w:ilvl="1">
      <w:start w:val="0"/>
      <w:numFmt w:val="bullet"/>
      <w:lvlText w:val="•"/>
      <w:lvlJc w:val="left"/>
      <w:pPr>
        <w:ind w:left="1295" w:hanging="360"/>
      </w:pPr>
      <w:rPr>
        <w:rFonts w:hint="default"/>
        <w:lang w:val="en-US" w:eastAsia="en-US" w:bidi="en-US"/>
      </w:rPr>
    </w:lvl>
    <w:lvl w:ilvl="2">
      <w:start w:val="0"/>
      <w:numFmt w:val="bullet"/>
      <w:lvlText w:val="•"/>
      <w:lvlJc w:val="left"/>
      <w:pPr>
        <w:ind w:left="1750" w:hanging="360"/>
      </w:pPr>
      <w:rPr>
        <w:rFonts w:hint="default"/>
        <w:lang w:val="en-US" w:eastAsia="en-US" w:bidi="en-US"/>
      </w:rPr>
    </w:lvl>
    <w:lvl w:ilvl="3">
      <w:start w:val="0"/>
      <w:numFmt w:val="bullet"/>
      <w:lvlText w:val="•"/>
      <w:lvlJc w:val="left"/>
      <w:pPr>
        <w:ind w:left="2205" w:hanging="360"/>
      </w:pPr>
      <w:rPr>
        <w:rFonts w:hint="default"/>
        <w:lang w:val="en-US" w:eastAsia="en-US" w:bidi="en-US"/>
      </w:rPr>
    </w:lvl>
    <w:lvl w:ilvl="4">
      <w:start w:val="0"/>
      <w:numFmt w:val="bullet"/>
      <w:lvlText w:val="•"/>
      <w:lvlJc w:val="left"/>
      <w:pPr>
        <w:ind w:left="2660" w:hanging="360"/>
      </w:pPr>
      <w:rPr>
        <w:rFonts w:hint="default"/>
        <w:lang w:val="en-US" w:eastAsia="en-US" w:bidi="en-US"/>
      </w:rPr>
    </w:lvl>
    <w:lvl w:ilvl="5">
      <w:start w:val="0"/>
      <w:numFmt w:val="bullet"/>
      <w:lvlText w:val="•"/>
      <w:lvlJc w:val="left"/>
      <w:pPr>
        <w:ind w:left="3115" w:hanging="360"/>
      </w:pPr>
      <w:rPr>
        <w:rFonts w:hint="default"/>
        <w:lang w:val="en-US" w:eastAsia="en-US" w:bidi="en-US"/>
      </w:rPr>
    </w:lvl>
    <w:lvl w:ilvl="6">
      <w:start w:val="0"/>
      <w:numFmt w:val="bullet"/>
      <w:lvlText w:val="•"/>
      <w:lvlJc w:val="left"/>
      <w:pPr>
        <w:ind w:left="3570" w:hanging="360"/>
      </w:pPr>
      <w:rPr>
        <w:rFonts w:hint="default"/>
        <w:lang w:val="en-US" w:eastAsia="en-US" w:bidi="en-US"/>
      </w:rPr>
    </w:lvl>
    <w:lvl w:ilvl="7">
      <w:start w:val="0"/>
      <w:numFmt w:val="bullet"/>
      <w:lvlText w:val="•"/>
      <w:lvlJc w:val="left"/>
      <w:pPr>
        <w:ind w:left="4025" w:hanging="360"/>
      </w:pPr>
      <w:rPr>
        <w:rFonts w:hint="default"/>
        <w:lang w:val="en-US" w:eastAsia="en-US" w:bidi="en-US"/>
      </w:rPr>
    </w:lvl>
    <w:lvl w:ilvl="8">
      <w:start w:val="0"/>
      <w:numFmt w:val="bullet"/>
      <w:lvlText w:val="•"/>
      <w:lvlJc w:val="left"/>
      <w:pPr>
        <w:ind w:left="4480" w:hanging="360"/>
      </w:pPr>
      <w:rPr>
        <w:rFonts w:hint="default"/>
        <w:lang w:val="en-US" w:eastAsia="en-US" w:bidi="en-US"/>
      </w:rPr>
    </w:lvl>
  </w:abstractNum>
  <w:abstractNum w:abstractNumId="94">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93">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92">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91">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90">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89">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88">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87">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86">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85">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84">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83">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82">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81">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80">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79">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78">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77">
    <w:multiLevelType w:val="hybridMultilevel"/>
    <w:lvl w:ilvl="0">
      <w:start w:val="1"/>
      <w:numFmt w:val="decimal"/>
      <w:lvlText w:val="%1."/>
      <w:lvlJc w:val="left"/>
      <w:pPr>
        <w:ind w:left="940" w:hanging="360"/>
        <w:jc w:val="left"/>
      </w:pPr>
      <w:rPr>
        <w:rFonts w:hint="default" w:ascii="Calibri" w:hAnsi="Calibri" w:eastAsia="Calibri" w:cs="Calibri"/>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76">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333" w:hanging="360"/>
      </w:pPr>
      <w:rPr>
        <w:rFonts w:hint="default"/>
        <w:lang w:val="en-US" w:eastAsia="en-US" w:bidi="en-US"/>
      </w:rPr>
    </w:lvl>
    <w:lvl w:ilvl="2">
      <w:start w:val="0"/>
      <w:numFmt w:val="bullet"/>
      <w:lvlText w:val="•"/>
      <w:lvlJc w:val="left"/>
      <w:pPr>
        <w:ind w:left="1826" w:hanging="360"/>
      </w:pPr>
      <w:rPr>
        <w:rFonts w:hint="default"/>
        <w:lang w:val="en-US" w:eastAsia="en-US" w:bidi="en-US"/>
      </w:rPr>
    </w:lvl>
    <w:lvl w:ilvl="3">
      <w:start w:val="0"/>
      <w:numFmt w:val="bullet"/>
      <w:lvlText w:val="•"/>
      <w:lvlJc w:val="left"/>
      <w:pPr>
        <w:ind w:left="2320" w:hanging="360"/>
      </w:pPr>
      <w:rPr>
        <w:rFonts w:hint="default"/>
        <w:lang w:val="en-US" w:eastAsia="en-US" w:bidi="en-US"/>
      </w:rPr>
    </w:lvl>
    <w:lvl w:ilvl="4">
      <w:start w:val="0"/>
      <w:numFmt w:val="bullet"/>
      <w:lvlText w:val="•"/>
      <w:lvlJc w:val="left"/>
      <w:pPr>
        <w:ind w:left="2813" w:hanging="360"/>
      </w:pPr>
      <w:rPr>
        <w:rFonts w:hint="default"/>
        <w:lang w:val="en-US" w:eastAsia="en-US" w:bidi="en-US"/>
      </w:rPr>
    </w:lvl>
    <w:lvl w:ilvl="5">
      <w:start w:val="0"/>
      <w:numFmt w:val="bullet"/>
      <w:lvlText w:val="•"/>
      <w:lvlJc w:val="left"/>
      <w:pPr>
        <w:ind w:left="3307" w:hanging="360"/>
      </w:pPr>
      <w:rPr>
        <w:rFonts w:hint="default"/>
        <w:lang w:val="en-US" w:eastAsia="en-US" w:bidi="en-US"/>
      </w:rPr>
    </w:lvl>
    <w:lvl w:ilvl="6">
      <w:start w:val="0"/>
      <w:numFmt w:val="bullet"/>
      <w:lvlText w:val="•"/>
      <w:lvlJc w:val="left"/>
      <w:pPr>
        <w:ind w:left="3800" w:hanging="360"/>
      </w:pPr>
      <w:rPr>
        <w:rFonts w:hint="default"/>
        <w:lang w:val="en-US" w:eastAsia="en-US" w:bidi="en-US"/>
      </w:rPr>
    </w:lvl>
    <w:lvl w:ilvl="7">
      <w:start w:val="0"/>
      <w:numFmt w:val="bullet"/>
      <w:lvlText w:val="•"/>
      <w:lvlJc w:val="left"/>
      <w:pPr>
        <w:ind w:left="4293" w:hanging="360"/>
      </w:pPr>
      <w:rPr>
        <w:rFonts w:hint="default"/>
        <w:lang w:val="en-US" w:eastAsia="en-US" w:bidi="en-US"/>
      </w:rPr>
    </w:lvl>
    <w:lvl w:ilvl="8">
      <w:start w:val="0"/>
      <w:numFmt w:val="bullet"/>
      <w:lvlText w:val="•"/>
      <w:lvlJc w:val="left"/>
      <w:pPr>
        <w:ind w:left="4787" w:hanging="360"/>
      </w:pPr>
      <w:rPr>
        <w:rFonts w:hint="default"/>
        <w:lang w:val="en-US" w:eastAsia="en-US" w:bidi="en-US"/>
      </w:rPr>
    </w:lvl>
  </w:abstractNum>
  <w:abstractNum w:abstractNumId="75">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333" w:hanging="360"/>
      </w:pPr>
      <w:rPr>
        <w:rFonts w:hint="default"/>
        <w:lang w:val="en-US" w:eastAsia="en-US" w:bidi="en-US"/>
      </w:rPr>
    </w:lvl>
    <w:lvl w:ilvl="2">
      <w:start w:val="0"/>
      <w:numFmt w:val="bullet"/>
      <w:lvlText w:val="•"/>
      <w:lvlJc w:val="left"/>
      <w:pPr>
        <w:ind w:left="1826" w:hanging="360"/>
      </w:pPr>
      <w:rPr>
        <w:rFonts w:hint="default"/>
        <w:lang w:val="en-US" w:eastAsia="en-US" w:bidi="en-US"/>
      </w:rPr>
    </w:lvl>
    <w:lvl w:ilvl="3">
      <w:start w:val="0"/>
      <w:numFmt w:val="bullet"/>
      <w:lvlText w:val="•"/>
      <w:lvlJc w:val="left"/>
      <w:pPr>
        <w:ind w:left="2320" w:hanging="360"/>
      </w:pPr>
      <w:rPr>
        <w:rFonts w:hint="default"/>
        <w:lang w:val="en-US" w:eastAsia="en-US" w:bidi="en-US"/>
      </w:rPr>
    </w:lvl>
    <w:lvl w:ilvl="4">
      <w:start w:val="0"/>
      <w:numFmt w:val="bullet"/>
      <w:lvlText w:val="•"/>
      <w:lvlJc w:val="left"/>
      <w:pPr>
        <w:ind w:left="2813" w:hanging="360"/>
      </w:pPr>
      <w:rPr>
        <w:rFonts w:hint="default"/>
        <w:lang w:val="en-US" w:eastAsia="en-US" w:bidi="en-US"/>
      </w:rPr>
    </w:lvl>
    <w:lvl w:ilvl="5">
      <w:start w:val="0"/>
      <w:numFmt w:val="bullet"/>
      <w:lvlText w:val="•"/>
      <w:lvlJc w:val="left"/>
      <w:pPr>
        <w:ind w:left="3307" w:hanging="360"/>
      </w:pPr>
      <w:rPr>
        <w:rFonts w:hint="default"/>
        <w:lang w:val="en-US" w:eastAsia="en-US" w:bidi="en-US"/>
      </w:rPr>
    </w:lvl>
    <w:lvl w:ilvl="6">
      <w:start w:val="0"/>
      <w:numFmt w:val="bullet"/>
      <w:lvlText w:val="•"/>
      <w:lvlJc w:val="left"/>
      <w:pPr>
        <w:ind w:left="3800" w:hanging="360"/>
      </w:pPr>
      <w:rPr>
        <w:rFonts w:hint="default"/>
        <w:lang w:val="en-US" w:eastAsia="en-US" w:bidi="en-US"/>
      </w:rPr>
    </w:lvl>
    <w:lvl w:ilvl="7">
      <w:start w:val="0"/>
      <w:numFmt w:val="bullet"/>
      <w:lvlText w:val="•"/>
      <w:lvlJc w:val="left"/>
      <w:pPr>
        <w:ind w:left="4293" w:hanging="360"/>
      </w:pPr>
      <w:rPr>
        <w:rFonts w:hint="default"/>
        <w:lang w:val="en-US" w:eastAsia="en-US" w:bidi="en-US"/>
      </w:rPr>
    </w:lvl>
    <w:lvl w:ilvl="8">
      <w:start w:val="0"/>
      <w:numFmt w:val="bullet"/>
      <w:lvlText w:val="•"/>
      <w:lvlJc w:val="left"/>
      <w:pPr>
        <w:ind w:left="4787" w:hanging="360"/>
      </w:pPr>
      <w:rPr>
        <w:rFonts w:hint="default"/>
        <w:lang w:val="en-US" w:eastAsia="en-US" w:bidi="en-US"/>
      </w:rPr>
    </w:lvl>
  </w:abstractNum>
  <w:abstractNum w:abstractNumId="74">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73">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72">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71">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70">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313" w:hanging="360"/>
      </w:pPr>
      <w:rPr>
        <w:rFonts w:hint="default"/>
        <w:lang w:val="en-US" w:eastAsia="en-US" w:bidi="en-US"/>
      </w:rPr>
    </w:lvl>
    <w:lvl w:ilvl="2">
      <w:start w:val="0"/>
      <w:numFmt w:val="bullet"/>
      <w:lvlText w:val="•"/>
      <w:lvlJc w:val="left"/>
      <w:pPr>
        <w:ind w:left="1426" w:hanging="360"/>
      </w:pPr>
      <w:rPr>
        <w:rFonts w:hint="default"/>
        <w:lang w:val="en-US" w:eastAsia="en-US" w:bidi="en-US"/>
      </w:rPr>
    </w:lvl>
    <w:lvl w:ilvl="3">
      <w:start w:val="0"/>
      <w:numFmt w:val="bullet"/>
      <w:lvlText w:val="•"/>
      <w:lvlJc w:val="left"/>
      <w:pPr>
        <w:ind w:left="1539" w:hanging="360"/>
      </w:pPr>
      <w:rPr>
        <w:rFonts w:hint="default"/>
        <w:lang w:val="en-US" w:eastAsia="en-US" w:bidi="en-US"/>
      </w:rPr>
    </w:lvl>
    <w:lvl w:ilvl="4">
      <w:start w:val="0"/>
      <w:numFmt w:val="bullet"/>
      <w:lvlText w:val="•"/>
      <w:lvlJc w:val="left"/>
      <w:pPr>
        <w:ind w:left="1652" w:hanging="360"/>
      </w:pPr>
      <w:rPr>
        <w:rFonts w:hint="default"/>
        <w:lang w:val="en-US" w:eastAsia="en-US" w:bidi="en-US"/>
      </w:rPr>
    </w:lvl>
    <w:lvl w:ilvl="5">
      <w:start w:val="0"/>
      <w:numFmt w:val="bullet"/>
      <w:lvlText w:val="•"/>
      <w:lvlJc w:val="left"/>
      <w:pPr>
        <w:ind w:left="1765" w:hanging="360"/>
      </w:pPr>
      <w:rPr>
        <w:rFonts w:hint="default"/>
        <w:lang w:val="en-US" w:eastAsia="en-US" w:bidi="en-US"/>
      </w:rPr>
    </w:lvl>
    <w:lvl w:ilvl="6">
      <w:start w:val="0"/>
      <w:numFmt w:val="bullet"/>
      <w:lvlText w:val="•"/>
      <w:lvlJc w:val="left"/>
      <w:pPr>
        <w:ind w:left="1878" w:hanging="360"/>
      </w:pPr>
      <w:rPr>
        <w:rFonts w:hint="default"/>
        <w:lang w:val="en-US" w:eastAsia="en-US" w:bidi="en-US"/>
      </w:rPr>
    </w:lvl>
    <w:lvl w:ilvl="7">
      <w:start w:val="0"/>
      <w:numFmt w:val="bullet"/>
      <w:lvlText w:val="•"/>
      <w:lvlJc w:val="left"/>
      <w:pPr>
        <w:ind w:left="1991" w:hanging="360"/>
      </w:pPr>
      <w:rPr>
        <w:rFonts w:hint="default"/>
        <w:lang w:val="en-US" w:eastAsia="en-US" w:bidi="en-US"/>
      </w:rPr>
    </w:lvl>
    <w:lvl w:ilvl="8">
      <w:start w:val="0"/>
      <w:numFmt w:val="bullet"/>
      <w:lvlText w:val="•"/>
      <w:lvlJc w:val="left"/>
      <w:pPr>
        <w:ind w:left="2104" w:hanging="360"/>
      </w:pPr>
      <w:rPr>
        <w:rFonts w:hint="default"/>
        <w:lang w:val="en-US" w:eastAsia="en-US" w:bidi="en-US"/>
      </w:rPr>
    </w:lvl>
  </w:abstractNum>
  <w:abstractNum w:abstractNumId="69">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989" w:hanging="360"/>
      </w:pPr>
      <w:rPr>
        <w:rFonts w:hint="default"/>
        <w:lang w:val="en-US" w:eastAsia="en-US" w:bidi="en-US"/>
      </w:rPr>
    </w:lvl>
    <w:lvl w:ilvl="2">
      <w:start w:val="0"/>
      <w:numFmt w:val="bullet"/>
      <w:lvlText w:val="•"/>
      <w:lvlJc w:val="left"/>
      <w:pPr>
        <w:ind w:left="1138" w:hanging="360"/>
      </w:pPr>
      <w:rPr>
        <w:rFonts w:hint="default"/>
        <w:lang w:val="en-US" w:eastAsia="en-US" w:bidi="en-US"/>
      </w:rPr>
    </w:lvl>
    <w:lvl w:ilvl="3">
      <w:start w:val="0"/>
      <w:numFmt w:val="bullet"/>
      <w:lvlText w:val="•"/>
      <w:lvlJc w:val="left"/>
      <w:pPr>
        <w:ind w:left="1287" w:hanging="360"/>
      </w:pPr>
      <w:rPr>
        <w:rFonts w:hint="default"/>
        <w:lang w:val="en-US" w:eastAsia="en-US" w:bidi="en-US"/>
      </w:rPr>
    </w:lvl>
    <w:lvl w:ilvl="4">
      <w:start w:val="0"/>
      <w:numFmt w:val="bullet"/>
      <w:lvlText w:val="•"/>
      <w:lvlJc w:val="left"/>
      <w:pPr>
        <w:ind w:left="1436" w:hanging="360"/>
      </w:pPr>
      <w:rPr>
        <w:rFonts w:hint="default"/>
        <w:lang w:val="en-US" w:eastAsia="en-US" w:bidi="en-US"/>
      </w:rPr>
    </w:lvl>
    <w:lvl w:ilvl="5">
      <w:start w:val="0"/>
      <w:numFmt w:val="bullet"/>
      <w:lvlText w:val="•"/>
      <w:lvlJc w:val="left"/>
      <w:pPr>
        <w:ind w:left="1585" w:hanging="360"/>
      </w:pPr>
      <w:rPr>
        <w:rFonts w:hint="default"/>
        <w:lang w:val="en-US" w:eastAsia="en-US" w:bidi="en-US"/>
      </w:rPr>
    </w:lvl>
    <w:lvl w:ilvl="6">
      <w:start w:val="0"/>
      <w:numFmt w:val="bullet"/>
      <w:lvlText w:val="•"/>
      <w:lvlJc w:val="left"/>
      <w:pPr>
        <w:ind w:left="1734" w:hanging="360"/>
      </w:pPr>
      <w:rPr>
        <w:rFonts w:hint="default"/>
        <w:lang w:val="en-US" w:eastAsia="en-US" w:bidi="en-US"/>
      </w:rPr>
    </w:lvl>
    <w:lvl w:ilvl="7">
      <w:start w:val="0"/>
      <w:numFmt w:val="bullet"/>
      <w:lvlText w:val="•"/>
      <w:lvlJc w:val="left"/>
      <w:pPr>
        <w:ind w:left="1883" w:hanging="360"/>
      </w:pPr>
      <w:rPr>
        <w:rFonts w:hint="default"/>
        <w:lang w:val="en-US" w:eastAsia="en-US" w:bidi="en-US"/>
      </w:rPr>
    </w:lvl>
    <w:lvl w:ilvl="8">
      <w:start w:val="0"/>
      <w:numFmt w:val="bullet"/>
      <w:lvlText w:val="•"/>
      <w:lvlJc w:val="left"/>
      <w:pPr>
        <w:ind w:left="2032" w:hanging="360"/>
      </w:pPr>
      <w:rPr>
        <w:rFonts w:hint="default"/>
        <w:lang w:val="en-US" w:eastAsia="en-US" w:bidi="en-US"/>
      </w:rPr>
    </w:lvl>
  </w:abstractNum>
  <w:abstractNum w:abstractNumId="68">
    <w:multiLevelType w:val="hybridMultilevel"/>
    <w:lvl w:ilvl="0">
      <w:start w:val="0"/>
      <w:numFmt w:val="bullet"/>
      <w:lvlText w:val=""/>
      <w:lvlJc w:val="left"/>
      <w:pPr>
        <w:ind w:left="1197" w:hanging="360"/>
      </w:pPr>
      <w:rPr>
        <w:rFonts w:hint="default" w:ascii="Symbol" w:hAnsi="Symbol" w:eastAsia="Symbol" w:cs="Symbol"/>
        <w:w w:val="100"/>
        <w:sz w:val="22"/>
        <w:szCs w:val="22"/>
        <w:lang w:val="en-US" w:eastAsia="en-US" w:bidi="en-US"/>
      </w:rPr>
    </w:lvl>
    <w:lvl w:ilvl="1">
      <w:start w:val="0"/>
      <w:numFmt w:val="bullet"/>
      <w:lvlText w:val="•"/>
      <w:lvlJc w:val="left"/>
      <w:pPr>
        <w:ind w:left="1416" w:hanging="360"/>
      </w:pPr>
      <w:rPr>
        <w:rFonts w:hint="default"/>
        <w:lang w:val="en-US" w:eastAsia="en-US" w:bidi="en-US"/>
      </w:rPr>
    </w:lvl>
    <w:lvl w:ilvl="2">
      <w:start w:val="0"/>
      <w:numFmt w:val="bullet"/>
      <w:lvlText w:val="•"/>
      <w:lvlJc w:val="left"/>
      <w:pPr>
        <w:ind w:left="1632" w:hanging="360"/>
      </w:pPr>
      <w:rPr>
        <w:rFonts w:hint="default"/>
        <w:lang w:val="en-US" w:eastAsia="en-US" w:bidi="en-US"/>
      </w:rPr>
    </w:lvl>
    <w:lvl w:ilvl="3">
      <w:start w:val="0"/>
      <w:numFmt w:val="bullet"/>
      <w:lvlText w:val="•"/>
      <w:lvlJc w:val="left"/>
      <w:pPr>
        <w:ind w:left="1848" w:hanging="360"/>
      </w:pPr>
      <w:rPr>
        <w:rFonts w:hint="default"/>
        <w:lang w:val="en-US" w:eastAsia="en-US" w:bidi="en-US"/>
      </w:rPr>
    </w:lvl>
    <w:lvl w:ilvl="4">
      <w:start w:val="0"/>
      <w:numFmt w:val="bullet"/>
      <w:lvlText w:val="•"/>
      <w:lvlJc w:val="left"/>
      <w:pPr>
        <w:ind w:left="2064" w:hanging="360"/>
      </w:pPr>
      <w:rPr>
        <w:rFonts w:hint="default"/>
        <w:lang w:val="en-US" w:eastAsia="en-US" w:bidi="en-US"/>
      </w:rPr>
    </w:lvl>
    <w:lvl w:ilvl="5">
      <w:start w:val="0"/>
      <w:numFmt w:val="bullet"/>
      <w:lvlText w:val="•"/>
      <w:lvlJc w:val="left"/>
      <w:pPr>
        <w:ind w:left="2281" w:hanging="360"/>
      </w:pPr>
      <w:rPr>
        <w:rFonts w:hint="default"/>
        <w:lang w:val="en-US" w:eastAsia="en-US" w:bidi="en-US"/>
      </w:rPr>
    </w:lvl>
    <w:lvl w:ilvl="6">
      <w:start w:val="0"/>
      <w:numFmt w:val="bullet"/>
      <w:lvlText w:val="•"/>
      <w:lvlJc w:val="left"/>
      <w:pPr>
        <w:ind w:left="2497" w:hanging="360"/>
      </w:pPr>
      <w:rPr>
        <w:rFonts w:hint="default"/>
        <w:lang w:val="en-US" w:eastAsia="en-US" w:bidi="en-US"/>
      </w:rPr>
    </w:lvl>
    <w:lvl w:ilvl="7">
      <w:start w:val="0"/>
      <w:numFmt w:val="bullet"/>
      <w:lvlText w:val="•"/>
      <w:lvlJc w:val="left"/>
      <w:pPr>
        <w:ind w:left="2713" w:hanging="360"/>
      </w:pPr>
      <w:rPr>
        <w:rFonts w:hint="default"/>
        <w:lang w:val="en-US" w:eastAsia="en-US" w:bidi="en-US"/>
      </w:rPr>
    </w:lvl>
    <w:lvl w:ilvl="8">
      <w:start w:val="0"/>
      <w:numFmt w:val="bullet"/>
      <w:lvlText w:val="•"/>
      <w:lvlJc w:val="left"/>
      <w:pPr>
        <w:ind w:left="2929" w:hanging="360"/>
      </w:pPr>
      <w:rPr>
        <w:rFonts w:hint="default"/>
        <w:lang w:val="en-US" w:eastAsia="en-US" w:bidi="en-US"/>
      </w:rPr>
    </w:lvl>
  </w:abstractNum>
  <w:abstractNum w:abstractNumId="67">
    <w:multiLevelType w:val="hybridMultilevel"/>
    <w:lvl w:ilvl="0">
      <w:start w:val="0"/>
      <w:numFmt w:val="bullet"/>
      <w:lvlText w:val=""/>
      <w:lvlJc w:val="left"/>
      <w:pPr>
        <w:ind w:left="837" w:hanging="360"/>
      </w:pPr>
      <w:rPr>
        <w:rFonts w:hint="default" w:ascii="Symbol" w:hAnsi="Symbol" w:eastAsia="Symbol" w:cs="Symbol"/>
        <w:w w:val="100"/>
        <w:sz w:val="22"/>
        <w:szCs w:val="22"/>
        <w:lang w:val="en-US" w:eastAsia="en-US" w:bidi="en-US"/>
      </w:rPr>
    </w:lvl>
    <w:lvl w:ilvl="1">
      <w:start w:val="0"/>
      <w:numFmt w:val="bullet"/>
      <w:lvlText w:val="•"/>
      <w:lvlJc w:val="left"/>
      <w:pPr>
        <w:ind w:left="1092" w:hanging="360"/>
      </w:pPr>
      <w:rPr>
        <w:rFonts w:hint="default"/>
        <w:lang w:val="en-US" w:eastAsia="en-US" w:bidi="en-US"/>
      </w:rPr>
    </w:lvl>
    <w:lvl w:ilvl="2">
      <w:start w:val="0"/>
      <w:numFmt w:val="bullet"/>
      <w:lvlText w:val="•"/>
      <w:lvlJc w:val="left"/>
      <w:pPr>
        <w:ind w:left="1344" w:hanging="360"/>
      </w:pPr>
      <w:rPr>
        <w:rFonts w:hint="default"/>
        <w:lang w:val="en-US" w:eastAsia="en-US" w:bidi="en-US"/>
      </w:rPr>
    </w:lvl>
    <w:lvl w:ilvl="3">
      <w:start w:val="0"/>
      <w:numFmt w:val="bullet"/>
      <w:lvlText w:val="•"/>
      <w:lvlJc w:val="left"/>
      <w:pPr>
        <w:ind w:left="1596" w:hanging="360"/>
      </w:pPr>
      <w:rPr>
        <w:rFonts w:hint="default"/>
        <w:lang w:val="en-US" w:eastAsia="en-US" w:bidi="en-US"/>
      </w:rPr>
    </w:lvl>
    <w:lvl w:ilvl="4">
      <w:start w:val="0"/>
      <w:numFmt w:val="bullet"/>
      <w:lvlText w:val="•"/>
      <w:lvlJc w:val="left"/>
      <w:pPr>
        <w:ind w:left="1848" w:hanging="360"/>
      </w:pPr>
      <w:rPr>
        <w:rFonts w:hint="default"/>
        <w:lang w:val="en-US" w:eastAsia="en-US" w:bidi="en-US"/>
      </w:rPr>
    </w:lvl>
    <w:lvl w:ilvl="5">
      <w:start w:val="0"/>
      <w:numFmt w:val="bullet"/>
      <w:lvlText w:val="•"/>
      <w:lvlJc w:val="left"/>
      <w:pPr>
        <w:ind w:left="2101" w:hanging="360"/>
      </w:pPr>
      <w:rPr>
        <w:rFonts w:hint="default"/>
        <w:lang w:val="en-US" w:eastAsia="en-US" w:bidi="en-US"/>
      </w:rPr>
    </w:lvl>
    <w:lvl w:ilvl="6">
      <w:start w:val="0"/>
      <w:numFmt w:val="bullet"/>
      <w:lvlText w:val="•"/>
      <w:lvlJc w:val="left"/>
      <w:pPr>
        <w:ind w:left="2353" w:hanging="360"/>
      </w:pPr>
      <w:rPr>
        <w:rFonts w:hint="default"/>
        <w:lang w:val="en-US" w:eastAsia="en-US" w:bidi="en-US"/>
      </w:rPr>
    </w:lvl>
    <w:lvl w:ilvl="7">
      <w:start w:val="0"/>
      <w:numFmt w:val="bullet"/>
      <w:lvlText w:val="•"/>
      <w:lvlJc w:val="left"/>
      <w:pPr>
        <w:ind w:left="2605" w:hanging="360"/>
      </w:pPr>
      <w:rPr>
        <w:rFonts w:hint="default"/>
        <w:lang w:val="en-US" w:eastAsia="en-US" w:bidi="en-US"/>
      </w:rPr>
    </w:lvl>
    <w:lvl w:ilvl="8">
      <w:start w:val="0"/>
      <w:numFmt w:val="bullet"/>
      <w:lvlText w:val="•"/>
      <w:lvlJc w:val="left"/>
      <w:pPr>
        <w:ind w:left="2857" w:hanging="360"/>
      </w:pPr>
      <w:rPr>
        <w:rFonts w:hint="default"/>
        <w:lang w:val="en-US" w:eastAsia="en-US" w:bidi="en-US"/>
      </w:rPr>
    </w:lvl>
  </w:abstractNum>
  <w:abstractNum w:abstractNumId="66">
    <w:multiLevelType w:val="hybridMultilevel"/>
    <w:lvl w:ilvl="0">
      <w:start w:val="1"/>
      <w:numFmt w:val="decimal"/>
      <w:lvlText w:val="%1."/>
      <w:lvlJc w:val="left"/>
      <w:pPr>
        <w:ind w:left="940" w:hanging="360"/>
        <w:jc w:val="left"/>
      </w:pPr>
      <w:rPr>
        <w:rFonts w:hint="default" w:ascii="Calibri" w:hAnsi="Calibri" w:eastAsia="Calibri" w:cs="Calibri"/>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65">
    <w:multiLevelType w:val="hybridMultilevel"/>
    <w:lvl w:ilvl="0">
      <w:start w:val="18"/>
      <w:numFmt w:val="decimal"/>
      <w:lvlText w:val="%1"/>
      <w:lvlJc w:val="left"/>
      <w:pPr>
        <w:ind w:left="1444" w:hanging="1225"/>
        <w:jc w:val="left"/>
      </w:pPr>
      <w:rPr>
        <w:rFonts w:hint="default"/>
        <w:lang w:val="en-US" w:eastAsia="en-US" w:bidi="en-US"/>
      </w:rPr>
    </w:lvl>
    <w:lvl w:ilvl="1">
      <w:start w:val="17"/>
      <w:numFmt w:val="decimal"/>
      <w:lvlText w:val="%1.%2"/>
      <w:lvlJc w:val="left"/>
      <w:pPr>
        <w:ind w:left="1444" w:hanging="1225"/>
        <w:jc w:val="left"/>
      </w:pPr>
      <w:rPr>
        <w:rFonts w:hint="default"/>
        <w:lang w:val="en-US" w:eastAsia="en-US" w:bidi="en-US"/>
      </w:rPr>
    </w:lvl>
    <w:lvl w:ilvl="2">
      <w:start w:val="3"/>
      <w:numFmt w:val="decimal"/>
      <w:lvlText w:val="%1.%2.%3"/>
      <w:lvlJc w:val="left"/>
      <w:pPr>
        <w:ind w:left="1444" w:hanging="1225"/>
        <w:jc w:val="left"/>
      </w:pPr>
      <w:rPr>
        <w:rFonts w:hint="default" w:ascii="Cambria" w:hAnsi="Cambria" w:eastAsia="Cambria" w:cs="Cambria"/>
        <w:b/>
        <w:bCs/>
        <w:color w:val="4F81BC"/>
        <w:spacing w:val="-1"/>
        <w:w w:val="99"/>
        <w:sz w:val="26"/>
        <w:szCs w:val="26"/>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1"/>
        <w:w w:val="100"/>
        <w:sz w:val="24"/>
        <w:szCs w:val="24"/>
        <w:lang w:val="en-US" w:eastAsia="en-US" w:bidi="en-US"/>
      </w:rPr>
    </w:lvl>
    <w:lvl w:ilvl="4">
      <w:start w:val="0"/>
      <w:numFmt w:val="bullet"/>
      <w:lvlText w:val=""/>
      <w:lvlJc w:val="left"/>
      <w:pPr>
        <w:ind w:left="940" w:hanging="360"/>
      </w:pPr>
      <w:rPr>
        <w:rFonts w:hint="default" w:ascii="Symbol" w:hAnsi="Symbol" w:eastAsia="Symbol" w:cs="Symbol"/>
        <w:w w:val="100"/>
        <w:sz w:val="22"/>
        <w:szCs w:val="22"/>
        <w:lang w:val="en-US" w:eastAsia="en-US" w:bidi="en-US"/>
      </w:rPr>
    </w:lvl>
    <w:lvl w:ilvl="5">
      <w:start w:val="0"/>
      <w:numFmt w:val="bullet"/>
      <w:lvlText w:val=""/>
      <w:lvlJc w:val="left"/>
      <w:pPr>
        <w:ind w:left="1300" w:hanging="360"/>
      </w:pPr>
      <w:rPr>
        <w:rFonts w:hint="default" w:ascii="Symbol" w:hAnsi="Symbol" w:eastAsia="Symbol" w:cs="Symbol"/>
        <w:w w:val="100"/>
        <w:sz w:val="22"/>
        <w:szCs w:val="22"/>
        <w:lang w:val="en-US" w:eastAsia="en-US" w:bidi="en-US"/>
      </w:rPr>
    </w:lvl>
    <w:lvl w:ilvl="6">
      <w:start w:val="0"/>
      <w:numFmt w:val="bullet"/>
      <w:lvlText w:val="•"/>
      <w:lvlJc w:val="left"/>
      <w:pPr>
        <w:ind w:left="3528" w:hanging="360"/>
      </w:pPr>
      <w:rPr>
        <w:rFonts w:hint="default"/>
        <w:lang w:val="en-US" w:eastAsia="en-US" w:bidi="en-US"/>
      </w:rPr>
    </w:lvl>
    <w:lvl w:ilvl="7">
      <w:start w:val="0"/>
      <w:numFmt w:val="bullet"/>
      <w:lvlText w:val="•"/>
      <w:lvlJc w:val="left"/>
      <w:pPr>
        <w:ind w:left="5316" w:hanging="360"/>
      </w:pPr>
      <w:rPr>
        <w:rFonts w:hint="default"/>
        <w:lang w:val="en-US" w:eastAsia="en-US" w:bidi="en-US"/>
      </w:rPr>
    </w:lvl>
    <w:lvl w:ilvl="8">
      <w:start w:val="0"/>
      <w:numFmt w:val="bullet"/>
      <w:lvlText w:val="•"/>
      <w:lvlJc w:val="left"/>
      <w:pPr>
        <w:ind w:left="7104" w:hanging="360"/>
      </w:pPr>
      <w:rPr>
        <w:rFonts w:hint="default"/>
        <w:lang w:val="en-US" w:eastAsia="en-US" w:bidi="en-US"/>
      </w:rPr>
    </w:lvl>
  </w:abstractNum>
  <w:abstractNum w:abstractNumId="64">
    <w:multiLevelType w:val="hybridMultilevel"/>
    <w:lvl w:ilvl="0">
      <w:start w:val="18"/>
      <w:numFmt w:val="decimal"/>
      <w:lvlText w:val="%1"/>
      <w:lvlJc w:val="left"/>
      <w:pPr>
        <w:ind w:left="2020" w:hanging="1801"/>
        <w:jc w:val="left"/>
      </w:pPr>
      <w:rPr>
        <w:rFonts w:hint="default"/>
        <w:lang w:val="en-US" w:eastAsia="en-US" w:bidi="en-US"/>
      </w:rPr>
    </w:lvl>
    <w:lvl w:ilvl="1">
      <w:start w:val="17"/>
      <w:numFmt w:val="decimal"/>
      <w:lvlText w:val="%1.%2"/>
      <w:lvlJc w:val="left"/>
      <w:pPr>
        <w:ind w:left="2020" w:hanging="1801"/>
        <w:jc w:val="left"/>
      </w:pPr>
      <w:rPr>
        <w:rFonts w:hint="default"/>
        <w:lang w:val="en-US" w:eastAsia="en-US" w:bidi="en-US"/>
      </w:rPr>
    </w:lvl>
    <w:lvl w:ilvl="2">
      <w:start w:val="2"/>
      <w:numFmt w:val="decimal"/>
      <w:lvlText w:val="%1.%2.%3"/>
      <w:lvlJc w:val="left"/>
      <w:pPr>
        <w:ind w:left="2020" w:hanging="1801"/>
        <w:jc w:val="left"/>
      </w:pPr>
      <w:rPr>
        <w:rFonts w:hint="default"/>
        <w:lang w:val="en-US" w:eastAsia="en-US" w:bidi="en-US"/>
      </w:rPr>
    </w:lvl>
    <w:lvl w:ilvl="3">
      <w:start w:val="3"/>
      <w:numFmt w:val="decimal"/>
      <w:lvlText w:val="%1.%2.%3.%4"/>
      <w:lvlJc w:val="left"/>
      <w:pPr>
        <w:ind w:left="2020" w:hanging="1801"/>
        <w:jc w:val="left"/>
      </w:pPr>
      <w:rPr>
        <w:rFonts w:hint="default"/>
        <w:lang w:val="en-US" w:eastAsia="en-US" w:bidi="en-US"/>
      </w:rPr>
    </w:lvl>
    <w:lvl w:ilvl="4">
      <w:start w:val="1"/>
      <w:numFmt w:val="decimal"/>
      <w:lvlText w:val="%1.%2.%3.%4.%5"/>
      <w:lvlJc w:val="left"/>
      <w:pPr>
        <w:ind w:left="2020" w:hanging="1801"/>
        <w:jc w:val="left"/>
      </w:pPr>
      <w:rPr>
        <w:rFonts w:hint="default" w:ascii="Cambria" w:hAnsi="Cambria" w:eastAsia="Cambria" w:cs="Cambria"/>
        <w:color w:val="233E5F"/>
        <w:spacing w:val="-1"/>
        <w:w w:val="100"/>
        <w:sz w:val="24"/>
        <w:szCs w:val="24"/>
        <w:lang w:val="en-US" w:eastAsia="en-US" w:bidi="en-US"/>
      </w:rPr>
    </w:lvl>
    <w:lvl w:ilvl="5">
      <w:start w:val="0"/>
      <w:numFmt w:val="bullet"/>
      <w:lvlText w:val="•"/>
      <w:lvlJc w:val="left"/>
      <w:pPr>
        <w:ind w:left="6350" w:hanging="1801"/>
      </w:pPr>
      <w:rPr>
        <w:rFonts w:hint="default"/>
        <w:lang w:val="en-US" w:eastAsia="en-US" w:bidi="en-US"/>
      </w:rPr>
    </w:lvl>
    <w:lvl w:ilvl="6">
      <w:start w:val="0"/>
      <w:numFmt w:val="bullet"/>
      <w:lvlText w:val="•"/>
      <w:lvlJc w:val="left"/>
      <w:pPr>
        <w:ind w:left="7216" w:hanging="1801"/>
      </w:pPr>
      <w:rPr>
        <w:rFonts w:hint="default"/>
        <w:lang w:val="en-US" w:eastAsia="en-US" w:bidi="en-US"/>
      </w:rPr>
    </w:lvl>
    <w:lvl w:ilvl="7">
      <w:start w:val="0"/>
      <w:numFmt w:val="bullet"/>
      <w:lvlText w:val="•"/>
      <w:lvlJc w:val="left"/>
      <w:pPr>
        <w:ind w:left="8082" w:hanging="1801"/>
      </w:pPr>
      <w:rPr>
        <w:rFonts w:hint="default"/>
        <w:lang w:val="en-US" w:eastAsia="en-US" w:bidi="en-US"/>
      </w:rPr>
    </w:lvl>
    <w:lvl w:ilvl="8">
      <w:start w:val="0"/>
      <w:numFmt w:val="bullet"/>
      <w:lvlText w:val="•"/>
      <w:lvlJc w:val="left"/>
      <w:pPr>
        <w:ind w:left="8948" w:hanging="1801"/>
      </w:pPr>
      <w:rPr>
        <w:rFonts w:hint="default"/>
        <w:lang w:val="en-US" w:eastAsia="en-US" w:bidi="en-US"/>
      </w:rPr>
    </w:lvl>
  </w:abstractNum>
  <w:abstractNum w:abstractNumId="63">
    <w:multiLevelType w:val="hybridMultilevel"/>
    <w:lvl w:ilvl="0">
      <w:start w:val="18"/>
      <w:numFmt w:val="decimal"/>
      <w:lvlText w:val="%1"/>
      <w:lvlJc w:val="left"/>
      <w:pPr>
        <w:ind w:left="1732" w:hanging="1513"/>
        <w:jc w:val="left"/>
      </w:pPr>
      <w:rPr>
        <w:rFonts w:hint="default"/>
        <w:lang w:val="en-US" w:eastAsia="en-US" w:bidi="en-US"/>
      </w:rPr>
    </w:lvl>
    <w:lvl w:ilvl="1">
      <w:start w:val="17"/>
      <w:numFmt w:val="decimal"/>
      <w:lvlText w:val="%1.%2"/>
      <w:lvlJc w:val="left"/>
      <w:pPr>
        <w:ind w:left="1732" w:hanging="1513"/>
        <w:jc w:val="left"/>
      </w:pPr>
      <w:rPr>
        <w:rFonts w:hint="default"/>
        <w:lang w:val="en-US" w:eastAsia="en-US" w:bidi="en-US"/>
      </w:rPr>
    </w:lvl>
    <w:lvl w:ilvl="2">
      <w:start w:val="2"/>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1"/>
        <w:w w:val="100"/>
        <w:sz w:val="24"/>
        <w:szCs w:val="24"/>
        <w:lang w:val="en-US" w:eastAsia="en-US" w:bidi="en-US"/>
      </w:rPr>
    </w:lvl>
    <w:lvl w:ilvl="4">
      <w:start w:val="0"/>
      <w:numFmt w:val="bullet"/>
      <w:lvlText w:val=""/>
      <w:lvlJc w:val="left"/>
      <w:pPr>
        <w:ind w:left="940" w:hanging="360"/>
      </w:pPr>
      <w:rPr>
        <w:rFonts w:hint="default" w:ascii="Symbol" w:hAnsi="Symbol" w:eastAsia="Symbol" w:cs="Symbol"/>
        <w:w w:val="100"/>
        <w:sz w:val="22"/>
        <w:szCs w:val="22"/>
        <w:lang w:val="en-US" w:eastAsia="en-US" w:bidi="en-US"/>
      </w:rPr>
    </w:lvl>
    <w:lvl w:ilvl="5">
      <w:start w:val="0"/>
      <w:numFmt w:val="bullet"/>
      <w:lvlText w:val=""/>
      <w:lvlJc w:val="left"/>
      <w:pPr>
        <w:ind w:left="1300" w:hanging="360"/>
      </w:pPr>
      <w:rPr>
        <w:rFonts w:hint="default" w:ascii="Symbol" w:hAnsi="Symbol" w:eastAsia="Symbol" w:cs="Symbol"/>
        <w:w w:val="100"/>
        <w:sz w:val="22"/>
        <w:szCs w:val="22"/>
        <w:lang w:val="en-US" w:eastAsia="en-US" w:bidi="en-US"/>
      </w:rPr>
    </w:lvl>
    <w:lvl w:ilvl="6">
      <w:start w:val="0"/>
      <w:numFmt w:val="bullet"/>
      <w:lvlText w:val="•"/>
      <w:lvlJc w:val="left"/>
      <w:pPr>
        <w:ind w:left="6210" w:hanging="360"/>
      </w:pPr>
      <w:rPr>
        <w:rFonts w:hint="default"/>
        <w:lang w:val="en-US" w:eastAsia="en-US" w:bidi="en-US"/>
      </w:rPr>
    </w:lvl>
    <w:lvl w:ilvl="7">
      <w:start w:val="0"/>
      <w:numFmt w:val="bullet"/>
      <w:lvlText w:val="•"/>
      <w:lvlJc w:val="left"/>
      <w:pPr>
        <w:ind w:left="7327" w:hanging="360"/>
      </w:pPr>
      <w:rPr>
        <w:rFonts w:hint="default"/>
        <w:lang w:val="en-US" w:eastAsia="en-US" w:bidi="en-US"/>
      </w:rPr>
    </w:lvl>
    <w:lvl w:ilvl="8">
      <w:start w:val="0"/>
      <w:numFmt w:val="bullet"/>
      <w:lvlText w:val="•"/>
      <w:lvlJc w:val="left"/>
      <w:pPr>
        <w:ind w:left="8445" w:hanging="360"/>
      </w:pPr>
      <w:rPr>
        <w:rFonts w:hint="default"/>
        <w:lang w:val="en-US" w:eastAsia="en-US" w:bidi="en-US"/>
      </w:rPr>
    </w:lvl>
  </w:abstractNum>
  <w:abstractNum w:abstractNumId="62">
    <w:multiLevelType w:val="hybridMultilevel"/>
    <w:lvl w:ilvl="0">
      <w:start w:val="0"/>
      <w:numFmt w:val="decimal"/>
      <w:lvlText w:val="%1"/>
      <w:lvlJc w:val="left"/>
      <w:pPr>
        <w:ind w:left="278" w:hanging="164"/>
        <w:jc w:val="left"/>
      </w:pPr>
      <w:rPr>
        <w:rFonts w:hint="default" w:ascii="Calibri" w:hAnsi="Calibri" w:eastAsia="Calibri" w:cs="Calibri"/>
        <w:w w:val="100"/>
        <w:sz w:val="22"/>
        <w:szCs w:val="22"/>
        <w:lang w:val="en-US" w:eastAsia="en-US" w:bidi="en-US"/>
      </w:rPr>
    </w:lvl>
    <w:lvl w:ilvl="1">
      <w:start w:val="0"/>
      <w:numFmt w:val="bullet"/>
      <w:lvlText w:val="•"/>
      <w:lvlJc w:val="left"/>
      <w:pPr>
        <w:ind w:left="1076" w:hanging="164"/>
      </w:pPr>
      <w:rPr>
        <w:rFonts w:hint="default"/>
        <w:lang w:val="en-US" w:eastAsia="en-US" w:bidi="en-US"/>
      </w:rPr>
    </w:lvl>
    <w:lvl w:ilvl="2">
      <w:start w:val="0"/>
      <w:numFmt w:val="bullet"/>
      <w:lvlText w:val="•"/>
      <w:lvlJc w:val="left"/>
      <w:pPr>
        <w:ind w:left="1872" w:hanging="164"/>
      </w:pPr>
      <w:rPr>
        <w:rFonts w:hint="default"/>
        <w:lang w:val="en-US" w:eastAsia="en-US" w:bidi="en-US"/>
      </w:rPr>
    </w:lvl>
    <w:lvl w:ilvl="3">
      <w:start w:val="0"/>
      <w:numFmt w:val="bullet"/>
      <w:lvlText w:val="•"/>
      <w:lvlJc w:val="left"/>
      <w:pPr>
        <w:ind w:left="2668" w:hanging="164"/>
      </w:pPr>
      <w:rPr>
        <w:rFonts w:hint="default"/>
        <w:lang w:val="en-US" w:eastAsia="en-US" w:bidi="en-US"/>
      </w:rPr>
    </w:lvl>
    <w:lvl w:ilvl="4">
      <w:start w:val="0"/>
      <w:numFmt w:val="bullet"/>
      <w:lvlText w:val="•"/>
      <w:lvlJc w:val="left"/>
      <w:pPr>
        <w:ind w:left="3464" w:hanging="164"/>
      </w:pPr>
      <w:rPr>
        <w:rFonts w:hint="default"/>
        <w:lang w:val="en-US" w:eastAsia="en-US" w:bidi="en-US"/>
      </w:rPr>
    </w:lvl>
    <w:lvl w:ilvl="5">
      <w:start w:val="0"/>
      <w:numFmt w:val="bullet"/>
      <w:lvlText w:val="•"/>
      <w:lvlJc w:val="left"/>
      <w:pPr>
        <w:ind w:left="4260" w:hanging="164"/>
      </w:pPr>
      <w:rPr>
        <w:rFonts w:hint="default"/>
        <w:lang w:val="en-US" w:eastAsia="en-US" w:bidi="en-US"/>
      </w:rPr>
    </w:lvl>
    <w:lvl w:ilvl="6">
      <w:start w:val="0"/>
      <w:numFmt w:val="bullet"/>
      <w:lvlText w:val="•"/>
      <w:lvlJc w:val="left"/>
      <w:pPr>
        <w:ind w:left="5056" w:hanging="164"/>
      </w:pPr>
      <w:rPr>
        <w:rFonts w:hint="default"/>
        <w:lang w:val="en-US" w:eastAsia="en-US" w:bidi="en-US"/>
      </w:rPr>
    </w:lvl>
    <w:lvl w:ilvl="7">
      <w:start w:val="0"/>
      <w:numFmt w:val="bullet"/>
      <w:lvlText w:val="•"/>
      <w:lvlJc w:val="left"/>
      <w:pPr>
        <w:ind w:left="5852" w:hanging="164"/>
      </w:pPr>
      <w:rPr>
        <w:rFonts w:hint="default"/>
        <w:lang w:val="en-US" w:eastAsia="en-US" w:bidi="en-US"/>
      </w:rPr>
    </w:lvl>
    <w:lvl w:ilvl="8">
      <w:start w:val="0"/>
      <w:numFmt w:val="bullet"/>
      <w:lvlText w:val="•"/>
      <w:lvlJc w:val="left"/>
      <w:pPr>
        <w:ind w:left="6648" w:hanging="164"/>
      </w:pPr>
      <w:rPr>
        <w:rFonts w:hint="default"/>
        <w:lang w:val="en-US" w:eastAsia="en-US" w:bidi="en-US"/>
      </w:rPr>
    </w:lvl>
  </w:abstractNum>
  <w:abstractNum w:abstractNumId="61">
    <w:multiLevelType w:val="hybridMultilevel"/>
    <w:lvl w:ilvl="0">
      <w:start w:val="0"/>
      <w:numFmt w:val="bullet"/>
      <w:lvlText w:val=""/>
      <w:lvlJc w:val="left"/>
      <w:pPr>
        <w:ind w:left="940" w:hanging="360"/>
      </w:pPr>
      <w:rPr>
        <w:rFonts w:hint="default" w:ascii="Symbol" w:hAnsi="Symbol" w:eastAsia="Symbol" w:cs="Symbol"/>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60">
    <w:multiLevelType w:val="hybridMultilevel"/>
    <w:lvl w:ilvl="0">
      <w:start w:val="1"/>
      <w:numFmt w:val="decimal"/>
      <w:lvlText w:val="%1."/>
      <w:lvlJc w:val="left"/>
      <w:pPr>
        <w:ind w:left="333" w:hanging="219"/>
        <w:jc w:val="left"/>
      </w:pPr>
      <w:rPr>
        <w:rFonts w:hint="default" w:ascii="Calibri" w:hAnsi="Calibri" w:eastAsia="Calibri" w:cs="Calibri"/>
        <w:w w:val="100"/>
        <w:sz w:val="22"/>
        <w:szCs w:val="22"/>
        <w:lang w:val="en-US" w:eastAsia="en-US" w:bidi="en-US"/>
      </w:rPr>
    </w:lvl>
    <w:lvl w:ilvl="1">
      <w:start w:val="0"/>
      <w:numFmt w:val="bullet"/>
      <w:lvlText w:val="•"/>
      <w:lvlJc w:val="left"/>
      <w:pPr>
        <w:ind w:left="1130" w:hanging="219"/>
      </w:pPr>
      <w:rPr>
        <w:rFonts w:hint="default"/>
        <w:lang w:val="en-US" w:eastAsia="en-US" w:bidi="en-US"/>
      </w:rPr>
    </w:lvl>
    <w:lvl w:ilvl="2">
      <w:start w:val="0"/>
      <w:numFmt w:val="bullet"/>
      <w:lvlText w:val="•"/>
      <w:lvlJc w:val="left"/>
      <w:pPr>
        <w:ind w:left="1920" w:hanging="219"/>
      </w:pPr>
      <w:rPr>
        <w:rFonts w:hint="default"/>
        <w:lang w:val="en-US" w:eastAsia="en-US" w:bidi="en-US"/>
      </w:rPr>
    </w:lvl>
    <w:lvl w:ilvl="3">
      <w:start w:val="0"/>
      <w:numFmt w:val="bullet"/>
      <w:lvlText w:val="•"/>
      <w:lvlJc w:val="left"/>
      <w:pPr>
        <w:ind w:left="2710" w:hanging="219"/>
      </w:pPr>
      <w:rPr>
        <w:rFonts w:hint="default"/>
        <w:lang w:val="en-US" w:eastAsia="en-US" w:bidi="en-US"/>
      </w:rPr>
    </w:lvl>
    <w:lvl w:ilvl="4">
      <w:start w:val="0"/>
      <w:numFmt w:val="bullet"/>
      <w:lvlText w:val="•"/>
      <w:lvlJc w:val="left"/>
      <w:pPr>
        <w:ind w:left="3500" w:hanging="219"/>
      </w:pPr>
      <w:rPr>
        <w:rFonts w:hint="default"/>
        <w:lang w:val="en-US" w:eastAsia="en-US" w:bidi="en-US"/>
      </w:rPr>
    </w:lvl>
    <w:lvl w:ilvl="5">
      <w:start w:val="0"/>
      <w:numFmt w:val="bullet"/>
      <w:lvlText w:val="•"/>
      <w:lvlJc w:val="left"/>
      <w:pPr>
        <w:ind w:left="4290" w:hanging="219"/>
      </w:pPr>
      <w:rPr>
        <w:rFonts w:hint="default"/>
        <w:lang w:val="en-US" w:eastAsia="en-US" w:bidi="en-US"/>
      </w:rPr>
    </w:lvl>
    <w:lvl w:ilvl="6">
      <w:start w:val="0"/>
      <w:numFmt w:val="bullet"/>
      <w:lvlText w:val="•"/>
      <w:lvlJc w:val="left"/>
      <w:pPr>
        <w:ind w:left="5080" w:hanging="219"/>
      </w:pPr>
      <w:rPr>
        <w:rFonts w:hint="default"/>
        <w:lang w:val="en-US" w:eastAsia="en-US" w:bidi="en-US"/>
      </w:rPr>
    </w:lvl>
    <w:lvl w:ilvl="7">
      <w:start w:val="0"/>
      <w:numFmt w:val="bullet"/>
      <w:lvlText w:val="•"/>
      <w:lvlJc w:val="left"/>
      <w:pPr>
        <w:ind w:left="5870" w:hanging="219"/>
      </w:pPr>
      <w:rPr>
        <w:rFonts w:hint="default"/>
        <w:lang w:val="en-US" w:eastAsia="en-US" w:bidi="en-US"/>
      </w:rPr>
    </w:lvl>
    <w:lvl w:ilvl="8">
      <w:start w:val="0"/>
      <w:numFmt w:val="bullet"/>
      <w:lvlText w:val="•"/>
      <w:lvlJc w:val="left"/>
      <w:pPr>
        <w:ind w:left="6660" w:hanging="219"/>
      </w:pPr>
      <w:rPr>
        <w:rFonts w:hint="default"/>
        <w:lang w:val="en-US" w:eastAsia="en-US" w:bidi="en-US"/>
      </w:rPr>
    </w:lvl>
  </w:abstractNum>
  <w:abstractNum w:abstractNumId="59">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58">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57">
    <w:multiLevelType w:val="hybridMultilevel"/>
    <w:lvl w:ilvl="0">
      <w:start w:val="1"/>
      <w:numFmt w:val="decimal"/>
      <w:lvlText w:val="%1."/>
      <w:lvlJc w:val="left"/>
      <w:pPr>
        <w:ind w:left="333" w:hanging="219"/>
        <w:jc w:val="left"/>
      </w:pPr>
      <w:rPr>
        <w:rFonts w:hint="default" w:ascii="Calibri" w:hAnsi="Calibri" w:eastAsia="Calibri" w:cs="Calibri"/>
        <w:w w:val="100"/>
        <w:sz w:val="22"/>
        <w:szCs w:val="22"/>
        <w:lang w:val="en-US" w:eastAsia="en-US" w:bidi="en-US"/>
      </w:rPr>
    </w:lvl>
    <w:lvl w:ilvl="1">
      <w:start w:val="0"/>
      <w:numFmt w:val="bullet"/>
      <w:lvlText w:val="•"/>
      <w:lvlJc w:val="left"/>
      <w:pPr>
        <w:ind w:left="1130" w:hanging="219"/>
      </w:pPr>
      <w:rPr>
        <w:rFonts w:hint="default"/>
        <w:lang w:val="en-US" w:eastAsia="en-US" w:bidi="en-US"/>
      </w:rPr>
    </w:lvl>
    <w:lvl w:ilvl="2">
      <w:start w:val="0"/>
      <w:numFmt w:val="bullet"/>
      <w:lvlText w:val="•"/>
      <w:lvlJc w:val="left"/>
      <w:pPr>
        <w:ind w:left="1920" w:hanging="219"/>
      </w:pPr>
      <w:rPr>
        <w:rFonts w:hint="default"/>
        <w:lang w:val="en-US" w:eastAsia="en-US" w:bidi="en-US"/>
      </w:rPr>
    </w:lvl>
    <w:lvl w:ilvl="3">
      <w:start w:val="0"/>
      <w:numFmt w:val="bullet"/>
      <w:lvlText w:val="•"/>
      <w:lvlJc w:val="left"/>
      <w:pPr>
        <w:ind w:left="2710" w:hanging="219"/>
      </w:pPr>
      <w:rPr>
        <w:rFonts w:hint="default"/>
        <w:lang w:val="en-US" w:eastAsia="en-US" w:bidi="en-US"/>
      </w:rPr>
    </w:lvl>
    <w:lvl w:ilvl="4">
      <w:start w:val="0"/>
      <w:numFmt w:val="bullet"/>
      <w:lvlText w:val="•"/>
      <w:lvlJc w:val="left"/>
      <w:pPr>
        <w:ind w:left="3500" w:hanging="219"/>
      </w:pPr>
      <w:rPr>
        <w:rFonts w:hint="default"/>
        <w:lang w:val="en-US" w:eastAsia="en-US" w:bidi="en-US"/>
      </w:rPr>
    </w:lvl>
    <w:lvl w:ilvl="5">
      <w:start w:val="0"/>
      <w:numFmt w:val="bullet"/>
      <w:lvlText w:val="•"/>
      <w:lvlJc w:val="left"/>
      <w:pPr>
        <w:ind w:left="4290" w:hanging="219"/>
      </w:pPr>
      <w:rPr>
        <w:rFonts w:hint="default"/>
        <w:lang w:val="en-US" w:eastAsia="en-US" w:bidi="en-US"/>
      </w:rPr>
    </w:lvl>
    <w:lvl w:ilvl="6">
      <w:start w:val="0"/>
      <w:numFmt w:val="bullet"/>
      <w:lvlText w:val="•"/>
      <w:lvlJc w:val="left"/>
      <w:pPr>
        <w:ind w:left="5080" w:hanging="219"/>
      </w:pPr>
      <w:rPr>
        <w:rFonts w:hint="default"/>
        <w:lang w:val="en-US" w:eastAsia="en-US" w:bidi="en-US"/>
      </w:rPr>
    </w:lvl>
    <w:lvl w:ilvl="7">
      <w:start w:val="0"/>
      <w:numFmt w:val="bullet"/>
      <w:lvlText w:val="•"/>
      <w:lvlJc w:val="left"/>
      <w:pPr>
        <w:ind w:left="5870" w:hanging="219"/>
      </w:pPr>
      <w:rPr>
        <w:rFonts w:hint="default"/>
        <w:lang w:val="en-US" w:eastAsia="en-US" w:bidi="en-US"/>
      </w:rPr>
    </w:lvl>
    <w:lvl w:ilvl="8">
      <w:start w:val="0"/>
      <w:numFmt w:val="bullet"/>
      <w:lvlText w:val="•"/>
      <w:lvlJc w:val="left"/>
      <w:pPr>
        <w:ind w:left="6660" w:hanging="219"/>
      </w:pPr>
      <w:rPr>
        <w:rFonts w:hint="default"/>
        <w:lang w:val="en-US" w:eastAsia="en-US" w:bidi="en-US"/>
      </w:rPr>
    </w:lvl>
  </w:abstractNum>
  <w:abstractNum w:abstractNumId="56">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55">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54">
    <w:multiLevelType w:val="hybridMultilevel"/>
    <w:lvl w:ilvl="0">
      <w:start w:val="1"/>
      <w:numFmt w:val="decimal"/>
      <w:lvlText w:val="%1."/>
      <w:lvlJc w:val="left"/>
      <w:pPr>
        <w:ind w:left="333" w:hanging="219"/>
        <w:jc w:val="left"/>
      </w:pPr>
      <w:rPr>
        <w:rFonts w:hint="default" w:ascii="Calibri" w:hAnsi="Calibri" w:eastAsia="Calibri" w:cs="Calibri"/>
        <w:w w:val="100"/>
        <w:sz w:val="22"/>
        <w:szCs w:val="22"/>
        <w:lang w:val="en-US" w:eastAsia="en-US" w:bidi="en-US"/>
      </w:rPr>
    </w:lvl>
    <w:lvl w:ilvl="1">
      <w:start w:val="0"/>
      <w:numFmt w:val="bullet"/>
      <w:lvlText w:val="•"/>
      <w:lvlJc w:val="left"/>
      <w:pPr>
        <w:ind w:left="1130" w:hanging="219"/>
      </w:pPr>
      <w:rPr>
        <w:rFonts w:hint="default"/>
        <w:lang w:val="en-US" w:eastAsia="en-US" w:bidi="en-US"/>
      </w:rPr>
    </w:lvl>
    <w:lvl w:ilvl="2">
      <w:start w:val="0"/>
      <w:numFmt w:val="bullet"/>
      <w:lvlText w:val="•"/>
      <w:lvlJc w:val="left"/>
      <w:pPr>
        <w:ind w:left="1920" w:hanging="219"/>
      </w:pPr>
      <w:rPr>
        <w:rFonts w:hint="default"/>
        <w:lang w:val="en-US" w:eastAsia="en-US" w:bidi="en-US"/>
      </w:rPr>
    </w:lvl>
    <w:lvl w:ilvl="3">
      <w:start w:val="0"/>
      <w:numFmt w:val="bullet"/>
      <w:lvlText w:val="•"/>
      <w:lvlJc w:val="left"/>
      <w:pPr>
        <w:ind w:left="2710" w:hanging="219"/>
      </w:pPr>
      <w:rPr>
        <w:rFonts w:hint="default"/>
        <w:lang w:val="en-US" w:eastAsia="en-US" w:bidi="en-US"/>
      </w:rPr>
    </w:lvl>
    <w:lvl w:ilvl="4">
      <w:start w:val="0"/>
      <w:numFmt w:val="bullet"/>
      <w:lvlText w:val="•"/>
      <w:lvlJc w:val="left"/>
      <w:pPr>
        <w:ind w:left="3500" w:hanging="219"/>
      </w:pPr>
      <w:rPr>
        <w:rFonts w:hint="default"/>
        <w:lang w:val="en-US" w:eastAsia="en-US" w:bidi="en-US"/>
      </w:rPr>
    </w:lvl>
    <w:lvl w:ilvl="5">
      <w:start w:val="0"/>
      <w:numFmt w:val="bullet"/>
      <w:lvlText w:val="•"/>
      <w:lvlJc w:val="left"/>
      <w:pPr>
        <w:ind w:left="4290" w:hanging="219"/>
      </w:pPr>
      <w:rPr>
        <w:rFonts w:hint="default"/>
        <w:lang w:val="en-US" w:eastAsia="en-US" w:bidi="en-US"/>
      </w:rPr>
    </w:lvl>
    <w:lvl w:ilvl="6">
      <w:start w:val="0"/>
      <w:numFmt w:val="bullet"/>
      <w:lvlText w:val="•"/>
      <w:lvlJc w:val="left"/>
      <w:pPr>
        <w:ind w:left="5080" w:hanging="219"/>
      </w:pPr>
      <w:rPr>
        <w:rFonts w:hint="default"/>
        <w:lang w:val="en-US" w:eastAsia="en-US" w:bidi="en-US"/>
      </w:rPr>
    </w:lvl>
    <w:lvl w:ilvl="7">
      <w:start w:val="0"/>
      <w:numFmt w:val="bullet"/>
      <w:lvlText w:val="•"/>
      <w:lvlJc w:val="left"/>
      <w:pPr>
        <w:ind w:left="5870" w:hanging="219"/>
      </w:pPr>
      <w:rPr>
        <w:rFonts w:hint="default"/>
        <w:lang w:val="en-US" w:eastAsia="en-US" w:bidi="en-US"/>
      </w:rPr>
    </w:lvl>
    <w:lvl w:ilvl="8">
      <w:start w:val="0"/>
      <w:numFmt w:val="bullet"/>
      <w:lvlText w:val="•"/>
      <w:lvlJc w:val="left"/>
      <w:pPr>
        <w:ind w:left="6660" w:hanging="219"/>
      </w:pPr>
      <w:rPr>
        <w:rFonts w:hint="default"/>
        <w:lang w:val="en-US" w:eastAsia="en-US" w:bidi="en-US"/>
      </w:rPr>
    </w:lvl>
  </w:abstractNum>
  <w:abstractNum w:abstractNumId="53">
    <w:multiLevelType w:val="hybridMultilevel"/>
    <w:lvl w:ilvl="0">
      <w:start w:val="18"/>
      <w:numFmt w:val="decimal"/>
      <w:lvlText w:val="%1"/>
      <w:lvlJc w:val="left"/>
      <w:pPr>
        <w:ind w:left="1732" w:hanging="1513"/>
        <w:jc w:val="left"/>
      </w:pPr>
      <w:rPr>
        <w:rFonts w:hint="default"/>
        <w:lang w:val="en-US" w:eastAsia="en-US" w:bidi="en-US"/>
      </w:rPr>
    </w:lvl>
    <w:lvl w:ilvl="1">
      <w:start w:val="11"/>
      <w:numFmt w:val="decimal"/>
      <w:lvlText w:val="%1.%2"/>
      <w:lvlJc w:val="left"/>
      <w:pPr>
        <w:ind w:left="1732" w:hanging="1513"/>
        <w:jc w:val="left"/>
      </w:pPr>
      <w:rPr>
        <w:rFonts w:hint="default"/>
        <w:lang w:val="en-US" w:eastAsia="en-US" w:bidi="en-US"/>
      </w:rPr>
    </w:lvl>
    <w:lvl w:ilvl="2">
      <w:start w:val="2"/>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2"/>
        <w:w w:val="100"/>
        <w:sz w:val="24"/>
        <w:szCs w:val="24"/>
        <w:lang w:val="en-US" w:eastAsia="en-US" w:bidi="en-US"/>
      </w:rPr>
    </w:lvl>
    <w:lvl w:ilvl="4">
      <w:start w:val="0"/>
      <w:numFmt w:val="bullet"/>
      <w:lvlText w:val="•"/>
      <w:lvlJc w:val="left"/>
      <w:pPr>
        <w:ind w:left="5316" w:hanging="1513"/>
      </w:pPr>
      <w:rPr>
        <w:rFonts w:hint="default"/>
        <w:lang w:val="en-US" w:eastAsia="en-US" w:bidi="en-US"/>
      </w:rPr>
    </w:lvl>
    <w:lvl w:ilvl="5">
      <w:start w:val="0"/>
      <w:numFmt w:val="bullet"/>
      <w:lvlText w:val="•"/>
      <w:lvlJc w:val="left"/>
      <w:pPr>
        <w:ind w:left="6210" w:hanging="1513"/>
      </w:pPr>
      <w:rPr>
        <w:rFonts w:hint="default"/>
        <w:lang w:val="en-US" w:eastAsia="en-US" w:bidi="en-US"/>
      </w:rPr>
    </w:lvl>
    <w:lvl w:ilvl="6">
      <w:start w:val="0"/>
      <w:numFmt w:val="bullet"/>
      <w:lvlText w:val="•"/>
      <w:lvlJc w:val="left"/>
      <w:pPr>
        <w:ind w:left="7104" w:hanging="1513"/>
      </w:pPr>
      <w:rPr>
        <w:rFonts w:hint="default"/>
        <w:lang w:val="en-US" w:eastAsia="en-US" w:bidi="en-US"/>
      </w:rPr>
    </w:lvl>
    <w:lvl w:ilvl="7">
      <w:start w:val="0"/>
      <w:numFmt w:val="bullet"/>
      <w:lvlText w:val="•"/>
      <w:lvlJc w:val="left"/>
      <w:pPr>
        <w:ind w:left="7998" w:hanging="1513"/>
      </w:pPr>
      <w:rPr>
        <w:rFonts w:hint="default"/>
        <w:lang w:val="en-US" w:eastAsia="en-US" w:bidi="en-US"/>
      </w:rPr>
    </w:lvl>
    <w:lvl w:ilvl="8">
      <w:start w:val="0"/>
      <w:numFmt w:val="bullet"/>
      <w:lvlText w:val="•"/>
      <w:lvlJc w:val="left"/>
      <w:pPr>
        <w:ind w:left="8892" w:hanging="1513"/>
      </w:pPr>
      <w:rPr>
        <w:rFonts w:hint="default"/>
        <w:lang w:val="en-US" w:eastAsia="en-US" w:bidi="en-US"/>
      </w:rPr>
    </w:lvl>
  </w:abstractNum>
  <w:abstractNum w:abstractNumId="52">
    <w:multiLevelType w:val="hybridMultilevel"/>
    <w:lvl w:ilvl="0">
      <w:start w:val="1"/>
      <w:numFmt w:val="decimal"/>
      <w:lvlText w:val="%1"/>
      <w:lvlJc w:val="left"/>
      <w:pPr>
        <w:ind w:left="725" w:hanging="611"/>
        <w:jc w:val="left"/>
      </w:pPr>
      <w:rPr>
        <w:rFonts w:hint="default" w:ascii="Calibri" w:hAnsi="Calibri" w:eastAsia="Calibri" w:cs="Calibri"/>
        <w:w w:val="100"/>
        <w:sz w:val="22"/>
        <w:szCs w:val="22"/>
        <w:lang w:val="en-US" w:eastAsia="en-US" w:bidi="en-US"/>
      </w:rPr>
    </w:lvl>
    <w:lvl w:ilvl="1">
      <w:start w:val="0"/>
      <w:numFmt w:val="bullet"/>
      <w:lvlText w:val="•"/>
      <w:lvlJc w:val="left"/>
      <w:pPr>
        <w:ind w:left="1472" w:hanging="611"/>
      </w:pPr>
      <w:rPr>
        <w:rFonts w:hint="default"/>
        <w:lang w:val="en-US" w:eastAsia="en-US" w:bidi="en-US"/>
      </w:rPr>
    </w:lvl>
    <w:lvl w:ilvl="2">
      <w:start w:val="0"/>
      <w:numFmt w:val="bullet"/>
      <w:lvlText w:val="•"/>
      <w:lvlJc w:val="left"/>
      <w:pPr>
        <w:ind w:left="2224" w:hanging="611"/>
      </w:pPr>
      <w:rPr>
        <w:rFonts w:hint="default"/>
        <w:lang w:val="en-US" w:eastAsia="en-US" w:bidi="en-US"/>
      </w:rPr>
    </w:lvl>
    <w:lvl w:ilvl="3">
      <w:start w:val="0"/>
      <w:numFmt w:val="bullet"/>
      <w:lvlText w:val="•"/>
      <w:lvlJc w:val="left"/>
      <w:pPr>
        <w:ind w:left="2976" w:hanging="611"/>
      </w:pPr>
      <w:rPr>
        <w:rFonts w:hint="default"/>
        <w:lang w:val="en-US" w:eastAsia="en-US" w:bidi="en-US"/>
      </w:rPr>
    </w:lvl>
    <w:lvl w:ilvl="4">
      <w:start w:val="0"/>
      <w:numFmt w:val="bullet"/>
      <w:lvlText w:val="•"/>
      <w:lvlJc w:val="left"/>
      <w:pPr>
        <w:ind w:left="3728" w:hanging="611"/>
      </w:pPr>
      <w:rPr>
        <w:rFonts w:hint="default"/>
        <w:lang w:val="en-US" w:eastAsia="en-US" w:bidi="en-US"/>
      </w:rPr>
    </w:lvl>
    <w:lvl w:ilvl="5">
      <w:start w:val="0"/>
      <w:numFmt w:val="bullet"/>
      <w:lvlText w:val="•"/>
      <w:lvlJc w:val="left"/>
      <w:pPr>
        <w:ind w:left="4480" w:hanging="611"/>
      </w:pPr>
      <w:rPr>
        <w:rFonts w:hint="default"/>
        <w:lang w:val="en-US" w:eastAsia="en-US" w:bidi="en-US"/>
      </w:rPr>
    </w:lvl>
    <w:lvl w:ilvl="6">
      <w:start w:val="0"/>
      <w:numFmt w:val="bullet"/>
      <w:lvlText w:val="•"/>
      <w:lvlJc w:val="left"/>
      <w:pPr>
        <w:ind w:left="5232" w:hanging="611"/>
      </w:pPr>
      <w:rPr>
        <w:rFonts w:hint="default"/>
        <w:lang w:val="en-US" w:eastAsia="en-US" w:bidi="en-US"/>
      </w:rPr>
    </w:lvl>
    <w:lvl w:ilvl="7">
      <w:start w:val="0"/>
      <w:numFmt w:val="bullet"/>
      <w:lvlText w:val="•"/>
      <w:lvlJc w:val="left"/>
      <w:pPr>
        <w:ind w:left="5984" w:hanging="611"/>
      </w:pPr>
      <w:rPr>
        <w:rFonts w:hint="default"/>
        <w:lang w:val="en-US" w:eastAsia="en-US" w:bidi="en-US"/>
      </w:rPr>
    </w:lvl>
    <w:lvl w:ilvl="8">
      <w:start w:val="0"/>
      <w:numFmt w:val="bullet"/>
      <w:lvlText w:val="•"/>
      <w:lvlJc w:val="left"/>
      <w:pPr>
        <w:ind w:left="6736" w:hanging="611"/>
      </w:pPr>
      <w:rPr>
        <w:rFonts w:hint="default"/>
        <w:lang w:val="en-US" w:eastAsia="en-US" w:bidi="en-US"/>
      </w:rPr>
    </w:lvl>
  </w:abstractNum>
  <w:abstractNum w:abstractNumId="51">
    <w:multiLevelType w:val="hybridMultilevel"/>
    <w:lvl w:ilvl="0">
      <w:start w:val="18"/>
      <w:numFmt w:val="decimal"/>
      <w:lvlText w:val="%1"/>
      <w:lvlJc w:val="left"/>
      <w:pPr>
        <w:ind w:left="1732" w:hanging="1513"/>
        <w:jc w:val="left"/>
      </w:pPr>
      <w:rPr>
        <w:rFonts w:hint="default"/>
        <w:lang w:val="en-US" w:eastAsia="en-US" w:bidi="en-US"/>
      </w:rPr>
    </w:lvl>
    <w:lvl w:ilvl="1">
      <w:start w:val="11"/>
      <w:numFmt w:val="decimal"/>
      <w:lvlText w:val="%1.%2"/>
      <w:lvlJc w:val="left"/>
      <w:pPr>
        <w:ind w:left="1732" w:hanging="1513"/>
        <w:jc w:val="left"/>
      </w:pPr>
      <w:rPr>
        <w:rFonts w:hint="default"/>
        <w:lang w:val="en-US" w:eastAsia="en-US" w:bidi="en-US"/>
      </w:rPr>
    </w:lvl>
    <w:lvl w:ilvl="2">
      <w:start w:val="1"/>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2"/>
        <w:w w:val="100"/>
        <w:sz w:val="24"/>
        <w:szCs w:val="24"/>
        <w:lang w:val="en-US" w:eastAsia="en-US" w:bidi="en-US"/>
      </w:rPr>
    </w:lvl>
    <w:lvl w:ilvl="4">
      <w:start w:val="0"/>
      <w:numFmt w:val="bullet"/>
      <w:lvlText w:val="•"/>
      <w:lvlJc w:val="left"/>
      <w:pPr>
        <w:ind w:left="5316" w:hanging="1513"/>
      </w:pPr>
      <w:rPr>
        <w:rFonts w:hint="default"/>
        <w:lang w:val="en-US" w:eastAsia="en-US" w:bidi="en-US"/>
      </w:rPr>
    </w:lvl>
    <w:lvl w:ilvl="5">
      <w:start w:val="0"/>
      <w:numFmt w:val="bullet"/>
      <w:lvlText w:val="•"/>
      <w:lvlJc w:val="left"/>
      <w:pPr>
        <w:ind w:left="6210" w:hanging="1513"/>
      </w:pPr>
      <w:rPr>
        <w:rFonts w:hint="default"/>
        <w:lang w:val="en-US" w:eastAsia="en-US" w:bidi="en-US"/>
      </w:rPr>
    </w:lvl>
    <w:lvl w:ilvl="6">
      <w:start w:val="0"/>
      <w:numFmt w:val="bullet"/>
      <w:lvlText w:val="•"/>
      <w:lvlJc w:val="left"/>
      <w:pPr>
        <w:ind w:left="7104" w:hanging="1513"/>
      </w:pPr>
      <w:rPr>
        <w:rFonts w:hint="default"/>
        <w:lang w:val="en-US" w:eastAsia="en-US" w:bidi="en-US"/>
      </w:rPr>
    </w:lvl>
    <w:lvl w:ilvl="7">
      <w:start w:val="0"/>
      <w:numFmt w:val="bullet"/>
      <w:lvlText w:val="•"/>
      <w:lvlJc w:val="left"/>
      <w:pPr>
        <w:ind w:left="7998" w:hanging="1513"/>
      </w:pPr>
      <w:rPr>
        <w:rFonts w:hint="default"/>
        <w:lang w:val="en-US" w:eastAsia="en-US" w:bidi="en-US"/>
      </w:rPr>
    </w:lvl>
    <w:lvl w:ilvl="8">
      <w:start w:val="0"/>
      <w:numFmt w:val="bullet"/>
      <w:lvlText w:val="•"/>
      <w:lvlJc w:val="left"/>
      <w:pPr>
        <w:ind w:left="8892" w:hanging="1513"/>
      </w:pPr>
      <w:rPr>
        <w:rFonts w:hint="default"/>
        <w:lang w:val="en-US" w:eastAsia="en-US" w:bidi="en-US"/>
      </w:rPr>
    </w:lvl>
  </w:abstractNum>
  <w:abstractNum w:abstractNumId="50">
    <w:multiLevelType w:val="hybridMultilevel"/>
    <w:lvl w:ilvl="0">
      <w:start w:val="18"/>
      <w:numFmt w:val="decimal"/>
      <w:lvlText w:val="%1"/>
      <w:lvlJc w:val="left"/>
      <w:pPr>
        <w:ind w:left="1732" w:hanging="1513"/>
        <w:jc w:val="left"/>
      </w:pPr>
      <w:rPr>
        <w:rFonts w:hint="default"/>
        <w:lang w:val="en-US" w:eastAsia="en-US" w:bidi="en-US"/>
      </w:rPr>
    </w:lvl>
    <w:lvl w:ilvl="1">
      <w:start w:val="10"/>
      <w:numFmt w:val="decimal"/>
      <w:lvlText w:val="%1.%2"/>
      <w:lvlJc w:val="left"/>
      <w:pPr>
        <w:ind w:left="1732" w:hanging="1513"/>
        <w:jc w:val="left"/>
      </w:pPr>
      <w:rPr>
        <w:rFonts w:hint="default"/>
        <w:lang w:val="en-US" w:eastAsia="en-US" w:bidi="en-US"/>
      </w:rPr>
    </w:lvl>
    <w:lvl w:ilvl="2">
      <w:start w:val="2"/>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1"/>
        <w:w w:val="100"/>
        <w:sz w:val="24"/>
        <w:szCs w:val="24"/>
        <w:lang w:val="en-US" w:eastAsia="en-US" w:bidi="en-US"/>
      </w:rPr>
    </w:lvl>
    <w:lvl w:ilvl="4">
      <w:start w:val="0"/>
      <w:numFmt w:val="bullet"/>
      <w:lvlText w:val="•"/>
      <w:lvlJc w:val="left"/>
      <w:pPr>
        <w:ind w:left="5316" w:hanging="1513"/>
      </w:pPr>
      <w:rPr>
        <w:rFonts w:hint="default"/>
        <w:lang w:val="en-US" w:eastAsia="en-US" w:bidi="en-US"/>
      </w:rPr>
    </w:lvl>
    <w:lvl w:ilvl="5">
      <w:start w:val="0"/>
      <w:numFmt w:val="bullet"/>
      <w:lvlText w:val="•"/>
      <w:lvlJc w:val="left"/>
      <w:pPr>
        <w:ind w:left="6210" w:hanging="1513"/>
      </w:pPr>
      <w:rPr>
        <w:rFonts w:hint="default"/>
        <w:lang w:val="en-US" w:eastAsia="en-US" w:bidi="en-US"/>
      </w:rPr>
    </w:lvl>
    <w:lvl w:ilvl="6">
      <w:start w:val="0"/>
      <w:numFmt w:val="bullet"/>
      <w:lvlText w:val="•"/>
      <w:lvlJc w:val="left"/>
      <w:pPr>
        <w:ind w:left="7104" w:hanging="1513"/>
      </w:pPr>
      <w:rPr>
        <w:rFonts w:hint="default"/>
        <w:lang w:val="en-US" w:eastAsia="en-US" w:bidi="en-US"/>
      </w:rPr>
    </w:lvl>
    <w:lvl w:ilvl="7">
      <w:start w:val="0"/>
      <w:numFmt w:val="bullet"/>
      <w:lvlText w:val="•"/>
      <w:lvlJc w:val="left"/>
      <w:pPr>
        <w:ind w:left="7998" w:hanging="1513"/>
      </w:pPr>
      <w:rPr>
        <w:rFonts w:hint="default"/>
        <w:lang w:val="en-US" w:eastAsia="en-US" w:bidi="en-US"/>
      </w:rPr>
    </w:lvl>
    <w:lvl w:ilvl="8">
      <w:start w:val="0"/>
      <w:numFmt w:val="bullet"/>
      <w:lvlText w:val="•"/>
      <w:lvlJc w:val="left"/>
      <w:pPr>
        <w:ind w:left="8892" w:hanging="1513"/>
      </w:pPr>
      <w:rPr>
        <w:rFonts w:hint="default"/>
        <w:lang w:val="en-US" w:eastAsia="en-US" w:bidi="en-US"/>
      </w:rPr>
    </w:lvl>
  </w:abstractNum>
  <w:abstractNum w:abstractNumId="49">
    <w:multiLevelType w:val="hybridMultilevel"/>
    <w:lvl w:ilvl="0">
      <w:start w:val="1"/>
      <w:numFmt w:val="decimal"/>
      <w:lvlText w:val="%1"/>
      <w:lvlJc w:val="left"/>
      <w:pPr>
        <w:ind w:left="277" w:hanging="163"/>
        <w:jc w:val="left"/>
      </w:pPr>
      <w:rPr>
        <w:rFonts w:hint="default" w:ascii="Calibri" w:hAnsi="Calibri" w:eastAsia="Calibri" w:cs="Calibri"/>
        <w:w w:val="100"/>
        <w:sz w:val="22"/>
        <w:szCs w:val="22"/>
        <w:lang w:val="en-US" w:eastAsia="en-US" w:bidi="en-US"/>
      </w:rPr>
    </w:lvl>
    <w:lvl w:ilvl="1">
      <w:start w:val="0"/>
      <w:numFmt w:val="bullet"/>
      <w:lvlText w:val="•"/>
      <w:lvlJc w:val="left"/>
      <w:pPr>
        <w:ind w:left="1076" w:hanging="163"/>
      </w:pPr>
      <w:rPr>
        <w:rFonts w:hint="default"/>
        <w:lang w:val="en-US" w:eastAsia="en-US" w:bidi="en-US"/>
      </w:rPr>
    </w:lvl>
    <w:lvl w:ilvl="2">
      <w:start w:val="0"/>
      <w:numFmt w:val="bullet"/>
      <w:lvlText w:val="•"/>
      <w:lvlJc w:val="left"/>
      <w:pPr>
        <w:ind w:left="1872" w:hanging="163"/>
      </w:pPr>
      <w:rPr>
        <w:rFonts w:hint="default"/>
        <w:lang w:val="en-US" w:eastAsia="en-US" w:bidi="en-US"/>
      </w:rPr>
    </w:lvl>
    <w:lvl w:ilvl="3">
      <w:start w:val="0"/>
      <w:numFmt w:val="bullet"/>
      <w:lvlText w:val="•"/>
      <w:lvlJc w:val="left"/>
      <w:pPr>
        <w:ind w:left="2668" w:hanging="163"/>
      </w:pPr>
      <w:rPr>
        <w:rFonts w:hint="default"/>
        <w:lang w:val="en-US" w:eastAsia="en-US" w:bidi="en-US"/>
      </w:rPr>
    </w:lvl>
    <w:lvl w:ilvl="4">
      <w:start w:val="0"/>
      <w:numFmt w:val="bullet"/>
      <w:lvlText w:val="•"/>
      <w:lvlJc w:val="left"/>
      <w:pPr>
        <w:ind w:left="3464" w:hanging="163"/>
      </w:pPr>
      <w:rPr>
        <w:rFonts w:hint="default"/>
        <w:lang w:val="en-US" w:eastAsia="en-US" w:bidi="en-US"/>
      </w:rPr>
    </w:lvl>
    <w:lvl w:ilvl="5">
      <w:start w:val="0"/>
      <w:numFmt w:val="bullet"/>
      <w:lvlText w:val="•"/>
      <w:lvlJc w:val="left"/>
      <w:pPr>
        <w:ind w:left="4260" w:hanging="163"/>
      </w:pPr>
      <w:rPr>
        <w:rFonts w:hint="default"/>
        <w:lang w:val="en-US" w:eastAsia="en-US" w:bidi="en-US"/>
      </w:rPr>
    </w:lvl>
    <w:lvl w:ilvl="6">
      <w:start w:val="0"/>
      <w:numFmt w:val="bullet"/>
      <w:lvlText w:val="•"/>
      <w:lvlJc w:val="left"/>
      <w:pPr>
        <w:ind w:left="5056" w:hanging="163"/>
      </w:pPr>
      <w:rPr>
        <w:rFonts w:hint="default"/>
        <w:lang w:val="en-US" w:eastAsia="en-US" w:bidi="en-US"/>
      </w:rPr>
    </w:lvl>
    <w:lvl w:ilvl="7">
      <w:start w:val="0"/>
      <w:numFmt w:val="bullet"/>
      <w:lvlText w:val="•"/>
      <w:lvlJc w:val="left"/>
      <w:pPr>
        <w:ind w:left="5852" w:hanging="163"/>
      </w:pPr>
      <w:rPr>
        <w:rFonts w:hint="default"/>
        <w:lang w:val="en-US" w:eastAsia="en-US" w:bidi="en-US"/>
      </w:rPr>
    </w:lvl>
    <w:lvl w:ilvl="8">
      <w:start w:val="0"/>
      <w:numFmt w:val="bullet"/>
      <w:lvlText w:val="•"/>
      <w:lvlJc w:val="left"/>
      <w:pPr>
        <w:ind w:left="6648" w:hanging="163"/>
      </w:pPr>
      <w:rPr>
        <w:rFonts w:hint="default"/>
        <w:lang w:val="en-US" w:eastAsia="en-US" w:bidi="en-US"/>
      </w:rPr>
    </w:lvl>
  </w:abstractNum>
  <w:abstractNum w:abstractNumId="48">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47">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46">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45">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44">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43">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42">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41">
    <w:multiLevelType w:val="hybridMultilevel"/>
    <w:lvl w:ilvl="0">
      <w:start w:val="18"/>
      <w:numFmt w:val="decimal"/>
      <w:lvlText w:val="%1"/>
      <w:lvlJc w:val="left"/>
      <w:pPr>
        <w:ind w:left="1732" w:hanging="1513"/>
        <w:jc w:val="left"/>
      </w:pPr>
      <w:rPr>
        <w:rFonts w:hint="default"/>
        <w:lang w:val="en-US" w:eastAsia="en-US" w:bidi="en-US"/>
      </w:rPr>
    </w:lvl>
    <w:lvl w:ilvl="1">
      <w:start w:val="10"/>
      <w:numFmt w:val="decimal"/>
      <w:lvlText w:val="%1.%2"/>
      <w:lvlJc w:val="left"/>
      <w:pPr>
        <w:ind w:left="1732" w:hanging="1513"/>
        <w:jc w:val="left"/>
      </w:pPr>
      <w:rPr>
        <w:rFonts w:hint="default"/>
        <w:lang w:val="en-US" w:eastAsia="en-US" w:bidi="en-US"/>
      </w:rPr>
    </w:lvl>
    <w:lvl w:ilvl="2">
      <w:start w:val="1"/>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2"/>
        <w:w w:val="100"/>
        <w:sz w:val="24"/>
        <w:szCs w:val="24"/>
        <w:lang w:val="en-US" w:eastAsia="en-US" w:bidi="en-US"/>
      </w:rPr>
    </w:lvl>
    <w:lvl w:ilvl="4">
      <w:start w:val="0"/>
      <w:numFmt w:val="bullet"/>
      <w:lvlText w:val=""/>
      <w:lvlJc w:val="left"/>
      <w:pPr>
        <w:ind w:left="940" w:hanging="360"/>
      </w:pPr>
      <w:rPr>
        <w:rFonts w:hint="default" w:ascii="Symbol" w:hAnsi="Symbol" w:eastAsia="Symbol" w:cs="Symbol"/>
        <w:w w:val="100"/>
        <w:sz w:val="22"/>
        <w:szCs w:val="22"/>
        <w:lang w:val="en-US" w:eastAsia="en-US" w:bidi="en-US"/>
      </w:rPr>
    </w:lvl>
    <w:lvl w:ilvl="5">
      <w:start w:val="0"/>
      <w:numFmt w:val="bullet"/>
      <w:lvlText w:val="•"/>
      <w:lvlJc w:val="left"/>
      <w:pPr>
        <w:ind w:left="5713" w:hanging="360"/>
      </w:pPr>
      <w:rPr>
        <w:rFonts w:hint="default"/>
        <w:lang w:val="en-US" w:eastAsia="en-US" w:bidi="en-US"/>
      </w:rPr>
    </w:lvl>
    <w:lvl w:ilvl="6">
      <w:start w:val="0"/>
      <w:numFmt w:val="bullet"/>
      <w:lvlText w:val="•"/>
      <w:lvlJc w:val="left"/>
      <w:pPr>
        <w:ind w:left="6706" w:hanging="360"/>
      </w:pPr>
      <w:rPr>
        <w:rFonts w:hint="default"/>
        <w:lang w:val="en-US" w:eastAsia="en-US" w:bidi="en-US"/>
      </w:rPr>
    </w:lvl>
    <w:lvl w:ilvl="7">
      <w:start w:val="0"/>
      <w:numFmt w:val="bullet"/>
      <w:lvlText w:val="•"/>
      <w:lvlJc w:val="left"/>
      <w:pPr>
        <w:ind w:left="7700" w:hanging="360"/>
      </w:pPr>
      <w:rPr>
        <w:rFonts w:hint="default"/>
        <w:lang w:val="en-US" w:eastAsia="en-US" w:bidi="en-US"/>
      </w:rPr>
    </w:lvl>
    <w:lvl w:ilvl="8">
      <w:start w:val="0"/>
      <w:numFmt w:val="bullet"/>
      <w:lvlText w:val="•"/>
      <w:lvlJc w:val="left"/>
      <w:pPr>
        <w:ind w:left="8693" w:hanging="360"/>
      </w:pPr>
      <w:rPr>
        <w:rFonts w:hint="default"/>
        <w:lang w:val="en-US" w:eastAsia="en-US" w:bidi="en-US"/>
      </w:rPr>
    </w:lvl>
  </w:abstractNum>
  <w:abstractNum w:abstractNumId="40">
    <w:multiLevelType w:val="hybridMultilevel"/>
    <w:lvl w:ilvl="0">
      <w:start w:val="1"/>
      <w:numFmt w:val="decimal"/>
      <w:lvlText w:val="%1."/>
      <w:lvlJc w:val="left"/>
      <w:pPr>
        <w:ind w:left="990" w:hanging="411"/>
        <w:jc w:val="left"/>
      </w:pPr>
      <w:rPr>
        <w:rFonts w:hint="default" w:ascii="Calibri" w:hAnsi="Calibri" w:eastAsia="Calibri" w:cs="Calibri"/>
        <w:w w:val="100"/>
        <w:sz w:val="22"/>
        <w:szCs w:val="22"/>
        <w:lang w:val="en-US" w:eastAsia="en-US" w:bidi="en-US"/>
      </w:rPr>
    </w:lvl>
    <w:lvl w:ilvl="1">
      <w:start w:val="0"/>
      <w:numFmt w:val="bullet"/>
      <w:lvlText w:val="•"/>
      <w:lvlJc w:val="left"/>
      <w:pPr>
        <w:ind w:left="1968" w:hanging="411"/>
      </w:pPr>
      <w:rPr>
        <w:rFonts w:hint="default"/>
        <w:lang w:val="en-US" w:eastAsia="en-US" w:bidi="en-US"/>
      </w:rPr>
    </w:lvl>
    <w:lvl w:ilvl="2">
      <w:start w:val="0"/>
      <w:numFmt w:val="bullet"/>
      <w:lvlText w:val="•"/>
      <w:lvlJc w:val="left"/>
      <w:pPr>
        <w:ind w:left="2936" w:hanging="411"/>
      </w:pPr>
      <w:rPr>
        <w:rFonts w:hint="default"/>
        <w:lang w:val="en-US" w:eastAsia="en-US" w:bidi="en-US"/>
      </w:rPr>
    </w:lvl>
    <w:lvl w:ilvl="3">
      <w:start w:val="0"/>
      <w:numFmt w:val="bullet"/>
      <w:lvlText w:val="•"/>
      <w:lvlJc w:val="left"/>
      <w:pPr>
        <w:ind w:left="3904" w:hanging="411"/>
      </w:pPr>
      <w:rPr>
        <w:rFonts w:hint="default"/>
        <w:lang w:val="en-US" w:eastAsia="en-US" w:bidi="en-US"/>
      </w:rPr>
    </w:lvl>
    <w:lvl w:ilvl="4">
      <w:start w:val="0"/>
      <w:numFmt w:val="bullet"/>
      <w:lvlText w:val="•"/>
      <w:lvlJc w:val="left"/>
      <w:pPr>
        <w:ind w:left="4872" w:hanging="411"/>
      </w:pPr>
      <w:rPr>
        <w:rFonts w:hint="default"/>
        <w:lang w:val="en-US" w:eastAsia="en-US" w:bidi="en-US"/>
      </w:rPr>
    </w:lvl>
    <w:lvl w:ilvl="5">
      <w:start w:val="0"/>
      <w:numFmt w:val="bullet"/>
      <w:lvlText w:val="•"/>
      <w:lvlJc w:val="left"/>
      <w:pPr>
        <w:ind w:left="5840" w:hanging="411"/>
      </w:pPr>
      <w:rPr>
        <w:rFonts w:hint="default"/>
        <w:lang w:val="en-US" w:eastAsia="en-US" w:bidi="en-US"/>
      </w:rPr>
    </w:lvl>
    <w:lvl w:ilvl="6">
      <w:start w:val="0"/>
      <w:numFmt w:val="bullet"/>
      <w:lvlText w:val="•"/>
      <w:lvlJc w:val="left"/>
      <w:pPr>
        <w:ind w:left="6808" w:hanging="411"/>
      </w:pPr>
      <w:rPr>
        <w:rFonts w:hint="default"/>
        <w:lang w:val="en-US" w:eastAsia="en-US" w:bidi="en-US"/>
      </w:rPr>
    </w:lvl>
    <w:lvl w:ilvl="7">
      <w:start w:val="0"/>
      <w:numFmt w:val="bullet"/>
      <w:lvlText w:val="•"/>
      <w:lvlJc w:val="left"/>
      <w:pPr>
        <w:ind w:left="7776" w:hanging="411"/>
      </w:pPr>
      <w:rPr>
        <w:rFonts w:hint="default"/>
        <w:lang w:val="en-US" w:eastAsia="en-US" w:bidi="en-US"/>
      </w:rPr>
    </w:lvl>
    <w:lvl w:ilvl="8">
      <w:start w:val="0"/>
      <w:numFmt w:val="bullet"/>
      <w:lvlText w:val="•"/>
      <w:lvlJc w:val="left"/>
      <w:pPr>
        <w:ind w:left="8744" w:hanging="411"/>
      </w:pPr>
      <w:rPr>
        <w:rFonts w:hint="default"/>
        <w:lang w:val="en-US" w:eastAsia="en-US" w:bidi="en-US"/>
      </w:rPr>
    </w:lvl>
  </w:abstractNum>
  <w:abstractNum w:abstractNumId="39">
    <w:multiLevelType w:val="hybridMultilevel"/>
    <w:lvl w:ilvl="0">
      <w:start w:val="0"/>
      <w:numFmt w:val="decimal"/>
      <w:lvlText w:val="%1"/>
      <w:lvlJc w:val="left"/>
      <w:pPr>
        <w:ind w:left="115" w:hanging="164"/>
        <w:jc w:val="left"/>
      </w:pPr>
      <w:rPr>
        <w:rFonts w:hint="default" w:ascii="Calibri" w:hAnsi="Calibri" w:eastAsia="Calibri" w:cs="Calibri"/>
        <w:w w:val="100"/>
        <w:sz w:val="22"/>
        <w:szCs w:val="22"/>
        <w:lang w:val="en-US" w:eastAsia="en-US" w:bidi="en-US"/>
      </w:rPr>
    </w:lvl>
    <w:lvl w:ilvl="1">
      <w:start w:val="0"/>
      <w:numFmt w:val="bullet"/>
      <w:lvlText w:val="•"/>
      <w:lvlJc w:val="left"/>
      <w:pPr>
        <w:ind w:left="932" w:hanging="164"/>
      </w:pPr>
      <w:rPr>
        <w:rFonts w:hint="default"/>
        <w:lang w:val="en-US" w:eastAsia="en-US" w:bidi="en-US"/>
      </w:rPr>
    </w:lvl>
    <w:lvl w:ilvl="2">
      <w:start w:val="0"/>
      <w:numFmt w:val="bullet"/>
      <w:lvlText w:val="•"/>
      <w:lvlJc w:val="left"/>
      <w:pPr>
        <w:ind w:left="1744" w:hanging="164"/>
      </w:pPr>
      <w:rPr>
        <w:rFonts w:hint="default"/>
        <w:lang w:val="en-US" w:eastAsia="en-US" w:bidi="en-US"/>
      </w:rPr>
    </w:lvl>
    <w:lvl w:ilvl="3">
      <w:start w:val="0"/>
      <w:numFmt w:val="bullet"/>
      <w:lvlText w:val="•"/>
      <w:lvlJc w:val="left"/>
      <w:pPr>
        <w:ind w:left="2556" w:hanging="164"/>
      </w:pPr>
      <w:rPr>
        <w:rFonts w:hint="default"/>
        <w:lang w:val="en-US" w:eastAsia="en-US" w:bidi="en-US"/>
      </w:rPr>
    </w:lvl>
    <w:lvl w:ilvl="4">
      <w:start w:val="0"/>
      <w:numFmt w:val="bullet"/>
      <w:lvlText w:val="•"/>
      <w:lvlJc w:val="left"/>
      <w:pPr>
        <w:ind w:left="3368" w:hanging="164"/>
      </w:pPr>
      <w:rPr>
        <w:rFonts w:hint="default"/>
        <w:lang w:val="en-US" w:eastAsia="en-US" w:bidi="en-US"/>
      </w:rPr>
    </w:lvl>
    <w:lvl w:ilvl="5">
      <w:start w:val="0"/>
      <w:numFmt w:val="bullet"/>
      <w:lvlText w:val="•"/>
      <w:lvlJc w:val="left"/>
      <w:pPr>
        <w:ind w:left="4180" w:hanging="164"/>
      </w:pPr>
      <w:rPr>
        <w:rFonts w:hint="default"/>
        <w:lang w:val="en-US" w:eastAsia="en-US" w:bidi="en-US"/>
      </w:rPr>
    </w:lvl>
    <w:lvl w:ilvl="6">
      <w:start w:val="0"/>
      <w:numFmt w:val="bullet"/>
      <w:lvlText w:val="•"/>
      <w:lvlJc w:val="left"/>
      <w:pPr>
        <w:ind w:left="4992" w:hanging="164"/>
      </w:pPr>
      <w:rPr>
        <w:rFonts w:hint="default"/>
        <w:lang w:val="en-US" w:eastAsia="en-US" w:bidi="en-US"/>
      </w:rPr>
    </w:lvl>
    <w:lvl w:ilvl="7">
      <w:start w:val="0"/>
      <w:numFmt w:val="bullet"/>
      <w:lvlText w:val="•"/>
      <w:lvlJc w:val="left"/>
      <w:pPr>
        <w:ind w:left="5804" w:hanging="164"/>
      </w:pPr>
      <w:rPr>
        <w:rFonts w:hint="default"/>
        <w:lang w:val="en-US" w:eastAsia="en-US" w:bidi="en-US"/>
      </w:rPr>
    </w:lvl>
    <w:lvl w:ilvl="8">
      <w:start w:val="0"/>
      <w:numFmt w:val="bullet"/>
      <w:lvlText w:val="•"/>
      <w:lvlJc w:val="left"/>
      <w:pPr>
        <w:ind w:left="6616" w:hanging="164"/>
      </w:pPr>
      <w:rPr>
        <w:rFonts w:hint="default"/>
        <w:lang w:val="en-US" w:eastAsia="en-US" w:bidi="en-US"/>
      </w:rPr>
    </w:lvl>
  </w:abstractNum>
  <w:abstractNum w:abstractNumId="38">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37">
    <w:multiLevelType w:val="hybridMultilevel"/>
    <w:lvl w:ilvl="0">
      <w:start w:val="0"/>
      <w:numFmt w:val="bullet"/>
      <w:lvlText w:val=""/>
      <w:lvlJc w:val="left"/>
      <w:pPr>
        <w:ind w:left="115" w:hanging="360"/>
      </w:pPr>
      <w:rPr>
        <w:rFonts w:hint="default" w:ascii="Symbol" w:hAnsi="Symbol" w:eastAsia="Symbol" w:cs="Symbol"/>
        <w:w w:val="100"/>
        <w:sz w:val="22"/>
        <w:szCs w:val="22"/>
        <w:lang w:val="en-US" w:eastAsia="en-US" w:bidi="en-US"/>
      </w:rPr>
    </w:lvl>
    <w:lvl w:ilvl="1">
      <w:start w:val="0"/>
      <w:numFmt w:val="bullet"/>
      <w:lvlText w:val="•"/>
      <w:lvlJc w:val="left"/>
      <w:pPr>
        <w:ind w:left="932" w:hanging="360"/>
      </w:pPr>
      <w:rPr>
        <w:rFonts w:hint="default"/>
        <w:lang w:val="en-US" w:eastAsia="en-US" w:bidi="en-US"/>
      </w:rPr>
    </w:lvl>
    <w:lvl w:ilvl="2">
      <w:start w:val="0"/>
      <w:numFmt w:val="bullet"/>
      <w:lvlText w:val="•"/>
      <w:lvlJc w:val="left"/>
      <w:pPr>
        <w:ind w:left="1744" w:hanging="360"/>
      </w:pPr>
      <w:rPr>
        <w:rFonts w:hint="default"/>
        <w:lang w:val="en-US" w:eastAsia="en-US" w:bidi="en-US"/>
      </w:rPr>
    </w:lvl>
    <w:lvl w:ilvl="3">
      <w:start w:val="0"/>
      <w:numFmt w:val="bullet"/>
      <w:lvlText w:val="•"/>
      <w:lvlJc w:val="left"/>
      <w:pPr>
        <w:ind w:left="2556" w:hanging="360"/>
      </w:pPr>
      <w:rPr>
        <w:rFonts w:hint="default"/>
        <w:lang w:val="en-US" w:eastAsia="en-US" w:bidi="en-US"/>
      </w:rPr>
    </w:lvl>
    <w:lvl w:ilvl="4">
      <w:start w:val="0"/>
      <w:numFmt w:val="bullet"/>
      <w:lvlText w:val="•"/>
      <w:lvlJc w:val="left"/>
      <w:pPr>
        <w:ind w:left="3368" w:hanging="360"/>
      </w:pPr>
      <w:rPr>
        <w:rFonts w:hint="default"/>
        <w:lang w:val="en-US" w:eastAsia="en-US" w:bidi="en-US"/>
      </w:rPr>
    </w:lvl>
    <w:lvl w:ilvl="5">
      <w:start w:val="0"/>
      <w:numFmt w:val="bullet"/>
      <w:lvlText w:val="•"/>
      <w:lvlJc w:val="left"/>
      <w:pPr>
        <w:ind w:left="4180" w:hanging="360"/>
      </w:pPr>
      <w:rPr>
        <w:rFonts w:hint="default"/>
        <w:lang w:val="en-US" w:eastAsia="en-US" w:bidi="en-US"/>
      </w:rPr>
    </w:lvl>
    <w:lvl w:ilvl="6">
      <w:start w:val="0"/>
      <w:numFmt w:val="bullet"/>
      <w:lvlText w:val="•"/>
      <w:lvlJc w:val="left"/>
      <w:pPr>
        <w:ind w:left="4992" w:hanging="360"/>
      </w:pPr>
      <w:rPr>
        <w:rFonts w:hint="default"/>
        <w:lang w:val="en-US" w:eastAsia="en-US" w:bidi="en-US"/>
      </w:rPr>
    </w:lvl>
    <w:lvl w:ilvl="7">
      <w:start w:val="0"/>
      <w:numFmt w:val="bullet"/>
      <w:lvlText w:val="•"/>
      <w:lvlJc w:val="left"/>
      <w:pPr>
        <w:ind w:left="5804" w:hanging="360"/>
      </w:pPr>
      <w:rPr>
        <w:rFonts w:hint="default"/>
        <w:lang w:val="en-US" w:eastAsia="en-US" w:bidi="en-US"/>
      </w:rPr>
    </w:lvl>
    <w:lvl w:ilvl="8">
      <w:start w:val="0"/>
      <w:numFmt w:val="bullet"/>
      <w:lvlText w:val="•"/>
      <w:lvlJc w:val="left"/>
      <w:pPr>
        <w:ind w:left="6616" w:hanging="360"/>
      </w:pPr>
      <w:rPr>
        <w:rFonts w:hint="default"/>
        <w:lang w:val="en-US" w:eastAsia="en-US" w:bidi="en-US"/>
      </w:rPr>
    </w:lvl>
  </w:abstractNum>
  <w:abstractNum w:abstractNumId="36">
    <w:multiLevelType w:val="hybridMultilevel"/>
    <w:lvl w:ilvl="0">
      <w:start w:val="18"/>
      <w:numFmt w:val="decimal"/>
      <w:lvlText w:val="%1"/>
      <w:lvlJc w:val="left"/>
      <w:pPr>
        <w:ind w:left="1732" w:hanging="1513"/>
        <w:jc w:val="left"/>
      </w:pPr>
      <w:rPr>
        <w:rFonts w:hint="default"/>
        <w:lang w:val="en-US" w:eastAsia="en-US" w:bidi="en-US"/>
      </w:rPr>
    </w:lvl>
    <w:lvl w:ilvl="1">
      <w:start w:val="5"/>
      <w:numFmt w:val="decimal"/>
      <w:lvlText w:val="%1.%2"/>
      <w:lvlJc w:val="left"/>
      <w:pPr>
        <w:ind w:left="1732" w:hanging="1513"/>
        <w:jc w:val="left"/>
      </w:pPr>
      <w:rPr>
        <w:rFonts w:hint="default"/>
        <w:lang w:val="en-US" w:eastAsia="en-US" w:bidi="en-US"/>
      </w:rPr>
    </w:lvl>
    <w:lvl w:ilvl="2">
      <w:start w:val="2"/>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1"/>
        <w:w w:val="100"/>
        <w:sz w:val="24"/>
        <w:szCs w:val="24"/>
        <w:lang w:val="en-US" w:eastAsia="en-US" w:bidi="en-US"/>
      </w:rPr>
    </w:lvl>
    <w:lvl w:ilvl="4">
      <w:start w:val="0"/>
      <w:numFmt w:val="bullet"/>
      <w:lvlText w:val="•"/>
      <w:lvlJc w:val="left"/>
      <w:pPr>
        <w:ind w:left="5316" w:hanging="1513"/>
      </w:pPr>
      <w:rPr>
        <w:rFonts w:hint="default"/>
        <w:lang w:val="en-US" w:eastAsia="en-US" w:bidi="en-US"/>
      </w:rPr>
    </w:lvl>
    <w:lvl w:ilvl="5">
      <w:start w:val="0"/>
      <w:numFmt w:val="bullet"/>
      <w:lvlText w:val="•"/>
      <w:lvlJc w:val="left"/>
      <w:pPr>
        <w:ind w:left="6210" w:hanging="1513"/>
      </w:pPr>
      <w:rPr>
        <w:rFonts w:hint="default"/>
        <w:lang w:val="en-US" w:eastAsia="en-US" w:bidi="en-US"/>
      </w:rPr>
    </w:lvl>
    <w:lvl w:ilvl="6">
      <w:start w:val="0"/>
      <w:numFmt w:val="bullet"/>
      <w:lvlText w:val="•"/>
      <w:lvlJc w:val="left"/>
      <w:pPr>
        <w:ind w:left="7104" w:hanging="1513"/>
      </w:pPr>
      <w:rPr>
        <w:rFonts w:hint="default"/>
        <w:lang w:val="en-US" w:eastAsia="en-US" w:bidi="en-US"/>
      </w:rPr>
    </w:lvl>
    <w:lvl w:ilvl="7">
      <w:start w:val="0"/>
      <w:numFmt w:val="bullet"/>
      <w:lvlText w:val="•"/>
      <w:lvlJc w:val="left"/>
      <w:pPr>
        <w:ind w:left="7998" w:hanging="1513"/>
      </w:pPr>
      <w:rPr>
        <w:rFonts w:hint="default"/>
        <w:lang w:val="en-US" w:eastAsia="en-US" w:bidi="en-US"/>
      </w:rPr>
    </w:lvl>
    <w:lvl w:ilvl="8">
      <w:start w:val="0"/>
      <w:numFmt w:val="bullet"/>
      <w:lvlText w:val="•"/>
      <w:lvlJc w:val="left"/>
      <w:pPr>
        <w:ind w:left="8892" w:hanging="1513"/>
      </w:pPr>
      <w:rPr>
        <w:rFonts w:hint="default"/>
        <w:lang w:val="en-US" w:eastAsia="en-US" w:bidi="en-US"/>
      </w:rPr>
    </w:lvl>
  </w:abstractNum>
  <w:abstractNum w:abstractNumId="35">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34">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33">
    <w:multiLevelType w:val="hybridMultilevel"/>
    <w:lvl w:ilvl="0">
      <w:start w:val="18"/>
      <w:numFmt w:val="decimal"/>
      <w:lvlText w:val="%1"/>
      <w:lvlJc w:val="left"/>
      <w:pPr>
        <w:ind w:left="1732" w:hanging="1513"/>
        <w:jc w:val="left"/>
      </w:pPr>
      <w:rPr>
        <w:rFonts w:hint="default"/>
        <w:lang w:val="en-US" w:eastAsia="en-US" w:bidi="en-US"/>
      </w:rPr>
    </w:lvl>
    <w:lvl w:ilvl="1">
      <w:start w:val="5"/>
      <w:numFmt w:val="decimal"/>
      <w:lvlText w:val="%1.%2"/>
      <w:lvlJc w:val="left"/>
      <w:pPr>
        <w:ind w:left="1732" w:hanging="1513"/>
        <w:jc w:val="left"/>
      </w:pPr>
      <w:rPr>
        <w:rFonts w:hint="default"/>
        <w:lang w:val="en-US" w:eastAsia="en-US" w:bidi="en-US"/>
      </w:rPr>
    </w:lvl>
    <w:lvl w:ilvl="2">
      <w:start w:val="1"/>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2"/>
        <w:w w:val="100"/>
        <w:sz w:val="24"/>
        <w:szCs w:val="24"/>
        <w:lang w:val="en-US" w:eastAsia="en-US" w:bidi="en-US"/>
      </w:rPr>
    </w:lvl>
    <w:lvl w:ilvl="4">
      <w:start w:val="0"/>
      <w:numFmt w:val="bullet"/>
      <w:lvlText w:val="•"/>
      <w:lvlJc w:val="left"/>
      <w:pPr>
        <w:ind w:left="5316" w:hanging="1513"/>
      </w:pPr>
      <w:rPr>
        <w:rFonts w:hint="default"/>
        <w:lang w:val="en-US" w:eastAsia="en-US" w:bidi="en-US"/>
      </w:rPr>
    </w:lvl>
    <w:lvl w:ilvl="5">
      <w:start w:val="0"/>
      <w:numFmt w:val="bullet"/>
      <w:lvlText w:val="•"/>
      <w:lvlJc w:val="left"/>
      <w:pPr>
        <w:ind w:left="6210" w:hanging="1513"/>
      </w:pPr>
      <w:rPr>
        <w:rFonts w:hint="default"/>
        <w:lang w:val="en-US" w:eastAsia="en-US" w:bidi="en-US"/>
      </w:rPr>
    </w:lvl>
    <w:lvl w:ilvl="6">
      <w:start w:val="0"/>
      <w:numFmt w:val="bullet"/>
      <w:lvlText w:val="•"/>
      <w:lvlJc w:val="left"/>
      <w:pPr>
        <w:ind w:left="7104" w:hanging="1513"/>
      </w:pPr>
      <w:rPr>
        <w:rFonts w:hint="default"/>
        <w:lang w:val="en-US" w:eastAsia="en-US" w:bidi="en-US"/>
      </w:rPr>
    </w:lvl>
    <w:lvl w:ilvl="7">
      <w:start w:val="0"/>
      <w:numFmt w:val="bullet"/>
      <w:lvlText w:val="•"/>
      <w:lvlJc w:val="left"/>
      <w:pPr>
        <w:ind w:left="7998" w:hanging="1513"/>
      </w:pPr>
      <w:rPr>
        <w:rFonts w:hint="default"/>
        <w:lang w:val="en-US" w:eastAsia="en-US" w:bidi="en-US"/>
      </w:rPr>
    </w:lvl>
    <w:lvl w:ilvl="8">
      <w:start w:val="0"/>
      <w:numFmt w:val="bullet"/>
      <w:lvlText w:val="•"/>
      <w:lvlJc w:val="left"/>
      <w:pPr>
        <w:ind w:left="8892" w:hanging="1513"/>
      </w:pPr>
      <w:rPr>
        <w:rFonts w:hint="default"/>
        <w:lang w:val="en-US" w:eastAsia="en-US" w:bidi="en-US"/>
      </w:rPr>
    </w:lvl>
  </w:abstractNum>
  <w:abstractNum w:abstractNumId="32">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31">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30">
    <w:multiLevelType w:val="hybridMultilevel"/>
    <w:lvl w:ilvl="0">
      <w:start w:val="18"/>
      <w:numFmt w:val="decimal"/>
      <w:lvlText w:val="%1"/>
      <w:lvlJc w:val="left"/>
      <w:pPr>
        <w:ind w:left="1732" w:hanging="1513"/>
        <w:jc w:val="left"/>
      </w:pPr>
      <w:rPr>
        <w:rFonts w:hint="default"/>
        <w:lang w:val="en-US" w:eastAsia="en-US" w:bidi="en-US"/>
      </w:rPr>
    </w:lvl>
    <w:lvl w:ilvl="1">
      <w:start w:val="3"/>
      <w:numFmt w:val="decimal"/>
      <w:lvlText w:val="%1.%2"/>
      <w:lvlJc w:val="left"/>
      <w:pPr>
        <w:ind w:left="1732" w:hanging="1513"/>
        <w:jc w:val="left"/>
      </w:pPr>
      <w:rPr>
        <w:rFonts w:hint="default"/>
        <w:lang w:val="en-US" w:eastAsia="en-US" w:bidi="en-US"/>
      </w:rPr>
    </w:lvl>
    <w:lvl w:ilvl="2">
      <w:start w:val="2"/>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2"/>
        <w:w w:val="100"/>
        <w:sz w:val="24"/>
        <w:szCs w:val="24"/>
        <w:lang w:val="en-US" w:eastAsia="en-US" w:bidi="en-US"/>
      </w:rPr>
    </w:lvl>
    <w:lvl w:ilvl="4">
      <w:start w:val="0"/>
      <w:numFmt w:val="bullet"/>
      <w:lvlText w:val="•"/>
      <w:lvlJc w:val="left"/>
      <w:pPr>
        <w:ind w:left="5316" w:hanging="1513"/>
      </w:pPr>
      <w:rPr>
        <w:rFonts w:hint="default"/>
        <w:lang w:val="en-US" w:eastAsia="en-US" w:bidi="en-US"/>
      </w:rPr>
    </w:lvl>
    <w:lvl w:ilvl="5">
      <w:start w:val="0"/>
      <w:numFmt w:val="bullet"/>
      <w:lvlText w:val="•"/>
      <w:lvlJc w:val="left"/>
      <w:pPr>
        <w:ind w:left="6210" w:hanging="1513"/>
      </w:pPr>
      <w:rPr>
        <w:rFonts w:hint="default"/>
        <w:lang w:val="en-US" w:eastAsia="en-US" w:bidi="en-US"/>
      </w:rPr>
    </w:lvl>
    <w:lvl w:ilvl="6">
      <w:start w:val="0"/>
      <w:numFmt w:val="bullet"/>
      <w:lvlText w:val="•"/>
      <w:lvlJc w:val="left"/>
      <w:pPr>
        <w:ind w:left="7104" w:hanging="1513"/>
      </w:pPr>
      <w:rPr>
        <w:rFonts w:hint="default"/>
        <w:lang w:val="en-US" w:eastAsia="en-US" w:bidi="en-US"/>
      </w:rPr>
    </w:lvl>
    <w:lvl w:ilvl="7">
      <w:start w:val="0"/>
      <w:numFmt w:val="bullet"/>
      <w:lvlText w:val="•"/>
      <w:lvlJc w:val="left"/>
      <w:pPr>
        <w:ind w:left="7998" w:hanging="1513"/>
      </w:pPr>
      <w:rPr>
        <w:rFonts w:hint="default"/>
        <w:lang w:val="en-US" w:eastAsia="en-US" w:bidi="en-US"/>
      </w:rPr>
    </w:lvl>
    <w:lvl w:ilvl="8">
      <w:start w:val="0"/>
      <w:numFmt w:val="bullet"/>
      <w:lvlText w:val="•"/>
      <w:lvlJc w:val="left"/>
      <w:pPr>
        <w:ind w:left="8892" w:hanging="1513"/>
      </w:pPr>
      <w:rPr>
        <w:rFonts w:hint="default"/>
        <w:lang w:val="en-US" w:eastAsia="en-US" w:bidi="en-US"/>
      </w:rPr>
    </w:lvl>
  </w:abstractNum>
  <w:abstractNum w:abstractNumId="29">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28">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27">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26">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24">
    <w:multiLevelType w:val="hybridMultilevel"/>
    <w:lvl w:ilvl="0">
      <w:start w:val="0"/>
      <w:numFmt w:val="bullet"/>
      <w:lvlText w:val=""/>
      <w:lvlJc w:val="left"/>
      <w:pPr>
        <w:ind w:left="834" w:hanging="360"/>
      </w:pPr>
      <w:rPr>
        <w:rFonts w:hint="default" w:ascii="Symbol" w:hAnsi="Symbol" w:eastAsia="Symbol" w:cs="Symbol"/>
        <w:w w:val="100"/>
        <w:sz w:val="22"/>
        <w:szCs w:val="22"/>
        <w:lang w:val="en-US" w:eastAsia="en-US" w:bidi="en-US"/>
      </w:rPr>
    </w:lvl>
    <w:lvl w:ilvl="1">
      <w:start w:val="0"/>
      <w:numFmt w:val="bullet"/>
      <w:lvlText w:val="•"/>
      <w:lvlJc w:val="left"/>
      <w:pPr>
        <w:ind w:left="1583" w:hanging="360"/>
      </w:pPr>
      <w:rPr>
        <w:rFonts w:hint="default"/>
        <w:lang w:val="en-US" w:eastAsia="en-US" w:bidi="en-US"/>
      </w:rPr>
    </w:lvl>
    <w:lvl w:ilvl="2">
      <w:start w:val="0"/>
      <w:numFmt w:val="bullet"/>
      <w:lvlText w:val="•"/>
      <w:lvlJc w:val="left"/>
      <w:pPr>
        <w:ind w:left="2326" w:hanging="360"/>
      </w:pPr>
      <w:rPr>
        <w:rFonts w:hint="default"/>
        <w:lang w:val="en-US" w:eastAsia="en-US" w:bidi="en-US"/>
      </w:rPr>
    </w:lvl>
    <w:lvl w:ilvl="3">
      <w:start w:val="0"/>
      <w:numFmt w:val="bullet"/>
      <w:lvlText w:val="•"/>
      <w:lvlJc w:val="left"/>
      <w:pPr>
        <w:ind w:left="3069" w:hanging="360"/>
      </w:pPr>
      <w:rPr>
        <w:rFonts w:hint="default"/>
        <w:lang w:val="en-US" w:eastAsia="en-US" w:bidi="en-US"/>
      </w:rPr>
    </w:lvl>
    <w:lvl w:ilvl="4">
      <w:start w:val="0"/>
      <w:numFmt w:val="bullet"/>
      <w:lvlText w:val="•"/>
      <w:lvlJc w:val="left"/>
      <w:pPr>
        <w:ind w:left="3812" w:hanging="360"/>
      </w:pPr>
      <w:rPr>
        <w:rFonts w:hint="default"/>
        <w:lang w:val="en-US" w:eastAsia="en-US" w:bidi="en-US"/>
      </w:rPr>
    </w:lvl>
    <w:lvl w:ilvl="5">
      <w:start w:val="0"/>
      <w:numFmt w:val="bullet"/>
      <w:lvlText w:val="•"/>
      <w:lvlJc w:val="left"/>
      <w:pPr>
        <w:ind w:left="4556" w:hanging="360"/>
      </w:pPr>
      <w:rPr>
        <w:rFonts w:hint="default"/>
        <w:lang w:val="en-US" w:eastAsia="en-US" w:bidi="en-US"/>
      </w:rPr>
    </w:lvl>
    <w:lvl w:ilvl="6">
      <w:start w:val="0"/>
      <w:numFmt w:val="bullet"/>
      <w:lvlText w:val="•"/>
      <w:lvlJc w:val="left"/>
      <w:pPr>
        <w:ind w:left="5299" w:hanging="360"/>
      </w:pPr>
      <w:rPr>
        <w:rFonts w:hint="default"/>
        <w:lang w:val="en-US" w:eastAsia="en-US" w:bidi="en-US"/>
      </w:rPr>
    </w:lvl>
    <w:lvl w:ilvl="7">
      <w:start w:val="0"/>
      <w:numFmt w:val="bullet"/>
      <w:lvlText w:val="•"/>
      <w:lvlJc w:val="left"/>
      <w:pPr>
        <w:ind w:left="6042" w:hanging="360"/>
      </w:pPr>
      <w:rPr>
        <w:rFonts w:hint="default"/>
        <w:lang w:val="en-US" w:eastAsia="en-US" w:bidi="en-US"/>
      </w:rPr>
    </w:lvl>
    <w:lvl w:ilvl="8">
      <w:start w:val="0"/>
      <w:numFmt w:val="bullet"/>
      <w:lvlText w:val="•"/>
      <w:lvlJc w:val="left"/>
      <w:pPr>
        <w:ind w:left="6785" w:hanging="360"/>
      </w:pPr>
      <w:rPr>
        <w:rFonts w:hint="default"/>
        <w:lang w:val="en-US" w:eastAsia="en-US" w:bidi="en-US"/>
      </w:rPr>
    </w:lvl>
  </w:abstractNum>
  <w:abstractNum w:abstractNumId="23">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22">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21">
    <w:multiLevelType w:val="hybridMultilevel"/>
    <w:lvl w:ilvl="0">
      <w:start w:val="18"/>
      <w:numFmt w:val="decimal"/>
      <w:lvlText w:val="%1"/>
      <w:lvlJc w:val="left"/>
      <w:pPr>
        <w:ind w:left="1732" w:hanging="1513"/>
        <w:jc w:val="left"/>
      </w:pPr>
      <w:rPr>
        <w:rFonts w:hint="default"/>
        <w:lang w:val="en-US" w:eastAsia="en-US" w:bidi="en-US"/>
      </w:rPr>
    </w:lvl>
    <w:lvl w:ilvl="1">
      <w:start w:val="3"/>
      <w:numFmt w:val="decimal"/>
      <w:lvlText w:val="%1.%2"/>
      <w:lvlJc w:val="left"/>
      <w:pPr>
        <w:ind w:left="1732" w:hanging="1513"/>
        <w:jc w:val="left"/>
      </w:pPr>
      <w:rPr>
        <w:rFonts w:hint="default"/>
        <w:lang w:val="en-US" w:eastAsia="en-US" w:bidi="en-US"/>
      </w:rPr>
    </w:lvl>
    <w:lvl w:ilvl="2">
      <w:start w:val="1"/>
      <w:numFmt w:val="decimal"/>
      <w:lvlText w:val="%1.%2.%3"/>
      <w:lvlJc w:val="left"/>
      <w:pPr>
        <w:ind w:left="1732" w:hanging="1513"/>
        <w:jc w:val="left"/>
      </w:pPr>
      <w:rPr>
        <w:rFonts w:hint="default"/>
        <w:lang w:val="en-US" w:eastAsia="en-US" w:bidi="en-US"/>
      </w:rPr>
    </w:lvl>
    <w:lvl w:ilvl="3">
      <w:start w:val="1"/>
      <w:numFmt w:val="decimal"/>
      <w:lvlText w:val="%1.%2.%3.%4"/>
      <w:lvlJc w:val="left"/>
      <w:pPr>
        <w:ind w:left="1732" w:hanging="1513"/>
        <w:jc w:val="left"/>
      </w:pPr>
      <w:rPr>
        <w:rFonts w:hint="default" w:ascii="Cambria" w:hAnsi="Cambria" w:eastAsia="Cambria" w:cs="Cambria"/>
        <w:color w:val="4F81BC"/>
        <w:spacing w:val="-1"/>
        <w:w w:val="100"/>
        <w:sz w:val="24"/>
        <w:szCs w:val="24"/>
        <w:lang w:val="en-US" w:eastAsia="en-US" w:bidi="en-US"/>
      </w:rPr>
    </w:lvl>
    <w:lvl w:ilvl="4">
      <w:start w:val="0"/>
      <w:numFmt w:val="bullet"/>
      <w:lvlText w:val=""/>
      <w:lvlJc w:val="left"/>
      <w:pPr>
        <w:ind w:left="220" w:hanging="360"/>
      </w:pPr>
      <w:rPr>
        <w:rFonts w:hint="default" w:ascii="Symbol" w:hAnsi="Symbol" w:eastAsia="Symbol" w:cs="Symbol"/>
        <w:w w:val="100"/>
        <w:sz w:val="22"/>
        <w:szCs w:val="22"/>
        <w:lang w:val="en-US" w:eastAsia="en-US" w:bidi="en-US"/>
      </w:rPr>
    </w:lvl>
    <w:lvl w:ilvl="5">
      <w:start w:val="0"/>
      <w:numFmt w:val="bullet"/>
      <w:lvlText w:val="•"/>
      <w:lvlJc w:val="left"/>
      <w:pPr>
        <w:ind w:left="5713" w:hanging="360"/>
      </w:pPr>
      <w:rPr>
        <w:rFonts w:hint="default"/>
        <w:lang w:val="en-US" w:eastAsia="en-US" w:bidi="en-US"/>
      </w:rPr>
    </w:lvl>
    <w:lvl w:ilvl="6">
      <w:start w:val="0"/>
      <w:numFmt w:val="bullet"/>
      <w:lvlText w:val="•"/>
      <w:lvlJc w:val="left"/>
      <w:pPr>
        <w:ind w:left="6706" w:hanging="360"/>
      </w:pPr>
      <w:rPr>
        <w:rFonts w:hint="default"/>
        <w:lang w:val="en-US" w:eastAsia="en-US" w:bidi="en-US"/>
      </w:rPr>
    </w:lvl>
    <w:lvl w:ilvl="7">
      <w:start w:val="0"/>
      <w:numFmt w:val="bullet"/>
      <w:lvlText w:val="•"/>
      <w:lvlJc w:val="left"/>
      <w:pPr>
        <w:ind w:left="7700" w:hanging="360"/>
      </w:pPr>
      <w:rPr>
        <w:rFonts w:hint="default"/>
        <w:lang w:val="en-US" w:eastAsia="en-US" w:bidi="en-US"/>
      </w:rPr>
    </w:lvl>
    <w:lvl w:ilvl="8">
      <w:start w:val="0"/>
      <w:numFmt w:val="bullet"/>
      <w:lvlText w:val="•"/>
      <w:lvlJc w:val="left"/>
      <w:pPr>
        <w:ind w:left="8693" w:hanging="360"/>
      </w:pPr>
      <w:rPr>
        <w:rFonts w:hint="default"/>
        <w:lang w:val="en-US" w:eastAsia="en-US" w:bidi="en-US"/>
      </w:rPr>
    </w:lvl>
  </w:abstractNum>
  <w:abstractNum w:abstractNumId="20">
    <w:multiLevelType w:val="hybridMultilevel"/>
    <w:lvl w:ilvl="0">
      <w:start w:val="0"/>
      <w:numFmt w:val="bullet"/>
      <w:lvlText w:val=""/>
      <w:lvlJc w:val="left"/>
      <w:pPr>
        <w:ind w:left="940" w:hanging="360"/>
      </w:pPr>
      <w:rPr>
        <w:rFonts w:hint="default" w:ascii="Symbol" w:hAnsi="Symbol" w:eastAsia="Symbol" w:cs="Symbol"/>
        <w:w w:val="100"/>
        <w:sz w:val="22"/>
        <w:szCs w:val="22"/>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19">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18">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1"/>
      <w:numFmt w:val="lowerLetter"/>
      <w:lvlText w:val="%2."/>
      <w:lvlJc w:val="left"/>
      <w:pPr>
        <w:ind w:left="1555" w:hanging="360"/>
        <w:jc w:val="left"/>
      </w:pPr>
      <w:rPr>
        <w:rFonts w:hint="default" w:ascii="Calibri" w:hAnsi="Calibri" w:eastAsia="Calibri" w:cs="Calibri"/>
        <w:spacing w:val="-1"/>
        <w:w w:val="100"/>
        <w:sz w:val="22"/>
        <w:szCs w:val="22"/>
        <w:lang w:val="en-US" w:eastAsia="en-US" w:bidi="en-US"/>
      </w:rPr>
    </w:lvl>
    <w:lvl w:ilvl="2">
      <w:start w:val="0"/>
      <w:numFmt w:val="bullet"/>
      <w:lvlText w:val="•"/>
      <w:lvlJc w:val="left"/>
      <w:pPr>
        <w:ind w:left="2302" w:hanging="360"/>
      </w:pPr>
      <w:rPr>
        <w:rFonts w:hint="default"/>
        <w:lang w:val="en-US" w:eastAsia="en-US" w:bidi="en-US"/>
      </w:rPr>
    </w:lvl>
    <w:lvl w:ilvl="3">
      <w:start w:val="0"/>
      <w:numFmt w:val="bullet"/>
      <w:lvlText w:val="•"/>
      <w:lvlJc w:val="left"/>
      <w:pPr>
        <w:ind w:left="3044" w:hanging="360"/>
      </w:pPr>
      <w:rPr>
        <w:rFonts w:hint="default"/>
        <w:lang w:val="en-US" w:eastAsia="en-US" w:bidi="en-US"/>
      </w:rPr>
    </w:lvl>
    <w:lvl w:ilvl="4">
      <w:start w:val="0"/>
      <w:numFmt w:val="bullet"/>
      <w:lvlText w:val="•"/>
      <w:lvlJc w:val="left"/>
      <w:pPr>
        <w:ind w:left="3786" w:hanging="360"/>
      </w:pPr>
      <w:rPr>
        <w:rFonts w:hint="default"/>
        <w:lang w:val="en-US" w:eastAsia="en-US" w:bidi="en-US"/>
      </w:rPr>
    </w:lvl>
    <w:lvl w:ilvl="5">
      <w:start w:val="0"/>
      <w:numFmt w:val="bullet"/>
      <w:lvlText w:val="•"/>
      <w:lvlJc w:val="left"/>
      <w:pPr>
        <w:ind w:left="4528" w:hanging="360"/>
      </w:pPr>
      <w:rPr>
        <w:rFonts w:hint="default"/>
        <w:lang w:val="en-US" w:eastAsia="en-US" w:bidi="en-US"/>
      </w:rPr>
    </w:lvl>
    <w:lvl w:ilvl="6">
      <w:start w:val="0"/>
      <w:numFmt w:val="bullet"/>
      <w:lvlText w:val="•"/>
      <w:lvlJc w:val="left"/>
      <w:pPr>
        <w:ind w:left="5271" w:hanging="360"/>
      </w:pPr>
      <w:rPr>
        <w:rFonts w:hint="default"/>
        <w:lang w:val="en-US" w:eastAsia="en-US" w:bidi="en-US"/>
      </w:rPr>
    </w:lvl>
    <w:lvl w:ilvl="7">
      <w:start w:val="0"/>
      <w:numFmt w:val="bullet"/>
      <w:lvlText w:val="•"/>
      <w:lvlJc w:val="left"/>
      <w:pPr>
        <w:ind w:left="6013" w:hanging="360"/>
      </w:pPr>
      <w:rPr>
        <w:rFonts w:hint="default"/>
        <w:lang w:val="en-US" w:eastAsia="en-US" w:bidi="en-US"/>
      </w:rPr>
    </w:lvl>
    <w:lvl w:ilvl="8">
      <w:start w:val="0"/>
      <w:numFmt w:val="bullet"/>
      <w:lvlText w:val="•"/>
      <w:lvlJc w:val="left"/>
      <w:pPr>
        <w:ind w:left="6755" w:hanging="360"/>
      </w:pPr>
      <w:rPr>
        <w:rFonts w:hint="default"/>
        <w:lang w:val="en-US" w:eastAsia="en-US" w:bidi="en-US"/>
      </w:rPr>
    </w:lvl>
  </w:abstractNum>
  <w:abstractNum w:abstractNumId="17">
    <w:multiLevelType w:val="hybridMultilevel"/>
    <w:lvl w:ilvl="0">
      <w:start w:val="0"/>
      <w:numFmt w:val="bullet"/>
      <w:lvlText w:val=""/>
      <w:lvlJc w:val="left"/>
      <w:pPr>
        <w:ind w:left="835" w:hanging="360"/>
      </w:pPr>
      <w:rPr>
        <w:rFonts w:hint="default" w:ascii="Symbol" w:hAnsi="Symbol" w:eastAsia="Symbol" w:cs="Symbol"/>
        <w:w w:val="100"/>
        <w:sz w:val="22"/>
        <w:szCs w:val="22"/>
        <w:lang w:val="en-US" w:eastAsia="en-US" w:bidi="en-US"/>
      </w:rPr>
    </w:lvl>
    <w:lvl w:ilvl="1">
      <w:start w:val="0"/>
      <w:numFmt w:val="bullet"/>
      <w:lvlText w:val="•"/>
      <w:lvlJc w:val="left"/>
      <w:pPr>
        <w:ind w:left="1580" w:hanging="360"/>
      </w:pPr>
      <w:rPr>
        <w:rFonts w:hint="default"/>
        <w:lang w:val="en-US" w:eastAsia="en-US" w:bidi="en-US"/>
      </w:rPr>
    </w:lvl>
    <w:lvl w:ilvl="2">
      <w:start w:val="0"/>
      <w:numFmt w:val="bullet"/>
      <w:lvlText w:val="•"/>
      <w:lvlJc w:val="left"/>
      <w:pPr>
        <w:ind w:left="2320" w:hanging="360"/>
      </w:pPr>
      <w:rPr>
        <w:rFonts w:hint="default"/>
        <w:lang w:val="en-US" w:eastAsia="en-US" w:bidi="en-US"/>
      </w:rPr>
    </w:lvl>
    <w:lvl w:ilvl="3">
      <w:start w:val="0"/>
      <w:numFmt w:val="bullet"/>
      <w:lvlText w:val="•"/>
      <w:lvlJc w:val="left"/>
      <w:pPr>
        <w:ind w:left="3060" w:hanging="360"/>
      </w:pPr>
      <w:rPr>
        <w:rFonts w:hint="default"/>
        <w:lang w:val="en-US" w:eastAsia="en-US" w:bidi="en-US"/>
      </w:rPr>
    </w:lvl>
    <w:lvl w:ilvl="4">
      <w:start w:val="0"/>
      <w:numFmt w:val="bullet"/>
      <w:lvlText w:val="•"/>
      <w:lvlJc w:val="left"/>
      <w:pPr>
        <w:ind w:left="3800" w:hanging="360"/>
      </w:pPr>
      <w:rPr>
        <w:rFonts w:hint="default"/>
        <w:lang w:val="en-US" w:eastAsia="en-US" w:bidi="en-US"/>
      </w:rPr>
    </w:lvl>
    <w:lvl w:ilvl="5">
      <w:start w:val="0"/>
      <w:numFmt w:val="bullet"/>
      <w:lvlText w:val="•"/>
      <w:lvlJc w:val="left"/>
      <w:pPr>
        <w:ind w:left="4540" w:hanging="360"/>
      </w:pPr>
      <w:rPr>
        <w:rFonts w:hint="default"/>
        <w:lang w:val="en-US" w:eastAsia="en-US" w:bidi="en-US"/>
      </w:rPr>
    </w:lvl>
    <w:lvl w:ilvl="6">
      <w:start w:val="0"/>
      <w:numFmt w:val="bullet"/>
      <w:lvlText w:val="•"/>
      <w:lvlJc w:val="left"/>
      <w:pPr>
        <w:ind w:left="5280" w:hanging="360"/>
      </w:pPr>
      <w:rPr>
        <w:rFonts w:hint="default"/>
        <w:lang w:val="en-US" w:eastAsia="en-US" w:bidi="en-US"/>
      </w:rPr>
    </w:lvl>
    <w:lvl w:ilvl="7">
      <w:start w:val="0"/>
      <w:numFmt w:val="bullet"/>
      <w:lvlText w:val="•"/>
      <w:lvlJc w:val="left"/>
      <w:pPr>
        <w:ind w:left="6020" w:hanging="360"/>
      </w:pPr>
      <w:rPr>
        <w:rFonts w:hint="default"/>
        <w:lang w:val="en-US" w:eastAsia="en-US" w:bidi="en-US"/>
      </w:rPr>
    </w:lvl>
    <w:lvl w:ilvl="8">
      <w:start w:val="0"/>
      <w:numFmt w:val="bullet"/>
      <w:lvlText w:val="•"/>
      <w:lvlJc w:val="left"/>
      <w:pPr>
        <w:ind w:left="6760" w:hanging="360"/>
      </w:pPr>
      <w:rPr>
        <w:rFonts w:hint="default"/>
        <w:lang w:val="en-US" w:eastAsia="en-US" w:bidi="en-US"/>
      </w:rPr>
    </w:lvl>
  </w:abstractNum>
  <w:abstractNum w:abstractNumId="16">
    <w:multiLevelType w:val="hybridMultilevel"/>
    <w:lvl w:ilvl="0">
      <w:start w:val="18"/>
      <w:numFmt w:val="decimal"/>
      <w:lvlText w:val="%1"/>
      <w:lvlJc w:val="left"/>
      <w:pPr>
        <w:ind w:left="1156" w:hanging="937"/>
        <w:jc w:val="left"/>
      </w:pPr>
      <w:rPr>
        <w:rFonts w:hint="default"/>
        <w:lang w:val="en-US" w:eastAsia="en-US" w:bidi="en-US"/>
      </w:rPr>
    </w:lvl>
    <w:lvl w:ilvl="1">
      <w:start w:val="2"/>
      <w:numFmt w:val="decimal"/>
      <w:lvlText w:val="%1.%2"/>
      <w:lvlJc w:val="left"/>
      <w:pPr>
        <w:ind w:left="1156" w:hanging="937"/>
        <w:jc w:val="left"/>
      </w:pPr>
      <w:rPr>
        <w:rFonts w:hint="default" w:ascii="Cambria" w:hAnsi="Cambria" w:eastAsia="Cambria" w:cs="Cambria"/>
        <w:b/>
        <w:bCs/>
        <w:color w:val="4F81BC"/>
        <w:spacing w:val="-2"/>
        <w:w w:val="100"/>
        <w:sz w:val="28"/>
        <w:szCs w:val="28"/>
        <w:lang w:val="en-US" w:eastAsia="en-US" w:bidi="en-US"/>
      </w:rPr>
    </w:lvl>
    <w:lvl w:ilvl="2">
      <w:start w:val="1"/>
      <w:numFmt w:val="decimal"/>
      <w:lvlText w:val="%1.%2.%3"/>
      <w:lvlJc w:val="left"/>
      <w:pPr>
        <w:ind w:left="1444" w:hanging="1225"/>
        <w:jc w:val="left"/>
      </w:pPr>
      <w:rPr>
        <w:rFonts w:hint="default" w:ascii="Cambria" w:hAnsi="Cambria" w:eastAsia="Cambria" w:cs="Cambria"/>
        <w:b/>
        <w:bCs/>
        <w:color w:val="4F81BC"/>
        <w:spacing w:val="-1"/>
        <w:w w:val="99"/>
        <w:sz w:val="26"/>
        <w:szCs w:val="26"/>
        <w:lang w:val="en-US" w:eastAsia="en-US" w:bidi="en-US"/>
      </w:rPr>
    </w:lvl>
    <w:lvl w:ilvl="3">
      <w:start w:val="0"/>
      <w:numFmt w:val="bullet"/>
      <w:lvlText w:val=""/>
      <w:lvlJc w:val="left"/>
      <w:pPr>
        <w:ind w:left="940" w:hanging="360"/>
      </w:pPr>
      <w:rPr>
        <w:rFonts w:hint="default" w:ascii="Symbol" w:hAnsi="Symbol" w:eastAsia="Symbol" w:cs="Symbol"/>
        <w:w w:val="100"/>
        <w:sz w:val="22"/>
        <w:szCs w:val="22"/>
        <w:lang w:val="en-US" w:eastAsia="en-US" w:bidi="en-US"/>
      </w:rPr>
    </w:lvl>
    <w:lvl w:ilvl="4">
      <w:start w:val="0"/>
      <w:numFmt w:val="bullet"/>
      <w:lvlText w:val="•"/>
      <w:lvlJc w:val="left"/>
      <w:pPr>
        <w:ind w:left="1440" w:hanging="360"/>
      </w:pPr>
      <w:rPr>
        <w:rFonts w:hint="default"/>
        <w:lang w:val="en-US" w:eastAsia="en-US" w:bidi="en-US"/>
      </w:rPr>
    </w:lvl>
    <w:lvl w:ilvl="5">
      <w:start w:val="0"/>
      <w:numFmt w:val="bullet"/>
      <w:lvlText w:val="•"/>
      <w:lvlJc w:val="left"/>
      <w:pPr>
        <w:ind w:left="2980" w:hanging="360"/>
      </w:pPr>
      <w:rPr>
        <w:rFonts w:hint="default"/>
        <w:lang w:val="en-US" w:eastAsia="en-US" w:bidi="en-US"/>
      </w:rPr>
    </w:lvl>
    <w:lvl w:ilvl="6">
      <w:start w:val="0"/>
      <w:numFmt w:val="bullet"/>
      <w:lvlText w:val="•"/>
      <w:lvlJc w:val="left"/>
      <w:pPr>
        <w:ind w:left="4520" w:hanging="360"/>
      </w:pPr>
      <w:rPr>
        <w:rFonts w:hint="default"/>
        <w:lang w:val="en-US" w:eastAsia="en-US" w:bidi="en-US"/>
      </w:rPr>
    </w:lvl>
    <w:lvl w:ilvl="7">
      <w:start w:val="0"/>
      <w:numFmt w:val="bullet"/>
      <w:lvlText w:val="•"/>
      <w:lvlJc w:val="left"/>
      <w:pPr>
        <w:ind w:left="6060" w:hanging="360"/>
      </w:pPr>
      <w:rPr>
        <w:rFonts w:hint="default"/>
        <w:lang w:val="en-US" w:eastAsia="en-US" w:bidi="en-US"/>
      </w:rPr>
    </w:lvl>
    <w:lvl w:ilvl="8">
      <w:start w:val="0"/>
      <w:numFmt w:val="bullet"/>
      <w:lvlText w:val="•"/>
      <w:lvlJc w:val="left"/>
      <w:pPr>
        <w:ind w:left="7600" w:hanging="360"/>
      </w:pPr>
      <w:rPr>
        <w:rFonts w:hint="default"/>
        <w:lang w:val="en-US" w:eastAsia="en-US" w:bidi="en-US"/>
      </w:rPr>
    </w:lvl>
  </w:abstractNum>
  <w:abstractNum w:abstractNumId="15">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94"/>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14">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84"/>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13">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81"/>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12">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75"/>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11">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52"/>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10">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42"/>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9">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36"/>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8">
    <w:multiLevelType w:val="hybridMultilevel"/>
    <w:lvl w:ilvl="0">
      <w:start w:val="18"/>
      <w:numFmt w:val="decimal"/>
      <w:lvlText w:val="%1"/>
      <w:lvlJc w:val="left"/>
      <w:pPr>
        <w:ind w:left="1979" w:hanging="1356"/>
        <w:jc w:val="left"/>
      </w:pPr>
      <w:rPr>
        <w:rFonts w:hint="default"/>
        <w:lang w:val="en-US" w:eastAsia="en-US" w:bidi="en-US"/>
      </w:rPr>
    </w:lvl>
    <w:lvl w:ilvl="1">
      <w:start w:val="17"/>
      <w:numFmt w:val="decimal"/>
      <w:lvlText w:val="%1.%2"/>
      <w:lvlJc w:val="left"/>
      <w:pPr>
        <w:ind w:left="1979" w:hanging="1356"/>
        <w:jc w:val="left"/>
      </w:pPr>
      <w:rPr>
        <w:rFonts w:hint="default"/>
        <w:lang w:val="en-US" w:eastAsia="en-US" w:bidi="en-US"/>
      </w:rPr>
    </w:lvl>
    <w:lvl w:ilvl="2">
      <w:start w:val="7"/>
      <w:numFmt w:val="decimal"/>
      <w:lvlText w:val="%1.%2.%3"/>
      <w:lvlJc w:val="left"/>
      <w:pPr>
        <w:ind w:left="1979" w:hanging="1356"/>
        <w:jc w:val="left"/>
      </w:pPr>
      <w:rPr>
        <w:rFonts w:hint="default"/>
        <w:lang w:val="en-US" w:eastAsia="en-US" w:bidi="en-US"/>
      </w:rPr>
    </w:lvl>
    <w:lvl w:ilvl="3">
      <w:start w:val="16"/>
      <w:numFmt w:val="decimal"/>
      <w:lvlText w:val="%1.%2.%3.%4"/>
      <w:lvlJc w:val="left"/>
      <w:pPr>
        <w:ind w:left="1979" w:hanging="1356"/>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460" w:hanging="1356"/>
      </w:pPr>
      <w:rPr>
        <w:rFonts w:hint="default"/>
        <w:lang w:val="en-US" w:eastAsia="en-US" w:bidi="en-US"/>
      </w:rPr>
    </w:lvl>
    <w:lvl w:ilvl="5">
      <w:start w:val="0"/>
      <w:numFmt w:val="bullet"/>
      <w:lvlText w:val="•"/>
      <w:lvlJc w:val="left"/>
      <w:pPr>
        <w:ind w:left="6330" w:hanging="1356"/>
      </w:pPr>
      <w:rPr>
        <w:rFonts w:hint="default"/>
        <w:lang w:val="en-US" w:eastAsia="en-US" w:bidi="en-US"/>
      </w:rPr>
    </w:lvl>
    <w:lvl w:ilvl="6">
      <w:start w:val="0"/>
      <w:numFmt w:val="bullet"/>
      <w:lvlText w:val="•"/>
      <w:lvlJc w:val="left"/>
      <w:pPr>
        <w:ind w:left="7200" w:hanging="1356"/>
      </w:pPr>
      <w:rPr>
        <w:rFonts w:hint="default"/>
        <w:lang w:val="en-US" w:eastAsia="en-US" w:bidi="en-US"/>
      </w:rPr>
    </w:lvl>
    <w:lvl w:ilvl="7">
      <w:start w:val="0"/>
      <w:numFmt w:val="bullet"/>
      <w:lvlText w:val="•"/>
      <w:lvlJc w:val="left"/>
      <w:pPr>
        <w:ind w:left="8070" w:hanging="1356"/>
      </w:pPr>
      <w:rPr>
        <w:rFonts w:hint="default"/>
        <w:lang w:val="en-US" w:eastAsia="en-US" w:bidi="en-US"/>
      </w:rPr>
    </w:lvl>
    <w:lvl w:ilvl="8">
      <w:start w:val="0"/>
      <w:numFmt w:val="bullet"/>
      <w:lvlText w:val="•"/>
      <w:lvlJc w:val="left"/>
      <w:pPr>
        <w:ind w:left="8940" w:hanging="1356"/>
      </w:pPr>
      <w:rPr>
        <w:rFonts w:hint="default"/>
        <w:lang w:val="en-US" w:eastAsia="en-US" w:bidi="en-US"/>
      </w:rPr>
    </w:lvl>
  </w:abstractNum>
  <w:abstractNum w:abstractNumId="7">
    <w:multiLevelType w:val="hybridMultilevel"/>
    <w:lvl w:ilvl="0">
      <w:start w:val="18"/>
      <w:numFmt w:val="decimal"/>
      <w:lvlText w:val="%1"/>
      <w:lvlJc w:val="left"/>
      <w:pPr>
        <w:ind w:left="1761" w:hanging="1138"/>
        <w:jc w:val="left"/>
      </w:pPr>
      <w:rPr>
        <w:rFonts w:hint="default"/>
        <w:lang w:val="en-US" w:eastAsia="en-US" w:bidi="en-US"/>
      </w:rPr>
    </w:lvl>
    <w:lvl w:ilvl="1">
      <w:start w:val="17"/>
      <w:numFmt w:val="decimal"/>
      <w:lvlText w:val="%1.%2"/>
      <w:lvlJc w:val="left"/>
      <w:pPr>
        <w:ind w:left="1761" w:hanging="1138"/>
        <w:jc w:val="left"/>
      </w:pPr>
      <w:rPr>
        <w:rFonts w:hint="default"/>
        <w:lang w:val="en-US" w:eastAsia="en-US" w:bidi="en-US"/>
      </w:rPr>
    </w:lvl>
    <w:lvl w:ilvl="2">
      <w:start w:val="7"/>
      <w:numFmt w:val="decimal"/>
      <w:lvlText w:val="%1.%2.%3"/>
      <w:lvlJc w:val="left"/>
      <w:pPr>
        <w:ind w:left="1761" w:hanging="1138"/>
        <w:jc w:val="left"/>
      </w:pPr>
      <w:rPr>
        <w:rFonts w:hint="default"/>
        <w:lang w:val="en-US" w:eastAsia="en-US" w:bidi="en-US"/>
      </w:rPr>
    </w:lvl>
    <w:lvl w:ilvl="3">
      <w:start w:val="5"/>
      <w:numFmt w:val="decimal"/>
      <w:lvlText w:val="%1.%2.%3.%4"/>
      <w:lvlJc w:val="left"/>
      <w:pPr>
        <w:ind w:left="1761" w:hanging="1138"/>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328" w:hanging="1138"/>
      </w:pPr>
      <w:rPr>
        <w:rFonts w:hint="default"/>
        <w:lang w:val="en-US" w:eastAsia="en-US" w:bidi="en-US"/>
      </w:rPr>
    </w:lvl>
    <w:lvl w:ilvl="5">
      <w:start w:val="0"/>
      <w:numFmt w:val="bullet"/>
      <w:lvlText w:val="•"/>
      <w:lvlJc w:val="left"/>
      <w:pPr>
        <w:ind w:left="6220" w:hanging="1138"/>
      </w:pPr>
      <w:rPr>
        <w:rFonts w:hint="default"/>
        <w:lang w:val="en-US" w:eastAsia="en-US" w:bidi="en-US"/>
      </w:rPr>
    </w:lvl>
    <w:lvl w:ilvl="6">
      <w:start w:val="0"/>
      <w:numFmt w:val="bullet"/>
      <w:lvlText w:val="•"/>
      <w:lvlJc w:val="left"/>
      <w:pPr>
        <w:ind w:left="7112" w:hanging="1138"/>
      </w:pPr>
      <w:rPr>
        <w:rFonts w:hint="default"/>
        <w:lang w:val="en-US" w:eastAsia="en-US" w:bidi="en-US"/>
      </w:rPr>
    </w:lvl>
    <w:lvl w:ilvl="7">
      <w:start w:val="0"/>
      <w:numFmt w:val="bullet"/>
      <w:lvlText w:val="•"/>
      <w:lvlJc w:val="left"/>
      <w:pPr>
        <w:ind w:left="8004" w:hanging="1138"/>
      </w:pPr>
      <w:rPr>
        <w:rFonts w:hint="default"/>
        <w:lang w:val="en-US" w:eastAsia="en-US" w:bidi="en-US"/>
      </w:rPr>
    </w:lvl>
    <w:lvl w:ilvl="8">
      <w:start w:val="0"/>
      <w:numFmt w:val="bullet"/>
      <w:lvlText w:val="•"/>
      <w:lvlJc w:val="left"/>
      <w:pPr>
        <w:ind w:left="8896" w:hanging="1138"/>
      </w:pPr>
      <w:rPr>
        <w:rFonts w:hint="default"/>
        <w:lang w:val="en-US" w:eastAsia="en-US" w:bidi="en-US"/>
      </w:rPr>
    </w:lvl>
  </w:abstractNum>
  <w:abstractNum w:abstractNumId="6">
    <w:multiLevelType w:val="hybridMultilevel"/>
    <w:lvl w:ilvl="0">
      <w:start w:val="18"/>
      <w:numFmt w:val="decimal"/>
      <w:lvlText w:val="%1"/>
      <w:lvlJc w:val="left"/>
      <w:pPr>
        <w:ind w:left="1761" w:hanging="1138"/>
        <w:jc w:val="left"/>
      </w:pPr>
      <w:rPr>
        <w:rFonts w:hint="default"/>
        <w:lang w:val="en-US" w:eastAsia="en-US" w:bidi="en-US"/>
      </w:rPr>
    </w:lvl>
    <w:lvl w:ilvl="1">
      <w:start w:val="17"/>
      <w:numFmt w:val="decimal"/>
      <w:lvlText w:val="%1.%2"/>
      <w:lvlJc w:val="left"/>
      <w:pPr>
        <w:ind w:left="1761" w:hanging="1138"/>
        <w:jc w:val="left"/>
      </w:pPr>
      <w:rPr>
        <w:rFonts w:hint="default"/>
        <w:lang w:val="en-US" w:eastAsia="en-US" w:bidi="en-US"/>
      </w:rPr>
    </w:lvl>
    <w:lvl w:ilvl="2">
      <w:start w:val="7"/>
      <w:numFmt w:val="decimal"/>
      <w:lvlText w:val="%1.%2.%3"/>
      <w:lvlJc w:val="left"/>
      <w:pPr>
        <w:ind w:left="1761" w:hanging="1138"/>
        <w:jc w:val="left"/>
      </w:pPr>
      <w:rPr>
        <w:rFonts w:hint="default"/>
        <w:lang w:val="en-US" w:eastAsia="en-US" w:bidi="en-US"/>
      </w:rPr>
    </w:lvl>
    <w:lvl w:ilvl="3">
      <w:start w:val="2"/>
      <w:numFmt w:val="decimal"/>
      <w:lvlText w:val="%1.%2.%3.%4"/>
      <w:lvlJc w:val="left"/>
      <w:pPr>
        <w:ind w:left="1761" w:hanging="1138"/>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328" w:hanging="1138"/>
      </w:pPr>
      <w:rPr>
        <w:rFonts w:hint="default"/>
        <w:lang w:val="en-US" w:eastAsia="en-US" w:bidi="en-US"/>
      </w:rPr>
    </w:lvl>
    <w:lvl w:ilvl="5">
      <w:start w:val="0"/>
      <w:numFmt w:val="bullet"/>
      <w:lvlText w:val="•"/>
      <w:lvlJc w:val="left"/>
      <w:pPr>
        <w:ind w:left="6220" w:hanging="1138"/>
      </w:pPr>
      <w:rPr>
        <w:rFonts w:hint="default"/>
        <w:lang w:val="en-US" w:eastAsia="en-US" w:bidi="en-US"/>
      </w:rPr>
    </w:lvl>
    <w:lvl w:ilvl="6">
      <w:start w:val="0"/>
      <w:numFmt w:val="bullet"/>
      <w:lvlText w:val="•"/>
      <w:lvlJc w:val="left"/>
      <w:pPr>
        <w:ind w:left="7112" w:hanging="1138"/>
      </w:pPr>
      <w:rPr>
        <w:rFonts w:hint="default"/>
        <w:lang w:val="en-US" w:eastAsia="en-US" w:bidi="en-US"/>
      </w:rPr>
    </w:lvl>
    <w:lvl w:ilvl="7">
      <w:start w:val="0"/>
      <w:numFmt w:val="bullet"/>
      <w:lvlText w:val="•"/>
      <w:lvlJc w:val="left"/>
      <w:pPr>
        <w:ind w:left="8004" w:hanging="1138"/>
      </w:pPr>
      <w:rPr>
        <w:rFonts w:hint="default"/>
        <w:lang w:val="en-US" w:eastAsia="en-US" w:bidi="en-US"/>
      </w:rPr>
    </w:lvl>
    <w:lvl w:ilvl="8">
      <w:start w:val="0"/>
      <w:numFmt w:val="bullet"/>
      <w:lvlText w:val="•"/>
      <w:lvlJc w:val="left"/>
      <w:pPr>
        <w:ind w:left="8896" w:hanging="1138"/>
      </w:pPr>
      <w:rPr>
        <w:rFonts w:hint="default"/>
        <w:lang w:val="en-US" w:eastAsia="en-US" w:bidi="en-US"/>
      </w:rPr>
    </w:lvl>
  </w:abstractNum>
  <w:abstractNum w:abstractNumId="5">
    <w:multiLevelType w:val="hybridMultilevel"/>
    <w:lvl w:ilvl="0">
      <w:start w:val="18"/>
      <w:numFmt w:val="decimal"/>
      <w:lvlText w:val="%1"/>
      <w:lvlJc w:val="left"/>
      <w:pPr>
        <w:ind w:left="1540" w:hanging="1119"/>
        <w:jc w:val="left"/>
      </w:pPr>
      <w:rPr>
        <w:rFonts w:hint="default"/>
        <w:lang w:val="en-US" w:eastAsia="en-US" w:bidi="en-US"/>
      </w:rPr>
    </w:lvl>
    <w:lvl w:ilvl="1">
      <w:start w:val="14"/>
      <w:numFmt w:val="decimal"/>
      <w:lvlText w:val="%1.%2"/>
      <w:lvlJc w:val="left"/>
      <w:pPr>
        <w:ind w:left="1540" w:hanging="1119"/>
        <w:jc w:val="left"/>
      </w:pPr>
      <w:rPr>
        <w:rFonts w:hint="default"/>
        <w:lang w:val="en-US" w:eastAsia="en-US" w:bidi="en-US"/>
      </w:rPr>
    </w:lvl>
    <w:lvl w:ilvl="2">
      <w:start w:val="13"/>
      <w:numFmt w:val="decimal"/>
      <w:lvlText w:val="%1.%2.%3"/>
      <w:lvlJc w:val="left"/>
      <w:pPr>
        <w:ind w:left="1540" w:hanging="1119"/>
        <w:jc w:val="left"/>
      </w:pPr>
      <w:rPr>
        <w:rFonts w:hint="default" w:ascii="Calibri" w:hAnsi="Calibri" w:eastAsia="Calibri" w:cs="Calibri"/>
        <w:spacing w:val="-3"/>
        <w:w w:val="100"/>
        <w:sz w:val="22"/>
        <w:szCs w:val="22"/>
        <w:lang w:val="en-US" w:eastAsia="en-US" w:bidi="en-US"/>
      </w:rPr>
    </w:lvl>
    <w:lvl w:ilvl="3">
      <w:start w:val="0"/>
      <w:numFmt w:val="bullet"/>
      <w:lvlText w:val="•"/>
      <w:lvlJc w:val="left"/>
      <w:pPr>
        <w:ind w:left="4282" w:hanging="1119"/>
      </w:pPr>
      <w:rPr>
        <w:rFonts w:hint="default"/>
        <w:lang w:val="en-US" w:eastAsia="en-US" w:bidi="en-US"/>
      </w:rPr>
    </w:lvl>
    <w:lvl w:ilvl="4">
      <w:start w:val="0"/>
      <w:numFmt w:val="bullet"/>
      <w:lvlText w:val="•"/>
      <w:lvlJc w:val="left"/>
      <w:pPr>
        <w:ind w:left="5196" w:hanging="1119"/>
      </w:pPr>
      <w:rPr>
        <w:rFonts w:hint="default"/>
        <w:lang w:val="en-US" w:eastAsia="en-US" w:bidi="en-US"/>
      </w:rPr>
    </w:lvl>
    <w:lvl w:ilvl="5">
      <w:start w:val="0"/>
      <w:numFmt w:val="bullet"/>
      <w:lvlText w:val="•"/>
      <w:lvlJc w:val="left"/>
      <w:pPr>
        <w:ind w:left="6110" w:hanging="1119"/>
      </w:pPr>
      <w:rPr>
        <w:rFonts w:hint="default"/>
        <w:lang w:val="en-US" w:eastAsia="en-US" w:bidi="en-US"/>
      </w:rPr>
    </w:lvl>
    <w:lvl w:ilvl="6">
      <w:start w:val="0"/>
      <w:numFmt w:val="bullet"/>
      <w:lvlText w:val="•"/>
      <w:lvlJc w:val="left"/>
      <w:pPr>
        <w:ind w:left="7024" w:hanging="1119"/>
      </w:pPr>
      <w:rPr>
        <w:rFonts w:hint="default"/>
        <w:lang w:val="en-US" w:eastAsia="en-US" w:bidi="en-US"/>
      </w:rPr>
    </w:lvl>
    <w:lvl w:ilvl="7">
      <w:start w:val="0"/>
      <w:numFmt w:val="bullet"/>
      <w:lvlText w:val="•"/>
      <w:lvlJc w:val="left"/>
      <w:pPr>
        <w:ind w:left="7938" w:hanging="1119"/>
      </w:pPr>
      <w:rPr>
        <w:rFonts w:hint="default"/>
        <w:lang w:val="en-US" w:eastAsia="en-US" w:bidi="en-US"/>
      </w:rPr>
    </w:lvl>
    <w:lvl w:ilvl="8">
      <w:start w:val="0"/>
      <w:numFmt w:val="bullet"/>
      <w:lvlText w:val="•"/>
      <w:lvlJc w:val="left"/>
      <w:pPr>
        <w:ind w:left="8852" w:hanging="1119"/>
      </w:pPr>
      <w:rPr>
        <w:rFonts w:hint="default"/>
        <w:lang w:val="en-US" w:eastAsia="en-US" w:bidi="en-US"/>
      </w:rPr>
    </w:lvl>
  </w:abstractNum>
  <w:abstractNum w:abstractNumId="4">
    <w:multiLevelType w:val="hybridMultilevel"/>
    <w:lvl w:ilvl="0">
      <w:start w:val="18"/>
      <w:numFmt w:val="decimal"/>
      <w:lvlText w:val="%1"/>
      <w:lvlJc w:val="left"/>
      <w:pPr>
        <w:ind w:left="1319" w:hanging="898"/>
        <w:jc w:val="left"/>
      </w:pPr>
      <w:rPr>
        <w:rFonts w:hint="default"/>
        <w:lang w:val="en-US" w:eastAsia="en-US" w:bidi="en-US"/>
      </w:rPr>
    </w:lvl>
    <w:lvl w:ilvl="1">
      <w:start w:val="8"/>
      <w:numFmt w:val="decimal"/>
      <w:lvlText w:val="%1.%2"/>
      <w:lvlJc w:val="left"/>
      <w:pPr>
        <w:ind w:left="1319" w:hanging="898"/>
        <w:jc w:val="left"/>
      </w:pPr>
      <w:rPr>
        <w:rFonts w:hint="default"/>
        <w:lang w:val="en-US" w:eastAsia="en-US" w:bidi="en-US"/>
      </w:rPr>
    </w:lvl>
    <w:lvl w:ilvl="2">
      <w:start w:val="3"/>
      <w:numFmt w:val="decimal"/>
      <w:lvlText w:val="%1.%2.%3"/>
      <w:lvlJc w:val="left"/>
      <w:pPr>
        <w:ind w:left="1319" w:hanging="898"/>
        <w:jc w:val="left"/>
      </w:pPr>
      <w:rPr>
        <w:rFonts w:hint="default" w:ascii="Calibri" w:hAnsi="Calibri" w:eastAsia="Calibri" w:cs="Calibri"/>
        <w:spacing w:val="-3"/>
        <w:w w:val="100"/>
        <w:sz w:val="22"/>
        <w:szCs w:val="22"/>
        <w:lang w:val="en-US" w:eastAsia="en-US" w:bidi="en-US"/>
      </w:rPr>
    </w:lvl>
    <w:lvl w:ilvl="3">
      <w:start w:val="0"/>
      <w:numFmt w:val="bullet"/>
      <w:lvlText w:val="•"/>
      <w:lvlJc w:val="left"/>
      <w:pPr>
        <w:ind w:left="4128" w:hanging="898"/>
      </w:pPr>
      <w:rPr>
        <w:rFonts w:hint="default"/>
        <w:lang w:val="en-US" w:eastAsia="en-US" w:bidi="en-US"/>
      </w:rPr>
    </w:lvl>
    <w:lvl w:ilvl="4">
      <w:start w:val="0"/>
      <w:numFmt w:val="bullet"/>
      <w:lvlText w:val="•"/>
      <w:lvlJc w:val="left"/>
      <w:pPr>
        <w:ind w:left="5064" w:hanging="898"/>
      </w:pPr>
      <w:rPr>
        <w:rFonts w:hint="default"/>
        <w:lang w:val="en-US" w:eastAsia="en-US" w:bidi="en-US"/>
      </w:rPr>
    </w:lvl>
    <w:lvl w:ilvl="5">
      <w:start w:val="0"/>
      <w:numFmt w:val="bullet"/>
      <w:lvlText w:val="•"/>
      <w:lvlJc w:val="left"/>
      <w:pPr>
        <w:ind w:left="6000" w:hanging="898"/>
      </w:pPr>
      <w:rPr>
        <w:rFonts w:hint="default"/>
        <w:lang w:val="en-US" w:eastAsia="en-US" w:bidi="en-US"/>
      </w:rPr>
    </w:lvl>
    <w:lvl w:ilvl="6">
      <w:start w:val="0"/>
      <w:numFmt w:val="bullet"/>
      <w:lvlText w:val="•"/>
      <w:lvlJc w:val="left"/>
      <w:pPr>
        <w:ind w:left="6936" w:hanging="898"/>
      </w:pPr>
      <w:rPr>
        <w:rFonts w:hint="default"/>
        <w:lang w:val="en-US" w:eastAsia="en-US" w:bidi="en-US"/>
      </w:rPr>
    </w:lvl>
    <w:lvl w:ilvl="7">
      <w:start w:val="0"/>
      <w:numFmt w:val="bullet"/>
      <w:lvlText w:val="•"/>
      <w:lvlJc w:val="left"/>
      <w:pPr>
        <w:ind w:left="7872" w:hanging="898"/>
      </w:pPr>
      <w:rPr>
        <w:rFonts w:hint="default"/>
        <w:lang w:val="en-US" w:eastAsia="en-US" w:bidi="en-US"/>
      </w:rPr>
    </w:lvl>
    <w:lvl w:ilvl="8">
      <w:start w:val="0"/>
      <w:numFmt w:val="bullet"/>
      <w:lvlText w:val="•"/>
      <w:lvlJc w:val="left"/>
      <w:pPr>
        <w:ind w:left="8808" w:hanging="898"/>
      </w:pPr>
      <w:rPr>
        <w:rFonts w:hint="default"/>
        <w:lang w:val="en-US" w:eastAsia="en-US" w:bidi="en-US"/>
      </w:rPr>
    </w:lvl>
  </w:abstractNum>
  <w:abstractNum w:abstractNumId="3">
    <w:multiLevelType w:val="hybridMultilevel"/>
    <w:lvl w:ilvl="0">
      <w:start w:val="18"/>
      <w:numFmt w:val="decimal"/>
      <w:lvlText w:val="%1"/>
      <w:lvlJc w:val="left"/>
      <w:pPr>
        <w:ind w:left="1319" w:hanging="898"/>
        <w:jc w:val="left"/>
      </w:pPr>
      <w:rPr>
        <w:rFonts w:hint="default"/>
        <w:lang w:val="en-US" w:eastAsia="en-US" w:bidi="en-US"/>
      </w:rPr>
    </w:lvl>
    <w:lvl w:ilvl="1">
      <w:start w:val="4"/>
      <w:numFmt w:val="decimal"/>
      <w:lvlText w:val="%1.%2"/>
      <w:lvlJc w:val="left"/>
      <w:pPr>
        <w:ind w:left="1319" w:hanging="898"/>
        <w:jc w:val="left"/>
      </w:pPr>
      <w:rPr>
        <w:rFonts w:hint="default"/>
        <w:lang w:val="en-US" w:eastAsia="en-US" w:bidi="en-US"/>
      </w:rPr>
    </w:lvl>
    <w:lvl w:ilvl="2">
      <w:start w:val="13"/>
      <w:numFmt w:val="decimal"/>
      <w:lvlText w:val="%1.%2.%3"/>
      <w:lvlJc w:val="left"/>
      <w:pPr>
        <w:ind w:left="1319" w:hanging="898"/>
        <w:jc w:val="left"/>
      </w:pPr>
      <w:rPr>
        <w:rFonts w:hint="default" w:ascii="Calibri" w:hAnsi="Calibri" w:eastAsia="Calibri" w:cs="Calibri"/>
        <w:spacing w:val="-3"/>
        <w:w w:val="100"/>
        <w:sz w:val="22"/>
        <w:szCs w:val="22"/>
        <w:lang w:val="en-US" w:eastAsia="en-US" w:bidi="en-US"/>
      </w:rPr>
    </w:lvl>
    <w:lvl w:ilvl="3">
      <w:start w:val="0"/>
      <w:numFmt w:val="bullet"/>
      <w:lvlText w:val="•"/>
      <w:lvlJc w:val="left"/>
      <w:pPr>
        <w:ind w:left="4128" w:hanging="898"/>
      </w:pPr>
      <w:rPr>
        <w:rFonts w:hint="default"/>
        <w:lang w:val="en-US" w:eastAsia="en-US" w:bidi="en-US"/>
      </w:rPr>
    </w:lvl>
    <w:lvl w:ilvl="4">
      <w:start w:val="0"/>
      <w:numFmt w:val="bullet"/>
      <w:lvlText w:val="•"/>
      <w:lvlJc w:val="left"/>
      <w:pPr>
        <w:ind w:left="5064" w:hanging="898"/>
      </w:pPr>
      <w:rPr>
        <w:rFonts w:hint="default"/>
        <w:lang w:val="en-US" w:eastAsia="en-US" w:bidi="en-US"/>
      </w:rPr>
    </w:lvl>
    <w:lvl w:ilvl="5">
      <w:start w:val="0"/>
      <w:numFmt w:val="bullet"/>
      <w:lvlText w:val="•"/>
      <w:lvlJc w:val="left"/>
      <w:pPr>
        <w:ind w:left="6000" w:hanging="898"/>
      </w:pPr>
      <w:rPr>
        <w:rFonts w:hint="default"/>
        <w:lang w:val="en-US" w:eastAsia="en-US" w:bidi="en-US"/>
      </w:rPr>
    </w:lvl>
    <w:lvl w:ilvl="6">
      <w:start w:val="0"/>
      <w:numFmt w:val="bullet"/>
      <w:lvlText w:val="•"/>
      <w:lvlJc w:val="left"/>
      <w:pPr>
        <w:ind w:left="6936" w:hanging="898"/>
      </w:pPr>
      <w:rPr>
        <w:rFonts w:hint="default"/>
        <w:lang w:val="en-US" w:eastAsia="en-US" w:bidi="en-US"/>
      </w:rPr>
    </w:lvl>
    <w:lvl w:ilvl="7">
      <w:start w:val="0"/>
      <w:numFmt w:val="bullet"/>
      <w:lvlText w:val="•"/>
      <w:lvlJc w:val="left"/>
      <w:pPr>
        <w:ind w:left="7872" w:hanging="898"/>
      </w:pPr>
      <w:rPr>
        <w:rFonts w:hint="default"/>
        <w:lang w:val="en-US" w:eastAsia="en-US" w:bidi="en-US"/>
      </w:rPr>
    </w:lvl>
    <w:lvl w:ilvl="8">
      <w:start w:val="0"/>
      <w:numFmt w:val="bullet"/>
      <w:lvlText w:val="•"/>
      <w:lvlJc w:val="left"/>
      <w:pPr>
        <w:ind w:left="8808" w:hanging="898"/>
      </w:pPr>
      <w:rPr>
        <w:rFonts w:hint="default"/>
        <w:lang w:val="en-US" w:eastAsia="en-US" w:bidi="en-US"/>
      </w:rPr>
    </w:lvl>
  </w:abstractNum>
  <w:abstractNum w:abstractNumId="2">
    <w:multiLevelType w:val="hybridMultilevel"/>
    <w:lvl w:ilvl="0">
      <w:start w:val="18"/>
      <w:numFmt w:val="decimal"/>
      <w:lvlText w:val="%1"/>
      <w:lvlJc w:val="left"/>
      <w:pPr>
        <w:ind w:left="1761" w:hanging="1138"/>
        <w:jc w:val="left"/>
      </w:pPr>
      <w:rPr>
        <w:rFonts w:hint="default"/>
        <w:lang w:val="en-US" w:eastAsia="en-US" w:bidi="en-US"/>
      </w:rPr>
    </w:lvl>
    <w:lvl w:ilvl="1">
      <w:start w:val="3"/>
      <w:numFmt w:val="decimal"/>
      <w:lvlText w:val="%1.%2"/>
      <w:lvlJc w:val="left"/>
      <w:pPr>
        <w:ind w:left="1761" w:hanging="1138"/>
        <w:jc w:val="left"/>
      </w:pPr>
      <w:rPr>
        <w:rFonts w:hint="default"/>
        <w:lang w:val="en-US" w:eastAsia="en-US" w:bidi="en-US"/>
      </w:rPr>
    </w:lvl>
    <w:lvl w:ilvl="2">
      <w:start w:val="1"/>
      <w:numFmt w:val="decimal"/>
      <w:lvlText w:val="%1.%2.%3"/>
      <w:lvlJc w:val="left"/>
      <w:pPr>
        <w:ind w:left="1761" w:hanging="1138"/>
        <w:jc w:val="left"/>
      </w:pPr>
      <w:rPr>
        <w:rFonts w:hint="default"/>
        <w:lang w:val="en-US" w:eastAsia="en-US" w:bidi="en-US"/>
      </w:rPr>
    </w:lvl>
    <w:lvl w:ilvl="3">
      <w:start w:val="74"/>
      <w:numFmt w:val="decimal"/>
      <w:lvlText w:val="%1.%2.%3.%4"/>
      <w:lvlJc w:val="left"/>
      <w:pPr>
        <w:ind w:left="1761" w:hanging="1138"/>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328" w:hanging="1138"/>
      </w:pPr>
      <w:rPr>
        <w:rFonts w:hint="default"/>
        <w:lang w:val="en-US" w:eastAsia="en-US" w:bidi="en-US"/>
      </w:rPr>
    </w:lvl>
    <w:lvl w:ilvl="5">
      <w:start w:val="0"/>
      <w:numFmt w:val="bullet"/>
      <w:lvlText w:val="•"/>
      <w:lvlJc w:val="left"/>
      <w:pPr>
        <w:ind w:left="6220" w:hanging="1138"/>
      </w:pPr>
      <w:rPr>
        <w:rFonts w:hint="default"/>
        <w:lang w:val="en-US" w:eastAsia="en-US" w:bidi="en-US"/>
      </w:rPr>
    </w:lvl>
    <w:lvl w:ilvl="6">
      <w:start w:val="0"/>
      <w:numFmt w:val="bullet"/>
      <w:lvlText w:val="•"/>
      <w:lvlJc w:val="left"/>
      <w:pPr>
        <w:ind w:left="7112" w:hanging="1138"/>
      </w:pPr>
      <w:rPr>
        <w:rFonts w:hint="default"/>
        <w:lang w:val="en-US" w:eastAsia="en-US" w:bidi="en-US"/>
      </w:rPr>
    </w:lvl>
    <w:lvl w:ilvl="7">
      <w:start w:val="0"/>
      <w:numFmt w:val="bullet"/>
      <w:lvlText w:val="•"/>
      <w:lvlJc w:val="left"/>
      <w:pPr>
        <w:ind w:left="8004" w:hanging="1138"/>
      </w:pPr>
      <w:rPr>
        <w:rFonts w:hint="default"/>
        <w:lang w:val="en-US" w:eastAsia="en-US" w:bidi="en-US"/>
      </w:rPr>
    </w:lvl>
    <w:lvl w:ilvl="8">
      <w:start w:val="0"/>
      <w:numFmt w:val="bullet"/>
      <w:lvlText w:val="•"/>
      <w:lvlJc w:val="left"/>
      <w:pPr>
        <w:ind w:left="8896" w:hanging="1138"/>
      </w:pPr>
      <w:rPr>
        <w:rFonts w:hint="default"/>
        <w:lang w:val="en-US" w:eastAsia="en-US" w:bidi="en-US"/>
      </w:rPr>
    </w:lvl>
  </w:abstractNum>
  <w:abstractNum w:abstractNumId="1">
    <w:multiLevelType w:val="hybridMultilevel"/>
    <w:lvl w:ilvl="0">
      <w:start w:val="18"/>
      <w:numFmt w:val="decimal"/>
      <w:lvlText w:val="%1"/>
      <w:lvlJc w:val="left"/>
      <w:pPr>
        <w:ind w:left="1761" w:hanging="1138"/>
        <w:jc w:val="left"/>
      </w:pPr>
      <w:rPr>
        <w:rFonts w:hint="default"/>
        <w:lang w:val="en-US" w:eastAsia="en-US" w:bidi="en-US"/>
      </w:rPr>
    </w:lvl>
    <w:lvl w:ilvl="1">
      <w:start w:val="3"/>
      <w:numFmt w:val="decimal"/>
      <w:lvlText w:val="%1.%2"/>
      <w:lvlJc w:val="left"/>
      <w:pPr>
        <w:ind w:left="1761" w:hanging="1138"/>
        <w:jc w:val="left"/>
      </w:pPr>
      <w:rPr>
        <w:rFonts w:hint="default"/>
        <w:lang w:val="en-US" w:eastAsia="en-US" w:bidi="en-US"/>
      </w:rPr>
    </w:lvl>
    <w:lvl w:ilvl="2">
      <w:start w:val="1"/>
      <w:numFmt w:val="decimal"/>
      <w:lvlText w:val="%1.%2.%3"/>
      <w:lvlJc w:val="left"/>
      <w:pPr>
        <w:ind w:left="1761" w:hanging="1138"/>
        <w:jc w:val="left"/>
      </w:pPr>
      <w:rPr>
        <w:rFonts w:hint="default"/>
        <w:lang w:val="en-US" w:eastAsia="en-US" w:bidi="en-US"/>
      </w:rPr>
    </w:lvl>
    <w:lvl w:ilvl="3">
      <w:start w:val="5"/>
      <w:numFmt w:val="decimal"/>
      <w:lvlText w:val="%1.%2.%3.%4"/>
      <w:lvlJc w:val="left"/>
      <w:pPr>
        <w:ind w:left="1761" w:hanging="1138"/>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5328" w:hanging="1138"/>
      </w:pPr>
      <w:rPr>
        <w:rFonts w:hint="default"/>
        <w:lang w:val="en-US" w:eastAsia="en-US" w:bidi="en-US"/>
      </w:rPr>
    </w:lvl>
    <w:lvl w:ilvl="5">
      <w:start w:val="0"/>
      <w:numFmt w:val="bullet"/>
      <w:lvlText w:val="•"/>
      <w:lvlJc w:val="left"/>
      <w:pPr>
        <w:ind w:left="6220" w:hanging="1138"/>
      </w:pPr>
      <w:rPr>
        <w:rFonts w:hint="default"/>
        <w:lang w:val="en-US" w:eastAsia="en-US" w:bidi="en-US"/>
      </w:rPr>
    </w:lvl>
    <w:lvl w:ilvl="6">
      <w:start w:val="0"/>
      <w:numFmt w:val="bullet"/>
      <w:lvlText w:val="•"/>
      <w:lvlJc w:val="left"/>
      <w:pPr>
        <w:ind w:left="7112" w:hanging="1138"/>
      </w:pPr>
      <w:rPr>
        <w:rFonts w:hint="default"/>
        <w:lang w:val="en-US" w:eastAsia="en-US" w:bidi="en-US"/>
      </w:rPr>
    </w:lvl>
    <w:lvl w:ilvl="7">
      <w:start w:val="0"/>
      <w:numFmt w:val="bullet"/>
      <w:lvlText w:val="•"/>
      <w:lvlJc w:val="left"/>
      <w:pPr>
        <w:ind w:left="8004" w:hanging="1138"/>
      </w:pPr>
      <w:rPr>
        <w:rFonts w:hint="default"/>
        <w:lang w:val="en-US" w:eastAsia="en-US" w:bidi="en-US"/>
      </w:rPr>
    </w:lvl>
    <w:lvl w:ilvl="8">
      <w:start w:val="0"/>
      <w:numFmt w:val="bullet"/>
      <w:lvlText w:val="•"/>
      <w:lvlJc w:val="left"/>
      <w:pPr>
        <w:ind w:left="8896" w:hanging="1138"/>
      </w:pPr>
      <w:rPr>
        <w:rFonts w:hint="default"/>
        <w:lang w:val="en-US" w:eastAsia="en-US" w:bidi="en-US"/>
      </w:rPr>
    </w:lvl>
  </w:abstractNum>
  <w:abstractNum w:abstractNumId="0">
    <w:multiLevelType w:val="hybridMultilevel"/>
    <w:lvl w:ilvl="0">
      <w:start w:val="18"/>
      <w:numFmt w:val="decimal"/>
      <w:lvlText w:val="%1."/>
      <w:lvlJc w:val="left"/>
      <w:pPr>
        <w:ind w:left="1156" w:hanging="937"/>
        <w:jc w:val="left"/>
      </w:pPr>
      <w:rPr>
        <w:rFonts w:hint="default" w:ascii="Cambria" w:hAnsi="Cambria" w:eastAsia="Cambria" w:cs="Cambria"/>
        <w:b/>
        <w:bCs/>
        <w:color w:val="365F91"/>
        <w:spacing w:val="-2"/>
        <w:w w:val="100"/>
        <w:sz w:val="48"/>
        <w:szCs w:val="48"/>
        <w:lang w:val="en-US" w:eastAsia="en-US" w:bidi="en-US"/>
      </w:rPr>
    </w:lvl>
    <w:lvl w:ilvl="1">
      <w:start w:val="1"/>
      <w:numFmt w:val="decimal"/>
      <w:lvlText w:val="%1.%2"/>
      <w:lvlJc w:val="left"/>
      <w:pPr>
        <w:ind w:left="1156" w:hanging="937"/>
        <w:jc w:val="left"/>
      </w:pPr>
      <w:rPr>
        <w:rFonts w:hint="default"/>
        <w:b/>
        <w:bCs/>
        <w:spacing w:val="-2"/>
        <w:w w:val="100"/>
        <w:lang w:val="en-US" w:eastAsia="en-US" w:bidi="en-US"/>
      </w:rPr>
    </w:lvl>
    <w:lvl w:ilvl="2">
      <w:start w:val="1"/>
      <w:numFmt w:val="decimal"/>
      <w:lvlText w:val="%1.%2.%3"/>
      <w:lvlJc w:val="left"/>
      <w:pPr>
        <w:ind w:left="1319" w:hanging="898"/>
        <w:jc w:val="left"/>
      </w:pPr>
      <w:rPr>
        <w:rFonts w:hint="default" w:ascii="Calibri" w:hAnsi="Calibri" w:eastAsia="Calibri" w:cs="Calibri"/>
        <w:spacing w:val="-3"/>
        <w:w w:val="100"/>
        <w:sz w:val="22"/>
        <w:szCs w:val="22"/>
        <w:lang w:val="en-US" w:eastAsia="en-US" w:bidi="en-US"/>
      </w:rPr>
    </w:lvl>
    <w:lvl w:ilvl="3">
      <w:start w:val="1"/>
      <w:numFmt w:val="decimal"/>
      <w:lvlText w:val="%1.%2.%3.%4"/>
      <w:lvlJc w:val="left"/>
      <w:pPr>
        <w:ind w:left="1761" w:hanging="1138"/>
        <w:jc w:val="left"/>
      </w:pPr>
      <w:rPr>
        <w:rFonts w:hint="default" w:ascii="Calibri" w:hAnsi="Calibri" w:eastAsia="Calibri" w:cs="Calibri"/>
        <w:spacing w:val="-3"/>
        <w:w w:val="100"/>
        <w:sz w:val="22"/>
        <w:szCs w:val="22"/>
        <w:lang w:val="en-US" w:eastAsia="en-US" w:bidi="en-US"/>
      </w:rPr>
    </w:lvl>
    <w:lvl w:ilvl="4">
      <w:start w:val="0"/>
      <w:numFmt w:val="bullet"/>
      <w:lvlText w:val="•"/>
      <w:lvlJc w:val="left"/>
      <w:pPr>
        <w:ind w:left="3990" w:hanging="1138"/>
      </w:pPr>
      <w:rPr>
        <w:rFonts w:hint="default"/>
        <w:lang w:val="en-US" w:eastAsia="en-US" w:bidi="en-US"/>
      </w:rPr>
    </w:lvl>
    <w:lvl w:ilvl="5">
      <w:start w:val="0"/>
      <w:numFmt w:val="bullet"/>
      <w:lvlText w:val="•"/>
      <w:lvlJc w:val="left"/>
      <w:pPr>
        <w:ind w:left="5105" w:hanging="1138"/>
      </w:pPr>
      <w:rPr>
        <w:rFonts w:hint="default"/>
        <w:lang w:val="en-US" w:eastAsia="en-US" w:bidi="en-US"/>
      </w:rPr>
    </w:lvl>
    <w:lvl w:ilvl="6">
      <w:start w:val="0"/>
      <w:numFmt w:val="bullet"/>
      <w:lvlText w:val="•"/>
      <w:lvlJc w:val="left"/>
      <w:pPr>
        <w:ind w:left="6220" w:hanging="1138"/>
      </w:pPr>
      <w:rPr>
        <w:rFonts w:hint="default"/>
        <w:lang w:val="en-US" w:eastAsia="en-US" w:bidi="en-US"/>
      </w:rPr>
    </w:lvl>
    <w:lvl w:ilvl="7">
      <w:start w:val="0"/>
      <w:numFmt w:val="bullet"/>
      <w:lvlText w:val="•"/>
      <w:lvlJc w:val="left"/>
      <w:pPr>
        <w:ind w:left="7335" w:hanging="1138"/>
      </w:pPr>
      <w:rPr>
        <w:rFonts w:hint="default"/>
        <w:lang w:val="en-US" w:eastAsia="en-US" w:bidi="en-US"/>
      </w:rPr>
    </w:lvl>
    <w:lvl w:ilvl="8">
      <w:start w:val="0"/>
      <w:numFmt w:val="bullet"/>
      <w:lvlText w:val="•"/>
      <w:lvlJc w:val="left"/>
      <w:pPr>
        <w:ind w:left="8450" w:hanging="1138"/>
      </w:pPr>
      <w:rPr>
        <w:rFonts w:hint="default"/>
        <w:lang w:val="en-US" w:eastAsia="en-US" w:bidi="en-US"/>
      </w:rPr>
    </w:lvl>
  </w:abstractNum>
  <w:num w:numId="105">
    <w:abstractNumId w:val="104"/>
  </w:num>
  <w:num w:numId="128">
    <w:abstractNumId w:val="127"/>
  </w:num>
  <w:num w:numId="26">
    <w:abstractNumId w:val="25"/>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en-US"/>
    </w:rPr>
  </w:style>
  <w:style w:styleId="TOC1" w:type="paragraph">
    <w:name w:val="TOC 1"/>
    <w:basedOn w:val="Normal"/>
    <w:uiPriority w:val="1"/>
    <w:qFormat/>
    <w:pPr>
      <w:spacing w:before="120"/>
      <w:ind w:left="1026" w:right="384" w:hanging="1027"/>
      <w:jc w:val="right"/>
    </w:pPr>
    <w:rPr>
      <w:rFonts w:ascii="Calibri" w:hAnsi="Calibri" w:eastAsia="Calibri" w:cs="Calibri"/>
      <w:b/>
      <w:bCs/>
      <w:sz w:val="22"/>
      <w:szCs w:val="22"/>
      <w:lang w:val="en-US" w:eastAsia="en-US" w:bidi="en-US"/>
    </w:rPr>
  </w:style>
  <w:style w:styleId="TOC2" w:type="paragraph">
    <w:name w:val="TOC 2"/>
    <w:basedOn w:val="Normal"/>
    <w:uiPriority w:val="1"/>
    <w:qFormat/>
    <w:pPr>
      <w:ind w:left="1319" w:right="384" w:hanging="1320"/>
      <w:jc w:val="right"/>
    </w:pPr>
    <w:rPr>
      <w:rFonts w:ascii="Calibri" w:hAnsi="Calibri" w:eastAsia="Calibri" w:cs="Calibri"/>
      <w:sz w:val="22"/>
      <w:szCs w:val="22"/>
      <w:lang w:val="en-US" w:eastAsia="en-US" w:bidi="en-US"/>
    </w:rPr>
  </w:style>
  <w:style w:styleId="TOC3" w:type="paragraph">
    <w:name w:val="TOC 3"/>
    <w:basedOn w:val="Normal"/>
    <w:uiPriority w:val="1"/>
    <w:qFormat/>
    <w:pPr>
      <w:ind w:left="1540" w:hanging="1120"/>
    </w:pPr>
    <w:rPr>
      <w:rFonts w:ascii="Calibri" w:hAnsi="Calibri" w:eastAsia="Calibri" w:cs="Calibri"/>
      <w:sz w:val="22"/>
      <w:szCs w:val="22"/>
      <w:lang w:val="en-US" w:eastAsia="en-US" w:bidi="en-US"/>
    </w:rPr>
  </w:style>
  <w:style w:styleId="TOC4" w:type="paragraph">
    <w:name w:val="TOC 4"/>
    <w:basedOn w:val="Normal"/>
    <w:uiPriority w:val="1"/>
    <w:qFormat/>
    <w:pPr>
      <w:ind w:left="623"/>
    </w:pPr>
    <w:rPr>
      <w:rFonts w:ascii="Calibri" w:hAnsi="Calibri" w:eastAsia="Calibri" w:cs="Calibri"/>
      <w:sz w:val="22"/>
      <w:szCs w:val="22"/>
      <w:lang w:val="en-US" w:eastAsia="en-US" w:bidi="en-US"/>
    </w:rPr>
  </w:style>
  <w:style w:styleId="BodyText" w:type="paragraph">
    <w:name w:val="Body Text"/>
    <w:basedOn w:val="Normal"/>
    <w:uiPriority w:val="1"/>
    <w:qFormat/>
    <w:pPr/>
    <w:rPr>
      <w:rFonts w:ascii="Calibri" w:hAnsi="Calibri" w:eastAsia="Calibri" w:cs="Calibri"/>
      <w:sz w:val="22"/>
      <w:szCs w:val="22"/>
      <w:lang w:val="en-US" w:eastAsia="en-US" w:bidi="en-US"/>
    </w:rPr>
  </w:style>
  <w:style w:styleId="Heading1" w:type="paragraph">
    <w:name w:val="Heading 1"/>
    <w:basedOn w:val="Normal"/>
    <w:uiPriority w:val="1"/>
    <w:qFormat/>
    <w:pPr>
      <w:ind w:left="1156" w:hanging="937"/>
      <w:outlineLvl w:val="1"/>
    </w:pPr>
    <w:rPr>
      <w:rFonts w:ascii="Cambria" w:hAnsi="Cambria" w:eastAsia="Cambria" w:cs="Cambria"/>
      <w:b/>
      <w:bCs/>
      <w:sz w:val="28"/>
      <w:szCs w:val="28"/>
      <w:lang w:val="en-US" w:eastAsia="en-US" w:bidi="en-US"/>
    </w:rPr>
  </w:style>
  <w:style w:styleId="Heading2" w:type="paragraph">
    <w:name w:val="Heading 2"/>
    <w:basedOn w:val="Normal"/>
    <w:uiPriority w:val="1"/>
    <w:qFormat/>
    <w:pPr>
      <w:ind w:left="1444" w:hanging="1225"/>
      <w:outlineLvl w:val="2"/>
    </w:pPr>
    <w:rPr>
      <w:rFonts w:ascii="Cambria" w:hAnsi="Cambria" w:eastAsia="Cambria" w:cs="Cambria"/>
      <w:b/>
      <w:bCs/>
      <w:sz w:val="26"/>
      <w:szCs w:val="26"/>
      <w:lang w:val="en-US" w:eastAsia="en-US" w:bidi="en-US"/>
    </w:rPr>
  </w:style>
  <w:style w:styleId="Heading3" w:type="paragraph">
    <w:name w:val="Heading 3"/>
    <w:basedOn w:val="Normal"/>
    <w:uiPriority w:val="1"/>
    <w:qFormat/>
    <w:pPr>
      <w:ind w:left="1732" w:hanging="1513"/>
      <w:outlineLvl w:val="3"/>
    </w:pPr>
    <w:rPr>
      <w:rFonts w:ascii="Cambria" w:hAnsi="Cambria" w:eastAsia="Cambria" w:cs="Cambria"/>
      <w:sz w:val="24"/>
      <w:szCs w:val="24"/>
      <w:lang w:val="en-US" w:eastAsia="en-US" w:bidi="en-US"/>
    </w:rPr>
  </w:style>
  <w:style w:styleId="Heading4" w:type="paragraph">
    <w:name w:val="Heading 4"/>
    <w:basedOn w:val="Normal"/>
    <w:uiPriority w:val="1"/>
    <w:qFormat/>
    <w:pPr>
      <w:ind w:left="220"/>
      <w:outlineLvl w:val="4"/>
    </w:pPr>
    <w:rPr>
      <w:rFonts w:ascii="Calibri" w:hAnsi="Calibri" w:eastAsia="Calibri" w:cs="Calibri"/>
      <w:b/>
      <w:bCs/>
      <w:sz w:val="22"/>
      <w:szCs w:val="22"/>
      <w:lang w:val="en-US" w:eastAsia="en-US" w:bidi="en-US"/>
    </w:rPr>
  </w:style>
  <w:style w:styleId="ListParagraph" w:type="paragraph">
    <w:name w:val="List Paragraph"/>
    <w:basedOn w:val="Normal"/>
    <w:uiPriority w:val="1"/>
    <w:qFormat/>
    <w:pPr>
      <w:ind w:left="940" w:hanging="361"/>
    </w:pPr>
    <w:rPr>
      <w:rFonts w:ascii="Calibri" w:hAnsi="Calibri" w:eastAsia="Calibri" w:cs="Calibri"/>
      <w:lang w:val="en-US" w:eastAsia="en-US" w:bidi="en-US"/>
    </w:rPr>
  </w:style>
  <w:style w:styleId="TableParagraph" w:type="paragraph">
    <w:name w:val="Table Paragraph"/>
    <w:basedOn w:val="Normal"/>
    <w:uiPriority w:val="1"/>
    <w:qFormat/>
    <w:pPr>
      <w:spacing w:before="40"/>
      <w:ind w:left="115"/>
    </w:pPr>
    <w:rPr>
      <w:rFonts w:ascii="Calibri" w:hAnsi="Calibri" w:eastAsia="Calibri" w:cs="Calibri"/>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hyperlink" Target="http://www.w3.org/XML/1998/namespace" TargetMode="External"/><Relationship Id="rId14" Type="http://schemas.openxmlformats.org/officeDocument/2006/relationships/hyperlink" Target="http://purl.oclc.org/ooxml/spreadsheetml/versionTwoExtension%27" TargetMode="External"/><Relationship Id="rId15" Type="http://schemas.openxmlformats.org/officeDocument/2006/relationships/hyperlink" Target="http://www.extension.com/versionOneExtension%27" TargetMode="External"/><Relationship Id="rId16" Type="http://schemas.openxmlformats.org/officeDocument/2006/relationships/footer" Target="footer7.xml"/><Relationship Id="rId17" Type="http://schemas.openxmlformats.org/officeDocument/2006/relationships/footer" Target="footer8.xml"/><Relationship Id="rId18" Type="http://schemas.openxmlformats.org/officeDocument/2006/relationships/hyperlink" Target="http://purl.oclc.or/" TargetMode="External"/><Relationship Id="rId19" Type="http://schemas.openxmlformats.org/officeDocument/2006/relationships/footer" Target="footer9.xml"/><Relationship Id="rId20" Type="http://schemas.openxmlformats.org/officeDocument/2006/relationships/footer" Target="footer10.xml"/><Relationship Id="rId21" Type="http://schemas.openxmlformats.org/officeDocument/2006/relationships/hyperlink" Target="http://www.iana.org/assignments/character-sets" TargetMode="External"/><Relationship Id="rId22" Type="http://schemas.openxmlformats.org/officeDocument/2006/relationships/hyperlink" Target="http://purl.oclc.org/ooxml/spreadsheetml/main" TargetMode="External"/><Relationship Id="rId23" Type="http://schemas.openxmlformats.org/officeDocument/2006/relationships/hyperlink" Target="http://purl.oclc.org/ooxml/officeDocument/relationships" TargetMode="External"/><Relationship Id="rId24" Type="http://schemas.openxmlformats.org/officeDocument/2006/relationships/footer" Target="footer11.xml"/><Relationship Id="rId25" Type="http://schemas.openxmlformats.org/officeDocument/2006/relationships/footer" Target="footer12.xml"/><Relationship Id="rId26" Type="http://schemas.openxmlformats.org/officeDocument/2006/relationships/footer" Target="footer13.xml"/><Relationship Id="rId27" Type="http://schemas.openxmlformats.org/officeDocument/2006/relationships/footer" Target="footer14.xml"/><Relationship Id="rId28" Type="http://schemas.openxmlformats.org/officeDocument/2006/relationships/footer" Target="footer15.xml"/><Relationship Id="rId29" Type="http://schemas.openxmlformats.org/officeDocument/2006/relationships/footer" Target="footer16.xml"/><Relationship Id="rId30" Type="http://schemas.openxmlformats.org/officeDocument/2006/relationships/hyperlink" Target="http://purl.oclc.org/ooxml/officeDocument/relationships/control" TargetMode="External"/><Relationship Id="rId31" Type="http://schemas.openxmlformats.org/officeDocument/2006/relationships/footer" Target="footer17.xml"/><Relationship Id="rId32" Type="http://schemas.openxmlformats.org/officeDocument/2006/relationships/footer" Target="footer18.xml"/><Relationship Id="rId33" Type="http://schemas.openxmlformats.org/officeDocument/2006/relationships/footer" Target="footer19.xml"/><Relationship Id="rId34" Type="http://schemas.openxmlformats.org/officeDocument/2006/relationships/footer" Target="footer20.xml"/><Relationship Id="rId35" Type="http://schemas.openxmlformats.org/officeDocument/2006/relationships/footer" Target="footer21.xml"/><Relationship Id="rId36" Type="http://schemas.openxmlformats.org/officeDocument/2006/relationships/footer" Target="footer22.xml"/><Relationship Id="rId37" Type="http://schemas.openxmlformats.org/officeDocument/2006/relationships/footer" Target="footer23.xml"/><Relationship Id="rId38" Type="http://schemas.openxmlformats.org/officeDocument/2006/relationships/footer" Target="footer24.xml"/><Relationship Id="rId39" Type="http://schemas.openxmlformats.org/officeDocument/2006/relationships/hyperlink" Target="http://purl.oclc.org/ooxml/officeDocument/relationships/oleObject" TargetMode="External"/><Relationship Id="rId40" Type="http://schemas.openxmlformats.org/officeDocument/2006/relationships/footer" Target="footer25.xml"/><Relationship Id="rId41" Type="http://schemas.openxmlformats.org/officeDocument/2006/relationships/footer" Target="footer26.xml"/><Relationship Id="rId42" Type="http://schemas.openxmlformats.org/officeDocument/2006/relationships/footer" Target="footer27.xml"/><Relationship Id="rId43" Type="http://schemas.openxmlformats.org/officeDocument/2006/relationships/footer" Target="footer28.xml"/><Relationship Id="rId44" Type="http://schemas.openxmlformats.org/officeDocument/2006/relationships/image" Target="media/image1.png"/><Relationship Id="rId45" Type="http://schemas.openxmlformats.org/officeDocument/2006/relationships/footer" Target="footer29.xml"/><Relationship Id="rId46" Type="http://schemas.openxmlformats.org/officeDocument/2006/relationships/footer" Target="footer30.xml"/><Relationship Id="rId47" Type="http://schemas.openxmlformats.org/officeDocument/2006/relationships/image" Target="media/image2.png"/><Relationship Id="rId48" Type="http://schemas.openxmlformats.org/officeDocument/2006/relationships/image" Target="media/image3.png"/><Relationship Id="rId49" Type="http://schemas.openxmlformats.org/officeDocument/2006/relationships/image" Target="media/image4.png"/><Relationship Id="rId50" Type="http://schemas.openxmlformats.org/officeDocument/2006/relationships/footer" Target="footer31.xml"/><Relationship Id="rId51" Type="http://schemas.openxmlformats.org/officeDocument/2006/relationships/footer" Target="footer32.xml"/><Relationship Id="rId52" Type="http://schemas.openxmlformats.org/officeDocument/2006/relationships/hyperlink" Target="mailto:user1@iso.org" TargetMode="External"/><Relationship Id="rId53" Type="http://schemas.openxmlformats.org/officeDocument/2006/relationships/hyperlink" Target="mailto:user2@iso.org" TargetMode="External"/><Relationship Id="rId54" Type="http://schemas.openxmlformats.org/officeDocument/2006/relationships/footer" Target="footer33.xml"/><Relationship Id="rId55" Type="http://schemas.openxmlformats.org/officeDocument/2006/relationships/footer" Target="footer34.xml"/><Relationship Id="rId56" Type="http://schemas.openxmlformats.org/officeDocument/2006/relationships/footer" Target="footer35.xml"/><Relationship Id="rId57" Type="http://schemas.openxmlformats.org/officeDocument/2006/relationships/footer" Target="footer36.xml"/><Relationship Id="rId58" Type="http://schemas.openxmlformats.org/officeDocument/2006/relationships/footer" Target="footer37.xml"/><Relationship Id="rId59" Type="http://schemas.openxmlformats.org/officeDocument/2006/relationships/footer" Target="footer38.xml"/><Relationship Id="rId60" Type="http://schemas.openxmlformats.org/officeDocument/2006/relationships/footer" Target="footer39.xml"/><Relationship Id="rId61" Type="http://schemas.openxmlformats.org/officeDocument/2006/relationships/footer" Target="footer40.xml"/><Relationship Id="rId62" Type="http://schemas.openxmlformats.org/officeDocument/2006/relationships/footer" Target="footer41.xml"/><Relationship Id="rId63" Type="http://schemas.openxmlformats.org/officeDocument/2006/relationships/footer" Target="footer42.xml"/><Relationship Id="rId64" Type="http://schemas.openxmlformats.org/officeDocument/2006/relationships/image" Target="media/image5.png"/><Relationship Id="rId65" Type="http://schemas.openxmlformats.org/officeDocument/2006/relationships/footer" Target="footer43.xml"/><Relationship Id="rId66" Type="http://schemas.openxmlformats.org/officeDocument/2006/relationships/footer" Target="footer44.xml"/><Relationship Id="rId67" Type="http://schemas.openxmlformats.org/officeDocument/2006/relationships/image" Target="media/image6.png"/><Relationship Id="rId68" Type="http://schemas.openxmlformats.org/officeDocument/2006/relationships/footer" Target="footer45.xml"/><Relationship Id="rId69" Type="http://schemas.openxmlformats.org/officeDocument/2006/relationships/footer" Target="footer46.xml"/><Relationship Id="rId70" Type="http://schemas.openxmlformats.org/officeDocument/2006/relationships/image" Target="media/image7.png"/><Relationship Id="rId71" Type="http://schemas.openxmlformats.org/officeDocument/2006/relationships/image" Target="media/image8.png"/><Relationship Id="rId72" Type="http://schemas.openxmlformats.org/officeDocument/2006/relationships/image" Target="media/image9.png"/><Relationship Id="rId73" Type="http://schemas.openxmlformats.org/officeDocument/2006/relationships/image" Target="media/image10.png"/><Relationship Id="rId74" Type="http://schemas.openxmlformats.org/officeDocument/2006/relationships/image" Target="media/image11.png"/><Relationship Id="rId75" Type="http://schemas.openxmlformats.org/officeDocument/2006/relationships/image" Target="media/image12.png"/><Relationship Id="rId76" Type="http://schemas.openxmlformats.org/officeDocument/2006/relationships/image" Target="media/image13.png"/><Relationship Id="rId77" Type="http://schemas.openxmlformats.org/officeDocument/2006/relationships/footer" Target="footer47.xml"/><Relationship Id="rId78" Type="http://schemas.openxmlformats.org/officeDocument/2006/relationships/footer" Target="footer48.xml"/><Relationship Id="rId79" Type="http://schemas.openxmlformats.org/officeDocument/2006/relationships/image" Target="media/image14.png"/><Relationship Id="rId80" Type="http://schemas.openxmlformats.org/officeDocument/2006/relationships/image" Target="media/image15.png"/><Relationship Id="rId81" Type="http://schemas.openxmlformats.org/officeDocument/2006/relationships/image" Target="media/image16.png"/><Relationship Id="rId82" Type="http://schemas.openxmlformats.org/officeDocument/2006/relationships/image" Target="media/image17.png"/><Relationship Id="rId83" Type="http://schemas.openxmlformats.org/officeDocument/2006/relationships/footer" Target="footer49.xml"/><Relationship Id="rId84" Type="http://schemas.openxmlformats.org/officeDocument/2006/relationships/footer" Target="footer50.xml"/><Relationship Id="rId85" Type="http://schemas.openxmlformats.org/officeDocument/2006/relationships/image" Target="media/image18.png"/><Relationship Id="rId86" Type="http://schemas.openxmlformats.org/officeDocument/2006/relationships/image" Target="media/image19.png"/><Relationship Id="rId87" Type="http://schemas.openxmlformats.org/officeDocument/2006/relationships/image" Target="media/image20.png"/><Relationship Id="rId88" Type="http://schemas.openxmlformats.org/officeDocument/2006/relationships/image" Target="media/image21.png"/><Relationship Id="rId89" Type="http://schemas.openxmlformats.org/officeDocument/2006/relationships/footer" Target="footer51.xml"/><Relationship Id="rId90" Type="http://schemas.openxmlformats.org/officeDocument/2006/relationships/footer" Target="footer52.xml"/><Relationship Id="rId91" Type="http://schemas.openxmlformats.org/officeDocument/2006/relationships/image" Target="media/image22.png"/><Relationship Id="rId92" Type="http://schemas.openxmlformats.org/officeDocument/2006/relationships/image" Target="media/image23.png"/><Relationship Id="rId93" Type="http://schemas.openxmlformats.org/officeDocument/2006/relationships/footer" Target="footer53.xml"/><Relationship Id="rId94" Type="http://schemas.openxmlformats.org/officeDocument/2006/relationships/footer" Target="footer54.xml"/><Relationship Id="rId95" Type="http://schemas.openxmlformats.org/officeDocument/2006/relationships/image" Target="media/image24.png"/><Relationship Id="rId96" Type="http://schemas.openxmlformats.org/officeDocument/2006/relationships/footer" Target="footer55.xml"/><Relationship Id="rId97" Type="http://schemas.openxmlformats.org/officeDocument/2006/relationships/footer" Target="footer56.xml"/><Relationship Id="rId98" Type="http://schemas.openxmlformats.org/officeDocument/2006/relationships/footer" Target="footer57.xml"/><Relationship Id="rId99" Type="http://schemas.openxmlformats.org/officeDocument/2006/relationships/footer" Target="footer58.xml"/><Relationship Id="rId100" Type="http://schemas.openxmlformats.org/officeDocument/2006/relationships/image" Target="media/image25.png"/><Relationship Id="rId101" Type="http://schemas.openxmlformats.org/officeDocument/2006/relationships/image" Target="media/image26.png"/><Relationship Id="rId102" Type="http://schemas.openxmlformats.org/officeDocument/2006/relationships/image" Target="media/image27.png"/><Relationship Id="rId103" Type="http://schemas.openxmlformats.org/officeDocument/2006/relationships/image" Target="media/image28.png"/><Relationship Id="rId104" Type="http://schemas.openxmlformats.org/officeDocument/2006/relationships/image" Target="media/image29.png"/><Relationship Id="rId105" Type="http://schemas.openxmlformats.org/officeDocument/2006/relationships/footer" Target="footer59.xml"/><Relationship Id="rId106" Type="http://schemas.openxmlformats.org/officeDocument/2006/relationships/footer" Target="footer60.xml"/><Relationship Id="rId107" Type="http://schemas.openxmlformats.org/officeDocument/2006/relationships/footer" Target="footer61.xml"/><Relationship Id="rId108" Type="http://schemas.openxmlformats.org/officeDocument/2006/relationships/footer" Target="footer62.xml"/><Relationship Id="rId109" Type="http://schemas.openxmlformats.org/officeDocument/2006/relationships/image" Target="media/image30.png"/><Relationship Id="rId110" Type="http://schemas.openxmlformats.org/officeDocument/2006/relationships/hyperlink" Target="http://msdn2.microsoft.com/en-" TargetMode="External"/><Relationship Id="rId111" Type="http://schemas.openxmlformats.org/officeDocument/2006/relationships/image" Target="media/image31.png"/><Relationship Id="rId112" Type="http://schemas.openxmlformats.org/officeDocument/2006/relationships/footer" Target="footer63.xml"/><Relationship Id="rId113" Type="http://schemas.openxmlformats.org/officeDocument/2006/relationships/footer" Target="footer64.xml"/><Relationship Id="rId114" Type="http://schemas.openxmlformats.org/officeDocument/2006/relationships/image" Target="media/image32.png"/><Relationship Id="rId115" Type="http://schemas.openxmlformats.org/officeDocument/2006/relationships/footer" Target="footer65.xml"/><Relationship Id="rId116" Type="http://schemas.openxmlformats.org/officeDocument/2006/relationships/footer" Target="footer66.xml"/><Relationship Id="rId117" Type="http://schemas.openxmlformats.org/officeDocument/2006/relationships/footer" Target="footer67.xml"/><Relationship Id="rId118" Type="http://schemas.openxmlformats.org/officeDocument/2006/relationships/footer" Target="footer68.xml"/><Relationship Id="rId119" Type="http://schemas.openxmlformats.org/officeDocument/2006/relationships/image" Target="media/image33.png"/><Relationship Id="rId120" Type="http://schemas.openxmlformats.org/officeDocument/2006/relationships/footer" Target="footer69.xml"/><Relationship Id="rId121" Type="http://schemas.openxmlformats.org/officeDocument/2006/relationships/footer" Target="footer70.xml"/><Relationship Id="rId122" Type="http://schemas.openxmlformats.org/officeDocument/2006/relationships/footer" Target="footer71.xml"/><Relationship Id="rId123" Type="http://schemas.openxmlformats.org/officeDocument/2006/relationships/footer" Target="footer72.xml"/><Relationship Id="rId124" Type="http://schemas.openxmlformats.org/officeDocument/2006/relationships/image" Target="media/image34.png"/><Relationship Id="rId125" Type="http://schemas.openxmlformats.org/officeDocument/2006/relationships/footer" Target="footer73.xml"/><Relationship Id="rId126" Type="http://schemas.openxmlformats.org/officeDocument/2006/relationships/footer" Target="footer74.xml"/><Relationship Id="rId127" Type="http://schemas.openxmlformats.org/officeDocument/2006/relationships/footer" Target="footer75.xml"/><Relationship Id="rId128" Type="http://schemas.openxmlformats.org/officeDocument/2006/relationships/footer" Target="footer76.xml"/><Relationship Id="rId129" Type="http://schemas.openxmlformats.org/officeDocument/2006/relationships/image" Target="media/image35.png"/><Relationship Id="rId130" Type="http://schemas.openxmlformats.org/officeDocument/2006/relationships/image" Target="media/image36.png"/><Relationship Id="rId131" Type="http://schemas.openxmlformats.org/officeDocument/2006/relationships/image" Target="media/image37.png"/><Relationship Id="rId132" Type="http://schemas.openxmlformats.org/officeDocument/2006/relationships/image" Target="media/image38.png"/><Relationship Id="rId133" Type="http://schemas.openxmlformats.org/officeDocument/2006/relationships/footer" Target="footer77.xml"/><Relationship Id="rId134" Type="http://schemas.openxmlformats.org/officeDocument/2006/relationships/footer" Target="footer78.xml"/><Relationship Id="rId135" Type="http://schemas.openxmlformats.org/officeDocument/2006/relationships/image" Target="media/image39.png"/><Relationship Id="rId136" Type="http://schemas.openxmlformats.org/officeDocument/2006/relationships/image" Target="media/image40.png"/><Relationship Id="rId137" Type="http://schemas.openxmlformats.org/officeDocument/2006/relationships/image" Target="media/image41.png"/><Relationship Id="rId138" Type="http://schemas.openxmlformats.org/officeDocument/2006/relationships/image" Target="media/image42.png"/><Relationship Id="rId139" Type="http://schemas.openxmlformats.org/officeDocument/2006/relationships/image" Target="media/image43.png"/><Relationship Id="rId140" Type="http://schemas.openxmlformats.org/officeDocument/2006/relationships/image" Target="media/image44.png"/><Relationship Id="rId141" Type="http://schemas.openxmlformats.org/officeDocument/2006/relationships/image" Target="media/image45.png"/><Relationship Id="rId142" Type="http://schemas.openxmlformats.org/officeDocument/2006/relationships/image" Target="media/image46.png"/><Relationship Id="rId143" Type="http://schemas.openxmlformats.org/officeDocument/2006/relationships/image" Target="media/image47.png"/><Relationship Id="rId144" Type="http://schemas.openxmlformats.org/officeDocument/2006/relationships/image" Target="media/image48.png"/><Relationship Id="rId145" Type="http://schemas.openxmlformats.org/officeDocument/2006/relationships/image" Target="media/image49.png"/><Relationship Id="rId146" Type="http://schemas.openxmlformats.org/officeDocument/2006/relationships/image" Target="media/image50.png"/><Relationship Id="rId147" Type="http://schemas.openxmlformats.org/officeDocument/2006/relationships/image" Target="media/image51.png"/><Relationship Id="rId148" Type="http://schemas.openxmlformats.org/officeDocument/2006/relationships/image" Target="media/image52.png"/><Relationship Id="rId149" Type="http://schemas.openxmlformats.org/officeDocument/2006/relationships/image" Target="media/image53.png"/><Relationship Id="rId150" Type="http://schemas.openxmlformats.org/officeDocument/2006/relationships/image" Target="media/image54.png"/><Relationship Id="rId151" Type="http://schemas.openxmlformats.org/officeDocument/2006/relationships/footer" Target="footer79.xml"/><Relationship Id="rId152" Type="http://schemas.openxmlformats.org/officeDocument/2006/relationships/footer" Target="footer80.xml"/><Relationship Id="rId153" Type="http://schemas.openxmlformats.org/officeDocument/2006/relationships/image" Target="media/image55.png"/><Relationship Id="rId154" Type="http://schemas.openxmlformats.org/officeDocument/2006/relationships/image" Target="media/image56.png"/><Relationship Id="rId155" Type="http://schemas.openxmlformats.org/officeDocument/2006/relationships/image" Target="media/image57.png"/><Relationship Id="rId156" Type="http://schemas.openxmlformats.org/officeDocument/2006/relationships/image" Target="media/image58.png"/><Relationship Id="rId157" Type="http://schemas.openxmlformats.org/officeDocument/2006/relationships/image" Target="media/image59.png"/><Relationship Id="rId158" Type="http://schemas.openxmlformats.org/officeDocument/2006/relationships/footer" Target="footer81.xml"/><Relationship Id="rId159" Type="http://schemas.openxmlformats.org/officeDocument/2006/relationships/footer" Target="footer82.xml"/><Relationship Id="rId160" Type="http://schemas.openxmlformats.org/officeDocument/2006/relationships/hyperlink" Target="http://msdn2.microsoft.com/en-us/library/ms145595.aspx" TargetMode="External"/><Relationship Id="rId161" Type="http://schemas.openxmlformats.org/officeDocument/2006/relationships/image" Target="media/image60.png"/><Relationship Id="rId162" Type="http://schemas.openxmlformats.org/officeDocument/2006/relationships/image" Target="media/image61.png"/><Relationship Id="rId163" Type="http://schemas.openxmlformats.org/officeDocument/2006/relationships/image" Target="media/image62.png"/><Relationship Id="rId164" Type="http://schemas.openxmlformats.org/officeDocument/2006/relationships/footer" Target="footer83.xml"/><Relationship Id="rId165" Type="http://schemas.openxmlformats.org/officeDocument/2006/relationships/footer" Target="footer84.xml"/><Relationship Id="rId166" Type="http://schemas.openxmlformats.org/officeDocument/2006/relationships/image" Target="media/image63.png"/><Relationship Id="rId167" Type="http://schemas.openxmlformats.org/officeDocument/2006/relationships/image" Target="media/image64.png"/><Relationship Id="rId168" Type="http://schemas.openxmlformats.org/officeDocument/2006/relationships/footer" Target="footer85.xml"/><Relationship Id="rId169" Type="http://schemas.openxmlformats.org/officeDocument/2006/relationships/footer" Target="footer86.xml"/><Relationship Id="rId170" Type="http://schemas.openxmlformats.org/officeDocument/2006/relationships/footer" Target="footer87.xml"/><Relationship Id="rId171" Type="http://schemas.openxmlformats.org/officeDocument/2006/relationships/footer" Target="footer88.xml"/><Relationship Id="rId172" Type="http://schemas.openxmlformats.org/officeDocument/2006/relationships/footer" Target="footer89.xml"/><Relationship Id="rId173" Type="http://schemas.openxmlformats.org/officeDocument/2006/relationships/footer" Target="footer90.xml"/><Relationship Id="rId174" Type="http://schemas.openxmlformats.org/officeDocument/2006/relationships/footer" Target="footer91.xml"/><Relationship Id="rId175" Type="http://schemas.openxmlformats.org/officeDocument/2006/relationships/footer" Target="footer92.xml"/><Relationship Id="rId176" Type="http://schemas.openxmlformats.org/officeDocument/2006/relationships/footer" Target="footer93.xml"/><Relationship Id="rId177" Type="http://schemas.openxmlformats.org/officeDocument/2006/relationships/footer" Target="footer94.xml"/><Relationship Id="rId178" Type="http://schemas.openxmlformats.org/officeDocument/2006/relationships/footer" Target="footer95.xml"/><Relationship Id="rId179" Type="http://schemas.openxmlformats.org/officeDocument/2006/relationships/footer" Target="footer96.xml"/><Relationship Id="rId180" Type="http://schemas.openxmlformats.org/officeDocument/2006/relationships/footer" Target="footer97.xml"/><Relationship Id="rId181" Type="http://schemas.openxmlformats.org/officeDocument/2006/relationships/footer" Target="footer98.xml"/><Relationship Id="rId182" Type="http://schemas.openxmlformats.org/officeDocument/2006/relationships/hyperlink" Target="http://ServerName/Image%20Library/Forms/AllItems.aspx" TargetMode="External"/><Relationship Id="rId183" Type="http://schemas.openxmlformats.org/officeDocument/2006/relationships/footer" Target="footer99.xml"/><Relationship Id="rId184" Type="http://schemas.openxmlformats.org/officeDocument/2006/relationships/footer" Target="footer100.xml"/><Relationship Id="rId185" Type="http://schemas.openxmlformats.org/officeDocument/2006/relationships/hyperlink" Target="http://www.ibm.com/developerworks/webservices/library/co-bnbo2.html" TargetMode="External"/><Relationship Id="rId186" Type="http://schemas.openxmlformats.org/officeDocument/2006/relationships/hyperlink" Target="http://developer.kde.org/documentation/tutorials/dot/writing-plugins.html" TargetMode="External"/><Relationship Id="rId187" Type="http://schemas.openxmlformats.org/officeDocument/2006/relationships/image" Target="media/image65.png"/><Relationship Id="rId188" Type="http://schemas.openxmlformats.org/officeDocument/2006/relationships/image" Target="media/image66.png"/><Relationship Id="rId189" Type="http://schemas.openxmlformats.org/officeDocument/2006/relationships/footer" Target="footer101.xml"/><Relationship Id="rId190" Type="http://schemas.openxmlformats.org/officeDocument/2006/relationships/footer" Target="footer102.xml"/><Relationship Id="rId191" Type="http://schemas.openxmlformats.org/officeDocument/2006/relationships/hyperlink" Target="http://www.w3.org/XML/Schema" TargetMode="External"/><Relationship Id="rId192" Type="http://schemas.openxmlformats.org/officeDocument/2006/relationships/hyperlink" Target="http://www.w3.org/2001/XMLSchema" TargetMode="External"/><Relationship Id="rId193" Type="http://schemas.openxmlformats.org/officeDocument/2006/relationships/hyperlink" Target="http://myserver.com/" TargetMode="External"/><Relationship Id="rId194" Type="http://schemas.openxmlformats.org/officeDocument/2006/relationships/hyperlink" Target="http://yourserver.com/" TargetMode="External"/><Relationship Id="rId195" Type="http://schemas.openxmlformats.org/officeDocument/2006/relationships/footer" Target="footer103.xml"/><Relationship Id="rId196" Type="http://schemas.openxmlformats.org/officeDocument/2006/relationships/footer" Target="footer104.xml"/><Relationship Id="rId197" Type="http://schemas.openxmlformats.org/officeDocument/2006/relationships/hyperlink" Target="http://www.w3.org/TR/xmlschema-2/#double" TargetMode="External"/><Relationship Id="rId198" Type="http://schemas.openxmlformats.org/officeDocument/2006/relationships/footer" Target="footer105.xml"/><Relationship Id="rId199" Type="http://schemas.openxmlformats.org/officeDocument/2006/relationships/footer" Target="footer106.xml"/><Relationship Id="rId200" Type="http://schemas.openxmlformats.org/officeDocument/2006/relationships/hyperlink" Target="http://purl.oclc.org/ooxml/officeDocument/relationships/externalLinkPath" TargetMode="External"/><Relationship Id="rId201" Type="http://schemas.openxmlformats.org/officeDocument/2006/relationships/footer" Target="footer107.xml"/><Relationship Id="rId202" Type="http://schemas.openxmlformats.org/officeDocument/2006/relationships/footer" Target="footer108.xml"/><Relationship Id="rId203" Type="http://schemas.openxmlformats.org/officeDocument/2006/relationships/footer" Target="footer109.xml"/><Relationship Id="rId204" Type="http://schemas.openxmlformats.org/officeDocument/2006/relationships/footer" Target="footer110.xml"/><Relationship Id="rId205" Type="http://schemas.openxmlformats.org/officeDocument/2006/relationships/footer" Target="footer111.xml"/><Relationship Id="rId206" Type="http://schemas.openxmlformats.org/officeDocument/2006/relationships/footer" Target="footer112.xml"/><Relationship Id="rId207" Type="http://schemas.openxmlformats.org/officeDocument/2006/relationships/image" Target="media/image67.png"/><Relationship Id="rId208" Type="http://schemas.openxmlformats.org/officeDocument/2006/relationships/image" Target="media/image68.png"/><Relationship Id="rId209" Type="http://schemas.openxmlformats.org/officeDocument/2006/relationships/footer" Target="footer113.xml"/><Relationship Id="rId210" Type="http://schemas.openxmlformats.org/officeDocument/2006/relationships/footer" Target="footer114.xml"/><Relationship Id="rId211" Type="http://schemas.openxmlformats.org/officeDocument/2006/relationships/footer" Target="footer115.xml"/><Relationship Id="rId212" Type="http://schemas.openxmlformats.org/officeDocument/2006/relationships/footer" Target="footer116.xml"/><Relationship Id="rId213" Type="http://schemas.openxmlformats.org/officeDocument/2006/relationships/footer" Target="footer117.xml"/><Relationship Id="rId214" Type="http://schemas.openxmlformats.org/officeDocument/2006/relationships/footer" Target="footer118.xml"/><Relationship Id="rId215" Type="http://schemas.openxmlformats.org/officeDocument/2006/relationships/footer" Target="footer119.xml"/><Relationship Id="rId216" Type="http://schemas.openxmlformats.org/officeDocument/2006/relationships/footer" Target="footer120.xml"/><Relationship Id="rId217" Type="http://schemas.openxmlformats.org/officeDocument/2006/relationships/footer" Target="footer121.xml"/><Relationship Id="rId218" Type="http://schemas.openxmlformats.org/officeDocument/2006/relationships/footer" Target="footer122.xml"/><Relationship Id="rId219" Type="http://schemas.openxmlformats.org/officeDocument/2006/relationships/footer" Target="footer123.xml"/><Relationship Id="rId220" Type="http://schemas.openxmlformats.org/officeDocument/2006/relationships/footer" Target="footer124.xml"/><Relationship Id="rId221" Type="http://schemas.openxmlformats.org/officeDocument/2006/relationships/footer" Target="footer125.xml"/><Relationship Id="rId222" Type="http://schemas.openxmlformats.org/officeDocument/2006/relationships/footer" Target="footer126.xml"/><Relationship Id="rId223" Type="http://schemas.openxmlformats.org/officeDocument/2006/relationships/footer" Target="footer127.xml"/><Relationship Id="rId224" Type="http://schemas.openxmlformats.org/officeDocument/2006/relationships/footer" Target="footer128.xml"/><Relationship Id="rId225" Type="http://schemas.openxmlformats.org/officeDocument/2006/relationships/footer" Target="footer129.xml"/><Relationship Id="rId226" Type="http://schemas.openxmlformats.org/officeDocument/2006/relationships/footer" Target="footer130.xml"/><Relationship Id="rId227" Type="http://schemas.openxmlformats.org/officeDocument/2006/relationships/footer" Target="footer131.xml"/><Relationship Id="rId228" Type="http://schemas.openxmlformats.org/officeDocument/2006/relationships/footer" Target="footer132.xml"/><Relationship Id="rId229" Type="http://schemas.openxmlformats.org/officeDocument/2006/relationships/footer" Target="footer133.xml"/><Relationship Id="rId230" Type="http://schemas.openxmlformats.org/officeDocument/2006/relationships/footer" Target="footer134.xml"/><Relationship Id="rId231" Type="http://schemas.openxmlformats.org/officeDocument/2006/relationships/hyperlink" Target="http://www.investopedia.com/terms/m/macaulayduration.asp" TargetMode="External"/><Relationship Id="rId232" Type="http://schemas.openxmlformats.org/officeDocument/2006/relationships/footer" Target="footer135.xml"/><Relationship Id="rId233" Type="http://schemas.openxmlformats.org/officeDocument/2006/relationships/footer" Target="footer136.xml"/><Relationship Id="rId234" Type="http://schemas.openxmlformats.org/officeDocument/2006/relationships/footer" Target="footer137.xml"/><Relationship Id="rId235" Type="http://schemas.openxmlformats.org/officeDocument/2006/relationships/footer" Target="footer138.xml"/><Relationship Id="rId236" Type="http://schemas.openxmlformats.org/officeDocument/2006/relationships/footer" Target="footer139.xml"/><Relationship Id="rId237" Type="http://schemas.openxmlformats.org/officeDocument/2006/relationships/footer" Target="footer140.xml"/><Relationship Id="rId238" Type="http://schemas.openxmlformats.org/officeDocument/2006/relationships/image" Target="media/image69.png"/><Relationship Id="rId239" Type="http://schemas.openxmlformats.org/officeDocument/2006/relationships/footer" Target="footer141.xml"/><Relationship Id="rId240" Type="http://schemas.openxmlformats.org/officeDocument/2006/relationships/footer" Target="footer142.xml"/><Relationship Id="rId241" Type="http://schemas.openxmlformats.org/officeDocument/2006/relationships/hyperlink" Target="http://example.openxmlformats.org/report/budget" TargetMode="External"/><Relationship Id="rId242" Type="http://schemas.openxmlformats.org/officeDocument/2006/relationships/image" Target="media/image70.png"/><Relationship Id="rId243" Type="http://schemas.openxmlformats.org/officeDocument/2006/relationships/footer" Target="footer143.xml"/><Relationship Id="rId244" Type="http://schemas.openxmlformats.org/officeDocument/2006/relationships/footer" Target="footer144.xml"/><Relationship Id="rId245" Type="http://schemas.openxmlformats.org/officeDocument/2006/relationships/footer" Target="footer145.xml"/><Relationship Id="rId246" Type="http://schemas.openxmlformats.org/officeDocument/2006/relationships/footer" Target="footer146.xml"/><Relationship Id="rId247" Type="http://schemas.openxmlformats.org/officeDocument/2006/relationships/footer" Target="footer147.xml"/><Relationship Id="rId248" Type="http://schemas.openxmlformats.org/officeDocument/2006/relationships/footer" Target="footer148.xml"/><Relationship Id="rId249" Type="http://schemas.openxmlformats.org/officeDocument/2006/relationships/image" Target="media/image71.png"/><Relationship Id="rId250" Type="http://schemas.openxmlformats.org/officeDocument/2006/relationships/footer" Target="footer149.xml"/><Relationship Id="rId251" Type="http://schemas.openxmlformats.org/officeDocument/2006/relationships/footer" Target="footer150.xml"/><Relationship Id="rId252" Type="http://schemas.openxmlformats.org/officeDocument/2006/relationships/footer" Target="footer151.xml"/><Relationship Id="rId253" Type="http://schemas.openxmlformats.org/officeDocument/2006/relationships/footer" Target="footer152.xml"/><Relationship Id="rId254" Type="http://schemas.openxmlformats.org/officeDocument/2006/relationships/footer" Target="footer153.xml"/><Relationship Id="rId255" Type="http://schemas.openxmlformats.org/officeDocument/2006/relationships/footer" Target="footer154.xml"/><Relationship Id="rId256" Type="http://schemas.openxmlformats.org/officeDocument/2006/relationships/footer" Target="footer155.xml"/><Relationship Id="rId257" Type="http://schemas.openxmlformats.org/officeDocument/2006/relationships/footer" Target="footer156.xml"/><Relationship Id="rId258" Type="http://schemas.openxmlformats.org/officeDocument/2006/relationships/footer" Target="footer157.xml"/><Relationship Id="rId259" Type="http://schemas.openxmlformats.org/officeDocument/2006/relationships/footer" Target="footer158.xml"/><Relationship Id="rId260" Type="http://schemas.openxmlformats.org/officeDocument/2006/relationships/footer" Target="footer159.xml"/><Relationship Id="rId261" Type="http://schemas.openxmlformats.org/officeDocument/2006/relationships/footer" Target="footer160.xml"/><Relationship Id="rId262" Type="http://schemas.openxmlformats.org/officeDocument/2006/relationships/footer" Target="footer161.xml"/><Relationship Id="rId263" Type="http://schemas.openxmlformats.org/officeDocument/2006/relationships/footer" Target="footer162.xml"/><Relationship Id="rId264" Type="http://schemas.openxmlformats.org/officeDocument/2006/relationships/footer" Target="footer163.xml"/><Relationship Id="rId265" Type="http://schemas.openxmlformats.org/officeDocument/2006/relationships/footer" Target="footer164.xml"/><Relationship Id="rId266" Type="http://schemas.openxmlformats.org/officeDocument/2006/relationships/footer" Target="footer165.xml"/><Relationship Id="rId267" Type="http://schemas.openxmlformats.org/officeDocument/2006/relationships/footer" Target="footer166.xml"/><Relationship Id="rId268" Type="http://schemas.openxmlformats.org/officeDocument/2006/relationships/footer" Target="footer167.xml"/><Relationship Id="rId269" Type="http://schemas.openxmlformats.org/officeDocument/2006/relationships/footer" Target="footer168.xml"/><Relationship Id="rId270" Type="http://schemas.openxmlformats.org/officeDocument/2006/relationships/footer" Target="footer169.xml"/><Relationship Id="rId271" Type="http://schemas.openxmlformats.org/officeDocument/2006/relationships/footer" Target="footer170.xml"/><Relationship Id="rId272" Type="http://schemas.openxmlformats.org/officeDocument/2006/relationships/footer" Target="footer171.xml"/><Relationship Id="rId273" Type="http://schemas.openxmlformats.org/officeDocument/2006/relationships/footer" Target="footer172.xml"/><Relationship Id="rId274" Type="http://schemas.openxmlformats.org/officeDocument/2006/relationships/footer" Target="footer173.xml"/><Relationship Id="rId275" Type="http://schemas.openxmlformats.org/officeDocument/2006/relationships/footer" Target="footer174.xml"/><Relationship Id="rId276" Type="http://schemas.openxmlformats.org/officeDocument/2006/relationships/footer" Target="footer175.xml"/><Relationship Id="rId277" Type="http://schemas.openxmlformats.org/officeDocument/2006/relationships/footer" Target="footer176.xml"/><Relationship Id="rId278" Type="http://schemas.openxmlformats.org/officeDocument/2006/relationships/footer" Target="footer177.xml"/><Relationship Id="rId279" Type="http://schemas.openxmlformats.org/officeDocument/2006/relationships/footer" Target="footer178.xml"/><Relationship Id="rId280" Type="http://schemas.openxmlformats.org/officeDocument/2006/relationships/footer" Target="footer179.xml"/><Relationship Id="rId281" Type="http://schemas.openxmlformats.org/officeDocument/2006/relationships/footer" Target="footer180.xml"/><Relationship Id="rId282" Type="http://schemas.openxmlformats.org/officeDocument/2006/relationships/footer" Target="footer181.xml"/><Relationship Id="rId283" Type="http://schemas.openxmlformats.org/officeDocument/2006/relationships/footer" Target="footer182.xml"/><Relationship Id="rId284" Type="http://schemas.openxmlformats.org/officeDocument/2006/relationships/image" Target="media/image72.png"/><Relationship Id="rId285" Type="http://schemas.openxmlformats.org/officeDocument/2006/relationships/image" Target="media/image73.png"/><Relationship Id="rId286" Type="http://schemas.openxmlformats.org/officeDocument/2006/relationships/image" Target="media/image74.png"/><Relationship Id="rId287" Type="http://schemas.openxmlformats.org/officeDocument/2006/relationships/image" Target="media/image75.png"/><Relationship Id="rId288" Type="http://schemas.openxmlformats.org/officeDocument/2006/relationships/image" Target="media/image76.png"/><Relationship Id="rId289" Type="http://schemas.openxmlformats.org/officeDocument/2006/relationships/image" Target="media/image77.png"/><Relationship Id="rId290" Type="http://schemas.openxmlformats.org/officeDocument/2006/relationships/image" Target="media/image78.png"/><Relationship Id="rId291" Type="http://schemas.openxmlformats.org/officeDocument/2006/relationships/image" Target="media/image79.png"/><Relationship Id="rId292" Type="http://schemas.openxmlformats.org/officeDocument/2006/relationships/image" Target="media/image80.png"/><Relationship Id="rId293" Type="http://schemas.openxmlformats.org/officeDocument/2006/relationships/image" Target="media/image81.png"/><Relationship Id="rId294" Type="http://schemas.openxmlformats.org/officeDocument/2006/relationships/image" Target="media/image82.png"/><Relationship Id="rId295" Type="http://schemas.openxmlformats.org/officeDocument/2006/relationships/image" Target="media/image83.png"/><Relationship Id="rId296" Type="http://schemas.openxmlformats.org/officeDocument/2006/relationships/image" Target="media/image84.png"/><Relationship Id="rId297" Type="http://schemas.openxmlformats.org/officeDocument/2006/relationships/image" Target="media/image85.png"/><Relationship Id="rId298" Type="http://schemas.openxmlformats.org/officeDocument/2006/relationships/footer" Target="footer183.xml"/><Relationship Id="rId299" Type="http://schemas.openxmlformats.org/officeDocument/2006/relationships/footer" Target="footer184.xml"/><Relationship Id="rId300" Type="http://schemas.openxmlformats.org/officeDocument/2006/relationships/image" Target="media/image86.jpeg"/><Relationship Id="rId301" Type="http://schemas.openxmlformats.org/officeDocument/2006/relationships/image" Target="media/image87.jpeg"/><Relationship Id="rId302" Type="http://schemas.openxmlformats.org/officeDocument/2006/relationships/image" Target="media/image88.jpeg"/><Relationship Id="rId303" Type="http://schemas.openxmlformats.org/officeDocument/2006/relationships/footer" Target="footer185.xml"/><Relationship Id="rId304" Type="http://schemas.openxmlformats.org/officeDocument/2006/relationships/footer" Target="footer186.xml"/><Relationship Id="rId305" Type="http://schemas.openxmlformats.org/officeDocument/2006/relationships/image" Target="media/image89.png"/><Relationship Id="rId306" Type="http://schemas.openxmlformats.org/officeDocument/2006/relationships/image" Target="media/image90.png"/><Relationship Id="rId307" Type="http://schemas.openxmlformats.org/officeDocument/2006/relationships/image" Target="media/image91.png"/><Relationship Id="rId308" Type="http://schemas.openxmlformats.org/officeDocument/2006/relationships/footer" Target="footer187.xml"/><Relationship Id="rId309" Type="http://schemas.openxmlformats.org/officeDocument/2006/relationships/footer" Target="footer188.xml"/><Relationship Id="rId310" Type="http://schemas.openxmlformats.org/officeDocument/2006/relationships/image" Target="media/image92.png"/><Relationship Id="rId311" Type="http://schemas.openxmlformats.org/officeDocument/2006/relationships/image" Target="media/image93.png"/><Relationship Id="rId312" Type="http://schemas.openxmlformats.org/officeDocument/2006/relationships/image" Target="media/image94.png"/><Relationship Id="rId313" Type="http://schemas.openxmlformats.org/officeDocument/2006/relationships/image" Target="media/image95.png"/><Relationship Id="rId314" Type="http://schemas.openxmlformats.org/officeDocument/2006/relationships/image" Target="media/image96.png"/><Relationship Id="rId315" Type="http://schemas.openxmlformats.org/officeDocument/2006/relationships/image" Target="media/image97.png"/><Relationship Id="rId316" Type="http://schemas.openxmlformats.org/officeDocument/2006/relationships/image" Target="media/image98.jpeg"/><Relationship Id="rId317" Type="http://schemas.openxmlformats.org/officeDocument/2006/relationships/image" Target="media/image99.png"/><Relationship Id="rId318" Type="http://schemas.openxmlformats.org/officeDocument/2006/relationships/image" Target="media/image100.jpeg"/><Relationship Id="rId319" Type="http://schemas.openxmlformats.org/officeDocument/2006/relationships/image" Target="media/image101.jpeg"/><Relationship Id="rId320" Type="http://schemas.openxmlformats.org/officeDocument/2006/relationships/image" Target="media/image102.jpeg"/><Relationship Id="rId321" Type="http://schemas.openxmlformats.org/officeDocument/2006/relationships/image" Target="media/image103.jpeg"/><Relationship Id="rId322" Type="http://schemas.openxmlformats.org/officeDocument/2006/relationships/image" Target="media/image104.png"/><Relationship Id="rId323" Type="http://schemas.openxmlformats.org/officeDocument/2006/relationships/image" Target="media/image105.png"/><Relationship Id="rId324" Type="http://schemas.openxmlformats.org/officeDocument/2006/relationships/image" Target="media/image106.png"/><Relationship Id="rId325" Type="http://schemas.openxmlformats.org/officeDocument/2006/relationships/image" Target="media/image107.png"/><Relationship Id="rId326" Type="http://schemas.openxmlformats.org/officeDocument/2006/relationships/image" Target="media/image108.jpeg"/><Relationship Id="rId327" Type="http://schemas.openxmlformats.org/officeDocument/2006/relationships/image" Target="media/image109.png"/><Relationship Id="rId328" Type="http://schemas.openxmlformats.org/officeDocument/2006/relationships/image" Target="media/image110.png"/><Relationship Id="rId329" Type="http://schemas.openxmlformats.org/officeDocument/2006/relationships/image" Target="media/image111.png"/><Relationship Id="rId330" Type="http://schemas.openxmlformats.org/officeDocument/2006/relationships/image" Target="media/image112.jpeg"/><Relationship Id="rId331" Type="http://schemas.openxmlformats.org/officeDocument/2006/relationships/footer" Target="footer189.xml"/><Relationship Id="rId332" Type="http://schemas.openxmlformats.org/officeDocument/2006/relationships/footer" Target="footer190.xml"/><Relationship Id="rId333" Type="http://schemas.openxmlformats.org/officeDocument/2006/relationships/image" Target="media/image113.png"/><Relationship Id="rId334" Type="http://schemas.openxmlformats.org/officeDocument/2006/relationships/image" Target="media/image114.png"/><Relationship Id="rId335" Type="http://schemas.openxmlformats.org/officeDocument/2006/relationships/image" Target="media/image115.png"/><Relationship Id="rId336" Type="http://schemas.openxmlformats.org/officeDocument/2006/relationships/image" Target="media/image116.png"/><Relationship Id="rId337" Type="http://schemas.openxmlformats.org/officeDocument/2006/relationships/image" Target="media/image117.png"/><Relationship Id="rId338" Type="http://schemas.openxmlformats.org/officeDocument/2006/relationships/image" Target="media/image118.png"/><Relationship Id="rId339" Type="http://schemas.openxmlformats.org/officeDocument/2006/relationships/image" Target="media/image119.png"/><Relationship Id="rId340" Type="http://schemas.openxmlformats.org/officeDocument/2006/relationships/image" Target="media/image120.png"/><Relationship Id="rId341" Type="http://schemas.openxmlformats.org/officeDocument/2006/relationships/image" Target="media/image121.png"/><Relationship Id="rId342" Type="http://schemas.openxmlformats.org/officeDocument/2006/relationships/image" Target="media/image122.png"/><Relationship Id="rId343" Type="http://schemas.openxmlformats.org/officeDocument/2006/relationships/image" Target="media/image123.png"/><Relationship Id="rId344" Type="http://schemas.openxmlformats.org/officeDocument/2006/relationships/image" Target="media/image124.png"/><Relationship Id="rId345" Type="http://schemas.openxmlformats.org/officeDocument/2006/relationships/image" Target="media/image125.png"/><Relationship Id="rId346" Type="http://schemas.openxmlformats.org/officeDocument/2006/relationships/image" Target="media/image126.png"/><Relationship Id="rId347" Type="http://schemas.openxmlformats.org/officeDocument/2006/relationships/image" Target="media/image127.png"/><Relationship Id="rId348" Type="http://schemas.openxmlformats.org/officeDocument/2006/relationships/image" Target="media/image128.png"/><Relationship Id="rId349" Type="http://schemas.openxmlformats.org/officeDocument/2006/relationships/image" Target="media/image129.png"/><Relationship Id="rId350" Type="http://schemas.openxmlformats.org/officeDocument/2006/relationships/image" Target="media/image130.png"/><Relationship Id="rId351" Type="http://schemas.openxmlformats.org/officeDocument/2006/relationships/footer" Target="footer191.xml"/><Relationship Id="rId352" Type="http://schemas.openxmlformats.org/officeDocument/2006/relationships/footer" Target="footer192.xml"/><Relationship Id="rId353" Type="http://schemas.openxmlformats.org/officeDocument/2006/relationships/image" Target="media/image131.png"/><Relationship Id="rId354" Type="http://schemas.openxmlformats.org/officeDocument/2006/relationships/image" Target="media/image132.png"/><Relationship Id="rId355" Type="http://schemas.openxmlformats.org/officeDocument/2006/relationships/image" Target="media/image133.png"/><Relationship Id="rId356" Type="http://schemas.openxmlformats.org/officeDocument/2006/relationships/image" Target="media/image134.png"/><Relationship Id="rId357" Type="http://schemas.openxmlformats.org/officeDocument/2006/relationships/footer" Target="footer193.xml"/><Relationship Id="rId358" Type="http://schemas.openxmlformats.org/officeDocument/2006/relationships/footer" Target="footer194.xml"/><Relationship Id="rId359" Type="http://schemas.openxmlformats.org/officeDocument/2006/relationships/image" Target="media/image135.png"/><Relationship Id="rId360" Type="http://schemas.openxmlformats.org/officeDocument/2006/relationships/image" Target="media/image136.png"/><Relationship Id="rId361" Type="http://schemas.openxmlformats.org/officeDocument/2006/relationships/image" Target="media/image137.png"/><Relationship Id="rId362" Type="http://schemas.openxmlformats.org/officeDocument/2006/relationships/image" Target="media/image138.png"/><Relationship Id="rId363" Type="http://schemas.openxmlformats.org/officeDocument/2006/relationships/image" Target="media/image139.png"/><Relationship Id="rId364" Type="http://schemas.openxmlformats.org/officeDocument/2006/relationships/image" Target="media/image140.png"/><Relationship Id="rId365" Type="http://schemas.openxmlformats.org/officeDocument/2006/relationships/image" Target="media/image141.png"/><Relationship Id="rId366" Type="http://schemas.openxmlformats.org/officeDocument/2006/relationships/image" Target="media/image142.png"/><Relationship Id="rId367" Type="http://schemas.openxmlformats.org/officeDocument/2006/relationships/image" Target="media/image143.png"/><Relationship Id="rId368" Type="http://schemas.openxmlformats.org/officeDocument/2006/relationships/image" Target="media/image144.png"/><Relationship Id="rId369" Type="http://schemas.openxmlformats.org/officeDocument/2006/relationships/image" Target="media/image145.png"/><Relationship Id="rId370" Type="http://schemas.openxmlformats.org/officeDocument/2006/relationships/image" Target="media/image146.png"/><Relationship Id="rId371" Type="http://schemas.openxmlformats.org/officeDocument/2006/relationships/image" Target="media/image147.png"/><Relationship Id="rId372" Type="http://schemas.openxmlformats.org/officeDocument/2006/relationships/image" Target="media/image148.png"/><Relationship Id="rId373" Type="http://schemas.openxmlformats.org/officeDocument/2006/relationships/image" Target="media/image149.png"/><Relationship Id="rId374" Type="http://schemas.openxmlformats.org/officeDocument/2006/relationships/footer" Target="footer195.xml"/><Relationship Id="rId375" Type="http://schemas.openxmlformats.org/officeDocument/2006/relationships/footer" Target="footer196.xml"/><Relationship Id="rId376" Type="http://schemas.openxmlformats.org/officeDocument/2006/relationships/image" Target="media/image150.png"/><Relationship Id="rId377" Type="http://schemas.openxmlformats.org/officeDocument/2006/relationships/image" Target="media/image151.png"/><Relationship Id="rId378" Type="http://schemas.openxmlformats.org/officeDocument/2006/relationships/image" Target="media/image152.png"/><Relationship Id="rId379" Type="http://schemas.openxmlformats.org/officeDocument/2006/relationships/image" Target="media/image153.png"/><Relationship Id="rId380" Type="http://schemas.openxmlformats.org/officeDocument/2006/relationships/image" Target="media/image154.png"/><Relationship Id="rId381" Type="http://schemas.openxmlformats.org/officeDocument/2006/relationships/image" Target="media/image155.png"/><Relationship Id="rId382" Type="http://schemas.openxmlformats.org/officeDocument/2006/relationships/image" Target="media/image156.png"/><Relationship Id="rId383" Type="http://schemas.openxmlformats.org/officeDocument/2006/relationships/image" Target="media/image157.png"/><Relationship Id="rId384" Type="http://schemas.openxmlformats.org/officeDocument/2006/relationships/image" Target="media/image158.png"/><Relationship Id="rId385" Type="http://schemas.openxmlformats.org/officeDocument/2006/relationships/image" Target="media/image159.png"/><Relationship Id="rId386" Type="http://schemas.openxmlformats.org/officeDocument/2006/relationships/image" Target="media/image160.png"/><Relationship Id="rId387" Type="http://schemas.openxmlformats.org/officeDocument/2006/relationships/footer" Target="footer197.xml"/><Relationship Id="rId388" Type="http://schemas.openxmlformats.org/officeDocument/2006/relationships/footer" Target="footer198.xml"/><Relationship Id="rId389" Type="http://schemas.openxmlformats.org/officeDocument/2006/relationships/image" Target="media/image161.png"/><Relationship Id="rId390" Type="http://schemas.openxmlformats.org/officeDocument/2006/relationships/image" Target="media/image162.png"/><Relationship Id="rId391" Type="http://schemas.openxmlformats.org/officeDocument/2006/relationships/image" Target="media/image163.png"/><Relationship Id="rId392" Type="http://schemas.openxmlformats.org/officeDocument/2006/relationships/hyperlink" Target="http://www.w3.org/TR/xmlschema-2/" TargetMode="External"/><Relationship Id="rId393" Type="http://schemas.openxmlformats.org/officeDocument/2006/relationships/hyperlink" Target="http://www.w3.org/2001/XML-Schema-datatypes" TargetMode="External"/><Relationship Id="rId39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2019-04-22T03:19:39Z</dcterms:created>
  <dcterms:modified xsi:type="dcterms:W3CDTF">2019-04-22T03:19:39Z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2019-04-22T00:00:00Z</vt:filetime>
  </property>
</Properties>
</file>